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89576A" w14:textId="77777777" w:rsidR="007968EC" w:rsidRPr="002C0D19" w:rsidRDefault="007968EC" w:rsidP="007968EC">
      <w:pPr>
        <w:ind w:left="2124" w:hanging="2124"/>
        <w:rPr>
          <w:rFonts w:ascii="Arial Narrow" w:hAnsi="Arial Narrow" w:cs="Arial"/>
          <w:b/>
          <w:i/>
          <w:color w:val="000000" w:themeColor="text1"/>
          <w:lang w:eastAsia="es-ES"/>
        </w:rPr>
      </w:pPr>
      <w:bookmarkStart w:id="0" w:name="_Hlk501347527"/>
    </w:p>
    <w:p w14:paraId="21EB4272" w14:textId="63D8C48C" w:rsidR="007968EC" w:rsidRPr="002C0D19" w:rsidRDefault="007968EC" w:rsidP="007968EC">
      <w:pPr>
        <w:ind w:left="708" w:hanging="708"/>
        <w:jc w:val="center"/>
        <w:rPr>
          <w:rFonts w:ascii="Arial Narrow" w:hAnsi="Arial Narrow" w:cs="Arial"/>
          <w:b/>
          <w:i/>
          <w:color w:val="000000" w:themeColor="text1"/>
          <w:lang w:eastAsia="es-ES"/>
        </w:rPr>
      </w:pPr>
      <w:r>
        <w:rPr>
          <w:rFonts w:ascii="Arial Narrow" w:hAnsi="Arial Narrow" w:cs="Arial"/>
          <w:b/>
          <w:i/>
          <w:color w:val="000000" w:themeColor="text1"/>
          <w:lang w:eastAsia="es-ES"/>
        </w:rPr>
        <w:t xml:space="preserve">ACTUALIZACIÓN AL </w:t>
      </w:r>
      <w:r w:rsidR="00B93F48">
        <w:rPr>
          <w:rFonts w:ascii="Arial Narrow" w:hAnsi="Arial Narrow" w:cs="Arial"/>
          <w:b/>
          <w:i/>
          <w:color w:val="000000" w:themeColor="text1"/>
          <w:lang w:eastAsia="es-ES"/>
        </w:rPr>
        <w:t>10</w:t>
      </w:r>
      <w:r>
        <w:rPr>
          <w:rFonts w:ascii="Arial Narrow" w:hAnsi="Arial Narrow" w:cs="Arial"/>
          <w:b/>
          <w:i/>
          <w:color w:val="000000" w:themeColor="text1"/>
          <w:lang w:eastAsia="es-ES"/>
        </w:rPr>
        <w:t xml:space="preserve"> DE </w:t>
      </w:r>
      <w:r w:rsidR="00B93F48">
        <w:rPr>
          <w:rFonts w:ascii="Arial Narrow" w:hAnsi="Arial Narrow" w:cs="Arial"/>
          <w:b/>
          <w:i/>
          <w:color w:val="000000" w:themeColor="text1"/>
          <w:lang w:eastAsia="es-ES"/>
        </w:rPr>
        <w:t>FEBR</w:t>
      </w:r>
      <w:r>
        <w:rPr>
          <w:rFonts w:ascii="Arial Narrow" w:hAnsi="Arial Narrow" w:cs="Arial"/>
          <w:b/>
          <w:i/>
          <w:color w:val="000000" w:themeColor="text1"/>
          <w:lang w:eastAsia="es-ES"/>
        </w:rPr>
        <w:t xml:space="preserve">ERO DE 2020 – CIRCULAR </w:t>
      </w:r>
      <w:r w:rsidR="00B93F48">
        <w:rPr>
          <w:rFonts w:ascii="Arial Narrow" w:hAnsi="Arial Narrow" w:cs="Arial"/>
          <w:b/>
          <w:i/>
          <w:color w:val="000000" w:themeColor="text1"/>
          <w:lang w:eastAsia="es-ES"/>
        </w:rPr>
        <w:t>3</w:t>
      </w:r>
      <w:r>
        <w:rPr>
          <w:rFonts w:ascii="Arial Narrow" w:hAnsi="Arial Narrow" w:cs="Arial"/>
          <w:b/>
          <w:i/>
          <w:color w:val="000000" w:themeColor="text1"/>
          <w:lang w:eastAsia="es-ES"/>
        </w:rPr>
        <w:t xml:space="preserve"> </w:t>
      </w:r>
      <w:r w:rsidRPr="002C0D19">
        <w:rPr>
          <w:rFonts w:ascii="Arial Narrow" w:hAnsi="Arial Narrow" w:cs="Arial"/>
          <w:b/>
          <w:i/>
          <w:color w:val="000000" w:themeColor="text1"/>
          <w:lang w:eastAsia="es-ES"/>
        </w:rPr>
        <w:t xml:space="preserve">– </w:t>
      </w:r>
    </w:p>
    <w:p w14:paraId="5960C716" w14:textId="7AD30D02" w:rsidR="007968EC" w:rsidRPr="002C0D19" w:rsidRDefault="007968EC" w:rsidP="007968EC">
      <w:pPr>
        <w:jc w:val="center"/>
        <w:rPr>
          <w:rFonts w:ascii="Arial Narrow" w:hAnsi="Arial Narrow" w:cs="Arial"/>
          <w:b/>
          <w:i/>
          <w:color w:val="000000" w:themeColor="text1"/>
          <w:lang w:eastAsia="es-ES"/>
        </w:rPr>
      </w:pPr>
      <w:r>
        <w:rPr>
          <w:rFonts w:ascii="Arial Narrow" w:hAnsi="Arial Narrow" w:cs="Arial"/>
          <w:b/>
          <w:i/>
          <w:color w:val="000000" w:themeColor="text1"/>
          <w:lang w:eastAsia="es-ES"/>
        </w:rPr>
        <w:t>BOLETÍN NORMATIVO No. 00</w:t>
      </w:r>
      <w:r w:rsidR="00B93F48">
        <w:rPr>
          <w:rFonts w:ascii="Arial Narrow" w:hAnsi="Arial Narrow" w:cs="Arial"/>
          <w:b/>
          <w:i/>
          <w:color w:val="000000" w:themeColor="text1"/>
          <w:lang w:eastAsia="es-ES"/>
        </w:rPr>
        <w:t>3</w:t>
      </w:r>
      <w:r w:rsidRPr="002C0D19">
        <w:rPr>
          <w:rFonts w:ascii="Arial Narrow" w:hAnsi="Arial Narrow" w:cs="Arial"/>
          <w:b/>
          <w:i/>
          <w:color w:val="000000" w:themeColor="text1"/>
          <w:lang w:eastAsia="es-ES"/>
        </w:rPr>
        <w:t xml:space="preserve"> DEL </w:t>
      </w:r>
      <w:r w:rsidR="00B93F48">
        <w:rPr>
          <w:rFonts w:ascii="Arial Narrow" w:hAnsi="Arial Narrow" w:cs="Arial"/>
          <w:b/>
          <w:i/>
          <w:color w:val="000000" w:themeColor="text1"/>
          <w:lang w:eastAsia="es-ES"/>
        </w:rPr>
        <w:t>5</w:t>
      </w:r>
      <w:r>
        <w:rPr>
          <w:rFonts w:ascii="Arial Narrow" w:hAnsi="Arial Narrow" w:cs="Arial"/>
          <w:b/>
          <w:i/>
          <w:color w:val="000000" w:themeColor="text1"/>
          <w:lang w:eastAsia="es-ES"/>
        </w:rPr>
        <w:t xml:space="preserve"> DE </w:t>
      </w:r>
      <w:r w:rsidR="00B93F48">
        <w:rPr>
          <w:rFonts w:ascii="Arial Narrow" w:hAnsi="Arial Narrow" w:cs="Arial"/>
          <w:b/>
          <w:i/>
          <w:color w:val="000000" w:themeColor="text1"/>
          <w:lang w:eastAsia="es-ES"/>
        </w:rPr>
        <w:t>F</w:t>
      </w:r>
      <w:r>
        <w:rPr>
          <w:rFonts w:ascii="Arial Narrow" w:hAnsi="Arial Narrow" w:cs="Arial"/>
          <w:b/>
          <w:i/>
          <w:color w:val="000000" w:themeColor="text1"/>
          <w:lang w:eastAsia="es-ES"/>
        </w:rPr>
        <w:t>E</w:t>
      </w:r>
      <w:r w:rsidR="00B93F48">
        <w:rPr>
          <w:rFonts w:ascii="Arial Narrow" w:hAnsi="Arial Narrow" w:cs="Arial"/>
          <w:b/>
          <w:i/>
          <w:color w:val="000000" w:themeColor="text1"/>
          <w:lang w:eastAsia="es-ES"/>
        </w:rPr>
        <w:t>BR</w:t>
      </w:r>
      <w:r>
        <w:rPr>
          <w:rFonts w:ascii="Arial Narrow" w:hAnsi="Arial Narrow" w:cs="Arial"/>
          <w:b/>
          <w:i/>
          <w:color w:val="000000" w:themeColor="text1"/>
          <w:lang w:eastAsia="es-ES"/>
        </w:rPr>
        <w:t>ERO DE 2020</w:t>
      </w:r>
    </w:p>
    <w:p w14:paraId="70C26F41" w14:textId="77777777" w:rsidR="007968EC" w:rsidRPr="002C0D19" w:rsidRDefault="007968EC" w:rsidP="007968EC">
      <w:pPr>
        <w:ind w:left="708" w:hanging="708"/>
        <w:jc w:val="center"/>
        <w:rPr>
          <w:rFonts w:ascii="Arial Narrow" w:hAnsi="Arial Narrow" w:cs="Arial"/>
          <w:b/>
          <w:color w:val="000000" w:themeColor="text1"/>
          <w:sz w:val="52"/>
          <w:lang w:eastAsia="es-ES"/>
        </w:rPr>
      </w:pPr>
    </w:p>
    <w:p w14:paraId="6E330FC4" w14:textId="77777777" w:rsidR="007968EC" w:rsidRPr="00D70C18" w:rsidRDefault="007968EC" w:rsidP="007968EC">
      <w:pPr>
        <w:jc w:val="center"/>
        <w:rPr>
          <w:rFonts w:ascii="Arial Narrow" w:hAnsi="Arial Narrow" w:cs="Arial"/>
          <w:b/>
          <w:color w:val="000000" w:themeColor="text1"/>
          <w:sz w:val="52"/>
          <w:szCs w:val="52"/>
          <w:lang w:eastAsia="es-ES"/>
        </w:rPr>
      </w:pPr>
    </w:p>
    <w:p w14:paraId="37F0B57C" w14:textId="77777777" w:rsidR="007968EC" w:rsidRPr="002C0D19" w:rsidRDefault="007968EC" w:rsidP="007968EC">
      <w:pPr>
        <w:ind w:left="480"/>
        <w:rPr>
          <w:rFonts w:ascii="Arial Narrow" w:hAnsi="Arial Narrow" w:cs="Arial"/>
          <w:b/>
          <w:color w:val="000000" w:themeColor="text1"/>
          <w:sz w:val="52"/>
          <w:szCs w:val="52"/>
          <w:lang w:eastAsia="es-CO"/>
        </w:rPr>
      </w:pPr>
      <w:r w:rsidRPr="002C0D19">
        <w:rPr>
          <w:rFonts w:ascii="Arial Narrow" w:hAnsi="Arial Narrow" w:cs="Arial"/>
          <w:b/>
          <w:color w:val="000000" w:themeColor="text1"/>
          <w:sz w:val="52"/>
          <w:szCs w:val="52"/>
          <w:lang w:eastAsia="es-CO"/>
        </w:rPr>
        <w:t xml:space="preserve">                    </w:t>
      </w:r>
    </w:p>
    <w:p w14:paraId="286F2373" w14:textId="77777777" w:rsidR="007968EC" w:rsidRPr="002C0D19" w:rsidRDefault="007968EC" w:rsidP="007968EC">
      <w:pPr>
        <w:tabs>
          <w:tab w:val="left" w:pos="6798"/>
        </w:tabs>
        <w:rPr>
          <w:rFonts w:ascii="Arial Narrow" w:hAnsi="Arial Narrow" w:cs="Arial"/>
          <w:b/>
          <w:color w:val="000000" w:themeColor="text1"/>
          <w:sz w:val="52"/>
          <w:szCs w:val="52"/>
          <w:lang w:val="es-ES" w:eastAsia="es-ES"/>
        </w:rPr>
      </w:pPr>
      <w:r w:rsidRPr="002C0D19">
        <w:rPr>
          <w:rFonts w:ascii="Arial Narrow" w:hAnsi="Arial Narrow" w:cs="Arial"/>
          <w:b/>
          <w:color w:val="000000" w:themeColor="text1"/>
          <w:sz w:val="52"/>
          <w:szCs w:val="52"/>
          <w:lang w:val="es-ES" w:eastAsia="es-ES"/>
        </w:rPr>
        <w:tab/>
      </w:r>
    </w:p>
    <w:p w14:paraId="4AAFBE9B" w14:textId="77777777" w:rsidR="007968EC" w:rsidRPr="002C0D19" w:rsidRDefault="007968EC" w:rsidP="007968EC">
      <w:pPr>
        <w:jc w:val="center"/>
        <w:rPr>
          <w:rFonts w:ascii="Arial Narrow" w:hAnsi="Arial Narrow" w:cs="Arial"/>
          <w:b/>
          <w:color w:val="000000" w:themeColor="text1"/>
          <w:sz w:val="52"/>
          <w:szCs w:val="52"/>
          <w:lang w:val="es-ES" w:eastAsia="es-ES"/>
        </w:rPr>
      </w:pPr>
      <w:r w:rsidRPr="002C0D19">
        <w:rPr>
          <w:rFonts w:ascii="Arial Narrow" w:hAnsi="Arial Narrow" w:cs="Arial"/>
          <w:b/>
          <w:color w:val="000000" w:themeColor="text1"/>
          <w:sz w:val="52"/>
          <w:szCs w:val="52"/>
          <w:lang w:val="es-ES" w:eastAsia="es-ES"/>
        </w:rPr>
        <w:t>CIRCULAR ÚNICA</w:t>
      </w:r>
    </w:p>
    <w:p w14:paraId="53301341" w14:textId="77777777" w:rsidR="007968EC" w:rsidRPr="002C0D19" w:rsidRDefault="007968EC" w:rsidP="007968EC">
      <w:pPr>
        <w:jc w:val="center"/>
        <w:rPr>
          <w:rFonts w:ascii="Arial Narrow" w:hAnsi="Arial Narrow" w:cs="Arial"/>
          <w:b/>
          <w:color w:val="000000" w:themeColor="text1"/>
          <w:sz w:val="52"/>
          <w:szCs w:val="52"/>
          <w:lang w:val="es-ES" w:eastAsia="es-ES"/>
        </w:rPr>
      </w:pPr>
    </w:p>
    <w:p w14:paraId="765F815F" w14:textId="77777777" w:rsidR="007968EC" w:rsidRPr="002C0D19" w:rsidRDefault="007968EC" w:rsidP="007968EC">
      <w:pPr>
        <w:jc w:val="center"/>
        <w:rPr>
          <w:rFonts w:ascii="Arial Narrow" w:hAnsi="Arial Narrow" w:cs="Arial"/>
          <w:b/>
          <w:color w:val="000000" w:themeColor="text1"/>
          <w:sz w:val="52"/>
          <w:szCs w:val="52"/>
          <w:lang w:val="es-ES" w:eastAsia="es-ES"/>
        </w:rPr>
      </w:pPr>
    </w:p>
    <w:p w14:paraId="48F314C5" w14:textId="77777777" w:rsidR="007968EC" w:rsidRPr="002C0D19" w:rsidRDefault="007968EC" w:rsidP="007968EC">
      <w:pPr>
        <w:jc w:val="center"/>
        <w:rPr>
          <w:rFonts w:ascii="Arial Narrow" w:hAnsi="Arial Narrow" w:cs="Arial"/>
          <w:b/>
          <w:color w:val="000000" w:themeColor="text1"/>
          <w:sz w:val="52"/>
          <w:szCs w:val="52"/>
          <w:lang w:val="es-ES" w:eastAsia="es-ES"/>
        </w:rPr>
      </w:pPr>
    </w:p>
    <w:p w14:paraId="30709BC4" w14:textId="77777777" w:rsidR="007968EC" w:rsidRPr="002C0D19" w:rsidRDefault="007968EC" w:rsidP="007968EC">
      <w:pPr>
        <w:ind w:left="708" w:hanging="708"/>
        <w:jc w:val="center"/>
        <w:rPr>
          <w:rFonts w:ascii="Arial Narrow" w:hAnsi="Arial Narrow" w:cs="Arial"/>
          <w:b/>
          <w:color w:val="000000" w:themeColor="text1"/>
          <w:sz w:val="52"/>
          <w:szCs w:val="52"/>
          <w:lang w:val="es-ES" w:eastAsia="es-ES"/>
        </w:rPr>
      </w:pPr>
    </w:p>
    <w:p w14:paraId="6B146BA4" w14:textId="77777777" w:rsidR="007968EC" w:rsidRPr="002C0D19" w:rsidRDefault="007968EC" w:rsidP="007968EC">
      <w:pPr>
        <w:jc w:val="center"/>
        <w:rPr>
          <w:rFonts w:ascii="Arial Narrow" w:hAnsi="Arial Narrow" w:cs="Arial"/>
          <w:b/>
          <w:color w:val="000000" w:themeColor="text1"/>
          <w:sz w:val="52"/>
          <w:szCs w:val="52"/>
          <w:lang w:val="es-ES" w:eastAsia="es-ES"/>
        </w:rPr>
      </w:pPr>
    </w:p>
    <w:p w14:paraId="097270B0" w14:textId="77777777" w:rsidR="007968EC" w:rsidRPr="002C0D19" w:rsidRDefault="007968EC" w:rsidP="007968EC">
      <w:pPr>
        <w:jc w:val="center"/>
        <w:rPr>
          <w:rFonts w:ascii="Arial Narrow" w:hAnsi="Arial Narrow" w:cs="Arial"/>
          <w:b/>
          <w:color w:val="000000" w:themeColor="text1"/>
          <w:sz w:val="52"/>
          <w:szCs w:val="52"/>
          <w:lang w:val="es-ES" w:eastAsia="es-ES"/>
        </w:rPr>
      </w:pPr>
      <w:r w:rsidRPr="002C0D19">
        <w:rPr>
          <w:rFonts w:ascii="Arial Narrow" w:hAnsi="Arial Narrow" w:cs="Arial"/>
          <w:b/>
          <w:color w:val="000000" w:themeColor="text1"/>
          <w:sz w:val="52"/>
          <w:szCs w:val="52"/>
          <w:lang w:val="es-ES" w:eastAsia="es-ES"/>
        </w:rPr>
        <w:t>CÁMARA DE RIESGO CENTRAL DE CONTRAPARTE DE COLOMBIA S.A. - CRCC S.A.</w:t>
      </w:r>
    </w:p>
    <w:p w14:paraId="0659B807" w14:textId="77777777" w:rsidR="007968EC" w:rsidRPr="002C0D19" w:rsidRDefault="007968EC" w:rsidP="007968EC">
      <w:pPr>
        <w:jc w:val="center"/>
        <w:rPr>
          <w:rFonts w:ascii="Arial Narrow" w:hAnsi="Arial Narrow" w:cs="Arial"/>
          <w:b/>
          <w:color w:val="000000" w:themeColor="text1"/>
          <w:sz w:val="20"/>
          <w:szCs w:val="20"/>
          <w:lang w:val="es-ES" w:eastAsia="es-ES"/>
        </w:rPr>
      </w:pPr>
      <w:r w:rsidRPr="002C0D19">
        <w:rPr>
          <w:rFonts w:ascii="Arial Narrow" w:hAnsi="Arial Narrow" w:cs="Arial"/>
          <w:b/>
          <w:color w:val="000000" w:themeColor="text1"/>
          <w:sz w:val="20"/>
          <w:szCs w:val="20"/>
          <w:lang w:val="es-ES" w:eastAsia="es-ES"/>
        </w:rPr>
        <w:br w:type="page"/>
      </w:r>
    </w:p>
    <w:p w14:paraId="3AF59ED6" w14:textId="77777777" w:rsidR="007968EC" w:rsidRPr="002C0D19" w:rsidRDefault="007968EC" w:rsidP="007968EC">
      <w:pPr>
        <w:jc w:val="center"/>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lastRenderedPageBreak/>
        <w:t>TABLA DE CONTENIDO</w:t>
      </w:r>
    </w:p>
    <w:sdt>
      <w:sdtPr>
        <w:rPr>
          <w:lang w:val="es-ES"/>
        </w:rPr>
        <w:id w:val="2101521876"/>
        <w:docPartObj>
          <w:docPartGallery w:val="Table of Contents"/>
          <w:docPartUnique/>
        </w:docPartObj>
      </w:sdtPr>
      <w:sdtEndPr>
        <w:rPr>
          <w:b/>
          <w:bCs/>
        </w:rPr>
      </w:sdtEndPr>
      <w:sdtContent>
        <w:p w14:paraId="7BDB5DB7" w14:textId="77777777" w:rsidR="007968EC" w:rsidRPr="002C0D19" w:rsidRDefault="007968EC" w:rsidP="007968EC">
          <w:pPr>
            <w:keepNext/>
            <w:keepLines/>
            <w:spacing w:before="240"/>
            <w:rPr>
              <w:rFonts w:asciiTheme="majorHAnsi" w:eastAsiaTheme="majorEastAsia" w:hAnsiTheme="majorHAnsi" w:cstheme="majorBidi"/>
              <w:color w:val="2F5496" w:themeColor="accent1" w:themeShade="BF"/>
              <w:sz w:val="32"/>
              <w:szCs w:val="32"/>
              <w:lang w:eastAsia="es-CO"/>
            </w:rPr>
          </w:pPr>
        </w:p>
        <w:p w14:paraId="109AD96B" w14:textId="30CA1955" w:rsidR="00BD4DB7" w:rsidRDefault="007968EC">
          <w:pPr>
            <w:pStyle w:val="TDC1"/>
            <w:tabs>
              <w:tab w:val="right" w:leader="dot" w:pos="9396"/>
            </w:tabs>
            <w:rPr>
              <w:rFonts w:asciiTheme="minorHAnsi" w:eastAsiaTheme="minorEastAsia" w:hAnsiTheme="minorHAnsi" w:cstheme="minorBidi"/>
              <w:b w:val="0"/>
              <w:bCs w:val="0"/>
              <w:caps w:val="0"/>
              <w:noProof/>
              <w:sz w:val="22"/>
              <w:szCs w:val="22"/>
              <w:lang w:val="es-CO" w:eastAsia="es-CO"/>
            </w:rPr>
          </w:pPr>
          <w:r>
            <w:fldChar w:fldCharType="begin"/>
          </w:r>
          <w:r>
            <w:instrText xml:space="preserve"> TOC \h \z \t "TÍTULO;1;ARTICULO;2;CAPITULO;1" </w:instrText>
          </w:r>
          <w:r>
            <w:fldChar w:fldCharType="separate"/>
          </w:r>
          <w:hyperlink w:anchor="_Toc31715830" w:history="1">
            <w:r w:rsidR="00BD4DB7" w:rsidRPr="0089237F">
              <w:rPr>
                <w:rStyle w:val="Hipervnculo"/>
                <w:noProof/>
              </w:rPr>
              <w:t>PARTE I</w:t>
            </w:r>
            <w:r w:rsidR="00BD4DB7">
              <w:rPr>
                <w:noProof/>
                <w:webHidden/>
              </w:rPr>
              <w:tab/>
            </w:r>
            <w:r w:rsidR="00BD4DB7">
              <w:rPr>
                <w:noProof/>
                <w:webHidden/>
              </w:rPr>
              <w:fldChar w:fldCharType="begin"/>
            </w:r>
            <w:r w:rsidR="00BD4DB7">
              <w:rPr>
                <w:noProof/>
                <w:webHidden/>
              </w:rPr>
              <w:instrText xml:space="preserve"> PAGEREF _Toc31715830 \h </w:instrText>
            </w:r>
            <w:r w:rsidR="00BD4DB7">
              <w:rPr>
                <w:noProof/>
                <w:webHidden/>
              </w:rPr>
            </w:r>
            <w:r w:rsidR="00BD4DB7">
              <w:rPr>
                <w:noProof/>
                <w:webHidden/>
              </w:rPr>
              <w:fldChar w:fldCharType="separate"/>
            </w:r>
            <w:r w:rsidR="00BD4DB7">
              <w:rPr>
                <w:noProof/>
                <w:webHidden/>
              </w:rPr>
              <w:t>28</w:t>
            </w:r>
            <w:r w:rsidR="00BD4DB7">
              <w:rPr>
                <w:noProof/>
                <w:webHidden/>
              </w:rPr>
              <w:fldChar w:fldCharType="end"/>
            </w:r>
          </w:hyperlink>
        </w:p>
        <w:p w14:paraId="1F93A2CF" w14:textId="645C6FCF"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831" w:history="1">
            <w:r w:rsidR="00BD4DB7" w:rsidRPr="0089237F">
              <w:rPr>
                <w:rStyle w:val="Hipervnculo"/>
                <w:noProof/>
              </w:rPr>
              <w:t>TÍTULO PRIMERO</w:t>
            </w:r>
            <w:r w:rsidR="00BD4DB7">
              <w:rPr>
                <w:noProof/>
                <w:webHidden/>
              </w:rPr>
              <w:tab/>
            </w:r>
            <w:r w:rsidR="00BD4DB7">
              <w:rPr>
                <w:noProof/>
                <w:webHidden/>
              </w:rPr>
              <w:fldChar w:fldCharType="begin"/>
            </w:r>
            <w:r w:rsidR="00BD4DB7">
              <w:rPr>
                <w:noProof/>
                <w:webHidden/>
              </w:rPr>
              <w:instrText xml:space="preserve"> PAGEREF _Toc31715831 \h </w:instrText>
            </w:r>
            <w:r w:rsidR="00BD4DB7">
              <w:rPr>
                <w:noProof/>
                <w:webHidden/>
              </w:rPr>
            </w:r>
            <w:r w:rsidR="00BD4DB7">
              <w:rPr>
                <w:noProof/>
                <w:webHidden/>
              </w:rPr>
              <w:fldChar w:fldCharType="separate"/>
            </w:r>
            <w:r w:rsidR="00BD4DB7">
              <w:rPr>
                <w:noProof/>
                <w:webHidden/>
              </w:rPr>
              <w:t>28</w:t>
            </w:r>
            <w:r w:rsidR="00BD4DB7">
              <w:rPr>
                <w:noProof/>
                <w:webHidden/>
              </w:rPr>
              <w:fldChar w:fldCharType="end"/>
            </w:r>
          </w:hyperlink>
        </w:p>
        <w:p w14:paraId="7DD996DE" w14:textId="34D16CAC"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832" w:history="1">
            <w:r w:rsidR="00BD4DB7" w:rsidRPr="0089237F">
              <w:rPr>
                <w:rStyle w:val="Hipervnculo"/>
                <w:noProof/>
              </w:rPr>
              <w:t>DISPOSICIONES GENERALES</w:t>
            </w:r>
            <w:r w:rsidR="00BD4DB7">
              <w:rPr>
                <w:noProof/>
                <w:webHidden/>
              </w:rPr>
              <w:tab/>
            </w:r>
            <w:r w:rsidR="00BD4DB7">
              <w:rPr>
                <w:noProof/>
                <w:webHidden/>
              </w:rPr>
              <w:fldChar w:fldCharType="begin"/>
            </w:r>
            <w:r w:rsidR="00BD4DB7">
              <w:rPr>
                <w:noProof/>
                <w:webHidden/>
              </w:rPr>
              <w:instrText xml:space="preserve"> PAGEREF _Toc31715832 \h </w:instrText>
            </w:r>
            <w:r w:rsidR="00BD4DB7">
              <w:rPr>
                <w:noProof/>
                <w:webHidden/>
              </w:rPr>
            </w:r>
            <w:r w:rsidR="00BD4DB7">
              <w:rPr>
                <w:noProof/>
                <w:webHidden/>
              </w:rPr>
              <w:fldChar w:fldCharType="separate"/>
            </w:r>
            <w:r w:rsidR="00BD4DB7">
              <w:rPr>
                <w:noProof/>
                <w:webHidden/>
              </w:rPr>
              <w:t>28</w:t>
            </w:r>
            <w:r w:rsidR="00BD4DB7">
              <w:rPr>
                <w:noProof/>
                <w:webHidden/>
              </w:rPr>
              <w:fldChar w:fldCharType="end"/>
            </w:r>
          </w:hyperlink>
        </w:p>
        <w:p w14:paraId="1F7DC148" w14:textId="12349FAD"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833" w:history="1">
            <w:r w:rsidR="00BD4DB7" w:rsidRPr="0089237F">
              <w:rPr>
                <w:rStyle w:val="Hipervnculo"/>
                <w:noProof/>
              </w:rPr>
              <w:t>CAPÍTULO PRIMERO</w:t>
            </w:r>
            <w:r w:rsidR="00BD4DB7">
              <w:rPr>
                <w:noProof/>
                <w:webHidden/>
              </w:rPr>
              <w:tab/>
            </w:r>
            <w:r w:rsidR="00BD4DB7">
              <w:rPr>
                <w:noProof/>
                <w:webHidden/>
              </w:rPr>
              <w:fldChar w:fldCharType="begin"/>
            </w:r>
            <w:r w:rsidR="00BD4DB7">
              <w:rPr>
                <w:noProof/>
                <w:webHidden/>
              </w:rPr>
              <w:instrText xml:space="preserve"> PAGEREF _Toc31715833 \h </w:instrText>
            </w:r>
            <w:r w:rsidR="00BD4DB7">
              <w:rPr>
                <w:noProof/>
                <w:webHidden/>
              </w:rPr>
            </w:r>
            <w:r w:rsidR="00BD4DB7">
              <w:rPr>
                <w:noProof/>
                <w:webHidden/>
              </w:rPr>
              <w:fldChar w:fldCharType="separate"/>
            </w:r>
            <w:r w:rsidR="00BD4DB7">
              <w:rPr>
                <w:noProof/>
                <w:webHidden/>
              </w:rPr>
              <w:t>28</w:t>
            </w:r>
            <w:r w:rsidR="00BD4DB7">
              <w:rPr>
                <w:noProof/>
                <w:webHidden/>
              </w:rPr>
              <w:fldChar w:fldCharType="end"/>
            </w:r>
          </w:hyperlink>
        </w:p>
        <w:p w14:paraId="366C99BC" w14:textId="6692BBCC"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834" w:history="1">
            <w:r w:rsidR="00BD4DB7" w:rsidRPr="0089237F">
              <w:rPr>
                <w:rStyle w:val="Hipervnculo"/>
                <w:noProof/>
              </w:rPr>
              <w:t>OBJETO Y DEFINICIONES</w:t>
            </w:r>
            <w:r w:rsidR="00BD4DB7">
              <w:rPr>
                <w:noProof/>
                <w:webHidden/>
              </w:rPr>
              <w:tab/>
            </w:r>
            <w:r w:rsidR="00BD4DB7">
              <w:rPr>
                <w:noProof/>
                <w:webHidden/>
              </w:rPr>
              <w:fldChar w:fldCharType="begin"/>
            </w:r>
            <w:r w:rsidR="00BD4DB7">
              <w:rPr>
                <w:noProof/>
                <w:webHidden/>
              </w:rPr>
              <w:instrText xml:space="preserve"> PAGEREF _Toc31715834 \h </w:instrText>
            </w:r>
            <w:r w:rsidR="00BD4DB7">
              <w:rPr>
                <w:noProof/>
                <w:webHidden/>
              </w:rPr>
            </w:r>
            <w:r w:rsidR="00BD4DB7">
              <w:rPr>
                <w:noProof/>
                <w:webHidden/>
              </w:rPr>
              <w:fldChar w:fldCharType="separate"/>
            </w:r>
            <w:r w:rsidR="00BD4DB7">
              <w:rPr>
                <w:noProof/>
                <w:webHidden/>
              </w:rPr>
              <w:t>28</w:t>
            </w:r>
            <w:r w:rsidR="00BD4DB7">
              <w:rPr>
                <w:noProof/>
                <w:webHidden/>
              </w:rPr>
              <w:fldChar w:fldCharType="end"/>
            </w:r>
          </w:hyperlink>
        </w:p>
        <w:p w14:paraId="7F528C12" w14:textId="1A89BDC7"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35" w:history="1">
            <w:r w:rsidR="00BD4DB7" w:rsidRPr="0089237F">
              <w:rPr>
                <w:rStyle w:val="Hipervnculo"/>
                <w:noProof/>
              </w:rPr>
              <w:t>Artículo 1.1.1.1. Objeto.</w:t>
            </w:r>
            <w:r w:rsidR="00BD4DB7">
              <w:rPr>
                <w:noProof/>
                <w:webHidden/>
              </w:rPr>
              <w:tab/>
            </w:r>
            <w:r w:rsidR="00BD4DB7">
              <w:rPr>
                <w:noProof/>
                <w:webHidden/>
              </w:rPr>
              <w:fldChar w:fldCharType="begin"/>
            </w:r>
            <w:r w:rsidR="00BD4DB7">
              <w:rPr>
                <w:noProof/>
                <w:webHidden/>
              </w:rPr>
              <w:instrText xml:space="preserve"> PAGEREF _Toc31715835 \h </w:instrText>
            </w:r>
            <w:r w:rsidR="00BD4DB7">
              <w:rPr>
                <w:noProof/>
                <w:webHidden/>
              </w:rPr>
            </w:r>
            <w:r w:rsidR="00BD4DB7">
              <w:rPr>
                <w:noProof/>
                <w:webHidden/>
              </w:rPr>
              <w:fldChar w:fldCharType="separate"/>
            </w:r>
            <w:r w:rsidR="00BD4DB7">
              <w:rPr>
                <w:noProof/>
                <w:webHidden/>
              </w:rPr>
              <w:t>28</w:t>
            </w:r>
            <w:r w:rsidR="00BD4DB7">
              <w:rPr>
                <w:noProof/>
                <w:webHidden/>
              </w:rPr>
              <w:fldChar w:fldCharType="end"/>
            </w:r>
          </w:hyperlink>
        </w:p>
        <w:p w14:paraId="1CD49962" w14:textId="3E01D974"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36" w:history="1">
            <w:r w:rsidR="00BD4DB7" w:rsidRPr="0089237F">
              <w:rPr>
                <w:rStyle w:val="Hipervnculo"/>
                <w:noProof/>
              </w:rPr>
              <w:t>Artículo 1.1.1.2. Definiciones.</w:t>
            </w:r>
            <w:r w:rsidR="00BD4DB7">
              <w:rPr>
                <w:noProof/>
                <w:webHidden/>
              </w:rPr>
              <w:tab/>
            </w:r>
            <w:r w:rsidR="00BD4DB7">
              <w:rPr>
                <w:noProof/>
                <w:webHidden/>
              </w:rPr>
              <w:fldChar w:fldCharType="begin"/>
            </w:r>
            <w:r w:rsidR="00BD4DB7">
              <w:rPr>
                <w:noProof/>
                <w:webHidden/>
              </w:rPr>
              <w:instrText xml:space="preserve"> PAGEREF _Toc31715836 \h </w:instrText>
            </w:r>
            <w:r w:rsidR="00BD4DB7">
              <w:rPr>
                <w:noProof/>
                <w:webHidden/>
              </w:rPr>
            </w:r>
            <w:r w:rsidR="00BD4DB7">
              <w:rPr>
                <w:noProof/>
                <w:webHidden/>
              </w:rPr>
              <w:fldChar w:fldCharType="separate"/>
            </w:r>
            <w:r w:rsidR="00BD4DB7">
              <w:rPr>
                <w:noProof/>
                <w:webHidden/>
              </w:rPr>
              <w:t>28</w:t>
            </w:r>
            <w:r w:rsidR="00BD4DB7">
              <w:rPr>
                <w:noProof/>
                <w:webHidden/>
              </w:rPr>
              <w:fldChar w:fldCharType="end"/>
            </w:r>
          </w:hyperlink>
        </w:p>
        <w:p w14:paraId="230D0E68" w14:textId="4EE75C79"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837" w:history="1">
            <w:r w:rsidR="00BD4DB7" w:rsidRPr="0089237F">
              <w:rPr>
                <w:rStyle w:val="Hipervnculo"/>
                <w:noProof/>
              </w:rPr>
              <w:t>CAPÍTULO SEGUNDO</w:t>
            </w:r>
            <w:r w:rsidR="00BD4DB7">
              <w:rPr>
                <w:noProof/>
                <w:webHidden/>
              </w:rPr>
              <w:tab/>
            </w:r>
            <w:r w:rsidR="00BD4DB7">
              <w:rPr>
                <w:noProof/>
                <w:webHidden/>
              </w:rPr>
              <w:fldChar w:fldCharType="begin"/>
            </w:r>
            <w:r w:rsidR="00BD4DB7">
              <w:rPr>
                <w:noProof/>
                <w:webHidden/>
              </w:rPr>
              <w:instrText xml:space="preserve"> PAGEREF _Toc31715837 \h </w:instrText>
            </w:r>
            <w:r w:rsidR="00BD4DB7">
              <w:rPr>
                <w:noProof/>
                <w:webHidden/>
              </w:rPr>
            </w:r>
            <w:r w:rsidR="00BD4DB7">
              <w:rPr>
                <w:noProof/>
                <w:webHidden/>
              </w:rPr>
              <w:fldChar w:fldCharType="separate"/>
            </w:r>
            <w:r w:rsidR="00BD4DB7">
              <w:rPr>
                <w:noProof/>
                <w:webHidden/>
              </w:rPr>
              <w:t>45</w:t>
            </w:r>
            <w:r w:rsidR="00BD4DB7">
              <w:rPr>
                <w:noProof/>
                <w:webHidden/>
              </w:rPr>
              <w:fldChar w:fldCharType="end"/>
            </w:r>
          </w:hyperlink>
        </w:p>
        <w:p w14:paraId="46EE8266" w14:textId="41353DAE"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838" w:history="1">
            <w:r w:rsidR="00BD4DB7" w:rsidRPr="0089237F">
              <w:rPr>
                <w:rStyle w:val="Hipervnculo"/>
                <w:noProof/>
              </w:rPr>
              <w:t>SEGMENTOS</w:t>
            </w:r>
            <w:r w:rsidR="00BD4DB7">
              <w:rPr>
                <w:noProof/>
                <w:webHidden/>
              </w:rPr>
              <w:tab/>
            </w:r>
            <w:r w:rsidR="00BD4DB7">
              <w:rPr>
                <w:noProof/>
                <w:webHidden/>
              </w:rPr>
              <w:fldChar w:fldCharType="begin"/>
            </w:r>
            <w:r w:rsidR="00BD4DB7">
              <w:rPr>
                <w:noProof/>
                <w:webHidden/>
              </w:rPr>
              <w:instrText xml:space="preserve"> PAGEREF _Toc31715838 \h </w:instrText>
            </w:r>
            <w:r w:rsidR="00BD4DB7">
              <w:rPr>
                <w:noProof/>
                <w:webHidden/>
              </w:rPr>
            </w:r>
            <w:r w:rsidR="00BD4DB7">
              <w:rPr>
                <w:noProof/>
                <w:webHidden/>
              </w:rPr>
              <w:fldChar w:fldCharType="separate"/>
            </w:r>
            <w:r w:rsidR="00BD4DB7">
              <w:rPr>
                <w:noProof/>
                <w:webHidden/>
              </w:rPr>
              <w:t>45</w:t>
            </w:r>
            <w:r w:rsidR="00BD4DB7">
              <w:rPr>
                <w:noProof/>
                <w:webHidden/>
              </w:rPr>
              <w:fldChar w:fldCharType="end"/>
            </w:r>
          </w:hyperlink>
        </w:p>
        <w:p w14:paraId="470D5BFF" w14:textId="56C27D9A"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39" w:history="1">
            <w:r w:rsidR="00BD4DB7" w:rsidRPr="0089237F">
              <w:rPr>
                <w:rStyle w:val="Hipervnculo"/>
                <w:noProof/>
              </w:rPr>
              <w:t>Artículo 1.1.2.1. Segmentos.</w:t>
            </w:r>
            <w:r w:rsidR="00BD4DB7">
              <w:rPr>
                <w:noProof/>
                <w:webHidden/>
              </w:rPr>
              <w:tab/>
            </w:r>
            <w:r w:rsidR="00BD4DB7">
              <w:rPr>
                <w:noProof/>
                <w:webHidden/>
              </w:rPr>
              <w:fldChar w:fldCharType="begin"/>
            </w:r>
            <w:r w:rsidR="00BD4DB7">
              <w:rPr>
                <w:noProof/>
                <w:webHidden/>
              </w:rPr>
              <w:instrText xml:space="preserve"> PAGEREF _Toc31715839 \h </w:instrText>
            </w:r>
            <w:r w:rsidR="00BD4DB7">
              <w:rPr>
                <w:noProof/>
                <w:webHidden/>
              </w:rPr>
            </w:r>
            <w:r w:rsidR="00BD4DB7">
              <w:rPr>
                <w:noProof/>
                <w:webHidden/>
              </w:rPr>
              <w:fldChar w:fldCharType="separate"/>
            </w:r>
            <w:r w:rsidR="00BD4DB7">
              <w:rPr>
                <w:noProof/>
                <w:webHidden/>
              </w:rPr>
              <w:t>45</w:t>
            </w:r>
            <w:r w:rsidR="00BD4DB7">
              <w:rPr>
                <w:noProof/>
                <w:webHidden/>
              </w:rPr>
              <w:fldChar w:fldCharType="end"/>
            </w:r>
          </w:hyperlink>
        </w:p>
        <w:p w14:paraId="668F106A" w14:textId="5BDCCC29"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40" w:history="1">
            <w:r w:rsidR="00BD4DB7" w:rsidRPr="0089237F">
              <w:rPr>
                <w:rStyle w:val="Hipervnculo"/>
                <w:noProof/>
              </w:rPr>
              <w:t>Artículo 1.1.2.2. Segmentos de la Cámara y criterios de agrupación empleados.</w:t>
            </w:r>
            <w:r w:rsidR="00BD4DB7">
              <w:rPr>
                <w:noProof/>
                <w:webHidden/>
              </w:rPr>
              <w:tab/>
            </w:r>
            <w:r w:rsidR="00BD4DB7">
              <w:rPr>
                <w:noProof/>
                <w:webHidden/>
              </w:rPr>
              <w:fldChar w:fldCharType="begin"/>
            </w:r>
            <w:r w:rsidR="00BD4DB7">
              <w:rPr>
                <w:noProof/>
                <w:webHidden/>
              </w:rPr>
              <w:instrText xml:space="preserve"> PAGEREF _Toc31715840 \h </w:instrText>
            </w:r>
            <w:r w:rsidR="00BD4DB7">
              <w:rPr>
                <w:noProof/>
                <w:webHidden/>
              </w:rPr>
            </w:r>
            <w:r w:rsidR="00BD4DB7">
              <w:rPr>
                <w:noProof/>
                <w:webHidden/>
              </w:rPr>
              <w:fldChar w:fldCharType="separate"/>
            </w:r>
            <w:r w:rsidR="00BD4DB7">
              <w:rPr>
                <w:noProof/>
                <w:webHidden/>
              </w:rPr>
              <w:t>46</w:t>
            </w:r>
            <w:r w:rsidR="00BD4DB7">
              <w:rPr>
                <w:noProof/>
                <w:webHidden/>
              </w:rPr>
              <w:fldChar w:fldCharType="end"/>
            </w:r>
          </w:hyperlink>
        </w:p>
        <w:p w14:paraId="197596FD" w14:textId="4DD4607B"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41" w:history="1">
            <w:r w:rsidR="00BD4DB7" w:rsidRPr="0089237F">
              <w:rPr>
                <w:rStyle w:val="Hipervnculo"/>
                <w:noProof/>
              </w:rPr>
              <w:t>Artículo 1.1.2.3. Cese de actividades respecto de un Segmento.</w:t>
            </w:r>
            <w:r w:rsidR="00BD4DB7">
              <w:rPr>
                <w:noProof/>
                <w:webHidden/>
              </w:rPr>
              <w:tab/>
            </w:r>
            <w:r w:rsidR="00BD4DB7">
              <w:rPr>
                <w:noProof/>
                <w:webHidden/>
              </w:rPr>
              <w:fldChar w:fldCharType="begin"/>
            </w:r>
            <w:r w:rsidR="00BD4DB7">
              <w:rPr>
                <w:noProof/>
                <w:webHidden/>
              </w:rPr>
              <w:instrText xml:space="preserve"> PAGEREF _Toc31715841 \h </w:instrText>
            </w:r>
            <w:r w:rsidR="00BD4DB7">
              <w:rPr>
                <w:noProof/>
                <w:webHidden/>
              </w:rPr>
            </w:r>
            <w:r w:rsidR="00BD4DB7">
              <w:rPr>
                <w:noProof/>
                <w:webHidden/>
              </w:rPr>
              <w:fldChar w:fldCharType="separate"/>
            </w:r>
            <w:r w:rsidR="00BD4DB7">
              <w:rPr>
                <w:noProof/>
                <w:webHidden/>
              </w:rPr>
              <w:t>49</w:t>
            </w:r>
            <w:r w:rsidR="00BD4DB7">
              <w:rPr>
                <w:noProof/>
                <w:webHidden/>
              </w:rPr>
              <w:fldChar w:fldCharType="end"/>
            </w:r>
          </w:hyperlink>
        </w:p>
        <w:p w14:paraId="4F2E31A4" w14:textId="6947876C"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42" w:history="1">
            <w:r w:rsidR="00BD4DB7" w:rsidRPr="0089237F">
              <w:rPr>
                <w:rStyle w:val="Hipervnculo"/>
                <w:noProof/>
              </w:rPr>
              <w:t>Artículo 1.1.2.4. Transitorio.</w:t>
            </w:r>
            <w:r w:rsidR="00BD4DB7">
              <w:rPr>
                <w:noProof/>
                <w:webHidden/>
              </w:rPr>
              <w:tab/>
            </w:r>
            <w:r w:rsidR="00BD4DB7">
              <w:rPr>
                <w:noProof/>
                <w:webHidden/>
              </w:rPr>
              <w:fldChar w:fldCharType="begin"/>
            </w:r>
            <w:r w:rsidR="00BD4DB7">
              <w:rPr>
                <w:noProof/>
                <w:webHidden/>
              </w:rPr>
              <w:instrText xml:space="preserve"> PAGEREF _Toc31715842 \h </w:instrText>
            </w:r>
            <w:r w:rsidR="00BD4DB7">
              <w:rPr>
                <w:noProof/>
                <w:webHidden/>
              </w:rPr>
            </w:r>
            <w:r w:rsidR="00BD4DB7">
              <w:rPr>
                <w:noProof/>
                <w:webHidden/>
              </w:rPr>
              <w:fldChar w:fldCharType="separate"/>
            </w:r>
            <w:r w:rsidR="00BD4DB7">
              <w:rPr>
                <w:noProof/>
                <w:webHidden/>
              </w:rPr>
              <w:t>49</w:t>
            </w:r>
            <w:r w:rsidR="00BD4DB7">
              <w:rPr>
                <w:noProof/>
                <w:webHidden/>
              </w:rPr>
              <w:fldChar w:fldCharType="end"/>
            </w:r>
          </w:hyperlink>
        </w:p>
        <w:p w14:paraId="3A33303A" w14:textId="79646D1C"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843" w:history="1">
            <w:r w:rsidR="00BD4DB7" w:rsidRPr="0089237F">
              <w:rPr>
                <w:rStyle w:val="Hipervnculo"/>
                <w:noProof/>
              </w:rPr>
              <w:t>TÍTULO SEGUNDO</w:t>
            </w:r>
            <w:r w:rsidR="00BD4DB7">
              <w:rPr>
                <w:noProof/>
                <w:webHidden/>
              </w:rPr>
              <w:tab/>
            </w:r>
            <w:r w:rsidR="00BD4DB7">
              <w:rPr>
                <w:noProof/>
                <w:webHidden/>
              </w:rPr>
              <w:fldChar w:fldCharType="begin"/>
            </w:r>
            <w:r w:rsidR="00BD4DB7">
              <w:rPr>
                <w:noProof/>
                <w:webHidden/>
              </w:rPr>
              <w:instrText xml:space="preserve"> PAGEREF _Toc31715843 \h </w:instrText>
            </w:r>
            <w:r w:rsidR="00BD4DB7">
              <w:rPr>
                <w:noProof/>
                <w:webHidden/>
              </w:rPr>
            </w:r>
            <w:r w:rsidR="00BD4DB7">
              <w:rPr>
                <w:noProof/>
                <w:webHidden/>
              </w:rPr>
              <w:fldChar w:fldCharType="separate"/>
            </w:r>
            <w:r w:rsidR="00BD4DB7">
              <w:rPr>
                <w:noProof/>
                <w:webHidden/>
              </w:rPr>
              <w:t>49</w:t>
            </w:r>
            <w:r w:rsidR="00BD4DB7">
              <w:rPr>
                <w:noProof/>
                <w:webHidden/>
              </w:rPr>
              <w:fldChar w:fldCharType="end"/>
            </w:r>
          </w:hyperlink>
        </w:p>
        <w:p w14:paraId="58CDFE21" w14:textId="33BE70A9"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844" w:history="1">
            <w:r w:rsidR="00BD4DB7" w:rsidRPr="0089237F">
              <w:rPr>
                <w:rStyle w:val="Hipervnculo"/>
                <w:noProof/>
              </w:rPr>
              <w:t>MIEMBROS DE LA CÁMARA, AGENTES, TERCEROS Y ACCESO AL SISTEMA</w:t>
            </w:r>
            <w:r w:rsidR="00BD4DB7">
              <w:rPr>
                <w:noProof/>
                <w:webHidden/>
              </w:rPr>
              <w:tab/>
            </w:r>
            <w:r w:rsidR="00BD4DB7">
              <w:rPr>
                <w:noProof/>
                <w:webHidden/>
              </w:rPr>
              <w:fldChar w:fldCharType="begin"/>
            </w:r>
            <w:r w:rsidR="00BD4DB7">
              <w:rPr>
                <w:noProof/>
                <w:webHidden/>
              </w:rPr>
              <w:instrText xml:space="preserve"> PAGEREF _Toc31715844 \h </w:instrText>
            </w:r>
            <w:r w:rsidR="00BD4DB7">
              <w:rPr>
                <w:noProof/>
                <w:webHidden/>
              </w:rPr>
            </w:r>
            <w:r w:rsidR="00BD4DB7">
              <w:rPr>
                <w:noProof/>
                <w:webHidden/>
              </w:rPr>
              <w:fldChar w:fldCharType="separate"/>
            </w:r>
            <w:r w:rsidR="00BD4DB7">
              <w:rPr>
                <w:noProof/>
                <w:webHidden/>
              </w:rPr>
              <w:t>49</w:t>
            </w:r>
            <w:r w:rsidR="00BD4DB7">
              <w:rPr>
                <w:noProof/>
                <w:webHidden/>
              </w:rPr>
              <w:fldChar w:fldCharType="end"/>
            </w:r>
          </w:hyperlink>
        </w:p>
        <w:p w14:paraId="719B28C1" w14:textId="64A149CB"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845" w:history="1">
            <w:r w:rsidR="00BD4DB7" w:rsidRPr="0089237F">
              <w:rPr>
                <w:rStyle w:val="Hipervnculo"/>
                <w:noProof/>
              </w:rPr>
              <w:t>CAPÍTULO PRIMERO</w:t>
            </w:r>
            <w:r w:rsidR="00BD4DB7">
              <w:rPr>
                <w:noProof/>
                <w:webHidden/>
              </w:rPr>
              <w:tab/>
            </w:r>
            <w:r w:rsidR="00BD4DB7">
              <w:rPr>
                <w:noProof/>
                <w:webHidden/>
              </w:rPr>
              <w:fldChar w:fldCharType="begin"/>
            </w:r>
            <w:r w:rsidR="00BD4DB7">
              <w:rPr>
                <w:noProof/>
                <w:webHidden/>
              </w:rPr>
              <w:instrText xml:space="preserve"> PAGEREF _Toc31715845 \h </w:instrText>
            </w:r>
            <w:r w:rsidR="00BD4DB7">
              <w:rPr>
                <w:noProof/>
                <w:webHidden/>
              </w:rPr>
            </w:r>
            <w:r w:rsidR="00BD4DB7">
              <w:rPr>
                <w:noProof/>
                <w:webHidden/>
              </w:rPr>
              <w:fldChar w:fldCharType="separate"/>
            </w:r>
            <w:r w:rsidR="00BD4DB7">
              <w:rPr>
                <w:noProof/>
                <w:webHidden/>
              </w:rPr>
              <w:t>49</w:t>
            </w:r>
            <w:r w:rsidR="00BD4DB7">
              <w:rPr>
                <w:noProof/>
                <w:webHidden/>
              </w:rPr>
              <w:fldChar w:fldCharType="end"/>
            </w:r>
          </w:hyperlink>
        </w:p>
        <w:p w14:paraId="68775C1D" w14:textId="335DA7FC"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846" w:history="1">
            <w:r w:rsidR="00BD4DB7" w:rsidRPr="0089237F">
              <w:rPr>
                <w:rStyle w:val="Hipervnculo"/>
                <w:noProof/>
              </w:rPr>
              <w:t>REQUISITOS DE VINCULACIÓN, MODIFICACIÓN Y PERMANENCIA DE LOS MIEMBROS</w:t>
            </w:r>
            <w:r w:rsidR="00BD4DB7">
              <w:rPr>
                <w:noProof/>
                <w:webHidden/>
              </w:rPr>
              <w:tab/>
            </w:r>
            <w:r w:rsidR="00BD4DB7">
              <w:rPr>
                <w:noProof/>
                <w:webHidden/>
              </w:rPr>
              <w:fldChar w:fldCharType="begin"/>
            </w:r>
            <w:r w:rsidR="00BD4DB7">
              <w:rPr>
                <w:noProof/>
                <w:webHidden/>
              </w:rPr>
              <w:instrText xml:space="preserve"> PAGEREF _Toc31715846 \h </w:instrText>
            </w:r>
            <w:r w:rsidR="00BD4DB7">
              <w:rPr>
                <w:noProof/>
                <w:webHidden/>
              </w:rPr>
            </w:r>
            <w:r w:rsidR="00BD4DB7">
              <w:rPr>
                <w:noProof/>
                <w:webHidden/>
              </w:rPr>
              <w:fldChar w:fldCharType="separate"/>
            </w:r>
            <w:r w:rsidR="00BD4DB7">
              <w:rPr>
                <w:noProof/>
                <w:webHidden/>
              </w:rPr>
              <w:t>49</w:t>
            </w:r>
            <w:r w:rsidR="00BD4DB7">
              <w:rPr>
                <w:noProof/>
                <w:webHidden/>
              </w:rPr>
              <w:fldChar w:fldCharType="end"/>
            </w:r>
          </w:hyperlink>
        </w:p>
        <w:p w14:paraId="4615A2DF" w14:textId="07E773E1"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47" w:history="1">
            <w:r w:rsidR="00BD4DB7" w:rsidRPr="0089237F">
              <w:rPr>
                <w:rStyle w:val="Hipervnculo"/>
                <w:noProof/>
              </w:rPr>
              <w:t>Artículo 1.2.1.1. Documentos para solicitar la admisión como Miembro.</w:t>
            </w:r>
            <w:r w:rsidR="00BD4DB7">
              <w:rPr>
                <w:noProof/>
                <w:webHidden/>
              </w:rPr>
              <w:tab/>
            </w:r>
            <w:r w:rsidR="00BD4DB7">
              <w:rPr>
                <w:noProof/>
                <w:webHidden/>
              </w:rPr>
              <w:fldChar w:fldCharType="begin"/>
            </w:r>
            <w:r w:rsidR="00BD4DB7">
              <w:rPr>
                <w:noProof/>
                <w:webHidden/>
              </w:rPr>
              <w:instrText xml:space="preserve"> PAGEREF _Toc31715847 \h </w:instrText>
            </w:r>
            <w:r w:rsidR="00BD4DB7">
              <w:rPr>
                <w:noProof/>
                <w:webHidden/>
              </w:rPr>
            </w:r>
            <w:r w:rsidR="00BD4DB7">
              <w:rPr>
                <w:noProof/>
                <w:webHidden/>
              </w:rPr>
              <w:fldChar w:fldCharType="separate"/>
            </w:r>
            <w:r w:rsidR="00BD4DB7">
              <w:rPr>
                <w:noProof/>
                <w:webHidden/>
              </w:rPr>
              <w:t>49</w:t>
            </w:r>
            <w:r w:rsidR="00BD4DB7">
              <w:rPr>
                <w:noProof/>
                <w:webHidden/>
              </w:rPr>
              <w:fldChar w:fldCharType="end"/>
            </w:r>
          </w:hyperlink>
        </w:p>
        <w:p w14:paraId="471612CA" w14:textId="12265AA8"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48" w:history="1">
            <w:r w:rsidR="00BD4DB7" w:rsidRPr="0089237F">
              <w:rPr>
                <w:rStyle w:val="Hipervnculo"/>
                <w:noProof/>
              </w:rPr>
              <w:t>Artículo 1.2.1.2. Requisito de patrimonio técnico para el Miembro Liquidador General.</w:t>
            </w:r>
            <w:r w:rsidR="00BD4DB7">
              <w:rPr>
                <w:noProof/>
                <w:webHidden/>
              </w:rPr>
              <w:tab/>
            </w:r>
            <w:r w:rsidR="00BD4DB7">
              <w:rPr>
                <w:noProof/>
                <w:webHidden/>
              </w:rPr>
              <w:fldChar w:fldCharType="begin"/>
            </w:r>
            <w:r w:rsidR="00BD4DB7">
              <w:rPr>
                <w:noProof/>
                <w:webHidden/>
              </w:rPr>
              <w:instrText xml:space="preserve"> PAGEREF _Toc31715848 \h </w:instrText>
            </w:r>
            <w:r w:rsidR="00BD4DB7">
              <w:rPr>
                <w:noProof/>
                <w:webHidden/>
              </w:rPr>
            </w:r>
            <w:r w:rsidR="00BD4DB7">
              <w:rPr>
                <w:noProof/>
                <w:webHidden/>
              </w:rPr>
              <w:fldChar w:fldCharType="separate"/>
            </w:r>
            <w:r w:rsidR="00BD4DB7">
              <w:rPr>
                <w:noProof/>
                <w:webHidden/>
              </w:rPr>
              <w:t>52</w:t>
            </w:r>
            <w:r w:rsidR="00BD4DB7">
              <w:rPr>
                <w:noProof/>
                <w:webHidden/>
              </w:rPr>
              <w:fldChar w:fldCharType="end"/>
            </w:r>
          </w:hyperlink>
        </w:p>
        <w:p w14:paraId="34DB97B1" w14:textId="4DB662B2"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49" w:history="1">
            <w:r w:rsidR="00BD4DB7" w:rsidRPr="0089237F">
              <w:rPr>
                <w:rStyle w:val="Hipervnculo"/>
                <w:noProof/>
              </w:rPr>
              <w:t>Artículo 1.2.1.3. Requisito de patrimonio técnico para el Miembro Liquidador Individual.</w:t>
            </w:r>
            <w:r w:rsidR="00BD4DB7">
              <w:rPr>
                <w:noProof/>
                <w:webHidden/>
              </w:rPr>
              <w:tab/>
            </w:r>
            <w:r w:rsidR="00BD4DB7">
              <w:rPr>
                <w:noProof/>
                <w:webHidden/>
              </w:rPr>
              <w:fldChar w:fldCharType="begin"/>
            </w:r>
            <w:r w:rsidR="00BD4DB7">
              <w:rPr>
                <w:noProof/>
                <w:webHidden/>
              </w:rPr>
              <w:instrText xml:space="preserve"> PAGEREF _Toc31715849 \h </w:instrText>
            </w:r>
            <w:r w:rsidR="00BD4DB7">
              <w:rPr>
                <w:noProof/>
                <w:webHidden/>
              </w:rPr>
            </w:r>
            <w:r w:rsidR="00BD4DB7">
              <w:rPr>
                <w:noProof/>
                <w:webHidden/>
              </w:rPr>
              <w:fldChar w:fldCharType="separate"/>
            </w:r>
            <w:r w:rsidR="00BD4DB7">
              <w:rPr>
                <w:noProof/>
                <w:webHidden/>
              </w:rPr>
              <w:t>53</w:t>
            </w:r>
            <w:r w:rsidR="00BD4DB7">
              <w:rPr>
                <w:noProof/>
                <w:webHidden/>
              </w:rPr>
              <w:fldChar w:fldCharType="end"/>
            </w:r>
          </w:hyperlink>
        </w:p>
        <w:p w14:paraId="67571FA4" w14:textId="2AC1DB82"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50" w:history="1">
            <w:r w:rsidR="00BD4DB7" w:rsidRPr="0089237F">
              <w:rPr>
                <w:rStyle w:val="Hipervnculo"/>
                <w:noProof/>
              </w:rPr>
              <w:t>Artículo 1.2.1.4. Calificaciones de riesgo mínimas exigidas.</w:t>
            </w:r>
            <w:r w:rsidR="00BD4DB7">
              <w:rPr>
                <w:noProof/>
                <w:webHidden/>
              </w:rPr>
              <w:tab/>
            </w:r>
            <w:r w:rsidR="00BD4DB7">
              <w:rPr>
                <w:noProof/>
                <w:webHidden/>
              </w:rPr>
              <w:fldChar w:fldCharType="begin"/>
            </w:r>
            <w:r w:rsidR="00BD4DB7">
              <w:rPr>
                <w:noProof/>
                <w:webHidden/>
              </w:rPr>
              <w:instrText xml:space="preserve"> PAGEREF _Toc31715850 \h </w:instrText>
            </w:r>
            <w:r w:rsidR="00BD4DB7">
              <w:rPr>
                <w:noProof/>
                <w:webHidden/>
              </w:rPr>
            </w:r>
            <w:r w:rsidR="00BD4DB7">
              <w:rPr>
                <w:noProof/>
                <w:webHidden/>
              </w:rPr>
              <w:fldChar w:fldCharType="separate"/>
            </w:r>
            <w:r w:rsidR="00BD4DB7">
              <w:rPr>
                <w:noProof/>
                <w:webHidden/>
              </w:rPr>
              <w:t>55</w:t>
            </w:r>
            <w:r w:rsidR="00BD4DB7">
              <w:rPr>
                <w:noProof/>
                <w:webHidden/>
              </w:rPr>
              <w:fldChar w:fldCharType="end"/>
            </w:r>
          </w:hyperlink>
        </w:p>
        <w:p w14:paraId="1465B537" w14:textId="45CA7751"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51" w:history="1">
            <w:r w:rsidR="00BD4DB7" w:rsidRPr="0089237F">
              <w:rPr>
                <w:rStyle w:val="Hipervnculo"/>
                <w:noProof/>
              </w:rPr>
              <w:t>Artículo 1.2.1.5.</w:t>
            </w:r>
            <w:r w:rsidR="00BD4DB7" w:rsidRPr="0089237F">
              <w:rPr>
                <w:rStyle w:val="Hipervnculo"/>
                <w:rFonts w:eastAsiaTheme="majorEastAsia"/>
                <w:noProof/>
              </w:rPr>
              <w:t xml:space="preserve"> Certificación FATCA (‘</w:t>
            </w:r>
            <w:r w:rsidR="00BD4DB7" w:rsidRPr="0089237F">
              <w:rPr>
                <w:rStyle w:val="Hipervnculo"/>
                <w:rFonts w:eastAsiaTheme="majorEastAsia"/>
                <w:i/>
                <w:noProof/>
              </w:rPr>
              <w:t>Foreign Account Tax Compliance Act</w:t>
            </w:r>
            <w:r w:rsidR="00BD4DB7" w:rsidRPr="0089237F">
              <w:rPr>
                <w:rStyle w:val="Hipervnculo"/>
                <w:rFonts w:eastAsiaTheme="majorEastAsia"/>
                <w:noProof/>
              </w:rPr>
              <w:t>’).</w:t>
            </w:r>
            <w:r w:rsidR="00BD4DB7">
              <w:rPr>
                <w:noProof/>
                <w:webHidden/>
              </w:rPr>
              <w:tab/>
            </w:r>
            <w:r w:rsidR="00BD4DB7">
              <w:rPr>
                <w:noProof/>
                <w:webHidden/>
              </w:rPr>
              <w:fldChar w:fldCharType="begin"/>
            </w:r>
            <w:r w:rsidR="00BD4DB7">
              <w:rPr>
                <w:noProof/>
                <w:webHidden/>
              </w:rPr>
              <w:instrText xml:space="preserve"> PAGEREF _Toc31715851 \h </w:instrText>
            </w:r>
            <w:r w:rsidR="00BD4DB7">
              <w:rPr>
                <w:noProof/>
                <w:webHidden/>
              </w:rPr>
            </w:r>
            <w:r w:rsidR="00BD4DB7">
              <w:rPr>
                <w:noProof/>
                <w:webHidden/>
              </w:rPr>
              <w:fldChar w:fldCharType="separate"/>
            </w:r>
            <w:r w:rsidR="00BD4DB7">
              <w:rPr>
                <w:noProof/>
                <w:webHidden/>
              </w:rPr>
              <w:t>57</w:t>
            </w:r>
            <w:r w:rsidR="00BD4DB7">
              <w:rPr>
                <w:noProof/>
                <w:webHidden/>
              </w:rPr>
              <w:fldChar w:fldCharType="end"/>
            </w:r>
          </w:hyperlink>
        </w:p>
        <w:p w14:paraId="1CE5C245" w14:textId="1F88C9F8"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52" w:history="1">
            <w:r w:rsidR="00BD4DB7" w:rsidRPr="0089237F">
              <w:rPr>
                <w:rStyle w:val="Hipervnculo"/>
                <w:noProof/>
              </w:rPr>
              <w:t>Artículo 1.2.1.6. Aspectos objeto de evaluación, criterios, ponderación de las políticas y estándares administrativos, estructura de administración de riesgos para la Compensación y Liquidación de operaciones.</w:t>
            </w:r>
            <w:r w:rsidR="00BD4DB7">
              <w:rPr>
                <w:noProof/>
                <w:webHidden/>
              </w:rPr>
              <w:tab/>
            </w:r>
            <w:r w:rsidR="00BD4DB7">
              <w:rPr>
                <w:noProof/>
                <w:webHidden/>
              </w:rPr>
              <w:fldChar w:fldCharType="begin"/>
            </w:r>
            <w:r w:rsidR="00BD4DB7">
              <w:rPr>
                <w:noProof/>
                <w:webHidden/>
              </w:rPr>
              <w:instrText xml:space="preserve"> PAGEREF _Toc31715852 \h </w:instrText>
            </w:r>
            <w:r w:rsidR="00BD4DB7">
              <w:rPr>
                <w:noProof/>
                <w:webHidden/>
              </w:rPr>
            </w:r>
            <w:r w:rsidR="00BD4DB7">
              <w:rPr>
                <w:noProof/>
                <w:webHidden/>
              </w:rPr>
              <w:fldChar w:fldCharType="separate"/>
            </w:r>
            <w:r w:rsidR="00BD4DB7">
              <w:rPr>
                <w:noProof/>
                <w:webHidden/>
              </w:rPr>
              <w:t>57</w:t>
            </w:r>
            <w:r w:rsidR="00BD4DB7">
              <w:rPr>
                <w:noProof/>
                <w:webHidden/>
              </w:rPr>
              <w:fldChar w:fldCharType="end"/>
            </w:r>
          </w:hyperlink>
        </w:p>
        <w:p w14:paraId="355A88E4" w14:textId="37DDD209"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53" w:history="1">
            <w:r w:rsidR="00BD4DB7" w:rsidRPr="0089237F">
              <w:rPr>
                <w:rStyle w:val="Hipervnculo"/>
                <w:noProof/>
              </w:rPr>
              <w:t>Artículo 1.2.1.7. Nivel de capacitación mínimo requerido para ser admitido como Miembro.</w:t>
            </w:r>
            <w:r w:rsidR="00BD4DB7">
              <w:rPr>
                <w:noProof/>
                <w:webHidden/>
              </w:rPr>
              <w:tab/>
            </w:r>
            <w:r w:rsidR="00BD4DB7">
              <w:rPr>
                <w:noProof/>
                <w:webHidden/>
              </w:rPr>
              <w:fldChar w:fldCharType="begin"/>
            </w:r>
            <w:r w:rsidR="00BD4DB7">
              <w:rPr>
                <w:noProof/>
                <w:webHidden/>
              </w:rPr>
              <w:instrText xml:space="preserve"> PAGEREF _Toc31715853 \h </w:instrText>
            </w:r>
            <w:r w:rsidR="00BD4DB7">
              <w:rPr>
                <w:noProof/>
                <w:webHidden/>
              </w:rPr>
            </w:r>
            <w:r w:rsidR="00BD4DB7">
              <w:rPr>
                <w:noProof/>
                <w:webHidden/>
              </w:rPr>
              <w:fldChar w:fldCharType="separate"/>
            </w:r>
            <w:r w:rsidR="00BD4DB7">
              <w:rPr>
                <w:noProof/>
                <w:webHidden/>
              </w:rPr>
              <w:t>59</w:t>
            </w:r>
            <w:r w:rsidR="00BD4DB7">
              <w:rPr>
                <w:noProof/>
                <w:webHidden/>
              </w:rPr>
              <w:fldChar w:fldCharType="end"/>
            </w:r>
          </w:hyperlink>
        </w:p>
        <w:p w14:paraId="6D4252AA" w14:textId="7CC3EF63"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54" w:history="1">
            <w:r w:rsidR="00BD4DB7" w:rsidRPr="0089237F">
              <w:rPr>
                <w:rStyle w:val="Hipervnculo"/>
                <w:noProof/>
              </w:rPr>
              <w:t>Artículo 1.2.1.8. Admisión de Miembros.</w:t>
            </w:r>
            <w:r w:rsidR="00BD4DB7">
              <w:rPr>
                <w:noProof/>
                <w:webHidden/>
              </w:rPr>
              <w:tab/>
            </w:r>
            <w:r w:rsidR="00BD4DB7">
              <w:rPr>
                <w:noProof/>
                <w:webHidden/>
              </w:rPr>
              <w:fldChar w:fldCharType="begin"/>
            </w:r>
            <w:r w:rsidR="00BD4DB7">
              <w:rPr>
                <w:noProof/>
                <w:webHidden/>
              </w:rPr>
              <w:instrText xml:space="preserve"> PAGEREF _Toc31715854 \h </w:instrText>
            </w:r>
            <w:r w:rsidR="00BD4DB7">
              <w:rPr>
                <w:noProof/>
                <w:webHidden/>
              </w:rPr>
            </w:r>
            <w:r w:rsidR="00BD4DB7">
              <w:rPr>
                <w:noProof/>
                <w:webHidden/>
              </w:rPr>
              <w:fldChar w:fldCharType="separate"/>
            </w:r>
            <w:r w:rsidR="00BD4DB7">
              <w:rPr>
                <w:noProof/>
                <w:webHidden/>
              </w:rPr>
              <w:t>59</w:t>
            </w:r>
            <w:r w:rsidR="00BD4DB7">
              <w:rPr>
                <w:noProof/>
                <w:webHidden/>
              </w:rPr>
              <w:fldChar w:fldCharType="end"/>
            </w:r>
          </w:hyperlink>
        </w:p>
        <w:p w14:paraId="246A3AAC" w14:textId="47E5DCB1"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55" w:history="1">
            <w:r w:rsidR="00BD4DB7" w:rsidRPr="0089237F">
              <w:rPr>
                <w:rStyle w:val="Hipervnculo"/>
                <w:noProof/>
              </w:rPr>
              <w:t>Artículo 1.2.1.9. Notificación de admisión, afiliación y creación del Miembro en el Sistema.</w:t>
            </w:r>
            <w:r w:rsidR="00BD4DB7">
              <w:rPr>
                <w:noProof/>
                <w:webHidden/>
              </w:rPr>
              <w:tab/>
            </w:r>
            <w:r w:rsidR="00BD4DB7">
              <w:rPr>
                <w:noProof/>
                <w:webHidden/>
              </w:rPr>
              <w:fldChar w:fldCharType="begin"/>
            </w:r>
            <w:r w:rsidR="00BD4DB7">
              <w:rPr>
                <w:noProof/>
                <w:webHidden/>
              </w:rPr>
              <w:instrText xml:space="preserve"> PAGEREF _Toc31715855 \h </w:instrText>
            </w:r>
            <w:r w:rsidR="00BD4DB7">
              <w:rPr>
                <w:noProof/>
                <w:webHidden/>
              </w:rPr>
            </w:r>
            <w:r w:rsidR="00BD4DB7">
              <w:rPr>
                <w:noProof/>
                <w:webHidden/>
              </w:rPr>
              <w:fldChar w:fldCharType="separate"/>
            </w:r>
            <w:r w:rsidR="00BD4DB7">
              <w:rPr>
                <w:noProof/>
                <w:webHidden/>
              </w:rPr>
              <w:t>60</w:t>
            </w:r>
            <w:r w:rsidR="00BD4DB7">
              <w:rPr>
                <w:noProof/>
                <w:webHidden/>
              </w:rPr>
              <w:fldChar w:fldCharType="end"/>
            </w:r>
          </w:hyperlink>
        </w:p>
        <w:p w14:paraId="1A599627" w14:textId="41BE292E"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56" w:history="1">
            <w:r w:rsidR="00BD4DB7" w:rsidRPr="0089237F">
              <w:rPr>
                <w:rStyle w:val="Hipervnculo"/>
                <w:noProof/>
              </w:rPr>
              <w:t>Artículo 1.2.1.10. Información periódica.</w:t>
            </w:r>
            <w:r w:rsidR="00BD4DB7">
              <w:rPr>
                <w:noProof/>
                <w:webHidden/>
              </w:rPr>
              <w:tab/>
            </w:r>
            <w:r w:rsidR="00BD4DB7">
              <w:rPr>
                <w:noProof/>
                <w:webHidden/>
              </w:rPr>
              <w:fldChar w:fldCharType="begin"/>
            </w:r>
            <w:r w:rsidR="00BD4DB7">
              <w:rPr>
                <w:noProof/>
                <w:webHidden/>
              </w:rPr>
              <w:instrText xml:space="preserve"> PAGEREF _Toc31715856 \h </w:instrText>
            </w:r>
            <w:r w:rsidR="00BD4DB7">
              <w:rPr>
                <w:noProof/>
                <w:webHidden/>
              </w:rPr>
            </w:r>
            <w:r w:rsidR="00BD4DB7">
              <w:rPr>
                <w:noProof/>
                <w:webHidden/>
              </w:rPr>
              <w:fldChar w:fldCharType="separate"/>
            </w:r>
            <w:r w:rsidR="00BD4DB7">
              <w:rPr>
                <w:noProof/>
                <w:webHidden/>
              </w:rPr>
              <w:t>61</w:t>
            </w:r>
            <w:r w:rsidR="00BD4DB7">
              <w:rPr>
                <w:noProof/>
                <w:webHidden/>
              </w:rPr>
              <w:fldChar w:fldCharType="end"/>
            </w:r>
          </w:hyperlink>
        </w:p>
        <w:p w14:paraId="79E21C73" w14:textId="65773294"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57" w:history="1">
            <w:r w:rsidR="00BD4DB7" w:rsidRPr="0089237F">
              <w:rPr>
                <w:rStyle w:val="Hipervnculo"/>
                <w:noProof/>
              </w:rPr>
              <w:t>Artículo 1.2.1.11. Vigencia de los requisitos.</w:t>
            </w:r>
            <w:r w:rsidR="00BD4DB7">
              <w:rPr>
                <w:noProof/>
                <w:webHidden/>
              </w:rPr>
              <w:tab/>
            </w:r>
            <w:r w:rsidR="00BD4DB7">
              <w:rPr>
                <w:noProof/>
                <w:webHidden/>
              </w:rPr>
              <w:fldChar w:fldCharType="begin"/>
            </w:r>
            <w:r w:rsidR="00BD4DB7">
              <w:rPr>
                <w:noProof/>
                <w:webHidden/>
              </w:rPr>
              <w:instrText xml:space="preserve"> PAGEREF _Toc31715857 \h </w:instrText>
            </w:r>
            <w:r w:rsidR="00BD4DB7">
              <w:rPr>
                <w:noProof/>
                <w:webHidden/>
              </w:rPr>
            </w:r>
            <w:r w:rsidR="00BD4DB7">
              <w:rPr>
                <w:noProof/>
                <w:webHidden/>
              </w:rPr>
              <w:fldChar w:fldCharType="separate"/>
            </w:r>
            <w:r w:rsidR="00BD4DB7">
              <w:rPr>
                <w:noProof/>
                <w:webHidden/>
              </w:rPr>
              <w:t>62</w:t>
            </w:r>
            <w:r w:rsidR="00BD4DB7">
              <w:rPr>
                <w:noProof/>
                <w:webHidden/>
              </w:rPr>
              <w:fldChar w:fldCharType="end"/>
            </w:r>
          </w:hyperlink>
        </w:p>
        <w:p w14:paraId="726A5026" w14:textId="32470893"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58" w:history="1">
            <w:r w:rsidR="00BD4DB7" w:rsidRPr="0089237F">
              <w:rPr>
                <w:rStyle w:val="Hipervnculo"/>
                <w:noProof/>
              </w:rPr>
              <w:t>Artículo 1.2.1.12. Modificación de la modalidad de Miembro no Liquidador a Miembro Liquidador de la Cámara.</w:t>
            </w:r>
            <w:r w:rsidR="00BD4DB7">
              <w:rPr>
                <w:noProof/>
                <w:webHidden/>
              </w:rPr>
              <w:tab/>
            </w:r>
            <w:r w:rsidR="00BD4DB7">
              <w:rPr>
                <w:noProof/>
                <w:webHidden/>
              </w:rPr>
              <w:fldChar w:fldCharType="begin"/>
            </w:r>
            <w:r w:rsidR="00BD4DB7">
              <w:rPr>
                <w:noProof/>
                <w:webHidden/>
              </w:rPr>
              <w:instrText xml:space="preserve"> PAGEREF _Toc31715858 \h </w:instrText>
            </w:r>
            <w:r w:rsidR="00BD4DB7">
              <w:rPr>
                <w:noProof/>
                <w:webHidden/>
              </w:rPr>
            </w:r>
            <w:r w:rsidR="00BD4DB7">
              <w:rPr>
                <w:noProof/>
                <w:webHidden/>
              </w:rPr>
              <w:fldChar w:fldCharType="separate"/>
            </w:r>
            <w:r w:rsidR="00BD4DB7">
              <w:rPr>
                <w:noProof/>
                <w:webHidden/>
              </w:rPr>
              <w:t>62</w:t>
            </w:r>
            <w:r w:rsidR="00BD4DB7">
              <w:rPr>
                <w:noProof/>
                <w:webHidden/>
              </w:rPr>
              <w:fldChar w:fldCharType="end"/>
            </w:r>
          </w:hyperlink>
        </w:p>
        <w:p w14:paraId="7391C30E" w14:textId="4B45C469"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59" w:history="1">
            <w:r w:rsidR="00BD4DB7" w:rsidRPr="0089237F">
              <w:rPr>
                <w:rStyle w:val="Hipervnculo"/>
                <w:noProof/>
              </w:rPr>
              <w:t>Artículo 1.2.1.13. Modificación de la modalidad de Miembro Liquidador Individual a Miembro Liquidador General de la Cámara.</w:t>
            </w:r>
            <w:r w:rsidR="00BD4DB7">
              <w:rPr>
                <w:noProof/>
                <w:webHidden/>
              </w:rPr>
              <w:tab/>
            </w:r>
            <w:r w:rsidR="00BD4DB7">
              <w:rPr>
                <w:noProof/>
                <w:webHidden/>
              </w:rPr>
              <w:fldChar w:fldCharType="begin"/>
            </w:r>
            <w:r w:rsidR="00BD4DB7">
              <w:rPr>
                <w:noProof/>
                <w:webHidden/>
              </w:rPr>
              <w:instrText xml:space="preserve"> PAGEREF _Toc31715859 \h </w:instrText>
            </w:r>
            <w:r w:rsidR="00BD4DB7">
              <w:rPr>
                <w:noProof/>
                <w:webHidden/>
              </w:rPr>
            </w:r>
            <w:r w:rsidR="00BD4DB7">
              <w:rPr>
                <w:noProof/>
                <w:webHidden/>
              </w:rPr>
              <w:fldChar w:fldCharType="separate"/>
            </w:r>
            <w:r w:rsidR="00BD4DB7">
              <w:rPr>
                <w:noProof/>
                <w:webHidden/>
              </w:rPr>
              <w:t>64</w:t>
            </w:r>
            <w:r w:rsidR="00BD4DB7">
              <w:rPr>
                <w:noProof/>
                <w:webHidden/>
              </w:rPr>
              <w:fldChar w:fldCharType="end"/>
            </w:r>
          </w:hyperlink>
        </w:p>
        <w:p w14:paraId="39F4D6AA" w14:textId="6A7C4370"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60" w:history="1">
            <w:r w:rsidR="00BD4DB7" w:rsidRPr="0089237F">
              <w:rPr>
                <w:rStyle w:val="Hipervnculo"/>
                <w:noProof/>
              </w:rPr>
              <w:t>Artículo 1.2.1.14. Modificación de la modalidad de Miembro Liquidador a Miembro No Liquidador.</w:t>
            </w:r>
            <w:r w:rsidR="00BD4DB7">
              <w:rPr>
                <w:noProof/>
                <w:webHidden/>
              </w:rPr>
              <w:tab/>
            </w:r>
            <w:r w:rsidR="00BD4DB7">
              <w:rPr>
                <w:noProof/>
                <w:webHidden/>
              </w:rPr>
              <w:fldChar w:fldCharType="begin"/>
            </w:r>
            <w:r w:rsidR="00BD4DB7">
              <w:rPr>
                <w:noProof/>
                <w:webHidden/>
              </w:rPr>
              <w:instrText xml:space="preserve"> PAGEREF _Toc31715860 \h </w:instrText>
            </w:r>
            <w:r w:rsidR="00BD4DB7">
              <w:rPr>
                <w:noProof/>
                <w:webHidden/>
              </w:rPr>
            </w:r>
            <w:r w:rsidR="00BD4DB7">
              <w:rPr>
                <w:noProof/>
                <w:webHidden/>
              </w:rPr>
              <w:fldChar w:fldCharType="separate"/>
            </w:r>
            <w:r w:rsidR="00BD4DB7">
              <w:rPr>
                <w:noProof/>
                <w:webHidden/>
              </w:rPr>
              <w:t>65</w:t>
            </w:r>
            <w:r w:rsidR="00BD4DB7">
              <w:rPr>
                <w:noProof/>
                <w:webHidden/>
              </w:rPr>
              <w:fldChar w:fldCharType="end"/>
            </w:r>
          </w:hyperlink>
        </w:p>
        <w:p w14:paraId="00DC04DD" w14:textId="66013C39"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61" w:history="1">
            <w:r w:rsidR="00BD4DB7" w:rsidRPr="0089237F">
              <w:rPr>
                <w:rStyle w:val="Hipervnculo"/>
                <w:noProof/>
              </w:rPr>
              <w:t>Artículo 1.2.1.15. Ingreso de un Miembro a la Compensación y Liquidación a un Segmento adicional.</w:t>
            </w:r>
            <w:r w:rsidR="00BD4DB7">
              <w:rPr>
                <w:noProof/>
                <w:webHidden/>
              </w:rPr>
              <w:tab/>
            </w:r>
            <w:r w:rsidR="00BD4DB7">
              <w:rPr>
                <w:noProof/>
                <w:webHidden/>
              </w:rPr>
              <w:fldChar w:fldCharType="begin"/>
            </w:r>
            <w:r w:rsidR="00BD4DB7">
              <w:rPr>
                <w:noProof/>
                <w:webHidden/>
              </w:rPr>
              <w:instrText xml:space="preserve"> PAGEREF _Toc31715861 \h </w:instrText>
            </w:r>
            <w:r w:rsidR="00BD4DB7">
              <w:rPr>
                <w:noProof/>
                <w:webHidden/>
              </w:rPr>
            </w:r>
            <w:r w:rsidR="00BD4DB7">
              <w:rPr>
                <w:noProof/>
                <w:webHidden/>
              </w:rPr>
              <w:fldChar w:fldCharType="separate"/>
            </w:r>
            <w:r w:rsidR="00BD4DB7">
              <w:rPr>
                <w:noProof/>
                <w:webHidden/>
              </w:rPr>
              <w:t>67</w:t>
            </w:r>
            <w:r w:rsidR="00BD4DB7">
              <w:rPr>
                <w:noProof/>
                <w:webHidden/>
              </w:rPr>
              <w:fldChar w:fldCharType="end"/>
            </w:r>
          </w:hyperlink>
        </w:p>
        <w:p w14:paraId="13B3423E" w14:textId="1D5A2895"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862" w:history="1">
            <w:r w:rsidR="00BD4DB7" w:rsidRPr="0089237F">
              <w:rPr>
                <w:rStyle w:val="Hipervnculo"/>
                <w:noProof/>
              </w:rPr>
              <w:t>CAPÍTULO SEGUNDO</w:t>
            </w:r>
            <w:r w:rsidR="00BD4DB7">
              <w:rPr>
                <w:noProof/>
                <w:webHidden/>
              </w:rPr>
              <w:tab/>
            </w:r>
            <w:r w:rsidR="00BD4DB7">
              <w:rPr>
                <w:noProof/>
                <w:webHidden/>
              </w:rPr>
              <w:fldChar w:fldCharType="begin"/>
            </w:r>
            <w:r w:rsidR="00BD4DB7">
              <w:rPr>
                <w:noProof/>
                <w:webHidden/>
              </w:rPr>
              <w:instrText xml:space="preserve"> PAGEREF _Toc31715862 \h </w:instrText>
            </w:r>
            <w:r w:rsidR="00BD4DB7">
              <w:rPr>
                <w:noProof/>
                <w:webHidden/>
              </w:rPr>
            </w:r>
            <w:r w:rsidR="00BD4DB7">
              <w:rPr>
                <w:noProof/>
                <w:webHidden/>
              </w:rPr>
              <w:fldChar w:fldCharType="separate"/>
            </w:r>
            <w:r w:rsidR="00BD4DB7">
              <w:rPr>
                <w:noProof/>
                <w:webHidden/>
              </w:rPr>
              <w:t>67</w:t>
            </w:r>
            <w:r w:rsidR="00BD4DB7">
              <w:rPr>
                <w:noProof/>
                <w:webHidden/>
              </w:rPr>
              <w:fldChar w:fldCharType="end"/>
            </w:r>
          </w:hyperlink>
        </w:p>
        <w:p w14:paraId="5F010197" w14:textId="1FBFC084"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863" w:history="1">
            <w:r w:rsidR="00BD4DB7" w:rsidRPr="0089237F">
              <w:rPr>
                <w:rStyle w:val="Hipervnculo"/>
                <w:noProof/>
              </w:rPr>
              <w:t>REQUISITOS DE APROBACIÓN Y PERMANENCIA DEL AGENTE CUSTODIO Y/O AGENTE DE PAGO</w:t>
            </w:r>
            <w:r w:rsidR="00BD4DB7">
              <w:rPr>
                <w:noProof/>
                <w:webHidden/>
              </w:rPr>
              <w:tab/>
            </w:r>
            <w:r w:rsidR="00BD4DB7">
              <w:rPr>
                <w:noProof/>
                <w:webHidden/>
              </w:rPr>
              <w:fldChar w:fldCharType="begin"/>
            </w:r>
            <w:r w:rsidR="00BD4DB7">
              <w:rPr>
                <w:noProof/>
                <w:webHidden/>
              </w:rPr>
              <w:instrText xml:space="preserve"> PAGEREF _Toc31715863 \h </w:instrText>
            </w:r>
            <w:r w:rsidR="00BD4DB7">
              <w:rPr>
                <w:noProof/>
                <w:webHidden/>
              </w:rPr>
            </w:r>
            <w:r w:rsidR="00BD4DB7">
              <w:rPr>
                <w:noProof/>
                <w:webHidden/>
              </w:rPr>
              <w:fldChar w:fldCharType="separate"/>
            </w:r>
            <w:r w:rsidR="00BD4DB7">
              <w:rPr>
                <w:noProof/>
                <w:webHidden/>
              </w:rPr>
              <w:t>67</w:t>
            </w:r>
            <w:r w:rsidR="00BD4DB7">
              <w:rPr>
                <w:noProof/>
                <w:webHidden/>
              </w:rPr>
              <w:fldChar w:fldCharType="end"/>
            </w:r>
          </w:hyperlink>
        </w:p>
        <w:p w14:paraId="44A6E49F" w14:textId="05297BB3"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64" w:history="1">
            <w:r w:rsidR="00BD4DB7" w:rsidRPr="0089237F">
              <w:rPr>
                <w:rStyle w:val="Hipervnculo"/>
                <w:noProof/>
              </w:rPr>
              <w:t>Artículo 1.2.2.1. Documentos para solicitar la aprobación como Agente Custodio y/o Agente de Pago.</w:t>
            </w:r>
            <w:r w:rsidR="00BD4DB7">
              <w:rPr>
                <w:noProof/>
                <w:webHidden/>
              </w:rPr>
              <w:tab/>
            </w:r>
            <w:r w:rsidR="00BD4DB7">
              <w:rPr>
                <w:noProof/>
                <w:webHidden/>
              </w:rPr>
              <w:fldChar w:fldCharType="begin"/>
            </w:r>
            <w:r w:rsidR="00BD4DB7">
              <w:rPr>
                <w:noProof/>
                <w:webHidden/>
              </w:rPr>
              <w:instrText xml:space="preserve"> PAGEREF _Toc31715864 \h </w:instrText>
            </w:r>
            <w:r w:rsidR="00BD4DB7">
              <w:rPr>
                <w:noProof/>
                <w:webHidden/>
              </w:rPr>
            </w:r>
            <w:r w:rsidR="00BD4DB7">
              <w:rPr>
                <w:noProof/>
                <w:webHidden/>
              </w:rPr>
              <w:fldChar w:fldCharType="separate"/>
            </w:r>
            <w:r w:rsidR="00BD4DB7">
              <w:rPr>
                <w:noProof/>
                <w:webHidden/>
              </w:rPr>
              <w:t>68</w:t>
            </w:r>
            <w:r w:rsidR="00BD4DB7">
              <w:rPr>
                <w:noProof/>
                <w:webHidden/>
              </w:rPr>
              <w:fldChar w:fldCharType="end"/>
            </w:r>
          </w:hyperlink>
        </w:p>
        <w:p w14:paraId="519D72FD" w14:textId="53787713"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65" w:history="1">
            <w:r w:rsidR="00BD4DB7" w:rsidRPr="0089237F">
              <w:rPr>
                <w:rStyle w:val="Hipervnculo"/>
                <w:noProof/>
              </w:rPr>
              <w:t>Artículo 1.2.2.2. Aprobación del Agente.</w:t>
            </w:r>
            <w:r w:rsidR="00BD4DB7">
              <w:rPr>
                <w:noProof/>
                <w:webHidden/>
              </w:rPr>
              <w:tab/>
            </w:r>
            <w:r w:rsidR="00BD4DB7">
              <w:rPr>
                <w:noProof/>
                <w:webHidden/>
              </w:rPr>
              <w:fldChar w:fldCharType="begin"/>
            </w:r>
            <w:r w:rsidR="00BD4DB7">
              <w:rPr>
                <w:noProof/>
                <w:webHidden/>
              </w:rPr>
              <w:instrText xml:space="preserve"> PAGEREF _Toc31715865 \h </w:instrText>
            </w:r>
            <w:r w:rsidR="00BD4DB7">
              <w:rPr>
                <w:noProof/>
                <w:webHidden/>
              </w:rPr>
            </w:r>
            <w:r w:rsidR="00BD4DB7">
              <w:rPr>
                <w:noProof/>
                <w:webHidden/>
              </w:rPr>
              <w:fldChar w:fldCharType="separate"/>
            </w:r>
            <w:r w:rsidR="00BD4DB7">
              <w:rPr>
                <w:noProof/>
                <w:webHidden/>
              </w:rPr>
              <w:t>69</w:t>
            </w:r>
            <w:r w:rsidR="00BD4DB7">
              <w:rPr>
                <w:noProof/>
                <w:webHidden/>
              </w:rPr>
              <w:fldChar w:fldCharType="end"/>
            </w:r>
          </w:hyperlink>
        </w:p>
        <w:p w14:paraId="20513BD7" w14:textId="11F80A2B"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66" w:history="1">
            <w:r w:rsidR="00BD4DB7" w:rsidRPr="0089237F">
              <w:rPr>
                <w:rStyle w:val="Hipervnculo"/>
                <w:noProof/>
              </w:rPr>
              <w:t>Artículo 1.2.2.3. Notificación de aprobación, afiliación y creación del Agente en el Sistema.</w:t>
            </w:r>
            <w:r w:rsidR="00BD4DB7">
              <w:rPr>
                <w:noProof/>
                <w:webHidden/>
              </w:rPr>
              <w:tab/>
            </w:r>
            <w:r w:rsidR="00BD4DB7">
              <w:rPr>
                <w:noProof/>
                <w:webHidden/>
              </w:rPr>
              <w:fldChar w:fldCharType="begin"/>
            </w:r>
            <w:r w:rsidR="00BD4DB7">
              <w:rPr>
                <w:noProof/>
                <w:webHidden/>
              </w:rPr>
              <w:instrText xml:space="preserve"> PAGEREF _Toc31715866 \h </w:instrText>
            </w:r>
            <w:r w:rsidR="00BD4DB7">
              <w:rPr>
                <w:noProof/>
                <w:webHidden/>
              </w:rPr>
            </w:r>
            <w:r w:rsidR="00BD4DB7">
              <w:rPr>
                <w:noProof/>
                <w:webHidden/>
              </w:rPr>
              <w:fldChar w:fldCharType="separate"/>
            </w:r>
            <w:r w:rsidR="00BD4DB7">
              <w:rPr>
                <w:noProof/>
                <w:webHidden/>
              </w:rPr>
              <w:t>70</w:t>
            </w:r>
            <w:r w:rsidR="00BD4DB7">
              <w:rPr>
                <w:noProof/>
                <w:webHidden/>
              </w:rPr>
              <w:fldChar w:fldCharType="end"/>
            </w:r>
          </w:hyperlink>
        </w:p>
        <w:p w14:paraId="6771581B" w14:textId="70045385"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67" w:history="1">
            <w:r w:rsidR="00BD4DB7" w:rsidRPr="0089237F">
              <w:rPr>
                <w:rStyle w:val="Hipervnculo"/>
                <w:noProof/>
              </w:rPr>
              <w:t>Artículo 1.2.2.4. Participación de Agentes en la Compensación y Liquidación en un Segmento.</w:t>
            </w:r>
            <w:r w:rsidR="00BD4DB7">
              <w:rPr>
                <w:noProof/>
                <w:webHidden/>
              </w:rPr>
              <w:tab/>
            </w:r>
            <w:r w:rsidR="00BD4DB7">
              <w:rPr>
                <w:noProof/>
                <w:webHidden/>
              </w:rPr>
              <w:fldChar w:fldCharType="begin"/>
            </w:r>
            <w:r w:rsidR="00BD4DB7">
              <w:rPr>
                <w:noProof/>
                <w:webHidden/>
              </w:rPr>
              <w:instrText xml:space="preserve"> PAGEREF _Toc31715867 \h </w:instrText>
            </w:r>
            <w:r w:rsidR="00BD4DB7">
              <w:rPr>
                <w:noProof/>
                <w:webHidden/>
              </w:rPr>
            </w:r>
            <w:r w:rsidR="00BD4DB7">
              <w:rPr>
                <w:noProof/>
                <w:webHidden/>
              </w:rPr>
              <w:fldChar w:fldCharType="separate"/>
            </w:r>
            <w:r w:rsidR="00BD4DB7">
              <w:rPr>
                <w:noProof/>
                <w:webHidden/>
              </w:rPr>
              <w:t>70</w:t>
            </w:r>
            <w:r w:rsidR="00BD4DB7">
              <w:rPr>
                <w:noProof/>
                <w:webHidden/>
              </w:rPr>
              <w:fldChar w:fldCharType="end"/>
            </w:r>
          </w:hyperlink>
        </w:p>
        <w:p w14:paraId="024DFC13" w14:textId="670718A4"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868" w:history="1">
            <w:r w:rsidR="00BD4DB7" w:rsidRPr="0089237F">
              <w:rPr>
                <w:rStyle w:val="Hipervnculo"/>
                <w:noProof/>
              </w:rPr>
              <w:t>CAPÍTULO TERCERO</w:t>
            </w:r>
            <w:r w:rsidR="00BD4DB7">
              <w:rPr>
                <w:noProof/>
                <w:webHidden/>
              </w:rPr>
              <w:tab/>
            </w:r>
            <w:r w:rsidR="00BD4DB7">
              <w:rPr>
                <w:noProof/>
                <w:webHidden/>
              </w:rPr>
              <w:fldChar w:fldCharType="begin"/>
            </w:r>
            <w:r w:rsidR="00BD4DB7">
              <w:rPr>
                <w:noProof/>
                <w:webHidden/>
              </w:rPr>
              <w:instrText xml:space="preserve"> PAGEREF _Toc31715868 \h </w:instrText>
            </w:r>
            <w:r w:rsidR="00BD4DB7">
              <w:rPr>
                <w:noProof/>
                <w:webHidden/>
              </w:rPr>
            </w:r>
            <w:r w:rsidR="00BD4DB7">
              <w:rPr>
                <w:noProof/>
                <w:webHidden/>
              </w:rPr>
              <w:fldChar w:fldCharType="separate"/>
            </w:r>
            <w:r w:rsidR="00BD4DB7">
              <w:rPr>
                <w:noProof/>
                <w:webHidden/>
              </w:rPr>
              <w:t>71</w:t>
            </w:r>
            <w:r w:rsidR="00BD4DB7">
              <w:rPr>
                <w:noProof/>
                <w:webHidden/>
              </w:rPr>
              <w:fldChar w:fldCharType="end"/>
            </w:r>
          </w:hyperlink>
        </w:p>
        <w:p w14:paraId="04CC0679" w14:textId="234E9885"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869" w:history="1">
            <w:r w:rsidR="00BD4DB7" w:rsidRPr="0089237F">
              <w:rPr>
                <w:rStyle w:val="Hipervnculo"/>
                <w:noProof/>
              </w:rPr>
              <w:t>REQUISITOS O CONDICIONES PARA EL ACCESO DE LAS DIFERENTES CLASES DE TERCEROS</w:t>
            </w:r>
            <w:r w:rsidR="00BD4DB7">
              <w:rPr>
                <w:noProof/>
                <w:webHidden/>
              </w:rPr>
              <w:tab/>
            </w:r>
            <w:r w:rsidR="00BD4DB7">
              <w:rPr>
                <w:noProof/>
                <w:webHidden/>
              </w:rPr>
              <w:fldChar w:fldCharType="begin"/>
            </w:r>
            <w:r w:rsidR="00BD4DB7">
              <w:rPr>
                <w:noProof/>
                <w:webHidden/>
              </w:rPr>
              <w:instrText xml:space="preserve"> PAGEREF _Toc31715869 \h </w:instrText>
            </w:r>
            <w:r w:rsidR="00BD4DB7">
              <w:rPr>
                <w:noProof/>
                <w:webHidden/>
              </w:rPr>
            </w:r>
            <w:r w:rsidR="00BD4DB7">
              <w:rPr>
                <w:noProof/>
                <w:webHidden/>
              </w:rPr>
              <w:fldChar w:fldCharType="separate"/>
            </w:r>
            <w:r w:rsidR="00BD4DB7">
              <w:rPr>
                <w:noProof/>
                <w:webHidden/>
              </w:rPr>
              <w:t>71</w:t>
            </w:r>
            <w:r w:rsidR="00BD4DB7">
              <w:rPr>
                <w:noProof/>
                <w:webHidden/>
              </w:rPr>
              <w:fldChar w:fldCharType="end"/>
            </w:r>
          </w:hyperlink>
        </w:p>
        <w:p w14:paraId="222111D3" w14:textId="17858724"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70" w:history="1">
            <w:r w:rsidR="00BD4DB7" w:rsidRPr="0089237F">
              <w:rPr>
                <w:rStyle w:val="Hipervnculo"/>
                <w:noProof/>
              </w:rPr>
              <w:t>Artículo 1.2.3.1. Requisitos para el acceso de los Terceros Identificados.</w:t>
            </w:r>
            <w:r w:rsidR="00BD4DB7">
              <w:rPr>
                <w:noProof/>
                <w:webHidden/>
              </w:rPr>
              <w:tab/>
            </w:r>
            <w:r w:rsidR="00BD4DB7">
              <w:rPr>
                <w:noProof/>
                <w:webHidden/>
              </w:rPr>
              <w:fldChar w:fldCharType="begin"/>
            </w:r>
            <w:r w:rsidR="00BD4DB7">
              <w:rPr>
                <w:noProof/>
                <w:webHidden/>
              </w:rPr>
              <w:instrText xml:space="preserve"> PAGEREF _Toc31715870 \h </w:instrText>
            </w:r>
            <w:r w:rsidR="00BD4DB7">
              <w:rPr>
                <w:noProof/>
                <w:webHidden/>
              </w:rPr>
            </w:r>
            <w:r w:rsidR="00BD4DB7">
              <w:rPr>
                <w:noProof/>
                <w:webHidden/>
              </w:rPr>
              <w:fldChar w:fldCharType="separate"/>
            </w:r>
            <w:r w:rsidR="00BD4DB7">
              <w:rPr>
                <w:noProof/>
                <w:webHidden/>
              </w:rPr>
              <w:t>71</w:t>
            </w:r>
            <w:r w:rsidR="00BD4DB7">
              <w:rPr>
                <w:noProof/>
                <w:webHidden/>
              </w:rPr>
              <w:fldChar w:fldCharType="end"/>
            </w:r>
          </w:hyperlink>
        </w:p>
        <w:p w14:paraId="69B58928" w14:textId="66545407"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71" w:history="1">
            <w:r w:rsidR="00BD4DB7" w:rsidRPr="0089237F">
              <w:rPr>
                <w:rStyle w:val="Hipervnculo"/>
                <w:noProof/>
              </w:rPr>
              <w:t>Artículo 1.2.3.2. Requisitos para el acceso de los Terceros no Identificados.</w:t>
            </w:r>
            <w:r w:rsidR="00BD4DB7">
              <w:rPr>
                <w:noProof/>
                <w:webHidden/>
              </w:rPr>
              <w:tab/>
            </w:r>
            <w:r w:rsidR="00BD4DB7">
              <w:rPr>
                <w:noProof/>
                <w:webHidden/>
              </w:rPr>
              <w:fldChar w:fldCharType="begin"/>
            </w:r>
            <w:r w:rsidR="00BD4DB7">
              <w:rPr>
                <w:noProof/>
                <w:webHidden/>
              </w:rPr>
              <w:instrText xml:space="preserve"> PAGEREF _Toc31715871 \h </w:instrText>
            </w:r>
            <w:r w:rsidR="00BD4DB7">
              <w:rPr>
                <w:noProof/>
                <w:webHidden/>
              </w:rPr>
            </w:r>
            <w:r w:rsidR="00BD4DB7">
              <w:rPr>
                <w:noProof/>
                <w:webHidden/>
              </w:rPr>
              <w:fldChar w:fldCharType="separate"/>
            </w:r>
            <w:r w:rsidR="00BD4DB7">
              <w:rPr>
                <w:noProof/>
                <w:webHidden/>
              </w:rPr>
              <w:t>71</w:t>
            </w:r>
            <w:r w:rsidR="00BD4DB7">
              <w:rPr>
                <w:noProof/>
                <w:webHidden/>
              </w:rPr>
              <w:fldChar w:fldCharType="end"/>
            </w:r>
          </w:hyperlink>
        </w:p>
        <w:p w14:paraId="745BB95A" w14:textId="42862A95"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72" w:history="1">
            <w:r w:rsidR="00BD4DB7" w:rsidRPr="0089237F">
              <w:rPr>
                <w:rStyle w:val="Hipervnculo"/>
                <w:noProof/>
              </w:rPr>
              <w:t>Artículo 1.2.3.3. Miembros como Terceros.</w:t>
            </w:r>
            <w:r w:rsidR="00BD4DB7">
              <w:rPr>
                <w:noProof/>
                <w:webHidden/>
              </w:rPr>
              <w:tab/>
            </w:r>
            <w:r w:rsidR="00BD4DB7">
              <w:rPr>
                <w:noProof/>
                <w:webHidden/>
              </w:rPr>
              <w:fldChar w:fldCharType="begin"/>
            </w:r>
            <w:r w:rsidR="00BD4DB7">
              <w:rPr>
                <w:noProof/>
                <w:webHidden/>
              </w:rPr>
              <w:instrText xml:space="preserve"> PAGEREF _Toc31715872 \h </w:instrText>
            </w:r>
            <w:r w:rsidR="00BD4DB7">
              <w:rPr>
                <w:noProof/>
                <w:webHidden/>
              </w:rPr>
            </w:r>
            <w:r w:rsidR="00BD4DB7">
              <w:rPr>
                <w:noProof/>
                <w:webHidden/>
              </w:rPr>
              <w:fldChar w:fldCharType="separate"/>
            </w:r>
            <w:r w:rsidR="00BD4DB7">
              <w:rPr>
                <w:noProof/>
                <w:webHidden/>
              </w:rPr>
              <w:t>71</w:t>
            </w:r>
            <w:r w:rsidR="00BD4DB7">
              <w:rPr>
                <w:noProof/>
                <w:webHidden/>
              </w:rPr>
              <w:fldChar w:fldCharType="end"/>
            </w:r>
          </w:hyperlink>
        </w:p>
        <w:p w14:paraId="7DE2B6EA" w14:textId="0866D57F"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873" w:history="1">
            <w:r w:rsidR="00BD4DB7" w:rsidRPr="0089237F">
              <w:rPr>
                <w:rStyle w:val="Hipervnculo"/>
                <w:noProof/>
              </w:rPr>
              <w:t>CAPÍTULO CUARTO</w:t>
            </w:r>
            <w:r w:rsidR="00BD4DB7">
              <w:rPr>
                <w:noProof/>
                <w:webHidden/>
              </w:rPr>
              <w:tab/>
            </w:r>
            <w:r w:rsidR="00BD4DB7">
              <w:rPr>
                <w:noProof/>
                <w:webHidden/>
              </w:rPr>
              <w:fldChar w:fldCharType="begin"/>
            </w:r>
            <w:r w:rsidR="00BD4DB7">
              <w:rPr>
                <w:noProof/>
                <w:webHidden/>
              </w:rPr>
              <w:instrText xml:space="preserve"> PAGEREF _Toc31715873 \h </w:instrText>
            </w:r>
            <w:r w:rsidR="00BD4DB7">
              <w:rPr>
                <w:noProof/>
                <w:webHidden/>
              </w:rPr>
            </w:r>
            <w:r w:rsidR="00BD4DB7">
              <w:rPr>
                <w:noProof/>
                <w:webHidden/>
              </w:rPr>
              <w:fldChar w:fldCharType="separate"/>
            </w:r>
            <w:r w:rsidR="00BD4DB7">
              <w:rPr>
                <w:noProof/>
                <w:webHidden/>
              </w:rPr>
              <w:t>72</w:t>
            </w:r>
            <w:r w:rsidR="00BD4DB7">
              <w:rPr>
                <w:noProof/>
                <w:webHidden/>
              </w:rPr>
              <w:fldChar w:fldCharType="end"/>
            </w:r>
          </w:hyperlink>
        </w:p>
        <w:p w14:paraId="7D902DB5" w14:textId="55C92795"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874" w:history="1">
            <w:r w:rsidR="00BD4DB7" w:rsidRPr="0089237F">
              <w:rPr>
                <w:rStyle w:val="Hipervnculo"/>
                <w:noProof/>
              </w:rPr>
              <w:t>PROCEDIMIENTO PARA EL RETIRO VOLUNTARIO DE UN MIEMBRO O UN AGENTE</w:t>
            </w:r>
            <w:r w:rsidR="00BD4DB7">
              <w:rPr>
                <w:noProof/>
                <w:webHidden/>
              </w:rPr>
              <w:tab/>
            </w:r>
            <w:r w:rsidR="00BD4DB7">
              <w:rPr>
                <w:noProof/>
                <w:webHidden/>
              </w:rPr>
              <w:fldChar w:fldCharType="begin"/>
            </w:r>
            <w:r w:rsidR="00BD4DB7">
              <w:rPr>
                <w:noProof/>
                <w:webHidden/>
              </w:rPr>
              <w:instrText xml:space="preserve"> PAGEREF _Toc31715874 \h </w:instrText>
            </w:r>
            <w:r w:rsidR="00BD4DB7">
              <w:rPr>
                <w:noProof/>
                <w:webHidden/>
              </w:rPr>
            </w:r>
            <w:r w:rsidR="00BD4DB7">
              <w:rPr>
                <w:noProof/>
                <w:webHidden/>
              </w:rPr>
              <w:fldChar w:fldCharType="separate"/>
            </w:r>
            <w:r w:rsidR="00BD4DB7">
              <w:rPr>
                <w:noProof/>
                <w:webHidden/>
              </w:rPr>
              <w:t>72</w:t>
            </w:r>
            <w:r w:rsidR="00BD4DB7">
              <w:rPr>
                <w:noProof/>
                <w:webHidden/>
              </w:rPr>
              <w:fldChar w:fldCharType="end"/>
            </w:r>
          </w:hyperlink>
        </w:p>
        <w:p w14:paraId="1F367EF4" w14:textId="74B6EE81"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75" w:history="1">
            <w:r w:rsidR="00BD4DB7" w:rsidRPr="0089237F">
              <w:rPr>
                <w:rStyle w:val="Hipervnculo"/>
                <w:noProof/>
              </w:rPr>
              <w:t>Artículo 1.2.4.1. Retiro voluntario de un Miembro.</w:t>
            </w:r>
            <w:r w:rsidR="00BD4DB7">
              <w:rPr>
                <w:noProof/>
                <w:webHidden/>
              </w:rPr>
              <w:tab/>
            </w:r>
            <w:r w:rsidR="00BD4DB7">
              <w:rPr>
                <w:noProof/>
                <w:webHidden/>
              </w:rPr>
              <w:fldChar w:fldCharType="begin"/>
            </w:r>
            <w:r w:rsidR="00BD4DB7">
              <w:rPr>
                <w:noProof/>
                <w:webHidden/>
              </w:rPr>
              <w:instrText xml:space="preserve"> PAGEREF _Toc31715875 \h </w:instrText>
            </w:r>
            <w:r w:rsidR="00BD4DB7">
              <w:rPr>
                <w:noProof/>
                <w:webHidden/>
              </w:rPr>
            </w:r>
            <w:r w:rsidR="00BD4DB7">
              <w:rPr>
                <w:noProof/>
                <w:webHidden/>
              </w:rPr>
              <w:fldChar w:fldCharType="separate"/>
            </w:r>
            <w:r w:rsidR="00BD4DB7">
              <w:rPr>
                <w:noProof/>
                <w:webHidden/>
              </w:rPr>
              <w:t>72</w:t>
            </w:r>
            <w:r w:rsidR="00BD4DB7">
              <w:rPr>
                <w:noProof/>
                <w:webHidden/>
              </w:rPr>
              <w:fldChar w:fldCharType="end"/>
            </w:r>
          </w:hyperlink>
        </w:p>
        <w:p w14:paraId="08B11669" w14:textId="218B03B8"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76" w:history="1">
            <w:r w:rsidR="00BD4DB7" w:rsidRPr="0089237F">
              <w:rPr>
                <w:rStyle w:val="Hipervnculo"/>
                <w:noProof/>
              </w:rPr>
              <w:t>Artículo 1.2.4.2. Retiro voluntario de un Agente.</w:t>
            </w:r>
            <w:r w:rsidR="00BD4DB7">
              <w:rPr>
                <w:noProof/>
                <w:webHidden/>
              </w:rPr>
              <w:tab/>
            </w:r>
            <w:r w:rsidR="00BD4DB7">
              <w:rPr>
                <w:noProof/>
                <w:webHidden/>
              </w:rPr>
              <w:fldChar w:fldCharType="begin"/>
            </w:r>
            <w:r w:rsidR="00BD4DB7">
              <w:rPr>
                <w:noProof/>
                <w:webHidden/>
              </w:rPr>
              <w:instrText xml:space="preserve"> PAGEREF _Toc31715876 \h </w:instrText>
            </w:r>
            <w:r w:rsidR="00BD4DB7">
              <w:rPr>
                <w:noProof/>
                <w:webHidden/>
              </w:rPr>
            </w:r>
            <w:r w:rsidR="00BD4DB7">
              <w:rPr>
                <w:noProof/>
                <w:webHidden/>
              </w:rPr>
              <w:fldChar w:fldCharType="separate"/>
            </w:r>
            <w:r w:rsidR="00BD4DB7">
              <w:rPr>
                <w:noProof/>
                <w:webHidden/>
              </w:rPr>
              <w:t>73</w:t>
            </w:r>
            <w:r w:rsidR="00BD4DB7">
              <w:rPr>
                <w:noProof/>
                <w:webHidden/>
              </w:rPr>
              <w:fldChar w:fldCharType="end"/>
            </w:r>
          </w:hyperlink>
        </w:p>
        <w:p w14:paraId="0CB55D5D" w14:textId="27EA5873"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77" w:history="1">
            <w:r w:rsidR="00BD4DB7" w:rsidRPr="0089237F">
              <w:rPr>
                <w:rStyle w:val="Hipervnculo"/>
                <w:noProof/>
              </w:rPr>
              <w:t>Artículo 1.2.4.3. Retiro voluntario de un Miembro de la Compensación y Liquidación de un Segmento.</w:t>
            </w:r>
            <w:r w:rsidR="00BD4DB7">
              <w:rPr>
                <w:noProof/>
                <w:webHidden/>
              </w:rPr>
              <w:tab/>
            </w:r>
            <w:r w:rsidR="00BD4DB7">
              <w:rPr>
                <w:noProof/>
                <w:webHidden/>
              </w:rPr>
              <w:fldChar w:fldCharType="begin"/>
            </w:r>
            <w:r w:rsidR="00BD4DB7">
              <w:rPr>
                <w:noProof/>
                <w:webHidden/>
              </w:rPr>
              <w:instrText xml:space="preserve"> PAGEREF _Toc31715877 \h </w:instrText>
            </w:r>
            <w:r w:rsidR="00BD4DB7">
              <w:rPr>
                <w:noProof/>
                <w:webHidden/>
              </w:rPr>
            </w:r>
            <w:r w:rsidR="00BD4DB7">
              <w:rPr>
                <w:noProof/>
                <w:webHidden/>
              </w:rPr>
              <w:fldChar w:fldCharType="separate"/>
            </w:r>
            <w:r w:rsidR="00BD4DB7">
              <w:rPr>
                <w:noProof/>
                <w:webHidden/>
              </w:rPr>
              <w:t>73</w:t>
            </w:r>
            <w:r w:rsidR="00BD4DB7">
              <w:rPr>
                <w:noProof/>
                <w:webHidden/>
              </w:rPr>
              <w:fldChar w:fldCharType="end"/>
            </w:r>
          </w:hyperlink>
        </w:p>
        <w:p w14:paraId="24CB7A80" w14:textId="0F893748"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878" w:history="1">
            <w:r w:rsidR="00BD4DB7" w:rsidRPr="0089237F">
              <w:rPr>
                <w:rStyle w:val="Hipervnculo"/>
                <w:noProof/>
              </w:rPr>
              <w:t>CAPITULO QUINTO</w:t>
            </w:r>
            <w:r w:rsidR="00BD4DB7">
              <w:rPr>
                <w:noProof/>
                <w:webHidden/>
              </w:rPr>
              <w:tab/>
            </w:r>
            <w:r w:rsidR="00BD4DB7">
              <w:rPr>
                <w:noProof/>
                <w:webHidden/>
              </w:rPr>
              <w:fldChar w:fldCharType="begin"/>
            </w:r>
            <w:r w:rsidR="00BD4DB7">
              <w:rPr>
                <w:noProof/>
                <w:webHidden/>
              </w:rPr>
              <w:instrText xml:space="preserve"> PAGEREF _Toc31715878 \h </w:instrText>
            </w:r>
            <w:r w:rsidR="00BD4DB7">
              <w:rPr>
                <w:noProof/>
                <w:webHidden/>
              </w:rPr>
            </w:r>
            <w:r w:rsidR="00BD4DB7">
              <w:rPr>
                <w:noProof/>
                <w:webHidden/>
              </w:rPr>
              <w:fldChar w:fldCharType="separate"/>
            </w:r>
            <w:r w:rsidR="00BD4DB7">
              <w:rPr>
                <w:noProof/>
                <w:webHidden/>
              </w:rPr>
              <w:t>73</w:t>
            </w:r>
            <w:r w:rsidR="00BD4DB7">
              <w:rPr>
                <w:noProof/>
                <w:webHidden/>
              </w:rPr>
              <w:fldChar w:fldCharType="end"/>
            </w:r>
          </w:hyperlink>
        </w:p>
        <w:p w14:paraId="2D273F71" w14:textId="6FBCD8D3"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879" w:history="1">
            <w:r w:rsidR="00BD4DB7" w:rsidRPr="0089237F">
              <w:rPr>
                <w:rStyle w:val="Hipervnculo"/>
                <w:noProof/>
              </w:rPr>
              <w:t>DEL ACCESO AL SISTEMA QUE ADMINISTRA LA CÁMARA Y DE SU ADMINISTRACIÓN</w:t>
            </w:r>
            <w:r w:rsidR="00BD4DB7">
              <w:rPr>
                <w:noProof/>
                <w:webHidden/>
              </w:rPr>
              <w:tab/>
            </w:r>
            <w:r w:rsidR="00BD4DB7">
              <w:rPr>
                <w:noProof/>
                <w:webHidden/>
              </w:rPr>
              <w:fldChar w:fldCharType="begin"/>
            </w:r>
            <w:r w:rsidR="00BD4DB7">
              <w:rPr>
                <w:noProof/>
                <w:webHidden/>
              </w:rPr>
              <w:instrText xml:space="preserve"> PAGEREF _Toc31715879 \h </w:instrText>
            </w:r>
            <w:r w:rsidR="00BD4DB7">
              <w:rPr>
                <w:noProof/>
                <w:webHidden/>
              </w:rPr>
            </w:r>
            <w:r w:rsidR="00BD4DB7">
              <w:rPr>
                <w:noProof/>
                <w:webHidden/>
              </w:rPr>
              <w:fldChar w:fldCharType="separate"/>
            </w:r>
            <w:r w:rsidR="00BD4DB7">
              <w:rPr>
                <w:noProof/>
                <w:webHidden/>
              </w:rPr>
              <w:t>73</w:t>
            </w:r>
            <w:r w:rsidR="00BD4DB7">
              <w:rPr>
                <w:noProof/>
                <w:webHidden/>
              </w:rPr>
              <w:fldChar w:fldCharType="end"/>
            </w:r>
          </w:hyperlink>
        </w:p>
        <w:p w14:paraId="55B99BB4" w14:textId="51827C22"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80" w:history="1">
            <w:r w:rsidR="00BD4DB7" w:rsidRPr="0089237F">
              <w:rPr>
                <w:rStyle w:val="Hipervnculo"/>
                <w:noProof/>
              </w:rPr>
              <w:t>Artículo 1.2.5.1. Administración del Sistema.</w:t>
            </w:r>
            <w:r w:rsidR="00BD4DB7">
              <w:rPr>
                <w:noProof/>
                <w:webHidden/>
              </w:rPr>
              <w:tab/>
            </w:r>
            <w:r w:rsidR="00BD4DB7">
              <w:rPr>
                <w:noProof/>
                <w:webHidden/>
              </w:rPr>
              <w:fldChar w:fldCharType="begin"/>
            </w:r>
            <w:r w:rsidR="00BD4DB7">
              <w:rPr>
                <w:noProof/>
                <w:webHidden/>
              </w:rPr>
              <w:instrText xml:space="preserve"> PAGEREF _Toc31715880 \h </w:instrText>
            </w:r>
            <w:r w:rsidR="00BD4DB7">
              <w:rPr>
                <w:noProof/>
                <w:webHidden/>
              </w:rPr>
            </w:r>
            <w:r w:rsidR="00BD4DB7">
              <w:rPr>
                <w:noProof/>
                <w:webHidden/>
              </w:rPr>
              <w:fldChar w:fldCharType="separate"/>
            </w:r>
            <w:r w:rsidR="00BD4DB7">
              <w:rPr>
                <w:noProof/>
                <w:webHidden/>
              </w:rPr>
              <w:t>74</w:t>
            </w:r>
            <w:r w:rsidR="00BD4DB7">
              <w:rPr>
                <w:noProof/>
                <w:webHidden/>
              </w:rPr>
              <w:fldChar w:fldCharType="end"/>
            </w:r>
          </w:hyperlink>
        </w:p>
        <w:p w14:paraId="4C97376F" w14:textId="7BAF992D"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81" w:history="1">
            <w:r w:rsidR="00BD4DB7" w:rsidRPr="0089237F">
              <w:rPr>
                <w:rStyle w:val="Hipervnculo"/>
                <w:noProof/>
              </w:rPr>
              <w:t>Artículo 1.2.5.2. Creación de los Miembros y Agentes en el Sistema de Cámara.</w:t>
            </w:r>
            <w:r w:rsidR="00BD4DB7">
              <w:rPr>
                <w:noProof/>
                <w:webHidden/>
              </w:rPr>
              <w:tab/>
            </w:r>
            <w:r w:rsidR="00BD4DB7">
              <w:rPr>
                <w:noProof/>
                <w:webHidden/>
              </w:rPr>
              <w:fldChar w:fldCharType="begin"/>
            </w:r>
            <w:r w:rsidR="00BD4DB7">
              <w:rPr>
                <w:noProof/>
                <w:webHidden/>
              </w:rPr>
              <w:instrText xml:space="preserve"> PAGEREF _Toc31715881 \h </w:instrText>
            </w:r>
            <w:r w:rsidR="00BD4DB7">
              <w:rPr>
                <w:noProof/>
                <w:webHidden/>
              </w:rPr>
            </w:r>
            <w:r w:rsidR="00BD4DB7">
              <w:rPr>
                <w:noProof/>
                <w:webHidden/>
              </w:rPr>
              <w:fldChar w:fldCharType="separate"/>
            </w:r>
            <w:r w:rsidR="00BD4DB7">
              <w:rPr>
                <w:noProof/>
                <w:webHidden/>
              </w:rPr>
              <w:t>74</w:t>
            </w:r>
            <w:r w:rsidR="00BD4DB7">
              <w:rPr>
                <w:noProof/>
                <w:webHidden/>
              </w:rPr>
              <w:fldChar w:fldCharType="end"/>
            </w:r>
          </w:hyperlink>
        </w:p>
        <w:p w14:paraId="60367E81" w14:textId="6B54E940"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82" w:history="1">
            <w:r w:rsidR="00BD4DB7" w:rsidRPr="0089237F">
              <w:rPr>
                <w:rStyle w:val="Hipervnculo"/>
                <w:noProof/>
              </w:rPr>
              <w:t>Artículo 1.2.5.3. Mecanismos de acceso al Sistema de Información de Cámara.</w:t>
            </w:r>
            <w:r w:rsidR="00BD4DB7">
              <w:rPr>
                <w:noProof/>
                <w:webHidden/>
              </w:rPr>
              <w:tab/>
            </w:r>
            <w:r w:rsidR="00BD4DB7">
              <w:rPr>
                <w:noProof/>
                <w:webHidden/>
              </w:rPr>
              <w:fldChar w:fldCharType="begin"/>
            </w:r>
            <w:r w:rsidR="00BD4DB7">
              <w:rPr>
                <w:noProof/>
                <w:webHidden/>
              </w:rPr>
              <w:instrText xml:space="preserve"> PAGEREF _Toc31715882 \h </w:instrText>
            </w:r>
            <w:r w:rsidR="00BD4DB7">
              <w:rPr>
                <w:noProof/>
                <w:webHidden/>
              </w:rPr>
            </w:r>
            <w:r w:rsidR="00BD4DB7">
              <w:rPr>
                <w:noProof/>
                <w:webHidden/>
              </w:rPr>
              <w:fldChar w:fldCharType="separate"/>
            </w:r>
            <w:r w:rsidR="00BD4DB7">
              <w:rPr>
                <w:noProof/>
                <w:webHidden/>
              </w:rPr>
              <w:t>75</w:t>
            </w:r>
            <w:r w:rsidR="00BD4DB7">
              <w:rPr>
                <w:noProof/>
                <w:webHidden/>
              </w:rPr>
              <w:fldChar w:fldCharType="end"/>
            </w:r>
          </w:hyperlink>
        </w:p>
        <w:p w14:paraId="25A00B42" w14:textId="61471B82"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83" w:history="1">
            <w:r w:rsidR="00BD4DB7" w:rsidRPr="0089237F">
              <w:rPr>
                <w:rStyle w:val="Hipervnculo"/>
                <w:noProof/>
              </w:rPr>
              <w:t>Artículo 1.2.5.4. Deberes del Administrador del Miembro.</w:t>
            </w:r>
            <w:r w:rsidR="00BD4DB7">
              <w:rPr>
                <w:noProof/>
                <w:webHidden/>
              </w:rPr>
              <w:tab/>
            </w:r>
            <w:r w:rsidR="00BD4DB7">
              <w:rPr>
                <w:noProof/>
                <w:webHidden/>
              </w:rPr>
              <w:fldChar w:fldCharType="begin"/>
            </w:r>
            <w:r w:rsidR="00BD4DB7">
              <w:rPr>
                <w:noProof/>
                <w:webHidden/>
              </w:rPr>
              <w:instrText xml:space="preserve"> PAGEREF _Toc31715883 \h </w:instrText>
            </w:r>
            <w:r w:rsidR="00BD4DB7">
              <w:rPr>
                <w:noProof/>
                <w:webHidden/>
              </w:rPr>
            </w:r>
            <w:r w:rsidR="00BD4DB7">
              <w:rPr>
                <w:noProof/>
                <w:webHidden/>
              </w:rPr>
              <w:fldChar w:fldCharType="separate"/>
            </w:r>
            <w:r w:rsidR="00BD4DB7">
              <w:rPr>
                <w:noProof/>
                <w:webHidden/>
              </w:rPr>
              <w:t>76</w:t>
            </w:r>
            <w:r w:rsidR="00BD4DB7">
              <w:rPr>
                <w:noProof/>
                <w:webHidden/>
              </w:rPr>
              <w:fldChar w:fldCharType="end"/>
            </w:r>
          </w:hyperlink>
        </w:p>
        <w:p w14:paraId="07DCA824" w14:textId="68B43A80"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84" w:history="1">
            <w:r w:rsidR="00BD4DB7" w:rsidRPr="0089237F">
              <w:rPr>
                <w:rStyle w:val="Hipervnculo"/>
                <w:rFonts w:eastAsiaTheme="minorHAnsi"/>
                <w:noProof/>
              </w:rPr>
              <w:t>Artículo 1.2.5.5. Facultades especiales del Administrador del Sistema</w:t>
            </w:r>
            <w:r w:rsidR="00BD4DB7">
              <w:rPr>
                <w:noProof/>
                <w:webHidden/>
              </w:rPr>
              <w:tab/>
            </w:r>
            <w:r w:rsidR="00BD4DB7">
              <w:rPr>
                <w:noProof/>
                <w:webHidden/>
              </w:rPr>
              <w:fldChar w:fldCharType="begin"/>
            </w:r>
            <w:r w:rsidR="00BD4DB7">
              <w:rPr>
                <w:noProof/>
                <w:webHidden/>
              </w:rPr>
              <w:instrText xml:space="preserve"> PAGEREF _Toc31715884 \h </w:instrText>
            </w:r>
            <w:r w:rsidR="00BD4DB7">
              <w:rPr>
                <w:noProof/>
                <w:webHidden/>
              </w:rPr>
            </w:r>
            <w:r w:rsidR="00BD4DB7">
              <w:rPr>
                <w:noProof/>
                <w:webHidden/>
              </w:rPr>
              <w:fldChar w:fldCharType="separate"/>
            </w:r>
            <w:r w:rsidR="00BD4DB7">
              <w:rPr>
                <w:noProof/>
                <w:webHidden/>
              </w:rPr>
              <w:t>78</w:t>
            </w:r>
            <w:r w:rsidR="00BD4DB7">
              <w:rPr>
                <w:noProof/>
                <w:webHidden/>
              </w:rPr>
              <w:fldChar w:fldCharType="end"/>
            </w:r>
          </w:hyperlink>
        </w:p>
        <w:p w14:paraId="372B134B" w14:textId="0334376B"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85" w:history="1">
            <w:r w:rsidR="00BD4DB7" w:rsidRPr="0089237F">
              <w:rPr>
                <w:rStyle w:val="Hipervnculo"/>
                <w:noProof/>
              </w:rPr>
              <w:t>Artículo 1.2.5.6. Deberes del Miembro y/o Agente cuando el Administrador del Miembro y/o Agente cese en sus funciones.</w:t>
            </w:r>
            <w:r w:rsidR="00BD4DB7">
              <w:rPr>
                <w:noProof/>
                <w:webHidden/>
              </w:rPr>
              <w:tab/>
            </w:r>
            <w:r w:rsidR="00BD4DB7">
              <w:rPr>
                <w:noProof/>
                <w:webHidden/>
              </w:rPr>
              <w:fldChar w:fldCharType="begin"/>
            </w:r>
            <w:r w:rsidR="00BD4DB7">
              <w:rPr>
                <w:noProof/>
                <w:webHidden/>
              </w:rPr>
              <w:instrText xml:space="preserve"> PAGEREF _Toc31715885 \h </w:instrText>
            </w:r>
            <w:r w:rsidR="00BD4DB7">
              <w:rPr>
                <w:noProof/>
                <w:webHidden/>
              </w:rPr>
            </w:r>
            <w:r w:rsidR="00BD4DB7">
              <w:rPr>
                <w:noProof/>
                <w:webHidden/>
              </w:rPr>
              <w:fldChar w:fldCharType="separate"/>
            </w:r>
            <w:r w:rsidR="00BD4DB7">
              <w:rPr>
                <w:noProof/>
                <w:webHidden/>
              </w:rPr>
              <w:t>78</w:t>
            </w:r>
            <w:r w:rsidR="00BD4DB7">
              <w:rPr>
                <w:noProof/>
                <w:webHidden/>
              </w:rPr>
              <w:fldChar w:fldCharType="end"/>
            </w:r>
          </w:hyperlink>
        </w:p>
        <w:p w14:paraId="0A8FF027" w14:textId="6F9765FD"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86" w:history="1">
            <w:r w:rsidR="00BD4DB7" w:rsidRPr="0089237F">
              <w:rPr>
                <w:rStyle w:val="Hipervnculo"/>
                <w:noProof/>
              </w:rPr>
              <w:t>Artículo 1.2.5.7. Acceso al Sistema.</w:t>
            </w:r>
            <w:r w:rsidR="00BD4DB7">
              <w:rPr>
                <w:noProof/>
                <w:webHidden/>
              </w:rPr>
              <w:tab/>
            </w:r>
            <w:r w:rsidR="00BD4DB7">
              <w:rPr>
                <w:noProof/>
                <w:webHidden/>
              </w:rPr>
              <w:fldChar w:fldCharType="begin"/>
            </w:r>
            <w:r w:rsidR="00BD4DB7">
              <w:rPr>
                <w:noProof/>
                <w:webHidden/>
              </w:rPr>
              <w:instrText xml:space="preserve"> PAGEREF _Toc31715886 \h </w:instrText>
            </w:r>
            <w:r w:rsidR="00BD4DB7">
              <w:rPr>
                <w:noProof/>
                <w:webHidden/>
              </w:rPr>
            </w:r>
            <w:r w:rsidR="00BD4DB7">
              <w:rPr>
                <w:noProof/>
                <w:webHidden/>
              </w:rPr>
              <w:fldChar w:fldCharType="separate"/>
            </w:r>
            <w:r w:rsidR="00BD4DB7">
              <w:rPr>
                <w:noProof/>
                <w:webHidden/>
              </w:rPr>
              <w:t>78</w:t>
            </w:r>
            <w:r w:rsidR="00BD4DB7">
              <w:rPr>
                <w:noProof/>
                <w:webHidden/>
              </w:rPr>
              <w:fldChar w:fldCharType="end"/>
            </w:r>
          </w:hyperlink>
        </w:p>
        <w:p w14:paraId="4EFCBBB8" w14:textId="13AA6EB3"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87" w:history="1">
            <w:r w:rsidR="00BD4DB7" w:rsidRPr="0089237F">
              <w:rPr>
                <w:rStyle w:val="Hipervnculo"/>
                <w:noProof/>
              </w:rPr>
              <w:t>Artículo 1.2.5.8. Otros tipos de Acceso al Sistema.</w:t>
            </w:r>
            <w:r w:rsidR="00BD4DB7">
              <w:rPr>
                <w:noProof/>
                <w:webHidden/>
              </w:rPr>
              <w:tab/>
            </w:r>
            <w:r w:rsidR="00BD4DB7">
              <w:rPr>
                <w:noProof/>
                <w:webHidden/>
              </w:rPr>
              <w:fldChar w:fldCharType="begin"/>
            </w:r>
            <w:r w:rsidR="00BD4DB7">
              <w:rPr>
                <w:noProof/>
                <w:webHidden/>
              </w:rPr>
              <w:instrText xml:space="preserve"> PAGEREF _Toc31715887 \h </w:instrText>
            </w:r>
            <w:r w:rsidR="00BD4DB7">
              <w:rPr>
                <w:noProof/>
                <w:webHidden/>
              </w:rPr>
            </w:r>
            <w:r w:rsidR="00BD4DB7">
              <w:rPr>
                <w:noProof/>
                <w:webHidden/>
              </w:rPr>
              <w:fldChar w:fldCharType="separate"/>
            </w:r>
            <w:r w:rsidR="00BD4DB7">
              <w:rPr>
                <w:noProof/>
                <w:webHidden/>
              </w:rPr>
              <w:t>80</w:t>
            </w:r>
            <w:r w:rsidR="00BD4DB7">
              <w:rPr>
                <w:noProof/>
                <w:webHidden/>
              </w:rPr>
              <w:fldChar w:fldCharType="end"/>
            </w:r>
          </w:hyperlink>
        </w:p>
        <w:p w14:paraId="50BA5A7C" w14:textId="6A32C23E"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88" w:history="1">
            <w:r w:rsidR="00BD4DB7" w:rsidRPr="0089237F">
              <w:rPr>
                <w:rStyle w:val="Hipervnculo"/>
                <w:noProof/>
              </w:rPr>
              <w:t>Artículo 1.2.5.9. Procedimiento de entrega de la clave de acceso al Sistema al Administrador del Miembro y/o Agente.</w:t>
            </w:r>
            <w:r w:rsidR="00BD4DB7">
              <w:rPr>
                <w:noProof/>
                <w:webHidden/>
              </w:rPr>
              <w:tab/>
            </w:r>
            <w:r w:rsidR="00BD4DB7">
              <w:rPr>
                <w:noProof/>
                <w:webHidden/>
              </w:rPr>
              <w:fldChar w:fldCharType="begin"/>
            </w:r>
            <w:r w:rsidR="00BD4DB7">
              <w:rPr>
                <w:noProof/>
                <w:webHidden/>
              </w:rPr>
              <w:instrText xml:space="preserve"> PAGEREF _Toc31715888 \h </w:instrText>
            </w:r>
            <w:r w:rsidR="00BD4DB7">
              <w:rPr>
                <w:noProof/>
                <w:webHidden/>
              </w:rPr>
            </w:r>
            <w:r w:rsidR="00BD4DB7">
              <w:rPr>
                <w:noProof/>
                <w:webHidden/>
              </w:rPr>
              <w:fldChar w:fldCharType="separate"/>
            </w:r>
            <w:r w:rsidR="00BD4DB7">
              <w:rPr>
                <w:noProof/>
                <w:webHidden/>
              </w:rPr>
              <w:t>80</w:t>
            </w:r>
            <w:r w:rsidR="00BD4DB7">
              <w:rPr>
                <w:noProof/>
                <w:webHidden/>
              </w:rPr>
              <w:fldChar w:fldCharType="end"/>
            </w:r>
          </w:hyperlink>
        </w:p>
        <w:p w14:paraId="182E1C51" w14:textId="2D3403DF"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89" w:history="1">
            <w:r w:rsidR="00BD4DB7" w:rsidRPr="0089237F">
              <w:rPr>
                <w:rStyle w:val="Hipervnculo"/>
                <w:noProof/>
              </w:rPr>
              <w:t>Artículo 1.2.5.10. Procedimiento de entrega de las claves de acceso al Sistema a los Operadores del Miembro.</w:t>
            </w:r>
            <w:r w:rsidR="00BD4DB7">
              <w:rPr>
                <w:noProof/>
                <w:webHidden/>
              </w:rPr>
              <w:tab/>
            </w:r>
            <w:r w:rsidR="00BD4DB7">
              <w:rPr>
                <w:noProof/>
                <w:webHidden/>
              </w:rPr>
              <w:fldChar w:fldCharType="begin"/>
            </w:r>
            <w:r w:rsidR="00BD4DB7">
              <w:rPr>
                <w:noProof/>
                <w:webHidden/>
              </w:rPr>
              <w:instrText xml:space="preserve"> PAGEREF _Toc31715889 \h </w:instrText>
            </w:r>
            <w:r w:rsidR="00BD4DB7">
              <w:rPr>
                <w:noProof/>
                <w:webHidden/>
              </w:rPr>
            </w:r>
            <w:r w:rsidR="00BD4DB7">
              <w:rPr>
                <w:noProof/>
                <w:webHidden/>
              </w:rPr>
              <w:fldChar w:fldCharType="separate"/>
            </w:r>
            <w:r w:rsidR="00BD4DB7">
              <w:rPr>
                <w:noProof/>
                <w:webHidden/>
              </w:rPr>
              <w:t>81</w:t>
            </w:r>
            <w:r w:rsidR="00BD4DB7">
              <w:rPr>
                <w:noProof/>
                <w:webHidden/>
              </w:rPr>
              <w:fldChar w:fldCharType="end"/>
            </w:r>
          </w:hyperlink>
        </w:p>
        <w:p w14:paraId="3C011E07" w14:textId="585611E8"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90" w:history="1">
            <w:r w:rsidR="00BD4DB7" w:rsidRPr="0089237F">
              <w:rPr>
                <w:rStyle w:val="Hipervnculo"/>
                <w:noProof/>
              </w:rPr>
              <w:t>Artículo 1.2.5.11. Deberes y obligaciones especiales de los Operadores respecto de la Clave de Acceso.</w:t>
            </w:r>
            <w:r w:rsidR="00BD4DB7">
              <w:rPr>
                <w:noProof/>
                <w:webHidden/>
              </w:rPr>
              <w:tab/>
            </w:r>
            <w:r w:rsidR="00BD4DB7">
              <w:rPr>
                <w:noProof/>
                <w:webHidden/>
              </w:rPr>
              <w:fldChar w:fldCharType="begin"/>
            </w:r>
            <w:r w:rsidR="00BD4DB7">
              <w:rPr>
                <w:noProof/>
                <w:webHidden/>
              </w:rPr>
              <w:instrText xml:space="preserve"> PAGEREF _Toc31715890 \h </w:instrText>
            </w:r>
            <w:r w:rsidR="00BD4DB7">
              <w:rPr>
                <w:noProof/>
                <w:webHidden/>
              </w:rPr>
            </w:r>
            <w:r w:rsidR="00BD4DB7">
              <w:rPr>
                <w:noProof/>
                <w:webHidden/>
              </w:rPr>
              <w:fldChar w:fldCharType="separate"/>
            </w:r>
            <w:r w:rsidR="00BD4DB7">
              <w:rPr>
                <w:noProof/>
                <w:webHidden/>
              </w:rPr>
              <w:t>81</w:t>
            </w:r>
            <w:r w:rsidR="00BD4DB7">
              <w:rPr>
                <w:noProof/>
                <w:webHidden/>
              </w:rPr>
              <w:fldChar w:fldCharType="end"/>
            </w:r>
          </w:hyperlink>
        </w:p>
        <w:p w14:paraId="11E9BAC7" w14:textId="7224E5C8"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91" w:history="1">
            <w:r w:rsidR="00BD4DB7" w:rsidRPr="0089237F">
              <w:rPr>
                <w:rStyle w:val="Hipervnculo"/>
                <w:noProof/>
              </w:rPr>
              <w:t>Artículo 1.2.5.12. Auditoría y responsabilidad a partir del otorgamiento del código y clave de Acceso.</w:t>
            </w:r>
            <w:r w:rsidR="00BD4DB7">
              <w:rPr>
                <w:noProof/>
                <w:webHidden/>
              </w:rPr>
              <w:tab/>
            </w:r>
            <w:r w:rsidR="00BD4DB7">
              <w:rPr>
                <w:noProof/>
                <w:webHidden/>
              </w:rPr>
              <w:fldChar w:fldCharType="begin"/>
            </w:r>
            <w:r w:rsidR="00BD4DB7">
              <w:rPr>
                <w:noProof/>
                <w:webHidden/>
              </w:rPr>
              <w:instrText xml:space="preserve"> PAGEREF _Toc31715891 \h </w:instrText>
            </w:r>
            <w:r w:rsidR="00BD4DB7">
              <w:rPr>
                <w:noProof/>
                <w:webHidden/>
              </w:rPr>
            </w:r>
            <w:r w:rsidR="00BD4DB7">
              <w:rPr>
                <w:noProof/>
                <w:webHidden/>
              </w:rPr>
              <w:fldChar w:fldCharType="separate"/>
            </w:r>
            <w:r w:rsidR="00BD4DB7">
              <w:rPr>
                <w:noProof/>
                <w:webHidden/>
              </w:rPr>
              <w:t>82</w:t>
            </w:r>
            <w:r w:rsidR="00BD4DB7">
              <w:rPr>
                <w:noProof/>
                <w:webHidden/>
              </w:rPr>
              <w:fldChar w:fldCharType="end"/>
            </w:r>
          </w:hyperlink>
        </w:p>
        <w:p w14:paraId="4EAF1BAA" w14:textId="3A5D4FD4"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892" w:history="1">
            <w:r w:rsidR="00BD4DB7" w:rsidRPr="0089237F">
              <w:rPr>
                <w:rStyle w:val="Hipervnculo"/>
                <w:noProof/>
              </w:rPr>
              <w:t>TÍTULO TERCERO</w:t>
            </w:r>
            <w:r w:rsidR="00BD4DB7">
              <w:rPr>
                <w:noProof/>
                <w:webHidden/>
              </w:rPr>
              <w:tab/>
            </w:r>
            <w:r w:rsidR="00BD4DB7">
              <w:rPr>
                <w:noProof/>
                <w:webHidden/>
              </w:rPr>
              <w:fldChar w:fldCharType="begin"/>
            </w:r>
            <w:r w:rsidR="00BD4DB7">
              <w:rPr>
                <w:noProof/>
                <w:webHidden/>
              </w:rPr>
              <w:instrText xml:space="preserve"> PAGEREF _Toc31715892 \h </w:instrText>
            </w:r>
            <w:r w:rsidR="00BD4DB7">
              <w:rPr>
                <w:noProof/>
                <w:webHidden/>
              </w:rPr>
            </w:r>
            <w:r w:rsidR="00BD4DB7">
              <w:rPr>
                <w:noProof/>
                <w:webHidden/>
              </w:rPr>
              <w:fldChar w:fldCharType="separate"/>
            </w:r>
            <w:r w:rsidR="00BD4DB7">
              <w:rPr>
                <w:noProof/>
                <w:webHidden/>
              </w:rPr>
              <w:t>82</w:t>
            </w:r>
            <w:r w:rsidR="00BD4DB7">
              <w:rPr>
                <w:noProof/>
                <w:webHidden/>
              </w:rPr>
              <w:fldChar w:fldCharType="end"/>
            </w:r>
          </w:hyperlink>
        </w:p>
        <w:p w14:paraId="2EC52B84" w14:textId="55D3D64B"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893" w:history="1">
            <w:r w:rsidR="00BD4DB7" w:rsidRPr="0089237F">
              <w:rPr>
                <w:rStyle w:val="Hipervnculo"/>
                <w:noProof/>
              </w:rPr>
              <w:t>CONFIRMACIÓN Y ACEPTACIÓN DE OPERACIONES</w:t>
            </w:r>
            <w:r w:rsidR="00BD4DB7">
              <w:rPr>
                <w:noProof/>
                <w:webHidden/>
              </w:rPr>
              <w:tab/>
            </w:r>
            <w:r w:rsidR="00BD4DB7">
              <w:rPr>
                <w:noProof/>
                <w:webHidden/>
              </w:rPr>
              <w:fldChar w:fldCharType="begin"/>
            </w:r>
            <w:r w:rsidR="00BD4DB7">
              <w:rPr>
                <w:noProof/>
                <w:webHidden/>
              </w:rPr>
              <w:instrText xml:space="preserve"> PAGEREF _Toc31715893 \h </w:instrText>
            </w:r>
            <w:r w:rsidR="00BD4DB7">
              <w:rPr>
                <w:noProof/>
                <w:webHidden/>
              </w:rPr>
            </w:r>
            <w:r w:rsidR="00BD4DB7">
              <w:rPr>
                <w:noProof/>
                <w:webHidden/>
              </w:rPr>
              <w:fldChar w:fldCharType="separate"/>
            </w:r>
            <w:r w:rsidR="00BD4DB7">
              <w:rPr>
                <w:noProof/>
                <w:webHidden/>
              </w:rPr>
              <w:t>82</w:t>
            </w:r>
            <w:r w:rsidR="00BD4DB7">
              <w:rPr>
                <w:noProof/>
                <w:webHidden/>
              </w:rPr>
              <w:fldChar w:fldCharType="end"/>
            </w:r>
          </w:hyperlink>
        </w:p>
        <w:p w14:paraId="5D2329DD" w14:textId="5C61B2FF"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894" w:history="1">
            <w:r w:rsidR="00BD4DB7" w:rsidRPr="0089237F">
              <w:rPr>
                <w:rStyle w:val="Hipervnculo"/>
                <w:noProof/>
              </w:rPr>
              <w:t>CAPÍTULO PRIMERO</w:t>
            </w:r>
            <w:r w:rsidR="00BD4DB7">
              <w:rPr>
                <w:noProof/>
                <w:webHidden/>
              </w:rPr>
              <w:tab/>
            </w:r>
            <w:r w:rsidR="00BD4DB7">
              <w:rPr>
                <w:noProof/>
                <w:webHidden/>
              </w:rPr>
              <w:fldChar w:fldCharType="begin"/>
            </w:r>
            <w:r w:rsidR="00BD4DB7">
              <w:rPr>
                <w:noProof/>
                <w:webHidden/>
              </w:rPr>
              <w:instrText xml:space="preserve"> PAGEREF _Toc31715894 \h </w:instrText>
            </w:r>
            <w:r w:rsidR="00BD4DB7">
              <w:rPr>
                <w:noProof/>
                <w:webHidden/>
              </w:rPr>
            </w:r>
            <w:r w:rsidR="00BD4DB7">
              <w:rPr>
                <w:noProof/>
                <w:webHidden/>
              </w:rPr>
              <w:fldChar w:fldCharType="separate"/>
            </w:r>
            <w:r w:rsidR="00BD4DB7">
              <w:rPr>
                <w:noProof/>
                <w:webHidden/>
              </w:rPr>
              <w:t>82</w:t>
            </w:r>
            <w:r w:rsidR="00BD4DB7">
              <w:rPr>
                <w:noProof/>
                <w:webHidden/>
              </w:rPr>
              <w:fldChar w:fldCharType="end"/>
            </w:r>
          </w:hyperlink>
        </w:p>
        <w:p w14:paraId="2909E4FE" w14:textId="4A53C098"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895" w:history="1">
            <w:r w:rsidR="00BD4DB7" w:rsidRPr="0089237F">
              <w:rPr>
                <w:rStyle w:val="Hipervnculo"/>
                <w:noProof/>
              </w:rPr>
              <w:t>CONFIRMACIÓN, CONTROL DE RIESGO Y ACEPTACIÓN DE OPERACIONES PROVENIENTES DE SISTEMAS DE NEGOCIACIÓN Y REGISTRO O MECANISMOS DE CONTRATACIÓN</w:t>
            </w:r>
            <w:r w:rsidR="00BD4DB7">
              <w:rPr>
                <w:noProof/>
                <w:webHidden/>
              </w:rPr>
              <w:tab/>
            </w:r>
            <w:r w:rsidR="00BD4DB7">
              <w:rPr>
                <w:noProof/>
                <w:webHidden/>
              </w:rPr>
              <w:fldChar w:fldCharType="begin"/>
            </w:r>
            <w:r w:rsidR="00BD4DB7">
              <w:rPr>
                <w:noProof/>
                <w:webHidden/>
              </w:rPr>
              <w:instrText xml:space="preserve"> PAGEREF _Toc31715895 \h </w:instrText>
            </w:r>
            <w:r w:rsidR="00BD4DB7">
              <w:rPr>
                <w:noProof/>
                <w:webHidden/>
              </w:rPr>
            </w:r>
            <w:r w:rsidR="00BD4DB7">
              <w:rPr>
                <w:noProof/>
                <w:webHidden/>
              </w:rPr>
              <w:fldChar w:fldCharType="separate"/>
            </w:r>
            <w:r w:rsidR="00BD4DB7">
              <w:rPr>
                <w:noProof/>
                <w:webHidden/>
              </w:rPr>
              <w:t>82</w:t>
            </w:r>
            <w:r w:rsidR="00BD4DB7">
              <w:rPr>
                <w:noProof/>
                <w:webHidden/>
              </w:rPr>
              <w:fldChar w:fldCharType="end"/>
            </w:r>
          </w:hyperlink>
        </w:p>
        <w:p w14:paraId="7BA2B8B7" w14:textId="2F441A50"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96" w:history="1">
            <w:r w:rsidR="00BD4DB7" w:rsidRPr="0089237F">
              <w:rPr>
                <w:rStyle w:val="Hipervnculo"/>
                <w:noProof/>
              </w:rPr>
              <w:t>Artículo 1.3.1.1. Confirmación.</w:t>
            </w:r>
            <w:r w:rsidR="00BD4DB7">
              <w:rPr>
                <w:noProof/>
                <w:webHidden/>
              </w:rPr>
              <w:tab/>
            </w:r>
            <w:r w:rsidR="00BD4DB7">
              <w:rPr>
                <w:noProof/>
                <w:webHidden/>
              </w:rPr>
              <w:fldChar w:fldCharType="begin"/>
            </w:r>
            <w:r w:rsidR="00BD4DB7">
              <w:rPr>
                <w:noProof/>
                <w:webHidden/>
              </w:rPr>
              <w:instrText xml:space="preserve"> PAGEREF _Toc31715896 \h </w:instrText>
            </w:r>
            <w:r w:rsidR="00BD4DB7">
              <w:rPr>
                <w:noProof/>
                <w:webHidden/>
              </w:rPr>
            </w:r>
            <w:r w:rsidR="00BD4DB7">
              <w:rPr>
                <w:noProof/>
                <w:webHidden/>
              </w:rPr>
              <w:fldChar w:fldCharType="separate"/>
            </w:r>
            <w:r w:rsidR="00BD4DB7">
              <w:rPr>
                <w:noProof/>
                <w:webHidden/>
              </w:rPr>
              <w:t>82</w:t>
            </w:r>
            <w:r w:rsidR="00BD4DB7">
              <w:rPr>
                <w:noProof/>
                <w:webHidden/>
              </w:rPr>
              <w:fldChar w:fldCharType="end"/>
            </w:r>
          </w:hyperlink>
        </w:p>
        <w:p w14:paraId="2C953985" w14:textId="11F11094"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97" w:history="1">
            <w:r w:rsidR="00BD4DB7" w:rsidRPr="0089237F">
              <w:rPr>
                <w:rStyle w:val="Hipervnculo"/>
                <w:noProof/>
              </w:rPr>
              <w:t>Artículo 1.3.1.2. Acuerdos con sistemas de negociación y/o registro o Mecanismos de Contratación para la Aceptación de Operaciones.</w:t>
            </w:r>
            <w:r w:rsidR="00BD4DB7">
              <w:rPr>
                <w:noProof/>
                <w:webHidden/>
              </w:rPr>
              <w:tab/>
            </w:r>
            <w:r w:rsidR="00BD4DB7">
              <w:rPr>
                <w:noProof/>
                <w:webHidden/>
              </w:rPr>
              <w:fldChar w:fldCharType="begin"/>
            </w:r>
            <w:r w:rsidR="00BD4DB7">
              <w:rPr>
                <w:noProof/>
                <w:webHidden/>
              </w:rPr>
              <w:instrText xml:space="preserve"> PAGEREF _Toc31715897 \h </w:instrText>
            </w:r>
            <w:r w:rsidR="00BD4DB7">
              <w:rPr>
                <w:noProof/>
                <w:webHidden/>
              </w:rPr>
            </w:r>
            <w:r w:rsidR="00BD4DB7">
              <w:rPr>
                <w:noProof/>
                <w:webHidden/>
              </w:rPr>
              <w:fldChar w:fldCharType="separate"/>
            </w:r>
            <w:r w:rsidR="00BD4DB7">
              <w:rPr>
                <w:noProof/>
                <w:webHidden/>
              </w:rPr>
              <w:t>83</w:t>
            </w:r>
            <w:r w:rsidR="00BD4DB7">
              <w:rPr>
                <w:noProof/>
                <w:webHidden/>
              </w:rPr>
              <w:fldChar w:fldCharType="end"/>
            </w:r>
          </w:hyperlink>
        </w:p>
        <w:p w14:paraId="73CC72AA" w14:textId="0DDD61C1" w:rsidR="00BD4DB7" w:rsidRDefault="00682D97">
          <w:pPr>
            <w:pStyle w:val="TDC2"/>
            <w:rPr>
              <w:rFonts w:asciiTheme="minorHAnsi" w:eastAsiaTheme="minorEastAsia" w:hAnsiTheme="minorHAnsi" w:cstheme="minorBidi"/>
              <w:smallCaps w:val="0"/>
              <w:noProof/>
              <w:sz w:val="22"/>
              <w:szCs w:val="22"/>
              <w:lang w:val="es-CO" w:eastAsia="es-CO"/>
            </w:rPr>
          </w:pPr>
          <w:hyperlink w:anchor="_Toc31715898" w:history="1">
            <w:r w:rsidR="00BD4DB7" w:rsidRPr="0089237F">
              <w:rPr>
                <w:rStyle w:val="Hipervnculo"/>
                <w:noProof/>
              </w:rPr>
              <w:t>Artículo 1.3.1.3. Requisitos y controles de riesgo para la Aceptación de Operaciones como contraparte.</w:t>
            </w:r>
            <w:r w:rsidR="00BD4DB7">
              <w:rPr>
                <w:noProof/>
                <w:webHidden/>
              </w:rPr>
              <w:tab/>
            </w:r>
            <w:r w:rsidR="00BD4DB7">
              <w:rPr>
                <w:noProof/>
                <w:webHidden/>
              </w:rPr>
              <w:fldChar w:fldCharType="begin"/>
            </w:r>
            <w:r w:rsidR="00BD4DB7">
              <w:rPr>
                <w:noProof/>
                <w:webHidden/>
              </w:rPr>
              <w:instrText xml:space="preserve"> PAGEREF _Toc31715898 \h </w:instrText>
            </w:r>
            <w:r w:rsidR="00BD4DB7">
              <w:rPr>
                <w:noProof/>
                <w:webHidden/>
              </w:rPr>
            </w:r>
            <w:r w:rsidR="00BD4DB7">
              <w:rPr>
                <w:noProof/>
                <w:webHidden/>
              </w:rPr>
              <w:fldChar w:fldCharType="separate"/>
            </w:r>
            <w:r w:rsidR="00BD4DB7">
              <w:rPr>
                <w:noProof/>
                <w:webHidden/>
              </w:rPr>
              <w:t>83</w:t>
            </w:r>
            <w:r w:rsidR="00BD4DB7">
              <w:rPr>
                <w:noProof/>
                <w:webHidden/>
              </w:rPr>
              <w:fldChar w:fldCharType="end"/>
            </w:r>
          </w:hyperlink>
        </w:p>
        <w:p w14:paraId="0557CB50" w14:textId="1AE54038"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899" w:history="1">
            <w:r w:rsidR="00BD4DB7" w:rsidRPr="0089237F">
              <w:rPr>
                <w:rStyle w:val="Hipervnculo"/>
                <w:noProof/>
              </w:rPr>
              <w:t>CAPÍTULO SEGUNDO</w:t>
            </w:r>
            <w:r w:rsidR="00BD4DB7">
              <w:rPr>
                <w:noProof/>
                <w:webHidden/>
              </w:rPr>
              <w:tab/>
            </w:r>
            <w:r w:rsidR="00BD4DB7">
              <w:rPr>
                <w:noProof/>
                <w:webHidden/>
              </w:rPr>
              <w:fldChar w:fldCharType="begin"/>
            </w:r>
            <w:r w:rsidR="00BD4DB7">
              <w:rPr>
                <w:noProof/>
                <w:webHidden/>
              </w:rPr>
              <w:instrText xml:space="preserve"> PAGEREF _Toc31715899 \h </w:instrText>
            </w:r>
            <w:r w:rsidR="00BD4DB7">
              <w:rPr>
                <w:noProof/>
                <w:webHidden/>
              </w:rPr>
            </w:r>
            <w:r w:rsidR="00BD4DB7">
              <w:rPr>
                <w:noProof/>
                <w:webHidden/>
              </w:rPr>
              <w:fldChar w:fldCharType="separate"/>
            </w:r>
            <w:r w:rsidR="00BD4DB7">
              <w:rPr>
                <w:noProof/>
                <w:webHidden/>
              </w:rPr>
              <w:t>83</w:t>
            </w:r>
            <w:r w:rsidR="00BD4DB7">
              <w:rPr>
                <w:noProof/>
                <w:webHidden/>
              </w:rPr>
              <w:fldChar w:fldCharType="end"/>
            </w:r>
          </w:hyperlink>
        </w:p>
        <w:p w14:paraId="141F70BD" w14:textId="69F97AE8"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900" w:history="1">
            <w:r w:rsidR="00BD4DB7" w:rsidRPr="0089237F">
              <w:rPr>
                <w:rStyle w:val="Hipervnculo"/>
                <w:noProof/>
              </w:rPr>
              <w:t>RECHAZO DE OPERACIONES</w:t>
            </w:r>
            <w:r w:rsidR="00BD4DB7">
              <w:rPr>
                <w:noProof/>
                <w:webHidden/>
              </w:rPr>
              <w:tab/>
            </w:r>
            <w:r w:rsidR="00BD4DB7">
              <w:rPr>
                <w:noProof/>
                <w:webHidden/>
              </w:rPr>
              <w:fldChar w:fldCharType="begin"/>
            </w:r>
            <w:r w:rsidR="00BD4DB7">
              <w:rPr>
                <w:noProof/>
                <w:webHidden/>
              </w:rPr>
              <w:instrText xml:space="preserve"> PAGEREF _Toc31715900 \h </w:instrText>
            </w:r>
            <w:r w:rsidR="00BD4DB7">
              <w:rPr>
                <w:noProof/>
                <w:webHidden/>
              </w:rPr>
            </w:r>
            <w:r w:rsidR="00BD4DB7">
              <w:rPr>
                <w:noProof/>
                <w:webHidden/>
              </w:rPr>
              <w:fldChar w:fldCharType="separate"/>
            </w:r>
            <w:r w:rsidR="00BD4DB7">
              <w:rPr>
                <w:noProof/>
                <w:webHidden/>
              </w:rPr>
              <w:t>83</w:t>
            </w:r>
            <w:r w:rsidR="00BD4DB7">
              <w:rPr>
                <w:noProof/>
                <w:webHidden/>
              </w:rPr>
              <w:fldChar w:fldCharType="end"/>
            </w:r>
          </w:hyperlink>
        </w:p>
        <w:p w14:paraId="1534D0BD" w14:textId="13B9788A"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01" w:history="1">
            <w:r w:rsidR="00BD4DB7" w:rsidRPr="0089237F">
              <w:rPr>
                <w:rStyle w:val="Hipervnculo"/>
                <w:noProof/>
              </w:rPr>
              <w:t>Artículo 1.3.2.1. Rechazo de Operaciones provenientes de Sistemas de Negociación y/o de Registro, Mercado Mostrador y Mecanismos de Contratación.</w:t>
            </w:r>
            <w:r w:rsidR="00BD4DB7">
              <w:rPr>
                <w:noProof/>
                <w:webHidden/>
              </w:rPr>
              <w:tab/>
            </w:r>
            <w:r w:rsidR="00BD4DB7">
              <w:rPr>
                <w:noProof/>
                <w:webHidden/>
              </w:rPr>
              <w:fldChar w:fldCharType="begin"/>
            </w:r>
            <w:r w:rsidR="00BD4DB7">
              <w:rPr>
                <w:noProof/>
                <w:webHidden/>
              </w:rPr>
              <w:instrText xml:space="preserve"> PAGEREF _Toc31715901 \h </w:instrText>
            </w:r>
            <w:r w:rsidR="00BD4DB7">
              <w:rPr>
                <w:noProof/>
                <w:webHidden/>
              </w:rPr>
            </w:r>
            <w:r w:rsidR="00BD4DB7">
              <w:rPr>
                <w:noProof/>
                <w:webHidden/>
              </w:rPr>
              <w:fldChar w:fldCharType="separate"/>
            </w:r>
            <w:r w:rsidR="00BD4DB7">
              <w:rPr>
                <w:noProof/>
                <w:webHidden/>
              </w:rPr>
              <w:t>83</w:t>
            </w:r>
            <w:r w:rsidR="00BD4DB7">
              <w:rPr>
                <w:noProof/>
                <w:webHidden/>
              </w:rPr>
              <w:fldChar w:fldCharType="end"/>
            </w:r>
          </w:hyperlink>
        </w:p>
        <w:p w14:paraId="2638A07A" w14:textId="513F8E86"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902" w:history="1">
            <w:r w:rsidR="00BD4DB7" w:rsidRPr="0089237F">
              <w:rPr>
                <w:rStyle w:val="Hipervnculo"/>
                <w:noProof/>
              </w:rPr>
              <w:t>CAPÍTULO TERCERO</w:t>
            </w:r>
            <w:r w:rsidR="00BD4DB7">
              <w:rPr>
                <w:noProof/>
                <w:webHidden/>
              </w:rPr>
              <w:tab/>
            </w:r>
            <w:r w:rsidR="00BD4DB7">
              <w:rPr>
                <w:noProof/>
                <w:webHidden/>
              </w:rPr>
              <w:fldChar w:fldCharType="begin"/>
            </w:r>
            <w:r w:rsidR="00BD4DB7">
              <w:rPr>
                <w:noProof/>
                <w:webHidden/>
              </w:rPr>
              <w:instrText xml:space="preserve"> PAGEREF _Toc31715902 \h </w:instrText>
            </w:r>
            <w:r w:rsidR="00BD4DB7">
              <w:rPr>
                <w:noProof/>
                <w:webHidden/>
              </w:rPr>
            </w:r>
            <w:r w:rsidR="00BD4DB7">
              <w:rPr>
                <w:noProof/>
                <w:webHidden/>
              </w:rPr>
              <w:fldChar w:fldCharType="separate"/>
            </w:r>
            <w:r w:rsidR="00BD4DB7">
              <w:rPr>
                <w:noProof/>
                <w:webHidden/>
              </w:rPr>
              <w:t>84</w:t>
            </w:r>
            <w:r w:rsidR="00BD4DB7">
              <w:rPr>
                <w:noProof/>
                <w:webHidden/>
              </w:rPr>
              <w:fldChar w:fldCharType="end"/>
            </w:r>
          </w:hyperlink>
        </w:p>
        <w:p w14:paraId="65713C8A" w14:textId="5DBB379E"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903" w:history="1">
            <w:r w:rsidR="00BD4DB7" w:rsidRPr="0089237F">
              <w:rPr>
                <w:rStyle w:val="Hipervnculo"/>
                <w:noProof/>
              </w:rPr>
              <w:t>ANULACIÓN Y CORRECCIÓN DE OPERACIONES</w:t>
            </w:r>
            <w:r w:rsidR="00BD4DB7">
              <w:rPr>
                <w:noProof/>
                <w:webHidden/>
              </w:rPr>
              <w:tab/>
            </w:r>
            <w:r w:rsidR="00BD4DB7">
              <w:rPr>
                <w:noProof/>
                <w:webHidden/>
              </w:rPr>
              <w:fldChar w:fldCharType="begin"/>
            </w:r>
            <w:r w:rsidR="00BD4DB7">
              <w:rPr>
                <w:noProof/>
                <w:webHidden/>
              </w:rPr>
              <w:instrText xml:space="preserve"> PAGEREF _Toc31715903 \h </w:instrText>
            </w:r>
            <w:r w:rsidR="00BD4DB7">
              <w:rPr>
                <w:noProof/>
                <w:webHidden/>
              </w:rPr>
            </w:r>
            <w:r w:rsidR="00BD4DB7">
              <w:rPr>
                <w:noProof/>
                <w:webHidden/>
              </w:rPr>
              <w:fldChar w:fldCharType="separate"/>
            </w:r>
            <w:r w:rsidR="00BD4DB7">
              <w:rPr>
                <w:noProof/>
                <w:webHidden/>
              </w:rPr>
              <w:t>84</w:t>
            </w:r>
            <w:r w:rsidR="00BD4DB7">
              <w:rPr>
                <w:noProof/>
                <w:webHidden/>
              </w:rPr>
              <w:fldChar w:fldCharType="end"/>
            </w:r>
          </w:hyperlink>
        </w:p>
        <w:p w14:paraId="442C5A44" w14:textId="0B9DA3E6"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04" w:history="1">
            <w:r w:rsidR="00BD4DB7" w:rsidRPr="0089237F">
              <w:rPr>
                <w:rStyle w:val="Hipervnculo"/>
                <w:noProof/>
              </w:rPr>
              <w:t>Artículo 1.3.3.1. Anulación de Operaciones.</w:t>
            </w:r>
            <w:r w:rsidR="00BD4DB7">
              <w:rPr>
                <w:noProof/>
                <w:webHidden/>
              </w:rPr>
              <w:tab/>
            </w:r>
            <w:r w:rsidR="00BD4DB7">
              <w:rPr>
                <w:noProof/>
                <w:webHidden/>
              </w:rPr>
              <w:fldChar w:fldCharType="begin"/>
            </w:r>
            <w:r w:rsidR="00BD4DB7">
              <w:rPr>
                <w:noProof/>
                <w:webHidden/>
              </w:rPr>
              <w:instrText xml:space="preserve"> PAGEREF _Toc31715904 \h </w:instrText>
            </w:r>
            <w:r w:rsidR="00BD4DB7">
              <w:rPr>
                <w:noProof/>
                <w:webHidden/>
              </w:rPr>
            </w:r>
            <w:r w:rsidR="00BD4DB7">
              <w:rPr>
                <w:noProof/>
                <w:webHidden/>
              </w:rPr>
              <w:fldChar w:fldCharType="separate"/>
            </w:r>
            <w:r w:rsidR="00BD4DB7">
              <w:rPr>
                <w:noProof/>
                <w:webHidden/>
              </w:rPr>
              <w:t>84</w:t>
            </w:r>
            <w:r w:rsidR="00BD4DB7">
              <w:rPr>
                <w:noProof/>
                <w:webHidden/>
              </w:rPr>
              <w:fldChar w:fldCharType="end"/>
            </w:r>
          </w:hyperlink>
        </w:p>
        <w:p w14:paraId="748FBE43" w14:textId="24898FF9"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05" w:history="1">
            <w:r w:rsidR="00BD4DB7" w:rsidRPr="0089237F">
              <w:rPr>
                <w:rStyle w:val="Hipervnculo"/>
                <w:noProof/>
              </w:rPr>
              <w:t>Artículo 1.3.3.2. Corrección de Operaciones.</w:t>
            </w:r>
            <w:r w:rsidR="00BD4DB7">
              <w:rPr>
                <w:noProof/>
                <w:webHidden/>
              </w:rPr>
              <w:tab/>
            </w:r>
            <w:r w:rsidR="00BD4DB7">
              <w:rPr>
                <w:noProof/>
                <w:webHidden/>
              </w:rPr>
              <w:fldChar w:fldCharType="begin"/>
            </w:r>
            <w:r w:rsidR="00BD4DB7">
              <w:rPr>
                <w:noProof/>
                <w:webHidden/>
              </w:rPr>
              <w:instrText xml:space="preserve"> PAGEREF _Toc31715905 \h </w:instrText>
            </w:r>
            <w:r w:rsidR="00BD4DB7">
              <w:rPr>
                <w:noProof/>
                <w:webHidden/>
              </w:rPr>
            </w:r>
            <w:r w:rsidR="00BD4DB7">
              <w:rPr>
                <w:noProof/>
                <w:webHidden/>
              </w:rPr>
              <w:fldChar w:fldCharType="separate"/>
            </w:r>
            <w:r w:rsidR="00BD4DB7">
              <w:rPr>
                <w:noProof/>
                <w:webHidden/>
              </w:rPr>
              <w:t>85</w:t>
            </w:r>
            <w:r w:rsidR="00BD4DB7">
              <w:rPr>
                <w:noProof/>
                <w:webHidden/>
              </w:rPr>
              <w:fldChar w:fldCharType="end"/>
            </w:r>
          </w:hyperlink>
        </w:p>
        <w:p w14:paraId="49830F31" w14:textId="03B1E870"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906" w:history="1">
            <w:r w:rsidR="00BD4DB7" w:rsidRPr="0089237F">
              <w:rPr>
                <w:rStyle w:val="Hipervnculo"/>
                <w:noProof/>
              </w:rPr>
              <w:t>TÍTULO CUARTO</w:t>
            </w:r>
            <w:r w:rsidR="00BD4DB7">
              <w:rPr>
                <w:noProof/>
                <w:webHidden/>
              </w:rPr>
              <w:tab/>
            </w:r>
            <w:r w:rsidR="00BD4DB7">
              <w:rPr>
                <w:noProof/>
                <w:webHidden/>
              </w:rPr>
              <w:fldChar w:fldCharType="begin"/>
            </w:r>
            <w:r w:rsidR="00BD4DB7">
              <w:rPr>
                <w:noProof/>
                <w:webHidden/>
              </w:rPr>
              <w:instrText xml:space="preserve"> PAGEREF _Toc31715906 \h </w:instrText>
            </w:r>
            <w:r w:rsidR="00BD4DB7">
              <w:rPr>
                <w:noProof/>
                <w:webHidden/>
              </w:rPr>
            </w:r>
            <w:r w:rsidR="00BD4DB7">
              <w:rPr>
                <w:noProof/>
                <w:webHidden/>
              </w:rPr>
              <w:fldChar w:fldCharType="separate"/>
            </w:r>
            <w:r w:rsidR="00BD4DB7">
              <w:rPr>
                <w:noProof/>
                <w:webHidden/>
              </w:rPr>
              <w:t>85</w:t>
            </w:r>
            <w:r w:rsidR="00BD4DB7">
              <w:rPr>
                <w:noProof/>
                <w:webHidden/>
              </w:rPr>
              <w:fldChar w:fldCharType="end"/>
            </w:r>
          </w:hyperlink>
        </w:p>
        <w:p w14:paraId="43EAB892" w14:textId="6B80EDCD"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907" w:history="1">
            <w:r w:rsidR="00BD4DB7" w:rsidRPr="0089237F">
              <w:rPr>
                <w:rStyle w:val="Hipervnculo"/>
                <w:noProof/>
              </w:rPr>
              <w:t>CUENTAS Y GESTIÓN DE OPERACIONES</w:t>
            </w:r>
            <w:r w:rsidR="00BD4DB7">
              <w:rPr>
                <w:noProof/>
                <w:webHidden/>
              </w:rPr>
              <w:tab/>
            </w:r>
            <w:r w:rsidR="00BD4DB7">
              <w:rPr>
                <w:noProof/>
                <w:webHidden/>
              </w:rPr>
              <w:fldChar w:fldCharType="begin"/>
            </w:r>
            <w:r w:rsidR="00BD4DB7">
              <w:rPr>
                <w:noProof/>
                <w:webHidden/>
              </w:rPr>
              <w:instrText xml:space="preserve"> PAGEREF _Toc31715907 \h </w:instrText>
            </w:r>
            <w:r w:rsidR="00BD4DB7">
              <w:rPr>
                <w:noProof/>
                <w:webHidden/>
              </w:rPr>
            </w:r>
            <w:r w:rsidR="00BD4DB7">
              <w:rPr>
                <w:noProof/>
                <w:webHidden/>
              </w:rPr>
              <w:fldChar w:fldCharType="separate"/>
            </w:r>
            <w:r w:rsidR="00BD4DB7">
              <w:rPr>
                <w:noProof/>
                <w:webHidden/>
              </w:rPr>
              <w:t>85</w:t>
            </w:r>
            <w:r w:rsidR="00BD4DB7">
              <w:rPr>
                <w:noProof/>
                <w:webHidden/>
              </w:rPr>
              <w:fldChar w:fldCharType="end"/>
            </w:r>
          </w:hyperlink>
        </w:p>
        <w:p w14:paraId="1EB796DA" w14:textId="4BF03191"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908" w:history="1">
            <w:r w:rsidR="00BD4DB7" w:rsidRPr="0089237F">
              <w:rPr>
                <w:rStyle w:val="Hipervnculo"/>
                <w:noProof/>
              </w:rPr>
              <w:t>CAPÍTULO PRIMERO</w:t>
            </w:r>
            <w:r w:rsidR="00BD4DB7">
              <w:rPr>
                <w:noProof/>
                <w:webHidden/>
              </w:rPr>
              <w:tab/>
            </w:r>
            <w:r w:rsidR="00BD4DB7">
              <w:rPr>
                <w:noProof/>
                <w:webHidden/>
              </w:rPr>
              <w:fldChar w:fldCharType="begin"/>
            </w:r>
            <w:r w:rsidR="00BD4DB7">
              <w:rPr>
                <w:noProof/>
                <w:webHidden/>
              </w:rPr>
              <w:instrText xml:space="preserve"> PAGEREF _Toc31715908 \h </w:instrText>
            </w:r>
            <w:r w:rsidR="00BD4DB7">
              <w:rPr>
                <w:noProof/>
                <w:webHidden/>
              </w:rPr>
            </w:r>
            <w:r w:rsidR="00BD4DB7">
              <w:rPr>
                <w:noProof/>
                <w:webHidden/>
              </w:rPr>
              <w:fldChar w:fldCharType="separate"/>
            </w:r>
            <w:r w:rsidR="00BD4DB7">
              <w:rPr>
                <w:noProof/>
                <w:webHidden/>
              </w:rPr>
              <w:t>85</w:t>
            </w:r>
            <w:r w:rsidR="00BD4DB7">
              <w:rPr>
                <w:noProof/>
                <w:webHidden/>
              </w:rPr>
              <w:fldChar w:fldCharType="end"/>
            </w:r>
          </w:hyperlink>
        </w:p>
        <w:p w14:paraId="0422EC8F" w14:textId="2E9417EA"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909" w:history="1">
            <w:r w:rsidR="00BD4DB7" w:rsidRPr="0089237F">
              <w:rPr>
                <w:rStyle w:val="Hipervnculo"/>
                <w:noProof/>
              </w:rPr>
              <w:t>CUENTAS</w:t>
            </w:r>
            <w:r w:rsidR="00BD4DB7">
              <w:rPr>
                <w:noProof/>
                <w:webHidden/>
              </w:rPr>
              <w:tab/>
            </w:r>
            <w:r w:rsidR="00BD4DB7">
              <w:rPr>
                <w:noProof/>
                <w:webHidden/>
              </w:rPr>
              <w:fldChar w:fldCharType="begin"/>
            </w:r>
            <w:r w:rsidR="00BD4DB7">
              <w:rPr>
                <w:noProof/>
                <w:webHidden/>
              </w:rPr>
              <w:instrText xml:space="preserve"> PAGEREF _Toc31715909 \h </w:instrText>
            </w:r>
            <w:r w:rsidR="00BD4DB7">
              <w:rPr>
                <w:noProof/>
                <w:webHidden/>
              </w:rPr>
            </w:r>
            <w:r w:rsidR="00BD4DB7">
              <w:rPr>
                <w:noProof/>
                <w:webHidden/>
              </w:rPr>
              <w:fldChar w:fldCharType="separate"/>
            </w:r>
            <w:r w:rsidR="00BD4DB7">
              <w:rPr>
                <w:noProof/>
                <w:webHidden/>
              </w:rPr>
              <w:t>85</w:t>
            </w:r>
            <w:r w:rsidR="00BD4DB7">
              <w:rPr>
                <w:noProof/>
                <w:webHidden/>
              </w:rPr>
              <w:fldChar w:fldCharType="end"/>
            </w:r>
          </w:hyperlink>
        </w:p>
        <w:p w14:paraId="4AD9E8BD" w14:textId="5F42BA32"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10" w:history="1">
            <w:r w:rsidR="00BD4DB7" w:rsidRPr="0089237F">
              <w:rPr>
                <w:rStyle w:val="Hipervnculo"/>
                <w:noProof/>
              </w:rPr>
              <w:t>Artículo 1.4.1.1. Proceso de Creación de Cuentas en el Sistema de la Cámara.</w:t>
            </w:r>
            <w:r w:rsidR="00BD4DB7">
              <w:rPr>
                <w:noProof/>
                <w:webHidden/>
              </w:rPr>
              <w:tab/>
            </w:r>
            <w:r w:rsidR="00BD4DB7">
              <w:rPr>
                <w:noProof/>
                <w:webHidden/>
              </w:rPr>
              <w:fldChar w:fldCharType="begin"/>
            </w:r>
            <w:r w:rsidR="00BD4DB7">
              <w:rPr>
                <w:noProof/>
                <w:webHidden/>
              </w:rPr>
              <w:instrText xml:space="preserve"> PAGEREF _Toc31715910 \h </w:instrText>
            </w:r>
            <w:r w:rsidR="00BD4DB7">
              <w:rPr>
                <w:noProof/>
                <w:webHidden/>
              </w:rPr>
            </w:r>
            <w:r w:rsidR="00BD4DB7">
              <w:rPr>
                <w:noProof/>
                <w:webHidden/>
              </w:rPr>
              <w:fldChar w:fldCharType="separate"/>
            </w:r>
            <w:r w:rsidR="00BD4DB7">
              <w:rPr>
                <w:noProof/>
                <w:webHidden/>
              </w:rPr>
              <w:t>85</w:t>
            </w:r>
            <w:r w:rsidR="00BD4DB7">
              <w:rPr>
                <w:noProof/>
                <w:webHidden/>
              </w:rPr>
              <w:fldChar w:fldCharType="end"/>
            </w:r>
          </w:hyperlink>
        </w:p>
        <w:p w14:paraId="24C27CBE" w14:textId="552F0E48"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11" w:history="1">
            <w:r w:rsidR="00BD4DB7" w:rsidRPr="0089237F">
              <w:rPr>
                <w:rStyle w:val="Hipervnculo"/>
                <w:rFonts w:eastAsiaTheme="minorHAnsi"/>
                <w:noProof/>
              </w:rPr>
              <w:t>Artículo 1.4.1.2. Requisitos de Información para la creación de Cuentas</w:t>
            </w:r>
            <w:r w:rsidR="00BD4DB7">
              <w:rPr>
                <w:noProof/>
                <w:webHidden/>
              </w:rPr>
              <w:tab/>
            </w:r>
            <w:r w:rsidR="00BD4DB7">
              <w:rPr>
                <w:noProof/>
                <w:webHidden/>
              </w:rPr>
              <w:fldChar w:fldCharType="begin"/>
            </w:r>
            <w:r w:rsidR="00BD4DB7">
              <w:rPr>
                <w:noProof/>
                <w:webHidden/>
              </w:rPr>
              <w:instrText xml:space="preserve"> PAGEREF _Toc31715911 \h </w:instrText>
            </w:r>
            <w:r w:rsidR="00BD4DB7">
              <w:rPr>
                <w:noProof/>
                <w:webHidden/>
              </w:rPr>
            </w:r>
            <w:r w:rsidR="00BD4DB7">
              <w:rPr>
                <w:noProof/>
                <w:webHidden/>
              </w:rPr>
              <w:fldChar w:fldCharType="separate"/>
            </w:r>
            <w:r w:rsidR="00BD4DB7">
              <w:rPr>
                <w:noProof/>
                <w:webHidden/>
              </w:rPr>
              <w:t>87</w:t>
            </w:r>
            <w:r w:rsidR="00BD4DB7">
              <w:rPr>
                <w:noProof/>
                <w:webHidden/>
              </w:rPr>
              <w:fldChar w:fldCharType="end"/>
            </w:r>
          </w:hyperlink>
        </w:p>
        <w:p w14:paraId="543855F2" w14:textId="5DCC6725"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12" w:history="1">
            <w:r w:rsidR="00BD4DB7" w:rsidRPr="0089237F">
              <w:rPr>
                <w:rStyle w:val="Hipervnculo"/>
                <w:noProof/>
              </w:rPr>
              <w:t>Artículo 1.4.1.3. Modalidades de Registro de Operaciones.</w:t>
            </w:r>
            <w:r w:rsidR="00BD4DB7">
              <w:rPr>
                <w:noProof/>
                <w:webHidden/>
              </w:rPr>
              <w:tab/>
            </w:r>
            <w:r w:rsidR="00BD4DB7">
              <w:rPr>
                <w:noProof/>
                <w:webHidden/>
              </w:rPr>
              <w:fldChar w:fldCharType="begin"/>
            </w:r>
            <w:r w:rsidR="00BD4DB7">
              <w:rPr>
                <w:noProof/>
                <w:webHidden/>
              </w:rPr>
              <w:instrText xml:space="preserve"> PAGEREF _Toc31715912 \h </w:instrText>
            </w:r>
            <w:r w:rsidR="00BD4DB7">
              <w:rPr>
                <w:noProof/>
                <w:webHidden/>
              </w:rPr>
            </w:r>
            <w:r w:rsidR="00BD4DB7">
              <w:rPr>
                <w:noProof/>
                <w:webHidden/>
              </w:rPr>
              <w:fldChar w:fldCharType="separate"/>
            </w:r>
            <w:r w:rsidR="00BD4DB7">
              <w:rPr>
                <w:noProof/>
                <w:webHidden/>
              </w:rPr>
              <w:t>89</w:t>
            </w:r>
            <w:r w:rsidR="00BD4DB7">
              <w:rPr>
                <w:noProof/>
                <w:webHidden/>
              </w:rPr>
              <w:fldChar w:fldCharType="end"/>
            </w:r>
          </w:hyperlink>
        </w:p>
        <w:p w14:paraId="1046055A" w14:textId="22FDDD4E"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13" w:history="1">
            <w:r w:rsidR="00BD4DB7" w:rsidRPr="0089237F">
              <w:rPr>
                <w:rStyle w:val="Hipervnculo"/>
                <w:noProof/>
              </w:rPr>
              <w:t>Artículo 1.4.1.4. Cuenta Diaria.</w:t>
            </w:r>
            <w:r w:rsidR="00BD4DB7">
              <w:rPr>
                <w:noProof/>
                <w:webHidden/>
              </w:rPr>
              <w:tab/>
            </w:r>
            <w:r w:rsidR="00BD4DB7">
              <w:rPr>
                <w:noProof/>
                <w:webHidden/>
              </w:rPr>
              <w:fldChar w:fldCharType="begin"/>
            </w:r>
            <w:r w:rsidR="00BD4DB7">
              <w:rPr>
                <w:noProof/>
                <w:webHidden/>
              </w:rPr>
              <w:instrText xml:space="preserve"> PAGEREF _Toc31715913 \h </w:instrText>
            </w:r>
            <w:r w:rsidR="00BD4DB7">
              <w:rPr>
                <w:noProof/>
                <w:webHidden/>
              </w:rPr>
            </w:r>
            <w:r w:rsidR="00BD4DB7">
              <w:rPr>
                <w:noProof/>
                <w:webHidden/>
              </w:rPr>
              <w:fldChar w:fldCharType="separate"/>
            </w:r>
            <w:r w:rsidR="00BD4DB7">
              <w:rPr>
                <w:noProof/>
                <w:webHidden/>
              </w:rPr>
              <w:t>89</w:t>
            </w:r>
            <w:r w:rsidR="00BD4DB7">
              <w:rPr>
                <w:noProof/>
                <w:webHidden/>
              </w:rPr>
              <w:fldChar w:fldCharType="end"/>
            </w:r>
          </w:hyperlink>
        </w:p>
        <w:p w14:paraId="6947F867" w14:textId="5AFE250D"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14" w:history="1">
            <w:r w:rsidR="00BD4DB7" w:rsidRPr="0089237F">
              <w:rPr>
                <w:rStyle w:val="Hipervnculo"/>
                <w:noProof/>
              </w:rPr>
              <w:t>Artículo 1.4.1.5. Cuentas Definitivas.</w:t>
            </w:r>
            <w:r w:rsidR="00BD4DB7">
              <w:rPr>
                <w:noProof/>
                <w:webHidden/>
              </w:rPr>
              <w:tab/>
            </w:r>
            <w:r w:rsidR="00BD4DB7">
              <w:rPr>
                <w:noProof/>
                <w:webHidden/>
              </w:rPr>
              <w:fldChar w:fldCharType="begin"/>
            </w:r>
            <w:r w:rsidR="00BD4DB7">
              <w:rPr>
                <w:noProof/>
                <w:webHidden/>
              </w:rPr>
              <w:instrText xml:space="preserve"> PAGEREF _Toc31715914 \h </w:instrText>
            </w:r>
            <w:r w:rsidR="00BD4DB7">
              <w:rPr>
                <w:noProof/>
                <w:webHidden/>
              </w:rPr>
            </w:r>
            <w:r w:rsidR="00BD4DB7">
              <w:rPr>
                <w:noProof/>
                <w:webHidden/>
              </w:rPr>
              <w:fldChar w:fldCharType="separate"/>
            </w:r>
            <w:r w:rsidR="00BD4DB7">
              <w:rPr>
                <w:noProof/>
                <w:webHidden/>
              </w:rPr>
              <w:t>90</w:t>
            </w:r>
            <w:r w:rsidR="00BD4DB7">
              <w:rPr>
                <w:noProof/>
                <w:webHidden/>
              </w:rPr>
              <w:fldChar w:fldCharType="end"/>
            </w:r>
          </w:hyperlink>
        </w:p>
        <w:p w14:paraId="091175CB" w14:textId="0A1B7D5A"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15" w:history="1">
            <w:r w:rsidR="00BD4DB7" w:rsidRPr="0089237F">
              <w:rPr>
                <w:rStyle w:val="Hipervnculo"/>
                <w:rFonts w:eastAsiaTheme="minorHAnsi"/>
                <w:noProof/>
              </w:rPr>
              <w:t>Artículo 1.4.1.6. Cuenta Residual</w:t>
            </w:r>
            <w:r w:rsidR="00BD4DB7">
              <w:rPr>
                <w:noProof/>
                <w:webHidden/>
              </w:rPr>
              <w:tab/>
            </w:r>
            <w:r w:rsidR="00BD4DB7">
              <w:rPr>
                <w:noProof/>
                <w:webHidden/>
              </w:rPr>
              <w:fldChar w:fldCharType="begin"/>
            </w:r>
            <w:r w:rsidR="00BD4DB7">
              <w:rPr>
                <w:noProof/>
                <w:webHidden/>
              </w:rPr>
              <w:instrText xml:space="preserve"> PAGEREF _Toc31715915 \h </w:instrText>
            </w:r>
            <w:r w:rsidR="00BD4DB7">
              <w:rPr>
                <w:noProof/>
                <w:webHidden/>
              </w:rPr>
            </w:r>
            <w:r w:rsidR="00BD4DB7">
              <w:rPr>
                <w:noProof/>
                <w:webHidden/>
              </w:rPr>
              <w:fldChar w:fldCharType="separate"/>
            </w:r>
            <w:r w:rsidR="00BD4DB7">
              <w:rPr>
                <w:noProof/>
                <w:webHidden/>
              </w:rPr>
              <w:t>90</w:t>
            </w:r>
            <w:r w:rsidR="00BD4DB7">
              <w:rPr>
                <w:noProof/>
                <w:webHidden/>
              </w:rPr>
              <w:fldChar w:fldCharType="end"/>
            </w:r>
          </w:hyperlink>
        </w:p>
        <w:p w14:paraId="7DE08F36" w14:textId="6D1053ED"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16" w:history="1">
            <w:r w:rsidR="00BD4DB7" w:rsidRPr="0089237F">
              <w:rPr>
                <w:rStyle w:val="Hipervnculo"/>
                <w:noProof/>
              </w:rPr>
              <w:t>Artículo 1.4.1.7. Estructura de las Cuentas en el Sistema de Cámara.</w:t>
            </w:r>
            <w:r w:rsidR="00BD4DB7">
              <w:rPr>
                <w:noProof/>
                <w:webHidden/>
              </w:rPr>
              <w:tab/>
            </w:r>
            <w:r w:rsidR="00BD4DB7">
              <w:rPr>
                <w:noProof/>
                <w:webHidden/>
              </w:rPr>
              <w:fldChar w:fldCharType="begin"/>
            </w:r>
            <w:r w:rsidR="00BD4DB7">
              <w:rPr>
                <w:noProof/>
                <w:webHidden/>
              </w:rPr>
              <w:instrText xml:space="preserve"> PAGEREF _Toc31715916 \h </w:instrText>
            </w:r>
            <w:r w:rsidR="00BD4DB7">
              <w:rPr>
                <w:noProof/>
                <w:webHidden/>
              </w:rPr>
            </w:r>
            <w:r w:rsidR="00BD4DB7">
              <w:rPr>
                <w:noProof/>
                <w:webHidden/>
              </w:rPr>
              <w:fldChar w:fldCharType="separate"/>
            </w:r>
            <w:r w:rsidR="00BD4DB7">
              <w:rPr>
                <w:noProof/>
                <w:webHidden/>
              </w:rPr>
              <w:t>91</w:t>
            </w:r>
            <w:r w:rsidR="00BD4DB7">
              <w:rPr>
                <w:noProof/>
                <w:webHidden/>
              </w:rPr>
              <w:fldChar w:fldCharType="end"/>
            </w:r>
          </w:hyperlink>
        </w:p>
        <w:p w14:paraId="2AE2F9BD" w14:textId="62BCE471"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17" w:history="1">
            <w:r w:rsidR="00BD4DB7" w:rsidRPr="0089237F">
              <w:rPr>
                <w:rStyle w:val="Hipervnculo"/>
                <w:rFonts w:eastAsiaTheme="minorHAnsi"/>
                <w:noProof/>
              </w:rPr>
              <w:t>Artículo 1.4.1.8. Cuantificación de riesgo a partir de la modalidad de Registro de Operaciones</w:t>
            </w:r>
            <w:r w:rsidR="00BD4DB7">
              <w:rPr>
                <w:noProof/>
                <w:webHidden/>
              </w:rPr>
              <w:tab/>
            </w:r>
            <w:r w:rsidR="00BD4DB7">
              <w:rPr>
                <w:noProof/>
                <w:webHidden/>
              </w:rPr>
              <w:fldChar w:fldCharType="begin"/>
            </w:r>
            <w:r w:rsidR="00BD4DB7">
              <w:rPr>
                <w:noProof/>
                <w:webHidden/>
              </w:rPr>
              <w:instrText xml:space="preserve"> PAGEREF _Toc31715917 \h </w:instrText>
            </w:r>
            <w:r w:rsidR="00BD4DB7">
              <w:rPr>
                <w:noProof/>
                <w:webHidden/>
              </w:rPr>
            </w:r>
            <w:r w:rsidR="00BD4DB7">
              <w:rPr>
                <w:noProof/>
                <w:webHidden/>
              </w:rPr>
              <w:fldChar w:fldCharType="separate"/>
            </w:r>
            <w:r w:rsidR="00BD4DB7">
              <w:rPr>
                <w:noProof/>
                <w:webHidden/>
              </w:rPr>
              <w:t>91</w:t>
            </w:r>
            <w:r w:rsidR="00BD4DB7">
              <w:rPr>
                <w:noProof/>
                <w:webHidden/>
              </w:rPr>
              <w:fldChar w:fldCharType="end"/>
            </w:r>
          </w:hyperlink>
        </w:p>
        <w:p w14:paraId="60938985" w14:textId="33DED1D4"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918" w:history="1">
            <w:r w:rsidR="00BD4DB7" w:rsidRPr="0089237F">
              <w:rPr>
                <w:rStyle w:val="Hipervnculo"/>
                <w:noProof/>
              </w:rPr>
              <w:t>CAPÍTULO SEGUNDO</w:t>
            </w:r>
            <w:r w:rsidR="00BD4DB7">
              <w:rPr>
                <w:noProof/>
                <w:webHidden/>
              </w:rPr>
              <w:tab/>
            </w:r>
            <w:r w:rsidR="00BD4DB7">
              <w:rPr>
                <w:noProof/>
                <w:webHidden/>
              </w:rPr>
              <w:fldChar w:fldCharType="begin"/>
            </w:r>
            <w:r w:rsidR="00BD4DB7">
              <w:rPr>
                <w:noProof/>
                <w:webHidden/>
              </w:rPr>
              <w:instrText xml:space="preserve"> PAGEREF _Toc31715918 \h </w:instrText>
            </w:r>
            <w:r w:rsidR="00BD4DB7">
              <w:rPr>
                <w:noProof/>
                <w:webHidden/>
              </w:rPr>
            </w:r>
            <w:r w:rsidR="00BD4DB7">
              <w:rPr>
                <w:noProof/>
                <w:webHidden/>
              </w:rPr>
              <w:fldChar w:fldCharType="separate"/>
            </w:r>
            <w:r w:rsidR="00BD4DB7">
              <w:rPr>
                <w:noProof/>
                <w:webHidden/>
              </w:rPr>
              <w:t>92</w:t>
            </w:r>
            <w:r w:rsidR="00BD4DB7">
              <w:rPr>
                <w:noProof/>
                <w:webHidden/>
              </w:rPr>
              <w:fldChar w:fldCharType="end"/>
            </w:r>
          </w:hyperlink>
        </w:p>
        <w:p w14:paraId="170FA68F" w14:textId="0ED6745C"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919" w:history="1">
            <w:r w:rsidR="00BD4DB7" w:rsidRPr="0089237F">
              <w:rPr>
                <w:rStyle w:val="Hipervnculo"/>
                <w:noProof/>
              </w:rPr>
              <w:t>TIPOS DE GESTIÓN DE LAS OPERACIONES</w:t>
            </w:r>
            <w:r w:rsidR="00BD4DB7">
              <w:rPr>
                <w:noProof/>
                <w:webHidden/>
              </w:rPr>
              <w:tab/>
            </w:r>
            <w:r w:rsidR="00BD4DB7">
              <w:rPr>
                <w:noProof/>
                <w:webHidden/>
              </w:rPr>
              <w:fldChar w:fldCharType="begin"/>
            </w:r>
            <w:r w:rsidR="00BD4DB7">
              <w:rPr>
                <w:noProof/>
                <w:webHidden/>
              </w:rPr>
              <w:instrText xml:space="preserve"> PAGEREF _Toc31715919 \h </w:instrText>
            </w:r>
            <w:r w:rsidR="00BD4DB7">
              <w:rPr>
                <w:noProof/>
                <w:webHidden/>
              </w:rPr>
            </w:r>
            <w:r w:rsidR="00BD4DB7">
              <w:rPr>
                <w:noProof/>
                <w:webHidden/>
              </w:rPr>
              <w:fldChar w:fldCharType="separate"/>
            </w:r>
            <w:r w:rsidR="00BD4DB7">
              <w:rPr>
                <w:noProof/>
                <w:webHidden/>
              </w:rPr>
              <w:t>92</w:t>
            </w:r>
            <w:r w:rsidR="00BD4DB7">
              <w:rPr>
                <w:noProof/>
                <w:webHidden/>
              </w:rPr>
              <w:fldChar w:fldCharType="end"/>
            </w:r>
          </w:hyperlink>
        </w:p>
        <w:p w14:paraId="4E757D5C" w14:textId="5F06A226"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20" w:history="1">
            <w:r w:rsidR="00BD4DB7" w:rsidRPr="0089237F">
              <w:rPr>
                <w:rStyle w:val="Hipervnculo"/>
                <w:noProof/>
              </w:rPr>
              <w:t>Artículo 1.4.2.1. Identificación de los tipos de gestión de las Operaciones Aceptadas.</w:t>
            </w:r>
            <w:r w:rsidR="00BD4DB7">
              <w:rPr>
                <w:noProof/>
                <w:webHidden/>
              </w:rPr>
              <w:tab/>
            </w:r>
            <w:r w:rsidR="00BD4DB7">
              <w:rPr>
                <w:noProof/>
                <w:webHidden/>
              </w:rPr>
              <w:fldChar w:fldCharType="begin"/>
            </w:r>
            <w:r w:rsidR="00BD4DB7">
              <w:rPr>
                <w:noProof/>
                <w:webHidden/>
              </w:rPr>
              <w:instrText xml:space="preserve"> PAGEREF _Toc31715920 \h </w:instrText>
            </w:r>
            <w:r w:rsidR="00BD4DB7">
              <w:rPr>
                <w:noProof/>
                <w:webHidden/>
              </w:rPr>
            </w:r>
            <w:r w:rsidR="00BD4DB7">
              <w:rPr>
                <w:noProof/>
                <w:webHidden/>
              </w:rPr>
              <w:fldChar w:fldCharType="separate"/>
            </w:r>
            <w:r w:rsidR="00BD4DB7">
              <w:rPr>
                <w:noProof/>
                <w:webHidden/>
              </w:rPr>
              <w:t>92</w:t>
            </w:r>
            <w:r w:rsidR="00BD4DB7">
              <w:rPr>
                <w:noProof/>
                <w:webHidden/>
              </w:rPr>
              <w:fldChar w:fldCharType="end"/>
            </w:r>
          </w:hyperlink>
        </w:p>
        <w:p w14:paraId="0C572238" w14:textId="27EF44DA"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21" w:history="1">
            <w:r w:rsidR="00BD4DB7" w:rsidRPr="0089237F">
              <w:rPr>
                <w:rStyle w:val="Hipervnculo"/>
                <w:noProof/>
              </w:rPr>
              <w:t>Artículo 1.4.2.2. Asignación de operaciones.</w:t>
            </w:r>
            <w:r w:rsidR="00BD4DB7">
              <w:rPr>
                <w:noProof/>
                <w:webHidden/>
              </w:rPr>
              <w:tab/>
            </w:r>
            <w:r w:rsidR="00BD4DB7">
              <w:rPr>
                <w:noProof/>
                <w:webHidden/>
              </w:rPr>
              <w:fldChar w:fldCharType="begin"/>
            </w:r>
            <w:r w:rsidR="00BD4DB7">
              <w:rPr>
                <w:noProof/>
                <w:webHidden/>
              </w:rPr>
              <w:instrText xml:space="preserve"> PAGEREF _Toc31715921 \h </w:instrText>
            </w:r>
            <w:r w:rsidR="00BD4DB7">
              <w:rPr>
                <w:noProof/>
                <w:webHidden/>
              </w:rPr>
            </w:r>
            <w:r w:rsidR="00BD4DB7">
              <w:rPr>
                <w:noProof/>
                <w:webHidden/>
              </w:rPr>
              <w:fldChar w:fldCharType="separate"/>
            </w:r>
            <w:r w:rsidR="00BD4DB7">
              <w:rPr>
                <w:noProof/>
                <w:webHidden/>
              </w:rPr>
              <w:t>92</w:t>
            </w:r>
            <w:r w:rsidR="00BD4DB7">
              <w:rPr>
                <w:noProof/>
                <w:webHidden/>
              </w:rPr>
              <w:fldChar w:fldCharType="end"/>
            </w:r>
          </w:hyperlink>
        </w:p>
        <w:p w14:paraId="05C87220" w14:textId="4DFFBF1B"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22" w:history="1">
            <w:r w:rsidR="00BD4DB7" w:rsidRPr="0089237F">
              <w:rPr>
                <w:rStyle w:val="Hipervnculo"/>
                <w:noProof/>
              </w:rPr>
              <w:t>Artículo 1.4.2.3. Traspaso de Operaciones Aceptadas.</w:t>
            </w:r>
            <w:r w:rsidR="00BD4DB7">
              <w:rPr>
                <w:noProof/>
                <w:webHidden/>
              </w:rPr>
              <w:tab/>
            </w:r>
            <w:r w:rsidR="00BD4DB7">
              <w:rPr>
                <w:noProof/>
                <w:webHidden/>
              </w:rPr>
              <w:fldChar w:fldCharType="begin"/>
            </w:r>
            <w:r w:rsidR="00BD4DB7">
              <w:rPr>
                <w:noProof/>
                <w:webHidden/>
              </w:rPr>
              <w:instrText xml:space="preserve"> PAGEREF _Toc31715922 \h </w:instrText>
            </w:r>
            <w:r w:rsidR="00BD4DB7">
              <w:rPr>
                <w:noProof/>
                <w:webHidden/>
              </w:rPr>
            </w:r>
            <w:r w:rsidR="00BD4DB7">
              <w:rPr>
                <w:noProof/>
                <w:webHidden/>
              </w:rPr>
              <w:fldChar w:fldCharType="separate"/>
            </w:r>
            <w:r w:rsidR="00BD4DB7">
              <w:rPr>
                <w:noProof/>
                <w:webHidden/>
              </w:rPr>
              <w:t>94</w:t>
            </w:r>
            <w:r w:rsidR="00BD4DB7">
              <w:rPr>
                <w:noProof/>
                <w:webHidden/>
              </w:rPr>
              <w:fldChar w:fldCharType="end"/>
            </w:r>
          </w:hyperlink>
        </w:p>
        <w:p w14:paraId="75CED671" w14:textId="629C2F3E"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23" w:history="1">
            <w:r w:rsidR="00BD4DB7" w:rsidRPr="0089237F">
              <w:rPr>
                <w:rStyle w:val="Hipervnculo"/>
                <w:noProof/>
              </w:rPr>
              <w:t>Artículo 1.4.2.4. Traspaso de Posición Abierta.</w:t>
            </w:r>
            <w:r w:rsidR="00BD4DB7">
              <w:rPr>
                <w:noProof/>
                <w:webHidden/>
              </w:rPr>
              <w:tab/>
            </w:r>
            <w:r w:rsidR="00BD4DB7">
              <w:rPr>
                <w:noProof/>
                <w:webHidden/>
              </w:rPr>
              <w:fldChar w:fldCharType="begin"/>
            </w:r>
            <w:r w:rsidR="00BD4DB7">
              <w:rPr>
                <w:noProof/>
                <w:webHidden/>
              </w:rPr>
              <w:instrText xml:space="preserve"> PAGEREF _Toc31715923 \h </w:instrText>
            </w:r>
            <w:r w:rsidR="00BD4DB7">
              <w:rPr>
                <w:noProof/>
                <w:webHidden/>
              </w:rPr>
            </w:r>
            <w:r w:rsidR="00BD4DB7">
              <w:rPr>
                <w:noProof/>
                <w:webHidden/>
              </w:rPr>
              <w:fldChar w:fldCharType="separate"/>
            </w:r>
            <w:r w:rsidR="00BD4DB7">
              <w:rPr>
                <w:noProof/>
                <w:webHidden/>
              </w:rPr>
              <w:t>95</w:t>
            </w:r>
            <w:r w:rsidR="00BD4DB7">
              <w:rPr>
                <w:noProof/>
                <w:webHidden/>
              </w:rPr>
              <w:fldChar w:fldCharType="end"/>
            </w:r>
          </w:hyperlink>
        </w:p>
        <w:p w14:paraId="1B059C52" w14:textId="158C2730"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24" w:history="1">
            <w:r w:rsidR="00BD4DB7" w:rsidRPr="0089237F">
              <w:rPr>
                <w:rStyle w:val="Hipervnculo"/>
                <w:noProof/>
              </w:rPr>
              <w:t>Artículo 1.4.2.5. Procedimiento del Traspaso de Posición Abierta.</w:t>
            </w:r>
            <w:r w:rsidR="00BD4DB7">
              <w:rPr>
                <w:noProof/>
                <w:webHidden/>
              </w:rPr>
              <w:tab/>
            </w:r>
            <w:r w:rsidR="00BD4DB7">
              <w:rPr>
                <w:noProof/>
                <w:webHidden/>
              </w:rPr>
              <w:fldChar w:fldCharType="begin"/>
            </w:r>
            <w:r w:rsidR="00BD4DB7">
              <w:rPr>
                <w:noProof/>
                <w:webHidden/>
              </w:rPr>
              <w:instrText xml:space="preserve"> PAGEREF _Toc31715924 \h </w:instrText>
            </w:r>
            <w:r w:rsidR="00BD4DB7">
              <w:rPr>
                <w:noProof/>
                <w:webHidden/>
              </w:rPr>
            </w:r>
            <w:r w:rsidR="00BD4DB7">
              <w:rPr>
                <w:noProof/>
                <w:webHidden/>
              </w:rPr>
              <w:fldChar w:fldCharType="separate"/>
            </w:r>
            <w:r w:rsidR="00BD4DB7">
              <w:rPr>
                <w:noProof/>
                <w:webHidden/>
              </w:rPr>
              <w:t>96</w:t>
            </w:r>
            <w:r w:rsidR="00BD4DB7">
              <w:rPr>
                <w:noProof/>
                <w:webHidden/>
              </w:rPr>
              <w:fldChar w:fldCharType="end"/>
            </w:r>
          </w:hyperlink>
        </w:p>
        <w:p w14:paraId="414AC597" w14:textId="028EA417"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25" w:history="1">
            <w:r w:rsidR="00BD4DB7" w:rsidRPr="0089237F">
              <w:rPr>
                <w:rStyle w:val="Hipervnculo"/>
                <w:noProof/>
              </w:rPr>
              <w:t>Artículo 1.4.2.6. Give Up.</w:t>
            </w:r>
            <w:r w:rsidR="00BD4DB7">
              <w:rPr>
                <w:noProof/>
                <w:webHidden/>
              </w:rPr>
              <w:tab/>
            </w:r>
            <w:r w:rsidR="00BD4DB7">
              <w:rPr>
                <w:noProof/>
                <w:webHidden/>
              </w:rPr>
              <w:fldChar w:fldCharType="begin"/>
            </w:r>
            <w:r w:rsidR="00BD4DB7">
              <w:rPr>
                <w:noProof/>
                <w:webHidden/>
              </w:rPr>
              <w:instrText xml:space="preserve"> PAGEREF _Toc31715925 \h </w:instrText>
            </w:r>
            <w:r w:rsidR="00BD4DB7">
              <w:rPr>
                <w:noProof/>
                <w:webHidden/>
              </w:rPr>
            </w:r>
            <w:r w:rsidR="00BD4DB7">
              <w:rPr>
                <w:noProof/>
                <w:webHidden/>
              </w:rPr>
              <w:fldChar w:fldCharType="separate"/>
            </w:r>
            <w:r w:rsidR="00BD4DB7">
              <w:rPr>
                <w:noProof/>
                <w:webHidden/>
              </w:rPr>
              <w:t>97</w:t>
            </w:r>
            <w:r w:rsidR="00BD4DB7">
              <w:rPr>
                <w:noProof/>
                <w:webHidden/>
              </w:rPr>
              <w:fldChar w:fldCharType="end"/>
            </w:r>
          </w:hyperlink>
        </w:p>
        <w:p w14:paraId="6C8AF67D" w14:textId="1F09ECC2"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26" w:history="1">
            <w:r w:rsidR="00BD4DB7" w:rsidRPr="0089237F">
              <w:rPr>
                <w:rStyle w:val="Hipervnculo"/>
                <w:noProof/>
              </w:rPr>
              <w:t>Artículo 1.4.2.7. Procedimiento para Give-Up.</w:t>
            </w:r>
            <w:r w:rsidR="00BD4DB7">
              <w:rPr>
                <w:noProof/>
                <w:webHidden/>
              </w:rPr>
              <w:tab/>
            </w:r>
            <w:r w:rsidR="00BD4DB7">
              <w:rPr>
                <w:noProof/>
                <w:webHidden/>
              </w:rPr>
              <w:fldChar w:fldCharType="begin"/>
            </w:r>
            <w:r w:rsidR="00BD4DB7">
              <w:rPr>
                <w:noProof/>
                <w:webHidden/>
              </w:rPr>
              <w:instrText xml:space="preserve"> PAGEREF _Toc31715926 \h </w:instrText>
            </w:r>
            <w:r w:rsidR="00BD4DB7">
              <w:rPr>
                <w:noProof/>
                <w:webHidden/>
              </w:rPr>
            </w:r>
            <w:r w:rsidR="00BD4DB7">
              <w:rPr>
                <w:noProof/>
                <w:webHidden/>
              </w:rPr>
              <w:fldChar w:fldCharType="separate"/>
            </w:r>
            <w:r w:rsidR="00BD4DB7">
              <w:rPr>
                <w:noProof/>
                <w:webHidden/>
              </w:rPr>
              <w:t>98</w:t>
            </w:r>
            <w:r w:rsidR="00BD4DB7">
              <w:rPr>
                <w:noProof/>
                <w:webHidden/>
              </w:rPr>
              <w:fldChar w:fldCharType="end"/>
            </w:r>
          </w:hyperlink>
        </w:p>
        <w:p w14:paraId="2A1F01F0" w14:textId="0824F5DA"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27" w:history="1">
            <w:r w:rsidR="00BD4DB7" w:rsidRPr="0089237F">
              <w:rPr>
                <w:rStyle w:val="Hipervnculo"/>
                <w:noProof/>
              </w:rPr>
              <w:t>Artículo 1.4.2.8. Efectos del Give-Up.</w:t>
            </w:r>
            <w:r w:rsidR="00BD4DB7">
              <w:rPr>
                <w:noProof/>
                <w:webHidden/>
              </w:rPr>
              <w:tab/>
            </w:r>
            <w:r w:rsidR="00BD4DB7">
              <w:rPr>
                <w:noProof/>
                <w:webHidden/>
              </w:rPr>
              <w:fldChar w:fldCharType="begin"/>
            </w:r>
            <w:r w:rsidR="00BD4DB7">
              <w:rPr>
                <w:noProof/>
                <w:webHidden/>
              </w:rPr>
              <w:instrText xml:space="preserve"> PAGEREF _Toc31715927 \h </w:instrText>
            </w:r>
            <w:r w:rsidR="00BD4DB7">
              <w:rPr>
                <w:noProof/>
                <w:webHidden/>
              </w:rPr>
            </w:r>
            <w:r w:rsidR="00BD4DB7">
              <w:rPr>
                <w:noProof/>
                <w:webHidden/>
              </w:rPr>
              <w:fldChar w:fldCharType="separate"/>
            </w:r>
            <w:r w:rsidR="00BD4DB7">
              <w:rPr>
                <w:noProof/>
                <w:webHidden/>
              </w:rPr>
              <w:t>99</w:t>
            </w:r>
            <w:r w:rsidR="00BD4DB7">
              <w:rPr>
                <w:noProof/>
                <w:webHidden/>
              </w:rPr>
              <w:fldChar w:fldCharType="end"/>
            </w:r>
          </w:hyperlink>
        </w:p>
        <w:p w14:paraId="029A16A7" w14:textId="2A499964"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28" w:history="1">
            <w:r w:rsidR="00BD4DB7" w:rsidRPr="0089237F">
              <w:rPr>
                <w:rStyle w:val="Hipervnculo"/>
                <w:noProof/>
              </w:rPr>
              <w:t>Artículo 1.4.2.9. Responsabilidad e identificación de los tipos de gestión de las Operaciones Aceptadas.</w:t>
            </w:r>
            <w:r w:rsidR="00BD4DB7">
              <w:rPr>
                <w:noProof/>
                <w:webHidden/>
              </w:rPr>
              <w:tab/>
            </w:r>
            <w:r w:rsidR="00BD4DB7">
              <w:rPr>
                <w:noProof/>
                <w:webHidden/>
              </w:rPr>
              <w:fldChar w:fldCharType="begin"/>
            </w:r>
            <w:r w:rsidR="00BD4DB7">
              <w:rPr>
                <w:noProof/>
                <w:webHidden/>
              </w:rPr>
              <w:instrText xml:space="preserve"> PAGEREF _Toc31715928 \h </w:instrText>
            </w:r>
            <w:r w:rsidR="00BD4DB7">
              <w:rPr>
                <w:noProof/>
                <w:webHidden/>
              </w:rPr>
            </w:r>
            <w:r w:rsidR="00BD4DB7">
              <w:rPr>
                <w:noProof/>
                <w:webHidden/>
              </w:rPr>
              <w:fldChar w:fldCharType="separate"/>
            </w:r>
            <w:r w:rsidR="00BD4DB7">
              <w:rPr>
                <w:noProof/>
                <w:webHidden/>
              </w:rPr>
              <w:t>99</w:t>
            </w:r>
            <w:r w:rsidR="00BD4DB7">
              <w:rPr>
                <w:noProof/>
                <w:webHidden/>
              </w:rPr>
              <w:fldChar w:fldCharType="end"/>
            </w:r>
          </w:hyperlink>
        </w:p>
        <w:p w14:paraId="6C63BC90" w14:textId="55A162D7"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29" w:history="1">
            <w:r w:rsidR="00BD4DB7" w:rsidRPr="0089237F">
              <w:rPr>
                <w:rStyle w:val="Hipervnculo"/>
                <w:noProof/>
              </w:rPr>
              <w:t>Artículo 1.4.2.10. Restricciones para la gestión de Operaciones entre Cuentas de Segmentos diferentes.</w:t>
            </w:r>
            <w:r w:rsidR="00BD4DB7">
              <w:rPr>
                <w:noProof/>
                <w:webHidden/>
              </w:rPr>
              <w:tab/>
            </w:r>
            <w:r w:rsidR="00BD4DB7">
              <w:rPr>
                <w:noProof/>
                <w:webHidden/>
              </w:rPr>
              <w:fldChar w:fldCharType="begin"/>
            </w:r>
            <w:r w:rsidR="00BD4DB7">
              <w:rPr>
                <w:noProof/>
                <w:webHidden/>
              </w:rPr>
              <w:instrText xml:space="preserve"> PAGEREF _Toc31715929 \h </w:instrText>
            </w:r>
            <w:r w:rsidR="00BD4DB7">
              <w:rPr>
                <w:noProof/>
                <w:webHidden/>
              </w:rPr>
            </w:r>
            <w:r w:rsidR="00BD4DB7">
              <w:rPr>
                <w:noProof/>
                <w:webHidden/>
              </w:rPr>
              <w:fldChar w:fldCharType="separate"/>
            </w:r>
            <w:r w:rsidR="00BD4DB7">
              <w:rPr>
                <w:noProof/>
                <w:webHidden/>
              </w:rPr>
              <w:t>99</w:t>
            </w:r>
            <w:r w:rsidR="00BD4DB7">
              <w:rPr>
                <w:noProof/>
                <w:webHidden/>
              </w:rPr>
              <w:fldChar w:fldCharType="end"/>
            </w:r>
          </w:hyperlink>
        </w:p>
        <w:p w14:paraId="4945CD7C" w14:textId="1D349FD7"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930" w:history="1">
            <w:r w:rsidR="00BD4DB7" w:rsidRPr="0089237F">
              <w:rPr>
                <w:rStyle w:val="Hipervnculo"/>
                <w:noProof/>
              </w:rPr>
              <w:t>TÍTULO QUINTO</w:t>
            </w:r>
            <w:r w:rsidR="00BD4DB7">
              <w:rPr>
                <w:noProof/>
                <w:webHidden/>
              </w:rPr>
              <w:tab/>
            </w:r>
            <w:r w:rsidR="00BD4DB7">
              <w:rPr>
                <w:noProof/>
                <w:webHidden/>
              </w:rPr>
              <w:fldChar w:fldCharType="begin"/>
            </w:r>
            <w:r w:rsidR="00BD4DB7">
              <w:rPr>
                <w:noProof/>
                <w:webHidden/>
              </w:rPr>
              <w:instrText xml:space="preserve"> PAGEREF _Toc31715930 \h </w:instrText>
            </w:r>
            <w:r w:rsidR="00BD4DB7">
              <w:rPr>
                <w:noProof/>
                <w:webHidden/>
              </w:rPr>
            </w:r>
            <w:r w:rsidR="00BD4DB7">
              <w:rPr>
                <w:noProof/>
                <w:webHidden/>
              </w:rPr>
              <w:fldChar w:fldCharType="separate"/>
            </w:r>
            <w:r w:rsidR="00BD4DB7">
              <w:rPr>
                <w:noProof/>
                <w:webHidden/>
              </w:rPr>
              <w:t>99</w:t>
            </w:r>
            <w:r w:rsidR="00BD4DB7">
              <w:rPr>
                <w:noProof/>
                <w:webHidden/>
              </w:rPr>
              <w:fldChar w:fldCharType="end"/>
            </w:r>
          </w:hyperlink>
        </w:p>
        <w:p w14:paraId="15E8F17B" w14:textId="67B67C24"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931" w:history="1">
            <w:r w:rsidR="00BD4DB7" w:rsidRPr="0089237F">
              <w:rPr>
                <w:rStyle w:val="Hipervnculo"/>
                <w:noProof/>
              </w:rPr>
              <w:t>COMPENSACIÓN Y LIQUIDACIÓN DE OPERACIONES</w:t>
            </w:r>
            <w:r w:rsidR="00BD4DB7">
              <w:rPr>
                <w:noProof/>
                <w:webHidden/>
              </w:rPr>
              <w:tab/>
            </w:r>
            <w:r w:rsidR="00BD4DB7">
              <w:rPr>
                <w:noProof/>
                <w:webHidden/>
              </w:rPr>
              <w:fldChar w:fldCharType="begin"/>
            </w:r>
            <w:r w:rsidR="00BD4DB7">
              <w:rPr>
                <w:noProof/>
                <w:webHidden/>
              </w:rPr>
              <w:instrText xml:space="preserve"> PAGEREF _Toc31715931 \h </w:instrText>
            </w:r>
            <w:r w:rsidR="00BD4DB7">
              <w:rPr>
                <w:noProof/>
                <w:webHidden/>
              </w:rPr>
            </w:r>
            <w:r w:rsidR="00BD4DB7">
              <w:rPr>
                <w:noProof/>
                <w:webHidden/>
              </w:rPr>
              <w:fldChar w:fldCharType="separate"/>
            </w:r>
            <w:r w:rsidR="00BD4DB7">
              <w:rPr>
                <w:noProof/>
                <w:webHidden/>
              </w:rPr>
              <w:t>100</w:t>
            </w:r>
            <w:r w:rsidR="00BD4DB7">
              <w:rPr>
                <w:noProof/>
                <w:webHidden/>
              </w:rPr>
              <w:fldChar w:fldCharType="end"/>
            </w:r>
          </w:hyperlink>
        </w:p>
        <w:p w14:paraId="2484B096" w14:textId="5764BA41"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932" w:history="1">
            <w:r w:rsidR="00BD4DB7" w:rsidRPr="0089237F">
              <w:rPr>
                <w:rStyle w:val="Hipervnculo"/>
                <w:noProof/>
              </w:rPr>
              <w:t>CAPÍTULO PRIMERO</w:t>
            </w:r>
            <w:r w:rsidR="00BD4DB7">
              <w:rPr>
                <w:noProof/>
                <w:webHidden/>
              </w:rPr>
              <w:tab/>
            </w:r>
            <w:r w:rsidR="00BD4DB7">
              <w:rPr>
                <w:noProof/>
                <w:webHidden/>
              </w:rPr>
              <w:fldChar w:fldCharType="begin"/>
            </w:r>
            <w:r w:rsidR="00BD4DB7">
              <w:rPr>
                <w:noProof/>
                <w:webHidden/>
              </w:rPr>
              <w:instrText xml:space="preserve"> PAGEREF _Toc31715932 \h </w:instrText>
            </w:r>
            <w:r w:rsidR="00BD4DB7">
              <w:rPr>
                <w:noProof/>
                <w:webHidden/>
              </w:rPr>
            </w:r>
            <w:r w:rsidR="00BD4DB7">
              <w:rPr>
                <w:noProof/>
                <w:webHidden/>
              </w:rPr>
              <w:fldChar w:fldCharType="separate"/>
            </w:r>
            <w:r w:rsidR="00BD4DB7">
              <w:rPr>
                <w:noProof/>
                <w:webHidden/>
              </w:rPr>
              <w:t>100</w:t>
            </w:r>
            <w:r w:rsidR="00BD4DB7">
              <w:rPr>
                <w:noProof/>
                <w:webHidden/>
              </w:rPr>
              <w:fldChar w:fldCharType="end"/>
            </w:r>
          </w:hyperlink>
        </w:p>
        <w:p w14:paraId="1177271D" w14:textId="0B6A6CF3"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933" w:history="1">
            <w:r w:rsidR="00BD4DB7" w:rsidRPr="0089237F">
              <w:rPr>
                <w:rStyle w:val="Hipervnculo"/>
                <w:noProof/>
              </w:rPr>
              <w:t>COMPENSACIÓN</w:t>
            </w:r>
            <w:r w:rsidR="00BD4DB7">
              <w:rPr>
                <w:noProof/>
                <w:webHidden/>
              </w:rPr>
              <w:tab/>
            </w:r>
            <w:r w:rsidR="00BD4DB7">
              <w:rPr>
                <w:noProof/>
                <w:webHidden/>
              </w:rPr>
              <w:fldChar w:fldCharType="begin"/>
            </w:r>
            <w:r w:rsidR="00BD4DB7">
              <w:rPr>
                <w:noProof/>
                <w:webHidden/>
              </w:rPr>
              <w:instrText xml:space="preserve"> PAGEREF _Toc31715933 \h </w:instrText>
            </w:r>
            <w:r w:rsidR="00BD4DB7">
              <w:rPr>
                <w:noProof/>
                <w:webHidden/>
              </w:rPr>
            </w:r>
            <w:r w:rsidR="00BD4DB7">
              <w:rPr>
                <w:noProof/>
                <w:webHidden/>
              </w:rPr>
              <w:fldChar w:fldCharType="separate"/>
            </w:r>
            <w:r w:rsidR="00BD4DB7">
              <w:rPr>
                <w:noProof/>
                <w:webHidden/>
              </w:rPr>
              <w:t>100</w:t>
            </w:r>
            <w:r w:rsidR="00BD4DB7">
              <w:rPr>
                <w:noProof/>
                <w:webHidden/>
              </w:rPr>
              <w:fldChar w:fldCharType="end"/>
            </w:r>
          </w:hyperlink>
        </w:p>
        <w:p w14:paraId="232434FD" w14:textId="671E9A8E"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34" w:history="1">
            <w:r w:rsidR="00BD4DB7" w:rsidRPr="0089237F">
              <w:rPr>
                <w:rStyle w:val="Hipervnculo"/>
                <w:noProof/>
              </w:rPr>
              <w:t>Artículo 1.5.1.1. Compensación de efectivo.</w:t>
            </w:r>
            <w:r w:rsidR="00BD4DB7">
              <w:rPr>
                <w:noProof/>
                <w:webHidden/>
              </w:rPr>
              <w:tab/>
            </w:r>
            <w:r w:rsidR="00BD4DB7">
              <w:rPr>
                <w:noProof/>
                <w:webHidden/>
              </w:rPr>
              <w:fldChar w:fldCharType="begin"/>
            </w:r>
            <w:r w:rsidR="00BD4DB7">
              <w:rPr>
                <w:noProof/>
                <w:webHidden/>
              </w:rPr>
              <w:instrText xml:space="preserve"> PAGEREF _Toc31715934 \h </w:instrText>
            </w:r>
            <w:r w:rsidR="00BD4DB7">
              <w:rPr>
                <w:noProof/>
                <w:webHidden/>
              </w:rPr>
            </w:r>
            <w:r w:rsidR="00BD4DB7">
              <w:rPr>
                <w:noProof/>
                <w:webHidden/>
              </w:rPr>
              <w:fldChar w:fldCharType="separate"/>
            </w:r>
            <w:r w:rsidR="00BD4DB7">
              <w:rPr>
                <w:noProof/>
                <w:webHidden/>
              </w:rPr>
              <w:t>100</w:t>
            </w:r>
            <w:r w:rsidR="00BD4DB7">
              <w:rPr>
                <w:noProof/>
                <w:webHidden/>
              </w:rPr>
              <w:fldChar w:fldCharType="end"/>
            </w:r>
          </w:hyperlink>
        </w:p>
        <w:p w14:paraId="3F11A341" w14:textId="5AB8E1D0"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35" w:history="1">
            <w:r w:rsidR="00BD4DB7" w:rsidRPr="0089237F">
              <w:rPr>
                <w:rStyle w:val="Hipervnculo"/>
                <w:noProof/>
              </w:rPr>
              <w:t>Artículo 1.5.1.2. Compensación de Activos.</w:t>
            </w:r>
            <w:r w:rsidR="00BD4DB7">
              <w:rPr>
                <w:noProof/>
                <w:webHidden/>
              </w:rPr>
              <w:tab/>
            </w:r>
            <w:r w:rsidR="00BD4DB7">
              <w:rPr>
                <w:noProof/>
                <w:webHidden/>
              </w:rPr>
              <w:fldChar w:fldCharType="begin"/>
            </w:r>
            <w:r w:rsidR="00BD4DB7">
              <w:rPr>
                <w:noProof/>
                <w:webHidden/>
              </w:rPr>
              <w:instrText xml:space="preserve"> PAGEREF _Toc31715935 \h </w:instrText>
            </w:r>
            <w:r w:rsidR="00BD4DB7">
              <w:rPr>
                <w:noProof/>
                <w:webHidden/>
              </w:rPr>
            </w:r>
            <w:r w:rsidR="00BD4DB7">
              <w:rPr>
                <w:noProof/>
                <w:webHidden/>
              </w:rPr>
              <w:fldChar w:fldCharType="separate"/>
            </w:r>
            <w:r w:rsidR="00BD4DB7">
              <w:rPr>
                <w:noProof/>
                <w:webHidden/>
              </w:rPr>
              <w:t>100</w:t>
            </w:r>
            <w:r w:rsidR="00BD4DB7">
              <w:rPr>
                <w:noProof/>
                <w:webHidden/>
              </w:rPr>
              <w:fldChar w:fldCharType="end"/>
            </w:r>
          </w:hyperlink>
        </w:p>
        <w:p w14:paraId="22B0CA2F" w14:textId="47FBEF25"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936" w:history="1">
            <w:r w:rsidR="00BD4DB7" w:rsidRPr="0089237F">
              <w:rPr>
                <w:rStyle w:val="Hipervnculo"/>
                <w:noProof/>
              </w:rPr>
              <w:t>CAPÍTULO SEGUNDO</w:t>
            </w:r>
            <w:r w:rsidR="00BD4DB7">
              <w:rPr>
                <w:noProof/>
                <w:webHidden/>
              </w:rPr>
              <w:tab/>
            </w:r>
            <w:r w:rsidR="00BD4DB7">
              <w:rPr>
                <w:noProof/>
                <w:webHidden/>
              </w:rPr>
              <w:fldChar w:fldCharType="begin"/>
            </w:r>
            <w:r w:rsidR="00BD4DB7">
              <w:rPr>
                <w:noProof/>
                <w:webHidden/>
              </w:rPr>
              <w:instrText xml:space="preserve"> PAGEREF _Toc31715936 \h </w:instrText>
            </w:r>
            <w:r w:rsidR="00BD4DB7">
              <w:rPr>
                <w:noProof/>
                <w:webHidden/>
              </w:rPr>
            </w:r>
            <w:r w:rsidR="00BD4DB7">
              <w:rPr>
                <w:noProof/>
                <w:webHidden/>
              </w:rPr>
              <w:fldChar w:fldCharType="separate"/>
            </w:r>
            <w:r w:rsidR="00BD4DB7">
              <w:rPr>
                <w:noProof/>
                <w:webHidden/>
              </w:rPr>
              <w:t>100</w:t>
            </w:r>
            <w:r w:rsidR="00BD4DB7">
              <w:rPr>
                <w:noProof/>
                <w:webHidden/>
              </w:rPr>
              <w:fldChar w:fldCharType="end"/>
            </w:r>
          </w:hyperlink>
        </w:p>
        <w:p w14:paraId="7349312E" w14:textId="478C632C"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937" w:history="1">
            <w:r w:rsidR="00BD4DB7" w:rsidRPr="0089237F">
              <w:rPr>
                <w:rStyle w:val="Hipervnculo"/>
                <w:noProof/>
              </w:rPr>
              <w:t>LIQUIDACIÓN</w:t>
            </w:r>
            <w:r w:rsidR="00BD4DB7">
              <w:rPr>
                <w:noProof/>
                <w:webHidden/>
              </w:rPr>
              <w:tab/>
            </w:r>
            <w:r w:rsidR="00BD4DB7">
              <w:rPr>
                <w:noProof/>
                <w:webHidden/>
              </w:rPr>
              <w:fldChar w:fldCharType="begin"/>
            </w:r>
            <w:r w:rsidR="00BD4DB7">
              <w:rPr>
                <w:noProof/>
                <w:webHidden/>
              </w:rPr>
              <w:instrText xml:space="preserve"> PAGEREF _Toc31715937 \h </w:instrText>
            </w:r>
            <w:r w:rsidR="00BD4DB7">
              <w:rPr>
                <w:noProof/>
                <w:webHidden/>
              </w:rPr>
            </w:r>
            <w:r w:rsidR="00BD4DB7">
              <w:rPr>
                <w:noProof/>
                <w:webHidden/>
              </w:rPr>
              <w:fldChar w:fldCharType="separate"/>
            </w:r>
            <w:r w:rsidR="00BD4DB7">
              <w:rPr>
                <w:noProof/>
                <w:webHidden/>
              </w:rPr>
              <w:t>100</w:t>
            </w:r>
            <w:r w:rsidR="00BD4DB7">
              <w:rPr>
                <w:noProof/>
                <w:webHidden/>
              </w:rPr>
              <w:fldChar w:fldCharType="end"/>
            </w:r>
          </w:hyperlink>
        </w:p>
        <w:p w14:paraId="59F0B62F" w14:textId="1BB4B7F6"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38" w:history="1">
            <w:r w:rsidR="00BD4DB7" w:rsidRPr="0089237F">
              <w:rPr>
                <w:rStyle w:val="Hipervnculo"/>
                <w:noProof/>
              </w:rPr>
              <w:t>Artículo 1.5.2.1. Tipo de Liquidación.</w:t>
            </w:r>
            <w:r w:rsidR="00BD4DB7">
              <w:rPr>
                <w:noProof/>
                <w:webHidden/>
              </w:rPr>
              <w:tab/>
            </w:r>
            <w:r w:rsidR="00BD4DB7">
              <w:rPr>
                <w:noProof/>
                <w:webHidden/>
              </w:rPr>
              <w:fldChar w:fldCharType="begin"/>
            </w:r>
            <w:r w:rsidR="00BD4DB7">
              <w:rPr>
                <w:noProof/>
                <w:webHidden/>
              </w:rPr>
              <w:instrText xml:space="preserve"> PAGEREF _Toc31715938 \h </w:instrText>
            </w:r>
            <w:r w:rsidR="00BD4DB7">
              <w:rPr>
                <w:noProof/>
                <w:webHidden/>
              </w:rPr>
            </w:r>
            <w:r w:rsidR="00BD4DB7">
              <w:rPr>
                <w:noProof/>
                <w:webHidden/>
              </w:rPr>
              <w:fldChar w:fldCharType="separate"/>
            </w:r>
            <w:r w:rsidR="00BD4DB7">
              <w:rPr>
                <w:noProof/>
                <w:webHidden/>
              </w:rPr>
              <w:t>100</w:t>
            </w:r>
            <w:r w:rsidR="00BD4DB7">
              <w:rPr>
                <w:noProof/>
                <w:webHidden/>
              </w:rPr>
              <w:fldChar w:fldCharType="end"/>
            </w:r>
          </w:hyperlink>
        </w:p>
        <w:p w14:paraId="028A0850" w14:textId="36FA47F2"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939" w:history="1">
            <w:r w:rsidR="00BD4DB7" w:rsidRPr="0089237F">
              <w:rPr>
                <w:rStyle w:val="Hipervnculo"/>
                <w:noProof/>
              </w:rPr>
              <w:t>CAPÍTULO TERCERO</w:t>
            </w:r>
            <w:r w:rsidR="00BD4DB7">
              <w:rPr>
                <w:noProof/>
                <w:webHidden/>
              </w:rPr>
              <w:tab/>
            </w:r>
            <w:r w:rsidR="00BD4DB7">
              <w:rPr>
                <w:noProof/>
                <w:webHidden/>
              </w:rPr>
              <w:fldChar w:fldCharType="begin"/>
            </w:r>
            <w:r w:rsidR="00BD4DB7">
              <w:rPr>
                <w:noProof/>
                <w:webHidden/>
              </w:rPr>
              <w:instrText xml:space="preserve"> PAGEREF _Toc31715939 \h </w:instrText>
            </w:r>
            <w:r w:rsidR="00BD4DB7">
              <w:rPr>
                <w:noProof/>
                <w:webHidden/>
              </w:rPr>
            </w:r>
            <w:r w:rsidR="00BD4DB7">
              <w:rPr>
                <w:noProof/>
                <w:webHidden/>
              </w:rPr>
              <w:fldChar w:fldCharType="separate"/>
            </w:r>
            <w:r w:rsidR="00BD4DB7">
              <w:rPr>
                <w:noProof/>
                <w:webHidden/>
              </w:rPr>
              <w:t>101</w:t>
            </w:r>
            <w:r w:rsidR="00BD4DB7">
              <w:rPr>
                <w:noProof/>
                <w:webHidden/>
              </w:rPr>
              <w:fldChar w:fldCharType="end"/>
            </w:r>
          </w:hyperlink>
        </w:p>
        <w:p w14:paraId="046D935F" w14:textId="59CE3719"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940" w:history="1">
            <w:r w:rsidR="00BD4DB7" w:rsidRPr="0089237F">
              <w:rPr>
                <w:rStyle w:val="Hipervnculo"/>
                <w:noProof/>
              </w:rPr>
              <w:t>COMPENSACIÓN Y LIQUIDACIÓN ANTICIPADA</w:t>
            </w:r>
            <w:r w:rsidR="00BD4DB7">
              <w:rPr>
                <w:noProof/>
                <w:webHidden/>
              </w:rPr>
              <w:tab/>
            </w:r>
            <w:r w:rsidR="00BD4DB7">
              <w:rPr>
                <w:noProof/>
                <w:webHidden/>
              </w:rPr>
              <w:fldChar w:fldCharType="begin"/>
            </w:r>
            <w:r w:rsidR="00BD4DB7">
              <w:rPr>
                <w:noProof/>
                <w:webHidden/>
              </w:rPr>
              <w:instrText xml:space="preserve"> PAGEREF _Toc31715940 \h </w:instrText>
            </w:r>
            <w:r w:rsidR="00BD4DB7">
              <w:rPr>
                <w:noProof/>
                <w:webHidden/>
              </w:rPr>
            </w:r>
            <w:r w:rsidR="00BD4DB7">
              <w:rPr>
                <w:noProof/>
                <w:webHidden/>
              </w:rPr>
              <w:fldChar w:fldCharType="separate"/>
            </w:r>
            <w:r w:rsidR="00BD4DB7">
              <w:rPr>
                <w:noProof/>
                <w:webHidden/>
              </w:rPr>
              <w:t>101</w:t>
            </w:r>
            <w:r w:rsidR="00BD4DB7">
              <w:rPr>
                <w:noProof/>
                <w:webHidden/>
              </w:rPr>
              <w:fldChar w:fldCharType="end"/>
            </w:r>
          </w:hyperlink>
        </w:p>
        <w:p w14:paraId="7ABB60BA" w14:textId="0A28EF6D"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41" w:history="1">
            <w:r w:rsidR="00BD4DB7" w:rsidRPr="0089237F">
              <w:rPr>
                <w:rStyle w:val="Hipervnculo"/>
                <w:noProof/>
              </w:rPr>
              <w:t>Artículo 1.5.3.1. Compensación y Liquidación Anticipada.</w:t>
            </w:r>
            <w:r w:rsidR="00BD4DB7">
              <w:rPr>
                <w:noProof/>
                <w:webHidden/>
              </w:rPr>
              <w:tab/>
            </w:r>
            <w:r w:rsidR="00BD4DB7">
              <w:rPr>
                <w:noProof/>
                <w:webHidden/>
              </w:rPr>
              <w:fldChar w:fldCharType="begin"/>
            </w:r>
            <w:r w:rsidR="00BD4DB7">
              <w:rPr>
                <w:noProof/>
                <w:webHidden/>
              </w:rPr>
              <w:instrText xml:space="preserve"> PAGEREF _Toc31715941 \h </w:instrText>
            </w:r>
            <w:r w:rsidR="00BD4DB7">
              <w:rPr>
                <w:noProof/>
                <w:webHidden/>
              </w:rPr>
            </w:r>
            <w:r w:rsidR="00BD4DB7">
              <w:rPr>
                <w:noProof/>
                <w:webHidden/>
              </w:rPr>
              <w:fldChar w:fldCharType="separate"/>
            </w:r>
            <w:r w:rsidR="00BD4DB7">
              <w:rPr>
                <w:noProof/>
                <w:webHidden/>
              </w:rPr>
              <w:t>101</w:t>
            </w:r>
            <w:r w:rsidR="00BD4DB7">
              <w:rPr>
                <w:noProof/>
                <w:webHidden/>
              </w:rPr>
              <w:fldChar w:fldCharType="end"/>
            </w:r>
          </w:hyperlink>
        </w:p>
        <w:p w14:paraId="017ABFC4" w14:textId="0F3104EA"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42" w:history="1">
            <w:r w:rsidR="00BD4DB7" w:rsidRPr="0089237F">
              <w:rPr>
                <w:rStyle w:val="Hipervnculo"/>
                <w:noProof/>
              </w:rPr>
              <w:t>Artículo 1.5.3.2. Compensación y Liquidación Anticipada por solicitud de un Miembro.</w:t>
            </w:r>
            <w:r w:rsidR="00BD4DB7">
              <w:rPr>
                <w:noProof/>
                <w:webHidden/>
              </w:rPr>
              <w:tab/>
            </w:r>
            <w:r w:rsidR="00BD4DB7">
              <w:rPr>
                <w:noProof/>
                <w:webHidden/>
              </w:rPr>
              <w:fldChar w:fldCharType="begin"/>
            </w:r>
            <w:r w:rsidR="00BD4DB7">
              <w:rPr>
                <w:noProof/>
                <w:webHidden/>
              </w:rPr>
              <w:instrText xml:space="preserve"> PAGEREF _Toc31715942 \h </w:instrText>
            </w:r>
            <w:r w:rsidR="00BD4DB7">
              <w:rPr>
                <w:noProof/>
                <w:webHidden/>
              </w:rPr>
            </w:r>
            <w:r w:rsidR="00BD4DB7">
              <w:rPr>
                <w:noProof/>
                <w:webHidden/>
              </w:rPr>
              <w:fldChar w:fldCharType="separate"/>
            </w:r>
            <w:r w:rsidR="00BD4DB7">
              <w:rPr>
                <w:noProof/>
                <w:webHidden/>
              </w:rPr>
              <w:t>101</w:t>
            </w:r>
            <w:r w:rsidR="00BD4DB7">
              <w:rPr>
                <w:noProof/>
                <w:webHidden/>
              </w:rPr>
              <w:fldChar w:fldCharType="end"/>
            </w:r>
          </w:hyperlink>
        </w:p>
        <w:p w14:paraId="5D1B84AA" w14:textId="134D3BBE"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943" w:history="1">
            <w:r w:rsidR="00BD4DB7" w:rsidRPr="0089237F">
              <w:rPr>
                <w:rStyle w:val="Hipervnculo"/>
                <w:noProof/>
              </w:rPr>
              <w:t>TÍTULO SEXTO</w:t>
            </w:r>
            <w:r w:rsidR="00BD4DB7">
              <w:rPr>
                <w:noProof/>
                <w:webHidden/>
              </w:rPr>
              <w:tab/>
            </w:r>
            <w:r w:rsidR="00BD4DB7">
              <w:rPr>
                <w:noProof/>
                <w:webHidden/>
              </w:rPr>
              <w:fldChar w:fldCharType="begin"/>
            </w:r>
            <w:r w:rsidR="00BD4DB7">
              <w:rPr>
                <w:noProof/>
                <w:webHidden/>
              </w:rPr>
              <w:instrText xml:space="preserve"> PAGEREF _Toc31715943 \h </w:instrText>
            </w:r>
            <w:r w:rsidR="00BD4DB7">
              <w:rPr>
                <w:noProof/>
                <w:webHidden/>
              </w:rPr>
            </w:r>
            <w:r w:rsidR="00BD4DB7">
              <w:rPr>
                <w:noProof/>
                <w:webHidden/>
              </w:rPr>
              <w:fldChar w:fldCharType="separate"/>
            </w:r>
            <w:r w:rsidR="00BD4DB7">
              <w:rPr>
                <w:noProof/>
                <w:webHidden/>
              </w:rPr>
              <w:t>102</w:t>
            </w:r>
            <w:r w:rsidR="00BD4DB7">
              <w:rPr>
                <w:noProof/>
                <w:webHidden/>
              </w:rPr>
              <w:fldChar w:fldCharType="end"/>
            </w:r>
          </w:hyperlink>
        </w:p>
        <w:p w14:paraId="03BD4C06" w14:textId="5F6FEFCE"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944" w:history="1">
            <w:r w:rsidR="00BD4DB7" w:rsidRPr="0089237F">
              <w:rPr>
                <w:rStyle w:val="Hipervnculo"/>
                <w:noProof/>
              </w:rPr>
              <w:t>MODELO DE RIESGO DE LA CÁMARA PARA EL CÁLCULO Y GESTIÓN DE GARANTÍAS Y DEFINICIÓN DE LÍMITES</w:t>
            </w:r>
            <w:r w:rsidR="00BD4DB7">
              <w:rPr>
                <w:noProof/>
                <w:webHidden/>
              </w:rPr>
              <w:tab/>
            </w:r>
            <w:r w:rsidR="00BD4DB7">
              <w:rPr>
                <w:noProof/>
                <w:webHidden/>
              </w:rPr>
              <w:fldChar w:fldCharType="begin"/>
            </w:r>
            <w:r w:rsidR="00BD4DB7">
              <w:rPr>
                <w:noProof/>
                <w:webHidden/>
              </w:rPr>
              <w:instrText xml:space="preserve"> PAGEREF _Toc31715944 \h </w:instrText>
            </w:r>
            <w:r w:rsidR="00BD4DB7">
              <w:rPr>
                <w:noProof/>
                <w:webHidden/>
              </w:rPr>
            </w:r>
            <w:r w:rsidR="00BD4DB7">
              <w:rPr>
                <w:noProof/>
                <w:webHidden/>
              </w:rPr>
              <w:fldChar w:fldCharType="separate"/>
            </w:r>
            <w:r w:rsidR="00BD4DB7">
              <w:rPr>
                <w:noProof/>
                <w:webHidden/>
              </w:rPr>
              <w:t>102</w:t>
            </w:r>
            <w:r w:rsidR="00BD4DB7">
              <w:rPr>
                <w:noProof/>
                <w:webHidden/>
              </w:rPr>
              <w:fldChar w:fldCharType="end"/>
            </w:r>
          </w:hyperlink>
        </w:p>
        <w:p w14:paraId="101A2E17" w14:textId="6E049078"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945" w:history="1">
            <w:r w:rsidR="00BD4DB7" w:rsidRPr="0089237F">
              <w:rPr>
                <w:rStyle w:val="Hipervnculo"/>
                <w:noProof/>
              </w:rPr>
              <w:t>CAPÍTULO PRIMERO</w:t>
            </w:r>
            <w:r w:rsidR="00BD4DB7">
              <w:rPr>
                <w:noProof/>
                <w:webHidden/>
              </w:rPr>
              <w:tab/>
            </w:r>
            <w:r w:rsidR="00BD4DB7">
              <w:rPr>
                <w:noProof/>
                <w:webHidden/>
              </w:rPr>
              <w:fldChar w:fldCharType="begin"/>
            </w:r>
            <w:r w:rsidR="00BD4DB7">
              <w:rPr>
                <w:noProof/>
                <w:webHidden/>
              </w:rPr>
              <w:instrText xml:space="preserve"> PAGEREF _Toc31715945 \h </w:instrText>
            </w:r>
            <w:r w:rsidR="00BD4DB7">
              <w:rPr>
                <w:noProof/>
                <w:webHidden/>
              </w:rPr>
            </w:r>
            <w:r w:rsidR="00BD4DB7">
              <w:rPr>
                <w:noProof/>
                <w:webHidden/>
              </w:rPr>
              <w:fldChar w:fldCharType="separate"/>
            </w:r>
            <w:r w:rsidR="00BD4DB7">
              <w:rPr>
                <w:noProof/>
                <w:webHidden/>
              </w:rPr>
              <w:t>102</w:t>
            </w:r>
            <w:r w:rsidR="00BD4DB7">
              <w:rPr>
                <w:noProof/>
                <w:webHidden/>
              </w:rPr>
              <w:fldChar w:fldCharType="end"/>
            </w:r>
          </w:hyperlink>
        </w:p>
        <w:p w14:paraId="5766ECC4" w14:textId="48408B7B"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946" w:history="1">
            <w:r w:rsidR="00BD4DB7" w:rsidRPr="0089237F">
              <w:rPr>
                <w:rStyle w:val="Hipervnculo"/>
                <w:noProof/>
              </w:rPr>
              <w:t>GENERALIDADES</w:t>
            </w:r>
            <w:r w:rsidR="00BD4DB7">
              <w:rPr>
                <w:noProof/>
                <w:webHidden/>
              </w:rPr>
              <w:tab/>
            </w:r>
            <w:r w:rsidR="00BD4DB7">
              <w:rPr>
                <w:noProof/>
                <w:webHidden/>
              </w:rPr>
              <w:fldChar w:fldCharType="begin"/>
            </w:r>
            <w:r w:rsidR="00BD4DB7">
              <w:rPr>
                <w:noProof/>
                <w:webHidden/>
              </w:rPr>
              <w:instrText xml:space="preserve"> PAGEREF _Toc31715946 \h </w:instrText>
            </w:r>
            <w:r w:rsidR="00BD4DB7">
              <w:rPr>
                <w:noProof/>
                <w:webHidden/>
              </w:rPr>
            </w:r>
            <w:r w:rsidR="00BD4DB7">
              <w:rPr>
                <w:noProof/>
                <w:webHidden/>
              </w:rPr>
              <w:fldChar w:fldCharType="separate"/>
            </w:r>
            <w:r w:rsidR="00BD4DB7">
              <w:rPr>
                <w:noProof/>
                <w:webHidden/>
              </w:rPr>
              <w:t>102</w:t>
            </w:r>
            <w:r w:rsidR="00BD4DB7">
              <w:rPr>
                <w:noProof/>
                <w:webHidden/>
              </w:rPr>
              <w:fldChar w:fldCharType="end"/>
            </w:r>
          </w:hyperlink>
        </w:p>
        <w:p w14:paraId="2295EED3" w14:textId="6581F1DD"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47" w:history="1">
            <w:r w:rsidR="00BD4DB7" w:rsidRPr="0089237F">
              <w:rPr>
                <w:rStyle w:val="Hipervnculo"/>
                <w:noProof/>
              </w:rPr>
              <w:t>Artículo 1.6.1.1. Modelo de Riesgo de la Cámara para el cálculo y gestión de garantías y definición de límites.</w:t>
            </w:r>
            <w:r w:rsidR="00BD4DB7">
              <w:rPr>
                <w:noProof/>
                <w:webHidden/>
              </w:rPr>
              <w:tab/>
            </w:r>
            <w:r w:rsidR="00BD4DB7">
              <w:rPr>
                <w:noProof/>
                <w:webHidden/>
              </w:rPr>
              <w:fldChar w:fldCharType="begin"/>
            </w:r>
            <w:r w:rsidR="00BD4DB7">
              <w:rPr>
                <w:noProof/>
                <w:webHidden/>
              </w:rPr>
              <w:instrText xml:space="preserve"> PAGEREF _Toc31715947 \h </w:instrText>
            </w:r>
            <w:r w:rsidR="00BD4DB7">
              <w:rPr>
                <w:noProof/>
                <w:webHidden/>
              </w:rPr>
            </w:r>
            <w:r w:rsidR="00BD4DB7">
              <w:rPr>
                <w:noProof/>
                <w:webHidden/>
              </w:rPr>
              <w:fldChar w:fldCharType="separate"/>
            </w:r>
            <w:r w:rsidR="00BD4DB7">
              <w:rPr>
                <w:noProof/>
                <w:webHidden/>
              </w:rPr>
              <w:t>102</w:t>
            </w:r>
            <w:r w:rsidR="00BD4DB7">
              <w:rPr>
                <w:noProof/>
                <w:webHidden/>
              </w:rPr>
              <w:fldChar w:fldCharType="end"/>
            </w:r>
          </w:hyperlink>
        </w:p>
        <w:p w14:paraId="6CF7E366" w14:textId="2F3DCA20"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48" w:history="1">
            <w:r w:rsidR="00BD4DB7" w:rsidRPr="0089237F">
              <w:rPr>
                <w:rStyle w:val="Hipervnculo"/>
                <w:noProof/>
              </w:rPr>
              <w:t>Artículo 1.6.1.2. Tipos de Garantía.</w:t>
            </w:r>
            <w:r w:rsidR="00BD4DB7">
              <w:rPr>
                <w:noProof/>
                <w:webHidden/>
              </w:rPr>
              <w:tab/>
            </w:r>
            <w:r w:rsidR="00BD4DB7">
              <w:rPr>
                <w:noProof/>
                <w:webHidden/>
              </w:rPr>
              <w:fldChar w:fldCharType="begin"/>
            </w:r>
            <w:r w:rsidR="00BD4DB7">
              <w:rPr>
                <w:noProof/>
                <w:webHidden/>
              </w:rPr>
              <w:instrText xml:space="preserve"> PAGEREF _Toc31715948 \h </w:instrText>
            </w:r>
            <w:r w:rsidR="00BD4DB7">
              <w:rPr>
                <w:noProof/>
                <w:webHidden/>
              </w:rPr>
            </w:r>
            <w:r w:rsidR="00BD4DB7">
              <w:rPr>
                <w:noProof/>
                <w:webHidden/>
              </w:rPr>
              <w:fldChar w:fldCharType="separate"/>
            </w:r>
            <w:r w:rsidR="00BD4DB7">
              <w:rPr>
                <w:noProof/>
                <w:webHidden/>
              </w:rPr>
              <w:t>102</w:t>
            </w:r>
            <w:r w:rsidR="00BD4DB7">
              <w:rPr>
                <w:noProof/>
                <w:webHidden/>
              </w:rPr>
              <w:fldChar w:fldCharType="end"/>
            </w:r>
          </w:hyperlink>
        </w:p>
        <w:p w14:paraId="7CDBBC95" w14:textId="4243D22D"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949" w:history="1">
            <w:r w:rsidR="00BD4DB7" w:rsidRPr="0089237F">
              <w:rPr>
                <w:rStyle w:val="Hipervnculo"/>
                <w:noProof/>
              </w:rPr>
              <w:t>CAPÍTULO SEGUNDO</w:t>
            </w:r>
            <w:r w:rsidR="00BD4DB7">
              <w:rPr>
                <w:noProof/>
                <w:webHidden/>
              </w:rPr>
              <w:tab/>
            </w:r>
            <w:r w:rsidR="00BD4DB7">
              <w:rPr>
                <w:noProof/>
                <w:webHidden/>
              </w:rPr>
              <w:fldChar w:fldCharType="begin"/>
            </w:r>
            <w:r w:rsidR="00BD4DB7">
              <w:rPr>
                <w:noProof/>
                <w:webHidden/>
              </w:rPr>
              <w:instrText xml:space="preserve"> PAGEREF _Toc31715949 \h </w:instrText>
            </w:r>
            <w:r w:rsidR="00BD4DB7">
              <w:rPr>
                <w:noProof/>
                <w:webHidden/>
              </w:rPr>
            </w:r>
            <w:r w:rsidR="00BD4DB7">
              <w:rPr>
                <w:noProof/>
                <w:webHidden/>
              </w:rPr>
              <w:fldChar w:fldCharType="separate"/>
            </w:r>
            <w:r w:rsidR="00BD4DB7">
              <w:rPr>
                <w:noProof/>
                <w:webHidden/>
              </w:rPr>
              <w:t>103</w:t>
            </w:r>
            <w:r w:rsidR="00BD4DB7">
              <w:rPr>
                <w:noProof/>
                <w:webHidden/>
              </w:rPr>
              <w:fldChar w:fldCharType="end"/>
            </w:r>
          </w:hyperlink>
        </w:p>
        <w:p w14:paraId="14DE9C23" w14:textId="35D53456"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950" w:history="1">
            <w:r w:rsidR="00BD4DB7" w:rsidRPr="0089237F">
              <w:rPr>
                <w:rStyle w:val="Hipervnculo"/>
                <w:noProof/>
              </w:rPr>
              <w:t>CÁLCULO DE GARANTÍAS</w:t>
            </w:r>
            <w:r w:rsidR="00BD4DB7">
              <w:rPr>
                <w:noProof/>
                <w:webHidden/>
              </w:rPr>
              <w:tab/>
            </w:r>
            <w:r w:rsidR="00BD4DB7">
              <w:rPr>
                <w:noProof/>
                <w:webHidden/>
              </w:rPr>
              <w:fldChar w:fldCharType="begin"/>
            </w:r>
            <w:r w:rsidR="00BD4DB7">
              <w:rPr>
                <w:noProof/>
                <w:webHidden/>
              </w:rPr>
              <w:instrText xml:space="preserve"> PAGEREF _Toc31715950 \h </w:instrText>
            </w:r>
            <w:r w:rsidR="00BD4DB7">
              <w:rPr>
                <w:noProof/>
                <w:webHidden/>
              </w:rPr>
            </w:r>
            <w:r w:rsidR="00BD4DB7">
              <w:rPr>
                <w:noProof/>
                <w:webHidden/>
              </w:rPr>
              <w:fldChar w:fldCharType="separate"/>
            </w:r>
            <w:r w:rsidR="00BD4DB7">
              <w:rPr>
                <w:noProof/>
                <w:webHidden/>
              </w:rPr>
              <w:t>103</w:t>
            </w:r>
            <w:r w:rsidR="00BD4DB7">
              <w:rPr>
                <w:noProof/>
                <w:webHidden/>
              </w:rPr>
              <w:fldChar w:fldCharType="end"/>
            </w:r>
          </w:hyperlink>
        </w:p>
        <w:p w14:paraId="3B18B5DE" w14:textId="57B7FF0A"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51" w:history="1">
            <w:r w:rsidR="00BD4DB7" w:rsidRPr="0089237F">
              <w:rPr>
                <w:rStyle w:val="Hipervnculo"/>
                <w:noProof/>
              </w:rPr>
              <w:t>Artículo 1.6.2.1. Reglas sobre la determinación y constitución de la Garantía Individual.</w:t>
            </w:r>
            <w:r w:rsidR="00BD4DB7">
              <w:rPr>
                <w:noProof/>
                <w:webHidden/>
              </w:rPr>
              <w:tab/>
            </w:r>
            <w:r w:rsidR="00BD4DB7">
              <w:rPr>
                <w:noProof/>
                <w:webHidden/>
              </w:rPr>
              <w:fldChar w:fldCharType="begin"/>
            </w:r>
            <w:r w:rsidR="00BD4DB7">
              <w:rPr>
                <w:noProof/>
                <w:webHidden/>
              </w:rPr>
              <w:instrText xml:space="preserve"> PAGEREF _Toc31715951 \h </w:instrText>
            </w:r>
            <w:r w:rsidR="00BD4DB7">
              <w:rPr>
                <w:noProof/>
                <w:webHidden/>
              </w:rPr>
            </w:r>
            <w:r w:rsidR="00BD4DB7">
              <w:rPr>
                <w:noProof/>
                <w:webHidden/>
              </w:rPr>
              <w:fldChar w:fldCharType="separate"/>
            </w:r>
            <w:r w:rsidR="00BD4DB7">
              <w:rPr>
                <w:noProof/>
                <w:webHidden/>
              </w:rPr>
              <w:t>103</w:t>
            </w:r>
            <w:r w:rsidR="00BD4DB7">
              <w:rPr>
                <w:noProof/>
                <w:webHidden/>
              </w:rPr>
              <w:fldChar w:fldCharType="end"/>
            </w:r>
          </w:hyperlink>
        </w:p>
        <w:p w14:paraId="3E05E69B" w14:textId="22A0D86D"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52" w:history="1">
            <w:r w:rsidR="00BD4DB7" w:rsidRPr="0089237F">
              <w:rPr>
                <w:rStyle w:val="Hipervnculo"/>
                <w:noProof/>
              </w:rPr>
              <w:t>Artículo 1.6.2.2. Garantía Individual por estrés del Fondo de Garantía Colectiva y forma de calcularla.</w:t>
            </w:r>
            <w:r w:rsidR="00BD4DB7">
              <w:rPr>
                <w:noProof/>
                <w:webHidden/>
              </w:rPr>
              <w:tab/>
            </w:r>
            <w:r w:rsidR="00BD4DB7">
              <w:rPr>
                <w:noProof/>
                <w:webHidden/>
              </w:rPr>
              <w:fldChar w:fldCharType="begin"/>
            </w:r>
            <w:r w:rsidR="00BD4DB7">
              <w:rPr>
                <w:noProof/>
                <w:webHidden/>
              </w:rPr>
              <w:instrText xml:space="preserve"> PAGEREF _Toc31715952 \h </w:instrText>
            </w:r>
            <w:r w:rsidR="00BD4DB7">
              <w:rPr>
                <w:noProof/>
                <w:webHidden/>
              </w:rPr>
            </w:r>
            <w:r w:rsidR="00BD4DB7">
              <w:rPr>
                <w:noProof/>
                <w:webHidden/>
              </w:rPr>
              <w:fldChar w:fldCharType="separate"/>
            </w:r>
            <w:r w:rsidR="00BD4DB7">
              <w:rPr>
                <w:noProof/>
                <w:webHidden/>
              </w:rPr>
              <w:t>104</w:t>
            </w:r>
            <w:r w:rsidR="00BD4DB7">
              <w:rPr>
                <w:noProof/>
                <w:webHidden/>
              </w:rPr>
              <w:fldChar w:fldCharType="end"/>
            </w:r>
          </w:hyperlink>
        </w:p>
        <w:p w14:paraId="036CA3CD" w14:textId="41F31F5D"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53" w:history="1">
            <w:r w:rsidR="00BD4DB7" w:rsidRPr="0089237F">
              <w:rPr>
                <w:rStyle w:val="Hipervnculo"/>
                <w:noProof/>
              </w:rPr>
              <w:t>Artículo 1.6.2.3. Generalidades sobre la determinación del valor de las Garantías por Posición.</w:t>
            </w:r>
            <w:r w:rsidR="00BD4DB7">
              <w:rPr>
                <w:noProof/>
                <w:webHidden/>
              </w:rPr>
              <w:tab/>
            </w:r>
            <w:r w:rsidR="00BD4DB7">
              <w:rPr>
                <w:noProof/>
                <w:webHidden/>
              </w:rPr>
              <w:fldChar w:fldCharType="begin"/>
            </w:r>
            <w:r w:rsidR="00BD4DB7">
              <w:rPr>
                <w:noProof/>
                <w:webHidden/>
              </w:rPr>
              <w:instrText xml:space="preserve"> PAGEREF _Toc31715953 \h </w:instrText>
            </w:r>
            <w:r w:rsidR="00BD4DB7">
              <w:rPr>
                <w:noProof/>
                <w:webHidden/>
              </w:rPr>
            </w:r>
            <w:r w:rsidR="00BD4DB7">
              <w:rPr>
                <w:noProof/>
                <w:webHidden/>
              </w:rPr>
              <w:fldChar w:fldCharType="separate"/>
            </w:r>
            <w:r w:rsidR="00BD4DB7">
              <w:rPr>
                <w:noProof/>
                <w:webHidden/>
              </w:rPr>
              <w:t>106</w:t>
            </w:r>
            <w:r w:rsidR="00BD4DB7">
              <w:rPr>
                <w:noProof/>
                <w:webHidden/>
              </w:rPr>
              <w:fldChar w:fldCharType="end"/>
            </w:r>
          </w:hyperlink>
        </w:p>
        <w:p w14:paraId="79D49AA1" w14:textId="0375A495"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54" w:history="1">
            <w:r w:rsidR="00BD4DB7" w:rsidRPr="0089237F">
              <w:rPr>
                <w:rStyle w:val="Hipervnculo"/>
                <w:noProof/>
              </w:rPr>
              <w:t>Artículo 1.6.2.4. Procedimiento de Cálculo de Garantías por posición según Modelo MEFFCOM2.</w:t>
            </w:r>
            <w:r w:rsidR="00BD4DB7">
              <w:rPr>
                <w:noProof/>
                <w:webHidden/>
              </w:rPr>
              <w:tab/>
            </w:r>
            <w:r w:rsidR="00BD4DB7">
              <w:rPr>
                <w:noProof/>
                <w:webHidden/>
              </w:rPr>
              <w:fldChar w:fldCharType="begin"/>
            </w:r>
            <w:r w:rsidR="00BD4DB7">
              <w:rPr>
                <w:noProof/>
                <w:webHidden/>
              </w:rPr>
              <w:instrText xml:space="preserve"> PAGEREF _Toc31715954 \h </w:instrText>
            </w:r>
            <w:r w:rsidR="00BD4DB7">
              <w:rPr>
                <w:noProof/>
                <w:webHidden/>
              </w:rPr>
            </w:r>
            <w:r w:rsidR="00BD4DB7">
              <w:rPr>
                <w:noProof/>
                <w:webHidden/>
              </w:rPr>
              <w:fldChar w:fldCharType="separate"/>
            </w:r>
            <w:r w:rsidR="00BD4DB7">
              <w:rPr>
                <w:noProof/>
                <w:webHidden/>
              </w:rPr>
              <w:t>107</w:t>
            </w:r>
            <w:r w:rsidR="00BD4DB7">
              <w:rPr>
                <w:noProof/>
                <w:webHidden/>
              </w:rPr>
              <w:fldChar w:fldCharType="end"/>
            </w:r>
          </w:hyperlink>
        </w:p>
        <w:p w14:paraId="6C3D044D" w14:textId="4F7515B8"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55" w:history="1">
            <w:r w:rsidR="00BD4DB7" w:rsidRPr="0089237F">
              <w:rPr>
                <w:rStyle w:val="Hipervnculo"/>
                <w:noProof/>
              </w:rPr>
              <w:t>Artículo 1.6.2.5. Parámetros para cálculo de Garantía por Posición.</w:t>
            </w:r>
            <w:r w:rsidR="00BD4DB7">
              <w:rPr>
                <w:noProof/>
                <w:webHidden/>
              </w:rPr>
              <w:tab/>
            </w:r>
            <w:r w:rsidR="00BD4DB7">
              <w:rPr>
                <w:noProof/>
                <w:webHidden/>
              </w:rPr>
              <w:fldChar w:fldCharType="begin"/>
            </w:r>
            <w:r w:rsidR="00BD4DB7">
              <w:rPr>
                <w:noProof/>
                <w:webHidden/>
              </w:rPr>
              <w:instrText xml:space="preserve"> PAGEREF _Toc31715955 \h </w:instrText>
            </w:r>
            <w:r w:rsidR="00BD4DB7">
              <w:rPr>
                <w:noProof/>
                <w:webHidden/>
              </w:rPr>
            </w:r>
            <w:r w:rsidR="00BD4DB7">
              <w:rPr>
                <w:noProof/>
                <w:webHidden/>
              </w:rPr>
              <w:fldChar w:fldCharType="separate"/>
            </w:r>
            <w:r w:rsidR="00BD4DB7">
              <w:rPr>
                <w:noProof/>
                <w:webHidden/>
              </w:rPr>
              <w:t>107</w:t>
            </w:r>
            <w:r w:rsidR="00BD4DB7">
              <w:rPr>
                <w:noProof/>
                <w:webHidden/>
              </w:rPr>
              <w:fldChar w:fldCharType="end"/>
            </w:r>
          </w:hyperlink>
        </w:p>
        <w:p w14:paraId="7BDAFAE0" w14:textId="5556F44B"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56" w:history="1">
            <w:r w:rsidR="00BD4DB7" w:rsidRPr="0089237F">
              <w:rPr>
                <w:rStyle w:val="Hipervnculo"/>
                <w:noProof/>
              </w:rPr>
              <w:t>Artículo 1.6.2.6. Cambios en los parámetros del procedimiento de cálculo de las Garantías por Posición.</w:t>
            </w:r>
            <w:r w:rsidR="00BD4DB7">
              <w:rPr>
                <w:noProof/>
                <w:webHidden/>
              </w:rPr>
              <w:tab/>
            </w:r>
            <w:r w:rsidR="00BD4DB7">
              <w:rPr>
                <w:noProof/>
                <w:webHidden/>
              </w:rPr>
              <w:fldChar w:fldCharType="begin"/>
            </w:r>
            <w:r w:rsidR="00BD4DB7">
              <w:rPr>
                <w:noProof/>
                <w:webHidden/>
              </w:rPr>
              <w:instrText xml:space="preserve"> PAGEREF _Toc31715956 \h </w:instrText>
            </w:r>
            <w:r w:rsidR="00BD4DB7">
              <w:rPr>
                <w:noProof/>
                <w:webHidden/>
              </w:rPr>
            </w:r>
            <w:r w:rsidR="00BD4DB7">
              <w:rPr>
                <w:noProof/>
                <w:webHidden/>
              </w:rPr>
              <w:fldChar w:fldCharType="separate"/>
            </w:r>
            <w:r w:rsidR="00BD4DB7">
              <w:rPr>
                <w:noProof/>
                <w:webHidden/>
              </w:rPr>
              <w:t>108</w:t>
            </w:r>
            <w:r w:rsidR="00BD4DB7">
              <w:rPr>
                <w:noProof/>
                <w:webHidden/>
              </w:rPr>
              <w:fldChar w:fldCharType="end"/>
            </w:r>
          </w:hyperlink>
        </w:p>
        <w:p w14:paraId="1AD75BCA" w14:textId="20CCD6B1"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57" w:history="1">
            <w:r w:rsidR="00BD4DB7" w:rsidRPr="0089237F">
              <w:rPr>
                <w:rStyle w:val="Hipervnculo"/>
                <w:noProof/>
              </w:rPr>
              <w:t>Artículo 1.6.2.7. Procedimiento de cálculo de la Garantía Extraordinaria.</w:t>
            </w:r>
            <w:r w:rsidR="00BD4DB7">
              <w:rPr>
                <w:noProof/>
                <w:webHidden/>
              </w:rPr>
              <w:tab/>
            </w:r>
            <w:r w:rsidR="00BD4DB7">
              <w:rPr>
                <w:noProof/>
                <w:webHidden/>
              </w:rPr>
              <w:fldChar w:fldCharType="begin"/>
            </w:r>
            <w:r w:rsidR="00BD4DB7">
              <w:rPr>
                <w:noProof/>
                <w:webHidden/>
              </w:rPr>
              <w:instrText xml:space="preserve"> PAGEREF _Toc31715957 \h </w:instrText>
            </w:r>
            <w:r w:rsidR="00BD4DB7">
              <w:rPr>
                <w:noProof/>
                <w:webHidden/>
              </w:rPr>
            </w:r>
            <w:r w:rsidR="00BD4DB7">
              <w:rPr>
                <w:noProof/>
                <w:webHidden/>
              </w:rPr>
              <w:fldChar w:fldCharType="separate"/>
            </w:r>
            <w:r w:rsidR="00BD4DB7">
              <w:rPr>
                <w:noProof/>
                <w:webHidden/>
              </w:rPr>
              <w:t>109</w:t>
            </w:r>
            <w:r w:rsidR="00BD4DB7">
              <w:rPr>
                <w:noProof/>
                <w:webHidden/>
              </w:rPr>
              <w:fldChar w:fldCharType="end"/>
            </w:r>
          </w:hyperlink>
        </w:p>
        <w:p w14:paraId="52E903F6" w14:textId="3536041D"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58" w:history="1">
            <w:r w:rsidR="00BD4DB7" w:rsidRPr="0089237F">
              <w:rPr>
                <w:rStyle w:val="Hipervnculo"/>
                <w:noProof/>
              </w:rPr>
              <w:t>Artículo 1.6.2.8. Garantías Exigidas en caso de Incumplimiento.</w:t>
            </w:r>
            <w:r w:rsidR="00BD4DB7">
              <w:rPr>
                <w:noProof/>
                <w:webHidden/>
              </w:rPr>
              <w:tab/>
            </w:r>
            <w:r w:rsidR="00BD4DB7">
              <w:rPr>
                <w:noProof/>
                <w:webHidden/>
              </w:rPr>
              <w:fldChar w:fldCharType="begin"/>
            </w:r>
            <w:r w:rsidR="00BD4DB7">
              <w:rPr>
                <w:noProof/>
                <w:webHidden/>
              </w:rPr>
              <w:instrText xml:space="preserve"> PAGEREF _Toc31715958 \h </w:instrText>
            </w:r>
            <w:r w:rsidR="00BD4DB7">
              <w:rPr>
                <w:noProof/>
                <w:webHidden/>
              </w:rPr>
            </w:r>
            <w:r w:rsidR="00BD4DB7">
              <w:rPr>
                <w:noProof/>
                <w:webHidden/>
              </w:rPr>
              <w:fldChar w:fldCharType="separate"/>
            </w:r>
            <w:r w:rsidR="00BD4DB7">
              <w:rPr>
                <w:noProof/>
                <w:webHidden/>
              </w:rPr>
              <w:t>110</w:t>
            </w:r>
            <w:r w:rsidR="00BD4DB7">
              <w:rPr>
                <w:noProof/>
                <w:webHidden/>
              </w:rPr>
              <w:fldChar w:fldCharType="end"/>
            </w:r>
          </w:hyperlink>
        </w:p>
        <w:p w14:paraId="5049DB51" w14:textId="6A6B9F53"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59" w:history="1">
            <w:r w:rsidR="00BD4DB7" w:rsidRPr="0089237F">
              <w:rPr>
                <w:rStyle w:val="Hipervnculo"/>
                <w:noProof/>
              </w:rPr>
              <w:t>Artículo 1.6.2.9. Importe del Fondo de Garantía Colectiva y procedimiento para el cálculo del importe del Fondo de Garantía Colectiva para cada Segmento y de las aportaciones de los Miembros Liquidadores.</w:t>
            </w:r>
            <w:r w:rsidR="00BD4DB7">
              <w:rPr>
                <w:noProof/>
                <w:webHidden/>
              </w:rPr>
              <w:tab/>
            </w:r>
            <w:r w:rsidR="00BD4DB7">
              <w:rPr>
                <w:noProof/>
                <w:webHidden/>
              </w:rPr>
              <w:fldChar w:fldCharType="begin"/>
            </w:r>
            <w:r w:rsidR="00BD4DB7">
              <w:rPr>
                <w:noProof/>
                <w:webHidden/>
              </w:rPr>
              <w:instrText xml:space="preserve"> PAGEREF _Toc31715959 \h </w:instrText>
            </w:r>
            <w:r w:rsidR="00BD4DB7">
              <w:rPr>
                <w:noProof/>
                <w:webHidden/>
              </w:rPr>
            </w:r>
            <w:r w:rsidR="00BD4DB7">
              <w:rPr>
                <w:noProof/>
                <w:webHidden/>
              </w:rPr>
              <w:fldChar w:fldCharType="separate"/>
            </w:r>
            <w:r w:rsidR="00BD4DB7">
              <w:rPr>
                <w:noProof/>
                <w:webHidden/>
              </w:rPr>
              <w:t>110</w:t>
            </w:r>
            <w:r w:rsidR="00BD4DB7">
              <w:rPr>
                <w:noProof/>
                <w:webHidden/>
              </w:rPr>
              <w:fldChar w:fldCharType="end"/>
            </w:r>
          </w:hyperlink>
        </w:p>
        <w:p w14:paraId="3C6FA24B" w14:textId="502E353C"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60" w:history="1">
            <w:r w:rsidR="00BD4DB7" w:rsidRPr="0089237F">
              <w:rPr>
                <w:rStyle w:val="Hipervnculo"/>
                <w:noProof/>
              </w:rPr>
              <w:t>Artículo 1.6.2.10. Importe mínimo del Fondo de Garantía Colectiva total para cada Segmento.</w:t>
            </w:r>
            <w:r w:rsidR="00BD4DB7">
              <w:rPr>
                <w:noProof/>
                <w:webHidden/>
              </w:rPr>
              <w:tab/>
            </w:r>
            <w:r w:rsidR="00BD4DB7">
              <w:rPr>
                <w:noProof/>
                <w:webHidden/>
              </w:rPr>
              <w:fldChar w:fldCharType="begin"/>
            </w:r>
            <w:r w:rsidR="00BD4DB7">
              <w:rPr>
                <w:noProof/>
                <w:webHidden/>
              </w:rPr>
              <w:instrText xml:space="preserve"> PAGEREF _Toc31715960 \h </w:instrText>
            </w:r>
            <w:r w:rsidR="00BD4DB7">
              <w:rPr>
                <w:noProof/>
                <w:webHidden/>
              </w:rPr>
            </w:r>
            <w:r w:rsidR="00BD4DB7">
              <w:rPr>
                <w:noProof/>
                <w:webHidden/>
              </w:rPr>
              <w:fldChar w:fldCharType="separate"/>
            </w:r>
            <w:r w:rsidR="00BD4DB7">
              <w:rPr>
                <w:noProof/>
                <w:webHidden/>
              </w:rPr>
              <w:t>114</w:t>
            </w:r>
            <w:r w:rsidR="00BD4DB7">
              <w:rPr>
                <w:noProof/>
                <w:webHidden/>
              </w:rPr>
              <w:fldChar w:fldCharType="end"/>
            </w:r>
          </w:hyperlink>
        </w:p>
        <w:p w14:paraId="21B1F85B" w14:textId="05750843"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61" w:history="1">
            <w:r w:rsidR="00BD4DB7" w:rsidRPr="0089237F">
              <w:rPr>
                <w:rStyle w:val="Hipervnculo"/>
                <w:noProof/>
              </w:rPr>
              <w:t>Artículo 1.6.2.11. Aportaciones mínimas de los Miembros Liquidadores al Fondo de Garantía Colectiva.</w:t>
            </w:r>
            <w:r w:rsidR="00BD4DB7">
              <w:rPr>
                <w:noProof/>
                <w:webHidden/>
              </w:rPr>
              <w:tab/>
            </w:r>
            <w:r w:rsidR="00BD4DB7">
              <w:rPr>
                <w:noProof/>
                <w:webHidden/>
              </w:rPr>
              <w:fldChar w:fldCharType="begin"/>
            </w:r>
            <w:r w:rsidR="00BD4DB7">
              <w:rPr>
                <w:noProof/>
                <w:webHidden/>
              </w:rPr>
              <w:instrText xml:space="preserve"> PAGEREF _Toc31715961 \h </w:instrText>
            </w:r>
            <w:r w:rsidR="00BD4DB7">
              <w:rPr>
                <w:noProof/>
                <w:webHidden/>
              </w:rPr>
            </w:r>
            <w:r w:rsidR="00BD4DB7">
              <w:rPr>
                <w:noProof/>
                <w:webHidden/>
              </w:rPr>
              <w:fldChar w:fldCharType="separate"/>
            </w:r>
            <w:r w:rsidR="00BD4DB7">
              <w:rPr>
                <w:noProof/>
                <w:webHidden/>
              </w:rPr>
              <w:t>115</w:t>
            </w:r>
            <w:r w:rsidR="00BD4DB7">
              <w:rPr>
                <w:noProof/>
                <w:webHidden/>
              </w:rPr>
              <w:fldChar w:fldCharType="end"/>
            </w:r>
          </w:hyperlink>
        </w:p>
        <w:p w14:paraId="43917E1F" w14:textId="55CF7022"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62" w:history="1">
            <w:r w:rsidR="00BD4DB7" w:rsidRPr="0089237F">
              <w:rPr>
                <w:rStyle w:val="Hipervnculo"/>
                <w:noProof/>
              </w:rPr>
              <w:t>Artículo 1.6.2.12. Procedimiento para la constitución y actualización del Fondo de Garantía Colectiva para cada Segmento y Garantías admisibles que pueden ser objeto de aportación.</w:t>
            </w:r>
            <w:r w:rsidR="00BD4DB7">
              <w:rPr>
                <w:noProof/>
                <w:webHidden/>
              </w:rPr>
              <w:tab/>
            </w:r>
            <w:r w:rsidR="00BD4DB7">
              <w:rPr>
                <w:noProof/>
                <w:webHidden/>
              </w:rPr>
              <w:fldChar w:fldCharType="begin"/>
            </w:r>
            <w:r w:rsidR="00BD4DB7">
              <w:rPr>
                <w:noProof/>
                <w:webHidden/>
              </w:rPr>
              <w:instrText xml:space="preserve"> PAGEREF _Toc31715962 \h </w:instrText>
            </w:r>
            <w:r w:rsidR="00BD4DB7">
              <w:rPr>
                <w:noProof/>
                <w:webHidden/>
              </w:rPr>
            </w:r>
            <w:r w:rsidR="00BD4DB7">
              <w:rPr>
                <w:noProof/>
                <w:webHidden/>
              </w:rPr>
              <w:fldChar w:fldCharType="separate"/>
            </w:r>
            <w:r w:rsidR="00BD4DB7">
              <w:rPr>
                <w:noProof/>
                <w:webHidden/>
              </w:rPr>
              <w:t>115</w:t>
            </w:r>
            <w:r w:rsidR="00BD4DB7">
              <w:rPr>
                <w:noProof/>
                <w:webHidden/>
              </w:rPr>
              <w:fldChar w:fldCharType="end"/>
            </w:r>
          </w:hyperlink>
        </w:p>
        <w:p w14:paraId="3FA0348B" w14:textId="58BB74AD"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63" w:history="1">
            <w:r w:rsidR="00BD4DB7" w:rsidRPr="0089237F">
              <w:rPr>
                <w:rStyle w:val="Hipervnculo"/>
                <w:noProof/>
              </w:rPr>
              <w:t>Artículo 1.6.2.13. Procedimiento para la reposición del Fondo de Garantía Colectiva para cada Segmento.</w:t>
            </w:r>
            <w:r w:rsidR="00BD4DB7">
              <w:rPr>
                <w:noProof/>
                <w:webHidden/>
              </w:rPr>
              <w:tab/>
            </w:r>
            <w:r w:rsidR="00BD4DB7">
              <w:rPr>
                <w:noProof/>
                <w:webHidden/>
              </w:rPr>
              <w:fldChar w:fldCharType="begin"/>
            </w:r>
            <w:r w:rsidR="00BD4DB7">
              <w:rPr>
                <w:noProof/>
                <w:webHidden/>
              </w:rPr>
              <w:instrText xml:space="preserve"> PAGEREF _Toc31715963 \h </w:instrText>
            </w:r>
            <w:r w:rsidR="00BD4DB7">
              <w:rPr>
                <w:noProof/>
                <w:webHidden/>
              </w:rPr>
            </w:r>
            <w:r w:rsidR="00BD4DB7">
              <w:rPr>
                <w:noProof/>
                <w:webHidden/>
              </w:rPr>
              <w:fldChar w:fldCharType="separate"/>
            </w:r>
            <w:r w:rsidR="00BD4DB7">
              <w:rPr>
                <w:noProof/>
                <w:webHidden/>
              </w:rPr>
              <w:t>116</w:t>
            </w:r>
            <w:r w:rsidR="00BD4DB7">
              <w:rPr>
                <w:noProof/>
                <w:webHidden/>
              </w:rPr>
              <w:fldChar w:fldCharType="end"/>
            </w:r>
          </w:hyperlink>
        </w:p>
        <w:p w14:paraId="000C84B4" w14:textId="3FFBB95F"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64" w:history="1">
            <w:r w:rsidR="00BD4DB7" w:rsidRPr="0089237F">
              <w:rPr>
                <w:rStyle w:val="Hipervnculo"/>
                <w:noProof/>
              </w:rPr>
              <w:t>Artículo 1.6.2.14. Contribuciones para la continuidad del servicio.</w:t>
            </w:r>
            <w:r w:rsidR="00BD4DB7">
              <w:rPr>
                <w:noProof/>
                <w:webHidden/>
              </w:rPr>
              <w:tab/>
            </w:r>
            <w:r w:rsidR="00BD4DB7">
              <w:rPr>
                <w:noProof/>
                <w:webHidden/>
              </w:rPr>
              <w:fldChar w:fldCharType="begin"/>
            </w:r>
            <w:r w:rsidR="00BD4DB7">
              <w:rPr>
                <w:noProof/>
                <w:webHidden/>
              </w:rPr>
              <w:instrText xml:space="preserve"> PAGEREF _Toc31715964 \h </w:instrText>
            </w:r>
            <w:r w:rsidR="00BD4DB7">
              <w:rPr>
                <w:noProof/>
                <w:webHidden/>
              </w:rPr>
            </w:r>
            <w:r w:rsidR="00BD4DB7">
              <w:rPr>
                <w:noProof/>
                <w:webHidden/>
              </w:rPr>
              <w:fldChar w:fldCharType="separate"/>
            </w:r>
            <w:r w:rsidR="00BD4DB7">
              <w:rPr>
                <w:noProof/>
                <w:webHidden/>
              </w:rPr>
              <w:t>117</w:t>
            </w:r>
            <w:r w:rsidR="00BD4DB7">
              <w:rPr>
                <w:noProof/>
                <w:webHidden/>
              </w:rPr>
              <w:fldChar w:fldCharType="end"/>
            </w:r>
          </w:hyperlink>
        </w:p>
        <w:p w14:paraId="7B4B9673" w14:textId="33F1B46B"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65" w:history="1">
            <w:r w:rsidR="00BD4DB7" w:rsidRPr="0089237F">
              <w:rPr>
                <w:rStyle w:val="Hipervnculo"/>
                <w:noProof/>
              </w:rPr>
              <w:t>Artículo 1.6.2.15. Contribuciones obligatorias para la continuidad del servicio.</w:t>
            </w:r>
            <w:r w:rsidR="00BD4DB7">
              <w:rPr>
                <w:noProof/>
                <w:webHidden/>
              </w:rPr>
              <w:tab/>
            </w:r>
            <w:r w:rsidR="00BD4DB7">
              <w:rPr>
                <w:noProof/>
                <w:webHidden/>
              </w:rPr>
              <w:fldChar w:fldCharType="begin"/>
            </w:r>
            <w:r w:rsidR="00BD4DB7">
              <w:rPr>
                <w:noProof/>
                <w:webHidden/>
              </w:rPr>
              <w:instrText xml:space="preserve"> PAGEREF _Toc31715965 \h </w:instrText>
            </w:r>
            <w:r w:rsidR="00BD4DB7">
              <w:rPr>
                <w:noProof/>
                <w:webHidden/>
              </w:rPr>
            </w:r>
            <w:r w:rsidR="00BD4DB7">
              <w:rPr>
                <w:noProof/>
                <w:webHidden/>
              </w:rPr>
              <w:fldChar w:fldCharType="separate"/>
            </w:r>
            <w:r w:rsidR="00BD4DB7">
              <w:rPr>
                <w:noProof/>
                <w:webHidden/>
              </w:rPr>
              <w:t>117</w:t>
            </w:r>
            <w:r w:rsidR="00BD4DB7">
              <w:rPr>
                <w:noProof/>
                <w:webHidden/>
              </w:rPr>
              <w:fldChar w:fldCharType="end"/>
            </w:r>
          </w:hyperlink>
        </w:p>
        <w:p w14:paraId="1DD7A84D" w14:textId="610BF981"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66" w:history="1">
            <w:r w:rsidR="00BD4DB7" w:rsidRPr="0089237F">
              <w:rPr>
                <w:rStyle w:val="Hipervnculo"/>
                <w:noProof/>
              </w:rPr>
              <w:t>Artículo 1.6.2.16. Metodología de cálculo de las Contribuciones obligatorias para la continuidad del servicio.</w:t>
            </w:r>
            <w:r w:rsidR="00BD4DB7">
              <w:rPr>
                <w:noProof/>
                <w:webHidden/>
              </w:rPr>
              <w:tab/>
            </w:r>
            <w:r w:rsidR="00BD4DB7">
              <w:rPr>
                <w:noProof/>
                <w:webHidden/>
              </w:rPr>
              <w:fldChar w:fldCharType="begin"/>
            </w:r>
            <w:r w:rsidR="00BD4DB7">
              <w:rPr>
                <w:noProof/>
                <w:webHidden/>
              </w:rPr>
              <w:instrText xml:space="preserve"> PAGEREF _Toc31715966 \h </w:instrText>
            </w:r>
            <w:r w:rsidR="00BD4DB7">
              <w:rPr>
                <w:noProof/>
                <w:webHidden/>
              </w:rPr>
            </w:r>
            <w:r w:rsidR="00BD4DB7">
              <w:rPr>
                <w:noProof/>
                <w:webHidden/>
              </w:rPr>
              <w:fldChar w:fldCharType="separate"/>
            </w:r>
            <w:r w:rsidR="00BD4DB7">
              <w:rPr>
                <w:noProof/>
                <w:webHidden/>
              </w:rPr>
              <w:t>118</w:t>
            </w:r>
            <w:r w:rsidR="00BD4DB7">
              <w:rPr>
                <w:noProof/>
                <w:webHidden/>
              </w:rPr>
              <w:fldChar w:fldCharType="end"/>
            </w:r>
          </w:hyperlink>
        </w:p>
        <w:p w14:paraId="75605016" w14:textId="490E8687"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67" w:history="1">
            <w:r w:rsidR="00BD4DB7" w:rsidRPr="0089237F">
              <w:rPr>
                <w:rStyle w:val="Hipervnculo"/>
                <w:rFonts w:eastAsiaTheme="minorHAnsi"/>
                <w:noProof/>
              </w:rPr>
              <w:t>Artículo 1.6.2.17. Contribuciones voluntarias para la continuidad del servicio</w:t>
            </w:r>
            <w:r w:rsidR="00BD4DB7">
              <w:rPr>
                <w:noProof/>
                <w:webHidden/>
              </w:rPr>
              <w:tab/>
            </w:r>
            <w:r w:rsidR="00BD4DB7">
              <w:rPr>
                <w:noProof/>
                <w:webHidden/>
              </w:rPr>
              <w:fldChar w:fldCharType="begin"/>
            </w:r>
            <w:r w:rsidR="00BD4DB7">
              <w:rPr>
                <w:noProof/>
                <w:webHidden/>
              </w:rPr>
              <w:instrText xml:space="preserve"> PAGEREF _Toc31715967 \h </w:instrText>
            </w:r>
            <w:r w:rsidR="00BD4DB7">
              <w:rPr>
                <w:noProof/>
                <w:webHidden/>
              </w:rPr>
            </w:r>
            <w:r w:rsidR="00BD4DB7">
              <w:rPr>
                <w:noProof/>
                <w:webHidden/>
              </w:rPr>
              <w:fldChar w:fldCharType="separate"/>
            </w:r>
            <w:r w:rsidR="00BD4DB7">
              <w:rPr>
                <w:noProof/>
                <w:webHidden/>
              </w:rPr>
              <w:t>118</w:t>
            </w:r>
            <w:r w:rsidR="00BD4DB7">
              <w:rPr>
                <w:noProof/>
                <w:webHidden/>
              </w:rPr>
              <w:fldChar w:fldCharType="end"/>
            </w:r>
          </w:hyperlink>
        </w:p>
        <w:p w14:paraId="0AED4C17" w14:textId="4D7BFDC0"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68" w:history="1">
            <w:r w:rsidR="00BD4DB7" w:rsidRPr="0089237F">
              <w:rPr>
                <w:rStyle w:val="Hipervnculo"/>
                <w:noProof/>
              </w:rPr>
              <w:t>Artículo 1.6.2.18. Metodología de cálculo de las Contribuciones voluntarias para la continuidad del servicio.</w:t>
            </w:r>
            <w:r w:rsidR="00BD4DB7">
              <w:rPr>
                <w:noProof/>
                <w:webHidden/>
              </w:rPr>
              <w:tab/>
            </w:r>
            <w:r w:rsidR="00BD4DB7">
              <w:rPr>
                <w:noProof/>
                <w:webHidden/>
              </w:rPr>
              <w:fldChar w:fldCharType="begin"/>
            </w:r>
            <w:r w:rsidR="00BD4DB7">
              <w:rPr>
                <w:noProof/>
                <w:webHidden/>
              </w:rPr>
              <w:instrText xml:space="preserve"> PAGEREF _Toc31715968 \h </w:instrText>
            </w:r>
            <w:r w:rsidR="00BD4DB7">
              <w:rPr>
                <w:noProof/>
                <w:webHidden/>
              </w:rPr>
            </w:r>
            <w:r w:rsidR="00BD4DB7">
              <w:rPr>
                <w:noProof/>
                <w:webHidden/>
              </w:rPr>
              <w:fldChar w:fldCharType="separate"/>
            </w:r>
            <w:r w:rsidR="00BD4DB7">
              <w:rPr>
                <w:noProof/>
                <w:webHidden/>
              </w:rPr>
              <w:t>118</w:t>
            </w:r>
            <w:r w:rsidR="00BD4DB7">
              <w:rPr>
                <w:noProof/>
                <w:webHidden/>
              </w:rPr>
              <w:fldChar w:fldCharType="end"/>
            </w:r>
          </w:hyperlink>
        </w:p>
        <w:p w14:paraId="4C8CB7A4" w14:textId="0DF3F7F0"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969" w:history="1">
            <w:r w:rsidR="00BD4DB7" w:rsidRPr="0089237F">
              <w:rPr>
                <w:rStyle w:val="Hipervnculo"/>
                <w:noProof/>
              </w:rPr>
              <w:t>CAPITULO TERCERO</w:t>
            </w:r>
            <w:r w:rsidR="00BD4DB7">
              <w:rPr>
                <w:noProof/>
                <w:webHidden/>
              </w:rPr>
              <w:tab/>
            </w:r>
            <w:r w:rsidR="00BD4DB7">
              <w:rPr>
                <w:noProof/>
                <w:webHidden/>
              </w:rPr>
              <w:fldChar w:fldCharType="begin"/>
            </w:r>
            <w:r w:rsidR="00BD4DB7">
              <w:rPr>
                <w:noProof/>
                <w:webHidden/>
              </w:rPr>
              <w:instrText xml:space="preserve"> PAGEREF _Toc31715969 \h </w:instrText>
            </w:r>
            <w:r w:rsidR="00BD4DB7">
              <w:rPr>
                <w:noProof/>
                <w:webHidden/>
              </w:rPr>
            </w:r>
            <w:r w:rsidR="00BD4DB7">
              <w:rPr>
                <w:noProof/>
                <w:webHidden/>
              </w:rPr>
              <w:fldChar w:fldCharType="separate"/>
            </w:r>
            <w:r w:rsidR="00BD4DB7">
              <w:rPr>
                <w:noProof/>
                <w:webHidden/>
              </w:rPr>
              <w:t>119</w:t>
            </w:r>
            <w:r w:rsidR="00BD4DB7">
              <w:rPr>
                <w:noProof/>
                <w:webHidden/>
              </w:rPr>
              <w:fldChar w:fldCharType="end"/>
            </w:r>
          </w:hyperlink>
        </w:p>
        <w:p w14:paraId="4D6DEBA3" w14:textId="1B91E258"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970" w:history="1">
            <w:r w:rsidR="00BD4DB7" w:rsidRPr="0089237F">
              <w:rPr>
                <w:rStyle w:val="Hipervnculo"/>
                <w:noProof/>
              </w:rPr>
              <w:t>RECURSOS PROPIOS ESPECÍFICOS</w:t>
            </w:r>
            <w:r w:rsidR="00BD4DB7">
              <w:rPr>
                <w:noProof/>
                <w:webHidden/>
              </w:rPr>
              <w:tab/>
            </w:r>
            <w:r w:rsidR="00BD4DB7">
              <w:rPr>
                <w:noProof/>
                <w:webHidden/>
              </w:rPr>
              <w:fldChar w:fldCharType="begin"/>
            </w:r>
            <w:r w:rsidR="00BD4DB7">
              <w:rPr>
                <w:noProof/>
                <w:webHidden/>
              </w:rPr>
              <w:instrText xml:space="preserve"> PAGEREF _Toc31715970 \h </w:instrText>
            </w:r>
            <w:r w:rsidR="00BD4DB7">
              <w:rPr>
                <w:noProof/>
                <w:webHidden/>
              </w:rPr>
            </w:r>
            <w:r w:rsidR="00BD4DB7">
              <w:rPr>
                <w:noProof/>
                <w:webHidden/>
              </w:rPr>
              <w:fldChar w:fldCharType="separate"/>
            </w:r>
            <w:r w:rsidR="00BD4DB7">
              <w:rPr>
                <w:noProof/>
                <w:webHidden/>
              </w:rPr>
              <w:t>119</w:t>
            </w:r>
            <w:r w:rsidR="00BD4DB7">
              <w:rPr>
                <w:noProof/>
                <w:webHidden/>
              </w:rPr>
              <w:fldChar w:fldCharType="end"/>
            </w:r>
          </w:hyperlink>
        </w:p>
        <w:p w14:paraId="0CF5BCFC" w14:textId="4FD288EE"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71" w:history="1">
            <w:r w:rsidR="00BD4DB7" w:rsidRPr="0089237F">
              <w:rPr>
                <w:rStyle w:val="Hipervnculo"/>
                <w:noProof/>
              </w:rPr>
              <w:t>Artículo 1.6.3.1. Recursos Propios Específicos.</w:t>
            </w:r>
            <w:r w:rsidR="00BD4DB7">
              <w:rPr>
                <w:noProof/>
                <w:webHidden/>
              </w:rPr>
              <w:tab/>
            </w:r>
            <w:r w:rsidR="00BD4DB7">
              <w:rPr>
                <w:noProof/>
                <w:webHidden/>
              </w:rPr>
              <w:fldChar w:fldCharType="begin"/>
            </w:r>
            <w:r w:rsidR="00BD4DB7">
              <w:rPr>
                <w:noProof/>
                <w:webHidden/>
              </w:rPr>
              <w:instrText xml:space="preserve"> PAGEREF _Toc31715971 \h </w:instrText>
            </w:r>
            <w:r w:rsidR="00BD4DB7">
              <w:rPr>
                <w:noProof/>
                <w:webHidden/>
              </w:rPr>
            </w:r>
            <w:r w:rsidR="00BD4DB7">
              <w:rPr>
                <w:noProof/>
                <w:webHidden/>
              </w:rPr>
              <w:fldChar w:fldCharType="separate"/>
            </w:r>
            <w:r w:rsidR="00BD4DB7">
              <w:rPr>
                <w:noProof/>
                <w:webHidden/>
              </w:rPr>
              <w:t>119</w:t>
            </w:r>
            <w:r w:rsidR="00BD4DB7">
              <w:rPr>
                <w:noProof/>
                <w:webHidden/>
              </w:rPr>
              <w:fldChar w:fldCharType="end"/>
            </w:r>
          </w:hyperlink>
        </w:p>
        <w:p w14:paraId="4A5FD12F" w14:textId="38B40BEE"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72" w:history="1">
            <w:r w:rsidR="00BD4DB7" w:rsidRPr="0089237F">
              <w:rPr>
                <w:rStyle w:val="Hipervnculo"/>
                <w:rFonts w:eastAsiaTheme="minorHAnsi"/>
                <w:noProof/>
              </w:rPr>
              <w:t>Artículo 1.6.3.2. Procedimiento para el cálculo y reposición de los Recursos Propios Específicos</w:t>
            </w:r>
            <w:r w:rsidR="00BD4DB7">
              <w:rPr>
                <w:noProof/>
                <w:webHidden/>
              </w:rPr>
              <w:tab/>
            </w:r>
            <w:r w:rsidR="00BD4DB7">
              <w:rPr>
                <w:noProof/>
                <w:webHidden/>
              </w:rPr>
              <w:fldChar w:fldCharType="begin"/>
            </w:r>
            <w:r w:rsidR="00BD4DB7">
              <w:rPr>
                <w:noProof/>
                <w:webHidden/>
              </w:rPr>
              <w:instrText xml:space="preserve"> PAGEREF _Toc31715972 \h </w:instrText>
            </w:r>
            <w:r w:rsidR="00BD4DB7">
              <w:rPr>
                <w:noProof/>
                <w:webHidden/>
              </w:rPr>
            </w:r>
            <w:r w:rsidR="00BD4DB7">
              <w:rPr>
                <w:noProof/>
                <w:webHidden/>
              </w:rPr>
              <w:fldChar w:fldCharType="separate"/>
            </w:r>
            <w:r w:rsidR="00BD4DB7">
              <w:rPr>
                <w:noProof/>
                <w:webHidden/>
              </w:rPr>
              <w:t>119</w:t>
            </w:r>
            <w:r w:rsidR="00BD4DB7">
              <w:rPr>
                <w:noProof/>
                <w:webHidden/>
              </w:rPr>
              <w:fldChar w:fldCharType="end"/>
            </w:r>
          </w:hyperlink>
        </w:p>
        <w:p w14:paraId="58E8D668" w14:textId="26460EAF"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973" w:history="1">
            <w:r w:rsidR="00BD4DB7" w:rsidRPr="0089237F">
              <w:rPr>
                <w:rStyle w:val="Hipervnculo"/>
                <w:noProof/>
              </w:rPr>
              <w:t>CAPITULO CUARTO</w:t>
            </w:r>
            <w:r w:rsidR="00BD4DB7">
              <w:rPr>
                <w:noProof/>
                <w:webHidden/>
              </w:rPr>
              <w:tab/>
            </w:r>
            <w:r w:rsidR="00BD4DB7">
              <w:rPr>
                <w:noProof/>
                <w:webHidden/>
              </w:rPr>
              <w:fldChar w:fldCharType="begin"/>
            </w:r>
            <w:r w:rsidR="00BD4DB7">
              <w:rPr>
                <w:noProof/>
                <w:webHidden/>
              </w:rPr>
              <w:instrText xml:space="preserve"> PAGEREF _Toc31715973 \h </w:instrText>
            </w:r>
            <w:r w:rsidR="00BD4DB7">
              <w:rPr>
                <w:noProof/>
                <w:webHidden/>
              </w:rPr>
            </w:r>
            <w:r w:rsidR="00BD4DB7">
              <w:rPr>
                <w:noProof/>
                <w:webHidden/>
              </w:rPr>
              <w:fldChar w:fldCharType="separate"/>
            </w:r>
            <w:r w:rsidR="00BD4DB7">
              <w:rPr>
                <w:noProof/>
                <w:webHidden/>
              </w:rPr>
              <w:t>120</w:t>
            </w:r>
            <w:r w:rsidR="00BD4DB7">
              <w:rPr>
                <w:noProof/>
                <w:webHidden/>
              </w:rPr>
              <w:fldChar w:fldCharType="end"/>
            </w:r>
          </w:hyperlink>
        </w:p>
        <w:p w14:paraId="777647EB" w14:textId="714691A7"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974" w:history="1">
            <w:r w:rsidR="00BD4DB7" w:rsidRPr="0089237F">
              <w:rPr>
                <w:rStyle w:val="Hipervnculo"/>
                <w:noProof/>
              </w:rPr>
              <w:t>GESTION DE GARANTIAS</w:t>
            </w:r>
            <w:r w:rsidR="00BD4DB7">
              <w:rPr>
                <w:noProof/>
                <w:webHidden/>
              </w:rPr>
              <w:tab/>
            </w:r>
            <w:r w:rsidR="00BD4DB7">
              <w:rPr>
                <w:noProof/>
                <w:webHidden/>
              </w:rPr>
              <w:fldChar w:fldCharType="begin"/>
            </w:r>
            <w:r w:rsidR="00BD4DB7">
              <w:rPr>
                <w:noProof/>
                <w:webHidden/>
              </w:rPr>
              <w:instrText xml:space="preserve"> PAGEREF _Toc31715974 \h </w:instrText>
            </w:r>
            <w:r w:rsidR="00BD4DB7">
              <w:rPr>
                <w:noProof/>
                <w:webHidden/>
              </w:rPr>
            </w:r>
            <w:r w:rsidR="00BD4DB7">
              <w:rPr>
                <w:noProof/>
                <w:webHidden/>
              </w:rPr>
              <w:fldChar w:fldCharType="separate"/>
            </w:r>
            <w:r w:rsidR="00BD4DB7">
              <w:rPr>
                <w:noProof/>
                <w:webHidden/>
              </w:rPr>
              <w:t>120</w:t>
            </w:r>
            <w:r w:rsidR="00BD4DB7">
              <w:rPr>
                <w:noProof/>
                <w:webHidden/>
              </w:rPr>
              <w:fldChar w:fldCharType="end"/>
            </w:r>
          </w:hyperlink>
        </w:p>
        <w:p w14:paraId="0FB1F10B" w14:textId="05DB6493"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75" w:history="1">
            <w:r w:rsidR="00BD4DB7" w:rsidRPr="0089237F">
              <w:rPr>
                <w:rStyle w:val="Hipervnculo"/>
                <w:noProof/>
              </w:rPr>
              <w:t>Artículo 1.6.4.1. Activos recibidos en garantía.</w:t>
            </w:r>
            <w:r w:rsidR="00BD4DB7">
              <w:rPr>
                <w:noProof/>
                <w:webHidden/>
              </w:rPr>
              <w:tab/>
            </w:r>
            <w:r w:rsidR="00BD4DB7">
              <w:rPr>
                <w:noProof/>
                <w:webHidden/>
              </w:rPr>
              <w:fldChar w:fldCharType="begin"/>
            </w:r>
            <w:r w:rsidR="00BD4DB7">
              <w:rPr>
                <w:noProof/>
                <w:webHidden/>
              </w:rPr>
              <w:instrText xml:space="preserve"> PAGEREF _Toc31715975 \h </w:instrText>
            </w:r>
            <w:r w:rsidR="00BD4DB7">
              <w:rPr>
                <w:noProof/>
                <w:webHidden/>
              </w:rPr>
            </w:r>
            <w:r w:rsidR="00BD4DB7">
              <w:rPr>
                <w:noProof/>
                <w:webHidden/>
              </w:rPr>
              <w:fldChar w:fldCharType="separate"/>
            </w:r>
            <w:r w:rsidR="00BD4DB7">
              <w:rPr>
                <w:noProof/>
                <w:webHidden/>
              </w:rPr>
              <w:t>120</w:t>
            </w:r>
            <w:r w:rsidR="00BD4DB7">
              <w:rPr>
                <w:noProof/>
                <w:webHidden/>
              </w:rPr>
              <w:fldChar w:fldCharType="end"/>
            </w:r>
          </w:hyperlink>
        </w:p>
        <w:p w14:paraId="3878F16A" w14:textId="5360DAFB"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76" w:history="1">
            <w:r w:rsidR="00BD4DB7" w:rsidRPr="0089237F">
              <w:rPr>
                <w:rStyle w:val="Hipervnculo"/>
                <w:noProof/>
              </w:rPr>
              <w:t>Artículo 1.6.4.2. Descuento o “Haircut” para Activos recibidos en garantía.</w:t>
            </w:r>
            <w:r w:rsidR="00BD4DB7">
              <w:rPr>
                <w:noProof/>
                <w:webHidden/>
              </w:rPr>
              <w:tab/>
            </w:r>
            <w:r w:rsidR="00BD4DB7">
              <w:rPr>
                <w:noProof/>
                <w:webHidden/>
              </w:rPr>
              <w:fldChar w:fldCharType="begin"/>
            </w:r>
            <w:r w:rsidR="00BD4DB7">
              <w:rPr>
                <w:noProof/>
                <w:webHidden/>
              </w:rPr>
              <w:instrText xml:space="preserve"> PAGEREF _Toc31715976 \h </w:instrText>
            </w:r>
            <w:r w:rsidR="00BD4DB7">
              <w:rPr>
                <w:noProof/>
                <w:webHidden/>
              </w:rPr>
            </w:r>
            <w:r w:rsidR="00BD4DB7">
              <w:rPr>
                <w:noProof/>
                <w:webHidden/>
              </w:rPr>
              <w:fldChar w:fldCharType="separate"/>
            </w:r>
            <w:r w:rsidR="00BD4DB7">
              <w:rPr>
                <w:noProof/>
                <w:webHidden/>
              </w:rPr>
              <w:t>120</w:t>
            </w:r>
            <w:r w:rsidR="00BD4DB7">
              <w:rPr>
                <w:noProof/>
                <w:webHidden/>
              </w:rPr>
              <w:fldChar w:fldCharType="end"/>
            </w:r>
          </w:hyperlink>
        </w:p>
        <w:p w14:paraId="12D22EC0" w14:textId="084FCC46"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77" w:history="1">
            <w:r w:rsidR="00BD4DB7" w:rsidRPr="0089237F">
              <w:rPr>
                <w:rStyle w:val="Hipervnculo"/>
                <w:rFonts w:eastAsiaTheme="minorHAnsi"/>
                <w:noProof/>
              </w:rPr>
              <w:t>Artículo 1.6.4.3. Constitución de Garantías en títulos ubicados en Deceval o DCV</w:t>
            </w:r>
            <w:r w:rsidR="00BD4DB7">
              <w:rPr>
                <w:noProof/>
                <w:webHidden/>
              </w:rPr>
              <w:tab/>
            </w:r>
            <w:r w:rsidR="00BD4DB7">
              <w:rPr>
                <w:noProof/>
                <w:webHidden/>
              </w:rPr>
              <w:fldChar w:fldCharType="begin"/>
            </w:r>
            <w:r w:rsidR="00BD4DB7">
              <w:rPr>
                <w:noProof/>
                <w:webHidden/>
              </w:rPr>
              <w:instrText xml:space="preserve"> PAGEREF _Toc31715977 \h </w:instrText>
            </w:r>
            <w:r w:rsidR="00BD4DB7">
              <w:rPr>
                <w:noProof/>
                <w:webHidden/>
              </w:rPr>
            </w:r>
            <w:r w:rsidR="00BD4DB7">
              <w:rPr>
                <w:noProof/>
                <w:webHidden/>
              </w:rPr>
              <w:fldChar w:fldCharType="separate"/>
            </w:r>
            <w:r w:rsidR="00BD4DB7">
              <w:rPr>
                <w:noProof/>
                <w:webHidden/>
              </w:rPr>
              <w:t>121</w:t>
            </w:r>
            <w:r w:rsidR="00BD4DB7">
              <w:rPr>
                <w:noProof/>
                <w:webHidden/>
              </w:rPr>
              <w:fldChar w:fldCharType="end"/>
            </w:r>
          </w:hyperlink>
        </w:p>
        <w:p w14:paraId="24583AEB" w14:textId="338AA09E"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78" w:history="1">
            <w:r w:rsidR="00BD4DB7" w:rsidRPr="0089237F">
              <w:rPr>
                <w:rStyle w:val="Hipervnculo"/>
                <w:noProof/>
              </w:rPr>
              <w:t>Artículo 1.6.4.4. Constitución de Garantías en Efectivo.</w:t>
            </w:r>
            <w:r w:rsidR="00BD4DB7">
              <w:rPr>
                <w:noProof/>
                <w:webHidden/>
              </w:rPr>
              <w:tab/>
            </w:r>
            <w:r w:rsidR="00BD4DB7">
              <w:rPr>
                <w:noProof/>
                <w:webHidden/>
              </w:rPr>
              <w:fldChar w:fldCharType="begin"/>
            </w:r>
            <w:r w:rsidR="00BD4DB7">
              <w:rPr>
                <w:noProof/>
                <w:webHidden/>
              </w:rPr>
              <w:instrText xml:space="preserve"> PAGEREF _Toc31715978 \h </w:instrText>
            </w:r>
            <w:r w:rsidR="00BD4DB7">
              <w:rPr>
                <w:noProof/>
                <w:webHidden/>
              </w:rPr>
            </w:r>
            <w:r w:rsidR="00BD4DB7">
              <w:rPr>
                <w:noProof/>
                <w:webHidden/>
              </w:rPr>
              <w:fldChar w:fldCharType="separate"/>
            </w:r>
            <w:r w:rsidR="00BD4DB7">
              <w:rPr>
                <w:noProof/>
                <w:webHidden/>
              </w:rPr>
              <w:t>122</w:t>
            </w:r>
            <w:r w:rsidR="00BD4DB7">
              <w:rPr>
                <w:noProof/>
                <w:webHidden/>
              </w:rPr>
              <w:fldChar w:fldCharType="end"/>
            </w:r>
          </w:hyperlink>
        </w:p>
        <w:p w14:paraId="67D90191" w14:textId="2C0AAF5B"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79" w:history="1">
            <w:r w:rsidR="00BD4DB7" w:rsidRPr="0089237F">
              <w:rPr>
                <w:rStyle w:val="Hipervnculo"/>
                <w:noProof/>
              </w:rPr>
              <w:t>Artículo 1.6.4.5. Solicitud de constitución de Garantías en Efectivo por orden directa de la Cámara.</w:t>
            </w:r>
            <w:r w:rsidR="00BD4DB7">
              <w:rPr>
                <w:noProof/>
                <w:webHidden/>
              </w:rPr>
              <w:tab/>
            </w:r>
            <w:r w:rsidR="00BD4DB7">
              <w:rPr>
                <w:noProof/>
                <w:webHidden/>
              </w:rPr>
              <w:fldChar w:fldCharType="begin"/>
            </w:r>
            <w:r w:rsidR="00BD4DB7">
              <w:rPr>
                <w:noProof/>
                <w:webHidden/>
              </w:rPr>
              <w:instrText xml:space="preserve"> PAGEREF _Toc31715979 \h </w:instrText>
            </w:r>
            <w:r w:rsidR="00BD4DB7">
              <w:rPr>
                <w:noProof/>
                <w:webHidden/>
              </w:rPr>
            </w:r>
            <w:r w:rsidR="00BD4DB7">
              <w:rPr>
                <w:noProof/>
                <w:webHidden/>
              </w:rPr>
              <w:fldChar w:fldCharType="separate"/>
            </w:r>
            <w:r w:rsidR="00BD4DB7">
              <w:rPr>
                <w:noProof/>
                <w:webHidden/>
              </w:rPr>
              <w:t>123</w:t>
            </w:r>
            <w:r w:rsidR="00BD4DB7">
              <w:rPr>
                <w:noProof/>
                <w:webHidden/>
              </w:rPr>
              <w:fldChar w:fldCharType="end"/>
            </w:r>
          </w:hyperlink>
        </w:p>
        <w:p w14:paraId="0B1DFA5C" w14:textId="2F2B688D"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80" w:history="1">
            <w:r w:rsidR="00BD4DB7" w:rsidRPr="0089237F">
              <w:rPr>
                <w:rStyle w:val="Hipervnculo"/>
                <w:noProof/>
              </w:rPr>
              <w:t>Artículo 1.6.4.6. Liberación de Garantías en títulos ubicados en Deceval.</w:t>
            </w:r>
            <w:r w:rsidR="00BD4DB7">
              <w:rPr>
                <w:noProof/>
                <w:webHidden/>
              </w:rPr>
              <w:tab/>
            </w:r>
            <w:r w:rsidR="00BD4DB7">
              <w:rPr>
                <w:noProof/>
                <w:webHidden/>
              </w:rPr>
              <w:fldChar w:fldCharType="begin"/>
            </w:r>
            <w:r w:rsidR="00BD4DB7">
              <w:rPr>
                <w:noProof/>
                <w:webHidden/>
              </w:rPr>
              <w:instrText xml:space="preserve"> PAGEREF _Toc31715980 \h </w:instrText>
            </w:r>
            <w:r w:rsidR="00BD4DB7">
              <w:rPr>
                <w:noProof/>
                <w:webHidden/>
              </w:rPr>
            </w:r>
            <w:r w:rsidR="00BD4DB7">
              <w:rPr>
                <w:noProof/>
                <w:webHidden/>
              </w:rPr>
              <w:fldChar w:fldCharType="separate"/>
            </w:r>
            <w:r w:rsidR="00BD4DB7">
              <w:rPr>
                <w:noProof/>
                <w:webHidden/>
              </w:rPr>
              <w:t>124</w:t>
            </w:r>
            <w:r w:rsidR="00BD4DB7">
              <w:rPr>
                <w:noProof/>
                <w:webHidden/>
              </w:rPr>
              <w:fldChar w:fldCharType="end"/>
            </w:r>
          </w:hyperlink>
        </w:p>
        <w:p w14:paraId="181A575E" w14:textId="7B0C1178"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81" w:history="1">
            <w:r w:rsidR="00BD4DB7" w:rsidRPr="0089237F">
              <w:rPr>
                <w:rStyle w:val="Hipervnculo"/>
                <w:noProof/>
              </w:rPr>
              <w:t>Artículo 1.6.4.7. Liberación de Garantías en DCV.</w:t>
            </w:r>
            <w:r w:rsidR="00BD4DB7">
              <w:rPr>
                <w:noProof/>
                <w:webHidden/>
              </w:rPr>
              <w:tab/>
            </w:r>
            <w:r w:rsidR="00BD4DB7">
              <w:rPr>
                <w:noProof/>
                <w:webHidden/>
              </w:rPr>
              <w:fldChar w:fldCharType="begin"/>
            </w:r>
            <w:r w:rsidR="00BD4DB7">
              <w:rPr>
                <w:noProof/>
                <w:webHidden/>
              </w:rPr>
              <w:instrText xml:space="preserve"> PAGEREF _Toc31715981 \h </w:instrText>
            </w:r>
            <w:r w:rsidR="00BD4DB7">
              <w:rPr>
                <w:noProof/>
                <w:webHidden/>
              </w:rPr>
            </w:r>
            <w:r w:rsidR="00BD4DB7">
              <w:rPr>
                <w:noProof/>
                <w:webHidden/>
              </w:rPr>
              <w:fldChar w:fldCharType="separate"/>
            </w:r>
            <w:r w:rsidR="00BD4DB7">
              <w:rPr>
                <w:noProof/>
                <w:webHidden/>
              </w:rPr>
              <w:t>125</w:t>
            </w:r>
            <w:r w:rsidR="00BD4DB7">
              <w:rPr>
                <w:noProof/>
                <w:webHidden/>
              </w:rPr>
              <w:fldChar w:fldCharType="end"/>
            </w:r>
          </w:hyperlink>
        </w:p>
        <w:p w14:paraId="4596709D" w14:textId="1EF79893"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82" w:history="1">
            <w:r w:rsidR="00BD4DB7" w:rsidRPr="0089237F">
              <w:rPr>
                <w:rStyle w:val="Hipervnculo"/>
                <w:rFonts w:eastAsiaTheme="minorHAnsi"/>
                <w:noProof/>
              </w:rPr>
              <w:t>Artículo 1.6.4.8. Liberación de Garantías en efectivo en CUD</w:t>
            </w:r>
            <w:r w:rsidR="00BD4DB7">
              <w:rPr>
                <w:noProof/>
                <w:webHidden/>
              </w:rPr>
              <w:tab/>
            </w:r>
            <w:r w:rsidR="00BD4DB7">
              <w:rPr>
                <w:noProof/>
                <w:webHidden/>
              </w:rPr>
              <w:fldChar w:fldCharType="begin"/>
            </w:r>
            <w:r w:rsidR="00BD4DB7">
              <w:rPr>
                <w:noProof/>
                <w:webHidden/>
              </w:rPr>
              <w:instrText xml:space="preserve"> PAGEREF _Toc31715982 \h </w:instrText>
            </w:r>
            <w:r w:rsidR="00BD4DB7">
              <w:rPr>
                <w:noProof/>
                <w:webHidden/>
              </w:rPr>
            </w:r>
            <w:r w:rsidR="00BD4DB7">
              <w:rPr>
                <w:noProof/>
                <w:webHidden/>
              </w:rPr>
              <w:fldChar w:fldCharType="separate"/>
            </w:r>
            <w:r w:rsidR="00BD4DB7">
              <w:rPr>
                <w:noProof/>
                <w:webHidden/>
              </w:rPr>
              <w:t>126</w:t>
            </w:r>
            <w:r w:rsidR="00BD4DB7">
              <w:rPr>
                <w:noProof/>
                <w:webHidden/>
              </w:rPr>
              <w:fldChar w:fldCharType="end"/>
            </w:r>
          </w:hyperlink>
        </w:p>
        <w:p w14:paraId="376B0B1B" w14:textId="6B3578A1"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83" w:history="1">
            <w:r w:rsidR="00BD4DB7" w:rsidRPr="0089237F">
              <w:rPr>
                <w:rStyle w:val="Hipervnculo"/>
                <w:noProof/>
              </w:rPr>
              <w:t>Artículo 1.6.4.9. Sustitución de Garantías.</w:t>
            </w:r>
            <w:r w:rsidR="00BD4DB7">
              <w:rPr>
                <w:noProof/>
                <w:webHidden/>
              </w:rPr>
              <w:tab/>
            </w:r>
            <w:r w:rsidR="00BD4DB7">
              <w:rPr>
                <w:noProof/>
                <w:webHidden/>
              </w:rPr>
              <w:fldChar w:fldCharType="begin"/>
            </w:r>
            <w:r w:rsidR="00BD4DB7">
              <w:rPr>
                <w:noProof/>
                <w:webHidden/>
              </w:rPr>
              <w:instrText xml:space="preserve"> PAGEREF _Toc31715983 \h </w:instrText>
            </w:r>
            <w:r w:rsidR="00BD4DB7">
              <w:rPr>
                <w:noProof/>
                <w:webHidden/>
              </w:rPr>
            </w:r>
            <w:r w:rsidR="00BD4DB7">
              <w:rPr>
                <w:noProof/>
                <w:webHidden/>
              </w:rPr>
              <w:fldChar w:fldCharType="separate"/>
            </w:r>
            <w:r w:rsidR="00BD4DB7">
              <w:rPr>
                <w:noProof/>
                <w:webHidden/>
              </w:rPr>
              <w:t>127</w:t>
            </w:r>
            <w:r w:rsidR="00BD4DB7">
              <w:rPr>
                <w:noProof/>
                <w:webHidden/>
              </w:rPr>
              <w:fldChar w:fldCharType="end"/>
            </w:r>
          </w:hyperlink>
        </w:p>
        <w:p w14:paraId="2095DD02" w14:textId="2D2522FD"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84" w:history="1">
            <w:r w:rsidR="00BD4DB7" w:rsidRPr="0089237F">
              <w:rPr>
                <w:rStyle w:val="Hipervnculo"/>
                <w:noProof/>
              </w:rPr>
              <w:t>Artículo 1.6.4.10. Reglas generales de valoración de Garantías.</w:t>
            </w:r>
            <w:r w:rsidR="00BD4DB7">
              <w:rPr>
                <w:noProof/>
                <w:webHidden/>
              </w:rPr>
              <w:tab/>
            </w:r>
            <w:r w:rsidR="00BD4DB7">
              <w:rPr>
                <w:noProof/>
                <w:webHidden/>
              </w:rPr>
              <w:fldChar w:fldCharType="begin"/>
            </w:r>
            <w:r w:rsidR="00BD4DB7">
              <w:rPr>
                <w:noProof/>
                <w:webHidden/>
              </w:rPr>
              <w:instrText xml:space="preserve"> PAGEREF _Toc31715984 \h </w:instrText>
            </w:r>
            <w:r w:rsidR="00BD4DB7">
              <w:rPr>
                <w:noProof/>
                <w:webHidden/>
              </w:rPr>
            </w:r>
            <w:r w:rsidR="00BD4DB7">
              <w:rPr>
                <w:noProof/>
                <w:webHidden/>
              </w:rPr>
              <w:fldChar w:fldCharType="separate"/>
            </w:r>
            <w:r w:rsidR="00BD4DB7">
              <w:rPr>
                <w:noProof/>
                <w:webHidden/>
              </w:rPr>
              <w:t>127</w:t>
            </w:r>
            <w:r w:rsidR="00BD4DB7">
              <w:rPr>
                <w:noProof/>
                <w:webHidden/>
              </w:rPr>
              <w:fldChar w:fldCharType="end"/>
            </w:r>
          </w:hyperlink>
        </w:p>
        <w:p w14:paraId="304C532B" w14:textId="6CA058D6"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85" w:history="1">
            <w:r w:rsidR="00BD4DB7" w:rsidRPr="0089237F">
              <w:rPr>
                <w:rStyle w:val="Hipervnculo"/>
                <w:noProof/>
              </w:rPr>
              <w:t>Artículo 1.6.4.11. Proceso de Valoración de las Garantías.</w:t>
            </w:r>
            <w:r w:rsidR="00BD4DB7">
              <w:rPr>
                <w:noProof/>
                <w:webHidden/>
              </w:rPr>
              <w:tab/>
            </w:r>
            <w:r w:rsidR="00BD4DB7">
              <w:rPr>
                <w:noProof/>
                <w:webHidden/>
              </w:rPr>
              <w:fldChar w:fldCharType="begin"/>
            </w:r>
            <w:r w:rsidR="00BD4DB7">
              <w:rPr>
                <w:noProof/>
                <w:webHidden/>
              </w:rPr>
              <w:instrText xml:space="preserve"> PAGEREF _Toc31715985 \h </w:instrText>
            </w:r>
            <w:r w:rsidR="00BD4DB7">
              <w:rPr>
                <w:noProof/>
                <w:webHidden/>
              </w:rPr>
            </w:r>
            <w:r w:rsidR="00BD4DB7">
              <w:rPr>
                <w:noProof/>
                <w:webHidden/>
              </w:rPr>
              <w:fldChar w:fldCharType="separate"/>
            </w:r>
            <w:r w:rsidR="00BD4DB7">
              <w:rPr>
                <w:noProof/>
                <w:webHidden/>
              </w:rPr>
              <w:t>128</w:t>
            </w:r>
            <w:r w:rsidR="00BD4DB7">
              <w:rPr>
                <w:noProof/>
                <w:webHidden/>
              </w:rPr>
              <w:fldChar w:fldCharType="end"/>
            </w:r>
          </w:hyperlink>
        </w:p>
        <w:p w14:paraId="7B1F705C" w14:textId="5975402C"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86" w:history="1">
            <w:r w:rsidR="00BD4DB7" w:rsidRPr="0089237F">
              <w:rPr>
                <w:rStyle w:val="Hipervnculo"/>
                <w:noProof/>
              </w:rPr>
              <w:t>Artículo 1.6.4.12. Garantías Admisibles destinadas a ampliar Límites de Operación.</w:t>
            </w:r>
            <w:r w:rsidR="00BD4DB7">
              <w:rPr>
                <w:noProof/>
                <w:webHidden/>
              </w:rPr>
              <w:tab/>
            </w:r>
            <w:r w:rsidR="00BD4DB7">
              <w:rPr>
                <w:noProof/>
                <w:webHidden/>
              </w:rPr>
              <w:fldChar w:fldCharType="begin"/>
            </w:r>
            <w:r w:rsidR="00BD4DB7">
              <w:rPr>
                <w:noProof/>
                <w:webHidden/>
              </w:rPr>
              <w:instrText xml:space="preserve"> PAGEREF _Toc31715986 \h </w:instrText>
            </w:r>
            <w:r w:rsidR="00BD4DB7">
              <w:rPr>
                <w:noProof/>
                <w:webHidden/>
              </w:rPr>
            </w:r>
            <w:r w:rsidR="00BD4DB7">
              <w:rPr>
                <w:noProof/>
                <w:webHidden/>
              </w:rPr>
              <w:fldChar w:fldCharType="separate"/>
            </w:r>
            <w:r w:rsidR="00BD4DB7">
              <w:rPr>
                <w:noProof/>
                <w:webHidden/>
              </w:rPr>
              <w:t>128</w:t>
            </w:r>
            <w:r w:rsidR="00BD4DB7">
              <w:rPr>
                <w:noProof/>
                <w:webHidden/>
              </w:rPr>
              <w:fldChar w:fldCharType="end"/>
            </w:r>
          </w:hyperlink>
        </w:p>
        <w:p w14:paraId="00266E2A" w14:textId="7C92F22D"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87" w:history="1">
            <w:r w:rsidR="00BD4DB7" w:rsidRPr="0089237F">
              <w:rPr>
                <w:rStyle w:val="Hipervnculo"/>
                <w:noProof/>
              </w:rPr>
              <w:t>Artículo 1.6.4.13. Criterios y Políticas de Inversión de las Garantías constituidas en efectivo.</w:t>
            </w:r>
            <w:r w:rsidR="00BD4DB7">
              <w:rPr>
                <w:noProof/>
                <w:webHidden/>
              </w:rPr>
              <w:tab/>
            </w:r>
            <w:r w:rsidR="00BD4DB7">
              <w:rPr>
                <w:noProof/>
                <w:webHidden/>
              </w:rPr>
              <w:fldChar w:fldCharType="begin"/>
            </w:r>
            <w:r w:rsidR="00BD4DB7">
              <w:rPr>
                <w:noProof/>
                <w:webHidden/>
              </w:rPr>
              <w:instrText xml:space="preserve"> PAGEREF _Toc31715987 \h </w:instrText>
            </w:r>
            <w:r w:rsidR="00BD4DB7">
              <w:rPr>
                <w:noProof/>
                <w:webHidden/>
              </w:rPr>
            </w:r>
            <w:r w:rsidR="00BD4DB7">
              <w:rPr>
                <w:noProof/>
                <w:webHidden/>
              </w:rPr>
              <w:fldChar w:fldCharType="separate"/>
            </w:r>
            <w:r w:rsidR="00BD4DB7">
              <w:rPr>
                <w:noProof/>
                <w:webHidden/>
              </w:rPr>
              <w:t>130</w:t>
            </w:r>
            <w:r w:rsidR="00BD4DB7">
              <w:rPr>
                <w:noProof/>
                <w:webHidden/>
              </w:rPr>
              <w:fldChar w:fldCharType="end"/>
            </w:r>
          </w:hyperlink>
        </w:p>
        <w:p w14:paraId="5D5CF4BB" w14:textId="1E0569EF"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88" w:history="1">
            <w:r w:rsidR="00BD4DB7" w:rsidRPr="0089237F">
              <w:rPr>
                <w:rStyle w:val="Hipervnculo"/>
                <w:noProof/>
              </w:rPr>
              <w:t>Artículo 1.6.4.14. Procedimiento de Inversión de las Garantías constituidas en efectivo y de Liquidación de los Intereses.</w:t>
            </w:r>
            <w:r w:rsidR="00BD4DB7">
              <w:rPr>
                <w:noProof/>
                <w:webHidden/>
              </w:rPr>
              <w:tab/>
            </w:r>
            <w:r w:rsidR="00BD4DB7">
              <w:rPr>
                <w:noProof/>
                <w:webHidden/>
              </w:rPr>
              <w:fldChar w:fldCharType="begin"/>
            </w:r>
            <w:r w:rsidR="00BD4DB7">
              <w:rPr>
                <w:noProof/>
                <w:webHidden/>
              </w:rPr>
              <w:instrText xml:space="preserve"> PAGEREF _Toc31715988 \h </w:instrText>
            </w:r>
            <w:r w:rsidR="00BD4DB7">
              <w:rPr>
                <w:noProof/>
                <w:webHidden/>
              </w:rPr>
            </w:r>
            <w:r w:rsidR="00BD4DB7">
              <w:rPr>
                <w:noProof/>
                <w:webHidden/>
              </w:rPr>
              <w:fldChar w:fldCharType="separate"/>
            </w:r>
            <w:r w:rsidR="00BD4DB7">
              <w:rPr>
                <w:noProof/>
                <w:webHidden/>
              </w:rPr>
              <w:t>131</w:t>
            </w:r>
            <w:r w:rsidR="00BD4DB7">
              <w:rPr>
                <w:noProof/>
                <w:webHidden/>
              </w:rPr>
              <w:fldChar w:fldCharType="end"/>
            </w:r>
          </w:hyperlink>
        </w:p>
        <w:p w14:paraId="5225A1F8" w14:textId="6C6CBF1F"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89" w:history="1">
            <w:r w:rsidR="00BD4DB7" w:rsidRPr="0089237F">
              <w:rPr>
                <w:rStyle w:val="Hipervnculo"/>
                <w:noProof/>
              </w:rPr>
              <w:t>Artículo 1.6.4.15. Procedimiento para la Contraparte de Inversión.</w:t>
            </w:r>
            <w:r w:rsidR="00BD4DB7">
              <w:rPr>
                <w:noProof/>
                <w:webHidden/>
              </w:rPr>
              <w:tab/>
            </w:r>
            <w:r w:rsidR="00BD4DB7">
              <w:rPr>
                <w:noProof/>
                <w:webHidden/>
              </w:rPr>
              <w:fldChar w:fldCharType="begin"/>
            </w:r>
            <w:r w:rsidR="00BD4DB7">
              <w:rPr>
                <w:noProof/>
                <w:webHidden/>
              </w:rPr>
              <w:instrText xml:space="preserve"> PAGEREF _Toc31715989 \h </w:instrText>
            </w:r>
            <w:r w:rsidR="00BD4DB7">
              <w:rPr>
                <w:noProof/>
                <w:webHidden/>
              </w:rPr>
            </w:r>
            <w:r w:rsidR="00BD4DB7">
              <w:rPr>
                <w:noProof/>
                <w:webHidden/>
              </w:rPr>
              <w:fldChar w:fldCharType="separate"/>
            </w:r>
            <w:r w:rsidR="00BD4DB7">
              <w:rPr>
                <w:noProof/>
                <w:webHidden/>
              </w:rPr>
              <w:t>134</w:t>
            </w:r>
            <w:r w:rsidR="00BD4DB7">
              <w:rPr>
                <w:noProof/>
                <w:webHidden/>
              </w:rPr>
              <w:fldChar w:fldCharType="end"/>
            </w:r>
          </w:hyperlink>
        </w:p>
        <w:p w14:paraId="08C38EE0" w14:textId="7CDDB195"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990" w:history="1">
            <w:r w:rsidR="00BD4DB7" w:rsidRPr="0089237F">
              <w:rPr>
                <w:rStyle w:val="Hipervnculo"/>
                <w:noProof/>
              </w:rPr>
              <w:t>CAPÍTULO QUINTO</w:t>
            </w:r>
            <w:r w:rsidR="00BD4DB7">
              <w:rPr>
                <w:noProof/>
                <w:webHidden/>
              </w:rPr>
              <w:tab/>
            </w:r>
            <w:r w:rsidR="00BD4DB7">
              <w:rPr>
                <w:noProof/>
                <w:webHidden/>
              </w:rPr>
              <w:fldChar w:fldCharType="begin"/>
            </w:r>
            <w:r w:rsidR="00BD4DB7">
              <w:rPr>
                <w:noProof/>
                <w:webHidden/>
              </w:rPr>
              <w:instrText xml:space="preserve"> PAGEREF _Toc31715990 \h </w:instrText>
            </w:r>
            <w:r w:rsidR="00BD4DB7">
              <w:rPr>
                <w:noProof/>
                <w:webHidden/>
              </w:rPr>
            </w:r>
            <w:r w:rsidR="00BD4DB7">
              <w:rPr>
                <w:noProof/>
                <w:webHidden/>
              </w:rPr>
              <w:fldChar w:fldCharType="separate"/>
            </w:r>
            <w:r w:rsidR="00BD4DB7">
              <w:rPr>
                <w:noProof/>
                <w:webHidden/>
              </w:rPr>
              <w:t>135</w:t>
            </w:r>
            <w:r w:rsidR="00BD4DB7">
              <w:rPr>
                <w:noProof/>
                <w:webHidden/>
              </w:rPr>
              <w:fldChar w:fldCharType="end"/>
            </w:r>
          </w:hyperlink>
        </w:p>
        <w:p w14:paraId="514CCA71" w14:textId="0F523A49"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5991" w:history="1">
            <w:r w:rsidR="00BD4DB7" w:rsidRPr="0089237F">
              <w:rPr>
                <w:rStyle w:val="Hipervnculo"/>
                <w:noProof/>
              </w:rPr>
              <w:t>LÍMITES</w:t>
            </w:r>
            <w:r w:rsidR="00BD4DB7">
              <w:rPr>
                <w:noProof/>
                <w:webHidden/>
              </w:rPr>
              <w:tab/>
            </w:r>
            <w:r w:rsidR="00BD4DB7">
              <w:rPr>
                <w:noProof/>
                <w:webHidden/>
              </w:rPr>
              <w:fldChar w:fldCharType="begin"/>
            </w:r>
            <w:r w:rsidR="00BD4DB7">
              <w:rPr>
                <w:noProof/>
                <w:webHidden/>
              </w:rPr>
              <w:instrText xml:space="preserve"> PAGEREF _Toc31715991 \h </w:instrText>
            </w:r>
            <w:r w:rsidR="00BD4DB7">
              <w:rPr>
                <w:noProof/>
                <w:webHidden/>
              </w:rPr>
            </w:r>
            <w:r w:rsidR="00BD4DB7">
              <w:rPr>
                <w:noProof/>
                <w:webHidden/>
              </w:rPr>
              <w:fldChar w:fldCharType="separate"/>
            </w:r>
            <w:r w:rsidR="00BD4DB7">
              <w:rPr>
                <w:noProof/>
                <w:webHidden/>
              </w:rPr>
              <w:t>135</w:t>
            </w:r>
            <w:r w:rsidR="00BD4DB7">
              <w:rPr>
                <w:noProof/>
                <w:webHidden/>
              </w:rPr>
              <w:fldChar w:fldCharType="end"/>
            </w:r>
          </w:hyperlink>
        </w:p>
        <w:p w14:paraId="09FF2B31" w14:textId="3D8B7DA7"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92" w:history="1">
            <w:r w:rsidR="00BD4DB7" w:rsidRPr="0089237F">
              <w:rPr>
                <w:rStyle w:val="Hipervnculo"/>
                <w:noProof/>
              </w:rPr>
              <w:t>Artículo 1.6.5.1. Generalidades del Límite de Riesgo Intradía – LRI.</w:t>
            </w:r>
            <w:r w:rsidR="00BD4DB7">
              <w:rPr>
                <w:noProof/>
                <w:webHidden/>
              </w:rPr>
              <w:tab/>
            </w:r>
            <w:r w:rsidR="00BD4DB7">
              <w:rPr>
                <w:noProof/>
                <w:webHidden/>
              </w:rPr>
              <w:fldChar w:fldCharType="begin"/>
            </w:r>
            <w:r w:rsidR="00BD4DB7">
              <w:rPr>
                <w:noProof/>
                <w:webHidden/>
              </w:rPr>
              <w:instrText xml:space="preserve"> PAGEREF _Toc31715992 \h </w:instrText>
            </w:r>
            <w:r w:rsidR="00BD4DB7">
              <w:rPr>
                <w:noProof/>
                <w:webHidden/>
              </w:rPr>
            </w:r>
            <w:r w:rsidR="00BD4DB7">
              <w:rPr>
                <w:noProof/>
                <w:webHidden/>
              </w:rPr>
              <w:fldChar w:fldCharType="separate"/>
            </w:r>
            <w:r w:rsidR="00BD4DB7">
              <w:rPr>
                <w:noProof/>
                <w:webHidden/>
              </w:rPr>
              <w:t>135</w:t>
            </w:r>
            <w:r w:rsidR="00BD4DB7">
              <w:rPr>
                <w:noProof/>
                <w:webHidden/>
              </w:rPr>
              <w:fldChar w:fldCharType="end"/>
            </w:r>
          </w:hyperlink>
        </w:p>
        <w:p w14:paraId="1D28BDFC" w14:textId="06F639E3"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93" w:history="1">
            <w:r w:rsidR="00BD4DB7" w:rsidRPr="0089237F">
              <w:rPr>
                <w:rStyle w:val="Hipervnculo"/>
                <w:noProof/>
              </w:rPr>
              <w:t>Artículo 1.6.5.2. Administración y consumo del Límite de Riesgo Intradía – LRI.</w:t>
            </w:r>
            <w:r w:rsidR="00BD4DB7">
              <w:rPr>
                <w:noProof/>
                <w:webHidden/>
              </w:rPr>
              <w:tab/>
            </w:r>
            <w:r w:rsidR="00BD4DB7">
              <w:rPr>
                <w:noProof/>
                <w:webHidden/>
              </w:rPr>
              <w:fldChar w:fldCharType="begin"/>
            </w:r>
            <w:r w:rsidR="00BD4DB7">
              <w:rPr>
                <w:noProof/>
                <w:webHidden/>
              </w:rPr>
              <w:instrText xml:space="preserve"> PAGEREF _Toc31715993 \h </w:instrText>
            </w:r>
            <w:r w:rsidR="00BD4DB7">
              <w:rPr>
                <w:noProof/>
                <w:webHidden/>
              </w:rPr>
            </w:r>
            <w:r w:rsidR="00BD4DB7">
              <w:rPr>
                <w:noProof/>
                <w:webHidden/>
              </w:rPr>
              <w:fldChar w:fldCharType="separate"/>
            </w:r>
            <w:r w:rsidR="00BD4DB7">
              <w:rPr>
                <w:noProof/>
                <w:webHidden/>
              </w:rPr>
              <w:t>136</w:t>
            </w:r>
            <w:r w:rsidR="00BD4DB7">
              <w:rPr>
                <w:noProof/>
                <w:webHidden/>
              </w:rPr>
              <w:fldChar w:fldCharType="end"/>
            </w:r>
          </w:hyperlink>
        </w:p>
        <w:p w14:paraId="3F0D3574" w14:textId="60DFED6A"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94" w:history="1">
            <w:r w:rsidR="00BD4DB7" w:rsidRPr="0089237F">
              <w:rPr>
                <w:rStyle w:val="Hipervnculo"/>
                <w:noProof/>
              </w:rPr>
              <w:t>Artículo 1.6.5.3. Política de Administración del LRI.</w:t>
            </w:r>
            <w:r w:rsidR="00BD4DB7">
              <w:rPr>
                <w:noProof/>
                <w:webHidden/>
              </w:rPr>
              <w:tab/>
            </w:r>
            <w:r w:rsidR="00BD4DB7">
              <w:rPr>
                <w:noProof/>
                <w:webHidden/>
              </w:rPr>
              <w:fldChar w:fldCharType="begin"/>
            </w:r>
            <w:r w:rsidR="00BD4DB7">
              <w:rPr>
                <w:noProof/>
                <w:webHidden/>
              </w:rPr>
              <w:instrText xml:space="preserve"> PAGEREF _Toc31715994 \h </w:instrText>
            </w:r>
            <w:r w:rsidR="00BD4DB7">
              <w:rPr>
                <w:noProof/>
                <w:webHidden/>
              </w:rPr>
            </w:r>
            <w:r w:rsidR="00BD4DB7">
              <w:rPr>
                <w:noProof/>
                <w:webHidden/>
              </w:rPr>
              <w:fldChar w:fldCharType="separate"/>
            </w:r>
            <w:r w:rsidR="00BD4DB7">
              <w:rPr>
                <w:noProof/>
                <w:webHidden/>
              </w:rPr>
              <w:t>137</w:t>
            </w:r>
            <w:r w:rsidR="00BD4DB7">
              <w:rPr>
                <w:noProof/>
                <w:webHidden/>
              </w:rPr>
              <w:fldChar w:fldCharType="end"/>
            </w:r>
          </w:hyperlink>
        </w:p>
        <w:p w14:paraId="78C872DC" w14:textId="76CBBDCB"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95" w:history="1">
            <w:r w:rsidR="00BD4DB7" w:rsidRPr="0089237F">
              <w:rPr>
                <w:rStyle w:val="Hipervnculo"/>
                <w:noProof/>
              </w:rPr>
              <w:t>Artículo 1.6.5.4. Límite de Margin Call – LMC.</w:t>
            </w:r>
            <w:r w:rsidR="00BD4DB7">
              <w:rPr>
                <w:noProof/>
                <w:webHidden/>
              </w:rPr>
              <w:tab/>
            </w:r>
            <w:r w:rsidR="00BD4DB7">
              <w:rPr>
                <w:noProof/>
                <w:webHidden/>
              </w:rPr>
              <w:fldChar w:fldCharType="begin"/>
            </w:r>
            <w:r w:rsidR="00BD4DB7">
              <w:rPr>
                <w:noProof/>
                <w:webHidden/>
              </w:rPr>
              <w:instrText xml:space="preserve"> PAGEREF _Toc31715995 \h </w:instrText>
            </w:r>
            <w:r w:rsidR="00BD4DB7">
              <w:rPr>
                <w:noProof/>
                <w:webHidden/>
              </w:rPr>
            </w:r>
            <w:r w:rsidR="00BD4DB7">
              <w:rPr>
                <w:noProof/>
                <w:webHidden/>
              </w:rPr>
              <w:fldChar w:fldCharType="separate"/>
            </w:r>
            <w:r w:rsidR="00BD4DB7">
              <w:rPr>
                <w:noProof/>
                <w:webHidden/>
              </w:rPr>
              <w:t>137</w:t>
            </w:r>
            <w:r w:rsidR="00BD4DB7">
              <w:rPr>
                <w:noProof/>
                <w:webHidden/>
              </w:rPr>
              <w:fldChar w:fldCharType="end"/>
            </w:r>
          </w:hyperlink>
        </w:p>
        <w:p w14:paraId="3CEB6C51" w14:textId="3E4927E8"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96" w:history="1">
            <w:r w:rsidR="00BD4DB7" w:rsidRPr="0089237F">
              <w:rPr>
                <w:rStyle w:val="Hipervnculo"/>
                <w:noProof/>
              </w:rPr>
              <w:t>Artículo 1.6.5.5. Administración y consumo del LMC.</w:t>
            </w:r>
            <w:r w:rsidR="00BD4DB7">
              <w:rPr>
                <w:noProof/>
                <w:webHidden/>
              </w:rPr>
              <w:tab/>
            </w:r>
            <w:r w:rsidR="00BD4DB7">
              <w:rPr>
                <w:noProof/>
                <w:webHidden/>
              </w:rPr>
              <w:fldChar w:fldCharType="begin"/>
            </w:r>
            <w:r w:rsidR="00BD4DB7">
              <w:rPr>
                <w:noProof/>
                <w:webHidden/>
              </w:rPr>
              <w:instrText xml:space="preserve"> PAGEREF _Toc31715996 \h </w:instrText>
            </w:r>
            <w:r w:rsidR="00BD4DB7">
              <w:rPr>
                <w:noProof/>
                <w:webHidden/>
              </w:rPr>
            </w:r>
            <w:r w:rsidR="00BD4DB7">
              <w:rPr>
                <w:noProof/>
                <w:webHidden/>
              </w:rPr>
              <w:fldChar w:fldCharType="separate"/>
            </w:r>
            <w:r w:rsidR="00BD4DB7">
              <w:rPr>
                <w:noProof/>
                <w:webHidden/>
              </w:rPr>
              <w:t>138</w:t>
            </w:r>
            <w:r w:rsidR="00BD4DB7">
              <w:rPr>
                <w:noProof/>
                <w:webHidden/>
              </w:rPr>
              <w:fldChar w:fldCharType="end"/>
            </w:r>
          </w:hyperlink>
        </w:p>
        <w:p w14:paraId="2EA725C9" w14:textId="38C2940F"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97" w:history="1">
            <w:r w:rsidR="00BD4DB7" w:rsidRPr="0089237F">
              <w:rPr>
                <w:rStyle w:val="Hipervnculo"/>
                <w:noProof/>
              </w:rPr>
              <w:t>Artículo 1.6.5.6. Formas de ampliación de los Límites de Operación.</w:t>
            </w:r>
            <w:r w:rsidR="00BD4DB7">
              <w:rPr>
                <w:noProof/>
                <w:webHidden/>
              </w:rPr>
              <w:tab/>
            </w:r>
            <w:r w:rsidR="00BD4DB7">
              <w:rPr>
                <w:noProof/>
                <w:webHidden/>
              </w:rPr>
              <w:fldChar w:fldCharType="begin"/>
            </w:r>
            <w:r w:rsidR="00BD4DB7">
              <w:rPr>
                <w:noProof/>
                <w:webHidden/>
              </w:rPr>
              <w:instrText xml:space="preserve"> PAGEREF _Toc31715997 \h </w:instrText>
            </w:r>
            <w:r w:rsidR="00BD4DB7">
              <w:rPr>
                <w:noProof/>
                <w:webHidden/>
              </w:rPr>
            </w:r>
            <w:r w:rsidR="00BD4DB7">
              <w:rPr>
                <w:noProof/>
                <w:webHidden/>
              </w:rPr>
              <w:fldChar w:fldCharType="separate"/>
            </w:r>
            <w:r w:rsidR="00BD4DB7">
              <w:rPr>
                <w:noProof/>
                <w:webHidden/>
              </w:rPr>
              <w:t>140</w:t>
            </w:r>
            <w:r w:rsidR="00BD4DB7">
              <w:rPr>
                <w:noProof/>
                <w:webHidden/>
              </w:rPr>
              <w:fldChar w:fldCharType="end"/>
            </w:r>
          </w:hyperlink>
        </w:p>
        <w:p w14:paraId="5D615900" w14:textId="44DE7513"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98" w:history="1">
            <w:r w:rsidR="00BD4DB7" w:rsidRPr="0089237F">
              <w:rPr>
                <w:rStyle w:val="Hipervnculo"/>
                <w:noProof/>
              </w:rPr>
              <w:t>Artículo 1.6.5.7. Generalidades del Límite de Obligación Latente de Entrega – LOLE.</w:t>
            </w:r>
            <w:r w:rsidR="00BD4DB7">
              <w:rPr>
                <w:noProof/>
                <w:webHidden/>
              </w:rPr>
              <w:tab/>
            </w:r>
            <w:r w:rsidR="00BD4DB7">
              <w:rPr>
                <w:noProof/>
                <w:webHidden/>
              </w:rPr>
              <w:fldChar w:fldCharType="begin"/>
            </w:r>
            <w:r w:rsidR="00BD4DB7">
              <w:rPr>
                <w:noProof/>
                <w:webHidden/>
              </w:rPr>
              <w:instrText xml:space="preserve"> PAGEREF _Toc31715998 \h </w:instrText>
            </w:r>
            <w:r w:rsidR="00BD4DB7">
              <w:rPr>
                <w:noProof/>
                <w:webHidden/>
              </w:rPr>
            </w:r>
            <w:r w:rsidR="00BD4DB7">
              <w:rPr>
                <w:noProof/>
                <w:webHidden/>
              </w:rPr>
              <w:fldChar w:fldCharType="separate"/>
            </w:r>
            <w:r w:rsidR="00BD4DB7">
              <w:rPr>
                <w:noProof/>
                <w:webHidden/>
              </w:rPr>
              <w:t>140</w:t>
            </w:r>
            <w:r w:rsidR="00BD4DB7">
              <w:rPr>
                <w:noProof/>
                <w:webHidden/>
              </w:rPr>
              <w:fldChar w:fldCharType="end"/>
            </w:r>
          </w:hyperlink>
        </w:p>
        <w:p w14:paraId="7AA02BB0" w14:textId="12EA9163" w:rsidR="00BD4DB7" w:rsidRDefault="00682D97">
          <w:pPr>
            <w:pStyle w:val="TDC2"/>
            <w:rPr>
              <w:rFonts w:asciiTheme="minorHAnsi" w:eastAsiaTheme="minorEastAsia" w:hAnsiTheme="minorHAnsi" w:cstheme="minorBidi"/>
              <w:smallCaps w:val="0"/>
              <w:noProof/>
              <w:sz w:val="22"/>
              <w:szCs w:val="22"/>
              <w:lang w:val="es-CO" w:eastAsia="es-CO"/>
            </w:rPr>
          </w:pPr>
          <w:hyperlink w:anchor="_Toc31715999" w:history="1">
            <w:r w:rsidR="00BD4DB7" w:rsidRPr="0089237F">
              <w:rPr>
                <w:rStyle w:val="Hipervnculo"/>
                <w:noProof/>
              </w:rPr>
              <w:t>Artículo 1.6.5.8. Administración y consumo del Límite de Obligación Latente de Entrega LOLE.</w:t>
            </w:r>
            <w:r w:rsidR="00BD4DB7">
              <w:rPr>
                <w:noProof/>
                <w:webHidden/>
              </w:rPr>
              <w:tab/>
            </w:r>
            <w:r w:rsidR="00BD4DB7">
              <w:rPr>
                <w:noProof/>
                <w:webHidden/>
              </w:rPr>
              <w:fldChar w:fldCharType="begin"/>
            </w:r>
            <w:r w:rsidR="00BD4DB7">
              <w:rPr>
                <w:noProof/>
                <w:webHidden/>
              </w:rPr>
              <w:instrText xml:space="preserve"> PAGEREF _Toc31715999 \h </w:instrText>
            </w:r>
            <w:r w:rsidR="00BD4DB7">
              <w:rPr>
                <w:noProof/>
                <w:webHidden/>
              </w:rPr>
            </w:r>
            <w:r w:rsidR="00BD4DB7">
              <w:rPr>
                <w:noProof/>
                <w:webHidden/>
              </w:rPr>
              <w:fldChar w:fldCharType="separate"/>
            </w:r>
            <w:r w:rsidR="00BD4DB7">
              <w:rPr>
                <w:noProof/>
                <w:webHidden/>
              </w:rPr>
              <w:t>141</w:t>
            </w:r>
            <w:r w:rsidR="00BD4DB7">
              <w:rPr>
                <w:noProof/>
                <w:webHidden/>
              </w:rPr>
              <w:fldChar w:fldCharType="end"/>
            </w:r>
          </w:hyperlink>
        </w:p>
        <w:p w14:paraId="6DB90535" w14:textId="37B1EAAE"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00" w:history="1">
            <w:r w:rsidR="00BD4DB7" w:rsidRPr="0089237F">
              <w:rPr>
                <w:rStyle w:val="Hipervnculo"/>
                <w:noProof/>
              </w:rPr>
              <w:t>Artículo 1.6.5.9. Política de Administración del LOLE.</w:t>
            </w:r>
            <w:r w:rsidR="00BD4DB7">
              <w:rPr>
                <w:noProof/>
                <w:webHidden/>
              </w:rPr>
              <w:tab/>
            </w:r>
            <w:r w:rsidR="00BD4DB7">
              <w:rPr>
                <w:noProof/>
                <w:webHidden/>
              </w:rPr>
              <w:fldChar w:fldCharType="begin"/>
            </w:r>
            <w:r w:rsidR="00BD4DB7">
              <w:rPr>
                <w:noProof/>
                <w:webHidden/>
              </w:rPr>
              <w:instrText xml:space="preserve"> PAGEREF _Toc31716000 \h </w:instrText>
            </w:r>
            <w:r w:rsidR="00BD4DB7">
              <w:rPr>
                <w:noProof/>
                <w:webHidden/>
              </w:rPr>
            </w:r>
            <w:r w:rsidR="00BD4DB7">
              <w:rPr>
                <w:noProof/>
                <w:webHidden/>
              </w:rPr>
              <w:fldChar w:fldCharType="separate"/>
            </w:r>
            <w:r w:rsidR="00BD4DB7">
              <w:rPr>
                <w:noProof/>
                <w:webHidden/>
              </w:rPr>
              <w:t>142</w:t>
            </w:r>
            <w:r w:rsidR="00BD4DB7">
              <w:rPr>
                <w:noProof/>
                <w:webHidden/>
              </w:rPr>
              <w:fldChar w:fldCharType="end"/>
            </w:r>
          </w:hyperlink>
        </w:p>
        <w:p w14:paraId="6E09AF46" w14:textId="0A066DC6"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01" w:history="1">
            <w:r w:rsidR="00BD4DB7" w:rsidRPr="0089237F">
              <w:rPr>
                <w:rStyle w:val="Hipervnculo"/>
                <w:noProof/>
              </w:rPr>
              <w:t>TÍTULO SÉPTIMO</w:t>
            </w:r>
            <w:r w:rsidR="00BD4DB7">
              <w:rPr>
                <w:noProof/>
                <w:webHidden/>
              </w:rPr>
              <w:tab/>
            </w:r>
            <w:r w:rsidR="00BD4DB7">
              <w:rPr>
                <w:noProof/>
                <w:webHidden/>
              </w:rPr>
              <w:fldChar w:fldCharType="begin"/>
            </w:r>
            <w:r w:rsidR="00BD4DB7">
              <w:rPr>
                <w:noProof/>
                <w:webHidden/>
              </w:rPr>
              <w:instrText xml:space="preserve"> PAGEREF _Toc31716001 \h </w:instrText>
            </w:r>
            <w:r w:rsidR="00BD4DB7">
              <w:rPr>
                <w:noProof/>
                <w:webHidden/>
              </w:rPr>
            </w:r>
            <w:r w:rsidR="00BD4DB7">
              <w:rPr>
                <w:noProof/>
                <w:webHidden/>
              </w:rPr>
              <w:fldChar w:fldCharType="separate"/>
            </w:r>
            <w:r w:rsidR="00BD4DB7">
              <w:rPr>
                <w:noProof/>
                <w:webHidden/>
              </w:rPr>
              <w:t>142</w:t>
            </w:r>
            <w:r w:rsidR="00BD4DB7">
              <w:rPr>
                <w:noProof/>
                <w:webHidden/>
              </w:rPr>
              <w:fldChar w:fldCharType="end"/>
            </w:r>
          </w:hyperlink>
        </w:p>
        <w:p w14:paraId="0495F55D" w14:textId="0CF585EE"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02" w:history="1">
            <w:r w:rsidR="00BD4DB7" w:rsidRPr="0089237F">
              <w:rPr>
                <w:rStyle w:val="Hipervnculo"/>
                <w:noProof/>
              </w:rPr>
              <w:t>RETARDOS, INCUMPLIMIENTOS, SUSPENSIÓN Y EXCLUSIÓN, MEDIDAS PREVENTIVAS</w:t>
            </w:r>
            <w:r w:rsidR="00BD4DB7">
              <w:rPr>
                <w:noProof/>
                <w:webHidden/>
              </w:rPr>
              <w:tab/>
            </w:r>
            <w:r w:rsidR="00BD4DB7">
              <w:rPr>
                <w:noProof/>
                <w:webHidden/>
              </w:rPr>
              <w:fldChar w:fldCharType="begin"/>
            </w:r>
            <w:r w:rsidR="00BD4DB7">
              <w:rPr>
                <w:noProof/>
                <w:webHidden/>
              </w:rPr>
              <w:instrText xml:space="preserve"> PAGEREF _Toc31716002 \h </w:instrText>
            </w:r>
            <w:r w:rsidR="00BD4DB7">
              <w:rPr>
                <w:noProof/>
                <w:webHidden/>
              </w:rPr>
            </w:r>
            <w:r w:rsidR="00BD4DB7">
              <w:rPr>
                <w:noProof/>
                <w:webHidden/>
              </w:rPr>
              <w:fldChar w:fldCharType="separate"/>
            </w:r>
            <w:r w:rsidR="00BD4DB7">
              <w:rPr>
                <w:noProof/>
                <w:webHidden/>
              </w:rPr>
              <w:t>142</w:t>
            </w:r>
            <w:r w:rsidR="00BD4DB7">
              <w:rPr>
                <w:noProof/>
                <w:webHidden/>
              </w:rPr>
              <w:fldChar w:fldCharType="end"/>
            </w:r>
          </w:hyperlink>
        </w:p>
        <w:p w14:paraId="07F297AD" w14:textId="1AC08FBD"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03" w:history="1">
            <w:r w:rsidR="00BD4DB7" w:rsidRPr="0089237F">
              <w:rPr>
                <w:rStyle w:val="Hipervnculo"/>
                <w:noProof/>
              </w:rPr>
              <w:t>CAPÍTULO PRIMERO</w:t>
            </w:r>
            <w:r w:rsidR="00BD4DB7">
              <w:rPr>
                <w:noProof/>
                <w:webHidden/>
              </w:rPr>
              <w:tab/>
            </w:r>
            <w:r w:rsidR="00BD4DB7">
              <w:rPr>
                <w:noProof/>
                <w:webHidden/>
              </w:rPr>
              <w:fldChar w:fldCharType="begin"/>
            </w:r>
            <w:r w:rsidR="00BD4DB7">
              <w:rPr>
                <w:noProof/>
                <w:webHidden/>
              </w:rPr>
              <w:instrText xml:space="preserve"> PAGEREF _Toc31716003 \h </w:instrText>
            </w:r>
            <w:r w:rsidR="00BD4DB7">
              <w:rPr>
                <w:noProof/>
                <w:webHidden/>
              </w:rPr>
            </w:r>
            <w:r w:rsidR="00BD4DB7">
              <w:rPr>
                <w:noProof/>
                <w:webHidden/>
              </w:rPr>
              <w:fldChar w:fldCharType="separate"/>
            </w:r>
            <w:r w:rsidR="00BD4DB7">
              <w:rPr>
                <w:noProof/>
                <w:webHidden/>
              </w:rPr>
              <w:t>142</w:t>
            </w:r>
            <w:r w:rsidR="00BD4DB7">
              <w:rPr>
                <w:noProof/>
                <w:webHidden/>
              </w:rPr>
              <w:fldChar w:fldCharType="end"/>
            </w:r>
          </w:hyperlink>
        </w:p>
        <w:p w14:paraId="00B185BE" w14:textId="6DE96052"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04" w:history="1">
            <w:r w:rsidR="00BD4DB7" w:rsidRPr="0089237F">
              <w:rPr>
                <w:rStyle w:val="Hipervnculo"/>
                <w:noProof/>
              </w:rPr>
              <w:t>RETARDOS</w:t>
            </w:r>
            <w:r w:rsidR="00BD4DB7">
              <w:rPr>
                <w:noProof/>
                <w:webHidden/>
              </w:rPr>
              <w:tab/>
            </w:r>
            <w:r w:rsidR="00BD4DB7">
              <w:rPr>
                <w:noProof/>
                <w:webHidden/>
              </w:rPr>
              <w:fldChar w:fldCharType="begin"/>
            </w:r>
            <w:r w:rsidR="00BD4DB7">
              <w:rPr>
                <w:noProof/>
                <w:webHidden/>
              </w:rPr>
              <w:instrText xml:space="preserve"> PAGEREF _Toc31716004 \h </w:instrText>
            </w:r>
            <w:r w:rsidR="00BD4DB7">
              <w:rPr>
                <w:noProof/>
                <w:webHidden/>
              </w:rPr>
            </w:r>
            <w:r w:rsidR="00BD4DB7">
              <w:rPr>
                <w:noProof/>
                <w:webHidden/>
              </w:rPr>
              <w:fldChar w:fldCharType="separate"/>
            </w:r>
            <w:r w:rsidR="00BD4DB7">
              <w:rPr>
                <w:noProof/>
                <w:webHidden/>
              </w:rPr>
              <w:t>142</w:t>
            </w:r>
            <w:r w:rsidR="00BD4DB7">
              <w:rPr>
                <w:noProof/>
                <w:webHidden/>
              </w:rPr>
              <w:fldChar w:fldCharType="end"/>
            </w:r>
          </w:hyperlink>
        </w:p>
        <w:p w14:paraId="35647ED9" w14:textId="34400C11"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05" w:history="1">
            <w:r w:rsidR="00BD4DB7" w:rsidRPr="0089237F">
              <w:rPr>
                <w:rStyle w:val="Hipervnculo"/>
                <w:noProof/>
              </w:rPr>
              <w:t>Artículo 1.7.1.1. Eventos de Retardo.</w:t>
            </w:r>
            <w:r w:rsidR="00BD4DB7">
              <w:rPr>
                <w:noProof/>
                <w:webHidden/>
              </w:rPr>
              <w:tab/>
            </w:r>
            <w:r w:rsidR="00BD4DB7">
              <w:rPr>
                <w:noProof/>
                <w:webHidden/>
              </w:rPr>
              <w:fldChar w:fldCharType="begin"/>
            </w:r>
            <w:r w:rsidR="00BD4DB7">
              <w:rPr>
                <w:noProof/>
                <w:webHidden/>
              </w:rPr>
              <w:instrText xml:space="preserve"> PAGEREF _Toc31716005 \h </w:instrText>
            </w:r>
            <w:r w:rsidR="00BD4DB7">
              <w:rPr>
                <w:noProof/>
                <w:webHidden/>
              </w:rPr>
            </w:r>
            <w:r w:rsidR="00BD4DB7">
              <w:rPr>
                <w:noProof/>
                <w:webHidden/>
              </w:rPr>
              <w:fldChar w:fldCharType="separate"/>
            </w:r>
            <w:r w:rsidR="00BD4DB7">
              <w:rPr>
                <w:noProof/>
                <w:webHidden/>
              </w:rPr>
              <w:t>142</w:t>
            </w:r>
            <w:r w:rsidR="00BD4DB7">
              <w:rPr>
                <w:noProof/>
                <w:webHidden/>
              </w:rPr>
              <w:fldChar w:fldCharType="end"/>
            </w:r>
          </w:hyperlink>
        </w:p>
        <w:p w14:paraId="6B6326D8" w14:textId="378458B6"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06" w:history="1">
            <w:r w:rsidR="00BD4DB7" w:rsidRPr="0089237F">
              <w:rPr>
                <w:rStyle w:val="Hipervnculo"/>
                <w:noProof/>
              </w:rPr>
              <w:t>Artículo 1.7.1.2. Consecuencias pecuniarias por retardo en las liquidaciones.</w:t>
            </w:r>
            <w:r w:rsidR="00BD4DB7">
              <w:rPr>
                <w:noProof/>
                <w:webHidden/>
              </w:rPr>
              <w:tab/>
            </w:r>
            <w:r w:rsidR="00BD4DB7">
              <w:rPr>
                <w:noProof/>
                <w:webHidden/>
              </w:rPr>
              <w:fldChar w:fldCharType="begin"/>
            </w:r>
            <w:r w:rsidR="00BD4DB7">
              <w:rPr>
                <w:noProof/>
                <w:webHidden/>
              </w:rPr>
              <w:instrText xml:space="preserve"> PAGEREF _Toc31716006 \h </w:instrText>
            </w:r>
            <w:r w:rsidR="00BD4DB7">
              <w:rPr>
                <w:noProof/>
                <w:webHidden/>
              </w:rPr>
            </w:r>
            <w:r w:rsidR="00BD4DB7">
              <w:rPr>
                <w:noProof/>
                <w:webHidden/>
              </w:rPr>
              <w:fldChar w:fldCharType="separate"/>
            </w:r>
            <w:r w:rsidR="00BD4DB7">
              <w:rPr>
                <w:noProof/>
                <w:webHidden/>
              </w:rPr>
              <w:t>144</w:t>
            </w:r>
            <w:r w:rsidR="00BD4DB7">
              <w:rPr>
                <w:noProof/>
                <w:webHidden/>
              </w:rPr>
              <w:fldChar w:fldCharType="end"/>
            </w:r>
          </w:hyperlink>
        </w:p>
        <w:p w14:paraId="55D613DE" w14:textId="565AB642"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07" w:history="1">
            <w:r w:rsidR="00BD4DB7" w:rsidRPr="0089237F">
              <w:rPr>
                <w:rStyle w:val="Hipervnculo"/>
                <w:noProof/>
              </w:rPr>
              <w:t>Artículo 1.7.1.3. Procedimiento operativo para gestionar por la Cámara eventos de retardo de un Miembro Liquidador.</w:t>
            </w:r>
            <w:r w:rsidR="00BD4DB7">
              <w:rPr>
                <w:noProof/>
                <w:webHidden/>
              </w:rPr>
              <w:tab/>
            </w:r>
            <w:r w:rsidR="00BD4DB7">
              <w:rPr>
                <w:noProof/>
                <w:webHidden/>
              </w:rPr>
              <w:fldChar w:fldCharType="begin"/>
            </w:r>
            <w:r w:rsidR="00BD4DB7">
              <w:rPr>
                <w:noProof/>
                <w:webHidden/>
              </w:rPr>
              <w:instrText xml:space="preserve"> PAGEREF _Toc31716007 \h </w:instrText>
            </w:r>
            <w:r w:rsidR="00BD4DB7">
              <w:rPr>
                <w:noProof/>
                <w:webHidden/>
              </w:rPr>
            </w:r>
            <w:r w:rsidR="00BD4DB7">
              <w:rPr>
                <w:noProof/>
                <w:webHidden/>
              </w:rPr>
              <w:fldChar w:fldCharType="separate"/>
            </w:r>
            <w:r w:rsidR="00BD4DB7">
              <w:rPr>
                <w:noProof/>
                <w:webHidden/>
              </w:rPr>
              <w:t>144</w:t>
            </w:r>
            <w:r w:rsidR="00BD4DB7">
              <w:rPr>
                <w:noProof/>
                <w:webHidden/>
              </w:rPr>
              <w:fldChar w:fldCharType="end"/>
            </w:r>
          </w:hyperlink>
        </w:p>
        <w:p w14:paraId="10C51EF7" w14:textId="425D2972"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08" w:history="1">
            <w:r w:rsidR="00BD4DB7" w:rsidRPr="0089237F">
              <w:rPr>
                <w:rStyle w:val="Hipervnculo"/>
                <w:noProof/>
              </w:rPr>
              <w:t>CAPÍTULO SEGUNDO</w:t>
            </w:r>
            <w:r w:rsidR="00BD4DB7">
              <w:rPr>
                <w:noProof/>
                <w:webHidden/>
              </w:rPr>
              <w:tab/>
            </w:r>
            <w:r w:rsidR="00BD4DB7">
              <w:rPr>
                <w:noProof/>
                <w:webHidden/>
              </w:rPr>
              <w:fldChar w:fldCharType="begin"/>
            </w:r>
            <w:r w:rsidR="00BD4DB7">
              <w:rPr>
                <w:noProof/>
                <w:webHidden/>
              </w:rPr>
              <w:instrText xml:space="preserve"> PAGEREF _Toc31716008 \h </w:instrText>
            </w:r>
            <w:r w:rsidR="00BD4DB7">
              <w:rPr>
                <w:noProof/>
                <w:webHidden/>
              </w:rPr>
            </w:r>
            <w:r w:rsidR="00BD4DB7">
              <w:rPr>
                <w:noProof/>
                <w:webHidden/>
              </w:rPr>
              <w:fldChar w:fldCharType="separate"/>
            </w:r>
            <w:r w:rsidR="00BD4DB7">
              <w:rPr>
                <w:noProof/>
                <w:webHidden/>
              </w:rPr>
              <w:t>145</w:t>
            </w:r>
            <w:r w:rsidR="00BD4DB7">
              <w:rPr>
                <w:noProof/>
                <w:webHidden/>
              </w:rPr>
              <w:fldChar w:fldCharType="end"/>
            </w:r>
          </w:hyperlink>
        </w:p>
        <w:p w14:paraId="7541B21C" w14:textId="09AC2FB2"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09" w:history="1">
            <w:r w:rsidR="00BD4DB7" w:rsidRPr="0089237F">
              <w:rPr>
                <w:rStyle w:val="Hipervnculo"/>
                <w:noProof/>
              </w:rPr>
              <w:t>INCUMPLIMIENTOS</w:t>
            </w:r>
            <w:r w:rsidR="00BD4DB7">
              <w:rPr>
                <w:noProof/>
                <w:webHidden/>
              </w:rPr>
              <w:tab/>
            </w:r>
            <w:r w:rsidR="00BD4DB7">
              <w:rPr>
                <w:noProof/>
                <w:webHidden/>
              </w:rPr>
              <w:fldChar w:fldCharType="begin"/>
            </w:r>
            <w:r w:rsidR="00BD4DB7">
              <w:rPr>
                <w:noProof/>
                <w:webHidden/>
              </w:rPr>
              <w:instrText xml:space="preserve"> PAGEREF _Toc31716009 \h </w:instrText>
            </w:r>
            <w:r w:rsidR="00BD4DB7">
              <w:rPr>
                <w:noProof/>
                <w:webHidden/>
              </w:rPr>
            </w:r>
            <w:r w:rsidR="00BD4DB7">
              <w:rPr>
                <w:noProof/>
                <w:webHidden/>
              </w:rPr>
              <w:fldChar w:fldCharType="separate"/>
            </w:r>
            <w:r w:rsidR="00BD4DB7">
              <w:rPr>
                <w:noProof/>
                <w:webHidden/>
              </w:rPr>
              <w:t>145</w:t>
            </w:r>
            <w:r w:rsidR="00BD4DB7">
              <w:rPr>
                <w:noProof/>
                <w:webHidden/>
              </w:rPr>
              <w:fldChar w:fldCharType="end"/>
            </w:r>
          </w:hyperlink>
        </w:p>
        <w:p w14:paraId="745AC7D7" w14:textId="0967EBFE"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10" w:history="1">
            <w:r w:rsidR="00BD4DB7" w:rsidRPr="0089237F">
              <w:rPr>
                <w:rStyle w:val="Hipervnculo"/>
                <w:noProof/>
              </w:rPr>
              <w:t>Artículo 1.7.2.1. Procedimiento operativo para gestionar el incumplimiento por parte de un Tercero Identificado o Miembro no Liquidador.</w:t>
            </w:r>
            <w:r w:rsidR="00BD4DB7">
              <w:rPr>
                <w:noProof/>
                <w:webHidden/>
              </w:rPr>
              <w:tab/>
            </w:r>
            <w:r w:rsidR="00BD4DB7">
              <w:rPr>
                <w:noProof/>
                <w:webHidden/>
              </w:rPr>
              <w:fldChar w:fldCharType="begin"/>
            </w:r>
            <w:r w:rsidR="00BD4DB7">
              <w:rPr>
                <w:noProof/>
                <w:webHidden/>
              </w:rPr>
              <w:instrText xml:space="preserve"> PAGEREF _Toc31716010 \h </w:instrText>
            </w:r>
            <w:r w:rsidR="00BD4DB7">
              <w:rPr>
                <w:noProof/>
                <w:webHidden/>
              </w:rPr>
            </w:r>
            <w:r w:rsidR="00BD4DB7">
              <w:rPr>
                <w:noProof/>
                <w:webHidden/>
              </w:rPr>
              <w:fldChar w:fldCharType="separate"/>
            </w:r>
            <w:r w:rsidR="00BD4DB7">
              <w:rPr>
                <w:noProof/>
                <w:webHidden/>
              </w:rPr>
              <w:t>146</w:t>
            </w:r>
            <w:r w:rsidR="00BD4DB7">
              <w:rPr>
                <w:noProof/>
                <w:webHidden/>
              </w:rPr>
              <w:fldChar w:fldCharType="end"/>
            </w:r>
          </w:hyperlink>
        </w:p>
        <w:p w14:paraId="59B1840E" w14:textId="525B168E"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11" w:history="1">
            <w:r w:rsidR="00BD4DB7" w:rsidRPr="0089237F">
              <w:rPr>
                <w:rStyle w:val="Hipervnculo"/>
                <w:noProof/>
              </w:rPr>
              <w:t>Artículo 1.7.2.2. Procedimiento operativo para gestionar el Incumplimiento por parte de un Miembro Liquidador.</w:t>
            </w:r>
            <w:r w:rsidR="00BD4DB7">
              <w:rPr>
                <w:noProof/>
                <w:webHidden/>
              </w:rPr>
              <w:tab/>
            </w:r>
            <w:r w:rsidR="00BD4DB7">
              <w:rPr>
                <w:noProof/>
                <w:webHidden/>
              </w:rPr>
              <w:fldChar w:fldCharType="begin"/>
            </w:r>
            <w:r w:rsidR="00BD4DB7">
              <w:rPr>
                <w:noProof/>
                <w:webHidden/>
              </w:rPr>
              <w:instrText xml:space="preserve"> PAGEREF _Toc31716011 \h </w:instrText>
            </w:r>
            <w:r w:rsidR="00BD4DB7">
              <w:rPr>
                <w:noProof/>
                <w:webHidden/>
              </w:rPr>
            </w:r>
            <w:r w:rsidR="00BD4DB7">
              <w:rPr>
                <w:noProof/>
                <w:webHidden/>
              </w:rPr>
              <w:fldChar w:fldCharType="separate"/>
            </w:r>
            <w:r w:rsidR="00BD4DB7">
              <w:rPr>
                <w:noProof/>
                <w:webHidden/>
              </w:rPr>
              <w:t>146</w:t>
            </w:r>
            <w:r w:rsidR="00BD4DB7">
              <w:rPr>
                <w:noProof/>
                <w:webHidden/>
              </w:rPr>
              <w:fldChar w:fldCharType="end"/>
            </w:r>
          </w:hyperlink>
        </w:p>
        <w:p w14:paraId="0A23FE28" w14:textId="32722BEA"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12" w:history="1">
            <w:r w:rsidR="00BD4DB7" w:rsidRPr="0089237F">
              <w:rPr>
                <w:rStyle w:val="Hipervnculo"/>
                <w:noProof/>
              </w:rPr>
              <w:t>Artículo 1.7.2.3. Consecuencias pecuniarias por la no entrega del Activo que corresponda, cuando la operación deba ser cumplida mediante la entrega del mismo.</w:t>
            </w:r>
            <w:r w:rsidR="00BD4DB7">
              <w:rPr>
                <w:noProof/>
                <w:webHidden/>
              </w:rPr>
              <w:tab/>
            </w:r>
            <w:r w:rsidR="00BD4DB7">
              <w:rPr>
                <w:noProof/>
                <w:webHidden/>
              </w:rPr>
              <w:fldChar w:fldCharType="begin"/>
            </w:r>
            <w:r w:rsidR="00BD4DB7">
              <w:rPr>
                <w:noProof/>
                <w:webHidden/>
              </w:rPr>
              <w:instrText xml:space="preserve"> PAGEREF _Toc31716012 \h </w:instrText>
            </w:r>
            <w:r w:rsidR="00BD4DB7">
              <w:rPr>
                <w:noProof/>
                <w:webHidden/>
              </w:rPr>
            </w:r>
            <w:r w:rsidR="00BD4DB7">
              <w:rPr>
                <w:noProof/>
                <w:webHidden/>
              </w:rPr>
              <w:fldChar w:fldCharType="separate"/>
            </w:r>
            <w:r w:rsidR="00BD4DB7">
              <w:rPr>
                <w:noProof/>
                <w:webHidden/>
              </w:rPr>
              <w:t>150</w:t>
            </w:r>
            <w:r w:rsidR="00BD4DB7">
              <w:rPr>
                <w:noProof/>
                <w:webHidden/>
              </w:rPr>
              <w:fldChar w:fldCharType="end"/>
            </w:r>
          </w:hyperlink>
        </w:p>
        <w:p w14:paraId="21D9FBAE" w14:textId="7753B9AF"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13" w:history="1">
            <w:r w:rsidR="00BD4DB7" w:rsidRPr="0089237F">
              <w:rPr>
                <w:rStyle w:val="Hipervnculo"/>
                <w:noProof/>
              </w:rPr>
              <w:t>Artículo 1.7.2.4. Procedimiento para cerrar posiciones en el mercado en caso de Incumplimiento del Miembro Liquidador.</w:t>
            </w:r>
            <w:r w:rsidR="00BD4DB7">
              <w:rPr>
                <w:noProof/>
                <w:webHidden/>
              </w:rPr>
              <w:tab/>
            </w:r>
            <w:r w:rsidR="00BD4DB7">
              <w:rPr>
                <w:noProof/>
                <w:webHidden/>
              </w:rPr>
              <w:fldChar w:fldCharType="begin"/>
            </w:r>
            <w:r w:rsidR="00BD4DB7">
              <w:rPr>
                <w:noProof/>
                <w:webHidden/>
              </w:rPr>
              <w:instrText xml:space="preserve"> PAGEREF _Toc31716013 \h </w:instrText>
            </w:r>
            <w:r w:rsidR="00BD4DB7">
              <w:rPr>
                <w:noProof/>
                <w:webHidden/>
              </w:rPr>
            </w:r>
            <w:r w:rsidR="00BD4DB7">
              <w:rPr>
                <w:noProof/>
                <w:webHidden/>
              </w:rPr>
              <w:fldChar w:fldCharType="separate"/>
            </w:r>
            <w:r w:rsidR="00BD4DB7">
              <w:rPr>
                <w:noProof/>
                <w:webHidden/>
              </w:rPr>
              <w:t>151</w:t>
            </w:r>
            <w:r w:rsidR="00BD4DB7">
              <w:rPr>
                <w:noProof/>
                <w:webHidden/>
              </w:rPr>
              <w:fldChar w:fldCharType="end"/>
            </w:r>
          </w:hyperlink>
        </w:p>
        <w:p w14:paraId="42991010" w14:textId="2A845837"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14" w:history="1">
            <w:r w:rsidR="00BD4DB7" w:rsidRPr="0089237F">
              <w:rPr>
                <w:rStyle w:val="Hipervnculo"/>
                <w:noProof/>
              </w:rPr>
              <w:t>Artículo 1.7.2.5. Procedimiento para el cierre de Posiciones Abiertas mediante subasta de acuerdo con el literal a. del numeral 3 del artículo 1.7.2.4.</w:t>
            </w:r>
            <w:r w:rsidR="00BD4DB7">
              <w:rPr>
                <w:noProof/>
                <w:webHidden/>
              </w:rPr>
              <w:tab/>
            </w:r>
            <w:r w:rsidR="00BD4DB7">
              <w:rPr>
                <w:noProof/>
                <w:webHidden/>
              </w:rPr>
              <w:fldChar w:fldCharType="begin"/>
            </w:r>
            <w:r w:rsidR="00BD4DB7">
              <w:rPr>
                <w:noProof/>
                <w:webHidden/>
              </w:rPr>
              <w:instrText xml:space="preserve"> PAGEREF _Toc31716014 \h </w:instrText>
            </w:r>
            <w:r w:rsidR="00BD4DB7">
              <w:rPr>
                <w:noProof/>
                <w:webHidden/>
              </w:rPr>
            </w:r>
            <w:r w:rsidR="00BD4DB7">
              <w:rPr>
                <w:noProof/>
                <w:webHidden/>
              </w:rPr>
              <w:fldChar w:fldCharType="separate"/>
            </w:r>
            <w:r w:rsidR="00BD4DB7">
              <w:rPr>
                <w:noProof/>
                <w:webHidden/>
              </w:rPr>
              <w:t>152</w:t>
            </w:r>
            <w:r w:rsidR="00BD4DB7">
              <w:rPr>
                <w:noProof/>
                <w:webHidden/>
              </w:rPr>
              <w:fldChar w:fldCharType="end"/>
            </w:r>
          </w:hyperlink>
        </w:p>
        <w:p w14:paraId="050A0517" w14:textId="724D0354"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15" w:history="1">
            <w:r w:rsidR="00BD4DB7" w:rsidRPr="0089237F">
              <w:rPr>
                <w:rStyle w:val="Hipervnculo"/>
                <w:noProof/>
              </w:rPr>
              <w:t>Artículo 1.7.2.6. Procedimiento para el cierre de Posiciones Abiertas mediante el registro de acuerdo con el literal b. del numeral 3 del artículo 1.7.2.4.</w:t>
            </w:r>
            <w:r w:rsidR="00BD4DB7">
              <w:rPr>
                <w:noProof/>
                <w:webHidden/>
              </w:rPr>
              <w:tab/>
            </w:r>
            <w:r w:rsidR="00BD4DB7">
              <w:rPr>
                <w:noProof/>
                <w:webHidden/>
              </w:rPr>
              <w:fldChar w:fldCharType="begin"/>
            </w:r>
            <w:r w:rsidR="00BD4DB7">
              <w:rPr>
                <w:noProof/>
                <w:webHidden/>
              </w:rPr>
              <w:instrText xml:space="preserve"> PAGEREF _Toc31716015 \h </w:instrText>
            </w:r>
            <w:r w:rsidR="00BD4DB7">
              <w:rPr>
                <w:noProof/>
                <w:webHidden/>
              </w:rPr>
            </w:r>
            <w:r w:rsidR="00BD4DB7">
              <w:rPr>
                <w:noProof/>
                <w:webHidden/>
              </w:rPr>
              <w:fldChar w:fldCharType="separate"/>
            </w:r>
            <w:r w:rsidR="00BD4DB7">
              <w:rPr>
                <w:noProof/>
                <w:webHidden/>
              </w:rPr>
              <w:t>153</w:t>
            </w:r>
            <w:r w:rsidR="00BD4DB7">
              <w:rPr>
                <w:noProof/>
                <w:webHidden/>
              </w:rPr>
              <w:fldChar w:fldCharType="end"/>
            </w:r>
          </w:hyperlink>
        </w:p>
        <w:p w14:paraId="6C71FD93" w14:textId="3FC365ED"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16" w:history="1">
            <w:r w:rsidR="00BD4DB7" w:rsidRPr="0089237F">
              <w:rPr>
                <w:rStyle w:val="Hipervnculo"/>
                <w:noProof/>
              </w:rPr>
              <w:t>Artículo 1.7.2.7. Procedimiento para el cierre de Posiciones Abiertas mediante el registro de acuerdo con lo establecido en el literal c. del numeral 3 del artículo 1.7.2.4.</w:t>
            </w:r>
            <w:r w:rsidR="00BD4DB7">
              <w:rPr>
                <w:noProof/>
                <w:webHidden/>
              </w:rPr>
              <w:tab/>
            </w:r>
            <w:r w:rsidR="00BD4DB7">
              <w:rPr>
                <w:noProof/>
                <w:webHidden/>
              </w:rPr>
              <w:fldChar w:fldCharType="begin"/>
            </w:r>
            <w:r w:rsidR="00BD4DB7">
              <w:rPr>
                <w:noProof/>
                <w:webHidden/>
              </w:rPr>
              <w:instrText xml:space="preserve"> PAGEREF _Toc31716016 \h </w:instrText>
            </w:r>
            <w:r w:rsidR="00BD4DB7">
              <w:rPr>
                <w:noProof/>
                <w:webHidden/>
              </w:rPr>
            </w:r>
            <w:r w:rsidR="00BD4DB7">
              <w:rPr>
                <w:noProof/>
                <w:webHidden/>
              </w:rPr>
              <w:fldChar w:fldCharType="separate"/>
            </w:r>
            <w:r w:rsidR="00BD4DB7">
              <w:rPr>
                <w:noProof/>
                <w:webHidden/>
              </w:rPr>
              <w:t>153</w:t>
            </w:r>
            <w:r w:rsidR="00BD4DB7">
              <w:rPr>
                <w:noProof/>
                <w:webHidden/>
              </w:rPr>
              <w:fldChar w:fldCharType="end"/>
            </w:r>
          </w:hyperlink>
        </w:p>
        <w:p w14:paraId="6C19CF69" w14:textId="6E47DC87"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17" w:history="1">
            <w:r w:rsidR="00BD4DB7" w:rsidRPr="0089237F">
              <w:rPr>
                <w:rStyle w:val="Hipervnculo"/>
                <w:noProof/>
              </w:rPr>
              <w:t>Artículo 1.7.2.8. Procedimiento para la ejecución de Garantías constituidas en efectivo en caso de incumplimiento.</w:t>
            </w:r>
            <w:r w:rsidR="00BD4DB7">
              <w:rPr>
                <w:noProof/>
                <w:webHidden/>
              </w:rPr>
              <w:tab/>
            </w:r>
            <w:r w:rsidR="00BD4DB7">
              <w:rPr>
                <w:noProof/>
                <w:webHidden/>
              </w:rPr>
              <w:fldChar w:fldCharType="begin"/>
            </w:r>
            <w:r w:rsidR="00BD4DB7">
              <w:rPr>
                <w:noProof/>
                <w:webHidden/>
              </w:rPr>
              <w:instrText xml:space="preserve"> PAGEREF _Toc31716017 \h </w:instrText>
            </w:r>
            <w:r w:rsidR="00BD4DB7">
              <w:rPr>
                <w:noProof/>
                <w:webHidden/>
              </w:rPr>
            </w:r>
            <w:r w:rsidR="00BD4DB7">
              <w:rPr>
                <w:noProof/>
                <w:webHidden/>
              </w:rPr>
              <w:fldChar w:fldCharType="separate"/>
            </w:r>
            <w:r w:rsidR="00BD4DB7">
              <w:rPr>
                <w:noProof/>
                <w:webHidden/>
              </w:rPr>
              <w:t>154</w:t>
            </w:r>
            <w:r w:rsidR="00BD4DB7">
              <w:rPr>
                <w:noProof/>
                <w:webHidden/>
              </w:rPr>
              <w:fldChar w:fldCharType="end"/>
            </w:r>
          </w:hyperlink>
        </w:p>
        <w:p w14:paraId="3536D546" w14:textId="01BE3EEA"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18" w:history="1">
            <w:r w:rsidR="00BD4DB7" w:rsidRPr="0089237F">
              <w:rPr>
                <w:rStyle w:val="Hipervnculo"/>
                <w:noProof/>
              </w:rPr>
              <w:t>Artículo 1.7.2.9. Transferencia de Garantías en valores depositados en DCV o Deceval a las cuentas de la Cámara.</w:t>
            </w:r>
            <w:r w:rsidR="00BD4DB7">
              <w:rPr>
                <w:noProof/>
                <w:webHidden/>
              </w:rPr>
              <w:tab/>
            </w:r>
            <w:r w:rsidR="00BD4DB7">
              <w:rPr>
                <w:noProof/>
                <w:webHidden/>
              </w:rPr>
              <w:fldChar w:fldCharType="begin"/>
            </w:r>
            <w:r w:rsidR="00BD4DB7">
              <w:rPr>
                <w:noProof/>
                <w:webHidden/>
              </w:rPr>
              <w:instrText xml:space="preserve"> PAGEREF _Toc31716018 \h </w:instrText>
            </w:r>
            <w:r w:rsidR="00BD4DB7">
              <w:rPr>
                <w:noProof/>
                <w:webHidden/>
              </w:rPr>
            </w:r>
            <w:r w:rsidR="00BD4DB7">
              <w:rPr>
                <w:noProof/>
                <w:webHidden/>
              </w:rPr>
              <w:fldChar w:fldCharType="separate"/>
            </w:r>
            <w:r w:rsidR="00BD4DB7">
              <w:rPr>
                <w:noProof/>
                <w:webHidden/>
              </w:rPr>
              <w:t>154</w:t>
            </w:r>
            <w:r w:rsidR="00BD4DB7">
              <w:rPr>
                <w:noProof/>
                <w:webHidden/>
              </w:rPr>
              <w:fldChar w:fldCharType="end"/>
            </w:r>
          </w:hyperlink>
        </w:p>
        <w:p w14:paraId="13A0A816" w14:textId="0E6F84EC"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19" w:history="1">
            <w:r w:rsidR="00BD4DB7" w:rsidRPr="0089237F">
              <w:rPr>
                <w:rStyle w:val="Hipervnculo"/>
                <w:noProof/>
              </w:rPr>
              <w:t>Artículo 1.7.2.10. Orden para la ejecución de Garantías y otros recursos en eventos de Incumplimiento.</w:t>
            </w:r>
            <w:r w:rsidR="00BD4DB7">
              <w:rPr>
                <w:noProof/>
                <w:webHidden/>
              </w:rPr>
              <w:tab/>
            </w:r>
            <w:r w:rsidR="00BD4DB7">
              <w:rPr>
                <w:noProof/>
                <w:webHidden/>
              </w:rPr>
              <w:fldChar w:fldCharType="begin"/>
            </w:r>
            <w:r w:rsidR="00BD4DB7">
              <w:rPr>
                <w:noProof/>
                <w:webHidden/>
              </w:rPr>
              <w:instrText xml:space="preserve"> PAGEREF _Toc31716019 \h </w:instrText>
            </w:r>
            <w:r w:rsidR="00BD4DB7">
              <w:rPr>
                <w:noProof/>
                <w:webHidden/>
              </w:rPr>
            </w:r>
            <w:r w:rsidR="00BD4DB7">
              <w:rPr>
                <w:noProof/>
                <w:webHidden/>
              </w:rPr>
              <w:fldChar w:fldCharType="separate"/>
            </w:r>
            <w:r w:rsidR="00BD4DB7">
              <w:rPr>
                <w:noProof/>
                <w:webHidden/>
              </w:rPr>
              <w:t>155</w:t>
            </w:r>
            <w:r w:rsidR="00BD4DB7">
              <w:rPr>
                <w:noProof/>
                <w:webHidden/>
              </w:rPr>
              <w:fldChar w:fldCharType="end"/>
            </w:r>
          </w:hyperlink>
        </w:p>
        <w:p w14:paraId="155D1CAD" w14:textId="7E411A28"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20" w:history="1">
            <w:r w:rsidR="00BD4DB7" w:rsidRPr="0089237F">
              <w:rPr>
                <w:rStyle w:val="Hipervnculo"/>
                <w:noProof/>
              </w:rPr>
              <w:t>Artículo 1.7.2.11. Otras medidas para la protección de los Terceros y Miembros No Liquidadores ante el incumplimiento del Miembro Liquidador.</w:t>
            </w:r>
            <w:r w:rsidR="00BD4DB7">
              <w:rPr>
                <w:noProof/>
                <w:webHidden/>
              </w:rPr>
              <w:tab/>
            </w:r>
            <w:r w:rsidR="00BD4DB7">
              <w:rPr>
                <w:noProof/>
                <w:webHidden/>
              </w:rPr>
              <w:fldChar w:fldCharType="begin"/>
            </w:r>
            <w:r w:rsidR="00BD4DB7">
              <w:rPr>
                <w:noProof/>
                <w:webHidden/>
              </w:rPr>
              <w:instrText xml:space="preserve"> PAGEREF _Toc31716020 \h </w:instrText>
            </w:r>
            <w:r w:rsidR="00BD4DB7">
              <w:rPr>
                <w:noProof/>
                <w:webHidden/>
              </w:rPr>
            </w:r>
            <w:r w:rsidR="00BD4DB7">
              <w:rPr>
                <w:noProof/>
                <w:webHidden/>
              </w:rPr>
              <w:fldChar w:fldCharType="separate"/>
            </w:r>
            <w:r w:rsidR="00BD4DB7">
              <w:rPr>
                <w:noProof/>
                <w:webHidden/>
              </w:rPr>
              <w:t>158</w:t>
            </w:r>
            <w:r w:rsidR="00BD4DB7">
              <w:rPr>
                <w:noProof/>
                <w:webHidden/>
              </w:rPr>
              <w:fldChar w:fldCharType="end"/>
            </w:r>
          </w:hyperlink>
        </w:p>
        <w:p w14:paraId="3021D3AB" w14:textId="16CFAE98"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21" w:history="1">
            <w:r w:rsidR="00BD4DB7" w:rsidRPr="0089237F">
              <w:rPr>
                <w:rStyle w:val="Hipervnculo"/>
                <w:rFonts w:eastAsia="Calibri"/>
                <w:noProof/>
              </w:rPr>
              <w:t>Artículo 1.7.2.12. Comité de Gestión de Incumplimiento</w:t>
            </w:r>
            <w:r w:rsidR="00BD4DB7">
              <w:rPr>
                <w:noProof/>
                <w:webHidden/>
              </w:rPr>
              <w:tab/>
            </w:r>
            <w:r w:rsidR="00BD4DB7">
              <w:rPr>
                <w:noProof/>
                <w:webHidden/>
              </w:rPr>
              <w:fldChar w:fldCharType="begin"/>
            </w:r>
            <w:r w:rsidR="00BD4DB7">
              <w:rPr>
                <w:noProof/>
                <w:webHidden/>
              </w:rPr>
              <w:instrText xml:space="preserve"> PAGEREF _Toc31716021 \h </w:instrText>
            </w:r>
            <w:r w:rsidR="00BD4DB7">
              <w:rPr>
                <w:noProof/>
                <w:webHidden/>
              </w:rPr>
            </w:r>
            <w:r w:rsidR="00BD4DB7">
              <w:rPr>
                <w:noProof/>
                <w:webHidden/>
              </w:rPr>
              <w:fldChar w:fldCharType="separate"/>
            </w:r>
            <w:r w:rsidR="00BD4DB7">
              <w:rPr>
                <w:noProof/>
                <w:webHidden/>
              </w:rPr>
              <w:t>159</w:t>
            </w:r>
            <w:r w:rsidR="00BD4DB7">
              <w:rPr>
                <w:noProof/>
                <w:webHidden/>
              </w:rPr>
              <w:fldChar w:fldCharType="end"/>
            </w:r>
          </w:hyperlink>
        </w:p>
        <w:p w14:paraId="1CC21127" w14:textId="04DBE0FF"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22" w:history="1">
            <w:r w:rsidR="00BD4DB7" w:rsidRPr="0089237F">
              <w:rPr>
                <w:rStyle w:val="Hipervnculo"/>
                <w:noProof/>
              </w:rPr>
              <w:t>CAPITULO TERCERO</w:t>
            </w:r>
            <w:r w:rsidR="00BD4DB7">
              <w:rPr>
                <w:noProof/>
                <w:webHidden/>
              </w:rPr>
              <w:tab/>
            </w:r>
            <w:r w:rsidR="00BD4DB7">
              <w:rPr>
                <w:noProof/>
                <w:webHidden/>
              </w:rPr>
              <w:fldChar w:fldCharType="begin"/>
            </w:r>
            <w:r w:rsidR="00BD4DB7">
              <w:rPr>
                <w:noProof/>
                <w:webHidden/>
              </w:rPr>
              <w:instrText xml:space="preserve"> PAGEREF _Toc31716022 \h </w:instrText>
            </w:r>
            <w:r w:rsidR="00BD4DB7">
              <w:rPr>
                <w:noProof/>
                <w:webHidden/>
              </w:rPr>
            </w:r>
            <w:r w:rsidR="00BD4DB7">
              <w:rPr>
                <w:noProof/>
                <w:webHidden/>
              </w:rPr>
              <w:fldChar w:fldCharType="separate"/>
            </w:r>
            <w:r w:rsidR="00BD4DB7">
              <w:rPr>
                <w:noProof/>
                <w:webHidden/>
              </w:rPr>
              <w:t>159</w:t>
            </w:r>
            <w:r w:rsidR="00BD4DB7">
              <w:rPr>
                <w:noProof/>
                <w:webHidden/>
              </w:rPr>
              <w:fldChar w:fldCharType="end"/>
            </w:r>
          </w:hyperlink>
        </w:p>
        <w:p w14:paraId="5C18CA53" w14:textId="2EBA81C2"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23" w:history="1">
            <w:r w:rsidR="00BD4DB7" w:rsidRPr="0089237F">
              <w:rPr>
                <w:rStyle w:val="Hipervnculo"/>
                <w:noProof/>
              </w:rPr>
              <w:t>SUSPENSIÓN Y EXCLUSIÓN</w:t>
            </w:r>
            <w:r w:rsidR="00BD4DB7">
              <w:rPr>
                <w:noProof/>
                <w:webHidden/>
              </w:rPr>
              <w:tab/>
            </w:r>
            <w:r w:rsidR="00BD4DB7">
              <w:rPr>
                <w:noProof/>
                <w:webHidden/>
              </w:rPr>
              <w:fldChar w:fldCharType="begin"/>
            </w:r>
            <w:r w:rsidR="00BD4DB7">
              <w:rPr>
                <w:noProof/>
                <w:webHidden/>
              </w:rPr>
              <w:instrText xml:space="preserve"> PAGEREF _Toc31716023 \h </w:instrText>
            </w:r>
            <w:r w:rsidR="00BD4DB7">
              <w:rPr>
                <w:noProof/>
                <w:webHidden/>
              </w:rPr>
            </w:r>
            <w:r w:rsidR="00BD4DB7">
              <w:rPr>
                <w:noProof/>
                <w:webHidden/>
              </w:rPr>
              <w:fldChar w:fldCharType="separate"/>
            </w:r>
            <w:r w:rsidR="00BD4DB7">
              <w:rPr>
                <w:noProof/>
                <w:webHidden/>
              </w:rPr>
              <w:t>159</w:t>
            </w:r>
            <w:r w:rsidR="00BD4DB7">
              <w:rPr>
                <w:noProof/>
                <w:webHidden/>
              </w:rPr>
              <w:fldChar w:fldCharType="end"/>
            </w:r>
          </w:hyperlink>
        </w:p>
        <w:p w14:paraId="3E16C518" w14:textId="38400EFC"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24" w:history="1">
            <w:r w:rsidR="00BD4DB7" w:rsidRPr="0089237F">
              <w:rPr>
                <w:rStyle w:val="Hipervnculo"/>
                <w:noProof/>
              </w:rPr>
              <w:t>Artículo 1.7.3.1. Suspensión de Funciones.</w:t>
            </w:r>
            <w:r w:rsidR="00BD4DB7">
              <w:rPr>
                <w:noProof/>
                <w:webHidden/>
              </w:rPr>
              <w:tab/>
            </w:r>
            <w:r w:rsidR="00BD4DB7">
              <w:rPr>
                <w:noProof/>
                <w:webHidden/>
              </w:rPr>
              <w:fldChar w:fldCharType="begin"/>
            </w:r>
            <w:r w:rsidR="00BD4DB7">
              <w:rPr>
                <w:noProof/>
                <w:webHidden/>
              </w:rPr>
              <w:instrText xml:space="preserve"> PAGEREF _Toc31716024 \h </w:instrText>
            </w:r>
            <w:r w:rsidR="00BD4DB7">
              <w:rPr>
                <w:noProof/>
                <w:webHidden/>
              </w:rPr>
            </w:r>
            <w:r w:rsidR="00BD4DB7">
              <w:rPr>
                <w:noProof/>
                <w:webHidden/>
              </w:rPr>
              <w:fldChar w:fldCharType="separate"/>
            </w:r>
            <w:r w:rsidR="00BD4DB7">
              <w:rPr>
                <w:noProof/>
                <w:webHidden/>
              </w:rPr>
              <w:t>159</w:t>
            </w:r>
            <w:r w:rsidR="00BD4DB7">
              <w:rPr>
                <w:noProof/>
                <w:webHidden/>
              </w:rPr>
              <w:fldChar w:fldCharType="end"/>
            </w:r>
          </w:hyperlink>
        </w:p>
        <w:p w14:paraId="0A93F5A0" w14:textId="6BBC1D61"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25" w:history="1">
            <w:r w:rsidR="00BD4DB7" w:rsidRPr="0089237F">
              <w:rPr>
                <w:rStyle w:val="Hipervnculo"/>
                <w:noProof/>
              </w:rPr>
              <w:t>Artículo 1.7.3.2. Exclusión por decisión de la Cámara.</w:t>
            </w:r>
            <w:r w:rsidR="00BD4DB7">
              <w:rPr>
                <w:noProof/>
                <w:webHidden/>
              </w:rPr>
              <w:tab/>
            </w:r>
            <w:r w:rsidR="00BD4DB7">
              <w:rPr>
                <w:noProof/>
                <w:webHidden/>
              </w:rPr>
              <w:fldChar w:fldCharType="begin"/>
            </w:r>
            <w:r w:rsidR="00BD4DB7">
              <w:rPr>
                <w:noProof/>
                <w:webHidden/>
              </w:rPr>
              <w:instrText xml:space="preserve"> PAGEREF _Toc31716025 \h </w:instrText>
            </w:r>
            <w:r w:rsidR="00BD4DB7">
              <w:rPr>
                <w:noProof/>
                <w:webHidden/>
              </w:rPr>
            </w:r>
            <w:r w:rsidR="00BD4DB7">
              <w:rPr>
                <w:noProof/>
                <w:webHidden/>
              </w:rPr>
              <w:fldChar w:fldCharType="separate"/>
            </w:r>
            <w:r w:rsidR="00BD4DB7">
              <w:rPr>
                <w:noProof/>
                <w:webHidden/>
              </w:rPr>
              <w:t>160</w:t>
            </w:r>
            <w:r w:rsidR="00BD4DB7">
              <w:rPr>
                <w:noProof/>
                <w:webHidden/>
              </w:rPr>
              <w:fldChar w:fldCharType="end"/>
            </w:r>
          </w:hyperlink>
        </w:p>
        <w:p w14:paraId="6942AEAC" w14:textId="2DC1EF10"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26" w:history="1">
            <w:r w:rsidR="00BD4DB7" w:rsidRPr="0089237F">
              <w:rPr>
                <w:rStyle w:val="Hipervnculo"/>
                <w:noProof/>
              </w:rPr>
              <w:t>CAPÍTULO CUARTO</w:t>
            </w:r>
            <w:r w:rsidR="00BD4DB7">
              <w:rPr>
                <w:noProof/>
                <w:webHidden/>
              </w:rPr>
              <w:tab/>
            </w:r>
            <w:r w:rsidR="00BD4DB7">
              <w:rPr>
                <w:noProof/>
                <w:webHidden/>
              </w:rPr>
              <w:fldChar w:fldCharType="begin"/>
            </w:r>
            <w:r w:rsidR="00BD4DB7">
              <w:rPr>
                <w:noProof/>
                <w:webHidden/>
              </w:rPr>
              <w:instrText xml:space="preserve"> PAGEREF _Toc31716026 \h </w:instrText>
            </w:r>
            <w:r w:rsidR="00BD4DB7">
              <w:rPr>
                <w:noProof/>
                <w:webHidden/>
              </w:rPr>
            </w:r>
            <w:r w:rsidR="00BD4DB7">
              <w:rPr>
                <w:noProof/>
                <w:webHidden/>
              </w:rPr>
              <w:fldChar w:fldCharType="separate"/>
            </w:r>
            <w:r w:rsidR="00BD4DB7">
              <w:rPr>
                <w:noProof/>
                <w:webHidden/>
              </w:rPr>
              <w:t>160</w:t>
            </w:r>
            <w:r w:rsidR="00BD4DB7">
              <w:rPr>
                <w:noProof/>
                <w:webHidden/>
              </w:rPr>
              <w:fldChar w:fldCharType="end"/>
            </w:r>
          </w:hyperlink>
        </w:p>
        <w:p w14:paraId="3E33FB7D" w14:textId="73700352"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27" w:history="1">
            <w:r w:rsidR="00BD4DB7" w:rsidRPr="0089237F">
              <w:rPr>
                <w:rStyle w:val="Hipervnculo"/>
                <w:noProof/>
              </w:rPr>
              <w:t>MEDIDAS PREVENTIVAS</w:t>
            </w:r>
            <w:r w:rsidR="00BD4DB7">
              <w:rPr>
                <w:noProof/>
                <w:webHidden/>
              </w:rPr>
              <w:tab/>
            </w:r>
            <w:r w:rsidR="00BD4DB7">
              <w:rPr>
                <w:noProof/>
                <w:webHidden/>
              </w:rPr>
              <w:fldChar w:fldCharType="begin"/>
            </w:r>
            <w:r w:rsidR="00BD4DB7">
              <w:rPr>
                <w:noProof/>
                <w:webHidden/>
              </w:rPr>
              <w:instrText xml:space="preserve"> PAGEREF _Toc31716027 \h </w:instrText>
            </w:r>
            <w:r w:rsidR="00BD4DB7">
              <w:rPr>
                <w:noProof/>
                <w:webHidden/>
              </w:rPr>
            </w:r>
            <w:r w:rsidR="00BD4DB7">
              <w:rPr>
                <w:noProof/>
                <w:webHidden/>
              </w:rPr>
              <w:fldChar w:fldCharType="separate"/>
            </w:r>
            <w:r w:rsidR="00BD4DB7">
              <w:rPr>
                <w:noProof/>
                <w:webHidden/>
              </w:rPr>
              <w:t>160</w:t>
            </w:r>
            <w:r w:rsidR="00BD4DB7">
              <w:rPr>
                <w:noProof/>
                <w:webHidden/>
              </w:rPr>
              <w:fldChar w:fldCharType="end"/>
            </w:r>
          </w:hyperlink>
        </w:p>
        <w:p w14:paraId="6B43BFAD" w14:textId="6EB1F9BD"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28" w:history="1">
            <w:r w:rsidR="00BD4DB7" w:rsidRPr="0089237F">
              <w:rPr>
                <w:rStyle w:val="Hipervnculo"/>
                <w:noProof/>
              </w:rPr>
              <w:t>Artículo 1.7.4.1. Medidas Preventivas.</w:t>
            </w:r>
            <w:r w:rsidR="00BD4DB7">
              <w:rPr>
                <w:noProof/>
                <w:webHidden/>
              </w:rPr>
              <w:tab/>
            </w:r>
            <w:r w:rsidR="00BD4DB7">
              <w:rPr>
                <w:noProof/>
                <w:webHidden/>
              </w:rPr>
              <w:fldChar w:fldCharType="begin"/>
            </w:r>
            <w:r w:rsidR="00BD4DB7">
              <w:rPr>
                <w:noProof/>
                <w:webHidden/>
              </w:rPr>
              <w:instrText xml:space="preserve"> PAGEREF _Toc31716028 \h </w:instrText>
            </w:r>
            <w:r w:rsidR="00BD4DB7">
              <w:rPr>
                <w:noProof/>
                <w:webHidden/>
              </w:rPr>
            </w:r>
            <w:r w:rsidR="00BD4DB7">
              <w:rPr>
                <w:noProof/>
                <w:webHidden/>
              </w:rPr>
              <w:fldChar w:fldCharType="separate"/>
            </w:r>
            <w:r w:rsidR="00BD4DB7">
              <w:rPr>
                <w:noProof/>
                <w:webHidden/>
              </w:rPr>
              <w:t>160</w:t>
            </w:r>
            <w:r w:rsidR="00BD4DB7">
              <w:rPr>
                <w:noProof/>
                <w:webHidden/>
              </w:rPr>
              <w:fldChar w:fldCharType="end"/>
            </w:r>
          </w:hyperlink>
        </w:p>
        <w:p w14:paraId="211D44D0" w14:textId="4E1C76DA"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29" w:history="1">
            <w:r w:rsidR="00BD4DB7" w:rsidRPr="0089237F">
              <w:rPr>
                <w:rStyle w:val="Hipervnculo"/>
                <w:noProof/>
              </w:rPr>
              <w:t>Artículo 1.7.4.2. Procedimiento para la adopción de medidas preventivas.</w:t>
            </w:r>
            <w:r w:rsidR="00BD4DB7">
              <w:rPr>
                <w:noProof/>
                <w:webHidden/>
              </w:rPr>
              <w:tab/>
            </w:r>
            <w:r w:rsidR="00BD4DB7">
              <w:rPr>
                <w:noProof/>
                <w:webHidden/>
              </w:rPr>
              <w:fldChar w:fldCharType="begin"/>
            </w:r>
            <w:r w:rsidR="00BD4DB7">
              <w:rPr>
                <w:noProof/>
                <w:webHidden/>
              </w:rPr>
              <w:instrText xml:space="preserve"> PAGEREF _Toc31716029 \h </w:instrText>
            </w:r>
            <w:r w:rsidR="00BD4DB7">
              <w:rPr>
                <w:noProof/>
                <w:webHidden/>
              </w:rPr>
            </w:r>
            <w:r w:rsidR="00BD4DB7">
              <w:rPr>
                <w:noProof/>
                <w:webHidden/>
              </w:rPr>
              <w:fldChar w:fldCharType="separate"/>
            </w:r>
            <w:r w:rsidR="00BD4DB7">
              <w:rPr>
                <w:noProof/>
                <w:webHidden/>
              </w:rPr>
              <w:t>161</w:t>
            </w:r>
            <w:r w:rsidR="00BD4DB7">
              <w:rPr>
                <w:noProof/>
                <w:webHidden/>
              </w:rPr>
              <w:fldChar w:fldCharType="end"/>
            </w:r>
          </w:hyperlink>
        </w:p>
        <w:p w14:paraId="7AE5A7DD" w14:textId="4D8D6A52"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30" w:history="1">
            <w:r w:rsidR="00BD4DB7" w:rsidRPr="0089237F">
              <w:rPr>
                <w:rStyle w:val="Hipervnculo"/>
                <w:noProof/>
              </w:rPr>
              <w:t>Artículo 1.7.4.3. Plazos especiales para la adopción de Medidas Preventivas durante el procedimiento operativo para gestionar por la Cámara eventos de retardo de un Miembro Liquidador según lo establecido en el artículo 1.7.1.3. de la presente Circular.</w:t>
            </w:r>
            <w:r w:rsidR="00BD4DB7">
              <w:rPr>
                <w:noProof/>
                <w:webHidden/>
              </w:rPr>
              <w:tab/>
            </w:r>
            <w:r w:rsidR="00BD4DB7">
              <w:rPr>
                <w:noProof/>
                <w:webHidden/>
              </w:rPr>
              <w:fldChar w:fldCharType="begin"/>
            </w:r>
            <w:r w:rsidR="00BD4DB7">
              <w:rPr>
                <w:noProof/>
                <w:webHidden/>
              </w:rPr>
              <w:instrText xml:space="preserve"> PAGEREF _Toc31716030 \h </w:instrText>
            </w:r>
            <w:r w:rsidR="00BD4DB7">
              <w:rPr>
                <w:noProof/>
                <w:webHidden/>
              </w:rPr>
            </w:r>
            <w:r w:rsidR="00BD4DB7">
              <w:rPr>
                <w:noProof/>
                <w:webHidden/>
              </w:rPr>
              <w:fldChar w:fldCharType="separate"/>
            </w:r>
            <w:r w:rsidR="00BD4DB7">
              <w:rPr>
                <w:noProof/>
                <w:webHidden/>
              </w:rPr>
              <w:t>161</w:t>
            </w:r>
            <w:r w:rsidR="00BD4DB7">
              <w:rPr>
                <w:noProof/>
                <w:webHidden/>
              </w:rPr>
              <w:fldChar w:fldCharType="end"/>
            </w:r>
          </w:hyperlink>
        </w:p>
        <w:p w14:paraId="5765D45A" w14:textId="34A08438"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31" w:history="1">
            <w:r w:rsidR="00BD4DB7" w:rsidRPr="0089237F">
              <w:rPr>
                <w:rStyle w:val="Hipervnculo"/>
                <w:noProof/>
              </w:rPr>
              <w:t>Artículo 1.7.4.4. Procedimiento para la ejecución de Garantías constituidas en efectivo en caso de adopción de una medida preventiva.</w:t>
            </w:r>
            <w:r w:rsidR="00BD4DB7">
              <w:rPr>
                <w:noProof/>
                <w:webHidden/>
              </w:rPr>
              <w:tab/>
            </w:r>
            <w:r w:rsidR="00BD4DB7">
              <w:rPr>
                <w:noProof/>
                <w:webHidden/>
              </w:rPr>
              <w:fldChar w:fldCharType="begin"/>
            </w:r>
            <w:r w:rsidR="00BD4DB7">
              <w:rPr>
                <w:noProof/>
                <w:webHidden/>
              </w:rPr>
              <w:instrText xml:space="preserve"> PAGEREF _Toc31716031 \h </w:instrText>
            </w:r>
            <w:r w:rsidR="00BD4DB7">
              <w:rPr>
                <w:noProof/>
                <w:webHidden/>
              </w:rPr>
            </w:r>
            <w:r w:rsidR="00BD4DB7">
              <w:rPr>
                <w:noProof/>
                <w:webHidden/>
              </w:rPr>
              <w:fldChar w:fldCharType="separate"/>
            </w:r>
            <w:r w:rsidR="00BD4DB7">
              <w:rPr>
                <w:noProof/>
                <w:webHidden/>
              </w:rPr>
              <w:t>163</w:t>
            </w:r>
            <w:r w:rsidR="00BD4DB7">
              <w:rPr>
                <w:noProof/>
                <w:webHidden/>
              </w:rPr>
              <w:fldChar w:fldCharType="end"/>
            </w:r>
          </w:hyperlink>
        </w:p>
        <w:p w14:paraId="78905F54" w14:textId="77D60B9B"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32" w:history="1">
            <w:r w:rsidR="00BD4DB7" w:rsidRPr="0089237F">
              <w:rPr>
                <w:rStyle w:val="Hipervnculo"/>
                <w:noProof/>
              </w:rPr>
              <w:t>Artículo 1.7.4.5. Procedimiento para la ejecución de Garantías constituidas en títulos en caso de adopción de una medida preventiva.</w:t>
            </w:r>
            <w:r w:rsidR="00BD4DB7">
              <w:rPr>
                <w:noProof/>
                <w:webHidden/>
              </w:rPr>
              <w:tab/>
            </w:r>
            <w:r w:rsidR="00BD4DB7">
              <w:rPr>
                <w:noProof/>
                <w:webHidden/>
              </w:rPr>
              <w:fldChar w:fldCharType="begin"/>
            </w:r>
            <w:r w:rsidR="00BD4DB7">
              <w:rPr>
                <w:noProof/>
                <w:webHidden/>
              </w:rPr>
              <w:instrText xml:space="preserve"> PAGEREF _Toc31716032 \h </w:instrText>
            </w:r>
            <w:r w:rsidR="00BD4DB7">
              <w:rPr>
                <w:noProof/>
                <w:webHidden/>
              </w:rPr>
            </w:r>
            <w:r w:rsidR="00BD4DB7">
              <w:rPr>
                <w:noProof/>
                <w:webHidden/>
              </w:rPr>
              <w:fldChar w:fldCharType="separate"/>
            </w:r>
            <w:r w:rsidR="00BD4DB7">
              <w:rPr>
                <w:noProof/>
                <w:webHidden/>
              </w:rPr>
              <w:t>163</w:t>
            </w:r>
            <w:r w:rsidR="00BD4DB7">
              <w:rPr>
                <w:noProof/>
                <w:webHidden/>
              </w:rPr>
              <w:fldChar w:fldCharType="end"/>
            </w:r>
          </w:hyperlink>
        </w:p>
        <w:p w14:paraId="55A6032A" w14:textId="0FAF2279"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33" w:history="1">
            <w:r w:rsidR="00BD4DB7" w:rsidRPr="0089237F">
              <w:rPr>
                <w:rStyle w:val="Hipervnculo"/>
                <w:noProof/>
              </w:rPr>
              <w:t>TÍTULO OCTAVO</w:t>
            </w:r>
            <w:r w:rsidR="00BD4DB7">
              <w:rPr>
                <w:noProof/>
                <w:webHidden/>
              </w:rPr>
              <w:tab/>
            </w:r>
            <w:r w:rsidR="00BD4DB7">
              <w:rPr>
                <w:noProof/>
                <w:webHidden/>
              </w:rPr>
              <w:fldChar w:fldCharType="begin"/>
            </w:r>
            <w:r w:rsidR="00BD4DB7">
              <w:rPr>
                <w:noProof/>
                <w:webHidden/>
              </w:rPr>
              <w:instrText xml:space="preserve"> PAGEREF _Toc31716033 \h </w:instrText>
            </w:r>
            <w:r w:rsidR="00BD4DB7">
              <w:rPr>
                <w:noProof/>
                <w:webHidden/>
              </w:rPr>
            </w:r>
            <w:r w:rsidR="00BD4DB7">
              <w:rPr>
                <w:noProof/>
                <w:webHidden/>
              </w:rPr>
              <w:fldChar w:fldCharType="separate"/>
            </w:r>
            <w:r w:rsidR="00BD4DB7">
              <w:rPr>
                <w:noProof/>
                <w:webHidden/>
              </w:rPr>
              <w:t>164</w:t>
            </w:r>
            <w:r w:rsidR="00BD4DB7">
              <w:rPr>
                <w:noProof/>
                <w:webHidden/>
              </w:rPr>
              <w:fldChar w:fldCharType="end"/>
            </w:r>
          </w:hyperlink>
        </w:p>
        <w:p w14:paraId="5CD44097" w14:textId="6C23CA7C"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34" w:history="1">
            <w:r w:rsidR="00BD4DB7" w:rsidRPr="0089237F">
              <w:rPr>
                <w:rStyle w:val="Hipervnculo"/>
                <w:noProof/>
              </w:rPr>
              <w:t>CAPÍTULO PRIMERO</w:t>
            </w:r>
            <w:r w:rsidR="00BD4DB7">
              <w:rPr>
                <w:noProof/>
                <w:webHidden/>
              </w:rPr>
              <w:tab/>
            </w:r>
            <w:r w:rsidR="00BD4DB7">
              <w:rPr>
                <w:noProof/>
                <w:webHidden/>
              </w:rPr>
              <w:fldChar w:fldCharType="begin"/>
            </w:r>
            <w:r w:rsidR="00BD4DB7">
              <w:rPr>
                <w:noProof/>
                <w:webHidden/>
              </w:rPr>
              <w:instrText xml:space="preserve"> PAGEREF _Toc31716034 \h </w:instrText>
            </w:r>
            <w:r w:rsidR="00BD4DB7">
              <w:rPr>
                <w:noProof/>
                <w:webHidden/>
              </w:rPr>
            </w:r>
            <w:r w:rsidR="00BD4DB7">
              <w:rPr>
                <w:noProof/>
                <w:webHidden/>
              </w:rPr>
              <w:fldChar w:fldCharType="separate"/>
            </w:r>
            <w:r w:rsidR="00BD4DB7">
              <w:rPr>
                <w:noProof/>
                <w:webHidden/>
              </w:rPr>
              <w:t>164</w:t>
            </w:r>
            <w:r w:rsidR="00BD4DB7">
              <w:rPr>
                <w:noProof/>
                <w:webHidden/>
              </w:rPr>
              <w:fldChar w:fldCharType="end"/>
            </w:r>
          </w:hyperlink>
        </w:p>
        <w:p w14:paraId="55BED4FE" w14:textId="37E641B6"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35" w:history="1">
            <w:r w:rsidR="00BD4DB7" w:rsidRPr="0089237F">
              <w:rPr>
                <w:rStyle w:val="Hipervnculo"/>
                <w:noProof/>
              </w:rPr>
              <w:t>HORARIOS DE LAS SESIONES DE CÁMARA</w:t>
            </w:r>
            <w:r w:rsidR="00BD4DB7">
              <w:rPr>
                <w:noProof/>
                <w:webHidden/>
              </w:rPr>
              <w:tab/>
            </w:r>
            <w:r w:rsidR="00BD4DB7">
              <w:rPr>
                <w:noProof/>
                <w:webHidden/>
              </w:rPr>
              <w:fldChar w:fldCharType="begin"/>
            </w:r>
            <w:r w:rsidR="00BD4DB7">
              <w:rPr>
                <w:noProof/>
                <w:webHidden/>
              </w:rPr>
              <w:instrText xml:space="preserve"> PAGEREF _Toc31716035 \h </w:instrText>
            </w:r>
            <w:r w:rsidR="00BD4DB7">
              <w:rPr>
                <w:noProof/>
                <w:webHidden/>
              </w:rPr>
            </w:r>
            <w:r w:rsidR="00BD4DB7">
              <w:rPr>
                <w:noProof/>
                <w:webHidden/>
              </w:rPr>
              <w:fldChar w:fldCharType="separate"/>
            </w:r>
            <w:r w:rsidR="00BD4DB7">
              <w:rPr>
                <w:noProof/>
                <w:webHidden/>
              </w:rPr>
              <w:t>164</w:t>
            </w:r>
            <w:r w:rsidR="00BD4DB7">
              <w:rPr>
                <w:noProof/>
                <w:webHidden/>
              </w:rPr>
              <w:fldChar w:fldCharType="end"/>
            </w:r>
          </w:hyperlink>
        </w:p>
        <w:p w14:paraId="14FE02F2" w14:textId="724839A9"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36" w:history="1">
            <w:r w:rsidR="00BD4DB7" w:rsidRPr="0089237F">
              <w:rPr>
                <w:rStyle w:val="Hipervnculo"/>
                <w:noProof/>
              </w:rPr>
              <w:t>Artículo 1.8.1.1. Horarios de Sesiones de Operación de Cámara.</w:t>
            </w:r>
            <w:r w:rsidR="00BD4DB7">
              <w:rPr>
                <w:noProof/>
                <w:webHidden/>
              </w:rPr>
              <w:tab/>
            </w:r>
            <w:r w:rsidR="00BD4DB7">
              <w:rPr>
                <w:noProof/>
                <w:webHidden/>
              </w:rPr>
              <w:fldChar w:fldCharType="begin"/>
            </w:r>
            <w:r w:rsidR="00BD4DB7">
              <w:rPr>
                <w:noProof/>
                <w:webHidden/>
              </w:rPr>
              <w:instrText xml:space="preserve"> PAGEREF _Toc31716036 \h </w:instrText>
            </w:r>
            <w:r w:rsidR="00BD4DB7">
              <w:rPr>
                <w:noProof/>
                <w:webHidden/>
              </w:rPr>
            </w:r>
            <w:r w:rsidR="00BD4DB7">
              <w:rPr>
                <w:noProof/>
                <w:webHidden/>
              </w:rPr>
              <w:fldChar w:fldCharType="separate"/>
            </w:r>
            <w:r w:rsidR="00BD4DB7">
              <w:rPr>
                <w:noProof/>
                <w:webHidden/>
              </w:rPr>
              <w:t>164</w:t>
            </w:r>
            <w:r w:rsidR="00BD4DB7">
              <w:rPr>
                <w:noProof/>
                <w:webHidden/>
              </w:rPr>
              <w:fldChar w:fldCharType="end"/>
            </w:r>
          </w:hyperlink>
        </w:p>
        <w:p w14:paraId="6FC3BC40" w14:textId="71D57F57"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37" w:history="1">
            <w:r w:rsidR="00BD4DB7" w:rsidRPr="0089237F">
              <w:rPr>
                <w:rStyle w:val="Hipervnculo"/>
                <w:rFonts w:eastAsiaTheme="minorHAnsi"/>
                <w:noProof/>
              </w:rPr>
              <w:t>Artículo 1.8.1.2. Suspensión de Sesiones de Cámara</w:t>
            </w:r>
            <w:r w:rsidR="00BD4DB7">
              <w:rPr>
                <w:noProof/>
                <w:webHidden/>
              </w:rPr>
              <w:tab/>
            </w:r>
            <w:r w:rsidR="00BD4DB7">
              <w:rPr>
                <w:noProof/>
                <w:webHidden/>
              </w:rPr>
              <w:fldChar w:fldCharType="begin"/>
            </w:r>
            <w:r w:rsidR="00BD4DB7">
              <w:rPr>
                <w:noProof/>
                <w:webHidden/>
              </w:rPr>
              <w:instrText xml:space="preserve"> PAGEREF _Toc31716037 \h </w:instrText>
            </w:r>
            <w:r w:rsidR="00BD4DB7">
              <w:rPr>
                <w:noProof/>
                <w:webHidden/>
              </w:rPr>
            </w:r>
            <w:r w:rsidR="00BD4DB7">
              <w:rPr>
                <w:noProof/>
                <w:webHidden/>
              </w:rPr>
              <w:fldChar w:fldCharType="separate"/>
            </w:r>
            <w:r w:rsidR="00BD4DB7">
              <w:rPr>
                <w:noProof/>
                <w:webHidden/>
              </w:rPr>
              <w:t>167</w:t>
            </w:r>
            <w:r w:rsidR="00BD4DB7">
              <w:rPr>
                <w:noProof/>
                <w:webHidden/>
              </w:rPr>
              <w:fldChar w:fldCharType="end"/>
            </w:r>
          </w:hyperlink>
        </w:p>
        <w:p w14:paraId="4319E83F" w14:textId="5681339D"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38" w:history="1">
            <w:r w:rsidR="00BD4DB7" w:rsidRPr="0089237F">
              <w:rPr>
                <w:rStyle w:val="Hipervnculo"/>
                <w:noProof/>
              </w:rPr>
              <w:t>Artículo 1.8.1.3. Horario de Inversión de las Garantías constituidas en efectivo.</w:t>
            </w:r>
            <w:r w:rsidR="00BD4DB7">
              <w:rPr>
                <w:noProof/>
                <w:webHidden/>
              </w:rPr>
              <w:tab/>
            </w:r>
            <w:r w:rsidR="00BD4DB7">
              <w:rPr>
                <w:noProof/>
                <w:webHidden/>
              </w:rPr>
              <w:fldChar w:fldCharType="begin"/>
            </w:r>
            <w:r w:rsidR="00BD4DB7">
              <w:rPr>
                <w:noProof/>
                <w:webHidden/>
              </w:rPr>
              <w:instrText xml:space="preserve"> PAGEREF _Toc31716038 \h </w:instrText>
            </w:r>
            <w:r w:rsidR="00BD4DB7">
              <w:rPr>
                <w:noProof/>
                <w:webHidden/>
              </w:rPr>
            </w:r>
            <w:r w:rsidR="00BD4DB7">
              <w:rPr>
                <w:noProof/>
                <w:webHidden/>
              </w:rPr>
              <w:fldChar w:fldCharType="separate"/>
            </w:r>
            <w:r w:rsidR="00BD4DB7">
              <w:rPr>
                <w:noProof/>
                <w:webHidden/>
              </w:rPr>
              <w:t>167</w:t>
            </w:r>
            <w:r w:rsidR="00BD4DB7">
              <w:rPr>
                <w:noProof/>
                <w:webHidden/>
              </w:rPr>
              <w:fldChar w:fldCharType="end"/>
            </w:r>
          </w:hyperlink>
        </w:p>
        <w:p w14:paraId="53EFA29C" w14:textId="0B5F4270"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39" w:history="1">
            <w:r w:rsidR="00BD4DB7" w:rsidRPr="0089237F">
              <w:rPr>
                <w:rStyle w:val="Hipervnculo"/>
                <w:noProof/>
              </w:rPr>
              <w:t>Artículo 1.8.1.4. Horarios adicionales.</w:t>
            </w:r>
            <w:r w:rsidR="00BD4DB7">
              <w:rPr>
                <w:noProof/>
                <w:webHidden/>
              </w:rPr>
              <w:tab/>
            </w:r>
            <w:r w:rsidR="00BD4DB7">
              <w:rPr>
                <w:noProof/>
                <w:webHidden/>
              </w:rPr>
              <w:fldChar w:fldCharType="begin"/>
            </w:r>
            <w:r w:rsidR="00BD4DB7">
              <w:rPr>
                <w:noProof/>
                <w:webHidden/>
              </w:rPr>
              <w:instrText xml:space="preserve"> PAGEREF _Toc31716039 \h </w:instrText>
            </w:r>
            <w:r w:rsidR="00BD4DB7">
              <w:rPr>
                <w:noProof/>
                <w:webHidden/>
              </w:rPr>
            </w:r>
            <w:r w:rsidR="00BD4DB7">
              <w:rPr>
                <w:noProof/>
                <w:webHidden/>
              </w:rPr>
              <w:fldChar w:fldCharType="separate"/>
            </w:r>
            <w:r w:rsidR="00BD4DB7">
              <w:rPr>
                <w:noProof/>
                <w:webHidden/>
              </w:rPr>
              <w:t>168</w:t>
            </w:r>
            <w:r w:rsidR="00BD4DB7">
              <w:rPr>
                <w:noProof/>
                <w:webHidden/>
              </w:rPr>
              <w:fldChar w:fldCharType="end"/>
            </w:r>
          </w:hyperlink>
        </w:p>
        <w:p w14:paraId="2B3E1FD4" w14:textId="38E9A087"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40" w:history="1">
            <w:r w:rsidR="00BD4DB7" w:rsidRPr="0089237F">
              <w:rPr>
                <w:rStyle w:val="Hipervnculo"/>
                <w:noProof/>
              </w:rPr>
              <w:t>TÍTULO NOVENO</w:t>
            </w:r>
            <w:r w:rsidR="00BD4DB7">
              <w:rPr>
                <w:noProof/>
                <w:webHidden/>
              </w:rPr>
              <w:tab/>
            </w:r>
            <w:r w:rsidR="00BD4DB7">
              <w:rPr>
                <w:noProof/>
                <w:webHidden/>
              </w:rPr>
              <w:fldChar w:fldCharType="begin"/>
            </w:r>
            <w:r w:rsidR="00BD4DB7">
              <w:rPr>
                <w:noProof/>
                <w:webHidden/>
              </w:rPr>
              <w:instrText xml:space="preserve"> PAGEREF _Toc31716040 \h </w:instrText>
            </w:r>
            <w:r w:rsidR="00BD4DB7">
              <w:rPr>
                <w:noProof/>
                <w:webHidden/>
              </w:rPr>
            </w:r>
            <w:r w:rsidR="00BD4DB7">
              <w:rPr>
                <w:noProof/>
                <w:webHidden/>
              </w:rPr>
              <w:fldChar w:fldCharType="separate"/>
            </w:r>
            <w:r w:rsidR="00BD4DB7">
              <w:rPr>
                <w:noProof/>
                <w:webHidden/>
              </w:rPr>
              <w:t>168</w:t>
            </w:r>
            <w:r w:rsidR="00BD4DB7">
              <w:rPr>
                <w:noProof/>
                <w:webHidden/>
              </w:rPr>
              <w:fldChar w:fldCharType="end"/>
            </w:r>
          </w:hyperlink>
        </w:p>
        <w:p w14:paraId="0957C3BD" w14:textId="5804DA61"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41" w:history="1">
            <w:r w:rsidR="00BD4DB7" w:rsidRPr="0089237F">
              <w:rPr>
                <w:rStyle w:val="Hipervnculo"/>
                <w:noProof/>
              </w:rPr>
              <w:t>ACTIVOS</w:t>
            </w:r>
            <w:r w:rsidR="00BD4DB7">
              <w:rPr>
                <w:noProof/>
                <w:webHidden/>
              </w:rPr>
              <w:tab/>
            </w:r>
            <w:r w:rsidR="00BD4DB7">
              <w:rPr>
                <w:noProof/>
                <w:webHidden/>
              </w:rPr>
              <w:fldChar w:fldCharType="begin"/>
            </w:r>
            <w:r w:rsidR="00BD4DB7">
              <w:rPr>
                <w:noProof/>
                <w:webHidden/>
              </w:rPr>
              <w:instrText xml:space="preserve"> PAGEREF _Toc31716041 \h </w:instrText>
            </w:r>
            <w:r w:rsidR="00BD4DB7">
              <w:rPr>
                <w:noProof/>
                <w:webHidden/>
              </w:rPr>
            </w:r>
            <w:r w:rsidR="00BD4DB7">
              <w:rPr>
                <w:noProof/>
                <w:webHidden/>
              </w:rPr>
              <w:fldChar w:fldCharType="separate"/>
            </w:r>
            <w:r w:rsidR="00BD4DB7">
              <w:rPr>
                <w:noProof/>
                <w:webHidden/>
              </w:rPr>
              <w:t>168</w:t>
            </w:r>
            <w:r w:rsidR="00BD4DB7">
              <w:rPr>
                <w:noProof/>
                <w:webHidden/>
              </w:rPr>
              <w:fldChar w:fldCharType="end"/>
            </w:r>
          </w:hyperlink>
        </w:p>
        <w:p w14:paraId="06FCD439" w14:textId="01FC2D30"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42" w:history="1">
            <w:r w:rsidR="00BD4DB7" w:rsidRPr="0089237F">
              <w:rPr>
                <w:rStyle w:val="Hipervnculo"/>
                <w:noProof/>
              </w:rPr>
              <w:t>CAPÍTULO PRIMERO</w:t>
            </w:r>
            <w:r w:rsidR="00BD4DB7">
              <w:rPr>
                <w:noProof/>
                <w:webHidden/>
              </w:rPr>
              <w:tab/>
            </w:r>
            <w:r w:rsidR="00BD4DB7">
              <w:rPr>
                <w:noProof/>
                <w:webHidden/>
              </w:rPr>
              <w:fldChar w:fldCharType="begin"/>
            </w:r>
            <w:r w:rsidR="00BD4DB7">
              <w:rPr>
                <w:noProof/>
                <w:webHidden/>
              </w:rPr>
              <w:instrText xml:space="preserve"> PAGEREF _Toc31716042 \h </w:instrText>
            </w:r>
            <w:r w:rsidR="00BD4DB7">
              <w:rPr>
                <w:noProof/>
                <w:webHidden/>
              </w:rPr>
            </w:r>
            <w:r w:rsidR="00BD4DB7">
              <w:rPr>
                <w:noProof/>
                <w:webHidden/>
              </w:rPr>
              <w:fldChar w:fldCharType="separate"/>
            </w:r>
            <w:r w:rsidR="00BD4DB7">
              <w:rPr>
                <w:noProof/>
                <w:webHidden/>
              </w:rPr>
              <w:t>168</w:t>
            </w:r>
            <w:r w:rsidR="00BD4DB7">
              <w:rPr>
                <w:noProof/>
                <w:webHidden/>
              </w:rPr>
              <w:fldChar w:fldCharType="end"/>
            </w:r>
          </w:hyperlink>
        </w:p>
        <w:p w14:paraId="2C6648C7" w14:textId="13CD5A67"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43" w:history="1">
            <w:r w:rsidR="00BD4DB7" w:rsidRPr="0089237F">
              <w:rPr>
                <w:rStyle w:val="Hipervnculo"/>
                <w:noProof/>
              </w:rPr>
              <w:t>PROCESO DE AUTORIZACIÓN</w:t>
            </w:r>
            <w:r w:rsidR="00BD4DB7">
              <w:rPr>
                <w:noProof/>
                <w:webHidden/>
              </w:rPr>
              <w:tab/>
            </w:r>
            <w:r w:rsidR="00BD4DB7">
              <w:rPr>
                <w:noProof/>
                <w:webHidden/>
              </w:rPr>
              <w:fldChar w:fldCharType="begin"/>
            </w:r>
            <w:r w:rsidR="00BD4DB7">
              <w:rPr>
                <w:noProof/>
                <w:webHidden/>
              </w:rPr>
              <w:instrText xml:space="preserve"> PAGEREF _Toc31716043 \h </w:instrText>
            </w:r>
            <w:r w:rsidR="00BD4DB7">
              <w:rPr>
                <w:noProof/>
                <w:webHidden/>
              </w:rPr>
            </w:r>
            <w:r w:rsidR="00BD4DB7">
              <w:rPr>
                <w:noProof/>
                <w:webHidden/>
              </w:rPr>
              <w:fldChar w:fldCharType="separate"/>
            </w:r>
            <w:r w:rsidR="00BD4DB7">
              <w:rPr>
                <w:noProof/>
                <w:webHidden/>
              </w:rPr>
              <w:t>168</w:t>
            </w:r>
            <w:r w:rsidR="00BD4DB7">
              <w:rPr>
                <w:noProof/>
                <w:webHidden/>
              </w:rPr>
              <w:fldChar w:fldCharType="end"/>
            </w:r>
          </w:hyperlink>
        </w:p>
        <w:p w14:paraId="6B02CB5D" w14:textId="721ECD65"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44" w:history="1">
            <w:r w:rsidR="00BD4DB7" w:rsidRPr="0089237F">
              <w:rPr>
                <w:rStyle w:val="Hipervnculo"/>
                <w:noProof/>
              </w:rPr>
              <w:t>Artículo 1.9.1.1. Proceso de Autorización de los Activos.</w:t>
            </w:r>
            <w:r w:rsidR="00BD4DB7">
              <w:rPr>
                <w:noProof/>
                <w:webHidden/>
              </w:rPr>
              <w:tab/>
            </w:r>
            <w:r w:rsidR="00BD4DB7">
              <w:rPr>
                <w:noProof/>
                <w:webHidden/>
              </w:rPr>
              <w:fldChar w:fldCharType="begin"/>
            </w:r>
            <w:r w:rsidR="00BD4DB7">
              <w:rPr>
                <w:noProof/>
                <w:webHidden/>
              </w:rPr>
              <w:instrText xml:space="preserve"> PAGEREF _Toc31716044 \h </w:instrText>
            </w:r>
            <w:r w:rsidR="00BD4DB7">
              <w:rPr>
                <w:noProof/>
                <w:webHidden/>
              </w:rPr>
            </w:r>
            <w:r w:rsidR="00BD4DB7">
              <w:rPr>
                <w:noProof/>
                <w:webHidden/>
              </w:rPr>
              <w:fldChar w:fldCharType="separate"/>
            </w:r>
            <w:r w:rsidR="00BD4DB7">
              <w:rPr>
                <w:noProof/>
                <w:webHidden/>
              </w:rPr>
              <w:t>168</w:t>
            </w:r>
            <w:r w:rsidR="00BD4DB7">
              <w:rPr>
                <w:noProof/>
                <w:webHidden/>
              </w:rPr>
              <w:fldChar w:fldCharType="end"/>
            </w:r>
          </w:hyperlink>
        </w:p>
        <w:p w14:paraId="65409D27" w14:textId="5DFD4840"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45" w:history="1">
            <w:r w:rsidR="00BD4DB7" w:rsidRPr="0089237F">
              <w:rPr>
                <w:rStyle w:val="Hipervnculo"/>
                <w:noProof/>
              </w:rPr>
              <w:t>TÍTULO DÉCIMO</w:t>
            </w:r>
            <w:r w:rsidR="00BD4DB7">
              <w:rPr>
                <w:noProof/>
                <w:webHidden/>
              </w:rPr>
              <w:tab/>
            </w:r>
            <w:r w:rsidR="00BD4DB7">
              <w:rPr>
                <w:noProof/>
                <w:webHidden/>
              </w:rPr>
              <w:fldChar w:fldCharType="begin"/>
            </w:r>
            <w:r w:rsidR="00BD4DB7">
              <w:rPr>
                <w:noProof/>
                <w:webHidden/>
              </w:rPr>
              <w:instrText xml:space="preserve"> PAGEREF _Toc31716045 \h </w:instrText>
            </w:r>
            <w:r w:rsidR="00BD4DB7">
              <w:rPr>
                <w:noProof/>
                <w:webHidden/>
              </w:rPr>
            </w:r>
            <w:r w:rsidR="00BD4DB7">
              <w:rPr>
                <w:noProof/>
                <w:webHidden/>
              </w:rPr>
              <w:fldChar w:fldCharType="separate"/>
            </w:r>
            <w:r w:rsidR="00BD4DB7">
              <w:rPr>
                <w:noProof/>
                <w:webHidden/>
              </w:rPr>
              <w:t>169</w:t>
            </w:r>
            <w:r w:rsidR="00BD4DB7">
              <w:rPr>
                <w:noProof/>
                <w:webHidden/>
              </w:rPr>
              <w:fldChar w:fldCharType="end"/>
            </w:r>
          </w:hyperlink>
        </w:p>
        <w:p w14:paraId="7AD9D06F" w14:textId="7D526792"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46" w:history="1">
            <w:r w:rsidR="00BD4DB7" w:rsidRPr="0089237F">
              <w:rPr>
                <w:rStyle w:val="Hipervnculo"/>
                <w:noProof/>
              </w:rPr>
              <w:t>CAPÍTULO PRIMERO</w:t>
            </w:r>
            <w:r w:rsidR="00BD4DB7">
              <w:rPr>
                <w:noProof/>
                <w:webHidden/>
              </w:rPr>
              <w:tab/>
            </w:r>
            <w:r w:rsidR="00BD4DB7">
              <w:rPr>
                <w:noProof/>
                <w:webHidden/>
              </w:rPr>
              <w:fldChar w:fldCharType="begin"/>
            </w:r>
            <w:r w:rsidR="00BD4DB7">
              <w:rPr>
                <w:noProof/>
                <w:webHidden/>
              </w:rPr>
              <w:instrText xml:space="preserve"> PAGEREF _Toc31716046 \h </w:instrText>
            </w:r>
            <w:r w:rsidR="00BD4DB7">
              <w:rPr>
                <w:noProof/>
                <w:webHidden/>
              </w:rPr>
            </w:r>
            <w:r w:rsidR="00BD4DB7">
              <w:rPr>
                <w:noProof/>
                <w:webHidden/>
              </w:rPr>
              <w:fldChar w:fldCharType="separate"/>
            </w:r>
            <w:r w:rsidR="00BD4DB7">
              <w:rPr>
                <w:noProof/>
                <w:webHidden/>
              </w:rPr>
              <w:t>169</w:t>
            </w:r>
            <w:r w:rsidR="00BD4DB7">
              <w:rPr>
                <w:noProof/>
                <w:webHidden/>
              </w:rPr>
              <w:fldChar w:fldCharType="end"/>
            </w:r>
          </w:hyperlink>
        </w:p>
        <w:p w14:paraId="111E286A" w14:textId="36CEA268"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47" w:history="1">
            <w:r w:rsidR="00BD4DB7" w:rsidRPr="0089237F">
              <w:rPr>
                <w:rStyle w:val="Hipervnculo"/>
                <w:noProof/>
              </w:rPr>
              <w:t>TARIFAS.</w:t>
            </w:r>
            <w:r w:rsidR="00BD4DB7">
              <w:rPr>
                <w:noProof/>
                <w:webHidden/>
              </w:rPr>
              <w:tab/>
            </w:r>
            <w:r w:rsidR="00BD4DB7">
              <w:rPr>
                <w:noProof/>
                <w:webHidden/>
              </w:rPr>
              <w:fldChar w:fldCharType="begin"/>
            </w:r>
            <w:r w:rsidR="00BD4DB7">
              <w:rPr>
                <w:noProof/>
                <w:webHidden/>
              </w:rPr>
              <w:instrText xml:space="preserve"> PAGEREF _Toc31716047 \h </w:instrText>
            </w:r>
            <w:r w:rsidR="00BD4DB7">
              <w:rPr>
                <w:noProof/>
                <w:webHidden/>
              </w:rPr>
            </w:r>
            <w:r w:rsidR="00BD4DB7">
              <w:rPr>
                <w:noProof/>
                <w:webHidden/>
              </w:rPr>
              <w:fldChar w:fldCharType="separate"/>
            </w:r>
            <w:r w:rsidR="00BD4DB7">
              <w:rPr>
                <w:noProof/>
                <w:webHidden/>
              </w:rPr>
              <w:t>169</w:t>
            </w:r>
            <w:r w:rsidR="00BD4DB7">
              <w:rPr>
                <w:noProof/>
                <w:webHidden/>
              </w:rPr>
              <w:fldChar w:fldCharType="end"/>
            </w:r>
          </w:hyperlink>
        </w:p>
        <w:p w14:paraId="4D01282C" w14:textId="13F89A82"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48" w:history="1">
            <w:r w:rsidR="00BD4DB7" w:rsidRPr="0089237F">
              <w:rPr>
                <w:rStyle w:val="Hipervnculo"/>
                <w:noProof/>
              </w:rPr>
              <w:t>Artículo 1.10.1.1. Tarifas por los servicios del Sistema de la Cámara.</w:t>
            </w:r>
            <w:r w:rsidR="00BD4DB7">
              <w:rPr>
                <w:noProof/>
                <w:webHidden/>
              </w:rPr>
              <w:tab/>
            </w:r>
            <w:r w:rsidR="00BD4DB7">
              <w:rPr>
                <w:noProof/>
                <w:webHidden/>
              </w:rPr>
              <w:fldChar w:fldCharType="begin"/>
            </w:r>
            <w:r w:rsidR="00BD4DB7">
              <w:rPr>
                <w:noProof/>
                <w:webHidden/>
              </w:rPr>
              <w:instrText xml:space="preserve"> PAGEREF _Toc31716048 \h </w:instrText>
            </w:r>
            <w:r w:rsidR="00BD4DB7">
              <w:rPr>
                <w:noProof/>
                <w:webHidden/>
              </w:rPr>
            </w:r>
            <w:r w:rsidR="00BD4DB7">
              <w:rPr>
                <w:noProof/>
                <w:webHidden/>
              </w:rPr>
              <w:fldChar w:fldCharType="separate"/>
            </w:r>
            <w:r w:rsidR="00BD4DB7">
              <w:rPr>
                <w:noProof/>
                <w:webHidden/>
              </w:rPr>
              <w:t>169</w:t>
            </w:r>
            <w:r w:rsidR="00BD4DB7">
              <w:rPr>
                <w:noProof/>
                <w:webHidden/>
              </w:rPr>
              <w:fldChar w:fldCharType="end"/>
            </w:r>
          </w:hyperlink>
        </w:p>
        <w:p w14:paraId="406F0CA1" w14:textId="544CBEAA"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49" w:history="1">
            <w:r w:rsidR="00BD4DB7" w:rsidRPr="0089237F">
              <w:rPr>
                <w:rStyle w:val="Hipervnculo"/>
                <w:noProof/>
              </w:rPr>
              <w:t>Artículo 1.10.1.2. Cobro de Tarifas.</w:t>
            </w:r>
            <w:r w:rsidR="00BD4DB7">
              <w:rPr>
                <w:noProof/>
                <w:webHidden/>
              </w:rPr>
              <w:tab/>
            </w:r>
            <w:r w:rsidR="00BD4DB7">
              <w:rPr>
                <w:noProof/>
                <w:webHidden/>
              </w:rPr>
              <w:fldChar w:fldCharType="begin"/>
            </w:r>
            <w:r w:rsidR="00BD4DB7">
              <w:rPr>
                <w:noProof/>
                <w:webHidden/>
              </w:rPr>
              <w:instrText xml:space="preserve"> PAGEREF _Toc31716049 \h </w:instrText>
            </w:r>
            <w:r w:rsidR="00BD4DB7">
              <w:rPr>
                <w:noProof/>
                <w:webHidden/>
              </w:rPr>
            </w:r>
            <w:r w:rsidR="00BD4DB7">
              <w:rPr>
                <w:noProof/>
                <w:webHidden/>
              </w:rPr>
              <w:fldChar w:fldCharType="separate"/>
            </w:r>
            <w:r w:rsidR="00BD4DB7">
              <w:rPr>
                <w:noProof/>
                <w:webHidden/>
              </w:rPr>
              <w:t>191</w:t>
            </w:r>
            <w:r w:rsidR="00BD4DB7">
              <w:rPr>
                <w:noProof/>
                <w:webHidden/>
              </w:rPr>
              <w:fldChar w:fldCharType="end"/>
            </w:r>
          </w:hyperlink>
        </w:p>
        <w:p w14:paraId="7F4464DC" w14:textId="25A241D1"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50" w:history="1">
            <w:r w:rsidR="00BD4DB7" w:rsidRPr="0089237F">
              <w:rPr>
                <w:rStyle w:val="Hipervnculo"/>
                <w:noProof/>
              </w:rPr>
              <w:t>TÍTULO DÉCIMO PRIMERO</w:t>
            </w:r>
            <w:r w:rsidR="00BD4DB7">
              <w:rPr>
                <w:noProof/>
                <w:webHidden/>
              </w:rPr>
              <w:tab/>
            </w:r>
            <w:r w:rsidR="00BD4DB7">
              <w:rPr>
                <w:noProof/>
                <w:webHidden/>
              </w:rPr>
              <w:fldChar w:fldCharType="begin"/>
            </w:r>
            <w:r w:rsidR="00BD4DB7">
              <w:rPr>
                <w:noProof/>
                <w:webHidden/>
              </w:rPr>
              <w:instrText xml:space="preserve"> PAGEREF _Toc31716050 \h </w:instrText>
            </w:r>
            <w:r w:rsidR="00BD4DB7">
              <w:rPr>
                <w:noProof/>
                <w:webHidden/>
              </w:rPr>
            </w:r>
            <w:r w:rsidR="00BD4DB7">
              <w:rPr>
                <w:noProof/>
                <w:webHidden/>
              </w:rPr>
              <w:fldChar w:fldCharType="separate"/>
            </w:r>
            <w:r w:rsidR="00BD4DB7">
              <w:rPr>
                <w:noProof/>
                <w:webHidden/>
              </w:rPr>
              <w:t>192</w:t>
            </w:r>
            <w:r w:rsidR="00BD4DB7">
              <w:rPr>
                <w:noProof/>
                <w:webHidden/>
              </w:rPr>
              <w:fldChar w:fldCharType="end"/>
            </w:r>
          </w:hyperlink>
        </w:p>
        <w:p w14:paraId="7DDE4D18" w14:textId="602B87A1"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51" w:history="1">
            <w:r w:rsidR="00BD4DB7" w:rsidRPr="0089237F">
              <w:rPr>
                <w:rStyle w:val="Hipervnculo"/>
                <w:noProof/>
              </w:rPr>
              <w:t>CAPÍTULO PRIMERO</w:t>
            </w:r>
            <w:r w:rsidR="00BD4DB7">
              <w:rPr>
                <w:noProof/>
                <w:webHidden/>
              </w:rPr>
              <w:tab/>
            </w:r>
            <w:r w:rsidR="00BD4DB7">
              <w:rPr>
                <w:noProof/>
                <w:webHidden/>
              </w:rPr>
              <w:fldChar w:fldCharType="begin"/>
            </w:r>
            <w:r w:rsidR="00BD4DB7">
              <w:rPr>
                <w:noProof/>
                <w:webHidden/>
              </w:rPr>
              <w:instrText xml:space="preserve"> PAGEREF _Toc31716051 \h </w:instrText>
            </w:r>
            <w:r w:rsidR="00BD4DB7">
              <w:rPr>
                <w:noProof/>
                <w:webHidden/>
              </w:rPr>
            </w:r>
            <w:r w:rsidR="00BD4DB7">
              <w:rPr>
                <w:noProof/>
                <w:webHidden/>
              </w:rPr>
              <w:fldChar w:fldCharType="separate"/>
            </w:r>
            <w:r w:rsidR="00BD4DB7">
              <w:rPr>
                <w:noProof/>
                <w:webHidden/>
              </w:rPr>
              <w:t>192</w:t>
            </w:r>
            <w:r w:rsidR="00BD4DB7">
              <w:rPr>
                <w:noProof/>
                <w:webHidden/>
              </w:rPr>
              <w:fldChar w:fldCharType="end"/>
            </w:r>
          </w:hyperlink>
        </w:p>
        <w:p w14:paraId="5440979D" w14:textId="036F0866"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52" w:history="1">
            <w:r w:rsidR="00BD4DB7" w:rsidRPr="0089237F">
              <w:rPr>
                <w:rStyle w:val="Hipervnculo"/>
                <w:noProof/>
              </w:rPr>
              <w:t>APLICACIÓN DEL SISTEMA DE PREVENCIÓN Y CONTROL DE LAVADO DE ACTIVOS</w:t>
            </w:r>
            <w:r w:rsidR="00BD4DB7">
              <w:rPr>
                <w:noProof/>
                <w:webHidden/>
              </w:rPr>
              <w:tab/>
            </w:r>
            <w:r w:rsidR="00BD4DB7">
              <w:rPr>
                <w:noProof/>
                <w:webHidden/>
              </w:rPr>
              <w:fldChar w:fldCharType="begin"/>
            </w:r>
            <w:r w:rsidR="00BD4DB7">
              <w:rPr>
                <w:noProof/>
                <w:webHidden/>
              </w:rPr>
              <w:instrText xml:space="preserve"> PAGEREF _Toc31716052 \h </w:instrText>
            </w:r>
            <w:r w:rsidR="00BD4DB7">
              <w:rPr>
                <w:noProof/>
                <w:webHidden/>
              </w:rPr>
            </w:r>
            <w:r w:rsidR="00BD4DB7">
              <w:rPr>
                <w:noProof/>
                <w:webHidden/>
              </w:rPr>
              <w:fldChar w:fldCharType="separate"/>
            </w:r>
            <w:r w:rsidR="00BD4DB7">
              <w:rPr>
                <w:noProof/>
                <w:webHidden/>
              </w:rPr>
              <w:t>192</w:t>
            </w:r>
            <w:r w:rsidR="00BD4DB7">
              <w:rPr>
                <w:noProof/>
                <w:webHidden/>
              </w:rPr>
              <w:fldChar w:fldCharType="end"/>
            </w:r>
          </w:hyperlink>
        </w:p>
        <w:p w14:paraId="4D0552A7" w14:textId="021BCAD6"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53" w:history="1">
            <w:r w:rsidR="00BD4DB7" w:rsidRPr="0089237F">
              <w:rPr>
                <w:rStyle w:val="Hipervnculo"/>
                <w:noProof/>
              </w:rPr>
              <w:t>Artículo 1.11.1.1. Cumplimiento de las disposiciones legales sobre prevención y control de lavado de activos.</w:t>
            </w:r>
            <w:r w:rsidR="00BD4DB7">
              <w:rPr>
                <w:noProof/>
                <w:webHidden/>
              </w:rPr>
              <w:tab/>
            </w:r>
            <w:r w:rsidR="00BD4DB7">
              <w:rPr>
                <w:noProof/>
                <w:webHidden/>
              </w:rPr>
              <w:fldChar w:fldCharType="begin"/>
            </w:r>
            <w:r w:rsidR="00BD4DB7">
              <w:rPr>
                <w:noProof/>
                <w:webHidden/>
              </w:rPr>
              <w:instrText xml:space="preserve"> PAGEREF _Toc31716053 \h </w:instrText>
            </w:r>
            <w:r w:rsidR="00BD4DB7">
              <w:rPr>
                <w:noProof/>
                <w:webHidden/>
              </w:rPr>
            </w:r>
            <w:r w:rsidR="00BD4DB7">
              <w:rPr>
                <w:noProof/>
                <w:webHidden/>
              </w:rPr>
              <w:fldChar w:fldCharType="separate"/>
            </w:r>
            <w:r w:rsidR="00BD4DB7">
              <w:rPr>
                <w:noProof/>
                <w:webHidden/>
              </w:rPr>
              <w:t>192</w:t>
            </w:r>
            <w:r w:rsidR="00BD4DB7">
              <w:rPr>
                <w:noProof/>
                <w:webHidden/>
              </w:rPr>
              <w:fldChar w:fldCharType="end"/>
            </w:r>
          </w:hyperlink>
        </w:p>
        <w:p w14:paraId="6040AABB" w14:textId="7A1D9A3A"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54" w:history="1">
            <w:r w:rsidR="00BD4DB7" w:rsidRPr="0089237F">
              <w:rPr>
                <w:rStyle w:val="Hipervnculo"/>
                <w:noProof/>
              </w:rPr>
              <w:t>Artículo 1.11.1.2. Verificación de información en listas restrictivas.</w:t>
            </w:r>
            <w:r w:rsidR="00BD4DB7">
              <w:rPr>
                <w:noProof/>
                <w:webHidden/>
              </w:rPr>
              <w:tab/>
            </w:r>
            <w:r w:rsidR="00BD4DB7">
              <w:rPr>
                <w:noProof/>
                <w:webHidden/>
              </w:rPr>
              <w:fldChar w:fldCharType="begin"/>
            </w:r>
            <w:r w:rsidR="00BD4DB7">
              <w:rPr>
                <w:noProof/>
                <w:webHidden/>
              </w:rPr>
              <w:instrText xml:space="preserve"> PAGEREF _Toc31716054 \h </w:instrText>
            </w:r>
            <w:r w:rsidR="00BD4DB7">
              <w:rPr>
                <w:noProof/>
                <w:webHidden/>
              </w:rPr>
            </w:r>
            <w:r w:rsidR="00BD4DB7">
              <w:rPr>
                <w:noProof/>
                <w:webHidden/>
              </w:rPr>
              <w:fldChar w:fldCharType="separate"/>
            </w:r>
            <w:r w:rsidR="00BD4DB7">
              <w:rPr>
                <w:noProof/>
                <w:webHidden/>
              </w:rPr>
              <w:t>192</w:t>
            </w:r>
            <w:r w:rsidR="00BD4DB7">
              <w:rPr>
                <w:noProof/>
                <w:webHidden/>
              </w:rPr>
              <w:fldChar w:fldCharType="end"/>
            </w:r>
          </w:hyperlink>
        </w:p>
        <w:p w14:paraId="2BE2AE83" w14:textId="3767565B"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55" w:history="1">
            <w:r w:rsidR="00BD4DB7" w:rsidRPr="0089237F">
              <w:rPr>
                <w:rStyle w:val="Hipervnculo"/>
                <w:noProof/>
              </w:rPr>
              <w:t>TÍTULO DÉCIMO SEGUNDO</w:t>
            </w:r>
            <w:r w:rsidR="00BD4DB7">
              <w:rPr>
                <w:noProof/>
                <w:webHidden/>
              </w:rPr>
              <w:tab/>
            </w:r>
            <w:r w:rsidR="00BD4DB7">
              <w:rPr>
                <w:noProof/>
                <w:webHidden/>
              </w:rPr>
              <w:fldChar w:fldCharType="begin"/>
            </w:r>
            <w:r w:rsidR="00BD4DB7">
              <w:rPr>
                <w:noProof/>
                <w:webHidden/>
              </w:rPr>
              <w:instrText xml:space="preserve"> PAGEREF _Toc31716055 \h </w:instrText>
            </w:r>
            <w:r w:rsidR="00BD4DB7">
              <w:rPr>
                <w:noProof/>
                <w:webHidden/>
              </w:rPr>
            </w:r>
            <w:r w:rsidR="00BD4DB7">
              <w:rPr>
                <w:noProof/>
                <w:webHidden/>
              </w:rPr>
              <w:fldChar w:fldCharType="separate"/>
            </w:r>
            <w:r w:rsidR="00BD4DB7">
              <w:rPr>
                <w:noProof/>
                <w:webHidden/>
              </w:rPr>
              <w:t>193</w:t>
            </w:r>
            <w:r w:rsidR="00BD4DB7">
              <w:rPr>
                <w:noProof/>
                <w:webHidden/>
              </w:rPr>
              <w:fldChar w:fldCharType="end"/>
            </w:r>
          </w:hyperlink>
        </w:p>
        <w:p w14:paraId="324DA49E" w14:textId="13F34D93"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56" w:history="1">
            <w:r w:rsidR="00BD4DB7" w:rsidRPr="0089237F">
              <w:rPr>
                <w:rStyle w:val="Hipervnculo"/>
                <w:noProof/>
              </w:rPr>
              <w:t>CAPÍTULO PRIMERO</w:t>
            </w:r>
            <w:r w:rsidR="00BD4DB7">
              <w:rPr>
                <w:noProof/>
                <w:webHidden/>
              </w:rPr>
              <w:tab/>
            </w:r>
            <w:r w:rsidR="00BD4DB7">
              <w:rPr>
                <w:noProof/>
                <w:webHidden/>
              </w:rPr>
              <w:fldChar w:fldCharType="begin"/>
            </w:r>
            <w:r w:rsidR="00BD4DB7">
              <w:rPr>
                <w:noProof/>
                <w:webHidden/>
              </w:rPr>
              <w:instrText xml:space="preserve"> PAGEREF _Toc31716056 \h </w:instrText>
            </w:r>
            <w:r w:rsidR="00BD4DB7">
              <w:rPr>
                <w:noProof/>
                <w:webHidden/>
              </w:rPr>
            </w:r>
            <w:r w:rsidR="00BD4DB7">
              <w:rPr>
                <w:noProof/>
                <w:webHidden/>
              </w:rPr>
              <w:fldChar w:fldCharType="separate"/>
            </w:r>
            <w:r w:rsidR="00BD4DB7">
              <w:rPr>
                <w:noProof/>
                <w:webHidden/>
              </w:rPr>
              <w:t>193</w:t>
            </w:r>
            <w:r w:rsidR="00BD4DB7">
              <w:rPr>
                <w:noProof/>
                <w:webHidden/>
              </w:rPr>
              <w:fldChar w:fldCharType="end"/>
            </w:r>
          </w:hyperlink>
        </w:p>
        <w:p w14:paraId="67B110BF" w14:textId="3106B155"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57" w:history="1">
            <w:r w:rsidR="00BD4DB7" w:rsidRPr="0089237F">
              <w:rPr>
                <w:rStyle w:val="Hipervnculo"/>
                <w:noProof/>
              </w:rPr>
              <w:t>PROCEDIMIENTOS OPERATIVOS EN CASOS DE CONTINGENCIA</w:t>
            </w:r>
            <w:r w:rsidR="00BD4DB7">
              <w:rPr>
                <w:noProof/>
                <w:webHidden/>
              </w:rPr>
              <w:tab/>
            </w:r>
            <w:r w:rsidR="00BD4DB7">
              <w:rPr>
                <w:noProof/>
                <w:webHidden/>
              </w:rPr>
              <w:fldChar w:fldCharType="begin"/>
            </w:r>
            <w:r w:rsidR="00BD4DB7">
              <w:rPr>
                <w:noProof/>
                <w:webHidden/>
              </w:rPr>
              <w:instrText xml:space="preserve"> PAGEREF _Toc31716057 \h </w:instrText>
            </w:r>
            <w:r w:rsidR="00BD4DB7">
              <w:rPr>
                <w:noProof/>
                <w:webHidden/>
              </w:rPr>
            </w:r>
            <w:r w:rsidR="00BD4DB7">
              <w:rPr>
                <w:noProof/>
                <w:webHidden/>
              </w:rPr>
              <w:fldChar w:fldCharType="separate"/>
            </w:r>
            <w:r w:rsidR="00BD4DB7">
              <w:rPr>
                <w:noProof/>
                <w:webHidden/>
              </w:rPr>
              <w:t>193</w:t>
            </w:r>
            <w:r w:rsidR="00BD4DB7">
              <w:rPr>
                <w:noProof/>
                <w:webHidden/>
              </w:rPr>
              <w:fldChar w:fldCharType="end"/>
            </w:r>
          </w:hyperlink>
        </w:p>
        <w:p w14:paraId="0EDC56F1" w14:textId="0D156790"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58" w:history="1">
            <w:r w:rsidR="00BD4DB7" w:rsidRPr="0089237F">
              <w:rPr>
                <w:rStyle w:val="Hipervnculo"/>
                <w:noProof/>
              </w:rPr>
              <w:t>Artículo 1.12.1.1. Mecanismos de contingencia.</w:t>
            </w:r>
            <w:r w:rsidR="00BD4DB7">
              <w:rPr>
                <w:noProof/>
                <w:webHidden/>
              </w:rPr>
              <w:tab/>
            </w:r>
            <w:r w:rsidR="00BD4DB7">
              <w:rPr>
                <w:noProof/>
                <w:webHidden/>
              </w:rPr>
              <w:fldChar w:fldCharType="begin"/>
            </w:r>
            <w:r w:rsidR="00BD4DB7">
              <w:rPr>
                <w:noProof/>
                <w:webHidden/>
              </w:rPr>
              <w:instrText xml:space="preserve"> PAGEREF _Toc31716058 \h </w:instrText>
            </w:r>
            <w:r w:rsidR="00BD4DB7">
              <w:rPr>
                <w:noProof/>
                <w:webHidden/>
              </w:rPr>
            </w:r>
            <w:r w:rsidR="00BD4DB7">
              <w:rPr>
                <w:noProof/>
                <w:webHidden/>
              </w:rPr>
              <w:fldChar w:fldCharType="separate"/>
            </w:r>
            <w:r w:rsidR="00BD4DB7">
              <w:rPr>
                <w:noProof/>
                <w:webHidden/>
              </w:rPr>
              <w:t>193</w:t>
            </w:r>
            <w:r w:rsidR="00BD4DB7">
              <w:rPr>
                <w:noProof/>
                <w:webHidden/>
              </w:rPr>
              <w:fldChar w:fldCharType="end"/>
            </w:r>
          </w:hyperlink>
        </w:p>
        <w:p w14:paraId="36001014" w14:textId="348D911D"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59" w:history="1">
            <w:r w:rsidR="00BD4DB7" w:rsidRPr="0089237F">
              <w:rPr>
                <w:rStyle w:val="Hipervnculo"/>
                <w:noProof/>
              </w:rPr>
              <w:t>Artículo 1.12.1.2. Garantías en casos de contingencia.</w:t>
            </w:r>
            <w:r w:rsidR="00BD4DB7">
              <w:rPr>
                <w:noProof/>
                <w:webHidden/>
              </w:rPr>
              <w:tab/>
            </w:r>
            <w:r w:rsidR="00BD4DB7">
              <w:rPr>
                <w:noProof/>
                <w:webHidden/>
              </w:rPr>
              <w:fldChar w:fldCharType="begin"/>
            </w:r>
            <w:r w:rsidR="00BD4DB7">
              <w:rPr>
                <w:noProof/>
                <w:webHidden/>
              </w:rPr>
              <w:instrText xml:space="preserve"> PAGEREF _Toc31716059 \h </w:instrText>
            </w:r>
            <w:r w:rsidR="00BD4DB7">
              <w:rPr>
                <w:noProof/>
                <w:webHidden/>
              </w:rPr>
            </w:r>
            <w:r w:rsidR="00BD4DB7">
              <w:rPr>
                <w:noProof/>
                <w:webHidden/>
              </w:rPr>
              <w:fldChar w:fldCharType="separate"/>
            </w:r>
            <w:r w:rsidR="00BD4DB7">
              <w:rPr>
                <w:noProof/>
                <w:webHidden/>
              </w:rPr>
              <w:t>194</w:t>
            </w:r>
            <w:r w:rsidR="00BD4DB7">
              <w:rPr>
                <w:noProof/>
                <w:webHidden/>
              </w:rPr>
              <w:fldChar w:fldCharType="end"/>
            </w:r>
          </w:hyperlink>
        </w:p>
        <w:p w14:paraId="3B758F68" w14:textId="6060886E"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60" w:history="1">
            <w:r w:rsidR="00BD4DB7" w:rsidRPr="0089237F">
              <w:rPr>
                <w:rStyle w:val="Hipervnculo"/>
                <w:noProof/>
              </w:rPr>
              <w:t>Artículo 1.12.1.3. Información en casos de contingencia.</w:t>
            </w:r>
            <w:r w:rsidR="00BD4DB7">
              <w:rPr>
                <w:noProof/>
                <w:webHidden/>
              </w:rPr>
              <w:tab/>
            </w:r>
            <w:r w:rsidR="00BD4DB7">
              <w:rPr>
                <w:noProof/>
                <w:webHidden/>
              </w:rPr>
              <w:fldChar w:fldCharType="begin"/>
            </w:r>
            <w:r w:rsidR="00BD4DB7">
              <w:rPr>
                <w:noProof/>
                <w:webHidden/>
              </w:rPr>
              <w:instrText xml:space="preserve"> PAGEREF _Toc31716060 \h </w:instrText>
            </w:r>
            <w:r w:rsidR="00BD4DB7">
              <w:rPr>
                <w:noProof/>
                <w:webHidden/>
              </w:rPr>
            </w:r>
            <w:r w:rsidR="00BD4DB7">
              <w:rPr>
                <w:noProof/>
                <w:webHidden/>
              </w:rPr>
              <w:fldChar w:fldCharType="separate"/>
            </w:r>
            <w:r w:rsidR="00BD4DB7">
              <w:rPr>
                <w:noProof/>
                <w:webHidden/>
              </w:rPr>
              <w:t>194</w:t>
            </w:r>
            <w:r w:rsidR="00BD4DB7">
              <w:rPr>
                <w:noProof/>
                <w:webHidden/>
              </w:rPr>
              <w:fldChar w:fldCharType="end"/>
            </w:r>
          </w:hyperlink>
        </w:p>
        <w:p w14:paraId="280B4ED7" w14:textId="0EF3E497"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61" w:history="1">
            <w:r w:rsidR="00BD4DB7" w:rsidRPr="0089237F">
              <w:rPr>
                <w:rStyle w:val="Hipervnculo"/>
                <w:noProof/>
              </w:rPr>
              <w:t>TÍTULO DÉCIMO TERCERO</w:t>
            </w:r>
            <w:r w:rsidR="00BD4DB7">
              <w:rPr>
                <w:noProof/>
                <w:webHidden/>
              </w:rPr>
              <w:tab/>
            </w:r>
            <w:r w:rsidR="00BD4DB7">
              <w:rPr>
                <w:noProof/>
                <w:webHidden/>
              </w:rPr>
              <w:fldChar w:fldCharType="begin"/>
            </w:r>
            <w:r w:rsidR="00BD4DB7">
              <w:rPr>
                <w:noProof/>
                <w:webHidden/>
              </w:rPr>
              <w:instrText xml:space="preserve"> PAGEREF _Toc31716061 \h </w:instrText>
            </w:r>
            <w:r w:rsidR="00BD4DB7">
              <w:rPr>
                <w:noProof/>
                <w:webHidden/>
              </w:rPr>
            </w:r>
            <w:r w:rsidR="00BD4DB7">
              <w:rPr>
                <w:noProof/>
                <w:webHidden/>
              </w:rPr>
              <w:fldChar w:fldCharType="separate"/>
            </w:r>
            <w:r w:rsidR="00BD4DB7">
              <w:rPr>
                <w:noProof/>
                <w:webHidden/>
              </w:rPr>
              <w:t>194</w:t>
            </w:r>
            <w:r w:rsidR="00BD4DB7">
              <w:rPr>
                <w:noProof/>
                <w:webHidden/>
              </w:rPr>
              <w:fldChar w:fldCharType="end"/>
            </w:r>
          </w:hyperlink>
        </w:p>
        <w:p w14:paraId="54DC6193" w14:textId="35363DE5"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62" w:history="1">
            <w:r w:rsidR="00BD4DB7" w:rsidRPr="0089237F">
              <w:rPr>
                <w:rStyle w:val="Hipervnculo"/>
                <w:noProof/>
              </w:rPr>
              <w:t>CAPÍTULO PRIMERO</w:t>
            </w:r>
            <w:r w:rsidR="00BD4DB7">
              <w:rPr>
                <w:noProof/>
                <w:webHidden/>
              </w:rPr>
              <w:tab/>
            </w:r>
            <w:r w:rsidR="00BD4DB7">
              <w:rPr>
                <w:noProof/>
                <w:webHidden/>
              </w:rPr>
              <w:fldChar w:fldCharType="begin"/>
            </w:r>
            <w:r w:rsidR="00BD4DB7">
              <w:rPr>
                <w:noProof/>
                <w:webHidden/>
              </w:rPr>
              <w:instrText xml:space="preserve"> PAGEREF _Toc31716062 \h </w:instrText>
            </w:r>
            <w:r w:rsidR="00BD4DB7">
              <w:rPr>
                <w:noProof/>
                <w:webHidden/>
              </w:rPr>
            </w:r>
            <w:r w:rsidR="00BD4DB7">
              <w:rPr>
                <w:noProof/>
                <w:webHidden/>
              </w:rPr>
              <w:fldChar w:fldCharType="separate"/>
            </w:r>
            <w:r w:rsidR="00BD4DB7">
              <w:rPr>
                <w:noProof/>
                <w:webHidden/>
              </w:rPr>
              <w:t>194</w:t>
            </w:r>
            <w:r w:rsidR="00BD4DB7">
              <w:rPr>
                <w:noProof/>
                <w:webHidden/>
              </w:rPr>
              <w:fldChar w:fldCharType="end"/>
            </w:r>
          </w:hyperlink>
        </w:p>
        <w:p w14:paraId="25982B95" w14:textId="34959E93"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63" w:history="1">
            <w:r w:rsidR="00BD4DB7" w:rsidRPr="0089237F">
              <w:rPr>
                <w:rStyle w:val="Hipervnculo"/>
                <w:noProof/>
              </w:rPr>
              <w:t>RETENCIÓN EN LA FUENTE E IVA</w:t>
            </w:r>
            <w:r w:rsidR="00BD4DB7">
              <w:rPr>
                <w:noProof/>
                <w:webHidden/>
              </w:rPr>
              <w:tab/>
            </w:r>
            <w:r w:rsidR="00BD4DB7">
              <w:rPr>
                <w:noProof/>
                <w:webHidden/>
              </w:rPr>
              <w:fldChar w:fldCharType="begin"/>
            </w:r>
            <w:r w:rsidR="00BD4DB7">
              <w:rPr>
                <w:noProof/>
                <w:webHidden/>
              </w:rPr>
              <w:instrText xml:space="preserve"> PAGEREF _Toc31716063 \h </w:instrText>
            </w:r>
            <w:r w:rsidR="00BD4DB7">
              <w:rPr>
                <w:noProof/>
                <w:webHidden/>
              </w:rPr>
            </w:r>
            <w:r w:rsidR="00BD4DB7">
              <w:rPr>
                <w:noProof/>
                <w:webHidden/>
              </w:rPr>
              <w:fldChar w:fldCharType="separate"/>
            </w:r>
            <w:r w:rsidR="00BD4DB7">
              <w:rPr>
                <w:noProof/>
                <w:webHidden/>
              </w:rPr>
              <w:t>194</w:t>
            </w:r>
            <w:r w:rsidR="00BD4DB7">
              <w:rPr>
                <w:noProof/>
                <w:webHidden/>
              </w:rPr>
              <w:fldChar w:fldCharType="end"/>
            </w:r>
          </w:hyperlink>
        </w:p>
        <w:p w14:paraId="59CCAB2D" w14:textId="28C7AE55"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64" w:history="1">
            <w:r w:rsidR="00BD4DB7" w:rsidRPr="0089237F">
              <w:rPr>
                <w:rStyle w:val="Hipervnculo"/>
                <w:noProof/>
              </w:rPr>
              <w:t>Artículo 1.13.1.1. Manejo de retención en la fuente en Deceval.</w:t>
            </w:r>
            <w:r w:rsidR="00BD4DB7">
              <w:rPr>
                <w:noProof/>
                <w:webHidden/>
              </w:rPr>
              <w:tab/>
            </w:r>
            <w:r w:rsidR="00BD4DB7">
              <w:rPr>
                <w:noProof/>
                <w:webHidden/>
              </w:rPr>
              <w:fldChar w:fldCharType="begin"/>
            </w:r>
            <w:r w:rsidR="00BD4DB7">
              <w:rPr>
                <w:noProof/>
                <w:webHidden/>
              </w:rPr>
              <w:instrText xml:space="preserve"> PAGEREF _Toc31716064 \h </w:instrText>
            </w:r>
            <w:r w:rsidR="00BD4DB7">
              <w:rPr>
                <w:noProof/>
                <w:webHidden/>
              </w:rPr>
            </w:r>
            <w:r w:rsidR="00BD4DB7">
              <w:rPr>
                <w:noProof/>
                <w:webHidden/>
              </w:rPr>
              <w:fldChar w:fldCharType="separate"/>
            </w:r>
            <w:r w:rsidR="00BD4DB7">
              <w:rPr>
                <w:noProof/>
                <w:webHidden/>
              </w:rPr>
              <w:t>194</w:t>
            </w:r>
            <w:r w:rsidR="00BD4DB7">
              <w:rPr>
                <w:noProof/>
                <w:webHidden/>
              </w:rPr>
              <w:fldChar w:fldCharType="end"/>
            </w:r>
          </w:hyperlink>
        </w:p>
        <w:p w14:paraId="1BCFB218" w14:textId="1A8BA090"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65" w:history="1">
            <w:r w:rsidR="00BD4DB7" w:rsidRPr="0089237F">
              <w:rPr>
                <w:rStyle w:val="Hipervnculo"/>
                <w:noProof/>
              </w:rPr>
              <w:t>Artículo 1.13.1.2. Manejo de retención en la fuente en DCV.</w:t>
            </w:r>
            <w:r w:rsidR="00BD4DB7">
              <w:rPr>
                <w:noProof/>
                <w:webHidden/>
              </w:rPr>
              <w:tab/>
            </w:r>
            <w:r w:rsidR="00BD4DB7">
              <w:rPr>
                <w:noProof/>
                <w:webHidden/>
              </w:rPr>
              <w:fldChar w:fldCharType="begin"/>
            </w:r>
            <w:r w:rsidR="00BD4DB7">
              <w:rPr>
                <w:noProof/>
                <w:webHidden/>
              </w:rPr>
              <w:instrText xml:space="preserve"> PAGEREF _Toc31716065 \h </w:instrText>
            </w:r>
            <w:r w:rsidR="00BD4DB7">
              <w:rPr>
                <w:noProof/>
                <w:webHidden/>
              </w:rPr>
            </w:r>
            <w:r w:rsidR="00BD4DB7">
              <w:rPr>
                <w:noProof/>
                <w:webHidden/>
              </w:rPr>
              <w:fldChar w:fldCharType="separate"/>
            </w:r>
            <w:r w:rsidR="00BD4DB7">
              <w:rPr>
                <w:noProof/>
                <w:webHidden/>
              </w:rPr>
              <w:t>195</w:t>
            </w:r>
            <w:r w:rsidR="00BD4DB7">
              <w:rPr>
                <w:noProof/>
                <w:webHidden/>
              </w:rPr>
              <w:fldChar w:fldCharType="end"/>
            </w:r>
          </w:hyperlink>
        </w:p>
        <w:p w14:paraId="09F006E8" w14:textId="3AD9763E"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66" w:history="1">
            <w:r w:rsidR="00BD4DB7" w:rsidRPr="0089237F">
              <w:rPr>
                <w:rStyle w:val="Hipervnculo"/>
                <w:noProof/>
              </w:rPr>
              <w:t>TÍTULO DÉCIMO CUARTO</w:t>
            </w:r>
            <w:r w:rsidR="00BD4DB7">
              <w:rPr>
                <w:noProof/>
                <w:webHidden/>
              </w:rPr>
              <w:tab/>
            </w:r>
            <w:r w:rsidR="00BD4DB7">
              <w:rPr>
                <w:noProof/>
                <w:webHidden/>
              </w:rPr>
              <w:fldChar w:fldCharType="begin"/>
            </w:r>
            <w:r w:rsidR="00BD4DB7">
              <w:rPr>
                <w:noProof/>
                <w:webHidden/>
              </w:rPr>
              <w:instrText xml:space="preserve"> PAGEREF _Toc31716066 \h </w:instrText>
            </w:r>
            <w:r w:rsidR="00BD4DB7">
              <w:rPr>
                <w:noProof/>
                <w:webHidden/>
              </w:rPr>
            </w:r>
            <w:r w:rsidR="00BD4DB7">
              <w:rPr>
                <w:noProof/>
                <w:webHidden/>
              </w:rPr>
              <w:fldChar w:fldCharType="separate"/>
            </w:r>
            <w:r w:rsidR="00BD4DB7">
              <w:rPr>
                <w:noProof/>
                <w:webHidden/>
              </w:rPr>
              <w:t>195</w:t>
            </w:r>
            <w:r w:rsidR="00BD4DB7">
              <w:rPr>
                <w:noProof/>
                <w:webHidden/>
              </w:rPr>
              <w:fldChar w:fldCharType="end"/>
            </w:r>
          </w:hyperlink>
        </w:p>
        <w:p w14:paraId="5845B0FF" w14:textId="6D9F9AAB"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67" w:history="1">
            <w:r w:rsidR="00BD4DB7" w:rsidRPr="0089237F">
              <w:rPr>
                <w:rStyle w:val="Hipervnculo"/>
                <w:noProof/>
              </w:rPr>
              <w:t>CAPÍTULO PRIMERO</w:t>
            </w:r>
            <w:r w:rsidR="00BD4DB7">
              <w:rPr>
                <w:noProof/>
                <w:webHidden/>
              </w:rPr>
              <w:tab/>
            </w:r>
            <w:r w:rsidR="00BD4DB7">
              <w:rPr>
                <w:noProof/>
                <w:webHidden/>
              </w:rPr>
              <w:fldChar w:fldCharType="begin"/>
            </w:r>
            <w:r w:rsidR="00BD4DB7">
              <w:rPr>
                <w:noProof/>
                <w:webHidden/>
              </w:rPr>
              <w:instrText xml:space="preserve"> PAGEREF _Toc31716067 \h </w:instrText>
            </w:r>
            <w:r w:rsidR="00BD4DB7">
              <w:rPr>
                <w:noProof/>
                <w:webHidden/>
              </w:rPr>
            </w:r>
            <w:r w:rsidR="00BD4DB7">
              <w:rPr>
                <w:noProof/>
                <w:webHidden/>
              </w:rPr>
              <w:fldChar w:fldCharType="separate"/>
            </w:r>
            <w:r w:rsidR="00BD4DB7">
              <w:rPr>
                <w:noProof/>
                <w:webHidden/>
              </w:rPr>
              <w:t>195</w:t>
            </w:r>
            <w:r w:rsidR="00BD4DB7">
              <w:rPr>
                <w:noProof/>
                <w:webHidden/>
              </w:rPr>
              <w:fldChar w:fldCharType="end"/>
            </w:r>
          </w:hyperlink>
        </w:p>
        <w:p w14:paraId="04A401C1" w14:textId="695D0353"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68" w:history="1">
            <w:r w:rsidR="00BD4DB7" w:rsidRPr="0089237F">
              <w:rPr>
                <w:rStyle w:val="Hipervnculo"/>
                <w:noProof/>
              </w:rPr>
              <w:t>INFORMES DE AUDITORÍA</w:t>
            </w:r>
            <w:r w:rsidR="00BD4DB7">
              <w:rPr>
                <w:noProof/>
                <w:webHidden/>
              </w:rPr>
              <w:tab/>
            </w:r>
            <w:r w:rsidR="00BD4DB7">
              <w:rPr>
                <w:noProof/>
                <w:webHidden/>
              </w:rPr>
              <w:fldChar w:fldCharType="begin"/>
            </w:r>
            <w:r w:rsidR="00BD4DB7">
              <w:rPr>
                <w:noProof/>
                <w:webHidden/>
              </w:rPr>
              <w:instrText xml:space="preserve"> PAGEREF _Toc31716068 \h </w:instrText>
            </w:r>
            <w:r w:rsidR="00BD4DB7">
              <w:rPr>
                <w:noProof/>
                <w:webHidden/>
              </w:rPr>
            </w:r>
            <w:r w:rsidR="00BD4DB7">
              <w:rPr>
                <w:noProof/>
                <w:webHidden/>
              </w:rPr>
              <w:fldChar w:fldCharType="separate"/>
            </w:r>
            <w:r w:rsidR="00BD4DB7">
              <w:rPr>
                <w:noProof/>
                <w:webHidden/>
              </w:rPr>
              <w:t>195</w:t>
            </w:r>
            <w:r w:rsidR="00BD4DB7">
              <w:rPr>
                <w:noProof/>
                <w:webHidden/>
              </w:rPr>
              <w:fldChar w:fldCharType="end"/>
            </w:r>
          </w:hyperlink>
        </w:p>
        <w:p w14:paraId="22E3F7CC" w14:textId="1D67DD2E"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69" w:history="1">
            <w:r w:rsidR="00BD4DB7" w:rsidRPr="0089237F">
              <w:rPr>
                <w:rStyle w:val="Hipervnculo"/>
                <w:rFonts w:eastAsiaTheme="minorHAnsi"/>
                <w:noProof/>
              </w:rPr>
              <w:t>Artículo 1.14.1.1. Informes de Auditoría</w:t>
            </w:r>
            <w:r w:rsidR="00BD4DB7">
              <w:rPr>
                <w:noProof/>
                <w:webHidden/>
              </w:rPr>
              <w:tab/>
            </w:r>
            <w:r w:rsidR="00BD4DB7">
              <w:rPr>
                <w:noProof/>
                <w:webHidden/>
              </w:rPr>
              <w:fldChar w:fldCharType="begin"/>
            </w:r>
            <w:r w:rsidR="00BD4DB7">
              <w:rPr>
                <w:noProof/>
                <w:webHidden/>
              </w:rPr>
              <w:instrText xml:space="preserve"> PAGEREF _Toc31716069 \h </w:instrText>
            </w:r>
            <w:r w:rsidR="00BD4DB7">
              <w:rPr>
                <w:noProof/>
                <w:webHidden/>
              </w:rPr>
            </w:r>
            <w:r w:rsidR="00BD4DB7">
              <w:rPr>
                <w:noProof/>
                <w:webHidden/>
              </w:rPr>
              <w:fldChar w:fldCharType="separate"/>
            </w:r>
            <w:r w:rsidR="00BD4DB7">
              <w:rPr>
                <w:noProof/>
                <w:webHidden/>
              </w:rPr>
              <w:t>195</w:t>
            </w:r>
            <w:r w:rsidR="00BD4DB7">
              <w:rPr>
                <w:noProof/>
                <w:webHidden/>
              </w:rPr>
              <w:fldChar w:fldCharType="end"/>
            </w:r>
          </w:hyperlink>
        </w:p>
        <w:p w14:paraId="1EA606CE" w14:textId="49D22B2B"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70" w:history="1">
            <w:r w:rsidR="00BD4DB7" w:rsidRPr="0089237F">
              <w:rPr>
                <w:rStyle w:val="Hipervnculo"/>
                <w:noProof/>
              </w:rPr>
              <w:t>TÍTULO DÉCIMO QUINTO</w:t>
            </w:r>
            <w:r w:rsidR="00BD4DB7">
              <w:rPr>
                <w:noProof/>
                <w:webHidden/>
              </w:rPr>
              <w:tab/>
            </w:r>
            <w:r w:rsidR="00BD4DB7">
              <w:rPr>
                <w:noProof/>
                <w:webHidden/>
              </w:rPr>
              <w:fldChar w:fldCharType="begin"/>
            </w:r>
            <w:r w:rsidR="00BD4DB7">
              <w:rPr>
                <w:noProof/>
                <w:webHidden/>
              </w:rPr>
              <w:instrText xml:space="preserve"> PAGEREF _Toc31716070 \h </w:instrText>
            </w:r>
            <w:r w:rsidR="00BD4DB7">
              <w:rPr>
                <w:noProof/>
                <w:webHidden/>
              </w:rPr>
            </w:r>
            <w:r w:rsidR="00BD4DB7">
              <w:rPr>
                <w:noProof/>
                <w:webHidden/>
              </w:rPr>
              <w:fldChar w:fldCharType="separate"/>
            </w:r>
            <w:r w:rsidR="00BD4DB7">
              <w:rPr>
                <w:noProof/>
                <w:webHidden/>
              </w:rPr>
              <w:t>196</w:t>
            </w:r>
            <w:r w:rsidR="00BD4DB7">
              <w:rPr>
                <w:noProof/>
                <w:webHidden/>
              </w:rPr>
              <w:fldChar w:fldCharType="end"/>
            </w:r>
          </w:hyperlink>
        </w:p>
        <w:p w14:paraId="625FE16E" w14:textId="25775204"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71" w:history="1">
            <w:r w:rsidR="00BD4DB7" w:rsidRPr="0089237F">
              <w:rPr>
                <w:rStyle w:val="Hipervnculo"/>
                <w:noProof/>
              </w:rPr>
              <w:t>CAPÍTULO PRIMERO</w:t>
            </w:r>
            <w:r w:rsidR="00BD4DB7">
              <w:rPr>
                <w:noProof/>
                <w:webHidden/>
              </w:rPr>
              <w:tab/>
            </w:r>
            <w:r w:rsidR="00BD4DB7">
              <w:rPr>
                <w:noProof/>
                <w:webHidden/>
              </w:rPr>
              <w:fldChar w:fldCharType="begin"/>
            </w:r>
            <w:r w:rsidR="00BD4DB7">
              <w:rPr>
                <w:noProof/>
                <w:webHidden/>
              </w:rPr>
              <w:instrText xml:space="preserve"> PAGEREF _Toc31716071 \h </w:instrText>
            </w:r>
            <w:r w:rsidR="00BD4DB7">
              <w:rPr>
                <w:noProof/>
                <w:webHidden/>
              </w:rPr>
            </w:r>
            <w:r w:rsidR="00BD4DB7">
              <w:rPr>
                <w:noProof/>
                <w:webHidden/>
              </w:rPr>
              <w:fldChar w:fldCharType="separate"/>
            </w:r>
            <w:r w:rsidR="00BD4DB7">
              <w:rPr>
                <w:noProof/>
                <w:webHidden/>
              </w:rPr>
              <w:t>196</w:t>
            </w:r>
            <w:r w:rsidR="00BD4DB7">
              <w:rPr>
                <w:noProof/>
                <w:webHidden/>
              </w:rPr>
              <w:fldChar w:fldCharType="end"/>
            </w:r>
          </w:hyperlink>
        </w:p>
        <w:p w14:paraId="13581593" w14:textId="227D964A"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72" w:history="1">
            <w:r w:rsidR="00BD4DB7" w:rsidRPr="0089237F">
              <w:rPr>
                <w:rStyle w:val="Hipervnculo"/>
                <w:noProof/>
              </w:rPr>
              <w:t>REQUERIMIENTOS DE INFRAESTRUCTURA TECNOLÓGICA</w:t>
            </w:r>
            <w:r w:rsidR="00BD4DB7">
              <w:rPr>
                <w:noProof/>
                <w:webHidden/>
              </w:rPr>
              <w:tab/>
            </w:r>
            <w:r w:rsidR="00BD4DB7">
              <w:rPr>
                <w:noProof/>
                <w:webHidden/>
              </w:rPr>
              <w:fldChar w:fldCharType="begin"/>
            </w:r>
            <w:r w:rsidR="00BD4DB7">
              <w:rPr>
                <w:noProof/>
                <w:webHidden/>
              </w:rPr>
              <w:instrText xml:space="preserve"> PAGEREF _Toc31716072 \h </w:instrText>
            </w:r>
            <w:r w:rsidR="00BD4DB7">
              <w:rPr>
                <w:noProof/>
                <w:webHidden/>
              </w:rPr>
            </w:r>
            <w:r w:rsidR="00BD4DB7">
              <w:rPr>
                <w:noProof/>
                <w:webHidden/>
              </w:rPr>
              <w:fldChar w:fldCharType="separate"/>
            </w:r>
            <w:r w:rsidR="00BD4DB7">
              <w:rPr>
                <w:noProof/>
                <w:webHidden/>
              </w:rPr>
              <w:t>196</w:t>
            </w:r>
            <w:r w:rsidR="00BD4DB7">
              <w:rPr>
                <w:noProof/>
                <w:webHidden/>
              </w:rPr>
              <w:fldChar w:fldCharType="end"/>
            </w:r>
          </w:hyperlink>
        </w:p>
        <w:p w14:paraId="35406F5C" w14:textId="74167680"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73" w:history="1">
            <w:r w:rsidR="00BD4DB7" w:rsidRPr="0089237F">
              <w:rPr>
                <w:rStyle w:val="Hipervnculo"/>
                <w:noProof/>
              </w:rPr>
              <w:t>Artículo 1.15.1.1. Definiciones.</w:t>
            </w:r>
            <w:r w:rsidR="00BD4DB7">
              <w:rPr>
                <w:noProof/>
                <w:webHidden/>
              </w:rPr>
              <w:tab/>
            </w:r>
            <w:r w:rsidR="00BD4DB7">
              <w:rPr>
                <w:noProof/>
                <w:webHidden/>
              </w:rPr>
              <w:fldChar w:fldCharType="begin"/>
            </w:r>
            <w:r w:rsidR="00BD4DB7">
              <w:rPr>
                <w:noProof/>
                <w:webHidden/>
              </w:rPr>
              <w:instrText xml:space="preserve"> PAGEREF _Toc31716073 \h </w:instrText>
            </w:r>
            <w:r w:rsidR="00BD4DB7">
              <w:rPr>
                <w:noProof/>
                <w:webHidden/>
              </w:rPr>
            </w:r>
            <w:r w:rsidR="00BD4DB7">
              <w:rPr>
                <w:noProof/>
                <w:webHidden/>
              </w:rPr>
              <w:fldChar w:fldCharType="separate"/>
            </w:r>
            <w:r w:rsidR="00BD4DB7">
              <w:rPr>
                <w:noProof/>
                <w:webHidden/>
              </w:rPr>
              <w:t>196</w:t>
            </w:r>
            <w:r w:rsidR="00BD4DB7">
              <w:rPr>
                <w:noProof/>
                <w:webHidden/>
              </w:rPr>
              <w:fldChar w:fldCharType="end"/>
            </w:r>
          </w:hyperlink>
        </w:p>
        <w:p w14:paraId="03FCF6CA" w14:textId="3E0CE6FC"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74" w:history="1">
            <w:r w:rsidR="00BD4DB7" w:rsidRPr="0089237F">
              <w:rPr>
                <w:rStyle w:val="Hipervnculo"/>
                <w:noProof/>
              </w:rPr>
              <w:t>Artículo 1.15.1.2. Requerimientos de Infraestructura de Comunicaciones.</w:t>
            </w:r>
            <w:r w:rsidR="00BD4DB7">
              <w:rPr>
                <w:noProof/>
                <w:webHidden/>
              </w:rPr>
              <w:tab/>
            </w:r>
            <w:r w:rsidR="00BD4DB7">
              <w:rPr>
                <w:noProof/>
                <w:webHidden/>
              </w:rPr>
              <w:fldChar w:fldCharType="begin"/>
            </w:r>
            <w:r w:rsidR="00BD4DB7">
              <w:rPr>
                <w:noProof/>
                <w:webHidden/>
              </w:rPr>
              <w:instrText xml:space="preserve"> PAGEREF _Toc31716074 \h </w:instrText>
            </w:r>
            <w:r w:rsidR="00BD4DB7">
              <w:rPr>
                <w:noProof/>
                <w:webHidden/>
              </w:rPr>
            </w:r>
            <w:r w:rsidR="00BD4DB7">
              <w:rPr>
                <w:noProof/>
                <w:webHidden/>
              </w:rPr>
              <w:fldChar w:fldCharType="separate"/>
            </w:r>
            <w:r w:rsidR="00BD4DB7">
              <w:rPr>
                <w:noProof/>
                <w:webHidden/>
              </w:rPr>
              <w:t>197</w:t>
            </w:r>
            <w:r w:rsidR="00BD4DB7">
              <w:rPr>
                <w:noProof/>
                <w:webHidden/>
              </w:rPr>
              <w:fldChar w:fldCharType="end"/>
            </w:r>
          </w:hyperlink>
        </w:p>
        <w:p w14:paraId="1A94591C" w14:textId="15F4EDBE"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75" w:history="1">
            <w:r w:rsidR="00BD4DB7" w:rsidRPr="0089237F">
              <w:rPr>
                <w:rStyle w:val="Hipervnculo"/>
                <w:noProof/>
              </w:rPr>
              <w:t>Artículo 1.15.1.3. Requerimientos de Infraestructura Tecnológica.</w:t>
            </w:r>
            <w:r w:rsidR="00BD4DB7">
              <w:rPr>
                <w:noProof/>
                <w:webHidden/>
              </w:rPr>
              <w:tab/>
            </w:r>
            <w:r w:rsidR="00BD4DB7">
              <w:rPr>
                <w:noProof/>
                <w:webHidden/>
              </w:rPr>
              <w:fldChar w:fldCharType="begin"/>
            </w:r>
            <w:r w:rsidR="00BD4DB7">
              <w:rPr>
                <w:noProof/>
                <w:webHidden/>
              </w:rPr>
              <w:instrText xml:space="preserve"> PAGEREF _Toc31716075 \h </w:instrText>
            </w:r>
            <w:r w:rsidR="00BD4DB7">
              <w:rPr>
                <w:noProof/>
                <w:webHidden/>
              </w:rPr>
            </w:r>
            <w:r w:rsidR="00BD4DB7">
              <w:rPr>
                <w:noProof/>
                <w:webHidden/>
              </w:rPr>
              <w:fldChar w:fldCharType="separate"/>
            </w:r>
            <w:r w:rsidR="00BD4DB7">
              <w:rPr>
                <w:noProof/>
                <w:webHidden/>
              </w:rPr>
              <w:t>198</w:t>
            </w:r>
            <w:r w:rsidR="00BD4DB7">
              <w:rPr>
                <w:noProof/>
                <w:webHidden/>
              </w:rPr>
              <w:fldChar w:fldCharType="end"/>
            </w:r>
          </w:hyperlink>
        </w:p>
        <w:p w14:paraId="482B43B7" w14:textId="02AA276D"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76" w:history="1">
            <w:r w:rsidR="00BD4DB7" w:rsidRPr="0089237F">
              <w:rPr>
                <w:rStyle w:val="Hipervnculo"/>
                <w:noProof/>
              </w:rPr>
              <w:t>Artículo 1.15.1.4. Cumplimiento de las Normas de Seguridad Eléctrica.</w:t>
            </w:r>
            <w:r w:rsidR="00BD4DB7">
              <w:rPr>
                <w:noProof/>
                <w:webHidden/>
              </w:rPr>
              <w:tab/>
            </w:r>
            <w:r w:rsidR="00BD4DB7">
              <w:rPr>
                <w:noProof/>
                <w:webHidden/>
              </w:rPr>
              <w:fldChar w:fldCharType="begin"/>
            </w:r>
            <w:r w:rsidR="00BD4DB7">
              <w:rPr>
                <w:noProof/>
                <w:webHidden/>
              </w:rPr>
              <w:instrText xml:space="preserve"> PAGEREF _Toc31716076 \h </w:instrText>
            </w:r>
            <w:r w:rsidR="00BD4DB7">
              <w:rPr>
                <w:noProof/>
                <w:webHidden/>
              </w:rPr>
            </w:r>
            <w:r w:rsidR="00BD4DB7">
              <w:rPr>
                <w:noProof/>
                <w:webHidden/>
              </w:rPr>
              <w:fldChar w:fldCharType="separate"/>
            </w:r>
            <w:r w:rsidR="00BD4DB7">
              <w:rPr>
                <w:noProof/>
                <w:webHidden/>
              </w:rPr>
              <w:t>199</w:t>
            </w:r>
            <w:r w:rsidR="00BD4DB7">
              <w:rPr>
                <w:noProof/>
                <w:webHidden/>
              </w:rPr>
              <w:fldChar w:fldCharType="end"/>
            </w:r>
          </w:hyperlink>
        </w:p>
        <w:p w14:paraId="3ED19454" w14:textId="04E8C4FC"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77" w:history="1">
            <w:r w:rsidR="00BD4DB7" w:rsidRPr="0089237F">
              <w:rPr>
                <w:rStyle w:val="Hipervnculo"/>
                <w:rFonts w:eastAsia="Calibri"/>
                <w:noProof/>
              </w:rPr>
              <w:t>PARTE II</w:t>
            </w:r>
            <w:r w:rsidR="00BD4DB7">
              <w:rPr>
                <w:noProof/>
                <w:webHidden/>
              </w:rPr>
              <w:tab/>
            </w:r>
            <w:r w:rsidR="00BD4DB7">
              <w:rPr>
                <w:noProof/>
                <w:webHidden/>
              </w:rPr>
              <w:fldChar w:fldCharType="begin"/>
            </w:r>
            <w:r w:rsidR="00BD4DB7">
              <w:rPr>
                <w:noProof/>
                <w:webHidden/>
              </w:rPr>
              <w:instrText xml:space="preserve"> PAGEREF _Toc31716077 \h </w:instrText>
            </w:r>
            <w:r w:rsidR="00BD4DB7">
              <w:rPr>
                <w:noProof/>
                <w:webHidden/>
              </w:rPr>
            </w:r>
            <w:r w:rsidR="00BD4DB7">
              <w:rPr>
                <w:noProof/>
                <w:webHidden/>
              </w:rPr>
              <w:fldChar w:fldCharType="separate"/>
            </w:r>
            <w:r w:rsidR="00BD4DB7">
              <w:rPr>
                <w:noProof/>
                <w:webHidden/>
              </w:rPr>
              <w:t>199</w:t>
            </w:r>
            <w:r w:rsidR="00BD4DB7">
              <w:rPr>
                <w:noProof/>
                <w:webHidden/>
              </w:rPr>
              <w:fldChar w:fldCharType="end"/>
            </w:r>
          </w:hyperlink>
        </w:p>
        <w:p w14:paraId="093433FC" w14:textId="63AAEAAB"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78" w:history="1">
            <w:r w:rsidR="00BD4DB7" w:rsidRPr="0089237F">
              <w:rPr>
                <w:rStyle w:val="Hipervnculo"/>
                <w:rFonts w:eastAsia="Calibri"/>
                <w:noProof/>
              </w:rPr>
              <w:t>SEGMENTO DE DERIVADOS FINANCIEROS</w:t>
            </w:r>
            <w:r w:rsidR="00BD4DB7">
              <w:rPr>
                <w:noProof/>
                <w:webHidden/>
              </w:rPr>
              <w:tab/>
            </w:r>
            <w:r w:rsidR="00BD4DB7">
              <w:rPr>
                <w:noProof/>
                <w:webHidden/>
              </w:rPr>
              <w:fldChar w:fldCharType="begin"/>
            </w:r>
            <w:r w:rsidR="00BD4DB7">
              <w:rPr>
                <w:noProof/>
                <w:webHidden/>
              </w:rPr>
              <w:instrText xml:space="preserve"> PAGEREF _Toc31716078 \h </w:instrText>
            </w:r>
            <w:r w:rsidR="00BD4DB7">
              <w:rPr>
                <w:noProof/>
                <w:webHidden/>
              </w:rPr>
            </w:r>
            <w:r w:rsidR="00BD4DB7">
              <w:rPr>
                <w:noProof/>
                <w:webHidden/>
              </w:rPr>
              <w:fldChar w:fldCharType="separate"/>
            </w:r>
            <w:r w:rsidR="00BD4DB7">
              <w:rPr>
                <w:noProof/>
                <w:webHidden/>
              </w:rPr>
              <w:t>199</w:t>
            </w:r>
            <w:r w:rsidR="00BD4DB7">
              <w:rPr>
                <w:noProof/>
                <w:webHidden/>
              </w:rPr>
              <w:fldChar w:fldCharType="end"/>
            </w:r>
          </w:hyperlink>
        </w:p>
        <w:p w14:paraId="32BAF961" w14:textId="69574502"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79" w:history="1">
            <w:r w:rsidR="00BD4DB7" w:rsidRPr="0089237F">
              <w:rPr>
                <w:rStyle w:val="Hipervnculo"/>
                <w:rFonts w:eastAsia="Calibri"/>
                <w:noProof/>
              </w:rPr>
              <w:t>TÍTULO PRIMERO</w:t>
            </w:r>
            <w:r w:rsidR="00BD4DB7">
              <w:rPr>
                <w:noProof/>
                <w:webHidden/>
              </w:rPr>
              <w:tab/>
            </w:r>
            <w:r w:rsidR="00BD4DB7">
              <w:rPr>
                <w:noProof/>
                <w:webHidden/>
              </w:rPr>
              <w:fldChar w:fldCharType="begin"/>
            </w:r>
            <w:r w:rsidR="00BD4DB7">
              <w:rPr>
                <w:noProof/>
                <w:webHidden/>
              </w:rPr>
              <w:instrText xml:space="preserve"> PAGEREF _Toc31716079 \h </w:instrText>
            </w:r>
            <w:r w:rsidR="00BD4DB7">
              <w:rPr>
                <w:noProof/>
                <w:webHidden/>
              </w:rPr>
            </w:r>
            <w:r w:rsidR="00BD4DB7">
              <w:rPr>
                <w:noProof/>
                <w:webHidden/>
              </w:rPr>
              <w:fldChar w:fldCharType="separate"/>
            </w:r>
            <w:r w:rsidR="00BD4DB7">
              <w:rPr>
                <w:noProof/>
                <w:webHidden/>
              </w:rPr>
              <w:t>200</w:t>
            </w:r>
            <w:r w:rsidR="00BD4DB7">
              <w:rPr>
                <w:noProof/>
                <w:webHidden/>
              </w:rPr>
              <w:fldChar w:fldCharType="end"/>
            </w:r>
          </w:hyperlink>
        </w:p>
        <w:p w14:paraId="49FDC5DF" w14:textId="2F7C029D"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80" w:history="1">
            <w:r w:rsidR="00BD4DB7" w:rsidRPr="0089237F">
              <w:rPr>
                <w:rStyle w:val="Hipervnculo"/>
                <w:rFonts w:eastAsia="Calibri"/>
                <w:noProof/>
              </w:rPr>
              <w:t>MIEMBROS DE LA CÁMARA, TERCEROS Y PARTICIPACIÓN EN EL SEGMENTO</w:t>
            </w:r>
            <w:r w:rsidR="00BD4DB7">
              <w:rPr>
                <w:noProof/>
                <w:webHidden/>
              </w:rPr>
              <w:tab/>
            </w:r>
            <w:r w:rsidR="00BD4DB7">
              <w:rPr>
                <w:noProof/>
                <w:webHidden/>
              </w:rPr>
              <w:fldChar w:fldCharType="begin"/>
            </w:r>
            <w:r w:rsidR="00BD4DB7">
              <w:rPr>
                <w:noProof/>
                <w:webHidden/>
              </w:rPr>
              <w:instrText xml:space="preserve"> PAGEREF _Toc31716080 \h </w:instrText>
            </w:r>
            <w:r w:rsidR="00BD4DB7">
              <w:rPr>
                <w:noProof/>
                <w:webHidden/>
              </w:rPr>
            </w:r>
            <w:r w:rsidR="00BD4DB7">
              <w:rPr>
                <w:noProof/>
                <w:webHidden/>
              </w:rPr>
              <w:fldChar w:fldCharType="separate"/>
            </w:r>
            <w:r w:rsidR="00BD4DB7">
              <w:rPr>
                <w:noProof/>
                <w:webHidden/>
              </w:rPr>
              <w:t>200</w:t>
            </w:r>
            <w:r w:rsidR="00BD4DB7">
              <w:rPr>
                <w:noProof/>
                <w:webHidden/>
              </w:rPr>
              <w:fldChar w:fldCharType="end"/>
            </w:r>
          </w:hyperlink>
        </w:p>
        <w:p w14:paraId="279CC85E" w14:textId="41D3FED8"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81" w:history="1">
            <w:r w:rsidR="00BD4DB7" w:rsidRPr="0089237F">
              <w:rPr>
                <w:rStyle w:val="Hipervnculo"/>
                <w:rFonts w:eastAsia="Calibri"/>
                <w:noProof/>
              </w:rPr>
              <w:t>CAPÍTULO PRIMERO</w:t>
            </w:r>
            <w:r w:rsidR="00BD4DB7">
              <w:rPr>
                <w:noProof/>
                <w:webHidden/>
              </w:rPr>
              <w:tab/>
            </w:r>
            <w:r w:rsidR="00BD4DB7">
              <w:rPr>
                <w:noProof/>
                <w:webHidden/>
              </w:rPr>
              <w:fldChar w:fldCharType="begin"/>
            </w:r>
            <w:r w:rsidR="00BD4DB7">
              <w:rPr>
                <w:noProof/>
                <w:webHidden/>
              </w:rPr>
              <w:instrText xml:space="preserve"> PAGEREF _Toc31716081 \h </w:instrText>
            </w:r>
            <w:r w:rsidR="00BD4DB7">
              <w:rPr>
                <w:noProof/>
                <w:webHidden/>
              </w:rPr>
            </w:r>
            <w:r w:rsidR="00BD4DB7">
              <w:rPr>
                <w:noProof/>
                <w:webHidden/>
              </w:rPr>
              <w:fldChar w:fldCharType="separate"/>
            </w:r>
            <w:r w:rsidR="00BD4DB7">
              <w:rPr>
                <w:noProof/>
                <w:webHidden/>
              </w:rPr>
              <w:t>200</w:t>
            </w:r>
            <w:r w:rsidR="00BD4DB7">
              <w:rPr>
                <w:noProof/>
                <w:webHidden/>
              </w:rPr>
              <w:fldChar w:fldCharType="end"/>
            </w:r>
          </w:hyperlink>
        </w:p>
        <w:p w14:paraId="44BF7525" w14:textId="03FD93A1"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82" w:history="1">
            <w:r w:rsidR="00BD4DB7" w:rsidRPr="0089237F">
              <w:rPr>
                <w:rStyle w:val="Hipervnculo"/>
                <w:rFonts w:eastAsia="Calibri"/>
                <w:noProof/>
              </w:rPr>
              <w:t>REQUISITOS DE PARTICIPACIÓN, MODIFICACIÓN Y PERMANENCIA DE LOS MIEMBROS</w:t>
            </w:r>
            <w:r w:rsidR="00BD4DB7">
              <w:rPr>
                <w:noProof/>
                <w:webHidden/>
              </w:rPr>
              <w:tab/>
            </w:r>
            <w:r w:rsidR="00BD4DB7">
              <w:rPr>
                <w:noProof/>
                <w:webHidden/>
              </w:rPr>
              <w:fldChar w:fldCharType="begin"/>
            </w:r>
            <w:r w:rsidR="00BD4DB7">
              <w:rPr>
                <w:noProof/>
                <w:webHidden/>
              </w:rPr>
              <w:instrText xml:space="preserve"> PAGEREF _Toc31716082 \h </w:instrText>
            </w:r>
            <w:r w:rsidR="00BD4DB7">
              <w:rPr>
                <w:noProof/>
                <w:webHidden/>
              </w:rPr>
            </w:r>
            <w:r w:rsidR="00BD4DB7">
              <w:rPr>
                <w:noProof/>
                <w:webHidden/>
              </w:rPr>
              <w:fldChar w:fldCharType="separate"/>
            </w:r>
            <w:r w:rsidR="00BD4DB7">
              <w:rPr>
                <w:noProof/>
                <w:webHidden/>
              </w:rPr>
              <w:t>200</w:t>
            </w:r>
            <w:r w:rsidR="00BD4DB7">
              <w:rPr>
                <w:noProof/>
                <w:webHidden/>
              </w:rPr>
              <w:fldChar w:fldCharType="end"/>
            </w:r>
          </w:hyperlink>
        </w:p>
        <w:p w14:paraId="7FFDF2B7" w14:textId="35257972"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83" w:history="1">
            <w:r w:rsidR="00BD4DB7" w:rsidRPr="0089237F">
              <w:rPr>
                <w:rStyle w:val="Hipervnculo"/>
                <w:noProof/>
              </w:rPr>
              <w:t>Artículo 2.1.1.1. Solicitud para participar en el Segmento de Derivados y procedimiento operativo de ingreso.</w:t>
            </w:r>
            <w:r w:rsidR="00BD4DB7">
              <w:rPr>
                <w:noProof/>
                <w:webHidden/>
              </w:rPr>
              <w:tab/>
            </w:r>
            <w:r w:rsidR="00BD4DB7">
              <w:rPr>
                <w:noProof/>
                <w:webHidden/>
              </w:rPr>
              <w:fldChar w:fldCharType="begin"/>
            </w:r>
            <w:r w:rsidR="00BD4DB7">
              <w:rPr>
                <w:noProof/>
                <w:webHidden/>
              </w:rPr>
              <w:instrText xml:space="preserve"> PAGEREF _Toc31716083 \h </w:instrText>
            </w:r>
            <w:r w:rsidR="00BD4DB7">
              <w:rPr>
                <w:noProof/>
                <w:webHidden/>
              </w:rPr>
            </w:r>
            <w:r w:rsidR="00BD4DB7">
              <w:rPr>
                <w:noProof/>
                <w:webHidden/>
              </w:rPr>
              <w:fldChar w:fldCharType="separate"/>
            </w:r>
            <w:r w:rsidR="00BD4DB7">
              <w:rPr>
                <w:noProof/>
                <w:webHidden/>
              </w:rPr>
              <w:t>200</w:t>
            </w:r>
            <w:r w:rsidR="00BD4DB7">
              <w:rPr>
                <w:noProof/>
                <w:webHidden/>
              </w:rPr>
              <w:fldChar w:fldCharType="end"/>
            </w:r>
          </w:hyperlink>
        </w:p>
        <w:p w14:paraId="4C55545C" w14:textId="561A713E"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84" w:history="1">
            <w:r w:rsidR="00BD4DB7" w:rsidRPr="0089237F">
              <w:rPr>
                <w:rStyle w:val="Hipervnculo"/>
                <w:noProof/>
              </w:rPr>
              <w:t>Artículo 2.1.1.2. Requisito de patrimonio técnico para el Miembro Liquidador General para Participar en el Segmento de Derivados Financieros.</w:t>
            </w:r>
            <w:r w:rsidR="00BD4DB7">
              <w:rPr>
                <w:noProof/>
                <w:webHidden/>
              </w:rPr>
              <w:tab/>
            </w:r>
            <w:r w:rsidR="00BD4DB7">
              <w:rPr>
                <w:noProof/>
                <w:webHidden/>
              </w:rPr>
              <w:fldChar w:fldCharType="begin"/>
            </w:r>
            <w:r w:rsidR="00BD4DB7">
              <w:rPr>
                <w:noProof/>
                <w:webHidden/>
              </w:rPr>
              <w:instrText xml:space="preserve"> PAGEREF _Toc31716084 \h </w:instrText>
            </w:r>
            <w:r w:rsidR="00BD4DB7">
              <w:rPr>
                <w:noProof/>
                <w:webHidden/>
              </w:rPr>
            </w:r>
            <w:r w:rsidR="00BD4DB7">
              <w:rPr>
                <w:noProof/>
                <w:webHidden/>
              </w:rPr>
              <w:fldChar w:fldCharType="separate"/>
            </w:r>
            <w:r w:rsidR="00BD4DB7">
              <w:rPr>
                <w:noProof/>
                <w:webHidden/>
              </w:rPr>
              <w:t>200</w:t>
            </w:r>
            <w:r w:rsidR="00BD4DB7">
              <w:rPr>
                <w:noProof/>
                <w:webHidden/>
              </w:rPr>
              <w:fldChar w:fldCharType="end"/>
            </w:r>
          </w:hyperlink>
        </w:p>
        <w:p w14:paraId="00922D42" w14:textId="1B828CBC"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85" w:history="1">
            <w:r w:rsidR="00BD4DB7" w:rsidRPr="0089237F">
              <w:rPr>
                <w:rStyle w:val="Hipervnculo"/>
                <w:noProof/>
              </w:rPr>
              <w:t>Artículo 2.1.1.3. Requisito de patrimonio técnico para el Miembro Liquidador Individual para Participar el Segmento de Derivados Financieros.</w:t>
            </w:r>
            <w:r w:rsidR="00BD4DB7">
              <w:rPr>
                <w:noProof/>
                <w:webHidden/>
              </w:rPr>
              <w:tab/>
            </w:r>
            <w:r w:rsidR="00BD4DB7">
              <w:rPr>
                <w:noProof/>
                <w:webHidden/>
              </w:rPr>
              <w:fldChar w:fldCharType="begin"/>
            </w:r>
            <w:r w:rsidR="00BD4DB7">
              <w:rPr>
                <w:noProof/>
                <w:webHidden/>
              </w:rPr>
              <w:instrText xml:space="preserve"> PAGEREF _Toc31716085 \h </w:instrText>
            </w:r>
            <w:r w:rsidR="00BD4DB7">
              <w:rPr>
                <w:noProof/>
                <w:webHidden/>
              </w:rPr>
            </w:r>
            <w:r w:rsidR="00BD4DB7">
              <w:rPr>
                <w:noProof/>
                <w:webHidden/>
              </w:rPr>
              <w:fldChar w:fldCharType="separate"/>
            </w:r>
            <w:r w:rsidR="00BD4DB7">
              <w:rPr>
                <w:noProof/>
                <w:webHidden/>
              </w:rPr>
              <w:t>201</w:t>
            </w:r>
            <w:r w:rsidR="00BD4DB7">
              <w:rPr>
                <w:noProof/>
                <w:webHidden/>
              </w:rPr>
              <w:fldChar w:fldCharType="end"/>
            </w:r>
          </w:hyperlink>
        </w:p>
        <w:p w14:paraId="02DEFCAB" w14:textId="05F5EC63"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86" w:history="1">
            <w:r w:rsidR="00BD4DB7" w:rsidRPr="0089237F">
              <w:rPr>
                <w:rStyle w:val="Hipervnculo"/>
                <w:noProof/>
              </w:rPr>
              <w:t>Artículo 2.1.1.4. Procedimiento operativo para el retiro del Segmento de Derivados Financieros.</w:t>
            </w:r>
            <w:r w:rsidR="00BD4DB7">
              <w:rPr>
                <w:noProof/>
                <w:webHidden/>
              </w:rPr>
              <w:tab/>
            </w:r>
            <w:r w:rsidR="00BD4DB7">
              <w:rPr>
                <w:noProof/>
                <w:webHidden/>
              </w:rPr>
              <w:fldChar w:fldCharType="begin"/>
            </w:r>
            <w:r w:rsidR="00BD4DB7">
              <w:rPr>
                <w:noProof/>
                <w:webHidden/>
              </w:rPr>
              <w:instrText xml:space="preserve"> PAGEREF _Toc31716086 \h </w:instrText>
            </w:r>
            <w:r w:rsidR="00BD4DB7">
              <w:rPr>
                <w:noProof/>
                <w:webHidden/>
              </w:rPr>
            </w:r>
            <w:r w:rsidR="00BD4DB7">
              <w:rPr>
                <w:noProof/>
                <w:webHidden/>
              </w:rPr>
              <w:fldChar w:fldCharType="separate"/>
            </w:r>
            <w:r w:rsidR="00BD4DB7">
              <w:rPr>
                <w:noProof/>
                <w:webHidden/>
              </w:rPr>
              <w:t>201</w:t>
            </w:r>
            <w:r w:rsidR="00BD4DB7">
              <w:rPr>
                <w:noProof/>
                <w:webHidden/>
              </w:rPr>
              <w:fldChar w:fldCharType="end"/>
            </w:r>
          </w:hyperlink>
        </w:p>
        <w:p w14:paraId="3F8FEEBC" w14:textId="027C832B"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87" w:history="1">
            <w:r w:rsidR="00BD4DB7" w:rsidRPr="0089237F">
              <w:rPr>
                <w:rStyle w:val="Hipervnculo"/>
                <w:noProof/>
              </w:rPr>
              <w:t>Artículo 2.1.1.5. Acuerdo para compensar y liquidar a través de la Cámara Operaciones sobre Instrumentos Financieros Derivados No Estandarizados.</w:t>
            </w:r>
            <w:r w:rsidR="00BD4DB7">
              <w:rPr>
                <w:noProof/>
                <w:webHidden/>
              </w:rPr>
              <w:tab/>
            </w:r>
            <w:r w:rsidR="00BD4DB7">
              <w:rPr>
                <w:noProof/>
                <w:webHidden/>
              </w:rPr>
              <w:fldChar w:fldCharType="begin"/>
            </w:r>
            <w:r w:rsidR="00BD4DB7">
              <w:rPr>
                <w:noProof/>
                <w:webHidden/>
              </w:rPr>
              <w:instrText xml:space="preserve"> PAGEREF _Toc31716087 \h </w:instrText>
            </w:r>
            <w:r w:rsidR="00BD4DB7">
              <w:rPr>
                <w:noProof/>
                <w:webHidden/>
              </w:rPr>
            </w:r>
            <w:r w:rsidR="00BD4DB7">
              <w:rPr>
                <w:noProof/>
                <w:webHidden/>
              </w:rPr>
              <w:fldChar w:fldCharType="separate"/>
            </w:r>
            <w:r w:rsidR="00BD4DB7">
              <w:rPr>
                <w:noProof/>
                <w:webHidden/>
              </w:rPr>
              <w:t>202</w:t>
            </w:r>
            <w:r w:rsidR="00BD4DB7">
              <w:rPr>
                <w:noProof/>
                <w:webHidden/>
              </w:rPr>
              <w:fldChar w:fldCharType="end"/>
            </w:r>
          </w:hyperlink>
        </w:p>
        <w:p w14:paraId="0FC673A2" w14:textId="00401C24"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88" w:history="1">
            <w:r w:rsidR="00BD4DB7" w:rsidRPr="0089237F">
              <w:rPr>
                <w:rStyle w:val="Hipervnculo"/>
                <w:rFonts w:eastAsia="Calibri"/>
                <w:noProof/>
              </w:rPr>
              <w:t>CAPÍTULO SEGUNDO</w:t>
            </w:r>
            <w:r w:rsidR="00BD4DB7">
              <w:rPr>
                <w:noProof/>
                <w:webHidden/>
              </w:rPr>
              <w:tab/>
            </w:r>
            <w:r w:rsidR="00BD4DB7">
              <w:rPr>
                <w:noProof/>
                <w:webHidden/>
              </w:rPr>
              <w:fldChar w:fldCharType="begin"/>
            </w:r>
            <w:r w:rsidR="00BD4DB7">
              <w:rPr>
                <w:noProof/>
                <w:webHidden/>
              </w:rPr>
              <w:instrText xml:space="preserve"> PAGEREF _Toc31716088 \h </w:instrText>
            </w:r>
            <w:r w:rsidR="00BD4DB7">
              <w:rPr>
                <w:noProof/>
                <w:webHidden/>
              </w:rPr>
            </w:r>
            <w:r w:rsidR="00BD4DB7">
              <w:rPr>
                <w:noProof/>
                <w:webHidden/>
              </w:rPr>
              <w:fldChar w:fldCharType="separate"/>
            </w:r>
            <w:r w:rsidR="00BD4DB7">
              <w:rPr>
                <w:noProof/>
                <w:webHidden/>
              </w:rPr>
              <w:t>202</w:t>
            </w:r>
            <w:r w:rsidR="00BD4DB7">
              <w:rPr>
                <w:noProof/>
                <w:webHidden/>
              </w:rPr>
              <w:fldChar w:fldCharType="end"/>
            </w:r>
          </w:hyperlink>
        </w:p>
        <w:p w14:paraId="4B4EC419" w14:textId="4C38F09F"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89" w:history="1">
            <w:r w:rsidR="00BD4DB7" w:rsidRPr="0089237F">
              <w:rPr>
                <w:rStyle w:val="Hipervnculo"/>
                <w:rFonts w:eastAsia="Calibri"/>
                <w:noProof/>
              </w:rPr>
              <w:t>PARTICIPACIÓN DE LOS DIFERENTES TERCEROS</w:t>
            </w:r>
            <w:r w:rsidR="00BD4DB7">
              <w:rPr>
                <w:noProof/>
                <w:webHidden/>
              </w:rPr>
              <w:tab/>
            </w:r>
            <w:r w:rsidR="00BD4DB7">
              <w:rPr>
                <w:noProof/>
                <w:webHidden/>
              </w:rPr>
              <w:fldChar w:fldCharType="begin"/>
            </w:r>
            <w:r w:rsidR="00BD4DB7">
              <w:rPr>
                <w:noProof/>
                <w:webHidden/>
              </w:rPr>
              <w:instrText xml:space="preserve"> PAGEREF _Toc31716089 \h </w:instrText>
            </w:r>
            <w:r w:rsidR="00BD4DB7">
              <w:rPr>
                <w:noProof/>
                <w:webHidden/>
              </w:rPr>
            </w:r>
            <w:r w:rsidR="00BD4DB7">
              <w:rPr>
                <w:noProof/>
                <w:webHidden/>
              </w:rPr>
              <w:fldChar w:fldCharType="separate"/>
            </w:r>
            <w:r w:rsidR="00BD4DB7">
              <w:rPr>
                <w:noProof/>
                <w:webHidden/>
              </w:rPr>
              <w:t>202</w:t>
            </w:r>
            <w:r w:rsidR="00BD4DB7">
              <w:rPr>
                <w:noProof/>
                <w:webHidden/>
              </w:rPr>
              <w:fldChar w:fldCharType="end"/>
            </w:r>
          </w:hyperlink>
        </w:p>
        <w:p w14:paraId="27C5E067" w14:textId="15F6F61A"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90" w:history="1">
            <w:r w:rsidR="00BD4DB7" w:rsidRPr="0089237F">
              <w:rPr>
                <w:rStyle w:val="Hipervnculo"/>
                <w:noProof/>
              </w:rPr>
              <w:t>Artículo 2.1.2.1. Contenido mínimo del Convenio a celebrar entre los Miembros y los Terceros para la remisión de Operaciones sobre Instrumentos Financieros Derivados No Estandarizados.</w:t>
            </w:r>
            <w:r w:rsidR="00BD4DB7">
              <w:rPr>
                <w:noProof/>
                <w:webHidden/>
              </w:rPr>
              <w:tab/>
            </w:r>
            <w:r w:rsidR="00BD4DB7">
              <w:rPr>
                <w:noProof/>
                <w:webHidden/>
              </w:rPr>
              <w:fldChar w:fldCharType="begin"/>
            </w:r>
            <w:r w:rsidR="00BD4DB7">
              <w:rPr>
                <w:noProof/>
                <w:webHidden/>
              </w:rPr>
              <w:instrText xml:space="preserve"> PAGEREF _Toc31716090 \h </w:instrText>
            </w:r>
            <w:r w:rsidR="00BD4DB7">
              <w:rPr>
                <w:noProof/>
                <w:webHidden/>
              </w:rPr>
            </w:r>
            <w:r w:rsidR="00BD4DB7">
              <w:rPr>
                <w:noProof/>
                <w:webHidden/>
              </w:rPr>
              <w:fldChar w:fldCharType="separate"/>
            </w:r>
            <w:r w:rsidR="00BD4DB7">
              <w:rPr>
                <w:noProof/>
                <w:webHidden/>
              </w:rPr>
              <w:t>202</w:t>
            </w:r>
            <w:r w:rsidR="00BD4DB7">
              <w:rPr>
                <w:noProof/>
                <w:webHidden/>
              </w:rPr>
              <w:fldChar w:fldCharType="end"/>
            </w:r>
          </w:hyperlink>
        </w:p>
        <w:p w14:paraId="6D3EA9C7" w14:textId="48399AA1"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91" w:history="1">
            <w:r w:rsidR="00BD4DB7" w:rsidRPr="0089237F">
              <w:rPr>
                <w:rStyle w:val="Hipervnculo"/>
                <w:noProof/>
              </w:rPr>
              <w:t>Artículo 2.1.2.2. Habilitación de Cuentas para la Compensación y Liquidación de Operaciones sobre Instrumentos Financieros Derivados No Estandarizados por cuenta de Terceros.</w:t>
            </w:r>
            <w:r w:rsidR="00BD4DB7">
              <w:rPr>
                <w:noProof/>
                <w:webHidden/>
              </w:rPr>
              <w:tab/>
            </w:r>
            <w:r w:rsidR="00BD4DB7">
              <w:rPr>
                <w:noProof/>
                <w:webHidden/>
              </w:rPr>
              <w:fldChar w:fldCharType="begin"/>
            </w:r>
            <w:r w:rsidR="00BD4DB7">
              <w:rPr>
                <w:noProof/>
                <w:webHidden/>
              </w:rPr>
              <w:instrText xml:space="preserve"> PAGEREF _Toc31716091 \h </w:instrText>
            </w:r>
            <w:r w:rsidR="00BD4DB7">
              <w:rPr>
                <w:noProof/>
                <w:webHidden/>
              </w:rPr>
            </w:r>
            <w:r w:rsidR="00BD4DB7">
              <w:rPr>
                <w:noProof/>
                <w:webHidden/>
              </w:rPr>
              <w:fldChar w:fldCharType="separate"/>
            </w:r>
            <w:r w:rsidR="00BD4DB7">
              <w:rPr>
                <w:noProof/>
                <w:webHidden/>
              </w:rPr>
              <w:t>203</w:t>
            </w:r>
            <w:r w:rsidR="00BD4DB7">
              <w:rPr>
                <w:noProof/>
                <w:webHidden/>
              </w:rPr>
              <w:fldChar w:fldCharType="end"/>
            </w:r>
          </w:hyperlink>
        </w:p>
        <w:p w14:paraId="180439BF" w14:textId="2A716445"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92" w:history="1">
            <w:r w:rsidR="00BD4DB7" w:rsidRPr="0089237F">
              <w:rPr>
                <w:rStyle w:val="Hipervnculo"/>
                <w:rFonts w:eastAsia="Calibri"/>
                <w:noProof/>
              </w:rPr>
              <w:t>TÍTULO SEGUNDO</w:t>
            </w:r>
            <w:r w:rsidR="00BD4DB7">
              <w:rPr>
                <w:noProof/>
                <w:webHidden/>
              </w:rPr>
              <w:tab/>
            </w:r>
            <w:r w:rsidR="00BD4DB7">
              <w:rPr>
                <w:noProof/>
                <w:webHidden/>
              </w:rPr>
              <w:fldChar w:fldCharType="begin"/>
            </w:r>
            <w:r w:rsidR="00BD4DB7">
              <w:rPr>
                <w:noProof/>
                <w:webHidden/>
              </w:rPr>
              <w:instrText xml:space="preserve"> PAGEREF _Toc31716092 \h </w:instrText>
            </w:r>
            <w:r w:rsidR="00BD4DB7">
              <w:rPr>
                <w:noProof/>
                <w:webHidden/>
              </w:rPr>
            </w:r>
            <w:r w:rsidR="00BD4DB7">
              <w:rPr>
                <w:noProof/>
                <w:webHidden/>
              </w:rPr>
              <w:fldChar w:fldCharType="separate"/>
            </w:r>
            <w:r w:rsidR="00BD4DB7">
              <w:rPr>
                <w:noProof/>
                <w:webHidden/>
              </w:rPr>
              <w:t>203</w:t>
            </w:r>
            <w:r w:rsidR="00BD4DB7">
              <w:rPr>
                <w:noProof/>
                <w:webHidden/>
              </w:rPr>
              <w:fldChar w:fldCharType="end"/>
            </w:r>
          </w:hyperlink>
        </w:p>
        <w:p w14:paraId="75281100" w14:textId="67C954B9"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93" w:history="1">
            <w:r w:rsidR="00BD4DB7" w:rsidRPr="0089237F">
              <w:rPr>
                <w:rStyle w:val="Hipervnculo"/>
                <w:rFonts w:eastAsia="Calibri"/>
                <w:noProof/>
              </w:rPr>
              <w:t>ACEPTACIÓN DE OPERACIONES</w:t>
            </w:r>
            <w:r w:rsidR="00BD4DB7">
              <w:rPr>
                <w:noProof/>
                <w:webHidden/>
              </w:rPr>
              <w:tab/>
            </w:r>
            <w:r w:rsidR="00BD4DB7">
              <w:rPr>
                <w:noProof/>
                <w:webHidden/>
              </w:rPr>
              <w:fldChar w:fldCharType="begin"/>
            </w:r>
            <w:r w:rsidR="00BD4DB7">
              <w:rPr>
                <w:noProof/>
                <w:webHidden/>
              </w:rPr>
              <w:instrText xml:space="preserve"> PAGEREF _Toc31716093 \h </w:instrText>
            </w:r>
            <w:r w:rsidR="00BD4DB7">
              <w:rPr>
                <w:noProof/>
                <w:webHidden/>
              </w:rPr>
            </w:r>
            <w:r w:rsidR="00BD4DB7">
              <w:rPr>
                <w:noProof/>
                <w:webHidden/>
              </w:rPr>
              <w:fldChar w:fldCharType="separate"/>
            </w:r>
            <w:r w:rsidR="00BD4DB7">
              <w:rPr>
                <w:noProof/>
                <w:webHidden/>
              </w:rPr>
              <w:t>204</w:t>
            </w:r>
            <w:r w:rsidR="00BD4DB7">
              <w:rPr>
                <w:noProof/>
                <w:webHidden/>
              </w:rPr>
              <w:fldChar w:fldCharType="end"/>
            </w:r>
          </w:hyperlink>
        </w:p>
        <w:p w14:paraId="1D212B2F" w14:textId="3AB50073"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94" w:history="1">
            <w:r w:rsidR="00BD4DB7" w:rsidRPr="0089237F">
              <w:rPr>
                <w:rStyle w:val="Hipervnculo"/>
                <w:rFonts w:eastAsia="Calibri"/>
                <w:noProof/>
              </w:rPr>
              <w:t>CAPÍTULO PRIMERO</w:t>
            </w:r>
            <w:r w:rsidR="00BD4DB7">
              <w:rPr>
                <w:noProof/>
                <w:webHidden/>
              </w:rPr>
              <w:tab/>
            </w:r>
            <w:r w:rsidR="00BD4DB7">
              <w:rPr>
                <w:noProof/>
                <w:webHidden/>
              </w:rPr>
              <w:fldChar w:fldCharType="begin"/>
            </w:r>
            <w:r w:rsidR="00BD4DB7">
              <w:rPr>
                <w:noProof/>
                <w:webHidden/>
              </w:rPr>
              <w:instrText xml:space="preserve"> PAGEREF _Toc31716094 \h </w:instrText>
            </w:r>
            <w:r w:rsidR="00BD4DB7">
              <w:rPr>
                <w:noProof/>
                <w:webHidden/>
              </w:rPr>
            </w:r>
            <w:r w:rsidR="00BD4DB7">
              <w:rPr>
                <w:noProof/>
                <w:webHidden/>
              </w:rPr>
              <w:fldChar w:fldCharType="separate"/>
            </w:r>
            <w:r w:rsidR="00BD4DB7">
              <w:rPr>
                <w:noProof/>
                <w:webHidden/>
              </w:rPr>
              <w:t>204</w:t>
            </w:r>
            <w:r w:rsidR="00BD4DB7">
              <w:rPr>
                <w:noProof/>
                <w:webHidden/>
              </w:rPr>
              <w:fldChar w:fldCharType="end"/>
            </w:r>
          </w:hyperlink>
        </w:p>
        <w:p w14:paraId="1C82590F" w14:textId="2B7D763E"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095" w:history="1">
            <w:r w:rsidR="00BD4DB7" w:rsidRPr="0089237F">
              <w:rPr>
                <w:rStyle w:val="Hipervnculo"/>
                <w:rFonts w:eastAsia="Calibri"/>
                <w:noProof/>
              </w:rPr>
              <w:t>CONTROL DE RIESGO Y ACEPTACIÓN DE OPERACIONES PROVENIENTES DE SISTEMAS DE NEGOCIACIÓN Y REGISTRO O MECANISMOS DE CONTRATACIÓN</w:t>
            </w:r>
            <w:r w:rsidR="00BD4DB7">
              <w:rPr>
                <w:noProof/>
                <w:webHidden/>
              </w:rPr>
              <w:tab/>
            </w:r>
            <w:r w:rsidR="00BD4DB7">
              <w:rPr>
                <w:noProof/>
                <w:webHidden/>
              </w:rPr>
              <w:fldChar w:fldCharType="begin"/>
            </w:r>
            <w:r w:rsidR="00BD4DB7">
              <w:rPr>
                <w:noProof/>
                <w:webHidden/>
              </w:rPr>
              <w:instrText xml:space="preserve"> PAGEREF _Toc31716095 \h </w:instrText>
            </w:r>
            <w:r w:rsidR="00BD4DB7">
              <w:rPr>
                <w:noProof/>
                <w:webHidden/>
              </w:rPr>
            </w:r>
            <w:r w:rsidR="00BD4DB7">
              <w:rPr>
                <w:noProof/>
                <w:webHidden/>
              </w:rPr>
              <w:fldChar w:fldCharType="separate"/>
            </w:r>
            <w:r w:rsidR="00BD4DB7">
              <w:rPr>
                <w:noProof/>
                <w:webHidden/>
              </w:rPr>
              <w:t>204</w:t>
            </w:r>
            <w:r w:rsidR="00BD4DB7">
              <w:rPr>
                <w:noProof/>
                <w:webHidden/>
              </w:rPr>
              <w:fldChar w:fldCharType="end"/>
            </w:r>
          </w:hyperlink>
        </w:p>
        <w:p w14:paraId="4F9F43A7" w14:textId="7D3DC320"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96" w:history="1">
            <w:r w:rsidR="00BD4DB7" w:rsidRPr="0089237F">
              <w:rPr>
                <w:rStyle w:val="Hipervnculo"/>
                <w:noProof/>
              </w:rPr>
              <w:t>Artículo 2.2.1.1. Acuerdos con sistemas de negociación y/o registro o Mecanismos de Contratación para la Aceptación de Operaciones.</w:t>
            </w:r>
            <w:r w:rsidR="00BD4DB7">
              <w:rPr>
                <w:noProof/>
                <w:webHidden/>
              </w:rPr>
              <w:tab/>
            </w:r>
            <w:r w:rsidR="00BD4DB7">
              <w:rPr>
                <w:noProof/>
                <w:webHidden/>
              </w:rPr>
              <w:fldChar w:fldCharType="begin"/>
            </w:r>
            <w:r w:rsidR="00BD4DB7">
              <w:rPr>
                <w:noProof/>
                <w:webHidden/>
              </w:rPr>
              <w:instrText xml:space="preserve"> PAGEREF _Toc31716096 \h </w:instrText>
            </w:r>
            <w:r w:rsidR="00BD4DB7">
              <w:rPr>
                <w:noProof/>
                <w:webHidden/>
              </w:rPr>
            </w:r>
            <w:r w:rsidR="00BD4DB7">
              <w:rPr>
                <w:noProof/>
                <w:webHidden/>
              </w:rPr>
              <w:fldChar w:fldCharType="separate"/>
            </w:r>
            <w:r w:rsidR="00BD4DB7">
              <w:rPr>
                <w:noProof/>
                <w:webHidden/>
              </w:rPr>
              <w:t>204</w:t>
            </w:r>
            <w:r w:rsidR="00BD4DB7">
              <w:rPr>
                <w:noProof/>
                <w:webHidden/>
              </w:rPr>
              <w:fldChar w:fldCharType="end"/>
            </w:r>
          </w:hyperlink>
        </w:p>
        <w:p w14:paraId="2BF34825" w14:textId="16C7D79B"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97" w:history="1">
            <w:r w:rsidR="00BD4DB7" w:rsidRPr="0089237F">
              <w:rPr>
                <w:rStyle w:val="Hipervnculo"/>
                <w:noProof/>
              </w:rPr>
              <w:t>Artículo 2.2.1.2. Aceptación de Operaciones provenientes de sistemas de negociación de Contratos de Futuros y Contratos de Opciones autorizados por la Cámara.</w:t>
            </w:r>
            <w:r w:rsidR="00BD4DB7">
              <w:rPr>
                <w:noProof/>
                <w:webHidden/>
              </w:rPr>
              <w:tab/>
            </w:r>
            <w:r w:rsidR="00BD4DB7">
              <w:rPr>
                <w:noProof/>
                <w:webHidden/>
              </w:rPr>
              <w:fldChar w:fldCharType="begin"/>
            </w:r>
            <w:r w:rsidR="00BD4DB7">
              <w:rPr>
                <w:noProof/>
                <w:webHidden/>
              </w:rPr>
              <w:instrText xml:space="preserve"> PAGEREF _Toc31716097 \h </w:instrText>
            </w:r>
            <w:r w:rsidR="00BD4DB7">
              <w:rPr>
                <w:noProof/>
                <w:webHidden/>
              </w:rPr>
            </w:r>
            <w:r w:rsidR="00BD4DB7">
              <w:rPr>
                <w:noProof/>
                <w:webHidden/>
              </w:rPr>
              <w:fldChar w:fldCharType="separate"/>
            </w:r>
            <w:r w:rsidR="00BD4DB7">
              <w:rPr>
                <w:noProof/>
                <w:webHidden/>
              </w:rPr>
              <w:t>204</w:t>
            </w:r>
            <w:r w:rsidR="00BD4DB7">
              <w:rPr>
                <w:noProof/>
                <w:webHidden/>
              </w:rPr>
              <w:fldChar w:fldCharType="end"/>
            </w:r>
          </w:hyperlink>
        </w:p>
        <w:p w14:paraId="2F236B30" w14:textId="217B41DD"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98" w:history="1">
            <w:r w:rsidR="00BD4DB7" w:rsidRPr="0089237F">
              <w:rPr>
                <w:rStyle w:val="Hipervnculo"/>
                <w:noProof/>
              </w:rPr>
              <w:t>Artículo 2.2.1.3. Aceptación de Operaciones de sistemas de registro de Contratos de Futuros autorizados por la Cámara.</w:t>
            </w:r>
            <w:r w:rsidR="00BD4DB7">
              <w:rPr>
                <w:noProof/>
                <w:webHidden/>
              </w:rPr>
              <w:tab/>
            </w:r>
            <w:r w:rsidR="00BD4DB7">
              <w:rPr>
                <w:noProof/>
                <w:webHidden/>
              </w:rPr>
              <w:fldChar w:fldCharType="begin"/>
            </w:r>
            <w:r w:rsidR="00BD4DB7">
              <w:rPr>
                <w:noProof/>
                <w:webHidden/>
              </w:rPr>
              <w:instrText xml:space="preserve"> PAGEREF _Toc31716098 \h </w:instrText>
            </w:r>
            <w:r w:rsidR="00BD4DB7">
              <w:rPr>
                <w:noProof/>
                <w:webHidden/>
              </w:rPr>
            </w:r>
            <w:r w:rsidR="00BD4DB7">
              <w:rPr>
                <w:noProof/>
                <w:webHidden/>
              </w:rPr>
              <w:fldChar w:fldCharType="separate"/>
            </w:r>
            <w:r w:rsidR="00BD4DB7">
              <w:rPr>
                <w:noProof/>
                <w:webHidden/>
              </w:rPr>
              <w:t>205</w:t>
            </w:r>
            <w:r w:rsidR="00BD4DB7">
              <w:rPr>
                <w:noProof/>
                <w:webHidden/>
              </w:rPr>
              <w:fldChar w:fldCharType="end"/>
            </w:r>
          </w:hyperlink>
        </w:p>
        <w:p w14:paraId="7CD3EFAB" w14:textId="3C290505" w:rsidR="00BD4DB7" w:rsidRDefault="00682D97">
          <w:pPr>
            <w:pStyle w:val="TDC2"/>
            <w:rPr>
              <w:rFonts w:asciiTheme="minorHAnsi" w:eastAsiaTheme="minorEastAsia" w:hAnsiTheme="minorHAnsi" w:cstheme="minorBidi"/>
              <w:smallCaps w:val="0"/>
              <w:noProof/>
              <w:sz w:val="22"/>
              <w:szCs w:val="22"/>
              <w:lang w:val="es-CO" w:eastAsia="es-CO"/>
            </w:rPr>
          </w:pPr>
          <w:hyperlink w:anchor="_Toc31716099" w:history="1">
            <w:r w:rsidR="00BD4DB7" w:rsidRPr="0089237F">
              <w:rPr>
                <w:rStyle w:val="Hipervnculo"/>
                <w:noProof/>
              </w:rPr>
              <w:t>Artículo 2.2.1.4. Aceptación de Operaciones sobre Instrumentos Financieros Derivados No Estandarizados provenientes de sistemas de negociación y/o registro o Mecanismos de Contratación autorizados por la Cámara.</w:t>
            </w:r>
            <w:r w:rsidR="00BD4DB7">
              <w:rPr>
                <w:noProof/>
                <w:webHidden/>
              </w:rPr>
              <w:tab/>
            </w:r>
            <w:r w:rsidR="00BD4DB7">
              <w:rPr>
                <w:noProof/>
                <w:webHidden/>
              </w:rPr>
              <w:fldChar w:fldCharType="begin"/>
            </w:r>
            <w:r w:rsidR="00BD4DB7">
              <w:rPr>
                <w:noProof/>
                <w:webHidden/>
              </w:rPr>
              <w:instrText xml:space="preserve"> PAGEREF _Toc31716099 \h </w:instrText>
            </w:r>
            <w:r w:rsidR="00BD4DB7">
              <w:rPr>
                <w:noProof/>
                <w:webHidden/>
              </w:rPr>
            </w:r>
            <w:r w:rsidR="00BD4DB7">
              <w:rPr>
                <w:noProof/>
                <w:webHidden/>
              </w:rPr>
              <w:fldChar w:fldCharType="separate"/>
            </w:r>
            <w:r w:rsidR="00BD4DB7">
              <w:rPr>
                <w:noProof/>
                <w:webHidden/>
              </w:rPr>
              <w:t>206</w:t>
            </w:r>
            <w:r w:rsidR="00BD4DB7">
              <w:rPr>
                <w:noProof/>
                <w:webHidden/>
              </w:rPr>
              <w:fldChar w:fldCharType="end"/>
            </w:r>
          </w:hyperlink>
        </w:p>
        <w:p w14:paraId="699E6E27" w14:textId="015D2141"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100" w:history="1">
            <w:r w:rsidR="00BD4DB7" w:rsidRPr="0089237F">
              <w:rPr>
                <w:rStyle w:val="Hipervnculo"/>
                <w:rFonts w:eastAsia="Calibri"/>
                <w:noProof/>
              </w:rPr>
              <w:t>CAPÍTULO SEGUNDO</w:t>
            </w:r>
            <w:r w:rsidR="00BD4DB7">
              <w:rPr>
                <w:noProof/>
                <w:webHidden/>
              </w:rPr>
              <w:tab/>
            </w:r>
            <w:r w:rsidR="00BD4DB7">
              <w:rPr>
                <w:noProof/>
                <w:webHidden/>
              </w:rPr>
              <w:fldChar w:fldCharType="begin"/>
            </w:r>
            <w:r w:rsidR="00BD4DB7">
              <w:rPr>
                <w:noProof/>
                <w:webHidden/>
              </w:rPr>
              <w:instrText xml:space="preserve"> PAGEREF _Toc31716100 \h </w:instrText>
            </w:r>
            <w:r w:rsidR="00BD4DB7">
              <w:rPr>
                <w:noProof/>
                <w:webHidden/>
              </w:rPr>
            </w:r>
            <w:r w:rsidR="00BD4DB7">
              <w:rPr>
                <w:noProof/>
                <w:webHidden/>
              </w:rPr>
              <w:fldChar w:fldCharType="separate"/>
            </w:r>
            <w:r w:rsidR="00BD4DB7">
              <w:rPr>
                <w:noProof/>
                <w:webHidden/>
              </w:rPr>
              <w:t>206</w:t>
            </w:r>
            <w:r w:rsidR="00BD4DB7">
              <w:rPr>
                <w:noProof/>
                <w:webHidden/>
              </w:rPr>
              <w:fldChar w:fldCharType="end"/>
            </w:r>
          </w:hyperlink>
        </w:p>
        <w:p w14:paraId="7DF4B1E5" w14:textId="4D19DF88"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101" w:history="1">
            <w:r w:rsidR="00BD4DB7" w:rsidRPr="0089237F">
              <w:rPr>
                <w:rStyle w:val="Hipervnculo"/>
                <w:rFonts w:eastAsia="Calibri"/>
                <w:noProof/>
              </w:rPr>
              <w:t>RECHAZO DE OPERACIONES</w:t>
            </w:r>
            <w:r w:rsidR="00BD4DB7">
              <w:rPr>
                <w:noProof/>
                <w:webHidden/>
              </w:rPr>
              <w:tab/>
            </w:r>
            <w:r w:rsidR="00BD4DB7">
              <w:rPr>
                <w:noProof/>
                <w:webHidden/>
              </w:rPr>
              <w:fldChar w:fldCharType="begin"/>
            </w:r>
            <w:r w:rsidR="00BD4DB7">
              <w:rPr>
                <w:noProof/>
                <w:webHidden/>
              </w:rPr>
              <w:instrText xml:space="preserve"> PAGEREF _Toc31716101 \h </w:instrText>
            </w:r>
            <w:r w:rsidR="00BD4DB7">
              <w:rPr>
                <w:noProof/>
                <w:webHidden/>
              </w:rPr>
            </w:r>
            <w:r w:rsidR="00BD4DB7">
              <w:rPr>
                <w:noProof/>
                <w:webHidden/>
              </w:rPr>
              <w:fldChar w:fldCharType="separate"/>
            </w:r>
            <w:r w:rsidR="00BD4DB7">
              <w:rPr>
                <w:noProof/>
                <w:webHidden/>
              </w:rPr>
              <w:t>206</w:t>
            </w:r>
            <w:r w:rsidR="00BD4DB7">
              <w:rPr>
                <w:noProof/>
                <w:webHidden/>
              </w:rPr>
              <w:fldChar w:fldCharType="end"/>
            </w:r>
          </w:hyperlink>
        </w:p>
        <w:p w14:paraId="2F599554" w14:textId="274E37C8"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02" w:history="1">
            <w:r w:rsidR="00BD4DB7" w:rsidRPr="0089237F">
              <w:rPr>
                <w:rStyle w:val="Hipervnculo"/>
                <w:noProof/>
              </w:rPr>
              <w:t>Artículo 2.2.2.1. Rechazo de Operaciones provenientes de sistemas de negociación o de registro de Contratos de Futuros y Contratos de Opciones autorizados por la Cámara.</w:t>
            </w:r>
            <w:r w:rsidR="00BD4DB7">
              <w:rPr>
                <w:noProof/>
                <w:webHidden/>
              </w:rPr>
              <w:tab/>
            </w:r>
            <w:r w:rsidR="00BD4DB7">
              <w:rPr>
                <w:noProof/>
                <w:webHidden/>
              </w:rPr>
              <w:fldChar w:fldCharType="begin"/>
            </w:r>
            <w:r w:rsidR="00BD4DB7">
              <w:rPr>
                <w:noProof/>
                <w:webHidden/>
              </w:rPr>
              <w:instrText xml:space="preserve"> PAGEREF _Toc31716102 \h </w:instrText>
            </w:r>
            <w:r w:rsidR="00BD4DB7">
              <w:rPr>
                <w:noProof/>
                <w:webHidden/>
              </w:rPr>
            </w:r>
            <w:r w:rsidR="00BD4DB7">
              <w:rPr>
                <w:noProof/>
                <w:webHidden/>
              </w:rPr>
              <w:fldChar w:fldCharType="separate"/>
            </w:r>
            <w:r w:rsidR="00BD4DB7">
              <w:rPr>
                <w:noProof/>
                <w:webHidden/>
              </w:rPr>
              <w:t>207</w:t>
            </w:r>
            <w:r w:rsidR="00BD4DB7">
              <w:rPr>
                <w:noProof/>
                <w:webHidden/>
              </w:rPr>
              <w:fldChar w:fldCharType="end"/>
            </w:r>
          </w:hyperlink>
        </w:p>
        <w:p w14:paraId="1AC28A2A" w14:textId="7B411BB6"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03" w:history="1">
            <w:r w:rsidR="00BD4DB7" w:rsidRPr="0089237F">
              <w:rPr>
                <w:rStyle w:val="Hipervnculo"/>
                <w:noProof/>
              </w:rPr>
              <w:t>Artículo 2.2.2.2. Rechazo de Operaciones sobre Instrumentos Financieros Derivados No Estandarizados provenientes de sistemas de negociación y/o registro o Mecanismos de Contratación autorizados por la Cámara.</w:t>
            </w:r>
            <w:r w:rsidR="00BD4DB7">
              <w:rPr>
                <w:noProof/>
                <w:webHidden/>
              </w:rPr>
              <w:tab/>
            </w:r>
            <w:r w:rsidR="00BD4DB7">
              <w:rPr>
                <w:noProof/>
                <w:webHidden/>
              </w:rPr>
              <w:fldChar w:fldCharType="begin"/>
            </w:r>
            <w:r w:rsidR="00BD4DB7">
              <w:rPr>
                <w:noProof/>
                <w:webHidden/>
              </w:rPr>
              <w:instrText xml:space="preserve"> PAGEREF _Toc31716103 \h </w:instrText>
            </w:r>
            <w:r w:rsidR="00BD4DB7">
              <w:rPr>
                <w:noProof/>
                <w:webHidden/>
              </w:rPr>
            </w:r>
            <w:r w:rsidR="00BD4DB7">
              <w:rPr>
                <w:noProof/>
                <w:webHidden/>
              </w:rPr>
              <w:fldChar w:fldCharType="separate"/>
            </w:r>
            <w:r w:rsidR="00BD4DB7">
              <w:rPr>
                <w:noProof/>
                <w:webHidden/>
              </w:rPr>
              <w:t>207</w:t>
            </w:r>
            <w:r w:rsidR="00BD4DB7">
              <w:rPr>
                <w:noProof/>
                <w:webHidden/>
              </w:rPr>
              <w:fldChar w:fldCharType="end"/>
            </w:r>
          </w:hyperlink>
        </w:p>
        <w:p w14:paraId="343B2E26" w14:textId="040A1742"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104" w:history="1">
            <w:r w:rsidR="00BD4DB7" w:rsidRPr="0089237F">
              <w:rPr>
                <w:rStyle w:val="Hipervnculo"/>
                <w:rFonts w:eastAsia="Calibri"/>
                <w:noProof/>
              </w:rPr>
              <w:t>CAPÍTULO TERCERO</w:t>
            </w:r>
            <w:r w:rsidR="00BD4DB7">
              <w:rPr>
                <w:noProof/>
                <w:webHidden/>
              </w:rPr>
              <w:tab/>
            </w:r>
            <w:r w:rsidR="00BD4DB7">
              <w:rPr>
                <w:noProof/>
                <w:webHidden/>
              </w:rPr>
              <w:fldChar w:fldCharType="begin"/>
            </w:r>
            <w:r w:rsidR="00BD4DB7">
              <w:rPr>
                <w:noProof/>
                <w:webHidden/>
              </w:rPr>
              <w:instrText xml:space="preserve"> PAGEREF _Toc31716104 \h </w:instrText>
            </w:r>
            <w:r w:rsidR="00BD4DB7">
              <w:rPr>
                <w:noProof/>
                <w:webHidden/>
              </w:rPr>
            </w:r>
            <w:r w:rsidR="00BD4DB7">
              <w:rPr>
                <w:noProof/>
                <w:webHidden/>
              </w:rPr>
              <w:fldChar w:fldCharType="separate"/>
            </w:r>
            <w:r w:rsidR="00BD4DB7">
              <w:rPr>
                <w:noProof/>
                <w:webHidden/>
              </w:rPr>
              <w:t>208</w:t>
            </w:r>
            <w:r w:rsidR="00BD4DB7">
              <w:rPr>
                <w:noProof/>
                <w:webHidden/>
              </w:rPr>
              <w:fldChar w:fldCharType="end"/>
            </w:r>
          </w:hyperlink>
        </w:p>
        <w:p w14:paraId="5D6626D1" w14:textId="1CC0100C"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105" w:history="1">
            <w:r w:rsidR="00BD4DB7" w:rsidRPr="0089237F">
              <w:rPr>
                <w:rStyle w:val="Hipervnculo"/>
                <w:rFonts w:eastAsia="Calibri"/>
                <w:noProof/>
              </w:rPr>
              <w:t>ANULACIÓN Y CORRECCIÓN DE OPERACIONES</w:t>
            </w:r>
            <w:r w:rsidR="00BD4DB7">
              <w:rPr>
                <w:noProof/>
                <w:webHidden/>
              </w:rPr>
              <w:tab/>
            </w:r>
            <w:r w:rsidR="00BD4DB7">
              <w:rPr>
                <w:noProof/>
                <w:webHidden/>
              </w:rPr>
              <w:fldChar w:fldCharType="begin"/>
            </w:r>
            <w:r w:rsidR="00BD4DB7">
              <w:rPr>
                <w:noProof/>
                <w:webHidden/>
              </w:rPr>
              <w:instrText xml:space="preserve"> PAGEREF _Toc31716105 \h </w:instrText>
            </w:r>
            <w:r w:rsidR="00BD4DB7">
              <w:rPr>
                <w:noProof/>
                <w:webHidden/>
              </w:rPr>
            </w:r>
            <w:r w:rsidR="00BD4DB7">
              <w:rPr>
                <w:noProof/>
                <w:webHidden/>
              </w:rPr>
              <w:fldChar w:fldCharType="separate"/>
            </w:r>
            <w:r w:rsidR="00BD4DB7">
              <w:rPr>
                <w:noProof/>
                <w:webHidden/>
              </w:rPr>
              <w:t>208</w:t>
            </w:r>
            <w:r w:rsidR="00BD4DB7">
              <w:rPr>
                <w:noProof/>
                <w:webHidden/>
              </w:rPr>
              <w:fldChar w:fldCharType="end"/>
            </w:r>
          </w:hyperlink>
        </w:p>
        <w:p w14:paraId="32EC16EA" w14:textId="287BF7E0"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06" w:history="1">
            <w:r w:rsidR="00BD4DB7" w:rsidRPr="0089237F">
              <w:rPr>
                <w:rStyle w:val="Hipervnculo"/>
                <w:noProof/>
              </w:rPr>
              <w:t>Artículo 2.2.3.1. Procedimiento de anulación de Operaciones</w:t>
            </w:r>
            <w:r w:rsidR="00BD4DB7" w:rsidRPr="0089237F">
              <w:rPr>
                <w:rStyle w:val="Hipervnculo"/>
                <w:rFonts w:eastAsia="Calibri" w:cs="Times New Roman"/>
                <w:noProof/>
              </w:rPr>
              <w:t>.</w:t>
            </w:r>
            <w:r w:rsidR="00BD4DB7">
              <w:rPr>
                <w:noProof/>
                <w:webHidden/>
              </w:rPr>
              <w:tab/>
            </w:r>
            <w:r w:rsidR="00BD4DB7">
              <w:rPr>
                <w:noProof/>
                <w:webHidden/>
              </w:rPr>
              <w:fldChar w:fldCharType="begin"/>
            </w:r>
            <w:r w:rsidR="00BD4DB7">
              <w:rPr>
                <w:noProof/>
                <w:webHidden/>
              </w:rPr>
              <w:instrText xml:space="preserve"> PAGEREF _Toc31716106 \h </w:instrText>
            </w:r>
            <w:r w:rsidR="00BD4DB7">
              <w:rPr>
                <w:noProof/>
                <w:webHidden/>
              </w:rPr>
            </w:r>
            <w:r w:rsidR="00BD4DB7">
              <w:rPr>
                <w:noProof/>
                <w:webHidden/>
              </w:rPr>
              <w:fldChar w:fldCharType="separate"/>
            </w:r>
            <w:r w:rsidR="00BD4DB7">
              <w:rPr>
                <w:noProof/>
                <w:webHidden/>
              </w:rPr>
              <w:t>208</w:t>
            </w:r>
            <w:r w:rsidR="00BD4DB7">
              <w:rPr>
                <w:noProof/>
                <w:webHidden/>
              </w:rPr>
              <w:fldChar w:fldCharType="end"/>
            </w:r>
          </w:hyperlink>
        </w:p>
        <w:p w14:paraId="2637D392" w14:textId="04E444E9"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07" w:history="1">
            <w:r w:rsidR="00BD4DB7" w:rsidRPr="0089237F">
              <w:rPr>
                <w:rStyle w:val="Hipervnculo"/>
                <w:noProof/>
              </w:rPr>
              <w:t>Artículo 2.2.3.2. Corrección de Operaciones</w:t>
            </w:r>
            <w:r w:rsidR="00BD4DB7" w:rsidRPr="0089237F">
              <w:rPr>
                <w:rStyle w:val="Hipervnculo"/>
                <w:rFonts w:eastAsia="Calibri" w:cs="Times New Roman"/>
                <w:noProof/>
              </w:rPr>
              <w:t>.</w:t>
            </w:r>
            <w:r w:rsidR="00BD4DB7">
              <w:rPr>
                <w:noProof/>
                <w:webHidden/>
              </w:rPr>
              <w:tab/>
            </w:r>
            <w:r w:rsidR="00BD4DB7">
              <w:rPr>
                <w:noProof/>
                <w:webHidden/>
              </w:rPr>
              <w:fldChar w:fldCharType="begin"/>
            </w:r>
            <w:r w:rsidR="00BD4DB7">
              <w:rPr>
                <w:noProof/>
                <w:webHidden/>
              </w:rPr>
              <w:instrText xml:space="preserve"> PAGEREF _Toc31716107 \h </w:instrText>
            </w:r>
            <w:r w:rsidR="00BD4DB7">
              <w:rPr>
                <w:noProof/>
                <w:webHidden/>
              </w:rPr>
            </w:r>
            <w:r w:rsidR="00BD4DB7">
              <w:rPr>
                <w:noProof/>
                <w:webHidden/>
              </w:rPr>
              <w:fldChar w:fldCharType="separate"/>
            </w:r>
            <w:r w:rsidR="00BD4DB7">
              <w:rPr>
                <w:noProof/>
                <w:webHidden/>
              </w:rPr>
              <w:t>209</w:t>
            </w:r>
            <w:r w:rsidR="00BD4DB7">
              <w:rPr>
                <w:noProof/>
                <w:webHidden/>
              </w:rPr>
              <w:fldChar w:fldCharType="end"/>
            </w:r>
          </w:hyperlink>
        </w:p>
        <w:p w14:paraId="46BC433B" w14:textId="567FCB85"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108" w:history="1">
            <w:r w:rsidR="00BD4DB7" w:rsidRPr="0089237F">
              <w:rPr>
                <w:rStyle w:val="Hipervnculo"/>
                <w:rFonts w:eastAsia="Calibri"/>
                <w:noProof/>
              </w:rPr>
              <w:t>TÍTULO TERCERO</w:t>
            </w:r>
            <w:r w:rsidR="00BD4DB7">
              <w:rPr>
                <w:noProof/>
                <w:webHidden/>
              </w:rPr>
              <w:tab/>
            </w:r>
            <w:r w:rsidR="00BD4DB7">
              <w:rPr>
                <w:noProof/>
                <w:webHidden/>
              </w:rPr>
              <w:fldChar w:fldCharType="begin"/>
            </w:r>
            <w:r w:rsidR="00BD4DB7">
              <w:rPr>
                <w:noProof/>
                <w:webHidden/>
              </w:rPr>
              <w:instrText xml:space="preserve"> PAGEREF _Toc31716108 \h </w:instrText>
            </w:r>
            <w:r w:rsidR="00BD4DB7">
              <w:rPr>
                <w:noProof/>
                <w:webHidden/>
              </w:rPr>
            </w:r>
            <w:r w:rsidR="00BD4DB7">
              <w:rPr>
                <w:noProof/>
                <w:webHidden/>
              </w:rPr>
              <w:fldChar w:fldCharType="separate"/>
            </w:r>
            <w:r w:rsidR="00BD4DB7">
              <w:rPr>
                <w:noProof/>
                <w:webHidden/>
              </w:rPr>
              <w:t>209</w:t>
            </w:r>
            <w:r w:rsidR="00BD4DB7">
              <w:rPr>
                <w:noProof/>
                <w:webHidden/>
              </w:rPr>
              <w:fldChar w:fldCharType="end"/>
            </w:r>
          </w:hyperlink>
        </w:p>
        <w:p w14:paraId="3F6C1B4E" w14:textId="79173DAB"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109" w:history="1">
            <w:r w:rsidR="00BD4DB7" w:rsidRPr="0089237F">
              <w:rPr>
                <w:rStyle w:val="Hipervnculo"/>
                <w:rFonts w:eastAsia="Calibri"/>
                <w:noProof/>
              </w:rPr>
              <w:t>CUENTAS Y GESTIÓN DE OPERACIONES</w:t>
            </w:r>
            <w:r w:rsidR="00BD4DB7">
              <w:rPr>
                <w:noProof/>
                <w:webHidden/>
              </w:rPr>
              <w:tab/>
            </w:r>
            <w:r w:rsidR="00BD4DB7">
              <w:rPr>
                <w:noProof/>
                <w:webHidden/>
              </w:rPr>
              <w:fldChar w:fldCharType="begin"/>
            </w:r>
            <w:r w:rsidR="00BD4DB7">
              <w:rPr>
                <w:noProof/>
                <w:webHidden/>
              </w:rPr>
              <w:instrText xml:space="preserve"> PAGEREF _Toc31716109 \h </w:instrText>
            </w:r>
            <w:r w:rsidR="00BD4DB7">
              <w:rPr>
                <w:noProof/>
                <w:webHidden/>
              </w:rPr>
            </w:r>
            <w:r w:rsidR="00BD4DB7">
              <w:rPr>
                <w:noProof/>
                <w:webHidden/>
              </w:rPr>
              <w:fldChar w:fldCharType="separate"/>
            </w:r>
            <w:r w:rsidR="00BD4DB7">
              <w:rPr>
                <w:noProof/>
                <w:webHidden/>
              </w:rPr>
              <w:t>209</w:t>
            </w:r>
            <w:r w:rsidR="00BD4DB7">
              <w:rPr>
                <w:noProof/>
                <w:webHidden/>
              </w:rPr>
              <w:fldChar w:fldCharType="end"/>
            </w:r>
          </w:hyperlink>
        </w:p>
        <w:p w14:paraId="31605641" w14:textId="49742AD1"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110" w:history="1">
            <w:r w:rsidR="00BD4DB7" w:rsidRPr="0089237F">
              <w:rPr>
                <w:rStyle w:val="Hipervnculo"/>
                <w:rFonts w:eastAsia="Calibri"/>
                <w:noProof/>
              </w:rPr>
              <w:t>CAPÍTULO PRIMERO</w:t>
            </w:r>
            <w:r w:rsidR="00BD4DB7">
              <w:rPr>
                <w:noProof/>
                <w:webHidden/>
              </w:rPr>
              <w:tab/>
            </w:r>
            <w:r w:rsidR="00BD4DB7">
              <w:rPr>
                <w:noProof/>
                <w:webHidden/>
              </w:rPr>
              <w:fldChar w:fldCharType="begin"/>
            </w:r>
            <w:r w:rsidR="00BD4DB7">
              <w:rPr>
                <w:noProof/>
                <w:webHidden/>
              </w:rPr>
              <w:instrText xml:space="preserve"> PAGEREF _Toc31716110 \h </w:instrText>
            </w:r>
            <w:r w:rsidR="00BD4DB7">
              <w:rPr>
                <w:noProof/>
                <w:webHidden/>
              </w:rPr>
            </w:r>
            <w:r w:rsidR="00BD4DB7">
              <w:rPr>
                <w:noProof/>
                <w:webHidden/>
              </w:rPr>
              <w:fldChar w:fldCharType="separate"/>
            </w:r>
            <w:r w:rsidR="00BD4DB7">
              <w:rPr>
                <w:noProof/>
                <w:webHidden/>
              </w:rPr>
              <w:t>209</w:t>
            </w:r>
            <w:r w:rsidR="00BD4DB7">
              <w:rPr>
                <w:noProof/>
                <w:webHidden/>
              </w:rPr>
              <w:fldChar w:fldCharType="end"/>
            </w:r>
          </w:hyperlink>
        </w:p>
        <w:p w14:paraId="57D9CA10" w14:textId="472952CC"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111" w:history="1">
            <w:r w:rsidR="00BD4DB7" w:rsidRPr="0089237F">
              <w:rPr>
                <w:rStyle w:val="Hipervnculo"/>
                <w:rFonts w:eastAsia="Calibri"/>
                <w:noProof/>
              </w:rPr>
              <w:t>CUENTAS</w:t>
            </w:r>
            <w:r w:rsidR="00BD4DB7">
              <w:rPr>
                <w:noProof/>
                <w:webHidden/>
              </w:rPr>
              <w:tab/>
            </w:r>
            <w:r w:rsidR="00BD4DB7">
              <w:rPr>
                <w:noProof/>
                <w:webHidden/>
              </w:rPr>
              <w:fldChar w:fldCharType="begin"/>
            </w:r>
            <w:r w:rsidR="00BD4DB7">
              <w:rPr>
                <w:noProof/>
                <w:webHidden/>
              </w:rPr>
              <w:instrText xml:space="preserve"> PAGEREF _Toc31716111 \h </w:instrText>
            </w:r>
            <w:r w:rsidR="00BD4DB7">
              <w:rPr>
                <w:noProof/>
                <w:webHidden/>
              </w:rPr>
            </w:r>
            <w:r w:rsidR="00BD4DB7">
              <w:rPr>
                <w:noProof/>
                <w:webHidden/>
              </w:rPr>
              <w:fldChar w:fldCharType="separate"/>
            </w:r>
            <w:r w:rsidR="00BD4DB7">
              <w:rPr>
                <w:noProof/>
                <w:webHidden/>
              </w:rPr>
              <w:t>210</w:t>
            </w:r>
            <w:r w:rsidR="00BD4DB7">
              <w:rPr>
                <w:noProof/>
                <w:webHidden/>
              </w:rPr>
              <w:fldChar w:fldCharType="end"/>
            </w:r>
          </w:hyperlink>
        </w:p>
        <w:p w14:paraId="5929A878" w14:textId="683BCDA6"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12" w:history="1">
            <w:r w:rsidR="00BD4DB7" w:rsidRPr="0089237F">
              <w:rPr>
                <w:rStyle w:val="Hipervnculo"/>
                <w:noProof/>
              </w:rPr>
              <w:t>Artículo 2.3.1.1. Proceso de Creación de Cuentas en el Sistema de la Cámara.</w:t>
            </w:r>
            <w:r w:rsidR="00BD4DB7">
              <w:rPr>
                <w:noProof/>
                <w:webHidden/>
              </w:rPr>
              <w:tab/>
            </w:r>
            <w:r w:rsidR="00BD4DB7">
              <w:rPr>
                <w:noProof/>
                <w:webHidden/>
              </w:rPr>
              <w:fldChar w:fldCharType="begin"/>
            </w:r>
            <w:r w:rsidR="00BD4DB7">
              <w:rPr>
                <w:noProof/>
                <w:webHidden/>
              </w:rPr>
              <w:instrText xml:space="preserve"> PAGEREF _Toc31716112 \h </w:instrText>
            </w:r>
            <w:r w:rsidR="00BD4DB7">
              <w:rPr>
                <w:noProof/>
                <w:webHidden/>
              </w:rPr>
            </w:r>
            <w:r w:rsidR="00BD4DB7">
              <w:rPr>
                <w:noProof/>
                <w:webHidden/>
              </w:rPr>
              <w:fldChar w:fldCharType="separate"/>
            </w:r>
            <w:r w:rsidR="00BD4DB7">
              <w:rPr>
                <w:noProof/>
                <w:webHidden/>
              </w:rPr>
              <w:t>210</w:t>
            </w:r>
            <w:r w:rsidR="00BD4DB7">
              <w:rPr>
                <w:noProof/>
                <w:webHidden/>
              </w:rPr>
              <w:fldChar w:fldCharType="end"/>
            </w:r>
          </w:hyperlink>
        </w:p>
        <w:p w14:paraId="2E30E993" w14:textId="44EA7E3C"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13" w:history="1">
            <w:r w:rsidR="00BD4DB7" w:rsidRPr="0089237F">
              <w:rPr>
                <w:rStyle w:val="Hipervnculo"/>
                <w:noProof/>
              </w:rPr>
              <w:t>Cuando se trate de una Cuenta de Tercero Identificado en la que se registrarán Operaciones sobre Instrumentos Financieros Derivados No Estandarizados, el Miembro deberá indicar de manera expresa en el SAS de la Cámara que la Cuenta podrá ser utilizada para la Compensación y Liquidación de tales Operaciones y seleccionar los sistemas de negociación y/o registro autorizados por la Cámara para tal efecto, en concordancia con lo establecido en el artículo 2.1.2.2. de la presente Circular.</w:t>
            </w:r>
            <w:r w:rsidR="00BD4DB7">
              <w:rPr>
                <w:noProof/>
                <w:webHidden/>
              </w:rPr>
              <w:tab/>
            </w:r>
            <w:r w:rsidR="00BD4DB7">
              <w:rPr>
                <w:noProof/>
                <w:webHidden/>
              </w:rPr>
              <w:fldChar w:fldCharType="begin"/>
            </w:r>
            <w:r w:rsidR="00BD4DB7">
              <w:rPr>
                <w:noProof/>
                <w:webHidden/>
              </w:rPr>
              <w:instrText xml:space="preserve"> PAGEREF _Toc31716113 \h </w:instrText>
            </w:r>
            <w:r w:rsidR="00BD4DB7">
              <w:rPr>
                <w:noProof/>
                <w:webHidden/>
              </w:rPr>
            </w:r>
            <w:r w:rsidR="00BD4DB7">
              <w:rPr>
                <w:noProof/>
                <w:webHidden/>
              </w:rPr>
              <w:fldChar w:fldCharType="separate"/>
            </w:r>
            <w:r w:rsidR="00BD4DB7">
              <w:rPr>
                <w:noProof/>
                <w:webHidden/>
              </w:rPr>
              <w:t>210</w:t>
            </w:r>
            <w:r w:rsidR="00BD4DB7">
              <w:rPr>
                <w:noProof/>
                <w:webHidden/>
              </w:rPr>
              <w:fldChar w:fldCharType="end"/>
            </w:r>
          </w:hyperlink>
        </w:p>
        <w:p w14:paraId="257D680C" w14:textId="4C3FF7C3"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14" w:history="1">
            <w:r w:rsidR="00BD4DB7" w:rsidRPr="0089237F">
              <w:rPr>
                <w:rStyle w:val="Hipervnculo"/>
                <w:noProof/>
              </w:rPr>
              <w:t>Artículo 2.3.1.2.  Asignación de operaciones</w:t>
            </w:r>
            <w:r w:rsidR="00BD4DB7" w:rsidRPr="0089237F">
              <w:rPr>
                <w:rStyle w:val="Hipervnculo"/>
                <w:rFonts w:eastAsia="Calibri"/>
                <w:noProof/>
              </w:rPr>
              <w:t>.</w:t>
            </w:r>
            <w:r w:rsidR="00BD4DB7">
              <w:rPr>
                <w:noProof/>
                <w:webHidden/>
              </w:rPr>
              <w:tab/>
            </w:r>
            <w:r w:rsidR="00BD4DB7">
              <w:rPr>
                <w:noProof/>
                <w:webHidden/>
              </w:rPr>
              <w:fldChar w:fldCharType="begin"/>
            </w:r>
            <w:r w:rsidR="00BD4DB7">
              <w:rPr>
                <w:noProof/>
                <w:webHidden/>
              </w:rPr>
              <w:instrText xml:space="preserve"> PAGEREF _Toc31716114 \h </w:instrText>
            </w:r>
            <w:r w:rsidR="00BD4DB7">
              <w:rPr>
                <w:noProof/>
                <w:webHidden/>
              </w:rPr>
            </w:r>
            <w:r w:rsidR="00BD4DB7">
              <w:rPr>
                <w:noProof/>
                <w:webHidden/>
              </w:rPr>
              <w:fldChar w:fldCharType="separate"/>
            </w:r>
            <w:r w:rsidR="00BD4DB7">
              <w:rPr>
                <w:noProof/>
                <w:webHidden/>
              </w:rPr>
              <w:t>210</w:t>
            </w:r>
            <w:r w:rsidR="00BD4DB7">
              <w:rPr>
                <w:noProof/>
                <w:webHidden/>
              </w:rPr>
              <w:fldChar w:fldCharType="end"/>
            </w:r>
          </w:hyperlink>
        </w:p>
        <w:p w14:paraId="570D5E50" w14:textId="7014169D"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15" w:history="1">
            <w:r w:rsidR="00BD4DB7" w:rsidRPr="0089237F">
              <w:rPr>
                <w:rStyle w:val="Hipervnculo"/>
                <w:noProof/>
              </w:rPr>
              <w:t>Artículo 2.3.1.3. Traspaso de Operaciones Aceptadas</w:t>
            </w:r>
            <w:r w:rsidR="00BD4DB7" w:rsidRPr="0089237F">
              <w:rPr>
                <w:rStyle w:val="Hipervnculo"/>
                <w:rFonts w:eastAsia="Calibri"/>
                <w:noProof/>
              </w:rPr>
              <w:t>.</w:t>
            </w:r>
            <w:r w:rsidR="00BD4DB7">
              <w:rPr>
                <w:noProof/>
                <w:webHidden/>
              </w:rPr>
              <w:tab/>
            </w:r>
            <w:r w:rsidR="00BD4DB7">
              <w:rPr>
                <w:noProof/>
                <w:webHidden/>
              </w:rPr>
              <w:fldChar w:fldCharType="begin"/>
            </w:r>
            <w:r w:rsidR="00BD4DB7">
              <w:rPr>
                <w:noProof/>
                <w:webHidden/>
              </w:rPr>
              <w:instrText xml:space="preserve"> PAGEREF _Toc31716115 \h </w:instrText>
            </w:r>
            <w:r w:rsidR="00BD4DB7">
              <w:rPr>
                <w:noProof/>
                <w:webHidden/>
              </w:rPr>
            </w:r>
            <w:r w:rsidR="00BD4DB7">
              <w:rPr>
                <w:noProof/>
                <w:webHidden/>
              </w:rPr>
              <w:fldChar w:fldCharType="separate"/>
            </w:r>
            <w:r w:rsidR="00BD4DB7">
              <w:rPr>
                <w:noProof/>
                <w:webHidden/>
              </w:rPr>
              <w:t>210</w:t>
            </w:r>
            <w:r w:rsidR="00BD4DB7">
              <w:rPr>
                <w:noProof/>
                <w:webHidden/>
              </w:rPr>
              <w:fldChar w:fldCharType="end"/>
            </w:r>
          </w:hyperlink>
        </w:p>
        <w:p w14:paraId="36E8079E" w14:textId="7B61AE94"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16" w:history="1">
            <w:r w:rsidR="00BD4DB7" w:rsidRPr="0089237F">
              <w:rPr>
                <w:rStyle w:val="Hipervnculo"/>
                <w:noProof/>
              </w:rPr>
              <w:t>Artículo 2.3.1.4. Traspaso de Posición Abierta</w:t>
            </w:r>
            <w:r w:rsidR="00BD4DB7" w:rsidRPr="0089237F">
              <w:rPr>
                <w:rStyle w:val="Hipervnculo"/>
                <w:rFonts w:eastAsia="Calibri"/>
                <w:noProof/>
              </w:rPr>
              <w:t>.</w:t>
            </w:r>
            <w:r w:rsidR="00BD4DB7">
              <w:rPr>
                <w:noProof/>
                <w:webHidden/>
              </w:rPr>
              <w:tab/>
            </w:r>
            <w:r w:rsidR="00BD4DB7">
              <w:rPr>
                <w:noProof/>
                <w:webHidden/>
              </w:rPr>
              <w:fldChar w:fldCharType="begin"/>
            </w:r>
            <w:r w:rsidR="00BD4DB7">
              <w:rPr>
                <w:noProof/>
                <w:webHidden/>
              </w:rPr>
              <w:instrText xml:space="preserve"> PAGEREF _Toc31716116 \h </w:instrText>
            </w:r>
            <w:r w:rsidR="00BD4DB7">
              <w:rPr>
                <w:noProof/>
                <w:webHidden/>
              </w:rPr>
            </w:r>
            <w:r w:rsidR="00BD4DB7">
              <w:rPr>
                <w:noProof/>
                <w:webHidden/>
              </w:rPr>
              <w:fldChar w:fldCharType="separate"/>
            </w:r>
            <w:r w:rsidR="00BD4DB7">
              <w:rPr>
                <w:noProof/>
                <w:webHidden/>
              </w:rPr>
              <w:t>211</w:t>
            </w:r>
            <w:r w:rsidR="00BD4DB7">
              <w:rPr>
                <w:noProof/>
                <w:webHidden/>
              </w:rPr>
              <w:fldChar w:fldCharType="end"/>
            </w:r>
          </w:hyperlink>
        </w:p>
        <w:p w14:paraId="7E790918" w14:textId="6A50FC5F"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17" w:history="1">
            <w:r w:rsidR="00BD4DB7" w:rsidRPr="0089237F">
              <w:rPr>
                <w:rStyle w:val="Hipervnculo"/>
                <w:noProof/>
              </w:rPr>
              <w:t>Artículo 2.3.1.5. Give Up.</w:t>
            </w:r>
            <w:r w:rsidR="00BD4DB7">
              <w:rPr>
                <w:noProof/>
                <w:webHidden/>
              </w:rPr>
              <w:tab/>
            </w:r>
            <w:r w:rsidR="00BD4DB7">
              <w:rPr>
                <w:noProof/>
                <w:webHidden/>
              </w:rPr>
              <w:fldChar w:fldCharType="begin"/>
            </w:r>
            <w:r w:rsidR="00BD4DB7">
              <w:rPr>
                <w:noProof/>
                <w:webHidden/>
              </w:rPr>
              <w:instrText xml:space="preserve"> PAGEREF _Toc31716117 \h </w:instrText>
            </w:r>
            <w:r w:rsidR="00BD4DB7">
              <w:rPr>
                <w:noProof/>
                <w:webHidden/>
              </w:rPr>
            </w:r>
            <w:r w:rsidR="00BD4DB7">
              <w:rPr>
                <w:noProof/>
                <w:webHidden/>
              </w:rPr>
              <w:fldChar w:fldCharType="separate"/>
            </w:r>
            <w:r w:rsidR="00BD4DB7">
              <w:rPr>
                <w:noProof/>
                <w:webHidden/>
              </w:rPr>
              <w:t>211</w:t>
            </w:r>
            <w:r w:rsidR="00BD4DB7">
              <w:rPr>
                <w:noProof/>
                <w:webHidden/>
              </w:rPr>
              <w:fldChar w:fldCharType="end"/>
            </w:r>
          </w:hyperlink>
        </w:p>
        <w:p w14:paraId="045ECF9D" w14:textId="323A8F0B"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118" w:history="1">
            <w:r w:rsidR="00BD4DB7" w:rsidRPr="0089237F">
              <w:rPr>
                <w:rStyle w:val="Hipervnculo"/>
                <w:rFonts w:eastAsia="Calibri"/>
                <w:noProof/>
              </w:rPr>
              <w:t>TÍTULO CUARTO</w:t>
            </w:r>
            <w:r w:rsidR="00BD4DB7">
              <w:rPr>
                <w:noProof/>
                <w:webHidden/>
              </w:rPr>
              <w:tab/>
            </w:r>
            <w:r w:rsidR="00BD4DB7">
              <w:rPr>
                <w:noProof/>
                <w:webHidden/>
              </w:rPr>
              <w:fldChar w:fldCharType="begin"/>
            </w:r>
            <w:r w:rsidR="00BD4DB7">
              <w:rPr>
                <w:noProof/>
                <w:webHidden/>
              </w:rPr>
              <w:instrText xml:space="preserve"> PAGEREF _Toc31716118 \h </w:instrText>
            </w:r>
            <w:r w:rsidR="00BD4DB7">
              <w:rPr>
                <w:noProof/>
                <w:webHidden/>
              </w:rPr>
            </w:r>
            <w:r w:rsidR="00BD4DB7">
              <w:rPr>
                <w:noProof/>
                <w:webHidden/>
              </w:rPr>
              <w:fldChar w:fldCharType="separate"/>
            </w:r>
            <w:r w:rsidR="00BD4DB7">
              <w:rPr>
                <w:noProof/>
                <w:webHidden/>
              </w:rPr>
              <w:t>211</w:t>
            </w:r>
            <w:r w:rsidR="00BD4DB7">
              <w:rPr>
                <w:noProof/>
                <w:webHidden/>
              </w:rPr>
              <w:fldChar w:fldCharType="end"/>
            </w:r>
          </w:hyperlink>
        </w:p>
        <w:p w14:paraId="444F711C" w14:textId="14E67FB6"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119" w:history="1">
            <w:r w:rsidR="00BD4DB7" w:rsidRPr="0089237F">
              <w:rPr>
                <w:rStyle w:val="Hipervnculo"/>
                <w:rFonts w:eastAsia="Calibri"/>
                <w:noProof/>
              </w:rPr>
              <w:t>COMPENSACIÓN Y LIQUIDACIÓN DE OPERACIONES</w:t>
            </w:r>
            <w:r w:rsidR="00BD4DB7">
              <w:rPr>
                <w:noProof/>
                <w:webHidden/>
              </w:rPr>
              <w:tab/>
            </w:r>
            <w:r w:rsidR="00BD4DB7">
              <w:rPr>
                <w:noProof/>
                <w:webHidden/>
              </w:rPr>
              <w:fldChar w:fldCharType="begin"/>
            </w:r>
            <w:r w:rsidR="00BD4DB7">
              <w:rPr>
                <w:noProof/>
                <w:webHidden/>
              </w:rPr>
              <w:instrText xml:space="preserve"> PAGEREF _Toc31716119 \h </w:instrText>
            </w:r>
            <w:r w:rsidR="00BD4DB7">
              <w:rPr>
                <w:noProof/>
                <w:webHidden/>
              </w:rPr>
            </w:r>
            <w:r w:rsidR="00BD4DB7">
              <w:rPr>
                <w:noProof/>
                <w:webHidden/>
              </w:rPr>
              <w:fldChar w:fldCharType="separate"/>
            </w:r>
            <w:r w:rsidR="00BD4DB7">
              <w:rPr>
                <w:noProof/>
                <w:webHidden/>
              </w:rPr>
              <w:t>211</w:t>
            </w:r>
            <w:r w:rsidR="00BD4DB7">
              <w:rPr>
                <w:noProof/>
                <w:webHidden/>
              </w:rPr>
              <w:fldChar w:fldCharType="end"/>
            </w:r>
          </w:hyperlink>
        </w:p>
        <w:p w14:paraId="36B3060E" w14:textId="7F384CAC"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120" w:history="1">
            <w:r w:rsidR="00BD4DB7" w:rsidRPr="0089237F">
              <w:rPr>
                <w:rStyle w:val="Hipervnculo"/>
                <w:rFonts w:eastAsia="Calibri"/>
                <w:noProof/>
              </w:rPr>
              <w:t>CAPÍTULO PRIMERO</w:t>
            </w:r>
            <w:r w:rsidR="00BD4DB7">
              <w:rPr>
                <w:noProof/>
                <w:webHidden/>
              </w:rPr>
              <w:tab/>
            </w:r>
            <w:r w:rsidR="00BD4DB7">
              <w:rPr>
                <w:noProof/>
                <w:webHidden/>
              </w:rPr>
              <w:fldChar w:fldCharType="begin"/>
            </w:r>
            <w:r w:rsidR="00BD4DB7">
              <w:rPr>
                <w:noProof/>
                <w:webHidden/>
              </w:rPr>
              <w:instrText xml:space="preserve"> PAGEREF _Toc31716120 \h </w:instrText>
            </w:r>
            <w:r w:rsidR="00BD4DB7">
              <w:rPr>
                <w:noProof/>
                <w:webHidden/>
              </w:rPr>
            </w:r>
            <w:r w:rsidR="00BD4DB7">
              <w:rPr>
                <w:noProof/>
                <w:webHidden/>
              </w:rPr>
              <w:fldChar w:fldCharType="separate"/>
            </w:r>
            <w:r w:rsidR="00BD4DB7">
              <w:rPr>
                <w:noProof/>
                <w:webHidden/>
              </w:rPr>
              <w:t>211</w:t>
            </w:r>
            <w:r w:rsidR="00BD4DB7">
              <w:rPr>
                <w:noProof/>
                <w:webHidden/>
              </w:rPr>
              <w:fldChar w:fldCharType="end"/>
            </w:r>
          </w:hyperlink>
        </w:p>
        <w:p w14:paraId="0CFC1A7C" w14:textId="2090F870"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121" w:history="1">
            <w:r w:rsidR="00BD4DB7" w:rsidRPr="0089237F">
              <w:rPr>
                <w:rStyle w:val="Hipervnculo"/>
                <w:rFonts w:eastAsia="Calibri"/>
                <w:noProof/>
              </w:rPr>
              <w:t>COMPENSACIÓN DE INSTRUMENTOS FINANCIEROS DERIVADOS</w:t>
            </w:r>
            <w:r w:rsidR="00BD4DB7">
              <w:rPr>
                <w:noProof/>
                <w:webHidden/>
              </w:rPr>
              <w:tab/>
            </w:r>
            <w:r w:rsidR="00BD4DB7">
              <w:rPr>
                <w:noProof/>
                <w:webHidden/>
              </w:rPr>
              <w:fldChar w:fldCharType="begin"/>
            </w:r>
            <w:r w:rsidR="00BD4DB7">
              <w:rPr>
                <w:noProof/>
                <w:webHidden/>
              </w:rPr>
              <w:instrText xml:space="preserve"> PAGEREF _Toc31716121 \h </w:instrText>
            </w:r>
            <w:r w:rsidR="00BD4DB7">
              <w:rPr>
                <w:noProof/>
                <w:webHidden/>
              </w:rPr>
            </w:r>
            <w:r w:rsidR="00BD4DB7">
              <w:rPr>
                <w:noProof/>
                <w:webHidden/>
              </w:rPr>
              <w:fldChar w:fldCharType="separate"/>
            </w:r>
            <w:r w:rsidR="00BD4DB7">
              <w:rPr>
                <w:noProof/>
                <w:webHidden/>
              </w:rPr>
              <w:t>211</w:t>
            </w:r>
            <w:r w:rsidR="00BD4DB7">
              <w:rPr>
                <w:noProof/>
                <w:webHidden/>
              </w:rPr>
              <w:fldChar w:fldCharType="end"/>
            </w:r>
          </w:hyperlink>
        </w:p>
        <w:p w14:paraId="3E90C0E4" w14:textId="39D4DFA0"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22" w:history="1">
            <w:r w:rsidR="00BD4DB7" w:rsidRPr="0089237F">
              <w:rPr>
                <w:rStyle w:val="Hipervnculo"/>
                <w:noProof/>
              </w:rPr>
              <w:t>Artículo 2.4.1.1.  Compensación de efectivo.</w:t>
            </w:r>
            <w:r w:rsidR="00BD4DB7">
              <w:rPr>
                <w:noProof/>
                <w:webHidden/>
              </w:rPr>
              <w:tab/>
            </w:r>
            <w:r w:rsidR="00BD4DB7">
              <w:rPr>
                <w:noProof/>
                <w:webHidden/>
              </w:rPr>
              <w:fldChar w:fldCharType="begin"/>
            </w:r>
            <w:r w:rsidR="00BD4DB7">
              <w:rPr>
                <w:noProof/>
                <w:webHidden/>
              </w:rPr>
              <w:instrText xml:space="preserve"> PAGEREF _Toc31716122 \h </w:instrText>
            </w:r>
            <w:r w:rsidR="00BD4DB7">
              <w:rPr>
                <w:noProof/>
                <w:webHidden/>
              </w:rPr>
            </w:r>
            <w:r w:rsidR="00BD4DB7">
              <w:rPr>
                <w:noProof/>
                <w:webHidden/>
              </w:rPr>
              <w:fldChar w:fldCharType="separate"/>
            </w:r>
            <w:r w:rsidR="00BD4DB7">
              <w:rPr>
                <w:noProof/>
                <w:webHidden/>
              </w:rPr>
              <w:t>211</w:t>
            </w:r>
            <w:r w:rsidR="00BD4DB7">
              <w:rPr>
                <w:noProof/>
                <w:webHidden/>
              </w:rPr>
              <w:fldChar w:fldCharType="end"/>
            </w:r>
          </w:hyperlink>
        </w:p>
        <w:p w14:paraId="5244CD5C" w14:textId="50F9FF23"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23" w:history="1">
            <w:r w:rsidR="00BD4DB7" w:rsidRPr="0089237F">
              <w:rPr>
                <w:rStyle w:val="Hipervnculo"/>
                <w:noProof/>
              </w:rPr>
              <w:t>Artículo 2.4.1.2.  Compensación de Activos</w:t>
            </w:r>
            <w:r w:rsidR="00BD4DB7" w:rsidRPr="0089237F">
              <w:rPr>
                <w:rStyle w:val="Hipervnculo"/>
                <w:rFonts w:eastAsia="Calibri"/>
                <w:noProof/>
              </w:rPr>
              <w:t>.</w:t>
            </w:r>
            <w:r w:rsidR="00BD4DB7">
              <w:rPr>
                <w:noProof/>
                <w:webHidden/>
              </w:rPr>
              <w:tab/>
            </w:r>
            <w:r w:rsidR="00BD4DB7">
              <w:rPr>
                <w:noProof/>
                <w:webHidden/>
              </w:rPr>
              <w:fldChar w:fldCharType="begin"/>
            </w:r>
            <w:r w:rsidR="00BD4DB7">
              <w:rPr>
                <w:noProof/>
                <w:webHidden/>
              </w:rPr>
              <w:instrText xml:space="preserve"> PAGEREF _Toc31716123 \h </w:instrText>
            </w:r>
            <w:r w:rsidR="00BD4DB7">
              <w:rPr>
                <w:noProof/>
                <w:webHidden/>
              </w:rPr>
            </w:r>
            <w:r w:rsidR="00BD4DB7">
              <w:rPr>
                <w:noProof/>
                <w:webHidden/>
              </w:rPr>
              <w:fldChar w:fldCharType="separate"/>
            </w:r>
            <w:r w:rsidR="00BD4DB7">
              <w:rPr>
                <w:noProof/>
                <w:webHidden/>
              </w:rPr>
              <w:t>211</w:t>
            </w:r>
            <w:r w:rsidR="00BD4DB7">
              <w:rPr>
                <w:noProof/>
                <w:webHidden/>
              </w:rPr>
              <w:fldChar w:fldCharType="end"/>
            </w:r>
          </w:hyperlink>
        </w:p>
        <w:p w14:paraId="348716CB" w14:textId="71CEC8F4"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124" w:history="1">
            <w:r w:rsidR="00BD4DB7" w:rsidRPr="0089237F">
              <w:rPr>
                <w:rStyle w:val="Hipervnculo"/>
                <w:rFonts w:eastAsia="Calibri"/>
                <w:noProof/>
              </w:rPr>
              <w:t>CAPITULO SEGUNDO</w:t>
            </w:r>
            <w:r w:rsidR="00BD4DB7">
              <w:rPr>
                <w:noProof/>
                <w:webHidden/>
              </w:rPr>
              <w:tab/>
            </w:r>
            <w:r w:rsidR="00BD4DB7">
              <w:rPr>
                <w:noProof/>
                <w:webHidden/>
              </w:rPr>
              <w:fldChar w:fldCharType="begin"/>
            </w:r>
            <w:r w:rsidR="00BD4DB7">
              <w:rPr>
                <w:noProof/>
                <w:webHidden/>
              </w:rPr>
              <w:instrText xml:space="preserve"> PAGEREF _Toc31716124 \h </w:instrText>
            </w:r>
            <w:r w:rsidR="00BD4DB7">
              <w:rPr>
                <w:noProof/>
                <w:webHidden/>
              </w:rPr>
            </w:r>
            <w:r w:rsidR="00BD4DB7">
              <w:rPr>
                <w:noProof/>
                <w:webHidden/>
              </w:rPr>
              <w:fldChar w:fldCharType="separate"/>
            </w:r>
            <w:r w:rsidR="00BD4DB7">
              <w:rPr>
                <w:noProof/>
                <w:webHidden/>
              </w:rPr>
              <w:t>211</w:t>
            </w:r>
            <w:r w:rsidR="00BD4DB7">
              <w:rPr>
                <w:noProof/>
                <w:webHidden/>
              </w:rPr>
              <w:fldChar w:fldCharType="end"/>
            </w:r>
          </w:hyperlink>
        </w:p>
        <w:p w14:paraId="3D823174" w14:textId="5D7B4EA9"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125" w:history="1">
            <w:r w:rsidR="00BD4DB7" w:rsidRPr="0089237F">
              <w:rPr>
                <w:rStyle w:val="Hipervnculo"/>
                <w:rFonts w:eastAsia="Calibri"/>
                <w:noProof/>
              </w:rPr>
              <w:t>LIQUIDACIÓN DIARIA DE INSTRUMENTOS FINANCIEROS DERIVADOS ESTANDARIZADOS</w:t>
            </w:r>
            <w:r w:rsidR="00BD4DB7">
              <w:rPr>
                <w:noProof/>
                <w:webHidden/>
              </w:rPr>
              <w:tab/>
            </w:r>
            <w:r w:rsidR="00BD4DB7">
              <w:rPr>
                <w:noProof/>
                <w:webHidden/>
              </w:rPr>
              <w:fldChar w:fldCharType="begin"/>
            </w:r>
            <w:r w:rsidR="00BD4DB7">
              <w:rPr>
                <w:noProof/>
                <w:webHidden/>
              </w:rPr>
              <w:instrText xml:space="preserve"> PAGEREF _Toc31716125 \h </w:instrText>
            </w:r>
            <w:r w:rsidR="00BD4DB7">
              <w:rPr>
                <w:noProof/>
                <w:webHidden/>
              </w:rPr>
            </w:r>
            <w:r w:rsidR="00BD4DB7">
              <w:rPr>
                <w:noProof/>
                <w:webHidden/>
              </w:rPr>
              <w:fldChar w:fldCharType="separate"/>
            </w:r>
            <w:r w:rsidR="00BD4DB7">
              <w:rPr>
                <w:noProof/>
                <w:webHidden/>
              </w:rPr>
              <w:t>211</w:t>
            </w:r>
            <w:r w:rsidR="00BD4DB7">
              <w:rPr>
                <w:noProof/>
                <w:webHidden/>
              </w:rPr>
              <w:fldChar w:fldCharType="end"/>
            </w:r>
          </w:hyperlink>
        </w:p>
        <w:p w14:paraId="46B00276" w14:textId="1E7577C2"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26" w:history="1">
            <w:r w:rsidR="00BD4DB7" w:rsidRPr="0089237F">
              <w:rPr>
                <w:rStyle w:val="Hipervnculo"/>
                <w:noProof/>
              </w:rPr>
              <w:t>Artículo 2.4.2.1. Conceptos incluidos en Liquidación Diaria</w:t>
            </w:r>
            <w:r w:rsidR="00BD4DB7" w:rsidRPr="0089237F">
              <w:rPr>
                <w:rStyle w:val="Hipervnculo"/>
                <w:rFonts w:eastAsia="Calibri"/>
                <w:noProof/>
              </w:rPr>
              <w:t>.</w:t>
            </w:r>
            <w:r w:rsidR="00BD4DB7">
              <w:rPr>
                <w:noProof/>
                <w:webHidden/>
              </w:rPr>
              <w:tab/>
            </w:r>
            <w:r w:rsidR="00BD4DB7">
              <w:rPr>
                <w:noProof/>
                <w:webHidden/>
              </w:rPr>
              <w:fldChar w:fldCharType="begin"/>
            </w:r>
            <w:r w:rsidR="00BD4DB7">
              <w:rPr>
                <w:noProof/>
                <w:webHidden/>
              </w:rPr>
              <w:instrText xml:space="preserve"> PAGEREF _Toc31716126 \h </w:instrText>
            </w:r>
            <w:r w:rsidR="00BD4DB7">
              <w:rPr>
                <w:noProof/>
                <w:webHidden/>
              </w:rPr>
            </w:r>
            <w:r w:rsidR="00BD4DB7">
              <w:rPr>
                <w:noProof/>
                <w:webHidden/>
              </w:rPr>
              <w:fldChar w:fldCharType="separate"/>
            </w:r>
            <w:r w:rsidR="00BD4DB7">
              <w:rPr>
                <w:noProof/>
                <w:webHidden/>
              </w:rPr>
              <w:t>212</w:t>
            </w:r>
            <w:r w:rsidR="00BD4DB7">
              <w:rPr>
                <w:noProof/>
                <w:webHidden/>
              </w:rPr>
              <w:fldChar w:fldCharType="end"/>
            </w:r>
          </w:hyperlink>
        </w:p>
        <w:p w14:paraId="695B421B" w14:textId="1EADB91E"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27" w:history="1">
            <w:r w:rsidR="00BD4DB7" w:rsidRPr="0089237F">
              <w:rPr>
                <w:rStyle w:val="Hipervnculo"/>
                <w:noProof/>
              </w:rPr>
              <w:t>Artículo 2.4.2.2.  Procedimiento de cálculo del ajuste diario a Precios de Liquidación en los Contratos de Futuros cuyo Tipo de Liquidación incluya la Liquidación Diaria</w:t>
            </w:r>
            <w:r w:rsidR="00BD4DB7" w:rsidRPr="0089237F">
              <w:rPr>
                <w:rStyle w:val="Hipervnculo"/>
                <w:rFonts w:eastAsia="Calibri" w:cs="Times New Roman"/>
                <w:noProof/>
              </w:rPr>
              <w:t>.</w:t>
            </w:r>
            <w:r w:rsidR="00BD4DB7">
              <w:rPr>
                <w:noProof/>
                <w:webHidden/>
              </w:rPr>
              <w:tab/>
            </w:r>
            <w:r w:rsidR="00BD4DB7">
              <w:rPr>
                <w:noProof/>
                <w:webHidden/>
              </w:rPr>
              <w:fldChar w:fldCharType="begin"/>
            </w:r>
            <w:r w:rsidR="00BD4DB7">
              <w:rPr>
                <w:noProof/>
                <w:webHidden/>
              </w:rPr>
              <w:instrText xml:space="preserve"> PAGEREF _Toc31716127 \h </w:instrText>
            </w:r>
            <w:r w:rsidR="00BD4DB7">
              <w:rPr>
                <w:noProof/>
                <w:webHidden/>
              </w:rPr>
            </w:r>
            <w:r w:rsidR="00BD4DB7">
              <w:rPr>
                <w:noProof/>
                <w:webHidden/>
              </w:rPr>
              <w:fldChar w:fldCharType="separate"/>
            </w:r>
            <w:r w:rsidR="00BD4DB7">
              <w:rPr>
                <w:noProof/>
                <w:webHidden/>
              </w:rPr>
              <w:t>213</w:t>
            </w:r>
            <w:r w:rsidR="00BD4DB7">
              <w:rPr>
                <w:noProof/>
                <w:webHidden/>
              </w:rPr>
              <w:fldChar w:fldCharType="end"/>
            </w:r>
          </w:hyperlink>
        </w:p>
        <w:p w14:paraId="6D03EC75" w14:textId="57435015"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28" w:history="1">
            <w:r w:rsidR="00BD4DB7" w:rsidRPr="0089237F">
              <w:rPr>
                <w:rStyle w:val="Hipervnculo"/>
                <w:noProof/>
              </w:rPr>
              <w:t>Artículo 2.4.2.3.  Etapas del Procedimiento de Liquidación Diaria.</w:t>
            </w:r>
            <w:r w:rsidR="00BD4DB7">
              <w:rPr>
                <w:noProof/>
                <w:webHidden/>
              </w:rPr>
              <w:tab/>
            </w:r>
            <w:r w:rsidR="00BD4DB7">
              <w:rPr>
                <w:noProof/>
                <w:webHidden/>
              </w:rPr>
              <w:fldChar w:fldCharType="begin"/>
            </w:r>
            <w:r w:rsidR="00BD4DB7">
              <w:rPr>
                <w:noProof/>
                <w:webHidden/>
              </w:rPr>
              <w:instrText xml:space="preserve"> PAGEREF _Toc31716128 \h </w:instrText>
            </w:r>
            <w:r w:rsidR="00BD4DB7">
              <w:rPr>
                <w:noProof/>
                <w:webHidden/>
              </w:rPr>
            </w:r>
            <w:r w:rsidR="00BD4DB7">
              <w:rPr>
                <w:noProof/>
                <w:webHidden/>
              </w:rPr>
              <w:fldChar w:fldCharType="separate"/>
            </w:r>
            <w:r w:rsidR="00BD4DB7">
              <w:rPr>
                <w:noProof/>
                <w:webHidden/>
              </w:rPr>
              <w:t>214</w:t>
            </w:r>
            <w:r w:rsidR="00BD4DB7">
              <w:rPr>
                <w:noProof/>
                <w:webHidden/>
              </w:rPr>
              <w:fldChar w:fldCharType="end"/>
            </w:r>
          </w:hyperlink>
        </w:p>
        <w:p w14:paraId="4A933EDD" w14:textId="6AB8FB95"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29" w:history="1">
            <w:r w:rsidR="00BD4DB7" w:rsidRPr="0089237F">
              <w:rPr>
                <w:rStyle w:val="Hipervnculo"/>
                <w:noProof/>
              </w:rPr>
              <w:t>Artículo 2.4.2.4. Pagos.</w:t>
            </w:r>
            <w:r w:rsidR="00BD4DB7">
              <w:rPr>
                <w:noProof/>
                <w:webHidden/>
              </w:rPr>
              <w:tab/>
            </w:r>
            <w:r w:rsidR="00BD4DB7">
              <w:rPr>
                <w:noProof/>
                <w:webHidden/>
              </w:rPr>
              <w:fldChar w:fldCharType="begin"/>
            </w:r>
            <w:r w:rsidR="00BD4DB7">
              <w:rPr>
                <w:noProof/>
                <w:webHidden/>
              </w:rPr>
              <w:instrText xml:space="preserve"> PAGEREF _Toc31716129 \h </w:instrText>
            </w:r>
            <w:r w:rsidR="00BD4DB7">
              <w:rPr>
                <w:noProof/>
                <w:webHidden/>
              </w:rPr>
            </w:r>
            <w:r w:rsidR="00BD4DB7">
              <w:rPr>
                <w:noProof/>
                <w:webHidden/>
              </w:rPr>
              <w:fldChar w:fldCharType="separate"/>
            </w:r>
            <w:r w:rsidR="00BD4DB7">
              <w:rPr>
                <w:noProof/>
                <w:webHidden/>
              </w:rPr>
              <w:t>214</w:t>
            </w:r>
            <w:r w:rsidR="00BD4DB7">
              <w:rPr>
                <w:noProof/>
                <w:webHidden/>
              </w:rPr>
              <w:fldChar w:fldCharType="end"/>
            </w:r>
          </w:hyperlink>
        </w:p>
        <w:p w14:paraId="0DDF6F97" w14:textId="78EC73CF"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130" w:history="1">
            <w:r w:rsidR="00BD4DB7" w:rsidRPr="0089237F">
              <w:rPr>
                <w:rStyle w:val="Hipervnculo"/>
                <w:rFonts w:eastAsia="Calibri"/>
                <w:noProof/>
              </w:rPr>
              <w:t>CAPÍTULO TERCERO</w:t>
            </w:r>
            <w:r w:rsidR="00BD4DB7">
              <w:rPr>
                <w:noProof/>
                <w:webHidden/>
              </w:rPr>
              <w:tab/>
            </w:r>
            <w:r w:rsidR="00BD4DB7">
              <w:rPr>
                <w:noProof/>
                <w:webHidden/>
              </w:rPr>
              <w:fldChar w:fldCharType="begin"/>
            </w:r>
            <w:r w:rsidR="00BD4DB7">
              <w:rPr>
                <w:noProof/>
                <w:webHidden/>
              </w:rPr>
              <w:instrText xml:space="preserve"> PAGEREF _Toc31716130 \h </w:instrText>
            </w:r>
            <w:r w:rsidR="00BD4DB7">
              <w:rPr>
                <w:noProof/>
                <w:webHidden/>
              </w:rPr>
            </w:r>
            <w:r w:rsidR="00BD4DB7">
              <w:rPr>
                <w:noProof/>
                <w:webHidden/>
              </w:rPr>
              <w:fldChar w:fldCharType="separate"/>
            </w:r>
            <w:r w:rsidR="00BD4DB7">
              <w:rPr>
                <w:noProof/>
                <w:webHidden/>
              </w:rPr>
              <w:t>215</w:t>
            </w:r>
            <w:r w:rsidR="00BD4DB7">
              <w:rPr>
                <w:noProof/>
                <w:webHidden/>
              </w:rPr>
              <w:fldChar w:fldCharType="end"/>
            </w:r>
          </w:hyperlink>
        </w:p>
        <w:p w14:paraId="4FC8BC63" w14:textId="1BAE076F"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131" w:history="1">
            <w:r w:rsidR="00BD4DB7" w:rsidRPr="0089237F">
              <w:rPr>
                <w:rStyle w:val="Hipervnculo"/>
                <w:rFonts w:eastAsia="Calibri"/>
                <w:noProof/>
              </w:rPr>
              <w:t>LIQUIDACIÓN DIARIA DE INSTRUMENTOS FINANCIEROS DERIVADOS NO ESTANDARIZADOS PROVENIENTES DE SISTEMAS DE NEGOCIACION Y/O REGISTRO O MECANISMOS DE CONTRATACIÓN</w:t>
            </w:r>
            <w:r w:rsidR="00BD4DB7">
              <w:rPr>
                <w:noProof/>
                <w:webHidden/>
              </w:rPr>
              <w:tab/>
            </w:r>
            <w:r w:rsidR="00BD4DB7">
              <w:rPr>
                <w:noProof/>
                <w:webHidden/>
              </w:rPr>
              <w:fldChar w:fldCharType="begin"/>
            </w:r>
            <w:r w:rsidR="00BD4DB7">
              <w:rPr>
                <w:noProof/>
                <w:webHidden/>
              </w:rPr>
              <w:instrText xml:space="preserve"> PAGEREF _Toc31716131 \h </w:instrText>
            </w:r>
            <w:r w:rsidR="00BD4DB7">
              <w:rPr>
                <w:noProof/>
                <w:webHidden/>
              </w:rPr>
            </w:r>
            <w:r w:rsidR="00BD4DB7">
              <w:rPr>
                <w:noProof/>
                <w:webHidden/>
              </w:rPr>
              <w:fldChar w:fldCharType="separate"/>
            </w:r>
            <w:r w:rsidR="00BD4DB7">
              <w:rPr>
                <w:noProof/>
                <w:webHidden/>
              </w:rPr>
              <w:t>215</w:t>
            </w:r>
            <w:r w:rsidR="00BD4DB7">
              <w:rPr>
                <w:noProof/>
                <w:webHidden/>
              </w:rPr>
              <w:fldChar w:fldCharType="end"/>
            </w:r>
          </w:hyperlink>
        </w:p>
        <w:p w14:paraId="62EFF535" w14:textId="767D5273"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32" w:history="1">
            <w:r w:rsidR="00BD4DB7" w:rsidRPr="0089237F">
              <w:rPr>
                <w:rStyle w:val="Hipervnculo"/>
                <w:noProof/>
              </w:rPr>
              <w:t>Artículo 2.4.3.1. Conceptos incluidos en la Liquidación Diaria sobre Instrumentos Financieros Derivados No Estandarizados provenientes de sistemas de negociación y/o registro o Mecanismo de Contratación.</w:t>
            </w:r>
            <w:r w:rsidR="00BD4DB7">
              <w:rPr>
                <w:noProof/>
                <w:webHidden/>
              </w:rPr>
              <w:tab/>
            </w:r>
            <w:r w:rsidR="00BD4DB7">
              <w:rPr>
                <w:noProof/>
                <w:webHidden/>
              </w:rPr>
              <w:fldChar w:fldCharType="begin"/>
            </w:r>
            <w:r w:rsidR="00BD4DB7">
              <w:rPr>
                <w:noProof/>
                <w:webHidden/>
              </w:rPr>
              <w:instrText xml:space="preserve"> PAGEREF _Toc31716132 \h </w:instrText>
            </w:r>
            <w:r w:rsidR="00BD4DB7">
              <w:rPr>
                <w:noProof/>
                <w:webHidden/>
              </w:rPr>
            </w:r>
            <w:r w:rsidR="00BD4DB7">
              <w:rPr>
                <w:noProof/>
                <w:webHidden/>
              </w:rPr>
              <w:fldChar w:fldCharType="separate"/>
            </w:r>
            <w:r w:rsidR="00BD4DB7">
              <w:rPr>
                <w:noProof/>
                <w:webHidden/>
              </w:rPr>
              <w:t>216</w:t>
            </w:r>
            <w:r w:rsidR="00BD4DB7">
              <w:rPr>
                <w:noProof/>
                <w:webHidden/>
              </w:rPr>
              <w:fldChar w:fldCharType="end"/>
            </w:r>
          </w:hyperlink>
        </w:p>
        <w:p w14:paraId="2A9EEAE4" w14:textId="43770F66"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33" w:history="1">
            <w:r w:rsidR="00BD4DB7" w:rsidRPr="0089237F">
              <w:rPr>
                <w:rStyle w:val="Hipervnculo"/>
                <w:noProof/>
              </w:rPr>
              <w:t>Artículo 2.4.3.2. Procedimiento de cálculo del ajuste diario a Precios de Liquidación de Instrumentos Financieros Derivados No Estandarizados provenientes de sistemas de negociación y/o registro o Mecanismo de Contratación cuyo Tipo de Liquidación incluya la Liquidación Diaria.</w:t>
            </w:r>
            <w:r w:rsidR="00BD4DB7">
              <w:rPr>
                <w:noProof/>
                <w:webHidden/>
              </w:rPr>
              <w:tab/>
            </w:r>
            <w:r w:rsidR="00BD4DB7">
              <w:rPr>
                <w:noProof/>
                <w:webHidden/>
              </w:rPr>
              <w:fldChar w:fldCharType="begin"/>
            </w:r>
            <w:r w:rsidR="00BD4DB7">
              <w:rPr>
                <w:noProof/>
                <w:webHidden/>
              </w:rPr>
              <w:instrText xml:space="preserve"> PAGEREF _Toc31716133 \h </w:instrText>
            </w:r>
            <w:r w:rsidR="00BD4DB7">
              <w:rPr>
                <w:noProof/>
                <w:webHidden/>
              </w:rPr>
            </w:r>
            <w:r w:rsidR="00BD4DB7">
              <w:rPr>
                <w:noProof/>
                <w:webHidden/>
              </w:rPr>
              <w:fldChar w:fldCharType="separate"/>
            </w:r>
            <w:r w:rsidR="00BD4DB7">
              <w:rPr>
                <w:noProof/>
                <w:webHidden/>
              </w:rPr>
              <w:t>217</w:t>
            </w:r>
            <w:r w:rsidR="00BD4DB7">
              <w:rPr>
                <w:noProof/>
                <w:webHidden/>
              </w:rPr>
              <w:fldChar w:fldCharType="end"/>
            </w:r>
          </w:hyperlink>
        </w:p>
        <w:p w14:paraId="2DA5F13D" w14:textId="72956875"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34" w:history="1">
            <w:r w:rsidR="00BD4DB7" w:rsidRPr="0089237F">
              <w:rPr>
                <w:rStyle w:val="Hipervnculo"/>
                <w:noProof/>
              </w:rPr>
              <w:t>Artículo 2.4.3.3. Etapas del Procedimiento de Liquidación Diaria de Instrumentos Financieros Derivados No Estandarizados provenientes de sistemas de negociación y/o registro o Mecanismo de Contratación cuyo Tipo de Liquidación incluya la Liquidación Diaria</w:t>
            </w:r>
            <w:r w:rsidR="00BD4DB7">
              <w:rPr>
                <w:noProof/>
                <w:webHidden/>
              </w:rPr>
              <w:tab/>
            </w:r>
            <w:r w:rsidR="00BD4DB7">
              <w:rPr>
                <w:noProof/>
                <w:webHidden/>
              </w:rPr>
              <w:fldChar w:fldCharType="begin"/>
            </w:r>
            <w:r w:rsidR="00BD4DB7">
              <w:rPr>
                <w:noProof/>
                <w:webHidden/>
              </w:rPr>
              <w:instrText xml:space="preserve"> PAGEREF _Toc31716134 \h </w:instrText>
            </w:r>
            <w:r w:rsidR="00BD4DB7">
              <w:rPr>
                <w:noProof/>
                <w:webHidden/>
              </w:rPr>
            </w:r>
            <w:r w:rsidR="00BD4DB7">
              <w:rPr>
                <w:noProof/>
                <w:webHidden/>
              </w:rPr>
              <w:fldChar w:fldCharType="separate"/>
            </w:r>
            <w:r w:rsidR="00BD4DB7">
              <w:rPr>
                <w:noProof/>
                <w:webHidden/>
              </w:rPr>
              <w:t>218</w:t>
            </w:r>
            <w:r w:rsidR="00BD4DB7">
              <w:rPr>
                <w:noProof/>
                <w:webHidden/>
              </w:rPr>
              <w:fldChar w:fldCharType="end"/>
            </w:r>
          </w:hyperlink>
        </w:p>
        <w:p w14:paraId="522484C8" w14:textId="256DC51F"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35" w:history="1">
            <w:r w:rsidR="00BD4DB7" w:rsidRPr="0089237F">
              <w:rPr>
                <w:rStyle w:val="Hipervnculo"/>
                <w:noProof/>
              </w:rPr>
              <w:t>Artículo 2.4.3.4. Pagos de Operaciones de Instrumentos Financieros Derivados No Estandarizados provenientes de sistemas de negociación y/o registro o Mecanismos de Contratación cuyo Tipo de Liquidación incluya la Liquidación Diaria.</w:t>
            </w:r>
            <w:r w:rsidR="00BD4DB7">
              <w:rPr>
                <w:noProof/>
                <w:webHidden/>
              </w:rPr>
              <w:tab/>
            </w:r>
            <w:r w:rsidR="00BD4DB7">
              <w:rPr>
                <w:noProof/>
                <w:webHidden/>
              </w:rPr>
              <w:fldChar w:fldCharType="begin"/>
            </w:r>
            <w:r w:rsidR="00BD4DB7">
              <w:rPr>
                <w:noProof/>
                <w:webHidden/>
              </w:rPr>
              <w:instrText xml:space="preserve"> PAGEREF _Toc31716135 \h </w:instrText>
            </w:r>
            <w:r w:rsidR="00BD4DB7">
              <w:rPr>
                <w:noProof/>
                <w:webHidden/>
              </w:rPr>
            </w:r>
            <w:r w:rsidR="00BD4DB7">
              <w:rPr>
                <w:noProof/>
                <w:webHidden/>
              </w:rPr>
              <w:fldChar w:fldCharType="separate"/>
            </w:r>
            <w:r w:rsidR="00BD4DB7">
              <w:rPr>
                <w:noProof/>
                <w:webHidden/>
              </w:rPr>
              <w:t>218</w:t>
            </w:r>
            <w:r w:rsidR="00BD4DB7">
              <w:rPr>
                <w:noProof/>
                <w:webHidden/>
              </w:rPr>
              <w:fldChar w:fldCharType="end"/>
            </w:r>
          </w:hyperlink>
        </w:p>
        <w:p w14:paraId="5E06BB68" w14:textId="5925C758"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136" w:history="1">
            <w:r w:rsidR="00BD4DB7" w:rsidRPr="0089237F">
              <w:rPr>
                <w:rStyle w:val="Hipervnculo"/>
                <w:rFonts w:eastAsia="Calibri"/>
                <w:noProof/>
              </w:rPr>
              <w:t>CAPÍTULO CUARTO</w:t>
            </w:r>
            <w:r w:rsidR="00BD4DB7">
              <w:rPr>
                <w:noProof/>
                <w:webHidden/>
              </w:rPr>
              <w:tab/>
            </w:r>
            <w:r w:rsidR="00BD4DB7">
              <w:rPr>
                <w:noProof/>
                <w:webHidden/>
              </w:rPr>
              <w:fldChar w:fldCharType="begin"/>
            </w:r>
            <w:r w:rsidR="00BD4DB7">
              <w:rPr>
                <w:noProof/>
                <w:webHidden/>
              </w:rPr>
              <w:instrText xml:space="preserve"> PAGEREF _Toc31716136 \h </w:instrText>
            </w:r>
            <w:r w:rsidR="00BD4DB7">
              <w:rPr>
                <w:noProof/>
                <w:webHidden/>
              </w:rPr>
            </w:r>
            <w:r w:rsidR="00BD4DB7">
              <w:rPr>
                <w:noProof/>
                <w:webHidden/>
              </w:rPr>
              <w:fldChar w:fldCharType="separate"/>
            </w:r>
            <w:r w:rsidR="00BD4DB7">
              <w:rPr>
                <w:noProof/>
                <w:webHidden/>
              </w:rPr>
              <w:t>218</w:t>
            </w:r>
            <w:r w:rsidR="00BD4DB7">
              <w:rPr>
                <w:noProof/>
                <w:webHidden/>
              </w:rPr>
              <w:fldChar w:fldCharType="end"/>
            </w:r>
          </w:hyperlink>
        </w:p>
        <w:p w14:paraId="43505AF3" w14:textId="2C80D870"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137" w:history="1">
            <w:r w:rsidR="00BD4DB7" w:rsidRPr="0089237F">
              <w:rPr>
                <w:rStyle w:val="Hipervnculo"/>
                <w:rFonts w:eastAsia="Calibri"/>
                <w:noProof/>
              </w:rPr>
              <w:t>LIQUIDACIÓN AL VENCIMIENTO DE INSTRUMENTOS FINANCIEROS DERIVADOS ESTANDARIZADOS</w:t>
            </w:r>
            <w:r w:rsidR="00BD4DB7">
              <w:rPr>
                <w:noProof/>
                <w:webHidden/>
              </w:rPr>
              <w:tab/>
            </w:r>
            <w:r w:rsidR="00BD4DB7">
              <w:rPr>
                <w:noProof/>
                <w:webHidden/>
              </w:rPr>
              <w:fldChar w:fldCharType="begin"/>
            </w:r>
            <w:r w:rsidR="00BD4DB7">
              <w:rPr>
                <w:noProof/>
                <w:webHidden/>
              </w:rPr>
              <w:instrText xml:space="preserve"> PAGEREF _Toc31716137 \h </w:instrText>
            </w:r>
            <w:r w:rsidR="00BD4DB7">
              <w:rPr>
                <w:noProof/>
                <w:webHidden/>
              </w:rPr>
            </w:r>
            <w:r w:rsidR="00BD4DB7">
              <w:rPr>
                <w:noProof/>
                <w:webHidden/>
              </w:rPr>
              <w:fldChar w:fldCharType="separate"/>
            </w:r>
            <w:r w:rsidR="00BD4DB7">
              <w:rPr>
                <w:noProof/>
                <w:webHidden/>
              </w:rPr>
              <w:t>218</w:t>
            </w:r>
            <w:r w:rsidR="00BD4DB7">
              <w:rPr>
                <w:noProof/>
                <w:webHidden/>
              </w:rPr>
              <w:fldChar w:fldCharType="end"/>
            </w:r>
          </w:hyperlink>
        </w:p>
        <w:p w14:paraId="7CBDF1C4" w14:textId="55C926C4"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38" w:history="1">
            <w:r w:rsidR="00BD4DB7" w:rsidRPr="0089237F">
              <w:rPr>
                <w:rStyle w:val="Hipervnculo"/>
                <w:noProof/>
              </w:rPr>
              <w:t>Artículo 2.4.4.1. Liquidación por Diferencias de Contratos de Futuros cuyo Tipo de Liquidación incluya Liquidación Diaria.</w:t>
            </w:r>
            <w:r w:rsidR="00BD4DB7">
              <w:rPr>
                <w:noProof/>
                <w:webHidden/>
              </w:rPr>
              <w:tab/>
            </w:r>
            <w:r w:rsidR="00BD4DB7">
              <w:rPr>
                <w:noProof/>
                <w:webHidden/>
              </w:rPr>
              <w:fldChar w:fldCharType="begin"/>
            </w:r>
            <w:r w:rsidR="00BD4DB7">
              <w:rPr>
                <w:noProof/>
                <w:webHidden/>
              </w:rPr>
              <w:instrText xml:space="preserve"> PAGEREF _Toc31716138 \h </w:instrText>
            </w:r>
            <w:r w:rsidR="00BD4DB7">
              <w:rPr>
                <w:noProof/>
                <w:webHidden/>
              </w:rPr>
            </w:r>
            <w:r w:rsidR="00BD4DB7">
              <w:rPr>
                <w:noProof/>
                <w:webHidden/>
              </w:rPr>
              <w:fldChar w:fldCharType="separate"/>
            </w:r>
            <w:r w:rsidR="00BD4DB7">
              <w:rPr>
                <w:noProof/>
                <w:webHidden/>
              </w:rPr>
              <w:t>218</w:t>
            </w:r>
            <w:r w:rsidR="00BD4DB7">
              <w:rPr>
                <w:noProof/>
                <w:webHidden/>
              </w:rPr>
              <w:fldChar w:fldCharType="end"/>
            </w:r>
          </w:hyperlink>
        </w:p>
        <w:p w14:paraId="1DF0F613" w14:textId="6D141EF8"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39" w:history="1">
            <w:r w:rsidR="00BD4DB7" w:rsidRPr="0089237F">
              <w:rPr>
                <w:rStyle w:val="Hipervnculo"/>
                <w:noProof/>
              </w:rPr>
              <w:t>Artículo 2.4.4.2. Conceptos incluidos en la Liquidación por Diferencias de Contratos de Futuros y Contratos de Opciones cuyo Tipo de Liquidación incluya Liquidación Únicamente al Vencimiento.</w:t>
            </w:r>
            <w:r w:rsidR="00BD4DB7">
              <w:rPr>
                <w:noProof/>
                <w:webHidden/>
              </w:rPr>
              <w:tab/>
            </w:r>
            <w:r w:rsidR="00BD4DB7">
              <w:rPr>
                <w:noProof/>
                <w:webHidden/>
              </w:rPr>
              <w:fldChar w:fldCharType="begin"/>
            </w:r>
            <w:r w:rsidR="00BD4DB7">
              <w:rPr>
                <w:noProof/>
                <w:webHidden/>
              </w:rPr>
              <w:instrText xml:space="preserve"> PAGEREF _Toc31716139 \h </w:instrText>
            </w:r>
            <w:r w:rsidR="00BD4DB7">
              <w:rPr>
                <w:noProof/>
                <w:webHidden/>
              </w:rPr>
            </w:r>
            <w:r w:rsidR="00BD4DB7">
              <w:rPr>
                <w:noProof/>
                <w:webHidden/>
              </w:rPr>
              <w:fldChar w:fldCharType="separate"/>
            </w:r>
            <w:r w:rsidR="00BD4DB7">
              <w:rPr>
                <w:noProof/>
                <w:webHidden/>
              </w:rPr>
              <w:t>219</w:t>
            </w:r>
            <w:r w:rsidR="00BD4DB7">
              <w:rPr>
                <w:noProof/>
                <w:webHidden/>
              </w:rPr>
              <w:fldChar w:fldCharType="end"/>
            </w:r>
          </w:hyperlink>
        </w:p>
        <w:p w14:paraId="401CF2C5" w14:textId="51B40B1E"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40" w:history="1">
            <w:r w:rsidR="00BD4DB7" w:rsidRPr="0089237F">
              <w:rPr>
                <w:rStyle w:val="Hipervnculo"/>
                <w:noProof/>
              </w:rPr>
              <w:t>Artículo 2.4.4.3. Procedimiento de cálculo del ajuste al Vencimiento a Precios de Liquidación para Contratos, en la Liquidación por Diferencias de Contratos de Futuros y Contratos de Opciones cuyo Tipo de Liquidación incluya Liquidación Únicamente al Vencimiento.</w:t>
            </w:r>
            <w:r w:rsidR="00BD4DB7">
              <w:rPr>
                <w:noProof/>
                <w:webHidden/>
              </w:rPr>
              <w:tab/>
            </w:r>
            <w:r w:rsidR="00BD4DB7">
              <w:rPr>
                <w:noProof/>
                <w:webHidden/>
              </w:rPr>
              <w:fldChar w:fldCharType="begin"/>
            </w:r>
            <w:r w:rsidR="00BD4DB7">
              <w:rPr>
                <w:noProof/>
                <w:webHidden/>
              </w:rPr>
              <w:instrText xml:space="preserve"> PAGEREF _Toc31716140 \h </w:instrText>
            </w:r>
            <w:r w:rsidR="00BD4DB7">
              <w:rPr>
                <w:noProof/>
                <w:webHidden/>
              </w:rPr>
            </w:r>
            <w:r w:rsidR="00BD4DB7">
              <w:rPr>
                <w:noProof/>
                <w:webHidden/>
              </w:rPr>
              <w:fldChar w:fldCharType="separate"/>
            </w:r>
            <w:r w:rsidR="00BD4DB7">
              <w:rPr>
                <w:noProof/>
                <w:webHidden/>
              </w:rPr>
              <w:t>220</w:t>
            </w:r>
            <w:r w:rsidR="00BD4DB7">
              <w:rPr>
                <w:noProof/>
                <w:webHidden/>
              </w:rPr>
              <w:fldChar w:fldCharType="end"/>
            </w:r>
          </w:hyperlink>
        </w:p>
        <w:p w14:paraId="319A4E6D" w14:textId="0131432F"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41" w:history="1">
            <w:r w:rsidR="00BD4DB7" w:rsidRPr="0089237F">
              <w:rPr>
                <w:rStyle w:val="Hipervnculo"/>
                <w:noProof/>
              </w:rPr>
              <w:t>Artículo 2.4.4.4. Etapas del Procedimiento de Liquidación al Vencimiento en Liquidación por Diferencias de Contratos de Futuros y Contratos de Opciones, cuyo Tipo de Liquidación incluya Liquidación Únicamente al Vencimiento.</w:t>
            </w:r>
            <w:r w:rsidR="00BD4DB7">
              <w:rPr>
                <w:noProof/>
                <w:webHidden/>
              </w:rPr>
              <w:tab/>
            </w:r>
            <w:r w:rsidR="00BD4DB7">
              <w:rPr>
                <w:noProof/>
                <w:webHidden/>
              </w:rPr>
              <w:fldChar w:fldCharType="begin"/>
            </w:r>
            <w:r w:rsidR="00BD4DB7">
              <w:rPr>
                <w:noProof/>
                <w:webHidden/>
              </w:rPr>
              <w:instrText xml:space="preserve"> PAGEREF _Toc31716141 \h </w:instrText>
            </w:r>
            <w:r w:rsidR="00BD4DB7">
              <w:rPr>
                <w:noProof/>
                <w:webHidden/>
              </w:rPr>
            </w:r>
            <w:r w:rsidR="00BD4DB7">
              <w:rPr>
                <w:noProof/>
                <w:webHidden/>
              </w:rPr>
              <w:fldChar w:fldCharType="separate"/>
            </w:r>
            <w:r w:rsidR="00BD4DB7">
              <w:rPr>
                <w:noProof/>
                <w:webHidden/>
              </w:rPr>
              <w:t>221</w:t>
            </w:r>
            <w:r w:rsidR="00BD4DB7">
              <w:rPr>
                <w:noProof/>
                <w:webHidden/>
              </w:rPr>
              <w:fldChar w:fldCharType="end"/>
            </w:r>
          </w:hyperlink>
        </w:p>
        <w:p w14:paraId="07BF83CB" w14:textId="3511E719"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42" w:history="1">
            <w:r w:rsidR="00BD4DB7" w:rsidRPr="0089237F">
              <w:rPr>
                <w:rStyle w:val="Hipervnculo"/>
                <w:noProof/>
              </w:rPr>
              <w:t>Artículo 2.4.4.5. Pagos de la Liquidación por Diferencias de Contratos de Futuros y Contratos de Opciones, cuyo Tipo de Liquidación incluya Liquidación Únicamente al Vencimiento.</w:t>
            </w:r>
            <w:r w:rsidR="00BD4DB7">
              <w:rPr>
                <w:noProof/>
                <w:webHidden/>
              </w:rPr>
              <w:tab/>
            </w:r>
            <w:r w:rsidR="00BD4DB7">
              <w:rPr>
                <w:noProof/>
                <w:webHidden/>
              </w:rPr>
              <w:fldChar w:fldCharType="begin"/>
            </w:r>
            <w:r w:rsidR="00BD4DB7">
              <w:rPr>
                <w:noProof/>
                <w:webHidden/>
              </w:rPr>
              <w:instrText xml:space="preserve"> PAGEREF _Toc31716142 \h </w:instrText>
            </w:r>
            <w:r w:rsidR="00BD4DB7">
              <w:rPr>
                <w:noProof/>
                <w:webHidden/>
              </w:rPr>
            </w:r>
            <w:r w:rsidR="00BD4DB7">
              <w:rPr>
                <w:noProof/>
                <w:webHidden/>
              </w:rPr>
              <w:fldChar w:fldCharType="separate"/>
            </w:r>
            <w:r w:rsidR="00BD4DB7">
              <w:rPr>
                <w:noProof/>
                <w:webHidden/>
              </w:rPr>
              <w:t>222</w:t>
            </w:r>
            <w:r w:rsidR="00BD4DB7">
              <w:rPr>
                <w:noProof/>
                <w:webHidden/>
              </w:rPr>
              <w:fldChar w:fldCharType="end"/>
            </w:r>
          </w:hyperlink>
        </w:p>
        <w:p w14:paraId="592FAE34" w14:textId="1F135F13"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43" w:history="1">
            <w:r w:rsidR="00BD4DB7" w:rsidRPr="0089237F">
              <w:rPr>
                <w:rStyle w:val="Hipervnculo"/>
                <w:noProof/>
              </w:rPr>
              <w:t>Artículo 2.4.4.6. Liquidación por entrega de Contratos de Futuros.</w:t>
            </w:r>
            <w:r w:rsidR="00BD4DB7">
              <w:rPr>
                <w:noProof/>
                <w:webHidden/>
              </w:rPr>
              <w:tab/>
            </w:r>
            <w:r w:rsidR="00BD4DB7">
              <w:rPr>
                <w:noProof/>
                <w:webHidden/>
              </w:rPr>
              <w:fldChar w:fldCharType="begin"/>
            </w:r>
            <w:r w:rsidR="00BD4DB7">
              <w:rPr>
                <w:noProof/>
                <w:webHidden/>
              </w:rPr>
              <w:instrText xml:space="preserve"> PAGEREF _Toc31716143 \h </w:instrText>
            </w:r>
            <w:r w:rsidR="00BD4DB7">
              <w:rPr>
                <w:noProof/>
                <w:webHidden/>
              </w:rPr>
            </w:r>
            <w:r w:rsidR="00BD4DB7">
              <w:rPr>
                <w:noProof/>
                <w:webHidden/>
              </w:rPr>
              <w:fldChar w:fldCharType="separate"/>
            </w:r>
            <w:r w:rsidR="00BD4DB7">
              <w:rPr>
                <w:noProof/>
                <w:webHidden/>
              </w:rPr>
              <w:t>223</w:t>
            </w:r>
            <w:r w:rsidR="00BD4DB7">
              <w:rPr>
                <w:noProof/>
                <w:webHidden/>
              </w:rPr>
              <w:fldChar w:fldCharType="end"/>
            </w:r>
          </w:hyperlink>
        </w:p>
        <w:p w14:paraId="153AE838" w14:textId="13FE93DD"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44" w:history="1">
            <w:r w:rsidR="00BD4DB7" w:rsidRPr="0089237F">
              <w:rPr>
                <w:rStyle w:val="Hipervnculo"/>
                <w:noProof/>
              </w:rPr>
              <w:t>Artículo 2.4.4.7. Determinación del Activo a entregar en la Liquidación por Entrega de Contratos de Futuros.</w:t>
            </w:r>
            <w:r w:rsidR="00BD4DB7">
              <w:rPr>
                <w:noProof/>
                <w:webHidden/>
              </w:rPr>
              <w:tab/>
            </w:r>
            <w:r w:rsidR="00BD4DB7">
              <w:rPr>
                <w:noProof/>
                <w:webHidden/>
              </w:rPr>
              <w:fldChar w:fldCharType="begin"/>
            </w:r>
            <w:r w:rsidR="00BD4DB7">
              <w:rPr>
                <w:noProof/>
                <w:webHidden/>
              </w:rPr>
              <w:instrText xml:space="preserve"> PAGEREF _Toc31716144 \h </w:instrText>
            </w:r>
            <w:r w:rsidR="00BD4DB7">
              <w:rPr>
                <w:noProof/>
                <w:webHidden/>
              </w:rPr>
            </w:r>
            <w:r w:rsidR="00BD4DB7">
              <w:rPr>
                <w:noProof/>
                <w:webHidden/>
              </w:rPr>
              <w:fldChar w:fldCharType="separate"/>
            </w:r>
            <w:r w:rsidR="00BD4DB7">
              <w:rPr>
                <w:noProof/>
                <w:webHidden/>
              </w:rPr>
              <w:t>223</w:t>
            </w:r>
            <w:r w:rsidR="00BD4DB7">
              <w:rPr>
                <w:noProof/>
                <w:webHidden/>
              </w:rPr>
              <w:fldChar w:fldCharType="end"/>
            </w:r>
          </w:hyperlink>
        </w:p>
        <w:p w14:paraId="0FEB7254" w14:textId="7B45A1BE"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45" w:history="1">
            <w:r w:rsidR="00BD4DB7" w:rsidRPr="0089237F">
              <w:rPr>
                <w:rStyle w:val="Hipervnculo"/>
                <w:noProof/>
              </w:rPr>
              <w:t>Artículo 2.4.4.8. Notificación de Entrega en la Liquidación por Entrega de Contratos de Futuros.</w:t>
            </w:r>
            <w:r w:rsidR="00BD4DB7">
              <w:rPr>
                <w:noProof/>
                <w:webHidden/>
              </w:rPr>
              <w:tab/>
            </w:r>
            <w:r w:rsidR="00BD4DB7">
              <w:rPr>
                <w:noProof/>
                <w:webHidden/>
              </w:rPr>
              <w:fldChar w:fldCharType="begin"/>
            </w:r>
            <w:r w:rsidR="00BD4DB7">
              <w:rPr>
                <w:noProof/>
                <w:webHidden/>
              </w:rPr>
              <w:instrText xml:space="preserve"> PAGEREF _Toc31716145 \h </w:instrText>
            </w:r>
            <w:r w:rsidR="00BD4DB7">
              <w:rPr>
                <w:noProof/>
                <w:webHidden/>
              </w:rPr>
            </w:r>
            <w:r w:rsidR="00BD4DB7">
              <w:rPr>
                <w:noProof/>
                <w:webHidden/>
              </w:rPr>
              <w:fldChar w:fldCharType="separate"/>
            </w:r>
            <w:r w:rsidR="00BD4DB7">
              <w:rPr>
                <w:noProof/>
                <w:webHidden/>
              </w:rPr>
              <w:t>224</w:t>
            </w:r>
            <w:r w:rsidR="00BD4DB7">
              <w:rPr>
                <w:noProof/>
                <w:webHidden/>
              </w:rPr>
              <w:fldChar w:fldCharType="end"/>
            </w:r>
          </w:hyperlink>
        </w:p>
        <w:p w14:paraId="568DCD04" w14:textId="75158F50"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46" w:history="1">
            <w:r w:rsidR="00BD4DB7" w:rsidRPr="0089237F">
              <w:rPr>
                <w:rStyle w:val="Hipervnculo"/>
                <w:noProof/>
              </w:rPr>
              <w:t>Artículo 2.4.4.9. Sesión de notificación para los Miembros no Liquidadores y los Miembros Liquidadores en la Liquidación por Entrega de Contratos de Futuros.</w:t>
            </w:r>
            <w:r w:rsidR="00BD4DB7">
              <w:rPr>
                <w:noProof/>
                <w:webHidden/>
              </w:rPr>
              <w:tab/>
            </w:r>
            <w:r w:rsidR="00BD4DB7">
              <w:rPr>
                <w:noProof/>
                <w:webHidden/>
              </w:rPr>
              <w:fldChar w:fldCharType="begin"/>
            </w:r>
            <w:r w:rsidR="00BD4DB7">
              <w:rPr>
                <w:noProof/>
                <w:webHidden/>
              </w:rPr>
              <w:instrText xml:space="preserve"> PAGEREF _Toc31716146 \h </w:instrText>
            </w:r>
            <w:r w:rsidR="00BD4DB7">
              <w:rPr>
                <w:noProof/>
                <w:webHidden/>
              </w:rPr>
            </w:r>
            <w:r w:rsidR="00BD4DB7">
              <w:rPr>
                <w:noProof/>
                <w:webHidden/>
              </w:rPr>
              <w:fldChar w:fldCharType="separate"/>
            </w:r>
            <w:r w:rsidR="00BD4DB7">
              <w:rPr>
                <w:noProof/>
                <w:webHidden/>
              </w:rPr>
              <w:t>224</w:t>
            </w:r>
            <w:r w:rsidR="00BD4DB7">
              <w:rPr>
                <w:noProof/>
                <w:webHidden/>
              </w:rPr>
              <w:fldChar w:fldCharType="end"/>
            </w:r>
          </w:hyperlink>
        </w:p>
        <w:p w14:paraId="18FEFDC1" w14:textId="251EB8BA"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47" w:history="1">
            <w:r w:rsidR="00BD4DB7" w:rsidRPr="0089237F">
              <w:rPr>
                <w:rStyle w:val="Hipervnculo"/>
                <w:noProof/>
              </w:rPr>
              <w:t>Artículo 2.4.4.10. Sesión de notificación para los Miembros Liquidadores en la Liquidación por Entrega de Contratos de Futuros.</w:t>
            </w:r>
            <w:r w:rsidR="00BD4DB7">
              <w:rPr>
                <w:noProof/>
                <w:webHidden/>
              </w:rPr>
              <w:tab/>
            </w:r>
            <w:r w:rsidR="00BD4DB7">
              <w:rPr>
                <w:noProof/>
                <w:webHidden/>
              </w:rPr>
              <w:fldChar w:fldCharType="begin"/>
            </w:r>
            <w:r w:rsidR="00BD4DB7">
              <w:rPr>
                <w:noProof/>
                <w:webHidden/>
              </w:rPr>
              <w:instrText xml:space="preserve"> PAGEREF _Toc31716147 \h </w:instrText>
            </w:r>
            <w:r w:rsidR="00BD4DB7">
              <w:rPr>
                <w:noProof/>
                <w:webHidden/>
              </w:rPr>
            </w:r>
            <w:r w:rsidR="00BD4DB7">
              <w:rPr>
                <w:noProof/>
                <w:webHidden/>
              </w:rPr>
              <w:fldChar w:fldCharType="separate"/>
            </w:r>
            <w:r w:rsidR="00BD4DB7">
              <w:rPr>
                <w:noProof/>
                <w:webHidden/>
              </w:rPr>
              <w:t>225</w:t>
            </w:r>
            <w:r w:rsidR="00BD4DB7">
              <w:rPr>
                <w:noProof/>
                <w:webHidden/>
              </w:rPr>
              <w:fldChar w:fldCharType="end"/>
            </w:r>
          </w:hyperlink>
        </w:p>
        <w:p w14:paraId="09598CCA" w14:textId="4EF9EEEC"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48" w:history="1">
            <w:r w:rsidR="00BD4DB7" w:rsidRPr="0089237F">
              <w:rPr>
                <w:rStyle w:val="Hipervnculo"/>
                <w:noProof/>
              </w:rPr>
              <w:t>Artículo 2.4.4.11. Sesión de notificación para la Cámara en la Liquidación por Entrega de Contratos de Futuros.</w:t>
            </w:r>
            <w:r w:rsidR="00BD4DB7">
              <w:rPr>
                <w:noProof/>
                <w:webHidden/>
              </w:rPr>
              <w:tab/>
            </w:r>
            <w:r w:rsidR="00BD4DB7">
              <w:rPr>
                <w:noProof/>
                <w:webHidden/>
              </w:rPr>
              <w:fldChar w:fldCharType="begin"/>
            </w:r>
            <w:r w:rsidR="00BD4DB7">
              <w:rPr>
                <w:noProof/>
                <w:webHidden/>
              </w:rPr>
              <w:instrText xml:space="preserve"> PAGEREF _Toc31716148 \h </w:instrText>
            </w:r>
            <w:r w:rsidR="00BD4DB7">
              <w:rPr>
                <w:noProof/>
                <w:webHidden/>
              </w:rPr>
            </w:r>
            <w:r w:rsidR="00BD4DB7">
              <w:rPr>
                <w:noProof/>
                <w:webHidden/>
              </w:rPr>
              <w:fldChar w:fldCharType="separate"/>
            </w:r>
            <w:r w:rsidR="00BD4DB7">
              <w:rPr>
                <w:noProof/>
                <w:webHidden/>
              </w:rPr>
              <w:t>225</w:t>
            </w:r>
            <w:r w:rsidR="00BD4DB7">
              <w:rPr>
                <w:noProof/>
                <w:webHidden/>
              </w:rPr>
              <w:fldChar w:fldCharType="end"/>
            </w:r>
          </w:hyperlink>
        </w:p>
        <w:p w14:paraId="4B7AD349" w14:textId="468C20FA"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49" w:history="1">
            <w:r w:rsidR="00BD4DB7" w:rsidRPr="0089237F">
              <w:rPr>
                <w:rStyle w:val="Hipervnculo"/>
                <w:noProof/>
              </w:rPr>
              <w:t>Artículo 2.4.4.12. Cálculo del algoritmo para solucionar el proceso de entrega de Activos en la Liquidación por Entrega de Contratos de Futuros.</w:t>
            </w:r>
            <w:r w:rsidR="00BD4DB7">
              <w:rPr>
                <w:noProof/>
                <w:webHidden/>
              </w:rPr>
              <w:tab/>
            </w:r>
            <w:r w:rsidR="00BD4DB7">
              <w:rPr>
                <w:noProof/>
                <w:webHidden/>
              </w:rPr>
              <w:fldChar w:fldCharType="begin"/>
            </w:r>
            <w:r w:rsidR="00BD4DB7">
              <w:rPr>
                <w:noProof/>
                <w:webHidden/>
              </w:rPr>
              <w:instrText xml:space="preserve"> PAGEREF _Toc31716149 \h </w:instrText>
            </w:r>
            <w:r w:rsidR="00BD4DB7">
              <w:rPr>
                <w:noProof/>
                <w:webHidden/>
              </w:rPr>
            </w:r>
            <w:r w:rsidR="00BD4DB7">
              <w:rPr>
                <w:noProof/>
                <w:webHidden/>
              </w:rPr>
              <w:fldChar w:fldCharType="separate"/>
            </w:r>
            <w:r w:rsidR="00BD4DB7">
              <w:rPr>
                <w:noProof/>
                <w:webHidden/>
              </w:rPr>
              <w:t>225</w:t>
            </w:r>
            <w:r w:rsidR="00BD4DB7">
              <w:rPr>
                <w:noProof/>
                <w:webHidden/>
              </w:rPr>
              <w:fldChar w:fldCharType="end"/>
            </w:r>
          </w:hyperlink>
        </w:p>
        <w:p w14:paraId="4208704F" w14:textId="795E0977"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50" w:history="1">
            <w:r w:rsidR="00BD4DB7" w:rsidRPr="0089237F">
              <w:rPr>
                <w:rStyle w:val="Hipervnculo"/>
                <w:noProof/>
              </w:rPr>
              <w:t>Artículo 2.4.4.13. Formación de parejas en un Miembro (titulares compradores y vendedores del mismo Miembro no Liquidador) en la Liquidación por Entrega de Contratos de Futuros.</w:t>
            </w:r>
            <w:r w:rsidR="00BD4DB7">
              <w:rPr>
                <w:noProof/>
                <w:webHidden/>
              </w:rPr>
              <w:tab/>
            </w:r>
            <w:r w:rsidR="00BD4DB7">
              <w:rPr>
                <w:noProof/>
                <w:webHidden/>
              </w:rPr>
              <w:fldChar w:fldCharType="begin"/>
            </w:r>
            <w:r w:rsidR="00BD4DB7">
              <w:rPr>
                <w:noProof/>
                <w:webHidden/>
              </w:rPr>
              <w:instrText xml:space="preserve"> PAGEREF _Toc31716150 \h </w:instrText>
            </w:r>
            <w:r w:rsidR="00BD4DB7">
              <w:rPr>
                <w:noProof/>
                <w:webHidden/>
              </w:rPr>
            </w:r>
            <w:r w:rsidR="00BD4DB7">
              <w:rPr>
                <w:noProof/>
                <w:webHidden/>
              </w:rPr>
              <w:fldChar w:fldCharType="separate"/>
            </w:r>
            <w:r w:rsidR="00BD4DB7">
              <w:rPr>
                <w:noProof/>
                <w:webHidden/>
              </w:rPr>
              <w:t>227</w:t>
            </w:r>
            <w:r w:rsidR="00BD4DB7">
              <w:rPr>
                <w:noProof/>
                <w:webHidden/>
              </w:rPr>
              <w:fldChar w:fldCharType="end"/>
            </w:r>
          </w:hyperlink>
        </w:p>
        <w:p w14:paraId="58C969E7" w14:textId="68C64E6C"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51" w:history="1">
            <w:r w:rsidR="00BD4DB7" w:rsidRPr="0089237F">
              <w:rPr>
                <w:rStyle w:val="Hipervnculo"/>
                <w:noProof/>
              </w:rPr>
              <w:t>Artículo 2.4.4.14. Formación de parejas en Miembro Liquidador (diferente Miembro No Liquidador pero mismo Miembro Liquidador) en la Liquidación por Entrega de Contratos de Futuros.</w:t>
            </w:r>
            <w:r w:rsidR="00BD4DB7">
              <w:rPr>
                <w:noProof/>
                <w:webHidden/>
              </w:rPr>
              <w:tab/>
            </w:r>
            <w:r w:rsidR="00BD4DB7">
              <w:rPr>
                <w:noProof/>
                <w:webHidden/>
              </w:rPr>
              <w:fldChar w:fldCharType="begin"/>
            </w:r>
            <w:r w:rsidR="00BD4DB7">
              <w:rPr>
                <w:noProof/>
                <w:webHidden/>
              </w:rPr>
              <w:instrText xml:space="preserve"> PAGEREF _Toc31716151 \h </w:instrText>
            </w:r>
            <w:r w:rsidR="00BD4DB7">
              <w:rPr>
                <w:noProof/>
                <w:webHidden/>
              </w:rPr>
            </w:r>
            <w:r w:rsidR="00BD4DB7">
              <w:rPr>
                <w:noProof/>
                <w:webHidden/>
              </w:rPr>
              <w:fldChar w:fldCharType="separate"/>
            </w:r>
            <w:r w:rsidR="00BD4DB7">
              <w:rPr>
                <w:noProof/>
                <w:webHidden/>
              </w:rPr>
              <w:t>228</w:t>
            </w:r>
            <w:r w:rsidR="00BD4DB7">
              <w:rPr>
                <w:noProof/>
                <w:webHidden/>
              </w:rPr>
              <w:fldChar w:fldCharType="end"/>
            </w:r>
          </w:hyperlink>
        </w:p>
        <w:p w14:paraId="41F0AFA4" w14:textId="463919B3"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52" w:history="1">
            <w:r w:rsidR="00BD4DB7" w:rsidRPr="0089237F">
              <w:rPr>
                <w:rStyle w:val="Hipervnculo"/>
                <w:noProof/>
              </w:rPr>
              <w:t>Artículo 2.4.4.15. Reparto Agente de Pago (diferente Liquidador pero mismo Agente de Pago) en la Liquidación por Entrega de Contratos de Futuros.</w:t>
            </w:r>
            <w:r w:rsidR="00BD4DB7">
              <w:rPr>
                <w:noProof/>
                <w:webHidden/>
              </w:rPr>
              <w:tab/>
            </w:r>
            <w:r w:rsidR="00BD4DB7">
              <w:rPr>
                <w:noProof/>
                <w:webHidden/>
              </w:rPr>
              <w:fldChar w:fldCharType="begin"/>
            </w:r>
            <w:r w:rsidR="00BD4DB7">
              <w:rPr>
                <w:noProof/>
                <w:webHidden/>
              </w:rPr>
              <w:instrText xml:space="preserve"> PAGEREF _Toc31716152 \h </w:instrText>
            </w:r>
            <w:r w:rsidR="00BD4DB7">
              <w:rPr>
                <w:noProof/>
                <w:webHidden/>
              </w:rPr>
            </w:r>
            <w:r w:rsidR="00BD4DB7">
              <w:rPr>
                <w:noProof/>
                <w:webHidden/>
              </w:rPr>
              <w:fldChar w:fldCharType="separate"/>
            </w:r>
            <w:r w:rsidR="00BD4DB7">
              <w:rPr>
                <w:noProof/>
                <w:webHidden/>
              </w:rPr>
              <w:t>229</w:t>
            </w:r>
            <w:r w:rsidR="00BD4DB7">
              <w:rPr>
                <w:noProof/>
                <w:webHidden/>
              </w:rPr>
              <w:fldChar w:fldCharType="end"/>
            </w:r>
          </w:hyperlink>
        </w:p>
        <w:p w14:paraId="498EEF8F" w14:textId="36F48DF3"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53" w:history="1">
            <w:r w:rsidR="00BD4DB7" w:rsidRPr="0089237F">
              <w:rPr>
                <w:rStyle w:val="Hipervnculo"/>
                <w:noProof/>
              </w:rPr>
              <w:t>Artículo 2.4.4.16. Formación de parejas por parte de la Cámara (diferente Agente de Pago) en la Liquidación por Entrega de Contratos de Futuros.</w:t>
            </w:r>
            <w:r w:rsidR="00BD4DB7">
              <w:rPr>
                <w:noProof/>
                <w:webHidden/>
              </w:rPr>
              <w:tab/>
            </w:r>
            <w:r w:rsidR="00BD4DB7">
              <w:rPr>
                <w:noProof/>
                <w:webHidden/>
              </w:rPr>
              <w:fldChar w:fldCharType="begin"/>
            </w:r>
            <w:r w:rsidR="00BD4DB7">
              <w:rPr>
                <w:noProof/>
                <w:webHidden/>
              </w:rPr>
              <w:instrText xml:space="preserve"> PAGEREF _Toc31716153 \h </w:instrText>
            </w:r>
            <w:r w:rsidR="00BD4DB7">
              <w:rPr>
                <w:noProof/>
                <w:webHidden/>
              </w:rPr>
            </w:r>
            <w:r w:rsidR="00BD4DB7">
              <w:rPr>
                <w:noProof/>
                <w:webHidden/>
              </w:rPr>
              <w:fldChar w:fldCharType="separate"/>
            </w:r>
            <w:r w:rsidR="00BD4DB7">
              <w:rPr>
                <w:noProof/>
                <w:webHidden/>
              </w:rPr>
              <w:t>230</w:t>
            </w:r>
            <w:r w:rsidR="00BD4DB7">
              <w:rPr>
                <w:noProof/>
                <w:webHidden/>
              </w:rPr>
              <w:fldChar w:fldCharType="end"/>
            </w:r>
          </w:hyperlink>
        </w:p>
        <w:p w14:paraId="0B8917A5" w14:textId="3F5D0211"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54" w:history="1">
            <w:r w:rsidR="00BD4DB7" w:rsidRPr="0089237F">
              <w:rPr>
                <w:rStyle w:val="Hipervnculo"/>
                <w:noProof/>
              </w:rPr>
              <w:t>Artículo 2.4.4.17. Algoritmo para asignación de varios entregables de un titular vendedor a distintos titulares compradores en la Liquidación por Entrega de Contratos de Futuros.</w:t>
            </w:r>
            <w:r w:rsidR="00BD4DB7">
              <w:rPr>
                <w:noProof/>
                <w:webHidden/>
              </w:rPr>
              <w:tab/>
            </w:r>
            <w:r w:rsidR="00BD4DB7">
              <w:rPr>
                <w:noProof/>
                <w:webHidden/>
              </w:rPr>
              <w:fldChar w:fldCharType="begin"/>
            </w:r>
            <w:r w:rsidR="00BD4DB7">
              <w:rPr>
                <w:noProof/>
                <w:webHidden/>
              </w:rPr>
              <w:instrText xml:space="preserve"> PAGEREF _Toc31716154 \h </w:instrText>
            </w:r>
            <w:r w:rsidR="00BD4DB7">
              <w:rPr>
                <w:noProof/>
                <w:webHidden/>
              </w:rPr>
            </w:r>
            <w:r w:rsidR="00BD4DB7">
              <w:rPr>
                <w:noProof/>
                <w:webHidden/>
              </w:rPr>
              <w:fldChar w:fldCharType="separate"/>
            </w:r>
            <w:r w:rsidR="00BD4DB7">
              <w:rPr>
                <w:noProof/>
                <w:webHidden/>
              </w:rPr>
              <w:t>231</w:t>
            </w:r>
            <w:r w:rsidR="00BD4DB7">
              <w:rPr>
                <w:noProof/>
                <w:webHidden/>
              </w:rPr>
              <w:fldChar w:fldCharType="end"/>
            </w:r>
          </w:hyperlink>
        </w:p>
        <w:p w14:paraId="255CCE7D" w14:textId="54910500"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55" w:history="1">
            <w:r w:rsidR="00BD4DB7" w:rsidRPr="0089237F">
              <w:rPr>
                <w:rStyle w:val="Hipervnculo"/>
                <w:noProof/>
              </w:rPr>
              <w:t>Artículo 2.4.4.18. Cálculo del valor de giro del efectivo que debe realizar el titular de la Cuenta con posición neta compradora en la Liquidación por Entrega de Contratos de Futuros.</w:t>
            </w:r>
            <w:r w:rsidR="00BD4DB7">
              <w:rPr>
                <w:noProof/>
                <w:webHidden/>
              </w:rPr>
              <w:tab/>
            </w:r>
            <w:r w:rsidR="00BD4DB7">
              <w:rPr>
                <w:noProof/>
                <w:webHidden/>
              </w:rPr>
              <w:fldChar w:fldCharType="begin"/>
            </w:r>
            <w:r w:rsidR="00BD4DB7">
              <w:rPr>
                <w:noProof/>
                <w:webHidden/>
              </w:rPr>
              <w:instrText xml:space="preserve"> PAGEREF _Toc31716155 \h </w:instrText>
            </w:r>
            <w:r w:rsidR="00BD4DB7">
              <w:rPr>
                <w:noProof/>
                <w:webHidden/>
              </w:rPr>
            </w:r>
            <w:r w:rsidR="00BD4DB7">
              <w:rPr>
                <w:noProof/>
                <w:webHidden/>
              </w:rPr>
              <w:fldChar w:fldCharType="separate"/>
            </w:r>
            <w:r w:rsidR="00BD4DB7">
              <w:rPr>
                <w:noProof/>
                <w:webHidden/>
              </w:rPr>
              <w:t>231</w:t>
            </w:r>
            <w:r w:rsidR="00BD4DB7">
              <w:rPr>
                <w:noProof/>
                <w:webHidden/>
              </w:rPr>
              <w:fldChar w:fldCharType="end"/>
            </w:r>
          </w:hyperlink>
        </w:p>
        <w:p w14:paraId="746A5811" w14:textId="4192AF2C"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56" w:history="1">
            <w:r w:rsidR="00BD4DB7" w:rsidRPr="0089237F">
              <w:rPr>
                <w:rStyle w:val="Hipervnculo"/>
                <w:noProof/>
              </w:rPr>
              <w:t>Artículo 2.4.4.19. Liquidación por Entrega de Contratos Futuros.</w:t>
            </w:r>
            <w:r w:rsidR="00BD4DB7">
              <w:rPr>
                <w:noProof/>
                <w:webHidden/>
              </w:rPr>
              <w:tab/>
            </w:r>
            <w:r w:rsidR="00BD4DB7">
              <w:rPr>
                <w:noProof/>
                <w:webHidden/>
              </w:rPr>
              <w:fldChar w:fldCharType="begin"/>
            </w:r>
            <w:r w:rsidR="00BD4DB7">
              <w:rPr>
                <w:noProof/>
                <w:webHidden/>
              </w:rPr>
              <w:instrText xml:space="preserve"> PAGEREF _Toc31716156 \h </w:instrText>
            </w:r>
            <w:r w:rsidR="00BD4DB7">
              <w:rPr>
                <w:noProof/>
                <w:webHidden/>
              </w:rPr>
            </w:r>
            <w:r w:rsidR="00BD4DB7">
              <w:rPr>
                <w:noProof/>
                <w:webHidden/>
              </w:rPr>
              <w:fldChar w:fldCharType="separate"/>
            </w:r>
            <w:r w:rsidR="00BD4DB7">
              <w:rPr>
                <w:noProof/>
                <w:webHidden/>
              </w:rPr>
              <w:t>232</w:t>
            </w:r>
            <w:r w:rsidR="00BD4DB7">
              <w:rPr>
                <w:noProof/>
                <w:webHidden/>
              </w:rPr>
              <w:fldChar w:fldCharType="end"/>
            </w:r>
          </w:hyperlink>
        </w:p>
        <w:p w14:paraId="2EC16908" w14:textId="5370E365"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57" w:history="1">
            <w:r w:rsidR="00BD4DB7" w:rsidRPr="0089237F">
              <w:rPr>
                <w:rStyle w:val="Hipervnculo"/>
                <w:noProof/>
              </w:rPr>
              <w:t>Artículo 2.4.4.20. Solicitud de transferencias de valores y efectivo desde Miembros a la Cámara.</w:t>
            </w:r>
            <w:r w:rsidR="00BD4DB7">
              <w:rPr>
                <w:noProof/>
                <w:webHidden/>
              </w:rPr>
              <w:tab/>
            </w:r>
            <w:r w:rsidR="00BD4DB7">
              <w:rPr>
                <w:noProof/>
                <w:webHidden/>
              </w:rPr>
              <w:fldChar w:fldCharType="begin"/>
            </w:r>
            <w:r w:rsidR="00BD4DB7">
              <w:rPr>
                <w:noProof/>
                <w:webHidden/>
              </w:rPr>
              <w:instrText xml:space="preserve"> PAGEREF _Toc31716157 \h </w:instrText>
            </w:r>
            <w:r w:rsidR="00BD4DB7">
              <w:rPr>
                <w:noProof/>
                <w:webHidden/>
              </w:rPr>
            </w:r>
            <w:r w:rsidR="00BD4DB7">
              <w:rPr>
                <w:noProof/>
                <w:webHidden/>
              </w:rPr>
              <w:fldChar w:fldCharType="separate"/>
            </w:r>
            <w:r w:rsidR="00BD4DB7">
              <w:rPr>
                <w:noProof/>
                <w:webHidden/>
              </w:rPr>
              <w:t>233</w:t>
            </w:r>
            <w:r w:rsidR="00BD4DB7">
              <w:rPr>
                <w:noProof/>
                <w:webHidden/>
              </w:rPr>
              <w:fldChar w:fldCharType="end"/>
            </w:r>
          </w:hyperlink>
        </w:p>
        <w:p w14:paraId="4CE71E43" w14:textId="5486D260"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58" w:history="1">
            <w:r w:rsidR="00BD4DB7" w:rsidRPr="0089237F">
              <w:rPr>
                <w:rStyle w:val="Hipervnculo"/>
                <w:noProof/>
              </w:rPr>
              <w:t>Artículo 2.4.4.21. Proceso de transferencia de valores localizados en DCV desde el Miembro hacia la Cámara.</w:t>
            </w:r>
            <w:r w:rsidR="00BD4DB7">
              <w:rPr>
                <w:noProof/>
                <w:webHidden/>
              </w:rPr>
              <w:tab/>
            </w:r>
            <w:r w:rsidR="00BD4DB7">
              <w:rPr>
                <w:noProof/>
                <w:webHidden/>
              </w:rPr>
              <w:fldChar w:fldCharType="begin"/>
            </w:r>
            <w:r w:rsidR="00BD4DB7">
              <w:rPr>
                <w:noProof/>
                <w:webHidden/>
              </w:rPr>
              <w:instrText xml:space="preserve"> PAGEREF _Toc31716158 \h </w:instrText>
            </w:r>
            <w:r w:rsidR="00BD4DB7">
              <w:rPr>
                <w:noProof/>
                <w:webHidden/>
              </w:rPr>
            </w:r>
            <w:r w:rsidR="00BD4DB7">
              <w:rPr>
                <w:noProof/>
                <w:webHidden/>
              </w:rPr>
              <w:fldChar w:fldCharType="separate"/>
            </w:r>
            <w:r w:rsidR="00BD4DB7">
              <w:rPr>
                <w:noProof/>
                <w:webHidden/>
              </w:rPr>
              <w:t>234</w:t>
            </w:r>
            <w:r w:rsidR="00BD4DB7">
              <w:rPr>
                <w:noProof/>
                <w:webHidden/>
              </w:rPr>
              <w:fldChar w:fldCharType="end"/>
            </w:r>
          </w:hyperlink>
        </w:p>
        <w:p w14:paraId="5980DFAF" w14:textId="7AACC6B4"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59" w:history="1">
            <w:r w:rsidR="00BD4DB7" w:rsidRPr="0089237F">
              <w:rPr>
                <w:rStyle w:val="Hipervnculo"/>
                <w:noProof/>
              </w:rPr>
              <w:t>Artículo 2.4.4.22.  Proceso de transferencia de valores localizados en Deceval desde el Miembro hacia la Cámara.</w:t>
            </w:r>
            <w:r w:rsidR="00BD4DB7">
              <w:rPr>
                <w:noProof/>
                <w:webHidden/>
              </w:rPr>
              <w:tab/>
            </w:r>
            <w:r w:rsidR="00BD4DB7">
              <w:rPr>
                <w:noProof/>
                <w:webHidden/>
              </w:rPr>
              <w:fldChar w:fldCharType="begin"/>
            </w:r>
            <w:r w:rsidR="00BD4DB7">
              <w:rPr>
                <w:noProof/>
                <w:webHidden/>
              </w:rPr>
              <w:instrText xml:space="preserve"> PAGEREF _Toc31716159 \h </w:instrText>
            </w:r>
            <w:r w:rsidR="00BD4DB7">
              <w:rPr>
                <w:noProof/>
                <w:webHidden/>
              </w:rPr>
            </w:r>
            <w:r w:rsidR="00BD4DB7">
              <w:rPr>
                <w:noProof/>
                <w:webHidden/>
              </w:rPr>
              <w:fldChar w:fldCharType="separate"/>
            </w:r>
            <w:r w:rsidR="00BD4DB7">
              <w:rPr>
                <w:noProof/>
                <w:webHidden/>
              </w:rPr>
              <w:t>234</w:t>
            </w:r>
            <w:r w:rsidR="00BD4DB7">
              <w:rPr>
                <w:noProof/>
                <w:webHidden/>
              </w:rPr>
              <w:fldChar w:fldCharType="end"/>
            </w:r>
          </w:hyperlink>
        </w:p>
        <w:p w14:paraId="40121344" w14:textId="202BC55F"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60" w:history="1">
            <w:r w:rsidR="00BD4DB7" w:rsidRPr="0089237F">
              <w:rPr>
                <w:rStyle w:val="Hipervnculo"/>
                <w:noProof/>
              </w:rPr>
              <w:t>Artículo 2.4.4.23. Proceso de transferencias de efectivo desde el Miembro Liquidador o Agente de Pago hacia la Cámara.</w:t>
            </w:r>
            <w:r w:rsidR="00BD4DB7">
              <w:rPr>
                <w:noProof/>
                <w:webHidden/>
              </w:rPr>
              <w:tab/>
            </w:r>
            <w:r w:rsidR="00BD4DB7">
              <w:rPr>
                <w:noProof/>
                <w:webHidden/>
              </w:rPr>
              <w:fldChar w:fldCharType="begin"/>
            </w:r>
            <w:r w:rsidR="00BD4DB7">
              <w:rPr>
                <w:noProof/>
                <w:webHidden/>
              </w:rPr>
              <w:instrText xml:space="preserve"> PAGEREF _Toc31716160 \h </w:instrText>
            </w:r>
            <w:r w:rsidR="00BD4DB7">
              <w:rPr>
                <w:noProof/>
                <w:webHidden/>
              </w:rPr>
            </w:r>
            <w:r w:rsidR="00BD4DB7">
              <w:rPr>
                <w:noProof/>
                <w:webHidden/>
              </w:rPr>
              <w:fldChar w:fldCharType="separate"/>
            </w:r>
            <w:r w:rsidR="00BD4DB7">
              <w:rPr>
                <w:noProof/>
                <w:webHidden/>
              </w:rPr>
              <w:t>235</w:t>
            </w:r>
            <w:r w:rsidR="00BD4DB7">
              <w:rPr>
                <w:noProof/>
                <w:webHidden/>
              </w:rPr>
              <w:fldChar w:fldCharType="end"/>
            </w:r>
          </w:hyperlink>
        </w:p>
        <w:p w14:paraId="1079F79D" w14:textId="4629CEB1"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61" w:history="1">
            <w:r w:rsidR="00BD4DB7" w:rsidRPr="0089237F">
              <w:rPr>
                <w:rStyle w:val="Hipervnculo"/>
                <w:noProof/>
              </w:rPr>
              <w:t>Artículo 2.4.4.24.  Gestión de Incumplimientos para efectuar la Liquidación.</w:t>
            </w:r>
            <w:r w:rsidR="00BD4DB7">
              <w:rPr>
                <w:noProof/>
                <w:webHidden/>
              </w:rPr>
              <w:tab/>
            </w:r>
            <w:r w:rsidR="00BD4DB7">
              <w:rPr>
                <w:noProof/>
                <w:webHidden/>
              </w:rPr>
              <w:fldChar w:fldCharType="begin"/>
            </w:r>
            <w:r w:rsidR="00BD4DB7">
              <w:rPr>
                <w:noProof/>
                <w:webHidden/>
              </w:rPr>
              <w:instrText xml:space="preserve"> PAGEREF _Toc31716161 \h </w:instrText>
            </w:r>
            <w:r w:rsidR="00BD4DB7">
              <w:rPr>
                <w:noProof/>
                <w:webHidden/>
              </w:rPr>
            </w:r>
            <w:r w:rsidR="00BD4DB7">
              <w:rPr>
                <w:noProof/>
                <w:webHidden/>
              </w:rPr>
              <w:fldChar w:fldCharType="separate"/>
            </w:r>
            <w:r w:rsidR="00BD4DB7">
              <w:rPr>
                <w:noProof/>
                <w:webHidden/>
              </w:rPr>
              <w:t>235</w:t>
            </w:r>
            <w:r w:rsidR="00BD4DB7">
              <w:rPr>
                <w:noProof/>
                <w:webHidden/>
              </w:rPr>
              <w:fldChar w:fldCharType="end"/>
            </w:r>
          </w:hyperlink>
        </w:p>
        <w:p w14:paraId="321D08B2" w14:textId="4A8767AB"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62" w:history="1">
            <w:r w:rsidR="00BD4DB7" w:rsidRPr="0089237F">
              <w:rPr>
                <w:rStyle w:val="Hipervnculo"/>
                <w:noProof/>
              </w:rPr>
              <w:t>Artículo 2.4.4.25. Solicitud de transferencias de valores y efectivo desde la Cámara hacia los Miembros.</w:t>
            </w:r>
            <w:r w:rsidR="00BD4DB7">
              <w:rPr>
                <w:noProof/>
                <w:webHidden/>
              </w:rPr>
              <w:tab/>
            </w:r>
            <w:r w:rsidR="00BD4DB7">
              <w:rPr>
                <w:noProof/>
                <w:webHidden/>
              </w:rPr>
              <w:fldChar w:fldCharType="begin"/>
            </w:r>
            <w:r w:rsidR="00BD4DB7">
              <w:rPr>
                <w:noProof/>
                <w:webHidden/>
              </w:rPr>
              <w:instrText xml:space="preserve"> PAGEREF _Toc31716162 \h </w:instrText>
            </w:r>
            <w:r w:rsidR="00BD4DB7">
              <w:rPr>
                <w:noProof/>
                <w:webHidden/>
              </w:rPr>
            </w:r>
            <w:r w:rsidR="00BD4DB7">
              <w:rPr>
                <w:noProof/>
                <w:webHidden/>
              </w:rPr>
              <w:fldChar w:fldCharType="separate"/>
            </w:r>
            <w:r w:rsidR="00BD4DB7">
              <w:rPr>
                <w:noProof/>
                <w:webHidden/>
              </w:rPr>
              <w:t>236</w:t>
            </w:r>
            <w:r w:rsidR="00BD4DB7">
              <w:rPr>
                <w:noProof/>
                <w:webHidden/>
              </w:rPr>
              <w:fldChar w:fldCharType="end"/>
            </w:r>
          </w:hyperlink>
        </w:p>
        <w:p w14:paraId="1EE35328" w14:textId="4184487C"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63" w:history="1">
            <w:r w:rsidR="00BD4DB7" w:rsidRPr="0089237F">
              <w:rPr>
                <w:rStyle w:val="Hipervnculo"/>
                <w:noProof/>
              </w:rPr>
              <w:t>Artículo 2.4.4.26. Transferencia de dinero a la cuenta de los Miembros Liquidadores en el CUD.</w:t>
            </w:r>
            <w:r w:rsidR="00BD4DB7">
              <w:rPr>
                <w:noProof/>
                <w:webHidden/>
              </w:rPr>
              <w:tab/>
            </w:r>
            <w:r w:rsidR="00BD4DB7">
              <w:rPr>
                <w:noProof/>
                <w:webHidden/>
              </w:rPr>
              <w:fldChar w:fldCharType="begin"/>
            </w:r>
            <w:r w:rsidR="00BD4DB7">
              <w:rPr>
                <w:noProof/>
                <w:webHidden/>
              </w:rPr>
              <w:instrText xml:space="preserve"> PAGEREF _Toc31716163 \h </w:instrText>
            </w:r>
            <w:r w:rsidR="00BD4DB7">
              <w:rPr>
                <w:noProof/>
                <w:webHidden/>
              </w:rPr>
            </w:r>
            <w:r w:rsidR="00BD4DB7">
              <w:rPr>
                <w:noProof/>
                <w:webHidden/>
              </w:rPr>
              <w:fldChar w:fldCharType="separate"/>
            </w:r>
            <w:r w:rsidR="00BD4DB7">
              <w:rPr>
                <w:noProof/>
                <w:webHidden/>
              </w:rPr>
              <w:t>236</w:t>
            </w:r>
            <w:r w:rsidR="00BD4DB7">
              <w:rPr>
                <w:noProof/>
                <w:webHidden/>
              </w:rPr>
              <w:fldChar w:fldCharType="end"/>
            </w:r>
          </w:hyperlink>
        </w:p>
        <w:p w14:paraId="11F9EBBE" w14:textId="51040F62"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64" w:history="1">
            <w:r w:rsidR="00BD4DB7" w:rsidRPr="0089237F">
              <w:rPr>
                <w:rStyle w:val="Hipervnculo"/>
                <w:noProof/>
              </w:rPr>
              <w:t>Artículo 2.4.4.27. Transferencia de valores a la cuenta de los titulares en DCV y Deceval.</w:t>
            </w:r>
            <w:r w:rsidR="00BD4DB7">
              <w:rPr>
                <w:noProof/>
                <w:webHidden/>
              </w:rPr>
              <w:tab/>
            </w:r>
            <w:r w:rsidR="00BD4DB7">
              <w:rPr>
                <w:noProof/>
                <w:webHidden/>
              </w:rPr>
              <w:fldChar w:fldCharType="begin"/>
            </w:r>
            <w:r w:rsidR="00BD4DB7">
              <w:rPr>
                <w:noProof/>
                <w:webHidden/>
              </w:rPr>
              <w:instrText xml:space="preserve"> PAGEREF _Toc31716164 \h </w:instrText>
            </w:r>
            <w:r w:rsidR="00BD4DB7">
              <w:rPr>
                <w:noProof/>
                <w:webHidden/>
              </w:rPr>
            </w:r>
            <w:r w:rsidR="00BD4DB7">
              <w:rPr>
                <w:noProof/>
                <w:webHidden/>
              </w:rPr>
              <w:fldChar w:fldCharType="separate"/>
            </w:r>
            <w:r w:rsidR="00BD4DB7">
              <w:rPr>
                <w:noProof/>
                <w:webHidden/>
              </w:rPr>
              <w:t>236</w:t>
            </w:r>
            <w:r w:rsidR="00BD4DB7">
              <w:rPr>
                <w:noProof/>
                <w:webHidden/>
              </w:rPr>
              <w:fldChar w:fldCharType="end"/>
            </w:r>
          </w:hyperlink>
        </w:p>
        <w:p w14:paraId="3BD59311" w14:textId="7D0F73C4"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65" w:history="1">
            <w:r w:rsidR="00BD4DB7" w:rsidRPr="0089237F">
              <w:rPr>
                <w:rStyle w:val="Hipervnculo"/>
                <w:noProof/>
              </w:rPr>
              <w:t>Artículo 2.4.4.28. Utilización del Módulo Contingente del Deceval.</w:t>
            </w:r>
            <w:r w:rsidR="00BD4DB7">
              <w:rPr>
                <w:noProof/>
                <w:webHidden/>
              </w:rPr>
              <w:tab/>
            </w:r>
            <w:r w:rsidR="00BD4DB7">
              <w:rPr>
                <w:noProof/>
                <w:webHidden/>
              </w:rPr>
              <w:fldChar w:fldCharType="begin"/>
            </w:r>
            <w:r w:rsidR="00BD4DB7">
              <w:rPr>
                <w:noProof/>
                <w:webHidden/>
              </w:rPr>
              <w:instrText xml:space="preserve"> PAGEREF _Toc31716165 \h </w:instrText>
            </w:r>
            <w:r w:rsidR="00BD4DB7">
              <w:rPr>
                <w:noProof/>
                <w:webHidden/>
              </w:rPr>
            </w:r>
            <w:r w:rsidR="00BD4DB7">
              <w:rPr>
                <w:noProof/>
                <w:webHidden/>
              </w:rPr>
              <w:fldChar w:fldCharType="separate"/>
            </w:r>
            <w:r w:rsidR="00BD4DB7">
              <w:rPr>
                <w:noProof/>
                <w:webHidden/>
              </w:rPr>
              <w:t>237</w:t>
            </w:r>
            <w:r w:rsidR="00BD4DB7">
              <w:rPr>
                <w:noProof/>
                <w:webHidden/>
              </w:rPr>
              <w:fldChar w:fldCharType="end"/>
            </w:r>
          </w:hyperlink>
        </w:p>
        <w:p w14:paraId="0B77D21D" w14:textId="6081AF9A"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66" w:history="1">
            <w:r w:rsidR="00BD4DB7" w:rsidRPr="0089237F">
              <w:rPr>
                <w:rStyle w:val="Hipervnculo"/>
                <w:noProof/>
              </w:rPr>
              <w:t>Artículo 2.4.4.29. Expedición del comprobante para Liquidación.</w:t>
            </w:r>
            <w:r w:rsidR="00BD4DB7">
              <w:rPr>
                <w:noProof/>
                <w:webHidden/>
              </w:rPr>
              <w:tab/>
            </w:r>
            <w:r w:rsidR="00BD4DB7">
              <w:rPr>
                <w:noProof/>
                <w:webHidden/>
              </w:rPr>
              <w:fldChar w:fldCharType="begin"/>
            </w:r>
            <w:r w:rsidR="00BD4DB7">
              <w:rPr>
                <w:noProof/>
                <w:webHidden/>
              </w:rPr>
              <w:instrText xml:space="preserve"> PAGEREF _Toc31716166 \h </w:instrText>
            </w:r>
            <w:r w:rsidR="00BD4DB7">
              <w:rPr>
                <w:noProof/>
                <w:webHidden/>
              </w:rPr>
            </w:r>
            <w:r w:rsidR="00BD4DB7">
              <w:rPr>
                <w:noProof/>
                <w:webHidden/>
              </w:rPr>
              <w:fldChar w:fldCharType="separate"/>
            </w:r>
            <w:r w:rsidR="00BD4DB7">
              <w:rPr>
                <w:noProof/>
                <w:webHidden/>
              </w:rPr>
              <w:t>237</w:t>
            </w:r>
            <w:r w:rsidR="00BD4DB7">
              <w:rPr>
                <w:noProof/>
                <w:webHidden/>
              </w:rPr>
              <w:fldChar w:fldCharType="end"/>
            </w:r>
          </w:hyperlink>
        </w:p>
        <w:p w14:paraId="0EC45B56" w14:textId="4AEA0883"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67" w:history="1">
            <w:r w:rsidR="00BD4DB7" w:rsidRPr="0089237F">
              <w:rPr>
                <w:rStyle w:val="Hipervnculo"/>
                <w:noProof/>
              </w:rPr>
              <w:t>Artículo 2.4.4.30. Liquidación por Diferencias por Incumplimiento en la Entrega</w:t>
            </w:r>
            <w:r w:rsidR="00BD4DB7" w:rsidRPr="0089237F">
              <w:rPr>
                <w:rStyle w:val="Hipervnculo"/>
                <w:rFonts w:eastAsia="Calibri" w:cs="Times New Roman"/>
                <w:noProof/>
              </w:rPr>
              <w:t>.</w:t>
            </w:r>
            <w:r w:rsidR="00BD4DB7">
              <w:rPr>
                <w:noProof/>
                <w:webHidden/>
              </w:rPr>
              <w:tab/>
            </w:r>
            <w:r w:rsidR="00BD4DB7">
              <w:rPr>
                <w:noProof/>
                <w:webHidden/>
              </w:rPr>
              <w:fldChar w:fldCharType="begin"/>
            </w:r>
            <w:r w:rsidR="00BD4DB7">
              <w:rPr>
                <w:noProof/>
                <w:webHidden/>
              </w:rPr>
              <w:instrText xml:space="preserve"> PAGEREF _Toc31716167 \h </w:instrText>
            </w:r>
            <w:r w:rsidR="00BD4DB7">
              <w:rPr>
                <w:noProof/>
                <w:webHidden/>
              </w:rPr>
            </w:r>
            <w:r w:rsidR="00BD4DB7">
              <w:rPr>
                <w:noProof/>
                <w:webHidden/>
              </w:rPr>
              <w:fldChar w:fldCharType="separate"/>
            </w:r>
            <w:r w:rsidR="00BD4DB7">
              <w:rPr>
                <w:noProof/>
                <w:webHidden/>
              </w:rPr>
              <w:t>237</w:t>
            </w:r>
            <w:r w:rsidR="00BD4DB7">
              <w:rPr>
                <w:noProof/>
                <w:webHidden/>
              </w:rPr>
              <w:fldChar w:fldCharType="end"/>
            </w:r>
          </w:hyperlink>
        </w:p>
        <w:p w14:paraId="1DF09995" w14:textId="1EA0CDB5"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68" w:history="1">
            <w:r w:rsidR="00BD4DB7" w:rsidRPr="0089237F">
              <w:rPr>
                <w:rStyle w:val="Hipervnculo"/>
                <w:noProof/>
              </w:rPr>
              <w:t>Artículo 2.4.4.31. Variables y conceptos incluidos en la Liquidación por Diferencias por Incumplimiento en la Entrega.</w:t>
            </w:r>
            <w:r w:rsidR="00BD4DB7">
              <w:rPr>
                <w:noProof/>
                <w:webHidden/>
              </w:rPr>
              <w:tab/>
            </w:r>
            <w:r w:rsidR="00BD4DB7">
              <w:rPr>
                <w:noProof/>
                <w:webHidden/>
              </w:rPr>
              <w:fldChar w:fldCharType="begin"/>
            </w:r>
            <w:r w:rsidR="00BD4DB7">
              <w:rPr>
                <w:noProof/>
                <w:webHidden/>
              </w:rPr>
              <w:instrText xml:space="preserve"> PAGEREF _Toc31716168 \h </w:instrText>
            </w:r>
            <w:r w:rsidR="00BD4DB7">
              <w:rPr>
                <w:noProof/>
                <w:webHidden/>
              </w:rPr>
            </w:r>
            <w:r w:rsidR="00BD4DB7">
              <w:rPr>
                <w:noProof/>
                <w:webHidden/>
              </w:rPr>
              <w:fldChar w:fldCharType="separate"/>
            </w:r>
            <w:r w:rsidR="00BD4DB7">
              <w:rPr>
                <w:noProof/>
                <w:webHidden/>
              </w:rPr>
              <w:t>238</w:t>
            </w:r>
            <w:r w:rsidR="00BD4DB7">
              <w:rPr>
                <w:noProof/>
                <w:webHidden/>
              </w:rPr>
              <w:fldChar w:fldCharType="end"/>
            </w:r>
          </w:hyperlink>
        </w:p>
        <w:p w14:paraId="3240AA78" w14:textId="61E9CF5B"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69" w:history="1">
            <w:r w:rsidR="00BD4DB7" w:rsidRPr="0089237F">
              <w:rPr>
                <w:rStyle w:val="Hipervnculo"/>
                <w:noProof/>
              </w:rPr>
              <w:t>Artículo 2.4.4.32.  Procedimiento de Cálculo de la Liquidación por Diferencias por Incumplimiento en la Entrega LDIE.</w:t>
            </w:r>
            <w:r w:rsidR="00BD4DB7">
              <w:rPr>
                <w:noProof/>
                <w:webHidden/>
              </w:rPr>
              <w:tab/>
            </w:r>
            <w:r w:rsidR="00BD4DB7">
              <w:rPr>
                <w:noProof/>
                <w:webHidden/>
              </w:rPr>
              <w:fldChar w:fldCharType="begin"/>
            </w:r>
            <w:r w:rsidR="00BD4DB7">
              <w:rPr>
                <w:noProof/>
                <w:webHidden/>
              </w:rPr>
              <w:instrText xml:space="preserve"> PAGEREF _Toc31716169 \h </w:instrText>
            </w:r>
            <w:r w:rsidR="00BD4DB7">
              <w:rPr>
                <w:noProof/>
                <w:webHidden/>
              </w:rPr>
            </w:r>
            <w:r w:rsidR="00BD4DB7">
              <w:rPr>
                <w:noProof/>
                <w:webHidden/>
              </w:rPr>
              <w:fldChar w:fldCharType="separate"/>
            </w:r>
            <w:r w:rsidR="00BD4DB7">
              <w:rPr>
                <w:noProof/>
                <w:webHidden/>
              </w:rPr>
              <w:t>240</w:t>
            </w:r>
            <w:r w:rsidR="00BD4DB7">
              <w:rPr>
                <w:noProof/>
                <w:webHidden/>
              </w:rPr>
              <w:fldChar w:fldCharType="end"/>
            </w:r>
          </w:hyperlink>
        </w:p>
        <w:p w14:paraId="75D8800D" w14:textId="3F241A7A"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70" w:history="1">
            <w:r w:rsidR="00BD4DB7" w:rsidRPr="0089237F">
              <w:rPr>
                <w:rStyle w:val="Hipervnculo"/>
                <w:rFonts w:eastAsia="Calibri"/>
                <w:noProof/>
              </w:rPr>
              <w:t>Artículo 2.4.4.33. Etapas y pagos de la Liquidación por Diferencias por Incumplimiento en la Entrega LDIE.</w:t>
            </w:r>
            <w:r w:rsidR="00BD4DB7">
              <w:rPr>
                <w:noProof/>
                <w:webHidden/>
              </w:rPr>
              <w:tab/>
            </w:r>
            <w:r w:rsidR="00BD4DB7">
              <w:rPr>
                <w:noProof/>
                <w:webHidden/>
              </w:rPr>
              <w:fldChar w:fldCharType="begin"/>
            </w:r>
            <w:r w:rsidR="00BD4DB7">
              <w:rPr>
                <w:noProof/>
                <w:webHidden/>
              </w:rPr>
              <w:instrText xml:space="preserve"> PAGEREF _Toc31716170 \h </w:instrText>
            </w:r>
            <w:r w:rsidR="00BD4DB7">
              <w:rPr>
                <w:noProof/>
                <w:webHidden/>
              </w:rPr>
            </w:r>
            <w:r w:rsidR="00BD4DB7">
              <w:rPr>
                <w:noProof/>
                <w:webHidden/>
              </w:rPr>
              <w:fldChar w:fldCharType="separate"/>
            </w:r>
            <w:r w:rsidR="00BD4DB7">
              <w:rPr>
                <w:noProof/>
                <w:webHidden/>
              </w:rPr>
              <w:t>241</w:t>
            </w:r>
            <w:r w:rsidR="00BD4DB7">
              <w:rPr>
                <w:noProof/>
                <w:webHidden/>
              </w:rPr>
              <w:fldChar w:fldCharType="end"/>
            </w:r>
          </w:hyperlink>
        </w:p>
        <w:p w14:paraId="0DB57759" w14:textId="5FABBBAF"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71" w:history="1">
            <w:r w:rsidR="00BD4DB7" w:rsidRPr="0089237F">
              <w:rPr>
                <w:rStyle w:val="Hipervnculo"/>
                <w:rFonts w:eastAsia="Calibri"/>
                <w:noProof/>
              </w:rPr>
              <w:t>Artículo 2.4.4.34. Ejercicio de los Contratos de Opciones.</w:t>
            </w:r>
            <w:r w:rsidR="00BD4DB7">
              <w:rPr>
                <w:noProof/>
                <w:webHidden/>
              </w:rPr>
              <w:tab/>
            </w:r>
            <w:r w:rsidR="00BD4DB7">
              <w:rPr>
                <w:noProof/>
                <w:webHidden/>
              </w:rPr>
              <w:fldChar w:fldCharType="begin"/>
            </w:r>
            <w:r w:rsidR="00BD4DB7">
              <w:rPr>
                <w:noProof/>
                <w:webHidden/>
              </w:rPr>
              <w:instrText xml:space="preserve"> PAGEREF _Toc31716171 \h </w:instrText>
            </w:r>
            <w:r w:rsidR="00BD4DB7">
              <w:rPr>
                <w:noProof/>
                <w:webHidden/>
              </w:rPr>
            </w:r>
            <w:r w:rsidR="00BD4DB7">
              <w:rPr>
                <w:noProof/>
                <w:webHidden/>
              </w:rPr>
              <w:fldChar w:fldCharType="separate"/>
            </w:r>
            <w:r w:rsidR="00BD4DB7">
              <w:rPr>
                <w:noProof/>
                <w:webHidden/>
              </w:rPr>
              <w:t>242</w:t>
            </w:r>
            <w:r w:rsidR="00BD4DB7">
              <w:rPr>
                <w:noProof/>
                <w:webHidden/>
              </w:rPr>
              <w:fldChar w:fldCharType="end"/>
            </w:r>
          </w:hyperlink>
        </w:p>
        <w:p w14:paraId="05B0584B" w14:textId="336902AA"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172" w:history="1">
            <w:r w:rsidR="00BD4DB7" w:rsidRPr="0089237F">
              <w:rPr>
                <w:rStyle w:val="Hipervnculo"/>
                <w:rFonts w:eastAsia="Calibri"/>
                <w:noProof/>
              </w:rPr>
              <w:t>CAPÍTULO QUINTO</w:t>
            </w:r>
            <w:r w:rsidR="00BD4DB7">
              <w:rPr>
                <w:noProof/>
                <w:webHidden/>
              </w:rPr>
              <w:tab/>
            </w:r>
            <w:r w:rsidR="00BD4DB7">
              <w:rPr>
                <w:noProof/>
                <w:webHidden/>
              </w:rPr>
              <w:fldChar w:fldCharType="begin"/>
            </w:r>
            <w:r w:rsidR="00BD4DB7">
              <w:rPr>
                <w:noProof/>
                <w:webHidden/>
              </w:rPr>
              <w:instrText xml:space="preserve"> PAGEREF _Toc31716172 \h </w:instrText>
            </w:r>
            <w:r w:rsidR="00BD4DB7">
              <w:rPr>
                <w:noProof/>
                <w:webHidden/>
              </w:rPr>
            </w:r>
            <w:r w:rsidR="00BD4DB7">
              <w:rPr>
                <w:noProof/>
                <w:webHidden/>
              </w:rPr>
              <w:fldChar w:fldCharType="separate"/>
            </w:r>
            <w:r w:rsidR="00BD4DB7">
              <w:rPr>
                <w:noProof/>
                <w:webHidden/>
              </w:rPr>
              <w:t>242</w:t>
            </w:r>
            <w:r w:rsidR="00BD4DB7">
              <w:rPr>
                <w:noProof/>
                <w:webHidden/>
              </w:rPr>
              <w:fldChar w:fldCharType="end"/>
            </w:r>
          </w:hyperlink>
        </w:p>
        <w:p w14:paraId="5937E93F" w14:textId="0EB37CFA"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173" w:history="1">
            <w:r w:rsidR="00BD4DB7" w:rsidRPr="0089237F">
              <w:rPr>
                <w:rStyle w:val="Hipervnculo"/>
                <w:rFonts w:eastAsia="Calibri"/>
                <w:noProof/>
              </w:rPr>
              <w:t>LIQUIDACIÓN AL VENCIMIENTO DE INSTRUMENTOS FINANCIEROS DERIVADOS NO ESTANDARIZADOS</w:t>
            </w:r>
            <w:r w:rsidR="00BD4DB7">
              <w:rPr>
                <w:noProof/>
                <w:webHidden/>
              </w:rPr>
              <w:tab/>
            </w:r>
            <w:r w:rsidR="00BD4DB7">
              <w:rPr>
                <w:noProof/>
                <w:webHidden/>
              </w:rPr>
              <w:fldChar w:fldCharType="begin"/>
            </w:r>
            <w:r w:rsidR="00BD4DB7">
              <w:rPr>
                <w:noProof/>
                <w:webHidden/>
              </w:rPr>
              <w:instrText xml:space="preserve"> PAGEREF _Toc31716173 \h </w:instrText>
            </w:r>
            <w:r w:rsidR="00BD4DB7">
              <w:rPr>
                <w:noProof/>
                <w:webHidden/>
              </w:rPr>
            </w:r>
            <w:r w:rsidR="00BD4DB7">
              <w:rPr>
                <w:noProof/>
                <w:webHidden/>
              </w:rPr>
              <w:fldChar w:fldCharType="separate"/>
            </w:r>
            <w:r w:rsidR="00BD4DB7">
              <w:rPr>
                <w:noProof/>
                <w:webHidden/>
              </w:rPr>
              <w:t>242</w:t>
            </w:r>
            <w:r w:rsidR="00BD4DB7">
              <w:rPr>
                <w:noProof/>
                <w:webHidden/>
              </w:rPr>
              <w:fldChar w:fldCharType="end"/>
            </w:r>
          </w:hyperlink>
        </w:p>
        <w:p w14:paraId="50FBF1F9" w14:textId="78B12E53"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74" w:history="1">
            <w:r w:rsidR="00BD4DB7" w:rsidRPr="0089237F">
              <w:rPr>
                <w:rStyle w:val="Hipervnculo"/>
                <w:noProof/>
              </w:rPr>
              <w:t>Artículo 2.4.5.1. Liquidación por Diferencias de Operaciones sobre Instrumentos Financieros Derivados No Estandarizados provenientes de sistemas de negociación y/o registro o Mecanismo de Contratación cuyo Tipo de Liquidación incluya la Liquidación Diaria.</w:t>
            </w:r>
            <w:r w:rsidR="00BD4DB7">
              <w:rPr>
                <w:noProof/>
                <w:webHidden/>
              </w:rPr>
              <w:tab/>
            </w:r>
            <w:r w:rsidR="00BD4DB7">
              <w:rPr>
                <w:noProof/>
                <w:webHidden/>
              </w:rPr>
              <w:fldChar w:fldCharType="begin"/>
            </w:r>
            <w:r w:rsidR="00BD4DB7">
              <w:rPr>
                <w:noProof/>
                <w:webHidden/>
              </w:rPr>
              <w:instrText xml:space="preserve"> PAGEREF _Toc31716174 \h </w:instrText>
            </w:r>
            <w:r w:rsidR="00BD4DB7">
              <w:rPr>
                <w:noProof/>
                <w:webHidden/>
              </w:rPr>
            </w:r>
            <w:r w:rsidR="00BD4DB7">
              <w:rPr>
                <w:noProof/>
                <w:webHidden/>
              </w:rPr>
              <w:fldChar w:fldCharType="separate"/>
            </w:r>
            <w:r w:rsidR="00BD4DB7">
              <w:rPr>
                <w:noProof/>
                <w:webHidden/>
              </w:rPr>
              <w:t>242</w:t>
            </w:r>
            <w:r w:rsidR="00BD4DB7">
              <w:rPr>
                <w:noProof/>
                <w:webHidden/>
              </w:rPr>
              <w:fldChar w:fldCharType="end"/>
            </w:r>
          </w:hyperlink>
        </w:p>
        <w:p w14:paraId="6C7EC05C" w14:textId="01EE906F"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75" w:history="1">
            <w:r w:rsidR="00BD4DB7" w:rsidRPr="0089237F">
              <w:rPr>
                <w:rStyle w:val="Hipervnculo"/>
                <w:noProof/>
              </w:rPr>
              <w:t>Artículo 2.4.5.2. Conceptos incluidos en la Liquidación al Vencimiento de Operaciones sobre Instrumentos Financieros Derivados No Estandarizados provenientes de sistemas de negociación y/o registro o Mecanismo de Contratación cuyo Tipo de Liquidación incluya Liquidación Únicamente al Vencimiento.</w:t>
            </w:r>
            <w:r w:rsidR="00BD4DB7">
              <w:rPr>
                <w:noProof/>
                <w:webHidden/>
              </w:rPr>
              <w:tab/>
            </w:r>
            <w:r w:rsidR="00BD4DB7">
              <w:rPr>
                <w:noProof/>
                <w:webHidden/>
              </w:rPr>
              <w:fldChar w:fldCharType="begin"/>
            </w:r>
            <w:r w:rsidR="00BD4DB7">
              <w:rPr>
                <w:noProof/>
                <w:webHidden/>
              </w:rPr>
              <w:instrText xml:space="preserve"> PAGEREF _Toc31716175 \h </w:instrText>
            </w:r>
            <w:r w:rsidR="00BD4DB7">
              <w:rPr>
                <w:noProof/>
                <w:webHidden/>
              </w:rPr>
            </w:r>
            <w:r w:rsidR="00BD4DB7">
              <w:rPr>
                <w:noProof/>
                <w:webHidden/>
              </w:rPr>
              <w:fldChar w:fldCharType="separate"/>
            </w:r>
            <w:r w:rsidR="00BD4DB7">
              <w:rPr>
                <w:noProof/>
                <w:webHidden/>
              </w:rPr>
              <w:t>242</w:t>
            </w:r>
            <w:r w:rsidR="00BD4DB7">
              <w:rPr>
                <w:noProof/>
                <w:webHidden/>
              </w:rPr>
              <w:fldChar w:fldCharType="end"/>
            </w:r>
          </w:hyperlink>
        </w:p>
        <w:p w14:paraId="55A680A2" w14:textId="5F541E55"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76" w:history="1">
            <w:r w:rsidR="00BD4DB7" w:rsidRPr="0089237F">
              <w:rPr>
                <w:rStyle w:val="Hipervnculo"/>
                <w:noProof/>
              </w:rPr>
              <w:t>Artículo 2.4.5.3. Procedimiento para el cálculo de la Liquidación al Vencimiento a Precio de Valoración de Cierre de Instrumentos Financieros Derivados No Estandarizados provenientes de sistemas de negociación y/o registro o Mecanismo de Contratación cuyo Tipo de Liquidación incluya Liquidación Únicamente al Vencimiento.</w:t>
            </w:r>
            <w:r w:rsidR="00BD4DB7">
              <w:rPr>
                <w:noProof/>
                <w:webHidden/>
              </w:rPr>
              <w:tab/>
            </w:r>
            <w:r w:rsidR="00BD4DB7">
              <w:rPr>
                <w:noProof/>
                <w:webHidden/>
              </w:rPr>
              <w:fldChar w:fldCharType="begin"/>
            </w:r>
            <w:r w:rsidR="00BD4DB7">
              <w:rPr>
                <w:noProof/>
                <w:webHidden/>
              </w:rPr>
              <w:instrText xml:space="preserve"> PAGEREF _Toc31716176 \h </w:instrText>
            </w:r>
            <w:r w:rsidR="00BD4DB7">
              <w:rPr>
                <w:noProof/>
                <w:webHidden/>
              </w:rPr>
            </w:r>
            <w:r w:rsidR="00BD4DB7">
              <w:rPr>
                <w:noProof/>
                <w:webHidden/>
              </w:rPr>
              <w:fldChar w:fldCharType="separate"/>
            </w:r>
            <w:r w:rsidR="00BD4DB7">
              <w:rPr>
                <w:noProof/>
                <w:webHidden/>
              </w:rPr>
              <w:t>243</w:t>
            </w:r>
            <w:r w:rsidR="00BD4DB7">
              <w:rPr>
                <w:noProof/>
                <w:webHidden/>
              </w:rPr>
              <w:fldChar w:fldCharType="end"/>
            </w:r>
          </w:hyperlink>
        </w:p>
        <w:p w14:paraId="6FA1A063" w14:textId="64E67F27"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77" w:history="1">
            <w:r w:rsidR="00BD4DB7" w:rsidRPr="0089237F">
              <w:rPr>
                <w:rStyle w:val="Hipervnculo"/>
                <w:noProof/>
              </w:rPr>
              <w:t>Artículo 2.4.5.4. Etapas del Procedimiento de Liquidación al Vencimiento de Operaciones sobre Instrumentos Financieros Derivados No Estandarizados provenientes de sistemas de negociación y/o registro o cualquier Mecanismo de Contratación cuyo Tipo de Liquidación incluya Liquidación Únicamente al Vencimiento.</w:t>
            </w:r>
            <w:r w:rsidR="00BD4DB7">
              <w:rPr>
                <w:noProof/>
                <w:webHidden/>
              </w:rPr>
              <w:tab/>
            </w:r>
            <w:r w:rsidR="00BD4DB7">
              <w:rPr>
                <w:noProof/>
                <w:webHidden/>
              </w:rPr>
              <w:fldChar w:fldCharType="begin"/>
            </w:r>
            <w:r w:rsidR="00BD4DB7">
              <w:rPr>
                <w:noProof/>
                <w:webHidden/>
              </w:rPr>
              <w:instrText xml:space="preserve"> PAGEREF _Toc31716177 \h </w:instrText>
            </w:r>
            <w:r w:rsidR="00BD4DB7">
              <w:rPr>
                <w:noProof/>
                <w:webHidden/>
              </w:rPr>
            </w:r>
            <w:r w:rsidR="00BD4DB7">
              <w:rPr>
                <w:noProof/>
                <w:webHidden/>
              </w:rPr>
              <w:fldChar w:fldCharType="separate"/>
            </w:r>
            <w:r w:rsidR="00BD4DB7">
              <w:rPr>
                <w:noProof/>
                <w:webHidden/>
              </w:rPr>
              <w:t>244</w:t>
            </w:r>
            <w:r w:rsidR="00BD4DB7">
              <w:rPr>
                <w:noProof/>
                <w:webHidden/>
              </w:rPr>
              <w:fldChar w:fldCharType="end"/>
            </w:r>
          </w:hyperlink>
        </w:p>
        <w:p w14:paraId="2692F87E" w14:textId="3451FC57"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78" w:history="1">
            <w:r w:rsidR="00BD4DB7" w:rsidRPr="0089237F">
              <w:rPr>
                <w:rStyle w:val="Hipervnculo"/>
                <w:noProof/>
              </w:rPr>
              <w:t>Artículo 2.4.5.5. Pagos de Operaciones sobre Instrumentos Financieros Derivados No Estandarizados provenientes de sistemas de negociación y/o registro o cualquier Mecanismo de Contratación cuyo Tipo de Liquidación incluya la Liquidación Únicamente al Vencimiento.</w:t>
            </w:r>
            <w:r w:rsidR="00BD4DB7">
              <w:rPr>
                <w:noProof/>
                <w:webHidden/>
              </w:rPr>
              <w:tab/>
            </w:r>
            <w:r w:rsidR="00BD4DB7">
              <w:rPr>
                <w:noProof/>
                <w:webHidden/>
              </w:rPr>
              <w:fldChar w:fldCharType="begin"/>
            </w:r>
            <w:r w:rsidR="00BD4DB7">
              <w:rPr>
                <w:noProof/>
                <w:webHidden/>
              </w:rPr>
              <w:instrText xml:space="preserve"> PAGEREF _Toc31716178 \h </w:instrText>
            </w:r>
            <w:r w:rsidR="00BD4DB7">
              <w:rPr>
                <w:noProof/>
                <w:webHidden/>
              </w:rPr>
            </w:r>
            <w:r w:rsidR="00BD4DB7">
              <w:rPr>
                <w:noProof/>
                <w:webHidden/>
              </w:rPr>
              <w:fldChar w:fldCharType="separate"/>
            </w:r>
            <w:r w:rsidR="00BD4DB7">
              <w:rPr>
                <w:noProof/>
                <w:webHidden/>
              </w:rPr>
              <w:t>245</w:t>
            </w:r>
            <w:r w:rsidR="00BD4DB7">
              <w:rPr>
                <w:noProof/>
                <w:webHidden/>
              </w:rPr>
              <w:fldChar w:fldCharType="end"/>
            </w:r>
          </w:hyperlink>
        </w:p>
        <w:p w14:paraId="6F53BD6E" w14:textId="421F56C5"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179" w:history="1">
            <w:r w:rsidR="00BD4DB7" w:rsidRPr="0089237F">
              <w:rPr>
                <w:rStyle w:val="Hipervnculo"/>
                <w:rFonts w:eastAsia="Calibri"/>
                <w:noProof/>
              </w:rPr>
              <w:t>CAPÍTULO SEXTO</w:t>
            </w:r>
            <w:r w:rsidR="00BD4DB7">
              <w:rPr>
                <w:noProof/>
                <w:webHidden/>
              </w:rPr>
              <w:tab/>
            </w:r>
            <w:r w:rsidR="00BD4DB7">
              <w:rPr>
                <w:noProof/>
                <w:webHidden/>
              </w:rPr>
              <w:fldChar w:fldCharType="begin"/>
            </w:r>
            <w:r w:rsidR="00BD4DB7">
              <w:rPr>
                <w:noProof/>
                <w:webHidden/>
              </w:rPr>
              <w:instrText xml:space="preserve"> PAGEREF _Toc31716179 \h </w:instrText>
            </w:r>
            <w:r w:rsidR="00BD4DB7">
              <w:rPr>
                <w:noProof/>
                <w:webHidden/>
              </w:rPr>
            </w:r>
            <w:r w:rsidR="00BD4DB7">
              <w:rPr>
                <w:noProof/>
                <w:webHidden/>
              </w:rPr>
              <w:fldChar w:fldCharType="separate"/>
            </w:r>
            <w:r w:rsidR="00BD4DB7">
              <w:rPr>
                <w:noProof/>
                <w:webHidden/>
              </w:rPr>
              <w:t>246</w:t>
            </w:r>
            <w:r w:rsidR="00BD4DB7">
              <w:rPr>
                <w:noProof/>
                <w:webHidden/>
              </w:rPr>
              <w:fldChar w:fldCharType="end"/>
            </w:r>
          </w:hyperlink>
        </w:p>
        <w:p w14:paraId="7A9725FC" w14:textId="5258B152"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180" w:history="1">
            <w:r w:rsidR="00BD4DB7" w:rsidRPr="0089237F">
              <w:rPr>
                <w:rStyle w:val="Hipervnculo"/>
                <w:rFonts w:eastAsia="Calibri"/>
                <w:noProof/>
              </w:rPr>
              <w:t>INFORMACION DEL PRECIO JUSTO DE INTERCAMBIO DE LOS INSTRUMENTOS FINANCIEROS DERIVADOS E INSTRUMENTOS FINANCIEROS DERIVADOS NO ESTANDARIZADOS</w:t>
            </w:r>
            <w:r w:rsidR="00BD4DB7">
              <w:rPr>
                <w:noProof/>
                <w:webHidden/>
              </w:rPr>
              <w:tab/>
            </w:r>
            <w:r w:rsidR="00BD4DB7">
              <w:rPr>
                <w:noProof/>
                <w:webHidden/>
              </w:rPr>
              <w:fldChar w:fldCharType="begin"/>
            </w:r>
            <w:r w:rsidR="00BD4DB7">
              <w:rPr>
                <w:noProof/>
                <w:webHidden/>
              </w:rPr>
              <w:instrText xml:space="preserve"> PAGEREF _Toc31716180 \h </w:instrText>
            </w:r>
            <w:r w:rsidR="00BD4DB7">
              <w:rPr>
                <w:noProof/>
                <w:webHidden/>
              </w:rPr>
            </w:r>
            <w:r w:rsidR="00BD4DB7">
              <w:rPr>
                <w:noProof/>
                <w:webHidden/>
              </w:rPr>
              <w:fldChar w:fldCharType="separate"/>
            </w:r>
            <w:r w:rsidR="00BD4DB7">
              <w:rPr>
                <w:noProof/>
                <w:webHidden/>
              </w:rPr>
              <w:t>246</w:t>
            </w:r>
            <w:r w:rsidR="00BD4DB7">
              <w:rPr>
                <w:noProof/>
                <w:webHidden/>
              </w:rPr>
              <w:fldChar w:fldCharType="end"/>
            </w:r>
          </w:hyperlink>
        </w:p>
        <w:p w14:paraId="13992CA9" w14:textId="7E0E8C3E"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81" w:history="1">
            <w:r w:rsidR="00BD4DB7" w:rsidRPr="0089237F">
              <w:rPr>
                <w:rStyle w:val="Hipervnculo"/>
                <w:noProof/>
              </w:rPr>
              <w:t>Artículo 2.4.6.1. Publicación del Precio Justo de Intercambio.</w:t>
            </w:r>
            <w:r w:rsidR="00BD4DB7">
              <w:rPr>
                <w:noProof/>
                <w:webHidden/>
              </w:rPr>
              <w:tab/>
            </w:r>
            <w:r w:rsidR="00BD4DB7">
              <w:rPr>
                <w:noProof/>
                <w:webHidden/>
              </w:rPr>
              <w:fldChar w:fldCharType="begin"/>
            </w:r>
            <w:r w:rsidR="00BD4DB7">
              <w:rPr>
                <w:noProof/>
                <w:webHidden/>
              </w:rPr>
              <w:instrText xml:space="preserve"> PAGEREF _Toc31716181 \h </w:instrText>
            </w:r>
            <w:r w:rsidR="00BD4DB7">
              <w:rPr>
                <w:noProof/>
                <w:webHidden/>
              </w:rPr>
            </w:r>
            <w:r w:rsidR="00BD4DB7">
              <w:rPr>
                <w:noProof/>
                <w:webHidden/>
              </w:rPr>
              <w:fldChar w:fldCharType="separate"/>
            </w:r>
            <w:r w:rsidR="00BD4DB7">
              <w:rPr>
                <w:noProof/>
                <w:webHidden/>
              </w:rPr>
              <w:t>246</w:t>
            </w:r>
            <w:r w:rsidR="00BD4DB7">
              <w:rPr>
                <w:noProof/>
                <w:webHidden/>
              </w:rPr>
              <w:fldChar w:fldCharType="end"/>
            </w:r>
          </w:hyperlink>
        </w:p>
        <w:p w14:paraId="76530976" w14:textId="69C8ED1F"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182" w:history="1">
            <w:r w:rsidR="00BD4DB7" w:rsidRPr="0089237F">
              <w:rPr>
                <w:rStyle w:val="Hipervnculo"/>
                <w:rFonts w:eastAsia="Calibri"/>
                <w:noProof/>
              </w:rPr>
              <w:t>CAPÍTULO SÉPTIMO</w:t>
            </w:r>
            <w:r w:rsidR="00BD4DB7">
              <w:rPr>
                <w:noProof/>
                <w:webHidden/>
              </w:rPr>
              <w:tab/>
            </w:r>
            <w:r w:rsidR="00BD4DB7">
              <w:rPr>
                <w:noProof/>
                <w:webHidden/>
              </w:rPr>
              <w:fldChar w:fldCharType="begin"/>
            </w:r>
            <w:r w:rsidR="00BD4DB7">
              <w:rPr>
                <w:noProof/>
                <w:webHidden/>
              </w:rPr>
              <w:instrText xml:space="preserve"> PAGEREF _Toc31716182 \h </w:instrText>
            </w:r>
            <w:r w:rsidR="00BD4DB7">
              <w:rPr>
                <w:noProof/>
                <w:webHidden/>
              </w:rPr>
            </w:r>
            <w:r w:rsidR="00BD4DB7">
              <w:rPr>
                <w:noProof/>
                <w:webHidden/>
              </w:rPr>
              <w:fldChar w:fldCharType="separate"/>
            </w:r>
            <w:r w:rsidR="00BD4DB7">
              <w:rPr>
                <w:noProof/>
                <w:webHidden/>
              </w:rPr>
              <w:t>246</w:t>
            </w:r>
            <w:r w:rsidR="00BD4DB7">
              <w:rPr>
                <w:noProof/>
                <w:webHidden/>
              </w:rPr>
              <w:fldChar w:fldCharType="end"/>
            </w:r>
          </w:hyperlink>
        </w:p>
        <w:p w14:paraId="6A9EEB4D" w14:textId="3943EAEF"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183" w:history="1">
            <w:r w:rsidR="00BD4DB7" w:rsidRPr="0089237F">
              <w:rPr>
                <w:rStyle w:val="Hipervnculo"/>
                <w:rFonts w:eastAsia="Calibri"/>
                <w:noProof/>
              </w:rPr>
              <w:t>COMPENSACIÓN Y LIQUIDACIÓN ANTICIPADA</w:t>
            </w:r>
            <w:r w:rsidR="00BD4DB7">
              <w:rPr>
                <w:noProof/>
                <w:webHidden/>
              </w:rPr>
              <w:tab/>
            </w:r>
            <w:r w:rsidR="00BD4DB7">
              <w:rPr>
                <w:noProof/>
                <w:webHidden/>
              </w:rPr>
              <w:fldChar w:fldCharType="begin"/>
            </w:r>
            <w:r w:rsidR="00BD4DB7">
              <w:rPr>
                <w:noProof/>
                <w:webHidden/>
              </w:rPr>
              <w:instrText xml:space="preserve"> PAGEREF _Toc31716183 \h </w:instrText>
            </w:r>
            <w:r w:rsidR="00BD4DB7">
              <w:rPr>
                <w:noProof/>
                <w:webHidden/>
              </w:rPr>
            </w:r>
            <w:r w:rsidR="00BD4DB7">
              <w:rPr>
                <w:noProof/>
                <w:webHidden/>
              </w:rPr>
              <w:fldChar w:fldCharType="separate"/>
            </w:r>
            <w:r w:rsidR="00BD4DB7">
              <w:rPr>
                <w:noProof/>
                <w:webHidden/>
              </w:rPr>
              <w:t>246</w:t>
            </w:r>
            <w:r w:rsidR="00BD4DB7">
              <w:rPr>
                <w:noProof/>
                <w:webHidden/>
              </w:rPr>
              <w:fldChar w:fldCharType="end"/>
            </w:r>
          </w:hyperlink>
        </w:p>
        <w:p w14:paraId="6DB5D77D" w14:textId="3E631522"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84" w:history="1">
            <w:r w:rsidR="00BD4DB7" w:rsidRPr="0089237F">
              <w:rPr>
                <w:rStyle w:val="Hipervnculo"/>
                <w:noProof/>
              </w:rPr>
              <w:t>Artículo 2.4.7.1. Compensación y Liquidación Anticipada por solicitud de un Miembro.</w:t>
            </w:r>
            <w:r w:rsidR="00BD4DB7">
              <w:rPr>
                <w:noProof/>
                <w:webHidden/>
              </w:rPr>
              <w:tab/>
            </w:r>
            <w:r w:rsidR="00BD4DB7">
              <w:rPr>
                <w:noProof/>
                <w:webHidden/>
              </w:rPr>
              <w:fldChar w:fldCharType="begin"/>
            </w:r>
            <w:r w:rsidR="00BD4DB7">
              <w:rPr>
                <w:noProof/>
                <w:webHidden/>
              </w:rPr>
              <w:instrText xml:space="preserve"> PAGEREF _Toc31716184 \h </w:instrText>
            </w:r>
            <w:r w:rsidR="00BD4DB7">
              <w:rPr>
                <w:noProof/>
                <w:webHidden/>
              </w:rPr>
            </w:r>
            <w:r w:rsidR="00BD4DB7">
              <w:rPr>
                <w:noProof/>
                <w:webHidden/>
              </w:rPr>
              <w:fldChar w:fldCharType="separate"/>
            </w:r>
            <w:r w:rsidR="00BD4DB7">
              <w:rPr>
                <w:noProof/>
                <w:webHidden/>
              </w:rPr>
              <w:t>247</w:t>
            </w:r>
            <w:r w:rsidR="00BD4DB7">
              <w:rPr>
                <w:noProof/>
                <w:webHidden/>
              </w:rPr>
              <w:fldChar w:fldCharType="end"/>
            </w:r>
          </w:hyperlink>
        </w:p>
        <w:p w14:paraId="7418D38A" w14:textId="533C588C"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185" w:history="1">
            <w:r w:rsidR="00BD4DB7" w:rsidRPr="0089237F">
              <w:rPr>
                <w:rStyle w:val="Hipervnculo"/>
                <w:rFonts w:eastAsia="Calibri"/>
                <w:noProof/>
              </w:rPr>
              <w:t>TÍTULO QUINTO</w:t>
            </w:r>
            <w:r w:rsidR="00BD4DB7">
              <w:rPr>
                <w:noProof/>
                <w:webHidden/>
              </w:rPr>
              <w:tab/>
            </w:r>
            <w:r w:rsidR="00BD4DB7">
              <w:rPr>
                <w:noProof/>
                <w:webHidden/>
              </w:rPr>
              <w:fldChar w:fldCharType="begin"/>
            </w:r>
            <w:r w:rsidR="00BD4DB7">
              <w:rPr>
                <w:noProof/>
                <w:webHidden/>
              </w:rPr>
              <w:instrText xml:space="preserve"> PAGEREF _Toc31716185 \h </w:instrText>
            </w:r>
            <w:r w:rsidR="00BD4DB7">
              <w:rPr>
                <w:noProof/>
                <w:webHidden/>
              </w:rPr>
            </w:r>
            <w:r w:rsidR="00BD4DB7">
              <w:rPr>
                <w:noProof/>
                <w:webHidden/>
              </w:rPr>
              <w:fldChar w:fldCharType="separate"/>
            </w:r>
            <w:r w:rsidR="00BD4DB7">
              <w:rPr>
                <w:noProof/>
                <w:webHidden/>
              </w:rPr>
              <w:t>247</w:t>
            </w:r>
            <w:r w:rsidR="00BD4DB7">
              <w:rPr>
                <w:noProof/>
                <w:webHidden/>
              </w:rPr>
              <w:fldChar w:fldCharType="end"/>
            </w:r>
          </w:hyperlink>
        </w:p>
        <w:p w14:paraId="77783C28" w14:textId="135CE77F"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186" w:history="1">
            <w:r w:rsidR="00BD4DB7" w:rsidRPr="0089237F">
              <w:rPr>
                <w:rStyle w:val="Hipervnculo"/>
                <w:rFonts w:eastAsia="Calibri"/>
                <w:noProof/>
              </w:rPr>
              <w:t>MODELO DE RIESGO DE LA CÁMARA PARA EL CÁLCULO Y GESTIÓN DE GARANTÍAS Y DEFINICIÓN DE LÍMITES</w:t>
            </w:r>
            <w:r w:rsidR="00BD4DB7">
              <w:rPr>
                <w:noProof/>
                <w:webHidden/>
              </w:rPr>
              <w:tab/>
            </w:r>
            <w:r w:rsidR="00BD4DB7">
              <w:rPr>
                <w:noProof/>
                <w:webHidden/>
              </w:rPr>
              <w:fldChar w:fldCharType="begin"/>
            </w:r>
            <w:r w:rsidR="00BD4DB7">
              <w:rPr>
                <w:noProof/>
                <w:webHidden/>
              </w:rPr>
              <w:instrText xml:space="preserve"> PAGEREF _Toc31716186 \h </w:instrText>
            </w:r>
            <w:r w:rsidR="00BD4DB7">
              <w:rPr>
                <w:noProof/>
                <w:webHidden/>
              </w:rPr>
            </w:r>
            <w:r w:rsidR="00BD4DB7">
              <w:rPr>
                <w:noProof/>
                <w:webHidden/>
              </w:rPr>
              <w:fldChar w:fldCharType="separate"/>
            </w:r>
            <w:r w:rsidR="00BD4DB7">
              <w:rPr>
                <w:noProof/>
                <w:webHidden/>
              </w:rPr>
              <w:t>247</w:t>
            </w:r>
            <w:r w:rsidR="00BD4DB7">
              <w:rPr>
                <w:noProof/>
                <w:webHidden/>
              </w:rPr>
              <w:fldChar w:fldCharType="end"/>
            </w:r>
          </w:hyperlink>
        </w:p>
        <w:p w14:paraId="5AA8C171" w14:textId="7B58D983"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187" w:history="1">
            <w:r w:rsidR="00BD4DB7" w:rsidRPr="0089237F">
              <w:rPr>
                <w:rStyle w:val="Hipervnculo"/>
                <w:rFonts w:eastAsia="Calibri"/>
                <w:noProof/>
              </w:rPr>
              <w:t>CAPÍTULO PRIMERO</w:t>
            </w:r>
            <w:r w:rsidR="00BD4DB7">
              <w:rPr>
                <w:noProof/>
                <w:webHidden/>
              </w:rPr>
              <w:tab/>
            </w:r>
            <w:r w:rsidR="00BD4DB7">
              <w:rPr>
                <w:noProof/>
                <w:webHidden/>
              </w:rPr>
              <w:fldChar w:fldCharType="begin"/>
            </w:r>
            <w:r w:rsidR="00BD4DB7">
              <w:rPr>
                <w:noProof/>
                <w:webHidden/>
              </w:rPr>
              <w:instrText xml:space="preserve"> PAGEREF _Toc31716187 \h </w:instrText>
            </w:r>
            <w:r w:rsidR="00BD4DB7">
              <w:rPr>
                <w:noProof/>
                <w:webHidden/>
              </w:rPr>
            </w:r>
            <w:r w:rsidR="00BD4DB7">
              <w:rPr>
                <w:noProof/>
                <w:webHidden/>
              </w:rPr>
              <w:fldChar w:fldCharType="separate"/>
            </w:r>
            <w:r w:rsidR="00BD4DB7">
              <w:rPr>
                <w:noProof/>
                <w:webHidden/>
              </w:rPr>
              <w:t>247</w:t>
            </w:r>
            <w:r w:rsidR="00BD4DB7">
              <w:rPr>
                <w:noProof/>
                <w:webHidden/>
              </w:rPr>
              <w:fldChar w:fldCharType="end"/>
            </w:r>
          </w:hyperlink>
        </w:p>
        <w:p w14:paraId="1711F015" w14:textId="7F697C3A"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188" w:history="1">
            <w:r w:rsidR="00BD4DB7" w:rsidRPr="0089237F">
              <w:rPr>
                <w:rStyle w:val="Hipervnculo"/>
                <w:rFonts w:eastAsia="Calibri"/>
                <w:noProof/>
              </w:rPr>
              <w:t>GARANTÍAS Y GESTIÓN DE GARANTÍAS</w:t>
            </w:r>
            <w:r w:rsidR="00BD4DB7">
              <w:rPr>
                <w:noProof/>
                <w:webHidden/>
              </w:rPr>
              <w:tab/>
            </w:r>
            <w:r w:rsidR="00BD4DB7">
              <w:rPr>
                <w:noProof/>
                <w:webHidden/>
              </w:rPr>
              <w:fldChar w:fldCharType="begin"/>
            </w:r>
            <w:r w:rsidR="00BD4DB7">
              <w:rPr>
                <w:noProof/>
                <w:webHidden/>
              </w:rPr>
              <w:instrText xml:space="preserve"> PAGEREF _Toc31716188 \h </w:instrText>
            </w:r>
            <w:r w:rsidR="00BD4DB7">
              <w:rPr>
                <w:noProof/>
                <w:webHidden/>
              </w:rPr>
            </w:r>
            <w:r w:rsidR="00BD4DB7">
              <w:rPr>
                <w:noProof/>
                <w:webHidden/>
              </w:rPr>
              <w:fldChar w:fldCharType="separate"/>
            </w:r>
            <w:r w:rsidR="00BD4DB7">
              <w:rPr>
                <w:noProof/>
                <w:webHidden/>
              </w:rPr>
              <w:t>247</w:t>
            </w:r>
            <w:r w:rsidR="00BD4DB7">
              <w:rPr>
                <w:noProof/>
                <w:webHidden/>
              </w:rPr>
              <w:fldChar w:fldCharType="end"/>
            </w:r>
          </w:hyperlink>
        </w:p>
        <w:p w14:paraId="26341BEA" w14:textId="1AA16EF7"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89" w:history="1">
            <w:r w:rsidR="00BD4DB7" w:rsidRPr="0089237F">
              <w:rPr>
                <w:rStyle w:val="Hipervnculo"/>
                <w:noProof/>
              </w:rPr>
              <w:t>Artículo 2.5.1.1. Valor mínimo de la Garantía individual.</w:t>
            </w:r>
            <w:r w:rsidR="00BD4DB7">
              <w:rPr>
                <w:noProof/>
                <w:webHidden/>
              </w:rPr>
              <w:tab/>
            </w:r>
            <w:r w:rsidR="00BD4DB7">
              <w:rPr>
                <w:noProof/>
                <w:webHidden/>
              </w:rPr>
              <w:fldChar w:fldCharType="begin"/>
            </w:r>
            <w:r w:rsidR="00BD4DB7">
              <w:rPr>
                <w:noProof/>
                <w:webHidden/>
              </w:rPr>
              <w:instrText xml:space="preserve"> PAGEREF _Toc31716189 \h </w:instrText>
            </w:r>
            <w:r w:rsidR="00BD4DB7">
              <w:rPr>
                <w:noProof/>
                <w:webHidden/>
              </w:rPr>
            </w:r>
            <w:r w:rsidR="00BD4DB7">
              <w:rPr>
                <w:noProof/>
                <w:webHidden/>
              </w:rPr>
              <w:fldChar w:fldCharType="separate"/>
            </w:r>
            <w:r w:rsidR="00BD4DB7">
              <w:rPr>
                <w:noProof/>
                <w:webHidden/>
              </w:rPr>
              <w:t>247</w:t>
            </w:r>
            <w:r w:rsidR="00BD4DB7">
              <w:rPr>
                <w:noProof/>
                <w:webHidden/>
              </w:rPr>
              <w:fldChar w:fldCharType="end"/>
            </w:r>
          </w:hyperlink>
        </w:p>
        <w:p w14:paraId="381FA205" w14:textId="424CCD64"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90" w:history="1">
            <w:r w:rsidR="00BD4DB7" w:rsidRPr="0089237F">
              <w:rPr>
                <w:rStyle w:val="Hipervnculo"/>
                <w:noProof/>
              </w:rPr>
              <w:t>Artículo 2.5.1.2. Garantía Individual por estrés test del Fondo de Garantía Colectiva.</w:t>
            </w:r>
            <w:r w:rsidR="00BD4DB7">
              <w:rPr>
                <w:noProof/>
                <w:webHidden/>
              </w:rPr>
              <w:tab/>
            </w:r>
            <w:r w:rsidR="00BD4DB7">
              <w:rPr>
                <w:noProof/>
                <w:webHidden/>
              </w:rPr>
              <w:fldChar w:fldCharType="begin"/>
            </w:r>
            <w:r w:rsidR="00BD4DB7">
              <w:rPr>
                <w:noProof/>
                <w:webHidden/>
              </w:rPr>
              <w:instrText xml:space="preserve"> PAGEREF _Toc31716190 \h </w:instrText>
            </w:r>
            <w:r w:rsidR="00BD4DB7">
              <w:rPr>
                <w:noProof/>
                <w:webHidden/>
              </w:rPr>
            </w:r>
            <w:r w:rsidR="00BD4DB7">
              <w:rPr>
                <w:noProof/>
                <w:webHidden/>
              </w:rPr>
              <w:fldChar w:fldCharType="separate"/>
            </w:r>
            <w:r w:rsidR="00BD4DB7">
              <w:rPr>
                <w:noProof/>
                <w:webHidden/>
              </w:rPr>
              <w:t>247</w:t>
            </w:r>
            <w:r w:rsidR="00BD4DB7">
              <w:rPr>
                <w:noProof/>
                <w:webHidden/>
              </w:rPr>
              <w:fldChar w:fldCharType="end"/>
            </w:r>
          </w:hyperlink>
        </w:p>
        <w:p w14:paraId="309774A1" w14:textId="78400D31"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91" w:history="1">
            <w:r w:rsidR="00BD4DB7" w:rsidRPr="0089237F">
              <w:rPr>
                <w:rStyle w:val="Hipervnculo"/>
                <w:noProof/>
              </w:rPr>
              <w:t>Artículo 2.5.1.3. Procedimiento de Cálculo de Garantías por Posición según Modelo MEFFCOM2.</w:t>
            </w:r>
            <w:r w:rsidR="00BD4DB7">
              <w:rPr>
                <w:noProof/>
                <w:webHidden/>
              </w:rPr>
              <w:tab/>
            </w:r>
            <w:r w:rsidR="00BD4DB7">
              <w:rPr>
                <w:noProof/>
                <w:webHidden/>
              </w:rPr>
              <w:fldChar w:fldCharType="begin"/>
            </w:r>
            <w:r w:rsidR="00BD4DB7">
              <w:rPr>
                <w:noProof/>
                <w:webHidden/>
              </w:rPr>
              <w:instrText xml:space="preserve"> PAGEREF _Toc31716191 \h </w:instrText>
            </w:r>
            <w:r w:rsidR="00BD4DB7">
              <w:rPr>
                <w:noProof/>
                <w:webHidden/>
              </w:rPr>
            </w:r>
            <w:r w:rsidR="00BD4DB7">
              <w:rPr>
                <w:noProof/>
                <w:webHidden/>
              </w:rPr>
              <w:fldChar w:fldCharType="separate"/>
            </w:r>
            <w:r w:rsidR="00BD4DB7">
              <w:rPr>
                <w:noProof/>
                <w:webHidden/>
              </w:rPr>
              <w:t>248</w:t>
            </w:r>
            <w:r w:rsidR="00BD4DB7">
              <w:rPr>
                <w:noProof/>
                <w:webHidden/>
              </w:rPr>
              <w:fldChar w:fldCharType="end"/>
            </w:r>
          </w:hyperlink>
        </w:p>
        <w:p w14:paraId="3D622406" w14:textId="22D7FB6B"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92" w:history="1">
            <w:r w:rsidR="00BD4DB7" w:rsidRPr="0089237F">
              <w:rPr>
                <w:rStyle w:val="Hipervnculo"/>
                <w:noProof/>
              </w:rPr>
              <w:t>Artículo 2.5.1.4. Parámetros para cálculo de Garantía por Posición.</w:t>
            </w:r>
            <w:r w:rsidR="00BD4DB7">
              <w:rPr>
                <w:noProof/>
                <w:webHidden/>
              </w:rPr>
              <w:tab/>
            </w:r>
            <w:r w:rsidR="00BD4DB7">
              <w:rPr>
                <w:noProof/>
                <w:webHidden/>
              </w:rPr>
              <w:fldChar w:fldCharType="begin"/>
            </w:r>
            <w:r w:rsidR="00BD4DB7">
              <w:rPr>
                <w:noProof/>
                <w:webHidden/>
              </w:rPr>
              <w:instrText xml:space="preserve"> PAGEREF _Toc31716192 \h </w:instrText>
            </w:r>
            <w:r w:rsidR="00BD4DB7">
              <w:rPr>
                <w:noProof/>
                <w:webHidden/>
              </w:rPr>
            </w:r>
            <w:r w:rsidR="00BD4DB7">
              <w:rPr>
                <w:noProof/>
                <w:webHidden/>
              </w:rPr>
              <w:fldChar w:fldCharType="separate"/>
            </w:r>
            <w:r w:rsidR="00BD4DB7">
              <w:rPr>
                <w:noProof/>
                <w:webHidden/>
              </w:rPr>
              <w:t>257</w:t>
            </w:r>
            <w:r w:rsidR="00BD4DB7">
              <w:rPr>
                <w:noProof/>
                <w:webHidden/>
              </w:rPr>
              <w:fldChar w:fldCharType="end"/>
            </w:r>
          </w:hyperlink>
        </w:p>
        <w:p w14:paraId="790CC45B" w14:textId="4A69ECD9"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93" w:history="1">
            <w:r w:rsidR="00BD4DB7" w:rsidRPr="0089237F">
              <w:rPr>
                <w:rStyle w:val="Hipervnculo"/>
                <w:noProof/>
              </w:rPr>
              <w:t>Artículo 2.5.1.5. Procedimiento de cálculo de la Garantía Extraordinaria por variación de precios Segmento Derivados Financieros.</w:t>
            </w:r>
            <w:r w:rsidR="00BD4DB7">
              <w:rPr>
                <w:noProof/>
                <w:webHidden/>
              </w:rPr>
              <w:tab/>
            </w:r>
            <w:r w:rsidR="00BD4DB7">
              <w:rPr>
                <w:noProof/>
                <w:webHidden/>
              </w:rPr>
              <w:fldChar w:fldCharType="begin"/>
            </w:r>
            <w:r w:rsidR="00BD4DB7">
              <w:rPr>
                <w:noProof/>
                <w:webHidden/>
              </w:rPr>
              <w:instrText xml:space="preserve"> PAGEREF _Toc31716193 \h </w:instrText>
            </w:r>
            <w:r w:rsidR="00BD4DB7">
              <w:rPr>
                <w:noProof/>
                <w:webHidden/>
              </w:rPr>
            </w:r>
            <w:r w:rsidR="00BD4DB7">
              <w:rPr>
                <w:noProof/>
                <w:webHidden/>
              </w:rPr>
              <w:fldChar w:fldCharType="separate"/>
            </w:r>
            <w:r w:rsidR="00BD4DB7">
              <w:rPr>
                <w:noProof/>
                <w:webHidden/>
              </w:rPr>
              <w:t>279</w:t>
            </w:r>
            <w:r w:rsidR="00BD4DB7">
              <w:rPr>
                <w:noProof/>
                <w:webHidden/>
              </w:rPr>
              <w:fldChar w:fldCharType="end"/>
            </w:r>
          </w:hyperlink>
        </w:p>
        <w:p w14:paraId="79D5D084" w14:textId="66B2D2F8"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94" w:history="1">
            <w:r w:rsidR="00BD4DB7" w:rsidRPr="0089237F">
              <w:rPr>
                <w:rStyle w:val="Hipervnculo"/>
                <w:noProof/>
              </w:rPr>
              <w:t>Artículo. 2.5.1.6. Fluctuaciones de estrés para cálculo del riesgo en situación de estrés.</w:t>
            </w:r>
            <w:r w:rsidR="00BD4DB7">
              <w:rPr>
                <w:noProof/>
                <w:webHidden/>
              </w:rPr>
              <w:tab/>
            </w:r>
            <w:r w:rsidR="00BD4DB7">
              <w:rPr>
                <w:noProof/>
                <w:webHidden/>
              </w:rPr>
              <w:fldChar w:fldCharType="begin"/>
            </w:r>
            <w:r w:rsidR="00BD4DB7">
              <w:rPr>
                <w:noProof/>
                <w:webHidden/>
              </w:rPr>
              <w:instrText xml:space="preserve"> PAGEREF _Toc31716194 \h </w:instrText>
            </w:r>
            <w:r w:rsidR="00BD4DB7">
              <w:rPr>
                <w:noProof/>
                <w:webHidden/>
              </w:rPr>
            </w:r>
            <w:r w:rsidR="00BD4DB7">
              <w:rPr>
                <w:noProof/>
                <w:webHidden/>
              </w:rPr>
              <w:fldChar w:fldCharType="separate"/>
            </w:r>
            <w:r w:rsidR="00BD4DB7">
              <w:rPr>
                <w:noProof/>
                <w:webHidden/>
              </w:rPr>
              <w:t>284</w:t>
            </w:r>
            <w:r w:rsidR="00BD4DB7">
              <w:rPr>
                <w:noProof/>
                <w:webHidden/>
              </w:rPr>
              <w:fldChar w:fldCharType="end"/>
            </w:r>
          </w:hyperlink>
        </w:p>
        <w:p w14:paraId="1AAD42BB" w14:textId="3E0E34E2"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95" w:history="1">
            <w:r w:rsidR="00BD4DB7" w:rsidRPr="0089237F">
              <w:rPr>
                <w:rStyle w:val="Hipervnculo"/>
                <w:rFonts w:eastAsia="Calibri"/>
                <w:noProof/>
              </w:rPr>
              <w:t>Artículo 2.5.1.7. Garantías por Grandes Posiciones.</w:t>
            </w:r>
            <w:r w:rsidR="00BD4DB7">
              <w:rPr>
                <w:noProof/>
                <w:webHidden/>
              </w:rPr>
              <w:tab/>
            </w:r>
            <w:r w:rsidR="00BD4DB7">
              <w:rPr>
                <w:noProof/>
                <w:webHidden/>
              </w:rPr>
              <w:fldChar w:fldCharType="begin"/>
            </w:r>
            <w:r w:rsidR="00BD4DB7">
              <w:rPr>
                <w:noProof/>
                <w:webHidden/>
              </w:rPr>
              <w:instrText xml:space="preserve"> PAGEREF _Toc31716195 \h </w:instrText>
            </w:r>
            <w:r w:rsidR="00BD4DB7">
              <w:rPr>
                <w:noProof/>
                <w:webHidden/>
              </w:rPr>
            </w:r>
            <w:r w:rsidR="00BD4DB7">
              <w:rPr>
                <w:noProof/>
                <w:webHidden/>
              </w:rPr>
              <w:fldChar w:fldCharType="separate"/>
            </w:r>
            <w:r w:rsidR="00BD4DB7">
              <w:rPr>
                <w:noProof/>
                <w:webHidden/>
              </w:rPr>
              <w:t>289</w:t>
            </w:r>
            <w:r w:rsidR="00BD4DB7">
              <w:rPr>
                <w:noProof/>
                <w:webHidden/>
              </w:rPr>
              <w:fldChar w:fldCharType="end"/>
            </w:r>
          </w:hyperlink>
        </w:p>
        <w:p w14:paraId="03E5AD45" w14:textId="2B212514"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96" w:history="1">
            <w:r w:rsidR="00BD4DB7" w:rsidRPr="0089237F">
              <w:rPr>
                <w:rStyle w:val="Hipervnculo"/>
                <w:rFonts w:eastAsia="Calibri"/>
                <w:noProof/>
              </w:rPr>
              <w:t xml:space="preserve">Artículo 2.5.1.8. Escenarios de variación de precio para el cálculo del riesgo en situación de estrés para el </w:t>
            </w:r>
            <w:r w:rsidR="00BD4DB7" w:rsidRPr="0089237F">
              <w:rPr>
                <w:rStyle w:val="Hipervnculo"/>
                <w:noProof/>
              </w:rPr>
              <w:t>Segmento de Derivados Financieros.</w:t>
            </w:r>
            <w:r w:rsidR="00BD4DB7">
              <w:rPr>
                <w:noProof/>
                <w:webHidden/>
              </w:rPr>
              <w:tab/>
            </w:r>
            <w:r w:rsidR="00BD4DB7">
              <w:rPr>
                <w:noProof/>
                <w:webHidden/>
              </w:rPr>
              <w:fldChar w:fldCharType="begin"/>
            </w:r>
            <w:r w:rsidR="00BD4DB7">
              <w:rPr>
                <w:noProof/>
                <w:webHidden/>
              </w:rPr>
              <w:instrText xml:space="preserve"> PAGEREF _Toc31716196 \h </w:instrText>
            </w:r>
            <w:r w:rsidR="00BD4DB7">
              <w:rPr>
                <w:noProof/>
                <w:webHidden/>
              </w:rPr>
            </w:r>
            <w:r w:rsidR="00BD4DB7">
              <w:rPr>
                <w:noProof/>
                <w:webHidden/>
              </w:rPr>
              <w:fldChar w:fldCharType="separate"/>
            </w:r>
            <w:r w:rsidR="00BD4DB7">
              <w:rPr>
                <w:noProof/>
                <w:webHidden/>
              </w:rPr>
              <w:t>290</w:t>
            </w:r>
            <w:r w:rsidR="00BD4DB7">
              <w:rPr>
                <w:noProof/>
                <w:webHidden/>
              </w:rPr>
              <w:fldChar w:fldCharType="end"/>
            </w:r>
          </w:hyperlink>
        </w:p>
        <w:p w14:paraId="1D34DF6C" w14:textId="1843DC1B"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97" w:history="1">
            <w:r w:rsidR="00BD4DB7" w:rsidRPr="0089237F">
              <w:rPr>
                <w:rStyle w:val="Hipervnculo"/>
                <w:noProof/>
              </w:rPr>
              <w:t>Artículo 2.5.1.9.  Aportación mínima al Fondo de Garantía Colectiva de los Miembros para el Segmento de Derivados Financieros.</w:t>
            </w:r>
            <w:r w:rsidR="00BD4DB7">
              <w:rPr>
                <w:noProof/>
                <w:webHidden/>
              </w:rPr>
              <w:tab/>
            </w:r>
            <w:r w:rsidR="00BD4DB7">
              <w:rPr>
                <w:noProof/>
                <w:webHidden/>
              </w:rPr>
              <w:fldChar w:fldCharType="begin"/>
            </w:r>
            <w:r w:rsidR="00BD4DB7">
              <w:rPr>
                <w:noProof/>
                <w:webHidden/>
              </w:rPr>
              <w:instrText xml:space="preserve"> PAGEREF _Toc31716197 \h </w:instrText>
            </w:r>
            <w:r w:rsidR="00BD4DB7">
              <w:rPr>
                <w:noProof/>
                <w:webHidden/>
              </w:rPr>
            </w:r>
            <w:r w:rsidR="00BD4DB7">
              <w:rPr>
                <w:noProof/>
                <w:webHidden/>
              </w:rPr>
              <w:fldChar w:fldCharType="separate"/>
            </w:r>
            <w:r w:rsidR="00BD4DB7">
              <w:rPr>
                <w:noProof/>
                <w:webHidden/>
              </w:rPr>
              <w:t>292</w:t>
            </w:r>
            <w:r w:rsidR="00BD4DB7">
              <w:rPr>
                <w:noProof/>
                <w:webHidden/>
              </w:rPr>
              <w:fldChar w:fldCharType="end"/>
            </w:r>
          </w:hyperlink>
        </w:p>
        <w:p w14:paraId="106C0449" w14:textId="3C967D42"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98" w:history="1">
            <w:r w:rsidR="00BD4DB7" w:rsidRPr="0089237F">
              <w:rPr>
                <w:rStyle w:val="Hipervnculo"/>
                <w:noProof/>
              </w:rPr>
              <w:t>Artículo 2.5.1.10. Importe mínimo a aportar para la constitución del Fondo de Garantía Colectiva y tamaño mínimo del Fondo.</w:t>
            </w:r>
            <w:r w:rsidR="00BD4DB7">
              <w:rPr>
                <w:noProof/>
                <w:webHidden/>
              </w:rPr>
              <w:tab/>
            </w:r>
            <w:r w:rsidR="00BD4DB7">
              <w:rPr>
                <w:noProof/>
                <w:webHidden/>
              </w:rPr>
              <w:fldChar w:fldCharType="begin"/>
            </w:r>
            <w:r w:rsidR="00BD4DB7">
              <w:rPr>
                <w:noProof/>
                <w:webHidden/>
              </w:rPr>
              <w:instrText xml:space="preserve"> PAGEREF _Toc31716198 \h </w:instrText>
            </w:r>
            <w:r w:rsidR="00BD4DB7">
              <w:rPr>
                <w:noProof/>
                <w:webHidden/>
              </w:rPr>
            </w:r>
            <w:r w:rsidR="00BD4DB7">
              <w:rPr>
                <w:noProof/>
                <w:webHidden/>
              </w:rPr>
              <w:fldChar w:fldCharType="separate"/>
            </w:r>
            <w:r w:rsidR="00BD4DB7">
              <w:rPr>
                <w:noProof/>
                <w:webHidden/>
              </w:rPr>
              <w:t>293</w:t>
            </w:r>
            <w:r w:rsidR="00BD4DB7">
              <w:rPr>
                <w:noProof/>
                <w:webHidden/>
              </w:rPr>
              <w:fldChar w:fldCharType="end"/>
            </w:r>
          </w:hyperlink>
        </w:p>
        <w:p w14:paraId="1AED1407" w14:textId="7B6C26C6" w:rsidR="00BD4DB7" w:rsidRDefault="00682D97">
          <w:pPr>
            <w:pStyle w:val="TDC2"/>
            <w:rPr>
              <w:rFonts w:asciiTheme="minorHAnsi" w:eastAsiaTheme="minorEastAsia" w:hAnsiTheme="minorHAnsi" w:cstheme="minorBidi"/>
              <w:smallCaps w:val="0"/>
              <w:noProof/>
              <w:sz w:val="22"/>
              <w:szCs w:val="22"/>
              <w:lang w:val="es-CO" w:eastAsia="es-CO"/>
            </w:rPr>
          </w:pPr>
          <w:hyperlink w:anchor="_Toc31716199" w:history="1">
            <w:r w:rsidR="00BD4DB7" w:rsidRPr="0089237F">
              <w:rPr>
                <w:rStyle w:val="Hipervnculo"/>
                <w:noProof/>
              </w:rPr>
              <w:t>Artículo 2.5.1.11. Constitución, actualización y reposición del Fondo de Garantía Colectiva.</w:t>
            </w:r>
            <w:r w:rsidR="00BD4DB7">
              <w:rPr>
                <w:noProof/>
                <w:webHidden/>
              </w:rPr>
              <w:tab/>
            </w:r>
            <w:r w:rsidR="00BD4DB7">
              <w:rPr>
                <w:noProof/>
                <w:webHidden/>
              </w:rPr>
              <w:fldChar w:fldCharType="begin"/>
            </w:r>
            <w:r w:rsidR="00BD4DB7">
              <w:rPr>
                <w:noProof/>
                <w:webHidden/>
              </w:rPr>
              <w:instrText xml:space="preserve"> PAGEREF _Toc31716199 \h </w:instrText>
            </w:r>
            <w:r w:rsidR="00BD4DB7">
              <w:rPr>
                <w:noProof/>
                <w:webHidden/>
              </w:rPr>
            </w:r>
            <w:r w:rsidR="00BD4DB7">
              <w:rPr>
                <w:noProof/>
                <w:webHidden/>
              </w:rPr>
              <w:fldChar w:fldCharType="separate"/>
            </w:r>
            <w:r w:rsidR="00BD4DB7">
              <w:rPr>
                <w:noProof/>
                <w:webHidden/>
              </w:rPr>
              <w:t>293</w:t>
            </w:r>
            <w:r w:rsidR="00BD4DB7">
              <w:rPr>
                <w:noProof/>
                <w:webHidden/>
              </w:rPr>
              <w:fldChar w:fldCharType="end"/>
            </w:r>
          </w:hyperlink>
        </w:p>
        <w:p w14:paraId="14260A2A" w14:textId="503CBA63"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00" w:history="1">
            <w:r w:rsidR="00BD4DB7" w:rsidRPr="0089237F">
              <w:rPr>
                <w:rStyle w:val="Hipervnculo"/>
                <w:noProof/>
              </w:rPr>
              <w:t>Artículo 2.5.1.12. Contribuciones para la continuidad del servicio.</w:t>
            </w:r>
            <w:r w:rsidR="00BD4DB7">
              <w:rPr>
                <w:noProof/>
                <w:webHidden/>
              </w:rPr>
              <w:tab/>
            </w:r>
            <w:r w:rsidR="00BD4DB7">
              <w:rPr>
                <w:noProof/>
                <w:webHidden/>
              </w:rPr>
              <w:fldChar w:fldCharType="begin"/>
            </w:r>
            <w:r w:rsidR="00BD4DB7">
              <w:rPr>
                <w:noProof/>
                <w:webHidden/>
              </w:rPr>
              <w:instrText xml:space="preserve"> PAGEREF _Toc31716200 \h </w:instrText>
            </w:r>
            <w:r w:rsidR="00BD4DB7">
              <w:rPr>
                <w:noProof/>
                <w:webHidden/>
              </w:rPr>
            </w:r>
            <w:r w:rsidR="00BD4DB7">
              <w:rPr>
                <w:noProof/>
                <w:webHidden/>
              </w:rPr>
              <w:fldChar w:fldCharType="separate"/>
            </w:r>
            <w:r w:rsidR="00BD4DB7">
              <w:rPr>
                <w:noProof/>
                <w:webHidden/>
              </w:rPr>
              <w:t>293</w:t>
            </w:r>
            <w:r w:rsidR="00BD4DB7">
              <w:rPr>
                <w:noProof/>
                <w:webHidden/>
              </w:rPr>
              <w:fldChar w:fldCharType="end"/>
            </w:r>
          </w:hyperlink>
        </w:p>
        <w:p w14:paraId="1260BAE3" w14:textId="6F4E2B6D"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01" w:history="1">
            <w:r w:rsidR="00BD4DB7" w:rsidRPr="0089237F">
              <w:rPr>
                <w:rStyle w:val="Hipervnculo"/>
                <w:noProof/>
              </w:rPr>
              <w:t>Artículo 2.5.1.13. Recursos Propios Específicos.</w:t>
            </w:r>
            <w:r w:rsidR="00BD4DB7">
              <w:rPr>
                <w:noProof/>
                <w:webHidden/>
              </w:rPr>
              <w:tab/>
            </w:r>
            <w:r w:rsidR="00BD4DB7">
              <w:rPr>
                <w:noProof/>
                <w:webHidden/>
              </w:rPr>
              <w:fldChar w:fldCharType="begin"/>
            </w:r>
            <w:r w:rsidR="00BD4DB7">
              <w:rPr>
                <w:noProof/>
                <w:webHidden/>
              </w:rPr>
              <w:instrText xml:space="preserve"> PAGEREF _Toc31716201 \h </w:instrText>
            </w:r>
            <w:r w:rsidR="00BD4DB7">
              <w:rPr>
                <w:noProof/>
                <w:webHidden/>
              </w:rPr>
            </w:r>
            <w:r w:rsidR="00BD4DB7">
              <w:rPr>
                <w:noProof/>
                <w:webHidden/>
              </w:rPr>
              <w:fldChar w:fldCharType="separate"/>
            </w:r>
            <w:r w:rsidR="00BD4DB7">
              <w:rPr>
                <w:noProof/>
                <w:webHidden/>
              </w:rPr>
              <w:t>294</w:t>
            </w:r>
            <w:r w:rsidR="00BD4DB7">
              <w:rPr>
                <w:noProof/>
                <w:webHidden/>
              </w:rPr>
              <w:fldChar w:fldCharType="end"/>
            </w:r>
          </w:hyperlink>
        </w:p>
        <w:p w14:paraId="23EE50D6" w14:textId="43FA61A4"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02" w:history="1">
            <w:r w:rsidR="00BD4DB7" w:rsidRPr="0089237F">
              <w:rPr>
                <w:rStyle w:val="Hipervnculo"/>
                <w:rFonts w:eastAsia="Calibri"/>
                <w:noProof/>
              </w:rPr>
              <w:t>TÍTULO SEXTO</w:t>
            </w:r>
            <w:r w:rsidR="00BD4DB7">
              <w:rPr>
                <w:noProof/>
                <w:webHidden/>
              </w:rPr>
              <w:tab/>
            </w:r>
            <w:r w:rsidR="00BD4DB7">
              <w:rPr>
                <w:noProof/>
                <w:webHidden/>
              </w:rPr>
              <w:fldChar w:fldCharType="begin"/>
            </w:r>
            <w:r w:rsidR="00BD4DB7">
              <w:rPr>
                <w:noProof/>
                <w:webHidden/>
              </w:rPr>
              <w:instrText xml:space="preserve"> PAGEREF _Toc31716202 \h </w:instrText>
            </w:r>
            <w:r w:rsidR="00BD4DB7">
              <w:rPr>
                <w:noProof/>
                <w:webHidden/>
              </w:rPr>
            </w:r>
            <w:r w:rsidR="00BD4DB7">
              <w:rPr>
                <w:noProof/>
                <w:webHidden/>
              </w:rPr>
              <w:fldChar w:fldCharType="separate"/>
            </w:r>
            <w:r w:rsidR="00BD4DB7">
              <w:rPr>
                <w:noProof/>
                <w:webHidden/>
              </w:rPr>
              <w:t>294</w:t>
            </w:r>
            <w:r w:rsidR="00BD4DB7">
              <w:rPr>
                <w:noProof/>
                <w:webHidden/>
              </w:rPr>
              <w:fldChar w:fldCharType="end"/>
            </w:r>
          </w:hyperlink>
        </w:p>
        <w:p w14:paraId="089FE854" w14:textId="0A448606"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03" w:history="1">
            <w:r w:rsidR="00BD4DB7" w:rsidRPr="0089237F">
              <w:rPr>
                <w:rStyle w:val="Hipervnculo"/>
                <w:rFonts w:eastAsia="Calibri"/>
                <w:noProof/>
              </w:rPr>
              <w:t>HORARIOS DE LAS SESIONES DE CÁMARA</w:t>
            </w:r>
            <w:r w:rsidR="00BD4DB7">
              <w:rPr>
                <w:noProof/>
                <w:webHidden/>
              </w:rPr>
              <w:tab/>
            </w:r>
            <w:r w:rsidR="00BD4DB7">
              <w:rPr>
                <w:noProof/>
                <w:webHidden/>
              </w:rPr>
              <w:fldChar w:fldCharType="begin"/>
            </w:r>
            <w:r w:rsidR="00BD4DB7">
              <w:rPr>
                <w:noProof/>
                <w:webHidden/>
              </w:rPr>
              <w:instrText xml:space="preserve"> PAGEREF _Toc31716203 \h </w:instrText>
            </w:r>
            <w:r w:rsidR="00BD4DB7">
              <w:rPr>
                <w:noProof/>
                <w:webHidden/>
              </w:rPr>
            </w:r>
            <w:r w:rsidR="00BD4DB7">
              <w:rPr>
                <w:noProof/>
                <w:webHidden/>
              </w:rPr>
              <w:fldChar w:fldCharType="separate"/>
            </w:r>
            <w:r w:rsidR="00BD4DB7">
              <w:rPr>
                <w:noProof/>
                <w:webHidden/>
              </w:rPr>
              <w:t>294</w:t>
            </w:r>
            <w:r w:rsidR="00BD4DB7">
              <w:rPr>
                <w:noProof/>
                <w:webHidden/>
              </w:rPr>
              <w:fldChar w:fldCharType="end"/>
            </w:r>
          </w:hyperlink>
        </w:p>
        <w:p w14:paraId="79A09609" w14:textId="66CA5053"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04" w:history="1">
            <w:r w:rsidR="00BD4DB7" w:rsidRPr="0089237F">
              <w:rPr>
                <w:rStyle w:val="Hipervnculo"/>
                <w:rFonts w:eastAsia="Calibri"/>
                <w:noProof/>
              </w:rPr>
              <w:t>CAPITULO PRIMERO</w:t>
            </w:r>
            <w:r w:rsidR="00BD4DB7">
              <w:rPr>
                <w:noProof/>
                <w:webHidden/>
              </w:rPr>
              <w:tab/>
            </w:r>
            <w:r w:rsidR="00BD4DB7">
              <w:rPr>
                <w:noProof/>
                <w:webHidden/>
              </w:rPr>
              <w:fldChar w:fldCharType="begin"/>
            </w:r>
            <w:r w:rsidR="00BD4DB7">
              <w:rPr>
                <w:noProof/>
                <w:webHidden/>
              </w:rPr>
              <w:instrText xml:space="preserve"> PAGEREF _Toc31716204 \h </w:instrText>
            </w:r>
            <w:r w:rsidR="00BD4DB7">
              <w:rPr>
                <w:noProof/>
                <w:webHidden/>
              </w:rPr>
            </w:r>
            <w:r w:rsidR="00BD4DB7">
              <w:rPr>
                <w:noProof/>
                <w:webHidden/>
              </w:rPr>
              <w:fldChar w:fldCharType="separate"/>
            </w:r>
            <w:r w:rsidR="00BD4DB7">
              <w:rPr>
                <w:noProof/>
                <w:webHidden/>
              </w:rPr>
              <w:t>294</w:t>
            </w:r>
            <w:r w:rsidR="00BD4DB7">
              <w:rPr>
                <w:noProof/>
                <w:webHidden/>
              </w:rPr>
              <w:fldChar w:fldCharType="end"/>
            </w:r>
          </w:hyperlink>
        </w:p>
        <w:p w14:paraId="20A8C7F7" w14:textId="6CBC3390"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05" w:history="1">
            <w:r w:rsidR="00BD4DB7" w:rsidRPr="0089237F">
              <w:rPr>
                <w:rStyle w:val="Hipervnculo"/>
                <w:noProof/>
              </w:rPr>
              <w:t>Artículo 2.6.1.1. Horarios de Sesiones de Operación de Cámara.</w:t>
            </w:r>
            <w:r w:rsidR="00BD4DB7">
              <w:rPr>
                <w:noProof/>
                <w:webHidden/>
              </w:rPr>
              <w:tab/>
            </w:r>
            <w:r w:rsidR="00BD4DB7">
              <w:rPr>
                <w:noProof/>
                <w:webHidden/>
              </w:rPr>
              <w:fldChar w:fldCharType="begin"/>
            </w:r>
            <w:r w:rsidR="00BD4DB7">
              <w:rPr>
                <w:noProof/>
                <w:webHidden/>
              </w:rPr>
              <w:instrText xml:space="preserve"> PAGEREF _Toc31716205 \h </w:instrText>
            </w:r>
            <w:r w:rsidR="00BD4DB7">
              <w:rPr>
                <w:noProof/>
                <w:webHidden/>
              </w:rPr>
            </w:r>
            <w:r w:rsidR="00BD4DB7">
              <w:rPr>
                <w:noProof/>
                <w:webHidden/>
              </w:rPr>
              <w:fldChar w:fldCharType="separate"/>
            </w:r>
            <w:r w:rsidR="00BD4DB7">
              <w:rPr>
                <w:noProof/>
                <w:webHidden/>
              </w:rPr>
              <w:t>294</w:t>
            </w:r>
            <w:r w:rsidR="00BD4DB7">
              <w:rPr>
                <w:noProof/>
                <w:webHidden/>
              </w:rPr>
              <w:fldChar w:fldCharType="end"/>
            </w:r>
          </w:hyperlink>
        </w:p>
        <w:p w14:paraId="060C0967" w14:textId="5414DB2E"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06" w:history="1">
            <w:r w:rsidR="00BD4DB7" w:rsidRPr="0089237F">
              <w:rPr>
                <w:rStyle w:val="Hipervnculo"/>
                <w:rFonts w:eastAsia="Calibri"/>
                <w:noProof/>
              </w:rPr>
              <w:t>TÍTULO SÉPTIMO</w:t>
            </w:r>
            <w:r w:rsidR="00BD4DB7">
              <w:rPr>
                <w:noProof/>
                <w:webHidden/>
              </w:rPr>
              <w:tab/>
            </w:r>
            <w:r w:rsidR="00BD4DB7">
              <w:rPr>
                <w:noProof/>
                <w:webHidden/>
              </w:rPr>
              <w:fldChar w:fldCharType="begin"/>
            </w:r>
            <w:r w:rsidR="00BD4DB7">
              <w:rPr>
                <w:noProof/>
                <w:webHidden/>
              </w:rPr>
              <w:instrText xml:space="preserve"> PAGEREF _Toc31716206 \h </w:instrText>
            </w:r>
            <w:r w:rsidR="00BD4DB7">
              <w:rPr>
                <w:noProof/>
                <w:webHidden/>
              </w:rPr>
            </w:r>
            <w:r w:rsidR="00BD4DB7">
              <w:rPr>
                <w:noProof/>
                <w:webHidden/>
              </w:rPr>
              <w:fldChar w:fldCharType="separate"/>
            </w:r>
            <w:r w:rsidR="00BD4DB7">
              <w:rPr>
                <w:noProof/>
                <w:webHidden/>
              </w:rPr>
              <w:t>298</w:t>
            </w:r>
            <w:r w:rsidR="00BD4DB7">
              <w:rPr>
                <w:noProof/>
                <w:webHidden/>
              </w:rPr>
              <w:fldChar w:fldCharType="end"/>
            </w:r>
          </w:hyperlink>
        </w:p>
        <w:p w14:paraId="16D17083" w14:textId="1BA6E4E6"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07" w:history="1">
            <w:r w:rsidR="00BD4DB7" w:rsidRPr="0089237F">
              <w:rPr>
                <w:rStyle w:val="Hipervnculo"/>
                <w:rFonts w:eastAsia="Calibri"/>
                <w:noProof/>
              </w:rPr>
              <w:t>ACTIVOS</w:t>
            </w:r>
            <w:r w:rsidR="00BD4DB7">
              <w:rPr>
                <w:noProof/>
                <w:webHidden/>
              </w:rPr>
              <w:tab/>
            </w:r>
            <w:r w:rsidR="00BD4DB7">
              <w:rPr>
                <w:noProof/>
                <w:webHidden/>
              </w:rPr>
              <w:fldChar w:fldCharType="begin"/>
            </w:r>
            <w:r w:rsidR="00BD4DB7">
              <w:rPr>
                <w:noProof/>
                <w:webHidden/>
              </w:rPr>
              <w:instrText xml:space="preserve"> PAGEREF _Toc31716207 \h </w:instrText>
            </w:r>
            <w:r w:rsidR="00BD4DB7">
              <w:rPr>
                <w:noProof/>
                <w:webHidden/>
              </w:rPr>
            </w:r>
            <w:r w:rsidR="00BD4DB7">
              <w:rPr>
                <w:noProof/>
                <w:webHidden/>
              </w:rPr>
              <w:fldChar w:fldCharType="separate"/>
            </w:r>
            <w:r w:rsidR="00BD4DB7">
              <w:rPr>
                <w:noProof/>
                <w:webHidden/>
              </w:rPr>
              <w:t>298</w:t>
            </w:r>
            <w:r w:rsidR="00BD4DB7">
              <w:rPr>
                <w:noProof/>
                <w:webHidden/>
              </w:rPr>
              <w:fldChar w:fldCharType="end"/>
            </w:r>
          </w:hyperlink>
        </w:p>
        <w:p w14:paraId="7BD61EFD" w14:textId="6C0AEB9D"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08" w:history="1">
            <w:r w:rsidR="00BD4DB7" w:rsidRPr="0089237F">
              <w:rPr>
                <w:rStyle w:val="Hipervnculo"/>
                <w:rFonts w:eastAsia="Calibri"/>
                <w:noProof/>
              </w:rPr>
              <w:t>CAPÍTULO PRIMERO</w:t>
            </w:r>
            <w:r w:rsidR="00BD4DB7">
              <w:rPr>
                <w:noProof/>
                <w:webHidden/>
              </w:rPr>
              <w:tab/>
            </w:r>
            <w:r w:rsidR="00BD4DB7">
              <w:rPr>
                <w:noProof/>
                <w:webHidden/>
              </w:rPr>
              <w:fldChar w:fldCharType="begin"/>
            </w:r>
            <w:r w:rsidR="00BD4DB7">
              <w:rPr>
                <w:noProof/>
                <w:webHidden/>
              </w:rPr>
              <w:instrText xml:space="preserve"> PAGEREF _Toc31716208 \h </w:instrText>
            </w:r>
            <w:r w:rsidR="00BD4DB7">
              <w:rPr>
                <w:noProof/>
                <w:webHidden/>
              </w:rPr>
            </w:r>
            <w:r w:rsidR="00BD4DB7">
              <w:rPr>
                <w:noProof/>
                <w:webHidden/>
              </w:rPr>
              <w:fldChar w:fldCharType="separate"/>
            </w:r>
            <w:r w:rsidR="00BD4DB7">
              <w:rPr>
                <w:noProof/>
                <w:webHidden/>
              </w:rPr>
              <w:t>298</w:t>
            </w:r>
            <w:r w:rsidR="00BD4DB7">
              <w:rPr>
                <w:noProof/>
                <w:webHidden/>
              </w:rPr>
              <w:fldChar w:fldCharType="end"/>
            </w:r>
          </w:hyperlink>
        </w:p>
        <w:p w14:paraId="606FC219" w14:textId="1011349E"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09" w:history="1">
            <w:r w:rsidR="00BD4DB7" w:rsidRPr="0089237F">
              <w:rPr>
                <w:rStyle w:val="Hipervnculo"/>
                <w:rFonts w:eastAsia="Calibri"/>
                <w:noProof/>
              </w:rPr>
              <w:t>PROCESO DE AUTORIZACIÓN</w:t>
            </w:r>
            <w:r w:rsidR="00BD4DB7">
              <w:rPr>
                <w:noProof/>
                <w:webHidden/>
              </w:rPr>
              <w:tab/>
            </w:r>
            <w:r w:rsidR="00BD4DB7">
              <w:rPr>
                <w:noProof/>
                <w:webHidden/>
              </w:rPr>
              <w:fldChar w:fldCharType="begin"/>
            </w:r>
            <w:r w:rsidR="00BD4DB7">
              <w:rPr>
                <w:noProof/>
                <w:webHidden/>
              </w:rPr>
              <w:instrText xml:space="preserve"> PAGEREF _Toc31716209 \h </w:instrText>
            </w:r>
            <w:r w:rsidR="00BD4DB7">
              <w:rPr>
                <w:noProof/>
                <w:webHidden/>
              </w:rPr>
            </w:r>
            <w:r w:rsidR="00BD4DB7">
              <w:rPr>
                <w:noProof/>
                <w:webHidden/>
              </w:rPr>
              <w:fldChar w:fldCharType="separate"/>
            </w:r>
            <w:r w:rsidR="00BD4DB7">
              <w:rPr>
                <w:noProof/>
                <w:webHidden/>
              </w:rPr>
              <w:t>298</w:t>
            </w:r>
            <w:r w:rsidR="00BD4DB7">
              <w:rPr>
                <w:noProof/>
                <w:webHidden/>
              </w:rPr>
              <w:fldChar w:fldCharType="end"/>
            </w:r>
          </w:hyperlink>
        </w:p>
        <w:p w14:paraId="3A763264" w14:textId="24455D46"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10" w:history="1">
            <w:r w:rsidR="00BD4DB7" w:rsidRPr="0089237F">
              <w:rPr>
                <w:rStyle w:val="Hipervnculo"/>
                <w:noProof/>
              </w:rPr>
              <w:t>Artículo 2.7.1.1. Autorización general de Activos por parte de la Junta Directiva de la Cámara.</w:t>
            </w:r>
            <w:r w:rsidR="00BD4DB7">
              <w:rPr>
                <w:noProof/>
                <w:webHidden/>
              </w:rPr>
              <w:tab/>
            </w:r>
            <w:r w:rsidR="00BD4DB7">
              <w:rPr>
                <w:noProof/>
                <w:webHidden/>
              </w:rPr>
              <w:fldChar w:fldCharType="begin"/>
            </w:r>
            <w:r w:rsidR="00BD4DB7">
              <w:rPr>
                <w:noProof/>
                <w:webHidden/>
              </w:rPr>
              <w:instrText xml:space="preserve"> PAGEREF _Toc31716210 \h </w:instrText>
            </w:r>
            <w:r w:rsidR="00BD4DB7">
              <w:rPr>
                <w:noProof/>
                <w:webHidden/>
              </w:rPr>
            </w:r>
            <w:r w:rsidR="00BD4DB7">
              <w:rPr>
                <w:noProof/>
                <w:webHidden/>
              </w:rPr>
              <w:fldChar w:fldCharType="separate"/>
            </w:r>
            <w:r w:rsidR="00BD4DB7">
              <w:rPr>
                <w:noProof/>
                <w:webHidden/>
              </w:rPr>
              <w:t>298</w:t>
            </w:r>
            <w:r w:rsidR="00BD4DB7">
              <w:rPr>
                <w:noProof/>
                <w:webHidden/>
              </w:rPr>
              <w:fldChar w:fldCharType="end"/>
            </w:r>
          </w:hyperlink>
        </w:p>
        <w:p w14:paraId="63780316" w14:textId="054591B5"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11" w:history="1">
            <w:r w:rsidR="00BD4DB7" w:rsidRPr="0089237F">
              <w:rPr>
                <w:rStyle w:val="Hipervnculo"/>
                <w:noProof/>
              </w:rPr>
              <w:t>Artículo 2.7.1.2. Autorización nuevo Vencimiento de Contratos de Futuros.</w:t>
            </w:r>
            <w:r w:rsidR="00BD4DB7">
              <w:rPr>
                <w:noProof/>
                <w:webHidden/>
              </w:rPr>
              <w:tab/>
            </w:r>
            <w:r w:rsidR="00BD4DB7">
              <w:rPr>
                <w:noProof/>
                <w:webHidden/>
              </w:rPr>
              <w:fldChar w:fldCharType="begin"/>
            </w:r>
            <w:r w:rsidR="00BD4DB7">
              <w:rPr>
                <w:noProof/>
                <w:webHidden/>
              </w:rPr>
              <w:instrText xml:space="preserve"> PAGEREF _Toc31716211 \h </w:instrText>
            </w:r>
            <w:r w:rsidR="00BD4DB7">
              <w:rPr>
                <w:noProof/>
                <w:webHidden/>
              </w:rPr>
            </w:r>
            <w:r w:rsidR="00BD4DB7">
              <w:rPr>
                <w:noProof/>
                <w:webHidden/>
              </w:rPr>
              <w:fldChar w:fldCharType="separate"/>
            </w:r>
            <w:r w:rsidR="00BD4DB7">
              <w:rPr>
                <w:noProof/>
                <w:webHidden/>
              </w:rPr>
              <w:t>298</w:t>
            </w:r>
            <w:r w:rsidR="00BD4DB7">
              <w:rPr>
                <w:noProof/>
                <w:webHidden/>
              </w:rPr>
              <w:fldChar w:fldCharType="end"/>
            </w:r>
          </w:hyperlink>
        </w:p>
        <w:p w14:paraId="0E1B5E41" w14:textId="4CBAF722"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12" w:history="1">
            <w:r w:rsidR="00BD4DB7" w:rsidRPr="0089237F">
              <w:rPr>
                <w:rStyle w:val="Hipervnculo"/>
                <w:noProof/>
              </w:rPr>
              <w:t>Artículo 2.7.1.3. Activos sobre los cuales podrán versar las Operaciones Aceptadas.</w:t>
            </w:r>
            <w:r w:rsidR="00BD4DB7">
              <w:rPr>
                <w:noProof/>
                <w:webHidden/>
              </w:rPr>
              <w:tab/>
            </w:r>
            <w:r w:rsidR="00BD4DB7">
              <w:rPr>
                <w:noProof/>
                <w:webHidden/>
              </w:rPr>
              <w:fldChar w:fldCharType="begin"/>
            </w:r>
            <w:r w:rsidR="00BD4DB7">
              <w:rPr>
                <w:noProof/>
                <w:webHidden/>
              </w:rPr>
              <w:instrText xml:space="preserve"> PAGEREF _Toc31716212 \h </w:instrText>
            </w:r>
            <w:r w:rsidR="00BD4DB7">
              <w:rPr>
                <w:noProof/>
                <w:webHidden/>
              </w:rPr>
            </w:r>
            <w:r w:rsidR="00BD4DB7">
              <w:rPr>
                <w:noProof/>
                <w:webHidden/>
              </w:rPr>
              <w:fldChar w:fldCharType="separate"/>
            </w:r>
            <w:r w:rsidR="00BD4DB7">
              <w:rPr>
                <w:noProof/>
                <w:webHidden/>
              </w:rPr>
              <w:t>299</w:t>
            </w:r>
            <w:r w:rsidR="00BD4DB7">
              <w:rPr>
                <w:noProof/>
                <w:webHidden/>
              </w:rPr>
              <w:fldChar w:fldCharType="end"/>
            </w:r>
          </w:hyperlink>
        </w:p>
        <w:p w14:paraId="4AFB8F5F" w14:textId="7473E952"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13" w:history="1">
            <w:r w:rsidR="00BD4DB7" w:rsidRPr="0089237F">
              <w:rPr>
                <w:rStyle w:val="Hipervnculo"/>
                <w:rFonts w:eastAsia="Calibri"/>
                <w:noProof/>
              </w:rPr>
              <w:t>CAPÍTULO SEGUNDO</w:t>
            </w:r>
            <w:r w:rsidR="00BD4DB7">
              <w:rPr>
                <w:noProof/>
                <w:webHidden/>
              </w:rPr>
              <w:tab/>
            </w:r>
            <w:r w:rsidR="00BD4DB7">
              <w:rPr>
                <w:noProof/>
                <w:webHidden/>
              </w:rPr>
              <w:fldChar w:fldCharType="begin"/>
            </w:r>
            <w:r w:rsidR="00BD4DB7">
              <w:rPr>
                <w:noProof/>
                <w:webHidden/>
              </w:rPr>
              <w:instrText xml:space="preserve"> PAGEREF _Toc31716213 \h </w:instrText>
            </w:r>
            <w:r w:rsidR="00BD4DB7">
              <w:rPr>
                <w:noProof/>
                <w:webHidden/>
              </w:rPr>
            </w:r>
            <w:r w:rsidR="00BD4DB7">
              <w:rPr>
                <w:noProof/>
                <w:webHidden/>
              </w:rPr>
              <w:fldChar w:fldCharType="separate"/>
            </w:r>
            <w:r w:rsidR="00BD4DB7">
              <w:rPr>
                <w:noProof/>
                <w:webHidden/>
              </w:rPr>
              <w:t>300</w:t>
            </w:r>
            <w:r w:rsidR="00BD4DB7">
              <w:rPr>
                <w:noProof/>
                <w:webHidden/>
              </w:rPr>
              <w:fldChar w:fldCharType="end"/>
            </w:r>
          </w:hyperlink>
        </w:p>
        <w:p w14:paraId="2FB80C59" w14:textId="045CB134"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14" w:history="1">
            <w:r w:rsidR="00BD4DB7" w:rsidRPr="0089237F">
              <w:rPr>
                <w:rStyle w:val="Hipervnculo"/>
                <w:rFonts w:eastAsia="Calibri"/>
                <w:noProof/>
              </w:rPr>
              <w:t>ESPECIFICACIÓN DE LOS ACTIVOS</w:t>
            </w:r>
            <w:r w:rsidR="00BD4DB7">
              <w:rPr>
                <w:noProof/>
                <w:webHidden/>
              </w:rPr>
              <w:tab/>
            </w:r>
            <w:r w:rsidR="00BD4DB7">
              <w:rPr>
                <w:noProof/>
                <w:webHidden/>
              </w:rPr>
              <w:fldChar w:fldCharType="begin"/>
            </w:r>
            <w:r w:rsidR="00BD4DB7">
              <w:rPr>
                <w:noProof/>
                <w:webHidden/>
              </w:rPr>
              <w:instrText xml:space="preserve"> PAGEREF _Toc31716214 \h </w:instrText>
            </w:r>
            <w:r w:rsidR="00BD4DB7">
              <w:rPr>
                <w:noProof/>
                <w:webHidden/>
              </w:rPr>
            </w:r>
            <w:r w:rsidR="00BD4DB7">
              <w:rPr>
                <w:noProof/>
                <w:webHidden/>
              </w:rPr>
              <w:fldChar w:fldCharType="separate"/>
            </w:r>
            <w:r w:rsidR="00BD4DB7">
              <w:rPr>
                <w:noProof/>
                <w:webHidden/>
              </w:rPr>
              <w:t>300</w:t>
            </w:r>
            <w:r w:rsidR="00BD4DB7">
              <w:rPr>
                <w:noProof/>
                <w:webHidden/>
              </w:rPr>
              <w:fldChar w:fldCharType="end"/>
            </w:r>
          </w:hyperlink>
        </w:p>
        <w:p w14:paraId="42BE8E32" w14:textId="2E20C63C"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15" w:history="1">
            <w:r w:rsidR="00BD4DB7" w:rsidRPr="0089237F">
              <w:rPr>
                <w:rStyle w:val="Hipervnculo"/>
                <w:noProof/>
              </w:rPr>
              <w:t>Artículo 2.7.2.1. Futuro TES Corto Plazo.</w:t>
            </w:r>
            <w:r w:rsidR="00BD4DB7">
              <w:rPr>
                <w:noProof/>
                <w:webHidden/>
              </w:rPr>
              <w:tab/>
            </w:r>
            <w:r w:rsidR="00BD4DB7">
              <w:rPr>
                <w:noProof/>
                <w:webHidden/>
              </w:rPr>
              <w:fldChar w:fldCharType="begin"/>
            </w:r>
            <w:r w:rsidR="00BD4DB7">
              <w:rPr>
                <w:noProof/>
                <w:webHidden/>
              </w:rPr>
              <w:instrText xml:space="preserve"> PAGEREF _Toc31716215 \h </w:instrText>
            </w:r>
            <w:r w:rsidR="00BD4DB7">
              <w:rPr>
                <w:noProof/>
                <w:webHidden/>
              </w:rPr>
            </w:r>
            <w:r w:rsidR="00BD4DB7">
              <w:rPr>
                <w:noProof/>
                <w:webHidden/>
              </w:rPr>
              <w:fldChar w:fldCharType="separate"/>
            </w:r>
            <w:r w:rsidR="00BD4DB7">
              <w:rPr>
                <w:noProof/>
                <w:webHidden/>
              </w:rPr>
              <w:t>300</w:t>
            </w:r>
            <w:r w:rsidR="00BD4DB7">
              <w:rPr>
                <w:noProof/>
                <w:webHidden/>
              </w:rPr>
              <w:fldChar w:fldCharType="end"/>
            </w:r>
          </w:hyperlink>
        </w:p>
        <w:p w14:paraId="2361E22B" w14:textId="335476DB"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16" w:history="1">
            <w:r w:rsidR="00BD4DB7" w:rsidRPr="0089237F">
              <w:rPr>
                <w:rStyle w:val="Hipervnculo"/>
                <w:noProof/>
              </w:rPr>
              <w:t>Artículo 2.7.2.2. Futuro TES Mediano Plazo.</w:t>
            </w:r>
            <w:r w:rsidR="00BD4DB7">
              <w:rPr>
                <w:noProof/>
                <w:webHidden/>
              </w:rPr>
              <w:tab/>
            </w:r>
            <w:r w:rsidR="00BD4DB7">
              <w:rPr>
                <w:noProof/>
                <w:webHidden/>
              </w:rPr>
              <w:fldChar w:fldCharType="begin"/>
            </w:r>
            <w:r w:rsidR="00BD4DB7">
              <w:rPr>
                <w:noProof/>
                <w:webHidden/>
              </w:rPr>
              <w:instrText xml:space="preserve"> PAGEREF _Toc31716216 \h </w:instrText>
            </w:r>
            <w:r w:rsidR="00BD4DB7">
              <w:rPr>
                <w:noProof/>
                <w:webHidden/>
              </w:rPr>
            </w:r>
            <w:r w:rsidR="00BD4DB7">
              <w:rPr>
                <w:noProof/>
                <w:webHidden/>
              </w:rPr>
              <w:fldChar w:fldCharType="separate"/>
            </w:r>
            <w:r w:rsidR="00BD4DB7">
              <w:rPr>
                <w:noProof/>
                <w:webHidden/>
              </w:rPr>
              <w:t>302</w:t>
            </w:r>
            <w:r w:rsidR="00BD4DB7">
              <w:rPr>
                <w:noProof/>
                <w:webHidden/>
              </w:rPr>
              <w:fldChar w:fldCharType="end"/>
            </w:r>
          </w:hyperlink>
        </w:p>
        <w:p w14:paraId="7D2E4277" w14:textId="1D8AA06F"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17" w:history="1">
            <w:r w:rsidR="00BD4DB7" w:rsidRPr="0089237F">
              <w:rPr>
                <w:rStyle w:val="Hipervnculo"/>
                <w:noProof/>
              </w:rPr>
              <w:t>Artículo 2.7.2.3. Futuro TES Largo Plazo</w:t>
            </w:r>
            <w:r w:rsidR="00BD4DB7" w:rsidRPr="0089237F">
              <w:rPr>
                <w:rStyle w:val="Hipervnculo"/>
                <w:bCs/>
                <w:noProof/>
              </w:rPr>
              <w:t>.</w:t>
            </w:r>
            <w:r w:rsidR="00BD4DB7">
              <w:rPr>
                <w:noProof/>
                <w:webHidden/>
              </w:rPr>
              <w:tab/>
            </w:r>
            <w:r w:rsidR="00BD4DB7">
              <w:rPr>
                <w:noProof/>
                <w:webHidden/>
              </w:rPr>
              <w:fldChar w:fldCharType="begin"/>
            </w:r>
            <w:r w:rsidR="00BD4DB7">
              <w:rPr>
                <w:noProof/>
                <w:webHidden/>
              </w:rPr>
              <w:instrText xml:space="preserve"> PAGEREF _Toc31716217 \h </w:instrText>
            </w:r>
            <w:r w:rsidR="00BD4DB7">
              <w:rPr>
                <w:noProof/>
                <w:webHidden/>
              </w:rPr>
            </w:r>
            <w:r w:rsidR="00BD4DB7">
              <w:rPr>
                <w:noProof/>
                <w:webHidden/>
              </w:rPr>
              <w:fldChar w:fldCharType="separate"/>
            </w:r>
            <w:r w:rsidR="00BD4DB7">
              <w:rPr>
                <w:noProof/>
                <w:webHidden/>
              </w:rPr>
              <w:t>303</w:t>
            </w:r>
            <w:r w:rsidR="00BD4DB7">
              <w:rPr>
                <w:noProof/>
                <w:webHidden/>
              </w:rPr>
              <w:fldChar w:fldCharType="end"/>
            </w:r>
          </w:hyperlink>
        </w:p>
        <w:p w14:paraId="72B8CDEE" w14:textId="3702C631"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18" w:history="1">
            <w:r w:rsidR="00BD4DB7" w:rsidRPr="0089237F">
              <w:rPr>
                <w:rStyle w:val="Hipervnculo"/>
                <w:noProof/>
              </w:rPr>
              <w:t>Artículo 2.7.2.4. Contratos de Futuros sobre Títulos TES de Referencias Específicas</w:t>
            </w:r>
            <w:r w:rsidR="00BD4DB7" w:rsidRPr="0089237F">
              <w:rPr>
                <w:rStyle w:val="Hipervnculo"/>
                <w:bCs/>
                <w:noProof/>
              </w:rPr>
              <w:t>.</w:t>
            </w:r>
            <w:r w:rsidR="00BD4DB7">
              <w:rPr>
                <w:noProof/>
                <w:webHidden/>
              </w:rPr>
              <w:tab/>
            </w:r>
            <w:r w:rsidR="00BD4DB7">
              <w:rPr>
                <w:noProof/>
                <w:webHidden/>
              </w:rPr>
              <w:fldChar w:fldCharType="begin"/>
            </w:r>
            <w:r w:rsidR="00BD4DB7">
              <w:rPr>
                <w:noProof/>
                <w:webHidden/>
              </w:rPr>
              <w:instrText xml:space="preserve"> PAGEREF _Toc31716218 \h </w:instrText>
            </w:r>
            <w:r w:rsidR="00BD4DB7">
              <w:rPr>
                <w:noProof/>
                <w:webHidden/>
              </w:rPr>
            </w:r>
            <w:r w:rsidR="00BD4DB7">
              <w:rPr>
                <w:noProof/>
                <w:webHidden/>
              </w:rPr>
              <w:fldChar w:fldCharType="separate"/>
            </w:r>
            <w:r w:rsidR="00BD4DB7">
              <w:rPr>
                <w:noProof/>
                <w:webHidden/>
              </w:rPr>
              <w:t>304</w:t>
            </w:r>
            <w:r w:rsidR="00BD4DB7">
              <w:rPr>
                <w:noProof/>
                <w:webHidden/>
              </w:rPr>
              <w:fldChar w:fldCharType="end"/>
            </w:r>
          </w:hyperlink>
        </w:p>
        <w:p w14:paraId="36C129A9" w14:textId="30C851C0"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19" w:history="1">
            <w:r w:rsidR="00BD4DB7" w:rsidRPr="0089237F">
              <w:rPr>
                <w:rStyle w:val="Hipervnculo"/>
                <w:noProof/>
              </w:rPr>
              <w:t>Artículo 2.7.2.5.   Futuro de Tasa de Cambio Dólar/Peso.</w:t>
            </w:r>
            <w:r w:rsidR="00BD4DB7">
              <w:rPr>
                <w:noProof/>
                <w:webHidden/>
              </w:rPr>
              <w:tab/>
            </w:r>
            <w:r w:rsidR="00BD4DB7">
              <w:rPr>
                <w:noProof/>
                <w:webHidden/>
              </w:rPr>
              <w:fldChar w:fldCharType="begin"/>
            </w:r>
            <w:r w:rsidR="00BD4DB7">
              <w:rPr>
                <w:noProof/>
                <w:webHidden/>
              </w:rPr>
              <w:instrText xml:space="preserve"> PAGEREF _Toc31716219 \h </w:instrText>
            </w:r>
            <w:r w:rsidR="00BD4DB7">
              <w:rPr>
                <w:noProof/>
                <w:webHidden/>
              </w:rPr>
            </w:r>
            <w:r w:rsidR="00BD4DB7">
              <w:rPr>
                <w:noProof/>
                <w:webHidden/>
              </w:rPr>
              <w:fldChar w:fldCharType="separate"/>
            </w:r>
            <w:r w:rsidR="00BD4DB7">
              <w:rPr>
                <w:noProof/>
                <w:webHidden/>
              </w:rPr>
              <w:t>305</w:t>
            </w:r>
            <w:r w:rsidR="00BD4DB7">
              <w:rPr>
                <w:noProof/>
                <w:webHidden/>
              </w:rPr>
              <w:fldChar w:fldCharType="end"/>
            </w:r>
          </w:hyperlink>
        </w:p>
        <w:p w14:paraId="2B67F829" w14:textId="79F97B1F"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20" w:history="1">
            <w:r w:rsidR="00BD4DB7" w:rsidRPr="0089237F">
              <w:rPr>
                <w:rStyle w:val="Hipervnculo"/>
                <w:noProof/>
              </w:rPr>
              <w:t>Artículo 2.7.2.6.  Mini Contrato de Futuro de Tasa de Cambio Dólar/Peso.</w:t>
            </w:r>
            <w:r w:rsidR="00BD4DB7">
              <w:rPr>
                <w:noProof/>
                <w:webHidden/>
              </w:rPr>
              <w:tab/>
            </w:r>
            <w:r w:rsidR="00BD4DB7">
              <w:rPr>
                <w:noProof/>
                <w:webHidden/>
              </w:rPr>
              <w:fldChar w:fldCharType="begin"/>
            </w:r>
            <w:r w:rsidR="00BD4DB7">
              <w:rPr>
                <w:noProof/>
                <w:webHidden/>
              </w:rPr>
              <w:instrText xml:space="preserve"> PAGEREF _Toc31716220 \h </w:instrText>
            </w:r>
            <w:r w:rsidR="00BD4DB7">
              <w:rPr>
                <w:noProof/>
                <w:webHidden/>
              </w:rPr>
            </w:r>
            <w:r w:rsidR="00BD4DB7">
              <w:rPr>
                <w:noProof/>
                <w:webHidden/>
              </w:rPr>
              <w:fldChar w:fldCharType="separate"/>
            </w:r>
            <w:r w:rsidR="00BD4DB7">
              <w:rPr>
                <w:noProof/>
                <w:webHidden/>
              </w:rPr>
              <w:t>306</w:t>
            </w:r>
            <w:r w:rsidR="00BD4DB7">
              <w:rPr>
                <w:noProof/>
                <w:webHidden/>
              </w:rPr>
              <w:fldChar w:fldCharType="end"/>
            </w:r>
          </w:hyperlink>
        </w:p>
        <w:p w14:paraId="4EA80679" w14:textId="6720E95B"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21" w:history="1">
            <w:r w:rsidR="00BD4DB7" w:rsidRPr="0089237F">
              <w:rPr>
                <w:rStyle w:val="Hipervnculo"/>
                <w:noProof/>
              </w:rPr>
              <w:t>Artículo 2.7.2.7. Contrato de Opción sobre la TRM.</w:t>
            </w:r>
            <w:r w:rsidR="00BD4DB7">
              <w:rPr>
                <w:noProof/>
                <w:webHidden/>
              </w:rPr>
              <w:tab/>
            </w:r>
            <w:r w:rsidR="00BD4DB7">
              <w:rPr>
                <w:noProof/>
                <w:webHidden/>
              </w:rPr>
              <w:fldChar w:fldCharType="begin"/>
            </w:r>
            <w:r w:rsidR="00BD4DB7">
              <w:rPr>
                <w:noProof/>
                <w:webHidden/>
              </w:rPr>
              <w:instrText xml:space="preserve"> PAGEREF _Toc31716221 \h </w:instrText>
            </w:r>
            <w:r w:rsidR="00BD4DB7">
              <w:rPr>
                <w:noProof/>
                <w:webHidden/>
              </w:rPr>
            </w:r>
            <w:r w:rsidR="00BD4DB7">
              <w:rPr>
                <w:noProof/>
                <w:webHidden/>
              </w:rPr>
              <w:fldChar w:fldCharType="separate"/>
            </w:r>
            <w:r w:rsidR="00BD4DB7">
              <w:rPr>
                <w:noProof/>
                <w:webHidden/>
              </w:rPr>
              <w:t>308</w:t>
            </w:r>
            <w:r w:rsidR="00BD4DB7">
              <w:rPr>
                <w:noProof/>
                <w:webHidden/>
              </w:rPr>
              <w:fldChar w:fldCharType="end"/>
            </w:r>
          </w:hyperlink>
        </w:p>
        <w:p w14:paraId="1F0D3809" w14:textId="1B6F0FA0"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22" w:history="1">
            <w:r w:rsidR="00BD4DB7" w:rsidRPr="0089237F">
              <w:rPr>
                <w:rStyle w:val="Hipervnculo"/>
                <w:noProof/>
              </w:rPr>
              <w:t>Artículo 2.7.2.8. Contrato de Futuro sobre Acciones del Índice COLCAP con Liquidación por Entrega.</w:t>
            </w:r>
            <w:r w:rsidR="00BD4DB7">
              <w:rPr>
                <w:noProof/>
                <w:webHidden/>
              </w:rPr>
              <w:tab/>
            </w:r>
            <w:r w:rsidR="00BD4DB7">
              <w:rPr>
                <w:noProof/>
                <w:webHidden/>
              </w:rPr>
              <w:fldChar w:fldCharType="begin"/>
            </w:r>
            <w:r w:rsidR="00BD4DB7">
              <w:rPr>
                <w:noProof/>
                <w:webHidden/>
              </w:rPr>
              <w:instrText xml:space="preserve"> PAGEREF _Toc31716222 \h </w:instrText>
            </w:r>
            <w:r w:rsidR="00BD4DB7">
              <w:rPr>
                <w:noProof/>
                <w:webHidden/>
              </w:rPr>
            </w:r>
            <w:r w:rsidR="00BD4DB7">
              <w:rPr>
                <w:noProof/>
                <w:webHidden/>
              </w:rPr>
              <w:fldChar w:fldCharType="separate"/>
            </w:r>
            <w:r w:rsidR="00BD4DB7">
              <w:rPr>
                <w:noProof/>
                <w:webHidden/>
              </w:rPr>
              <w:t>310</w:t>
            </w:r>
            <w:r w:rsidR="00BD4DB7">
              <w:rPr>
                <w:noProof/>
                <w:webHidden/>
              </w:rPr>
              <w:fldChar w:fldCharType="end"/>
            </w:r>
          </w:hyperlink>
        </w:p>
        <w:p w14:paraId="592B7035" w14:textId="1F663CA7"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23" w:history="1">
            <w:r w:rsidR="00BD4DB7" w:rsidRPr="0089237F">
              <w:rPr>
                <w:rStyle w:val="Hipervnculo"/>
                <w:noProof/>
              </w:rPr>
              <w:t>Artículo 2.7.2.9. Aplicación del LOLE de los Contratos de Futuro sobre Acciones del Índice COLCAP con Liquidación por Entrega</w:t>
            </w:r>
            <w:r w:rsidR="00BD4DB7">
              <w:rPr>
                <w:noProof/>
                <w:webHidden/>
              </w:rPr>
              <w:tab/>
            </w:r>
            <w:r w:rsidR="00BD4DB7">
              <w:rPr>
                <w:noProof/>
                <w:webHidden/>
              </w:rPr>
              <w:fldChar w:fldCharType="begin"/>
            </w:r>
            <w:r w:rsidR="00BD4DB7">
              <w:rPr>
                <w:noProof/>
                <w:webHidden/>
              </w:rPr>
              <w:instrText xml:space="preserve"> PAGEREF _Toc31716223 \h </w:instrText>
            </w:r>
            <w:r w:rsidR="00BD4DB7">
              <w:rPr>
                <w:noProof/>
                <w:webHidden/>
              </w:rPr>
            </w:r>
            <w:r w:rsidR="00BD4DB7">
              <w:rPr>
                <w:noProof/>
                <w:webHidden/>
              </w:rPr>
              <w:fldChar w:fldCharType="separate"/>
            </w:r>
            <w:r w:rsidR="00BD4DB7">
              <w:rPr>
                <w:noProof/>
                <w:webHidden/>
              </w:rPr>
              <w:t>314</w:t>
            </w:r>
            <w:r w:rsidR="00BD4DB7">
              <w:rPr>
                <w:noProof/>
                <w:webHidden/>
              </w:rPr>
              <w:fldChar w:fldCharType="end"/>
            </w:r>
          </w:hyperlink>
        </w:p>
        <w:p w14:paraId="727C9145" w14:textId="6F0804A8"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24" w:history="1">
            <w:r w:rsidR="00BD4DB7" w:rsidRPr="0089237F">
              <w:rPr>
                <w:rStyle w:val="Hipervnculo"/>
                <w:noProof/>
              </w:rPr>
              <w:t>Artículo 2.7.2.10. Opción sobre la acción de Ecopetrol.</w:t>
            </w:r>
            <w:r w:rsidR="00BD4DB7">
              <w:rPr>
                <w:noProof/>
                <w:webHidden/>
              </w:rPr>
              <w:tab/>
            </w:r>
            <w:r w:rsidR="00BD4DB7">
              <w:rPr>
                <w:noProof/>
                <w:webHidden/>
              </w:rPr>
              <w:fldChar w:fldCharType="begin"/>
            </w:r>
            <w:r w:rsidR="00BD4DB7">
              <w:rPr>
                <w:noProof/>
                <w:webHidden/>
              </w:rPr>
              <w:instrText xml:space="preserve"> PAGEREF _Toc31716224 \h </w:instrText>
            </w:r>
            <w:r w:rsidR="00BD4DB7">
              <w:rPr>
                <w:noProof/>
                <w:webHidden/>
              </w:rPr>
            </w:r>
            <w:r w:rsidR="00BD4DB7">
              <w:rPr>
                <w:noProof/>
                <w:webHidden/>
              </w:rPr>
              <w:fldChar w:fldCharType="separate"/>
            </w:r>
            <w:r w:rsidR="00BD4DB7">
              <w:rPr>
                <w:noProof/>
                <w:webHidden/>
              </w:rPr>
              <w:t>315</w:t>
            </w:r>
            <w:r w:rsidR="00BD4DB7">
              <w:rPr>
                <w:noProof/>
                <w:webHidden/>
              </w:rPr>
              <w:fldChar w:fldCharType="end"/>
            </w:r>
          </w:hyperlink>
        </w:p>
        <w:p w14:paraId="2FDDF31D" w14:textId="11BA9CBC"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25" w:history="1">
            <w:r w:rsidR="00BD4DB7" w:rsidRPr="0089237F">
              <w:rPr>
                <w:rStyle w:val="Hipervnculo"/>
                <w:noProof/>
                <w:lang w:eastAsia="es-CO"/>
              </w:rPr>
              <w:t>La constitución de las garantías deberá llevarse a cabo de conformidad con lo previsto en los artículos 1.6.4.3., 1.6.4.4. y 1.6.4.5. de la presente Circular.</w:t>
            </w:r>
            <w:r w:rsidR="00BD4DB7">
              <w:rPr>
                <w:noProof/>
                <w:webHidden/>
              </w:rPr>
              <w:tab/>
            </w:r>
            <w:r w:rsidR="00BD4DB7">
              <w:rPr>
                <w:noProof/>
                <w:webHidden/>
              </w:rPr>
              <w:fldChar w:fldCharType="begin"/>
            </w:r>
            <w:r w:rsidR="00BD4DB7">
              <w:rPr>
                <w:noProof/>
                <w:webHidden/>
              </w:rPr>
              <w:instrText xml:space="preserve"> PAGEREF _Toc31716225 \h </w:instrText>
            </w:r>
            <w:r w:rsidR="00BD4DB7">
              <w:rPr>
                <w:noProof/>
                <w:webHidden/>
              </w:rPr>
            </w:r>
            <w:r w:rsidR="00BD4DB7">
              <w:rPr>
                <w:noProof/>
                <w:webHidden/>
              </w:rPr>
              <w:fldChar w:fldCharType="separate"/>
            </w:r>
            <w:r w:rsidR="00BD4DB7">
              <w:rPr>
                <w:noProof/>
                <w:webHidden/>
              </w:rPr>
              <w:t>318</w:t>
            </w:r>
            <w:r w:rsidR="00BD4DB7">
              <w:rPr>
                <w:noProof/>
                <w:webHidden/>
              </w:rPr>
              <w:fldChar w:fldCharType="end"/>
            </w:r>
          </w:hyperlink>
        </w:p>
        <w:p w14:paraId="70C45A80" w14:textId="31421E50"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26" w:history="1">
            <w:r w:rsidR="00BD4DB7" w:rsidRPr="0089237F">
              <w:rPr>
                <w:rStyle w:val="Hipervnculo"/>
                <w:noProof/>
              </w:rPr>
              <w:t>Artículo 2.7.2.11. Opción sobre la acción Preferencial Bancolombia.</w:t>
            </w:r>
            <w:r w:rsidR="00BD4DB7">
              <w:rPr>
                <w:noProof/>
                <w:webHidden/>
              </w:rPr>
              <w:tab/>
            </w:r>
            <w:r w:rsidR="00BD4DB7">
              <w:rPr>
                <w:noProof/>
                <w:webHidden/>
              </w:rPr>
              <w:fldChar w:fldCharType="begin"/>
            </w:r>
            <w:r w:rsidR="00BD4DB7">
              <w:rPr>
                <w:noProof/>
                <w:webHidden/>
              </w:rPr>
              <w:instrText xml:space="preserve"> PAGEREF _Toc31716226 \h </w:instrText>
            </w:r>
            <w:r w:rsidR="00BD4DB7">
              <w:rPr>
                <w:noProof/>
                <w:webHidden/>
              </w:rPr>
            </w:r>
            <w:r w:rsidR="00BD4DB7">
              <w:rPr>
                <w:noProof/>
                <w:webHidden/>
              </w:rPr>
              <w:fldChar w:fldCharType="separate"/>
            </w:r>
            <w:r w:rsidR="00BD4DB7">
              <w:rPr>
                <w:noProof/>
                <w:webHidden/>
              </w:rPr>
              <w:t>318</w:t>
            </w:r>
            <w:r w:rsidR="00BD4DB7">
              <w:rPr>
                <w:noProof/>
                <w:webHidden/>
              </w:rPr>
              <w:fldChar w:fldCharType="end"/>
            </w:r>
          </w:hyperlink>
        </w:p>
        <w:p w14:paraId="37D0DED4" w14:textId="3F4E207B"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27" w:history="1">
            <w:r w:rsidR="00BD4DB7" w:rsidRPr="0089237F">
              <w:rPr>
                <w:rStyle w:val="Hipervnculo"/>
                <w:noProof/>
                <w:lang w:eastAsia="es-CO"/>
              </w:rPr>
              <w:t>La constitución de las garantías deberá llevarse a cabo de conformidad con lo previsto en los artículos 1.6.4.3., 1.6.4.4. y 1.6.4.5. de la presente Circular.</w:t>
            </w:r>
            <w:r w:rsidR="00BD4DB7">
              <w:rPr>
                <w:noProof/>
                <w:webHidden/>
              </w:rPr>
              <w:tab/>
            </w:r>
            <w:r w:rsidR="00BD4DB7">
              <w:rPr>
                <w:noProof/>
                <w:webHidden/>
              </w:rPr>
              <w:fldChar w:fldCharType="begin"/>
            </w:r>
            <w:r w:rsidR="00BD4DB7">
              <w:rPr>
                <w:noProof/>
                <w:webHidden/>
              </w:rPr>
              <w:instrText xml:space="preserve"> PAGEREF _Toc31716227 \h </w:instrText>
            </w:r>
            <w:r w:rsidR="00BD4DB7">
              <w:rPr>
                <w:noProof/>
                <w:webHidden/>
              </w:rPr>
            </w:r>
            <w:r w:rsidR="00BD4DB7">
              <w:rPr>
                <w:noProof/>
                <w:webHidden/>
              </w:rPr>
              <w:fldChar w:fldCharType="separate"/>
            </w:r>
            <w:r w:rsidR="00BD4DB7">
              <w:rPr>
                <w:noProof/>
                <w:webHidden/>
              </w:rPr>
              <w:t>322</w:t>
            </w:r>
            <w:r w:rsidR="00BD4DB7">
              <w:rPr>
                <w:noProof/>
                <w:webHidden/>
              </w:rPr>
              <w:fldChar w:fldCharType="end"/>
            </w:r>
          </w:hyperlink>
        </w:p>
        <w:p w14:paraId="63014E72" w14:textId="5E3B19D1"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28" w:history="1">
            <w:r w:rsidR="00BD4DB7" w:rsidRPr="0089237F">
              <w:rPr>
                <w:rStyle w:val="Hipervnculo"/>
                <w:noProof/>
              </w:rPr>
              <w:t>Artículo 2.7.2.12. Contrato Futuro sobre Electricidad Mensual.</w:t>
            </w:r>
            <w:r w:rsidR="00BD4DB7">
              <w:rPr>
                <w:noProof/>
                <w:webHidden/>
              </w:rPr>
              <w:tab/>
            </w:r>
            <w:r w:rsidR="00BD4DB7">
              <w:rPr>
                <w:noProof/>
                <w:webHidden/>
              </w:rPr>
              <w:fldChar w:fldCharType="begin"/>
            </w:r>
            <w:r w:rsidR="00BD4DB7">
              <w:rPr>
                <w:noProof/>
                <w:webHidden/>
              </w:rPr>
              <w:instrText xml:space="preserve"> PAGEREF _Toc31716228 \h </w:instrText>
            </w:r>
            <w:r w:rsidR="00BD4DB7">
              <w:rPr>
                <w:noProof/>
                <w:webHidden/>
              </w:rPr>
            </w:r>
            <w:r w:rsidR="00BD4DB7">
              <w:rPr>
                <w:noProof/>
                <w:webHidden/>
              </w:rPr>
              <w:fldChar w:fldCharType="separate"/>
            </w:r>
            <w:r w:rsidR="00BD4DB7">
              <w:rPr>
                <w:noProof/>
                <w:webHidden/>
              </w:rPr>
              <w:t>322</w:t>
            </w:r>
            <w:r w:rsidR="00BD4DB7">
              <w:rPr>
                <w:noProof/>
                <w:webHidden/>
              </w:rPr>
              <w:fldChar w:fldCharType="end"/>
            </w:r>
          </w:hyperlink>
        </w:p>
        <w:p w14:paraId="442B46AD" w14:textId="2EBA6C6D"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29" w:history="1">
            <w:r w:rsidR="00BD4DB7" w:rsidRPr="0089237F">
              <w:rPr>
                <w:rStyle w:val="Hipervnculo"/>
                <w:noProof/>
              </w:rPr>
              <w:t>Artículo 2.7.2.13. Contrato Mini de Futuro sobre Electricidad Mensual.</w:t>
            </w:r>
            <w:r w:rsidR="00BD4DB7">
              <w:rPr>
                <w:noProof/>
                <w:webHidden/>
              </w:rPr>
              <w:tab/>
            </w:r>
            <w:r w:rsidR="00BD4DB7">
              <w:rPr>
                <w:noProof/>
                <w:webHidden/>
              </w:rPr>
              <w:fldChar w:fldCharType="begin"/>
            </w:r>
            <w:r w:rsidR="00BD4DB7">
              <w:rPr>
                <w:noProof/>
                <w:webHidden/>
              </w:rPr>
              <w:instrText xml:space="preserve"> PAGEREF _Toc31716229 \h </w:instrText>
            </w:r>
            <w:r w:rsidR="00BD4DB7">
              <w:rPr>
                <w:noProof/>
                <w:webHidden/>
              </w:rPr>
            </w:r>
            <w:r w:rsidR="00BD4DB7">
              <w:rPr>
                <w:noProof/>
                <w:webHidden/>
              </w:rPr>
              <w:fldChar w:fldCharType="separate"/>
            </w:r>
            <w:r w:rsidR="00BD4DB7">
              <w:rPr>
                <w:noProof/>
                <w:webHidden/>
              </w:rPr>
              <w:t>323</w:t>
            </w:r>
            <w:r w:rsidR="00BD4DB7">
              <w:rPr>
                <w:noProof/>
                <w:webHidden/>
              </w:rPr>
              <w:fldChar w:fldCharType="end"/>
            </w:r>
          </w:hyperlink>
        </w:p>
        <w:p w14:paraId="4B433DD4" w14:textId="5546AB33"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30" w:history="1">
            <w:r w:rsidR="00BD4DB7" w:rsidRPr="0089237F">
              <w:rPr>
                <w:rStyle w:val="Hipervnculo"/>
                <w:noProof/>
              </w:rPr>
              <w:t>Artículo 2.7.2.14. Contratos de Futuros Índice Accionario COLCAP.</w:t>
            </w:r>
            <w:r w:rsidR="00BD4DB7">
              <w:rPr>
                <w:noProof/>
                <w:webHidden/>
              </w:rPr>
              <w:tab/>
            </w:r>
            <w:r w:rsidR="00BD4DB7">
              <w:rPr>
                <w:noProof/>
                <w:webHidden/>
              </w:rPr>
              <w:fldChar w:fldCharType="begin"/>
            </w:r>
            <w:r w:rsidR="00BD4DB7">
              <w:rPr>
                <w:noProof/>
                <w:webHidden/>
              </w:rPr>
              <w:instrText xml:space="preserve"> PAGEREF _Toc31716230 \h </w:instrText>
            </w:r>
            <w:r w:rsidR="00BD4DB7">
              <w:rPr>
                <w:noProof/>
                <w:webHidden/>
              </w:rPr>
            </w:r>
            <w:r w:rsidR="00BD4DB7">
              <w:rPr>
                <w:noProof/>
                <w:webHidden/>
              </w:rPr>
              <w:fldChar w:fldCharType="separate"/>
            </w:r>
            <w:r w:rsidR="00BD4DB7">
              <w:rPr>
                <w:noProof/>
                <w:webHidden/>
              </w:rPr>
              <w:t>324</w:t>
            </w:r>
            <w:r w:rsidR="00BD4DB7">
              <w:rPr>
                <w:noProof/>
                <w:webHidden/>
              </w:rPr>
              <w:fldChar w:fldCharType="end"/>
            </w:r>
          </w:hyperlink>
        </w:p>
        <w:p w14:paraId="6DA7C5D4" w14:textId="52A5FBA8"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31" w:history="1">
            <w:r w:rsidR="00BD4DB7" w:rsidRPr="0089237F">
              <w:rPr>
                <w:rStyle w:val="Hipervnculo"/>
                <w:rFonts w:eastAsia="Calibri" w:cs="Arial Narrow"/>
                <w:noProof/>
              </w:rPr>
              <w:t>La constitución de las garantías deberá llevarse a cabo de conformidad con lo previsto en los artículos 1.6.4.3., 1.6.4.4. y 1.6.4.5. de la presente Circular.</w:t>
            </w:r>
            <w:r w:rsidR="00BD4DB7">
              <w:rPr>
                <w:noProof/>
                <w:webHidden/>
              </w:rPr>
              <w:tab/>
            </w:r>
            <w:r w:rsidR="00BD4DB7">
              <w:rPr>
                <w:noProof/>
                <w:webHidden/>
              </w:rPr>
              <w:fldChar w:fldCharType="begin"/>
            </w:r>
            <w:r w:rsidR="00BD4DB7">
              <w:rPr>
                <w:noProof/>
                <w:webHidden/>
              </w:rPr>
              <w:instrText xml:space="preserve"> PAGEREF _Toc31716231 \h </w:instrText>
            </w:r>
            <w:r w:rsidR="00BD4DB7">
              <w:rPr>
                <w:noProof/>
                <w:webHidden/>
              </w:rPr>
            </w:r>
            <w:r w:rsidR="00BD4DB7">
              <w:rPr>
                <w:noProof/>
                <w:webHidden/>
              </w:rPr>
              <w:fldChar w:fldCharType="separate"/>
            </w:r>
            <w:r w:rsidR="00BD4DB7">
              <w:rPr>
                <w:noProof/>
                <w:webHidden/>
              </w:rPr>
              <w:t>326</w:t>
            </w:r>
            <w:r w:rsidR="00BD4DB7">
              <w:rPr>
                <w:noProof/>
                <w:webHidden/>
              </w:rPr>
              <w:fldChar w:fldCharType="end"/>
            </w:r>
          </w:hyperlink>
        </w:p>
        <w:p w14:paraId="585D51B9" w14:textId="5E06AE91"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32" w:history="1">
            <w:r w:rsidR="00BD4DB7" w:rsidRPr="0089237F">
              <w:rPr>
                <w:rStyle w:val="Hipervnculo"/>
                <w:noProof/>
              </w:rPr>
              <w:t>Artículo 2.7.2.15. Contrato de Futuro de Inflación.</w:t>
            </w:r>
            <w:r w:rsidR="00BD4DB7">
              <w:rPr>
                <w:noProof/>
                <w:webHidden/>
              </w:rPr>
              <w:tab/>
            </w:r>
            <w:r w:rsidR="00BD4DB7">
              <w:rPr>
                <w:noProof/>
                <w:webHidden/>
              </w:rPr>
              <w:fldChar w:fldCharType="begin"/>
            </w:r>
            <w:r w:rsidR="00BD4DB7">
              <w:rPr>
                <w:noProof/>
                <w:webHidden/>
              </w:rPr>
              <w:instrText xml:space="preserve"> PAGEREF _Toc31716232 \h </w:instrText>
            </w:r>
            <w:r w:rsidR="00BD4DB7">
              <w:rPr>
                <w:noProof/>
                <w:webHidden/>
              </w:rPr>
            </w:r>
            <w:r w:rsidR="00BD4DB7">
              <w:rPr>
                <w:noProof/>
                <w:webHidden/>
              </w:rPr>
              <w:fldChar w:fldCharType="separate"/>
            </w:r>
            <w:r w:rsidR="00BD4DB7">
              <w:rPr>
                <w:noProof/>
                <w:webHidden/>
              </w:rPr>
              <w:t>326</w:t>
            </w:r>
            <w:r w:rsidR="00BD4DB7">
              <w:rPr>
                <w:noProof/>
                <w:webHidden/>
              </w:rPr>
              <w:fldChar w:fldCharType="end"/>
            </w:r>
          </w:hyperlink>
        </w:p>
        <w:p w14:paraId="0F14FBDA" w14:textId="1EB95B42"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33" w:history="1">
            <w:r w:rsidR="00BD4DB7" w:rsidRPr="0089237F">
              <w:rPr>
                <w:rStyle w:val="Hipervnculo"/>
                <w:noProof/>
              </w:rPr>
              <w:t>Artículo 2.7.2.16. Futuro sobre la Acción de Pacific Rubiales.</w:t>
            </w:r>
            <w:r w:rsidR="00BD4DB7">
              <w:rPr>
                <w:noProof/>
                <w:webHidden/>
              </w:rPr>
              <w:tab/>
            </w:r>
            <w:r w:rsidR="00BD4DB7">
              <w:rPr>
                <w:noProof/>
                <w:webHidden/>
              </w:rPr>
              <w:fldChar w:fldCharType="begin"/>
            </w:r>
            <w:r w:rsidR="00BD4DB7">
              <w:rPr>
                <w:noProof/>
                <w:webHidden/>
              </w:rPr>
              <w:instrText xml:space="preserve"> PAGEREF _Toc31716233 \h </w:instrText>
            </w:r>
            <w:r w:rsidR="00BD4DB7">
              <w:rPr>
                <w:noProof/>
                <w:webHidden/>
              </w:rPr>
            </w:r>
            <w:r w:rsidR="00BD4DB7">
              <w:rPr>
                <w:noProof/>
                <w:webHidden/>
              </w:rPr>
              <w:fldChar w:fldCharType="separate"/>
            </w:r>
            <w:r w:rsidR="00BD4DB7">
              <w:rPr>
                <w:noProof/>
                <w:webHidden/>
              </w:rPr>
              <w:t>327</w:t>
            </w:r>
            <w:r w:rsidR="00BD4DB7">
              <w:rPr>
                <w:noProof/>
                <w:webHidden/>
              </w:rPr>
              <w:fldChar w:fldCharType="end"/>
            </w:r>
          </w:hyperlink>
        </w:p>
        <w:p w14:paraId="330EA546" w14:textId="6D0B113E"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34" w:history="1">
            <w:r w:rsidR="00BD4DB7" w:rsidRPr="0089237F">
              <w:rPr>
                <w:rStyle w:val="Hipervnculo"/>
                <w:noProof/>
              </w:rPr>
              <w:t>Artículo 2.7.2.17. Contrato de Futuro sobre Acciones del Índice COLCAP con Liquidación por Diferencias.</w:t>
            </w:r>
            <w:r w:rsidR="00BD4DB7">
              <w:rPr>
                <w:noProof/>
                <w:webHidden/>
              </w:rPr>
              <w:tab/>
            </w:r>
            <w:r w:rsidR="00BD4DB7">
              <w:rPr>
                <w:noProof/>
                <w:webHidden/>
              </w:rPr>
              <w:fldChar w:fldCharType="begin"/>
            </w:r>
            <w:r w:rsidR="00BD4DB7">
              <w:rPr>
                <w:noProof/>
                <w:webHidden/>
              </w:rPr>
              <w:instrText xml:space="preserve"> PAGEREF _Toc31716234 \h </w:instrText>
            </w:r>
            <w:r w:rsidR="00BD4DB7">
              <w:rPr>
                <w:noProof/>
                <w:webHidden/>
              </w:rPr>
            </w:r>
            <w:r w:rsidR="00BD4DB7">
              <w:rPr>
                <w:noProof/>
                <w:webHidden/>
              </w:rPr>
              <w:fldChar w:fldCharType="separate"/>
            </w:r>
            <w:r w:rsidR="00BD4DB7">
              <w:rPr>
                <w:noProof/>
                <w:webHidden/>
              </w:rPr>
              <w:t>328</w:t>
            </w:r>
            <w:r w:rsidR="00BD4DB7">
              <w:rPr>
                <w:noProof/>
                <w:webHidden/>
              </w:rPr>
              <w:fldChar w:fldCharType="end"/>
            </w:r>
          </w:hyperlink>
        </w:p>
        <w:p w14:paraId="53E7486B" w14:textId="02078EF0"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35" w:history="1">
            <w:r w:rsidR="00BD4DB7" w:rsidRPr="0089237F">
              <w:rPr>
                <w:rStyle w:val="Hipervnculo"/>
                <w:rFonts w:eastAsia="Calibri"/>
                <w:noProof/>
              </w:rPr>
              <w:t>La constitución de las garantías deberá llevarse a cabo de conformidad con lo previsto en los artículos 1.6.4.3., 1.6.4.4. y 1.6.4.5. de la presente Circular.</w:t>
            </w:r>
            <w:r w:rsidR="00BD4DB7">
              <w:rPr>
                <w:noProof/>
                <w:webHidden/>
              </w:rPr>
              <w:tab/>
            </w:r>
            <w:r w:rsidR="00BD4DB7">
              <w:rPr>
                <w:noProof/>
                <w:webHidden/>
              </w:rPr>
              <w:fldChar w:fldCharType="begin"/>
            </w:r>
            <w:r w:rsidR="00BD4DB7">
              <w:rPr>
                <w:noProof/>
                <w:webHidden/>
              </w:rPr>
              <w:instrText xml:space="preserve"> PAGEREF _Toc31716235 \h </w:instrText>
            </w:r>
            <w:r w:rsidR="00BD4DB7">
              <w:rPr>
                <w:noProof/>
                <w:webHidden/>
              </w:rPr>
            </w:r>
            <w:r w:rsidR="00BD4DB7">
              <w:rPr>
                <w:noProof/>
                <w:webHidden/>
              </w:rPr>
              <w:fldChar w:fldCharType="separate"/>
            </w:r>
            <w:r w:rsidR="00BD4DB7">
              <w:rPr>
                <w:noProof/>
                <w:webHidden/>
              </w:rPr>
              <w:t>331</w:t>
            </w:r>
            <w:r w:rsidR="00BD4DB7">
              <w:rPr>
                <w:noProof/>
                <w:webHidden/>
              </w:rPr>
              <w:fldChar w:fldCharType="end"/>
            </w:r>
          </w:hyperlink>
        </w:p>
        <w:p w14:paraId="6AD2107A" w14:textId="37AD9D84"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36" w:history="1">
            <w:r w:rsidR="00BD4DB7" w:rsidRPr="0089237F">
              <w:rPr>
                <w:rStyle w:val="Hipervnculo"/>
                <w:noProof/>
              </w:rPr>
              <w:t>Artículo 2.7.2.18. Opción sobre la acción Preferencial Aval.</w:t>
            </w:r>
            <w:r w:rsidR="00BD4DB7">
              <w:rPr>
                <w:noProof/>
                <w:webHidden/>
              </w:rPr>
              <w:tab/>
            </w:r>
            <w:r w:rsidR="00BD4DB7">
              <w:rPr>
                <w:noProof/>
                <w:webHidden/>
              </w:rPr>
              <w:fldChar w:fldCharType="begin"/>
            </w:r>
            <w:r w:rsidR="00BD4DB7">
              <w:rPr>
                <w:noProof/>
                <w:webHidden/>
              </w:rPr>
              <w:instrText xml:space="preserve"> PAGEREF _Toc31716236 \h </w:instrText>
            </w:r>
            <w:r w:rsidR="00BD4DB7">
              <w:rPr>
                <w:noProof/>
                <w:webHidden/>
              </w:rPr>
            </w:r>
            <w:r w:rsidR="00BD4DB7">
              <w:rPr>
                <w:noProof/>
                <w:webHidden/>
              </w:rPr>
              <w:fldChar w:fldCharType="separate"/>
            </w:r>
            <w:r w:rsidR="00BD4DB7">
              <w:rPr>
                <w:noProof/>
                <w:webHidden/>
              </w:rPr>
              <w:t>331</w:t>
            </w:r>
            <w:r w:rsidR="00BD4DB7">
              <w:rPr>
                <w:noProof/>
                <w:webHidden/>
              </w:rPr>
              <w:fldChar w:fldCharType="end"/>
            </w:r>
          </w:hyperlink>
        </w:p>
        <w:p w14:paraId="17CF0FD5" w14:textId="6A386AB0"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37" w:history="1">
            <w:r w:rsidR="00BD4DB7" w:rsidRPr="0089237F">
              <w:rPr>
                <w:rStyle w:val="Hipervnculo"/>
                <w:noProof/>
              </w:rPr>
              <w:t>Artículo 2.7.2.19. Contrato de Futuro OIS.</w:t>
            </w:r>
            <w:r w:rsidR="00BD4DB7">
              <w:rPr>
                <w:noProof/>
                <w:webHidden/>
              </w:rPr>
              <w:tab/>
            </w:r>
            <w:r w:rsidR="00BD4DB7">
              <w:rPr>
                <w:noProof/>
                <w:webHidden/>
              </w:rPr>
              <w:fldChar w:fldCharType="begin"/>
            </w:r>
            <w:r w:rsidR="00BD4DB7">
              <w:rPr>
                <w:noProof/>
                <w:webHidden/>
              </w:rPr>
              <w:instrText xml:space="preserve"> PAGEREF _Toc31716237 \h </w:instrText>
            </w:r>
            <w:r w:rsidR="00BD4DB7">
              <w:rPr>
                <w:noProof/>
                <w:webHidden/>
              </w:rPr>
            </w:r>
            <w:r w:rsidR="00BD4DB7">
              <w:rPr>
                <w:noProof/>
                <w:webHidden/>
              </w:rPr>
              <w:fldChar w:fldCharType="separate"/>
            </w:r>
            <w:r w:rsidR="00BD4DB7">
              <w:rPr>
                <w:noProof/>
                <w:webHidden/>
              </w:rPr>
              <w:t>335</w:t>
            </w:r>
            <w:r w:rsidR="00BD4DB7">
              <w:rPr>
                <w:noProof/>
                <w:webHidden/>
              </w:rPr>
              <w:fldChar w:fldCharType="end"/>
            </w:r>
          </w:hyperlink>
        </w:p>
        <w:p w14:paraId="7D9F2D6D" w14:textId="2D102BD1"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38" w:history="1">
            <w:r w:rsidR="00BD4DB7" w:rsidRPr="0089237F">
              <w:rPr>
                <w:rStyle w:val="Hipervnculo"/>
                <w:noProof/>
              </w:rPr>
              <w:t>Artículo 2.7.2.20. Forward NDF (USD / COP).</w:t>
            </w:r>
            <w:r w:rsidR="00BD4DB7">
              <w:rPr>
                <w:noProof/>
                <w:webHidden/>
              </w:rPr>
              <w:tab/>
            </w:r>
            <w:r w:rsidR="00BD4DB7">
              <w:rPr>
                <w:noProof/>
                <w:webHidden/>
              </w:rPr>
              <w:fldChar w:fldCharType="begin"/>
            </w:r>
            <w:r w:rsidR="00BD4DB7">
              <w:rPr>
                <w:noProof/>
                <w:webHidden/>
              </w:rPr>
              <w:instrText xml:space="preserve"> PAGEREF _Toc31716238 \h </w:instrText>
            </w:r>
            <w:r w:rsidR="00BD4DB7">
              <w:rPr>
                <w:noProof/>
                <w:webHidden/>
              </w:rPr>
            </w:r>
            <w:r w:rsidR="00BD4DB7">
              <w:rPr>
                <w:noProof/>
                <w:webHidden/>
              </w:rPr>
              <w:fldChar w:fldCharType="separate"/>
            </w:r>
            <w:r w:rsidR="00BD4DB7">
              <w:rPr>
                <w:noProof/>
                <w:webHidden/>
              </w:rPr>
              <w:t>336</w:t>
            </w:r>
            <w:r w:rsidR="00BD4DB7">
              <w:rPr>
                <w:noProof/>
                <w:webHidden/>
              </w:rPr>
              <w:fldChar w:fldCharType="end"/>
            </w:r>
          </w:hyperlink>
        </w:p>
        <w:p w14:paraId="5E9EA0A3" w14:textId="503219F3"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39" w:history="1">
            <w:r w:rsidR="00BD4DB7" w:rsidRPr="0089237F">
              <w:rPr>
                <w:rStyle w:val="Hipervnculo"/>
                <w:noProof/>
              </w:rPr>
              <w:t>Artículo 2.7.2.21. OIS IBR Formación.</w:t>
            </w:r>
            <w:r w:rsidR="00BD4DB7">
              <w:rPr>
                <w:noProof/>
                <w:webHidden/>
              </w:rPr>
              <w:tab/>
            </w:r>
            <w:r w:rsidR="00BD4DB7">
              <w:rPr>
                <w:noProof/>
                <w:webHidden/>
              </w:rPr>
              <w:fldChar w:fldCharType="begin"/>
            </w:r>
            <w:r w:rsidR="00BD4DB7">
              <w:rPr>
                <w:noProof/>
                <w:webHidden/>
              </w:rPr>
              <w:instrText xml:space="preserve"> PAGEREF _Toc31716239 \h </w:instrText>
            </w:r>
            <w:r w:rsidR="00BD4DB7">
              <w:rPr>
                <w:noProof/>
                <w:webHidden/>
              </w:rPr>
            </w:r>
            <w:r w:rsidR="00BD4DB7">
              <w:rPr>
                <w:noProof/>
                <w:webHidden/>
              </w:rPr>
              <w:fldChar w:fldCharType="separate"/>
            </w:r>
            <w:r w:rsidR="00BD4DB7">
              <w:rPr>
                <w:noProof/>
                <w:webHidden/>
              </w:rPr>
              <w:t>339</w:t>
            </w:r>
            <w:r w:rsidR="00BD4DB7">
              <w:rPr>
                <w:noProof/>
                <w:webHidden/>
              </w:rPr>
              <w:fldChar w:fldCharType="end"/>
            </w:r>
          </w:hyperlink>
        </w:p>
        <w:p w14:paraId="068578BE" w14:textId="4EECE61B"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40" w:history="1">
            <w:r w:rsidR="00BD4DB7" w:rsidRPr="0089237F">
              <w:rPr>
                <w:rStyle w:val="Hipervnculo"/>
                <w:noProof/>
              </w:rPr>
              <w:t>Artículo 2.7.2.22. OIS IBR.</w:t>
            </w:r>
            <w:r w:rsidR="00BD4DB7">
              <w:rPr>
                <w:noProof/>
                <w:webHidden/>
              </w:rPr>
              <w:tab/>
            </w:r>
            <w:r w:rsidR="00BD4DB7">
              <w:rPr>
                <w:noProof/>
                <w:webHidden/>
              </w:rPr>
              <w:fldChar w:fldCharType="begin"/>
            </w:r>
            <w:r w:rsidR="00BD4DB7">
              <w:rPr>
                <w:noProof/>
                <w:webHidden/>
              </w:rPr>
              <w:instrText xml:space="preserve"> PAGEREF _Toc31716240 \h </w:instrText>
            </w:r>
            <w:r w:rsidR="00BD4DB7">
              <w:rPr>
                <w:noProof/>
                <w:webHidden/>
              </w:rPr>
            </w:r>
            <w:r w:rsidR="00BD4DB7">
              <w:rPr>
                <w:noProof/>
                <w:webHidden/>
              </w:rPr>
              <w:fldChar w:fldCharType="separate"/>
            </w:r>
            <w:r w:rsidR="00BD4DB7">
              <w:rPr>
                <w:noProof/>
                <w:webHidden/>
              </w:rPr>
              <w:t>342</w:t>
            </w:r>
            <w:r w:rsidR="00BD4DB7">
              <w:rPr>
                <w:noProof/>
                <w:webHidden/>
              </w:rPr>
              <w:fldChar w:fldCharType="end"/>
            </w:r>
          </w:hyperlink>
        </w:p>
        <w:p w14:paraId="4975B73D" w14:textId="389443A1"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41" w:history="1">
            <w:r w:rsidR="00BD4DB7" w:rsidRPr="0089237F">
              <w:rPr>
                <w:rStyle w:val="Hipervnculo"/>
                <w:noProof/>
              </w:rPr>
              <w:t>Artículo 2.7.2.23. Mini Contrato de Futuro de Índice Accionario COLCAP</w:t>
            </w:r>
            <w:r w:rsidR="00BD4DB7">
              <w:rPr>
                <w:noProof/>
                <w:webHidden/>
              </w:rPr>
              <w:tab/>
            </w:r>
            <w:r w:rsidR="00BD4DB7">
              <w:rPr>
                <w:noProof/>
                <w:webHidden/>
              </w:rPr>
              <w:fldChar w:fldCharType="begin"/>
            </w:r>
            <w:r w:rsidR="00BD4DB7">
              <w:rPr>
                <w:noProof/>
                <w:webHidden/>
              </w:rPr>
              <w:instrText xml:space="preserve"> PAGEREF _Toc31716241 \h </w:instrText>
            </w:r>
            <w:r w:rsidR="00BD4DB7">
              <w:rPr>
                <w:noProof/>
                <w:webHidden/>
              </w:rPr>
            </w:r>
            <w:r w:rsidR="00BD4DB7">
              <w:rPr>
                <w:noProof/>
                <w:webHidden/>
              </w:rPr>
              <w:fldChar w:fldCharType="separate"/>
            </w:r>
            <w:r w:rsidR="00BD4DB7">
              <w:rPr>
                <w:noProof/>
                <w:webHidden/>
              </w:rPr>
              <w:t>344</w:t>
            </w:r>
            <w:r w:rsidR="00BD4DB7">
              <w:rPr>
                <w:noProof/>
                <w:webHidden/>
              </w:rPr>
              <w:fldChar w:fldCharType="end"/>
            </w:r>
          </w:hyperlink>
        </w:p>
        <w:p w14:paraId="44036B10" w14:textId="48FE8744"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42" w:history="1">
            <w:r w:rsidR="00BD4DB7" w:rsidRPr="0089237F">
              <w:rPr>
                <w:rStyle w:val="Hipervnculo"/>
                <w:rFonts w:eastAsia="Calibri"/>
                <w:noProof/>
              </w:rPr>
              <w:t>PARTE</w:t>
            </w:r>
            <w:r w:rsidR="00BD4DB7" w:rsidRPr="0089237F">
              <w:rPr>
                <w:rStyle w:val="Hipervnculo"/>
                <w:rFonts w:eastAsia="Calibri" w:cs="Times New Roman"/>
                <w:noProof/>
              </w:rPr>
              <w:t xml:space="preserve"> III</w:t>
            </w:r>
            <w:r w:rsidR="00BD4DB7">
              <w:rPr>
                <w:noProof/>
                <w:webHidden/>
              </w:rPr>
              <w:tab/>
            </w:r>
            <w:r w:rsidR="00BD4DB7">
              <w:rPr>
                <w:noProof/>
                <w:webHidden/>
              </w:rPr>
              <w:fldChar w:fldCharType="begin"/>
            </w:r>
            <w:r w:rsidR="00BD4DB7">
              <w:rPr>
                <w:noProof/>
                <w:webHidden/>
              </w:rPr>
              <w:instrText xml:space="preserve"> PAGEREF _Toc31716242 \h </w:instrText>
            </w:r>
            <w:r w:rsidR="00BD4DB7">
              <w:rPr>
                <w:noProof/>
                <w:webHidden/>
              </w:rPr>
            </w:r>
            <w:r w:rsidR="00BD4DB7">
              <w:rPr>
                <w:noProof/>
                <w:webHidden/>
              </w:rPr>
              <w:fldChar w:fldCharType="separate"/>
            </w:r>
            <w:r w:rsidR="00BD4DB7">
              <w:rPr>
                <w:noProof/>
                <w:webHidden/>
              </w:rPr>
              <w:t>346</w:t>
            </w:r>
            <w:r w:rsidR="00BD4DB7">
              <w:rPr>
                <w:noProof/>
                <w:webHidden/>
              </w:rPr>
              <w:fldChar w:fldCharType="end"/>
            </w:r>
          </w:hyperlink>
        </w:p>
        <w:p w14:paraId="522F1EBA" w14:textId="2B116FC1"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43" w:history="1">
            <w:r w:rsidR="00BD4DB7" w:rsidRPr="0089237F">
              <w:rPr>
                <w:rStyle w:val="Hipervnculo"/>
                <w:rFonts w:eastAsia="Calibri" w:cs="Times New Roman"/>
                <w:noProof/>
              </w:rPr>
              <w:t xml:space="preserve">SEGMENTO </w:t>
            </w:r>
            <w:r w:rsidR="00BD4DB7" w:rsidRPr="0089237F">
              <w:rPr>
                <w:rStyle w:val="Hipervnculo"/>
                <w:rFonts w:eastAsia="Calibri"/>
                <w:noProof/>
              </w:rPr>
              <w:t>RENTA</w:t>
            </w:r>
            <w:r w:rsidR="00BD4DB7" w:rsidRPr="0089237F">
              <w:rPr>
                <w:rStyle w:val="Hipervnculo"/>
                <w:rFonts w:eastAsia="Calibri" w:cs="Times New Roman"/>
                <w:noProof/>
              </w:rPr>
              <w:t xml:space="preserve"> FIJA</w:t>
            </w:r>
            <w:r w:rsidR="00BD4DB7">
              <w:rPr>
                <w:noProof/>
                <w:webHidden/>
              </w:rPr>
              <w:tab/>
            </w:r>
            <w:r w:rsidR="00BD4DB7">
              <w:rPr>
                <w:noProof/>
                <w:webHidden/>
              </w:rPr>
              <w:fldChar w:fldCharType="begin"/>
            </w:r>
            <w:r w:rsidR="00BD4DB7">
              <w:rPr>
                <w:noProof/>
                <w:webHidden/>
              </w:rPr>
              <w:instrText xml:space="preserve"> PAGEREF _Toc31716243 \h </w:instrText>
            </w:r>
            <w:r w:rsidR="00BD4DB7">
              <w:rPr>
                <w:noProof/>
                <w:webHidden/>
              </w:rPr>
            </w:r>
            <w:r w:rsidR="00BD4DB7">
              <w:rPr>
                <w:noProof/>
                <w:webHidden/>
              </w:rPr>
              <w:fldChar w:fldCharType="separate"/>
            </w:r>
            <w:r w:rsidR="00BD4DB7">
              <w:rPr>
                <w:noProof/>
                <w:webHidden/>
              </w:rPr>
              <w:t>347</w:t>
            </w:r>
            <w:r w:rsidR="00BD4DB7">
              <w:rPr>
                <w:noProof/>
                <w:webHidden/>
              </w:rPr>
              <w:fldChar w:fldCharType="end"/>
            </w:r>
          </w:hyperlink>
        </w:p>
        <w:p w14:paraId="74BA9E35" w14:textId="15137831"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44" w:history="1">
            <w:r w:rsidR="00BD4DB7" w:rsidRPr="0089237F">
              <w:rPr>
                <w:rStyle w:val="Hipervnculo"/>
                <w:rFonts w:eastAsia="Calibri"/>
                <w:noProof/>
              </w:rPr>
              <w:t>TÍTULO PRIMERO</w:t>
            </w:r>
            <w:r w:rsidR="00BD4DB7">
              <w:rPr>
                <w:noProof/>
                <w:webHidden/>
              </w:rPr>
              <w:tab/>
            </w:r>
            <w:r w:rsidR="00BD4DB7">
              <w:rPr>
                <w:noProof/>
                <w:webHidden/>
              </w:rPr>
              <w:fldChar w:fldCharType="begin"/>
            </w:r>
            <w:r w:rsidR="00BD4DB7">
              <w:rPr>
                <w:noProof/>
                <w:webHidden/>
              </w:rPr>
              <w:instrText xml:space="preserve"> PAGEREF _Toc31716244 \h </w:instrText>
            </w:r>
            <w:r w:rsidR="00BD4DB7">
              <w:rPr>
                <w:noProof/>
                <w:webHidden/>
              </w:rPr>
            </w:r>
            <w:r w:rsidR="00BD4DB7">
              <w:rPr>
                <w:noProof/>
                <w:webHidden/>
              </w:rPr>
              <w:fldChar w:fldCharType="separate"/>
            </w:r>
            <w:r w:rsidR="00BD4DB7">
              <w:rPr>
                <w:noProof/>
                <w:webHidden/>
              </w:rPr>
              <w:t>347</w:t>
            </w:r>
            <w:r w:rsidR="00BD4DB7">
              <w:rPr>
                <w:noProof/>
                <w:webHidden/>
              </w:rPr>
              <w:fldChar w:fldCharType="end"/>
            </w:r>
          </w:hyperlink>
        </w:p>
        <w:p w14:paraId="365452E3" w14:textId="70D60CFE"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45" w:history="1">
            <w:r w:rsidR="00BD4DB7" w:rsidRPr="0089237F">
              <w:rPr>
                <w:rStyle w:val="Hipervnculo"/>
                <w:rFonts w:eastAsia="Calibri"/>
                <w:noProof/>
              </w:rPr>
              <w:t>MIEMBROS DE LA CÁMARA Y PARTICIPACIÓN EN EL SEGMENTO</w:t>
            </w:r>
            <w:r w:rsidR="00BD4DB7">
              <w:rPr>
                <w:noProof/>
                <w:webHidden/>
              </w:rPr>
              <w:tab/>
            </w:r>
            <w:r w:rsidR="00BD4DB7">
              <w:rPr>
                <w:noProof/>
                <w:webHidden/>
              </w:rPr>
              <w:fldChar w:fldCharType="begin"/>
            </w:r>
            <w:r w:rsidR="00BD4DB7">
              <w:rPr>
                <w:noProof/>
                <w:webHidden/>
              </w:rPr>
              <w:instrText xml:space="preserve"> PAGEREF _Toc31716245 \h </w:instrText>
            </w:r>
            <w:r w:rsidR="00BD4DB7">
              <w:rPr>
                <w:noProof/>
                <w:webHidden/>
              </w:rPr>
            </w:r>
            <w:r w:rsidR="00BD4DB7">
              <w:rPr>
                <w:noProof/>
                <w:webHidden/>
              </w:rPr>
              <w:fldChar w:fldCharType="separate"/>
            </w:r>
            <w:r w:rsidR="00BD4DB7">
              <w:rPr>
                <w:noProof/>
                <w:webHidden/>
              </w:rPr>
              <w:t>347</w:t>
            </w:r>
            <w:r w:rsidR="00BD4DB7">
              <w:rPr>
                <w:noProof/>
                <w:webHidden/>
              </w:rPr>
              <w:fldChar w:fldCharType="end"/>
            </w:r>
          </w:hyperlink>
        </w:p>
        <w:p w14:paraId="5BFC9D37" w14:textId="1BF1EF80"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46" w:history="1">
            <w:r w:rsidR="00BD4DB7" w:rsidRPr="0089237F">
              <w:rPr>
                <w:rStyle w:val="Hipervnculo"/>
                <w:rFonts w:eastAsia="Calibri"/>
                <w:noProof/>
              </w:rPr>
              <w:t>CAPÍTULO PRIMERO</w:t>
            </w:r>
            <w:r w:rsidR="00BD4DB7">
              <w:rPr>
                <w:noProof/>
                <w:webHidden/>
              </w:rPr>
              <w:tab/>
            </w:r>
            <w:r w:rsidR="00BD4DB7">
              <w:rPr>
                <w:noProof/>
                <w:webHidden/>
              </w:rPr>
              <w:fldChar w:fldCharType="begin"/>
            </w:r>
            <w:r w:rsidR="00BD4DB7">
              <w:rPr>
                <w:noProof/>
                <w:webHidden/>
              </w:rPr>
              <w:instrText xml:space="preserve"> PAGEREF _Toc31716246 \h </w:instrText>
            </w:r>
            <w:r w:rsidR="00BD4DB7">
              <w:rPr>
                <w:noProof/>
                <w:webHidden/>
              </w:rPr>
            </w:r>
            <w:r w:rsidR="00BD4DB7">
              <w:rPr>
                <w:noProof/>
                <w:webHidden/>
              </w:rPr>
              <w:fldChar w:fldCharType="separate"/>
            </w:r>
            <w:r w:rsidR="00BD4DB7">
              <w:rPr>
                <w:noProof/>
                <w:webHidden/>
              </w:rPr>
              <w:t>347</w:t>
            </w:r>
            <w:r w:rsidR="00BD4DB7">
              <w:rPr>
                <w:noProof/>
                <w:webHidden/>
              </w:rPr>
              <w:fldChar w:fldCharType="end"/>
            </w:r>
          </w:hyperlink>
        </w:p>
        <w:p w14:paraId="05281D27" w14:textId="743EB9FA"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47" w:history="1">
            <w:r w:rsidR="00BD4DB7" w:rsidRPr="0089237F">
              <w:rPr>
                <w:rStyle w:val="Hipervnculo"/>
                <w:rFonts w:eastAsia="Calibri"/>
                <w:noProof/>
              </w:rPr>
              <w:t>REQUISITOS DE PARTICIPACIÓN, MODIFICACIÓN Y PERMANENCIA DE LOS MIEMBROS</w:t>
            </w:r>
            <w:r w:rsidR="00BD4DB7">
              <w:rPr>
                <w:noProof/>
                <w:webHidden/>
              </w:rPr>
              <w:tab/>
            </w:r>
            <w:r w:rsidR="00BD4DB7">
              <w:rPr>
                <w:noProof/>
                <w:webHidden/>
              </w:rPr>
              <w:fldChar w:fldCharType="begin"/>
            </w:r>
            <w:r w:rsidR="00BD4DB7">
              <w:rPr>
                <w:noProof/>
                <w:webHidden/>
              </w:rPr>
              <w:instrText xml:space="preserve"> PAGEREF _Toc31716247 \h </w:instrText>
            </w:r>
            <w:r w:rsidR="00BD4DB7">
              <w:rPr>
                <w:noProof/>
                <w:webHidden/>
              </w:rPr>
            </w:r>
            <w:r w:rsidR="00BD4DB7">
              <w:rPr>
                <w:noProof/>
                <w:webHidden/>
              </w:rPr>
              <w:fldChar w:fldCharType="separate"/>
            </w:r>
            <w:r w:rsidR="00BD4DB7">
              <w:rPr>
                <w:noProof/>
                <w:webHidden/>
              </w:rPr>
              <w:t>347</w:t>
            </w:r>
            <w:r w:rsidR="00BD4DB7">
              <w:rPr>
                <w:noProof/>
                <w:webHidden/>
              </w:rPr>
              <w:fldChar w:fldCharType="end"/>
            </w:r>
          </w:hyperlink>
        </w:p>
        <w:p w14:paraId="6EF3104C" w14:textId="11AE7BBF"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48" w:history="1">
            <w:r w:rsidR="00BD4DB7" w:rsidRPr="0089237F">
              <w:rPr>
                <w:rStyle w:val="Hipervnculo"/>
                <w:noProof/>
              </w:rPr>
              <w:t>Artículo 3.1.1.1. Solicitud para participar en el Segmento de Renta Fija y procedimiento operativo de ingreso.</w:t>
            </w:r>
            <w:r w:rsidR="00BD4DB7">
              <w:rPr>
                <w:noProof/>
                <w:webHidden/>
              </w:rPr>
              <w:tab/>
            </w:r>
            <w:r w:rsidR="00BD4DB7">
              <w:rPr>
                <w:noProof/>
                <w:webHidden/>
              </w:rPr>
              <w:fldChar w:fldCharType="begin"/>
            </w:r>
            <w:r w:rsidR="00BD4DB7">
              <w:rPr>
                <w:noProof/>
                <w:webHidden/>
              </w:rPr>
              <w:instrText xml:space="preserve"> PAGEREF _Toc31716248 \h </w:instrText>
            </w:r>
            <w:r w:rsidR="00BD4DB7">
              <w:rPr>
                <w:noProof/>
                <w:webHidden/>
              </w:rPr>
            </w:r>
            <w:r w:rsidR="00BD4DB7">
              <w:rPr>
                <w:noProof/>
                <w:webHidden/>
              </w:rPr>
              <w:fldChar w:fldCharType="separate"/>
            </w:r>
            <w:r w:rsidR="00BD4DB7">
              <w:rPr>
                <w:noProof/>
                <w:webHidden/>
              </w:rPr>
              <w:t>347</w:t>
            </w:r>
            <w:r w:rsidR="00BD4DB7">
              <w:rPr>
                <w:noProof/>
                <w:webHidden/>
              </w:rPr>
              <w:fldChar w:fldCharType="end"/>
            </w:r>
          </w:hyperlink>
        </w:p>
        <w:p w14:paraId="7DC5171C" w14:textId="12D5A71A"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49" w:history="1">
            <w:r w:rsidR="00BD4DB7" w:rsidRPr="0089237F">
              <w:rPr>
                <w:rStyle w:val="Hipervnculo"/>
                <w:noProof/>
              </w:rPr>
              <w:t>Artículo 3.1.1.2. Requisito de patrimonio técnico del Miembro Liquidador General para Participar en el Segmento de Renta Fija.</w:t>
            </w:r>
            <w:r w:rsidR="00BD4DB7">
              <w:rPr>
                <w:noProof/>
                <w:webHidden/>
              </w:rPr>
              <w:tab/>
            </w:r>
            <w:r w:rsidR="00BD4DB7">
              <w:rPr>
                <w:noProof/>
                <w:webHidden/>
              </w:rPr>
              <w:fldChar w:fldCharType="begin"/>
            </w:r>
            <w:r w:rsidR="00BD4DB7">
              <w:rPr>
                <w:noProof/>
                <w:webHidden/>
              </w:rPr>
              <w:instrText xml:space="preserve"> PAGEREF _Toc31716249 \h </w:instrText>
            </w:r>
            <w:r w:rsidR="00BD4DB7">
              <w:rPr>
                <w:noProof/>
                <w:webHidden/>
              </w:rPr>
            </w:r>
            <w:r w:rsidR="00BD4DB7">
              <w:rPr>
                <w:noProof/>
                <w:webHidden/>
              </w:rPr>
              <w:fldChar w:fldCharType="separate"/>
            </w:r>
            <w:r w:rsidR="00BD4DB7">
              <w:rPr>
                <w:noProof/>
                <w:webHidden/>
              </w:rPr>
              <w:t>348</w:t>
            </w:r>
            <w:r w:rsidR="00BD4DB7">
              <w:rPr>
                <w:noProof/>
                <w:webHidden/>
              </w:rPr>
              <w:fldChar w:fldCharType="end"/>
            </w:r>
          </w:hyperlink>
        </w:p>
        <w:p w14:paraId="0D1495C5" w14:textId="66B5404B"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50" w:history="1">
            <w:r w:rsidR="00BD4DB7" w:rsidRPr="0089237F">
              <w:rPr>
                <w:rStyle w:val="Hipervnculo"/>
                <w:noProof/>
              </w:rPr>
              <w:t>Artículo 3.1.1.3. Requisito de patrimonio técnico del Miembro Liquidador Individual para Participar en el Segmento de Renta Fija.</w:t>
            </w:r>
            <w:r w:rsidR="00BD4DB7">
              <w:rPr>
                <w:noProof/>
                <w:webHidden/>
              </w:rPr>
              <w:tab/>
            </w:r>
            <w:r w:rsidR="00BD4DB7">
              <w:rPr>
                <w:noProof/>
                <w:webHidden/>
              </w:rPr>
              <w:fldChar w:fldCharType="begin"/>
            </w:r>
            <w:r w:rsidR="00BD4DB7">
              <w:rPr>
                <w:noProof/>
                <w:webHidden/>
              </w:rPr>
              <w:instrText xml:space="preserve"> PAGEREF _Toc31716250 \h </w:instrText>
            </w:r>
            <w:r w:rsidR="00BD4DB7">
              <w:rPr>
                <w:noProof/>
                <w:webHidden/>
              </w:rPr>
            </w:r>
            <w:r w:rsidR="00BD4DB7">
              <w:rPr>
                <w:noProof/>
                <w:webHidden/>
              </w:rPr>
              <w:fldChar w:fldCharType="separate"/>
            </w:r>
            <w:r w:rsidR="00BD4DB7">
              <w:rPr>
                <w:noProof/>
                <w:webHidden/>
              </w:rPr>
              <w:t>348</w:t>
            </w:r>
            <w:r w:rsidR="00BD4DB7">
              <w:rPr>
                <w:noProof/>
                <w:webHidden/>
              </w:rPr>
              <w:fldChar w:fldCharType="end"/>
            </w:r>
          </w:hyperlink>
        </w:p>
        <w:p w14:paraId="69C25F23" w14:textId="75E1C855"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51" w:history="1">
            <w:r w:rsidR="00BD4DB7" w:rsidRPr="0089237F">
              <w:rPr>
                <w:rStyle w:val="Hipervnculo"/>
                <w:noProof/>
              </w:rPr>
              <w:t>Artículo 3.1.1.4. Procedimiento operativo para el retiro del Segmento de Renta Fija.</w:t>
            </w:r>
            <w:r w:rsidR="00BD4DB7">
              <w:rPr>
                <w:noProof/>
                <w:webHidden/>
              </w:rPr>
              <w:tab/>
            </w:r>
            <w:r w:rsidR="00BD4DB7">
              <w:rPr>
                <w:noProof/>
                <w:webHidden/>
              </w:rPr>
              <w:fldChar w:fldCharType="begin"/>
            </w:r>
            <w:r w:rsidR="00BD4DB7">
              <w:rPr>
                <w:noProof/>
                <w:webHidden/>
              </w:rPr>
              <w:instrText xml:space="preserve"> PAGEREF _Toc31716251 \h </w:instrText>
            </w:r>
            <w:r w:rsidR="00BD4DB7">
              <w:rPr>
                <w:noProof/>
                <w:webHidden/>
              </w:rPr>
            </w:r>
            <w:r w:rsidR="00BD4DB7">
              <w:rPr>
                <w:noProof/>
                <w:webHidden/>
              </w:rPr>
              <w:fldChar w:fldCharType="separate"/>
            </w:r>
            <w:r w:rsidR="00BD4DB7">
              <w:rPr>
                <w:noProof/>
                <w:webHidden/>
              </w:rPr>
              <w:t>348</w:t>
            </w:r>
            <w:r w:rsidR="00BD4DB7">
              <w:rPr>
                <w:noProof/>
                <w:webHidden/>
              </w:rPr>
              <w:fldChar w:fldCharType="end"/>
            </w:r>
          </w:hyperlink>
        </w:p>
        <w:p w14:paraId="60C8A0DF" w14:textId="5F8EA08B"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52" w:history="1">
            <w:r w:rsidR="00BD4DB7" w:rsidRPr="0089237F">
              <w:rPr>
                <w:rStyle w:val="Hipervnculo"/>
                <w:rFonts w:eastAsia="Calibri"/>
                <w:noProof/>
              </w:rPr>
              <w:t>TÍTULO SEGUNDO</w:t>
            </w:r>
            <w:r w:rsidR="00BD4DB7">
              <w:rPr>
                <w:noProof/>
                <w:webHidden/>
              </w:rPr>
              <w:tab/>
            </w:r>
            <w:r w:rsidR="00BD4DB7">
              <w:rPr>
                <w:noProof/>
                <w:webHidden/>
              </w:rPr>
              <w:fldChar w:fldCharType="begin"/>
            </w:r>
            <w:r w:rsidR="00BD4DB7">
              <w:rPr>
                <w:noProof/>
                <w:webHidden/>
              </w:rPr>
              <w:instrText xml:space="preserve"> PAGEREF _Toc31716252 \h </w:instrText>
            </w:r>
            <w:r w:rsidR="00BD4DB7">
              <w:rPr>
                <w:noProof/>
                <w:webHidden/>
              </w:rPr>
            </w:r>
            <w:r w:rsidR="00BD4DB7">
              <w:rPr>
                <w:noProof/>
                <w:webHidden/>
              </w:rPr>
              <w:fldChar w:fldCharType="separate"/>
            </w:r>
            <w:r w:rsidR="00BD4DB7">
              <w:rPr>
                <w:noProof/>
                <w:webHidden/>
              </w:rPr>
              <w:t>349</w:t>
            </w:r>
            <w:r w:rsidR="00BD4DB7">
              <w:rPr>
                <w:noProof/>
                <w:webHidden/>
              </w:rPr>
              <w:fldChar w:fldCharType="end"/>
            </w:r>
          </w:hyperlink>
        </w:p>
        <w:p w14:paraId="0BD07F14" w14:textId="7830591E"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53" w:history="1">
            <w:r w:rsidR="00BD4DB7" w:rsidRPr="0089237F">
              <w:rPr>
                <w:rStyle w:val="Hipervnculo"/>
                <w:rFonts w:eastAsia="Calibri"/>
                <w:noProof/>
              </w:rPr>
              <w:t>ACEPTACIÓN DE OPERACIONES</w:t>
            </w:r>
            <w:r w:rsidR="00BD4DB7">
              <w:rPr>
                <w:noProof/>
                <w:webHidden/>
              </w:rPr>
              <w:tab/>
            </w:r>
            <w:r w:rsidR="00BD4DB7">
              <w:rPr>
                <w:noProof/>
                <w:webHidden/>
              </w:rPr>
              <w:fldChar w:fldCharType="begin"/>
            </w:r>
            <w:r w:rsidR="00BD4DB7">
              <w:rPr>
                <w:noProof/>
                <w:webHidden/>
              </w:rPr>
              <w:instrText xml:space="preserve"> PAGEREF _Toc31716253 \h </w:instrText>
            </w:r>
            <w:r w:rsidR="00BD4DB7">
              <w:rPr>
                <w:noProof/>
                <w:webHidden/>
              </w:rPr>
            </w:r>
            <w:r w:rsidR="00BD4DB7">
              <w:rPr>
                <w:noProof/>
                <w:webHidden/>
              </w:rPr>
              <w:fldChar w:fldCharType="separate"/>
            </w:r>
            <w:r w:rsidR="00BD4DB7">
              <w:rPr>
                <w:noProof/>
                <w:webHidden/>
              </w:rPr>
              <w:t>349</w:t>
            </w:r>
            <w:r w:rsidR="00BD4DB7">
              <w:rPr>
                <w:noProof/>
                <w:webHidden/>
              </w:rPr>
              <w:fldChar w:fldCharType="end"/>
            </w:r>
          </w:hyperlink>
        </w:p>
        <w:p w14:paraId="58A7E39A" w14:textId="60B84BA1"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54" w:history="1">
            <w:r w:rsidR="00BD4DB7" w:rsidRPr="0089237F">
              <w:rPr>
                <w:rStyle w:val="Hipervnculo"/>
                <w:rFonts w:eastAsia="Calibri"/>
                <w:noProof/>
              </w:rPr>
              <w:t>CAPÍTULO PRIMERO</w:t>
            </w:r>
            <w:r w:rsidR="00BD4DB7">
              <w:rPr>
                <w:noProof/>
                <w:webHidden/>
              </w:rPr>
              <w:tab/>
            </w:r>
            <w:r w:rsidR="00BD4DB7">
              <w:rPr>
                <w:noProof/>
                <w:webHidden/>
              </w:rPr>
              <w:fldChar w:fldCharType="begin"/>
            </w:r>
            <w:r w:rsidR="00BD4DB7">
              <w:rPr>
                <w:noProof/>
                <w:webHidden/>
              </w:rPr>
              <w:instrText xml:space="preserve"> PAGEREF _Toc31716254 \h </w:instrText>
            </w:r>
            <w:r w:rsidR="00BD4DB7">
              <w:rPr>
                <w:noProof/>
                <w:webHidden/>
              </w:rPr>
            </w:r>
            <w:r w:rsidR="00BD4DB7">
              <w:rPr>
                <w:noProof/>
                <w:webHidden/>
              </w:rPr>
              <w:fldChar w:fldCharType="separate"/>
            </w:r>
            <w:r w:rsidR="00BD4DB7">
              <w:rPr>
                <w:noProof/>
                <w:webHidden/>
              </w:rPr>
              <w:t>349</w:t>
            </w:r>
            <w:r w:rsidR="00BD4DB7">
              <w:rPr>
                <w:noProof/>
                <w:webHidden/>
              </w:rPr>
              <w:fldChar w:fldCharType="end"/>
            </w:r>
          </w:hyperlink>
        </w:p>
        <w:p w14:paraId="3BD373C5" w14:textId="69E66FE4"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55" w:history="1">
            <w:r w:rsidR="00BD4DB7" w:rsidRPr="0089237F">
              <w:rPr>
                <w:rStyle w:val="Hipervnculo"/>
                <w:rFonts w:eastAsia="Calibri"/>
                <w:noProof/>
              </w:rPr>
              <w:t>CONTROL DE RIESGO Y ACEPTACIÓN DE OPERACIONES PROVENIENTES DE SISTEMAS DE NEGOCIACIÓN Y REGISTRO O MECANISMOS DE CONTRATACIÓN</w:t>
            </w:r>
            <w:r w:rsidR="00BD4DB7">
              <w:rPr>
                <w:noProof/>
                <w:webHidden/>
              </w:rPr>
              <w:tab/>
            </w:r>
            <w:r w:rsidR="00BD4DB7">
              <w:rPr>
                <w:noProof/>
                <w:webHidden/>
              </w:rPr>
              <w:fldChar w:fldCharType="begin"/>
            </w:r>
            <w:r w:rsidR="00BD4DB7">
              <w:rPr>
                <w:noProof/>
                <w:webHidden/>
              </w:rPr>
              <w:instrText xml:space="preserve"> PAGEREF _Toc31716255 \h </w:instrText>
            </w:r>
            <w:r w:rsidR="00BD4DB7">
              <w:rPr>
                <w:noProof/>
                <w:webHidden/>
              </w:rPr>
            </w:r>
            <w:r w:rsidR="00BD4DB7">
              <w:rPr>
                <w:noProof/>
                <w:webHidden/>
              </w:rPr>
              <w:fldChar w:fldCharType="separate"/>
            </w:r>
            <w:r w:rsidR="00BD4DB7">
              <w:rPr>
                <w:noProof/>
                <w:webHidden/>
              </w:rPr>
              <w:t>349</w:t>
            </w:r>
            <w:r w:rsidR="00BD4DB7">
              <w:rPr>
                <w:noProof/>
                <w:webHidden/>
              </w:rPr>
              <w:fldChar w:fldCharType="end"/>
            </w:r>
          </w:hyperlink>
        </w:p>
        <w:p w14:paraId="3A0D2AD4" w14:textId="1CFC2DAB"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56" w:history="1">
            <w:r w:rsidR="00BD4DB7" w:rsidRPr="0089237F">
              <w:rPr>
                <w:rStyle w:val="Hipervnculo"/>
                <w:noProof/>
              </w:rPr>
              <w:t>Artículo 3.2.1.1.  Aceptación de Operaciones Simultáneas provenientes de sistemas de negociación y/o registro autorizados por la Cámara.</w:t>
            </w:r>
            <w:r w:rsidR="00BD4DB7">
              <w:rPr>
                <w:noProof/>
                <w:webHidden/>
              </w:rPr>
              <w:tab/>
            </w:r>
            <w:r w:rsidR="00BD4DB7">
              <w:rPr>
                <w:noProof/>
                <w:webHidden/>
              </w:rPr>
              <w:fldChar w:fldCharType="begin"/>
            </w:r>
            <w:r w:rsidR="00BD4DB7">
              <w:rPr>
                <w:noProof/>
                <w:webHidden/>
              </w:rPr>
              <w:instrText xml:space="preserve"> PAGEREF _Toc31716256 \h </w:instrText>
            </w:r>
            <w:r w:rsidR="00BD4DB7">
              <w:rPr>
                <w:noProof/>
                <w:webHidden/>
              </w:rPr>
            </w:r>
            <w:r w:rsidR="00BD4DB7">
              <w:rPr>
                <w:noProof/>
                <w:webHidden/>
              </w:rPr>
              <w:fldChar w:fldCharType="separate"/>
            </w:r>
            <w:r w:rsidR="00BD4DB7">
              <w:rPr>
                <w:noProof/>
                <w:webHidden/>
              </w:rPr>
              <w:t>349</w:t>
            </w:r>
            <w:r w:rsidR="00BD4DB7">
              <w:rPr>
                <w:noProof/>
                <w:webHidden/>
              </w:rPr>
              <w:fldChar w:fldCharType="end"/>
            </w:r>
          </w:hyperlink>
        </w:p>
        <w:p w14:paraId="2630CDD3" w14:textId="15FB046C"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57" w:history="1">
            <w:r w:rsidR="00BD4DB7" w:rsidRPr="0089237F">
              <w:rPr>
                <w:rStyle w:val="Hipervnculo"/>
                <w:rFonts w:eastAsia="Calibri"/>
                <w:noProof/>
              </w:rPr>
              <w:t>CAPÍTULO SEGUNDO</w:t>
            </w:r>
            <w:r w:rsidR="00BD4DB7">
              <w:rPr>
                <w:noProof/>
                <w:webHidden/>
              </w:rPr>
              <w:tab/>
            </w:r>
            <w:r w:rsidR="00BD4DB7">
              <w:rPr>
                <w:noProof/>
                <w:webHidden/>
              </w:rPr>
              <w:fldChar w:fldCharType="begin"/>
            </w:r>
            <w:r w:rsidR="00BD4DB7">
              <w:rPr>
                <w:noProof/>
                <w:webHidden/>
              </w:rPr>
              <w:instrText xml:space="preserve"> PAGEREF _Toc31716257 \h </w:instrText>
            </w:r>
            <w:r w:rsidR="00BD4DB7">
              <w:rPr>
                <w:noProof/>
                <w:webHidden/>
              </w:rPr>
            </w:r>
            <w:r w:rsidR="00BD4DB7">
              <w:rPr>
                <w:noProof/>
                <w:webHidden/>
              </w:rPr>
              <w:fldChar w:fldCharType="separate"/>
            </w:r>
            <w:r w:rsidR="00BD4DB7">
              <w:rPr>
                <w:noProof/>
                <w:webHidden/>
              </w:rPr>
              <w:t>350</w:t>
            </w:r>
            <w:r w:rsidR="00BD4DB7">
              <w:rPr>
                <w:noProof/>
                <w:webHidden/>
              </w:rPr>
              <w:fldChar w:fldCharType="end"/>
            </w:r>
          </w:hyperlink>
        </w:p>
        <w:p w14:paraId="3954E414" w14:textId="413A0E3C"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58" w:history="1">
            <w:r w:rsidR="00BD4DB7" w:rsidRPr="0089237F">
              <w:rPr>
                <w:rStyle w:val="Hipervnculo"/>
                <w:noProof/>
              </w:rPr>
              <w:t>Artículo 3.2.2.1.   Rechazo de Operaciones Simultáneas provenientes de sistemas de negociación y/o registro autorizados por la Cámara.</w:t>
            </w:r>
            <w:r w:rsidR="00BD4DB7">
              <w:rPr>
                <w:noProof/>
                <w:webHidden/>
              </w:rPr>
              <w:tab/>
            </w:r>
            <w:r w:rsidR="00BD4DB7">
              <w:rPr>
                <w:noProof/>
                <w:webHidden/>
              </w:rPr>
              <w:fldChar w:fldCharType="begin"/>
            </w:r>
            <w:r w:rsidR="00BD4DB7">
              <w:rPr>
                <w:noProof/>
                <w:webHidden/>
              </w:rPr>
              <w:instrText xml:space="preserve"> PAGEREF _Toc31716258 \h </w:instrText>
            </w:r>
            <w:r w:rsidR="00BD4DB7">
              <w:rPr>
                <w:noProof/>
                <w:webHidden/>
              </w:rPr>
            </w:r>
            <w:r w:rsidR="00BD4DB7">
              <w:rPr>
                <w:noProof/>
                <w:webHidden/>
              </w:rPr>
              <w:fldChar w:fldCharType="separate"/>
            </w:r>
            <w:r w:rsidR="00BD4DB7">
              <w:rPr>
                <w:noProof/>
                <w:webHidden/>
              </w:rPr>
              <w:t>350</w:t>
            </w:r>
            <w:r w:rsidR="00BD4DB7">
              <w:rPr>
                <w:noProof/>
                <w:webHidden/>
              </w:rPr>
              <w:fldChar w:fldCharType="end"/>
            </w:r>
          </w:hyperlink>
        </w:p>
        <w:p w14:paraId="08BEB799" w14:textId="140C893D"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59" w:history="1">
            <w:r w:rsidR="00BD4DB7" w:rsidRPr="0089237F">
              <w:rPr>
                <w:rStyle w:val="Hipervnculo"/>
                <w:rFonts w:eastAsia="Calibri"/>
                <w:noProof/>
              </w:rPr>
              <w:t>CAPÍTULO TERCERO</w:t>
            </w:r>
            <w:r w:rsidR="00BD4DB7">
              <w:rPr>
                <w:noProof/>
                <w:webHidden/>
              </w:rPr>
              <w:tab/>
            </w:r>
            <w:r w:rsidR="00BD4DB7">
              <w:rPr>
                <w:noProof/>
                <w:webHidden/>
              </w:rPr>
              <w:fldChar w:fldCharType="begin"/>
            </w:r>
            <w:r w:rsidR="00BD4DB7">
              <w:rPr>
                <w:noProof/>
                <w:webHidden/>
              </w:rPr>
              <w:instrText xml:space="preserve"> PAGEREF _Toc31716259 \h </w:instrText>
            </w:r>
            <w:r w:rsidR="00BD4DB7">
              <w:rPr>
                <w:noProof/>
                <w:webHidden/>
              </w:rPr>
            </w:r>
            <w:r w:rsidR="00BD4DB7">
              <w:rPr>
                <w:noProof/>
                <w:webHidden/>
              </w:rPr>
              <w:fldChar w:fldCharType="separate"/>
            </w:r>
            <w:r w:rsidR="00BD4DB7">
              <w:rPr>
                <w:noProof/>
                <w:webHidden/>
              </w:rPr>
              <w:t>351</w:t>
            </w:r>
            <w:r w:rsidR="00BD4DB7">
              <w:rPr>
                <w:noProof/>
                <w:webHidden/>
              </w:rPr>
              <w:fldChar w:fldCharType="end"/>
            </w:r>
          </w:hyperlink>
        </w:p>
        <w:p w14:paraId="17962461" w14:textId="237C9963"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60" w:history="1">
            <w:r w:rsidR="00BD4DB7" w:rsidRPr="0089237F">
              <w:rPr>
                <w:rStyle w:val="Hipervnculo"/>
                <w:rFonts w:eastAsia="Calibri"/>
                <w:noProof/>
              </w:rPr>
              <w:t>ANULACIÓN Y CORRECCIÓN DE OPERACIONES</w:t>
            </w:r>
            <w:r w:rsidR="00BD4DB7">
              <w:rPr>
                <w:noProof/>
                <w:webHidden/>
              </w:rPr>
              <w:tab/>
            </w:r>
            <w:r w:rsidR="00BD4DB7">
              <w:rPr>
                <w:noProof/>
                <w:webHidden/>
              </w:rPr>
              <w:fldChar w:fldCharType="begin"/>
            </w:r>
            <w:r w:rsidR="00BD4DB7">
              <w:rPr>
                <w:noProof/>
                <w:webHidden/>
              </w:rPr>
              <w:instrText xml:space="preserve"> PAGEREF _Toc31716260 \h </w:instrText>
            </w:r>
            <w:r w:rsidR="00BD4DB7">
              <w:rPr>
                <w:noProof/>
                <w:webHidden/>
              </w:rPr>
            </w:r>
            <w:r w:rsidR="00BD4DB7">
              <w:rPr>
                <w:noProof/>
                <w:webHidden/>
              </w:rPr>
              <w:fldChar w:fldCharType="separate"/>
            </w:r>
            <w:r w:rsidR="00BD4DB7">
              <w:rPr>
                <w:noProof/>
                <w:webHidden/>
              </w:rPr>
              <w:t>351</w:t>
            </w:r>
            <w:r w:rsidR="00BD4DB7">
              <w:rPr>
                <w:noProof/>
                <w:webHidden/>
              </w:rPr>
              <w:fldChar w:fldCharType="end"/>
            </w:r>
          </w:hyperlink>
        </w:p>
        <w:p w14:paraId="75FE4EC3" w14:textId="0CE22B88"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61" w:history="1">
            <w:r w:rsidR="00BD4DB7" w:rsidRPr="0089237F">
              <w:rPr>
                <w:rStyle w:val="Hipervnculo"/>
                <w:noProof/>
              </w:rPr>
              <w:t>Artículo 3.2.3.1. Procedimiento de anulación de Operaciones.</w:t>
            </w:r>
            <w:r w:rsidR="00BD4DB7">
              <w:rPr>
                <w:noProof/>
                <w:webHidden/>
              </w:rPr>
              <w:tab/>
            </w:r>
            <w:r w:rsidR="00BD4DB7">
              <w:rPr>
                <w:noProof/>
                <w:webHidden/>
              </w:rPr>
              <w:fldChar w:fldCharType="begin"/>
            </w:r>
            <w:r w:rsidR="00BD4DB7">
              <w:rPr>
                <w:noProof/>
                <w:webHidden/>
              </w:rPr>
              <w:instrText xml:space="preserve"> PAGEREF _Toc31716261 \h </w:instrText>
            </w:r>
            <w:r w:rsidR="00BD4DB7">
              <w:rPr>
                <w:noProof/>
                <w:webHidden/>
              </w:rPr>
            </w:r>
            <w:r w:rsidR="00BD4DB7">
              <w:rPr>
                <w:noProof/>
                <w:webHidden/>
              </w:rPr>
              <w:fldChar w:fldCharType="separate"/>
            </w:r>
            <w:r w:rsidR="00BD4DB7">
              <w:rPr>
                <w:noProof/>
                <w:webHidden/>
              </w:rPr>
              <w:t>352</w:t>
            </w:r>
            <w:r w:rsidR="00BD4DB7">
              <w:rPr>
                <w:noProof/>
                <w:webHidden/>
              </w:rPr>
              <w:fldChar w:fldCharType="end"/>
            </w:r>
          </w:hyperlink>
        </w:p>
        <w:p w14:paraId="38209184" w14:textId="49EB6DF3"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62" w:history="1">
            <w:r w:rsidR="00BD4DB7" w:rsidRPr="0089237F">
              <w:rPr>
                <w:rStyle w:val="Hipervnculo"/>
                <w:noProof/>
              </w:rPr>
              <w:t>Artículo 3.2.3.2. Corrección de Operaciones.</w:t>
            </w:r>
            <w:r w:rsidR="00BD4DB7">
              <w:rPr>
                <w:noProof/>
                <w:webHidden/>
              </w:rPr>
              <w:tab/>
            </w:r>
            <w:r w:rsidR="00BD4DB7">
              <w:rPr>
                <w:noProof/>
                <w:webHidden/>
              </w:rPr>
              <w:fldChar w:fldCharType="begin"/>
            </w:r>
            <w:r w:rsidR="00BD4DB7">
              <w:rPr>
                <w:noProof/>
                <w:webHidden/>
              </w:rPr>
              <w:instrText xml:space="preserve"> PAGEREF _Toc31716262 \h </w:instrText>
            </w:r>
            <w:r w:rsidR="00BD4DB7">
              <w:rPr>
                <w:noProof/>
                <w:webHidden/>
              </w:rPr>
            </w:r>
            <w:r w:rsidR="00BD4DB7">
              <w:rPr>
                <w:noProof/>
                <w:webHidden/>
              </w:rPr>
              <w:fldChar w:fldCharType="separate"/>
            </w:r>
            <w:r w:rsidR="00BD4DB7">
              <w:rPr>
                <w:noProof/>
                <w:webHidden/>
              </w:rPr>
              <w:t>352</w:t>
            </w:r>
            <w:r w:rsidR="00BD4DB7">
              <w:rPr>
                <w:noProof/>
                <w:webHidden/>
              </w:rPr>
              <w:fldChar w:fldCharType="end"/>
            </w:r>
          </w:hyperlink>
        </w:p>
        <w:p w14:paraId="547B4666" w14:textId="27A017D1"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63" w:history="1">
            <w:r w:rsidR="00BD4DB7" w:rsidRPr="0089237F">
              <w:rPr>
                <w:rStyle w:val="Hipervnculo"/>
                <w:rFonts w:eastAsia="Calibri"/>
                <w:noProof/>
              </w:rPr>
              <w:t>TÍTULO TERCERO</w:t>
            </w:r>
            <w:r w:rsidR="00BD4DB7">
              <w:rPr>
                <w:noProof/>
                <w:webHidden/>
              </w:rPr>
              <w:tab/>
            </w:r>
            <w:r w:rsidR="00BD4DB7">
              <w:rPr>
                <w:noProof/>
                <w:webHidden/>
              </w:rPr>
              <w:fldChar w:fldCharType="begin"/>
            </w:r>
            <w:r w:rsidR="00BD4DB7">
              <w:rPr>
                <w:noProof/>
                <w:webHidden/>
              </w:rPr>
              <w:instrText xml:space="preserve"> PAGEREF _Toc31716263 \h </w:instrText>
            </w:r>
            <w:r w:rsidR="00BD4DB7">
              <w:rPr>
                <w:noProof/>
                <w:webHidden/>
              </w:rPr>
            </w:r>
            <w:r w:rsidR="00BD4DB7">
              <w:rPr>
                <w:noProof/>
                <w:webHidden/>
              </w:rPr>
              <w:fldChar w:fldCharType="separate"/>
            </w:r>
            <w:r w:rsidR="00BD4DB7">
              <w:rPr>
                <w:noProof/>
                <w:webHidden/>
              </w:rPr>
              <w:t>353</w:t>
            </w:r>
            <w:r w:rsidR="00BD4DB7">
              <w:rPr>
                <w:noProof/>
                <w:webHidden/>
              </w:rPr>
              <w:fldChar w:fldCharType="end"/>
            </w:r>
          </w:hyperlink>
        </w:p>
        <w:p w14:paraId="1848A1E8" w14:textId="42FDC74D"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64" w:history="1">
            <w:r w:rsidR="00BD4DB7" w:rsidRPr="0089237F">
              <w:rPr>
                <w:rStyle w:val="Hipervnculo"/>
                <w:rFonts w:eastAsia="Calibri"/>
                <w:noProof/>
              </w:rPr>
              <w:t>CUENTAS Y GESTIÓN DE OPERACIONES</w:t>
            </w:r>
            <w:r w:rsidR="00BD4DB7">
              <w:rPr>
                <w:noProof/>
                <w:webHidden/>
              </w:rPr>
              <w:tab/>
            </w:r>
            <w:r w:rsidR="00BD4DB7">
              <w:rPr>
                <w:noProof/>
                <w:webHidden/>
              </w:rPr>
              <w:fldChar w:fldCharType="begin"/>
            </w:r>
            <w:r w:rsidR="00BD4DB7">
              <w:rPr>
                <w:noProof/>
                <w:webHidden/>
              </w:rPr>
              <w:instrText xml:space="preserve"> PAGEREF _Toc31716264 \h </w:instrText>
            </w:r>
            <w:r w:rsidR="00BD4DB7">
              <w:rPr>
                <w:noProof/>
                <w:webHidden/>
              </w:rPr>
            </w:r>
            <w:r w:rsidR="00BD4DB7">
              <w:rPr>
                <w:noProof/>
                <w:webHidden/>
              </w:rPr>
              <w:fldChar w:fldCharType="separate"/>
            </w:r>
            <w:r w:rsidR="00BD4DB7">
              <w:rPr>
                <w:noProof/>
                <w:webHidden/>
              </w:rPr>
              <w:t>353</w:t>
            </w:r>
            <w:r w:rsidR="00BD4DB7">
              <w:rPr>
                <w:noProof/>
                <w:webHidden/>
              </w:rPr>
              <w:fldChar w:fldCharType="end"/>
            </w:r>
          </w:hyperlink>
        </w:p>
        <w:p w14:paraId="3577F582" w14:textId="53C5615D"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65" w:history="1">
            <w:r w:rsidR="00BD4DB7" w:rsidRPr="0089237F">
              <w:rPr>
                <w:rStyle w:val="Hipervnculo"/>
                <w:rFonts w:eastAsia="Calibri"/>
                <w:noProof/>
              </w:rPr>
              <w:t>CAPITULO PRIMERO</w:t>
            </w:r>
            <w:r w:rsidR="00BD4DB7">
              <w:rPr>
                <w:noProof/>
                <w:webHidden/>
              </w:rPr>
              <w:tab/>
            </w:r>
            <w:r w:rsidR="00BD4DB7">
              <w:rPr>
                <w:noProof/>
                <w:webHidden/>
              </w:rPr>
              <w:fldChar w:fldCharType="begin"/>
            </w:r>
            <w:r w:rsidR="00BD4DB7">
              <w:rPr>
                <w:noProof/>
                <w:webHidden/>
              </w:rPr>
              <w:instrText xml:space="preserve"> PAGEREF _Toc31716265 \h </w:instrText>
            </w:r>
            <w:r w:rsidR="00BD4DB7">
              <w:rPr>
                <w:noProof/>
                <w:webHidden/>
              </w:rPr>
            </w:r>
            <w:r w:rsidR="00BD4DB7">
              <w:rPr>
                <w:noProof/>
                <w:webHidden/>
              </w:rPr>
              <w:fldChar w:fldCharType="separate"/>
            </w:r>
            <w:r w:rsidR="00BD4DB7">
              <w:rPr>
                <w:noProof/>
                <w:webHidden/>
              </w:rPr>
              <w:t>353</w:t>
            </w:r>
            <w:r w:rsidR="00BD4DB7">
              <w:rPr>
                <w:noProof/>
                <w:webHidden/>
              </w:rPr>
              <w:fldChar w:fldCharType="end"/>
            </w:r>
          </w:hyperlink>
        </w:p>
        <w:p w14:paraId="561246DB" w14:textId="1D4EE2F9"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66" w:history="1">
            <w:r w:rsidR="00BD4DB7" w:rsidRPr="0089237F">
              <w:rPr>
                <w:rStyle w:val="Hipervnculo"/>
                <w:noProof/>
              </w:rPr>
              <w:t>Artículo 3.3.1.1. Proceso de Creación de Cuentas en el Sistema de la Cámara.</w:t>
            </w:r>
            <w:r w:rsidR="00BD4DB7">
              <w:rPr>
                <w:noProof/>
                <w:webHidden/>
              </w:rPr>
              <w:tab/>
            </w:r>
            <w:r w:rsidR="00BD4DB7">
              <w:rPr>
                <w:noProof/>
                <w:webHidden/>
              </w:rPr>
              <w:fldChar w:fldCharType="begin"/>
            </w:r>
            <w:r w:rsidR="00BD4DB7">
              <w:rPr>
                <w:noProof/>
                <w:webHidden/>
              </w:rPr>
              <w:instrText xml:space="preserve"> PAGEREF _Toc31716266 \h </w:instrText>
            </w:r>
            <w:r w:rsidR="00BD4DB7">
              <w:rPr>
                <w:noProof/>
                <w:webHidden/>
              </w:rPr>
            </w:r>
            <w:r w:rsidR="00BD4DB7">
              <w:rPr>
                <w:noProof/>
                <w:webHidden/>
              </w:rPr>
              <w:fldChar w:fldCharType="separate"/>
            </w:r>
            <w:r w:rsidR="00BD4DB7">
              <w:rPr>
                <w:noProof/>
                <w:webHidden/>
              </w:rPr>
              <w:t>353</w:t>
            </w:r>
            <w:r w:rsidR="00BD4DB7">
              <w:rPr>
                <w:noProof/>
                <w:webHidden/>
              </w:rPr>
              <w:fldChar w:fldCharType="end"/>
            </w:r>
          </w:hyperlink>
        </w:p>
        <w:p w14:paraId="1635161B" w14:textId="72420A1B"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67" w:history="1">
            <w:r w:rsidR="00BD4DB7" w:rsidRPr="0089237F">
              <w:rPr>
                <w:rStyle w:val="Hipervnculo"/>
                <w:noProof/>
              </w:rPr>
              <w:t>Artículo 3.3.1.2. Traspaso de Operaciones Aceptadas.</w:t>
            </w:r>
            <w:r w:rsidR="00BD4DB7">
              <w:rPr>
                <w:noProof/>
                <w:webHidden/>
              </w:rPr>
              <w:tab/>
            </w:r>
            <w:r w:rsidR="00BD4DB7">
              <w:rPr>
                <w:noProof/>
                <w:webHidden/>
              </w:rPr>
              <w:fldChar w:fldCharType="begin"/>
            </w:r>
            <w:r w:rsidR="00BD4DB7">
              <w:rPr>
                <w:noProof/>
                <w:webHidden/>
              </w:rPr>
              <w:instrText xml:space="preserve"> PAGEREF _Toc31716267 \h </w:instrText>
            </w:r>
            <w:r w:rsidR="00BD4DB7">
              <w:rPr>
                <w:noProof/>
                <w:webHidden/>
              </w:rPr>
            </w:r>
            <w:r w:rsidR="00BD4DB7">
              <w:rPr>
                <w:noProof/>
                <w:webHidden/>
              </w:rPr>
              <w:fldChar w:fldCharType="separate"/>
            </w:r>
            <w:r w:rsidR="00BD4DB7">
              <w:rPr>
                <w:noProof/>
                <w:webHidden/>
              </w:rPr>
              <w:t>353</w:t>
            </w:r>
            <w:r w:rsidR="00BD4DB7">
              <w:rPr>
                <w:noProof/>
                <w:webHidden/>
              </w:rPr>
              <w:fldChar w:fldCharType="end"/>
            </w:r>
          </w:hyperlink>
        </w:p>
        <w:p w14:paraId="0D9DB56C" w14:textId="2A72620F"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68" w:history="1">
            <w:r w:rsidR="00BD4DB7" w:rsidRPr="0089237F">
              <w:rPr>
                <w:rStyle w:val="Hipervnculo"/>
                <w:noProof/>
              </w:rPr>
              <w:t>Artículo 3.3.1.3. Traspaso de Posición Abierta.</w:t>
            </w:r>
            <w:r w:rsidR="00BD4DB7">
              <w:rPr>
                <w:noProof/>
                <w:webHidden/>
              </w:rPr>
              <w:tab/>
            </w:r>
            <w:r w:rsidR="00BD4DB7">
              <w:rPr>
                <w:noProof/>
                <w:webHidden/>
              </w:rPr>
              <w:fldChar w:fldCharType="begin"/>
            </w:r>
            <w:r w:rsidR="00BD4DB7">
              <w:rPr>
                <w:noProof/>
                <w:webHidden/>
              </w:rPr>
              <w:instrText xml:space="preserve"> PAGEREF _Toc31716268 \h </w:instrText>
            </w:r>
            <w:r w:rsidR="00BD4DB7">
              <w:rPr>
                <w:noProof/>
                <w:webHidden/>
              </w:rPr>
            </w:r>
            <w:r w:rsidR="00BD4DB7">
              <w:rPr>
                <w:noProof/>
                <w:webHidden/>
              </w:rPr>
              <w:fldChar w:fldCharType="separate"/>
            </w:r>
            <w:r w:rsidR="00BD4DB7">
              <w:rPr>
                <w:noProof/>
                <w:webHidden/>
              </w:rPr>
              <w:t>353</w:t>
            </w:r>
            <w:r w:rsidR="00BD4DB7">
              <w:rPr>
                <w:noProof/>
                <w:webHidden/>
              </w:rPr>
              <w:fldChar w:fldCharType="end"/>
            </w:r>
          </w:hyperlink>
        </w:p>
        <w:p w14:paraId="764598C5" w14:textId="38318B2A"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69" w:history="1">
            <w:r w:rsidR="00BD4DB7" w:rsidRPr="0089237F">
              <w:rPr>
                <w:rStyle w:val="Hipervnculo"/>
                <w:noProof/>
              </w:rPr>
              <w:t>Artículo 3.3.1.4. Give Up.</w:t>
            </w:r>
            <w:r w:rsidR="00BD4DB7">
              <w:rPr>
                <w:noProof/>
                <w:webHidden/>
              </w:rPr>
              <w:tab/>
            </w:r>
            <w:r w:rsidR="00BD4DB7">
              <w:rPr>
                <w:noProof/>
                <w:webHidden/>
              </w:rPr>
              <w:fldChar w:fldCharType="begin"/>
            </w:r>
            <w:r w:rsidR="00BD4DB7">
              <w:rPr>
                <w:noProof/>
                <w:webHidden/>
              </w:rPr>
              <w:instrText xml:space="preserve"> PAGEREF _Toc31716269 \h </w:instrText>
            </w:r>
            <w:r w:rsidR="00BD4DB7">
              <w:rPr>
                <w:noProof/>
                <w:webHidden/>
              </w:rPr>
            </w:r>
            <w:r w:rsidR="00BD4DB7">
              <w:rPr>
                <w:noProof/>
                <w:webHidden/>
              </w:rPr>
              <w:fldChar w:fldCharType="separate"/>
            </w:r>
            <w:r w:rsidR="00BD4DB7">
              <w:rPr>
                <w:noProof/>
                <w:webHidden/>
              </w:rPr>
              <w:t>354</w:t>
            </w:r>
            <w:r w:rsidR="00BD4DB7">
              <w:rPr>
                <w:noProof/>
                <w:webHidden/>
              </w:rPr>
              <w:fldChar w:fldCharType="end"/>
            </w:r>
          </w:hyperlink>
        </w:p>
        <w:p w14:paraId="6702A1AB" w14:textId="54A12483"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70" w:history="1">
            <w:r w:rsidR="00BD4DB7" w:rsidRPr="0089237F">
              <w:rPr>
                <w:rStyle w:val="Hipervnculo"/>
                <w:rFonts w:eastAsia="Calibri"/>
                <w:noProof/>
              </w:rPr>
              <w:t>TÍTULO CUARTO</w:t>
            </w:r>
            <w:r w:rsidR="00BD4DB7">
              <w:rPr>
                <w:noProof/>
                <w:webHidden/>
              </w:rPr>
              <w:tab/>
            </w:r>
            <w:r w:rsidR="00BD4DB7">
              <w:rPr>
                <w:noProof/>
                <w:webHidden/>
              </w:rPr>
              <w:fldChar w:fldCharType="begin"/>
            </w:r>
            <w:r w:rsidR="00BD4DB7">
              <w:rPr>
                <w:noProof/>
                <w:webHidden/>
              </w:rPr>
              <w:instrText xml:space="preserve"> PAGEREF _Toc31716270 \h </w:instrText>
            </w:r>
            <w:r w:rsidR="00BD4DB7">
              <w:rPr>
                <w:noProof/>
                <w:webHidden/>
              </w:rPr>
            </w:r>
            <w:r w:rsidR="00BD4DB7">
              <w:rPr>
                <w:noProof/>
                <w:webHidden/>
              </w:rPr>
              <w:fldChar w:fldCharType="separate"/>
            </w:r>
            <w:r w:rsidR="00BD4DB7">
              <w:rPr>
                <w:noProof/>
                <w:webHidden/>
              </w:rPr>
              <w:t>354</w:t>
            </w:r>
            <w:r w:rsidR="00BD4DB7">
              <w:rPr>
                <w:noProof/>
                <w:webHidden/>
              </w:rPr>
              <w:fldChar w:fldCharType="end"/>
            </w:r>
          </w:hyperlink>
        </w:p>
        <w:p w14:paraId="6B0110BC" w14:textId="0F8D1568"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71" w:history="1">
            <w:r w:rsidR="00BD4DB7" w:rsidRPr="0089237F">
              <w:rPr>
                <w:rStyle w:val="Hipervnculo"/>
                <w:rFonts w:eastAsia="Calibri"/>
                <w:noProof/>
              </w:rPr>
              <w:t>COMPENSACIÓN Y LIQUIDACIÓN DE OPERACIONES</w:t>
            </w:r>
            <w:r w:rsidR="00BD4DB7">
              <w:rPr>
                <w:noProof/>
                <w:webHidden/>
              </w:rPr>
              <w:tab/>
            </w:r>
            <w:r w:rsidR="00BD4DB7">
              <w:rPr>
                <w:noProof/>
                <w:webHidden/>
              </w:rPr>
              <w:fldChar w:fldCharType="begin"/>
            </w:r>
            <w:r w:rsidR="00BD4DB7">
              <w:rPr>
                <w:noProof/>
                <w:webHidden/>
              </w:rPr>
              <w:instrText xml:space="preserve"> PAGEREF _Toc31716271 \h </w:instrText>
            </w:r>
            <w:r w:rsidR="00BD4DB7">
              <w:rPr>
                <w:noProof/>
                <w:webHidden/>
              </w:rPr>
            </w:r>
            <w:r w:rsidR="00BD4DB7">
              <w:rPr>
                <w:noProof/>
                <w:webHidden/>
              </w:rPr>
              <w:fldChar w:fldCharType="separate"/>
            </w:r>
            <w:r w:rsidR="00BD4DB7">
              <w:rPr>
                <w:noProof/>
                <w:webHidden/>
              </w:rPr>
              <w:t>354</w:t>
            </w:r>
            <w:r w:rsidR="00BD4DB7">
              <w:rPr>
                <w:noProof/>
                <w:webHidden/>
              </w:rPr>
              <w:fldChar w:fldCharType="end"/>
            </w:r>
          </w:hyperlink>
        </w:p>
        <w:p w14:paraId="22EBE08E" w14:textId="466C4DEE"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72" w:history="1">
            <w:r w:rsidR="00BD4DB7" w:rsidRPr="0089237F">
              <w:rPr>
                <w:rStyle w:val="Hipervnculo"/>
                <w:rFonts w:eastAsia="Calibri"/>
                <w:noProof/>
              </w:rPr>
              <w:t>CAPÍTULO PRIMERO</w:t>
            </w:r>
            <w:r w:rsidR="00BD4DB7">
              <w:rPr>
                <w:noProof/>
                <w:webHidden/>
              </w:rPr>
              <w:tab/>
            </w:r>
            <w:r w:rsidR="00BD4DB7">
              <w:rPr>
                <w:noProof/>
                <w:webHidden/>
              </w:rPr>
              <w:fldChar w:fldCharType="begin"/>
            </w:r>
            <w:r w:rsidR="00BD4DB7">
              <w:rPr>
                <w:noProof/>
                <w:webHidden/>
              </w:rPr>
              <w:instrText xml:space="preserve"> PAGEREF _Toc31716272 \h </w:instrText>
            </w:r>
            <w:r w:rsidR="00BD4DB7">
              <w:rPr>
                <w:noProof/>
                <w:webHidden/>
              </w:rPr>
            </w:r>
            <w:r w:rsidR="00BD4DB7">
              <w:rPr>
                <w:noProof/>
                <w:webHidden/>
              </w:rPr>
              <w:fldChar w:fldCharType="separate"/>
            </w:r>
            <w:r w:rsidR="00BD4DB7">
              <w:rPr>
                <w:noProof/>
                <w:webHidden/>
              </w:rPr>
              <w:t>354</w:t>
            </w:r>
            <w:r w:rsidR="00BD4DB7">
              <w:rPr>
                <w:noProof/>
                <w:webHidden/>
              </w:rPr>
              <w:fldChar w:fldCharType="end"/>
            </w:r>
          </w:hyperlink>
        </w:p>
        <w:p w14:paraId="4E125C8F" w14:textId="4CFA8D95"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73" w:history="1">
            <w:r w:rsidR="00BD4DB7" w:rsidRPr="0089237F">
              <w:rPr>
                <w:rStyle w:val="Hipervnculo"/>
                <w:rFonts w:eastAsia="Calibri"/>
                <w:noProof/>
              </w:rPr>
              <w:t>COMPENSACIÓN DE OPERACIONES DE OPERACIONES SIMULTÁNEAS</w:t>
            </w:r>
            <w:r w:rsidR="00BD4DB7">
              <w:rPr>
                <w:noProof/>
                <w:webHidden/>
              </w:rPr>
              <w:tab/>
            </w:r>
            <w:r w:rsidR="00BD4DB7">
              <w:rPr>
                <w:noProof/>
                <w:webHidden/>
              </w:rPr>
              <w:fldChar w:fldCharType="begin"/>
            </w:r>
            <w:r w:rsidR="00BD4DB7">
              <w:rPr>
                <w:noProof/>
                <w:webHidden/>
              </w:rPr>
              <w:instrText xml:space="preserve"> PAGEREF _Toc31716273 \h </w:instrText>
            </w:r>
            <w:r w:rsidR="00BD4DB7">
              <w:rPr>
                <w:noProof/>
                <w:webHidden/>
              </w:rPr>
            </w:r>
            <w:r w:rsidR="00BD4DB7">
              <w:rPr>
                <w:noProof/>
                <w:webHidden/>
              </w:rPr>
              <w:fldChar w:fldCharType="separate"/>
            </w:r>
            <w:r w:rsidR="00BD4DB7">
              <w:rPr>
                <w:noProof/>
                <w:webHidden/>
              </w:rPr>
              <w:t>354</w:t>
            </w:r>
            <w:r w:rsidR="00BD4DB7">
              <w:rPr>
                <w:noProof/>
                <w:webHidden/>
              </w:rPr>
              <w:fldChar w:fldCharType="end"/>
            </w:r>
          </w:hyperlink>
        </w:p>
        <w:p w14:paraId="3175C3E6" w14:textId="0B8E9558"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74" w:history="1">
            <w:r w:rsidR="00BD4DB7" w:rsidRPr="0089237F">
              <w:rPr>
                <w:rStyle w:val="Hipervnculo"/>
                <w:noProof/>
              </w:rPr>
              <w:t>Artículo 3.4.1.1. Compensación de Efectivo en Operaciones Simultáneas.</w:t>
            </w:r>
            <w:r w:rsidR="00BD4DB7">
              <w:rPr>
                <w:noProof/>
                <w:webHidden/>
              </w:rPr>
              <w:tab/>
            </w:r>
            <w:r w:rsidR="00BD4DB7">
              <w:rPr>
                <w:noProof/>
                <w:webHidden/>
              </w:rPr>
              <w:fldChar w:fldCharType="begin"/>
            </w:r>
            <w:r w:rsidR="00BD4DB7">
              <w:rPr>
                <w:noProof/>
                <w:webHidden/>
              </w:rPr>
              <w:instrText xml:space="preserve"> PAGEREF _Toc31716274 \h </w:instrText>
            </w:r>
            <w:r w:rsidR="00BD4DB7">
              <w:rPr>
                <w:noProof/>
                <w:webHidden/>
              </w:rPr>
            </w:r>
            <w:r w:rsidR="00BD4DB7">
              <w:rPr>
                <w:noProof/>
                <w:webHidden/>
              </w:rPr>
              <w:fldChar w:fldCharType="separate"/>
            </w:r>
            <w:r w:rsidR="00BD4DB7">
              <w:rPr>
                <w:noProof/>
                <w:webHidden/>
              </w:rPr>
              <w:t>354</w:t>
            </w:r>
            <w:r w:rsidR="00BD4DB7">
              <w:rPr>
                <w:noProof/>
                <w:webHidden/>
              </w:rPr>
              <w:fldChar w:fldCharType="end"/>
            </w:r>
          </w:hyperlink>
        </w:p>
        <w:p w14:paraId="0DE92241" w14:textId="5BDB232C"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75" w:history="1">
            <w:r w:rsidR="00BD4DB7" w:rsidRPr="0089237F">
              <w:rPr>
                <w:rStyle w:val="Hipervnculo"/>
                <w:noProof/>
              </w:rPr>
              <w:t>Artículo 3.4.1.2. Compensación de Activos Operaciones Simultáneas.</w:t>
            </w:r>
            <w:r w:rsidR="00BD4DB7">
              <w:rPr>
                <w:noProof/>
                <w:webHidden/>
              </w:rPr>
              <w:tab/>
            </w:r>
            <w:r w:rsidR="00BD4DB7">
              <w:rPr>
                <w:noProof/>
                <w:webHidden/>
              </w:rPr>
              <w:fldChar w:fldCharType="begin"/>
            </w:r>
            <w:r w:rsidR="00BD4DB7">
              <w:rPr>
                <w:noProof/>
                <w:webHidden/>
              </w:rPr>
              <w:instrText xml:space="preserve"> PAGEREF _Toc31716275 \h </w:instrText>
            </w:r>
            <w:r w:rsidR="00BD4DB7">
              <w:rPr>
                <w:noProof/>
                <w:webHidden/>
              </w:rPr>
            </w:r>
            <w:r w:rsidR="00BD4DB7">
              <w:rPr>
                <w:noProof/>
                <w:webHidden/>
              </w:rPr>
              <w:fldChar w:fldCharType="separate"/>
            </w:r>
            <w:r w:rsidR="00BD4DB7">
              <w:rPr>
                <w:noProof/>
                <w:webHidden/>
              </w:rPr>
              <w:t>354</w:t>
            </w:r>
            <w:r w:rsidR="00BD4DB7">
              <w:rPr>
                <w:noProof/>
                <w:webHidden/>
              </w:rPr>
              <w:fldChar w:fldCharType="end"/>
            </w:r>
          </w:hyperlink>
        </w:p>
        <w:p w14:paraId="43D3C6F8" w14:textId="204B1C67"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76" w:history="1">
            <w:r w:rsidR="00BD4DB7" w:rsidRPr="0089237F">
              <w:rPr>
                <w:rStyle w:val="Hipervnculo"/>
                <w:rFonts w:eastAsia="Calibri"/>
                <w:noProof/>
              </w:rPr>
              <w:t>CAPÍTULO SEGUNDO</w:t>
            </w:r>
            <w:r w:rsidR="00BD4DB7">
              <w:rPr>
                <w:noProof/>
                <w:webHidden/>
              </w:rPr>
              <w:tab/>
            </w:r>
            <w:r w:rsidR="00BD4DB7">
              <w:rPr>
                <w:noProof/>
                <w:webHidden/>
              </w:rPr>
              <w:fldChar w:fldCharType="begin"/>
            </w:r>
            <w:r w:rsidR="00BD4DB7">
              <w:rPr>
                <w:noProof/>
                <w:webHidden/>
              </w:rPr>
              <w:instrText xml:space="preserve"> PAGEREF _Toc31716276 \h </w:instrText>
            </w:r>
            <w:r w:rsidR="00BD4DB7">
              <w:rPr>
                <w:noProof/>
                <w:webHidden/>
              </w:rPr>
            </w:r>
            <w:r w:rsidR="00BD4DB7">
              <w:rPr>
                <w:noProof/>
                <w:webHidden/>
              </w:rPr>
              <w:fldChar w:fldCharType="separate"/>
            </w:r>
            <w:r w:rsidR="00BD4DB7">
              <w:rPr>
                <w:noProof/>
                <w:webHidden/>
              </w:rPr>
              <w:t>354</w:t>
            </w:r>
            <w:r w:rsidR="00BD4DB7">
              <w:rPr>
                <w:noProof/>
                <w:webHidden/>
              </w:rPr>
              <w:fldChar w:fldCharType="end"/>
            </w:r>
          </w:hyperlink>
        </w:p>
        <w:p w14:paraId="2E84EA24" w14:textId="2F138698"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77" w:history="1">
            <w:r w:rsidR="00BD4DB7" w:rsidRPr="0089237F">
              <w:rPr>
                <w:rStyle w:val="Hipervnculo"/>
                <w:rFonts w:eastAsia="Calibri"/>
                <w:noProof/>
              </w:rPr>
              <w:t>TIPO DE LIQUIDACIÓN DE OPERACIONES SIMULTÁNEAS</w:t>
            </w:r>
            <w:r w:rsidR="00BD4DB7">
              <w:rPr>
                <w:noProof/>
                <w:webHidden/>
              </w:rPr>
              <w:tab/>
            </w:r>
            <w:r w:rsidR="00BD4DB7">
              <w:rPr>
                <w:noProof/>
                <w:webHidden/>
              </w:rPr>
              <w:fldChar w:fldCharType="begin"/>
            </w:r>
            <w:r w:rsidR="00BD4DB7">
              <w:rPr>
                <w:noProof/>
                <w:webHidden/>
              </w:rPr>
              <w:instrText xml:space="preserve"> PAGEREF _Toc31716277 \h </w:instrText>
            </w:r>
            <w:r w:rsidR="00BD4DB7">
              <w:rPr>
                <w:noProof/>
                <w:webHidden/>
              </w:rPr>
            </w:r>
            <w:r w:rsidR="00BD4DB7">
              <w:rPr>
                <w:noProof/>
                <w:webHidden/>
              </w:rPr>
              <w:fldChar w:fldCharType="separate"/>
            </w:r>
            <w:r w:rsidR="00BD4DB7">
              <w:rPr>
                <w:noProof/>
                <w:webHidden/>
              </w:rPr>
              <w:t>354</w:t>
            </w:r>
            <w:r w:rsidR="00BD4DB7">
              <w:rPr>
                <w:noProof/>
                <w:webHidden/>
              </w:rPr>
              <w:fldChar w:fldCharType="end"/>
            </w:r>
          </w:hyperlink>
        </w:p>
        <w:p w14:paraId="3C173CF2" w14:textId="146B9074"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78" w:history="1">
            <w:r w:rsidR="00BD4DB7" w:rsidRPr="0089237F">
              <w:rPr>
                <w:rStyle w:val="Hipervnculo"/>
                <w:noProof/>
              </w:rPr>
              <w:t>Artículo 3.4.2.1. Tipo de Liquidación en Operaciones Simultáneas.</w:t>
            </w:r>
            <w:r w:rsidR="00BD4DB7">
              <w:rPr>
                <w:noProof/>
                <w:webHidden/>
              </w:rPr>
              <w:tab/>
            </w:r>
            <w:r w:rsidR="00BD4DB7">
              <w:rPr>
                <w:noProof/>
                <w:webHidden/>
              </w:rPr>
              <w:fldChar w:fldCharType="begin"/>
            </w:r>
            <w:r w:rsidR="00BD4DB7">
              <w:rPr>
                <w:noProof/>
                <w:webHidden/>
              </w:rPr>
              <w:instrText xml:space="preserve"> PAGEREF _Toc31716278 \h </w:instrText>
            </w:r>
            <w:r w:rsidR="00BD4DB7">
              <w:rPr>
                <w:noProof/>
                <w:webHidden/>
              </w:rPr>
            </w:r>
            <w:r w:rsidR="00BD4DB7">
              <w:rPr>
                <w:noProof/>
                <w:webHidden/>
              </w:rPr>
              <w:fldChar w:fldCharType="separate"/>
            </w:r>
            <w:r w:rsidR="00BD4DB7">
              <w:rPr>
                <w:noProof/>
                <w:webHidden/>
              </w:rPr>
              <w:t>355</w:t>
            </w:r>
            <w:r w:rsidR="00BD4DB7">
              <w:rPr>
                <w:noProof/>
                <w:webHidden/>
              </w:rPr>
              <w:fldChar w:fldCharType="end"/>
            </w:r>
          </w:hyperlink>
        </w:p>
        <w:p w14:paraId="6289EFE5" w14:textId="3380D633"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79" w:history="1">
            <w:r w:rsidR="00BD4DB7" w:rsidRPr="0089237F">
              <w:rPr>
                <w:rStyle w:val="Hipervnculo"/>
                <w:rFonts w:eastAsia="Calibri"/>
                <w:noProof/>
              </w:rPr>
              <w:t>CAPÍTULO TERCERO</w:t>
            </w:r>
            <w:r w:rsidR="00BD4DB7">
              <w:rPr>
                <w:noProof/>
                <w:webHidden/>
              </w:rPr>
              <w:tab/>
            </w:r>
            <w:r w:rsidR="00BD4DB7">
              <w:rPr>
                <w:noProof/>
                <w:webHidden/>
              </w:rPr>
              <w:fldChar w:fldCharType="begin"/>
            </w:r>
            <w:r w:rsidR="00BD4DB7">
              <w:rPr>
                <w:noProof/>
                <w:webHidden/>
              </w:rPr>
              <w:instrText xml:space="preserve"> PAGEREF _Toc31716279 \h </w:instrText>
            </w:r>
            <w:r w:rsidR="00BD4DB7">
              <w:rPr>
                <w:noProof/>
                <w:webHidden/>
              </w:rPr>
            </w:r>
            <w:r w:rsidR="00BD4DB7">
              <w:rPr>
                <w:noProof/>
                <w:webHidden/>
              </w:rPr>
              <w:fldChar w:fldCharType="separate"/>
            </w:r>
            <w:r w:rsidR="00BD4DB7">
              <w:rPr>
                <w:noProof/>
                <w:webHidden/>
              </w:rPr>
              <w:t>355</w:t>
            </w:r>
            <w:r w:rsidR="00BD4DB7">
              <w:rPr>
                <w:noProof/>
                <w:webHidden/>
              </w:rPr>
              <w:fldChar w:fldCharType="end"/>
            </w:r>
          </w:hyperlink>
        </w:p>
        <w:p w14:paraId="60C5182E" w14:textId="752EF64A"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80" w:history="1">
            <w:r w:rsidR="00BD4DB7" w:rsidRPr="0089237F">
              <w:rPr>
                <w:rStyle w:val="Hipervnculo"/>
                <w:rFonts w:eastAsia="Calibri"/>
                <w:noProof/>
              </w:rPr>
              <w:t>LIQUIDACIÓN AL VENCIMIENTO DE LAS OPERACIONES SIMULTÁNEAS</w:t>
            </w:r>
            <w:r w:rsidR="00BD4DB7">
              <w:rPr>
                <w:noProof/>
                <w:webHidden/>
              </w:rPr>
              <w:tab/>
            </w:r>
            <w:r w:rsidR="00BD4DB7">
              <w:rPr>
                <w:noProof/>
                <w:webHidden/>
              </w:rPr>
              <w:fldChar w:fldCharType="begin"/>
            </w:r>
            <w:r w:rsidR="00BD4DB7">
              <w:rPr>
                <w:noProof/>
                <w:webHidden/>
              </w:rPr>
              <w:instrText xml:space="preserve"> PAGEREF _Toc31716280 \h </w:instrText>
            </w:r>
            <w:r w:rsidR="00BD4DB7">
              <w:rPr>
                <w:noProof/>
                <w:webHidden/>
              </w:rPr>
            </w:r>
            <w:r w:rsidR="00BD4DB7">
              <w:rPr>
                <w:noProof/>
                <w:webHidden/>
              </w:rPr>
              <w:fldChar w:fldCharType="separate"/>
            </w:r>
            <w:r w:rsidR="00BD4DB7">
              <w:rPr>
                <w:noProof/>
                <w:webHidden/>
              </w:rPr>
              <w:t>355</w:t>
            </w:r>
            <w:r w:rsidR="00BD4DB7">
              <w:rPr>
                <w:noProof/>
                <w:webHidden/>
              </w:rPr>
              <w:fldChar w:fldCharType="end"/>
            </w:r>
          </w:hyperlink>
        </w:p>
        <w:p w14:paraId="043D7D73" w14:textId="292A102F"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81" w:history="1">
            <w:r w:rsidR="00BD4DB7" w:rsidRPr="0089237F">
              <w:rPr>
                <w:rStyle w:val="Hipervnculo"/>
                <w:noProof/>
              </w:rPr>
              <w:t>Artículo 3.4.3.1. Liquidación por Entrega de Operaciones Simultáneas provenientes de sistemas de negociación y/o registro o Mecanismo de Contratación cuyo Tipo de Liquidación incluya Liquidación Únicamente al Vencimiento.</w:t>
            </w:r>
            <w:r w:rsidR="00BD4DB7">
              <w:rPr>
                <w:noProof/>
                <w:webHidden/>
              </w:rPr>
              <w:tab/>
            </w:r>
            <w:r w:rsidR="00BD4DB7">
              <w:rPr>
                <w:noProof/>
                <w:webHidden/>
              </w:rPr>
              <w:fldChar w:fldCharType="begin"/>
            </w:r>
            <w:r w:rsidR="00BD4DB7">
              <w:rPr>
                <w:noProof/>
                <w:webHidden/>
              </w:rPr>
              <w:instrText xml:space="preserve"> PAGEREF _Toc31716281 \h </w:instrText>
            </w:r>
            <w:r w:rsidR="00BD4DB7">
              <w:rPr>
                <w:noProof/>
                <w:webHidden/>
              </w:rPr>
            </w:r>
            <w:r w:rsidR="00BD4DB7">
              <w:rPr>
                <w:noProof/>
                <w:webHidden/>
              </w:rPr>
              <w:fldChar w:fldCharType="separate"/>
            </w:r>
            <w:r w:rsidR="00BD4DB7">
              <w:rPr>
                <w:noProof/>
                <w:webHidden/>
              </w:rPr>
              <w:t>355</w:t>
            </w:r>
            <w:r w:rsidR="00BD4DB7">
              <w:rPr>
                <w:noProof/>
                <w:webHidden/>
              </w:rPr>
              <w:fldChar w:fldCharType="end"/>
            </w:r>
          </w:hyperlink>
        </w:p>
        <w:p w14:paraId="460244FF" w14:textId="50B247E5"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82" w:history="1">
            <w:r w:rsidR="00BD4DB7" w:rsidRPr="0089237F">
              <w:rPr>
                <w:rStyle w:val="Hipervnculo"/>
                <w:noProof/>
              </w:rPr>
              <w:t>Artículo 3.4.3.2. Conceptos incluidos en la Liquidación por Entrega de Operaciones Simultáneas provenientes de sistemas de negociación y/o registro.</w:t>
            </w:r>
            <w:r w:rsidR="00BD4DB7">
              <w:rPr>
                <w:noProof/>
                <w:webHidden/>
              </w:rPr>
              <w:tab/>
            </w:r>
            <w:r w:rsidR="00BD4DB7">
              <w:rPr>
                <w:noProof/>
                <w:webHidden/>
              </w:rPr>
              <w:fldChar w:fldCharType="begin"/>
            </w:r>
            <w:r w:rsidR="00BD4DB7">
              <w:rPr>
                <w:noProof/>
                <w:webHidden/>
              </w:rPr>
              <w:instrText xml:space="preserve"> PAGEREF _Toc31716282 \h </w:instrText>
            </w:r>
            <w:r w:rsidR="00BD4DB7">
              <w:rPr>
                <w:noProof/>
                <w:webHidden/>
              </w:rPr>
            </w:r>
            <w:r w:rsidR="00BD4DB7">
              <w:rPr>
                <w:noProof/>
                <w:webHidden/>
              </w:rPr>
              <w:fldChar w:fldCharType="separate"/>
            </w:r>
            <w:r w:rsidR="00BD4DB7">
              <w:rPr>
                <w:noProof/>
                <w:webHidden/>
              </w:rPr>
              <w:t>355</w:t>
            </w:r>
            <w:r w:rsidR="00BD4DB7">
              <w:rPr>
                <w:noProof/>
                <w:webHidden/>
              </w:rPr>
              <w:fldChar w:fldCharType="end"/>
            </w:r>
          </w:hyperlink>
        </w:p>
        <w:p w14:paraId="601DC885" w14:textId="3B99133B"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83" w:history="1">
            <w:r w:rsidR="00BD4DB7" w:rsidRPr="0089237F">
              <w:rPr>
                <w:rStyle w:val="Hipervnculo"/>
                <w:noProof/>
              </w:rPr>
              <w:t>Artículo 3.4.3.3. Determinación del Activo a entregar en la Liquidación por Entrega de Operaciones Simultáneas provenientes de sistemas de negociación y/o registro.</w:t>
            </w:r>
            <w:r w:rsidR="00BD4DB7">
              <w:rPr>
                <w:noProof/>
                <w:webHidden/>
              </w:rPr>
              <w:tab/>
            </w:r>
            <w:r w:rsidR="00BD4DB7">
              <w:rPr>
                <w:noProof/>
                <w:webHidden/>
              </w:rPr>
              <w:fldChar w:fldCharType="begin"/>
            </w:r>
            <w:r w:rsidR="00BD4DB7">
              <w:rPr>
                <w:noProof/>
                <w:webHidden/>
              </w:rPr>
              <w:instrText xml:space="preserve"> PAGEREF _Toc31716283 \h </w:instrText>
            </w:r>
            <w:r w:rsidR="00BD4DB7">
              <w:rPr>
                <w:noProof/>
                <w:webHidden/>
              </w:rPr>
            </w:r>
            <w:r w:rsidR="00BD4DB7">
              <w:rPr>
                <w:noProof/>
                <w:webHidden/>
              </w:rPr>
              <w:fldChar w:fldCharType="separate"/>
            </w:r>
            <w:r w:rsidR="00BD4DB7">
              <w:rPr>
                <w:noProof/>
                <w:webHidden/>
              </w:rPr>
              <w:t>356</w:t>
            </w:r>
            <w:r w:rsidR="00BD4DB7">
              <w:rPr>
                <w:noProof/>
                <w:webHidden/>
              </w:rPr>
              <w:fldChar w:fldCharType="end"/>
            </w:r>
          </w:hyperlink>
        </w:p>
        <w:p w14:paraId="71A28701" w14:textId="1EF2E6EA"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84" w:history="1">
            <w:r w:rsidR="00BD4DB7" w:rsidRPr="0089237F">
              <w:rPr>
                <w:rStyle w:val="Hipervnculo"/>
                <w:noProof/>
              </w:rPr>
              <w:t>Artículo 3.4.3.4. Determinación del valor de giro del efectivo a pagar en la Liquidación por Entrega de Operaciones Simultáneas provenientes de sistemas de negociación y/o registro.</w:t>
            </w:r>
            <w:r w:rsidR="00BD4DB7">
              <w:rPr>
                <w:noProof/>
                <w:webHidden/>
              </w:rPr>
              <w:tab/>
            </w:r>
            <w:r w:rsidR="00BD4DB7">
              <w:rPr>
                <w:noProof/>
                <w:webHidden/>
              </w:rPr>
              <w:fldChar w:fldCharType="begin"/>
            </w:r>
            <w:r w:rsidR="00BD4DB7">
              <w:rPr>
                <w:noProof/>
                <w:webHidden/>
              </w:rPr>
              <w:instrText xml:space="preserve"> PAGEREF _Toc31716284 \h </w:instrText>
            </w:r>
            <w:r w:rsidR="00BD4DB7">
              <w:rPr>
                <w:noProof/>
                <w:webHidden/>
              </w:rPr>
            </w:r>
            <w:r w:rsidR="00BD4DB7">
              <w:rPr>
                <w:noProof/>
                <w:webHidden/>
              </w:rPr>
              <w:fldChar w:fldCharType="separate"/>
            </w:r>
            <w:r w:rsidR="00BD4DB7">
              <w:rPr>
                <w:noProof/>
                <w:webHidden/>
              </w:rPr>
              <w:t>356</w:t>
            </w:r>
            <w:r w:rsidR="00BD4DB7">
              <w:rPr>
                <w:noProof/>
                <w:webHidden/>
              </w:rPr>
              <w:fldChar w:fldCharType="end"/>
            </w:r>
          </w:hyperlink>
        </w:p>
        <w:p w14:paraId="032238C3" w14:textId="195359E5"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85" w:history="1">
            <w:r w:rsidR="00BD4DB7" w:rsidRPr="0089237F">
              <w:rPr>
                <w:rStyle w:val="Hipervnculo"/>
                <w:noProof/>
              </w:rPr>
              <w:t>Artículo 3.4.3.5. Solución del proceso de entrega de Activos y de Efectivo en la Liquidación por Entrega de Operaciones Simultáneas provenientes de sistemas de negociación y/o registro.</w:t>
            </w:r>
            <w:r w:rsidR="00BD4DB7">
              <w:rPr>
                <w:noProof/>
                <w:webHidden/>
              </w:rPr>
              <w:tab/>
            </w:r>
            <w:r w:rsidR="00BD4DB7">
              <w:rPr>
                <w:noProof/>
                <w:webHidden/>
              </w:rPr>
              <w:fldChar w:fldCharType="begin"/>
            </w:r>
            <w:r w:rsidR="00BD4DB7">
              <w:rPr>
                <w:noProof/>
                <w:webHidden/>
              </w:rPr>
              <w:instrText xml:space="preserve"> PAGEREF _Toc31716285 \h </w:instrText>
            </w:r>
            <w:r w:rsidR="00BD4DB7">
              <w:rPr>
                <w:noProof/>
                <w:webHidden/>
              </w:rPr>
            </w:r>
            <w:r w:rsidR="00BD4DB7">
              <w:rPr>
                <w:noProof/>
                <w:webHidden/>
              </w:rPr>
              <w:fldChar w:fldCharType="separate"/>
            </w:r>
            <w:r w:rsidR="00BD4DB7">
              <w:rPr>
                <w:noProof/>
                <w:webHidden/>
              </w:rPr>
              <w:t>356</w:t>
            </w:r>
            <w:r w:rsidR="00BD4DB7">
              <w:rPr>
                <w:noProof/>
                <w:webHidden/>
              </w:rPr>
              <w:fldChar w:fldCharType="end"/>
            </w:r>
          </w:hyperlink>
        </w:p>
        <w:p w14:paraId="52E84D02" w14:textId="72724892"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86" w:history="1">
            <w:r w:rsidR="00BD4DB7" w:rsidRPr="0089237F">
              <w:rPr>
                <w:rStyle w:val="Hipervnculo"/>
                <w:noProof/>
              </w:rPr>
              <w:t>Artículo 3.4.3.6. Etapas del Procedimiento de la Liquidación por Entrega de Operaciones Simultáneas provenientes de sistemas de negociación y/o registro.</w:t>
            </w:r>
            <w:r w:rsidR="00BD4DB7">
              <w:rPr>
                <w:noProof/>
                <w:webHidden/>
              </w:rPr>
              <w:tab/>
            </w:r>
            <w:r w:rsidR="00BD4DB7">
              <w:rPr>
                <w:noProof/>
                <w:webHidden/>
              </w:rPr>
              <w:fldChar w:fldCharType="begin"/>
            </w:r>
            <w:r w:rsidR="00BD4DB7">
              <w:rPr>
                <w:noProof/>
                <w:webHidden/>
              </w:rPr>
              <w:instrText xml:space="preserve"> PAGEREF _Toc31716286 \h </w:instrText>
            </w:r>
            <w:r w:rsidR="00BD4DB7">
              <w:rPr>
                <w:noProof/>
                <w:webHidden/>
              </w:rPr>
            </w:r>
            <w:r w:rsidR="00BD4DB7">
              <w:rPr>
                <w:noProof/>
                <w:webHidden/>
              </w:rPr>
              <w:fldChar w:fldCharType="separate"/>
            </w:r>
            <w:r w:rsidR="00BD4DB7">
              <w:rPr>
                <w:noProof/>
                <w:webHidden/>
              </w:rPr>
              <w:t>356</w:t>
            </w:r>
            <w:r w:rsidR="00BD4DB7">
              <w:rPr>
                <w:noProof/>
                <w:webHidden/>
              </w:rPr>
              <w:fldChar w:fldCharType="end"/>
            </w:r>
          </w:hyperlink>
        </w:p>
        <w:p w14:paraId="34DF1A19" w14:textId="2720A165"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87" w:history="1">
            <w:r w:rsidR="00BD4DB7" w:rsidRPr="0089237F">
              <w:rPr>
                <w:rStyle w:val="Hipervnculo"/>
                <w:noProof/>
              </w:rPr>
              <w:t>Artículo 3.4.3.7. Procedimiento de Liquidación por Entrega de Operaciones Simultáneas provenientes de sistemas de negociación y/o registro.</w:t>
            </w:r>
            <w:r w:rsidR="00BD4DB7">
              <w:rPr>
                <w:noProof/>
                <w:webHidden/>
              </w:rPr>
              <w:tab/>
            </w:r>
            <w:r w:rsidR="00BD4DB7">
              <w:rPr>
                <w:noProof/>
                <w:webHidden/>
              </w:rPr>
              <w:fldChar w:fldCharType="begin"/>
            </w:r>
            <w:r w:rsidR="00BD4DB7">
              <w:rPr>
                <w:noProof/>
                <w:webHidden/>
              </w:rPr>
              <w:instrText xml:space="preserve"> PAGEREF _Toc31716287 \h </w:instrText>
            </w:r>
            <w:r w:rsidR="00BD4DB7">
              <w:rPr>
                <w:noProof/>
                <w:webHidden/>
              </w:rPr>
            </w:r>
            <w:r w:rsidR="00BD4DB7">
              <w:rPr>
                <w:noProof/>
                <w:webHidden/>
              </w:rPr>
              <w:fldChar w:fldCharType="separate"/>
            </w:r>
            <w:r w:rsidR="00BD4DB7">
              <w:rPr>
                <w:noProof/>
                <w:webHidden/>
              </w:rPr>
              <w:t>357</w:t>
            </w:r>
            <w:r w:rsidR="00BD4DB7">
              <w:rPr>
                <w:noProof/>
                <w:webHidden/>
              </w:rPr>
              <w:fldChar w:fldCharType="end"/>
            </w:r>
          </w:hyperlink>
        </w:p>
        <w:p w14:paraId="6DF90FCA" w14:textId="1DC0596C"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88" w:history="1">
            <w:r w:rsidR="00BD4DB7" w:rsidRPr="0089237F">
              <w:rPr>
                <w:rStyle w:val="Hipervnculo"/>
                <w:rFonts w:eastAsia="Calibri"/>
                <w:noProof/>
              </w:rPr>
              <w:t>CAPÍTULO CUARTO</w:t>
            </w:r>
            <w:r w:rsidR="00BD4DB7">
              <w:rPr>
                <w:noProof/>
                <w:webHidden/>
              </w:rPr>
              <w:tab/>
            </w:r>
            <w:r w:rsidR="00BD4DB7">
              <w:rPr>
                <w:noProof/>
                <w:webHidden/>
              </w:rPr>
              <w:fldChar w:fldCharType="begin"/>
            </w:r>
            <w:r w:rsidR="00BD4DB7">
              <w:rPr>
                <w:noProof/>
                <w:webHidden/>
              </w:rPr>
              <w:instrText xml:space="preserve"> PAGEREF _Toc31716288 \h </w:instrText>
            </w:r>
            <w:r w:rsidR="00BD4DB7">
              <w:rPr>
                <w:noProof/>
                <w:webHidden/>
              </w:rPr>
            </w:r>
            <w:r w:rsidR="00BD4DB7">
              <w:rPr>
                <w:noProof/>
                <w:webHidden/>
              </w:rPr>
              <w:fldChar w:fldCharType="separate"/>
            </w:r>
            <w:r w:rsidR="00BD4DB7">
              <w:rPr>
                <w:noProof/>
                <w:webHidden/>
              </w:rPr>
              <w:t>358</w:t>
            </w:r>
            <w:r w:rsidR="00BD4DB7">
              <w:rPr>
                <w:noProof/>
                <w:webHidden/>
              </w:rPr>
              <w:fldChar w:fldCharType="end"/>
            </w:r>
          </w:hyperlink>
        </w:p>
        <w:p w14:paraId="06DFA901" w14:textId="5B6700FD"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89" w:history="1">
            <w:r w:rsidR="00BD4DB7" w:rsidRPr="0089237F">
              <w:rPr>
                <w:rStyle w:val="Hipervnculo"/>
                <w:rFonts w:eastAsia="Calibri"/>
                <w:noProof/>
              </w:rPr>
              <w:t>COMPENSACIÓN Y LIQUIDACIÓN ANTICIPADA</w:t>
            </w:r>
            <w:r w:rsidR="00BD4DB7">
              <w:rPr>
                <w:noProof/>
                <w:webHidden/>
              </w:rPr>
              <w:tab/>
            </w:r>
            <w:r w:rsidR="00BD4DB7">
              <w:rPr>
                <w:noProof/>
                <w:webHidden/>
              </w:rPr>
              <w:fldChar w:fldCharType="begin"/>
            </w:r>
            <w:r w:rsidR="00BD4DB7">
              <w:rPr>
                <w:noProof/>
                <w:webHidden/>
              </w:rPr>
              <w:instrText xml:space="preserve"> PAGEREF _Toc31716289 \h </w:instrText>
            </w:r>
            <w:r w:rsidR="00BD4DB7">
              <w:rPr>
                <w:noProof/>
                <w:webHidden/>
              </w:rPr>
            </w:r>
            <w:r w:rsidR="00BD4DB7">
              <w:rPr>
                <w:noProof/>
                <w:webHidden/>
              </w:rPr>
              <w:fldChar w:fldCharType="separate"/>
            </w:r>
            <w:r w:rsidR="00BD4DB7">
              <w:rPr>
                <w:noProof/>
                <w:webHidden/>
              </w:rPr>
              <w:t>358</w:t>
            </w:r>
            <w:r w:rsidR="00BD4DB7">
              <w:rPr>
                <w:noProof/>
                <w:webHidden/>
              </w:rPr>
              <w:fldChar w:fldCharType="end"/>
            </w:r>
          </w:hyperlink>
        </w:p>
        <w:p w14:paraId="4D633F23" w14:textId="25615FEE"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90" w:history="1">
            <w:r w:rsidR="00BD4DB7" w:rsidRPr="0089237F">
              <w:rPr>
                <w:rStyle w:val="Hipervnculo"/>
                <w:noProof/>
              </w:rPr>
              <w:t>Artículo 3.4.4.1. Compensación y Liquidación Anticipada por solicitud de un Miembro.</w:t>
            </w:r>
            <w:r w:rsidR="00BD4DB7">
              <w:rPr>
                <w:noProof/>
                <w:webHidden/>
              </w:rPr>
              <w:tab/>
            </w:r>
            <w:r w:rsidR="00BD4DB7">
              <w:rPr>
                <w:noProof/>
                <w:webHidden/>
              </w:rPr>
              <w:fldChar w:fldCharType="begin"/>
            </w:r>
            <w:r w:rsidR="00BD4DB7">
              <w:rPr>
                <w:noProof/>
                <w:webHidden/>
              </w:rPr>
              <w:instrText xml:space="preserve"> PAGEREF _Toc31716290 \h </w:instrText>
            </w:r>
            <w:r w:rsidR="00BD4DB7">
              <w:rPr>
                <w:noProof/>
                <w:webHidden/>
              </w:rPr>
            </w:r>
            <w:r w:rsidR="00BD4DB7">
              <w:rPr>
                <w:noProof/>
                <w:webHidden/>
              </w:rPr>
              <w:fldChar w:fldCharType="separate"/>
            </w:r>
            <w:r w:rsidR="00BD4DB7">
              <w:rPr>
                <w:noProof/>
                <w:webHidden/>
              </w:rPr>
              <w:t>358</w:t>
            </w:r>
            <w:r w:rsidR="00BD4DB7">
              <w:rPr>
                <w:noProof/>
                <w:webHidden/>
              </w:rPr>
              <w:fldChar w:fldCharType="end"/>
            </w:r>
          </w:hyperlink>
        </w:p>
        <w:p w14:paraId="737A0F42" w14:textId="482CD521"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91" w:history="1">
            <w:r w:rsidR="00BD4DB7" w:rsidRPr="0089237F">
              <w:rPr>
                <w:rStyle w:val="Hipervnculo"/>
                <w:rFonts w:eastAsia="Calibri"/>
                <w:noProof/>
              </w:rPr>
              <w:t>TÍTULO QUINTO</w:t>
            </w:r>
            <w:r w:rsidR="00BD4DB7">
              <w:rPr>
                <w:noProof/>
                <w:webHidden/>
              </w:rPr>
              <w:tab/>
            </w:r>
            <w:r w:rsidR="00BD4DB7">
              <w:rPr>
                <w:noProof/>
                <w:webHidden/>
              </w:rPr>
              <w:fldChar w:fldCharType="begin"/>
            </w:r>
            <w:r w:rsidR="00BD4DB7">
              <w:rPr>
                <w:noProof/>
                <w:webHidden/>
              </w:rPr>
              <w:instrText xml:space="preserve"> PAGEREF _Toc31716291 \h </w:instrText>
            </w:r>
            <w:r w:rsidR="00BD4DB7">
              <w:rPr>
                <w:noProof/>
                <w:webHidden/>
              </w:rPr>
            </w:r>
            <w:r w:rsidR="00BD4DB7">
              <w:rPr>
                <w:noProof/>
                <w:webHidden/>
              </w:rPr>
              <w:fldChar w:fldCharType="separate"/>
            </w:r>
            <w:r w:rsidR="00BD4DB7">
              <w:rPr>
                <w:noProof/>
                <w:webHidden/>
              </w:rPr>
              <w:t>358</w:t>
            </w:r>
            <w:r w:rsidR="00BD4DB7">
              <w:rPr>
                <w:noProof/>
                <w:webHidden/>
              </w:rPr>
              <w:fldChar w:fldCharType="end"/>
            </w:r>
          </w:hyperlink>
        </w:p>
        <w:p w14:paraId="2CA8463F" w14:textId="78397E72"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92" w:history="1">
            <w:r w:rsidR="00BD4DB7" w:rsidRPr="0089237F">
              <w:rPr>
                <w:rStyle w:val="Hipervnculo"/>
                <w:rFonts w:eastAsia="Calibri"/>
                <w:noProof/>
              </w:rPr>
              <w:t>MODELO DE RIESGO DE LA CÁMARA PARA EL CÁLCULO Y GESTIÓN DE GARANTÍAS Y DEFINICIÓN DE LÍMITES</w:t>
            </w:r>
            <w:r w:rsidR="00BD4DB7">
              <w:rPr>
                <w:noProof/>
                <w:webHidden/>
              </w:rPr>
              <w:tab/>
            </w:r>
            <w:r w:rsidR="00BD4DB7">
              <w:rPr>
                <w:noProof/>
                <w:webHidden/>
              </w:rPr>
              <w:fldChar w:fldCharType="begin"/>
            </w:r>
            <w:r w:rsidR="00BD4DB7">
              <w:rPr>
                <w:noProof/>
                <w:webHidden/>
              </w:rPr>
              <w:instrText xml:space="preserve"> PAGEREF _Toc31716292 \h </w:instrText>
            </w:r>
            <w:r w:rsidR="00BD4DB7">
              <w:rPr>
                <w:noProof/>
                <w:webHidden/>
              </w:rPr>
            </w:r>
            <w:r w:rsidR="00BD4DB7">
              <w:rPr>
                <w:noProof/>
                <w:webHidden/>
              </w:rPr>
              <w:fldChar w:fldCharType="separate"/>
            </w:r>
            <w:r w:rsidR="00BD4DB7">
              <w:rPr>
                <w:noProof/>
                <w:webHidden/>
              </w:rPr>
              <w:t>358</w:t>
            </w:r>
            <w:r w:rsidR="00BD4DB7">
              <w:rPr>
                <w:noProof/>
                <w:webHidden/>
              </w:rPr>
              <w:fldChar w:fldCharType="end"/>
            </w:r>
          </w:hyperlink>
        </w:p>
        <w:p w14:paraId="4E9BAEAF" w14:textId="0CBC8173"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93" w:history="1">
            <w:r w:rsidR="00BD4DB7" w:rsidRPr="0089237F">
              <w:rPr>
                <w:rStyle w:val="Hipervnculo"/>
                <w:rFonts w:eastAsia="Calibri"/>
                <w:noProof/>
              </w:rPr>
              <w:t>CAPÍTULO PRIMERO</w:t>
            </w:r>
            <w:r w:rsidR="00BD4DB7">
              <w:rPr>
                <w:noProof/>
                <w:webHidden/>
              </w:rPr>
              <w:tab/>
            </w:r>
            <w:r w:rsidR="00BD4DB7">
              <w:rPr>
                <w:noProof/>
                <w:webHidden/>
              </w:rPr>
              <w:fldChar w:fldCharType="begin"/>
            </w:r>
            <w:r w:rsidR="00BD4DB7">
              <w:rPr>
                <w:noProof/>
                <w:webHidden/>
              </w:rPr>
              <w:instrText xml:space="preserve"> PAGEREF _Toc31716293 \h </w:instrText>
            </w:r>
            <w:r w:rsidR="00BD4DB7">
              <w:rPr>
                <w:noProof/>
                <w:webHidden/>
              </w:rPr>
            </w:r>
            <w:r w:rsidR="00BD4DB7">
              <w:rPr>
                <w:noProof/>
                <w:webHidden/>
              </w:rPr>
              <w:fldChar w:fldCharType="separate"/>
            </w:r>
            <w:r w:rsidR="00BD4DB7">
              <w:rPr>
                <w:noProof/>
                <w:webHidden/>
              </w:rPr>
              <w:t>358</w:t>
            </w:r>
            <w:r w:rsidR="00BD4DB7">
              <w:rPr>
                <w:noProof/>
                <w:webHidden/>
              </w:rPr>
              <w:fldChar w:fldCharType="end"/>
            </w:r>
          </w:hyperlink>
        </w:p>
        <w:p w14:paraId="45895A92" w14:textId="35E6F6F1"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94" w:history="1">
            <w:r w:rsidR="00BD4DB7" w:rsidRPr="0089237F">
              <w:rPr>
                <w:rStyle w:val="Hipervnculo"/>
                <w:rFonts w:eastAsia="Calibri"/>
                <w:noProof/>
              </w:rPr>
              <w:t>GARANTÍAS Y GESTIÓN DE GARANTÍAS</w:t>
            </w:r>
            <w:r w:rsidR="00BD4DB7">
              <w:rPr>
                <w:noProof/>
                <w:webHidden/>
              </w:rPr>
              <w:tab/>
            </w:r>
            <w:r w:rsidR="00BD4DB7">
              <w:rPr>
                <w:noProof/>
                <w:webHidden/>
              </w:rPr>
              <w:fldChar w:fldCharType="begin"/>
            </w:r>
            <w:r w:rsidR="00BD4DB7">
              <w:rPr>
                <w:noProof/>
                <w:webHidden/>
              </w:rPr>
              <w:instrText xml:space="preserve"> PAGEREF _Toc31716294 \h </w:instrText>
            </w:r>
            <w:r w:rsidR="00BD4DB7">
              <w:rPr>
                <w:noProof/>
                <w:webHidden/>
              </w:rPr>
            </w:r>
            <w:r w:rsidR="00BD4DB7">
              <w:rPr>
                <w:noProof/>
                <w:webHidden/>
              </w:rPr>
              <w:fldChar w:fldCharType="separate"/>
            </w:r>
            <w:r w:rsidR="00BD4DB7">
              <w:rPr>
                <w:noProof/>
                <w:webHidden/>
              </w:rPr>
              <w:t>358</w:t>
            </w:r>
            <w:r w:rsidR="00BD4DB7">
              <w:rPr>
                <w:noProof/>
                <w:webHidden/>
              </w:rPr>
              <w:fldChar w:fldCharType="end"/>
            </w:r>
          </w:hyperlink>
        </w:p>
        <w:p w14:paraId="41647B90" w14:textId="2662E2D5"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95" w:history="1">
            <w:r w:rsidR="00BD4DB7" w:rsidRPr="0089237F">
              <w:rPr>
                <w:rStyle w:val="Hipervnculo"/>
                <w:noProof/>
              </w:rPr>
              <w:t>Artículo 3.5.1.1. Valor mínimo de la Garantía Individual.</w:t>
            </w:r>
            <w:r w:rsidR="00BD4DB7">
              <w:rPr>
                <w:noProof/>
                <w:webHidden/>
              </w:rPr>
              <w:tab/>
            </w:r>
            <w:r w:rsidR="00BD4DB7">
              <w:rPr>
                <w:noProof/>
                <w:webHidden/>
              </w:rPr>
              <w:fldChar w:fldCharType="begin"/>
            </w:r>
            <w:r w:rsidR="00BD4DB7">
              <w:rPr>
                <w:noProof/>
                <w:webHidden/>
              </w:rPr>
              <w:instrText xml:space="preserve"> PAGEREF _Toc31716295 \h </w:instrText>
            </w:r>
            <w:r w:rsidR="00BD4DB7">
              <w:rPr>
                <w:noProof/>
                <w:webHidden/>
              </w:rPr>
            </w:r>
            <w:r w:rsidR="00BD4DB7">
              <w:rPr>
                <w:noProof/>
                <w:webHidden/>
              </w:rPr>
              <w:fldChar w:fldCharType="separate"/>
            </w:r>
            <w:r w:rsidR="00BD4DB7">
              <w:rPr>
                <w:noProof/>
                <w:webHidden/>
              </w:rPr>
              <w:t>358</w:t>
            </w:r>
            <w:r w:rsidR="00BD4DB7">
              <w:rPr>
                <w:noProof/>
                <w:webHidden/>
              </w:rPr>
              <w:fldChar w:fldCharType="end"/>
            </w:r>
          </w:hyperlink>
        </w:p>
        <w:p w14:paraId="46E52C10" w14:textId="15094B05"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96" w:history="1">
            <w:r w:rsidR="00BD4DB7" w:rsidRPr="0089237F">
              <w:rPr>
                <w:rStyle w:val="Hipervnculo"/>
                <w:noProof/>
              </w:rPr>
              <w:t>Artículo 3.5.1.2. Garantía Individual por estrés test del Fondo de Garantía Colectiva.</w:t>
            </w:r>
            <w:r w:rsidR="00BD4DB7">
              <w:rPr>
                <w:noProof/>
                <w:webHidden/>
              </w:rPr>
              <w:tab/>
            </w:r>
            <w:r w:rsidR="00BD4DB7">
              <w:rPr>
                <w:noProof/>
                <w:webHidden/>
              </w:rPr>
              <w:fldChar w:fldCharType="begin"/>
            </w:r>
            <w:r w:rsidR="00BD4DB7">
              <w:rPr>
                <w:noProof/>
                <w:webHidden/>
              </w:rPr>
              <w:instrText xml:space="preserve"> PAGEREF _Toc31716296 \h </w:instrText>
            </w:r>
            <w:r w:rsidR="00BD4DB7">
              <w:rPr>
                <w:noProof/>
                <w:webHidden/>
              </w:rPr>
            </w:r>
            <w:r w:rsidR="00BD4DB7">
              <w:rPr>
                <w:noProof/>
                <w:webHidden/>
              </w:rPr>
              <w:fldChar w:fldCharType="separate"/>
            </w:r>
            <w:r w:rsidR="00BD4DB7">
              <w:rPr>
                <w:noProof/>
                <w:webHidden/>
              </w:rPr>
              <w:t>359</w:t>
            </w:r>
            <w:r w:rsidR="00BD4DB7">
              <w:rPr>
                <w:noProof/>
                <w:webHidden/>
              </w:rPr>
              <w:fldChar w:fldCharType="end"/>
            </w:r>
          </w:hyperlink>
        </w:p>
        <w:p w14:paraId="60D8391A" w14:textId="1916CA9D"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97" w:history="1">
            <w:r w:rsidR="00BD4DB7" w:rsidRPr="0089237F">
              <w:rPr>
                <w:rStyle w:val="Hipervnculo"/>
                <w:rFonts w:eastAsia="Calibri"/>
                <w:noProof/>
              </w:rPr>
              <w:t>CAPÍTULO SEGUNDO</w:t>
            </w:r>
            <w:r w:rsidR="00BD4DB7">
              <w:rPr>
                <w:noProof/>
                <w:webHidden/>
              </w:rPr>
              <w:tab/>
            </w:r>
            <w:r w:rsidR="00BD4DB7">
              <w:rPr>
                <w:noProof/>
                <w:webHidden/>
              </w:rPr>
              <w:fldChar w:fldCharType="begin"/>
            </w:r>
            <w:r w:rsidR="00BD4DB7">
              <w:rPr>
                <w:noProof/>
                <w:webHidden/>
              </w:rPr>
              <w:instrText xml:space="preserve"> PAGEREF _Toc31716297 \h </w:instrText>
            </w:r>
            <w:r w:rsidR="00BD4DB7">
              <w:rPr>
                <w:noProof/>
                <w:webHidden/>
              </w:rPr>
            </w:r>
            <w:r w:rsidR="00BD4DB7">
              <w:rPr>
                <w:noProof/>
                <w:webHidden/>
              </w:rPr>
              <w:fldChar w:fldCharType="separate"/>
            </w:r>
            <w:r w:rsidR="00BD4DB7">
              <w:rPr>
                <w:noProof/>
                <w:webHidden/>
              </w:rPr>
              <w:t>359</w:t>
            </w:r>
            <w:r w:rsidR="00BD4DB7">
              <w:rPr>
                <w:noProof/>
                <w:webHidden/>
              </w:rPr>
              <w:fldChar w:fldCharType="end"/>
            </w:r>
          </w:hyperlink>
        </w:p>
        <w:p w14:paraId="62138BBC" w14:textId="7012EF49"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298" w:history="1">
            <w:r w:rsidR="00BD4DB7" w:rsidRPr="0089237F">
              <w:rPr>
                <w:rStyle w:val="Hipervnculo"/>
                <w:rFonts w:eastAsia="Calibri"/>
                <w:noProof/>
              </w:rPr>
              <w:t>MODELO DE RIESGO DE LA CÁMARA PARA EL CÁLCULO Y GESTIÓN DE GARANTÍAS PARA OPERACIONES SIMULTÁNEAS</w:t>
            </w:r>
            <w:r w:rsidR="00BD4DB7">
              <w:rPr>
                <w:noProof/>
                <w:webHidden/>
              </w:rPr>
              <w:tab/>
            </w:r>
            <w:r w:rsidR="00BD4DB7">
              <w:rPr>
                <w:noProof/>
                <w:webHidden/>
              </w:rPr>
              <w:fldChar w:fldCharType="begin"/>
            </w:r>
            <w:r w:rsidR="00BD4DB7">
              <w:rPr>
                <w:noProof/>
                <w:webHidden/>
              </w:rPr>
              <w:instrText xml:space="preserve"> PAGEREF _Toc31716298 \h </w:instrText>
            </w:r>
            <w:r w:rsidR="00BD4DB7">
              <w:rPr>
                <w:noProof/>
                <w:webHidden/>
              </w:rPr>
            </w:r>
            <w:r w:rsidR="00BD4DB7">
              <w:rPr>
                <w:noProof/>
                <w:webHidden/>
              </w:rPr>
              <w:fldChar w:fldCharType="separate"/>
            </w:r>
            <w:r w:rsidR="00BD4DB7">
              <w:rPr>
                <w:noProof/>
                <w:webHidden/>
              </w:rPr>
              <w:t>359</w:t>
            </w:r>
            <w:r w:rsidR="00BD4DB7">
              <w:rPr>
                <w:noProof/>
                <w:webHidden/>
              </w:rPr>
              <w:fldChar w:fldCharType="end"/>
            </w:r>
          </w:hyperlink>
        </w:p>
        <w:p w14:paraId="22E49DB7" w14:textId="63F8E933" w:rsidR="00BD4DB7" w:rsidRDefault="00682D97">
          <w:pPr>
            <w:pStyle w:val="TDC2"/>
            <w:rPr>
              <w:rFonts w:asciiTheme="minorHAnsi" w:eastAsiaTheme="minorEastAsia" w:hAnsiTheme="minorHAnsi" w:cstheme="minorBidi"/>
              <w:smallCaps w:val="0"/>
              <w:noProof/>
              <w:sz w:val="22"/>
              <w:szCs w:val="22"/>
              <w:lang w:val="es-CO" w:eastAsia="es-CO"/>
            </w:rPr>
          </w:pPr>
          <w:hyperlink w:anchor="_Toc31716299" w:history="1">
            <w:r w:rsidR="00BD4DB7" w:rsidRPr="0089237F">
              <w:rPr>
                <w:rStyle w:val="Hipervnculo"/>
                <w:noProof/>
              </w:rPr>
              <w:t>Artículo 3.5.2.1. Control de Garantías por Posición para la aceptación de Operaciones Simultáneas.</w:t>
            </w:r>
            <w:r w:rsidR="00BD4DB7">
              <w:rPr>
                <w:noProof/>
                <w:webHidden/>
              </w:rPr>
              <w:tab/>
            </w:r>
            <w:r w:rsidR="00BD4DB7">
              <w:rPr>
                <w:noProof/>
                <w:webHidden/>
              </w:rPr>
              <w:fldChar w:fldCharType="begin"/>
            </w:r>
            <w:r w:rsidR="00BD4DB7">
              <w:rPr>
                <w:noProof/>
                <w:webHidden/>
              </w:rPr>
              <w:instrText xml:space="preserve"> PAGEREF _Toc31716299 \h </w:instrText>
            </w:r>
            <w:r w:rsidR="00BD4DB7">
              <w:rPr>
                <w:noProof/>
                <w:webHidden/>
              </w:rPr>
            </w:r>
            <w:r w:rsidR="00BD4DB7">
              <w:rPr>
                <w:noProof/>
                <w:webHidden/>
              </w:rPr>
              <w:fldChar w:fldCharType="separate"/>
            </w:r>
            <w:r w:rsidR="00BD4DB7">
              <w:rPr>
                <w:noProof/>
                <w:webHidden/>
              </w:rPr>
              <w:t>359</w:t>
            </w:r>
            <w:r w:rsidR="00BD4DB7">
              <w:rPr>
                <w:noProof/>
                <w:webHidden/>
              </w:rPr>
              <w:fldChar w:fldCharType="end"/>
            </w:r>
          </w:hyperlink>
        </w:p>
        <w:p w14:paraId="378336F8" w14:textId="6EF151D9"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00" w:history="1">
            <w:r w:rsidR="00BD4DB7" w:rsidRPr="0089237F">
              <w:rPr>
                <w:rStyle w:val="Hipervnculo"/>
                <w:noProof/>
              </w:rPr>
              <w:t>Artículo 3.5.2.2. Generalidades sobre la determinación del valor de las Garantías por Posición para Operaciones Simultáneas.</w:t>
            </w:r>
            <w:r w:rsidR="00BD4DB7">
              <w:rPr>
                <w:noProof/>
                <w:webHidden/>
              </w:rPr>
              <w:tab/>
            </w:r>
            <w:r w:rsidR="00BD4DB7">
              <w:rPr>
                <w:noProof/>
                <w:webHidden/>
              </w:rPr>
              <w:fldChar w:fldCharType="begin"/>
            </w:r>
            <w:r w:rsidR="00BD4DB7">
              <w:rPr>
                <w:noProof/>
                <w:webHidden/>
              </w:rPr>
              <w:instrText xml:space="preserve"> PAGEREF _Toc31716300 \h </w:instrText>
            </w:r>
            <w:r w:rsidR="00BD4DB7">
              <w:rPr>
                <w:noProof/>
                <w:webHidden/>
              </w:rPr>
            </w:r>
            <w:r w:rsidR="00BD4DB7">
              <w:rPr>
                <w:noProof/>
                <w:webHidden/>
              </w:rPr>
              <w:fldChar w:fldCharType="separate"/>
            </w:r>
            <w:r w:rsidR="00BD4DB7">
              <w:rPr>
                <w:noProof/>
                <w:webHidden/>
              </w:rPr>
              <w:t>360</w:t>
            </w:r>
            <w:r w:rsidR="00BD4DB7">
              <w:rPr>
                <w:noProof/>
                <w:webHidden/>
              </w:rPr>
              <w:fldChar w:fldCharType="end"/>
            </w:r>
          </w:hyperlink>
        </w:p>
        <w:p w14:paraId="3FE0987E" w14:textId="22A7B6A9"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01" w:history="1">
            <w:r w:rsidR="00BD4DB7" w:rsidRPr="0089237F">
              <w:rPr>
                <w:rStyle w:val="Hipervnculo"/>
                <w:noProof/>
              </w:rPr>
              <w:t>Artículo 3.5.2.3. Procedimiento de Cálculo de Garantías por Posición para Posiciones Abiertas en Contratos de Operaciones Simultáneas.</w:t>
            </w:r>
            <w:r w:rsidR="00BD4DB7">
              <w:rPr>
                <w:noProof/>
                <w:webHidden/>
              </w:rPr>
              <w:tab/>
            </w:r>
            <w:r w:rsidR="00BD4DB7">
              <w:rPr>
                <w:noProof/>
                <w:webHidden/>
              </w:rPr>
              <w:fldChar w:fldCharType="begin"/>
            </w:r>
            <w:r w:rsidR="00BD4DB7">
              <w:rPr>
                <w:noProof/>
                <w:webHidden/>
              </w:rPr>
              <w:instrText xml:space="preserve"> PAGEREF _Toc31716301 \h </w:instrText>
            </w:r>
            <w:r w:rsidR="00BD4DB7">
              <w:rPr>
                <w:noProof/>
                <w:webHidden/>
              </w:rPr>
            </w:r>
            <w:r w:rsidR="00BD4DB7">
              <w:rPr>
                <w:noProof/>
                <w:webHidden/>
              </w:rPr>
              <w:fldChar w:fldCharType="separate"/>
            </w:r>
            <w:r w:rsidR="00BD4DB7">
              <w:rPr>
                <w:noProof/>
                <w:webHidden/>
              </w:rPr>
              <w:t>360</w:t>
            </w:r>
            <w:r w:rsidR="00BD4DB7">
              <w:rPr>
                <w:noProof/>
                <w:webHidden/>
              </w:rPr>
              <w:fldChar w:fldCharType="end"/>
            </w:r>
          </w:hyperlink>
        </w:p>
        <w:p w14:paraId="2646EFCB" w14:textId="081B906D"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02" w:history="1">
            <w:r w:rsidR="00BD4DB7" w:rsidRPr="0089237F">
              <w:rPr>
                <w:rStyle w:val="Hipervnculo"/>
                <w:rFonts w:eastAsia="Calibri"/>
                <w:noProof/>
              </w:rPr>
              <w:t>CAPÍTULO TERCERO</w:t>
            </w:r>
            <w:r w:rsidR="00BD4DB7">
              <w:rPr>
                <w:noProof/>
                <w:webHidden/>
              </w:rPr>
              <w:tab/>
            </w:r>
            <w:r w:rsidR="00BD4DB7">
              <w:rPr>
                <w:noProof/>
                <w:webHidden/>
              </w:rPr>
              <w:fldChar w:fldCharType="begin"/>
            </w:r>
            <w:r w:rsidR="00BD4DB7">
              <w:rPr>
                <w:noProof/>
                <w:webHidden/>
              </w:rPr>
              <w:instrText xml:space="preserve"> PAGEREF _Toc31716302 \h </w:instrText>
            </w:r>
            <w:r w:rsidR="00BD4DB7">
              <w:rPr>
                <w:noProof/>
                <w:webHidden/>
              </w:rPr>
            </w:r>
            <w:r w:rsidR="00BD4DB7">
              <w:rPr>
                <w:noProof/>
                <w:webHidden/>
              </w:rPr>
              <w:fldChar w:fldCharType="separate"/>
            </w:r>
            <w:r w:rsidR="00BD4DB7">
              <w:rPr>
                <w:noProof/>
                <w:webHidden/>
              </w:rPr>
              <w:t>367</w:t>
            </w:r>
            <w:r w:rsidR="00BD4DB7">
              <w:rPr>
                <w:noProof/>
                <w:webHidden/>
              </w:rPr>
              <w:fldChar w:fldCharType="end"/>
            </w:r>
          </w:hyperlink>
        </w:p>
        <w:p w14:paraId="0A6A064E" w14:textId="1FCAB4F6"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03" w:history="1">
            <w:r w:rsidR="00BD4DB7" w:rsidRPr="0089237F">
              <w:rPr>
                <w:rStyle w:val="Hipervnculo"/>
                <w:rFonts w:eastAsia="Calibri"/>
                <w:noProof/>
              </w:rPr>
              <w:t>PARÁMETROS DE DETERMINACIÓN DE LAS GARANTÍAS POR POSICIÓN APLICABLES A LAS OPERACIONES SIMULTÁNEAS</w:t>
            </w:r>
            <w:r w:rsidR="00BD4DB7">
              <w:rPr>
                <w:noProof/>
                <w:webHidden/>
              </w:rPr>
              <w:tab/>
            </w:r>
            <w:r w:rsidR="00BD4DB7">
              <w:rPr>
                <w:noProof/>
                <w:webHidden/>
              </w:rPr>
              <w:fldChar w:fldCharType="begin"/>
            </w:r>
            <w:r w:rsidR="00BD4DB7">
              <w:rPr>
                <w:noProof/>
                <w:webHidden/>
              </w:rPr>
              <w:instrText xml:space="preserve"> PAGEREF _Toc31716303 \h </w:instrText>
            </w:r>
            <w:r w:rsidR="00BD4DB7">
              <w:rPr>
                <w:noProof/>
                <w:webHidden/>
              </w:rPr>
            </w:r>
            <w:r w:rsidR="00BD4DB7">
              <w:rPr>
                <w:noProof/>
                <w:webHidden/>
              </w:rPr>
              <w:fldChar w:fldCharType="separate"/>
            </w:r>
            <w:r w:rsidR="00BD4DB7">
              <w:rPr>
                <w:noProof/>
                <w:webHidden/>
              </w:rPr>
              <w:t>368</w:t>
            </w:r>
            <w:r w:rsidR="00BD4DB7">
              <w:rPr>
                <w:noProof/>
                <w:webHidden/>
              </w:rPr>
              <w:fldChar w:fldCharType="end"/>
            </w:r>
          </w:hyperlink>
        </w:p>
        <w:p w14:paraId="2080A3B9" w14:textId="4A500F52"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04" w:history="1">
            <w:r w:rsidR="00BD4DB7" w:rsidRPr="0089237F">
              <w:rPr>
                <w:rStyle w:val="Hipervnculo"/>
                <w:noProof/>
              </w:rPr>
              <w:t>Artículo 3.5.3.1. Parámetros para el cálculo de la Garantía por Posición.</w:t>
            </w:r>
            <w:r w:rsidR="00BD4DB7">
              <w:rPr>
                <w:noProof/>
                <w:webHidden/>
              </w:rPr>
              <w:tab/>
            </w:r>
            <w:r w:rsidR="00BD4DB7">
              <w:rPr>
                <w:noProof/>
                <w:webHidden/>
              </w:rPr>
              <w:fldChar w:fldCharType="begin"/>
            </w:r>
            <w:r w:rsidR="00BD4DB7">
              <w:rPr>
                <w:noProof/>
                <w:webHidden/>
              </w:rPr>
              <w:instrText xml:space="preserve"> PAGEREF _Toc31716304 \h </w:instrText>
            </w:r>
            <w:r w:rsidR="00BD4DB7">
              <w:rPr>
                <w:noProof/>
                <w:webHidden/>
              </w:rPr>
            </w:r>
            <w:r w:rsidR="00BD4DB7">
              <w:rPr>
                <w:noProof/>
                <w:webHidden/>
              </w:rPr>
              <w:fldChar w:fldCharType="separate"/>
            </w:r>
            <w:r w:rsidR="00BD4DB7">
              <w:rPr>
                <w:noProof/>
                <w:webHidden/>
              </w:rPr>
              <w:t>368</w:t>
            </w:r>
            <w:r w:rsidR="00BD4DB7">
              <w:rPr>
                <w:noProof/>
                <w:webHidden/>
              </w:rPr>
              <w:fldChar w:fldCharType="end"/>
            </w:r>
          </w:hyperlink>
        </w:p>
        <w:p w14:paraId="0215AB54" w14:textId="66E86515"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05" w:history="1">
            <w:r w:rsidR="00BD4DB7" w:rsidRPr="0089237F">
              <w:rPr>
                <w:rStyle w:val="Hipervnculo"/>
                <w:noProof/>
              </w:rPr>
              <w:t>Artículo 3.5.3.2. Procedimiento de cálculo de la Garantía Extraordinaria por volatilidad de precios Segmento Renta Fija.</w:t>
            </w:r>
            <w:r w:rsidR="00BD4DB7">
              <w:rPr>
                <w:noProof/>
                <w:webHidden/>
              </w:rPr>
              <w:tab/>
            </w:r>
            <w:r w:rsidR="00BD4DB7">
              <w:rPr>
                <w:noProof/>
                <w:webHidden/>
              </w:rPr>
              <w:fldChar w:fldCharType="begin"/>
            </w:r>
            <w:r w:rsidR="00BD4DB7">
              <w:rPr>
                <w:noProof/>
                <w:webHidden/>
              </w:rPr>
              <w:instrText xml:space="preserve"> PAGEREF _Toc31716305 \h </w:instrText>
            </w:r>
            <w:r w:rsidR="00BD4DB7">
              <w:rPr>
                <w:noProof/>
                <w:webHidden/>
              </w:rPr>
            </w:r>
            <w:r w:rsidR="00BD4DB7">
              <w:rPr>
                <w:noProof/>
                <w:webHidden/>
              </w:rPr>
              <w:fldChar w:fldCharType="separate"/>
            </w:r>
            <w:r w:rsidR="00BD4DB7">
              <w:rPr>
                <w:noProof/>
                <w:webHidden/>
              </w:rPr>
              <w:t>370</w:t>
            </w:r>
            <w:r w:rsidR="00BD4DB7">
              <w:rPr>
                <w:noProof/>
                <w:webHidden/>
              </w:rPr>
              <w:fldChar w:fldCharType="end"/>
            </w:r>
          </w:hyperlink>
        </w:p>
        <w:p w14:paraId="145A750F" w14:textId="59317144"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06" w:history="1">
            <w:r w:rsidR="00BD4DB7" w:rsidRPr="0089237F">
              <w:rPr>
                <w:rStyle w:val="Hipervnculo"/>
                <w:noProof/>
              </w:rPr>
              <w:t>Artículo 3.5.3.3. Fluctuaciones de estrés para cálculo del riesgo en situación de estrés.</w:t>
            </w:r>
            <w:r w:rsidR="00BD4DB7">
              <w:rPr>
                <w:noProof/>
                <w:webHidden/>
              </w:rPr>
              <w:tab/>
            </w:r>
            <w:r w:rsidR="00BD4DB7">
              <w:rPr>
                <w:noProof/>
                <w:webHidden/>
              </w:rPr>
              <w:fldChar w:fldCharType="begin"/>
            </w:r>
            <w:r w:rsidR="00BD4DB7">
              <w:rPr>
                <w:noProof/>
                <w:webHidden/>
              </w:rPr>
              <w:instrText xml:space="preserve"> PAGEREF _Toc31716306 \h </w:instrText>
            </w:r>
            <w:r w:rsidR="00BD4DB7">
              <w:rPr>
                <w:noProof/>
                <w:webHidden/>
              </w:rPr>
            </w:r>
            <w:r w:rsidR="00BD4DB7">
              <w:rPr>
                <w:noProof/>
                <w:webHidden/>
              </w:rPr>
              <w:fldChar w:fldCharType="separate"/>
            </w:r>
            <w:r w:rsidR="00BD4DB7">
              <w:rPr>
                <w:noProof/>
                <w:webHidden/>
              </w:rPr>
              <w:t>373</w:t>
            </w:r>
            <w:r w:rsidR="00BD4DB7">
              <w:rPr>
                <w:noProof/>
                <w:webHidden/>
              </w:rPr>
              <w:fldChar w:fldCharType="end"/>
            </w:r>
          </w:hyperlink>
        </w:p>
        <w:p w14:paraId="6D497520" w14:textId="6FE937D9"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07" w:history="1">
            <w:r w:rsidR="00BD4DB7" w:rsidRPr="0089237F">
              <w:rPr>
                <w:rStyle w:val="Hipervnculo"/>
                <w:noProof/>
              </w:rPr>
              <w:t>Artículo 3.5.3.4. Garantías por Grandes Posiciones.</w:t>
            </w:r>
            <w:r w:rsidR="00BD4DB7">
              <w:rPr>
                <w:noProof/>
                <w:webHidden/>
              </w:rPr>
              <w:tab/>
            </w:r>
            <w:r w:rsidR="00BD4DB7">
              <w:rPr>
                <w:noProof/>
                <w:webHidden/>
              </w:rPr>
              <w:fldChar w:fldCharType="begin"/>
            </w:r>
            <w:r w:rsidR="00BD4DB7">
              <w:rPr>
                <w:noProof/>
                <w:webHidden/>
              </w:rPr>
              <w:instrText xml:space="preserve"> PAGEREF _Toc31716307 \h </w:instrText>
            </w:r>
            <w:r w:rsidR="00BD4DB7">
              <w:rPr>
                <w:noProof/>
                <w:webHidden/>
              </w:rPr>
            </w:r>
            <w:r w:rsidR="00BD4DB7">
              <w:rPr>
                <w:noProof/>
                <w:webHidden/>
              </w:rPr>
              <w:fldChar w:fldCharType="separate"/>
            </w:r>
            <w:r w:rsidR="00BD4DB7">
              <w:rPr>
                <w:noProof/>
                <w:webHidden/>
              </w:rPr>
              <w:t>373</w:t>
            </w:r>
            <w:r w:rsidR="00BD4DB7">
              <w:rPr>
                <w:noProof/>
                <w:webHidden/>
              </w:rPr>
              <w:fldChar w:fldCharType="end"/>
            </w:r>
          </w:hyperlink>
        </w:p>
        <w:p w14:paraId="361F31B4" w14:textId="57765A14"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08" w:history="1">
            <w:r w:rsidR="00BD4DB7" w:rsidRPr="0089237F">
              <w:rPr>
                <w:rStyle w:val="Hipervnculo"/>
                <w:noProof/>
              </w:rPr>
              <w:t>Artículo 3.5.3.5. Escenarios de variación de precio para el cálculo del riesgo en situación de estrés para el Segmento de Renta Fija.</w:t>
            </w:r>
            <w:r w:rsidR="00BD4DB7">
              <w:rPr>
                <w:noProof/>
                <w:webHidden/>
              </w:rPr>
              <w:tab/>
            </w:r>
            <w:r w:rsidR="00BD4DB7">
              <w:rPr>
                <w:noProof/>
                <w:webHidden/>
              </w:rPr>
              <w:fldChar w:fldCharType="begin"/>
            </w:r>
            <w:r w:rsidR="00BD4DB7">
              <w:rPr>
                <w:noProof/>
                <w:webHidden/>
              </w:rPr>
              <w:instrText xml:space="preserve"> PAGEREF _Toc31716308 \h </w:instrText>
            </w:r>
            <w:r w:rsidR="00BD4DB7">
              <w:rPr>
                <w:noProof/>
                <w:webHidden/>
              </w:rPr>
            </w:r>
            <w:r w:rsidR="00BD4DB7">
              <w:rPr>
                <w:noProof/>
                <w:webHidden/>
              </w:rPr>
              <w:fldChar w:fldCharType="separate"/>
            </w:r>
            <w:r w:rsidR="00BD4DB7">
              <w:rPr>
                <w:noProof/>
                <w:webHidden/>
              </w:rPr>
              <w:t>375</w:t>
            </w:r>
            <w:r w:rsidR="00BD4DB7">
              <w:rPr>
                <w:noProof/>
                <w:webHidden/>
              </w:rPr>
              <w:fldChar w:fldCharType="end"/>
            </w:r>
          </w:hyperlink>
        </w:p>
        <w:p w14:paraId="65C2A194" w14:textId="0D756732"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09" w:history="1">
            <w:r w:rsidR="00BD4DB7" w:rsidRPr="0089237F">
              <w:rPr>
                <w:rStyle w:val="Hipervnculo"/>
                <w:noProof/>
              </w:rPr>
              <w:t>Artículo 3.5.3.6. Aportación mínima al Fondo de Garantía Colectiva de los Miembros para el Segmento de Renta Fija.</w:t>
            </w:r>
            <w:r w:rsidR="00BD4DB7">
              <w:rPr>
                <w:noProof/>
                <w:webHidden/>
              </w:rPr>
              <w:tab/>
            </w:r>
            <w:r w:rsidR="00BD4DB7">
              <w:rPr>
                <w:noProof/>
                <w:webHidden/>
              </w:rPr>
              <w:fldChar w:fldCharType="begin"/>
            </w:r>
            <w:r w:rsidR="00BD4DB7">
              <w:rPr>
                <w:noProof/>
                <w:webHidden/>
              </w:rPr>
              <w:instrText xml:space="preserve"> PAGEREF _Toc31716309 \h </w:instrText>
            </w:r>
            <w:r w:rsidR="00BD4DB7">
              <w:rPr>
                <w:noProof/>
                <w:webHidden/>
              </w:rPr>
            </w:r>
            <w:r w:rsidR="00BD4DB7">
              <w:rPr>
                <w:noProof/>
                <w:webHidden/>
              </w:rPr>
              <w:fldChar w:fldCharType="separate"/>
            </w:r>
            <w:r w:rsidR="00BD4DB7">
              <w:rPr>
                <w:noProof/>
                <w:webHidden/>
              </w:rPr>
              <w:t>376</w:t>
            </w:r>
            <w:r w:rsidR="00BD4DB7">
              <w:rPr>
                <w:noProof/>
                <w:webHidden/>
              </w:rPr>
              <w:fldChar w:fldCharType="end"/>
            </w:r>
          </w:hyperlink>
        </w:p>
        <w:p w14:paraId="76BD86C6" w14:textId="09C4AFB2"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10" w:history="1">
            <w:r w:rsidR="00BD4DB7" w:rsidRPr="0089237F">
              <w:rPr>
                <w:rStyle w:val="Hipervnculo"/>
                <w:rFonts w:eastAsia="Calibri"/>
                <w:noProof/>
              </w:rPr>
              <w:t>Artículo 3.5.3.7. Importe mínimo a aportar para la constitución del Fondo de Garantía Colectiva y tamaño mínimo del Fondo.</w:t>
            </w:r>
            <w:r w:rsidR="00BD4DB7">
              <w:rPr>
                <w:noProof/>
                <w:webHidden/>
              </w:rPr>
              <w:tab/>
            </w:r>
            <w:r w:rsidR="00BD4DB7">
              <w:rPr>
                <w:noProof/>
                <w:webHidden/>
              </w:rPr>
              <w:fldChar w:fldCharType="begin"/>
            </w:r>
            <w:r w:rsidR="00BD4DB7">
              <w:rPr>
                <w:noProof/>
                <w:webHidden/>
              </w:rPr>
              <w:instrText xml:space="preserve"> PAGEREF _Toc31716310 \h </w:instrText>
            </w:r>
            <w:r w:rsidR="00BD4DB7">
              <w:rPr>
                <w:noProof/>
                <w:webHidden/>
              </w:rPr>
            </w:r>
            <w:r w:rsidR="00BD4DB7">
              <w:rPr>
                <w:noProof/>
                <w:webHidden/>
              </w:rPr>
              <w:fldChar w:fldCharType="separate"/>
            </w:r>
            <w:r w:rsidR="00BD4DB7">
              <w:rPr>
                <w:noProof/>
                <w:webHidden/>
              </w:rPr>
              <w:t>376</w:t>
            </w:r>
            <w:r w:rsidR="00BD4DB7">
              <w:rPr>
                <w:noProof/>
                <w:webHidden/>
              </w:rPr>
              <w:fldChar w:fldCharType="end"/>
            </w:r>
          </w:hyperlink>
        </w:p>
        <w:p w14:paraId="5FE85C3A" w14:textId="44AD0B04"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11" w:history="1">
            <w:r w:rsidR="00BD4DB7" w:rsidRPr="0089237F">
              <w:rPr>
                <w:rStyle w:val="Hipervnculo"/>
                <w:noProof/>
              </w:rPr>
              <w:t>Artículo 3.5.3.8. Constitución, actualización y reposición del Fondo de Garantía Colectiva.</w:t>
            </w:r>
            <w:r w:rsidR="00BD4DB7">
              <w:rPr>
                <w:noProof/>
                <w:webHidden/>
              </w:rPr>
              <w:tab/>
            </w:r>
            <w:r w:rsidR="00BD4DB7">
              <w:rPr>
                <w:noProof/>
                <w:webHidden/>
              </w:rPr>
              <w:fldChar w:fldCharType="begin"/>
            </w:r>
            <w:r w:rsidR="00BD4DB7">
              <w:rPr>
                <w:noProof/>
                <w:webHidden/>
              </w:rPr>
              <w:instrText xml:space="preserve"> PAGEREF _Toc31716311 \h </w:instrText>
            </w:r>
            <w:r w:rsidR="00BD4DB7">
              <w:rPr>
                <w:noProof/>
                <w:webHidden/>
              </w:rPr>
            </w:r>
            <w:r w:rsidR="00BD4DB7">
              <w:rPr>
                <w:noProof/>
                <w:webHidden/>
              </w:rPr>
              <w:fldChar w:fldCharType="separate"/>
            </w:r>
            <w:r w:rsidR="00BD4DB7">
              <w:rPr>
                <w:noProof/>
                <w:webHidden/>
              </w:rPr>
              <w:t>377</w:t>
            </w:r>
            <w:r w:rsidR="00BD4DB7">
              <w:rPr>
                <w:noProof/>
                <w:webHidden/>
              </w:rPr>
              <w:fldChar w:fldCharType="end"/>
            </w:r>
          </w:hyperlink>
        </w:p>
        <w:p w14:paraId="70271879" w14:textId="6FADEBD3"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12" w:history="1">
            <w:r w:rsidR="00BD4DB7" w:rsidRPr="0089237F">
              <w:rPr>
                <w:rStyle w:val="Hipervnculo"/>
                <w:noProof/>
              </w:rPr>
              <w:t>Artículo 3.5.3.9. Contribuciones para la continuidad del servicio.</w:t>
            </w:r>
            <w:r w:rsidR="00BD4DB7">
              <w:rPr>
                <w:noProof/>
                <w:webHidden/>
              </w:rPr>
              <w:tab/>
            </w:r>
            <w:r w:rsidR="00BD4DB7">
              <w:rPr>
                <w:noProof/>
                <w:webHidden/>
              </w:rPr>
              <w:fldChar w:fldCharType="begin"/>
            </w:r>
            <w:r w:rsidR="00BD4DB7">
              <w:rPr>
                <w:noProof/>
                <w:webHidden/>
              </w:rPr>
              <w:instrText xml:space="preserve"> PAGEREF _Toc31716312 \h </w:instrText>
            </w:r>
            <w:r w:rsidR="00BD4DB7">
              <w:rPr>
                <w:noProof/>
                <w:webHidden/>
              </w:rPr>
            </w:r>
            <w:r w:rsidR="00BD4DB7">
              <w:rPr>
                <w:noProof/>
                <w:webHidden/>
              </w:rPr>
              <w:fldChar w:fldCharType="separate"/>
            </w:r>
            <w:r w:rsidR="00BD4DB7">
              <w:rPr>
                <w:noProof/>
                <w:webHidden/>
              </w:rPr>
              <w:t>377</w:t>
            </w:r>
            <w:r w:rsidR="00BD4DB7">
              <w:rPr>
                <w:noProof/>
                <w:webHidden/>
              </w:rPr>
              <w:fldChar w:fldCharType="end"/>
            </w:r>
          </w:hyperlink>
        </w:p>
        <w:p w14:paraId="26E2E061" w14:textId="6AC29522"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13" w:history="1">
            <w:r w:rsidR="00BD4DB7" w:rsidRPr="0089237F">
              <w:rPr>
                <w:rStyle w:val="Hipervnculo"/>
                <w:noProof/>
              </w:rPr>
              <w:t>Artículo 3.5.3.10.  Recursos Propios Específicos.</w:t>
            </w:r>
            <w:r w:rsidR="00BD4DB7">
              <w:rPr>
                <w:noProof/>
                <w:webHidden/>
              </w:rPr>
              <w:tab/>
            </w:r>
            <w:r w:rsidR="00BD4DB7">
              <w:rPr>
                <w:noProof/>
                <w:webHidden/>
              </w:rPr>
              <w:fldChar w:fldCharType="begin"/>
            </w:r>
            <w:r w:rsidR="00BD4DB7">
              <w:rPr>
                <w:noProof/>
                <w:webHidden/>
              </w:rPr>
              <w:instrText xml:space="preserve"> PAGEREF _Toc31716313 \h </w:instrText>
            </w:r>
            <w:r w:rsidR="00BD4DB7">
              <w:rPr>
                <w:noProof/>
                <w:webHidden/>
              </w:rPr>
            </w:r>
            <w:r w:rsidR="00BD4DB7">
              <w:rPr>
                <w:noProof/>
                <w:webHidden/>
              </w:rPr>
              <w:fldChar w:fldCharType="separate"/>
            </w:r>
            <w:r w:rsidR="00BD4DB7">
              <w:rPr>
                <w:noProof/>
                <w:webHidden/>
              </w:rPr>
              <w:t>377</w:t>
            </w:r>
            <w:r w:rsidR="00BD4DB7">
              <w:rPr>
                <w:noProof/>
                <w:webHidden/>
              </w:rPr>
              <w:fldChar w:fldCharType="end"/>
            </w:r>
          </w:hyperlink>
        </w:p>
        <w:p w14:paraId="68C6BDFB" w14:textId="654E3B9C"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14" w:history="1">
            <w:r w:rsidR="00BD4DB7" w:rsidRPr="0089237F">
              <w:rPr>
                <w:rStyle w:val="Hipervnculo"/>
                <w:rFonts w:eastAsia="Calibri"/>
                <w:noProof/>
              </w:rPr>
              <w:t>TÍTULO SEXTO</w:t>
            </w:r>
            <w:r w:rsidR="00BD4DB7">
              <w:rPr>
                <w:noProof/>
                <w:webHidden/>
              </w:rPr>
              <w:tab/>
            </w:r>
            <w:r w:rsidR="00BD4DB7">
              <w:rPr>
                <w:noProof/>
                <w:webHidden/>
              </w:rPr>
              <w:fldChar w:fldCharType="begin"/>
            </w:r>
            <w:r w:rsidR="00BD4DB7">
              <w:rPr>
                <w:noProof/>
                <w:webHidden/>
              </w:rPr>
              <w:instrText xml:space="preserve"> PAGEREF _Toc31716314 \h </w:instrText>
            </w:r>
            <w:r w:rsidR="00BD4DB7">
              <w:rPr>
                <w:noProof/>
                <w:webHidden/>
              </w:rPr>
            </w:r>
            <w:r w:rsidR="00BD4DB7">
              <w:rPr>
                <w:noProof/>
                <w:webHidden/>
              </w:rPr>
              <w:fldChar w:fldCharType="separate"/>
            </w:r>
            <w:r w:rsidR="00BD4DB7">
              <w:rPr>
                <w:noProof/>
                <w:webHidden/>
              </w:rPr>
              <w:t>378</w:t>
            </w:r>
            <w:r w:rsidR="00BD4DB7">
              <w:rPr>
                <w:noProof/>
                <w:webHidden/>
              </w:rPr>
              <w:fldChar w:fldCharType="end"/>
            </w:r>
          </w:hyperlink>
        </w:p>
        <w:p w14:paraId="2B7330BC" w14:textId="7CB73CC0"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15" w:history="1">
            <w:r w:rsidR="00BD4DB7" w:rsidRPr="0089237F">
              <w:rPr>
                <w:rStyle w:val="Hipervnculo"/>
                <w:rFonts w:eastAsia="Calibri"/>
                <w:noProof/>
              </w:rPr>
              <w:t>RETARDOS, INCUMPLIMIENTOS, SUSPENSIÓN</w:t>
            </w:r>
            <w:r w:rsidR="00BD4DB7">
              <w:rPr>
                <w:noProof/>
                <w:webHidden/>
              </w:rPr>
              <w:tab/>
            </w:r>
            <w:r w:rsidR="00BD4DB7">
              <w:rPr>
                <w:noProof/>
                <w:webHidden/>
              </w:rPr>
              <w:fldChar w:fldCharType="begin"/>
            </w:r>
            <w:r w:rsidR="00BD4DB7">
              <w:rPr>
                <w:noProof/>
                <w:webHidden/>
              </w:rPr>
              <w:instrText xml:space="preserve"> PAGEREF _Toc31716315 \h </w:instrText>
            </w:r>
            <w:r w:rsidR="00BD4DB7">
              <w:rPr>
                <w:noProof/>
                <w:webHidden/>
              </w:rPr>
            </w:r>
            <w:r w:rsidR="00BD4DB7">
              <w:rPr>
                <w:noProof/>
                <w:webHidden/>
              </w:rPr>
              <w:fldChar w:fldCharType="separate"/>
            </w:r>
            <w:r w:rsidR="00BD4DB7">
              <w:rPr>
                <w:noProof/>
                <w:webHidden/>
              </w:rPr>
              <w:t>378</w:t>
            </w:r>
            <w:r w:rsidR="00BD4DB7">
              <w:rPr>
                <w:noProof/>
                <w:webHidden/>
              </w:rPr>
              <w:fldChar w:fldCharType="end"/>
            </w:r>
          </w:hyperlink>
        </w:p>
        <w:p w14:paraId="7D215B02" w14:textId="6FA06901"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16" w:history="1">
            <w:r w:rsidR="00BD4DB7" w:rsidRPr="0089237F">
              <w:rPr>
                <w:rStyle w:val="Hipervnculo"/>
                <w:rFonts w:eastAsia="Calibri"/>
                <w:noProof/>
              </w:rPr>
              <w:t>Y EXCLUSIÓN, MEDIDAS PREVENTIVAS</w:t>
            </w:r>
            <w:r w:rsidR="00BD4DB7">
              <w:rPr>
                <w:noProof/>
                <w:webHidden/>
              </w:rPr>
              <w:tab/>
            </w:r>
            <w:r w:rsidR="00BD4DB7">
              <w:rPr>
                <w:noProof/>
                <w:webHidden/>
              </w:rPr>
              <w:fldChar w:fldCharType="begin"/>
            </w:r>
            <w:r w:rsidR="00BD4DB7">
              <w:rPr>
                <w:noProof/>
                <w:webHidden/>
              </w:rPr>
              <w:instrText xml:space="preserve"> PAGEREF _Toc31716316 \h </w:instrText>
            </w:r>
            <w:r w:rsidR="00BD4DB7">
              <w:rPr>
                <w:noProof/>
                <w:webHidden/>
              </w:rPr>
            </w:r>
            <w:r w:rsidR="00BD4DB7">
              <w:rPr>
                <w:noProof/>
                <w:webHidden/>
              </w:rPr>
              <w:fldChar w:fldCharType="separate"/>
            </w:r>
            <w:r w:rsidR="00BD4DB7">
              <w:rPr>
                <w:noProof/>
                <w:webHidden/>
              </w:rPr>
              <w:t>378</w:t>
            </w:r>
            <w:r w:rsidR="00BD4DB7">
              <w:rPr>
                <w:noProof/>
                <w:webHidden/>
              </w:rPr>
              <w:fldChar w:fldCharType="end"/>
            </w:r>
          </w:hyperlink>
        </w:p>
        <w:p w14:paraId="03AD5D35" w14:textId="0850E051"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17" w:history="1">
            <w:r w:rsidR="00BD4DB7" w:rsidRPr="0089237F">
              <w:rPr>
                <w:rStyle w:val="Hipervnculo"/>
                <w:rFonts w:eastAsia="Calibri"/>
                <w:noProof/>
              </w:rPr>
              <w:t>CAPÍTULO PRIMERO</w:t>
            </w:r>
            <w:r w:rsidR="00BD4DB7">
              <w:rPr>
                <w:noProof/>
                <w:webHidden/>
              </w:rPr>
              <w:tab/>
            </w:r>
            <w:r w:rsidR="00BD4DB7">
              <w:rPr>
                <w:noProof/>
                <w:webHidden/>
              </w:rPr>
              <w:fldChar w:fldCharType="begin"/>
            </w:r>
            <w:r w:rsidR="00BD4DB7">
              <w:rPr>
                <w:noProof/>
                <w:webHidden/>
              </w:rPr>
              <w:instrText xml:space="preserve"> PAGEREF _Toc31716317 \h </w:instrText>
            </w:r>
            <w:r w:rsidR="00BD4DB7">
              <w:rPr>
                <w:noProof/>
                <w:webHidden/>
              </w:rPr>
            </w:r>
            <w:r w:rsidR="00BD4DB7">
              <w:rPr>
                <w:noProof/>
                <w:webHidden/>
              </w:rPr>
              <w:fldChar w:fldCharType="separate"/>
            </w:r>
            <w:r w:rsidR="00BD4DB7">
              <w:rPr>
                <w:noProof/>
                <w:webHidden/>
              </w:rPr>
              <w:t>378</w:t>
            </w:r>
            <w:r w:rsidR="00BD4DB7">
              <w:rPr>
                <w:noProof/>
                <w:webHidden/>
              </w:rPr>
              <w:fldChar w:fldCharType="end"/>
            </w:r>
          </w:hyperlink>
        </w:p>
        <w:p w14:paraId="2CDD68F0" w14:textId="7BB2D0CA"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18" w:history="1">
            <w:r w:rsidR="00BD4DB7" w:rsidRPr="0089237F">
              <w:rPr>
                <w:rStyle w:val="Hipervnculo"/>
                <w:rFonts w:eastAsia="Calibri"/>
                <w:noProof/>
              </w:rPr>
              <w:t>MEDIDAS PREVENTIVAS</w:t>
            </w:r>
            <w:r w:rsidR="00BD4DB7">
              <w:rPr>
                <w:noProof/>
                <w:webHidden/>
              </w:rPr>
              <w:tab/>
            </w:r>
            <w:r w:rsidR="00BD4DB7">
              <w:rPr>
                <w:noProof/>
                <w:webHidden/>
              </w:rPr>
              <w:fldChar w:fldCharType="begin"/>
            </w:r>
            <w:r w:rsidR="00BD4DB7">
              <w:rPr>
                <w:noProof/>
                <w:webHidden/>
              </w:rPr>
              <w:instrText xml:space="preserve"> PAGEREF _Toc31716318 \h </w:instrText>
            </w:r>
            <w:r w:rsidR="00BD4DB7">
              <w:rPr>
                <w:noProof/>
                <w:webHidden/>
              </w:rPr>
            </w:r>
            <w:r w:rsidR="00BD4DB7">
              <w:rPr>
                <w:noProof/>
                <w:webHidden/>
              </w:rPr>
              <w:fldChar w:fldCharType="separate"/>
            </w:r>
            <w:r w:rsidR="00BD4DB7">
              <w:rPr>
                <w:noProof/>
                <w:webHidden/>
              </w:rPr>
              <w:t>378</w:t>
            </w:r>
            <w:r w:rsidR="00BD4DB7">
              <w:rPr>
                <w:noProof/>
                <w:webHidden/>
              </w:rPr>
              <w:fldChar w:fldCharType="end"/>
            </w:r>
          </w:hyperlink>
        </w:p>
        <w:p w14:paraId="450F78E2" w14:textId="10F9AFD8"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19" w:history="1">
            <w:r w:rsidR="00BD4DB7" w:rsidRPr="0089237F">
              <w:rPr>
                <w:rStyle w:val="Hipervnculo"/>
                <w:noProof/>
              </w:rPr>
              <w:t>Artículo 3.6.1.1. Medida Preventiva adicional para Operaciones Simultáneas provenientes de sistemas de negociación y/o registro.</w:t>
            </w:r>
            <w:r w:rsidR="00BD4DB7">
              <w:rPr>
                <w:noProof/>
                <w:webHidden/>
              </w:rPr>
              <w:tab/>
            </w:r>
            <w:r w:rsidR="00BD4DB7">
              <w:rPr>
                <w:noProof/>
                <w:webHidden/>
              </w:rPr>
              <w:fldChar w:fldCharType="begin"/>
            </w:r>
            <w:r w:rsidR="00BD4DB7">
              <w:rPr>
                <w:noProof/>
                <w:webHidden/>
              </w:rPr>
              <w:instrText xml:space="preserve"> PAGEREF _Toc31716319 \h </w:instrText>
            </w:r>
            <w:r w:rsidR="00BD4DB7">
              <w:rPr>
                <w:noProof/>
                <w:webHidden/>
              </w:rPr>
            </w:r>
            <w:r w:rsidR="00BD4DB7">
              <w:rPr>
                <w:noProof/>
                <w:webHidden/>
              </w:rPr>
              <w:fldChar w:fldCharType="separate"/>
            </w:r>
            <w:r w:rsidR="00BD4DB7">
              <w:rPr>
                <w:noProof/>
                <w:webHidden/>
              </w:rPr>
              <w:t>378</w:t>
            </w:r>
            <w:r w:rsidR="00BD4DB7">
              <w:rPr>
                <w:noProof/>
                <w:webHidden/>
              </w:rPr>
              <w:fldChar w:fldCharType="end"/>
            </w:r>
          </w:hyperlink>
        </w:p>
        <w:p w14:paraId="7D9D4AB1" w14:textId="1E4D4EC9"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20" w:history="1">
            <w:r w:rsidR="00BD4DB7" w:rsidRPr="0089237F">
              <w:rPr>
                <w:rStyle w:val="Hipervnculo"/>
                <w:noProof/>
              </w:rPr>
              <w:t>Artículo 3.6.1.2.  Plazos especiales para la adopción de Medidas Preventivas durante el procedimiento operativo para gestionar por la Cámara eventos de retardo de un Miembro Liquidador según lo establecido en el artículo 1.7.1.3. de la presente Circular.</w:t>
            </w:r>
            <w:r w:rsidR="00BD4DB7">
              <w:rPr>
                <w:noProof/>
                <w:webHidden/>
              </w:rPr>
              <w:tab/>
            </w:r>
            <w:r w:rsidR="00BD4DB7">
              <w:rPr>
                <w:noProof/>
                <w:webHidden/>
              </w:rPr>
              <w:fldChar w:fldCharType="begin"/>
            </w:r>
            <w:r w:rsidR="00BD4DB7">
              <w:rPr>
                <w:noProof/>
                <w:webHidden/>
              </w:rPr>
              <w:instrText xml:space="preserve"> PAGEREF _Toc31716320 \h </w:instrText>
            </w:r>
            <w:r w:rsidR="00BD4DB7">
              <w:rPr>
                <w:noProof/>
                <w:webHidden/>
              </w:rPr>
            </w:r>
            <w:r w:rsidR="00BD4DB7">
              <w:rPr>
                <w:noProof/>
                <w:webHidden/>
              </w:rPr>
              <w:fldChar w:fldCharType="separate"/>
            </w:r>
            <w:r w:rsidR="00BD4DB7">
              <w:rPr>
                <w:noProof/>
                <w:webHidden/>
              </w:rPr>
              <w:t>379</w:t>
            </w:r>
            <w:r w:rsidR="00BD4DB7">
              <w:rPr>
                <w:noProof/>
                <w:webHidden/>
              </w:rPr>
              <w:fldChar w:fldCharType="end"/>
            </w:r>
          </w:hyperlink>
        </w:p>
        <w:p w14:paraId="16476B47" w14:textId="2B028CE2"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21" w:history="1">
            <w:r w:rsidR="00BD4DB7" w:rsidRPr="0089237F">
              <w:rPr>
                <w:rStyle w:val="Hipervnculo"/>
                <w:rFonts w:eastAsia="Calibri"/>
                <w:noProof/>
                <w:kern w:val="32"/>
              </w:rPr>
              <w:t>TÍTULO SÉPTIMO</w:t>
            </w:r>
            <w:r w:rsidR="00BD4DB7">
              <w:rPr>
                <w:noProof/>
                <w:webHidden/>
              </w:rPr>
              <w:tab/>
            </w:r>
            <w:r w:rsidR="00BD4DB7">
              <w:rPr>
                <w:noProof/>
                <w:webHidden/>
              </w:rPr>
              <w:fldChar w:fldCharType="begin"/>
            </w:r>
            <w:r w:rsidR="00BD4DB7">
              <w:rPr>
                <w:noProof/>
                <w:webHidden/>
              </w:rPr>
              <w:instrText xml:space="preserve"> PAGEREF _Toc31716321 \h </w:instrText>
            </w:r>
            <w:r w:rsidR="00BD4DB7">
              <w:rPr>
                <w:noProof/>
                <w:webHidden/>
              </w:rPr>
            </w:r>
            <w:r w:rsidR="00BD4DB7">
              <w:rPr>
                <w:noProof/>
                <w:webHidden/>
              </w:rPr>
              <w:fldChar w:fldCharType="separate"/>
            </w:r>
            <w:r w:rsidR="00BD4DB7">
              <w:rPr>
                <w:noProof/>
                <w:webHidden/>
              </w:rPr>
              <w:t>379</w:t>
            </w:r>
            <w:r w:rsidR="00BD4DB7">
              <w:rPr>
                <w:noProof/>
                <w:webHidden/>
              </w:rPr>
              <w:fldChar w:fldCharType="end"/>
            </w:r>
          </w:hyperlink>
        </w:p>
        <w:p w14:paraId="4CEB49C0" w14:textId="105BFE63"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22" w:history="1">
            <w:r w:rsidR="00BD4DB7" w:rsidRPr="0089237F">
              <w:rPr>
                <w:rStyle w:val="Hipervnculo"/>
                <w:rFonts w:eastAsia="Calibri"/>
                <w:noProof/>
                <w:kern w:val="32"/>
              </w:rPr>
              <w:t>HORARIOS DE LAS SESIONES DE CÁMARA</w:t>
            </w:r>
            <w:r w:rsidR="00BD4DB7">
              <w:rPr>
                <w:noProof/>
                <w:webHidden/>
              </w:rPr>
              <w:tab/>
            </w:r>
            <w:r w:rsidR="00BD4DB7">
              <w:rPr>
                <w:noProof/>
                <w:webHidden/>
              </w:rPr>
              <w:fldChar w:fldCharType="begin"/>
            </w:r>
            <w:r w:rsidR="00BD4DB7">
              <w:rPr>
                <w:noProof/>
                <w:webHidden/>
              </w:rPr>
              <w:instrText xml:space="preserve"> PAGEREF _Toc31716322 \h </w:instrText>
            </w:r>
            <w:r w:rsidR="00BD4DB7">
              <w:rPr>
                <w:noProof/>
                <w:webHidden/>
              </w:rPr>
            </w:r>
            <w:r w:rsidR="00BD4DB7">
              <w:rPr>
                <w:noProof/>
                <w:webHidden/>
              </w:rPr>
              <w:fldChar w:fldCharType="separate"/>
            </w:r>
            <w:r w:rsidR="00BD4DB7">
              <w:rPr>
                <w:noProof/>
                <w:webHidden/>
              </w:rPr>
              <w:t>379</w:t>
            </w:r>
            <w:r w:rsidR="00BD4DB7">
              <w:rPr>
                <w:noProof/>
                <w:webHidden/>
              </w:rPr>
              <w:fldChar w:fldCharType="end"/>
            </w:r>
          </w:hyperlink>
        </w:p>
        <w:p w14:paraId="7979251C" w14:textId="1C5ECC71"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23" w:history="1">
            <w:r w:rsidR="00BD4DB7" w:rsidRPr="0089237F">
              <w:rPr>
                <w:rStyle w:val="Hipervnculo"/>
                <w:rFonts w:eastAsia="Calibri"/>
                <w:noProof/>
                <w:kern w:val="32"/>
              </w:rPr>
              <w:t>CAPITULO PRIMERO</w:t>
            </w:r>
            <w:r w:rsidR="00BD4DB7">
              <w:rPr>
                <w:noProof/>
                <w:webHidden/>
              </w:rPr>
              <w:tab/>
            </w:r>
            <w:r w:rsidR="00BD4DB7">
              <w:rPr>
                <w:noProof/>
                <w:webHidden/>
              </w:rPr>
              <w:fldChar w:fldCharType="begin"/>
            </w:r>
            <w:r w:rsidR="00BD4DB7">
              <w:rPr>
                <w:noProof/>
                <w:webHidden/>
              </w:rPr>
              <w:instrText xml:space="preserve"> PAGEREF _Toc31716323 \h </w:instrText>
            </w:r>
            <w:r w:rsidR="00BD4DB7">
              <w:rPr>
                <w:noProof/>
                <w:webHidden/>
              </w:rPr>
            </w:r>
            <w:r w:rsidR="00BD4DB7">
              <w:rPr>
                <w:noProof/>
                <w:webHidden/>
              </w:rPr>
              <w:fldChar w:fldCharType="separate"/>
            </w:r>
            <w:r w:rsidR="00BD4DB7">
              <w:rPr>
                <w:noProof/>
                <w:webHidden/>
              </w:rPr>
              <w:t>379</w:t>
            </w:r>
            <w:r w:rsidR="00BD4DB7">
              <w:rPr>
                <w:noProof/>
                <w:webHidden/>
              </w:rPr>
              <w:fldChar w:fldCharType="end"/>
            </w:r>
          </w:hyperlink>
        </w:p>
        <w:p w14:paraId="3791A59F" w14:textId="1A2FDC95"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24" w:history="1">
            <w:r w:rsidR="00BD4DB7" w:rsidRPr="0089237F">
              <w:rPr>
                <w:rStyle w:val="Hipervnculo"/>
                <w:noProof/>
              </w:rPr>
              <w:t>Artículo 3.7.1.1. Horarios de Sesiones de Operación de Cámara para el Segmento de Renta Fija.</w:t>
            </w:r>
            <w:r w:rsidR="00BD4DB7">
              <w:rPr>
                <w:noProof/>
                <w:webHidden/>
              </w:rPr>
              <w:tab/>
            </w:r>
            <w:r w:rsidR="00BD4DB7">
              <w:rPr>
                <w:noProof/>
                <w:webHidden/>
              </w:rPr>
              <w:fldChar w:fldCharType="begin"/>
            </w:r>
            <w:r w:rsidR="00BD4DB7">
              <w:rPr>
                <w:noProof/>
                <w:webHidden/>
              </w:rPr>
              <w:instrText xml:space="preserve"> PAGEREF _Toc31716324 \h </w:instrText>
            </w:r>
            <w:r w:rsidR="00BD4DB7">
              <w:rPr>
                <w:noProof/>
                <w:webHidden/>
              </w:rPr>
            </w:r>
            <w:r w:rsidR="00BD4DB7">
              <w:rPr>
                <w:noProof/>
                <w:webHidden/>
              </w:rPr>
              <w:fldChar w:fldCharType="separate"/>
            </w:r>
            <w:r w:rsidR="00BD4DB7">
              <w:rPr>
                <w:noProof/>
                <w:webHidden/>
              </w:rPr>
              <w:t>379</w:t>
            </w:r>
            <w:r w:rsidR="00BD4DB7">
              <w:rPr>
                <w:noProof/>
                <w:webHidden/>
              </w:rPr>
              <w:fldChar w:fldCharType="end"/>
            </w:r>
          </w:hyperlink>
        </w:p>
        <w:p w14:paraId="698BA7BD" w14:textId="247E0B5F"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25" w:history="1">
            <w:r w:rsidR="00BD4DB7" w:rsidRPr="0089237F">
              <w:rPr>
                <w:rStyle w:val="Hipervnculo"/>
                <w:rFonts w:eastAsia="Calibri"/>
                <w:noProof/>
              </w:rPr>
              <w:t>TÍTULO OCTAVO</w:t>
            </w:r>
            <w:r w:rsidR="00BD4DB7">
              <w:rPr>
                <w:noProof/>
                <w:webHidden/>
              </w:rPr>
              <w:tab/>
            </w:r>
            <w:r w:rsidR="00BD4DB7">
              <w:rPr>
                <w:noProof/>
                <w:webHidden/>
              </w:rPr>
              <w:fldChar w:fldCharType="begin"/>
            </w:r>
            <w:r w:rsidR="00BD4DB7">
              <w:rPr>
                <w:noProof/>
                <w:webHidden/>
              </w:rPr>
              <w:instrText xml:space="preserve"> PAGEREF _Toc31716325 \h </w:instrText>
            </w:r>
            <w:r w:rsidR="00BD4DB7">
              <w:rPr>
                <w:noProof/>
                <w:webHidden/>
              </w:rPr>
            </w:r>
            <w:r w:rsidR="00BD4DB7">
              <w:rPr>
                <w:noProof/>
                <w:webHidden/>
              </w:rPr>
              <w:fldChar w:fldCharType="separate"/>
            </w:r>
            <w:r w:rsidR="00BD4DB7">
              <w:rPr>
                <w:noProof/>
                <w:webHidden/>
              </w:rPr>
              <w:t>381</w:t>
            </w:r>
            <w:r w:rsidR="00BD4DB7">
              <w:rPr>
                <w:noProof/>
                <w:webHidden/>
              </w:rPr>
              <w:fldChar w:fldCharType="end"/>
            </w:r>
          </w:hyperlink>
        </w:p>
        <w:p w14:paraId="2DAEFBD7" w14:textId="4F4F0EDA"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26" w:history="1">
            <w:r w:rsidR="00BD4DB7" w:rsidRPr="0089237F">
              <w:rPr>
                <w:rStyle w:val="Hipervnculo"/>
                <w:rFonts w:eastAsia="Calibri"/>
                <w:noProof/>
              </w:rPr>
              <w:t>ACTIVOS</w:t>
            </w:r>
            <w:r w:rsidR="00BD4DB7">
              <w:rPr>
                <w:noProof/>
                <w:webHidden/>
              </w:rPr>
              <w:tab/>
            </w:r>
            <w:r w:rsidR="00BD4DB7">
              <w:rPr>
                <w:noProof/>
                <w:webHidden/>
              </w:rPr>
              <w:fldChar w:fldCharType="begin"/>
            </w:r>
            <w:r w:rsidR="00BD4DB7">
              <w:rPr>
                <w:noProof/>
                <w:webHidden/>
              </w:rPr>
              <w:instrText xml:space="preserve"> PAGEREF _Toc31716326 \h </w:instrText>
            </w:r>
            <w:r w:rsidR="00BD4DB7">
              <w:rPr>
                <w:noProof/>
                <w:webHidden/>
              </w:rPr>
            </w:r>
            <w:r w:rsidR="00BD4DB7">
              <w:rPr>
                <w:noProof/>
                <w:webHidden/>
              </w:rPr>
              <w:fldChar w:fldCharType="separate"/>
            </w:r>
            <w:r w:rsidR="00BD4DB7">
              <w:rPr>
                <w:noProof/>
                <w:webHidden/>
              </w:rPr>
              <w:t>381</w:t>
            </w:r>
            <w:r w:rsidR="00BD4DB7">
              <w:rPr>
                <w:noProof/>
                <w:webHidden/>
              </w:rPr>
              <w:fldChar w:fldCharType="end"/>
            </w:r>
          </w:hyperlink>
        </w:p>
        <w:p w14:paraId="2D003C73" w14:textId="72D6A470"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27" w:history="1">
            <w:r w:rsidR="00BD4DB7" w:rsidRPr="0089237F">
              <w:rPr>
                <w:rStyle w:val="Hipervnculo"/>
                <w:rFonts w:eastAsia="Calibri"/>
                <w:noProof/>
              </w:rPr>
              <w:t>CAPÍTULO PRIMERO</w:t>
            </w:r>
            <w:r w:rsidR="00BD4DB7">
              <w:rPr>
                <w:noProof/>
                <w:webHidden/>
              </w:rPr>
              <w:tab/>
            </w:r>
            <w:r w:rsidR="00BD4DB7">
              <w:rPr>
                <w:noProof/>
                <w:webHidden/>
              </w:rPr>
              <w:fldChar w:fldCharType="begin"/>
            </w:r>
            <w:r w:rsidR="00BD4DB7">
              <w:rPr>
                <w:noProof/>
                <w:webHidden/>
              </w:rPr>
              <w:instrText xml:space="preserve"> PAGEREF _Toc31716327 \h </w:instrText>
            </w:r>
            <w:r w:rsidR="00BD4DB7">
              <w:rPr>
                <w:noProof/>
                <w:webHidden/>
              </w:rPr>
            </w:r>
            <w:r w:rsidR="00BD4DB7">
              <w:rPr>
                <w:noProof/>
                <w:webHidden/>
              </w:rPr>
              <w:fldChar w:fldCharType="separate"/>
            </w:r>
            <w:r w:rsidR="00BD4DB7">
              <w:rPr>
                <w:noProof/>
                <w:webHidden/>
              </w:rPr>
              <w:t>381</w:t>
            </w:r>
            <w:r w:rsidR="00BD4DB7">
              <w:rPr>
                <w:noProof/>
                <w:webHidden/>
              </w:rPr>
              <w:fldChar w:fldCharType="end"/>
            </w:r>
          </w:hyperlink>
        </w:p>
        <w:p w14:paraId="7D1BDD58" w14:textId="10D8BEE2"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28" w:history="1">
            <w:r w:rsidR="00BD4DB7" w:rsidRPr="0089237F">
              <w:rPr>
                <w:rStyle w:val="Hipervnculo"/>
                <w:rFonts w:eastAsia="Calibri"/>
                <w:noProof/>
              </w:rPr>
              <w:t>ESPECIFICACIÓN DE LOS ACTIVOS</w:t>
            </w:r>
            <w:r w:rsidR="00BD4DB7">
              <w:rPr>
                <w:noProof/>
                <w:webHidden/>
              </w:rPr>
              <w:tab/>
            </w:r>
            <w:r w:rsidR="00BD4DB7">
              <w:rPr>
                <w:noProof/>
                <w:webHidden/>
              </w:rPr>
              <w:fldChar w:fldCharType="begin"/>
            </w:r>
            <w:r w:rsidR="00BD4DB7">
              <w:rPr>
                <w:noProof/>
                <w:webHidden/>
              </w:rPr>
              <w:instrText xml:space="preserve"> PAGEREF _Toc31716328 \h </w:instrText>
            </w:r>
            <w:r w:rsidR="00BD4DB7">
              <w:rPr>
                <w:noProof/>
                <w:webHidden/>
              </w:rPr>
            </w:r>
            <w:r w:rsidR="00BD4DB7">
              <w:rPr>
                <w:noProof/>
                <w:webHidden/>
              </w:rPr>
              <w:fldChar w:fldCharType="separate"/>
            </w:r>
            <w:r w:rsidR="00BD4DB7">
              <w:rPr>
                <w:noProof/>
                <w:webHidden/>
              </w:rPr>
              <w:t>381</w:t>
            </w:r>
            <w:r w:rsidR="00BD4DB7">
              <w:rPr>
                <w:noProof/>
                <w:webHidden/>
              </w:rPr>
              <w:fldChar w:fldCharType="end"/>
            </w:r>
          </w:hyperlink>
        </w:p>
        <w:p w14:paraId="31076371" w14:textId="41AAAF36"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29" w:history="1">
            <w:r w:rsidR="00BD4DB7" w:rsidRPr="0089237F">
              <w:rPr>
                <w:rStyle w:val="Hipervnculo"/>
                <w:noProof/>
              </w:rPr>
              <w:t>Artículo 3.8.1.1. Operaciones Simultáneas sobre Títulos de Deuda Pública TES.</w:t>
            </w:r>
            <w:r w:rsidR="00BD4DB7">
              <w:rPr>
                <w:noProof/>
                <w:webHidden/>
              </w:rPr>
              <w:tab/>
            </w:r>
            <w:r w:rsidR="00BD4DB7">
              <w:rPr>
                <w:noProof/>
                <w:webHidden/>
              </w:rPr>
              <w:fldChar w:fldCharType="begin"/>
            </w:r>
            <w:r w:rsidR="00BD4DB7">
              <w:rPr>
                <w:noProof/>
                <w:webHidden/>
              </w:rPr>
              <w:instrText xml:space="preserve"> PAGEREF _Toc31716329 \h </w:instrText>
            </w:r>
            <w:r w:rsidR="00BD4DB7">
              <w:rPr>
                <w:noProof/>
                <w:webHidden/>
              </w:rPr>
            </w:r>
            <w:r w:rsidR="00BD4DB7">
              <w:rPr>
                <w:noProof/>
                <w:webHidden/>
              </w:rPr>
              <w:fldChar w:fldCharType="separate"/>
            </w:r>
            <w:r w:rsidR="00BD4DB7">
              <w:rPr>
                <w:noProof/>
                <w:webHidden/>
              </w:rPr>
              <w:t>381</w:t>
            </w:r>
            <w:r w:rsidR="00BD4DB7">
              <w:rPr>
                <w:noProof/>
                <w:webHidden/>
              </w:rPr>
              <w:fldChar w:fldCharType="end"/>
            </w:r>
          </w:hyperlink>
        </w:p>
        <w:p w14:paraId="037EC43D" w14:textId="1E9C4CA2"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30" w:history="1">
            <w:r w:rsidR="00BD4DB7" w:rsidRPr="0089237F">
              <w:rPr>
                <w:rStyle w:val="Hipervnculo"/>
                <w:rFonts w:eastAsia="Calibri"/>
                <w:noProof/>
              </w:rPr>
              <w:t>PARTE IV</w:t>
            </w:r>
            <w:r w:rsidR="00BD4DB7">
              <w:rPr>
                <w:noProof/>
                <w:webHidden/>
              </w:rPr>
              <w:tab/>
            </w:r>
            <w:r w:rsidR="00BD4DB7">
              <w:rPr>
                <w:noProof/>
                <w:webHidden/>
              </w:rPr>
              <w:fldChar w:fldCharType="begin"/>
            </w:r>
            <w:r w:rsidR="00BD4DB7">
              <w:rPr>
                <w:noProof/>
                <w:webHidden/>
              </w:rPr>
              <w:instrText xml:space="preserve"> PAGEREF _Toc31716330 \h </w:instrText>
            </w:r>
            <w:r w:rsidR="00BD4DB7">
              <w:rPr>
                <w:noProof/>
                <w:webHidden/>
              </w:rPr>
            </w:r>
            <w:r w:rsidR="00BD4DB7">
              <w:rPr>
                <w:noProof/>
                <w:webHidden/>
              </w:rPr>
              <w:fldChar w:fldCharType="separate"/>
            </w:r>
            <w:r w:rsidR="00BD4DB7">
              <w:rPr>
                <w:noProof/>
                <w:webHidden/>
              </w:rPr>
              <w:t>383</w:t>
            </w:r>
            <w:r w:rsidR="00BD4DB7">
              <w:rPr>
                <w:noProof/>
                <w:webHidden/>
              </w:rPr>
              <w:fldChar w:fldCharType="end"/>
            </w:r>
          </w:hyperlink>
        </w:p>
        <w:p w14:paraId="313B1800" w14:textId="5C44CE31"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31" w:history="1">
            <w:r w:rsidR="00BD4DB7" w:rsidRPr="0089237F">
              <w:rPr>
                <w:rStyle w:val="Hipervnculo"/>
                <w:rFonts w:eastAsia="Calibri"/>
                <w:noProof/>
              </w:rPr>
              <w:t>SEGMENTO RENTA VARIABLE</w:t>
            </w:r>
            <w:r w:rsidR="00BD4DB7">
              <w:rPr>
                <w:noProof/>
                <w:webHidden/>
              </w:rPr>
              <w:tab/>
            </w:r>
            <w:r w:rsidR="00BD4DB7">
              <w:rPr>
                <w:noProof/>
                <w:webHidden/>
              </w:rPr>
              <w:fldChar w:fldCharType="begin"/>
            </w:r>
            <w:r w:rsidR="00BD4DB7">
              <w:rPr>
                <w:noProof/>
                <w:webHidden/>
              </w:rPr>
              <w:instrText xml:space="preserve"> PAGEREF _Toc31716331 \h </w:instrText>
            </w:r>
            <w:r w:rsidR="00BD4DB7">
              <w:rPr>
                <w:noProof/>
                <w:webHidden/>
              </w:rPr>
            </w:r>
            <w:r w:rsidR="00BD4DB7">
              <w:rPr>
                <w:noProof/>
                <w:webHidden/>
              </w:rPr>
              <w:fldChar w:fldCharType="separate"/>
            </w:r>
            <w:r w:rsidR="00BD4DB7">
              <w:rPr>
                <w:noProof/>
                <w:webHidden/>
              </w:rPr>
              <w:t>383</w:t>
            </w:r>
            <w:r w:rsidR="00BD4DB7">
              <w:rPr>
                <w:noProof/>
                <w:webHidden/>
              </w:rPr>
              <w:fldChar w:fldCharType="end"/>
            </w:r>
          </w:hyperlink>
        </w:p>
        <w:p w14:paraId="4314888C" w14:textId="646BFA12"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32" w:history="1">
            <w:r w:rsidR="00BD4DB7" w:rsidRPr="0089237F">
              <w:rPr>
                <w:rStyle w:val="Hipervnculo"/>
                <w:rFonts w:eastAsia="Calibri"/>
                <w:noProof/>
              </w:rPr>
              <w:t>TITULO PRIMERO</w:t>
            </w:r>
            <w:r w:rsidR="00BD4DB7">
              <w:rPr>
                <w:noProof/>
                <w:webHidden/>
              </w:rPr>
              <w:tab/>
            </w:r>
            <w:r w:rsidR="00BD4DB7">
              <w:rPr>
                <w:noProof/>
                <w:webHidden/>
              </w:rPr>
              <w:fldChar w:fldCharType="begin"/>
            </w:r>
            <w:r w:rsidR="00BD4DB7">
              <w:rPr>
                <w:noProof/>
                <w:webHidden/>
              </w:rPr>
              <w:instrText xml:space="preserve"> PAGEREF _Toc31716332 \h </w:instrText>
            </w:r>
            <w:r w:rsidR="00BD4DB7">
              <w:rPr>
                <w:noProof/>
                <w:webHidden/>
              </w:rPr>
            </w:r>
            <w:r w:rsidR="00BD4DB7">
              <w:rPr>
                <w:noProof/>
                <w:webHidden/>
              </w:rPr>
              <w:fldChar w:fldCharType="separate"/>
            </w:r>
            <w:r w:rsidR="00BD4DB7">
              <w:rPr>
                <w:noProof/>
                <w:webHidden/>
              </w:rPr>
              <w:t>383</w:t>
            </w:r>
            <w:r w:rsidR="00BD4DB7">
              <w:rPr>
                <w:noProof/>
                <w:webHidden/>
              </w:rPr>
              <w:fldChar w:fldCharType="end"/>
            </w:r>
          </w:hyperlink>
        </w:p>
        <w:p w14:paraId="05C746D1" w14:textId="12E44B34"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33" w:history="1">
            <w:r w:rsidR="00BD4DB7" w:rsidRPr="0089237F">
              <w:rPr>
                <w:rStyle w:val="Hipervnculo"/>
                <w:rFonts w:eastAsia="Calibri"/>
                <w:noProof/>
              </w:rPr>
              <w:t>MIEMBROS DE LA CÁMARA, AGENTES Y PARTICIPACIÓN EN EL SEGMENTO</w:t>
            </w:r>
            <w:r w:rsidR="00BD4DB7">
              <w:rPr>
                <w:noProof/>
                <w:webHidden/>
              </w:rPr>
              <w:tab/>
            </w:r>
            <w:r w:rsidR="00BD4DB7">
              <w:rPr>
                <w:noProof/>
                <w:webHidden/>
              </w:rPr>
              <w:fldChar w:fldCharType="begin"/>
            </w:r>
            <w:r w:rsidR="00BD4DB7">
              <w:rPr>
                <w:noProof/>
                <w:webHidden/>
              </w:rPr>
              <w:instrText xml:space="preserve"> PAGEREF _Toc31716333 \h </w:instrText>
            </w:r>
            <w:r w:rsidR="00BD4DB7">
              <w:rPr>
                <w:noProof/>
                <w:webHidden/>
              </w:rPr>
            </w:r>
            <w:r w:rsidR="00BD4DB7">
              <w:rPr>
                <w:noProof/>
                <w:webHidden/>
              </w:rPr>
              <w:fldChar w:fldCharType="separate"/>
            </w:r>
            <w:r w:rsidR="00BD4DB7">
              <w:rPr>
                <w:noProof/>
                <w:webHidden/>
              </w:rPr>
              <w:t>383</w:t>
            </w:r>
            <w:r w:rsidR="00BD4DB7">
              <w:rPr>
                <w:noProof/>
                <w:webHidden/>
              </w:rPr>
              <w:fldChar w:fldCharType="end"/>
            </w:r>
          </w:hyperlink>
        </w:p>
        <w:p w14:paraId="48F47F3D" w14:textId="738A622F"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34" w:history="1">
            <w:r w:rsidR="00BD4DB7" w:rsidRPr="0089237F">
              <w:rPr>
                <w:rStyle w:val="Hipervnculo"/>
                <w:rFonts w:eastAsia="Calibri"/>
                <w:noProof/>
              </w:rPr>
              <w:t>CAPÍTULO PRIMERO</w:t>
            </w:r>
            <w:r w:rsidR="00BD4DB7">
              <w:rPr>
                <w:noProof/>
                <w:webHidden/>
              </w:rPr>
              <w:tab/>
            </w:r>
            <w:r w:rsidR="00BD4DB7">
              <w:rPr>
                <w:noProof/>
                <w:webHidden/>
              </w:rPr>
              <w:fldChar w:fldCharType="begin"/>
            </w:r>
            <w:r w:rsidR="00BD4DB7">
              <w:rPr>
                <w:noProof/>
                <w:webHidden/>
              </w:rPr>
              <w:instrText xml:space="preserve"> PAGEREF _Toc31716334 \h </w:instrText>
            </w:r>
            <w:r w:rsidR="00BD4DB7">
              <w:rPr>
                <w:noProof/>
                <w:webHidden/>
              </w:rPr>
            </w:r>
            <w:r w:rsidR="00BD4DB7">
              <w:rPr>
                <w:noProof/>
                <w:webHidden/>
              </w:rPr>
              <w:fldChar w:fldCharType="separate"/>
            </w:r>
            <w:r w:rsidR="00BD4DB7">
              <w:rPr>
                <w:noProof/>
                <w:webHidden/>
              </w:rPr>
              <w:t>383</w:t>
            </w:r>
            <w:r w:rsidR="00BD4DB7">
              <w:rPr>
                <w:noProof/>
                <w:webHidden/>
              </w:rPr>
              <w:fldChar w:fldCharType="end"/>
            </w:r>
          </w:hyperlink>
        </w:p>
        <w:p w14:paraId="66C233A7" w14:textId="1CD376CD"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35" w:history="1">
            <w:r w:rsidR="00BD4DB7" w:rsidRPr="0089237F">
              <w:rPr>
                <w:rStyle w:val="Hipervnculo"/>
                <w:rFonts w:eastAsia="Calibri"/>
                <w:noProof/>
              </w:rPr>
              <w:t>REQUISITOS DE PARTICIPACIÓN, MODIFICACIÓN Y PERMANENCIA DE LOS MIEMBROS</w:t>
            </w:r>
            <w:r w:rsidR="00BD4DB7">
              <w:rPr>
                <w:noProof/>
                <w:webHidden/>
              </w:rPr>
              <w:tab/>
            </w:r>
            <w:r w:rsidR="00BD4DB7">
              <w:rPr>
                <w:noProof/>
                <w:webHidden/>
              </w:rPr>
              <w:fldChar w:fldCharType="begin"/>
            </w:r>
            <w:r w:rsidR="00BD4DB7">
              <w:rPr>
                <w:noProof/>
                <w:webHidden/>
              </w:rPr>
              <w:instrText xml:space="preserve"> PAGEREF _Toc31716335 \h </w:instrText>
            </w:r>
            <w:r w:rsidR="00BD4DB7">
              <w:rPr>
                <w:noProof/>
                <w:webHidden/>
              </w:rPr>
            </w:r>
            <w:r w:rsidR="00BD4DB7">
              <w:rPr>
                <w:noProof/>
                <w:webHidden/>
              </w:rPr>
              <w:fldChar w:fldCharType="separate"/>
            </w:r>
            <w:r w:rsidR="00BD4DB7">
              <w:rPr>
                <w:noProof/>
                <w:webHidden/>
              </w:rPr>
              <w:t>383</w:t>
            </w:r>
            <w:r w:rsidR="00BD4DB7">
              <w:rPr>
                <w:noProof/>
                <w:webHidden/>
              </w:rPr>
              <w:fldChar w:fldCharType="end"/>
            </w:r>
          </w:hyperlink>
        </w:p>
        <w:p w14:paraId="43448E78" w14:textId="643E23B4"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36" w:history="1">
            <w:r w:rsidR="00BD4DB7" w:rsidRPr="0089237F">
              <w:rPr>
                <w:rStyle w:val="Hipervnculo"/>
                <w:noProof/>
              </w:rPr>
              <w:t>Artículo 4.1.1.1. Solicitud para participar en el Segmento de Renta Variable y procedimiento operativo de ingreso.</w:t>
            </w:r>
            <w:r w:rsidR="00BD4DB7">
              <w:rPr>
                <w:noProof/>
                <w:webHidden/>
              </w:rPr>
              <w:tab/>
            </w:r>
            <w:r w:rsidR="00BD4DB7">
              <w:rPr>
                <w:noProof/>
                <w:webHidden/>
              </w:rPr>
              <w:fldChar w:fldCharType="begin"/>
            </w:r>
            <w:r w:rsidR="00BD4DB7">
              <w:rPr>
                <w:noProof/>
                <w:webHidden/>
              </w:rPr>
              <w:instrText xml:space="preserve"> PAGEREF _Toc31716336 \h </w:instrText>
            </w:r>
            <w:r w:rsidR="00BD4DB7">
              <w:rPr>
                <w:noProof/>
                <w:webHidden/>
              </w:rPr>
            </w:r>
            <w:r w:rsidR="00BD4DB7">
              <w:rPr>
                <w:noProof/>
                <w:webHidden/>
              </w:rPr>
              <w:fldChar w:fldCharType="separate"/>
            </w:r>
            <w:r w:rsidR="00BD4DB7">
              <w:rPr>
                <w:noProof/>
                <w:webHidden/>
              </w:rPr>
              <w:t>384</w:t>
            </w:r>
            <w:r w:rsidR="00BD4DB7">
              <w:rPr>
                <w:noProof/>
                <w:webHidden/>
              </w:rPr>
              <w:fldChar w:fldCharType="end"/>
            </w:r>
          </w:hyperlink>
        </w:p>
        <w:p w14:paraId="381A74A6" w14:textId="0E0F9D53"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37" w:history="1">
            <w:r w:rsidR="00BD4DB7" w:rsidRPr="0089237F">
              <w:rPr>
                <w:rStyle w:val="Hipervnculo"/>
                <w:noProof/>
              </w:rPr>
              <w:t>Artículo 4.1.1.2. Requisito de patrimonio técnico del Miembro Liquidador General para Participar en el Segmento de Renta Variable.</w:t>
            </w:r>
            <w:r w:rsidR="00BD4DB7">
              <w:rPr>
                <w:noProof/>
                <w:webHidden/>
              </w:rPr>
              <w:tab/>
            </w:r>
            <w:r w:rsidR="00BD4DB7">
              <w:rPr>
                <w:noProof/>
                <w:webHidden/>
              </w:rPr>
              <w:fldChar w:fldCharType="begin"/>
            </w:r>
            <w:r w:rsidR="00BD4DB7">
              <w:rPr>
                <w:noProof/>
                <w:webHidden/>
              </w:rPr>
              <w:instrText xml:space="preserve"> PAGEREF _Toc31716337 \h </w:instrText>
            </w:r>
            <w:r w:rsidR="00BD4DB7">
              <w:rPr>
                <w:noProof/>
                <w:webHidden/>
              </w:rPr>
            </w:r>
            <w:r w:rsidR="00BD4DB7">
              <w:rPr>
                <w:noProof/>
                <w:webHidden/>
              </w:rPr>
              <w:fldChar w:fldCharType="separate"/>
            </w:r>
            <w:r w:rsidR="00BD4DB7">
              <w:rPr>
                <w:noProof/>
                <w:webHidden/>
              </w:rPr>
              <w:t>384</w:t>
            </w:r>
            <w:r w:rsidR="00BD4DB7">
              <w:rPr>
                <w:noProof/>
                <w:webHidden/>
              </w:rPr>
              <w:fldChar w:fldCharType="end"/>
            </w:r>
          </w:hyperlink>
        </w:p>
        <w:p w14:paraId="69F9E316" w14:textId="07D7103A"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38" w:history="1">
            <w:r w:rsidR="00BD4DB7" w:rsidRPr="0089237F">
              <w:rPr>
                <w:rStyle w:val="Hipervnculo"/>
                <w:noProof/>
              </w:rPr>
              <w:t>Artículo 4.1.1.3. Requisito de patrimonio técnico del Miembro Liquidador Individual para Participar en el Segmento de Renta Variable.</w:t>
            </w:r>
            <w:r w:rsidR="00BD4DB7">
              <w:rPr>
                <w:noProof/>
                <w:webHidden/>
              </w:rPr>
              <w:tab/>
            </w:r>
            <w:r w:rsidR="00BD4DB7">
              <w:rPr>
                <w:noProof/>
                <w:webHidden/>
              </w:rPr>
              <w:fldChar w:fldCharType="begin"/>
            </w:r>
            <w:r w:rsidR="00BD4DB7">
              <w:rPr>
                <w:noProof/>
                <w:webHidden/>
              </w:rPr>
              <w:instrText xml:space="preserve"> PAGEREF _Toc31716338 \h </w:instrText>
            </w:r>
            <w:r w:rsidR="00BD4DB7">
              <w:rPr>
                <w:noProof/>
                <w:webHidden/>
              </w:rPr>
            </w:r>
            <w:r w:rsidR="00BD4DB7">
              <w:rPr>
                <w:noProof/>
                <w:webHidden/>
              </w:rPr>
              <w:fldChar w:fldCharType="separate"/>
            </w:r>
            <w:r w:rsidR="00BD4DB7">
              <w:rPr>
                <w:noProof/>
                <w:webHidden/>
              </w:rPr>
              <w:t>385</w:t>
            </w:r>
            <w:r w:rsidR="00BD4DB7">
              <w:rPr>
                <w:noProof/>
                <w:webHidden/>
              </w:rPr>
              <w:fldChar w:fldCharType="end"/>
            </w:r>
          </w:hyperlink>
        </w:p>
        <w:p w14:paraId="3289BA94" w14:textId="4D46377C"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39" w:history="1">
            <w:r w:rsidR="00BD4DB7" w:rsidRPr="0089237F">
              <w:rPr>
                <w:rStyle w:val="Hipervnculo"/>
                <w:noProof/>
              </w:rPr>
              <w:t>Artículo 4.1.1.4. Calificaciones de riesgo mínimas exigidas para el Miembro Liquidador Individual.</w:t>
            </w:r>
            <w:r w:rsidR="00BD4DB7">
              <w:rPr>
                <w:noProof/>
                <w:webHidden/>
              </w:rPr>
              <w:tab/>
            </w:r>
            <w:r w:rsidR="00BD4DB7">
              <w:rPr>
                <w:noProof/>
                <w:webHidden/>
              </w:rPr>
              <w:fldChar w:fldCharType="begin"/>
            </w:r>
            <w:r w:rsidR="00BD4DB7">
              <w:rPr>
                <w:noProof/>
                <w:webHidden/>
              </w:rPr>
              <w:instrText xml:space="preserve"> PAGEREF _Toc31716339 \h </w:instrText>
            </w:r>
            <w:r w:rsidR="00BD4DB7">
              <w:rPr>
                <w:noProof/>
                <w:webHidden/>
              </w:rPr>
            </w:r>
            <w:r w:rsidR="00BD4DB7">
              <w:rPr>
                <w:noProof/>
                <w:webHidden/>
              </w:rPr>
              <w:fldChar w:fldCharType="separate"/>
            </w:r>
            <w:r w:rsidR="00BD4DB7">
              <w:rPr>
                <w:noProof/>
                <w:webHidden/>
              </w:rPr>
              <w:t>385</w:t>
            </w:r>
            <w:r w:rsidR="00BD4DB7">
              <w:rPr>
                <w:noProof/>
                <w:webHidden/>
              </w:rPr>
              <w:fldChar w:fldCharType="end"/>
            </w:r>
          </w:hyperlink>
        </w:p>
        <w:p w14:paraId="68C795B5" w14:textId="524D642F"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40" w:history="1">
            <w:r w:rsidR="00BD4DB7" w:rsidRPr="0089237F">
              <w:rPr>
                <w:rStyle w:val="Hipervnculo"/>
                <w:noProof/>
              </w:rPr>
              <w:t>Artículo 4.1.1.5. Procedimiento operativo para el retiro del Segmento de Renta Variable.</w:t>
            </w:r>
            <w:r w:rsidR="00BD4DB7">
              <w:rPr>
                <w:noProof/>
                <w:webHidden/>
              </w:rPr>
              <w:tab/>
            </w:r>
            <w:r w:rsidR="00BD4DB7">
              <w:rPr>
                <w:noProof/>
                <w:webHidden/>
              </w:rPr>
              <w:fldChar w:fldCharType="begin"/>
            </w:r>
            <w:r w:rsidR="00BD4DB7">
              <w:rPr>
                <w:noProof/>
                <w:webHidden/>
              </w:rPr>
              <w:instrText xml:space="preserve"> PAGEREF _Toc31716340 \h </w:instrText>
            </w:r>
            <w:r w:rsidR="00BD4DB7">
              <w:rPr>
                <w:noProof/>
                <w:webHidden/>
              </w:rPr>
            </w:r>
            <w:r w:rsidR="00BD4DB7">
              <w:rPr>
                <w:noProof/>
                <w:webHidden/>
              </w:rPr>
              <w:fldChar w:fldCharType="separate"/>
            </w:r>
            <w:r w:rsidR="00BD4DB7">
              <w:rPr>
                <w:noProof/>
                <w:webHidden/>
              </w:rPr>
              <w:t>385</w:t>
            </w:r>
            <w:r w:rsidR="00BD4DB7">
              <w:rPr>
                <w:noProof/>
                <w:webHidden/>
              </w:rPr>
              <w:fldChar w:fldCharType="end"/>
            </w:r>
          </w:hyperlink>
        </w:p>
        <w:p w14:paraId="4BC727B4" w14:textId="69424A27"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41" w:history="1">
            <w:r w:rsidR="00BD4DB7" w:rsidRPr="0089237F">
              <w:rPr>
                <w:rStyle w:val="Hipervnculo"/>
                <w:rFonts w:eastAsia="Calibri"/>
                <w:noProof/>
              </w:rPr>
              <w:t>CAPÍTULO SEGUNDO</w:t>
            </w:r>
            <w:r w:rsidR="00BD4DB7">
              <w:rPr>
                <w:noProof/>
                <w:webHidden/>
              </w:rPr>
              <w:tab/>
            </w:r>
            <w:r w:rsidR="00BD4DB7">
              <w:rPr>
                <w:noProof/>
                <w:webHidden/>
              </w:rPr>
              <w:fldChar w:fldCharType="begin"/>
            </w:r>
            <w:r w:rsidR="00BD4DB7">
              <w:rPr>
                <w:noProof/>
                <w:webHidden/>
              </w:rPr>
              <w:instrText xml:space="preserve"> PAGEREF _Toc31716341 \h </w:instrText>
            </w:r>
            <w:r w:rsidR="00BD4DB7">
              <w:rPr>
                <w:noProof/>
                <w:webHidden/>
              </w:rPr>
            </w:r>
            <w:r w:rsidR="00BD4DB7">
              <w:rPr>
                <w:noProof/>
                <w:webHidden/>
              </w:rPr>
              <w:fldChar w:fldCharType="separate"/>
            </w:r>
            <w:r w:rsidR="00BD4DB7">
              <w:rPr>
                <w:noProof/>
                <w:webHidden/>
              </w:rPr>
              <w:t>386</w:t>
            </w:r>
            <w:r w:rsidR="00BD4DB7">
              <w:rPr>
                <w:noProof/>
                <w:webHidden/>
              </w:rPr>
              <w:fldChar w:fldCharType="end"/>
            </w:r>
          </w:hyperlink>
        </w:p>
        <w:p w14:paraId="324B1442" w14:textId="5B26E6DB"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42" w:history="1">
            <w:r w:rsidR="00BD4DB7" w:rsidRPr="0089237F">
              <w:rPr>
                <w:rStyle w:val="Hipervnculo"/>
                <w:rFonts w:eastAsia="Calibri"/>
                <w:noProof/>
              </w:rPr>
              <w:t>REQUISITOS DE APROBACIÓN Y PERMANENCIA DE LOS AGENTES</w:t>
            </w:r>
            <w:r w:rsidR="00BD4DB7">
              <w:rPr>
                <w:noProof/>
                <w:webHidden/>
              </w:rPr>
              <w:tab/>
            </w:r>
            <w:r w:rsidR="00BD4DB7">
              <w:rPr>
                <w:noProof/>
                <w:webHidden/>
              </w:rPr>
              <w:fldChar w:fldCharType="begin"/>
            </w:r>
            <w:r w:rsidR="00BD4DB7">
              <w:rPr>
                <w:noProof/>
                <w:webHidden/>
              </w:rPr>
              <w:instrText xml:space="preserve"> PAGEREF _Toc31716342 \h </w:instrText>
            </w:r>
            <w:r w:rsidR="00BD4DB7">
              <w:rPr>
                <w:noProof/>
                <w:webHidden/>
              </w:rPr>
            </w:r>
            <w:r w:rsidR="00BD4DB7">
              <w:rPr>
                <w:noProof/>
                <w:webHidden/>
              </w:rPr>
              <w:fldChar w:fldCharType="separate"/>
            </w:r>
            <w:r w:rsidR="00BD4DB7">
              <w:rPr>
                <w:noProof/>
                <w:webHidden/>
              </w:rPr>
              <w:t>386</w:t>
            </w:r>
            <w:r w:rsidR="00BD4DB7">
              <w:rPr>
                <w:noProof/>
                <w:webHidden/>
              </w:rPr>
              <w:fldChar w:fldCharType="end"/>
            </w:r>
          </w:hyperlink>
        </w:p>
        <w:p w14:paraId="05550916" w14:textId="2DE2772C"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43" w:history="1">
            <w:r w:rsidR="00BD4DB7" w:rsidRPr="0089237F">
              <w:rPr>
                <w:rStyle w:val="Hipervnculo"/>
                <w:noProof/>
              </w:rPr>
              <w:t>Artículo 4.1.2.1. Requisito para que un Agente participe en el Segmento de Renta Variable.</w:t>
            </w:r>
            <w:r w:rsidR="00BD4DB7">
              <w:rPr>
                <w:noProof/>
                <w:webHidden/>
              </w:rPr>
              <w:tab/>
            </w:r>
            <w:r w:rsidR="00BD4DB7">
              <w:rPr>
                <w:noProof/>
                <w:webHidden/>
              </w:rPr>
              <w:fldChar w:fldCharType="begin"/>
            </w:r>
            <w:r w:rsidR="00BD4DB7">
              <w:rPr>
                <w:noProof/>
                <w:webHidden/>
              </w:rPr>
              <w:instrText xml:space="preserve"> PAGEREF _Toc31716343 \h </w:instrText>
            </w:r>
            <w:r w:rsidR="00BD4DB7">
              <w:rPr>
                <w:noProof/>
                <w:webHidden/>
              </w:rPr>
            </w:r>
            <w:r w:rsidR="00BD4DB7">
              <w:rPr>
                <w:noProof/>
                <w:webHidden/>
              </w:rPr>
              <w:fldChar w:fldCharType="separate"/>
            </w:r>
            <w:r w:rsidR="00BD4DB7">
              <w:rPr>
                <w:noProof/>
                <w:webHidden/>
              </w:rPr>
              <w:t>386</w:t>
            </w:r>
            <w:r w:rsidR="00BD4DB7">
              <w:rPr>
                <w:noProof/>
                <w:webHidden/>
              </w:rPr>
              <w:fldChar w:fldCharType="end"/>
            </w:r>
          </w:hyperlink>
        </w:p>
        <w:p w14:paraId="2A4A540E" w14:textId="5D030AE6"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44" w:history="1">
            <w:r w:rsidR="00BD4DB7" w:rsidRPr="0089237F">
              <w:rPr>
                <w:rStyle w:val="Hipervnculo"/>
                <w:rFonts w:eastAsia="Calibri"/>
                <w:noProof/>
              </w:rPr>
              <w:t>TÍTULO SEGUNDO</w:t>
            </w:r>
            <w:r w:rsidR="00BD4DB7">
              <w:rPr>
                <w:noProof/>
                <w:webHidden/>
              </w:rPr>
              <w:tab/>
            </w:r>
            <w:r w:rsidR="00BD4DB7">
              <w:rPr>
                <w:noProof/>
                <w:webHidden/>
              </w:rPr>
              <w:fldChar w:fldCharType="begin"/>
            </w:r>
            <w:r w:rsidR="00BD4DB7">
              <w:rPr>
                <w:noProof/>
                <w:webHidden/>
              </w:rPr>
              <w:instrText xml:space="preserve"> PAGEREF _Toc31716344 \h </w:instrText>
            </w:r>
            <w:r w:rsidR="00BD4DB7">
              <w:rPr>
                <w:noProof/>
                <w:webHidden/>
              </w:rPr>
            </w:r>
            <w:r w:rsidR="00BD4DB7">
              <w:rPr>
                <w:noProof/>
                <w:webHidden/>
              </w:rPr>
              <w:fldChar w:fldCharType="separate"/>
            </w:r>
            <w:r w:rsidR="00BD4DB7">
              <w:rPr>
                <w:noProof/>
                <w:webHidden/>
              </w:rPr>
              <w:t>386</w:t>
            </w:r>
            <w:r w:rsidR="00BD4DB7">
              <w:rPr>
                <w:noProof/>
                <w:webHidden/>
              </w:rPr>
              <w:fldChar w:fldCharType="end"/>
            </w:r>
          </w:hyperlink>
        </w:p>
        <w:p w14:paraId="0087665F" w14:textId="15E9367A"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45" w:history="1">
            <w:r w:rsidR="00BD4DB7" w:rsidRPr="0089237F">
              <w:rPr>
                <w:rStyle w:val="Hipervnculo"/>
                <w:rFonts w:eastAsia="Calibri"/>
                <w:noProof/>
              </w:rPr>
              <w:t>ACEPTACIÓN DE OPERACIONES</w:t>
            </w:r>
            <w:r w:rsidR="00BD4DB7">
              <w:rPr>
                <w:noProof/>
                <w:webHidden/>
              </w:rPr>
              <w:tab/>
            </w:r>
            <w:r w:rsidR="00BD4DB7">
              <w:rPr>
                <w:noProof/>
                <w:webHidden/>
              </w:rPr>
              <w:fldChar w:fldCharType="begin"/>
            </w:r>
            <w:r w:rsidR="00BD4DB7">
              <w:rPr>
                <w:noProof/>
                <w:webHidden/>
              </w:rPr>
              <w:instrText xml:space="preserve"> PAGEREF _Toc31716345 \h </w:instrText>
            </w:r>
            <w:r w:rsidR="00BD4DB7">
              <w:rPr>
                <w:noProof/>
                <w:webHidden/>
              </w:rPr>
            </w:r>
            <w:r w:rsidR="00BD4DB7">
              <w:rPr>
                <w:noProof/>
                <w:webHidden/>
              </w:rPr>
              <w:fldChar w:fldCharType="separate"/>
            </w:r>
            <w:r w:rsidR="00BD4DB7">
              <w:rPr>
                <w:noProof/>
                <w:webHidden/>
              </w:rPr>
              <w:t>386</w:t>
            </w:r>
            <w:r w:rsidR="00BD4DB7">
              <w:rPr>
                <w:noProof/>
                <w:webHidden/>
              </w:rPr>
              <w:fldChar w:fldCharType="end"/>
            </w:r>
          </w:hyperlink>
        </w:p>
        <w:p w14:paraId="656EF059" w14:textId="45C8CA1B"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46" w:history="1">
            <w:r w:rsidR="00BD4DB7" w:rsidRPr="0089237F">
              <w:rPr>
                <w:rStyle w:val="Hipervnculo"/>
                <w:rFonts w:eastAsia="Calibri"/>
                <w:noProof/>
              </w:rPr>
              <w:t>CAPÍTULO PRIMERO</w:t>
            </w:r>
            <w:r w:rsidR="00BD4DB7">
              <w:rPr>
                <w:noProof/>
                <w:webHidden/>
              </w:rPr>
              <w:tab/>
            </w:r>
            <w:r w:rsidR="00BD4DB7">
              <w:rPr>
                <w:noProof/>
                <w:webHidden/>
              </w:rPr>
              <w:fldChar w:fldCharType="begin"/>
            </w:r>
            <w:r w:rsidR="00BD4DB7">
              <w:rPr>
                <w:noProof/>
                <w:webHidden/>
              </w:rPr>
              <w:instrText xml:space="preserve"> PAGEREF _Toc31716346 \h </w:instrText>
            </w:r>
            <w:r w:rsidR="00BD4DB7">
              <w:rPr>
                <w:noProof/>
                <w:webHidden/>
              </w:rPr>
            </w:r>
            <w:r w:rsidR="00BD4DB7">
              <w:rPr>
                <w:noProof/>
                <w:webHidden/>
              </w:rPr>
              <w:fldChar w:fldCharType="separate"/>
            </w:r>
            <w:r w:rsidR="00BD4DB7">
              <w:rPr>
                <w:noProof/>
                <w:webHidden/>
              </w:rPr>
              <w:t>386</w:t>
            </w:r>
            <w:r w:rsidR="00BD4DB7">
              <w:rPr>
                <w:noProof/>
                <w:webHidden/>
              </w:rPr>
              <w:fldChar w:fldCharType="end"/>
            </w:r>
          </w:hyperlink>
        </w:p>
        <w:p w14:paraId="6C077C1E" w14:textId="1D77FDAA"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47" w:history="1">
            <w:r w:rsidR="00BD4DB7" w:rsidRPr="0089237F">
              <w:rPr>
                <w:rStyle w:val="Hipervnculo"/>
                <w:rFonts w:eastAsia="Calibri"/>
                <w:noProof/>
              </w:rPr>
              <w:t>CONTROL DE RIESGO Y ACEPTACIÓN DE OPERACIONES PROVENIENTES DE LA BOLSA</w:t>
            </w:r>
            <w:r w:rsidR="00BD4DB7">
              <w:rPr>
                <w:noProof/>
                <w:webHidden/>
              </w:rPr>
              <w:tab/>
            </w:r>
            <w:r w:rsidR="00BD4DB7">
              <w:rPr>
                <w:noProof/>
                <w:webHidden/>
              </w:rPr>
              <w:fldChar w:fldCharType="begin"/>
            </w:r>
            <w:r w:rsidR="00BD4DB7">
              <w:rPr>
                <w:noProof/>
                <w:webHidden/>
              </w:rPr>
              <w:instrText xml:space="preserve"> PAGEREF _Toc31716347 \h </w:instrText>
            </w:r>
            <w:r w:rsidR="00BD4DB7">
              <w:rPr>
                <w:noProof/>
                <w:webHidden/>
              </w:rPr>
            </w:r>
            <w:r w:rsidR="00BD4DB7">
              <w:rPr>
                <w:noProof/>
                <w:webHidden/>
              </w:rPr>
              <w:fldChar w:fldCharType="separate"/>
            </w:r>
            <w:r w:rsidR="00BD4DB7">
              <w:rPr>
                <w:noProof/>
                <w:webHidden/>
              </w:rPr>
              <w:t>386</w:t>
            </w:r>
            <w:r w:rsidR="00BD4DB7">
              <w:rPr>
                <w:noProof/>
                <w:webHidden/>
              </w:rPr>
              <w:fldChar w:fldCharType="end"/>
            </w:r>
          </w:hyperlink>
        </w:p>
        <w:p w14:paraId="763184E1" w14:textId="3540D7BD"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48" w:history="1">
            <w:r w:rsidR="00BD4DB7" w:rsidRPr="0089237F">
              <w:rPr>
                <w:rStyle w:val="Hipervnculo"/>
                <w:noProof/>
              </w:rPr>
              <w:t>Artículo 4.2.1.1. Aceptación de Operaciones Repo provenientes de la Bolsa.</w:t>
            </w:r>
            <w:r w:rsidR="00BD4DB7">
              <w:rPr>
                <w:noProof/>
                <w:webHidden/>
              </w:rPr>
              <w:tab/>
            </w:r>
            <w:r w:rsidR="00BD4DB7">
              <w:rPr>
                <w:noProof/>
                <w:webHidden/>
              </w:rPr>
              <w:fldChar w:fldCharType="begin"/>
            </w:r>
            <w:r w:rsidR="00BD4DB7">
              <w:rPr>
                <w:noProof/>
                <w:webHidden/>
              </w:rPr>
              <w:instrText xml:space="preserve"> PAGEREF _Toc31716348 \h </w:instrText>
            </w:r>
            <w:r w:rsidR="00BD4DB7">
              <w:rPr>
                <w:noProof/>
                <w:webHidden/>
              </w:rPr>
            </w:r>
            <w:r w:rsidR="00BD4DB7">
              <w:rPr>
                <w:noProof/>
                <w:webHidden/>
              </w:rPr>
              <w:fldChar w:fldCharType="separate"/>
            </w:r>
            <w:r w:rsidR="00BD4DB7">
              <w:rPr>
                <w:noProof/>
                <w:webHidden/>
              </w:rPr>
              <w:t>386</w:t>
            </w:r>
            <w:r w:rsidR="00BD4DB7">
              <w:rPr>
                <w:noProof/>
                <w:webHidden/>
              </w:rPr>
              <w:fldChar w:fldCharType="end"/>
            </w:r>
          </w:hyperlink>
        </w:p>
        <w:p w14:paraId="64C3A0D9" w14:textId="08AF0E0B"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49" w:history="1">
            <w:r w:rsidR="00BD4DB7" w:rsidRPr="0089237F">
              <w:rPr>
                <w:rStyle w:val="Hipervnculo"/>
                <w:rFonts w:eastAsia="Calibri"/>
                <w:noProof/>
              </w:rPr>
              <w:t>CAPÍTULO SEGUNDO</w:t>
            </w:r>
            <w:r w:rsidR="00BD4DB7">
              <w:rPr>
                <w:noProof/>
                <w:webHidden/>
              </w:rPr>
              <w:tab/>
            </w:r>
            <w:r w:rsidR="00BD4DB7">
              <w:rPr>
                <w:noProof/>
                <w:webHidden/>
              </w:rPr>
              <w:fldChar w:fldCharType="begin"/>
            </w:r>
            <w:r w:rsidR="00BD4DB7">
              <w:rPr>
                <w:noProof/>
                <w:webHidden/>
              </w:rPr>
              <w:instrText xml:space="preserve"> PAGEREF _Toc31716349 \h </w:instrText>
            </w:r>
            <w:r w:rsidR="00BD4DB7">
              <w:rPr>
                <w:noProof/>
                <w:webHidden/>
              </w:rPr>
            </w:r>
            <w:r w:rsidR="00BD4DB7">
              <w:rPr>
                <w:noProof/>
                <w:webHidden/>
              </w:rPr>
              <w:fldChar w:fldCharType="separate"/>
            </w:r>
            <w:r w:rsidR="00BD4DB7">
              <w:rPr>
                <w:noProof/>
                <w:webHidden/>
              </w:rPr>
              <w:t>390</w:t>
            </w:r>
            <w:r w:rsidR="00BD4DB7">
              <w:rPr>
                <w:noProof/>
                <w:webHidden/>
              </w:rPr>
              <w:fldChar w:fldCharType="end"/>
            </w:r>
          </w:hyperlink>
        </w:p>
        <w:p w14:paraId="3FFEA170" w14:textId="28DDDB56"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50" w:history="1">
            <w:r w:rsidR="00BD4DB7" w:rsidRPr="0089237F">
              <w:rPr>
                <w:rStyle w:val="Hipervnculo"/>
                <w:rFonts w:eastAsia="Calibri"/>
                <w:noProof/>
                <w:kern w:val="32"/>
              </w:rPr>
              <w:t>RECHAZO DE OPERACIONES</w:t>
            </w:r>
            <w:r w:rsidR="00BD4DB7">
              <w:rPr>
                <w:noProof/>
                <w:webHidden/>
              </w:rPr>
              <w:tab/>
            </w:r>
            <w:r w:rsidR="00BD4DB7">
              <w:rPr>
                <w:noProof/>
                <w:webHidden/>
              </w:rPr>
              <w:fldChar w:fldCharType="begin"/>
            </w:r>
            <w:r w:rsidR="00BD4DB7">
              <w:rPr>
                <w:noProof/>
                <w:webHidden/>
              </w:rPr>
              <w:instrText xml:space="preserve"> PAGEREF _Toc31716350 \h </w:instrText>
            </w:r>
            <w:r w:rsidR="00BD4DB7">
              <w:rPr>
                <w:noProof/>
                <w:webHidden/>
              </w:rPr>
            </w:r>
            <w:r w:rsidR="00BD4DB7">
              <w:rPr>
                <w:noProof/>
                <w:webHidden/>
              </w:rPr>
              <w:fldChar w:fldCharType="separate"/>
            </w:r>
            <w:r w:rsidR="00BD4DB7">
              <w:rPr>
                <w:noProof/>
                <w:webHidden/>
              </w:rPr>
              <w:t>390</w:t>
            </w:r>
            <w:r w:rsidR="00BD4DB7">
              <w:rPr>
                <w:noProof/>
                <w:webHidden/>
              </w:rPr>
              <w:fldChar w:fldCharType="end"/>
            </w:r>
          </w:hyperlink>
        </w:p>
        <w:p w14:paraId="26842227" w14:textId="7803DE19"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51" w:history="1">
            <w:r w:rsidR="00BD4DB7" w:rsidRPr="0089237F">
              <w:rPr>
                <w:rStyle w:val="Hipervnculo"/>
                <w:noProof/>
              </w:rPr>
              <w:t>Artículo 4.2.2.1. Rechazo de Operaciones Repo provenientes de la Bolsa.</w:t>
            </w:r>
            <w:r w:rsidR="00BD4DB7">
              <w:rPr>
                <w:noProof/>
                <w:webHidden/>
              </w:rPr>
              <w:tab/>
            </w:r>
            <w:r w:rsidR="00BD4DB7">
              <w:rPr>
                <w:noProof/>
                <w:webHidden/>
              </w:rPr>
              <w:fldChar w:fldCharType="begin"/>
            </w:r>
            <w:r w:rsidR="00BD4DB7">
              <w:rPr>
                <w:noProof/>
                <w:webHidden/>
              </w:rPr>
              <w:instrText xml:space="preserve"> PAGEREF _Toc31716351 \h </w:instrText>
            </w:r>
            <w:r w:rsidR="00BD4DB7">
              <w:rPr>
                <w:noProof/>
                <w:webHidden/>
              </w:rPr>
            </w:r>
            <w:r w:rsidR="00BD4DB7">
              <w:rPr>
                <w:noProof/>
                <w:webHidden/>
              </w:rPr>
              <w:fldChar w:fldCharType="separate"/>
            </w:r>
            <w:r w:rsidR="00BD4DB7">
              <w:rPr>
                <w:noProof/>
                <w:webHidden/>
              </w:rPr>
              <w:t>390</w:t>
            </w:r>
            <w:r w:rsidR="00BD4DB7">
              <w:rPr>
                <w:noProof/>
                <w:webHidden/>
              </w:rPr>
              <w:fldChar w:fldCharType="end"/>
            </w:r>
          </w:hyperlink>
        </w:p>
        <w:p w14:paraId="361EEB30" w14:textId="3A814D48"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52" w:history="1">
            <w:r w:rsidR="00BD4DB7" w:rsidRPr="0089237F">
              <w:rPr>
                <w:rStyle w:val="Hipervnculo"/>
                <w:rFonts w:eastAsia="Calibri"/>
                <w:noProof/>
              </w:rPr>
              <w:t>CAPÍTULO TERCERO</w:t>
            </w:r>
            <w:r w:rsidR="00BD4DB7">
              <w:rPr>
                <w:noProof/>
                <w:webHidden/>
              </w:rPr>
              <w:tab/>
            </w:r>
            <w:r w:rsidR="00BD4DB7">
              <w:rPr>
                <w:noProof/>
                <w:webHidden/>
              </w:rPr>
              <w:fldChar w:fldCharType="begin"/>
            </w:r>
            <w:r w:rsidR="00BD4DB7">
              <w:rPr>
                <w:noProof/>
                <w:webHidden/>
              </w:rPr>
              <w:instrText xml:space="preserve"> PAGEREF _Toc31716352 \h </w:instrText>
            </w:r>
            <w:r w:rsidR="00BD4DB7">
              <w:rPr>
                <w:noProof/>
                <w:webHidden/>
              </w:rPr>
            </w:r>
            <w:r w:rsidR="00BD4DB7">
              <w:rPr>
                <w:noProof/>
                <w:webHidden/>
              </w:rPr>
              <w:fldChar w:fldCharType="separate"/>
            </w:r>
            <w:r w:rsidR="00BD4DB7">
              <w:rPr>
                <w:noProof/>
                <w:webHidden/>
              </w:rPr>
              <w:t>390</w:t>
            </w:r>
            <w:r w:rsidR="00BD4DB7">
              <w:rPr>
                <w:noProof/>
                <w:webHidden/>
              </w:rPr>
              <w:fldChar w:fldCharType="end"/>
            </w:r>
          </w:hyperlink>
        </w:p>
        <w:p w14:paraId="5B31730B" w14:textId="01675434"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53" w:history="1">
            <w:r w:rsidR="00BD4DB7" w:rsidRPr="0089237F">
              <w:rPr>
                <w:rStyle w:val="Hipervnculo"/>
                <w:rFonts w:eastAsia="Calibri"/>
                <w:noProof/>
              </w:rPr>
              <w:t>ANULACIÓN Y CORRECCIÓN DE OPERACIONES</w:t>
            </w:r>
            <w:r w:rsidR="00BD4DB7">
              <w:rPr>
                <w:noProof/>
                <w:webHidden/>
              </w:rPr>
              <w:tab/>
            </w:r>
            <w:r w:rsidR="00BD4DB7">
              <w:rPr>
                <w:noProof/>
                <w:webHidden/>
              </w:rPr>
              <w:fldChar w:fldCharType="begin"/>
            </w:r>
            <w:r w:rsidR="00BD4DB7">
              <w:rPr>
                <w:noProof/>
                <w:webHidden/>
              </w:rPr>
              <w:instrText xml:space="preserve"> PAGEREF _Toc31716353 \h </w:instrText>
            </w:r>
            <w:r w:rsidR="00BD4DB7">
              <w:rPr>
                <w:noProof/>
                <w:webHidden/>
              </w:rPr>
            </w:r>
            <w:r w:rsidR="00BD4DB7">
              <w:rPr>
                <w:noProof/>
                <w:webHidden/>
              </w:rPr>
              <w:fldChar w:fldCharType="separate"/>
            </w:r>
            <w:r w:rsidR="00BD4DB7">
              <w:rPr>
                <w:noProof/>
                <w:webHidden/>
              </w:rPr>
              <w:t>390</w:t>
            </w:r>
            <w:r w:rsidR="00BD4DB7">
              <w:rPr>
                <w:noProof/>
                <w:webHidden/>
              </w:rPr>
              <w:fldChar w:fldCharType="end"/>
            </w:r>
          </w:hyperlink>
        </w:p>
        <w:p w14:paraId="13174856" w14:textId="0D2B559F"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54" w:history="1">
            <w:r w:rsidR="00BD4DB7" w:rsidRPr="0089237F">
              <w:rPr>
                <w:rStyle w:val="Hipervnculo"/>
                <w:noProof/>
              </w:rPr>
              <w:t>Artículo 4.2.3.1. Procedimiento de Anulación de Operaciones.</w:t>
            </w:r>
            <w:r w:rsidR="00BD4DB7">
              <w:rPr>
                <w:noProof/>
                <w:webHidden/>
              </w:rPr>
              <w:tab/>
            </w:r>
            <w:r w:rsidR="00BD4DB7">
              <w:rPr>
                <w:noProof/>
                <w:webHidden/>
              </w:rPr>
              <w:fldChar w:fldCharType="begin"/>
            </w:r>
            <w:r w:rsidR="00BD4DB7">
              <w:rPr>
                <w:noProof/>
                <w:webHidden/>
              </w:rPr>
              <w:instrText xml:space="preserve"> PAGEREF _Toc31716354 \h </w:instrText>
            </w:r>
            <w:r w:rsidR="00BD4DB7">
              <w:rPr>
                <w:noProof/>
                <w:webHidden/>
              </w:rPr>
            </w:r>
            <w:r w:rsidR="00BD4DB7">
              <w:rPr>
                <w:noProof/>
                <w:webHidden/>
              </w:rPr>
              <w:fldChar w:fldCharType="separate"/>
            </w:r>
            <w:r w:rsidR="00BD4DB7">
              <w:rPr>
                <w:noProof/>
                <w:webHidden/>
              </w:rPr>
              <w:t>390</w:t>
            </w:r>
            <w:r w:rsidR="00BD4DB7">
              <w:rPr>
                <w:noProof/>
                <w:webHidden/>
              </w:rPr>
              <w:fldChar w:fldCharType="end"/>
            </w:r>
          </w:hyperlink>
        </w:p>
        <w:p w14:paraId="7F3ECED3" w14:textId="319FD715"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55" w:history="1">
            <w:r w:rsidR="00BD4DB7" w:rsidRPr="0089237F">
              <w:rPr>
                <w:rStyle w:val="Hipervnculo"/>
                <w:noProof/>
              </w:rPr>
              <w:t>Artículo 4.2.3.2. Corrección de Operaciones.</w:t>
            </w:r>
            <w:r w:rsidR="00BD4DB7">
              <w:rPr>
                <w:noProof/>
                <w:webHidden/>
              </w:rPr>
              <w:tab/>
            </w:r>
            <w:r w:rsidR="00BD4DB7">
              <w:rPr>
                <w:noProof/>
                <w:webHidden/>
              </w:rPr>
              <w:fldChar w:fldCharType="begin"/>
            </w:r>
            <w:r w:rsidR="00BD4DB7">
              <w:rPr>
                <w:noProof/>
                <w:webHidden/>
              </w:rPr>
              <w:instrText xml:space="preserve"> PAGEREF _Toc31716355 \h </w:instrText>
            </w:r>
            <w:r w:rsidR="00BD4DB7">
              <w:rPr>
                <w:noProof/>
                <w:webHidden/>
              </w:rPr>
            </w:r>
            <w:r w:rsidR="00BD4DB7">
              <w:rPr>
                <w:noProof/>
                <w:webHidden/>
              </w:rPr>
              <w:fldChar w:fldCharType="separate"/>
            </w:r>
            <w:r w:rsidR="00BD4DB7">
              <w:rPr>
                <w:noProof/>
                <w:webHidden/>
              </w:rPr>
              <w:t>391</w:t>
            </w:r>
            <w:r w:rsidR="00BD4DB7">
              <w:rPr>
                <w:noProof/>
                <w:webHidden/>
              </w:rPr>
              <w:fldChar w:fldCharType="end"/>
            </w:r>
          </w:hyperlink>
        </w:p>
        <w:p w14:paraId="27916EB6" w14:textId="6D1709C9"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56" w:history="1">
            <w:r w:rsidR="00BD4DB7" w:rsidRPr="0089237F">
              <w:rPr>
                <w:rStyle w:val="Hipervnculo"/>
                <w:noProof/>
              </w:rPr>
              <w:t>Artículo 4.2.3.3. Corrección de la Complementación.</w:t>
            </w:r>
            <w:r w:rsidR="00BD4DB7">
              <w:rPr>
                <w:noProof/>
                <w:webHidden/>
              </w:rPr>
              <w:tab/>
            </w:r>
            <w:r w:rsidR="00BD4DB7">
              <w:rPr>
                <w:noProof/>
                <w:webHidden/>
              </w:rPr>
              <w:fldChar w:fldCharType="begin"/>
            </w:r>
            <w:r w:rsidR="00BD4DB7">
              <w:rPr>
                <w:noProof/>
                <w:webHidden/>
              </w:rPr>
              <w:instrText xml:space="preserve"> PAGEREF _Toc31716356 \h </w:instrText>
            </w:r>
            <w:r w:rsidR="00BD4DB7">
              <w:rPr>
                <w:noProof/>
                <w:webHidden/>
              </w:rPr>
            </w:r>
            <w:r w:rsidR="00BD4DB7">
              <w:rPr>
                <w:noProof/>
                <w:webHidden/>
              </w:rPr>
              <w:fldChar w:fldCharType="separate"/>
            </w:r>
            <w:r w:rsidR="00BD4DB7">
              <w:rPr>
                <w:noProof/>
                <w:webHidden/>
              </w:rPr>
              <w:t>391</w:t>
            </w:r>
            <w:r w:rsidR="00BD4DB7">
              <w:rPr>
                <w:noProof/>
                <w:webHidden/>
              </w:rPr>
              <w:fldChar w:fldCharType="end"/>
            </w:r>
          </w:hyperlink>
        </w:p>
        <w:p w14:paraId="115111EA" w14:textId="471B235E"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57" w:history="1">
            <w:r w:rsidR="00BD4DB7" w:rsidRPr="0089237F">
              <w:rPr>
                <w:rStyle w:val="Hipervnculo"/>
                <w:rFonts w:eastAsia="Calibri"/>
                <w:noProof/>
              </w:rPr>
              <w:t>TÍTULO TERCERO</w:t>
            </w:r>
            <w:r w:rsidR="00BD4DB7">
              <w:rPr>
                <w:noProof/>
                <w:webHidden/>
              </w:rPr>
              <w:tab/>
            </w:r>
            <w:r w:rsidR="00BD4DB7">
              <w:rPr>
                <w:noProof/>
                <w:webHidden/>
              </w:rPr>
              <w:fldChar w:fldCharType="begin"/>
            </w:r>
            <w:r w:rsidR="00BD4DB7">
              <w:rPr>
                <w:noProof/>
                <w:webHidden/>
              </w:rPr>
              <w:instrText xml:space="preserve"> PAGEREF _Toc31716357 \h </w:instrText>
            </w:r>
            <w:r w:rsidR="00BD4DB7">
              <w:rPr>
                <w:noProof/>
                <w:webHidden/>
              </w:rPr>
            </w:r>
            <w:r w:rsidR="00BD4DB7">
              <w:rPr>
                <w:noProof/>
                <w:webHidden/>
              </w:rPr>
              <w:fldChar w:fldCharType="separate"/>
            </w:r>
            <w:r w:rsidR="00BD4DB7">
              <w:rPr>
                <w:noProof/>
                <w:webHidden/>
              </w:rPr>
              <w:t>392</w:t>
            </w:r>
            <w:r w:rsidR="00BD4DB7">
              <w:rPr>
                <w:noProof/>
                <w:webHidden/>
              </w:rPr>
              <w:fldChar w:fldCharType="end"/>
            </w:r>
          </w:hyperlink>
        </w:p>
        <w:p w14:paraId="6E28F0A8" w14:textId="42536E6F"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58" w:history="1">
            <w:r w:rsidR="00BD4DB7" w:rsidRPr="0089237F">
              <w:rPr>
                <w:rStyle w:val="Hipervnculo"/>
                <w:rFonts w:eastAsia="Calibri"/>
                <w:noProof/>
              </w:rPr>
              <w:t>CUENTAS Y GESTIÓN DE OPERACIONES</w:t>
            </w:r>
            <w:r w:rsidR="00BD4DB7">
              <w:rPr>
                <w:noProof/>
                <w:webHidden/>
              </w:rPr>
              <w:tab/>
            </w:r>
            <w:r w:rsidR="00BD4DB7">
              <w:rPr>
                <w:noProof/>
                <w:webHidden/>
              </w:rPr>
              <w:fldChar w:fldCharType="begin"/>
            </w:r>
            <w:r w:rsidR="00BD4DB7">
              <w:rPr>
                <w:noProof/>
                <w:webHidden/>
              </w:rPr>
              <w:instrText xml:space="preserve"> PAGEREF _Toc31716358 \h </w:instrText>
            </w:r>
            <w:r w:rsidR="00BD4DB7">
              <w:rPr>
                <w:noProof/>
                <w:webHidden/>
              </w:rPr>
            </w:r>
            <w:r w:rsidR="00BD4DB7">
              <w:rPr>
                <w:noProof/>
                <w:webHidden/>
              </w:rPr>
              <w:fldChar w:fldCharType="separate"/>
            </w:r>
            <w:r w:rsidR="00BD4DB7">
              <w:rPr>
                <w:noProof/>
                <w:webHidden/>
              </w:rPr>
              <w:t>392</w:t>
            </w:r>
            <w:r w:rsidR="00BD4DB7">
              <w:rPr>
                <w:noProof/>
                <w:webHidden/>
              </w:rPr>
              <w:fldChar w:fldCharType="end"/>
            </w:r>
          </w:hyperlink>
        </w:p>
        <w:p w14:paraId="33A55524" w14:textId="3943CE71"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59" w:history="1">
            <w:r w:rsidR="00BD4DB7" w:rsidRPr="0089237F">
              <w:rPr>
                <w:rStyle w:val="Hipervnculo"/>
                <w:rFonts w:eastAsia="Calibri"/>
                <w:noProof/>
              </w:rPr>
              <w:t>CAPITULO PRIMERO</w:t>
            </w:r>
            <w:r w:rsidR="00BD4DB7">
              <w:rPr>
                <w:noProof/>
                <w:webHidden/>
              </w:rPr>
              <w:tab/>
            </w:r>
            <w:r w:rsidR="00BD4DB7">
              <w:rPr>
                <w:noProof/>
                <w:webHidden/>
              </w:rPr>
              <w:fldChar w:fldCharType="begin"/>
            </w:r>
            <w:r w:rsidR="00BD4DB7">
              <w:rPr>
                <w:noProof/>
                <w:webHidden/>
              </w:rPr>
              <w:instrText xml:space="preserve"> PAGEREF _Toc31716359 \h </w:instrText>
            </w:r>
            <w:r w:rsidR="00BD4DB7">
              <w:rPr>
                <w:noProof/>
                <w:webHidden/>
              </w:rPr>
            </w:r>
            <w:r w:rsidR="00BD4DB7">
              <w:rPr>
                <w:noProof/>
                <w:webHidden/>
              </w:rPr>
              <w:fldChar w:fldCharType="separate"/>
            </w:r>
            <w:r w:rsidR="00BD4DB7">
              <w:rPr>
                <w:noProof/>
                <w:webHidden/>
              </w:rPr>
              <w:t>393</w:t>
            </w:r>
            <w:r w:rsidR="00BD4DB7">
              <w:rPr>
                <w:noProof/>
                <w:webHidden/>
              </w:rPr>
              <w:fldChar w:fldCharType="end"/>
            </w:r>
          </w:hyperlink>
        </w:p>
        <w:p w14:paraId="68C02682" w14:textId="1D4244EA"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60" w:history="1">
            <w:r w:rsidR="00BD4DB7" w:rsidRPr="0089237F">
              <w:rPr>
                <w:rStyle w:val="Hipervnculo"/>
                <w:rFonts w:eastAsia="Calibri"/>
                <w:noProof/>
              </w:rPr>
              <w:t>CUENTAS</w:t>
            </w:r>
            <w:r w:rsidR="00BD4DB7">
              <w:rPr>
                <w:noProof/>
                <w:webHidden/>
              </w:rPr>
              <w:tab/>
            </w:r>
            <w:r w:rsidR="00BD4DB7">
              <w:rPr>
                <w:noProof/>
                <w:webHidden/>
              </w:rPr>
              <w:fldChar w:fldCharType="begin"/>
            </w:r>
            <w:r w:rsidR="00BD4DB7">
              <w:rPr>
                <w:noProof/>
                <w:webHidden/>
              </w:rPr>
              <w:instrText xml:space="preserve"> PAGEREF _Toc31716360 \h </w:instrText>
            </w:r>
            <w:r w:rsidR="00BD4DB7">
              <w:rPr>
                <w:noProof/>
                <w:webHidden/>
              </w:rPr>
            </w:r>
            <w:r w:rsidR="00BD4DB7">
              <w:rPr>
                <w:noProof/>
                <w:webHidden/>
              </w:rPr>
              <w:fldChar w:fldCharType="separate"/>
            </w:r>
            <w:r w:rsidR="00BD4DB7">
              <w:rPr>
                <w:noProof/>
                <w:webHidden/>
              </w:rPr>
              <w:t>393</w:t>
            </w:r>
            <w:r w:rsidR="00BD4DB7">
              <w:rPr>
                <w:noProof/>
                <w:webHidden/>
              </w:rPr>
              <w:fldChar w:fldCharType="end"/>
            </w:r>
          </w:hyperlink>
        </w:p>
        <w:p w14:paraId="2E9240AA" w14:textId="7B5C3AAE"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61" w:history="1">
            <w:r w:rsidR="00BD4DB7" w:rsidRPr="0089237F">
              <w:rPr>
                <w:rStyle w:val="Hipervnculo"/>
                <w:noProof/>
              </w:rPr>
              <w:t>Artículo 4.3.1.1. Proceso de Creación de Cuentas en el Sistema de la Cámara.</w:t>
            </w:r>
            <w:r w:rsidR="00BD4DB7">
              <w:rPr>
                <w:noProof/>
                <w:webHidden/>
              </w:rPr>
              <w:tab/>
            </w:r>
            <w:r w:rsidR="00BD4DB7">
              <w:rPr>
                <w:noProof/>
                <w:webHidden/>
              </w:rPr>
              <w:fldChar w:fldCharType="begin"/>
            </w:r>
            <w:r w:rsidR="00BD4DB7">
              <w:rPr>
                <w:noProof/>
                <w:webHidden/>
              </w:rPr>
              <w:instrText xml:space="preserve"> PAGEREF _Toc31716361 \h </w:instrText>
            </w:r>
            <w:r w:rsidR="00BD4DB7">
              <w:rPr>
                <w:noProof/>
                <w:webHidden/>
              </w:rPr>
            </w:r>
            <w:r w:rsidR="00BD4DB7">
              <w:rPr>
                <w:noProof/>
                <w:webHidden/>
              </w:rPr>
              <w:fldChar w:fldCharType="separate"/>
            </w:r>
            <w:r w:rsidR="00BD4DB7">
              <w:rPr>
                <w:noProof/>
                <w:webHidden/>
              </w:rPr>
              <w:t>393</w:t>
            </w:r>
            <w:r w:rsidR="00BD4DB7">
              <w:rPr>
                <w:noProof/>
                <w:webHidden/>
              </w:rPr>
              <w:fldChar w:fldCharType="end"/>
            </w:r>
          </w:hyperlink>
        </w:p>
        <w:p w14:paraId="3BC781C4" w14:textId="76829F26"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62" w:history="1">
            <w:r w:rsidR="00BD4DB7" w:rsidRPr="0089237F">
              <w:rPr>
                <w:rStyle w:val="Hipervnculo"/>
                <w:noProof/>
              </w:rPr>
              <w:t>Artículo 4.3.1.2. Asignación de operaciones</w:t>
            </w:r>
            <w:r w:rsidR="00BD4DB7" w:rsidRPr="0089237F">
              <w:rPr>
                <w:rStyle w:val="Hipervnculo"/>
                <w:rFonts w:eastAsia="Calibri"/>
                <w:noProof/>
              </w:rPr>
              <w:t>.</w:t>
            </w:r>
            <w:r w:rsidR="00BD4DB7">
              <w:rPr>
                <w:noProof/>
                <w:webHidden/>
              </w:rPr>
              <w:tab/>
            </w:r>
            <w:r w:rsidR="00BD4DB7">
              <w:rPr>
                <w:noProof/>
                <w:webHidden/>
              </w:rPr>
              <w:fldChar w:fldCharType="begin"/>
            </w:r>
            <w:r w:rsidR="00BD4DB7">
              <w:rPr>
                <w:noProof/>
                <w:webHidden/>
              </w:rPr>
              <w:instrText xml:space="preserve"> PAGEREF _Toc31716362 \h </w:instrText>
            </w:r>
            <w:r w:rsidR="00BD4DB7">
              <w:rPr>
                <w:noProof/>
                <w:webHidden/>
              </w:rPr>
            </w:r>
            <w:r w:rsidR="00BD4DB7">
              <w:rPr>
                <w:noProof/>
                <w:webHidden/>
              </w:rPr>
              <w:fldChar w:fldCharType="separate"/>
            </w:r>
            <w:r w:rsidR="00BD4DB7">
              <w:rPr>
                <w:noProof/>
                <w:webHidden/>
              </w:rPr>
              <w:t>393</w:t>
            </w:r>
            <w:r w:rsidR="00BD4DB7">
              <w:rPr>
                <w:noProof/>
                <w:webHidden/>
              </w:rPr>
              <w:fldChar w:fldCharType="end"/>
            </w:r>
          </w:hyperlink>
        </w:p>
        <w:p w14:paraId="6FCA0508" w14:textId="56DE43CF"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63" w:history="1">
            <w:r w:rsidR="00BD4DB7" w:rsidRPr="0089237F">
              <w:rPr>
                <w:rStyle w:val="Hipervnculo"/>
                <w:noProof/>
              </w:rPr>
              <w:t>Artículo 4.3.1.3. Traspaso de Operaciones Aceptadas.</w:t>
            </w:r>
            <w:r w:rsidR="00BD4DB7">
              <w:rPr>
                <w:noProof/>
                <w:webHidden/>
              </w:rPr>
              <w:tab/>
            </w:r>
            <w:r w:rsidR="00BD4DB7">
              <w:rPr>
                <w:noProof/>
                <w:webHidden/>
              </w:rPr>
              <w:fldChar w:fldCharType="begin"/>
            </w:r>
            <w:r w:rsidR="00BD4DB7">
              <w:rPr>
                <w:noProof/>
                <w:webHidden/>
              </w:rPr>
              <w:instrText xml:space="preserve"> PAGEREF _Toc31716363 \h </w:instrText>
            </w:r>
            <w:r w:rsidR="00BD4DB7">
              <w:rPr>
                <w:noProof/>
                <w:webHidden/>
              </w:rPr>
            </w:r>
            <w:r w:rsidR="00BD4DB7">
              <w:rPr>
                <w:noProof/>
                <w:webHidden/>
              </w:rPr>
              <w:fldChar w:fldCharType="separate"/>
            </w:r>
            <w:r w:rsidR="00BD4DB7">
              <w:rPr>
                <w:noProof/>
                <w:webHidden/>
              </w:rPr>
              <w:t>393</w:t>
            </w:r>
            <w:r w:rsidR="00BD4DB7">
              <w:rPr>
                <w:noProof/>
                <w:webHidden/>
              </w:rPr>
              <w:fldChar w:fldCharType="end"/>
            </w:r>
          </w:hyperlink>
        </w:p>
        <w:p w14:paraId="342FF307" w14:textId="1E4EABB3"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64" w:history="1">
            <w:r w:rsidR="00BD4DB7" w:rsidRPr="0089237F">
              <w:rPr>
                <w:rStyle w:val="Hipervnculo"/>
                <w:noProof/>
              </w:rPr>
              <w:t>Artículo 4.3.1.4. Traspaso de Posición Abierta.</w:t>
            </w:r>
            <w:r w:rsidR="00BD4DB7">
              <w:rPr>
                <w:noProof/>
                <w:webHidden/>
              </w:rPr>
              <w:tab/>
            </w:r>
            <w:r w:rsidR="00BD4DB7">
              <w:rPr>
                <w:noProof/>
                <w:webHidden/>
              </w:rPr>
              <w:fldChar w:fldCharType="begin"/>
            </w:r>
            <w:r w:rsidR="00BD4DB7">
              <w:rPr>
                <w:noProof/>
                <w:webHidden/>
              </w:rPr>
              <w:instrText xml:space="preserve"> PAGEREF _Toc31716364 \h </w:instrText>
            </w:r>
            <w:r w:rsidR="00BD4DB7">
              <w:rPr>
                <w:noProof/>
                <w:webHidden/>
              </w:rPr>
            </w:r>
            <w:r w:rsidR="00BD4DB7">
              <w:rPr>
                <w:noProof/>
                <w:webHidden/>
              </w:rPr>
              <w:fldChar w:fldCharType="separate"/>
            </w:r>
            <w:r w:rsidR="00BD4DB7">
              <w:rPr>
                <w:noProof/>
                <w:webHidden/>
              </w:rPr>
              <w:t>393</w:t>
            </w:r>
            <w:r w:rsidR="00BD4DB7">
              <w:rPr>
                <w:noProof/>
                <w:webHidden/>
              </w:rPr>
              <w:fldChar w:fldCharType="end"/>
            </w:r>
          </w:hyperlink>
        </w:p>
        <w:p w14:paraId="2E8B1568" w14:textId="09445047"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65" w:history="1">
            <w:r w:rsidR="00BD4DB7" w:rsidRPr="0089237F">
              <w:rPr>
                <w:rStyle w:val="Hipervnculo"/>
                <w:noProof/>
              </w:rPr>
              <w:t>Artículo 4.3.1.5. Give Up.</w:t>
            </w:r>
            <w:r w:rsidR="00BD4DB7">
              <w:rPr>
                <w:noProof/>
                <w:webHidden/>
              </w:rPr>
              <w:tab/>
            </w:r>
            <w:r w:rsidR="00BD4DB7">
              <w:rPr>
                <w:noProof/>
                <w:webHidden/>
              </w:rPr>
              <w:fldChar w:fldCharType="begin"/>
            </w:r>
            <w:r w:rsidR="00BD4DB7">
              <w:rPr>
                <w:noProof/>
                <w:webHidden/>
              </w:rPr>
              <w:instrText xml:space="preserve"> PAGEREF _Toc31716365 \h </w:instrText>
            </w:r>
            <w:r w:rsidR="00BD4DB7">
              <w:rPr>
                <w:noProof/>
                <w:webHidden/>
              </w:rPr>
            </w:r>
            <w:r w:rsidR="00BD4DB7">
              <w:rPr>
                <w:noProof/>
                <w:webHidden/>
              </w:rPr>
              <w:fldChar w:fldCharType="separate"/>
            </w:r>
            <w:r w:rsidR="00BD4DB7">
              <w:rPr>
                <w:noProof/>
                <w:webHidden/>
              </w:rPr>
              <w:t>394</w:t>
            </w:r>
            <w:r w:rsidR="00BD4DB7">
              <w:rPr>
                <w:noProof/>
                <w:webHidden/>
              </w:rPr>
              <w:fldChar w:fldCharType="end"/>
            </w:r>
          </w:hyperlink>
        </w:p>
        <w:p w14:paraId="28C103A9" w14:textId="6F301304"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66" w:history="1">
            <w:r w:rsidR="00BD4DB7" w:rsidRPr="0089237F">
              <w:rPr>
                <w:rStyle w:val="Hipervnculo"/>
                <w:rFonts w:eastAsia="Calibri"/>
                <w:noProof/>
              </w:rPr>
              <w:t>TÍTULO CUARTO</w:t>
            </w:r>
            <w:r w:rsidR="00BD4DB7">
              <w:rPr>
                <w:noProof/>
                <w:webHidden/>
              </w:rPr>
              <w:tab/>
            </w:r>
            <w:r w:rsidR="00BD4DB7">
              <w:rPr>
                <w:noProof/>
                <w:webHidden/>
              </w:rPr>
              <w:fldChar w:fldCharType="begin"/>
            </w:r>
            <w:r w:rsidR="00BD4DB7">
              <w:rPr>
                <w:noProof/>
                <w:webHidden/>
              </w:rPr>
              <w:instrText xml:space="preserve"> PAGEREF _Toc31716366 \h </w:instrText>
            </w:r>
            <w:r w:rsidR="00BD4DB7">
              <w:rPr>
                <w:noProof/>
                <w:webHidden/>
              </w:rPr>
            </w:r>
            <w:r w:rsidR="00BD4DB7">
              <w:rPr>
                <w:noProof/>
                <w:webHidden/>
              </w:rPr>
              <w:fldChar w:fldCharType="separate"/>
            </w:r>
            <w:r w:rsidR="00BD4DB7">
              <w:rPr>
                <w:noProof/>
                <w:webHidden/>
              </w:rPr>
              <w:t>394</w:t>
            </w:r>
            <w:r w:rsidR="00BD4DB7">
              <w:rPr>
                <w:noProof/>
                <w:webHidden/>
              </w:rPr>
              <w:fldChar w:fldCharType="end"/>
            </w:r>
          </w:hyperlink>
        </w:p>
        <w:p w14:paraId="0FB62BCF" w14:textId="1F222F6F"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67" w:history="1">
            <w:r w:rsidR="00BD4DB7" w:rsidRPr="0089237F">
              <w:rPr>
                <w:rStyle w:val="Hipervnculo"/>
                <w:rFonts w:eastAsia="Calibri"/>
                <w:noProof/>
              </w:rPr>
              <w:t>COMPENSACIÓN Y LIQUIDACIÓN DE OPERACIONES</w:t>
            </w:r>
            <w:r w:rsidR="00BD4DB7">
              <w:rPr>
                <w:noProof/>
                <w:webHidden/>
              </w:rPr>
              <w:tab/>
            </w:r>
            <w:r w:rsidR="00BD4DB7">
              <w:rPr>
                <w:noProof/>
                <w:webHidden/>
              </w:rPr>
              <w:fldChar w:fldCharType="begin"/>
            </w:r>
            <w:r w:rsidR="00BD4DB7">
              <w:rPr>
                <w:noProof/>
                <w:webHidden/>
              </w:rPr>
              <w:instrText xml:space="preserve"> PAGEREF _Toc31716367 \h </w:instrText>
            </w:r>
            <w:r w:rsidR="00BD4DB7">
              <w:rPr>
                <w:noProof/>
                <w:webHidden/>
              </w:rPr>
            </w:r>
            <w:r w:rsidR="00BD4DB7">
              <w:rPr>
                <w:noProof/>
                <w:webHidden/>
              </w:rPr>
              <w:fldChar w:fldCharType="separate"/>
            </w:r>
            <w:r w:rsidR="00BD4DB7">
              <w:rPr>
                <w:noProof/>
                <w:webHidden/>
              </w:rPr>
              <w:t>394</w:t>
            </w:r>
            <w:r w:rsidR="00BD4DB7">
              <w:rPr>
                <w:noProof/>
                <w:webHidden/>
              </w:rPr>
              <w:fldChar w:fldCharType="end"/>
            </w:r>
          </w:hyperlink>
        </w:p>
        <w:p w14:paraId="5ABB6DA1" w14:textId="3069982A"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68" w:history="1">
            <w:r w:rsidR="00BD4DB7" w:rsidRPr="0089237F">
              <w:rPr>
                <w:rStyle w:val="Hipervnculo"/>
                <w:rFonts w:eastAsia="Calibri"/>
                <w:noProof/>
              </w:rPr>
              <w:t>CAPÍTULO PRIMERO</w:t>
            </w:r>
            <w:r w:rsidR="00BD4DB7">
              <w:rPr>
                <w:noProof/>
                <w:webHidden/>
              </w:rPr>
              <w:tab/>
            </w:r>
            <w:r w:rsidR="00BD4DB7">
              <w:rPr>
                <w:noProof/>
                <w:webHidden/>
              </w:rPr>
              <w:fldChar w:fldCharType="begin"/>
            </w:r>
            <w:r w:rsidR="00BD4DB7">
              <w:rPr>
                <w:noProof/>
                <w:webHidden/>
              </w:rPr>
              <w:instrText xml:space="preserve"> PAGEREF _Toc31716368 \h </w:instrText>
            </w:r>
            <w:r w:rsidR="00BD4DB7">
              <w:rPr>
                <w:noProof/>
                <w:webHidden/>
              </w:rPr>
            </w:r>
            <w:r w:rsidR="00BD4DB7">
              <w:rPr>
                <w:noProof/>
                <w:webHidden/>
              </w:rPr>
              <w:fldChar w:fldCharType="separate"/>
            </w:r>
            <w:r w:rsidR="00BD4DB7">
              <w:rPr>
                <w:noProof/>
                <w:webHidden/>
              </w:rPr>
              <w:t>394</w:t>
            </w:r>
            <w:r w:rsidR="00BD4DB7">
              <w:rPr>
                <w:noProof/>
                <w:webHidden/>
              </w:rPr>
              <w:fldChar w:fldCharType="end"/>
            </w:r>
          </w:hyperlink>
        </w:p>
        <w:p w14:paraId="636993A0" w14:textId="24A200F8"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69" w:history="1">
            <w:r w:rsidR="00BD4DB7" w:rsidRPr="0089237F">
              <w:rPr>
                <w:rStyle w:val="Hipervnculo"/>
                <w:rFonts w:eastAsia="Calibri"/>
                <w:noProof/>
              </w:rPr>
              <w:t>COMPENSACIÓN DE OPERACIONES REPO</w:t>
            </w:r>
            <w:r w:rsidR="00BD4DB7">
              <w:rPr>
                <w:noProof/>
                <w:webHidden/>
              </w:rPr>
              <w:tab/>
            </w:r>
            <w:r w:rsidR="00BD4DB7">
              <w:rPr>
                <w:noProof/>
                <w:webHidden/>
              </w:rPr>
              <w:fldChar w:fldCharType="begin"/>
            </w:r>
            <w:r w:rsidR="00BD4DB7">
              <w:rPr>
                <w:noProof/>
                <w:webHidden/>
              </w:rPr>
              <w:instrText xml:space="preserve"> PAGEREF _Toc31716369 \h </w:instrText>
            </w:r>
            <w:r w:rsidR="00BD4DB7">
              <w:rPr>
                <w:noProof/>
                <w:webHidden/>
              </w:rPr>
            </w:r>
            <w:r w:rsidR="00BD4DB7">
              <w:rPr>
                <w:noProof/>
                <w:webHidden/>
              </w:rPr>
              <w:fldChar w:fldCharType="separate"/>
            </w:r>
            <w:r w:rsidR="00BD4DB7">
              <w:rPr>
                <w:noProof/>
                <w:webHidden/>
              </w:rPr>
              <w:t>394</w:t>
            </w:r>
            <w:r w:rsidR="00BD4DB7">
              <w:rPr>
                <w:noProof/>
                <w:webHidden/>
              </w:rPr>
              <w:fldChar w:fldCharType="end"/>
            </w:r>
          </w:hyperlink>
        </w:p>
        <w:p w14:paraId="64514EAB" w14:textId="44E026ED"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70" w:history="1">
            <w:r w:rsidR="00BD4DB7" w:rsidRPr="0089237F">
              <w:rPr>
                <w:rStyle w:val="Hipervnculo"/>
                <w:noProof/>
              </w:rPr>
              <w:t>Artículo 4.4.1.1. Compensación de Efectivo en Operaciones Repo.</w:t>
            </w:r>
            <w:r w:rsidR="00BD4DB7">
              <w:rPr>
                <w:noProof/>
                <w:webHidden/>
              </w:rPr>
              <w:tab/>
            </w:r>
            <w:r w:rsidR="00BD4DB7">
              <w:rPr>
                <w:noProof/>
                <w:webHidden/>
              </w:rPr>
              <w:fldChar w:fldCharType="begin"/>
            </w:r>
            <w:r w:rsidR="00BD4DB7">
              <w:rPr>
                <w:noProof/>
                <w:webHidden/>
              </w:rPr>
              <w:instrText xml:space="preserve"> PAGEREF _Toc31716370 \h </w:instrText>
            </w:r>
            <w:r w:rsidR="00BD4DB7">
              <w:rPr>
                <w:noProof/>
                <w:webHidden/>
              </w:rPr>
            </w:r>
            <w:r w:rsidR="00BD4DB7">
              <w:rPr>
                <w:noProof/>
                <w:webHidden/>
              </w:rPr>
              <w:fldChar w:fldCharType="separate"/>
            </w:r>
            <w:r w:rsidR="00BD4DB7">
              <w:rPr>
                <w:noProof/>
                <w:webHidden/>
              </w:rPr>
              <w:t>394</w:t>
            </w:r>
            <w:r w:rsidR="00BD4DB7">
              <w:rPr>
                <w:noProof/>
                <w:webHidden/>
              </w:rPr>
              <w:fldChar w:fldCharType="end"/>
            </w:r>
          </w:hyperlink>
        </w:p>
        <w:p w14:paraId="1E43E564" w14:textId="76602B50"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71" w:history="1">
            <w:r w:rsidR="00BD4DB7" w:rsidRPr="0089237F">
              <w:rPr>
                <w:rStyle w:val="Hipervnculo"/>
                <w:noProof/>
              </w:rPr>
              <w:t>Artículo 4.4.1.2. Compensación de Activos en Operaciones Repo.</w:t>
            </w:r>
            <w:r w:rsidR="00BD4DB7">
              <w:rPr>
                <w:noProof/>
                <w:webHidden/>
              </w:rPr>
              <w:tab/>
            </w:r>
            <w:r w:rsidR="00BD4DB7">
              <w:rPr>
                <w:noProof/>
                <w:webHidden/>
              </w:rPr>
              <w:fldChar w:fldCharType="begin"/>
            </w:r>
            <w:r w:rsidR="00BD4DB7">
              <w:rPr>
                <w:noProof/>
                <w:webHidden/>
              </w:rPr>
              <w:instrText xml:space="preserve"> PAGEREF _Toc31716371 \h </w:instrText>
            </w:r>
            <w:r w:rsidR="00BD4DB7">
              <w:rPr>
                <w:noProof/>
                <w:webHidden/>
              </w:rPr>
            </w:r>
            <w:r w:rsidR="00BD4DB7">
              <w:rPr>
                <w:noProof/>
                <w:webHidden/>
              </w:rPr>
              <w:fldChar w:fldCharType="separate"/>
            </w:r>
            <w:r w:rsidR="00BD4DB7">
              <w:rPr>
                <w:noProof/>
                <w:webHidden/>
              </w:rPr>
              <w:t>394</w:t>
            </w:r>
            <w:r w:rsidR="00BD4DB7">
              <w:rPr>
                <w:noProof/>
                <w:webHidden/>
              </w:rPr>
              <w:fldChar w:fldCharType="end"/>
            </w:r>
          </w:hyperlink>
        </w:p>
        <w:p w14:paraId="2DC3FD0E" w14:textId="6E6668DC"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72" w:history="1">
            <w:r w:rsidR="00BD4DB7" w:rsidRPr="0089237F">
              <w:rPr>
                <w:rStyle w:val="Hipervnculo"/>
                <w:rFonts w:eastAsia="Calibri"/>
                <w:noProof/>
              </w:rPr>
              <w:t>CAPÍTULO SEGUNDO</w:t>
            </w:r>
            <w:r w:rsidR="00BD4DB7">
              <w:rPr>
                <w:noProof/>
                <w:webHidden/>
              </w:rPr>
              <w:tab/>
            </w:r>
            <w:r w:rsidR="00BD4DB7">
              <w:rPr>
                <w:noProof/>
                <w:webHidden/>
              </w:rPr>
              <w:fldChar w:fldCharType="begin"/>
            </w:r>
            <w:r w:rsidR="00BD4DB7">
              <w:rPr>
                <w:noProof/>
                <w:webHidden/>
              </w:rPr>
              <w:instrText xml:space="preserve"> PAGEREF _Toc31716372 \h </w:instrText>
            </w:r>
            <w:r w:rsidR="00BD4DB7">
              <w:rPr>
                <w:noProof/>
                <w:webHidden/>
              </w:rPr>
            </w:r>
            <w:r w:rsidR="00BD4DB7">
              <w:rPr>
                <w:noProof/>
                <w:webHidden/>
              </w:rPr>
              <w:fldChar w:fldCharType="separate"/>
            </w:r>
            <w:r w:rsidR="00BD4DB7">
              <w:rPr>
                <w:noProof/>
                <w:webHidden/>
              </w:rPr>
              <w:t>394</w:t>
            </w:r>
            <w:r w:rsidR="00BD4DB7">
              <w:rPr>
                <w:noProof/>
                <w:webHidden/>
              </w:rPr>
              <w:fldChar w:fldCharType="end"/>
            </w:r>
          </w:hyperlink>
        </w:p>
        <w:p w14:paraId="52CFBFC0" w14:textId="2FBFA9CC"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73" w:history="1">
            <w:r w:rsidR="00BD4DB7" w:rsidRPr="0089237F">
              <w:rPr>
                <w:rStyle w:val="Hipervnculo"/>
                <w:rFonts w:eastAsia="Calibri"/>
                <w:noProof/>
              </w:rPr>
              <w:t>TIPO DE LIQUIDACIÓN DE OPERACIONES REPO</w:t>
            </w:r>
            <w:r w:rsidR="00BD4DB7">
              <w:rPr>
                <w:noProof/>
                <w:webHidden/>
              </w:rPr>
              <w:tab/>
            </w:r>
            <w:r w:rsidR="00BD4DB7">
              <w:rPr>
                <w:noProof/>
                <w:webHidden/>
              </w:rPr>
              <w:fldChar w:fldCharType="begin"/>
            </w:r>
            <w:r w:rsidR="00BD4DB7">
              <w:rPr>
                <w:noProof/>
                <w:webHidden/>
              </w:rPr>
              <w:instrText xml:space="preserve"> PAGEREF _Toc31716373 \h </w:instrText>
            </w:r>
            <w:r w:rsidR="00BD4DB7">
              <w:rPr>
                <w:noProof/>
                <w:webHidden/>
              </w:rPr>
            </w:r>
            <w:r w:rsidR="00BD4DB7">
              <w:rPr>
                <w:noProof/>
                <w:webHidden/>
              </w:rPr>
              <w:fldChar w:fldCharType="separate"/>
            </w:r>
            <w:r w:rsidR="00BD4DB7">
              <w:rPr>
                <w:noProof/>
                <w:webHidden/>
              </w:rPr>
              <w:t>394</w:t>
            </w:r>
            <w:r w:rsidR="00BD4DB7">
              <w:rPr>
                <w:noProof/>
                <w:webHidden/>
              </w:rPr>
              <w:fldChar w:fldCharType="end"/>
            </w:r>
          </w:hyperlink>
        </w:p>
        <w:p w14:paraId="06FC1566" w14:textId="0775AD1F"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74" w:history="1">
            <w:r w:rsidR="00BD4DB7" w:rsidRPr="0089237F">
              <w:rPr>
                <w:rStyle w:val="Hipervnculo"/>
                <w:noProof/>
              </w:rPr>
              <w:t>Artículo 4.4.2.1. Tipo de Liquidación en Operaciones Repo.</w:t>
            </w:r>
            <w:r w:rsidR="00BD4DB7">
              <w:rPr>
                <w:noProof/>
                <w:webHidden/>
              </w:rPr>
              <w:tab/>
            </w:r>
            <w:r w:rsidR="00BD4DB7">
              <w:rPr>
                <w:noProof/>
                <w:webHidden/>
              </w:rPr>
              <w:fldChar w:fldCharType="begin"/>
            </w:r>
            <w:r w:rsidR="00BD4DB7">
              <w:rPr>
                <w:noProof/>
                <w:webHidden/>
              </w:rPr>
              <w:instrText xml:space="preserve"> PAGEREF _Toc31716374 \h </w:instrText>
            </w:r>
            <w:r w:rsidR="00BD4DB7">
              <w:rPr>
                <w:noProof/>
                <w:webHidden/>
              </w:rPr>
            </w:r>
            <w:r w:rsidR="00BD4DB7">
              <w:rPr>
                <w:noProof/>
                <w:webHidden/>
              </w:rPr>
              <w:fldChar w:fldCharType="separate"/>
            </w:r>
            <w:r w:rsidR="00BD4DB7">
              <w:rPr>
                <w:noProof/>
                <w:webHidden/>
              </w:rPr>
              <w:t>394</w:t>
            </w:r>
            <w:r w:rsidR="00BD4DB7">
              <w:rPr>
                <w:noProof/>
                <w:webHidden/>
              </w:rPr>
              <w:fldChar w:fldCharType="end"/>
            </w:r>
          </w:hyperlink>
        </w:p>
        <w:p w14:paraId="0FCDAC12" w14:textId="581FD855"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75" w:history="1">
            <w:r w:rsidR="00BD4DB7" w:rsidRPr="0089237F">
              <w:rPr>
                <w:rStyle w:val="Hipervnculo"/>
                <w:rFonts w:eastAsia="Calibri"/>
                <w:noProof/>
              </w:rPr>
              <w:t>CAPÍTULO TERCERO</w:t>
            </w:r>
            <w:r w:rsidR="00BD4DB7">
              <w:rPr>
                <w:noProof/>
                <w:webHidden/>
              </w:rPr>
              <w:tab/>
            </w:r>
            <w:r w:rsidR="00BD4DB7">
              <w:rPr>
                <w:noProof/>
                <w:webHidden/>
              </w:rPr>
              <w:fldChar w:fldCharType="begin"/>
            </w:r>
            <w:r w:rsidR="00BD4DB7">
              <w:rPr>
                <w:noProof/>
                <w:webHidden/>
              </w:rPr>
              <w:instrText xml:space="preserve"> PAGEREF _Toc31716375 \h </w:instrText>
            </w:r>
            <w:r w:rsidR="00BD4DB7">
              <w:rPr>
                <w:noProof/>
                <w:webHidden/>
              </w:rPr>
            </w:r>
            <w:r w:rsidR="00BD4DB7">
              <w:rPr>
                <w:noProof/>
                <w:webHidden/>
              </w:rPr>
              <w:fldChar w:fldCharType="separate"/>
            </w:r>
            <w:r w:rsidR="00BD4DB7">
              <w:rPr>
                <w:noProof/>
                <w:webHidden/>
              </w:rPr>
              <w:t>395</w:t>
            </w:r>
            <w:r w:rsidR="00BD4DB7">
              <w:rPr>
                <w:noProof/>
                <w:webHidden/>
              </w:rPr>
              <w:fldChar w:fldCharType="end"/>
            </w:r>
          </w:hyperlink>
        </w:p>
        <w:p w14:paraId="604EE2FD" w14:textId="478C1B56"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76" w:history="1">
            <w:r w:rsidR="00BD4DB7" w:rsidRPr="0089237F">
              <w:rPr>
                <w:rStyle w:val="Hipervnculo"/>
                <w:rFonts w:eastAsia="Calibri"/>
                <w:noProof/>
              </w:rPr>
              <w:t>LIQUIDACIÓN AL VENCIMIENTO DE LAS OPERACIONES REPO</w:t>
            </w:r>
            <w:r w:rsidR="00BD4DB7">
              <w:rPr>
                <w:noProof/>
                <w:webHidden/>
              </w:rPr>
              <w:tab/>
            </w:r>
            <w:r w:rsidR="00BD4DB7">
              <w:rPr>
                <w:noProof/>
                <w:webHidden/>
              </w:rPr>
              <w:fldChar w:fldCharType="begin"/>
            </w:r>
            <w:r w:rsidR="00BD4DB7">
              <w:rPr>
                <w:noProof/>
                <w:webHidden/>
              </w:rPr>
              <w:instrText xml:space="preserve"> PAGEREF _Toc31716376 \h </w:instrText>
            </w:r>
            <w:r w:rsidR="00BD4DB7">
              <w:rPr>
                <w:noProof/>
                <w:webHidden/>
              </w:rPr>
            </w:r>
            <w:r w:rsidR="00BD4DB7">
              <w:rPr>
                <w:noProof/>
                <w:webHidden/>
              </w:rPr>
              <w:fldChar w:fldCharType="separate"/>
            </w:r>
            <w:r w:rsidR="00BD4DB7">
              <w:rPr>
                <w:noProof/>
                <w:webHidden/>
              </w:rPr>
              <w:t>395</w:t>
            </w:r>
            <w:r w:rsidR="00BD4DB7">
              <w:rPr>
                <w:noProof/>
                <w:webHidden/>
              </w:rPr>
              <w:fldChar w:fldCharType="end"/>
            </w:r>
          </w:hyperlink>
        </w:p>
        <w:p w14:paraId="4D66E371" w14:textId="1E33E6FF"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77" w:history="1">
            <w:r w:rsidR="00BD4DB7" w:rsidRPr="0089237F">
              <w:rPr>
                <w:rStyle w:val="Hipervnculo"/>
                <w:noProof/>
              </w:rPr>
              <w:t>Artículo 4.4.3.1. Liquidación por Entrega en el flujo de salida de Operaciones Repo Aceptadas provenientes de la Bolsa cuyo Tipo de Liquidación incluya Liquidación Únicamente al Vencimiento.</w:t>
            </w:r>
            <w:r w:rsidR="00BD4DB7">
              <w:rPr>
                <w:noProof/>
                <w:webHidden/>
              </w:rPr>
              <w:tab/>
            </w:r>
            <w:r w:rsidR="00BD4DB7">
              <w:rPr>
                <w:noProof/>
                <w:webHidden/>
              </w:rPr>
              <w:fldChar w:fldCharType="begin"/>
            </w:r>
            <w:r w:rsidR="00BD4DB7">
              <w:rPr>
                <w:noProof/>
                <w:webHidden/>
              </w:rPr>
              <w:instrText xml:space="preserve"> PAGEREF _Toc31716377 \h </w:instrText>
            </w:r>
            <w:r w:rsidR="00BD4DB7">
              <w:rPr>
                <w:noProof/>
                <w:webHidden/>
              </w:rPr>
            </w:r>
            <w:r w:rsidR="00BD4DB7">
              <w:rPr>
                <w:noProof/>
                <w:webHidden/>
              </w:rPr>
              <w:fldChar w:fldCharType="separate"/>
            </w:r>
            <w:r w:rsidR="00BD4DB7">
              <w:rPr>
                <w:noProof/>
                <w:webHidden/>
              </w:rPr>
              <w:t>395</w:t>
            </w:r>
            <w:r w:rsidR="00BD4DB7">
              <w:rPr>
                <w:noProof/>
                <w:webHidden/>
              </w:rPr>
              <w:fldChar w:fldCharType="end"/>
            </w:r>
          </w:hyperlink>
        </w:p>
        <w:p w14:paraId="7F305697" w14:textId="6F15A964"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78" w:history="1">
            <w:r w:rsidR="00BD4DB7" w:rsidRPr="0089237F">
              <w:rPr>
                <w:rStyle w:val="Hipervnculo"/>
                <w:noProof/>
              </w:rPr>
              <w:t>Artículo 4.4.3.2. Liquidación por Entrega en el flujo de regreso de Operaciones Repo provenientes de la Bolsa cuyo Tipo de Liquidación incluya Liquidación Únicamente al Vencimiento.</w:t>
            </w:r>
            <w:r w:rsidR="00BD4DB7">
              <w:rPr>
                <w:noProof/>
                <w:webHidden/>
              </w:rPr>
              <w:tab/>
            </w:r>
            <w:r w:rsidR="00BD4DB7">
              <w:rPr>
                <w:noProof/>
                <w:webHidden/>
              </w:rPr>
              <w:fldChar w:fldCharType="begin"/>
            </w:r>
            <w:r w:rsidR="00BD4DB7">
              <w:rPr>
                <w:noProof/>
                <w:webHidden/>
              </w:rPr>
              <w:instrText xml:space="preserve"> PAGEREF _Toc31716378 \h </w:instrText>
            </w:r>
            <w:r w:rsidR="00BD4DB7">
              <w:rPr>
                <w:noProof/>
                <w:webHidden/>
              </w:rPr>
            </w:r>
            <w:r w:rsidR="00BD4DB7">
              <w:rPr>
                <w:noProof/>
                <w:webHidden/>
              </w:rPr>
              <w:fldChar w:fldCharType="separate"/>
            </w:r>
            <w:r w:rsidR="00BD4DB7">
              <w:rPr>
                <w:noProof/>
                <w:webHidden/>
              </w:rPr>
              <w:t>395</w:t>
            </w:r>
            <w:r w:rsidR="00BD4DB7">
              <w:rPr>
                <w:noProof/>
                <w:webHidden/>
              </w:rPr>
              <w:fldChar w:fldCharType="end"/>
            </w:r>
          </w:hyperlink>
        </w:p>
        <w:p w14:paraId="7C76D850" w14:textId="077E005D"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79" w:history="1">
            <w:r w:rsidR="00BD4DB7" w:rsidRPr="0089237F">
              <w:rPr>
                <w:rStyle w:val="Hipervnculo"/>
                <w:noProof/>
              </w:rPr>
              <w:t>Artículo 4.4.3.3. Exclusión de la Liquidación del flujo de regreso de las Operaciones Repo.</w:t>
            </w:r>
            <w:r w:rsidR="00BD4DB7">
              <w:rPr>
                <w:noProof/>
                <w:webHidden/>
              </w:rPr>
              <w:tab/>
            </w:r>
            <w:r w:rsidR="00BD4DB7">
              <w:rPr>
                <w:noProof/>
                <w:webHidden/>
              </w:rPr>
              <w:fldChar w:fldCharType="begin"/>
            </w:r>
            <w:r w:rsidR="00BD4DB7">
              <w:rPr>
                <w:noProof/>
                <w:webHidden/>
              </w:rPr>
              <w:instrText xml:space="preserve"> PAGEREF _Toc31716379 \h </w:instrText>
            </w:r>
            <w:r w:rsidR="00BD4DB7">
              <w:rPr>
                <w:noProof/>
                <w:webHidden/>
              </w:rPr>
            </w:r>
            <w:r w:rsidR="00BD4DB7">
              <w:rPr>
                <w:noProof/>
                <w:webHidden/>
              </w:rPr>
              <w:fldChar w:fldCharType="separate"/>
            </w:r>
            <w:r w:rsidR="00BD4DB7">
              <w:rPr>
                <w:noProof/>
                <w:webHidden/>
              </w:rPr>
              <w:t>395</w:t>
            </w:r>
            <w:r w:rsidR="00BD4DB7">
              <w:rPr>
                <w:noProof/>
                <w:webHidden/>
              </w:rPr>
              <w:fldChar w:fldCharType="end"/>
            </w:r>
          </w:hyperlink>
        </w:p>
        <w:p w14:paraId="76555FD5" w14:textId="11D3A5D4"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80" w:history="1">
            <w:r w:rsidR="00BD4DB7" w:rsidRPr="0089237F">
              <w:rPr>
                <w:rStyle w:val="Hipervnculo"/>
                <w:noProof/>
              </w:rPr>
              <w:t>Artículo 4.4.3.4. Conceptos incluidos en la Liquidación por Entrega de Operaciones Repo provenientes de la Bolsa.</w:t>
            </w:r>
            <w:r w:rsidR="00BD4DB7">
              <w:rPr>
                <w:noProof/>
                <w:webHidden/>
              </w:rPr>
              <w:tab/>
            </w:r>
            <w:r w:rsidR="00BD4DB7">
              <w:rPr>
                <w:noProof/>
                <w:webHidden/>
              </w:rPr>
              <w:fldChar w:fldCharType="begin"/>
            </w:r>
            <w:r w:rsidR="00BD4DB7">
              <w:rPr>
                <w:noProof/>
                <w:webHidden/>
              </w:rPr>
              <w:instrText xml:space="preserve"> PAGEREF _Toc31716380 \h </w:instrText>
            </w:r>
            <w:r w:rsidR="00BD4DB7">
              <w:rPr>
                <w:noProof/>
                <w:webHidden/>
              </w:rPr>
            </w:r>
            <w:r w:rsidR="00BD4DB7">
              <w:rPr>
                <w:noProof/>
                <w:webHidden/>
              </w:rPr>
              <w:fldChar w:fldCharType="separate"/>
            </w:r>
            <w:r w:rsidR="00BD4DB7">
              <w:rPr>
                <w:noProof/>
                <w:webHidden/>
              </w:rPr>
              <w:t>396</w:t>
            </w:r>
            <w:r w:rsidR="00BD4DB7">
              <w:rPr>
                <w:noProof/>
                <w:webHidden/>
              </w:rPr>
              <w:fldChar w:fldCharType="end"/>
            </w:r>
          </w:hyperlink>
        </w:p>
        <w:p w14:paraId="444A6870" w14:textId="6575B3DB"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81" w:history="1">
            <w:r w:rsidR="00BD4DB7" w:rsidRPr="0089237F">
              <w:rPr>
                <w:rStyle w:val="Hipervnculo"/>
                <w:noProof/>
              </w:rPr>
              <w:t>Artículo 4.4.3.5. Determinación del Activo a entregar en la Liquidación por Entrega de Operaciones Repo provenientes de la Bolsa.</w:t>
            </w:r>
            <w:r w:rsidR="00BD4DB7">
              <w:rPr>
                <w:noProof/>
                <w:webHidden/>
              </w:rPr>
              <w:tab/>
            </w:r>
            <w:r w:rsidR="00BD4DB7">
              <w:rPr>
                <w:noProof/>
                <w:webHidden/>
              </w:rPr>
              <w:fldChar w:fldCharType="begin"/>
            </w:r>
            <w:r w:rsidR="00BD4DB7">
              <w:rPr>
                <w:noProof/>
                <w:webHidden/>
              </w:rPr>
              <w:instrText xml:space="preserve"> PAGEREF _Toc31716381 \h </w:instrText>
            </w:r>
            <w:r w:rsidR="00BD4DB7">
              <w:rPr>
                <w:noProof/>
                <w:webHidden/>
              </w:rPr>
            </w:r>
            <w:r w:rsidR="00BD4DB7">
              <w:rPr>
                <w:noProof/>
                <w:webHidden/>
              </w:rPr>
              <w:fldChar w:fldCharType="separate"/>
            </w:r>
            <w:r w:rsidR="00BD4DB7">
              <w:rPr>
                <w:noProof/>
                <w:webHidden/>
              </w:rPr>
              <w:t>396</w:t>
            </w:r>
            <w:r w:rsidR="00BD4DB7">
              <w:rPr>
                <w:noProof/>
                <w:webHidden/>
              </w:rPr>
              <w:fldChar w:fldCharType="end"/>
            </w:r>
          </w:hyperlink>
        </w:p>
        <w:p w14:paraId="7595667A" w14:textId="2268FB20"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82" w:history="1">
            <w:r w:rsidR="00BD4DB7" w:rsidRPr="0089237F">
              <w:rPr>
                <w:rStyle w:val="Hipervnculo"/>
                <w:noProof/>
              </w:rPr>
              <w:t>Artículo 4.4.3.6. Determinación del valor de giro del efectivo a pagar en la Liquidación por Entrega de Operaciones Repo provenientes de la Bolsa.</w:t>
            </w:r>
            <w:r w:rsidR="00BD4DB7">
              <w:rPr>
                <w:noProof/>
                <w:webHidden/>
              </w:rPr>
              <w:tab/>
            </w:r>
            <w:r w:rsidR="00BD4DB7">
              <w:rPr>
                <w:noProof/>
                <w:webHidden/>
              </w:rPr>
              <w:fldChar w:fldCharType="begin"/>
            </w:r>
            <w:r w:rsidR="00BD4DB7">
              <w:rPr>
                <w:noProof/>
                <w:webHidden/>
              </w:rPr>
              <w:instrText xml:space="preserve"> PAGEREF _Toc31716382 \h </w:instrText>
            </w:r>
            <w:r w:rsidR="00BD4DB7">
              <w:rPr>
                <w:noProof/>
                <w:webHidden/>
              </w:rPr>
            </w:r>
            <w:r w:rsidR="00BD4DB7">
              <w:rPr>
                <w:noProof/>
                <w:webHidden/>
              </w:rPr>
              <w:fldChar w:fldCharType="separate"/>
            </w:r>
            <w:r w:rsidR="00BD4DB7">
              <w:rPr>
                <w:noProof/>
                <w:webHidden/>
              </w:rPr>
              <w:t>396</w:t>
            </w:r>
            <w:r w:rsidR="00BD4DB7">
              <w:rPr>
                <w:noProof/>
                <w:webHidden/>
              </w:rPr>
              <w:fldChar w:fldCharType="end"/>
            </w:r>
          </w:hyperlink>
        </w:p>
        <w:p w14:paraId="7F8955B2" w14:textId="3ACA83B4"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83" w:history="1">
            <w:r w:rsidR="00BD4DB7" w:rsidRPr="0089237F">
              <w:rPr>
                <w:rStyle w:val="Hipervnculo"/>
                <w:noProof/>
              </w:rPr>
              <w:t>Artículo 4.4.3.7. Solución del proceso de entrega de Activos y de Efectivo en la Liquidación por Entrega de Operaciones Repo provenientes de la Bolsa.</w:t>
            </w:r>
            <w:r w:rsidR="00BD4DB7">
              <w:rPr>
                <w:noProof/>
                <w:webHidden/>
              </w:rPr>
              <w:tab/>
            </w:r>
            <w:r w:rsidR="00BD4DB7">
              <w:rPr>
                <w:noProof/>
                <w:webHidden/>
              </w:rPr>
              <w:fldChar w:fldCharType="begin"/>
            </w:r>
            <w:r w:rsidR="00BD4DB7">
              <w:rPr>
                <w:noProof/>
                <w:webHidden/>
              </w:rPr>
              <w:instrText xml:space="preserve"> PAGEREF _Toc31716383 \h </w:instrText>
            </w:r>
            <w:r w:rsidR="00BD4DB7">
              <w:rPr>
                <w:noProof/>
                <w:webHidden/>
              </w:rPr>
            </w:r>
            <w:r w:rsidR="00BD4DB7">
              <w:rPr>
                <w:noProof/>
                <w:webHidden/>
              </w:rPr>
              <w:fldChar w:fldCharType="separate"/>
            </w:r>
            <w:r w:rsidR="00BD4DB7">
              <w:rPr>
                <w:noProof/>
                <w:webHidden/>
              </w:rPr>
              <w:t>397</w:t>
            </w:r>
            <w:r w:rsidR="00BD4DB7">
              <w:rPr>
                <w:noProof/>
                <w:webHidden/>
              </w:rPr>
              <w:fldChar w:fldCharType="end"/>
            </w:r>
          </w:hyperlink>
        </w:p>
        <w:p w14:paraId="52A985C6" w14:textId="0AB4894B"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84" w:history="1">
            <w:r w:rsidR="00BD4DB7" w:rsidRPr="0089237F">
              <w:rPr>
                <w:rStyle w:val="Hipervnculo"/>
                <w:noProof/>
              </w:rPr>
              <w:t>Artículo 4.4.3.8. Etapas del Procedimiento de la Liquidación por Entrega de Operaciones Repo provenientes de la Bolsa.</w:t>
            </w:r>
            <w:r w:rsidR="00BD4DB7">
              <w:rPr>
                <w:noProof/>
                <w:webHidden/>
              </w:rPr>
              <w:tab/>
            </w:r>
            <w:r w:rsidR="00BD4DB7">
              <w:rPr>
                <w:noProof/>
                <w:webHidden/>
              </w:rPr>
              <w:fldChar w:fldCharType="begin"/>
            </w:r>
            <w:r w:rsidR="00BD4DB7">
              <w:rPr>
                <w:noProof/>
                <w:webHidden/>
              </w:rPr>
              <w:instrText xml:space="preserve"> PAGEREF _Toc31716384 \h </w:instrText>
            </w:r>
            <w:r w:rsidR="00BD4DB7">
              <w:rPr>
                <w:noProof/>
                <w:webHidden/>
              </w:rPr>
            </w:r>
            <w:r w:rsidR="00BD4DB7">
              <w:rPr>
                <w:noProof/>
                <w:webHidden/>
              </w:rPr>
              <w:fldChar w:fldCharType="separate"/>
            </w:r>
            <w:r w:rsidR="00BD4DB7">
              <w:rPr>
                <w:noProof/>
                <w:webHidden/>
              </w:rPr>
              <w:t>397</w:t>
            </w:r>
            <w:r w:rsidR="00BD4DB7">
              <w:rPr>
                <w:noProof/>
                <w:webHidden/>
              </w:rPr>
              <w:fldChar w:fldCharType="end"/>
            </w:r>
          </w:hyperlink>
        </w:p>
        <w:p w14:paraId="4C7DDD5D" w14:textId="513AC07E"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85" w:history="1">
            <w:r w:rsidR="00BD4DB7" w:rsidRPr="0089237F">
              <w:rPr>
                <w:rStyle w:val="Hipervnculo"/>
                <w:noProof/>
              </w:rPr>
              <w:t>Artículo 4.4.3.9. Procedimiento de Liquidación por Entrega de Operaciones Repo provenientes de la Bolsa.</w:t>
            </w:r>
            <w:r w:rsidR="00BD4DB7">
              <w:rPr>
                <w:noProof/>
                <w:webHidden/>
              </w:rPr>
              <w:tab/>
            </w:r>
            <w:r w:rsidR="00BD4DB7">
              <w:rPr>
                <w:noProof/>
                <w:webHidden/>
              </w:rPr>
              <w:fldChar w:fldCharType="begin"/>
            </w:r>
            <w:r w:rsidR="00BD4DB7">
              <w:rPr>
                <w:noProof/>
                <w:webHidden/>
              </w:rPr>
              <w:instrText xml:space="preserve"> PAGEREF _Toc31716385 \h </w:instrText>
            </w:r>
            <w:r w:rsidR="00BD4DB7">
              <w:rPr>
                <w:noProof/>
                <w:webHidden/>
              </w:rPr>
            </w:r>
            <w:r w:rsidR="00BD4DB7">
              <w:rPr>
                <w:noProof/>
                <w:webHidden/>
              </w:rPr>
              <w:fldChar w:fldCharType="separate"/>
            </w:r>
            <w:r w:rsidR="00BD4DB7">
              <w:rPr>
                <w:noProof/>
                <w:webHidden/>
              </w:rPr>
              <w:t>397</w:t>
            </w:r>
            <w:r w:rsidR="00BD4DB7">
              <w:rPr>
                <w:noProof/>
                <w:webHidden/>
              </w:rPr>
              <w:fldChar w:fldCharType="end"/>
            </w:r>
          </w:hyperlink>
        </w:p>
        <w:p w14:paraId="13A209DC" w14:textId="67DEDB06"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86" w:history="1">
            <w:r w:rsidR="00BD4DB7" w:rsidRPr="0089237F">
              <w:rPr>
                <w:rStyle w:val="Hipervnculo"/>
                <w:noProof/>
              </w:rPr>
              <w:t>Artículo 4.4.3.10. Liquidación por Diferencias por Retardo en la Entrega.</w:t>
            </w:r>
            <w:r w:rsidR="00BD4DB7">
              <w:rPr>
                <w:noProof/>
                <w:webHidden/>
              </w:rPr>
              <w:tab/>
            </w:r>
            <w:r w:rsidR="00BD4DB7">
              <w:rPr>
                <w:noProof/>
                <w:webHidden/>
              </w:rPr>
              <w:fldChar w:fldCharType="begin"/>
            </w:r>
            <w:r w:rsidR="00BD4DB7">
              <w:rPr>
                <w:noProof/>
                <w:webHidden/>
              </w:rPr>
              <w:instrText xml:space="preserve"> PAGEREF _Toc31716386 \h </w:instrText>
            </w:r>
            <w:r w:rsidR="00BD4DB7">
              <w:rPr>
                <w:noProof/>
                <w:webHidden/>
              </w:rPr>
            </w:r>
            <w:r w:rsidR="00BD4DB7">
              <w:rPr>
                <w:noProof/>
                <w:webHidden/>
              </w:rPr>
              <w:fldChar w:fldCharType="separate"/>
            </w:r>
            <w:r w:rsidR="00BD4DB7">
              <w:rPr>
                <w:noProof/>
                <w:webHidden/>
              </w:rPr>
              <w:t>398</w:t>
            </w:r>
            <w:r w:rsidR="00BD4DB7">
              <w:rPr>
                <w:noProof/>
                <w:webHidden/>
              </w:rPr>
              <w:fldChar w:fldCharType="end"/>
            </w:r>
          </w:hyperlink>
        </w:p>
        <w:p w14:paraId="4A6104ED" w14:textId="24B0E1C4"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87" w:history="1">
            <w:r w:rsidR="00BD4DB7" w:rsidRPr="0089237F">
              <w:rPr>
                <w:rStyle w:val="Hipervnculo"/>
                <w:noProof/>
              </w:rPr>
              <w:t>Artículo 4.4.3.11. Variables y conceptos incluidos en la Liquidación por Diferencias por Retardo en la Entrega.</w:t>
            </w:r>
            <w:r w:rsidR="00BD4DB7">
              <w:rPr>
                <w:noProof/>
                <w:webHidden/>
              </w:rPr>
              <w:tab/>
            </w:r>
            <w:r w:rsidR="00BD4DB7">
              <w:rPr>
                <w:noProof/>
                <w:webHidden/>
              </w:rPr>
              <w:fldChar w:fldCharType="begin"/>
            </w:r>
            <w:r w:rsidR="00BD4DB7">
              <w:rPr>
                <w:noProof/>
                <w:webHidden/>
              </w:rPr>
              <w:instrText xml:space="preserve"> PAGEREF _Toc31716387 \h </w:instrText>
            </w:r>
            <w:r w:rsidR="00BD4DB7">
              <w:rPr>
                <w:noProof/>
                <w:webHidden/>
              </w:rPr>
            </w:r>
            <w:r w:rsidR="00BD4DB7">
              <w:rPr>
                <w:noProof/>
                <w:webHidden/>
              </w:rPr>
              <w:fldChar w:fldCharType="separate"/>
            </w:r>
            <w:r w:rsidR="00BD4DB7">
              <w:rPr>
                <w:noProof/>
                <w:webHidden/>
              </w:rPr>
              <w:t>399</w:t>
            </w:r>
            <w:r w:rsidR="00BD4DB7">
              <w:rPr>
                <w:noProof/>
                <w:webHidden/>
              </w:rPr>
              <w:fldChar w:fldCharType="end"/>
            </w:r>
          </w:hyperlink>
        </w:p>
        <w:p w14:paraId="0706E74C" w14:textId="6F322C89"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88" w:history="1">
            <w:r w:rsidR="00BD4DB7" w:rsidRPr="0089237F">
              <w:rPr>
                <w:rStyle w:val="Hipervnculo"/>
                <w:noProof/>
              </w:rPr>
              <w:t>Artículo 4.4.3.12. Procedimiento de Cálculo de la Liquidación por Diferencias por Retardo en la Entrega LDRE.</w:t>
            </w:r>
            <w:r w:rsidR="00BD4DB7">
              <w:rPr>
                <w:noProof/>
                <w:webHidden/>
              </w:rPr>
              <w:tab/>
            </w:r>
            <w:r w:rsidR="00BD4DB7">
              <w:rPr>
                <w:noProof/>
                <w:webHidden/>
              </w:rPr>
              <w:fldChar w:fldCharType="begin"/>
            </w:r>
            <w:r w:rsidR="00BD4DB7">
              <w:rPr>
                <w:noProof/>
                <w:webHidden/>
              </w:rPr>
              <w:instrText xml:space="preserve"> PAGEREF _Toc31716388 \h </w:instrText>
            </w:r>
            <w:r w:rsidR="00BD4DB7">
              <w:rPr>
                <w:noProof/>
                <w:webHidden/>
              </w:rPr>
            </w:r>
            <w:r w:rsidR="00BD4DB7">
              <w:rPr>
                <w:noProof/>
                <w:webHidden/>
              </w:rPr>
              <w:fldChar w:fldCharType="separate"/>
            </w:r>
            <w:r w:rsidR="00BD4DB7">
              <w:rPr>
                <w:noProof/>
                <w:webHidden/>
              </w:rPr>
              <w:t>399</w:t>
            </w:r>
            <w:r w:rsidR="00BD4DB7">
              <w:rPr>
                <w:noProof/>
                <w:webHidden/>
              </w:rPr>
              <w:fldChar w:fldCharType="end"/>
            </w:r>
          </w:hyperlink>
        </w:p>
        <w:p w14:paraId="2EE3F101" w14:textId="5B7D9F3F"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89" w:history="1">
            <w:r w:rsidR="00BD4DB7" w:rsidRPr="0089237F">
              <w:rPr>
                <w:rStyle w:val="Hipervnculo"/>
                <w:rFonts w:eastAsia="Calibri"/>
                <w:noProof/>
              </w:rPr>
              <w:t>Artículo 4.4.3.13. Etapas y pagos de la Liquidación por Diferencias por Retardo en la Entrega LDRE.</w:t>
            </w:r>
            <w:r w:rsidR="00BD4DB7">
              <w:rPr>
                <w:noProof/>
                <w:webHidden/>
              </w:rPr>
              <w:tab/>
            </w:r>
            <w:r w:rsidR="00BD4DB7">
              <w:rPr>
                <w:noProof/>
                <w:webHidden/>
              </w:rPr>
              <w:fldChar w:fldCharType="begin"/>
            </w:r>
            <w:r w:rsidR="00BD4DB7">
              <w:rPr>
                <w:noProof/>
                <w:webHidden/>
              </w:rPr>
              <w:instrText xml:space="preserve"> PAGEREF _Toc31716389 \h </w:instrText>
            </w:r>
            <w:r w:rsidR="00BD4DB7">
              <w:rPr>
                <w:noProof/>
                <w:webHidden/>
              </w:rPr>
            </w:r>
            <w:r w:rsidR="00BD4DB7">
              <w:rPr>
                <w:noProof/>
                <w:webHidden/>
              </w:rPr>
              <w:fldChar w:fldCharType="separate"/>
            </w:r>
            <w:r w:rsidR="00BD4DB7">
              <w:rPr>
                <w:noProof/>
                <w:webHidden/>
              </w:rPr>
              <w:t>400</w:t>
            </w:r>
            <w:r w:rsidR="00BD4DB7">
              <w:rPr>
                <w:noProof/>
                <w:webHidden/>
              </w:rPr>
              <w:fldChar w:fldCharType="end"/>
            </w:r>
          </w:hyperlink>
        </w:p>
        <w:p w14:paraId="79A17526" w14:textId="02EB87F6"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90" w:history="1">
            <w:r w:rsidR="00BD4DB7" w:rsidRPr="0089237F">
              <w:rPr>
                <w:rStyle w:val="Hipervnculo"/>
                <w:rFonts w:eastAsia="Calibri"/>
                <w:noProof/>
              </w:rPr>
              <w:t>CAPÍTULO CUARTO</w:t>
            </w:r>
            <w:r w:rsidR="00BD4DB7">
              <w:rPr>
                <w:noProof/>
                <w:webHidden/>
              </w:rPr>
              <w:tab/>
            </w:r>
            <w:r w:rsidR="00BD4DB7">
              <w:rPr>
                <w:noProof/>
                <w:webHidden/>
              </w:rPr>
              <w:fldChar w:fldCharType="begin"/>
            </w:r>
            <w:r w:rsidR="00BD4DB7">
              <w:rPr>
                <w:noProof/>
                <w:webHidden/>
              </w:rPr>
              <w:instrText xml:space="preserve"> PAGEREF _Toc31716390 \h </w:instrText>
            </w:r>
            <w:r w:rsidR="00BD4DB7">
              <w:rPr>
                <w:noProof/>
                <w:webHidden/>
              </w:rPr>
            </w:r>
            <w:r w:rsidR="00BD4DB7">
              <w:rPr>
                <w:noProof/>
                <w:webHidden/>
              </w:rPr>
              <w:fldChar w:fldCharType="separate"/>
            </w:r>
            <w:r w:rsidR="00BD4DB7">
              <w:rPr>
                <w:noProof/>
                <w:webHidden/>
              </w:rPr>
              <w:t>400</w:t>
            </w:r>
            <w:r w:rsidR="00BD4DB7">
              <w:rPr>
                <w:noProof/>
                <w:webHidden/>
              </w:rPr>
              <w:fldChar w:fldCharType="end"/>
            </w:r>
          </w:hyperlink>
        </w:p>
        <w:p w14:paraId="42181F14" w14:textId="10AC040C"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91" w:history="1">
            <w:r w:rsidR="00BD4DB7" w:rsidRPr="0089237F">
              <w:rPr>
                <w:rStyle w:val="Hipervnculo"/>
                <w:rFonts w:eastAsia="Calibri"/>
                <w:noProof/>
              </w:rPr>
              <w:t>COMPENSACIÓN Y LIQUIDACIÓN ANTICIPADA</w:t>
            </w:r>
            <w:r w:rsidR="00BD4DB7">
              <w:rPr>
                <w:noProof/>
                <w:webHidden/>
              </w:rPr>
              <w:tab/>
            </w:r>
            <w:r w:rsidR="00BD4DB7">
              <w:rPr>
                <w:noProof/>
                <w:webHidden/>
              </w:rPr>
              <w:fldChar w:fldCharType="begin"/>
            </w:r>
            <w:r w:rsidR="00BD4DB7">
              <w:rPr>
                <w:noProof/>
                <w:webHidden/>
              </w:rPr>
              <w:instrText xml:space="preserve"> PAGEREF _Toc31716391 \h </w:instrText>
            </w:r>
            <w:r w:rsidR="00BD4DB7">
              <w:rPr>
                <w:noProof/>
                <w:webHidden/>
              </w:rPr>
            </w:r>
            <w:r w:rsidR="00BD4DB7">
              <w:rPr>
                <w:noProof/>
                <w:webHidden/>
              </w:rPr>
              <w:fldChar w:fldCharType="separate"/>
            </w:r>
            <w:r w:rsidR="00BD4DB7">
              <w:rPr>
                <w:noProof/>
                <w:webHidden/>
              </w:rPr>
              <w:t>400</w:t>
            </w:r>
            <w:r w:rsidR="00BD4DB7">
              <w:rPr>
                <w:noProof/>
                <w:webHidden/>
              </w:rPr>
              <w:fldChar w:fldCharType="end"/>
            </w:r>
          </w:hyperlink>
        </w:p>
        <w:p w14:paraId="326D07E0" w14:textId="664A19EE"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92" w:history="1">
            <w:r w:rsidR="00BD4DB7" w:rsidRPr="0089237F">
              <w:rPr>
                <w:rStyle w:val="Hipervnculo"/>
                <w:noProof/>
              </w:rPr>
              <w:t>Artículo 4.4.4.1. Procedimiento para la Compensación y Liquidación Anticipada por solicitud de un Miembro.</w:t>
            </w:r>
            <w:r w:rsidR="00BD4DB7">
              <w:rPr>
                <w:noProof/>
                <w:webHidden/>
              </w:rPr>
              <w:tab/>
            </w:r>
            <w:r w:rsidR="00BD4DB7">
              <w:rPr>
                <w:noProof/>
                <w:webHidden/>
              </w:rPr>
              <w:fldChar w:fldCharType="begin"/>
            </w:r>
            <w:r w:rsidR="00BD4DB7">
              <w:rPr>
                <w:noProof/>
                <w:webHidden/>
              </w:rPr>
              <w:instrText xml:space="preserve"> PAGEREF _Toc31716392 \h </w:instrText>
            </w:r>
            <w:r w:rsidR="00BD4DB7">
              <w:rPr>
                <w:noProof/>
                <w:webHidden/>
              </w:rPr>
            </w:r>
            <w:r w:rsidR="00BD4DB7">
              <w:rPr>
                <w:noProof/>
                <w:webHidden/>
              </w:rPr>
              <w:fldChar w:fldCharType="separate"/>
            </w:r>
            <w:r w:rsidR="00BD4DB7">
              <w:rPr>
                <w:noProof/>
                <w:webHidden/>
              </w:rPr>
              <w:t>400</w:t>
            </w:r>
            <w:r w:rsidR="00BD4DB7">
              <w:rPr>
                <w:noProof/>
                <w:webHidden/>
              </w:rPr>
              <w:fldChar w:fldCharType="end"/>
            </w:r>
          </w:hyperlink>
        </w:p>
        <w:p w14:paraId="1BD3EC67" w14:textId="6963B71A"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93" w:history="1">
            <w:r w:rsidR="00BD4DB7" w:rsidRPr="0089237F">
              <w:rPr>
                <w:rStyle w:val="Hipervnculo"/>
                <w:noProof/>
              </w:rPr>
              <w:t>CAPÍTULO QUINTO</w:t>
            </w:r>
            <w:r w:rsidR="00BD4DB7">
              <w:rPr>
                <w:noProof/>
                <w:webHidden/>
              </w:rPr>
              <w:tab/>
            </w:r>
            <w:r w:rsidR="00BD4DB7">
              <w:rPr>
                <w:noProof/>
                <w:webHidden/>
              </w:rPr>
              <w:fldChar w:fldCharType="begin"/>
            </w:r>
            <w:r w:rsidR="00BD4DB7">
              <w:rPr>
                <w:noProof/>
                <w:webHidden/>
              </w:rPr>
              <w:instrText xml:space="preserve"> PAGEREF _Toc31716393 \h </w:instrText>
            </w:r>
            <w:r w:rsidR="00BD4DB7">
              <w:rPr>
                <w:noProof/>
                <w:webHidden/>
              </w:rPr>
            </w:r>
            <w:r w:rsidR="00BD4DB7">
              <w:rPr>
                <w:noProof/>
                <w:webHidden/>
              </w:rPr>
              <w:fldChar w:fldCharType="separate"/>
            </w:r>
            <w:r w:rsidR="00BD4DB7">
              <w:rPr>
                <w:noProof/>
                <w:webHidden/>
              </w:rPr>
              <w:t>402</w:t>
            </w:r>
            <w:r w:rsidR="00BD4DB7">
              <w:rPr>
                <w:noProof/>
                <w:webHidden/>
              </w:rPr>
              <w:fldChar w:fldCharType="end"/>
            </w:r>
          </w:hyperlink>
        </w:p>
        <w:p w14:paraId="2C20DE98" w14:textId="7ADB275E"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394" w:history="1">
            <w:r w:rsidR="00BD4DB7" w:rsidRPr="0089237F">
              <w:rPr>
                <w:rStyle w:val="Hipervnculo"/>
                <w:rFonts w:eastAsia="Calibri" w:cs="Times New Roman"/>
                <w:noProof/>
              </w:rPr>
              <w:t>PARTICIPACIÓN DE AGENTES EN LA COMPENSACION Y LIQUIDACION DE LAS OPERACIONES REPO</w:t>
            </w:r>
            <w:r w:rsidR="00BD4DB7">
              <w:rPr>
                <w:noProof/>
                <w:webHidden/>
              </w:rPr>
              <w:tab/>
            </w:r>
            <w:r w:rsidR="00BD4DB7">
              <w:rPr>
                <w:noProof/>
                <w:webHidden/>
              </w:rPr>
              <w:fldChar w:fldCharType="begin"/>
            </w:r>
            <w:r w:rsidR="00BD4DB7">
              <w:rPr>
                <w:noProof/>
                <w:webHidden/>
              </w:rPr>
              <w:instrText xml:space="preserve"> PAGEREF _Toc31716394 \h </w:instrText>
            </w:r>
            <w:r w:rsidR="00BD4DB7">
              <w:rPr>
                <w:noProof/>
                <w:webHidden/>
              </w:rPr>
            </w:r>
            <w:r w:rsidR="00BD4DB7">
              <w:rPr>
                <w:noProof/>
                <w:webHidden/>
              </w:rPr>
              <w:fldChar w:fldCharType="separate"/>
            </w:r>
            <w:r w:rsidR="00BD4DB7">
              <w:rPr>
                <w:noProof/>
                <w:webHidden/>
              </w:rPr>
              <w:t>402</w:t>
            </w:r>
            <w:r w:rsidR="00BD4DB7">
              <w:rPr>
                <w:noProof/>
                <w:webHidden/>
              </w:rPr>
              <w:fldChar w:fldCharType="end"/>
            </w:r>
          </w:hyperlink>
        </w:p>
        <w:p w14:paraId="04084962" w14:textId="73DAADC0"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95" w:history="1">
            <w:r w:rsidR="00BD4DB7" w:rsidRPr="0089237F">
              <w:rPr>
                <w:rStyle w:val="Hipervnculo"/>
                <w:noProof/>
              </w:rPr>
              <w:t>Artículo 4.4.5.1. Participación de Agentes en la Compensación y Liquidación de Operaciones Repo.</w:t>
            </w:r>
            <w:r w:rsidR="00BD4DB7">
              <w:rPr>
                <w:noProof/>
                <w:webHidden/>
              </w:rPr>
              <w:tab/>
            </w:r>
            <w:r w:rsidR="00BD4DB7">
              <w:rPr>
                <w:noProof/>
                <w:webHidden/>
              </w:rPr>
              <w:fldChar w:fldCharType="begin"/>
            </w:r>
            <w:r w:rsidR="00BD4DB7">
              <w:rPr>
                <w:noProof/>
                <w:webHidden/>
              </w:rPr>
              <w:instrText xml:space="preserve"> PAGEREF _Toc31716395 \h </w:instrText>
            </w:r>
            <w:r w:rsidR="00BD4DB7">
              <w:rPr>
                <w:noProof/>
                <w:webHidden/>
              </w:rPr>
            </w:r>
            <w:r w:rsidR="00BD4DB7">
              <w:rPr>
                <w:noProof/>
                <w:webHidden/>
              </w:rPr>
              <w:fldChar w:fldCharType="separate"/>
            </w:r>
            <w:r w:rsidR="00BD4DB7">
              <w:rPr>
                <w:noProof/>
                <w:webHidden/>
              </w:rPr>
              <w:t>402</w:t>
            </w:r>
            <w:r w:rsidR="00BD4DB7">
              <w:rPr>
                <w:noProof/>
                <w:webHidden/>
              </w:rPr>
              <w:fldChar w:fldCharType="end"/>
            </w:r>
          </w:hyperlink>
        </w:p>
        <w:p w14:paraId="4CF3F81D" w14:textId="01D7F512"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96" w:history="1">
            <w:r w:rsidR="00BD4DB7" w:rsidRPr="0089237F">
              <w:rPr>
                <w:rStyle w:val="Hipervnculo"/>
                <w:noProof/>
              </w:rPr>
              <w:t>Artículo 4.4.5.2. Consolidación de Operaciones Repo.</w:t>
            </w:r>
            <w:r w:rsidR="00BD4DB7">
              <w:rPr>
                <w:noProof/>
                <w:webHidden/>
              </w:rPr>
              <w:tab/>
            </w:r>
            <w:r w:rsidR="00BD4DB7">
              <w:rPr>
                <w:noProof/>
                <w:webHidden/>
              </w:rPr>
              <w:fldChar w:fldCharType="begin"/>
            </w:r>
            <w:r w:rsidR="00BD4DB7">
              <w:rPr>
                <w:noProof/>
                <w:webHidden/>
              </w:rPr>
              <w:instrText xml:space="preserve"> PAGEREF _Toc31716396 \h </w:instrText>
            </w:r>
            <w:r w:rsidR="00BD4DB7">
              <w:rPr>
                <w:noProof/>
                <w:webHidden/>
              </w:rPr>
            </w:r>
            <w:r w:rsidR="00BD4DB7">
              <w:rPr>
                <w:noProof/>
                <w:webHidden/>
              </w:rPr>
              <w:fldChar w:fldCharType="separate"/>
            </w:r>
            <w:r w:rsidR="00BD4DB7">
              <w:rPr>
                <w:noProof/>
                <w:webHidden/>
              </w:rPr>
              <w:t>402</w:t>
            </w:r>
            <w:r w:rsidR="00BD4DB7">
              <w:rPr>
                <w:noProof/>
                <w:webHidden/>
              </w:rPr>
              <w:fldChar w:fldCharType="end"/>
            </w:r>
          </w:hyperlink>
        </w:p>
        <w:p w14:paraId="46823D43" w14:textId="47DEE7FB"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97" w:history="1">
            <w:r w:rsidR="00BD4DB7" w:rsidRPr="0089237F">
              <w:rPr>
                <w:rStyle w:val="Hipervnculo"/>
                <w:noProof/>
              </w:rPr>
              <w:t>Artículo 4.4.5.3. Información a la Cámara sobre la Consolidación de Operaciones Repo.</w:t>
            </w:r>
            <w:r w:rsidR="00BD4DB7">
              <w:rPr>
                <w:noProof/>
                <w:webHidden/>
              </w:rPr>
              <w:tab/>
            </w:r>
            <w:r w:rsidR="00BD4DB7">
              <w:rPr>
                <w:noProof/>
                <w:webHidden/>
              </w:rPr>
              <w:fldChar w:fldCharType="begin"/>
            </w:r>
            <w:r w:rsidR="00BD4DB7">
              <w:rPr>
                <w:noProof/>
                <w:webHidden/>
              </w:rPr>
              <w:instrText xml:space="preserve"> PAGEREF _Toc31716397 \h </w:instrText>
            </w:r>
            <w:r w:rsidR="00BD4DB7">
              <w:rPr>
                <w:noProof/>
                <w:webHidden/>
              </w:rPr>
            </w:r>
            <w:r w:rsidR="00BD4DB7">
              <w:rPr>
                <w:noProof/>
                <w:webHidden/>
              </w:rPr>
              <w:fldChar w:fldCharType="separate"/>
            </w:r>
            <w:r w:rsidR="00BD4DB7">
              <w:rPr>
                <w:noProof/>
                <w:webHidden/>
              </w:rPr>
              <w:t>403</w:t>
            </w:r>
            <w:r w:rsidR="00BD4DB7">
              <w:rPr>
                <w:noProof/>
                <w:webHidden/>
              </w:rPr>
              <w:fldChar w:fldCharType="end"/>
            </w:r>
          </w:hyperlink>
        </w:p>
        <w:p w14:paraId="0D750D2F" w14:textId="12A583AB"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98" w:history="1">
            <w:r w:rsidR="00BD4DB7" w:rsidRPr="0089237F">
              <w:rPr>
                <w:rStyle w:val="Hipervnculo"/>
                <w:noProof/>
              </w:rPr>
              <w:t>Artículo 4.4.5.4. Traslado de la Consolidación de Operaciones Repo.</w:t>
            </w:r>
            <w:r w:rsidR="00BD4DB7">
              <w:rPr>
                <w:noProof/>
                <w:webHidden/>
              </w:rPr>
              <w:tab/>
            </w:r>
            <w:r w:rsidR="00BD4DB7">
              <w:rPr>
                <w:noProof/>
                <w:webHidden/>
              </w:rPr>
              <w:fldChar w:fldCharType="begin"/>
            </w:r>
            <w:r w:rsidR="00BD4DB7">
              <w:rPr>
                <w:noProof/>
                <w:webHidden/>
              </w:rPr>
              <w:instrText xml:space="preserve"> PAGEREF _Toc31716398 \h </w:instrText>
            </w:r>
            <w:r w:rsidR="00BD4DB7">
              <w:rPr>
                <w:noProof/>
                <w:webHidden/>
              </w:rPr>
            </w:r>
            <w:r w:rsidR="00BD4DB7">
              <w:rPr>
                <w:noProof/>
                <w:webHidden/>
              </w:rPr>
              <w:fldChar w:fldCharType="separate"/>
            </w:r>
            <w:r w:rsidR="00BD4DB7">
              <w:rPr>
                <w:noProof/>
                <w:webHidden/>
              </w:rPr>
              <w:t>403</w:t>
            </w:r>
            <w:r w:rsidR="00BD4DB7">
              <w:rPr>
                <w:noProof/>
                <w:webHidden/>
              </w:rPr>
              <w:fldChar w:fldCharType="end"/>
            </w:r>
          </w:hyperlink>
        </w:p>
        <w:p w14:paraId="5E876F62" w14:textId="739002D9" w:rsidR="00BD4DB7" w:rsidRDefault="00682D97">
          <w:pPr>
            <w:pStyle w:val="TDC2"/>
            <w:rPr>
              <w:rFonts w:asciiTheme="minorHAnsi" w:eastAsiaTheme="minorEastAsia" w:hAnsiTheme="minorHAnsi" w:cstheme="minorBidi"/>
              <w:smallCaps w:val="0"/>
              <w:noProof/>
              <w:sz w:val="22"/>
              <w:szCs w:val="22"/>
              <w:lang w:val="es-CO" w:eastAsia="es-CO"/>
            </w:rPr>
          </w:pPr>
          <w:hyperlink w:anchor="_Toc31716399" w:history="1">
            <w:r w:rsidR="00BD4DB7" w:rsidRPr="0089237F">
              <w:rPr>
                <w:rStyle w:val="Hipervnculo"/>
                <w:noProof/>
              </w:rPr>
              <w:t>Artículo 4.4.5.5. Procedimiento de Admisión de Operaciones Repo.</w:t>
            </w:r>
            <w:r w:rsidR="00BD4DB7">
              <w:rPr>
                <w:noProof/>
                <w:webHidden/>
              </w:rPr>
              <w:tab/>
            </w:r>
            <w:r w:rsidR="00BD4DB7">
              <w:rPr>
                <w:noProof/>
                <w:webHidden/>
              </w:rPr>
              <w:fldChar w:fldCharType="begin"/>
            </w:r>
            <w:r w:rsidR="00BD4DB7">
              <w:rPr>
                <w:noProof/>
                <w:webHidden/>
              </w:rPr>
              <w:instrText xml:space="preserve"> PAGEREF _Toc31716399 \h </w:instrText>
            </w:r>
            <w:r w:rsidR="00BD4DB7">
              <w:rPr>
                <w:noProof/>
                <w:webHidden/>
              </w:rPr>
            </w:r>
            <w:r w:rsidR="00BD4DB7">
              <w:rPr>
                <w:noProof/>
                <w:webHidden/>
              </w:rPr>
              <w:fldChar w:fldCharType="separate"/>
            </w:r>
            <w:r w:rsidR="00BD4DB7">
              <w:rPr>
                <w:noProof/>
                <w:webHidden/>
              </w:rPr>
              <w:t>404</w:t>
            </w:r>
            <w:r w:rsidR="00BD4DB7">
              <w:rPr>
                <w:noProof/>
                <w:webHidden/>
              </w:rPr>
              <w:fldChar w:fldCharType="end"/>
            </w:r>
          </w:hyperlink>
        </w:p>
        <w:p w14:paraId="0CC8DBFF" w14:textId="6311CB3A"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00" w:history="1">
            <w:r w:rsidR="00BD4DB7" w:rsidRPr="0089237F">
              <w:rPr>
                <w:rStyle w:val="Hipervnculo"/>
                <w:noProof/>
              </w:rPr>
              <w:t>Artículo 4.4.5.6. Información recibida por la Cámara sobre Operaciones Repo Admitidas por un Agente.</w:t>
            </w:r>
            <w:r w:rsidR="00BD4DB7">
              <w:rPr>
                <w:noProof/>
                <w:webHidden/>
              </w:rPr>
              <w:tab/>
            </w:r>
            <w:r w:rsidR="00BD4DB7">
              <w:rPr>
                <w:noProof/>
                <w:webHidden/>
              </w:rPr>
              <w:fldChar w:fldCharType="begin"/>
            </w:r>
            <w:r w:rsidR="00BD4DB7">
              <w:rPr>
                <w:noProof/>
                <w:webHidden/>
              </w:rPr>
              <w:instrText xml:space="preserve"> PAGEREF _Toc31716400 \h </w:instrText>
            </w:r>
            <w:r w:rsidR="00BD4DB7">
              <w:rPr>
                <w:noProof/>
                <w:webHidden/>
              </w:rPr>
            </w:r>
            <w:r w:rsidR="00BD4DB7">
              <w:rPr>
                <w:noProof/>
                <w:webHidden/>
              </w:rPr>
              <w:fldChar w:fldCharType="separate"/>
            </w:r>
            <w:r w:rsidR="00BD4DB7">
              <w:rPr>
                <w:noProof/>
                <w:webHidden/>
              </w:rPr>
              <w:t>404</w:t>
            </w:r>
            <w:r w:rsidR="00BD4DB7">
              <w:rPr>
                <w:noProof/>
                <w:webHidden/>
              </w:rPr>
              <w:fldChar w:fldCharType="end"/>
            </w:r>
          </w:hyperlink>
        </w:p>
        <w:p w14:paraId="10AC6D80" w14:textId="642EAE86"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01" w:history="1">
            <w:r w:rsidR="00BD4DB7" w:rsidRPr="0089237F">
              <w:rPr>
                <w:rStyle w:val="Hipervnculo"/>
                <w:noProof/>
              </w:rPr>
              <w:t>Artículo 4.4.5.7. Proceso de Devolución de la Consolidación de Operaciones Repo por parte de un Agente.</w:t>
            </w:r>
            <w:r w:rsidR="00BD4DB7">
              <w:rPr>
                <w:noProof/>
                <w:webHidden/>
              </w:rPr>
              <w:tab/>
            </w:r>
            <w:r w:rsidR="00BD4DB7">
              <w:rPr>
                <w:noProof/>
                <w:webHidden/>
              </w:rPr>
              <w:fldChar w:fldCharType="begin"/>
            </w:r>
            <w:r w:rsidR="00BD4DB7">
              <w:rPr>
                <w:noProof/>
                <w:webHidden/>
              </w:rPr>
              <w:instrText xml:space="preserve"> PAGEREF _Toc31716401 \h </w:instrText>
            </w:r>
            <w:r w:rsidR="00BD4DB7">
              <w:rPr>
                <w:noProof/>
                <w:webHidden/>
              </w:rPr>
            </w:r>
            <w:r w:rsidR="00BD4DB7">
              <w:rPr>
                <w:noProof/>
                <w:webHidden/>
              </w:rPr>
              <w:fldChar w:fldCharType="separate"/>
            </w:r>
            <w:r w:rsidR="00BD4DB7">
              <w:rPr>
                <w:noProof/>
                <w:webHidden/>
              </w:rPr>
              <w:t>404</w:t>
            </w:r>
            <w:r w:rsidR="00BD4DB7">
              <w:rPr>
                <w:noProof/>
                <w:webHidden/>
              </w:rPr>
              <w:fldChar w:fldCharType="end"/>
            </w:r>
          </w:hyperlink>
        </w:p>
        <w:p w14:paraId="41F19341" w14:textId="5C8A834F"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02" w:history="1">
            <w:r w:rsidR="00BD4DB7" w:rsidRPr="0089237F">
              <w:rPr>
                <w:rStyle w:val="Hipervnculo"/>
                <w:noProof/>
              </w:rPr>
              <w:t>Artículo 4.4.5.8. Proceso de Exclusión de la Consolidación de Operaciones Repo por parte de un Agente.</w:t>
            </w:r>
            <w:r w:rsidR="00BD4DB7">
              <w:rPr>
                <w:noProof/>
                <w:webHidden/>
              </w:rPr>
              <w:tab/>
            </w:r>
            <w:r w:rsidR="00BD4DB7">
              <w:rPr>
                <w:noProof/>
                <w:webHidden/>
              </w:rPr>
              <w:fldChar w:fldCharType="begin"/>
            </w:r>
            <w:r w:rsidR="00BD4DB7">
              <w:rPr>
                <w:noProof/>
                <w:webHidden/>
              </w:rPr>
              <w:instrText xml:space="preserve"> PAGEREF _Toc31716402 \h </w:instrText>
            </w:r>
            <w:r w:rsidR="00BD4DB7">
              <w:rPr>
                <w:noProof/>
                <w:webHidden/>
              </w:rPr>
            </w:r>
            <w:r w:rsidR="00BD4DB7">
              <w:rPr>
                <w:noProof/>
                <w:webHidden/>
              </w:rPr>
              <w:fldChar w:fldCharType="separate"/>
            </w:r>
            <w:r w:rsidR="00BD4DB7">
              <w:rPr>
                <w:noProof/>
                <w:webHidden/>
              </w:rPr>
              <w:t>405</w:t>
            </w:r>
            <w:r w:rsidR="00BD4DB7">
              <w:rPr>
                <w:noProof/>
                <w:webHidden/>
              </w:rPr>
              <w:fldChar w:fldCharType="end"/>
            </w:r>
          </w:hyperlink>
        </w:p>
        <w:p w14:paraId="6BAAF097" w14:textId="12751EED"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03" w:history="1">
            <w:r w:rsidR="00BD4DB7" w:rsidRPr="0089237F">
              <w:rPr>
                <w:rStyle w:val="Hipervnculo"/>
                <w:noProof/>
              </w:rPr>
              <w:t>Artículo 4.4.5.9. Procedimiento para la Retoma de la Consolidación de Operaciones Repo por parte de los Miembros.</w:t>
            </w:r>
            <w:r w:rsidR="00BD4DB7">
              <w:rPr>
                <w:noProof/>
                <w:webHidden/>
              </w:rPr>
              <w:tab/>
            </w:r>
            <w:r w:rsidR="00BD4DB7">
              <w:rPr>
                <w:noProof/>
                <w:webHidden/>
              </w:rPr>
              <w:fldChar w:fldCharType="begin"/>
            </w:r>
            <w:r w:rsidR="00BD4DB7">
              <w:rPr>
                <w:noProof/>
                <w:webHidden/>
              </w:rPr>
              <w:instrText xml:space="preserve"> PAGEREF _Toc31716403 \h </w:instrText>
            </w:r>
            <w:r w:rsidR="00BD4DB7">
              <w:rPr>
                <w:noProof/>
                <w:webHidden/>
              </w:rPr>
            </w:r>
            <w:r w:rsidR="00BD4DB7">
              <w:rPr>
                <w:noProof/>
                <w:webHidden/>
              </w:rPr>
              <w:fldChar w:fldCharType="separate"/>
            </w:r>
            <w:r w:rsidR="00BD4DB7">
              <w:rPr>
                <w:noProof/>
                <w:webHidden/>
              </w:rPr>
              <w:t>406</w:t>
            </w:r>
            <w:r w:rsidR="00BD4DB7">
              <w:rPr>
                <w:noProof/>
                <w:webHidden/>
              </w:rPr>
              <w:fldChar w:fldCharType="end"/>
            </w:r>
          </w:hyperlink>
        </w:p>
        <w:p w14:paraId="17DCB1BE" w14:textId="65DC6D53"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04" w:history="1">
            <w:r w:rsidR="00BD4DB7" w:rsidRPr="0089237F">
              <w:rPr>
                <w:rStyle w:val="Hipervnculo"/>
                <w:noProof/>
              </w:rPr>
              <w:t>Artículo 4.4.5.10. Estado de la Consolidación de Operaciones Repo.</w:t>
            </w:r>
            <w:r w:rsidR="00BD4DB7">
              <w:rPr>
                <w:noProof/>
                <w:webHidden/>
              </w:rPr>
              <w:tab/>
            </w:r>
            <w:r w:rsidR="00BD4DB7">
              <w:rPr>
                <w:noProof/>
                <w:webHidden/>
              </w:rPr>
              <w:fldChar w:fldCharType="begin"/>
            </w:r>
            <w:r w:rsidR="00BD4DB7">
              <w:rPr>
                <w:noProof/>
                <w:webHidden/>
              </w:rPr>
              <w:instrText xml:space="preserve"> PAGEREF _Toc31716404 \h </w:instrText>
            </w:r>
            <w:r w:rsidR="00BD4DB7">
              <w:rPr>
                <w:noProof/>
                <w:webHidden/>
              </w:rPr>
            </w:r>
            <w:r w:rsidR="00BD4DB7">
              <w:rPr>
                <w:noProof/>
                <w:webHidden/>
              </w:rPr>
              <w:fldChar w:fldCharType="separate"/>
            </w:r>
            <w:r w:rsidR="00BD4DB7">
              <w:rPr>
                <w:noProof/>
                <w:webHidden/>
              </w:rPr>
              <w:t>407</w:t>
            </w:r>
            <w:r w:rsidR="00BD4DB7">
              <w:rPr>
                <w:noProof/>
                <w:webHidden/>
              </w:rPr>
              <w:fldChar w:fldCharType="end"/>
            </w:r>
          </w:hyperlink>
        </w:p>
        <w:p w14:paraId="089B7442" w14:textId="591F2F8A"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05" w:history="1">
            <w:r w:rsidR="00BD4DB7" w:rsidRPr="0089237F">
              <w:rPr>
                <w:rStyle w:val="Hipervnculo"/>
                <w:rFonts w:eastAsia="Calibri"/>
                <w:noProof/>
              </w:rPr>
              <w:t>TÍTULO QUINTO</w:t>
            </w:r>
            <w:r w:rsidR="00BD4DB7">
              <w:rPr>
                <w:noProof/>
                <w:webHidden/>
              </w:rPr>
              <w:tab/>
            </w:r>
            <w:r w:rsidR="00BD4DB7">
              <w:rPr>
                <w:noProof/>
                <w:webHidden/>
              </w:rPr>
              <w:fldChar w:fldCharType="begin"/>
            </w:r>
            <w:r w:rsidR="00BD4DB7">
              <w:rPr>
                <w:noProof/>
                <w:webHidden/>
              </w:rPr>
              <w:instrText xml:space="preserve"> PAGEREF _Toc31716405 \h </w:instrText>
            </w:r>
            <w:r w:rsidR="00BD4DB7">
              <w:rPr>
                <w:noProof/>
                <w:webHidden/>
              </w:rPr>
            </w:r>
            <w:r w:rsidR="00BD4DB7">
              <w:rPr>
                <w:noProof/>
                <w:webHidden/>
              </w:rPr>
              <w:fldChar w:fldCharType="separate"/>
            </w:r>
            <w:r w:rsidR="00BD4DB7">
              <w:rPr>
                <w:noProof/>
                <w:webHidden/>
              </w:rPr>
              <w:t>409</w:t>
            </w:r>
            <w:r w:rsidR="00BD4DB7">
              <w:rPr>
                <w:noProof/>
                <w:webHidden/>
              </w:rPr>
              <w:fldChar w:fldCharType="end"/>
            </w:r>
          </w:hyperlink>
        </w:p>
        <w:p w14:paraId="4EC7BE39" w14:textId="721F2C99"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06" w:history="1">
            <w:r w:rsidR="00BD4DB7" w:rsidRPr="0089237F">
              <w:rPr>
                <w:rStyle w:val="Hipervnculo"/>
                <w:rFonts w:eastAsia="Calibri"/>
                <w:noProof/>
              </w:rPr>
              <w:t>MODELO DE RIESGO DE LA CÁMARA PARA EL CÁLCULO Y GESTIÓN DE GARANTÍAS Y DEFINICIÓN DE LÍMITES</w:t>
            </w:r>
            <w:r w:rsidR="00BD4DB7">
              <w:rPr>
                <w:noProof/>
                <w:webHidden/>
              </w:rPr>
              <w:tab/>
            </w:r>
            <w:r w:rsidR="00BD4DB7">
              <w:rPr>
                <w:noProof/>
                <w:webHidden/>
              </w:rPr>
              <w:fldChar w:fldCharType="begin"/>
            </w:r>
            <w:r w:rsidR="00BD4DB7">
              <w:rPr>
                <w:noProof/>
                <w:webHidden/>
              </w:rPr>
              <w:instrText xml:space="preserve"> PAGEREF _Toc31716406 \h </w:instrText>
            </w:r>
            <w:r w:rsidR="00BD4DB7">
              <w:rPr>
                <w:noProof/>
                <w:webHidden/>
              </w:rPr>
            </w:r>
            <w:r w:rsidR="00BD4DB7">
              <w:rPr>
                <w:noProof/>
                <w:webHidden/>
              </w:rPr>
              <w:fldChar w:fldCharType="separate"/>
            </w:r>
            <w:r w:rsidR="00BD4DB7">
              <w:rPr>
                <w:noProof/>
                <w:webHidden/>
              </w:rPr>
              <w:t>409</w:t>
            </w:r>
            <w:r w:rsidR="00BD4DB7">
              <w:rPr>
                <w:noProof/>
                <w:webHidden/>
              </w:rPr>
              <w:fldChar w:fldCharType="end"/>
            </w:r>
          </w:hyperlink>
        </w:p>
        <w:p w14:paraId="5FD97E07" w14:textId="54E1A3CA"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07" w:history="1">
            <w:r w:rsidR="00BD4DB7" w:rsidRPr="0089237F">
              <w:rPr>
                <w:rStyle w:val="Hipervnculo"/>
                <w:rFonts w:eastAsia="Calibri"/>
                <w:noProof/>
              </w:rPr>
              <w:t>CAPÍTULO PRIMERO</w:t>
            </w:r>
            <w:r w:rsidR="00BD4DB7">
              <w:rPr>
                <w:noProof/>
                <w:webHidden/>
              </w:rPr>
              <w:tab/>
            </w:r>
            <w:r w:rsidR="00BD4DB7">
              <w:rPr>
                <w:noProof/>
                <w:webHidden/>
              </w:rPr>
              <w:fldChar w:fldCharType="begin"/>
            </w:r>
            <w:r w:rsidR="00BD4DB7">
              <w:rPr>
                <w:noProof/>
                <w:webHidden/>
              </w:rPr>
              <w:instrText xml:space="preserve"> PAGEREF _Toc31716407 \h </w:instrText>
            </w:r>
            <w:r w:rsidR="00BD4DB7">
              <w:rPr>
                <w:noProof/>
                <w:webHidden/>
              </w:rPr>
            </w:r>
            <w:r w:rsidR="00BD4DB7">
              <w:rPr>
                <w:noProof/>
                <w:webHidden/>
              </w:rPr>
              <w:fldChar w:fldCharType="separate"/>
            </w:r>
            <w:r w:rsidR="00BD4DB7">
              <w:rPr>
                <w:noProof/>
                <w:webHidden/>
              </w:rPr>
              <w:t>409</w:t>
            </w:r>
            <w:r w:rsidR="00BD4DB7">
              <w:rPr>
                <w:noProof/>
                <w:webHidden/>
              </w:rPr>
              <w:fldChar w:fldCharType="end"/>
            </w:r>
          </w:hyperlink>
        </w:p>
        <w:p w14:paraId="35C4ACE8" w14:textId="15DFD6D6"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08" w:history="1">
            <w:r w:rsidR="00BD4DB7" w:rsidRPr="0089237F">
              <w:rPr>
                <w:rStyle w:val="Hipervnculo"/>
                <w:rFonts w:eastAsia="Calibri"/>
                <w:noProof/>
              </w:rPr>
              <w:t>MODELO DE RIESGO</w:t>
            </w:r>
            <w:r w:rsidR="00BD4DB7">
              <w:rPr>
                <w:noProof/>
                <w:webHidden/>
              </w:rPr>
              <w:tab/>
            </w:r>
            <w:r w:rsidR="00BD4DB7">
              <w:rPr>
                <w:noProof/>
                <w:webHidden/>
              </w:rPr>
              <w:fldChar w:fldCharType="begin"/>
            </w:r>
            <w:r w:rsidR="00BD4DB7">
              <w:rPr>
                <w:noProof/>
                <w:webHidden/>
              </w:rPr>
              <w:instrText xml:space="preserve"> PAGEREF _Toc31716408 \h </w:instrText>
            </w:r>
            <w:r w:rsidR="00BD4DB7">
              <w:rPr>
                <w:noProof/>
                <w:webHidden/>
              </w:rPr>
            </w:r>
            <w:r w:rsidR="00BD4DB7">
              <w:rPr>
                <w:noProof/>
                <w:webHidden/>
              </w:rPr>
              <w:fldChar w:fldCharType="separate"/>
            </w:r>
            <w:r w:rsidR="00BD4DB7">
              <w:rPr>
                <w:noProof/>
                <w:webHidden/>
              </w:rPr>
              <w:t>409</w:t>
            </w:r>
            <w:r w:rsidR="00BD4DB7">
              <w:rPr>
                <w:noProof/>
                <w:webHidden/>
              </w:rPr>
              <w:fldChar w:fldCharType="end"/>
            </w:r>
          </w:hyperlink>
        </w:p>
        <w:p w14:paraId="552A1C5E" w14:textId="2661F2F0"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09" w:history="1">
            <w:r w:rsidR="00BD4DB7" w:rsidRPr="0089237F">
              <w:rPr>
                <w:rStyle w:val="Hipervnculo"/>
                <w:rFonts w:eastAsia="Calibri"/>
                <w:noProof/>
              </w:rPr>
              <w:t>Artículo 4.5.1.1. Modelo de Riesgo de la Cámara para el cálculo, gestión de Garantías y definición de Límites.</w:t>
            </w:r>
            <w:r w:rsidR="00BD4DB7">
              <w:rPr>
                <w:noProof/>
                <w:webHidden/>
              </w:rPr>
              <w:tab/>
            </w:r>
            <w:r w:rsidR="00BD4DB7">
              <w:rPr>
                <w:noProof/>
                <w:webHidden/>
              </w:rPr>
              <w:fldChar w:fldCharType="begin"/>
            </w:r>
            <w:r w:rsidR="00BD4DB7">
              <w:rPr>
                <w:noProof/>
                <w:webHidden/>
              </w:rPr>
              <w:instrText xml:space="preserve"> PAGEREF _Toc31716409 \h </w:instrText>
            </w:r>
            <w:r w:rsidR="00BD4DB7">
              <w:rPr>
                <w:noProof/>
                <w:webHidden/>
              </w:rPr>
            </w:r>
            <w:r w:rsidR="00BD4DB7">
              <w:rPr>
                <w:noProof/>
                <w:webHidden/>
              </w:rPr>
              <w:fldChar w:fldCharType="separate"/>
            </w:r>
            <w:r w:rsidR="00BD4DB7">
              <w:rPr>
                <w:noProof/>
                <w:webHidden/>
              </w:rPr>
              <w:t>409</w:t>
            </w:r>
            <w:r w:rsidR="00BD4DB7">
              <w:rPr>
                <w:noProof/>
                <w:webHidden/>
              </w:rPr>
              <w:fldChar w:fldCharType="end"/>
            </w:r>
          </w:hyperlink>
        </w:p>
        <w:p w14:paraId="4B8F250E" w14:textId="678E3026"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10" w:history="1">
            <w:r w:rsidR="00BD4DB7" w:rsidRPr="0089237F">
              <w:rPr>
                <w:rStyle w:val="Hipervnculo"/>
                <w:rFonts w:eastAsia="Calibri"/>
                <w:noProof/>
              </w:rPr>
              <w:t>CAPÍTULO SEGUNDO</w:t>
            </w:r>
            <w:r w:rsidR="00BD4DB7">
              <w:rPr>
                <w:noProof/>
                <w:webHidden/>
              </w:rPr>
              <w:tab/>
            </w:r>
            <w:r w:rsidR="00BD4DB7">
              <w:rPr>
                <w:noProof/>
                <w:webHidden/>
              </w:rPr>
              <w:fldChar w:fldCharType="begin"/>
            </w:r>
            <w:r w:rsidR="00BD4DB7">
              <w:rPr>
                <w:noProof/>
                <w:webHidden/>
              </w:rPr>
              <w:instrText xml:space="preserve"> PAGEREF _Toc31716410 \h </w:instrText>
            </w:r>
            <w:r w:rsidR="00BD4DB7">
              <w:rPr>
                <w:noProof/>
                <w:webHidden/>
              </w:rPr>
            </w:r>
            <w:r w:rsidR="00BD4DB7">
              <w:rPr>
                <w:noProof/>
                <w:webHidden/>
              </w:rPr>
              <w:fldChar w:fldCharType="separate"/>
            </w:r>
            <w:r w:rsidR="00BD4DB7">
              <w:rPr>
                <w:noProof/>
                <w:webHidden/>
              </w:rPr>
              <w:t>409</w:t>
            </w:r>
            <w:r w:rsidR="00BD4DB7">
              <w:rPr>
                <w:noProof/>
                <w:webHidden/>
              </w:rPr>
              <w:fldChar w:fldCharType="end"/>
            </w:r>
          </w:hyperlink>
        </w:p>
        <w:p w14:paraId="4D8D5AEF" w14:textId="47FB9662"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11" w:history="1">
            <w:r w:rsidR="00BD4DB7" w:rsidRPr="0089237F">
              <w:rPr>
                <w:rStyle w:val="Hipervnculo"/>
                <w:rFonts w:eastAsia="Calibri"/>
                <w:noProof/>
              </w:rPr>
              <w:t>GARANTÍAS Y GESTIÓN DE GARANTÍAS</w:t>
            </w:r>
            <w:r w:rsidR="00BD4DB7">
              <w:rPr>
                <w:noProof/>
                <w:webHidden/>
              </w:rPr>
              <w:tab/>
            </w:r>
            <w:r w:rsidR="00BD4DB7">
              <w:rPr>
                <w:noProof/>
                <w:webHidden/>
              </w:rPr>
              <w:fldChar w:fldCharType="begin"/>
            </w:r>
            <w:r w:rsidR="00BD4DB7">
              <w:rPr>
                <w:noProof/>
                <w:webHidden/>
              </w:rPr>
              <w:instrText xml:space="preserve"> PAGEREF _Toc31716411 \h </w:instrText>
            </w:r>
            <w:r w:rsidR="00BD4DB7">
              <w:rPr>
                <w:noProof/>
                <w:webHidden/>
              </w:rPr>
            </w:r>
            <w:r w:rsidR="00BD4DB7">
              <w:rPr>
                <w:noProof/>
                <w:webHidden/>
              </w:rPr>
              <w:fldChar w:fldCharType="separate"/>
            </w:r>
            <w:r w:rsidR="00BD4DB7">
              <w:rPr>
                <w:noProof/>
                <w:webHidden/>
              </w:rPr>
              <w:t>409</w:t>
            </w:r>
            <w:r w:rsidR="00BD4DB7">
              <w:rPr>
                <w:noProof/>
                <w:webHidden/>
              </w:rPr>
              <w:fldChar w:fldCharType="end"/>
            </w:r>
          </w:hyperlink>
        </w:p>
        <w:p w14:paraId="42E65C4A" w14:textId="4E9FABAA"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12" w:history="1">
            <w:r w:rsidR="00BD4DB7" w:rsidRPr="0089237F">
              <w:rPr>
                <w:rStyle w:val="Hipervnculo"/>
                <w:noProof/>
              </w:rPr>
              <w:t>Artículo 4.5.2.1. Valor mínimo de la Garantía Individual.</w:t>
            </w:r>
            <w:r w:rsidR="00BD4DB7">
              <w:rPr>
                <w:noProof/>
                <w:webHidden/>
              </w:rPr>
              <w:tab/>
            </w:r>
            <w:r w:rsidR="00BD4DB7">
              <w:rPr>
                <w:noProof/>
                <w:webHidden/>
              </w:rPr>
              <w:fldChar w:fldCharType="begin"/>
            </w:r>
            <w:r w:rsidR="00BD4DB7">
              <w:rPr>
                <w:noProof/>
                <w:webHidden/>
              </w:rPr>
              <w:instrText xml:space="preserve"> PAGEREF _Toc31716412 \h </w:instrText>
            </w:r>
            <w:r w:rsidR="00BD4DB7">
              <w:rPr>
                <w:noProof/>
                <w:webHidden/>
              </w:rPr>
            </w:r>
            <w:r w:rsidR="00BD4DB7">
              <w:rPr>
                <w:noProof/>
                <w:webHidden/>
              </w:rPr>
              <w:fldChar w:fldCharType="separate"/>
            </w:r>
            <w:r w:rsidR="00BD4DB7">
              <w:rPr>
                <w:noProof/>
                <w:webHidden/>
              </w:rPr>
              <w:t>409</w:t>
            </w:r>
            <w:r w:rsidR="00BD4DB7">
              <w:rPr>
                <w:noProof/>
                <w:webHidden/>
              </w:rPr>
              <w:fldChar w:fldCharType="end"/>
            </w:r>
          </w:hyperlink>
        </w:p>
        <w:p w14:paraId="1A6F5814" w14:textId="6BA55569"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13" w:history="1">
            <w:r w:rsidR="00BD4DB7" w:rsidRPr="0089237F">
              <w:rPr>
                <w:rStyle w:val="Hipervnculo"/>
                <w:noProof/>
              </w:rPr>
              <w:t>Artículo 4.5.2.3. Constitución de Garantía por Posición sobre el Activo objeto de una Operación Repo.</w:t>
            </w:r>
            <w:r w:rsidR="00BD4DB7">
              <w:rPr>
                <w:noProof/>
                <w:webHidden/>
              </w:rPr>
              <w:tab/>
            </w:r>
            <w:r w:rsidR="00BD4DB7">
              <w:rPr>
                <w:noProof/>
                <w:webHidden/>
              </w:rPr>
              <w:fldChar w:fldCharType="begin"/>
            </w:r>
            <w:r w:rsidR="00BD4DB7">
              <w:rPr>
                <w:noProof/>
                <w:webHidden/>
              </w:rPr>
              <w:instrText xml:space="preserve"> PAGEREF _Toc31716413 \h </w:instrText>
            </w:r>
            <w:r w:rsidR="00BD4DB7">
              <w:rPr>
                <w:noProof/>
                <w:webHidden/>
              </w:rPr>
            </w:r>
            <w:r w:rsidR="00BD4DB7">
              <w:rPr>
                <w:noProof/>
                <w:webHidden/>
              </w:rPr>
              <w:fldChar w:fldCharType="separate"/>
            </w:r>
            <w:r w:rsidR="00BD4DB7">
              <w:rPr>
                <w:noProof/>
                <w:webHidden/>
              </w:rPr>
              <w:t>409</w:t>
            </w:r>
            <w:r w:rsidR="00BD4DB7">
              <w:rPr>
                <w:noProof/>
                <w:webHidden/>
              </w:rPr>
              <w:fldChar w:fldCharType="end"/>
            </w:r>
          </w:hyperlink>
        </w:p>
        <w:p w14:paraId="3C92BEE6" w14:textId="580C75A2"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14" w:history="1">
            <w:r w:rsidR="00BD4DB7" w:rsidRPr="0089237F">
              <w:rPr>
                <w:rStyle w:val="Hipervnculo"/>
                <w:noProof/>
              </w:rPr>
              <w:t>Artículo 4.5.2.4. Liberación de Garantía por Posición del Activo objeto de una Operación Repo.</w:t>
            </w:r>
            <w:r w:rsidR="00BD4DB7">
              <w:rPr>
                <w:noProof/>
                <w:webHidden/>
              </w:rPr>
              <w:tab/>
            </w:r>
            <w:r w:rsidR="00BD4DB7">
              <w:rPr>
                <w:noProof/>
                <w:webHidden/>
              </w:rPr>
              <w:fldChar w:fldCharType="begin"/>
            </w:r>
            <w:r w:rsidR="00BD4DB7">
              <w:rPr>
                <w:noProof/>
                <w:webHidden/>
              </w:rPr>
              <w:instrText xml:space="preserve"> PAGEREF _Toc31716414 \h </w:instrText>
            </w:r>
            <w:r w:rsidR="00BD4DB7">
              <w:rPr>
                <w:noProof/>
                <w:webHidden/>
              </w:rPr>
            </w:r>
            <w:r w:rsidR="00BD4DB7">
              <w:rPr>
                <w:noProof/>
                <w:webHidden/>
              </w:rPr>
              <w:fldChar w:fldCharType="separate"/>
            </w:r>
            <w:r w:rsidR="00BD4DB7">
              <w:rPr>
                <w:noProof/>
                <w:webHidden/>
              </w:rPr>
              <w:t>410</w:t>
            </w:r>
            <w:r w:rsidR="00BD4DB7">
              <w:rPr>
                <w:noProof/>
                <w:webHidden/>
              </w:rPr>
              <w:fldChar w:fldCharType="end"/>
            </w:r>
          </w:hyperlink>
        </w:p>
        <w:p w14:paraId="64B249E8" w14:textId="26DB47C8"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15" w:history="1">
            <w:r w:rsidR="00BD4DB7" w:rsidRPr="0089237F">
              <w:rPr>
                <w:rStyle w:val="Hipervnculo"/>
                <w:noProof/>
              </w:rPr>
              <w:t>Artículo 4.5.2.5. Generalidades sobre la determinación del valor de las Garantías por Posición para Operaciones Repo.</w:t>
            </w:r>
            <w:r w:rsidR="00BD4DB7">
              <w:rPr>
                <w:noProof/>
                <w:webHidden/>
              </w:rPr>
              <w:tab/>
            </w:r>
            <w:r w:rsidR="00BD4DB7">
              <w:rPr>
                <w:noProof/>
                <w:webHidden/>
              </w:rPr>
              <w:fldChar w:fldCharType="begin"/>
            </w:r>
            <w:r w:rsidR="00BD4DB7">
              <w:rPr>
                <w:noProof/>
                <w:webHidden/>
              </w:rPr>
              <w:instrText xml:space="preserve"> PAGEREF _Toc31716415 \h </w:instrText>
            </w:r>
            <w:r w:rsidR="00BD4DB7">
              <w:rPr>
                <w:noProof/>
                <w:webHidden/>
              </w:rPr>
            </w:r>
            <w:r w:rsidR="00BD4DB7">
              <w:rPr>
                <w:noProof/>
                <w:webHidden/>
              </w:rPr>
              <w:fldChar w:fldCharType="separate"/>
            </w:r>
            <w:r w:rsidR="00BD4DB7">
              <w:rPr>
                <w:noProof/>
                <w:webHidden/>
              </w:rPr>
              <w:t>411</w:t>
            </w:r>
            <w:r w:rsidR="00BD4DB7">
              <w:rPr>
                <w:noProof/>
                <w:webHidden/>
              </w:rPr>
              <w:fldChar w:fldCharType="end"/>
            </w:r>
          </w:hyperlink>
        </w:p>
        <w:p w14:paraId="26CA26A5" w14:textId="162490F8"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16" w:history="1">
            <w:r w:rsidR="00BD4DB7" w:rsidRPr="0089237F">
              <w:rPr>
                <w:rStyle w:val="Hipervnculo"/>
                <w:noProof/>
              </w:rPr>
              <w:t>Artículo 4.5.2.6. Procedimiento de Cálculo de Garantías por Posición para Posiciones Abiertas en Operaciones Repo.</w:t>
            </w:r>
            <w:r w:rsidR="00BD4DB7">
              <w:rPr>
                <w:noProof/>
                <w:webHidden/>
              </w:rPr>
              <w:tab/>
            </w:r>
            <w:r w:rsidR="00BD4DB7">
              <w:rPr>
                <w:noProof/>
                <w:webHidden/>
              </w:rPr>
              <w:fldChar w:fldCharType="begin"/>
            </w:r>
            <w:r w:rsidR="00BD4DB7">
              <w:rPr>
                <w:noProof/>
                <w:webHidden/>
              </w:rPr>
              <w:instrText xml:space="preserve"> PAGEREF _Toc31716416 \h </w:instrText>
            </w:r>
            <w:r w:rsidR="00BD4DB7">
              <w:rPr>
                <w:noProof/>
                <w:webHidden/>
              </w:rPr>
            </w:r>
            <w:r w:rsidR="00BD4DB7">
              <w:rPr>
                <w:noProof/>
                <w:webHidden/>
              </w:rPr>
              <w:fldChar w:fldCharType="separate"/>
            </w:r>
            <w:r w:rsidR="00BD4DB7">
              <w:rPr>
                <w:noProof/>
                <w:webHidden/>
              </w:rPr>
              <w:t>411</w:t>
            </w:r>
            <w:r w:rsidR="00BD4DB7">
              <w:rPr>
                <w:noProof/>
                <w:webHidden/>
              </w:rPr>
              <w:fldChar w:fldCharType="end"/>
            </w:r>
          </w:hyperlink>
        </w:p>
        <w:p w14:paraId="343947DB" w14:textId="20D36948"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17" w:history="1">
            <w:r w:rsidR="00BD4DB7" w:rsidRPr="0089237F">
              <w:rPr>
                <w:rStyle w:val="Hipervnculo"/>
                <w:noProof/>
              </w:rPr>
              <w:t>Artículo 4.5.2.7. Importe del Fondo de Garantía Colectiva y procedimiento para el cálculo del importe del Fondo de Garantía Colectiva para el Segmento de Renta Variable y de las aportaciones de los Miembros Liquidadores.</w:t>
            </w:r>
            <w:r w:rsidR="00BD4DB7">
              <w:rPr>
                <w:noProof/>
                <w:webHidden/>
              </w:rPr>
              <w:tab/>
            </w:r>
            <w:r w:rsidR="00BD4DB7">
              <w:rPr>
                <w:noProof/>
                <w:webHidden/>
              </w:rPr>
              <w:fldChar w:fldCharType="begin"/>
            </w:r>
            <w:r w:rsidR="00BD4DB7">
              <w:rPr>
                <w:noProof/>
                <w:webHidden/>
              </w:rPr>
              <w:instrText xml:space="preserve"> PAGEREF _Toc31716417 \h </w:instrText>
            </w:r>
            <w:r w:rsidR="00BD4DB7">
              <w:rPr>
                <w:noProof/>
                <w:webHidden/>
              </w:rPr>
            </w:r>
            <w:r w:rsidR="00BD4DB7">
              <w:rPr>
                <w:noProof/>
                <w:webHidden/>
              </w:rPr>
              <w:fldChar w:fldCharType="separate"/>
            </w:r>
            <w:r w:rsidR="00BD4DB7">
              <w:rPr>
                <w:noProof/>
                <w:webHidden/>
              </w:rPr>
              <w:t>417</w:t>
            </w:r>
            <w:r w:rsidR="00BD4DB7">
              <w:rPr>
                <w:noProof/>
                <w:webHidden/>
              </w:rPr>
              <w:fldChar w:fldCharType="end"/>
            </w:r>
          </w:hyperlink>
        </w:p>
        <w:p w14:paraId="14867414" w14:textId="1888268B"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18" w:history="1">
            <w:r w:rsidR="00BD4DB7" w:rsidRPr="0089237F">
              <w:rPr>
                <w:rStyle w:val="Hipervnculo"/>
                <w:rFonts w:eastAsia="Calibri"/>
                <w:noProof/>
              </w:rPr>
              <w:t>CAPÍTULO TERCERO</w:t>
            </w:r>
            <w:r w:rsidR="00BD4DB7">
              <w:rPr>
                <w:noProof/>
                <w:webHidden/>
              </w:rPr>
              <w:tab/>
            </w:r>
            <w:r w:rsidR="00BD4DB7">
              <w:rPr>
                <w:noProof/>
                <w:webHidden/>
              </w:rPr>
              <w:fldChar w:fldCharType="begin"/>
            </w:r>
            <w:r w:rsidR="00BD4DB7">
              <w:rPr>
                <w:noProof/>
                <w:webHidden/>
              </w:rPr>
              <w:instrText xml:space="preserve"> PAGEREF _Toc31716418 \h </w:instrText>
            </w:r>
            <w:r w:rsidR="00BD4DB7">
              <w:rPr>
                <w:noProof/>
                <w:webHidden/>
              </w:rPr>
            </w:r>
            <w:r w:rsidR="00BD4DB7">
              <w:rPr>
                <w:noProof/>
                <w:webHidden/>
              </w:rPr>
              <w:fldChar w:fldCharType="separate"/>
            </w:r>
            <w:r w:rsidR="00BD4DB7">
              <w:rPr>
                <w:noProof/>
                <w:webHidden/>
              </w:rPr>
              <w:t>418</w:t>
            </w:r>
            <w:r w:rsidR="00BD4DB7">
              <w:rPr>
                <w:noProof/>
                <w:webHidden/>
              </w:rPr>
              <w:fldChar w:fldCharType="end"/>
            </w:r>
          </w:hyperlink>
        </w:p>
        <w:p w14:paraId="051FDCBD" w14:textId="104A33D9"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19" w:history="1">
            <w:r w:rsidR="00BD4DB7" w:rsidRPr="0089237F">
              <w:rPr>
                <w:rStyle w:val="Hipervnculo"/>
                <w:noProof/>
              </w:rPr>
              <w:t>PARÁMETROS DE DETERMINACIÓN DE LAS GARANTÍAS POR POSICIÓN APLICABLES A LAS OPERACIONES REPO</w:t>
            </w:r>
            <w:r w:rsidR="00BD4DB7">
              <w:rPr>
                <w:noProof/>
                <w:webHidden/>
              </w:rPr>
              <w:tab/>
            </w:r>
            <w:r w:rsidR="00BD4DB7">
              <w:rPr>
                <w:noProof/>
                <w:webHidden/>
              </w:rPr>
              <w:fldChar w:fldCharType="begin"/>
            </w:r>
            <w:r w:rsidR="00BD4DB7">
              <w:rPr>
                <w:noProof/>
                <w:webHidden/>
              </w:rPr>
              <w:instrText xml:space="preserve"> PAGEREF _Toc31716419 \h </w:instrText>
            </w:r>
            <w:r w:rsidR="00BD4DB7">
              <w:rPr>
                <w:noProof/>
                <w:webHidden/>
              </w:rPr>
            </w:r>
            <w:r w:rsidR="00BD4DB7">
              <w:rPr>
                <w:noProof/>
                <w:webHidden/>
              </w:rPr>
              <w:fldChar w:fldCharType="separate"/>
            </w:r>
            <w:r w:rsidR="00BD4DB7">
              <w:rPr>
                <w:noProof/>
                <w:webHidden/>
              </w:rPr>
              <w:t>418</w:t>
            </w:r>
            <w:r w:rsidR="00BD4DB7">
              <w:rPr>
                <w:noProof/>
                <w:webHidden/>
              </w:rPr>
              <w:fldChar w:fldCharType="end"/>
            </w:r>
          </w:hyperlink>
        </w:p>
        <w:p w14:paraId="3263FE5A" w14:textId="0E123ABD"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20" w:history="1">
            <w:r w:rsidR="00BD4DB7" w:rsidRPr="0089237F">
              <w:rPr>
                <w:rStyle w:val="Hipervnculo"/>
                <w:noProof/>
              </w:rPr>
              <w:t>Artículo 4.5.3.1. Parámetros para el cálculo de la Garantía por Posición aplicables a las Operaciones Repo.</w:t>
            </w:r>
            <w:r w:rsidR="00BD4DB7">
              <w:rPr>
                <w:noProof/>
                <w:webHidden/>
              </w:rPr>
              <w:tab/>
            </w:r>
            <w:r w:rsidR="00BD4DB7">
              <w:rPr>
                <w:noProof/>
                <w:webHidden/>
              </w:rPr>
              <w:fldChar w:fldCharType="begin"/>
            </w:r>
            <w:r w:rsidR="00BD4DB7">
              <w:rPr>
                <w:noProof/>
                <w:webHidden/>
              </w:rPr>
              <w:instrText xml:space="preserve"> PAGEREF _Toc31716420 \h </w:instrText>
            </w:r>
            <w:r w:rsidR="00BD4DB7">
              <w:rPr>
                <w:noProof/>
                <w:webHidden/>
              </w:rPr>
            </w:r>
            <w:r w:rsidR="00BD4DB7">
              <w:rPr>
                <w:noProof/>
                <w:webHidden/>
              </w:rPr>
              <w:fldChar w:fldCharType="separate"/>
            </w:r>
            <w:r w:rsidR="00BD4DB7">
              <w:rPr>
                <w:noProof/>
                <w:webHidden/>
              </w:rPr>
              <w:t>418</w:t>
            </w:r>
            <w:r w:rsidR="00BD4DB7">
              <w:rPr>
                <w:noProof/>
                <w:webHidden/>
              </w:rPr>
              <w:fldChar w:fldCharType="end"/>
            </w:r>
          </w:hyperlink>
        </w:p>
        <w:p w14:paraId="4121854F" w14:textId="2EAF0BF8"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21" w:history="1">
            <w:r w:rsidR="00BD4DB7" w:rsidRPr="0089237F">
              <w:rPr>
                <w:rStyle w:val="Hipervnculo"/>
                <w:noProof/>
              </w:rPr>
              <w:t>Artículo 4.5.3.2. Procedimiento de cálculo de la Garantía Extraordinaria por variación de precios Segmento de Renta Variable.</w:t>
            </w:r>
            <w:r w:rsidR="00BD4DB7">
              <w:rPr>
                <w:noProof/>
                <w:webHidden/>
              </w:rPr>
              <w:tab/>
            </w:r>
            <w:r w:rsidR="00BD4DB7">
              <w:rPr>
                <w:noProof/>
                <w:webHidden/>
              </w:rPr>
              <w:fldChar w:fldCharType="begin"/>
            </w:r>
            <w:r w:rsidR="00BD4DB7">
              <w:rPr>
                <w:noProof/>
                <w:webHidden/>
              </w:rPr>
              <w:instrText xml:space="preserve"> PAGEREF _Toc31716421 \h </w:instrText>
            </w:r>
            <w:r w:rsidR="00BD4DB7">
              <w:rPr>
                <w:noProof/>
                <w:webHidden/>
              </w:rPr>
            </w:r>
            <w:r w:rsidR="00BD4DB7">
              <w:rPr>
                <w:noProof/>
                <w:webHidden/>
              </w:rPr>
              <w:fldChar w:fldCharType="separate"/>
            </w:r>
            <w:r w:rsidR="00BD4DB7">
              <w:rPr>
                <w:noProof/>
                <w:webHidden/>
              </w:rPr>
              <w:t>421</w:t>
            </w:r>
            <w:r w:rsidR="00BD4DB7">
              <w:rPr>
                <w:noProof/>
                <w:webHidden/>
              </w:rPr>
              <w:fldChar w:fldCharType="end"/>
            </w:r>
          </w:hyperlink>
        </w:p>
        <w:p w14:paraId="3E03ED88" w14:textId="43B79717"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22" w:history="1">
            <w:r w:rsidR="00BD4DB7" w:rsidRPr="0089237F">
              <w:rPr>
                <w:rStyle w:val="Hipervnculo"/>
                <w:noProof/>
              </w:rPr>
              <w:t>Artículo 4.5.3.3. Fluctuaciones de estrés para cálculo del riesgo en situación de estrés.</w:t>
            </w:r>
            <w:r w:rsidR="00BD4DB7">
              <w:rPr>
                <w:noProof/>
                <w:webHidden/>
              </w:rPr>
              <w:tab/>
            </w:r>
            <w:r w:rsidR="00BD4DB7">
              <w:rPr>
                <w:noProof/>
                <w:webHidden/>
              </w:rPr>
              <w:fldChar w:fldCharType="begin"/>
            </w:r>
            <w:r w:rsidR="00BD4DB7">
              <w:rPr>
                <w:noProof/>
                <w:webHidden/>
              </w:rPr>
              <w:instrText xml:space="preserve"> PAGEREF _Toc31716422 \h </w:instrText>
            </w:r>
            <w:r w:rsidR="00BD4DB7">
              <w:rPr>
                <w:noProof/>
                <w:webHidden/>
              </w:rPr>
            </w:r>
            <w:r w:rsidR="00BD4DB7">
              <w:rPr>
                <w:noProof/>
                <w:webHidden/>
              </w:rPr>
              <w:fldChar w:fldCharType="separate"/>
            </w:r>
            <w:r w:rsidR="00BD4DB7">
              <w:rPr>
                <w:noProof/>
                <w:webHidden/>
              </w:rPr>
              <w:t>424</w:t>
            </w:r>
            <w:r w:rsidR="00BD4DB7">
              <w:rPr>
                <w:noProof/>
                <w:webHidden/>
              </w:rPr>
              <w:fldChar w:fldCharType="end"/>
            </w:r>
          </w:hyperlink>
        </w:p>
        <w:p w14:paraId="37BC5F56" w14:textId="7F8F6D28"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23" w:history="1">
            <w:r w:rsidR="00BD4DB7" w:rsidRPr="0089237F">
              <w:rPr>
                <w:rStyle w:val="Hipervnculo"/>
                <w:noProof/>
              </w:rPr>
              <w:t>Artículo 4.5.3.4. Garantías por Grandes Posiciones.</w:t>
            </w:r>
            <w:r w:rsidR="00BD4DB7">
              <w:rPr>
                <w:noProof/>
                <w:webHidden/>
              </w:rPr>
              <w:tab/>
            </w:r>
            <w:r w:rsidR="00BD4DB7">
              <w:rPr>
                <w:noProof/>
                <w:webHidden/>
              </w:rPr>
              <w:fldChar w:fldCharType="begin"/>
            </w:r>
            <w:r w:rsidR="00BD4DB7">
              <w:rPr>
                <w:noProof/>
                <w:webHidden/>
              </w:rPr>
              <w:instrText xml:space="preserve"> PAGEREF _Toc31716423 \h </w:instrText>
            </w:r>
            <w:r w:rsidR="00BD4DB7">
              <w:rPr>
                <w:noProof/>
                <w:webHidden/>
              </w:rPr>
            </w:r>
            <w:r w:rsidR="00BD4DB7">
              <w:rPr>
                <w:noProof/>
                <w:webHidden/>
              </w:rPr>
              <w:fldChar w:fldCharType="separate"/>
            </w:r>
            <w:r w:rsidR="00BD4DB7">
              <w:rPr>
                <w:noProof/>
                <w:webHidden/>
              </w:rPr>
              <w:t>426</w:t>
            </w:r>
            <w:r w:rsidR="00BD4DB7">
              <w:rPr>
                <w:noProof/>
                <w:webHidden/>
              </w:rPr>
              <w:fldChar w:fldCharType="end"/>
            </w:r>
          </w:hyperlink>
        </w:p>
        <w:p w14:paraId="50A2336B" w14:textId="102CF237"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24" w:history="1">
            <w:r w:rsidR="00BD4DB7" w:rsidRPr="0089237F">
              <w:rPr>
                <w:rStyle w:val="Hipervnculo"/>
                <w:noProof/>
              </w:rPr>
              <w:t>Artículo 4.5.3.5. Escenarios de variación de precio para el cálculo del riesgo en situación de estrés para el Segmento de Renta Variable.</w:t>
            </w:r>
            <w:r w:rsidR="00BD4DB7">
              <w:rPr>
                <w:noProof/>
                <w:webHidden/>
              </w:rPr>
              <w:tab/>
            </w:r>
            <w:r w:rsidR="00BD4DB7">
              <w:rPr>
                <w:noProof/>
                <w:webHidden/>
              </w:rPr>
              <w:fldChar w:fldCharType="begin"/>
            </w:r>
            <w:r w:rsidR="00BD4DB7">
              <w:rPr>
                <w:noProof/>
                <w:webHidden/>
              </w:rPr>
              <w:instrText xml:space="preserve"> PAGEREF _Toc31716424 \h </w:instrText>
            </w:r>
            <w:r w:rsidR="00BD4DB7">
              <w:rPr>
                <w:noProof/>
                <w:webHidden/>
              </w:rPr>
            </w:r>
            <w:r w:rsidR="00BD4DB7">
              <w:rPr>
                <w:noProof/>
                <w:webHidden/>
              </w:rPr>
              <w:fldChar w:fldCharType="separate"/>
            </w:r>
            <w:r w:rsidR="00BD4DB7">
              <w:rPr>
                <w:noProof/>
                <w:webHidden/>
              </w:rPr>
              <w:t>426</w:t>
            </w:r>
            <w:r w:rsidR="00BD4DB7">
              <w:rPr>
                <w:noProof/>
                <w:webHidden/>
              </w:rPr>
              <w:fldChar w:fldCharType="end"/>
            </w:r>
          </w:hyperlink>
        </w:p>
        <w:p w14:paraId="799B6D27" w14:textId="4C221A68"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25" w:history="1">
            <w:r w:rsidR="00BD4DB7" w:rsidRPr="0089237F">
              <w:rPr>
                <w:rStyle w:val="Hipervnculo"/>
                <w:noProof/>
              </w:rPr>
              <w:t>Artículo 4.5.3.6. Aportación mínima al Fondo de Garantía Colectiva de los Miembros para el Segmento de Renta Variable.</w:t>
            </w:r>
            <w:r w:rsidR="00BD4DB7">
              <w:rPr>
                <w:noProof/>
                <w:webHidden/>
              </w:rPr>
              <w:tab/>
            </w:r>
            <w:r w:rsidR="00BD4DB7">
              <w:rPr>
                <w:noProof/>
                <w:webHidden/>
              </w:rPr>
              <w:fldChar w:fldCharType="begin"/>
            </w:r>
            <w:r w:rsidR="00BD4DB7">
              <w:rPr>
                <w:noProof/>
                <w:webHidden/>
              </w:rPr>
              <w:instrText xml:space="preserve"> PAGEREF _Toc31716425 \h </w:instrText>
            </w:r>
            <w:r w:rsidR="00BD4DB7">
              <w:rPr>
                <w:noProof/>
                <w:webHidden/>
              </w:rPr>
            </w:r>
            <w:r w:rsidR="00BD4DB7">
              <w:rPr>
                <w:noProof/>
                <w:webHidden/>
              </w:rPr>
              <w:fldChar w:fldCharType="separate"/>
            </w:r>
            <w:r w:rsidR="00BD4DB7">
              <w:rPr>
                <w:noProof/>
                <w:webHidden/>
              </w:rPr>
              <w:t>429</w:t>
            </w:r>
            <w:r w:rsidR="00BD4DB7">
              <w:rPr>
                <w:noProof/>
                <w:webHidden/>
              </w:rPr>
              <w:fldChar w:fldCharType="end"/>
            </w:r>
          </w:hyperlink>
        </w:p>
        <w:p w14:paraId="5AB776D7" w14:textId="3CA5ECEA"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26" w:history="1">
            <w:r w:rsidR="00BD4DB7" w:rsidRPr="0089237F">
              <w:rPr>
                <w:rStyle w:val="Hipervnculo"/>
                <w:noProof/>
              </w:rPr>
              <w:t>Artículo 4.5.3.7. Importe mínimo a aportar para la constitución del Fondo de Garantía Colectiva y tamaño mínimo del Fondo.</w:t>
            </w:r>
            <w:r w:rsidR="00BD4DB7">
              <w:rPr>
                <w:noProof/>
                <w:webHidden/>
              </w:rPr>
              <w:tab/>
            </w:r>
            <w:r w:rsidR="00BD4DB7">
              <w:rPr>
                <w:noProof/>
                <w:webHidden/>
              </w:rPr>
              <w:fldChar w:fldCharType="begin"/>
            </w:r>
            <w:r w:rsidR="00BD4DB7">
              <w:rPr>
                <w:noProof/>
                <w:webHidden/>
              </w:rPr>
              <w:instrText xml:space="preserve"> PAGEREF _Toc31716426 \h </w:instrText>
            </w:r>
            <w:r w:rsidR="00BD4DB7">
              <w:rPr>
                <w:noProof/>
                <w:webHidden/>
              </w:rPr>
            </w:r>
            <w:r w:rsidR="00BD4DB7">
              <w:rPr>
                <w:noProof/>
                <w:webHidden/>
              </w:rPr>
              <w:fldChar w:fldCharType="separate"/>
            </w:r>
            <w:r w:rsidR="00BD4DB7">
              <w:rPr>
                <w:noProof/>
                <w:webHidden/>
              </w:rPr>
              <w:t>429</w:t>
            </w:r>
            <w:r w:rsidR="00BD4DB7">
              <w:rPr>
                <w:noProof/>
                <w:webHidden/>
              </w:rPr>
              <w:fldChar w:fldCharType="end"/>
            </w:r>
          </w:hyperlink>
        </w:p>
        <w:p w14:paraId="4B56F1BE" w14:textId="4D427FDA"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27" w:history="1">
            <w:r w:rsidR="00BD4DB7" w:rsidRPr="0089237F">
              <w:rPr>
                <w:rStyle w:val="Hipervnculo"/>
                <w:noProof/>
              </w:rPr>
              <w:t>Artículo 4.5.3.8. Constitución, actualización y reposición del Fondo de Garantía Colectiva.</w:t>
            </w:r>
            <w:r w:rsidR="00BD4DB7">
              <w:rPr>
                <w:noProof/>
                <w:webHidden/>
              </w:rPr>
              <w:tab/>
            </w:r>
            <w:r w:rsidR="00BD4DB7">
              <w:rPr>
                <w:noProof/>
                <w:webHidden/>
              </w:rPr>
              <w:fldChar w:fldCharType="begin"/>
            </w:r>
            <w:r w:rsidR="00BD4DB7">
              <w:rPr>
                <w:noProof/>
                <w:webHidden/>
              </w:rPr>
              <w:instrText xml:space="preserve"> PAGEREF _Toc31716427 \h </w:instrText>
            </w:r>
            <w:r w:rsidR="00BD4DB7">
              <w:rPr>
                <w:noProof/>
                <w:webHidden/>
              </w:rPr>
            </w:r>
            <w:r w:rsidR="00BD4DB7">
              <w:rPr>
                <w:noProof/>
                <w:webHidden/>
              </w:rPr>
              <w:fldChar w:fldCharType="separate"/>
            </w:r>
            <w:r w:rsidR="00BD4DB7">
              <w:rPr>
                <w:noProof/>
                <w:webHidden/>
              </w:rPr>
              <w:t>430</w:t>
            </w:r>
            <w:r w:rsidR="00BD4DB7">
              <w:rPr>
                <w:noProof/>
                <w:webHidden/>
              </w:rPr>
              <w:fldChar w:fldCharType="end"/>
            </w:r>
          </w:hyperlink>
        </w:p>
        <w:p w14:paraId="6184E57B" w14:textId="3638BC91"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28" w:history="1">
            <w:r w:rsidR="00BD4DB7" w:rsidRPr="0089237F">
              <w:rPr>
                <w:rStyle w:val="Hipervnculo"/>
                <w:noProof/>
              </w:rPr>
              <w:t>Artículo 4.5.3.9. Contribuciones para la continuidad del servicio.</w:t>
            </w:r>
            <w:r w:rsidR="00BD4DB7">
              <w:rPr>
                <w:noProof/>
                <w:webHidden/>
              </w:rPr>
              <w:tab/>
            </w:r>
            <w:r w:rsidR="00BD4DB7">
              <w:rPr>
                <w:noProof/>
                <w:webHidden/>
              </w:rPr>
              <w:fldChar w:fldCharType="begin"/>
            </w:r>
            <w:r w:rsidR="00BD4DB7">
              <w:rPr>
                <w:noProof/>
                <w:webHidden/>
              </w:rPr>
              <w:instrText xml:space="preserve"> PAGEREF _Toc31716428 \h </w:instrText>
            </w:r>
            <w:r w:rsidR="00BD4DB7">
              <w:rPr>
                <w:noProof/>
                <w:webHidden/>
              </w:rPr>
            </w:r>
            <w:r w:rsidR="00BD4DB7">
              <w:rPr>
                <w:noProof/>
                <w:webHidden/>
              </w:rPr>
              <w:fldChar w:fldCharType="separate"/>
            </w:r>
            <w:r w:rsidR="00BD4DB7">
              <w:rPr>
                <w:noProof/>
                <w:webHidden/>
              </w:rPr>
              <w:t>430</w:t>
            </w:r>
            <w:r w:rsidR="00BD4DB7">
              <w:rPr>
                <w:noProof/>
                <w:webHidden/>
              </w:rPr>
              <w:fldChar w:fldCharType="end"/>
            </w:r>
          </w:hyperlink>
        </w:p>
        <w:p w14:paraId="42648942" w14:textId="1689FC02"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29" w:history="1">
            <w:r w:rsidR="00BD4DB7" w:rsidRPr="0089237F">
              <w:rPr>
                <w:rStyle w:val="Hipervnculo"/>
                <w:noProof/>
              </w:rPr>
              <w:t>Artículo 4.5.3.10. Recursos Propios Específicos.</w:t>
            </w:r>
            <w:r w:rsidR="00BD4DB7">
              <w:rPr>
                <w:noProof/>
                <w:webHidden/>
              </w:rPr>
              <w:tab/>
            </w:r>
            <w:r w:rsidR="00BD4DB7">
              <w:rPr>
                <w:noProof/>
                <w:webHidden/>
              </w:rPr>
              <w:fldChar w:fldCharType="begin"/>
            </w:r>
            <w:r w:rsidR="00BD4DB7">
              <w:rPr>
                <w:noProof/>
                <w:webHidden/>
              </w:rPr>
              <w:instrText xml:space="preserve"> PAGEREF _Toc31716429 \h </w:instrText>
            </w:r>
            <w:r w:rsidR="00BD4DB7">
              <w:rPr>
                <w:noProof/>
                <w:webHidden/>
              </w:rPr>
            </w:r>
            <w:r w:rsidR="00BD4DB7">
              <w:rPr>
                <w:noProof/>
                <w:webHidden/>
              </w:rPr>
              <w:fldChar w:fldCharType="separate"/>
            </w:r>
            <w:r w:rsidR="00BD4DB7">
              <w:rPr>
                <w:noProof/>
                <w:webHidden/>
              </w:rPr>
              <w:t>430</w:t>
            </w:r>
            <w:r w:rsidR="00BD4DB7">
              <w:rPr>
                <w:noProof/>
                <w:webHidden/>
              </w:rPr>
              <w:fldChar w:fldCharType="end"/>
            </w:r>
          </w:hyperlink>
        </w:p>
        <w:p w14:paraId="25F28032" w14:textId="5DEA54F8"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30" w:history="1">
            <w:r w:rsidR="00BD4DB7" w:rsidRPr="0089237F">
              <w:rPr>
                <w:rStyle w:val="Hipervnculo"/>
                <w:noProof/>
              </w:rPr>
              <w:t>Artículo 4.5.3.11. Haircut sobre las Operaciones Repo.</w:t>
            </w:r>
            <w:r w:rsidR="00BD4DB7">
              <w:rPr>
                <w:noProof/>
                <w:webHidden/>
              </w:rPr>
              <w:tab/>
            </w:r>
            <w:r w:rsidR="00BD4DB7">
              <w:rPr>
                <w:noProof/>
                <w:webHidden/>
              </w:rPr>
              <w:fldChar w:fldCharType="begin"/>
            </w:r>
            <w:r w:rsidR="00BD4DB7">
              <w:rPr>
                <w:noProof/>
                <w:webHidden/>
              </w:rPr>
              <w:instrText xml:space="preserve"> PAGEREF _Toc31716430 \h </w:instrText>
            </w:r>
            <w:r w:rsidR="00BD4DB7">
              <w:rPr>
                <w:noProof/>
                <w:webHidden/>
              </w:rPr>
            </w:r>
            <w:r w:rsidR="00BD4DB7">
              <w:rPr>
                <w:noProof/>
                <w:webHidden/>
              </w:rPr>
              <w:fldChar w:fldCharType="separate"/>
            </w:r>
            <w:r w:rsidR="00BD4DB7">
              <w:rPr>
                <w:noProof/>
                <w:webHidden/>
              </w:rPr>
              <w:t>430</w:t>
            </w:r>
            <w:r w:rsidR="00BD4DB7">
              <w:rPr>
                <w:noProof/>
                <w:webHidden/>
              </w:rPr>
              <w:fldChar w:fldCharType="end"/>
            </w:r>
          </w:hyperlink>
        </w:p>
        <w:p w14:paraId="632CC21F" w14:textId="4C6BDDE7"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31" w:history="1">
            <w:r w:rsidR="00BD4DB7" w:rsidRPr="0089237F">
              <w:rPr>
                <w:rStyle w:val="Hipervnculo"/>
                <w:rFonts w:eastAsia="Calibri"/>
                <w:noProof/>
              </w:rPr>
              <w:t>TÍTULO SEXTO</w:t>
            </w:r>
            <w:r w:rsidR="00BD4DB7">
              <w:rPr>
                <w:noProof/>
                <w:webHidden/>
              </w:rPr>
              <w:tab/>
            </w:r>
            <w:r w:rsidR="00BD4DB7">
              <w:rPr>
                <w:noProof/>
                <w:webHidden/>
              </w:rPr>
              <w:fldChar w:fldCharType="begin"/>
            </w:r>
            <w:r w:rsidR="00BD4DB7">
              <w:rPr>
                <w:noProof/>
                <w:webHidden/>
              </w:rPr>
              <w:instrText xml:space="preserve"> PAGEREF _Toc31716431 \h </w:instrText>
            </w:r>
            <w:r w:rsidR="00BD4DB7">
              <w:rPr>
                <w:noProof/>
                <w:webHidden/>
              </w:rPr>
            </w:r>
            <w:r w:rsidR="00BD4DB7">
              <w:rPr>
                <w:noProof/>
                <w:webHidden/>
              </w:rPr>
              <w:fldChar w:fldCharType="separate"/>
            </w:r>
            <w:r w:rsidR="00BD4DB7">
              <w:rPr>
                <w:noProof/>
                <w:webHidden/>
              </w:rPr>
              <w:t>431</w:t>
            </w:r>
            <w:r w:rsidR="00BD4DB7">
              <w:rPr>
                <w:noProof/>
                <w:webHidden/>
              </w:rPr>
              <w:fldChar w:fldCharType="end"/>
            </w:r>
          </w:hyperlink>
        </w:p>
        <w:p w14:paraId="472015CC" w14:textId="12F940F2"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32" w:history="1">
            <w:r w:rsidR="00BD4DB7" w:rsidRPr="0089237F">
              <w:rPr>
                <w:rStyle w:val="Hipervnculo"/>
                <w:rFonts w:eastAsia="Calibri"/>
                <w:noProof/>
              </w:rPr>
              <w:t>RETARDOS, INCUMPLIMIENTOS, SUSPENSIÓN</w:t>
            </w:r>
            <w:r w:rsidR="00BD4DB7">
              <w:rPr>
                <w:noProof/>
                <w:webHidden/>
              </w:rPr>
              <w:tab/>
            </w:r>
            <w:r w:rsidR="00BD4DB7">
              <w:rPr>
                <w:noProof/>
                <w:webHidden/>
              </w:rPr>
              <w:fldChar w:fldCharType="begin"/>
            </w:r>
            <w:r w:rsidR="00BD4DB7">
              <w:rPr>
                <w:noProof/>
                <w:webHidden/>
              </w:rPr>
              <w:instrText xml:space="preserve"> PAGEREF _Toc31716432 \h </w:instrText>
            </w:r>
            <w:r w:rsidR="00BD4DB7">
              <w:rPr>
                <w:noProof/>
                <w:webHidden/>
              </w:rPr>
            </w:r>
            <w:r w:rsidR="00BD4DB7">
              <w:rPr>
                <w:noProof/>
                <w:webHidden/>
              </w:rPr>
              <w:fldChar w:fldCharType="separate"/>
            </w:r>
            <w:r w:rsidR="00BD4DB7">
              <w:rPr>
                <w:noProof/>
                <w:webHidden/>
              </w:rPr>
              <w:t>431</w:t>
            </w:r>
            <w:r w:rsidR="00BD4DB7">
              <w:rPr>
                <w:noProof/>
                <w:webHidden/>
              </w:rPr>
              <w:fldChar w:fldCharType="end"/>
            </w:r>
          </w:hyperlink>
        </w:p>
        <w:p w14:paraId="34F11A96" w14:textId="460420C5"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33" w:history="1">
            <w:r w:rsidR="00BD4DB7" w:rsidRPr="0089237F">
              <w:rPr>
                <w:rStyle w:val="Hipervnculo"/>
                <w:rFonts w:eastAsia="Calibri"/>
                <w:noProof/>
              </w:rPr>
              <w:t>Y EXCLUSIÓN, MEDIDAS PREVENTIVAS</w:t>
            </w:r>
            <w:r w:rsidR="00BD4DB7">
              <w:rPr>
                <w:noProof/>
                <w:webHidden/>
              </w:rPr>
              <w:tab/>
            </w:r>
            <w:r w:rsidR="00BD4DB7">
              <w:rPr>
                <w:noProof/>
                <w:webHidden/>
              </w:rPr>
              <w:fldChar w:fldCharType="begin"/>
            </w:r>
            <w:r w:rsidR="00BD4DB7">
              <w:rPr>
                <w:noProof/>
                <w:webHidden/>
              </w:rPr>
              <w:instrText xml:space="preserve"> PAGEREF _Toc31716433 \h </w:instrText>
            </w:r>
            <w:r w:rsidR="00BD4DB7">
              <w:rPr>
                <w:noProof/>
                <w:webHidden/>
              </w:rPr>
            </w:r>
            <w:r w:rsidR="00BD4DB7">
              <w:rPr>
                <w:noProof/>
                <w:webHidden/>
              </w:rPr>
              <w:fldChar w:fldCharType="separate"/>
            </w:r>
            <w:r w:rsidR="00BD4DB7">
              <w:rPr>
                <w:noProof/>
                <w:webHidden/>
              </w:rPr>
              <w:t>431</w:t>
            </w:r>
            <w:r w:rsidR="00BD4DB7">
              <w:rPr>
                <w:noProof/>
                <w:webHidden/>
              </w:rPr>
              <w:fldChar w:fldCharType="end"/>
            </w:r>
          </w:hyperlink>
        </w:p>
        <w:p w14:paraId="2095C06A" w14:textId="790350B2"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34" w:history="1">
            <w:r w:rsidR="00BD4DB7" w:rsidRPr="0089237F">
              <w:rPr>
                <w:rStyle w:val="Hipervnculo"/>
                <w:rFonts w:eastAsia="Calibri"/>
                <w:noProof/>
              </w:rPr>
              <w:t>RETARDOS</w:t>
            </w:r>
            <w:r w:rsidR="00BD4DB7">
              <w:rPr>
                <w:noProof/>
                <w:webHidden/>
              </w:rPr>
              <w:tab/>
            </w:r>
            <w:r w:rsidR="00BD4DB7">
              <w:rPr>
                <w:noProof/>
                <w:webHidden/>
              </w:rPr>
              <w:fldChar w:fldCharType="begin"/>
            </w:r>
            <w:r w:rsidR="00BD4DB7">
              <w:rPr>
                <w:noProof/>
                <w:webHidden/>
              </w:rPr>
              <w:instrText xml:space="preserve"> PAGEREF _Toc31716434 \h </w:instrText>
            </w:r>
            <w:r w:rsidR="00BD4DB7">
              <w:rPr>
                <w:noProof/>
                <w:webHidden/>
              </w:rPr>
            </w:r>
            <w:r w:rsidR="00BD4DB7">
              <w:rPr>
                <w:noProof/>
                <w:webHidden/>
              </w:rPr>
              <w:fldChar w:fldCharType="separate"/>
            </w:r>
            <w:r w:rsidR="00BD4DB7">
              <w:rPr>
                <w:noProof/>
                <w:webHidden/>
              </w:rPr>
              <w:t>431</w:t>
            </w:r>
            <w:r w:rsidR="00BD4DB7">
              <w:rPr>
                <w:noProof/>
                <w:webHidden/>
              </w:rPr>
              <w:fldChar w:fldCharType="end"/>
            </w:r>
          </w:hyperlink>
        </w:p>
        <w:p w14:paraId="2C0366C5" w14:textId="7C0EB68B"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35" w:history="1">
            <w:r w:rsidR="00BD4DB7" w:rsidRPr="0089237F">
              <w:rPr>
                <w:rStyle w:val="Hipervnculo"/>
                <w:noProof/>
              </w:rPr>
              <w:t>Artículo 4.6.1.1.  Consecuencias pecuniarias por retardo en la liquidación al Vencimiento por Entrega.</w:t>
            </w:r>
            <w:r w:rsidR="00BD4DB7">
              <w:rPr>
                <w:noProof/>
                <w:webHidden/>
              </w:rPr>
              <w:tab/>
            </w:r>
            <w:r w:rsidR="00BD4DB7">
              <w:rPr>
                <w:noProof/>
                <w:webHidden/>
              </w:rPr>
              <w:fldChar w:fldCharType="begin"/>
            </w:r>
            <w:r w:rsidR="00BD4DB7">
              <w:rPr>
                <w:noProof/>
                <w:webHidden/>
              </w:rPr>
              <w:instrText xml:space="preserve"> PAGEREF _Toc31716435 \h </w:instrText>
            </w:r>
            <w:r w:rsidR="00BD4DB7">
              <w:rPr>
                <w:noProof/>
                <w:webHidden/>
              </w:rPr>
            </w:r>
            <w:r w:rsidR="00BD4DB7">
              <w:rPr>
                <w:noProof/>
                <w:webHidden/>
              </w:rPr>
              <w:fldChar w:fldCharType="separate"/>
            </w:r>
            <w:r w:rsidR="00BD4DB7">
              <w:rPr>
                <w:noProof/>
                <w:webHidden/>
              </w:rPr>
              <w:t>431</w:t>
            </w:r>
            <w:r w:rsidR="00BD4DB7">
              <w:rPr>
                <w:noProof/>
                <w:webHidden/>
              </w:rPr>
              <w:fldChar w:fldCharType="end"/>
            </w:r>
          </w:hyperlink>
        </w:p>
        <w:p w14:paraId="198A5941" w14:textId="0C97CAF8"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36" w:history="1">
            <w:r w:rsidR="00BD4DB7" w:rsidRPr="0089237F">
              <w:rPr>
                <w:rStyle w:val="Hipervnculo"/>
                <w:noProof/>
              </w:rPr>
              <w:t>CAPÍTULO SEGUNDO</w:t>
            </w:r>
            <w:r w:rsidR="00BD4DB7">
              <w:rPr>
                <w:noProof/>
                <w:webHidden/>
              </w:rPr>
              <w:tab/>
            </w:r>
            <w:r w:rsidR="00BD4DB7">
              <w:rPr>
                <w:noProof/>
                <w:webHidden/>
              </w:rPr>
              <w:fldChar w:fldCharType="begin"/>
            </w:r>
            <w:r w:rsidR="00BD4DB7">
              <w:rPr>
                <w:noProof/>
                <w:webHidden/>
              </w:rPr>
              <w:instrText xml:space="preserve"> PAGEREF _Toc31716436 \h </w:instrText>
            </w:r>
            <w:r w:rsidR="00BD4DB7">
              <w:rPr>
                <w:noProof/>
                <w:webHidden/>
              </w:rPr>
            </w:r>
            <w:r w:rsidR="00BD4DB7">
              <w:rPr>
                <w:noProof/>
                <w:webHidden/>
              </w:rPr>
              <w:fldChar w:fldCharType="separate"/>
            </w:r>
            <w:r w:rsidR="00BD4DB7">
              <w:rPr>
                <w:noProof/>
                <w:webHidden/>
              </w:rPr>
              <w:t>432</w:t>
            </w:r>
            <w:r w:rsidR="00BD4DB7">
              <w:rPr>
                <w:noProof/>
                <w:webHidden/>
              </w:rPr>
              <w:fldChar w:fldCharType="end"/>
            </w:r>
          </w:hyperlink>
        </w:p>
        <w:p w14:paraId="6B8EC33D" w14:textId="40CA5598"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37" w:history="1">
            <w:r w:rsidR="00BD4DB7" w:rsidRPr="0089237F">
              <w:rPr>
                <w:rStyle w:val="Hipervnculo"/>
                <w:noProof/>
              </w:rPr>
              <w:t>INCUMPLIMIENTO</w:t>
            </w:r>
            <w:r w:rsidR="00BD4DB7">
              <w:rPr>
                <w:noProof/>
                <w:webHidden/>
              </w:rPr>
              <w:tab/>
            </w:r>
            <w:r w:rsidR="00BD4DB7">
              <w:rPr>
                <w:noProof/>
                <w:webHidden/>
              </w:rPr>
              <w:fldChar w:fldCharType="begin"/>
            </w:r>
            <w:r w:rsidR="00BD4DB7">
              <w:rPr>
                <w:noProof/>
                <w:webHidden/>
              </w:rPr>
              <w:instrText xml:space="preserve"> PAGEREF _Toc31716437 \h </w:instrText>
            </w:r>
            <w:r w:rsidR="00BD4DB7">
              <w:rPr>
                <w:noProof/>
                <w:webHidden/>
              </w:rPr>
            </w:r>
            <w:r w:rsidR="00BD4DB7">
              <w:rPr>
                <w:noProof/>
                <w:webHidden/>
              </w:rPr>
              <w:fldChar w:fldCharType="separate"/>
            </w:r>
            <w:r w:rsidR="00BD4DB7">
              <w:rPr>
                <w:noProof/>
                <w:webHidden/>
              </w:rPr>
              <w:t>432</w:t>
            </w:r>
            <w:r w:rsidR="00BD4DB7">
              <w:rPr>
                <w:noProof/>
                <w:webHidden/>
              </w:rPr>
              <w:fldChar w:fldCharType="end"/>
            </w:r>
          </w:hyperlink>
        </w:p>
        <w:p w14:paraId="5EE4F6F1" w14:textId="7A5FAD96"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38" w:history="1">
            <w:r w:rsidR="00BD4DB7" w:rsidRPr="0089237F">
              <w:rPr>
                <w:rStyle w:val="Hipervnculo"/>
                <w:noProof/>
              </w:rPr>
              <w:t>Artículo 4.6.2.1. Procedimiento operativo adicional para gestionar el Incumplimiento por parte de un Miembro Liquidador por la no Entrega del efectivo en la operación de regreso de una Operación Repo.</w:t>
            </w:r>
            <w:r w:rsidR="00BD4DB7">
              <w:rPr>
                <w:noProof/>
                <w:webHidden/>
              </w:rPr>
              <w:tab/>
            </w:r>
            <w:r w:rsidR="00BD4DB7">
              <w:rPr>
                <w:noProof/>
                <w:webHidden/>
              </w:rPr>
              <w:fldChar w:fldCharType="begin"/>
            </w:r>
            <w:r w:rsidR="00BD4DB7">
              <w:rPr>
                <w:noProof/>
                <w:webHidden/>
              </w:rPr>
              <w:instrText xml:space="preserve"> PAGEREF _Toc31716438 \h </w:instrText>
            </w:r>
            <w:r w:rsidR="00BD4DB7">
              <w:rPr>
                <w:noProof/>
                <w:webHidden/>
              </w:rPr>
            </w:r>
            <w:r w:rsidR="00BD4DB7">
              <w:rPr>
                <w:noProof/>
                <w:webHidden/>
              </w:rPr>
              <w:fldChar w:fldCharType="separate"/>
            </w:r>
            <w:r w:rsidR="00BD4DB7">
              <w:rPr>
                <w:noProof/>
                <w:webHidden/>
              </w:rPr>
              <w:t>432</w:t>
            </w:r>
            <w:r w:rsidR="00BD4DB7">
              <w:rPr>
                <w:noProof/>
                <w:webHidden/>
              </w:rPr>
              <w:fldChar w:fldCharType="end"/>
            </w:r>
          </w:hyperlink>
        </w:p>
        <w:p w14:paraId="10E25817" w14:textId="50C910ED"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39" w:history="1">
            <w:r w:rsidR="00BD4DB7" w:rsidRPr="0089237F">
              <w:rPr>
                <w:rStyle w:val="Hipervnculo"/>
                <w:rFonts w:eastAsia="Calibri"/>
                <w:noProof/>
              </w:rPr>
              <w:t>CAPÍTULO TERCERO</w:t>
            </w:r>
            <w:r w:rsidR="00BD4DB7">
              <w:rPr>
                <w:noProof/>
                <w:webHidden/>
              </w:rPr>
              <w:tab/>
            </w:r>
            <w:r w:rsidR="00BD4DB7">
              <w:rPr>
                <w:noProof/>
                <w:webHidden/>
              </w:rPr>
              <w:fldChar w:fldCharType="begin"/>
            </w:r>
            <w:r w:rsidR="00BD4DB7">
              <w:rPr>
                <w:noProof/>
                <w:webHidden/>
              </w:rPr>
              <w:instrText xml:space="preserve"> PAGEREF _Toc31716439 \h </w:instrText>
            </w:r>
            <w:r w:rsidR="00BD4DB7">
              <w:rPr>
                <w:noProof/>
                <w:webHidden/>
              </w:rPr>
            </w:r>
            <w:r w:rsidR="00BD4DB7">
              <w:rPr>
                <w:noProof/>
                <w:webHidden/>
              </w:rPr>
              <w:fldChar w:fldCharType="separate"/>
            </w:r>
            <w:r w:rsidR="00BD4DB7">
              <w:rPr>
                <w:noProof/>
                <w:webHidden/>
              </w:rPr>
              <w:t>433</w:t>
            </w:r>
            <w:r w:rsidR="00BD4DB7">
              <w:rPr>
                <w:noProof/>
                <w:webHidden/>
              </w:rPr>
              <w:fldChar w:fldCharType="end"/>
            </w:r>
          </w:hyperlink>
        </w:p>
        <w:p w14:paraId="565A2A58" w14:textId="2C23795C"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40" w:history="1">
            <w:r w:rsidR="00BD4DB7" w:rsidRPr="0089237F">
              <w:rPr>
                <w:rStyle w:val="Hipervnculo"/>
                <w:rFonts w:eastAsia="Calibri"/>
                <w:noProof/>
              </w:rPr>
              <w:t>MEDIDAS PREVENTIVAS</w:t>
            </w:r>
            <w:r w:rsidR="00BD4DB7">
              <w:rPr>
                <w:noProof/>
                <w:webHidden/>
              </w:rPr>
              <w:tab/>
            </w:r>
            <w:r w:rsidR="00BD4DB7">
              <w:rPr>
                <w:noProof/>
                <w:webHidden/>
              </w:rPr>
              <w:fldChar w:fldCharType="begin"/>
            </w:r>
            <w:r w:rsidR="00BD4DB7">
              <w:rPr>
                <w:noProof/>
                <w:webHidden/>
              </w:rPr>
              <w:instrText xml:space="preserve"> PAGEREF _Toc31716440 \h </w:instrText>
            </w:r>
            <w:r w:rsidR="00BD4DB7">
              <w:rPr>
                <w:noProof/>
                <w:webHidden/>
              </w:rPr>
            </w:r>
            <w:r w:rsidR="00BD4DB7">
              <w:rPr>
                <w:noProof/>
                <w:webHidden/>
              </w:rPr>
              <w:fldChar w:fldCharType="separate"/>
            </w:r>
            <w:r w:rsidR="00BD4DB7">
              <w:rPr>
                <w:noProof/>
                <w:webHidden/>
              </w:rPr>
              <w:t>433</w:t>
            </w:r>
            <w:r w:rsidR="00BD4DB7">
              <w:rPr>
                <w:noProof/>
                <w:webHidden/>
              </w:rPr>
              <w:fldChar w:fldCharType="end"/>
            </w:r>
          </w:hyperlink>
        </w:p>
        <w:p w14:paraId="5C175074" w14:textId="6B91C602"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41" w:history="1">
            <w:r w:rsidR="00BD4DB7" w:rsidRPr="0089237F">
              <w:rPr>
                <w:rStyle w:val="Hipervnculo"/>
                <w:noProof/>
              </w:rPr>
              <w:t>Artículo 4.6.3.1. Medida Preventiva adicional para Operaciones Repo provenientes de la Bolsa.</w:t>
            </w:r>
            <w:r w:rsidR="00BD4DB7">
              <w:rPr>
                <w:noProof/>
                <w:webHidden/>
              </w:rPr>
              <w:tab/>
            </w:r>
            <w:r w:rsidR="00BD4DB7">
              <w:rPr>
                <w:noProof/>
                <w:webHidden/>
              </w:rPr>
              <w:fldChar w:fldCharType="begin"/>
            </w:r>
            <w:r w:rsidR="00BD4DB7">
              <w:rPr>
                <w:noProof/>
                <w:webHidden/>
              </w:rPr>
              <w:instrText xml:space="preserve"> PAGEREF _Toc31716441 \h </w:instrText>
            </w:r>
            <w:r w:rsidR="00BD4DB7">
              <w:rPr>
                <w:noProof/>
                <w:webHidden/>
              </w:rPr>
            </w:r>
            <w:r w:rsidR="00BD4DB7">
              <w:rPr>
                <w:noProof/>
                <w:webHidden/>
              </w:rPr>
              <w:fldChar w:fldCharType="separate"/>
            </w:r>
            <w:r w:rsidR="00BD4DB7">
              <w:rPr>
                <w:noProof/>
                <w:webHidden/>
              </w:rPr>
              <w:t>434</w:t>
            </w:r>
            <w:r w:rsidR="00BD4DB7">
              <w:rPr>
                <w:noProof/>
                <w:webHidden/>
              </w:rPr>
              <w:fldChar w:fldCharType="end"/>
            </w:r>
          </w:hyperlink>
        </w:p>
        <w:p w14:paraId="05764DDB" w14:textId="4E6EDA03"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42" w:history="1">
            <w:r w:rsidR="00BD4DB7" w:rsidRPr="0089237F">
              <w:rPr>
                <w:rStyle w:val="Hipervnculo"/>
                <w:rFonts w:eastAsia="Calibri"/>
                <w:noProof/>
              </w:rPr>
              <w:t>TÍTULO SÉPTIMO</w:t>
            </w:r>
            <w:r w:rsidR="00BD4DB7">
              <w:rPr>
                <w:noProof/>
                <w:webHidden/>
              </w:rPr>
              <w:tab/>
            </w:r>
            <w:r w:rsidR="00BD4DB7">
              <w:rPr>
                <w:noProof/>
                <w:webHidden/>
              </w:rPr>
              <w:fldChar w:fldCharType="begin"/>
            </w:r>
            <w:r w:rsidR="00BD4DB7">
              <w:rPr>
                <w:noProof/>
                <w:webHidden/>
              </w:rPr>
              <w:instrText xml:space="preserve"> PAGEREF _Toc31716442 \h </w:instrText>
            </w:r>
            <w:r w:rsidR="00BD4DB7">
              <w:rPr>
                <w:noProof/>
                <w:webHidden/>
              </w:rPr>
            </w:r>
            <w:r w:rsidR="00BD4DB7">
              <w:rPr>
                <w:noProof/>
                <w:webHidden/>
              </w:rPr>
              <w:fldChar w:fldCharType="separate"/>
            </w:r>
            <w:r w:rsidR="00BD4DB7">
              <w:rPr>
                <w:noProof/>
                <w:webHidden/>
              </w:rPr>
              <w:t>434</w:t>
            </w:r>
            <w:r w:rsidR="00BD4DB7">
              <w:rPr>
                <w:noProof/>
                <w:webHidden/>
              </w:rPr>
              <w:fldChar w:fldCharType="end"/>
            </w:r>
          </w:hyperlink>
        </w:p>
        <w:p w14:paraId="26958AA0" w14:textId="57D7A60D"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43" w:history="1">
            <w:r w:rsidR="00BD4DB7" w:rsidRPr="0089237F">
              <w:rPr>
                <w:rStyle w:val="Hipervnculo"/>
                <w:rFonts w:eastAsia="Calibri"/>
                <w:noProof/>
              </w:rPr>
              <w:t>HORARIOS DE LAS SESIONES DE CÁMARA</w:t>
            </w:r>
            <w:r w:rsidR="00BD4DB7">
              <w:rPr>
                <w:noProof/>
                <w:webHidden/>
              </w:rPr>
              <w:tab/>
            </w:r>
            <w:r w:rsidR="00BD4DB7">
              <w:rPr>
                <w:noProof/>
                <w:webHidden/>
              </w:rPr>
              <w:fldChar w:fldCharType="begin"/>
            </w:r>
            <w:r w:rsidR="00BD4DB7">
              <w:rPr>
                <w:noProof/>
                <w:webHidden/>
              </w:rPr>
              <w:instrText xml:space="preserve"> PAGEREF _Toc31716443 \h </w:instrText>
            </w:r>
            <w:r w:rsidR="00BD4DB7">
              <w:rPr>
                <w:noProof/>
                <w:webHidden/>
              </w:rPr>
            </w:r>
            <w:r w:rsidR="00BD4DB7">
              <w:rPr>
                <w:noProof/>
                <w:webHidden/>
              </w:rPr>
              <w:fldChar w:fldCharType="separate"/>
            </w:r>
            <w:r w:rsidR="00BD4DB7">
              <w:rPr>
                <w:noProof/>
                <w:webHidden/>
              </w:rPr>
              <w:t>434</w:t>
            </w:r>
            <w:r w:rsidR="00BD4DB7">
              <w:rPr>
                <w:noProof/>
                <w:webHidden/>
              </w:rPr>
              <w:fldChar w:fldCharType="end"/>
            </w:r>
          </w:hyperlink>
        </w:p>
        <w:p w14:paraId="51F3DB37" w14:textId="686217A1"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44" w:history="1">
            <w:r w:rsidR="00BD4DB7" w:rsidRPr="0089237F">
              <w:rPr>
                <w:rStyle w:val="Hipervnculo"/>
                <w:rFonts w:eastAsia="Calibri"/>
                <w:noProof/>
              </w:rPr>
              <w:t>CAPITULO PRIMERO</w:t>
            </w:r>
            <w:r w:rsidR="00BD4DB7">
              <w:rPr>
                <w:noProof/>
                <w:webHidden/>
              </w:rPr>
              <w:tab/>
            </w:r>
            <w:r w:rsidR="00BD4DB7">
              <w:rPr>
                <w:noProof/>
                <w:webHidden/>
              </w:rPr>
              <w:fldChar w:fldCharType="begin"/>
            </w:r>
            <w:r w:rsidR="00BD4DB7">
              <w:rPr>
                <w:noProof/>
                <w:webHidden/>
              </w:rPr>
              <w:instrText xml:space="preserve"> PAGEREF _Toc31716444 \h </w:instrText>
            </w:r>
            <w:r w:rsidR="00BD4DB7">
              <w:rPr>
                <w:noProof/>
                <w:webHidden/>
              </w:rPr>
            </w:r>
            <w:r w:rsidR="00BD4DB7">
              <w:rPr>
                <w:noProof/>
                <w:webHidden/>
              </w:rPr>
              <w:fldChar w:fldCharType="separate"/>
            </w:r>
            <w:r w:rsidR="00BD4DB7">
              <w:rPr>
                <w:noProof/>
                <w:webHidden/>
              </w:rPr>
              <w:t>434</w:t>
            </w:r>
            <w:r w:rsidR="00BD4DB7">
              <w:rPr>
                <w:noProof/>
                <w:webHidden/>
              </w:rPr>
              <w:fldChar w:fldCharType="end"/>
            </w:r>
          </w:hyperlink>
        </w:p>
        <w:p w14:paraId="132DA493" w14:textId="1A0DD947"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45" w:history="1">
            <w:r w:rsidR="00BD4DB7" w:rsidRPr="0089237F">
              <w:rPr>
                <w:rStyle w:val="Hipervnculo"/>
                <w:noProof/>
              </w:rPr>
              <w:t>Artículo 4.7.1.1. Horarios de Sesiones de Operación de Cámara para el Segmento de Renta Variable.</w:t>
            </w:r>
            <w:r w:rsidR="00BD4DB7">
              <w:rPr>
                <w:noProof/>
                <w:webHidden/>
              </w:rPr>
              <w:tab/>
            </w:r>
            <w:r w:rsidR="00BD4DB7">
              <w:rPr>
                <w:noProof/>
                <w:webHidden/>
              </w:rPr>
              <w:fldChar w:fldCharType="begin"/>
            </w:r>
            <w:r w:rsidR="00BD4DB7">
              <w:rPr>
                <w:noProof/>
                <w:webHidden/>
              </w:rPr>
              <w:instrText xml:space="preserve"> PAGEREF _Toc31716445 \h </w:instrText>
            </w:r>
            <w:r w:rsidR="00BD4DB7">
              <w:rPr>
                <w:noProof/>
                <w:webHidden/>
              </w:rPr>
            </w:r>
            <w:r w:rsidR="00BD4DB7">
              <w:rPr>
                <w:noProof/>
                <w:webHidden/>
              </w:rPr>
              <w:fldChar w:fldCharType="separate"/>
            </w:r>
            <w:r w:rsidR="00BD4DB7">
              <w:rPr>
                <w:noProof/>
                <w:webHidden/>
              </w:rPr>
              <w:t>434</w:t>
            </w:r>
            <w:r w:rsidR="00BD4DB7">
              <w:rPr>
                <w:noProof/>
                <w:webHidden/>
              </w:rPr>
              <w:fldChar w:fldCharType="end"/>
            </w:r>
          </w:hyperlink>
        </w:p>
        <w:p w14:paraId="590F5BD7" w14:textId="608E6729"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46" w:history="1">
            <w:r w:rsidR="00BD4DB7" w:rsidRPr="0089237F">
              <w:rPr>
                <w:rStyle w:val="Hipervnculo"/>
                <w:noProof/>
              </w:rPr>
              <w:t>Artículo 4.7.1.2. Horarios adicionales para el Segmento de Renta Variable.</w:t>
            </w:r>
            <w:r w:rsidR="00BD4DB7">
              <w:rPr>
                <w:noProof/>
                <w:webHidden/>
              </w:rPr>
              <w:tab/>
            </w:r>
            <w:r w:rsidR="00BD4DB7">
              <w:rPr>
                <w:noProof/>
                <w:webHidden/>
              </w:rPr>
              <w:fldChar w:fldCharType="begin"/>
            </w:r>
            <w:r w:rsidR="00BD4DB7">
              <w:rPr>
                <w:noProof/>
                <w:webHidden/>
              </w:rPr>
              <w:instrText xml:space="preserve"> PAGEREF _Toc31716446 \h </w:instrText>
            </w:r>
            <w:r w:rsidR="00BD4DB7">
              <w:rPr>
                <w:noProof/>
                <w:webHidden/>
              </w:rPr>
            </w:r>
            <w:r w:rsidR="00BD4DB7">
              <w:rPr>
                <w:noProof/>
                <w:webHidden/>
              </w:rPr>
              <w:fldChar w:fldCharType="separate"/>
            </w:r>
            <w:r w:rsidR="00BD4DB7">
              <w:rPr>
                <w:noProof/>
                <w:webHidden/>
              </w:rPr>
              <w:t>436</w:t>
            </w:r>
            <w:r w:rsidR="00BD4DB7">
              <w:rPr>
                <w:noProof/>
                <w:webHidden/>
              </w:rPr>
              <w:fldChar w:fldCharType="end"/>
            </w:r>
          </w:hyperlink>
        </w:p>
        <w:p w14:paraId="3D43290A" w14:textId="35121192"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47" w:history="1">
            <w:r w:rsidR="00BD4DB7" w:rsidRPr="0089237F">
              <w:rPr>
                <w:rStyle w:val="Hipervnculo"/>
                <w:rFonts w:eastAsia="Calibri"/>
                <w:noProof/>
              </w:rPr>
              <w:t>TÍTULO OCTAVO</w:t>
            </w:r>
            <w:r w:rsidR="00BD4DB7">
              <w:rPr>
                <w:noProof/>
                <w:webHidden/>
              </w:rPr>
              <w:tab/>
            </w:r>
            <w:r w:rsidR="00BD4DB7">
              <w:rPr>
                <w:noProof/>
                <w:webHidden/>
              </w:rPr>
              <w:fldChar w:fldCharType="begin"/>
            </w:r>
            <w:r w:rsidR="00BD4DB7">
              <w:rPr>
                <w:noProof/>
                <w:webHidden/>
              </w:rPr>
              <w:instrText xml:space="preserve"> PAGEREF _Toc31716447 \h </w:instrText>
            </w:r>
            <w:r w:rsidR="00BD4DB7">
              <w:rPr>
                <w:noProof/>
                <w:webHidden/>
              </w:rPr>
            </w:r>
            <w:r w:rsidR="00BD4DB7">
              <w:rPr>
                <w:noProof/>
                <w:webHidden/>
              </w:rPr>
              <w:fldChar w:fldCharType="separate"/>
            </w:r>
            <w:r w:rsidR="00BD4DB7">
              <w:rPr>
                <w:noProof/>
                <w:webHidden/>
              </w:rPr>
              <w:t>436</w:t>
            </w:r>
            <w:r w:rsidR="00BD4DB7">
              <w:rPr>
                <w:noProof/>
                <w:webHidden/>
              </w:rPr>
              <w:fldChar w:fldCharType="end"/>
            </w:r>
          </w:hyperlink>
        </w:p>
        <w:p w14:paraId="548A279E" w14:textId="69B0085E"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48" w:history="1">
            <w:r w:rsidR="00BD4DB7" w:rsidRPr="0089237F">
              <w:rPr>
                <w:rStyle w:val="Hipervnculo"/>
                <w:rFonts w:eastAsia="Calibri"/>
                <w:noProof/>
              </w:rPr>
              <w:t>ACTIVOS</w:t>
            </w:r>
            <w:r w:rsidR="00BD4DB7">
              <w:rPr>
                <w:noProof/>
                <w:webHidden/>
              </w:rPr>
              <w:tab/>
            </w:r>
            <w:r w:rsidR="00BD4DB7">
              <w:rPr>
                <w:noProof/>
                <w:webHidden/>
              </w:rPr>
              <w:fldChar w:fldCharType="begin"/>
            </w:r>
            <w:r w:rsidR="00BD4DB7">
              <w:rPr>
                <w:noProof/>
                <w:webHidden/>
              </w:rPr>
              <w:instrText xml:space="preserve"> PAGEREF _Toc31716448 \h </w:instrText>
            </w:r>
            <w:r w:rsidR="00BD4DB7">
              <w:rPr>
                <w:noProof/>
                <w:webHidden/>
              </w:rPr>
            </w:r>
            <w:r w:rsidR="00BD4DB7">
              <w:rPr>
                <w:noProof/>
                <w:webHidden/>
              </w:rPr>
              <w:fldChar w:fldCharType="separate"/>
            </w:r>
            <w:r w:rsidR="00BD4DB7">
              <w:rPr>
                <w:noProof/>
                <w:webHidden/>
              </w:rPr>
              <w:t>437</w:t>
            </w:r>
            <w:r w:rsidR="00BD4DB7">
              <w:rPr>
                <w:noProof/>
                <w:webHidden/>
              </w:rPr>
              <w:fldChar w:fldCharType="end"/>
            </w:r>
          </w:hyperlink>
        </w:p>
        <w:p w14:paraId="531EC113" w14:textId="37E694A2"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49" w:history="1">
            <w:r w:rsidR="00BD4DB7" w:rsidRPr="0089237F">
              <w:rPr>
                <w:rStyle w:val="Hipervnculo"/>
                <w:rFonts w:eastAsia="Calibri"/>
                <w:noProof/>
              </w:rPr>
              <w:t>CAPÍTULO PRIMERO</w:t>
            </w:r>
            <w:r w:rsidR="00BD4DB7">
              <w:rPr>
                <w:noProof/>
                <w:webHidden/>
              </w:rPr>
              <w:tab/>
            </w:r>
            <w:r w:rsidR="00BD4DB7">
              <w:rPr>
                <w:noProof/>
                <w:webHidden/>
              </w:rPr>
              <w:fldChar w:fldCharType="begin"/>
            </w:r>
            <w:r w:rsidR="00BD4DB7">
              <w:rPr>
                <w:noProof/>
                <w:webHidden/>
              </w:rPr>
              <w:instrText xml:space="preserve"> PAGEREF _Toc31716449 \h </w:instrText>
            </w:r>
            <w:r w:rsidR="00BD4DB7">
              <w:rPr>
                <w:noProof/>
                <w:webHidden/>
              </w:rPr>
            </w:r>
            <w:r w:rsidR="00BD4DB7">
              <w:rPr>
                <w:noProof/>
                <w:webHidden/>
              </w:rPr>
              <w:fldChar w:fldCharType="separate"/>
            </w:r>
            <w:r w:rsidR="00BD4DB7">
              <w:rPr>
                <w:noProof/>
                <w:webHidden/>
              </w:rPr>
              <w:t>437</w:t>
            </w:r>
            <w:r w:rsidR="00BD4DB7">
              <w:rPr>
                <w:noProof/>
                <w:webHidden/>
              </w:rPr>
              <w:fldChar w:fldCharType="end"/>
            </w:r>
          </w:hyperlink>
        </w:p>
        <w:p w14:paraId="5DE1C639" w14:textId="3AE870A0"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50" w:history="1">
            <w:r w:rsidR="00BD4DB7" w:rsidRPr="0089237F">
              <w:rPr>
                <w:rStyle w:val="Hipervnculo"/>
                <w:rFonts w:eastAsia="Calibri"/>
                <w:noProof/>
              </w:rPr>
              <w:t>ESPECIFICACIÓN DE LOS ACTIVOS</w:t>
            </w:r>
            <w:r w:rsidR="00BD4DB7">
              <w:rPr>
                <w:noProof/>
                <w:webHidden/>
              </w:rPr>
              <w:tab/>
            </w:r>
            <w:r w:rsidR="00BD4DB7">
              <w:rPr>
                <w:noProof/>
                <w:webHidden/>
              </w:rPr>
              <w:fldChar w:fldCharType="begin"/>
            </w:r>
            <w:r w:rsidR="00BD4DB7">
              <w:rPr>
                <w:noProof/>
                <w:webHidden/>
              </w:rPr>
              <w:instrText xml:space="preserve"> PAGEREF _Toc31716450 \h </w:instrText>
            </w:r>
            <w:r w:rsidR="00BD4DB7">
              <w:rPr>
                <w:noProof/>
                <w:webHidden/>
              </w:rPr>
            </w:r>
            <w:r w:rsidR="00BD4DB7">
              <w:rPr>
                <w:noProof/>
                <w:webHidden/>
              </w:rPr>
              <w:fldChar w:fldCharType="separate"/>
            </w:r>
            <w:r w:rsidR="00BD4DB7">
              <w:rPr>
                <w:noProof/>
                <w:webHidden/>
              </w:rPr>
              <w:t>437</w:t>
            </w:r>
            <w:r w:rsidR="00BD4DB7">
              <w:rPr>
                <w:noProof/>
                <w:webHidden/>
              </w:rPr>
              <w:fldChar w:fldCharType="end"/>
            </w:r>
          </w:hyperlink>
        </w:p>
        <w:p w14:paraId="397E6E1F" w14:textId="6176BF83"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51" w:history="1">
            <w:r w:rsidR="00BD4DB7" w:rsidRPr="0089237F">
              <w:rPr>
                <w:rStyle w:val="Hipervnculo"/>
                <w:noProof/>
              </w:rPr>
              <w:t>Artículo 4.8.1.1. Operaciones Repo sobre Valores de Renta Variable elegibles.</w:t>
            </w:r>
            <w:r w:rsidR="00BD4DB7">
              <w:rPr>
                <w:noProof/>
                <w:webHidden/>
              </w:rPr>
              <w:tab/>
            </w:r>
            <w:r w:rsidR="00BD4DB7">
              <w:rPr>
                <w:noProof/>
                <w:webHidden/>
              </w:rPr>
              <w:fldChar w:fldCharType="begin"/>
            </w:r>
            <w:r w:rsidR="00BD4DB7">
              <w:rPr>
                <w:noProof/>
                <w:webHidden/>
              </w:rPr>
              <w:instrText xml:space="preserve"> PAGEREF _Toc31716451 \h </w:instrText>
            </w:r>
            <w:r w:rsidR="00BD4DB7">
              <w:rPr>
                <w:noProof/>
                <w:webHidden/>
              </w:rPr>
            </w:r>
            <w:r w:rsidR="00BD4DB7">
              <w:rPr>
                <w:noProof/>
                <w:webHidden/>
              </w:rPr>
              <w:fldChar w:fldCharType="separate"/>
            </w:r>
            <w:r w:rsidR="00BD4DB7">
              <w:rPr>
                <w:noProof/>
                <w:webHidden/>
              </w:rPr>
              <w:t>437</w:t>
            </w:r>
            <w:r w:rsidR="00BD4DB7">
              <w:rPr>
                <w:noProof/>
                <w:webHidden/>
              </w:rPr>
              <w:fldChar w:fldCharType="end"/>
            </w:r>
          </w:hyperlink>
        </w:p>
        <w:p w14:paraId="425366F1" w14:textId="1AB9B71D"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52" w:history="1">
            <w:r w:rsidR="00BD4DB7" w:rsidRPr="0089237F">
              <w:rPr>
                <w:rStyle w:val="Hipervnculo"/>
                <w:noProof/>
              </w:rPr>
              <w:t>Artículo 4.8.1.2. Haircuts sobre Operaciones Repo.</w:t>
            </w:r>
            <w:r w:rsidR="00BD4DB7">
              <w:rPr>
                <w:noProof/>
                <w:webHidden/>
              </w:rPr>
              <w:tab/>
            </w:r>
            <w:r w:rsidR="00BD4DB7">
              <w:rPr>
                <w:noProof/>
                <w:webHidden/>
              </w:rPr>
              <w:fldChar w:fldCharType="begin"/>
            </w:r>
            <w:r w:rsidR="00BD4DB7">
              <w:rPr>
                <w:noProof/>
                <w:webHidden/>
              </w:rPr>
              <w:instrText xml:space="preserve"> PAGEREF _Toc31716452 \h </w:instrText>
            </w:r>
            <w:r w:rsidR="00BD4DB7">
              <w:rPr>
                <w:noProof/>
                <w:webHidden/>
              </w:rPr>
            </w:r>
            <w:r w:rsidR="00BD4DB7">
              <w:rPr>
                <w:noProof/>
                <w:webHidden/>
              </w:rPr>
              <w:fldChar w:fldCharType="separate"/>
            </w:r>
            <w:r w:rsidR="00BD4DB7">
              <w:rPr>
                <w:noProof/>
                <w:webHidden/>
              </w:rPr>
              <w:t>442</w:t>
            </w:r>
            <w:r w:rsidR="00BD4DB7">
              <w:rPr>
                <w:noProof/>
                <w:webHidden/>
              </w:rPr>
              <w:fldChar w:fldCharType="end"/>
            </w:r>
          </w:hyperlink>
        </w:p>
        <w:p w14:paraId="14A0F090" w14:textId="704B99A4"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53" w:history="1">
            <w:r w:rsidR="00BD4DB7" w:rsidRPr="0089237F">
              <w:rPr>
                <w:rStyle w:val="Hipervnculo"/>
                <w:rFonts w:eastAsia="Calibri"/>
                <w:noProof/>
              </w:rPr>
              <w:t>PARTE V</w:t>
            </w:r>
            <w:r w:rsidR="00BD4DB7">
              <w:rPr>
                <w:noProof/>
                <w:webHidden/>
              </w:rPr>
              <w:tab/>
            </w:r>
            <w:r w:rsidR="00BD4DB7">
              <w:rPr>
                <w:noProof/>
                <w:webHidden/>
              </w:rPr>
              <w:fldChar w:fldCharType="begin"/>
            </w:r>
            <w:r w:rsidR="00BD4DB7">
              <w:rPr>
                <w:noProof/>
                <w:webHidden/>
              </w:rPr>
              <w:instrText xml:space="preserve"> PAGEREF _Toc31716453 \h </w:instrText>
            </w:r>
            <w:r w:rsidR="00BD4DB7">
              <w:rPr>
                <w:noProof/>
                <w:webHidden/>
              </w:rPr>
            </w:r>
            <w:r w:rsidR="00BD4DB7">
              <w:rPr>
                <w:noProof/>
                <w:webHidden/>
              </w:rPr>
              <w:fldChar w:fldCharType="separate"/>
            </w:r>
            <w:r w:rsidR="00BD4DB7">
              <w:rPr>
                <w:noProof/>
                <w:webHidden/>
              </w:rPr>
              <w:t>442</w:t>
            </w:r>
            <w:r w:rsidR="00BD4DB7">
              <w:rPr>
                <w:noProof/>
                <w:webHidden/>
              </w:rPr>
              <w:fldChar w:fldCharType="end"/>
            </w:r>
          </w:hyperlink>
        </w:p>
        <w:p w14:paraId="7D3982F3" w14:textId="7B23169A"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54" w:history="1">
            <w:r w:rsidR="00BD4DB7" w:rsidRPr="0089237F">
              <w:rPr>
                <w:rStyle w:val="Hipervnculo"/>
                <w:rFonts w:eastAsia="Calibri"/>
                <w:noProof/>
              </w:rPr>
              <w:t>SEGMENTO SWAPS</w:t>
            </w:r>
            <w:r w:rsidR="00BD4DB7">
              <w:rPr>
                <w:noProof/>
                <w:webHidden/>
              </w:rPr>
              <w:tab/>
            </w:r>
            <w:r w:rsidR="00BD4DB7">
              <w:rPr>
                <w:noProof/>
                <w:webHidden/>
              </w:rPr>
              <w:fldChar w:fldCharType="begin"/>
            </w:r>
            <w:r w:rsidR="00BD4DB7">
              <w:rPr>
                <w:noProof/>
                <w:webHidden/>
              </w:rPr>
              <w:instrText xml:space="preserve"> PAGEREF _Toc31716454 \h </w:instrText>
            </w:r>
            <w:r w:rsidR="00BD4DB7">
              <w:rPr>
                <w:noProof/>
                <w:webHidden/>
              </w:rPr>
            </w:r>
            <w:r w:rsidR="00BD4DB7">
              <w:rPr>
                <w:noProof/>
                <w:webHidden/>
              </w:rPr>
              <w:fldChar w:fldCharType="separate"/>
            </w:r>
            <w:r w:rsidR="00BD4DB7">
              <w:rPr>
                <w:noProof/>
                <w:webHidden/>
              </w:rPr>
              <w:t>442</w:t>
            </w:r>
            <w:r w:rsidR="00BD4DB7">
              <w:rPr>
                <w:noProof/>
                <w:webHidden/>
              </w:rPr>
              <w:fldChar w:fldCharType="end"/>
            </w:r>
          </w:hyperlink>
        </w:p>
        <w:p w14:paraId="22619ECA" w14:textId="716B5836"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55" w:history="1">
            <w:r w:rsidR="00BD4DB7" w:rsidRPr="0089237F">
              <w:rPr>
                <w:rStyle w:val="Hipervnculo"/>
                <w:rFonts w:eastAsia="Calibri"/>
                <w:noProof/>
              </w:rPr>
              <w:t>TÍTULO PRIMERO</w:t>
            </w:r>
            <w:r w:rsidR="00BD4DB7">
              <w:rPr>
                <w:noProof/>
                <w:webHidden/>
              </w:rPr>
              <w:tab/>
            </w:r>
            <w:r w:rsidR="00BD4DB7">
              <w:rPr>
                <w:noProof/>
                <w:webHidden/>
              </w:rPr>
              <w:fldChar w:fldCharType="begin"/>
            </w:r>
            <w:r w:rsidR="00BD4DB7">
              <w:rPr>
                <w:noProof/>
                <w:webHidden/>
              </w:rPr>
              <w:instrText xml:space="preserve"> PAGEREF _Toc31716455 \h </w:instrText>
            </w:r>
            <w:r w:rsidR="00BD4DB7">
              <w:rPr>
                <w:noProof/>
                <w:webHidden/>
              </w:rPr>
            </w:r>
            <w:r w:rsidR="00BD4DB7">
              <w:rPr>
                <w:noProof/>
                <w:webHidden/>
              </w:rPr>
              <w:fldChar w:fldCharType="separate"/>
            </w:r>
            <w:r w:rsidR="00BD4DB7">
              <w:rPr>
                <w:noProof/>
                <w:webHidden/>
              </w:rPr>
              <w:t>442</w:t>
            </w:r>
            <w:r w:rsidR="00BD4DB7">
              <w:rPr>
                <w:noProof/>
                <w:webHidden/>
              </w:rPr>
              <w:fldChar w:fldCharType="end"/>
            </w:r>
          </w:hyperlink>
        </w:p>
        <w:p w14:paraId="16155E43" w14:textId="0C8DA07D"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56" w:history="1">
            <w:r w:rsidR="00BD4DB7" w:rsidRPr="0089237F">
              <w:rPr>
                <w:rStyle w:val="Hipervnculo"/>
                <w:rFonts w:eastAsia="Calibri"/>
                <w:noProof/>
              </w:rPr>
              <w:t>MIEMBROS DE LA CÁMARA, TERCEROS Y PARTICIPACIÓN EN EL SEGMENTO</w:t>
            </w:r>
            <w:r w:rsidR="00BD4DB7">
              <w:rPr>
                <w:noProof/>
                <w:webHidden/>
              </w:rPr>
              <w:tab/>
            </w:r>
            <w:r w:rsidR="00BD4DB7">
              <w:rPr>
                <w:noProof/>
                <w:webHidden/>
              </w:rPr>
              <w:fldChar w:fldCharType="begin"/>
            </w:r>
            <w:r w:rsidR="00BD4DB7">
              <w:rPr>
                <w:noProof/>
                <w:webHidden/>
              </w:rPr>
              <w:instrText xml:space="preserve"> PAGEREF _Toc31716456 \h </w:instrText>
            </w:r>
            <w:r w:rsidR="00BD4DB7">
              <w:rPr>
                <w:noProof/>
                <w:webHidden/>
              </w:rPr>
            </w:r>
            <w:r w:rsidR="00BD4DB7">
              <w:rPr>
                <w:noProof/>
                <w:webHidden/>
              </w:rPr>
              <w:fldChar w:fldCharType="separate"/>
            </w:r>
            <w:r w:rsidR="00BD4DB7">
              <w:rPr>
                <w:noProof/>
                <w:webHidden/>
              </w:rPr>
              <w:t>442</w:t>
            </w:r>
            <w:r w:rsidR="00BD4DB7">
              <w:rPr>
                <w:noProof/>
                <w:webHidden/>
              </w:rPr>
              <w:fldChar w:fldCharType="end"/>
            </w:r>
          </w:hyperlink>
        </w:p>
        <w:p w14:paraId="4CCDF0A1" w14:textId="6E12E31E"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57" w:history="1">
            <w:r w:rsidR="00BD4DB7" w:rsidRPr="0089237F">
              <w:rPr>
                <w:rStyle w:val="Hipervnculo"/>
                <w:rFonts w:eastAsia="Calibri"/>
                <w:noProof/>
              </w:rPr>
              <w:t>CAPÍTULO PRIMERO</w:t>
            </w:r>
            <w:r w:rsidR="00BD4DB7">
              <w:rPr>
                <w:noProof/>
                <w:webHidden/>
              </w:rPr>
              <w:tab/>
            </w:r>
            <w:r w:rsidR="00BD4DB7">
              <w:rPr>
                <w:noProof/>
                <w:webHidden/>
              </w:rPr>
              <w:fldChar w:fldCharType="begin"/>
            </w:r>
            <w:r w:rsidR="00BD4DB7">
              <w:rPr>
                <w:noProof/>
                <w:webHidden/>
              </w:rPr>
              <w:instrText xml:space="preserve"> PAGEREF _Toc31716457 \h </w:instrText>
            </w:r>
            <w:r w:rsidR="00BD4DB7">
              <w:rPr>
                <w:noProof/>
                <w:webHidden/>
              </w:rPr>
            </w:r>
            <w:r w:rsidR="00BD4DB7">
              <w:rPr>
                <w:noProof/>
                <w:webHidden/>
              </w:rPr>
              <w:fldChar w:fldCharType="separate"/>
            </w:r>
            <w:r w:rsidR="00BD4DB7">
              <w:rPr>
                <w:noProof/>
                <w:webHidden/>
              </w:rPr>
              <w:t>442</w:t>
            </w:r>
            <w:r w:rsidR="00BD4DB7">
              <w:rPr>
                <w:noProof/>
                <w:webHidden/>
              </w:rPr>
              <w:fldChar w:fldCharType="end"/>
            </w:r>
          </w:hyperlink>
        </w:p>
        <w:p w14:paraId="1395247C" w14:textId="1B36750C"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58" w:history="1">
            <w:r w:rsidR="00BD4DB7" w:rsidRPr="0089237F">
              <w:rPr>
                <w:rStyle w:val="Hipervnculo"/>
                <w:rFonts w:eastAsia="Calibri"/>
                <w:noProof/>
              </w:rPr>
              <w:t>REQUISITOS DE PARTICIPACIÓN, MODIFICACIÓN Y PERMANENCIA DE LOS MIEMBROS</w:t>
            </w:r>
            <w:r w:rsidR="00BD4DB7">
              <w:rPr>
                <w:noProof/>
                <w:webHidden/>
              </w:rPr>
              <w:tab/>
            </w:r>
            <w:r w:rsidR="00BD4DB7">
              <w:rPr>
                <w:noProof/>
                <w:webHidden/>
              </w:rPr>
              <w:fldChar w:fldCharType="begin"/>
            </w:r>
            <w:r w:rsidR="00BD4DB7">
              <w:rPr>
                <w:noProof/>
                <w:webHidden/>
              </w:rPr>
              <w:instrText xml:space="preserve"> PAGEREF _Toc31716458 \h </w:instrText>
            </w:r>
            <w:r w:rsidR="00BD4DB7">
              <w:rPr>
                <w:noProof/>
                <w:webHidden/>
              </w:rPr>
            </w:r>
            <w:r w:rsidR="00BD4DB7">
              <w:rPr>
                <w:noProof/>
                <w:webHidden/>
              </w:rPr>
              <w:fldChar w:fldCharType="separate"/>
            </w:r>
            <w:r w:rsidR="00BD4DB7">
              <w:rPr>
                <w:noProof/>
                <w:webHidden/>
              </w:rPr>
              <w:t>442</w:t>
            </w:r>
            <w:r w:rsidR="00BD4DB7">
              <w:rPr>
                <w:noProof/>
                <w:webHidden/>
              </w:rPr>
              <w:fldChar w:fldCharType="end"/>
            </w:r>
          </w:hyperlink>
        </w:p>
        <w:p w14:paraId="5BA57446" w14:textId="41B634D8"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59" w:history="1">
            <w:r w:rsidR="00BD4DB7" w:rsidRPr="0089237F">
              <w:rPr>
                <w:rStyle w:val="Hipervnculo"/>
                <w:noProof/>
              </w:rPr>
              <w:t>Artículo 5.1.1.1. Solicitud para participar en el Segmento Swaps y procedimiento operativo de ingreso.</w:t>
            </w:r>
            <w:r w:rsidR="00BD4DB7">
              <w:rPr>
                <w:noProof/>
                <w:webHidden/>
              </w:rPr>
              <w:tab/>
            </w:r>
            <w:r w:rsidR="00BD4DB7">
              <w:rPr>
                <w:noProof/>
                <w:webHidden/>
              </w:rPr>
              <w:fldChar w:fldCharType="begin"/>
            </w:r>
            <w:r w:rsidR="00BD4DB7">
              <w:rPr>
                <w:noProof/>
                <w:webHidden/>
              </w:rPr>
              <w:instrText xml:space="preserve"> PAGEREF _Toc31716459 \h </w:instrText>
            </w:r>
            <w:r w:rsidR="00BD4DB7">
              <w:rPr>
                <w:noProof/>
                <w:webHidden/>
              </w:rPr>
            </w:r>
            <w:r w:rsidR="00BD4DB7">
              <w:rPr>
                <w:noProof/>
                <w:webHidden/>
              </w:rPr>
              <w:fldChar w:fldCharType="separate"/>
            </w:r>
            <w:r w:rsidR="00BD4DB7">
              <w:rPr>
                <w:noProof/>
                <w:webHidden/>
              </w:rPr>
              <w:t>442</w:t>
            </w:r>
            <w:r w:rsidR="00BD4DB7">
              <w:rPr>
                <w:noProof/>
                <w:webHidden/>
              </w:rPr>
              <w:fldChar w:fldCharType="end"/>
            </w:r>
          </w:hyperlink>
        </w:p>
        <w:p w14:paraId="756A895A" w14:textId="2C36277D"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60" w:history="1">
            <w:r w:rsidR="00BD4DB7" w:rsidRPr="0089237F">
              <w:rPr>
                <w:rStyle w:val="Hipervnculo"/>
                <w:noProof/>
              </w:rPr>
              <w:t>Artículo 5.1.1.2. Requisito de patrimonio técnico para el Miembro Liquidador General para Participar en el Segmento Swaps.</w:t>
            </w:r>
            <w:r w:rsidR="00BD4DB7">
              <w:rPr>
                <w:noProof/>
                <w:webHidden/>
              </w:rPr>
              <w:tab/>
            </w:r>
            <w:r w:rsidR="00BD4DB7">
              <w:rPr>
                <w:noProof/>
                <w:webHidden/>
              </w:rPr>
              <w:fldChar w:fldCharType="begin"/>
            </w:r>
            <w:r w:rsidR="00BD4DB7">
              <w:rPr>
                <w:noProof/>
                <w:webHidden/>
              </w:rPr>
              <w:instrText xml:space="preserve"> PAGEREF _Toc31716460 \h </w:instrText>
            </w:r>
            <w:r w:rsidR="00BD4DB7">
              <w:rPr>
                <w:noProof/>
                <w:webHidden/>
              </w:rPr>
            </w:r>
            <w:r w:rsidR="00BD4DB7">
              <w:rPr>
                <w:noProof/>
                <w:webHidden/>
              </w:rPr>
              <w:fldChar w:fldCharType="separate"/>
            </w:r>
            <w:r w:rsidR="00BD4DB7">
              <w:rPr>
                <w:noProof/>
                <w:webHidden/>
              </w:rPr>
              <w:t>443</w:t>
            </w:r>
            <w:r w:rsidR="00BD4DB7">
              <w:rPr>
                <w:noProof/>
                <w:webHidden/>
              </w:rPr>
              <w:fldChar w:fldCharType="end"/>
            </w:r>
          </w:hyperlink>
        </w:p>
        <w:p w14:paraId="13243F6E" w14:textId="5408A07F"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61" w:history="1">
            <w:r w:rsidR="00BD4DB7" w:rsidRPr="0089237F">
              <w:rPr>
                <w:rStyle w:val="Hipervnculo"/>
                <w:noProof/>
              </w:rPr>
              <w:t>Artículo 5.1.1.3. Requisito de patrimonio técnico para el Miembro Liquidador Individual para Participar en el Segmento Swaps.</w:t>
            </w:r>
            <w:r w:rsidR="00BD4DB7">
              <w:rPr>
                <w:noProof/>
                <w:webHidden/>
              </w:rPr>
              <w:tab/>
            </w:r>
            <w:r w:rsidR="00BD4DB7">
              <w:rPr>
                <w:noProof/>
                <w:webHidden/>
              </w:rPr>
              <w:fldChar w:fldCharType="begin"/>
            </w:r>
            <w:r w:rsidR="00BD4DB7">
              <w:rPr>
                <w:noProof/>
                <w:webHidden/>
              </w:rPr>
              <w:instrText xml:space="preserve"> PAGEREF _Toc31716461 \h </w:instrText>
            </w:r>
            <w:r w:rsidR="00BD4DB7">
              <w:rPr>
                <w:noProof/>
                <w:webHidden/>
              </w:rPr>
            </w:r>
            <w:r w:rsidR="00BD4DB7">
              <w:rPr>
                <w:noProof/>
                <w:webHidden/>
              </w:rPr>
              <w:fldChar w:fldCharType="separate"/>
            </w:r>
            <w:r w:rsidR="00BD4DB7">
              <w:rPr>
                <w:noProof/>
                <w:webHidden/>
              </w:rPr>
              <w:t>443</w:t>
            </w:r>
            <w:r w:rsidR="00BD4DB7">
              <w:rPr>
                <w:noProof/>
                <w:webHidden/>
              </w:rPr>
              <w:fldChar w:fldCharType="end"/>
            </w:r>
          </w:hyperlink>
        </w:p>
        <w:p w14:paraId="70A20AA4" w14:textId="45A6E741"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62" w:history="1">
            <w:r w:rsidR="00BD4DB7" w:rsidRPr="0089237F">
              <w:rPr>
                <w:rStyle w:val="Hipervnculo"/>
                <w:noProof/>
              </w:rPr>
              <w:t>Artículo 5.1.1.4. Procedimiento operativo para el retiro del Segmento Swaps.</w:t>
            </w:r>
            <w:r w:rsidR="00BD4DB7">
              <w:rPr>
                <w:noProof/>
                <w:webHidden/>
              </w:rPr>
              <w:tab/>
            </w:r>
            <w:r w:rsidR="00BD4DB7">
              <w:rPr>
                <w:noProof/>
                <w:webHidden/>
              </w:rPr>
              <w:fldChar w:fldCharType="begin"/>
            </w:r>
            <w:r w:rsidR="00BD4DB7">
              <w:rPr>
                <w:noProof/>
                <w:webHidden/>
              </w:rPr>
              <w:instrText xml:space="preserve"> PAGEREF _Toc31716462 \h </w:instrText>
            </w:r>
            <w:r w:rsidR="00BD4DB7">
              <w:rPr>
                <w:noProof/>
                <w:webHidden/>
              </w:rPr>
            </w:r>
            <w:r w:rsidR="00BD4DB7">
              <w:rPr>
                <w:noProof/>
                <w:webHidden/>
              </w:rPr>
              <w:fldChar w:fldCharType="separate"/>
            </w:r>
            <w:r w:rsidR="00BD4DB7">
              <w:rPr>
                <w:noProof/>
                <w:webHidden/>
              </w:rPr>
              <w:t>444</w:t>
            </w:r>
            <w:r w:rsidR="00BD4DB7">
              <w:rPr>
                <w:noProof/>
                <w:webHidden/>
              </w:rPr>
              <w:fldChar w:fldCharType="end"/>
            </w:r>
          </w:hyperlink>
        </w:p>
        <w:p w14:paraId="137F31D0" w14:textId="1A529396"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63" w:history="1">
            <w:r w:rsidR="00BD4DB7" w:rsidRPr="0089237F">
              <w:rPr>
                <w:rStyle w:val="Hipervnculo"/>
                <w:noProof/>
              </w:rPr>
              <w:t>Artículo 5.1.1.5. Acuerdo para compensar y liquidar a través de la Cámara Operaciones sobre Swaps.</w:t>
            </w:r>
            <w:r w:rsidR="00BD4DB7">
              <w:rPr>
                <w:noProof/>
                <w:webHidden/>
              </w:rPr>
              <w:tab/>
            </w:r>
            <w:r w:rsidR="00BD4DB7">
              <w:rPr>
                <w:noProof/>
                <w:webHidden/>
              </w:rPr>
              <w:fldChar w:fldCharType="begin"/>
            </w:r>
            <w:r w:rsidR="00BD4DB7">
              <w:rPr>
                <w:noProof/>
                <w:webHidden/>
              </w:rPr>
              <w:instrText xml:space="preserve"> PAGEREF _Toc31716463 \h </w:instrText>
            </w:r>
            <w:r w:rsidR="00BD4DB7">
              <w:rPr>
                <w:noProof/>
                <w:webHidden/>
              </w:rPr>
            </w:r>
            <w:r w:rsidR="00BD4DB7">
              <w:rPr>
                <w:noProof/>
                <w:webHidden/>
              </w:rPr>
              <w:fldChar w:fldCharType="separate"/>
            </w:r>
            <w:r w:rsidR="00BD4DB7">
              <w:rPr>
                <w:noProof/>
                <w:webHidden/>
              </w:rPr>
              <w:t>444</w:t>
            </w:r>
            <w:r w:rsidR="00BD4DB7">
              <w:rPr>
                <w:noProof/>
                <w:webHidden/>
              </w:rPr>
              <w:fldChar w:fldCharType="end"/>
            </w:r>
          </w:hyperlink>
        </w:p>
        <w:p w14:paraId="11A6B256" w14:textId="1D8EDEBA"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64" w:history="1">
            <w:r w:rsidR="00BD4DB7" w:rsidRPr="0089237F">
              <w:rPr>
                <w:rStyle w:val="Hipervnculo"/>
                <w:rFonts w:eastAsia="Calibri"/>
                <w:noProof/>
              </w:rPr>
              <w:t>TÍTULO SEGUNDO</w:t>
            </w:r>
            <w:r w:rsidR="00BD4DB7">
              <w:rPr>
                <w:noProof/>
                <w:webHidden/>
              </w:rPr>
              <w:tab/>
            </w:r>
            <w:r w:rsidR="00BD4DB7">
              <w:rPr>
                <w:noProof/>
                <w:webHidden/>
              </w:rPr>
              <w:fldChar w:fldCharType="begin"/>
            </w:r>
            <w:r w:rsidR="00BD4DB7">
              <w:rPr>
                <w:noProof/>
                <w:webHidden/>
              </w:rPr>
              <w:instrText xml:space="preserve"> PAGEREF _Toc31716464 \h </w:instrText>
            </w:r>
            <w:r w:rsidR="00BD4DB7">
              <w:rPr>
                <w:noProof/>
                <w:webHidden/>
              </w:rPr>
            </w:r>
            <w:r w:rsidR="00BD4DB7">
              <w:rPr>
                <w:noProof/>
                <w:webHidden/>
              </w:rPr>
              <w:fldChar w:fldCharType="separate"/>
            </w:r>
            <w:r w:rsidR="00BD4DB7">
              <w:rPr>
                <w:noProof/>
                <w:webHidden/>
              </w:rPr>
              <w:t>445</w:t>
            </w:r>
            <w:r w:rsidR="00BD4DB7">
              <w:rPr>
                <w:noProof/>
                <w:webHidden/>
              </w:rPr>
              <w:fldChar w:fldCharType="end"/>
            </w:r>
          </w:hyperlink>
        </w:p>
        <w:p w14:paraId="43144271" w14:textId="41973361"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65" w:history="1">
            <w:r w:rsidR="00BD4DB7" w:rsidRPr="0089237F">
              <w:rPr>
                <w:rStyle w:val="Hipervnculo"/>
                <w:rFonts w:eastAsia="Calibri"/>
                <w:noProof/>
              </w:rPr>
              <w:t>ACEPTACIÓN DE OPERACIONES</w:t>
            </w:r>
            <w:r w:rsidR="00BD4DB7">
              <w:rPr>
                <w:noProof/>
                <w:webHidden/>
              </w:rPr>
              <w:tab/>
            </w:r>
            <w:r w:rsidR="00BD4DB7">
              <w:rPr>
                <w:noProof/>
                <w:webHidden/>
              </w:rPr>
              <w:fldChar w:fldCharType="begin"/>
            </w:r>
            <w:r w:rsidR="00BD4DB7">
              <w:rPr>
                <w:noProof/>
                <w:webHidden/>
              </w:rPr>
              <w:instrText xml:space="preserve"> PAGEREF _Toc31716465 \h </w:instrText>
            </w:r>
            <w:r w:rsidR="00BD4DB7">
              <w:rPr>
                <w:noProof/>
                <w:webHidden/>
              </w:rPr>
            </w:r>
            <w:r w:rsidR="00BD4DB7">
              <w:rPr>
                <w:noProof/>
                <w:webHidden/>
              </w:rPr>
              <w:fldChar w:fldCharType="separate"/>
            </w:r>
            <w:r w:rsidR="00BD4DB7">
              <w:rPr>
                <w:noProof/>
                <w:webHidden/>
              </w:rPr>
              <w:t>445</w:t>
            </w:r>
            <w:r w:rsidR="00BD4DB7">
              <w:rPr>
                <w:noProof/>
                <w:webHidden/>
              </w:rPr>
              <w:fldChar w:fldCharType="end"/>
            </w:r>
          </w:hyperlink>
        </w:p>
        <w:p w14:paraId="7B45C18A" w14:textId="4630BD13"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66" w:history="1">
            <w:r w:rsidR="00BD4DB7" w:rsidRPr="0089237F">
              <w:rPr>
                <w:rStyle w:val="Hipervnculo"/>
                <w:rFonts w:eastAsia="Calibri"/>
                <w:noProof/>
              </w:rPr>
              <w:t>CAPÍTULO PRIMERO</w:t>
            </w:r>
            <w:r w:rsidR="00BD4DB7">
              <w:rPr>
                <w:noProof/>
                <w:webHidden/>
              </w:rPr>
              <w:tab/>
            </w:r>
            <w:r w:rsidR="00BD4DB7">
              <w:rPr>
                <w:noProof/>
                <w:webHidden/>
              </w:rPr>
              <w:fldChar w:fldCharType="begin"/>
            </w:r>
            <w:r w:rsidR="00BD4DB7">
              <w:rPr>
                <w:noProof/>
                <w:webHidden/>
              </w:rPr>
              <w:instrText xml:space="preserve"> PAGEREF _Toc31716466 \h </w:instrText>
            </w:r>
            <w:r w:rsidR="00BD4DB7">
              <w:rPr>
                <w:noProof/>
                <w:webHidden/>
              </w:rPr>
            </w:r>
            <w:r w:rsidR="00BD4DB7">
              <w:rPr>
                <w:noProof/>
                <w:webHidden/>
              </w:rPr>
              <w:fldChar w:fldCharType="separate"/>
            </w:r>
            <w:r w:rsidR="00BD4DB7">
              <w:rPr>
                <w:noProof/>
                <w:webHidden/>
              </w:rPr>
              <w:t>445</w:t>
            </w:r>
            <w:r w:rsidR="00BD4DB7">
              <w:rPr>
                <w:noProof/>
                <w:webHidden/>
              </w:rPr>
              <w:fldChar w:fldCharType="end"/>
            </w:r>
          </w:hyperlink>
        </w:p>
        <w:p w14:paraId="3E1EB8D4" w14:textId="520EA7CD"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67" w:history="1">
            <w:r w:rsidR="00BD4DB7" w:rsidRPr="0089237F">
              <w:rPr>
                <w:rStyle w:val="Hipervnculo"/>
                <w:rFonts w:eastAsia="Calibri"/>
                <w:noProof/>
              </w:rPr>
              <w:t>CONTROL DE RIESGO Y ACEPTACIÓN DE OPERACIONES PROVENIENTES DE SISTEMAS DE NEGOCIACIÓN Y/O REGISTRO O MECANISMOS DE CONTRATACIÓN</w:t>
            </w:r>
            <w:r w:rsidR="00BD4DB7">
              <w:rPr>
                <w:noProof/>
                <w:webHidden/>
              </w:rPr>
              <w:tab/>
            </w:r>
            <w:r w:rsidR="00BD4DB7">
              <w:rPr>
                <w:noProof/>
                <w:webHidden/>
              </w:rPr>
              <w:fldChar w:fldCharType="begin"/>
            </w:r>
            <w:r w:rsidR="00BD4DB7">
              <w:rPr>
                <w:noProof/>
                <w:webHidden/>
              </w:rPr>
              <w:instrText xml:space="preserve"> PAGEREF _Toc31716467 \h </w:instrText>
            </w:r>
            <w:r w:rsidR="00BD4DB7">
              <w:rPr>
                <w:noProof/>
                <w:webHidden/>
              </w:rPr>
            </w:r>
            <w:r w:rsidR="00BD4DB7">
              <w:rPr>
                <w:noProof/>
                <w:webHidden/>
              </w:rPr>
              <w:fldChar w:fldCharType="separate"/>
            </w:r>
            <w:r w:rsidR="00BD4DB7">
              <w:rPr>
                <w:noProof/>
                <w:webHidden/>
              </w:rPr>
              <w:t>445</w:t>
            </w:r>
            <w:r w:rsidR="00BD4DB7">
              <w:rPr>
                <w:noProof/>
                <w:webHidden/>
              </w:rPr>
              <w:fldChar w:fldCharType="end"/>
            </w:r>
          </w:hyperlink>
        </w:p>
        <w:p w14:paraId="3BA573DC" w14:textId="53553840"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68" w:history="1">
            <w:r w:rsidR="00BD4DB7" w:rsidRPr="0089237F">
              <w:rPr>
                <w:rStyle w:val="Hipervnculo"/>
                <w:noProof/>
              </w:rPr>
              <w:t>Artículo 5.2.1.1. Acuerdos con sistemas de negociación y/o registro o Mecanismos de Contratación para la Aceptación de Operaciones.</w:t>
            </w:r>
            <w:r w:rsidR="00BD4DB7">
              <w:rPr>
                <w:noProof/>
                <w:webHidden/>
              </w:rPr>
              <w:tab/>
            </w:r>
            <w:r w:rsidR="00BD4DB7">
              <w:rPr>
                <w:noProof/>
                <w:webHidden/>
              </w:rPr>
              <w:fldChar w:fldCharType="begin"/>
            </w:r>
            <w:r w:rsidR="00BD4DB7">
              <w:rPr>
                <w:noProof/>
                <w:webHidden/>
              </w:rPr>
              <w:instrText xml:space="preserve"> PAGEREF _Toc31716468 \h </w:instrText>
            </w:r>
            <w:r w:rsidR="00BD4DB7">
              <w:rPr>
                <w:noProof/>
                <w:webHidden/>
              </w:rPr>
            </w:r>
            <w:r w:rsidR="00BD4DB7">
              <w:rPr>
                <w:noProof/>
                <w:webHidden/>
              </w:rPr>
              <w:fldChar w:fldCharType="separate"/>
            </w:r>
            <w:r w:rsidR="00BD4DB7">
              <w:rPr>
                <w:noProof/>
                <w:webHidden/>
              </w:rPr>
              <w:t>445</w:t>
            </w:r>
            <w:r w:rsidR="00BD4DB7">
              <w:rPr>
                <w:noProof/>
                <w:webHidden/>
              </w:rPr>
              <w:fldChar w:fldCharType="end"/>
            </w:r>
          </w:hyperlink>
        </w:p>
        <w:p w14:paraId="555A8667" w14:textId="76750E7E"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69" w:history="1">
            <w:r w:rsidR="00BD4DB7" w:rsidRPr="0089237F">
              <w:rPr>
                <w:rStyle w:val="Hipervnculo"/>
                <w:noProof/>
              </w:rPr>
              <w:t>Artículo 5.2.1.2. Aceptación de Operaciones Swaps provenientes de sistemas de negociación y/o registro o Mecanismos de Contratación autorizados por la Cámara.</w:t>
            </w:r>
            <w:r w:rsidR="00BD4DB7">
              <w:rPr>
                <w:noProof/>
                <w:webHidden/>
              </w:rPr>
              <w:tab/>
            </w:r>
            <w:r w:rsidR="00BD4DB7">
              <w:rPr>
                <w:noProof/>
                <w:webHidden/>
              </w:rPr>
              <w:fldChar w:fldCharType="begin"/>
            </w:r>
            <w:r w:rsidR="00BD4DB7">
              <w:rPr>
                <w:noProof/>
                <w:webHidden/>
              </w:rPr>
              <w:instrText xml:space="preserve"> PAGEREF _Toc31716469 \h </w:instrText>
            </w:r>
            <w:r w:rsidR="00BD4DB7">
              <w:rPr>
                <w:noProof/>
                <w:webHidden/>
              </w:rPr>
            </w:r>
            <w:r w:rsidR="00BD4DB7">
              <w:rPr>
                <w:noProof/>
                <w:webHidden/>
              </w:rPr>
              <w:fldChar w:fldCharType="separate"/>
            </w:r>
            <w:r w:rsidR="00BD4DB7">
              <w:rPr>
                <w:noProof/>
                <w:webHidden/>
              </w:rPr>
              <w:t>445</w:t>
            </w:r>
            <w:r w:rsidR="00BD4DB7">
              <w:rPr>
                <w:noProof/>
                <w:webHidden/>
              </w:rPr>
              <w:fldChar w:fldCharType="end"/>
            </w:r>
          </w:hyperlink>
        </w:p>
        <w:p w14:paraId="0CE30233" w14:textId="5E74CBA8"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70" w:history="1">
            <w:r w:rsidR="00BD4DB7" w:rsidRPr="0089237F">
              <w:rPr>
                <w:rStyle w:val="Hipervnculo"/>
                <w:rFonts w:eastAsia="Calibri"/>
                <w:noProof/>
              </w:rPr>
              <w:t>CAPÍTULO SEGUNDO</w:t>
            </w:r>
            <w:r w:rsidR="00BD4DB7">
              <w:rPr>
                <w:noProof/>
                <w:webHidden/>
              </w:rPr>
              <w:tab/>
            </w:r>
            <w:r w:rsidR="00BD4DB7">
              <w:rPr>
                <w:noProof/>
                <w:webHidden/>
              </w:rPr>
              <w:fldChar w:fldCharType="begin"/>
            </w:r>
            <w:r w:rsidR="00BD4DB7">
              <w:rPr>
                <w:noProof/>
                <w:webHidden/>
              </w:rPr>
              <w:instrText xml:space="preserve"> PAGEREF _Toc31716470 \h </w:instrText>
            </w:r>
            <w:r w:rsidR="00BD4DB7">
              <w:rPr>
                <w:noProof/>
                <w:webHidden/>
              </w:rPr>
            </w:r>
            <w:r w:rsidR="00BD4DB7">
              <w:rPr>
                <w:noProof/>
                <w:webHidden/>
              </w:rPr>
              <w:fldChar w:fldCharType="separate"/>
            </w:r>
            <w:r w:rsidR="00BD4DB7">
              <w:rPr>
                <w:noProof/>
                <w:webHidden/>
              </w:rPr>
              <w:t>446</w:t>
            </w:r>
            <w:r w:rsidR="00BD4DB7">
              <w:rPr>
                <w:noProof/>
                <w:webHidden/>
              </w:rPr>
              <w:fldChar w:fldCharType="end"/>
            </w:r>
          </w:hyperlink>
        </w:p>
        <w:p w14:paraId="7BD81DC3" w14:textId="09DDB83F"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71" w:history="1">
            <w:r w:rsidR="00BD4DB7" w:rsidRPr="0089237F">
              <w:rPr>
                <w:rStyle w:val="Hipervnculo"/>
                <w:rFonts w:eastAsia="Calibri"/>
                <w:noProof/>
              </w:rPr>
              <w:t>RECHAZO DE OPERACIONES</w:t>
            </w:r>
            <w:r w:rsidR="00BD4DB7">
              <w:rPr>
                <w:noProof/>
                <w:webHidden/>
              </w:rPr>
              <w:tab/>
            </w:r>
            <w:r w:rsidR="00BD4DB7">
              <w:rPr>
                <w:noProof/>
                <w:webHidden/>
              </w:rPr>
              <w:fldChar w:fldCharType="begin"/>
            </w:r>
            <w:r w:rsidR="00BD4DB7">
              <w:rPr>
                <w:noProof/>
                <w:webHidden/>
              </w:rPr>
              <w:instrText xml:space="preserve"> PAGEREF _Toc31716471 \h </w:instrText>
            </w:r>
            <w:r w:rsidR="00BD4DB7">
              <w:rPr>
                <w:noProof/>
                <w:webHidden/>
              </w:rPr>
            </w:r>
            <w:r w:rsidR="00BD4DB7">
              <w:rPr>
                <w:noProof/>
                <w:webHidden/>
              </w:rPr>
              <w:fldChar w:fldCharType="separate"/>
            </w:r>
            <w:r w:rsidR="00BD4DB7">
              <w:rPr>
                <w:noProof/>
                <w:webHidden/>
              </w:rPr>
              <w:t>446</w:t>
            </w:r>
            <w:r w:rsidR="00BD4DB7">
              <w:rPr>
                <w:noProof/>
                <w:webHidden/>
              </w:rPr>
              <w:fldChar w:fldCharType="end"/>
            </w:r>
          </w:hyperlink>
        </w:p>
        <w:p w14:paraId="2CFACDBC" w14:textId="0AFC9DBA"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72" w:history="1">
            <w:r w:rsidR="00BD4DB7" w:rsidRPr="0089237F">
              <w:rPr>
                <w:rStyle w:val="Hipervnculo"/>
                <w:noProof/>
              </w:rPr>
              <w:t>Artículo 5.2.2.1. Rechazo de Operaciones Swaps provenientes de sistemas de negociación y/o registro o Mecanismos de Contratación autorizados por la Cámara.</w:t>
            </w:r>
            <w:r w:rsidR="00BD4DB7">
              <w:rPr>
                <w:noProof/>
                <w:webHidden/>
              </w:rPr>
              <w:tab/>
            </w:r>
            <w:r w:rsidR="00BD4DB7">
              <w:rPr>
                <w:noProof/>
                <w:webHidden/>
              </w:rPr>
              <w:fldChar w:fldCharType="begin"/>
            </w:r>
            <w:r w:rsidR="00BD4DB7">
              <w:rPr>
                <w:noProof/>
                <w:webHidden/>
              </w:rPr>
              <w:instrText xml:space="preserve"> PAGEREF _Toc31716472 \h </w:instrText>
            </w:r>
            <w:r w:rsidR="00BD4DB7">
              <w:rPr>
                <w:noProof/>
                <w:webHidden/>
              </w:rPr>
            </w:r>
            <w:r w:rsidR="00BD4DB7">
              <w:rPr>
                <w:noProof/>
                <w:webHidden/>
              </w:rPr>
              <w:fldChar w:fldCharType="separate"/>
            </w:r>
            <w:r w:rsidR="00BD4DB7">
              <w:rPr>
                <w:noProof/>
                <w:webHidden/>
              </w:rPr>
              <w:t>446</w:t>
            </w:r>
            <w:r w:rsidR="00BD4DB7">
              <w:rPr>
                <w:noProof/>
                <w:webHidden/>
              </w:rPr>
              <w:fldChar w:fldCharType="end"/>
            </w:r>
          </w:hyperlink>
        </w:p>
        <w:p w14:paraId="2CB35D92" w14:textId="5AF00A1E"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73" w:history="1">
            <w:r w:rsidR="00BD4DB7" w:rsidRPr="0089237F">
              <w:rPr>
                <w:rStyle w:val="Hipervnculo"/>
                <w:rFonts w:eastAsia="Calibri"/>
                <w:noProof/>
              </w:rPr>
              <w:t>CAPÍTULO TERCERO</w:t>
            </w:r>
            <w:r w:rsidR="00BD4DB7">
              <w:rPr>
                <w:noProof/>
                <w:webHidden/>
              </w:rPr>
              <w:tab/>
            </w:r>
            <w:r w:rsidR="00BD4DB7">
              <w:rPr>
                <w:noProof/>
                <w:webHidden/>
              </w:rPr>
              <w:fldChar w:fldCharType="begin"/>
            </w:r>
            <w:r w:rsidR="00BD4DB7">
              <w:rPr>
                <w:noProof/>
                <w:webHidden/>
              </w:rPr>
              <w:instrText xml:space="preserve"> PAGEREF _Toc31716473 \h </w:instrText>
            </w:r>
            <w:r w:rsidR="00BD4DB7">
              <w:rPr>
                <w:noProof/>
                <w:webHidden/>
              </w:rPr>
            </w:r>
            <w:r w:rsidR="00BD4DB7">
              <w:rPr>
                <w:noProof/>
                <w:webHidden/>
              </w:rPr>
              <w:fldChar w:fldCharType="separate"/>
            </w:r>
            <w:r w:rsidR="00BD4DB7">
              <w:rPr>
                <w:noProof/>
                <w:webHidden/>
              </w:rPr>
              <w:t>447</w:t>
            </w:r>
            <w:r w:rsidR="00BD4DB7">
              <w:rPr>
                <w:noProof/>
                <w:webHidden/>
              </w:rPr>
              <w:fldChar w:fldCharType="end"/>
            </w:r>
          </w:hyperlink>
        </w:p>
        <w:p w14:paraId="78196D52" w14:textId="40199518"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74" w:history="1">
            <w:r w:rsidR="00BD4DB7" w:rsidRPr="0089237F">
              <w:rPr>
                <w:rStyle w:val="Hipervnculo"/>
                <w:rFonts w:eastAsia="Calibri"/>
                <w:noProof/>
              </w:rPr>
              <w:t>ANULACIÓN Y CORRECCIÓN DE OPERACIONES</w:t>
            </w:r>
            <w:r w:rsidR="00BD4DB7">
              <w:rPr>
                <w:noProof/>
                <w:webHidden/>
              </w:rPr>
              <w:tab/>
            </w:r>
            <w:r w:rsidR="00BD4DB7">
              <w:rPr>
                <w:noProof/>
                <w:webHidden/>
              </w:rPr>
              <w:fldChar w:fldCharType="begin"/>
            </w:r>
            <w:r w:rsidR="00BD4DB7">
              <w:rPr>
                <w:noProof/>
                <w:webHidden/>
              </w:rPr>
              <w:instrText xml:space="preserve"> PAGEREF _Toc31716474 \h </w:instrText>
            </w:r>
            <w:r w:rsidR="00BD4DB7">
              <w:rPr>
                <w:noProof/>
                <w:webHidden/>
              </w:rPr>
            </w:r>
            <w:r w:rsidR="00BD4DB7">
              <w:rPr>
                <w:noProof/>
                <w:webHidden/>
              </w:rPr>
              <w:fldChar w:fldCharType="separate"/>
            </w:r>
            <w:r w:rsidR="00BD4DB7">
              <w:rPr>
                <w:noProof/>
                <w:webHidden/>
              </w:rPr>
              <w:t>447</w:t>
            </w:r>
            <w:r w:rsidR="00BD4DB7">
              <w:rPr>
                <w:noProof/>
                <w:webHidden/>
              </w:rPr>
              <w:fldChar w:fldCharType="end"/>
            </w:r>
          </w:hyperlink>
        </w:p>
        <w:p w14:paraId="0283E757" w14:textId="7308A830"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75" w:history="1">
            <w:r w:rsidR="00BD4DB7" w:rsidRPr="0089237F">
              <w:rPr>
                <w:rStyle w:val="Hipervnculo"/>
                <w:noProof/>
              </w:rPr>
              <w:t>Artículo 5.2.3.1. Procedimiento de anulación de Operaciones</w:t>
            </w:r>
            <w:r w:rsidR="00BD4DB7" w:rsidRPr="0089237F">
              <w:rPr>
                <w:rStyle w:val="Hipervnculo"/>
                <w:rFonts w:eastAsia="Calibri" w:cs="Times New Roman"/>
                <w:noProof/>
              </w:rPr>
              <w:t>.</w:t>
            </w:r>
            <w:r w:rsidR="00BD4DB7">
              <w:rPr>
                <w:noProof/>
                <w:webHidden/>
              </w:rPr>
              <w:tab/>
            </w:r>
            <w:r w:rsidR="00BD4DB7">
              <w:rPr>
                <w:noProof/>
                <w:webHidden/>
              </w:rPr>
              <w:fldChar w:fldCharType="begin"/>
            </w:r>
            <w:r w:rsidR="00BD4DB7">
              <w:rPr>
                <w:noProof/>
                <w:webHidden/>
              </w:rPr>
              <w:instrText xml:space="preserve"> PAGEREF _Toc31716475 \h </w:instrText>
            </w:r>
            <w:r w:rsidR="00BD4DB7">
              <w:rPr>
                <w:noProof/>
                <w:webHidden/>
              </w:rPr>
            </w:r>
            <w:r w:rsidR="00BD4DB7">
              <w:rPr>
                <w:noProof/>
                <w:webHidden/>
              </w:rPr>
              <w:fldChar w:fldCharType="separate"/>
            </w:r>
            <w:r w:rsidR="00BD4DB7">
              <w:rPr>
                <w:noProof/>
                <w:webHidden/>
              </w:rPr>
              <w:t>447</w:t>
            </w:r>
            <w:r w:rsidR="00BD4DB7">
              <w:rPr>
                <w:noProof/>
                <w:webHidden/>
              </w:rPr>
              <w:fldChar w:fldCharType="end"/>
            </w:r>
          </w:hyperlink>
        </w:p>
        <w:p w14:paraId="194EB486" w14:textId="2BE3DA28"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76" w:history="1">
            <w:r w:rsidR="00BD4DB7" w:rsidRPr="0089237F">
              <w:rPr>
                <w:rStyle w:val="Hipervnculo"/>
                <w:noProof/>
              </w:rPr>
              <w:t>(Este artículo fue modificado y mediante Circular 19 del 22 de noviembre de 2019, publicada en el Boletín Normativo No. 034 del 22 de noviembre de 2019. Rige a partir del 25 de noviembre de 2019).</w:t>
            </w:r>
            <w:r w:rsidR="00BD4DB7">
              <w:rPr>
                <w:noProof/>
                <w:webHidden/>
              </w:rPr>
              <w:tab/>
            </w:r>
            <w:r w:rsidR="00BD4DB7">
              <w:rPr>
                <w:noProof/>
                <w:webHidden/>
              </w:rPr>
              <w:fldChar w:fldCharType="begin"/>
            </w:r>
            <w:r w:rsidR="00BD4DB7">
              <w:rPr>
                <w:noProof/>
                <w:webHidden/>
              </w:rPr>
              <w:instrText xml:space="preserve"> PAGEREF _Toc31716476 \h </w:instrText>
            </w:r>
            <w:r w:rsidR="00BD4DB7">
              <w:rPr>
                <w:noProof/>
                <w:webHidden/>
              </w:rPr>
            </w:r>
            <w:r w:rsidR="00BD4DB7">
              <w:rPr>
                <w:noProof/>
                <w:webHidden/>
              </w:rPr>
              <w:fldChar w:fldCharType="separate"/>
            </w:r>
            <w:r w:rsidR="00BD4DB7">
              <w:rPr>
                <w:noProof/>
                <w:webHidden/>
              </w:rPr>
              <w:t>447</w:t>
            </w:r>
            <w:r w:rsidR="00BD4DB7">
              <w:rPr>
                <w:noProof/>
                <w:webHidden/>
              </w:rPr>
              <w:fldChar w:fldCharType="end"/>
            </w:r>
          </w:hyperlink>
        </w:p>
        <w:p w14:paraId="7B7029D5" w14:textId="3A4E4710"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77" w:history="1">
            <w:r w:rsidR="00BD4DB7" w:rsidRPr="0089237F">
              <w:rPr>
                <w:rStyle w:val="Hipervnculo"/>
                <w:noProof/>
              </w:rPr>
              <w:t>Artículo 5.2.3.2. Corrección de Operaciones</w:t>
            </w:r>
            <w:r w:rsidR="00BD4DB7" w:rsidRPr="0089237F">
              <w:rPr>
                <w:rStyle w:val="Hipervnculo"/>
                <w:rFonts w:eastAsia="Calibri" w:cs="Times New Roman"/>
                <w:noProof/>
              </w:rPr>
              <w:t>.</w:t>
            </w:r>
            <w:r w:rsidR="00BD4DB7">
              <w:rPr>
                <w:noProof/>
                <w:webHidden/>
              </w:rPr>
              <w:tab/>
            </w:r>
            <w:r w:rsidR="00BD4DB7">
              <w:rPr>
                <w:noProof/>
                <w:webHidden/>
              </w:rPr>
              <w:fldChar w:fldCharType="begin"/>
            </w:r>
            <w:r w:rsidR="00BD4DB7">
              <w:rPr>
                <w:noProof/>
                <w:webHidden/>
              </w:rPr>
              <w:instrText xml:space="preserve"> PAGEREF _Toc31716477 \h </w:instrText>
            </w:r>
            <w:r w:rsidR="00BD4DB7">
              <w:rPr>
                <w:noProof/>
                <w:webHidden/>
              </w:rPr>
            </w:r>
            <w:r w:rsidR="00BD4DB7">
              <w:rPr>
                <w:noProof/>
                <w:webHidden/>
              </w:rPr>
              <w:fldChar w:fldCharType="separate"/>
            </w:r>
            <w:r w:rsidR="00BD4DB7">
              <w:rPr>
                <w:noProof/>
                <w:webHidden/>
              </w:rPr>
              <w:t>448</w:t>
            </w:r>
            <w:r w:rsidR="00BD4DB7">
              <w:rPr>
                <w:noProof/>
                <w:webHidden/>
              </w:rPr>
              <w:fldChar w:fldCharType="end"/>
            </w:r>
          </w:hyperlink>
        </w:p>
        <w:p w14:paraId="1901C738" w14:textId="21DEA279"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78" w:history="1">
            <w:r w:rsidR="00BD4DB7" w:rsidRPr="0089237F">
              <w:rPr>
                <w:rStyle w:val="Hipervnculo"/>
                <w:rFonts w:eastAsia="Calibri"/>
                <w:noProof/>
              </w:rPr>
              <w:t>TÍTULO TERCERO</w:t>
            </w:r>
            <w:r w:rsidR="00BD4DB7">
              <w:rPr>
                <w:noProof/>
                <w:webHidden/>
              </w:rPr>
              <w:tab/>
            </w:r>
            <w:r w:rsidR="00BD4DB7">
              <w:rPr>
                <w:noProof/>
                <w:webHidden/>
              </w:rPr>
              <w:fldChar w:fldCharType="begin"/>
            </w:r>
            <w:r w:rsidR="00BD4DB7">
              <w:rPr>
                <w:noProof/>
                <w:webHidden/>
              </w:rPr>
              <w:instrText xml:space="preserve"> PAGEREF _Toc31716478 \h </w:instrText>
            </w:r>
            <w:r w:rsidR="00BD4DB7">
              <w:rPr>
                <w:noProof/>
                <w:webHidden/>
              </w:rPr>
            </w:r>
            <w:r w:rsidR="00BD4DB7">
              <w:rPr>
                <w:noProof/>
                <w:webHidden/>
              </w:rPr>
              <w:fldChar w:fldCharType="separate"/>
            </w:r>
            <w:r w:rsidR="00BD4DB7">
              <w:rPr>
                <w:noProof/>
                <w:webHidden/>
              </w:rPr>
              <w:t>448</w:t>
            </w:r>
            <w:r w:rsidR="00BD4DB7">
              <w:rPr>
                <w:noProof/>
                <w:webHidden/>
              </w:rPr>
              <w:fldChar w:fldCharType="end"/>
            </w:r>
          </w:hyperlink>
        </w:p>
        <w:p w14:paraId="7444661D" w14:textId="4B568CEF"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79" w:history="1">
            <w:r w:rsidR="00BD4DB7" w:rsidRPr="0089237F">
              <w:rPr>
                <w:rStyle w:val="Hipervnculo"/>
                <w:rFonts w:eastAsia="Calibri"/>
                <w:noProof/>
              </w:rPr>
              <w:t>CUENTAS Y GESTIÓN DE OPERACIONES</w:t>
            </w:r>
            <w:r w:rsidR="00BD4DB7">
              <w:rPr>
                <w:noProof/>
                <w:webHidden/>
              </w:rPr>
              <w:tab/>
            </w:r>
            <w:r w:rsidR="00BD4DB7">
              <w:rPr>
                <w:noProof/>
                <w:webHidden/>
              </w:rPr>
              <w:fldChar w:fldCharType="begin"/>
            </w:r>
            <w:r w:rsidR="00BD4DB7">
              <w:rPr>
                <w:noProof/>
                <w:webHidden/>
              </w:rPr>
              <w:instrText xml:space="preserve"> PAGEREF _Toc31716479 \h </w:instrText>
            </w:r>
            <w:r w:rsidR="00BD4DB7">
              <w:rPr>
                <w:noProof/>
                <w:webHidden/>
              </w:rPr>
            </w:r>
            <w:r w:rsidR="00BD4DB7">
              <w:rPr>
                <w:noProof/>
                <w:webHidden/>
              </w:rPr>
              <w:fldChar w:fldCharType="separate"/>
            </w:r>
            <w:r w:rsidR="00BD4DB7">
              <w:rPr>
                <w:noProof/>
                <w:webHidden/>
              </w:rPr>
              <w:t>448</w:t>
            </w:r>
            <w:r w:rsidR="00BD4DB7">
              <w:rPr>
                <w:noProof/>
                <w:webHidden/>
              </w:rPr>
              <w:fldChar w:fldCharType="end"/>
            </w:r>
          </w:hyperlink>
        </w:p>
        <w:p w14:paraId="7F0E5E44" w14:textId="6057E2CD"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80" w:history="1">
            <w:r w:rsidR="00BD4DB7" w:rsidRPr="0089237F">
              <w:rPr>
                <w:rStyle w:val="Hipervnculo"/>
                <w:rFonts w:eastAsia="Calibri"/>
                <w:noProof/>
              </w:rPr>
              <w:t>CAPÍTULO PRIMERO</w:t>
            </w:r>
            <w:r w:rsidR="00BD4DB7">
              <w:rPr>
                <w:noProof/>
                <w:webHidden/>
              </w:rPr>
              <w:tab/>
            </w:r>
            <w:r w:rsidR="00BD4DB7">
              <w:rPr>
                <w:noProof/>
                <w:webHidden/>
              </w:rPr>
              <w:fldChar w:fldCharType="begin"/>
            </w:r>
            <w:r w:rsidR="00BD4DB7">
              <w:rPr>
                <w:noProof/>
                <w:webHidden/>
              </w:rPr>
              <w:instrText xml:space="preserve"> PAGEREF _Toc31716480 \h </w:instrText>
            </w:r>
            <w:r w:rsidR="00BD4DB7">
              <w:rPr>
                <w:noProof/>
                <w:webHidden/>
              </w:rPr>
            </w:r>
            <w:r w:rsidR="00BD4DB7">
              <w:rPr>
                <w:noProof/>
                <w:webHidden/>
              </w:rPr>
              <w:fldChar w:fldCharType="separate"/>
            </w:r>
            <w:r w:rsidR="00BD4DB7">
              <w:rPr>
                <w:noProof/>
                <w:webHidden/>
              </w:rPr>
              <w:t>448</w:t>
            </w:r>
            <w:r w:rsidR="00BD4DB7">
              <w:rPr>
                <w:noProof/>
                <w:webHidden/>
              </w:rPr>
              <w:fldChar w:fldCharType="end"/>
            </w:r>
          </w:hyperlink>
        </w:p>
        <w:p w14:paraId="65436118" w14:textId="3D414DE6"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81" w:history="1">
            <w:r w:rsidR="00BD4DB7" w:rsidRPr="0089237F">
              <w:rPr>
                <w:rStyle w:val="Hipervnculo"/>
                <w:rFonts w:eastAsia="Calibri"/>
                <w:noProof/>
              </w:rPr>
              <w:t>CUENTAS</w:t>
            </w:r>
            <w:r w:rsidR="00BD4DB7">
              <w:rPr>
                <w:noProof/>
                <w:webHidden/>
              </w:rPr>
              <w:tab/>
            </w:r>
            <w:r w:rsidR="00BD4DB7">
              <w:rPr>
                <w:noProof/>
                <w:webHidden/>
              </w:rPr>
              <w:fldChar w:fldCharType="begin"/>
            </w:r>
            <w:r w:rsidR="00BD4DB7">
              <w:rPr>
                <w:noProof/>
                <w:webHidden/>
              </w:rPr>
              <w:instrText xml:space="preserve"> PAGEREF _Toc31716481 \h </w:instrText>
            </w:r>
            <w:r w:rsidR="00BD4DB7">
              <w:rPr>
                <w:noProof/>
                <w:webHidden/>
              </w:rPr>
            </w:r>
            <w:r w:rsidR="00BD4DB7">
              <w:rPr>
                <w:noProof/>
                <w:webHidden/>
              </w:rPr>
              <w:fldChar w:fldCharType="separate"/>
            </w:r>
            <w:r w:rsidR="00BD4DB7">
              <w:rPr>
                <w:noProof/>
                <w:webHidden/>
              </w:rPr>
              <w:t>448</w:t>
            </w:r>
            <w:r w:rsidR="00BD4DB7">
              <w:rPr>
                <w:noProof/>
                <w:webHidden/>
              </w:rPr>
              <w:fldChar w:fldCharType="end"/>
            </w:r>
          </w:hyperlink>
        </w:p>
        <w:p w14:paraId="64F0C270" w14:textId="4C4A1A1F"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82" w:history="1">
            <w:r w:rsidR="00BD4DB7" w:rsidRPr="0089237F">
              <w:rPr>
                <w:rStyle w:val="Hipervnculo"/>
                <w:noProof/>
              </w:rPr>
              <w:t>Artículo 5.3.1.1. Proceso de Creación de Cuentas en el Sistema de la Cámara.</w:t>
            </w:r>
            <w:r w:rsidR="00BD4DB7">
              <w:rPr>
                <w:noProof/>
                <w:webHidden/>
              </w:rPr>
              <w:tab/>
            </w:r>
            <w:r w:rsidR="00BD4DB7">
              <w:rPr>
                <w:noProof/>
                <w:webHidden/>
              </w:rPr>
              <w:fldChar w:fldCharType="begin"/>
            </w:r>
            <w:r w:rsidR="00BD4DB7">
              <w:rPr>
                <w:noProof/>
                <w:webHidden/>
              </w:rPr>
              <w:instrText xml:space="preserve"> PAGEREF _Toc31716482 \h </w:instrText>
            </w:r>
            <w:r w:rsidR="00BD4DB7">
              <w:rPr>
                <w:noProof/>
                <w:webHidden/>
              </w:rPr>
            </w:r>
            <w:r w:rsidR="00BD4DB7">
              <w:rPr>
                <w:noProof/>
                <w:webHidden/>
              </w:rPr>
              <w:fldChar w:fldCharType="separate"/>
            </w:r>
            <w:r w:rsidR="00BD4DB7">
              <w:rPr>
                <w:noProof/>
                <w:webHidden/>
              </w:rPr>
              <w:t>448</w:t>
            </w:r>
            <w:r w:rsidR="00BD4DB7">
              <w:rPr>
                <w:noProof/>
                <w:webHidden/>
              </w:rPr>
              <w:fldChar w:fldCharType="end"/>
            </w:r>
          </w:hyperlink>
        </w:p>
        <w:p w14:paraId="03603209" w14:textId="374FF4E8"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83" w:history="1">
            <w:r w:rsidR="00BD4DB7" w:rsidRPr="0089237F">
              <w:rPr>
                <w:rStyle w:val="Hipervnculo"/>
                <w:noProof/>
              </w:rPr>
              <w:t>Artículo 5.3.1.2.  Asignación de operaciones</w:t>
            </w:r>
            <w:r w:rsidR="00BD4DB7" w:rsidRPr="0089237F">
              <w:rPr>
                <w:rStyle w:val="Hipervnculo"/>
                <w:rFonts w:eastAsia="Calibri"/>
                <w:noProof/>
              </w:rPr>
              <w:t>.</w:t>
            </w:r>
            <w:r w:rsidR="00BD4DB7">
              <w:rPr>
                <w:noProof/>
                <w:webHidden/>
              </w:rPr>
              <w:tab/>
            </w:r>
            <w:r w:rsidR="00BD4DB7">
              <w:rPr>
                <w:noProof/>
                <w:webHidden/>
              </w:rPr>
              <w:fldChar w:fldCharType="begin"/>
            </w:r>
            <w:r w:rsidR="00BD4DB7">
              <w:rPr>
                <w:noProof/>
                <w:webHidden/>
              </w:rPr>
              <w:instrText xml:space="preserve"> PAGEREF _Toc31716483 \h </w:instrText>
            </w:r>
            <w:r w:rsidR="00BD4DB7">
              <w:rPr>
                <w:noProof/>
                <w:webHidden/>
              </w:rPr>
            </w:r>
            <w:r w:rsidR="00BD4DB7">
              <w:rPr>
                <w:noProof/>
                <w:webHidden/>
              </w:rPr>
              <w:fldChar w:fldCharType="separate"/>
            </w:r>
            <w:r w:rsidR="00BD4DB7">
              <w:rPr>
                <w:noProof/>
                <w:webHidden/>
              </w:rPr>
              <w:t>448</w:t>
            </w:r>
            <w:r w:rsidR="00BD4DB7">
              <w:rPr>
                <w:noProof/>
                <w:webHidden/>
              </w:rPr>
              <w:fldChar w:fldCharType="end"/>
            </w:r>
          </w:hyperlink>
        </w:p>
        <w:p w14:paraId="1C6C339A" w14:textId="4CBF8135"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84" w:history="1">
            <w:r w:rsidR="00BD4DB7" w:rsidRPr="0089237F">
              <w:rPr>
                <w:rStyle w:val="Hipervnculo"/>
                <w:noProof/>
              </w:rPr>
              <w:t>Artículo 5.3.1.3. Traspaso de Operaciones Aceptadas</w:t>
            </w:r>
            <w:r w:rsidR="00BD4DB7" w:rsidRPr="0089237F">
              <w:rPr>
                <w:rStyle w:val="Hipervnculo"/>
                <w:rFonts w:eastAsia="Calibri"/>
                <w:noProof/>
              </w:rPr>
              <w:t>.</w:t>
            </w:r>
            <w:r w:rsidR="00BD4DB7">
              <w:rPr>
                <w:noProof/>
                <w:webHidden/>
              </w:rPr>
              <w:tab/>
            </w:r>
            <w:r w:rsidR="00BD4DB7">
              <w:rPr>
                <w:noProof/>
                <w:webHidden/>
              </w:rPr>
              <w:fldChar w:fldCharType="begin"/>
            </w:r>
            <w:r w:rsidR="00BD4DB7">
              <w:rPr>
                <w:noProof/>
                <w:webHidden/>
              </w:rPr>
              <w:instrText xml:space="preserve"> PAGEREF _Toc31716484 \h </w:instrText>
            </w:r>
            <w:r w:rsidR="00BD4DB7">
              <w:rPr>
                <w:noProof/>
                <w:webHidden/>
              </w:rPr>
            </w:r>
            <w:r w:rsidR="00BD4DB7">
              <w:rPr>
                <w:noProof/>
                <w:webHidden/>
              </w:rPr>
              <w:fldChar w:fldCharType="separate"/>
            </w:r>
            <w:r w:rsidR="00BD4DB7">
              <w:rPr>
                <w:noProof/>
                <w:webHidden/>
              </w:rPr>
              <w:t>449</w:t>
            </w:r>
            <w:r w:rsidR="00BD4DB7">
              <w:rPr>
                <w:noProof/>
                <w:webHidden/>
              </w:rPr>
              <w:fldChar w:fldCharType="end"/>
            </w:r>
          </w:hyperlink>
        </w:p>
        <w:p w14:paraId="7E04547D" w14:textId="748546BA"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85" w:history="1">
            <w:r w:rsidR="00BD4DB7" w:rsidRPr="0089237F">
              <w:rPr>
                <w:rStyle w:val="Hipervnculo"/>
                <w:noProof/>
              </w:rPr>
              <w:t>Artículo 5.3.1.4. Traspaso de Posición Abierta</w:t>
            </w:r>
            <w:r w:rsidR="00BD4DB7" w:rsidRPr="0089237F">
              <w:rPr>
                <w:rStyle w:val="Hipervnculo"/>
                <w:rFonts w:eastAsia="Calibri"/>
                <w:noProof/>
              </w:rPr>
              <w:t>.</w:t>
            </w:r>
            <w:r w:rsidR="00BD4DB7">
              <w:rPr>
                <w:noProof/>
                <w:webHidden/>
              </w:rPr>
              <w:tab/>
            </w:r>
            <w:r w:rsidR="00BD4DB7">
              <w:rPr>
                <w:noProof/>
                <w:webHidden/>
              </w:rPr>
              <w:fldChar w:fldCharType="begin"/>
            </w:r>
            <w:r w:rsidR="00BD4DB7">
              <w:rPr>
                <w:noProof/>
                <w:webHidden/>
              </w:rPr>
              <w:instrText xml:space="preserve"> PAGEREF _Toc31716485 \h </w:instrText>
            </w:r>
            <w:r w:rsidR="00BD4DB7">
              <w:rPr>
                <w:noProof/>
                <w:webHidden/>
              </w:rPr>
            </w:r>
            <w:r w:rsidR="00BD4DB7">
              <w:rPr>
                <w:noProof/>
                <w:webHidden/>
              </w:rPr>
              <w:fldChar w:fldCharType="separate"/>
            </w:r>
            <w:r w:rsidR="00BD4DB7">
              <w:rPr>
                <w:noProof/>
                <w:webHidden/>
              </w:rPr>
              <w:t>449</w:t>
            </w:r>
            <w:r w:rsidR="00BD4DB7">
              <w:rPr>
                <w:noProof/>
                <w:webHidden/>
              </w:rPr>
              <w:fldChar w:fldCharType="end"/>
            </w:r>
          </w:hyperlink>
        </w:p>
        <w:p w14:paraId="072A2C6F" w14:textId="58CCBB55"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86" w:history="1">
            <w:r w:rsidR="00BD4DB7" w:rsidRPr="0089237F">
              <w:rPr>
                <w:rStyle w:val="Hipervnculo"/>
                <w:noProof/>
              </w:rPr>
              <w:t>Artículo 5.3.1.5. Give Up.</w:t>
            </w:r>
            <w:r w:rsidR="00BD4DB7">
              <w:rPr>
                <w:noProof/>
                <w:webHidden/>
              </w:rPr>
              <w:tab/>
            </w:r>
            <w:r w:rsidR="00BD4DB7">
              <w:rPr>
                <w:noProof/>
                <w:webHidden/>
              </w:rPr>
              <w:fldChar w:fldCharType="begin"/>
            </w:r>
            <w:r w:rsidR="00BD4DB7">
              <w:rPr>
                <w:noProof/>
                <w:webHidden/>
              </w:rPr>
              <w:instrText xml:space="preserve"> PAGEREF _Toc31716486 \h </w:instrText>
            </w:r>
            <w:r w:rsidR="00BD4DB7">
              <w:rPr>
                <w:noProof/>
                <w:webHidden/>
              </w:rPr>
            </w:r>
            <w:r w:rsidR="00BD4DB7">
              <w:rPr>
                <w:noProof/>
                <w:webHidden/>
              </w:rPr>
              <w:fldChar w:fldCharType="separate"/>
            </w:r>
            <w:r w:rsidR="00BD4DB7">
              <w:rPr>
                <w:noProof/>
                <w:webHidden/>
              </w:rPr>
              <w:t>449</w:t>
            </w:r>
            <w:r w:rsidR="00BD4DB7">
              <w:rPr>
                <w:noProof/>
                <w:webHidden/>
              </w:rPr>
              <w:fldChar w:fldCharType="end"/>
            </w:r>
          </w:hyperlink>
        </w:p>
        <w:p w14:paraId="77F75CE3" w14:textId="5B44F94D"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87" w:history="1">
            <w:r w:rsidR="00BD4DB7" w:rsidRPr="0089237F">
              <w:rPr>
                <w:rStyle w:val="Hipervnculo"/>
                <w:rFonts w:eastAsia="Calibri"/>
                <w:noProof/>
              </w:rPr>
              <w:t>TÍTULO CUARTO</w:t>
            </w:r>
            <w:r w:rsidR="00BD4DB7">
              <w:rPr>
                <w:noProof/>
                <w:webHidden/>
              </w:rPr>
              <w:tab/>
            </w:r>
            <w:r w:rsidR="00BD4DB7">
              <w:rPr>
                <w:noProof/>
                <w:webHidden/>
              </w:rPr>
              <w:fldChar w:fldCharType="begin"/>
            </w:r>
            <w:r w:rsidR="00BD4DB7">
              <w:rPr>
                <w:noProof/>
                <w:webHidden/>
              </w:rPr>
              <w:instrText xml:space="preserve"> PAGEREF _Toc31716487 \h </w:instrText>
            </w:r>
            <w:r w:rsidR="00BD4DB7">
              <w:rPr>
                <w:noProof/>
                <w:webHidden/>
              </w:rPr>
            </w:r>
            <w:r w:rsidR="00BD4DB7">
              <w:rPr>
                <w:noProof/>
                <w:webHidden/>
              </w:rPr>
              <w:fldChar w:fldCharType="separate"/>
            </w:r>
            <w:r w:rsidR="00BD4DB7">
              <w:rPr>
                <w:noProof/>
                <w:webHidden/>
              </w:rPr>
              <w:t>449</w:t>
            </w:r>
            <w:r w:rsidR="00BD4DB7">
              <w:rPr>
                <w:noProof/>
                <w:webHidden/>
              </w:rPr>
              <w:fldChar w:fldCharType="end"/>
            </w:r>
          </w:hyperlink>
        </w:p>
        <w:p w14:paraId="67B36401" w14:textId="12EC7A14"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88" w:history="1">
            <w:r w:rsidR="00BD4DB7" w:rsidRPr="0089237F">
              <w:rPr>
                <w:rStyle w:val="Hipervnculo"/>
                <w:rFonts w:eastAsia="Calibri"/>
                <w:noProof/>
              </w:rPr>
              <w:t>COMPENSACIÓN Y LIQUIDACIÓN DE OPERACIONES</w:t>
            </w:r>
            <w:r w:rsidR="00BD4DB7">
              <w:rPr>
                <w:noProof/>
                <w:webHidden/>
              </w:rPr>
              <w:tab/>
            </w:r>
            <w:r w:rsidR="00BD4DB7">
              <w:rPr>
                <w:noProof/>
                <w:webHidden/>
              </w:rPr>
              <w:fldChar w:fldCharType="begin"/>
            </w:r>
            <w:r w:rsidR="00BD4DB7">
              <w:rPr>
                <w:noProof/>
                <w:webHidden/>
              </w:rPr>
              <w:instrText xml:space="preserve"> PAGEREF _Toc31716488 \h </w:instrText>
            </w:r>
            <w:r w:rsidR="00BD4DB7">
              <w:rPr>
                <w:noProof/>
                <w:webHidden/>
              </w:rPr>
            </w:r>
            <w:r w:rsidR="00BD4DB7">
              <w:rPr>
                <w:noProof/>
                <w:webHidden/>
              </w:rPr>
              <w:fldChar w:fldCharType="separate"/>
            </w:r>
            <w:r w:rsidR="00BD4DB7">
              <w:rPr>
                <w:noProof/>
                <w:webHidden/>
              </w:rPr>
              <w:t>449</w:t>
            </w:r>
            <w:r w:rsidR="00BD4DB7">
              <w:rPr>
                <w:noProof/>
                <w:webHidden/>
              </w:rPr>
              <w:fldChar w:fldCharType="end"/>
            </w:r>
          </w:hyperlink>
        </w:p>
        <w:p w14:paraId="681057CC" w14:textId="7B311A72"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89" w:history="1">
            <w:r w:rsidR="00BD4DB7" w:rsidRPr="0089237F">
              <w:rPr>
                <w:rStyle w:val="Hipervnculo"/>
                <w:rFonts w:eastAsia="Calibri"/>
                <w:noProof/>
              </w:rPr>
              <w:t>CAPÍTULO PRIMERO</w:t>
            </w:r>
            <w:r w:rsidR="00BD4DB7">
              <w:rPr>
                <w:noProof/>
                <w:webHidden/>
              </w:rPr>
              <w:tab/>
            </w:r>
            <w:r w:rsidR="00BD4DB7">
              <w:rPr>
                <w:noProof/>
                <w:webHidden/>
              </w:rPr>
              <w:fldChar w:fldCharType="begin"/>
            </w:r>
            <w:r w:rsidR="00BD4DB7">
              <w:rPr>
                <w:noProof/>
                <w:webHidden/>
              </w:rPr>
              <w:instrText xml:space="preserve"> PAGEREF _Toc31716489 \h </w:instrText>
            </w:r>
            <w:r w:rsidR="00BD4DB7">
              <w:rPr>
                <w:noProof/>
                <w:webHidden/>
              </w:rPr>
            </w:r>
            <w:r w:rsidR="00BD4DB7">
              <w:rPr>
                <w:noProof/>
                <w:webHidden/>
              </w:rPr>
              <w:fldChar w:fldCharType="separate"/>
            </w:r>
            <w:r w:rsidR="00BD4DB7">
              <w:rPr>
                <w:noProof/>
                <w:webHidden/>
              </w:rPr>
              <w:t>449</w:t>
            </w:r>
            <w:r w:rsidR="00BD4DB7">
              <w:rPr>
                <w:noProof/>
                <w:webHidden/>
              </w:rPr>
              <w:fldChar w:fldCharType="end"/>
            </w:r>
          </w:hyperlink>
        </w:p>
        <w:p w14:paraId="56051A5B" w14:textId="7A1205DF"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90" w:history="1">
            <w:r w:rsidR="00BD4DB7" w:rsidRPr="0089237F">
              <w:rPr>
                <w:rStyle w:val="Hipervnculo"/>
                <w:rFonts w:eastAsia="Calibri"/>
                <w:noProof/>
              </w:rPr>
              <w:t>COMPENSACIÓN DE OPERACIONES SWAPS</w:t>
            </w:r>
            <w:r w:rsidR="00BD4DB7">
              <w:rPr>
                <w:noProof/>
                <w:webHidden/>
              </w:rPr>
              <w:tab/>
            </w:r>
            <w:r w:rsidR="00BD4DB7">
              <w:rPr>
                <w:noProof/>
                <w:webHidden/>
              </w:rPr>
              <w:fldChar w:fldCharType="begin"/>
            </w:r>
            <w:r w:rsidR="00BD4DB7">
              <w:rPr>
                <w:noProof/>
                <w:webHidden/>
              </w:rPr>
              <w:instrText xml:space="preserve"> PAGEREF _Toc31716490 \h </w:instrText>
            </w:r>
            <w:r w:rsidR="00BD4DB7">
              <w:rPr>
                <w:noProof/>
                <w:webHidden/>
              </w:rPr>
            </w:r>
            <w:r w:rsidR="00BD4DB7">
              <w:rPr>
                <w:noProof/>
                <w:webHidden/>
              </w:rPr>
              <w:fldChar w:fldCharType="separate"/>
            </w:r>
            <w:r w:rsidR="00BD4DB7">
              <w:rPr>
                <w:noProof/>
                <w:webHidden/>
              </w:rPr>
              <w:t>449</w:t>
            </w:r>
            <w:r w:rsidR="00BD4DB7">
              <w:rPr>
                <w:noProof/>
                <w:webHidden/>
              </w:rPr>
              <w:fldChar w:fldCharType="end"/>
            </w:r>
          </w:hyperlink>
        </w:p>
        <w:p w14:paraId="1CD0E875" w14:textId="4823D8D9"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91" w:history="1">
            <w:r w:rsidR="00BD4DB7" w:rsidRPr="0089237F">
              <w:rPr>
                <w:rStyle w:val="Hipervnculo"/>
                <w:noProof/>
              </w:rPr>
              <w:t>Artículo 5.4.1.1.  Compensación de efectivo.</w:t>
            </w:r>
            <w:r w:rsidR="00BD4DB7">
              <w:rPr>
                <w:noProof/>
                <w:webHidden/>
              </w:rPr>
              <w:tab/>
            </w:r>
            <w:r w:rsidR="00BD4DB7">
              <w:rPr>
                <w:noProof/>
                <w:webHidden/>
              </w:rPr>
              <w:fldChar w:fldCharType="begin"/>
            </w:r>
            <w:r w:rsidR="00BD4DB7">
              <w:rPr>
                <w:noProof/>
                <w:webHidden/>
              </w:rPr>
              <w:instrText xml:space="preserve"> PAGEREF _Toc31716491 \h </w:instrText>
            </w:r>
            <w:r w:rsidR="00BD4DB7">
              <w:rPr>
                <w:noProof/>
                <w:webHidden/>
              </w:rPr>
            </w:r>
            <w:r w:rsidR="00BD4DB7">
              <w:rPr>
                <w:noProof/>
                <w:webHidden/>
              </w:rPr>
              <w:fldChar w:fldCharType="separate"/>
            </w:r>
            <w:r w:rsidR="00BD4DB7">
              <w:rPr>
                <w:noProof/>
                <w:webHidden/>
              </w:rPr>
              <w:t>449</w:t>
            </w:r>
            <w:r w:rsidR="00BD4DB7">
              <w:rPr>
                <w:noProof/>
                <w:webHidden/>
              </w:rPr>
              <w:fldChar w:fldCharType="end"/>
            </w:r>
          </w:hyperlink>
        </w:p>
        <w:p w14:paraId="15728A5A" w14:textId="28D1DD55"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92" w:history="1">
            <w:r w:rsidR="00BD4DB7" w:rsidRPr="0089237F">
              <w:rPr>
                <w:rStyle w:val="Hipervnculo"/>
                <w:rFonts w:eastAsia="Calibri"/>
                <w:noProof/>
              </w:rPr>
              <w:t>CAPITULO SEGUNDO</w:t>
            </w:r>
            <w:r w:rsidR="00BD4DB7">
              <w:rPr>
                <w:noProof/>
                <w:webHidden/>
              </w:rPr>
              <w:tab/>
            </w:r>
            <w:r w:rsidR="00BD4DB7">
              <w:rPr>
                <w:noProof/>
                <w:webHidden/>
              </w:rPr>
              <w:fldChar w:fldCharType="begin"/>
            </w:r>
            <w:r w:rsidR="00BD4DB7">
              <w:rPr>
                <w:noProof/>
                <w:webHidden/>
              </w:rPr>
              <w:instrText xml:space="preserve"> PAGEREF _Toc31716492 \h </w:instrText>
            </w:r>
            <w:r w:rsidR="00BD4DB7">
              <w:rPr>
                <w:noProof/>
                <w:webHidden/>
              </w:rPr>
            </w:r>
            <w:r w:rsidR="00BD4DB7">
              <w:rPr>
                <w:noProof/>
                <w:webHidden/>
              </w:rPr>
              <w:fldChar w:fldCharType="separate"/>
            </w:r>
            <w:r w:rsidR="00BD4DB7">
              <w:rPr>
                <w:noProof/>
                <w:webHidden/>
              </w:rPr>
              <w:t>450</w:t>
            </w:r>
            <w:r w:rsidR="00BD4DB7">
              <w:rPr>
                <w:noProof/>
                <w:webHidden/>
              </w:rPr>
              <w:fldChar w:fldCharType="end"/>
            </w:r>
          </w:hyperlink>
        </w:p>
        <w:p w14:paraId="66325ADC" w14:textId="7D7C3441"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93" w:history="1">
            <w:r w:rsidR="00BD4DB7" w:rsidRPr="0089237F">
              <w:rPr>
                <w:rStyle w:val="Hipervnculo"/>
                <w:rFonts w:eastAsia="Calibri"/>
                <w:noProof/>
              </w:rPr>
              <w:t>TIPO DE LIQUIDACIÓN DE OPERACIONES SWAPS</w:t>
            </w:r>
            <w:r w:rsidR="00BD4DB7">
              <w:rPr>
                <w:noProof/>
                <w:webHidden/>
              </w:rPr>
              <w:tab/>
            </w:r>
            <w:r w:rsidR="00BD4DB7">
              <w:rPr>
                <w:noProof/>
                <w:webHidden/>
              </w:rPr>
              <w:fldChar w:fldCharType="begin"/>
            </w:r>
            <w:r w:rsidR="00BD4DB7">
              <w:rPr>
                <w:noProof/>
                <w:webHidden/>
              </w:rPr>
              <w:instrText xml:space="preserve"> PAGEREF _Toc31716493 \h </w:instrText>
            </w:r>
            <w:r w:rsidR="00BD4DB7">
              <w:rPr>
                <w:noProof/>
                <w:webHidden/>
              </w:rPr>
            </w:r>
            <w:r w:rsidR="00BD4DB7">
              <w:rPr>
                <w:noProof/>
                <w:webHidden/>
              </w:rPr>
              <w:fldChar w:fldCharType="separate"/>
            </w:r>
            <w:r w:rsidR="00BD4DB7">
              <w:rPr>
                <w:noProof/>
                <w:webHidden/>
              </w:rPr>
              <w:t>450</w:t>
            </w:r>
            <w:r w:rsidR="00BD4DB7">
              <w:rPr>
                <w:noProof/>
                <w:webHidden/>
              </w:rPr>
              <w:fldChar w:fldCharType="end"/>
            </w:r>
          </w:hyperlink>
        </w:p>
        <w:p w14:paraId="34D4A4A8" w14:textId="2C419F5F"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94" w:history="1">
            <w:r w:rsidR="00BD4DB7" w:rsidRPr="0089237F">
              <w:rPr>
                <w:rStyle w:val="Hipervnculo"/>
                <w:noProof/>
              </w:rPr>
              <w:t>Artículo 5.4.2.1. Tipo de Liquidación en Operaciones Swaps.</w:t>
            </w:r>
            <w:r w:rsidR="00BD4DB7">
              <w:rPr>
                <w:noProof/>
                <w:webHidden/>
              </w:rPr>
              <w:tab/>
            </w:r>
            <w:r w:rsidR="00BD4DB7">
              <w:rPr>
                <w:noProof/>
                <w:webHidden/>
              </w:rPr>
              <w:fldChar w:fldCharType="begin"/>
            </w:r>
            <w:r w:rsidR="00BD4DB7">
              <w:rPr>
                <w:noProof/>
                <w:webHidden/>
              </w:rPr>
              <w:instrText xml:space="preserve"> PAGEREF _Toc31716494 \h </w:instrText>
            </w:r>
            <w:r w:rsidR="00BD4DB7">
              <w:rPr>
                <w:noProof/>
                <w:webHidden/>
              </w:rPr>
            </w:r>
            <w:r w:rsidR="00BD4DB7">
              <w:rPr>
                <w:noProof/>
                <w:webHidden/>
              </w:rPr>
              <w:fldChar w:fldCharType="separate"/>
            </w:r>
            <w:r w:rsidR="00BD4DB7">
              <w:rPr>
                <w:noProof/>
                <w:webHidden/>
              </w:rPr>
              <w:t>450</w:t>
            </w:r>
            <w:r w:rsidR="00BD4DB7">
              <w:rPr>
                <w:noProof/>
                <w:webHidden/>
              </w:rPr>
              <w:fldChar w:fldCharType="end"/>
            </w:r>
          </w:hyperlink>
        </w:p>
        <w:p w14:paraId="5CBD88BC" w14:textId="59412AB1"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95" w:history="1">
            <w:r w:rsidR="00BD4DB7" w:rsidRPr="0089237F">
              <w:rPr>
                <w:rStyle w:val="Hipervnculo"/>
                <w:rFonts w:eastAsia="Calibri"/>
                <w:noProof/>
              </w:rPr>
              <w:t>CAPÍTULO TERCERO</w:t>
            </w:r>
            <w:r w:rsidR="00BD4DB7">
              <w:rPr>
                <w:noProof/>
                <w:webHidden/>
              </w:rPr>
              <w:tab/>
            </w:r>
            <w:r w:rsidR="00BD4DB7">
              <w:rPr>
                <w:noProof/>
                <w:webHidden/>
              </w:rPr>
              <w:fldChar w:fldCharType="begin"/>
            </w:r>
            <w:r w:rsidR="00BD4DB7">
              <w:rPr>
                <w:noProof/>
                <w:webHidden/>
              </w:rPr>
              <w:instrText xml:space="preserve"> PAGEREF _Toc31716495 \h </w:instrText>
            </w:r>
            <w:r w:rsidR="00BD4DB7">
              <w:rPr>
                <w:noProof/>
                <w:webHidden/>
              </w:rPr>
            </w:r>
            <w:r w:rsidR="00BD4DB7">
              <w:rPr>
                <w:noProof/>
                <w:webHidden/>
              </w:rPr>
              <w:fldChar w:fldCharType="separate"/>
            </w:r>
            <w:r w:rsidR="00BD4DB7">
              <w:rPr>
                <w:noProof/>
                <w:webHidden/>
              </w:rPr>
              <w:t>450</w:t>
            </w:r>
            <w:r w:rsidR="00BD4DB7">
              <w:rPr>
                <w:noProof/>
                <w:webHidden/>
              </w:rPr>
              <w:fldChar w:fldCharType="end"/>
            </w:r>
          </w:hyperlink>
        </w:p>
        <w:p w14:paraId="6E338DFA" w14:textId="526E06AE"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496" w:history="1">
            <w:r w:rsidR="00BD4DB7" w:rsidRPr="0089237F">
              <w:rPr>
                <w:rStyle w:val="Hipervnculo"/>
                <w:rFonts w:eastAsia="Calibri"/>
                <w:noProof/>
              </w:rPr>
              <w:t>LIQUIDACIÓN AL VENCIMIENTO DE LAS OPERACIONES SWAPS</w:t>
            </w:r>
            <w:r w:rsidR="00BD4DB7">
              <w:rPr>
                <w:noProof/>
                <w:webHidden/>
              </w:rPr>
              <w:tab/>
            </w:r>
            <w:r w:rsidR="00BD4DB7">
              <w:rPr>
                <w:noProof/>
                <w:webHidden/>
              </w:rPr>
              <w:fldChar w:fldCharType="begin"/>
            </w:r>
            <w:r w:rsidR="00BD4DB7">
              <w:rPr>
                <w:noProof/>
                <w:webHidden/>
              </w:rPr>
              <w:instrText xml:space="preserve"> PAGEREF _Toc31716496 \h </w:instrText>
            </w:r>
            <w:r w:rsidR="00BD4DB7">
              <w:rPr>
                <w:noProof/>
                <w:webHidden/>
              </w:rPr>
            </w:r>
            <w:r w:rsidR="00BD4DB7">
              <w:rPr>
                <w:noProof/>
                <w:webHidden/>
              </w:rPr>
              <w:fldChar w:fldCharType="separate"/>
            </w:r>
            <w:r w:rsidR="00BD4DB7">
              <w:rPr>
                <w:noProof/>
                <w:webHidden/>
              </w:rPr>
              <w:t>450</w:t>
            </w:r>
            <w:r w:rsidR="00BD4DB7">
              <w:rPr>
                <w:noProof/>
                <w:webHidden/>
              </w:rPr>
              <w:fldChar w:fldCharType="end"/>
            </w:r>
          </w:hyperlink>
        </w:p>
        <w:p w14:paraId="4ADAAF6C" w14:textId="12921974"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97" w:history="1">
            <w:r w:rsidR="00BD4DB7" w:rsidRPr="0089237F">
              <w:rPr>
                <w:rStyle w:val="Hipervnculo"/>
                <w:noProof/>
              </w:rPr>
              <w:t>Artículo 5.4.3.1. Liquidación al Vencimiento de Operaciones Swaps con Liquidación por Diferencias provenientes de sistemas de negociación y/o registro o Mecanismo de Contratación.</w:t>
            </w:r>
            <w:r w:rsidR="00BD4DB7">
              <w:rPr>
                <w:noProof/>
                <w:webHidden/>
              </w:rPr>
              <w:tab/>
            </w:r>
            <w:r w:rsidR="00BD4DB7">
              <w:rPr>
                <w:noProof/>
                <w:webHidden/>
              </w:rPr>
              <w:fldChar w:fldCharType="begin"/>
            </w:r>
            <w:r w:rsidR="00BD4DB7">
              <w:rPr>
                <w:noProof/>
                <w:webHidden/>
              </w:rPr>
              <w:instrText xml:space="preserve"> PAGEREF _Toc31716497 \h </w:instrText>
            </w:r>
            <w:r w:rsidR="00BD4DB7">
              <w:rPr>
                <w:noProof/>
                <w:webHidden/>
              </w:rPr>
            </w:r>
            <w:r w:rsidR="00BD4DB7">
              <w:rPr>
                <w:noProof/>
                <w:webHidden/>
              </w:rPr>
              <w:fldChar w:fldCharType="separate"/>
            </w:r>
            <w:r w:rsidR="00BD4DB7">
              <w:rPr>
                <w:noProof/>
                <w:webHidden/>
              </w:rPr>
              <w:t>450</w:t>
            </w:r>
            <w:r w:rsidR="00BD4DB7">
              <w:rPr>
                <w:noProof/>
                <w:webHidden/>
              </w:rPr>
              <w:fldChar w:fldCharType="end"/>
            </w:r>
          </w:hyperlink>
        </w:p>
        <w:p w14:paraId="4288A8F6" w14:textId="21852E8D"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98" w:history="1">
            <w:r w:rsidR="00BD4DB7" w:rsidRPr="0089237F">
              <w:rPr>
                <w:rStyle w:val="Hipervnculo"/>
                <w:noProof/>
              </w:rPr>
              <w:t>(Este artículo fue modificado mediante Circular 19 del 22 de noviembre de 2019, publicada en el Boletín Normativo No. 034 del 22 de noviembre de 2019. Rige a partir del 25 de noviembre de 2019).</w:t>
            </w:r>
            <w:r w:rsidR="00BD4DB7">
              <w:rPr>
                <w:noProof/>
                <w:webHidden/>
              </w:rPr>
              <w:tab/>
            </w:r>
            <w:r w:rsidR="00BD4DB7">
              <w:rPr>
                <w:noProof/>
                <w:webHidden/>
              </w:rPr>
              <w:fldChar w:fldCharType="begin"/>
            </w:r>
            <w:r w:rsidR="00BD4DB7">
              <w:rPr>
                <w:noProof/>
                <w:webHidden/>
              </w:rPr>
              <w:instrText xml:space="preserve"> PAGEREF _Toc31716498 \h </w:instrText>
            </w:r>
            <w:r w:rsidR="00BD4DB7">
              <w:rPr>
                <w:noProof/>
                <w:webHidden/>
              </w:rPr>
            </w:r>
            <w:r w:rsidR="00BD4DB7">
              <w:rPr>
                <w:noProof/>
                <w:webHidden/>
              </w:rPr>
              <w:fldChar w:fldCharType="separate"/>
            </w:r>
            <w:r w:rsidR="00BD4DB7">
              <w:rPr>
                <w:noProof/>
                <w:webHidden/>
              </w:rPr>
              <w:t>450</w:t>
            </w:r>
            <w:r w:rsidR="00BD4DB7">
              <w:rPr>
                <w:noProof/>
                <w:webHidden/>
              </w:rPr>
              <w:fldChar w:fldCharType="end"/>
            </w:r>
          </w:hyperlink>
        </w:p>
        <w:p w14:paraId="0FC6C055" w14:textId="4CC25C15" w:rsidR="00BD4DB7" w:rsidRDefault="00682D97">
          <w:pPr>
            <w:pStyle w:val="TDC2"/>
            <w:rPr>
              <w:rFonts w:asciiTheme="minorHAnsi" w:eastAsiaTheme="minorEastAsia" w:hAnsiTheme="minorHAnsi" w:cstheme="minorBidi"/>
              <w:smallCaps w:val="0"/>
              <w:noProof/>
              <w:sz w:val="22"/>
              <w:szCs w:val="22"/>
              <w:lang w:val="es-CO" w:eastAsia="es-CO"/>
            </w:rPr>
          </w:pPr>
          <w:hyperlink w:anchor="_Toc31716499" w:history="1">
            <w:r w:rsidR="00BD4DB7" w:rsidRPr="0089237F">
              <w:rPr>
                <w:rStyle w:val="Hipervnculo"/>
                <w:noProof/>
              </w:rPr>
              <w:t>Artículo 5.4.3.2. Conceptos incluidos en la Liquidación al Vencimiento con Liquidación por Diferencias de Operaciones Swaps provenientes de sistemas de negociación y/o registro o Mecanismo de Contratación.</w:t>
            </w:r>
            <w:r w:rsidR="00BD4DB7">
              <w:rPr>
                <w:noProof/>
                <w:webHidden/>
              </w:rPr>
              <w:tab/>
            </w:r>
            <w:r w:rsidR="00BD4DB7">
              <w:rPr>
                <w:noProof/>
                <w:webHidden/>
              </w:rPr>
              <w:fldChar w:fldCharType="begin"/>
            </w:r>
            <w:r w:rsidR="00BD4DB7">
              <w:rPr>
                <w:noProof/>
                <w:webHidden/>
              </w:rPr>
              <w:instrText xml:space="preserve"> PAGEREF _Toc31716499 \h </w:instrText>
            </w:r>
            <w:r w:rsidR="00BD4DB7">
              <w:rPr>
                <w:noProof/>
                <w:webHidden/>
              </w:rPr>
            </w:r>
            <w:r w:rsidR="00BD4DB7">
              <w:rPr>
                <w:noProof/>
                <w:webHidden/>
              </w:rPr>
              <w:fldChar w:fldCharType="separate"/>
            </w:r>
            <w:r w:rsidR="00BD4DB7">
              <w:rPr>
                <w:noProof/>
                <w:webHidden/>
              </w:rPr>
              <w:t>451</w:t>
            </w:r>
            <w:r w:rsidR="00BD4DB7">
              <w:rPr>
                <w:noProof/>
                <w:webHidden/>
              </w:rPr>
              <w:fldChar w:fldCharType="end"/>
            </w:r>
          </w:hyperlink>
        </w:p>
        <w:p w14:paraId="56CD43FC" w14:textId="684B8C40"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00" w:history="1">
            <w:r w:rsidR="00BD4DB7" w:rsidRPr="0089237F">
              <w:rPr>
                <w:rStyle w:val="Hipervnculo"/>
                <w:noProof/>
              </w:rPr>
              <w:t>(Este artículo fue modificado mediante Circular 19 del 22 de noviembre de 2019, publicada en el Boletín Normativo No. 034 del 22 de noviembre de 2019. Rige a partir del 25 de noviembre de 2019).</w:t>
            </w:r>
            <w:r w:rsidR="00BD4DB7">
              <w:rPr>
                <w:noProof/>
                <w:webHidden/>
              </w:rPr>
              <w:tab/>
            </w:r>
            <w:r w:rsidR="00BD4DB7">
              <w:rPr>
                <w:noProof/>
                <w:webHidden/>
              </w:rPr>
              <w:fldChar w:fldCharType="begin"/>
            </w:r>
            <w:r w:rsidR="00BD4DB7">
              <w:rPr>
                <w:noProof/>
                <w:webHidden/>
              </w:rPr>
              <w:instrText xml:space="preserve"> PAGEREF _Toc31716500 \h </w:instrText>
            </w:r>
            <w:r w:rsidR="00BD4DB7">
              <w:rPr>
                <w:noProof/>
                <w:webHidden/>
              </w:rPr>
            </w:r>
            <w:r w:rsidR="00BD4DB7">
              <w:rPr>
                <w:noProof/>
                <w:webHidden/>
              </w:rPr>
              <w:fldChar w:fldCharType="separate"/>
            </w:r>
            <w:r w:rsidR="00BD4DB7">
              <w:rPr>
                <w:noProof/>
                <w:webHidden/>
              </w:rPr>
              <w:t>451</w:t>
            </w:r>
            <w:r w:rsidR="00BD4DB7">
              <w:rPr>
                <w:noProof/>
                <w:webHidden/>
              </w:rPr>
              <w:fldChar w:fldCharType="end"/>
            </w:r>
          </w:hyperlink>
        </w:p>
        <w:p w14:paraId="1BB602D9" w14:textId="0DF63C68"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01" w:history="1">
            <w:r w:rsidR="00BD4DB7" w:rsidRPr="0089237F">
              <w:rPr>
                <w:rStyle w:val="Hipervnculo"/>
                <w:noProof/>
              </w:rPr>
              <w:t>Artículo 5.4.3.3. Procedimiento para el cálculo de la Liquidación al Vencimiento con Liquidación por Diferencias de Operaciones Swaps provenientes de sistemas de negociación y/o registro o Mecanismo de Contratación.</w:t>
            </w:r>
            <w:r w:rsidR="00BD4DB7">
              <w:rPr>
                <w:noProof/>
                <w:webHidden/>
              </w:rPr>
              <w:tab/>
            </w:r>
            <w:r w:rsidR="00BD4DB7">
              <w:rPr>
                <w:noProof/>
                <w:webHidden/>
              </w:rPr>
              <w:fldChar w:fldCharType="begin"/>
            </w:r>
            <w:r w:rsidR="00BD4DB7">
              <w:rPr>
                <w:noProof/>
                <w:webHidden/>
              </w:rPr>
              <w:instrText xml:space="preserve"> PAGEREF _Toc31716501 \h </w:instrText>
            </w:r>
            <w:r w:rsidR="00BD4DB7">
              <w:rPr>
                <w:noProof/>
                <w:webHidden/>
              </w:rPr>
            </w:r>
            <w:r w:rsidR="00BD4DB7">
              <w:rPr>
                <w:noProof/>
                <w:webHidden/>
              </w:rPr>
              <w:fldChar w:fldCharType="separate"/>
            </w:r>
            <w:r w:rsidR="00BD4DB7">
              <w:rPr>
                <w:noProof/>
                <w:webHidden/>
              </w:rPr>
              <w:t>452</w:t>
            </w:r>
            <w:r w:rsidR="00BD4DB7">
              <w:rPr>
                <w:noProof/>
                <w:webHidden/>
              </w:rPr>
              <w:fldChar w:fldCharType="end"/>
            </w:r>
          </w:hyperlink>
        </w:p>
        <w:p w14:paraId="309812AE" w14:textId="5BEF9451"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02" w:history="1">
            <w:r w:rsidR="00BD4DB7" w:rsidRPr="0089237F">
              <w:rPr>
                <w:rStyle w:val="Hipervnculo"/>
                <w:rFonts w:eastAsia="Calibri"/>
                <w:noProof/>
              </w:rPr>
              <w:t>(Es</w:t>
            </w:r>
            <w:r w:rsidR="00BD4DB7" w:rsidRPr="0089237F">
              <w:rPr>
                <w:rStyle w:val="Hipervnculo"/>
                <w:noProof/>
              </w:rPr>
              <w:t>te artículo fue modificado mediante Circular 19 del 22 de noviembre de 2019, publicada en el Boletín Normativo No. 034 del 22 de noviembre de 2019. Rige a partir del 25 de noviembre de 2019).</w:t>
            </w:r>
            <w:r w:rsidR="00BD4DB7">
              <w:rPr>
                <w:noProof/>
                <w:webHidden/>
              </w:rPr>
              <w:tab/>
            </w:r>
            <w:r w:rsidR="00BD4DB7">
              <w:rPr>
                <w:noProof/>
                <w:webHidden/>
              </w:rPr>
              <w:fldChar w:fldCharType="begin"/>
            </w:r>
            <w:r w:rsidR="00BD4DB7">
              <w:rPr>
                <w:noProof/>
                <w:webHidden/>
              </w:rPr>
              <w:instrText xml:space="preserve"> PAGEREF _Toc31716502 \h </w:instrText>
            </w:r>
            <w:r w:rsidR="00BD4DB7">
              <w:rPr>
                <w:noProof/>
                <w:webHidden/>
              </w:rPr>
            </w:r>
            <w:r w:rsidR="00BD4DB7">
              <w:rPr>
                <w:noProof/>
                <w:webHidden/>
              </w:rPr>
              <w:fldChar w:fldCharType="separate"/>
            </w:r>
            <w:r w:rsidR="00BD4DB7">
              <w:rPr>
                <w:noProof/>
                <w:webHidden/>
              </w:rPr>
              <w:t>452</w:t>
            </w:r>
            <w:r w:rsidR="00BD4DB7">
              <w:rPr>
                <w:noProof/>
                <w:webHidden/>
              </w:rPr>
              <w:fldChar w:fldCharType="end"/>
            </w:r>
          </w:hyperlink>
        </w:p>
        <w:p w14:paraId="55115A80" w14:textId="2ADF21F4"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03" w:history="1">
            <w:r w:rsidR="00BD4DB7" w:rsidRPr="0089237F">
              <w:rPr>
                <w:rStyle w:val="Hipervnculo"/>
                <w:rFonts w:eastAsia="Calibri"/>
                <w:noProof/>
              </w:rPr>
              <w:t>Al final de la sesión correspondiente al día hábil anterior a la fecha de vencimiento de las Operaciones Swaps, la cámara calculará sobre la posición abierta los importes por los siguientes conceptos:</w:t>
            </w:r>
            <w:r w:rsidR="00BD4DB7">
              <w:rPr>
                <w:noProof/>
                <w:webHidden/>
              </w:rPr>
              <w:tab/>
            </w:r>
            <w:r w:rsidR="00BD4DB7">
              <w:rPr>
                <w:noProof/>
                <w:webHidden/>
              </w:rPr>
              <w:fldChar w:fldCharType="begin"/>
            </w:r>
            <w:r w:rsidR="00BD4DB7">
              <w:rPr>
                <w:noProof/>
                <w:webHidden/>
              </w:rPr>
              <w:instrText xml:space="preserve"> PAGEREF _Toc31716503 \h </w:instrText>
            </w:r>
            <w:r w:rsidR="00BD4DB7">
              <w:rPr>
                <w:noProof/>
                <w:webHidden/>
              </w:rPr>
            </w:r>
            <w:r w:rsidR="00BD4DB7">
              <w:rPr>
                <w:noProof/>
                <w:webHidden/>
              </w:rPr>
              <w:fldChar w:fldCharType="separate"/>
            </w:r>
            <w:r w:rsidR="00BD4DB7">
              <w:rPr>
                <w:noProof/>
                <w:webHidden/>
              </w:rPr>
              <w:t>452</w:t>
            </w:r>
            <w:r w:rsidR="00BD4DB7">
              <w:rPr>
                <w:noProof/>
                <w:webHidden/>
              </w:rPr>
              <w:fldChar w:fldCharType="end"/>
            </w:r>
          </w:hyperlink>
        </w:p>
        <w:p w14:paraId="15C9D0AC" w14:textId="7F15ABD4" w:rsidR="00BD4DB7" w:rsidRDefault="00682D97">
          <w:pPr>
            <w:pStyle w:val="TDC2"/>
            <w:tabs>
              <w:tab w:val="left" w:pos="660"/>
            </w:tabs>
            <w:rPr>
              <w:rFonts w:asciiTheme="minorHAnsi" w:eastAsiaTheme="minorEastAsia" w:hAnsiTheme="minorHAnsi" w:cstheme="minorBidi"/>
              <w:smallCaps w:val="0"/>
              <w:noProof/>
              <w:sz w:val="22"/>
              <w:szCs w:val="22"/>
              <w:lang w:val="es-CO" w:eastAsia="es-CO"/>
            </w:rPr>
          </w:pPr>
          <w:hyperlink w:anchor="_Toc31716504" w:history="1">
            <w:r w:rsidR="00BD4DB7" w:rsidRPr="0089237F">
              <w:rPr>
                <w:rStyle w:val="Hipervnculo"/>
                <w:noProof/>
              </w:rPr>
              <w:t>1.</w:t>
            </w:r>
            <w:r w:rsidR="00BD4DB7">
              <w:rPr>
                <w:rFonts w:asciiTheme="minorHAnsi" w:eastAsiaTheme="minorEastAsia" w:hAnsiTheme="minorHAnsi" w:cstheme="minorBidi"/>
                <w:smallCaps w:val="0"/>
                <w:noProof/>
                <w:sz w:val="22"/>
                <w:szCs w:val="22"/>
                <w:lang w:val="es-CO" w:eastAsia="es-CO"/>
              </w:rPr>
              <w:tab/>
            </w:r>
            <w:r w:rsidR="00BD4DB7" w:rsidRPr="0089237F">
              <w:rPr>
                <w:rStyle w:val="Hipervnculo"/>
                <w:noProof/>
              </w:rPr>
              <w:t>Liquidación al Vencimiento</w:t>
            </w:r>
            <w:r w:rsidR="00BD4DB7">
              <w:rPr>
                <w:noProof/>
                <w:webHidden/>
              </w:rPr>
              <w:tab/>
            </w:r>
            <w:r w:rsidR="00BD4DB7">
              <w:rPr>
                <w:noProof/>
                <w:webHidden/>
              </w:rPr>
              <w:fldChar w:fldCharType="begin"/>
            </w:r>
            <w:r w:rsidR="00BD4DB7">
              <w:rPr>
                <w:noProof/>
                <w:webHidden/>
              </w:rPr>
              <w:instrText xml:space="preserve"> PAGEREF _Toc31716504 \h </w:instrText>
            </w:r>
            <w:r w:rsidR="00BD4DB7">
              <w:rPr>
                <w:noProof/>
                <w:webHidden/>
              </w:rPr>
            </w:r>
            <w:r w:rsidR="00BD4DB7">
              <w:rPr>
                <w:noProof/>
                <w:webHidden/>
              </w:rPr>
              <w:fldChar w:fldCharType="separate"/>
            </w:r>
            <w:r w:rsidR="00BD4DB7">
              <w:rPr>
                <w:noProof/>
                <w:webHidden/>
              </w:rPr>
              <w:t>452</w:t>
            </w:r>
            <w:r w:rsidR="00BD4DB7">
              <w:rPr>
                <w:noProof/>
                <w:webHidden/>
              </w:rPr>
              <w:fldChar w:fldCharType="end"/>
            </w:r>
          </w:hyperlink>
        </w:p>
        <w:p w14:paraId="7A5706BC" w14:textId="4DF75FAE"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05" w:history="1">
            <w:r w:rsidR="00BD4DB7" w:rsidRPr="0089237F">
              <w:rPr>
                <w:rStyle w:val="Hipervnculo"/>
                <w:rFonts w:eastAsia="Calibri"/>
                <w:noProof/>
              </w:rPr>
              <w:t>La Posición Abierta sobre cada vencimiento de las Operaciones Swaps, será valorada, calculando el último NPV de acuerdo con lo establecido en los Artículos 5.5.3.1., 5.5.3.2. y 5.5.3.3. de la presente Circular y se realizará de acuerdo con la siguiente formula:</w:t>
            </w:r>
            <w:r w:rsidR="00BD4DB7">
              <w:rPr>
                <w:noProof/>
                <w:webHidden/>
              </w:rPr>
              <w:tab/>
            </w:r>
            <w:r w:rsidR="00BD4DB7">
              <w:rPr>
                <w:noProof/>
                <w:webHidden/>
              </w:rPr>
              <w:fldChar w:fldCharType="begin"/>
            </w:r>
            <w:r w:rsidR="00BD4DB7">
              <w:rPr>
                <w:noProof/>
                <w:webHidden/>
              </w:rPr>
              <w:instrText xml:space="preserve"> PAGEREF _Toc31716505 \h </w:instrText>
            </w:r>
            <w:r w:rsidR="00BD4DB7">
              <w:rPr>
                <w:noProof/>
                <w:webHidden/>
              </w:rPr>
            </w:r>
            <w:r w:rsidR="00BD4DB7">
              <w:rPr>
                <w:noProof/>
                <w:webHidden/>
              </w:rPr>
              <w:fldChar w:fldCharType="separate"/>
            </w:r>
            <w:r w:rsidR="00BD4DB7">
              <w:rPr>
                <w:noProof/>
                <w:webHidden/>
              </w:rPr>
              <w:t>452</w:t>
            </w:r>
            <w:r w:rsidR="00BD4DB7">
              <w:rPr>
                <w:noProof/>
                <w:webHidden/>
              </w:rPr>
              <w:fldChar w:fldCharType="end"/>
            </w:r>
          </w:hyperlink>
        </w:p>
        <w:p w14:paraId="77AA5999" w14:textId="02E246E2"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06" w:history="1">
            <w:r w:rsidR="00BD4DB7" w:rsidRPr="0089237F">
              <w:rPr>
                <w:rStyle w:val="Hipervnculo"/>
                <w:noProof/>
              </w:rPr>
              <w:t>Artículo 5.4.3.4. Etapas del procedimiento de Liquidación al Vencimiento con Liquidación por Diferencias de Operaciones Swaps provenientes de sistemas de negociación y/o registro o cualquier Mecanismo de Contratación.</w:t>
            </w:r>
            <w:r w:rsidR="00BD4DB7">
              <w:rPr>
                <w:noProof/>
                <w:webHidden/>
              </w:rPr>
              <w:tab/>
            </w:r>
            <w:r w:rsidR="00BD4DB7">
              <w:rPr>
                <w:noProof/>
                <w:webHidden/>
              </w:rPr>
              <w:fldChar w:fldCharType="begin"/>
            </w:r>
            <w:r w:rsidR="00BD4DB7">
              <w:rPr>
                <w:noProof/>
                <w:webHidden/>
              </w:rPr>
              <w:instrText xml:space="preserve"> PAGEREF _Toc31716506 \h </w:instrText>
            </w:r>
            <w:r w:rsidR="00BD4DB7">
              <w:rPr>
                <w:noProof/>
                <w:webHidden/>
              </w:rPr>
            </w:r>
            <w:r w:rsidR="00BD4DB7">
              <w:rPr>
                <w:noProof/>
                <w:webHidden/>
              </w:rPr>
              <w:fldChar w:fldCharType="separate"/>
            </w:r>
            <w:r w:rsidR="00BD4DB7">
              <w:rPr>
                <w:noProof/>
                <w:webHidden/>
              </w:rPr>
              <w:t>454</w:t>
            </w:r>
            <w:r w:rsidR="00BD4DB7">
              <w:rPr>
                <w:noProof/>
                <w:webHidden/>
              </w:rPr>
              <w:fldChar w:fldCharType="end"/>
            </w:r>
          </w:hyperlink>
        </w:p>
        <w:p w14:paraId="5D3C33CC" w14:textId="5BEB1E4F"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07" w:history="1">
            <w:r w:rsidR="00BD4DB7" w:rsidRPr="0089237F">
              <w:rPr>
                <w:rStyle w:val="Hipervnculo"/>
                <w:noProof/>
              </w:rPr>
              <w:t>Artículo 5.4.3.5. Pagos de las Operaciones Swaps provenientes de sistemas de negociación y/o registro o cualquier Mecanismo de Contratación.</w:t>
            </w:r>
            <w:r w:rsidR="00BD4DB7">
              <w:rPr>
                <w:noProof/>
                <w:webHidden/>
              </w:rPr>
              <w:tab/>
            </w:r>
            <w:r w:rsidR="00BD4DB7">
              <w:rPr>
                <w:noProof/>
                <w:webHidden/>
              </w:rPr>
              <w:fldChar w:fldCharType="begin"/>
            </w:r>
            <w:r w:rsidR="00BD4DB7">
              <w:rPr>
                <w:noProof/>
                <w:webHidden/>
              </w:rPr>
              <w:instrText xml:space="preserve"> PAGEREF _Toc31716507 \h </w:instrText>
            </w:r>
            <w:r w:rsidR="00BD4DB7">
              <w:rPr>
                <w:noProof/>
                <w:webHidden/>
              </w:rPr>
            </w:r>
            <w:r w:rsidR="00BD4DB7">
              <w:rPr>
                <w:noProof/>
                <w:webHidden/>
              </w:rPr>
              <w:fldChar w:fldCharType="separate"/>
            </w:r>
            <w:r w:rsidR="00BD4DB7">
              <w:rPr>
                <w:noProof/>
                <w:webHidden/>
              </w:rPr>
              <w:t>454</w:t>
            </w:r>
            <w:r w:rsidR="00BD4DB7">
              <w:rPr>
                <w:noProof/>
                <w:webHidden/>
              </w:rPr>
              <w:fldChar w:fldCharType="end"/>
            </w:r>
          </w:hyperlink>
        </w:p>
        <w:p w14:paraId="699C04A1" w14:textId="6BE26A97"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508" w:history="1">
            <w:r w:rsidR="00BD4DB7" w:rsidRPr="0089237F">
              <w:rPr>
                <w:rStyle w:val="Hipervnculo"/>
                <w:rFonts w:eastAsia="Calibri"/>
                <w:noProof/>
              </w:rPr>
              <w:t>CAPÍTULO CUARTO</w:t>
            </w:r>
            <w:r w:rsidR="00BD4DB7">
              <w:rPr>
                <w:noProof/>
                <w:webHidden/>
              </w:rPr>
              <w:tab/>
            </w:r>
            <w:r w:rsidR="00BD4DB7">
              <w:rPr>
                <w:noProof/>
                <w:webHidden/>
              </w:rPr>
              <w:fldChar w:fldCharType="begin"/>
            </w:r>
            <w:r w:rsidR="00BD4DB7">
              <w:rPr>
                <w:noProof/>
                <w:webHidden/>
              </w:rPr>
              <w:instrText xml:space="preserve"> PAGEREF _Toc31716508 \h </w:instrText>
            </w:r>
            <w:r w:rsidR="00BD4DB7">
              <w:rPr>
                <w:noProof/>
                <w:webHidden/>
              </w:rPr>
            </w:r>
            <w:r w:rsidR="00BD4DB7">
              <w:rPr>
                <w:noProof/>
                <w:webHidden/>
              </w:rPr>
              <w:fldChar w:fldCharType="separate"/>
            </w:r>
            <w:r w:rsidR="00BD4DB7">
              <w:rPr>
                <w:noProof/>
                <w:webHidden/>
              </w:rPr>
              <w:t>455</w:t>
            </w:r>
            <w:r w:rsidR="00BD4DB7">
              <w:rPr>
                <w:noProof/>
                <w:webHidden/>
              </w:rPr>
              <w:fldChar w:fldCharType="end"/>
            </w:r>
          </w:hyperlink>
        </w:p>
        <w:p w14:paraId="216A876E" w14:textId="6ED4A350"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509" w:history="1">
            <w:r w:rsidR="00BD4DB7" w:rsidRPr="0089237F">
              <w:rPr>
                <w:rStyle w:val="Hipervnculo"/>
                <w:rFonts w:eastAsia="Calibri"/>
                <w:noProof/>
              </w:rPr>
              <w:t>OTROS CONCEPTOS ASOCIADOS A LAS OPERACIONES SWAPS OBJETO DE PAGO</w:t>
            </w:r>
            <w:r w:rsidR="00BD4DB7">
              <w:rPr>
                <w:noProof/>
                <w:webHidden/>
              </w:rPr>
              <w:tab/>
            </w:r>
            <w:r w:rsidR="00BD4DB7">
              <w:rPr>
                <w:noProof/>
                <w:webHidden/>
              </w:rPr>
              <w:fldChar w:fldCharType="begin"/>
            </w:r>
            <w:r w:rsidR="00BD4DB7">
              <w:rPr>
                <w:noProof/>
                <w:webHidden/>
              </w:rPr>
              <w:instrText xml:space="preserve"> PAGEREF _Toc31716509 \h </w:instrText>
            </w:r>
            <w:r w:rsidR="00BD4DB7">
              <w:rPr>
                <w:noProof/>
                <w:webHidden/>
              </w:rPr>
            </w:r>
            <w:r w:rsidR="00BD4DB7">
              <w:rPr>
                <w:noProof/>
                <w:webHidden/>
              </w:rPr>
              <w:fldChar w:fldCharType="separate"/>
            </w:r>
            <w:r w:rsidR="00BD4DB7">
              <w:rPr>
                <w:noProof/>
                <w:webHidden/>
              </w:rPr>
              <w:t>455</w:t>
            </w:r>
            <w:r w:rsidR="00BD4DB7">
              <w:rPr>
                <w:noProof/>
                <w:webHidden/>
              </w:rPr>
              <w:fldChar w:fldCharType="end"/>
            </w:r>
          </w:hyperlink>
        </w:p>
        <w:p w14:paraId="0EDA52DE" w14:textId="64E159BD"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10" w:history="1">
            <w:r w:rsidR="00BD4DB7" w:rsidRPr="0089237F">
              <w:rPr>
                <w:rStyle w:val="Hipervnculo"/>
                <w:noProof/>
              </w:rPr>
              <w:t>Artículo 5.4.4.1. Otros conceptos asociados a las Operaciones Swaps provenientes de sistemas de negociación y/o registro o Mecanismo de Contratación.</w:t>
            </w:r>
            <w:r w:rsidR="00BD4DB7">
              <w:rPr>
                <w:noProof/>
                <w:webHidden/>
              </w:rPr>
              <w:tab/>
            </w:r>
            <w:r w:rsidR="00BD4DB7">
              <w:rPr>
                <w:noProof/>
                <w:webHidden/>
              </w:rPr>
              <w:fldChar w:fldCharType="begin"/>
            </w:r>
            <w:r w:rsidR="00BD4DB7">
              <w:rPr>
                <w:noProof/>
                <w:webHidden/>
              </w:rPr>
              <w:instrText xml:space="preserve"> PAGEREF _Toc31716510 \h </w:instrText>
            </w:r>
            <w:r w:rsidR="00BD4DB7">
              <w:rPr>
                <w:noProof/>
                <w:webHidden/>
              </w:rPr>
            </w:r>
            <w:r w:rsidR="00BD4DB7">
              <w:rPr>
                <w:noProof/>
                <w:webHidden/>
              </w:rPr>
              <w:fldChar w:fldCharType="separate"/>
            </w:r>
            <w:r w:rsidR="00BD4DB7">
              <w:rPr>
                <w:noProof/>
                <w:webHidden/>
              </w:rPr>
              <w:t>455</w:t>
            </w:r>
            <w:r w:rsidR="00BD4DB7">
              <w:rPr>
                <w:noProof/>
                <w:webHidden/>
              </w:rPr>
              <w:fldChar w:fldCharType="end"/>
            </w:r>
          </w:hyperlink>
        </w:p>
        <w:p w14:paraId="68A9C232" w14:textId="4BB0139A"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11" w:history="1">
            <w:r w:rsidR="00BD4DB7" w:rsidRPr="0089237F">
              <w:rPr>
                <w:rStyle w:val="Hipervnculo"/>
                <w:noProof/>
              </w:rPr>
              <w:t>(Este artículo fue modificado mediante Circular 19 del 22 de noviembre de 2019, publicada en el Boletín Normativo No. 034 del 22 de noviembre de 2019. Rige a partir del 25 de noviembre de 2019).</w:t>
            </w:r>
            <w:r w:rsidR="00BD4DB7">
              <w:rPr>
                <w:noProof/>
                <w:webHidden/>
              </w:rPr>
              <w:tab/>
            </w:r>
            <w:r w:rsidR="00BD4DB7">
              <w:rPr>
                <w:noProof/>
                <w:webHidden/>
              </w:rPr>
              <w:fldChar w:fldCharType="begin"/>
            </w:r>
            <w:r w:rsidR="00BD4DB7">
              <w:rPr>
                <w:noProof/>
                <w:webHidden/>
              </w:rPr>
              <w:instrText xml:space="preserve"> PAGEREF _Toc31716511 \h </w:instrText>
            </w:r>
            <w:r w:rsidR="00BD4DB7">
              <w:rPr>
                <w:noProof/>
                <w:webHidden/>
              </w:rPr>
            </w:r>
            <w:r w:rsidR="00BD4DB7">
              <w:rPr>
                <w:noProof/>
                <w:webHidden/>
              </w:rPr>
              <w:fldChar w:fldCharType="separate"/>
            </w:r>
            <w:r w:rsidR="00BD4DB7">
              <w:rPr>
                <w:noProof/>
                <w:webHidden/>
              </w:rPr>
              <w:t>455</w:t>
            </w:r>
            <w:r w:rsidR="00BD4DB7">
              <w:rPr>
                <w:noProof/>
                <w:webHidden/>
              </w:rPr>
              <w:fldChar w:fldCharType="end"/>
            </w:r>
          </w:hyperlink>
        </w:p>
        <w:p w14:paraId="538BF72B" w14:textId="772BA53A"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12" w:history="1">
            <w:r w:rsidR="00BD4DB7" w:rsidRPr="0089237F">
              <w:rPr>
                <w:rStyle w:val="Hipervnculo"/>
                <w:noProof/>
              </w:rPr>
              <w:t>Artículo 5.4.4.2. Procedimiento de Cálculo de los Cupones.</w:t>
            </w:r>
            <w:r w:rsidR="00BD4DB7">
              <w:rPr>
                <w:noProof/>
                <w:webHidden/>
              </w:rPr>
              <w:tab/>
            </w:r>
            <w:r w:rsidR="00BD4DB7">
              <w:rPr>
                <w:noProof/>
                <w:webHidden/>
              </w:rPr>
              <w:fldChar w:fldCharType="begin"/>
            </w:r>
            <w:r w:rsidR="00BD4DB7">
              <w:rPr>
                <w:noProof/>
                <w:webHidden/>
              </w:rPr>
              <w:instrText xml:space="preserve"> PAGEREF _Toc31716512 \h </w:instrText>
            </w:r>
            <w:r w:rsidR="00BD4DB7">
              <w:rPr>
                <w:noProof/>
                <w:webHidden/>
              </w:rPr>
            </w:r>
            <w:r w:rsidR="00BD4DB7">
              <w:rPr>
                <w:noProof/>
                <w:webHidden/>
              </w:rPr>
              <w:fldChar w:fldCharType="separate"/>
            </w:r>
            <w:r w:rsidR="00BD4DB7">
              <w:rPr>
                <w:noProof/>
                <w:webHidden/>
              </w:rPr>
              <w:t>456</w:t>
            </w:r>
            <w:r w:rsidR="00BD4DB7">
              <w:rPr>
                <w:noProof/>
                <w:webHidden/>
              </w:rPr>
              <w:fldChar w:fldCharType="end"/>
            </w:r>
          </w:hyperlink>
        </w:p>
        <w:p w14:paraId="3B9601E4" w14:textId="2785BDB2"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13" w:history="1">
            <w:r w:rsidR="00BD4DB7" w:rsidRPr="0089237F">
              <w:rPr>
                <w:rStyle w:val="Hipervnculo"/>
                <w:rFonts w:eastAsia="Calibri"/>
                <w:noProof/>
              </w:rPr>
              <w:t xml:space="preserve">(Este artículo fue modificado mediante Circular 11 del 3 de agosto de 2018, publicada en el Boletín Normativo No. 17 del 3 de agosto de 2018, </w:t>
            </w:r>
            <w:r w:rsidR="00BD4DB7" w:rsidRPr="0089237F">
              <w:rPr>
                <w:rStyle w:val="Hipervnculo"/>
                <w:noProof/>
              </w:rPr>
              <w:t>y mediante Circular 19 del 22 de noviembre de 2019, publicada en el Boletín Normativo No. 034 del 22 de noviembre de 2019. Rige a partir del 25 de noviembre de 2019).</w:t>
            </w:r>
            <w:r w:rsidR="00BD4DB7">
              <w:rPr>
                <w:noProof/>
                <w:webHidden/>
              </w:rPr>
              <w:tab/>
            </w:r>
            <w:r w:rsidR="00BD4DB7">
              <w:rPr>
                <w:noProof/>
                <w:webHidden/>
              </w:rPr>
              <w:fldChar w:fldCharType="begin"/>
            </w:r>
            <w:r w:rsidR="00BD4DB7">
              <w:rPr>
                <w:noProof/>
                <w:webHidden/>
              </w:rPr>
              <w:instrText xml:space="preserve"> PAGEREF _Toc31716513 \h </w:instrText>
            </w:r>
            <w:r w:rsidR="00BD4DB7">
              <w:rPr>
                <w:noProof/>
                <w:webHidden/>
              </w:rPr>
            </w:r>
            <w:r w:rsidR="00BD4DB7">
              <w:rPr>
                <w:noProof/>
                <w:webHidden/>
              </w:rPr>
              <w:fldChar w:fldCharType="separate"/>
            </w:r>
            <w:r w:rsidR="00BD4DB7">
              <w:rPr>
                <w:noProof/>
                <w:webHidden/>
              </w:rPr>
              <w:t>456</w:t>
            </w:r>
            <w:r w:rsidR="00BD4DB7">
              <w:rPr>
                <w:noProof/>
                <w:webHidden/>
              </w:rPr>
              <w:fldChar w:fldCharType="end"/>
            </w:r>
          </w:hyperlink>
        </w:p>
        <w:p w14:paraId="04D3566F" w14:textId="11B14F48"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514" w:history="1">
            <w:r w:rsidR="00BD4DB7" w:rsidRPr="0089237F">
              <w:rPr>
                <w:rStyle w:val="Hipervnculo"/>
                <w:rFonts w:eastAsia="Calibri"/>
                <w:noProof/>
              </w:rPr>
              <w:t>TÍTULO QUINTO</w:t>
            </w:r>
            <w:r w:rsidR="00BD4DB7">
              <w:rPr>
                <w:noProof/>
                <w:webHidden/>
              </w:rPr>
              <w:tab/>
            </w:r>
            <w:r w:rsidR="00BD4DB7">
              <w:rPr>
                <w:noProof/>
                <w:webHidden/>
              </w:rPr>
              <w:fldChar w:fldCharType="begin"/>
            </w:r>
            <w:r w:rsidR="00BD4DB7">
              <w:rPr>
                <w:noProof/>
                <w:webHidden/>
              </w:rPr>
              <w:instrText xml:space="preserve"> PAGEREF _Toc31716514 \h </w:instrText>
            </w:r>
            <w:r w:rsidR="00BD4DB7">
              <w:rPr>
                <w:noProof/>
                <w:webHidden/>
              </w:rPr>
            </w:r>
            <w:r w:rsidR="00BD4DB7">
              <w:rPr>
                <w:noProof/>
                <w:webHidden/>
              </w:rPr>
              <w:fldChar w:fldCharType="separate"/>
            </w:r>
            <w:r w:rsidR="00BD4DB7">
              <w:rPr>
                <w:noProof/>
                <w:webHidden/>
              </w:rPr>
              <w:t>459</w:t>
            </w:r>
            <w:r w:rsidR="00BD4DB7">
              <w:rPr>
                <w:noProof/>
                <w:webHidden/>
              </w:rPr>
              <w:fldChar w:fldCharType="end"/>
            </w:r>
          </w:hyperlink>
        </w:p>
        <w:p w14:paraId="3AA78231" w14:textId="621C85B6"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515" w:history="1">
            <w:r w:rsidR="00BD4DB7" w:rsidRPr="0089237F">
              <w:rPr>
                <w:rStyle w:val="Hipervnculo"/>
                <w:rFonts w:eastAsia="Calibri"/>
                <w:noProof/>
              </w:rPr>
              <w:t>MODELO DE RIESGO DE LA CÁMARA PARA EL CÁLCULO Y GESTIÓN DE GARANTÍAS Y DEFINICIÓN DE LÍMITES</w:t>
            </w:r>
            <w:r w:rsidR="00BD4DB7">
              <w:rPr>
                <w:noProof/>
                <w:webHidden/>
              </w:rPr>
              <w:tab/>
            </w:r>
            <w:r w:rsidR="00BD4DB7">
              <w:rPr>
                <w:noProof/>
                <w:webHidden/>
              </w:rPr>
              <w:fldChar w:fldCharType="begin"/>
            </w:r>
            <w:r w:rsidR="00BD4DB7">
              <w:rPr>
                <w:noProof/>
                <w:webHidden/>
              </w:rPr>
              <w:instrText xml:space="preserve"> PAGEREF _Toc31716515 \h </w:instrText>
            </w:r>
            <w:r w:rsidR="00BD4DB7">
              <w:rPr>
                <w:noProof/>
                <w:webHidden/>
              </w:rPr>
            </w:r>
            <w:r w:rsidR="00BD4DB7">
              <w:rPr>
                <w:noProof/>
                <w:webHidden/>
              </w:rPr>
              <w:fldChar w:fldCharType="separate"/>
            </w:r>
            <w:r w:rsidR="00BD4DB7">
              <w:rPr>
                <w:noProof/>
                <w:webHidden/>
              </w:rPr>
              <w:t>459</w:t>
            </w:r>
            <w:r w:rsidR="00BD4DB7">
              <w:rPr>
                <w:noProof/>
                <w:webHidden/>
              </w:rPr>
              <w:fldChar w:fldCharType="end"/>
            </w:r>
          </w:hyperlink>
        </w:p>
        <w:p w14:paraId="473A6F89" w14:textId="04C8F8EB"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516" w:history="1">
            <w:r w:rsidR="00BD4DB7" w:rsidRPr="0089237F">
              <w:rPr>
                <w:rStyle w:val="Hipervnculo"/>
                <w:rFonts w:eastAsia="Calibri"/>
                <w:noProof/>
              </w:rPr>
              <w:t>CAPÍTULO PRIMERO</w:t>
            </w:r>
            <w:r w:rsidR="00BD4DB7">
              <w:rPr>
                <w:noProof/>
                <w:webHidden/>
              </w:rPr>
              <w:tab/>
            </w:r>
            <w:r w:rsidR="00BD4DB7">
              <w:rPr>
                <w:noProof/>
                <w:webHidden/>
              </w:rPr>
              <w:fldChar w:fldCharType="begin"/>
            </w:r>
            <w:r w:rsidR="00BD4DB7">
              <w:rPr>
                <w:noProof/>
                <w:webHidden/>
              </w:rPr>
              <w:instrText xml:space="preserve"> PAGEREF _Toc31716516 \h </w:instrText>
            </w:r>
            <w:r w:rsidR="00BD4DB7">
              <w:rPr>
                <w:noProof/>
                <w:webHidden/>
              </w:rPr>
            </w:r>
            <w:r w:rsidR="00BD4DB7">
              <w:rPr>
                <w:noProof/>
                <w:webHidden/>
              </w:rPr>
              <w:fldChar w:fldCharType="separate"/>
            </w:r>
            <w:r w:rsidR="00BD4DB7">
              <w:rPr>
                <w:noProof/>
                <w:webHidden/>
              </w:rPr>
              <w:t>459</w:t>
            </w:r>
            <w:r w:rsidR="00BD4DB7">
              <w:rPr>
                <w:noProof/>
                <w:webHidden/>
              </w:rPr>
              <w:fldChar w:fldCharType="end"/>
            </w:r>
          </w:hyperlink>
        </w:p>
        <w:p w14:paraId="27D5BD87" w14:textId="6783AC8C"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517" w:history="1">
            <w:r w:rsidR="00BD4DB7" w:rsidRPr="0089237F">
              <w:rPr>
                <w:rStyle w:val="Hipervnculo"/>
                <w:rFonts w:eastAsia="Calibri"/>
                <w:noProof/>
              </w:rPr>
              <w:t>MODELO DE RIESGO</w:t>
            </w:r>
            <w:r w:rsidR="00BD4DB7">
              <w:rPr>
                <w:noProof/>
                <w:webHidden/>
              </w:rPr>
              <w:tab/>
            </w:r>
            <w:r w:rsidR="00BD4DB7">
              <w:rPr>
                <w:noProof/>
                <w:webHidden/>
              </w:rPr>
              <w:fldChar w:fldCharType="begin"/>
            </w:r>
            <w:r w:rsidR="00BD4DB7">
              <w:rPr>
                <w:noProof/>
                <w:webHidden/>
              </w:rPr>
              <w:instrText xml:space="preserve"> PAGEREF _Toc31716517 \h </w:instrText>
            </w:r>
            <w:r w:rsidR="00BD4DB7">
              <w:rPr>
                <w:noProof/>
                <w:webHidden/>
              </w:rPr>
            </w:r>
            <w:r w:rsidR="00BD4DB7">
              <w:rPr>
                <w:noProof/>
                <w:webHidden/>
              </w:rPr>
              <w:fldChar w:fldCharType="separate"/>
            </w:r>
            <w:r w:rsidR="00BD4DB7">
              <w:rPr>
                <w:noProof/>
                <w:webHidden/>
              </w:rPr>
              <w:t>459</w:t>
            </w:r>
            <w:r w:rsidR="00BD4DB7">
              <w:rPr>
                <w:noProof/>
                <w:webHidden/>
              </w:rPr>
              <w:fldChar w:fldCharType="end"/>
            </w:r>
          </w:hyperlink>
        </w:p>
        <w:p w14:paraId="4DD4A6F4" w14:textId="0501EA4B"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18" w:history="1">
            <w:r w:rsidR="00BD4DB7" w:rsidRPr="0089237F">
              <w:rPr>
                <w:rStyle w:val="Hipervnculo"/>
                <w:rFonts w:eastAsia="Calibri" w:cs="Times New Roman"/>
                <w:noProof/>
              </w:rPr>
              <w:t>Artículo 5.5.1.1</w:t>
            </w:r>
            <w:r w:rsidR="00BD4DB7" w:rsidRPr="0089237F">
              <w:rPr>
                <w:rStyle w:val="Hipervnculo"/>
                <w:rFonts w:eastAsia="Calibri"/>
                <w:noProof/>
              </w:rPr>
              <w:t xml:space="preserve"> Modelo de riesgo de la Cámara para el cálculo, gestión de Garantías y definición de Límites.</w:t>
            </w:r>
            <w:r w:rsidR="00BD4DB7">
              <w:rPr>
                <w:noProof/>
                <w:webHidden/>
              </w:rPr>
              <w:tab/>
            </w:r>
            <w:r w:rsidR="00BD4DB7">
              <w:rPr>
                <w:noProof/>
                <w:webHidden/>
              </w:rPr>
              <w:fldChar w:fldCharType="begin"/>
            </w:r>
            <w:r w:rsidR="00BD4DB7">
              <w:rPr>
                <w:noProof/>
                <w:webHidden/>
              </w:rPr>
              <w:instrText xml:space="preserve"> PAGEREF _Toc31716518 \h </w:instrText>
            </w:r>
            <w:r w:rsidR="00BD4DB7">
              <w:rPr>
                <w:noProof/>
                <w:webHidden/>
              </w:rPr>
            </w:r>
            <w:r w:rsidR="00BD4DB7">
              <w:rPr>
                <w:noProof/>
                <w:webHidden/>
              </w:rPr>
              <w:fldChar w:fldCharType="separate"/>
            </w:r>
            <w:r w:rsidR="00BD4DB7">
              <w:rPr>
                <w:noProof/>
                <w:webHidden/>
              </w:rPr>
              <w:t>459</w:t>
            </w:r>
            <w:r w:rsidR="00BD4DB7">
              <w:rPr>
                <w:noProof/>
                <w:webHidden/>
              </w:rPr>
              <w:fldChar w:fldCharType="end"/>
            </w:r>
          </w:hyperlink>
        </w:p>
        <w:p w14:paraId="7215C058" w14:textId="04D264E5"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519" w:history="1">
            <w:r w:rsidR="00BD4DB7" w:rsidRPr="0089237F">
              <w:rPr>
                <w:rStyle w:val="Hipervnculo"/>
                <w:rFonts w:eastAsia="Calibri"/>
                <w:noProof/>
              </w:rPr>
              <w:t>CAPÍTULO SEGUNDO</w:t>
            </w:r>
            <w:r w:rsidR="00BD4DB7">
              <w:rPr>
                <w:noProof/>
                <w:webHidden/>
              </w:rPr>
              <w:tab/>
            </w:r>
            <w:r w:rsidR="00BD4DB7">
              <w:rPr>
                <w:noProof/>
                <w:webHidden/>
              </w:rPr>
              <w:fldChar w:fldCharType="begin"/>
            </w:r>
            <w:r w:rsidR="00BD4DB7">
              <w:rPr>
                <w:noProof/>
                <w:webHidden/>
              </w:rPr>
              <w:instrText xml:space="preserve"> PAGEREF _Toc31716519 \h </w:instrText>
            </w:r>
            <w:r w:rsidR="00BD4DB7">
              <w:rPr>
                <w:noProof/>
                <w:webHidden/>
              </w:rPr>
            </w:r>
            <w:r w:rsidR="00BD4DB7">
              <w:rPr>
                <w:noProof/>
                <w:webHidden/>
              </w:rPr>
              <w:fldChar w:fldCharType="separate"/>
            </w:r>
            <w:r w:rsidR="00BD4DB7">
              <w:rPr>
                <w:noProof/>
                <w:webHidden/>
              </w:rPr>
              <w:t>460</w:t>
            </w:r>
            <w:r w:rsidR="00BD4DB7">
              <w:rPr>
                <w:noProof/>
                <w:webHidden/>
              </w:rPr>
              <w:fldChar w:fldCharType="end"/>
            </w:r>
          </w:hyperlink>
        </w:p>
        <w:p w14:paraId="4780EAC7" w14:textId="44351A58"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520" w:history="1">
            <w:r w:rsidR="00BD4DB7" w:rsidRPr="0089237F">
              <w:rPr>
                <w:rStyle w:val="Hipervnculo"/>
                <w:rFonts w:eastAsia="Calibri"/>
                <w:noProof/>
              </w:rPr>
              <w:t>GARANTÍAS Y GESTIÓN DE GARANTÍAS</w:t>
            </w:r>
            <w:r w:rsidR="00BD4DB7">
              <w:rPr>
                <w:noProof/>
                <w:webHidden/>
              </w:rPr>
              <w:tab/>
            </w:r>
            <w:r w:rsidR="00BD4DB7">
              <w:rPr>
                <w:noProof/>
                <w:webHidden/>
              </w:rPr>
              <w:fldChar w:fldCharType="begin"/>
            </w:r>
            <w:r w:rsidR="00BD4DB7">
              <w:rPr>
                <w:noProof/>
                <w:webHidden/>
              </w:rPr>
              <w:instrText xml:space="preserve"> PAGEREF _Toc31716520 \h </w:instrText>
            </w:r>
            <w:r w:rsidR="00BD4DB7">
              <w:rPr>
                <w:noProof/>
                <w:webHidden/>
              </w:rPr>
            </w:r>
            <w:r w:rsidR="00BD4DB7">
              <w:rPr>
                <w:noProof/>
                <w:webHidden/>
              </w:rPr>
              <w:fldChar w:fldCharType="separate"/>
            </w:r>
            <w:r w:rsidR="00BD4DB7">
              <w:rPr>
                <w:noProof/>
                <w:webHidden/>
              </w:rPr>
              <w:t>460</w:t>
            </w:r>
            <w:r w:rsidR="00BD4DB7">
              <w:rPr>
                <w:noProof/>
                <w:webHidden/>
              </w:rPr>
              <w:fldChar w:fldCharType="end"/>
            </w:r>
          </w:hyperlink>
        </w:p>
        <w:p w14:paraId="37BBA30B" w14:textId="1E08F43D"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21" w:history="1">
            <w:r w:rsidR="00BD4DB7" w:rsidRPr="0089237F">
              <w:rPr>
                <w:rStyle w:val="Hipervnculo"/>
                <w:noProof/>
              </w:rPr>
              <w:t>Artículo 5.5.2.1. Valor mínimo de la Garantía individual.</w:t>
            </w:r>
            <w:r w:rsidR="00BD4DB7">
              <w:rPr>
                <w:noProof/>
                <w:webHidden/>
              </w:rPr>
              <w:tab/>
            </w:r>
            <w:r w:rsidR="00BD4DB7">
              <w:rPr>
                <w:noProof/>
                <w:webHidden/>
              </w:rPr>
              <w:fldChar w:fldCharType="begin"/>
            </w:r>
            <w:r w:rsidR="00BD4DB7">
              <w:rPr>
                <w:noProof/>
                <w:webHidden/>
              </w:rPr>
              <w:instrText xml:space="preserve"> PAGEREF _Toc31716521 \h </w:instrText>
            </w:r>
            <w:r w:rsidR="00BD4DB7">
              <w:rPr>
                <w:noProof/>
                <w:webHidden/>
              </w:rPr>
            </w:r>
            <w:r w:rsidR="00BD4DB7">
              <w:rPr>
                <w:noProof/>
                <w:webHidden/>
              </w:rPr>
              <w:fldChar w:fldCharType="separate"/>
            </w:r>
            <w:r w:rsidR="00BD4DB7">
              <w:rPr>
                <w:noProof/>
                <w:webHidden/>
              </w:rPr>
              <w:t>460</w:t>
            </w:r>
            <w:r w:rsidR="00BD4DB7">
              <w:rPr>
                <w:noProof/>
                <w:webHidden/>
              </w:rPr>
              <w:fldChar w:fldCharType="end"/>
            </w:r>
          </w:hyperlink>
        </w:p>
        <w:p w14:paraId="346AB32A" w14:textId="20E85BE3"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22" w:history="1">
            <w:r w:rsidR="00BD4DB7" w:rsidRPr="0089237F">
              <w:rPr>
                <w:rStyle w:val="Hipervnculo"/>
                <w:noProof/>
              </w:rPr>
              <w:t>Artículo 5.5.2.2. Garantía Individual por estrés Test del Fondo de Garantía Colectiva.</w:t>
            </w:r>
            <w:r w:rsidR="00BD4DB7">
              <w:rPr>
                <w:noProof/>
                <w:webHidden/>
              </w:rPr>
              <w:tab/>
            </w:r>
            <w:r w:rsidR="00BD4DB7">
              <w:rPr>
                <w:noProof/>
                <w:webHidden/>
              </w:rPr>
              <w:fldChar w:fldCharType="begin"/>
            </w:r>
            <w:r w:rsidR="00BD4DB7">
              <w:rPr>
                <w:noProof/>
                <w:webHidden/>
              </w:rPr>
              <w:instrText xml:space="preserve"> PAGEREF _Toc31716522 \h </w:instrText>
            </w:r>
            <w:r w:rsidR="00BD4DB7">
              <w:rPr>
                <w:noProof/>
                <w:webHidden/>
              </w:rPr>
            </w:r>
            <w:r w:rsidR="00BD4DB7">
              <w:rPr>
                <w:noProof/>
                <w:webHidden/>
              </w:rPr>
              <w:fldChar w:fldCharType="separate"/>
            </w:r>
            <w:r w:rsidR="00BD4DB7">
              <w:rPr>
                <w:noProof/>
                <w:webHidden/>
              </w:rPr>
              <w:t>460</w:t>
            </w:r>
            <w:r w:rsidR="00BD4DB7">
              <w:rPr>
                <w:noProof/>
                <w:webHidden/>
              </w:rPr>
              <w:fldChar w:fldCharType="end"/>
            </w:r>
          </w:hyperlink>
        </w:p>
        <w:p w14:paraId="7C6827BF" w14:textId="62531A24"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23" w:history="1">
            <w:r w:rsidR="00BD4DB7" w:rsidRPr="0089237F">
              <w:rPr>
                <w:rStyle w:val="Hipervnculo"/>
                <w:rFonts w:eastAsiaTheme="minorHAnsi"/>
                <w:noProof/>
              </w:rPr>
              <w:t>Artículo 5.5.2.3. Garantías por Posición para el Segmento Swaps</w:t>
            </w:r>
            <w:r w:rsidR="00BD4DB7">
              <w:rPr>
                <w:noProof/>
                <w:webHidden/>
              </w:rPr>
              <w:tab/>
            </w:r>
            <w:r w:rsidR="00BD4DB7">
              <w:rPr>
                <w:noProof/>
                <w:webHidden/>
              </w:rPr>
              <w:fldChar w:fldCharType="begin"/>
            </w:r>
            <w:r w:rsidR="00BD4DB7">
              <w:rPr>
                <w:noProof/>
                <w:webHidden/>
              </w:rPr>
              <w:instrText xml:space="preserve"> PAGEREF _Toc31716523 \h </w:instrText>
            </w:r>
            <w:r w:rsidR="00BD4DB7">
              <w:rPr>
                <w:noProof/>
                <w:webHidden/>
              </w:rPr>
            </w:r>
            <w:r w:rsidR="00BD4DB7">
              <w:rPr>
                <w:noProof/>
                <w:webHidden/>
              </w:rPr>
              <w:fldChar w:fldCharType="separate"/>
            </w:r>
            <w:r w:rsidR="00BD4DB7">
              <w:rPr>
                <w:noProof/>
                <w:webHidden/>
              </w:rPr>
              <w:t>460</w:t>
            </w:r>
            <w:r w:rsidR="00BD4DB7">
              <w:rPr>
                <w:noProof/>
                <w:webHidden/>
              </w:rPr>
              <w:fldChar w:fldCharType="end"/>
            </w:r>
          </w:hyperlink>
        </w:p>
        <w:p w14:paraId="42C9D441" w14:textId="32848D1B"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24" w:history="1">
            <w:r w:rsidR="00BD4DB7" w:rsidRPr="0089237F">
              <w:rPr>
                <w:rStyle w:val="Hipervnculo"/>
                <w:noProof/>
              </w:rPr>
              <w:t xml:space="preserve">Artículo 5.5.2.4. Procedimiento de Cálculo de Garantías por Posición Inicial según el modelo de riesgo </w:t>
            </w:r>
            <w:r w:rsidR="00BD4DB7" w:rsidRPr="0089237F">
              <w:rPr>
                <w:rStyle w:val="Hipervnculo"/>
                <w:rFonts w:eastAsia="Calibri"/>
                <w:noProof/>
              </w:rPr>
              <w:t>Método Historical VaR.</w:t>
            </w:r>
            <w:r w:rsidR="00BD4DB7">
              <w:rPr>
                <w:noProof/>
                <w:webHidden/>
              </w:rPr>
              <w:tab/>
            </w:r>
            <w:r w:rsidR="00BD4DB7">
              <w:rPr>
                <w:noProof/>
                <w:webHidden/>
              </w:rPr>
              <w:fldChar w:fldCharType="begin"/>
            </w:r>
            <w:r w:rsidR="00BD4DB7">
              <w:rPr>
                <w:noProof/>
                <w:webHidden/>
              </w:rPr>
              <w:instrText xml:space="preserve"> PAGEREF _Toc31716524 \h </w:instrText>
            </w:r>
            <w:r w:rsidR="00BD4DB7">
              <w:rPr>
                <w:noProof/>
                <w:webHidden/>
              </w:rPr>
            </w:r>
            <w:r w:rsidR="00BD4DB7">
              <w:rPr>
                <w:noProof/>
                <w:webHidden/>
              </w:rPr>
              <w:fldChar w:fldCharType="separate"/>
            </w:r>
            <w:r w:rsidR="00BD4DB7">
              <w:rPr>
                <w:noProof/>
                <w:webHidden/>
              </w:rPr>
              <w:t>460</w:t>
            </w:r>
            <w:r w:rsidR="00BD4DB7">
              <w:rPr>
                <w:noProof/>
                <w:webHidden/>
              </w:rPr>
              <w:fldChar w:fldCharType="end"/>
            </w:r>
          </w:hyperlink>
        </w:p>
        <w:p w14:paraId="53E0A3D8" w14:textId="491FAC8E"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25" w:history="1">
            <w:r w:rsidR="00BD4DB7" w:rsidRPr="0089237F">
              <w:rPr>
                <w:rStyle w:val="Hipervnculo"/>
                <w:noProof/>
              </w:rPr>
              <w:t>(Este artículo fue modificado mediante Circular 19 del 22 de noviembre de 2019, publicada en el Boletín Normativo No. 034 del 22 de noviembre de 2019. Rige a partir del 25 de noviembre de 2019).</w:t>
            </w:r>
            <w:r w:rsidR="00BD4DB7">
              <w:rPr>
                <w:noProof/>
                <w:webHidden/>
              </w:rPr>
              <w:tab/>
            </w:r>
            <w:r w:rsidR="00BD4DB7">
              <w:rPr>
                <w:noProof/>
                <w:webHidden/>
              </w:rPr>
              <w:fldChar w:fldCharType="begin"/>
            </w:r>
            <w:r w:rsidR="00BD4DB7">
              <w:rPr>
                <w:noProof/>
                <w:webHidden/>
              </w:rPr>
              <w:instrText xml:space="preserve"> PAGEREF _Toc31716525 \h </w:instrText>
            </w:r>
            <w:r w:rsidR="00BD4DB7">
              <w:rPr>
                <w:noProof/>
                <w:webHidden/>
              </w:rPr>
            </w:r>
            <w:r w:rsidR="00BD4DB7">
              <w:rPr>
                <w:noProof/>
                <w:webHidden/>
              </w:rPr>
              <w:fldChar w:fldCharType="separate"/>
            </w:r>
            <w:r w:rsidR="00BD4DB7">
              <w:rPr>
                <w:noProof/>
                <w:webHidden/>
              </w:rPr>
              <w:t>460</w:t>
            </w:r>
            <w:r w:rsidR="00BD4DB7">
              <w:rPr>
                <w:noProof/>
                <w:webHidden/>
              </w:rPr>
              <w:fldChar w:fldCharType="end"/>
            </w:r>
          </w:hyperlink>
        </w:p>
        <w:p w14:paraId="6BFA7453" w14:textId="2C9A390B"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26" w:history="1">
            <w:r w:rsidR="00BD4DB7" w:rsidRPr="0089237F">
              <w:rPr>
                <w:rStyle w:val="Hipervnculo"/>
                <w:noProof/>
              </w:rPr>
              <w:t>Artículo 5.5.2.5. Parámetros para cálculo de Garantía por Posición Inicial.</w:t>
            </w:r>
            <w:r w:rsidR="00BD4DB7">
              <w:rPr>
                <w:noProof/>
                <w:webHidden/>
              </w:rPr>
              <w:tab/>
            </w:r>
            <w:r w:rsidR="00BD4DB7">
              <w:rPr>
                <w:noProof/>
                <w:webHidden/>
              </w:rPr>
              <w:fldChar w:fldCharType="begin"/>
            </w:r>
            <w:r w:rsidR="00BD4DB7">
              <w:rPr>
                <w:noProof/>
                <w:webHidden/>
              </w:rPr>
              <w:instrText xml:space="preserve"> PAGEREF _Toc31716526 \h </w:instrText>
            </w:r>
            <w:r w:rsidR="00BD4DB7">
              <w:rPr>
                <w:noProof/>
                <w:webHidden/>
              </w:rPr>
            </w:r>
            <w:r w:rsidR="00BD4DB7">
              <w:rPr>
                <w:noProof/>
                <w:webHidden/>
              </w:rPr>
              <w:fldChar w:fldCharType="separate"/>
            </w:r>
            <w:r w:rsidR="00BD4DB7">
              <w:rPr>
                <w:noProof/>
                <w:webHidden/>
              </w:rPr>
              <w:t>471</w:t>
            </w:r>
            <w:r w:rsidR="00BD4DB7">
              <w:rPr>
                <w:noProof/>
                <w:webHidden/>
              </w:rPr>
              <w:fldChar w:fldCharType="end"/>
            </w:r>
          </w:hyperlink>
        </w:p>
        <w:p w14:paraId="024D92B6" w14:textId="7C93BC0B"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27" w:history="1">
            <w:r w:rsidR="00BD4DB7" w:rsidRPr="0089237F">
              <w:rPr>
                <w:rStyle w:val="Hipervnculo"/>
                <w:noProof/>
              </w:rPr>
              <w:t>(Este artículo fue modificado mediante Circular 19 del 22 de noviembre de 2019, publicada en el Boletín Normativo No. 034 del 22 de noviembre de 2019. Rige a partir del 25 de noviembre de 2019).</w:t>
            </w:r>
            <w:r w:rsidR="00BD4DB7">
              <w:rPr>
                <w:noProof/>
                <w:webHidden/>
              </w:rPr>
              <w:tab/>
            </w:r>
            <w:r w:rsidR="00BD4DB7">
              <w:rPr>
                <w:noProof/>
                <w:webHidden/>
              </w:rPr>
              <w:fldChar w:fldCharType="begin"/>
            </w:r>
            <w:r w:rsidR="00BD4DB7">
              <w:rPr>
                <w:noProof/>
                <w:webHidden/>
              </w:rPr>
              <w:instrText xml:space="preserve"> PAGEREF _Toc31716527 \h </w:instrText>
            </w:r>
            <w:r w:rsidR="00BD4DB7">
              <w:rPr>
                <w:noProof/>
                <w:webHidden/>
              </w:rPr>
            </w:r>
            <w:r w:rsidR="00BD4DB7">
              <w:rPr>
                <w:noProof/>
                <w:webHidden/>
              </w:rPr>
              <w:fldChar w:fldCharType="separate"/>
            </w:r>
            <w:r w:rsidR="00BD4DB7">
              <w:rPr>
                <w:noProof/>
                <w:webHidden/>
              </w:rPr>
              <w:t>471</w:t>
            </w:r>
            <w:r w:rsidR="00BD4DB7">
              <w:rPr>
                <w:noProof/>
                <w:webHidden/>
              </w:rPr>
              <w:fldChar w:fldCharType="end"/>
            </w:r>
          </w:hyperlink>
        </w:p>
        <w:p w14:paraId="7501FBA6" w14:textId="1CA304AD"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28" w:history="1">
            <w:r w:rsidR="00BD4DB7" w:rsidRPr="0089237F">
              <w:rPr>
                <w:rStyle w:val="Hipervnculo"/>
                <w:noProof/>
              </w:rPr>
              <w:t>Artículo 5.5.2.6. Determinación de la Garantía por Posición Variable (VM) sobre Swaps y del PA.</w:t>
            </w:r>
            <w:r w:rsidR="00BD4DB7">
              <w:rPr>
                <w:noProof/>
                <w:webHidden/>
              </w:rPr>
              <w:tab/>
            </w:r>
            <w:r w:rsidR="00BD4DB7">
              <w:rPr>
                <w:noProof/>
                <w:webHidden/>
              </w:rPr>
              <w:fldChar w:fldCharType="begin"/>
            </w:r>
            <w:r w:rsidR="00BD4DB7">
              <w:rPr>
                <w:noProof/>
                <w:webHidden/>
              </w:rPr>
              <w:instrText xml:space="preserve"> PAGEREF _Toc31716528 \h </w:instrText>
            </w:r>
            <w:r w:rsidR="00BD4DB7">
              <w:rPr>
                <w:noProof/>
                <w:webHidden/>
              </w:rPr>
            </w:r>
            <w:r w:rsidR="00BD4DB7">
              <w:rPr>
                <w:noProof/>
                <w:webHidden/>
              </w:rPr>
              <w:fldChar w:fldCharType="separate"/>
            </w:r>
            <w:r w:rsidR="00BD4DB7">
              <w:rPr>
                <w:noProof/>
                <w:webHidden/>
              </w:rPr>
              <w:t>472</w:t>
            </w:r>
            <w:r w:rsidR="00BD4DB7">
              <w:rPr>
                <w:noProof/>
                <w:webHidden/>
              </w:rPr>
              <w:fldChar w:fldCharType="end"/>
            </w:r>
          </w:hyperlink>
        </w:p>
        <w:p w14:paraId="681FFD99" w14:textId="7470C9D5"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29" w:history="1">
            <w:r w:rsidR="00BD4DB7" w:rsidRPr="0089237F">
              <w:rPr>
                <w:rStyle w:val="Hipervnculo"/>
                <w:rFonts w:eastAsia="Calibri"/>
                <w:noProof/>
              </w:rPr>
              <w:t>(Este artículo fue modificado</w:t>
            </w:r>
            <w:r w:rsidR="00BD4DB7" w:rsidRPr="0089237F">
              <w:rPr>
                <w:rStyle w:val="Hipervnculo"/>
                <w:noProof/>
              </w:rPr>
              <w:t xml:space="preserve"> mediante Circular 19 del 22 de noviembre de 2019, publicada en el Boletín Normativo No. 034 del 22 de noviembre de 2019. Rige a partir del 25 de noviembre de 2019).</w:t>
            </w:r>
            <w:r w:rsidR="00BD4DB7">
              <w:rPr>
                <w:noProof/>
                <w:webHidden/>
              </w:rPr>
              <w:tab/>
            </w:r>
            <w:r w:rsidR="00BD4DB7">
              <w:rPr>
                <w:noProof/>
                <w:webHidden/>
              </w:rPr>
              <w:fldChar w:fldCharType="begin"/>
            </w:r>
            <w:r w:rsidR="00BD4DB7">
              <w:rPr>
                <w:noProof/>
                <w:webHidden/>
              </w:rPr>
              <w:instrText xml:space="preserve"> PAGEREF _Toc31716529 \h </w:instrText>
            </w:r>
            <w:r w:rsidR="00BD4DB7">
              <w:rPr>
                <w:noProof/>
                <w:webHidden/>
              </w:rPr>
            </w:r>
            <w:r w:rsidR="00BD4DB7">
              <w:rPr>
                <w:noProof/>
                <w:webHidden/>
              </w:rPr>
              <w:fldChar w:fldCharType="separate"/>
            </w:r>
            <w:r w:rsidR="00BD4DB7">
              <w:rPr>
                <w:noProof/>
                <w:webHidden/>
              </w:rPr>
              <w:t>472</w:t>
            </w:r>
            <w:r w:rsidR="00BD4DB7">
              <w:rPr>
                <w:noProof/>
                <w:webHidden/>
              </w:rPr>
              <w:fldChar w:fldCharType="end"/>
            </w:r>
          </w:hyperlink>
        </w:p>
        <w:p w14:paraId="2E50D5E3" w14:textId="6F893B0C"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30" w:history="1">
            <w:r w:rsidR="00BD4DB7" w:rsidRPr="0089237F">
              <w:rPr>
                <w:rStyle w:val="Hipervnculo"/>
                <w:noProof/>
              </w:rPr>
              <w:t>Artículo 5.5.2.7. Petición de Garantía por Posición Variable (VM) Intradía sobre Swaps.</w:t>
            </w:r>
            <w:r w:rsidR="00BD4DB7">
              <w:rPr>
                <w:noProof/>
                <w:webHidden/>
              </w:rPr>
              <w:tab/>
            </w:r>
            <w:r w:rsidR="00BD4DB7">
              <w:rPr>
                <w:noProof/>
                <w:webHidden/>
              </w:rPr>
              <w:fldChar w:fldCharType="begin"/>
            </w:r>
            <w:r w:rsidR="00BD4DB7">
              <w:rPr>
                <w:noProof/>
                <w:webHidden/>
              </w:rPr>
              <w:instrText xml:space="preserve"> PAGEREF _Toc31716530 \h </w:instrText>
            </w:r>
            <w:r w:rsidR="00BD4DB7">
              <w:rPr>
                <w:noProof/>
                <w:webHidden/>
              </w:rPr>
            </w:r>
            <w:r w:rsidR="00BD4DB7">
              <w:rPr>
                <w:noProof/>
                <w:webHidden/>
              </w:rPr>
              <w:fldChar w:fldCharType="separate"/>
            </w:r>
            <w:r w:rsidR="00BD4DB7">
              <w:rPr>
                <w:noProof/>
                <w:webHidden/>
              </w:rPr>
              <w:t>474</w:t>
            </w:r>
            <w:r w:rsidR="00BD4DB7">
              <w:rPr>
                <w:noProof/>
                <w:webHidden/>
              </w:rPr>
              <w:fldChar w:fldCharType="end"/>
            </w:r>
          </w:hyperlink>
        </w:p>
        <w:p w14:paraId="6E2A303E" w14:textId="12698967"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31" w:history="1">
            <w:r w:rsidR="00BD4DB7" w:rsidRPr="0089237F">
              <w:rPr>
                <w:rStyle w:val="Hipervnculo"/>
                <w:bCs/>
                <w:noProof/>
              </w:rPr>
              <w:t>(Este artículo fue modificado</w:t>
            </w:r>
            <w:r w:rsidR="00BD4DB7" w:rsidRPr="0089237F">
              <w:rPr>
                <w:rStyle w:val="Hipervnculo"/>
                <w:noProof/>
              </w:rPr>
              <w:t xml:space="preserve"> mediante Circular 19 del 22 de noviembre de 2019, publicada en el Boletín Normativo No. 034 del 22 de noviembre de 2019. Rige a partir del 25 de noviembre de 2019).</w:t>
            </w:r>
            <w:r w:rsidR="00BD4DB7">
              <w:rPr>
                <w:noProof/>
                <w:webHidden/>
              </w:rPr>
              <w:tab/>
            </w:r>
            <w:r w:rsidR="00BD4DB7">
              <w:rPr>
                <w:noProof/>
                <w:webHidden/>
              </w:rPr>
              <w:fldChar w:fldCharType="begin"/>
            </w:r>
            <w:r w:rsidR="00BD4DB7">
              <w:rPr>
                <w:noProof/>
                <w:webHidden/>
              </w:rPr>
              <w:instrText xml:space="preserve"> PAGEREF _Toc31716531 \h </w:instrText>
            </w:r>
            <w:r w:rsidR="00BD4DB7">
              <w:rPr>
                <w:noProof/>
                <w:webHidden/>
              </w:rPr>
            </w:r>
            <w:r w:rsidR="00BD4DB7">
              <w:rPr>
                <w:noProof/>
                <w:webHidden/>
              </w:rPr>
              <w:fldChar w:fldCharType="separate"/>
            </w:r>
            <w:r w:rsidR="00BD4DB7">
              <w:rPr>
                <w:noProof/>
                <w:webHidden/>
              </w:rPr>
              <w:t>474</w:t>
            </w:r>
            <w:r w:rsidR="00BD4DB7">
              <w:rPr>
                <w:noProof/>
                <w:webHidden/>
              </w:rPr>
              <w:fldChar w:fldCharType="end"/>
            </w:r>
          </w:hyperlink>
        </w:p>
        <w:p w14:paraId="63899F00" w14:textId="753B9AE1"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32" w:history="1">
            <w:r w:rsidR="00BD4DB7" w:rsidRPr="0089237F">
              <w:rPr>
                <w:rStyle w:val="Hipervnculo"/>
                <w:noProof/>
              </w:rPr>
              <w:t>Artículo 5.5.2.8. Procedimiento de cálculo de la Garantía Extraordinaria por variación de precios en el Segmento Swaps.</w:t>
            </w:r>
            <w:r w:rsidR="00BD4DB7">
              <w:rPr>
                <w:noProof/>
                <w:webHidden/>
              </w:rPr>
              <w:tab/>
            </w:r>
            <w:r w:rsidR="00BD4DB7">
              <w:rPr>
                <w:noProof/>
                <w:webHidden/>
              </w:rPr>
              <w:fldChar w:fldCharType="begin"/>
            </w:r>
            <w:r w:rsidR="00BD4DB7">
              <w:rPr>
                <w:noProof/>
                <w:webHidden/>
              </w:rPr>
              <w:instrText xml:space="preserve"> PAGEREF _Toc31716532 \h </w:instrText>
            </w:r>
            <w:r w:rsidR="00BD4DB7">
              <w:rPr>
                <w:noProof/>
                <w:webHidden/>
              </w:rPr>
            </w:r>
            <w:r w:rsidR="00BD4DB7">
              <w:rPr>
                <w:noProof/>
                <w:webHidden/>
              </w:rPr>
              <w:fldChar w:fldCharType="separate"/>
            </w:r>
            <w:r w:rsidR="00BD4DB7">
              <w:rPr>
                <w:noProof/>
                <w:webHidden/>
              </w:rPr>
              <w:t>474</w:t>
            </w:r>
            <w:r w:rsidR="00BD4DB7">
              <w:rPr>
                <w:noProof/>
                <w:webHidden/>
              </w:rPr>
              <w:fldChar w:fldCharType="end"/>
            </w:r>
          </w:hyperlink>
        </w:p>
        <w:p w14:paraId="31A5B32B" w14:textId="540A8674"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33" w:history="1">
            <w:r w:rsidR="00BD4DB7" w:rsidRPr="0089237F">
              <w:rPr>
                <w:rStyle w:val="Hipervnculo"/>
                <w:bCs/>
                <w:noProof/>
              </w:rPr>
              <w:t>(</w:t>
            </w:r>
            <w:r w:rsidR="00BD4DB7" w:rsidRPr="0089237F">
              <w:rPr>
                <w:rStyle w:val="Hipervnculo"/>
                <w:noProof/>
              </w:rPr>
              <w:t>Este artículo fue modificado mediante Circular 19 del 22 de noviembre de 2019, publicada en el Boletín Normativo No. 034 del 22 de noviembre de 2019. Rige a partir del 25 de noviembre de 2019).</w:t>
            </w:r>
            <w:r w:rsidR="00BD4DB7">
              <w:rPr>
                <w:noProof/>
                <w:webHidden/>
              </w:rPr>
              <w:tab/>
            </w:r>
            <w:r w:rsidR="00BD4DB7">
              <w:rPr>
                <w:noProof/>
                <w:webHidden/>
              </w:rPr>
              <w:fldChar w:fldCharType="begin"/>
            </w:r>
            <w:r w:rsidR="00BD4DB7">
              <w:rPr>
                <w:noProof/>
                <w:webHidden/>
              </w:rPr>
              <w:instrText xml:space="preserve"> PAGEREF _Toc31716533 \h </w:instrText>
            </w:r>
            <w:r w:rsidR="00BD4DB7">
              <w:rPr>
                <w:noProof/>
                <w:webHidden/>
              </w:rPr>
            </w:r>
            <w:r w:rsidR="00BD4DB7">
              <w:rPr>
                <w:noProof/>
                <w:webHidden/>
              </w:rPr>
              <w:fldChar w:fldCharType="separate"/>
            </w:r>
            <w:r w:rsidR="00BD4DB7">
              <w:rPr>
                <w:noProof/>
                <w:webHidden/>
              </w:rPr>
              <w:t>474</w:t>
            </w:r>
            <w:r w:rsidR="00BD4DB7">
              <w:rPr>
                <w:noProof/>
                <w:webHidden/>
              </w:rPr>
              <w:fldChar w:fldCharType="end"/>
            </w:r>
          </w:hyperlink>
        </w:p>
        <w:p w14:paraId="3CD74F3D" w14:textId="2E3F8279"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34" w:history="1">
            <w:r w:rsidR="00BD4DB7" w:rsidRPr="0089237F">
              <w:rPr>
                <w:rStyle w:val="Hipervnculo"/>
                <w:noProof/>
              </w:rPr>
              <w:t>Artículo. 5.5.2.9. Cálculo del riesgo del Miembro Liquidador en situación de estrés test.</w:t>
            </w:r>
            <w:r w:rsidR="00BD4DB7">
              <w:rPr>
                <w:noProof/>
                <w:webHidden/>
              </w:rPr>
              <w:tab/>
            </w:r>
            <w:r w:rsidR="00BD4DB7">
              <w:rPr>
                <w:noProof/>
                <w:webHidden/>
              </w:rPr>
              <w:fldChar w:fldCharType="begin"/>
            </w:r>
            <w:r w:rsidR="00BD4DB7">
              <w:rPr>
                <w:noProof/>
                <w:webHidden/>
              </w:rPr>
              <w:instrText xml:space="preserve"> PAGEREF _Toc31716534 \h </w:instrText>
            </w:r>
            <w:r w:rsidR="00BD4DB7">
              <w:rPr>
                <w:noProof/>
                <w:webHidden/>
              </w:rPr>
            </w:r>
            <w:r w:rsidR="00BD4DB7">
              <w:rPr>
                <w:noProof/>
                <w:webHidden/>
              </w:rPr>
              <w:fldChar w:fldCharType="separate"/>
            </w:r>
            <w:r w:rsidR="00BD4DB7">
              <w:rPr>
                <w:noProof/>
                <w:webHidden/>
              </w:rPr>
              <w:t>475</w:t>
            </w:r>
            <w:r w:rsidR="00BD4DB7">
              <w:rPr>
                <w:noProof/>
                <w:webHidden/>
              </w:rPr>
              <w:fldChar w:fldCharType="end"/>
            </w:r>
          </w:hyperlink>
        </w:p>
        <w:p w14:paraId="2B07B01A" w14:textId="34A5C7B8"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35" w:history="1">
            <w:r w:rsidR="00BD4DB7" w:rsidRPr="0089237F">
              <w:rPr>
                <w:rStyle w:val="Hipervnculo"/>
                <w:noProof/>
              </w:rPr>
              <w:t>Artículo 5.5.2.10. Escenarios para el cálculo del riesgo en situación de estrés para el Segmento Swaps.</w:t>
            </w:r>
            <w:r w:rsidR="00BD4DB7">
              <w:rPr>
                <w:noProof/>
                <w:webHidden/>
              </w:rPr>
              <w:tab/>
            </w:r>
            <w:r w:rsidR="00BD4DB7">
              <w:rPr>
                <w:noProof/>
                <w:webHidden/>
              </w:rPr>
              <w:fldChar w:fldCharType="begin"/>
            </w:r>
            <w:r w:rsidR="00BD4DB7">
              <w:rPr>
                <w:noProof/>
                <w:webHidden/>
              </w:rPr>
              <w:instrText xml:space="preserve"> PAGEREF _Toc31716535 \h </w:instrText>
            </w:r>
            <w:r w:rsidR="00BD4DB7">
              <w:rPr>
                <w:noProof/>
                <w:webHidden/>
              </w:rPr>
            </w:r>
            <w:r w:rsidR="00BD4DB7">
              <w:rPr>
                <w:noProof/>
                <w:webHidden/>
              </w:rPr>
              <w:fldChar w:fldCharType="separate"/>
            </w:r>
            <w:r w:rsidR="00BD4DB7">
              <w:rPr>
                <w:noProof/>
                <w:webHidden/>
              </w:rPr>
              <w:t>476</w:t>
            </w:r>
            <w:r w:rsidR="00BD4DB7">
              <w:rPr>
                <w:noProof/>
                <w:webHidden/>
              </w:rPr>
              <w:fldChar w:fldCharType="end"/>
            </w:r>
          </w:hyperlink>
        </w:p>
        <w:p w14:paraId="60FBA039" w14:textId="0F9AF2DE"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36" w:history="1">
            <w:r w:rsidR="00BD4DB7" w:rsidRPr="0089237F">
              <w:rPr>
                <w:rStyle w:val="Hipervnculo"/>
                <w:noProof/>
              </w:rPr>
              <w:t>Artículo 5.5.2.11. Aportación mínima al Fondo de Garantía Colectiva de los Miembros para el Segmento Swaps.</w:t>
            </w:r>
            <w:r w:rsidR="00BD4DB7">
              <w:rPr>
                <w:noProof/>
                <w:webHidden/>
              </w:rPr>
              <w:tab/>
            </w:r>
            <w:r w:rsidR="00BD4DB7">
              <w:rPr>
                <w:noProof/>
                <w:webHidden/>
              </w:rPr>
              <w:fldChar w:fldCharType="begin"/>
            </w:r>
            <w:r w:rsidR="00BD4DB7">
              <w:rPr>
                <w:noProof/>
                <w:webHidden/>
              </w:rPr>
              <w:instrText xml:space="preserve"> PAGEREF _Toc31716536 \h </w:instrText>
            </w:r>
            <w:r w:rsidR="00BD4DB7">
              <w:rPr>
                <w:noProof/>
                <w:webHidden/>
              </w:rPr>
            </w:r>
            <w:r w:rsidR="00BD4DB7">
              <w:rPr>
                <w:noProof/>
                <w:webHidden/>
              </w:rPr>
              <w:fldChar w:fldCharType="separate"/>
            </w:r>
            <w:r w:rsidR="00BD4DB7">
              <w:rPr>
                <w:noProof/>
                <w:webHidden/>
              </w:rPr>
              <w:t>478</w:t>
            </w:r>
            <w:r w:rsidR="00BD4DB7">
              <w:rPr>
                <w:noProof/>
                <w:webHidden/>
              </w:rPr>
              <w:fldChar w:fldCharType="end"/>
            </w:r>
          </w:hyperlink>
        </w:p>
        <w:p w14:paraId="303E8F30" w14:textId="74869582"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37" w:history="1">
            <w:r w:rsidR="00BD4DB7" w:rsidRPr="0089237F">
              <w:rPr>
                <w:rStyle w:val="Hipervnculo"/>
                <w:noProof/>
              </w:rPr>
              <w:t>Artículo 5.5.2.12.  Importe mínimo a aportar para la constitución del Fondo de Garantía Colectiva y tamaño mínimo del Fondo.</w:t>
            </w:r>
            <w:r w:rsidR="00BD4DB7">
              <w:rPr>
                <w:noProof/>
                <w:webHidden/>
              </w:rPr>
              <w:tab/>
            </w:r>
            <w:r w:rsidR="00BD4DB7">
              <w:rPr>
                <w:noProof/>
                <w:webHidden/>
              </w:rPr>
              <w:fldChar w:fldCharType="begin"/>
            </w:r>
            <w:r w:rsidR="00BD4DB7">
              <w:rPr>
                <w:noProof/>
                <w:webHidden/>
              </w:rPr>
              <w:instrText xml:space="preserve"> PAGEREF _Toc31716537 \h </w:instrText>
            </w:r>
            <w:r w:rsidR="00BD4DB7">
              <w:rPr>
                <w:noProof/>
                <w:webHidden/>
              </w:rPr>
            </w:r>
            <w:r w:rsidR="00BD4DB7">
              <w:rPr>
                <w:noProof/>
                <w:webHidden/>
              </w:rPr>
              <w:fldChar w:fldCharType="separate"/>
            </w:r>
            <w:r w:rsidR="00BD4DB7">
              <w:rPr>
                <w:noProof/>
                <w:webHidden/>
              </w:rPr>
              <w:t>479</w:t>
            </w:r>
            <w:r w:rsidR="00BD4DB7">
              <w:rPr>
                <w:noProof/>
                <w:webHidden/>
              </w:rPr>
              <w:fldChar w:fldCharType="end"/>
            </w:r>
          </w:hyperlink>
        </w:p>
        <w:p w14:paraId="6B07EE2A" w14:textId="06667141"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38" w:history="1">
            <w:r w:rsidR="00BD4DB7" w:rsidRPr="0089237F">
              <w:rPr>
                <w:rStyle w:val="Hipervnculo"/>
                <w:noProof/>
              </w:rPr>
              <w:t>Artículo 5.5.2.13. Constitución, actualización y reposición del Fondo de Garantía Colectiva.</w:t>
            </w:r>
            <w:r w:rsidR="00BD4DB7">
              <w:rPr>
                <w:noProof/>
                <w:webHidden/>
              </w:rPr>
              <w:tab/>
            </w:r>
            <w:r w:rsidR="00BD4DB7">
              <w:rPr>
                <w:noProof/>
                <w:webHidden/>
              </w:rPr>
              <w:fldChar w:fldCharType="begin"/>
            </w:r>
            <w:r w:rsidR="00BD4DB7">
              <w:rPr>
                <w:noProof/>
                <w:webHidden/>
              </w:rPr>
              <w:instrText xml:space="preserve"> PAGEREF _Toc31716538 \h </w:instrText>
            </w:r>
            <w:r w:rsidR="00BD4DB7">
              <w:rPr>
                <w:noProof/>
                <w:webHidden/>
              </w:rPr>
            </w:r>
            <w:r w:rsidR="00BD4DB7">
              <w:rPr>
                <w:noProof/>
                <w:webHidden/>
              </w:rPr>
              <w:fldChar w:fldCharType="separate"/>
            </w:r>
            <w:r w:rsidR="00BD4DB7">
              <w:rPr>
                <w:noProof/>
                <w:webHidden/>
              </w:rPr>
              <w:t>479</w:t>
            </w:r>
            <w:r w:rsidR="00BD4DB7">
              <w:rPr>
                <w:noProof/>
                <w:webHidden/>
              </w:rPr>
              <w:fldChar w:fldCharType="end"/>
            </w:r>
          </w:hyperlink>
        </w:p>
        <w:p w14:paraId="2A48B746" w14:textId="1A95EA86"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39" w:history="1">
            <w:r w:rsidR="00BD4DB7" w:rsidRPr="0089237F">
              <w:rPr>
                <w:rStyle w:val="Hipervnculo"/>
                <w:noProof/>
              </w:rPr>
              <w:t>Artículo 5.5.2.14. Contribuciones para la continuidad del servicio.</w:t>
            </w:r>
            <w:r w:rsidR="00BD4DB7">
              <w:rPr>
                <w:noProof/>
                <w:webHidden/>
              </w:rPr>
              <w:tab/>
            </w:r>
            <w:r w:rsidR="00BD4DB7">
              <w:rPr>
                <w:noProof/>
                <w:webHidden/>
              </w:rPr>
              <w:fldChar w:fldCharType="begin"/>
            </w:r>
            <w:r w:rsidR="00BD4DB7">
              <w:rPr>
                <w:noProof/>
                <w:webHidden/>
              </w:rPr>
              <w:instrText xml:space="preserve"> PAGEREF _Toc31716539 \h </w:instrText>
            </w:r>
            <w:r w:rsidR="00BD4DB7">
              <w:rPr>
                <w:noProof/>
                <w:webHidden/>
              </w:rPr>
            </w:r>
            <w:r w:rsidR="00BD4DB7">
              <w:rPr>
                <w:noProof/>
                <w:webHidden/>
              </w:rPr>
              <w:fldChar w:fldCharType="separate"/>
            </w:r>
            <w:r w:rsidR="00BD4DB7">
              <w:rPr>
                <w:noProof/>
                <w:webHidden/>
              </w:rPr>
              <w:t>479</w:t>
            </w:r>
            <w:r w:rsidR="00BD4DB7">
              <w:rPr>
                <w:noProof/>
                <w:webHidden/>
              </w:rPr>
              <w:fldChar w:fldCharType="end"/>
            </w:r>
          </w:hyperlink>
        </w:p>
        <w:p w14:paraId="42ABAF34" w14:textId="6F1D3C82"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40" w:history="1">
            <w:r w:rsidR="00BD4DB7" w:rsidRPr="0089237F">
              <w:rPr>
                <w:rStyle w:val="Hipervnculo"/>
                <w:noProof/>
              </w:rPr>
              <w:t>Artículo 5.5.2.15. Recursos Propios Específicos.</w:t>
            </w:r>
            <w:r w:rsidR="00BD4DB7">
              <w:rPr>
                <w:noProof/>
                <w:webHidden/>
              </w:rPr>
              <w:tab/>
            </w:r>
            <w:r w:rsidR="00BD4DB7">
              <w:rPr>
                <w:noProof/>
                <w:webHidden/>
              </w:rPr>
              <w:fldChar w:fldCharType="begin"/>
            </w:r>
            <w:r w:rsidR="00BD4DB7">
              <w:rPr>
                <w:noProof/>
                <w:webHidden/>
              </w:rPr>
              <w:instrText xml:space="preserve"> PAGEREF _Toc31716540 \h </w:instrText>
            </w:r>
            <w:r w:rsidR="00BD4DB7">
              <w:rPr>
                <w:noProof/>
                <w:webHidden/>
              </w:rPr>
            </w:r>
            <w:r w:rsidR="00BD4DB7">
              <w:rPr>
                <w:noProof/>
                <w:webHidden/>
              </w:rPr>
              <w:fldChar w:fldCharType="separate"/>
            </w:r>
            <w:r w:rsidR="00BD4DB7">
              <w:rPr>
                <w:noProof/>
                <w:webHidden/>
              </w:rPr>
              <w:t>479</w:t>
            </w:r>
            <w:r w:rsidR="00BD4DB7">
              <w:rPr>
                <w:noProof/>
                <w:webHidden/>
              </w:rPr>
              <w:fldChar w:fldCharType="end"/>
            </w:r>
          </w:hyperlink>
        </w:p>
        <w:p w14:paraId="4F6D2F43" w14:textId="784C1C08"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541" w:history="1">
            <w:r w:rsidR="00BD4DB7" w:rsidRPr="0089237F">
              <w:rPr>
                <w:rStyle w:val="Hipervnculo"/>
                <w:noProof/>
              </w:rPr>
              <w:t>CAPÍTULO TERCERO</w:t>
            </w:r>
            <w:r w:rsidR="00BD4DB7">
              <w:rPr>
                <w:noProof/>
                <w:webHidden/>
              </w:rPr>
              <w:tab/>
            </w:r>
            <w:r w:rsidR="00BD4DB7">
              <w:rPr>
                <w:noProof/>
                <w:webHidden/>
              </w:rPr>
              <w:fldChar w:fldCharType="begin"/>
            </w:r>
            <w:r w:rsidR="00BD4DB7">
              <w:rPr>
                <w:noProof/>
                <w:webHidden/>
              </w:rPr>
              <w:instrText xml:space="preserve"> PAGEREF _Toc31716541 \h </w:instrText>
            </w:r>
            <w:r w:rsidR="00BD4DB7">
              <w:rPr>
                <w:noProof/>
                <w:webHidden/>
              </w:rPr>
            </w:r>
            <w:r w:rsidR="00BD4DB7">
              <w:rPr>
                <w:noProof/>
                <w:webHidden/>
              </w:rPr>
              <w:fldChar w:fldCharType="separate"/>
            </w:r>
            <w:r w:rsidR="00BD4DB7">
              <w:rPr>
                <w:noProof/>
                <w:webHidden/>
              </w:rPr>
              <w:t>479</w:t>
            </w:r>
            <w:r w:rsidR="00BD4DB7">
              <w:rPr>
                <w:noProof/>
                <w:webHidden/>
              </w:rPr>
              <w:fldChar w:fldCharType="end"/>
            </w:r>
          </w:hyperlink>
        </w:p>
        <w:p w14:paraId="2ABB0139" w14:textId="2C065EE6"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542" w:history="1">
            <w:r w:rsidR="00BD4DB7" w:rsidRPr="0089237F">
              <w:rPr>
                <w:rStyle w:val="Hipervnculo"/>
                <w:noProof/>
              </w:rPr>
              <w:t>VALOR PRESENTE NETO</w:t>
            </w:r>
            <w:r w:rsidR="00BD4DB7">
              <w:rPr>
                <w:noProof/>
                <w:webHidden/>
              </w:rPr>
              <w:tab/>
            </w:r>
            <w:r w:rsidR="00BD4DB7">
              <w:rPr>
                <w:noProof/>
                <w:webHidden/>
              </w:rPr>
              <w:fldChar w:fldCharType="begin"/>
            </w:r>
            <w:r w:rsidR="00BD4DB7">
              <w:rPr>
                <w:noProof/>
                <w:webHidden/>
              </w:rPr>
              <w:instrText xml:space="preserve"> PAGEREF _Toc31716542 \h </w:instrText>
            </w:r>
            <w:r w:rsidR="00BD4DB7">
              <w:rPr>
                <w:noProof/>
                <w:webHidden/>
              </w:rPr>
            </w:r>
            <w:r w:rsidR="00BD4DB7">
              <w:rPr>
                <w:noProof/>
                <w:webHidden/>
              </w:rPr>
              <w:fldChar w:fldCharType="separate"/>
            </w:r>
            <w:r w:rsidR="00BD4DB7">
              <w:rPr>
                <w:noProof/>
                <w:webHidden/>
              </w:rPr>
              <w:t>479</w:t>
            </w:r>
            <w:r w:rsidR="00BD4DB7">
              <w:rPr>
                <w:noProof/>
                <w:webHidden/>
              </w:rPr>
              <w:fldChar w:fldCharType="end"/>
            </w:r>
          </w:hyperlink>
        </w:p>
        <w:p w14:paraId="632AA00D" w14:textId="68297DDE"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43" w:history="1">
            <w:r w:rsidR="00BD4DB7" w:rsidRPr="0089237F">
              <w:rPr>
                <w:rStyle w:val="Hipervnculo"/>
                <w:noProof/>
              </w:rPr>
              <w:t>Artículo 5.5.3.1. Parámetros para el cálculo del Valor Presente Neto.</w:t>
            </w:r>
            <w:r w:rsidR="00BD4DB7">
              <w:rPr>
                <w:noProof/>
                <w:webHidden/>
              </w:rPr>
              <w:tab/>
            </w:r>
            <w:r w:rsidR="00BD4DB7">
              <w:rPr>
                <w:noProof/>
                <w:webHidden/>
              </w:rPr>
              <w:fldChar w:fldCharType="begin"/>
            </w:r>
            <w:r w:rsidR="00BD4DB7">
              <w:rPr>
                <w:noProof/>
                <w:webHidden/>
              </w:rPr>
              <w:instrText xml:space="preserve"> PAGEREF _Toc31716543 \h </w:instrText>
            </w:r>
            <w:r w:rsidR="00BD4DB7">
              <w:rPr>
                <w:noProof/>
                <w:webHidden/>
              </w:rPr>
            </w:r>
            <w:r w:rsidR="00BD4DB7">
              <w:rPr>
                <w:noProof/>
                <w:webHidden/>
              </w:rPr>
              <w:fldChar w:fldCharType="separate"/>
            </w:r>
            <w:r w:rsidR="00BD4DB7">
              <w:rPr>
                <w:noProof/>
                <w:webHidden/>
              </w:rPr>
              <w:t>479</w:t>
            </w:r>
            <w:r w:rsidR="00BD4DB7">
              <w:rPr>
                <w:noProof/>
                <w:webHidden/>
              </w:rPr>
              <w:fldChar w:fldCharType="end"/>
            </w:r>
          </w:hyperlink>
        </w:p>
        <w:p w14:paraId="754B0356" w14:textId="03577B5D"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44" w:history="1">
            <w:r w:rsidR="00BD4DB7" w:rsidRPr="0089237F">
              <w:rPr>
                <w:rStyle w:val="Hipervnculo"/>
                <w:bCs/>
                <w:noProof/>
              </w:rPr>
              <w:t xml:space="preserve">(Este artículo fue modificado mediante Circular 11 del 3 de agosto de 2018, publicada en el Boletín Normativo No. 17 del 3 de agosto de 2018 y mediante Circular 19 del 22 de noviembre de 2019, publicada en el </w:t>
            </w:r>
            <w:r w:rsidR="00BD4DB7" w:rsidRPr="0089237F">
              <w:rPr>
                <w:rStyle w:val="Hipervnculo"/>
                <w:noProof/>
              </w:rPr>
              <w:t>Boletín Normativo No. 034 del 22 de noviembre de 2019. Rige a partir del 25 de noviembre de 2019).</w:t>
            </w:r>
            <w:r w:rsidR="00BD4DB7">
              <w:rPr>
                <w:noProof/>
                <w:webHidden/>
              </w:rPr>
              <w:tab/>
            </w:r>
            <w:r w:rsidR="00BD4DB7">
              <w:rPr>
                <w:noProof/>
                <w:webHidden/>
              </w:rPr>
              <w:fldChar w:fldCharType="begin"/>
            </w:r>
            <w:r w:rsidR="00BD4DB7">
              <w:rPr>
                <w:noProof/>
                <w:webHidden/>
              </w:rPr>
              <w:instrText xml:space="preserve"> PAGEREF _Toc31716544 \h </w:instrText>
            </w:r>
            <w:r w:rsidR="00BD4DB7">
              <w:rPr>
                <w:noProof/>
                <w:webHidden/>
              </w:rPr>
            </w:r>
            <w:r w:rsidR="00BD4DB7">
              <w:rPr>
                <w:noProof/>
                <w:webHidden/>
              </w:rPr>
              <w:fldChar w:fldCharType="separate"/>
            </w:r>
            <w:r w:rsidR="00BD4DB7">
              <w:rPr>
                <w:noProof/>
                <w:webHidden/>
              </w:rPr>
              <w:t>480</w:t>
            </w:r>
            <w:r w:rsidR="00BD4DB7">
              <w:rPr>
                <w:noProof/>
                <w:webHidden/>
              </w:rPr>
              <w:fldChar w:fldCharType="end"/>
            </w:r>
          </w:hyperlink>
        </w:p>
        <w:p w14:paraId="59CBFAAB" w14:textId="7C5B3F48"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45" w:history="1">
            <w:r w:rsidR="00BD4DB7" w:rsidRPr="0089237F">
              <w:rPr>
                <w:rStyle w:val="Hipervnculo"/>
                <w:noProof/>
              </w:rPr>
              <w:t>Artículo 5.5.3.2. Procedimiento para el cálculo del Valor Presente Neto de los IRS.</w:t>
            </w:r>
            <w:r w:rsidR="00BD4DB7">
              <w:rPr>
                <w:noProof/>
                <w:webHidden/>
              </w:rPr>
              <w:tab/>
            </w:r>
            <w:r w:rsidR="00BD4DB7">
              <w:rPr>
                <w:noProof/>
                <w:webHidden/>
              </w:rPr>
              <w:fldChar w:fldCharType="begin"/>
            </w:r>
            <w:r w:rsidR="00BD4DB7">
              <w:rPr>
                <w:noProof/>
                <w:webHidden/>
              </w:rPr>
              <w:instrText xml:space="preserve"> PAGEREF _Toc31716545 \h </w:instrText>
            </w:r>
            <w:r w:rsidR="00BD4DB7">
              <w:rPr>
                <w:noProof/>
                <w:webHidden/>
              </w:rPr>
            </w:r>
            <w:r w:rsidR="00BD4DB7">
              <w:rPr>
                <w:noProof/>
                <w:webHidden/>
              </w:rPr>
              <w:fldChar w:fldCharType="separate"/>
            </w:r>
            <w:r w:rsidR="00BD4DB7">
              <w:rPr>
                <w:noProof/>
                <w:webHidden/>
              </w:rPr>
              <w:t>482</w:t>
            </w:r>
            <w:r w:rsidR="00BD4DB7">
              <w:rPr>
                <w:noProof/>
                <w:webHidden/>
              </w:rPr>
              <w:fldChar w:fldCharType="end"/>
            </w:r>
          </w:hyperlink>
        </w:p>
        <w:p w14:paraId="015C58DA" w14:textId="33D65CBD"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46" w:history="1">
            <w:r w:rsidR="00BD4DB7" w:rsidRPr="0089237F">
              <w:rPr>
                <w:rStyle w:val="Hipervnculo"/>
                <w:noProof/>
              </w:rPr>
              <w:t>(Este artículo fue modificado mediante Circular 19 del 22 de noviembre de 2019, publicada en el Boletín Normativo No. 034 del 22 de noviembre de 2019. Rige a partir del 25 de noviembre de 2019).</w:t>
            </w:r>
            <w:r w:rsidR="00BD4DB7">
              <w:rPr>
                <w:noProof/>
                <w:webHidden/>
              </w:rPr>
              <w:tab/>
            </w:r>
            <w:r w:rsidR="00BD4DB7">
              <w:rPr>
                <w:noProof/>
                <w:webHidden/>
              </w:rPr>
              <w:fldChar w:fldCharType="begin"/>
            </w:r>
            <w:r w:rsidR="00BD4DB7">
              <w:rPr>
                <w:noProof/>
                <w:webHidden/>
              </w:rPr>
              <w:instrText xml:space="preserve"> PAGEREF _Toc31716546 \h </w:instrText>
            </w:r>
            <w:r w:rsidR="00BD4DB7">
              <w:rPr>
                <w:noProof/>
                <w:webHidden/>
              </w:rPr>
            </w:r>
            <w:r w:rsidR="00BD4DB7">
              <w:rPr>
                <w:noProof/>
                <w:webHidden/>
              </w:rPr>
              <w:fldChar w:fldCharType="separate"/>
            </w:r>
            <w:r w:rsidR="00BD4DB7">
              <w:rPr>
                <w:noProof/>
                <w:webHidden/>
              </w:rPr>
              <w:t>482</w:t>
            </w:r>
            <w:r w:rsidR="00BD4DB7">
              <w:rPr>
                <w:noProof/>
                <w:webHidden/>
              </w:rPr>
              <w:fldChar w:fldCharType="end"/>
            </w:r>
          </w:hyperlink>
        </w:p>
        <w:p w14:paraId="4EC957CB" w14:textId="4B322ECB"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47" w:history="1">
            <w:r w:rsidR="00BD4DB7" w:rsidRPr="0089237F">
              <w:rPr>
                <w:rStyle w:val="Hipervnculo"/>
                <w:noProof/>
              </w:rPr>
              <w:t>Artículo 5.5.3.3. Procedimiento para el cálculo del Valor Presente Neto de los OIS.</w:t>
            </w:r>
            <w:r w:rsidR="00BD4DB7">
              <w:rPr>
                <w:noProof/>
                <w:webHidden/>
              </w:rPr>
              <w:tab/>
            </w:r>
            <w:r w:rsidR="00BD4DB7">
              <w:rPr>
                <w:noProof/>
                <w:webHidden/>
              </w:rPr>
              <w:fldChar w:fldCharType="begin"/>
            </w:r>
            <w:r w:rsidR="00BD4DB7">
              <w:rPr>
                <w:noProof/>
                <w:webHidden/>
              </w:rPr>
              <w:instrText xml:space="preserve"> PAGEREF _Toc31716547 \h </w:instrText>
            </w:r>
            <w:r w:rsidR="00BD4DB7">
              <w:rPr>
                <w:noProof/>
                <w:webHidden/>
              </w:rPr>
            </w:r>
            <w:r w:rsidR="00BD4DB7">
              <w:rPr>
                <w:noProof/>
                <w:webHidden/>
              </w:rPr>
              <w:fldChar w:fldCharType="separate"/>
            </w:r>
            <w:r w:rsidR="00BD4DB7">
              <w:rPr>
                <w:noProof/>
                <w:webHidden/>
              </w:rPr>
              <w:t>483</w:t>
            </w:r>
            <w:r w:rsidR="00BD4DB7">
              <w:rPr>
                <w:noProof/>
                <w:webHidden/>
              </w:rPr>
              <w:fldChar w:fldCharType="end"/>
            </w:r>
          </w:hyperlink>
        </w:p>
        <w:p w14:paraId="1D39F438" w14:textId="2DB78F8A"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48" w:history="1">
            <w:r w:rsidR="00BD4DB7" w:rsidRPr="0089237F">
              <w:rPr>
                <w:rStyle w:val="Hipervnculo"/>
                <w:bCs/>
                <w:noProof/>
              </w:rPr>
              <w:t xml:space="preserve">(Este artículo fue modificado mediante Circular 11 del 3 de agosto de 2018, publicada en el Boletín Normativo No. 17 del 3 de agosto de 2018, y mediante Circular 19 del 22 de noviembre de 2019, publicada en el </w:t>
            </w:r>
            <w:r w:rsidR="00BD4DB7" w:rsidRPr="0089237F">
              <w:rPr>
                <w:rStyle w:val="Hipervnculo"/>
                <w:noProof/>
              </w:rPr>
              <w:t>Boletín Normativo No. 034 del 22 de noviembre de 2019. Rige a partir del 25 de noviembre de 2019).</w:t>
            </w:r>
            <w:r w:rsidR="00BD4DB7">
              <w:rPr>
                <w:noProof/>
                <w:webHidden/>
              </w:rPr>
              <w:tab/>
            </w:r>
            <w:r w:rsidR="00BD4DB7">
              <w:rPr>
                <w:noProof/>
                <w:webHidden/>
              </w:rPr>
              <w:fldChar w:fldCharType="begin"/>
            </w:r>
            <w:r w:rsidR="00BD4DB7">
              <w:rPr>
                <w:noProof/>
                <w:webHidden/>
              </w:rPr>
              <w:instrText xml:space="preserve"> PAGEREF _Toc31716548 \h </w:instrText>
            </w:r>
            <w:r w:rsidR="00BD4DB7">
              <w:rPr>
                <w:noProof/>
                <w:webHidden/>
              </w:rPr>
            </w:r>
            <w:r w:rsidR="00BD4DB7">
              <w:rPr>
                <w:noProof/>
                <w:webHidden/>
              </w:rPr>
              <w:fldChar w:fldCharType="separate"/>
            </w:r>
            <w:r w:rsidR="00BD4DB7">
              <w:rPr>
                <w:noProof/>
                <w:webHidden/>
              </w:rPr>
              <w:t>483</w:t>
            </w:r>
            <w:r w:rsidR="00BD4DB7">
              <w:rPr>
                <w:noProof/>
                <w:webHidden/>
              </w:rPr>
              <w:fldChar w:fldCharType="end"/>
            </w:r>
          </w:hyperlink>
        </w:p>
        <w:p w14:paraId="535AD5BE" w14:textId="78EBAD4D"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49" w:history="1">
            <w:r w:rsidR="00BD4DB7" w:rsidRPr="0089237F">
              <w:rPr>
                <w:rStyle w:val="Hipervnculo"/>
                <w:noProof/>
              </w:rPr>
              <w:t>Artículo 5.5.3.4. Procedimiento para el cálculo del Valor Presente Neto de los OIS</w:t>
            </w:r>
            <w:r w:rsidR="00BD4DB7">
              <w:rPr>
                <w:noProof/>
                <w:webHidden/>
              </w:rPr>
              <w:tab/>
            </w:r>
            <w:r w:rsidR="00BD4DB7">
              <w:rPr>
                <w:noProof/>
                <w:webHidden/>
              </w:rPr>
              <w:fldChar w:fldCharType="begin"/>
            </w:r>
            <w:r w:rsidR="00BD4DB7">
              <w:rPr>
                <w:noProof/>
                <w:webHidden/>
              </w:rPr>
              <w:instrText xml:space="preserve"> PAGEREF _Toc31716549 \h </w:instrText>
            </w:r>
            <w:r w:rsidR="00BD4DB7">
              <w:rPr>
                <w:noProof/>
                <w:webHidden/>
              </w:rPr>
            </w:r>
            <w:r w:rsidR="00BD4DB7">
              <w:rPr>
                <w:noProof/>
                <w:webHidden/>
              </w:rPr>
              <w:fldChar w:fldCharType="separate"/>
            </w:r>
            <w:r w:rsidR="00BD4DB7">
              <w:rPr>
                <w:noProof/>
                <w:webHidden/>
              </w:rPr>
              <w:t>485</w:t>
            </w:r>
            <w:r w:rsidR="00BD4DB7">
              <w:rPr>
                <w:noProof/>
                <w:webHidden/>
              </w:rPr>
              <w:fldChar w:fldCharType="end"/>
            </w:r>
          </w:hyperlink>
        </w:p>
        <w:p w14:paraId="5EC6CC36" w14:textId="7ED4281C"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50" w:history="1">
            <w:r w:rsidR="00BD4DB7" w:rsidRPr="0089237F">
              <w:rPr>
                <w:rStyle w:val="Hipervnculo"/>
                <w:bCs/>
                <w:noProof/>
              </w:rPr>
              <w:t xml:space="preserve">(Este artículo fue adicionado mediante Circular 19 del 22 de noviembre de 2019, publicada en el </w:t>
            </w:r>
            <w:r w:rsidR="00BD4DB7" w:rsidRPr="0089237F">
              <w:rPr>
                <w:rStyle w:val="Hipervnculo"/>
                <w:noProof/>
              </w:rPr>
              <w:t>Boletín Normativo No. 034 del 22 de noviembre de 2019. Rige a partir del 25 de noviembre de 2019).</w:t>
            </w:r>
            <w:r w:rsidR="00BD4DB7">
              <w:rPr>
                <w:noProof/>
                <w:webHidden/>
              </w:rPr>
              <w:tab/>
            </w:r>
            <w:r w:rsidR="00BD4DB7">
              <w:rPr>
                <w:noProof/>
                <w:webHidden/>
              </w:rPr>
              <w:fldChar w:fldCharType="begin"/>
            </w:r>
            <w:r w:rsidR="00BD4DB7">
              <w:rPr>
                <w:noProof/>
                <w:webHidden/>
              </w:rPr>
              <w:instrText xml:space="preserve"> PAGEREF _Toc31716550 \h </w:instrText>
            </w:r>
            <w:r w:rsidR="00BD4DB7">
              <w:rPr>
                <w:noProof/>
                <w:webHidden/>
              </w:rPr>
            </w:r>
            <w:r w:rsidR="00BD4DB7">
              <w:rPr>
                <w:noProof/>
                <w:webHidden/>
              </w:rPr>
              <w:fldChar w:fldCharType="separate"/>
            </w:r>
            <w:r w:rsidR="00BD4DB7">
              <w:rPr>
                <w:noProof/>
                <w:webHidden/>
              </w:rPr>
              <w:t>485</w:t>
            </w:r>
            <w:r w:rsidR="00BD4DB7">
              <w:rPr>
                <w:noProof/>
                <w:webHidden/>
              </w:rPr>
              <w:fldChar w:fldCharType="end"/>
            </w:r>
          </w:hyperlink>
        </w:p>
        <w:p w14:paraId="0B952CEE" w14:textId="6650356E"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51" w:history="1">
            <w:r w:rsidR="00BD4DB7" w:rsidRPr="0089237F">
              <w:rPr>
                <w:rStyle w:val="Hipervnculo"/>
                <w:noProof/>
              </w:rPr>
              <w:t>Artículo 5.5.3.5. Fijación del Fixing.</w:t>
            </w:r>
            <w:r w:rsidR="00BD4DB7">
              <w:rPr>
                <w:noProof/>
                <w:webHidden/>
              </w:rPr>
              <w:tab/>
            </w:r>
            <w:r w:rsidR="00BD4DB7">
              <w:rPr>
                <w:noProof/>
                <w:webHidden/>
              </w:rPr>
              <w:fldChar w:fldCharType="begin"/>
            </w:r>
            <w:r w:rsidR="00BD4DB7">
              <w:rPr>
                <w:noProof/>
                <w:webHidden/>
              </w:rPr>
              <w:instrText xml:space="preserve"> PAGEREF _Toc31716551 \h </w:instrText>
            </w:r>
            <w:r w:rsidR="00BD4DB7">
              <w:rPr>
                <w:noProof/>
                <w:webHidden/>
              </w:rPr>
            </w:r>
            <w:r w:rsidR="00BD4DB7">
              <w:rPr>
                <w:noProof/>
                <w:webHidden/>
              </w:rPr>
              <w:fldChar w:fldCharType="separate"/>
            </w:r>
            <w:r w:rsidR="00BD4DB7">
              <w:rPr>
                <w:noProof/>
                <w:webHidden/>
              </w:rPr>
              <w:t>486</w:t>
            </w:r>
            <w:r w:rsidR="00BD4DB7">
              <w:rPr>
                <w:noProof/>
                <w:webHidden/>
              </w:rPr>
              <w:fldChar w:fldCharType="end"/>
            </w:r>
          </w:hyperlink>
        </w:p>
        <w:p w14:paraId="74E95CDB" w14:textId="03F0A803"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52" w:history="1">
            <w:r w:rsidR="00BD4DB7" w:rsidRPr="0089237F">
              <w:rPr>
                <w:rStyle w:val="Hipervnculo"/>
                <w:bCs/>
                <w:noProof/>
              </w:rPr>
              <w:t xml:space="preserve">(Este artículo fue modificado mediante Circular 11 del 3 de agosto de 2018, publicada en el Boletín Normativo No. 17 del 3 de agosto de 2018, y renumerado y modificado mediante Circular 19 del 22 de noviembre de 2019, publicada en el </w:t>
            </w:r>
            <w:r w:rsidR="00BD4DB7" w:rsidRPr="0089237F">
              <w:rPr>
                <w:rStyle w:val="Hipervnculo"/>
                <w:noProof/>
              </w:rPr>
              <w:t>Boletín Normativo No. 034 del 22 de noviembre de 2019. Rige a partir del 25 de noviembre de 2019).</w:t>
            </w:r>
            <w:r w:rsidR="00BD4DB7">
              <w:rPr>
                <w:noProof/>
                <w:webHidden/>
              </w:rPr>
              <w:tab/>
            </w:r>
            <w:r w:rsidR="00BD4DB7">
              <w:rPr>
                <w:noProof/>
                <w:webHidden/>
              </w:rPr>
              <w:fldChar w:fldCharType="begin"/>
            </w:r>
            <w:r w:rsidR="00BD4DB7">
              <w:rPr>
                <w:noProof/>
                <w:webHidden/>
              </w:rPr>
              <w:instrText xml:space="preserve"> PAGEREF _Toc31716552 \h </w:instrText>
            </w:r>
            <w:r w:rsidR="00BD4DB7">
              <w:rPr>
                <w:noProof/>
                <w:webHidden/>
              </w:rPr>
            </w:r>
            <w:r w:rsidR="00BD4DB7">
              <w:rPr>
                <w:noProof/>
                <w:webHidden/>
              </w:rPr>
              <w:fldChar w:fldCharType="separate"/>
            </w:r>
            <w:r w:rsidR="00BD4DB7">
              <w:rPr>
                <w:noProof/>
                <w:webHidden/>
              </w:rPr>
              <w:t>486</w:t>
            </w:r>
            <w:r w:rsidR="00BD4DB7">
              <w:rPr>
                <w:noProof/>
                <w:webHidden/>
              </w:rPr>
              <w:fldChar w:fldCharType="end"/>
            </w:r>
          </w:hyperlink>
        </w:p>
        <w:p w14:paraId="379C38D1" w14:textId="281CFEDE"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553" w:history="1">
            <w:r w:rsidR="00BD4DB7" w:rsidRPr="0089237F">
              <w:rPr>
                <w:rStyle w:val="Hipervnculo"/>
                <w:rFonts w:eastAsia="Calibri"/>
                <w:noProof/>
              </w:rPr>
              <w:t>TÍTULO SEXTO</w:t>
            </w:r>
            <w:r w:rsidR="00BD4DB7">
              <w:rPr>
                <w:noProof/>
                <w:webHidden/>
              </w:rPr>
              <w:tab/>
            </w:r>
            <w:r w:rsidR="00BD4DB7">
              <w:rPr>
                <w:noProof/>
                <w:webHidden/>
              </w:rPr>
              <w:fldChar w:fldCharType="begin"/>
            </w:r>
            <w:r w:rsidR="00BD4DB7">
              <w:rPr>
                <w:noProof/>
                <w:webHidden/>
              </w:rPr>
              <w:instrText xml:space="preserve"> PAGEREF _Toc31716553 \h </w:instrText>
            </w:r>
            <w:r w:rsidR="00BD4DB7">
              <w:rPr>
                <w:noProof/>
                <w:webHidden/>
              </w:rPr>
            </w:r>
            <w:r w:rsidR="00BD4DB7">
              <w:rPr>
                <w:noProof/>
                <w:webHidden/>
              </w:rPr>
              <w:fldChar w:fldCharType="separate"/>
            </w:r>
            <w:r w:rsidR="00BD4DB7">
              <w:rPr>
                <w:noProof/>
                <w:webHidden/>
              </w:rPr>
              <w:t>487</w:t>
            </w:r>
            <w:r w:rsidR="00BD4DB7">
              <w:rPr>
                <w:noProof/>
                <w:webHidden/>
              </w:rPr>
              <w:fldChar w:fldCharType="end"/>
            </w:r>
          </w:hyperlink>
        </w:p>
        <w:p w14:paraId="7F3C7C1E" w14:textId="26993D38"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554" w:history="1">
            <w:r w:rsidR="00BD4DB7" w:rsidRPr="0089237F">
              <w:rPr>
                <w:rStyle w:val="Hipervnculo"/>
                <w:rFonts w:eastAsia="Calibri"/>
                <w:noProof/>
              </w:rPr>
              <w:t>HORARIOS DE LAS SESIONES DE CÁMARA</w:t>
            </w:r>
            <w:r w:rsidR="00BD4DB7">
              <w:rPr>
                <w:noProof/>
                <w:webHidden/>
              </w:rPr>
              <w:tab/>
            </w:r>
            <w:r w:rsidR="00BD4DB7">
              <w:rPr>
                <w:noProof/>
                <w:webHidden/>
              </w:rPr>
              <w:fldChar w:fldCharType="begin"/>
            </w:r>
            <w:r w:rsidR="00BD4DB7">
              <w:rPr>
                <w:noProof/>
                <w:webHidden/>
              </w:rPr>
              <w:instrText xml:space="preserve"> PAGEREF _Toc31716554 \h </w:instrText>
            </w:r>
            <w:r w:rsidR="00BD4DB7">
              <w:rPr>
                <w:noProof/>
                <w:webHidden/>
              </w:rPr>
            </w:r>
            <w:r w:rsidR="00BD4DB7">
              <w:rPr>
                <w:noProof/>
                <w:webHidden/>
              </w:rPr>
              <w:fldChar w:fldCharType="separate"/>
            </w:r>
            <w:r w:rsidR="00BD4DB7">
              <w:rPr>
                <w:noProof/>
                <w:webHidden/>
              </w:rPr>
              <w:t>487</w:t>
            </w:r>
            <w:r w:rsidR="00BD4DB7">
              <w:rPr>
                <w:noProof/>
                <w:webHidden/>
              </w:rPr>
              <w:fldChar w:fldCharType="end"/>
            </w:r>
          </w:hyperlink>
        </w:p>
        <w:p w14:paraId="4E729511" w14:textId="3A733A82"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555" w:history="1">
            <w:r w:rsidR="00BD4DB7" w:rsidRPr="0089237F">
              <w:rPr>
                <w:rStyle w:val="Hipervnculo"/>
                <w:rFonts w:eastAsia="Calibri"/>
                <w:noProof/>
              </w:rPr>
              <w:t>CAPITULO PRIMERO</w:t>
            </w:r>
            <w:r w:rsidR="00BD4DB7">
              <w:rPr>
                <w:noProof/>
                <w:webHidden/>
              </w:rPr>
              <w:tab/>
            </w:r>
            <w:r w:rsidR="00BD4DB7">
              <w:rPr>
                <w:noProof/>
                <w:webHidden/>
              </w:rPr>
              <w:fldChar w:fldCharType="begin"/>
            </w:r>
            <w:r w:rsidR="00BD4DB7">
              <w:rPr>
                <w:noProof/>
                <w:webHidden/>
              </w:rPr>
              <w:instrText xml:space="preserve"> PAGEREF _Toc31716555 \h </w:instrText>
            </w:r>
            <w:r w:rsidR="00BD4DB7">
              <w:rPr>
                <w:noProof/>
                <w:webHidden/>
              </w:rPr>
            </w:r>
            <w:r w:rsidR="00BD4DB7">
              <w:rPr>
                <w:noProof/>
                <w:webHidden/>
              </w:rPr>
              <w:fldChar w:fldCharType="separate"/>
            </w:r>
            <w:r w:rsidR="00BD4DB7">
              <w:rPr>
                <w:noProof/>
                <w:webHidden/>
              </w:rPr>
              <w:t>487</w:t>
            </w:r>
            <w:r w:rsidR="00BD4DB7">
              <w:rPr>
                <w:noProof/>
                <w:webHidden/>
              </w:rPr>
              <w:fldChar w:fldCharType="end"/>
            </w:r>
          </w:hyperlink>
        </w:p>
        <w:p w14:paraId="1CCD84EB" w14:textId="59614347"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56" w:history="1">
            <w:r w:rsidR="00BD4DB7" w:rsidRPr="0089237F">
              <w:rPr>
                <w:rStyle w:val="Hipervnculo"/>
                <w:noProof/>
              </w:rPr>
              <w:t>Artículo 5.6.1.1. Horarios de Sesiones de Operación de Cámara.</w:t>
            </w:r>
            <w:r w:rsidR="00BD4DB7">
              <w:rPr>
                <w:noProof/>
                <w:webHidden/>
              </w:rPr>
              <w:tab/>
            </w:r>
            <w:r w:rsidR="00BD4DB7">
              <w:rPr>
                <w:noProof/>
                <w:webHidden/>
              </w:rPr>
              <w:fldChar w:fldCharType="begin"/>
            </w:r>
            <w:r w:rsidR="00BD4DB7">
              <w:rPr>
                <w:noProof/>
                <w:webHidden/>
              </w:rPr>
              <w:instrText xml:space="preserve"> PAGEREF _Toc31716556 \h </w:instrText>
            </w:r>
            <w:r w:rsidR="00BD4DB7">
              <w:rPr>
                <w:noProof/>
                <w:webHidden/>
              </w:rPr>
            </w:r>
            <w:r w:rsidR="00BD4DB7">
              <w:rPr>
                <w:noProof/>
                <w:webHidden/>
              </w:rPr>
              <w:fldChar w:fldCharType="separate"/>
            </w:r>
            <w:r w:rsidR="00BD4DB7">
              <w:rPr>
                <w:noProof/>
                <w:webHidden/>
              </w:rPr>
              <w:t>487</w:t>
            </w:r>
            <w:r w:rsidR="00BD4DB7">
              <w:rPr>
                <w:noProof/>
                <w:webHidden/>
              </w:rPr>
              <w:fldChar w:fldCharType="end"/>
            </w:r>
          </w:hyperlink>
        </w:p>
        <w:p w14:paraId="1370F9C0" w14:textId="188B762D"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57" w:history="1">
            <w:r w:rsidR="00BD4DB7" w:rsidRPr="0089237F">
              <w:rPr>
                <w:rStyle w:val="Hipervnculo"/>
                <w:noProof/>
              </w:rPr>
              <w:t>(Este artículo fue modificado mediante Circular 11 del 3 de agosto de 2018, publicada en el Boletín Normativo No. 17 del 3 de agosto de 2018, mediante Circular 15 del 30 de septiembre de 2019, publicada en el Boletín Normativo No. 028 del 30 de septiembre de 2019, y mediante Circular 19 del 22 de noviembre de 2019, publicada en el Boletín Normativo No. 034 del 22 de noviembre de 2019. Rige a partir del 25 de noviembre de 2019).</w:t>
            </w:r>
            <w:r w:rsidR="00BD4DB7">
              <w:rPr>
                <w:noProof/>
                <w:webHidden/>
              </w:rPr>
              <w:tab/>
            </w:r>
            <w:r w:rsidR="00BD4DB7">
              <w:rPr>
                <w:noProof/>
                <w:webHidden/>
              </w:rPr>
              <w:fldChar w:fldCharType="begin"/>
            </w:r>
            <w:r w:rsidR="00BD4DB7">
              <w:rPr>
                <w:noProof/>
                <w:webHidden/>
              </w:rPr>
              <w:instrText xml:space="preserve"> PAGEREF _Toc31716557 \h </w:instrText>
            </w:r>
            <w:r w:rsidR="00BD4DB7">
              <w:rPr>
                <w:noProof/>
                <w:webHidden/>
              </w:rPr>
            </w:r>
            <w:r w:rsidR="00BD4DB7">
              <w:rPr>
                <w:noProof/>
                <w:webHidden/>
              </w:rPr>
              <w:fldChar w:fldCharType="separate"/>
            </w:r>
            <w:r w:rsidR="00BD4DB7">
              <w:rPr>
                <w:noProof/>
                <w:webHidden/>
              </w:rPr>
              <w:t>487</w:t>
            </w:r>
            <w:r w:rsidR="00BD4DB7">
              <w:rPr>
                <w:noProof/>
                <w:webHidden/>
              </w:rPr>
              <w:fldChar w:fldCharType="end"/>
            </w:r>
          </w:hyperlink>
        </w:p>
        <w:p w14:paraId="7029EE13" w14:textId="632A0AB2"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558" w:history="1">
            <w:r w:rsidR="00BD4DB7" w:rsidRPr="0089237F">
              <w:rPr>
                <w:rStyle w:val="Hipervnculo"/>
                <w:rFonts w:eastAsia="Calibri"/>
                <w:noProof/>
              </w:rPr>
              <w:t>TÍTULO SÉPTIMO</w:t>
            </w:r>
            <w:r w:rsidR="00BD4DB7">
              <w:rPr>
                <w:noProof/>
                <w:webHidden/>
              </w:rPr>
              <w:tab/>
            </w:r>
            <w:r w:rsidR="00BD4DB7">
              <w:rPr>
                <w:noProof/>
                <w:webHidden/>
              </w:rPr>
              <w:fldChar w:fldCharType="begin"/>
            </w:r>
            <w:r w:rsidR="00BD4DB7">
              <w:rPr>
                <w:noProof/>
                <w:webHidden/>
              </w:rPr>
              <w:instrText xml:space="preserve"> PAGEREF _Toc31716558 \h </w:instrText>
            </w:r>
            <w:r w:rsidR="00BD4DB7">
              <w:rPr>
                <w:noProof/>
                <w:webHidden/>
              </w:rPr>
            </w:r>
            <w:r w:rsidR="00BD4DB7">
              <w:rPr>
                <w:noProof/>
                <w:webHidden/>
              </w:rPr>
              <w:fldChar w:fldCharType="separate"/>
            </w:r>
            <w:r w:rsidR="00BD4DB7">
              <w:rPr>
                <w:noProof/>
                <w:webHidden/>
              </w:rPr>
              <w:t>488</w:t>
            </w:r>
            <w:r w:rsidR="00BD4DB7">
              <w:rPr>
                <w:noProof/>
                <w:webHidden/>
              </w:rPr>
              <w:fldChar w:fldCharType="end"/>
            </w:r>
          </w:hyperlink>
        </w:p>
        <w:p w14:paraId="139F3901" w14:textId="6F1DA47D"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559" w:history="1">
            <w:r w:rsidR="00BD4DB7" w:rsidRPr="0089237F">
              <w:rPr>
                <w:rStyle w:val="Hipervnculo"/>
                <w:rFonts w:eastAsia="Calibri"/>
                <w:noProof/>
              </w:rPr>
              <w:t>ACTIVOS</w:t>
            </w:r>
            <w:r w:rsidR="00BD4DB7">
              <w:rPr>
                <w:noProof/>
                <w:webHidden/>
              </w:rPr>
              <w:tab/>
            </w:r>
            <w:r w:rsidR="00BD4DB7">
              <w:rPr>
                <w:noProof/>
                <w:webHidden/>
              </w:rPr>
              <w:fldChar w:fldCharType="begin"/>
            </w:r>
            <w:r w:rsidR="00BD4DB7">
              <w:rPr>
                <w:noProof/>
                <w:webHidden/>
              </w:rPr>
              <w:instrText xml:space="preserve"> PAGEREF _Toc31716559 \h </w:instrText>
            </w:r>
            <w:r w:rsidR="00BD4DB7">
              <w:rPr>
                <w:noProof/>
                <w:webHidden/>
              </w:rPr>
            </w:r>
            <w:r w:rsidR="00BD4DB7">
              <w:rPr>
                <w:noProof/>
                <w:webHidden/>
              </w:rPr>
              <w:fldChar w:fldCharType="separate"/>
            </w:r>
            <w:r w:rsidR="00BD4DB7">
              <w:rPr>
                <w:noProof/>
                <w:webHidden/>
              </w:rPr>
              <w:t>488</w:t>
            </w:r>
            <w:r w:rsidR="00BD4DB7">
              <w:rPr>
                <w:noProof/>
                <w:webHidden/>
              </w:rPr>
              <w:fldChar w:fldCharType="end"/>
            </w:r>
          </w:hyperlink>
        </w:p>
        <w:p w14:paraId="5E5A96A1" w14:textId="635685F8"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560" w:history="1">
            <w:r w:rsidR="00BD4DB7" w:rsidRPr="0089237F">
              <w:rPr>
                <w:rStyle w:val="Hipervnculo"/>
                <w:rFonts w:eastAsia="Calibri"/>
                <w:noProof/>
              </w:rPr>
              <w:t>CAPÍTULO PRIMERO</w:t>
            </w:r>
            <w:r w:rsidR="00BD4DB7">
              <w:rPr>
                <w:noProof/>
                <w:webHidden/>
              </w:rPr>
              <w:tab/>
            </w:r>
            <w:r w:rsidR="00BD4DB7">
              <w:rPr>
                <w:noProof/>
                <w:webHidden/>
              </w:rPr>
              <w:fldChar w:fldCharType="begin"/>
            </w:r>
            <w:r w:rsidR="00BD4DB7">
              <w:rPr>
                <w:noProof/>
                <w:webHidden/>
              </w:rPr>
              <w:instrText xml:space="preserve"> PAGEREF _Toc31716560 \h </w:instrText>
            </w:r>
            <w:r w:rsidR="00BD4DB7">
              <w:rPr>
                <w:noProof/>
                <w:webHidden/>
              </w:rPr>
            </w:r>
            <w:r w:rsidR="00BD4DB7">
              <w:rPr>
                <w:noProof/>
                <w:webHidden/>
              </w:rPr>
              <w:fldChar w:fldCharType="separate"/>
            </w:r>
            <w:r w:rsidR="00BD4DB7">
              <w:rPr>
                <w:noProof/>
                <w:webHidden/>
              </w:rPr>
              <w:t>489</w:t>
            </w:r>
            <w:r w:rsidR="00BD4DB7">
              <w:rPr>
                <w:noProof/>
                <w:webHidden/>
              </w:rPr>
              <w:fldChar w:fldCharType="end"/>
            </w:r>
          </w:hyperlink>
        </w:p>
        <w:p w14:paraId="54519254" w14:textId="35F7BFDA"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561" w:history="1">
            <w:r w:rsidR="00BD4DB7" w:rsidRPr="0089237F">
              <w:rPr>
                <w:rStyle w:val="Hipervnculo"/>
                <w:rFonts w:eastAsia="Calibri"/>
                <w:noProof/>
              </w:rPr>
              <w:t>PROCESO DE AUTORIZACIÓN</w:t>
            </w:r>
            <w:r w:rsidR="00BD4DB7">
              <w:rPr>
                <w:noProof/>
                <w:webHidden/>
              </w:rPr>
              <w:tab/>
            </w:r>
            <w:r w:rsidR="00BD4DB7">
              <w:rPr>
                <w:noProof/>
                <w:webHidden/>
              </w:rPr>
              <w:fldChar w:fldCharType="begin"/>
            </w:r>
            <w:r w:rsidR="00BD4DB7">
              <w:rPr>
                <w:noProof/>
                <w:webHidden/>
              </w:rPr>
              <w:instrText xml:space="preserve"> PAGEREF _Toc31716561 \h </w:instrText>
            </w:r>
            <w:r w:rsidR="00BD4DB7">
              <w:rPr>
                <w:noProof/>
                <w:webHidden/>
              </w:rPr>
            </w:r>
            <w:r w:rsidR="00BD4DB7">
              <w:rPr>
                <w:noProof/>
                <w:webHidden/>
              </w:rPr>
              <w:fldChar w:fldCharType="separate"/>
            </w:r>
            <w:r w:rsidR="00BD4DB7">
              <w:rPr>
                <w:noProof/>
                <w:webHidden/>
              </w:rPr>
              <w:t>489</w:t>
            </w:r>
            <w:r w:rsidR="00BD4DB7">
              <w:rPr>
                <w:noProof/>
                <w:webHidden/>
              </w:rPr>
              <w:fldChar w:fldCharType="end"/>
            </w:r>
          </w:hyperlink>
        </w:p>
        <w:p w14:paraId="5867734F" w14:textId="34053234"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62" w:history="1">
            <w:r w:rsidR="00BD4DB7" w:rsidRPr="0089237F">
              <w:rPr>
                <w:rStyle w:val="Hipervnculo"/>
                <w:noProof/>
              </w:rPr>
              <w:t>Artículo 5.7.1.1. Autorización de Activos por parte de la Junta Directiva de la Cámara.</w:t>
            </w:r>
            <w:r w:rsidR="00BD4DB7">
              <w:rPr>
                <w:noProof/>
                <w:webHidden/>
              </w:rPr>
              <w:tab/>
            </w:r>
            <w:r w:rsidR="00BD4DB7">
              <w:rPr>
                <w:noProof/>
                <w:webHidden/>
              </w:rPr>
              <w:fldChar w:fldCharType="begin"/>
            </w:r>
            <w:r w:rsidR="00BD4DB7">
              <w:rPr>
                <w:noProof/>
                <w:webHidden/>
              </w:rPr>
              <w:instrText xml:space="preserve"> PAGEREF _Toc31716562 \h </w:instrText>
            </w:r>
            <w:r w:rsidR="00BD4DB7">
              <w:rPr>
                <w:noProof/>
                <w:webHidden/>
              </w:rPr>
            </w:r>
            <w:r w:rsidR="00BD4DB7">
              <w:rPr>
                <w:noProof/>
                <w:webHidden/>
              </w:rPr>
              <w:fldChar w:fldCharType="separate"/>
            </w:r>
            <w:r w:rsidR="00BD4DB7">
              <w:rPr>
                <w:noProof/>
                <w:webHidden/>
              </w:rPr>
              <w:t>489</w:t>
            </w:r>
            <w:r w:rsidR="00BD4DB7">
              <w:rPr>
                <w:noProof/>
                <w:webHidden/>
              </w:rPr>
              <w:fldChar w:fldCharType="end"/>
            </w:r>
          </w:hyperlink>
        </w:p>
        <w:p w14:paraId="13BF92E4" w14:textId="0EB2B45C"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63" w:history="1">
            <w:r w:rsidR="00BD4DB7" w:rsidRPr="0089237F">
              <w:rPr>
                <w:rStyle w:val="Hipervnculo"/>
                <w:noProof/>
              </w:rPr>
              <w:t>(Este artículo fue modificado mediante Circular 11 del 3 de agosto de 2018, publicada en el Boletín Normativo No. 17 del 3 de agosto de 2018, y mediante Circular 19 del 22 de noviembre de 2019, publicada en el Boletín Normativo No. 034 del 22 de noviembre de 2019. Rige a partir del 25 de noviembre de 2019).</w:t>
            </w:r>
            <w:r w:rsidR="00BD4DB7">
              <w:rPr>
                <w:noProof/>
                <w:webHidden/>
              </w:rPr>
              <w:tab/>
            </w:r>
            <w:r w:rsidR="00BD4DB7">
              <w:rPr>
                <w:noProof/>
                <w:webHidden/>
              </w:rPr>
              <w:fldChar w:fldCharType="begin"/>
            </w:r>
            <w:r w:rsidR="00BD4DB7">
              <w:rPr>
                <w:noProof/>
                <w:webHidden/>
              </w:rPr>
              <w:instrText xml:space="preserve"> PAGEREF _Toc31716563 \h </w:instrText>
            </w:r>
            <w:r w:rsidR="00BD4DB7">
              <w:rPr>
                <w:noProof/>
                <w:webHidden/>
              </w:rPr>
            </w:r>
            <w:r w:rsidR="00BD4DB7">
              <w:rPr>
                <w:noProof/>
                <w:webHidden/>
              </w:rPr>
              <w:fldChar w:fldCharType="separate"/>
            </w:r>
            <w:r w:rsidR="00BD4DB7">
              <w:rPr>
                <w:noProof/>
                <w:webHidden/>
              </w:rPr>
              <w:t>489</w:t>
            </w:r>
            <w:r w:rsidR="00BD4DB7">
              <w:rPr>
                <w:noProof/>
                <w:webHidden/>
              </w:rPr>
              <w:fldChar w:fldCharType="end"/>
            </w:r>
          </w:hyperlink>
        </w:p>
        <w:p w14:paraId="3772EB9A" w14:textId="70DAA098"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564" w:history="1">
            <w:r w:rsidR="00BD4DB7" w:rsidRPr="0089237F">
              <w:rPr>
                <w:rStyle w:val="Hipervnculo"/>
                <w:rFonts w:eastAsia="Calibri"/>
                <w:noProof/>
              </w:rPr>
              <w:t>CAPÍTULO SEGUNDO</w:t>
            </w:r>
            <w:r w:rsidR="00BD4DB7">
              <w:rPr>
                <w:noProof/>
                <w:webHidden/>
              </w:rPr>
              <w:tab/>
            </w:r>
            <w:r w:rsidR="00BD4DB7">
              <w:rPr>
                <w:noProof/>
                <w:webHidden/>
              </w:rPr>
              <w:fldChar w:fldCharType="begin"/>
            </w:r>
            <w:r w:rsidR="00BD4DB7">
              <w:rPr>
                <w:noProof/>
                <w:webHidden/>
              </w:rPr>
              <w:instrText xml:space="preserve"> PAGEREF _Toc31716564 \h </w:instrText>
            </w:r>
            <w:r w:rsidR="00BD4DB7">
              <w:rPr>
                <w:noProof/>
                <w:webHidden/>
              </w:rPr>
            </w:r>
            <w:r w:rsidR="00BD4DB7">
              <w:rPr>
                <w:noProof/>
                <w:webHidden/>
              </w:rPr>
              <w:fldChar w:fldCharType="separate"/>
            </w:r>
            <w:r w:rsidR="00BD4DB7">
              <w:rPr>
                <w:noProof/>
                <w:webHidden/>
              </w:rPr>
              <w:t>489</w:t>
            </w:r>
            <w:r w:rsidR="00BD4DB7">
              <w:rPr>
                <w:noProof/>
                <w:webHidden/>
              </w:rPr>
              <w:fldChar w:fldCharType="end"/>
            </w:r>
          </w:hyperlink>
        </w:p>
        <w:p w14:paraId="4EC54451" w14:textId="79651791"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565" w:history="1">
            <w:r w:rsidR="00BD4DB7" w:rsidRPr="0089237F">
              <w:rPr>
                <w:rStyle w:val="Hipervnculo"/>
                <w:rFonts w:eastAsia="Calibri"/>
                <w:noProof/>
              </w:rPr>
              <w:t>ESPECIFICACIÓN DE LOS ACTIVOS</w:t>
            </w:r>
            <w:r w:rsidR="00BD4DB7">
              <w:rPr>
                <w:noProof/>
                <w:webHidden/>
              </w:rPr>
              <w:tab/>
            </w:r>
            <w:r w:rsidR="00BD4DB7">
              <w:rPr>
                <w:noProof/>
                <w:webHidden/>
              </w:rPr>
              <w:fldChar w:fldCharType="begin"/>
            </w:r>
            <w:r w:rsidR="00BD4DB7">
              <w:rPr>
                <w:noProof/>
                <w:webHidden/>
              </w:rPr>
              <w:instrText xml:space="preserve"> PAGEREF _Toc31716565 \h </w:instrText>
            </w:r>
            <w:r w:rsidR="00BD4DB7">
              <w:rPr>
                <w:noProof/>
                <w:webHidden/>
              </w:rPr>
            </w:r>
            <w:r w:rsidR="00BD4DB7">
              <w:rPr>
                <w:noProof/>
                <w:webHidden/>
              </w:rPr>
              <w:fldChar w:fldCharType="separate"/>
            </w:r>
            <w:r w:rsidR="00BD4DB7">
              <w:rPr>
                <w:noProof/>
                <w:webHidden/>
              </w:rPr>
              <w:t>489</w:t>
            </w:r>
            <w:r w:rsidR="00BD4DB7">
              <w:rPr>
                <w:noProof/>
                <w:webHidden/>
              </w:rPr>
              <w:fldChar w:fldCharType="end"/>
            </w:r>
          </w:hyperlink>
        </w:p>
        <w:p w14:paraId="00DABB4F" w14:textId="3E60EE66"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66" w:history="1">
            <w:r w:rsidR="00BD4DB7" w:rsidRPr="0089237F">
              <w:rPr>
                <w:rStyle w:val="Hipervnculo"/>
                <w:noProof/>
              </w:rPr>
              <w:t>Artículo 5.7.2.1. Términos propios de las Operaciones Swaps</w:t>
            </w:r>
            <w:r w:rsidR="00BD4DB7" w:rsidRPr="0089237F">
              <w:rPr>
                <w:rStyle w:val="Hipervnculo"/>
                <w:rFonts w:eastAsia="Calibri"/>
                <w:noProof/>
              </w:rPr>
              <w:t>.</w:t>
            </w:r>
            <w:r w:rsidR="00BD4DB7">
              <w:rPr>
                <w:noProof/>
                <w:webHidden/>
              </w:rPr>
              <w:tab/>
            </w:r>
            <w:r w:rsidR="00BD4DB7">
              <w:rPr>
                <w:noProof/>
                <w:webHidden/>
              </w:rPr>
              <w:fldChar w:fldCharType="begin"/>
            </w:r>
            <w:r w:rsidR="00BD4DB7">
              <w:rPr>
                <w:noProof/>
                <w:webHidden/>
              </w:rPr>
              <w:instrText xml:space="preserve"> PAGEREF _Toc31716566 \h </w:instrText>
            </w:r>
            <w:r w:rsidR="00BD4DB7">
              <w:rPr>
                <w:noProof/>
                <w:webHidden/>
              </w:rPr>
            </w:r>
            <w:r w:rsidR="00BD4DB7">
              <w:rPr>
                <w:noProof/>
                <w:webHidden/>
              </w:rPr>
              <w:fldChar w:fldCharType="separate"/>
            </w:r>
            <w:r w:rsidR="00BD4DB7">
              <w:rPr>
                <w:noProof/>
                <w:webHidden/>
              </w:rPr>
              <w:t>489</w:t>
            </w:r>
            <w:r w:rsidR="00BD4DB7">
              <w:rPr>
                <w:noProof/>
                <w:webHidden/>
              </w:rPr>
              <w:fldChar w:fldCharType="end"/>
            </w:r>
          </w:hyperlink>
        </w:p>
        <w:p w14:paraId="62507E0B" w14:textId="5196108D"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67" w:history="1">
            <w:r w:rsidR="00BD4DB7" w:rsidRPr="0089237F">
              <w:rPr>
                <w:rStyle w:val="Hipervnculo"/>
                <w:bCs/>
                <w:noProof/>
              </w:rPr>
              <w:t xml:space="preserve">(Este artículo fue modificado mediante Circular 11 del 3 de agosto de 2018, publicada en el Boletín Normativo No. 17 del 3 de agosto de 2018, y mediante Circular 19 del 22 de noviembre de 2019, publicada en el </w:t>
            </w:r>
            <w:r w:rsidR="00BD4DB7" w:rsidRPr="0089237F">
              <w:rPr>
                <w:rStyle w:val="Hipervnculo"/>
                <w:noProof/>
              </w:rPr>
              <w:t>Boletín Normativo No. 034 del 22 de noviembre de 2019. Rige a partir del 25 de noviembre de 2019).</w:t>
            </w:r>
            <w:r w:rsidR="00BD4DB7">
              <w:rPr>
                <w:noProof/>
                <w:webHidden/>
              </w:rPr>
              <w:tab/>
            </w:r>
            <w:r w:rsidR="00BD4DB7">
              <w:rPr>
                <w:noProof/>
                <w:webHidden/>
              </w:rPr>
              <w:fldChar w:fldCharType="begin"/>
            </w:r>
            <w:r w:rsidR="00BD4DB7">
              <w:rPr>
                <w:noProof/>
                <w:webHidden/>
              </w:rPr>
              <w:instrText xml:space="preserve"> PAGEREF _Toc31716567 \h </w:instrText>
            </w:r>
            <w:r w:rsidR="00BD4DB7">
              <w:rPr>
                <w:noProof/>
                <w:webHidden/>
              </w:rPr>
            </w:r>
            <w:r w:rsidR="00BD4DB7">
              <w:rPr>
                <w:noProof/>
                <w:webHidden/>
              </w:rPr>
              <w:fldChar w:fldCharType="separate"/>
            </w:r>
            <w:r w:rsidR="00BD4DB7">
              <w:rPr>
                <w:noProof/>
                <w:webHidden/>
              </w:rPr>
              <w:t>489</w:t>
            </w:r>
            <w:r w:rsidR="00BD4DB7">
              <w:rPr>
                <w:noProof/>
                <w:webHidden/>
              </w:rPr>
              <w:fldChar w:fldCharType="end"/>
            </w:r>
          </w:hyperlink>
        </w:p>
        <w:p w14:paraId="45005C9D" w14:textId="75D0EBF7"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68" w:history="1">
            <w:r w:rsidR="00BD4DB7" w:rsidRPr="0089237F">
              <w:rPr>
                <w:rStyle w:val="Hipervnculo"/>
                <w:noProof/>
              </w:rPr>
              <w:t>Artículo 5.7.2.2. Términos Económicos (Criterios de Elegibilidad).</w:t>
            </w:r>
            <w:r w:rsidR="00BD4DB7">
              <w:rPr>
                <w:noProof/>
                <w:webHidden/>
              </w:rPr>
              <w:tab/>
            </w:r>
            <w:r w:rsidR="00BD4DB7">
              <w:rPr>
                <w:noProof/>
                <w:webHidden/>
              </w:rPr>
              <w:fldChar w:fldCharType="begin"/>
            </w:r>
            <w:r w:rsidR="00BD4DB7">
              <w:rPr>
                <w:noProof/>
                <w:webHidden/>
              </w:rPr>
              <w:instrText xml:space="preserve"> PAGEREF _Toc31716568 \h </w:instrText>
            </w:r>
            <w:r w:rsidR="00BD4DB7">
              <w:rPr>
                <w:noProof/>
                <w:webHidden/>
              </w:rPr>
            </w:r>
            <w:r w:rsidR="00BD4DB7">
              <w:rPr>
                <w:noProof/>
                <w:webHidden/>
              </w:rPr>
              <w:fldChar w:fldCharType="separate"/>
            </w:r>
            <w:r w:rsidR="00BD4DB7">
              <w:rPr>
                <w:noProof/>
                <w:webHidden/>
              </w:rPr>
              <w:t>498</w:t>
            </w:r>
            <w:r w:rsidR="00BD4DB7">
              <w:rPr>
                <w:noProof/>
                <w:webHidden/>
              </w:rPr>
              <w:fldChar w:fldCharType="end"/>
            </w:r>
          </w:hyperlink>
        </w:p>
        <w:p w14:paraId="39EDD890" w14:textId="03811B57"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69" w:history="1">
            <w:r w:rsidR="00BD4DB7" w:rsidRPr="0089237F">
              <w:rPr>
                <w:rStyle w:val="Hipervnculo"/>
                <w:bCs/>
                <w:noProof/>
              </w:rPr>
              <w:t>(Este artículo fue modificado mediante Circular 11 del 3 de agosto de 2018, publicada en el Boletín Normativo No. 17 del 3 de agosto de 2018,</w:t>
            </w:r>
            <w:r w:rsidR="00BD4DB7" w:rsidRPr="0089237F">
              <w:rPr>
                <w:rStyle w:val="Hipervnculo"/>
                <w:noProof/>
              </w:rPr>
              <w:t xml:space="preserve"> y mediante Circular 19 del 22 de noviembre de 2019, publicada en el Boletín Normativo No. 034 del 22 de noviembre de 2019. Rige a partir del 25 de noviembre de 2019).</w:t>
            </w:r>
            <w:r w:rsidR="00BD4DB7">
              <w:rPr>
                <w:noProof/>
                <w:webHidden/>
              </w:rPr>
              <w:tab/>
            </w:r>
            <w:r w:rsidR="00BD4DB7">
              <w:rPr>
                <w:noProof/>
                <w:webHidden/>
              </w:rPr>
              <w:fldChar w:fldCharType="begin"/>
            </w:r>
            <w:r w:rsidR="00BD4DB7">
              <w:rPr>
                <w:noProof/>
                <w:webHidden/>
              </w:rPr>
              <w:instrText xml:space="preserve"> PAGEREF _Toc31716569 \h </w:instrText>
            </w:r>
            <w:r w:rsidR="00BD4DB7">
              <w:rPr>
                <w:noProof/>
                <w:webHidden/>
              </w:rPr>
            </w:r>
            <w:r w:rsidR="00BD4DB7">
              <w:rPr>
                <w:noProof/>
                <w:webHidden/>
              </w:rPr>
              <w:fldChar w:fldCharType="separate"/>
            </w:r>
            <w:r w:rsidR="00BD4DB7">
              <w:rPr>
                <w:noProof/>
                <w:webHidden/>
              </w:rPr>
              <w:t>498</w:t>
            </w:r>
            <w:r w:rsidR="00BD4DB7">
              <w:rPr>
                <w:noProof/>
                <w:webHidden/>
              </w:rPr>
              <w:fldChar w:fldCharType="end"/>
            </w:r>
          </w:hyperlink>
        </w:p>
        <w:p w14:paraId="7499EADE" w14:textId="409DB66B"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70" w:history="1">
            <w:r w:rsidR="00BD4DB7" w:rsidRPr="0089237F">
              <w:rPr>
                <w:rStyle w:val="Hipervnculo"/>
                <w:noProof/>
              </w:rPr>
              <w:t>Artículo 5.7.2.3. Procedimiento para netear/adicionar varias Operaciones Swaps.</w:t>
            </w:r>
            <w:r w:rsidR="00BD4DB7">
              <w:rPr>
                <w:noProof/>
                <w:webHidden/>
              </w:rPr>
              <w:tab/>
            </w:r>
            <w:r w:rsidR="00BD4DB7">
              <w:rPr>
                <w:noProof/>
                <w:webHidden/>
              </w:rPr>
              <w:fldChar w:fldCharType="begin"/>
            </w:r>
            <w:r w:rsidR="00BD4DB7">
              <w:rPr>
                <w:noProof/>
                <w:webHidden/>
              </w:rPr>
              <w:instrText xml:space="preserve"> PAGEREF _Toc31716570 \h </w:instrText>
            </w:r>
            <w:r w:rsidR="00BD4DB7">
              <w:rPr>
                <w:noProof/>
                <w:webHidden/>
              </w:rPr>
            </w:r>
            <w:r w:rsidR="00BD4DB7">
              <w:rPr>
                <w:noProof/>
                <w:webHidden/>
              </w:rPr>
              <w:fldChar w:fldCharType="separate"/>
            </w:r>
            <w:r w:rsidR="00BD4DB7">
              <w:rPr>
                <w:noProof/>
                <w:webHidden/>
              </w:rPr>
              <w:t>504</w:t>
            </w:r>
            <w:r w:rsidR="00BD4DB7">
              <w:rPr>
                <w:noProof/>
                <w:webHidden/>
              </w:rPr>
              <w:fldChar w:fldCharType="end"/>
            </w:r>
          </w:hyperlink>
        </w:p>
        <w:p w14:paraId="4FD44FB1" w14:textId="6C464D8D"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71" w:history="1">
            <w:r w:rsidR="00BD4DB7" w:rsidRPr="0089237F">
              <w:rPr>
                <w:rStyle w:val="Hipervnculo"/>
                <w:bCs/>
                <w:noProof/>
              </w:rPr>
              <w:t xml:space="preserve">(Este artículo fue modificado mediante Circular 14 del 30 de noviembre de 2018, publicada en el Boletín Normativo No. 27 del 30 de noviembre de 2018, y mediante Circular 19 del 22 de noviembre de 2019, </w:t>
            </w:r>
            <w:r w:rsidR="00BD4DB7" w:rsidRPr="0089237F">
              <w:rPr>
                <w:rStyle w:val="Hipervnculo"/>
                <w:noProof/>
              </w:rPr>
              <w:t>publicada en el Boletín Normativo No. 034 del 22 de noviembre de 2019. Rige a partir del 25 de noviembre de 2019).</w:t>
            </w:r>
            <w:r w:rsidR="00BD4DB7">
              <w:rPr>
                <w:noProof/>
                <w:webHidden/>
              </w:rPr>
              <w:tab/>
            </w:r>
            <w:r w:rsidR="00BD4DB7">
              <w:rPr>
                <w:noProof/>
                <w:webHidden/>
              </w:rPr>
              <w:fldChar w:fldCharType="begin"/>
            </w:r>
            <w:r w:rsidR="00BD4DB7">
              <w:rPr>
                <w:noProof/>
                <w:webHidden/>
              </w:rPr>
              <w:instrText xml:space="preserve"> PAGEREF _Toc31716571 \h </w:instrText>
            </w:r>
            <w:r w:rsidR="00BD4DB7">
              <w:rPr>
                <w:noProof/>
                <w:webHidden/>
              </w:rPr>
            </w:r>
            <w:r w:rsidR="00BD4DB7">
              <w:rPr>
                <w:noProof/>
                <w:webHidden/>
              </w:rPr>
              <w:fldChar w:fldCharType="separate"/>
            </w:r>
            <w:r w:rsidR="00BD4DB7">
              <w:rPr>
                <w:noProof/>
                <w:webHidden/>
              </w:rPr>
              <w:t>504</w:t>
            </w:r>
            <w:r w:rsidR="00BD4DB7">
              <w:rPr>
                <w:noProof/>
                <w:webHidden/>
              </w:rPr>
              <w:fldChar w:fldCharType="end"/>
            </w:r>
          </w:hyperlink>
        </w:p>
        <w:p w14:paraId="1F021BAF" w14:textId="7BCA017C"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72" w:history="1">
            <w:r w:rsidR="00BD4DB7" w:rsidRPr="0089237F">
              <w:rPr>
                <w:rStyle w:val="Hipervnculo"/>
                <w:noProof/>
              </w:rPr>
              <w:t>Artículo 5.7.2.4. Liquidación al Vencimiento.</w:t>
            </w:r>
            <w:r w:rsidR="00BD4DB7">
              <w:rPr>
                <w:noProof/>
                <w:webHidden/>
              </w:rPr>
              <w:tab/>
            </w:r>
            <w:r w:rsidR="00BD4DB7">
              <w:rPr>
                <w:noProof/>
                <w:webHidden/>
              </w:rPr>
              <w:fldChar w:fldCharType="begin"/>
            </w:r>
            <w:r w:rsidR="00BD4DB7">
              <w:rPr>
                <w:noProof/>
                <w:webHidden/>
              </w:rPr>
              <w:instrText xml:space="preserve"> PAGEREF _Toc31716572 \h </w:instrText>
            </w:r>
            <w:r w:rsidR="00BD4DB7">
              <w:rPr>
                <w:noProof/>
                <w:webHidden/>
              </w:rPr>
            </w:r>
            <w:r w:rsidR="00BD4DB7">
              <w:rPr>
                <w:noProof/>
                <w:webHidden/>
              </w:rPr>
              <w:fldChar w:fldCharType="separate"/>
            </w:r>
            <w:r w:rsidR="00BD4DB7">
              <w:rPr>
                <w:noProof/>
                <w:webHidden/>
              </w:rPr>
              <w:t>505</w:t>
            </w:r>
            <w:r w:rsidR="00BD4DB7">
              <w:rPr>
                <w:noProof/>
                <w:webHidden/>
              </w:rPr>
              <w:fldChar w:fldCharType="end"/>
            </w:r>
          </w:hyperlink>
        </w:p>
        <w:p w14:paraId="2EECCF02" w14:textId="65538E58"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73" w:history="1">
            <w:r w:rsidR="00BD4DB7" w:rsidRPr="0089237F">
              <w:rPr>
                <w:rStyle w:val="Hipervnculo"/>
                <w:noProof/>
              </w:rPr>
              <w:t>(Este artículo fue modificado mediante Circular 11 del 3 de agosto de 2018, publicada en el Boletín Normativo No. 17 del 3 de agosto de 2018, y mediante Circular 19 del 22 de noviembre de 2019, publicada en el Boletín Normativo No. 034 del 22 de noviembre de 2019. Rige a partir del 25 de noviembre de 2019).</w:t>
            </w:r>
            <w:r w:rsidR="00BD4DB7">
              <w:rPr>
                <w:noProof/>
                <w:webHidden/>
              </w:rPr>
              <w:tab/>
            </w:r>
            <w:r w:rsidR="00BD4DB7">
              <w:rPr>
                <w:noProof/>
                <w:webHidden/>
              </w:rPr>
              <w:fldChar w:fldCharType="begin"/>
            </w:r>
            <w:r w:rsidR="00BD4DB7">
              <w:rPr>
                <w:noProof/>
                <w:webHidden/>
              </w:rPr>
              <w:instrText xml:space="preserve"> PAGEREF _Toc31716573 \h </w:instrText>
            </w:r>
            <w:r w:rsidR="00BD4DB7">
              <w:rPr>
                <w:noProof/>
                <w:webHidden/>
              </w:rPr>
            </w:r>
            <w:r w:rsidR="00BD4DB7">
              <w:rPr>
                <w:noProof/>
                <w:webHidden/>
              </w:rPr>
              <w:fldChar w:fldCharType="separate"/>
            </w:r>
            <w:r w:rsidR="00BD4DB7">
              <w:rPr>
                <w:noProof/>
                <w:webHidden/>
              </w:rPr>
              <w:t>505</w:t>
            </w:r>
            <w:r w:rsidR="00BD4DB7">
              <w:rPr>
                <w:noProof/>
                <w:webHidden/>
              </w:rPr>
              <w:fldChar w:fldCharType="end"/>
            </w:r>
          </w:hyperlink>
        </w:p>
        <w:p w14:paraId="4DCE4FAD" w14:textId="3C79DC94"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574" w:history="1">
            <w:r w:rsidR="00BD4DB7" w:rsidRPr="0089237F">
              <w:rPr>
                <w:rStyle w:val="Hipervnculo"/>
                <w:rFonts w:eastAsia="Calibri"/>
                <w:noProof/>
              </w:rPr>
              <w:t>TÍTULO OCTAVO</w:t>
            </w:r>
            <w:r w:rsidR="00BD4DB7">
              <w:rPr>
                <w:noProof/>
                <w:webHidden/>
              </w:rPr>
              <w:tab/>
            </w:r>
            <w:r w:rsidR="00BD4DB7">
              <w:rPr>
                <w:noProof/>
                <w:webHidden/>
              </w:rPr>
              <w:fldChar w:fldCharType="begin"/>
            </w:r>
            <w:r w:rsidR="00BD4DB7">
              <w:rPr>
                <w:noProof/>
                <w:webHidden/>
              </w:rPr>
              <w:instrText xml:space="preserve"> PAGEREF _Toc31716574 \h </w:instrText>
            </w:r>
            <w:r w:rsidR="00BD4DB7">
              <w:rPr>
                <w:noProof/>
                <w:webHidden/>
              </w:rPr>
            </w:r>
            <w:r w:rsidR="00BD4DB7">
              <w:rPr>
                <w:noProof/>
                <w:webHidden/>
              </w:rPr>
              <w:fldChar w:fldCharType="separate"/>
            </w:r>
            <w:r w:rsidR="00BD4DB7">
              <w:rPr>
                <w:noProof/>
                <w:webHidden/>
              </w:rPr>
              <w:t>506</w:t>
            </w:r>
            <w:r w:rsidR="00BD4DB7">
              <w:rPr>
                <w:noProof/>
                <w:webHidden/>
              </w:rPr>
              <w:fldChar w:fldCharType="end"/>
            </w:r>
          </w:hyperlink>
        </w:p>
        <w:p w14:paraId="7ED3726A" w14:textId="7F348407"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575" w:history="1">
            <w:r w:rsidR="00BD4DB7" w:rsidRPr="0089237F">
              <w:rPr>
                <w:rStyle w:val="Hipervnculo"/>
                <w:noProof/>
              </w:rPr>
              <w:t>RETARDO, MEDIDAS PREVENTIVAS E INCUMPLIMIENTO</w:t>
            </w:r>
            <w:r w:rsidR="00BD4DB7">
              <w:rPr>
                <w:noProof/>
                <w:webHidden/>
              </w:rPr>
              <w:tab/>
            </w:r>
            <w:r w:rsidR="00BD4DB7">
              <w:rPr>
                <w:noProof/>
                <w:webHidden/>
              </w:rPr>
              <w:fldChar w:fldCharType="begin"/>
            </w:r>
            <w:r w:rsidR="00BD4DB7">
              <w:rPr>
                <w:noProof/>
                <w:webHidden/>
              </w:rPr>
              <w:instrText xml:space="preserve"> PAGEREF _Toc31716575 \h </w:instrText>
            </w:r>
            <w:r w:rsidR="00BD4DB7">
              <w:rPr>
                <w:noProof/>
                <w:webHidden/>
              </w:rPr>
            </w:r>
            <w:r w:rsidR="00BD4DB7">
              <w:rPr>
                <w:noProof/>
                <w:webHidden/>
              </w:rPr>
              <w:fldChar w:fldCharType="separate"/>
            </w:r>
            <w:r w:rsidR="00BD4DB7">
              <w:rPr>
                <w:noProof/>
                <w:webHidden/>
              </w:rPr>
              <w:t>506</w:t>
            </w:r>
            <w:r w:rsidR="00BD4DB7">
              <w:rPr>
                <w:noProof/>
                <w:webHidden/>
              </w:rPr>
              <w:fldChar w:fldCharType="end"/>
            </w:r>
          </w:hyperlink>
        </w:p>
        <w:p w14:paraId="10D95328" w14:textId="15ED5FE0"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576" w:history="1">
            <w:r w:rsidR="00BD4DB7" w:rsidRPr="0089237F">
              <w:rPr>
                <w:rStyle w:val="Hipervnculo"/>
                <w:rFonts w:eastAsia="Calibri"/>
                <w:noProof/>
              </w:rPr>
              <w:t>CAPÍTULO PRIMERO</w:t>
            </w:r>
            <w:r w:rsidR="00BD4DB7">
              <w:rPr>
                <w:noProof/>
                <w:webHidden/>
              </w:rPr>
              <w:tab/>
            </w:r>
            <w:r w:rsidR="00BD4DB7">
              <w:rPr>
                <w:noProof/>
                <w:webHidden/>
              </w:rPr>
              <w:fldChar w:fldCharType="begin"/>
            </w:r>
            <w:r w:rsidR="00BD4DB7">
              <w:rPr>
                <w:noProof/>
                <w:webHidden/>
              </w:rPr>
              <w:instrText xml:space="preserve"> PAGEREF _Toc31716576 \h </w:instrText>
            </w:r>
            <w:r w:rsidR="00BD4DB7">
              <w:rPr>
                <w:noProof/>
                <w:webHidden/>
              </w:rPr>
            </w:r>
            <w:r w:rsidR="00BD4DB7">
              <w:rPr>
                <w:noProof/>
                <w:webHidden/>
              </w:rPr>
              <w:fldChar w:fldCharType="separate"/>
            </w:r>
            <w:r w:rsidR="00BD4DB7">
              <w:rPr>
                <w:noProof/>
                <w:webHidden/>
              </w:rPr>
              <w:t>506</w:t>
            </w:r>
            <w:r w:rsidR="00BD4DB7">
              <w:rPr>
                <w:noProof/>
                <w:webHidden/>
              </w:rPr>
              <w:fldChar w:fldCharType="end"/>
            </w:r>
          </w:hyperlink>
        </w:p>
        <w:p w14:paraId="7C57E8BD" w14:textId="1E57FA11"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577" w:history="1">
            <w:r w:rsidR="00BD4DB7" w:rsidRPr="0089237F">
              <w:rPr>
                <w:rStyle w:val="Hipervnculo"/>
                <w:rFonts w:eastAsia="Calibri"/>
                <w:noProof/>
              </w:rPr>
              <w:t>RETARDO</w:t>
            </w:r>
            <w:r w:rsidR="00BD4DB7">
              <w:rPr>
                <w:noProof/>
                <w:webHidden/>
              </w:rPr>
              <w:tab/>
            </w:r>
            <w:r w:rsidR="00BD4DB7">
              <w:rPr>
                <w:noProof/>
                <w:webHidden/>
              </w:rPr>
              <w:fldChar w:fldCharType="begin"/>
            </w:r>
            <w:r w:rsidR="00BD4DB7">
              <w:rPr>
                <w:noProof/>
                <w:webHidden/>
              </w:rPr>
              <w:instrText xml:space="preserve"> PAGEREF _Toc31716577 \h </w:instrText>
            </w:r>
            <w:r w:rsidR="00BD4DB7">
              <w:rPr>
                <w:noProof/>
                <w:webHidden/>
              </w:rPr>
            </w:r>
            <w:r w:rsidR="00BD4DB7">
              <w:rPr>
                <w:noProof/>
                <w:webHidden/>
              </w:rPr>
              <w:fldChar w:fldCharType="separate"/>
            </w:r>
            <w:r w:rsidR="00BD4DB7">
              <w:rPr>
                <w:noProof/>
                <w:webHidden/>
              </w:rPr>
              <w:t>506</w:t>
            </w:r>
            <w:r w:rsidR="00BD4DB7">
              <w:rPr>
                <w:noProof/>
                <w:webHidden/>
              </w:rPr>
              <w:fldChar w:fldCharType="end"/>
            </w:r>
          </w:hyperlink>
        </w:p>
        <w:p w14:paraId="5388983D" w14:textId="33280100"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78" w:history="1">
            <w:r w:rsidR="00BD4DB7" w:rsidRPr="0089237F">
              <w:rPr>
                <w:rStyle w:val="Hipervnculo"/>
                <w:noProof/>
              </w:rPr>
              <w:t>Artículo 5.8.1.1. Eventos de Retardo.</w:t>
            </w:r>
            <w:r w:rsidR="00BD4DB7">
              <w:rPr>
                <w:noProof/>
                <w:webHidden/>
              </w:rPr>
              <w:tab/>
            </w:r>
            <w:r w:rsidR="00BD4DB7">
              <w:rPr>
                <w:noProof/>
                <w:webHidden/>
              </w:rPr>
              <w:fldChar w:fldCharType="begin"/>
            </w:r>
            <w:r w:rsidR="00BD4DB7">
              <w:rPr>
                <w:noProof/>
                <w:webHidden/>
              </w:rPr>
              <w:instrText xml:space="preserve"> PAGEREF _Toc31716578 \h </w:instrText>
            </w:r>
            <w:r w:rsidR="00BD4DB7">
              <w:rPr>
                <w:noProof/>
                <w:webHidden/>
              </w:rPr>
            </w:r>
            <w:r w:rsidR="00BD4DB7">
              <w:rPr>
                <w:noProof/>
                <w:webHidden/>
              </w:rPr>
              <w:fldChar w:fldCharType="separate"/>
            </w:r>
            <w:r w:rsidR="00BD4DB7">
              <w:rPr>
                <w:noProof/>
                <w:webHidden/>
              </w:rPr>
              <w:t>506</w:t>
            </w:r>
            <w:r w:rsidR="00BD4DB7">
              <w:rPr>
                <w:noProof/>
                <w:webHidden/>
              </w:rPr>
              <w:fldChar w:fldCharType="end"/>
            </w:r>
          </w:hyperlink>
        </w:p>
        <w:p w14:paraId="3A45467C" w14:textId="0F6AEA7B"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579" w:history="1">
            <w:r w:rsidR="00BD4DB7" w:rsidRPr="0089237F">
              <w:rPr>
                <w:rStyle w:val="Hipervnculo"/>
                <w:rFonts w:eastAsia="Calibri"/>
                <w:noProof/>
              </w:rPr>
              <w:t>CAPÍTULO SEGUNDO</w:t>
            </w:r>
            <w:r w:rsidR="00BD4DB7">
              <w:rPr>
                <w:noProof/>
                <w:webHidden/>
              </w:rPr>
              <w:tab/>
            </w:r>
            <w:r w:rsidR="00BD4DB7">
              <w:rPr>
                <w:noProof/>
                <w:webHidden/>
              </w:rPr>
              <w:fldChar w:fldCharType="begin"/>
            </w:r>
            <w:r w:rsidR="00BD4DB7">
              <w:rPr>
                <w:noProof/>
                <w:webHidden/>
              </w:rPr>
              <w:instrText xml:space="preserve"> PAGEREF _Toc31716579 \h </w:instrText>
            </w:r>
            <w:r w:rsidR="00BD4DB7">
              <w:rPr>
                <w:noProof/>
                <w:webHidden/>
              </w:rPr>
            </w:r>
            <w:r w:rsidR="00BD4DB7">
              <w:rPr>
                <w:noProof/>
                <w:webHidden/>
              </w:rPr>
              <w:fldChar w:fldCharType="separate"/>
            </w:r>
            <w:r w:rsidR="00BD4DB7">
              <w:rPr>
                <w:noProof/>
                <w:webHidden/>
              </w:rPr>
              <w:t>506</w:t>
            </w:r>
            <w:r w:rsidR="00BD4DB7">
              <w:rPr>
                <w:noProof/>
                <w:webHidden/>
              </w:rPr>
              <w:fldChar w:fldCharType="end"/>
            </w:r>
          </w:hyperlink>
        </w:p>
        <w:p w14:paraId="0EADD339" w14:textId="3C8CFDAD"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580" w:history="1">
            <w:r w:rsidR="00BD4DB7" w:rsidRPr="0089237F">
              <w:rPr>
                <w:rStyle w:val="Hipervnculo"/>
                <w:noProof/>
              </w:rPr>
              <w:t>MEDIDAS PREVENTIVAS</w:t>
            </w:r>
            <w:r w:rsidR="00BD4DB7">
              <w:rPr>
                <w:noProof/>
                <w:webHidden/>
              </w:rPr>
              <w:tab/>
            </w:r>
            <w:r w:rsidR="00BD4DB7">
              <w:rPr>
                <w:noProof/>
                <w:webHidden/>
              </w:rPr>
              <w:fldChar w:fldCharType="begin"/>
            </w:r>
            <w:r w:rsidR="00BD4DB7">
              <w:rPr>
                <w:noProof/>
                <w:webHidden/>
              </w:rPr>
              <w:instrText xml:space="preserve"> PAGEREF _Toc31716580 \h </w:instrText>
            </w:r>
            <w:r w:rsidR="00BD4DB7">
              <w:rPr>
                <w:noProof/>
                <w:webHidden/>
              </w:rPr>
            </w:r>
            <w:r w:rsidR="00BD4DB7">
              <w:rPr>
                <w:noProof/>
                <w:webHidden/>
              </w:rPr>
              <w:fldChar w:fldCharType="separate"/>
            </w:r>
            <w:r w:rsidR="00BD4DB7">
              <w:rPr>
                <w:noProof/>
                <w:webHidden/>
              </w:rPr>
              <w:t>506</w:t>
            </w:r>
            <w:r w:rsidR="00BD4DB7">
              <w:rPr>
                <w:noProof/>
                <w:webHidden/>
              </w:rPr>
              <w:fldChar w:fldCharType="end"/>
            </w:r>
          </w:hyperlink>
        </w:p>
        <w:p w14:paraId="3D8CF2D2" w14:textId="34D0C3C5"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81" w:history="1">
            <w:r w:rsidR="00BD4DB7" w:rsidRPr="0089237F">
              <w:rPr>
                <w:rStyle w:val="Hipervnculo"/>
                <w:noProof/>
              </w:rPr>
              <w:t>Artículo 5.8.2.1. Medidas Preventivas.</w:t>
            </w:r>
            <w:r w:rsidR="00BD4DB7">
              <w:rPr>
                <w:noProof/>
                <w:webHidden/>
              </w:rPr>
              <w:tab/>
            </w:r>
            <w:r w:rsidR="00BD4DB7">
              <w:rPr>
                <w:noProof/>
                <w:webHidden/>
              </w:rPr>
              <w:fldChar w:fldCharType="begin"/>
            </w:r>
            <w:r w:rsidR="00BD4DB7">
              <w:rPr>
                <w:noProof/>
                <w:webHidden/>
              </w:rPr>
              <w:instrText xml:space="preserve"> PAGEREF _Toc31716581 \h </w:instrText>
            </w:r>
            <w:r w:rsidR="00BD4DB7">
              <w:rPr>
                <w:noProof/>
                <w:webHidden/>
              </w:rPr>
            </w:r>
            <w:r w:rsidR="00BD4DB7">
              <w:rPr>
                <w:noProof/>
                <w:webHidden/>
              </w:rPr>
              <w:fldChar w:fldCharType="separate"/>
            </w:r>
            <w:r w:rsidR="00BD4DB7">
              <w:rPr>
                <w:noProof/>
                <w:webHidden/>
              </w:rPr>
              <w:t>506</w:t>
            </w:r>
            <w:r w:rsidR="00BD4DB7">
              <w:rPr>
                <w:noProof/>
                <w:webHidden/>
              </w:rPr>
              <w:fldChar w:fldCharType="end"/>
            </w:r>
          </w:hyperlink>
        </w:p>
        <w:p w14:paraId="634C3635" w14:textId="37CBFE4C"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582" w:history="1">
            <w:r w:rsidR="00BD4DB7" w:rsidRPr="0089237F">
              <w:rPr>
                <w:rStyle w:val="Hipervnculo"/>
                <w:rFonts w:eastAsia="Calibri"/>
                <w:noProof/>
              </w:rPr>
              <w:t>CAPÍTULO TERCERO</w:t>
            </w:r>
            <w:r w:rsidR="00BD4DB7">
              <w:rPr>
                <w:noProof/>
                <w:webHidden/>
              </w:rPr>
              <w:tab/>
            </w:r>
            <w:r w:rsidR="00BD4DB7">
              <w:rPr>
                <w:noProof/>
                <w:webHidden/>
              </w:rPr>
              <w:fldChar w:fldCharType="begin"/>
            </w:r>
            <w:r w:rsidR="00BD4DB7">
              <w:rPr>
                <w:noProof/>
                <w:webHidden/>
              </w:rPr>
              <w:instrText xml:space="preserve"> PAGEREF _Toc31716582 \h </w:instrText>
            </w:r>
            <w:r w:rsidR="00BD4DB7">
              <w:rPr>
                <w:noProof/>
                <w:webHidden/>
              </w:rPr>
            </w:r>
            <w:r w:rsidR="00BD4DB7">
              <w:rPr>
                <w:noProof/>
                <w:webHidden/>
              </w:rPr>
              <w:fldChar w:fldCharType="separate"/>
            </w:r>
            <w:r w:rsidR="00BD4DB7">
              <w:rPr>
                <w:noProof/>
                <w:webHidden/>
              </w:rPr>
              <w:t>507</w:t>
            </w:r>
            <w:r w:rsidR="00BD4DB7">
              <w:rPr>
                <w:noProof/>
                <w:webHidden/>
              </w:rPr>
              <w:fldChar w:fldCharType="end"/>
            </w:r>
          </w:hyperlink>
        </w:p>
        <w:p w14:paraId="7DC879E0" w14:textId="75910D3E"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583" w:history="1">
            <w:r w:rsidR="00BD4DB7" w:rsidRPr="0089237F">
              <w:rPr>
                <w:rStyle w:val="Hipervnculo"/>
                <w:rFonts w:eastAsia="Calibri"/>
                <w:noProof/>
              </w:rPr>
              <w:t>INCUMPLIMIENTOS</w:t>
            </w:r>
            <w:r w:rsidR="00BD4DB7">
              <w:rPr>
                <w:noProof/>
                <w:webHidden/>
              </w:rPr>
              <w:tab/>
            </w:r>
            <w:r w:rsidR="00BD4DB7">
              <w:rPr>
                <w:noProof/>
                <w:webHidden/>
              </w:rPr>
              <w:fldChar w:fldCharType="begin"/>
            </w:r>
            <w:r w:rsidR="00BD4DB7">
              <w:rPr>
                <w:noProof/>
                <w:webHidden/>
              </w:rPr>
              <w:instrText xml:space="preserve"> PAGEREF _Toc31716583 \h </w:instrText>
            </w:r>
            <w:r w:rsidR="00BD4DB7">
              <w:rPr>
                <w:noProof/>
                <w:webHidden/>
              </w:rPr>
            </w:r>
            <w:r w:rsidR="00BD4DB7">
              <w:rPr>
                <w:noProof/>
                <w:webHidden/>
              </w:rPr>
              <w:fldChar w:fldCharType="separate"/>
            </w:r>
            <w:r w:rsidR="00BD4DB7">
              <w:rPr>
                <w:noProof/>
                <w:webHidden/>
              </w:rPr>
              <w:t>507</w:t>
            </w:r>
            <w:r w:rsidR="00BD4DB7">
              <w:rPr>
                <w:noProof/>
                <w:webHidden/>
              </w:rPr>
              <w:fldChar w:fldCharType="end"/>
            </w:r>
          </w:hyperlink>
        </w:p>
        <w:p w14:paraId="0EF8726D" w14:textId="5A81F966"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84" w:history="1">
            <w:r w:rsidR="00BD4DB7" w:rsidRPr="0089237F">
              <w:rPr>
                <w:rStyle w:val="Hipervnculo"/>
                <w:rFonts w:eastAsia="Calibri"/>
                <w:noProof/>
              </w:rPr>
              <w:t>Artículo 5.8.3.1. Procedimiento para gestionar el Incumplimiento por parte de un Miembro Liquidador en el Segmento Swaps.</w:t>
            </w:r>
            <w:r w:rsidR="00BD4DB7">
              <w:rPr>
                <w:noProof/>
                <w:webHidden/>
              </w:rPr>
              <w:tab/>
            </w:r>
            <w:r w:rsidR="00BD4DB7">
              <w:rPr>
                <w:noProof/>
                <w:webHidden/>
              </w:rPr>
              <w:fldChar w:fldCharType="begin"/>
            </w:r>
            <w:r w:rsidR="00BD4DB7">
              <w:rPr>
                <w:noProof/>
                <w:webHidden/>
              </w:rPr>
              <w:instrText xml:space="preserve"> PAGEREF _Toc31716584 \h </w:instrText>
            </w:r>
            <w:r w:rsidR="00BD4DB7">
              <w:rPr>
                <w:noProof/>
                <w:webHidden/>
              </w:rPr>
            </w:r>
            <w:r w:rsidR="00BD4DB7">
              <w:rPr>
                <w:noProof/>
                <w:webHidden/>
              </w:rPr>
              <w:fldChar w:fldCharType="separate"/>
            </w:r>
            <w:r w:rsidR="00BD4DB7">
              <w:rPr>
                <w:noProof/>
                <w:webHidden/>
              </w:rPr>
              <w:t>507</w:t>
            </w:r>
            <w:r w:rsidR="00BD4DB7">
              <w:rPr>
                <w:noProof/>
                <w:webHidden/>
              </w:rPr>
              <w:fldChar w:fldCharType="end"/>
            </w:r>
          </w:hyperlink>
        </w:p>
        <w:p w14:paraId="6C4A7060" w14:textId="4967A4CA"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85" w:history="1">
            <w:r w:rsidR="00BD4DB7" w:rsidRPr="0089237F">
              <w:rPr>
                <w:rStyle w:val="Hipervnculo"/>
                <w:noProof/>
              </w:rPr>
              <w:t>Artículo 5.8.3.2. Comité de Gestión de Incumplimiento (CGI).</w:t>
            </w:r>
            <w:r w:rsidR="00BD4DB7">
              <w:rPr>
                <w:noProof/>
                <w:webHidden/>
              </w:rPr>
              <w:tab/>
            </w:r>
            <w:r w:rsidR="00BD4DB7">
              <w:rPr>
                <w:noProof/>
                <w:webHidden/>
              </w:rPr>
              <w:fldChar w:fldCharType="begin"/>
            </w:r>
            <w:r w:rsidR="00BD4DB7">
              <w:rPr>
                <w:noProof/>
                <w:webHidden/>
              </w:rPr>
              <w:instrText xml:space="preserve"> PAGEREF _Toc31716585 \h </w:instrText>
            </w:r>
            <w:r w:rsidR="00BD4DB7">
              <w:rPr>
                <w:noProof/>
                <w:webHidden/>
              </w:rPr>
            </w:r>
            <w:r w:rsidR="00BD4DB7">
              <w:rPr>
                <w:noProof/>
                <w:webHidden/>
              </w:rPr>
              <w:fldChar w:fldCharType="separate"/>
            </w:r>
            <w:r w:rsidR="00BD4DB7">
              <w:rPr>
                <w:noProof/>
                <w:webHidden/>
              </w:rPr>
              <w:t>508</w:t>
            </w:r>
            <w:r w:rsidR="00BD4DB7">
              <w:rPr>
                <w:noProof/>
                <w:webHidden/>
              </w:rPr>
              <w:fldChar w:fldCharType="end"/>
            </w:r>
          </w:hyperlink>
        </w:p>
        <w:p w14:paraId="7EC5F63A" w14:textId="52319ED8"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86" w:history="1">
            <w:r w:rsidR="00BD4DB7" w:rsidRPr="0089237F">
              <w:rPr>
                <w:rStyle w:val="Hipervnculo"/>
                <w:rFonts w:eastAsia="Calibri"/>
                <w:bCs/>
                <w:noProof/>
              </w:rPr>
              <w:t xml:space="preserve">Artículo 5.8.3.3. </w:t>
            </w:r>
            <w:r w:rsidR="00BD4DB7" w:rsidRPr="0089237F">
              <w:rPr>
                <w:rStyle w:val="Hipervnculo"/>
                <w:rFonts w:eastAsia="Calibri"/>
                <w:noProof/>
              </w:rPr>
              <w:t>Neutralización del Riesgo.</w:t>
            </w:r>
            <w:r w:rsidR="00BD4DB7">
              <w:rPr>
                <w:noProof/>
                <w:webHidden/>
              </w:rPr>
              <w:tab/>
            </w:r>
            <w:r w:rsidR="00BD4DB7">
              <w:rPr>
                <w:noProof/>
                <w:webHidden/>
              </w:rPr>
              <w:fldChar w:fldCharType="begin"/>
            </w:r>
            <w:r w:rsidR="00BD4DB7">
              <w:rPr>
                <w:noProof/>
                <w:webHidden/>
              </w:rPr>
              <w:instrText xml:space="preserve"> PAGEREF _Toc31716586 \h </w:instrText>
            </w:r>
            <w:r w:rsidR="00BD4DB7">
              <w:rPr>
                <w:noProof/>
                <w:webHidden/>
              </w:rPr>
            </w:r>
            <w:r w:rsidR="00BD4DB7">
              <w:rPr>
                <w:noProof/>
                <w:webHidden/>
              </w:rPr>
              <w:fldChar w:fldCharType="separate"/>
            </w:r>
            <w:r w:rsidR="00BD4DB7">
              <w:rPr>
                <w:noProof/>
                <w:webHidden/>
              </w:rPr>
              <w:t>513</w:t>
            </w:r>
            <w:r w:rsidR="00BD4DB7">
              <w:rPr>
                <w:noProof/>
                <w:webHidden/>
              </w:rPr>
              <w:fldChar w:fldCharType="end"/>
            </w:r>
          </w:hyperlink>
        </w:p>
        <w:p w14:paraId="0B8409E2" w14:textId="2815B4A9"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87" w:history="1">
            <w:r w:rsidR="00BD4DB7" w:rsidRPr="0089237F">
              <w:rPr>
                <w:rStyle w:val="Hipervnculo"/>
                <w:rFonts w:eastAsia="Calibri"/>
                <w:bCs/>
                <w:noProof/>
              </w:rPr>
              <w:t xml:space="preserve">Artículo 5.8.3.4. </w:t>
            </w:r>
            <w:r w:rsidR="00BD4DB7" w:rsidRPr="0089237F">
              <w:rPr>
                <w:rStyle w:val="Hipervnculo"/>
                <w:rFonts w:eastAsia="Calibri"/>
                <w:noProof/>
              </w:rPr>
              <w:t>División de la Posición Abierta del Miembro Liquidador Incumplido.</w:t>
            </w:r>
            <w:r w:rsidR="00BD4DB7">
              <w:rPr>
                <w:noProof/>
                <w:webHidden/>
              </w:rPr>
              <w:tab/>
            </w:r>
            <w:r w:rsidR="00BD4DB7">
              <w:rPr>
                <w:noProof/>
                <w:webHidden/>
              </w:rPr>
              <w:fldChar w:fldCharType="begin"/>
            </w:r>
            <w:r w:rsidR="00BD4DB7">
              <w:rPr>
                <w:noProof/>
                <w:webHidden/>
              </w:rPr>
              <w:instrText xml:space="preserve"> PAGEREF _Toc31716587 \h </w:instrText>
            </w:r>
            <w:r w:rsidR="00BD4DB7">
              <w:rPr>
                <w:noProof/>
                <w:webHidden/>
              </w:rPr>
            </w:r>
            <w:r w:rsidR="00BD4DB7">
              <w:rPr>
                <w:noProof/>
                <w:webHidden/>
              </w:rPr>
              <w:fldChar w:fldCharType="separate"/>
            </w:r>
            <w:r w:rsidR="00BD4DB7">
              <w:rPr>
                <w:noProof/>
                <w:webHidden/>
              </w:rPr>
              <w:t>514</w:t>
            </w:r>
            <w:r w:rsidR="00BD4DB7">
              <w:rPr>
                <w:noProof/>
                <w:webHidden/>
              </w:rPr>
              <w:fldChar w:fldCharType="end"/>
            </w:r>
          </w:hyperlink>
        </w:p>
        <w:p w14:paraId="637BCB7C" w14:textId="0C07DA54" w:rsidR="00BD4DB7" w:rsidRDefault="00682D97">
          <w:pPr>
            <w:pStyle w:val="TDC2"/>
            <w:rPr>
              <w:rFonts w:asciiTheme="minorHAnsi" w:eastAsiaTheme="minorEastAsia" w:hAnsiTheme="minorHAnsi" w:cstheme="minorBidi"/>
              <w:smallCaps w:val="0"/>
              <w:noProof/>
              <w:sz w:val="22"/>
              <w:szCs w:val="22"/>
              <w:lang w:val="es-CO" w:eastAsia="es-CO"/>
            </w:rPr>
          </w:pPr>
          <w:hyperlink w:anchor="_Toc31716588" w:history="1">
            <w:r w:rsidR="00BD4DB7" w:rsidRPr="0089237F">
              <w:rPr>
                <w:rStyle w:val="Hipervnculo"/>
                <w:rFonts w:eastAsia="Calibri"/>
                <w:noProof/>
              </w:rPr>
              <w:t>Artículo 5.8.3.5. Cierre de las Posiciones Abiertas a través de subastas.</w:t>
            </w:r>
            <w:r w:rsidR="00BD4DB7">
              <w:rPr>
                <w:noProof/>
                <w:webHidden/>
              </w:rPr>
              <w:tab/>
            </w:r>
            <w:r w:rsidR="00BD4DB7">
              <w:rPr>
                <w:noProof/>
                <w:webHidden/>
              </w:rPr>
              <w:fldChar w:fldCharType="begin"/>
            </w:r>
            <w:r w:rsidR="00BD4DB7">
              <w:rPr>
                <w:noProof/>
                <w:webHidden/>
              </w:rPr>
              <w:instrText xml:space="preserve"> PAGEREF _Toc31716588 \h </w:instrText>
            </w:r>
            <w:r w:rsidR="00BD4DB7">
              <w:rPr>
                <w:noProof/>
                <w:webHidden/>
              </w:rPr>
            </w:r>
            <w:r w:rsidR="00BD4DB7">
              <w:rPr>
                <w:noProof/>
                <w:webHidden/>
              </w:rPr>
              <w:fldChar w:fldCharType="separate"/>
            </w:r>
            <w:r w:rsidR="00BD4DB7">
              <w:rPr>
                <w:noProof/>
                <w:webHidden/>
              </w:rPr>
              <w:t>514</w:t>
            </w:r>
            <w:r w:rsidR="00BD4DB7">
              <w:rPr>
                <w:noProof/>
                <w:webHidden/>
              </w:rPr>
              <w:fldChar w:fldCharType="end"/>
            </w:r>
          </w:hyperlink>
        </w:p>
        <w:p w14:paraId="1F3A5094" w14:textId="1E2D6DCB"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589" w:history="1">
            <w:r w:rsidR="00BD4DB7" w:rsidRPr="0089237F">
              <w:rPr>
                <w:rStyle w:val="Hipervnculo"/>
                <w:noProof/>
              </w:rPr>
              <w:t>ANEXOS</w:t>
            </w:r>
            <w:r w:rsidR="00BD4DB7">
              <w:rPr>
                <w:noProof/>
                <w:webHidden/>
              </w:rPr>
              <w:tab/>
            </w:r>
            <w:r w:rsidR="00BD4DB7">
              <w:rPr>
                <w:noProof/>
                <w:webHidden/>
              </w:rPr>
              <w:fldChar w:fldCharType="begin"/>
            </w:r>
            <w:r w:rsidR="00BD4DB7">
              <w:rPr>
                <w:noProof/>
                <w:webHidden/>
              </w:rPr>
              <w:instrText xml:space="preserve"> PAGEREF _Toc31716589 \h </w:instrText>
            </w:r>
            <w:r w:rsidR="00BD4DB7">
              <w:rPr>
                <w:noProof/>
                <w:webHidden/>
              </w:rPr>
            </w:r>
            <w:r w:rsidR="00BD4DB7">
              <w:rPr>
                <w:noProof/>
                <w:webHidden/>
              </w:rPr>
              <w:fldChar w:fldCharType="separate"/>
            </w:r>
            <w:r w:rsidR="00BD4DB7">
              <w:rPr>
                <w:noProof/>
                <w:webHidden/>
              </w:rPr>
              <w:t>522</w:t>
            </w:r>
            <w:r w:rsidR="00BD4DB7">
              <w:rPr>
                <w:noProof/>
                <w:webHidden/>
              </w:rPr>
              <w:fldChar w:fldCharType="end"/>
            </w:r>
          </w:hyperlink>
        </w:p>
        <w:p w14:paraId="1B321343" w14:textId="1960FB7E"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590" w:history="1">
            <w:r w:rsidR="00BD4DB7" w:rsidRPr="0089237F">
              <w:rPr>
                <w:rStyle w:val="Hipervnculo"/>
                <w:noProof/>
              </w:rPr>
              <w:t>ANEXO 1</w:t>
            </w:r>
            <w:r w:rsidR="00BD4DB7">
              <w:rPr>
                <w:noProof/>
                <w:webHidden/>
              </w:rPr>
              <w:tab/>
            </w:r>
            <w:r w:rsidR="00BD4DB7">
              <w:rPr>
                <w:noProof/>
                <w:webHidden/>
              </w:rPr>
              <w:fldChar w:fldCharType="begin"/>
            </w:r>
            <w:r w:rsidR="00BD4DB7">
              <w:rPr>
                <w:noProof/>
                <w:webHidden/>
              </w:rPr>
              <w:instrText xml:space="preserve"> PAGEREF _Toc31716590 \h </w:instrText>
            </w:r>
            <w:r w:rsidR="00BD4DB7">
              <w:rPr>
                <w:noProof/>
                <w:webHidden/>
              </w:rPr>
            </w:r>
            <w:r w:rsidR="00BD4DB7">
              <w:rPr>
                <w:noProof/>
                <w:webHidden/>
              </w:rPr>
              <w:fldChar w:fldCharType="separate"/>
            </w:r>
            <w:r w:rsidR="00BD4DB7">
              <w:rPr>
                <w:noProof/>
                <w:webHidden/>
              </w:rPr>
              <w:t>522</w:t>
            </w:r>
            <w:r w:rsidR="00BD4DB7">
              <w:rPr>
                <w:noProof/>
                <w:webHidden/>
              </w:rPr>
              <w:fldChar w:fldCharType="end"/>
            </w:r>
          </w:hyperlink>
        </w:p>
        <w:p w14:paraId="6B19AE7B" w14:textId="626273D8"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591" w:history="1">
            <w:r w:rsidR="00BD4DB7" w:rsidRPr="0089237F">
              <w:rPr>
                <w:rStyle w:val="Hipervnculo"/>
                <w:noProof/>
              </w:rPr>
              <w:t>ANEXO 2</w:t>
            </w:r>
            <w:r w:rsidR="00BD4DB7">
              <w:rPr>
                <w:noProof/>
                <w:webHidden/>
              </w:rPr>
              <w:tab/>
            </w:r>
            <w:r w:rsidR="00BD4DB7">
              <w:rPr>
                <w:noProof/>
                <w:webHidden/>
              </w:rPr>
              <w:fldChar w:fldCharType="begin"/>
            </w:r>
            <w:r w:rsidR="00BD4DB7">
              <w:rPr>
                <w:noProof/>
                <w:webHidden/>
              </w:rPr>
              <w:instrText xml:space="preserve"> PAGEREF _Toc31716591 \h </w:instrText>
            </w:r>
            <w:r w:rsidR="00BD4DB7">
              <w:rPr>
                <w:noProof/>
                <w:webHidden/>
              </w:rPr>
            </w:r>
            <w:r w:rsidR="00BD4DB7">
              <w:rPr>
                <w:noProof/>
                <w:webHidden/>
              </w:rPr>
              <w:fldChar w:fldCharType="separate"/>
            </w:r>
            <w:r w:rsidR="00BD4DB7">
              <w:rPr>
                <w:noProof/>
                <w:webHidden/>
              </w:rPr>
              <w:t>534</w:t>
            </w:r>
            <w:r w:rsidR="00BD4DB7">
              <w:rPr>
                <w:noProof/>
                <w:webHidden/>
              </w:rPr>
              <w:fldChar w:fldCharType="end"/>
            </w:r>
          </w:hyperlink>
        </w:p>
        <w:p w14:paraId="534786EA" w14:textId="4F890A15"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592" w:history="1">
            <w:r w:rsidR="00BD4DB7" w:rsidRPr="0089237F">
              <w:rPr>
                <w:rStyle w:val="Hipervnculo"/>
                <w:noProof/>
              </w:rPr>
              <w:t>ANEXO 3</w:t>
            </w:r>
            <w:r w:rsidR="00BD4DB7">
              <w:rPr>
                <w:noProof/>
                <w:webHidden/>
              </w:rPr>
              <w:tab/>
            </w:r>
            <w:r w:rsidR="00BD4DB7">
              <w:rPr>
                <w:noProof/>
                <w:webHidden/>
              </w:rPr>
              <w:fldChar w:fldCharType="begin"/>
            </w:r>
            <w:r w:rsidR="00BD4DB7">
              <w:rPr>
                <w:noProof/>
                <w:webHidden/>
              </w:rPr>
              <w:instrText xml:space="preserve"> PAGEREF _Toc31716592 \h </w:instrText>
            </w:r>
            <w:r w:rsidR="00BD4DB7">
              <w:rPr>
                <w:noProof/>
                <w:webHidden/>
              </w:rPr>
            </w:r>
            <w:r w:rsidR="00BD4DB7">
              <w:rPr>
                <w:noProof/>
                <w:webHidden/>
              </w:rPr>
              <w:fldChar w:fldCharType="separate"/>
            </w:r>
            <w:r w:rsidR="00BD4DB7">
              <w:rPr>
                <w:noProof/>
                <w:webHidden/>
              </w:rPr>
              <w:t>536</w:t>
            </w:r>
            <w:r w:rsidR="00BD4DB7">
              <w:rPr>
                <w:noProof/>
                <w:webHidden/>
              </w:rPr>
              <w:fldChar w:fldCharType="end"/>
            </w:r>
          </w:hyperlink>
        </w:p>
        <w:p w14:paraId="7A0F9DF0" w14:textId="31A51868"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593" w:history="1">
            <w:r w:rsidR="00BD4DB7" w:rsidRPr="0089237F">
              <w:rPr>
                <w:rStyle w:val="Hipervnculo"/>
                <w:noProof/>
              </w:rPr>
              <w:t>ANEXO 4</w:t>
            </w:r>
            <w:r w:rsidR="00BD4DB7">
              <w:rPr>
                <w:noProof/>
                <w:webHidden/>
              </w:rPr>
              <w:tab/>
            </w:r>
            <w:r w:rsidR="00BD4DB7">
              <w:rPr>
                <w:noProof/>
                <w:webHidden/>
              </w:rPr>
              <w:fldChar w:fldCharType="begin"/>
            </w:r>
            <w:r w:rsidR="00BD4DB7">
              <w:rPr>
                <w:noProof/>
                <w:webHidden/>
              </w:rPr>
              <w:instrText xml:space="preserve"> PAGEREF _Toc31716593 \h </w:instrText>
            </w:r>
            <w:r w:rsidR="00BD4DB7">
              <w:rPr>
                <w:noProof/>
                <w:webHidden/>
              </w:rPr>
            </w:r>
            <w:r w:rsidR="00BD4DB7">
              <w:rPr>
                <w:noProof/>
                <w:webHidden/>
              </w:rPr>
              <w:fldChar w:fldCharType="separate"/>
            </w:r>
            <w:r w:rsidR="00BD4DB7">
              <w:rPr>
                <w:noProof/>
                <w:webHidden/>
              </w:rPr>
              <w:t>539</w:t>
            </w:r>
            <w:r w:rsidR="00BD4DB7">
              <w:rPr>
                <w:noProof/>
                <w:webHidden/>
              </w:rPr>
              <w:fldChar w:fldCharType="end"/>
            </w:r>
          </w:hyperlink>
        </w:p>
        <w:p w14:paraId="442B05B6" w14:textId="1C35C4F7"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594" w:history="1">
            <w:r w:rsidR="00BD4DB7" w:rsidRPr="0089237F">
              <w:rPr>
                <w:rStyle w:val="Hipervnculo"/>
                <w:noProof/>
              </w:rPr>
              <w:t>ANEXO 5</w:t>
            </w:r>
            <w:r w:rsidR="00BD4DB7">
              <w:rPr>
                <w:noProof/>
                <w:webHidden/>
              </w:rPr>
              <w:tab/>
            </w:r>
            <w:r w:rsidR="00BD4DB7">
              <w:rPr>
                <w:noProof/>
                <w:webHidden/>
              </w:rPr>
              <w:fldChar w:fldCharType="begin"/>
            </w:r>
            <w:r w:rsidR="00BD4DB7">
              <w:rPr>
                <w:noProof/>
                <w:webHidden/>
              </w:rPr>
              <w:instrText xml:space="preserve"> PAGEREF _Toc31716594 \h </w:instrText>
            </w:r>
            <w:r w:rsidR="00BD4DB7">
              <w:rPr>
                <w:noProof/>
                <w:webHidden/>
              </w:rPr>
            </w:r>
            <w:r w:rsidR="00BD4DB7">
              <w:rPr>
                <w:noProof/>
                <w:webHidden/>
              </w:rPr>
              <w:fldChar w:fldCharType="separate"/>
            </w:r>
            <w:r w:rsidR="00BD4DB7">
              <w:rPr>
                <w:noProof/>
                <w:webHidden/>
              </w:rPr>
              <w:t>545</w:t>
            </w:r>
            <w:r w:rsidR="00BD4DB7">
              <w:rPr>
                <w:noProof/>
                <w:webHidden/>
              </w:rPr>
              <w:fldChar w:fldCharType="end"/>
            </w:r>
          </w:hyperlink>
        </w:p>
        <w:p w14:paraId="4186E4F8" w14:textId="4390577A"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595" w:history="1">
            <w:r w:rsidR="00BD4DB7" w:rsidRPr="0089237F">
              <w:rPr>
                <w:rStyle w:val="Hipervnculo"/>
                <w:noProof/>
              </w:rPr>
              <w:t>ANEXO 5A</w:t>
            </w:r>
            <w:r w:rsidR="00BD4DB7">
              <w:rPr>
                <w:noProof/>
                <w:webHidden/>
              </w:rPr>
              <w:tab/>
            </w:r>
            <w:r w:rsidR="00BD4DB7">
              <w:rPr>
                <w:noProof/>
                <w:webHidden/>
              </w:rPr>
              <w:fldChar w:fldCharType="begin"/>
            </w:r>
            <w:r w:rsidR="00BD4DB7">
              <w:rPr>
                <w:noProof/>
                <w:webHidden/>
              </w:rPr>
              <w:instrText xml:space="preserve"> PAGEREF _Toc31716595 \h </w:instrText>
            </w:r>
            <w:r w:rsidR="00BD4DB7">
              <w:rPr>
                <w:noProof/>
                <w:webHidden/>
              </w:rPr>
            </w:r>
            <w:r w:rsidR="00BD4DB7">
              <w:rPr>
                <w:noProof/>
                <w:webHidden/>
              </w:rPr>
              <w:fldChar w:fldCharType="separate"/>
            </w:r>
            <w:r w:rsidR="00BD4DB7">
              <w:rPr>
                <w:noProof/>
                <w:webHidden/>
              </w:rPr>
              <w:t>550</w:t>
            </w:r>
            <w:r w:rsidR="00BD4DB7">
              <w:rPr>
                <w:noProof/>
                <w:webHidden/>
              </w:rPr>
              <w:fldChar w:fldCharType="end"/>
            </w:r>
          </w:hyperlink>
        </w:p>
        <w:p w14:paraId="6F0ACD5E" w14:textId="4DF4DE33"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596" w:history="1">
            <w:r w:rsidR="00BD4DB7" w:rsidRPr="0089237F">
              <w:rPr>
                <w:rStyle w:val="Hipervnculo"/>
                <w:noProof/>
              </w:rPr>
              <w:t>ANEXO 6</w:t>
            </w:r>
            <w:r w:rsidR="00BD4DB7">
              <w:rPr>
                <w:noProof/>
                <w:webHidden/>
              </w:rPr>
              <w:tab/>
            </w:r>
            <w:r w:rsidR="00BD4DB7">
              <w:rPr>
                <w:noProof/>
                <w:webHidden/>
              </w:rPr>
              <w:fldChar w:fldCharType="begin"/>
            </w:r>
            <w:r w:rsidR="00BD4DB7">
              <w:rPr>
                <w:noProof/>
                <w:webHidden/>
              </w:rPr>
              <w:instrText xml:space="preserve"> PAGEREF _Toc31716596 \h </w:instrText>
            </w:r>
            <w:r w:rsidR="00BD4DB7">
              <w:rPr>
                <w:noProof/>
                <w:webHidden/>
              </w:rPr>
            </w:r>
            <w:r w:rsidR="00BD4DB7">
              <w:rPr>
                <w:noProof/>
                <w:webHidden/>
              </w:rPr>
              <w:fldChar w:fldCharType="separate"/>
            </w:r>
            <w:r w:rsidR="00BD4DB7">
              <w:rPr>
                <w:noProof/>
                <w:webHidden/>
              </w:rPr>
              <w:t>556</w:t>
            </w:r>
            <w:r w:rsidR="00BD4DB7">
              <w:rPr>
                <w:noProof/>
                <w:webHidden/>
              </w:rPr>
              <w:fldChar w:fldCharType="end"/>
            </w:r>
          </w:hyperlink>
        </w:p>
        <w:p w14:paraId="0C756FBC" w14:textId="4B4833E4"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597" w:history="1">
            <w:r w:rsidR="00BD4DB7" w:rsidRPr="0089237F">
              <w:rPr>
                <w:rStyle w:val="Hipervnculo"/>
                <w:noProof/>
              </w:rPr>
              <w:t>ANEXO 7</w:t>
            </w:r>
            <w:r w:rsidR="00BD4DB7">
              <w:rPr>
                <w:noProof/>
                <w:webHidden/>
              </w:rPr>
              <w:tab/>
            </w:r>
            <w:r w:rsidR="00BD4DB7">
              <w:rPr>
                <w:noProof/>
                <w:webHidden/>
              </w:rPr>
              <w:fldChar w:fldCharType="begin"/>
            </w:r>
            <w:r w:rsidR="00BD4DB7">
              <w:rPr>
                <w:noProof/>
                <w:webHidden/>
              </w:rPr>
              <w:instrText xml:space="preserve"> PAGEREF _Toc31716597 \h </w:instrText>
            </w:r>
            <w:r w:rsidR="00BD4DB7">
              <w:rPr>
                <w:noProof/>
                <w:webHidden/>
              </w:rPr>
            </w:r>
            <w:r w:rsidR="00BD4DB7">
              <w:rPr>
                <w:noProof/>
                <w:webHidden/>
              </w:rPr>
              <w:fldChar w:fldCharType="separate"/>
            </w:r>
            <w:r w:rsidR="00BD4DB7">
              <w:rPr>
                <w:noProof/>
                <w:webHidden/>
              </w:rPr>
              <w:t>557</w:t>
            </w:r>
            <w:r w:rsidR="00BD4DB7">
              <w:rPr>
                <w:noProof/>
                <w:webHidden/>
              </w:rPr>
              <w:fldChar w:fldCharType="end"/>
            </w:r>
          </w:hyperlink>
        </w:p>
        <w:p w14:paraId="104C3805" w14:textId="1F5A1332"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598" w:history="1">
            <w:r w:rsidR="00BD4DB7" w:rsidRPr="0089237F">
              <w:rPr>
                <w:rStyle w:val="Hipervnculo"/>
                <w:noProof/>
              </w:rPr>
              <w:t>ANEXO 8</w:t>
            </w:r>
            <w:r w:rsidR="00BD4DB7">
              <w:rPr>
                <w:noProof/>
                <w:webHidden/>
              </w:rPr>
              <w:tab/>
            </w:r>
            <w:r w:rsidR="00BD4DB7">
              <w:rPr>
                <w:noProof/>
                <w:webHidden/>
              </w:rPr>
              <w:fldChar w:fldCharType="begin"/>
            </w:r>
            <w:r w:rsidR="00BD4DB7">
              <w:rPr>
                <w:noProof/>
                <w:webHidden/>
              </w:rPr>
              <w:instrText xml:space="preserve"> PAGEREF _Toc31716598 \h </w:instrText>
            </w:r>
            <w:r w:rsidR="00BD4DB7">
              <w:rPr>
                <w:noProof/>
                <w:webHidden/>
              </w:rPr>
            </w:r>
            <w:r w:rsidR="00BD4DB7">
              <w:rPr>
                <w:noProof/>
                <w:webHidden/>
              </w:rPr>
              <w:fldChar w:fldCharType="separate"/>
            </w:r>
            <w:r w:rsidR="00BD4DB7">
              <w:rPr>
                <w:noProof/>
                <w:webHidden/>
              </w:rPr>
              <w:t>558</w:t>
            </w:r>
            <w:r w:rsidR="00BD4DB7">
              <w:rPr>
                <w:noProof/>
                <w:webHidden/>
              </w:rPr>
              <w:fldChar w:fldCharType="end"/>
            </w:r>
          </w:hyperlink>
        </w:p>
        <w:p w14:paraId="570DDE8C" w14:textId="410FA5FB"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599" w:history="1">
            <w:r w:rsidR="00BD4DB7" w:rsidRPr="0089237F">
              <w:rPr>
                <w:rStyle w:val="Hipervnculo"/>
                <w:noProof/>
              </w:rPr>
              <w:t>ANEXO 9</w:t>
            </w:r>
            <w:r w:rsidR="00BD4DB7">
              <w:rPr>
                <w:noProof/>
                <w:webHidden/>
              </w:rPr>
              <w:tab/>
            </w:r>
            <w:r w:rsidR="00BD4DB7">
              <w:rPr>
                <w:noProof/>
                <w:webHidden/>
              </w:rPr>
              <w:fldChar w:fldCharType="begin"/>
            </w:r>
            <w:r w:rsidR="00BD4DB7">
              <w:rPr>
                <w:noProof/>
                <w:webHidden/>
              </w:rPr>
              <w:instrText xml:space="preserve"> PAGEREF _Toc31716599 \h </w:instrText>
            </w:r>
            <w:r w:rsidR="00BD4DB7">
              <w:rPr>
                <w:noProof/>
                <w:webHidden/>
              </w:rPr>
            </w:r>
            <w:r w:rsidR="00BD4DB7">
              <w:rPr>
                <w:noProof/>
                <w:webHidden/>
              </w:rPr>
              <w:fldChar w:fldCharType="separate"/>
            </w:r>
            <w:r w:rsidR="00BD4DB7">
              <w:rPr>
                <w:noProof/>
                <w:webHidden/>
              </w:rPr>
              <w:t>560</w:t>
            </w:r>
            <w:r w:rsidR="00BD4DB7">
              <w:rPr>
                <w:noProof/>
                <w:webHidden/>
              </w:rPr>
              <w:fldChar w:fldCharType="end"/>
            </w:r>
          </w:hyperlink>
        </w:p>
        <w:p w14:paraId="4A1F8CAE" w14:textId="38BA47F3"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600" w:history="1">
            <w:r w:rsidR="00BD4DB7" w:rsidRPr="0089237F">
              <w:rPr>
                <w:rStyle w:val="Hipervnculo"/>
                <w:noProof/>
              </w:rPr>
              <w:t>ANEXO 10</w:t>
            </w:r>
            <w:r w:rsidR="00BD4DB7">
              <w:rPr>
                <w:noProof/>
                <w:webHidden/>
              </w:rPr>
              <w:tab/>
            </w:r>
            <w:r w:rsidR="00BD4DB7">
              <w:rPr>
                <w:noProof/>
                <w:webHidden/>
              </w:rPr>
              <w:fldChar w:fldCharType="begin"/>
            </w:r>
            <w:r w:rsidR="00BD4DB7">
              <w:rPr>
                <w:noProof/>
                <w:webHidden/>
              </w:rPr>
              <w:instrText xml:space="preserve"> PAGEREF _Toc31716600 \h </w:instrText>
            </w:r>
            <w:r w:rsidR="00BD4DB7">
              <w:rPr>
                <w:noProof/>
                <w:webHidden/>
              </w:rPr>
            </w:r>
            <w:r w:rsidR="00BD4DB7">
              <w:rPr>
                <w:noProof/>
                <w:webHidden/>
              </w:rPr>
              <w:fldChar w:fldCharType="separate"/>
            </w:r>
            <w:r w:rsidR="00BD4DB7">
              <w:rPr>
                <w:noProof/>
                <w:webHidden/>
              </w:rPr>
              <w:t>563</w:t>
            </w:r>
            <w:r w:rsidR="00BD4DB7">
              <w:rPr>
                <w:noProof/>
                <w:webHidden/>
              </w:rPr>
              <w:fldChar w:fldCharType="end"/>
            </w:r>
          </w:hyperlink>
        </w:p>
        <w:p w14:paraId="3764D7A9" w14:textId="0B196EBD"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601" w:history="1">
            <w:r w:rsidR="00BD4DB7" w:rsidRPr="0089237F">
              <w:rPr>
                <w:rStyle w:val="Hipervnculo"/>
                <w:noProof/>
              </w:rPr>
              <w:t>ANEXO 11</w:t>
            </w:r>
            <w:r w:rsidR="00BD4DB7">
              <w:rPr>
                <w:noProof/>
                <w:webHidden/>
              </w:rPr>
              <w:tab/>
            </w:r>
            <w:r w:rsidR="00BD4DB7">
              <w:rPr>
                <w:noProof/>
                <w:webHidden/>
              </w:rPr>
              <w:fldChar w:fldCharType="begin"/>
            </w:r>
            <w:r w:rsidR="00BD4DB7">
              <w:rPr>
                <w:noProof/>
                <w:webHidden/>
              </w:rPr>
              <w:instrText xml:space="preserve"> PAGEREF _Toc31716601 \h </w:instrText>
            </w:r>
            <w:r w:rsidR="00BD4DB7">
              <w:rPr>
                <w:noProof/>
                <w:webHidden/>
              </w:rPr>
            </w:r>
            <w:r w:rsidR="00BD4DB7">
              <w:rPr>
                <w:noProof/>
                <w:webHidden/>
              </w:rPr>
              <w:fldChar w:fldCharType="separate"/>
            </w:r>
            <w:r w:rsidR="00BD4DB7">
              <w:rPr>
                <w:noProof/>
                <w:webHidden/>
              </w:rPr>
              <w:t>565</w:t>
            </w:r>
            <w:r w:rsidR="00BD4DB7">
              <w:rPr>
                <w:noProof/>
                <w:webHidden/>
              </w:rPr>
              <w:fldChar w:fldCharType="end"/>
            </w:r>
          </w:hyperlink>
        </w:p>
        <w:p w14:paraId="32B2502D" w14:textId="0F9AB62B"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602" w:history="1">
            <w:r w:rsidR="00BD4DB7" w:rsidRPr="0089237F">
              <w:rPr>
                <w:rStyle w:val="Hipervnculo"/>
                <w:noProof/>
              </w:rPr>
              <w:t>ANEXO 12</w:t>
            </w:r>
            <w:r w:rsidR="00BD4DB7">
              <w:rPr>
                <w:noProof/>
                <w:webHidden/>
              </w:rPr>
              <w:tab/>
            </w:r>
            <w:r w:rsidR="00BD4DB7">
              <w:rPr>
                <w:noProof/>
                <w:webHidden/>
              </w:rPr>
              <w:fldChar w:fldCharType="begin"/>
            </w:r>
            <w:r w:rsidR="00BD4DB7">
              <w:rPr>
                <w:noProof/>
                <w:webHidden/>
              </w:rPr>
              <w:instrText xml:space="preserve"> PAGEREF _Toc31716602 \h </w:instrText>
            </w:r>
            <w:r w:rsidR="00BD4DB7">
              <w:rPr>
                <w:noProof/>
                <w:webHidden/>
              </w:rPr>
            </w:r>
            <w:r w:rsidR="00BD4DB7">
              <w:rPr>
                <w:noProof/>
                <w:webHidden/>
              </w:rPr>
              <w:fldChar w:fldCharType="separate"/>
            </w:r>
            <w:r w:rsidR="00BD4DB7">
              <w:rPr>
                <w:noProof/>
                <w:webHidden/>
              </w:rPr>
              <w:t>567</w:t>
            </w:r>
            <w:r w:rsidR="00BD4DB7">
              <w:rPr>
                <w:noProof/>
                <w:webHidden/>
              </w:rPr>
              <w:fldChar w:fldCharType="end"/>
            </w:r>
          </w:hyperlink>
        </w:p>
        <w:p w14:paraId="7DBAA9C2" w14:textId="0AD0D458"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603" w:history="1">
            <w:r w:rsidR="00BD4DB7" w:rsidRPr="0089237F">
              <w:rPr>
                <w:rStyle w:val="Hipervnculo"/>
                <w:noProof/>
              </w:rPr>
              <w:t>ANEXO 13</w:t>
            </w:r>
            <w:r w:rsidR="00BD4DB7">
              <w:rPr>
                <w:noProof/>
                <w:webHidden/>
              </w:rPr>
              <w:tab/>
            </w:r>
            <w:r w:rsidR="00BD4DB7">
              <w:rPr>
                <w:noProof/>
                <w:webHidden/>
              </w:rPr>
              <w:fldChar w:fldCharType="begin"/>
            </w:r>
            <w:r w:rsidR="00BD4DB7">
              <w:rPr>
                <w:noProof/>
                <w:webHidden/>
              </w:rPr>
              <w:instrText xml:space="preserve"> PAGEREF _Toc31716603 \h </w:instrText>
            </w:r>
            <w:r w:rsidR="00BD4DB7">
              <w:rPr>
                <w:noProof/>
                <w:webHidden/>
              </w:rPr>
            </w:r>
            <w:r w:rsidR="00BD4DB7">
              <w:rPr>
                <w:noProof/>
                <w:webHidden/>
              </w:rPr>
              <w:fldChar w:fldCharType="separate"/>
            </w:r>
            <w:r w:rsidR="00BD4DB7">
              <w:rPr>
                <w:noProof/>
                <w:webHidden/>
              </w:rPr>
              <w:t>569</w:t>
            </w:r>
            <w:r w:rsidR="00BD4DB7">
              <w:rPr>
                <w:noProof/>
                <w:webHidden/>
              </w:rPr>
              <w:fldChar w:fldCharType="end"/>
            </w:r>
          </w:hyperlink>
        </w:p>
        <w:p w14:paraId="7D0F6864" w14:textId="060F041C"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604" w:history="1">
            <w:r w:rsidR="00BD4DB7" w:rsidRPr="0089237F">
              <w:rPr>
                <w:rStyle w:val="Hipervnculo"/>
                <w:noProof/>
              </w:rPr>
              <w:t>ANEXO 14</w:t>
            </w:r>
            <w:r w:rsidR="00BD4DB7">
              <w:rPr>
                <w:noProof/>
                <w:webHidden/>
              </w:rPr>
              <w:tab/>
            </w:r>
            <w:r w:rsidR="00BD4DB7">
              <w:rPr>
                <w:noProof/>
                <w:webHidden/>
              </w:rPr>
              <w:fldChar w:fldCharType="begin"/>
            </w:r>
            <w:r w:rsidR="00BD4DB7">
              <w:rPr>
                <w:noProof/>
                <w:webHidden/>
              </w:rPr>
              <w:instrText xml:space="preserve"> PAGEREF _Toc31716604 \h </w:instrText>
            </w:r>
            <w:r w:rsidR="00BD4DB7">
              <w:rPr>
                <w:noProof/>
                <w:webHidden/>
              </w:rPr>
            </w:r>
            <w:r w:rsidR="00BD4DB7">
              <w:rPr>
                <w:noProof/>
                <w:webHidden/>
              </w:rPr>
              <w:fldChar w:fldCharType="separate"/>
            </w:r>
            <w:r w:rsidR="00BD4DB7">
              <w:rPr>
                <w:noProof/>
                <w:webHidden/>
              </w:rPr>
              <w:t>576</w:t>
            </w:r>
            <w:r w:rsidR="00BD4DB7">
              <w:rPr>
                <w:noProof/>
                <w:webHidden/>
              </w:rPr>
              <w:fldChar w:fldCharType="end"/>
            </w:r>
          </w:hyperlink>
        </w:p>
        <w:p w14:paraId="5324BA57" w14:textId="37024CB8"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605" w:history="1">
            <w:r w:rsidR="00BD4DB7" w:rsidRPr="0089237F">
              <w:rPr>
                <w:rStyle w:val="Hipervnculo"/>
                <w:noProof/>
                <w:spacing w:val="-3"/>
                <w:lang w:val="fr-FR"/>
              </w:rPr>
              <w:t>C.C.</w:t>
            </w:r>
            <w:r w:rsidR="00BD4DB7">
              <w:rPr>
                <w:noProof/>
                <w:webHidden/>
              </w:rPr>
              <w:tab/>
            </w:r>
            <w:r w:rsidR="00BD4DB7">
              <w:rPr>
                <w:noProof/>
                <w:webHidden/>
              </w:rPr>
              <w:fldChar w:fldCharType="begin"/>
            </w:r>
            <w:r w:rsidR="00BD4DB7">
              <w:rPr>
                <w:noProof/>
                <w:webHidden/>
              </w:rPr>
              <w:instrText xml:space="preserve"> PAGEREF _Toc31716605 \h </w:instrText>
            </w:r>
            <w:r w:rsidR="00BD4DB7">
              <w:rPr>
                <w:noProof/>
                <w:webHidden/>
              </w:rPr>
            </w:r>
            <w:r w:rsidR="00BD4DB7">
              <w:rPr>
                <w:noProof/>
                <w:webHidden/>
              </w:rPr>
              <w:fldChar w:fldCharType="separate"/>
            </w:r>
            <w:r w:rsidR="00BD4DB7">
              <w:rPr>
                <w:noProof/>
                <w:webHidden/>
              </w:rPr>
              <w:t>585</w:t>
            </w:r>
            <w:r w:rsidR="00BD4DB7">
              <w:rPr>
                <w:noProof/>
                <w:webHidden/>
              </w:rPr>
              <w:fldChar w:fldCharType="end"/>
            </w:r>
          </w:hyperlink>
        </w:p>
        <w:p w14:paraId="430D78BE" w14:textId="4BD0D9CC"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606" w:history="1">
            <w:r w:rsidR="00BD4DB7" w:rsidRPr="0089237F">
              <w:rPr>
                <w:rStyle w:val="Hipervnculo"/>
                <w:noProof/>
              </w:rPr>
              <w:t>ANEXO 16</w:t>
            </w:r>
            <w:r w:rsidR="00BD4DB7">
              <w:rPr>
                <w:noProof/>
                <w:webHidden/>
              </w:rPr>
              <w:tab/>
            </w:r>
            <w:r w:rsidR="00BD4DB7">
              <w:rPr>
                <w:noProof/>
                <w:webHidden/>
              </w:rPr>
              <w:fldChar w:fldCharType="begin"/>
            </w:r>
            <w:r w:rsidR="00BD4DB7">
              <w:rPr>
                <w:noProof/>
                <w:webHidden/>
              </w:rPr>
              <w:instrText xml:space="preserve"> PAGEREF _Toc31716606 \h </w:instrText>
            </w:r>
            <w:r w:rsidR="00BD4DB7">
              <w:rPr>
                <w:noProof/>
                <w:webHidden/>
              </w:rPr>
            </w:r>
            <w:r w:rsidR="00BD4DB7">
              <w:rPr>
                <w:noProof/>
                <w:webHidden/>
              </w:rPr>
              <w:fldChar w:fldCharType="separate"/>
            </w:r>
            <w:r w:rsidR="00BD4DB7">
              <w:rPr>
                <w:noProof/>
                <w:webHidden/>
              </w:rPr>
              <w:t>604</w:t>
            </w:r>
            <w:r w:rsidR="00BD4DB7">
              <w:rPr>
                <w:noProof/>
                <w:webHidden/>
              </w:rPr>
              <w:fldChar w:fldCharType="end"/>
            </w:r>
          </w:hyperlink>
        </w:p>
        <w:p w14:paraId="76DDE264" w14:textId="0006FD2E"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607" w:history="1">
            <w:r w:rsidR="00BD4DB7" w:rsidRPr="0089237F">
              <w:rPr>
                <w:rStyle w:val="Hipervnculo"/>
                <w:noProof/>
              </w:rPr>
              <w:t>ANEXO 17</w:t>
            </w:r>
            <w:r w:rsidR="00BD4DB7">
              <w:rPr>
                <w:noProof/>
                <w:webHidden/>
              </w:rPr>
              <w:tab/>
            </w:r>
            <w:r w:rsidR="00BD4DB7">
              <w:rPr>
                <w:noProof/>
                <w:webHidden/>
              </w:rPr>
              <w:fldChar w:fldCharType="begin"/>
            </w:r>
            <w:r w:rsidR="00BD4DB7">
              <w:rPr>
                <w:noProof/>
                <w:webHidden/>
              </w:rPr>
              <w:instrText xml:space="preserve"> PAGEREF _Toc31716607 \h </w:instrText>
            </w:r>
            <w:r w:rsidR="00BD4DB7">
              <w:rPr>
                <w:noProof/>
                <w:webHidden/>
              </w:rPr>
            </w:r>
            <w:r w:rsidR="00BD4DB7">
              <w:rPr>
                <w:noProof/>
                <w:webHidden/>
              </w:rPr>
              <w:fldChar w:fldCharType="separate"/>
            </w:r>
            <w:r w:rsidR="00BD4DB7">
              <w:rPr>
                <w:noProof/>
                <w:webHidden/>
              </w:rPr>
              <w:t>606</w:t>
            </w:r>
            <w:r w:rsidR="00BD4DB7">
              <w:rPr>
                <w:noProof/>
                <w:webHidden/>
              </w:rPr>
              <w:fldChar w:fldCharType="end"/>
            </w:r>
          </w:hyperlink>
        </w:p>
        <w:p w14:paraId="39432092" w14:textId="58A28EDB"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608" w:history="1">
            <w:r w:rsidR="00BD4DB7" w:rsidRPr="0089237F">
              <w:rPr>
                <w:rStyle w:val="Hipervnculo"/>
                <w:noProof/>
              </w:rPr>
              <w:t>ANEXO 18</w:t>
            </w:r>
            <w:r w:rsidR="00BD4DB7">
              <w:rPr>
                <w:noProof/>
                <w:webHidden/>
              </w:rPr>
              <w:tab/>
            </w:r>
            <w:r w:rsidR="00BD4DB7">
              <w:rPr>
                <w:noProof/>
                <w:webHidden/>
              </w:rPr>
              <w:fldChar w:fldCharType="begin"/>
            </w:r>
            <w:r w:rsidR="00BD4DB7">
              <w:rPr>
                <w:noProof/>
                <w:webHidden/>
              </w:rPr>
              <w:instrText xml:space="preserve"> PAGEREF _Toc31716608 \h </w:instrText>
            </w:r>
            <w:r w:rsidR="00BD4DB7">
              <w:rPr>
                <w:noProof/>
                <w:webHidden/>
              </w:rPr>
            </w:r>
            <w:r w:rsidR="00BD4DB7">
              <w:rPr>
                <w:noProof/>
                <w:webHidden/>
              </w:rPr>
              <w:fldChar w:fldCharType="separate"/>
            </w:r>
            <w:r w:rsidR="00BD4DB7">
              <w:rPr>
                <w:noProof/>
                <w:webHidden/>
              </w:rPr>
              <w:t>607</w:t>
            </w:r>
            <w:r w:rsidR="00BD4DB7">
              <w:rPr>
                <w:noProof/>
                <w:webHidden/>
              </w:rPr>
              <w:fldChar w:fldCharType="end"/>
            </w:r>
          </w:hyperlink>
        </w:p>
        <w:p w14:paraId="5F455FD2" w14:textId="1FCA269E"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609" w:history="1">
            <w:r w:rsidR="00BD4DB7" w:rsidRPr="0089237F">
              <w:rPr>
                <w:rStyle w:val="Hipervnculo"/>
                <w:noProof/>
              </w:rPr>
              <w:t>ANEXO 19</w:t>
            </w:r>
            <w:r w:rsidR="00BD4DB7">
              <w:rPr>
                <w:noProof/>
                <w:webHidden/>
              </w:rPr>
              <w:tab/>
            </w:r>
            <w:r w:rsidR="00BD4DB7">
              <w:rPr>
                <w:noProof/>
                <w:webHidden/>
              </w:rPr>
              <w:fldChar w:fldCharType="begin"/>
            </w:r>
            <w:r w:rsidR="00BD4DB7">
              <w:rPr>
                <w:noProof/>
                <w:webHidden/>
              </w:rPr>
              <w:instrText xml:space="preserve"> PAGEREF _Toc31716609 \h </w:instrText>
            </w:r>
            <w:r w:rsidR="00BD4DB7">
              <w:rPr>
                <w:noProof/>
                <w:webHidden/>
              </w:rPr>
            </w:r>
            <w:r w:rsidR="00BD4DB7">
              <w:rPr>
                <w:noProof/>
                <w:webHidden/>
              </w:rPr>
              <w:fldChar w:fldCharType="separate"/>
            </w:r>
            <w:r w:rsidR="00BD4DB7">
              <w:rPr>
                <w:noProof/>
                <w:webHidden/>
              </w:rPr>
              <w:t>608</w:t>
            </w:r>
            <w:r w:rsidR="00BD4DB7">
              <w:rPr>
                <w:noProof/>
                <w:webHidden/>
              </w:rPr>
              <w:fldChar w:fldCharType="end"/>
            </w:r>
          </w:hyperlink>
        </w:p>
        <w:p w14:paraId="0379F2E1" w14:textId="2085EE32"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610" w:history="1">
            <w:r w:rsidR="00BD4DB7" w:rsidRPr="0089237F">
              <w:rPr>
                <w:rStyle w:val="Hipervnculo"/>
                <w:noProof/>
              </w:rPr>
              <w:t>ANEXO 20</w:t>
            </w:r>
            <w:r w:rsidR="00BD4DB7">
              <w:rPr>
                <w:noProof/>
                <w:webHidden/>
              </w:rPr>
              <w:tab/>
            </w:r>
            <w:r w:rsidR="00BD4DB7">
              <w:rPr>
                <w:noProof/>
                <w:webHidden/>
              </w:rPr>
              <w:fldChar w:fldCharType="begin"/>
            </w:r>
            <w:r w:rsidR="00BD4DB7">
              <w:rPr>
                <w:noProof/>
                <w:webHidden/>
              </w:rPr>
              <w:instrText xml:space="preserve"> PAGEREF _Toc31716610 \h </w:instrText>
            </w:r>
            <w:r w:rsidR="00BD4DB7">
              <w:rPr>
                <w:noProof/>
                <w:webHidden/>
              </w:rPr>
            </w:r>
            <w:r w:rsidR="00BD4DB7">
              <w:rPr>
                <w:noProof/>
                <w:webHidden/>
              </w:rPr>
              <w:fldChar w:fldCharType="separate"/>
            </w:r>
            <w:r w:rsidR="00BD4DB7">
              <w:rPr>
                <w:noProof/>
                <w:webHidden/>
              </w:rPr>
              <w:t>609</w:t>
            </w:r>
            <w:r w:rsidR="00BD4DB7">
              <w:rPr>
                <w:noProof/>
                <w:webHidden/>
              </w:rPr>
              <w:fldChar w:fldCharType="end"/>
            </w:r>
          </w:hyperlink>
        </w:p>
        <w:p w14:paraId="78675151" w14:textId="0CF87AB0"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611" w:history="1">
            <w:r w:rsidR="00BD4DB7" w:rsidRPr="0089237F">
              <w:rPr>
                <w:rStyle w:val="Hipervnculo"/>
                <w:noProof/>
              </w:rPr>
              <w:t>(</w:t>
            </w:r>
            <w:r w:rsidR="00BD4DB7" w:rsidRPr="0089237F">
              <w:rPr>
                <w:rStyle w:val="Hipervnculo"/>
                <w:i/>
                <w:iCs/>
                <w:noProof/>
              </w:rPr>
              <w:t>Este anexo fue modificado mediante Circular 2 del 29 de enero de 2020, publicada en el Boletín Normativo No. 002 del 29 de enero de 2020. Rige a partir del 3 de febrero de 2020</w:t>
            </w:r>
            <w:r w:rsidR="00BD4DB7" w:rsidRPr="0089237F">
              <w:rPr>
                <w:rStyle w:val="Hipervnculo"/>
                <w:noProof/>
              </w:rPr>
              <w:t>.)</w:t>
            </w:r>
            <w:r w:rsidR="00BD4DB7">
              <w:rPr>
                <w:noProof/>
                <w:webHidden/>
              </w:rPr>
              <w:tab/>
            </w:r>
            <w:r w:rsidR="00BD4DB7">
              <w:rPr>
                <w:noProof/>
                <w:webHidden/>
              </w:rPr>
              <w:fldChar w:fldCharType="begin"/>
            </w:r>
            <w:r w:rsidR="00BD4DB7">
              <w:rPr>
                <w:noProof/>
                <w:webHidden/>
              </w:rPr>
              <w:instrText xml:space="preserve"> PAGEREF _Toc31716611 \h </w:instrText>
            </w:r>
            <w:r w:rsidR="00BD4DB7">
              <w:rPr>
                <w:noProof/>
                <w:webHidden/>
              </w:rPr>
            </w:r>
            <w:r w:rsidR="00BD4DB7">
              <w:rPr>
                <w:noProof/>
                <w:webHidden/>
              </w:rPr>
              <w:fldChar w:fldCharType="separate"/>
            </w:r>
            <w:r w:rsidR="00BD4DB7">
              <w:rPr>
                <w:noProof/>
                <w:webHidden/>
              </w:rPr>
              <w:t>609</w:t>
            </w:r>
            <w:r w:rsidR="00BD4DB7">
              <w:rPr>
                <w:noProof/>
                <w:webHidden/>
              </w:rPr>
              <w:fldChar w:fldCharType="end"/>
            </w:r>
          </w:hyperlink>
        </w:p>
        <w:p w14:paraId="2EA77761" w14:textId="5DF5F893"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612" w:history="1">
            <w:r w:rsidR="00BD4DB7" w:rsidRPr="0089237F">
              <w:rPr>
                <w:rStyle w:val="Hipervnculo"/>
                <w:noProof/>
              </w:rPr>
              <w:t>ANEXO 20 A</w:t>
            </w:r>
            <w:r w:rsidR="00BD4DB7">
              <w:rPr>
                <w:noProof/>
                <w:webHidden/>
              </w:rPr>
              <w:tab/>
            </w:r>
            <w:r w:rsidR="00BD4DB7">
              <w:rPr>
                <w:noProof/>
                <w:webHidden/>
              </w:rPr>
              <w:fldChar w:fldCharType="begin"/>
            </w:r>
            <w:r w:rsidR="00BD4DB7">
              <w:rPr>
                <w:noProof/>
                <w:webHidden/>
              </w:rPr>
              <w:instrText xml:space="preserve"> PAGEREF _Toc31716612 \h </w:instrText>
            </w:r>
            <w:r w:rsidR="00BD4DB7">
              <w:rPr>
                <w:noProof/>
                <w:webHidden/>
              </w:rPr>
            </w:r>
            <w:r w:rsidR="00BD4DB7">
              <w:rPr>
                <w:noProof/>
                <w:webHidden/>
              </w:rPr>
              <w:fldChar w:fldCharType="separate"/>
            </w:r>
            <w:r w:rsidR="00BD4DB7">
              <w:rPr>
                <w:noProof/>
                <w:webHidden/>
              </w:rPr>
              <w:t>629</w:t>
            </w:r>
            <w:r w:rsidR="00BD4DB7">
              <w:rPr>
                <w:noProof/>
                <w:webHidden/>
              </w:rPr>
              <w:fldChar w:fldCharType="end"/>
            </w:r>
          </w:hyperlink>
        </w:p>
        <w:p w14:paraId="699B8DE4" w14:textId="244BF6F4"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613" w:history="1">
            <w:r w:rsidR="00BD4DB7" w:rsidRPr="0089237F">
              <w:rPr>
                <w:rStyle w:val="Hipervnculo"/>
                <w:noProof/>
              </w:rPr>
              <w:t>ANEXO 20 B</w:t>
            </w:r>
            <w:r w:rsidR="00BD4DB7">
              <w:rPr>
                <w:noProof/>
                <w:webHidden/>
              </w:rPr>
              <w:tab/>
            </w:r>
            <w:r w:rsidR="00BD4DB7">
              <w:rPr>
                <w:noProof/>
                <w:webHidden/>
              </w:rPr>
              <w:fldChar w:fldCharType="begin"/>
            </w:r>
            <w:r w:rsidR="00BD4DB7">
              <w:rPr>
                <w:noProof/>
                <w:webHidden/>
              </w:rPr>
              <w:instrText xml:space="preserve"> PAGEREF _Toc31716613 \h </w:instrText>
            </w:r>
            <w:r w:rsidR="00BD4DB7">
              <w:rPr>
                <w:noProof/>
                <w:webHidden/>
              </w:rPr>
            </w:r>
            <w:r w:rsidR="00BD4DB7">
              <w:rPr>
                <w:noProof/>
                <w:webHidden/>
              </w:rPr>
              <w:fldChar w:fldCharType="separate"/>
            </w:r>
            <w:r w:rsidR="00BD4DB7">
              <w:rPr>
                <w:noProof/>
                <w:webHidden/>
              </w:rPr>
              <w:t>636</w:t>
            </w:r>
            <w:r w:rsidR="00BD4DB7">
              <w:rPr>
                <w:noProof/>
                <w:webHidden/>
              </w:rPr>
              <w:fldChar w:fldCharType="end"/>
            </w:r>
          </w:hyperlink>
        </w:p>
        <w:p w14:paraId="0F9F52E0" w14:textId="6A5C29EE"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614" w:history="1">
            <w:r w:rsidR="00BD4DB7" w:rsidRPr="0089237F">
              <w:rPr>
                <w:rStyle w:val="Hipervnculo"/>
                <w:noProof/>
              </w:rPr>
              <w:t>ANEXO 21</w:t>
            </w:r>
            <w:r w:rsidR="00BD4DB7">
              <w:rPr>
                <w:noProof/>
                <w:webHidden/>
              </w:rPr>
              <w:tab/>
            </w:r>
            <w:r w:rsidR="00BD4DB7">
              <w:rPr>
                <w:noProof/>
                <w:webHidden/>
              </w:rPr>
              <w:fldChar w:fldCharType="begin"/>
            </w:r>
            <w:r w:rsidR="00BD4DB7">
              <w:rPr>
                <w:noProof/>
                <w:webHidden/>
              </w:rPr>
              <w:instrText xml:space="preserve"> PAGEREF _Toc31716614 \h </w:instrText>
            </w:r>
            <w:r w:rsidR="00BD4DB7">
              <w:rPr>
                <w:noProof/>
                <w:webHidden/>
              </w:rPr>
            </w:r>
            <w:r w:rsidR="00BD4DB7">
              <w:rPr>
                <w:noProof/>
                <w:webHidden/>
              </w:rPr>
              <w:fldChar w:fldCharType="separate"/>
            </w:r>
            <w:r w:rsidR="00BD4DB7">
              <w:rPr>
                <w:noProof/>
                <w:webHidden/>
              </w:rPr>
              <w:t>638</w:t>
            </w:r>
            <w:r w:rsidR="00BD4DB7">
              <w:rPr>
                <w:noProof/>
                <w:webHidden/>
              </w:rPr>
              <w:fldChar w:fldCharType="end"/>
            </w:r>
          </w:hyperlink>
        </w:p>
        <w:p w14:paraId="6E3B1631" w14:textId="2A4952E8"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615" w:history="1">
            <w:r w:rsidR="00BD4DB7" w:rsidRPr="0089237F">
              <w:rPr>
                <w:rStyle w:val="Hipervnculo"/>
                <w:noProof/>
              </w:rPr>
              <w:t>ANEXO 22</w:t>
            </w:r>
            <w:r w:rsidR="00BD4DB7">
              <w:rPr>
                <w:noProof/>
                <w:webHidden/>
              </w:rPr>
              <w:tab/>
            </w:r>
            <w:r w:rsidR="00BD4DB7">
              <w:rPr>
                <w:noProof/>
                <w:webHidden/>
              </w:rPr>
              <w:fldChar w:fldCharType="begin"/>
            </w:r>
            <w:r w:rsidR="00BD4DB7">
              <w:rPr>
                <w:noProof/>
                <w:webHidden/>
              </w:rPr>
              <w:instrText xml:space="preserve"> PAGEREF _Toc31716615 \h </w:instrText>
            </w:r>
            <w:r w:rsidR="00BD4DB7">
              <w:rPr>
                <w:noProof/>
                <w:webHidden/>
              </w:rPr>
            </w:r>
            <w:r w:rsidR="00BD4DB7">
              <w:rPr>
                <w:noProof/>
                <w:webHidden/>
              </w:rPr>
              <w:fldChar w:fldCharType="separate"/>
            </w:r>
            <w:r w:rsidR="00BD4DB7">
              <w:rPr>
                <w:noProof/>
                <w:webHidden/>
              </w:rPr>
              <w:t>643</w:t>
            </w:r>
            <w:r w:rsidR="00BD4DB7">
              <w:rPr>
                <w:noProof/>
                <w:webHidden/>
              </w:rPr>
              <w:fldChar w:fldCharType="end"/>
            </w:r>
          </w:hyperlink>
        </w:p>
        <w:p w14:paraId="6BCF4631" w14:textId="3AD442A7"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616" w:history="1">
            <w:r w:rsidR="00BD4DB7" w:rsidRPr="0089237F">
              <w:rPr>
                <w:rStyle w:val="Hipervnculo"/>
                <w:noProof/>
              </w:rPr>
              <w:t>ANEXO 23</w:t>
            </w:r>
            <w:r w:rsidR="00BD4DB7">
              <w:rPr>
                <w:noProof/>
                <w:webHidden/>
              </w:rPr>
              <w:tab/>
            </w:r>
            <w:r w:rsidR="00BD4DB7">
              <w:rPr>
                <w:noProof/>
                <w:webHidden/>
              </w:rPr>
              <w:fldChar w:fldCharType="begin"/>
            </w:r>
            <w:r w:rsidR="00BD4DB7">
              <w:rPr>
                <w:noProof/>
                <w:webHidden/>
              </w:rPr>
              <w:instrText xml:space="preserve"> PAGEREF _Toc31716616 \h </w:instrText>
            </w:r>
            <w:r w:rsidR="00BD4DB7">
              <w:rPr>
                <w:noProof/>
                <w:webHidden/>
              </w:rPr>
            </w:r>
            <w:r w:rsidR="00BD4DB7">
              <w:rPr>
                <w:noProof/>
                <w:webHidden/>
              </w:rPr>
              <w:fldChar w:fldCharType="separate"/>
            </w:r>
            <w:r w:rsidR="00BD4DB7">
              <w:rPr>
                <w:noProof/>
                <w:webHidden/>
              </w:rPr>
              <w:t>658</w:t>
            </w:r>
            <w:r w:rsidR="00BD4DB7">
              <w:rPr>
                <w:noProof/>
                <w:webHidden/>
              </w:rPr>
              <w:fldChar w:fldCharType="end"/>
            </w:r>
          </w:hyperlink>
        </w:p>
        <w:p w14:paraId="09C4B154" w14:textId="545A4653"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617" w:history="1">
            <w:r w:rsidR="00BD4DB7" w:rsidRPr="0089237F">
              <w:rPr>
                <w:rStyle w:val="Hipervnculo"/>
                <w:noProof/>
              </w:rPr>
              <w:t>ANEXO 24</w:t>
            </w:r>
            <w:r w:rsidR="00BD4DB7">
              <w:rPr>
                <w:noProof/>
                <w:webHidden/>
              </w:rPr>
              <w:tab/>
            </w:r>
            <w:r w:rsidR="00BD4DB7">
              <w:rPr>
                <w:noProof/>
                <w:webHidden/>
              </w:rPr>
              <w:fldChar w:fldCharType="begin"/>
            </w:r>
            <w:r w:rsidR="00BD4DB7">
              <w:rPr>
                <w:noProof/>
                <w:webHidden/>
              </w:rPr>
              <w:instrText xml:space="preserve"> PAGEREF _Toc31716617 \h </w:instrText>
            </w:r>
            <w:r w:rsidR="00BD4DB7">
              <w:rPr>
                <w:noProof/>
                <w:webHidden/>
              </w:rPr>
            </w:r>
            <w:r w:rsidR="00BD4DB7">
              <w:rPr>
                <w:noProof/>
                <w:webHidden/>
              </w:rPr>
              <w:fldChar w:fldCharType="separate"/>
            </w:r>
            <w:r w:rsidR="00BD4DB7">
              <w:rPr>
                <w:noProof/>
                <w:webHidden/>
              </w:rPr>
              <w:t>665</w:t>
            </w:r>
            <w:r w:rsidR="00BD4DB7">
              <w:rPr>
                <w:noProof/>
                <w:webHidden/>
              </w:rPr>
              <w:fldChar w:fldCharType="end"/>
            </w:r>
          </w:hyperlink>
        </w:p>
        <w:p w14:paraId="59D389CE" w14:textId="4A67D478"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618" w:history="1">
            <w:r w:rsidR="00BD4DB7" w:rsidRPr="0089237F">
              <w:rPr>
                <w:rStyle w:val="Hipervnculo"/>
                <w:i/>
                <w:iCs/>
                <w:noProof/>
              </w:rPr>
              <w:t>(Este anexo fue modificado mediante Circular 2 del 29 de enero de 2020, publicada en el Boletín Normativo No. 002 del 29 de enero de 2020. Rige a partir del 3 de febrero de 2020</w:t>
            </w:r>
            <w:r w:rsidR="00BD4DB7" w:rsidRPr="0089237F">
              <w:rPr>
                <w:rStyle w:val="Hipervnculo"/>
                <w:noProof/>
              </w:rPr>
              <w:t>.)</w:t>
            </w:r>
            <w:r w:rsidR="00BD4DB7">
              <w:rPr>
                <w:noProof/>
                <w:webHidden/>
              </w:rPr>
              <w:tab/>
            </w:r>
            <w:r w:rsidR="00BD4DB7">
              <w:rPr>
                <w:noProof/>
                <w:webHidden/>
              </w:rPr>
              <w:fldChar w:fldCharType="begin"/>
            </w:r>
            <w:r w:rsidR="00BD4DB7">
              <w:rPr>
                <w:noProof/>
                <w:webHidden/>
              </w:rPr>
              <w:instrText xml:space="preserve"> PAGEREF _Toc31716618 \h </w:instrText>
            </w:r>
            <w:r w:rsidR="00BD4DB7">
              <w:rPr>
                <w:noProof/>
                <w:webHidden/>
              </w:rPr>
            </w:r>
            <w:r w:rsidR="00BD4DB7">
              <w:rPr>
                <w:noProof/>
                <w:webHidden/>
              </w:rPr>
              <w:fldChar w:fldCharType="separate"/>
            </w:r>
            <w:r w:rsidR="00BD4DB7">
              <w:rPr>
                <w:noProof/>
                <w:webHidden/>
              </w:rPr>
              <w:t>665</w:t>
            </w:r>
            <w:r w:rsidR="00BD4DB7">
              <w:rPr>
                <w:noProof/>
                <w:webHidden/>
              </w:rPr>
              <w:fldChar w:fldCharType="end"/>
            </w:r>
          </w:hyperlink>
        </w:p>
        <w:p w14:paraId="235A76B5" w14:textId="52A3AC2D"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619" w:history="1">
            <w:r w:rsidR="00BD4DB7" w:rsidRPr="0089237F">
              <w:rPr>
                <w:rStyle w:val="Hipervnculo"/>
                <w:noProof/>
              </w:rPr>
              <w:t>ANEXO 25</w:t>
            </w:r>
            <w:r w:rsidR="00BD4DB7">
              <w:rPr>
                <w:noProof/>
                <w:webHidden/>
              </w:rPr>
              <w:tab/>
            </w:r>
            <w:r w:rsidR="00BD4DB7">
              <w:rPr>
                <w:noProof/>
                <w:webHidden/>
              </w:rPr>
              <w:fldChar w:fldCharType="begin"/>
            </w:r>
            <w:r w:rsidR="00BD4DB7">
              <w:rPr>
                <w:noProof/>
                <w:webHidden/>
              </w:rPr>
              <w:instrText xml:space="preserve"> PAGEREF _Toc31716619 \h </w:instrText>
            </w:r>
            <w:r w:rsidR="00BD4DB7">
              <w:rPr>
                <w:noProof/>
                <w:webHidden/>
              </w:rPr>
            </w:r>
            <w:r w:rsidR="00BD4DB7">
              <w:rPr>
                <w:noProof/>
                <w:webHidden/>
              </w:rPr>
              <w:fldChar w:fldCharType="separate"/>
            </w:r>
            <w:r w:rsidR="00BD4DB7">
              <w:rPr>
                <w:noProof/>
                <w:webHidden/>
              </w:rPr>
              <w:t>683</w:t>
            </w:r>
            <w:r w:rsidR="00BD4DB7">
              <w:rPr>
                <w:noProof/>
                <w:webHidden/>
              </w:rPr>
              <w:fldChar w:fldCharType="end"/>
            </w:r>
          </w:hyperlink>
        </w:p>
        <w:p w14:paraId="6088D38C" w14:textId="6E9EFD2C"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620" w:history="1">
            <w:r w:rsidR="00BD4DB7" w:rsidRPr="0089237F">
              <w:rPr>
                <w:rStyle w:val="Hipervnculo"/>
                <w:noProof/>
              </w:rPr>
              <w:t>ANEXO 26</w:t>
            </w:r>
            <w:r w:rsidR="00BD4DB7">
              <w:rPr>
                <w:noProof/>
                <w:webHidden/>
              </w:rPr>
              <w:tab/>
            </w:r>
            <w:r w:rsidR="00BD4DB7">
              <w:rPr>
                <w:noProof/>
                <w:webHidden/>
              </w:rPr>
              <w:fldChar w:fldCharType="begin"/>
            </w:r>
            <w:r w:rsidR="00BD4DB7">
              <w:rPr>
                <w:noProof/>
                <w:webHidden/>
              </w:rPr>
              <w:instrText xml:space="preserve"> PAGEREF _Toc31716620 \h </w:instrText>
            </w:r>
            <w:r w:rsidR="00BD4DB7">
              <w:rPr>
                <w:noProof/>
                <w:webHidden/>
              </w:rPr>
            </w:r>
            <w:r w:rsidR="00BD4DB7">
              <w:rPr>
                <w:noProof/>
                <w:webHidden/>
              </w:rPr>
              <w:fldChar w:fldCharType="separate"/>
            </w:r>
            <w:r w:rsidR="00BD4DB7">
              <w:rPr>
                <w:noProof/>
                <w:webHidden/>
              </w:rPr>
              <w:t>687</w:t>
            </w:r>
            <w:r w:rsidR="00BD4DB7">
              <w:rPr>
                <w:noProof/>
                <w:webHidden/>
              </w:rPr>
              <w:fldChar w:fldCharType="end"/>
            </w:r>
          </w:hyperlink>
        </w:p>
        <w:p w14:paraId="7C287ADF" w14:textId="0867F41E"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621" w:history="1">
            <w:r w:rsidR="00BD4DB7" w:rsidRPr="0089237F">
              <w:rPr>
                <w:rStyle w:val="Hipervnculo"/>
                <w:noProof/>
              </w:rPr>
              <w:t>ANEXO 27</w:t>
            </w:r>
            <w:r w:rsidR="00BD4DB7">
              <w:rPr>
                <w:noProof/>
                <w:webHidden/>
              </w:rPr>
              <w:tab/>
            </w:r>
            <w:r w:rsidR="00BD4DB7">
              <w:rPr>
                <w:noProof/>
                <w:webHidden/>
              </w:rPr>
              <w:fldChar w:fldCharType="begin"/>
            </w:r>
            <w:r w:rsidR="00BD4DB7">
              <w:rPr>
                <w:noProof/>
                <w:webHidden/>
              </w:rPr>
              <w:instrText xml:space="preserve"> PAGEREF _Toc31716621 \h </w:instrText>
            </w:r>
            <w:r w:rsidR="00BD4DB7">
              <w:rPr>
                <w:noProof/>
                <w:webHidden/>
              </w:rPr>
            </w:r>
            <w:r w:rsidR="00BD4DB7">
              <w:rPr>
                <w:noProof/>
                <w:webHidden/>
              </w:rPr>
              <w:fldChar w:fldCharType="separate"/>
            </w:r>
            <w:r w:rsidR="00BD4DB7">
              <w:rPr>
                <w:noProof/>
                <w:webHidden/>
              </w:rPr>
              <w:t>689</w:t>
            </w:r>
            <w:r w:rsidR="00BD4DB7">
              <w:rPr>
                <w:noProof/>
                <w:webHidden/>
              </w:rPr>
              <w:fldChar w:fldCharType="end"/>
            </w:r>
          </w:hyperlink>
        </w:p>
        <w:p w14:paraId="37FEB51F" w14:textId="79DD5904"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622" w:history="1">
            <w:r w:rsidR="00BD4DB7" w:rsidRPr="0089237F">
              <w:rPr>
                <w:rStyle w:val="Hipervnculo"/>
                <w:noProof/>
              </w:rPr>
              <w:t>ANEXO 28</w:t>
            </w:r>
            <w:r w:rsidR="00BD4DB7">
              <w:rPr>
                <w:noProof/>
                <w:webHidden/>
              </w:rPr>
              <w:tab/>
            </w:r>
            <w:r w:rsidR="00BD4DB7">
              <w:rPr>
                <w:noProof/>
                <w:webHidden/>
              </w:rPr>
              <w:fldChar w:fldCharType="begin"/>
            </w:r>
            <w:r w:rsidR="00BD4DB7">
              <w:rPr>
                <w:noProof/>
                <w:webHidden/>
              </w:rPr>
              <w:instrText xml:space="preserve"> PAGEREF _Toc31716622 \h </w:instrText>
            </w:r>
            <w:r w:rsidR="00BD4DB7">
              <w:rPr>
                <w:noProof/>
                <w:webHidden/>
              </w:rPr>
            </w:r>
            <w:r w:rsidR="00BD4DB7">
              <w:rPr>
                <w:noProof/>
                <w:webHidden/>
              </w:rPr>
              <w:fldChar w:fldCharType="separate"/>
            </w:r>
            <w:r w:rsidR="00BD4DB7">
              <w:rPr>
                <w:noProof/>
                <w:webHidden/>
              </w:rPr>
              <w:t>693</w:t>
            </w:r>
            <w:r w:rsidR="00BD4DB7">
              <w:rPr>
                <w:noProof/>
                <w:webHidden/>
              </w:rPr>
              <w:fldChar w:fldCharType="end"/>
            </w:r>
          </w:hyperlink>
        </w:p>
        <w:p w14:paraId="417746B2" w14:textId="5667DD6F"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623" w:history="1">
            <w:r w:rsidR="00BD4DB7" w:rsidRPr="0089237F">
              <w:rPr>
                <w:rStyle w:val="Hipervnculo"/>
                <w:noProof/>
              </w:rPr>
              <w:t>ANEXO 29</w:t>
            </w:r>
            <w:r w:rsidR="00BD4DB7">
              <w:rPr>
                <w:noProof/>
                <w:webHidden/>
              </w:rPr>
              <w:tab/>
            </w:r>
            <w:r w:rsidR="00BD4DB7">
              <w:rPr>
                <w:noProof/>
                <w:webHidden/>
              </w:rPr>
              <w:fldChar w:fldCharType="begin"/>
            </w:r>
            <w:r w:rsidR="00BD4DB7">
              <w:rPr>
                <w:noProof/>
                <w:webHidden/>
              </w:rPr>
              <w:instrText xml:space="preserve"> PAGEREF _Toc31716623 \h </w:instrText>
            </w:r>
            <w:r w:rsidR="00BD4DB7">
              <w:rPr>
                <w:noProof/>
                <w:webHidden/>
              </w:rPr>
            </w:r>
            <w:r w:rsidR="00BD4DB7">
              <w:rPr>
                <w:noProof/>
                <w:webHidden/>
              </w:rPr>
              <w:fldChar w:fldCharType="separate"/>
            </w:r>
            <w:r w:rsidR="00BD4DB7">
              <w:rPr>
                <w:noProof/>
                <w:webHidden/>
              </w:rPr>
              <w:t>695</w:t>
            </w:r>
            <w:r w:rsidR="00BD4DB7">
              <w:rPr>
                <w:noProof/>
                <w:webHidden/>
              </w:rPr>
              <w:fldChar w:fldCharType="end"/>
            </w:r>
          </w:hyperlink>
        </w:p>
        <w:p w14:paraId="17DFEBBD" w14:textId="691AC348"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624" w:history="1">
            <w:r w:rsidR="00BD4DB7" w:rsidRPr="0089237F">
              <w:rPr>
                <w:rStyle w:val="Hipervnculo"/>
                <w:noProof/>
              </w:rPr>
              <w:t>ANEXO 29A</w:t>
            </w:r>
            <w:r w:rsidR="00BD4DB7">
              <w:rPr>
                <w:noProof/>
                <w:webHidden/>
              </w:rPr>
              <w:tab/>
            </w:r>
            <w:r w:rsidR="00BD4DB7">
              <w:rPr>
                <w:noProof/>
                <w:webHidden/>
              </w:rPr>
              <w:fldChar w:fldCharType="begin"/>
            </w:r>
            <w:r w:rsidR="00BD4DB7">
              <w:rPr>
                <w:noProof/>
                <w:webHidden/>
              </w:rPr>
              <w:instrText xml:space="preserve"> PAGEREF _Toc31716624 \h </w:instrText>
            </w:r>
            <w:r w:rsidR="00BD4DB7">
              <w:rPr>
                <w:noProof/>
                <w:webHidden/>
              </w:rPr>
            </w:r>
            <w:r w:rsidR="00BD4DB7">
              <w:rPr>
                <w:noProof/>
                <w:webHidden/>
              </w:rPr>
              <w:fldChar w:fldCharType="separate"/>
            </w:r>
            <w:r w:rsidR="00BD4DB7">
              <w:rPr>
                <w:noProof/>
                <w:webHidden/>
              </w:rPr>
              <w:t>700</w:t>
            </w:r>
            <w:r w:rsidR="00BD4DB7">
              <w:rPr>
                <w:noProof/>
                <w:webHidden/>
              </w:rPr>
              <w:fldChar w:fldCharType="end"/>
            </w:r>
          </w:hyperlink>
        </w:p>
        <w:p w14:paraId="046379AC" w14:textId="61B2D53B"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625" w:history="1">
            <w:r w:rsidR="00BD4DB7" w:rsidRPr="0089237F">
              <w:rPr>
                <w:rStyle w:val="Hipervnculo"/>
                <w:noProof/>
              </w:rPr>
              <w:t>ANEXO 30</w:t>
            </w:r>
            <w:r w:rsidR="00BD4DB7">
              <w:rPr>
                <w:noProof/>
                <w:webHidden/>
              </w:rPr>
              <w:tab/>
            </w:r>
            <w:r w:rsidR="00BD4DB7">
              <w:rPr>
                <w:noProof/>
                <w:webHidden/>
              </w:rPr>
              <w:fldChar w:fldCharType="begin"/>
            </w:r>
            <w:r w:rsidR="00BD4DB7">
              <w:rPr>
                <w:noProof/>
                <w:webHidden/>
              </w:rPr>
              <w:instrText xml:space="preserve"> PAGEREF _Toc31716625 \h </w:instrText>
            </w:r>
            <w:r w:rsidR="00BD4DB7">
              <w:rPr>
                <w:noProof/>
                <w:webHidden/>
              </w:rPr>
            </w:r>
            <w:r w:rsidR="00BD4DB7">
              <w:rPr>
                <w:noProof/>
                <w:webHidden/>
              </w:rPr>
              <w:fldChar w:fldCharType="separate"/>
            </w:r>
            <w:r w:rsidR="00BD4DB7">
              <w:rPr>
                <w:noProof/>
                <w:webHidden/>
              </w:rPr>
              <w:t>705</w:t>
            </w:r>
            <w:r w:rsidR="00BD4DB7">
              <w:rPr>
                <w:noProof/>
                <w:webHidden/>
              </w:rPr>
              <w:fldChar w:fldCharType="end"/>
            </w:r>
          </w:hyperlink>
        </w:p>
        <w:p w14:paraId="773F5DF3" w14:textId="43A8F767"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626" w:history="1">
            <w:r w:rsidR="00BD4DB7" w:rsidRPr="0089237F">
              <w:rPr>
                <w:rStyle w:val="Hipervnculo"/>
                <w:noProof/>
              </w:rPr>
              <w:t>ANEXO 31</w:t>
            </w:r>
            <w:r w:rsidR="00BD4DB7">
              <w:rPr>
                <w:noProof/>
                <w:webHidden/>
              </w:rPr>
              <w:tab/>
            </w:r>
            <w:r w:rsidR="00BD4DB7">
              <w:rPr>
                <w:noProof/>
                <w:webHidden/>
              </w:rPr>
              <w:fldChar w:fldCharType="begin"/>
            </w:r>
            <w:r w:rsidR="00BD4DB7">
              <w:rPr>
                <w:noProof/>
                <w:webHidden/>
              </w:rPr>
              <w:instrText xml:space="preserve"> PAGEREF _Toc31716626 \h </w:instrText>
            </w:r>
            <w:r w:rsidR="00BD4DB7">
              <w:rPr>
                <w:noProof/>
                <w:webHidden/>
              </w:rPr>
            </w:r>
            <w:r w:rsidR="00BD4DB7">
              <w:rPr>
                <w:noProof/>
                <w:webHidden/>
              </w:rPr>
              <w:fldChar w:fldCharType="separate"/>
            </w:r>
            <w:r w:rsidR="00BD4DB7">
              <w:rPr>
                <w:noProof/>
                <w:webHidden/>
              </w:rPr>
              <w:t>706</w:t>
            </w:r>
            <w:r w:rsidR="00BD4DB7">
              <w:rPr>
                <w:noProof/>
                <w:webHidden/>
              </w:rPr>
              <w:fldChar w:fldCharType="end"/>
            </w:r>
          </w:hyperlink>
        </w:p>
        <w:p w14:paraId="55042265" w14:textId="1E309AF7"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627" w:history="1">
            <w:r w:rsidR="00BD4DB7" w:rsidRPr="0089237F">
              <w:rPr>
                <w:rStyle w:val="Hipervnculo"/>
                <w:noProof/>
              </w:rPr>
              <w:t>ANEXO 32</w:t>
            </w:r>
            <w:r w:rsidR="00BD4DB7">
              <w:rPr>
                <w:noProof/>
                <w:webHidden/>
              </w:rPr>
              <w:tab/>
            </w:r>
            <w:r w:rsidR="00BD4DB7">
              <w:rPr>
                <w:noProof/>
                <w:webHidden/>
              </w:rPr>
              <w:fldChar w:fldCharType="begin"/>
            </w:r>
            <w:r w:rsidR="00BD4DB7">
              <w:rPr>
                <w:noProof/>
                <w:webHidden/>
              </w:rPr>
              <w:instrText xml:space="preserve"> PAGEREF _Toc31716627 \h </w:instrText>
            </w:r>
            <w:r w:rsidR="00BD4DB7">
              <w:rPr>
                <w:noProof/>
                <w:webHidden/>
              </w:rPr>
            </w:r>
            <w:r w:rsidR="00BD4DB7">
              <w:rPr>
                <w:noProof/>
                <w:webHidden/>
              </w:rPr>
              <w:fldChar w:fldCharType="separate"/>
            </w:r>
            <w:r w:rsidR="00BD4DB7">
              <w:rPr>
                <w:noProof/>
                <w:webHidden/>
              </w:rPr>
              <w:t>709</w:t>
            </w:r>
            <w:r w:rsidR="00BD4DB7">
              <w:rPr>
                <w:noProof/>
                <w:webHidden/>
              </w:rPr>
              <w:fldChar w:fldCharType="end"/>
            </w:r>
          </w:hyperlink>
        </w:p>
        <w:p w14:paraId="1AA864EB" w14:textId="01685987" w:rsidR="00BD4DB7" w:rsidRDefault="00682D97">
          <w:pPr>
            <w:pStyle w:val="TDC1"/>
            <w:tabs>
              <w:tab w:val="right" w:leader="dot" w:pos="9396"/>
            </w:tabs>
            <w:rPr>
              <w:rFonts w:asciiTheme="minorHAnsi" w:eastAsiaTheme="minorEastAsia" w:hAnsiTheme="minorHAnsi" w:cstheme="minorBidi"/>
              <w:b w:val="0"/>
              <w:bCs w:val="0"/>
              <w:caps w:val="0"/>
              <w:noProof/>
              <w:sz w:val="22"/>
              <w:szCs w:val="22"/>
              <w:lang w:val="es-CO" w:eastAsia="es-CO"/>
            </w:rPr>
          </w:pPr>
          <w:hyperlink w:anchor="_Toc31716628" w:history="1">
            <w:r w:rsidR="00BD4DB7" w:rsidRPr="0089237F">
              <w:rPr>
                <w:rStyle w:val="Hipervnculo"/>
                <w:noProof/>
              </w:rPr>
              <w:t>ANEXO 33</w:t>
            </w:r>
            <w:r w:rsidR="00BD4DB7">
              <w:rPr>
                <w:noProof/>
                <w:webHidden/>
              </w:rPr>
              <w:tab/>
            </w:r>
            <w:r w:rsidR="00BD4DB7">
              <w:rPr>
                <w:noProof/>
                <w:webHidden/>
              </w:rPr>
              <w:fldChar w:fldCharType="begin"/>
            </w:r>
            <w:r w:rsidR="00BD4DB7">
              <w:rPr>
                <w:noProof/>
                <w:webHidden/>
              </w:rPr>
              <w:instrText xml:space="preserve"> PAGEREF _Toc31716628 \h </w:instrText>
            </w:r>
            <w:r w:rsidR="00BD4DB7">
              <w:rPr>
                <w:noProof/>
                <w:webHidden/>
              </w:rPr>
            </w:r>
            <w:r w:rsidR="00BD4DB7">
              <w:rPr>
                <w:noProof/>
                <w:webHidden/>
              </w:rPr>
              <w:fldChar w:fldCharType="separate"/>
            </w:r>
            <w:r w:rsidR="00BD4DB7">
              <w:rPr>
                <w:noProof/>
                <w:webHidden/>
              </w:rPr>
              <w:t>710</w:t>
            </w:r>
            <w:r w:rsidR="00BD4DB7">
              <w:rPr>
                <w:noProof/>
                <w:webHidden/>
              </w:rPr>
              <w:fldChar w:fldCharType="end"/>
            </w:r>
          </w:hyperlink>
        </w:p>
        <w:p w14:paraId="020BD296" w14:textId="4934583F" w:rsidR="007968EC" w:rsidRPr="002C7F5C" w:rsidRDefault="007968EC" w:rsidP="007968EC">
          <w:r>
            <w:fldChar w:fldCharType="end"/>
          </w:r>
        </w:p>
      </w:sdtContent>
    </w:sdt>
    <w:p w14:paraId="1A9A6803" w14:textId="77777777" w:rsidR="007968EC" w:rsidRDefault="007968EC" w:rsidP="007968EC">
      <w:pPr>
        <w:spacing w:before="120" w:after="120"/>
        <w:jc w:val="center"/>
        <w:rPr>
          <w:rFonts w:ascii="Arial Narrow" w:hAnsi="Arial Narrow" w:cs="Arial"/>
          <w:b/>
          <w:bCs/>
          <w:caps/>
          <w:sz w:val="20"/>
          <w:szCs w:val="20"/>
          <w:lang w:val="es-ES" w:eastAsia="es-ES"/>
        </w:rPr>
      </w:pPr>
    </w:p>
    <w:p w14:paraId="3094F251" w14:textId="77777777" w:rsidR="007968EC" w:rsidRDefault="007968EC" w:rsidP="007968EC">
      <w:pPr>
        <w:spacing w:before="120" w:after="120"/>
        <w:jc w:val="center"/>
        <w:rPr>
          <w:rFonts w:ascii="Arial Narrow" w:hAnsi="Arial Narrow" w:cs="Arial"/>
          <w:b/>
          <w:bCs/>
          <w:caps/>
          <w:sz w:val="20"/>
          <w:szCs w:val="20"/>
          <w:lang w:val="es-ES" w:eastAsia="es-ES"/>
        </w:rPr>
      </w:pPr>
    </w:p>
    <w:p w14:paraId="5D20D2E2" w14:textId="77777777" w:rsidR="007968EC" w:rsidRDefault="007968EC" w:rsidP="007968EC">
      <w:pPr>
        <w:spacing w:before="120" w:after="120"/>
        <w:jc w:val="center"/>
        <w:rPr>
          <w:rFonts w:ascii="Arial Narrow" w:hAnsi="Arial Narrow" w:cs="Arial"/>
          <w:b/>
          <w:bCs/>
          <w:caps/>
          <w:sz w:val="20"/>
          <w:szCs w:val="20"/>
          <w:lang w:val="es-ES" w:eastAsia="es-ES"/>
        </w:rPr>
      </w:pPr>
    </w:p>
    <w:p w14:paraId="4F47108D" w14:textId="77777777" w:rsidR="007968EC" w:rsidRDefault="007968EC" w:rsidP="007968EC">
      <w:pPr>
        <w:spacing w:before="120" w:after="120"/>
        <w:jc w:val="center"/>
        <w:rPr>
          <w:rFonts w:ascii="Arial Narrow" w:hAnsi="Arial Narrow" w:cs="Arial"/>
          <w:b/>
          <w:bCs/>
          <w:caps/>
          <w:sz w:val="20"/>
          <w:szCs w:val="20"/>
          <w:lang w:val="es-ES" w:eastAsia="es-ES"/>
        </w:rPr>
      </w:pPr>
    </w:p>
    <w:p w14:paraId="7452D300" w14:textId="77777777" w:rsidR="007968EC" w:rsidRDefault="007968EC" w:rsidP="007968EC">
      <w:pPr>
        <w:spacing w:before="120" w:after="120"/>
        <w:jc w:val="center"/>
        <w:rPr>
          <w:rFonts w:ascii="Arial Narrow" w:hAnsi="Arial Narrow" w:cs="Arial"/>
          <w:b/>
          <w:bCs/>
          <w:caps/>
          <w:sz w:val="20"/>
          <w:szCs w:val="20"/>
          <w:lang w:val="es-ES" w:eastAsia="es-ES"/>
        </w:rPr>
      </w:pPr>
    </w:p>
    <w:p w14:paraId="2875A8C7" w14:textId="77777777" w:rsidR="007968EC" w:rsidRDefault="007968EC" w:rsidP="007968EC">
      <w:pPr>
        <w:spacing w:before="120" w:after="120"/>
        <w:jc w:val="center"/>
        <w:rPr>
          <w:rFonts w:ascii="Arial Narrow" w:hAnsi="Arial Narrow" w:cs="Arial"/>
          <w:b/>
          <w:bCs/>
          <w:caps/>
          <w:sz w:val="20"/>
          <w:szCs w:val="20"/>
          <w:lang w:val="es-ES" w:eastAsia="es-ES"/>
        </w:rPr>
      </w:pPr>
    </w:p>
    <w:p w14:paraId="44D8A4D9" w14:textId="77777777" w:rsidR="007968EC" w:rsidRDefault="007968EC" w:rsidP="007968EC">
      <w:pPr>
        <w:spacing w:before="120" w:after="120"/>
        <w:jc w:val="center"/>
        <w:rPr>
          <w:rFonts w:ascii="Arial Narrow" w:hAnsi="Arial Narrow" w:cs="Arial"/>
          <w:b/>
          <w:bCs/>
          <w:caps/>
          <w:sz w:val="20"/>
          <w:szCs w:val="20"/>
          <w:lang w:val="es-ES" w:eastAsia="es-ES"/>
        </w:rPr>
      </w:pPr>
    </w:p>
    <w:p w14:paraId="4638E868" w14:textId="77777777" w:rsidR="007968EC" w:rsidRDefault="007968EC" w:rsidP="007968EC">
      <w:pPr>
        <w:spacing w:before="120" w:after="120"/>
        <w:jc w:val="center"/>
        <w:rPr>
          <w:rFonts w:ascii="Arial Narrow" w:hAnsi="Arial Narrow" w:cs="Arial"/>
          <w:b/>
          <w:bCs/>
          <w:caps/>
          <w:sz w:val="20"/>
          <w:szCs w:val="20"/>
          <w:lang w:val="es-ES" w:eastAsia="es-ES"/>
        </w:rPr>
      </w:pPr>
    </w:p>
    <w:p w14:paraId="1038B3E1" w14:textId="77777777" w:rsidR="007968EC" w:rsidRDefault="007968EC" w:rsidP="007968EC">
      <w:pPr>
        <w:spacing w:before="120" w:after="120"/>
        <w:jc w:val="center"/>
        <w:rPr>
          <w:rFonts w:ascii="Arial Narrow" w:hAnsi="Arial Narrow" w:cs="Arial"/>
          <w:b/>
          <w:bCs/>
          <w:caps/>
          <w:sz w:val="20"/>
          <w:szCs w:val="20"/>
          <w:lang w:val="es-ES" w:eastAsia="es-ES"/>
        </w:rPr>
      </w:pPr>
    </w:p>
    <w:p w14:paraId="6A5966E6" w14:textId="77777777" w:rsidR="007968EC" w:rsidRDefault="007968EC" w:rsidP="007968EC">
      <w:pPr>
        <w:spacing w:before="120" w:after="120"/>
        <w:jc w:val="center"/>
        <w:rPr>
          <w:rFonts w:ascii="Arial Narrow" w:hAnsi="Arial Narrow" w:cs="Arial"/>
          <w:b/>
          <w:bCs/>
          <w:caps/>
          <w:sz w:val="20"/>
          <w:szCs w:val="20"/>
          <w:lang w:val="es-ES" w:eastAsia="es-ES"/>
        </w:rPr>
      </w:pPr>
    </w:p>
    <w:p w14:paraId="02CD6D2F" w14:textId="77777777" w:rsidR="007968EC" w:rsidRDefault="007968EC" w:rsidP="007968EC">
      <w:pPr>
        <w:spacing w:before="120" w:after="120"/>
        <w:jc w:val="center"/>
        <w:rPr>
          <w:rFonts w:ascii="Arial Narrow" w:hAnsi="Arial Narrow" w:cs="Arial"/>
          <w:b/>
          <w:bCs/>
          <w:caps/>
          <w:sz w:val="20"/>
          <w:szCs w:val="20"/>
          <w:lang w:val="es-ES" w:eastAsia="es-ES"/>
        </w:rPr>
      </w:pPr>
    </w:p>
    <w:p w14:paraId="1DE25F92" w14:textId="77777777" w:rsidR="007968EC" w:rsidRDefault="007968EC" w:rsidP="007968EC">
      <w:pPr>
        <w:spacing w:before="120" w:after="120"/>
        <w:jc w:val="center"/>
        <w:rPr>
          <w:rFonts w:ascii="Arial Narrow" w:hAnsi="Arial Narrow" w:cs="Arial"/>
          <w:b/>
          <w:bCs/>
          <w:caps/>
          <w:sz w:val="20"/>
          <w:szCs w:val="20"/>
          <w:lang w:val="es-ES" w:eastAsia="es-ES"/>
        </w:rPr>
      </w:pPr>
    </w:p>
    <w:p w14:paraId="10792010" w14:textId="77777777" w:rsidR="007968EC" w:rsidRDefault="007968EC" w:rsidP="007968EC">
      <w:pPr>
        <w:spacing w:after="160" w:line="259" w:lineRule="auto"/>
        <w:rPr>
          <w:rFonts w:ascii="Arial Narrow" w:hAnsi="Arial Narrow" w:cs="Arial"/>
          <w:b/>
          <w:bCs/>
          <w:caps/>
          <w:sz w:val="20"/>
          <w:szCs w:val="20"/>
          <w:lang w:val="es-ES" w:eastAsia="es-ES"/>
        </w:rPr>
      </w:pPr>
      <w:r>
        <w:rPr>
          <w:rFonts w:ascii="Arial Narrow" w:hAnsi="Arial Narrow" w:cs="Arial"/>
          <w:b/>
          <w:bCs/>
          <w:caps/>
          <w:sz w:val="20"/>
          <w:szCs w:val="20"/>
          <w:lang w:val="es-ES" w:eastAsia="es-ES"/>
        </w:rPr>
        <w:br w:type="page"/>
      </w:r>
    </w:p>
    <w:p w14:paraId="11CFBCE3" w14:textId="77777777" w:rsidR="007968EC" w:rsidRPr="002C0D19" w:rsidRDefault="007968EC" w:rsidP="007968EC">
      <w:pPr>
        <w:spacing w:before="120" w:after="120"/>
        <w:jc w:val="center"/>
        <w:rPr>
          <w:rFonts w:ascii="Arial Narrow" w:hAnsi="Arial Narrow" w:cs="Arial"/>
          <w:b/>
          <w:bCs/>
          <w:caps/>
          <w:sz w:val="20"/>
          <w:szCs w:val="20"/>
          <w:lang w:val="es-ES" w:eastAsia="es-ES"/>
        </w:rPr>
      </w:pPr>
      <w:r w:rsidRPr="002C0D19">
        <w:rPr>
          <w:rFonts w:ascii="Arial Narrow" w:hAnsi="Arial Narrow" w:cs="Arial"/>
          <w:b/>
          <w:bCs/>
          <w:caps/>
          <w:sz w:val="20"/>
          <w:szCs w:val="20"/>
          <w:lang w:val="es-ES" w:eastAsia="es-ES"/>
        </w:rPr>
        <w:lastRenderedPageBreak/>
        <w:t>CIRCULAR ÚNICA DE LA CÁMARA DE RIESGO CENTRAL DE CONTRAPARTE DE COLOMBIA S.A.</w:t>
      </w:r>
    </w:p>
    <w:p w14:paraId="698E1758" w14:textId="77777777" w:rsidR="007968EC" w:rsidRPr="002C0D19" w:rsidRDefault="007968EC" w:rsidP="007968EC">
      <w:pPr>
        <w:jc w:val="center"/>
        <w:rPr>
          <w:rFonts w:ascii="Arial Narrow" w:hAnsi="Arial Narrow" w:cs="Arial"/>
          <w:b/>
          <w:color w:val="000000" w:themeColor="text1"/>
          <w:szCs w:val="20"/>
          <w:lang w:eastAsia="es-ES"/>
        </w:rPr>
      </w:pPr>
    </w:p>
    <w:p w14:paraId="0B2284BB" w14:textId="77777777" w:rsidR="007968EC" w:rsidRPr="002A238E" w:rsidRDefault="007968EC" w:rsidP="007968EC">
      <w:pPr>
        <w:pStyle w:val="TTULO"/>
      </w:pPr>
      <w:bookmarkStart w:id="1" w:name="_Toc472592020"/>
      <w:bookmarkStart w:id="2" w:name="_Toc472593039"/>
      <w:bookmarkStart w:id="3" w:name="_Toc472595497"/>
      <w:bookmarkStart w:id="4" w:name="_Toc479056825"/>
      <w:bookmarkStart w:id="5" w:name="_Toc490066109"/>
      <w:bookmarkStart w:id="6" w:name="_Toc31715830"/>
      <w:r w:rsidRPr="002A238E">
        <w:t>PARTE I</w:t>
      </w:r>
      <w:bookmarkEnd w:id="1"/>
      <w:bookmarkEnd w:id="2"/>
      <w:bookmarkEnd w:id="3"/>
      <w:bookmarkEnd w:id="4"/>
      <w:bookmarkEnd w:id="5"/>
      <w:bookmarkEnd w:id="6"/>
    </w:p>
    <w:p w14:paraId="464AB3C7" w14:textId="77777777" w:rsidR="007968EC" w:rsidRPr="002A238E" w:rsidRDefault="007968EC" w:rsidP="007968EC">
      <w:pPr>
        <w:pStyle w:val="TTULO"/>
      </w:pPr>
    </w:p>
    <w:p w14:paraId="3ADFBBD3" w14:textId="77777777" w:rsidR="007968EC" w:rsidRPr="002A238E" w:rsidRDefault="007968EC" w:rsidP="007968EC">
      <w:pPr>
        <w:pStyle w:val="TTULO"/>
      </w:pPr>
      <w:bookmarkStart w:id="7" w:name="_Toc206134797"/>
      <w:bookmarkStart w:id="8" w:name="_Toc470775319"/>
      <w:bookmarkStart w:id="9" w:name="_Toc470779605"/>
      <w:bookmarkStart w:id="10" w:name="_Toc470780222"/>
      <w:bookmarkStart w:id="11" w:name="_Toc470780735"/>
      <w:bookmarkStart w:id="12" w:name="_Toc470784296"/>
      <w:bookmarkStart w:id="13" w:name="_Toc470784833"/>
      <w:bookmarkStart w:id="14" w:name="_Toc470786318"/>
      <w:bookmarkStart w:id="15" w:name="_Toc470786856"/>
      <w:bookmarkStart w:id="16" w:name="_Toc470791209"/>
      <w:bookmarkStart w:id="17" w:name="_Toc472592021"/>
      <w:bookmarkStart w:id="18" w:name="_Toc472593040"/>
      <w:bookmarkStart w:id="19" w:name="_Toc472595498"/>
      <w:bookmarkStart w:id="20" w:name="_Toc479056826"/>
      <w:bookmarkStart w:id="21" w:name="_Toc490066110"/>
      <w:bookmarkStart w:id="22" w:name="_Toc31715831"/>
      <w:r w:rsidRPr="002A238E">
        <w:t xml:space="preserve">TÍTULO </w:t>
      </w:r>
      <w:bookmarkEnd w:id="7"/>
      <w:r w:rsidRPr="002A238E">
        <w:t>PRIMERO</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34356206" w14:textId="77777777" w:rsidR="007968EC" w:rsidRPr="002A238E" w:rsidRDefault="007968EC" w:rsidP="007968EC">
      <w:pPr>
        <w:pStyle w:val="TTULO"/>
      </w:pPr>
    </w:p>
    <w:p w14:paraId="7EFE47E2" w14:textId="77777777" w:rsidR="007968EC" w:rsidRPr="002A238E" w:rsidRDefault="007968EC" w:rsidP="007968EC">
      <w:pPr>
        <w:pStyle w:val="TTULO"/>
      </w:pPr>
      <w:bookmarkStart w:id="23" w:name="_Toc470775320"/>
      <w:bookmarkStart w:id="24" w:name="_Toc470779606"/>
      <w:bookmarkStart w:id="25" w:name="_Toc470780223"/>
      <w:bookmarkStart w:id="26" w:name="_Toc470780736"/>
      <w:bookmarkStart w:id="27" w:name="_Toc470784297"/>
      <w:bookmarkStart w:id="28" w:name="_Toc470784834"/>
      <w:bookmarkStart w:id="29" w:name="_Toc470786319"/>
      <w:bookmarkStart w:id="30" w:name="_Toc470786857"/>
      <w:bookmarkStart w:id="31" w:name="_Toc470791210"/>
      <w:bookmarkStart w:id="32" w:name="_Toc472592022"/>
      <w:bookmarkStart w:id="33" w:name="_Toc472593041"/>
      <w:bookmarkStart w:id="34" w:name="_Toc472595499"/>
      <w:bookmarkStart w:id="35" w:name="_Toc479056827"/>
      <w:bookmarkStart w:id="36" w:name="_Toc490066111"/>
      <w:bookmarkStart w:id="37" w:name="_Toc31715832"/>
      <w:r w:rsidRPr="002A238E">
        <w:t>DISPOSICIONES GENERALES</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7C18A2C8" w14:textId="77777777" w:rsidR="007968EC" w:rsidRPr="002A238E" w:rsidRDefault="007968EC" w:rsidP="007968EC">
      <w:pPr>
        <w:pStyle w:val="TTULO"/>
      </w:pPr>
    </w:p>
    <w:p w14:paraId="5829D242" w14:textId="77777777" w:rsidR="007968EC" w:rsidRPr="002A238E" w:rsidRDefault="007968EC" w:rsidP="007968EC">
      <w:pPr>
        <w:pStyle w:val="TTULO"/>
      </w:pPr>
      <w:bookmarkStart w:id="38" w:name="_Toc470775321"/>
      <w:bookmarkStart w:id="39" w:name="_Toc470779607"/>
      <w:bookmarkStart w:id="40" w:name="_Toc470780224"/>
      <w:bookmarkStart w:id="41" w:name="_Toc470780737"/>
      <w:bookmarkStart w:id="42" w:name="_Toc470784298"/>
      <w:bookmarkStart w:id="43" w:name="_Toc470784835"/>
      <w:bookmarkStart w:id="44" w:name="_Toc470786320"/>
      <w:bookmarkStart w:id="45" w:name="_Toc470786858"/>
      <w:bookmarkStart w:id="46" w:name="_Toc470791211"/>
      <w:bookmarkStart w:id="47" w:name="_Toc472592023"/>
      <w:bookmarkStart w:id="48" w:name="_Toc472593042"/>
      <w:bookmarkStart w:id="49" w:name="_Toc472595500"/>
      <w:bookmarkStart w:id="50" w:name="_Toc479056828"/>
      <w:bookmarkStart w:id="51" w:name="_Toc490066112"/>
      <w:bookmarkStart w:id="52" w:name="_Toc31715833"/>
      <w:r w:rsidRPr="002A238E">
        <w:t>CAPÍTULO PRIMERO</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577414B4" w14:textId="77777777" w:rsidR="007968EC" w:rsidRPr="002A238E" w:rsidRDefault="007968EC" w:rsidP="007968EC">
      <w:pPr>
        <w:pStyle w:val="TTULO"/>
      </w:pPr>
    </w:p>
    <w:p w14:paraId="1B4B185B" w14:textId="77777777" w:rsidR="007968EC" w:rsidRPr="002A238E" w:rsidRDefault="007968EC" w:rsidP="007968EC">
      <w:pPr>
        <w:pStyle w:val="TTULO"/>
      </w:pPr>
      <w:bookmarkStart w:id="53" w:name="_Toc470775322"/>
      <w:bookmarkStart w:id="54" w:name="_Toc470779608"/>
      <w:bookmarkStart w:id="55" w:name="_Toc470780225"/>
      <w:bookmarkStart w:id="56" w:name="_Toc470780738"/>
      <w:bookmarkStart w:id="57" w:name="_Toc470784299"/>
      <w:bookmarkStart w:id="58" w:name="_Toc470784836"/>
      <w:bookmarkStart w:id="59" w:name="_Toc470786321"/>
      <w:bookmarkStart w:id="60" w:name="_Toc470786859"/>
      <w:bookmarkStart w:id="61" w:name="_Toc470791212"/>
      <w:bookmarkStart w:id="62" w:name="_Toc472592024"/>
      <w:bookmarkStart w:id="63" w:name="_Toc472593043"/>
      <w:bookmarkStart w:id="64" w:name="_Toc472595501"/>
      <w:bookmarkStart w:id="65" w:name="_Toc479056829"/>
      <w:bookmarkStart w:id="66" w:name="_Toc490066113"/>
      <w:bookmarkStart w:id="67" w:name="_Toc31715834"/>
      <w:r w:rsidRPr="002A238E">
        <w:t>OBJETO Y DEFINICIONES</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2AF2222B" w14:textId="77777777" w:rsidR="007968EC" w:rsidRPr="002C0D19" w:rsidRDefault="007968EC" w:rsidP="007968EC">
      <w:pPr>
        <w:jc w:val="center"/>
        <w:outlineLvl w:val="1"/>
        <w:rPr>
          <w:rFonts w:ascii="Arial Narrow" w:hAnsi="Arial Narrow" w:cs="Arial"/>
          <w:b/>
          <w:color w:val="000000" w:themeColor="text1"/>
          <w:lang w:eastAsia="es-ES"/>
        </w:rPr>
      </w:pPr>
    </w:p>
    <w:p w14:paraId="26158D8F" w14:textId="77777777" w:rsidR="007968EC" w:rsidRPr="00342389" w:rsidRDefault="007968EC" w:rsidP="007968EC">
      <w:pPr>
        <w:pStyle w:val="ARTICULO0"/>
      </w:pPr>
      <w:bookmarkStart w:id="68" w:name="_Toc472592025"/>
      <w:bookmarkStart w:id="69" w:name="_Toc472593044"/>
      <w:bookmarkStart w:id="70" w:name="_Toc479056830"/>
      <w:bookmarkStart w:id="71" w:name="_Toc31715835"/>
      <w:bookmarkStart w:id="72" w:name="_Toc470775323"/>
      <w:bookmarkStart w:id="73" w:name="_Toc470779609"/>
      <w:bookmarkStart w:id="74" w:name="_Toc470780226"/>
      <w:bookmarkStart w:id="75" w:name="_Toc470780739"/>
      <w:bookmarkStart w:id="76" w:name="_Toc470784300"/>
      <w:bookmarkStart w:id="77" w:name="_Toc470784837"/>
      <w:bookmarkStart w:id="78" w:name="_Toc470786322"/>
      <w:bookmarkStart w:id="79" w:name="_Toc470786860"/>
      <w:bookmarkStart w:id="80" w:name="_Toc470791213"/>
      <w:bookmarkStart w:id="81" w:name="_Toc490066114"/>
      <w:r w:rsidRPr="00342389">
        <w:t>Artículo 1.1.1.1. Objeto.</w:t>
      </w:r>
      <w:bookmarkEnd w:id="68"/>
      <w:bookmarkEnd w:id="69"/>
      <w:bookmarkEnd w:id="70"/>
      <w:bookmarkEnd w:id="71"/>
    </w:p>
    <w:p w14:paraId="23E47ACC" w14:textId="77777777" w:rsidR="007968EC" w:rsidRDefault="007968EC" w:rsidP="007968EC">
      <w:pPr>
        <w:pStyle w:val="ANTECEDENTES"/>
        <w:rPr>
          <w:lang w:val="es-CO"/>
        </w:rPr>
      </w:pPr>
    </w:p>
    <w:p w14:paraId="0F47A167" w14:textId="77777777" w:rsidR="007968EC" w:rsidRPr="002C0D19" w:rsidRDefault="007968EC" w:rsidP="007968EC">
      <w:pPr>
        <w:pStyle w:val="ANTECEDENTES"/>
      </w:pPr>
      <w:r w:rsidRPr="002C0D19">
        <w:t>(Este artículo fue modificado mediante Circular 19 del 28 de diciembre de 2016, publicada en el Boletín Normativo No. 024 del 28 de diciembre de 2016. Rige a partir del 29 de diciembre de 2016.)</w:t>
      </w:r>
      <w:bookmarkEnd w:id="72"/>
      <w:bookmarkEnd w:id="73"/>
      <w:bookmarkEnd w:id="74"/>
      <w:bookmarkEnd w:id="75"/>
      <w:bookmarkEnd w:id="76"/>
      <w:bookmarkEnd w:id="77"/>
      <w:bookmarkEnd w:id="78"/>
      <w:bookmarkEnd w:id="79"/>
      <w:bookmarkEnd w:id="80"/>
      <w:bookmarkEnd w:id="81"/>
    </w:p>
    <w:p w14:paraId="4A07B639" w14:textId="77777777" w:rsidR="007968EC" w:rsidRPr="002C0D19" w:rsidRDefault="007968EC" w:rsidP="007968EC">
      <w:pPr>
        <w:jc w:val="both"/>
        <w:rPr>
          <w:rFonts w:ascii="Arial Narrow" w:hAnsi="Arial Narrow" w:cs="Arial"/>
          <w:color w:val="000000" w:themeColor="text1"/>
          <w:lang w:eastAsia="es-ES"/>
        </w:rPr>
      </w:pPr>
    </w:p>
    <w:p w14:paraId="24E67F53"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 través de la presente Circular Única se compendian las Circulares de la Cámara mediante las cuales se dictan las normas que desarrollan el Reglamento de Funcionamiento de la Cámara de Riesgo Central de Contraparte de Colombia S.A.</w:t>
      </w:r>
    </w:p>
    <w:p w14:paraId="39AF6C18" w14:textId="77777777" w:rsidR="007968EC" w:rsidRPr="002C0D19" w:rsidRDefault="007968EC" w:rsidP="007968EC">
      <w:pPr>
        <w:jc w:val="both"/>
        <w:rPr>
          <w:rFonts w:ascii="Arial Narrow" w:hAnsi="Arial Narrow" w:cs="Arial"/>
          <w:color w:val="000000" w:themeColor="text1"/>
          <w:lang w:val="es-ES" w:eastAsia="es-ES"/>
        </w:rPr>
      </w:pPr>
    </w:p>
    <w:p w14:paraId="19D29F80" w14:textId="77777777" w:rsidR="007968EC" w:rsidRDefault="007968EC" w:rsidP="007968EC">
      <w:pPr>
        <w:pStyle w:val="ARTICULO0"/>
      </w:pPr>
      <w:bookmarkStart w:id="82" w:name="_Toc472592026"/>
      <w:bookmarkStart w:id="83" w:name="_Toc472593045"/>
      <w:bookmarkStart w:id="84" w:name="_Toc479056831"/>
      <w:bookmarkStart w:id="85" w:name="_Toc31715836"/>
      <w:bookmarkStart w:id="86" w:name="_Toc470775324"/>
      <w:bookmarkStart w:id="87" w:name="_Toc470779610"/>
      <w:bookmarkStart w:id="88" w:name="_Toc470780227"/>
      <w:bookmarkStart w:id="89" w:name="_Toc470780740"/>
      <w:bookmarkStart w:id="90" w:name="_Toc470784301"/>
      <w:bookmarkStart w:id="91" w:name="_Toc470784838"/>
      <w:bookmarkStart w:id="92" w:name="_Toc470786323"/>
      <w:bookmarkStart w:id="93" w:name="_Toc470786861"/>
      <w:bookmarkStart w:id="94" w:name="_Toc470791214"/>
      <w:bookmarkStart w:id="95" w:name="_Toc490066115"/>
      <w:r w:rsidRPr="002C0D19">
        <w:t>Artículo 1.1.1.2. Definiciones.</w:t>
      </w:r>
      <w:bookmarkEnd w:id="82"/>
      <w:bookmarkEnd w:id="83"/>
      <w:bookmarkEnd w:id="84"/>
      <w:bookmarkEnd w:id="85"/>
      <w:r w:rsidRPr="00545AB6">
        <w:t xml:space="preserve"> </w:t>
      </w:r>
      <w:bookmarkEnd w:id="86"/>
      <w:bookmarkEnd w:id="87"/>
      <w:bookmarkEnd w:id="88"/>
      <w:bookmarkEnd w:id="89"/>
      <w:bookmarkEnd w:id="90"/>
      <w:bookmarkEnd w:id="91"/>
      <w:bookmarkEnd w:id="92"/>
      <w:bookmarkEnd w:id="93"/>
      <w:bookmarkEnd w:id="94"/>
    </w:p>
    <w:p w14:paraId="403DAF9E" w14:textId="77777777" w:rsidR="007968EC" w:rsidRPr="00AB258B" w:rsidRDefault="007968EC" w:rsidP="007968EC">
      <w:pPr>
        <w:jc w:val="both"/>
        <w:rPr>
          <w:rFonts w:ascii="Arial Narrow" w:hAnsi="Arial Narrow" w:cs="Arial"/>
          <w:color w:val="000000" w:themeColor="text1"/>
          <w:lang w:eastAsia="es-ES"/>
        </w:rPr>
      </w:pPr>
    </w:p>
    <w:p w14:paraId="19870A21" w14:textId="77777777" w:rsidR="007968EC" w:rsidRPr="002A238E" w:rsidRDefault="007968EC" w:rsidP="007968EC">
      <w:pPr>
        <w:pStyle w:val="ANTECEDENTES"/>
      </w:pPr>
      <w:r w:rsidRPr="002A238E">
        <w:t>(Este artículo fue modificado mediante Circular 15 del 16 de octubre de 2009, publicada en el Boletín Normativo No. 019 del 16 de octubre de 2009, mediante Circular 5 del 8 de marzo de 2010, publicada en el Boletín Normativo No. 005 del 8 de marzo de 2010, mediante Circular 6 del 29 de marzo de 2010, publicada en el Boletín Normativo No. 008 del 29 de marzo de 2010, mediante Circular 16 del 1 de octubre de 2010, publicada en el Boletín Normativo No. 018 del 1 de octubre de 2010, mediante Circular 20 del 3 de noviembre de 2010, publicada en el Boletín Normativo No. 022 del 3 de noviembre de 2010, mediante Circular 4 del 1 de marzo de 2013, publicada en el Boletín Normativo No. 005 del 1 de marzo de 2013, mediante Circular 12 del 4 de julio de 2014, publicada en el Boletín Normativo No. 014 del 4 de julio de 2014, mediante Circular 22 del 14 de noviembre de 2014, publicada en el Boletín Normativo No. 025 del 14 de noviembre de 2014, mediante Circular 10 del 18 de marzo de 2015, publicada en el Boletín Normativo No. 010 del 18 de marzo de 2015, mediante Circular 24 del 6 de agosto de 2015, publicada en el Boletín Normativo No. 026 del 6 de agosto de 2015, mediante Circular 001 del 15 de enero de 2016, publicada en el Boletín Normativo No. 001 del 15 de enero de 2016, mediante Circular 19 del 28 de diciembre de 2016, publicada en el Boletín Normativo No. 024 del 28 de diciembre de 2016, mediante Circular 2 del 11 de enero de 2017, publicada en el Boletín Normativo No. 002 del 11 de enero de 2017, mediante Circular 6 del 14 de febrero de 2017, publicada en el Boletín Normativo No.</w:t>
      </w:r>
      <w:r>
        <w:t xml:space="preserve"> 006 del 14 de febrero de 2017,</w:t>
      </w:r>
      <w:r w:rsidRPr="002A238E">
        <w:t xml:space="preserve"> mediante Circular 14 del 8 de agosto de 2017, publicada en el Boletín Normativo No. 015 del 8 de agosto de 2017</w:t>
      </w:r>
      <w:r>
        <w:t xml:space="preserve">, mediante Circular 7 del 9 de mayo de 2018, publicada en el Boletín Normativo No. 010 del 9 de mayo de 2018mediante Circular 11 del 3 de agosto </w:t>
      </w:r>
      <w:r>
        <w:lastRenderedPageBreak/>
        <w:t>de 2018, publicada en el Boletín Normativo No. 17 del 3 de agosto de 2018, mediante Circular 16 del 8 de octubre de 2019, publicada en el Boletín Normativo No. 030 del 8 de octubre de 2019, y mediante Circular 19 del 22 de noviembre de 2019, publicada en el Boletín Normativo No. 034 del 22 de noviembre de 2019</w:t>
      </w:r>
      <w:r w:rsidRPr="002A238E">
        <w:t>.</w:t>
      </w:r>
      <w:r w:rsidRPr="009356C5">
        <w:t xml:space="preserve"> </w:t>
      </w:r>
      <w:r>
        <w:t>Rige a partir del 25 de noviembre de 2019</w:t>
      </w:r>
      <w:r w:rsidRPr="002A238E">
        <w:t>)</w:t>
      </w:r>
      <w:bookmarkEnd w:id="95"/>
      <w:r>
        <w:t>.</w:t>
      </w:r>
    </w:p>
    <w:p w14:paraId="6C9C63A2" w14:textId="77777777" w:rsidR="007968EC" w:rsidRPr="002C0D19" w:rsidRDefault="007968EC" w:rsidP="007968EC">
      <w:pPr>
        <w:jc w:val="both"/>
        <w:rPr>
          <w:rFonts w:ascii="Arial Narrow" w:hAnsi="Arial Narrow" w:cs="Arial"/>
          <w:color w:val="000000" w:themeColor="text1"/>
          <w:lang w:eastAsia="es-ES"/>
        </w:rPr>
      </w:pPr>
    </w:p>
    <w:p w14:paraId="46A74147"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Activo: </w:t>
      </w:r>
      <w:r w:rsidRPr="00AC423B">
        <w:rPr>
          <w:rFonts w:ascii="Arial Narrow" w:eastAsia="Calibri" w:hAnsi="Arial Narrow" w:cs="Arial"/>
          <w:lang w:val="es-ES" w:eastAsia="es-ES"/>
        </w:rPr>
        <w:t>De conformidad con el artículo 1.3.2. del Reglamento de Funcionamiento de la Cámara de Riesgo Central de Contraparte de Colombia S.A., los Activos sobre los cuales podrán versar las Operaciones Susceptibles de ser Aceptadas, son los valores nacionales o extranjeros, inscritos o no en el Registro Nacional de Valores y Emisores (RNVE), Futuros, opciones y otros Instrumentos Financieros Derivados, productos estructurados, contratos, productos o bienes transables, incluyendo los que por su naturaleza se negocien a través de bolsas de bienes y productos agropecuarios, agroindustriales o de otros commodities o, a través de sociedades administradoras de los sistemas de intercambio comercial del mercado mayorista de energía eléctrica y de sociedades administradoras de Sistemas transaccionales de energía y de contratos y derivados financieros que tengan como subyacente energía eléctrica, gas combustible, divisas y derivados sobre divisas, estos últimos de conformidad con la regulación que para el efecto expida la Junta Directiva del Banco de la República.</w:t>
      </w:r>
    </w:p>
    <w:p w14:paraId="19800B59" w14:textId="77777777" w:rsidR="007968EC" w:rsidRPr="00AC423B" w:rsidRDefault="007968EC" w:rsidP="007968EC">
      <w:pPr>
        <w:jc w:val="both"/>
        <w:rPr>
          <w:rFonts w:ascii="Arial Narrow" w:eastAsia="Calibri" w:hAnsi="Arial Narrow" w:cs="Arial"/>
          <w:b/>
          <w:lang w:val="es-ES" w:eastAsia="es-ES"/>
        </w:rPr>
      </w:pPr>
    </w:p>
    <w:p w14:paraId="604024E7"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Activo Subyacente: </w:t>
      </w:r>
      <w:r w:rsidRPr="00AC423B">
        <w:rPr>
          <w:rFonts w:ascii="Arial Narrow" w:eastAsia="Calibri" w:hAnsi="Arial Narrow" w:cs="Arial"/>
          <w:lang w:val="es-ES" w:eastAsia="es-ES"/>
        </w:rPr>
        <w:t>El activo subyacente de un Instrumento Financiero Derivado es una variable directamente observable, tal como un activo, un precio, una tasa de cambio, una tasa de interés o un índice, que junto con el monto nominal y las condiciones de pago, sirve de base para la estructuración y liquidación de un Instrumento Financiero Derivado.</w:t>
      </w:r>
      <w:r w:rsidRPr="00AC423B">
        <w:rPr>
          <w:rFonts w:ascii="Arial Narrow" w:eastAsia="Calibri" w:hAnsi="Arial Narrow" w:cs="Arial"/>
          <w:b/>
          <w:lang w:val="es-ES" w:eastAsia="es-ES"/>
        </w:rPr>
        <w:t xml:space="preserve"> </w:t>
      </w:r>
    </w:p>
    <w:p w14:paraId="17D4AE60" w14:textId="77777777" w:rsidR="007968EC" w:rsidRPr="00AC423B" w:rsidRDefault="007968EC" w:rsidP="007968EC">
      <w:pPr>
        <w:jc w:val="both"/>
        <w:rPr>
          <w:rFonts w:ascii="Arial Narrow" w:eastAsia="Calibri" w:hAnsi="Arial Narrow" w:cs="Arial"/>
          <w:b/>
          <w:lang w:eastAsia="es-ES"/>
        </w:rPr>
      </w:pPr>
    </w:p>
    <w:p w14:paraId="55326766" w14:textId="77777777" w:rsidR="007968EC" w:rsidRPr="00AC423B" w:rsidRDefault="007968EC" w:rsidP="007968EC">
      <w:pPr>
        <w:jc w:val="both"/>
        <w:rPr>
          <w:rFonts w:ascii="Arial Narrow" w:hAnsi="Arial Narrow" w:cs="Arial"/>
          <w:lang w:val="es-ES" w:eastAsia="es-ES"/>
        </w:rPr>
      </w:pPr>
      <w:r w:rsidRPr="00AC423B">
        <w:rPr>
          <w:rFonts w:ascii="Arial Narrow" w:hAnsi="Arial Narrow" w:cs="Arial"/>
          <w:b/>
          <w:lang w:val="es-ES" w:eastAsia="es-ES"/>
        </w:rPr>
        <w:t xml:space="preserve">Admisión de Operaciones: </w:t>
      </w:r>
      <w:r w:rsidRPr="00AC423B">
        <w:rPr>
          <w:rFonts w:ascii="Arial Narrow" w:hAnsi="Arial Narrow" w:cs="Arial"/>
          <w:lang w:val="es-ES" w:eastAsia="es-ES"/>
        </w:rPr>
        <w:t>Es la funcionalidad que permite al Agente de Pago y/o al Agente Custodio informar a la Cámara que las actividades de la Liquidación serán ejecutadas por dicho Agente de Pago y/o Agente Custodio, requerida para la aceptación y/o Compensación y Liquidación de operaciones. En consecuencia, la funcionalidad de Admisión de Operaciones podrá exigirse previo a la Aceptación de la operación o simplemente para proceder a la Liquidación de la operación, si la misma fue aceptada con base en el cumplimiento de los demás requisitos previstos en el Reglamento.</w:t>
      </w:r>
    </w:p>
    <w:p w14:paraId="09B59BAF" w14:textId="77777777" w:rsidR="007968EC" w:rsidRPr="00AC423B" w:rsidRDefault="007968EC" w:rsidP="007968EC">
      <w:pPr>
        <w:jc w:val="both"/>
        <w:rPr>
          <w:rFonts w:ascii="Arial Narrow" w:hAnsi="Arial Narrow" w:cs="Arial"/>
          <w:lang w:val="es-ES" w:eastAsia="es-ES"/>
        </w:rPr>
      </w:pPr>
    </w:p>
    <w:p w14:paraId="17224412" w14:textId="77777777" w:rsidR="007968EC" w:rsidRPr="00AC423B" w:rsidRDefault="007968EC" w:rsidP="007968EC">
      <w:pPr>
        <w:jc w:val="both"/>
        <w:rPr>
          <w:rFonts w:ascii="Arial Narrow" w:hAnsi="Arial Narrow" w:cs="Arial"/>
          <w:b/>
          <w:lang w:val="es-ES" w:eastAsia="es-ES"/>
        </w:rPr>
      </w:pPr>
      <w:r w:rsidRPr="00AC423B">
        <w:rPr>
          <w:rFonts w:ascii="Arial Narrow" w:hAnsi="Arial Narrow" w:cs="Arial"/>
          <w:lang w:val="es-ES" w:eastAsia="es-ES"/>
        </w:rPr>
        <w:t>La funcionalidad de Admisión de Operaciones permite al Agente de Pago y/o al Agente Custodio la devolución, exclusión y/o retoma de operaciones.</w:t>
      </w:r>
    </w:p>
    <w:p w14:paraId="189A228F" w14:textId="77777777" w:rsidR="007968EC" w:rsidRPr="00AC423B" w:rsidRDefault="007968EC" w:rsidP="007968EC">
      <w:pPr>
        <w:jc w:val="both"/>
        <w:rPr>
          <w:rFonts w:ascii="Arial Narrow" w:eastAsia="Calibri" w:hAnsi="Arial Narrow" w:cs="Arial Narrow,Bold"/>
          <w:b/>
          <w:bCs/>
          <w:lang w:val="es-ES" w:eastAsia="es-CO"/>
        </w:rPr>
      </w:pPr>
    </w:p>
    <w:p w14:paraId="6C2C8E61" w14:textId="77777777" w:rsidR="007968EC" w:rsidRPr="00AC423B" w:rsidRDefault="007968EC" w:rsidP="007968EC">
      <w:pPr>
        <w:jc w:val="both"/>
        <w:rPr>
          <w:rFonts w:ascii="Arial Narrow" w:eastAsia="Calibri" w:hAnsi="Arial Narrow" w:cs="Arial Narrow,Bold"/>
          <w:bCs/>
          <w:lang w:eastAsia="es-CO"/>
        </w:rPr>
      </w:pPr>
      <w:r w:rsidRPr="00AC423B">
        <w:rPr>
          <w:rFonts w:ascii="Arial Narrow" w:eastAsia="Calibri" w:hAnsi="Arial Narrow" w:cs="Arial Narrow,Bold"/>
          <w:b/>
          <w:bCs/>
          <w:lang w:eastAsia="es-CO"/>
        </w:rPr>
        <w:t xml:space="preserve">Agente(s): </w:t>
      </w:r>
      <w:r w:rsidRPr="00AC423B">
        <w:rPr>
          <w:rFonts w:ascii="Arial Narrow" w:eastAsia="Calibri" w:hAnsi="Arial Narrow" w:cs="Arial Narrow,Bold"/>
          <w:bCs/>
          <w:lang w:eastAsia="es-CO"/>
        </w:rPr>
        <w:t xml:space="preserve">Es o son el(los) </w:t>
      </w:r>
      <w:r w:rsidRPr="00AC423B">
        <w:rPr>
          <w:rFonts w:ascii="Arial Narrow" w:hAnsi="Arial Narrow" w:cs="Arial"/>
          <w:lang w:val="es-ES" w:eastAsia="es-ES"/>
        </w:rPr>
        <w:t>Agente(s) Custodio(s) y/o el(los) Agente(s) de Pago(s).</w:t>
      </w:r>
    </w:p>
    <w:p w14:paraId="045F158E" w14:textId="77777777" w:rsidR="007968EC" w:rsidRPr="00AC423B" w:rsidRDefault="007968EC" w:rsidP="007968EC">
      <w:pPr>
        <w:jc w:val="both"/>
        <w:rPr>
          <w:rFonts w:ascii="Arial Narrow" w:eastAsia="Calibri" w:hAnsi="Arial Narrow" w:cs="Arial"/>
          <w:b/>
          <w:lang w:val="es-ES" w:eastAsia="es-ES"/>
        </w:rPr>
      </w:pPr>
    </w:p>
    <w:p w14:paraId="4ECA94DE" w14:textId="77777777" w:rsidR="007968EC" w:rsidRPr="00AC423B" w:rsidRDefault="007968EC" w:rsidP="007968EC">
      <w:pPr>
        <w:autoSpaceDE w:val="0"/>
        <w:autoSpaceDN w:val="0"/>
        <w:adjustRightInd w:val="0"/>
        <w:jc w:val="both"/>
        <w:rPr>
          <w:rFonts w:ascii="Arial Narrow" w:eastAsia="Calibri" w:hAnsi="Arial Narrow" w:cs="Arial"/>
          <w:lang w:eastAsia="es-ES"/>
        </w:rPr>
      </w:pPr>
      <w:r w:rsidRPr="00AC423B">
        <w:rPr>
          <w:rFonts w:ascii="Arial Narrow" w:eastAsia="Calibri" w:hAnsi="Arial Narrow" w:cs="Arial"/>
          <w:b/>
          <w:lang w:val="es-ES" w:eastAsia="es-ES"/>
        </w:rPr>
        <w:t xml:space="preserve">Agente Custodio: </w:t>
      </w:r>
      <w:r w:rsidRPr="00AC423B">
        <w:rPr>
          <w:rFonts w:ascii="Arial Narrow" w:eastAsia="Calibri" w:hAnsi="Arial Narrow" w:cs="Arial"/>
          <w:lang w:val="es-ES" w:eastAsia="es-ES"/>
        </w:rPr>
        <w:t xml:space="preserve">Entidad designada por un Miembro </w:t>
      </w:r>
      <w:r w:rsidRPr="00AC423B">
        <w:rPr>
          <w:rFonts w:ascii="Arial Narrow" w:eastAsia="Calibri" w:hAnsi="Arial Narrow" w:cs="Arial"/>
          <w:lang w:eastAsia="es-ES"/>
        </w:rPr>
        <w:t>Liquidador, por cuenta de un Tercero</w:t>
      </w:r>
      <w:r w:rsidRPr="00AC423B">
        <w:rPr>
          <w:rFonts w:ascii="Arial Narrow" w:eastAsia="Calibri" w:hAnsi="Arial Narrow" w:cs="Arial"/>
          <w:lang w:val="es-ES" w:eastAsia="es-ES"/>
        </w:rPr>
        <w:t xml:space="preserve"> y vinculada con un depósito centralizado de valores para recibir y custodiar valores por cuenta de éste y realizar la entrega de los mismos a la Cámara, para el cumplimiento de las obligaciones derivadas de la Compensación y Liquidación de Operaciones, </w:t>
      </w:r>
      <w:r w:rsidRPr="00AC423B">
        <w:rPr>
          <w:rFonts w:ascii="Arial Narrow" w:eastAsia="Calibri" w:hAnsi="Arial Narrow" w:cs="Arial"/>
          <w:lang w:eastAsia="es-ES"/>
        </w:rPr>
        <w:t>sin perjuicio de las obligaciones que le competen al respectivo Miembro.</w:t>
      </w:r>
    </w:p>
    <w:p w14:paraId="4CBDEFE6" w14:textId="77777777" w:rsidR="007968EC" w:rsidRPr="00AC423B" w:rsidRDefault="007968EC" w:rsidP="007968EC">
      <w:pPr>
        <w:jc w:val="both"/>
        <w:rPr>
          <w:rFonts w:ascii="Arial Narrow" w:eastAsia="Calibri" w:hAnsi="Arial Narrow" w:cs="Arial"/>
          <w:lang w:val="es-ES" w:eastAsia="es-ES"/>
        </w:rPr>
      </w:pPr>
    </w:p>
    <w:p w14:paraId="2DA92FEF" w14:textId="77777777" w:rsidR="007968EC" w:rsidRPr="00AC423B" w:rsidRDefault="007968EC" w:rsidP="007968EC">
      <w:pPr>
        <w:jc w:val="both"/>
        <w:rPr>
          <w:rFonts w:ascii="Arial Narrow" w:eastAsia="Calibri" w:hAnsi="Arial Narrow" w:cs="Arial"/>
          <w:lang w:eastAsia="es-ES"/>
        </w:rPr>
      </w:pPr>
      <w:r w:rsidRPr="00AC423B">
        <w:rPr>
          <w:rFonts w:ascii="Arial Narrow" w:eastAsia="Calibri" w:hAnsi="Arial Narrow" w:cs="Arial"/>
          <w:b/>
          <w:lang w:val="es-ES" w:eastAsia="es-ES"/>
        </w:rPr>
        <w:t xml:space="preserve">Agente de Pago: </w:t>
      </w:r>
      <w:r w:rsidRPr="00AC423B">
        <w:rPr>
          <w:rFonts w:ascii="Arial Narrow" w:eastAsia="Calibri" w:hAnsi="Arial Narrow" w:cs="Arial"/>
          <w:lang w:val="es-ES" w:eastAsia="es-ES"/>
        </w:rPr>
        <w:t xml:space="preserve">Entidad designada por un Miembro Liquidador, </w:t>
      </w:r>
      <w:r w:rsidRPr="00AC423B">
        <w:rPr>
          <w:rFonts w:ascii="Arial Narrow" w:eastAsia="Calibri" w:hAnsi="Arial Narrow" w:cs="Arial"/>
          <w:lang w:eastAsia="es-ES"/>
        </w:rPr>
        <w:t>por cuenta de un Tercero</w:t>
      </w:r>
      <w:r w:rsidRPr="00AC423B">
        <w:rPr>
          <w:rFonts w:ascii="Arial Narrow" w:eastAsia="Calibri" w:hAnsi="Arial Narrow" w:cs="Arial"/>
          <w:lang w:val="es-ES" w:eastAsia="es-ES"/>
        </w:rPr>
        <w:t xml:space="preserve"> para recibir y custodiar dinero en efectivo por cuenta de éste y realizar pagos de efectivo a la Cámara para el cumplimiento de las obligaciones derivadas de la Compensación y Liquidación de Operaciones</w:t>
      </w:r>
      <w:r w:rsidRPr="00AC423B">
        <w:rPr>
          <w:rFonts w:ascii="Arial Narrow" w:eastAsia="Calibri" w:hAnsi="Arial Narrow" w:cs="Arial"/>
          <w:lang w:eastAsia="es-ES"/>
        </w:rPr>
        <w:t>, sin perjuicio de las obligaciones que le competen al respectivo Miembro.</w:t>
      </w:r>
    </w:p>
    <w:p w14:paraId="4EA0B472" w14:textId="77777777" w:rsidR="007968EC" w:rsidRPr="00AC423B" w:rsidRDefault="007968EC" w:rsidP="007968EC">
      <w:pPr>
        <w:jc w:val="both"/>
        <w:rPr>
          <w:rFonts w:ascii="Arial Narrow" w:eastAsia="Calibri" w:hAnsi="Arial Narrow" w:cs="Arial"/>
          <w:lang w:eastAsia="es-ES"/>
        </w:rPr>
      </w:pPr>
    </w:p>
    <w:p w14:paraId="06376457" w14:textId="77777777" w:rsidR="007968EC" w:rsidRPr="00AC423B" w:rsidRDefault="007968EC" w:rsidP="007968EC">
      <w:pPr>
        <w:contextualSpacing/>
        <w:jc w:val="both"/>
      </w:pPr>
      <w:r w:rsidRPr="00AC423B">
        <w:rPr>
          <w:rFonts w:ascii="Arial Narrow" w:eastAsia="Calibri" w:hAnsi="Arial Narrow" w:cs="Arial"/>
          <w:b/>
          <w:lang w:val="es-ES" w:eastAsia="es-ES"/>
        </w:rPr>
        <w:t>Amortización(es):</w:t>
      </w:r>
      <w:r w:rsidRPr="00AC423B">
        <w:t xml:space="preserve"> </w:t>
      </w:r>
      <w:r w:rsidRPr="00AC423B">
        <w:rPr>
          <w:rFonts w:ascii="Arial Narrow" w:hAnsi="Arial Narrow" w:cs="Verdana"/>
        </w:rPr>
        <w:t>En relación con el Segmento Swaps, parte o fracción del nominal de la Operación que incrementa o disminuye en una fecha determinada.</w:t>
      </w:r>
    </w:p>
    <w:p w14:paraId="161118CD" w14:textId="77777777" w:rsidR="007968EC" w:rsidRPr="00AC423B" w:rsidRDefault="007968EC" w:rsidP="007968EC">
      <w:pPr>
        <w:jc w:val="both"/>
        <w:rPr>
          <w:rFonts w:ascii="Arial Narrow" w:eastAsia="Calibri" w:hAnsi="Arial Narrow" w:cs="Arial"/>
          <w:b/>
          <w:lang w:val="es-ES" w:eastAsia="es-ES"/>
        </w:rPr>
      </w:pPr>
    </w:p>
    <w:p w14:paraId="28F136FB"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Asignación (de operaciones): </w:t>
      </w:r>
      <w:r w:rsidRPr="00AC423B">
        <w:rPr>
          <w:rFonts w:ascii="Arial Narrow" w:eastAsia="Calibri" w:hAnsi="Arial Narrow" w:cs="Arial"/>
          <w:lang w:val="es-ES" w:eastAsia="es-ES"/>
        </w:rPr>
        <w:t xml:space="preserve">Consiste en la asignación que deben realizar los Miembros de las Operaciones Aceptadas de la Cuenta Diaria a las Cuentas Definitivas de acuerdo con el titular al cual corresponda. </w:t>
      </w:r>
    </w:p>
    <w:p w14:paraId="48D7121A" w14:textId="77777777" w:rsidR="007968EC" w:rsidRPr="00AC423B" w:rsidRDefault="007968EC" w:rsidP="007968EC">
      <w:pPr>
        <w:jc w:val="both"/>
        <w:rPr>
          <w:rFonts w:ascii="Arial Narrow" w:eastAsia="Calibri" w:hAnsi="Arial Narrow" w:cs="Arial"/>
          <w:b/>
          <w:lang w:eastAsia="es-ES"/>
        </w:rPr>
      </w:pPr>
    </w:p>
    <w:p w14:paraId="7DDE3DE4" w14:textId="77777777" w:rsidR="007968EC" w:rsidRPr="00AC423B" w:rsidRDefault="007968EC" w:rsidP="007968EC">
      <w:pPr>
        <w:jc w:val="both"/>
        <w:rPr>
          <w:rFonts w:ascii="Arial Narrow" w:eastAsia="Calibri" w:hAnsi="Arial Narrow" w:cs="Arial"/>
          <w:b/>
          <w:lang w:eastAsia="es-ES"/>
        </w:rPr>
      </w:pPr>
      <w:r w:rsidRPr="00AC423B">
        <w:rPr>
          <w:rFonts w:ascii="Arial Narrow" w:eastAsia="Calibri" w:hAnsi="Arial Narrow" w:cs="Arial"/>
          <w:b/>
          <w:lang w:eastAsia="es-ES"/>
        </w:rPr>
        <w:t xml:space="preserve">Autoridad Competente: </w:t>
      </w:r>
      <w:r w:rsidRPr="00AC423B">
        <w:rPr>
          <w:rFonts w:ascii="Arial Narrow" w:eastAsia="Calibri" w:hAnsi="Arial Narrow" w:cs="Arial"/>
          <w:lang w:eastAsia="es-ES"/>
        </w:rPr>
        <w:t>La Superintendencia Financiera de Colombia, el Banco de la República, autoridad de autorregulación y cualquiera otra autoridad y órganos administrativos y judiciales en el ámbito de sus respectivas competencias. Los órganos administrativos o de autorregulación de los Mecanismos de Contratación serán considerados como autoridad competente exclusivamente respecto de dichos mecanismos y sus participantes.</w:t>
      </w:r>
    </w:p>
    <w:p w14:paraId="51F95AD9" w14:textId="77777777" w:rsidR="007968EC" w:rsidRPr="00AC423B" w:rsidRDefault="007968EC" w:rsidP="007968EC">
      <w:pPr>
        <w:jc w:val="both"/>
        <w:rPr>
          <w:rFonts w:ascii="Arial Narrow" w:eastAsia="Calibri" w:hAnsi="Arial Narrow" w:cs="Arial"/>
          <w:b/>
          <w:lang w:eastAsia="es-ES"/>
        </w:rPr>
      </w:pPr>
    </w:p>
    <w:p w14:paraId="661F1CF5"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Bolsa o BVC: </w:t>
      </w:r>
      <w:r w:rsidRPr="00AC423B">
        <w:rPr>
          <w:rFonts w:ascii="Arial Narrow" w:eastAsia="Calibri" w:hAnsi="Arial Narrow" w:cs="Arial"/>
          <w:lang w:val="es-ES" w:eastAsia="es-ES"/>
        </w:rPr>
        <w:t>Se refiere a la Bolsa de Valores de Colombia S.A</w:t>
      </w:r>
      <w:r w:rsidRPr="00AC423B">
        <w:rPr>
          <w:rFonts w:ascii="Arial Narrow" w:eastAsia="Calibri" w:hAnsi="Arial Narrow" w:cs="Arial"/>
          <w:b/>
          <w:lang w:val="es-ES" w:eastAsia="es-ES"/>
        </w:rPr>
        <w:t>.</w:t>
      </w:r>
      <w:r w:rsidRPr="00AC423B" w:rsidDel="00AF0C55">
        <w:rPr>
          <w:rFonts w:ascii="Arial Narrow" w:eastAsia="Calibri" w:hAnsi="Arial Narrow" w:cs="Arial"/>
          <w:b/>
          <w:lang w:val="es-ES" w:eastAsia="es-ES"/>
        </w:rPr>
        <w:t xml:space="preserve"> </w:t>
      </w:r>
    </w:p>
    <w:p w14:paraId="52A6D2F2" w14:textId="77777777" w:rsidR="007968EC" w:rsidRPr="00AC423B" w:rsidRDefault="007968EC" w:rsidP="007968EC">
      <w:pPr>
        <w:jc w:val="both"/>
        <w:rPr>
          <w:rFonts w:ascii="Arial Narrow" w:eastAsia="Calibri" w:hAnsi="Arial Narrow" w:cs="Arial"/>
          <w:b/>
          <w:lang w:val="es-ES" w:eastAsia="es-ES"/>
        </w:rPr>
      </w:pPr>
    </w:p>
    <w:p w14:paraId="64F775FD"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Bolsa de Energía: </w:t>
      </w:r>
      <w:r w:rsidRPr="00AC423B">
        <w:rPr>
          <w:rFonts w:ascii="Arial Narrow" w:eastAsia="Calibri" w:hAnsi="Arial Narrow" w:cs="Arial"/>
          <w:lang w:val="es-ES" w:eastAsia="es-ES"/>
        </w:rPr>
        <w:t>Sistema de información, manejado por el administrador del sistema de intercambios comerciales, sometido a las reglas de su reglamento de operación, en donde los generadores y comercializadores del mercado mayorista ejecutan actos de intercambio de ofertas y demandas de energía, hora a hora, para que el administrador del sistema de intercambios comerciales ejecute los contratos resultantes en la bolsa de energía, y liquide, recaude y distribuya los valores monetarios correspondientes a las partes y a los transportadores.</w:t>
      </w:r>
      <w:r w:rsidRPr="00AC423B">
        <w:rPr>
          <w:rFonts w:ascii="Arial Narrow" w:eastAsia="Calibri" w:hAnsi="Arial Narrow" w:cs="Arial"/>
          <w:b/>
          <w:lang w:val="es-ES" w:eastAsia="es-ES"/>
        </w:rPr>
        <w:t xml:space="preserve"> </w:t>
      </w:r>
    </w:p>
    <w:p w14:paraId="04765038" w14:textId="77777777" w:rsidR="007968EC" w:rsidRPr="00AC423B" w:rsidRDefault="007968EC" w:rsidP="007968EC">
      <w:pPr>
        <w:jc w:val="both"/>
        <w:rPr>
          <w:rFonts w:ascii="Arial Narrow" w:eastAsia="Calibri" w:hAnsi="Arial Narrow" w:cs="Arial"/>
          <w:b/>
          <w:lang w:val="es-ES" w:eastAsia="es-ES"/>
        </w:rPr>
      </w:pPr>
    </w:p>
    <w:p w14:paraId="49F017A2"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Cámara o CRCC: </w:t>
      </w:r>
      <w:r w:rsidRPr="00AC423B">
        <w:rPr>
          <w:rFonts w:ascii="Arial Narrow" w:eastAsia="Calibri" w:hAnsi="Arial Narrow" w:cs="Arial"/>
          <w:lang w:val="es-ES" w:eastAsia="es-ES"/>
        </w:rPr>
        <w:t>Se refiere a la Cámara de Riesgo Central de Contraparte de Colombia S.A.</w:t>
      </w:r>
      <w:r w:rsidRPr="00AC423B">
        <w:rPr>
          <w:rFonts w:ascii="Arial Narrow" w:eastAsia="Calibri" w:hAnsi="Arial Narrow" w:cs="Arial"/>
          <w:b/>
          <w:lang w:val="es-ES" w:eastAsia="es-ES"/>
        </w:rPr>
        <w:t xml:space="preserve"> </w:t>
      </w:r>
    </w:p>
    <w:p w14:paraId="1AC790E6" w14:textId="77777777" w:rsidR="007968EC" w:rsidRPr="00AC423B" w:rsidRDefault="007968EC" w:rsidP="007968EC">
      <w:pPr>
        <w:jc w:val="both"/>
        <w:rPr>
          <w:rFonts w:ascii="Arial Narrow" w:eastAsia="Calibri" w:hAnsi="Arial Narrow" w:cs="Arial"/>
          <w:b/>
          <w:lang w:val="es-ES" w:eastAsia="es-ES"/>
        </w:rPr>
      </w:pPr>
    </w:p>
    <w:p w14:paraId="750E825F" w14:textId="77777777" w:rsidR="007968EC" w:rsidRPr="00AC423B" w:rsidRDefault="007968EC" w:rsidP="007968EC">
      <w:pPr>
        <w:autoSpaceDE w:val="0"/>
        <w:autoSpaceDN w:val="0"/>
        <w:adjustRightInd w:val="0"/>
        <w:jc w:val="both"/>
        <w:rPr>
          <w:rFonts w:ascii="Arial" w:hAnsi="Arial" w:cs="Arial"/>
          <w:color w:val="000000"/>
          <w:sz w:val="18"/>
          <w:szCs w:val="18"/>
        </w:rPr>
      </w:pPr>
      <w:r w:rsidRPr="00AC423B">
        <w:rPr>
          <w:rFonts w:ascii="Arial Narrow" w:eastAsia="Calibri" w:hAnsi="Arial Narrow" w:cs="Arial"/>
          <w:b/>
          <w:lang w:val="es-ES" w:eastAsia="es-ES"/>
        </w:rPr>
        <w:t>Comité de Gestión de Incumplimiento:</w:t>
      </w:r>
      <w:r w:rsidRPr="00AC423B">
        <w:rPr>
          <w:rFonts w:ascii="Arial" w:hAnsi="Arial" w:cs="Arial"/>
          <w:i/>
          <w:iCs/>
          <w:color w:val="000000"/>
          <w:sz w:val="18"/>
          <w:szCs w:val="18"/>
        </w:rPr>
        <w:t xml:space="preserve"> </w:t>
      </w:r>
      <w:r w:rsidRPr="00AC423B">
        <w:rPr>
          <w:rFonts w:ascii="Arial Narrow" w:eastAsia="Calibri" w:hAnsi="Arial Narrow" w:cs="Arial"/>
          <w:lang w:val="es-ES" w:eastAsia="es-ES"/>
        </w:rPr>
        <w:t>Comité conformado por representantes de Miembros Liquidadores, cuya función es asesorar a la Cámara en la gestión de un Incumplimiento en un Segmento en particular, de conformidad con lo previsto en la presente Circular.</w:t>
      </w:r>
    </w:p>
    <w:p w14:paraId="48AC66E7" w14:textId="77777777" w:rsidR="007968EC" w:rsidRPr="00AC423B" w:rsidRDefault="007968EC" w:rsidP="007968EC">
      <w:pPr>
        <w:jc w:val="both"/>
        <w:rPr>
          <w:rFonts w:ascii="Arial Narrow" w:eastAsia="Calibri" w:hAnsi="Arial Narrow" w:cs="Arial"/>
          <w:b/>
          <w:lang w:eastAsia="es-ES"/>
        </w:rPr>
      </w:pPr>
    </w:p>
    <w:p w14:paraId="18F49771" w14:textId="77777777" w:rsidR="007968EC" w:rsidRPr="00AC423B" w:rsidRDefault="007968EC" w:rsidP="007968EC">
      <w:pPr>
        <w:jc w:val="both"/>
        <w:rPr>
          <w:rFonts w:ascii="Arial Narrow" w:eastAsia="Calibri" w:hAnsi="Arial Narrow" w:cs="Arial"/>
          <w:lang w:eastAsia="es-ES"/>
        </w:rPr>
      </w:pPr>
      <w:r w:rsidRPr="00AC423B">
        <w:rPr>
          <w:rFonts w:ascii="Arial Narrow" w:eastAsia="Calibri" w:hAnsi="Arial Narrow" w:cs="Arial"/>
          <w:b/>
          <w:lang w:eastAsia="es-ES"/>
        </w:rPr>
        <w:t xml:space="preserve">Compensación: </w:t>
      </w:r>
      <w:r w:rsidRPr="00AC423B">
        <w:rPr>
          <w:rFonts w:ascii="Arial Narrow" w:eastAsia="Calibri" w:hAnsi="Arial Narrow" w:cs="Arial"/>
          <w:lang w:eastAsia="es-ES"/>
        </w:rPr>
        <w:t>Proceso mediante el cual se establecen las obligaciones de entrega de Activos y transferencia de fondos, de los participantes del Sistema de Compensación y Liquidación de Operaciones</w:t>
      </w:r>
    </w:p>
    <w:p w14:paraId="7A6296A0" w14:textId="77777777" w:rsidR="007968EC" w:rsidRPr="00AC423B" w:rsidRDefault="007968EC" w:rsidP="007968EC">
      <w:pPr>
        <w:jc w:val="both"/>
        <w:rPr>
          <w:rFonts w:ascii="Arial Narrow" w:eastAsia="Calibri" w:hAnsi="Arial Narrow" w:cs="Arial"/>
          <w:b/>
          <w:lang w:eastAsia="es-ES"/>
        </w:rPr>
      </w:pPr>
    </w:p>
    <w:p w14:paraId="33396A64" w14:textId="77777777" w:rsidR="007968EC" w:rsidRPr="00AC423B" w:rsidRDefault="007968EC" w:rsidP="007968EC">
      <w:pPr>
        <w:jc w:val="both"/>
        <w:rPr>
          <w:rFonts w:ascii="Arial Narrow" w:eastAsia="Calibri" w:hAnsi="Arial Narrow" w:cs="Arial"/>
          <w:lang w:val="es-ES" w:eastAsia="es-ES"/>
        </w:rPr>
      </w:pPr>
      <w:r w:rsidRPr="00AC423B">
        <w:rPr>
          <w:rFonts w:ascii="Arial Narrow" w:eastAsia="Calibri" w:hAnsi="Arial Narrow" w:cs="Arial"/>
          <w:b/>
          <w:lang w:val="es-ES" w:eastAsia="es-ES"/>
        </w:rPr>
        <w:t xml:space="preserve">Compensación y Liquidación Anticipada: </w:t>
      </w:r>
      <w:r w:rsidRPr="00AC423B">
        <w:rPr>
          <w:rFonts w:ascii="Arial Narrow" w:eastAsia="Calibri" w:hAnsi="Arial Narrow" w:cs="Arial"/>
          <w:lang w:val="es-ES" w:eastAsia="es-ES"/>
        </w:rPr>
        <w:t>Es la Compensación y Liquidación de Operaciones Aceptadas, cuya fecha de Liquidación al Vencimiento se anticipa. La Cámara podrá ordenar el anticipo de la Compensación y Liquidación de una Operación Aceptada cuando la Ley así lo establezca o para reducir o eliminar los riesgos de Incumplimiento de las obligaciones derivadas de las Operaciones Aceptadas.</w:t>
      </w:r>
    </w:p>
    <w:p w14:paraId="3CB35851" w14:textId="77777777" w:rsidR="007968EC" w:rsidRPr="00AC423B" w:rsidRDefault="007968EC" w:rsidP="007968EC">
      <w:pPr>
        <w:jc w:val="both"/>
        <w:rPr>
          <w:rFonts w:ascii="Arial Narrow" w:eastAsia="Calibri" w:hAnsi="Arial Narrow" w:cs="Arial"/>
          <w:b/>
          <w:lang w:val="es-ES" w:eastAsia="es-ES"/>
        </w:rPr>
      </w:pPr>
    </w:p>
    <w:p w14:paraId="474FFB09" w14:textId="77777777" w:rsidR="007968EC" w:rsidRPr="00AC423B" w:rsidRDefault="007968EC" w:rsidP="007968EC">
      <w:pPr>
        <w:jc w:val="both"/>
        <w:rPr>
          <w:rFonts w:ascii="Arial Narrow" w:hAnsi="Arial Narrow" w:cs="Arial"/>
          <w:lang w:val="es-ES" w:eastAsia="es-ES"/>
        </w:rPr>
      </w:pPr>
      <w:r w:rsidRPr="00AC423B">
        <w:rPr>
          <w:rFonts w:ascii="Arial Narrow" w:hAnsi="Arial Narrow" w:cs="Arial"/>
          <w:b/>
          <w:lang w:val="es-ES" w:eastAsia="es-ES"/>
        </w:rPr>
        <w:t xml:space="preserve">Complementación: </w:t>
      </w:r>
      <w:r w:rsidRPr="00AC423B">
        <w:rPr>
          <w:rFonts w:ascii="Arial Narrow" w:hAnsi="Arial Narrow" w:cs="Arial"/>
          <w:lang w:val="es-ES" w:eastAsia="es-ES"/>
        </w:rPr>
        <w:t xml:space="preserve">Es la información complementaria necesaria respecto de cada una de las Operaciones Repo Susceptibles de ser Aceptadas que exige la Bolsa de Valores de Colombia S.A. a las sociedades comisionistas de acuerdo con su reglamentación. </w:t>
      </w:r>
    </w:p>
    <w:p w14:paraId="625E596A" w14:textId="77777777" w:rsidR="007968EC" w:rsidRPr="00AC423B" w:rsidRDefault="007968EC" w:rsidP="007968EC">
      <w:pPr>
        <w:jc w:val="both"/>
        <w:rPr>
          <w:rFonts w:ascii="Arial Narrow" w:hAnsi="Arial Narrow" w:cs="Arial"/>
          <w:b/>
          <w:lang w:val="es-ES" w:eastAsia="es-ES"/>
        </w:rPr>
      </w:pPr>
    </w:p>
    <w:p w14:paraId="58992CD8" w14:textId="77777777" w:rsidR="007968EC" w:rsidRPr="00AC423B" w:rsidRDefault="007968EC" w:rsidP="007968EC">
      <w:pPr>
        <w:jc w:val="both"/>
        <w:rPr>
          <w:rFonts w:ascii="Arial Narrow" w:hAnsi="Arial Narrow" w:cs="Arial"/>
          <w:lang w:val="es-ES" w:eastAsia="es-ES"/>
        </w:rPr>
      </w:pPr>
      <w:r w:rsidRPr="00AC423B">
        <w:rPr>
          <w:rFonts w:ascii="Arial Narrow" w:hAnsi="Arial Narrow" w:cs="Arial"/>
          <w:b/>
          <w:lang w:val="es-ES" w:eastAsia="es-ES"/>
        </w:rPr>
        <w:t xml:space="preserve">Consolidación de Operaciones: </w:t>
      </w:r>
      <w:r w:rsidRPr="00AC423B">
        <w:rPr>
          <w:rFonts w:ascii="Arial Narrow" w:hAnsi="Arial Narrow" w:cs="Arial"/>
          <w:lang w:val="es-ES" w:eastAsia="es-ES"/>
        </w:rPr>
        <w:t xml:space="preserve">Se refiere a la posibilidad que tienen los Miembros de conformar paquetes de operaciones y/o fracciones de operaciones calzadas en las bolsas, o en los sistemas de negociación, o </w:t>
      </w:r>
      <w:r w:rsidRPr="00AC423B">
        <w:rPr>
          <w:rFonts w:ascii="Arial Narrow" w:hAnsi="Arial Narrow" w:cs="Arial"/>
          <w:lang w:val="es-ES" w:eastAsia="es-ES"/>
        </w:rPr>
        <w:lastRenderedPageBreak/>
        <w:t xml:space="preserve">en cualquier Mecanismo de Contratación según las reglas de tales bolsas, sistemas de negociación o Mecanismos de Contratación, para efectos de remitirlas a los Agentes que participen en la Compensación y Liquidación. </w:t>
      </w:r>
    </w:p>
    <w:p w14:paraId="075A458C" w14:textId="77777777" w:rsidR="007968EC" w:rsidRPr="00AC423B" w:rsidRDefault="007968EC" w:rsidP="007968EC">
      <w:pPr>
        <w:jc w:val="both"/>
        <w:rPr>
          <w:rFonts w:ascii="Arial Narrow" w:eastAsia="Calibri" w:hAnsi="Arial Narrow"/>
          <w:b/>
          <w:bCs/>
          <w:lang w:val="es-ES"/>
        </w:rPr>
      </w:pPr>
    </w:p>
    <w:p w14:paraId="2D2AAEA1" w14:textId="77777777" w:rsidR="007968EC" w:rsidRPr="00AC423B" w:rsidRDefault="007968EC" w:rsidP="007968EC">
      <w:pPr>
        <w:jc w:val="both"/>
        <w:rPr>
          <w:rFonts w:ascii="Arial Narrow" w:eastAsia="Calibri" w:hAnsi="Arial Narrow" w:cs="Arial"/>
          <w:lang w:val="es-ES" w:eastAsia="es-ES"/>
        </w:rPr>
      </w:pPr>
      <w:r w:rsidRPr="00AC423B">
        <w:rPr>
          <w:rFonts w:ascii="Arial Narrow" w:eastAsia="Calibri" w:hAnsi="Arial Narrow" w:cs="Arial"/>
          <w:b/>
          <w:lang w:val="es-ES" w:eastAsia="es-ES"/>
        </w:rPr>
        <w:t xml:space="preserve">Contribuciones para la continuidad del servicio: </w:t>
      </w:r>
      <w:r w:rsidRPr="00AC423B">
        <w:rPr>
          <w:rFonts w:ascii="Arial Narrow" w:eastAsia="Calibri" w:hAnsi="Arial Narrow" w:cs="Arial"/>
          <w:lang w:val="es-ES" w:eastAsia="es-ES"/>
        </w:rPr>
        <w:t>Garantía que tiene como finalidad cubrir los eventuales saldos deudores que pueden derivarse del incumplimiento de un Miembro Liquidador, para la continuidad del servicio en cada Segmento y que no estén cubiertos por las Garantías por Posición, Garantías Extraordinarias, Garantías Individuales, las aportaciones a los Fondos de Garantía Colectiva y los Recursos Propios Específicos. Las Contribuciones para la continuidad del servicio podrán ser obligatorias y voluntarias.</w:t>
      </w:r>
    </w:p>
    <w:p w14:paraId="597A14C1" w14:textId="77777777" w:rsidR="007968EC" w:rsidRPr="00AC423B" w:rsidRDefault="007968EC" w:rsidP="007968EC">
      <w:pPr>
        <w:jc w:val="both"/>
        <w:rPr>
          <w:rFonts w:ascii="Arial Narrow" w:eastAsia="Calibri" w:hAnsi="Arial Narrow" w:cs="Arial"/>
          <w:b/>
          <w:lang w:val="es-ES" w:eastAsia="es-ES"/>
        </w:rPr>
      </w:pPr>
    </w:p>
    <w:p w14:paraId="3B7B07C8"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Contraparte: </w:t>
      </w:r>
      <w:r w:rsidRPr="00AC423B">
        <w:rPr>
          <w:rFonts w:ascii="Arial Narrow" w:eastAsia="Calibri" w:hAnsi="Arial Narrow" w:cs="Arial"/>
          <w:lang w:val="es-ES" w:eastAsia="es-ES"/>
        </w:rPr>
        <w:t>Denominación genérica que incluye a los Miembros con acceso directo a la Cámara para la celebración o registro de operaciones de Compensación y Liquidación teniendo como Contraparte a la Cámara; en adelante denominado como Miembro.</w:t>
      </w:r>
      <w:r w:rsidRPr="00AC423B">
        <w:rPr>
          <w:rFonts w:ascii="Arial Narrow" w:eastAsia="Calibri" w:hAnsi="Arial Narrow" w:cs="Arial"/>
          <w:b/>
          <w:lang w:val="es-ES" w:eastAsia="es-ES"/>
        </w:rPr>
        <w:t xml:space="preserve"> </w:t>
      </w:r>
    </w:p>
    <w:p w14:paraId="79E64B0F" w14:textId="77777777" w:rsidR="007968EC" w:rsidRPr="00AC423B" w:rsidRDefault="007968EC" w:rsidP="007968EC">
      <w:pPr>
        <w:jc w:val="both"/>
        <w:rPr>
          <w:rFonts w:ascii="Arial Narrow" w:eastAsia="Calibri" w:hAnsi="Arial Narrow" w:cs="Arial"/>
          <w:b/>
          <w:lang w:val="es-ES" w:eastAsia="es-ES"/>
        </w:rPr>
      </w:pPr>
    </w:p>
    <w:p w14:paraId="12DA82A0"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Contraparte de Inversión: </w:t>
      </w:r>
      <w:r w:rsidRPr="00AC423B">
        <w:rPr>
          <w:rFonts w:ascii="Arial Narrow" w:eastAsia="Calibri" w:hAnsi="Arial Narrow" w:cs="Arial"/>
          <w:lang w:val="es-ES" w:eastAsia="es-ES"/>
        </w:rPr>
        <w:t>Miembros Liquidadores que cumplen con los criterios establecidos para actuar como enajenantes en las operaciones de reporto o repo en el proceso de inversión de las garantías constituidas en efectivo, de acuerdo con lo establecido por el artículo 2.7.5. del Reglamento.</w:t>
      </w:r>
    </w:p>
    <w:p w14:paraId="63D1F77C" w14:textId="77777777" w:rsidR="007968EC" w:rsidRDefault="007968EC" w:rsidP="007968EC">
      <w:pPr>
        <w:jc w:val="both"/>
        <w:rPr>
          <w:rFonts w:ascii="Arial Narrow" w:eastAsia="Calibri" w:hAnsi="Arial Narrow" w:cs="Arial"/>
          <w:b/>
          <w:lang w:val="es-ES" w:eastAsia="es-ES"/>
        </w:rPr>
      </w:pPr>
    </w:p>
    <w:p w14:paraId="09103534" w14:textId="77777777" w:rsidR="007968EC" w:rsidRPr="00E6682B" w:rsidRDefault="007968EC" w:rsidP="007968EC">
      <w:pPr>
        <w:jc w:val="both"/>
        <w:rPr>
          <w:rFonts w:ascii="Arial Narrow" w:eastAsia="Calibri" w:hAnsi="Arial Narrow" w:cs="Arial"/>
          <w:lang w:val="es-ES" w:eastAsia="es-ES"/>
        </w:rPr>
      </w:pPr>
      <w:r w:rsidRPr="00AC423B">
        <w:rPr>
          <w:rFonts w:ascii="Arial Narrow" w:eastAsia="Calibri" w:hAnsi="Arial Narrow" w:cs="Arial"/>
          <w:b/>
          <w:lang w:val="es-ES" w:eastAsia="es-ES"/>
        </w:rPr>
        <w:t xml:space="preserve">Contrato de Derivado o </w:t>
      </w:r>
      <w:r w:rsidRPr="00AC423B">
        <w:rPr>
          <w:rFonts w:ascii="Arial Narrow" w:eastAsia="Calibri" w:hAnsi="Arial Narrow" w:cs="Arial"/>
          <w:b/>
          <w:i/>
          <w:lang w:val="es-ES" w:eastAsia="es-ES"/>
        </w:rPr>
        <w:t>“Contrato”</w:t>
      </w:r>
      <w:r w:rsidRPr="00AC423B">
        <w:rPr>
          <w:rFonts w:ascii="Arial Narrow" w:eastAsia="Calibri" w:hAnsi="Arial Narrow" w:cs="Arial"/>
          <w:b/>
          <w:lang w:val="es-ES" w:eastAsia="es-ES"/>
        </w:rPr>
        <w:t xml:space="preserve">: </w:t>
      </w:r>
      <w:r w:rsidRPr="00AC423B">
        <w:rPr>
          <w:rFonts w:ascii="Arial Narrow" w:eastAsia="Calibri" w:hAnsi="Arial Narrow" w:cs="Arial"/>
          <w:lang w:val="es-ES" w:eastAsia="es-ES"/>
        </w:rPr>
        <w:t xml:space="preserve">Activo financiero cuyo precio se deriva del precio de un Activo Subyacente. La expresión “Contrato” o “Contratos” </w:t>
      </w:r>
      <w:r>
        <w:rPr>
          <w:rFonts w:ascii="Arial Narrow" w:eastAsia="Calibri" w:hAnsi="Arial Narrow" w:cs="Arial"/>
          <w:lang w:val="es-ES" w:eastAsia="es-ES"/>
        </w:rPr>
        <w:t xml:space="preserve">es un </w:t>
      </w:r>
      <w:r w:rsidRPr="002A3489">
        <w:rPr>
          <w:rFonts w:ascii="Arial Narrow" w:eastAsia="Calibri" w:hAnsi="Arial Narrow" w:cs="Arial"/>
          <w:lang w:eastAsia="es-ES"/>
        </w:rPr>
        <w:t>término genérico que incluye todos los Futuros, Swaps y Opciones y otros instrumentos</w:t>
      </w:r>
      <w:r>
        <w:rPr>
          <w:rFonts w:ascii="Arial Narrow" w:eastAsia="Calibri" w:hAnsi="Arial Narrow" w:cs="Arial"/>
          <w:lang w:eastAsia="es-ES"/>
        </w:rPr>
        <w:t xml:space="preserve"> </w:t>
      </w:r>
      <w:r w:rsidRPr="00E6682B">
        <w:rPr>
          <w:rFonts w:ascii="Arial Narrow" w:eastAsia="Calibri" w:hAnsi="Arial Narrow" w:cs="Arial"/>
          <w:lang w:eastAsia="es-ES"/>
        </w:rPr>
        <w:t>financieros derivados objeto de la presente Circular.</w:t>
      </w:r>
    </w:p>
    <w:p w14:paraId="4DD5C79C" w14:textId="77777777" w:rsidR="007968EC" w:rsidRPr="00AC423B" w:rsidRDefault="007968EC" w:rsidP="007968EC">
      <w:pPr>
        <w:jc w:val="both"/>
        <w:rPr>
          <w:rFonts w:ascii="Arial Narrow" w:eastAsia="Calibri" w:hAnsi="Arial Narrow" w:cs="Arial"/>
          <w:lang w:val="es-ES" w:eastAsia="es-ES"/>
        </w:rPr>
      </w:pPr>
    </w:p>
    <w:p w14:paraId="1D577C99"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Contrato de Futuro o </w:t>
      </w:r>
      <w:r w:rsidRPr="00AC423B">
        <w:rPr>
          <w:rFonts w:ascii="Arial Narrow" w:eastAsia="Calibri" w:hAnsi="Arial Narrow" w:cs="Arial"/>
          <w:b/>
          <w:i/>
          <w:lang w:val="es-ES" w:eastAsia="es-ES"/>
        </w:rPr>
        <w:t>“Futuro”</w:t>
      </w:r>
      <w:r w:rsidRPr="00AC423B">
        <w:rPr>
          <w:rFonts w:ascii="Arial Narrow" w:eastAsia="Calibri" w:hAnsi="Arial Narrow" w:cs="Arial"/>
          <w:b/>
          <w:lang w:val="es-ES" w:eastAsia="es-ES"/>
        </w:rPr>
        <w:t xml:space="preserve">: </w:t>
      </w:r>
      <w:r w:rsidRPr="00AC423B">
        <w:rPr>
          <w:rFonts w:ascii="Arial Narrow" w:eastAsia="Calibri" w:hAnsi="Arial Narrow" w:cs="Arial"/>
          <w:lang w:val="es-ES" w:eastAsia="es-ES"/>
        </w:rPr>
        <w:t>Tipo de Derivado estandarizado mediante el cual las partes que lo celebran se obligan a comprar o a vender una cantidad específica de un Activo Subyacente en una fecha futura y determinada, a un precio establecido desde el momento de la celebración del Contrato.</w:t>
      </w:r>
    </w:p>
    <w:p w14:paraId="4053B3A7" w14:textId="77777777" w:rsidR="007968EC" w:rsidRPr="00AC423B" w:rsidRDefault="007968EC" w:rsidP="007968EC">
      <w:pPr>
        <w:jc w:val="both"/>
        <w:rPr>
          <w:rFonts w:ascii="Arial Narrow" w:eastAsia="Calibri" w:hAnsi="Arial Narrow" w:cs="Arial"/>
          <w:b/>
          <w:lang w:val="es-ES" w:eastAsia="es-ES"/>
        </w:rPr>
      </w:pPr>
    </w:p>
    <w:p w14:paraId="661FDEBD"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Contrato de Opción u </w:t>
      </w:r>
      <w:r w:rsidRPr="00AC423B">
        <w:rPr>
          <w:rFonts w:ascii="Arial Narrow" w:eastAsia="Calibri" w:hAnsi="Arial Narrow" w:cs="Arial"/>
          <w:b/>
          <w:i/>
          <w:lang w:val="es-ES" w:eastAsia="es-ES"/>
        </w:rPr>
        <w:t>“Opción”</w:t>
      </w:r>
      <w:r w:rsidRPr="00AC423B">
        <w:rPr>
          <w:rFonts w:ascii="Arial Narrow" w:eastAsia="Calibri" w:hAnsi="Arial Narrow" w:cs="Arial"/>
          <w:b/>
          <w:lang w:val="es-ES" w:eastAsia="es-ES"/>
        </w:rPr>
        <w:t xml:space="preserve">: </w:t>
      </w:r>
      <w:r w:rsidRPr="00AC423B">
        <w:rPr>
          <w:rFonts w:ascii="Arial Narrow" w:eastAsia="Calibri" w:hAnsi="Arial Narrow" w:cs="Arial"/>
          <w:lang w:val="es-ES" w:eastAsia="es-ES"/>
        </w:rPr>
        <w:t>Tipo de Derivado estandarizado mediante el cual el comprador adquiere el derecho, pero no la obligación, de comprar (CALL) o vender (PUT) el Activo Subyacente en una fecha futura a un precio establecido desde el momento de la celebración del Contrato. Igualmente, en caso de que el comprador ejerza la Opción (CALL), el vendedor se obliga a vender (PUT) el Activo Subyacente en una fecha futura, al precio establecido desde el momento de la celebración del Contrato.</w:t>
      </w:r>
    </w:p>
    <w:p w14:paraId="6FB0E707" w14:textId="77777777" w:rsidR="007968EC" w:rsidRPr="00AC423B" w:rsidRDefault="007968EC" w:rsidP="007968EC">
      <w:pPr>
        <w:jc w:val="both"/>
        <w:rPr>
          <w:rFonts w:ascii="Arial Narrow" w:eastAsia="Calibri" w:hAnsi="Arial Narrow" w:cs="Arial"/>
          <w:lang w:val="es-ES" w:eastAsia="es-ES"/>
        </w:rPr>
      </w:pPr>
    </w:p>
    <w:p w14:paraId="709BE6BC" w14:textId="77777777" w:rsidR="007968EC" w:rsidRPr="00AC423B" w:rsidRDefault="007968EC" w:rsidP="007968EC">
      <w:pPr>
        <w:autoSpaceDE w:val="0"/>
        <w:autoSpaceDN w:val="0"/>
        <w:adjustRightInd w:val="0"/>
        <w:jc w:val="both"/>
        <w:rPr>
          <w:rFonts w:ascii="Arial Narrow" w:eastAsia="Calibri" w:hAnsi="Arial Narrow" w:cs="Arial"/>
          <w:lang w:eastAsia="es-ES"/>
        </w:rPr>
      </w:pPr>
      <w:r w:rsidRPr="00AC423B">
        <w:rPr>
          <w:rFonts w:ascii="Arial Narrow" w:eastAsia="Calibri" w:hAnsi="Arial Narrow" w:cs="Arial"/>
          <w:b/>
          <w:lang w:eastAsia="es-ES"/>
        </w:rPr>
        <w:t xml:space="preserve">Contrato(s) de Operación Simultánea: </w:t>
      </w:r>
      <w:r w:rsidRPr="00AC423B">
        <w:rPr>
          <w:rFonts w:ascii="Arial Narrow" w:eastAsia="Calibri" w:hAnsi="Arial Narrow" w:cs="Arial"/>
          <w:lang w:eastAsia="es-ES"/>
        </w:rPr>
        <w:t>Unidad de medida resultante de la relación entre el valor nominal de una Operación Simultánea aceptada por Cámara y el valor nominal definido para esta operación en la Circular, considerado a efectos del cálculo de la Garantía por Posición.</w:t>
      </w:r>
    </w:p>
    <w:p w14:paraId="27EFA96B" w14:textId="77777777" w:rsidR="007968EC" w:rsidRPr="00AC423B" w:rsidRDefault="007968EC" w:rsidP="007968EC">
      <w:pPr>
        <w:jc w:val="both"/>
        <w:rPr>
          <w:rFonts w:ascii="Arial Narrow" w:eastAsia="Calibri" w:hAnsi="Arial Narrow" w:cs="Arial"/>
          <w:lang w:eastAsia="es-ES"/>
        </w:rPr>
      </w:pPr>
    </w:p>
    <w:p w14:paraId="30432FBC"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CUD: </w:t>
      </w:r>
      <w:r w:rsidRPr="00AC423B">
        <w:rPr>
          <w:rFonts w:ascii="Arial Narrow" w:eastAsia="Calibri" w:hAnsi="Arial Narrow" w:cs="Arial"/>
          <w:lang w:val="es-ES" w:eastAsia="es-ES"/>
        </w:rPr>
        <w:t>Sistema de Cuenta Única de Depósito. Sistema de pagos de alto valor del país, administrado y operado por el Banco de la República, que provee a las entidades participantes autorizadas el servicio de transferencias y Registro de Operaciones de fondos entre Cuentas de Depósito a nombre propio o de sus Titulares, con el fin de liquidar obligaciones derivadas de transacciones tales como compra venta de títulos valores y de divisas, préstamos interbancarios, traslado de impuestos y compensación de cheques, entre otros.</w:t>
      </w:r>
    </w:p>
    <w:p w14:paraId="1C8B0C2D" w14:textId="77777777" w:rsidR="007968EC" w:rsidRPr="00AC423B" w:rsidRDefault="007968EC" w:rsidP="007968EC">
      <w:pPr>
        <w:jc w:val="both"/>
        <w:rPr>
          <w:rFonts w:ascii="Arial Narrow" w:eastAsia="Calibri" w:hAnsi="Arial Narrow" w:cs="Arial"/>
          <w:b/>
          <w:lang w:eastAsia="es-ES"/>
        </w:rPr>
      </w:pPr>
    </w:p>
    <w:p w14:paraId="1D5EDBC3"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lastRenderedPageBreak/>
        <w:t xml:space="preserve">Cuenta: </w:t>
      </w:r>
      <w:r w:rsidRPr="00AC423B">
        <w:rPr>
          <w:rFonts w:ascii="Arial Narrow" w:eastAsia="Calibri" w:hAnsi="Arial Narrow" w:cs="Arial"/>
          <w:lang w:val="es-ES" w:eastAsia="es-ES"/>
        </w:rPr>
        <w:t>Código asignado por la Cámara a los Miembros o a los Terceros Identificados, bajo el cual se registran todas las Operaciones Aceptadas.</w:t>
      </w:r>
    </w:p>
    <w:p w14:paraId="5B219145" w14:textId="77777777" w:rsidR="007968EC" w:rsidRPr="00AC423B" w:rsidRDefault="007968EC" w:rsidP="007968EC">
      <w:pPr>
        <w:jc w:val="both"/>
        <w:rPr>
          <w:rFonts w:ascii="Arial Narrow" w:eastAsia="Calibri" w:hAnsi="Arial Narrow" w:cs="Arial"/>
          <w:b/>
          <w:lang w:val="es-ES" w:eastAsia="es-ES"/>
        </w:rPr>
      </w:pPr>
    </w:p>
    <w:p w14:paraId="31CEDE35"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Cuenta Diaria: </w:t>
      </w:r>
      <w:r w:rsidRPr="00AC423B">
        <w:rPr>
          <w:rFonts w:ascii="Arial Narrow" w:eastAsia="Calibri" w:hAnsi="Arial Narrow" w:cs="Arial"/>
          <w:lang w:val="es-ES" w:eastAsia="es-ES"/>
        </w:rPr>
        <w:t xml:space="preserve">Cuenta única en la que se registran las Operaciones realizadas por un Miembro para su posterior Asignación a Cuentas Ordinarias o Definitivas. La titularidad de esta cuenta corresponde al Miembro y refleja un Registro en neto. </w:t>
      </w:r>
    </w:p>
    <w:p w14:paraId="682F5E6F" w14:textId="77777777" w:rsidR="007968EC" w:rsidRPr="00AC423B" w:rsidRDefault="007968EC" w:rsidP="007968EC">
      <w:pPr>
        <w:jc w:val="both"/>
        <w:rPr>
          <w:rFonts w:ascii="Arial Narrow" w:eastAsia="Calibri" w:hAnsi="Arial Narrow" w:cs="Arial"/>
          <w:lang w:val="es-ES" w:eastAsia="es-ES"/>
        </w:rPr>
      </w:pPr>
    </w:p>
    <w:p w14:paraId="7C46B797"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Cuentas Definitivas: </w:t>
      </w:r>
      <w:r w:rsidRPr="00AC423B">
        <w:rPr>
          <w:rFonts w:ascii="Arial Narrow" w:eastAsia="Calibri" w:hAnsi="Arial Narrow" w:cs="Arial"/>
          <w:lang w:val="es-ES" w:eastAsia="es-ES"/>
        </w:rPr>
        <w:t>Son cuentas en las cuales el Miembro realiza la Asignación o registro definitivo de las operaciones, para efectos de su Liquidación, de acuerdo con el Titular al cual correspondan. Estas Cuentas reflejan un Registro en neto.</w:t>
      </w:r>
      <w:r w:rsidRPr="00AC423B">
        <w:rPr>
          <w:rFonts w:ascii="Arial Narrow" w:eastAsia="Calibri" w:hAnsi="Arial Narrow" w:cs="Arial"/>
          <w:b/>
          <w:lang w:val="es-ES" w:eastAsia="es-ES"/>
        </w:rPr>
        <w:t xml:space="preserve"> </w:t>
      </w:r>
    </w:p>
    <w:p w14:paraId="3FFE11F1" w14:textId="77777777" w:rsidR="007968EC" w:rsidRPr="00AC423B" w:rsidRDefault="007968EC" w:rsidP="007968EC">
      <w:pPr>
        <w:jc w:val="both"/>
        <w:rPr>
          <w:rFonts w:ascii="Arial Narrow" w:eastAsia="Calibri" w:hAnsi="Arial Narrow" w:cs="Arial"/>
          <w:b/>
          <w:lang w:val="es-ES" w:eastAsia="es-ES"/>
        </w:rPr>
      </w:pPr>
    </w:p>
    <w:p w14:paraId="11032E95"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Cuenta de Registro de la Cuenta Propia: </w:t>
      </w:r>
      <w:r w:rsidRPr="00AC423B">
        <w:rPr>
          <w:rFonts w:ascii="Arial Narrow" w:eastAsia="Calibri" w:hAnsi="Arial Narrow" w:cs="Arial"/>
          <w:lang w:val="es-ES" w:eastAsia="es-ES"/>
        </w:rPr>
        <w:t>Cuenta Definitiva de la que es titular el Miembro para registrar en ella sus operaciones por cuenta propia.</w:t>
      </w:r>
      <w:r w:rsidRPr="00AC423B">
        <w:rPr>
          <w:rFonts w:ascii="Arial Narrow" w:eastAsia="Calibri" w:hAnsi="Arial Narrow" w:cs="Arial"/>
          <w:b/>
          <w:lang w:val="es-ES" w:eastAsia="es-ES"/>
        </w:rPr>
        <w:t xml:space="preserve">  </w:t>
      </w:r>
    </w:p>
    <w:p w14:paraId="421ED069" w14:textId="77777777" w:rsidR="007968EC" w:rsidRPr="00AC423B" w:rsidRDefault="007968EC" w:rsidP="007968EC">
      <w:pPr>
        <w:jc w:val="both"/>
        <w:rPr>
          <w:rFonts w:ascii="Arial Narrow" w:eastAsia="Calibri" w:hAnsi="Arial Narrow" w:cs="Arial"/>
          <w:b/>
          <w:lang w:val="es-ES" w:eastAsia="es-ES"/>
        </w:rPr>
      </w:pPr>
    </w:p>
    <w:p w14:paraId="332E3485"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Cuenta de Tercero Identificado</w:t>
      </w:r>
      <w:r w:rsidRPr="00AC423B">
        <w:rPr>
          <w:rFonts w:ascii="Arial Narrow" w:eastAsia="Calibri" w:hAnsi="Arial Narrow" w:cs="Arial"/>
          <w:lang w:val="es-ES" w:eastAsia="es-ES"/>
        </w:rPr>
        <w:t>: Cuenta Definitiva de la que es titular un Tercero Identificado y en la cual el Miembro correspondiente registra las operaciones que realice por cuenta de dicho Tercero Identificado</w:t>
      </w:r>
      <w:r w:rsidRPr="00AC423B">
        <w:rPr>
          <w:rFonts w:ascii="Arial Narrow" w:eastAsia="Calibri" w:hAnsi="Arial Narrow" w:cs="Arial"/>
          <w:b/>
          <w:lang w:val="es-ES" w:eastAsia="es-ES"/>
        </w:rPr>
        <w:t>.</w:t>
      </w:r>
    </w:p>
    <w:p w14:paraId="0EA1AD22" w14:textId="77777777" w:rsidR="007968EC" w:rsidRPr="00AC423B" w:rsidRDefault="007968EC" w:rsidP="007968EC">
      <w:pPr>
        <w:jc w:val="both"/>
        <w:rPr>
          <w:rFonts w:ascii="Arial Narrow" w:eastAsia="Calibri" w:hAnsi="Arial Narrow" w:cs="Arial"/>
          <w:b/>
          <w:lang w:val="es-ES" w:eastAsia="es-ES"/>
        </w:rPr>
      </w:pPr>
    </w:p>
    <w:p w14:paraId="6B7BAA85" w14:textId="77777777" w:rsidR="007968EC" w:rsidRPr="00343640" w:rsidRDefault="007968EC" w:rsidP="007968EC">
      <w:pPr>
        <w:jc w:val="both"/>
        <w:rPr>
          <w:rFonts w:ascii="Arial Narrow" w:eastAsia="Calibri" w:hAnsi="Arial Narrow" w:cs="Arial"/>
          <w:b/>
          <w:lang w:val="es-ES" w:eastAsia="es-ES"/>
        </w:rPr>
      </w:pPr>
      <w:r w:rsidRPr="00343640">
        <w:rPr>
          <w:rFonts w:ascii="Arial Narrow" w:eastAsia="Calibri" w:hAnsi="Arial Narrow" w:cs="Arial"/>
          <w:b/>
          <w:lang w:val="es-ES" w:eastAsia="es-ES"/>
        </w:rPr>
        <w:t xml:space="preserve">Cuenta de Tercero Ómnibus Segregada por Cámara: </w:t>
      </w:r>
      <w:r w:rsidRPr="00343640">
        <w:rPr>
          <w:rFonts w:ascii="Arial Narrow" w:eastAsia="Calibri" w:hAnsi="Arial Narrow" w:cs="Arial"/>
          <w:bCs/>
          <w:lang w:val="es-ES" w:eastAsia="es-ES"/>
        </w:rPr>
        <w:t>Cuenta Definitiva de la que es titular un Miembro para registrar y gestionar en ella las operaciones que realice por cuenta de una pluralidad de Terceros Identificados, respecto de los cuales la Cámara determina la posición del Tercero frente al Miembro titular de la Cuenta. En esta Cuenta también se podrán registrar y gestionar las operaciones que realice el Miembro por cuenta de Terceros del exterior cuya complementación en las bolsas, sistemas de negociación y/o registro o Mecanismo de Contratación podrá realizarse después de Liquidada la Operación Aceptada.</w:t>
      </w:r>
    </w:p>
    <w:p w14:paraId="0249A0DD" w14:textId="77777777" w:rsidR="007968EC" w:rsidRPr="00343640" w:rsidRDefault="007968EC" w:rsidP="007968EC">
      <w:pPr>
        <w:jc w:val="both"/>
        <w:rPr>
          <w:rFonts w:ascii="Arial Narrow" w:eastAsia="Calibri" w:hAnsi="Arial Narrow" w:cs="Arial"/>
          <w:b/>
          <w:lang w:val="es-ES" w:eastAsia="es-ES"/>
        </w:rPr>
      </w:pPr>
    </w:p>
    <w:p w14:paraId="5DACEB2A" w14:textId="77777777" w:rsidR="007968EC" w:rsidRPr="00AC423B" w:rsidRDefault="007968EC" w:rsidP="007968EC">
      <w:pPr>
        <w:jc w:val="both"/>
        <w:rPr>
          <w:rFonts w:ascii="Arial Narrow" w:eastAsia="Calibri" w:hAnsi="Arial Narrow" w:cs="Arial"/>
          <w:b/>
          <w:lang w:val="es-ES" w:eastAsia="es-ES"/>
        </w:rPr>
      </w:pPr>
      <w:r w:rsidRPr="00343640">
        <w:rPr>
          <w:rFonts w:ascii="Arial Narrow" w:eastAsia="Calibri" w:hAnsi="Arial Narrow" w:cs="Arial"/>
          <w:b/>
          <w:lang w:val="es-ES" w:eastAsia="es-ES"/>
        </w:rPr>
        <w:t xml:space="preserve">Cuenta de Tercero Ómnibus Segregada por Miembro: </w:t>
      </w:r>
      <w:r w:rsidRPr="00343640">
        <w:rPr>
          <w:rFonts w:ascii="Arial Narrow" w:eastAsia="Calibri" w:hAnsi="Arial Narrow" w:cs="Arial"/>
          <w:bCs/>
          <w:lang w:val="es-ES" w:eastAsia="es-ES"/>
        </w:rPr>
        <w:t>Cuenta Definitiva de la que es titular un Miembro para registrar y gestionar en ella las operaciones que realice por cuenta de una pluralidad de Terceros no Identificados ante la Cámara.</w:t>
      </w:r>
    </w:p>
    <w:p w14:paraId="4DC6A2E5" w14:textId="77777777" w:rsidR="007968EC" w:rsidRPr="00AC423B" w:rsidRDefault="007968EC" w:rsidP="007968EC">
      <w:pPr>
        <w:jc w:val="both"/>
        <w:rPr>
          <w:rFonts w:ascii="Arial Narrow" w:eastAsia="Calibri" w:hAnsi="Arial Narrow" w:cs="Arial"/>
          <w:b/>
          <w:lang w:val="es-ES" w:eastAsia="es-ES"/>
        </w:rPr>
      </w:pPr>
    </w:p>
    <w:p w14:paraId="5864069A"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Cuenta Residual: </w:t>
      </w:r>
      <w:r w:rsidRPr="00AC423B">
        <w:rPr>
          <w:rFonts w:ascii="Arial Narrow" w:eastAsia="Calibri" w:hAnsi="Arial Narrow" w:cs="Arial"/>
          <w:lang w:val="es-ES" w:eastAsia="es-ES"/>
        </w:rPr>
        <w:t>Cuenta única en la que se registran automáticamente todas las operaciones que al cierre del horario de registro, no fueron asignadas por un Miembro de la Cuenta Diaria a una Cuenta Definitiva. Estas cuentas reflejan un Registro en neto.</w:t>
      </w:r>
      <w:r w:rsidRPr="00AC423B">
        <w:rPr>
          <w:rFonts w:ascii="Arial Narrow" w:eastAsia="Calibri" w:hAnsi="Arial Narrow" w:cs="Arial"/>
          <w:b/>
          <w:lang w:val="es-ES" w:eastAsia="es-ES"/>
        </w:rPr>
        <w:t xml:space="preserve"> </w:t>
      </w:r>
    </w:p>
    <w:p w14:paraId="105E32DE" w14:textId="77777777" w:rsidR="007968EC" w:rsidRPr="00AC423B" w:rsidRDefault="007968EC" w:rsidP="007968EC">
      <w:pPr>
        <w:jc w:val="both"/>
        <w:rPr>
          <w:rFonts w:ascii="Arial Narrow" w:eastAsia="Calibri" w:hAnsi="Arial Narrow" w:cs="Arial"/>
          <w:b/>
          <w:lang w:val="es-ES" w:eastAsia="es-ES"/>
        </w:rPr>
      </w:pPr>
    </w:p>
    <w:p w14:paraId="08D217DD" w14:textId="77777777" w:rsidR="007968EC" w:rsidRPr="00AC423B" w:rsidRDefault="007968EC" w:rsidP="007968EC">
      <w:pPr>
        <w:autoSpaceDE w:val="0"/>
        <w:autoSpaceDN w:val="0"/>
        <w:adjustRightInd w:val="0"/>
        <w:spacing w:line="252" w:lineRule="auto"/>
        <w:jc w:val="both"/>
        <w:rPr>
          <w:rFonts w:ascii="Calibri" w:hAnsi="Calibri" w:cs="Calibri"/>
        </w:rPr>
      </w:pPr>
      <w:r w:rsidRPr="00AC423B">
        <w:rPr>
          <w:rFonts w:ascii="Arial Narrow" w:eastAsia="Calibri" w:hAnsi="Arial Narrow" w:cs="Arial"/>
          <w:b/>
          <w:lang w:val="es-ES" w:eastAsia="es-ES"/>
        </w:rPr>
        <w:t>Cupones:</w:t>
      </w:r>
      <w:r w:rsidRPr="00AC423B">
        <w:rPr>
          <w:rFonts w:ascii="Arial Narrow" w:eastAsia="Calibri" w:hAnsi="Arial Narrow"/>
          <w:color w:val="000000" w:themeColor="text1"/>
        </w:rPr>
        <w:t xml:space="preserve"> </w:t>
      </w:r>
      <w:r w:rsidRPr="00AC423B">
        <w:rPr>
          <w:rFonts w:ascii="Arial Narrow" w:hAnsi="Arial Narrow" w:cs="Verdana"/>
        </w:rPr>
        <w:t xml:space="preserve">En </w:t>
      </w:r>
      <w:r w:rsidRPr="00AC423B">
        <w:rPr>
          <w:rFonts w:ascii="Arial Narrow" w:eastAsia="Calibri" w:hAnsi="Arial Narrow" w:cs="Arial"/>
          <w:lang w:val="es-ES" w:eastAsia="es-ES"/>
        </w:rPr>
        <w:t xml:space="preserve">relación con el Segmento Swaps, son los pagos que debe realizar </w:t>
      </w:r>
      <w:r>
        <w:rPr>
          <w:rFonts w:ascii="Arial Narrow" w:eastAsia="Calibri" w:hAnsi="Arial Narrow" w:cs="Arial"/>
          <w:lang w:val="es-ES" w:eastAsia="es-ES"/>
        </w:rPr>
        <w:t xml:space="preserve">o recibir </w:t>
      </w:r>
      <w:r w:rsidRPr="00AC423B">
        <w:rPr>
          <w:rFonts w:ascii="Arial Narrow" w:eastAsia="Calibri" w:hAnsi="Arial Narrow" w:cs="Arial"/>
          <w:lang w:val="es-ES" w:eastAsia="es-ES"/>
        </w:rPr>
        <w:t xml:space="preserve">el Miembro </w:t>
      </w:r>
      <w:proofErr w:type="gramStart"/>
      <w:r w:rsidRPr="00AC423B">
        <w:rPr>
          <w:rFonts w:ascii="Arial Narrow" w:eastAsia="Calibri" w:hAnsi="Arial Narrow" w:cs="Arial"/>
          <w:lang w:val="es-ES" w:eastAsia="es-ES"/>
        </w:rPr>
        <w:t>Liquidador  correspondientes</w:t>
      </w:r>
      <w:proofErr w:type="gramEnd"/>
      <w:r w:rsidRPr="00AC423B">
        <w:rPr>
          <w:rFonts w:ascii="Arial Narrow" w:eastAsia="Calibri" w:hAnsi="Arial Narrow" w:cs="Arial"/>
          <w:lang w:val="es-ES" w:eastAsia="es-ES"/>
        </w:rPr>
        <w:t xml:space="preserve"> al importe de la tasa de interés fija (</w:t>
      </w:r>
      <w:proofErr w:type="spellStart"/>
      <w:r w:rsidRPr="00AC423B">
        <w:rPr>
          <w:rFonts w:ascii="Arial Narrow" w:eastAsia="Calibri" w:hAnsi="Arial Narrow" w:cs="Arial"/>
          <w:lang w:val="es-ES" w:eastAsia="es-ES"/>
        </w:rPr>
        <w:t>Fixed</w:t>
      </w:r>
      <w:proofErr w:type="spellEnd"/>
      <w:r w:rsidRPr="00AC423B">
        <w:rPr>
          <w:rFonts w:ascii="Arial Narrow" w:eastAsia="Calibri" w:hAnsi="Arial Narrow" w:cs="Arial"/>
          <w:lang w:val="es-ES" w:eastAsia="es-ES"/>
        </w:rPr>
        <w:t xml:space="preserve"> </w:t>
      </w:r>
      <w:proofErr w:type="spellStart"/>
      <w:r w:rsidRPr="00AC423B">
        <w:rPr>
          <w:rFonts w:ascii="Arial Narrow" w:eastAsia="Calibri" w:hAnsi="Arial Narrow" w:cs="Arial"/>
          <w:lang w:val="es-ES" w:eastAsia="es-ES"/>
        </w:rPr>
        <w:t>Amount</w:t>
      </w:r>
      <w:proofErr w:type="spellEnd"/>
      <w:r w:rsidRPr="00AC423B">
        <w:rPr>
          <w:rFonts w:ascii="Arial Narrow" w:eastAsia="Calibri" w:hAnsi="Arial Narrow" w:cs="Arial"/>
          <w:lang w:val="es-ES" w:eastAsia="es-ES"/>
        </w:rPr>
        <w:t>) y al importe de la tasa de interés variable (</w:t>
      </w:r>
      <w:proofErr w:type="spellStart"/>
      <w:r w:rsidRPr="00AC423B">
        <w:rPr>
          <w:rFonts w:ascii="Arial Narrow" w:eastAsia="Calibri" w:hAnsi="Arial Narrow" w:cs="Arial"/>
          <w:lang w:val="es-ES" w:eastAsia="es-ES"/>
        </w:rPr>
        <w:t>Floating</w:t>
      </w:r>
      <w:proofErr w:type="spellEnd"/>
      <w:r w:rsidRPr="00AC423B">
        <w:rPr>
          <w:rFonts w:ascii="Arial Narrow" w:eastAsia="Calibri" w:hAnsi="Arial Narrow" w:cs="Arial"/>
          <w:lang w:val="es-ES" w:eastAsia="es-ES"/>
        </w:rPr>
        <w:t xml:space="preserve"> </w:t>
      </w:r>
      <w:proofErr w:type="spellStart"/>
      <w:r w:rsidRPr="00AC423B">
        <w:rPr>
          <w:rFonts w:ascii="Arial Narrow" w:eastAsia="Calibri" w:hAnsi="Arial Narrow" w:cs="Arial"/>
          <w:lang w:val="es-ES" w:eastAsia="es-ES"/>
        </w:rPr>
        <w:t>Amount</w:t>
      </w:r>
      <w:proofErr w:type="spellEnd"/>
      <w:r w:rsidRPr="00AC423B">
        <w:rPr>
          <w:rFonts w:ascii="Arial Narrow" w:eastAsia="Calibri" w:hAnsi="Arial Narrow" w:cs="Arial"/>
          <w:lang w:val="es-ES" w:eastAsia="es-ES"/>
        </w:rPr>
        <w:t>) de acuerdo con su forma de cálculo. El pago de los cupones fijos o variables de las Operaciones registradas será el resultado de sumar los cupones a recibir y restar los cupones a pagar con la misma fecha de pago</w:t>
      </w:r>
      <w:r w:rsidRPr="00AC423B">
        <w:rPr>
          <w:rFonts w:ascii="Arial Narrow" w:hAnsi="Arial Narrow" w:cs="Arial Narrow"/>
        </w:rPr>
        <w:t>.</w:t>
      </w:r>
    </w:p>
    <w:p w14:paraId="7EEA2903" w14:textId="77777777" w:rsidR="007968EC" w:rsidRPr="00AC423B" w:rsidRDefault="007968EC" w:rsidP="007968EC">
      <w:pPr>
        <w:jc w:val="both"/>
        <w:rPr>
          <w:rFonts w:ascii="Arial Narrow" w:eastAsia="Calibri" w:hAnsi="Arial Narrow" w:cs="Arial"/>
          <w:b/>
          <w:lang w:val="es-ES" w:eastAsia="es-ES"/>
        </w:rPr>
      </w:pPr>
    </w:p>
    <w:p w14:paraId="78344CFA"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DCV: </w:t>
      </w:r>
      <w:r w:rsidRPr="00AC423B">
        <w:rPr>
          <w:rFonts w:ascii="Arial Narrow" w:eastAsia="Calibri" w:hAnsi="Arial Narrow" w:cs="Arial"/>
          <w:lang w:val="es-ES" w:eastAsia="es-ES"/>
        </w:rPr>
        <w:t xml:space="preserve">Depósito Central de Valores del Banco de la República. Sistema diseñado para el depósito, custodia y administración de títulos valores en forma de registros electrónicos (desmaterializados), de acuerdo con lo previsto en los artículos 21 de la Ley 31 de 1992 y 22 del Decreto 2520 de 1993, según los cuales el Banco de la República puede administrar un depósito de valores con el objeto de recibir en depósito y administración </w:t>
      </w:r>
      <w:r w:rsidRPr="00AC423B">
        <w:rPr>
          <w:rFonts w:ascii="Arial Narrow" w:eastAsia="Calibri" w:hAnsi="Arial Narrow" w:cs="Arial"/>
          <w:lang w:val="es-ES" w:eastAsia="es-ES"/>
        </w:rPr>
        <w:lastRenderedPageBreak/>
        <w:t>los títulos que emita, garantice o administre el propio Banco y los valores que constituyan inversiones forzosas o sustitutivas, excepto acciones, a cargo de las entidades sometidas a la inspección y vigilancia de la Superintendencia Financiera de Colombia.</w:t>
      </w:r>
    </w:p>
    <w:p w14:paraId="0979FA73" w14:textId="77777777" w:rsidR="007968EC" w:rsidRPr="00AC423B" w:rsidRDefault="007968EC" w:rsidP="007968EC">
      <w:pPr>
        <w:jc w:val="both"/>
        <w:rPr>
          <w:rFonts w:ascii="Arial Narrow" w:eastAsia="Calibri" w:hAnsi="Arial Narrow" w:cs="Arial"/>
          <w:b/>
          <w:lang w:val="es-ES" w:eastAsia="es-ES"/>
        </w:rPr>
      </w:pPr>
    </w:p>
    <w:p w14:paraId="2789C959"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Deceval o DECEVAL: </w:t>
      </w:r>
      <w:r w:rsidRPr="00AC423B">
        <w:rPr>
          <w:rFonts w:ascii="Arial Narrow" w:eastAsia="Calibri" w:hAnsi="Arial Narrow" w:cs="Arial"/>
          <w:lang w:val="es-ES" w:eastAsia="es-ES"/>
        </w:rPr>
        <w:t>Depósito Centralizado de Valores de Colombia Deceval S.A., institución especializada que tiene como función recibir en depósito valores para su custodia, administración, compensación y liquidación mediante el sistema de registros contables automatizados denominados anotación en cuenta.</w:t>
      </w:r>
    </w:p>
    <w:p w14:paraId="6BFE1E51" w14:textId="77777777" w:rsidR="007968EC" w:rsidRPr="00AC423B" w:rsidRDefault="007968EC" w:rsidP="007968EC">
      <w:pPr>
        <w:autoSpaceDE w:val="0"/>
        <w:autoSpaceDN w:val="0"/>
        <w:adjustRightInd w:val="0"/>
        <w:jc w:val="both"/>
        <w:rPr>
          <w:rFonts w:ascii="Arial Narrow" w:eastAsia="Calibri" w:hAnsi="Arial Narrow"/>
          <w:b/>
          <w:color w:val="000000"/>
          <w:lang w:val="es-ES" w:eastAsia="es-ES"/>
        </w:rPr>
      </w:pPr>
    </w:p>
    <w:p w14:paraId="0EDDF21B" w14:textId="77777777" w:rsidR="007968EC" w:rsidRPr="00AC423B" w:rsidRDefault="007968EC" w:rsidP="007968EC">
      <w:pPr>
        <w:autoSpaceDE w:val="0"/>
        <w:autoSpaceDN w:val="0"/>
        <w:adjustRightInd w:val="0"/>
        <w:jc w:val="both"/>
        <w:rPr>
          <w:rFonts w:ascii="Arial Narrow" w:hAnsi="Arial Narrow" w:cs="Arial"/>
          <w:color w:val="000000"/>
          <w:lang w:val="es-ES" w:eastAsia="es-ES"/>
        </w:rPr>
      </w:pPr>
      <w:r w:rsidRPr="00AC423B">
        <w:rPr>
          <w:rFonts w:ascii="Arial Narrow" w:eastAsia="Calibri" w:hAnsi="Arial Narrow"/>
          <w:b/>
          <w:color w:val="000000"/>
          <w:lang w:val="es-ES" w:eastAsia="es-ES"/>
        </w:rPr>
        <w:t>Delta de una Opción:</w:t>
      </w:r>
      <w:r w:rsidRPr="00AC423B">
        <w:rPr>
          <w:rFonts w:ascii="Arial Narrow" w:hAnsi="Arial Narrow" w:cs="Arial"/>
          <w:color w:val="000000"/>
          <w:lang w:val="es-ES" w:eastAsia="es-ES"/>
        </w:rPr>
        <w:t xml:space="preserve"> Mide la sensibilidad del precio de la Opción a los cambios en el precio del Activo subyacente. </w:t>
      </w:r>
    </w:p>
    <w:p w14:paraId="739D9FD7" w14:textId="77777777" w:rsidR="007968EC" w:rsidRPr="00AC423B" w:rsidRDefault="007968EC" w:rsidP="007968EC">
      <w:pPr>
        <w:jc w:val="both"/>
        <w:rPr>
          <w:rFonts w:ascii="Arial Narrow" w:eastAsia="Calibri" w:hAnsi="Arial Narrow" w:cs="Arial"/>
          <w:b/>
          <w:lang w:val="es-ES" w:eastAsia="es-ES"/>
        </w:rPr>
      </w:pPr>
    </w:p>
    <w:p w14:paraId="0109F77E"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Derivex S.A. o Derivex: </w:t>
      </w:r>
      <w:r w:rsidRPr="00AC423B">
        <w:rPr>
          <w:rFonts w:ascii="Arial Narrow" w:eastAsia="Calibri" w:hAnsi="Arial Narrow" w:cs="Arial"/>
          <w:lang w:val="es-ES" w:eastAsia="es-ES"/>
        </w:rPr>
        <w:t>Se refiere a la sociedad administradora del sistema de negociación y registro de operaciones sobre instrumentos financieros derivados que tengan la calidad de valor en los términos de los parágrafos 3 y 4 del artículo 2 de la Ley 964 de 2005, cuyo subyacente sea energía eléctrica, gas combustible y otros commodities energéticos.</w:t>
      </w:r>
    </w:p>
    <w:p w14:paraId="76683DF7" w14:textId="77777777" w:rsidR="007968EC" w:rsidRPr="00AC423B" w:rsidRDefault="007968EC" w:rsidP="007968EC">
      <w:pPr>
        <w:jc w:val="both"/>
        <w:rPr>
          <w:rFonts w:ascii="Arial Narrow" w:eastAsia="Calibri" w:hAnsi="Arial Narrow" w:cs="Arial"/>
          <w:b/>
          <w:lang w:val="es-ES" w:eastAsia="es-ES"/>
        </w:rPr>
      </w:pPr>
    </w:p>
    <w:p w14:paraId="181E187B"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Especie: </w:t>
      </w:r>
      <w:r w:rsidRPr="00AC423B">
        <w:rPr>
          <w:rFonts w:ascii="Arial Narrow" w:eastAsia="Calibri" w:hAnsi="Arial Narrow" w:cs="Arial"/>
          <w:lang w:val="es-ES" w:eastAsia="es-ES"/>
        </w:rPr>
        <w:t>Denominación de mayor nivel de detalle sobre un Instrumento o una Garantía.</w:t>
      </w:r>
      <w:r w:rsidRPr="00AC423B">
        <w:rPr>
          <w:rFonts w:ascii="Arial Narrow" w:eastAsia="Calibri" w:hAnsi="Arial Narrow" w:cs="Arial"/>
          <w:b/>
          <w:lang w:val="es-ES" w:eastAsia="es-ES"/>
        </w:rPr>
        <w:t xml:space="preserve"> </w:t>
      </w:r>
    </w:p>
    <w:p w14:paraId="559DED57" w14:textId="77777777" w:rsidR="007968EC" w:rsidRPr="00AC423B" w:rsidRDefault="007968EC" w:rsidP="007968EC">
      <w:pPr>
        <w:jc w:val="both"/>
        <w:rPr>
          <w:rFonts w:ascii="Arial Narrow" w:eastAsia="Calibri" w:hAnsi="Arial Narrow"/>
          <w:b/>
          <w:lang w:val="es-ES"/>
        </w:rPr>
      </w:pPr>
    </w:p>
    <w:p w14:paraId="26A70776" w14:textId="77777777" w:rsidR="007968EC" w:rsidRPr="00AC423B" w:rsidRDefault="007968EC" w:rsidP="007968EC">
      <w:pPr>
        <w:jc w:val="both"/>
        <w:rPr>
          <w:rFonts w:ascii="Arial Narrow" w:hAnsi="Arial Narrow" w:cs="Arial"/>
          <w:lang w:val="es-ES" w:eastAsia="es-ES"/>
        </w:rPr>
      </w:pPr>
      <w:r w:rsidRPr="00AC423B">
        <w:rPr>
          <w:rFonts w:ascii="Arial Narrow" w:hAnsi="Arial Narrow" w:cs="Arial"/>
          <w:b/>
          <w:lang w:val="es-ES" w:eastAsia="es-ES"/>
        </w:rPr>
        <w:t xml:space="preserve">Eventos Corporativos: </w:t>
      </w:r>
      <w:r w:rsidRPr="00AC423B">
        <w:rPr>
          <w:rFonts w:ascii="Arial Narrow" w:hAnsi="Arial Narrow" w:cs="Arial"/>
          <w:lang w:val="es-ES" w:eastAsia="es-ES"/>
        </w:rPr>
        <w:t>Actuación realizada por o en relación con el emisor de Activos que afecte dichos Activos.</w:t>
      </w:r>
    </w:p>
    <w:p w14:paraId="70D60013" w14:textId="77777777" w:rsidR="007968EC" w:rsidRPr="00AC423B" w:rsidRDefault="007968EC" w:rsidP="007968EC">
      <w:pPr>
        <w:jc w:val="both"/>
        <w:rPr>
          <w:rFonts w:ascii="Arial Narrow" w:eastAsia="Calibri" w:hAnsi="Arial Narrow" w:cs="Arial"/>
          <w:b/>
          <w:lang w:val="es-ES" w:eastAsia="es-ES"/>
        </w:rPr>
      </w:pPr>
    </w:p>
    <w:p w14:paraId="5CCDBA4F"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Fluctuación: </w:t>
      </w:r>
      <w:r w:rsidRPr="00AC423B">
        <w:rPr>
          <w:rFonts w:ascii="Arial Narrow" w:eastAsia="Calibri" w:hAnsi="Arial Narrow" w:cs="Arial"/>
          <w:lang w:val="es-ES" w:eastAsia="es-ES"/>
        </w:rPr>
        <w:t>Variación en el precio de los Activos que acepta la Cámara, respecto de la cual se cubre la entidad.</w:t>
      </w:r>
      <w:r w:rsidRPr="00AC423B">
        <w:rPr>
          <w:rFonts w:ascii="Arial Narrow" w:eastAsia="Calibri" w:hAnsi="Arial Narrow" w:cs="Arial"/>
          <w:b/>
          <w:lang w:val="es-ES" w:eastAsia="es-ES"/>
        </w:rPr>
        <w:t xml:space="preserve"> </w:t>
      </w:r>
    </w:p>
    <w:p w14:paraId="5B7147A2" w14:textId="77777777" w:rsidR="007968EC" w:rsidRPr="00AC423B" w:rsidRDefault="007968EC" w:rsidP="007968EC">
      <w:pPr>
        <w:jc w:val="both"/>
        <w:rPr>
          <w:rFonts w:ascii="Arial Narrow" w:eastAsia="Calibri" w:hAnsi="Arial Narrow" w:cs="Arial"/>
          <w:b/>
          <w:lang w:val="es-ES" w:eastAsia="es-ES"/>
        </w:rPr>
      </w:pPr>
    </w:p>
    <w:p w14:paraId="23D5F103" w14:textId="77777777" w:rsidR="007968EC" w:rsidRPr="00AC423B" w:rsidRDefault="007968EC" w:rsidP="007968EC">
      <w:pPr>
        <w:jc w:val="both"/>
        <w:rPr>
          <w:rFonts w:ascii="Arial Narrow" w:eastAsia="Calibri" w:hAnsi="Arial Narrow" w:cs="Arial"/>
          <w:lang w:eastAsia="es-ES"/>
        </w:rPr>
      </w:pPr>
      <w:r w:rsidRPr="00AC423B">
        <w:rPr>
          <w:rFonts w:ascii="Arial Narrow" w:eastAsia="Calibri" w:hAnsi="Arial Narrow" w:cs="Arial"/>
          <w:b/>
          <w:lang w:eastAsia="es-ES"/>
        </w:rPr>
        <w:t xml:space="preserve">Fondos de Garantía Colectiva: </w:t>
      </w:r>
      <w:r w:rsidRPr="00AC423B">
        <w:rPr>
          <w:rFonts w:ascii="Arial Narrow" w:eastAsia="Calibri" w:hAnsi="Arial Narrow" w:cs="Arial"/>
          <w:lang w:eastAsia="es-ES"/>
        </w:rPr>
        <w:t>Garantía constituida mediante aportaciones solidarias de los Miembros Liquidadores que tiene como finalidad cubrir los eventuales saldos deudores que pudieran derivarse del incumplimiento de un Miembro Liquidador y que no estén cubiertos por las Garantías por Posición, Garantías Extraordinarias, Garantías Individuales y las aportaciones a los Fondos de Garantía Colectiva del Miembro Liquidador Incumplido, así como los Recursos Propios Específicos de la Cámara.</w:t>
      </w:r>
    </w:p>
    <w:p w14:paraId="618BCDCA" w14:textId="77777777" w:rsidR="007968EC" w:rsidRPr="00AC423B" w:rsidRDefault="007968EC" w:rsidP="007968EC">
      <w:pPr>
        <w:jc w:val="both"/>
        <w:rPr>
          <w:rFonts w:ascii="Arial Narrow" w:eastAsia="Calibri" w:hAnsi="Arial Narrow" w:cs="Arial"/>
          <w:b/>
          <w:lang w:eastAsia="es-ES"/>
        </w:rPr>
      </w:pPr>
    </w:p>
    <w:p w14:paraId="4B62A615"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Forward: </w:t>
      </w:r>
      <w:r w:rsidRPr="00AC423B">
        <w:rPr>
          <w:rFonts w:ascii="Arial Narrow" w:eastAsia="Calibri" w:hAnsi="Arial Narrow" w:cs="Arial"/>
          <w:lang w:val="es-ES" w:eastAsia="es-ES"/>
        </w:rPr>
        <w:t>De acuerdo con lo dispuesto en el numeral 5.1.1. del Capítulo XVIII de la Circular Externa 100 de 1995 de la Superintendencia Financiera de Colombia un ‘forward’ es un derivado formalizado mediante un contrato entre dos (2) partes, hecho a la medida de sus necesidades, para comprar/vender una cantidad específica de un determinado subyacente en una fecha futura, fijando en la fecha de celebración las condiciones básicas del instrumento financiero derivado. La liquidación del instrumento en la fecha de cumplimiento puede producirse por entrega física del subyacente o por liquidación de diferencias, dependiendo del Activo Subyacente y de la modalidad de entrega pactada.</w:t>
      </w:r>
    </w:p>
    <w:p w14:paraId="228A5C75" w14:textId="77777777" w:rsidR="007968EC" w:rsidRPr="00AC423B" w:rsidRDefault="007968EC" w:rsidP="007968EC">
      <w:pPr>
        <w:jc w:val="both"/>
        <w:rPr>
          <w:rFonts w:ascii="Arial Narrow" w:eastAsia="Calibri" w:hAnsi="Arial Narrow" w:cs="Arial"/>
          <w:b/>
          <w:lang w:val="es-ES" w:eastAsia="es-ES"/>
        </w:rPr>
      </w:pPr>
    </w:p>
    <w:p w14:paraId="3109AC67"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Futuro: </w:t>
      </w:r>
      <w:r w:rsidRPr="00AC423B">
        <w:rPr>
          <w:rFonts w:ascii="Arial Narrow" w:eastAsia="Calibri" w:hAnsi="Arial Narrow" w:cs="Arial"/>
          <w:lang w:val="es-ES" w:eastAsia="es-ES"/>
        </w:rPr>
        <w:t>Contrato de Futuro.</w:t>
      </w:r>
    </w:p>
    <w:p w14:paraId="5B27B239" w14:textId="77777777" w:rsidR="007968EC" w:rsidRPr="00AC423B" w:rsidRDefault="007968EC" w:rsidP="007968EC">
      <w:pPr>
        <w:jc w:val="both"/>
        <w:rPr>
          <w:rFonts w:ascii="Arial Narrow" w:eastAsia="Calibri" w:hAnsi="Arial Narrow" w:cs="Arial"/>
          <w:b/>
          <w:lang w:val="es-ES" w:eastAsia="es-ES"/>
        </w:rPr>
      </w:pPr>
    </w:p>
    <w:p w14:paraId="1CED2780"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Garantías: </w:t>
      </w:r>
      <w:r w:rsidRPr="00AC423B">
        <w:rPr>
          <w:rFonts w:ascii="Arial Narrow" w:eastAsia="Calibri" w:hAnsi="Arial Narrow" w:cs="Arial"/>
          <w:lang w:val="es-ES" w:eastAsia="es-ES"/>
        </w:rPr>
        <w:t>Garantías constituidas a favor de la Cámara por los titulares de cada Cuenta, o por cuenta de éstos, sean propias o de un Tercero, a través de los Miembros y que están afectas al cumplimiento de las Operaciones Susceptibles de ser Aceptadas y Operaciones Aceptadas.</w:t>
      </w:r>
    </w:p>
    <w:p w14:paraId="51111777" w14:textId="77777777" w:rsidR="007968EC" w:rsidRPr="00AC423B" w:rsidRDefault="007968EC" w:rsidP="007968EC">
      <w:pPr>
        <w:jc w:val="both"/>
        <w:rPr>
          <w:rFonts w:ascii="Arial Narrow" w:eastAsia="Calibri" w:hAnsi="Arial Narrow" w:cs="Arial"/>
          <w:b/>
          <w:lang w:val="es-ES" w:eastAsia="es-ES"/>
        </w:rPr>
      </w:pPr>
    </w:p>
    <w:p w14:paraId="17BE1264" w14:textId="77777777" w:rsidR="007968EC" w:rsidRPr="00AC423B" w:rsidRDefault="007968EC" w:rsidP="007968EC">
      <w:pPr>
        <w:jc w:val="both"/>
        <w:rPr>
          <w:rFonts w:ascii="Arial Narrow" w:eastAsia="Calibri" w:hAnsi="Arial Narrow" w:cs="Arial"/>
          <w:b/>
          <w:lang w:val="es-ES" w:eastAsia="es-ES"/>
        </w:rPr>
      </w:pPr>
      <w:bookmarkStart w:id="96" w:name="_Toc470774432"/>
      <w:bookmarkStart w:id="97" w:name="_Toc470775325"/>
      <w:bookmarkStart w:id="98" w:name="_Toc470779611"/>
      <w:bookmarkStart w:id="99" w:name="_Toc470780228"/>
      <w:bookmarkStart w:id="100" w:name="_Toc470780741"/>
      <w:bookmarkStart w:id="101" w:name="_Toc470784302"/>
      <w:bookmarkStart w:id="102" w:name="_Toc470784839"/>
      <w:bookmarkStart w:id="103" w:name="_Toc470786324"/>
      <w:bookmarkStart w:id="104" w:name="_Toc470786862"/>
      <w:bookmarkStart w:id="105" w:name="_Toc470791215"/>
      <w:bookmarkStart w:id="106" w:name="_Toc471831424"/>
      <w:bookmarkStart w:id="107" w:name="_Toc490066116"/>
      <w:bookmarkStart w:id="108" w:name="_Toc490076503"/>
      <w:bookmarkStart w:id="109" w:name="_Toc490078893"/>
      <w:r w:rsidRPr="00AC423B">
        <w:rPr>
          <w:rFonts w:ascii="Arial Narrow" w:eastAsia="Calibri" w:hAnsi="Arial Narrow" w:cs="Arial"/>
          <w:b/>
          <w:lang w:val="es-ES" w:eastAsia="es-ES"/>
        </w:rPr>
        <w:t xml:space="preserve">Garantía Individual: </w:t>
      </w:r>
      <w:r w:rsidRPr="00AC423B">
        <w:rPr>
          <w:rFonts w:ascii="Arial Narrow" w:eastAsia="Calibri" w:hAnsi="Arial Narrow" w:cs="Arial"/>
          <w:lang w:val="es-ES" w:eastAsia="es-ES"/>
        </w:rPr>
        <w:t>Garantía Ordinaria que tiene como finalidad cubrir el riesgo de la Cámara en relación con los Miembros Liquidadores. La metodología de cálculo y montos de la Garantía Individual serán establecidos mediante la presente Circular.</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Pr="00AC423B">
        <w:rPr>
          <w:rFonts w:ascii="Arial Narrow" w:eastAsia="Calibri" w:hAnsi="Arial Narrow" w:cs="Arial"/>
          <w:b/>
          <w:lang w:val="es-ES" w:eastAsia="es-ES"/>
        </w:rPr>
        <w:t xml:space="preserve"> </w:t>
      </w:r>
      <w:bookmarkStart w:id="110" w:name="_Toc470774433"/>
      <w:bookmarkStart w:id="111" w:name="_Toc470775326"/>
      <w:bookmarkStart w:id="112" w:name="_Toc470779612"/>
      <w:bookmarkStart w:id="113" w:name="_Toc470780229"/>
      <w:bookmarkStart w:id="114" w:name="_Toc470780742"/>
      <w:bookmarkStart w:id="115" w:name="_Toc470784303"/>
      <w:bookmarkStart w:id="116" w:name="_Toc470784840"/>
      <w:bookmarkStart w:id="117" w:name="_Toc470786325"/>
      <w:bookmarkStart w:id="118" w:name="_Toc470786863"/>
      <w:bookmarkStart w:id="119" w:name="_Toc470791216"/>
      <w:bookmarkStart w:id="120" w:name="_Toc471831425"/>
      <w:bookmarkStart w:id="121" w:name="_Toc490066117"/>
      <w:bookmarkStart w:id="122" w:name="_Toc490076504"/>
      <w:bookmarkStart w:id="123" w:name="_Toc490078894"/>
    </w:p>
    <w:p w14:paraId="71D437DA" w14:textId="77777777" w:rsidR="007968EC" w:rsidRPr="00AC423B" w:rsidRDefault="007968EC" w:rsidP="007968EC">
      <w:pPr>
        <w:jc w:val="both"/>
        <w:rPr>
          <w:rFonts w:ascii="Arial Narrow" w:eastAsia="Calibri" w:hAnsi="Arial Narrow" w:cs="Arial"/>
          <w:b/>
          <w:lang w:val="es-ES" w:eastAsia="es-ES"/>
        </w:rPr>
      </w:pPr>
    </w:p>
    <w:p w14:paraId="756FA8DE" w14:textId="77777777" w:rsidR="007968EC" w:rsidRPr="00AC423B" w:rsidRDefault="007968EC" w:rsidP="007968EC">
      <w:pPr>
        <w:jc w:val="both"/>
        <w:rPr>
          <w:rFonts w:ascii="Arial Narrow" w:eastAsia="Calibri" w:hAnsi="Arial Narrow" w:cs="Arial"/>
          <w:b/>
          <w:lang w:val="es-ES" w:eastAsia="es-ES"/>
        </w:rPr>
      </w:pPr>
      <w:r w:rsidRPr="00AC423B">
        <w:rPr>
          <w:rFonts w:ascii="Arial Narrow" w:hAnsi="Arial Narrow" w:cs="Arial"/>
          <w:b/>
          <w:lang w:eastAsia="es-ES"/>
        </w:rPr>
        <w:t>Garantía por Posición:</w:t>
      </w:r>
      <w:r w:rsidRPr="00AC423B">
        <w:rPr>
          <w:rFonts w:ascii="Arial Narrow" w:hAnsi="Arial Narrow" w:cs="Arial"/>
          <w:lang w:eastAsia="es-ES"/>
        </w:rPr>
        <w:t xml:space="preserve"> Garantía Ordinaria que tiene como finalidad cubrir el riesgo de la Posición Abierta de cada Cuenta por cada Segmento. La Cámara calculará y exigirá la Garantía por Posición en los términos y condiciones establecidos en la presente Circular.</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AC423B">
        <w:rPr>
          <w:rFonts w:ascii="Arial Narrow" w:hAnsi="Arial Narrow" w:cs="Arial"/>
          <w:lang w:eastAsia="es-ES"/>
        </w:rPr>
        <w:t xml:space="preserve"> </w:t>
      </w:r>
    </w:p>
    <w:p w14:paraId="57AE4475" w14:textId="77777777" w:rsidR="007968EC" w:rsidRPr="00AC423B" w:rsidRDefault="007968EC" w:rsidP="007968EC">
      <w:pPr>
        <w:jc w:val="both"/>
        <w:rPr>
          <w:rFonts w:ascii="Arial Narrow" w:eastAsia="Calibri" w:hAnsi="Arial Narrow"/>
          <w:b/>
          <w:color w:val="000000" w:themeColor="text1"/>
        </w:rPr>
      </w:pPr>
    </w:p>
    <w:p w14:paraId="5385276D" w14:textId="77777777" w:rsidR="007968EC" w:rsidRPr="00AC423B" w:rsidRDefault="007968EC" w:rsidP="007968EC">
      <w:pPr>
        <w:autoSpaceDE w:val="0"/>
        <w:autoSpaceDN w:val="0"/>
        <w:adjustRightInd w:val="0"/>
        <w:jc w:val="both"/>
        <w:rPr>
          <w:rFonts w:ascii="Arial Narrow" w:eastAsia="Calibri" w:hAnsi="Arial Narrow"/>
          <w:color w:val="000000" w:themeColor="text1"/>
        </w:rPr>
      </w:pPr>
      <w:bookmarkStart w:id="124" w:name="_Hlk513217718"/>
      <w:r w:rsidRPr="00AC423B">
        <w:rPr>
          <w:rFonts w:ascii="Arial Narrow" w:eastAsia="Calibri" w:hAnsi="Arial Narrow"/>
          <w:b/>
          <w:color w:val="000000" w:themeColor="text1"/>
        </w:rPr>
        <w:t>Garantía por Posición Inicial o Garantía Inicial (Initial Margin):</w:t>
      </w:r>
      <w:r w:rsidRPr="00AC423B">
        <w:rPr>
          <w:rFonts w:ascii="Arial Narrow" w:eastAsia="Calibri" w:hAnsi="Arial Narrow"/>
          <w:color w:val="000000" w:themeColor="text1"/>
        </w:rPr>
        <w:t xml:space="preserve"> En relación con el Segmento Swaps</w:t>
      </w:r>
      <w:r w:rsidRPr="00AC423B">
        <w:rPr>
          <w:rFonts w:ascii="Arial Narrow" w:hAnsi="Arial Narrow" w:cs="Arial"/>
          <w:lang w:eastAsia="es-ES"/>
        </w:rPr>
        <w:t>, Garantía por Posición que tiene como finalidad cubrir el riesgo de la Posición Abierta de cada Cuenta. La Garantía por Posición Inicial se calculará diariamente a nivel de Cuenta utilizando un modelo de escenarios que cubra exposiciones potenciales que la Cámara considere pueden producirse hasta la liquidación de las Posiciones. La Cámara calculará y exigirá la Garantía por Posición Inicial en los términos y condiciones establecidos en la presente Circular.</w:t>
      </w:r>
      <w:bookmarkEnd w:id="124"/>
    </w:p>
    <w:p w14:paraId="36466228" w14:textId="77777777" w:rsidR="007968EC" w:rsidRPr="00AC423B" w:rsidRDefault="007968EC" w:rsidP="007968EC">
      <w:pPr>
        <w:jc w:val="both"/>
        <w:rPr>
          <w:rFonts w:ascii="Arial Narrow" w:eastAsia="Calibri" w:hAnsi="Arial Narrow"/>
          <w:b/>
          <w:color w:val="000000" w:themeColor="text1"/>
        </w:rPr>
      </w:pPr>
    </w:p>
    <w:p w14:paraId="45305F0A"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b/>
          <w:color w:val="000000" w:themeColor="text1"/>
        </w:rPr>
        <w:t>Garantía por Posición Variable o Garantía Variable (Variation Margin):</w:t>
      </w:r>
      <w:r w:rsidRPr="00AC423B">
        <w:rPr>
          <w:rFonts w:ascii="Arial Narrow" w:eastAsia="Calibri" w:hAnsi="Arial Narrow"/>
          <w:color w:val="000000" w:themeColor="text1"/>
        </w:rPr>
        <w:t xml:space="preserve"> En relación con el Segmento Swaps, Garantía por Posición en efectivo necesaria para cubrir el riesgo asociado a la variación diaria del Valor Presente Neto (NPV) que un Miembro Liquidador debe transferir a la Cámara o la Cámara al Miembro Liquidador, calculada en los términos y condiciones establecidos en la presente Circular.</w:t>
      </w:r>
    </w:p>
    <w:p w14:paraId="6BBAD98C" w14:textId="77777777" w:rsidR="007968EC" w:rsidRPr="00AC423B" w:rsidRDefault="007968EC" w:rsidP="007968EC">
      <w:pPr>
        <w:jc w:val="both"/>
        <w:rPr>
          <w:rFonts w:ascii="Arial Narrow" w:eastAsia="Calibri" w:hAnsi="Arial Narrow" w:cs="Arial"/>
          <w:b/>
          <w:lang w:val="es-ES" w:eastAsia="es-ES"/>
        </w:rPr>
      </w:pPr>
      <w:bookmarkStart w:id="125" w:name="_Toc470774434"/>
      <w:bookmarkStart w:id="126" w:name="_Toc470775327"/>
      <w:bookmarkStart w:id="127" w:name="_Toc470779613"/>
      <w:bookmarkStart w:id="128" w:name="_Toc470780230"/>
      <w:bookmarkStart w:id="129" w:name="_Toc470780743"/>
      <w:bookmarkStart w:id="130" w:name="_Toc470784304"/>
      <w:bookmarkStart w:id="131" w:name="_Toc470784841"/>
      <w:bookmarkStart w:id="132" w:name="_Toc470786326"/>
      <w:bookmarkStart w:id="133" w:name="_Toc470786864"/>
      <w:bookmarkStart w:id="134" w:name="_Toc470791217"/>
      <w:bookmarkStart w:id="135" w:name="_Toc471831426"/>
      <w:bookmarkStart w:id="136" w:name="_Toc490066118"/>
      <w:bookmarkStart w:id="137" w:name="_Toc490076505"/>
      <w:bookmarkStart w:id="138" w:name="_Toc490078895"/>
    </w:p>
    <w:p w14:paraId="7A38C4AB" w14:textId="77777777" w:rsidR="007968EC" w:rsidRPr="00AC423B" w:rsidRDefault="007968EC" w:rsidP="007968EC">
      <w:pPr>
        <w:jc w:val="both"/>
        <w:rPr>
          <w:rFonts w:ascii="Arial Narrow" w:eastAsia="Calibri" w:hAnsi="Arial Narrow" w:cs="Arial"/>
          <w:lang w:val="es-ES" w:eastAsia="es-ES"/>
        </w:rPr>
      </w:pPr>
      <w:r w:rsidRPr="00AC423B">
        <w:rPr>
          <w:rFonts w:ascii="Arial Narrow" w:eastAsia="Calibri" w:hAnsi="Arial Narrow" w:cs="Arial"/>
          <w:b/>
          <w:lang w:val="es-ES" w:eastAsia="es-ES"/>
        </w:rPr>
        <w:t xml:space="preserve">Garantía por Posición (Previa): </w:t>
      </w:r>
      <w:r w:rsidRPr="00AC423B">
        <w:rPr>
          <w:rFonts w:ascii="Arial Narrow" w:eastAsia="Calibri" w:hAnsi="Arial Narrow" w:cs="Arial"/>
          <w:lang w:val="es-ES" w:eastAsia="es-ES"/>
        </w:rPr>
        <w:t>Garantía adicional a la Garantía por Posición afecta al cumplimiento de las Operaciones Simultáneas y exigida a los Miembros previo al inicio de la Sesión de Aceptación de Operaciones.</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6EDDDB37" w14:textId="77777777" w:rsidR="007968EC" w:rsidRPr="00AC423B" w:rsidRDefault="007968EC" w:rsidP="007968EC">
      <w:pPr>
        <w:jc w:val="both"/>
        <w:rPr>
          <w:rFonts w:ascii="Arial Narrow" w:eastAsia="Calibri" w:hAnsi="Arial Narrow" w:cs="Arial"/>
          <w:b/>
          <w:lang w:eastAsia="es-ES"/>
        </w:rPr>
      </w:pPr>
    </w:p>
    <w:p w14:paraId="502FBA00" w14:textId="77777777" w:rsidR="007968EC" w:rsidRPr="00AC423B" w:rsidRDefault="007968EC" w:rsidP="007968EC">
      <w:pPr>
        <w:jc w:val="both"/>
        <w:rPr>
          <w:rFonts w:ascii="Arial Narrow" w:eastAsia="Calibri" w:hAnsi="Arial Narrow" w:cs="Arial"/>
          <w:lang w:val="es-ES" w:eastAsia="es-ES"/>
        </w:rPr>
      </w:pPr>
      <w:r w:rsidRPr="00AC423B">
        <w:rPr>
          <w:rFonts w:ascii="Arial Narrow" w:eastAsia="Calibri" w:hAnsi="Arial Narrow" w:cs="Arial"/>
          <w:b/>
          <w:lang w:val="es-ES" w:eastAsia="es-ES"/>
        </w:rPr>
        <w:t xml:space="preserve">Garantía de Obligación Latente de Entrega (GOLE): </w:t>
      </w:r>
      <w:r w:rsidRPr="00AC423B">
        <w:rPr>
          <w:rFonts w:ascii="Arial Narrow" w:eastAsia="Calibri" w:hAnsi="Arial Narrow" w:cs="Arial"/>
          <w:lang w:val="es-ES" w:eastAsia="es-ES"/>
        </w:rPr>
        <w:t>Son aquellas Garantías Extraordinarias calculadas por la Cámara que se requerirán a los Miembros Liquidadores con Posiciones Abiertas de venta con riesgo de Incumplimiento en la Liquidación por Entrega, exigibles a partir del exceso del LOLE.</w:t>
      </w:r>
    </w:p>
    <w:p w14:paraId="51FF76ED" w14:textId="77777777" w:rsidR="007968EC" w:rsidRPr="00AC423B" w:rsidRDefault="007968EC" w:rsidP="007968EC">
      <w:pPr>
        <w:jc w:val="both"/>
        <w:rPr>
          <w:rFonts w:ascii="Arial Narrow" w:eastAsia="Calibri" w:hAnsi="Arial Narrow" w:cs="Arial"/>
          <w:b/>
          <w:lang w:val="es-ES" w:eastAsia="es-ES"/>
        </w:rPr>
      </w:pPr>
    </w:p>
    <w:p w14:paraId="508255A3" w14:textId="77777777" w:rsidR="007968EC" w:rsidRPr="00AC423B" w:rsidRDefault="007968EC" w:rsidP="007968EC">
      <w:pPr>
        <w:jc w:val="both"/>
        <w:rPr>
          <w:rFonts w:ascii="Arial Narrow" w:eastAsia="Calibri" w:hAnsi="Arial Narrow" w:cs="Arial"/>
          <w:lang w:val="es-ES" w:eastAsia="es-ES"/>
        </w:rPr>
      </w:pPr>
      <w:r w:rsidRPr="00AC423B">
        <w:rPr>
          <w:rFonts w:ascii="Arial Narrow" w:eastAsia="Calibri" w:hAnsi="Arial Narrow" w:cs="Arial"/>
          <w:lang w:val="es-ES" w:eastAsia="es-ES"/>
        </w:rPr>
        <w:t>Las garantías GOLE deberán constituirse en el Activo Subyacente del contrato de que se trate.</w:t>
      </w:r>
    </w:p>
    <w:p w14:paraId="331C2B80" w14:textId="77777777" w:rsidR="007968EC" w:rsidRPr="00AC423B" w:rsidRDefault="007968EC" w:rsidP="007968EC">
      <w:pPr>
        <w:jc w:val="both"/>
        <w:rPr>
          <w:rFonts w:ascii="Arial Narrow" w:eastAsia="Calibri" w:hAnsi="Arial Narrow" w:cs="Arial"/>
          <w:b/>
          <w:lang w:val="es-ES" w:eastAsia="es-ES"/>
        </w:rPr>
      </w:pPr>
    </w:p>
    <w:p w14:paraId="5ABDACCF" w14:textId="77777777" w:rsidR="007968EC" w:rsidRPr="00AC423B" w:rsidRDefault="007968EC" w:rsidP="007968EC">
      <w:pPr>
        <w:jc w:val="both"/>
        <w:rPr>
          <w:rFonts w:ascii="Arial Narrow" w:eastAsia="Calibri" w:hAnsi="Arial Narrow" w:cs="Arial"/>
          <w:lang w:val="es-ES" w:eastAsia="es-ES"/>
        </w:rPr>
      </w:pPr>
      <w:r w:rsidRPr="00AC423B">
        <w:rPr>
          <w:rFonts w:ascii="Arial Narrow" w:eastAsia="Calibri" w:hAnsi="Arial Narrow" w:cs="Arial"/>
          <w:b/>
          <w:lang w:val="es-ES" w:eastAsia="es-ES"/>
        </w:rPr>
        <w:t xml:space="preserve">Garantía Extraordinaria: </w:t>
      </w:r>
      <w:r w:rsidRPr="00AC423B">
        <w:rPr>
          <w:rFonts w:ascii="Arial Narrow" w:eastAsia="Calibri" w:hAnsi="Arial Narrow" w:cs="Arial"/>
          <w:lang w:val="es-ES" w:eastAsia="es-ES"/>
        </w:rPr>
        <w:t>Garantía que tiene como finalidad cubrir el riesgo de la Cámara en situaciones extraordinarias. La Cámara establecerá mediante la presente Circular las metodologías de cálculo y condiciones de dichas Garantías Extraordinarias.</w:t>
      </w:r>
    </w:p>
    <w:p w14:paraId="399B5CD6" w14:textId="77777777" w:rsidR="007968EC" w:rsidRPr="00AC423B" w:rsidRDefault="007968EC" w:rsidP="007968EC">
      <w:pPr>
        <w:jc w:val="both"/>
        <w:rPr>
          <w:rFonts w:ascii="Arial Narrow" w:eastAsia="Calibri" w:hAnsi="Arial Narrow" w:cs="Arial"/>
          <w:b/>
          <w:lang w:val="es-ES" w:eastAsia="es-ES"/>
        </w:rPr>
      </w:pPr>
    </w:p>
    <w:p w14:paraId="18455D34" w14:textId="77777777" w:rsidR="007968EC" w:rsidRPr="00AC423B" w:rsidRDefault="007968EC" w:rsidP="007968EC">
      <w:pPr>
        <w:jc w:val="both"/>
        <w:rPr>
          <w:rFonts w:ascii="Arial Narrow" w:eastAsia="Calibri" w:hAnsi="Arial Narrow" w:cs="Arial"/>
          <w:b/>
          <w:lang w:val="es-ES" w:eastAsia="es-ES"/>
        </w:rPr>
      </w:pPr>
      <w:proofErr w:type="spellStart"/>
      <w:r w:rsidRPr="00AC423B">
        <w:rPr>
          <w:rFonts w:ascii="Arial Narrow" w:eastAsia="Calibri" w:hAnsi="Arial Narrow" w:cs="Arial"/>
          <w:b/>
          <w:lang w:val="es-ES" w:eastAsia="es-ES"/>
        </w:rPr>
        <w:t>Give</w:t>
      </w:r>
      <w:proofErr w:type="spellEnd"/>
      <w:r w:rsidRPr="00AC423B">
        <w:rPr>
          <w:rFonts w:ascii="Arial Narrow" w:eastAsia="Calibri" w:hAnsi="Arial Narrow" w:cs="Arial"/>
          <w:b/>
          <w:lang w:val="es-ES" w:eastAsia="es-ES"/>
        </w:rPr>
        <w:t xml:space="preserve">-Up: </w:t>
      </w:r>
      <w:r w:rsidRPr="00AC423B">
        <w:rPr>
          <w:rFonts w:ascii="Arial Narrow" w:eastAsia="Calibri" w:hAnsi="Arial Narrow" w:cs="Arial"/>
          <w:lang w:val="es-ES" w:eastAsia="es-ES"/>
        </w:rPr>
        <w:t xml:space="preserve">Procedimiento de Gestión de Operación en el Sistema de Cámara mediante el cual se traspasa una Operación Aceptada en el Sistema de Cámara por un Miembro, Miembro de origen, a otro Miembro, Miembro de destino, para que éste último se encargue de la Compensación y Liquidación de la Operación ante la Cámara. El procedimiento de </w:t>
      </w:r>
      <w:proofErr w:type="spellStart"/>
      <w:r w:rsidRPr="00AC423B">
        <w:rPr>
          <w:rFonts w:ascii="Arial Narrow" w:eastAsia="Calibri" w:hAnsi="Arial Narrow" w:cs="Arial"/>
          <w:lang w:val="es-ES" w:eastAsia="es-ES"/>
        </w:rPr>
        <w:t>Give</w:t>
      </w:r>
      <w:proofErr w:type="spellEnd"/>
      <w:r w:rsidRPr="00AC423B">
        <w:rPr>
          <w:rFonts w:ascii="Arial Narrow" w:eastAsia="Calibri" w:hAnsi="Arial Narrow" w:cs="Arial"/>
          <w:lang w:val="es-ES" w:eastAsia="es-ES"/>
        </w:rPr>
        <w:t xml:space="preserve">-Up se subdivide en dos eventos, a saber </w:t>
      </w:r>
      <w:proofErr w:type="spellStart"/>
      <w:r w:rsidRPr="00AC423B">
        <w:rPr>
          <w:rFonts w:ascii="Arial Narrow" w:eastAsia="Calibri" w:hAnsi="Arial Narrow" w:cs="Arial"/>
          <w:lang w:val="es-ES" w:eastAsia="es-ES"/>
        </w:rPr>
        <w:t>Give-Out</w:t>
      </w:r>
      <w:proofErr w:type="spellEnd"/>
      <w:r w:rsidRPr="00AC423B">
        <w:rPr>
          <w:rFonts w:ascii="Arial Narrow" w:eastAsia="Calibri" w:hAnsi="Arial Narrow" w:cs="Arial"/>
          <w:lang w:val="es-ES" w:eastAsia="es-ES"/>
        </w:rPr>
        <w:t xml:space="preserve"> y </w:t>
      </w:r>
      <w:proofErr w:type="spellStart"/>
      <w:r w:rsidRPr="00AC423B">
        <w:rPr>
          <w:rFonts w:ascii="Arial Narrow" w:eastAsia="Calibri" w:hAnsi="Arial Narrow" w:cs="Arial"/>
          <w:lang w:val="es-ES" w:eastAsia="es-ES"/>
        </w:rPr>
        <w:t>Give</w:t>
      </w:r>
      <w:proofErr w:type="spellEnd"/>
      <w:r w:rsidRPr="00AC423B">
        <w:rPr>
          <w:rFonts w:ascii="Arial Narrow" w:eastAsia="Calibri" w:hAnsi="Arial Narrow" w:cs="Arial"/>
          <w:lang w:val="es-ES" w:eastAsia="es-ES"/>
        </w:rPr>
        <w:t xml:space="preserve">-In. Se considera que una operación de </w:t>
      </w:r>
      <w:proofErr w:type="spellStart"/>
      <w:r w:rsidRPr="00AC423B">
        <w:rPr>
          <w:rFonts w:ascii="Arial Narrow" w:eastAsia="Calibri" w:hAnsi="Arial Narrow" w:cs="Arial"/>
          <w:lang w:val="es-ES" w:eastAsia="es-ES"/>
        </w:rPr>
        <w:t>Give</w:t>
      </w:r>
      <w:proofErr w:type="spellEnd"/>
      <w:r w:rsidRPr="00AC423B">
        <w:rPr>
          <w:rFonts w:ascii="Arial Narrow" w:eastAsia="Calibri" w:hAnsi="Arial Narrow" w:cs="Arial"/>
          <w:lang w:val="es-ES" w:eastAsia="es-ES"/>
        </w:rPr>
        <w:t xml:space="preserve">-Up sólo es completa cuando el Miembro de destino la acepta y la asigna a una Cuenta registrada y restringida a las condiciones de </w:t>
      </w:r>
      <w:proofErr w:type="spellStart"/>
      <w:r w:rsidRPr="00AC423B">
        <w:rPr>
          <w:rFonts w:ascii="Arial Narrow" w:eastAsia="Calibri" w:hAnsi="Arial Narrow" w:cs="Arial"/>
          <w:lang w:val="es-ES" w:eastAsia="es-ES"/>
        </w:rPr>
        <w:t>Give</w:t>
      </w:r>
      <w:proofErr w:type="spellEnd"/>
      <w:r w:rsidRPr="00AC423B">
        <w:rPr>
          <w:rFonts w:ascii="Arial Narrow" w:eastAsia="Calibri" w:hAnsi="Arial Narrow" w:cs="Arial"/>
          <w:lang w:val="es-ES" w:eastAsia="es-ES"/>
        </w:rPr>
        <w:t xml:space="preserve"> Up, dentro de su propia estructura de Cuentas.</w:t>
      </w:r>
    </w:p>
    <w:p w14:paraId="3815571A" w14:textId="77777777" w:rsidR="007968EC" w:rsidRPr="00AC423B" w:rsidRDefault="007968EC" w:rsidP="007968EC">
      <w:pPr>
        <w:jc w:val="both"/>
        <w:rPr>
          <w:rFonts w:ascii="Arial Narrow" w:eastAsia="Calibri" w:hAnsi="Arial Narrow" w:cs="Arial"/>
          <w:b/>
          <w:lang w:val="es-ES" w:eastAsia="es-ES"/>
        </w:rPr>
      </w:pPr>
    </w:p>
    <w:p w14:paraId="25BB57AA" w14:textId="77777777" w:rsidR="007968EC" w:rsidRPr="00AC423B" w:rsidRDefault="007968EC" w:rsidP="007968EC">
      <w:pPr>
        <w:jc w:val="both"/>
        <w:rPr>
          <w:rFonts w:ascii="Arial Narrow" w:eastAsia="Calibri" w:hAnsi="Arial Narrow" w:cs="Arial"/>
          <w:b/>
          <w:lang w:val="es-ES" w:eastAsia="es-ES"/>
        </w:rPr>
      </w:pPr>
      <w:proofErr w:type="spellStart"/>
      <w:r w:rsidRPr="00AC423B">
        <w:rPr>
          <w:rFonts w:ascii="Arial Narrow" w:eastAsia="Calibri" w:hAnsi="Arial Narrow" w:cs="Arial"/>
          <w:b/>
          <w:lang w:val="es-ES" w:eastAsia="es-ES"/>
        </w:rPr>
        <w:lastRenderedPageBreak/>
        <w:t>Give-Out</w:t>
      </w:r>
      <w:proofErr w:type="spellEnd"/>
      <w:r w:rsidRPr="00AC423B">
        <w:rPr>
          <w:rFonts w:ascii="Arial Narrow" w:eastAsia="Calibri" w:hAnsi="Arial Narrow" w:cs="Arial"/>
          <w:b/>
          <w:lang w:val="es-ES" w:eastAsia="es-ES"/>
        </w:rPr>
        <w:t xml:space="preserve">: </w:t>
      </w:r>
      <w:r w:rsidRPr="00AC423B">
        <w:rPr>
          <w:rFonts w:ascii="Arial Narrow" w:eastAsia="Calibri" w:hAnsi="Arial Narrow" w:cs="Arial"/>
          <w:lang w:val="es-ES" w:eastAsia="es-ES"/>
        </w:rPr>
        <w:t xml:space="preserve">Término que describe el procedimiento de Gestión de Operación en el Sistema de Cámara realizado por el Miembro de origen al envío de una solicitud de </w:t>
      </w:r>
      <w:proofErr w:type="spellStart"/>
      <w:r w:rsidRPr="00AC423B">
        <w:rPr>
          <w:rFonts w:ascii="Arial Narrow" w:eastAsia="Calibri" w:hAnsi="Arial Narrow" w:cs="Arial"/>
          <w:lang w:val="es-ES" w:eastAsia="es-ES"/>
        </w:rPr>
        <w:t>Give</w:t>
      </w:r>
      <w:proofErr w:type="spellEnd"/>
      <w:r w:rsidRPr="00AC423B">
        <w:rPr>
          <w:rFonts w:ascii="Arial Narrow" w:eastAsia="Calibri" w:hAnsi="Arial Narrow" w:cs="Arial"/>
          <w:lang w:val="es-ES" w:eastAsia="es-ES"/>
        </w:rPr>
        <w:t>-Up.</w:t>
      </w:r>
    </w:p>
    <w:p w14:paraId="1F1ED8B8" w14:textId="77777777" w:rsidR="007968EC" w:rsidRPr="00AC423B" w:rsidRDefault="007968EC" w:rsidP="007968EC">
      <w:pPr>
        <w:jc w:val="both"/>
        <w:rPr>
          <w:rFonts w:ascii="Arial Narrow" w:eastAsia="Calibri" w:hAnsi="Arial Narrow" w:cs="Arial"/>
          <w:b/>
          <w:lang w:val="es-ES" w:eastAsia="es-ES"/>
        </w:rPr>
      </w:pPr>
    </w:p>
    <w:p w14:paraId="7D6CDB03" w14:textId="77777777" w:rsidR="007968EC" w:rsidRPr="00AC423B" w:rsidRDefault="007968EC" w:rsidP="007968EC">
      <w:pPr>
        <w:jc w:val="both"/>
        <w:rPr>
          <w:rFonts w:ascii="Arial Narrow" w:eastAsia="Calibri" w:hAnsi="Arial Narrow" w:cs="Arial"/>
          <w:b/>
          <w:lang w:val="es-ES" w:eastAsia="es-ES"/>
        </w:rPr>
      </w:pPr>
      <w:proofErr w:type="spellStart"/>
      <w:r w:rsidRPr="00AC423B">
        <w:rPr>
          <w:rFonts w:ascii="Arial Narrow" w:eastAsia="Calibri" w:hAnsi="Arial Narrow" w:cs="Arial"/>
          <w:b/>
          <w:lang w:val="es-ES" w:eastAsia="es-ES"/>
        </w:rPr>
        <w:t>Give</w:t>
      </w:r>
      <w:proofErr w:type="spellEnd"/>
      <w:r w:rsidRPr="00AC423B">
        <w:rPr>
          <w:rFonts w:ascii="Arial Narrow" w:eastAsia="Calibri" w:hAnsi="Arial Narrow" w:cs="Arial"/>
          <w:b/>
          <w:lang w:val="es-ES" w:eastAsia="es-ES"/>
        </w:rPr>
        <w:t xml:space="preserve">-In: </w:t>
      </w:r>
      <w:r w:rsidRPr="00AC423B">
        <w:rPr>
          <w:rFonts w:ascii="Arial Narrow" w:eastAsia="Calibri" w:hAnsi="Arial Narrow" w:cs="Arial"/>
          <w:lang w:val="es-ES" w:eastAsia="es-ES"/>
        </w:rPr>
        <w:t xml:space="preserve">Término que describe el procedimiento de Gestión de Operación en el Sistema de Cámara realizado por el Miembro de destino en la recepción de una solicitud de </w:t>
      </w:r>
      <w:proofErr w:type="spellStart"/>
      <w:r w:rsidRPr="00AC423B">
        <w:rPr>
          <w:rFonts w:ascii="Arial Narrow" w:eastAsia="Calibri" w:hAnsi="Arial Narrow" w:cs="Arial"/>
          <w:lang w:val="es-ES" w:eastAsia="es-ES"/>
        </w:rPr>
        <w:t>Give</w:t>
      </w:r>
      <w:proofErr w:type="spellEnd"/>
      <w:r w:rsidRPr="00AC423B">
        <w:rPr>
          <w:rFonts w:ascii="Arial Narrow" w:eastAsia="Calibri" w:hAnsi="Arial Narrow" w:cs="Arial"/>
          <w:lang w:val="es-ES" w:eastAsia="es-ES"/>
        </w:rPr>
        <w:t>-Up.</w:t>
      </w:r>
    </w:p>
    <w:p w14:paraId="541B0FEE" w14:textId="77777777" w:rsidR="007968EC" w:rsidRPr="00AC423B" w:rsidRDefault="007968EC" w:rsidP="007968EC">
      <w:pPr>
        <w:jc w:val="both"/>
        <w:rPr>
          <w:rFonts w:ascii="Arial Narrow" w:eastAsia="Calibri" w:hAnsi="Arial Narrow" w:cs="Arial"/>
          <w:b/>
          <w:lang w:val="es-ES" w:eastAsia="es-ES"/>
        </w:rPr>
      </w:pPr>
    </w:p>
    <w:p w14:paraId="2D3EF175" w14:textId="77777777" w:rsidR="007968EC" w:rsidRPr="00AC423B" w:rsidRDefault="007968EC" w:rsidP="007968EC">
      <w:pPr>
        <w:jc w:val="both"/>
        <w:rPr>
          <w:rFonts w:ascii="Arial Narrow" w:eastAsia="Calibri" w:hAnsi="Arial Narrow" w:cs="Arial"/>
          <w:lang w:val="es-ES" w:eastAsia="es-ES"/>
        </w:rPr>
      </w:pPr>
      <w:r w:rsidRPr="00AC423B">
        <w:rPr>
          <w:rFonts w:ascii="Arial Narrow" w:eastAsia="Calibri" w:hAnsi="Arial Narrow" w:cs="Arial"/>
          <w:b/>
          <w:lang w:val="es-ES" w:eastAsia="es-ES"/>
        </w:rPr>
        <w:t xml:space="preserve">Grupo de Compensación: </w:t>
      </w:r>
      <w:r w:rsidRPr="00AC423B">
        <w:rPr>
          <w:rFonts w:ascii="Arial Narrow" w:eastAsia="Calibri" w:hAnsi="Arial Narrow" w:cs="Arial"/>
          <w:lang w:val="es-ES" w:eastAsia="es-ES"/>
        </w:rPr>
        <w:t>Unidad de clasificación en cada Segmento que identifica un conjunto de Activos con similares características de riesgo. En el caso de los Instrumentos Financieros Derivados Estandarizados y/o No Estandarizados podrán agruparse a partir del mismo Activo Subyacente.</w:t>
      </w:r>
    </w:p>
    <w:p w14:paraId="62C1E0BB" w14:textId="77777777" w:rsidR="007968EC" w:rsidRPr="00AC423B" w:rsidRDefault="007968EC" w:rsidP="007968EC">
      <w:pPr>
        <w:jc w:val="both"/>
        <w:rPr>
          <w:rFonts w:ascii="Arial Narrow" w:eastAsia="Calibri" w:hAnsi="Arial Narrow" w:cs="Arial"/>
          <w:lang w:val="es-ES" w:eastAsia="es-ES"/>
        </w:rPr>
      </w:pPr>
    </w:p>
    <w:p w14:paraId="42D74DDC" w14:textId="77777777" w:rsidR="007968EC" w:rsidRPr="00AC423B" w:rsidRDefault="007968EC" w:rsidP="007968EC">
      <w:pPr>
        <w:jc w:val="both"/>
        <w:rPr>
          <w:rFonts w:ascii="Arial Narrow" w:hAnsi="Arial Narrow" w:cs="Verdana"/>
        </w:rPr>
      </w:pPr>
      <w:r w:rsidRPr="00AC423B">
        <w:rPr>
          <w:rFonts w:ascii="Arial Narrow" w:eastAsia="Calibri" w:hAnsi="Arial Narrow"/>
          <w:b/>
          <w:color w:val="000000" w:themeColor="text1"/>
        </w:rPr>
        <w:t>IBR:</w:t>
      </w:r>
      <w:r w:rsidRPr="00AC423B">
        <w:rPr>
          <w:rFonts w:ascii="Arial Narrow" w:hAnsi="Arial Narrow" w:cs="Verdana"/>
        </w:rPr>
        <w:t xml:space="preserve"> Indicador Bancario de Referencia (IBR), es una tasa de interés de corto plazo para el peso colombiano que refleja el precio al que los agentes participantes en su esquema de formación están dispuestos a ofrecer o a captar recursos en el mercado monetario</w:t>
      </w:r>
      <w:r w:rsidRPr="00AC423B">
        <w:rPr>
          <w:rFonts w:ascii="Arial Narrow" w:hAnsi="Arial Narrow"/>
        </w:rPr>
        <w:t xml:space="preserve">. </w:t>
      </w:r>
      <w:r w:rsidRPr="00AC423B">
        <w:rPr>
          <w:rFonts w:ascii="Arial Narrow" w:hAnsi="Arial Narrow" w:cs="Verdana"/>
        </w:rPr>
        <w:t>El IBR es publicado por el Banco de la República al público en general a través de su plataforma tecnológica o su página de Internet.</w:t>
      </w:r>
    </w:p>
    <w:p w14:paraId="58D2C849" w14:textId="77777777" w:rsidR="007968EC" w:rsidRPr="00AC423B" w:rsidRDefault="007968EC" w:rsidP="007968EC">
      <w:pPr>
        <w:jc w:val="both"/>
        <w:rPr>
          <w:rFonts w:ascii="Arial Narrow" w:eastAsia="Calibri" w:hAnsi="Arial Narrow"/>
          <w:color w:val="000000" w:themeColor="text1"/>
          <w:highlight w:val="yellow"/>
        </w:rPr>
      </w:pPr>
    </w:p>
    <w:p w14:paraId="295A90C8" w14:textId="77777777" w:rsidR="007968EC" w:rsidRPr="00AC423B" w:rsidRDefault="007968EC" w:rsidP="007968EC">
      <w:pPr>
        <w:jc w:val="both"/>
        <w:rPr>
          <w:rFonts w:ascii="Arial Narrow" w:hAnsi="Arial Narrow" w:cs="Verdana"/>
        </w:rPr>
      </w:pPr>
      <w:r w:rsidRPr="00AC423B">
        <w:rPr>
          <w:rFonts w:ascii="Arial Narrow" w:eastAsia="Calibri" w:hAnsi="Arial Narrow"/>
          <w:b/>
          <w:color w:val="000000" w:themeColor="text1"/>
        </w:rPr>
        <w:t>IBR Overnight:</w:t>
      </w:r>
      <w:r w:rsidRPr="00AC423B">
        <w:rPr>
          <w:rFonts w:ascii="Arial Narrow" w:hAnsi="Arial Narrow" w:cs="Verdana"/>
        </w:rPr>
        <w:t xml:space="preserve"> Indicador Bancario de Referencia (IBR) para el plazo overnight. Diariamente, en los días hábiles bancarios, cada uno de los ocho bancos participantes del esquema de formación del IBR cotizará una tasa nominal “</w:t>
      </w:r>
      <w:proofErr w:type="spellStart"/>
      <w:r w:rsidRPr="00AC423B">
        <w:rPr>
          <w:rFonts w:ascii="Arial Narrow" w:hAnsi="Arial Narrow" w:cs="Verdana"/>
          <w:i/>
        </w:rPr>
        <w:t>choice</w:t>
      </w:r>
      <w:proofErr w:type="spellEnd"/>
      <w:r w:rsidRPr="00AC423B">
        <w:rPr>
          <w:rFonts w:ascii="Arial Narrow" w:hAnsi="Arial Narrow" w:cs="Verdana"/>
          <w:i/>
        </w:rPr>
        <w:t>”</w:t>
      </w:r>
      <w:r w:rsidRPr="00AC423B">
        <w:rPr>
          <w:rFonts w:ascii="Arial Narrow" w:hAnsi="Arial Narrow" w:cs="Verdana"/>
        </w:rPr>
        <w:t xml:space="preserve"> que reflejará su postura de liquidez para el plazo </w:t>
      </w:r>
      <w:r w:rsidRPr="00AC423B">
        <w:rPr>
          <w:rFonts w:ascii="Arial Narrow" w:hAnsi="Arial Narrow" w:cs="Verdana"/>
          <w:i/>
        </w:rPr>
        <w:t>overnight</w:t>
      </w:r>
      <w:r w:rsidRPr="00AC423B">
        <w:rPr>
          <w:rFonts w:ascii="Arial Narrow" w:hAnsi="Arial Narrow" w:cs="Verdana"/>
        </w:rPr>
        <w:t xml:space="preserve">. Una vez realizadas las cotizaciones de los participantes, el Banco de la República calculará la mediana de las mismas la cual será el IBR para el plazo </w:t>
      </w:r>
      <w:r w:rsidRPr="00AC423B">
        <w:rPr>
          <w:rFonts w:ascii="Arial Narrow" w:hAnsi="Arial Narrow" w:cs="Verdana"/>
          <w:i/>
        </w:rPr>
        <w:t>overnight</w:t>
      </w:r>
      <w:r w:rsidRPr="00AC423B">
        <w:rPr>
          <w:rFonts w:ascii="Arial Narrow" w:hAnsi="Arial Narrow" w:cs="Verdana"/>
        </w:rPr>
        <w:t>.</w:t>
      </w:r>
    </w:p>
    <w:p w14:paraId="12711097" w14:textId="77777777" w:rsidR="007968EC" w:rsidRPr="00AC423B" w:rsidRDefault="007968EC" w:rsidP="007968EC">
      <w:pPr>
        <w:jc w:val="both"/>
        <w:rPr>
          <w:rFonts w:ascii="Arial Narrow" w:eastAsia="Calibri" w:hAnsi="Arial Narrow"/>
          <w:color w:val="000000" w:themeColor="text1"/>
          <w:highlight w:val="yellow"/>
        </w:rPr>
      </w:pPr>
    </w:p>
    <w:p w14:paraId="169632B8"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Instrumento: </w:t>
      </w:r>
      <w:r w:rsidRPr="00AC423B">
        <w:rPr>
          <w:rFonts w:ascii="Arial Narrow" w:eastAsia="Calibri" w:hAnsi="Arial Narrow" w:cs="Arial"/>
          <w:lang w:val="es-ES" w:eastAsia="es-ES"/>
        </w:rPr>
        <w:t>Término que agrupa el conjunto de Instrumentos Financieros Derivados e Instrumentos Financieros Derivados no Estandarizados asociados a un mismo Activo Subyacente</w:t>
      </w:r>
      <w:r w:rsidRPr="00AC423B">
        <w:rPr>
          <w:rFonts w:ascii="Arial Narrow" w:hAnsi="Arial Narrow" w:cs="Arial"/>
          <w:b/>
          <w:lang w:val="es-ES" w:eastAsia="es-ES"/>
        </w:rPr>
        <w:t xml:space="preserve"> </w:t>
      </w:r>
      <w:r w:rsidRPr="00AC423B">
        <w:rPr>
          <w:rFonts w:ascii="Arial Narrow" w:eastAsia="Calibri" w:hAnsi="Arial Narrow" w:cs="Arial"/>
          <w:lang w:val="es-ES" w:eastAsia="es-ES"/>
        </w:rPr>
        <w:t>y a un Segmento.</w:t>
      </w:r>
    </w:p>
    <w:p w14:paraId="1B2489B9" w14:textId="77777777" w:rsidR="007968EC" w:rsidRPr="00AC423B" w:rsidRDefault="007968EC" w:rsidP="007968EC">
      <w:pPr>
        <w:jc w:val="both"/>
        <w:rPr>
          <w:rFonts w:ascii="Arial Narrow" w:eastAsia="Calibri" w:hAnsi="Arial Narrow" w:cs="Arial"/>
          <w:b/>
          <w:lang w:val="es-ES" w:eastAsia="es-ES"/>
        </w:rPr>
      </w:pPr>
    </w:p>
    <w:p w14:paraId="63C43F9E"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Instrumento Financiero Derivado: </w:t>
      </w:r>
      <w:r w:rsidRPr="00AC423B">
        <w:rPr>
          <w:rFonts w:ascii="Arial Narrow" w:eastAsia="Calibri" w:hAnsi="Arial Narrow" w:cs="Arial"/>
          <w:lang w:val="es-ES" w:eastAsia="es-ES"/>
        </w:rPr>
        <w:t>Es una operación cuya principal característica consiste en que su precio justo de intercambio depende de uno o más subyacentes, y su cumplimiento o liquidación se realiza en un momento posterior. Dicha liquidación puede ser en efectivo, en instrumentos financieros o en productos o bienes transables, según se establezca en el contrato o en el correspondiente reglamento del sistema de negociación de valores, del sistema de registro de operaciones sobre valores o del sistema de compensación y liquidación de valores. Estos instrumentos tendrán la calidad de valor siempre que se cumplan los requisitos previstos en los parágrafos 3 y 4 del artículo 2º de la Ley 964 de 2005.</w:t>
      </w:r>
    </w:p>
    <w:p w14:paraId="7AC98030" w14:textId="77777777" w:rsidR="007968EC" w:rsidRPr="00AC423B" w:rsidRDefault="007968EC" w:rsidP="007968EC">
      <w:pPr>
        <w:jc w:val="both"/>
        <w:rPr>
          <w:rFonts w:ascii="Arial Narrow" w:eastAsia="Calibri" w:hAnsi="Arial Narrow" w:cs="Arial"/>
          <w:b/>
          <w:lang w:val="es-ES" w:eastAsia="es-ES"/>
        </w:rPr>
      </w:pPr>
    </w:p>
    <w:p w14:paraId="1F47B1F1"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Instrumento Financiero Derivado No Estandarizado: </w:t>
      </w:r>
      <w:r w:rsidRPr="00AC423B">
        <w:rPr>
          <w:rFonts w:ascii="Arial Narrow" w:eastAsia="Calibri" w:hAnsi="Arial Narrow" w:cs="Arial"/>
          <w:lang w:val="es-ES" w:eastAsia="es-ES"/>
        </w:rPr>
        <w:t>Es un instrumento financiero derivado hecho a la medida de las necesidades de las partes que lo celebran, de tal manera que sus condiciones no son estandarizadas.</w:t>
      </w:r>
    </w:p>
    <w:p w14:paraId="1C8231CF" w14:textId="77777777" w:rsidR="007968EC" w:rsidRPr="00AC423B" w:rsidRDefault="007968EC" w:rsidP="007968EC">
      <w:pPr>
        <w:jc w:val="both"/>
        <w:rPr>
          <w:rFonts w:ascii="Arial Narrow" w:eastAsia="Calibri" w:hAnsi="Arial Narrow" w:cs="Arial"/>
          <w:b/>
          <w:lang w:val="es-ES" w:eastAsia="es-ES"/>
        </w:rPr>
      </w:pPr>
    </w:p>
    <w:p w14:paraId="49BDA213"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Límite de Obligación Latente de Entrega – LOLE: </w:t>
      </w:r>
      <w:r w:rsidRPr="00AC423B">
        <w:rPr>
          <w:rFonts w:ascii="Arial Narrow" w:eastAsia="Calibri" w:hAnsi="Arial Narrow" w:cs="Arial"/>
          <w:lang w:val="es-ES" w:eastAsia="es-ES"/>
        </w:rPr>
        <w:t>Es el límite que controla el riesgo asumido por la Cámara frente a los Miembros con posiciones de venta en contratos con Liquidación al Vencimiento por Entrega, determinado en virtud del posible Incumplimiento en la entrega de las Posiciones Abiertas de venta de sus Cuentas, de las de sus Terceros o de las de sus Miembros no Liquidadores y los Terceros de estos, según el caso.</w:t>
      </w:r>
    </w:p>
    <w:p w14:paraId="0AFF7E82" w14:textId="77777777" w:rsidR="007968EC" w:rsidRPr="00AC423B" w:rsidRDefault="007968EC" w:rsidP="007968EC">
      <w:pPr>
        <w:jc w:val="both"/>
        <w:rPr>
          <w:rFonts w:ascii="Arial Narrow" w:eastAsia="Calibri" w:hAnsi="Arial Narrow" w:cs="Arial"/>
          <w:b/>
          <w:lang w:val="es-ES" w:eastAsia="es-ES"/>
        </w:rPr>
      </w:pPr>
    </w:p>
    <w:p w14:paraId="06A4FF45" w14:textId="77777777" w:rsidR="007968EC" w:rsidRPr="00AC423B" w:rsidRDefault="007968EC" w:rsidP="007968EC">
      <w:pPr>
        <w:jc w:val="both"/>
        <w:rPr>
          <w:rFonts w:ascii="Arial Narrow" w:eastAsia="Calibri" w:hAnsi="Arial Narrow" w:cs="Arial"/>
          <w:lang w:val="es-ES" w:eastAsia="es-ES"/>
        </w:rPr>
      </w:pPr>
      <w:r w:rsidRPr="00AC423B">
        <w:rPr>
          <w:rFonts w:ascii="Arial Narrow" w:eastAsia="Calibri" w:hAnsi="Arial Narrow" w:cs="Arial"/>
          <w:lang w:val="es-ES" w:eastAsia="es-ES"/>
        </w:rPr>
        <w:lastRenderedPageBreak/>
        <w:t>El LOLE es el porcentaje máximo de exposición que un Miembro puede tomar sin Garantía (GOLE), establecido por la Cámara a partir de la relación entre la Obligación Latente de Entrega (OLE) y el volumen medio diario negociado en el mercado de contado del Activo Subyacente a entregar durante el período que se determine para cada Instrumento.</w:t>
      </w:r>
    </w:p>
    <w:p w14:paraId="02E1BCD5" w14:textId="77777777" w:rsidR="007968EC" w:rsidRPr="00AC423B" w:rsidRDefault="007968EC" w:rsidP="007968EC">
      <w:pPr>
        <w:jc w:val="both"/>
        <w:rPr>
          <w:rFonts w:ascii="Arial Narrow" w:eastAsia="Calibri" w:hAnsi="Arial Narrow" w:cs="Arial"/>
          <w:b/>
          <w:lang w:eastAsia="es-ES"/>
        </w:rPr>
      </w:pPr>
    </w:p>
    <w:p w14:paraId="2915E4CA"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Liquidación: </w:t>
      </w:r>
      <w:r w:rsidRPr="00AC423B">
        <w:rPr>
          <w:rFonts w:ascii="Arial Narrow" w:eastAsia="Calibri" w:hAnsi="Arial Narrow" w:cs="Arial"/>
          <w:lang w:val="es-ES" w:eastAsia="es-ES"/>
        </w:rPr>
        <w:t>Proceso mediante el cual se cumplen definitivamente las obligaciones provenientes de una Operación, donde una parte entrega Activos y la otra efectúa la transferencia de los fondos.</w:t>
      </w:r>
    </w:p>
    <w:p w14:paraId="47F6CFB5" w14:textId="77777777" w:rsidR="007968EC" w:rsidRPr="00AC423B" w:rsidRDefault="007968EC" w:rsidP="007968EC">
      <w:pPr>
        <w:jc w:val="both"/>
        <w:rPr>
          <w:rFonts w:ascii="Arial Narrow" w:eastAsia="Calibri" w:hAnsi="Arial Narrow" w:cs="Arial"/>
          <w:b/>
          <w:lang w:val="es-ES" w:eastAsia="es-ES"/>
        </w:rPr>
      </w:pPr>
    </w:p>
    <w:p w14:paraId="628B37AE"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Liquidación al Vencimiento: </w:t>
      </w:r>
      <w:r w:rsidRPr="00AC423B">
        <w:rPr>
          <w:rFonts w:ascii="Arial Narrow" w:eastAsia="Calibri" w:hAnsi="Arial Narrow" w:cs="Arial"/>
          <w:lang w:val="es-ES" w:eastAsia="es-ES"/>
        </w:rPr>
        <w:t xml:space="preserve">Liquidación de la Posición Abierta a la fecha de ejercicio o vencimiento. </w:t>
      </w:r>
    </w:p>
    <w:p w14:paraId="11E401C1" w14:textId="77777777" w:rsidR="007968EC" w:rsidRPr="00AC423B" w:rsidRDefault="007968EC" w:rsidP="007968EC">
      <w:pPr>
        <w:jc w:val="both"/>
        <w:rPr>
          <w:rFonts w:ascii="Arial Narrow" w:eastAsia="Calibri" w:hAnsi="Arial Narrow" w:cs="Arial"/>
          <w:b/>
          <w:lang w:eastAsia="es-ES"/>
        </w:rPr>
      </w:pPr>
    </w:p>
    <w:p w14:paraId="73240008" w14:textId="77777777" w:rsidR="007968EC" w:rsidRPr="00AC423B" w:rsidRDefault="007968EC" w:rsidP="007968EC">
      <w:pPr>
        <w:jc w:val="both"/>
        <w:rPr>
          <w:rFonts w:ascii="Arial Narrow" w:eastAsia="Calibri" w:hAnsi="Arial Narrow" w:cs="Arial"/>
          <w:b/>
          <w:lang w:eastAsia="es-ES"/>
        </w:rPr>
      </w:pPr>
      <w:r w:rsidRPr="00AC423B">
        <w:rPr>
          <w:rFonts w:ascii="Arial Narrow" w:eastAsia="Calibri" w:hAnsi="Arial Narrow" w:cs="Arial"/>
          <w:b/>
          <w:lang w:eastAsia="es-ES"/>
        </w:rPr>
        <w:t xml:space="preserve">Liquidación Diaria: </w:t>
      </w:r>
      <w:r w:rsidRPr="00AC423B">
        <w:rPr>
          <w:rFonts w:ascii="Arial Narrow" w:eastAsia="Calibri" w:hAnsi="Arial Narrow" w:cs="Arial"/>
          <w:lang w:eastAsia="es-ES"/>
        </w:rPr>
        <w:t>Liquidación del importe de los compromisos de pago entre la Cámara y sus Miembros con periodicidad diaria, desde la aceptación de la operación hasta la Liquidación al Vencimiento</w:t>
      </w:r>
    </w:p>
    <w:p w14:paraId="47223894" w14:textId="77777777" w:rsidR="007968EC" w:rsidRPr="00AC423B" w:rsidRDefault="007968EC" w:rsidP="007968EC">
      <w:pPr>
        <w:jc w:val="both"/>
        <w:rPr>
          <w:rFonts w:ascii="Arial Narrow" w:eastAsia="Calibri" w:hAnsi="Arial Narrow" w:cs="Arial"/>
          <w:b/>
          <w:lang w:eastAsia="es-ES"/>
        </w:rPr>
      </w:pPr>
    </w:p>
    <w:p w14:paraId="06E16168" w14:textId="77777777" w:rsidR="007968EC" w:rsidRPr="00AC423B" w:rsidRDefault="007968EC" w:rsidP="007968EC">
      <w:pPr>
        <w:jc w:val="both"/>
        <w:rPr>
          <w:rFonts w:ascii="Arial Narrow" w:eastAsia="Calibri" w:hAnsi="Arial Narrow" w:cs="Arial"/>
          <w:b/>
          <w:lang w:eastAsia="es-ES"/>
        </w:rPr>
      </w:pPr>
      <w:r w:rsidRPr="00AC423B">
        <w:rPr>
          <w:rFonts w:ascii="Arial Narrow" w:eastAsia="Calibri" w:hAnsi="Arial Narrow" w:cs="Arial"/>
          <w:b/>
          <w:lang w:eastAsia="es-ES"/>
        </w:rPr>
        <w:t xml:space="preserve">Liquidación por Diferencias: </w:t>
      </w:r>
      <w:r w:rsidRPr="00AC423B">
        <w:rPr>
          <w:rFonts w:ascii="Arial Narrow" w:eastAsia="Calibri" w:hAnsi="Arial Narrow" w:cs="Arial"/>
          <w:lang w:eastAsia="es-ES"/>
        </w:rPr>
        <w:t>Procedimiento por el cual el cumplimiento de las Operaciones Aceptadas en la fecha de Liquidación se produce únicamente mediante la transmisión en efectivo de la diferencia entre el precio pactado en la Operación y el Precio de Liquidación para Contratos o el Precio de Valoración de Cierre. Para los intercambios de efectivo al vencimiento, se tendrá en cuenta el Tipo de Liquidación.</w:t>
      </w:r>
    </w:p>
    <w:p w14:paraId="0F628BE1" w14:textId="77777777" w:rsidR="007968EC" w:rsidRPr="00AC423B" w:rsidRDefault="007968EC" w:rsidP="007968EC">
      <w:pPr>
        <w:jc w:val="both"/>
        <w:rPr>
          <w:rFonts w:ascii="Arial Narrow" w:eastAsia="Calibri" w:hAnsi="Arial Narrow" w:cs="Arial"/>
          <w:b/>
          <w:lang w:eastAsia="es-ES"/>
        </w:rPr>
      </w:pPr>
    </w:p>
    <w:p w14:paraId="529CF9F3" w14:textId="77777777" w:rsidR="007968EC" w:rsidRPr="00AC423B" w:rsidRDefault="007968EC" w:rsidP="007968EC">
      <w:pPr>
        <w:jc w:val="both"/>
        <w:rPr>
          <w:rFonts w:ascii="Arial Narrow" w:eastAsia="Calibri" w:hAnsi="Arial Narrow"/>
          <w:lang w:val="es-ES"/>
        </w:rPr>
      </w:pPr>
      <w:r w:rsidRPr="00AC423B">
        <w:rPr>
          <w:rFonts w:ascii="Arial Narrow" w:eastAsia="Calibri" w:hAnsi="Arial Narrow" w:cs="Arial"/>
          <w:b/>
          <w:lang w:val="es-ES" w:eastAsia="es-ES"/>
        </w:rPr>
        <w:t xml:space="preserve">Liquidación por Diferencias por </w:t>
      </w:r>
      <w:r w:rsidRPr="00AC423B">
        <w:rPr>
          <w:rFonts w:ascii="Arial Narrow" w:eastAsia="Calibri" w:hAnsi="Arial Narrow"/>
          <w:b/>
          <w:lang w:val="es-ES"/>
        </w:rPr>
        <w:t xml:space="preserve">Retardo o </w:t>
      </w:r>
      <w:r w:rsidRPr="00AC423B">
        <w:rPr>
          <w:rFonts w:ascii="Arial Narrow" w:eastAsia="Calibri" w:hAnsi="Arial Narrow" w:cs="Arial"/>
          <w:b/>
          <w:lang w:val="es-ES" w:eastAsia="es-ES"/>
        </w:rPr>
        <w:t xml:space="preserve">Incumplimiento en la Entrega: </w:t>
      </w:r>
      <w:r w:rsidRPr="00AC423B">
        <w:rPr>
          <w:rFonts w:ascii="Arial Narrow" w:eastAsia="Calibri" w:hAnsi="Arial Narrow" w:cs="Arial"/>
          <w:lang w:val="es-ES" w:eastAsia="es-ES"/>
        </w:rPr>
        <w:t xml:space="preserve">Procedimiento por el cual la Cámara al no contar con el </w:t>
      </w:r>
      <w:r w:rsidRPr="00AC423B">
        <w:rPr>
          <w:rFonts w:ascii="Arial Narrow" w:eastAsia="Calibri" w:hAnsi="Arial Narrow"/>
          <w:lang w:val="es-ES"/>
        </w:rPr>
        <w:t xml:space="preserve">activo subyacente o con el </w:t>
      </w:r>
      <w:r w:rsidRPr="00AC423B">
        <w:rPr>
          <w:rFonts w:ascii="Arial Narrow" w:eastAsia="Calibri" w:hAnsi="Arial Narrow" w:cs="Arial"/>
          <w:lang w:val="es-ES" w:eastAsia="es-ES"/>
        </w:rPr>
        <w:t xml:space="preserve">Activo </w:t>
      </w:r>
      <w:r w:rsidRPr="00AC423B">
        <w:rPr>
          <w:rFonts w:ascii="Arial Narrow" w:eastAsia="Calibri" w:hAnsi="Arial Narrow"/>
          <w:lang w:val="es-ES"/>
        </w:rPr>
        <w:t>objeto de la Operación Aceptada</w:t>
      </w:r>
      <w:r w:rsidRPr="00AC423B">
        <w:rPr>
          <w:rFonts w:ascii="Arial Narrow" w:eastAsia="Calibri" w:hAnsi="Arial Narrow" w:cs="Arial"/>
          <w:lang w:val="es-ES" w:eastAsia="es-ES"/>
        </w:rPr>
        <w:t xml:space="preserve">, podrá de manera alternativa cumplir una Operación Aceptada con Liquidación por Entrega cuya entrega no se produjo, mediante la transmisión en efectivo de la diferencia entre el precio pactado de la operación y el precio de referencia que defina la Cámara mediante </w:t>
      </w:r>
      <w:r w:rsidRPr="00AC423B">
        <w:rPr>
          <w:rFonts w:ascii="Arial Narrow" w:eastAsia="Calibri" w:hAnsi="Arial Narrow"/>
          <w:color w:val="000000"/>
          <w:lang w:val="es-ES"/>
        </w:rPr>
        <w:t xml:space="preserve">la presente </w:t>
      </w:r>
      <w:r w:rsidRPr="00AC423B">
        <w:rPr>
          <w:rFonts w:ascii="Arial Narrow" w:eastAsia="Calibri" w:hAnsi="Arial Narrow" w:cs="Arial"/>
          <w:lang w:val="es-ES" w:eastAsia="es-ES"/>
        </w:rPr>
        <w:t>Circular.</w:t>
      </w:r>
    </w:p>
    <w:p w14:paraId="6B2DB67E" w14:textId="77777777" w:rsidR="007968EC" w:rsidRPr="00AC423B" w:rsidRDefault="007968EC" w:rsidP="007968EC">
      <w:pPr>
        <w:jc w:val="both"/>
        <w:rPr>
          <w:rFonts w:ascii="Arial Narrow" w:eastAsia="Calibri" w:hAnsi="Arial Narrow" w:cs="Arial"/>
          <w:b/>
          <w:lang w:val="es-ES" w:eastAsia="es-ES"/>
        </w:rPr>
      </w:pPr>
    </w:p>
    <w:p w14:paraId="53BEEA19" w14:textId="77777777" w:rsidR="007968EC" w:rsidRPr="00AC423B" w:rsidRDefault="007968EC" w:rsidP="007968EC">
      <w:pPr>
        <w:jc w:val="both"/>
        <w:rPr>
          <w:rFonts w:ascii="Arial Narrow" w:eastAsia="Calibri" w:hAnsi="Arial Narrow" w:cs="Arial"/>
          <w:b/>
          <w:lang w:eastAsia="es-ES"/>
        </w:rPr>
      </w:pPr>
      <w:r w:rsidRPr="00AC423B">
        <w:rPr>
          <w:rFonts w:ascii="Arial Narrow" w:eastAsia="Calibri" w:hAnsi="Arial Narrow" w:cs="Arial"/>
          <w:b/>
          <w:lang w:eastAsia="es-ES"/>
        </w:rPr>
        <w:t xml:space="preserve">Liquidación por Entrega: </w:t>
      </w:r>
      <w:r w:rsidRPr="00AC423B">
        <w:rPr>
          <w:rFonts w:ascii="Arial Narrow" w:eastAsia="Calibri" w:hAnsi="Arial Narrow" w:cs="Arial"/>
          <w:lang w:eastAsia="es-ES"/>
        </w:rPr>
        <w:t>Procedimiento por el cual el cumplimiento de las Operaciones Aceptadas en la fecha de Liquidación se produce mediante la entrega del Activo por la parte que debe vender a la parte que debe comprar dicho Activo, a cambio del precio pactado en la Operación. Para los intercambios de efectivo al vencimiento, se tendrá en cuenta el Tipo de Liquidación.</w:t>
      </w:r>
    </w:p>
    <w:p w14:paraId="5E279154" w14:textId="77777777" w:rsidR="007968EC" w:rsidRPr="00AC423B" w:rsidRDefault="007968EC" w:rsidP="007968EC">
      <w:pPr>
        <w:jc w:val="both"/>
        <w:rPr>
          <w:rFonts w:ascii="Arial Narrow" w:eastAsia="Calibri" w:hAnsi="Arial Narrow" w:cs="Arial"/>
          <w:b/>
          <w:lang w:eastAsia="es-ES"/>
        </w:rPr>
      </w:pPr>
    </w:p>
    <w:p w14:paraId="2EFF31F6" w14:textId="77777777" w:rsidR="007968EC" w:rsidRPr="00AC423B" w:rsidRDefault="007968EC" w:rsidP="007968EC">
      <w:pPr>
        <w:jc w:val="both"/>
        <w:rPr>
          <w:rFonts w:ascii="Arial Narrow" w:eastAsia="Calibri" w:hAnsi="Arial Narrow" w:cs="Arial"/>
          <w:lang w:val="es-ES" w:eastAsia="es-ES"/>
        </w:rPr>
      </w:pPr>
      <w:r w:rsidRPr="00AC423B">
        <w:rPr>
          <w:rFonts w:ascii="Arial Narrow" w:eastAsia="Calibri" w:hAnsi="Arial Narrow" w:cs="Arial"/>
          <w:b/>
          <w:lang w:val="es-ES" w:eastAsia="es-ES"/>
        </w:rPr>
        <w:t xml:space="preserve">Margin Call: </w:t>
      </w:r>
      <w:r w:rsidRPr="00AC423B">
        <w:rPr>
          <w:rFonts w:ascii="Arial Narrow" w:eastAsia="Calibri" w:hAnsi="Arial Narrow" w:cs="Arial"/>
          <w:lang w:val="es-ES" w:eastAsia="es-ES"/>
        </w:rPr>
        <w:t>Procedimiento mediante el cual la Cámara podrá exigir Garantías Extraordinarias para recuperar un nivel suficiente de depósitos en garantía en situaciones excepcionales de alta volatilidad.</w:t>
      </w:r>
    </w:p>
    <w:p w14:paraId="0F2C7A2B" w14:textId="77777777" w:rsidR="007968EC" w:rsidRPr="00AC423B" w:rsidRDefault="007968EC" w:rsidP="007968EC">
      <w:pPr>
        <w:jc w:val="both"/>
        <w:rPr>
          <w:rFonts w:ascii="Arial Narrow" w:eastAsia="Calibri" w:hAnsi="Arial Narrow" w:cs="Arial"/>
          <w:b/>
          <w:lang w:eastAsia="es-ES"/>
        </w:rPr>
      </w:pPr>
    </w:p>
    <w:p w14:paraId="38578842"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Mecanismo de Contratación: </w:t>
      </w:r>
      <w:r w:rsidRPr="00AC423B">
        <w:rPr>
          <w:rFonts w:ascii="Arial Narrow" w:eastAsia="Calibri" w:hAnsi="Arial Narrow" w:cs="Arial"/>
          <w:lang w:val="es-ES" w:eastAsia="es-ES"/>
        </w:rPr>
        <w:t>Mecanismos autorizados por la Junta Directiva de la Cámara a través de los cuales un Miembro celebra, informa, envía, confirma o asigna Operaciones Susceptibles de ser Aceptadas por la Cámara diferentes a los sistemas de negociación de valores y registro de operaciones de qué trata la Ley 964 de 2005, el Decreto 2555 de 2010 o las normas que los modifiquen, sustituyan o adicionen, los cuales serán adoptados e informados por la Cámara mediante Circular.</w:t>
      </w:r>
    </w:p>
    <w:p w14:paraId="11130E24" w14:textId="77777777" w:rsidR="007968EC" w:rsidRPr="00AC423B" w:rsidRDefault="007968EC" w:rsidP="007968EC">
      <w:pPr>
        <w:jc w:val="both"/>
        <w:rPr>
          <w:rFonts w:ascii="Arial Narrow" w:eastAsia="Calibri" w:hAnsi="Arial Narrow" w:cs="Arial"/>
          <w:b/>
          <w:lang w:val="es-ES" w:eastAsia="es-ES"/>
        </w:rPr>
      </w:pPr>
    </w:p>
    <w:p w14:paraId="23123D77" w14:textId="77777777" w:rsidR="007968EC" w:rsidRPr="00AC423B" w:rsidRDefault="007968EC" w:rsidP="007968EC">
      <w:pPr>
        <w:jc w:val="both"/>
        <w:rPr>
          <w:rFonts w:ascii="Arial Narrow" w:eastAsia="Calibri" w:hAnsi="Arial Narrow" w:cs="Arial"/>
          <w:lang w:val="es-ES" w:eastAsia="es-ES"/>
        </w:rPr>
      </w:pPr>
      <w:r w:rsidRPr="00AC423B">
        <w:rPr>
          <w:rFonts w:ascii="Arial Narrow" w:hAnsi="Arial Narrow" w:cs="Arial"/>
          <w:b/>
          <w:lang w:val="es-ES" w:eastAsia="es-ES"/>
        </w:rPr>
        <w:t>Mercado Mostrador:</w:t>
      </w:r>
      <w:r w:rsidRPr="00AC423B">
        <w:rPr>
          <w:rFonts w:ascii="Arial Narrow" w:hAnsi="Arial Narrow" w:cs="Arial"/>
          <w:lang w:val="es-ES" w:eastAsia="es-ES"/>
        </w:rPr>
        <w:t xml:space="preserve"> </w:t>
      </w:r>
      <w:r w:rsidRPr="00AC423B">
        <w:rPr>
          <w:rFonts w:ascii="Arial Narrow" w:eastAsia="Calibri" w:hAnsi="Arial Narrow" w:cs="Arial"/>
          <w:lang w:val="es-ES" w:eastAsia="es-ES"/>
        </w:rPr>
        <w:t>El mercado mostrador es aquel que se desarrolla por fuera de bolsas o de sistemas de negociación de valores. También se conoce con la denominación “</w:t>
      </w:r>
      <w:proofErr w:type="spellStart"/>
      <w:r w:rsidRPr="00AC423B">
        <w:rPr>
          <w:rFonts w:ascii="Arial Narrow" w:eastAsia="Calibri" w:hAnsi="Arial Narrow" w:cs="Arial"/>
          <w:lang w:val="es-ES" w:eastAsia="es-ES"/>
        </w:rPr>
        <w:t>Over</w:t>
      </w:r>
      <w:proofErr w:type="spellEnd"/>
      <w:r w:rsidRPr="00AC423B">
        <w:rPr>
          <w:rFonts w:ascii="Arial Narrow" w:eastAsia="Calibri" w:hAnsi="Arial Narrow" w:cs="Arial"/>
          <w:lang w:val="es-ES" w:eastAsia="es-ES"/>
        </w:rPr>
        <w:t xml:space="preserve"> </w:t>
      </w:r>
      <w:proofErr w:type="spellStart"/>
      <w:r w:rsidRPr="00AC423B">
        <w:rPr>
          <w:rFonts w:ascii="Arial Narrow" w:eastAsia="Calibri" w:hAnsi="Arial Narrow" w:cs="Arial"/>
          <w:lang w:val="es-ES" w:eastAsia="es-ES"/>
        </w:rPr>
        <w:t>the</w:t>
      </w:r>
      <w:proofErr w:type="spellEnd"/>
      <w:r w:rsidRPr="00AC423B">
        <w:rPr>
          <w:rFonts w:ascii="Arial Narrow" w:eastAsia="Calibri" w:hAnsi="Arial Narrow" w:cs="Arial"/>
          <w:lang w:val="es-ES" w:eastAsia="es-ES"/>
        </w:rPr>
        <w:t xml:space="preserve"> </w:t>
      </w:r>
      <w:proofErr w:type="spellStart"/>
      <w:r w:rsidRPr="00AC423B">
        <w:rPr>
          <w:rFonts w:ascii="Arial Narrow" w:eastAsia="Calibri" w:hAnsi="Arial Narrow" w:cs="Arial"/>
          <w:lang w:val="es-ES" w:eastAsia="es-ES"/>
        </w:rPr>
        <w:t>Counter</w:t>
      </w:r>
      <w:proofErr w:type="spellEnd"/>
      <w:r w:rsidRPr="00AC423B">
        <w:rPr>
          <w:rFonts w:ascii="Arial Narrow" w:eastAsia="Calibri" w:hAnsi="Arial Narrow" w:cs="Arial"/>
          <w:lang w:val="es-ES" w:eastAsia="es-ES"/>
        </w:rPr>
        <w:t xml:space="preserve">” (OTC). </w:t>
      </w:r>
    </w:p>
    <w:p w14:paraId="0DCCD586" w14:textId="77777777" w:rsidR="007968EC" w:rsidRPr="00AC423B" w:rsidRDefault="007968EC" w:rsidP="007968EC">
      <w:pPr>
        <w:jc w:val="both"/>
        <w:rPr>
          <w:rFonts w:ascii="Arial Narrow" w:eastAsia="Calibri" w:hAnsi="Arial Narrow" w:cs="Arial"/>
          <w:lang w:val="es-ES" w:eastAsia="es-ES"/>
        </w:rPr>
      </w:pPr>
    </w:p>
    <w:p w14:paraId="0628409D"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Miembro de destino: </w:t>
      </w:r>
      <w:r w:rsidRPr="00AC423B">
        <w:rPr>
          <w:rFonts w:ascii="Arial Narrow" w:eastAsia="Calibri" w:hAnsi="Arial Narrow" w:cs="Arial"/>
          <w:lang w:val="es-ES" w:eastAsia="es-ES"/>
        </w:rPr>
        <w:t xml:space="preserve">Es cualquier Miembro de la Cámara que recibe una solicitud de </w:t>
      </w:r>
      <w:proofErr w:type="spellStart"/>
      <w:r w:rsidRPr="00AC423B">
        <w:rPr>
          <w:rFonts w:ascii="Arial Narrow" w:eastAsia="Calibri" w:hAnsi="Arial Narrow" w:cs="Arial"/>
          <w:lang w:val="es-ES" w:eastAsia="es-ES"/>
        </w:rPr>
        <w:t>Give</w:t>
      </w:r>
      <w:proofErr w:type="spellEnd"/>
      <w:r w:rsidRPr="00AC423B">
        <w:rPr>
          <w:rFonts w:ascii="Arial Narrow" w:eastAsia="Calibri" w:hAnsi="Arial Narrow" w:cs="Arial"/>
          <w:lang w:val="es-ES" w:eastAsia="es-ES"/>
        </w:rPr>
        <w:t xml:space="preserve">-Up de otro Miembro. Es quien realiza un </w:t>
      </w:r>
      <w:proofErr w:type="spellStart"/>
      <w:r w:rsidRPr="00AC423B">
        <w:rPr>
          <w:rFonts w:ascii="Arial Narrow" w:eastAsia="Calibri" w:hAnsi="Arial Narrow" w:cs="Arial"/>
          <w:lang w:val="es-ES" w:eastAsia="es-ES"/>
        </w:rPr>
        <w:t>Give</w:t>
      </w:r>
      <w:proofErr w:type="spellEnd"/>
      <w:r w:rsidRPr="00AC423B">
        <w:rPr>
          <w:rFonts w:ascii="Arial Narrow" w:eastAsia="Calibri" w:hAnsi="Arial Narrow" w:cs="Arial"/>
          <w:lang w:val="es-ES" w:eastAsia="es-ES"/>
        </w:rPr>
        <w:t>-In.</w:t>
      </w:r>
      <w:r w:rsidRPr="00AC423B">
        <w:rPr>
          <w:rFonts w:ascii="Arial Narrow" w:eastAsia="Calibri" w:hAnsi="Arial Narrow" w:cs="Arial"/>
          <w:b/>
          <w:lang w:val="es-ES" w:eastAsia="es-ES"/>
        </w:rPr>
        <w:t xml:space="preserve"> </w:t>
      </w:r>
    </w:p>
    <w:p w14:paraId="51436CB9" w14:textId="77777777" w:rsidR="007968EC" w:rsidRPr="00AC423B" w:rsidRDefault="007968EC" w:rsidP="007968EC">
      <w:pPr>
        <w:jc w:val="both"/>
        <w:rPr>
          <w:rFonts w:ascii="Arial Narrow" w:eastAsia="Calibri" w:hAnsi="Arial Narrow" w:cs="Arial"/>
          <w:b/>
          <w:lang w:val="es-ES" w:eastAsia="es-ES"/>
        </w:rPr>
      </w:pPr>
    </w:p>
    <w:p w14:paraId="22AEDD0F"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Miembro de origen: </w:t>
      </w:r>
      <w:r w:rsidRPr="00AC423B">
        <w:rPr>
          <w:rFonts w:ascii="Arial Narrow" w:eastAsia="Calibri" w:hAnsi="Arial Narrow" w:cs="Arial"/>
          <w:lang w:val="es-ES" w:eastAsia="es-ES"/>
        </w:rPr>
        <w:t xml:space="preserve">Es cualquier Miembro de la Cámara que envía una solicitud de </w:t>
      </w:r>
      <w:proofErr w:type="spellStart"/>
      <w:r w:rsidRPr="00AC423B">
        <w:rPr>
          <w:rFonts w:ascii="Arial Narrow" w:eastAsia="Calibri" w:hAnsi="Arial Narrow" w:cs="Arial"/>
          <w:lang w:val="es-ES" w:eastAsia="es-ES"/>
        </w:rPr>
        <w:t>Give</w:t>
      </w:r>
      <w:proofErr w:type="spellEnd"/>
      <w:r w:rsidRPr="00AC423B">
        <w:rPr>
          <w:rFonts w:ascii="Arial Narrow" w:eastAsia="Calibri" w:hAnsi="Arial Narrow" w:cs="Arial"/>
          <w:lang w:val="es-ES" w:eastAsia="es-ES"/>
        </w:rPr>
        <w:t xml:space="preserve">-Up a otro Miembro. Es quien realiza un </w:t>
      </w:r>
      <w:proofErr w:type="spellStart"/>
      <w:r w:rsidRPr="00AC423B">
        <w:rPr>
          <w:rFonts w:ascii="Arial Narrow" w:eastAsia="Calibri" w:hAnsi="Arial Narrow" w:cs="Arial"/>
          <w:lang w:val="es-ES" w:eastAsia="es-ES"/>
        </w:rPr>
        <w:t>Give-Out</w:t>
      </w:r>
      <w:proofErr w:type="spellEnd"/>
      <w:r w:rsidRPr="00AC423B">
        <w:rPr>
          <w:rFonts w:ascii="Arial Narrow" w:eastAsia="Calibri" w:hAnsi="Arial Narrow" w:cs="Arial"/>
          <w:lang w:val="es-ES" w:eastAsia="es-ES"/>
        </w:rPr>
        <w:t>.</w:t>
      </w:r>
      <w:r w:rsidRPr="00AC423B">
        <w:rPr>
          <w:rFonts w:ascii="Arial Narrow" w:eastAsia="Calibri" w:hAnsi="Arial Narrow" w:cs="Arial"/>
          <w:b/>
          <w:lang w:val="es-ES" w:eastAsia="es-ES"/>
        </w:rPr>
        <w:t xml:space="preserve"> </w:t>
      </w:r>
    </w:p>
    <w:p w14:paraId="296358D9" w14:textId="77777777" w:rsidR="007968EC" w:rsidRPr="00AC423B" w:rsidRDefault="007968EC" w:rsidP="007968EC">
      <w:pPr>
        <w:jc w:val="both"/>
        <w:rPr>
          <w:rFonts w:ascii="Arial Narrow" w:eastAsia="Calibri" w:hAnsi="Arial Narrow" w:cs="Arial"/>
          <w:b/>
          <w:lang w:val="es-ES" w:eastAsia="es-ES"/>
        </w:rPr>
      </w:pPr>
    </w:p>
    <w:p w14:paraId="635452D9" w14:textId="77777777" w:rsidR="007968EC" w:rsidRPr="00AC423B" w:rsidRDefault="007968EC" w:rsidP="007968EC">
      <w:pPr>
        <w:jc w:val="both"/>
        <w:rPr>
          <w:rFonts w:ascii="Arial Narrow" w:eastAsia="Calibri" w:hAnsi="Arial Narrow" w:cs="Arial"/>
          <w:b/>
          <w:lang w:eastAsia="es-ES"/>
        </w:rPr>
      </w:pPr>
      <w:r w:rsidRPr="00AC423B">
        <w:rPr>
          <w:rFonts w:ascii="Arial Narrow" w:eastAsia="Calibri" w:hAnsi="Arial Narrow" w:cs="Arial"/>
          <w:b/>
          <w:lang w:eastAsia="es-ES"/>
        </w:rPr>
        <w:t xml:space="preserve">Miembro Liquidador: </w:t>
      </w:r>
      <w:r w:rsidRPr="00AC423B">
        <w:rPr>
          <w:rFonts w:ascii="Arial Narrow" w:eastAsia="Calibri" w:hAnsi="Arial Narrow" w:cs="Arial"/>
          <w:lang w:eastAsia="es-ES"/>
        </w:rPr>
        <w:t>Clase de Miembro que tiene acceso directo a la Cámara, a través del cual ésta acreditará y debitará las Cuentas respectivas con el propósito de compensar, liquidar y garantizar ante la Cámara las Operaciones Aceptadas que se compensen y liquiden por su intermedio y que se hayan celebrado en una bolsa, un Sistema de Negociación, en el Mercado Mostrador o cualquier Mecanismo de Contratación. Un Miembro Liquidador podrá participar por su propia cuenta, esto es, en relación con sus propias Operaciones, por cuenta de Miembros no Liquidadores o por cuenta de Terceros.</w:t>
      </w:r>
    </w:p>
    <w:p w14:paraId="34FB3CC1" w14:textId="77777777" w:rsidR="007968EC" w:rsidRPr="00AC423B" w:rsidRDefault="007968EC" w:rsidP="007968EC">
      <w:pPr>
        <w:jc w:val="both"/>
        <w:rPr>
          <w:rFonts w:ascii="Arial Narrow" w:eastAsia="Calibri" w:hAnsi="Arial Narrow" w:cs="Arial"/>
          <w:b/>
          <w:lang w:eastAsia="es-ES"/>
        </w:rPr>
      </w:pPr>
    </w:p>
    <w:p w14:paraId="25567D80"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Miembro Liquidador General: </w:t>
      </w:r>
      <w:r w:rsidRPr="00AC423B">
        <w:rPr>
          <w:rFonts w:ascii="Arial Narrow" w:eastAsia="Calibri" w:hAnsi="Arial Narrow" w:cs="Arial"/>
          <w:lang w:val="es-ES" w:eastAsia="es-ES"/>
        </w:rPr>
        <w:t>Miembro que actúa por cuenta propia, por cuenta de Terceros, o por uno o varios Miembros no Liquidadores.</w:t>
      </w:r>
    </w:p>
    <w:p w14:paraId="0219529F" w14:textId="77777777" w:rsidR="007968EC" w:rsidRPr="00AC423B" w:rsidRDefault="007968EC" w:rsidP="007968EC">
      <w:pPr>
        <w:jc w:val="both"/>
        <w:rPr>
          <w:rFonts w:ascii="Arial Narrow" w:eastAsia="Calibri" w:hAnsi="Arial Narrow" w:cs="Arial"/>
          <w:b/>
          <w:lang w:val="es-ES" w:eastAsia="es-ES"/>
        </w:rPr>
      </w:pPr>
    </w:p>
    <w:p w14:paraId="20835D4E"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Miembro Liquidador Individual: </w:t>
      </w:r>
      <w:r w:rsidRPr="00AC423B">
        <w:rPr>
          <w:rFonts w:ascii="Arial Narrow" w:eastAsia="Calibri" w:hAnsi="Arial Narrow" w:cs="Arial"/>
          <w:lang w:val="es-ES" w:eastAsia="es-ES"/>
        </w:rPr>
        <w:t>Miembro que actúa por cuenta propia o por cuenta de Terceros.</w:t>
      </w:r>
    </w:p>
    <w:p w14:paraId="6A9F2E03" w14:textId="77777777" w:rsidR="007968EC" w:rsidRPr="00AC423B" w:rsidRDefault="007968EC" w:rsidP="007968EC">
      <w:pPr>
        <w:jc w:val="both"/>
        <w:rPr>
          <w:rFonts w:ascii="Arial Narrow" w:eastAsia="Calibri" w:hAnsi="Arial Narrow" w:cs="Arial"/>
          <w:b/>
          <w:lang w:val="es-ES" w:eastAsia="es-ES"/>
        </w:rPr>
      </w:pPr>
    </w:p>
    <w:p w14:paraId="77B50E2A"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Miembro no Liquidador: </w:t>
      </w:r>
      <w:r w:rsidRPr="00AC423B">
        <w:rPr>
          <w:rFonts w:ascii="Arial Narrow" w:eastAsia="Calibri" w:hAnsi="Arial Narrow" w:cs="Arial"/>
          <w:lang w:val="es-ES" w:eastAsia="es-ES"/>
        </w:rPr>
        <w:t>Clase de Miembro que tiene acceso directo a la Cámara cuyas liquidaciones con la misma se hacen a través de un Miembro Liquidador. Un Miembro no Liquidador podrá acudir a un Miembro Liquidador General por su propia cuenta, esto es, en relación con sus propias Operaciones o por cuenta de Terceros.</w:t>
      </w:r>
      <w:r w:rsidRPr="00AC423B">
        <w:rPr>
          <w:rFonts w:ascii="Arial Narrow" w:eastAsia="Calibri" w:hAnsi="Arial Narrow" w:cs="Arial"/>
          <w:b/>
          <w:lang w:val="es-ES" w:eastAsia="es-ES"/>
        </w:rPr>
        <w:t xml:space="preserve"> </w:t>
      </w:r>
    </w:p>
    <w:p w14:paraId="77ED62BB" w14:textId="77777777" w:rsidR="007968EC" w:rsidRPr="00AC423B" w:rsidRDefault="007968EC" w:rsidP="007968EC">
      <w:pPr>
        <w:jc w:val="both"/>
        <w:rPr>
          <w:rFonts w:ascii="Arial Narrow" w:eastAsia="Calibri" w:hAnsi="Arial Narrow" w:cs="Arial"/>
          <w:b/>
          <w:lang w:val="es-ES" w:eastAsia="es-ES"/>
        </w:rPr>
      </w:pPr>
    </w:p>
    <w:p w14:paraId="68F19B57" w14:textId="77777777" w:rsidR="007968EC" w:rsidRPr="00AC423B" w:rsidRDefault="007968EC" w:rsidP="007968EC">
      <w:pPr>
        <w:jc w:val="both"/>
        <w:rPr>
          <w:rFonts w:ascii="Arial Narrow" w:eastAsia="Calibri" w:hAnsi="Arial Narrow" w:cs="Arial"/>
          <w:lang w:val="es-ES" w:eastAsia="es-ES"/>
        </w:rPr>
      </w:pPr>
      <w:r w:rsidRPr="00AC423B">
        <w:rPr>
          <w:rFonts w:ascii="Arial Narrow" w:eastAsia="Calibri" w:hAnsi="Arial Narrow" w:cs="Arial"/>
          <w:b/>
          <w:lang w:val="es-ES" w:eastAsia="es-ES"/>
        </w:rPr>
        <w:t xml:space="preserve">Mnemotécnico o Nemotécnico: </w:t>
      </w:r>
      <w:r w:rsidRPr="00AC423B">
        <w:rPr>
          <w:rFonts w:ascii="Arial Narrow" w:eastAsia="Calibri" w:hAnsi="Arial Narrow" w:cs="Arial"/>
          <w:lang w:val="es-ES" w:eastAsia="es-ES"/>
        </w:rPr>
        <w:t>Código alfanumérico asignado por la Bolsa para identificar cada uno de los Instrumentos Financieros Derivados negociados y/o registrados a través del sistema que la Bolsa administra.</w:t>
      </w:r>
    </w:p>
    <w:p w14:paraId="17E138BE" w14:textId="77777777" w:rsidR="007968EC" w:rsidRPr="00AC423B" w:rsidRDefault="007968EC" w:rsidP="007968EC">
      <w:pPr>
        <w:jc w:val="both"/>
        <w:rPr>
          <w:rFonts w:ascii="Arial Narrow" w:eastAsia="Calibri" w:hAnsi="Arial Narrow" w:cs="Arial"/>
          <w:b/>
          <w:lang w:val="es-ES" w:eastAsia="es-ES"/>
        </w:rPr>
      </w:pPr>
    </w:p>
    <w:p w14:paraId="364A8639" w14:textId="77777777" w:rsidR="007968EC" w:rsidRPr="00AC423B" w:rsidRDefault="007968EC" w:rsidP="007968EC">
      <w:pPr>
        <w:jc w:val="both"/>
        <w:rPr>
          <w:rFonts w:ascii="Arial Narrow" w:eastAsia="Calibri" w:hAnsi="Arial Narrow"/>
          <w:u w:val="single"/>
          <w:lang w:val="es-ES"/>
        </w:rPr>
      </w:pPr>
      <w:r w:rsidRPr="00AC423B">
        <w:rPr>
          <w:rFonts w:ascii="Arial Narrow" w:eastAsia="Calibri" w:hAnsi="Arial Narrow"/>
          <w:b/>
          <w:lang w:val="es-ES"/>
        </w:rPr>
        <w:t>Monto Máximo por Operación (MMO)</w:t>
      </w:r>
      <w:r w:rsidRPr="00AC423B">
        <w:rPr>
          <w:rFonts w:ascii="Arial Narrow" w:eastAsia="Calibri" w:hAnsi="Arial Narrow"/>
          <w:lang w:val="es-ES"/>
        </w:rPr>
        <w:t xml:space="preserve">: Es el filtro de volumen correspondiente al importe efectivo que debe cumplir una Operación Susceptible de ser Aceptada para su aceptación por la Cámara sin que se haya validado previamente la entrega del mencionado importe por parte del Miembro, según se establezca en la presente Circular para un Segmento y/o Activo en particular. </w:t>
      </w:r>
    </w:p>
    <w:p w14:paraId="640C1132" w14:textId="77777777" w:rsidR="007968EC" w:rsidRPr="00AC423B" w:rsidRDefault="007968EC" w:rsidP="007968EC">
      <w:pPr>
        <w:ind w:left="720"/>
        <w:jc w:val="both"/>
        <w:rPr>
          <w:rFonts w:ascii="Arial Narrow" w:eastAsia="Calibri" w:hAnsi="Arial Narrow"/>
          <w:u w:val="single"/>
        </w:rPr>
      </w:pPr>
    </w:p>
    <w:p w14:paraId="3DFC98DC" w14:textId="77777777" w:rsidR="007968EC" w:rsidRPr="00AC423B" w:rsidRDefault="007968EC" w:rsidP="007968EC">
      <w:pPr>
        <w:jc w:val="both"/>
        <w:rPr>
          <w:rFonts w:ascii="Arial Narrow" w:eastAsia="Calibri" w:hAnsi="Arial Narrow"/>
          <w:lang w:val="es-ES"/>
        </w:rPr>
      </w:pPr>
      <w:r w:rsidRPr="00AC423B">
        <w:rPr>
          <w:rFonts w:ascii="Arial Narrow" w:eastAsia="Calibri" w:hAnsi="Arial Narrow"/>
          <w:b/>
          <w:lang w:val="es-ES"/>
        </w:rPr>
        <w:t>Monto Intradía por Miembro Liquidador (MIML)</w:t>
      </w:r>
      <w:r w:rsidRPr="00AC423B">
        <w:rPr>
          <w:rFonts w:ascii="Arial Narrow" w:eastAsia="Calibri" w:hAnsi="Arial Narrow"/>
          <w:lang w:val="es-ES"/>
        </w:rPr>
        <w:t>: Es el filtro de volumen correspondiente a un valor fijo definido a nivel de Miembro Liquidador, que será consumido por el Miembro Liquidador de acuerdo con las Operaciones Aceptadas por la Cámara dentro de su estructura de Cuentas en el respectivo Segmento y será liberado cada vez que el Miembro realice el pago del importe efectivo de la Operación para la cual se establezca el filtro. Este filtro se establecerá en la presente Circular para un Segmento y/o Activo en particular.</w:t>
      </w:r>
    </w:p>
    <w:p w14:paraId="1E8106C4" w14:textId="77777777" w:rsidR="007968EC" w:rsidRPr="00AC423B" w:rsidRDefault="007968EC" w:rsidP="007968EC">
      <w:pPr>
        <w:jc w:val="both"/>
        <w:rPr>
          <w:rFonts w:ascii="Arial Narrow" w:eastAsia="Calibri" w:hAnsi="Arial Narrow"/>
          <w:lang w:val="es-ES"/>
        </w:rPr>
      </w:pPr>
    </w:p>
    <w:p w14:paraId="56ED54AF"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Obligación Latente de Entrega (OLE): </w:t>
      </w:r>
      <w:r w:rsidRPr="00AC423B">
        <w:rPr>
          <w:rFonts w:ascii="Arial Narrow" w:eastAsia="Calibri" w:hAnsi="Arial Narrow" w:cs="Arial"/>
          <w:lang w:val="es-ES" w:eastAsia="es-ES"/>
        </w:rPr>
        <w:t>Es la obligación a cargo del Miembro Liquidador con posiciones de venta al vencimiento de los contratos, determinado en virtud del riesgo de incumplimiento en la entrega de las Posiciones Abiertas de venta de sus Cuentas, de las de sus Terceros o de las de sus Miembros no Liquidadores y de los Terceros de estos, según el caso. El OLE se determina mediante la sumatoria de dichas Posiciones Abiertas multiplicado por el valor nominal del respectivo contrato.</w:t>
      </w:r>
    </w:p>
    <w:p w14:paraId="69D6A25A" w14:textId="77777777" w:rsidR="007968EC" w:rsidRPr="00AC423B" w:rsidRDefault="007968EC" w:rsidP="007968EC">
      <w:pPr>
        <w:jc w:val="both"/>
        <w:rPr>
          <w:rFonts w:ascii="Arial Narrow" w:eastAsia="Calibri" w:hAnsi="Arial Narrow" w:cs="Arial"/>
          <w:b/>
          <w:lang w:val="es-ES_tradnl" w:eastAsia="es-ES"/>
        </w:rPr>
      </w:pPr>
    </w:p>
    <w:p w14:paraId="6A1F3C4C"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Opción: </w:t>
      </w:r>
      <w:r w:rsidRPr="00AC423B">
        <w:rPr>
          <w:rFonts w:ascii="Arial Narrow" w:eastAsia="Calibri" w:hAnsi="Arial Narrow" w:cs="Arial"/>
          <w:lang w:val="es-ES" w:eastAsia="es-ES"/>
        </w:rPr>
        <w:t>Contrato de Opción.</w:t>
      </w:r>
    </w:p>
    <w:p w14:paraId="4B591523" w14:textId="77777777" w:rsidR="007968EC" w:rsidRPr="00AC423B" w:rsidRDefault="007968EC" w:rsidP="007968EC">
      <w:pPr>
        <w:jc w:val="both"/>
        <w:rPr>
          <w:rFonts w:ascii="Arial Narrow" w:eastAsia="Calibri" w:hAnsi="Arial Narrow" w:cs="Arial"/>
          <w:b/>
          <w:lang w:val="es-ES" w:eastAsia="es-ES"/>
        </w:rPr>
      </w:pPr>
    </w:p>
    <w:p w14:paraId="338CBE47"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Opción Americana: </w:t>
      </w:r>
      <w:r w:rsidRPr="00AC423B">
        <w:rPr>
          <w:rFonts w:ascii="Arial Narrow" w:eastAsia="Calibri" w:hAnsi="Arial Narrow" w:cs="Arial"/>
          <w:lang w:val="es-ES" w:eastAsia="es-ES"/>
        </w:rPr>
        <w:t>Opción que puede ser ejercida en cualquier momento desde su celebración hasta su fecha de vencimiento.</w:t>
      </w:r>
    </w:p>
    <w:p w14:paraId="396C661C" w14:textId="77777777" w:rsidR="007968EC" w:rsidRPr="00AC423B" w:rsidRDefault="007968EC" w:rsidP="007968EC">
      <w:pPr>
        <w:jc w:val="both"/>
        <w:rPr>
          <w:rFonts w:ascii="Arial Narrow" w:eastAsia="Calibri" w:hAnsi="Arial Narrow" w:cs="Arial"/>
          <w:b/>
          <w:lang w:val="es-ES" w:eastAsia="es-ES"/>
        </w:rPr>
      </w:pPr>
    </w:p>
    <w:p w14:paraId="0E96227B"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Opción Europea: </w:t>
      </w:r>
      <w:r w:rsidRPr="00AC423B">
        <w:rPr>
          <w:rFonts w:ascii="Arial Narrow" w:eastAsia="Calibri" w:hAnsi="Arial Narrow" w:cs="Arial"/>
          <w:lang w:val="es-ES" w:eastAsia="es-ES"/>
        </w:rPr>
        <w:t>Opción que puede ser ejercida únicamente en la fecha de vencimiento del Contrato.</w:t>
      </w:r>
    </w:p>
    <w:p w14:paraId="30B58826" w14:textId="77777777" w:rsidR="007968EC" w:rsidRPr="00AC423B" w:rsidRDefault="007968EC" w:rsidP="007968EC">
      <w:pPr>
        <w:jc w:val="both"/>
        <w:rPr>
          <w:rFonts w:ascii="Arial Narrow" w:eastAsia="Calibri" w:hAnsi="Arial Narrow" w:cs="Arial"/>
          <w:b/>
          <w:lang w:val="es-ES" w:eastAsia="es-ES"/>
        </w:rPr>
      </w:pPr>
    </w:p>
    <w:p w14:paraId="3F34EDE0"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Operación(es): </w:t>
      </w:r>
      <w:r w:rsidRPr="00AC423B">
        <w:rPr>
          <w:rFonts w:ascii="Arial Narrow" w:eastAsia="Calibri" w:hAnsi="Arial Narrow" w:cs="Arial"/>
          <w:lang w:val="es-ES" w:eastAsia="es-ES"/>
        </w:rPr>
        <w:t>Orden de compra y de venta compatibles adjudicadas o calzadas por el sistema de negociación</w:t>
      </w:r>
      <w:r w:rsidRPr="00AC423B">
        <w:rPr>
          <w:rFonts w:ascii="Arial Narrow" w:hAnsi="Arial Narrow" w:cs="Arial"/>
          <w:b/>
          <w:lang w:val="es-ES" w:eastAsia="es-ES"/>
        </w:rPr>
        <w:t xml:space="preserve"> </w:t>
      </w:r>
      <w:r w:rsidRPr="00AC423B">
        <w:rPr>
          <w:rFonts w:ascii="Arial Narrow" w:eastAsia="Calibri" w:hAnsi="Arial Narrow" w:cs="Arial"/>
          <w:lang w:val="es-ES" w:eastAsia="es-ES"/>
        </w:rPr>
        <w:t>o Mecanismo de Contratación, a un precio determinado o aquella celebrada por fuera del mismo y registrada por los Miembros a un precio determinado.</w:t>
      </w:r>
    </w:p>
    <w:p w14:paraId="6C967C92" w14:textId="77777777" w:rsidR="007968EC" w:rsidRPr="00AC423B" w:rsidRDefault="007968EC" w:rsidP="007968EC">
      <w:pPr>
        <w:jc w:val="both"/>
        <w:rPr>
          <w:rFonts w:ascii="Arial Narrow" w:eastAsia="Calibri" w:hAnsi="Arial Narrow" w:cs="Arial"/>
          <w:b/>
          <w:lang w:val="es-ES" w:eastAsia="es-ES"/>
        </w:rPr>
      </w:pPr>
    </w:p>
    <w:p w14:paraId="6435D0D7"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Operaciones Aceptadas: </w:t>
      </w:r>
      <w:r w:rsidRPr="00AC423B">
        <w:rPr>
          <w:rFonts w:ascii="Arial Narrow" w:eastAsia="Calibri" w:hAnsi="Arial Narrow" w:cs="Arial"/>
          <w:lang w:val="es-ES" w:eastAsia="es-ES"/>
        </w:rPr>
        <w:t>son Operaciones Aceptadas por la Cámara para interponerse como Contraparte.</w:t>
      </w:r>
    </w:p>
    <w:p w14:paraId="7F99C635" w14:textId="77777777" w:rsidR="007968EC" w:rsidRPr="00AC423B" w:rsidRDefault="007968EC" w:rsidP="007968EC">
      <w:pPr>
        <w:jc w:val="both"/>
        <w:rPr>
          <w:rFonts w:ascii="Arial Narrow" w:eastAsia="Calibri" w:hAnsi="Arial Narrow" w:cs="Arial"/>
          <w:b/>
          <w:lang w:eastAsia="es-ES"/>
        </w:rPr>
      </w:pPr>
    </w:p>
    <w:p w14:paraId="4955D3FE" w14:textId="77777777" w:rsidR="007968EC" w:rsidRPr="00AC423B" w:rsidRDefault="007968EC" w:rsidP="007968EC">
      <w:pPr>
        <w:jc w:val="both"/>
        <w:rPr>
          <w:rFonts w:ascii="Arial Narrow" w:eastAsia="Calibri" w:hAnsi="Arial Narrow" w:cs="Arial"/>
          <w:b/>
          <w:lang w:eastAsia="es-ES"/>
        </w:rPr>
      </w:pPr>
      <w:r w:rsidRPr="00AC423B">
        <w:rPr>
          <w:rFonts w:ascii="Arial Narrow" w:eastAsia="Calibri" w:hAnsi="Arial Narrow" w:cs="Arial"/>
          <w:b/>
          <w:lang w:eastAsia="es-ES"/>
        </w:rPr>
        <w:t xml:space="preserve">Operaciones Susceptibles de ser Aceptadas: </w:t>
      </w:r>
      <w:r w:rsidRPr="00AC423B">
        <w:rPr>
          <w:rFonts w:ascii="Arial Narrow" w:eastAsia="Calibri" w:hAnsi="Arial Narrow" w:cs="Arial"/>
          <w:lang w:eastAsia="es-ES"/>
        </w:rPr>
        <w:t>Operaciones respecto de las cuales la Cámara puede interponerse como contraparte directa y/o administrar la Compensación y Liquidación de las mismas. Tales Operaciones son las siguientes: operaciones de contado, sobre Derivados, a plazo de cumplimiento efectivo o de cumplimiento financiero, repos, carrusel, transferencia temporal de valores, ventas en corto, simultáneas, realizadas sobre los Activos que en el Reglamento se autorizan, celebradas o registradas en las Bolsas, los sistemas de negociación, el Mercado Mostrador o cualquier Mecanismo de Contratación.</w:t>
      </w:r>
    </w:p>
    <w:p w14:paraId="7CB2911C" w14:textId="77777777" w:rsidR="007968EC" w:rsidRPr="00AC423B" w:rsidRDefault="007968EC" w:rsidP="007968EC">
      <w:pPr>
        <w:jc w:val="both"/>
        <w:rPr>
          <w:rFonts w:ascii="Arial Narrow" w:eastAsia="Calibri" w:hAnsi="Arial Narrow" w:cs="Arial"/>
          <w:b/>
          <w:lang w:eastAsia="es-ES"/>
        </w:rPr>
      </w:pPr>
    </w:p>
    <w:p w14:paraId="6975D734"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Operador (de Miembro): </w:t>
      </w:r>
      <w:r w:rsidRPr="00AC423B">
        <w:rPr>
          <w:rFonts w:ascii="Arial Narrow" w:eastAsia="Calibri" w:hAnsi="Arial Narrow" w:cs="Arial"/>
          <w:lang w:val="es-ES" w:eastAsia="es-ES"/>
        </w:rPr>
        <w:t>Persona vinculada a un Miembro, es decir, que haya celebrado con éste, directa o indirectamente, contrato de trabajo, agencia, mandato, prestación de servicios u otro equivalente, autorizada para acceder al Sistema de la Cámara, gestionar y/o supervisar las operaciones a través del Terminal del Miembro. Cada Estación de Trabajo del Miembro tiene un número que la identifica como un Operador único de dicho Miembro ante la Cámara.</w:t>
      </w:r>
      <w:r w:rsidRPr="00AC423B">
        <w:rPr>
          <w:rFonts w:ascii="Arial Narrow" w:eastAsia="Calibri" w:hAnsi="Arial Narrow" w:cs="Arial"/>
          <w:b/>
          <w:lang w:val="es-ES" w:eastAsia="es-ES"/>
        </w:rPr>
        <w:t xml:space="preserve"> </w:t>
      </w:r>
    </w:p>
    <w:p w14:paraId="68CDE5CB" w14:textId="77777777" w:rsidR="007968EC" w:rsidRDefault="007968EC" w:rsidP="007968EC">
      <w:pPr>
        <w:jc w:val="both"/>
        <w:rPr>
          <w:rFonts w:ascii="Arial Narrow" w:hAnsi="Arial Narrow" w:cs="Verdana"/>
        </w:rPr>
      </w:pPr>
    </w:p>
    <w:p w14:paraId="3DF578E9" w14:textId="77777777" w:rsidR="007968EC" w:rsidRPr="00AC423B" w:rsidRDefault="007968EC" w:rsidP="007968EC">
      <w:pPr>
        <w:jc w:val="both"/>
        <w:rPr>
          <w:rFonts w:ascii="Arial Narrow" w:hAnsi="Arial Narrow" w:cs="Verdana"/>
        </w:rPr>
      </w:pPr>
      <w:bookmarkStart w:id="139" w:name="_Hlk3271567"/>
      <w:r w:rsidRPr="00AC423B">
        <w:rPr>
          <w:rFonts w:ascii="Arial Narrow" w:eastAsia="Calibri" w:hAnsi="Arial Narrow"/>
          <w:b/>
          <w:color w:val="000000" w:themeColor="text1"/>
        </w:rPr>
        <w:t xml:space="preserve">PA (Price </w:t>
      </w:r>
      <w:proofErr w:type="spellStart"/>
      <w:r w:rsidRPr="00AC423B">
        <w:rPr>
          <w:rFonts w:ascii="Arial Narrow" w:eastAsia="Calibri" w:hAnsi="Arial Narrow"/>
          <w:b/>
          <w:color w:val="000000" w:themeColor="text1"/>
        </w:rPr>
        <w:t>Alignment</w:t>
      </w:r>
      <w:proofErr w:type="spellEnd"/>
      <w:r w:rsidRPr="00AC423B">
        <w:rPr>
          <w:rFonts w:ascii="Arial Narrow" w:eastAsia="Calibri" w:hAnsi="Arial Narrow"/>
          <w:b/>
          <w:color w:val="000000" w:themeColor="text1"/>
        </w:rPr>
        <w:t>):</w:t>
      </w:r>
      <w:r w:rsidRPr="00AC423B">
        <w:rPr>
          <w:sz w:val="20"/>
          <w:szCs w:val="20"/>
        </w:rPr>
        <w:t xml:space="preserve"> </w:t>
      </w:r>
      <w:r w:rsidRPr="00AC423B">
        <w:rPr>
          <w:rFonts w:ascii="Arial Narrow" w:hAnsi="Arial Narrow" w:cs="Verdana"/>
        </w:rPr>
        <w:t>En relación con el Segmento Swaps, es el monto calculado a la tasa IBR Overnight que el Miembro Liquidador paga o recibe</w:t>
      </w:r>
      <w:r>
        <w:rPr>
          <w:rFonts w:ascii="Arial Narrow" w:hAnsi="Arial Narrow" w:cs="Verdana"/>
        </w:rPr>
        <w:t xml:space="preserve"> según corresponda</w:t>
      </w:r>
      <w:r w:rsidRPr="00AC423B">
        <w:rPr>
          <w:rFonts w:ascii="Arial Narrow" w:hAnsi="Arial Narrow" w:cs="Verdana"/>
        </w:rPr>
        <w:t xml:space="preserve">, sobre el importe acumulado de la Garantía Variable recibida o entregada. A través del PA la Cámara neutraliza el efecto económico de la exigencia y liberación de la </w:t>
      </w:r>
      <w:r w:rsidRPr="00C74188">
        <w:rPr>
          <w:rFonts w:ascii="Arial Narrow" w:hAnsi="Arial Narrow" w:cs="Verdana"/>
        </w:rPr>
        <w:t xml:space="preserve">Garantía por Posición Variable. El </w:t>
      </w:r>
      <w:r w:rsidRPr="00AC423B">
        <w:rPr>
          <w:rFonts w:ascii="Arial Narrow" w:hAnsi="Arial Narrow" w:cs="Verdana"/>
        </w:rPr>
        <w:t xml:space="preserve">PA es un concepto asociado a la Garantía por Posición Variable que no corresponde a un criterio de inversión ni remuneración de las garantías. </w:t>
      </w:r>
    </w:p>
    <w:bookmarkEnd w:id="139"/>
    <w:p w14:paraId="0D2C4629" w14:textId="77777777" w:rsidR="007968EC" w:rsidRDefault="007968EC" w:rsidP="007968EC">
      <w:pPr>
        <w:jc w:val="both"/>
        <w:rPr>
          <w:rFonts w:ascii="Arial Narrow" w:hAnsi="Arial Narrow" w:cs="Verdana"/>
        </w:rPr>
      </w:pPr>
    </w:p>
    <w:p w14:paraId="768C3941" w14:textId="77777777" w:rsidR="007968EC" w:rsidRPr="00AC423B" w:rsidRDefault="007968EC" w:rsidP="007968EC">
      <w:pPr>
        <w:jc w:val="both"/>
        <w:rPr>
          <w:rFonts w:ascii="Arial Narrow" w:hAnsi="Arial Narrow" w:cs="Verdana"/>
        </w:rPr>
      </w:pPr>
      <w:r w:rsidRPr="00AC423B">
        <w:rPr>
          <w:rFonts w:ascii="Arial Narrow" w:eastAsia="Calibri" w:hAnsi="Arial Narrow"/>
          <w:b/>
          <w:color w:val="000000" w:themeColor="text1"/>
        </w:rPr>
        <w:t>Pago Adicional:</w:t>
      </w:r>
      <w:r w:rsidRPr="00AC423B">
        <w:rPr>
          <w:rFonts w:ascii="Arial" w:hAnsi="Arial" w:cs="Arial"/>
        </w:rPr>
        <w:t xml:space="preserve"> </w:t>
      </w:r>
      <w:r w:rsidRPr="00AC423B">
        <w:rPr>
          <w:rFonts w:ascii="Arial Narrow" w:hAnsi="Arial Narrow" w:cs="Verdana"/>
        </w:rPr>
        <w:t xml:space="preserve">En relación con el Segmento Swaps, </w:t>
      </w:r>
      <w:r>
        <w:rPr>
          <w:rFonts w:ascii="Arial Narrow" w:hAnsi="Arial Narrow" w:cs="Verdana"/>
        </w:rPr>
        <w:t>es el</w:t>
      </w:r>
      <w:r w:rsidRPr="00AC423B">
        <w:rPr>
          <w:rFonts w:ascii="Arial Narrow" w:hAnsi="Arial Narrow" w:cs="Verdana"/>
        </w:rPr>
        <w:t xml:space="preserve"> pago </w:t>
      </w:r>
      <w:proofErr w:type="gramStart"/>
      <w:r w:rsidRPr="00AC423B">
        <w:rPr>
          <w:rFonts w:ascii="Arial Narrow" w:hAnsi="Arial Narrow" w:cs="Verdana"/>
        </w:rPr>
        <w:t>que  acuerdan</w:t>
      </w:r>
      <w:proofErr w:type="gramEnd"/>
      <w:r w:rsidRPr="00AC423B">
        <w:rPr>
          <w:rFonts w:ascii="Arial Narrow" w:hAnsi="Arial Narrow" w:cs="Verdana"/>
        </w:rPr>
        <w:t xml:space="preserve"> entre las partes originales del Swap </w:t>
      </w:r>
      <w:r>
        <w:rPr>
          <w:rFonts w:ascii="Arial Narrow" w:hAnsi="Arial Narrow" w:cs="Verdana"/>
        </w:rPr>
        <w:t xml:space="preserve">en caso de Terminación Anticipada, que debe constar dentro del contrato marco o documentos relacionados y que hace parte de los Términos Económicos, </w:t>
      </w:r>
      <w:r w:rsidRPr="00AC423B">
        <w:rPr>
          <w:rFonts w:ascii="Arial Narrow" w:hAnsi="Arial Narrow" w:cs="Verdana"/>
        </w:rPr>
        <w:t>de forma adicional a los correspondientes Cupones derivados de las operaciones. La liquidación de los pagos adicionales se realiza por la Cámara sumando los pagos adicionales a recibir y restando los pagos adicionales a pagar con la misma fecha de pago.</w:t>
      </w:r>
    </w:p>
    <w:p w14:paraId="7C7D72D0" w14:textId="77777777" w:rsidR="007968EC" w:rsidRPr="00AC423B" w:rsidRDefault="007968EC" w:rsidP="007968EC">
      <w:pPr>
        <w:jc w:val="both"/>
        <w:rPr>
          <w:rFonts w:ascii="Arial Narrow" w:hAnsi="Arial Narrow" w:cs="Verdana"/>
        </w:rPr>
      </w:pPr>
    </w:p>
    <w:p w14:paraId="73AA8DAB" w14:textId="77777777" w:rsidR="007968EC" w:rsidRPr="00AC423B" w:rsidRDefault="007968EC" w:rsidP="007968EC">
      <w:pPr>
        <w:jc w:val="both"/>
        <w:rPr>
          <w:rFonts w:ascii="Arial Narrow" w:hAnsi="Arial Narrow" w:cs="Verdana"/>
        </w:rPr>
      </w:pPr>
      <w:r w:rsidRPr="00AC423B">
        <w:rPr>
          <w:rFonts w:ascii="Arial Narrow" w:eastAsia="Calibri" w:hAnsi="Arial Narrow"/>
          <w:b/>
          <w:color w:val="000000" w:themeColor="text1"/>
        </w:rPr>
        <w:t xml:space="preserve">Permuta financiera básica (Swap genérico) (Swaps): </w:t>
      </w:r>
      <w:r w:rsidRPr="00AC423B">
        <w:rPr>
          <w:rFonts w:ascii="Arial Narrow" w:hAnsi="Arial Narrow" w:cs="Verdana"/>
        </w:rPr>
        <w:t>Es un contrato entre dos (2) partes, mediante el cual se establece la obligación bilateral de intercambiar una serie de flujos por un período de tiempo determinado, en fechas preestablecidas de conformidad con lo dispuesto en el Capítulo XVIII de la Circular Básica Contable y Financiera de la Superintendencia Financiera de Colombia.</w:t>
      </w:r>
    </w:p>
    <w:p w14:paraId="7109DFEA" w14:textId="77777777" w:rsidR="007968EC" w:rsidRDefault="007968EC" w:rsidP="007968EC">
      <w:pPr>
        <w:jc w:val="both"/>
        <w:rPr>
          <w:rFonts w:ascii="Arial Narrow" w:eastAsia="Calibri" w:hAnsi="Arial Narrow"/>
          <w:b/>
          <w:color w:val="000000" w:themeColor="text1"/>
        </w:rPr>
      </w:pPr>
    </w:p>
    <w:p w14:paraId="22E00B85" w14:textId="77777777" w:rsidR="007968EC" w:rsidRDefault="007968EC" w:rsidP="007968EC">
      <w:pPr>
        <w:jc w:val="both"/>
        <w:rPr>
          <w:sz w:val="23"/>
          <w:szCs w:val="23"/>
        </w:rPr>
      </w:pPr>
      <w:r w:rsidRPr="00A5131A">
        <w:rPr>
          <w:rFonts w:ascii="Arial Narrow" w:eastAsia="Calibri" w:hAnsi="Arial Narrow"/>
          <w:b/>
          <w:color w:val="000000" w:themeColor="text1"/>
        </w:rPr>
        <w:lastRenderedPageBreak/>
        <w:t xml:space="preserve">Permuta financiera de moneda </w:t>
      </w:r>
      <w:r>
        <w:rPr>
          <w:rFonts w:ascii="Arial Narrow" w:eastAsia="Calibri" w:hAnsi="Arial Narrow"/>
          <w:b/>
          <w:color w:val="000000" w:themeColor="text1"/>
        </w:rPr>
        <w:t xml:space="preserve"> (</w:t>
      </w:r>
      <w:r w:rsidRPr="00A5131A">
        <w:rPr>
          <w:rFonts w:ascii="Arial Narrow" w:eastAsia="Calibri" w:hAnsi="Arial Narrow"/>
          <w:b/>
          <w:color w:val="000000" w:themeColor="text1"/>
        </w:rPr>
        <w:t>Cross Currency Basis Swap Overnight</w:t>
      </w:r>
      <w:r>
        <w:rPr>
          <w:rFonts w:ascii="Arial Narrow" w:eastAsia="Calibri" w:hAnsi="Arial Narrow"/>
          <w:b/>
          <w:color w:val="000000" w:themeColor="text1"/>
        </w:rPr>
        <w:t>)</w:t>
      </w:r>
      <w:r w:rsidRPr="00A5131A">
        <w:rPr>
          <w:rFonts w:ascii="Arial Narrow" w:eastAsia="Calibri" w:hAnsi="Arial Narrow"/>
          <w:b/>
          <w:color w:val="000000" w:themeColor="text1"/>
        </w:rPr>
        <w:t xml:space="preserve"> (CCBSO):</w:t>
      </w:r>
      <w:r w:rsidRPr="00A5131A">
        <w:rPr>
          <w:sz w:val="23"/>
          <w:szCs w:val="23"/>
        </w:rPr>
        <w:t xml:space="preserve"> </w:t>
      </w:r>
      <w:r w:rsidRPr="00A5131A">
        <w:rPr>
          <w:rFonts w:ascii="Arial Narrow" w:hAnsi="Arial Narrow" w:cs="Verdana"/>
        </w:rPr>
        <w:t xml:space="preserve">Contrato por </w:t>
      </w:r>
      <w:r>
        <w:rPr>
          <w:rFonts w:ascii="Arial Narrow" w:hAnsi="Arial Narrow" w:cs="Verdana"/>
        </w:rPr>
        <w:t>el</w:t>
      </w:r>
      <w:r w:rsidRPr="00A5131A">
        <w:rPr>
          <w:rFonts w:ascii="Arial Narrow" w:hAnsi="Arial Narrow" w:cs="Verdana"/>
        </w:rPr>
        <w:t xml:space="preserve"> cual, las partes intercambian flujos sobre montos nominales denominados en distintas monedas, los cuales necesariamente están referidos a diferentes tasas de interés variables.</w:t>
      </w:r>
      <w:r w:rsidRPr="00A5131A">
        <w:rPr>
          <w:rFonts w:ascii="Arial Narrow" w:eastAsia="Calibri" w:hAnsi="Arial Narrow"/>
          <w:color w:val="000000" w:themeColor="text1"/>
        </w:rPr>
        <w:t xml:space="preserve"> En el caso del CCSBO, la tasa de interés variable denominada en COP se determina con base en la mediana de las cotizaciones de </w:t>
      </w:r>
      <w:proofErr w:type="gramStart"/>
      <w:r w:rsidRPr="00A5131A">
        <w:rPr>
          <w:rFonts w:ascii="Arial Narrow" w:eastAsia="Calibri" w:hAnsi="Arial Narrow"/>
          <w:color w:val="000000" w:themeColor="text1"/>
        </w:rPr>
        <w:t>los  bancos</w:t>
      </w:r>
      <w:proofErr w:type="gramEnd"/>
      <w:r w:rsidRPr="00A5131A">
        <w:rPr>
          <w:rFonts w:ascii="Arial Narrow" w:eastAsia="Calibri" w:hAnsi="Arial Narrow"/>
          <w:color w:val="000000" w:themeColor="text1"/>
        </w:rPr>
        <w:t xml:space="preserve"> participantes del esquema de formación del IBR a un día.</w:t>
      </w:r>
    </w:p>
    <w:p w14:paraId="0826BC5F" w14:textId="77777777" w:rsidR="007968EC" w:rsidRDefault="007968EC" w:rsidP="007968EC">
      <w:pPr>
        <w:jc w:val="both"/>
        <w:rPr>
          <w:rFonts w:ascii="Arial Narrow" w:eastAsia="Calibri" w:hAnsi="Arial Narrow"/>
          <w:b/>
          <w:color w:val="000000" w:themeColor="text1"/>
        </w:rPr>
      </w:pPr>
    </w:p>
    <w:p w14:paraId="51152DD3" w14:textId="77777777" w:rsidR="007968EC" w:rsidRPr="00AC423B" w:rsidRDefault="007968EC" w:rsidP="007968EC">
      <w:pPr>
        <w:jc w:val="both"/>
        <w:rPr>
          <w:rFonts w:ascii="Arial Narrow" w:eastAsia="Calibri" w:hAnsi="Arial Narrow"/>
          <w:color w:val="000000" w:themeColor="text1"/>
        </w:rPr>
      </w:pPr>
      <w:r w:rsidRPr="00AC423B">
        <w:rPr>
          <w:rFonts w:ascii="Arial Narrow" w:eastAsia="Calibri" w:hAnsi="Arial Narrow"/>
          <w:b/>
          <w:color w:val="000000" w:themeColor="text1"/>
        </w:rPr>
        <w:t>Permuta financiera de tasa de interés (Interest Rate Swap) (IRS):</w:t>
      </w:r>
      <w:r w:rsidRPr="00AC423B">
        <w:rPr>
          <w:rFonts w:ascii="Arial Narrow" w:eastAsia="Calibri" w:hAnsi="Arial Narrow"/>
          <w:color w:val="000000" w:themeColor="text1"/>
        </w:rPr>
        <w:t xml:space="preserve"> Contrato por </w:t>
      </w:r>
      <w:r>
        <w:rPr>
          <w:rFonts w:ascii="Arial Narrow" w:eastAsia="Calibri" w:hAnsi="Arial Narrow"/>
          <w:color w:val="000000" w:themeColor="text1"/>
        </w:rPr>
        <w:t>el</w:t>
      </w:r>
      <w:r w:rsidRPr="00AC423B">
        <w:rPr>
          <w:rFonts w:ascii="Arial Narrow" w:eastAsia="Calibri" w:hAnsi="Arial Narrow"/>
          <w:color w:val="000000" w:themeColor="text1"/>
        </w:rPr>
        <w:t xml:space="preserve"> cual, las partes acuerdan intercambiarse entre sí el pago de cantidades resultantes de aplicar una tasa fija y una tasa variable sobre un importe nominal por un período de tiempo determinado, en fechas preestablecidas.</w:t>
      </w:r>
    </w:p>
    <w:p w14:paraId="348BE307" w14:textId="77777777" w:rsidR="007968EC" w:rsidRPr="00AC423B" w:rsidRDefault="007968EC" w:rsidP="007968EC">
      <w:pPr>
        <w:jc w:val="both"/>
        <w:rPr>
          <w:rFonts w:ascii="Arial Narrow" w:eastAsia="Calibri" w:hAnsi="Arial Narrow"/>
          <w:color w:val="000000" w:themeColor="text1"/>
        </w:rPr>
      </w:pPr>
    </w:p>
    <w:p w14:paraId="7591422E" w14:textId="77777777" w:rsidR="007968EC" w:rsidRPr="008E3CAA" w:rsidRDefault="007968EC" w:rsidP="007968EC">
      <w:pPr>
        <w:jc w:val="both"/>
      </w:pPr>
      <w:r w:rsidRPr="008E3CAA">
        <w:rPr>
          <w:rFonts w:ascii="Arial Narrow" w:eastAsia="Calibri" w:hAnsi="Arial Narrow"/>
          <w:b/>
          <w:color w:val="000000" w:themeColor="text1"/>
        </w:rPr>
        <w:t xml:space="preserve">Permuta financiera de tasa de interés Overnight (Overnight </w:t>
      </w:r>
      <w:proofErr w:type="spellStart"/>
      <w:r w:rsidRPr="008E3CAA">
        <w:rPr>
          <w:rFonts w:ascii="Arial Narrow" w:eastAsia="Calibri" w:hAnsi="Arial Narrow"/>
          <w:b/>
          <w:color w:val="000000" w:themeColor="text1"/>
        </w:rPr>
        <w:t>Index</w:t>
      </w:r>
      <w:proofErr w:type="spellEnd"/>
      <w:r w:rsidRPr="008E3CAA">
        <w:rPr>
          <w:rFonts w:ascii="Arial Narrow" w:eastAsia="Calibri" w:hAnsi="Arial Narrow"/>
          <w:b/>
          <w:color w:val="000000" w:themeColor="text1"/>
        </w:rPr>
        <w:t xml:space="preserve"> Swap ) (OIS): </w:t>
      </w:r>
      <w:r w:rsidRPr="008E3CAA">
        <w:rPr>
          <w:rFonts w:ascii="Arial Narrow" w:eastAsia="Calibri" w:hAnsi="Arial Narrow"/>
          <w:color w:val="000000" w:themeColor="text1"/>
        </w:rPr>
        <w:t>Contrato por el cual las partes acuerdan intercambiarse entre sí el pago de cantidades resultantes de aplicar una tasa fija y una tasa variable IBR Overnight sobre un importe nominal por un período de tiempo determinado, en fechas preestablecidas. En el caso del OIS, la tasa de interés variable se determina con base en la mediana de las cotizaciones de los ocho bancos participantes del esquema de formación del IBR a un día.</w:t>
      </w:r>
    </w:p>
    <w:p w14:paraId="60A4D938" w14:textId="77777777" w:rsidR="007968EC" w:rsidRPr="00AC423B" w:rsidRDefault="007968EC" w:rsidP="007968EC">
      <w:pPr>
        <w:jc w:val="both"/>
        <w:rPr>
          <w:rFonts w:ascii="Arial Narrow" w:eastAsia="Calibri" w:hAnsi="Arial Narrow" w:cs="Arial"/>
          <w:b/>
          <w:lang w:val="es-ES" w:eastAsia="es-ES"/>
        </w:rPr>
      </w:pPr>
    </w:p>
    <w:p w14:paraId="2F2E1296"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Posición Abierta: </w:t>
      </w:r>
      <w:r w:rsidRPr="00AC423B">
        <w:rPr>
          <w:rFonts w:ascii="Arial Narrow" w:eastAsia="Calibri" w:hAnsi="Arial Narrow" w:cs="Arial"/>
          <w:lang w:val="es-ES" w:eastAsia="es-ES"/>
        </w:rPr>
        <w:t>Conjunto de operaciones registradas y no neteadas en una Cuenta</w:t>
      </w:r>
    </w:p>
    <w:p w14:paraId="158BC4C9" w14:textId="77777777" w:rsidR="007968EC" w:rsidRPr="00AC423B" w:rsidRDefault="007968EC" w:rsidP="007968EC">
      <w:pPr>
        <w:jc w:val="both"/>
        <w:rPr>
          <w:rFonts w:ascii="Arial Narrow" w:eastAsia="Calibri" w:hAnsi="Arial Narrow" w:cs="Arial"/>
          <w:b/>
          <w:lang w:val="es-ES" w:eastAsia="es-ES"/>
        </w:rPr>
      </w:pPr>
    </w:p>
    <w:p w14:paraId="2E0900A7" w14:textId="77777777" w:rsidR="007968EC" w:rsidRPr="00AC423B" w:rsidRDefault="007968EC" w:rsidP="007968EC">
      <w:pPr>
        <w:jc w:val="both"/>
        <w:rPr>
          <w:rFonts w:ascii="Arial Narrow" w:eastAsia="Calibri" w:hAnsi="Arial Narrow" w:cs="Arial"/>
          <w:b/>
          <w:color w:val="000000"/>
          <w:lang w:val="es-ES" w:eastAsia="es-ES"/>
        </w:rPr>
      </w:pPr>
      <w:r w:rsidRPr="00AC423B">
        <w:rPr>
          <w:rFonts w:ascii="Arial Narrow" w:eastAsia="Calibri" w:hAnsi="Arial Narrow" w:cs="Arial"/>
          <w:b/>
          <w:lang w:val="es-ES" w:eastAsia="es-ES"/>
        </w:rPr>
        <w:t xml:space="preserve">Posición (Cierre de): </w:t>
      </w:r>
      <w:r w:rsidRPr="00AC423B">
        <w:rPr>
          <w:rFonts w:ascii="Arial Narrow" w:eastAsia="Calibri" w:hAnsi="Arial Narrow" w:cs="Arial"/>
          <w:lang w:val="es-ES" w:eastAsia="es-ES"/>
        </w:rPr>
        <w:t xml:space="preserve">Conjunto de operaciones contrarias que permiten que al netear la Posición Abierta de una </w:t>
      </w:r>
      <w:r w:rsidRPr="00AC423B">
        <w:rPr>
          <w:rFonts w:ascii="Arial Narrow" w:eastAsia="Calibri" w:hAnsi="Arial Narrow" w:cs="Arial"/>
          <w:color w:val="000000"/>
          <w:lang w:val="es-ES" w:eastAsia="es-ES"/>
        </w:rPr>
        <w:t>Cuenta, se establecen (i) la Liquidación por Diferencias acumuladas, durante la vigencia de la Operación, por variaciones en los precios y (ii) las obligaciones recíprocas.</w:t>
      </w:r>
      <w:r w:rsidRPr="00AC423B">
        <w:rPr>
          <w:rFonts w:ascii="Arial Narrow" w:eastAsia="Calibri" w:hAnsi="Arial Narrow" w:cs="Arial"/>
          <w:b/>
          <w:color w:val="000000"/>
          <w:lang w:val="es-ES" w:eastAsia="es-ES"/>
        </w:rPr>
        <w:t xml:space="preserve">  </w:t>
      </w:r>
    </w:p>
    <w:p w14:paraId="2A6AD1E6" w14:textId="77777777" w:rsidR="007968EC" w:rsidRPr="00AC423B" w:rsidRDefault="007968EC" w:rsidP="007968EC">
      <w:pPr>
        <w:jc w:val="both"/>
        <w:rPr>
          <w:rFonts w:ascii="Arial Narrow" w:eastAsia="Calibri" w:hAnsi="Arial Narrow" w:cs="Arial"/>
          <w:b/>
          <w:color w:val="000000"/>
          <w:lang w:val="es-ES" w:eastAsia="es-ES"/>
        </w:rPr>
      </w:pPr>
    </w:p>
    <w:p w14:paraId="5F03261E" w14:textId="77777777" w:rsidR="007968EC" w:rsidRPr="00AC423B" w:rsidRDefault="007968EC" w:rsidP="007968EC">
      <w:pPr>
        <w:jc w:val="both"/>
        <w:rPr>
          <w:rFonts w:ascii="Arial Narrow" w:hAnsi="Arial Narrow" w:cs="Arial"/>
          <w:color w:val="000000"/>
          <w:lang w:val="es-ES" w:eastAsia="es-ES"/>
        </w:rPr>
      </w:pPr>
      <w:r w:rsidRPr="00AC423B">
        <w:rPr>
          <w:rFonts w:ascii="Arial Narrow" w:hAnsi="Arial Narrow" w:cs="Arial"/>
          <w:b/>
          <w:color w:val="000000"/>
          <w:lang w:val="es-ES" w:eastAsia="es-ES"/>
        </w:rPr>
        <w:t xml:space="preserve">Precio de Ejercicio (Strike): </w:t>
      </w:r>
      <w:r w:rsidRPr="00AC423B">
        <w:rPr>
          <w:rFonts w:ascii="Arial Narrow" w:hAnsi="Arial Narrow" w:cs="Arial"/>
          <w:color w:val="000000"/>
          <w:lang w:val="es-ES" w:eastAsia="es-ES"/>
        </w:rPr>
        <w:t xml:space="preserve">Precio al cual el comprador de la Opción puede comprar (para una Call) o vender (para una </w:t>
      </w:r>
      <w:proofErr w:type="spellStart"/>
      <w:r w:rsidRPr="00AC423B">
        <w:rPr>
          <w:rFonts w:ascii="Arial Narrow" w:hAnsi="Arial Narrow" w:cs="Arial"/>
          <w:color w:val="000000"/>
          <w:lang w:val="es-ES" w:eastAsia="es-ES"/>
        </w:rPr>
        <w:t>Put</w:t>
      </w:r>
      <w:proofErr w:type="spellEnd"/>
      <w:r w:rsidRPr="00AC423B">
        <w:rPr>
          <w:rFonts w:ascii="Arial Narrow" w:hAnsi="Arial Narrow" w:cs="Arial"/>
          <w:color w:val="000000"/>
          <w:lang w:val="es-ES" w:eastAsia="es-ES"/>
        </w:rPr>
        <w:t>) el Activo Subyacente al momento del ejercicio de la Opción.</w:t>
      </w:r>
    </w:p>
    <w:p w14:paraId="16DA2445" w14:textId="77777777" w:rsidR="007968EC" w:rsidRPr="00AC423B" w:rsidRDefault="007968EC" w:rsidP="007968EC">
      <w:pPr>
        <w:jc w:val="both"/>
        <w:rPr>
          <w:rFonts w:ascii="Arial Narrow" w:hAnsi="Arial Narrow" w:cs="Arial"/>
          <w:b/>
          <w:color w:val="000000"/>
          <w:lang w:val="es-ES" w:eastAsia="es-ES"/>
        </w:rPr>
      </w:pPr>
    </w:p>
    <w:p w14:paraId="49AE1699" w14:textId="77777777" w:rsidR="007968EC" w:rsidRPr="00AC423B" w:rsidRDefault="007968EC" w:rsidP="007968EC">
      <w:pPr>
        <w:jc w:val="both"/>
        <w:rPr>
          <w:rFonts w:ascii="Arial Narrow" w:hAnsi="Arial Narrow" w:cs="Arial"/>
          <w:b/>
          <w:color w:val="000000"/>
          <w:lang w:val="es-ES" w:eastAsia="es-ES"/>
        </w:rPr>
      </w:pPr>
      <w:r w:rsidRPr="00AC423B">
        <w:rPr>
          <w:rFonts w:ascii="Arial Narrow" w:hAnsi="Arial Narrow" w:cs="Arial"/>
          <w:b/>
          <w:color w:val="000000"/>
          <w:lang w:val="es-ES" w:eastAsia="es-ES"/>
        </w:rPr>
        <w:t xml:space="preserve">Prima de una Opción: </w:t>
      </w:r>
      <w:r w:rsidRPr="00AC423B">
        <w:rPr>
          <w:rFonts w:ascii="Arial Narrow" w:hAnsi="Arial Narrow" w:cs="Arial"/>
          <w:color w:val="000000"/>
          <w:lang w:val="es-ES" w:eastAsia="es-ES"/>
        </w:rPr>
        <w:t>Corresponde al valor por el cual las partes negocian la opción.</w:t>
      </w:r>
    </w:p>
    <w:p w14:paraId="36A5D9E1" w14:textId="77777777" w:rsidR="007968EC" w:rsidRPr="00AC423B" w:rsidRDefault="007968EC" w:rsidP="007968EC">
      <w:pPr>
        <w:jc w:val="both"/>
        <w:rPr>
          <w:rFonts w:ascii="Arial Narrow" w:eastAsia="Calibri" w:hAnsi="Arial Narrow"/>
          <w:b/>
          <w:color w:val="000000"/>
        </w:rPr>
      </w:pPr>
    </w:p>
    <w:p w14:paraId="13A44E9A" w14:textId="77777777" w:rsidR="007968EC" w:rsidRPr="00AC423B" w:rsidRDefault="007968EC" w:rsidP="007968EC">
      <w:pPr>
        <w:jc w:val="both"/>
        <w:rPr>
          <w:rFonts w:ascii="Arial Narrow" w:eastAsia="Calibri" w:hAnsi="Arial Narrow" w:cs="Arial"/>
          <w:b/>
          <w:lang w:eastAsia="es-ES"/>
        </w:rPr>
      </w:pPr>
      <w:r w:rsidRPr="00AC423B">
        <w:rPr>
          <w:rFonts w:ascii="Arial Narrow" w:eastAsia="Calibri" w:hAnsi="Arial Narrow" w:cs="Arial"/>
          <w:b/>
          <w:lang w:eastAsia="es-ES"/>
        </w:rPr>
        <w:t xml:space="preserve">Precio Justo de Intercambio: </w:t>
      </w:r>
      <w:r w:rsidRPr="00AC423B">
        <w:rPr>
          <w:rFonts w:ascii="Arial Narrow" w:eastAsia="Calibri" w:hAnsi="Arial Narrow" w:cs="Arial"/>
          <w:lang w:val="es-ES_tradnl" w:eastAsia="es-ES"/>
        </w:rPr>
        <w:t>Precio por el cual un comprador y un vendedor están dispuestos a transar el correspondiente instrumento financiero derivado o producto estructurado, de acuerdo con las características particulares del instrumento o producto y dentro de las condiciones prevalecientes en el mercado en la fecha de negociación.</w:t>
      </w:r>
    </w:p>
    <w:p w14:paraId="216836D3" w14:textId="77777777" w:rsidR="007968EC" w:rsidRPr="00AC423B" w:rsidRDefault="007968EC" w:rsidP="007968EC">
      <w:pPr>
        <w:jc w:val="both"/>
        <w:rPr>
          <w:rFonts w:ascii="Arial Narrow" w:eastAsia="Calibri" w:hAnsi="Arial Narrow" w:cs="Arial"/>
          <w:b/>
          <w:lang w:eastAsia="es-ES"/>
        </w:rPr>
      </w:pPr>
    </w:p>
    <w:p w14:paraId="360BFE11" w14:textId="77777777" w:rsidR="007968EC" w:rsidRPr="00AC423B" w:rsidRDefault="007968EC" w:rsidP="007968EC">
      <w:pPr>
        <w:jc w:val="both"/>
        <w:rPr>
          <w:rFonts w:ascii="Arial Narrow" w:eastAsia="Calibri" w:hAnsi="Arial Narrow" w:cs="Arial"/>
          <w:b/>
          <w:lang w:eastAsia="es-ES"/>
        </w:rPr>
      </w:pPr>
      <w:r w:rsidRPr="00AC423B">
        <w:rPr>
          <w:rFonts w:ascii="Arial Narrow" w:eastAsia="Calibri" w:hAnsi="Arial Narrow" w:cs="Arial"/>
          <w:b/>
          <w:lang w:val="es-ES" w:eastAsia="es-ES"/>
        </w:rPr>
        <w:t xml:space="preserve">Precio de Liquidación para Contratos (al Cierre de Sesión): </w:t>
      </w:r>
      <w:r w:rsidRPr="00AC423B">
        <w:rPr>
          <w:rFonts w:ascii="Arial Narrow" w:eastAsia="Calibri" w:hAnsi="Arial Narrow" w:cs="Arial"/>
          <w:lang w:val="es-ES" w:eastAsia="es-ES"/>
        </w:rPr>
        <w:t>Precio representativo de cada Contrato, recibido del Proveedor Oficial de Precios para Valoración al finalizar una sesión de negociación.</w:t>
      </w:r>
      <w:r w:rsidRPr="00AC423B">
        <w:rPr>
          <w:rFonts w:ascii="Arial Narrow" w:eastAsia="Calibri" w:hAnsi="Arial Narrow" w:cs="Arial"/>
          <w:lang w:eastAsia="es-ES"/>
        </w:rPr>
        <w:t xml:space="preserve"> Así como con el que se realiza el ajuste diario de Garantías de Contratos de Futuros cuyo Tipo de Liquidación incluya Liquidación únicamente al Vencimiento.</w:t>
      </w:r>
    </w:p>
    <w:p w14:paraId="051E9B9C" w14:textId="77777777" w:rsidR="007968EC" w:rsidRPr="00AC423B" w:rsidRDefault="007968EC" w:rsidP="007968EC">
      <w:pPr>
        <w:jc w:val="both"/>
        <w:rPr>
          <w:rFonts w:ascii="Arial Narrow" w:eastAsia="Calibri" w:hAnsi="Arial Narrow" w:cs="Arial"/>
          <w:b/>
          <w:lang w:eastAsia="es-ES"/>
        </w:rPr>
      </w:pPr>
    </w:p>
    <w:p w14:paraId="02446374"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Precio de Margin Call: </w:t>
      </w:r>
      <w:r w:rsidRPr="00AC423B">
        <w:rPr>
          <w:rFonts w:ascii="Arial Narrow" w:eastAsia="Calibri" w:hAnsi="Arial Narrow" w:cs="Arial"/>
          <w:lang w:val="es-ES" w:eastAsia="es-ES"/>
        </w:rPr>
        <w:t>Representa el precio al cual la Cámara realizará el cálculo del Importe de Margin Call para cada vencimiento de un Instrumento.</w:t>
      </w:r>
    </w:p>
    <w:p w14:paraId="14A7F9F6" w14:textId="77777777" w:rsidR="007968EC" w:rsidRPr="00AC423B" w:rsidRDefault="007968EC" w:rsidP="007968EC">
      <w:pPr>
        <w:jc w:val="both"/>
        <w:rPr>
          <w:rFonts w:ascii="Arial Narrow" w:eastAsia="Calibri" w:hAnsi="Arial Narrow" w:cs="Arial"/>
          <w:b/>
          <w:lang w:val="es-ES" w:eastAsia="es-ES"/>
        </w:rPr>
      </w:pPr>
    </w:p>
    <w:p w14:paraId="0B2D1B47" w14:textId="77777777" w:rsidR="007968EC" w:rsidRPr="00AC423B" w:rsidRDefault="007968EC" w:rsidP="007968EC">
      <w:pPr>
        <w:jc w:val="both"/>
        <w:rPr>
          <w:rFonts w:ascii="Arial Narrow" w:eastAsia="Calibri" w:hAnsi="Arial Narrow" w:cs="Arial"/>
          <w:b/>
          <w:lang w:eastAsia="es-ES"/>
        </w:rPr>
      </w:pPr>
      <w:r w:rsidRPr="00AC423B">
        <w:rPr>
          <w:rFonts w:ascii="Arial Narrow" w:eastAsia="Calibri" w:hAnsi="Arial Narrow" w:cs="Arial"/>
          <w:b/>
          <w:lang w:eastAsia="es-ES"/>
        </w:rPr>
        <w:t xml:space="preserve">Precio de Negociación: </w:t>
      </w:r>
      <w:r w:rsidRPr="00AC423B">
        <w:rPr>
          <w:rFonts w:ascii="Arial Narrow" w:eastAsia="Calibri" w:hAnsi="Arial Narrow" w:cs="Arial"/>
          <w:lang w:eastAsia="es-ES"/>
        </w:rPr>
        <w:t>Es el precio al cual fue celebrada, registrada, o asignada en las Bolsas, los sistemas de negociación y/o registro, el Mercado Mostrador o en un Mecanismo de Contratación, una Operación Susceptible de ser Aceptada por la Cámara.</w:t>
      </w:r>
    </w:p>
    <w:p w14:paraId="5C7C3328" w14:textId="77777777" w:rsidR="007968EC" w:rsidRPr="00AC423B" w:rsidRDefault="007968EC" w:rsidP="007968EC">
      <w:pPr>
        <w:jc w:val="both"/>
        <w:rPr>
          <w:rFonts w:ascii="Arial Narrow" w:eastAsia="Calibri" w:hAnsi="Arial Narrow" w:cs="Arial"/>
          <w:b/>
          <w:lang w:val="es-ES" w:eastAsia="es-ES"/>
        </w:rPr>
      </w:pPr>
    </w:p>
    <w:p w14:paraId="23C3607F" w14:textId="77777777" w:rsidR="007968EC" w:rsidRPr="00AC423B" w:rsidRDefault="007968EC" w:rsidP="007968EC">
      <w:pPr>
        <w:jc w:val="both"/>
        <w:rPr>
          <w:rFonts w:ascii="Arial Narrow" w:eastAsia="Calibri" w:hAnsi="Arial Narrow" w:cs="Arial"/>
          <w:b/>
          <w:lang w:eastAsia="es-ES"/>
        </w:rPr>
      </w:pPr>
      <w:r w:rsidRPr="00AC423B">
        <w:rPr>
          <w:rFonts w:ascii="Arial Narrow" w:eastAsia="Calibri" w:hAnsi="Arial Narrow" w:cs="Arial"/>
          <w:b/>
          <w:lang w:eastAsia="es-ES"/>
        </w:rPr>
        <w:t xml:space="preserve">Precio de Valoración de Cierre: </w:t>
      </w:r>
      <w:r w:rsidRPr="00AC423B">
        <w:rPr>
          <w:rFonts w:ascii="Arial Narrow" w:eastAsia="Calibri" w:hAnsi="Arial Narrow" w:cs="Arial"/>
          <w:lang w:eastAsia="es-ES"/>
        </w:rPr>
        <w:t>Es el precio mediante el cual se determina la Liquidación Diaria y/o la Liquidación Vencimiento de los Instrumentos Financieros Derivados No Estandarizados. Así como con el que se realiza el ajuste diario de Garantías de Instrumentos Financieros Derivados No Estandarizados cuyo Tipo de Liquidación incluya Liquidación únicamente al Vencimiento.</w:t>
      </w:r>
    </w:p>
    <w:p w14:paraId="1959AF3F" w14:textId="77777777" w:rsidR="007968EC" w:rsidRPr="00AC423B" w:rsidRDefault="007968EC" w:rsidP="007968EC">
      <w:pPr>
        <w:jc w:val="both"/>
        <w:rPr>
          <w:rFonts w:ascii="Arial Narrow" w:eastAsia="Calibri" w:hAnsi="Arial Narrow" w:cs="Arial"/>
          <w:b/>
          <w:lang w:eastAsia="es-ES"/>
        </w:rPr>
      </w:pPr>
    </w:p>
    <w:p w14:paraId="20A4C5D3" w14:textId="77777777" w:rsidR="007968EC" w:rsidRPr="00AC423B" w:rsidRDefault="007968EC" w:rsidP="007968EC">
      <w:pPr>
        <w:jc w:val="both"/>
        <w:rPr>
          <w:rFonts w:ascii="Arial Narrow" w:eastAsia="Calibri" w:hAnsi="Arial Narrow" w:cs="Arial"/>
          <w:b/>
          <w:lang w:eastAsia="es-ES"/>
        </w:rPr>
      </w:pPr>
      <w:r w:rsidRPr="00AC423B">
        <w:rPr>
          <w:rFonts w:ascii="Arial Narrow" w:eastAsia="Calibri" w:hAnsi="Arial Narrow" w:cs="Arial"/>
          <w:b/>
          <w:lang w:eastAsia="es-ES"/>
        </w:rPr>
        <w:t xml:space="preserve">Precio de Valoración Operación Simultánea: </w:t>
      </w:r>
      <w:r w:rsidRPr="00AC423B">
        <w:rPr>
          <w:rFonts w:ascii="Arial Narrow" w:eastAsia="Calibri" w:hAnsi="Arial Narrow" w:cs="Arial"/>
          <w:lang w:eastAsia="es-ES"/>
        </w:rPr>
        <w:t>Precio provisto por el Proveedor Oficial de Precios para Valoración del Activo objeto de la Operación Simultánea.</w:t>
      </w:r>
    </w:p>
    <w:p w14:paraId="6C46037F" w14:textId="77777777" w:rsidR="007968EC" w:rsidRPr="00AC423B" w:rsidRDefault="007968EC" w:rsidP="007968EC">
      <w:pPr>
        <w:jc w:val="both"/>
        <w:rPr>
          <w:rFonts w:ascii="Arial Narrow" w:eastAsia="Calibri" w:hAnsi="Arial Narrow" w:cs="Arial"/>
          <w:b/>
          <w:lang w:eastAsia="es-ES"/>
        </w:rPr>
      </w:pPr>
    </w:p>
    <w:p w14:paraId="550102CA" w14:textId="77777777" w:rsidR="007968EC" w:rsidRPr="00AC423B" w:rsidRDefault="007968EC" w:rsidP="007968EC">
      <w:pPr>
        <w:jc w:val="both"/>
        <w:rPr>
          <w:rFonts w:ascii="Arial Narrow" w:eastAsia="Calibri" w:hAnsi="Arial Narrow" w:cs="Arial"/>
          <w:lang w:val="es-ES" w:eastAsia="es-ES"/>
        </w:rPr>
      </w:pPr>
      <w:r w:rsidRPr="00AC423B">
        <w:rPr>
          <w:rFonts w:ascii="Arial Narrow" w:eastAsia="Calibri" w:hAnsi="Arial Narrow" w:cs="Arial"/>
          <w:b/>
          <w:lang w:val="es-ES" w:eastAsia="es-ES"/>
        </w:rPr>
        <w:t xml:space="preserve">Proveedor de Precios: </w:t>
      </w:r>
      <w:r w:rsidRPr="00AC423B">
        <w:rPr>
          <w:rFonts w:ascii="Arial Narrow" w:eastAsia="Calibri" w:hAnsi="Arial Narrow" w:cs="Arial"/>
          <w:lang w:val="es-ES" w:eastAsia="es-ES"/>
        </w:rPr>
        <w:t>Entidad Autorizada por la Superintendencia Financiera de Colombia para la prestación habitual y profesional del servicio de cálculo, determinación y proveeduría o suministro de información para valoración de inversiones, así como la creación y expedición de las metodologías de valoración y de los reglamentos de los sistemas de valoración.</w:t>
      </w:r>
    </w:p>
    <w:p w14:paraId="22D4EFB4" w14:textId="77777777" w:rsidR="007968EC" w:rsidRPr="00AC423B" w:rsidRDefault="007968EC" w:rsidP="007968EC">
      <w:pPr>
        <w:jc w:val="both"/>
        <w:rPr>
          <w:rFonts w:ascii="Arial Narrow" w:eastAsia="Calibri" w:hAnsi="Arial Narrow" w:cs="Arial"/>
          <w:b/>
          <w:lang w:val="es-ES" w:eastAsia="es-ES"/>
        </w:rPr>
      </w:pPr>
    </w:p>
    <w:p w14:paraId="5DFC8A94" w14:textId="77777777" w:rsidR="007968EC" w:rsidRPr="00AC423B" w:rsidRDefault="007968EC" w:rsidP="007968EC">
      <w:pPr>
        <w:jc w:val="both"/>
        <w:rPr>
          <w:rFonts w:ascii="Arial Narrow" w:eastAsia="Calibri" w:hAnsi="Arial Narrow" w:cs="Arial"/>
          <w:lang w:val="es-ES" w:eastAsia="es-ES"/>
        </w:rPr>
      </w:pPr>
      <w:r w:rsidRPr="00AC423B">
        <w:rPr>
          <w:rFonts w:ascii="Arial Narrow" w:eastAsia="Calibri" w:hAnsi="Arial Narrow" w:cs="Arial"/>
          <w:b/>
          <w:lang w:val="es-ES" w:eastAsia="es-ES"/>
        </w:rPr>
        <w:t xml:space="preserve">Proveedor Oficial de Precios para Valoración: </w:t>
      </w:r>
      <w:r w:rsidRPr="00AC423B">
        <w:rPr>
          <w:rFonts w:ascii="Arial Narrow" w:eastAsia="Calibri" w:hAnsi="Arial Narrow" w:cs="Arial"/>
          <w:lang w:val="es-ES" w:eastAsia="es-ES"/>
        </w:rPr>
        <w:t>Es el Proveedor Oficial de Precios seleccionado por la Cámara para valorar los Activos compensados y liquidados a través de la Cámara cuya selección será informada a los Miembros y al público en general a través de Boletín Informativo.</w:t>
      </w:r>
    </w:p>
    <w:p w14:paraId="3C5D46D4" w14:textId="77777777" w:rsidR="007968EC" w:rsidRPr="00AC423B" w:rsidRDefault="007968EC" w:rsidP="007968EC">
      <w:pPr>
        <w:jc w:val="both"/>
        <w:rPr>
          <w:rFonts w:ascii="Arial Narrow" w:eastAsia="Calibri" w:hAnsi="Arial Narrow" w:cs="Arial"/>
          <w:b/>
          <w:lang w:eastAsia="es-ES"/>
        </w:rPr>
      </w:pPr>
    </w:p>
    <w:p w14:paraId="6172FE8B" w14:textId="77777777" w:rsidR="007968EC" w:rsidRPr="00AC423B" w:rsidRDefault="007968EC" w:rsidP="007968EC">
      <w:pPr>
        <w:jc w:val="both"/>
        <w:rPr>
          <w:rFonts w:ascii="Arial Narrow" w:eastAsia="Calibri" w:hAnsi="Arial Narrow" w:cs="Arial"/>
          <w:lang w:eastAsia="es-ES"/>
        </w:rPr>
      </w:pPr>
      <w:r w:rsidRPr="00AC423B">
        <w:rPr>
          <w:rFonts w:ascii="Arial Narrow" w:eastAsia="Calibri" w:hAnsi="Arial Narrow" w:cs="Arial"/>
          <w:b/>
          <w:lang w:eastAsia="es-ES"/>
        </w:rPr>
        <w:t xml:space="preserve">Recursos Propios Específicos: </w:t>
      </w:r>
      <w:r w:rsidRPr="00AC423B">
        <w:rPr>
          <w:rFonts w:ascii="Arial Narrow" w:eastAsia="Calibri" w:hAnsi="Arial Narrow" w:cs="Arial"/>
          <w:lang w:eastAsia="es-ES"/>
        </w:rPr>
        <w:t>Recursos propios de la Cámara para cada Segmento, los cuales hacen parte de su patrimonio y que estarán afectos de forma preferente al cumplimiento de las obligaciones asumidas por la propia Cámara, de conformidad con lo establecido en el artículo 18 de la Ley 964 de 2005, o las normas que lo modifiquen, adicionen o sustituyan, en el Reglamento y en la presente Circular.</w:t>
      </w:r>
    </w:p>
    <w:p w14:paraId="139BF7EF" w14:textId="77777777" w:rsidR="007968EC" w:rsidRPr="00AC423B" w:rsidRDefault="007968EC" w:rsidP="007968EC">
      <w:pPr>
        <w:jc w:val="both"/>
        <w:rPr>
          <w:rFonts w:ascii="Arial Narrow" w:eastAsia="Calibri" w:hAnsi="Arial Narrow" w:cs="Arial"/>
          <w:b/>
          <w:lang w:eastAsia="es-ES"/>
        </w:rPr>
      </w:pPr>
    </w:p>
    <w:p w14:paraId="618352B4" w14:textId="77777777" w:rsidR="007968EC" w:rsidRPr="00AC423B" w:rsidRDefault="007968EC" w:rsidP="007968EC">
      <w:pPr>
        <w:jc w:val="both"/>
        <w:rPr>
          <w:rFonts w:ascii="Arial Narrow" w:eastAsia="Calibri" w:hAnsi="Arial Narrow" w:cs="Arial"/>
          <w:b/>
          <w:lang w:eastAsia="es-ES"/>
        </w:rPr>
      </w:pPr>
      <w:r w:rsidRPr="00AC423B">
        <w:rPr>
          <w:rFonts w:ascii="Arial Narrow" w:eastAsia="Calibri" w:hAnsi="Arial Narrow" w:cs="Arial"/>
          <w:b/>
          <w:lang w:eastAsia="es-ES"/>
        </w:rPr>
        <w:t xml:space="preserve">Registro: </w:t>
      </w:r>
      <w:r w:rsidRPr="00AC423B">
        <w:rPr>
          <w:rFonts w:ascii="Arial Narrow" w:eastAsia="Calibri" w:hAnsi="Arial Narrow" w:cs="Arial"/>
          <w:lang w:eastAsia="es-ES"/>
        </w:rPr>
        <w:t>Acto por el que la Cámara anota los datos de una Operación aceptada en las Cuentas correspondientes de su Sistema.</w:t>
      </w:r>
    </w:p>
    <w:p w14:paraId="0608BD27" w14:textId="77777777" w:rsidR="007968EC" w:rsidRPr="00AC423B" w:rsidRDefault="007968EC" w:rsidP="007968EC">
      <w:pPr>
        <w:jc w:val="both"/>
        <w:rPr>
          <w:rFonts w:ascii="Arial Narrow" w:eastAsia="Calibri" w:hAnsi="Arial Narrow" w:cs="Arial"/>
          <w:b/>
          <w:lang w:eastAsia="es-ES"/>
        </w:rPr>
      </w:pPr>
    </w:p>
    <w:p w14:paraId="184D3B04"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Registro en bruto: </w:t>
      </w:r>
      <w:r w:rsidRPr="00AC423B">
        <w:rPr>
          <w:rFonts w:ascii="Arial Narrow" w:eastAsia="Calibri" w:hAnsi="Arial Narrow" w:cs="Arial"/>
          <w:lang w:val="es-ES" w:eastAsia="es-ES"/>
        </w:rPr>
        <w:t>Registro que refleja la Posición de compra y la Posición de venta, sin compensar las Operaciones de compra y venta sobre el mismo Activo.</w:t>
      </w:r>
      <w:r w:rsidRPr="00AC423B">
        <w:rPr>
          <w:rFonts w:ascii="Arial Narrow" w:eastAsia="Calibri" w:hAnsi="Arial Narrow" w:cs="Arial"/>
          <w:b/>
          <w:lang w:val="es-ES" w:eastAsia="es-ES"/>
        </w:rPr>
        <w:t xml:space="preserve"> </w:t>
      </w:r>
    </w:p>
    <w:p w14:paraId="65DDC49E" w14:textId="77777777" w:rsidR="007968EC" w:rsidRPr="00AC423B" w:rsidRDefault="007968EC" w:rsidP="007968EC">
      <w:pPr>
        <w:jc w:val="both"/>
        <w:rPr>
          <w:rFonts w:ascii="Arial Narrow" w:eastAsia="Calibri" w:hAnsi="Arial Narrow" w:cs="Arial"/>
          <w:b/>
          <w:lang w:val="es-ES" w:eastAsia="es-ES"/>
        </w:rPr>
      </w:pPr>
    </w:p>
    <w:p w14:paraId="07CCDC22"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Registro en neto: </w:t>
      </w:r>
      <w:r w:rsidRPr="00AC423B">
        <w:rPr>
          <w:rFonts w:ascii="Arial Narrow" w:eastAsia="Calibri" w:hAnsi="Arial Narrow" w:cs="Arial"/>
          <w:lang w:val="es-ES" w:eastAsia="es-ES"/>
        </w:rPr>
        <w:t>Registro que refleja la Posición resultante de compensar las Operaciones de compra y venta sobre un mismo Activo.</w:t>
      </w:r>
      <w:r w:rsidRPr="00AC423B">
        <w:rPr>
          <w:rFonts w:ascii="Arial Narrow" w:eastAsia="Calibri" w:hAnsi="Arial Narrow" w:cs="Arial"/>
          <w:b/>
          <w:lang w:val="es-ES" w:eastAsia="es-ES"/>
        </w:rPr>
        <w:t xml:space="preserve"> </w:t>
      </w:r>
    </w:p>
    <w:p w14:paraId="5925CC0F" w14:textId="77777777" w:rsidR="007968EC" w:rsidRPr="00AC423B" w:rsidRDefault="007968EC" w:rsidP="007968EC">
      <w:pPr>
        <w:jc w:val="both"/>
        <w:rPr>
          <w:rFonts w:ascii="Arial Narrow" w:eastAsia="Calibri" w:hAnsi="Arial Narrow" w:cs="Arial"/>
          <w:b/>
          <w:lang w:val="es-ES" w:eastAsia="es-ES"/>
        </w:rPr>
      </w:pPr>
    </w:p>
    <w:p w14:paraId="1A122EC6" w14:textId="77777777" w:rsidR="007968EC" w:rsidRPr="00AC423B" w:rsidRDefault="007968EC" w:rsidP="007968EC">
      <w:pPr>
        <w:jc w:val="both"/>
        <w:rPr>
          <w:rFonts w:ascii="Arial Narrow" w:hAnsi="Arial Narrow" w:cs="Arial"/>
          <w:lang w:val="es-ES" w:eastAsia="es-ES"/>
        </w:rPr>
      </w:pPr>
      <w:r w:rsidRPr="00AC423B">
        <w:rPr>
          <w:rFonts w:ascii="Arial Narrow" w:hAnsi="Arial Narrow" w:cs="Arial"/>
          <w:b/>
          <w:lang w:val="es-ES" w:eastAsia="es-ES"/>
        </w:rPr>
        <w:t xml:space="preserve">Repo o Reporto: </w:t>
      </w:r>
      <w:r w:rsidRPr="00AC423B">
        <w:rPr>
          <w:rFonts w:ascii="Arial Narrow" w:hAnsi="Arial Narrow" w:cs="Arial"/>
          <w:lang w:val="es-ES" w:eastAsia="es-ES"/>
        </w:rPr>
        <w:t>Operaciones Repo o de Reporto de conformidad con lo previsto en el artículo 2.36.3.1.1. del Decreto 2555 de 2010 son aquellas en las que una parte (el “Enajenante”), transfiere la propiedad a la otra (el “Adquirente”) sobre valores a cambio del pago de una suma de dinero (el “Monto Inicial”) y en las que el Adquirente al mismo tiempo se compromete a transferir al Enajenante valores de la misma especie y características a cambio del pago de una suma de dinero (“Monto Final”) en la misma fecha o en una fecha posterior previamente acordada.</w:t>
      </w:r>
    </w:p>
    <w:p w14:paraId="469914CE" w14:textId="77777777" w:rsidR="007968EC" w:rsidRPr="00AC423B" w:rsidRDefault="007968EC" w:rsidP="007968EC">
      <w:pPr>
        <w:jc w:val="both"/>
        <w:rPr>
          <w:rFonts w:ascii="Arial Narrow" w:hAnsi="Arial Narrow" w:cs="Arial"/>
          <w:lang w:val="es-ES" w:eastAsia="es-ES"/>
        </w:rPr>
      </w:pPr>
    </w:p>
    <w:p w14:paraId="79C0097C" w14:textId="77777777" w:rsidR="007968EC" w:rsidRPr="00AC423B" w:rsidRDefault="007968EC" w:rsidP="007968EC">
      <w:pPr>
        <w:jc w:val="both"/>
        <w:rPr>
          <w:rFonts w:ascii="Arial Narrow" w:hAnsi="Arial Narrow" w:cs="Arial"/>
          <w:lang w:val="es-ES" w:eastAsia="es-ES"/>
        </w:rPr>
      </w:pPr>
      <w:r w:rsidRPr="00AC423B">
        <w:rPr>
          <w:rFonts w:ascii="Arial Narrow" w:hAnsi="Arial Narrow" w:cs="Arial"/>
          <w:lang w:val="es-ES" w:eastAsia="es-ES"/>
        </w:rPr>
        <w:t>Para efectos de la presente Circular se denominará a la primera operación de una operación Repo “operación inicial o flujo de salida” y a la segunda “operación de regreso o de recompra o flujo de regreso”.</w:t>
      </w:r>
    </w:p>
    <w:p w14:paraId="5738D467" w14:textId="77777777" w:rsidR="007968EC" w:rsidRPr="00AC423B" w:rsidRDefault="007968EC" w:rsidP="007968EC">
      <w:pPr>
        <w:jc w:val="both"/>
        <w:rPr>
          <w:rFonts w:ascii="Arial Narrow" w:hAnsi="Arial Narrow" w:cs="Arial"/>
          <w:lang w:val="es-ES" w:eastAsia="es-ES"/>
        </w:rPr>
      </w:pPr>
    </w:p>
    <w:p w14:paraId="3A396516" w14:textId="77777777" w:rsidR="007968EC" w:rsidRPr="00AC423B" w:rsidRDefault="007968EC" w:rsidP="007968EC">
      <w:pPr>
        <w:jc w:val="both"/>
        <w:rPr>
          <w:rFonts w:ascii="Arial Narrow" w:hAnsi="Arial Narrow" w:cs="Arial"/>
          <w:lang w:val="es-ES" w:eastAsia="es-ES"/>
        </w:rPr>
      </w:pPr>
      <w:r w:rsidRPr="00AC423B">
        <w:rPr>
          <w:rFonts w:ascii="Arial Narrow" w:hAnsi="Arial Narrow" w:cs="Arial"/>
          <w:lang w:val="es-ES" w:eastAsia="es-ES"/>
        </w:rPr>
        <w:lastRenderedPageBreak/>
        <w:t>Las Operaciones Repo que Compense y Liquide la Cámara tendrán carácter unitario de conformidad con lo previsto en el artículo 2.36.3.1.4. del Decreto 2555 de 2010 o las normas que lo modifiquen, sustituyan o adicionen</w:t>
      </w:r>
    </w:p>
    <w:p w14:paraId="46E7C586" w14:textId="77777777" w:rsidR="007968EC" w:rsidRPr="00AC423B" w:rsidRDefault="007968EC" w:rsidP="007968EC">
      <w:pPr>
        <w:jc w:val="both"/>
        <w:rPr>
          <w:rFonts w:ascii="Arial Narrow" w:hAnsi="Arial Narrow" w:cs="Arial"/>
          <w:lang w:val="es-ES" w:eastAsia="es-ES"/>
        </w:rPr>
      </w:pPr>
    </w:p>
    <w:p w14:paraId="449178ED"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Remuneración de Garantías: </w:t>
      </w:r>
      <w:r w:rsidRPr="00AC423B">
        <w:rPr>
          <w:rFonts w:ascii="Arial Narrow" w:eastAsia="Calibri" w:hAnsi="Arial Narrow" w:cs="Arial"/>
          <w:lang w:val="es-ES" w:eastAsia="es-ES"/>
        </w:rPr>
        <w:t>Corresponde a la remuneración producto de la inversión de las Garantías en efectivo constituidas por los Miembros, conforme con los criterios establecidos en el artículo 2.7.5. del Reglamento.</w:t>
      </w:r>
    </w:p>
    <w:p w14:paraId="1BD8EE5F" w14:textId="77777777" w:rsidR="007968EC" w:rsidRPr="00AC423B" w:rsidRDefault="007968EC" w:rsidP="007968EC">
      <w:pPr>
        <w:jc w:val="both"/>
        <w:rPr>
          <w:rFonts w:ascii="Arial Narrow" w:eastAsia="Calibri" w:hAnsi="Arial Narrow" w:cs="Arial"/>
          <w:lang w:val="es-ES" w:eastAsia="es-ES"/>
        </w:rPr>
      </w:pPr>
    </w:p>
    <w:p w14:paraId="6C3D76EB"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Riesgo de Obligación Latente de Entrega (Entrega Física) – ROLE: </w:t>
      </w:r>
      <w:r w:rsidRPr="00AC423B">
        <w:rPr>
          <w:rFonts w:ascii="Arial Narrow" w:eastAsia="Calibri" w:hAnsi="Arial Narrow" w:cs="Arial"/>
          <w:lang w:val="es-ES" w:eastAsia="es-ES"/>
        </w:rPr>
        <w:t>Riesgo asumido por la Cámara frente a los Miembros con posiciones de venta en contratos con Liquidación al Vencimiento por Entrega, determinado en virtud del posible Incumplimiento en la entrega de las Posiciones Abiertas de venta de sus Cuentas, de las de sus Terceros o de las de sus Miembros no Liquidadores y los Terceros de éstos, según el caso.</w:t>
      </w:r>
    </w:p>
    <w:p w14:paraId="0D080F5C" w14:textId="77777777" w:rsidR="007968EC" w:rsidRPr="00AC423B" w:rsidRDefault="007968EC" w:rsidP="007968EC">
      <w:pPr>
        <w:jc w:val="both"/>
        <w:rPr>
          <w:rFonts w:ascii="Arial Narrow" w:eastAsia="Calibri" w:hAnsi="Arial Narrow" w:cs="Arial"/>
          <w:b/>
          <w:lang w:val="es-ES" w:eastAsia="es-ES"/>
        </w:rPr>
      </w:pPr>
    </w:p>
    <w:p w14:paraId="0941E4D0" w14:textId="77777777" w:rsidR="007968EC" w:rsidRPr="00AC423B" w:rsidRDefault="007968EC" w:rsidP="007968EC">
      <w:pPr>
        <w:jc w:val="both"/>
        <w:rPr>
          <w:rFonts w:ascii="Arial Narrow" w:eastAsia="Calibri" w:hAnsi="Arial Narrow" w:cs="Arial"/>
          <w:lang w:val="es-ES" w:eastAsia="es-ES"/>
        </w:rPr>
      </w:pPr>
      <w:r w:rsidRPr="00AC423B">
        <w:rPr>
          <w:rFonts w:ascii="Arial Narrow" w:eastAsia="Calibri" w:hAnsi="Arial Narrow" w:cs="Arial"/>
          <w:b/>
          <w:lang w:val="es-ES" w:eastAsia="es-ES"/>
        </w:rPr>
        <w:t>Riesgo de Crédito de Contraparte:</w:t>
      </w:r>
      <w:r w:rsidRPr="00AC423B">
        <w:rPr>
          <w:rFonts w:ascii="Arial Narrow" w:eastAsia="Calibri" w:hAnsi="Arial Narrow" w:cs="Arial"/>
          <w:lang w:val="es-ES" w:eastAsia="es-ES"/>
        </w:rPr>
        <w:t xml:space="preserve"> Se entenderá por Riesgo de Crédito de Contraparte, el riesgo de que un Miembro no pueda satisfacer plenamente sus obligaciones de Liquidación resultantes de la Compensación cuando debe, o no pueda satisfacerlas en ningún momento en el futuro.</w:t>
      </w:r>
    </w:p>
    <w:p w14:paraId="3FF3AF5E" w14:textId="77777777" w:rsidR="007968EC" w:rsidRPr="00AC423B" w:rsidRDefault="007968EC" w:rsidP="007968EC">
      <w:pPr>
        <w:jc w:val="both"/>
        <w:rPr>
          <w:rFonts w:ascii="Arial Narrow" w:eastAsia="Calibri" w:hAnsi="Arial Narrow" w:cs="Arial"/>
          <w:lang w:val="es-ES" w:eastAsia="es-ES"/>
        </w:rPr>
      </w:pPr>
    </w:p>
    <w:p w14:paraId="029B7EA5" w14:textId="77777777" w:rsidR="007968EC" w:rsidRPr="00AC423B" w:rsidRDefault="007968EC" w:rsidP="007968EC">
      <w:pPr>
        <w:jc w:val="both"/>
        <w:rPr>
          <w:rFonts w:ascii="Arial Narrow" w:eastAsia="Calibri" w:hAnsi="Arial Narrow" w:cs="Arial"/>
          <w:lang w:val="es-ES" w:eastAsia="es-ES"/>
        </w:rPr>
      </w:pPr>
      <w:r w:rsidRPr="00AC423B">
        <w:rPr>
          <w:rFonts w:ascii="Arial Narrow" w:eastAsia="Calibri" w:hAnsi="Arial Narrow" w:cs="Arial"/>
          <w:b/>
          <w:lang w:val="es-ES" w:eastAsia="es-ES"/>
        </w:rPr>
        <w:t xml:space="preserve">Riesgo de Liquidez: </w:t>
      </w:r>
      <w:r w:rsidRPr="00AC423B">
        <w:rPr>
          <w:rFonts w:ascii="Arial Narrow" w:eastAsia="Calibri" w:hAnsi="Arial Narrow" w:cs="Arial"/>
          <w:lang w:val="es-ES" w:eastAsia="es-ES"/>
        </w:rPr>
        <w:t>Se entenderá por Riesgo de Liquidez, el riesgo de que un Miembro no disponga de fondos suficientes para satisfacer sus obligaciones de Liquidación resultantes de la Compensación, en el modo y en el momento esperados, aunque pueda hacerlo en el futuro.</w:t>
      </w:r>
    </w:p>
    <w:p w14:paraId="22563D16" w14:textId="77777777" w:rsidR="007968EC" w:rsidRPr="00AC423B" w:rsidRDefault="007968EC" w:rsidP="007968EC">
      <w:pPr>
        <w:jc w:val="both"/>
        <w:rPr>
          <w:rFonts w:ascii="Arial Narrow" w:eastAsia="Calibri" w:hAnsi="Arial Narrow" w:cs="Arial"/>
          <w:lang w:val="es-ES" w:eastAsia="es-ES"/>
        </w:rPr>
      </w:pPr>
    </w:p>
    <w:p w14:paraId="617230DC" w14:textId="77777777" w:rsidR="007968EC" w:rsidRPr="00AC423B" w:rsidRDefault="007968EC" w:rsidP="007968EC">
      <w:pPr>
        <w:jc w:val="both"/>
        <w:rPr>
          <w:rFonts w:ascii="Arial Narrow" w:hAnsi="Arial Narrow" w:cs="Arial"/>
          <w:lang w:val="es-ES" w:eastAsia="es-ES"/>
        </w:rPr>
      </w:pPr>
      <w:r w:rsidRPr="00AC423B">
        <w:rPr>
          <w:rFonts w:ascii="Arial Narrow" w:hAnsi="Arial Narrow" w:cs="Arial"/>
          <w:b/>
          <w:lang w:val="es-ES" w:eastAsia="es-ES"/>
        </w:rPr>
        <w:t xml:space="preserve">Riesgo Legal: </w:t>
      </w:r>
      <w:r w:rsidRPr="00AC423B">
        <w:rPr>
          <w:rFonts w:ascii="Arial Narrow" w:hAnsi="Arial Narrow" w:cs="Arial"/>
          <w:lang w:val="es-ES" w:eastAsia="es-ES"/>
        </w:rPr>
        <w:t xml:space="preserve">Se entenderá por Riesgo Legal, el riesgo de que un Miembro incumpla total o parcialmente una obligación resultante de la Compensación y/o Liquidación a su cargo por causas imputables a debilidades o vacíos del marco legal vigente, el Reglamento, las Circulares o los Convenios y, por lo tanto, afectan la exigibilidad de las obligaciones contempladas en éstos últimos. </w:t>
      </w:r>
    </w:p>
    <w:p w14:paraId="74C95DC8" w14:textId="77777777" w:rsidR="007968EC" w:rsidRPr="00AC423B" w:rsidRDefault="007968EC" w:rsidP="007968EC">
      <w:pPr>
        <w:jc w:val="both"/>
        <w:rPr>
          <w:rFonts w:ascii="Arial Narrow" w:hAnsi="Arial Narrow" w:cs="Arial"/>
          <w:lang w:val="es-ES" w:eastAsia="es-ES"/>
        </w:rPr>
      </w:pPr>
    </w:p>
    <w:p w14:paraId="6C1FB724" w14:textId="77777777" w:rsidR="007968EC" w:rsidRPr="00AC423B" w:rsidRDefault="007968EC" w:rsidP="007968EC">
      <w:pPr>
        <w:jc w:val="both"/>
        <w:rPr>
          <w:rFonts w:ascii="Arial Narrow" w:hAnsi="Arial Narrow" w:cs="Arial"/>
          <w:lang w:val="es-ES" w:eastAsia="es-ES"/>
        </w:rPr>
      </w:pPr>
      <w:r w:rsidRPr="00AC423B">
        <w:rPr>
          <w:rFonts w:ascii="Arial Narrow" w:hAnsi="Arial Narrow" w:cs="Arial"/>
          <w:b/>
          <w:lang w:val="es-ES" w:eastAsia="es-ES"/>
        </w:rPr>
        <w:t>Riesgo Operativo:</w:t>
      </w:r>
      <w:r w:rsidRPr="00AC423B">
        <w:rPr>
          <w:rFonts w:ascii="Arial Narrow" w:hAnsi="Arial Narrow" w:cs="Arial"/>
          <w:lang w:val="es-ES" w:eastAsia="es-ES"/>
        </w:rPr>
        <w:t xml:space="preserve"> Se entenderá por Riesgo Operativo, el riesgo de que se produzcan errores humanos o fallas o averías en los equipos, los programas de computación o los sistemas y canales de comunicación y demás mecanismos que se requieran para el adecuado y continuo funcionamiento de la Cámara. Así mismo, el riesgo de que deficiencias en los sistemas de información o en los controles internos puedan resultar en pérdidas inesperadas. </w:t>
      </w:r>
    </w:p>
    <w:p w14:paraId="17C1D917" w14:textId="77777777" w:rsidR="007968EC" w:rsidRPr="00AC423B" w:rsidRDefault="007968EC" w:rsidP="007968EC">
      <w:pPr>
        <w:jc w:val="both"/>
        <w:rPr>
          <w:rFonts w:ascii="Arial Narrow" w:hAnsi="Arial Narrow" w:cs="Arial"/>
          <w:lang w:val="es-ES" w:eastAsia="es-ES"/>
        </w:rPr>
      </w:pPr>
    </w:p>
    <w:p w14:paraId="02B20853" w14:textId="77777777" w:rsidR="007968EC" w:rsidRPr="00AC423B" w:rsidRDefault="007968EC" w:rsidP="007968EC">
      <w:pPr>
        <w:jc w:val="both"/>
        <w:rPr>
          <w:rFonts w:ascii="Arial Narrow" w:eastAsia="Calibri" w:hAnsi="Arial Narrow" w:cs="Arial"/>
          <w:lang w:val="es-ES" w:eastAsia="es-ES"/>
        </w:rPr>
      </w:pPr>
      <w:r w:rsidRPr="00AC423B">
        <w:rPr>
          <w:rFonts w:ascii="Arial Narrow" w:hAnsi="Arial Narrow" w:cs="Arial"/>
          <w:b/>
          <w:lang w:val="es-ES" w:eastAsia="es-ES"/>
        </w:rPr>
        <w:t>Riesgo Sistémico:</w:t>
      </w:r>
      <w:r w:rsidRPr="00AC423B">
        <w:rPr>
          <w:rFonts w:ascii="Arial Narrow" w:hAnsi="Arial Narrow" w:cs="Arial"/>
          <w:lang w:val="es-ES" w:eastAsia="es-ES"/>
        </w:rPr>
        <w:t xml:space="preserve"> Se entenderá por Riesgo Sistémico, el riesgo que se presenta cuando el Incumplimiento total o parcial de un Miembro de una o varias de las obligaciones a su cargo puedan originar que otras instituciones o personas que operen en el sistema financiero o en el mercado de valores no puedan cumplir con las obligaciones a su cargo y que como consecuencia de los anterior pueda resultar en la perturbación de los mercados financieros y afectar el funcionamiento del sistema de Compensación y Liquidación de la Cámara.</w:t>
      </w:r>
    </w:p>
    <w:p w14:paraId="02F5F7C7" w14:textId="77777777" w:rsidR="007968EC" w:rsidRPr="00AC423B" w:rsidRDefault="007968EC" w:rsidP="007968EC">
      <w:pPr>
        <w:jc w:val="both"/>
        <w:rPr>
          <w:rFonts w:ascii="Arial Narrow" w:eastAsia="Calibri" w:hAnsi="Arial Narrow" w:cs="Arial"/>
          <w:b/>
          <w:lang w:val="es-ES" w:eastAsia="es-ES"/>
        </w:rPr>
      </w:pPr>
    </w:p>
    <w:p w14:paraId="312F336F" w14:textId="77777777" w:rsidR="007968EC" w:rsidRPr="00AC423B" w:rsidRDefault="007968EC" w:rsidP="007968EC">
      <w:pPr>
        <w:jc w:val="both"/>
        <w:rPr>
          <w:rFonts w:ascii="Arial Narrow" w:eastAsia="Calibri" w:hAnsi="Arial Narrow" w:cs="Arial"/>
          <w:lang w:eastAsia="es-ES"/>
        </w:rPr>
      </w:pPr>
      <w:r w:rsidRPr="00AC423B">
        <w:rPr>
          <w:rFonts w:ascii="Arial Narrow" w:eastAsia="Calibri" w:hAnsi="Arial Narrow" w:cs="Arial"/>
          <w:b/>
          <w:lang w:eastAsia="es-ES"/>
        </w:rPr>
        <w:t xml:space="preserve">Segmento: </w:t>
      </w:r>
      <w:r w:rsidRPr="00AC423B">
        <w:rPr>
          <w:rFonts w:ascii="Arial Narrow" w:eastAsia="Calibri" w:hAnsi="Arial Narrow" w:cs="Arial"/>
          <w:lang w:eastAsia="es-ES"/>
        </w:rPr>
        <w:t xml:space="preserve">Conjunto de Activos de características similares y Operaciones Susceptibles de ser Aceptadas y Operaciones Aceptadas de las que son objeto, que son agrupadas de conformidad con los criterios </w:t>
      </w:r>
      <w:r w:rsidRPr="00AC423B">
        <w:rPr>
          <w:rFonts w:ascii="Arial Narrow" w:eastAsia="Calibri" w:hAnsi="Arial Narrow" w:cs="Arial"/>
          <w:lang w:eastAsia="es-ES"/>
        </w:rPr>
        <w:lastRenderedPageBreak/>
        <w:t>establecidos en el Reglamento y que se indican en la presente Circular para efecto de los servicios que preste la Cámara y de las metodologías de cálculo de las Garantías exigibles.</w:t>
      </w:r>
    </w:p>
    <w:p w14:paraId="7AD50541" w14:textId="77777777" w:rsidR="007968EC" w:rsidRPr="00AC423B" w:rsidRDefault="007968EC" w:rsidP="007968EC">
      <w:pPr>
        <w:jc w:val="both"/>
        <w:rPr>
          <w:rFonts w:ascii="Arial Narrow" w:eastAsia="Calibri" w:hAnsi="Arial Narrow" w:cs="Arial"/>
          <w:b/>
          <w:lang w:eastAsia="es-ES"/>
        </w:rPr>
      </w:pPr>
    </w:p>
    <w:p w14:paraId="5937824D" w14:textId="77777777" w:rsidR="007968EC" w:rsidRPr="00AC423B" w:rsidRDefault="007968EC" w:rsidP="007968EC">
      <w:pPr>
        <w:jc w:val="both"/>
        <w:rPr>
          <w:rFonts w:ascii="Arial Narrow" w:eastAsia="Calibri" w:hAnsi="Arial Narrow" w:cs="Arial"/>
          <w:lang w:val="es-ES" w:eastAsia="es-ES"/>
        </w:rPr>
      </w:pPr>
      <w:r w:rsidRPr="00AC423B">
        <w:rPr>
          <w:rFonts w:ascii="Arial Narrow" w:eastAsia="Calibri" w:hAnsi="Arial Narrow" w:cs="Arial"/>
          <w:b/>
          <w:lang w:val="es-ES" w:eastAsia="es-ES"/>
        </w:rPr>
        <w:t xml:space="preserve">Sesión de Cámara: </w:t>
      </w:r>
      <w:r w:rsidRPr="00AC423B">
        <w:rPr>
          <w:rFonts w:ascii="Arial Narrow" w:eastAsia="Calibri" w:hAnsi="Arial Narrow" w:cs="Arial"/>
          <w:lang w:val="es-ES" w:eastAsia="es-ES"/>
        </w:rPr>
        <w:t>De conformidad con el artículo 1.3.6. del Reglamento de Funcionamiento de la Cámara, la Sesión de Cámara comprende las siguientes actividades en un día hábil de funcionamiento:</w:t>
      </w:r>
    </w:p>
    <w:p w14:paraId="418EAF32" w14:textId="77777777" w:rsidR="007968EC" w:rsidRPr="00AC423B" w:rsidRDefault="007968EC" w:rsidP="007968EC">
      <w:pPr>
        <w:jc w:val="both"/>
        <w:rPr>
          <w:rFonts w:ascii="Arial Narrow" w:eastAsia="Calibri" w:hAnsi="Arial Narrow" w:cs="Arial"/>
          <w:lang w:val="es-ES" w:eastAsia="es-ES"/>
        </w:rPr>
      </w:pPr>
    </w:p>
    <w:p w14:paraId="19E3E83C" w14:textId="77777777" w:rsidR="007968EC" w:rsidRPr="00AC423B" w:rsidRDefault="007968EC" w:rsidP="00DA7472">
      <w:pPr>
        <w:numPr>
          <w:ilvl w:val="0"/>
          <w:numId w:val="26"/>
        </w:numPr>
        <w:tabs>
          <w:tab w:val="num" w:pos="5040"/>
        </w:tabs>
        <w:jc w:val="both"/>
        <w:rPr>
          <w:rFonts w:ascii="Arial Narrow" w:eastAsia="Calibri" w:hAnsi="Arial Narrow" w:cs="Arial"/>
          <w:lang w:val="es-ES" w:eastAsia="es-ES"/>
        </w:rPr>
      </w:pPr>
      <w:r w:rsidRPr="00AC423B">
        <w:rPr>
          <w:rFonts w:ascii="Arial Narrow" w:eastAsia="Calibri" w:hAnsi="Arial Narrow" w:cs="Arial"/>
          <w:lang w:val="es-ES" w:eastAsia="es-ES"/>
        </w:rPr>
        <w:t>Liquidación Diaria: Proceso de cobro y pago de Liquidación Diaria por parte de la Cámara.</w:t>
      </w:r>
    </w:p>
    <w:p w14:paraId="5750FBD2" w14:textId="77777777" w:rsidR="007968EC" w:rsidRPr="00AC423B" w:rsidRDefault="007968EC" w:rsidP="007968EC">
      <w:pPr>
        <w:jc w:val="both"/>
        <w:rPr>
          <w:rFonts w:ascii="Arial Narrow" w:eastAsia="Calibri" w:hAnsi="Arial Narrow" w:cs="Arial"/>
          <w:lang w:val="es-ES" w:eastAsia="es-ES"/>
        </w:rPr>
      </w:pPr>
    </w:p>
    <w:p w14:paraId="58D97FB4" w14:textId="77777777" w:rsidR="007968EC" w:rsidRPr="00AC423B" w:rsidRDefault="007968EC" w:rsidP="00DA7472">
      <w:pPr>
        <w:numPr>
          <w:ilvl w:val="0"/>
          <w:numId w:val="26"/>
        </w:numPr>
        <w:tabs>
          <w:tab w:val="num" w:pos="5040"/>
        </w:tabs>
        <w:jc w:val="both"/>
        <w:rPr>
          <w:rFonts w:ascii="Arial Narrow" w:eastAsia="Calibri" w:hAnsi="Arial Narrow" w:cs="Arial"/>
          <w:lang w:val="es-ES" w:eastAsia="es-ES"/>
        </w:rPr>
      </w:pPr>
      <w:r w:rsidRPr="00AC423B">
        <w:rPr>
          <w:rFonts w:ascii="Arial Narrow" w:eastAsia="Calibri" w:hAnsi="Arial Narrow" w:cs="Arial"/>
          <w:lang w:val="es-ES" w:eastAsia="es-ES"/>
        </w:rPr>
        <w:t>Aceptación de Operaciones: Ciclo continuo donde la Cámara recibe Operaciones del Sistema de Negociación y/o Registro o de un Mecanismo de Contratación y ejecuta sus instrumentos de mitigación y control de riesgos.</w:t>
      </w:r>
    </w:p>
    <w:p w14:paraId="2B05031E" w14:textId="77777777" w:rsidR="007968EC" w:rsidRPr="00AC423B" w:rsidRDefault="007968EC" w:rsidP="007968EC">
      <w:pPr>
        <w:ind w:left="708"/>
        <w:rPr>
          <w:rFonts w:ascii="Arial Narrow" w:eastAsia="Calibri" w:hAnsi="Arial Narrow" w:cs="Arial"/>
          <w:lang w:eastAsia="es-CO"/>
        </w:rPr>
      </w:pPr>
    </w:p>
    <w:p w14:paraId="7A5570DC" w14:textId="77777777" w:rsidR="007968EC" w:rsidRPr="00AC423B" w:rsidRDefault="007968EC" w:rsidP="00DA7472">
      <w:pPr>
        <w:numPr>
          <w:ilvl w:val="0"/>
          <w:numId w:val="26"/>
        </w:numPr>
        <w:tabs>
          <w:tab w:val="num" w:pos="5040"/>
        </w:tabs>
        <w:jc w:val="both"/>
        <w:rPr>
          <w:rFonts w:ascii="Arial Narrow" w:eastAsia="Calibri" w:hAnsi="Arial Narrow" w:cs="Arial"/>
          <w:lang w:val="es-ES" w:eastAsia="es-ES"/>
        </w:rPr>
      </w:pPr>
      <w:r w:rsidRPr="00AC423B">
        <w:rPr>
          <w:rFonts w:ascii="Arial Narrow" w:hAnsi="Arial Narrow" w:cs="Arial"/>
          <w:bCs/>
          <w:lang w:val="es-ES" w:eastAsia="es-ES"/>
        </w:rPr>
        <w:t xml:space="preserve">Gestión de Agentes: Ciclo continuo durante el cual los Miembros pueden llevar a cabo la Consolidación de las operaciones y los Agentes pueden Admitir, </w:t>
      </w:r>
      <w:r w:rsidRPr="00AC423B">
        <w:rPr>
          <w:rFonts w:ascii="Arial Narrow" w:eastAsia="Calibri" w:hAnsi="Arial Narrow"/>
          <w:lang w:val="es-ES"/>
        </w:rPr>
        <w:t>devolver, excluir y/o retomar la Consolidación de operaciones.</w:t>
      </w:r>
    </w:p>
    <w:p w14:paraId="3AD79565" w14:textId="77777777" w:rsidR="007968EC" w:rsidRPr="00AC423B" w:rsidRDefault="007968EC" w:rsidP="007968EC">
      <w:pPr>
        <w:ind w:left="708"/>
        <w:rPr>
          <w:rFonts w:ascii="Arial Narrow" w:eastAsia="Calibri" w:hAnsi="Arial Narrow" w:cs="Arial"/>
          <w:lang w:eastAsia="es-CO"/>
        </w:rPr>
      </w:pPr>
    </w:p>
    <w:p w14:paraId="7B8B05B3" w14:textId="77777777" w:rsidR="007968EC" w:rsidRPr="00AC423B" w:rsidRDefault="007968EC" w:rsidP="00DA7472">
      <w:pPr>
        <w:numPr>
          <w:ilvl w:val="0"/>
          <w:numId w:val="26"/>
        </w:numPr>
        <w:jc w:val="both"/>
        <w:rPr>
          <w:rFonts w:ascii="Arial Narrow" w:hAnsi="Arial Narrow" w:cs="Arial"/>
          <w:lang w:val="es-ES" w:eastAsia="es-ES"/>
        </w:rPr>
      </w:pPr>
      <w:r w:rsidRPr="00AC423B">
        <w:rPr>
          <w:rFonts w:ascii="Arial Narrow" w:hAnsi="Arial Narrow" w:cs="Arial"/>
          <w:bCs/>
          <w:lang w:val="es-ES" w:eastAsia="es-ES"/>
        </w:rPr>
        <w:t>Corrección de la Complementación: Espacio de tiempo durante el cual los Miembros a través del Portal WEB de la Cámara, podrán solicitar la corrección de la información suministrada en la Complementación de una Operación y/o fracción de una operación.</w:t>
      </w:r>
    </w:p>
    <w:p w14:paraId="1F66A535" w14:textId="77777777" w:rsidR="007968EC" w:rsidRPr="00AC423B" w:rsidRDefault="007968EC" w:rsidP="007968EC">
      <w:pPr>
        <w:ind w:left="360"/>
        <w:jc w:val="both"/>
        <w:rPr>
          <w:rFonts w:ascii="Arial Narrow" w:hAnsi="Arial Narrow" w:cs="Arial"/>
          <w:bCs/>
          <w:lang w:val="es-ES" w:eastAsia="es-ES"/>
        </w:rPr>
      </w:pPr>
    </w:p>
    <w:p w14:paraId="3FDC9B6D" w14:textId="77777777" w:rsidR="007968EC" w:rsidRPr="00AC423B" w:rsidRDefault="007968EC" w:rsidP="00DA7472">
      <w:pPr>
        <w:numPr>
          <w:ilvl w:val="0"/>
          <w:numId w:val="26"/>
        </w:numPr>
        <w:jc w:val="both"/>
        <w:rPr>
          <w:rFonts w:ascii="Arial Narrow" w:hAnsi="Arial Narrow" w:cs="Arial"/>
          <w:bCs/>
          <w:lang w:val="es-ES" w:eastAsia="es-ES"/>
        </w:rPr>
      </w:pPr>
      <w:r w:rsidRPr="00AC423B">
        <w:rPr>
          <w:rFonts w:ascii="Arial Narrow" w:hAnsi="Arial Narrow" w:cs="Arial"/>
          <w:bCs/>
          <w:lang w:val="es-ES" w:eastAsia="es-ES"/>
        </w:rPr>
        <w:t>Verificación de MIML: Ciclo continuo durante el cual se realizará la verificación del MIML disponible.</w:t>
      </w:r>
    </w:p>
    <w:p w14:paraId="0D436EC8" w14:textId="77777777" w:rsidR="007968EC" w:rsidRPr="00AC423B" w:rsidRDefault="007968EC" w:rsidP="007968EC">
      <w:pPr>
        <w:jc w:val="both"/>
        <w:rPr>
          <w:rFonts w:ascii="Arial Narrow" w:hAnsi="Arial Narrow" w:cs="Arial"/>
          <w:bCs/>
          <w:lang w:val="es-ES" w:eastAsia="es-ES"/>
        </w:rPr>
      </w:pPr>
    </w:p>
    <w:p w14:paraId="6EFD9B63" w14:textId="77777777" w:rsidR="007968EC" w:rsidRPr="00AC423B" w:rsidRDefault="007968EC" w:rsidP="00DA7472">
      <w:pPr>
        <w:numPr>
          <w:ilvl w:val="0"/>
          <w:numId w:val="26"/>
        </w:numPr>
        <w:tabs>
          <w:tab w:val="num" w:pos="5040"/>
        </w:tabs>
        <w:jc w:val="both"/>
        <w:rPr>
          <w:rFonts w:ascii="Arial Narrow" w:eastAsia="Calibri" w:hAnsi="Arial Narrow" w:cs="Arial"/>
          <w:lang w:val="es-ES" w:eastAsia="es-ES"/>
        </w:rPr>
      </w:pPr>
      <w:r w:rsidRPr="00AC423B">
        <w:rPr>
          <w:rFonts w:ascii="Arial Narrow" w:eastAsia="Calibri" w:hAnsi="Arial Narrow" w:cs="Arial"/>
          <w:lang w:val="es-ES" w:eastAsia="es-ES"/>
        </w:rPr>
        <w:t>Gestión de Operaciones: Espacio de tiempo durante el cual los Operadores de los Miembros pueden realizar gestión de operaciones ante la Cámara. Al finalizar, la Cámara realiza el bloqueo de la gestión de Operaciones para todos los Operadores de todos los Miembros.</w:t>
      </w:r>
    </w:p>
    <w:p w14:paraId="123F0FAA" w14:textId="77777777" w:rsidR="007968EC" w:rsidRPr="00AC423B" w:rsidRDefault="007968EC" w:rsidP="007968EC">
      <w:pPr>
        <w:jc w:val="both"/>
        <w:rPr>
          <w:rFonts w:ascii="Arial Narrow" w:eastAsia="Calibri" w:hAnsi="Arial Narrow" w:cs="Arial"/>
          <w:lang w:val="es-ES" w:eastAsia="es-ES"/>
        </w:rPr>
      </w:pPr>
    </w:p>
    <w:p w14:paraId="1848B96A" w14:textId="77777777" w:rsidR="007968EC" w:rsidRPr="00AC423B" w:rsidRDefault="007968EC" w:rsidP="00DA7472">
      <w:pPr>
        <w:numPr>
          <w:ilvl w:val="0"/>
          <w:numId w:val="26"/>
        </w:numPr>
        <w:tabs>
          <w:tab w:val="num" w:pos="5040"/>
        </w:tabs>
        <w:jc w:val="both"/>
        <w:rPr>
          <w:rFonts w:ascii="Arial Narrow" w:eastAsia="Calibri" w:hAnsi="Arial Narrow" w:cs="Arial"/>
          <w:lang w:val="es-ES" w:eastAsia="es-ES"/>
        </w:rPr>
      </w:pPr>
      <w:r w:rsidRPr="00AC423B">
        <w:rPr>
          <w:rFonts w:ascii="Arial Narrow" w:eastAsia="Calibri" w:hAnsi="Arial Narrow" w:cs="Arial"/>
          <w:lang w:val="es-ES" w:eastAsia="es-ES"/>
        </w:rPr>
        <w:t>Gestión de Garantías: Periodo durante el cual es posible constituir y solicitar liberación de Garantías a la Cámara.</w:t>
      </w:r>
    </w:p>
    <w:p w14:paraId="38FDC404" w14:textId="77777777" w:rsidR="007968EC" w:rsidRPr="00AC423B" w:rsidRDefault="007968EC" w:rsidP="007968EC">
      <w:pPr>
        <w:jc w:val="both"/>
        <w:rPr>
          <w:rFonts w:ascii="Arial Narrow" w:eastAsia="Calibri" w:hAnsi="Arial Narrow" w:cs="Arial"/>
          <w:lang w:val="es-ES" w:eastAsia="es-ES"/>
        </w:rPr>
      </w:pPr>
    </w:p>
    <w:p w14:paraId="7A55A33E" w14:textId="77777777" w:rsidR="007968EC" w:rsidRPr="00AC423B" w:rsidRDefault="007968EC" w:rsidP="00DA7472">
      <w:pPr>
        <w:numPr>
          <w:ilvl w:val="0"/>
          <w:numId w:val="26"/>
        </w:numPr>
        <w:tabs>
          <w:tab w:val="num" w:pos="5040"/>
        </w:tabs>
        <w:jc w:val="both"/>
        <w:rPr>
          <w:rFonts w:ascii="Arial Narrow" w:eastAsia="Calibri" w:hAnsi="Arial Narrow" w:cs="Arial"/>
          <w:lang w:val="es-ES" w:eastAsia="es-ES"/>
        </w:rPr>
      </w:pPr>
      <w:r w:rsidRPr="00AC423B">
        <w:rPr>
          <w:rFonts w:ascii="Arial Narrow" w:eastAsia="Calibri" w:hAnsi="Arial Narrow" w:cs="Arial"/>
          <w:lang w:val="es-ES" w:eastAsia="es-ES"/>
        </w:rPr>
        <w:t>Cierre: Momento en el que la Cámara realiza el proceso de Compensación para establecer las obligaciones de Liquidación Diaria, para el cálculo del Ajuste por Garantías pendientes por constituir y del PA y de los demás conceptos aplicables para su Liquidación al día siguiente. Posterior al cálculo mencionado, genera los reportes, informa a los Miembros y realiza los procesos de cierre del Sistema para la sesión.</w:t>
      </w:r>
    </w:p>
    <w:p w14:paraId="426480E7" w14:textId="77777777" w:rsidR="007968EC" w:rsidRPr="00AC423B" w:rsidRDefault="007968EC" w:rsidP="007968EC">
      <w:pPr>
        <w:jc w:val="both"/>
        <w:rPr>
          <w:rFonts w:ascii="Arial Narrow" w:eastAsia="Calibri" w:hAnsi="Arial Narrow" w:cs="Arial"/>
          <w:lang w:val="es-ES" w:eastAsia="es-ES"/>
        </w:rPr>
      </w:pPr>
    </w:p>
    <w:p w14:paraId="24B1EFAB" w14:textId="77777777" w:rsidR="007968EC" w:rsidRPr="00AC423B" w:rsidRDefault="007968EC" w:rsidP="007968EC">
      <w:pPr>
        <w:jc w:val="both"/>
        <w:rPr>
          <w:rFonts w:ascii="Arial Narrow" w:eastAsia="Calibri" w:hAnsi="Arial Narrow" w:cs="Arial"/>
          <w:lang w:val="es-ES" w:eastAsia="es-ES"/>
        </w:rPr>
      </w:pPr>
      <w:r w:rsidRPr="00AC423B">
        <w:rPr>
          <w:rFonts w:ascii="Arial Narrow" w:eastAsia="Calibri" w:hAnsi="Arial Narrow" w:cs="Arial"/>
          <w:lang w:val="es-ES" w:eastAsia="es-ES"/>
        </w:rPr>
        <w:t>En las sesiones en las que se deban ejecutar procesos de entrega deben incluirse los siguientes eventos:</w:t>
      </w:r>
    </w:p>
    <w:p w14:paraId="59442D1D" w14:textId="77777777" w:rsidR="007968EC" w:rsidRPr="00AC423B" w:rsidRDefault="007968EC" w:rsidP="007968EC">
      <w:pPr>
        <w:jc w:val="both"/>
        <w:rPr>
          <w:rFonts w:ascii="Arial Narrow" w:eastAsia="Calibri" w:hAnsi="Arial Narrow" w:cs="Arial"/>
          <w:lang w:val="es-ES" w:eastAsia="es-ES"/>
        </w:rPr>
      </w:pPr>
    </w:p>
    <w:p w14:paraId="2783A201" w14:textId="77777777" w:rsidR="007968EC" w:rsidRPr="00AC423B" w:rsidRDefault="007968EC" w:rsidP="00DA7472">
      <w:pPr>
        <w:numPr>
          <w:ilvl w:val="0"/>
          <w:numId w:val="26"/>
        </w:numPr>
        <w:tabs>
          <w:tab w:val="num" w:pos="5040"/>
        </w:tabs>
        <w:jc w:val="both"/>
        <w:rPr>
          <w:rFonts w:ascii="Arial Narrow" w:eastAsia="Calibri" w:hAnsi="Arial Narrow" w:cs="Arial"/>
          <w:lang w:val="es-ES" w:eastAsia="es-ES"/>
        </w:rPr>
      </w:pPr>
      <w:r w:rsidRPr="00AC423B">
        <w:rPr>
          <w:rFonts w:ascii="Arial Narrow" w:eastAsia="Calibri" w:hAnsi="Arial Narrow" w:cs="Arial"/>
          <w:lang w:val="es-ES" w:eastAsia="es-ES"/>
        </w:rPr>
        <w:t>Notificación de Entrega: Proceso mediante el cual los Miembros notifican a la Cámara sobre los títulos que entregarán en caso de tener una Posición neta vendedora (para los casos de Liquidación por entrega) cuando llega la fecha del Vencimiento del Contrato.</w:t>
      </w:r>
    </w:p>
    <w:p w14:paraId="7FEACC7D" w14:textId="77777777" w:rsidR="007968EC" w:rsidRPr="00AC423B" w:rsidRDefault="007968EC" w:rsidP="007968EC">
      <w:pPr>
        <w:jc w:val="both"/>
        <w:rPr>
          <w:rFonts w:ascii="Arial Narrow" w:eastAsia="Calibri" w:hAnsi="Arial Narrow" w:cs="Arial"/>
          <w:lang w:val="es-ES" w:eastAsia="es-ES"/>
        </w:rPr>
      </w:pPr>
    </w:p>
    <w:p w14:paraId="6DB3C63A" w14:textId="77777777" w:rsidR="007968EC" w:rsidRPr="00AC423B" w:rsidRDefault="007968EC" w:rsidP="00DA7472">
      <w:pPr>
        <w:numPr>
          <w:ilvl w:val="0"/>
          <w:numId w:val="26"/>
        </w:numPr>
        <w:tabs>
          <w:tab w:val="num" w:pos="5040"/>
        </w:tabs>
        <w:jc w:val="both"/>
        <w:rPr>
          <w:rFonts w:ascii="Arial Narrow" w:eastAsia="Calibri" w:hAnsi="Arial Narrow" w:cs="Arial"/>
          <w:lang w:val="es-ES" w:eastAsia="es-ES"/>
        </w:rPr>
      </w:pPr>
      <w:r w:rsidRPr="00AC423B">
        <w:rPr>
          <w:rFonts w:ascii="Arial Narrow" w:eastAsia="Calibri" w:hAnsi="Arial Narrow" w:cs="Arial"/>
          <w:lang w:val="es-ES" w:eastAsia="es-ES"/>
        </w:rPr>
        <w:lastRenderedPageBreak/>
        <w:t>Liquidación al Vencimiento cuando las Operaciones Aceptadas deban ser cumplidas con Liquidación por Entrega: Proceso de recibo de los Activos y efectivo de los Miembros y de los titulares de Cuenta obligados a entregar hacia la Cámara y entrega de Activos y efectivo hacia los Miembros y titulares de Cuenta con derecho a recibir desde la Cámara.</w:t>
      </w:r>
    </w:p>
    <w:p w14:paraId="24C891CA" w14:textId="77777777" w:rsidR="007968EC" w:rsidRPr="00AC423B" w:rsidRDefault="007968EC" w:rsidP="007968EC">
      <w:pPr>
        <w:jc w:val="both"/>
        <w:rPr>
          <w:rFonts w:ascii="Arial Narrow" w:eastAsia="Calibri" w:hAnsi="Arial Narrow" w:cs="Arial"/>
          <w:lang w:val="es-ES" w:eastAsia="es-ES"/>
        </w:rPr>
      </w:pPr>
    </w:p>
    <w:p w14:paraId="3D8DA975" w14:textId="77777777" w:rsidR="007968EC" w:rsidRPr="00AC423B" w:rsidRDefault="007968EC" w:rsidP="00DA7472">
      <w:pPr>
        <w:numPr>
          <w:ilvl w:val="0"/>
          <w:numId w:val="26"/>
        </w:numPr>
        <w:tabs>
          <w:tab w:val="num" w:pos="5040"/>
        </w:tabs>
        <w:jc w:val="both"/>
        <w:rPr>
          <w:rFonts w:ascii="Arial Narrow" w:eastAsia="Calibri" w:hAnsi="Arial Narrow" w:cs="Arial"/>
          <w:lang w:val="es-ES" w:eastAsia="es-ES"/>
        </w:rPr>
      </w:pPr>
      <w:r w:rsidRPr="00AC423B">
        <w:rPr>
          <w:rFonts w:ascii="Arial Narrow" w:eastAsia="Calibri" w:hAnsi="Arial Narrow" w:cs="Arial"/>
          <w:lang w:val="es-ES" w:eastAsia="es-ES"/>
        </w:rPr>
        <w:t>Liquidación al Vencimiento cuando las Operaciones Aceptadas deban ser cumplidas con Liquidación por Diferencias: Proceso de cobro y pago de la Liquidación por Diferencias por parte de la Cámara.</w:t>
      </w:r>
    </w:p>
    <w:p w14:paraId="7EAAB462" w14:textId="77777777" w:rsidR="007968EC" w:rsidRPr="00AC423B" w:rsidRDefault="007968EC" w:rsidP="007968EC">
      <w:pPr>
        <w:jc w:val="both"/>
        <w:rPr>
          <w:rFonts w:ascii="Arial Narrow" w:eastAsia="Calibri" w:hAnsi="Arial Narrow" w:cs="Arial"/>
          <w:lang w:val="es-ES" w:eastAsia="es-ES"/>
        </w:rPr>
      </w:pPr>
    </w:p>
    <w:p w14:paraId="75D70D5B" w14:textId="77777777" w:rsidR="007968EC" w:rsidRPr="00AC423B" w:rsidRDefault="007968EC" w:rsidP="007968EC">
      <w:pPr>
        <w:jc w:val="both"/>
        <w:rPr>
          <w:rFonts w:ascii="Arial Narrow" w:hAnsi="Arial Narrow" w:cs="Arial"/>
          <w:lang w:val="es-ES" w:eastAsia="es-ES"/>
        </w:rPr>
      </w:pPr>
      <w:r w:rsidRPr="00AC423B">
        <w:rPr>
          <w:rFonts w:ascii="Arial Narrow" w:hAnsi="Arial Narrow" w:cs="Arial"/>
          <w:b/>
          <w:lang w:val="es-ES" w:eastAsia="es-ES"/>
        </w:rPr>
        <w:t xml:space="preserve">Simultáneas: </w:t>
      </w:r>
      <w:r w:rsidRPr="00AC423B">
        <w:rPr>
          <w:rFonts w:ascii="Arial Narrow" w:hAnsi="Arial Narrow" w:cs="Arial"/>
          <w:lang w:val="es-ES" w:eastAsia="es-ES"/>
        </w:rPr>
        <w:t>Operaciones Simultáneas definidas en el Decreto 2555 de 2010 o en aquellas normas que lo modifiquen, adicionen o sustituyan.</w:t>
      </w:r>
    </w:p>
    <w:p w14:paraId="562862B4" w14:textId="77777777" w:rsidR="007968EC" w:rsidRPr="00AC423B" w:rsidRDefault="007968EC" w:rsidP="007968EC">
      <w:pPr>
        <w:jc w:val="both"/>
        <w:rPr>
          <w:rFonts w:ascii="Arial Narrow" w:hAnsi="Arial Narrow" w:cs="Arial"/>
          <w:lang w:val="es-ES" w:eastAsia="es-ES"/>
        </w:rPr>
      </w:pPr>
    </w:p>
    <w:p w14:paraId="665F7CF6" w14:textId="77777777" w:rsidR="007968EC" w:rsidRPr="00AC423B" w:rsidRDefault="007968EC" w:rsidP="007968EC">
      <w:pPr>
        <w:jc w:val="both"/>
        <w:rPr>
          <w:rFonts w:ascii="Arial Narrow" w:hAnsi="Arial Narrow" w:cs="Arial"/>
          <w:lang w:val="es-ES" w:eastAsia="es-ES"/>
        </w:rPr>
      </w:pPr>
      <w:r w:rsidRPr="00AC423B">
        <w:rPr>
          <w:rFonts w:ascii="Arial Narrow" w:hAnsi="Arial Narrow" w:cs="Arial"/>
          <w:lang w:val="es-ES" w:eastAsia="es-ES"/>
        </w:rPr>
        <w:t>Para efectos de la presente Circular se denominará a la primera operación de una operación Simultánea “operación inicial o flujo de salida” y a la segunda “operación de regreso o de recompra o flujo de regreso”.</w:t>
      </w:r>
    </w:p>
    <w:p w14:paraId="7849E6F2" w14:textId="77777777" w:rsidR="007968EC" w:rsidRPr="00AC423B" w:rsidRDefault="007968EC" w:rsidP="007968EC">
      <w:pPr>
        <w:jc w:val="both"/>
        <w:rPr>
          <w:rFonts w:ascii="Arial Narrow" w:hAnsi="Arial Narrow" w:cs="Arial"/>
          <w:lang w:val="es-ES" w:eastAsia="es-ES"/>
        </w:rPr>
      </w:pPr>
    </w:p>
    <w:p w14:paraId="462DBC3D" w14:textId="77777777" w:rsidR="007968EC" w:rsidRPr="00AC423B" w:rsidRDefault="007968EC" w:rsidP="007968EC">
      <w:pPr>
        <w:jc w:val="both"/>
        <w:rPr>
          <w:rFonts w:ascii="Arial Narrow" w:hAnsi="Arial Narrow" w:cs="Arial"/>
          <w:lang w:val="es-ES" w:eastAsia="es-ES"/>
        </w:rPr>
      </w:pPr>
      <w:r w:rsidRPr="00AC423B">
        <w:rPr>
          <w:rFonts w:ascii="Arial Narrow" w:hAnsi="Arial Narrow" w:cs="Arial"/>
          <w:lang w:val="es-ES" w:eastAsia="es-ES"/>
        </w:rPr>
        <w:t>Las operaciones Simultáneas que Compense y Liquide la Cámara tendrán carácter unitario de conformidad con lo previsto en el artículo 2.36.3.1.4 del Decreto 2555 de 2010 o las normas que lo modifiquen, sustituyan o adicionen.</w:t>
      </w:r>
    </w:p>
    <w:p w14:paraId="639B4068" w14:textId="77777777" w:rsidR="007968EC" w:rsidRPr="00AC423B" w:rsidRDefault="007968EC" w:rsidP="007968EC">
      <w:pPr>
        <w:jc w:val="both"/>
        <w:rPr>
          <w:rFonts w:ascii="Arial Narrow" w:eastAsia="Calibri" w:hAnsi="Arial Narrow"/>
          <w:b/>
          <w:lang w:val="es-ES"/>
        </w:rPr>
      </w:pPr>
    </w:p>
    <w:p w14:paraId="5602C439" w14:textId="77777777" w:rsidR="007968EC" w:rsidRPr="00AC423B" w:rsidRDefault="007968EC" w:rsidP="007968EC">
      <w:pPr>
        <w:jc w:val="both"/>
        <w:rPr>
          <w:rFonts w:ascii="Arial Narrow" w:eastAsia="Calibri" w:hAnsi="Arial Narrow" w:cs="Arial"/>
          <w:lang w:eastAsia="es-ES"/>
        </w:rPr>
      </w:pPr>
      <w:r w:rsidRPr="00AC423B">
        <w:rPr>
          <w:rFonts w:ascii="Arial Narrow" w:eastAsia="Calibri" w:hAnsi="Arial Narrow" w:cs="Arial"/>
          <w:b/>
          <w:lang w:eastAsia="es-ES"/>
        </w:rPr>
        <w:t>Sistema Electrónico de Negociación –SEN</w:t>
      </w:r>
      <w:r w:rsidRPr="00AC423B">
        <w:rPr>
          <w:rFonts w:ascii="Arial Narrow" w:eastAsia="Calibri" w:hAnsi="Arial Narrow" w:cs="Arial"/>
          <w:lang w:eastAsia="es-ES"/>
        </w:rPr>
        <w:t>: Sistema de Negociación y de Registro de Operaciones sobre Valores, administrado por el Banco de la República.</w:t>
      </w:r>
    </w:p>
    <w:p w14:paraId="432EB4DE" w14:textId="77777777" w:rsidR="007968EC" w:rsidRPr="00AC423B" w:rsidRDefault="007968EC" w:rsidP="007968EC">
      <w:pPr>
        <w:jc w:val="both"/>
        <w:rPr>
          <w:rFonts w:ascii="Arial Narrow" w:eastAsia="Calibri" w:hAnsi="Arial Narrow" w:cs="Arial"/>
          <w:lang w:val="es-ES" w:eastAsia="es-ES"/>
        </w:rPr>
      </w:pPr>
    </w:p>
    <w:p w14:paraId="71DD93A5" w14:textId="77777777" w:rsidR="007968EC" w:rsidRPr="00AC423B" w:rsidRDefault="007968EC" w:rsidP="007968EC">
      <w:pPr>
        <w:jc w:val="both"/>
        <w:rPr>
          <w:rFonts w:ascii="Arial Narrow" w:eastAsia="Calibri" w:hAnsi="Arial Narrow" w:cs="Arial"/>
          <w:b/>
          <w:lang w:eastAsia="es-ES"/>
        </w:rPr>
      </w:pPr>
      <w:r w:rsidRPr="00AC423B">
        <w:rPr>
          <w:rFonts w:ascii="Arial Narrow" w:eastAsia="Calibri" w:hAnsi="Arial Narrow" w:cs="Arial"/>
          <w:b/>
          <w:lang w:eastAsia="es-ES"/>
        </w:rPr>
        <w:t xml:space="preserve">Sistema – MEC Transaccional: </w:t>
      </w:r>
      <w:r w:rsidRPr="00AC423B">
        <w:rPr>
          <w:rFonts w:ascii="Arial Narrow" w:eastAsia="Calibri" w:hAnsi="Arial Narrow" w:cs="Arial"/>
          <w:lang w:eastAsia="es-ES"/>
        </w:rPr>
        <w:t xml:space="preserve">Es el sistema o mecanismo que permite la celebración de operaciones entre Afiliados bajo condiciones definidas por la Bolsa de Valores de Colombia S.A. – BVC S.A. como Administrador del Sistema y conforme con lo previsto en su Reglamento y Circular. </w:t>
      </w:r>
    </w:p>
    <w:p w14:paraId="5C760977" w14:textId="77777777" w:rsidR="007968EC" w:rsidRPr="00AC423B" w:rsidRDefault="007968EC" w:rsidP="007968EC">
      <w:pPr>
        <w:jc w:val="both"/>
        <w:rPr>
          <w:rFonts w:ascii="Arial Narrow" w:eastAsia="Calibri" w:hAnsi="Arial Narrow" w:cs="Arial"/>
          <w:b/>
          <w:lang w:eastAsia="es-ES"/>
        </w:rPr>
      </w:pPr>
    </w:p>
    <w:p w14:paraId="3756030E" w14:textId="77777777" w:rsidR="007968EC" w:rsidRPr="00AC423B" w:rsidRDefault="007968EC" w:rsidP="007968EC">
      <w:pPr>
        <w:jc w:val="both"/>
        <w:rPr>
          <w:rFonts w:ascii="Arial Narrow" w:eastAsia="Calibri" w:hAnsi="Arial Narrow" w:cs="Arial"/>
          <w:lang w:eastAsia="es-ES"/>
        </w:rPr>
      </w:pPr>
      <w:r w:rsidRPr="00AC423B">
        <w:rPr>
          <w:rFonts w:ascii="Arial Narrow" w:eastAsia="Calibri" w:hAnsi="Arial Narrow" w:cs="Arial"/>
          <w:b/>
          <w:lang w:eastAsia="es-ES"/>
        </w:rPr>
        <w:t xml:space="preserve">Sistema – MEC Registro: </w:t>
      </w:r>
      <w:r w:rsidRPr="00AC423B">
        <w:rPr>
          <w:rFonts w:ascii="Arial Narrow" w:eastAsia="Calibri" w:hAnsi="Arial Narrow" w:cs="Arial"/>
          <w:lang w:eastAsia="es-ES"/>
        </w:rPr>
        <w:t xml:space="preserve">Sistema a través de las cuales se registran las operaciones que celebren en el mercado mostrador los Afiliados de la Bolsa de Valores de Colombia S.A. entre sí o los Afiliados con personas no afiliadas al Sistema, sobre valores inscritos en la misma, de acuerdo con el régimen legal que les resulte aplicable. </w:t>
      </w:r>
    </w:p>
    <w:p w14:paraId="79C00E58" w14:textId="77777777" w:rsidR="007968EC" w:rsidRPr="00AC423B" w:rsidRDefault="007968EC" w:rsidP="007968EC">
      <w:pPr>
        <w:jc w:val="both"/>
        <w:rPr>
          <w:rFonts w:ascii="Arial Narrow" w:eastAsia="Calibri" w:hAnsi="Arial Narrow" w:cs="Arial"/>
          <w:lang w:val="es-ES" w:eastAsia="es-ES"/>
        </w:rPr>
      </w:pPr>
    </w:p>
    <w:p w14:paraId="57F33323"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Sistema o Sistema de Compensación y Liquidación de Operaciones: </w:t>
      </w:r>
      <w:r w:rsidRPr="00AC423B">
        <w:rPr>
          <w:rFonts w:ascii="Arial Narrow" w:eastAsia="Calibri" w:hAnsi="Arial Narrow" w:cs="Arial"/>
          <w:lang w:val="es-ES" w:eastAsia="es-ES"/>
        </w:rPr>
        <w:t>Conjunto organizado de actividades, acuerdos, Miembros, agentes, Terceros, Cuentas, normas, procedimientos, mecanismos y componentes tecnológicos para la Aceptación, Compensación y Liquidación de operaciones sobre Activos.</w:t>
      </w:r>
      <w:r w:rsidRPr="00AC423B">
        <w:rPr>
          <w:rFonts w:ascii="Arial Narrow" w:eastAsia="Calibri" w:hAnsi="Arial Narrow" w:cs="Arial"/>
          <w:b/>
          <w:lang w:val="es-ES" w:eastAsia="es-ES"/>
        </w:rPr>
        <w:t xml:space="preserve"> </w:t>
      </w:r>
    </w:p>
    <w:p w14:paraId="27FDB895" w14:textId="77777777" w:rsidR="007968EC" w:rsidRPr="00AC423B" w:rsidRDefault="007968EC" w:rsidP="007968EC">
      <w:pPr>
        <w:jc w:val="both"/>
        <w:rPr>
          <w:rFonts w:ascii="Arial Narrow" w:eastAsia="Calibri" w:hAnsi="Arial Narrow" w:cs="Arial"/>
          <w:b/>
          <w:lang w:val="es-ES" w:eastAsia="es-ES"/>
        </w:rPr>
      </w:pPr>
    </w:p>
    <w:p w14:paraId="4B9EF110" w14:textId="77777777" w:rsidR="007968EC" w:rsidRPr="00AC423B" w:rsidRDefault="007968EC" w:rsidP="007968EC">
      <w:pPr>
        <w:jc w:val="both"/>
        <w:rPr>
          <w:rFonts w:ascii="Arial Narrow" w:eastAsia="Calibri" w:hAnsi="Arial Narrow" w:cs="Arial"/>
          <w:lang w:val="es-ES" w:eastAsia="es-ES"/>
        </w:rPr>
      </w:pPr>
      <w:r w:rsidRPr="00AC423B">
        <w:rPr>
          <w:rFonts w:ascii="Arial Narrow" w:eastAsia="Calibri" w:hAnsi="Arial Narrow" w:cs="Arial"/>
          <w:b/>
          <w:lang w:val="es-ES" w:eastAsia="es-ES"/>
        </w:rPr>
        <w:t xml:space="preserve">Sistemas de Negociación de divisas y operaciones sobre Divisas (SND): </w:t>
      </w:r>
      <w:r w:rsidRPr="00AC423B">
        <w:rPr>
          <w:rFonts w:ascii="Arial Narrow" w:eastAsia="Calibri" w:hAnsi="Arial Narrow" w:cs="Arial"/>
          <w:lang w:val="es-ES" w:eastAsia="es-ES"/>
        </w:rPr>
        <w:t xml:space="preserve">De acuerdo con lo dispuesto en el Artículo 3º de la Resolución Externa </w:t>
      </w:r>
      <w:proofErr w:type="spellStart"/>
      <w:r w:rsidRPr="00AC423B">
        <w:rPr>
          <w:rFonts w:ascii="Arial Narrow" w:eastAsia="Calibri" w:hAnsi="Arial Narrow" w:cs="Arial"/>
          <w:lang w:val="es-ES" w:eastAsia="es-ES"/>
        </w:rPr>
        <w:t>Nº</w:t>
      </w:r>
      <w:proofErr w:type="spellEnd"/>
      <w:r w:rsidRPr="00AC423B">
        <w:rPr>
          <w:rFonts w:ascii="Arial Narrow" w:eastAsia="Calibri" w:hAnsi="Arial Narrow" w:cs="Arial"/>
          <w:lang w:val="es-ES" w:eastAsia="es-ES"/>
        </w:rPr>
        <w:t xml:space="preserve"> 4 de 2009 de la Junta Directiva del Banco de la República se entiende por sistemas de negociación de operaciones sobre divisas aquellos que por medio electrónico, de voz o mixto:</w:t>
      </w:r>
    </w:p>
    <w:p w14:paraId="2B92D0D9" w14:textId="77777777" w:rsidR="007968EC" w:rsidRPr="00AC423B" w:rsidRDefault="007968EC" w:rsidP="007968EC">
      <w:pPr>
        <w:jc w:val="both"/>
        <w:rPr>
          <w:rFonts w:ascii="Arial Narrow" w:eastAsia="Calibri" w:hAnsi="Arial Narrow" w:cs="Arial"/>
          <w:lang w:val="es-ES" w:eastAsia="es-ES"/>
        </w:rPr>
      </w:pPr>
    </w:p>
    <w:p w14:paraId="3A62ED19" w14:textId="77777777" w:rsidR="007968EC" w:rsidRPr="00AC423B" w:rsidRDefault="007968EC" w:rsidP="007968EC">
      <w:pPr>
        <w:jc w:val="both"/>
        <w:rPr>
          <w:rFonts w:ascii="Arial Narrow" w:eastAsia="Calibri" w:hAnsi="Arial Narrow" w:cs="Arial"/>
          <w:lang w:val="es-ES" w:eastAsia="es-ES"/>
        </w:rPr>
      </w:pPr>
      <w:r w:rsidRPr="00AC423B">
        <w:rPr>
          <w:rFonts w:ascii="Arial Narrow" w:eastAsia="Calibri" w:hAnsi="Arial Narrow" w:cs="Arial"/>
          <w:lang w:val="es-ES" w:eastAsia="es-ES"/>
        </w:rPr>
        <w:t xml:space="preserve">Sean de carácter multilateral, transaccional y permitan la concurrencia de los participantes, bajo las reglas y condiciones establecidas en la normatividad vigente y en el reglamento. </w:t>
      </w:r>
    </w:p>
    <w:p w14:paraId="002EB0E0" w14:textId="77777777" w:rsidR="007968EC" w:rsidRPr="00AC423B" w:rsidRDefault="007968EC" w:rsidP="007968EC">
      <w:pPr>
        <w:jc w:val="both"/>
        <w:rPr>
          <w:rFonts w:ascii="Arial Narrow" w:eastAsia="Calibri" w:hAnsi="Arial Narrow" w:cs="Arial"/>
          <w:lang w:val="es-ES" w:eastAsia="es-ES"/>
        </w:rPr>
      </w:pPr>
    </w:p>
    <w:p w14:paraId="1A443E38" w14:textId="77777777" w:rsidR="007968EC" w:rsidRPr="00AC423B" w:rsidRDefault="007968EC" w:rsidP="00DA7472">
      <w:pPr>
        <w:numPr>
          <w:ilvl w:val="0"/>
          <w:numId w:val="105"/>
        </w:numPr>
        <w:jc w:val="both"/>
        <w:rPr>
          <w:rFonts w:ascii="Arial Narrow" w:eastAsia="Calibri" w:hAnsi="Arial Narrow" w:cs="Arial"/>
          <w:lang w:val="es-ES" w:eastAsia="es-ES"/>
        </w:rPr>
      </w:pPr>
      <w:r w:rsidRPr="00AC423B">
        <w:rPr>
          <w:rFonts w:ascii="Arial Narrow" w:eastAsia="Calibri" w:hAnsi="Arial Narrow" w:cs="Arial"/>
          <w:lang w:val="es-ES" w:eastAsia="es-ES"/>
        </w:rPr>
        <w:lastRenderedPageBreak/>
        <w:t>Reciban, organizan y distribuyan cotizaciones en firme de órdenes de compra o venta de operaciones sobre divisas.</w:t>
      </w:r>
    </w:p>
    <w:p w14:paraId="4713B0B4" w14:textId="77777777" w:rsidR="007968EC" w:rsidRPr="00AC423B" w:rsidRDefault="007968EC" w:rsidP="007968EC">
      <w:pPr>
        <w:jc w:val="both"/>
        <w:rPr>
          <w:rFonts w:ascii="Arial Narrow" w:eastAsia="Calibri" w:hAnsi="Arial Narrow" w:cs="Arial"/>
          <w:lang w:val="es-ES" w:eastAsia="es-ES"/>
        </w:rPr>
      </w:pPr>
    </w:p>
    <w:p w14:paraId="596EC0BD" w14:textId="77777777" w:rsidR="007968EC" w:rsidRPr="00AC423B" w:rsidRDefault="007968EC" w:rsidP="00DA7472">
      <w:pPr>
        <w:numPr>
          <w:ilvl w:val="0"/>
          <w:numId w:val="105"/>
        </w:numPr>
        <w:jc w:val="both"/>
        <w:rPr>
          <w:rFonts w:ascii="Arial Narrow" w:eastAsia="Calibri" w:hAnsi="Arial Narrow" w:cs="Arial"/>
          <w:lang w:val="es-ES" w:eastAsia="es-ES"/>
        </w:rPr>
      </w:pPr>
      <w:r w:rsidRPr="00AC423B">
        <w:rPr>
          <w:rFonts w:ascii="Arial Narrow" w:eastAsia="Calibri" w:hAnsi="Arial Narrow" w:cs="Arial"/>
          <w:lang w:val="es-ES" w:eastAsia="es-ES"/>
        </w:rPr>
        <w:t>Efectúen los cierres.</w:t>
      </w:r>
    </w:p>
    <w:p w14:paraId="08E4EC6E" w14:textId="77777777" w:rsidR="007968EC" w:rsidRPr="00AC423B" w:rsidRDefault="007968EC" w:rsidP="007968EC">
      <w:pPr>
        <w:jc w:val="both"/>
        <w:rPr>
          <w:rFonts w:ascii="Arial Narrow" w:eastAsia="Calibri" w:hAnsi="Arial Narrow" w:cs="Arial"/>
          <w:lang w:val="es-ES" w:eastAsia="es-ES"/>
        </w:rPr>
      </w:pPr>
    </w:p>
    <w:p w14:paraId="514EDC4D" w14:textId="77777777" w:rsidR="007968EC" w:rsidRPr="00AC423B" w:rsidRDefault="007968EC" w:rsidP="00DA7472">
      <w:pPr>
        <w:numPr>
          <w:ilvl w:val="0"/>
          <w:numId w:val="105"/>
        </w:numPr>
        <w:jc w:val="both"/>
        <w:rPr>
          <w:rFonts w:ascii="Arial Narrow" w:eastAsia="Calibri" w:hAnsi="Arial Narrow" w:cs="Arial"/>
          <w:lang w:val="es-ES" w:eastAsia="es-ES"/>
        </w:rPr>
      </w:pPr>
      <w:r w:rsidRPr="00AC423B">
        <w:rPr>
          <w:rFonts w:ascii="Arial Narrow" w:eastAsia="Calibri" w:hAnsi="Arial Narrow" w:cs="Arial"/>
          <w:lang w:val="es-ES" w:eastAsia="es-ES"/>
        </w:rPr>
        <w:t xml:space="preserve">Compilen y diseminen la información antes de la negociación (cotizaciones) y posterior a la negociación (precios de la transacción y los volúmenes). </w:t>
      </w:r>
    </w:p>
    <w:p w14:paraId="5966537B" w14:textId="77777777" w:rsidR="007968EC" w:rsidRPr="00AC423B" w:rsidRDefault="007968EC" w:rsidP="007968EC">
      <w:pPr>
        <w:jc w:val="both"/>
        <w:rPr>
          <w:rFonts w:ascii="Arial Narrow" w:eastAsia="Calibri" w:hAnsi="Arial Narrow" w:cs="Arial"/>
          <w:lang w:val="es-ES" w:eastAsia="es-ES"/>
        </w:rPr>
      </w:pPr>
    </w:p>
    <w:p w14:paraId="459D89E6"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Sistemas de Registro de Operaciones sobre Divisas (SRD): </w:t>
      </w:r>
      <w:r w:rsidRPr="00AC423B">
        <w:rPr>
          <w:rFonts w:ascii="Arial Narrow" w:eastAsia="Calibri" w:hAnsi="Arial Narrow" w:cs="Arial"/>
          <w:lang w:val="es-ES" w:eastAsia="es-ES"/>
        </w:rPr>
        <w:t>De acuerdo con lo dispuesto en el artículo 5º de la Resolución Externa No. 4 de 2009 modificado por el artículo 2º de la Resolución Externa No. 10 de 2009 del Banco de la República, son sistemas de registro de operaciones sobre divisas aquellos mecanismos que tengan como objeto recibir y registrar la información de operaciones sobre divisas que celebren en el mercado mostrador los afiliados a dichos sistemas, o los afiliados con personas o entidades no afiliadas a tales sistemas.</w:t>
      </w:r>
    </w:p>
    <w:p w14:paraId="47C00BD4" w14:textId="77777777" w:rsidR="007968EC" w:rsidRPr="00AC423B" w:rsidRDefault="007968EC" w:rsidP="007968EC">
      <w:pPr>
        <w:jc w:val="both"/>
        <w:rPr>
          <w:rFonts w:ascii="Arial Narrow" w:eastAsia="Calibri" w:hAnsi="Arial Narrow" w:cs="Arial"/>
          <w:b/>
          <w:lang w:val="es-ES" w:eastAsia="es-ES"/>
        </w:rPr>
      </w:pPr>
    </w:p>
    <w:p w14:paraId="2D92A49A"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Sistemas de Registro de Operaciones sobre Valores (SRV): </w:t>
      </w:r>
      <w:r w:rsidRPr="00AC423B">
        <w:rPr>
          <w:rFonts w:ascii="Arial Narrow" w:eastAsia="Calibri" w:hAnsi="Arial Narrow" w:cs="Arial"/>
          <w:lang w:val="es-ES" w:eastAsia="es-ES"/>
        </w:rPr>
        <w:t>Son aquellos mecanismos que tengan como objeto recibir y registrar información de operaciones sobre valores que celebren en el mercado mostrador los afilados a dichos sistemas, o los afiliados al mismo con personas o entidades no afiliadas a tales sistemas, bajo las reglas y condiciones establecidas en el Decreto 2555 de 2010, en el reglamento aprobado por la Superintendencia Financiera de Colombia y aquellas adoptadas por la entidad administradora, lo anterior de acuerdo con lo establecido en el artículo 2.15.3.1.1 del Decreto 2555 de 2010 y/o las normas que lo modifiquen, adicionen, o sustituyan en un futuro.</w:t>
      </w:r>
    </w:p>
    <w:p w14:paraId="6DC16097" w14:textId="77777777" w:rsidR="007968EC" w:rsidRDefault="007968EC" w:rsidP="007968EC">
      <w:pPr>
        <w:jc w:val="both"/>
        <w:rPr>
          <w:rFonts w:ascii="Arial Narrow" w:eastAsia="Calibri" w:hAnsi="Arial Narrow" w:cs="Arial"/>
          <w:b/>
          <w:lang w:eastAsia="es-ES"/>
        </w:rPr>
      </w:pPr>
    </w:p>
    <w:p w14:paraId="2EA366FC" w14:textId="77777777" w:rsidR="007968EC" w:rsidRPr="00AC423B" w:rsidRDefault="007968EC" w:rsidP="007968EC">
      <w:pPr>
        <w:jc w:val="both"/>
        <w:rPr>
          <w:rFonts w:ascii="Arial Narrow" w:eastAsia="Calibri" w:hAnsi="Arial Narrow" w:cs="Arial"/>
          <w:b/>
          <w:lang w:eastAsia="es-ES"/>
        </w:rPr>
      </w:pPr>
      <w:r w:rsidRPr="00AC423B">
        <w:rPr>
          <w:rFonts w:ascii="Arial Narrow" w:eastAsia="Calibri" w:hAnsi="Arial Narrow" w:cs="Arial"/>
          <w:b/>
          <w:lang w:eastAsia="es-ES"/>
        </w:rPr>
        <w:t xml:space="preserve">Tasa de la Operación: </w:t>
      </w:r>
      <w:r w:rsidRPr="00AC423B">
        <w:rPr>
          <w:rFonts w:ascii="Arial Narrow" w:eastAsia="Calibri" w:hAnsi="Arial Narrow" w:cs="Arial"/>
          <w:lang w:eastAsia="es-ES"/>
        </w:rPr>
        <w:t xml:space="preserve">Es la tasa pactada por las partes de la Operación Forward NDF (USD/COP) </w:t>
      </w:r>
      <w:r>
        <w:rPr>
          <w:rFonts w:ascii="Arial Narrow" w:eastAsia="Calibri" w:hAnsi="Arial Narrow" w:cs="Arial"/>
          <w:lang w:eastAsia="es-ES"/>
        </w:rPr>
        <w:t xml:space="preserve">o de las Operaciones Swap, </w:t>
      </w:r>
      <w:r w:rsidRPr="00AC423B">
        <w:rPr>
          <w:rFonts w:ascii="Arial Narrow" w:eastAsia="Calibri" w:hAnsi="Arial Narrow" w:cs="Arial"/>
          <w:lang w:eastAsia="es-ES"/>
        </w:rPr>
        <w:t>Susceptible</w:t>
      </w:r>
      <w:r>
        <w:rPr>
          <w:rFonts w:ascii="Arial Narrow" w:eastAsia="Calibri" w:hAnsi="Arial Narrow" w:cs="Arial"/>
          <w:lang w:eastAsia="es-ES"/>
        </w:rPr>
        <w:t>s</w:t>
      </w:r>
      <w:r w:rsidRPr="00AC423B">
        <w:rPr>
          <w:rFonts w:ascii="Arial Narrow" w:eastAsia="Calibri" w:hAnsi="Arial Narrow" w:cs="Arial"/>
          <w:lang w:eastAsia="es-ES"/>
        </w:rPr>
        <w:t xml:space="preserve"> de ser Aceptada</w:t>
      </w:r>
      <w:r>
        <w:rPr>
          <w:rFonts w:ascii="Arial Narrow" w:eastAsia="Calibri" w:hAnsi="Arial Narrow" w:cs="Arial"/>
          <w:lang w:eastAsia="es-ES"/>
        </w:rPr>
        <w:t>s</w:t>
      </w:r>
      <w:r w:rsidRPr="00AC423B">
        <w:rPr>
          <w:rFonts w:ascii="Arial Narrow" w:eastAsia="Calibri" w:hAnsi="Arial Narrow" w:cs="Arial"/>
          <w:lang w:eastAsia="es-ES"/>
        </w:rPr>
        <w:t xml:space="preserve"> por la Cámara. </w:t>
      </w:r>
    </w:p>
    <w:p w14:paraId="4DB29B33" w14:textId="77777777" w:rsidR="007968EC" w:rsidRPr="00AC423B" w:rsidRDefault="007968EC" w:rsidP="007968EC">
      <w:pPr>
        <w:jc w:val="both"/>
        <w:rPr>
          <w:rFonts w:ascii="Arial Narrow" w:eastAsia="Calibri" w:hAnsi="Arial Narrow" w:cs="Arial"/>
          <w:b/>
          <w:lang w:eastAsia="es-ES"/>
        </w:rPr>
      </w:pPr>
    </w:p>
    <w:p w14:paraId="57F8E292" w14:textId="77777777" w:rsidR="007968EC" w:rsidRPr="00AC423B" w:rsidRDefault="007968EC" w:rsidP="007968EC">
      <w:pPr>
        <w:jc w:val="both"/>
        <w:rPr>
          <w:rFonts w:ascii="Arial Narrow" w:eastAsia="Calibri" w:hAnsi="Arial Narrow" w:cs="Arial"/>
          <w:b/>
          <w:lang w:eastAsia="es-ES"/>
        </w:rPr>
      </w:pPr>
      <w:r w:rsidRPr="00AC423B">
        <w:rPr>
          <w:rFonts w:ascii="Arial Narrow" w:eastAsia="Calibri" w:hAnsi="Arial Narrow" w:cs="Arial"/>
          <w:b/>
          <w:lang w:eastAsia="es-ES"/>
        </w:rPr>
        <w:t xml:space="preserve">Tercero: </w:t>
      </w:r>
      <w:r w:rsidRPr="00AC423B">
        <w:rPr>
          <w:rFonts w:ascii="Arial Narrow" w:eastAsia="Calibri" w:hAnsi="Arial Narrow" w:cs="Arial"/>
          <w:lang w:eastAsia="es-ES"/>
        </w:rPr>
        <w:t>Personas naturales o jurídicas, los patrimonios autónomos o demás entidades jurídicas que acceden a las Bolsas, los Sistemas de negociación, el Mercado Mostrador o cualquier Mecanismo de Contratación, a través de uno o varios Miembros no Liquidadores, Miembros Liquidadores Individuales o Miembros Liquidadores Generales, según sea el caso, para realizar, por intermedio de éstos, Operaciones Susceptibles de ser Aceptadas por la Cámara para su Compensación y Liquidación.</w:t>
      </w:r>
    </w:p>
    <w:p w14:paraId="0218DC3A" w14:textId="77777777" w:rsidR="007968EC" w:rsidRPr="00AC423B" w:rsidRDefault="007968EC" w:rsidP="007968EC">
      <w:pPr>
        <w:jc w:val="both"/>
        <w:rPr>
          <w:rFonts w:ascii="Arial Narrow" w:eastAsia="Calibri" w:hAnsi="Arial Narrow" w:cs="Arial"/>
          <w:b/>
          <w:lang w:eastAsia="es-ES"/>
        </w:rPr>
      </w:pPr>
    </w:p>
    <w:p w14:paraId="0EC540BD"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Tercero Identificado: </w:t>
      </w:r>
      <w:r w:rsidRPr="00AC423B">
        <w:rPr>
          <w:rFonts w:ascii="Arial Narrow" w:eastAsia="Calibri" w:hAnsi="Arial Narrow" w:cs="Arial"/>
          <w:lang w:val="es-ES" w:eastAsia="es-ES"/>
        </w:rPr>
        <w:t>Persona natural o jurídica, patrimonio autónomo o demás entidades jurídicas, plenamente identificadas ante la Cámara, que participa en la misma a través de un Miembro Liquidador Individual o General, o de un Miembro no Liquidador, cuyas operaciones se registran en una Cuenta de Tercero de la que es titular.</w:t>
      </w:r>
      <w:r w:rsidRPr="00AC423B">
        <w:rPr>
          <w:rFonts w:ascii="Arial Narrow" w:eastAsia="Calibri" w:hAnsi="Arial Narrow" w:cs="Arial"/>
          <w:b/>
          <w:lang w:val="es-ES" w:eastAsia="es-ES"/>
        </w:rPr>
        <w:t xml:space="preserve">  </w:t>
      </w:r>
    </w:p>
    <w:p w14:paraId="405157D2" w14:textId="77777777" w:rsidR="007968EC" w:rsidRPr="00AC423B" w:rsidRDefault="007968EC" w:rsidP="007968EC">
      <w:pPr>
        <w:jc w:val="both"/>
        <w:rPr>
          <w:rFonts w:ascii="Arial Narrow" w:eastAsia="Calibri" w:hAnsi="Arial Narrow" w:cs="Arial"/>
          <w:b/>
          <w:lang w:val="es-ES" w:eastAsia="es-ES"/>
        </w:rPr>
      </w:pPr>
    </w:p>
    <w:p w14:paraId="0BA2F6DF"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Terminal (CÁMARA </w:t>
      </w:r>
      <w:proofErr w:type="spellStart"/>
      <w:r w:rsidRPr="00AC423B">
        <w:rPr>
          <w:rFonts w:ascii="Arial Narrow" w:eastAsia="Calibri" w:hAnsi="Arial Narrow" w:cs="Arial"/>
          <w:b/>
          <w:lang w:val="es-ES" w:eastAsia="es-ES"/>
        </w:rPr>
        <w:t>Station</w:t>
      </w:r>
      <w:proofErr w:type="spellEnd"/>
      <w:r w:rsidRPr="00AC423B">
        <w:rPr>
          <w:rFonts w:ascii="Arial Narrow" w:eastAsia="Calibri" w:hAnsi="Arial Narrow" w:cs="Arial"/>
          <w:b/>
          <w:lang w:val="es-ES" w:eastAsia="es-ES"/>
        </w:rPr>
        <w:t xml:space="preserve">): </w:t>
      </w:r>
      <w:r w:rsidRPr="00AC423B">
        <w:rPr>
          <w:rFonts w:ascii="Arial Narrow" w:eastAsia="Calibri" w:hAnsi="Arial Narrow" w:cs="Arial"/>
          <w:lang w:val="es-ES" w:eastAsia="es-ES"/>
        </w:rPr>
        <w:t>Es el Terminal básico para permitir a los Miembros gestionar sus operaciones y acceder a la información que diariamente proporciona la Cámara para la Compensación y Liquidación de las mismas. La información que maneja este Terminal permanece disponible solamente durante la sesión</w:t>
      </w:r>
      <w:r w:rsidRPr="00AC423B">
        <w:rPr>
          <w:rFonts w:ascii="Arial Narrow" w:eastAsia="Calibri" w:hAnsi="Arial Narrow" w:cs="Arial"/>
          <w:b/>
          <w:lang w:val="es-ES" w:eastAsia="es-ES"/>
        </w:rPr>
        <w:t>.</w:t>
      </w:r>
    </w:p>
    <w:p w14:paraId="05E58BDA" w14:textId="77777777" w:rsidR="007968EC" w:rsidRPr="00AC423B" w:rsidRDefault="007968EC" w:rsidP="007968EC">
      <w:pPr>
        <w:jc w:val="both"/>
        <w:rPr>
          <w:rFonts w:ascii="Arial Narrow" w:eastAsia="Calibri" w:hAnsi="Arial Narrow" w:cs="Arial"/>
          <w:b/>
          <w:lang w:val="es-ES" w:eastAsia="es-ES"/>
        </w:rPr>
      </w:pPr>
      <w:r w:rsidRPr="00AC423B">
        <w:rPr>
          <w:rFonts w:ascii="Arial Narrow" w:eastAsia="Calibri" w:hAnsi="Arial Narrow" w:cs="Arial"/>
          <w:b/>
          <w:lang w:val="es-ES" w:eastAsia="es-ES"/>
        </w:rPr>
        <w:t xml:space="preserve"> </w:t>
      </w:r>
    </w:p>
    <w:p w14:paraId="5232DE92" w14:textId="77777777" w:rsidR="007968EC" w:rsidRPr="00AC423B" w:rsidRDefault="007968EC" w:rsidP="007968EC">
      <w:pPr>
        <w:jc w:val="both"/>
        <w:rPr>
          <w:rFonts w:ascii="Arial Narrow" w:eastAsia="Calibri" w:hAnsi="Arial Narrow" w:cs="Arial"/>
          <w:b/>
          <w:lang w:val="es-ES" w:eastAsia="es-ES"/>
        </w:rPr>
      </w:pPr>
      <w:proofErr w:type="spellStart"/>
      <w:r w:rsidRPr="00AC423B">
        <w:rPr>
          <w:rFonts w:ascii="Arial Narrow" w:eastAsia="Calibri" w:hAnsi="Arial Narrow" w:cs="Arial"/>
          <w:b/>
          <w:lang w:val="es-ES" w:eastAsia="es-ES"/>
        </w:rPr>
        <w:t>Tick</w:t>
      </w:r>
      <w:proofErr w:type="spellEnd"/>
      <w:r w:rsidRPr="00AC423B">
        <w:rPr>
          <w:rFonts w:ascii="Arial Narrow" w:eastAsia="Calibri" w:hAnsi="Arial Narrow" w:cs="Arial"/>
          <w:b/>
          <w:lang w:val="es-ES" w:eastAsia="es-ES"/>
        </w:rPr>
        <w:t xml:space="preserve">: </w:t>
      </w:r>
      <w:r w:rsidRPr="00AC423B">
        <w:rPr>
          <w:rFonts w:ascii="Arial Narrow" w:eastAsia="Calibri" w:hAnsi="Arial Narrow" w:cs="Arial"/>
          <w:lang w:val="es-ES" w:eastAsia="es-ES"/>
        </w:rPr>
        <w:t>Mínima unidad de variación del precio establecida para la cotización de un Contrato.</w:t>
      </w:r>
    </w:p>
    <w:p w14:paraId="04915F9C" w14:textId="77777777" w:rsidR="007968EC" w:rsidRPr="00AC423B" w:rsidRDefault="007968EC" w:rsidP="007968EC">
      <w:pPr>
        <w:jc w:val="both"/>
        <w:rPr>
          <w:rFonts w:ascii="Arial Narrow" w:eastAsia="Calibri" w:hAnsi="Arial Narrow" w:cs="Arial"/>
          <w:b/>
          <w:lang w:eastAsia="es-ES"/>
        </w:rPr>
      </w:pPr>
    </w:p>
    <w:p w14:paraId="580D8B9C" w14:textId="77777777" w:rsidR="007968EC" w:rsidRPr="00AC423B" w:rsidRDefault="007968EC" w:rsidP="007968EC">
      <w:pPr>
        <w:jc w:val="both"/>
        <w:rPr>
          <w:rFonts w:ascii="Arial Narrow" w:eastAsia="Calibri" w:hAnsi="Arial Narrow" w:cs="Arial"/>
          <w:b/>
          <w:lang w:eastAsia="es-ES"/>
        </w:rPr>
      </w:pPr>
      <w:r w:rsidRPr="00AC423B">
        <w:rPr>
          <w:rFonts w:ascii="Arial Narrow" w:eastAsia="Calibri" w:hAnsi="Arial Narrow" w:cs="Arial"/>
          <w:b/>
          <w:lang w:eastAsia="es-ES"/>
        </w:rPr>
        <w:lastRenderedPageBreak/>
        <w:t xml:space="preserve">Tipo de Liquidación: </w:t>
      </w:r>
      <w:r w:rsidRPr="00AC423B">
        <w:rPr>
          <w:rFonts w:ascii="Arial Narrow" w:eastAsia="Calibri" w:hAnsi="Arial Narrow" w:cs="Arial"/>
          <w:lang w:eastAsia="es-ES"/>
        </w:rPr>
        <w:t>Las Operaciones Aceptadas por la Cámara deberán ser liquidadas mediante alguna o varias de las siguientes modalidades: Liquidación Diaria y/o Liquidación al Vencimiento</w:t>
      </w:r>
    </w:p>
    <w:p w14:paraId="1AB1B265" w14:textId="77777777" w:rsidR="007968EC" w:rsidRPr="00AC423B" w:rsidRDefault="007968EC" w:rsidP="007968EC">
      <w:pPr>
        <w:jc w:val="both"/>
        <w:rPr>
          <w:rFonts w:ascii="Arial Narrow" w:eastAsia="Calibri" w:hAnsi="Arial Narrow" w:cs="Arial"/>
          <w:b/>
          <w:lang w:eastAsia="es-ES"/>
        </w:rPr>
      </w:pPr>
    </w:p>
    <w:p w14:paraId="2E15948D" w14:textId="77777777" w:rsidR="007968EC" w:rsidRPr="00AC423B" w:rsidRDefault="007968EC" w:rsidP="007968EC">
      <w:pPr>
        <w:jc w:val="both"/>
        <w:rPr>
          <w:rFonts w:ascii="Arial Narrow" w:eastAsia="Calibri" w:hAnsi="Arial Narrow" w:cs="Arial"/>
          <w:lang w:eastAsia="es-ES"/>
        </w:rPr>
      </w:pPr>
      <w:r w:rsidRPr="00AC423B">
        <w:rPr>
          <w:rFonts w:ascii="Arial Narrow" w:eastAsia="Calibri" w:hAnsi="Arial Narrow" w:cs="Arial"/>
          <w:b/>
          <w:lang w:eastAsia="es-ES"/>
        </w:rPr>
        <w:t xml:space="preserve">Traspaso: </w:t>
      </w:r>
      <w:r w:rsidRPr="00AC423B">
        <w:rPr>
          <w:rFonts w:ascii="Arial Narrow" w:eastAsia="Calibri" w:hAnsi="Arial Narrow" w:cs="Arial"/>
          <w:lang w:eastAsia="es-ES"/>
        </w:rPr>
        <w:t>Consiste en la reasignación de una Operación anotada en una Cuenta Definitiva a otra Cuenta o Cuentas Definitivas diferentes de la original dentro de la estructura de Cuentas del mismo Miembro. Este tipo de Operación no supone modificación en el Precio de Negociación de la Operación ni en su volumen. El Traspaso puede ser por volumen total o parcial.</w:t>
      </w:r>
    </w:p>
    <w:p w14:paraId="0CF0A01F" w14:textId="77777777" w:rsidR="007968EC" w:rsidRPr="00AC423B" w:rsidRDefault="007968EC" w:rsidP="007968EC">
      <w:pPr>
        <w:jc w:val="both"/>
        <w:rPr>
          <w:rFonts w:ascii="Arial Narrow" w:eastAsia="Calibri" w:hAnsi="Arial Narrow" w:cs="Arial"/>
          <w:b/>
          <w:lang w:eastAsia="es-ES"/>
        </w:rPr>
      </w:pPr>
    </w:p>
    <w:p w14:paraId="063B6FE6" w14:textId="77777777" w:rsidR="007968EC" w:rsidRPr="00AC423B" w:rsidRDefault="007968EC" w:rsidP="007968EC">
      <w:pPr>
        <w:tabs>
          <w:tab w:val="num" w:pos="360"/>
          <w:tab w:val="num" w:pos="5040"/>
        </w:tabs>
        <w:jc w:val="both"/>
        <w:rPr>
          <w:rFonts w:ascii="Arial Narrow" w:eastAsia="Calibri" w:hAnsi="Arial Narrow" w:cs="Arial"/>
          <w:lang w:eastAsia="es-ES"/>
        </w:rPr>
      </w:pPr>
      <w:r w:rsidRPr="00AC423B">
        <w:rPr>
          <w:rFonts w:ascii="Arial Narrow" w:eastAsia="Calibri" w:hAnsi="Arial Narrow" w:cs="Arial"/>
          <w:b/>
          <w:lang w:eastAsia="es-ES"/>
        </w:rPr>
        <w:t>Ultimo Día de Negociación</w:t>
      </w:r>
      <w:r w:rsidRPr="00AC423B">
        <w:rPr>
          <w:rFonts w:ascii="Arial Narrow" w:eastAsia="Calibri" w:hAnsi="Arial Narrow" w:cs="Arial"/>
          <w:lang w:eastAsia="es-ES"/>
        </w:rPr>
        <w:t>: Es la última fecha en la cual, los Miembros y sus Terceros podrán celebrar o registrar las Operaciones Susceptibles de ser Aceptadas por la Cámara para su compensación y liquidación, en un Sistema de Negociación y/o Registro o cualquier Mecanismo de Contratación.</w:t>
      </w:r>
    </w:p>
    <w:p w14:paraId="31408B98" w14:textId="77777777" w:rsidR="007968EC" w:rsidRPr="00AC423B" w:rsidRDefault="007968EC" w:rsidP="007968EC">
      <w:pPr>
        <w:tabs>
          <w:tab w:val="num" w:pos="360"/>
          <w:tab w:val="num" w:pos="5040"/>
        </w:tabs>
        <w:jc w:val="both"/>
        <w:rPr>
          <w:rFonts w:ascii="Arial Narrow" w:eastAsia="Calibri" w:hAnsi="Arial Narrow" w:cs="Arial"/>
          <w:lang w:eastAsia="es-ES"/>
        </w:rPr>
      </w:pPr>
    </w:p>
    <w:p w14:paraId="1438132C" w14:textId="77777777" w:rsidR="007968EC" w:rsidRPr="002C0D19" w:rsidRDefault="007968EC" w:rsidP="007968EC">
      <w:pPr>
        <w:tabs>
          <w:tab w:val="num" w:pos="360"/>
          <w:tab w:val="num" w:pos="5040"/>
        </w:tabs>
        <w:jc w:val="both"/>
        <w:rPr>
          <w:rFonts w:ascii="Arial Narrow" w:hAnsi="Arial Narrow" w:cs="Arial"/>
          <w:lang w:eastAsia="es-ES"/>
        </w:rPr>
      </w:pPr>
      <w:r w:rsidRPr="00AC423B">
        <w:rPr>
          <w:rFonts w:ascii="Arial Narrow" w:eastAsia="Calibri" w:hAnsi="Arial Narrow"/>
          <w:b/>
          <w:color w:val="000000" w:themeColor="text1"/>
          <w:lang w:val="es-ES"/>
        </w:rPr>
        <w:t xml:space="preserve">Valor Presente Neto </w:t>
      </w:r>
      <w:r w:rsidRPr="00AC423B">
        <w:rPr>
          <w:rFonts w:ascii="Arial Narrow" w:eastAsia="Calibri" w:hAnsi="Arial Narrow"/>
          <w:b/>
          <w:color w:val="000000" w:themeColor="text1"/>
        </w:rPr>
        <w:t xml:space="preserve">(Net </w:t>
      </w:r>
      <w:proofErr w:type="spellStart"/>
      <w:r w:rsidRPr="00AC423B">
        <w:rPr>
          <w:rFonts w:ascii="Arial Narrow" w:eastAsia="Calibri" w:hAnsi="Arial Narrow"/>
          <w:b/>
          <w:color w:val="000000" w:themeColor="text1"/>
        </w:rPr>
        <w:t>Present</w:t>
      </w:r>
      <w:proofErr w:type="spellEnd"/>
      <w:r w:rsidRPr="00AC423B">
        <w:rPr>
          <w:rFonts w:ascii="Arial Narrow" w:eastAsia="Calibri" w:hAnsi="Arial Narrow"/>
          <w:b/>
          <w:color w:val="000000" w:themeColor="text1"/>
        </w:rPr>
        <w:t xml:space="preserve"> </w:t>
      </w:r>
      <w:proofErr w:type="spellStart"/>
      <w:r w:rsidRPr="00AC423B">
        <w:rPr>
          <w:rFonts w:ascii="Arial Narrow" w:eastAsia="Calibri" w:hAnsi="Arial Narrow"/>
          <w:b/>
          <w:color w:val="000000" w:themeColor="text1"/>
        </w:rPr>
        <w:t>Value</w:t>
      </w:r>
      <w:proofErr w:type="spellEnd"/>
      <w:r w:rsidRPr="00AC423B">
        <w:rPr>
          <w:rFonts w:ascii="Arial Narrow" w:eastAsia="Calibri" w:hAnsi="Arial Narrow"/>
          <w:b/>
          <w:color w:val="000000" w:themeColor="text1"/>
        </w:rPr>
        <w:t xml:space="preserve">) </w:t>
      </w:r>
      <w:r w:rsidRPr="00AC423B">
        <w:rPr>
          <w:rFonts w:ascii="Arial Narrow" w:eastAsia="Calibri" w:hAnsi="Arial Narrow"/>
          <w:b/>
          <w:color w:val="000000" w:themeColor="text1"/>
          <w:lang w:val="es-ES"/>
        </w:rPr>
        <w:t>(</w:t>
      </w:r>
      <w:r w:rsidRPr="00AC423B">
        <w:rPr>
          <w:rFonts w:ascii="Arial Narrow" w:eastAsia="Calibri" w:hAnsi="Arial Narrow"/>
          <w:b/>
          <w:color w:val="000000" w:themeColor="text1"/>
        </w:rPr>
        <w:t>NPV):</w:t>
      </w:r>
      <w:r w:rsidRPr="00AC423B">
        <w:rPr>
          <w:rFonts w:ascii="Arial Narrow" w:eastAsia="Calibri" w:hAnsi="Arial Narrow"/>
          <w:color w:val="000000" w:themeColor="text1"/>
        </w:rPr>
        <w:t xml:space="preserve"> </w:t>
      </w:r>
      <w:r w:rsidRPr="00AC423B">
        <w:rPr>
          <w:rFonts w:ascii="Arial Narrow" w:hAnsi="Arial Narrow" w:cs="Verdana"/>
        </w:rPr>
        <w:t>En relación con el Segmento Swaps, es el Valor Presente Neto de cada contrato calculado directamente por la Cámara.</w:t>
      </w:r>
    </w:p>
    <w:p w14:paraId="4644475D" w14:textId="77777777" w:rsidR="007968EC" w:rsidRPr="002C0D19" w:rsidRDefault="007968EC" w:rsidP="007968EC">
      <w:pPr>
        <w:jc w:val="center"/>
        <w:outlineLvl w:val="1"/>
        <w:rPr>
          <w:rFonts w:ascii="Arial Narrow" w:hAnsi="Arial Narrow" w:cs="Arial"/>
          <w:b/>
          <w:color w:val="000000" w:themeColor="text1"/>
          <w:lang w:eastAsia="es-ES"/>
        </w:rPr>
      </w:pPr>
    </w:p>
    <w:p w14:paraId="4472A675" w14:textId="77777777" w:rsidR="007968EC" w:rsidRPr="002C0D19" w:rsidRDefault="007968EC" w:rsidP="007968EC">
      <w:pPr>
        <w:pStyle w:val="TTULO"/>
      </w:pPr>
      <w:bookmarkStart w:id="140" w:name="_Toc472592027"/>
      <w:bookmarkStart w:id="141" w:name="_Toc472593046"/>
      <w:bookmarkStart w:id="142" w:name="_Toc479056832"/>
      <w:bookmarkStart w:id="143" w:name="_Toc490066119"/>
      <w:bookmarkStart w:id="144" w:name="_Toc31715837"/>
      <w:r w:rsidRPr="002C0D19">
        <w:t>CAPÍTULO SEGUNDO</w:t>
      </w:r>
      <w:bookmarkEnd w:id="140"/>
      <w:bookmarkEnd w:id="141"/>
      <w:bookmarkEnd w:id="142"/>
      <w:bookmarkEnd w:id="143"/>
      <w:bookmarkEnd w:id="144"/>
    </w:p>
    <w:p w14:paraId="7D68B104" w14:textId="77777777" w:rsidR="007968EC" w:rsidRPr="002C0D19" w:rsidRDefault="007968EC" w:rsidP="007968EC">
      <w:pPr>
        <w:pStyle w:val="TTULO"/>
      </w:pPr>
    </w:p>
    <w:p w14:paraId="345BD07A" w14:textId="77777777" w:rsidR="007968EC" w:rsidRPr="002C0D19" w:rsidRDefault="007968EC" w:rsidP="007968EC">
      <w:pPr>
        <w:pStyle w:val="TTULO"/>
      </w:pPr>
      <w:bookmarkStart w:id="145" w:name="_Toc472592028"/>
      <w:bookmarkStart w:id="146" w:name="_Toc472593047"/>
      <w:bookmarkStart w:id="147" w:name="_Toc479056833"/>
      <w:bookmarkStart w:id="148" w:name="_Toc490066120"/>
      <w:bookmarkStart w:id="149" w:name="_Toc31715838"/>
      <w:r w:rsidRPr="002C0D19">
        <w:rPr>
          <w:szCs w:val="20"/>
        </w:rPr>
        <w:t>SEGMENTOS</w:t>
      </w:r>
      <w:bookmarkEnd w:id="145"/>
      <w:bookmarkEnd w:id="146"/>
      <w:bookmarkEnd w:id="147"/>
      <w:bookmarkEnd w:id="148"/>
      <w:bookmarkEnd w:id="149"/>
    </w:p>
    <w:p w14:paraId="4159B30F" w14:textId="77777777" w:rsidR="007968EC" w:rsidRPr="002C0D19" w:rsidRDefault="007968EC" w:rsidP="007968EC">
      <w:pPr>
        <w:jc w:val="center"/>
        <w:outlineLvl w:val="1"/>
        <w:rPr>
          <w:rFonts w:ascii="Arial Narrow" w:hAnsi="Arial Narrow" w:cs="Arial"/>
          <w:b/>
          <w:color w:val="000000" w:themeColor="text1"/>
          <w:lang w:eastAsia="es-ES"/>
        </w:rPr>
      </w:pPr>
    </w:p>
    <w:p w14:paraId="29371F04" w14:textId="77777777" w:rsidR="007968EC" w:rsidRDefault="007968EC" w:rsidP="007968EC">
      <w:pPr>
        <w:pStyle w:val="ARTICULO0"/>
      </w:pPr>
      <w:bookmarkStart w:id="150" w:name="_Toc472592029"/>
      <w:bookmarkStart w:id="151" w:name="_Toc472593048"/>
      <w:bookmarkStart w:id="152" w:name="_Toc479056834"/>
      <w:bookmarkStart w:id="153" w:name="_Toc31715839"/>
      <w:bookmarkStart w:id="154" w:name="_Toc470775328"/>
      <w:bookmarkStart w:id="155" w:name="_Toc470779614"/>
      <w:bookmarkStart w:id="156" w:name="_Toc470780231"/>
      <w:bookmarkStart w:id="157" w:name="_Toc470780744"/>
      <w:bookmarkStart w:id="158" w:name="_Toc470784305"/>
      <w:bookmarkStart w:id="159" w:name="_Toc470784842"/>
      <w:bookmarkStart w:id="160" w:name="_Toc470786327"/>
      <w:bookmarkStart w:id="161" w:name="_Toc470786865"/>
      <w:bookmarkStart w:id="162" w:name="_Toc470791218"/>
      <w:bookmarkStart w:id="163" w:name="_Toc490066121"/>
      <w:r w:rsidRPr="002C0D19">
        <w:t>Artículo 1.1.2.1. Segmentos.</w:t>
      </w:r>
      <w:bookmarkEnd w:id="150"/>
      <w:bookmarkEnd w:id="151"/>
      <w:bookmarkEnd w:id="152"/>
      <w:bookmarkEnd w:id="153"/>
    </w:p>
    <w:p w14:paraId="42ADAAC1" w14:textId="77777777" w:rsidR="007968EC" w:rsidRDefault="007968EC" w:rsidP="007968EC">
      <w:pPr>
        <w:pStyle w:val="ANTECEDENTES"/>
      </w:pPr>
    </w:p>
    <w:p w14:paraId="1B7C80D6" w14:textId="77777777" w:rsidR="007968EC" w:rsidRPr="00AB258B" w:rsidRDefault="007968EC" w:rsidP="007968EC">
      <w:pPr>
        <w:pStyle w:val="ANTECEDENTES"/>
      </w:pPr>
      <w:r w:rsidRPr="00AB258B">
        <w:t>(Este artículo fue adicionado mediante Circular 19 del 28 de diciembre de 2016, publicada en el Boletín Normativo No. 024 del 28 de diciembre de 2010</w:t>
      </w:r>
      <w:r>
        <w:t>, y modificado mediante Circular 19 del 22 de noviembre de 2019, publicada en el Boletín Normativo No. 034 del 22 de noviembre de 2019</w:t>
      </w:r>
      <w:r w:rsidRPr="002A238E">
        <w:t>.</w:t>
      </w:r>
      <w:r w:rsidRPr="009356C5">
        <w:t xml:space="preserve"> </w:t>
      </w:r>
      <w:r>
        <w:t>Rige a partir del 25 de noviembre de 2019</w:t>
      </w:r>
      <w:r w:rsidRPr="002A238E">
        <w:t>)</w:t>
      </w:r>
      <w:r>
        <w:t>.</w:t>
      </w:r>
      <w:bookmarkEnd w:id="154"/>
      <w:bookmarkEnd w:id="155"/>
      <w:bookmarkEnd w:id="156"/>
      <w:bookmarkEnd w:id="157"/>
      <w:bookmarkEnd w:id="158"/>
      <w:bookmarkEnd w:id="159"/>
      <w:bookmarkEnd w:id="160"/>
      <w:bookmarkEnd w:id="161"/>
      <w:bookmarkEnd w:id="162"/>
      <w:bookmarkEnd w:id="163"/>
      <w:r w:rsidRPr="00AB258B">
        <w:t xml:space="preserve"> </w:t>
      </w:r>
    </w:p>
    <w:p w14:paraId="1267599A" w14:textId="77777777" w:rsidR="007968EC" w:rsidRPr="002C0D19" w:rsidRDefault="007968EC" w:rsidP="007968EC">
      <w:pPr>
        <w:jc w:val="both"/>
        <w:rPr>
          <w:rFonts w:ascii="Arial Narrow" w:hAnsi="Arial Narrow" w:cs="Arial"/>
          <w:color w:val="000000" w:themeColor="text1"/>
          <w:lang w:eastAsia="es-ES"/>
        </w:rPr>
      </w:pPr>
    </w:p>
    <w:p w14:paraId="21E523D7" w14:textId="77777777" w:rsidR="007968EC" w:rsidRPr="002C0D19" w:rsidRDefault="007968EC" w:rsidP="007968EC">
      <w:pPr>
        <w:jc w:val="both"/>
        <w:rPr>
          <w:rFonts w:ascii="Arial Narrow" w:eastAsia="Calibri" w:hAnsi="Arial Narrow"/>
          <w:color w:val="000000" w:themeColor="text1"/>
        </w:rPr>
      </w:pPr>
      <w:bookmarkStart w:id="164" w:name="_Toc470775329"/>
      <w:bookmarkStart w:id="165" w:name="_Toc470779615"/>
      <w:bookmarkStart w:id="166" w:name="_Toc470780232"/>
      <w:bookmarkStart w:id="167" w:name="_Toc470780745"/>
      <w:bookmarkStart w:id="168" w:name="_Toc470784306"/>
      <w:bookmarkStart w:id="169" w:name="_Toc470784843"/>
      <w:bookmarkStart w:id="170" w:name="_Toc470786328"/>
      <w:bookmarkStart w:id="171" w:name="_Toc470786866"/>
      <w:bookmarkStart w:id="172" w:name="_Toc470791219"/>
      <w:bookmarkStart w:id="173" w:name="_Toc471831428"/>
      <w:bookmarkStart w:id="174" w:name="_Toc490066122"/>
      <w:bookmarkStart w:id="175" w:name="_Toc490076509"/>
      <w:r w:rsidRPr="002C0D19">
        <w:rPr>
          <w:rFonts w:ascii="Arial Narrow" w:hAnsi="Arial Narrow" w:cs="Arial"/>
          <w:color w:val="000000" w:themeColor="text1"/>
          <w:lang w:eastAsia="es-ES"/>
        </w:rPr>
        <w:t>Para efecto de los servicios, funciones y actividades que desarrolla la Cámara y de las metodologías de cálculo de las Garantías exigibles, la Cámara establecerá Segmentos y agrupará los Activos, las Operaciones Susceptibles de ser Aceptadas y las Operaciones Aceptadas de que son objeto en los Segmentos que defina.</w:t>
      </w:r>
      <w:bookmarkEnd w:id="164"/>
      <w:bookmarkEnd w:id="165"/>
      <w:bookmarkEnd w:id="166"/>
      <w:bookmarkEnd w:id="167"/>
      <w:bookmarkEnd w:id="168"/>
      <w:bookmarkEnd w:id="169"/>
      <w:bookmarkEnd w:id="170"/>
      <w:bookmarkEnd w:id="171"/>
      <w:bookmarkEnd w:id="172"/>
      <w:bookmarkEnd w:id="173"/>
      <w:bookmarkEnd w:id="174"/>
      <w:bookmarkEnd w:id="175"/>
    </w:p>
    <w:p w14:paraId="6E9CC01A" w14:textId="77777777" w:rsidR="007968EC" w:rsidRPr="002C0D19" w:rsidRDefault="007968EC" w:rsidP="007968EC">
      <w:pPr>
        <w:jc w:val="both"/>
        <w:rPr>
          <w:rFonts w:ascii="Arial Narrow" w:hAnsi="Arial Narrow" w:cs="Arial"/>
          <w:color w:val="000000" w:themeColor="text1"/>
          <w:lang w:eastAsia="es-ES"/>
        </w:rPr>
      </w:pPr>
    </w:p>
    <w:p w14:paraId="0E828CDA" w14:textId="77777777" w:rsidR="007968EC" w:rsidRPr="002C0D19" w:rsidRDefault="007968EC" w:rsidP="007968EC">
      <w:pPr>
        <w:jc w:val="both"/>
        <w:rPr>
          <w:rFonts w:ascii="Arial Narrow" w:hAnsi="Arial Narrow" w:cs="Arial"/>
          <w:color w:val="000000" w:themeColor="text1"/>
          <w:lang w:eastAsia="es-ES"/>
        </w:rPr>
      </w:pPr>
      <w:bookmarkStart w:id="176" w:name="_Toc470775330"/>
      <w:bookmarkStart w:id="177" w:name="_Toc470779616"/>
      <w:bookmarkStart w:id="178" w:name="_Toc470780233"/>
      <w:bookmarkStart w:id="179" w:name="_Toc470780746"/>
      <w:bookmarkStart w:id="180" w:name="_Toc470784307"/>
      <w:bookmarkStart w:id="181" w:name="_Toc470784844"/>
      <w:bookmarkStart w:id="182" w:name="_Toc470786329"/>
      <w:bookmarkStart w:id="183" w:name="_Toc470786867"/>
      <w:bookmarkStart w:id="184" w:name="_Toc470791220"/>
      <w:bookmarkStart w:id="185" w:name="_Toc471831429"/>
      <w:bookmarkStart w:id="186" w:name="_Toc490066123"/>
      <w:bookmarkStart w:id="187" w:name="_Toc490076510"/>
      <w:r w:rsidRPr="002C0D19">
        <w:rPr>
          <w:rFonts w:ascii="Arial Narrow" w:hAnsi="Arial Narrow" w:cs="Arial"/>
          <w:color w:val="000000" w:themeColor="text1"/>
          <w:lang w:eastAsia="es-ES"/>
        </w:rPr>
        <w:t>Según lo establecido en el artículo 1.3.5. del Reglamento, la Cámara definirá los Segmentos de acuerdo con uno o varios de los siguientes criterios: tipo de Activos y/o tipos de operaciones y/o riesgos y/o bolsas, sistemas de Negociación y/o Registro o Mecanismos de Contratación en que se negocien, registren o celebren las operaciones y/o tipo de participantes en el mercado.</w:t>
      </w:r>
      <w:bookmarkEnd w:id="176"/>
      <w:bookmarkEnd w:id="177"/>
      <w:bookmarkEnd w:id="178"/>
      <w:bookmarkEnd w:id="179"/>
      <w:bookmarkEnd w:id="180"/>
      <w:bookmarkEnd w:id="181"/>
      <w:bookmarkEnd w:id="182"/>
      <w:bookmarkEnd w:id="183"/>
      <w:bookmarkEnd w:id="184"/>
      <w:bookmarkEnd w:id="185"/>
      <w:bookmarkEnd w:id="186"/>
      <w:bookmarkEnd w:id="187"/>
    </w:p>
    <w:p w14:paraId="41622DC9" w14:textId="77777777" w:rsidR="007968EC" w:rsidRPr="002C0D19" w:rsidRDefault="007968EC" w:rsidP="007968EC">
      <w:pPr>
        <w:jc w:val="both"/>
        <w:rPr>
          <w:rFonts w:ascii="Arial Narrow" w:hAnsi="Arial Narrow" w:cs="Arial"/>
          <w:color w:val="000000" w:themeColor="text1"/>
          <w:lang w:eastAsia="es-ES"/>
        </w:rPr>
      </w:pPr>
    </w:p>
    <w:p w14:paraId="6E834066" w14:textId="77777777" w:rsidR="007968EC" w:rsidRPr="002C0D19" w:rsidRDefault="007968EC" w:rsidP="007968EC">
      <w:pPr>
        <w:jc w:val="both"/>
        <w:rPr>
          <w:rFonts w:ascii="Arial Narrow" w:hAnsi="Arial Narrow" w:cs="Arial"/>
          <w:color w:val="000000" w:themeColor="text1"/>
          <w:lang w:eastAsia="es-ES"/>
        </w:rPr>
      </w:pPr>
      <w:bookmarkStart w:id="188" w:name="_Toc470775331"/>
      <w:bookmarkStart w:id="189" w:name="_Toc470779617"/>
      <w:bookmarkStart w:id="190" w:name="_Toc470780234"/>
      <w:bookmarkStart w:id="191" w:name="_Toc470780747"/>
      <w:bookmarkStart w:id="192" w:name="_Toc470784308"/>
      <w:bookmarkStart w:id="193" w:name="_Toc470784845"/>
      <w:bookmarkStart w:id="194" w:name="_Toc470786330"/>
      <w:bookmarkStart w:id="195" w:name="_Toc470786868"/>
      <w:bookmarkStart w:id="196" w:name="_Toc470791221"/>
      <w:bookmarkStart w:id="197" w:name="_Toc471831430"/>
      <w:bookmarkStart w:id="198" w:name="_Toc490066124"/>
      <w:bookmarkStart w:id="199" w:name="_Toc490076511"/>
      <w:r w:rsidRPr="002C0D19">
        <w:rPr>
          <w:rFonts w:ascii="Arial Narrow" w:hAnsi="Arial Narrow" w:cs="Arial"/>
          <w:color w:val="000000" w:themeColor="text1"/>
          <w:lang w:eastAsia="es-ES"/>
        </w:rPr>
        <w:t>Todos los Activos, las Operaciones Susceptibles de ser Aceptadas y las Operaciones Aceptadas de que son objeto, pertenecerán a un Segmento.</w:t>
      </w:r>
      <w:bookmarkEnd w:id="188"/>
      <w:bookmarkEnd w:id="189"/>
      <w:bookmarkEnd w:id="190"/>
      <w:bookmarkEnd w:id="191"/>
      <w:bookmarkEnd w:id="192"/>
      <w:bookmarkEnd w:id="193"/>
      <w:bookmarkEnd w:id="194"/>
      <w:bookmarkEnd w:id="195"/>
      <w:bookmarkEnd w:id="196"/>
      <w:bookmarkEnd w:id="197"/>
      <w:bookmarkEnd w:id="198"/>
      <w:bookmarkEnd w:id="199"/>
    </w:p>
    <w:p w14:paraId="3C4A74BA" w14:textId="77777777" w:rsidR="007968EC" w:rsidRPr="002C0D19" w:rsidRDefault="007968EC" w:rsidP="007968EC">
      <w:pPr>
        <w:jc w:val="both"/>
        <w:rPr>
          <w:rFonts w:ascii="Arial Narrow" w:hAnsi="Arial Narrow" w:cs="Arial"/>
          <w:color w:val="000000" w:themeColor="text1"/>
          <w:lang w:eastAsia="es-ES"/>
        </w:rPr>
      </w:pPr>
    </w:p>
    <w:p w14:paraId="0F6CDE29" w14:textId="77777777" w:rsidR="007968EC" w:rsidRPr="002C0D19" w:rsidRDefault="007968EC" w:rsidP="007968EC">
      <w:pPr>
        <w:jc w:val="both"/>
        <w:rPr>
          <w:rFonts w:ascii="Arial Narrow" w:hAnsi="Arial Narrow" w:cs="Arial"/>
          <w:color w:val="000000" w:themeColor="text1"/>
          <w:lang w:eastAsia="es-ES"/>
        </w:rPr>
      </w:pPr>
      <w:bookmarkStart w:id="200" w:name="_Toc470775332"/>
      <w:bookmarkStart w:id="201" w:name="_Toc470779618"/>
      <w:bookmarkStart w:id="202" w:name="_Toc470780235"/>
      <w:bookmarkStart w:id="203" w:name="_Toc470780748"/>
      <w:bookmarkStart w:id="204" w:name="_Toc470784309"/>
      <w:bookmarkStart w:id="205" w:name="_Toc470784846"/>
      <w:bookmarkStart w:id="206" w:name="_Toc470786331"/>
      <w:bookmarkStart w:id="207" w:name="_Toc470786869"/>
      <w:bookmarkStart w:id="208" w:name="_Toc470791222"/>
      <w:bookmarkStart w:id="209" w:name="_Toc471831431"/>
      <w:bookmarkStart w:id="210" w:name="_Toc490066125"/>
      <w:bookmarkStart w:id="211" w:name="_Toc490076512"/>
      <w:r w:rsidRPr="002C0D19">
        <w:rPr>
          <w:rFonts w:ascii="Arial Narrow" w:hAnsi="Arial Narrow" w:cs="Arial"/>
          <w:color w:val="000000" w:themeColor="text1"/>
          <w:lang w:eastAsia="es-ES"/>
        </w:rPr>
        <w:t xml:space="preserve">La Cámara, previa aprobación de la Junta Directiva y concepto favorable del Comité de Riesgos, podrá determinar el cambio de Segmento para uno o varios Activos, Operaciones Susceptibles de ser Aceptadas y las Operaciones Aceptadas de que son objeto. En estos casos, la Cámara determinará el procedimiento a seguir, pudiendo: i) mantener los Activos, Operaciones Susceptibles de ser Aceptadas y las Operaciones Aceptadas de que son objeto en el Segmento inicial hasta su vencimiento y crear, para los Activos, </w:t>
      </w:r>
      <w:r w:rsidRPr="002C0D19">
        <w:rPr>
          <w:rFonts w:ascii="Arial Narrow" w:hAnsi="Arial Narrow" w:cs="Arial"/>
          <w:color w:val="000000" w:themeColor="text1"/>
          <w:lang w:eastAsia="es-ES"/>
        </w:rPr>
        <w:lastRenderedPageBreak/>
        <w:t>Operaciones Susceptibles de ser Aceptadas y las Operaciones Aceptadas de que son objeto, en el Segmento final, los nuevos vencimientos; ii) mantener un mismo tipo de Activo, Operaciones Susceptibles de ser Aceptadas y las Operaciones Aceptadas de que son objeto en dos Segmentos simultáneamente por un tiempo determinado por la Cámara; o iii) realizar el Traspaso de la Posición Abierta correspondiente a los Activos, Operaciones Susceptibles de ser Aceptadas y las Operaciones Aceptadas de que son objeto, entre Segmentos en el momento en que se haga efectivo dicho cambio.</w:t>
      </w:r>
      <w:bookmarkEnd w:id="200"/>
      <w:bookmarkEnd w:id="201"/>
      <w:bookmarkEnd w:id="202"/>
      <w:bookmarkEnd w:id="203"/>
      <w:bookmarkEnd w:id="204"/>
      <w:bookmarkEnd w:id="205"/>
      <w:bookmarkEnd w:id="206"/>
      <w:bookmarkEnd w:id="207"/>
      <w:bookmarkEnd w:id="208"/>
      <w:bookmarkEnd w:id="209"/>
      <w:bookmarkEnd w:id="210"/>
      <w:bookmarkEnd w:id="211"/>
    </w:p>
    <w:p w14:paraId="5E939586" w14:textId="77777777" w:rsidR="007968EC" w:rsidRPr="002C0D19" w:rsidRDefault="007968EC" w:rsidP="007968EC">
      <w:pPr>
        <w:jc w:val="both"/>
        <w:rPr>
          <w:rFonts w:ascii="Arial Narrow" w:hAnsi="Arial Narrow" w:cs="Arial"/>
          <w:color w:val="000000" w:themeColor="text1"/>
          <w:lang w:eastAsia="es-ES"/>
        </w:rPr>
      </w:pPr>
    </w:p>
    <w:p w14:paraId="5EDC0C38" w14:textId="77777777" w:rsidR="007968EC" w:rsidRPr="002C0D19" w:rsidRDefault="007968EC" w:rsidP="007968EC">
      <w:pPr>
        <w:jc w:val="both"/>
        <w:rPr>
          <w:rFonts w:ascii="Arial Narrow" w:hAnsi="Arial Narrow" w:cs="Arial"/>
          <w:color w:val="000000" w:themeColor="text1"/>
          <w:lang w:eastAsia="es-ES"/>
        </w:rPr>
      </w:pPr>
      <w:bookmarkStart w:id="212" w:name="_Toc470775333"/>
      <w:bookmarkStart w:id="213" w:name="_Toc470779619"/>
      <w:bookmarkStart w:id="214" w:name="_Toc470780236"/>
      <w:bookmarkStart w:id="215" w:name="_Toc470780749"/>
      <w:bookmarkStart w:id="216" w:name="_Toc470784310"/>
      <w:bookmarkStart w:id="217" w:name="_Toc470784847"/>
      <w:bookmarkStart w:id="218" w:name="_Toc470786332"/>
      <w:bookmarkStart w:id="219" w:name="_Toc470786870"/>
      <w:bookmarkStart w:id="220" w:name="_Toc470791223"/>
      <w:bookmarkStart w:id="221" w:name="_Toc471831432"/>
      <w:bookmarkStart w:id="222" w:name="_Toc490066126"/>
      <w:bookmarkStart w:id="223" w:name="_Toc490076513"/>
      <w:r w:rsidRPr="002C0D19">
        <w:rPr>
          <w:rFonts w:ascii="Arial Narrow" w:hAnsi="Arial Narrow" w:cs="Arial"/>
          <w:color w:val="000000" w:themeColor="text1"/>
          <w:lang w:eastAsia="es-ES"/>
        </w:rPr>
        <w:t>La Cámara ejercerá las funciones consagradas en la Ley, el Reglamento y en la presente Circular en desarrollo de las actividades y servicios que puede adelantar sin restricción respecto de las operaciones, Activos y Segmentos.</w:t>
      </w:r>
      <w:bookmarkEnd w:id="212"/>
      <w:bookmarkEnd w:id="213"/>
      <w:bookmarkEnd w:id="214"/>
      <w:bookmarkEnd w:id="215"/>
      <w:bookmarkEnd w:id="216"/>
      <w:bookmarkEnd w:id="217"/>
      <w:bookmarkEnd w:id="218"/>
      <w:bookmarkEnd w:id="219"/>
      <w:bookmarkEnd w:id="220"/>
      <w:bookmarkEnd w:id="221"/>
      <w:bookmarkEnd w:id="222"/>
      <w:bookmarkEnd w:id="223"/>
    </w:p>
    <w:p w14:paraId="3ACDB8AE" w14:textId="77777777" w:rsidR="007968EC" w:rsidRDefault="007968EC" w:rsidP="007968EC">
      <w:pPr>
        <w:autoSpaceDE w:val="0"/>
        <w:autoSpaceDN w:val="0"/>
        <w:adjustRightInd w:val="0"/>
        <w:jc w:val="both"/>
        <w:rPr>
          <w:rFonts w:ascii="Arial Narrow" w:hAnsi="Arial Narrow" w:cs="Arial"/>
          <w:color w:val="000000" w:themeColor="text1"/>
          <w:lang w:eastAsia="es-ES"/>
        </w:rPr>
      </w:pPr>
    </w:p>
    <w:p w14:paraId="0132BA1D" w14:textId="77777777" w:rsidR="007968EC" w:rsidRPr="006232BF" w:rsidRDefault="007968EC" w:rsidP="007968EC">
      <w:pPr>
        <w:autoSpaceDE w:val="0"/>
        <w:autoSpaceDN w:val="0"/>
        <w:adjustRightInd w:val="0"/>
        <w:jc w:val="both"/>
        <w:rPr>
          <w:rFonts w:ascii="Arial Narrow" w:hAnsi="Arial Narrow" w:cs="Arial"/>
          <w:color w:val="000000" w:themeColor="text1"/>
          <w:lang w:val="es-ES" w:eastAsia="es-ES"/>
        </w:rPr>
      </w:pPr>
      <w:r w:rsidRPr="00A35C4B">
        <w:rPr>
          <w:rFonts w:ascii="Arial Narrow" w:hAnsi="Arial Narrow" w:cs="Arial"/>
          <w:b/>
          <w:color w:val="000000" w:themeColor="text1"/>
          <w:lang w:eastAsia="es-ES"/>
        </w:rPr>
        <w:t>Parágrafo:</w:t>
      </w:r>
      <w:r>
        <w:rPr>
          <w:rFonts w:ascii="Arial Narrow" w:hAnsi="Arial Narrow" w:cs="Arial"/>
          <w:color w:val="000000" w:themeColor="text1"/>
          <w:lang w:eastAsia="es-ES"/>
        </w:rPr>
        <w:t xml:space="preserve"> L</w:t>
      </w:r>
      <w:r w:rsidRPr="006232BF">
        <w:rPr>
          <w:rFonts w:ascii="Arial Narrow" w:hAnsi="Arial Narrow" w:cs="Arial"/>
          <w:color w:val="000000" w:themeColor="text1"/>
          <w:lang w:eastAsia="es-ES"/>
        </w:rPr>
        <w:t xml:space="preserve">os Activos, las Operaciones Susceptibles de ser Aceptadas y las Operaciones Aceptadas </w:t>
      </w:r>
      <w:r w:rsidRPr="006232BF">
        <w:rPr>
          <w:rFonts w:ascii="Arial Narrow" w:hAnsi="Arial Narrow" w:cs="Arial"/>
          <w:color w:val="000000" w:themeColor="text1"/>
          <w:lang w:val="es-ES" w:eastAsia="es-ES"/>
        </w:rPr>
        <w:t>será</w:t>
      </w:r>
      <w:r>
        <w:rPr>
          <w:rFonts w:ascii="Arial Narrow" w:hAnsi="Arial Narrow" w:cs="Arial"/>
          <w:color w:val="000000" w:themeColor="text1"/>
          <w:lang w:val="es-ES" w:eastAsia="es-ES"/>
        </w:rPr>
        <w:t>n</w:t>
      </w:r>
      <w:r w:rsidRPr="006232BF">
        <w:rPr>
          <w:rFonts w:ascii="Arial Narrow" w:hAnsi="Arial Narrow" w:cs="Arial"/>
          <w:color w:val="000000" w:themeColor="text1"/>
          <w:lang w:val="es-ES" w:eastAsia="es-ES"/>
        </w:rPr>
        <w:t xml:space="preserve"> gestionada</w:t>
      </w:r>
      <w:r>
        <w:rPr>
          <w:rFonts w:ascii="Arial Narrow" w:hAnsi="Arial Narrow" w:cs="Arial"/>
          <w:color w:val="000000" w:themeColor="text1"/>
          <w:lang w:val="es-ES" w:eastAsia="es-ES"/>
        </w:rPr>
        <w:t xml:space="preserve">s y les serán aplicables las reglas generales previstas en la presente Circular en todo lo que no se oponga a lo establecido en las reglas especiales previstas </w:t>
      </w:r>
      <w:r w:rsidRPr="006232BF">
        <w:rPr>
          <w:rFonts w:ascii="Arial Narrow" w:hAnsi="Arial Narrow" w:cs="Arial"/>
          <w:color w:val="000000" w:themeColor="text1"/>
          <w:lang w:val="es-ES" w:eastAsia="es-ES"/>
        </w:rPr>
        <w:t xml:space="preserve">en </w:t>
      </w:r>
      <w:r>
        <w:rPr>
          <w:rFonts w:ascii="Arial Narrow" w:hAnsi="Arial Narrow" w:cs="Arial"/>
          <w:color w:val="000000" w:themeColor="text1"/>
          <w:lang w:val="es-ES" w:eastAsia="es-ES"/>
        </w:rPr>
        <w:t xml:space="preserve">la presente Circular para </w:t>
      </w:r>
      <w:r w:rsidRPr="006232BF">
        <w:rPr>
          <w:rFonts w:ascii="Arial Narrow" w:hAnsi="Arial Narrow" w:cs="Arial"/>
          <w:color w:val="000000" w:themeColor="text1"/>
          <w:lang w:val="es-ES" w:eastAsia="es-ES"/>
        </w:rPr>
        <w:t>el respectivo Segmento</w:t>
      </w:r>
      <w:r>
        <w:rPr>
          <w:rFonts w:ascii="Arial Narrow" w:hAnsi="Arial Narrow" w:cs="Arial"/>
          <w:color w:val="000000" w:themeColor="text1"/>
          <w:lang w:val="es-ES" w:eastAsia="es-ES"/>
        </w:rPr>
        <w:t xml:space="preserve"> al cual pertenezcan</w:t>
      </w:r>
      <w:r w:rsidRPr="006232BF">
        <w:rPr>
          <w:rFonts w:ascii="Arial Narrow" w:hAnsi="Arial Narrow" w:cs="Arial"/>
          <w:color w:val="000000" w:themeColor="text1"/>
          <w:lang w:val="es-ES" w:eastAsia="es-ES"/>
        </w:rPr>
        <w:t>.</w:t>
      </w:r>
      <w:r>
        <w:rPr>
          <w:rFonts w:ascii="Arial Narrow" w:hAnsi="Arial Narrow" w:cs="Arial"/>
          <w:color w:val="000000" w:themeColor="text1"/>
          <w:lang w:val="es-ES" w:eastAsia="es-ES"/>
        </w:rPr>
        <w:t xml:space="preserve"> En caso de discrepancia, incoherencia o contradicción entre lo previsto en las reglas generales y las reglas especiales establecidas para el respectivo Segmento, prevalecerán las reglas especiales del respectivo Segmento.</w:t>
      </w:r>
    </w:p>
    <w:p w14:paraId="121AA847" w14:textId="77777777" w:rsidR="007968EC" w:rsidRPr="0027300F" w:rsidRDefault="007968EC" w:rsidP="007968EC">
      <w:pPr>
        <w:autoSpaceDE w:val="0"/>
        <w:autoSpaceDN w:val="0"/>
        <w:adjustRightInd w:val="0"/>
        <w:jc w:val="both"/>
        <w:rPr>
          <w:rFonts w:ascii="Arial Narrow" w:hAnsi="Arial Narrow" w:cs="Arial"/>
          <w:color w:val="000000" w:themeColor="text1"/>
          <w:lang w:val="es-ES" w:eastAsia="es-ES"/>
        </w:rPr>
      </w:pPr>
    </w:p>
    <w:p w14:paraId="23B6790C" w14:textId="77777777" w:rsidR="007968EC" w:rsidRDefault="007968EC" w:rsidP="007968EC">
      <w:pPr>
        <w:pStyle w:val="ARTICULO0"/>
        <w:rPr>
          <w:i/>
        </w:rPr>
      </w:pPr>
      <w:bookmarkStart w:id="224" w:name="_Toc472592030"/>
      <w:bookmarkStart w:id="225" w:name="_Toc472593049"/>
      <w:bookmarkStart w:id="226" w:name="_Toc479056835"/>
      <w:bookmarkStart w:id="227" w:name="_Toc31715840"/>
      <w:bookmarkStart w:id="228" w:name="_Toc490066127"/>
      <w:bookmarkStart w:id="229" w:name="_Toc470775334"/>
      <w:bookmarkStart w:id="230" w:name="_Toc470779620"/>
      <w:bookmarkStart w:id="231" w:name="_Toc470780237"/>
      <w:bookmarkStart w:id="232" w:name="_Toc470780750"/>
      <w:bookmarkStart w:id="233" w:name="_Toc470784311"/>
      <w:bookmarkStart w:id="234" w:name="_Toc470784848"/>
      <w:bookmarkStart w:id="235" w:name="_Toc470786333"/>
      <w:bookmarkStart w:id="236" w:name="_Toc470786871"/>
      <w:bookmarkStart w:id="237" w:name="_Toc470791224"/>
      <w:r w:rsidRPr="002C0D19">
        <w:t>Artículo 1.1.2.2. Segmentos de la Cámara y criterios de agrupación empleados.</w:t>
      </w:r>
      <w:bookmarkEnd w:id="224"/>
      <w:bookmarkEnd w:id="225"/>
      <w:bookmarkEnd w:id="226"/>
      <w:bookmarkEnd w:id="227"/>
      <w:r w:rsidRPr="002C0D19">
        <w:rPr>
          <w:i/>
        </w:rPr>
        <w:t xml:space="preserve"> </w:t>
      </w:r>
    </w:p>
    <w:p w14:paraId="2A4E8AC1" w14:textId="77777777" w:rsidR="007968EC" w:rsidRPr="00AB258B" w:rsidRDefault="007968EC" w:rsidP="007968EC">
      <w:pPr>
        <w:jc w:val="both"/>
        <w:rPr>
          <w:rFonts w:ascii="Arial Narrow" w:hAnsi="Arial Narrow" w:cs="Arial"/>
          <w:color w:val="000000" w:themeColor="text1"/>
          <w:lang w:eastAsia="es-ES"/>
        </w:rPr>
      </w:pPr>
    </w:p>
    <w:p w14:paraId="222DD197" w14:textId="77777777" w:rsidR="007968EC" w:rsidRPr="002C0D19" w:rsidRDefault="007968EC" w:rsidP="007968EC">
      <w:pPr>
        <w:pStyle w:val="ANTECEDENTES"/>
        <w:rPr>
          <w:u w:val="single"/>
        </w:rPr>
      </w:pPr>
      <w:r w:rsidRPr="002C0D19">
        <w:t>(Este artículo fue adicionado mediante Circular 19 del 28 de diciembre de 2016, publicada en el Boletín Normativo No. 024 del 28 de diciembre de 2010 y modificado mediante Circular 6 del 14 de febrero de 2017, publicada en el Boletín Normativo No.</w:t>
      </w:r>
      <w:r>
        <w:t xml:space="preserve"> 006 del 14 de febrero de 2017,</w:t>
      </w:r>
      <w:r w:rsidRPr="002C0D19">
        <w:t xml:space="preserve"> mediante Circular 14 del 8 de agosto de 2017, publicada en el Boletín Normativo No. 015 del 8 de agosto de 2017</w:t>
      </w:r>
      <w:r>
        <w:t>, mediante Circular 24 del 11 de diciembre de 2017, publicada en el Boletín Normativo No. 031 del 11 de diciembre de 2017, mediante Circular 7 del 9 de mayo de 2018, publicada en el Boletín Normativo No. 010 del 9 de mayo de 2018, mediante Circular 9 del 14 de junio de 2018, publicada en el Boletín Normativo No. 012 del 14 de junio de 2018, mediante Circular 10 del 6 de julio de 2018, publicada en el Boletín Normativo No. 013 del 6 de julio de 2018, mediante Circular 11 del 3 de agosto de 2018, publicada en el Boletín Normativo No. 17 del 3 de agosto de 2018, mediante Circular 1 del 15 de enero de 2019, publicada en el Boletín Normativo No. 001 del 15 de enero de 2019, mediante Circular 12 del 9 de agosto de 2019, publicada en el Boletín Normativo No. 025 del 9 de agosto de 2019</w:t>
      </w:r>
      <w:bookmarkEnd w:id="228"/>
      <w:bookmarkEnd w:id="229"/>
      <w:bookmarkEnd w:id="230"/>
      <w:bookmarkEnd w:id="231"/>
      <w:bookmarkEnd w:id="232"/>
      <w:bookmarkEnd w:id="233"/>
      <w:bookmarkEnd w:id="234"/>
      <w:bookmarkEnd w:id="235"/>
      <w:bookmarkEnd w:id="236"/>
      <w:bookmarkEnd w:id="237"/>
      <w:r>
        <w:t>, y mediante Circular 19 del 22 de noviembre de 2019, publicada en el Boletín Normativo No. 034 del 22 de noviembre de 2019</w:t>
      </w:r>
      <w:r w:rsidRPr="002A238E">
        <w:t>.</w:t>
      </w:r>
      <w:r w:rsidRPr="009356C5">
        <w:t xml:space="preserve"> </w:t>
      </w:r>
      <w:r>
        <w:t>Rige a partir del 25 de noviembre de 2019</w:t>
      </w:r>
      <w:r w:rsidRPr="002A238E">
        <w:t>)</w:t>
      </w:r>
      <w:r>
        <w:t>.</w:t>
      </w:r>
    </w:p>
    <w:p w14:paraId="52CE43EA" w14:textId="77777777" w:rsidR="007968EC" w:rsidRPr="002C0D19" w:rsidRDefault="007968EC" w:rsidP="007968EC">
      <w:pPr>
        <w:jc w:val="both"/>
        <w:rPr>
          <w:rFonts w:ascii="Arial Narrow" w:hAnsi="Arial Narrow" w:cs="Arial"/>
          <w:color w:val="000000" w:themeColor="text1"/>
          <w:lang w:eastAsia="es-ES"/>
        </w:rPr>
      </w:pPr>
    </w:p>
    <w:p w14:paraId="4E105717" w14:textId="77777777" w:rsidR="007968EC" w:rsidRPr="00676F5B" w:rsidRDefault="007968EC" w:rsidP="007968EC">
      <w:pPr>
        <w:autoSpaceDE w:val="0"/>
        <w:autoSpaceDN w:val="0"/>
        <w:adjustRightInd w:val="0"/>
        <w:jc w:val="both"/>
        <w:rPr>
          <w:rFonts w:ascii="Arial Narrow" w:eastAsia="Calibri" w:hAnsi="Arial Narrow" w:cs="Arial"/>
          <w:lang w:eastAsia="es-ES"/>
        </w:rPr>
      </w:pPr>
      <w:r w:rsidRPr="00676F5B">
        <w:rPr>
          <w:rFonts w:ascii="Arial Narrow" w:eastAsia="Calibri" w:hAnsi="Arial Narrow" w:cs="Arial"/>
          <w:color w:val="000000"/>
          <w:lang w:eastAsia="es-ES"/>
        </w:rPr>
        <w:t xml:space="preserve">Para los servicios, funciones y actividades </w:t>
      </w:r>
      <w:r w:rsidRPr="00676F5B">
        <w:rPr>
          <w:rFonts w:ascii="Arial Narrow" w:eastAsia="Calibri" w:hAnsi="Arial Narrow" w:cs="Arial"/>
          <w:lang w:eastAsia="es-ES"/>
        </w:rPr>
        <w:t>que desarrolla la Cámara y las metodologías de cálculo de las Garantías exigibles, se establecen los siguientes Segmentos para los Activos, Operaciones Susceptibles de ser Aceptadas y Operaciones Aceptadas de las que son objeto, en función de los criterios que se indican a continuación:</w:t>
      </w:r>
    </w:p>
    <w:p w14:paraId="63E9DEE0" w14:textId="77777777" w:rsidR="007968EC" w:rsidRPr="00676F5B" w:rsidRDefault="007968EC" w:rsidP="007968EC">
      <w:pPr>
        <w:autoSpaceDE w:val="0"/>
        <w:autoSpaceDN w:val="0"/>
        <w:adjustRightInd w:val="0"/>
        <w:jc w:val="both"/>
        <w:rPr>
          <w:rFonts w:ascii="Arial Narrow" w:eastAsia="Calibri" w:hAnsi="Arial Narrow" w:cs="Arial"/>
          <w:lang w:eastAsia="es-ES"/>
        </w:rPr>
      </w:pPr>
    </w:p>
    <w:p w14:paraId="1E182932" w14:textId="77777777" w:rsidR="007968EC" w:rsidRPr="00676F5B" w:rsidRDefault="007968EC" w:rsidP="00DA7472">
      <w:pPr>
        <w:numPr>
          <w:ilvl w:val="0"/>
          <w:numId w:val="146"/>
        </w:numPr>
        <w:autoSpaceDE w:val="0"/>
        <w:autoSpaceDN w:val="0"/>
        <w:adjustRightInd w:val="0"/>
        <w:ind w:left="383" w:hanging="383"/>
        <w:jc w:val="both"/>
        <w:rPr>
          <w:rFonts w:ascii="Arial Narrow" w:eastAsia="Calibri" w:hAnsi="Arial Narrow" w:cs="Arial"/>
          <w:b/>
          <w:lang w:eastAsia="es-ES"/>
        </w:rPr>
      </w:pPr>
      <w:r w:rsidRPr="00676F5B">
        <w:rPr>
          <w:rFonts w:ascii="Arial Narrow" w:eastAsia="Calibri" w:hAnsi="Arial Narrow" w:cs="Arial"/>
          <w:b/>
          <w:lang w:eastAsia="es-ES"/>
        </w:rPr>
        <w:t>Segmento de Derivados Financieros.</w:t>
      </w:r>
    </w:p>
    <w:p w14:paraId="1FF11345" w14:textId="77777777" w:rsidR="007968EC" w:rsidRPr="00676F5B" w:rsidRDefault="007968EC" w:rsidP="007968EC">
      <w:pPr>
        <w:autoSpaceDE w:val="0"/>
        <w:autoSpaceDN w:val="0"/>
        <w:adjustRightInd w:val="0"/>
        <w:jc w:val="both"/>
        <w:rPr>
          <w:rFonts w:ascii="Arial Narrow" w:eastAsia="Calibri" w:hAnsi="Arial Narrow" w:cs="Arial"/>
          <w:lang w:eastAsia="es-ES"/>
        </w:rPr>
      </w:pPr>
    </w:p>
    <w:p w14:paraId="7E7D0911" w14:textId="77777777" w:rsidR="007968EC" w:rsidRPr="00676F5B" w:rsidRDefault="007968EC" w:rsidP="007968EC">
      <w:pPr>
        <w:autoSpaceDE w:val="0"/>
        <w:autoSpaceDN w:val="0"/>
        <w:adjustRightInd w:val="0"/>
        <w:jc w:val="both"/>
        <w:rPr>
          <w:rFonts w:ascii="Arial Narrow" w:eastAsia="Calibri" w:hAnsi="Arial Narrow" w:cs="Arial"/>
          <w:lang w:eastAsia="es-ES"/>
        </w:rPr>
      </w:pPr>
      <w:r w:rsidRPr="00676F5B">
        <w:rPr>
          <w:rFonts w:ascii="Arial Narrow" w:eastAsia="Calibri" w:hAnsi="Arial Narrow" w:cs="Arial"/>
          <w:lang w:eastAsia="es-ES"/>
        </w:rPr>
        <w:lastRenderedPageBreak/>
        <w:t>El criterio de agrupación para este Segmento es el tipo de Activos y los tipos de Operaciones Susceptibles de ser Aceptadas y de Operaciones Aceptadas de las que son objeto, debido a que corresponden a Operaciones de derivados, esto es, Operaciones de Instrumentos Financieros Derivados Estandarizados y No Estandarizados, incluyendo Futuros y Opciones, productos estructurados, que por su naturaleza se negocien a través de sistemas de negociación, mercado mostrador, Mecanismos de Contratación, bolsas, bolsas de bienes y productos agropecuarios, agroindustriales o de otros commodities o a través de sociedades administradoras de los sistemas de intercambio comerciales del mercado mayorista de energía eléctrica y de sociedades administradoras de sistemas transaccionales de energía y de contratos y derivados financieros que tengan como subyacente energía eléctrica o gas combustible, divisas y derivados sobre divisas.</w:t>
      </w:r>
    </w:p>
    <w:p w14:paraId="1DD1CA90" w14:textId="77777777" w:rsidR="007968EC" w:rsidRPr="00676F5B" w:rsidRDefault="007968EC" w:rsidP="007968EC">
      <w:pPr>
        <w:autoSpaceDE w:val="0"/>
        <w:autoSpaceDN w:val="0"/>
        <w:adjustRightInd w:val="0"/>
        <w:jc w:val="both"/>
        <w:rPr>
          <w:rFonts w:ascii="Arial Narrow" w:eastAsia="Calibri" w:hAnsi="Arial Narrow" w:cs="Arial"/>
          <w:lang w:eastAsia="es-ES"/>
        </w:rPr>
      </w:pPr>
    </w:p>
    <w:p w14:paraId="1454B3AF" w14:textId="77777777" w:rsidR="007968EC" w:rsidRPr="00676F5B" w:rsidRDefault="007968EC" w:rsidP="007968EC">
      <w:pPr>
        <w:autoSpaceDE w:val="0"/>
        <w:autoSpaceDN w:val="0"/>
        <w:adjustRightInd w:val="0"/>
        <w:jc w:val="both"/>
        <w:rPr>
          <w:rFonts w:ascii="Arial Narrow" w:eastAsia="Calibri" w:hAnsi="Arial Narrow" w:cs="Arial"/>
          <w:lang w:eastAsia="es-ES"/>
        </w:rPr>
      </w:pPr>
      <w:r w:rsidRPr="00676F5B">
        <w:rPr>
          <w:rFonts w:ascii="Arial Narrow" w:eastAsia="Calibri" w:hAnsi="Arial Narrow" w:cs="Arial"/>
          <w:lang w:eastAsia="es-ES"/>
        </w:rPr>
        <w:t>De conformidad con lo anterior en el Segmento de Derivados Financieros se agrupan los siguientes Activos, Operaciones Susceptibles de ser Aceptadas y Operaciones Aceptadas de que son objeto:</w:t>
      </w:r>
    </w:p>
    <w:p w14:paraId="107DEAFD" w14:textId="77777777" w:rsidR="007968EC" w:rsidRPr="00676F5B" w:rsidRDefault="007968EC" w:rsidP="007968EC">
      <w:pPr>
        <w:autoSpaceDE w:val="0"/>
        <w:autoSpaceDN w:val="0"/>
        <w:adjustRightInd w:val="0"/>
        <w:jc w:val="both"/>
        <w:rPr>
          <w:rFonts w:ascii="Arial Narrow" w:eastAsia="Calibri" w:hAnsi="Arial Narrow" w:cs="Arial"/>
          <w:lang w:eastAsia="es-ES"/>
        </w:rPr>
      </w:pPr>
    </w:p>
    <w:p w14:paraId="49AC980B" w14:textId="77777777" w:rsidR="007968EC" w:rsidRPr="00676F5B" w:rsidRDefault="007968EC" w:rsidP="00DA7472">
      <w:pPr>
        <w:numPr>
          <w:ilvl w:val="0"/>
          <w:numId w:val="147"/>
        </w:numPr>
        <w:autoSpaceDE w:val="0"/>
        <w:autoSpaceDN w:val="0"/>
        <w:adjustRightInd w:val="0"/>
        <w:jc w:val="both"/>
        <w:rPr>
          <w:rFonts w:ascii="Arial Narrow" w:eastAsia="Calibri" w:hAnsi="Arial Narrow" w:cs="Arial"/>
          <w:lang w:eastAsia="es-ES"/>
        </w:rPr>
      </w:pPr>
      <w:r w:rsidRPr="00676F5B">
        <w:rPr>
          <w:rFonts w:ascii="Arial Narrow" w:eastAsia="Calibri" w:hAnsi="Arial Narrow" w:cs="Arial"/>
          <w:lang w:eastAsia="es-ES"/>
        </w:rPr>
        <w:t xml:space="preserve">Instrumentos Financieros Derivados Estandarizados: </w:t>
      </w:r>
    </w:p>
    <w:p w14:paraId="7D51B74F" w14:textId="77777777" w:rsidR="007968EC" w:rsidRPr="00676F5B" w:rsidRDefault="007968EC" w:rsidP="007968EC">
      <w:pPr>
        <w:autoSpaceDE w:val="0"/>
        <w:autoSpaceDN w:val="0"/>
        <w:adjustRightInd w:val="0"/>
        <w:ind w:left="720"/>
        <w:jc w:val="both"/>
        <w:rPr>
          <w:rFonts w:ascii="Arial Narrow" w:eastAsia="Calibri" w:hAnsi="Arial Narrow" w:cs="Arial"/>
          <w:color w:val="000000"/>
          <w:lang w:eastAsia="es-ES"/>
        </w:rPr>
      </w:pPr>
    </w:p>
    <w:p w14:paraId="42F23F52" w14:textId="77777777" w:rsidR="007968EC" w:rsidRPr="00EB14DE" w:rsidRDefault="007968EC" w:rsidP="00DA7472">
      <w:pPr>
        <w:numPr>
          <w:ilvl w:val="0"/>
          <w:numId w:val="148"/>
        </w:numPr>
        <w:autoSpaceDE w:val="0"/>
        <w:autoSpaceDN w:val="0"/>
        <w:adjustRightInd w:val="0"/>
        <w:jc w:val="both"/>
        <w:rPr>
          <w:rFonts w:ascii="Arial Narrow" w:eastAsia="Calibri" w:hAnsi="Arial Narrow" w:cs="Arial"/>
          <w:color w:val="000000"/>
          <w:lang w:eastAsia="es-ES"/>
        </w:rPr>
      </w:pPr>
      <w:r w:rsidRPr="00EB14DE">
        <w:rPr>
          <w:rFonts w:ascii="Arial Narrow" w:eastAsia="Calibri" w:hAnsi="Arial Narrow" w:cs="Arial"/>
          <w:bCs/>
          <w:color w:val="000000"/>
        </w:rPr>
        <w:t xml:space="preserve">Contrato de </w:t>
      </w:r>
      <w:r w:rsidRPr="00EB14DE">
        <w:rPr>
          <w:rFonts w:ascii="Arial Narrow" w:eastAsia="Calibri" w:hAnsi="Arial Narrow" w:cs="Arial"/>
          <w:color w:val="000000"/>
          <w:lang w:eastAsia="es-ES"/>
        </w:rPr>
        <w:t>Futuro TES Corto Plazo.</w:t>
      </w:r>
    </w:p>
    <w:p w14:paraId="6273FCBC" w14:textId="77777777" w:rsidR="007968EC" w:rsidRPr="00EB14DE" w:rsidRDefault="007968EC" w:rsidP="00DA7472">
      <w:pPr>
        <w:numPr>
          <w:ilvl w:val="0"/>
          <w:numId w:val="148"/>
        </w:numPr>
        <w:autoSpaceDE w:val="0"/>
        <w:autoSpaceDN w:val="0"/>
        <w:adjustRightInd w:val="0"/>
        <w:jc w:val="both"/>
        <w:rPr>
          <w:rFonts w:ascii="Arial Narrow" w:eastAsia="Calibri" w:hAnsi="Arial Narrow" w:cs="Arial"/>
          <w:color w:val="000000"/>
          <w:lang w:eastAsia="es-ES"/>
        </w:rPr>
      </w:pPr>
      <w:r w:rsidRPr="00EB14DE">
        <w:rPr>
          <w:rFonts w:ascii="Arial Narrow" w:eastAsia="Calibri" w:hAnsi="Arial Narrow" w:cs="Arial"/>
          <w:bCs/>
          <w:color w:val="000000"/>
        </w:rPr>
        <w:t xml:space="preserve">Contrato de </w:t>
      </w:r>
      <w:r w:rsidRPr="00EB14DE">
        <w:rPr>
          <w:rFonts w:ascii="Arial Narrow" w:eastAsia="Calibri" w:hAnsi="Arial Narrow" w:cs="Arial"/>
          <w:color w:val="000000"/>
          <w:lang w:eastAsia="es-ES"/>
        </w:rPr>
        <w:t>Futuro TES Mediano Plazo.</w:t>
      </w:r>
    </w:p>
    <w:p w14:paraId="16B3B13C" w14:textId="77777777" w:rsidR="007968EC" w:rsidRPr="00EB14DE" w:rsidRDefault="007968EC" w:rsidP="00DA7472">
      <w:pPr>
        <w:numPr>
          <w:ilvl w:val="0"/>
          <w:numId w:val="148"/>
        </w:numPr>
        <w:autoSpaceDE w:val="0"/>
        <w:autoSpaceDN w:val="0"/>
        <w:adjustRightInd w:val="0"/>
        <w:jc w:val="both"/>
        <w:rPr>
          <w:rFonts w:ascii="Arial Narrow" w:eastAsia="Calibri" w:hAnsi="Arial Narrow" w:cs="Arial"/>
          <w:color w:val="000000"/>
          <w:lang w:eastAsia="es-ES"/>
        </w:rPr>
      </w:pPr>
      <w:r w:rsidRPr="00EB14DE">
        <w:rPr>
          <w:rFonts w:ascii="Arial Narrow" w:eastAsia="Calibri" w:hAnsi="Arial Narrow" w:cs="Arial"/>
          <w:bCs/>
          <w:color w:val="000000"/>
        </w:rPr>
        <w:t xml:space="preserve">Contrato de </w:t>
      </w:r>
      <w:r w:rsidRPr="00EB14DE">
        <w:rPr>
          <w:rFonts w:ascii="Arial Narrow" w:eastAsia="Calibri" w:hAnsi="Arial Narrow" w:cs="Arial"/>
          <w:color w:val="000000"/>
          <w:lang w:eastAsia="es-ES"/>
        </w:rPr>
        <w:t>Futuro TES Largo Plazo.</w:t>
      </w:r>
    </w:p>
    <w:p w14:paraId="06A304B8" w14:textId="77777777" w:rsidR="007968EC" w:rsidRPr="00EB14DE" w:rsidRDefault="007968EC" w:rsidP="00DA7472">
      <w:pPr>
        <w:numPr>
          <w:ilvl w:val="0"/>
          <w:numId w:val="148"/>
        </w:numPr>
        <w:autoSpaceDE w:val="0"/>
        <w:autoSpaceDN w:val="0"/>
        <w:adjustRightInd w:val="0"/>
        <w:jc w:val="both"/>
        <w:rPr>
          <w:rFonts w:ascii="Arial Narrow" w:eastAsia="Calibri" w:hAnsi="Arial Narrow" w:cs="Arial"/>
          <w:color w:val="000000"/>
          <w:lang w:eastAsia="es-ES"/>
        </w:rPr>
      </w:pPr>
      <w:r w:rsidRPr="00EB14DE">
        <w:rPr>
          <w:rFonts w:ascii="Arial Narrow" w:eastAsia="Calibri" w:hAnsi="Arial Narrow" w:cs="Arial"/>
          <w:color w:val="000000"/>
          <w:lang w:eastAsia="es-ES"/>
        </w:rPr>
        <w:t>Contratos de Futuros sobre Títulos TES de Referencias Específicas.</w:t>
      </w:r>
    </w:p>
    <w:p w14:paraId="36F8C9FB" w14:textId="77777777" w:rsidR="007968EC" w:rsidRPr="00EB14DE" w:rsidRDefault="007968EC" w:rsidP="00DA7472">
      <w:pPr>
        <w:numPr>
          <w:ilvl w:val="0"/>
          <w:numId w:val="148"/>
        </w:numPr>
        <w:autoSpaceDE w:val="0"/>
        <w:autoSpaceDN w:val="0"/>
        <w:adjustRightInd w:val="0"/>
        <w:jc w:val="both"/>
        <w:rPr>
          <w:rFonts w:ascii="Arial Narrow" w:eastAsia="Calibri" w:hAnsi="Arial Narrow" w:cs="Arial"/>
          <w:color w:val="000000"/>
          <w:lang w:eastAsia="es-ES"/>
        </w:rPr>
      </w:pPr>
      <w:r w:rsidRPr="00EB14DE">
        <w:rPr>
          <w:rFonts w:ascii="Arial Narrow" w:eastAsia="Calibri" w:hAnsi="Arial Narrow" w:cs="Arial"/>
          <w:bCs/>
          <w:color w:val="000000"/>
        </w:rPr>
        <w:t xml:space="preserve">Contrato </w:t>
      </w:r>
      <w:r w:rsidRPr="00EB14DE">
        <w:rPr>
          <w:rFonts w:ascii="Arial Narrow" w:eastAsia="Calibri" w:hAnsi="Arial Narrow" w:cs="Arial"/>
          <w:color w:val="000000"/>
          <w:lang w:eastAsia="es-ES"/>
        </w:rPr>
        <w:t>Futuro de Tasa de Cambio Dólar/Peso.</w:t>
      </w:r>
    </w:p>
    <w:p w14:paraId="01697270" w14:textId="77777777" w:rsidR="007968EC" w:rsidRPr="00EB14DE" w:rsidRDefault="007968EC" w:rsidP="00DA7472">
      <w:pPr>
        <w:numPr>
          <w:ilvl w:val="0"/>
          <w:numId w:val="148"/>
        </w:numPr>
        <w:autoSpaceDE w:val="0"/>
        <w:autoSpaceDN w:val="0"/>
        <w:adjustRightInd w:val="0"/>
        <w:jc w:val="both"/>
        <w:rPr>
          <w:rFonts w:ascii="Arial Narrow" w:eastAsia="Calibri" w:hAnsi="Arial Narrow" w:cs="Arial"/>
          <w:color w:val="000000"/>
          <w:lang w:eastAsia="es-ES"/>
        </w:rPr>
      </w:pPr>
      <w:r w:rsidRPr="00EB14DE">
        <w:rPr>
          <w:rFonts w:ascii="Arial Narrow" w:eastAsia="Calibri" w:hAnsi="Arial Narrow" w:cs="Arial"/>
          <w:color w:val="000000"/>
          <w:lang w:eastAsia="es-ES"/>
        </w:rPr>
        <w:t>Mini Contrato de Futuro de Tasa de Cambio Dólar/Peso.</w:t>
      </w:r>
    </w:p>
    <w:p w14:paraId="4557D468" w14:textId="77777777" w:rsidR="007968EC" w:rsidRPr="00EB14DE" w:rsidRDefault="007968EC" w:rsidP="00DA7472">
      <w:pPr>
        <w:numPr>
          <w:ilvl w:val="0"/>
          <w:numId w:val="148"/>
        </w:numPr>
        <w:autoSpaceDE w:val="0"/>
        <w:autoSpaceDN w:val="0"/>
        <w:adjustRightInd w:val="0"/>
        <w:jc w:val="both"/>
        <w:rPr>
          <w:rFonts w:ascii="Arial Narrow" w:eastAsia="Calibri" w:hAnsi="Arial Narrow" w:cs="Arial"/>
          <w:color w:val="000000"/>
          <w:lang w:eastAsia="es-ES"/>
        </w:rPr>
      </w:pPr>
      <w:r w:rsidRPr="00EB14DE">
        <w:rPr>
          <w:rFonts w:ascii="Arial Narrow" w:eastAsia="Calibri" w:hAnsi="Arial Narrow" w:cs="Arial"/>
          <w:color w:val="000000"/>
          <w:lang w:eastAsia="es-ES"/>
        </w:rPr>
        <w:t>Contratos de Futuros Índice Accionario COLCAP.</w:t>
      </w:r>
    </w:p>
    <w:p w14:paraId="557C6994" w14:textId="77777777" w:rsidR="007968EC" w:rsidRPr="00EB14DE" w:rsidRDefault="007968EC" w:rsidP="00DA7472">
      <w:pPr>
        <w:numPr>
          <w:ilvl w:val="0"/>
          <w:numId w:val="148"/>
        </w:numPr>
        <w:autoSpaceDE w:val="0"/>
        <w:autoSpaceDN w:val="0"/>
        <w:adjustRightInd w:val="0"/>
        <w:jc w:val="both"/>
        <w:rPr>
          <w:rFonts w:ascii="Arial Narrow" w:eastAsia="Calibri" w:hAnsi="Arial Narrow" w:cs="Arial"/>
          <w:color w:val="000000"/>
          <w:lang w:eastAsia="es-ES"/>
        </w:rPr>
      </w:pPr>
      <w:r w:rsidRPr="00EB14DE">
        <w:rPr>
          <w:rFonts w:ascii="Arial Narrow" w:eastAsia="Calibri" w:hAnsi="Arial Narrow" w:cs="Arial"/>
          <w:color w:val="000000"/>
          <w:lang w:eastAsia="es-ES"/>
        </w:rPr>
        <w:t xml:space="preserve">Mini Contrato de Futuro Índice Accionario COLCAP. </w:t>
      </w:r>
    </w:p>
    <w:p w14:paraId="20EB493B" w14:textId="77777777" w:rsidR="007968EC" w:rsidRPr="00EB14DE" w:rsidRDefault="007968EC" w:rsidP="00DA7472">
      <w:pPr>
        <w:numPr>
          <w:ilvl w:val="0"/>
          <w:numId w:val="148"/>
        </w:numPr>
        <w:autoSpaceDE w:val="0"/>
        <w:autoSpaceDN w:val="0"/>
        <w:adjustRightInd w:val="0"/>
        <w:jc w:val="both"/>
        <w:rPr>
          <w:rFonts w:ascii="Arial Narrow" w:eastAsia="Calibri" w:hAnsi="Arial Narrow" w:cs="Arial"/>
          <w:color w:val="000000"/>
          <w:lang w:eastAsia="es-ES"/>
        </w:rPr>
      </w:pPr>
      <w:r w:rsidRPr="00EB14DE">
        <w:rPr>
          <w:rFonts w:ascii="Arial Narrow" w:eastAsia="Calibri" w:hAnsi="Arial Narrow" w:cs="Arial"/>
          <w:color w:val="000000"/>
          <w:lang w:eastAsia="es-ES"/>
        </w:rPr>
        <w:t xml:space="preserve">Contrato de Futuro sobre Acciones del Índice COLCAP con Liquidación por Diferencias. </w:t>
      </w:r>
    </w:p>
    <w:p w14:paraId="7D651693" w14:textId="77777777" w:rsidR="007968EC" w:rsidRPr="00EB14DE" w:rsidRDefault="007968EC" w:rsidP="00DA7472">
      <w:pPr>
        <w:numPr>
          <w:ilvl w:val="0"/>
          <w:numId w:val="148"/>
        </w:numPr>
        <w:autoSpaceDE w:val="0"/>
        <w:autoSpaceDN w:val="0"/>
        <w:adjustRightInd w:val="0"/>
        <w:jc w:val="both"/>
        <w:rPr>
          <w:rFonts w:ascii="Arial Narrow" w:eastAsia="Calibri" w:hAnsi="Arial Narrow" w:cs="Arial"/>
          <w:color w:val="000000"/>
          <w:lang w:eastAsia="es-ES"/>
        </w:rPr>
      </w:pPr>
      <w:r w:rsidRPr="00EB14DE">
        <w:rPr>
          <w:rFonts w:ascii="Arial Narrow" w:eastAsia="Calibri" w:hAnsi="Arial Narrow" w:cs="Arial"/>
          <w:color w:val="000000"/>
          <w:lang w:eastAsia="es-ES"/>
        </w:rPr>
        <w:t>Contrato de Futuro sobre Acciones del Índice COLCAP con Liquidación por Entrega</w:t>
      </w:r>
    </w:p>
    <w:p w14:paraId="2A2003CF" w14:textId="77777777" w:rsidR="007968EC" w:rsidRPr="00EB14DE" w:rsidRDefault="007968EC" w:rsidP="00DA7472">
      <w:pPr>
        <w:numPr>
          <w:ilvl w:val="0"/>
          <w:numId w:val="148"/>
        </w:numPr>
        <w:autoSpaceDE w:val="0"/>
        <w:autoSpaceDN w:val="0"/>
        <w:adjustRightInd w:val="0"/>
        <w:jc w:val="both"/>
        <w:rPr>
          <w:rFonts w:ascii="Arial Narrow" w:eastAsia="Calibri" w:hAnsi="Arial Narrow" w:cs="Arial"/>
          <w:color w:val="000000"/>
          <w:lang w:eastAsia="es-ES"/>
        </w:rPr>
      </w:pPr>
      <w:r w:rsidRPr="00EB14DE">
        <w:rPr>
          <w:rFonts w:ascii="Arial Narrow" w:eastAsia="Calibri" w:hAnsi="Arial Narrow" w:cs="Arial"/>
          <w:color w:val="000000"/>
          <w:lang w:eastAsia="es-ES"/>
        </w:rPr>
        <w:t>Contrato Futuro sobre Electricidad Mensual.</w:t>
      </w:r>
    </w:p>
    <w:p w14:paraId="293EE029" w14:textId="77777777" w:rsidR="007968EC" w:rsidRPr="00EB14DE" w:rsidRDefault="007968EC" w:rsidP="00DA7472">
      <w:pPr>
        <w:numPr>
          <w:ilvl w:val="0"/>
          <w:numId w:val="148"/>
        </w:numPr>
        <w:autoSpaceDE w:val="0"/>
        <w:autoSpaceDN w:val="0"/>
        <w:adjustRightInd w:val="0"/>
        <w:jc w:val="both"/>
        <w:rPr>
          <w:rFonts w:ascii="Arial Narrow" w:eastAsia="Calibri" w:hAnsi="Arial Narrow" w:cs="Arial"/>
          <w:color w:val="000000"/>
          <w:lang w:eastAsia="es-ES"/>
        </w:rPr>
      </w:pPr>
      <w:r w:rsidRPr="00EB14DE">
        <w:rPr>
          <w:rFonts w:ascii="Arial Narrow" w:eastAsia="Calibri" w:hAnsi="Arial Narrow" w:cs="Arial"/>
          <w:color w:val="000000"/>
          <w:lang w:eastAsia="es-ES"/>
        </w:rPr>
        <w:t>Contrato Mini de Futuro sobre Electricidad Mensual.</w:t>
      </w:r>
    </w:p>
    <w:p w14:paraId="6C2A5511" w14:textId="77777777" w:rsidR="007968EC" w:rsidRPr="00EB14DE" w:rsidRDefault="007968EC" w:rsidP="00DA7472">
      <w:pPr>
        <w:numPr>
          <w:ilvl w:val="0"/>
          <w:numId w:val="148"/>
        </w:numPr>
        <w:autoSpaceDE w:val="0"/>
        <w:autoSpaceDN w:val="0"/>
        <w:adjustRightInd w:val="0"/>
        <w:jc w:val="both"/>
        <w:rPr>
          <w:rFonts w:ascii="Arial Narrow" w:eastAsia="Calibri" w:hAnsi="Arial Narrow" w:cs="Arial"/>
          <w:color w:val="000000"/>
          <w:lang w:eastAsia="es-ES"/>
        </w:rPr>
      </w:pPr>
      <w:r w:rsidRPr="00EB14DE">
        <w:rPr>
          <w:rFonts w:ascii="Arial Narrow" w:eastAsia="Calibri" w:hAnsi="Arial Narrow" w:cs="Arial"/>
          <w:color w:val="000000"/>
          <w:lang w:eastAsia="es-ES"/>
        </w:rPr>
        <w:t>Contrato de Futuro de Inflación.</w:t>
      </w:r>
    </w:p>
    <w:p w14:paraId="2F0E54A7" w14:textId="77777777" w:rsidR="007968EC" w:rsidRPr="00EB14DE" w:rsidRDefault="007968EC" w:rsidP="00DA7472">
      <w:pPr>
        <w:numPr>
          <w:ilvl w:val="0"/>
          <w:numId w:val="148"/>
        </w:numPr>
        <w:autoSpaceDE w:val="0"/>
        <w:autoSpaceDN w:val="0"/>
        <w:adjustRightInd w:val="0"/>
        <w:jc w:val="both"/>
        <w:rPr>
          <w:rFonts w:ascii="Arial Narrow" w:eastAsia="Calibri" w:hAnsi="Arial Narrow" w:cs="Arial"/>
          <w:color w:val="000000"/>
          <w:lang w:eastAsia="es-ES"/>
        </w:rPr>
      </w:pPr>
      <w:r w:rsidRPr="00EB14DE">
        <w:rPr>
          <w:rFonts w:ascii="Arial Narrow" w:eastAsia="Calibri" w:hAnsi="Arial Narrow" w:cs="Arial"/>
          <w:color w:val="000000"/>
          <w:lang w:eastAsia="es-ES"/>
        </w:rPr>
        <w:t>Contrato de Futuro OIS.</w:t>
      </w:r>
    </w:p>
    <w:p w14:paraId="53D25EA9" w14:textId="77777777" w:rsidR="007968EC" w:rsidRPr="00EB14DE" w:rsidRDefault="007968EC" w:rsidP="00DA7472">
      <w:pPr>
        <w:numPr>
          <w:ilvl w:val="0"/>
          <w:numId w:val="148"/>
        </w:numPr>
        <w:autoSpaceDE w:val="0"/>
        <w:autoSpaceDN w:val="0"/>
        <w:adjustRightInd w:val="0"/>
        <w:jc w:val="both"/>
        <w:rPr>
          <w:rFonts w:ascii="Arial Narrow" w:eastAsia="Calibri" w:hAnsi="Arial Narrow" w:cs="Arial"/>
          <w:color w:val="000000"/>
          <w:lang w:eastAsia="es-ES"/>
        </w:rPr>
      </w:pPr>
      <w:r w:rsidRPr="00EB14DE">
        <w:rPr>
          <w:rFonts w:ascii="Arial Narrow" w:eastAsia="Calibri" w:hAnsi="Arial Narrow"/>
          <w:bCs/>
          <w:color w:val="000000" w:themeColor="text1"/>
        </w:rPr>
        <w:t xml:space="preserve">Contrato de </w:t>
      </w:r>
      <w:r w:rsidRPr="00EB14DE">
        <w:rPr>
          <w:rFonts w:ascii="Arial Narrow" w:hAnsi="Arial Narrow"/>
          <w:color w:val="000000"/>
          <w:lang w:eastAsia="es-CO"/>
        </w:rPr>
        <w:t>Opción sobre la TRM</w:t>
      </w:r>
    </w:p>
    <w:p w14:paraId="48866AFC" w14:textId="77777777" w:rsidR="007968EC" w:rsidRPr="00EB14DE" w:rsidRDefault="007968EC" w:rsidP="00DA7472">
      <w:pPr>
        <w:numPr>
          <w:ilvl w:val="0"/>
          <w:numId w:val="148"/>
        </w:numPr>
        <w:autoSpaceDE w:val="0"/>
        <w:autoSpaceDN w:val="0"/>
        <w:adjustRightInd w:val="0"/>
        <w:jc w:val="both"/>
        <w:rPr>
          <w:rFonts w:ascii="Arial Narrow" w:eastAsia="Calibri" w:hAnsi="Arial Narrow"/>
          <w:color w:val="000000"/>
          <w:lang w:val="es-ES" w:eastAsia="es-ES"/>
        </w:rPr>
      </w:pPr>
      <w:r w:rsidRPr="00EB14DE">
        <w:rPr>
          <w:rFonts w:ascii="Arial Narrow" w:eastAsia="Calibri" w:hAnsi="Arial Narrow"/>
          <w:color w:val="000000"/>
          <w:lang w:val="es-ES" w:eastAsia="es-ES"/>
        </w:rPr>
        <w:t>Contrato de Opciones sobre la acción de Ecopetrol.</w:t>
      </w:r>
    </w:p>
    <w:p w14:paraId="67C32D78" w14:textId="77777777" w:rsidR="007968EC" w:rsidRPr="00EB14DE" w:rsidRDefault="007968EC" w:rsidP="00DA7472">
      <w:pPr>
        <w:numPr>
          <w:ilvl w:val="0"/>
          <w:numId w:val="148"/>
        </w:numPr>
        <w:autoSpaceDE w:val="0"/>
        <w:autoSpaceDN w:val="0"/>
        <w:adjustRightInd w:val="0"/>
        <w:jc w:val="both"/>
        <w:rPr>
          <w:rFonts w:ascii="Arial Narrow" w:eastAsia="Calibri" w:hAnsi="Arial Narrow"/>
          <w:color w:val="000000"/>
          <w:lang w:val="es-ES" w:eastAsia="es-ES"/>
        </w:rPr>
      </w:pPr>
      <w:r w:rsidRPr="00EB14DE">
        <w:rPr>
          <w:rFonts w:ascii="Arial Narrow" w:eastAsia="Calibri" w:hAnsi="Arial Narrow"/>
          <w:color w:val="000000"/>
          <w:lang w:val="es-ES" w:eastAsia="es-ES"/>
        </w:rPr>
        <w:t>Contrato de Opciones sobre la acción Preferencial Bancolombia.</w:t>
      </w:r>
    </w:p>
    <w:p w14:paraId="45B45253" w14:textId="77777777" w:rsidR="007968EC" w:rsidRPr="00EB14DE" w:rsidRDefault="007968EC" w:rsidP="00DA7472">
      <w:pPr>
        <w:numPr>
          <w:ilvl w:val="0"/>
          <w:numId w:val="148"/>
        </w:numPr>
        <w:autoSpaceDE w:val="0"/>
        <w:autoSpaceDN w:val="0"/>
        <w:adjustRightInd w:val="0"/>
        <w:jc w:val="both"/>
        <w:rPr>
          <w:rFonts w:ascii="Arial Narrow" w:eastAsia="Calibri" w:hAnsi="Arial Narrow"/>
          <w:color w:val="000000"/>
          <w:lang w:val="es-ES" w:eastAsia="es-ES"/>
        </w:rPr>
      </w:pPr>
      <w:r w:rsidRPr="00EB14DE">
        <w:rPr>
          <w:rFonts w:ascii="Arial Narrow" w:eastAsia="Calibri" w:hAnsi="Arial Narrow"/>
          <w:color w:val="000000"/>
          <w:lang w:val="es-ES" w:eastAsia="es-ES"/>
        </w:rPr>
        <w:t>Contrato de Opciones sobre la acción de Preferencial Aval.</w:t>
      </w:r>
    </w:p>
    <w:p w14:paraId="31C70C0D" w14:textId="77777777" w:rsidR="007968EC" w:rsidRPr="00676F5B" w:rsidRDefault="007968EC" w:rsidP="007968EC">
      <w:pPr>
        <w:autoSpaceDE w:val="0"/>
        <w:autoSpaceDN w:val="0"/>
        <w:adjustRightInd w:val="0"/>
        <w:jc w:val="both"/>
        <w:rPr>
          <w:rFonts w:ascii="Arial Narrow" w:eastAsia="Calibri" w:hAnsi="Arial Narrow" w:cs="Arial"/>
          <w:color w:val="000000"/>
          <w:lang w:val="es-ES" w:eastAsia="es-ES"/>
        </w:rPr>
      </w:pPr>
    </w:p>
    <w:p w14:paraId="3C2616A8" w14:textId="77777777" w:rsidR="007968EC" w:rsidRPr="00676F5B" w:rsidRDefault="007968EC" w:rsidP="00DA7472">
      <w:pPr>
        <w:numPr>
          <w:ilvl w:val="0"/>
          <w:numId w:val="147"/>
        </w:numPr>
        <w:autoSpaceDE w:val="0"/>
        <w:autoSpaceDN w:val="0"/>
        <w:adjustRightInd w:val="0"/>
        <w:jc w:val="both"/>
        <w:rPr>
          <w:rFonts w:ascii="Arial Narrow" w:eastAsia="Calibri" w:hAnsi="Arial Narrow" w:cs="Arial"/>
          <w:color w:val="000000"/>
          <w:lang w:eastAsia="es-ES"/>
        </w:rPr>
      </w:pPr>
      <w:r w:rsidRPr="00676F5B">
        <w:rPr>
          <w:rFonts w:ascii="Arial Narrow" w:eastAsia="Calibri" w:hAnsi="Arial Narrow" w:cs="Arial"/>
          <w:color w:val="000000"/>
          <w:lang w:eastAsia="es-ES"/>
        </w:rPr>
        <w:t>Instrumento</w:t>
      </w:r>
      <w:r>
        <w:rPr>
          <w:rFonts w:ascii="Arial Narrow" w:eastAsia="Calibri" w:hAnsi="Arial Narrow" w:cs="Arial"/>
          <w:color w:val="000000"/>
          <w:lang w:eastAsia="es-ES"/>
        </w:rPr>
        <w:t>s</w:t>
      </w:r>
      <w:r w:rsidRPr="00676F5B">
        <w:rPr>
          <w:rFonts w:ascii="Arial Narrow" w:eastAsia="Calibri" w:hAnsi="Arial Narrow" w:cs="Arial"/>
          <w:color w:val="000000"/>
          <w:lang w:eastAsia="es-ES"/>
        </w:rPr>
        <w:t xml:space="preserve"> Financieros Derivados No Estandarizados:</w:t>
      </w:r>
    </w:p>
    <w:p w14:paraId="1C3FECE5" w14:textId="77777777" w:rsidR="007968EC" w:rsidRPr="00676F5B" w:rsidRDefault="007968EC" w:rsidP="007968EC">
      <w:pPr>
        <w:autoSpaceDE w:val="0"/>
        <w:autoSpaceDN w:val="0"/>
        <w:adjustRightInd w:val="0"/>
        <w:ind w:left="720"/>
        <w:jc w:val="both"/>
        <w:rPr>
          <w:rFonts w:ascii="Arial Narrow" w:eastAsia="Calibri" w:hAnsi="Arial Narrow" w:cs="Arial"/>
          <w:lang w:eastAsia="es-ES"/>
        </w:rPr>
      </w:pPr>
    </w:p>
    <w:p w14:paraId="5B6FDA11" w14:textId="77777777" w:rsidR="007968EC" w:rsidRPr="00676F5B" w:rsidRDefault="007968EC" w:rsidP="00DA7472">
      <w:pPr>
        <w:numPr>
          <w:ilvl w:val="0"/>
          <w:numId w:val="149"/>
        </w:numPr>
        <w:autoSpaceDE w:val="0"/>
        <w:autoSpaceDN w:val="0"/>
        <w:adjustRightInd w:val="0"/>
        <w:jc w:val="both"/>
        <w:rPr>
          <w:rFonts w:ascii="Arial Narrow" w:eastAsia="Calibri" w:hAnsi="Arial Narrow" w:cs="Arial"/>
          <w:lang w:eastAsia="es-ES"/>
        </w:rPr>
      </w:pPr>
      <w:r w:rsidRPr="00676F5B">
        <w:rPr>
          <w:rFonts w:ascii="Arial Narrow" w:eastAsia="Calibri" w:hAnsi="Arial Narrow" w:cs="Arial"/>
          <w:lang w:eastAsia="es-ES"/>
        </w:rPr>
        <w:t>Forward NDF (USD / COP).</w:t>
      </w:r>
    </w:p>
    <w:p w14:paraId="6D0DA5F3" w14:textId="77777777" w:rsidR="007968EC" w:rsidRPr="00676F5B" w:rsidRDefault="007968EC" w:rsidP="00DA7472">
      <w:pPr>
        <w:numPr>
          <w:ilvl w:val="0"/>
          <w:numId w:val="149"/>
        </w:numPr>
        <w:autoSpaceDE w:val="0"/>
        <w:autoSpaceDN w:val="0"/>
        <w:adjustRightInd w:val="0"/>
        <w:jc w:val="both"/>
        <w:rPr>
          <w:rFonts w:ascii="Arial Narrow" w:eastAsia="Calibri" w:hAnsi="Arial Narrow" w:cs="Arial"/>
          <w:lang w:eastAsia="es-ES"/>
        </w:rPr>
      </w:pPr>
      <w:r w:rsidRPr="00676F5B">
        <w:rPr>
          <w:rFonts w:ascii="Arial Narrow" w:eastAsia="Calibri" w:hAnsi="Arial Narrow" w:cs="Arial"/>
          <w:lang w:eastAsia="es-ES"/>
        </w:rPr>
        <w:t>OIS IBR de Formación.</w:t>
      </w:r>
    </w:p>
    <w:p w14:paraId="3FA44B12" w14:textId="77777777" w:rsidR="007968EC" w:rsidRPr="00676F5B" w:rsidRDefault="007968EC" w:rsidP="00DA7472">
      <w:pPr>
        <w:numPr>
          <w:ilvl w:val="0"/>
          <w:numId w:val="149"/>
        </w:numPr>
        <w:autoSpaceDE w:val="0"/>
        <w:autoSpaceDN w:val="0"/>
        <w:adjustRightInd w:val="0"/>
        <w:jc w:val="both"/>
        <w:rPr>
          <w:rFonts w:ascii="Arial Narrow" w:eastAsia="Calibri" w:hAnsi="Arial Narrow" w:cs="Arial"/>
          <w:lang w:eastAsia="es-ES"/>
        </w:rPr>
      </w:pPr>
      <w:r w:rsidRPr="00676F5B">
        <w:rPr>
          <w:rFonts w:ascii="Arial Narrow" w:eastAsia="Calibri" w:hAnsi="Arial Narrow" w:cs="Arial"/>
          <w:lang w:eastAsia="es-ES"/>
        </w:rPr>
        <w:t>OIS IBR.</w:t>
      </w:r>
    </w:p>
    <w:p w14:paraId="1CE0CBAE" w14:textId="77777777" w:rsidR="007968EC" w:rsidRPr="00676F5B" w:rsidRDefault="007968EC" w:rsidP="007968EC">
      <w:pPr>
        <w:autoSpaceDE w:val="0"/>
        <w:autoSpaceDN w:val="0"/>
        <w:adjustRightInd w:val="0"/>
        <w:jc w:val="both"/>
        <w:rPr>
          <w:rFonts w:ascii="Arial Narrow" w:eastAsia="Calibri" w:hAnsi="Arial Narrow" w:cs="Arial"/>
          <w:lang w:eastAsia="es-ES"/>
        </w:rPr>
      </w:pPr>
    </w:p>
    <w:p w14:paraId="76F29964" w14:textId="77777777" w:rsidR="007968EC" w:rsidRPr="00676F5B" w:rsidRDefault="007968EC" w:rsidP="00DA7472">
      <w:pPr>
        <w:numPr>
          <w:ilvl w:val="0"/>
          <w:numId w:val="146"/>
        </w:numPr>
        <w:autoSpaceDE w:val="0"/>
        <w:autoSpaceDN w:val="0"/>
        <w:adjustRightInd w:val="0"/>
        <w:ind w:left="426" w:hanging="426"/>
        <w:jc w:val="both"/>
        <w:rPr>
          <w:rFonts w:ascii="Arial Narrow" w:eastAsia="Calibri" w:hAnsi="Arial Narrow" w:cs="Arial"/>
          <w:b/>
          <w:lang w:eastAsia="es-ES"/>
        </w:rPr>
      </w:pPr>
      <w:r w:rsidRPr="00676F5B">
        <w:rPr>
          <w:rFonts w:ascii="Arial Narrow" w:eastAsia="Calibri" w:hAnsi="Arial Narrow" w:cs="Arial"/>
          <w:b/>
          <w:lang w:eastAsia="es-ES"/>
        </w:rPr>
        <w:lastRenderedPageBreak/>
        <w:t>Segmento Renta Fija.</w:t>
      </w:r>
    </w:p>
    <w:p w14:paraId="53F38099" w14:textId="77777777" w:rsidR="007968EC" w:rsidRPr="00676F5B" w:rsidRDefault="007968EC" w:rsidP="007968EC">
      <w:pPr>
        <w:autoSpaceDE w:val="0"/>
        <w:autoSpaceDN w:val="0"/>
        <w:adjustRightInd w:val="0"/>
        <w:jc w:val="both"/>
        <w:rPr>
          <w:rFonts w:ascii="Arial Narrow" w:hAnsi="Arial Narrow" w:cs="Arial"/>
          <w:lang w:eastAsia="es-ES"/>
        </w:rPr>
      </w:pPr>
    </w:p>
    <w:p w14:paraId="3F993D62" w14:textId="77777777" w:rsidR="007968EC" w:rsidRPr="00676F5B" w:rsidRDefault="007968EC" w:rsidP="007968EC">
      <w:pPr>
        <w:autoSpaceDE w:val="0"/>
        <w:autoSpaceDN w:val="0"/>
        <w:adjustRightInd w:val="0"/>
        <w:jc w:val="both"/>
        <w:rPr>
          <w:rFonts w:ascii="Arial Narrow" w:hAnsi="Arial Narrow" w:cs="Arial"/>
          <w:lang w:eastAsia="es-ES"/>
        </w:rPr>
      </w:pPr>
      <w:r w:rsidRPr="00676F5B">
        <w:rPr>
          <w:rFonts w:ascii="Arial Narrow" w:hAnsi="Arial Narrow" w:cs="Arial"/>
          <w:lang w:eastAsia="es-ES"/>
        </w:rPr>
        <w:t>El criterio de agrupación para este Segmento es el tipo de Activos y los tipos de Operaciones Susceptibles de ser Aceptadas y de Operaciones Aceptadas de las que son objeto, debido a que corresponden a Operaciones sobre valores de renta fija nacionales o extranjeros, inscritos o no en el Registro Nacional de Valores y Emisores – RNVE.</w:t>
      </w:r>
    </w:p>
    <w:p w14:paraId="74D49D3C" w14:textId="77777777" w:rsidR="007968EC" w:rsidRPr="00676F5B" w:rsidRDefault="007968EC" w:rsidP="007968EC">
      <w:pPr>
        <w:autoSpaceDE w:val="0"/>
        <w:autoSpaceDN w:val="0"/>
        <w:adjustRightInd w:val="0"/>
        <w:jc w:val="both"/>
        <w:rPr>
          <w:rFonts w:ascii="Arial Narrow" w:hAnsi="Arial Narrow" w:cs="Arial"/>
          <w:lang w:eastAsia="es-ES"/>
        </w:rPr>
      </w:pPr>
    </w:p>
    <w:p w14:paraId="1BA0EF53" w14:textId="77777777" w:rsidR="007968EC" w:rsidRPr="00676F5B" w:rsidRDefault="007968EC" w:rsidP="007968EC">
      <w:pPr>
        <w:autoSpaceDE w:val="0"/>
        <w:autoSpaceDN w:val="0"/>
        <w:adjustRightInd w:val="0"/>
        <w:jc w:val="both"/>
        <w:rPr>
          <w:rFonts w:ascii="Arial Narrow" w:hAnsi="Arial Narrow" w:cs="Arial"/>
          <w:b/>
          <w:color w:val="000000"/>
          <w:lang w:eastAsia="es-ES"/>
        </w:rPr>
      </w:pPr>
      <w:r w:rsidRPr="00676F5B">
        <w:rPr>
          <w:rFonts w:ascii="Arial Narrow" w:hAnsi="Arial Narrow" w:cs="Arial"/>
          <w:lang w:eastAsia="es-ES"/>
        </w:rPr>
        <w:t>De conformidad con lo anterior en el Segmento de Renta Fija se agrupan las Operaciones Simultáneas sobre Títulos de Deuda Pública TES.</w:t>
      </w:r>
    </w:p>
    <w:p w14:paraId="080A059E" w14:textId="77777777" w:rsidR="007968EC" w:rsidRPr="00676F5B" w:rsidRDefault="007968EC" w:rsidP="007968EC">
      <w:pPr>
        <w:autoSpaceDE w:val="0"/>
        <w:autoSpaceDN w:val="0"/>
        <w:adjustRightInd w:val="0"/>
        <w:jc w:val="both"/>
        <w:rPr>
          <w:rFonts w:ascii="Arial Narrow" w:hAnsi="Arial Narrow" w:cs="Arial"/>
          <w:lang w:eastAsia="es-ES"/>
        </w:rPr>
      </w:pPr>
    </w:p>
    <w:p w14:paraId="0386364D" w14:textId="77777777" w:rsidR="007968EC" w:rsidRPr="00676F5B" w:rsidRDefault="007968EC" w:rsidP="00DA7472">
      <w:pPr>
        <w:numPr>
          <w:ilvl w:val="0"/>
          <w:numId w:val="146"/>
        </w:numPr>
        <w:autoSpaceDE w:val="0"/>
        <w:autoSpaceDN w:val="0"/>
        <w:adjustRightInd w:val="0"/>
        <w:ind w:left="426" w:hanging="426"/>
        <w:jc w:val="both"/>
        <w:rPr>
          <w:rFonts w:ascii="Arial Narrow" w:eastAsia="Calibri" w:hAnsi="Arial Narrow" w:cs="Arial"/>
          <w:b/>
          <w:lang w:eastAsia="es-ES"/>
        </w:rPr>
      </w:pPr>
      <w:r w:rsidRPr="00676F5B">
        <w:rPr>
          <w:rFonts w:ascii="Arial Narrow" w:eastAsia="Calibri" w:hAnsi="Arial Narrow" w:cs="Arial"/>
          <w:b/>
          <w:lang w:eastAsia="es-ES"/>
        </w:rPr>
        <w:t>Segmento Renta Variable.</w:t>
      </w:r>
    </w:p>
    <w:p w14:paraId="4EDDC86B" w14:textId="77777777" w:rsidR="007968EC" w:rsidRPr="00676F5B" w:rsidRDefault="007968EC" w:rsidP="007968EC">
      <w:pPr>
        <w:autoSpaceDE w:val="0"/>
        <w:autoSpaceDN w:val="0"/>
        <w:adjustRightInd w:val="0"/>
        <w:jc w:val="both"/>
        <w:rPr>
          <w:rFonts w:ascii="Arial Narrow" w:eastAsia="Calibri" w:hAnsi="Arial Narrow" w:cs="Arial"/>
          <w:b/>
          <w:lang w:eastAsia="es-ES"/>
        </w:rPr>
      </w:pPr>
    </w:p>
    <w:p w14:paraId="2D5E7D4D" w14:textId="77777777" w:rsidR="007968EC" w:rsidRPr="00676F5B" w:rsidRDefault="007968EC" w:rsidP="007968EC">
      <w:pPr>
        <w:autoSpaceDE w:val="0"/>
        <w:autoSpaceDN w:val="0"/>
        <w:adjustRightInd w:val="0"/>
        <w:jc w:val="both"/>
        <w:rPr>
          <w:rFonts w:ascii="Arial Narrow" w:hAnsi="Arial Narrow" w:cs="Arial"/>
          <w:lang w:eastAsia="es-ES"/>
        </w:rPr>
      </w:pPr>
      <w:r w:rsidRPr="00676F5B">
        <w:rPr>
          <w:rFonts w:ascii="Arial Narrow" w:hAnsi="Arial Narrow" w:cs="Arial"/>
          <w:lang w:eastAsia="es-ES"/>
        </w:rPr>
        <w:t>El criterio de agrupación para este Segmento es el tipo de Activos y los tipos de Operaciones Susceptibles de ser Aceptadas y de Operaciones Aceptadas de las que son objeto, debido a que corresponden a operaciones sobre valores de renta variable inscritos en el Registro Nacional de Valores y Emisores – RNVE.</w:t>
      </w:r>
    </w:p>
    <w:p w14:paraId="1CF9B0F1" w14:textId="77777777" w:rsidR="007968EC" w:rsidRPr="00676F5B" w:rsidRDefault="007968EC" w:rsidP="007968EC">
      <w:pPr>
        <w:autoSpaceDE w:val="0"/>
        <w:autoSpaceDN w:val="0"/>
        <w:adjustRightInd w:val="0"/>
        <w:jc w:val="both"/>
        <w:rPr>
          <w:rFonts w:ascii="Arial Narrow" w:hAnsi="Arial Narrow" w:cs="Arial"/>
          <w:lang w:eastAsia="es-ES"/>
        </w:rPr>
      </w:pPr>
    </w:p>
    <w:p w14:paraId="3205C958" w14:textId="77777777" w:rsidR="007968EC" w:rsidRPr="00676F5B" w:rsidRDefault="007968EC" w:rsidP="007968EC">
      <w:pPr>
        <w:autoSpaceDE w:val="0"/>
        <w:autoSpaceDN w:val="0"/>
        <w:adjustRightInd w:val="0"/>
        <w:jc w:val="both"/>
        <w:rPr>
          <w:rFonts w:ascii="Arial Narrow" w:hAnsi="Arial Narrow" w:cs="Arial"/>
          <w:lang w:eastAsia="es-ES"/>
        </w:rPr>
      </w:pPr>
      <w:r w:rsidRPr="00676F5B">
        <w:rPr>
          <w:rFonts w:ascii="Arial Narrow" w:hAnsi="Arial Narrow" w:cs="Arial"/>
          <w:lang w:eastAsia="es-ES"/>
        </w:rPr>
        <w:t xml:space="preserve">De conformidad con lo anterior en el Segmento de Renta Variable se agrupan las Operaciones Repo sobre </w:t>
      </w:r>
      <w:r>
        <w:rPr>
          <w:rFonts w:ascii="Arial Narrow" w:hAnsi="Arial Narrow"/>
          <w:lang w:eastAsia="es-ES"/>
        </w:rPr>
        <w:t>V</w:t>
      </w:r>
      <w:r w:rsidRPr="002D403D">
        <w:rPr>
          <w:rFonts w:ascii="Arial Narrow" w:hAnsi="Arial Narrow"/>
          <w:lang w:eastAsia="es-ES"/>
        </w:rPr>
        <w:t xml:space="preserve">alores de </w:t>
      </w:r>
      <w:r>
        <w:rPr>
          <w:rFonts w:ascii="Arial Narrow" w:hAnsi="Arial Narrow"/>
          <w:lang w:eastAsia="es-ES"/>
        </w:rPr>
        <w:t>R</w:t>
      </w:r>
      <w:r w:rsidRPr="002D403D">
        <w:rPr>
          <w:rFonts w:ascii="Arial Narrow" w:hAnsi="Arial Narrow"/>
          <w:lang w:eastAsia="es-ES"/>
        </w:rPr>
        <w:t xml:space="preserve">enta </w:t>
      </w:r>
      <w:r>
        <w:rPr>
          <w:rFonts w:ascii="Arial Narrow" w:hAnsi="Arial Narrow"/>
          <w:lang w:eastAsia="es-ES"/>
        </w:rPr>
        <w:t>V</w:t>
      </w:r>
      <w:r w:rsidRPr="002D403D">
        <w:rPr>
          <w:rFonts w:ascii="Arial Narrow" w:hAnsi="Arial Narrow"/>
          <w:lang w:eastAsia="es-ES"/>
        </w:rPr>
        <w:t xml:space="preserve">ariable </w:t>
      </w:r>
      <w:r w:rsidRPr="00676F5B">
        <w:rPr>
          <w:rFonts w:ascii="Arial Narrow" w:hAnsi="Arial Narrow" w:cs="Arial"/>
          <w:lang w:eastAsia="es-ES"/>
        </w:rPr>
        <w:t>inscrit</w:t>
      </w:r>
      <w:r>
        <w:rPr>
          <w:rFonts w:ascii="Arial Narrow" w:hAnsi="Arial Narrow" w:cs="Arial"/>
          <w:lang w:eastAsia="es-ES"/>
        </w:rPr>
        <w:t>o</w:t>
      </w:r>
      <w:r w:rsidRPr="00676F5B">
        <w:rPr>
          <w:rFonts w:ascii="Arial Narrow" w:hAnsi="Arial Narrow" w:cs="Arial"/>
          <w:lang w:eastAsia="es-ES"/>
        </w:rPr>
        <w:t xml:space="preserve">s en el RNVE y en la Bolsa, que según el modelo de riesgo de la Cámara y el acuerdo con la Bolsa sean elegibles como objeto de las Operaciones Repo para su Compensación y Liquidación. </w:t>
      </w:r>
    </w:p>
    <w:p w14:paraId="230A0CDD" w14:textId="77777777" w:rsidR="007968EC" w:rsidRPr="00676F5B" w:rsidRDefault="007968EC" w:rsidP="007968EC">
      <w:pPr>
        <w:autoSpaceDE w:val="0"/>
        <w:autoSpaceDN w:val="0"/>
        <w:adjustRightInd w:val="0"/>
        <w:jc w:val="both"/>
        <w:rPr>
          <w:rFonts w:ascii="Arial Narrow" w:hAnsi="Arial Narrow" w:cs="Arial"/>
          <w:lang w:eastAsia="es-ES"/>
        </w:rPr>
      </w:pPr>
    </w:p>
    <w:p w14:paraId="539C303C" w14:textId="77777777" w:rsidR="007968EC" w:rsidRPr="00676F5B" w:rsidRDefault="007968EC" w:rsidP="007968EC">
      <w:pPr>
        <w:autoSpaceDE w:val="0"/>
        <w:autoSpaceDN w:val="0"/>
        <w:adjustRightInd w:val="0"/>
        <w:jc w:val="both"/>
        <w:rPr>
          <w:rFonts w:ascii="Arial Narrow" w:hAnsi="Arial Narrow" w:cs="Arial"/>
          <w:lang w:eastAsia="es-ES"/>
        </w:rPr>
      </w:pPr>
      <w:r w:rsidRPr="00676F5B">
        <w:rPr>
          <w:rFonts w:ascii="Arial Narrow" w:hAnsi="Arial Narrow" w:cs="Arial"/>
          <w:lang w:eastAsia="es-ES"/>
        </w:rPr>
        <w:t>En el Segmento de Renta Variable, también podrán agruparse las Operaciones sobre valores listados en un sistema local de cotizaciones de valores extranjeros, en los términos establecidos en la presente Circular.</w:t>
      </w:r>
    </w:p>
    <w:p w14:paraId="29F33F3F" w14:textId="77777777" w:rsidR="007968EC" w:rsidRPr="00676F5B" w:rsidRDefault="007968EC" w:rsidP="007968EC">
      <w:pPr>
        <w:autoSpaceDE w:val="0"/>
        <w:autoSpaceDN w:val="0"/>
        <w:adjustRightInd w:val="0"/>
        <w:jc w:val="both"/>
        <w:rPr>
          <w:rFonts w:ascii="Arial Narrow" w:hAnsi="Arial Narrow" w:cs="Arial"/>
          <w:color w:val="000000" w:themeColor="text1"/>
          <w:lang w:eastAsia="es-ES"/>
        </w:rPr>
      </w:pPr>
    </w:p>
    <w:p w14:paraId="73CE185E" w14:textId="77777777" w:rsidR="007968EC" w:rsidRPr="00676F5B" w:rsidRDefault="007968EC" w:rsidP="00DA7472">
      <w:pPr>
        <w:numPr>
          <w:ilvl w:val="0"/>
          <w:numId w:val="146"/>
        </w:numPr>
        <w:autoSpaceDE w:val="0"/>
        <w:autoSpaceDN w:val="0"/>
        <w:adjustRightInd w:val="0"/>
        <w:ind w:left="383" w:hanging="383"/>
        <w:jc w:val="both"/>
        <w:rPr>
          <w:rFonts w:ascii="Arial Narrow" w:eastAsia="Calibri" w:hAnsi="Arial Narrow" w:cs="Arial"/>
          <w:b/>
          <w:color w:val="000000" w:themeColor="text1"/>
          <w:lang w:eastAsia="es-ES"/>
        </w:rPr>
      </w:pPr>
      <w:r w:rsidRPr="00676F5B">
        <w:rPr>
          <w:rFonts w:ascii="Arial Narrow" w:eastAsia="Calibri" w:hAnsi="Arial Narrow" w:cs="Arial"/>
          <w:b/>
          <w:color w:val="000000" w:themeColor="text1"/>
          <w:lang w:eastAsia="es-ES"/>
        </w:rPr>
        <w:t>Segmento Swaps.</w:t>
      </w:r>
    </w:p>
    <w:p w14:paraId="4489CF1A" w14:textId="77777777" w:rsidR="007968EC" w:rsidRPr="00676F5B" w:rsidRDefault="007968EC" w:rsidP="007968EC">
      <w:pPr>
        <w:autoSpaceDE w:val="0"/>
        <w:autoSpaceDN w:val="0"/>
        <w:adjustRightInd w:val="0"/>
        <w:jc w:val="both"/>
        <w:rPr>
          <w:rFonts w:ascii="Arial Narrow" w:eastAsia="Calibri" w:hAnsi="Arial Narrow" w:cs="Arial"/>
          <w:bCs/>
          <w:color w:val="000000" w:themeColor="text1"/>
        </w:rPr>
      </w:pPr>
    </w:p>
    <w:p w14:paraId="75DAE325" w14:textId="77777777" w:rsidR="007968EC" w:rsidRPr="00676F5B" w:rsidRDefault="007968EC" w:rsidP="007968EC">
      <w:pPr>
        <w:autoSpaceDE w:val="0"/>
        <w:autoSpaceDN w:val="0"/>
        <w:adjustRightInd w:val="0"/>
        <w:jc w:val="both"/>
        <w:rPr>
          <w:rFonts w:ascii="Arial Narrow" w:eastAsia="Calibri" w:hAnsi="Arial Narrow" w:cs="Arial"/>
          <w:bCs/>
          <w:color w:val="000000" w:themeColor="text1"/>
        </w:rPr>
      </w:pPr>
      <w:r w:rsidRPr="00676F5B">
        <w:rPr>
          <w:rFonts w:ascii="Arial Narrow" w:eastAsia="Calibri" w:hAnsi="Arial Narrow" w:cs="Arial"/>
          <w:bCs/>
          <w:color w:val="000000" w:themeColor="text1"/>
        </w:rPr>
        <w:t>El criterio de agrupación para este Segmento es el tipo de Activos, los tipos de Operaciones Susceptibles de ser Aceptadas, Operaciones Aceptadas de las que son objeto y riesgos, debido a que su administración y control se hace de forma diferente para dichos Activos y corresponden a Operaciones Swaps.</w:t>
      </w:r>
    </w:p>
    <w:p w14:paraId="69490650" w14:textId="77777777" w:rsidR="007968EC" w:rsidRPr="00676F5B" w:rsidRDefault="007968EC" w:rsidP="007968EC">
      <w:pPr>
        <w:autoSpaceDE w:val="0"/>
        <w:autoSpaceDN w:val="0"/>
        <w:adjustRightInd w:val="0"/>
        <w:jc w:val="both"/>
        <w:rPr>
          <w:rFonts w:ascii="Arial Narrow" w:eastAsia="Calibri" w:hAnsi="Arial Narrow" w:cs="Arial"/>
          <w:bCs/>
          <w:color w:val="000000" w:themeColor="text1"/>
        </w:rPr>
      </w:pPr>
    </w:p>
    <w:p w14:paraId="31841F47" w14:textId="77777777" w:rsidR="007968EC" w:rsidRPr="00676F5B" w:rsidRDefault="007968EC" w:rsidP="007968EC">
      <w:pPr>
        <w:autoSpaceDE w:val="0"/>
        <w:autoSpaceDN w:val="0"/>
        <w:adjustRightInd w:val="0"/>
        <w:jc w:val="both"/>
        <w:rPr>
          <w:rFonts w:ascii="Arial Narrow" w:eastAsia="Calibri" w:hAnsi="Arial Narrow" w:cs="Arial"/>
          <w:bCs/>
          <w:color w:val="000000" w:themeColor="text1"/>
        </w:rPr>
      </w:pPr>
      <w:r w:rsidRPr="00676F5B">
        <w:rPr>
          <w:rFonts w:ascii="Arial Narrow" w:eastAsia="Calibri" w:hAnsi="Arial Narrow" w:cs="Arial"/>
          <w:bCs/>
          <w:color w:val="000000" w:themeColor="text1"/>
        </w:rPr>
        <w:t xml:space="preserve">Si bien los Activos, las Operaciones Susceptibles de ser Aceptadas y las Operaciones Aceptadas que hacen parte del Segmento Swaps corresponden a Instrumentos Financieros Derivados No Estandarizados, el criterio de agrupación obedece a que el modelo de riesgos y el sistema para la Compensación y Liquidación de los Swaps es distinto al empleado para los demás Instrumentos Financieros Derivados No Estandarizados agrupados en el Segmento de Derivados Financieros. </w:t>
      </w:r>
    </w:p>
    <w:p w14:paraId="34B0B611" w14:textId="77777777" w:rsidR="007968EC" w:rsidRPr="00676F5B" w:rsidRDefault="007968EC" w:rsidP="007968EC">
      <w:pPr>
        <w:autoSpaceDE w:val="0"/>
        <w:autoSpaceDN w:val="0"/>
        <w:adjustRightInd w:val="0"/>
        <w:jc w:val="both"/>
        <w:rPr>
          <w:rFonts w:ascii="Arial Narrow" w:eastAsia="Calibri" w:hAnsi="Arial Narrow" w:cs="Arial"/>
          <w:bCs/>
          <w:color w:val="000000" w:themeColor="text1"/>
        </w:rPr>
      </w:pPr>
    </w:p>
    <w:p w14:paraId="7A458AC1" w14:textId="77777777" w:rsidR="007968EC" w:rsidRPr="00676F5B" w:rsidRDefault="007968EC" w:rsidP="007968EC">
      <w:pPr>
        <w:autoSpaceDE w:val="0"/>
        <w:autoSpaceDN w:val="0"/>
        <w:adjustRightInd w:val="0"/>
        <w:jc w:val="both"/>
        <w:rPr>
          <w:rFonts w:ascii="Arial Narrow" w:eastAsia="Calibri" w:hAnsi="Arial Narrow" w:cs="Arial"/>
          <w:bCs/>
          <w:color w:val="000000" w:themeColor="text1"/>
        </w:rPr>
      </w:pPr>
      <w:r w:rsidRPr="00676F5B">
        <w:rPr>
          <w:rFonts w:ascii="Arial Narrow" w:eastAsia="Calibri" w:hAnsi="Arial Narrow" w:cs="Arial"/>
          <w:bCs/>
          <w:color w:val="000000" w:themeColor="text1"/>
        </w:rPr>
        <w:t>De conformidad con lo anterior en el Segmento Swaps se agrupan los siguientes Activos, Operaciones Susceptibles de ser Aceptadas y Operaciones Aceptadas de que son objeto:</w:t>
      </w:r>
    </w:p>
    <w:p w14:paraId="58E9137C" w14:textId="77777777" w:rsidR="007968EC" w:rsidRPr="00676F5B" w:rsidRDefault="007968EC" w:rsidP="007968EC">
      <w:pPr>
        <w:autoSpaceDE w:val="0"/>
        <w:autoSpaceDN w:val="0"/>
        <w:adjustRightInd w:val="0"/>
        <w:jc w:val="both"/>
        <w:rPr>
          <w:rFonts w:ascii="Arial Narrow" w:eastAsia="Calibri" w:hAnsi="Arial Narrow" w:cs="Arial"/>
          <w:bCs/>
          <w:color w:val="000000" w:themeColor="text1"/>
        </w:rPr>
      </w:pPr>
    </w:p>
    <w:p w14:paraId="009D622E" w14:textId="77777777" w:rsidR="007968EC" w:rsidRPr="00676F5B" w:rsidRDefault="007968EC" w:rsidP="00DA7472">
      <w:pPr>
        <w:numPr>
          <w:ilvl w:val="0"/>
          <w:numId w:val="313"/>
        </w:numPr>
        <w:autoSpaceDE w:val="0"/>
        <w:autoSpaceDN w:val="0"/>
        <w:adjustRightInd w:val="0"/>
        <w:jc w:val="both"/>
        <w:rPr>
          <w:rFonts w:ascii="Arial Narrow" w:eastAsia="Calibri" w:hAnsi="Arial Narrow" w:cs="Arial"/>
          <w:bCs/>
          <w:color w:val="000000" w:themeColor="text1"/>
        </w:rPr>
      </w:pPr>
      <w:r w:rsidRPr="00676F5B">
        <w:rPr>
          <w:rFonts w:ascii="Arial Narrow" w:eastAsia="Calibri" w:hAnsi="Arial Narrow" w:cs="Arial"/>
          <w:bCs/>
          <w:color w:val="000000" w:themeColor="text1"/>
        </w:rPr>
        <w:t>IRS.</w:t>
      </w:r>
    </w:p>
    <w:p w14:paraId="30CC21EE" w14:textId="77777777" w:rsidR="007968EC" w:rsidRPr="00C74188" w:rsidRDefault="007968EC" w:rsidP="00DA7472">
      <w:pPr>
        <w:numPr>
          <w:ilvl w:val="0"/>
          <w:numId w:val="313"/>
        </w:numPr>
        <w:autoSpaceDE w:val="0"/>
        <w:autoSpaceDN w:val="0"/>
        <w:adjustRightInd w:val="0"/>
        <w:jc w:val="both"/>
        <w:rPr>
          <w:rFonts w:ascii="Arial Narrow" w:hAnsi="Arial Narrow" w:cs="Arial"/>
          <w:color w:val="000000" w:themeColor="text1"/>
          <w:lang w:val="es-ES" w:eastAsia="es-ES"/>
        </w:rPr>
      </w:pPr>
      <w:r>
        <w:rPr>
          <w:rFonts w:ascii="Arial Narrow" w:eastAsia="Calibri" w:hAnsi="Arial Narrow" w:cs="Arial"/>
          <w:bCs/>
          <w:color w:val="000000" w:themeColor="text1"/>
          <w:lang w:val="en-US"/>
        </w:rPr>
        <w:t>OIS</w:t>
      </w:r>
      <w:r w:rsidRPr="00676F5B">
        <w:rPr>
          <w:rFonts w:ascii="Arial Narrow" w:hAnsi="Arial Narrow" w:cs="Verdana"/>
          <w:color w:val="000000"/>
          <w:lang w:val="en-US" w:eastAsia="es-ES"/>
        </w:rPr>
        <w:t>.</w:t>
      </w:r>
    </w:p>
    <w:p w14:paraId="223E692D" w14:textId="77777777" w:rsidR="007968EC" w:rsidRPr="00C74188" w:rsidRDefault="007968EC" w:rsidP="00DA7472">
      <w:pPr>
        <w:numPr>
          <w:ilvl w:val="0"/>
          <w:numId w:val="313"/>
        </w:numPr>
        <w:autoSpaceDE w:val="0"/>
        <w:autoSpaceDN w:val="0"/>
        <w:adjustRightInd w:val="0"/>
        <w:jc w:val="both"/>
        <w:rPr>
          <w:rFonts w:ascii="Arial Narrow" w:hAnsi="Arial Narrow" w:cs="Arial"/>
          <w:color w:val="000000" w:themeColor="text1"/>
          <w:lang w:val="en-US" w:eastAsia="es-ES"/>
        </w:rPr>
      </w:pPr>
      <w:r w:rsidRPr="00A5131A">
        <w:rPr>
          <w:rFonts w:ascii="Arial Narrow" w:hAnsi="Arial Narrow" w:cs="Arial"/>
          <w:color w:val="000000" w:themeColor="text1"/>
          <w:lang w:val="en-US" w:eastAsia="es-ES"/>
        </w:rPr>
        <w:t xml:space="preserve">Cross Currency </w:t>
      </w:r>
      <w:r w:rsidRPr="00902179">
        <w:rPr>
          <w:rFonts w:ascii="Arial Narrow" w:hAnsi="Arial Narrow" w:cs="Arial"/>
          <w:color w:val="000000" w:themeColor="text1"/>
          <w:lang w:val="en-US" w:eastAsia="es-ES"/>
        </w:rPr>
        <w:t xml:space="preserve">Basis </w:t>
      </w:r>
      <w:r w:rsidRPr="00A5131A">
        <w:rPr>
          <w:rFonts w:ascii="Arial Narrow" w:hAnsi="Arial Narrow" w:cs="Arial"/>
          <w:color w:val="000000" w:themeColor="text1"/>
          <w:lang w:val="en-US" w:eastAsia="es-ES"/>
        </w:rPr>
        <w:t xml:space="preserve">Swap </w:t>
      </w:r>
      <w:r w:rsidRPr="00BB43B3">
        <w:rPr>
          <w:rFonts w:ascii="Arial Narrow" w:hAnsi="Arial Narrow" w:cs="Arial"/>
          <w:color w:val="000000" w:themeColor="text1"/>
          <w:lang w:val="en-US" w:eastAsia="es-ES"/>
        </w:rPr>
        <w:t xml:space="preserve">Overnight </w:t>
      </w:r>
      <w:r>
        <w:rPr>
          <w:rFonts w:ascii="Arial Narrow" w:hAnsi="Arial Narrow" w:cs="Arial"/>
          <w:color w:val="000000" w:themeColor="text1"/>
          <w:lang w:val="en-US" w:eastAsia="es-ES"/>
        </w:rPr>
        <w:t>(CC</w:t>
      </w:r>
      <w:r w:rsidRPr="00A5131A">
        <w:rPr>
          <w:rFonts w:ascii="Arial Narrow" w:hAnsi="Arial Narrow" w:cs="Arial"/>
          <w:color w:val="000000" w:themeColor="text1"/>
          <w:lang w:val="en-US" w:eastAsia="es-ES"/>
        </w:rPr>
        <w:t>B</w:t>
      </w:r>
      <w:r>
        <w:rPr>
          <w:rFonts w:ascii="Arial Narrow" w:hAnsi="Arial Narrow" w:cs="Arial"/>
          <w:color w:val="000000" w:themeColor="text1"/>
          <w:lang w:val="en-US" w:eastAsia="es-ES"/>
        </w:rPr>
        <w:t>S</w:t>
      </w:r>
      <w:r w:rsidRPr="00A5131A">
        <w:rPr>
          <w:rFonts w:ascii="Arial Narrow" w:hAnsi="Arial Narrow" w:cs="Arial"/>
          <w:color w:val="000000" w:themeColor="text1"/>
          <w:lang w:val="en-US" w:eastAsia="es-ES"/>
        </w:rPr>
        <w:t>O)</w:t>
      </w:r>
      <w:r>
        <w:rPr>
          <w:rFonts w:ascii="Arial Narrow" w:hAnsi="Arial Narrow" w:cs="Arial"/>
          <w:color w:val="000000" w:themeColor="text1"/>
          <w:lang w:val="en-US" w:eastAsia="es-ES"/>
        </w:rPr>
        <w:t>.</w:t>
      </w:r>
    </w:p>
    <w:p w14:paraId="4F55ADCA" w14:textId="77777777" w:rsidR="007968EC" w:rsidRPr="00C74188" w:rsidRDefault="007968EC" w:rsidP="007968EC">
      <w:pPr>
        <w:autoSpaceDE w:val="0"/>
        <w:autoSpaceDN w:val="0"/>
        <w:adjustRightInd w:val="0"/>
        <w:jc w:val="both"/>
        <w:rPr>
          <w:rFonts w:ascii="Arial Narrow" w:eastAsia="Calibri" w:hAnsi="Arial Narrow" w:cs="Arial"/>
          <w:lang w:val="en-US" w:eastAsia="es-ES"/>
        </w:rPr>
      </w:pPr>
    </w:p>
    <w:p w14:paraId="24F8F6B0" w14:textId="77777777" w:rsidR="007968EC" w:rsidRPr="00676F5B" w:rsidRDefault="007968EC" w:rsidP="007968EC">
      <w:pPr>
        <w:autoSpaceDE w:val="0"/>
        <w:autoSpaceDN w:val="0"/>
        <w:adjustRightInd w:val="0"/>
        <w:jc w:val="both"/>
        <w:rPr>
          <w:rFonts w:ascii="Arial Narrow" w:eastAsia="Calibri" w:hAnsi="Arial Narrow" w:cs="Arial"/>
          <w:lang w:eastAsia="es-ES"/>
        </w:rPr>
      </w:pPr>
      <w:r w:rsidRPr="00676F5B">
        <w:rPr>
          <w:rFonts w:ascii="Arial Narrow" w:eastAsia="Calibri" w:hAnsi="Arial Narrow" w:cs="Arial"/>
          <w:lang w:eastAsia="es-ES"/>
        </w:rPr>
        <w:t>En el Segmento Swaps no se agrupan los:</w:t>
      </w:r>
    </w:p>
    <w:p w14:paraId="7E1C8710" w14:textId="77777777" w:rsidR="007968EC" w:rsidRPr="00676F5B" w:rsidRDefault="007968EC" w:rsidP="007968EC">
      <w:pPr>
        <w:autoSpaceDE w:val="0"/>
        <w:autoSpaceDN w:val="0"/>
        <w:adjustRightInd w:val="0"/>
        <w:jc w:val="both"/>
        <w:rPr>
          <w:rFonts w:ascii="Arial Narrow" w:eastAsia="Calibri" w:hAnsi="Arial Narrow"/>
          <w:bCs/>
          <w:color w:val="000000" w:themeColor="text1"/>
        </w:rPr>
      </w:pPr>
    </w:p>
    <w:p w14:paraId="27767BCE" w14:textId="77777777" w:rsidR="007968EC" w:rsidRPr="008E3CAA" w:rsidRDefault="007968EC" w:rsidP="00DA7472">
      <w:pPr>
        <w:numPr>
          <w:ilvl w:val="0"/>
          <w:numId w:val="313"/>
        </w:numPr>
        <w:autoSpaceDE w:val="0"/>
        <w:autoSpaceDN w:val="0"/>
        <w:adjustRightInd w:val="0"/>
        <w:jc w:val="both"/>
        <w:rPr>
          <w:rFonts w:ascii="Arial Narrow" w:eastAsia="Calibri" w:hAnsi="Arial Narrow" w:cs="Arial"/>
          <w:bCs/>
          <w:color w:val="000000" w:themeColor="text1"/>
        </w:rPr>
      </w:pPr>
      <w:r>
        <w:rPr>
          <w:rFonts w:ascii="Arial Narrow" w:eastAsia="Calibri" w:hAnsi="Arial Narrow" w:cs="Arial"/>
          <w:bCs/>
          <w:color w:val="000000" w:themeColor="text1"/>
        </w:rPr>
        <w:t>OIS IBR de Formación,</w:t>
      </w:r>
      <w:r w:rsidRPr="008E3CAA">
        <w:t xml:space="preserve"> </w:t>
      </w:r>
      <w:r w:rsidRPr="008E3CAA">
        <w:rPr>
          <w:rFonts w:ascii="Arial Narrow" w:eastAsia="Calibri" w:hAnsi="Arial Narrow" w:cs="Arial"/>
          <w:bCs/>
          <w:color w:val="000000" w:themeColor="text1"/>
        </w:rPr>
        <w:t>de acuerdo con lo definido en el artículo 2.7.2.21.</w:t>
      </w:r>
    </w:p>
    <w:p w14:paraId="07786595" w14:textId="77777777" w:rsidR="007968EC" w:rsidRPr="00AF2413" w:rsidRDefault="007968EC" w:rsidP="00DA7472">
      <w:pPr>
        <w:numPr>
          <w:ilvl w:val="0"/>
          <w:numId w:val="313"/>
        </w:numPr>
        <w:autoSpaceDE w:val="0"/>
        <w:autoSpaceDN w:val="0"/>
        <w:adjustRightInd w:val="0"/>
        <w:jc w:val="both"/>
        <w:rPr>
          <w:rFonts w:ascii="Arial Narrow" w:eastAsia="Calibri" w:hAnsi="Arial Narrow" w:cs="Arial"/>
          <w:bCs/>
          <w:color w:val="000000" w:themeColor="text1"/>
        </w:rPr>
      </w:pPr>
      <w:r w:rsidRPr="008E3CAA">
        <w:rPr>
          <w:rFonts w:ascii="Arial Narrow" w:eastAsia="Calibri" w:hAnsi="Arial Narrow"/>
          <w:bCs/>
          <w:color w:val="000000" w:themeColor="text1"/>
        </w:rPr>
        <w:t xml:space="preserve">OIS IBR, </w:t>
      </w:r>
      <w:r w:rsidRPr="008E3CAA">
        <w:rPr>
          <w:rFonts w:ascii="Arial Narrow" w:eastAsia="Calibri" w:hAnsi="Arial Narrow" w:cs="Arial"/>
          <w:bCs/>
          <w:color w:val="000000" w:themeColor="text1"/>
        </w:rPr>
        <w:t xml:space="preserve">de acuerdo con lo </w:t>
      </w:r>
      <w:r>
        <w:rPr>
          <w:rFonts w:ascii="Arial Narrow" w:eastAsia="Calibri" w:hAnsi="Arial Narrow" w:cs="Arial"/>
          <w:bCs/>
          <w:color w:val="000000" w:themeColor="text1"/>
        </w:rPr>
        <w:t>definido en el artículo 2.7.2.22.</w:t>
      </w:r>
    </w:p>
    <w:p w14:paraId="30DDAD24" w14:textId="77777777" w:rsidR="007968EC" w:rsidRPr="008E3CAA" w:rsidRDefault="007968EC" w:rsidP="007968EC">
      <w:pPr>
        <w:jc w:val="both"/>
        <w:rPr>
          <w:rFonts w:ascii="Arial Narrow" w:eastAsia="Calibri" w:hAnsi="Arial Narrow"/>
        </w:rPr>
      </w:pPr>
    </w:p>
    <w:p w14:paraId="434817C4" w14:textId="77777777" w:rsidR="007968EC" w:rsidRPr="00015912" w:rsidRDefault="007968EC" w:rsidP="007968EC">
      <w:pPr>
        <w:autoSpaceDE w:val="0"/>
        <w:autoSpaceDN w:val="0"/>
        <w:adjustRightInd w:val="0"/>
        <w:jc w:val="both"/>
        <w:rPr>
          <w:rFonts w:ascii="Arial Narrow" w:eastAsia="Calibri" w:hAnsi="Arial Narrow" w:cs="Arial"/>
          <w:bCs/>
          <w:color w:val="000000" w:themeColor="text1"/>
        </w:rPr>
      </w:pPr>
      <w:r w:rsidRPr="00015912">
        <w:rPr>
          <w:rFonts w:ascii="Arial Narrow" w:eastAsia="Calibri" w:hAnsi="Arial Narrow" w:cs="Arial"/>
          <w:bCs/>
          <w:color w:val="000000" w:themeColor="text1"/>
        </w:rPr>
        <w:t>Siempre que en la presente Circular, dentro del Segmento Swaps, se utilice la expresión Operaciones Swaps se entenderá que se refiere únicamente a las operaciones agrupadas en dicho Segmento.</w:t>
      </w:r>
    </w:p>
    <w:p w14:paraId="3FC4A44D" w14:textId="77777777" w:rsidR="007968EC" w:rsidRPr="002C0D19" w:rsidRDefault="007968EC" w:rsidP="007968EC">
      <w:pPr>
        <w:autoSpaceDE w:val="0"/>
        <w:autoSpaceDN w:val="0"/>
        <w:adjustRightInd w:val="0"/>
        <w:jc w:val="both"/>
        <w:rPr>
          <w:rFonts w:ascii="Arial Narrow" w:hAnsi="Arial Narrow" w:cs="Arial"/>
          <w:b/>
          <w:color w:val="000000" w:themeColor="text1"/>
          <w:lang w:eastAsia="es-ES"/>
        </w:rPr>
      </w:pPr>
    </w:p>
    <w:p w14:paraId="75DFFF9A" w14:textId="77777777" w:rsidR="007968EC" w:rsidRDefault="007968EC" w:rsidP="007968EC">
      <w:pPr>
        <w:pStyle w:val="ARTICULO0"/>
      </w:pPr>
      <w:bookmarkStart w:id="238" w:name="_Toc472592031"/>
      <w:bookmarkStart w:id="239" w:name="_Toc472593050"/>
      <w:bookmarkStart w:id="240" w:name="_Toc479056836"/>
      <w:bookmarkStart w:id="241" w:name="_Toc31715841"/>
      <w:bookmarkStart w:id="242" w:name="_Toc470775335"/>
      <w:bookmarkStart w:id="243" w:name="_Toc470779621"/>
      <w:bookmarkStart w:id="244" w:name="_Toc470780238"/>
      <w:bookmarkStart w:id="245" w:name="_Toc470780751"/>
      <w:bookmarkStart w:id="246" w:name="_Toc470784312"/>
      <w:bookmarkStart w:id="247" w:name="_Toc470784849"/>
      <w:bookmarkStart w:id="248" w:name="_Toc470786334"/>
      <w:bookmarkStart w:id="249" w:name="_Toc470786872"/>
      <w:bookmarkStart w:id="250" w:name="_Toc470791225"/>
      <w:bookmarkStart w:id="251" w:name="_Toc490066128"/>
      <w:r w:rsidRPr="002C0D19">
        <w:t>Artículo 1.1.2.3. Cese de actividades respecto de un Segmento.</w:t>
      </w:r>
      <w:bookmarkEnd w:id="238"/>
      <w:bookmarkEnd w:id="239"/>
      <w:bookmarkEnd w:id="240"/>
      <w:bookmarkEnd w:id="241"/>
      <w:r w:rsidRPr="002C0D19">
        <w:t xml:space="preserve"> </w:t>
      </w:r>
    </w:p>
    <w:p w14:paraId="2D5DAAC9" w14:textId="77777777" w:rsidR="007968EC" w:rsidRDefault="007968EC" w:rsidP="007968EC">
      <w:pPr>
        <w:pStyle w:val="ANTECEDENTES"/>
      </w:pPr>
    </w:p>
    <w:p w14:paraId="7D6DB3F6" w14:textId="77777777" w:rsidR="007968EC" w:rsidRPr="002C0D19" w:rsidRDefault="007968EC" w:rsidP="007968EC">
      <w:pPr>
        <w:pStyle w:val="ANTECEDENTES"/>
        <w:rPr>
          <w:u w:val="single"/>
        </w:rPr>
      </w:pPr>
      <w:r w:rsidRPr="002C0D19">
        <w:t>(Este artículo fue adicionado mediante Circular 19 del 28 de diciembre de 2016, publicada en el Boletín Normativo No. 024 del 28 de diciembre de 2010</w:t>
      </w:r>
      <w:r w:rsidRPr="002C0D19">
        <w:rPr>
          <w:lang w:val="es-ES"/>
        </w:rPr>
        <w:t>. Rige a partir del 29 de diciembre de 2016.)</w:t>
      </w:r>
      <w:bookmarkEnd w:id="242"/>
      <w:bookmarkEnd w:id="243"/>
      <w:bookmarkEnd w:id="244"/>
      <w:bookmarkEnd w:id="245"/>
      <w:bookmarkEnd w:id="246"/>
      <w:bookmarkEnd w:id="247"/>
      <w:bookmarkEnd w:id="248"/>
      <w:bookmarkEnd w:id="249"/>
      <w:bookmarkEnd w:id="250"/>
      <w:bookmarkEnd w:id="251"/>
      <w:r w:rsidRPr="002C0D19">
        <w:rPr>
          <w:lang w:val="es-ES"/>
        </w:rPr>
        <w:t xml:space="preserve">     </w:t>
      </w:r>
    </w:p>
    <w:p w14:paraId="749DE77D" w14:textId="77777777" w:rsidR="007968EC" w:rsidRPr="002C0D19" w:rsidRDefault="007968EC" w:rsidP="007968EC">
      <w:pPr>
        <w:jc w:val="both"/>
        <w:rPr>
          <w:rFonts w:ascii="Arial Narrow" w:hAnsi="Arial Narrow" w:cs="Arial"/>
          <w:color w:val="000000" w:themeColor="text1"/>
          <w:lang w:eastAsia="es-ES"/>
        </w:rPr>
      </w:pPr>
    </w:p>
    <w:p w14:paraId="68C6A1D1" w14:textId="77777777" w:rsidR="007968EC" w:rsidRPr="002C0D19" w:rsidRDefault="007968EC" w:rsidP="007968EC">
      <w:pPr>
        <w:autoSpaceDE w:val="0"/>
        <w:autoSpaceDN w:val="0"/>
        <w:adjustRightInd w:val="0"/>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De conformidad con lo establecido en el último inciso del artículo 1.3.5.  del Reglamento, la Cámara podrá decidir el cese de las actividades respecto de cualquier Segmento de conformidad con el procedimiento que establezca mediante Instructivo Operativo</w:t>
      </w:r>
    </w:p>
    <w:p w14:paraId="273AAF10" w14:textId="77777777" w:rsidR="007968EC" w:rsidRPr="002C0D19" w:rsidRDefault="007968EC" w:rsidP="007968EC">
      <w:pPr>
        <w:autoSpaceDE w:val="0"/>
        <w:autoSpaceDN w:val="0"/>
        <w:adjustRightInd w:val="0"/>
        <w:jc w:val="both"/>
        <w:rPr>
          <w:rFonts w:ascii="Arial Narrow" w:hAnsi="Arial Narrow" w:cs="Arial"/>
          <w:color w:val="000000" w:themeColor="text1"/>
          <w:lang w:eastAsia="es-ES"/>
        </w:rPr>
      </w:pPr>
    </w:p>
    <w:p w14:paraId="115AAE04" w14:textId="77777777" w:rsidR="007968EC" w:rsidRDefault="007968EC" w:rsidP="007968EC">
      <w:pPr>
        <w:pStyle w:val="ARTICULO0"/>
      </w:pPr>
      <w:bookmarkStart w:id="252" w:name="_Toc472592032"/>
      <w:bookmarkStart w:id="253" w:name="_Toc472593051"/>
      <w:bookmarkStart w:id="254" w:name="_Toc479056837"/>
      <w:bookmarkStart w:id="255" w:name="_Toc31715842"/>
      <w:bookmarkStart w:id="256" w:name="_Toc470775336"/>
      <w:bookmarkStart w:id="257" w:name="_Toc470779622"/>
      <w:bookmarkStart w:id="258" w:name="_Toc470780239"/>
      <w:bookmarkStart w:id="259" w:name="_Toc470780752"/>
      <w:bookmarkStart w:id="260" w:name="_Toc470784313"/>
      <w:bookmarkStart w:id="261" w:name="_Toc470784850"/>
      <w:bookmarkStart w:id="262" w:name="_Toc470786335"/>
      <w:bookmarkStart w:id="263" w:name="_Toc470786873"/>
      <w:bookmarkStart w:id="264" w:name="_Toc470791226"/>
      <w:bookmarkStart w:id="265" w:name="_Toc490066129"/>
      <w:r w:rsidRPr="002C0D19">
        <w:t>Artículo 1.1.2.4. Transitorio.</w:t>
      </w:r>
      <w:bookmarkEnd w:id="252"/>
      <w:bookmarkEnd w:id="253"/>
      <w:bookmarkEnd w:id="254"/>
      <w:bookmarkEnd w:id="255"/>
      <w:r w:rsidRPr="002C0D19">
        <w:t xml:space="preserve"> </w:t>
      </w:r>
    </w:p>
    <w:p w14:paraId="5ED28194" w14:textId="77777777" w:rsidR="007968EC" w:rsidRDefault="007968EC" w:rsidP="007968EC">
      <w:pPr>
        <w:pStyle w:val="ANTECEDENTES"/>
      </w:pPr>
    </w:p>
    <w:p w14:paraId="4CC1F876" w14:textId="77777777" w:rsidR="007968EC" w:rsidRPr="002C0D19" w:rsidRDefault="007968EC" w:rsidP="007968EC">
      <w:pPr>
        <w:pStyle w:val="ANTECEDENTES"/>
        <w:rPr>
          <w:u w:val="single"/>
        </w:rPr>
      </w:pPr>
      <w:r w:rsidRPr="002C0D19">
        <w:t>(Este artículo fue adicionado mediante Circular 19 del 28 de diciembre de 2016, publicada en el Boletín Normativo No. 024 del 28 de diciembre de 2010</w:t>
      </w:r>
      <w:r w:rsidRPr="002C0D19">
        <w:rPr>
          <w:lang w:val="es-ES"/>
        </w:rPr>
        <w:t>. Rige a partir del 29 de diciembre de 2016.)</w:t>
      </w:r>
      <w:bookmarkEnd w:id="256"/>
      <w:bookmarkEnd w:id="257"/>
      <w:bookmarkEnd w:id="258"/>
      <w:bookmarkEnd w:id="259"/>
      <w:bookmarkEnd w:id="260"/>
      <w:bookmarkEnd w:id="261"/>
      <w:bookmarkEnd w:id="262"/>
      <w:bookmarkEnd w:id="263"/>
      <w:bookmarkEnd w:id="264"/>
      <w:bookmarkEnd w:id="265"/>
      <w:r w:rsidRPr="002C0D19">
        <w:rPr>
          <w:lang w:val="es-ES"/>
        </w:rPr>
        <w:t xml:space="preserve">     </w:t>
      </w:r>
    </w:p>
    <w:p w14:paraId="48659DB5" w14:textId="77777777" w:rsidR="007968EC" w:rsidRPr="002C0D19" w:rsidRDefault="007968EC" w:rsidP="007968EC">
      <w:pPr>
        <w:jc w:val="both"/>
        <w:rPr>
          <w:rFonts w:ascii="Arial Narrow" w:hAnsi="Arial Narrow" w:cs="Arial"/>
          <w:color w:val="000000" w:themeColor="text1"/>
          <w:lang w:eastAsia="es-ES"/>
        </w:rPr>
      </w:pPr>
    </w:p>
    <w:p w14:paraId="7D601698" w14:textId="77777777" w:rsidR="007968EC" w:rsidRPr="002C0D19" w:rsidRDefault="007968EC" w:rsidP="007968EC">
      <w:pPr>
        <w:autoSpaceDE w:val="0"/>
        <w:autoSpaceDN w:val="0"/>
        <w:adjustRightInd w:val="0"/>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Los Miembros que a la fecha de entrada en vigencia de la Circular que implemente los Segmentos para la Compensación y Liquidación tengan o hayan tenido Posición Abierta en los Activos y en las Operaciones Aceptadas de las que son objeto que pertenezcan a un Segmento específico, podrán participar en la modalidad en que se encuentren admitidos en la Cámara, en la Compensación y Liquidación de tal Segmentos, sin necesidad de adelantar el trámite de ingreso al mismo.</w:t>
      </w:r>
    </w:p>
    <w:p w14:paraId="6A4FD05C" w14:textId="77777777" w:rsidR="007968EC" w:rsidRPr="002C0D19" w:rsidRDefault="007968EC" w:rsidP="007968EC">
      <w:pPr>
        <w:autoSpaceDE w:val="0"/>
        <w:autoSpaceDN w:val="0"/>
        <w:adjustRightInd w:val="0"/>
        <w:jc w:val="both"/>
        <w:rPr>
          <w:rFonts w:ascii="Arial Narrow" w:hAnsi="Arial Narrow" w:cs="Arial"/>
          <w:color w:val="000000" w:themeColor="text1"/>
          <w:lang w:eastAsia="es-ES"/>
        </w:rPr>
      </w:pPr>
    </w:p>
    <w:p w14:paraId="12F93F1A" w14:textId="77777777" w:rsidR="007968EC" w:rsidRPr="002C0D19" w:rsidRDefault="007968EC" w:rsidP="007968EC">
      <w:pPr>
        <w:pStyle w:val="ANTECEDENTES"/>
      </w:pPr>
    </w:p>
    <w:p w14:paraId="7EF68E93" w14:textId="77777777" w:rsidR="007968EC" w:rsidRPr="002C0D19" w:rsidRDefault="007968EC" w:rsidP="007968EC">
      <w:pPr>
        <w:pStyle w:val="TTULO"/>
        <w:rPr>
          <w:lang w:val="es-ES"/>
        </w:rPr>
      </w:pPr>
      <w:bookmarkStart w:id="266" w:name="_Toc470775337"/>
      <w:bookmarkStart w:id="267" w:name="_Toc470779623"/>
      <w:bookmarkStart w:id="268" w:name="_Toc470780240"/>
      <w:bookmarkStart w:id="269" w:name="_Toc470780753"/>
      <w:bookmarkStart w:id="270" w:name="_Toc470784314"/>
      <w:bookmarkStart w:id="271" w:name="_Toc470784851"/>
      <w:bookmarkStart w:id="272" w:name="_Toc470786336"/>
      <w:bookmarkStart w:id="273" w:name="_Toc470786874"/>
      <w:bookmarkStart w:id="274" w:name="_Toc470791227"/>
      <w:bookmarkStart w:id="275" w:name="_Toc472592033"/>
      <w:bookmarkStart w:id="276" w:name="_Toc472593052"/>
      <w:bookmarkStart w:id="277" w:name="_Toc479056838"/>
      <w:bookmarkStart w:id="278" w:name="_Toc490066130"/>
      <w:bookmarkStart w:id="279" w:name="_Toc31715843"/>
      <w:r w:rsidRPr="002C0D19">
        <w:rPr>
          <w:lang w:val="es-ES"/>
        </w:rPr>
        <w:t>TÍTULO SEGUNDO</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53C89E34" w14:textId="77777777" w:rsidR="007968EC" w:rsidRPr="002C0D19" w:rsidRDefault="007968EC" w:rsidP="007968EC">
      <w:pPr>
        <w:pStyle w:val="ANTECEDENTES"/>
      </w:pPr>
    </w:p>
    <w:p w14:paraId="526A1405" w14:textId="77777777" w:rsidR="007968EC" w:rsidRPr="002C0D19" w:rsidRDefault="007968EC" w:rsidP="007968EC">
      <w:pPr>
        <w:pStyle w:val="TTULO"/>
        <w:rPr>
          <w:lang w:val="es-ES"/>
        </w:rPr>
      </w:pPr>
      <w:bookmarkStart w:id="280" w:name="_Toc470775338"/>
      <w:bookmarkStart w:id="281" w:name="_Toc470779624"/>
      <w:bookmarkStart w:id="282" w:name="_Toc470780241"/>
      <w:bookmarkStart w:id="283" w:name="_Toc470780754"/>
      <w:bookmarkStart w:id="284" w:name="_Toc470784315"/>
      <w:bookmarkStart w:id="285" w:name="_Toc470784852"/>
      <w:bookmarkStart w:id="286" w:name="_Toc470786337"/>
      <w:bookmarkStart w:id="287" w:name="_Toc470786875"/>
      <w:bookmarkStart w:id="288" w:name="_Toc470791228"/>
      <w:bookmarkStart w:id="289" w:name="_Toc472592034"/>
      <w:bookmarkStart w:id="290" w:name="_Toc472593053"/>
      <w:bookmarkStart w:id="291" w:name="_Toc479056839"/>
      <w:bookmarkStart w:id="292" w:name="_Toc490066131"/>
      <w:bookmarkStart w:id="293" w:name="_Toc31715844"/>
      <w:r w:rsidRPr="002C0D19">
        <w:rPr>
          <w:lang w:val="es-ES"/>
        </w:rPr>
        <w:t xml:space="preserve">MIEMBROS DE LA CÁMARA, </w:t>
      </w:r>
      <w:r w:rsidRPr="002C0D19">
        <w:rPr>
          <w:szCs w:val="20"/>
          <w:lang w:val="es-ES"/>
        </w:rPr>
        <w:t>AGENTES</w:t>
      </w:r>
      <w:r w:rsidRPr="002C0D19">
        <w:rPr>
          <w:lang w:val="es-ES"/>
        </w:rPr>
        <w:t>, TERCEROS Y ACCESO AL SISTEMA</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14:paraId="4A8EE992" w14:textId="77777777" w:rsidR="007968EC" w:rsidRPr="008C7EFE" w:rsidRDefault="007968EC" w:rsidP="007968EC">
      <w:pPr>
        <w:pStyle w:val="ANTECEDENTES"/>
      </w:pPr>
    </w:p>
    <w:p w14:paraId="67A35323" w14:textId="77777777" w:rsidR="007968EC" w:rsidRPr="002C0D19" w:rsidRDefault="007968EC" w:rsidP="007968EC">
      <w:pPr>
        <w:pStyle w:val="TTULO"/>
        <w:rPr>
          <w:lang w:val="es-ES"/>
        </w:rPr>
      </w:pPr>
      <w:bookmarkStart w:id="294" w:name="_Toc470775339"/>
      <w:bookmarkStart w:id="295" w:name="_Toc470779625"/>
      <w:bookmarkStart w:id="296" w:name="_Toc470780242"/>
      <w:bookmarkStart w:id="297" w:name="_Toc470780755"/>
      <w:bookmarkStart w:id="298" w:name="_Toc470784316"/>
      <w:bookmarkStart w:id="299" w:name="_Toc470784853"/>
      <w:bookmarkStart w:id="300" w:name="_Toc470786338"/>
      <w:bookmarkStart w:id="301" w:name="_Toc470786876"/>
      <w:bookmarkStart w:id="302" w:name="_Toc470791229"/>
      <w:bookmarkStart w:id="303" w:name="_Toc472592035"/>
      <w:bookmarkStart w:id="304" w:name="_Toc472593054"/>
      <w:bookmarkStart w:id="305" w:name="_Toc479056840"/>
      <w:bookmarkStart w:id="306" w:name="_Toc490066132"/>
      <w:bookmarkStart w:id="307" w:name="_Toc31715845"/>
      <w:r w:rsidRPr="002C0D19">
        <w:rPr>
          <w:szCs w:val="20"/>
          <w:lang w:val="es-ES"/>
        </w:rPr>
        <w:t>CAPÍTULO</w:t>
      </w:r>
      <w:r w:rsidRPr="002C0D19">
        <w:rPr>
          <w:lang w:val="es-ES"/>
        </w:rPr>
        <w:t xml:space="preserve"> PRIMERO</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7FB96264" w14:textId="77777777" w:rsidR="007968EC" w:rsidRPr="002C0D19" w:rsidRDefault="007968EC" w:rsidP="007968EC">
      <w:pPr>
        <w:pStyle w:val="ANTECEDENTES"/>
      </w:pPr>
    </w:p>
    <w:p w14:paraId="0600A020" w14:textId="77777777" w:rsidR="007968EC" w:rsidRPr="002C0D19" w:rsidRDefault="007968EC" w:rsidP="007968EC">
      <w:pPr>
        <w:pStyle w:val="TTULO"/>
        <w:rPr>
          <w:szCs w:val="20"/>
          <w:lang w:val="es-ES"/>
        </w:rPr>
      </w:pPr>
      <w:bookmarkStart w:id="308" w:name="_Toc470775340"/>
      <w:bookmarkStart w:id="309" w:name="_Toc470779626"/>
      <w:bookmarkStart w:id="310" w:name="_Toc470780243"/>
      <w:bookmarkStart w:id="311" w:name="_Toc470780756"/>
      <w:bookmarkStart w:id="312" w:name="_Toc470784317"/>
      <w:bookmarkStart w:id="313" w:name="_Toc470784854"/>
      <w:bookmarkStart w:id="314" w:name="_Toc470786339"/>
      <w:bookmarkStart w:id="315" w:name="_Toc470786877"/>
      <w:bookmarkStart w:id="316" w:name="_Toc470791230"/>
      <w:bookmarkStart w:id="317" w:name="_Toc472592036"/>
      <w:bookmarkStart w:id="318" w:name="_Toc472593055"/>
      <w:bookmarkStart w:id="319" w:name="_Toc479056841"/>
      <w:bookmarkStart w:id="320" w:name="_Toc490066133"/>
      <w:bookmarkStart w:id="321" w:name="_Toc31715846"/>
      <w:r w:rsidRPr="002C0D19">
        <w:rPr>
          <w:szCs w:val="20"/>
          <w:lang w:val="es-ES"/>
        </w:rPr>
        <w:t>REQUISITOS DE VINCULACIÓN, MODIFICACIÓN Y PERMANENCIA DE LOS MIEMBROS</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610BA099" w14:textId="77777777" w:rsidR="007968EC" w:rsidRPr="002C0D19" w:rsidRDefault="007968EC" w:rsidP="007968EC">
      <w:pPr>
        <w:jc w:val="center"/>
        <w:outlineLvl w:val="1"/>
        <w:rPr>
          <w:rFonts w:ascii="Arial Narrow" w:hAnsi="Arial Narrow" w:cs="Arial"/>
          <w:b/>
          <w:color w:val="000000" w:themeColor="text1"/>
          <w:lang w:eastAsia="es-ES"/>
        </w:rPr>
      </w:pPr>
    </w:p>
    <w:p w14:paraId="161CF789" w14:textId="77777777" w:rsidR="007968EC" w:rsidRDefault="007968EC" w:rsidP="007968EC">
      <w:pPr>
        <w:pStyle w:val="ARTICULO0"/>
      </w:pPr>
      <w:bookmarkStart w:id="322" w:name="_Toc206134798"/>
      <w:bookmarkStart w:id="323" w:name="_Toc472592037"/>
      <w:bookmarkStart w:id="324" w:name="_Toc472593056"/>
      <w:bookmarkStart w:id="325" w:name="_Toc479056842"/>
      <w:bookmarkStart w:id="326" w:name="_Toc31715847"/>
      <w:bookmarkStart w:id="327" w:name="_Toc470775341"/>
      <w:bookmarkStart w:id="328" w:name="_Toc470779627"/>
      <w:bookmarkStart w:id="329" w:name="_Toc470780244"/>
      <w:bookmarkStart w:id="330" w:name="_Toc470780757"/>
      <w:bookmarkStart w:id="331" w:name="_Toc470784318"/>
      <w:bookmarkStart w:id="332" w:name="_Toc470784855"/>
      <w:bookmarkStart w:id="333" w:name="_Toc470786340"/>
      <w:bookmarkStart w:id="334" w:name="_Toc470786878"/>
      <w:bookmarkStart w:id="335" w:name="_Toc470791231"/>
      <w:bookmarkStart w:id="336" w:name="_Toc490066134"/>
      <w:r w:rsidRPr="002C0D19">
        <w:t>Artículo 1.2.1.1. Documentos para solicitar la admisión como Miembro.</w:t>
      </w:r>
      <w:bookmarkEnd w:id="322"/>
      <w:bookmarkEnd w:id="323"/>
      <w:bookmarkEnd w:id="324"/>
      <w:bookmarkEnd w:id="325"/>
      <w:bookmarkEnd w:id="326"/>
      <w:r w:rsidRPr="002C0D19">
        <w:t xml:space="preserve"> </w:t>
      </w:r>
    </w:p>
    <w:p w14:paraId="7050F019" w14:textId="77777777" w:rsidR="007968EC" w:rsidRDefault="007968EC" w:rsidP="007968EC">
      <w:pPr>
        <w:keepNext/>
        <w:tabs>
          <w:tab w:val="left" w:pos="1701"/>
        </w:tabs>
        <w:jc w:val="both"/>
        <w:outlineLvl w:val="2"/>
        <w:rPr>
          <w:rFonts w:ascii="Arial Narrow" w:hAnsi="Arial Narrow" w:cs="Arial"/>
          <w:b/>
          <w:color w:val="000000" w:themeColor="text1"/>
          <w:lang w:eastAsia="es-ES"/>
        </w:rPr>
      </w:pPr>
    </w:p>
    <w:p w14:paraId="6C17EB29" w14:textId="77777777" w:rsidR="007968EC" w:rsidRPr="002C0D19" w:rsidRDefault="007968EC" w:rsidP="007968EC">
      <w:pPr>
        <w:pStyle w:val="ANTECEDENTES"/>
      </w:pPr>
      <w:r w:rsidRPr="002C0D19">
        <w:t xml:space="preserve">(Este artículo fue modificado mediante Circular 5 del 28 de noviembre de 2008, publicada en el Boletín Normativo No. 007 del 28 de noviembre de 2008, mediante Circular 8 del 18 de junio de 2009, publicada </w:t>
      </w:r>
      <w:r w:rsidRPr="002C0D19">
        <w:lastRenderedPageBreak/>
        <w:t>en el Boletín Normativo No. 010 del 18 de junio de 2009, mediante Circular 13 del 24 de agosto de 2010, publicada en el Boletín Normativo No. 015 del 24 de agosto de 2010, mediante Circular 8 del 4 de marzo de 2015, publicada en el Boletín Normativo No. 008 del 4 de marzo de 2015,  mediante Circular 11 del 27 de marzo de 2015, publicada en el Boletín Normativo No. 012 del 27 de marzo de 2015, mediante Circular 5 del 3 de febrero de 2016, publicada en el Boletín Normativo No. 005 del 3 de febrero de 2016, mediante Circular 17 del 15 de diciembre de 2016, publicada en el Boletín Normativo No. 021 del 15 de diciembre de 2016, mediante Circular 19 del 28 de diciembre de 2016, publicada en el Boletín Normativo No. 024 del 28 de diciembre de 2016 y mediante Circular 14 del 8 de agosto de 2017, publicada en el Boletín Normativo No. 015 del 8 de agosto de 2017. Rige a partir del 9 de agosto de 2017.)</w:t>
      </w:r>
      <w:bookmarkEnd w:id="327"/>
      <w:bookmarkEnd w:id="328"/>
      <w:bookmarkEnd w:id="329"/>
      <w:bookmarkEnd w:id="330"/>
      <w:bookmarkEnd w:id="331"/>
      <w:bookmarkEnd w:id="332"/>
      <w:bookmarkEnd w:id="333"/>
      <w:bookmarkEnd w:id="334"/>
      <w:bookmarkEnd w:id="335"/>
      <w:bookmarkEnd w:id="336"/>
    </w:p>
    <w:p w14:paraId="6CA57C4D" w14:textId="77777777" w:rsidR="007968EC" w:rsidRPr="002C0D19" w:rsidRDefault="007968EC" w:rsidP="007968EC">
      <w:pPr>
        <w:jc w:val="both"/>
        <w:rPr>
          <w:rFonts w:ascii="Arial Narrow" w:hAnsi="Arial Narrow" w:cs="Arial"/>
          <w:color w:val="000000" w:themeColor="text1"/>
          <w:lang w:val="es-ES" w:eastAsia="es-ES"/>
        </w:rPr>
      </w:pPr>
    </w:p>
    <w:p w14:paraId="239E9248"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lang w:val="es-ES" w:eastAsia="es-ES"/>
        </w:rPr>
        <w:t>De conformidad con lo establecido en el artículo 2.1.3. del Reglamento de Funcionamiento de la Cámara, la entidad interesada en ser admitida como Miembro deberá presentar ante el Gerente de la Cámara o ante quien éste designe, una solicitud escrita en tal sentido firmada por un representante legal debidamente facultado, acompañada de los siguientes documentos:</w:t>
      </w:r>
    </w:p>
    <w:p w14:paraId="155E94D3" w14:textId="77777777" w:rsidR="007968EC" w:rsidRPr="002C0D19" w:rsidRDefault="007968EC" w:rsidP="007968EC">
      <w:pPr>
        <w:jc w:val="both"/>
        <w:rPr>
          <w:rFonts w:ascii="Arial Narrow" w:hAnsi="Arial Narrow" w:cs="Arial"/>
          <w:lang w:val="es-ES" w:eastAsia="es-ES"/>
        </w:rPr>
      </w:pPr>
    </w:p>
    <w:p w14:paraId="68800CC3" w14:textId="77777777" w:rsidR="007968EC" w:rsidRPr="002C0D19" w:rsidRDefault="007968EC" w:rsidP="00DA7472">
      <w:pPr>
        <w:numPr>
          <w:ilvl w:val="0"/>
          <w:numId w:val="17"/>
        </w:numPr>
        <w:tabs>
          <w:tab w:val="left" w:pos="360"/>
        </w:tabs>
        <w:ind w:left="360"/>
        <w:jc w:val="both"/>
        <w:rPr>
          <w:rFonts w:ascii="Arial Narrow" w:hAnsi="Arial Narrow" w:cs="Arial"/>
          <w:lang w:val="es-ES" w:eastAsia="es-ES"/>
        </w:rPr>
      </w:pPr>
      <w:bookmarkStart w:id="337" w:name="_Toc470775342"/>
      <w:bookmarkStart w:id="338" w:name="_Toc470779628"/>
      <w:bookmarkStart w:id="339" w:name="_Toc470780245"/>
      <w:bookmarkStart w:id="340" w:name="_Toc470780758"/>
      <w:bookmarkStart w:id="341" w:name="_Toc470784319"/>
      <w:bookmarkStart w:id="342" w:name="_Toc470784856"/>
      <w:bookmarkStart w:id="343" w:name="_Toc470786341"/>
      <w:bookmarkStart w:id="344" w:name="_Toc470786879"/>
      <w:bookmarkStart w:id="345" w:name="_Toc470791232"/>
      <w:bookmarkStart w:id="346" w:name="_Toc471831441"/>
      <w:bookmarkStart w:id="347" w:name="_Toc490066135"/>
      <w:bookmarkStart w:id="348" w:name="_Toc490076522"/>
      <w:r w:rsidRPr="002C0D19">
        <w:rPr>
          <w:rFonts w:ascii="Arial Narrow" w:hAnsi="Arial Narrow" w:cs="Arial"/>
          <w:lang w:val="es-ES" w:eastAsia="es-ES"/>
        </w:rPr>
        <w:t>Carta de solicitud de admisión como Miembro en la cual se identifique(n) el(los) Segmento(s) en que el Miembro está interesado en participar en la Compensación y Liquidación, según el formato establecido en el Anexo 1.1.</w:t>
      </w:r>
      <w:bookmarkEnd w:id="337"/>
      <w:bookmarkEnd w:id="338"/>
      <w:bookmarkEnd w:id="339"/>
      <w:bookmarkEnd w:id="340"/>
      <w:bookmarkEnd w:id="341"/>
      <w:bookmarkEnd w:id="342"/>
      <w:bookmarkEnd w:id="343"/>
      <w:bookmarkEnd w:id="344"/>
      <w:bookmarkEnd w:id="345"/>
      <w:bookmarkEnd w:id="346"/>
      <w:bookmarkEnd w:id="347"/>
      <w:bookmarkEnd w:id="348"/>
    </w:p>
    <w:p w14:paraId="137671D4" w14:textId="77777777" w:rsidR="007968EC" w:rsidRPr="002C0D19" w:rsidRDefault="007968EC" w:rsidP="007968EC">
      <w:pPr>
        <w:tabs>
          <w:tab w:val="left" w:pos="360"/>
        </w:tabs>
        <w:ind w:left="360" w:hanging="360"/>
        <w:jc w:val="both"/>
        <w:rPr>
          <w:rFonts w:ascii="Arial Narrow" w:hAnsi="Arial Narrow" w:cs="Arial"/>
          <w:lang w:eastAsia="es-ES"/>
        </w:rPr>
      </w:pPr>
    </w:p>
    <w:p w14:paraId="41F99574" w14:textId="77777777" w:rsidR="007968EC" w:rsidRPr="002C0D19" w:rsidRDefault="007968EC" w:rsidP="00DA7472">
      <w:pPr>
        <w:numPr>
          <w:ilvl w:val="0"/>
          <w:numId w:val="17"/>
        </w:numPr>
        <w:tabs>
          <w:tab w:val="left" w:pos="360"/>
        </w:tabs>
        <w:ind w:left="360"/>
        <w:jc w:val="both"/>
        <w:rPr>
          <w:rFonts w:ascii="Arial Narrow" w:hAnsi="Arial Narrow" w:cs="Arial"/>
          <w:lang w:val="es-ES" w:eastAsia="es-ES"/>
        </w:rPr>
      </w:pPr>
      <w:r w:rsidRPr="002C0D19">
        <w:rPr>
          <w:rFonts w:ascii="Arial Narrow" w:hAnsi="Arial Narrow" w:cs="Arial"/>
          <w:lang w:val="es-ES" w:eastAsia="es-ES"/>
        </w:rPr>
        <w:t>Formulario de solicitud de admisión como Miembro, según el formato establecido en el Anexo 1.1.</w:t>
      </w:r>
    </w:p>
    <w:p w14:paraId="1EE748E7" w14:textId="77777777" w:rsidR="007968EC" w:rsidRPr="002C0D19" w:rsidRDefault="007968EC" w:rsidP="007968EC">
      <w:pPr>
        <w:tabs>
          <w:tab w:val="left" w:pos="360"/>
        </w:tabs>
        <w:ind w:left="360" w:hanging="360"/>
        <w:jc w:val="both"/>
        <w:rPr>
          <w:rFonts w:ascii="Arial Narrow" w:hAnsi="Arial Narrow" w:cs="Arial"/>
          <w:lang w:val="es-ES" w:eastAsia="es-ES"/>
        </w:rPr>
      </w:pPr>
    </w:p>
    <w:p w14:paraId="29E47D84" w14:textId="77777777" w:rsidR="007968EC" w:rsidRPr="002C0D19" w:rsidRDefault="007968EC" w:rsidP="00DA7472">
      <w:pPr>
        <w:numPr>
          <w:ilvl w:val="0"/>
          <w:numId w:val="17"/>
        </w:numPr>
        <w:tabs>
          <w:tab w:val="left" w:pos="360"/>
        </w:tabs>
        <w:ind w:left="360"/>
        <w:jc w:val="both"/>
        <w:rPr>
          <w:rFonts w:ascii="Arial Narrow" w:hAnsi="Arial Narrow" w:cs="Arial"/>
          <w:lang w:val="es-ES" w:eastAsia="es-ES"/>
        </w:rPr>
      </w:pPr>
      <w:r w:rsidRPr="002C0D19">
        <w:rPr>
          <w:rFonts w:ascii="Arial Narrow" w:hAnsi="Arial Narrow" w:cs="Arial"/>
          <w:lang w:val="es-ES" w:eastAsia="es-ES"/>
        </w:rPr>
        <w:t>Formulario de requerimientos cualitativos debidamente diligenciado, según formato establecido en el Anexo 3.</w:t>
      </w:r>
    </w:p>
    <w:p w14:paraId="3DB00240" w14:textId="77777777" w:rsidR="007968EC" w:rsidRPr="002C0D19" w:rsidRDefault="007968EC" w:rsidP="007968EC">
      <w:pPr>
        <w:tabs>
          <w:tab w:val="left" w:pos="360"/>
        </w:tabs>
        <w:ind w:left="360" w:hanging="360"/>
        <w:jc w:val="both"/>
        <w:rPr>
          <w:rFonts w:ascii="Arial Narrow" w:hAnsi="Arial Narrow" w:cs="Arial"/>
          <w:lang w:val="es-ES" w:eastAsia="es-ES"/>
        </w:rPr>
      </w:pPr>
    </w:p>
    <w:p w14:paraId="24532E2A" w14:textId="77777777" w:rsidR="007968EC" w:rsidRPr="002C0D19" w:rsidRDefault="007968EC" w:rsidP="00DA7472">
      <w:pPr>
        <w:numPr>
          <w:ilvl w:val="0"/>
          <w:numId w:val="17"/>
        </w:numPr>
        <w:tabs>
          <w:tab w:val="left" w:pos="360"/>
        </w:tabs>
        <w:ind w:left="360"/>
        <w:jc w:val="both"/>
        <w:rPr>
          <w:rFonts w:ascii="Arial Narrow" w:hAnsi="Arial Narrow" w:cs="Arial"/>
          <w:lang w:val="es-ES" w:eastAsia="es-ES"/>
        </w:rPr>
      </w:pPr>
      <w:r w:rsidRPr="002C0D19">
        <w:rPr>
          <w:rFonts w:ascii="Arial Narrow" w:hAnsi="Arial Narrow" w:cs="Arial"/>
          <w:lang w:val="es-ES" w:eastAsia="es-ES"/>
        </w:rPr>
        <w:t>Copia del certificado de existencia y representación legal expedido por la autoridad competente dentro del mes inmediatamente anterior a la solicitud y mediante el cual se constate que la naturaleza jurídica de la entidad corresponde a una de aquellas establecidas en el artículo 2.1.1. del Reglamento. En el caso de los Miembros Liquidadores, adicionalmente la naturaleza jurídica deberá corresponder a una de las entidades señaladas en el artículo 2.1.5. del Reglamento.</w:t>
      </w:r>
    </w:p>
    <w:p w14:paraId="261EBDBA" w14:textId="77777777" w:rsidR="007968EC" w:rsidRPr="002C0D19" w:rsidRDefault="007968EC" w:rsidP="007968EC">
      <w:pPr>
        <w:tabs>
          <w:tab w:val="left" w:pos="360"/>
        </w:tabs>
        <w:ind w:left="360" w:hanging="360"/>
        <w:jc w:val="both"/>
        <w:rPr>
          <w:rFonts w:ascii="Arial Narrow" w:hAnsi="Arial Narrow" w:cs="Arial"/>
          <w:lang w:val="es-ES" w:eastAsia="es-ES"/>
        </w:rPr>
      </w:pPr>
    </w:p>
    <w:p w14:paraId="04615274" w14:textId="77777777" w:rsidR="007968EC" w:rsidRPr="002C0D19" w:rsidRDefault="007968EC" w:rsidP="00DA7472">
      <w:pPr>
        <w:numPr>
          <w:ilvl w:val="0"/>
          <w:numId w:val="17"/>
        </w:numPr>
        <w:tabs>
          <w:tab w:val="left" w:pos="360"/>
        </w:tabs>
        <w:ind w:left="360"/>
        <w:jc w:val="both"/>
        <w:rPr>
          <w:rFonts w:ascii="Arial Narrow" w:hAnsi="Arial Narrow" w:cs="Arial"/>
          <w:lang w:val="es-ES" w:eastAsia="es-ES"/>
        </w:rPr>
      </w:pPr>
      <w:r w:rsidRPr="002C0D19">
        <w:rPr>
          <w:rFonts w:ascii="Arial Narrow" w:hAnsi="Arial Narrow" w:cs="Arial"/>
          <w:lang w:val="es-ES" w:eastAsia="es-ES"/>
        </w:rPr>
        <w:t>Estados Financieros Auditados del último corte. firmados, con notas aclaratorias y copia del dictamen del revisor fiscal.</w:t>
      </w:r>
    </w:p>
    <w:p w14:paraId="24A4E35D" w14:textId="77777777" w:rsidR="007968EC" w:rsidRPr="002C0D19" w:rsidRDefault="007968EC" w:rsidP="007968EC">
      <w:pPr>
        <w:tabs>
          <w:tab w:val="left" w:pos="360"/>
        </w:tabs>
        <w:jc w:val="both"/>
        <w:rPr>
          <w:rFonts w:ascii="Arial Narrow" w:hAnsi="Arial Narrow" w:cs="Arial"/>
          <w:lang w:val="es-ES" w:eastAsia="es-ES"/>
        </w:rPr>
      </w:pPr>
    </w:p>
    <w:p w14:paraId="64B33B9A" w14:textId="77777777" w:rsidR="007968EC" w:rsidRPr="002C0D19" w:rsidRDefault="007968EC" w:rsidP="00DA7472">
      <w:pPr>
        <w:numPr>
          <w:ilvl w:val="0"/>
          <w:numId w:val="17"/>
        </w:numPr>
        <w:tabs>
          <w:tab w:val="left" w:pos="360"/>
        </w:tabs>
        <w:ind w:left="360"/>
        <w:jc w:val="both"/>
        <w:rPr>
          <w:rFonts w:ascii="Arial Narrow" w:hAnsi="Arial Narrow" w:cs="Arial"/>
          <w:lang w:val="es-ES" w:eastAsia="es-ES"/>
        </w:rPr>
      </w:pPr>
      <w:r w:rsidRPr="002C0D19">
        <w:rPr>
          <w:rFonts w:ascii="Arial Narrow" w:hAnsi="Arial Narrow" w:cs="Arial"/>
          <w:lang w:val="es-ES" w:eastAsia="es-ES"/>
        </w:rPr>
        <w:t xml:space="preserve">Certificación emitida por DCV y/o DECEVAL en la cual se acredite que la entidad dispone de cuentas de depósito de valores directamente o si es el caso a través de un Agente Custodio. </w:t>
      </w:r>
    </w:p>
    <w:p w14:paraId="4B027476" w14:textId="77777777" w:rsidR="007968EC" w:rsidRPr="002C0D19" w:rsidRDefault="007968EC" w:rsidP="007968EC">
      <w:pPr>
        <w:tabs>
          <w:tab w:val="left" w:pos="360"/>
        </w:tabs>
        <w:ind w:left="360" w:hanging="360"/>
        <w:jc w:val="both"/>
        <w:rPr>
          <w:rFonts w:ascii="Arial Narrow" w:hAnsi="Arial Narrow" w:cs="Arial"/>
          <w:lang w:val="es-ES" w:eastAsia="es-ES"/>
        </w:rPr>
      </w:pPr>
    </w:p>
    <w:p w14:paraId="383AB3D3" w14:textId="77777777" w:rsidR="007968EC" w:rsidRPr="002C0D19" w:rsidRDefault="007968EC" w:rsidP="00DA7472">
      <w:pPr>
        <w:numPr>
          <w:ilvl w:val="0"/>
          <w:numId w:val="17"/>
        </w:numPr>
        <w:tabs>
          <w:tab w:val="left" w:pos="360"/>
        </w:tabs>
        <w:ind w:left="360"/>
        <w:jc w:val="both"/>
        <w:rPr>
          <w:rFonts w:ascii="Arial Narrow" w:hAnsi="Arial Narrow" w:cs="Arial"/>
          <w:lang w:val="es-ES" w:eastAsia="es-ES"/>
        </w:rPr>
      </w:pPr>
      <w:r w:rsidRPr="002C0D19">
        <w:rPr>
          <w:rFonts w:ascii="Arial Narrow" w:hAnsi="Arial Narrow" w:cs="Arial"/>
          <w:lang w:val="es-ES" w:eastAsia="es-ES"/>
        </w:rPr>
        <w:t xml:space="preserve">Certificación emitida por el Banco de la República en la cual se acredite que dispone de cuenta de depósito en el Banco de la República directamente o si es el caso a través de un Agente Custodio. </w:t>
      </w:r>
    </w:p>
    <w:p w14:paraId="3F118124" w14:textId="77777777" w:rsidR="007968EC" w:rsidRPr="002C0D19" w:rsidRDefault="007968EC" w:rsidP="007968EC">
      <w:pPr>
        <w:tabs>
          <w:tab w:val="left" w:pos="360"/>
        </w:tabs>
        <w:jc w:val="both"/>
        <w:rPr>
          <w:rFonts w:ascii="Arial Narrow" w:hAnsi="Arial Narrow" w:cs="Arial"/>
          <w:lang w:val="es-ES" w:eastAsia="es-ES"/>
        </w:rPr>
      </w:pPr>
    </w:p>
    <w:p w14:paraId="1D94139A" w14:textId="77777777" w:rsidR="007968EC" w:rsidRPr="002C0D19" w:rsidRDefault="007968EC" w:rsidP="00DA7472">
      <w:pPr>
        <w:numPr>
          <w:ilvl w:val="0"/>
          <w:numId w:val="17"/>
        </w:numPr>
        <w:tabs>
          <w:tab w:val="left" w:pos="360"/>
        </w:tabs>
        <w:ind w:left="360"/>
        <w:jc w:val="both"/>
        <w:rPr>
          <w:rFonts w:ascii="Arial Narrow" w:hAnsi="Arial Narrow" w:cs="Arial"/>
          <w:lang w:val="es-ES" w:eastAsia="es-ES"/>
        </w:rPr>
      </w:pPr>
      <w:r w:rsidRPr="002C0D19">
        <w:rPr>
          <w:rFonts w:ascii="Arial Narrow" w:hAnsi="Arial Narrow" w:cs="Arial"/>
          <w:lang w:val="es-ES" w:eastAsia="es-ES"/>
        </w:rPr>
        <w:t>En caso de ser aplicable, copia del Convenio con el Agente de Pago, según modelo establecido en el Anexo 22.2.</w:t>
      </w:r>
    </w:p>
    <w:p w14:paraId="54C0C666" w14:textId="77777777" w:rsidR="007968EC" w:rsidRPr="002C0D19" w:rsidRDefault="007968EC" w:rsidP="007968EC">
      <w:pPr>
        <w:tabs>
          <w:tab w:val="left" w:pos="360"/>
        </w:tabs>
        <w:ind w:left="360" w:hanging="360"/>
        <w:jc w:val="both"/>
        <w:rPr>
          <w:rFonts w:ascii="Arial Narrow" w:hAnsi="Arial Narrow" w:cs="Arial"/>
          <w:lang w:val="es-ES" w:eastAsia="es-ES"/>
        </w:rPr>
      </w:pPr>
    </w:p>
    <w:p w14:paraId="02880D87" w14:textId="77777777" w:rsidR="007968EC" w:rsidRPr="002C0D19" w:rsidRDefault="007968EC" w:rsidP="00DA7472">
      <w:pPr>
        <w:numPr>
          <w:ilvl w:val="0"/>
          <w:numId w:val="17"/>
        </w:numPr>
        <w:tabs>
          <w:tab w:val="left" w:pos="360"/>
        </w:tabs>
        <w:ind w:left="360"/>
        <w:jc w:val="both"/>
        <w:rPr>
          <w:rFonts w:ascii="Arial Narrow" w:hAnsi="Arial Narrow" w:cs="Arial"/>
          <w:lang w:val="es-ES" w:eastAsia="es-ES"/>
        </w:rPr>
      </w:pPr>
      <w:r w:rsidRPr="002C0D19">
        <w:rPr>
          <w:rFonts w:ascii="Arial Narrow" w:hAnsi="Arial Narrow" w:cs="Arial"/>
          <w:lang w:val="es-ES" w:eastAsia="es-ES"/>
        </w:rPr>
        <w:lastRenderedPageBreak/>
        <w:t>En caso de ser aplicable, copia del Convenio con Agente Custodio, según modelo establecido en el Anexo 22.1.</w:t>
      </w:r>
    </w:p>
    <w:p w14:paraId="387B98AF" w14:textId="77777777" w:rsidR="007968EC" w:rsidRPr="002C0D19" w:rsidRDefault="007968EC" w:rsidP="007968EC">
      <w:pPr>
        <w:ind w:left="708"/>
        <w:rPr>
          <w:rFonts w:ascii="Arial Narrow" w:hAnsi="Arial Narrow" w:cs="Arial"/>
          <w:lang w:eastAsia="es-CO"/>
        </w:rPr>
      </w:pPr>
    </w:p>
    <w:p w14:paraId="789D4498" w14:textId="77777777" w:rsidR="007968EC" w:rsidRPr="002C0D19" w:rsidRDefault="007968EC" w:rsidP="00DA7472">
      <w:pPr>
        <w:numPr>
          <w:ilvl w:val="0"/>
          <w:numId w:val="17"/>
        </w:numPr>
        <w:tabs>
          <w:tab w:val="left" w:pos="360"/>
        </w:tabs>
        <w:ind w:left="360"/>
        <w:jc w:val="both"/>
        <w:rPr>
          <w:rFonts w:ascii="Arial Narrow" w:hAnsi="Arial Narrow" w:cs="Arial"/>
          <w:lang w:val="es-ES" w:eastAsia="es-ES"/>
        </w:rPr>
      </w:pPr>
      <w:r w:rsidRPr="002C0D19">
        <w:rPr>
          <w:rFonts w:ascii="Arial Narrow" w:hAnsi="Arial Narrow" w:cs="Arial"/>
          <w:lang w:val="es-ES" w:eastAsia="es-ES"/>
        </w:rPr>
        <w:t>En caso de ser aplicable, copia del Convenio para actuar simultáneamente como Agente de Pago y Agente Custodio, según modelo establecido en el Anexo 22.3.</w:t>
      </w:r>
    </w:p>
    <w:p w14:paraId="445D75F4" w14:textId="77777777" w:rsidR="007968EC" w:rsidRPr="002C0D19" w:rsidRDefault="007968EC" w:rsidP="007968EC">
      <w:pPr>
        <w:rPr>
          <w:rFonts w:ascii="Arial Narrow" w:hAnsi="Arial Narrow" w:cs="Arial"/>
          <w:lang w:val="es-ES" w:eastAsia="es-ES"/>
        </w:rPr>
      </w:pPr>
    </w:p>
    <w:p w14:paraId="5082D97F" w14:textId="77777777" w:rsidR="007968EC" w:rsidRPr="002C0D19" w:rsidRDefault="007968EC" w:rsidP="00DA7472">
      <w:pPr>
        <w:numPr>
          <w:ilvl w:val="0"/>
          <w:numId w:val="17"/>
        </w:numPr>
        <w:tabs>
          <w:tab w:val="left" w:pos="360"/>
        </w:tabs>
        <w:ind w:left="360"/>
        <w:jc w:val="both"/>
        <w:rPr>
          <w:rFonts w:ascii="Arial Narrow" w:hAnsi="Arial Narrow" w:cs="Arial"/>
          <w:lang w:val="es-ES" w:eastAsia="es-ES"/>
        </w:rPr>
      </w:pPr>
      <w:r w:rsidRPr="002C0D19">
        <w:rPr>
          <w:rFonts w:ascii="Arial Narrow" w:hAnsi="Arial Narrow" w:cs="Arial"/>
          <w:lang w:val="es-ES" w:eastAsia="es-ES"/>
        </w:rPr>
        <w:t>Listado de firmas autorizadas, según formato establecido en el Anexo 6.</w:t>
      </w:r>
    </w:p>
    <w:p w14:paraId="46DEBE65" w14:textId="77777777" w:rsidR="007968EC" w:rsidRPr="002C0D19" w:rsidRDefault="007968EC" w:rsidP="007968EC">
      <w:pPr>
        <w:tabs>
          <w:tab w:val="left" w:pos="360"/>
        </w:tabs>
        <w:ind w:left="360" w:hanging="360"/>
        <w:jc w:val="both"/>
        <w:rPr>
          <w:rFonts w:ascii="Arial Narrow" w:hAnsi="Arial Narrow" w:cs="Arial"/>
          <w:lang w:val="es-ES" w:eastAsia="es-ES"/>
        </w:rPr>
      </w:pPr>
    </w:p>
    <w:p w14:paraId="6A3AF9B0" w14:textId="77777777" w:rsidR="007968EC" w:rsidRPr="002C0D19" w:rsidRDefault="007968EC" w:rsidP="00DA7472">
      <w:pPr>
        <w:numPr>
          <w:ilvl w:val="0"/>
          <w:numId w:val="17"/>
        </w:numPr>
        <w:tabs>
          <w:tab w:val="left" w:pos="360"/>
        </w:tabs>
        <w:ind w:left="360"/>
        <w:jc w:val="both"/>
        <w:rPr>
          <w:rFonts w:ascii="Arial Narrow" w:hAnsi="Arial Narrow" w:cs="Arial"/>
          <w:lang w:val="es-ES" w:eastAsia="es-ES"/>
        </w:rPr>
      </w:pPr>
      <w:r w:rsidRPr="002C0D19">
        <w:rPr>
          <w:rFonts w:ascii="Arial Narrow" w:hAnsi="Arial Narrow" w:cs="Arial"/>
          <w:lang w:val="es-ES" w:eastAsia="es-ES"/>
        </w:rPr>
        <w:t>Autorización a la Cámara para acceder y consultar la Información financiera de la entidad en la Superintendencia Financiera de Colombia, según formato establecido en el Anexo 7.</w:t>
      </w:r>
    </w:p>
    <w:p w14:paraId="7389BC56" w14:textId="77777777" w:rsidR="007968EC" w:rsidRPr="002C0D19" w:rsidRDefault="007968EC" w:rsidP="007968EC">
      <w:pPr>
        <w:tabs>
          <w:tab w:val="left" w:pos="360"/>
        </w:tabs>
        <w:ind w:left="360" w:hanging="360"/>
        <w:jc w:val="both"/>
        <w:rPr>
          <w:rFonts w:ascii="Arial Narrow" w:hAnsi="Arial Narrow" w:cs="Arial"/>
          <w:lang w:val="es-ES" w:eastAsia="es-ES"/>
        </w:rPr>
      </w:pPr>
    </w:p>
    <w:p w14:paraId="060B2290" w14:textId="77777777" w:rsidR="007968EC" w:rsidRPr="002C0D19" w:rsidRDefault="007968EC" w:rsidP="00DA7472">
      <w:pPr>
        <w:numPr>
          <w:ilvl w:val="0"/>
          <w:numId w:val="17"/>
        </w:numPr>
        <w:tabs>
          <w:tab w:val="left" w:pos="360"/>
        </w:tabs>
        <w:ind w:left="360"/>
        <w:jc w:val="both"/>
        <w:rPr>
          <w:rFonts w:ascii="Arial Narrow" w:hAnsi="Arial Narrow" w:cs="Arial"/>
          <w:lang w:val="es-ES" w:eastAsia="es-ES"/>
        </w:rPr>
      </w:pPr>
      <w:r w:rsidRPr="002C0D19">
        <w:rPr>
          <w:rFonts w:ascii="Arial Narrow" w:hAnsi="Arial Narrow" w:cs="Arial"/>
          <w:lang w:val="es-ES" w:eastAsia="es-ES"/>
        </w:rPr>
        <w:t xml:space="preserve">Copia certificada por el representante legal de la entidad, del informe más reciente sobre el cumplimiento del Sistema de Prevención y Control de Lavado de Activos y Financiación del Terrorismo, presentado por el revisor fiscal a la Junta Directiva.  </w:t>
      </w:r>
    </w:p>
    <w:p w14:paraId="74399067" w14:textId="77777777" w:rsidR="007968EC" w:rsidRPr="002C0D19" w:rsidRDefault="007968EC" w:rsidP="007968EC">
      <w:pPr>
        <w:tabs>
          <w:tab w:val="left" w:pos="360"/>
        </w:tabs>
        <w:ind w:left="360" w:hanging="360"/>
        <w:jc w:val="both"/>
        <w:rPr>
          <w:rFonts w:ascii="Arial Narrow" w:hAnsi="Arial Narrow" w:cs="Arial"/>
          <w:lang w:val="es-ES" w:eastAsia="es-ES"/>
        </w:rPr>
      </w:pPr>
    </w:p>
    <w:p w14:paraId="5F65B20F" w14:textId="77777777" w:rsidR="007968EC" w:rsidRPr="002C0D19" w:rsidRDefault="007968EC" w:rsidP="00DA7472">
      <w:pPr>
        <w:numPr>
          <w:ilvl w:val="0"/>
          <w:numId w:val="17"/>
        </w:numPr>
        <w:tabs>
          <w:tab w:val="left" w:pos="360"/>
        </w:tabs>
        <w:ind w:left="360"/>
        <w:jc w:val="both"/>
        <w:rPr>
          <w:rFonts w:ascii="Arial Narrow" w:hAnsi="Arial Narrow" w:cs="Arial"/>
          <w:lang w:val="es-ES" w:eastAsia="es-ES"/>
        </w:rPr>
      </w:pPr>
      <w:r w:rsidRPr="002C0D19">
        <w:rPr>
          <w:rFonts w:ascii="Arial Narrow" w:hAnsi="Arial Narrow" w:cs="Arial"/>
          <w:lang w:val="es-ES" w:eastAsia="es-ES"/>
        </w:rPr>
        <w:t xml:space="preserve">Certificación emitida por la Bolsa de Valores de Colombia, o del administrador de cualquier otro mecanismo autorizado por la Cámara, en el sentido de que la entidad es susceptible de ser admitida y tener acceso a dichos sistemas. </w:t>
      </w:r>
    </w:p>
    <w:p w14:paraId="5B6CBFFD" w14:textId="77777777" w:rsidR="007968EC" w:rsidRPr="002C0D19" w:rsidRDefault="007968EC" w:rsidP="007968EC">
      <w:pPr>
        <w:tabs>
          <w:tab w:val="left" w:pos="360"/>
        </w:tabs>
        <w:ind w:left="360" w:hanging="360"/>
        <w:jc w:val="both"/>
        <w:rPr>
          <w:rFonts w:ascii="Arial Narrow" w:hAnsi="Arial Narrow" w:cs="Arial"/>
          <w:lang w:val="es-ES" w:eastAsia="es-ES"/>
        </w:rPr>
      </w:pPr>
      <w:r w:rsidRPr="002C0D19">
        <w:rPr>
          <w:rFonts w:ascii="Arial Narrow" w:hAnsi="Arial Narrow" w:cs="Arial"/>
          <w:lang w:val="es-ES" w:eastAsia="es-ES"/>
        </w:rPr>
        <w:t xml:space="preserve"> </w:t>
      </w:r>
    </w:p>
    <w:p w14:paraId="760E453E" w14:textId="77777777" w:rsidR="007968EC" w:rsidRPr="002C0D19" w:rsidRDefault="007968EC" w:rsidP="00DA7472">
      <w:pPr>
        <w:numPr>
          <w:ilvl w:val="0"/>
          <w:numId w:val="17"/>
        </w:numPr>
        <w:tabs>
          <w:tab w:val="left" w:pos="360"/>
        </w:tabs>
        <w:ind w:left="360"/>
        <w:jc w:val="both"/>
        <w:rPr>
          <w:rFonts w:ascii="Arial Narrow" w:hAnsi="Arial Narrow" w:cs="Arial"/>
          <w:lang w:val="es-ES" w:eastAsia="es-ES"/>
        </w:rPr>
      </w:pPr>
      <w:r w:rsidRPr="002C0D19">
        <w:rPr>
          <w:rFonts w:ascii="Arial Narrow" w:hAnsi="Arial Narrow" w:cs="Arial"/>
          <w:lang w:val="es-ES" w:eastAsia="es-ES"/>
        </w:rPr>
        <w:t xml:space="preserve">Autorización suscrita por el representante legal de la entidad para el débito automático de la cuenta única de depósito, dirigida al Banco de la República, según modelo establecido en el Anexo 8, este documento debe contar con reconocimiento de firma y texto ante notario público. </w:t>
      </w:r>
    </w:p>
    <w:p w14:paraId="1C8350CA" w14:textId="77777777" w:rsidR="007968EC" w:rsidRPr="002C0D19" w:rsidRDefault="007968EC" w:rsidP="007968EC">
      <w:pPr>
        <w:tabs>
          <w:tab w:val="left" w:pos="360"/>
        </w:tabs>
        <w:ind w:left="360" w:hanging="360"/>
        <w:jc w:val="both"/>
        <w:rPr>
          <w:rFonts w:ascii="Arial Narrow" w:hAnsi="Arial Narrow" w:cs="Arial"/>
          <w:lang w:val="es-ES" w:eastAsia="es-ES"/>
        </w:rPr>
      </w:pPr>
    </w:p>
    <w:p w14:paraId="74BF1332" w14:textId="77777777" w:rsidR="007968EC" w:rsidRPr="002C0D19" w:rsidRDefault="007968EC" w:rsidP="00DA7472">
      <w:pPr>
        <w:numPr>
          <w:ilvl w:val="0"/>
          <w:numId w:val="17"/>
        </w:numPr>
        <w:tabs>
          <w:tab w:val="left" w:pos="360"/>
        </w:tabs>
        <w:ind w:left="360"/>
        <w:jc w:val="both"/>
        <w:rPr>
          <w:rFonts w:ascii="Arial Narrow" w:hAnsi="Arial Narrow" w:cs="Arial"/>
          <w:lang w:val="es-ES" w:eastAsia="es-ES"/>
        </w:rPr>
      </w:pPr>
      <w:r w:rsidRPr="002C0D19">
        <w:rPr>
          <w:rFonts w:ascii="Arial Narrow" w:hAnsi="Arial Narrow" w:cs="Arial"/>
          <w:lang w:val="es-ES" w:eastAsia="es-ES"/>
        </w:rPr>
        <w:t>Declaración en la cual conste que la entidad cumple con los requisitos tecnológicos, según modelo establecido en el Anexo 9.</w:t>
      </w:r>
    </w:p>
    <w:p w14:paraId="61505FBF" w14:textId="77777777" w:rsidR="007968EC" w:rsidRPr="002C0D19" w:rsidRDefault="007968EC" w:rsidP="007968EC">
      <w:pPr>
        <w:tabs>
          <w:tab w:val="left" w:pos="360"/>
        </w:tabs>
        <w:ind w:left="360" w:hanging="360"/>
        <w:jc w:val="both"/>
        <w:rPr>
          <w:rFonts w:ascii="Arial Narrow" w:hAnsi="Arial Narrow" w:cs="Arial"/>
          <w:lang w:val="es-ES" w:eastAsia="es-ES"/>
        </w:rPr>
      </w:pPr>
    </w:p>
    <w:p w14:paraId="63760285" w14:textId="77777777" w:rsidR="007968EC" w:rsidRPr="002C0D19" w:rsidRDefault="007968EC" w:rsidP="00DA7472">
      <w:pPr>
        <w:numPr>
          <w:ilvl w:val="0"/>
          <w:numId w:val="17"/>
        </w:numPr>
        <w:tabs>
          <w:tab w:val="left" w:pos="360"/>
        </w:tabs>
        <w:ind w:left="360"/>
        <w:jc w:val="both"/>
        <w:rPr>
          <w:rFonts w:ascii="Arial Narrow" w:hAnsi="Arial Narrow" w:cs="Arial"/>
          <w:lang w:val="es-ES" w:eastAsia="es-ES"/>
        </w:rPr>
      </w:pPr>
      <w:r w:rsidRPr="002C0D19">
        <w:rPr>
          <w:rFonts w:ascii="Arial Narrow" w:hAnsi="Arial Narrow" w:cs="Arial"/>
          <w:lang w:val="es-ES" w:eastAsia="es-ES"/>
        </w:rPr>
        <w:t>Formato de solicitud de creación y modificación del usuario administrador, según formato establecido en el Anexo 10.</w:t>
      </w:r>
    </w:p>
    <w:p w14:paraId="414B83E1" w14:textId="77777777" w:rsidR="007968EC" w:rsidRPr="002C0D19" w:rsidRDefault="007968EC" w:rsidP="007968EC">
      <w:pPr>
        <w:tabs>
          <w:tab w:val="left" w:pos="360"/>
        </w:tabs>
        <w:jc w:val="both"/>
        <w:rPr>
          <w:rFonts w:ascii="Arial Narrow" w:hAnsi="Arial Narrow" w:cs="Arial"/>
          <w:lang w:val="es-ES" w:eastAsia="es-ES"/>
        </w:rPr>
      </w:pPr>
    </w:p>
    <w:p w14:paraId="090F273B" w14:textId="77777777" w:rsidR="007968EC" w:rsidRPr="002C0D19" w:rsidRDefault="007968EC" w:rsidP="00DA7472">
      <w:pPr>
        <w:numPr>
          <w:ilvl w:val="0"/>
          <w:numId w:val="17"/>
        </w:numPr>
        <w:tabs>
          <w:tab w:val="left" w:pos="360"/>
        </w:tabs>
        <w:ind w:left="360"/>
        <w:jc w:val="both"/>
        <w:rPr>
          <w:rFonts w:ascii="Arial Narrow" w:hAnsi="Arial Narrow" w:cs="Arial"/>
          <w:lang w:val="es-ES" w:eastAsia="es-ES"/>
        </w:rPr>
      </w:pPr>
      <w:r w:rsidRPr="002C0D19">
        <w:rPr>
          <w:rFonts w:ascii="Arial Narrow" w:hAnsi="Arial Narrow" w:cs="Arial"/>
          <w:lang w:val="es-ES" w:eastAsia="es-ES"/>
        </w:rPr>
        <w:t>Listado de accionistas que cuenten con más del cinco por ciento (5%) de las acciones en circulación de la sociedad, ya sea directa o indirectamente, a través de personas naturales o jurídicas con las cuales se conforme un mismo beneficiario real. En caso de que el accionista sea persona jurídica, se deberá hacer entrega de la relación de accionistas de dicho accionista en estos mismos términos, según formato establecido en el Anexo 12. Las entidades sometidas a la inspección y vigilancia de la Superintendencia Financiera de Colombia no deberán adjuntar el documento del que trata el presente numeral.</w:t>
      </w:r>
    </w:p>
    <w:p w14:paraId="2560C9C4" w14:textId="77777777" w:rsidR="007968EC" w:rsidRPr="002C0D19" w:rsidRDefault="007968EC" w:rsidP="007968EC">
      <w:pPr>
        <w:tabs>
          <w:tab w:val="left" w:pos="360"/>
        </w:tabs>
        <w:ind w:left="360" w:hanging="360"/>
        <w:jc w:val="both"/>
        <w:rPr>
          <w:rFonts w:ascii="Arial Narrow" w:hAnsi="Arial Narrow" w:cs="Arial"/>
          <w:lang w:val="es-ES" w:eastAsia="es-ES"/>
        </w:rPr>
      </w:pPr>
    </w:p>
    <w:p w14:paraId="0D293B0C" w14:textId="77777777" w:rsidR="007968EC" w:rsidRPr="002C0D19" w:rsidRDefault="007968EC" w:rsidP="00DA7472">
      <w:pPr>
        <w:numPr>
          <w:ilvl w:val="0"/>
          <w:numId w:val="17"/>
        </w:numPr>
        <w:tabs>
          <w:tab w:val="left" w:pos="360"/>
        </w:tabs>
        <w:ind w:left="360"/>
        <w:jc w:val="both"/>
        <w:rPr>
          <w:rFonts w:ascii="Arial Narrow" w:hAnsi="Arial Narrow" w:cs="Arial"/>
          <w:lang w:val="es-ES" w:eastAsia="es-ES"/>
        </w:rPr>
      </w:pPr>
      <w:r w:rsidRPr="002C0D19">
        <w:rPr>
          <w:rFonts w:ascii="Arial Narrow" w:hAnsi="Arial Narrow" w:cs="Arial"/>
          <w:lang w:val="es-ES" w:eastAsia="es-ES"/>
        </w:rPr>
        <w:t>Lista de Chequeo para solicitar la admisión como Miembro completamente diligenciada, según formato establecido en el Anexo 13.1.</w:t>
      </w:r>
    </w:p>
    <w:p w14:paraId="01CB02D8" w14:textId="77777777" w:rsidR="007968EC" w:rsidRPr="002C0D19" w:rsidRDefault="007968EC" w:rsidP="007968EC">
      <w:pPr>
        <w:tabs>
          <w:tab w:val="left" w:pos="360"/>
        </w:tabs>
        <w:ind w:left="360" w:hanging="360"/>
        <w:jc w:val="both"/>
        <w:rPr>
          <w:rFonts w:ascii="Arial Narrow" w:hAnsi="Arial Narrow" w:cs="Arial"/>
          <w:lang w:val="es-ES" w:eastAsia="es-ES"/>
        </w:rPr>
      </w:pPr>
    </w:p>
    <w:p w14:paraId="6438D6E2" w14:textId="77777777" w:rsidR="007968EC" w:rsidRPr="002C0D19" w:rsidRDefault="007968EC" w:rsidP="00DA7472">
      <w:pPr>
        <w:numPr>
          <w:ilvl w:val="0"/>
          <w:numId w:val="17"/>
        </w:numPr>
        <w:tabs>
          <w:tab w:val="left" w:pos="360"/>
        </w:tabs>
        <w:ind w:left="360"/>
        <w:jc w:val="both"/>
        <w:rPr>
          <w:rFonts w:ascii="Arial Narrow" w:hAnsi="Arial Narrow" w:cs="Arial"/>
          <w:lang w:val="es-ES" w:eastAsia="es-ES"/>
        </w:rPr>
      </w:pPr>
      <w:r w:rsidRPr="002C0D19">
        <w:rPr>
          <w:rFonts w:ascii="Arial Narrow" w:hAnsi="Arial Narrow" w:cs="Arial"/>
          <w:lang w:val="es-ES" w:eastAsia="es-ES"/>
        </w:rPr>
        <w:t>Certificación en la que acredite ser miembro de una autoridad de autorregulación, en el caso de ser aplicable este requisito.</w:t>
      </w:r>
    </w:p>
    <w:p w14:paraId="739881B4" w14:textId="77777777" w:rsidR="007968EC" w:rsidRPr="002C0D19" w:rsidRDefault="007968EC" w:rsidP="007968EC">
      <w:pPr>
        <w:tabs>
          <w:tab w:val="left" w:pos="360"/>
        </w:tabs>
        <w:ind w:left="360" w:hanging="360"/>
        <w:jc w:val="both"/>
        <w:rPr>
          <w:rFonts w:ascii="Arial Narrow" w:hAnsi="Arial Narrow" w:cs="Arial"/>
          <w:lang w:eastAsia="es-ES"/>
        </w:rPr>
      </w:pPr>
    </w:p>
    <w:p w14:paraId="3CB4D2EC" w14:textId="77777777" w:rsidR="007968EC" w:rsidRPr="002C0D19" w:rsidRDefault="007968EC" w:rsidP="00DA7472">
      <w:pPr>
        <w:numPr>
          <w:ilvl w:val="0"/>
          <w:numId w:val="17"/>
        </w:numPr>
        <w:tabs>
          <w:tab w:val="left" w:pos="360"/>
        </w:tabs>
        <w:ind w:left="360"/>
        <w:jc w:val="both"/>
        <w:rPr>
          <w:rFonts w:ascii="Arial Narrow" w:hAnsi="Arial Narrow" w:cs="Arial"/>
          <w:lang w:val="es-ES" w:eastAsia="es-ES"/>
        </w:rPr>
      </w:pPr>
      <w:r w:rsidRPr="002C0D19">
        <w:rPr>
          <w:rFonts w:ascii="Arial Narrow" w:hAnsi="Arial Narrow" w:cs="Arial"/>
          <w:lang w:val="es-ES" w:eastAsia="es-ES"/>
        </w:rPr>
        <w:lastRenderedPageBreak/>
        <w:t xml:space="preserve">Adicionalmente para la admisión del Miembro no Liquidador, comunicación suscrita por el representante legal del Miembro Liquidador General, a través del cual el Miembro no Liquidador realizará la liquidación de sus propias operaciones y de sus Terceros, según formato establecido en el Anexo 14. </w:t>
      </w:r>
    </w:p>
    <w:p w14:paraId="000C7D62" w14:textId="77777777" w:rsidR="007968EC" w:rsidRPr="002C0D19" w:rsidRDefault="007968EC" w:rsidP="007968EC">
      <w:pPr>
        <w:jc w:val="both"/>
        <w:rPr>
          <w:rFonts w:ascii="Arial Narrow" w:hAnsi="Arial Narrow" w:cs="Arial"/>
          <w:lang w:val="es-ES" w:eastAsia="es-ES"/>
        </w:rPr>
      </w:pPr>
    </w:p>
    <w:p w14:paraId="7A32BD50" w14:textId="77777777" w:rsidR="007968EC" w:rsidRPr="002C0D19" w:rsidRDefault="007968EC" w:rsidP="007968EC">
      <w:pPr>
        <w:jc w:val="both"/>
        <w:rPr>
          <w:rFonts w:ascii="Arial Narrow" w:hAnsi="Arial Narrow" w:cs="Arial"/>
          <w:lang w:eastAsia="es-ES"/>
        </w:rPr>
      </w:pPr>
      <w:r w:rsidRPr="002C0D19">
        <w:rPr>
          <w:rFonts w:ascii="Arial Narrow" w:hAnsi="Arial Narrow" w:cs="Arial"/>
          <w:b/>
          <w:lang w:eastAsia="es-ES"/>
        </w:rPr>
        <w:t>Parágrafo Primero.</w:t>
      </w:r>
      <w:r w:rsidRPr="002C0D19">
        <w:rPr>
          <w:rFonts w:ascii="Arial Narrow" w:hAnsi="Arial Narrow" w:cs="Arial"/>
          <w:lang w:eastAsia="es-ES"/>
        </w:rPr>
        <w:t xml:space="preserve"> No obstante se alleguen todos los documentos que se señalan en el presente artículo, la Junta Directiva, el Comité de Riesgos o el Gerente de la Cámara podrán requerir toda la información, documentación o acreditaciones adicionales que consideren necesarias para el estudio de la solicitud. Igualmente, la Cámara estará facultada para verificar el cumplimiento de los requisitos en cualquier momento.</w:t>
      </w:r>
    </w:p>
    <w:p w14:paraId="0795A66B" w14:textId="77777777" w:rsidR="007968EC" w:rsidRPr="002C0D19" w:rsidRDefault="007968EC" w:rsidP="007968EC">
      <w:pPr>
        <w:jc w:val="both"/>
        <w:rPr>
          <w:rFonts w:ascii="Arial Narrow" w:hAnsi="Arial Narrow" w:cs="Arial"/>
          <w:b/>
          <w:u w:val="single"/>
          <w:lang w:val="es-ES" w:eastAsia="es-ES"/>
        </w:rPr>
      </w:pPr>
    </w:p>
    <w:p w14:paraId="131E1DD5"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b/>
          <w:lang w:val="es-ES" w:eastAsia="es-ES"/>
        </w:rPr>
        <w:t xml:space="preserve">Parágrafo Segundo. </w:t>
      </w:r>
      <w:r w:rsidRPr="002C0D19">
        <w:rPr>
          <w:rFonts w:ascii="Arial Narrow" w:hAnsi="Arial Narrow" w:cs="Arial"/>
          <w:lang w:val="es-ES" w:eastAsia="es-ES"/>
        </w:rPr>
        <w:t xml:space="preserve">De conformidad con lo dispuesto en el parágrafo primero del artículo 2.1.4. del Reglamento de Funcionamiento, para la admisión de la Nación - Ministerio de Hacienda y Crédito Público como Miembro de la Cámara, en razón a su naturaleza jurídica, no se le exigirá cumplir ni acreditar los requisitos establecidos en los numerales 3, 12, 13 y 14 del artículo 2.1.4. del Reglamento de Funcionamiento, ni se le exigirá acompañar a la solicitud de admisión los documentos relacionados en los numerales 13, 14, 19 y 21 del presente artículo. </w:t>
      </w:r>
    </w:p>
    <w:p w14:paraId="056B2862" w14:textId="77777777" w:rsidR="007968EC" w:rsidRPr="002C0D19" w:rsidRDefault="007968EC" w:rsidP="007968EC">
      <w:pPr>
        <w:jc w:val="both"/>
        <w:rPr>
          <w:rFonts w:ascii="Arial Narrow" w:hAnsi="Arial Narrow" w:cs="Arial"/>
          <w:lang w:val="es-ES" w:eastAsia="es-ES"/>
        </w:rPr>
      </w:pPr>
    </w:p>
    <w:p w14:paraId="7AF8ED52"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lang w:val="es-ES" w:eastAsia="es-ES"/>
        </w:rPr>
        <w:t xml:space="preserve">Así mismo, en razón a su naturaleza jurídica la Nación - Ministerio de Hacienda y Crédito Público no deberá cumplir con los requisitos de: i) patrimonio técnico establecido en el artículo 1.2.1.3. de la presente Circular; ii) calificación de riesgo mínima señalada en el artículo 1.2.1.4. de la Circular; y iii) con la información periódica exigida en los numerales 1, 2 y 5 del artículo 1.2.1.9. de la presente Circular. </w:t>
      </w:r>
    </w:p>
    <w:p w14:paraId="3AB56C0F" w14:textId="77777777" w:rsidR="007968EC" w:rsidRPr="002C0D19" w:rsidRDefault="007968EC" w:rsidP="007968EC">
      <w:pPr>
        <w:jc w:val="both"/>
        <w:rPr>
          <w:rFonts w:ascii="Arial Narrow" w:hAnsi="Arial Narrow" w:cs="Arial"/>
          <w:lang w:val="es-ES" w:eastAsia="es-ES"/>
        </w:rPr>
      </w:pPr>
    </w:p>
    <w:p w14:paraId="5CFF4C4C" w14:textId="77777777" w:rsidR="007968EC" w:rsidRPr="002C0D19" w:rsidRDefault="007968EC" w:rsidP="007968EC">
      <w:pPr>
        <w:jc w:val="both"/>
        <w:rPr>
          <w:rFonts w:ascii="Arial Narrow" w:hAnsi="Arial Narrow" w:cs="Arial"/>
          <w:color w:val="000000" w:themeColor="text1"/>
        </w:rPr>
      </w:pPr>
      <w:r w:rsidRPr="002C0D19">
        <w:rPr>
          <w:rFonts w:ascii="Arial Narrow" w:hAnsi="Arial Narrow" w:cs="Arial"/>
          <w:lang w:val="es-ES" w:eastAsia="es-ES"/>
        </w:rPr>
        <w:t>Para la afiliación de la Nación - Ministerio de Hacienda y Crédito Público, de conformidad con lo dispuesto en el parágrafo primero del artículo 2.1.4. del Reglamento de Funcionamiento, la Cámara podrá acordar un Convenio, con un contenido mínimo distinto al establecido en el Reglamento para la modalidad de Miembro de que se trate.</w:t>
      </w:r>
      <w:r w:rsidRPr="002C0D19">
        <w:rPr>
          <w:rFonts w:ascii="Arial Narrow" w:hAnsi="Arial Narrow" w:cs="Arial"/>
          <w:color w:val="000000" w:themeColor="text1"/>
          <w:lang w:val="es-ES" w:eastAsia="es-ES"/>
        </w:rPr>
        <w:t xml:space="preserve"> </w:t>
      </w:r>
    </w:p>
    <w:p w14:paraId="491ED913" w14:textId="77777777" w:rsidR="007968EC" w:rsidRPr="002C0D19" w:rsidRDefault="007968EC" w:rsidP="007968EC">
      <w:pPr>
        <w:jc w:val="both"/>
        <w:rPr>
          <w:rFonts w:ascii="Arial Narrow" w:hAnsi="Arial Narrow" w:cs="Arial"/>
          <w:color w:val="000000" w:themeColor="text1"/>
        </w:rPr>
      </w:pPr>
    </w:p>
    <w:p w14:paraId="3F7A8319" w14:textId="77777777" w:rsidR="007968EC" w:rsidRDefault="007968EC" w:rsidP="007968EC">
      <w:pPr>
        <w:pStyle w:val="ARTICULO0"/>
      </w:pPr>
      <w:bookmarkStart w:id="349" w:name="_Toc472592038"/>
      <w:bookmarkStart w:id="350" w:name="_Toc472593057"/>
      <w:bookmarkStart w:id="351" w:name="_Toc479056843"/>
      <w:bookmarkStart w:id="352" w:name="_Toc206134799"/>
      <w:bookmarkStart w:id="353" w:name="_Toc31715848"/>
      <w:bookmarkStart w:id="354" w:name="_Toc470775343"/>
      <w:bookmarkStart w:id="355" w:name="_Toc470779629"/>
      <w:bookmarkStart w:id="356" w:name="_Toc470780246"/>
      <w:bookmarkStart w:id="357" w:name="_Toc470780759"/>
      <w:bookmarkStart w:id="358" w:name="_Toc470784320"/>
      <w:bookmarkStart w:id="359" w:name="_Toc470784857"/>
      <w:bookmarkStart w:id="360" w:name="_Toc470786342"/>
      <w:bookmarkStart w:id="361" w:name="_Toc470786880"/>
      <w:bookmarkStart w:id="362" w:name="_Toc470791233"/>
      <w:bookmarkStart w:id="363" w:name="_Toc490066136"/>
      <w:r w:rsidRPr="002C0D19">
        <w:t>Artículo 1.2.1.2. Requisito de patrimonio técnico para el Miembro Liquidador General</w:t>
      </w:r>
      <w:bookmarkEnd w:id="349"/>
      <w:bookmarkEnd w:id="350"/>
      <w:bookmarkEnd w:id="351"/>
      <w:r w:rsidRPr="002C0D19">
        <w:t>.</w:t>
      </w:r>
      <w:bookmarkEnd w:id="352"/>
      <w:bookmarkEnd w:id="353"/>
      <w:r w:rsidRPr="002C0D19">
        <w:t xml:space="preserve"> </w:t>
      </w:r>
    </w:p>
    <w:p w14:paraId="5A041DB6" w14:textId="77777777" w:rsidR="007968EC" w:rsidRDefault="007968EC" w:rsidP="007968EC">
      <w:pPr>
        <w:keepNext/>
        <w:tabs>
          <w:tab w:val="left" w:pos="1701"/>
        </w:tabs>
        <w:jc w:val="both"/>
        <w:outlineLvl w:val="2"/>
        <w:rPr>
          <w:rFonts w:ascii="Arial Narrow" w:hAnsi="Arial Narrow" w:cs="Arial"/>
          <w:color w:val="000000" w:themeColor="text1"/>
          <w:lang w:eastAsia="es-ES"/>
        </w:rPr>
      </w:pPr>
    </w:p>
    <w:p w14:paraId="6AF4C1D5" w14:textId="77777777" w:rsidR="007968EC" w:rsidRPr="002C0D19" w:rsidRDefault="007968EC" w:rsidP="007968EC">
      <w:pPr>
        <w:pStyle w:val="ANTECEDENTES"/>
      </w:pPr>
      <w:r w:rsidRPr="002C0D19">
        <w:t>(Este artículo fue modificado mediante Circular 2 del 12 de febrero de 2009, publicada en el Boletín Normativo No. 002 del 12 de febrero de 2009, mediante Circular 3 del 17 de febrero de 2010, publicada en el Boletín Normativo No. 003 del 17 de febrero de 2010, mediante Circular 2 del 27 de enero de 2011, publicada en el Boletín Normativo No. 002 del 27 de enero de 2011, mediante Circular 11 del 25 de junio de 2012, publicada en el Boletín Normativo No. 011 del 25 de junio de 2012, mediante Circular 2 del 23 de enero de 2013, publicada en el Boletín Normativo No. 002 del 23 de enero de 2013, mediante Circular 3 del 6 de febrero de 2014, publicada en el Boletín Normativo No. 003 del 6 de febrero de 2014, mediante Circular 2 del 22 de enero de 2015, publicada en el Boletín Normativo No. 002 del 22 de enero de 2015, mediante Circular 2 del 19 de enero de 2016, publicada en el Boletín Normativo No. 002 del 19 de enero de 2016, mediante Circular 19 del 28 de diciembre de 2016, publicada en el Boletín Normativo No. 0</w:t>
      </w:r>
      <w:r>
        <w:t xml:space="preserve">24 del 28 de diciembre de 2016, </w:t>
      </w:r>
      <w:r w:rsidRPr="002C0D19">
        <w:t>mediante Circular 4 del 18 de enero de 2017, publicada en el Boletín Normativo No. 004 del 18 de enero de 2017</w:t>
      </w:r>
      <w:r>
        <w:t xml:space="preserve">, mediante Circular 1 del 13 de febrero de 2018, publicada en el Boletín Normativo No.002 del 13 de febrero de 2018, mediante Circular 1 del 15 de enero de 2019, publicada en el Boletín Normativo No.001 del 15 de enero de 2019 y mediante </w:t>
      </w:r>
      <w:r>
        <w:lastRenderedPageBreak/>
        <w:t>Circular 1 del 10 de enero de 2020, publicada en el Boletín Normativo No. 001 del 10 de enero de 2020. Rige a partir del 13</w:t>
      </w:r>
      <w:r w:rsidRPr="002C0D19">
        <w:t xml:space="preserve"> de </w:t>
      </w:r>
      <w:r>
        <w:t>enero de 2020</w:t>
      </w:r>
      <w:r w:rsidRPr="002C0D19">
        <w:t>.)</w:t>
      </w:r>
      <w:bookmarkEnd w:id="354"/>
      <w:bookmarkEnd w:id="355"/>
      <w:bookmarkEnd w:id="356"/>
      <w:bookmarkEnd w:id="357"/>
      <w:bookmarkEnd w:id="358"/>
      <w:bookmarkEnd w:id="359"/>
      <w:bookmarkEnd w:id="360"/>
      <w:bookmarkEnd w:id="361"/>
      <w:bookmarkEnd w:id="362"/>
      <w:bookmarkEnd w:id="363"/>
    </w:p>
    <w:p w14:paraId="4ABCE5BD" w14:textId="77777777" w:rsidR="007968EC" w:rsidRPr="002C0D19" w:rsidRDefault="007968EC" w:rsidP="007968EC">
      <w:pPr>
        <w:rPr>
          <w:rFonts w:ascii="Arial Narrow" w:hAnsi="Arial Narrow" w:cs="Arial"/>
          <w:b/>
          <w:color w:val="000000" w:themeColor="text1"/>
          <w:lang w:val="es-ES" w:eastAsia="es-ES"/>
        </w:rPr>
      </w:pPr>
      <w:bookmarkStart w:id="364" w:name="_Toc206134800"/>
    </w:p>
    <w:p w14:paraId="4BC66A16" w14:textId="77777777" w:rsidR="007968EC" w:rsidRPr="002C0D19" w:rsidRDefault="007968EC" w:rsidP="007968EC">
      <w:pPr>
        <w:jc w:val="both"/>
        <w:rPr>
          <w:rFonts w:ascii="Arial Narrow" w:hAnsi="Arial Narrow" w:cs="Arial"/>
          <w:color w:val="000000" w:themeColor="text1"/>
          <w:lang w:val="es-ES" w:eastAsia="es-ES"/>
        </w:rPr>
      </w:pPr>
      <w:bookmarkStart w:id="365" w:name="_Hlk506224318"/>
      <w:r w:rsidRPr="002C0D19">
        <w:rPr>
          <w:rFonts w:ascii="Arial Narrow" w:hAnsi="Arial Narrow" w:cs="Arial"/>
          <w:color w:val="000000" w:themeColor="text1"/>
          <w:lang w:val="es-ES" w:eastAsia="es-ES"/>
        </w:rPr>
        <w:t xml:space="preserve">La entidad aspirante a ser Miembro Liquidador General deberá acreditar ante la Cámara que cuenta con un patrimonio técnico mínimo equivalente al capital mínimo exigido para la constitución de un establecimiento bancario, valor que se ajustará anualmente en forma automática en el mismo sentido y porcentaje en que varíe dicho capital mínimo requerido.  </w:t>
      </w:r>
    </w:p>
    <w:p w14:paraId="15E0B373" w14:textId="77777777" w:rsidR="007968EC" w:rsidRPr="002C0D19" w:rsidRDefault="007968EC" w:rsidP="007968EC">
      <w:pPr>
        <w:jc w:val="both"/>
        <w:rPr>
          <w:rFonts w:ascii="Arial Narrow" w:hAnsi="Arial Narrow" w:cs="Arial"/>
          <w:color w:val="000000" w:themeColor="text1"/>
          <w:lang w:val="es-ES" w:eastAsia="es-ES"/>
        </w:rPr>
      </w:pPr>
    </w:p>
    <w:p w14:paraId="6850F401"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El Miembro Liquidador General que cumpla con el requisito de patrimonio técnico mínimo de acceso y permanencia antes indicado, podrá solicitar participar en tal modalidad, en cualquiera de los Segmentos que establezca la Cámara para la Compensación y Liquidación.</w:t>
      </w:r>
    </w:p>
    <w:p w14:paraId="04ADB12B" w14:textId="77777777" w:rsidR="007968EC" w:rsidRPr="002C0D19" w:rsidRDefault="007968EC" w:rsidP="007968EC">
      <w:pPr>
        <w:jc w:val="both"/>
        <w:rPr>
          <w:rFonts w:ascii="Arial Narrow" w:hAnsi="Arial Narrow" w:cs="Arial"/>
          <w:color w:val="000000" w:themeColor="text1"/>
          <w:lang w:eastAsia="es-ES"/>
        </w:rPr>
      </w:pPr>
    </w:p>
    <w:p w14:paraId="16727A31"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El Miembro Liquidador General deberá mantener durante el término en que permanezca vinculado a la Cámara, el patrimonio técnico mínimo exigido, debidamente actualizado. </w:t>
      </w:r>
    </w:p>
    <w:p w14:paraId="40C66CC9" w14:textId="77777777" w:rsidR="007968EC" w:rsidRPr="002C0D19" w:rsidRDefault="007968EC" w:rsidP="007968EC">
      <w:pPr>
        <w:jc w:val="both"/>
        <w:rPr>
          <w:rFonts w:ascii="Arial Narrow" w:hAnsi="Arial Narrow" w:cs="Arial"/>
          <w:color w:val="000000" w:themeColor="text1"/>
          <w:lang w:val="es-ES" w:eastAsia="es-ES"/>
        </w:rPr>
      </w:pPr>
    </w:p>
    <w:p w14:paraId="174843B2"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De conformidad con lo dispuesto en el numeral 2º del artículo 2.1.8. del Reglamento de Funcionamiento, cuando un Miembro Liquidador General disminuya el patrimonio técnico a un nivel inferior al patrimonio técnico mínimo requerido en un porcentaje no superior al diez por ciento (10%), el Miembro Liquidador General deberá constituir a favor de la Cámara una Garantía Individual equivalente al resultado de multiplicar a) 1,5 por b) la diferencia presentada entre el patrimonio técnico mínimo requerido y el último patrimonio técnico acreditado por el Miembro Liquidador General. La garantía deberá constituirse de manera inmediata al requerimiento de la Cámara o en el plazo que la misma indique.</w:t>
      </w:r>
    </w:p>
    <w:p w14:paraId="4A59D3FD" w14:textId="77777777" w:rsidR="007968EC" w:rsidRPr="002C0D19" w:rsidRDefault="007968EC" w:rsidP="007968EC">
      <w:pPr>
        <w:jc w:val="both"/>
        <w:rPr>
          <w:rFonts w:ascii="Arial Narrow" w:hAnsi="Arial Narrow" w:cs="Arial"/>
          <w:color w:val="000000" w:themeColor="text1"/>
          <w:lang w:val="es-ES" w:eastAsia="es-ES"/>
        </w:rPr>
      </w:pPr>
    </w:p>
    <w:p w14:paraId="73265FF5"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En todo caso, el Miembro Liquidador General deberá restablecer el patrimonio técnico al nivel requerido, en un plazo que no podrá exceder de cuatro (4) meses contados a partir de la fecha en que el patrimonio técnico presente el defecto. </w:t>
      </w:r>
    </w:p>
    <w:p w14:paraId="223C2C0C" w14:textId="77777777" w:rsidR="007968EC" w:rsidRPr="002C0D19" w:rsidRDefault="007968EC" w:rsidP="007968EC">
      <w:pPr>
        <w:jc w:val="both"/>
        <w:rPr>
          <w:rFonts w:ascii="Arial Narrow" w:hAnsi="Arial Narrow" w:cs="Arial"/>
          <w:color w:val="000000" w:themeColor="text1"/>
          <w:lang w:val="es-ES" w:eastAsia="es-ES"/>
        </w:rPr>
      </w:pPr>
    </w:p>
    <w:p w14:paraId="79728D84"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En el evento en que el patrimonio técnico requerido de un Miembro Liquidador General disminuya en un porcentaje superior al antes indicado, o que el Miembro Liquidador General no constituya las garantías exigidas por la Cámara, o que venza el plazo de cuatro (4) meses sin que el patrimonio técnico haya sido restablecido, la Cámara podrá exigir garantías adicionales, acordar con el Miembro Liquidador General un plan detallado de retiro voluntario, y en su defecto podrá gestionar el Incumplimiento de conformidad con el Reglamento de Funcionamiento. </w:t>
      </w:r>
    </w:p>
    <w:p w14:paraId="3AABF3E5"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71B8643E"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 w:eastAsia="es-ES"/>
        </w:rPr>
        <w:t xml:space="preserve">Parágrafo. </w:t>
      </w:r>
      <w:r w:rsidRPr="002C0D19">
        <w:rPr>
          <w:rFonts w:ascii="Arial Narrow" w:hAnsi="Arial Narrow" w:cs="Arial"/>
          <w:color w:val="000000" w:themeColor="text1"/>
          <w:lang w:val="es-ES" w:eastAsia="es-ES"/>
        </w:rPr>
        <w:t>El requisito de patrimonio técnico mínimo de acceso y permanencia como Miembro Liquidador General de la Cámara para el año 20</w:t>
      </w:r>
      <w:r>
        <w:rPr>
          <w:rFonts w:ascii="Arial Narrow" w:hAnsi="Arial Narrow" w:cs="Arial"/>
          <w:color w:val="000000" w:themeColor="text1"/>
          <w:lang w:val="es-ES" w:eastAsia="es-ES"/>
        </w:rPr>
        <w:t>20</w:t>
      </w:r>
      <w:r w:rsidRPr="002C0D19">
        <w:rPr>
          <w:rFonts w:ascii="Arial Narrow" w:hAnsi="Arial Narrow" w:cs="Arial"/>
          <w:color w:val="000000" w:themeColor="text1"/>
          <w:lang w:val="es-ES" w:eastAsia="es-ES"/>
        </w:rPr>
        <w:t xml:space="preserve">, asciende a la suma de </w:t>
      </w:r>
      <w:r w:rsidRPr="00335DD8">
        <w:rPr>
          <w:rFonts w:ascii="Arial Narrow" w:hAnsi="Arial Narrow" w:cs="Arial"/>
          <w:color w:val="000000" w:themeColor="text1"/>
          <w:lang w:val="es-ES" w:eastAsia="es-ES"/>
        </w:rPr>
        <w:t>cien mil cuatrocientos noventa y dos millones de pesos ($100.492.000.000)</w:t>
      </w:r>
      <w:r w:rsidRPr="002C0D19">
        <w:rPr>
          <w:rFonts w:ascii="Arial Narrow" w:hAnsi="Arial Narrow" w:cs="Arial"/>
          <w:color w:val="000000" w:themeColor="text1"/>
          <w:lang w:val="es-ES" w:eastAsia="es-ES"/>
        </w:rPr>
        <w:t xml:space="preserve"> moneda corriente.</w:t>
      </w:r>
      <w:bookmarkEnd w:id="365"/>
    </w:p>
    <w:p w14:paraId="49EA8660" w14:textId="77777777" w:rsidR="007968EC" w:rsidRPr="002C0D19" w:rsidRDefault="007968EC" w:rsidP="007968EC">
      <w:pPr>
        <w:jc w:val="both"/>
        <w:rPr>
          <w:rFonts w:ascii="Arial Narrow" w:hAnsi="Arial Narrow" w:cs="Arial"/>
          <w:b/>
          <w:color w:val="000000" w:themeColor="text1"/>
          <w:lang w:val="es-ES" w:eastAsia="es-ES"/>
        </w:rPr>
      </w:pPr>
    </w:p>
    <w:p w14:paraId="4531E16C" w14:textId="77777777" w:rsidR="007968EC" w:rsidRDefault="007968EC" w:rsidP="007968EC">
      <w:pPr>
        <w:pStyle w:val="ARTICULO0"/>
        <w:rPr>
          <w:i/>
          <w:lang w:val="es-ES"/>
        </w:rPr>
      </w:pPr>
      <w:bookmarkStart w:id="366" w:name="_Toc472592039"/>
      <w:bookmarkStart w:id="367" w:name="_Toc472593058"/>
      <w:bookmarkStart w:id="368" w:name="_Toc479056844"/>
      <w:bookmarkStart w:id="369" w:name="_Toc31715849"/>
      <w:bookmarkStart w:id="370" w:name="_Toc490066137"/>
      <w:bookmarkStart w:id="371" w:name="_Toc470775344"/>
      <w:bookmarkStart w:id="372" w:name="_Toc470779630"/>
      <w:bookmarkStart w:id="373" w:name="_Toc470780247"/>
      <w:bookmarkStart w:id="374" w:name="_Toc470780760"/>
      <w:bookmarkStart w:id="375" w:name="_Toc470784321"/>
      <w:bookmarkStart w:id="376" w:name="_Toc470784858"/>
      <w:bookmarkStart w:id="377" w:name="_Toc470786343"/>
      <w:bookmarkStart w:id="378" w:name="_Toc470786881"/>
      <w:bookmarkStart w:id="379" w:name="_Toc470791234"/>
      <w:r w:rsidRPr="002C0D19">
        <w:t>Artículo 1.2.1.3. Requisito de patrimonio técnico para el Miembro Liquidador Individual</w:t>
      </w:r>
      <w:bookmarkEnd w:id="366"/>
      <w:bookmarkEnd w:id="367"/>
      <w:bookmarkEnd w:id="368"/>
      <w:r w:rsidRPr="002C0D19">
        <w:t>.</w:t>
      </w:r>
      <w:bookmarkEnd w:id="364"/>
      <w:bookmarkEnd w:id="369"/>
      <w:r w:rsidRPr="002C0D19">
        <w:rPr>
          <w:i/>
          <w:lang w:val="es-ES"/>
        </w:rPr>
        <w:t xml:space="preserve"> </w:t>
      </w:r>
    </w:p>
    <w:p w14:paraId="25A1D031" w14:textId="77777777" w:rsidR="007968EC" w:rsidRPr="00AB258B" w:rsidRDefault="007968EC" w:rsidP="007968EC">
      <w:pPr>
        <w:jc w:val="both"/>
        <w:rPr>
          <w:rFonts w:ascii="Arial Narrow" w:hAnsi="Arial Narrow" w:cs="Arial"/>
          <w:color w:val="000000" w:themeColor="text1"/>
          <w:lang w:eastAsia="es-ES"/>
        </w:rPr>
      </w:pPr>
    </w:p>
    <w:p w14:paraId="4BBCA71D" w14:textId="77777777" w:rsidR="007968EC" w:rsidRPr="00AB258B" w:rsidRDefault="007968EC" w:rsidP="007968EC">
      <w:pPr>
        <w:pStyle w:val="ANTECEDENTES"/>
      </w:pPr>
      <w:r w:rsidRPr="002C0D19">
        <w:t xml:space="preserve">(Este artículo fue modificado mediante Circular 2 del 12 de febrero de 2009, publicada en el Boletín Normativo No. 002 del 12 de febrero de 2009, mediante Circular 3 del 17 de febrero de 2010, publicada en el Boletín Normativo No. 003 del 17 de febrero de 2010, mediante Circular 2 del 27 de enero de </w:t>
      </w:r>
      <w:r w:rsidRPr="002C0D19">
        <w:lastRenderedPageBreak/>
        <w:t>2011, publicada en el Boletín Normativo No. 002 del 27 de enero de 2011, mediante Circular 11 del 25 de junio de 2012, publicada en el Boletín Normativo No. 011 del 25 de junio de 2012, mediante Circular 2 del 23 de enero de 2013, publicada en el Boletín Normativo No. 002 del 23 de enero de 2013, mediante Circular 3 del 6 de febrero de 2014, publicada en el Boletín Normativo No. 003 del 6 de febrero de 2014, mediante Circular 2 del 22 de enero de 2014, publicada en el Boletín Normativo No. 002 del 22 de enero de 2015, mediante Circular 2 del 19 de enero de 2016, publicada en el Boletín Normativo No. 002 del 19 de enero de 2016, mediante Circular 17 del 15 de diciembre de 2016, publicada en el Boletín Normativo No. 021 del 15 de diciembre de 2016, mediante Circular 19 del 28 de diciembre de 2016, publicada en el Boletín Normativo No. 0</w:t>
      </w:r>
      <w:r>
        <w:t>24 del 28 de diciembre de 2016,</w:t>
      </w:r>
      <w:r w:rsidRPr="002C0D19">
        <w:t xml:space="preserve"> mediante Circular 4 del 18 de enero de 2017, publicada en el Boletín Normativo No. 004 del 18 de enero de 2017</w:t>
      </w:r>
      <w:bookmarkEnd w:id="370"/>
      <w:r>
        <w:t>, mediante Circular 1 del 13 de febrero de 2018, publicada en el Boletín Normativo No.002 del 13 de febrero de 2018, mediante Circular 1 del 15 de enero de 2019, publicada en el Boletín Normativo No. 001 del 15 de enero de 2019, y mediante Circular 1 del 10 de enero de 2020, publicada en el Boletín Normativo No. 001 del 10 de enero de 2020. Rige a partir del 13</w:t>
      </w:r>
      <w:r w:rsidRPr="002C0D19">
        <w:t xml:space="preserve"> de </w:t>
      </w:r>
      <w:r>
        <w:t>enero de 2020</w:t>
      </w:r>
      <w:r w:rsidRPr="002C0D19">
        <w:t>.)</w:t>
      </w:r>
    </w:p>
    <w:bookmarkEnd w:id="371"/>
    <w:bookmarkEnd w:id="372"/>
    <w:bookmarkEnd w:id="373"/>
    <w:bookmarkEnd w:id="374"/>
    <w:bookmarkEnd w:id="375"/>
    <w:bookmarkEnd w:id="376"/>
    <w:bookmarkEnd w:id="377"/>
    <w:bookmarkEnd w:id="378"/>
    <w:bookmarkEnd w:id="379"/>
    <w:p w14:paraId="1F63F009"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57FC3D58" w14:textId="77777777" w:rsidR="007968EC" w:rsidRPr="002C0D19" w:rsidRDefault="007968EC" w:rsidP="007968EC">
      <w:pPr>
        <w:autoSpaceDE w:val="0"/>
        <w:autoSpaceDN w:val="0"/>
        <w:adjustRightInd w:val="0"/>
        <w:jc w:val="both"/>
        <w:rPr>
          <w:rFonts w:ascii="Arial Narrow" w:eastAsia="Calibri" w:hAnsi="Arial Narrow" w:cs="Arial"/>
          <w:bCs/>
          <w:color w:val="000000" w:themeColor="text1"/>
        </w:rPr>
      </w:pPr>
      <w:r w:rsidRPr="002C0D19">
        <w:rPr>
          <w:rFonts w:ascii="Arial Narrow" w:eastAsia="Calibri" w:hAnsi="Arial Narrow" w:cs="Arial"/>
          <w:bCs/>
          <w:color w:val="000000" w:themeColor="text1"/>
        </w:rPr>
        <w:t xml:space="preserve">La entidad aspirante a ser Miembro Liquidador Individual deberá acreditar ante la Cámara, que cuenta con un patrimonio técnico mínimo de </w:t>
      </w:r>
      <w:r w:rsidRPr="00B70DC5">
        <w:rPr>
          <w:rFonts w:ascii="Arial Narrow" w:hAnsi="Arial Narrow" w:cs="Arial"/>
          <w:color w:val="000000" w:themeColor="text1"/>
          <w:lang w:val="es-ES" w:eastAsia="es-ES"/>
        </w:rPr>
        <w:t>dieciséis mil catorce millones de pesos ($16.014.000.000) moneda corriente para el año 2020</w:t>
      </w:r>
      <w:r w:rsidRPr="002C0D19">
        <w:rPr>
          <w:rFonts w:ascii="Arial Narrow" w:eastAsia="Calibri" w:hAnsi="Arial Narrow" w:cs="Arial"/>
          <w:bCs/>
          <w:color w:val="000000" w:themeColor="text1"/>
        </w:rPr>
        <w:t>, valor que se ajustará anualmente, en el mes de enero, en forma automática en el mismo sentido y porcentaje en que varíe el índice de precios al consumidor que s</w:t>
      </w:r>
      <w:r>
        <w:rPr>
          <w:rFonts w:ascii="Arial Narrow" w:eastAsia="Calibri" w:hAnsi="Arial Narrow" w:cs="Arial"/>
          <w:bCs/>
          <w:color w:val="000000" w:themeColor="text1"/>
        </w:rPr>
        <w:t>uministre el DANE</w:t>
      </w:r>
      <w:r w:rsidRPr="002C0D19">
        <w:rPr>
          <w:rFonts w:ascii="Arial Narrow" w:eastAsia="Calibri" w:hAnsi="Arial Narrow" w:cs="Arial"/>
          <w:bCs/>
          <w:color w:val="000000" w:themeColor="text1"/>
        </w:rPr>
        <w:t>.</w:t>
      </w:r>
    </w:p>
    <w:p w14:paraId="02CA3C07"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236D90F7"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El Miembro Liquidador Individual que cumpla con el requisito de patrimonio técnico mínimo de acceso y permanencia antes indicado, podrá solicitar participar en tal modalidad, en cualquiera de los Segmentos que establezca la Cámara para la Compensación y Liquidación.</w:t>
      </w:r>
    </w:p>
    <w:p w14:paraId="3D5F24F5" w14:textId="77777777" w:rsidR="007968EC" w:rsidRPr="002C0D19" w:rsidRDefault="007968EC" w:rsidP="007968EC">
      <w:pPr>
        <w:jc w:val="both"/>
        <w:rPr>
          <w:rFonts w:ascii="Arial Narrow" w:hAnsi="Arial Narrow" w:cs="Arial"/>
          <w:color w:val="000000" w:themeColor="text1"/>
          <w:lang w:val="es-ES" w:eastAsia="es-ES"/>
        </w:rPr>
      </w:pPr>
    </w:p>
    <w:p w14:paraId="06199197"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El Miembro Liquidador Individual deberá mantener durante el término en que permanezca vinculado a la Cámara, el patrimonio técnico mínimo exigido, debidamente actualizado.</w:t>
      </w:r>
    </w:p>
    <w:p w14:paraId="1DF30561" w14:textId="77777777" w:rsidR="007968EC" w:rsidRPr="002C0D19" w:rsidRDefault="007968EC" w:rsidP="007968EC">
      <w:pPr>
        <w:jc w:val="both"/>
        <w:rPr>
          <w:rFonts w:ascii="Arial Narrow" w:hAnsi="Arial Narrow" w:cs="Arial"/>
          <w:color w:val="000000" w:themeColor="text1"/>
          <w:lang w:val="es-ES" w:eastAsia="es-ES"/>
        </w:rPr>
      </w:pPr>
    </w:p>
    <w:p w14:paraId="0F222492"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De conformidad con lo dispuesto en el numeral 2º del artículo 2.1.8. del Reglamento de Funcionamiento, cuando un Miembro Liquidador Individual disminuya el patrimonio técnico a un nivel inferior al patrimonio técnico mínimo requerido en un porcentaje no superior al diez por ciento (10%), el Miembro Liquidador Individual deberá constituir a favor de la Cámara una Garantía Individual equivalente al resultado de multiplicar a) 1,5 por b) la diferencia presentada entre el patrimonio técnico mínimo requerido y el último patrimonio técnico acreditado por el Miembro Liquidador Individual. La garantía deberá constituirse de manera inmediata al requerimiento de la Cámara o en el plazo que la misma indique.</w:t>
      </w:r>
    </w:p>
    <w:p w14:paraId="2BE1AFB6" w14:textId="77777777" w:rsidR="007968EC" w:rsidRPr="002C0D19" w:rsidRDefault="007968EC" w:rsidP="007968EC">
      <w:pPr>
        <w:jc w:val="both"/>
        <w:rPr>
          <w:rFonts w:ascii="Arial Narrow" w:hAnsi="Arial Narrow" w:cs="Arial"/>
          <w:color w:val="000000" w:themeColor="text1"/>
          <w:lang w:val="es-ES" w:eastAsia="es-ES"/>
        </w:rPr>
      </w:pPr>
    </w:p>
    <w:p w14:paraId="0C1E9537"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En todo caso, el Miembro Liquidador Individual deberá restablecer el patrimonio técnico al nivel requerido, en un plazo que no podrá exceder de cuatro (4) meses contados a partir de la fecha en que el patrimonio técnico presente el defecto. </w:t>
      </w:r>
    </w:p>
    <w:p w14:paraId="0C4F0606" w14:textId="77777777" w:rsidR="007968EC" w:rsidRPr="002C0D19" w:rsidRDefault="007968EC" w:rsidP="007968EC">
      <w:pPr>
        <w:jc w:val="both"/>
        <w:rPr>
          <w:rFonts w:ascii="Arial Narrow" w:hAnsi="Arial Narrow" w:cs="Arial"/>
          <w:color w:val="000000" w:themeColor="text1"/>
          <w:lang w:val="es-ES" w:eastAsia="es-ES"/>
        </w:rPr>
      </w:pPr>
    </w:p>
    <w:p w14:paraId="4EA6B9A5"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En el evento en que el patrimonio técnico requerido de un Miembro Liquidador Individual disminuya en un porcentaje superior al antes indicado, o que el Miembro Liquidador Individual no constituya las garantías exigidas por la Cámara, o que venza el plazo de cuatro (4) meses sin que el patrimonio técnico haya sido restablecido, la Cámara podrá exigir garantías adicionales, acordar con el Miembro Liquidador Individual un </w:t>
      </w:r>
      <w:r w:rsidRPr="002C0D19">
        <w:rPr>
          <w:rFonts w:ascii="Arial Narrow" w:hAnsi="Arial Narrow" w:cs="Arial"/>
          <w:color w:val="000000" w:themeColor="text1"/>
          <w:lang w:val="es-ES" w:eastAsia="es-ES"/>
        </w:rPr>
        <w:lastRenderedPageBreak/>
        <w:t>plan detallado de retiro voluntario, y en su defecto podrá gestionar el Incumplimiento de conformidad con el Reglamento de Funcionamiento.</w:t>
      </w:r>
    </w:p>
    <w:p w14:paraId="6D2CC1E2" w14:textId="77777777" w:rsidR="007968EC" w:rsidRPr="002C0D19" w:rsidRDefault="007968EC" w:rsidP="007968EC">
      <w:pPr>
        <w:jc w:val="both"/>
        <w:rPr>
          <w:rFonts w:ascii="Arial Narrow" w:hAnsi="Arial Narrow" w:cs="Arial"/>
          <w:color w:val="000000" w:themeColor="text1"/>
          <w:lang w:val="es-ES" w:eastAsia="es-ES"/>
        </w:rPr>
      </w:pPr>
    </w:p>
    <w:p w14:paraId="6916FE39"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 w:eastAsia="es-ES"/>
        </w:rPr>
        <w:t>Parágrafo Primero.</w:t>
      </w:r>
      <w:r w:rsidRPr="002C0D19">
        <w:rPr>
          <w:rFonts w:ascii="Arial Narrow" w:hAnsi="Arial Narrow" w:cs="Arial"/>
          <w:color w:val="000000" w:themeColor="text1"/>
          <w:lang w:val="es-ES" w:eastAsia="es-ES"/>
        </w:rPr>
        <w:t xml:space="preserve"> No obstante lo anterior, la Cámara podrá establecer el patrimonio técnico que se debe acreditar para participar en cada Segmento como Miembro Liquidador Individual. En este caso, la entidad que pretenda participar en varios Segmentos como Miembro Liquidador Individual deberá acreditar el requisito mínimo de patrimonio técnico correspondiente al mayor valor de los requerimientos de patrimonio técnico de todos los Segmentos en los que pretenda participar. </w:t>
      </w:r>
    </w:p>
    <w:p w14:paraId="3223CC1D" w14:textId="77777777" w:rsidR="007968EC" w:rsidRPr="002C0D19" w:rsidRDefault="007968EC" w:rsidP="007968EC">
      <w:pPr>
        <w:jc w:val="both"/>
        <w:rPr>
          <w:rFonts w:ascii="Arial Narrow" w:hAnsi="Arial Narrow" w:cs="Arial"/>
          <w:color w:val="000000" w:themeColor="text1"/>
          <w:lang w:val="es-ES" w:eastAsia="es-ES"/>
        </w:rPr>
      </w:pPr>
    </w:p>
    <w:p w14:paraId="225A5498" w14:textId="77777777" w:rsidR="007968EC" w:rsidRPr="002C0D19" w:rsidRDefault="007968EC" w:rsidP="007968EC">
      <w:pPr>
        <w:jc w:val="both"/>
        <w:rPr>
          <w:rFonts w:ascii="Arial Narrow" w:hAnsi="Arial Narrow" w:cs="Arial"/>
          <w:b/>
          <w:color w:val="000000" w:themeColor="text1"/>
          <w:u w:val="single"/>
          <w:lang w:val="es-ES" w:eastAsia="es-ES"/>
        </w:rPr>
      </w:pPr>
      <w:r w:rsidRPr="002C0D19">
        <w:rPr>
          <w:rFonts w:ascii="Arial Narrow" w:hAnsi="Arial Narrow" w:cs="Arial"/>
          <w:color w:val="000000" w:themeColor="text1"/>
          <w:lang w:val="es-ES" w:eastAsia="es-ES"/>
        </w:rPr>
        <w:t xml:space="preserve">En el evento en que la Cámara establezca para un Segmento específico un patrimonio técnico inferior al indicado en el primer inciso del presente artículo, la entidad que solicite ser admitida o participar como Miembro Liquidador Individual exclusivamente para dicho Segmento, podrá acreditar únicamente el patrimonio técnico que se exija en la presente Circular para tal Segmento. </w:t>
      </w:r>
      <w:r w:rsidRPr="002C0D19">
        <w:rPr>
          <w:rFonts w:ascii="Arial Narrow" w:hAnsi="Arial Narrow" w:cs="Arial"/>
          <w:b/>
          <w:color w:val="000000" w:themeColor="text1"/>
          <w:u w:val="single"/>
          <w:lang w:val="es-ES" w:eastAsia="es-ES"/>
        </w:rPr>
        <w:t xml:space="preserve"> </w:t>
      </w:r>
    </w:p>
    <w:p w14:paraId="7E6C1FCF" w14:textId="77777777" w:rsidR="007968EC" w:rsidRPr="002C0D19" w:rsidRDefault="007968EC" w:rsidP="007968EC">
      <w:pPr>
        <w:keepNext/>
        <w:autoSpaceDE w:val="0"/>
        <w:autoSpaceDN w:val="0"/>
        <w:contextualSpacing/>
        <w:jc w:val="both"/>
        <w:rPr>
          <w:rFonts w:ascii="Arial Narrow" w:hAnsi="Arial Narrow" w:cs="Arial"/>
          <w:b/>
          <w:color w:val="000000" w:themeColor="text1"/>
          <w:lang w:val="es-ES" w:eastAsia="es-ES"/>
        </w:rPr>
      </w:pPr>
    </w:p>
    <w:p w14:paraId="150D4B2D" w14:textId="77777777" w:rsidR="007968EC" w:rsidRPr="002C0D19" w:rsidRDefault="007968EC" w:rsidP="007968EC">
      <w:pPr>
        <w:keepNext/>
        <w:autoSpaceDE w:val="0"/>
        <w:autoSpaceDN w:val="0"/>
        <w:contextualSpacing/>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 w:eastAsia="es-ES"/>
        </w:rPr>
        <w:t xml:space="preserve">Parágrafo Segundo. </w:t>
      </w:r>
      <w:r w:rsidRPr="002C0D19">
        <w:rPr>
          <w:rFonts w:ascii="Arial Narrow" w:hAnsi="Arial Narrow" w:cs="Arial"/>
          <w:color w:val="000000" w:themeColor="text1"/>
          <w:lang w:val="es-ES" w:eastAsia="es-ES"/>
        </w:rPr>
        <w:t>De conformidad con lo dispuesto en el parágrafo primero del artículo 2.1.4. del Reglamento de Funcionamiento, la Nación - Ministerio de Hacienda y Crédito Público y el Banco de la República no estarán obligados a acreditar el patrimonio técnico establecido en el presente artículo.</w:t>
      </w:r>
    </w:p>
    <w:p w14:paraId="3A09C44E" w14:textId="77777777" w:rsidR="007968EC" w:rsidRPr="002C0D19" w:rsidRDefault="007968EC" w:rsidP="007968EC">
      <w:pPr>
        <w:jc w:val="both"/>
        <w:rPr>
          <w:rFonts w:ascii="Arial Narrow" w:hAnsi="Arial Narrow" w:cs="Arial"/>
          <w:color w:val="000000" w:themeColor="text1"/>
          <w:lang w:val="es-ES" w:eastAsia="es-ES"/>
        </w:rPr>
      </w:pPr>
    </w:p>
    <w:p w14:paraId="23BCBEB4" w14:textId="77777777" w:rsidR="007968EC" w:rsidRDefault="007968EC" w:rsidP="007968EC">
      <w:pPr>
        <w:pStyle w:val="ARTICULO0"/>
      </w:pPr>
      <w:bookmarkStart w:id="380" w:name="_Toc472592040"/>
      <w:bookmarkStart w:id="381" w:name="_Toc472593059"/>
      <w:bookmarkStart w:id="382" w:name="_Toc479056845"/>
      <w:bookmarkStart w:id="383" w:name="_Toc31715850"/>
      <w:bookmarkStart w:id="384" w:name="_Toc470775345"/>
      <w:bookmarkStart w:id="385" w:name="_Toc470779631"/>
      <w:bookmarkStart w:id="386" w:name="_Toc470780248"/>
      <w:bookmarkStart w:id="387" w:name="_Toc470780761"/>
      <w:bookmarkStart w:id="388" w:name="_Toc470784322"/>
      <w:bookmarkStart w:id="389" w:name="_Toc470784859"/>
      <w:bookmarkStart w:id="390" w:name="_Toc470786344"/>
      <w:bookmarkStart w:id="391" w:name="_Toc470786882"/>
      <w:bookmarkStart w:id="392" w:name="_Toc470791235"/>
      <w:bookmarkStart w:id="393" w:name="_Toc490066138"/>
      <w:r w:rsidRPr="002C0D19">
        <w:t>Artículo 1.2.1.4. Calificaciones de riesgo mínimas exigidas.</w:t>
      </w:r>
      <w:bookmarkEnd w:id="380"/>
      <w:bookmarkEnd w:id="381"/>
      <w:bookmarkEnd w:id="382"/>
      <w:bookmarkEnd w:id="383"/>
      <w:r w:rsidRPr="002C0D19">
        <w:t xml:space="preserve"> </w:t>
      </w:r>
    </w:p>
    <w:p w14:paraId="1AECB51E" w14:textId="77777777" w:rsidR="007968EC" w:rsidRPr="00AB258B" w:rsidRDefault="007968EC" w:rsidP="007968EC">
      <w:pPr>
        <w:jc w:val="both"/>
        <w:rPr>
          <w:rFonts w:ascii="Arial Narrow" w:hAnsi="Arial Narrow" w:cs="Arial"/>
          <w:color w:val="000000" w:themeColor="text1"/>
          <w:lang w:eastAsia="es-ES"/>
        </w:rPr>
      </w:pPr>
    </w:p>
    <w:p w14:paraId="05ECFC72" w14:textId="77777777" w:rsidR="007968EC" w:rsidRPr="002C0D19" w:rsidRDefault="007968EC" w:rsidP="007968EC">
      <w:pPr>
        <w:pStyle w:val="ANTECEDENTES"/>
      </w:pPr>
      <w:r w:rsidRPr="002C0D19">
        <w:t>(Este artículo fue modificado mediante Circular 2 del 12 de febrero de 2009, publicada en el Boletín Normativo No. 002 del 12 de febrero de 2009, mediante Circular 8 del 18 de junio de 2009, publicada en el Boletín Normativo No. 010 del 18 de junio de 2009, mediante Circular 11 del 20 de agosto de 2009, publicada en el Boletín Normativo No. 014 del 20 de agosto de 2009, mediante Circular 26 del 22 de diciembre de 2014, publicada en el Boletín Normativo No. 029 del 22 de diciembre de 2014</w:t>
      </w:r>
      <w:r w:rsidRPr="002C0D19">
        <w:rPr>
          <w:lang w:val="es-ES"/>
        </w:rPr>
        <w:t xml:space="preserve">, mediante Circular 17 del 15 de diciembre de 2016, publicada en el Boletín Normativo No. 021 del 15 de diciembre de 2016, mediante Circular 19 del 28 de diciembre de 2016, publicada en el Boletín Normativo No. 024 del 28 de diciembre de 2016 y mediante Circular 14 del 8 de agosto de 2017, publicada en el Boletín Normativo No. 015 del 8 de agosto de 2017. </w:t>
      </w:r>
      <w:r w:rsidRPr="002C0D19">
        <w:t>Rige a partir del 9 de agosto de 2017.</w:t>
      </w:r>
      <w:r w:rsidRPr="002C0D19">
        <w:rPr>
          <w:lang w:val="es-ES"/>
        </w:rPr>
        <w:t>)</w:t>
      </w:r>
      <w:bookmarkEnd w:id="384"/>
      <w:bookmarkEnd w:id="385"/>
      <w:bookmarkEnd w:id="386"/>
      <w:bookmarkEnd w:id="387"/>
      <w:bookmarkEnd w:id="388"/>
      <w:bookmarkEnd w:id="389"/>
      <w:bookmarkEnd w:id="390"/>
      <w:bookmarkEnd w:id="391"/>
      <w:bookmarkEnd w:id="392"/>
      <w:bookmarkEnd w:id="393"/>
    </w:p>
    <w:p w14:paraId="6F9D4BE5" w14:textId="77777777" w:rsidR="007968EC" w:rsidRPr="002C0D19" w:rsidRDefault="007968EC" w:rsidP="007968EC">
      <w:pPr>
        <w:keepNext/>
        <w:autoSpaceDE w:val="0"/>
        <w:autoSpaceDN w:val="0"/>
        <w:contextualSpacing/>
        <w:jc w:val="both"/>
        <w:rPr>
          <w:rFonts w:ascii="Arial Narrow" w:hAnsi="Arial Narrow" w:cs="Arial"/>
          <w:b/>
          <w:color w:val="000000" w:themeColor="text1"/>
          <w:lang w:val="es-ES" w:eastAsia="es-ES"/>
        </w:rPr>
      </w:pPr>
    </w:p>
    <w:p w14:paraId="00759006" w14:textId="77777777" w:rsidR="007968EC" w:rsidRPr="002C0D19" w:rsidRDefault="007968EC" w:rsidP="007968EC">
      <w:pPr>
        <w:jc w:val="both"/>
        <w:rPr>
          <w:rFonts w:ascii="Arial Narrow" w:hAnsi="Arial Narrow" w:cs="Arial"/>
          <w:lang w:val="es-ES" w:eastAsia="es-ES"/>
        </w:rPr>
      </w:pPr>
      <w:bookmarkStart w:id="394" w:name="_Toc206134801"/>
      <w:r w:rsidRPr="002C0D19">
        <w:rPr>
          <w:rFonts w:ascii="Arial Narrow" w:hAnsi="Arial Narrow" w:cs="Arial"/>
          <w:lang w:val="es-ES" w:eastAsia="es-ES"/>
        </w:rPr>
        <w:t xml:space="preserve">Las entidades aspirantes a Miembros deberán contar con una calificación de riesgo emitida por una Calificadora de Riesgos autorizada por la Superintendencia Financiera de Colombia, así: </w:t>
      </w:r>
    </w:p>
    <w:p w14:paraId="3922E529" w14:textId="77777777" w:rsidR="007968EC" w:rsidRPr="002C0D19" w:rsidRDefault="007968EC" w:rsidP="007968EC">
      <w:pPr>
        <w:jc w:val="both"/>
        <w:rPr>
          <w:rFonts w:ascii="Arial Narrow" w:hAnsi="Arial Narrow" w:cs="Arial"/>
          <w:lang w:val="es-ES" w:eastAsia="es-ES"/>
        </w:rPr>
      </w:pPr>
    </w:p>
    <w:p w14:paraId="0ABE2B78" w14:textId="77777777" w:rsidR="007968EC" w:rsidRPr="002C0D19" w:rsidRDefault="007968EC" w:rsidP="00DA7472">
      <w:pPr>
        <w:numPr>
          <w:ilvl w:val="0"/>
          <w:numId w:val="27"/>
        </w:numPr>
        <w:jc w:val="both"/>
        <w:rPr>
          <w:rFonts w:ascii="Arial Narrow" w:hAnsi="Arial Narrow" w:cs="Arial"/>
          <w:lang w:val="es-ES" w:eastAsia="es-ES"/>
        </w:rPr>
      </w:pPr>
      <w:r w:rsidRPr="002C0D19">
        <w:rPr>
          <w:rFonts w:ascii="Arial Narrow" w:hAnsi="Arial Narrow" w:cs="Arial"/>
          <w:lang w:val="es-ES" w:eastAsia="es-ES"/>
        </w:rPr>
        <w:t xml:space="preserve">Las entidades aspirantes a Miembros Liquidadores deberán acreditar las siguientes calificaciones de riesgo mínimas: </w:t>
      </w:r>
    </w:p>
    <w:p w14:paraId="3C9643CE" w14:textId="77777777" w:rsidR="007968EC" w:rsidRPr="002C0D19" w:rsidRDefault="007968EC" w:rsidP="007968EC">
      <w:pPr>
        <w:ind w:left="360"/>
        <w:contextualSpacing/>
        <w:jc w:val="both"/>
        <w:rPr>
          <w:rFonts w:ascii="Arial Narrow" w:hAnsi="Arial Narrow" w:cs="Arial"/>
          <w:lang w:val="es-ES" w:eastAsia="es-ES"/>
        </w:rPr>
      </w:pPr>
    </w:p>
    <w:p w14:paraId="6BB40BED" w14:textId="77777777" w:rsidR="007968EC" w:rsidRPr="002C0D19" w:rsidRDefault="007968EC" w:rsidP="00DA7472">
      <w:pPr>
        <w:numPr>
          <w:ilvl w:val="1"/>
          <w:numId w:val="27"/>
        </w:numPr>
        <w:jc w:val="both"/>
        <w:rPr>
          <w:rFonts w:ascii="Arial Narrow" w:hAnsi="Arial Narrow" w:cs="Arial"/>
          <w:lang w:val="es-ES" w:eastAsia="es-ES"/>
        </w:rPr>
      </w:pPr>
      <w:r w:rsidRPr="002C0D19">
        <w:rPr>
          <w:rFonts w:ascii="Arial Narrow" w:hAnsi="Arial Narrow" w:cs="Arial"/>
          <w:lang w:val="es-ES" w:eastAsia="es-ES"/>
        </w:rPr>
        <w:t xml:space="preserve">Los establecimientos bancarios y Corporaciones Financieras una calificación mínima de riesgo de crédito de corto plazo emisor F1 (Fitch Ratings) o BRC2+ (BRC Investor </w:t>
      </w:r>
      <w:proofErr w:type="spellStart"/>
      <w:r w:rsidRPr="002C0D19">
        <w:rPr>
          <w:rFonts w:ascii="Arial Narrow" w:hAnsi="Arial Narrow" w:cs="Arial"/>
          <w:lang w:val="es-ES" w:eastAsia="es-ES"/>
        </w:rPr>
        <w:t>Service</w:t>
      </w:r>
      <w:proofErr w:type="spellEnd"/>
      <w:r w:rsidRPr="002C0D19">
        <w:rPr>
          <w:rFonts w:ascii="Arial Narrow" w:hAnsi="Arial Narrow" w:cs="Arial"/>
          <w:lang w:val="es-ES" w:eastAsia="es-ES"/>
        </w:rPr>
        <w:t>) o VrR1- (</w:t>
      </w:r>
      <w:proofErr w:type="spellStart"/>
      <w:r w:rsidRPr="002C0D19">
        <w:rPr>
          <w:rFonts w:ascii="Arial Narrow" w:hAnsi="Arial Narrow" w:cs="Arial"/>
          <w:lang w:val="es-ES" w:eastAsia="es-ES"/>
        </w:rPr>
        <w:t>Value</w:t>
      </w:r>
      <w:proofErr w:type="spellEnd"/>
      <w:r w:rsidRPr="002C0D19">
        <w:rPr>
          <w:rFonts w:ascii="Arial Narrow" w:hAnsi="Arial Narrow" w:cs="Arial"/>
          <w:lang w:val="es-ES" w:eastAsia="es-ES"/>
        </w:rPr>
        <w:t xml:space="preserve"> and Risk Rating S.A.) o su nivel equivalente en otras calificadoras de riesgos autorizadas por la Superintendencia Financiera de Colombia. </w:t>
      </w:r>
    </w:p>
    <w:p w14:paraId="753A77FC" w14:textId="77777777" w:rsidR="007968EC" w:rsidRPr="002C0D19" w:rsidRDefault="007968EC" w:rsidP="007968EC">
      <w:pPr>
        <w:ind w:left="1080"/>
        <w:contextualSpacing/>
        <w:jc w:val="both"/>
        <w:rPr>
          <w:rFonts w:ascii="Arial Narrow" w:hAnsi="Arial Narrow" w:cs="Arial"/>
          <w:lang w:val="es-ES" w:eastAsia="es-ES"/>
        </w:rPr>
      </w:pPr>
    </w:p>
    <w:p w14:paraId="5F19E62C" w14:textId="77777777" w:rsidR="007968EC" w:rsidRPr="002C0D19" w:rsidRDefault="007968EC" w:rsidP="00DA7472">
      <w:pPr>
        <w:numPr>
          <w:ilvl w:val="1"/>
          <w:numId w:val="27"/>
        </w:numPr>
        <w:jc w:val="both"/>
        <w:rPr>
          <w:rFonts w:ascii="Arial Narrow" w:hAnsi="Arial Narrow" w:cs="Arial"/>
          <w:lang w:val="es-ES" w:eastAsia="es-ES"/>
        </w:rPr>
      </w:pPr>
      <w:r w:rsidRPr="002C0D19">
        <w:rPr>
          <w:rFonts w:ascii="Arial Narrow" w:hAnsi="Arial Narrow" w:cs="Arial"/>
          <w:lang w:val="es-ES" w:eastAsia="es-ES"/>
        </w:rPr>
        <w:lastRenderedPageBreak/>
        <w:t xml:space="preserve">Las Sociedades Comisionistas de Bolsa una calificación mínima de Administrador de Activos de Inversión Buenos Estándares - (Fitch Ratings) o de Calidad en Administración de Portafolios PAA- (BRC Investor </w:t>
      </w:r>
      <w:proofErr w:type="spellStart"/>
      <w:r w:rsidRPr="002C0D19">
        <w:rPr>
          <w:rFonts w:ascii="Arial Narrow" w:hAnsi="Arial Narrow" w:cs="Arial"/>
          <w:lang w:val="es-ES" w:eastAsia="es-ES"/>
        </w:rPr>
        <w:t>Service</w:t>
      </w:r>
      <w:proofErr w:type="spellEnd"/>
      <w:r w:rsidRPr="002C0D19">
        <w:rPr>
          <w:rFonts w:ascii="Arial Narrow" w:hAnsi="Arial Narrow" w:cs="Arial"/>
          <w:lang w:val="es-ES" w:eastAsia="es-ES"/>
        </w:rPr>
        <w:t>) o de Riesgo de Eficiencia en Administración de Portafolios de AA - (</w:t>
      </w:r>
      <w:proofErr w:type="spellStart"/>
      <w:r w:rsidRPr="002C0D19">
        <w:rPr>
          <w:rFonts w:ascii="Arial Narrow" w:hAnsi="Arial Narrow" w:cs="Arial"/>
          <w:lang w:val="es-ES" w:eastAsia="es-ES"/>
        </w:rPr>
        <w:t>Value</w:t>
      </w:r>
      <w:proofErr w:type="spellEnd"/>
      <w:r w:rsidRPr="002C0D19">
        <w:rPr>
          <w:rFonts w:ascii="Arial Narrow" w:hAnsi="Arial Narrow" w:cs="Arial"/>
          <w:lang w:val="es-ES" w:eastAsia="es-ES"/>
        </w:rPr>
        <w:t xml:space="preserve"> and Risk Rating S.A.)</w:t>
      </w:r>
      <w:r w:rsidRPr="002C0D19">
        <w:rPr>
          <w:rFonts w:ascii="Arial Narrow" w:hAnsi="Arial Narrow" w:cs="Arial"/>
          <w:b/>
          <w:lang w:eastAsia="es-ES"/>
        </w:rPr>
        <w:t xml:space="preserve"> </w:t>
      </w:r>
      <w:r w:rsidRPr="002C0D19">
        <w:rPr>
          <w:rFonts w:ascii="Arial Narrow" w:hAnsi="Arial Narrow" w:cs="Arial"/>
          <w:lang w:val="es-ES" w:eastAsia="es-ES"/>
        </w:rPr>
        <w:t xml:space="preserve">o una calificación mínima de Riesgo de Contraparte de A+ (BRC Investor Services o </w:t>
      </w:r>
      <w:proofErr w:type="spellStart"/>
      <w:r w:rsidRPr="002C0D19">
        <w:rPr>
          <w:rFonts w:ascii="Arial Narrow" w:hAnsi="Arial Narrow" w:cs="Arial"/>
          <w:lang w:val="es-ES" w:eastAsia="es-ES"/>
        </w:rPr>
        <w:t>Value</w:t>
      </w:r>
      <w:proofErr w:type="spellEnd"/>
      <w:r w:rsidRPr="002C0D19">
        <w:rPr>
          <w:rFonts w:ascii="Arial Narrow" w:hAnsi="Arial Narrow" w:cs="Arial"/>
          <w:lang w:val="es-ES" w:eastAsia="es-ES"/>
        </w:rPr>
        <w:t xml:space="preserve"> and </w:t>
      </w:r>
      <w:proofErr w:type="spellStart"/>
      <w:r w:rsidRPr="002C0D19">
        <w:rPr>
          <w:rFonts w:ascii="Arial Narrow" w:hAnsi="Arial Narrow" w:cs="Arial"/>
          <w:lang w:val="es-ES" w:eastAsia="es-ES"/>
        </w:rPr>
        <w:t>RisK</w:t>
      </w:r>
      <w:proofErr w:type="spellEnd"/>
      <w:r w:rsidRPr="002C0D19">
        <w:rPr>
          <w:rFonts w:ascii="Arial Narrow" w:hAnsi="Arial Narrow" w:cs="Arial"/>
          <w:lang w:val="es-ES" w:eastAsia="es-ES"/>
        </w:rPr>
        <w:t xml:space="preserve"> Rating S.A.)</w:t>
      </w:r>
      <w:r w:rsidRPr="002C0D19">
        <w:rPr>
          <w:rFonts w:ascii="Arial Narrow" w:hAnsi="Arial Narrow" w:cs="Arial"/>
          <w:b/>
          <w:lang w:val="es-ES" w:eastAsia="es-ES"/>
        </w:rPr>
        <w:t xml:space="preserve"> </w:t>
      </w:r>
      <w:r w:rsidRPr="002C0D19">
        <w:rPr>
          <w:rFonts w:ascii="Arial Narrow" w:hAnsi="Arial Narrow" w:cs="Arial"/>
          <w:lang w:eastAsia="es-ES"/>
        </w:rPr>
        <w:t>o</w:t>
      </w:r>
      <w:r w:rsidRPr="002C0D19">
        <w:rPr>
          <w:rFonts w:ascii="Arial Narrow" w:hAnsi="Arial Narrow" w:cs="Arial"/>
          <w:lang w:val="es-ES" w:eastAsia="es-ES"/>
        </w:rPr>
        <w:t xml:space="preserve"> su nivel equivalente en otras calificadoras de riesgos autorizadas por la Superintendencia Financiera de Colombia. </w:t>
      </w:r>
    </w:p>
    <w:p w14:paraId="7FA007E9" w14:textId="77777777" w:rsidR="007968EC" w:rsidRPr="002C0D19" w:rsidRDefault="007968EC" w:rsidP="007968EC">
      <w:pPr>
        <w:contextualSpacing/>
        <w:jc w:val="both"/>
        <w:rPr>
          <w:rFonts w:ascii="Arial Narrow" w:hAnsi="Arial Narrow" w:cs="Arial"/>
          <w:lang w:val="es-ES" w:eastAsia="es-ES"/>
        </w:rPr>
      </w:pPr>
    </w:p>
    <w:p w14:paraId="395C855C" w14:textId="77777777" w:rsidR="007968EC" w:rsidRPr="002C0D19" w:rsidRDefault="007968EC" w:rsidP="00DA7472">
      <w:pPr>
        <w:numPr>
          <w:ilvl w:val="0"/>
          <w:numId w:val="27"/>
        </w:numPr>
        <w:jc w:val="both"/>
        <w:rPr>
          <w:rFonts w:ascii="Arial Narrow" w:hAnsi="Arial Narrow" w:cs="Arial"/>
          <w:lang w:val="es-ES" w:eastAsia="es-ES"/>
        </w:rPr>
      </w:pPr>
      <w:r w:rsidRPr="002C0D19">
        <w:rPr>
          <w:rFonts w:ascii="Arial Narrow" w:hAnsi="Arial Narrow" w:cs="Arial"/>
          <w:lang w:val="es-ES" w:eastAsia="es-ES"/>
        </w:rPr>
        <w:t>A las entidades aspirantes a Miembros no Liquidadores no se les exigirá una calificación mínima de riesgo. No obstante dicha calificación, en caso de tenerla, será considerada en la evaluación de los aspectos cuantitativos.</w:t>
      </w:r>
    </w:p>
    <w:p w14:paraId="2D74DCE2" w14:textId="77777777" w:rsidR="007968EC" w:rsidRPr="002C0D19" w:rsidRDefault="007968EC" w:rsidP="007968EC">
      <w:pPr>
        <w:ind w:left="360"/>
        <w:contextualSpacing/>
        <w:jc w:val="both"/>
        <w:rPr>
          <w:rFonts w:ascii="Arial Narrow" w:hAnsi="Arial Narrow" w:cs="Arial"/>
          <w:lang w:val="es-ES" w:eastAsia="es-ES"/>
        </w:rPr>
      </w:pPr>
    </w:p>
    <w:p w14:paraId="774AA85C"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b/>
          <w:lang w:val="es-ES" w:eastAsia="es-ES"/>
        </w:rPr>
        <w:t>Parágrafo Primero</w:t>
      </w:r>
      <w:r w:rsidRPr="002C0D19">
        <w:rPr>
          <w:rFonts w:ascii="Arial Narrow" w:hAnsi="Arial Narrow" w:cs="Arial"/>
          <w:lang w:val="es-ES" w:eastAsia="es-ES"/>
        </w:rPr>
        <w:t xml:space="preserve">. Las entidades que no cuenten con la calificación exigida en el presente </w:t>
      </w:r>
      <w:proofErr w:type="gramStart"/>
      <w:r w:rsidRPr="002C0D19">
        <w:rPr>
          <w:rFonts w:ascii="Arial Narrow" w:hAnsi="Arial Narrow" w:cs="Arial"/>
          <w:lang w:val="es-ES" w:eastAsia="es-ES"/>
        </w:rPr>
        <w:t>artículo,</w:t>
      </w:r>
      <w:proofErr w:type="gramEnd"/>
      <w:r w:rsidRPr="002C0D19">
        <w:rPr>
          <w:rFonts w:ascii="Arial Narrow" w:hAnsi="Arial Narrow" w:cs="Arial"/>
          <w:lang w:val="es-ES" w:eastAsia="es-ES"/>
        </w:rPr>
        <w:t xml:space="preserve"> tendrán un plazo de seis (6) meses contados a partir de su admisión como Miembros para gestionar y acreditar su calificación ante la Cámara. </w:t>
      </w:r>
    </w:p>
    <w:p w14:paraId="0629BE99" w14:textId="77777777" w:rsidR="007968EC" w:rsidRPr="002C0D19" w:rsidRDefault="007968EC" w:rsidP="007968EC">
      <w:pPr>
        <w:jc w:val="both"/>
        <w:rPr>
          <w:rFonts w:ascii="Arial Narrow" w:hAnsi="Arial Narrow" w:cs="Arial"/>
          <w:lang w:val="es-ES" w:eastAsia="es-ES"/>
        </w:rPr>
      </w:pPr>
    </w:p>
    <w:p w14:paraId="0A8199B9"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b/>
          <w:lang w:val="es-ES" w:eastAsia="es-ES"/>
        </w:rPr>
        <w:t>Parágrafo Segundo.</w:t>
      </w:r>
      <w:r w:rsidRPr="002C0D19">
        <w:rPr>
          <w:rFonts w:ascii="Arial Narrow" w:hAnsi="Arial Narrow" w:cs="Arial"/>
          <w:lang w:val="es-ES" w:eastAsia="es-ES"/>
        </w:rPr>
        <w:t xml:space="preserve"> El Miembro Liquidador Individual que cumpla con el requisito de las calificaciones de riesgo mínimas exigidas indicadas en el presente artículo, podrá solicitar participar en tal modalidad, en cualquiera de los Segmentos que establezca la Cámara para la Compensación y Liquidación, sin perjuicio del cumplimiento de los otros controles de riesgo previstos para su participación en el Segmento respectivo.</w:t>
      </w:r>
    </w:p>
    <w:p w14:paraId="28F31325" w14:textId="77777777" w:rsidR="007968EC" w:rsidRPr="002C0D19" w:rsidRDefault="007968EC" w:rsidP="007968EC">
      <w:pPr>
        <w:jc w:val="both"/>
        <w:rPr>
          <w:rFonts w:ascii="Arial Narrow" w:hAnsi="Arial Narrow" w:cs="Arial"/>
          <w:lang w:val="es-ES" w:eastAsia="es-ES"/>
        </w:rPr>
      </w:pPr>
    </w:p>
    <w:p w14:paraId="10322A1E"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b/>
          <w:lang w:val="es-ES" w:eastAsia="es-ES"/>
        </w:rPr>
        <w:t xml:space="preserve">Parágrafo Tercero. </w:t>
      </w:r>
      <w:r w:rsidRPr="002C0D19">
        <w:rPr>
          <w:rFonts w:ascii="Arial Narrow" w:hAnsi="Arial Narrow" w:cs="Arial"/>
          <w:lang w:val="es-ES" w:eastAsia="es-ES"/>
        </w:rPr>
        <w:t xml:space="preserve">En el evento en que la Cámara establezca para un Segmento específico calificaciones de riesgo mínimas exigidas inferiores a las  indicadas en el presente artículo o establezca que no se requiere de calificación mínima de riesgo, la entidad que solicite ser admitida o participar como Miembro Liquidador Individual exclusivamente para dicho Segmento, podrá acreditar las calificaciones de riesgo mínimas que se exijan en la presente Circular para tal Segmento o manifestar que no cuenta con calificación mínima de riesgo, según el caso, sin perjuicio del cumplimiento de los demás controles de riesgo previstos para su participación en el Segmento. </w:t>
      </w:r>
    </w:p>
    <w:p w14:paraId="6F8672CC" w14:textId="77777777" w:rsidR="007968EC" w:rsidRPr="002C0D19" w:rsidRDefault="007968EC" w:rsidP="007968EC">
      <w:pPr>
        <w:jc w:val="both"/>
        <w:rPr>
          <w:rFonts w:ascii="Arial Narrow" w:hAnsi="Arial Narrow" w:cs="Arial"/>
          <w:lang w:val="es-ES" w:eastAsia="es-ES"/>
        </w:rPr>
      </w:pPr>
    </w:p>
    <w:p w14:paraId="13EEFB44"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lang w:val="es-ES" w:eastAsia="es-ES"/>
        </w:rPr>
        <w:t xml:space="preserve">En el caso en que la Cámara establezca para un Segmento específico que no se requiere de calificación mínima de riesgo, la Cámara asignará el valor de cero (0) a los límites de riesgo, Límite de Riesgo Intradía – LRI y Límite de Margin Call – LMC de la entidad que solicite ser admitida o participar como Miembro Liquidador Individual exclusivamente para dicho Segmento.  </w:t>
      </w:r>
    </w:p>
    <w:p w14:paraId="522A1C9E" w14:textId="77777777" w:rsidR="007968EC" w:rsidRPr="002C0D19" w:rsidRDefault="007968EC" w:rsidP="007968EC">
      <w:pPr>
        <w:jc w:val="both"/>
        <w:rPr>
          <w:rFonts w:ascii="Arial Narrow" w:hAnsi="Arial Narrow" w:cs="Arial"/>
          <w:b/>
          <w:lang w:val="es-ES" w:eastAsia="es-ES"/>
        </w:rPr>
      </w:pPr>
    </w:p>
    <w:p w14:paraId="3498CD17" w14:textId="77777777" w:rsidR="007968EC" w:rsidRPr="002C0D19" w:rsidRDefault="007968EC" w:rsidP="007968EC">
      <w:pPr>
        <w:jc w:val="both"/>
        <w:rPr>
          <w:rFonts w:ascii="Arial Narrow" w:hAnsi="Arial Narrow" w:cs="Arial"/>
          <w:b/>
          <w:lang w:val="es-ES" w:eastAsia="es-ES"/>
        </w:rPr>
      </w:pPr>
      <w:r w:rsidRPr="002C0D19">
        <w:rPr>
          <w:rFonts w:ascii="Arial Narrow" w:hAnsi="Arial Narrow" w:cs="Arial"/>
          <w:b/>
          <w:lang w:val="es-ES" w:eastAsia="es-ES"/>
        </w:rPr>
        <w:t xml:space="preserve">Parágrafo Cuarto: </w:t>
      </w:r>
      <w:r w:rsidRPr="002C0D19">
        <w:rPr>
          <w:rFonts w:ascii="Arial Narrow" w:hAnsi="Arial Narrow" w:cs="Arial"/>
          <w:lang w:val="es-ES" w:eastAsia="es-ES"/>
        </w:rPr>
        <w:t>En el caso en que una entidad aspirante solicite participar en varios Segmentos como Miembro Liquidador Individual deberá acreditar las calificaciones de riesgo mínimas exigidas de todos los Segmentos en los que pretenda participar.</w:t>
      </w:r>
    </w:p>
    <w:p w14:paraId="6500B036" w14:textId="77777777" w:rsidR="007968EC" w:rsidRPr="002C0D19" w:rsidRDefault="007968EC" w:rsidP="007968EC">
      <w:pPr>
        <w:jc w:val="both"/>
        <w:rPr>
          <w:rFonts w:ascii="Arial Narrow" w:hAnsi="Arial Narrow" w:cs="Arial"/>
          <w:b/>
          <w:lang w:val="es-ES" w:eastAsia="es-ES"/>
        </w:rPr>
      </w:pPr>
    </w:p>
    <w:p w14:paraId="6675050C"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b/>
          <w:lang w:val="es-ES" w:eastAsia="es-ES"/>
        </w:rPr>
        <w:t>Parágrafo Quinto.</w:t>
      </w:r>
      <w:r w:rsidRPr="002C0D19">
        <w:rPr>
          <w:rFonts w:ascii="Arial Narrow" w:hAnsi="Arial Narrow" w:cs="Arial"/>
          <w:lang w:val="es-ES" w:eastAsia="es-ES"/>
        </w:rPr>
        <w:t xml:space="preserve"> De conformidad con lo dispuesto en el parágrafo primero del artículo 2.1.4. del Reglamento de Funcionamiento, la Nación - Ministerio de Hacienda y Crédito Público y el Banco de la República, en razón a su naturaleza jurídica, no deberán acreditar la calificación de riesgo mínima exigida en el presente artículo.</w:t>
      </w:r>
    </w:p>
    <w:p w14:paraId="324F79BF" w14:textId="77777777" w:rsidR="007968EC" w:rsidRPr="002C0D19" w:rsidRDefault="007968EC" w:rsidP="007968EC">
      <w:pPr>
        <w:jc w:val="both"/>
        <w:rPr>
          <w:rFonts w:ascii="Arial Narrow" w:hAnsi="Arial Narrow" w:cs="Arial"/>
          <w:color w:val="000000" w:themeColor="text1"/>
          <w:lang w:val="es-ES" w:eastAsia="es-ES"/>
        </w:rPr>
      </w:pPr>
    </w:p>
    <w:p w14:paraId="2DFE6CCE" w14:textId="77777777" w:rsidR="007968EC" w:rsidRDefault="007968EC" w:rsidP="007968EC">
      <w:pPr>
        <w:pStyle w:val="ARTICULO0"/>
      </w:pPr>
      <w:bookmarkStart w:id="395" w:name="_Toc31715851"/>
      <w:bookmarkStart w:id="396" w:name="_Toc472592041"/>
      <w:bookmarkStart w:id="397" w:name="_Toc472593060"/>
      <w:bookmarkStart w:id="398" w:name="_Toc479056846"/>
      <w:bookmarkStart w:id="399" w:name="_Toc427232947"/>
      <w:bookmarkStart w:id="400" w:name="_Toc490066139"/>
      <w:r w:rsidRPr="002C0D19">
        <w:lastRenderedPageBreak/>
        <w:t>Artículo 1.2.1.5.</w:t>
      </w:r>
      <w:r w:rsidRPr="002C0D19">
        <w:rPr>
          <w:rFonts w:eastAsiaTheme="majorEastAsia"/>
          <w:lang w:val="es-ES"/>
        </w:rPr>
        <w:t xml:space="preserve"> </w:t>
      </w:r>
      <w:r w:rsidRPr="002C0D19">
        <w:rPr>
          <w:rFonts w:eastAsiaTheme="majorEastAsia"/>
        </w:rPr>
        <w:t>Certificación FATCA (‘</w:t>
      </w:r>
      <w:r w:rsidRPr="002C0D19">
        <w:rPr>
          <w:rFonts w:eastAsiaTheme="majorEastAsia"/>
          <w:i/>
        </w:rPr>
        <w:t>Foreign Account Tax Compliance Act</w:t>
      </w:r>
      <w:r w:rsidRPr="002C0D19">
        <w:rPr>
          <w:rFonts w:eastAsiaTheme="majorEastAsia"/>
        </w:rPr>
        <w:t>’).</w:t>
      </w:r>
      <w:bookmarkEnd w:id="395"/>
      <w:r w:rsidRPr="002C0D19">
        <w:t xml:space="preserve"> </w:t>
      </w:r>
    </w:p>
    <w:p w14:paraId="14A0DB34" w14:textId="77777777" w:rsidR="007968EC" w:rsidRPr="00AB258B" w:rsidRDefault="007968EC" w:rsidP="007968EC">
      <w:pPr>
        <w:jc w:val="both"/>
        <w:rPr>
          <w:rFonts w:ascii="Arial Narrow" w:hAnsi="Arial Narrow" w:cs="Arial"/>
          <w:color w:val="000000" w:themeColor="text1"/>
          <w:lang w:eastAsia="es-ES"/>
        </w:rPr>
      </w:pPr>
    </w:p>
    <w:p w14:paraId="7A060E7D" w14:textId="77777777" w:rsidR="007968EC" w:rsidRPr="002C0D19" w:rsidRDefault="007968EC" w:rsidP="007968EC">
      <w:pPr>
        <w:pStyle w:val="ANTECEDENTES"/>
      </w:pPr>
      <w:r w:rsidRPr="002C0D19">
        <w:t>(Este artículo fue adicionado mediante Circular 14 del 8 de agosto de 2017, publicada en el Boletín Normativo No. 015 del 8 de agosto de 2017. Rige a partir del 9 de agosto de 2017.)</w:t>
      </w:r>
    </w:p>
    <w:p w14:paraId="5566BEE1" w14:textId="77777777" w:rsidR="007968EC" w:rsidRPr="002C0D19" w:rsidRDefault="007968EC" w:rsidP="007968EC">
      <w:pPr>
        <w:jc w:val="both"/>
        <w:rPr>
          <w:rFonts w:ascii="Arial Narrow" w:hAnsi="Arial Narrow" w:cs="Arial"/>
          <w:color w:val="000000" w:themeColor="text1"/>
          <w:lang w:eastAsia="es-ES"/>
        </w:rPr>
      </w:pPr>
    </w:p>
    <w:p w14:paraId="61B5A61D"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lang w:val="es-ES" w:eastAsia="es-ES"/>
        </w:rPr>
        <w:t>Las entidades aspirantes a Miembros, en caso de ser aplicable, deberán acreditar haberse registrado ante el ‘</w:t>
      </w:r>
      <w:proofErr w:type="spellStart"/>
      <w:r w:rsidRPr="002C0D19">
        <w:rPr>
          <w:rFonts w:ascii="Arial Narrow" w:hAnsi="Arial Narrow" w:cs="Arial"/>
          <w:lang w:val="es-ES" w:eastAsia="es-ES"/>
        </w:rPr>
        <w:t>Internal</w:t>
      </w:r>
      <w:proofErr w:type="spellEnd"/>
      <w:r w:rsidRPr="002C0D19">
        <w:rPr>
          <w:rFonts w:ascii="Arial Narrow" w:hAnsi="Arial Narrow" w:cs="Arial"/>
          <w:lang w:val="es-ES" w:eastAsia="es-ES"/>
        </w:rPr>
        <w:t xml:space="preserve"> </w:t>
      </w:r>
      <w:proofErr w:type="spellStart"/>
      <w:r w:rsidRPr="002C0D19">
        <w:rPr>
          <w:rFonts w:ascii="Arial Narrow" w:hAnsi="Arial Narrow" w:cs="Arial"/>
          <w:lang w:val="es-ES" w:eastAsia="es-ES"/>
        </w:rPr>
        <w:t>Revenue</w:t>
      </w:r>
      <w:proofErr w:type="spellEnd"/>
      <w:r w:rsidRPr="002C0D19">
        <w:rPr>
          <w:rFonts w:ascii="Arial Narrow" w:hAnsi="Arial Narrow" w:cs="Arial"/>
          <w:lang w:val="es-ES" w:eastAsia="es-ES"/>
        </w:rPr>
        <w:t xml:space="preserve"> </w:t>
      </w:r>
      <w:proofErr w:type="spellStart"/>
      <w:r w:rsidRPr="002C0D19">
        <w:rPr>
          <w:rFonts w:ascii="Arial Narrow" w:hAnsi="Arial Narrow" w:cs="Arial"/>
          <w:lang w:val="es-ES" w:eastAsia="es-ES"/>
        </w:rPr>
        <w:t>Service</w:t>
      </w:r>
      <w:proofErr w:type="spellEnd"/>
      <w:r w:rsidRPr="002C0D19">
        <w:rPr>
          <w:rFonts w:ascii="Arial Narrow" w:hAnsi="Arial Narrow" w:cs="Arial"/>
          <w:lang w:val="es-ES" w:eastAsia="es-ES"/>
        </w:rPr>
        <w:t xml:space="preserve"> (IRS)’ y contar con un número de identificación GIIN (‘Global </w:t>
      </w:r>
      <w:proofErr w:type="spellStart"/>
      <w:r w:rsidRPr="002C0D19">
        <w:rPr>
          <w:rFonts w:ascii="Arial Narrow" w:hAnsi="Arial Narrow" w:cs="Arial"/>
          <w:lang w:val="es-ES" w:eastAsia="es-ES"/>
        </w:rPr>
        <w:t>Intermediary</w:t>
      </w:r>
      <w:proofErr w:type="spellEnd"/>
      <w:r w:rsidRPr="002C0D19">
        <w:rPr>
          <w:rFonts w:ascii="Arial Narrow" w:hAnsi="Arial Narrow" w:cs="Arial"/>
          <w:lang w:val="es-ES" w:eastAsia="es-ES"/>
        </w:rPr>
        <w:t xml:space="preserve"> </w:t>
      </w:r>
      <w:proofErr w:type="spellStart"/>
      <w:r w:rsidRPr="002C0D19">
        <w:rPr>
          <w:rFonts w:ascii="Arial Narrow" w:hAnsi="Arial Narrow" w:cs="Arial"/>
          <w:lang w:val="es-ES" w:eastAsia="es-ES"/>
        </w:rPr>
        <w:t>Identification</w:t>
      </w:r>
      <w:proofErr w:type="spellEnd"/>
      <w:r w:rsidRPr="002C0D19">
        <w:rPr>
          <w:rFonts w:ascii="Arial Narrow" w:hAnsi="Arial Narrow" w:cs="Arial"/>
          <w:lang w:val="es-ES" w:eastAsia="es-ES"/>
        </w:rPr>
        <w:t xml:space="preserve"> </w:t>
      </w:r>
      <w:proofErr w:type="spellStart"/>
      <w:r w:rsidRPr="002C0D19">
        <w:rPr>
          <w:rFonts w:ascii="Arial Narrow" w:hAnsi="Arial Narrow" w:cs="Arial"/>
          <w:lang w:val="es-ES" w:eastAsia="es-ES"/>
        </w:rPr>
        <w:t>Number</w:t>
      </w:r>
      <w:proofErr w:type="spellEnd"/>
      <w:r w:rsidRPr="002C0D19">
        <w:rPr>
          <w:rFonts w:ascii="Arial Narrow" w:hAnsi="Arial Narrow" w:cs="Arial"/>
          <w:lang w:val="es-ES" w:eastAsia="es-ES"/>
        </w:rPr>
        <w:t>’) para efectos de la Ley de Cumplimiento Fiscal de Cuentas Extranjeras de los Estados Unidos de América (‘Foreign Account Tax Compliance Act - FATCA’).</w:t>
      </w:r>
    </w:p>
    <w:p w14:paraId="10B2815A" w14:textId="77777777" w:rsidR="007968EC" w:rsidRPr="002C0D19" w:rsidRDefault="007968EC" w:rsidP="007968EC">
      <w:pPr>
        <w:jc w:val="both"/>
        <w:rPr>
          <w:rFonts w:ascii="Arial Narrow" w:hAnsi="Arial Narrow" w:cs="Arial"/>
          <w:b/>
          <w:lang w:val="es-ES" w:eastAsia="es-ES"/>
        </w:rPr>
      </w:pPr>
    </w:p>
    <w:p w14:paraId="2B1912DE" w14:textId="77777777" w:rsidR="007968EC" w:rsidRPr="002C0D19" w:rsidRDefault="007968EC" w:rsidP="007968EC">
      <w:pPr>
        <w:jc w:val="both"/>
        <w:rPr>
          <w:rFonts w:ascii="Arial Narrow" w:hAnsi="Arial Narrow" w:cs="Arial"/>
          <w:b/>
          <w:lang w:val="es-ES" w:eastAsia="es-ES"/>
        </w:rPr>
      </w:pPr>
      <w:r w:rsidRPr="002C0D19">
        <w:rPr>
          <w:rFonts w:ascii="Arial Narrow" w:hAnsi="Arial Narrow" w:cs="Arial"/>
          <w:lang w:val="es-ES" w:eastAsia="es-ES"/>
        </w:rPr>
        <w:t xml:space="preserve">Para el efecto, deberán allegar certificación suscrita por el Representante Legal indicando el número de identificación GIIN (´Global </w:t>
      </w:r>
      <w:proofErr w:type="spellStart"/>
      <w:r w:rsidRPr="002C0D19">
        <w:rPr>
          <w:rFonts w:ascii="Arial Narrow" w:hAnsi="Arial Narrow" w:cs="Arial"/>
          <w:lang w:val="es-ES" w:eastAsia="es-ES"/>
        </w:rPr>
        <w:t>Intermediary</w:t>
      </w:r>
      <w:proofErr w:type="spellEnd"/>
      <w:r w:rsidRPr="002C0D19">
        <w:rPr>
          <w:rFonts w:ascii="Arial Narrow" w:hAnsi="Arial Narrow" w:cs="Arial"/>
          <w:lang w:val="es-ES" w:eastAsia="es-ES"/>
        </w:rPr>
        <w:t xml:space="preserve"> </w:t>
      </w:r>
      <w:proofErr w:type="spellStart"/>
      <w:r w:rsidRPr="002C0D19">
        <w:rPr>
          <w:rFonts w:ascii="Arial Narrow" w:hAnsi="Arial Narrow" w:cs="Arial"/>
          <w:lang w:val="es-ES" w:eastAsia="es-ES"/>
        </w:rPr>
        <w:t>Identification</w:t>
      </w:r>
      <w:proofErr w:type="spellEnd"/>
      <w:r w:rsidRPr="002C0D19">
        <w:rPr>
          <w:rFonts w:ascii="Arial Narrow" w:hAnsi="Arial Narrow" w:cs="Arial"/>
          <w:lang w:val="es-ES" w:eastAsia="es-ES"/>
        </w:rPr>
        <w:t xml:space="preserve"> </w:t>
      </w:r>
      <w:proofErr w:type="spellStart"/>
      <w:r w:rsidRPr="002C0D19">
        <w:rPr>
          <w:rFonts w:ascii="Arial Narrow" w:hAnsi="Arial Narrow" w:cs="Arial"/>
          <w:lang w:val="es-ES" w:eastAsia="es-ES"/>
        </w:rPr>
        <w:t>Number</w:t>
      </w:r>
      <w:proofErr w:type="spellEnd"/>
      <w:r w:rsidRPr="002C0D19">
        <w:rPr>
          <w:rFonts w:ascii="Arial Narrow" w:hAnsi="Arial Narrow" w:cs="Arial"/>
          <w:lang w:val="es-ES" w:eastAsia="es-ES"/>
        </w:rPr>
        <w:t>´) ante el ´</w:t>
      </w:r>
      <w:proofErr w:type="spellStart"/>
      <w:r w:rsidRPr="002C0D19">
        <w:rPr>
          <w:rFonts w:ascii="Arial Narrow" w:hAnsi="Arial Narrow" w:cs="Arial"/>
          <w:lang w:val="es-ES" w:eastAsia="es-ES"/>
        </w:rPr>
        <w:t>Internal</w:t>
      </w:r>
      <w:proofErr w:type="spellEnd"/>
      <w:r w:rsidRPr="002C0D19">
        <w:rPr>
          <w:rFonts w:ascii="Arial Narrow" w:hAnsi="Arial Narrow" w:cs="Arial"/>
          <w:lang w:val="es-ES" w:eastAsia="es-ES"/>
        </w:rPr>
        <w:t xml:space="preserve"> </w:t>
      </w:r>
      <w:proofErr w:type="spellStart"/>
      <w:r w:rsidRPr="002C0D19">
        <w:rPr>
          <w:rFonts w:ascii="Arial Narrow" w:hAnsi="Arial Narrow" w:cs="Arial"/>
          <w:lang w:val="es-ES" w:eastAsia="es-ES"/>
        </w:rPr>
        <w:t>Revenue</w:t>
      </w:r>
      <w:proofErr w:type="spellEnd"/>
      <w:r w:rsidRPr="002C0D19">
        <w:rPr>
          <w:rFonts w:ascii="Arial Narrow" w:hAnsi="Arial Narrow" w:cs="Arial"/>
          <w:lang w:val="es-ES" w:eastAsia="es-ES"/>
        </w:rPr>
        <w:t xml:space="preserve"> </w:t>
      </w:r>
      <w:proofErr w:type="spellStart"/>
      <w:r w:rsidRPr="002C0D19">
        <w:rPr>
          <w:rFonts w:ascii="Arial Narrow" w:hAnsi="Arial Narrow" w:cs="Arial"/>
          <w:lang w:val="es-ES" w:eastAsia="es-ES"/>
        </w:rPr>
        <w:t>Service</w:t>
      </w:r>
      <w:proofErr w:type="spellEnd"/>
      <w:r w:rsidRPr="002C0D19">
        <w:rPr>
          <w:rFonts w:ascii="Arial Narrow" w:hAnsi="Arial Narrow" w:cs="Arial"/>
          <w:lang w:val="es-ES" w:eastAsia="es-ES"/>
        </w:rPr>
        <w:t xml:space="preserve"> (IRS)´ para efectos de la Ley de Cumplimiento Fiscal de Cuentas Extranjeras de los Estados Unidos de América (´Foreign Account Tax Compliance Act – FATCA´) y anexar copia del formulario W-8BEN-E mediante el cual acredite la condición de extranjero frente a las autoridades de los Estados Unidos, según sea procedente.</w:t>
      </w:r>
    </w:p>
    <w:p w14:paraId="7BF598D3" w14:textId="77777777" w:rsidR="007968EC" w:rsidRPr="002C0D19" w:rsidRDefault="007968EC" w:rsidP="007968EC">
      <w:pPr>
        <w:rPr>
          <w:rFonts w:ascii="Arial Narrow" w:hAnsi="Arial Narrow" w:cs="Arial"/>
          <w:b/>
          <w:lang w:val="es-ES" w:eastAsia="es-ES"/>
        </w:rPr>
      </w:pPr>
    </w:p>
    <w:p w14:paraId="17F4D01D"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b/>
          <w:lang w:val="es-ES" w:eastAsia="es-ES"/>
        </w:rPr>
        <w:t>Parágrafo</w:t>
      </w:r>
      <w:r w:rsidRPr="002C0D19">
        <w:rPr>
          <w:rFonts w:ascii="Arial Narrow" w:hAnsi="Arial Narrow" w:cs="Arial"/>
          <w:lang w:val="es-ES" w:eastAsia="es-ES"/>
        </w:rPr>
        <w:t>. Las entidades que no cuenten con el registro ante el IRS y el número de identificación GIIN, tendrán un plazo de un (1) mes contado a partir de su admisión como Miembros para acreditar tales requisitos ante la Cámara, de lo contrario serán suspendidos hasta tanto lo acrediten.</w:t>
      </w:r>
    </w:p>
    <w:p w14:paraId="25E0ACF2" w14:textId="77777777" w:rsidR="007968EC" w:rsidRPr="002C0D19" w:rsidRDefault="007968EC" w:rsidP="007968EC">
      <w:pPr>
        <w:jc w:val="both"/>
        <w:rPr>
          <w:rFonts w:ascii="Arial Narrow" w:hAnsi="Arial Narrow" w:cs="Arial"/>
          <w:lang w:val="es-ES" w:eastAsia="es-ES"/>
        </w:rPr>
      </w:pPr>
    </w:p>
    <w:p w14:paraId="37579389" w14:textId="77777777" w:rsidR="007968EC" w:rsidRDefault="007968EC" w:rsidP="007968EC">
      <w:pPr>
        <w:pStyle w:val="ARTICULO0"/>
      </w:pPr>
      <w:bookmarkStart w:id="401" w:name="_Toc31715852"/>
      <w:r>
        <w:t xml:space="preserve">Artículo 1.2.1.6. </w:t>
      </w:r>
      <w:r w:rsidRPr="002C0D19">
        <w:t>Aspectos objeto de evaluación, criterios, ponderación de las políticas y estándares administrativos, estructura de administración de riesgos para la Compensación y Liquidación de operaciones.</w:t>
      </w:r>
      <w:bookmarkEnd w:id="396"/>
      <w:bookmarkEnd w:id="397"/>
      <w:bookmarkEnd w:id="398"/>
      <w:bookmarkEnd w:id="401"/>
      <w:r w:rsidRPr="002C0D19">
        <w:t xml:space="preserve"> </w:t>
      </w:r>
    </w:p>
    <w:p w14:paraId="35C3BD85" w14:textId="77777777" w:rsidR="007968EC" w:rsidRPr="00AB258B" w:rsidRDefault="007968EC" w:rsidP="007968EC">
      <w:pPr>
        <w:jc w:val="both"/>
        <w:rPr>
          <w:rFonts w:ascii="Arial Narrow" w:hAnsi="Arial Narrow" w:cs="Arial"/>
          <w:color w:val="000000" w:themeColor="text1"/>
          <w:lang w:eastAsia="es-ES"/>
        </w:rPr>
      </w:pPr>
    </w:p>
    <w:p w14:paraId="314A6D7C" w14:textId="77777777" w:rsidR="007968EC" w:rsidRPr="002C0D19" w:rsidRDefault="007968EC" w:rsidP="007968EC">
      <w:pPr>
        <w:pStyle w:val="ANTECEDENTES"/>
      </w:pPr>
      <w:r w:rsidRPr="002C0D19">
        <w:t>(Este artículo fue modificado mediante Circular 13 del 26 de julio de 2011, publicada en el Boletín Normativo No. 016 del 26 de julio de 2011</w:t>
      </w:r>
      <w:bookmarkEnd w:id="399"/>
      <w:r w:rsidRPr="002C0D19">
        <w:rPr>
          <w:lang w:val="es-ES"/>
        </w:rPr>
        <w:t xml:space="preserve">, mediante Circular 19 del 28 de diciembre de 2016, publicada en el Boletín Normativo No. 024 del 28 de diciembre de 2016 y renumerado mediante Circular 14 del 8 de agosto de 2017, publicada en el Boletín Normativo No. 015 del 8 de agosto de 2017. </w:t>
      </w:r>
      <w:r w:rsidRPr="002C0D19">
        <w:t>Rige a partir del 9 de agosto de 2017.</w:t>
      </w:r>
      <w:r w:rsidRPr="002C0D19">
        <w:rPr>
          <w:lang w:val="es-ES"/>
        </w:rPr>
        <w:t>)</w:t>
      </w:r>
      <w:bookmarkEnd w:id="400"/>
    </w:p>
    <w:p w14:paraId="0F57038B" w14:textId="77777777" w:rsidR="007968EC" w:rsidRPr="002C0D19" w:rsidRDefault="007968EC" w:rsidP="007968EC">
      <w:pPr>
        <w:jc w:val="both"/>
        <w:rPr>
          <w:rFonts w:ascii="Arial Narrow" w:hAnsi="Arial Narrow" w:cs="Arial"/>
          <w:color w:val="000000" w:themeColor="text1"/>
          <w:lang w:val="es-ES" w:eastAsia="es-ES"/>
        </w:rPr>
      </w:pPr>
    </w:p>
    <w:bookmarkEnd w:id="394"/>
    <w:p w14:paraId="182FA8A4"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Análisis de Aspectos Cualitativos: El análisis de aspectos cualitativos tiene una ponderación en la evaluación total del cuarenta por ciento (40%) y con base en la información suministrada en el Formato de requerimientos cualitativos previsto en el numeral 3 del artículo 2.1.1 de la presente Circular, la Cámara evaluará los aspectos formales, estratégicos y operativos para determinar que la entidad aspirante cuenta con políticas y estándares administrativos para la Compensación y Liquidación de las Operaciones y con una estructura de administración de riesgos adecuada para tal fin, con base en los siguientes criterios:</w:t>
      </w:r>
    </w:p>
    <w:p w14:paraId="77655771" w14:textId="77777777" w:rsidR="007968EC" w:rsidRPr="002C0D19" w:rsidRDefault="007968EC" w:rsidP="007968EC">
      <w:pPr>
        <w:jc w:val="both"/>
        <w:rPr>
          <w:rFonts w:ascii="Arial Narrow" w:hAnsi="Arial Narrow" w:cs="Arial"/>
          <w:color w:val="000000" w:themeColor="text1"/>
          <w:lang w:val="es-ES" w:eastAsia="es-ES"/>
        </w:rPr>
      </w:pPr>
    </w:p>
    <w:p w14:paraId="05D88F47" w14:textId="77777777" w:rsidR="007968EC" w:rsidRPr="002C0D19" w:rsidRDefault="007968EC" w:rsidP="00DA7472">
      <w:pPr>
        <w:numPr>
          <w:ilvl w:val="0"/>
          <w:numId w:val="22"/>
        </w:numPr>
        <w:jc w:val="both"/>
        <w:rPr>
          <w:rFonts w:ascii="Arial Narrow" w:hAnsi="Arial Narrow" w:cs="Arial"/>
          <w:color w:val="000000" w:themeColor="text1"/>
          <w:lang w:val="es-ES" w:eastAsia="es-ES"/>
        </w:rPr>
      </w:pPr>
      <w:r w:rsidRPr="002C0D19">
        <w:rPr>
          <w:rFonts w:ascii="Arial Narrow" w:hAnsi="Arial Narrow" w:cs="Arial"/>
          <w:iCs/>
          <w:color w:val="000000" w:themeColor="text1"/>
          <w:lang w:val="es-ES" w:eastAsia="es-ES"/>
        </w:rPr>
        <w:t xml:space="preserve">Estructura Formal y Estratégica: Dentro del Análisis de Aspectos Cualitativos la estructura formal y estratégica tiene una ponderación en la evaluación del sesenta por ciento (60%). </w:t>
      </w:r>
      <w:r w:rsidRPr="002C0D19">
        <w:rPr>
          <w:rFonts w:ascii="Arial Narrow" w:hAnsi="Arial Narrow" w:cs="Arial"/>
          <w:color w:val="000000" w:themeColor="text1"/>
          <w:lang w:val="es-ES" w:eastAsia="es-ES"/>
        </w:rPr>
        <w:t>La Cámara evaluará el grado de incidencia de la cultura de administración de riesgos en el proceso de toma de decisiones. Para tal efecto la Cámara hará seguimiento al cumplimiento de los estándares de buenas prácticas asociados a los procedimientos de administración general de riesgos, basados en los siguientes aspectos:</w:t>
      </w:r>
    </w:p>
    <w:p w14:paraId="5FFD48C5" w14:textId="77777777" w:rsidR="007968EC" w:rsidRPr="002C0D19" w:rsidRDefault="007968EC" w:rsidP="007968EC">
      <w:pPr>
        <w:jc w:val="both"/>
        <w:rPr>
          <w:rFonts w:ascii="Arial Narrow" w:hAnsi="Arial Narrow" w:cs="Arial"/>
          <w:iCs/>
          <w:color w:val="000000" w:themeColor="text1"/>
          <w:lang w:val="es-ES" w:eastAsia="es-ES"/>
        </w:rPr>
      </w:pPr>
    </w:p>
    <w:p w14:paraId="12DD8D54" w14:textId="77777777" w:rsidR="007968EC" w:rsidRPr="002C0D19" w:rsidRDefault="007968EC" w:rsidP="00DA7472">
      <w:pPr>
        <w:numPr>
          <w:ilvl w:val="7"/>
          <w:numId w:val="20"/>
        </w:numPr>
        <w:tabs>
          <w:tab w:val="num" w:pos="720"/>
        </w:tabs>
        <w:ind w:left="720"/>
        <w:jc w:val="both"/>
        <w:rPr>
          <w:rFonts w:ascii="Arial Narrow" w:hAnsi="Arial Narrow" w:cs="Arial"/>
          <w:iCs/>
          <w:color w:val="000000" w:themeColor="text1"/>
          <w:lang w:val="es-ES" w:eastAsia="es-ES"/>
        </w:rPr>
      </w:pPr>
      <w:r w:rsidRPr="002C0D19">
        <w:rPr>
          <w:rFonts w:ascii="Arial Narrow" w:hAnsi="Arial Narrow" w:cs="Arial"/>
          <w:iCs/>
          <w:color w:val="000000" w:themeColor="text1"/>
          <w:lang w:val="es-ES" w:eastAsia="es-ES"/>
        </w:rPr>
        <w:lastRenderedPageBreak/>
        <w:t>Definición del esquema organizacional. Ponderación: veintiocho por ciento (28%) de la Estructura formal y estratégica.</w:t>
      </w:r>
    </w:p>
    <w:p w14:paraId="5883883C" w14:textId="77777777" w:rsidR="007968EC" w:rsidRPr="002C0D19" w:rsidRDefault="007968EC" w:rsidP="007968EC">
      <w:pPr>
        <w:ind w:left="360"/>
        <w:jc w:val="both"/>
        <w:rPr>
          <w:rFonts w:ascii="Arial Narrow" w:hAnsi="Arial Narrow" w:cs="Arial"/>
          <w:iCs/>
          <w:color w:val="000000" w:themeColor="text1"/>
          <w:lang w:val="es-ES" w:eastAsia="es-ES"/>
        </w:rPr>
      </w:pPr>
    </w:p>
    <w:p w14:paraId="490E52E4" w14:textId="77777777" w:rsidR="007968EC" w:rsidRPr="002C0D19" w:rsidRDefault="007968EC" w:rsidP="00DA7472">
      <w:pPr>
        <w:numPr>
          <w:ilvl w:val="8"/>
          <w:numId w:val="20"/>
        </w:numPr>
        <w:tabs>
          <w:tab w:val="num" w:pos="1080"/>
        </w:tabs>
        <w:ind w:left="1080"/>
        <w:jc w:val="both"/>
        <w:rPr>
          <w:rFonts w:ascii="Arial Narrow" w:hAnsi="Arial Narrow" w:cs="Arial"/>
          <w:iCs/>
          <w:color w:val="000000" w:themeColor="text1"/>
          <w:lang w:val="es-ES" w:eastAsia="es-ES"/>
        </w:rPr>
      </w:pPr>
      <w:r w:rsidRPr="002C0D19">
        <w:rPr>
          <w:rFonts w:ascii="Arial Narrow" w:hAnsi="Arial Narrow" w:cs="Arial"/>
          <w:iCs/>
          <w:color w:val="000000" w:themeColor="text1"/>
          <w:lang w:val="es-ES" w:eastAsia="es-ES"/>
        </w:rPr>
        <w:t xml:space="preserve">Cobertura funcional del área de riesgos. Ponderación: cuarenta por ciento (40%) de la definición del esquema organizacional.  </w:t>
      </w:r>
    </w:p>
    <w:p w14:paraId="458EE0A6" w14:textId="77777777" w:rsidR="007968EC" w:rsidRPr="002C0D19" w:rsidRDefault="007968EC" w:rsidP="007968EC">
      <w:pPr>
        <w:ind w:left="1080"/>
        <w:jc w:val="both"/>
        <w:rPr>
          <w:rFonts w:ascii="Arial Narrow" w:hAnsi="Arial Narrow" w:cs="Arial"/>
          <w:iCs/>
          <w:color w:val="000000" w:themeColor="text1"/>
          <w:lang w:val="es-ES" w:eastAsia="es-ES"/>
        </w:rPr>
      </w:pPr>
    </w:p>
    <w:p w14:paraId="154D28C2" w14:textId="77777777" w:rsidR="007968EC" w:rsidRPr="002C0D19" w:rsidRDefault="007968EC" w:rsidP="00DA7472">
      <w:pPr>
        <w:numPr>
          <w:ilvl w:val="8"/>
          <w:numId w:val="20"/>
        </w:numPr>
        <w:tabs>
          <w:tab w:val="num" w:pos="1080"/>
        </w:tabs>
        <w:ind w:left="1080"/>
        <w:jc w:val="both"/>
        <w:rPr>
          <w:rFonts w:ascii="Arial Narrow" w:hAnsi="Arial Narrow" w:cs="Arial"/>
          <w:iCs/>
          <w:color w:val="000000" w:themeColor="text1"/>
          <w:lang w:val="es-ES" w:eastAsia="es-ES"/>
        </w:rPr>
      </w:pPr>
      <w:r w:rsidRPr="002C0D19">
        <w:rPr>
          <w:rFonts w:ascii="Arial Narrow" w:hAnsi="Arial Narrow" w:cs="Arial"/>
          <w:iCs/>
          <w:color w:val="000000" w:themeColor="text1"/>
          <w:lang w:val="es-ES" w:eastAsia="es-ES"/>
        </w:rPr>
        <w:t xml:space="preserve">Independencia funcional de las áreas de negociación, riesgos y cumplimiento. Ponderación: sesenta por ciento (60%) de la definición del esquema organizacional.  </w:t>
      </w:r>
    </w:p>
    <w:p w14:paraId="4C2155E5" w14:textId="77777777" w:rsidR="007968EC" w:rsidRPr="002C0D19" w:rsidRDefault="007968EC" w:rsidP="007968EC">
      <w:pPr>
        <w:jc w:val="both"/>
        <w:rPr>
          <w:rFonts w:ascii="Arial Narrow" w:hAnsi="Arial Narrow" w:cs="Arial"/>
          <w:iCs/>
          <w:color w:val="000000" w:themeColor="text1"/>
          <w:lang w:val="es-ES" w:eastAsia="es-ES"/>
        </w:rPr>
      </w:pPr>
    </w:p>
    <w:p w14:paraId="35E90D9B" w14:textId="77777777" w:rsidR="007968EC" w:rsidRPr="002C0D19" w:rsidRDefault="007968EC" w:rsidP="00DA7472">
      <w:pPr>
        <w:numPr>
          <w:ilvl w:val="7"/>
          <w:numId w:val="20"/>
        </w:numPr>
        <w:tabs>
          <w:tab w:val="num" w:pos="720"/>
        </w:tabs>
        <w:ind w:left="720"/>
        <w:jc w:val="both"/>
        <w:rPr>
          <w:rFonts w:ascii="Arial Narrow" w:hAnsi="Arial Narrow" w:cs="Arial"/>
          <w:iCs/>
          <w:color w:val="000000" w:themeColor="text1"/>
          <w:lang w:val="es-ES" w:eastAsia="es-ES"/>
        </w:rPr>
      </w:pPr>
      <w:r w:rsidRPr="002C0D19">
        <w:rPr>
          <w:rFonts w:ascii="Arial Narrow" w:hAnsi="Arial Narrow" w:cs="Arial"/>
          <w:iCs/>
          <w:color w:val="000000" w:themeColor="text1"/>
          <w:lang w:val="es-ES" w:eastAsia="es-ES"/>
        </w:rPr>
        <w:t xml:space="preserve">Estructura y comunicación de los comités asociados a la gestión de Tesorería. Ponderación: cuarenta y dos por ciento (42%) de la Estructura formal y estratégica. </w:t>
      </w:r>
    </w:p>
    <w:p w14:paraId="48BBBDDD" w14:textId="77777777" w:rsidR="007968EC" w:rsidRPr="002C0D19" w:rsidRDefault="007968EC" w:rsidP="007968EC">
      <w:pPr>
        <w:ind w:left="360"/>
        <w:jc w:val="both"/>
        <w:rPr>
          <w:rFonts w:ascii="Arial Narrow" w:hAnsi="Arial Narrow" w:cs="Arial"/>
          <w:iCs/>
          <w:color w:val="000000" w:themeColor="text1"/>
          <w:lang w:val="es-ES" w:eastAsia="es-ES"/>
        </w:rPr>
      </w:pPr>
    </w:p>
    <w:p w14:paraId="656F96DB" w14:textId="77777777" w:rsidR="007968EC" w:rsidRPr="002C0D19" w:rsidRDefault="007968EC" w:rsidP="00DA7472">
      <w:pPr>
        <w:numPr>
          <w:ilvl w:val="8"/>
          <w:numId w:val="20"/>
        </w:numPr>
        <w:tabs>
          <w:tab w:val="num" w:pos="1080"/>
        </w:tabs>
        <w:ind w:left="1080"/>
        <w:jc w:val="both"/>
        <w:rPr>
          <w:rFonts w:ascii="Arial Narrow" w:hAnsi="Arial Narrow" w:cs="Arial"/>
          <w:iCs/>
          <w:color w:val="000000" w:themeColor="text1"/>
          <w:lang w:val="es-ES" w:eastAsia="es-ES"/>
        </w:rPr>
      </w:pPr>
      <w:r w:rsidRPr="002C0D19">
        <w:rPr>
          <w:rFonts w:ascii="Arial Narrow" w:hAnsi="Arial Narrow" w:cs="Arial"/>
          <w:iCs/>
          <w:color w:val="000000" w:themeColor="text1"/>
          <w:lang w:val="es-ES" w:eastAsia="es-ES"/>
        </w:rPr>
        <w:t xml:space="preserve">Jerarquía de toma de decisión. Ponderación: treinta y tres punto cuatro por ciento (33,4%) de la estructura y comunicación de los comités asociados a la gestión de Tesorería. </w:t>
      </w:r>
    </w:p>
    <w:p w14:paraId="04FB4C05" w14:textId="77777777" w:rsidR="007968EC" w:rsidRPr="002C0D19" w:rsidRDefault="007968EC" w:rsidP="007968EC">
      <w:pPr>
        <w:ind w:left="1080"/>
        <w:jc w:val="both"/>
        <w:rPr>
          <w:rFonts w:ascii="Arial Narrow" w:hAnsi="Arial Narrow" w:cs="Arial"/>
          <w:iCs/>
          <w:color w:val="000000" w:themeColor="text1"/>
          <w:lang w:val="es-ES" w:eastAsia="es-ES"/>
        </w:rPr>
      </w:pPr>
    </w:p>
    <w:p w14:paraId="37A003FB" w14:textId="77777777" w:rsidR="007968EC" w:rsidRPr="002C0D19" w:rsidRDefault="007968EC" w:rsidP="00DA7472">
      <w:pPr>
        <w:numPr>
          <w:ilvl w:val="8"/>
          <w:numId w:val="20"/>
        </w:numPr>
        <w:tabs>
          <w:tab w:val="num" w:pos="1080"/>
        </w:tabs>
        <w:ind w:left="1080"/>
        <w:jc w:val="both"/>
        <w:rPr>
          <w:rFonts w:ascii="Arial Narrow" w:hAnsi="Arial Narrow" w:cs="Arial"/>
          <w:iCs/>
          <w:color w:val="000000" w:themeColor="text1"/>
          <w:lang w:val="es-ES" w:eastAsia="es-ES"/>
        </w:rPr>
      </w:pPr>
      <w:r w:rsidRPr="002C0D19">
        <w:rPr>
          <w:rFonts w:ascii="Arial Narrow" w:hAnsi="Arial Narrow" w:cs="Arial"/>
          <w:iCs/>
          <w:color w:val="000000" w:themeColor="text1"/>
          <w:lang w:val="es-ES" w:eastAsia="es-ES"/>
        </w:rPr>
        <w:t xml:space="preserve">Periodicidad de la comunicación.  Ponderación: treinta y tres punto tres por ciento (33,3%) de la estructura y comunicación de los comités asociados a la gestión de Tesorería. </w:t>
      </w:r>
    </w:p>
    <w:p w14:paraId="10C57573" w14:textId="77777777" w:rsidR="007968EC" w:rsidRPr="002C0D19" w:rsidRDefault="007968EC" w:rsidP="007968EC">
      <w:pPr>
        <w:ind w:left="708"/>
        <w:jc w:val="both"/>
        <w:rPr>
          <w:rFonts w:ascii="Arial Narrow" w:hAnsi="Arial Narrow" w:cs="Arial"/>
          <w:iCs/>
          <w:color w:val="000000" w:themeColor="text1"/>
          <w:lang w:eastAsia="es-CO"/>
        </w:rPr>
      </w:pPr>
    </w:p>
    <w:p w14:paraId="02377846" w14:textId="77777777" w:rsidR="007968EC" w:rsidRPr="002C0D19" w:rsidRDefault="007968EC" w:rsidP="00DA7472">
      <w:pPr>
        <w:numPr>
          <w:ilvl w:val="8"/>
          <w:numId w:val="20"/>
        </w:numPr>
        <w:tabs>
          <w:tab w:val="num" w:pos="1080"/>
        </w:tabs>
        <w:ind w:left="1080"/>
        <w:jc w:val="both"/>
        <w:rPr>
          <w:rFonts w:ascii="Arial Narrow" w:hAnsi="Arial Narrow" w:cs="Arial"/>
          <w:iCs/>
          <w:color w:val="000000" w:themeColor="text1"/>
          <w:lang w:val="es-ES" w:eastAsia="es-ES"/>
        </w:rPr>
      </w:pPr>
      <w:r w:rsidRPr="002C0D19">
        <w:rPr>
          <w:rFonts w:ascii="Arial Narrow" w:hAnsi="Arial Narrow" w:cs="Arial"/>
          <w:iCs/>
          <w:color w:val="000000" w:themeColor="text1"/>
          <w:lang w:val="es-ES" w:eastAsia="es-ES"/>
        </w:rPr>
        <w:t xml:space="preserve">Esquema de participación en los comités. Ponderación: treinta y tres punto tres por ciento (33,3%) de la estructura y comunicación de los comités asociados a la gestión de Tesorería. </w:t>
      </w:r>
    </w:p>
    <w:p w14:paraId="250DD173" w14:textId="77777777" w:rsidR="007968EC" w:rsidRPr="002C0D19" w:rsidRDefault="007968EC" w:rsidP="007968EC">
      <w:pPr>
        <w:ind w:left="540"/>
        <w:jc w:val="both"/>
        <w:rPr>
          <w:rFonts w:ascii="Arial Narrow" w:hAnsi="Arial Narrow" w:cs="Arial"/>
          <w:iCs/>
          <w:color w:val="000000" w:themeColor="text1"/>
          <w:lang w:val="es-ES" w:eastAsia="es-ES"/>
        </w:rPr>
      </w:pPr>
    </w:p>
    <w:p w14:paraId="1E28EF37" w14:textId="77777777" w:rsidR="007968EC" w:rsidRPr="002C0D19" w:rsidRDefault="007968EC" w:rsidP="00DA7472">
      <w:pPr>
        <w:numPr>
          <w:ilvl w:val="7"/>
          <w:numId w:val="20"/>
        </w:numPr>
        <w:tabs>
          <w:tab w:val="num" w:pos="720"/>
        </w:tabs>
        <w:ind w:left="720"/>
        <w:jc w:val="both"/>
        <w:rPr>
          <w:rFonts w:ascii="Arial Narrow" w:hAnsi="Arial Narrow" w:cs="Arial"/>
          <w:iCs/>
          <w:color w:val="000000" w:themeColor="text1"/>
          <w:lang w:val="es-ES" w:eastAsia="es-ES"/>
        </w:rPr>
      </w:pPr>
      <w:r w:rsidRPr="002C0D19">
        <w:rPr>
          <w:rFonts w:ascii="Arial Narrow" w:hAnsi="Arial Narrow" w:cs="Arial"/>
          <w:iCs/>
          <w:color w:val="000000" w:themeColor="text1"/>
          <w:lang w:val="es-ES" w:eastAsia="es-ES"/>
        </w:rPr>
        <w:t xml:space="preserve">Formalización de las políticas y lineamientos de riesgos. Ponderación: treinta por ciento (30%) de la Estructura formal y estratégica. </w:t>
      </w:r>
    </w:p>
    <w:p w14:paraId="236DD192" w14:textId="77777777" w:rsidR="007968EC" w:rsidRPr="002C0D19" w:rsidRDefault="007968EC" w:rsidP="007968EC">
      <w:pPr>
        <w:jc w:val="both"/>
        <w:rPr>
          <w:rFonts w:ascii="Arial Narrow" w:hAnsi="Arial Narrow" w:cs="Arial"/>
          <w:color w:val="000000" w:themeColor="text1"/>
          <w:lang w:val="es-ES" w:eastAsia="es-ES"/>
        </w:rPr>
      </w:pPr>
    </w:p>
    <w:p w14:paraId="470D978B" w14:textId="77777777" w:rsidR="007968EC" w:rsidRPr="002C0D19" w:rsidRDefault="007968EC" w:rsidP="00DA7472">
      <w:pPr>
        <w:numPr>
          <w:ilvl w:val="0"/>
          <w:numId w:val="22"/>
        </w:numPr>
        <w:jc w:val="both"/>
        <w:rPr>
          <w:rFonts w:ascii="Arial Narrow" w:hAnsi="Arial Narrow" w:cs="Arial"/>
          <w:color w:val="000000" w:themeColor="text1"/>
          <w:lang w:val="es-ES" w:eastAsia="es-ES"/>
        </w:rPr>
      </w:pPr>
      <w:r w:rsidRPr="002C0D19">
        <w:rPr>
          <w:rFonts w:ascii="Arial Narrow" w:hAnsi="Arial Narrow" w:cs="Arial"/>
          <w:iCs/>
          <w:color w:val="000000" w:themeColor="text1"/>
          <w:lang w:val="es-ES" w:eastAsia="es-ES"/>
        </w:rPr>
        <w:t xml:space="preserve">Estructura Operativa: Dentro del Análisis de Aspectos Cualitativos la estructura operativa tiene una ponderación en la evaluación del cuarenta por ciento (40%) y se tienen en </w:t>
      </w:r>
      <w:r w:rsidRPr="002C0D19">
        <w:rPr>
          <w:rFonts w:ascii="Arial Narrow" w:hAnsi="Arial Narrow" w:cs="Arial"/>
          <w:color w:val="000000" w:themeColor="text1"/>
          <w:lang w:val="es-ES" w:eastAsia="es-ES"/>
        </w:rPr>
        <w:t>cuenta</w:t>
      </w:r>
      <w:r w:rsidRPr="002C0D19">
        <w:rPr>
          <w:rFonts w:ascii="Arial Narrow" w:hAnsi="Arial Narrow" w:cs="Arial"/>
          <w:iCs/>
          <w:color w:val="000000" w:themeColor="text1"/>
          <w:lang w:val="es-ES" w:eastAsia="es-ES"/>
        </w:rPr>
        <w:t xml:space="preserve"> los siguientes aspectos: </w:t>
      </w:r>
    </w:p>
    <w:p w14:paraId="6F7B909A" w14:textId="77777777" w:rsidR="007968EC" w:rsidRPr="002C0D19" w:rsidRDefault="007968EC" w:rsidP="007968EC">
      <w:pPr>
        <w:jc w:val="both"/>
        <w:rPr>
          <w:rFonts w:ascii="Arial Narrow" w:hAnsi="Arial Narrow" w:cs="Arial"/>
          <w:iCs/>
          <w:color w:val="000000" w:themeColor="text1"/>
          <w:lang w:val="es-ES" w:eastAsia="es-ES"/>
        </w:rPr>
      </w:pPr>
    </w:p>
    <w:p w14:paraId="72674D5E" w14:textId="77777777" w:rsidR="007968EC" w:rsidRPr="002C0D19" w:rsidRDefault="007968EC" w:rsidP="00DA7472">
      <w:pPr>
        <w:numPr>
          <w:ilvl w:val="7"/>
          <w:numId w:val="19"/>
        </w:numPr>
        <w:tabs>
          <w:tab w:val="num" w:pos="720"/>
        </w:tabs>
        <w:ind w:left="720"/>
        <w:jc w:val="both"/>
        <w:rPr>
          <w:rFonts w:ascii="Arial Narrow" w:hAnsi="Arial Narrow" w:cs="Arial"/>
          <w:iCs/>
          <w:color w:val="000000" w:themeColor="text1"/>
          <w:lang w:val="es-ES" w:eastAsia="es-ES"/>
        </w:rPr>
      </w:pPr>
      <w:r w:rsidRPr="002C0D19">
        <w:rPr>
          <w:rFonts w:ascii="Arial Narrow" w:hAnsi="Arial Narrow" w:cs="Arial"/>
          <w:iCs/>
          <w:color w:val="000000" w:themeColor="text1"/>
          <w:lang w:val="es-ES" w:eastAsia="es-ES"/>
        </w:rPr>
        <w:t xml:space="preserve">Calidad en los procesos de administración de riesgos. Ponderación: treinta y cinco por ciento (35%) de la Estructura operativa. </w:t>
      </w:r>
    </w:p>
    <w:p w14:paraId="000FFEDF" w14:textId="77777777" w:rsidR="007968EC" w:rsidRPr="002C0D19" w:rsidRDefault="007968EC" w:rsidP="007968EC">
      <w:pPr>
        <w:ind w:left="720"/>
        <w:jc w:val="both"/>
        <w:rPr>
          <w:rFonts w:ascii="Arial Narrow" w:hAnsi="Arial Narrow" w:cs="Arial"/>
          <w:iCs/>
          <w:color w:val="000000" w:themeColor="text1"/>
          <w:lang w:val="es-ES" w:eastAsia="es-ES"/>
        </w:rPr>
      </w:pPr>
    </w:p>
    <w:p w14:paraId="00B15DE6" w14:textId="77777777" w:rsidR="007968EC" w:rsidRPr="002C0D19" w:rsidRDefault="007968EC" w:rsidP="00DA7472">
      <w:pPr>
        <w:numPr>
          <w:ilvl w:val="7"/>
          <w:numId w:val="19"/>
        </w:numPr>
        <w:tabs>
          <w:tab w:val="num" w:pos="720"/>
        </w:tabs>
        <w:ind w:left="720"/>
        <w:jc w:val="both"/>
        <w:rPr>
          <w:rFonts w:ascii="Arial Narrow" w:hAnsi="Arial Narrow" w:cs="Arial"/>
          <w:iCs/>
          <w:color w:val="000000" w:themeColor="text1"/>
          <w:lang w:val="es-ES" w:eastAsia="es-ES"/>
        </w:rPr>
      </w:pPr>
      <w:r w:rsidRPr="002C0D19">
        <w:rPr>
          <w:rFonts w:ascii="Arial Narrow" w:hAnsi="Arial Narrow" w:cs="Arial"/>
          <w:iCs/>
          <w:color w:val="000000" w:themeColor="text1"/>
          <w:lang w:val="es-ES" w:eastAsia="es-ES"/>
        </w:rPr>
        <w:t xml:space="preserve">Soporte de los procesos de las herramientas informáticas. Ponderación: treinta por ciento (30%) de la Estructura operativa. </w:t>
      </w:r>
    </w:p>
    <w:p w14:paraId="2F6BEC77" w14:textId="77777777" w:rsidR="007968EC" w:rsidRPr="002C0D19" w:rsidRDefault="007968EC" w:rsidP="007968EC">
      <w:pPr>
        <w:ind w:left="720"/>
        <w:jc w:val="both"/>
        <w:rPr>
          <w:rFonts w:ascii="Arial Narrow" w:hAnsi="Arial Narrow" w:cs="Arial"/>
          <w:iCs/>
          <w:color w:val="000000" w:themeColor="text1"/>
          <w:lang w:val="es-ES" w:eastAsia="es-ES"/>
        </w:rPr>
      </w:pPr>
    </w:p>
    <w:p w14:paraId="5A5B634B" w14:textId="77777777" w:rsidR="007968EC" w:rsidRPr="002C0D19" w:rsidRDefault="007968EC" w:rsidP="00DA7472">
      <w:pPr>
        <w:numPr>
          <w:ilvl w:val="7"/>
          <w:numId w:val="19"/>
        </w:numPr>
        <w:tabs>
          <w:tab w:val="num" w:pos="720"/>
        </w:tabs>
        <w:ind w:left="720"/>
        <w:jc w:val="both"/>
        <w:rPr>
          <w:rFonts w:ascii="Arial Narrow" w:hAnsi="Arial Narrow" w:cs="Arial"/>
          <w:iCs/>
          <w:color w:val="000000" w:themeColor="text1"/>
          <w:lang w:val="es-ES" w:eastAsia="es-ES"/>
        </w:rPr>
      </w:pPr>
      <w:r w:rsidRPr="002C0D19">
        <w:rPr>
          <w:rFonts w:ascii="Arial Narrow" w:hAnsi="Arial Narrow" w:cs="Arial"/>
          <w:iCs/>
          <w:color w:val="000000" w:themeColor="text1"/>
          <w:lang w:val="es-ES" w:eastAsia="es-ES"/>
        </w:rPr>
        <w:t xml:space="preserve">Plan de contingencia. Ponderación: treinta y cinco por ciento (35%) de la Estructura operativa. </w:t>
      </w:r>
    </w:p>
    <w:p w14:paraId="7EFD22E0" w14:textId="77777777" w:rsidR="007968EC" w:rsidRPr="002C0D19" w:rsidRDefault="007968EC" w:rsidP="007968EC">
      <w:pPr>
        <w:jc w:val="both"/>
        <w:rPr>
          <w:rFonts w:ascii="Arial Narrow" w:hAnsi="Arial Narrow" w:cs="Arial"/>
          <w:iCs/>
          <w:color w:val="000000" w:themeColor="text1"/>
          <w:lang w:val="es-ES" w:eastAsia="es-ES"/>
        </w:rPr>
      </w:pPr>
    </w:p>
    <w:p w14:paraId="502FDFD0"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Análisis Cuantitativo: Este análisis tiene una ponderación del sesenta por ciento (60%) del total de la evaluación. Con base en la información financiera suministrada y consultada en la Superintendencia Financiera de Colombia, la Cámara hará una evaluación de los principales aspectos de la estructura financiera de las entidades aspirantes a ser Miembros. Se tienen en cuenta, entre otros, los siguientes aspectos: la solvencia, la calidad de cartera, calidad administrativa, el rendimiento de los Activos y el nivel de liquidez. En el evento en que, en virtud del proceso de verificación que adelante la Cámara durante la vinculación del Miembro Liquidador de acuerdo con lo dispuesto en los parágrafos primero del artículo 2.1.3. </w:t>
      </w:r>
      <w:r w:rsidRPr="002C0D19">
        <w:rPr>
          <w:rFonts w:ascii="Arial Narrow" w:hAnsi="Arial Narrow" w:cs="Arial"/>
          <w:color w:val="000000" w:themeColor="text1"/>
          <w:lang w:val="es-ES" w:eastAsia="es-ES"/>
        </w:rPr>
        <w:lastRenderedPageBreak/>
        <w:t>y segundo del artículo 2.1.4. del Reglamento de Funcionamiento, éste obtenga una calificación inferior a la establecida por el Comité de Riesgos para el Análisis Cuantitativo que realiza la Subgerencia de Riesgos y Operaciones, la Cámara aplicará de manera inmediata y sin previo aviso un descuento en los límites otorgados al Miembro Liquidador. Los nuevos límites serán notificados posteriormente al Miembro Liquidador respectivo mediante comunicación escrita remitida por la Cámara.</w:t>
      </w:r>
    </w:p>
    <w:p w14:paraId="57AA12E4" w14:textId="77777777" w:rsidR="007968EC" w:rsidRPr="002C0D19" w:rsidRDefault="007968EC" w:rsidP="007968EC">
      <w:pPr>
        <w:jc w:val="both"/>
        <w:rPr>
          <w:rFonts w:ascii="Arial Narrow" w:hAnsi="Arial Narrow" w:cs="Arial"/>
          <w:color w:val="000000" w:themeColor="text1"/>
          <w:lang w:val="es-ES" w:eastAsia="es-ES"/>
        </w:rPr>
      </w:pPr>
    </w:p>
    <w:p w14:paraId="32A396FC"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 w:eastAsia="es-ES"/>
        </w:rPr>
        <w:t>Parágrafo.</w:t>
      </w:r>
      <w:r w:rsidRPr="002C0D19">
        <w:rPr>
          <w:rFonts w:ascii="Arial Narrow" w:hAnsi="Arial Narrow" w:cs="Arial"/>
          <w:color w:val="000000" w:themeColor="text1"/>
          <w:lang w:val="es-ES" w:eastAsia="es-ES"/>
        </w:rPr>
        <w:t xml:space="preserve"> La Subgerencia de Operaciones y Riesgos de la Cámara adelantará el proceso de evaluación de las entidades aspirantes a Miembros de conformidad con los criterios y ponderaciones establecidas en el presente artículo y la escala de calificación de los mismos que establezca el Comité de Riesgos. </w:t>
      </w:r>
    </w:p>
    <w:p w14:paraId="48E41970" w14:textId="77777777" w:rsidR="007968EC" w:rsidRPr="002C0D19" w:rsidRDefault="007968EC" w:rsidP="007968EC">
      <w:pPr>
        <w:jc w:val="both"/>
        <w:rPr>
          <w:rFonts w:ascii="Arial Narrow" w:hAnsi="Arial Narrow" w:cs="Arial"/>
          <w:color w:val="000000" w:themeColor="text1"/>
          <w:lang w:val="es-ES" w:eastAsia="es-ES"/>
        </w:rPr>
      </w:pPr>
    </w:p>
    <w:p w14:paraId="71B0B9FF" w14:textId="77777777" w:rsidR="007968EC" w:rsidRDefault="007968EC" w:rsidP="007968EC">
      <w:pPr>
        <w:pStyle w:val="ARTICULO0"/>
      </w:pPr>
      <w:bookmarkStart w:id="402" w:name="_Toc206134802"/>
      <w:bookmarkStart w:id="403" w:name="_Toc472592042"/>
      <w:bookmarkStart w:id="404" w:name="_Toc472593061"/>
      <w:bookmarkStart w:id="405" w:name="_Toc479056847"/>
      <w:bookmarkStart w:id="406" w:name="_Toc31715853"/>
      <w:bookmarkStart w:id="407" w:name="_Toc470775347"/>
      <w:bookmarkStart w:id="408" w:name="_Toc470779632"/>
      <w:bookmarkStart w:id="409" w:name="_Toc470780249"/>
      <w:bookmarkStart w:id="410" w:name="_Toc470780762"/>
      <w:bookmarkStart w:id="411" w:name="_Toc470784323"/>
      <w:bookmarkStart w:id="412" w:name="_Toc470784860"/>
      <w:bookmarkStart w:id="413" w:name="_Toc470786345"/>
      <w:bookmarkStart w:id="414" w:name="_Toc470786883"/>
      <w:bookmarkStart w:id="415" w:name="_Toc470791236"/>
      <w:bookmarkStart w:id="416" w:name="_Toc490066140"/>
      <w:r w:rsidRPr="002C0D19">
        <w:t>Artículo 1.2.1.7. Nivel de capacitación mínimo requerido para ser admitido como Miembro</w:t>
      </w:r>
      <w:bookmarkEnd w:id="402"/>
      <w:r w:rsidRPr="002C0D19">
        <w:t>.</w:t>
      </w:r>
      <w:bookmarkEnd w:id="403"/>
      <w:bookmarkEnd w:id="404"/>
      <w:bookmarkEnd w:id="405"/>
      <w:bookmarkEnd w:id="406"/>
      <w:r w:rsidRPr="002C0D19">
        <w:t xml:space="preserve"> </w:t>
      </w:r>
    </w:p>
    <w:p w14:paraId="23DC6373" w14:textId="77777777" w:rsidR="007968EC" w:rsidRPr="00AB258B" w:rsidRDefault="007968EC" w:rsidP="007968EC">
      <w:pPr>
        <w:jc w:val="both"/>
        <w:rPr>
          <w:rFonts w:ascii="Arial Narrow" w:hAnsi="Arial Narrow" w:cs="Arial"/>
          <w:color w:val="000000" w:themeColor="text1"/>
          <w:lang w:eastAsia="es-ES"/>
        </w:rPr>
      </w:pPr>
    </w:p>
    <w:p w14:paraId="58DFF756" w14:textId="77777777" w:rsidR="007968EC" w:rsidRPr="002C0D19" w:rsidRDefault="007968EC" w:rsidP="007968EC">
      <w:pPr>
        <w:pStyle w:val="ANTECEDENTES"/>
      </w:pPr>
      <w:r w:rsidRPr="002C0D19">
        <w:t>(Este artículo fue renumerado mediante Circular 19 del 28 de diciembre de 2016, publicada en el Boletín Normativo No. 024 del 28 de diciembre de 2016 y renumerado mediante Circular 14 del 8 de agosto de 2017, publicada en el Boletín Normativo No. 015 del 8 de agosto de 2017. Rige a partir del 9 de agosto de 2017.)</w:t>
      </w:r>
      <w:bookmarkEnd w:id="407"/>
      <w:bookmarkEnd w:id="408"/>
      <w:bookmarkEnd w:id="409"/>
      <w:bookmarkEnd w:id="410"/>
      <w:bookmarkEnd w:id="411"/>
      <w:bookmarkEnd w:id="412"/>
      <w:bookmarkEnd w:id="413"/>
      <w:bookmarkEnd w:id="414"/>
      <w:bookmarkEnd w:id="415"/>
      <w:bookmarkEnd w:id="416"/>
    </w:p>
    <w:p w14:paraId="23207FCD" w14:textId="77777777" w:rsidR="007968EC" w:rsidRPr="002C0D19" w:rsidRDefault="007968EC" w:rsidP="007968EC">
      <w:pPr>
        <w:keepNext/>
        <w:autoSpaceDE w:val="0"/>
        <w:autoSpaceDN w:val="0"/>
        <w:contextualSpacing/>
        <w:jc w:val="both"/>
        <w:rPr>
          <w:rFonts w:ascii="Arial Narrow" w:hAnsi="Arial Narrow" w:cs="Arial"/>
          <w:b/>
          <w:color w:val="000000" w:themeColor="text1"/>
          <w:lang w:val="es-ES" w:eastAsia="es-ES"/>
        </w:rPr>
      </w:pPr>
    </w:p>
    <w:p w14:paraId="30D3A1FB"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Los Miembros serán responsables de que las personas autorizadas para operar en el Sistema hayan asistido a la capacitación funcional impartida por la Cámara de acuerdo con los ciclos de adiestramiento. Los Miembros velarán porque los Sistemas de la Cámara sólo se operen por Operadores que cuenten con la capacitación funcional establecida por la Cámara. </w:t>
      </w:r>
    </w:p>
    <w:p w14:paraId="41F9F11A" w14:textId="77777777" w:rsidR="007968EC" w:rsidRPr="002C0D19" w:rsidRDefault="007968EC" w:rsidP="007968EC">
      <w:pPr>
        <w:jc w:val="both"/>
        <w:rPr>
          <w:rFonts w:ascii="Arial Narrow" w:hAnsi="Arial Narrow" w:cs="Arial"/>
          <w:color w:val="000000" w:themeColor="text1"/>
          <w:lang w:val="es-ES" w:eastAsia="es-ES"/>
        </w:rPr>
      </w:pPr>
    </w:p>
    <w:p w14:paraId="2CA340E6" w14:textId="77777777" w:rsidR="007968EC" w:rsidRDefault="007968EC" w:rsidP="007968EC">
      <w:pPr>
        <w:pStyle w:val="ARTICULO0"/>
        <w:rPr>
          <w:i/>
        </w:rPr>
      </w:pPr>
      <w:bookmarkStart w:id="417" w:name="_Toc472592043"/>
      <w:bookmarkStart w:id="418" w:name="_Toc472593062"/>
      <w:bookmarkStart w:id="419" w:name="_Toc479056848"/>
      <w:bookmarkStart w:id="420" w:name="_Toc31715854"/>
      <w:bookmarkStart w:id="421" w:name="_Toc470775348"/>
      <w:bookmarkStart w:id="422" w:name="_Toc470779633"/>
      <w:bookmarkStart w:id="423" w:name="_Toc470780250"/>
      <w:bookmarkStart w:id="424" w:name="_Toc470780763"/>
      <w:bookmarkStart w:id="425" w:name="_Toc470784324"/>
      <w:bookmarkStart w:id="426" w:name="_Toc470784861"/>
      <w:bookmarkStart w:id="427" w:name="_Toc470786346"/>
      <w:bookmarkStart w:id="428" w:name="_Toc470786884"/>
      <w:bookmarkStart w:id="429" w:name="_Toc470791237"/>
      <w:bookmarkStart w:id="430" w:name="_Toc490066141"/>
      <w:r w:rsidRPr="002C0D19">
        <w:t>Artículo 1.2.1.8. Admisión de Miembros.</w:t>
      </w:r>
      <w:bookmarkEnd w:id="417"/>
      <w:bookmarkEnd w:id="418"/>
      <w:bookmarkEnd w:id="419"/>
      <w:bookmarkEnd w:id="420"/>
      <w:r w:rsidRPr="002C0D19">
        <w:rPr>
          <w:i/>
        </w:rPr>
        <w:t xml:space="preserve"> </w:t>
      </w:r>
    </w:p>
    <w:p w14:paraId="0DFD71DA" w14:textId="77777777" w:rsidR="007968EC" w:rsidRPr="00AB258B" w:rsidRDefault="007968EC" w:rsidP="007968EC">
      <w:pPr>
        <w:jc w:val="both"/>
        <w:rPr>
          <w:rFonts w:ascii="Arial Narrow" w:hAnsi="Arial Narrow" w:cs="Arial"/>
          <w:color w:val="000000" w:themeColor="text1"/>
          <w:lang w:eastAsia="es-ES"/>
        </w:rPr>
      </w:pPr>
    </w:p>
    <w:p w14:paraId="4F0577CF" w14:textId="77777777" w:rsidR="007968EC" w:rsidRPr="002C0D19" w:rsidRDefault="007968EC" w:rsidP="007968EC">
      <w:pPr>
        <w:pStyle w:val="ANTECEDENTES"/>
      </w:pPr>
      <w:r w:rsidRPr="002C0D19">
        <w:t>(Este artículo fue modificado mediante Circular 19 del 28 de diciembre de 2016, publicada en el Boletín Normativo No. 024 del 28 de diciembre de 2016</w:t>
      </w:r>
      <w:bookmarkEnd w:id="421"/>
      <w:bookmarkEnd w:id="422"/>
      <w:bookmarkEnd w:id="423"/>
      <w:bookmarkEnd w:id="424"/>
      <w:bookmarkEnd w:id="425"/>
      <w:bookmarkEnd w:id="426"/>
      <w:bookmarkEnd w:id="427"/>
      <w:bookmarkEnd w:id="428"/>
      <w:bookmarkEnd w:id="429"/>
      <w:bookmarkEnd w:id="430"/>
      <w:r w:rsidRPr="002C0D19">
        <w:t xml:space="preserve"> y renumerado mediante Circular 14 del 8 de agosto de 2017, publicada en el Boletín Normativo No. 015 del 8 de agosto de 2017. Rige a partir del 9 de agosto de 2017.)</w:t>
      </w:r>
    </w:p>
    <w:p w14:paraId="1FD22235" w14:textId="77777777" w:rsidR="007968EC" w:rsidRPr="002C0D19" w:rsidRDefault="007968EC" w:rsidP="007968EC">
      <w:pPr>
        <w:jc w:val="both"/>
        <w:rPr>
          <w:rFonts w:ascii="Arial Narrow" w:hAnsi="Arial Narrow" w:cs="Arial"/>
          <w:b/>
          <w:color w:val="000000" w:themeColor="text1"/>
          <w:u w:val="single"/>
          <w:lang w:eastAsia="es-ES"/>
        </w:rPr>
      </w:pPr>
    </w:p>
    <w:p w14:paraId="5B771535"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Corresponderá a la Junta Directiva autorizar la admisión de los Miembros de conformidad con lo establecido en el artículo 2.1.3. del Reglamento de Funcionamiento de la Cámara.</w:t>
      </w:r>
    </w:p>
    <w:p w14:paraId="027576D0" w14:textId="77777777" w:rsidR="007968EC" w:rsidRPr="002C0D19" w:rsidRDefault="007968EC" w:rsidP="007968EC">
      <w:pPr>
        <w:jc w:val="both"/>
        <w:rPr>
          <w:rFonts w:ascii="Arial Narrow" w:hAnsi="Arial Narrow" w:cs="Arial"/>
          <w:color w:val="000000" w:themeColor="text1"/>
          <w:lang w:val="es-ES" w:eastAsia="es-ES"/>
        </w:rPr>
      </w:pPr>
    </w:p>
    <w:p w14:paraId="6F5BB3E5" w14:textId="77777777" w:rsidR="007968EC" w:rsidRPr="002C0D19" w:rsidRDefault="007968EC" w:rsidP="007968EC">
      <w:pPr>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La Cámara les confirmará a los Miembros los Segmentos en que podrán participar en la comunicación que les remita con la Oferta de Servicios según la modalidad de Miembro de la que se trate. </w:t>
      </w:r>
    </w:p>
    <w:p w14:paraId="2C114A16" w14:textId="77777777" w:rsidR="007968EC" w:rsidRPr="002C0D19" w:rsidRDefault="007968EC" w:rsidP="007968EC">
      <w:pPr>
        <w:jc w:val="both"/>
        <w:rPr>
          <w:rFonts w:ascii="Arial Narrow" w:hAnsi="Arial Narrow" w:cs="Arial"/>
          <w:color w:val="000000" w:themeColor="text1"/>
          <w:lang w:val="es-ES" w:eastAsia="es-ES"/>
        </w:rPr>
      </w:pPr>
    </w:p>
    <w:p w14:paraId="2E53FC25"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En todo caso la Junta Directiva podrá en casos especiales autorizar que la afiliación de los Miembros quede sujeta a la acreditación posterior de alguno de los requisitos establecidos en el presente Capítulo. </w:t>
      </w:r>
    </w:p>
    <w:p w14:paraId="66FCDC39" w14:textId="77777777" w:rsidR="007968EC" w:rsidRPr="002C0D19" w:rsidRDefault="007968EC" w:rsidP="007968EC">
      <w:pPr>
        <w:jc w:val="both"/>
        <w:rPr>
          <w:rFonts w:ascii="Arial Narrow" w:hAnsi="Arial Narrow" w:cs="Arial"/>
          <w:color w:val="000000" w:themeColor="text1"/>
          <w:lang w:val="es-ES" w:eastAsia="es-ES"/>
        </w:rPr>
      </w:pPr>
    </w:p>
    <w:p w14:paraId="0D996D2C" w14:textId="77777777" w:rsidR="007968EC" w:rsidRPr="002C0D19" w:rsidRDefault="007968EC" w:rsidP="007968EC">
      <w:pPr>
        <w:jc w:val="both"/>
        <w:rPr>
          <w:rFonts w:ascii="Arial Narrow" w:hAnsi="Arial Narrow" w:cs="Arial"/>
          <w:color w:val="000000" w:themeColor="text1"/>
          <w:lang w:val="es-ES" w:eastAsia="es-ES"/>
        </w:rPr>
      </w:pPr>
      <w:bookmarkStart w:id="431" w:name="_Toc206931195"/>
      <w:r w:rsidRPr="002C0D19">
        <w:rPr>
          <w:rFonts w:ascii="Arial Narrow" w:hAnsi="Arial Narrow" w:cs="Arial"/>
          <w:color w:val="000000" w:themeColor="text1"/>
          <w:lang w:val="es-ES" w:eastAsia="es-ES"/>
        </w:rPr>
        <w:t>Por otra parte, cuando alguna entidad no cumpla con la escala de calificación que establezca el Comité de Riesgos para alguno de los aspectos de calificación de la evaluación cualitativa, pero que acrediten una calificación ponderada dentro del estándar establecido, la Junta Directiva podrá autorizar la suscripción de un plan de ajuste con el objeto de que alcance el estándar requerido por la Cámara.</w:t>
      </w:r>
      <w:bookmarkEnd w:id="431"/>
    </w:p>
    <w:p w14:paraId="51FDEB21" w14:textId="77777777" w:rsidR="007968EC" w:rsidRPr="002C0D19" w:rsidRDefault="007968EC" w:rsidP="007968EC">
      <w:pPr>
        <w:jc w:val="both"/>
        <w:rPr>
          <w:rFonts w:ascii="Arial Narrow" w:hAnsi="Arial Narrow" w:cs="Arial"/>
          <w:color w:val="000000" w:themeColor="text1"/>
          <w:lang w:val="es-ES" w:eastAsia="es-ES"/>
        </w:rPr>
      </w:pPr>
    </w:p>
    <w:p w14:paraId="15322908"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lastRenderedPageBreak/>
        <w:t xml:space="preserve">Los Miembros podrán actuar en una misma modalidad o modalidades distintas respecto de los Segmentos en los cuales participen en la Compensación y Liquidación. En ningún caso un Miembro podrá actuar en un mismo Segmento en más de una modalidad. El Miembro para ser admitido en una modalidad distinta a la que participa en uno o unos Segmentos de la Cámara, deberá surtir ante la Cámara el procedimiento y acreditar el cumplimiento de los requisitos de admisión al respectivo Segmento en los términos establecidos en el presente Capítulo.  </w:t>
      </w:r>
    </w:p>
    <w:p w14:paraId="405CDBCB" w14:textId="77777777" w:rsidR="007968EC" w:rsidRPr="002C0D19" w:rsidRDefault="007968EC" w:rsidP="007968EC">
      <w:pPr>
        <w:jc w:val="both"/>
        <w:rPr>
          <w:rFonts w:ascii="Arial Narrow" w:hAnsi="Arial Narrow" w:cs="Arial"/>
          <w:color w:val="000000" w:themeColor="text1"/>
          <w:lang w:val="es-ES" w:eastAsia="es-ES"/>
        </w:rPr>
      </w:pPr>
    </w:p>
    <w:p w14:paraId="4568C3F3" w14:textId="77777777" w:rsidR="007968EC" w:rsidRDefault="007968EC" w:rsidP="007968EC">
      <w:pPr>
        <w:pStyle w:val="ARTICULO0"/>
      </w:pPr>
      <w:bookmarkStart w:id="432" w:name="_Toc472592044"/>
      <w:bookmarkStart w:id="433" w:name="_Toc472593063"/>
      <w:bookmarkStart w:id="434" w:name="_Toc479056849"/>
      <w:bookmarkStart w:id="435" w:name="_Toc31715855"/>
      <w:bookmarkStart w:id="436" w:name="_Toc470775349"/>
      <w:bookmarkStart w:id="437" w:name="_Toc470779634"/>
      <w:bookmarkStart w:id="438" w:name="_Toc470780251"/>
      <w:bookmarkStart w:id="439" w:name="_Toc470780764"/>
      <w:bookmarkStart w:id="440" w:name="_Toc470784325"/>
      <w:bookmarkStart w:id="441" w:name="_Toc470784862"/>
      <w:bookmarkStart w:id="442" w:name="_Toc470786347"/>
      <w:bookmarkStart w:id="443" w:name="_Toc470786885"/>
      <w:bookmarkStart w:id="444" w:name="_Toc470791238"/>
      <w:bookmarkStart w:id="445" w:name="_Toc490066142"/>
      <w:r w:rsidRPr="002C0D19">
        <w:t>Artículo 1.2.1.9. Notificación de admisión, afiliación y creación del Miembro en el Sistema.</w:t>
      </w:r>
      <w:bookmarkEnd w:id="432"/>
      <w:bookmarkEnd w:id="433"/>
      <w:bookmarkEnd w:id="434"/>
      <w:bookmarkEnd w:id="435"/>
      <w:r w:rsidRPr="002C0D19">
        <w:t xml:space="preserve"> </w:t>
      </w:r>
    </w:p>
    <w:p w14:paraId="5F322CDF" w14:textId="77777777" w:rsidR="007968EC" w:rsidRDefault="007968EC" w:rsidP="007968EC">
      <w:pPr>
        <w:keepNext/>
        <w:tabs>
          <w:tab w:val="left" w:pos="1701"/>
        </w:tabs>
        <w:jc w:val="both"/>
        <w:outlineLvl w:val="2"/>
        <w:rPr>
          <w:rFonts w:ascii="Arial Narrow" w:hAnsi="Arial Narrow" w:cs="Arial"/>
          <w:b/>
          <w:color w:val="000000" w:themeColor="text1"/>
          <w:lang w:eastAsia="es-ES"/>
        </w:rPr>
      </w:pPr>
    </w:p>
    <w:p w14:paraId="22F060EC" w14:textId="77777777" w:rsidR="007968EC" w:rsidRPr="002C0D19" w:rsidRDefault="007968EC" w:rsidP="007968EC">
      <w:pPr>
        <w:pStyle w:val="ANTECEDENTES"/>
      </w:pPr>
      <w:r w:rsidRPr="002C0D19">
        <w:t xml:space="preserve">(Este artículo fue modificado mediante Circular 5 del 28 de noviembre de 2008, publicada en el Boletín Normativo No. 007 del 28 de noviembre de 2008, mediante Circular 22 del 14 de noviembre de 2014, publicada en el Boletín Normativo No. 025 del 14 de noviembre de 2014, </w:t>
      </w:r>
      <w:r w:rsidRPr="002C0D19">
        <w:rPr>
          <w:lang w:val="es-ES"/>
        </w:rPr>
        <w:t xml:space="preserve">mediante Circular 17 del 15 de diciembre de 2016, publicada en el Boletín Normativo No. 021 del 15 de diciembre de 2016, </w:t>
      </w:r>
      <w:r w:rsidRPr="002C0D19">
        <w:t xml:space="preserve">mediante </w:t>
      </w:r>
      <w:r w:rsidRPr="002C0D19">
        <w:rPr>
          <w:lang w:val="es-ES"/>
        </w:rPr>
        <w:t>Circular 19 del 28 de diciembre de 2016, publicada en el Boletín Normativo No. 024 del 28 de diciembre de 2016</w:t>
      </w:r>
      <w:bookmarkEnd w:id="436"/>
      <w:bookmarkEnd w:id="437"/>
      <w:bookmarkEnd w:id="438"/>
      <w:bookmarkEnd w:id="439"/>
      <w:bookmarkEnd w:id="440"/>
      <w:bookmarkEnd w:id="441"/>
      <w:bookmarkEnd w:id="442"/>
      <w:bookmarkEnd w:id="443"/>
      <w:bookmarkEnd w:id="444"/>
      <w:bookmarkEnd w:id="445"/>
      <w:r w:rsidRPr="002C0D19">
        <w:rPr>
          <w:lang w:val="es-ES"/>
        </w:rPr>
        <w:t xml:space="preserve"> y renumerado mediante Circular 14 del 8 de agosto de 2017, publicada en el Boletín Normativo No. 015 del 8 de agosto de 2017. </w:t>
      </w:r>
      <w:r w:rsidRPr="002C0D19">
        <w:t>Rige a partir del 9 de agosto de 2017.</w:t>
      </w:r>
      <w:r w:rsidRPr="002C0D19">
        <w:rPr>
          <w:lang w:val="es-ES"/>
        </w:rPr>
        <w:t>)</w:t>
      </w:r>
    </w:p>
    <w:p w14:paraId="7AC30583" w14:textId="77777777" w:rsidR="007968EC" w:rsidRPr="002C0D19" w:rsidRDefault="007968EC" w:rsidP="007968EC">
      <w:pPr>
        <w:jc w:val="both"/>
        <w:rPr>
          <w:rFonts w:ascii="Arial Narrow" w:hAnsi="Arial Narrow" w:cs="Arial"/>
          <w:color w:val="000000" w:themeColor="text1"/>
          <w:lang w:val="es-ES" w:eastAsia="es-ES"/>
        </w:rPr>
      </w:pPr>
    </w:p>
    <w:p w14:paraId="26B7733E"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Una vez el Miembro ha sido admitido, deberá radicar ante la Cámara el Poder de Adhesión al Contrato con la Unión Temporal conformada por Claro y </w:t>
      </w:r>
      <w:proofErr w:type="spellStart"/>
      <w:r w:rsidRPr="002C0D19">
        <w:rPr>
          <w:rFonts w:ascii="Arial Narrow" w:hAnsi="Arial Narrow" w:cs="Arial"/>
          <w:color w:val="000000" w:themeColor="text1"/>
          <w:lang w:val="es-ES" w:eastAsia="es-ES"/>
        </w:rPr>
        <w:t>Level</w:t>
      </w:r>
      <w:proofErr w:type="spellEnd"/>
      <w:r w:rsidRPr="002C0D19">
        <w:rPr>
          <w:rFonts w:ascii="Arial Narrow" w:hAnsi="Arial Narrow" w:cs="Arial"/>
          <w:color w:val="000000" w:themeColor="text1"/>
          <w:lang w:val="es-ES" w:eastAsia="es-ES"/>
        </w:rPr>
        <w:t xml:space="preserve"> 3 para la conexión del Miembro al sistema de la Cámara según el modelo establecido en el Anexo 11 y aceptar la Oferta de Servicios de la Cámara en relación con la afiliación al Sistema de Compensación y Liquidación de la Cámara establecida en el Anexo 15, según la modalidad de admisión que corresponda, de acuerdo con la Orden de Compra de Servicios y según el modelo establecido en el Anexo 19, documentos que deben contar con reconocimiento de firma y texto ante notario público. Cumplido lo anterior la Cámara procederá a crear al Miembro en el Sistema de acuerdo con la información suministrada en el formato de solicitud de creación y modificación del usuario administrador, en los Segmentos para los cuales haya manifestado su interés en participar. </w:t>
      </w:r>
    </w:p>
    <w:p w14:paraId="66CCE6B7" w14:textId="77777777" w:rsidR="007968EC" w:rsidRPr="002C0D19" w:rsidRDefault="007968EC" w:rsidP="007968EC">
      <w:pPr>
        <w:jc w:val="both"/>
        <w:rPr>
          <w:rFonts w:ascii="Arial Narrow" w:hAnsi="Arial Narrow" w:cs="Arial"/>
          <w:color w:val="000000" w:themeColor="text1"/>
          <w:lang w:val="es-ES" w:eastAsia="es-ES"/>
        </w:rPr>
      </w:pPr>
    </w:p>
    <w:p w14:paraId="5DBBE879"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La creación del Miembro en el Sistema se entiende efectuada y notificada a partir de la creación de su usuario administrador y es obligación del Miembro tener en todo momento desde su creación al menos un usuario administrador habilitado en el Sistema. </w:t>
      </w:r>
    </w:p>
    <w:p w14:paraId="0CD25CAD" w14:textId="77777777" w:rsidR="007968EC" w:rsidRPr="002C0D19" w:rsidRDefault="007968EC" w:rsidP="007968EC">
      <w:pPr>
        <w:jc w:val="both"/>
        <w:rPr>
          <w:rFonts w:ascii="Arial Narrow" w:hAnsi="Arial Narrow" w:cs="Arial"/>
          <w:color w:val="000000" w:themeColor="text1"/>
          <w:lang w:val="es-ES" w:eastAsia="es-ES"/>
        </w:rPr>
      </w:pPr>
    </w:p>
    <w:p w14:paraId="7D3A0FD7"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 w:eastAsia="es-ES"/>
        </w:rPr>
        <w:t>Parágrafo Primero.</w:t>
      </w:r>
      <w:r w:rsidRPr="002C0D19">
        <w:rPr>
          <w:rFonts w:ascii="Arial Narrow" w:hAnsi="Arial Narrow" w:cs="Arial"/>
          <w:color w:val="000000" w:themeColor="text1"/>
          <w:lang w:val="es-ES" w:eastAsia="es-ES"/>
        </w:rPr>
        <w:t xml:space="preserve"> Cuando se trate de un Miembro que pertenezca a un mismo grupo empresarial cuya conexión al sistema de la Cámara, con la Unión Temporal Claro y </w:t>
      </w:r>
      <w:proofErr w:type="spellStart"/>
      <w:r w:rsidRPr="002C0D19">
        <w:rPr>
          <w:rFonts w:ascii="Arial Narrow" w:hAnsi="Arial Narrow" w:cs="Arial"/>
          <w:color w:val="000000" w:themeColor="text1"/>
          <w:lang w:val="es-ES" w:eastAsia="es-ES"/>
        </w:rPr>
        <w:t>Level</w:t>
      </w:r>
      <w:proofErr w:type="spellEnd"/>
      <w:r w:rsidRPr="002C0D19">
        <w:rPr>
          <w:rFonts w:ascii="Arial Narrow" w:hAnsi="Arial Narrow" w:cs="Arial"/>
          <w:color w:val="000000" w:themeColor="text1"/>
          <w:lang w:val="es-ES" w:eastAsia="es-ES"/>
        </w:rPr>
        <w:t xml:space="preserve"> 3, se realice a través de otra entidad que haga parte del mismo grupo, no se requerirá radicar el poder al que hace referencia el inciso primero del presente artículo, siempre y cuando se </w:t>
      </w:r>
      <w:proofErr w:type="spellStart"/>
      <w:r w:rsidRPr="002C0D19">
        <w:rPr>
          <w:rFonts w:ascii="Arial Narrow" w:hAnsi="Arial Narrow" w:cs="Arial"/>
          <w:color w:val="000000" w:themeColor="text1"/>
          <w:lang w:val="es-ES" w:eastAsia="es-ES"/>
        </w:rPr>
        <w:t>allegue</w:t>
      </w:r>
      <w:proofErr w:type="spellEnd"/>
      <w:r w:rsidRPr="002C0D19">
        <w:rPr>
          <w:rFonts w:ascii="Arial Narrow" w:hAnsi="Arial Narrow" w:cs="Arial"/>
          <w:color w:val="000000" w:themeColor="text1"/>
          <w:lang w:val="es-ES" w:eastAsia="es-ES"/>
        </w:rPr>
        <w:t xml:space="preserve"> a la Cámara una certificación expedida por el representante legal de la entidad del grupo empresarial a través de la cual se conectará, en la que conste que el Miembro admitido cuenta con la conexión debidamente habilitada. Así mismo, en el caso en que el Miembro admitido haya suscrito un contrato de manera directa con la Unión Temporal Claro y </w:t>
      </w:r>
      <w:proofErr w:type="spellStart"/>
      <w:r w:rsidRPr="002C0D19">
        <w:rPr>
          <w:rFonts w:ascii="Arial Narrow" w:hAnsi="Arial Narrow" w:cs="Arial"/>
          <w:color w:val="000000" w:themeColor="text1"/>
          <w:lang w:val="es-ES" w:eastAsia="es-ES"/>
        </w:rPr>
        <w:t>Level</w:t>
      </w:r>
      <w:proofErr w:type="spellEnd"/>
      <w:r w:rsidRPr="002C0D19">
        <w:rPr>
          <w:rFonts w:ascii="Arial Narrow" w:hAnsi="Arial Narrow" w:cs="Arial"/>
          <w:color w:val="000000" w:themeColor="text1"/>
          <w:lang w:val="es-ES" w:eastAsia="es-ES"/>
        </w:rPr>
        <w:t xml:space="preserve"> 3 para la conexión al sistema de la Cámara, tampoco se requerirá del poder al que se hace referencia en el inciso primero del presente artículo y bastará adjuntar una certificación de la Unión Temporal Claro y </w:t>
      </w:r>
      <w:proofErr w:type="spellStart"/>
      <w:r w:rsidRPr="002C0D19">
        <w:rPr>
          <w:rFonts w:ascii="Arial Narrow" w:hAnsi="Arial Narrow" w:cs="Arial"/>
          <w:color w:val="000000" w:themeColor="text1"/>
          <w:lang w:val="es-ES" w:eastAsia="es-ES"/>
        </w:rPr>
        <w:t>Level</w:t>
      </w:r>
      <w:proofErr w:type="spellEnd"/>
      <w:r w:rsidRPr="002C0D19">
        <w:rPr>
          <w:rFonts w:ascii="Arial Narrow" w:hAnsi="Arial Narrow" w:cs="Arial"/>
          <w:color w:val="000000" w:themeColor="text1"/>
          <w:lang w:val="es-ES" w:eastAsia="es-ES"/>
        </w:rPr>
        <w:t xml:space="preserve"> 3 en la que se acredite la existencia de dicho contrato y que el mismo se ha celebrado en las mismas condiciones tecnológicas que las previstas en el contrato suscrito por la Cámara con dicha Unión Temporal.</w:t>
      </w:r>
    </w:p>
    <w:p w14:paraId="377EB7BF" w14:textId="77777777" w:rsidR="007968EC" w:rsidRPr="002C0D19" w:rsidRDefault="007968EC" w:rsidP="007968EC">
      <w:pPr>
        <w:jc w:val="both"/>
        <w:rPr>
          <w:rFonts w:ascii="Arial Narrow" w:hAnsi="Arial Narrow" w:cs="Arial"/>
          <w:color w:val="000000" w:themeColor="text1"/>
          <w:lang w:val="es-ES" w:eastAsia="es-ES"/>
        </w:rPr>
      </w:pPr>
    </w:p>
    <w:p w14:paraId="135BF1FB"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 w:eastAsia="es-ES"/>
        </w:rPr>
        <w:lastRenderedPageBreak/>
        <w:t xml:space="preserve">Parágrafo Segundo. </w:t>
      </w:r>
      <w:r w:rsidRPr="002C0D19">
        <w:rPr>
          <w:rFonts w:ascii="Arial Narrow" w:hAnsi="Arial Narrow" w:cs="Arial"/>
          <w:color w:val="000000" w:themeColor="text1"/>
          <w:lang w:val="es-ES" w:eastAsia="es-ES"/>
        </w:rPr>
        <w:t>En el caso de la Nación - Ministerio de Hacienda y Crédito Público para la afiliación al Sistema de la Cámara se suscribirá el contrato al que se refiere el parágrafo segundo del artículo 1.2.1.1. de la presente Circular y no se requerirá de la aceptación de la Oferta de Servicios de la Cámara en relación con la afiliación al Sistema de Compensación y Liquidación de la Cámara establecida en el Anexo 15, según la modalidad de admisión que corresponda, de acuerdo con la Orden de Compra de Servicios y según el modelo establecido en el Anexo 19, ni del reconocimiento de firma y texto ante notario público.</w:t>
      </w:r>
    </w:p>
    <w:p w14:paraId="495EEA9F" w14:textId="77777777" w:rsidR="007968EC" w:rsidRPr="002C0D19" w:rsidRDefault="007968EC" w:rsidP="007968EC">
      <w:pPr>
        <w:jc w:val="both"/>
        <w:rPr>
          <w:rFonts w:ascii="Arial Narrow" w:hAnsi="Arial Narrow" w:cs="Arial"/>
          <w:color w:val="000000" w:themeColor="text1"/>
          <w:lang w:val="es-ES" w:eastAsia="es-ES"/>
        </w:rPr>
      </w:pPr>
    </w:p>
    <w:p w14:paraId="595BB7B1" w14:textId="77777777" w:rsidR="007968EC" w:rsidRDefault="007968EC" w:rsidP="007968EC">
      <w:pPr>
        <w:pStyle w:val="ARTICULO0"/>
      </w:pPr>
      <w:bookmarkStart w:id="446" w:name="_Toc206134803"/>
      <w:bookmarkStart w:id="447" w:name="_Toc472592045"/>
      <w:bookmarkStart w:id="448" w:name="_Toc472593064"/>
      <w:bookmarkStart w:id="449" w:name="_Toc479056850"/>
      <w:bookmarkStart w:id="450" w:name="_Toc31715856"/>
      <w:bookmarkStart w:id="451" w:name="_Toc470775350"/>
      <w:bookmarkStart w:id="452" w:name="_Toc470779635"/>
      <w:bookmarkStart w:id="453" w:name="_Toc470780252"/>
      <w:bookmarkStart w:id="454" w:name="_Toc470780765"/>
      <w:bookmarkStart w:id="455" w:name="_Toc470784326"/>
      <w:bookmarkStart w:id="456" w:name="_Toc470784863"/>
      <w:bookmarkStart w:id="457" w:name="_Toc470786348"/>
      <w:bookmarkStart w:id="458" w:name="_Toc470786886"/>
      <w:bookmarkStart w:id="459" w:name="_Toc470791239"/>
      <w:bookmarkStart w:id="460" w:name="_Toc490066143"/>
      <w:r w:rsidRPr="002C0D19">
        <w:t>Artículo 1.2.1.10. Información periódica.</w:t>
      </w:r>
      <w:bookmarkEnd w:id="446"/>
      <w:bookmarkEnd w:id="447"/>
      <w:bookmarkEnd w:id="448"/>
      <w:bookmarkEnd w:id="449"/>
      <w:bookmarkEnd w:id="450"/>
      <w:r w:rsidRPr="002C0D19">
        <w:t xml:space="preserve"> </w:t>
      </w:r>
    </w:p>
    <w:p w14:paraId="2EA2EAA7" w14:textId="77777777" w:rsidR="007968EC" w:rsidRPr="00AB258B" w:rsidRDefault="007968EC" w:rsidP="007968EC">
      <w:pPr>
        <w:jc w:val="both"/>
        <w:rPr>
          <w:rFonts w:ascii="Arial Narrow" w:hAnsi="Arial Narrow" w:cs="Arial"/>
          <w:color w:val="000000" w:themeColor="text1"/>
          <w:lang w:eastAsia="es-ES"/>
        </w:rPr>
      </w:pPr>
    </w:p>
    <w:p w14:paraId="3B10CAFB" w14:textId="77777777" w:rsidR="007968EC" w:rsidRPr="002C0D19" w:rsidRDefault="007968EC" w:rsidP="007968EC">
      <w:pPr>
        <w:pStyle w:val="ANTECEDENTES"/>
      </w:pPr>
      <w:r w:rsidRPr="002C0D19">
        <w:t>(Este artículo fue modificado mediante Circular 15 del 16 de octubre de 2009, publicada en el Boletín Normativo No. 019 del 16 de octubre de 2009, mediante Circular 16 del 6 de septiembre de 2011, publicada en el Boletín Normativo No. 019 del 6 de septiembre de 2011, mediante Circular 20 del 4 de noviembre de 2011, publicada en el Boletín Normativo No. 023 del 4 de noviembre de 2011</w:t>
      </w:r>
      <w:r w:rsidRPr="002C0D19">
        <w:rPr>
          <w:lang w:val="es-ES"/>
        </w:rPr>
        <w:t>, mediante Circular 11 del 25 de junio de 2012, publicada en el Boletín Normativo No. 011 del 25 de junio de 2012,  mediante Circular 31 del 7 de noviembre de 2013, publicada en el Boletín Normativo No. 035 del 7 de noviembre de 2013, mediante Circular 17 del 15 de diciembre de 2016, publicada en el Boletín Normativo No. 021 del 15 de diciembre de 2016, renumerado mediante Circular 19 del 28 de diciembre de 2016, publicada en el Boletín Normativo No. 024 del 28 de diciembre de 2016</w:t>
      </w:r>
      <w:bookmarkEnd w:id="451"/>
      <w:bookmarkEnd w:id="452"/>
      <w:bookmarkEnd w:id="453"/>
      <w:bookmarkEnd w:id="454"/>
      <w:bookmarkEnd w:id="455"/>
      <w:bookmarkEnd w:id="456"/>
      <w:bookmarkEnd w:id="457"/>
      <w:bookmarkEnd w:id="458"/>
      <w:bookmarkEnd w:id="459"/>
      <w:bookmarkEnd w:id="460"/>
      <w:r w:rsidRPr="002C0D19">
        <w:rPr>
          <w:lang w:val="es-ES"/>
        </w:rPr>
        <w:t xml:space="preserve"> y renumerado mediante Circular 14 del 8 de agosto de 2017, publicada en el Boletín Normativo No. 015 del 8 de agosto de 2017. </w:t>
      </w:r>
      <w:r w:rsidRPr="002C0D19">
        <w:t>Rige a partir del 9 de agosto de 2017.</w:t>
      </w:r>
      <w:r w:rsidRPr="002C0D19">
        <w:rPr>
          <w:lang w:val="es-ES"/>
        </w:rPr>
        <w:t>)</w:t>
      </w:r>
    </w:p>
    <w:p w14:paraId="0E47CF83" w14:textId="77777777" w:rsidR="007968EC" w:rsidRPr="002C0D19" w:rsidRDefault="007968EC" w:rsidP="007968EC">
      <w:pPr>
        <w:jc w:val="both"/>
        <w:rPr>
          <w:rFonts w:ascii="Arial Narrow" w:hAnsi="Arial Narrow" w:cs="Arial"/>
          <w:color w:val="000000" w:themeColor="text1"/>
          <w:lang w:val="es-ES" w:eastAsia="es-ES"/>
        </w:rPr>
      </w:pPr>
    </w:p>
    <w:p w14:paraId="73F07D46"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Los Miembros deberán enviar a la Cámara la siguiente información, con la periodicidad que a continuación se indica:</w:t>
      </w:r>
    </w:p>
    <w:p w14:paraId="6C02D878" w14:textId="77777777" w:rsidR="007968EC" w:rsidRPr="002C0D19" w:rsidRDefault="007968EC" w:rsidP="007968EC">
      <w:pPr>
        <w:jc w:val="both"/>
        <w:rPr>
          <w:rFonts w:ascii="Arial Narrow" w:hAnsi="Arial Narrow" w:cs="Arial"/>
          <w:color w:val="000000" w:themeColor="text1"/>
          <w:lang w:val="es-ES" w:eastAsia="es-ES"/>
        </w:rPr>
      </w:pPr>
    </w:p>
    <w:p w14:paraId="44375F1E" w14:textId="77777777" w:rsidR="007968EC" w:rsidRPr="002C0D19" w:rsidRDefault="007968EC" w:rsidP="00DA7472">
      <w:pPr>
        <w:numPr>
          <w:ilvl w:val="0"/>
          <w:numId w:val="57"/>
        </w:numPr>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Certificación suscrita por el representante legal donde se haga constar que la entidad cuenta con un Sistema de Administración del Riesgo de Lavado de Activos y Financiación del Terrorismo, y que este se encuentra debidamente implementado. La certificación deberá ser remitida a la Cámara el 30 de junio de cada año.</w:t>
      </w:r>
    </w:p>
    <w:p w14:paraId="1B48CE8D" w14:textId="77777777" w:rsidR="007968EC" w:rsidRPr="002C0D19" w:rsidRDefault="007968EC" w:rsidP="007968EC">
      <w:pPr>
        <w:ind w:left="360"/>
        <w:jc w:val="both"/>
        <w:rPr>
          <w:rFonts w:ascii="Arial Narrow" w:hAnsi="Arial Narrow" w:cs="Arial"/>
          <w:bCs/>
          <w:color w:val="000000" w:themeColor="text1"/>
          <w:lang w:val="es-ES" w:eastAsia="es-ES"/>
        </w:rPr>
      </w:pPr>
    </w:p>
    <w:p w14:paraId="5328CA18" w14:textId="77777777" w:rsidR="007968EC" w:rsidRPr="002C0D19" w:rsidRDefault="007968EC" w:rsidP="007968EC">
      <w:pPr>
        <w:ind w:left="356"/>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Los Miembros sometidos a la inspección y vigilancia de la Superintendencia Financiera de Colombia no deberán enviar la certificación de la que trata el presente numeral.</w:t>
      </w:r>
    </w:p>
    <w:p w14:paraId="5EDDD083" w14:textId="77777777" w:rsidR="007968EC" w:rsidRPr="002C0D19" w:rsidRDefault="007968EC" w:rsidP="007968EC">
      <w:pPr>
        <w:ind w:left="360"/>
        <w:jc w:val="both"/>
        <w:rPr>
          <w:rFonts w:ascii="Arial Narrow" w:hAnsi="Arial Narrow" w:cs="Arial"/>
          <w:bCs/>
          <w:color w:val="000000" w:themeColor="text1"/>
          <w:lang w:val="es-ES" w:eastAsia="es-ES"/>
        </w:rPr>
      </w:pPr>
    </w:p>
    <w:p w14:paraId="7E950A9A" w14:textId="77777777" w:rsidR="007968EC" w:rsidRPr="002C0D19" w:rsidRDefault="007968EC" w:rsidP="00DA7472">
      <w:pPr>
        <w:numPr>
          <w:ilvl w:val="0"/>
          <w:numId w:val="57"/>
        </w:numPr>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Informe y notas a los estados financieros anuales auditados, los cuales deben ser enviados a la Cámara dentro de los treinta (30) días siguientes a la fecha en que sean aprobados por el órgano competente, siempre y cuando los mismos no se encuentren publicados en su página de internet.</w:t>
      </w:r>
    </w:p>
    <w:p w14:paraId="36C4AE0E" w14:textId="77777777" w:rsidR="007968EC" w:rsidRPr="002C0D19" w:rsidRDefault="007968EC" w:rsidP="007968EC">
      <w:pPr>
        <w:ind w:left="360"/>
        <w:jc w:val="both"/>
        <w:rPr>
          <w:rFonts w:ascii="Arial Narrow" w:hAnsi="Arial Narrow" w:cs="Arial"/>
          <w:bCs/>
          <w:color w:val="000000" w:themeColor="text1"/>
          <w:lang w:val="es-ES" w:eastAsia="es-ES"/>
        </w:rPr>
      </w:pPr>
    </w:p>
    <w:p w14:paraId="32562F85" w14:textId="77777777" w:rsidR="007968EC" w:rsidRPr="002C0D19" w:rsidRDefault="007968EC" w:rsidP="00DA7472">
      <w:pPr>
        <w:numPr>
          <w:ilvl w:val="0"/>
          <w:numId w:val="57"/>
        </w:numPr>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Formato de Seguimiento de Requisitos Cualitativos debidamente diligenciado, según formato establecido en el Anexo 25, enviado a más tardar el último día hábil del mes de diciembre. Este documento solo se deberá actualizar cuando se efectúen modificaciones a los ítems relacionados en el anexo en mención.</w:t>
      </w:r>
    </w:p>
    <w:p w14:paraId="2F69D264" w14:textId="77777777" w:rsidR="007968EC" w:rsidRPr="002C0D19" w:rsidRDefault="007968EC" w:rsidP="007968EC">
      <w:pPr>
        <w:ind w:left="360"/>
        <w:jc w:val="both"/>
        <w:rPr>
          <w:rFonts w:ascii="Arial Narrow" w:hAnsi="Arial Narrow" w:cs="Arial"/>
          <w:bCs/>
          <w:color w:val="000000" w:themeColor="text1"/>
          <w:lang w:val="es-ES" w:eastAsia="es-ES"/>
        </w:rPr>
      </w:pPr>
    </w:p>
    <w:p w14:paraId="09B90E56" w14:textId="77777777" w:rsidR="007968EC" w:rsidRPr="002C0D19" w:rsidRDefault="007968EC" w:rsidP="00DA7472">
      <w:pPr>
        <w:numPr>
          <w:ilvl w:val="0"/>
          <w:numId w:val="57"/>
        </w:numPr>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xml:space="preserve">La información sobre reclamaciones que afecten las pólizas de riesgos financieros o global bancaria, cualquier modificación sustancial de su situación financiera y, especialmente las que afecten los </w:t>
      </w:r>
      <w:r w:rsidRPr="002C0D19">
        <w:rPr>
          <w:rFonts w:ascii="Arial Narrow" w:hAnsi="Arial Narrow" w:cs="Arial"/>
          <w:bCs/>
          <w:color w:val="000000" w:themeColor="text1"/>
          <w:lang w:val="es-ES" w:eastAsia="es-ES"/>
        </w:rPr>
        <w:lastRenderedPageBreak/>
        <w:t>requisitos exigidos para ser Miembro deberán ser enviados dentro de los treinta (30) días siguientes a la ocurrencia de cualquiera de las situaciones descritas.</w:t>
      </w:r>
    </w:p>
    <w:p w14:paraId="1B67C213" w14:textId="77777777" w:rsidR="007968EC" w:rsidRPr="002C0D19" w:rsidRDefault="007968EC" w:rsidP="007968EC">
      <w:pPr>
        <w:ind w:left="708"/>
        <w:rPr>
          <w:rFonts w:ascii="Arial Narrow" w:hAnsi="Arial Narrow" w:cs="Arial"/>
          <w:bCs/>
          <w:color w:val="000000" w:themeColor="text1"/>
          <w:lang w:eastAsia="es-CO"/>
        </w:rPr>
      </w:pPr>
    </w:p>
    <w:p w14:paraId="768D1BA8" w14:textId="77777777" w:rsidR="007968EC" w:rsidRPr="002C0D19" w:rsidRDefault="007968EC" w:rsidP="00DA7472">
      <w:pPr>
        <w:numPr>
          <w:ilvl w:val="0"/>
          <w:numId w:val="57"/>
        </w:num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Información de Cuentas de Terceros Identificados, creadas y activas en el sistema de Cámara, de acuerdo a lo solicitado en el Anexo 32. Este Anexo deberá ser remitido a la Cámara durante los primeros quince (15) días del mes de diciembre de cada año.</w:t>
      </w:r>
    </w:p>
    <w:p w14:paraId="1E6AE42F" w14:textId="77777777" w:rsidR="007968EC" w:rsidRPr="002C0D19" w:rsidRDefault="007968EC" w:rsidP="007968EC">
      <w:pPr>
        <w:ind w:left="708"/>
        <w:rPr>
          <w:rFonts w:ascii="Arial Narrow" w:hAnsi="Arial Narrow" w:cs="Arial"/>
          <w:bCs/>
          <w:color w:val="000000" w:themeColor="text1"/>
          <w:lang w:eastAsia="es-CO"/>
        </w:rPr>
      </w:pPr>
    </w:p>
    <w:p w14:paraId="05C0A523"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
          <w:color w:val="000000" w:themeColor="text1"/>
          <w:lang w:val="es-ES" w:eastAsia="es-ES"/>
        </w:rPr>
        <w:t xml:space="preserve">Parágrafo. </w:t>
      </w:r>
      <w:r w:rsidRPr="002C0D19">
        <w:rPr>
          <w:rFonts w:ascii="Arial Narrow" w:hAnsi="Arial Narrow" w:cs="Arial"/>
          <w:color w:val="000000" w:themeColor="text1"/>
          <w:lang w:val="es-ES" w:eastAsia="es-ES"/>
        </w:rPr>
        <w:t>La Nación - Ministerio de Hacienda y Crédito Público no deberá acreditar la información a que se refieren los numerales 1, 2 y 5 del presente artículo.</w:t>
      </w:r>
    </w:p>
    <w:p w14:paraId="4A8BDCD2" w14:textId="77777777" w:rsidR="007968EC" w:rsidRPr="002C0D19" w:rsidRDefault="007968EC" w:rsidP="007968EC">
      <w:pPr>
        <w:jc w:val="both"/>
        <w:rPr>
          <w:rFonts w:ascii="Arial Narrow" w:hAnsi="Arial Narrow" w:cs="Arial"/>
          <w:color w:val="000000" w:themeColor="text1"/>
          <w:lang w:val="es-ES" w:eastAsia="es-ES"/>
        </w:rPr>
      </w:pPr>
    </w:p>
    <w:p w14:paraId="72A34B76" w14:textId="77777777" w:rsidR="007968EC" w:rsidRDefault="007968EC" w:rsidP="007968EC">
      <w:pPr>
        <w:pStyle w:val="ARTICULO0"/>
      </w:pPr>
      <w:bookmarkStart w:id="461" w:name="_Toc472592046"/>
      <w:bookmarkStart w:id="462" w:name="_Toc472593065"/>
      <w:bookmarkStart w:id="463" w:name="_Toc479056851"/>
      <w:bookmarkStart w:id="464" w:name="_Toc31715857"/>
      <w:bookmarkStart w:id="465" w:name="_Toc470775351"/>
      <w:bookmarkStart w:id="466" w:name="_Toc470779636"/>
      <w:bookmarkStart w:id="467" w:name="_Toc470780253"/>
      <w:bookmarkStart w:id="468" w:name="_Toc470780766"/>
      <w:bookmarkStart w:id="469" w:name="_Toc470784327"/>
      <w:bookmarkStart w:id="470" w:name="_Toc470784864"/>
      <w:bookmarkStart w:id="471" w:name="_Toc470786349"/>
      <w:bookmarkStart w:id="472" w:name="_Toc470786887"/>
      <w:bookmarkStart w:id="473" w:name="_Toc470791240"/>
      <w:bookmarkStart w:id="474" w:name="_Toc490066144"/>
      <w:r w:rsidRPr="002C0D19">
        <w:t>Artículo 1.2.1.11. Vigencia de los requisitos.</w:t>
      </w:r>
      <w:bookmarkEnd w:id="461"/>
      <w:bookmarkEnd w:id="462"/>
      <w:bookmarkEnd w:id="463"/>
      <w:bookmarkEnd w:id="464"/>
      <w:r w:rsidRPr="002C0D19">
        <w:t xml:space="preserve"> </w:t>
      </w:r>
    </w:p>
    <w:p w14:paraId="7D92F2A3" w14:textId="77777777" w:rsidR="007968EC" w:rsidRPr="00AB258B" w:rsidRDefault="007968EC" w:rsidP="007968EC">
      <w:pPr>
        <w:jc w:val="both"/>
        <w:rPr>
          <w:rFonts w:ascii="Arial Narrow" w:hAnsi="Arial Narrow" w:cs="Arial"/>
          <w:color w:val="000000" w:themeColor="text1"/>
          <w:lang w:eastAsia="es-ES"/>
        </w:rPr>
      </w:pPr>
    </w:p>
    <w:p w14:paraId="09735253" w14:textId="77777777" w:rsidR="007968EC" w:rsidRPr="002C0D19" w:rsidRDefault="007968EC" w:rsidP="007968EC">
      <w:pPr>
        <w:pStyle w:val="ANTECEDENTES"/>
      </w:pPr>
      <w:r w:rsidRPr="002C0D19">
        <w:t>(Este artículo fue modificado mediante Circular 13 del 26 de julio de 2011, publicada en el Boletín Normativo No. 016 del 26 de julio de 2011</w:t>
      </w:r>
      <w:r w:rsidRPr="002C0D19">
        <w:rPr>
          <w:lang w:val="es-ES"/>
        </w:rPr>
        <w:t>, mediante Circular 11 del 25 de junio de 2012, publicada en el Boletín Normativo No. 011 del 25 de junio de 2012, mediante Circular 19 del 28 de diciembre de 2016, publicada en el Boletín Normativo No. 024 del 28 de diciembre de 2016</w:t>
      </w:r>
      <w:bookmarkEnd w:id="465"/>
      <w:bookmarkEnd w:id="466"/>
      <w:bookmarkEnd w:id="467"/>
      <w:bookmarkEnd w:id="468"/>
      <w:bookmarkEnd w:id="469"/>
      <w:bookmarkEnd w:id="470"/>
      <w:bookmarkEnd w:id="471"/>
      <w:bookmarkEnd w:id="472"/>
      <w:bookmarkEnd w:id="473"/>
      <w:bookmarkEnd w:id="474"/>
      <w:r w:rsidRPr="002C0D19">
        <w:rPr>
          <w:lang w:val="es-ES"/>
        </w:rPr>
        <w:t xml:space="preserve"> y renumerado mediante Circular 14 del 8 de agosto de 2017, publicada en el Boletín Normativo No. 015 del 8 de agosto de 2017. </w:t>
      </w:r>
      <w:r w:rsidRPr="002C0D19">
        <w:t>Rige a partir del 9 de agosto de 2017.</w:t>
      </w:r>
      <w:r w:rsidRPr="002C0D19">
        <w:rPr>
          <w:lang w:val="es-ES"/>
        </w:rPr>
        <w:t>)</w:t>
      </w:r>
    </w:p>
    <w:p w14:paraId="2829FE6A" w14:textId="77777777" w:rsidR="007968EC" w:rsidRPr="002C0D19" w:rsidRDefault="007968EC" w:rsidP="007968EC">
      <w:pPr>
        <w:jc w:val="both"/>
        <w:rPr>
          <w:rFonts w:ascii="Arial Narrow" w:hAnsi="Arial Narrow" w:cs="Arial"/>
          <w:color w:val="000000" w:themeColor="text1"/>
          <w:lang w:val="es-ES" w:eastAsia="es-ES"/>
        </w:rPr>
      </w:pPr>
    </w:p>
    <w:p w14:paraId="6E11EE30"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Sin perjuicio de lo dispuesto en los parágrafos primero del artículo 2.1.3., segundo del artículo 2.1.4. y en el artículo 2.9.1. del Reglamento de Funcionamiento, las entidades admitidas como Miembros deberán acreditar el cumplimiento y vigencia de todos los requisitos para ser Miembro en la oportunidad y en las condiciones que establezca la Cámara.</w:t>
      </w:r>
    </w:p>
    <w:p w14:paraId="40EBA4CB" w14:textId="77777777" w:rsidR="007968EC" w:rsidRPr="002C0D19" w:rsidRDefault="007968EC" w:rsidP="007968EC">
      <w:pPr>
        <w:jc w:val="both"/>
        <w:rPr>
          <w:rFonts w:ascii="Arial Narrow" w:hAnsi="Arial Narrow" w:cs="Arial"/>
          <w:color w:val="000000" w:themeColor="text1"/>
          <w:lang w:eastAsia="es-ES"/>
        </w:rPr>
      </w:pPr>
    </w:p>
    <w:p w14:paraId="2B1DD53E"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Los Miembros también deberán acreditar el cumplimiento y mantenimiento de las particularidades exigidas para cada uno de los Segmentos en que participen en la Compensación y Liquidación.</w:t>
      </w:r>
    </w:p>
    <w:p w14:paraId="328A68AB" w14:textId="77777777" w:rsidR="007968EC" w:rsidRPr="002C0D19" w:rsidRDefault="007968EC" w:rsidP="007968EC">
      <w:pPr>
        <w:jc w:val="both"/>
        <w:rPr>
          <w:rFonts w:ascii="Arial Narrow" w:hAnsi="Arial Narrow" w:cs="Arial"/>
          <w:color w:val="000000" w:themeColor="text1"/>
          <w:lang w:val="es-ES" w:eastAsia="es-ES"/>
        </w:rPr>
      </w:pPr>
    </w:p>
    <w:p w14:paraId="02DE23FE" w14:textId="77777777" w:rsidR="007968EC" w:rsidRDefault="007968EC" w:rsidP="007968EC">
      <w:pPr>
        <w:pStyle w:val="ARTICULO0"/>
      </w:pPr>
      <w:bookmarkStart w:id="475" w:name="_Toc472592047"/>
      <w:bookmarkStart w:id="476" w:name="_Toc472593066"/>
      <w:bookmarkStart w:id="477" w:name="_Toc479056852"/>
      <w:bookmarkStart w:id="478" w:name="_Toc31715858"/>
      <w:bookmarkStart w:id="479" w:name="_Toc470775352"/>
      <w:bookmarkStart w:id="480" w:name="_Toc470779637"/>
      <w:bookmarkStart w:id="481" w:name="_Toc470780254"/>
      <w:bookmarkStart w:id="482" w:name="_Toc470780767"/>
      <w:bookmarkStart w:id="483" w:name="_Toc470784328"/>
      <w:bookmarkStart w:id="484" w:name="_Toc470784865"/>
      <w:bookmarkStart w:id="485" w:name="_Toc470786350"/>
      <w:bookmarkStart w:id="486" w:name="_Toc470786888"/>
      <w:bookmarkStart w:id="487" w:name="_Toc470791241"/>
      <w:bookmarkStart w:id="488" w:name="_Toc490066145"/>
      <w:r w:rsidRPr="002C0D19">
        <w:t>Artículo 1.2.1.12. Modificación de la modalidad de Miembro no Liquidador a Miembro Liquidador de la Cámara.</w:t>
      </w:r>
      <w:bookmarkEnd w:id="475"/>
      <w:bookmarkEnd w:id="476"/>
      <w:bookmarkEnd w:id="477"/>
      <w:bookmarkEnd w:id="478"/>
      <w:r w:rsidRPr="002C0D19">
        <w:t xml:space="preserve"> </w:t>
      </w:r>
    </w:p>
    <w:p w14:paraId="1F177FC6" w14:textId="77777777" w:rsidR="007968EC" w:rsidRPr="00AB258B" w:rsidRDefault="007968EC" w:rsidP="007968EC">
      <w:pPr>
        <w:jc w:val="both"/>
        <w:rPr>
          <w:rFonts w:ascii="Arial Narrow" w:hAnsi="Arial Narrow" w:cs="Arial"/>
          <w:color w:val="000000" w:themeColor="text1"/>
          <w:lang w:eastAsia="es-ES"/>
        </w:rPr>
      </w:pPr>
    </w:p>
    <w:p w14:paraId="638D80C2" w14:textId="77777777" w:rsidR="007968EC" w:rsidRPr="002C0D19" w:rsidRDefault="007968EC" w:rsidP="007968EC">
      <w:pPr>
        <w:pStyle w:val="ANTECEDENTES"/>
      </w:pPr>
      <w:r w:rsidRPr="002C0D19">
        <w:t xml:space="preserve">(Este artículo fue adicionado mediante Circular 13 del 24 de agosto de 2010, publicada en el Boletín Normativo No. 015 del 24 de agosto de 2010, </w:t>
      </w:r>
      <w:r w:rsidRPr="002C0D19">
        <w:rPr>
          <w:lang w:val="es-ES"/>
        </w:rPr>
        <w:t>modificado mediante Circular 8 del 4 de marzo de 2015, publicada en el Boletín Normativo No. 008 del 4 de marzo de 2015, mediante Circular 5 del 3 de febrero de 2016, publicada en el Boletín Normativo No. 005 del 3 de febrero de 2016, mediante Circular 19 del 28 de diciembre de 2016, publicada en el Boletín Normativo No. 024 del 28 de diciembre de 2016</w:t>
      </w:r>
      <w:bookmarkEnd w:id="479"/>
      <w:bookmarkEnd w:id="480"/>
      <w:bookmarkEnd w:id="481"/>
      <w:bookmarkEnd w:id="482"/>
      <w:bookmarkEnd w:id="483"/>
      <w:bookmarkEnd w:id="484"/>
      <w:bookmarkEnd w:id="485"/>
      <w:bookmarkEnd w:id="486"/>
      <w:bookmarkEnd w:id="487"/>
      <w:bookmarkEnd w:id="488"/>
      <w:r w:rsidR="00CD70BD">
        <w:rPr>
          <w:lang w:val="es-ES"/>
        </w:rPr>
        <w:t>,</w:t>
      </w:r>
      <w:r w:rsidRPr="002C0D19">
        <w:rPr>
          <w:lang w:val="es-ES"/>
        </w:rPr>
        <w:t xml:space="preserve"> renumerado mediante Circular 14 del 8 de agosto de 2017, publicada en el Boletín Normativo No. 015 del 8 de agosto de 2017</w:t>
      </w:r>
      <w:r w:rsidR="00CD70BD">
        <w:rPr>
          <w:lang w:val="es-ES"/>
        </w:rPr>
        <w:t xml:space="preserve"> y modificado mediante Circular 2 del 29 de enero de 2020, publicada en el Boletín Normativo No. 002 del 29 de enero de 2020</w:t>
      </w:r>
      <w:r w:rsidRPr="002C0D19">
        <w:rPr>
          <w:lang w:val="es-ES"/>
        </w:rPr>
        <w:t xml:space="preserve">. </w:t>
      </w:r>
      <w:r w:rsidRPr="002C0D19">
        <w:t xml:space="preserve">Rige a partir del </w:t>
      </w:r>
      <w:r w:rsidR="00CD70BD">
        <w:t>3</w:t>
      </w:r>
      <w:r w:rsidRPr="002C0D19">
        <w:t xml:space="preserve"> de </w:t>
      </w:r>
      <w:r w:rsidR="00CD70BD">
        <w:t>febrero</w:t>
      </w:r>
      <w:r w:rsidRPr="002C0D19">
        <w:t xml:space="preserve"> de 20</w:t>
      </w:r>
      <w:r w:rsidR="00CD70BD">
        <w:t>20</w:t>
      </w:r>
      <w:r w:rsidRPr="002C0D19">
        <w:t>.</w:t>
      </w:r>
      <w:r w:rsidRPr="002C0D19">
        <w:rPr>
          <w:lang w:val="es-ES"/>
        </w:rPr>
        <w:t>)</w:t>
      </w:r>
    </w:p>
    <w:p w14:paraId="46917B4D" w14:textId="77777777" w:rsidR="007968EC" w:rsidRPr="002C0D19" w:rsidRDefault="007968EC" w:rsidP="007968EC">
      <w:pPr>
        <w:autoSpaceDE w:val="0"/>
        <w:autoSpaceDN w:val="0"/>
        <w:jc w:val="both"/>
        <w:rPr>
          <w:rFonts w:ascii="Arial Narrow" w:hAnsi="Arial Narrow" w:cs="Arial"/>
          <w:b/>
          <w:color w:val="000000" w:themeColor="text1"/>
          <w:u w:val="single"/>
          <w:lang w:eastAsia="es-ES"/>
        </w:rPr>
      </w:pPr>
    </w:p>
    <w:p w14:paraId="5634173B" w14:textId="77777777" w:rsidR="007968EC" w:rsidRPr="002C0D19" w:rsidRDefault="007968EC" w:rsidP="007968EC">
      <w:pPr>
        <w:autoSpaceDE w:val="0"/>
        <w:autoSpaceDN w:val="0"/>
        <w:jc w:val="both"/>
        <w:rPr>
          <w:rFonts w:ascii="Arial Narrow" w:hAnsi="Arial Narrow" w:cs="Arial"/>
          <w:bCs/>
          <w:color w:val="000000" w:themeColor="text1"/>
          <w:lang w:eastAsia="es-ES"/>
        </w:rPr>
      </w:pPr>
      <w:r w:rsidRPr="002C0D19">
        <w:rPr>
          <w:rFonts w:ascii="Arial Narrow" w:hAnsi="Arial Narrow" w:cs="Arial"/>
          <w:bCs/>
          <w:color w:val="000000" w:themeColor="text1"/>
          <w:lang w:eastAsia="es-ES"/>
        </w:rPr>
        <w:t xml:space="preserve">El Miembro no Liquidador que tenga la calidad de establecimiento bancario, corporación financiera o sociedad comisionista de bolsa de valores que se encuentre interesado en obtener el cambio de condición de Miembro no Liquidador a Miembro Liquidador deberá presentar ante el Gerente de la Cámara o ante quien este designe, una solicitud escrita firmada por un representante legal en la que solicite el cambio de </w:t>
      </w:r>
      <w:r w:rsidRPr="002C0D19">
        <w:rPr>
          <w:rFonts w:ascii="Arial Narrow" w:hAnsi="Arial Narrow" w:cs="Arial"/>
          <w:bCs/>
          <w:color w:val="000000" w:themeColor="text1"/>
          <w:lang w:eastAsia="es-ES"/>
        </w:rPr>
        <w:lastRenderedPageBreak/>
        <w:t xml:space="preserve">condición, según formato establecido en el Anexo 1.2. A la solicitud respectiva deberán adjuntarse los siguientes documentos: </w:t>
      </w:r>
    </w:p>
    <w:p w14:paraId="276C1F9B" w14:textId="77777777" w:rsidR="007968EC" w:rsidRPr="002C0D19" w:rsidRDefault="007968EC" w:rsidP="007968EC">
      <w:pPr>
        <w:autoSpaceDE w:val="0"/>
        <w:autoSpaceDN w:val="0"/>
        <w:jc w:val="both"/>
        <w:rPr>
          <w:rFonts w:ascii="Arial Narrow" w:hAnsi="Arial Narrow" w:cs="Arial"/>
          <w:bCs/>
          <w:color w:val="000000" w:themeColor="text1"/>
          <w:lang w:eastAsia="es-ES"/>
        </w:rPr>
      </w:pPr>
    </w:p>
    <w:p w14:paraId="7A0549BB" w14:textId="77777777" w:rsidR="007968EC" w:rsidRPr="002C0D19" w:rsidRDefault="007968EC" w:rsidP="00DA7472">
      <w:pPr>
        <w:numPr>
          <w:ilvl w:val="0"/>
          <w:numId w:val="68"/>
        </w:num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Formulario de solicitud de admisión como Miembro ante la Cámara, e identificación de los Segmentos en que está interesado en participar según el formato establecido en el Anexo 1.1.</w:t>
      </w:r>
    </w:p>
    <w:p w14:paraId="37EA95A0"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3D7AFD5B" w14:textId="77777777" w:rsidR="007968EC" w:rsidRPr="002C0D19" w:rsidRDefault="007968EC" w:rsidP="00DA7472">
      <w:pPr>
        <w:numPr>
          <w:ilvl w:val="0"/>
          <w:numId w:val="68"/>
        </w:numPr>
        <w:tabs>
          <w:tab w:val="num" w:pos="-184"/>
        </w:tabs>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Formulario de requerimientos cualitativos debidamente diligenciado, según formato establecido en el Anexo 3.</w:t>
      </w:r>
    </w:p>
    <w:p w14:paraId="32566AEB"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38509190" w14:textId="77777777" w:rsidR="007968EC" w:rsidRPr="002C0D19" w:rsidRDefault="007968EC" w:rsidP="00DA7472">
      <w:pPr>
        <w:numPr>
          <w:ilvl w:val="0"/>
          <w:numId w:val="68"/>
        </w:numPr>
        <w:tabs>
          <w:tab w:val="num" w:pos="-184"/>
        </w:tabs>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Copia del certificado de existencia y representación legal expedido por la autoridad competente dentro del mes inmediatamente anterior a la solicitud y mediante el cual se constate que la naturaleza jurídica de la entidad corresponde a una de las entidades señaladas en el artículo 2.1.5. del Reglamento.</w:t>
      </w:r>
    </w:p>
    <w:p w14:paraId="05ED1323"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7303E6AD" w14:textId="77777777" w:rsidR="007968EC" w:rsidRPr="002C0D19" w:rsidRDefault="007968EC" w:rsidP="00DA7472">
      <w:pPr>
        <w:numPr>
          <w:ilvl w:val="0"/>
          <w:numId w:val="68"/>
        </w:numPr>
        <w:tabs>
          <w:tab w:val="num" w:pos="-184"/>
        </w:tabs>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Estados Financieros auditados del último corte, firmados, con notas aclaratorias y copia del dictamen del revisor fiscal.</w:t>
      </w:r>
    </w:p>
    <w:p w14:paraId="77B56731"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0544B5D2" w14:textId="77777777" w:rsidR="007968EC" w:rsidRPr="002C0D19" w:rsidRDefault="007968EC" w:rsidP="00DA7472">
      <w:pPr>
        <w:numPr>
          <w:ilvl w:val="0"/>
          <w:numId w:val="68"/>
        </w:numPr>
        <w:tabs>
          <w:tab w:val="left" w:pos="360"/>
        </w:tabs>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En caso de ser aplicable, copia del Convenio con el Agente de Pago, según modelo establecido en el Anexo 22.2.</w:t>
      </w:r>
    </w:p>
    <w:p w14:paraId="37FFE5DF" w14:textId="77777777" w:rsidR="007968EC" w:rsidRPr="002C0D19" w:rsidRDefault="007968EC" w:rsidP="007968EC">
      <w:pPr>
        <w:tabs>
          <w:tab w:val="left" w:pos="360"/>
        </w:tabs>
        <w:ind w:left="360" w:hanging="360"/>
        <w:jc w:val="both"/>
        <w:rPr>
          <w:rFonts w:ascii="Arial Narrow" w:hAnsi="Arial Narrow" w:cs="Arial"/>
          <w:color w:val="000000" w:themeColor="text1"/>
          <w:lang w:val="es-ES" w:eastAsia="es-ES"/>
        </w:rPr>
      </w:pPr>
    </w:p>
    <w:p w14:paraId="6F2278C5" w14:textId="77777777" w:rsidR="007968EC" w:rsidRPr="002C0D19" w:rsidRDefault="007968EC" w:rsidP="00DA7472">
      <w:pPr>
        <w:numPr>
          <w:ilvl w:val="0"/>
          <w:numId w:val="68"/>
        </w:numPr>
        <w:tabs>
          <w:tab w:val="left" w:pos="360"/>
        </w:tabs>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En caso de ser aplicable, copia del Convenio con Agente Custodio, según modelo establecido en el Anexo 22.1.</w:t>
      </w:r>
    </w:p>
    <w:p w14:paraId="188018D4" w14:textId="77777777" w:rsidR="007968EC" w:rsidRPr="002C0D19" w:rsidRDefault="007968EC" w:rsidP="007968EC">
      <w:pPr>
        <w:ind w:left="708"/>
        <w:rPr>
          <w:rFonts w:ascii="Arial Narrow" w:hAnsi="Arial Narrow" w:cs="Arial"/>
          <w:bCs/>
          <w:color w:val="000000" w:themeColor="text1"/>
          <w:lang w:eastAsia="es-CO"/>
        </w:rPr>
      </w:pPr>
    </w:p>
    <w:p w14:paraId="054528DA" w14:textId="77777777" w:rsidR="007968EC" w:rsidRPr="002C0D19" w:rsidRDefault="007968EC" w:rsidP="00DA7472">
      <w:pPr>
        <w:numPr>
          <w:ilvl w:val="0"/>
          <w:numId w:val="68"/>
        </w:numPr>
        <w:tabs>
          <w:tab w:val="num" w:pos="-184"/>
        </w:tabs>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Listado de firmas autorizadas, según formato establecido en el Anexo 6.</w:t>
      </w:r>
    </w:p>
    <w:p w14:paraId="493CF0A3"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41E874F5" w14:textId="77777777" w:rsidR="007968EC" w:rsidRPr="002C0D19" w:rsidRDefault="007968EC" w:rsidP="00DA7472">
      <w:pPr>
        <w:numPr>
          <w:ilvl w:val="0"/>
          <w:numId w:val="68"/>
        </w:numPr>
        <w:tabs>
          <w:tab w:val="num" w:pos="-184"/>
        </w:tabs>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xml:space="preserve">Copia certificada por el representante legal de la entidad, del informe más reciente sobre el cumplimiento del Sistema de Prevención y Control de Lavado de Activos y Financiación del Terrorismo, presentado por el revisor fiscal a la Junta Directiva.  </w:t>
      </w:r>
    </w:p>
    <w:p w14:paraId="0DDBA962"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3EFDC7EE" w14:textId="77777777" w:rsidR="007968EC" w:rsidRPr="002C0D19" w:rsidRDefault="007968EC" w:rsidP="00DA7472">
      <w:pPr>
        <w:numPr>
          <w:ilvl w:val="0"/>
          <w:numId w:val="68"/>
        </w:numPr>
        <w:tabs>
          <w:tab w:val="num" w:pos="-184"/>
        </w:tabs>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Formato de solicitud de creación y modificación del usuario administrador, según formato establecido en el Anexo 10.</w:t>
      </w:r>
    </w:p>
    <w:p w14:paraId="28EBB933" w14:textId="77777777" w:rsidR="007968EC" w:rsidRPr="002C0D19" w:rsidRDefault="007968EC" w:rsidP="007968EC">
      <w:pPr>
        <w:ind w:left="708"/>
        <w:rPr>
          <w:rFonts w:ascii="Arial Narrow" w:hAnsi="Arial Narrow" w:cs="Arial"/>
          <w:bCs/>
          <w:color w:val="000000" w:themeColor="text1"/>
          <w:lang w:eastAsia="es-CO"/>
        </w:rPr>
      </w:pPr>
    </w:p>
    <w:p w14:paraId="762C94CB" w14:textId="77777777" w:rsidR="007968EC" w:rsidRPr="002C0D19" w:rsidRDefault="007968EC" w:rsidP="00DA7472">
      <w:pPr>
        <w:numPr>
          <w:ilvl w:val="0"/>
          <w:numId w:val="68"/>
        </w:numPr>
        <w:tabs>
          <w:tab w:val="num" w:pos="-184"/>
        </w:tabs>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xml:space="preserve">Lista de Chequeo para </w:t>
      </w:r>
      <w:r w:rsidRPr="002C0D19">
        <w:rPr>
          <w:rFonts w:ascii="Arial Narrow" w:hAnsi="Arial Narrow" w:cs="Arial"/>
          <w:bCs/>
          <w:color w:val="000000" w:themeColor="text1"/>
          <w:lang w:eastAsia="es-ES"/>
        </w:rPr>
        <w:t>solicitar el cambio de condición</w:t>
      </w:r>
      <w:r w:rsidRPr="002C0D19">
        <w:rPr>
          <w:rFonts w:ascii="Arial Narrow" w:hAnsi="Arial Narrow" w:cs="Arial"/>
          <w:bCs/>
          <w:color w:val="000000" w:themeColor="text1"/>
          <w:lang w:val="es-ES" w:eastAsia="es-ES"/>
        </w:rPr>
        <w:t xml:space="preserve"> de Miembro no Liquidador a Miembro Liquidador completamente diligenciada, según formato establecido en el Anexo 13.2.</w:t>
      </w:r>
    </w:p>
    <w:p w14:paraId="27552396"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08430471" w14:textId="77777777" w:rsidR="007968EC" w:rsidRPr="002C0D19" w:rsidRDefault="007968EC" w:rsidP="00DA7472">
      <w:pPr>
        <w:numPr>
          <w:ilvl w:val="0"/>
          <w:numId w:val="68"/>
        </w:num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Comunicación del Miembro o Miembros Liquidadores Generales con los cuales tenga suscritos Convenios vigentes, en la que manifieste su conformidad con la solicitud de modificación de la condición de Miembro no Liquidador a Miembro Liquidador, según formato establecido en el Anexo 15.4. En la misma comunicación el Miembro Liquidador General deberá manifestar que una vez sea aceptada la modificación, se procederá a la terminación del Convenio celebrado con el Miembro no Liquidador.</w:t>
      </w:r>
    </w:p>
    <w:p w14:paraId="0E0E1974"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4DF325AC" w14:textId="77777777" w:rsidR="007968EC" w:rsidRPr="002C0D19" w:rsidRDefault="007968EC" w:rsidP="00DA7472">
      <w:pPr>
        <w:numPr>
          <w:ilvl w:val="0"/>
          <w:numId w:val="68"/>
        </w:num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xml:space="preserve">Plan detallado para cada uno de los Segmentos en los que participe para el manejo de las obligaciones de cada una de las Cuentas, incluidas las posiciones abiertas, de su estructura de Cuentas y el cronograma de cumplimiento. El Miembro no Liquidador deberá informar a </w:t>
      </w:r>
      <w:r w:rsidR="00CD70BD">
        <w:rPr>
          <w:rFonts w:ascii="Arial Narrow" w:hAnsi="Arial Narrow" w:cs="Arial"/>
          <w:bCs/>
          <w:color w:val="000000" w:themeColor="text1"/>
          <w:lang w:val="es-ES" w:eastAsia="es-ES"/>
        </w:rPr>
        <w:t>sus Terceros</w:t>
      </w:r>
      <w:r w:rsidRPr="002C0D19">
        <w:rPr>
          <w:rFonts w:ascii="Arial Narrow" w:hAnsi="Arial Narrow" w:cs="Arial"/>
          <w:bCs/>
          <w:color w:val="000000" w:themeColor="text1"/>
          <w:lang w:val="es-ES" w:eastAsia="es-ES"/>
        </w:rPr>
        <w:t xml:space="preserve"> sobre la solicitud </w:t>
      </w:r>
      <w:r w:rsidRPr="002C0D19">
        <w:rPr>
          <w:rFonts w:ascii="Arial Narrow" w:hAnsi="Arial Narrow" w:cs="Arial"/>
          <w:bCs/>
          <w:color w:val="000000" w:themeColor="text1"/>
          <w:lang w:val="es-ES" w:eastAsia="es-ES"/>
        </w:rPr>
        <w:lastRenderedPageBreak/>
        <w:t xml:space="preserve">de modificación de su condición de Miembro no Liquidador a Miembro Liquidador, y en el evento en que el cambio de condición de Miembro conlleve un Traspaso de Posición Abierta y/o un </w:t>
      </w:r>
      <w:proofErr w:type="spellStart"/>
      <w:r w:rsidRPr="002C0D19">
        <w:rPr>
          <w:rFonts w:ascii="Arial Narrow" w:hAnsi="Arial Narrow" w:cs="Arial"/>
          <w:bCs/>
          <w:color w:val="000000" w:themeColor="text1"/>
          <w:lang w:val="es-ES" w:eastAsia="es-ES"/>
        </w:rPr>
        <w:t>Give</w:t>
      </w:r>
      <w:proofErr w:type="spellEnd"/>
      <w:r w:rsidRPr="002C0D19">
        <w:rPr>
          <w:rFonts w:ascii="Arial Narrow" w:hAnsi="Arial Narrow" w:cs="Arial"/>
          <w:bCs/>
          <w:color w:val="000000" w:themeColor="text1"/>
          <w:lang w:val="es-ES" w:eastAsia="es-ES"/>
        </w:rPr>
        <w:t xml:space="preserve"> Up se deberán cumplir con las condiciones establecidas en el Reglamento y en la Circular de la Cámara. La Subgerencia de Riesgos y Operaciones de la Cámara revisará y emitirá un concepto sobre la viabilidad del Plan para el manejo de las obligaciones de cada una de las Cuentas.</w:t>
      </w:r>
    </w:p>
    <w:p w14:paraId="03F9099C"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03F25C26"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Una vez presentada la solicitud y sus anexos, el Gerente de la Cámara o el funcionario a quien este designe los verificará, y evaluará la suficiencia de los recursos financieros y la capacidad operativa, dentro de los treinta (30) días hábiles siguientes a su recepción y de encontrar conforme la solicitud, presentará la entidad solicitante para la modificación de su condición a la Junta Directiva en su próxima sesión previo concepto del Comité de Riesgos. Aprobada la modificación, la Cámara remitirá a la entidad solicitante una Oferta de Servicios según la modalidad de Miembro Liquidador de que se trate, para su aceptación mediante Orden de Compra de Servicios por parte de la entidad y le confirmará los Segmentos en que podrá participar.</w:t>
      </w:r>
    </w:p>
    <w:p w14:paraId="03C5D34F"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57482556"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xml:space="preserve">El trámite para la modificación de la condición de Miembro corresponderá al mismo procedimiento previsto para la admisión de un Miembro previsto en el Reglamento y Circular de la Cámara. </w:t>
      </w:r>
    </w:p>
    <w:p w14:paraId="05CD3175"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2BEF077C" w14:textId="77777777" w:rsidR="007968EC" w:rsidRPr="002C0D19" w:rsidRDefault="007968EC" w:rsidP="007968EC">
      <w:pPr>
        <w:autoSpaceDE w:val="0"/>
        <w:autoSpaceDN w:val="0"/>
        <w:jc w:val="both"/>
        <w:rPr>
          <w:rFonts w:ascii="Arial Narrow" w:hAnsi="Arial Narrow" w:cs="Arial"/>
          <w:bCs/>
          <w:color w:val="000000" w:themeColor="text1"/>
          <w:lang w:eastAsia="es-ES"/>
        </w:rPr>
      </w:pPr>
      <w:r w:rsidRPr="002C0D19">
        <w:rPr>
          <w:rFonts w:ascii="Arial Narrow" w:hAnsi="Arial Narrow" w:cs="Arial"/>
          <w:bCs/>
          <w:color w:val="000000" w:themeColor="text1"/>
          <w:lang w:eastAsia="es-ES"/>
        </w:rPr>
        <w:t>Una vez se admita la modificación de la condición de Miembro no Liquidador a Miembro Liquidador por parte de la Cámara, la entidad adquirirá, sin solución de continuidad la totalidad de los derechos y obligaciones que le corresponden de conformidad con el Plan de manejo autorizado. En todo caso, la entidad deberá allegar dentro de los cinco (5) días hábiles siguientes a la autorización de modificación paz y salvo expedido por el Miembro o Miembros Liquidadores Generales con los cuales tuviese suscritos Convenios.</w:t>
      </w:r>
    </w:p>
    <w:p w14:paraId="0BFED972" w14:textId="77777777" w:rsidR="007968EC" w:rsidRPr="002C0D19" w:rsidRDefault="007968EC" w:rsidP="007968EC">
      <w:pPr>
        <w:autoSpaceDE w:val="0"/>
        <w:autoSpaceDN w:val="0"/>
        <w:jc w:val="both"/>
        <w:rPr>
          <w:rFonts w:ascii="Arial Narrow" w:hAnsi="Arial Narrow" w:cs="Arial"/>
          <w:bCs/>
          <w:color w:val="000000" w:themeColor="text1"/>
          <w:lang w:eastAsia="es-ES"/>
        </w:rPr>
      </w:pPr>
    </w:p>
    <w:p w14:paraId="4AE8A322" w14:textId="77777777" w:rsidR="007968EC" w:rsidRPr="002C0D19" w:rsidRDefault="00865110" w:rsidP="007968EC">
      <w:pPr>
        <w:jc w:val="both"/>
        <w:rPr>
          <w:rFonts w:ascii="Arial Narrow" w:hAnsi="Arial Narrow" w:cs="Arial"/>
          <w:color w:val="000000" w:themeColor="text1"/>
          <w:lang w:eastAsia="es-ES"/>
        </w:rPr>
      </w:pPr>
      <w:r w:rsidRPr="00865110">
        <w:rPr>
          <w:rFonts w:ascii="Arial Narrow" w:hAnsi="Arial Narrow" w:cs="Arial"/>
          <w:bCs/>
          <w:color w:val="000000" w:themeColor="text1"/>
          <w:lang w:val="es-ES" w:eastAsia="es-ES"/>
        </w:rPr>
        <w:t>Los Miembros no Liquidadores deberán verificar que se haya suministrado la Información Mínima a sus Terceros bajo la nueva condición de Miembro Liquidador. La Cámara tendrá la facultad de exigir una copia del suministro de la Información Mínima al Tercero, en cualquier momento</w:t>
      </w:r>
      <w:r w:rsidR="007968EC" w:rsidRPr="002C0D19">
        <w:rPr>
          <w:rFonts w:ascii="Arial Narrow" w:hAnsi="Arial Narrow" w:cs="Arial"/>
          <w:bCs/>
          <w:color w:val="000000" w:themeColor="text1"/>
          <w:lang w:eastAsia="es-ES"/>
        </w:rPr>
        <w:t>.</w:t>
      </w:r>
    </w:p>
    <w:p w14:paraId="59C73C72" w14:textId="77777777" w:rsidR="007968EC" w:rsidRPr="002C0D19" w:rsidRDefault="007968EC" w:rsidP="007968EC">
      <w:pPr>
        <w:jc w:val="both"/>
        <w:rPr>
          <w:rFonts w:ascii="Arial Narrow" w:hAnsi="Arial Narrow" w:cs="Arial"/>
          <w:color w:val="000000" w:themeColor="text1"/>
          <w:lang w:eastAsia="es-ES"/>
        </w:rPr>
      </w:pPr>
    </w:p>
    <w:p w14:paraId="4B66CD3C" w14:textId="77777777" w:rsidR="007968EC" w:rsidRDefault="007968EC" w:rsidP="007968EC">
      <w:pPr>
        <w:pStyle w:val="ARTICULO0"/>
      </w:pPr>
      <w:bookmarkStart w:id="489" w:name="_Toc329081688"/>
      <w:bookmarkStart w:id="490" w:name="_Toc472592048"/>
      <w:bookmarkStart w:id="491" w:name="_Toc472593067"/>
      <w:bookmarkStart w:id="492" w:name="_Toc479056853"/>
      <w:bookmarkStart w:id="493" w:name="_Toc31715859"/>
      <w:bookmarkStart w:id="494" w:name="_Toc470775353"/>
      <w:bookmarkStart w:id="495" w:name="_Toc470779638"/>
      <w:bookmarkStart w:id="496" w:name="_Toc470780255"/>
      <w:bookmarkStart w:id="497" w:name="_Toc470780768"/>
      <w:bookmarkStart w:id="498" w:name="_Toc470784329"/>
      <w:bookmarkStart w:id="499" w:name="_Toc470784866"/>
      <w:bookmarkStart w:id="500" w:name="_Toc470786351"/>
      <w:bookmarkStart w:id="501" w:name="_Toc470786889"/>
      <w:bookmarkStart w:id="502" w:name="_Toc470791242"/>
      <w:bookmarkStart w:id="503" w:name="_Toc490066146"/>
      <w:r w:rsidRPr="002C0D19">
        <w:t>Artículo 1.2.1.13. Modificación de la modalidad de Miembro Liquidador Individual a Miembro Liquidador General de la Cámara.</w:t>
      </w:r>
      <w:bookmarkEnd w:id="489"/>
      <w:bookmarkEnd w:id="490"/>
      <w:bookmarkEnd w:id="491"/>
      <w:bookmarkEnd w:id="492"/>
      <w:bookmarkEnd w:id="493"/>
      <w:r w:rsidRPr="002C0D19">
        <w:t xml:space="preserve"> </w:t>
      </w:r>
    </w:p>
    <w:p w14:paraId="41DC5F3F" w14:textId="77777777" w:rsidR="007968EC" w:rsidRPr="00AB258B" w:rsidRDefault="007968EC" w:rsidP="007968EC">
      <w:pPr>
        <w:jc w:val="both"/>
        <w:rPr>
          <w:rFonts w:ascii="Arial Narrow" w:hAnsi="Arial Narrow" w:cs="Arial"/>
          <w:color w:val="000000" w:themeColor="text1"/>
          <w:lang w:eastAsia="es-ES"/>
        </w:rPr>
      </w:pPr>
    </w:p>
    <w:p w14:paraId="3E3ED5AB" w14:textId="77777777" w:rsidR="007968EC" w:rsidRPr="002C0D19" w:rsidRDefault="007968EC" w:rsidP="007968EC">
      <w:pPr>
        <w:pStyle w:val="ANTECEDENTES"/>
        <w:rPr>
          <w:lang w:val="es-ES"/>
        </w:rPr>
      </w:pPr>
      <w:r w:rsidRPr="002C0D19">
        <w:t xml:space="preserve">(Este artículo fue adicionado mediante Circular 7 del 2 de abril de 2013, publicada en el Boletín Normativo No. 008 del 2 de abril de 2013 </w:t>
      </w:r>
      <w:r w:rsidRPr="002C0D19">
        <w:rPr>
          <w:lang w:val="es-ES"/>
        </w:rPr>
        <w:t xml:space="preserve">y modificado mediante Circular 8 del 4 de marzo de 2015, publicada en el Boletín Normativo No. 008 del 4 de marzo de 2015, </w:t>
      </w:r>
      <w:r w:rsidRPr="002C0D19">
        <w:t>mediante Circular 19 del 28 de diciembre de 2016, publicada en el Boletín Normativo No. 024 del 28 de diciembre de 2016</w:t>
      </w:r>
      <w:bookmarkEnd w:id="494"/>
      <w:bookmarkEnd w:id="495"/>
      <w:bookmarkEnd w:id="496"/>
      <w:bookmarkEnd w:id="497"/>
      <w:bookmarkEnd w:id="498"/>
      <w:bookmarkEnd w:id="499"/>
      <w:bookmarkEnd w:id="500"/>
      <w:bookmarkEnd w:id="501"/>
      <w:bookmarkEnd w:id="502"/>
      <w:bookmarkEnd w:id="503"/>
      <w:r w:rsidRPr="002C0D19">
        <w:t xml:space="preserve"> </w:t>
      </w:r>
      <w:r w:rsidRPr="002C0D19">
        <w:rPr>
          <w:lang w:val="es-ES"/>
        </w:rPr>
        <w:t xml:space="preserve">y renumerado mediante Circular 14 del 8 de agosto de 2017, publicada en el Boletín Normativo No. 015 del 8 de agosto de 2017. </w:t>
      </w:r>
      <w:r w:rsidRPr="002C0D19">
        <w:t>Rige a partir del 9 de agosto de 2017.</w:t>
      </w:r>
      <w:r w:rsidRPr="002C0D19">
        <w:rPr>
          <w:lang w:val="es-ES"/>
        </w:rPr>
        <w:t>)</w:t>
      </w:r>
    </w:p>
    <w:p w14:paraId="0B97DC8A" w14:textId="77777777" w:rsidR="007968EC" w:rsidRPr="002C0D19" w:rsidRDefault="007968EC" w:rsidP="007968EC">
      <w:pPr>
        <w:autoSpaceDE w:val="0"/>
        <w:autoSpaceDN w:val="0"/>
        <w:jc w:val="both"/>
        <w:rPr>
          <w:rFonts w:ascii="Arial Narrow" w:hAnsi="Arial Narrow" w:cs="Arial"/>
          <w:bCs/>
          <w:color w:val="000000" w:themeColor="text1"/>
          <w:lang w:eastAsia="es-ES"/>
        </w:rPr>
      </w:pPr>
    </w:p>
    <w:p w14:paraId="5BF43E52" w14:textId="77777777" w:rsidR="007968EC" w:rsidRPr="002C0D19" w:rsidRDefault="007968EC" w:rsidP="007968EC">
      <w:pPr>
        <w:autoSpaceDE w:val="0"/>
        <w:autoSpaceDN w:val="0"/>
        <w:jc w:val="both"/>
        <w:rPr>
          <w:rFonts w:ascii="Arial Narrow" w:hAnsi="Arial Narrow" w:cs="Arial"/>
          <w:bCs/>
          <w:color w:val="000000" w:themeColor="text1"/>
          <w:lang w:eastAsia="es-ES"/>
        </w:rPr>
      </w:pPr>
      <w:r w:rsidRPr="002C0D19">
        <w:rPr>
          <w:rFonts w:ascii="Arial Narrow" w:hAnsi="Arial Narrow" w:cs="Arial"/>
          <w:bCs/>
          <w:color w:val="000000" w:themeColor="text1"/>
          <w:lang w:eastAsia="es-ES"/>
        </w:rPr>
        <w:t xml:space="preserve">El Miembro Liquidador que actúe en la modalidad de Miembro Liquidador Individual que se encuentre interesado en obtener el cambio de condición a Miembro Liquidador General deberá presentar ante el Gerente de la Cámara o ante quien este designe, una solicitud escrita firmada por un representante legal en la que solicite el cambio de condición, según formato establecido en el Anexo 1.3. A la solicitud respectiva deberán adjuntarse los siguientes documentos: </w:t>
      </w:r>
    </w:p>
    <w:p w14:paraId="4407C5BA" w14:textId="77777777" w:rsidR="007968EC" w:rsidRPr="002C0D19" w:rsidRDefault="007968EC" w:rsidP="007968EC">
      <w:pPr>
        <w:autoSpaceDE w:val="0"/>
        <w:autoSpaceDN w:val="0"/>
        <w:jc w:val="both"/>
        <w:rPr>
          <w:rFonts w:ascii="Arial Narrow" w:hAnsi="Arial Narrow" w:cs="Arial"/>
          <w:bCs/>
          <w:color w:val="000000" w:themeColor="text1"/>
          <w:lang w:eastAsia="es-ES"/>
        </w:rPr>
      </w:pPr>
    </w:p>
    <w:p w14:paraId="793946A9" w14:textId="77777777" w:rsidR="007968EC" w:rsidRPr="002C0D19" w:rsidRDefault="007968EC" w:rsidP="00DA7472">
      <w:pPr>
        <w:numPr>
          <w:ilvl w:val="0"/>
          <w:numId w:val="80"/>
        </w:num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lastRenderedPageBreak/>
        <w:t>Formulario de solicitud de admisión como Miembro ante la Cámara en la modalidad de Miembro Liquidador General, e identificación de los Segmentos en que está interesado en participar,</w:t>
      </w:r>
      <w:r w:rsidRPr="002C0D19">
        <w:rPr>
          <w:rFonts w:ascii="Arial Narrow" w:hAnsi="Arial Narrow" w:cs="Arial"/>
          <w:b/>
          <w:color w:val="000000" w:themeColor="text1"/>
          <w:lang w:val="es-ES" w:eastAsia="es-ES"/>
        </w:rPr>
        <w:t xml:space="preserve"> </w:t>
      </w:r>
      <w:r w:rsidRPr="002C0D19">
        <w:rPr>
          <w:rFonts w:ascii="Arial Narrow" w:hAnsi="Arial Narrow" w:cs="Arial"/>
          <w:bCs/>
          <w:color w:val="000000" w:themeColor="text1"/>
          <w:lang w:val="es-ES" w:eastAsia="es-ES"/>
        </w:rPr>
        <w:t>según el formato establecido en el Anexo 1.1.</w:t>
      </w:r>
    </w:p>
    <w:p w14:paraId="2558B649"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5755CFC8" w14:textId="77777777" w:rsidR="007968EC" w:rsidRPr="002C0D19" w:rsidRDefault="007968EC" w:rsidP="00DA7472">
      <w:pPr>
        <w:numPr>
          <w:ilvl w:val="0"/>
          <w:numId w:val="80"/>
        </w:numPr>
        <w:tabs>
          <w:tab w:val="num" w:pos="-184"/>
        </w:tabs>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Formulario de requerimientos cualitativos debidamente diligenciado en la modalidad de Miembro Liquidador General, según formato establecido en el Anexo 3.</w:t>
      </w:r>
    </w:p>
    <w:p w14:paraId="12110D84"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33403CF9" w14:textId="77777777" w:rsidR="007968EC" w:rsidRPr="002C0D19" w:rsidRDefault="007968EC" w:rsidP="00DA7472">
      <w:pPr>
        <w:numPr>
          <w:ilvl w:val="0"/>
          <w:numId w:val="80"/>
        </w:numPr>
        <w:tabs>
          <w:tab w:val="num" w:pos="-184"/>
        </w:tabs>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Copia del certificado de existencia y representación legal expedido por la autoridad competente dentro del mes inmediatamente anterior a la solicitud.</w:t>
      </w:r>
    </w:p>
    <w:p w14:paraId="426FE2E4"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596014C6" w14:textId="77777777" w:rsidR="007968EC" w:rsidRPr="002C0D19" w:rsidRDefault="007968EC" w:rsidP="00DA7472">
      <w:pPr>
        <w:numPr>
          <w:ilvl w:val="0"/>
          <w:numId w:val="80"/>
        </w:numPr>
        <w:tabs>
          <w:tab w:val="num" w:pos="-184"/>
        </w:tabs>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Estados Financieros auditados del último corte, firmados, con notas aclaratorias y copia del dictamen del revisor fiscal.</w:t>
      </w:r>
    </w:p>
    <w:p w14:paraId="5609E8DD" w14:textId="77777777" w:rsidR="007968EC" w:rsidRPr="002C0D19" w:rsidRDefault="007968EC" w:rsidP="007968EC">
      <w:pPr>
        <w:ind w:left="708"/>
        <w:rPr>
          <w:rFonts w:ascii="Arial Narrow" w:hAnsi="Arial Narrow" w:cs="Arial"/>
          <w:bCs/>
          <w:color w:val="000000" w:themeColor="text1"/>
          <w:lang w:eastAsia="es-CO"/>
        </w:rPr>
      </w:pPr>
    </w:p>
    <w:p w14:paraId="55374691" w14:textId="77777777" w:rsidR="007968EC" w:rsidRPr="002C0D19" w:rsidRDefault="007968EC" w:rsidP="00DA7472">
      <w:pPr>
        <w:numPr>
          <w:ilvl w:val="0"/>
          <w:numId w:val="80"/>
        </w:numPr>
        <w:tabs>
          <w:tab w:val="num" w:pos="-184"/>
        </w:tabs>
        <w:autoSpaceDE w:val="0"/>
        <w:autoSpaceDN w:val="0"/>
        <w:jc w:val="both"/>
        <w:rPr>
          <w:rFonts w:ascii="Arial Narrow" w:hAnsi="Arial Narrow" w:cs="Arial"/>
          <w:bCs/>
          <w:color w:val="000000" w:themeColor="text1"/>
          <w:lang w:val="es-ES" w:eastAsia="es-ES"/>
        </w:rPr>
      </w:pPr>
      <w:r w:rsidRPr="002C0D19">
        <w:rPr>
          <w:rFonts w:ascii="Arial Narrow" w:hAnsi="Arial Narrow" w:cs="Arial"/>
          <w:color w:val="000000" w:themeColor="text1"/>
          <w:lang w:val="es-ES" w:eastAsia="es-ES"/>
        </w:rPr>
        <w:t>En caso de ser aplicable, l</w:t>
      </w:r>
      <w:r w:rsidRPr="002C0D19">
        <w:rPr>
          <w:rFonts w:ascii="Arial Narrow" w:hAnsi="Arial Narrow" w:cs="Arial"/>
          <w:bCs/>
          <w:color w:val="000000" w:themeColor="text1"/>
          <w:lang w:val="es-ES" w:eastAsia="es-ES"/>
        </w:rPr>
        <w:t>istado de firmas autorizadas actualizado, según formato establecido en el Anexo 6.</w:t>
      </w:r>
    </w:p>
    <w:p w14:paraId="449B122D"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0C151899" w14:textId="77777777" w:rsidR="007968EC" w:rsidRPr="002C0D19" w:rsidRDefault="007968EC" w:rsidP="00DA7472">
      <w:pPr>
        <w:numPr>
          <w:ilvl w:val="0"/>
          <w:numId w:val="80"/>
        </w:numPr>
        <w:tabs>
          <w:tab w:val="num" w:pos="-184"/>
        </w:tabs>
        <w:autoSpaceDE w:val="0"/>
        <w:autoSpaceDN w:val="0"/>
        <w:jc w:val="both"/>
        <w:rPr>
          <w:rFonts w:ascii="Arial Narrow" w:hAnsi="Arial Narrow" w:cs="Arial"/>
          <w:bCs/>
          <w:color w:val="000000" w:themeColor="text1"/>
          <w:lang w:val="es-ES" w:eastAsia="es-ES"/>
        </w:rPr>
      </w:pPr>
      <w:r w:rsidRPr="002C0D19">
        <w:rPr>
          <w:rFonts w:ascii="Arial Narrow" w:hAnsi="Arial Narrow" w:cs="Arial"/>
          <w:color w:val="000000" w:themeColor="text1"/>
          <w:lang w:val="es-ES" w:eastAsia="es-ES"/>
        </w:rPr>
        <w:t>En caso de ser aplicable, f</w:t>
      </w:r>
      <w:r w:rsidRPr="002C0D19">
        <w:rPr>
          <w:rFonts w:ascii="Arial Narrow" w:hAnsi="Arial Narrow" w:cs="Arial"/>
          <w:bCs/>
          <w:color w:val="000000" w:themeColor="text1"/>
          <w:lang w:val="es-ES" w:eastAsia="es-ES"/>
        </w:rPr>
        <w:t>ormato de solicitud de creación y modificación del usuario administrador actualizado, según formato establecido en el Anexo 10.</w:t>
      </w:r>
    </w:p>
    <w:p w14:paraId="205D6DAA" w14:textId="77777777" w:rsidR="007968EC" w:rsidRPr="002C0D19" w:rsidRDefault="007968EC" w:rsidP="007968EC">
      <w:pPr>
        <w:ind w:left="708"/>
        <w:rPr>
          <w:rFonts w:ascii="Arial Narrow" w:hAnsi="Arial Narrow" w:cs="Arial"/>
          <w:bCs/>
          <w:color w:val="000000" w:themeColor="text1"/>
          <w:lang w:eastAsia="es-CO"/>
        </w:rPr>
      </w:pPr>
    </w:p>
    <w:p w14:paraId="3B44E28F" w14:textId="77777777" w:rsidR="007968EC" w:rsidRPr="002C0D19" w:rsidRDefault="007968EC" w:rsidP="00DA7472">
      <w:pPr>
        <w:numPr>
          <w:ilvl w:val="0"/>
          <w:numId w:val="80"/>
        </w:numPr>
        <w:tabs>
          <w:tab w:val="num" w:pos="-184"/>
        </w:tabs>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xml:space="preserve">Lista de Chequeo para </w:t>
      </w:r>
      <w:r w:rsidRPr="002C0D19">
        <w:rPr>
          <w:rFonts w:ascii="Arial Narrow" w:hAnsi="Arial Narrow" w:cs="Arial"/>
          <w:bCs/>
          <w:color w:val="000000" w:themeColor="text1"/>
          <w:lang w:eastAsia="es-ES"/>
        </w:rPr>
        <w:t>solicitar el cambio de condición</w:t>
      </w:r>
      <w:r w:rsidRPr="002C0D19">
        <w:rPr>
          <w:rFonts w:ascii="Arial Narrow" w:hAnsi="Arial Narrow" w:cs="Arial"/>
          <w:bCs/>
          <w:color w:val="000000" w:themeColor="text1"/>
          <w:lang w:val="es-ES" w:eastAsia="es-ES"/>
        </w:rPr>
        <w:t xml:space="preserve"> de Miembro Liquidador Individual a Miembro Liquidador General completamente diligenciada, según formato establecido en el Anexo 13.3.</w:t>
      </w:r>
    </w:p>
    <w:p w14:paraId="5CB44C95"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0BEAD8A8"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Una vez presentada la solicitud y sus anexos, el Gerente de la Cámara o el funcionario a quien este designe los verificará, y evaluará la suficiencia de los recursos financieros y la capacidad operativa, dentro de los treinta (30) días hábiles siguientes a su recepción y de encontrar conforme la solicitud, presentará la entidad solicitante para la modificación de su condición a la Junta Directiva en su próxima sesión previo concepto del Comité de Riesgos. Aprobada la modificación, la Cámara remitirá a la entidad solicitante una Oferta de Servicios para Miembro Liquidador General, para su aceptación mediante Orden de Compra de Servicios por parte de la entidad.</w:t>
      </w:r>
    </w:p>
    <w:p w14:paraId="4B86676B"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7E3A4B29"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xml:space="preserve">El trámite para la modificación de la condición de Miembro corresponderá al mismo procedimiento previsto para la admisión de un Miembro previsto en el Reglamento y Circular de la Cámara. </w:t>
      </w:r>
    </w:p>
    <w:p w14:paraId="1D625530"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606ADE7D" w14:textId="77777777" w:rsidR="007968EC" w:rsidRPr="002C0D19" w:rsidRDefault="007968EC" w:rsidP="007968EC">
      <w:pPr>
        <w:autoSpaceDE w:val="0"/>
        <w:autoSpaceDN w:val="0"/>
        <w:jc w:val="both"/>
        <w:rPr>
          <w:rFonts w:ascii="Arial Narrow" w:hAnsi="Arial Narrow" w:cs="Arial"/>
          <w:bCs/>
          <w:color w:val="000000" w:themeColor="text1"/>
          <w:lang w:eastAsia="es-ES"/>
        </w:rPr>
      </w:pPr>
      <w:r w:rsidRPr="002C0D19">
        <w:rPr>
          <w:rFonts w:ascii="Arial Narrow" w:hAnsi="Arial Narrow" w:cs="Arial"/>
          <w:bCs/>
          <w:color w:val="000000" w:themeColor="text1"/>
          <w:lang w:eastAsia="es-ES"/>
        </w:rPr>
        <w:t>Una vez se admita la modificación de la condición de Miembro Liquidador Individual a Miembro Liquidador General por parte de la Cámara, la entidad adquirirá, sin solución de continuidad la totalidad de los derechos y obligaciones que le corresponden.</w:t>
      </w:r>
    </w:p>
    <w:p w14:paraId="7EE64942" w14:textId="77777777" w:rsidR="007968EC" w:rsidRPr="002C0D19" w:rsidRDefault="007968EC" w:rsidP="007968EC">
      <w:pPr>
        <w:autoSpaceDE w:val="0"/>
        <w:autoSpaceDN w:val="0"/>
        <w:jc w:val="both"/>
        <w:rPr>
          <w:rFonts w:ascii="Arial Narrow" w:hAnsi="Arial Narrow" w:cs="Arial"/>
          <w:color w:val="000000" w:themeColor="text1"/>
          <w:lang w:eastAsia="es-ES"/>
        </w:rPr>
      </w:pPr>
    </w:p>
    <w:p w14:paraId="63955FBC" w14:textId="77777777" w:rsidR="007968EC" w:rsidRDefault="007968EC" w:rsidP="007968EC">
      <w:pPr>
        <w:pStyle w:val="ARTICULO0"/>
      </w:pPr>
      <w:bookmarkStart w:id="504" w:name="_Toc472592049"/>
      <w:bookmarkStart w:id="505" w:name="_Toc472593068"/>
      <w:bookmarkStart w:id="506" w:name="_Toc479056854"/>
      <w:bookmarkStart w:id="507" w:name="_Toc31715860"/>
      <w:bookmarkStart w:id="508" w:name="_Toc470775354"/>
      <w:bookmarkStart w:id="509" w:name="_Toc470779639"/>
      <w:bookmarkStart w:id="510" w:name="_Toc470780256"/>
      <w:bookmarkStart w:id="511" w:name="_Toc470780769"/>
      <w:bookmarkStart w:id="512" w:name="_Toc470784330"/>
      <w:bookmarkStart w:id="513" w:name="_Toc470784867"/>
      <w:bookmarkStart w:id="514" w:name="_Toc470786352"/>
      <w:bookmarkStart w:id="515" w:name="_Toc470786890"/>
      <w:bookmarkStart w:id="516" w:name="_Toc470791243"/>
      <w:bookmarkStart w:id="517" w:name="_Toc490066147"/>
      <w:r w:rsidRPr="002C0D19">
        <w:t>Artículo 1.2.1.14. Modificación de la modalidad de Miembro Liquidador a Miembro No Liquidador.</w:t>
      </w:r>
      <w:bookmarkEnd w:id="504"/>
      <w:bookmarkEnd w:id="505"/>
      <w:bookmarkEnd w:id="506"/>
      <w:bookmarkEnd w:id="507"/>
      <w:r w:rsidRPr="002C0D19">
        <w:t xml:space="preserve"> </w:t>
      </w:r>
    </w:p>
    <w:p w14:paraId="7486ABC0" w14:textId="77777777" w:rsidR="007968EC" w:rsidRPr="00AB258B" w:rsidRDefault="007968EC" w:rsidP="007968EC">
      <w:pPr>
        <w:jc w:val="both"/>
        <w:rPr>
          <w:rFonts w:ascii="Arial Narrow" w:hAnsi="Arial Narrow" w:cs="Arial"/>
          <w:color w:val="000000" w:themeColor="text1"/>
          <w:lang w:eastAsia="es-ES"/>
        </w:rPr>
      </w:pPr>
    </w:p>
    <w:p w14:paraId="6D77D9A3" w14:textId="77777777" w:rsidR="007968EC" w:rsidRPr="002C0D19" w:rsidRDefault="007968EC" w:rsidP="007968EC">
      <w:pPr>
        <w:pStyle w:val="ANTECEDENTES"/>
      </w:pPr>
      <w:r w:rsidRPr="002C0D19">
        <w:t>(Este artículo fue adicionado mediante Circular 22 del 16 de julio de 2015, publicada en el Boletín Normativo No. 024 del 16 de julio de 2015</w:t>
      </w:r>
      <w:r w:rsidRPr="002C0D19">
        <w:rPr>
          <w:lang w:val="es-ES"/>
        </w:rPr>
        <w:t xml:space="preserve">, y </w:t>
      </w:r>
      <w:r w:rsidRPr="002C0D19">
        <w:t>modificado mediante Circular 19 del 28 de diciembre de 2016, publicada en el Boletín Normativo No. 024 del 28 de diciembre de 2016</w:t>
      </w:r>
      <w:bookmarkEnd w:id="508"/>
      <w:bookmarkEnd w:id="509"/>
      <w:bookmarkEnd w:id="510"/>
      <w:bookmarkEnd w:id="511"/>
      <w:bookmarkEnd w:id="512"/>
      <w:bookmarkEnd w:id="513"/>
      <w:bookmarkEnd w:id="514"/>
      <w:bookmarkEnd w:id="515"/>
      <w:bookmarkEnd w:id="516"/>
      <w:bookmarkEnd w:id="517"/>
      <w:r w:rsidR="00865110">
        <w:t>,</w:t>
      </w:r>
      <w:r w:rsidRPr="002C0D19">
        <w:t xml:space="preserve"> renumerado </w:t>
      </w:r>
      <w:r w:rsidRPr="002C0D19">
        <w:rPr>
          <w:lang w:val="es-ES"/>
        </w:rPr>
        <w:t xml:space="preserve">mediante Circular 14 del 8 de agosto de 2017, publicada en el Boletín Normativo No. 015 del 8 de agosto de </w:t>
      </w:r>
      <w:r w:rsidRPr="002C0D19">
        <w:rPr>
          <w:lang w:val="es-ES"/>
        </w:rPr>
        <w:lastRenderedPageBreak/>
        <w:t>2017</w:t>
      </w:r>
      <w:r w:rsidR="00865110">
        <w:rPr>
          <w:lang w:val="es-ES"/>
        </w:rPr>
        <w:t xml:space="preserve"> y modificado mediante Circular 2 del 29 de enero de 2020, publicada en el Boletín Normativo No. 002 del 29 de enero de 2020</w:t>
      </w:r>
      <w:r w:rsidRPr="002C0D19">
        <w:rPr>
          <w:lang w:val="es-ES"/>
        </w:rPr>
        <w:t xml:space="preserve">. </w:t>
      </w:r>
      <w:r w:rsidRPr="002C0D19">
        <w:t xml:space="preserve">Rige a partir del </w:t>
      </w:r>
      <w:r w:rsidR="00865110">
        <w:t>3</w:t>
      </w:r>
      <w:r w:rsidRPr="002C0D19">
        <w:t xml:space="preserve"> de </w:t>
      </w:r>
      <w:r w:rsidR="00865110">
        <w:t>febrero</w:t>
      </w:r>
      <w:r w:rsidRPr="002C0D19">
        <w:t xml:space="preserve"> de 20</w:t>
      </w:r>
      <w:r w:rsidR="00865110">
        <w:t>20</w:t>
      </w:r>
      <w:r w:rsidRPr="002C0D19">
        <w:t>.</w:t>
      </w:r>
      <w:r w:rsidRPr="002C0D19">
        <w:rPr>
          <w:lang w:val="es-ES"/>
        </w:rPr>
        <w:t>)</w:t>
      </w:r>
    </w:p>
    <w:p w14:paraId="29E529D8"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5782FF09"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El Miembro Liquidador que se encuentre interesado en obtener el cambio de condición a Miembro No Liquidador deberá presentar ante el Gerente de la Cámara o ante quien este designe, una solicitud escrita firmada por un representante legal en la que solicite el cambio de condición, según formato establecido en el Anexo 1.4. A la solicitud respectiva deberán adjuntarse los siguientes documentos:</w:t>
      </w:r>
    </w:p>
    <w:p w14:paraId="577EE59E"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3A3BC713" w14:textId="77777777" w:rsidR="007968EC" w:rsidRPr="002C0D19" w:rsidRDefault="007968EC" w:rsidP="00DA7472">
      <w:pPr>
        <w:numPr>
          <w:ilvl w:val="0"/>
          <w:numId w:val="133"/>
        </w:numPr>
        <w:autoSpaceDE w:val="0"/>
        <w:autoSpaceDN w:val="0"/>
        <w:adjustRightInd w:val="0"/>
        <w:ind w:left="317"/>
        <w:contextualSpacing/>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Formulario de solicitud de admisión como Miembro ante la Cámara en la modalidad de Miembro No Liquidador, según el formato establecido en el Anexo 1.1.</w:t>
      </w:r>
    </w:p>
    <w:p w14:paraId="2250F43A" w14:textId="77777777" w:rsidR="007968EC" w:rsidRPr="002C0D19" w:rsidRDefault="007968EC" w:rsidP="007968EC">
      <w:pPr>
        <w:autoSpaceDE w:val="0"/>
        <w:autoSpaceDN w:val="0"/>
        <w:adjustRightInd w:val="0"/>
        <w:ind w:left="317"/>
        <w:jc w:val="both"/>
        <w:rPr>
          <w:rFonts w:ascii="Arial Narrow" w:hAnsi="Arial Narrow" w:cs="Arial"/>
          <w:color w:val="000000" w:themeColor="text1"/>
          <w:lang w:val="es-ES" w:eastAsia="es-ES"/>
        </w:rPr>
      </w:pPr>
    </w:p>
    <w:p w14:paraId="16B6241F" w14:textId="77777777" w:rsidR="007968EC" w:rsidRPr="002C0D19" w:rsidRDefault="007968EC" w:rsidP="00DA7472">
      <w:pPr>
        <w:numPr>
          <w:ilvl w:val="0"/>
          <w:numId w:val="133"/>
        </w:numPr>
        <w:autoSpaceDE w:val="0"/>
        <w:autoSpaceDN w:val="0"/>
        <w:adjustRightInd w:val="0"/>
        <w:ind w:left="317"/>
        <w:contextualSpacing/>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Formulario de requerimientos cualitativos debidamente diligenciado en la modalidad de Miembro No Liquidador l, según formato establecido en el Anexo 3.</w:t>
      </w:r>
    </w:p>
    <w:p w14:paraId="649484F0" w14:textId="77777777" w:rsidR="007968EC" w:rsidRPr="002C0D19" w:rsidRDefault="007968EC" w:rsidP="007968EC">
      <w:pPr>
        <w:autoSpaceDE w:val="0"/>
        <w:autoSpaceDN w:val="0"/>
        <w:adjustRightInd w:val="0"/>
        <w:ind w:left="317"/>
        <w:jc w:val="both"/>
        <w:rPr>
          <w:rFonts w:ascii="Arial Narrow" w:hAnsi="Arial Narrow" w:cs="Arial"/>
          <w:color w:val="000000" w:themeColor="text1"/>
          <w:lang w:val="es-ES" w:eastAsia="es-ES"/>
        </w:rPr>
      </w:pPr>
    </w:p>
    <w:p w14:paraId="30BCD690" w14:textId="77777777" w:rsidR="007968EC" w:rsidRPr="002C0D19" w:rsidRDefault="007968EC" w:rsidP="00DA7472">
      <w:pPr>
        <w:numPr>
          <w:ilvl w:val="0"/>
          <w:numId w:val="133"/>
        </w:numPr>
        <w:autoSpaceDE w:val="0"/>
        <w:autoSpaceDN w:val="0"/>
        <w:adjustRightInd w:val="0"/>
        <w:ind w:left="317"/>
        <w:contextualSpacing/>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Copia del certificado de existencia y representación legal del Miembro No Liquidador expedido por la autoridad competente dentro del mes inmediatamente anterior a la solicitud.</w:t>
      </w:r>
    </w:p>
    <w:p w14:paraId="578010F4" w14:textId="77777777" w:rsidR="007968EC" w:rsidRPr="002C0D19" w:rsidRDefault="007968EC" w:rsidP="007968EC">
      <w:pPr>
        <w:autoSpaceDE w:val="0"/>
        <w:autoSpaceDN w:val="0"/>
        <w:adjustRightInd w:val="0"/>
        <w:ind w:left="317"/>
        <w:jc w:val="both"/>
        <w:rPr>
          <w:rFonts w:ascii="Arial Narrow" w:hAnsi="Arial Narrow" w:cs="Arial"/>
          <w:color w:val="000000" w:themeColor="text1"/>
          <w:lang w:val="es-ES" w:eastAsia="es-ES"/>
        </w:rPr>
      </w:pPr>
    </w:p>
    <w:p w14:paraId="671734C8" w14:textId="77777777" w:rsidR="007968EC" w:rsidRPr="002C0D19" w:rsidRDefault="007968EC" w:rsidP="00DA7472">
      <w:pPr>
        <w:numPr>
          <w:ilvl w:val="0"/>
          <w:numId w:val="133"/>
        </w:numPr>
        <w:autoSpaceDE w:val="0"/>
        <w:autoSpaceDN w:val="0"/>
        <w:adjustRightInd w:val="0"/>
        <w:ind w:left="317"/>
        <w:contextualSpacing/>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En caso de ser aplicable, listado de firmas autorizadas actualizado, según formato establecido en el Anexo 6.</w:t>
      </w:r>
    </w:p>
    <w:p w14:paraId="0050DC30" w14:textId="77777777" w:rsidR="007968EC" w:rsidRPr="002C0D19" w:rsidRDefault="007968EC" w:rsidP="007968EC">
      <w:pPr>
        <w:autoSpaceDE w:val="0"/>
        <w:autoSpaceDN w:val="0"/>
        <w:adjustRightInd w:val="0"/>
        <w:ind w:left="317"/>
        <w:jc w:val="both"/>
        <w:rPr>
          <w:rFonts w:ascii="Arial Narrow" w:hAnsi="Arial Narrow" w:cs="Arial"/>
          <w:color w:val="000000" w:themeColor="text1"/>
          <w:lang w:val="es-ES" w:eastAsia="es-ES"/>
        </w:rPr>
      </w:pPr>
    </w:p>
    <w:p w14:paraId="391BD6C2" w14:textId="77777777" w:rsidR="007968EC" w:rsidRPr="002C0D19" w:rsidRDefault="007968EC" w:rsidP="00DA7472">
      <w:pPr>
        <w:numPr>
          <w:ilvl w:val="0"/>
          <w:numId w:val="133"/>
        </w:numPr>
        <w:autoSpaceDE w:val="0"/>
        <w:autoSpaceDN w:val="0"/>
        <w:adjustRightInd w:val="0"/>
        <w:ind w:left="317"/>
        <w:contextualSpacing/>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En caso de ser aplicable, formato de solicitud de creación y modificación del usuario administrador actualizado, según formato establecido en el Anexo 10.</w:t>
      </w:r>
    </w:p>
    <w:p w14:paraId="7C0AA897" w14:textId="77777777" w:rsidR="007968EC" w:rsidRPr="002C0D19" w:rsidRDefault="007968EC" w:rsidP="007968EC">
      <w:pPr>
        <w:autoSpaceDE w:val="0"/>
        <w:autoSpaceDN w:val="0"/>
        <w:adjustRightInd w:val="0"/>
        <w:ind w:left="317"/>
        <w:jc w:val="both"/>
        <w:rPr>
          <w:rFonts w:ascii="Arial Narrow" w:hAnsi="Arial Narrow" w:cs="Arial"/>
          <w:color w:val="000000" w:themeColor="text1"/>
          <w:lang w:val="es-ES" w:eastAsia="es-ES"/>
        </w:rPr>
      </w:pPr>
    </w:p>
    <w:p w14:paraId="3FF2A875" w14:textId="77777777" w:rsidR="007968EC" w:rsidRPr="002C0D19" w:rsidRDefault="007968EC" w:rsidP="00DA7472">
      <w:pPr>
        <w:numPr>
          <w:ilvl w:val="0"/>
          <w:numId w:val="133"/>
        </w:numPr>
        <w:autoSpaceDE w:val="0"/>
        <w:autoSpaceDN w:val="0"/>
        <w:adjustRightInd w:val="0"/>
        <w:ind w:left="317"/>
        <w:contextualSpacing/>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Copia del certificado de existencia y representación legal del Miembro o Miembros Liquidadores Generales expedido por la autoridad competente dentro del mes inmediatamente anterior a la solicitud del Miembro No Liquidador.</w:t>
      </w:r>
    </w:p>
    <w:p w14:paraId="5B35773B" w14:textId="77777777" w:rsidR="007968EC" w:rsidRPr="002C0D19" w:rsidRDefault="007968EC" w:rsidP="007968EC">
      <w:pPr>
        <w:autoSpaceDE w:val="0"/>
        <w:autoSpaceDN w:val="0"/>
        <w:adjustRightInd w:val="0"/>
        <w:ind w:left="317"/>
        <w:jc w:val="both"/>
        <w:rPr>
          <w:rFonts w:ascii="Arial Narrow" w:hAnsi="Arial Narrow" w:cs="Arial"/>
          <w:color w:val="000000" w:themeColor="text1"/>
          <w:lang w:val="es-ES" w:eastAsia="es-ES"/>
        </w:rPr>
      </w:pPr>
    </w:p>
    <w:p w14:paraId="2D2BED66" w14:textId="77777777" w:rsidR="007968EC" w:rsidRPr="002C0D19" w:rsidRDefault="007968EC" w:rsidP="00DA7472">
      <w:pPr>
        <w:numPr>
          <w:ilvl w:val="0"/>
          <w:numId w:val="133"/>
        </w:numPr>
        <w:autoSpaceDE w:val="0"/>
        <w:autoSpaceDN w:val="0"/>
        <w:adjustRightInd w:val="0"/>
        <w:ind w:left="317"/>
        <w:contextualSpacing/>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Estatutos Sociales Actualizados del Miembro Liquidador General.</w:t>
      </w:r>
    </w:p>
    <w:p w14:paraId="093F292A" w14:textId="77777777" w:rsidR="007968EC" w:rsidRPr="002C0D19" w:rsidRDefault="007968EC" w:rsidP="007968EC">
      <w:pPr>
        <w:autoSpaceDE w:val="0"/>
        <w:autoSpaceDN w:val="0"/>
        <w:adjustRightInd w:val="0"/>
        <w:ind w:left="317"/>
        <w:jc w:val="both"/>
        <w:rPr>
          <w:rFonts w:ascii="Arial Narrow" w:hAnsi="Arial Narrow" w:cs="Arial"/>
          <w:color w:val="000000" w:themeColor="text1"/>
          <w:lang w:val="es-ES" w:eastAsia="es-ES"/>
        </w:rPr>
      </w:pPr>
    </w:p>
    <w:p w14:paraId="571AF232" w14:textId="77777777" w:rsidR="007968EC" w:rsidRPr="002C0D19" w:rsidRDefault="007968EC" w:rsidP="00DA7472">
      <w:pPr>
        <w:numPr>
          <w:ilvl w:val="0"/>
          <w:numId w:val="133"/>
        </w:numPr>
        <w:autoSpaceDE w:val="0"/>
        <w:autoSpaceDN w:val="0"/>
        <w:adjustRightInd w:val="0"/>
        <w:ind w:left="317"/>
        <w:contextualSpacing/>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Comunicación suscrita por el representante legal del Miembro Liquidador General, a través del cual el Miembro no Liquidador realizará la liquidación de sus propias operaciones y de sus Terceros, según formato establecido en el Anexo 14.</w:t>
      </w:r>
    </w:p>
    <w:p w14:paraId="3FCA3C02" w14:textId="77777777" w:rsidR="007968EC" w:rsidRPr="002C0D19" w:rsidRDefault="007968EC" w:rsidP="007968EC">
      <w:pPr>
        <w:autoSpaceDE w:val="0"/>
        <w:autoSpaceDN w:val="0"/>
        <w:adjustRightInd w:val="0"/>
        <w:ind w:left="317"/>
        <w:rPr>
          <w:rFonts w:ascii="Arial Narrow" w:hAnsi="Arial Narrow" w:cs="Arial"/>
          <w:color w:val="000000" w:themeColor="text1"/>
          <w:lang w:val="es-ES" w:eastAsia="es-ES"/>
        </w:rPr>
      </w:pPr>
    </w:p>
    <w:p w14:paraId="4C6CFC61" w14:textId="77777777" w:rsidR="007968EC" w:rsidRPr="002C0D19" w:rsidRDefault="007968EC" w:rsidP="00DA7472">
      <w:pPr>
        <w:numPr>
          <w:ilvl w:val="0"/>
          <w:numId w:val="133"/>
        </w:numPr>
        <w:autoSpaceDE w:val="0"/>
        <w:autoSpaceDN w:val="0"/>
        <w:adjustRightInd w:val="0"/>
        <w:ind w:left="317"/>
        <w:contextualSpacing/>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Convenio con uno o varios Miembros Liquidadores Generales.</w:t>
      </w:r>
    </w:p>
    <w:p w14:paraId="0C1B0569" w14:textId="77777777" w:rsidR="007968EC" w:rsidRPr="002C0D19" w:rsidRDefault="007968EC" w:rsidP="007968EC">
      <w:pPr>
        <w:autoSpaceDE w:val="0"/>
        <w:autoSpaceDN w:val="0"/>
        <w:adjustRightInd w:val="0"/>
        <w:ind w:left="317"/>
        <w:contextualSpacing/>
        <w:jc w:val="both"/>
        <w:rPr>
          <w:rFonts w:ascii="Arial Narrow" w:hAnsi="Arial Narrow" w:cs="Arial"/>
          <w:color w:val="000000" w:themeColor="text1"/>
          <w:lang w:val="es-ES" w:eastAsia="es-ES"/>
        </w:rPr>
      </w:pPr>
    </w:p>
    <w:p w14:paraId="03AB3D67" w14:textId="77777777" w:rsidR="007968EC" w:rsidRPr="002C0D19" w:rsidRDefault="007968EC" w:rsidP="00DA7472">
      <w:pPr>
        <w:numPr>
          <w:ilvl w:val="0"/>
          <w:numId w:val="133"/>
        </w:numPr>
        <w:autoSpaceDE w:val="0"/>
        <w:autoSpaceDN w:val="0"/>
        <w:adjustRightInd w:val="0"/>
        <w:ind w:left="317"/>
        <w:contextualSpacing/>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Carta informando la fecha en la cual se va a realizar el cambio de modalidad.</w:t>
      </w:r>
    </w:p>
    <w:p w14:paraId="5B5F4AFE" w14:textId="77777777" w:rsidR="007968EC" w:rsidRPr="002C0D19" w:rsidRDefault="007968EC" w:rsidP="007968EC">
      <w:pPr>
        <w:ind w:left="720"/>
        <w:contextualSpacing/>
        <w:rPr>
          <w:rFonts w:ascii="Arial Narrow" w:hAnsi="Arial Narrow" w:cs="Arial"/>
          <w:color w:val="000000" w:themeColor="text1"/>
          <w:lang w:val="es-ES" w:eastAsia="es-ES"/>
        </w:rPr>
      </w:pPr>
    </w:p>
    <w:p w14:paraId="71CCE36A" w14:textId="77777777" w:rsidR="007968EC" w:rsidRPr="002C0D19" w:rsidRDefault="007968EC" w:rsidP="00DA7472">
      <w:pPr>
        <w:numPr>
          <w:ilvl w:val="0"/>
          <w:numId w:val="133"/>
        </w:numPr>
        <w:autoSpaceDE w:val="0"/>
        <w:autoSpaceDN w:val="0"/>
        <w:adjustRightInd w:val="0"/>
        <w:ind w:left="317"/>
        <w:contextualSpacing/>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Lista de Chequeo para solicitar el cambio de condición de Miembro Liquidador a Miembro No Liquidador completamente diligenciada, según formato establecido en el Anexo 13.5.</w:t>
      </w:r>
    </w:p>
    <w:p w14:paraId="5C3D3DFC" w14:textId="77777777" w:rsidR="007968EC" w:rsidRPr="002C0D19" w:rsidRDefault="007968EC" w:rsidP="007968EC">
      <w:pPr>
        <w:autoSpaceDE w:val="0"/>
        <w:autoSpaceDN w:val="0"/>
        <w:adjustRightInd w:val="0"/>
        <w:rPr>
          <w:rFonts w:ascii="Arial Narrow" w:hAnsi="Arial Narrow" w:cs="Arial"/>
          <w:color w:val="000000" w:themeColor="text1"/>
          <w:lang w:val="es-ES" w:eastAsia="es-ES"/>
        </w:rPr>
      </w:pPr>
    </w:p>
    <w:p w14:paraId="347FDCB7"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Una vez presentada la solicitud y sus anexos, el Gerente de la Cámara o el funcionario a quien este designe los verificará, y evaluará la capacidad operativa, dentro de los treinta (30) días hábiles siguientes a su recepción y de encontrar conforme la solicitud, presentará la entidad solicitante para la modificación de su </w:t>
      </w:r>
      <w:r w:rsidRPr="002C0D19">
        <w:rPr>
          <w:rFonts w:ascii="Arial Narrow" w:hAnsi="Arial Narrow" w:cs="Arial"/>
          <w:color w:val="000000" w:themeColor="text1"/>
          <w:lang w:val="es-ES" w:eastAsia="es-ES"/>
        </w:rPr>
        <w:lastRenderedPageBreak/>
        <w:t>condición a la Junta Directiva en su próxima sesión previo concepto del Comité de Riesgos. Aprobada la modificación, la Cámara remitirá a la entidad solicitante una Oferta de Servicios para Miembro No Liquidador, para su aceptación mediante Orden de Compra de Servicios por parte de la entidad y le confirmará los Segmentos en que podrá participar.</w:t>
      </w:r>
    </w:p>
    <w:p w14:paraId="28432F19"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3472AB06"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El trámite para la modificación de la condición de Miembro corresponderá al mismo procedimiento previsto para la admisión de un Miembro previsto en el Reglamento y Circular de la Cámara.</w:t>
      </w:r>
    </w:p>
    <w:p w14:paraId="2E17CFF6"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6291CE7B"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El Miembro deberá informar a los titulares de cada una de sus Cuentas sobre la solicitud de modificación de su condición de Miembro Liquidador a Miembro No Liquidador, y en el evento en que el cambio de condición de Miembro conlleve un Traspaso de Posición Abierta y/o un </w:t>
      </w:r>
      <w:proofErr w:type="spellStart"/>
      <w:r w:rsidRPr="002C0D19">
        <w:rPr>
          <w:rFonts w:ascii="Arial Narrow" w:hAnsi="Arial Narrow" w:cs="Arial"/>
          <w:color w:val="000000" w:themeColor="text1"/>
          <w:lang w:val="es-ES" w:eastAsia="es-ES"/>
        </w:rPr>
        <w:t>Give</w:t>
      </w:r>
      <w:proofErr w:type="spellEnd"/>
      <w:r w:rsidRPr="002C0D19">
        <w:rPr>
          <w:rFonts w:ascii="Arial Narrow" w:hAnsi="Arial Narrow" w:cs="Arial"/>
          <w:color w:val="000000" w:themeColor="text1"/>
          <w:lang w:val="es-ES" w:eastAsia="es-ES"/>
        </w:rPr>
        <w:t xml:space="preserve"> Up se deberán cumplir con las condiciones establecidas en el Reglamento y en la Circular de la Cámara. La Subgerencia de Riesgos y Operaciones de la Cámara revisará y emitirá un concepto sobre la viabilidad del Plan para el manejo de las obligaciones de cada una de las Cuentas.</w:t>
      </w:r>
    </w:p>
    <w:p w14:paraId="0EAB34C8"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591485F1" w14:textId="77777777" w:rsidR="007968EC" w:rsidRPr="002C0D19" w:rsidRDefault="0018502A" w:rsidP="007968EC">
      <w:pPr>
        <w:autoSpaceDE w:val="0"/>
        <w:autoSpaceDN w:val="0"/>
        <w:adjustRightInd w:val="0"/>
        <w:jc w:val="both"/>
        <w:rPr>
          <w:rFonts w:ascii="Arial Narrow" w:hAnsi="Arial Narrow" w:cs="Arial"/>
          <w:color w:val="000000" w:themeColor="text1"/>
          <w:lang w:val="es-ES" w:eastAsia="es-ES"/>
        </w:rPr>
      </w:pPr>
      <w:r w:rsidRPr="0018502A">
        <w:rPr>
          <w:rFonts w:ascii="Arial Narrow" w:hAnsi="Arial Narrow" w:cs="Arial"/>
          <w:color w:val="000000" w:themeColor="text1"/>
          <w:lang w:eastAsia="es-ES"/>
        </w:rPr>
        <w:t>El Miembro deberá verificar que se haya suministrado la Información Mínima a sus Terceros bajo la nueva condición de Miembro No Liquidador. La Cámara tendrá la facultad de exigir una copia del suministro de la Información Mínima al Tercero, en cualquier momento</w:t>
      </w:r>
      <w:r w:rsidR="007968EC" w:rsidRPr="002C0D19">
        <w:rPr>
          <w:rFonts w:ascii="Arial Narrow" w:hAnsi="Arial Narrow" w:cs="Arial"/>
          <w:color w:val="000000" w:themeColor="text1"/>
          <w:lang w:val="es-ES" w:eastAsia="es-ES"/>
        </w:rPr>
        <w:t>.</w:t>
      </w:r>
    </w:p>
    <w:p w14:paraId="03634B9E" w14:textId="77777777" w:rsidR="007968EC" w:rsidRPr="002C0D19" w:rsidRDefault="007968EC" w:rsidP="007968EC">
      <w:pPr>
        <w:autoSpaceDE w:val="0"/>
        <w:autoSpaceDN w:val="0"/>
        <w:jc w:val="both"/>
        <w:rPr>
          <w:rFonts w:ascii="Arial Narrow" w:hAnsi="Arial Narrow" w:cs="Arial"/>
          <w:color w:val="000000" w:themeColor="text1"/>
          <w:lang w:eastAsia="es-ES"/>
        </w:rPr>
      </w:pPr>
    </w:p>
    <w:p w14:paraId="13589071" w14:textId="77777777" w:rsidR="007968EC" w:rsidRDefault="007968EC" w:rsidP="007968EC">
      <w:pPr>
        <w:pStyle w:val="ARTICULO0"/>
        <w:rPr>
          <w:i/>
        </w:rPr>
      </w:pPr>
      <w:bookmarkStart w:id="518" w:name="_Toc472592050"/>
      <w:bookmarkStart w:id="519" w:name="_Toc472593069"/>
      <w:bookmarkStart w:id="520" w:name="_Toc479056855"/>
      <w:bookmarkStart w:id="521" w:name="_Toc31715861"/>
      <w:bookmarkStart w:id="522" w:name="_Toc470775355"/>
      <w:bookmarkStart w:id="523" w:name="_Toc470779640"/>
      <w:bookmarkStart w:id="524" w:name="_Toc470780257"/>
      <w:bookmarkStart w:id="525" w:name="_Toc470780770"/>
      <w:bookmarkStart w:id="526" w:name="_Toc470784331"/>
      <w:bookmarkStart w:id="527" w:name="_Toc470784868"/>
      <w:bookmarkStart w:id="528" w:name="_Toc470786891"/>
      <w:bookmarkStart w:id="529" w:name="_Toc470791244"/>
      <w:bookmarkStart w:id="530" w:name="_Toc490066148"/>
      <w:r w:rsidRPr="002C0D19">
        <w:t>Artículo 1.2.1.15. Ingreso de un Miembro a la Compensación y Liquidación a un Segmento adicional.</w:t>
      </w:r>
      <w:bookmarkEnd w:id="518"/>
      <w:bookmarkEnd w:id="519"/>
      <w:bookmarkEnd w:id="520"/>
      <w:bookmarkEnd w:id="521"/>
      <w:r w:rsidRPr="002C0D19">
        <w:rPr>
          <w:i/>
        </w:rPr>
        <w:t xml:space="preserve"> </w:t>
      </w:r>
    </w:p>
    <w:p w14:paraId="47AA00B0" w14:textId="77777777" w:rsidR="007968EC" w:rsidRPr="00AB258B" w:rsidRDefault="007968EC" w:rsidP="007968EC">
      <w:pPr>
        <w:jc w:val="both"/>
        <w:rPr>
          <w:rFonts w:ascii="Arial Narrow" w:hAnsi="Arial Narrow" w:cs="Arial"/>
          <w:color w:val="000000" w:themeColor="text1"/>
          <w:lang w:eastAsia="es-ES"/>
        </w:rPr>
      </w:pPr>
    </w:p>
    <w:p w14:paraId="5FE93E45" w14:textId="77777777" w:rsidR="007968EC" w:rsidRPr="002C0D19" w:rsidRDefault="007968EC" w:rsidP="007968EC">
      <w:pPr>
        <w:pStyle w:val="ANTECEDENTES"/>
        <w:rPr>
          <w:lang w:val="es-ES"/>
        </w:rPr>
      </w:pPr>
      <w:r w:rsidRPr="002C0D19">
        <w:t>(Este artículo fue adicionado mediante Circular 19 del 28 de diciembre de 2016, publicada en el Boletín Normativo No. 024 del 28 de diciembre de 2010</w:t>
      </w:r>
      <w:bookmarkEnd w:id="522"/>
      <w:bookmarkEnd w:id="523"/>
      <w:bookmarkEnd w:id="524"/>
      <w:bookmarkEnd w:id="525"/>
      <w:bookmarkEnd w:id="526"/>
      <w:bookmarkEnd w:id="527"/>
      <w:bookmarkEnd w:id="528"/>
      <w:bookmarkEnd w:id="529"/>
      <w:bookmarkEnd w:id="530"/>
      <w:r w:rsidRPr="002C0D19">
        <w:rPr>
          <w:lang w:val="es-ES"/>
        </w:rPr>
        <w:t xml:space="preserve"> y renumerado mediante Circular 14 del 8 de agosto de 2017, publicada en el Boletín Normativo No. 015 del 8 de agosto de 2017. </w:t>
      </w:r>
      <w:r w:rsidRPr="002C0D19">
        <w:t>Rige a partir del 9 de agosto de 2017.</w:t>
      </w:r>
      <w:r w:rsidRPr="002C0D19">
        <w:rPr>
          <w:lang w:val="es-ES"/>
        </w:rPr>
        <w:t>)</w:t>
      </w:r>
      <w:bookmarkStart w:id="531" w:name="_Toc470775356"/>
      <w:bookmarkStart w:id="532" w:name="_Toc470779641"/>
      <w:bookmarkStart w:id="533" w:name="_Toc470780258"/>
      <w:bookmarkStart w:id="534" w:name="_Toc470780771"/>
      <w:bookmarkStart w:id="535" w:name="_Toc470784332"/>
      <w:bookmarkStart w:id="536" w:name="_Toc470784869"/>
      <w:bookmarkStart w:id="537" w:name="_Toc470786354"/>
      <w:bookmarkStart w:id="538" w:name="_Toc470786892"/>
      <w:bookmarkStart w:id="539" w:name="_Toc470791245"/>
      <w:bookmarkStart w:id="540" w:name="_Toc471831455"/>
      <w:bookmarkStart w:id="541" w:name="_Toc490066149"/>
    </w:p>
    <w:p w14:paraId="1206D135" w14:textId="77777777" w:rsidR="007968EC" w:rsidRPr="002C0D19" w:rsidRDefault="007968EC" w:rsidP="007968EC">
      <w:pPr>
        <w:jc w:val="both"/>
        <w:rPr>
          <w:rFonts w:ascii="Arial Narrow" w:hAnsi="Arial Narrow" w:cs="Arial"/>
          <w:color w:val="000000" w:themeColor="text1"/>
          <w:lang w:val="es-ES" w:eastAsia="es-ES"/>
        </w:rPr>
      </w:pPr>
    </w:p>
    <w:p w14:paraId="2A94A690"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En el evento en que un Miembro, con posterioridad a su admisión, se encuentre interesado en ingresar a la Compensación y Liquidación a uno o varios Segmentos adicionales a los que participa, deberá presentar ante el Gerente de la Cámara o quien este designe Carta de Solicitud de Ingreso a otro Segmento, Anexo 1.5, debidamente diligenciada y suscrita por un representante legal.</w:t>
      </w:r>
      <w:bookmarkEnd w:id="531"/>
      <w:bookmarkEnd w:id="532"/>
      <w:bookmarkEnd w:id="533"/>
      <w:bookmarkEnd w:id="534"/>
      <w:bookmarkEnd w:id="535"/>
      <w:bookmarkEnd w:id="536"/>
      <w:bookmarkEnd w:id="537"/>
      <w:bookmarkEnd w:id="538"/>
      <w:bookmarkEnd w:id="539"/>
      <w:bookmarkEnd w:id="540"/>
      <w:bookmarkEnd w:id="541"/>
      <w:r w:rsidRPr="002C0D19">
        <w:rPr>
          <w:rFonts w:ascii="Arial Narrow" w:hAnsi="Arial Narrow" w:cs="Arial"/>
          <w:color w:val="000000" w:themeColor="text1"/>
          <w:lang w:val="es-ES" w:eastAsia="es-ES"/>
        </w:rPr>
        <w:t xml:space="preserve"> </w:t>
      </w:r>
    </w:p>
    <w:p w14:paraId="23C6A0A8" w14:textId="77777777" w:rsidR="007968EC" w:rsidRPr="002C0D19" w:rsidRDefault="007968EC" w:rsidP="007968EC">
      <w:pPr>
        <w:jc w:val="both"/>
        <w:rPr>
          <w:rFonts w:ascii="Arial Narrow" w:hAnsi="Arial Narrow" w:cs="Arial"/>
          <w:color w:val="000000" w:themeColor="text1"/>
          <w:lang w:val="es-ES" w:eastAsia="es-ES"/>
        </w:rPr>
      </w:pPr>
    </w:p>
    <w:p w14:paraId="160E054E"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Cuando se trate de la solicitud de ingreso de un Miembro No Liquidador a un Segmento adicional, será indispensable contar con la aceptación de su Miembro Liquidador General y que este último ingrese o se encuentre participando en el respectivo Segmento. </w:t>
      </w:r>
    </w:p>
    <w:p w14:paraId="32EE449F" w14:textId="77777777" w:rsidR="007968EC" w:rsidRPr="002C0D19" w:rsidRDefault="007968EC" w:rsidP="007968EC">
      <w:pPr>
        <w:jc w:val="both"/>
        <w:rPr>
          <w:rFonts w:ascii="Arial Narrow" w:hAnsi="Arial Narrow" w:cs="Arial"/>
          <w:color w:val="000000" w:themeColor="text1"/>
          <w:lang w:val="es-ES" w:eastAsia="es-ES"/>
        </w:rPr>
      </w:pPr>
    </w:p>
    <w:p w14:paraId="79CB65F2" w14:textId="77777777" w:rsidR="007968EC" w:rsidRPr="002C0D19" w:rsidRDefault="007968EC" w:rsidP="007968EC">
      <w:pPr>
        <w:jc w:val="both"/>
        <w:rPr>
          <w:rFonts w:ascii="Arial Narrow" w:hAnsi="Arial Narrow" w:cs="Arial"/>
          <w:color w:val="000000" w:themeColor="text1"/>
          <w:lang w:val="es-ES" w:eastAsia="es-ES"/>
        </w:rPr>
      </w:pPr>
      <w:bookmarkStart w:id="542" w:name="_Toc470775357"/>
      <w:bookmarkStart w:id="543" w:name="_Toc470779642"/>
      <w:bookmarkStart w:id="544" w:name="_Toc470780259"/>
      <w:bookmarkStart w:id="545" w:name="_Toc470780772"/>
      <w:bookmarkStart w:id="546" w:name="_Toc470784333"/>
      <w:bookmarkStart w:id="547" w:name="_Toc470784870"/>
      <w:bookmarkStart w:id="548" w:name="_Toc470786893"/>
      <w:bookmarkStart w:id="549" w:name="_Toc470791246"/>
      <w:bookmarkStart w:id="550" w:name="_Toc471831456"/>
      <w:bookmarkStart w:id="551" w:name="_Toc490066150"/>
      <w:r w:rsidRPr="002C0D19">
        <w:rPr>
          <w:rFonts w:ascii="Arial Narrow" w:hAnsi="Arial Narrow" w:cs="Arial"/>
          <w:color w:val="000000" w:themeColor="text1"/>
          <w:lang w:val="es-ES" w:eastAsia="es-ES"/>
        </w:rPr>
        <w:t>El Gerente de la Cámara o el funcionario a quien éste designe le informará al Miembro, y de ser el caso a su Miembro Liquidador General, el procedimiento operativo de ingreso el cual será definido según lo establecido en la presente Circular para el Segmento de que se trate.</w:t>
      </w:r>
      <w:bookmarkEnd w:id="542"/>
      <w:bookmarkEnd w:id="543"/>
      <w:bookmarkEnd w:id="544"/>
      <w:bookmarkEnd w:id="545"/>
      <w:bookmarkEnd w:id="546"/>
      <w:bookmarkEnd w:id="547"/>
      <w:bookmarkEnd w:id="548"/>
      <w:bookmarkEnd w:id="549"/>
      <w:bookmarkEnd w:id="550"/>
      <w:bookmarkEnd w:id="551"/>
    </w:p>
    <w:p w14:paraId="0B12DB1F" w14:textId="77777777" w:rsidR="007968EC" w:rsidRPr="002C0D19" w:rsidRDefault="007968EC" w:rsidP="007968EC">
      <w:pPr>
        <w:autoSpaceDE w:val="0"/>
        <w:autoSpaceDN w:val="0"/>
        <w:jc w:val="both"/>
        <w:rPr>
          <w:rFonts w:ascii="Arial Narrow" w:hAnsi="Arial Narrow" w:cs="Arial"/>
          <w:color w:val="000000" w:themeColor="text1"/>
          <w:lang w:eastAsia="es-ES"/>
        </w:rPr>
      </w:pPr>
    </w:p>
    <w:p w14:paraId="6D6CDE72" w14:textId="77777777" w:rsidR="007968EC" w:rsidRPr="002C0D19" w:rsidRDefault="007968EC" w:rsidP="007968EC">
      <w:pPr>
        <w:pStyle w:val="TTULO"/>
        <w:rPr>
          <w:lang w:val="es-ES"/>
        </w:rPr>
      </w:pPr>
      <w:bookmarkStart w:id="552" w:name="_Toc470775358"/>
      <w:bookmarkStart w:id="553" w:name="_Toc470779643"/>
      <w:bookmarkStart w:id="554" w:name="_Toc470780260"/>
      <w:bookmarkStart w:id="555" w:name="_Toc470780773"/>
      <w:bookmarkStart w:id="556" w:name="_Toc470784334"/>
      <w:bookmarkStart w:id="557" w:name="_Toc470784871"/>
      <w:bookmarkStart w:id="558" w:name="_Toc470786894"/>
      <w:bookmarkStart w:id="559" w:name="_Toc470791247"/>
      <w:bookmarkStart w:id="560" w:name="_Toc472592051"/>
      <w:bookmarkStart w:id="561" w:name="_Toc472593070"/>
      <w:bookmarkStart w:id="562" w:name="_Toc479056856"/>
      <w:bookmarkStart w:id="563" w:name="_Toc490066151"/>
      <w:bookmarkStart w:id="564" w:name="_Toc31715862"/>
      <w:r w:rsidRPr="002C0D19">
        <w:rPr>
          <w:lang w:val="es-ES"/>
        </w:rPr>
        <w:t>CAPÍTULO SEGUNDO</w:t>
      </w:r>
      <w:bookmarkEnd w:id="552"/>
      <w:bookmarkEnd w:id="553"/>
      <w:bookmarkEnd w:id="554"/>
      <w:bookmarkEnd w:id="555"/>
      <w:bookmarkEnd w:id="556"/>
      <w:bookmarkEnd w:id="557"/>
      <w:bookmarkEnd w:id="558"/>
      <w:bookmarkEnd w:id="559"/>
      <w:bookmarkEnd w:id="560"/>
      <w:bookmarkEnd w:id="561"/>
      <w:bookmarkEnd w:id="562"/>
      <w:bookmarkEnd w:id="563"/>
      <w:bookmarkEnd w:id="564"/>
    </w:p>
    <w:p w14:paraId="049E9F5F" w14:textId="77777777" w:rsidR="007968EC" w:rsidRPr="002C0D19" w:rsidRDefault="007968EC" w:rsidP="007968EC">
      <w:pPr>
        <w:pStyle w:val="TTULO"/>
        <w:rPr>
          <w:color w:val="000000" w:themeColor="text1"/>
          <w:u w:val="single"/>
        </w:rPr>
      </w:pPr>
    </w:p>
    <w:p w14:paraId="5454BEFA" w14:textId="77777777" w:rsidR="007968EC" w:rsidRPr="002C0D19" w:rsidRDefault="007968EC" w:rsidP="007968EC">
      <w:pPr>
        <w:pStyle w:val="TTULO"/>
        <w:rPr>
          <w:lang w:val="es-ES"/>
        </w:rPr>
      </w:pPr>
      <w:bookmarkStart w:id="565" w:name="_Toc470775359"/>
      <w:bookmarkStart w:id="566" w:name="_Toc470779644"/>
      <w:bookmarkStart w:id="567" w:name="_Toc470780261"/>
      <w:bookmarkStart w:id="568" w:name="_Toc470780774"/>
      <w:bookmarkStart w:id="569" w:name="_Toc470784335"/>
      <w:bookmarkStart w:id="570" w:name="_Toc470784872"/>
      <w:bookmarkStart w:id="571" w:name="_Toc470786895"/>
      <w:bookmarkStart w:id="572" w:name="_Toc470791248"/>
      <w:bookmarkStart w:id="573" w:name="_Toc472592052"/>
      <w:bookmarkStart w:id="574" w:name="_Toc472593071"/>
      <w:bookmarkStart w:id="575" w:name="_Toc479056857"/>
      <w:bookmarkStart w:id="576" w:name="_Toc490066152"/>
      <w:bookmarkStart w:id="577" w:name="_Toc31715863"/>
      <w:r w:rsidRPr="002C0D19">
        <w:rPr>
          <w:lang w:val="es-ES"/>
        </w:rPr>
        <w:t xml:space="preserve">REQUISITOS DE APROBACIÓN </w:t>
      </w:r>
      <w:r w:rsidRPr="002C0D19" w:rsidDel="004C0A28">
        <w:rPr>
          <w:lang w:val="es-ES"/>
        </w:rPr>
        <w:t xml:space="preserve">Y PERMANENCIA </w:t>
      </w:r>
      <w:r w:rsidRPr="002C0D19">
        <w:rPr>
          <w:lang w:val="es-ES"/>
        </w:rPr>
        <w:t>DEL AGENTE CUSTODIO Y/O AGENTE DE PAGO</w:t>
      </w:r>
      <w:bookmarkEnd w:id="565"/>
      <w:bookmarkEnd w:id="566"/>
      <w:bookmarkEnd w:id="567"/>
      <w:bookmarkEnd w:id="568"/>
      <w:bookmarkEnd w:id="569"/>
      <w:bookmarkEnd w:id="570"/>
      <w:bookmarkEnd w:id="571"/>
      <w:bookmarkEnd w:id="572"/>
      <w:bookmarkEnd w:id="573"/>
      <w:bookmarkEnd w:id="574"/>
      <w:bookmarkEnd w:id="575"/>
      <w:bookmarkEnd w:id="576"/>
      <w:bookmarkEnd w:id="577"/>
    </w:p>
    <w:p w14:paraId="522F50E4" w14:textId="77777777" w:rsidR="007968EC" w:rsidRPr="002C0D19" w:rsidRDefault="007968EC" w:rsidP="007968EC">
      <w:pPr>
        <w:jc w:val="both"/>
        <w:rPr>
          <w:rFonts w:ascii="Arial Narrow" w:hAnsi="Arial Narrow" w:cs="Arial"/>
          <w:b/>
          <w:color w:val="000000" w:themeColor="text1"/>
          <w:u w:val="single"/>
          <w:lang w:eastAsia="es-ES"/>
        </w:rPr>
      </w:pPr>
      <w:bookmarkStart w:id="578" w:name="_Toc206134804"/>
    </w:p>
    <w:p w14:paraId="7C3F0D05" w14:textId="77777777" w:rsidR="007968EC" w:rsidRDefault="007968EC" w:rsidP="007968EC">
      <w:pPr>
        <w:pStyle w:val="ARTICULO0"/>
      </w:pPr>
      <w:bookmarkStart w:id="579" w:name="_Toc472592053"/>
      <w:bookmarkStart w:id="580" w:name="_Toc472593072"/>
      <w:bookmarkStart w:id="581" w:name="_Toc479056858"/>
      <w:bookmarkStart w:id="582" w:name="_Toc31715864"/>
      <w:bookmarkStart w:id="583" w:name="_Toc470775360"/>
      <w:bookmarkStart w:id="584" w:name="_Toc470779645"/>
      <w:bookmarkStart w:id="585" w:name="_Toc470780262"/>
      <w:bookmarkStart w:id="586" w:name="_Toc470780775"/>
      <w:bookmarkStart w:id="587" w:name="_Toc470784336"/>
      <w:bookmarkStart w:id="588" w:name="_Toc470784873"/>
      <w:bookmarkStart w:id="589" w:name="_Toc470786896"/>
      <w:bookmarkStart w:id="590" w:name="_Toc470791249"/>
      <w:bookmarkStart w:id="591" w:name="_Toc490066153"/>
      <w:r w:rsidRPr="002C0D19">
        <w:lastRenderedPageBreak/>
        <w:t>Artículo 1.2.2.1. Documentos para solicitar la aprobación como Agente Custodio y/o Agente de Pago.</w:t>
      </w:r>
      <w:bookmarkEnd w:id="578"/>
      <w:bookmarkEnd w:id="579"/>
      <w:bookmarkEnd w:id="580"/>
      <w:bookmarkEnd w:id="581"/>
      <w:bookmarkEnd w:id="582"/>
      <w:r w:rsidRPr="002C0D19">
        <w:t xml:space="preserve"> </w:t>
      </w:r>
    </w:p>
    <w:p w14:paraId="19E382FD" w14:textId="77777777" w:rsidR="007968EC" w:rsidRPr="00AB258B" w:rsidRDefault="007968EC" w:rsidP="007968EC">
      <w:pPr>
        <w:jc w:val="both"/>
        <w:rPr>
          <w:rFonts w:ascii="Arial Narrow" w:hAnsi="Arial Narrow" w:cs="Arial"/>
          <w:color w:val="000000" w:themeColor="text1"/>
          <w:lang w:eastAsia="es-ES"/>
        </w:rPr>
      </w:pPr>
    </w:p>
    <w:p w14:paraId="4824D54A" w14:textId="77777777" w:rsidR="007968EC" w:rsidRPr="002C0D19" w:rsidRDefault="007968EC" w:rsidP="007968EC">
      <w:pPr>
        <w:pStyle w:val="ANTECEDENTES"/>
      </w:pPr>
      <w:r w:rsidRPr="002C0D19">
        <w:t xml:space="preserve">(Este artículo fue modificado mediante Circular 8 del 18 de junio de 2009, publicada en el Boletín Normativo No. 010 del 18 de junio de 2009 y mediante Circular 10 del 18 de marzo de 2015, publicada en el Boletín Normativo No. 010 del 18 de marzo de 2015, renumerado mediante </w:t>
      </w:r>
      <w:r w:rsidRPr="002C0D19">
        <w:rPr>
          <w:lang w:val="es-ES"/>
        </w:rPr>
        <w:t xml:space="preserve">Circular 19 del 28 de diciembre de 2016, publicada en el Boletín Normativo No. 024 del 28 de diciembre de 2016 y modificado mediante Circular 14 del 8 de agosto de 2017, publicada en el Boletín Normativo No. 015 del 8 de agosto de 2017. </w:t>
      </w:r>
      <w:r w:rsidRPr="002C0D19">
        <w:t>Rige a partir del 9 de agosto de 2017.</w:t>
      </w:r>
      <w:r w:rsidRPr="002C0D19">
        <w:rPr>
          <w:lang w:val="es-ES"/>
        </w:rPr>
        <w:t>)</w:t>
      </w:r>
      <w:bookmarkEnd w:id="583"/>
      <w:bookmarkEnd w:id="584"/>
      <w:bookmarkEnd w:id="585"/>
      <w:bookmarkEnd w:id="586"/>
      <w:bookmarkEnd w:id="587"/>
      <w:bookmarkEnd w:id="588"/>
      <w:bookmarkEnd w:id="589"/>
      <w:bookmarkEnd w:id="590"/>
      <w:bookmarkEnd w:id="591"/>
    </w:p>
    <w:p w14:paraId="48174642" w14:textId="77777777" w:rsidR="007968EC" w:rsidRPr="002C0D19" w:rsidRDefault="007968EC" w:rsidP="007968EC">
      <w:pPr>
        <w:jc w:val="both"/>
        <w:rPr>
          <w:rFonts w:ascii="Arial Narrow" w:hAnsi="Arial Narrow" w:cs="Arial"/>
          <w:b/>
          <w:color w:val="000000" w:themeColor="text1"/>
          <w:u w:val="single"/>
          <w:lang w:eastAsia="es-ES"/>
        </w:rPr>
      </w:pPr>
    </w:p>
    <w:p w14:paraId="3FEF2BAB"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lang w:val="es-ES" w:eastAsia="es-ES"/>
        </w:rPr>
        <w:t>De conformidad con lo establecido en los artículos 2.1.16. y 2.1.19. del Reglamento de Funcionamiento de la Cámara, la entidad interesada en adquirir la condición de Agente Custodio y/o Agente de Pago deberá presentar ante el Gerente de la Cámara o ante quien éste designe, una solicitud escrita firmada por un representante legal debidamente facultado, acompañada de los siguientes documentos:</w:t>
      </w:r>
    </w:p>
    <w:p w14:paraId="556B02DB" w14:textId="77777777" w:rsidR="007968EC" w:rsidRPr="002C0D19" w:rsidRDefault="007968EC" w:rsidP="007968EC">
      <w:pPr>
        <w:jc w:val="both"/>
        <w:rPr>
          <w:rFonts w:ascii="Arial Narrow" w:hAnsi="Arial Narrow" w:cs="Arial"/>
          <w:lang w:val="es-ES" w:eastAsia="es-ES"/>
        </w:rPr>
      </w:pPr>
    </w:p>
    <w:p w14:paraId="05596D32" w14:textId="77777777" w:rsidR="007968EC" w:rsidRPr="002C0D19" w:rsidRDefault="007968EC" w:rsidP="00DA7472">
      <w:pPr>
        <w:numPr>
          <w:ilvl w:val="0"/>
          <w:numId w:val="117"/>
        </w:numPr>
        <w:tabs>
          <w:tab w:val="num" w:pos="884"/>
        </w:tabs>
        <w:ind w:left="317"/>
        <w:jc w:val="both"/>
        <w:rPr>
          <w:rFonts w:ascii="Arial Narrow" w:hAnsi="Arial Narrow" w:cs="Arial"/>
          <w:lang w:val="es-ES" w:eastAsia="es-ES"/>
        </w:rPr>
      </w:pPr>
      <w:r w:rsidRPr="002C0D19">
        <w:rPr>
          <w:rFonts w:ascii="Arial Narrow" w:hAnsi="Arial Narrow" w:cs="Arial"/>
          <w:lang w:val="es-ES" w:eastAsia="es-ES"/>
        </w:rPr>
        <w:t xml:space="preserve">Carta de Solicitud de aprobación como Agente Custodio y/o Agente de Pago, según el modelo establecido en el Anexo 16. </w:t>
      </w:r>
    </w:p>
    <w:p w14:paraId="52BEBE47" w14:textId="77777777" w:rsidR="007968EC" w:rsidRPr="002C0D19" w:rsidRDefault="007968EC" w:rsidP="007968EC">
      <w:pPr>
        <w:tabs>
          <w:tab w:val="num" w:pos="360"/>
        </w:tabs>
        <w:ind w:left="360" w:hanging="360"/>
        <w:jc w:val="both"/>
        <w:rPr>
          <w:rFonts w:ascii="Arial Narrow" w:hAnsi="Arial Narrow" w:cs="Arial"/>
          <w:lang w:val="es-ES" w:eastAsia="es-ES"/>
        </w:rPr>
      </w:pPr>
    </w:p>
    <w:p w14:paraId="7A967C96" w14:textId="77777777" w:rsidR="007968EC" w:rsidRPr="002C0D19" w:rsidRDefault="007968EC" w:rsidP="00DA7472">
      <w:pPr>
        <w:numPr>
          <w:ilvl w:val="0"/>
          <w:numId w:val="118"/>
        </w:numPr>
        <w:tabs>
          <w:tab w:val="num" w:pos="884"/>
        </w:tabs>
        <w:ind w:left="317"/>
        <w:jc w:val="both"/>
        <w:rPr>
          <w:rFonts w:ascii="Arial Narrow" w:hAnsi="Arial Narrow" w:cs="Arial"/>
          <w:lang w:val="es-ES" w:eastAsia="es-ES"/>
        </w:rPr>
      </w:pPr>
      <w:r w:rsidRPr="002C0D19">
        <w:rPr>
          <w:rFonts w:ascii="Arial Narrow" w:hAnsi="Arial Narrow" w:cs="Arial"/>
          <w:lang w:val="es-ES" w:eastAsia="es-ES"/>
        </w:rPr>
        <w:t>Copia del Certificado de Existencia y Representación Legal expedido por la autoridad competente dentro del mes inmediatamente anterior a la solicitud.</w:t>
      </w:r>
    </w:p>
    <w:p w14:paraId="7A367BAD" w14:textId="77777777" w:rsidR="007968EC" w:rsidRPr="002C0D19" w:rsidRDefault="007968EC" w:rsidP="007968EC">
      <w:pPr>
        <w:jc w:val="both"/>
        <w:rPr>
          <w:rFonts w:ascii="Arial Narrow" w:hAnsi="Arial Narrow" w:cs="Arial"/>
          <w:lang w:val="es-ES" w:eastAsia="es-ES"/>
        </w:rPr>
      </w:pPr>
    </w:p>
    <w:p w14:paraId="17339F5A" w14:textId="77777777" w:rsidR="007968EC" w:rsidRPr="002C0D19" w:rsidRDefault="007968EC" w:rsidP="00DA7472">
      <w:pPr>
        <w:numPr>
          <w:ilvl w:val="0"/>
          <w:numId w:val="118"/>
        </w:numPr>
        <w:tabs>
          <w:tab w:val="num" w:pos="884"/>
        </w:tabs>
        <w:ind w:left="317"/>
        <w:jc w:val="both"/>
        <w:rPr>
          <w:rFonts w:ascii="Arial Narrow" w:hAnsi="Arial Narrow" w:cs="Arial"/>
          <w:lang w:val="es-ES" w:eastAsia="es-ES"/>
        </w:rPr>
      </w:pPr>
      <w:r w:rsidRPr="002C0D19">
        <w:rPr>
          <w:rFonts w:ascii="Arial Narrow" w:hAnsi="Arial Narrow" w:cs="Arial"/>
          <w:lang w:val="es-ES" w:eastAsia="es-ES"/>
        </w:rPr>
        <w:t xml:space="preserve">Autorización de la que tratan el numeral 4 del artículo 2.1.16. y el numeral 4 del artículo 2.1.19. del Reglamento de Funcionamiento de la Cámara, según el caso.  </w:t>
      </w:r>
    </w:p>
    <w:p w14:paraId="3274EAC8" w14:textId="77777777" w:rsidR="007968EC" w:rsidRPr="002C0D19" w:rsidRDefault="007968EC" w:rsidP="007968EC">
      <w:pPr>
        <w:tabs>
          <w:tab w:val="num" w:pos="360"/>
        </w:tabs>
        <w:ind w:left="360" w:hanging="360"/>
        <w:jc w:val="both"/>
        <w:rPr>
          <w:rFonts w:ascii="Arial Narrow" w:hAnsi="Arial Narrow" w:cs="Arial"/>
          <w:lang w:val="es-ES" w:eastAsia="es-ES"/>
        </w:rPr>
      </w:pPr>
    </w:p>
    <w:p w14:paraId="4A5FBF24" w14:textId="77777777" w:rsidR="007968EC" w:rsidRPr="002C0D19" w:rsidRDefault="007968EC" w:rsidP="00DA7472">
      <w:pPr>
        <w:numPr>
          <w:ilvl w:val="0"/>
          <w:numId w:val="118"/>
        </w:numPr>
        <w:tabs>
          <w:tab w:val="num" w:pos="884"/>
        </w:tabs>
        <w:ind w:left="317"/>
        <w:jc w:val="both"/>
        <w:rPr>
          <w:rFonts w:ascii="Arial Narrow" w:hAnsi="Arial Narrow" w:cs="Arial"/>
          <w:lang w:val="es-ES" w:eastAsia="es-ES"/>
        </w:rPr>
      </w:pPr>
      <w:r w:rsidRPr="002C0D19">
        <w:rPr>
          <w:rFonts w:ascii="Arial Narrow" w:hAnsi="Arial Narrow" w:cs="Arial"/>
          <w:lang w:val="es-ES" w:eastAsia="es-ES"/>
        </w:rPr>
        <w:t>Listado de firmas autorizadas, según formato establecido en el Anexo 6.</w:t>
      </w:r>
    </w:p>
    <w:p w14:paraId="5634A2AA" w14:textId="77777777" w:rsidR="007968EC" w:rsidRPr="002C0D19" w:rsidRDefault="007968EC" w:rsidP="007968EC">
      <w:pPr>
        <w:tabs>
          <w:tab w:val="num" w:pos="360"/>
        </w:tabs>
        <w:ind w:left="360" w:hanging="360"/>
        <w:jc w:val="both"/>
        <w:rPr>
          <w:rFonts w:ascii="Arial Narrow" w:hAnsi="Arial Narrow" w:cs="Arial"/>
          <w:lang w:val="es-ES" w:eastAsia="es-ES"/>
        </w:rPr>
      </w:pPr>
    </w:p>
    <w:p w14:paraId="3C5144C0" w14:textId="77777777" w:rsidR="007968EC" w:rsidRPr="002C0D19" w:rsidRDefault="007968EC" w:rsidP="00DA7472">
      <w:pPr>
        <w:numPr>
          <w:ilvl w:val="0"/>
          <w:numId w:val="118"/>
        </w:numPr>
        <w:tabs>
          <w:tab w:val="num" w:pos="884"/>
        </w:tabs>
        <w:ind w:left="317"/>
        <w:jc w:val="both"/>
        <w:rPr>
          <w:rFonts w:ascii="Arial Narrow" w:hAnsi="Arial Narrow" w:cs="Arial"/>
          <w:lang w:val="es-ES" w:eastAsia="es-ES"/>
        </w:rPr>
      </w:pPr>
      <w:r w:rsidRPr="002C0D19">
        <w:rPr>
          <w:rFonts w:ascii="Arial Narrow" w:hAnsi="Arial Narrow" w:cs="Arial"/>
          <w:lang w:val="es-ES" w:eastAsia="es-ES"/>
        </w:rPr>
        <w:t xml:space="preserve">Copia certificada por el representante legal de la entidad del informe más reciente sobre el cumplimiento del Sistema de Prevención y Control de Lavado de Activos y Financiación del Terrorismo, presentado por el revisor fiscal a la Junta Directiva.  </w:t>
      </w:r>
    </w:p>
    <w:p w14:paraId="14C7504C" w14:textId="77777777" w:rsidR="007968EC" w:rsidRPr="002C0D19" w:rsidRDefault="007968EC" w:rsidP="007968EC">
      <w:pPr>
        <w:tabs>
          <w:tab w:val="num" w:pos="360"/>
        </w:tabs>
        <w:ind w:left="360" w:hanging="360"/>
        <w:jc w:val="both"/>
        <w:rPr>
          <w:rFonts w:ascii="Arial Narrow" w:hAnsi="Arial Narrow" w:cs="Arial"/>
          <w:lang w:val="es-ES" w:eastAsia="es-ES"/>
        </w:rPr>
      </w:pPr>
    </w:p>
    <w:p w14:paraId="3D601F38" w14:textId="77777777" w:rsidR="007968EC" w:rsidRPr="002C0D19" w:rsidRDefault="007968EC" w:rsidP="00DA7472">
      <w:pPr>
        <w:numPr>
          <w:ilvl w:val="0"/>
          <w:numId w:val="118"/>
        </w:numPr>
        <w:tabs>
          <w:tab w:val="num" w:pos="884"/>
        </w:tabs>
        <w:ind w:left="317"/>
        <w:jc w:val="both"/>
        <w:rPr>
          <w:rFonts w:ascii="Arial Narrow" w:hAnsi="Arial Narrow" w:cs="Arial"/>
          <w:lang w:val="es-ES" w:eastAsia="es-ES"/>
        </w:rPr>
      </w:pPr>
      <w:r w:rsidRPr="002C0D19">
        <w:rPr>
          <w:rFonts w:ascii="Arial Narrow" w:hAnsi="Arial Narrow" w:cs="Arial"/>
          <w:lang w:val="es-ES" w:eastAsia="es-ES"/>
        </w:rPr>
        <w:t xml:space="preserve">Declaración en la cual conste que la entidad cumple con los requisitos tecnológicos, según modelo establecido en el Anexo 34.  </w:t>
      </w:r>
    </w:p>
    <w:p w14:paraId="2B9A763F" w14:textId="77777777" w:rsidR="007968EC" w:rsidRPr="002C0D19" w:rsidRDefault="007968EC" w:rsidP="007968EC">
      <w:pPr>
        <w:tabs>
          <w:tab w:val="num" w:pos="360"/>
        </w:tabs>
        <w:ind w:left="360" w:hanging="360"/>
        <w:jc w:val="both"/>
        <w:rPr>
          <w:rFonts w:ascii="Arial Narrow" w:hAnsi="Arial Narrow" w:cs="Arial"/>
          <w:lang w:val="es-ES" w:eastAsia="es-ES"/>
        </w:rPr>
      </w:pPr>
    </w:p>
    <w:p w14:paraId="5FB70CA0" w14:textId="77777777" w:rsidR="007968EC" w:rsidRPr="002C0D19" w:rsidRDefault="007968EC" w:rsidP="00DA7472">
      <w:pPr>
        <w:numPr>
          <w:ilvl w:val="0"/>
          <w:numId w:val="118"/>
        </w:numPr>
        <w:tabs>
          <w:tab w:val="num" w:pos="884"/>
        </w:tabs>
        <w:ind w:left="317"/>
        <w:jc w:val="both"/>
        <w:rPr>
          <w:rFonts w:ascii="Arial Narrow" w:hAnsi="Arial Narrow" w:cs="Arial"/>
          <w:lang w:val="es-ES" w:eastAsia="es-ES"/>
        </w:rPr>
      </w:pPr>
      <w:r w:rsidRPr="002C0D19">
        <w:rPr>
          <w:rFonts w:ascii="Arial Narrow" w:hAnsi="Arial Narrow" w:cs="Arial"/>
          <w:lang w:val="es-ES" w:eastAsia="es-ES"/>
        </w:rPr>
        <w:t xml:space="preserve">Formato de solicitud de creación y modificación del usuario administrador, según formato establecido en el Anexo 10. </w:t>
      </w:r>
    </w:p>
    <w:p w14:paraId="0C6C49BE" w14:textId="77777777" w:rsidR="007968EC" w:rsidRPr="002C0D19" w:rsidRDefault="007968EC" w:rsidP="007968EC">
      <w:pPr>
        <w:tabs>
          <w:tab w:val="num" w:pos="360"/>
        </w:tabs>
        <w:ind w:left="360" w:hanging="360"/>
        <w:jc w:val="both"/>
        <w:rPr>
          <w:rFonts w:ascii="Arial Narrow" w:hAnsi="Arial Narrow" w:cs="Arial"/>
          <w:lang w:val="es-ES" w:eastAsia="es-ES"/>
        </w:rPr>
      </w:pPr>
    </w:p>
    <w:p w14:paraId="3155BBEA" w14:textId="77777777" w:rsidR="007968EC" w:rsidRPr="002C0D19" w:rsidRDefault="007968EC" w:rsidP="00DA7472">
      <w:pPr>
        <w:numPr>
          <w:ilvl w:val="0"/>
          <w:numId w:val="118"/>
        </w:numPr>
        <w:tabs>
          <w:tab w:val="num" w:pos="884"/>
        </w:tabs>
        <w:ind w:left="317"/>
        <w:jc w:val="both"/>
        <w:rPr>
          <w:rFonts w:ascii="Arial Narrow" w:hAnsi="Arial Narrow" w:cs="Arial"/>
          <w:lang w:val="es-ES" w:eastAsia="es-ES"/>
        </w:rPr>
      </w:pPr>
      <w:r w:rsidRPr="002C0D19">
        <w:rPr>
          <w:rFonts w:ascii="Arial Narrow" w:hAnsi="Arial Narrow" w:cs="Arial"/>
          <w:lang w:val="es-ES" w:eastAsia="es-ES"/>
        </w:rPr>
        <w:t>Listado de accionistas que cuenten con más del cinco por ciento (5%) de las acciones en circulación de la sociedad, ya sea directa o indirectamente, a través de personas naturales o jurídicas con las cuales se conforme un mismo beneficiario real. En caso de que el accionista sea persona jurídica, se deberá hacer entrega de la relación de accionistas de dicho accionista en estos mismos términos, según formato establecido en el Anexo 12.</w:t>
      </w:r>
    </w:p>
    <w:p w14:paraId="4116DB32" w14:textId="77777777" w:rsidR="007968EC" w:rsidRPr="002C0D19" w:rsidRDefault="007968EC" w:rsidP="007968EC">
      <w:pPr>
        <w:tabs>
          <w:tab w:val="num" w:pos="360"/>
        </w:tabs>
        <w:ind w:left="360" w:hanging="360"/>
        <w:jc w:val="both"/>
        <w:rPr>
          <w:rFonts w:ascii="Arial Narrow" w:hAnsi="Arial Narrow" w:cs="Arial"/>
          <w:lang w:val="es-ES" w:eastAsia="es-ES"/>
        </w:rPr>
      </w:pPr>
    </w:p>
    <w:p w14:paraId="24E3E92E" w14:textId="77777777" w:rsidR="007968EC" w:rsidRPr="002C0D19" w:rsidRDefault="007968EC" w:rsidP="00DA7472">
      <w:pPr>
        <w:numPr>
          <w:ilvl w:val="0"/>
          <w:numId w:val="118"/>
        </w:numPr>
        <w:tabs>
          <w:tab w:val="num" w:pos="884"/>
        </w:tabs>
        <w:ind w:left="317"/>
        <w:jc w:val="both"/>
        <w:rPr>
          <w:rFonts w:ascii="Arial Narrow" w:hAnsi="Arial Narrow" w:cs="Arial"/>
          <w:lang w:val="es-ES" w:eastAsia="es-ES"/>
        </w:rPr>
      </w:pPr>
      <w:r w:rsidRPr="002C0D19">
        <w:rPr>
          <w:rFonts w:ascii="Arial Narrow" w:hAnsi="Arial Narrow" w:cs="Arial"/>
          <w:lang w:val="es-ES" w:eastAsia="es-ES"/>
        </w:rPr>
        <w:t>Lista de Chequeo completamente diligenciada, según formato establecido en el Anexo 13.4.</w:t>
      </w:r>
    </w:p>
    <w:p w14:paraId="56753F49" w14:textId="77777777" w:rsidR="007968EC" w:rsidRPr="002C0D19" w:rsidRDefault="007968EC" w:rsidP="007968EC">
      <w:pPr>
        <w:ind w:left="-43"/>
        <w:jc w:val="both"/>
        <w:rPr>
          <w:rFonts w:ascii="Arial Narrow" w:hAnsi="Arial Narrow" w:cs="Arial"/>
          <w:lang w:val="es-ES" w:eastAsia="es-ES"/>
        </w:rPr>
      </w:pPr>
    </w:p>
    <w:p w14:paraId="6B09A87C" w14:textId="77777777" w:rsidR="007968EC" w:rsidRPr="002C0D19" w:rsidRDefault="007968EC" w:rsidP="00DA7472">
      <w:pPr>
        <w:numPr>
          <w:ilvl w:val="0"/>
          <w:numId w:val="118"/>
        </w:numPr>
        <w:tabs>
          <w:tab w:val="num" w:pos="884"/>
        </w:tabs>
        <w:ind w:left="317"/>
        <w:jc w:val="both"/>
        <w:rPr>
          <w:rFonts w:ascii="Arial Narrow" w:hAnsi="Arial Narrow" w:cs="Arial"/>
          <w:lang w:val="es-ES" w:eastAsia="es-ES"/>
        </w:rPr>
      </w:pPr>
      <w:r w:rsidRPr="002C0D19">
        <w:rPr>
          <w:rFonts w:ascii="Arial Narrow" w:hAnsi="Arial Narrow" w:cs="Arial"/>
          <w:lang w:val="es-ES" w:eastAsia="es-ES"/>
        </w:rPr>
        <w:lastRenderedPageBreak/>
        <w:t>Copia del acto administrativo en el cual la Superintendencia Financiera de Colombia los autoriza a ejercer la actividad de custodia de valores.</w:t>
      </w:r>
    </w:p>
    <w:p w14:paraId="6C919C7F" w14:textId="77777777" w:rsidR="007968EC" w:rsidRPr="002C0D19" w:rsidRDefault="007968EC" w:rsidP="007968EC">
      <w:pPr>
        <w:jc w:val="both"/>
        <w:rPr>
          <w:rFonts w:ascii="Arial Narrow" w:hAnsi="Arial Narrow" w:cs="Arial"/>
          <w:lang w:val="es-ES" w:eastAsia="es-ES"/>
        </w:rPr>
      </w:pPr>
    </w:p>
    <w:p w14:paraId="292DB34B" w14:textId="77777777" w:rsidR="007968EC" w:rsidRPr="002C0D19" w:rsidRDefault="007968EC" w:rsidP="007968EC">
      <w:pPr>
        <w:jc w:val="both"/>
        <w:rPr>
          <w:rFonts w:ascii="Arial Narrow" w:hAnsi="Arial Narrow" w:cs="Arial"/>
        </w:rPr>
      </w:pPr>
      <w:r w:rsidRPr="002C0D19">
        <w:rPr>
          <w:rFonts w:ascii="Arial Narrow" w:hAnsi="Arial Narrow" w:cs="Arial"/>
          <w:b/>
        </w:rPr>
        <w:t>Parágrafo Primero.</w:t>
      </w:r>
      <w:r w:rsidRPr="002C0D19">
        <w:rPr>
          <w:rFonts w:ascii="Arial Narrow" w:hAnsi="Arial Narrow" w:cs="Arial"/>
        </w:rPr>
        <w:t xml:space="preserve"> No obstante se alleguen todos los documentos señalados en el presente artículo, la Junta Directiva o el Gerente de la Cámara podrán requerir toda la información, documentación o acreditaciones adicionales que consideren necesarias para el estudio de la solicitud, así como la acreditación de los requisitos exigidos para su participación en la Compensación y Liquidación de un Segmento. Igualmente, la Cámara estará facultada para verificar el cumplimiento de los requisitos en cualquier momento.</w:t>
      </w:r>
    </w:p>
    <w:p w14:paraId="59440129" w14:textId="77777777" w:rsidR="007968EC" w:rsidRPr="002C0D19" w:rsidRDefault="007968EC" w:rsidP="007968EC">
      <w:pPr>
        <w:rPr>
          <w:rFonts w:ascii="Arial Narrow" w:hAnsi="Arial Narrow" w:cs="Arial"/>
          <w:b/>
        </w:rPr>
      </w:pPr>
    </w:p>
    <w:p w14:paraId="20ED7596" w14:textId="77777777" w:rsidR="007968EC" w:rsidRPr="002C0D19" w:rsidRDefault="007968EC" w:rsidP="007968EC">
      <w:pPr>
        <w:jc w:val="both"/>
        <w:rPr>
          <w:rFonts w:ascii="Arial Narrow" w:hAnsi="Arial Narrow" w:cs="Arial"/>
        </w:rPr>
      </w:pPr>
      <w:r w:rsidRPr="002C0D19">
        <w:rPr>
          <w:rFonts w:ascii="Arial Narrow" w:hAnsi="Arial Narrow" w:cs="Arial"/>
        </w:rPr>
        <w:t>En el evento en que con la solicitud de aprobación, la entidad interesada en adquirir la condición de Agente no allegue la documentación a que se refiere el presente artículo de manera completa, el Gerente de la Cámara o quien este designe podrá presentar a consideración de la Junta Directiva la respectiva solicitud de aprobación, caso en el cual, la Junta Directiva de encontrarla procedente, podrá aprobar la admisión del Agente sujeta a la entrega de los documentos faltantes.</w:t>
      </w:r>
    </w:p>
    <w:p w14:paraId="50C4C05A" w14:textId="77777777" w:rsidR="007968EC" w:rsidRPr="002C0D19" w:rsidRDefault="007968EC" w:rsidP="007968EC">
      <w:pPr>
        <w:contextualSpacing/>
        <w:jc w:val="both"/>
        <w:rPr>
          <w:rFonts w:ascii="Arial Narrow" w:hAnsi="Arial Narrow" w:cs="Arial"/>
          <w:lang w:val="es-ES" w:eastAsia="es-ES"/>
        </w:rPr>
      </w:pPr>
    </w:p>
    <w:p w14:paraId="271413C4" w14:textId="77777777" w:rsidR="007968EC" w:rsidRPr="002C0D19" w:rsidRDefault="007968EC" w:rsidP="007968EC">
      <w:pPr>
        <w:jc w:val="both"/>
        <w:rPr>
          <w:rFonts w:ascii="Arial Narrow" w:hAnsi="Arial Narrow" w:cs="Arial"/>
        </w:rPr>
      </w:pPr>
      <w:r w:rsidRPr="002C0D19">
        <w:rPr>
          <w:rFonts w:ascii="Arial Narrow" w:hAnsi="Arial Narrow" w:cs="Arial"/>
          <w:b/>
        </w:rPr>
        <w:t xml:space="preserve">Parágrafo Segundo. </w:t>
      </w:r>
      <w:r w:rsidRPr="002C0D19">
        <w:rPr>
          <w:rFonts w:ascii="Arial Narrow" w:hAnsi="Arial Narrow" w:cs="Arial"/>
        </w:rPr>
        <w:t xml:space="preserve">La entidad interesada en adquirir la condición de Agente Custodio y Agente de Pago simultáneamente, deberá indicarlo en la Carta de Solicitud de aprobación Anexo 16 y, en caso de aprobación por la Cámara, deberá suscribir el convenio respectivo para actuar como Agente Custodio y Agente de Pago, simultáneamente. Si se trata de Agentes que ya han sido admitidos en la condición de Agente Custodio o de Agente de Pagos podrán solicitar su admisión en la condición que no estén autorizados y podrán optar por suscribir el respectivo convenio Anexos 22.1 o 22.2, según el caso, o suscribir el convenio para actuar como Agente Custodio y Agente de Pago, simultáneamente Anexo 22.3. </w:t>
      </w:r>
    </w:p>
    <w:p w14:paraId="4846FC3A" w14:textId="77777777" w:rsidR="007968EC" w:rsidRPr="002C0D19" w:rsidRDefault="007968EC" w:rsidP="007968EC">
      <w:pPr>
        <w:jc w:val="both"/>
        <w:rPr>
          <w:rFonts w:ascii="Arial Narrow" w:hAnsi="Arial Narrow" w:cs="Arial"/>
        </w:rPr>
      </w:pPr>
    </w:p>
    <w:p w14:paraId="6647157C" w14:textId="77777777" w:rsidR="007968EC" w:rsidRPr="002C0D19" w:rsidRDefault="007968EC" w:rsidP="007968EC">
      <w:pPr>
        <w:tabs>
          <w:tab w:val="num" w:pos="884"/>
        </w:tabs>
        <w:jc w:val="both"/>
        <w:rPr>
          <w:rFonts w:ascii="Arial Narrow" w:hAnsi="Arial Narrow" w:cs="Arial"/>
          <w:color w:val="000000" w:themeColor="text1"/>
          <w:lang w:val="es-ES" w:eastAsia="es-ES"/>
        </w:rPr>
      </w:pPr>
      <w:r w:rsidRPr="002C0D19">
        <w:rPr>
          <w:rFonts w:ascii="Arial Narrow" w:hAnsi="Arial Narrow" w:cs="Arial"/>
        </w:rPr>
        <w:t>Los Agentes que se encuentren aprobados en ambas condiciones y que tengan suscritos los convenios a que se refieren los Anexos 22.1 y 22.2, no requerirán suscribir el Anexo 22.3.</w:t>
      </w:r>
    </w:p>
    <w:p w14:paraId="50101CC6" w14:textId="77777777" w:rsidR="007968EC" w:rsidRPr="002C0D19" w:rsidRDefault="007968EC" w:rsidP="007968EC">
      <w:pPr>
        <w:jc w:val="both"/>
        <w:rPr>
          <w:rFonts w:ascii="Arial Narrow" w:hAnsi="Arial Narrow" w:cs="Arial"/>
          <w:color w:val="000000" w:themeColor="text1"/>
          <w:lang w:eastAsia="es-CO"/>
        </w:rPr>
      </w:pPr>
    </w:p>
    <w:p w14:paraId="152CB2E5" w14:textId="77777777" w:rsidR="007968EC" w:rsidRPr="00DE2FA7" w:rsidRDefault="007968EC" w:rsidP="007968EC">
      <w:pPr>
        <w:pStyle w:val="ARTICULO0"/>
      </w:pPr>
      <w:bookmarkStart w:id="592" w:name="_Toc31715865"/>
      <w:bookmarkStart w:id="593" w:name="_Toc472592054"/>
      <w:bookmarkStart w:id="594" w:name="_Toc472593073"/>
      <w:bookmarkStart w:id="595" w:name="_Toc479056859"/>
      <w:bookmarkStart w:id="596" w:name="_Toc470775361"/>
      <w:bookmarkStart w:id="597" w:name="_Toc470779646"/>
      <w:bookmarkStart w:id="598" w:name="_Toc470780263"/>
      <w:bookmarkStart w:id="599" w:name="_Toc470780776"/>
      <w:bookmarkStart w:id="600" w:name="_Toc470784337"/>
      <w:bookmarkStart w:id="601" w:name="_Toc470784874"/>
      <w:bookmarkStart w:id="602" w:name="_Toc470786897"/>
      <w:bookmarkStart w:id="603" w:name="_Toc470791250"/>
      <w:bookmarkStart w:id="604" w:name="_Toc490066154"/>
      <w:r w:rsidRPr="00DE2FA7">
        <w:t>Artículo 1.2.2.2. Aprobación del Agente.</w:t>
      </w:r>
      <w:bookmarkEnd w:id="592"/>
      <w:r w:rsidRPr="00DE2FA7">
        <w:t xml:space="preserve"> </w:t>
      </w:r>
    </w:p>
    <w:p w14:paraId="6ED7C24C" w14:textId="77777777" w:rsidR="007968EC" w:rsidRPr="00DE2FA7" w:rsidRDefault="007968EC" w:rsidP="007968EC">
      <w:pPr>
        <w:jc w:val="both"/>
        <w:rPr>
          <w:rFonts w:ascii="Arial Narrow" w:hAnsi="Arial Narrow" w:cs="Arial"/>
          <w:color w:val="000000" w:themeColor="text1"/>
          <w:lang w:eastAsia="es-ES"/>
        </w:rPr>
      </w:pPr>
    </w:p>
    <w:p w14:paraId="6645C5E8" w14:textId="77777777" w:rsidR="007968EC" w:rsidRPr="002C0D19" w:rsidRDefault="007968EC" w:rsidP="007968EC">
      <w:pPr>
        <w:pStyle w:val="ANTECEDENTES"/>
      </w:pPr>
      <w:r w:rsidRPr="002C0D19">
        <w:t>(Este artículo fue adicionado mediante Circular 14 del 8 de agosto de 2017, publicada en el Boletín Normativo No. 015 del 8 de agosto de 2017. Rige a partir del 9 de agosto de 2017.)</w:t>
      </w:r>
    </w:p>
    <w:p w14:paraId="1DC64F7E" w14:textId="77777777" w:rsidR="007968EC" w:rsidRPr="002C0D19" w:rsidRDefault="007968EC" w:rsidP="007968EC">
      <w:pPr>
        <w:jc w:val="both"/>
        <w:rPr>
          <w:rFonts w:ascii="Arial Narrow" w:hAnsi="Arial Narrow" w:cs="Arial"/>
        </w:rPr>
      </w:pPr>
    </w:p>
    <w:p w14:paraId="5BE45210"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lang w:val="es-ES" w:eastAsia="es-ES"/>
        </w:rPr>
        <w:t xml:space="preserve">Una vez presentada la solicitud de aprobación como Agente y sus anexos, el Gerente de la Cámara o el funcionario a quien éste designe los verificará y de encontrar conforme la solicitud, presentará la entidad solicitante para aprobación a la Junta Directiva. Aprobada la solicitud, la Cámara remitirá a la entidad solicitante una Oferta de Servicios según la modalidad de la que se trate, para su aceptación mediante Orden de Compra de Servicios por parte de la entidad e indicará el(los) Segmento(s) en que podrá participar. </w:t>
      </w:r>
    </w:p>
    <w:p w14:paraId="612D1FFA" w14:textId="77777777" w:rsidR="007968EC" w:rsidRPr="002C0D19" w:rsidRDefault="007968EC" w:rsidP="007968EC">
      <w:pPr>
        <w:jc w:val="both"/>
        <w:rPr>
          <w:rFonts w:ascii="Arial Narrow" w:hAnsi="Arial Narrow" w:cs="Arial"/>
          <w:lang w:val="es-ES" w:eastAsia="es-ES"/>
        </w:rPr>
      </w:pPr>
    </w:p>
    <w:p w14:paraId="1B30B6CE"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lang w:val="es-ES" w:eastAsia="es-ES"/>
        </w:rPr>
        <w:t>En caso de rechazo de la solicitud, la Cámara se lo comunicará tan pronto como sea posible, sin exceder, en todo caso, de diez (10) días hábiles contados a partir de la determinación tomada por la Junta Directiva.</w:t>
      </w:r>
      <w:r w:rsidRPr="002C0D19">
        <w:rPr>
          <w:rFonts w:ascii="Arial Narrow" w:hAnsi="Arial Narrow" w:cs="Arial"/>
          <w:b/>
          <w:lang w:val="es-ES" w:eastAsia="es-ES"/>
        </w:rPr>
        <w:t xml:space="preserve"> </w:t>
      </w:r>
      <w:r w:rsidRPr="002C0D19">
        <w:rPr>
          <w:rFonts w:ascii="Arial Narrow" w:hAnsi="Arial Narrow" w:cs="Arial"/>
          <w:lang w:val="es-ES" w:eastAsia="es-ES"/>
        </w:rPr>
        <w:t xml:space="preserve">En </w:t>
      </w:r>
      <w:proofErr w:type="gramStart"/>
      <w:r w:rsidRPr="002C0D19">
        <w:rPr>
          <w:rFonts w:ascii="Arial Narrow" w:hAnsi="Arial Narrow" w:cs="Arial"/>
          <w:lang w:val="es-ES" w:eastAsia="es-ES"/>
        </w:rPr>
        <w:t>éste</w:t>
      </w:r>
      <w:proofErr w:type="gramEnd"/>
      <w:r w:rsidRPr="002C0D19">
        <w:rPr>
          <w:rFonts w:ascii="Arial Narrow" w:hAnsi="Arial Narrow" w:cs="Arial"/>
          <w:lang w:val="es-ES" w:eastAsia="es-ES"/>
        </w:rPr>
        <w:t xml:space="preserve"> evento, la entidad podrá solicitar su reconsideración dentro de los cinco (5) días hábiles siguientes a la notificación de la decisión, expresando las razones en que fundamenta su solicitud. Si la solicitud resulta rechazada en esta segunda oportunidad, la entidad no podrá solicitar nuevamente la aprobación hasta cuando demuestre haber subsanado los hechos que fundamentaron la decisión de rechazo de la solicitud.  </w:t>
      </w:r>
    </w:p>
    <w:p w14:paraId="36E1AF6A" w14:textId="77777777" w:rsidR="007968EC" w:rsidRPr="002C0D19" w:rsidRDefault="007968EC" w:rsidP="007968EC">
      <w:pPr>
        <w:jc w:val="both"/>
        <w:rPr>
          <w:rFonts w:ascii="Arial Narrow" w:hAnsi="Arial Narrow" w:cs="Arial"/>
          <w:lang w:val="es-ES" w:eastAsia="es-ES"/>
        </w:rPr>
      </w:pPr>
    </w:p>
    <w:p w14:paraId="0B13404A"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lang w:val="es-ES" w:eastAsia="es-ES"/>
        </w:rPr>
        <w:t>El cambio de modalidad de participación de un Agente deberá ser aprobado por la Junta Directiva.</w:t>
      </w:r>
    </w:p>
    <w:p w14:paraId="7C9614FF" w14:textId="77777777" w:rsidR="007968EC" w:rsidRPr="002C0D19" w:rsidRDefault="007968EC" w:rsidP="007968EC">
      <w:pPr>
        <w:jc w:val="both"/>
        <w:rPr>
          <w:rFonts w:ascii="Arial Narrow" w:hAnsi="Arial Narrow" w:cs="Arial"/>
          <w:lang w:val="es-ES" w:eastAsia="es-ES"/>
        </w:rPr>
      </w:pPr>
    </w:p>
    <w:p w14:paraId="24B06ABB" w14:textId="77777777" w:rsidR="007968EC" w:rsidRPr="002C0D19" w:rsidRDefault="007968EC" w:rsidP="007968EC">
      <w:pPr>
        <w:jc w:val="both"/>
        <w:rPr>
          <w:rFonts w:ascii="Arial Narrow" w:hAnsi="Arial Narrow" w:cs="Arial"/>
        </w:rPr>
      </w:pPr>
      <w:r w:rsidRPr="002C0D19">
        <w:rPr>
          <w:rFonts w:ascii="Arial Narrow" w:hAnsi="Arial Narrow" w:cs="Arial"/>
          <w:lang w:val="es-ES" w:eastAsia="es-ES"/>
        </w:rPr>
        <w:t>Los Agentes podrán actuar como Agente Custodio o Agente de Pago o simultáneamente como Agente Custodio y de Pago respecto de los Segmentos en los cuales se apruebe su participación en la Compensación y Liquidación. El Agente Custodio o el Agente de Pago o el Agente que simultáneamente sea Agente Custodio y de Pago que aspire a participar en la misma modalidad en la que participa en uno o unos nuevos Segmentos de la Cámara, deberá acreditar ante el Gerente de la Cámara el cumplimiento de los requisitos de participación para el(los) respectivo(s) Segmento(s).</w:t>
      </w:r>
      <w:r w:rsidRPr="002C0D19">
        <w:rPr>
          <w:rFonts w:ascii="Arial Narrow" w:hAnsi="Arial Narrow" w:cs="Arial"/>
        </w:rPr>
        <w:t xml:space="preserve"> </w:t>
      </w:r>
    </w:p>
    <w:p w14:paraId="1EFB5796" w14:textId="77777777" w:rsidR="007968EC" w:rsidRPr="002C0D19" w:rsidRDefault="007968EC" w:rsidP="007968EC">
      <w:pPr>
        <w:jc w:val="both"/>
        <w:rPr>
          <w:rFonts w:ascii="Arial Narrow" w:hAnsi="Arial Narrow" w:cs="Arial"/>
        </w:rPr>
      </w:pPr>
    </w:p>
    <w:p w14:paraId="2B5BCC31" w14:textId="77777777" w:rsidR="007968EC" w:rsidRDefault="007968EC" w:rsidP="007968EC">
      <w:pPr>
        <w:pStyle w:val="ARTICULO0"/>
      </w:pPr>
      <w:bookmarkStart w:id="605" w:name="_Toc31715866"/>
      <w:r w:rsidRPr="002C0D19">
        <w:t>Artículo 1.2.2.3. Notificación de aprobación, afiliación y creación del Agente en el Sistema.</w:t>
      </w:r>
      <w:bookmarkEnd w:id="593"/>
      <w:bookmarkEnd w:id="594"/>
      <w:bookmarkEnd w:id="595"/>
      <w:bookmarkEnd w:id="605"/>
      <w:r w:rsidRPr="002C0D19">
        <w:t xml:space="preserve"> </w:t>
      </w:r>
    </w:p>
    <w:p w14:paraId="7BB53E34" w14:textId="77777777" w:rsidR="007968EC" w:rsidRPr="00DE2FA7" w:rsidRDefault="007968EC" w:rsidP="007968EC">
      <w:pPr>
        <w:jc w:val="both"/>
        <w:rPr>
          <w:rFonts w:ascii="Arial Narrow" w:hAnsi="Arial Narrow" w:cs="Arial"/>
          <w:color w:val="000000" w:themeColor="text1"/>
          <w:lang w:eastAsia="es-ES"/>
        </w:rPr>
      </w:pPr>
    </w:p>
    <w:p w14:paraId="732038E3" w14:textId="77777777" w:rsidR="007968EC" w:rsidRPr="002C0D19" w:rsidRDefault="007968EC" w:rsidP="007968EC">
      <w:pPr>
        <w:pStyle w:val="ANTECEDENTES"/>
      </w:pPr>
      <w:r w:rsidRPr="002C0D19">
        <w:t xml:space="preserve">(Este artículo fue modificado mediante Circular 8 del 18 de junio de 2009, publicada en el Boletín Normativo No. 010 del 18 de junio de 2009, mediante Circular 10 del 18 de marzo de 2015, publicada en el Boletín Normativo No. 010 del 18 de marzo de 2015, </w:t>
      </w:r>
      <w:r w:rsidRPr="002C0D19">
        <w:rPr>
          <w:lang w:val="es-ES"/>
        </w:rPr>
        <w:t>mediante Circular 11 del 27 de marzo de 2015, publicada en el Boletín Normativo No. 012 del 27 de marzo de 2015, mediante Circular 14 del 4 de mayo de 2015, publicada en el Boletín Normativo No. 016 del 4 de mayo de 2015, mediante Circular 5 del 3 de febrero de 2016, publicada en el Boletín Normativo No. 005 del 3 de febrero de 2016,</w:t>
      </w:r>
      <w:r w:rsidRPr="002C0D19">
        <w:t xml:space="preserve"> renumerado mediante </w:t>
      </w:r>
      <w:r w:rsidRPr="002C0D19">
        <w:rPr>
          <w:lang w:val="es-ES"/>
        </w:rPr>
        <w:t xml:space="preserve">Circular 19 del 28 de diciembre de 2016, publicada en el Boletín Normativo No. 024 del 28 de diciembre de 2016 y mediante Circular 14 del 8 de agosto de 2017, publicada en el Boletín Normativo No. 015 del 8 de agosto de 2017. </w:t>
      </w:r>
      <w:r w:rsidRPr="002C0D19">
        <w:t>Rige a partir del 9 de agosto de 2017.</w:t>
      </w:r>
      <w:r w:rsidRPr="002C0D19">
        <w:rPr>
          <w:lang w:val="es-ES"/>
        </w:rPr>
        <w:t>)</w:t>
      </w:r>
      <w:bookmarkEnd w:id="596"/>
      <w:bookmarkEnd w:id="597"/>
      <w:bookmarkEnd w:id="598"/>
      <w:bookmarkEnd w:id="599"/>
      <w:bookmarkEnd w:id="600"/>
      <w:bookmarkEnd w:id="601"/>
      <w:bookmarkEnd w:id="602"/>
      <w:bookmarkEnd w:id="603"/>
      <w:bookmarkEnd w:id="604"/>
    </w:p>
    <w:p w14:paraId="3633612A" w14:textId="77777777" w:rsidR="007968EC" w:rsidRPr="002C0D19" w:rsidRDefault="007968EC" w:rsidP="007968EC">
      <w:pPr>
        <w:jc w:val="both"/>
        <w:rPr>
          <w:rFonts w:ascii="Arial Narrow" w:hAnsi="Arial Narrow" w:cs="Arial"/>
        </w:rPr>
      </w:pPr>
      <w:r w:rsidRPr="002C0D19">
        <w:rPr>
          <w:rFonts w:ascii="Arial Narrow" w:hAnsi="Arial Narrow" w:cs="Arial"/>
        </w:rPr>
        <w:t xml:space="preserve">  </w:t>
      </w:r>
    </w:p>
    <w:p w14:paraId="6C23561B" w14:textId="77777777" w:rsidR="007968EC" w:rsidRPr="002C0D19" w:rsidRDefault="007968EC" w:rsidP="007968EC">
      <w:pPr>
        <w:jc w:val="both"/>
        <w:rPr>
          <w:rFonts w:ascii="Arial Narrow" w:hAnsi="Arial Narrow" w:cs="Arial"/>
          <w:color w:val="000000" w:themeColor="text1"/>
          <w:lang w:eastAsia="es-ES"/>
        </w:rPr>
      </w:pPr>
      <w:bookmarkStart w:id="606" w:name="_Toc427232962"/>
      <w:bookmarkStart w:id="607" w:name="_Toc470775362"/>
      <w:bookmarkStart w:id="608" w:name="_Toc470779647"/>
      <w:bookmarkStart w:id="609" w:name="_Toc470780264"/>
      <w:bookmarkStart w:id="610" w:name="_Toc470780777"/>
      <w:bookmarkStart w:id="611" w:name="_Toc470784338"/>
      <w:bookmarkStart w:id="612" w:name="_Toc470784875"/>
      <w:bookmarkStart w:id="613" w:name="_Toc470786898"/>
      <w:bookmarkStart w:id="614" w:name="_Toc470791251"/>
      <w:bookmarkStart w:id="615" w:name="_Toc471831461"/>
      <w:bookmarkStart w:id="616" w:name="_Toc490066155"/>
      <w:r w:rsidRPr="002C0D19">
        <w:rPr>
          <w:rFonts w:ascii="Arial Narrow" w:hAnsi="Arial Narrow" w:cs="Arial"/>
          <w:color w:val="000000" w:themeColor="text1"/>
          <w:lang w:eastAsia="es-ES"/>
        </w:rPr>
        <w:t>Una vez el Agente ha sido aprobado y aceptado la Oferta de Servicios de la Cámara para actuar como Agente Custodio o Agente de Pagos según el caso en el sistema de compensación y liquidación de la Cámara, de acuerdo con lo establecido en Convenio con el Agente de Pago o Custodios establecidos en los Anexos 4 y 5 y aceptado mediante el modelo establecido en el Anexo 19, respectivamente, y una vez suscrito alguno de los Acuerdos establecidos en el Anexo 22, según la modalidad de Agente que corresponda, la Cámara procederá a crear al Agente en el Sistema de acuerdo con la información suministrada en el formato de solicitud de creación y modificación del usuario administrador.</w:t>
      </w:r>
      <w:bookmarkEnd w:id="606"/>
      <w:bookmarkEnd w:id="607"/>
      <w:bookmarkEnd w:id="608"/>
      <w:bookmarkEnd w:id="609"/>
      <w:bookmarkEnd w:id="610"/>
      <w:bookmarkEnd w:id="611"/>
      <w:bookmarkEnd w:id="612"/>
      <w:bookmarkEnd w:id="613"/>
      <w:bookmarkEnd w:id="614"/>
      <w:bookmarkEnd w:id="615"/>
      <w:bookmarkEnd w:id="616"/>
      <w:r w:rsidRPr="002C0D19">
        <w:rPr>
          <w:rFonts w:ascii="Arial Narrow" w:hAnsi="Arial Narrow" w:cs="Arial"/>
          <w:color w:val="000000" w:themeColor="text1"/>
          <w:lang w:eastAsia="es-ES"/>
        </w:rPr>
        <w:t xml:space="preserve"> </w:t>
      </w:r>
    </w:p>
    <w:p w14:paraId="22AB3F73" w14:textId="77777777" w:rsidR="007968EC" w:rsidRPr="002C0D19" w:rsidRDefault="007968EC" w:rsidP="007968EC">
      <w:pPr>
        <w:jc w:val="both"/>
        <w:rPr>
          <w:rFonts w:ascii="Arial Narrow" w:hAnsi="Arial Narrow" w:cs="Arial"/>
        </w:rPr>
      </w:pPr>
    </w:p>
    <w:p w14:paraId="1EADD926"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La creación del Agente en el Sistema se entiende efectuada a partir de la creación de su usuario administrador y es obligación del Agente tener en todo momento desde su creación al menos un usuario administrador habilitado en el Sistema.</w:t>
      </w:r>
    </w:p>
    <w:p w14:paraId="0E704D64" w14:textId="77777777" w:rsidR="007968EC" w:rsidRPr="002C0D19" w:rsidRDefault="007968EC" w:rsidP="007968EC">
      <w:pPr>
        <w:jc w:val="both"/>
        <w:rPr>
          <w:rFonts w:ascii="Arial Narrow" w:hAnsi="Arial Narrow" w:cs="Arial"/>
          <w:color w:val="000000" w:themeColor="text1"/>
          <w:lang w:eastAsia="es-ES"/>
        </w:rPr>
      </w:pPr>
    </w:p>
    <w:p w14:paraId="0555ACDB" w14:textId="77777777" w:rsidR="007968EC" w:rsidRDefault="007968EC" w:rsidP="007968EC">
      <w:pPr>
        <w:pStyle w:val="ARTICULO0"/>
      </w:pPr>
      <w:bookmarkStart w:id="617" w:name="_Toc31715867"/>
      <w:r w:rsidRPr="002C0D19">
        <w:t>Artículo 1.2.2.4. Participación de Agentes en la Compensación y Liquidación en un Segmento.</w:t>
      </w:r>
      <w:bookmarkEnd w:id="617"/>
      <w:r w:rsidRPr="002C0D19">
        <w:t xml:space="preserve"> </w:t>
      </w:r>
    </w:p>
    <w:p w14:paraId="42D4F186" w14:textId="77777777" w:rsidR="007968EC" w:rsidRPr="00DE2FA7" w:rsidRDefault="007968EC" w:rsidP="007968EC">
      <w:pPr>
        <w:jc w:val="both"/>
        <w:rPr>
          <w:rFonts w:ascii="Arial Narrow" w:hAnsi="Arial Narrow" w:cs="Arial"/>
          <w:color w:val="000000" w:themeColor="text1"/>
          <w:lang w:eastAsia="es-ES"/>
        </w:rPr>
      </w:pPr>
    </w:p>
    <w:p w14:paraId="7E4282B5" w14:textId="77777777" w:rsidR="007968EC" w:rsidRPr="002C0D19" w:rsidRDefault="007968EC" w:rsidP="007968EC">
      <w:pPr>
        <w:pStyle w:val="ANTECEDENTES"/>
        <w:rPr>
          <w:u w:val="single"/>
        </w:rPr>
      </w:pPr>
      <w:r w:rsidRPr="002C0D19">
        <w:t>(Este artículo fue adicionado mediante Circular 14 del 8 de agosto de 2017, publicada en el Boletín Normativo No. 015 del 8 de agosto de 2017. Rige a partir del 9 de agosto de 2017.)</w:t>
      </w:r>
    </w:p>
    <w:p w14:paraId="589D6292" w14:textId="77777777" w:rsidR="007968EC" w:rsidRPr="002C0D19" w:rsidRDefault="007968EC" w:rsidP="007968EC">
      <w:pPr>
        <w:jc w:val="both"/>
        <w:rPr>
          <w:rFonts w:ascii="Arial Narrow" w:hAnsi="Arial Narrow" w:cs="Arial"/>
        </w:rPr>
      </w:pPr>
    </w:p>
    <w:p w14:paraId="28DB6EF4"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La Cámara en adición a las reglas establecidas en el presente Título sobre participación de los Agentes en el Sistema, podrá establecer reglas en relación con el proceso de participación de los Agentes en la Compensación y Liquidación en un Segmento.</w:t>
      </w:r>
    </w:p>
    <w:p w14:paraId="053C6069" w14:textId="77777777" w:rsidR="007968EC" w:rsidRPr="002C0D19" w:rsidRDefault="007968EC" w:rsidP="007968EC">
      <w:pPr>
        <w:jc w:val="both"/>
        <w:rPr>
          <w:rFonts w:ascii="Arial Narrow" w:hAnsi="Arial Narrow" w:cs="Arial"/>
        </w:rPr>
      </w:pPr>
    </w:p>
    <w:p w14:paraId="784B407B" w14:textId="77777777" w:rsidR="007968EC" w:rsidRPr="002C0D19" w:rsidRDefault="007968EC" w:rsidP="007968EC">
      <w:pPr>
        <w:pStyle w:val="TTULO"/>
        <w:rPr>
          <w:lang w:val="es-ES"/>
        </w:rPr>
      </w:pPr>
      <w:bookmarkStart w:id="618" w:name="_Toc470775363"/>
      <w:bookmarkStart w:id="619" w:name="_Toc470779648"/>
      <w:bookmarkStart w:id="620" w:name="_Toc470780265"/>
      <w:bookmarkStart w:id="621" w:name="_Toc470780778"/>
      <w:bookmarkStart w:id="622" w:name="_Toc470784339"/>
      <w:bookmarkStart w:id="623" w:name="_Toc470784876"/>
      <w:bookmarkStart w:id="624" w:name="_Toc470786899"/>
      <w:bookmarkStart w:id="625" w:name="_Toc470791252"/>
      <w:bookmarkStart w:id="626" w:name="_Toc472592055"/>
      <w:bookmarkStart w:id="627" w:name="_Toc472593074"/>
      <w:bookmarkStart w:id="628" w:name="_Toc479056860"/>
      <w:bookmarkStart w:id="629" w:name="_Toc490066156"/>
      <w:bookmarkStart w:id="630" w:name="_Toc31715868"/>
      <w:r w:rsidRPr="002C0D19">
        <w:rPr>
          <w:lang w:val="es-ES"/>
        </w:rPr>
        <w:lastRenderedPageBreak/>
        <w:t>CAPÍTULO TERCERO</w:t>
      </w:r>
      <w:bookmarkEnd w:id="618"/>
      <w:bookmarkEnd w:id="619"/>
      <w:bookmarkEnd w:id="620"/>
      <w:bookmarkEnd w:id="621"/>
      <w:bookmarkEnd w:id="622"/>
      <w:bookmarkEnd w:id="623"/>
      <w:bookmarkEnd w:id="624"/>
      <w:bookmarkEnd w:id="625"/>
      <w:bookmarkEnd w:id="626"/>
      <w:bookmarkEnd w:id="627"/>
      <w:bookmarkEnd w:id="628"/>
      <w:bookmarkEnd w:id="629"/>
      <w:bookmarkEnd w:id="630"/>
    </w:p>
    <w:p w14:paraId="79F5B28E" w14:textId="77777777" w:rsidR="007968EC" w:rsidRPr="002C0D19" w:rsidRDefault="007968EC" w:rsidP="007968EC">
      <w:pPr>
        <w:pStyle w:val="TTULO"/>
        <w:rPr>
          <w:lang w:val="es-ES"/>
        </w:rPr>
      </w:pPr>
    </w:p>
    <w:p w14:paraId="61CFE5CC" w14:textId="77777777" w:rsidR="007968EC" w:rsidRPr="002C0D19" w:rsidRDefault="007968EC" w:rsidP="007968EC">
      <w:pPr>
        <w:pStyle w:val="TTULO"/>
        <w:rPr>
          <w:lang w:val="es-ES"/>
        </w:rPr>
      </w:pPr>
      <w:bookmarkStart w:id="631" w:name="_Toc470775364"/>
      <w:bookmarkStart w:id="632" w:name="_Toc470779649"/>
      <w:bookmarkStart w:id="633" w:name="_Toc470780266"/>
      <w:bookmarkStart w:id="634" w:name="_Toc470780779"/>
      <w:bookmarkStart w:id="635" w:name="_Toc470784340"/>
      <w:bookmarkStart w:id="636" w:name="_Toc470784877"/>
      <w:bookmarkStart w:id="637" w:name="_Toc470786900"/>
      <w:bookmarkStart w:id="638" w:name="_Toc470791253"/>
      <w:bookmarkStart w:id="639" w:name="_Toc472592056"/>
      <w:bookmarkStart w:id="640" w:name="_Toc472593075"/>
      <w:bookmarkStart w:id="641" w:name="_Toc479056861"/>
      <w:bookmarkStart w:id="642" w:name="_Toc490066157"/>
      <w:bookmarkStart w:id="643" w:name="_Toc31715869"/>
      <w:r w:rsidRPr="002C0D19">
        <w:rPr>
          <w:lang w:val="es-ES"/>
        </w:rPr>
        <w:t>REQUISITOS O CONDICIONES PARA EL ACCESO DE LAS DIFERENTES CLASES DE TERCEROS</w:t>
      </w:r>
      <w:bookmarkEnd w:id="631"/>
      <w:bookmarkEnd w:id="632"/>
      <w:bookmarkEnd w:id="633"/>
      <w:bookmarkEnd w:id="634"/>
      <w:bookmarkEnd w:id="635"/>
      <w:bookmarkEnd w:id="636"/>
      <w:bookmarkEnd w:id="637"/>
      <w:bookmarkEnd w:id="638"/>
      <w:bookmarkEnd w:id="639"/>
      <w:bookmarkEnd w:id="640"/>
      <w:bookmarkEnd w:id="641"/>
      <w:bookmarkEnd w:id="642"/>
      <w:bookmarkEnd w:id="643"/>
    </w:p>
    <w:p w14:paraId="7FAFB8D1" w14:textId="77777777" w:rsidR="007968EC" w:rsidRPr="002C0D19" w:rsidRDefault="007968EC" w:rsidP="007968EC">
      <w:pPr>
        <w:keepNext/>
        <w:jc w:val="both"/>
        <w:outlineLvl w:val="2"/>
        <w:rPr>
          <w:rFonts w:ascii="Arial Narrow" w:hAnsi="Arial Narrow" w:cs="Arial"/>
          <w:b/>
          <w:color w:val="000000" w:themeColor="text1"/>
          <w:u w:val="single"/>
          <w:lang w:eastAsia="es-ES"/>
        </w:rPr>
      </w:pPr>
      <w:bookmarkStart w:id="644" w:name="_Toc206134806"/>
    </w:p>
    <w:p w14:paraId="135237D8" w14:textId="77777777" w:rsidR="007968EC" w:rsidRDefault="007968EC" w:rsidP="007968EC">
      <w:pPr>
        <w:pStyle w:val="ARTICULO0"/>
      </w:pPr>
      <w:bookmarkStart w:id="645" w:name="_Toc472592057"/>
      <w:bookmarkStart w:id="646" w:name="_Toc472593076"/>
      <w:bookmarkStart w:id="647" w:name="_Toc479056862"/>
      <w:bookmarkStart w:id="648" w:name="_Toc31715870"/>
      <w:bookmarkStart w:id="649" w:name="_Toc470775365"/>
      <w:bookmarkStart w:id="650" w:name="_Toc470779650"/>
      <w:bookmarkStart w:id="651" w:name="_Toc470780267"/>
      <w:bookmarkStart w:id="652" w:name="_Toc470780780"/>
      <w:bookmarkStart w:id="653" w:name="_Toc470784341"/>
      <w:bookmarkStart w:id="654" w:name="_Toc470784878"/>
      <w:bookmarkStart w:id="655" w:name="_Toc470786901"/>
      <w:bookmarkStart w:id="656" w:name="_Toc470791254"/>
      <w:bookmarkStart w:id="657" w:name="_Toc490066158"/>
      <w:r w:rsidRPr="002C0D19">
        <w:t>Artículo 1.2.3.1. Requisitos para el acceso de los Terceros Identificados.</w:t>
      </w:r>
      <w:bookmarkEnd w:id="644"/>
      <w:bookmarkEnd w:id="645"/>
      <w:bookmarkEnd w:id="646"/>
      <w:bookmarkEnd w:id="647"/>
      <w:bookmarkEnd w:id="648"/>
      <w:r w:rsidRPr="002C0D19">
        <w:t xml:space="preserve"> </w:t>
      </w:r>
    </w:p>
    <w:p w14:paraId="54350E24" w14:textId="77777777" w:rsidR="007968EC" w:rsidRPr="00DE2FA7" w:rsidRDefault="007968EC" w:rsidP="007968EC">
      <w:pPr>
        <w:jc w:val="both"/>
        <w:rPr>
          <w:rFonts w:ascii="Arial Narrow" w:hAnsi="Arial Narrow" w:cs="Arial"/>
          <w:color w:val="000000" w:themeColor="text1"/>
          <w:lang w:eastAsia="es-ES"/>
        </w:rPr>
      </w:pPr>
    </w:p>
    <w:p w14:paraId="126C6F85" w14:textId="77777777" w:rsidR="007968EC" w:rsidRPr="002C0D19" w:rsidRDefault="007968EC" w:rsidP="007968EC">
      <w:pPr>
        <w:pStyle w:val="ANTECEDENTES"/>
      </w:pPr>
      <w:r w:rsidRPr="002C0D19">
        <w:t>(Este artículo fue modificado mediante Circular 31 del 7 de noviembre de 2013, publicada en el Boletín Normativo No. 035 del 7 de noviembre de 2013, mediante Circular 8 del 4 de marzo de 2015, publicada en el Boletín Normativo No. 008 del 4 de marzo de 2015</w:t>
      </w:r>
      <w:r w:rsidR="00865110">
        <w:t>,</w:t>
      </w:r>
      <w:r w:rsidRPr="002C0D19">
        <w:t xml:space="preserve"> mediante Circular 19 del 28 de diciembre de 2016, publicada en el Boletín Normativo No. 024 del 28 de diciembre de 2016</w:t>
      </w:r>
      <w:r w:rsidR="00865110">
        <w:t xml:space="preserve"> y mediante Circular 2 del 29 de enero de 2020, publicada en el Boletín Normativo No. 002 del 29 de enero de 2020</w:t>
      </w:r>
      <w:r w:rsidRPr="002C0D19">
        <w:t xml:space="preserve">. Rige a partir del </w:t>
      </w:r>
      <w:r w:rsidR="00865110">
        <w:t>3</w:t>
      </w:r>
      <w:r w:rsidRPr="002C0D19">
        <w:t xml:space="preserve"> de </w:t>
      </w:r>
      <w:r w:rsidR="00865110">
        <w:t>febrero</w:t>
      </w:r>
      <w:r w:rsidRPr="002C0D19">
        <w:t xml:space="preserve"> de 20</w:t>
      </w:r>
      <w:r w:rsidR="00865110">
        <w:t>20</w:t>
      </w:r>
      <w:r w:rsidRPr="002C0D19">
        <w:t>.)</w:t>
      </w:r>
      <w:bookmarkEnd w:id="649"/>
      <w:bookmarkEnd w:id="650"/>
      <w:bookmarkEnd w:id="651"/>
      <w:bookmarkEnd w:id="652"/>
      <w:bookmarkEnd w:id="653"/>
      <w:bookmarkEnd w:id="654"/>
      <w:bookmarkEnd w:id="655"/>
      <w:bookmarkEnd w:id="656"/>
      <w:bookmarkEnd w:id="657"/>
    </w:p>
    <w:p w14:paraId="64FEFF21" w14:textId="77777777" w:rsidR="007968EC" w:rsidRPr="002C0D19" w:rsidRDefault="007968EC" w:rsidP="007968EC">
      <w:pPr>
        <w:tabs>
          <w:tab w:val="left" w:pos="1701"/>
        </w:tabs>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ab/>
      </w:r>
    </w:p>
    <w:p w14:paraId="258E8F93" w14:textId="77777777" w:rsidR="00865110" w:rsidRPr="00865110" w:rsidRDefault="00865110" w:rsidP="00865110">
      <w:pPr>
        <w:jc w:val="both"/>
        <w:rPr>
          <w:rFonts w:ascii="Arial Narrow" w:hAnsi="Arial Narrow"/>
        </w:rPr>
      </w:pPr>
      <w:r w:rsidRPr="00865110">
        <w:rPr>
          <w:rFonts w:ascii="Arial Narrow" w:hAnsi="Arial Narrow"/>
        </w:rPr>
        <w:t xml:space="preserve">Los Terceros Identificados podrán participar ante la Cámara a través de un Miembro Liquidador Individual o General o a través de un Miembro no Liquidador y sus Operaciones se registrarán en una Cuenta de Tercero de la que es titular para cada Segmento que el Miembro indique. Para el efecto, los Miembros deberán suministrar a sus Terceros una información mínima en los términos del artículo 2.1.33. del Reglamento de Funcionamiento de la Cámara, cuyas condiciones mínimas se encuentran en el Anexo 20.1 y 20.2. </w:t>
      </w:r>
    </w:p>
    <w:p w14:paraId="6926B42B" w14:textId="77777777" w:rsidR="00865110" w:rsidRPr="00865110" w:rsidRDefault="00865110" w:rsidP="00865110">
      <w:pPr>
        <w:jc w:val="both"/>
        <w:rPr>
          <w:rFonts w:ascii="Arial Narrow" w:hAnsi="Arial Narrow"/>
        </w:rPr>
      </w:pPr>
    </w:p>
    <w:p w14:paraId="0CDAD78D" w14:textId="77777777" w:rsidR="00865110" w:rsidRPr="00865110" w:rsidRDefault="00865110" w:rsidP="00865110">
      <w:pPr>
        <w:jc w:val="both"/>
        <w:rPr>
          <w:rFonts w:ascii="Arial Narrow" w:hAnsi="Arial Narrow"/>
        </w:rPr>
      </w:pPr>
      <w:r w:rsidRPr="00865110">
        <w:rPr>
          <w:rFonts w:ascii="Arial Narrow" w:hAnsi="Arial Narrow"/>
        </w:rPr>
        <w:t xml:space="preserve">El Miembro que maneje cuentas de Terceros Identificados deberá mantener a disposición de la Cámara una copia del suministro de la Información Mínima, la cual podrá ser solicitada por la Cámara en cualquier momento. </w:t>
      </w:r>
    </w:p>
    <w:p w14:paraId="428BEE5A" w14:textId="77777777" w:rsidR="00865110" w:rsidRPr="00865110" w:rsidRDefault="00865110" w:rsidP="00865110">
      <w:pPr>
        <w:jc w:val="both"/>
        <w:rPr>
          <w:rFonts w:ascii="Arial Narrow" w:hAnsi="Arial Narrow"/>
        </w:rPr>
      </w:pPr>
    </w:p>
    <w:p w14:paraId="0D43BA08" w14:textId="77777777" w:rsidR="007968EC" w:rsidRPr="002C0D19" w:rsidRDefault="00865110" w:rsidP="00865110">
      <w:pPr>
        <w:jc w:val="both"/>
        <w:rPr>
          <w:rFonts w:ascii="Arial Narrow" w:hAnsi="Arial Narrow" w:cs="Arial"/>
          <w:color w:val="000000" w:themeColor="text1"/>
          <w:lang w:val="es-ES" w:eastAsia="es-ES"/>
        </w:rPr>
      </w:pPr>
      <w:r w:rsidRPr="00865110">
        <w:rPr>
          <w:rFonts w:ascii="Arial Narrow" w:hAnsi="Arial Narrow"/>
        </w:rPr>
        <w:t>Adicionalmente, el Miembro deberá obtener autorización del Tercero Identificado para entregar a la Cámara la Información que ella requiera en relación con las operaciones que se compensen y liquiden a través de la Cámara, así como para que ésta reporte, procese, solicite y/o consulte los datos de dicho Tercero Identificado en las Bases de Datos administradas por Centrales de Riesgos, y para que realice el tratamiento de los datos personales, de acuerdo con las Políticas de Administración de Datos Personales de la Cámara, la cual se encuentra publicada en la página web de la entidad –datos personales-, según el formato del Anexo 17.</w:t>
      </w:r>
    </w:p>
    <w:p w14:paraId="7A447562" w14:textId="77777777" w:rsidR="007968EC" w:rsidRPr="002C0D19" w:rsidRDefault="007968EC" w:rsidP="007968EC">
      <w:pPr>
        <w:jc w:val="both"/>
        <w:rPr>
          <w:rFonts w:ascii="Arial Narrow" w:hAnsi="Arial Narrow" w:cs="Arial"/>
          <w:color w:val="000000" w:themeColor="text1"/>
          <w:lang w:val="es-ES" w:eastAsia="es-ES"/>
        </w:rPr>
      </w:pPr>
    </w:p>
    <w:p w14:paraId="2F581E73" w14:textId="77777777" w:rsidR="007968EC" w:rsidRDefault="007968EC" w:rsidP="007968EC">
      <w:pPr>
        <w:pStyle w:val="ARTICULO0"/>
      </w:pPr>
      <w:bookmarkStart w:id="658" w:name="_Toc472592058"/>
      <w:bookmarkStart w:id="659" w:name="_Toc472593077"/>
      <w:bookmarkStart w:id="660" w:name="_Toc479056863"/>
      <w:bookmarkStart w:id="661" w:name="_Toc31715871"/>
      <w:bookmarkStart w:id="662" w:name="_Toc470775366"/>
      <w:bookmarkStart w:id="663" w:name="_Toc470779651"/>
      <w:bookmarkStart w:id="664" w:name="_Toc470780268"/>
      <w:bookmarkStart w:id="665" w:name="_Toc470780781"/>
      <w:bookmarkStart w:id="666" w:name="_Toc470784342"/>
      <w:bookmarkStart w:id="667" w:name="_Toc470784879"/>
      <w:bookmarkStart w:id="668" w:name="_Toc470786902"/>
      <w:bookmarkStart w:id="669" w:name="_Toc470791255"/>
      <w:bookmarkStart w:id="670" w:name="_Toc490066159"/>
      <w:r w:rsidRPr="002C0D19">
        <w:t>Artículo 1.2.3.2. Requisitos para el acceso de los Terceros no Identificados.</w:t>
      </w:r>
      <w:bookmarkEnd w:id="658"/>
      <w:bookmarkEnd w:id="659"/>
      <w:bookmarkEnd w:id="660"/>
      <w:bookmarkEnd w:id="661"/>
      <w:r w:rsidRPr="002C0D19">
        <w:t xml:space="preserve"> </w:t>
      </w:r>
    </w:p>
    <w:p w14:paraId="6294E057" w14:textId="77777777" w:rsidR="007968EC" w:rsidRPr="00DE2FA7" w:rsidRDefault="007968EC" w:rsidP="007968EC">
      <w:pPr>
        <w:jc w:val="both"/>
        <w:rPr>
          <w:rFonts w:ascii="Arial Narrow" w:hAnsi="Arial Narrow" w:cs="Arial"/>
          <w:color w:val="000000" w:themeColor="text1"/>
          <w:lang w:eastAsia="es-ES"/>
        </w:rPr>
      </w:pPr>
    </w:p>
    <w:p w14:paraId="046F5D26" w14:textId="77777777" w:rsidR="007968EC" w:rsidRPr="002C0D19" w:rsidRDefault="007968EC" w:rsidP="007968EC">
      <w:pPr>
        <w:pStyle w:val="ANTECEDENTES"/>
        <w:rPr>
          <w:u w:val="single"/>
        </w:rPr>
      </w:pPr>
      <w:r w:rsidRPr="002C0D19">
        <w:t>(Este artículo fue renumerado mediante Circular 19 del 28 de diciembre de 2016, publicada en el Boletín Normativo No. 024 del 28 de diciembre de 2016</w:t>
      </w:r>
      <w:r>
        <w:t>, y modificado mediante Circular 16 del 8 de octubre de 2019, publicada en el Boletín Normativo No. 030 del 8 de octubre de 2019</w:t>
      </w:r>
      <w:r w:rsidRPr="002C0D19">
        <w:t>.</w:t>
      </w:r>
      <w:r>
        <w:t xml:space="preserve"> Rige a partir del 9 de octubre de 2019</w:t>
      </w:r>
      <w:r w:rsidRPr="002C0D19">
        <w:t>)</w:t>
      </w:r>
      <w:bookmarkEnd w:id="662"/>
      <w:bookmarkEnd w:id="663"/>
      <w:bookmarkEnd w:id="664"/>
      <w:bookmarkEnd w:id="665"/>
      <w:bookmarkEnd w:id="666"/>
      <w:bookmarkEnd w:id="667"/>
      <w:bookmarkEnd w:id="668"/>
      <w:bookmarkEnd w:id="669"/>
      <w:bookmarkEnd w:id="670"/>
    </w:p>
    <w:p w14:paraId="3F5531BA" w14:textId="77777777" w:rsidR="007968EC" w:rsidRPr="002C0D19" w:rsidRDefault="007968EC" w:rsidP="007968EC">
      <w:pPr>
        <w:jc w:val="both"/>
        <w:rPr>
          <w:rFonts w:ascii="Arial Narrow" w:hAnsi="Arial Narrow" w:cs="Arial"/>
          <w:color w:val="000000" w:themeColor="text1"/>
          <w:lang w:val="es-ES" w:eastAsia="es-ES"/>
        </w:rPr>
      </w:pPr>
    </w:p>
    <w:p w14:paraId="42618BE1" w14:textId="77777777" w:rsidR="007968EC" w:rsidRDefault="007968EC" w:rsidP="007968EC">
      <w:pPr>
        <w:jc w:val="both"/>
        <w:rPr>
          <w:rFonts w:ascii="Arial Narrow" w:hAnsi="Arial Narrow" w:cs="Arial"/>
          <w:color w:val="000000" w:themeColor="text1"/>
          <w:lang w:val="es-ES" w:eastAsia="es-ES"/>
        </w:rPr>
      </w:pPr>
      <w:r w:rsidRPr="00EA3759">
        <w:rPr>
          <w:rFonts w:ascii="Arial Narrow" w:hAnsi="Arial Narrow" w:cs="Arial"/>
          <w:color w:val="000000" w:themeColor="text1"/>
          <w:lang w:val="es-ES" w:eastAsia="es-ES"/>
        </w:rPr>
        <w:t>La Cámara no tiene habilitadas Cuentas de Terceros Ómnibus Segregada por Miembro ni Cuentas de Terceros Ómnibus Segregada por Cámara, en consecuencia los Miembros no podrán gestionar este tipo de Cuentas hasta tanto no se habilite y regule por Circular el uso de tales Cuentas.</w:t>
      </w:r>
    </w:p>
    <w:p w14:paraId="33401260" w14:textId="77777777" w:rsidR="007968EC" w:rsidRPr="002C0D19" w:rsidRDefault="007968EC" w:rsidP="007968EC">
      <w:pPr>
        <w:jc w:val="both"/>
        <w:rPr>
          <w:rFonts w:ascii="Arial Narrow" w:hAnsi="Arial Narrow" w:cs="Arial"/>
          <w:color w:val="000000" w:themeColor="text1"/>
          <w:lang w:val="es-ES" w:eastAsia="es-ES"/>
        </w:rPr>
      </w:pPr>
    </w:p>
    <w:p w14:paraId="3C0DCC56" w14:textId="77777777" w:rsidR="007968EC" w:rsidRDefault="007968EC" w:rsidP="007968EC">
      <w:pPr>
        <w:pStyle w:val="ARTICULO0"/>
      </w:pPr>
      <w:bookmarkStart w:id="671" w:name="_Toc472592059"/>
      <w:bookmarkStart w:id="672" w:name="_Toc472593078"/>
      <w:bookmarkStart w:id="673" w:name="_Toc479056864"/>
      <w:bookmarkStart w:id="674" w:name="_Toc31715872"/>
      <w:bookmarkStart w:id="675" w:name="_Toc470775367"/>
      <w:bookmarkStart w:id="676" w:name="_Toc470779652"/>
      <w:bookmarkStart w:id="677" w:name="_Toc470780269"/>
      <w:bookmarkStart w:id="678" w:name="_Toc470780782"/>
      <w:bookmarkStart w:id="679" w:name="_Toc470784343"/>
      <w:bookmarkStart w:id="680" w:name="_Toc470784880"/>
      <w:bookmarkStart w:id="681" w:name="_Toc470786903"/>
      <w:bookmarkStart w:id="682" w:name="_Toc470791256"/>
      <w:bookmarkStart w:id="683" w:name="_Toc490066160"/>
      <w:r w:rsidRPr="002C0D19">
        <w:t>Artículo 1.2.3.3. Miembros como Terceros.</w:t>
      </w:r>
      <w:bookmarkEnd w:id="671"/>
      <w:bookmarkEnd w:id="672"/>
      <w:bookmarkEnd w:id="673"/>
      <w:bookmarkEnd w:id="674"/>
      <w:r w:rsidRPr="002C0D19">
        <w:t xml:space="preserve"> </w:t>
      </w:r>
    </w:p>
    <w:p w14:paraId="7864C273" w14:textId="77777777" w:rsidR="007968EC" w:rsidRPr="00DE2FA7" w:rsidRDefault="007968EC" w:rsidP="007968EC">
      <w:pPr>
        <w:jc w:val="both"/>
        <w:rPr>
          <w:rFonts w:ascii="Arial Narrow" w:hAnsi="Arial Narrow" w:cs="Arial"/>
          <w:color w:val="000000" w:themeColor="text1"/>
          <w:lang w:eastAsia="es-ES"/>
        </w:rPr>
      </w:pPr>
    </w:p>
    <w:p w14:paraId="4C84B35B" w14:textId="77777777" w:rsidR="007968EC" w:rsidRPr="002C0D19" w:rsidRDefault="007968EC" w:rsidP="007968EC">
      <w:pPr>
        <w:pStyle w:val="ANTECEDENTES"/>
        <w:rPr>
          <w:u w:val="single"/>
        </w:rPr>
      </w:pPr>
      <w:r w:rsidRPr="002C0D19">
        <w:lastRenderedPageBreak/>
        <w:t xml:space="preserve">(Este artículo fue adicionado mediante Circular 6 del 29 de marzo de 2010, publicada en el Boletín Normativo No. 008 del 29 de marzo de 2010 y modificado mediante Circular 15 del 3 de agosto de 2011, publicada en el Boletín Normativo No. 018 del 3 de agosto de 2011 y renumerado mediante </w:t>
      </w:r>
      <w:r w:rsidRPr="002C0D19">
        <w:rPr>
          <w:lang w:val="es-ES"/>
        </w:rPr>
        <w:t xml:space="preserve">Circular 19 del 28 de diciembre de 2016, publicada en el Boletín Normativo No. 024 del 28 de diciembre de 2016. </w:t>
      </w:r>
      <w:r w:rsidRPr="002C0D19">
        <w:t>Rige a partir del 29 de diciembre de 2016.</w:t>
      </w:r>
      <w:r w:rsidRPr="002C0D19">
        <w:rPr>
          <w:lang w:val="es-ES"/>
        </w:rPr>
        <w:t>)</w:t>
      </w:r>
      <w:bookmarkEnd w:id="675"/>
      <w:bookmarkEnd w:id="676"/>
      <w:bookmarkEnd w:id="677"/>
      <w:bookmarkEnd w:id="678"/>
      <w:bookmarkEnd w:id="679"/>
      <w:bookmarkEnd w:id="680"/>
      <w:bookmarkEnd w:id="681"/>
      <w:bookmarkEnd w:id="682"/>
      <w:bookmarkEnd w:id="683"/>
    </w:p>
    <w:p w14:paraId="19E19462" w14:textId="77777777" w:rsidR="007968EC" w:rsidRPr="002C0D19" w:rsidRDefault="007968EC" w:rsidP="007968EC">
      <w:pPr>
        <w:jc w:val="both"/>
        <w:rPr>
          <w:rFonts w:ascii="Arial Narrow" w:hAnsi="Arial Narrow" w:cs="Arial"/>
          <w:color w:val="000000" w:themeColor="text1"/>
          <w:u w:val="single"/>
          <w:lang w:val="es-ES_tradnl" w:eastAsia="es-ES"/>
        </w:rPr>
      </w:pPr>
    </w:p>
    <w:p w14:paraId="7E0643C5"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Cuando los Miembros accedan como Terceros de otro Miembro al Sistema de Compensación y Liquidación de la Cámara deberán cumplir con las obligaciones establecidas en el Reglamento de Funcionamiento y de la Circular Única de la Cámara para dichos Terceros.</w:t>
      </w:r>
    </w:p>
    <w:p w14:paraId="5162EA68" w14:textId="77777777" w:rsidR="007968EC" w:rsidRPr="002C0D19" w:rsidRDefault="007968EC" w:rsidP="007968EC">
      <w:pPr>
        <w:jc w:val="center"/>
        <w:outlineLvl w:val="1"/>
        <w:rPr>
          <w:rFonts w:ascii="Arial Narrow" w:hAnsi="Arial Narrow" w:cs="Arial"/>
          <w:b/>
          <w:color w:val="000000" w:themeColor="text1"/>
          <w:lang w:eastAsia="es-ES"/>
        </w:rPr>
      </w:pPr>
    </w:p>
    <w:p w14:paraId="5AC76BC6" w14:textId="77777777" w:rsidR="007968EC" w:rsidRPr="002C0D19" w:rsidRDefault="007968EC" w:rsidP="007968EC">
      <w:pPr>
        <w:pStyle w:val="TTULO"/>
        <w:rPr>
          <w:lang w:val="es-ES"/>
        </w:rPr>
      </w:pPr>
      <w:bookmarkStart w:id="684" w:name="_Toc470775368"/>
      <w:bookmarkStart w:id="685" w:name="_Toc470779653"/>
      <w:bookmarkStart w:id="686" w:name="_Toc470780270"/>
      <w:bookmarkStart w:id="687" w:name="_Toc470780783"/>
      <w:bookmarkStart w:id="688" w:name="_Toc470784344"/>
      <w:bookmarkStart w:id="689" w:name="_Toc470784881"/>
      <w:bookmarkStart w:id="690" w:name="_Toc470786904"/>
      <w:bookmarkStart w:id="691" w:name="_Toc470791257"/>
      <w:bookmarkStart w:id="692" w:name="_Toc472592060"/>
      <w:bookmarkStart w:id="693" w:name="_Toc472593079"/>
      <w:bookmarkStart w:id="694" w:name="_Toc479056865"/>
      <w:bookmarkStart w:id="695" w:name="_Toc490066161"/>
      <w:bookmarkStart w:id="696" w:name="_Toc31715873"/>
      <w:r w:rsidRPr="002C0D19">
        <w:rPr>
          <w:lang w:val="es-ES"/>
        </w:rPr>
        <w:t>CAPÍTULO CUARTO</w:t>
      </w:r>
      <w:bookmarkEnd w:id="684"/>
      <w:bookmarkEnd w:id="685"/>
      <w:bookmarkEnd w:id="686"/>
      <w:bookmarkEnd w:id="687"/>
      <w:bookmarkEnd w:id="688"/>
      <w:bookmarkEnd w:id="689"/>
      <w:bookmarkEnd w:id="690"/>
      <w:bookmarkEnd w:id="691"/>
      <w:bookmarkEnd w:id="692"/>
      <w:bookmarkEnd w:id="693"/>
      <w:bookmarkEnd w:id="694"/>
      <w:bookmarkEnd w:id="695"/>
      <w:bookmarkEnd w:id="696"/>
    </w:p>
    <w:p w14:paraId="2F7E7C86" w14:textId="77777777" w:rsidR="007968EC" w:rsidRPr="002C0D19" w:rsidRDefault="007968EC" w:rsidP="007968EC">
      <w:pPr>
        <w:pStyle w:val="TTULO"/>
        <w:rPr>
          <w:lang w:val="es-ES"/>
        </w:rPr>
      </w:pPr>
    </w:p>
    <w:p w14:paraId="227BE23E" w14:textId="77777777" w:rsidR="007968EC" w:rsidRPr="002C0D19" w:rsidRDefault="007968EC" w:rsidP="007968EC">
      <w:pPr>
        <w:pStyle w:val="TTULO"/>
        <w:rPr>
          <w:lang w:val="es-ES"/>
        </w:rPr>
      </w:pPr>
      <w:bookmarkStart w:id="697" w:name="_Toc470775369"/>
      <w:bookmarkStart w:id="698" w:name="_Toc470779654"/>
      <w:bookmarkStart w:id="699" w:name="_Toc470780271"/>
      <w:bookmarkStart w:id="700" w:name="_Toc470780784"/>
      <w:bookmarkStart w:id="701" w:name="_Toc470784345"/>
      <w:bookmarkStart w:id="702" w:name="_Toc470784882"/>
      <w:bookmarkStart w:id="703" w:name="_Toc470786905"/>
      <w:bookmarkStart w:id="704" w:name="_Toc470791258"/>
      <w:bookmarkStart w:id="705" w:name="_Toc472592061"/>
      <w:bookmarkStart w:id="706" w:name="_Toc472593080"/>
      <w:bookmarkStart w:id="707" w:name="_Toc479056866"/>
      <w:bookmarkStart w:id="708" w:name="_Toc490066162"/>
      <w:bookmarkStart w:id="709" w:name="_Toc31715874"/>
      <w:r w:rsidRPr="002C0D19">
        <w:rPr>
          <w:lang w:val="es-ES"/>
        </w:rPr>
        <w:t>PROCEDIMIENTO PARA EL RETIRO VOLUNTARIO DE UN MIEMBRO O UN AGENTE</w:t>
      </w:r>
      <w:bookmarkEnd w:id="697"/>
      <w:bookmarkEnd w:id="698"/>
      <w:bookmarkEnd w:id="699"/>
      <w:bookmarkEnd w:id="700"/>
      <w:bookmarkEnd w:id="701"/>
      <w:bookmarkEnd w:id="702"/>
      <w:bookmarkEnd w:id="703"/>
      <w:bookmarkEnd w:id="704"/>
      <w:bookmarkEnd w:id="705"/>
      <w:bookmarkEnd w:id="706"/>
      <w:bookmarkEnd w:id="707"/>
      <w:bookmarkEnd w:id="708"/>
      <w:bookmarkEnd w:id="709"/>
    </w:p>
    <w:p w14:paraId="05A33BE5" w14:textId="77777777" w:rsidR="007968EC" w:rsidRPr="002C0D19" w:rsidRDefault="007968EC" w:rsidP="007968EC">
      <w:pPr>
        <w:jc w:val="center"/>
        <w:outlineLvl w:val="1"/>
        <w:rPr>
          <w:rFonts w:ascii="Arial Narrow" w:hAnsi="Arial Narrow" w:cs="Arial"/>
          <w:b/>
          <w:color w:val="000000" w:themeColor="text1"/>
          <w:lang w:eastAsia="es-ES"/>
        </w:rPr>
      </w:pPr>
    </w:p>
    <w:p w14:paraId="623D6BB9" w14:textId="77777777" w:rsidR="007968EC" w:rsidRDefault="007968EC" w:rsidP="007968EC">
      <w:pPr>
        <w:pStyle w:val="ARTICULO0"/>
      </w:pPr>
      <w:bookmarkStart w:id="710" w:name="_Toc472592062"/>
      <w:bookmarkStart w:id="711" w:name="_Toc472593081"/>
      <w:bookmarkStart w:id="712" w:name="_Toc479056867"/>
      <w:bookmarkStart w:id="713" w:name="_Toc31715875"/>
      <w:bookmarkStart w:id="714" w:name="_Toc470775370"/>
      <w:bookmarkStart w:id="715" w:name="_Toc470779655"/>
      <w:bookmarkStart w:id="716" w:name="_Toc470780272"/>
      <w:bookmarkStart w:id="717" w:name="_Toc470780785"/>
      <w:bookmarkStart w:id="718" w:name="_Toc470784346"/>
      <w:bookmarkStart w:id="719" w:name="_Toc470784883"/>
      <w:bookmarkStart w:id="720" w:name="_Toc470786906"/>
      <w:bookmarkStart w:id="721" w:name="_Toc470791259"/>
      <w:bookmarkStart w:id="722" w:name="_Toc490066163"/>
      <w:r w:rsidRPr="002C0D19">
        <w:t>Artículo 1.2.4.1. Retiro voluntario de un Miembro.</w:t>
      </w:r>
      <w:bookmarkEnd w:id="710"/>
      <w:bookmarkEnd w:id="711"/>
      <w:bookmarkEnd w:id="712"/>
      <w:bookmarkEnd w:id="713"/>
      <w:r w:rsidRPr="002C0D19">
        <w:t xml:space="preserve"> </w:t>
      </w:r>
      <w:bookmarkEnd w:id="714"/>
      <w:bookmarkEnd w:id="715"/>
      <w:bookmarkEnd w:id="716"/>
      <w:bookmarkEnd w:id="717"/>
      <w:bookmarkEnd w:id="718"/>
      <w:bookmarkEnd w:id="719"/>
      <w:bookmarkEnd w:id="720"/>
      <w:bookmarkEnd w:id="721"/>
    </w:p>
    <w:p w14:paraId="695A8680" w14:textId="77777777" w:rsidR="007968EC" w:rsidRPr="00DE2FA7" w:rsidRDefault="007968EC" w:rsidP="007968EC">
      <w:pPr>
        <w:jc w:val="both"/>
        <w:rPr>
          <w:rFonts w:ascii="Arial Narrow" w:hAnsi="Arial Narrow" w:cs="Arial"/>
          <w:color w:val="000000" w:themeColor="text1"/>
          <w:lang w:eastAsia="es-ES"/>
        </w:rPr>
      </w:pPr>
    </w:p>
    <w:p w14:paraId="50E6C4B9" w14:textId="77777777" w:rsidR="007968EC" w:rsidRPr="002C0D19" w:rsidRDefault="007968EC" w:rsidP="007968EC">
      <w:pPr>
        <w:pStyle w:val="ANTECEDENTES"/>
      </w:pPr>
      <w:r w:rsidRPr="002C0D19">
        <w:t>(Este artículo fue modificado mediante Circular 10 del 18 de marzo de 2015, publicada en el Boletín Normativo No. 010 del 18 de marzo de 2015 mediante Circular 19 del 28 de diciembre de 2016, publicada en el Boletín Normativo No. 024 del 28 de diciembre de 2016. Rige a partir del 29 de diciembre de 2016.)</w:t>
      </w:r>
      <w:bookmarkEnd w:id="722"/>
    </w:p>
    <w:p w14:paraId="4015E072" w14:textId="77777777" w:rsidR="007968EC" w:rsidRPr="002C0D19" w:rsidRDefault="007968EC" w:rsidP="007968EC">
      <w:pPr>
        <w:jc w:val="both"/>
        <w:rPr>
          <w:rFonts w:ascii="Arial Narrow" w:hAnsi="Arial Narrow" w:cs="Arial"/>
          <w:color w:val="000000" w:themeColor="text1"/>
          <w:lang w:val="es-ES" w:eastAsia="es-ES"/>
        </w:rPr>
      </w:pPr>
    </w:p>
    <w:p w14:paraId="22505D31"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El Miembro que presente ante la Cámara una solicitud de retiro voluntario, temporal o definitivo, deberá observar además de lo dispuesto en el artículo 2.1.14. del Reglamento de Funcionamiento, las siguientes condiciones: </w:t>
      </w:r>
    </w:p>
    <w:p w14:paraId="0013EA3C" w14:textId="77777777" w:rsidR="007968EC" w:rsidRPr="002C0D19" w:rsidRDefault="007968EC" w:rsidP="007968EC">
      <w:pPr>
        <w:jc w:val="both"/>
        <w:rPr>
          <w:rFonts w:ascii="Arial Narrow" w:hAnsi="Arial Narrow" w:cs="Arial"/>
          <w:color w:val="000000" w:themeColor="text1"/>
          <w:lang w:val="es-ES" w:eastAsia="es-ES"/>
        </w:rPr>
      </w:pPr>
    </w:p>
    <w:p w14:paraId="170DB393" w14:textId="77777777" w:rsidR="007968EC" w:rsidRPr="002C0D19" w:rsidRDefault="007968EC" w:rsidP="00DA7472">
      <w:pPr>
        <w:numPr>
          <w:ilvl w:val="0"/>
          <w:numId w:val="16"/>
        </w:numPr>
        <w:tabs>
          <w:tab w:val="num" w:pos="540"/>
        </w:tabs>
        <w:ind w:left="540" w:hanging="54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Deberá enviar junto con la comunicación de solicitud de retiro, un plan detallado de retiro en el cual se defina el manejo de las obligaciones de cada una de las Cuentas y el cronograma de cumplimiento por cada Segmento donde participe</w:t>
      </w:r>
      <w:r w:rsidRPr="002C0D19">
        <w:rPr>
          <w:rFonts w:ascii="Arial Narrow" w:hAnsi="Arial Narrow" w:cs="Arial"/>
          <w:b/>
          <w:color w:val="000000" w:themeColor="text1"/>
          <w:lang w:val="es-ES" w:eastAsia="es-ES"/>
        </w:rPr>
        <w:t>.</w:t>
      </w:r>
      <w:r w:rsidRPr="002C0D19">
        <w:rPr>
          <w:rFonts w:ascii="Arial Narrow" w:hAnsi="Arial Narrow" w:cs="Arial"/>
          <w:color w:val="000000" w:themeColor="text1"/>
          <w:lang w:val="es-ES" w:eastAsia="es-ES"/>
        </w:rPr>
        <w:t xml:space="preserve"> </w:t>
      </w:r>
      <w:proofErr w:type="gramStart"/>
      <w:r w:rsidRPr="002C0D19">
        <w:rPr>
          <w:rFonts w:ascii="Arial Narrow" w:hAnsi="Arial Narrow" w:cs="Arial"/>
          <w:color w:val="000000" w:themeColor="text1"/>
          <w:lang w:val="es-ES" w:eastAsia="es-ES"/>
        </w:rPr>
        <w:t>Éste</w:t>
      </w:r>
      <w:proofErr w:type="gramEnd"/>
      <w:r w:rsidRPr="002C0D19">
        <w:rPr>
          <w:rFonts w:ascii="Arial Narrow" w:hAnsi="Arial Narrow" w:cs="Arial"/>
          <w:color w:val="000000" w:themeColor="text1"/>
          <w:lang w:val="es-ES" w:eastAsia="es-ES"/>
        </w:rPr>
        <w:t xml:space="preserve"> plan se deberá dar a conocer y ser aprobado previamente por los titulares de cada una de las Cuentas y aceptado por el Gerente de la Cámara. La solicitud de retiro será informada en la siguiente sesión de la Junta Directiva.</w:t>
      </w:r>
    </w:p>
    <w:p w14:paraId="03AED597" w14:textId="77777777" w:rsidR="007968EC" w:rsidRPr="002C0D19" w:rsidRDefault="007968EC" w:rsidP="007968EC">
      <w:pPr>
        <w:jc w:val="both"/>
        <w:rPr>
          <w:rFonts w:ascii="Arial Narrow" w:hAnsi="Arial Narrow" w:cs="Arial"/>
          <w:color w:val="000000" w:themeColor="text1"/>
          <w:lang w:val="es-ES" w:eastAsia="es-ES"/>
        </w:rPr>
      </w:pPr>
    </w:p>
    <w:p w14:paraId="6544B20D" w14:textId="77777777" w:rsidR="007968EC" w:rsidRPr="002C0D19" w:rsidRDefault="007968EC" w:rsidP="00DA7472">
      <w:pPr>
        <w:numPr>
          <w:ilvl w:val="0"/>
          <w:numId w:val="16"/>
        </w:numPr>
        <w:tabs>
          <w:tab w:val="num" w:pos="540"/>
        </w:tabs>
        <w:ind w:left="540" w:hanging="54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La Cámara aceptará las operaciones del Miembro siempre y cuando dichas operaciones se realicen para disminuir el riesgo operativo.</w:t>
      </w:r>
    </w:p>
    <w:p w14:paraId="176F8D36" w14:textId="77777777" w:rsidR="007968EC" w:rsidRPr="002C0D19" w:rsidRDefault="007968EC" w:rsidP="007968EC">
      <w:pPr>
        <w:tabs>
          <w:tab w:val="num" w:pos="540"/>
        </w:tabs>
        <w:ind w:left="540" w:hanging="540"/>
        <w:jc w:val="both"/>
        <w:rPr>
          <w:rFonts w:ascii="Arial Narrow" w:hAnsi="Arial Narrow" w:cs="Arial"/>
          <w:color w:val="000000" w:themeColor="text1"/>
          <w:lang w:val="es-ES" w:eastAsia="es-ES"/>
        </w:rPr>
      </w:pPr>
    </w:p>
    <w:p w14:paraId="2D8914E1" w14:textId="77777777" w:rsidR="007968EC" w:rsidRPr="002C0D19" w:rsidRDefault="007968EC" w:rsidP="00DA7472">
      <w:pPr>
        <w:numPr>
          <w:ilvl w:val="0"/>
          <w:numId w:val="16"/>
        </w:numPr>
        <w:tabs>
          <w:tab w:val="num" w:pos="540"/>
        </w:tabs>
        <w:ind w:left="540" w:hanging="54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La Cámara le permitirá el acceso al Sistema y la gestión de operaciones siempre y cuando correspondan al plan de retiro detallado.</w:t>
      </w:r>
    </w:p>
    <w:p w14:paraId="7EF2C16B" w14:textId="77777777" w:rsidR="007968EC" w:rsidRPr="002C0D19" w:rsidRDefault="007968EC" w:rsidP="007968EC">
      <w:pPr>
        <w:jc w:val="both"/>
        <w:rPr>
          <w:rFonts w:ascii="Arial Narrow" w:hAnsi="Arial Narrow" w:cs="Arial"/>
          <w:color w:val="000000" w:themeColor="text1"/>
          <w:lang w:val="es-ES" w:eastAsia="es-ES"/>
        </w:rPr>
      </w:pPr>
    </w:p>
    <w:p w14:paraId="41F3233A" w14:textId="77777777" w:rsidR="007968EC" w:rsidRPr="002C0D19" w:rsidRDefault="007968EC" w:rsidP="00DA7472">
      <w:pPr>
        <w:numPr>
          <w:ilvl w:val="0"/>
          <w:numId w:val="16"/>
        </w:numPr>
        <w:tabs>
          <w:tab w:val="num" w:pos="540"/>
        </w:tabs>
        <w:ind w:left="540" w:hanging="54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En ninguna forma se debe entender que el procedimiento de retiro limita el derecho de la Cámara de exigir y recibir el pago de las obligaciones del Miembro establecidas de acuerdo con el Reglamento.</w:t>
      </w:r>
    </w:p>
    <w:p w14:paraId="279B3D91" w14:textId="77777777" w:rsidR="007968EC" w:rsidRPr="002C0D19" w:rsidRDefault="007968EC" w:rsidP="007968EC">
      <w:pPr>
        <w:jc w:val="both"/>
        <w:rPr>
          <w:rFonts w:ascii="Arial Narrow" w:hAnsi="Arial Narrow" w:cs="Arial"/>
          <w:color w:val="000000" w:themeColor="text1"/>
          <w:lang w:val="es-ES" w:eastAsia="es-ES"/>
        </w:rPr>
      </w:pPr>
    </w:p>
    <w:p w14:paraId="0995A0D2" w14:textId="77777777" w:rsidR="007968EC" w:rsidRPr="002C0D19" w:rsidRDefault="007968EC" w:rsidP="00DA7472">
      <w:pPr>
        <w:numPr>
          <w:ilvl w:val="0"/>
          <w:numId w:val="16"/>
        </w:numPr>
        <w:tabs>
          <w:tab w:val="num" w:pos="540"/>
        </w:tabs>
        <w:ind w:left="540" w:hanging="54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El Gerente de la Cámara podrá aplazar la fecha de retiro si el Miembro que ha solicitado su retiro o sus Terceros, tienen un retardo o Incumplimiento. </w:t>
      </w:r>
    </w:p>
    <w:p w14:paraId="4C475428" w14:textId="77777777" w:rsidR="007968EC" w:rsidRPr="002C0D19" w:rsidRDefault="007968EC" w:rsidP="007968EC">
      <w:pPr>
        <w:jc w:val="both"/>
        <w:rPr>
          <w:rFonts w:ascii="Arial Narrow" w:hAnsi="Arial Narrow" w:cs="Arial"/>
          <w:color w:val="000000" w:themeColor="text1"/>
          <w:lang w:val="es-ES" w:eastAsia="es-ES"/>
        </w:rPr>
      </w:pPr>
    </w:p>
    <w:p w14:paraId="67746163" w14:textId="77777777" w:rsidR="007968EC" w:rsidRPr="002C0D19" w:rsidRDefault="007968EC" w:rsidP="00DA7472">
      <w:pPr>
        <w:numPr>
          <w:ilvl w:val="0"/>
          <w:numId w:val="16"/>
        </w:numPr>
        <w:tabs>
          <w:tab w:val="num" w:pos="540"/>
        </w:tabs>
        <w:ind w:left="540" w:hanging="54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lastRenderedPageBreak/>
        <w:t xml:space="preserve">El Miembro que haya solicitado un retiro voluntario temporal que desee reanudar sus actividades, deberá comunicar por escrito tal hecho al Gerente de la Cámara, en la cual se identifique(n) el(los) Segmento(s) en que el Miembro está interesado en participar en la Compensación y Liquidación y acompañando los documentos que acrediten el cumplimiento de los requisitos establecidos en el artículo 2.1.1. y siguientes del Reglamento de Funcionamiento. El Gerente de la Cámara verificará el cumplimiento de los requisitos previo a aceptar la activación del Miembro. En caso de que éste no los cumpla negará la solicitud. La reanudación se informará a la Junta Directiva. </w:t>
      </w:r>
    </w:p>
    <w:p w14:paraId="76C91184" w14:textId="77777777" w:rsidR="007968EC" w:rsidRPr="002C0D19" w:rsidRDefault="007968EC" w:rsidP="007968EC">
      <w:pPr>
        <w:jc w:val="both"/>
        <w:rPr>
          <w:rFonts w:ascii="Arial Narrow" w:hAnsi="Arial Narrow" w:cs="Arial"/>
          <w:color w:val="000000" w:themeColor="text1"/>
          <w:lang w:val="es-ES" w:eastAsia="es-ES"/>
        </w:rPr>
      </w:pPr>
    </w:p>
    <w:p w14:paraId="1AB1ED24" w14:textId="77777777" w:rsidR="007968EC" w:rsidRDefault="007968EC" w:rsidP="007968EC">
      <w:pPr>
        <w:pStyle w:val="ARTICULO0"/>
      </w:pPr>
      <w:bookmarkStart w:id="723" w:name="_Toc472592063"/>
      <w:bookmarkStart w:id="724" w:name="_Toc472593082"/>
      <w:bookmarkStart w:id="725" w:name="_Toc479056868"/>
      <w:bookmarkStart w:id="726" w:name="_Toc31715876"/>
      <w:bookmarkStart w:id="727" w:name="_Toc470775371"/>
      <w:bookmarkStart w:id="728" w:name="_Toc470779656"/>
      <w:bookmarkStart w:id="729" w:name="_Toc470780273"/>
      <w:bookmarkStart w:id="730" w:name="_Toc470780786"/>
      <w:bookmarkStart w:id="731" w:name="_Toc470784347"/>
      <w:bookmarkStart w:id="732" w:name="_Toc470784884"/>
      <w:bookmarkStart w:id="733" w:name="_Toc470786907"/>
      <w:bookmarkStart w:id="734" w:name="_Toc470791260"/>
      <w:bookmarkStart w:id="735" w:name="_Toc490066164"/>
      <w:r w:rsidRPr="002C0D19">
        <w:t>Artículo 1.2.4.2. Retiro voluntario de un Agente.</w:t>
      </w:r>
      <w:bookmarkEnd w:id="723"/>
      <w:bookmarkEnd w:id="724"/>
      <w:bookmarkEnd w:id="725"/>
      <w:bookmarkEnd w:id="726"/>
      <w:r w:rsidRPr="002C0D19">
        <w:t xml:space="preserve"> </w:t>
      </w:r>
    </w:p>
    <w:p w14:paraId="36E33F0B" w14:textId="77777777" w:rsidR="007968EC" w:rsidRPr="00DE2FA7" w:rsidRDefault="007968EC" w:rsidP="007968EC">
      <w:pPr>
        <w:jc w:val="both"/>
        <w:rPr>
          <w:rFonts w:ascii="Arial Narrow" w:hAnsi="Arial Narrow" w:cs="Arial"/>
          <w:color w:val="000000" w:themeColor="text1"/>
          <w:lang w:eastAsia="es-ES"/>
        </w:rPr>
      </w:pPr>
    </w:p>
    <w:p w14:paraId="46F64EFB" w14:textId="77777777" w:rsidR="007968EC" w:rsidRPr="002C0D19" w:rsidRDefault="007968EC" w:rsidP="007968EC">
      <w:pPr>
        <w:pStyle w:val="ANTECEDENTES"/>
        <w:rPr>
          <w:u w:val="single"/>
        </w:rPr>
      </w:pPr>
      <w:r w:rsidRPr="002C0D19">
        <w:t xml:space="preserve">(Este artículo fue adicionado mediante Circular 10 del 18 de marzo de 2015, publicada en el Boletín Normativo No. 010 del 18 de marzo de 2015 y renumerado mediante </w:t>
      </w:r>
      <w:r w:rsidRPr="002C0D19">
        <w:rPr>
          <w:lang w:val="es-ES"/>
        </w:rPr>
        <w:t xml:space="preserve">Circular 19 del 28 de diciembre de 2016, publicada en el Boletín Normativo No. 024 del 28 de diciembre de 2016. </w:t>
      </w:r>
      <w:r w:rsidRPr="002C0D19">
        <w:t>Rige a partir del 29 de diciembre de 2016.</w:t>
      </w:r>
      <w:r w:rsidRPr="002C0D19">
        <w:rPr>
          <w:lang w:val="es-ES"/>
        </w:rPr>
        <w:t>)</w:t>
      </w:r>
      <w:bookmarkEnd w:id="727"/>
      <w:bookmarkEnd w:id="728"/>
      <w:bookmarkEnd w:id="729"/>
      <w:bookmarkEnd w:id="730"/>
      <w:bookmarkEnd w:id="731"/>
      <w:bookmarkEnd w:id="732"/>
      <w:bookmarkEnd w:id="733"/>
      <w:bookmarkEnd w:id="734"/>
      <w:bookmarkEnd w:id="735"/>
    </w:p>
    <w:p w14:paraId="7240BFAF" w14:textId="77777777" w:rsidR="007968EC" w:rsidRPr="002C0D19" w:rsidRDefault="007968EC" w:rsidP="007968EC">
      <w:pPr>
        <w:jc w:val="both"/>
        <w:rPr>
          <w:rFonts w:ascii="Arial Narrow" w:hAnsi="Arial Narrow" w:cs="Arial"/>
          <w:color w:val="000000" w:themeColor="text1"/>
          <w:lang w:val="es-ES" w:eastAsia="es-ES"/>
        </w:rPr>
      </w:pPr>
    </w:p>
    <w:p w14:paraId="390687DF" w14:textId="77777777" w:rsidR="007968EC" w:rsidRPr="002C0D19" w:rsidRDefault="007968EC" w:rsidP="007968EC">
      <w:pPr>
        <w:jc w:val="both"/>
        <w:rPr>
          <w:rFonts w:ascii="Arial Narrow" w:eastAsia="Calibri" w:hAnsi="Arial Narrow"/>
          <w:color w:val="000000" w:themeColor="text1"/>
          <w:lang w:val="es-ES"/>
        </w:rPr>
      </w:pPr>
      <w:r w:rsidRPr="002C0D19">
        <w:rPr>
          <w:rFonts w:ascii="Arial Narrow" w:eastAsia="Calibri" w:hAnsi="Arial Narrow"/>
          <w:color w:val="000000" w:themeColor="text1"/>
          <w:lang w:val="es-ES"/>
        </w:rPr>
        <w:t xml:space="preserve">El Agente que presente ante la Cámara una solicitud de retiro voluntario, temporal o definitivo, deberá observar las siguientes condiciones: </w:t>
      </w:r>
    </w:p>
    <w:p w14:paraId="4A97540C" w14:textId="77777777" w:rsidR="007968EC" w:rsidRPr="002C0D19" w:rsidRDefault="007968EC" w:rsidP="007968EC">
      <w:pPr>
        <w:jc w:val="both"/>
        <w:rPr>
          <w:rFonts w:ascii="Arial Narrow" w:eastAsia="Calibri" w:hAnsi="Arial Narrow"/>
          <w:b/>
          <w:color w:val="000000" w:themeColor="text1"/>
          <w:lang w:val="es-ES"/>
        </w:rPr>
      </w:pPr>
    </w:p>
    <w:p w14:paraId="2A8028A0" w14:textId="77777777" w:rsidR="007968EC" w:rsidRPr="002C0D19" w:rsidRDefault="007968EC" w:rsidP="00DA7472">
      <w:pPr>
        <w:numPr>
          <w:ilvl w:val="0"/>
          <w:numId w:val="119"/>
        </w:numPr>
        <w:tabs>
          <w:tab w:val="num" w:pos="459"/>
        </w:tabs>
        <w:ind w:left="459" w:hanging="459"/>
        <w:jc w:val="both"/>
        <w:rPr>
          <w:rFonts w:ascii="Arial Narrow" w:eastAsia="Calibri" w:hAnsi="Arial Narrow"/>
          <w:b/>
          <w:color w:val="000000" w:themeColor="text1"/>
          <w:lang w:val="es-ES"/>
        </w:rPr>
      </w:pPr>
      <w:r w:rsidRPr="002C0D19">
        <w:rPr>
          <w:rFonts w:ascii="Arial Narrow" w:eastAsia="Calibri" w:hAnsi="Arial Narrow"/>
          <w:color w:val="000000" w:themeColor="text1"/>
          <w:lang w:val="es-ES"/>
        </w:rPr>
        <w:t xml:space="preserve">Deberá enviar junto con la comunicación de solicitud de retiro, un plan detallado de retiro, en el cual se defina el manejo de las obligaciones de cada una de las Cuentas sobre la cual ejerce la actividad de custodia, y el cronograma de cumplimiento. </w:t>
      </w:r>
      <w:proofErr w:type="gramStart"/>
      <w:r w:rsidRPr="002C0D19">
        <w:rPr>
          <w:rFonts w:ascii="Arial Narrow" w:eastAsia="Calibri" w:hAnsi="Arial Narrow"/>
          <w:color w:val="000000" w:themeColor="text1"/>
          <w:lang w:val="es-ES"/>
        </w:rPr>
        <w:t>Éste</w:t>
      </w:r>
      <w:proofErr w:type="gramEnd"/>
      <w:r w:rsidRPr="002C0D19">
        <w:rPr>
          <w:rFonts w:ascii="Arial Narrow" w:eastAsia="Calibri" w:hAnsi="Arial Narrow"/>
          <w:color w:val="000000" w:themeColor="text1"/>
          <w:lang w:val="es-ES"/>
        </w:rPr>
        <w:t xml:space="preserve"> plan se deberá dar a conocer y ser aprobado previamente por los titulares de cada una de las Cuentas y los Miembros Liquidadores y aceptado por el Gerente de la Cámara. La solicitud de retiro será informada en la siguiente sesión de la Junta Directiva.</w:t>
      </w:r>
    </w:p>
    <w:p w14:paraId="11A35AEB" w14:textId="77777777" w:rsidR="007968EC" w:rsidRPr="002C0D19" w:rsidRDefault="007968EC" w:rsidP="007968EC">
      <w:pPr>
        <w:ind w:left="459"/>
        <w:jc w:val="both"/>
        <w:rPr>
          <w:rFonts w:ascii="Arial Narrow" w:eastAsia="Calibri" w:hAnsi="Arial Narrow"/>
          <w:b/>
          <w:color w:val="000000" w:themeColor="text1"/>
          <w:lang w:val="es-ES"/>
        </w:rPr>
      </w:pPr>
    </w:p>
    <w:p w14:paraId="42E3A637" w14:textId="77777777" w:rsidR="007968EC" w:rsidRPr="002C0D19" w:rsidRDefault="007968EC" w:rsidP="00DA7472">
      <w:pPr>
        <w:numPr>
          <w:ilvl w:val="0"/>
          <w:numId w:val="119"/>
        </w:numPr>
        <w:tabs>
          <w:tab w:val="num" w:pos="540"/>
        </w:tabs>
        <w:ind w:left="540" w:hanging="540"/>
        <w:jc w:val="both"/>
        <w:rPr>
          <w:rFonts w:ascii="Arial Narrow" w:eastAsia="Calibri" w:hAnsi="Arial Narrow"/>
          <w:b/>
          <w:color w:val="000000" w:themeColor="text1"/>
          <w:lang w:val="es-ES"/>
        </w:rPr>
      </w:pPr>
      <w:r w:rsidRPr="002C0D19">
        <w:rPr>
          <w:rFonts w:ascii="Arial Narrow" w:eastAsia="Calibri" w:hAnsi="Arial Narrow"/>
          <w:color w:val="000000" w:themeColor="text1"/>
          <w:lang w:val="es-ES"/>
        </w:rPr>
        <w:t>La Cámara le permitirá el acceso al Sistema siempre y cuando correspondan al plan de retiro detallado.</w:t>
      </w:r>
    </w:p>
    <w:p w14:paraId="326C5257" w14:textId="77777777" w:rsidR="007968EC" w:rsidRPr="002C0D19" w:rsidRDefault="007968EC" w:rsidP="007968EC">
      <w:pPr>
        <w:jc w:val="both"/>
        <w:rPr>
          <w:rFonts w:ascii="Arial Narrow" w:hAnsi="Arial Narrow" w:cs="Arial"/>
          <w:color w:val="000000" w:themeColor="text1"/>
          <w:lang w:val="es-ES" w:eastAsia="es-ES"/>
        </w:rPr>
      </w:pPr>
    </w:p>
    <w:p w14:paraId="009F9C97" w14:textId="77777777" w:rsidR="007968EC" w:rsidRDefault="007968EC" w:rsidP="007968EC">
      <w:pPr>
        <w:pStyle w:val="ARTICULO0"/>
        <w:rPr>
          <w:i/>
        </w:rPr>
      </w:pPr>
      <w:bookmarkStart w:id="736" w:name="_Toc472592064"/>
      <w:bookmarkStart w:id="737" w:name="_Toc472593083"/>
      <w:bookmarkStart w:id="738" w:name="_Toc479056869"/>
      <w:bookmarkStart w:id="739" w:name="_Toc31715877"/>
      <w:bookmarkStart w:id="740" w:name="_Toc470775372"/>
      <w:bookmarkStart w:id="741" w:name="_Toc470779657"/>
      <w:bookmarkStart w:id="742" w:name="_Toc470780274"/>
      <w:bookmarkStart w:id="743" w:name="_Toc470780787"/>
      <w:bookmarkStart w:id="744" w:name="_Toc470784348"/>
      <w:bookmarkStart w:id="745" w:name="_Toc470784885"/>
      <w:bookmarkStart w:id="746" w:name="_Toc470786908"/>
      <w:bookmarkStart w:id="747" w:name="_Toc470791261"/>
      <w:bookmarkStart w:id="748" w:name="_Toc490066165"/>
      <w:r w:rsidRPr="002C0D19">
        <w:t>Artículo 1.2.4.3. Retiro voluntario de un Miembro de la Compensación y Liquidación de un Segmento.</w:t>
      </w:r>
      <w:bookmarkEnd w:id="736"/>
      <w:bookmarkEnd w:id="737"/>
      <w:bookmarkEnd w:id="738"/>
      <w:bookmarkEnd w:id="739"/>
      <w:r w:rsidRPr="002C0D19">
        <w:rPr>
          <w:i/>
        </w:rPr>
        <w:t xml:space="preserve"> </w:t>
      </w:r>
    </w:p>
    <w:p w14:paraId="0646FD30" w14:textId="77777777" w:rsidR="007968EC" w:rsidRPr="00B84E49" w:rsidRDefault="007968EC" w:rsidP="007968EC">
      <w:pPr>
        <w:jc w:val="both"/>
        <w:rPr>
          <w:rFonts w:ascii="Arial Narrow" w:hAnsi="Arial Narrow" w:cs="Arial"/>
          <w:color w:val="000000" w:themeColor="text1"/>
          <w:lang w:eastAsia="es-ES"/>
        </w:rPr>
      </w:pPr>
    </w:p>
    <w:p w14:paraId="6C6BD3FB" w14:textId="77777777" w:rsidR="007968EC" w:rsidRPr="002C0D19" w:rsidRDefault="007968EC" w:rsidP="007968EC">
      <w:pPr>
        <w:pStyle w:val="ANTECEDENTES"/>
        <w:rPr>
          <w:u w:val="single"/>
        </w:rPr>
      </w:pPr>
      <w:r w:rsidRPr="002C0D19">
        <w:t>(Este artículo fue adicionado mediante Circular 19 del 28 de diciembre de 2016, publicada en el Boletín Normativo No. 024 del 28 de diciembre de 2010</w:t>
      </w:r>
      <w:r w:rsidRPr="002C0D19">
        <w:rPr>
          <w:lang w:val="es-ES"/>
        </w:rPr>
        <w:t>. Rige a partir del 29 de diciembre de 2016.)</w:t>
      </w:r>
      <w:bookmarkEnd w:id="740"/>
      <w:bookmarkEnd w:id="741"/>
      <w:bookmarkEnd w:id="742"/>
      <w:bookmarkEnd w:id="743"/>
      <w:bookmarkEnd w:id="744"/>
      <w:bookmarkEnd w:id="745"/>
      <w:bookmarkEnd w:id="746"/>
      <w:bookmarkEnd w:id="747"/>
      <w:bookmarkEnd w:id="748"/>
      <w:r w:rsidRPr="002C0D19">
        <w:rPr>
          <w:lang w:val="es-ES"/>
        </w:rPr>
        <w:t xml:space="preserve">     </w:t>
      </w:r>
    </w:p>
    <w:p w14:paraId="7FB03CB3" w14:textId="77777777" w:rsidR="007968EC" w:rsidRPr="002C0D19" w:rsidRDefault="007968EC" w:rsidP="007968EC">
      <w:pPr>
        <w:jc w:val="both"/>
        <w:rPr>
          <w:rFonts w:ascii="Arial Narrow" w:hAnsi="Arial Narrow" w:cs="Arial"/>
          <w:color w:val="000000" w:themeColor="text1"/>
          <w:lang w:val="es-ES" w:eastAsia="es-ES"/>
        </w:rPr>
      </w:pPr>
    </w:p>
    <w:p w14:paraId="27158B00" w14:textId="77777777" w:rsidR="007968EC" w:rsidRPr="002C0D19" w:rsidRDefault="007968EC" w:rsidP="007968EC">
      <w:pPr>
        <w:jc w:val="both"/>
        <w:rPr>
          <w:rFonts w:ascii="Arial Narrow" w:eastAsia="Calibri" w:hAnsi="Arial Narrow"/>
          <w:color w:val="000000" w:themeColor="text1"/>
          <w:lang w:val="es-ES"/>
        </w:rPr>
      </w:pPr>
      <w:r w:rsidRPr="002C0D19">
        <w:rPr>
          <w:rFonts w:ascii="Arial Narrow" w:eastAsia="Calibri" w:hAnsi="Arial Narrow"/>
          <w:color w:val="000000" w:themeColor="text1"/>
          <w:lang w:val="es-ES"/>
        </w:rPr>
        <w:t xml:space="preserve">En el evento en que un Miembro, con posterioridad a su admisión, se encuentre interesado en retirarse voluntariamente de la Compensación y Liquidación de algún Segmento, deberá observar el procedimiento operativo de retiro definido en la presente Circular para el Segmento de que se trate. </w:t>
      </w:r>
    </w:p>
    <w:p w14:paraId="00824F1A" w14:textId="77777777" w:rsidR="007968EC" w:rsidRPr="002C0D19" w:rsidRDefault="007968EC" w:rsidP="007968EC">
      <w:pPr>
        <w:jc w:val="both"/>
        <w:rPr>
          <w:rFonts w:ascii="Arial Narrow" w:hAnsi="Arial Narrow" w:cs="Arial"/>
          <w:color w:val="000000" w:themeColor="text1"/>
          <w:lang w:val="es-ES" w:eastAsia="es-ES"/>
        </w:rPr>
      </w:pPr>
    </w:p>
    <w:p w14:paraId="22215298" w14:textId="77777777" w:rsidR="007968EC" w:rsidRPr="002C0D19" w:rsidRDefault="007968EC" w:rsidP="007968EC">
      <w:pPr>
        <w:jc w:val="both"/>
        <w:rPr>
          <w:rFonts w:ascii="Arial Narrow" w:eastAsia="Calibri" w:hAnsi="Arial Narrow"/>
          <w:color w:val="000000" w:themeColor="text1"/>
          <w:lang w:val="es-ES"/>
        </w:rPr>
      </w:pPr>
      <w:r w:rsidRPr="002C0D19">
        <w:rPr>
          <w:rFonts w:ascii="Arial Narrow" w:eastAsia="Calibri" w:hAnsi="Arial Narrow"/>
          <w:b/>
          <w:color w:val="000000" w:themeColor="text1"/>
          <w:lang w:val="es-ES"/>
        </w:rPr>
        <w:t>Parágrafo.</w:t>
      </w:r>
      <w:r w:rsidRPr="002C0D19">
        <w:rPr>
          <w:rFonts w:ascii="Arial Narrow" w:eastAsia="Calibri" w:hAnsi="Arial Narrow" w:cs="Arial"/>
          <w:color w:val="000000" w:themeColor="text1"/>
          <w:lang w:val="es-ES" w:eastAsia="es-ES"/>
        </w:rPr>
        <w:t xml:space="preserve"> </w:t>
      </w:r>
      <w:r w:rsidRPr="002C0D19">
        <w:rPr>
          <w:rFonts w:ascii="Arial Narrow" w:eastAsia="Calibri" w:hAnsi="Arial Narrow"/>
          <w:color w:val="000000" w:themeColor="text1"/>
          <w:lang w:val="es-ES"/>
        </w:rPr>
        <w:t>El retiro de un Miembro Liquidador General de uno o varios Segmentos implicará el retiro de los Miembros No Liquidadores que se encuentren bajo su estructura de Cuentas en tales Segmentos.</w:t>
      </w:r>
    </w:p>
    <w:p w14:paraId="736A42E5" w14:textId="77777777" w:rsidR="007968EC" w:rsidRPr="002C0D19" w:rsidRDefault="007968EC" w:rsidP="00074A74">
      <w:pPr>
        <w:pStyle w:val="Ttulo0"/>
      </w:pPr>
    </w:p>
    <w:p w14:paraId="4E9540F1" w14:textId="77777777" w:rsidR="007968EC" w:rsidRPr="002C0D19" w:rsidRDefault="007968EC" w:rsidP="007968EC">
      <w:pPr>
        <w:pStyle w:val="TTULO"/>
        <w:rPr>
          <w:lang w:val="es-ES"/>
        </w:rPr>
      </w:pPr>
      <w:bookmarkStart w:id="749" w:name="_Toc470775373"/>
      <w:bookmarkStart w:id="750" w:name="_Toc470779658"/>
      <w:bookmarkStart w:id="751" w:name="_Toc470780275"/>
      <w:bookmarkStart w:id="752" w:name="_Toc470780788"/>
      <w:bookmarkStart w:id="753" w:name="_Toc470784349"/>
      <w:bookmarkStart w:id="754" w:name="_Toc470784886"/>
      <w:bookmarkStart w:id="755" w:name="_Toc470786909"/>
      <w:bookmarkStart w:id="756" w:name="_Toc470791262"/>
      <w:bookmarkStart w:id="757" w:name="_Toc472592065"/>
      <w:bookmarkStart w:id="758" w:name="_Toc472593084"/>
      <w:bookmarkStart w:id="759" w:name="_Toc479056870"/>
      <w:bookmarkStart w:id="760" w:name="_Toc490066166"/>
      <w:bookmarkStart w:id="761" w:name="_Toc31715878"/>
      <w:r w:rsidRPr="002C0D19">
        <w:rPr>
          <w:lang w:val="es-ES"/>
        </w:rPr>
        <w:t>CAPITULO QUINTO</w:t>
      </w:r>
      <w:bookmarkEnd w:id="749"/>
      <w:bookmarkEnd w:id="750"/>
      <w:bookmarkEnd w:id="751"/>
      <w:bookmarkEnd w:id="752"/>
      <w:bookmarkEnd w:id="753"/>
      <w:bookmarkEnd w:id="754"/>
      <w:bookmarkEnd w:id="755"/>
      <w:bookmarkEnd w:id="756"/>
      <w:bookmarkEnd w:id="757"/>
      <w:bookmarkEnd w:id="758"/>
      <w:bookmarkEnd w:id="759"/>
      <w:bookmarkEnd w:id="760"/>
      <w:bookmarkEnd w:id="761"/>
    </w:p>
    <w:p w14:paraId="4EE93571" w14:textId="77777777" w:rsidR="007968EC" w:rsidRPr="002C0D19" w:rsidRDefault="007968EC" w:rsidP="007968EC">
      <w:pPr>
        <w:pStyle w:val="TTULO"/>
        <w:rPr>
          <w:lang w:val="es-ES"/>
        </w:rPr>
      </w:pPr>
    </w:p>
    <w:p w14:paraId="63B40C5C" w14:textId="77777777" w:rsidR="007968EC" w:rsidRPr="002C0D19" w:rsidRDefault="007968EC" w:rsidP="007968EC">
      <w:pPr>
        <w:pStyle w:val="TTULO"/>
        <w:rPr>
          <w:lang w:val="es-ES"/>
        </w:rPr>
      </w:pPr>
      <w:bookmarkStart w:id="762" w:name="_Toc472592066"/>
      <w:bookmarkStart w:id="763" w:name="_Toc472593085"/>
      <w:bookmarkStart w:id="764" w:name="_Toc479056871"/>
      <w:bookmarkStart w:id="765" w:name="_Toc490066167"/>
      <w:bookmarkStart w:id="766" w:name="_Toc31715879"/>
      <w:r w:rsidRPr="002C0D19">
        <w:rPr>
          <w:lang w:val="es-ES"/>
        </w:rPr>
        <w:t>DEL ACCESO AL SISTEMA QUE ADMINISTRA LA CÁMARA Y DE SU ADMINISTRACIÓN</w:t>
      </w:r>
      <w:bookmarkEnd w:id="762"/>
      <w:bookmarkEnd w:id="763"/>
      <w:bookmarkEnd w:id="764"/>
      <w:bookmarkEnd w:id="765"/>
      <w:bookmarkEnd w:id="766"/>
    </w:p>
    <w:p w14:paraId="0D4B1D3C" w14:textId="77777777" w:rsidR="007968EC" w:rsidRPr="002C0D19" w:rsidRDefault="007968EC" w:rsidP="007968EC">
      <w:pPr>
        <w:jc w:val="center"/>
        <w:outlineLvl w:val="1"/>
        <w:rPr>
          <w:rFonts w:ascii="Arial Narrow" w:hAnsi="Arial Narrow" w:cs="Arial"/>
          <w:b/>
          <w:color w:val="000000" w:themeColor="text1"/>
          <w:lang w:val="es-ES" w:eastAsia="es-ES"/>
        </w:rPr>
      </w:pPr>
    </w:p>
    <w:p w14:paraId="15AD4B49" w14:textId="77777777" w:rsidR="007968EC" w:rsidRDefault="007968EC" w:rsidP="007968EC">
      <w:pPr>
        <w:pStyle w:val="ARTICULO0"/>
        <w:rPr>
          <w:i/>
        </w:rPr>
      </w:pPr>
      <w:bookmarkStart w:id="767" w:name="_Toc472592067"/>
      <w:bookmarkStart w:id="768" w:name="_Toc472593086"/>
      <w:bookmarkStart w:id="769" w:name="_Toc479056872"/>
      <w:bookmarkStart w:id="770" w:name="_Toc31715880"/>
      <w:bookmarkStart w:id="771" w:name="_Toc470775374"/>
      <w:bookmarkStart w:id="772" w:name="_Toc470779659"/>
      <w:bookmarkStart w:id="773" w:name="_Toc470780276"/>
      <w:bookmarkStart w:id="774" w:name="_Toc470780789"/>
      <w:bookmarkStart w:id="775" w:name="_Toc470784350"/>
      <w:bookmarkStart w:id="776" w:name="_Toc470784887"/>
      <w:bookmarkStart w:id="777" w:name="_Toc470786910"/>
      <w:bookmarkStart w:id="778" w:name="_Toc470791263"/>
      <w:bookmarkStart w:id="779" w:name="_Toc490066168"/>
      <w:r w:rsidRPr="002C0D19">
        <w:lastRenderedPageBreak/>
        <w:t>Artículo 1.2.5.1. Administración del Sistema.</w:t>
      </w:r>
      <w:bookmarkEnd w:id="767"/>
      <w:bookmarkEnd w:id="768"/>
      <w:bookmarkEnd w:id="769"/>
      <w:bookmarkEnd w:id="770"/>
      <w:r w:rsidRPr="002C0D19">
        <w:rPr>
          <w:i/>
        </w:rPr>
        <w:t xml:space="preserve"> </w:t>
      </w:r>
    </w:p>
    <w:p w14:paraId="342DE3BF" w14:textId="77777777" w:rsidR="007968EC" w:rsidRPr="00B84E49" w:rsidRDefault="007968EC" w:rsidP="007968EC">
      <w:pPr>
        <w:jc w:val="both"/>
        <w:rPr>
          <w:rFonts w:ascii="Arial Narrow" w:hAnsi="Arial Narrow" w:cs="Arial"/>
          <w:color w:val="000000" w:themeColor="text1"/>
          <w:lang w:eastAsia="es-ES"/>
        </w:rPr>
      </w:pPr>
    </w:p>
    <w:p w14:paraId="5F86E104" w14:textId="77777777" w:rsidR="007968EC" w:rsidRPr="002C0D19" w:rsidRDefault="007968EC" w:rsidP="007968EC">
      <w:pPr>
        <w:pStyle w:val="ANTECEDENTES"/>
        <w:rPr>
          <w:u w:val="single"/>
        </w:rPr>
      </w:pPr>
      <w:r w:rsidRPr="002C0D19">
        <w:t>(Este artículo fue renumerado mediante Circular 19 del 28 de diciembre de 2016, publicada en el Boletín Normativo No. 024 del 28 de diciembre de 2016. Rige a partir del 29 de diciembre de 2016.)</w:t>
      </w:r>
      <w:bookmarkEnd w:id="771"/>
      <w:bookmarkEnd w:id="772"/>
      <w:bookmarkEnd w:id="773"/>
      <w:bookmarkEnd w:id="774"/>
      <w:bookmarkEnd w:id="775"/>
      <w:bookmarkEnd w:id="776"/>
      <w:bookmarkEnd w:id="777"/>
      <w:bookmarkEnd w:id="778"/>
      <w:bookmarkEnd w:id="779"/>
    </w:p>
    <w:p w14:paraId="54732CFF" w14:textId="77777777" w:rsidR="007968EC" w:rsidRPr="002C0D19" w:rsidRDefault="007968EC" w:rsidP="007968EC">
      <w:pPr>
        <w:jc w:val="both"/>
        <w:rPr>
          <w:rFonts w:ascii="Arial Narrow" w:hAnsi="Arial Narrow" w:cs="Arial"/>
          <w:color w:val="000000" w:themeColor="text1"/>
          <w:lang w:eastAsia="es-ES"/>
        </w:rPr>
      </w:pPr>
    </w:p>
    <w:p w14:paraId="6192049B" w14:textId="77777777" w:rsidR="007968EC" w:rsidRPr="002C0D19" w:rsidRDefault="007968EC" w:rsidP="007968EC">
      <w:pPr>
        <w:jc w:val="both"/>
        <w:rPr>
          <w:rFonts w:ascii="Arial Narrow" w:hAnsi="Arial Narrow" w:cs="Arial"/>
          <w:color w:val="000000" w:themeColor="text1"/>
          <w:lang w:eastAsia="es-ES"/>
        </w:rPr>
      </w:pPr>
      <w:bookmarkStart w:id="780" w:name="_Toc206931212"/>
      <w:r w:rsidRPr="002C0D19">
        <w:rPr>
          <w:rFonts w:ascii="Arial Narrow" w:hAnsi="Arial Narrow" w:cs="Arial"/>
          <w:color w:val="000000" w:themeColor="text1"/>
          <w:lang w:eastAsia="es-ES"/>
        </w:rPr>
        <w:t>El Administrador del Sistema es la Cámara de Riesgo Central de Contraparte de Colombia S.A., en adelante el Administrador o la Cámara, a través de sus órganos de dirección y administración. Adicionalmente para el ejercicio de sus funciones el Administrador podrá contar con un Comité Técnico de Miembros en los términos que establezca la Junta Directiva.</w:t>
      </w:r>
      <w:bookmarkEnd w:id="780"/>
      <w:r w:rsidRPr="002C0D19">
        <w:rPr>
          <w:rFonts w:ascii="Arial Narrow" w:hAnsi="Arial Narrow" w:cs="Arial"/>
          <w:color w:val="000000" w:themeColor="text1"/>
          <w:lang w:eastAsia="es-ES"/>
        </w:rPr>
        <w:t xml:space="preserve"> </w:t>
      </w:r>
    </w:p>
    <w:p w14:paraId="39C7A392" w14:textId="77777777" w:rsidR="007968EC" w:rsidRPr="002C0D19" w:rsidRDefault="007968EC" w:rsidP="007968EC">
      <w:pPr>
        <w:jc w:val="both"/>
        <w:rPr>
          <w:rFonts w:ascii="Arial Narrow" w:hAnsi="Arial Narrow" w:cs="Arial"/>
          <w:color w:val="000000" w:themeColor="text1"/>
          <w:lang w:eastAsia="es-ES"/>
        </w:rPr>
      </w:pPr>
    </w:p>
    <w:p w14:paraId="3ADAFC25" w14:textId="77777777" w:rsidR="007968EC" w:rsidRDefault="007968EC" w:rsidP="007968EC">
      <w:pPr>
        <w:pStyle w:val="ARTICULO0"/>
      </w:pPr>
      <w:bookmarkStart w:id="781" w:name="_Toc472592068"/>
      <w:bookmarkStart w:id="782" w:name="_Toc472593087"/>
      <w:bookmarkStart w:id="783" w:name="_Toc479056873"/>
      <w:bookmarkStart w:id="784" w:name="_Toc31715881"/>
      <w:bookmarkStart w:id="785" w:name="_Toc470775375"/>
      <w:bookmarkStart w:id="786" w:name="_Toc470779660"/>
      <w:bookmarkStart w:id="787" w:name="_Toc470780277"/>
      <w:bookmarkStart w:id="788" w:name="_Toc470780790"/>
      <w:bookmarkStart w:id="789" w:name="_Toc470784351"/>
      <w:bookmarkStart w:id="790" w:name="_Toc470784888"/>
      <w:bookmarkStart w:id="791" w:name="_Toc470786911"/>
      <w:bookmarkStart w:id="792" w:name="_Toc470791264"/>
      <w:bookmarkStart w:id="793" w:name="_Toc490066169"/>
      <w:r w:rsidRPr="002C0D19">
        <w:t>Artículo 1.2.5.2. Creación de los Miembros y Agentes en el Sistema de Cámara.</w:t>
      </w:r>
      <w:bookmarkEnd w:id="781"/>
      <w:bookmarkEnd w:id="782"/>
      <w:bookmarkEnd w:id="783"/>
      <w:bookmarkEnd w:id="784"/>
      <w:r w:rsidRPr="002C0D19">
        <w:t xml:space="preserve"> </w:t>
      </w:r>
      <w:bookmarkEnd w:id="785"/>
      <w:bookmarkEnd w:id="786"/>
      <w:bookmarkEnd w:id="787"/>
      <w:bookmarkEnd w:id="788"/>
      <w:bookmarkEnd w:id="789"/>
      <w:bookmarkEnd w:id="790"/>
      <w:bookmarkEnd w:id="791"/>
      <w:bookmarkEnd w:id="792"/>
    </w:p>
    <w:p w14:paraId="7E07E4B0" w14:textId="77777777" w:rsidR="007968EC" w:rsidRPr="00B84E49" w:rsidRDefault="007968EC" w:rsidP="007968EC">
      <w:pPr>
        <w:jc w:val="both"/>
        <w:rPr>
          <w:rFonts w:ascii="Arial Narrow" w:hAnsi="Arial Narrow" w:cs="Arial"/>
          <w:color w:val="000000" w:themeColor="text1"/>
          <w:lang w:eastAsia="es-ES"/>
        </w:rPr>
      </w:pPr>
    </w:p>
    <w:p w14:paraId="0FDD3E8F" w14:textId="77777777" w:rsidR="007968EC" w:rsidRPr="002C0D19" w:rsidRDefault="007968EC" w:rsidP="007968EC">
      <w:pPr>
        <w:pStyle w:val="ANTECEDENTES"/>
        <w:rPr>
          <w:u w:val="single"/>
        </w:rPr>
      </w:pPr>
      <w:r w:rsidRPr="002C0D19">
        <w:t>(Este artículo fue modificado mediante Circular 10 del 18 de marzo de 2015, publicada en el Boletín Normativo No. 010 del 18 de marzo de 2015 y mediante Circular 19 del 28 de diciembre de 2016, publicada en el Boletín Normativo No. 024 del 28 de diciembre de 2016. Rige a partir del 29 de diciembre de 2016.)</w:t>
      </w:r>
      <w:bookmarkEnd w:id="793"/>
    </w:p>
    <w:p w14:paraId="35B5A8ED" w14:textId="77777777" w:rsidR="007968EC" w:rsidRPr="002C0D19" w:rsidRDefault="007968EC" w:rsidP="007968EC">
      <w:pPr>
        <w:jc w:val="both"/>
        <w:rPr>
          <w:rFonts w:ascii="Arial Narrow" w:hAnsi="Arial Narrow" w:cs="Arial"/>
          <w:color w:val="000000" w:themeColor="text1"/>
          <w:lang w:eastAsia="es-ES"/>
        </w:rPr>
      </w:pPr>
    </w:p>
    <w:p w14:paraId="151E4FB0"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Una vez el Miembro y/o el Agente sean admitidos por la Cámara, y se realice la afiliación al Sistema con la aceptación de la Oferta de Servicios mediante la Orden de Compra de Servicios, se dará inicio al proceso de creación del Miembro y/o del Agente en el Sistema de la Cámara. Así mismo, con base en el resultado del proceso de admisión las áreas de tecnología y operaciones alistarán y activarán la infraestructura tecnológica y operacional del Miembro y el Agente, para lo cual se exige el cumplimiento de todos los requerimientos de infraestructura tecnológica, que deben encontrarse activos y probados.</w:t>
      </w:r>
    </w:p>
    <w:p w14:paraId="46E3C045" w14:textId="77777777" w:rsidR="007968EC" w:rsidRPr="002C0D19" w:rsidRDefault="007968EC" w:rsidP="007968EC">
      <w:pPr>
        <w:jc w:val="both"/>
        <w:rPr>
          <w:rFonts w:ascii="Arial Narrow" w:hAnsi="Arial Narrow" w:cs="Arial"/>
          <w:color w:val="000000" w:themeColor="text1"/>
          <w:lang w:eastAsia="es-ES"/>
        </w:rPr>
      </w:pPr>
    </w:p>
    <w:p w14:paraId="2A53ECC9"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El Administrador del Sistema cumplirá el siguiente procedimiento para la creación de los Miembros y/o Agentes.</w:t>
      </w:r>
    </w:p>
    <w:p w14:paraId="70AFAD10" w14:textId="77777777" w:rsidR="007968EC" w:rsidRPr="002C0D19" w:rsidRDefault="007968EC" w:rsidP="007968EC">
      <w:pPr>
        <w:jc w:val="both"/>
        <w:rPr>
          <w:rFonts w:ascii="Arial Narrow" w:hAnsi="Arial Narrow" w:cs="Arial"/>
          <w:color w:val="000000" w:themeColor="text1"/>
          <w:lang w:eastAsia="es-ES"/>
        </w:rPr>
      </w:pPr>
    </w:p>
    <w:p w14:paraId="1E8F3B0C" w14:textId="77777777" w:rsidR="007968EC" w:rsidRDefault="007968EC" w:rsidP="00DA7472">
      <w:pPr>
        <w:numPr>
          <w:ilvl w:val="6"/>
          <w:numId w:val="22"/>
        </w:numPr>
        <w:tabs>
          <w:tab w:val="num" w:pos="540"/>
        </w:tabs>
        <w:ind w:left="540" w:hanging="540"/>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Verifica y valida los siguientes datos básicos asociados a la información de referencia del Miembro y/o Agente admitido: </w:t>
      </w:r>
    </w:p>
    <w:p w14:paraId="77D8F520" w14:textId="77777777" w:rsidR="007968EC" w:rsidRPr="002C0D19" w:rsidRDefault="007968EC" w:rsidP="007968EC">
      <w:pPr>
        <w:tabs>
          <w:tab w:val="num" w:pos="3600"/>
        </w:tabs>
        <w:ind w:left="540"/>
        <w:jc w:val="both"/>
        <w:rPr>
          <w:rFonts w:ascii="Arial Narrow" w:hAnsi="Arial Narrow" w:cs="Arial"/>
          <w:color w:val="000000" w:themeColor="text1"/>
          <w:lang w:eastAsia="es-ES"/>
        </w:rPr>
      </w:pPr>
    </w:p>
    <w:tbl>
      <w:tblPr>
        <w:tblW w:w="71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7188"/>
      </w:tblGrid>
      <w:tr w:rsidR="007968EC" w:rsidRPr="002C0D19" w14:paraId="2640CFDD" w14:textId="77777777" w:rsidTr="007968EC">
        <w:trPr>
          <w:trHeight w:val="221"/>
          <w:jc w:val="center"/>
        </w:trPr>
        <w:tc>
          <w:tcPr>
            <w:tcW w:w="7188" w:type="dxa"/>
            <w:tcBorders>
              <w:top w:val="single" w:sz="12" w:space="0" w:color="auto"/>
              <w:left w:val="single" w:sz="12" w:space="0" w:color="auto"/>
              <w:bottom w:val="single" w:sz="12" w:space="0" w:color="auto"/>
              <w:right w:val="single" w:sz="12" w:space="0" w:color="auto"/>
              <w:tl2br w:val="nil"/>
              <w:tr2bl w:val="nil"/>
            </w:tcBorders>
            <w:shd w:val="clear" w:color="auto" w:fill="D9D9D9"/>
          </w:tcPr>
          <w:p w14:paraId="5940CE8D" w14:textId="77777777" w:rsidR="007968EC" w:rsidRPr="002C0D19" w:rsidRDefault="007968EC" w:rsidP="007968EC">
            <w:pPr>
              <w:jc w:val="both"/>
              <w:rPr>
                <w:rFonts w:ascii="Arial Narrow" w:hAnsi="Arial Narrow" w:cs="Arial"/>
                <w:color w:val="000000" w:themeColor="text1"/>
                <w:lang w:val="pt-BR" w:eastAsia="es-ES"/>
              </w:rPr>
            </w:pPr>
            <w:r w:rsidRPr="002C0D19">
              <w:rPr>
                <w:rFonts w:ascii="Arial Narrow" w:hAnsi="Arial Narrow" w:cs="Arial"/>
                <w:color w:val="000000" w:themeColor="text1"/>
                <w:lang w:val="pt-BR" w:eastAsia="es-ES"/>
              </w:rPr>
              <w:t xml:space="preserve">Código de </w:t>
            </w:r>
            <w:proofErr w:type="spellStart"/>
            <w:r w:rsidRPr="002C0D19">
              <w:rPr>
                <w:rFonts w:ascii="Arial Narrow" w:hAnsi="Arial Narrow" w:cs="Arial"/>
                <w:color w:val="000000" w:themeColor="text1"/>
                <w:lang w:val="pt-BR" w:eastAsia="es-ES"/>
              </w:rPr>
              <w:t>Miembro</w:t>
            </w:r>
            <w:proofErr w:type="spellEnd"/>
            <w:r w:rsidRPr="002C0D19">
              <w:rPr>
                <w:rFonts w:ascii="Arial Narrow" w:hAnsi="Arial Narrow" w:cs="Arial"/>
                <w:color w:val="000000" w:themeColor="text1"/>
                <w:lang w:val="pt-BR" w:eastAsia="es-ES"/>
              </w:rPr>
              <w:t xml:space="preserve"> o Agente</w:t>
            </w:r>
          </w:p>
        </w:tc>
      </w:tr>
      <w:tr w:rsidR="007968EC" w:rsidRPr="002C0D19" w14:paraId="1F9AE430" w14:textId="77777777" w:rsidTr="007968EC">
        <w:trPr>
          <w:trHeight w:val="221"/>
          <w:jc w:val="center"/>
        </w:trPr>
        <w:tc>
          <w:tcPr>
            <w:tcW w:w="7188" w:type="dxa"/>
          </w:tcPr>
          <w:p w14:paraId="1F73268E"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Nombre Completo de Miembro o Agente</w:t>
            </w:r>
          </w:p>
        </w:tc>
      </w:tr>
      <w:tr w:rsidR="007968EC" w:rsidRPr="002C0D19" w14:paraId="2F4EF6DC" w14:textId="77777777" w:rsidTr="007968EC">
        <w:trPr>
          <w:trHeight w:val="221"/>
          <w:jc w:val="center"/>
        </w:trPr>
        <w:tc>
          <w:tcPr>
            <w:tcW w:w="7188" w:type="dxa"/>
          </w:tcPr>
          <w:p w14:paraId="1430CDAC"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Nombre Abreviado del Miembro o Agente</w:t>
            </w:r>
          </w:p>
        </w:tc>
      </w:tr>
      <w:tr w:rsidR="007968EC" w:rsidRPr="002C0D19" w14:paraId="3E087056" w14:textId="77777777" w:rsidTr="007968EC">
        <w:trPr>
          <w:trHeight w:val="221"/>
          <w:jc w:val="center"/>
        </w:trPr>
        <w:tc>
          <w:tcPr>
            <w:tcW w:w="7188" w:type="dxa"/>
          </w:tcPr>
          <w:p w14:paraId="03611251"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NIT</w:t>
            </w:r>
          </w:p>
        </w:tc>
      </w:tr>
      <w:tr w:rsidR="007968EC" w:rsidRPr="002C0D19" w14:paraId="45F562B9" w14:textId="77777777" w:rsidTr="007968EC">
        <w:trPr>
          <w:trHeight w:val="221"/>
          <w:jc w:val="center"/>
        </w:trPr>
        <w:tc>
          <w:tcPr>
            <w:tcW w:w="7188" w:type="dxa"/>
          </w:tcPr>
          <w:p w14:paraId="64CA74F2"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Fecha de Alta en el sistema (DDMMYY)</w:t>
            </w:r>
          </w:p>
        </w:tc>
      </w:tr>
      <w:tr w:rsidR="007968EC" w:rsidRPr="002C0D19" w14:paraId="31F5AA4D" w14:textId="77777777" w:rsidTr="007968EC">
        <w:trPr>
          <w:trHeight w:val="221"/>
          <w:jc w:val="center"/>
        </w:trPr>
        <w:tc>
          <w:tcPr>
            <w:tcW w:w="7188" w:type="dxa"/>
          </w:tcPr>
          <w:p w14:paraId="71D921E1"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Código del miembro como afiliado de Bolsa de Valores de Colombia</w:t>
            </w:r>
          </w:p>
        </w:tc>
      </w:tr>
      <w:tr w:rsidR="007968EC" w:rsidRPr="002C0D19" w14:paraId="0018AE7F" w14:textId="77777777" w:rsidTr="007968EC">
        <w:trPr>
          <w:trHeight w:val="221"/>
          <w:jc w:val="center"/>
        </w:trPr>
        <w:tc>
          <w:tcPr>
            <w:tcW w:w="7188" w:type="dxa"/>
          </w:tcPr>
          <w:p w14:paraId="389325AA"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Código de Entidad en DECEVAL</w:t>
            </w:r>
          </w:p>
        </w:tc>
      </w:tr>
      <w:tr w:rsidR="007968EC" w:rsidRPr="002C0D19" w14:paraId="4A6ED842" w14:textId="77777777" w:rsidTr="007968EC">
        <w:trPr>
          <w:trHeight w:val="221"/>
          <w:jc w:val="center"/>
        </w:trPr>
        <w:tc>
          <w:tcPr>
            <w:tcW w:w="7188" w:type="dxa"/>
          </w:tcPr>
          <w:p w14:paraId="4DEAF968"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Código de Entidad en DCV</w:t>
            </w:r>
          </w:p>
        </w:tc>
      </w:tr>
      <w:tr w:rsidR="007968EC" w:rsidRPr="002C0D19" w14:paraId="41F95938" w14:textId="77777777" w:rsidTr="007968EC">
        <w:trPr>
          <w:trHeight w:val="221"/>
          <w:jc w:val="center"/>
        </w:trPr>
        <w:tc>
          <w:tcPr>
            <w:tcW w:w="7188" w:type="dxa"/>
          </w:tcPr>
          <w:p w14:paraId="196B3C69"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Estado de Activación: “S” Baja suspensiva, “T” alta técnica no operativa, “B” baja, “A” Activo.</w:t>
            </w:r>
          </w:p>
        </w:tc>
      </w:tr>
      <w:tr w:rsidR="007968EC" w:rsidRPr="002C0D19" w14:paraId="60CF2286" w14:textId="77777777" w:rsidTr="007968EC">
        <w:trPr>
          <w:trHeight w:val="221"/>
          <w:jc w:val="center"/>
        </w:trPr>
        <w:tc>
          <w:tcPr>
            <w:tcW w:w="7188" w:type="dxa"/>
          </w:tcPr>
          <w:p w14:paraId="15E0815A"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Código del idioma (ISO-639-1)</w:t>
            </w:r>
          </w:p>
        </w:tc>
      </w:tr>
      <w:tr w:rsidR="007968EC" w:rsidRPr="002C0D19" w14:paraId="29574343" w14:textId="77777777" w:rsidTr="007968EC">
        <w:trPr>
          <w:trHeight w:val="221"/>
          <w:jc w:val="center"/>
        </w:trPr>
        <w:tc>
          <w:tcPr>
            <w:tcW w:w="7188" w:type="dxa"/>
          </w:tcPr>
          <w:p w14:paraId="056C5DCD"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Código de la Entidad en SFC</w:t>
            </w:r>
          </w:p>
        </w:tc>
      </w:tr>
      <w:tr w:rsidR="007968EC" w:rsidRPr="002C0D19" w14:paraId="343A87C9" w14:textId="77777777" w:rsidTr="007968EC">
        <w:trPr>
          <w:trHeight w:val="221"/>
          <w:jc w:val="center"/>
        </w:trPr>
        <w:tc>
          <w:tcPr>
            <w:tcW w:w="7188" w:type="dxa"/>
          </w:tcPr>
          <w:p w14:paraId="13BC2740"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lastRenderedPageBreak/>
              <w:t>Código de la Entidad en CUD</w:t>
            </w:r>
          </w:p>
        </w:tc>
      </w:tr>
      <w:tr w:rsidR="007968EC" w:rsidRPr="002C0D19" w14:paraId="48B4FD90" w14:textId="77777777" w:rsidTr="007968EC">
        <w:trPr>
          <w:trHeight w:val="221"/>
          <w:jc w:val="center"/>
        </w:trPr>
        <w:tc>
          <w:tcPr>
            <w:tcW w:w="7188" w:type="dxa"/>
          </w:tcPr>
          <w:p w14:paraId="4477F313"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Segmento o Segmentos en los que va a participar</w:t>
            </w:r>
          </w:p>
        </w:tc>
      </w:tr>
    </w:tbl>
    <w:p w14:paraId="62705919"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                      </w:t>
      </w:r>
    </w:p>
    <w:p w14:paraId="0B17017B" w14:textId="77777777" w:rsidR="007968EC" w:rsidRPr="002C0D19" w:rsidRDefault="007968EC" w:rsidP="00DA7472">
      <w:pPr>
        <w:numPr>
          <w:ilvl w:val="6"/>
          <w:numId w:val="22"/>
        </w:numPr>
        <w:tabs>
          <w:tab w:val="num" w:pos="540"/>
        </w:tabs>
        <w:ind w:left="540" w:hanging="540"/>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Asigna el código de miembro/entidad de acuerdo con lo previsto en el artículo 1.2.5.7. de la presente Circular.</w:t>
      </w:r>
    </w:p>
    <w:p w14:paraId="0CA086A8" w14:textId="77777777" w:rsidR="007968EC" w:rsidRPr="002C0D19" w:rsidRDefault="007968EC" w:rsidP="007968EC">
      <w:pPr>
        <w:ind w:left="540"/>
        <w:jc w:val="both"/>
        <w:rPr>
          <w:rFonts w:ascii="Arial Narrow" w:hAnsi="Arial Narrow" w:cs="Arial"/>
          <w:color w:val="000000" w:themeColor="text1"/>
          <w:lang w:eastAsia="es-ES"/>
        </w:rPr>
      </w:pPr>
    </w:p>
    <w:p w14:paraId="055A8CA3" w14:textId="77777777" w:rsidR="007968EC" w:rsidRPr="002C0D19" w:rsidRDefault="007968EC" w:rsidP="00DA7472">
      <w:pPr>
        <w:numPr>
          <w:ilvl w:val="6"/>
          <w:numId w:val="22"/>
        </w:numPr>
        <w:tabs>
          <w:tab w:val="num" w:pos="540"/>
        </w:tabs>
        <w:ind w:left="540" w:hanging="540"/>
        <w:jc w:val="both"/>
        <w:rPr>
          <w:rFonts w:ascii="Arial Narrow" w:hAnsi="Arial Narrow" w:cs="Arial"/>
          <w:color w:val="000000" w:themeColor="text1"/>
          <w:lang w:val="es-ES" w:eastAsia="es-ES"/>
        </w:rPr>
      </w:pPr>
      <w:r w:rsidRPr="002C0D19">
        <w:rPr>
          <w:rFonts w:ascii="Arial Narrow" w:hAnsi="Arial Narrow" w:cs="Arial"/>
          <w:color w:val="000000" w:themeColor="text1"/>
          <w:lang w:eastAsia="es-ES"/>
        </w:rPr>
        <w:t xml:space="preserve">Una vez creado el Miembro o Agente en el Sistema, se le asigna el conjunto de Operadores de conformidad con la infraestructura tecnológica instalada. </w:t>
      </w:r>
    </w:p>
    <w:p w14:paraId="7DD20621" w14:textId="77777777" w:rsidR="007968EC" w:rsidRPr="002C0D19" w:rsidRDefault="007968EC" w:rsidP="007968EC">
      <w:pPr>
        <w:ind w:left="540"/>
        <w:jc w:val="both"/>
        <w:rPr>
          <w:rFonts w:ascii="Arial Narrow" w:hAnsi="Arial Narrow" w:cs="Arial"/>
          <w:color w:val="000000" w:themeColor="text1"/>
          <w:lang w:val="es-ES" w:eastAsia="es-ES"/>
        </w:rPr>
      </w:pPr>
    </w:p>
    <w:p w14:paraId="7D4213AD" w14:textId="77777777" w:rsidR="007968EC" w:rsidRPr="002C0D19" w:rsidRDefault="007968EC" w:rsidP="00DA7472">
      <w:pPr>
        <w:numPr>
          <w:ilvl w:val="6"/>
          <w:numId w:val="22"/>
        </w:numPr>
        <w:tabs>
          <w:tab w:val="num" w:pos="540"/>
        </w:tabs>
        <w:ind w:left="540" w:hanging="540"/>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Para el caso de la creación de un Miembro, en el momento de la actualización de las bases de datos del Sistema de la Cámara la entidad es creada con un estado de inactivo o de “Alta no Operativa”, en cada Segmento en que participará, que se modificará a activo en la fecha en el cual inicia su operación en el Sistema de Negociación y/o Registro, Mercado Mostrador o cualquier Mecanismo de Contratación.</w:t>
      </w:r>
    </w:p>
    <w:p w14:paraId="6AF9BF11" w14:textId="77777777" w:rsidR="007968EC" w:rsidRPr="002C0D19" w:rsidRDefault="007968EC" w:rsidP="007968EC">
      <w:pPr>
        <w:ind w:left="540"/>
        <w:jc w:val="both"/>
        <w:rPr>
          <w:rFonts w:ascii="Arial Narrow" w:hAnsi="Arial Narrow" w:cs="Arial"/>
          <w:color w:val="000000" w:themeColor="text1"/>
          <w:lang w:eastAsia="es-ES"/>
        </w:rPr>
      </w:pPr>
    </w:p>
    <w:p w14:paraId="0A23ECAF" w14:textId="77777777" w:rsidR="007968EC" w:rsidRDefault="007968EC" w:rsidP="007968EC">
      <w:pPr>
        <w:pStyle w:val="ARTICULO0"/>
      </w:pPr>
      <w:bookmarkStart w:id="794" w:name="_Toc470775376"/>
      <w:bookmarkStart w:id="795" w:name="_Toc470779661"/>
      <w:bookmarkStart w:id="796" w:name="_Toc470780278"/>
      <w:bookmarkStart w:id="797" w:name="_Toc470780791"/>
      <w:bookmarkStart w:id="798" w:name="_Toc470784352"/>
      <w:bookmarkStart w:id="799" w:name="_Toc470784889"/>
      <w:bookmarkStart w:id="800" w:name="_Toc470786912"/>
      <w:bookmarkStart w:id="801" w:name="_Toc470791265"/>
      <w:bookmarkStart w:id="802" w:name="_Toc472592069"/>
      <w:bookmarkStart w:id="803" w:name="_Toc472593088"/>
      <w:bookmarkStart w:id="804" w:name="_Toc479056874"/>
      <w:bookmarkStart w:id="805" w:name="_Toc31715882"/>
      <w:bookmarkStart w:id="806" w:name="_Toc490066170"/>
      <w:r w:rsidRPr="002C0D19">
        <w:t>Artículo 1.2.5.3. Mecanismos de acceso al Sistema de Información de Cámara</w:t>
      </w:r>
      <w:bookmarkEnd w:id="794"/>
      <w:bookmarkEnd w:id="795"/>
      <w:bookmarkEnd w:id="796"/>
      <w:bookmarkEnd w:id="797"/>
      <w:bookmarkEnd w:id="798"/>
      <w:bookmarkEnd w:id="799"/>
      <w:bookmarkEnd w:id="800"/>
      <w:bookmarkEnd w:id="801"/>
      <w:r w:rsidRPr="002C0D19">
        <w:t>.</w:t>
      </w:r>
      <w:bookmarkEnd w:id="802"/>
      <w:bookmarkEnd w:id="803"/>
      <w:bookmarkEnd w:id="804"/>
      <w:bookmarkEnd w:id="805"/>
      <w:r w:rsidRPr="002C0D19">
        <w:t xml:space="preserve"> </w:t>
      </w:r>
    </w:p>
    <w:p w14:paraId="1F3BB2A5" w14:textId="77777777" w:rsidR="007968EC" w:rsidRPr="00B84E49" w:rsidRDefault="007968EC" w:rsidP="007968EC">
      <w:pPr>
        <w:jc w:val="both"/>
        <w:rPr>
          <w:rFonts w:ascii="Arial Narrow" w:hAnsi="Arial Narrow" w:cs="Arial"/>
          <w:color w:val="000000" w:themeColor="text1"/>
          <w:lang w:eastAsia="es-ES"/>
        </w:rPr>
      </w:pPr>
    </w:p>
    <w:p w14:paraId="504118D7" w14:textId="77777777" w:rsidR="007968EC" w:rsidRPr="002C0D19" w:rsidRDefault="007968EC" w:rsidP="007968EC">
      <w:pPr>
        <w:pStyle w:val="ANTECEDENTES"/>
        <w:rPr>
          <w:u w:val="single"/>
        </w:rPr>
      </w:pPr>
      <w:r w:rsidRPr="002C0D19">
        <w:t>(Este artículo fue modificado mediante Circular 21 del 2 de agosto de 2013, publicada en el Boletín Normativo No. 021 del 2 de agosto de 2013, mediante Circular 10 del 18 de marzo de 2015, publicada en el Boletín Normativo No. 010 del 18 de marzo de 2015 y mediante Circular 19 del 28 de diciembre de 2016, publicada en el Boletín Normativo No. 024 del 28 de diciembre de 2016. Rige a partir del 29 de diciembre de 2016.)</w:t>
      </w:r>
      <w:bookmarkEnd w:id="806"/>
    </w:p>
    <w:p w14:paraId="6C62D315" w14:textId="77777777" w:rsidR="007968EC" w:rsidRPr="002C0D19" w:rsidRDefault="007968EC" w:rsidP="007968EC">
      <w:pPr>
        <w:jc w:val="both"/>
        <w:rPr>
          <w:rFonts w:ascii="Arial Narrow" w:hAnsi="Arial Narrow" w:cs="Arial"/>
          <w:color w:val="000000" w:themeColor="text1"/>
          <w:lang w:eastAsia="es-ES"/>
        </w:rPr>
      </w:pPr>
    </w:p>
    <w:p w14:paraId="2648CACF" w14:textId="77777777" w:rsidR="007968EC" w:rsidRPr="002C0D19" w:rsidRDefault="007968EC" w:rsidP="007968EC">
      <w:pPr>
        <w:jc w:val="both"/>
        <w:rPr>
          <w:rFonts w:ascii="Arial Narrow" w:hAnsi="Arial Narrow" w:cs="Arial"/>
          <w:color w:val="000000" w:themeColor="text1"/>
          <w:lang w:eastAsia="es-ES"/>
        </w:rPr>
      </w:pPr>
      <w:bookmarkStart w:id="807" w:name="_Toc427232979"/>
      <w:bookmarkStart w:id="808" w:name="_Toc470775377"/>
      <w:bookmarkStart w:id="809" w:name="_Toc470779662"/>
      <w:bookmarkStart w:id="810" w:name="_Toc470780279"/>
      <w:bookmarkStart w:id="811" w:name="_Toc470780792"/>
      <w:bookmarkStart w:id="812" w:name="_Toc470784353"/>
      <w:bookmarkStart w:id="813" w:name="_Toc470784890"/>
      <w:bookmarkStart w:id="814" w:name="_Toc470786913"/>
      <w:bookmarkStart w:id="815" w:name="_Toc470791266"/>
      <w:bookmarkStart w:id="816" w:name="_Toc471831476"/>
      <w:bookmarkStart w:id="817" w:name="_Toc490066171"/>
      <w:bookmarkStart w:id="818" w:name="_Toc490078942"/>
      <w:r w:rsidRPr="002C0D19">
        <w:rPr>
          <w:rFonts w:ascii="Arial Narrow" w:hAnsi="Arial Narrow" w:cs="Arial"/>
          <w:color w:val="000000" w:themeColor="text1"/>
          <w:lang w:eastAsia="es-ES"/>
        </w:rPr>
        <w:t>El acceso a la información de la Cámara por parte de los Miembros y Agentes deberá realizarse por los diferentes canales dispuestos por la Cámara, definidos en el artículo 1.15.1.1. Definiciones. Las claves y códigos de acceso serán entregados a los funcionarios del Miembro y el Agente, que hayan sido designados ante la Cámara en una de las modalidades enunciadas a continuación:</w:t>
      </w:r>
      <w:bookmarkEnd w:id="807"/>
      <w:bookmarkEnd w:id="808"/>
      <w:bookmarkEnd w:id="809"/>
      <w:bookmarkEnd w:id="810"/>
      <w:bookmarkEnd w:id="811"/>
      <w:bookmarkEnd w:id="812"/>
      <w:bookmarkEnd w:id="813"/>
      <w:bookmarkEnd w:id="814"/>
      <w:bookmarkEnd w:id="815"/>
      <w:bookmarkEnd w:id="816"/>
      <w:bookmarkEnd w:id="817"/>
      <w:bookmarkEnd w:id="818"/>
    </w:p>
    <w:p w14:paraId="51993C8B" w14:textId="77777777" w:rsidR="007968EC" w:rsidRPr="002C0D19" w:rsidRDefault="007968EC" w:rsidP="007968EC">
      <w:pPr>
        <w:jc w:val="both"/>
        <w:rPr>
          <w:rFonts w:ascii="Arial Narrow" w:hAnsi="Arial Narrow" w:cs="Arial"/>
          <w:color w:val="000000" w:themeColor="text1"/>
          <w:lang w:eastAsia="es-ES"/>
        </w:rPr>
      </w:pPr>
    </w:p>
    <w:p w14:paraId="7EB47610" w14:textId="77777777" w:rsidR="007968EC" w:rsidRPr="002C0D19" w:rsidRDefault="007968EC" w:rsidP="00DA7472">
      <w:pPr>
        <w:numPr>
          <w:ilvl w:val="0"/>
          <w:numId w:val="302"/>
        </w:numPr>
        <w:jc w:val="both"/>
        <w:rPr>
          <w:rFonts w:ascii="Arial Narrow" w:hAnsi="Arial Narrow" w:cs="Arial"/>
          <w:color w:val="000000" w:themeColor="text1"/>
          <w:lang w:eastAsia="es-ES"/>
        </w:rPr>
      </w:pPr>
      <w:bookmarkStart w:id="819" w:name="_Toc363457342"/>
      <w:bookmarkStart w:id="820" w:name="_Toc392489396"/>
      <w:bookmarkStart w:id="821" w:name="_Toc404097031"/>
      <w:bookmarkStart w:id="822" w:name="_Toc427232980"/>
      <w:bookmarkStart w:id="823" w:name="_Toc470775378"/>
      <w:bookmarkStart w:id="824" w:name="_Toc470779663"/>
      <w:bookmarkStart w:id="825" w:name="_Toc470780280"/>
      <w:bookmarkStart w:id="826" w:name="_Toc470780793"/>
      <w:bookmarkStart w:id="827" w:name="_Toc470784354"/>
      <w:bookmarkStart w:id="828" w:name="_Toc470784891"/>
      <w:bookmarkStart w:id="829" w:name="_Toc470786914"/>
      <w:bookmarkStart w:id="830" w:name="_Toc470791267"/>
      <w:bookmarkStart w:id="831" w:name="_Toc471831477"/>
      <w:bookmarkStart w:id="832" w:name="_Toc490066172"/>
      <w:bookmarkStart w:id="833" w:name="_Toc490078943"/>
      <w:r w:rsidRPr="002C0D19">
        <w:rPr>
          <w:rFonts w:ascii="Arial Narrow" w:hAnsi="Arial Narrow" w:cs="Arial"/>
          <w:color w:val="000000" w:themeColor="text1"/>
          <w:lang w:eastAsia="es-ES"/>
        </w:rPr>
        <w:t xml:space="preserve">Administrador del Miembro: Funcionario designado con </w:t>
      </w:r>
      <w:proofErr w:type="gramStart"/>
      <w:r w:rsidRPr="002C0D19">
        <w:rPr>
          <w:rFonts w:ascii="Arial Narrow" w:hAnsi="Arial Narrow" w:cs="Arial"/>
          <w:color w:val="000000" w:themeColor="text1"/>
          <w:lang w:eastAsia="es-ES"/>
        </w:rPr>
        <w:t>éste</w:t>
      </w:r>
      <w:proofErr w:type="gramEnd"/>
      <w:r w:rsidRPr="002C0D19">
        <w:rPr>
          <w:rFonts w:ascii="Arial Narrow" w:hAnsi="Arial Narrow" w:cs="Arial"/>
          <w:color w:val="000000" w:themeColor="text1"/>
          <w:lang w:eastAsia="es-ES"/>
        </w:rPr>
        <w:t xml:space="preserve"> perfil, tendrá acceso al Sistema para:</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14:paraId="6C222E49" w14:textId="77777777" w:rsidR="007968EC" w:rsidRPr="002C0D19" w:rsidRDefault="007968EC" w:rsidP="007968EC">
      <w:pPr>
        <w:jc w:val="both"/>
        <w:rPr>
          <w:rFonts w:ascii="Arial Narrow" w:hAnsi="Arial Narrow" w:cs="Arial"/>
          <w:color w:val="000000" w:themeColor="text1"/>
          <w:lang w:eastAsia="es-ES"/>
        </w:rPr>
      </w:pPr>
    </w:p>
    <w:p w14:paraId="765684B4" w14:textId="77777777" w:rsidR="007968EC" w:rsidRPr="002C0D19" w:rsidRDefault="007968EC" w:rsidP="00DA7472">
      <w:pPr>
        <w:numPr>
          <w:ilvl w:val="1"/>
          <w:numId w:val="25"/>
        </w:numPr>
        <w:jc w:val="both"/>
        <w:rPr>
          <w:rFonts w:ascii="Arial Narrow" w:hAnsi="Arial Narrow" w:cs="Arial"/>
          <w:color w:val="000000" w:themeColor="text1"/>
          <w:lang w:eastAsia="es-ES"/>
        </w:rPr>
      </w:pPr>
      <w:bookmarkStart w:id="834" w:name="_Toc363457343"/>
      <w:bookmarkStart w:id="835" w:name="_Toc392489397"/>
      <w:bookmarkStart w:id="836" w:name="_Toc404097032"/>
      <w:bookmarkStart w:id="837" w:name="_Toc427232981"/>
      <w:bookmarkStart w:id="838" w:name="_Toc470775379"/>
      <w:bookmarkStart w:id="839" w:name="_Toc470779664"/>
      <w:bookmarkStart w:id="840" w:name="_Toc470780281"/>
      <w:bookmarkStart w:id="841" w:name="_Toc470780794"/>
      <w:bookmarkStart w:id="842" w:name="_Toc470784355"/>
      <w:bookmarkStart w:id="843" w:name="_Toc470784892"/>
      <w:bookmarkStart w:id="844" w:name="_Toc470786915"/>
      <w:bookmarkStart w:id="845" w:name="_Toc470791268"/>
      <w:bookmarkStart w:id="846" w:name="_Toc471831478"/>
      <w:bookmarkStart w:id="847" w:name="_Toc490066173"/>
      <w:bookmarkStart w:id="848" w:name="_Toc490078944"/>
      <w:r w:rsidRPr="002C0D19">
        <w:rPr>
          <w:rFonts w:ascii="Arial Narrow" w:hAnsi="Arial Narrow" w:cs="Arial"/>
          <w:color w:val="000000" w:themeColor="text1"/>
          <w:lang w:eastAsia="es-CO"/>
        </w:rPr>
        <w:t>Cambiar los perfiles de los Operadores dentro del Miembro;</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14:paraId="702DD3AA" w14:textId="77777777" w:rsidR="007968EC" w:rsidRPr="002C0D19" w:rsidRDefault="007968EC" w:rsidP="007968EC">
      <w:pPr>
        <w:jc w:val="both"/>
        <w:rPr>
          <w:rFonts w:ascii="Arial Narrow" w:hAnsi="Arial Narrow" w:cs="Arial"/>
          <w:color w:val="000000" w:themeColor="text1"/>
          <w:lang w:eastAsia="es-ES"/>
        </w:rPr>
      </w:pPr>
    </w:p>
    <w:p w14:paraId="291E1EB7" w14:textId="77777777" w:rsidR="007968EC" w:rsidRPr="002C0D19" w:rsidRDefault="007968EC" w:rsidP="00DA7472">
      <w:pPr>
        <w:numPr>
          <w:ilvl w:val="1"/>
          <w:numId w:val="25"/>
        </w:numPr>
        <w:jc w:val="both"/>
        <w:rPr>
          <w:rFonts w:ascii="Arial Narrow" w:hAnsi="Arial Narrow" w:cs="Arial"/>
          <w:color w:val="000000" w:themeColor="text1"/>
          <w:lang w:eastAsia="es-ES"/>
        </w:rPr>
      </w:pPr>
      <w:bookmarkStart w:id="849" w:name="_Toc363457344"/>
      <w:bookmarkStart w:id="850" w:name="_Toc392489398"/>
      <w:bookmarkStart w:id="851" w:name="_Toc404097033"/>
      <w:bookmarkStart w:id="852" w:name="_Toc427232982"/>
      <w:bookmarkStart w:id="853" w:name="_Toc470775380"/>
      <w:bookmarkStart w:id="854" w:name="_Toc470779665"/>
      <w:bookmarkStart w:id="855" w:name="_Toc470780282"/>
      <w:bookmarkStart w:id="856" w:name="_Toc470780795"/>
      <w:bookmarkStart w:id="857" w:name="_Toc470784356"/>
      <w:bookmarkStart w:id="858" w:name="_Toc470784893"/>
      <w:bookmarkStart w:id="859" w:name="_Toc470786916"/>
      <w:bookmarkStart w:id="860" w:name="_Toc470791269"/>
      <w:bookmarkStart w:id="861" w:name="_Toc471831479"/>
      <w:bookmarkStart w:id="862" w:name="_Toc490066174"/>
      <w:bookmarkStart w:id="863" w:name="_Toc490078945"/>
      <w:r w:rsidRPr="002C0D19">
        <w:rPr>
          <w:rFonts w:ascii="Arial Narrow" w:hAnsi="Arial Narrow" w:cs="Arial"/>
          <w:color w:val="000000" w:themeColor="text1"/>
          <w:lang w:eastAsia="es-CO"/>
        </w:rPr>
        <w:t>Administrar la gestión de Operaciones del Miembro;</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p w14:paraId="038D12FF" w14:textId="77777777" w:rsidR="007968EC" w:rsidRPr="002C0D19" w:rsidRDefault="007968EC" w:rsidP="007968EC">
      <w:pPr>
        <w:jc w:val="both"/>
        <w:rPr>
          <w:rFonts w:ascii="Arial Narrow" w:hAnsi="Arial Narrow" w:cs="Arial"/>
          <w:color w:val="000000" w:themeColor="text1"/>
          <w:lang w:eastAsia="es-ES"/>
        </w:rPr>
      </w:pPr>
    </w:p>
    <w:p w14:paraId="561E832C" w14:textId="77777777" w:rsidR="007968EC" w:rsidRPr="002C0D19" w:rsidRDefault="007968EC" w:rsidP="00DA7472">
      <w:pPr>
        <w:numPr>
          <w:ilvl w:val="1"/>
          <w:numId w:val="25"/>
        </w:numPr>
        <w:jc w:val="both"/>
        <w:rPr>
          <w:rFonts w:ascii="Arial Narrow" w:hAnsi="Arial Narrow" w:cs="Arial"/>
          <w:color w:val="000000" w:themeColor="text1"/>
          <w:lang w:eastAsia="es-CO"/>
        </w:rPr>
      </w:pPr>
      <w:bookmarkStart w:id="864" w:name="_Toc470775381"/>
      <w:bookmarkStart w:id="865" w:name="_Toc470779666"/>
      <w:bookmarkStart w:id="866" w:name="_Toc470780283"/>
      <w:bookmarkStart w:id="867" w:name="_Toc470780796"/>
      <w:bookmarkStart w:id="868" w:name="_Toc470784357"/>
      <w:bookmarkStart w:id="869" w:name="_Toc470784894"/>
      <w:bookmarkStart w:id="870" w:name="_Toc470786917"/>
      <w:bookmarkStart w:id="871" w:name="_Toc470791270"/>
      <w:bookmarkStart w:id="872" w:name="_Toc471831480"/>
      <w:bookmarkStart w:id="873" w:name="_Toc490066175"/>
      <w:bookmarkStart w:id="874" w:name="_Toc490078946"/>
      <w:r w:rsidRPr="002C0D19">
        <w:rPr>
          <w:rFonts w:ascii="Arial Narrow" w:hAnsi="Arial Narrow" w:cs="Arial"/>
          <w:color w:val="000000" w:themeColor="text1"/>
          <w:lang w:eastAsia="es-CO"/>
        </w:rPr>
        <w:t>Identificar la correspondencia de las Operaciones celebradas en los Sistemas de Negociación y/o Registro, Mercado Mostrador o cualquier Mecanismo de Contratación o el sistema autorizado por la Cámara, con las registradas en las Cuentas en el Sistema de Compensación y Liquidación para cada uno de los Segmentos en los que participe el Miembro;</w:t>
      </w:r>
      <w:bookmarkEnd w:id="864"/>
      <w:bookmarkEnd w:id="865"/>
      <w:bookmarkEnd w:id="866"/>
      <w:bookmarkEnd w:id="867"/>
      <w:bookmarkEnd w:id="868"/>
      <w:bookmarkEnd w:id="869"/>
      <w:bookmarkEnd w:id="870"/>
      <w:bookmarkEnd w:id="871"/>
      <w:bookmarkEnd w:id="872"/>
      <w:bookmarkEnd w:id="873"/>
      <w:bookmarkEnd w:id="874"/>
    </w:p>
    <w:p w14:paraId="6B9B1436" w14:textId="77777777" w:rsidR="007968EC" w:rsidRPr="002C0D19" w:rsidRDefault="007968EC" w:rsidP="007968EC">
      <w:pPr>
        <w:jc w:val="both"/>
        <w:rPr>
          <w:rFonts w:ascii="Arial Narrow" w:hAnsi="Arial Narrow" w:cs="Arial"/>
          <w:color w:val="000000" w:themeColor="text1"/>
          <w:lang w:eastAsia="es-ES"/>
        </w:rPr>
      </w:pPr>
    </w:p>
    <w:p w14:paraId="376344AB" w14:textId="77777777" w:rsidR="007968EC" w:rsidRPr="002C0D19" w:rsidRDefault="007968EC" w:rsidP="00DA7472">
      <w:pPr>
        <w:numPr>
          <w:ilvl w:val="1"/>
          <w:numId w:val="25"/>
        </w:numPr>
        <w:jc w:val="both"/>
        <w:rPr>
          <w:rFonts w:ascii="Arial Narrow" w:hAnsi="Arial Narrow" w:cs="Arial"/>
          <w:color w:val="000000" w:themeColor="text1"/>
          <w:lang w:eastAsia="es-CO"/>
        </w:rPr>
      </w:pPr>
      <w:bookmarkStart w:id="875" w:name="_Toc363457346"/>
      <w:bookmarkStart w:id="876" w:name="_Toc392489400"/>
      <w:bookmarkStart w:id="877" w:name="_Toc404097035"/>
      <w:bookmarkStart w:id="878" w:name="_Toc427232984"/>
      <w:bookmarkStart w:id="879" w:name="_Toc470775382"/>
      <w:bookmarkStart w:id="880" w:name="_Toc470779667"/>
      <w:bookmarkStart w:id="881" w:name="_Toc470780284"/>
      <w:bookmarkStart w:id="882" w:name="_Toc470780797"/>
      <w:bookmarkStart w:id="883" w:name="_Toc470784358"/>
      <w:bookmarkStart w:id="884" w:name="_Toc470784895"/>
      <w:bookmarkStart w:id="885" w:name="_Toc470786918"/>
      <w:bookmarkStart w:id="886" w:name="_Toc470791271"/>
      <w:bookmarkStart w:id="887" w:name="_Toc471831481"/>
      <w:bookmarkStart w:id="888" w:name="_Toc490066176"/>
      <w:bookmarkStart w:id="889" w:name="_Toc490078947"/>
      <w:r w:rsidRPr="002C0D19">
        <w:rPr>
          <w:rFonts w:ascii="Arial Narrow" w:hAnsi="Arial Narrow" w:cs="Arial"/>
          <w:color w:val="000000" w:themeColor="text1"/>
          <w:lang w:eastAsia="es-CO"/>
        </w:rPr>
        <w:t>Consultar información pública del Sistema;</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14:paraId="764E2112" w14:textId="77777777" w:rsidR="007968EC" w:rsidRPr="002C0D19" w:rsidRDefault="007968EC" w:rsidP="007968EC">
      <w:pPr>
        <w:keepNext/>
        <w:tabs>
          <w:tab w:val="left" w:pos="1701"/>
        </w:tabs>
        <w:ind w:left="1004"/>
        <w:outlineLvl w:val="2"/>
        <w:rPr>
          <w:rFonts w:ascii="Arial Narrow" w:hAnsi="Arial Narrow" w:cs="Arial"/>
          <w:color w:val="000000" w:themeColor="text1"/>
          <w:lang w:eastAsia="es-ES"/>
        </w:rPr>
      </w:pPr>
    </w:p>
    <w:p w14:paraId="2E579E49" w14:textId="77777777" w:rsidR="007968EC" w:rsidRPr="002C0D19" w:rsidRDefault="007968EC" w:rsidP="00DA7472">
      <w:pPr>
        <w:numPr>
          <w:ilvl w:val="1"/>
          <w:numId w:val="25"/>
        </w:numPr>
        <w:jc w:val="both"/>
        <w:rPr>
          <w:rFonts w:ascii="Arial Narrow" w:hAnsi="Arial Narrow" w:cs="Arial"/>
          <w:color w:val="000000" w:themeColor="text1"/>
          <w:lang w:eastAsia="es-CO"/>
        </w:rPr>
      </w:pPr>
      <w:bookmarkStart w:id="890" w:name="_Toc363457347"/>
      <w:bookmarkStart w:id="891" w:name="_Toc392489401"/>
      <w:bookmarkStart w:id="892" w:name="_Toc404097036"/>
      <w:bookmarkStart w:id="893" w:name="_Toc427232985"/>
      <w:bookmarkStart w:id="894" w:name="_Toc470775383"/>
      <w:bookmarkStart w:id="895" w:name="_Toc470779668"/>
      <w:bookmarkStart w:id="896" w:name="_Toc470780285"/>
      <w:bookmarkStart w:id="897" w:name="_Toc470780798"/>
      <w:bookmarkStart w:id="898" w:name="_Toc470784359"/>
      <w:bookmarkStart w:id="899" w:name="_Toc470784896"/>
      <w:bookmarkStart w:id="900" w:name="_Toc470786919"/>
      <w:bookmarkStart w:id="901" w:name="_Toc470791272"/>
      <w:bookmarkStart w:id="902" w:name="_Toc471831482"/>
      <w:bookmarkStart w:id="903" w:name="_Toc490066177"/>
      <w:bookmarkStart w:id="904" w:name="_Toc490078948"/>
      <w:r w:rsidRPr="000C7B67">
        <w:rPr>
          <w:rFonts w:ascii="Arial Narrow" w:hAnsi="Arial Narrow" w:cs="Arial"/>
          <w:color w:val="000000" w:themeColor="text1"/>
          <w:lang w:eastAsia="es-CO"/>
        </w:rPr>
        <w:t>Crear los usuarios en el Portal CRCC con sus</w:t>
      </w:r>
      <w:r w:rsidRPr="002C0D19">
        <w:rPr>
          <w:rFonts w:ascii="Arial Narrow" w:hAnsi="Arial Narrow" w:cs="Arial"/>
          <w:color w:val="000000" w:themeColor="text1"/>
          <w:lang w:eastAsia="es-CO"/>
        </w:rPr>
        <w:t xml:space="preserve"> </w:t>
      </w:r>
      <w:r w:rsidRPr="000C7B67">
        <w:rPr>
          <w:rFonts w:ascii="Arial Narrow" w:hAnsi="Arial Narrow" w:cs="Arial"/>
          <w:color w:val="000000" w:themeColor="text1"/>
          <w:lang w:eastAsia="es-CO"/>
        </w:rPr>
        <w:t>respectivos perfiles de operación.</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p w14:paraId="72601BFA" w14:textId="77777777" w:rsidR="007968EC" w:rsidRPr="002C0D19" w:rsidRDefault="007968EC" w:rsidP="007968EC">
      <w:pPr>
        <w:rPr>
          <w:rFonts w:ascii="Arial Narrow" w:hAnsi="Arial Narrow"/>
          <w:b/>
          <w:color w:val="000000" w:themeColor="text1"/>
        </w:rPr>
      </w:pPr>
    </w:p>
    <w:p w14:paraId="6C1E2E45" w14:textId="77777777" w:rsidR="007968EC" w:rsidRPr="002C0D19" w:rsidRDefault="007968EC" w:rsidP="00DA7472">
      <w:pPr>
        <w:numPr>
          <w:ilvl w:val="0"/>
          <w:numId w:val="302"/>
        </w:numPr>
        <w:jc w:val="both"/>
        <w:rPr>
          <w:rFonts w:ascii="Arial Narrow" w:hAnsi="Arial Narrow" w:cs="Arial"/>
          <w:color w:val="000000" w:themeColor="text1"/>
          <w:lang w:eastAsia="es-ES"/>
        </w:rPr>
      </w:pPr>
      <w:bookmarkStart w:id="905" w:name="_Toc427232986"/>
      <w:bookmarkStart w:id="906" w:name="_Toc470775384"/>
      <w:bookmarkStart w:id="907" w:name="_Toc470779669"/>
      <w:bookmarkStart w:id="908" w:name="_Toc470780286"/>
      <w:bookmarkStart w:id="909" w:name="_Toc470780799"/>
      <w:bookmarkStart w:id="910" w:name="_Toc470784360"/>
      <w:bookmarkStart w:id="911" w:name="_Toc470784897"/>
      <w:bookmarkStart w:id="912" w:name="_Toc470786920"/>
      <w:bookmarkStart w:id="913" w:name="_Toc470791273"/>
      <w:bookmarkStart w:id="914" w:name="_Toc471831483"/>
      <w:bookmarkStart w:id="915" w:name="_Toc490066178"/>
      <w:bookmarkStart w:id="916" w:name="_Toc490078949"/>
      <w:r w:rsidRPr="002C0D19">
        <w:rPr>
          <w:rFonts w:ascii="Arial Narrow" w:hAnsi="Arial Narrow" w:cs="Arial"/>
          <w:color w:val="000000" w:themeColor="text1"/>
          <w:lang w:eastAsia="es-ES"/>
        </w:rPr>
        <w:t xml:space="preserve">Administrador del Agente: Funcionario designado con </w:t>
      </w:r>
      <w:proofErr w:type="gramStart"/>
      <w:r w:rsidRPr="002C0D19">
        <w:rPr>
          <w:rFonts w:ascii="Arial Narrow" w:hAnsi="Arial Narrow" w:cs="Arial"/>
          <w:color w:val="000000" w:themeColor="text1"/>
          <w:lang w:eastAsia="es-ES"/>
        </w:rPr>
        <w:t>éste</w:t>
      </w:r>
      <w:proofErr w:type="gramEnd"/>
      <w:r w:rsidRPr="002C0D19">
        <w:rPr>
          <w:rFonts w:ascii="Arial Narrow" w:hAnsi="Arial Narrow" w:cs="Arial"/>
          <w:color w:val="000000" w:themeColor="text1"/>
          <w:lang w:eastAsia="es-ES"/>
        </w:rPr>
        <w:t xml:space="preserve"> perfil, tendrá acceso al Sistema para:</w:t>
      </w:r>
      <w:bookmarkEnd w:id="905"/>
      <w:bookmarkEnd w:id="906"/>
      <w:bookmarkEnd w:id="907"/>
      <w:bookmarkEnd w:id="908"/>
      <w:bookmarkEnd w:id="909"/>
      <w:bookmarkEnd w:id="910"/>
      <w:bookmarkEnd w:id="911"/>
      <w:bookmarkEnd w:id="912"/>
      <w:bookmarkEnd w:id="913"/>
      <w:bookmarkEnd w:id="914"/>
      <w:bookmarkEnd w:id="915"/>
      <w:bookmarkEnd w:id="916"/>
    </w:p>
    <w:p w14:paraId="5CE1EEFF" w14:textId="77777777" w:rsidR="007968EC" w:rsidRPr="002C0D19" w:rsidRDefault="007968EC" w:rsidP="007968EC">
      <w:pPr>
        <w:autoSpaceDE w:val="0"/>
        <w:autoSpaceDN w:val="0"/>
        <w:adjustRightInd w:val="0"/>
        <w:jc w:val="both"/>
        <w:rPr>
          <w:rFonts w:ascii="Arial Narrow" w:eastAsia="Calibri" w:hAnsi="Arial Narrow" w:cs="Arial Narrow"/>
          <w:color w:val="000000" w:themeColor="text1"/>
          <w:u w:val="single"/>
          <w:lang w:eastAsia="es-CO"/>
        </w:rPr>
      </w:pPr>
    </w:p>
    <w:p w14:paraId="629A960F" w14:textId="77777777" w:rsidR="007968EC" w:rsidRPr="002C0D19" w:rsidRDefault="007968EC" w:rsidP="00DA7472">
      <w:pPr>
        <w:numPr>
          <w:ilvl w:val="0"/>
          <w:numId w:val="303"/>
        </w:numPr>
        <w:jc w:val="both"/>
        <w:rPr>
          <w:rFonts w:ascii="Arial Narrow" w:eastAsia="Calibri" w:hAnsi="Arial Narrow" w:cs="Arial Narrow"/>
          <w:color w:val="000000" w:themeColor="text1"/>
          <w:lang w:eastAsia="es-CO"/>
        </w:rPr>
      </w:pPr>
      <w:bookmarkStart w:id="917" w:name="_Toc427232987"/>
      <w:bookmarkStart w:id="918" w:name="_Toc470775385"/>
      <w:bookmarkStart w:id="919" w:name="_Toc470779670"/>
      <w:bookmarkStart w:id="920" w:name="_Toc470780287"/>
      <w:bookmarkStart w:id="921" w:name="_Toc470780800"/>
      <w:bookmarkStart w:id="922" w:name="_Toc470784361"/>
      <w:bookmarkStart w:id="923" w:name="_Toc470784898"/>
      <w:bookmarkStart w:id="924" w:name="_Toc470786921"/>
      <w:bookmarkStart w:id="925" w:name="_Toc470791274"/>
      <w:bookmarkStart w:id="926" w:name="_Toc471831484"/>
      <w:bookmarkStart w:id="927" w:name="_Toc490066179"/>
      <w:bookmarkStart w:id="928" w:name="_Toc490078950"/>
      <w:r w:rsidRPr="000C7B67">
        <w:rPr>
          <w:rFonts w:ascii="Arial Narrow" w:hAnsi="Arial Narrow" w:cs="Arial"/>
          <w:color w:val="000000" w:themeColor="text1"/>
          <w:lang w:eastAsia="es-CO"/>
        </w:rPr>
        <w:t>Activar y bloquear usuarios;</w:t>
      </w:r>
      <w:bookmarkEnd w:id="917"/>
      <w:bookmarkEnd w:id="918"/>
      <w:bookmarkEnd w:id="919"/>
      <w:bookmarkEnd w:id="920"/>
      <w:bookmarkEnd w:id="921"/>
      <w:bookmarkEnd w:id="922"/>
      <w:bookmarkEnd w:id="923"/>
      <w:bookmarkEnd w:id="924"/>
      <w:bookmarkEnd w:id="925"/>
      <w:bookmarkEnd w:id="926"/>
      <w:bookmarkEnd w:id="927"/>
      <w:bookmarkEnd w:id="928"/>
    </w:p>
    <w:p w14:paraId="5F7BAD17" w14:textId="77777777" w:rsidR="007968EC" w:rsidRPr="002C0D19" w:rsidRDefault="007968EC" w:rsidP="007968EC">
      <w:pPr>
        <w:autoSpaceDE w:val="0"/>
        <w:autoSpaceDN w:val="0"/>
        <w:adjustRightInd w:val="0"/>
        <w:ind w:left="531"/>
        <w:jc w:val="both"/>
        <w:rPr>
          <w:rFonts w:ascii="Arial Narrow" w:eastAsia="Calibri" w:hAnsi="Arial Narrow" w:cs="Arial Narrow"/>
          <w:color w:val="000000" w:themeColor="text1"/>
          <w:lang w:eastAsia="es-CO"/>
        </w:rPr>
      </w:pPr>
    </w:p>
    <w:p w14:paraId="26AC3DEC" w14:textId="77777777" w:rsidR="007968EC" w:rsidRPr="000C7B67" w:rsidRDefault="007968EC" w:rsidP="00DA7472">
      <w:pPr>
        <w:numPr>
          <w:ilvl w:val="0"/>
          <w:numId w:val="303"/>
        </w:numPr>
        <w:jc w:val="both"/>
        <w:rPr>
          <w:rFonts w:ascii="Arial Narrow" w:hAnsi="Arial Narrow" w:cs="Arial"/>
          <w:color w:val="000000" w:themeColor="text1"/>
          <w:lang w:eastAsia="es-CO"/>
        </w:rPr>
      </w:pPr>
      <w:bookmarkStart w:id="929" w:name="_Toc427232988"/>
      <w:bookmarkStart w:id="930" w:name="_Toc470775386"/>
      <w:bookmarkStart w:id="931" w:name="_Toc470779671"/>
      <w:bookmarkStart w:id="932" w:name="_Toc470780288"/>
      <w:bookmarkStart w:id="933" w:name="_Toc470780801"/>
      <w:bookmarkStart w:id="934" w:name="_Toc470784362"/>
      <w:bookmarkStart w:id="935" w:name="_Toc470784899"/>
      <w:bookmarkStart w:id="936" w:name="_Toc470786922"/>
      <w:bookmarkStart w:id="937" w:name="_Toc470791275"/>
      <w:bookmarkStart w:id="938" w:name="_Toc471831485"/>
      <w:bookmarkStart w:id="939" w:name="_Toc490066180"/>
      <w:bookmarkStart w:id="940" w:name="_Toc490078951"/>
      <w:r w:rsidRPr="002C0D19">
        <w:rPr>
          <w:rFonts w:ascii="Arial Narrow" w:hAnsi="Arial Narrow" w:cs="Arial"/>
          <w:color w:val="000000" w:themeColor="text1"/>
          <w:lang w:eastAsia="es-CO"/>
        </w:rPr>
        <w:t>Asignar</w:t>
      </w:r>
      <w:r w:rsidRPr="000C7B67">
        <w:rPr>
          <w:rFonts w:ascii="Arial Narrow" w:hAnsi="Arial Narrow" w:cs="Arial"/>
          <w:color w:val="000000" w:themeColor="text1"/>
          <w:lang w:eastAsia="es-CO"/>
        </w:rPr>
        <w:t xml:space="preserve"> perfiles;</w:t>
      </w:r>
      <w:bookmarkEnd w:id="929"/>
      <w:bookmarkEnd w:id="930"/>
      <w:bookmarkEnd w:id="931"/>
      <w:bookmarkEnd w:id="932"/>
      <w:bookmarkEnd w:id="933"/>
      <w:bookmarkEnd w:id="934"/>
      <w:bookmarkEnd w:id="935"/>
      <w:bookmarkEnd w:id="936"/>
      <w:bookmarkEnd w:id="937"/>
      <w:bookmarkEnd w:id="938"/>
      <w:bookmarkEnd w:id="939"/>
      <w:bookmarkEnd w:id="940"/>
    </w:p>
    <w:p w14:paraId="38D05629" w14:textId="77777777" w:rsidR="007968EC" w:rsidRPr="002C0D19" w:rsidRDefault="007968EC" w:rsidP="007968EC">
      <w:pPr>
        <w:autoSpaceDE w:val="0"/>
        <w:autoSpaceDN w:val="0"/>
        <w:adjustRightInd w:val="0"/>
        <w:jc w:val="both"/>
        <w:rPr>
          <w:rFonts w:ascii="Arial Narrow" w:eastAsia="Calibri" w:hAnsi="Arial Narrow" w:cs="Arial Narrow"/>
          <w:color w:val="000000" w:themeColor="text1"/>
          <w:lang w:eastAsia="es-CO"/>
        </w:rPr>
      </w:pPr>
    </w:p>
    <w:p w14:paraId="2B862B0D" w14:textId="77777777" w:rsidR="007968EC" w:rsidRPr="000C7B67" w:rsidRDefault="007968EC" w:rsidP="00DA7472">
      <w:pPr>
        <w:numPr>
          <w:ilvl w:val="0"/>
          <w:numId w:val="303"/>
        </w:numPr>
        <w:jc w:val="both"/>
        <w:rPr>
          <w:rFonts w:ascii="Arial Narrow" w:hAnsi="Arial Narrow" w:cs="Arial"/>
          <w:color w:val="000000" w:themeColor="text1"/>
          <w:lang w:eastAsia="es-CO"/>
        </w:rPr>
      </w:pPr>
      <w:bookmarkStart w:id="941" w:name="_Toc427232989"/>
      <w:bookmarkStart w:id="942" w:name="_Toc470775387"/>
      <w:bookmarkStart w:id="943" w:name="_Toc470779672"/>
      <w:bookmarkStart w:id="944" w:name="_Toc470780289"/>
      <w:bookmarkStart w:id="945" w:name="_Toc470780802"/>
      <w:bookmarkStart w:id="946" w:name="_Toc470784363"/>
      <w:bookmarkStart w:id="947" w:name="_Toc470784900"/>
      <w:bookmarkStart w:id="948" w:name="_Toc470786923"/>
      <w:bookmarkStart w:id="949" w:name="_Toc470791276"/>
      <w:bookmarkStart w:id="950" w:name="_Toc471831486"/>
      <w:bookmarkStart w:id="951" w:name="_Toc490066181"/>
      <w:bookmarkStart w:id="952" w:name="_Toc490078952"/>
      <w:r w:rsidRPr="002C0D19">
        <w:rPr>
          <w:rFonts w:ascii="Arial Narrow" w:hAnsi="Arial Narrow" w:cs="Arial"/>
          <w:color w:val="000000" w:themeColor="text1"/>
          <w:lang w:eastAsia="es-CO"/>
        </w:rPr>
        <w:t>Proporcionar</w:t>
      </w:r>
      <w:r w:rsidRPr="000C7B67">
        <w:rPr>
          <w:rFonts w:ascii="Arial Narrow" w:hAnsi="Arial Narrow" w:cs="Arial"/>
          <w:color w:val="000000" w:themeColor="text1"/>
          <w:lang w:eastAsia="es-CO"/>
        </w:rPr>
        <w:t xml:space="preserve"> privilegios o atribuciones necesarias para llevar a cabo las diferentes consultas;</w:t>
      </w:r>
      <w:bookmarkEnd w:id="941"/>
      <w:bookmarkEnd w:id="942"/>
      <w:bookmarkEnd w:id="943"/>
      <w:bookmarkEnd w:id="944"/>
      <w:bookmarkEnd w:id="945"/>
      <w:bookmarkEnd w:id="946"/>
      <w:bookmarkEnd w:id="947"/>
      <w:bookmarkEnd w:id="948"/>
      <w:bookmarkEnd w:id="949"/>
      <w:bookmarkEnd w:id="950"/>
      <w:bookmarkEnd w:id="951"/>
      <w:bookmarkEnd w:id="952"/>
      <w:r w:rsidRPr="000C7B67">
        <w:rPr>
          <w:rFonts w:ascii="Arial Narrow" w:hAnsi="Arial Narrow" w:cs="Arial"/>
          <w:color w:val="000000" w:themeColor="text1"/>
          <w:lang w:eastAsia="es-CO"/>
        </w:rPr>
        <w:t xml:space="preserve"> </w:t>
      </w:r>
    </w:p>
    <w:p w14:paraId="552E687D" w14:textId="77777777" w:rsidR="007968EC" w:rsidRPr="002C0D19" w:rsidRDefault="007968EC" w:rsidP="007968EC">
      <w:pPr>
        <w:autoSpaceDE w:val="0"/>
        <w:autoSpaceDN w:val="0"/>
        <w:adjustRightInd w:val="0"/>
        <w:jc w:val="both"/>
        <w:rPr>
          <w:rFonts w:ascii="Arial Narrow" w:eastAsia="Calibri" w:hAnsi="Arial Narrow" w:cs="Arial Narrow"/>
          <w:color w:val="000000" w:themeColor="text1"/>
          <w:lang w:eastAsia="es-CO"/>
        </w:rPr>
      </w:pPr>
      <w:r w:rsidRPr="002C0D19">
        <w:rPr>
          <w:rFonts w:ascii="Arial Narrow" w:eastAsia="Calibri" w:hAnsi="Arial Narrow" w:cs="Arial Narrow"/>
          <w:color w:val="000000" w:themeColor="text1"/>
          <w:lang w:eastAsia="es-CO"/>
        </w:rPr>
        <w:t xml:space="preserve"> </w:t>
      </w:r>
    </w:p>
    <w:p w14:paraId="706B6A49" w14:textId="77777777" w:rsidR="007968EC" w:rsidRPr="000C7B67" w:rsidRDefault="007968EC" w:rsidP="00DA7472">
      <w:pPr>
        <w:numPr>
          <w:ilvl w:val="0"/>
          <w:numId w:val="303"/>
        </w:numPr>
        <w:jc w:val="both"/>
        <w:rPr>
          <w:rFonts w:ascii="Arial Narrow" w:hAnsi="Arial Narrow" w:cs="Arial"/>
          <w:color w:val="000000" w:themeColor="text1"/>
          <w:lang w:eastAsia="es-CO"/>
        </w:rPr>
      </w:pPr>
      <w:r w:rsidRPr="000C7B67">
        <w:rPr>
          <w:rFonts w:ascii="Arial Narrow" w:hAnsi="Arial Narrow" w:cs="Arial"/>
          <w:color w:val="000000" w:themeColor="text1"/>
          <w:lang w:eastAsia="es-CO"/>
        </w:rPr>
        <w:t xml:space="preserve"> </w:t>
      </w:r>
      <w:bookmarkStart w:id="953" w:name="_Toc427232990"/>
      <w:bookmarkStart w:id="954" w:name="_Toc470775388"/>
      <w:bookmarkStart w:id="955" w:name="_Toc470779673"/>
      <w:bookmarkStart w:id="956" w:name="_Toc470780290"/>
      <w:bookmarkStart w:id="957" w:name="_Toc470780803"/>
      <w:bookmarkStart w:id="958" w:name="_Toc470784364"/>
      <w:bookmarkStart w:id="959" w:name="_Toc470784901"/>
      <w:bookmarkStart w:id="960" w:name="_Toc470786924"/>
      <w:bookmarkStart w:id="961" w:name="_Toc470791277"/>
      <w:bookmarkStart w:id="962" w:name="_Toc471831487"/>
      <w:bookmarkStart w:id="963" w:name="_Toc490066182"/>
      <w:bookmarkStart w:id="964" w:name="_Toc490078953"/>
      <w:r w:rsidRPr="000C7B67">
        <w:rPr>
          <w:rFonts w:ascii="Arial Narrow" w:hAnsi="Arial Narrow" w:cs="Arial"/>
          <w:color w:val="000000" w:themeColor="text1"/>
          <w:lang w:eastAsia="es-CO"/>
        </w:rPr>
        <w:t xml:space="preserve">Consultar </w:t>
      </w:r>
      <w:r w:rsidRPr="002C0D19">
        <w:rPr>
          <w:rFonts w:ascii="Arial Narrow" w:hAnsi="Arial Narrow" w:cs="Arial"/>
          <w:color w:val="000000" w:themeColor="text1"/>
          <w:lang w:eastAsia="es-CO"/>
        </w:rPr>
        <w:t>información</w:t>
      </w:r>
      <w:r w:rsidRPr="000C7B67">
        <w:rPr>
          <w:rFonts w:ascii="Arial Narrow" w:hAnsi="Arial Narrow" w:cs="Arial"/>
          <w:color w:val="000000" w:themeColor="text1"/>
          <w:lang w:eastAsia="es-CO"/>
        </w:rPr>
        <w:t xml:space="preserve"> pública del Sistema;</w:t>
      </w:r>
      <w:bookmarkEnd w:id="953"/>
      <w:bookmarkEnd w:id="954"/>
      <w:bookmarkEnd w:id="955"/>
      <w:bookmarkEnd w:id="956"/>
      <w:bookmarkEnd w:id="957"/>
      <w:bookmarkEnd w:id="958"/>
      <w:bookmarkEnd w:id="959"/>
      <w:bookmarkEnd w:id="960"/>
      <w:bookmarkEnd w:id="961"/>
      <w:bookmarkEnd w:id="962"/>
      <w:bookmarkEnd w:id="963"/>
      <w:bookmarkEnd w:id="964"/>
    </w:p>
    <w:p w14:paraId="63D95B6B" w14:textId="77777777" w:rsidR="007968EC" w:rsidRPr="002C0D19" w:rsidRDefault="007968EC" w:rsidP="007968EC">
      <w:pPr>
        <w:rPr>
          <w:rFonts w:ascii="Arial Narrow" w:hAnsi="Arial Narrow"/>
          <w:b/>
          <w:color w:val="000000" w:themeColor="text1"/>
        </w:rPr>
      </w:pPr>
    </w:p>
    <w:p w14:paraId="2494FD1A" w14:textId="77777777" w:rsidR="007968EC" w:rsidRPr="002C0D19" w:rsidRDefault="007968EC" w:rsidP="00DA7472">
      <w:pPr>
        <w:numPr>
          <w:ilvl w:val="0"/>
          <w:numId w:val="302"/>
        </w:numPr>
        <w:jc w:val="both"/>
        <w:rPr>
          <w:rFonts w:ascii="Arial Narrow" w:hAnsi="Arial Narrow" w:cs="Arial"/>
          <w:color w:val="000000" w:themeColor="text1"/>
          <w:lang w:eastAsia="es-ES"/>
        </w:rPr>
      </w:pPr>
      <w:bookmarkStart w:id="965" w:name="_Toc363457348"/>
      <w:bookmarkStart w:id="966" w:name="_Toc392489402"/>
      <w:bookmarkStart w:id="967" w:name="_Toc404097037"/>
      <w:bookmarkStart w:id="968" w:name="_Toc427232991"/>
      <w:bookmarkStart w:id="969" w:name="_Toc470775389"/>
      <w:bookmarkStart w:id="970" w:name="_Toc470779674"/>
      <w:bookmarkStart w:id="971" w:name="_Toc470780291"/>
      <w:bookmarkStart w:id="972" w:name="_Toc470780804"/>
      <w:bookmarkStart w:id="973" w:name="_Toc470784365"/>
      <w:bookmarkStart w:id="974" w:name="_Toc470784902"/>
      <w:bookmarkStart w:id="975" w:name="_Toc470786925"/>
      <w:bookmarkStart w:id="976" w:name="_Toc470791278"/>
      <w:bookmarkStart w:id="977" w:name="_Toc471831488"/>
      <w:bookmarkStart w:id="978" w:name="_Toc490066183"/>
      <w:bookmarkStart w:id="979" w:name="_Toc490078954"/>
      <w:r w:rsidRPr="002C0D19">
        <w:rPr>
          <w:rFonts w:ascii="Arial Narrow" w:hAnsi="Arial Narrow" w:cs="Arial"/>
          <w:color w:val="000000" w:themeColor="text1"/>
          <w:lang w:eastAsia="es-ES"/>
        </w:rPr>
        <w:t xml:space="preserve">Operador del Miembro: Funcionario designado con </w:t>
      </w:r>
      <w:proofErr w:type="gramStart"/>
      <w:r w:rsidRPr="002C0D19">
        <w:rPr>
          <w:rFonts w:ascii="Arial Narrow" w:hAnsi="Arial Narrow" w:cs="Arial"/>
          <w:color w:val="000000" w:themeColor="text1"/>
          <w:lang w:eastAsia="es-ES"/>
        </w:rPr>
        <w:t>éste</w:t>
      </w:r>
      <w:proofErr w:type="gramEnd"/>
      <w:r w:rsidRPr="002C0D19">
        <w:rPr>
          <w:rFonts w:ascii="Arial Narrow" w:hAnsi="Arial Narrow" w:cs="Arial"/>
          <w:color w:val="000000" w:themeColor="text1"/>
          <w:lang w:eastAsia="es-ES"/>
        </w:rPr>
        <w:t xml:space="preserve"> perfil, tendrá acceso al Sistema para:</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p>
    <w:p w14:paraId="02BE9123" w14:textId="77777777" w:rsidR="007968EC" w:rsidRPr="002C0D19" w:rsidRDefault="007968EC" w:rsidP="007968EC">
      <w:pPr>
        <w:rPr>
          <w:rFonts w:ascii="Arial Narrow" w:hAnsi="Arial Narrow" w:cs="Arial"/>
          <w:b/>
          <w:color w:val="000000" w:themeColor="text1"/>
          <w:lang w:eastAsia="es-ES"/>
        </w:rPr>
      </w:pPr>
    </w:p>
    <w:p w14:paraId="63D29227" w14:textId="77777777" w:rsidR="007968EC" w:rsidRPr="002C0D19" w:rsidRDefault="007968EC" w:rsidP="00DA7472">
      <w:pPr>
        <w:numPr>
          <w:ilvl w:val="0"/>
          <w:numId w:val="85"/>
        </w:numPr>
        <w:contextualSpacing/>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Administrar la gestión de Operaciones del Miembro de acuerdo con el perfil asignado por el Administrador del Miembro;</w:t>
      </w:r>
    </w:p>
    <w:p w14:paraId="203DC2FB" w14:textId="77777777" w:rsidR="007968EC" w:rsidRPr="002C0D19" w:rsidRDefault="007968EC" w:rsidP="007968EC">
      <w:pPr>
        <w:ind w:left="1004"/>
        <w:contextualSpacing/>
        <w:jc w:val="both"/>
        <w:rPr>
          <w:rFonts w:ascii="Arial Narrow" w:hAnsi="Arial Narrow" w:cs="Arial"/>
          <w:color w:val="000000" w:themeColor="text1"/>
          <w:lang w:eastAsia="es-CO"/>
        </w:rPr>
      </w:pPr>
    </w:p>
    <w:p w14:paraId="7C6DD55F" w14:textId="77777777" w:rsidR="007968EC" w:rsidRPr="002C0D19" w:rsidRDefault="007968EC" w:rsidP="00DA7472">
      <w:pPr>
        <w:numPr>
          <w:ilvl w:val="0"/>
          <w:numId w:val="85"/>
        </w:numPr>
        <w:contextualSpacing/>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Identificar la correspondencia de las Operaciones celebradas en los Sistemas de Negociación y/o Registro, Mercado Mostrador o cualquier Mecanismo de Contratación o el sistema autorizado por la Cámara, con las registradas en las Cuentas en el Sistema de Compensación y Liquidación de acuerdo con el perfil asignado por el Administrador del Miembro para cada uno de los Segmentos en los que participe el Miembro;</w:t>
      </w:r>
    </w:p>
    <w:p w14:paraId="1C9F9493" w14:textId="77777777" w:rsidR="007968EC" w:rsidRPr="002C0D19" w:rsidRDefault="007968EC" w:rsidP="007968EC">
      <w:pPr>
        <w:ind w:left="1004"/>
        <w:rPr>
          <w:rFonts w:ascii="Arial Narrow" w:hAnsi="Arial Narrow" w:cs="Arial"/>
          <w:color w:val="000000" w:themeColor="text1"/>
          <w:lang w:eastAsia="es-CO"/>
        </w:rPr>
      </w:pPr>
    </w:p>
    <w:p w14:paraId="31139702" w14:textId="77777777" w:rsidR="007968EC" w:rsidRPr="002C0D19" w:rsidRDefault="007968EC" w:rsidP="00DA7472">
      <w:pPr>
        <w:numPr>
          <w:ilvl w:val="0"/>
          <w:numId w:val="85"/>
        </w:numPr>
        <w:contextualSpacing/>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Consultar información pública del Sistema.</w:t>
      </w:r>
    </w:p>
    <w:p w14:paraId="5794E5C4" w14:textId="77777777" w:rsidR="007968EC" w:rsidRPr="002C0D19" w:rsidRDefault="007968EC" w:rsidP="007968EC">
      <w:pPr>
        <w:jc w:val="both"/>
        <w:rPr>
          <w:rFonts w:ascii="Arial Narrow" w:hAnsi="Arial Narrow" w:cs="Arial"/>
          <w:color w:val="000000" w:themeColor="text1"/>
          <w:lang w:eastAsia="es-ES"/>
        </w:rPr>
      </w:pPr>
    </w:p>
    <w:p w14:paraId="063F7955" w14:textId="77777777" w:rsidR="007968EC" w:rsidRPr="002C0D19" w:rsidRDefault="007968EC" w:rsidP="00DA7472">
      <w:pPr>
        <w:numPr>
          <w:ilvl w:val="0"/>
          <w:numId w:val="302"/>
        </w:numPr>
        <w:jc w:val="both"/>
        <w:rPr>
          <w:rFonts w:ascii="Arial Narrow" w:hAnsi="Arial Narrow" w:cs="Arial"/>
          <w:color w:val="000000" w:themeColor="text1"/>
          <w:lang w:eastAsia="es-ES"/>
        </w:rPr>
      </w:pPr>
      <w:bookmarkStart w:id="980" w:name="_Toc427232992"/>
      <w:bookmarkStart w:id="981" w:name="_Toc470775390"/>
      <w:bookmarkStart w:id="982" w:name="_Toc470779675"/>
      <w:bookmarkStart w:id="983" w:name="_Toc470780292"/>
      <w:bookmarkStart w:id="984" w:name="_Toc470780805"/>
      <w:bookmarkStart w:id="985" w:name="_Toc470784366"/>
      <w:bookmarkStart w:id="986" w:name="_Toc470784903"/>
      <w:bookmarkStart w:id="987" w:name="_Toc470786926"/>
      <w:bookmarkStart w:id="988" w:name="_Toc470791279"/>
      <w:bookmarkStart w:id="989" w:name="_Toc471831489"/>
      <w:bookmarkStart w:id="990" w:name="_Toc490066184"/>
      <w:bookmarkStart w:id="991" w:name="_Toc490078955"/>
      <w:r w:rsidRPr="002C0D19">
        <w:rPr>
          <w:rFonts w:ascii="Arial Narrow" w:hAnsi="Arial Narrow" w:cs="Arial"/>
          <w:color w:val="000000" w:themeColor="text1"/>
          <w:lang w:eastAsia="es-ES"/>
        </w:rPr>
        <w:t xml:space="preserve">Operador Agente: Funcionario designado con </w:t>
      </w:r>
      <w:proofErr w:type="gramStart"/>
      <w:r w:rsidRPr="002C0D19">
        <w:rPr>
          <w:rFonts w:ascii="Arial Narrow" w:hAnsi="Arial Narrow" w:cs="Arial"/>
          <w:color w:val="000000" w:themeColor="text1"/>
          <w:lang w:eastAsia="es-ES"/>
        </w:rPr>
        <w:t>éste</w:t>
      </w:r>
      <w:proofErr w:type="gramEnd"/>
      <w:r w:rsidRPr="002C0D19">
        <w:rPr>
          <w:rFonts w:ascii="Arial Narrow" w:hAnsi="Arial Narrow" w:cs="Arial"/>
          <w:color w:val="000000" w:themeColor="text1"/>
          <w:lang w:eastAsia="es-ES"/>
        </w:rPr>
        <w:t xml:space="preserve"> perfil, tendrá acceso al Sistema para:</w:t>
      </w:r>
      <w:bookmarkEnd w:id="980"/>
      <w:bookmarkEnd w:id="981"/>
      <w:bookmarkEnd w:id="982"/>
      <w:bookmarkEnd w:id="983"/>
      <w:bookmarkEnd w:id="984"/>
      <w:bookmarkEnd w:id="985"/>
      <w:bookmarkEnd w:id="986"/>
      <w:bookmarkEnd w:id="987"/>
      <w:bookmarkEnd w:id="988"/>
      <w:bookmarkEnd w:id="989"/>
      <w:bookmarkEnd w:id="990"/>
      <w:bookmarkEnd w:id="991"/>
    </w:p>
    <w:p w14:paraId="4C1E5F49" w14:textId="77777777" w:rsidR="007968EC" w:rsidRPr="002C0D19" w:rsidRDefault="007968EC" w:rsidP="007968EC">
      <w:pPr>
        <w:autoSpaceDE w:val="0"/>
        <w:autoSpaceDN w:val="0"/>
        <w:adjustRightInd w:val="0"/>
        <w:jc w:val="both"/>
        <w:rPr>
          <w:rFonts w:ascii="Arial Narrow" w:eastAsia="Calibri" w:hAnsi="Arial Narrow" w:cs="Arial Narrow"/>
          <w:color w:val="000000" w:themeColor="text1"/>
        </w:rPr>
      </w:pPr>
    </w:p>
    <w:p w14:paraId="443A5035" w14:textId="77777777" w:rsidR="007968EC" w:rsidRPr="002C0D19" w:rsidRDefault="007968EC" w:rsidP="00DA7472">
      <w:pPr>
        <w:numPr>
          <w:ilvl w:val="0"/>
          <w:numId w:val="120"/>
        </w:numPr>
        <w:contextualSpacing/>
        <w:jc w:val="both"/>
        <w:rPr>
          <w:rFonts w:ascii="Arial Narrow" w:eastAsia="Calibri" w:hAnsi="Arial Narrow"/>
          <w:b/>
          <w:color w:val="000000" w:themeColor="text1"/>
          <w:lang w:val="es-ES"/>
        </w:rPr>
      </w:pPr>
      <w:r w:rsidRPr="002C0D19">
        <w:rPr>
          <w:rFonts w:ascii="Arial Narrow" w:eastAsia="Calibri" w:hAnsi="Arial Narrow" w:cs="Arial Narrow"/>
          <w:color w:val="000000" w:themeColor="text1"/>
          <w:lang w:eastAsia="es-CO"/>
        </w:rPr>
        <w:t>Consultar la información de los Terceros de acuerdo con el perfil y permisos otorgados por el Administrador del Miembro y el Administrador del Agente, respectivamente.</w:t>
      </w:r>
    </w:p>
    <w:p w14:paraId="0C23CF2F" w14:textId="77777777" w:rsidR="007968EC" w:rsidRPr="002C0D19" w:rsidRDefault="007968EC" w:rsidP="007968EC">
      <w:pPr>
        <w:jc w:val="both"/>
        <w:rPr>
          <w:rFonts w:ascii="Arial Narrow" w:hAnsi="Arial Narrow" w:cs="Arial"/>
          <w:color w:val="000000" w:themeColor="text1"/>
          <w:lang w:eastAsia="es-ES"/>
        </w:rPr>
      </w:pPr>
    </w:p>
    <w:p w14:paraId="54CFEDF4" w14:textId="77777777" w:rsidR="007968EC" w:rsidRDefault="007968EC" w:rsidP="007968EC">
      <w:pPr>
        <w:pStyle w:val="ARTICULO0"/>
      </w:pPr>
      <w:bookmarkStart w:id="992" w:name="_Toc472592070"/>
      <w:bookmarkStart w:id="993" w:name="_Toc472593089"/>
      <w:bookmarkStart w:id="994" w:name="_Toc479056875"/>
      <w:bookmarkStart w:id="995" w:name="_Toc31715883"/>
      <w:bookmarkStart w:id="996" w:name="_Toc470775391"/>
      <w:bookmarkStart w:id="997" w:name="_Toc470779676"/>
      <w:bookmarkStart w:id="998" w:name="_Toc470780293"/>
      <w:bookmarkStart w:id="999" w:name="_Toc470780806"/>
      <w:bookmarkStart w:id="1000" w:name="_Toc470784367"/>
      <w:bookmarkStart w:id="1001" w:name="_Toc470784904"/>
      <w:bookmarkStart w:id="1002" w:name="_Toc470786927"/>
      <w:bookmarkStart w:id="1003" w:name="_Toc470791280"/>
      <w:bookmarkStart w:id="1004" w:name="_Toc490066185"/>
      <w:r w:rsidRPr="002C0D19">
        <w:t>Artículo 1.2.5.4. Deberes del Administrador del Miembro.</w:t>
      </w:r>
      <w:bookmarkEnd w:id="992"/>
      <w:bookmarkEnd w:id="993"/>
      <w:bookmarkEnd w:id="994"/>
      <w:bookmarkEnd w:id="995"/>
      <w:r w:rsidRPr="002C0D19">
        <w:t xml:space="preserve"> </w:t>
      </w:r>
    </w:p>
    <w:p w14:paraId="47E8861A" w14:textId="77777777" w:rsidR="007968EC" w:rsidRPr="00B84E49" w:rsidRDefault="007968EC" w:rsidP="007968EC">
      <w:pPr>
        <w:jc w:val="both"/>
        <w:rPr>
          <w:rFonts w:ascii="Arial Narrow" w:hAnsi="Arial Narrow" w:cs="Arial"/>
          <w:color w:val="000000" w:themeColor="text1"/>
          <w:lang w:eastAsia="es-ES"/>
        </w:rPr>
      </w:pPr>
    </w:p>
    <w:p w14:paraId="3E6D72D4" w14:textId="77777777" w:rsidR="007968EC" w:rsidRPr="002C0D19" w:rsidRDefault="007968EC" w:rsidP="007968EC">
      <w:pPr>
        <w:pStyle w:val="ANTECEDENTES"/>
        <w:rPr>
          <w:u w:val="single"/>
        </w:rPr>
      </w:pPr>
      <w:r w:rsidRPr="002C0D19">
        <w:t>(Este artículo fue renumerado mediante Circular 19 del 28 de diciembre de 2016, publicada en el Boletín Normativo No. 024 del 28 de diciembre de 2016 y modificado mediante Circular 8 del 31 de marzo de 2017 publicada en el Boletín Normativo No. 008 del 31 de marzo de 2017. Rige a partir del 3 de abril de 2017.)</w:t>
      </w:r>
      <w:bookmarkEnd w:id="996"/>
      <w:bookmarkEnd w:id="997"/>
      <w:bookmarkEnd w:id="998"/>
      <w:bookmarkEnd w:id="999"/>
      <w:bookmarkEnd w:id="1000"/>
      <w:bookmarkEnd w:id="1001"/>
      <w:bookmarkEnd w:id="1002"/>
      <w:bookmarkEnd w:id="1003"/>
      <w:bookmarkEnd w:id="1004"/>
    </w:p>
    <w:p w14:paraId="07DB11A0" w14:textId="77777777" w:rsidR="007968EC" w:rsidRPr="002C0D19" w:rsidRDefault="007968EC" w:rsidP="007968EC">
      <w:pPr>
        <w:autoSpaceDE w:val="0"/>
        <w:autoSpaceDN w:val="0"/>
        <w:adjustRightInd w:val="0"/>
        <w:jc w:val="both"/>
        <w:rPr>
          <w:rFonts w:ascii="Arial Narrow" w:hAnsi="Arial Narrow" w:cs="Arial"/>
          <w:bCs/>
          <w:i/>
          <w:iCs/>
          <w:color w:val="000000" w:themeColor="text1"/>
          <w:lang w:val="es-ES" w:eastAsia="es-ES"/>
        </w:rPr>
      </w:pPr>
    </w:p>
    <w:p w14:paraId="7A3FDC19"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El Administrador del Miembro tendrá los siguientes deberes y obligaciones:</w:t>
      </w:r>
    </w:p>
    <w:p w14:paraId="7EEB9507" w14:textId="77777777" w:rsidR="007968EC" w:rsidRPr="002C0D19" w:rsidRDefault="007968EC" w:rsidP="007968EC">
      <w:pPr>
        <w:jc w:val="both"/>
        <w:rPr>
          <w:rFonts w:ascii="Arial Narrow" w:hAnsi="Arial Narrow" w:cs="Arial"/>
          <w:color w:val="000000" w:themeColor="text1"/>
          <w:lang w:val="es-ES" w:eastAsia="es-ES"/>
        </w:rPr>
      </w:pPr>
    </w:p>
    <w:p w14:paraId="2EC127C1" w14:textId="77777777" w:rsidR="007968EC" w:rsidRPr="002C0D19" w:rsidRDefault="007968EC" w:rsidP="00DA7472">
      <w:pPr>
        <w:numPr>
          <w:ilvl w:val="0"/>
          <w:numId w:val="24"/>
        </w:numPr>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Entregar a los Operadores debidamente autorizados por el Miembro las claves y los códigos de acceso al Sistema asignados por la Cámara, y dejar constancia de las autorizaciones necesarias, en forma tal que en cualquier tiempo pueda verificarse el nombre completo de la persona a la cual le fue entregado, el tipo y número de identificación y las funcionalidades asignadas dentro del Sistema.</w:t>
      </w:r>
    </w:p>
    <w:p w14:paraId="431ED47B" w14:textId="77777777" w:rsidR="007968EC" w:rsidRPr="002C0D19" w:rsidRDefault="007968EC" w:rsidP="007968EC">
      <w:pPr>
        <w:jc w:val="both"/>
        <w:rPr>
          <w:rFonts w:ascii="Arial Narrow" w:hAnsi="Arial Narrow" w:cs="Arial"/>
          <w:color w:val="000000" w:themeColor="text1"/>
          <w:lang w:eastAsia="es-ES"/>
        </w:rPr>
      </w:pPr>
    </w:p>
    <w:p w14:paraId="10CA4376" w14:textId="77777777" w:rsidR="007968EC" w:rsidRPr="002C0D19" w:rsidRDefault="007968EC" w:rsidP="00DA7472">
      <w:pPr>
        <w:numPr>
          <w:ilvl w:val="0"/>
          <w:numId w:val="24"/>
        </w:numPr>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lastRenderedPageBreak/>
        <w:t xml:space="preserve">Asignar los perfiles a los Operadores. </w:t>
      </w:r>
    </w:p>
    <w:p w14:paraId="3A8AB200" w14:textId="77777777" w:rsidR="007968EC" w:rsidRPr="002C0D19" w:rsidRDefault="007968EC" w:rsidP="007968EC">
      <w:pPr>
        <w:jc w:val="both"/>
        <w:rPr>
          <w:rFonts w:ascii="Arial Narrow" w:hAnsi="Arial Narrow" w:cs="Arial"/>
          <w:color w:val="000000" w:themeColor="text1"/>
          <w:lang w:val="es-ES" w:eastAsia="es-ES"/>
        </w:rPr>
      </w:pPr>
    </w:p>
    <w:p w14:paraId="75DB8350" w14:textId="77777777" w:rsidR="007968EC" w:rsidRPr="002C0D19" w:rsidRDefault="007968EC" w:rsidP="00DA7472">
      <w:pPr>
        <w:numPr>
          <w:ilvl w:val="0"/>
          <w:numId w:val="24"/>
        </w:numPr>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Velar porque los perfiles asignados a los Operadores no contravengan las disposiciones aplicables al Miembro y a sus funcionarios, en cuanto a la separación de funciones de control interno, de conformidad con su régimen legal, tales como administración de riesgos, gestión comercial, gestión de negociación y gestión operativa.</w:t>
      </w:r>
    </w:p>
    <w:p w14:paraId="014981B0" w14:textId="77777777" w:rsidR="007968EC" w:rsidRPr="002C0D19" w:rsidRDefault="007968EC" w:rsidP="007968EC">
      <w:pPr>
        <w:jc w:val="both"/>
        <w:rPr>
          <w:rFonts w:ascii="Arial Narrow" w:hAnsi="Arial Narrow" w:cs="Arial"/>
          <w:color w:val="000000" w:themeColor="text1"/>
          <w:lang w:val="es-ES" w:eastAsia="es-ES"/>
        </w:rPr>
      </w:pPr>
    </w:p>
    <w:p w14:paraId="7C00E685" w14:textId="77777777" w:rsidR="007968EC" w:rsidRPr="002C0D19" w:rsidRDefault="007968EC" w:rsidP="00DA7472">
      <w:pPr>
        <w:numPr>
          <w:ilvl w:val="0"/>
          <w:numId w:val="24"/>
        </w:numPr>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Solicitar a la Cámara la cancelación de la clave de acceso cuando el Operador correspondiente deje de ejercer las funciones autorizadas en forma definitiva, en casos tales como retiro voluntario, despido, cambio de cargo, muerte, etc. y no se tenga prevista la reasignación de la Terminal.</w:t>
      </w:r>
    </w:p>
    <w:p w14:paraId="49987540" w14:textId="77777777" w:rsidR="007968EC" w:rsidRPr="002C0D19" w:rsidRDefault="007968EC" w:rsidP="007968EC">
      <w:pPr>
        <w:jc w:val="both"/>
        <w:rPr>
          <w:rFonts w:ascii="Arial Narrow" w:hAnsi="Arial Narrow" w:cs="Arial"/>
          <w:color w:val="000000" w:themeColor="text1"/>
          <w:lang w:val="es-ES" w:eastAsia="es-ES"/>
        </w:rPr>
      </w:pPr>
    </w:p>
    <w:p w14:paraId="78D70412" w14:textId="77777777" w:rsidR="007968EC" w:rsidRPr="002C0D19" w:rsidRDefault="007968EC" w:rsidP="00DA7472">
      <w:pPr>
        <w:numPr>
          <w:ilvl w:val="0"/>
          <w:numId w:val="24"/>
        </w:numPr>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Modificar oportunamente el perfil asignado a un Operador dentro de su código de acceso, de acuerdo con las autorizaciones y capacidades del mismo, dejando constancia de ello e informando por escrito al titular.</w:t>
      </w:r>
    </w:p>
    <w:p w14:paraId="6BC40EFD" w14:textId="77777777" w:rsidR="007968EC" w:rsidRPr="002C0D19" w:rsidRDefault="007968EC" w:rsidP="007968EC">
      <w:pPr>
        <w:jc w:val="both"/>
        <w:rPr>
          <w:rFonts w:ascii="Arial Narrow" w:hAnsi="Arial Narrow" w:cs="Arial"/>
          <w:color w:val="000000" w:themeColor="text1"/>
          <w:lang w:val="es-ES" w:eastAsia="es-ES"/>
        </w:rPr>
      </w:pPr>
    </w:p>
    <w:p w14:paraId="5B7FE1D7" w14:textId="77777777" w:rsidR="007968EC" w:rsidRPr="002C0D19" w:rsidRDefault="007968EC" w:rsidP="00DA7472">
      <w:pPr>
        <w:numPr>
          <w:ilvl w:val="0"/>
          <w:numId w:val="24"/>
        </w:numPr>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Hacer entrega personal de la clave y código de acceso asignado a cada Operador dejando constancia de ello, informando expresamente las funcionalidades asignadas. Cuando de conformidad con el numeral 5. anterior se realice un cambio en las funciones asignadas, deberá informar de ello al Operador afectado, mediante comunicación escrita.</w:t>
      </w:r>
    </w:p>
    <w:p w14:paraId="5407DE87" w14:textId="77777777" w:rsidR="007968EC" w:rsidRPr="002C0D19" w:rsidRDefault="007968EC" w:rsidP="007968EC">
      <w:pPr>
        <w:jc w:val="both"/>
        <w:rPr>
          <w:rFonts w:ascii="Arial Narrow" w:hAnsi="Arial Narrow" w:cs="Arial"/>
          <w:color w:val="000000" w:themeColor="text1"/>
          <w:lang w:val="es-ES" w:eastAsia="es-ES"/>
        </w:rPr>
      </w:pPr>
    </w:p>
    <w:p w14:paraId="4CF0D0B0" w14:textId="77777777" w:rsidR="007968EC" w:rsidRPr="002C0D19" w:rsidRDefault="007968EC" w:rsidP="00DA7472">
      <w:pPr>
        <w:numPr>
          <w:ilvl w:val="0"/>
          <w:numId w:val="24"/>
        </w:numPr>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Cuando detecte que por algún motivo se ha perdido la reserva sobre la clave de acceso de algún Operador, deberá </w:t>
      </w:r>
      <w:proofErr w:type="gramStart"/>
      <w:r w:rsidRPr="002C0D19">
        <w:rPr>
          <w:rFonts w:ascii="Arial Narrow" w:hAnsi="Arial Narrow" w:cs="Arial"/>
          <w:color w:val="000000" w:themeColor="text1"/>
          <w:lang w:eastAsia="es-CO"/>
        </w:rPr>
        <w:t>proceder a informarlo</w:t>
      </w:r>
      <w:proofErr w:type="gramEnd"/>
      <w:r w:rsidRPr="002C0D19">
        <w:rPr>
          <w:rFonts w:ascii="Arial Narrow" w:hAnsi="Arial Narrow" w:cs="Arial"/>
          <w:color w:val="000000" w:themeColor="text1"/>
          <w:lang w:eastAsia="es-CO"/>
        </w:rPr>
        <w:t xml:space="preserve"> inmediatamente al titular del mismo y a la Cámara.</w:t>
      </w:r>
    </w:p>
    <w:p w14:paraId="4D82BC24" w14:textId="77777777" w:rsidR="007968EC" w:rsidRPr="002C0D19" w:rsidRDefault="007968EC" w:rsidP="007968EC">
      <w:pPr>
        <w:jc w:val="both"/>
        <w:rPr>
          <w:rFonts w:ascii="Arial Narrow" w:hAnsi="Arial Narrow" w:cs="Arial"/>
          <w:color w:val="000000" w:themeColor="text1"/>
          <w:lang w:val="es-ES" w:eastAsia="es-ES"/>
        </w:rPr>
      </w:pPr>
    </w:p>
    <w:p w14:paraId="2B788081" w14:textId="77777777" w:rsidR="007968EC" w:rsidRPr="002C0D19" w:rsidRDefault="007968EC" w:rsidP="00DA7472">
      <w:pPr>
        <w:numPr>
          <w:ilvl w:val="0"/>
          <w:numId w:val="24"/>
        </w:numPr>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Mantener bajo reserva las claves de acceso. En todo caso, la clave de un código de acceso no podrá ser revelada a persona distinta del funcionario al cual le ha sido asignada.</w:t>
      </w:r>
    </w:p>
    <w:p w14:paraId="48E69D05" w14:textId="77777777" w:rsidR="007968EC" w:rsidRPr="002C0D19" w:rsidRDefault="007968EC" w:rsidP="007968EC">
      <w:pPr>
        <w:jc w:val="both"/>
        <w:rPr>
          <w:rFonts w:ascii="Arial Narrow" w:hAnsi="Arial Narrow" w:cs="Arial"/>
          <w:color w:val="000000" w:themeColor="text1"/>
          <w:lang w:val="es-ES" w:eastAsia="es-ES"/>
        </w:rPr>
      </w:pPr>
    </w:p>
    <w:p w14:paraId="52229F95" w14:textId="77777777" w:rsidR="007968EC" w:rsidRPr="002C0D19" w:rsidRDefault="007968EC" w:rsidP="00DA7472">
      <w:pPr>
        <w:numPr>
          <w:ilvl w:val="0"/>
          <w:numId w:val="24"/>
        </w:numPr>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Informar a quien corresponda dentro del Miembro, del uso inadecuado de la clave y código de acceso propio por parte de un funcionario.</w:t>
      </w:r>
    </w:p>
    <w:p w14:paraId="1550FE02" w14:textId="77777777" w:rsidR="007968EC" w:rsidRPr="002C0D19" w:rsidRDefault="007968EC" w:rsidP="007968EC">
      <w:pPr>
        <w:jc w:val="both"/>
        <w:rPr>
          <w:rFonts w:ascii="Arial Narrow" w:hAnsi="Arial Narrow" w:cs="Arial"/>
          <w:color w:val="000000" w:themeColor="text1"/>
          <w:lang w:val="es-ES" w:eastAsia="es-ES"/>
        </w:rPr>
      </w:pPr>
    </w:p>
    <w:p w14:paraId="5F2D5543" w14:textId="77777777" w:rsidR="007968EC" w:rsidRPr="002C0D19" w:rsidRDefault="007968EC" w:rsidP="00DA7472">
      <w:pPr>
        <w:numPr>
          <w:ilvl w:val="0"/>
          <w:numId w:val="24"/>
        </w:numPr>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Informar a la Cámara como Administrador del Sistema de cualquier hecho relativo al uso de las claves y códigos de acceso que pueda poner en riesgo la seguridad del Sistema.</w:t>
      </w:r>
    </w:p>
    <w:p w14:paraId="692CD091" w14:textId="77777777" w:rsidR="007968EC" w:rsidRPr="002C0D19" w:rsidRDefault="007968EC" w:rsidP="007968EC">
      <w:pPr>
        <w:jc w:val="both"/>
        <w:rPr>
          <w:rFonts w:ascii="Arial Narrow" w:hAnsi="Arial Narrow" w:cs="Arial"/>
          <w:color w:val="000000" w:themeColor="text1"/>
          <w:lang w:val="es-ES" w:eastAsia="es-ES"/>
        </w:rPr>
      </w:pPr>
    </w:p>
    <w:p w14:paraId="774A33B9" w14:textId="77777777" w:rsidR="007968EC" w:rsidRPr="002C0D19" w:rsidRDefault="007968EC" w:rsidP="00DA7472">
      <w:pPr>
        <w:numPr>
          <w:ilvl w:val="0"/>
          <w:numId w:val="24"/>
        </w:numPr>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Solicitar a la Cámara el cambio de la clave de acceso al Terminal cuando se presente perdida de la misma, bien sea por olvido o cualquier otra circunstancia.</w:t>
      </w:r>
    </w:p>
    <w:p w14:paraId="74AF335E" w14:textId="77777777" w:rsidR="007968EC" w:rsidRPr="002C0D19" w:rsidRDefault="007968EC" w:rsidP="007968EC">
      <w:pPr>
        <w:ind w:left="708"/>
        <w:rPr>
          <w:rFonts w:ascii="Arial Narrow" w:hAnsi="Arial Narrow" w:cs="Arial"/>
          <w:color w:val="000000" w:themeColor="text1"/>
          <w:lang w:eastAsia="es-CO"/>
        </w:rPr>
      </w:pPr>
    </w:p>
    <w:p w14:paraId="0052A466" w14:textId="77777777" w:rsidR="007968EC" w:rsidRPr="002C0D19" w:rsidRDefault="007968EC" w:rsidP="00DA7472">
      <w:pPr>
        <w:numPr>
          <w:ilvl w:val="0"/>
          <w:numId w:val="24"/>
        </w:numPr>
        <w:jc w:val="both"/>
        <w:rPr>
          <w:rFonts w:ascii="Arial Narrow" w:hAnsi="Arial Narrow" w:cs="Arial"/>
          <w:lang w:eastAsia="es-CO"/>
        </w:rPr>
      </w:pPr>
      <w:r w:rsidRPr="002C0D19">
        <w:rPr>
          <w:rFonts w:ascii="Arial Narrow" w:hAnsi="Arial Narrow" w:cs="Arial"/>
          <w:lang w:eastAsia="es-CO"/>
        </w:rPr>
        <w:t>Garantizar y responder ante la Cámara porque la información a la que acceden los Operadores del Miembro a través del Sistema de la Cámara, relacionada con la valoración de los Activos y de los valores recibidos en garantía, así como la información de los insumos empleados por la Cámara, será únicamente para su visualización y no podrá comercializarla de manera independiente, ni divulgarla a terceros o utilizarla para fines diferentes a los previstos en la presente Circular y, por consiguiente, deberá mantenerla con la debida reserva.</w:t>
      </w:r>
    </w:p>
    <w:p w14:paraId="7D798B48" w14:textId="77777777" w:rsidR="007968EC" w:rsidRPr="002C0D19" w:rsidRDefault="007968EC" w:rsidP="007968EC">
      <w:pPr>
        <w:jc w:val="both"/>
        <w:rPr>
          <w:rFonts w:ascii="Arial Narrow" w:hAnsi="Arial Narrow" w:cs="Arial"/>
          <w:color w:val="000000" w:themeColor="text1"/>
          <w:lang w:val="es-ES" w:eastAsia="es-ES"/>
        </w:rPr>
      </w:pPr>
    </w:p>
    <w:p w14:paraId="3AE14C22" w14:textId="77777777" w:rsidR="007968EC" w:rsidRDefault="007968EC" w:rsidP="007968EC">
      <w:pPr>
        <w:keepNext/>
        <w:tabs>
          <w:tab w:val="left" w:pos="1701"/>
        </w:tabs>
        <w:jc w:val="both"/>
        <w:outlineLvl w:val="2"/>
        <w:rPr>
          <w:rFonts w:ascii="Arial Narrow" w:hAnsi="Arial Narrow" w:cs="Arial"/>
          <w:b/>
          <w:i/>
          <w:color w:val="000000" w:themeColor="text1"/>
          <w:lang w:eastAsia="es-ES"/>
        </w:rPr>
      </w:pPr>
      <w:bookmarkStart w:id="1005" w:name="_Toc31715884"/>
      <w:bookmarkStart w:id="1006" w:name="_Toc472592071"/>
      <w:bookmarkStart w:id="1007" w:name="_Toc472593090"/>
      <w:bookmarkStart w:id="1008" w:name="_Toc479056876"/>
      <w:bookmarkStart w:id="1009" w:name="_Toc470775392"/>
      <w:bookmarkStart w:id="1010" w:name="_Toc470779677"/>
      <w:bookmarkStart w:id="1011" w:name="_Toc470780294"/>
      <w:bookmarkStart w:id="1012" w:name="_Toc470780807"/>
      <w:bookmarkStart w:id="1013" w:name="_Toc470784368"/>
      <w:bookmarkStart w:id="1014" w:name="_Toc470784905"/>
      <w:bookmarkStart w:id="1015" w:name="_Toc470786928"/>
      <w:bookmarkStart w:id="1016" w:name="_Toc470791281"/>
      <w:bookmarkStart w:id="1017" w:name="_Toc490066186"/>
      <w:r w:rsidRPr="00B84E49">
        <w:rPr>
          <w:rStyle w:val="ARTICULOCar"/>
          <w:rFonts w:eastAsiaTheme="minorHAnsi"/>
        </w:rPr>
        <w:lastRenderedPageBreak/>
        <w:t>Artículo 1.2.5.5. Facultades especiales del Administrador del Sistema</w:t>
      </w:r>
      <w:bookmarkEnd w:id="1005"/>
      <w:r w:rsidRPr="002C0D19">
        <w:rPr>
          <w:rFonts w:ascii="Arial Narrow" w:hAnsi="Arial Narrow" w:cs="Arial"/>
          <w:b/>
          <w:color w:val="000000" w:themeColor="text1"/>
          <w:u w:val="single"/>
          <w:lang w:eastAsia="es-ES"/>
        </w:rPr>
        <w:t>.</w:t>
      </w:r>
      <w:bookmarkEnd w:id="1006"/>
      <w:bookmarkEnd w:id="1007"/>
      <w:bookmarkEnd w:id="1008"/>
      <w:r w:rsidRPr="002C0D19">
        <w:rPr>
          <w:rFonts w:ascii="Arial Narrow" w:hAnsi="Arial Narrow" w:cs="Arial"/>
          <w:b/>
          <w:i/>
          <w:color w:val="000000" w:themeColor="text1"/>
          <w:lang w:eastAsia="es-ES"/>
        </w:rPr>
        <w:t xml:space="preserve"> </w:t>
      </w:r>
      <w:bookmarkEnd w:id="1009"/>
      <w:bookmarkEnd w:id="1010"/>
      <w:bookmarkEnd w:id="1011"/>
      <w:bookmarkEnd w:id="1012"/>
      <w:bookmarkEnd w:id="1013"/>
      <w:bookmarkEnd w:id="1014"/>
      <w:bookmarkEnd w:id="1015"/>
      <w:bookmarkEnd w:id="1016"/>
    </w:p>
    <w:p w14:paraId="703289B1" w14:textId="77777777" w:rsidR="007968EC" w:rsidRPr="00B84E49" w:rsidRDefault="007968EC" w:rsidP="007968EC">
      <w:pPr>
        <w:jc w:val="both"/>
        <w:rPr>
          <w:rFonts w:ascii="Arial Narrow" w:hAnsi="Arial Narrow" w:cs="Arial"/>
          <w:color w:val="000000" w:themeColor="text1"/>
          <w:lang w:eastAsia="es-ES"/>
        </w:rPr>
      </w:pPr>
    </w:p>
    <w:p w14:paraId="5DD9473B" w14:textId="77777777" w:rsidR="007968EC" w:rsidRPr="002C0D19" w:rsidRDefault="007968EC" w:rsidP="007968EC">
      <w:pPr>
        <w:pStyle w:val="ANTECEDENTES"/>
        <w:rPr>
          <w:lang w:val="es-ES"/>
        </w:rPr>
      </w:pPr>
      <w:r w:rsidRPr="002C0D19">
        <w:t xml:space="preserve">(Este artículo fue modificado mediante Circular 10 del 18 de marzo de 2015, publicada en el Boletín Normativo No. 010 del 18 de marzo de 2015 y renumerado mediante </w:t>
      </w:r>
      <w:r w:rsidRPr="002C0D19">
        <w:rPr>
          <w:lang w:val="es-ES"/>
        </w:rPr>
        <w:t xml:space="preserve">Circular 19 del 28 de diciembre de 2016, publicada en el Boletín Normativo No. 024 del 28 de diciembre de 2016. </w:t>
      </w:r>
      <w:r w:rsidRPr="002C0D19">
        <w:t>Rige a partir del 29 de diciembre de 2016.</w:t>
      </w:r>
      <w:r w:rsidRPr="002C0D19">
        <w:rPr>
          <w:lang w:val="es-ES"/>
        </w:rPr>
        <w:t>)</w:t>
      </w:r>
      <w:bookmarkEnd w:id="1017"/>
    </w:p>
    <w:p w14:paraId="738E8D0E" w14:textId="77777777" w:rsidR="007968EC" w:rsidRPr="002C0D19" w:rsidRDefault="007968EC" w:rsidP="007968EC">
      <w:pPr>
        <w:jc w:val="both"/>
        <w:rPr>
          <w:rFonts w:ascii="Arial Narrow" w:hAnsi="Arial Narrow" w:cs="Arial"/>
          <w:color w:val="000000" w:themeColor="text1"/>
          <w:lang w:val="es-ES" w:eastAsia="es-ES"/>
        </w:rPr>
      </w:pPr>
    </w:p>
    <w:p w14:paraId="3EC63E22"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La Cámara, en su condición de Administrador del Sistema, podrá cancelar una clave o un código de acceso al Sistema de cualquier Operador del Miembro o Agente por razones de seguridad, por orden de un organismo de autorregulación, por orden de autoridad competente o por solicitud del Administrador del Miembro o Agente o del funcionario titular de la clave y código de acceso.</w:t>
      </w:r>
    </w:p>
    <w:p w14:paraId="564A757E" w14:textId="77777777" w:rsidR="007968EC" w:rsidRPr="002C0D19" w:rsidRDefault="007968EC" w:rsidP="007968EC">
      <w:pPr>
        <w:jc w:val="both"/>
        <w:rPr>
          <w:rFonts w:ascii="Arial Narrow" w:hAnsi="Arial Narrow" w:cs="Arial"/>
          <w:color w:val="000000" w:themeColor="text1"/>
          <w:lang w:val="es-ES" w:eastAsia="es-ES"/>
        </w:rPr>
      </w:pPr>
    </w:p>
    <w:p w14:paraId="018A4622"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Cuando un Miembro o Agente sea suspendido, excluido o se retire del Sistema, la Cámara inactivará o cancelará en forma definitiva, según corresponda, los códigos de acceso al Sistema.</w:t>
      </w:r>
    </w:p>
    <w:p w14:paraId="30B13449" w14:textId="77777777" w:rsidR="007968EC" w:rsidRPr="002C0D19" w:rsidRDefault="007968EC" w:rsidP="007968EC">
      <w:pPr>
        <w:jc w:val="both"/>
        <w:rPr>
          <w:rFonts w:ascii="Arial Narrow" w:hAnsi="Arial Narrow" w:cs="Arial"/>
          <w:color w:val="000000" w:themeColor="text1"/>
          <w:lang w:val="es-ES" w:eastAsia="es-ES"/>
        </w:rPr>
      </w:pPr>
    </w:p>
    <w:p w14:paraId="192F9543" w14:textId="77777777" w:rsidR="007968EC" w:rsidRDefault="007968EC" w:rsidP="007968EC">
      <w:pPr>
        <w:pStyle w:val="ARTICULO0"/>
      </w:pPr>
      <w:bookmarkStart w:id="1018" w:name="_Toc472592072"/>
      <w:bookmarkStart w:id="1019" w:name="_Toc472593091"/>
      <w:bookmarkStart w:id="1020" w:name="_Toc479056877"/>
      <w:bookmarkStart w:id="1021" w:name="_Toc31715885"/>
      <w:bookmarkStart w:id="1022" w:name="_Toc470775393"/>
      <w:bookmarkStart w:id="1023" w:name="_Toc470779678"/>
      <w:bookmarkStart w:id="1024" w:name="_Toc470780295"/>
      <w:bookmarkStart w:id="1025" w:name="_Toc470780808"/>
      <w:bookmarkStart w:id="1026" w:name="_Toc470784369"/>
      <w:bookmarkStart w:id="1027" w:name="_Toc470784906"/>
      <w:bookmarkStart w:id="1028" w:name="_Toc470786929"/>
      <w:bookmarkStart w:id="1029" w:name="_Toc470791282"/>
      <w:bookmarkStart w:id="1030" w:name="_Toc490066187"/>
      <w:r w:rsidRPr="002C0D19">
        <w:t>Artículo 1.2.5.6. Deberes del Miembro y/o Agente cuando el Administrador del Miembro y/o Agente cese en sus funciones.</w:t>
      </w:r>
      <w:bookmarkEnd w:id="1018"/>
      <w:bookmarkEnd w:id="1019"/>
      <w:bookmarkEnd w:id="1020"/>
      <w:bookmarkEnd w:id="1021"/>
      <w:r w:rsidRPr="002C0D19">
        <w:t xml:space="preserve"> </w:t>
      </w:r>
      <w:bookmarkEnd w:id="1022"/>
      <w:bookmarkEnd w:id="1023"/>
      <w:bookmarkEnd w:id="1024"/>
      <w:bookmarkEnd w:id="1025"/>
      <w:bookmarkEnd w:id="1026"/>
      <w:bookmarkEnd w:id="1027"/>
      <w:bookmarkEnd w:id="1028"/>
      <w:bookmarkEnd w:id="1029"/>
    </w:p>
    <w:p w14:paraId="517DE7EB" w14:textId="77777777" w:rsidR="007968EC" w:rsidRPr="00B84E49" w:rsidRDefault="007968EC" w:rsidP="007968EC">
      <w:pPr>
        <w:jc w:val="both"/>
        <w:rPr>
          <w:rFonts w:ascii="Arial Narrow" w:hAnsi="Arial Narrow" w:cs="Arial"/>
          <w:color w:val="000000" w:themeColor="text1"/>
          <w:lang w:eastAsia="es-ES"/>
        </w:rPr>
      </w:pPr>
    </w:p>
    <w:p w14:paraId="663709E2" w14:textId="77777777" w:rsidR="007968EC" w:rsidRPr="00B84E49" w:rsidRDefault="007968EC" w:rsidP="007968EC">
      <w:pPr>
        <w:pStyle w:val="ANTECEDENTES"/>
      </w:pPr>
      <w:r w:rsidRPr="00B84E49">
        <w:t>(Este artículo fue modificado mediante Circular 15 del 16 de octubre de 2009, publicada en el Boletín Normativo No. 019 del 16 de octubre de 2009 y mediante Circular 10 del 18 de marzo de 2015, publicada en el Boletín Normativo No. 010 del 18 de marzo de 2015 y renumerado mediante Circular 19 del 28 de diciembre de 2016, publicada en el Boletín Normativo No. 024 del 28 de diciembre de 2016. Rige a partir del 29 de diciembre de 2016.)</w:t>
      </w:r>
      <w:bookmarkEnd w:id="1030"/>
    </w:p>
    <w:p w14:paraId="68830DA6"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06AF7E63" w14:textId="77777777" w:rsidR="007968EC" w:rsidRPr="002C0D19" w:rsidRDefault="007968EC" w:rsidP="007968EC">
      <w:pPr>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Cuando el Administrador del Miembro y/o Agente cese definitiva o temporalmente en el uso de sus funciones, el representante legal del Miembro y/o Agente deberá informarlo inmediatamente a la Cámara y presentar a la persona que lo reemplazará, para lo cual deberá entregar debidamente diligenciado el formato establecido en el Anexo 10, y en caso de ser procedente, deberá actualizar el Anexo 6. La Cámara otorgará clave de acceso al Sistema al nuevo Administrador del Miembro.</w:t>
      </w:r>
    </w:p>
    <w:p w14:paraId="159050B8" w14:textId="77777777" w:rsidR="007968EC" w:rsidRPr="002C0D19" w:rsidRDefault="007968EC" w:rsidP="007968EC">
      <w:pPr>
        <w:jc w:val="both"/>
        <w:rPr>
          <w:rFonts w:ascii="Arial Narrow" w:hAnsi="Arial Narrow" w:cs="Arial"/>
          <w:color w:val="000000" w:themeColor="text1"/>
          <w:lang w:val="es-ES" w:eastAsia="es-ES"/>
        </w:rPr>
      </w:pPr>
    </w:p>
    <w:p w14:paraId="5C755186" w14:textId="77777777" w:rsidR="007968EC" w:rsidRDefault="007968EC" w:rsidP="007968EC">
      <w:pPr>
        <w:pStyle w:val="ARTICULO0"/>
      </w:pPr>
      <w:bookmarkStart w:id="1031" w:name="_Toc472592073"/>
      <w:bookmarkStart w:id="1032" w:name="_Toc472593092"/>
      <w:bookmarkStart w:id="1033" w:name="_Toc479056878"/>
      <w:bookmarkStart w:id="1034" w:name="_Toc31715886"/>
      <w:bookmarkStart w:id="1035" w:name="_Toc470775394"/>
      <w:bookmarkStart w:id="1036" w:name="_Toc470779679"/>
      <w:bookmarkStart w:id="1037" w:name="_Toc470780296"/>
      <w:bookmarkStart w:id="1038" w:name="_Toc470780809"/>
      <w:bookmarkStart w:id="1039" w:name="_Toc470784370"/>
      <w:bookmarkStart w:id="1040" w:name="_Toc470784907"/>
      <w:bookmarkStart w:id="1041" w:name="_Toc470786930"/>
      <w:bookmarkStart w:id="1042" w:name="_Toc470791283"/>
      <w:bookmarkStart w:id="1043" w:name="_Toc490066188"/>
      <w:r w:rsidRPr="002C0D19">
        <w:t>Artículo 1.2.5.7. Acceso al Sistema.</w:t>
      </w:r>
      <w:bookmarkEnd w:id="1031"/>
      <w:bookmarkEnd w:id="1032"/>
      <w:bookmarkEnd w:id="1033"/>
      <w:bookmarkEnd w:id="1034"/>
      <w:r w:rsidRPr="002C0D19">
        <w:t xml:space="preserve"> </w:t>
      </w:r>
      <w:bookmarkEnd w:id="1035"/>
      <w:bookmarkEnd w:id="1036"/>
      <w:bookmarkEnd w:id="1037"/>
      <w:bookmarkEnd w:id="1038"/>
      <w:bookmarkEnd w:id="1039"/>
      <w:bookmarkEnd w:id="1040"/>
      <w:bookmarkEnd w:id="1041"/>
      <w:bookmarkEnd w:id="1042"/>
    </w:p>
    <w:p w14:paraId="1BC561BE" w14:textId="77777777" w:rsidR="007968EC" w:rsidRPr="00B84E49" w:rsidRDefault="007968EC" w:rsidP="007968EC">
      <w:pPr>
        <w:jc w:val="both"/>
        <w:rPr>
          <w:rFonts w:ascii="Arial Narrow" w:hAnsi="Arial Narrow" w:cs="Arial"/>
          <w:color w:val="000000" w:themeColor="text1"/>
          <w:lang w:eastAsia="es-ES"/>
        </w:rPr>
      </w:pPr>
    </w:p>
    <w:p w14:paraId="7E436440" w14:textId="77777777" w:rsidR="007968EC" w:rsidRPr="002C0D19" w:rsidRDefault="007968EC" w:rsidP="007968EC">
      <w:pPr>
        <w:pStyle w:val="ANTECEDENTES"/>
        <w:rPr>
          <w:u w:val="single"/>
        </w:rPr>
      </w:pPr>
      <w:r w:rsidRPr="002C0D19">
        <w:t>(Este artículo fue renumerado mediante Circular 19 del 28 de diciembre de 2016, publicada en el Boletín Normativo No. 024 del 28 de diciembre de 2016. Rige a partir del 29 de diciembre de 2016.)</w:t>
      </w:r>
      <w:bookmarkEnd w:id="1043"/>
    </w:p>
    <w:p w14:paraId="7A69EE39" w14:textId="77777777" w:rsidR="007968EC" w:rsidRPr="002C0D19" w:rsidRDefault="007968EC" w:rsidP="007968EC">
      <w:pPr>
        <w:jc w:val="both"/>
        <w:rPr>
          <w:rFonts w:ascii="Arial Narrow" w:hAnsi="Arial Narrow" w:cs="Arial"/>
          <w:color w:val="000000" w:themeColor="text1"/>
          <w:lang w:val="es-ES" w:eastAsia="es-ES"/>
        </w:rPr>
      </w:pPr>
    </w:p>
    <w:p w14:paraId="4CE4EE07"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El acceso al Sistema Operativo requiere el código del Miembro, el código de Terminal y la clave de acceso, así:</w:t>
      </w:r>
    </w:p>
    <w:p w14:paraId="058C5CFC" w14:textId="77777777" w:rsidR="007968EC" w:rsidRPr="002C0D19" w:rsidRDefault="007968EC" w:rsidP="007968EC">
      <w:pPr>
        <w:jc w:val="both"/>
        <w:rPr>
          <w:rFonts w:ascii="Arial Narrow" w:hAnsi="Arial Narrow" w:cs="Arial"/>
          <w:color w:val="000000" w:themeColor="text1"/>
          <w:lang w:val="es-ES" w:eastAsia="es-ES"/>
        </w:rPr>
      </w:pPr>
    </w:p>
    <w:p w14:paraId="74D7EC3C" w14:textId="77777777" w:rsidR="007968EC" w:rsidRPr="002C0D19" w:rsidRDefault="007968EC" w:rsidP="00DA7472">
      <w:pPr>
        <w:numPr>
          <w:ilvl w:val="0"/>
          <w:numId w:val="25"/>
        </w:numPr>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Código del Miembro: Compuesto por cuatro (4) caracteres alfanuméricos, en los que el primer carácter será la letra M que identifica Miembro y los tres dígitos siguientes que corresponderán al mismo código de identificación del Miembro en el sistema de negociación. </w:t>
      </w:r>
    </w:p>
    <w:p w14:paraId="1A8EBEF2" w14:textId="77777777" w:rsidR="007968EC" w:rsidRPr="002C0D19" w:rsidRDefault="007968EC" w:rsidP="007968EC">
      <w:pPr>
        <w:jc w:val="both"/>
        <w:rPr>
          <w:rFonts w:ascii="Arial Narrow" w:hAnsi="Arial Narrow" w:cs="Arial"/>
          <w:color w:val="000000" w:themeColor="text1"/>
          <w:lang w:val="es-ES" w:eastAsia="es-ES"/>
        </w:rPr>
      </w:pPr>
    </w:p>
    <w:p w14:paraId="71401B35" w14:textId="77777777" w:rsidR="007968EC" w:rsidRPr="002C0D19" w:rsidRDefault="007968EC" w:rsidP="00DA7472">
      <w:pPr>
        <w:numPr>
          <w:ilvl w:val="0"/>
          <w:numId w:val="25"/>
        </w:numPr>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lastRenderedPageBreak/>
        <w:t>Código de Terminal: Compuesto por tres (3) caracteres numéricos, los cuales son asignados de acuerdo con las necesidades de infraestructura tecnológica y operativa del Miembro e identificarán al Operador del Miembro.</w:t>
      </w:r>
    </w:p>
    <w:p w14:paraId="4360C387" w14:textId="77777777" w:rsidR="007968EC" w:rsidRPr="002C0D19" w:rsidRDefault="007968EC" w:rsidP="007968EC">
      <w:pPr>
        <w:jc w:val="both"/>
        <w:rPr>
          <w:rFonts w:ascii="Arial Narrow" w:hAnsi="Arial Narrow" w:cs="Arial"/>
          <w:color w:val="000000" w:themeColor="text1"/>
          <w:lang w:val="es-ES" w:eastAsia="es-ES"/>
        </w:rPr>
      </w:pPr>
    </w:p>
    <w:p w14:paraId="7239F4DF" w14:textId="77777777" w:rsidR="007968EC" w:rsidRPr="002C0D19" w:rsidRDefault="007968EC" w:rsidP="007968EC">
      <w:pPr>
        <w:ind w:left="360"/>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El proceso de asignación del código de Terminal será el siguiente:</w:t>
      </w:r>
    </w:p>
    <w:p w14:paraId="3473FF41" w14:textId="77777777" w:rsidR="007968EC" w:rsidRPr="002C0D19" w:rsidRDefault="007968EC" w:rsidP="007968EC">
      <w:pPr>
        <w:jc w:val="both"/>
        <w:rPr>
          <w:rFonts w:ascii="Arial Narrow" w:hAnsi="Arial Narrow" w:cs="Arial"/>
          <w:color w:val="000000" w:themeColor="text1"/>
          <w:lang w:val="es-ES" w:eastAsia="es-ES"/>
        </w:rPr>
      </w:pPr>
    </w:p>
    <w:p w14:paraId="61143E59" w14:textId="77777777" w:rsidR="007968EC" w:rsidRPr="002C0D19" w:rsidRDefault="007968EC" w:rsidP="00DA7472">
      <w:pPr>
        <w:numPr>
          <w:ilvl w:val="1"/>
          <w:numId w:val="25"/>
        </w:numPr>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La Cámara a solicitud del Miembro define el número de terminales operativas a instalar, el número de Operadores a crear y habilita las direcciones IP y los puertos exigidos por la aplicación.</w:t>
      </w:r>
    </w:p>
    <w:p w14:paraId="60A8BF16" w14:textId="77777777" w:rsidR="007968EC" w:rsidRPr="002C0D19" w:rsidRDefault="007968EC" w:rsidP="007968EC">
      <w:pPr>
        <w:jc w:val="both"/>
        <w:rPr>
          <w:rFonts w:ascii="Arial Narrow" w:hAnsi="Arial Narrow" w:cs="Arial"/>
          <w:color w:val="000000" w:themeColor="text1"/>
          <w:lang w:val="es-ES" w:eastAsia="es-ES"/>
        </w:rPr>
      </w:pPr>
    </w:p>
    <w:p w14:paraId="44B79844" w14:textId="77777777" w:rsidR="007968EC" w:rsidRPr="002C0D19" w:rsidRDefault="007968EC" w:rsidP="00DA7472">
      <w:pPr>
        <w:numPr>
          <w:ilvl w:val="1"/>
          <w:numId w:val="25"/>
        </w:numPr>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La Cámara establece los códigos de Terminales, reservando el código 001 para el Administrador del Miembro asociado a una dirección IP identificada. </w:t>
      </w:r>
    </w:p>
    <w:p w14:paraId="52594A69" w14:textId="77777777" w:rsidR="007968EC" w:rsidRPr="002C0D19" w:rsidRDefault="007968EC" w:rsidP="007968EC">
      <w:pPr>
        <w:jc w:val="both"/>
        <w:rPr>
          <w:rFonts w:ascii="Arial Narrow" w:hAnsi="Arial Narrow" w:cs="Arial"/>
          <w:color w:val="000000" w:themeColor="text1"/>
          <w:lang w:val="es-ES" w:eastAsia="es-ES"/>
        </w:rPr>
      </w:pPr>
    </w:p>
    <w:p w14:paraId="46887297" w14:textId="77777777" w:rsidR="007968EC" w:rsidRPr="002C0D19" w:rsidRDefault="007968EC" w:rsidP="00DA7472">
      <w:pPr>
        <w:numPr>
          <w:ilvl w:val="1"/>
          <w:numId w:val="25"/>
        </w:numPr>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Una vez el Administrador del Miembro se encuentra identificado en el Sistema, desde este Terminal y con la clave de acceso asignada, puede establecer los perfiles de los Operadores de la entidad, los cuales están asociados a cada dirección IP configurada por la Cámara.</w:t>
      </w:r>
    </w:p>
    <w:p w14:paraId="7BA0D987" w14:textId="77777777" w:rsidR="007968EC" w:rsidRPr="002C0D19" w:rsidRDefault="007968EC" w:rsidP="007968EC">
      <w:pPr>
        <w:ind w:left="360"/>
        <w:jc w:val="both"/>
        <w:rPr>
          <w:rFonts w:ascii="Arial Narrow" w:hAnsi="Arial Narrow" w:cs="Arial"/>
          <w:color w:val="000000" w:themeColor="text1"/>
          <w:lang w:val="es-ES" w:eastAsia="es-ES"/>
        </w:rPr>
      </w:pPr>
    </w:p>
    <w:p w14:paraId="64C6059B" w14:textId="77777777" w:rsidR="007968EC" w:rsidRPr="002C0D19" w:rsidRDefault="007968EC" w:rsidP="00DA7472">
      <w:pPr>
        <w:numPr>
          <w:ilvl w:val="1"/>
          <w:numId w:val="25"/>
        </w:numPr>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El Sistema de la Cámara no realiza control de la identificación y nombre del Operador responsable de la IP matriculada, en este sentido el empleo de los terminales por parte de los funcionarios del </w:t>
      </w:r>
      <w:proofErr w:type="gramStart"/>
      <w:r w:rsidRPr="002C0D19">
        <w:rPr>
          <w:rFonts w:ascii="Arial Narrow" w:hAnsi="Arial Narrow" w:cs="Arial"/>
          <w:color w:val="000000" w:themeColor="text1"/>
          <w:lang w:eastAsia="es-CO"/>
        </w:rPr>
        <w:t>Miembro,</w:t>
      </w:r>
      <w:proofErr w:type="gramEnd"/>
      <w:r w:rsidRPr="002C0D19">
        <w:rPr>
          <w:rFonts w:ascii="Arial Narrow" w:hAnsi="Arial Narrow" w:cs="Arial"/>
          <w:color w:val="000000" w:themeColor="text1"/>
          <w:lang w:eastAsia="es-CO"/>
        </w:rPr>
        <w:t xml:space="preserve"> es su responsabilidad a través del Administrador.</w:t>
      </w:r>
    </w:p>
    <w:p w14:paraId="1BD1E500" w14:textId="77777777" w:rsidR="007968EC" w:rsidRPr="002C0D19" w:rsidRDefault="007968EC" w:rsidP="007968EC">
      <w:pPr>
        <w:jc w:val="both"/>
        <w:rPr>
          <w:rFonts w:ascii="Arial Narrow" w:hAnsi="Arial Narrow" w:cs="Arial"/>
          <w:color w:val="000000" w:themeColor="text1"/>
          <w:lang w:val="es-ES" w:eastAsia="es-ES"/>
        </w:rPr>
      </w:pPr>
    </w:p>
    <w:p w14:paraId="5E4AF4BC" w14:textId="77777777" w:rsidR="007968EC" w:rsidRPr="002C0D19" w:rsidRDefault="007968EC" w:rsidP="00DA7472">
      <w:pPr>
        <w:numPr>
          <w:ilvl w:val="0"/>
          <w:numId w:val="25"/>
        </w:numPr>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Clave de Acceso: La clave de acceso al Sistema será secreta y estará compuesta por ocho (8) caracteres, los cuales deben cumplir con la condición de tener al menos dos (2) caracteres alfabéticos en mayúscula, cuatro (4) alfanuméricos y al menos (2) caracteres especiales. </w:t>
      </w:r>
    </w:p>
    <w:p w14:paraId="7C9BB1ED" w14:textId="77777777" w:rsidR="007968EC" w:rsidRPr="002C0D19" w:rsidRDefault="007968EC" w:rsidP="007968EC">
      <w:pPr>
        <w:jc w:val="both"/>
        <w:rPr>
          <w:rFonts w:ascii="Arial Narrow" w:hAnsi="Arial Narrow" w:cs="Arial"/>
          <w:color w:val="000000" w:themeColor="text1"/>
          <w:lang w:val="es-ES" w:eastAsia="es-ES"/>
        </w:rPr>
      </w:pPr>
    </w:p>
    <w:p w14:paraId="7C05C4EF" w14:textId="77777777" w:rsidR="007968EC" w:rsidRPr="002C0D19" w:rsidRDefault="007968EC" w:rsidP="007968EC">
      <w:pPr>
        <w:ind w:left="360"/>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La clave de acceso estará sujeta a las siguientes reglas:</w:t>
      </w:r>
    </w:p>
    <w:p w14:paraId="0460FE23" w14:textId="77777777" w:rsidR="007968EC" w:rsidRPr="002C0D19" w:rsidRDefault="007968EC" w:rsidP="007968EC">
      <w:pPr>
        <w:jc w:val="both"/>
        <w:rPr>
          <w:rFonts w:ascii="Arial Narrow" w:hAnsi="Arial Narrow" w:cs="Arial"/>
          <w:color w:val="000000" w:themeColor="text1"/>
          <w:lang w:val="es-ES" w:eastAsia="es-ES"/>
        </w:rPr>
      </w:pPr>
    </w:p>
    <w:p w14:paraId="18023B31" w14:textId="77777777" w:rsidR="007968EC" w:rsidRPr="002C0D19" w:rsidRDefault="007968EC" w:rsidP="00DA7472">
      <w:pPr>
        <w:numPr>
          <w:ilvl w:val="1"/>
          <w:numId w:val="25"/>
        </w:numPr>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Acceso al Sistema: Para ingresar al Sistema, todo Operador con código de acceso, deberá digitar la clave asignada. Al primer ingreso del usuario, el sistema le exigirá el cambio de la clave de la misma. </w:t>
      </w:r>
    </w:p>
    <w:p w14:paraId="28A57C4D" w14:textId="77777777" w:rsidR="007968EC" w:rsidRPr="002C0D19" w:rsidRDefault="007968EC" w:rsidP="007968EC">
      <w:pPr>
        <w:jc w:val="both"/>
        <w:rPr>
          <w:rFonts w:ascii="Arial Narrow" w:hAnsi="Arial Narrow" w:cs="Arial"/>
          <w:color w:val="000000" w:themeColor="text1"/>
          <w:lang w:val="es-ES" w:eastAsia="es-ES"/>
        </w:rPr>
      </w:pPr>
    </w:p>
    <w:p w14:paraId="6F9E63F8" w14:textId="77777777" w:rsidR="007968EC" w:rsidRPr="002C0D19" w:rsidRDefault="007968EC" w:rsidP="00DA7472">
      <w:pPr>
        <w:numPr>
          <w:ilvl w:val="1"/>
          <w:numId w:val="25"/>
        </w:numPr>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Cambio de Clave: El Sistema le exigirá al usuario el cambio de clave como mínimo cada treinta</w:t>
      </w:r>
      <w:r w:rsidRPr="002C0D19">
        <w:rPr>
          <w:rFonts w:ascii="Arial Narrow" w:hAnsi="Arial Narrow" w:cs="Arial"/>
          <w:i/>
          <w:color w:val="000000" w:themeColor="text1"/>
          <w:lang w:eastAsia="es-CO"/>
        </w:rPr>
        <w:t xml:space="preserve"> </w:t>
      </w:r>
      <w:r w:rsidRPr="002C0D19">
        <w:rPr>
          <w:rFonts w:ascii="Arial Narrow" w:hAnsi="Arial Narrow" w:cs="Arial"/>
          <w:color w:val="000000" w:themeColor="text1"/>
          <w:lang w:eastAsia="es-CO"/>
        </w:rPr>
        <w:t>(30) días. Sin embargo el usuario puede cambiar su clave en cualquier momento, pero la nueva clave no podrá ser igual a la clave anterior. Desde el Sistema se enviarán mensajes al Terminal cuando la fecha de expiración de la clave de acceso esté cercana. El Sistema comprobará la fecha de expiración cada vez que verifique la clave de acceso de un Terminal en el proceso de conexión; la comprobación de la fecha se hará en relación con la fecha de sesión del Sistema.</w:t>
      </w:r>
    </w:p>
    <w:p w14:paraId="2A6E24AB" w14:textId="77777777" w:rsidR="007968EC" w:rsidRPr="002C0D19" w:rsidRDefault="007968EC" w:rsidP="007968EC">
      <w:pPr>
        <w:jc w:val="both"/>
        <w:rPr>
          <w:rFonts w:ascii="Arial Narrow" w:hAnsi="Arial Narrow" w:cs="Arial"/>
          <w:color w:val="000000" w:themeColor="text1"/>
          <w:lang w:val="es-ES" w:eastAsia="es-ES"/>
        </w:rPr>
      </w:pPr>
    </w:p>
    <w:p w14:paraId="5E818C76" w14:textId="77777777" w:rsidR="007968EC" w:rsidRPr="002C0D19" w:rsidRDefault="007968EC" w:rsidP="00DA7472">
      <w:pPr>
        <w:numPr>
          <w:ilvl w:val="1"/>
          <w:numId w:val="25"/>
        </w:numPr>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Intento Fallido: El intento fallido de ingreso de contraseña por tres (3) ocasiones o más, provoca el bloqueo de la clave. Un Terminal bloqueado no será aceptado en el Sistema de la Cámara hasta que el Administrador de la Cámara le asigne una nueva clave de acceso, por lo cual el Administrador del Miembro tendrá que solicitar dicha reactivación a través de comunicación electrónica, utilizando el </w:t>
      </w:r>
      <w:bookmarkStart w:id="1044" w:name="OLE_LINK7"/>
      <w:r w:rsidRPr="002C0D19">
        <w:rPr>
          <w:rFonts w:ascii="Arial Narrow" w:hAnsi="Arial Narrow" w:cs="Arial"/>
          <w:color w:val="000000" w:themeColor="text1"/>
          <w:lang w:eastAsia="es-CO"/>
        </w:rPr>
        <w:t xml:space="preserve">Formato de Solicitud de Reactivación de claves de acceso, Anexo </w:t>
      </w:r>
      <w:bookmarkEnd w:id="1044"/>
      <w:r w:rsidRPr="002C0D19">
        <w:rPr>
          <w:rFonts w:ascii="Arial Narrow" w:hAnsi="Arial Narrow" w:cs="Arial"/>
          <w:color w:val="000000" w:themeColor="text1"/>
          <w:lang w:eastAsia="es-CO"/>
        </w:rPr>
        <w:t>18.</w:t>
      </w:r>
    </w:p>
    <w:p w14:paraId="2AF66AA1" w14:textId="77777777" w:rsidR="007968EC" w:rsidRPr="002C0D19" w:rsidRDefault="007968EC" w:rsidP="007968EC">
      <w:pPr>
        <w:ind w:left="708"/>
        <w:rPr>
          <w:rFonts w:ascii="Arial Narrow" w:hAnsi="Arial Narrow" w:cs="Arial"/>
          <w:color w:val="000000" w:themeColor="text1"/>
          <w:lang w:eastAsia="es-CO"/>
        </w:rPr>
      </w:pPr>
    </w:p>
    <w:p w14:paraId="4A655B35" w14:textId="77777777" w:rsidR="007968EC" w:rsidRDefault="007968EC" w:rsidP="007968EC">
      <w:pPr>
        <w:pStyle w:val="ARTICULO0"/>
        <w:rPr>
          <w:i/>
        </w:rPr>
      </w:pPr>
      <w:bookmarkStart w:id="1045" w:name="_Toc472592074"/>
      <w:bookmarkStart w:id="1046" w:name="_Toc472593093"/>
      <w:bookmarkStart w:id="1047" w:name="_Toc479056879"/>
      <w:bookmarkStart w:id="1048" w:name="_Toc31715887"/>
      <w:bookmarkStart w:id="1049" w:name="_Toc470775395"/>
      <w:bookmarkStart w:id="1050" w:name="_Toc470779680"/>
      <w:bookmarkStart w:id="1051" w:name="_Toc470780297"/>
      <w:bookmarkStart w:id="1052" w:name="_Toc470780810"/>
      <w:bookmarkStart w:id="1053" w:name="_Toc470784371"/>
      <w:bookmarkStart w:id="1054" w:name="_Toc470784908"/>
      <w:bookmarkStart w:id="1055" w:name="_Toc470786931"/>
      <w:bookmarkStart w:id="1056" w:name="_Toc470791284"/>
      <w:bookmarkStart w:id="1057" w:name="_Toc490066189"/>
      <w:r w:rsidRPr="002C0D19">
        <w:t>Artículo 1.2.5.8. Otros tipos de Acceso al Sistema.</w:t>
      </w:r>
      <w:bookmarkEnd w:id="1045"/>
      <w:bookmarkEnd w:id="1046"/>
      <w:bookmarkEnd w:id="1047"/>
      <w:bookmarkEnd w:id="1048"/>
      <w:r w:rsidRPr="002C0D19">
        <w:rPr>
          <w:i/>
        </w:rPr>
        <w:t xml:space="preserve"> </w:t>
      </w:r>
    </w:p>
    <w:p w14:paraId="2D68ED5A" w14:textId="77777777" w:rsidR="007968EC" w:rsidRPr="00B84E49" w:rsidRDefault="007968EC" w:rsidP="007968EC">
      <w:pPr>
        <w:jc w:val="both"/>
        <w:rPr>
          <w:rFonts w:ascii="Arial Narrow" w:hAnsi="Arial Narrow" w:cs="Arial"/>
          <w:color w:val="000000" w:themeColor="text1"/>
          <w:lang w:eastAsia="es-ES"/>
        </w:rPr>
      </w:pPr>
    </w:p>
    <w:p w14:paraId="2D665B28" w14:textId="77777777" w:rsidR="007968EC" w:rsidRPr="002C0D19" w:rsidRDefault="007968EC" w:rsidP="007968EC">
      <w:pPr>
        <w:pStyle w:val="ANTECEDENTES"/>
        <w:rPr>
          <w:u w:val="single"/>
        </w:rPr>
      </w:pPr>
      <w:r w:rsidRPr="002C0D19">
        <w:t>(Este artículo fue renumerado mediante Circular 19 del 28 de diciembre de 2016, publicada en el Boletín Normativo No. 024 del 28 de diciembre de 2016. Rige a partir del 29 de diciembre de 2016.)</w:t>
      </w:r>
      <w:bookmarkEnd w:id="1049"/>
      <w:bookmarkEnd w:id="1050"/>
      <w:bookmarkEnd w:id="1051"/>
      <w:bookmarkEnd w:id="1052"/>
      <w:bookmarkEnd w:id="1053"/>
      <w:bookmarkEnd w:id="1054"/>
      <w:bookmarkEnd w:id="1055"/>
      <w:bookmarkEnd w:id="1056"/>
      <w:bookmarkEnd w:id="1057"/>
    </w:p>
    <w:p w14:paraId="4AC3CF9E" w14:textId="77777777" w:rsidR="007968EC" w:rsidRPr="002C0D19" w:rsidRDefault="007968EC" w:rsidP="007968EC">
      <w:pPr>
        <w:widowControl w:val="0"/>
        <w:jc w:val="both"/>
        <w:rPr>
          <w:rFonts w:ascii="Arial Narrow" w:hAnsi="Arial Narrow" w:cs="Arial"/>
          <w:color w:val="000000" w:themeColor="text1"/>
          <w:lang w:val="es-ES" w:eastAsia="es-ES"/>
        </w:rPr>
      </w:pPr>
    </w:p>
    <w:p w14:paraId="5500C22E" w14:textId="77777777" w:rsidR="007968EC" w:rsidRPr="002C0D19" w:rsidRDefault="007968EC" w:rsidP="007968EC">
      <w:pPr>
        <w:widowControl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El acceso al Sistema Operativo para Agentes o Autoridades Competentes se permitirá a través de la siguiente metodología de identificación: </w:t>
      </w:r>
    </w:p>
    <w:p w14:paraId="19263A20" w14:textId="77777777" w:rsidR="007968EC" w:rsidRPr="002C0D19" w:rsidRDefault="007968EC" w:rsidP="007968EC">
      <w:pPr>
        <w:widowControl w:val="0"/>
        <w:jc w:val="both"/>
        <w:rPr>
          <w:rFonts w:ascii="Arial Narrow" w:hAnsi="Arial Narrow" w:cs="Arial"/>
          <w:color w:val="000000" w:themeColor="text1"/>
          <w:lang w:val="es-ES" w:eastAsia="es-ES"/>
        </w:rPr>
      </w:pPr>
    </w:p>
    <w:tbl>
      <w:tblPr>
        <w:tblW w:w="6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3"/>
        <w:gridCol w:w="1456"/>
        <w:gridCol w:w="1810"/>
      </w:tblGrid>
      <w:tr w:rsidR="007968EC" w:rsidRPr="002C0D19" w14:paraId="249ADF90" w14:textId="77777777" w:rsidTr="007968EC">
        <w:trPr>
          <w:jc w:val="center"/>
        </w:trPr>
        <w:tc>
          <w:tcPr>
            <w:tcW w:w="3573" w:type="dxa"/>
            <w:shd w:val="clear" w:color="auto" w:fill="CCCCCC"/>
            <w:vAlign w:val="center"/>
          </w:tcPr>
          <w:p w14:paraId="6A90A82D"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Tipo de Agente/Autoridad</w:t>
            </w:r>
          </w:p>
        </w:tc>
        <w:tc>
          <w:tcPr>
            <w:tcW w:w="1456" w:type="dxa"/>
            <w:shd w:val="clear" w:color="auto" w:fill="CCCCCC"/>
            <w:vAlign w:val="center"/>
          </w:tcPr>
          <w:p w14:paraId="4A90BC49"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Carácter Tipo Agente/ Autoridad</w:t>
            </w:r>
          </w:p>
        </w:tc>
        <w:tc>
          <w:tcPr>
            <w:tcW w:w="1810" w:type="dxa"/>
            <w:shd w:val="clear" w:color="auto" w:fill="CCCCCC"/>
            <w:vAlign w:val="center"/>
          </w:tcPr>
          <w:p w14:paraId="2D94129D"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Caracteres Alfanuméricos </w:t>
            </w:r>
          </w:p>
        </w:tc>
      </w:tr>
      <w:tr w:rsidR="007968EC" w:rsidRPr="002C0D19" w14:paraId="3A6F26DB" w14:textId="77777777" w:rsidTr="007968EC">
        <w:trPr>
          <w:trHeight w:val="461"/>
          <w:jc w:val="center"/>
        </w:trPr>
        <w:tc>
          <w:tcPr>
            <w:tcW w:w="3573" w:type="dxa"/>
            <w:vAlign w:val="center"/>
          </w:tcPr>
          <w:p w14:paraId="647F5893"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Agente de Pago (No Miembro)</w:t>
            </w:r>
          </w:p>
        </w:tc>
        <w:tc>
          <w:tcPr>
            <w:tcW w:w="1456" w:type="dxa"/>
            <w:vAlign w:val="center"/>
          </w:tcPr>
          <w:p w14:paraId="0475E143"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P</w:t>
            </w:r>
          </w:p>
        </w:tc>
        <w:tc>
          <w:tcPr>
            <w:tcW w:w="1810" w:type="dxa"/>
            <w:vAlign w:val="center"/>
          </w:tcPr>
          <w:p w14:paraId="394F835C"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XY9</w:t>
            </w:r>
          </w:p>
        </w:tc>
      </w:tr>
      <w:tr w:rsidR="007968EC" w:rsidRPr="002C0D19" w14:paraId="12B9EFD5" w14:textId="77777777" w:rsidTr="007968EC">
        <w:trPr>
          <w:trHeight w:val="512"/>
          <w:jc w:val="center"/>
        </w:trPr>
        <w:tc>
          <w:tcPr>
            <w:tcW w:w="3573" w:type="dxa"/>
            <w:vAlign w:val="center"/>
          </w:tcPr>
          <w:p w14:paraId="55326F82"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Agente Custodio (No Miembro)</w:t>
            </w:r>
          </w:p>
        </w:tc>
        <w:tc>
          <w:tcPr>
            <w:tcW w:w="1456" w:type="dxa"/>
            <w:vAlign w:val="center"/>
          </w:tcPr>
          <w:p w14:paraId="0AECA0CD"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C</w:t>
            </w:r>
          </w:p>
        </w:tc>
        <w:tc>
          <w:tcPr>
            <w:tcW w:w="1810" w:type="dxa"/>
            <w:vAlign w:val="center"/>
          </w:tcPr>
          <w:p w14:paraId="32E19265"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A99</w:t>
            </w:r>
          </w:p>
        </w:tc>
      </w:tr>
      <w:tr w:rsidR="007968EC" w:rsidRPr="002C0D19" w14:paraId="3F7589ED" w14:textId="77777777" w:rsidTr="007968EC">
        <w:trPr>
          <w:trHeight w:val="618"/>
          <w:jc w:val="center"/>
        </w:trPr>
        <w:tc>
          <w:tcPr>
            <w:tcW w:w="3573" w:type="dxa"/>
            <w:vAlign w:val="center"/>
          </w:tcPr>
          <w:p w14:paraId="02326845"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Agente Pago/Custodio (No Miembro)</w:t>
            </w:r>
          </w:p>
        </w:tc>
        <w:tc>
          <w:tcPr>
            <w:tcW w:w="1456" w:type="dxa"/>
            <w:vAlign w:val="center"/>
          </w:tcPr>
          <w:p w14:paraId="62D6C0C8"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T</w:t>
            </w:r>
          </w:p>
        </w:tc>
        <w:tc>
          <w:tcPr>
            <w:tcW w:w="1810" w:type="dxa"/>
            <w:vAlign w:val="center"/>
          </w:tcPr>
          <w:p w14:paraId="63AEAED2"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9B8</w:t>
            </w:r>
          </w:p>
        </w:tc>
      </w:tr>
      <w:tr w:rsidR="007968EC" w:rsidRPr="002C0D19" w14:paraId="04C1E980" w14:textId="77777777" w:rsidTr="007968EC">
        <w:trPr>
          <w:trHeight w:val="516"/>
          <w:jc w:val="center"/>
        </w:trPr>
        <w:tc>
          <w:tcPr>
            <w:tcW w:w="3573" w:type="dxa"/>
            <w:vAlign w:val="center"/>
          </w:tcPr>
          <w:p w14:paraId="1B39288F"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Autoridad Competente</w:t>
            </w:r>
          </w:p>
        </w:tc>
        <w:tc>
          <w:tcPr>
            <w:tcW w:w="1456" w:type="dxa"/>
            <w:vAlign w:val="center"/>
          </w:tcPr>
          <w:p w14:paraId="7AD5B928"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E</w:t>
            </w:r>
          </w:p>
        </w:tc>
        <w:tc>
          <w:tcPr>
            <w:tcW w:w="1810" w:type="dxa"/>
            <w:vAlign w:val="center"/>
          </w:tcPr>
          <w:p w14:paraId="742D311C"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999</w:t>
            </w:r>
          </w:p>
        </w:tc>
      </w:tr>
    </w:tbl>
    <w:p w14:paraId="1E277D63" w14:textId="77777777" w:rsidR="007968EC" w:rsidRPr="002C0D19" w:rsidRDefault="007968EC" w:rsidP="007968EC">
      <w:pPr>
        <w:jc w:val="both"/>
        <w:rPr>
          <w:rFonts w:ascii="Arial Narrow" w:hAnsi="Arial Narrow" w:cs="Arial"/>
          <w:color w:val="000000" w:themeColor="text1"/>
          <w:lang w:val="es-ES" w:eastAsia="es-ES"/>
        </w:rPr>
      </w:pPr>
    </w:p>
    <w:p w14:paraId="6C02070B"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La información a la que tengan acceso los Agentes será determinada por la Cámara de acuerdo con las funciones de los mismos y la información a la que tengan acceso las Autoridades Competentes será la que determinen las disposiciones legales vigentes.</w:t>
      </w:r>
    </w:p>
    <w:p w14:paraId="24D52729" w14:textId="77777777" w:rsidR="007968EC" w:rsidRPr="002C0D19" w:rsidRDefault="007968EC" w:rsidP="007968EC">
      <w:pPr>
        <w:jc w:val="both"/>
        <w:rPr>
          <w:rFonts w:ascii="Arial Narrow" w:hAnsi="Arial Narrow" w:cs="Arial"/>
          <w:color w:val="000000" w:themeColor="text1"/>
          <w:lang w:val="es-ES" w:eastAsia="es-ES"/>
        </w:rPr>
      </w:pPr>
    </w:p>
    <w:p w14:paraId="204C149B" w14:textId="77777777" w:rsidR="007968EC" w:rsidRDefault="007968EC" w:rsidP="007968EC">
      <w:pPr>
        <w:pStyle w:val="ARTICULO0"/>
        <w:rPr>
          <w:bCs/>
        </w:rPr>
      </w:pPr>
      <w:bookmarkStart w:id="1058" w:name="_Toc206134807"/>
      <w:bookmarkStart w:id="1059" w:name="_Toc472592075"/>
      <w:bookmarkStart w:id="1060" w:name="_Toc472593094"/>
      <w:bookmarkStart w:id="1061" w:name="_Toc479056880"/>
      <w:bookmarkStart w:id="1062" w:name="_Toc31715888"/>
      <w:bookmarkStart w:id="1063" w:name="_Toc470775396"/>
      <w:bookmarkStart w:id="1064" w:name="_Toc470779681"/>
      <w:bookmarkStart w:id="1065" w:name="_Toc470780298"/>
      <w:bookmarkStart w:id="1066" w:name="_Toc470780811"/>
      <w:bookmarkStart w:id="1067" w:name="_Toc470784372"/>
      <w:bookmarkStart w:id="1068" w:name="_Toc470784909"/>
      <w:bookmarkStart w:id="1069" w:name="_Toc470786932"/>
      <w:bookmarkStart w:id="1070" w:name="_Toc470791285"/>
      <w:bookmarkStart w:id="1071" w:name="_Toc490066190"/>
      <w:r w:rsidRPr="002C0D19">
        <w:t>Artículo 1.2.5.9. Procedimiento de entrega de la clave de acceso al Sistema al Administrador del Miembro</w:t>
      </w:r>
      <w:bookmarkEnd w:id="1058"/>
      <w:r w:rsidRPr="002C0D19">
        <w:t xml:space="preserve"> y/o Agente.</w:t>
      </w:r>
      <w:bookmarkEnd w:id="1059"/>
      <w:bookmarkEnd w:id="1060"/>
      <w:bookmarkEnd w:id="1061"/>
      <w:bookmarkEnd w:id="1062"/>
      <w:r w:rsidRPr="002C0D19">
        <w:rPr>
          <w:bCs/>
        </w:rPr>
        <w:t xml:space="preserve"> </w:t>
      </w:r>
      <w:bookmarkEnd w:id="1063"/>
      <w:bookmarkEnd w:id="1064"/>
      <w:bookmarkEnd w:id="1065"/>
      <w:bookmarkEnd w:id="1066"/>
      <w:bookmarkEnd w:id="1067"/>
      <w:bookmarkEnd w:id="1068"/>
      <w:bookmarkEnd w:id="1069"/>
      <w:bookmarkEnd w:id="1070"/>
    </w:p>
    <w:p w14:paraId="21BF4771" w14:textId="77777777" w:rsidR="007968EC" w:rsidRPr="00B84E49" w:rsidRDefault="007968EC" w:rsidP="007968EC">
      <w:pPr>
        <w:jc w:val="both"/>
        <w:rPr>
          <w:rFonts w:ascii="Arial Narrow" w:hAnsi="Arial Narrow" w:cs="Arial"/>
          <w:color w:val="000000" w:themeColor="text1"/>
          <w:lang w:eastAsia="es-ES"/>
        </w:rPr>
      </w:pPr>
    </w:p>
    <w:p w14:paraId="42247851" w14:textId="77777777" w:rsidR="007968EC" w:rsidRPr="002C0D19" w:rsidRDefault="007968EC" w:rsidP="007968EC">
      <w:pPr>
        <w:pStyle w:val="ANTECEDENTES"/>
        <w:rPr>
          <w:bCs/>
          <w:u w:val="single"/>
        </w:rPr>
      </w:pPr>
      <w:r w:rsidRPr="002C0D19">
        <w:rPr>
          <w:bCs/>
        </w:rPr>
        <w:t xml:space="preserve">(Este artículo fue modificado mediante </w:t>
      </w:r>
      <w:r w:rsidRPr="002C0D19">
        <w:t xml:space="preserve">Circular 10 del 18 de marzo de 2015, publicada en el Boletín Normativo No. 010 del 18 de marzo de 2015, renumerado mediante </w:t>
      </w:r>
      <w:r w:rsidRPr="002C0D19">
        <w:rPr>
          <w:lang w:val="es-ES"/>
        </w:rPr>
        <w:t xml:space="preserve">Circular 19 del 28 de diciembre de 2016, publicada en el Boletín Normativo No. 024 del 28 de diciembre de 2016 y modificado mediante Circular 14 del 8 de agosto de 2017, publicada en el Boletín Normativo No. 015 del 8 de agosto de 2017. </w:t>
      </w:r>
      <w:r w:rsidRPr="002C0D19">
        <w:t>Rige a partir del 9 de agosto de 2017.</w:t>
      </w:r>
      <w:r w:rsidRPr="002C0D19">
        <w:rPr>
          <w:lang w:val="es-ES"/>
        </w:rPr>
        <w:t>)</w:t>
      </w:r>
      <w:bookmarkEnd w:id="1071"/>
    </w:p>
    <w:p w14:paraId="0C289318" w14:textId="77777777" w:rsidR="007968EC" w:rsidRPr="002C0D19" w:rsidRDefault="007968EC" w:rsidP="007968EC">
      <w:pPr>
        <w:jc w:val="both"/>
        <w:rPr>
          <w:rFonts w:ascii="Arial Narrow" w:hAnsi="Arial Narrow" w:cs="Arial"/>
          <w:color w:val="000000" w:themeColor="text1"/>
          <w:lang w:val="es-ES" w:eastAsia="es-ES"/>
        </w:rPr>
      </w:pPr>
    </w:p>
    <w:p w14:paraId="0B9FC721"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lang w:val="es-ES" w:eastAsia="es-ES"/>
        </w:rPr>
        <w:t>Una vez la Cámara reciba por parte del aspirante a Miembro la Orden de Compra de Servicios, aceptando la Oferta de Servicios para la afiliación al Sistema de Compensación y Liquidación de la Cámara, procederá a crear y entregar la clave de acceso al Administrador del Miembro. En el caso del Agente, una vez aceptadas las Ofertas de Servicio de los Anexos 4, 5, 5A y 22, según corresponda, mediante una Orden de Compra de Servicios, la Cámara procederá a crear y entregar la clave de Acceso para que pueda actuar como Agente en el Sistema de Compensación y Liquidación de Operaciones.</w:t>
      </w:r>
    </w:p>
    <w:p w14:paraId="0BA6F470" w14:textId="77777777" w:rsidR="007968EC" w:rsidRPr="002C0D19" w:rsidRDefault="007968EC" w:rsidP="007968EC">
      <w:pPr>
        <w:jc w:val="both"/>
        <w:rPr>
          <w:rFonts w:ascii="Arial Narrow" w:hAnsi="Arial Narrow" w:cs="Arial"/>
          <w:lang w:val="es-ES" w:eastAsia="es-ES"/>
        </w:rPr>
      </w:pPr>
    </w:p>
    <w:p w14:paraId="1EFC300D"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lang w:val="es-ES" w:eastAsia="es-ES"/>
        </w:rPr>
        <w:t xml:space="preserve">Para tal efecto el Administrador del Miembro y/o Agente deberá haber manifestado expresamente que acepta dicha designación. Tal aceptación podrá constar en la misma comunicación en que fue designado o mediante </w:t>
      </w:r>
      <w:r w:rsidRPr="002C0D19">
        <w:rPr>
          <w:rFonts w:ascii="Arial Narrow" w:hAnsi="Arial Narrow" w:cs="Arial"/>
          <w:lang w:val="es-ES" w:eastAsia="es-ES"/>
        </w:rPr>
        <w:lastRenderedPageBreak/>
        <w:t>comunicación separada en la cual así lo indique. Por el hecho de la aceptación se entiende que el Administrador del Miembro y/o Agente acepta los deberes y obligaciones que se establecen mediante el Reglamento de Funcionamiento de la Cámara y la presente Circular.</w:t>
      </w:r>
    </w:p>
    <w:p w14:paraId="4BCC2183" w14:textId="77777777" w:rsidR="007968EC" w:rsidRPr="002C0D19" w:rsidRDefault="007968EC" w:rsidP="007968EC">
      <w:pPr>
        <w:jc w:val="both"/>
        <w:rPr>
          <w:rFonts w:ascii="Arial Narrow" w:hAnsi="Arial Narrow" w:cs="Arial"/>
          <w:lang w:val="es-ES" w:eastAsia="es-ES"/>
        </w:rPr>
      </w:pPr>
    </w:p>
    <w:p w14:paraId="712E80AB"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lang w:val="es-ES" w:eastAsia="es-ES"/>
        </w:rPr>
        <w:t>Una vez recibida la comunicación de que trata el párrafo anterior, la Cámara a través del área de Operaciones y Riesgos, o quien haga sus veces, hará entrega personal de la clave de acceso dejando constancia de ello. Para el efecto, el Administrador deberá presentarse personalmente en la Cámara o designar una persona autorizada para recibir la comunicación donde consta el código y la clave general de acceso.</w:t>
      </w:r>
    </w:p>
    <w:p w14:paraId="200B1769" w14:textId="77777777" w:rsidR="007968EC" w:rsidRPr="002C0D19" w:rsidRDefault="007968EC" w:rsidP="007968EC">
      <w:pPr>
        <w:jc w:val="both"/>
        <w:rPr>
          <w:rFonts w:ascii="Arial Narrow" w:hAnsi="Arial Narrow" w:cs="Arial"/>
          <w:lang w:val="es-ES" w:eastAsia="es-ES"/>
        </w:rPr>
      </w:pPr>
    </w:p>
    <w:p w14:paraId="648DD136" w14:textId="77777777" w:rsidR="007968EC" w:rsidRPr="002C0D19" w:rsidRDefault="007968EC" w:rsidP="007968EC">
      <w:pPr>
        <w:autoSpaceDE w:val="0"/>
        <w:autoSpaceDN w:val="0"/>
        <w:adjustRightInd w:val="0"/>
        <w:jc w:val="both"/>
        <w:rPr>
          <w:rFonts w:ascii="Arial Narrow" w:hAnsi="Arial Narrow" w:cs="Arial"/>
          <w:lang w:val="es-ES" w:eastAsia="es-ES"/>
        </w:rPr>
      </w:pPr>
      <w:r w:rsidRPr="002C0D19">
        <w:rPr>
          <w:rFonts w:ascii="Arial Narrow" w:hAnsi="Arial Narrow" w:cs="Arial"/>
          <w:b/>
          <w:lang w:val="es-ES" w:eastAsia="es-ES"/>
        </w:rPr>
        <w:t>Parágrafo.</w:t>
      </w:r>
      <w:r w:rsidRPr="002C0D19">
        <w:rPr>
          <w:rFonts w:ascii="Arial Narrow" w:hAnsi="Arial Narrow" w:cs="Arial"/>
          <w:i/>
          <w:lang w:val="es-ES" w:eastAsia="es-ES"/>
        </w:rPr>
        <w:t xml:space="preserve"> </w:t>
      </w:r>
      <w:r w:rsidRPr="002C0D19">
        <w:rPr>
          <w:rFonts w:ascii="Arial Narrow" w:hAnsi="Arial Narrow" w:cs="Arial"/>
          <w:lang w:val="es-ES" w:eastAsia="es-ES"/>
        </w:rPr>
        <w:t xml:space="preserve">Para todos los efectos incluidos los jurídicos que se generen, entiéndase expresamente que las normas contendidas en el Reglamento de Funcionamiento de la </w:t>
      </w:r>
      <w:proofErr w:type="gramStart"/>
      <w:r w:rsidRPr="002C0D19">
        <w:rPr>
          <w:rFonts w:ascii="Arial Narrow" w:hAnsi="Arial Narrow" w:cs="Arial"/>
          <w:lang w:val="es-ES" w:eastAsia="es-ES"/>
        </w:rPr>
        <w:t>Cámara,</w:t>
      </w:r>
      <w:proofErr w:type="gramEnd"/>
      <w:r w:rsidRPr="002C0D19">
        <w:rPr>
          <w:rFonts w:ascii="Arial Narrow" w:hAnsi="Arial Narrow" w:cs="Arial"/>
          <w:lang w:val="es-ES" w:eastAsia="es-ES"/>
        </w:rPr>
        <w:t xml:space="preserve"> tienen plena validez y eficacia a partir del momento en que la Cámara como Administrador del Sistema haya asignado y entregado a cada Miembro y/o Agente el código y claves de acceso al Sistema.</w:t>
      </w:r>
    </w:p>
    <w:p w14:paraId="2F9FFC0E"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27956D18" w14:textId="77777777" w:rsidR="007968EC" w:rsidRDefault="007968EC" w:rsidP="007968EC">
      <w:pPr>
        <w:pStyle w:val="ARTICULO0"/>
      </w:pPr>
      <w:bookmarkStart w:id="1072" w:name="_Toc206134808"/>
      <w:bookmarkStart w:id="1073" w:name="_Toc472592076"/>
      <w:bookmarkStart w:id="1074" w:name="_Toc472593095"/>
      <w:bookmarkStart w:id="1075" w:name="_Toc479056881"/>
      <w:bookmarkStart w:id="1076" w:name="_Toc31715889"/>
      <w:bookmarkStart w:id="1077" w:name="_Toc470775397"/>
      <w:bookmarkStart w:id="1078" w:name="_Toc470779682"/>
      <w:bookmarkStart w:id="1079" w:name="_Toc470780299"/>
      <w:bookmarkStart w:id="1080" w:name="_Toc470780812"/>
      <w:bookmarkStart w:id="1081" w:name="_Toc470784373"/>
      <w:bookmarkStart w:id="1082" w:name="_Toc470784910"/>
      <w:bookmarkStart w:id="1083" w:name="_Toc470786933"/>
      <w:bookmarkStart w:id="1084" w:name="_Toc470791286"/>
      <w:bookmarkStart w:id="1085" w:name="_Toc490066191"/>
      <w:r w:rsidRPr="002C0D19">
        <w:t>Artículo 1.2.5.10. Procedimiento de entrega de las claves de acceso al Sistema a los Operadores del Miembro</w:t>
      </w:r>
      <w:bookmarkEnd w:id="1072"/>
      <w:bookmarkEnd w:id="1073"/>
      <w:bookmarkEnd w:id="1074"/>
      <w:bookmarkEnd w:id="1075"/>
      <w:r w:rsidRPr="002C0D19">
        <w:t>.</w:t>
      </w:r>
      <w:bookmarkEnd w:id="1076"/>
      <w:r w:rsidRPr="002C0D19">
        <w:t xml:space="preserve"> </w:t>
      </w:r>
    </w:p>
    <w:p w14:paraId="2A86FA8D" w14:textId="77777777" w:rsidR="007968EC" w:rsidRPr="00B84E49" w:rsidRDefault="007968EC" w:rsidP="007968EC">
      <w:pPr>
        <w:jc w:val="both"/>
        <w:rPr>
          <w:rFonts w:ascii="Arial Narrow" w:hAnsi="Arial Narrow" w:cs="Arial"/>
          <w:color w:val="000000" w:themeColor="text1"/>
          <w:lang w:eastAsia="es-ES"/>
        </w:rPr>
      </w:pPr>
    </w:p>
    <w:p w14:paraId="1746BBFB" w14:textId="77777777" w:rsidR="007968EC" w:rsidRPr="002C0D19" w:rsidRDefault="007968EC" w:rsidP="007968EC">
      <w:pPr>
        <w:pStyle w:val="ANTECEDENTES"/>
        <w:rPr>
          <w:u w:val="single"/>
        </w:rPr>
      </w:pPr>
      <w:r w:rsidRPr="002C0D19">
        <w:t>(Este artículo fue renumerado mediante Circular 19 del 28 de diciembre de 2016, publicada en el Boletín Normativo No. 024 del 28 de diciembre de 2016. Rige a partir del 29 de diciembre de 2016.)</w:t>
      </w:r>
      <w:bookmarkEnd w:id="1077"/>
      <w:bookmarkEnd w:id="1078"/>
      <w:bookmarkEnd w:id="1079"/>
      <w:bookmarkEnd w:id="1080"/>
      <w:bookmarkEnd w:id="1081"/>
      <w:bookmarkEnd w:id="1082"/>
      <w:bookmarkEnd w:id="1083"/>
      <w:bookmarkEnd w:id="1084"/>
      <w:bookmarkEnd w:id="1085"/>
    </w:p>
    <w:p w14:paraId="0FA64DF9" w14:textId="77777777" w:rsidR="007968EC" w:rsidRPr="002C0D19" w:rsidRDefault="007968EC" w:rsidP="007968EC">
      <w:pPr>
        <w:jc w:val="both"/>
        <w:rPr>
          <w:rFonts w:ascii="Arial Narrow" w:hAnsi="Arial Narrow" w:cs="Arial"/>
          <w:color w:val="000000" w:themeColor="text1"/>
          <w:lang w:val="es-ES" w:eastAsia="es-ES"/>
        </w:rPr>
      </w:pPr>
    </w:p>
    <w:p w14:paraId="7A0A0F5D"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Una vez entregado el código y clave de acceso al Administrador del Miembro, la Cámara hará entrega de los códigos y claves de acceso de los Operadores, de conformidad con el siguiente procedimiento:</w:t>
      </w:r>
    </w:p>
    <w:p w14:paraId="6EFC4EAE"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606358A1" w14:textId="77777777" w:rsidR="007968EC" w:rsidRPr="002C0D19" w:rsidRDefault="007968EC" w:rsidP="007968EC">
      <w:pPr>
        <w:numPr>
          <w:ilvl w:val="0"/>
          <w:numId w:val="11"/>
        </w:numPr>
        <w:ind w:left="360" w:hanging="36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El Administrador del Miembro deberá indicar en el formato de instalación tecnológica de la Cámara, de acuerdo al Anexo 21, el número de Terminales u Operadores autorizados por la entidad.</w:t>
      </w:r>
    </w:p>
    <w:p w14:paraId="5E4BF639"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2331CB77" w14:textId="77777777" w:rsidR="007968EC" w:rsidRPr="002C0D19" w:rsidRDefault="007968EC" w:rsidP="007968EC">
      <w:pPr>
        <w:numPr>
          <w:ilvl w:val="0"/>
          <w:numId w:val="11"/>
        </w:numPr>
        <w:ind w:left="360" w:hanging="36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De acuerdo con la información suministrada, la Cámara a través del área de Operaciones y Riesgos o quien haga sus veces, hará entrega personal al Administrador del Miembro de las claves de acceso de los Operadores y dejará constancia de ello. Para el efecto, Administrador deberá presentarse personalmente en la Cámara o designar una persona autorizada para recibir en sobre cerrado la comunicación en la cual consta el código y la clave de acceso de cada Operador.</w:t>
      </w:r>
    </w:p>
    <w:p w14:paraId="48575724" w14:textId="77777777" w:rsidR="007968EC" w:rsidRPr="002C0D19" w:rsidRDefault="007968EC" w:rsidP="007968EC">
      <w:pPr>
        <w:ind w:left="708"/>
        <w:rPr>
          <w:rFonts w:ascii="Arial Narrow" w:hAnsi="Arial Narrow" w:cs="Arial"/>
          <w:color w:val="000000" w:themeColor="text1"/>
          <w:lang w:eastAsia="es-CO"/>
        </w:rPr>
      </w:pPr>
    </w:p>
    <w:p w14:paraId="59B6E1C9" w14:textId="77777777" w:rsidR="007968EC" w:rsidRDefault="007968EC" w:rsidP="007968EC">
      <w:pPr>
        <w:pStyle w:val="ARTICULO0"/>
      </w:pPr>
      <w:bookmarkStart w:id="1086" w:name="_Toc472592077"/>
      <w:bookmarkStart w:id="1087" w:name="_Toc472593096"/>
      <w:bookmarkStart w:id="1088" w:name="_Toc479056882"/>
      <w:bookmarkStart w:id="1089" w:name="_Toc31715890"/>
      <w:bookmarkStart w:id="1090" w:name="_Toc470775398"/>
      <w:bookmarkStart w:id="1091" w:name="_Toc470779683"/>
      <w:bookmarkStart w:id="1092" w:name="_Toc470780300"/>
      <w:bookmarkStart w:id="1093" w:name="_Toc470780813"/>
      <w:bookmarkStart w:id="1094" w:name="_Toc470784374"/>
      <w:bookmarkStart w:id="1095" w:name="_Toc470784911"/>
      <w:bookmarkStart w:id="1096" w:name="_Toc470786934"/>
      <w:bookmarkStart w:id="1097" w:name="_Toc470791287"/>
      <w:bookmarkStart w:id="1098" w:name="_Toc490066192"/>
      <w:r w:rsidRPr="002C0D19">
        <w:t>Artículo 1.2.5.11. Deberes y obligaciones especiales de los Operadores respecto de la Clave de Acceso.</w:t>
      </w:r>
      <w:bookmarkEnd w:id="1086"/>
      <w:bookmarkEnd w:id="1087"/>
      <w:bookmarkEnd w:id="1088"/>
      <w:bookmarkEnd w:id="1089"/>
      <w:r w:rsidRPr="002C0D19">
        <w:t xml:space="preserve"> </w:t>
      </w:r>
    </w:p>
    <w:p w14:paraId="5800B076" w14:textId="77777777" w:rsidR="007968EC" w:rsidRPr="00B84E49" w:rsidRDefault="007968EC" w:rsidP="007968EC">
      <w:pPr>
        <w:jc w:val="both"/>
        <w:rPr>
          <w:rFonts w:ascii="Arial Narrow" w:hAnsi="Arial Narrow" w:cs="Arial"/>
          <w:color w:val="000000" w:themeColor="text1"/>
          <w:lang w:eastAsia="es-ES"/>
        </w:rPr>
      </w:pPr>
    </w:p>
    <w:p w14:paraId="2D7E93E8" w14:textId="77777777" w:rsidR="007968EC" w:rsidRPr="002C0D19" w:rsidRDefault="007968EC" w:rsidP="007968EC">
      <w:pPr>
        <w:pStyle w:val="ANTECEDENTES"/>
        <w:rPr>
          <w:u w:val="single"/>
        </w:rPr>
      </w:pPr>
      <w:r w:rsidRPr="002C0D19">
        <w:t>(Este artículo fue renumerado mediante Circular 19 del 28 de diciembre de 2016, publicada en el Boletín Normativo No. 024 del 28 de diciembre de 2016. Rige a partir del 29 de diciembre de 2016.)</w:t>
      </w:r>
      <w:bookmarkEnd w:id="1090"/>
      <w:bookmarkEnd w:id="1091"/>
      <w:bookmarkEnd w:id="1092"/>
      <w:bookmarkEnd w:id="1093"/>
      <w:bookmarkEnd w:id="1094"/>
      <w:bookmarkEnd w:id="1095"/>
      <w:bookmarkEnd w:id="1096"/>
      <w:bookmarkEnd w:id="1097"/>
      <w:bookmarkEnd w:id="1098"/>
    </w:p>
    <w:p w14:paraId="6BFCFA7A"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63221A4C"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Los Operadores del Sistema deberán:</w:t>
      </w:r>
    </w:p>
    <w:p w14:paraId="2E57B8BE"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76571069" w14:textId="77777777" w:rsidR="007968EC" w:rsidRPr="002C0D19" w:rsidRDefault="007968EC" w:rsidP="007968EC">
      <w:pPr>
        <w:numPr>
          <w:ilvl w:val="0"/>
          <w:numId w:val="10"/>
        </w:numPr>
        <w:ind w:left="360" w:hanging="36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Mantenerla en estricta reserva.</w:t>
      </w:r>
    </w:p>
    <w:p w14:paraId="051D7F9D" w14:textId="77777777" w:rsidR="007968EC" w:rsidRPr="002C0D19" w:rsidRDefault="007968EC" w:rsidP="007968EC">
      <w:pPr>
        <w:tabs>
          <w:tab w:val="left" w:pos="360"/>
        </w:tabs>
        <w:ind w:left="360" w:hanging="360"/>
        <w:jc w:val="both"/>
        <w:rPr>
          <w:rFonts w:ascii="Arial Narrow" w:hAnsi="Arial Narrow" w:cs="Arial"/>
          <w:color w:val="000000" w:themeColor="text1"/>
          <w:lang w:val="es-ES" w:eastAsia="es-ES"/>
        </w:rPr>
      </w:pPr>
    </w:p>
    <w:p w14:paraId="57B55A10" w14:textId="77777777" w:rsidR="007968EC" w:rsidRPr="002C0D19" w:rsidRDefault="007968EC" w:rsidP="007968EC">
      <w:pPr>
        <w:numPr>
          <w:ilvl w:val="0"/>
          <w:numId w:val="10"/>
        </w:numPr>
        <w:tabs>
          <w:tab w:val="left" w:pos="360"/>
          <w:tab w:val="num" w:pos="540"/>
        </w:tabs>
        <w:ind w:left="360" w:hanging="36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No permitir a ningún tercero el uso del código de acceso y la clave.</w:t>
      </w:r>
    </w:p>
    <w:p w14:paraId="634D0235" w14:textId="77777777" w:rsidR="007968EC" w:rsidRPr="002C0D19" w:rsidRDefault="007968EC" w:rsidP="007968EC">
      <w:pPr>
        <w:tabs>
          <w:tab w:val="left" w:pos="360"/>
        </w:tabs>
        <w:ind w:left="360" w:hanging="360"/>
        <w:jc w:val="both"/>
        <w:rPr>
          <w:rFonts w:ascii="Arial Narrow" w:hAnsi="Arial Narrow" w:cs="Arial"/>
          <w:color w:val="000000" w:themeColor="text1"/>
          <w:lang w:val="es-ES" w:eastAsia="es-ES"/>
        </w:rPr>
      </w:pPr>
    </w:p>
    <w:p w14:paraId="1C5AA8C3" w14:textId="77777777" w:rsidR="007968EC" w:rsidRPr="002C0D19" w:rsidRDefault="007968EC" w:rsidP="007968EC">
      <w:pPr>
        <w:numPr>
          <w:ilvl w:val="0"/>
          <w:numId w:val="10"/>
        </w:numPr>
        <w:tabs>
          <w:tab w:val="left" w:pos="360"/>
          <w:tab w:val="num" w:pos="540"/>
        </w:tabs>
        <w:ind w:left="360" w:hanging="36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Solicitar a la Cámara a través del Administrador del Miembro que inactive su código y clave de acceso, cuando haya lugar a ello.</w:t>
      </w:r>
    </w:p>
    <w:p w14:paraId="5D08FDD4" w14:textId="77777777" w:rsidR="007968EC" w:rsidRPr="002C0D19" w:rsidRDefault="007968EC" w:rsidP="007968EC">
      <w:pPr>
        <w:tabs>
          <w:tab w:val="left" w:pos="360"/>
        </w:tabs>
        <w:ind w:left="360" w:hanging="360"/>
        <w:jc w:val="both"/>
        <w:rPr>
          <w:rFonts w:ascii="Arial Narrow" w:hAnsi="Arial Narrow" w:cs="Arial"/>
          <w:color w:val="000000" w:themeColor="text1"/>
          <w:lang w:val="es-ES" w:eastAsia="es-ES"/>
        </w:rPr>
      </w:pPr>
    </w:p>
    <w:p w14:paraId="3CFEA8AC" w14:textId="77777777" w:rsidR="007968EC" w:rsidRPr="002C0D19" w:rsidRDefault="007968EC" w:rsidP="007968EC">
      <w:pPr>
        <w:numPr>
          <w:ilvl w:val="0"/>
          <w:numId w:val="10"/>
        </w:numPr>
        <w:tabs>
          <w:tab w:val="left" w:pos="360"/>
          <w:tab w:val="num" w:pos="540"/>
        </w:tabs>
        <w:ind w:left="360" w:hanging="36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Velar porque las funcionalidades autorizadas a su código y clave de acceso correspondan a las que tiene autorizadas, de acuerdo con su propio régimen legal.</w:t>
      </w:r>
    </w:p>
    <w:p w14:paraId="1099B597" w14:textId="77777777" w:rsidR="007968EC" w:rsidRPr="002C0D19" w:rsidRDefault="007968EC" w:rsidP="007968EC">
      <w:pPr>
        <w:tabs>
          <w:tab w:val="left" w:pos="360"/>
        </w:tabs>
        <w:ind w:left="360" w:hanging="360"/>
        <w:jc w:val="both"/>
        <w:rPr>
          <w:rFonts w:ascii="Arial Narrow" w:hAnsi="Arial Narrow" w:cs="Arial"/>
          <w:color w:val="000000" w:themeColor="text1"/>
          <w:lang w:val="es-ES" w:eastAsia="es-ES"/>
        </w:rPr>
      </w:pPr>
    </w:p>
    <w:p w14:paraId="73D812EE" w14:textId="77777777" w:rsidR="007968EC" w:rsidRPr="002C0D19" w:rsidRDefault="007968EC" w:rsidP="007968EC">
      <w:pPr>
        <w:numPr>
          <w:ilvl w:val="0"/>
          <w:numId w:val="10"/>
        </w:numPr>
        <w:tabs>
          <w:tab w:val="left" w:pos="360"/>
          <w:tab w:val="num" w:pos="540"/>
        </w:tabs>
        <w:ind w:left="360" w:hanging="36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Cambiar la clave en los términos dispuestos en la presente Circular.</w:t>
      </w:r>
    </w:p>
    <w:p w14:paraId="435B33B0" w14:textId="77777777" w:rsidR="007968EC" w:rsidRPr="002C0D19" w:rsidRDefault="007968EC" w:rsidP="007968EC">
      <w:pPr>
        <w:tabs>
          <w:tab w:val="left" w:pos="360"/>
        </w:tabs>
        <w:ind w:left="360" w:hanging="360"/>
        <w:jc w:val="both"/>
        <w:rPr>
          <w:rFonts w:ascii="Arial Narrow" w:hAnsi="Arial Narrow" w:cs="Arial"/>
          <w:color w:val="000000" w:themeColor="text1"/>
          <w:lang w:val="es-ES" w:eastAsia="es-ES"/>
        </w:rPr>
      </w:pPr>
    </w:p>
    <w:p w14:paraId="1CDAD143" w14:textId="77777777" w:rsidR="007968EC" w:rsidRDefault="007968EC" w:rsidP="007968EC">
      <w:pPr>
        <w:pStyle w:val="ARTICULO0"/>
        <w:rPr>
          <w:i/>
        </w:rPr>
      </w:pPr>
      <w:bookmarkStart w:id="1099" w:name="_Toc472592078"/>
      <w:bookmarkStart w:id="1100" w:name="_Toc472593097"/>
      <w:bookmarkStart w:id="1101" w:name="_Toc479056883"/>
      <w:bookmarkStart w:id="1102" w:name="_Toc31715891"/>
      <w:bookmarkStart w:id="1103" w:name="_Toc470775399"/>
      <w:bookmarkStart w:id="1104" w:name="_Toc470779684"/>
      <w:bookmarkStart w:id="1105" w:name="_Toc470780301"/>
      <w:bookmarkStart w:id="1106" w:name="_Toc470780814"/>
      <w:bookmarkStart w:id="1107" w:name="_Toc470784375"/>
      <w:bookmarkStart w:id="1108" w:name="_Toc470784912"/>
      <w:bookmarkStart w:id="1109" w:name="_Toc470786935"/>
      <w:bookmarkStart w:id="1110" w:name="_Toc470791288"/>
      <w:bookmarkStart w:id="1111" w:name="_Toc490066193"/>
      <w:r w:rsidRPr="002C0D19">
        <w:t>Artículo 1.2.5.12. Auditoría y responsabilidad a partir del otorgamiento del código y clave de Acceso</w:t>
      </w:r>
      <w:bookmarkEnd w:id="1099"/>
      <w:bookmarkEnd w:id="1100"/>
      <w:bookmarkEnd w:id="1101"/>
      <w:r w:rsidRPr="002C0D19">
        <w:t>.</w:t>
      </w:r>
      <w:bookmarkEnd w:id="1102"/>
      <w:r w:rsidRPr="002C0D19">
        <w:rPr>
          <w:i/>
        </w:rPr>
        <w:t xml:space="preserve"> </w:t>
      </w:r>
    </w:p>
    <w:p w14:paraId="119AC784" w14:textId="77777777" w:rsidR="007968EC" w:rsidRPr="00B84E49" w:rsidRDefault="007968EC" w:rsidP="007968EC">
      <w:pPr>
        <w:jc w:val="both"/>
        <w:rPr>
          <w:rFonts w:ascii="Arial Narrow" w:hAnsi="Arial Narrow" w:cs="Arial"/>
          <w:color w:val="000000" w:themeColor="text1"/>
          <w:lang w:eastAsia="es-ES"/>
        </w:rPr>
      </w:pPr>
    </w:p>
    <w:p w14:paraId="79E4D410" w14:textId="77777777" w:rsidR="007968EC" w:rsidRPr="002C0D19" w:rsidRDefault="007968EC" w:rsidP="007968EC">
      <w:pPr>
        <w:pStyle w:val="ANTECEDENTES"/>
        <w:rPr>
          <w:u w:val="single"/>
        </w:rPr>
      </w:pPr>
      <w:r w:rsidRPr="002C0D19">
        <w:t>(Este artículo fue renumerado mediante Circular 19 del 28 de diciembre de 2016, publicada en el Boletín Normativo No. 024 del 28 de diciembre de 2016. Rige a partir del 29 de diciembre de 2016.)</w:t>
      </w:r>
      <w:bookmarkEnd w:id="1103"/>
      <w:bookmarkEnd w:id="1104"/>
      <w:bookmarkEnd w:id="1105"/>
      <w:bookmarkEnd w:id="1106"/>
      <w:bookmarkEnd w:id="1107"/>
      <w:bookmarkEnd w:id="1108"/>
      <w:bookmarkEnd w:id="1109"/>
      <w:bookmarkEnd w:id="1110"/>
      <w:bookmarkEnd w:id="1111"/>
    </w:p>
    <w:p w14:paraId="5AA86418" w14:textId="77777777" w:rsidR="007968EC" w:rsidRPr="002C0D19" w:rsidRDefault="007968EC" w:rsidP="007968EC">
      <w:pPr>
        <w:tabs>
          <w:tab w:val="left" w:pos="360"/>
        </w:tabs>
        <w:ind w:left="360" w:hanging="360"/>
        <w:jc w:val="both"/>
        <w:rPr>
          <w:rFonts w:ascii="Arial Narrow" w:hAnsi="Arial Narrow" w:cs="Arial"/>
          <w:color w:val="000000" w:themeColor="text1"/>
          <w:lang w:val="es-ES" w:eastAsia="es-ES"/>
        </w:rPr>
      </w:pPr>
    </w:p>
    <w:p w14:paraId="0914D758"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Una vez otorgado el código y clave de acceso a un Administrador del Miembro o a un Operador, toda operación registrada o información proporcionada a través o bajo dicho código se entenderá realizada a nombre del Miembro y tanto éste como el Administrador o el Operador quedan obligados a mantener y usar en estricta reserva dicho código y clave. En consecuencia, toda Operación registrada en el Sistema estará asociada al código asignado al Administrador o al Operador que la ingresó al Sistema. Para todos los efectos, los registros del Sistema serán plena prueba de que la Operación e información en el Sistema fue realizada por el Administrador o el Operador al cual esté asignado el código y clave de acceso.</w:t>
      </w:r>
    </w:p>
    <w:p w14:paraId="7F9610A6" w14:textId="77777777" w:rsidR="007968EC" w:rsidRPr="002C0D19" w:rsidRDefault="007968EC" w:rsidP="007968EC">
      <w:pPr>
        <w:keepNext/>
        <w:jc w:val="center"/>
        <w:outlineLvl w:val="0"/>
        <w:rPr>
          <w:rFonts w:ascii="Arial Narrow" w:hAnsi="Arial Narrow" w:cs="Arial"/>
          <w:b/>
          <w:kern w:val="32"/>
          <w:szCs w:val="20"/>
          <w:lang w:val="es-ES" w:eastAsia="es-ES"/>
        </w:rPr>
      </w:pPr>
    </w:p>
    <w:p w14:paraId="3B09ADA9" w14:textId="77777777" w:rsidR="007968EC" w:rsidRPr="002C0D19" w:rsidRDefault="007968EC" w:rsidP="007968EC">
      <w:pPr>
        <w:pStyle w:val="TTULO"/>
        <w:rPr>
          <w:lang w:val="es-ES"/>
        </w:rPr>
      </w:pPr>
      <w:bookmarkStart w:id="1112" w:name="_Toc470775400"/>
      <w:bookmarkStart w:id="1113" w:name="_Toc470779685"/>
      <w:bookmarkStart w:id="1114" w:name="_Toc470780302"/>
      <w:bookmarkStart w:id="1115" w:name="_Toc470780815"/>
      <w:bookmarkStart w:id="1116" w:name="_Toc470784376"/>
      <w:bookmarkStart w:id="1117" w:name="_Toc470784913"/>
      <w:bookmarkStart w:id="1118" w:name="_Toc470786936"/>
      <w:bookmarkStart w:id="1119" w:name="_Toc470791289"/>
      <w:bookmarkStart w:id="1120" w:name="_Toc472592079"/>
      <w:bookmarkStart w:id="1121" w:name="_Toc472593098"/>
      <w:bookmarkStart w:id="1122" w:name="_Toc479056884"/>
      <w:bookmarkStart w:id="1123" w:name="_Toc490066194"/>
      <w:bookmarkStart w:id="1124" w:name="_Toc31715892"/>
      <w:r w:rsidRPr="002C0D19">
        <w:rPr>
          <w:lang w:val="es-ES"/>
        </w:rPr>
        <w:t>TÍTULO TERCERO</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14:paraId="7D5801E2" w14:textId="77777777" w:rsidR="007968EC" w:rsidRPr="002C0D19" w:rsidRDefault="007968EC" w:rsidP="007968EC">
      <w:pPr>
        <w:pStyle w:val="TTULO"/>
        <w:rPr>
          <w:lang w:val="es-ES"/>
        </w:rPr>
      </w:pPr>
    </w:p>
    <w:p w14:paraId="344D44F8" w14:textId="77777777" w:rsidR="007968EC" w:rsidRPr="002C0D19" w:rsidRDefault="007968EC" w:rsidP="007968EC">
      <w:pPr>
        <w:pStyle w:val="TTULO"/>
        <w:rPr>
          <w:lang w:val="es-ES"/>
        </w:rPr>
      </w:pPr>
      <w:bookmarkStart w:id="1125" w:name="_Toc470775401"/>
      <w:bookmarkStart w:id="1126" w:name="_Toc470779686"/>
      <w:bookmarkStart w:id="1127" w:name="_Toc470780303"/>
      <w:bookmarkStart w:id="1128" w:name="_Toc470780816"/>
      <w:bookmarkStart w:id="1129" w:name="_Toc470784377"/>
      <w:bookmarkStart w:id="1130" w:name="_Toc470784914"/>
      <w:bookmarkStart w:id="1131" w:name="_Toc470786937"/>
      <w:bookmarkStart w:id="1132" w:name="_Toc470791290"/>
      <w:bookmarkStart w:id="1133" w:name="_Toc472592080"/>
      <w:bookmarkStart w:id="1134" w:name="_Toc472593099"/>
      <w:bookmarkStart w:id="1135" w:name="_Toc479056885"/>
      <w:bookmarkStart w:id="1136" w:name="_Toc490066195"/>
      <w:bookmarkStart w:id="1137" w:name="_Toc31715893"/>
      <w:r w:rsidRPr="002C0D19">
        <w:rPr>
          <w:lang w:val="es-ES"/>
        </w:rPr>
        <w:t>CONFIRMACIÓN Y ACEPTACIÓN DE OPERACIONES</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14:paraId="135BC054" w14:textId="77777777" w:rsidR="007968EC" w:rsidRPr="002C0D19" w:rsidRDefault="007968EC" w:rsidP="007968EC">
      <w:pPr>
        <w:pStyle w:val="TTULO"/>
        <w:rPr>
          <w:lang w:val="es-ES"/>
        </w:rPr>
      </w:pPr>
    </w:p>
    <w:p w14:paraId="41EE0F03" w14:textId="77777777" w:rsidR="007968EC" w:rsidRPr="002C0D19" w:rsidRDefault="007968EC" w:rsidP="007968EC">
      <w:pPr>
        <w:pStyle w:val="TTULO"/>
        <w:rPr>
          <w:lang w:val="es-ES"/>
        </w:rPr>
      </w:pPr>
      <w:bookmarkStart w:id="1138" w:name="_Toc470775402"/>
      <w:bookmarkStart w:id="1139" w:name="_Toc470779687"/>
      <w:bookmarkStart w:id="1140" w:name="_Toc470780304"/>
      <w:bookmarkStart w:id="1141" w:name="_Toc470780817"/>
      <w:bookmarkStart w:id="1142" w:name="_Toc470784378"/>
      <w:bookmarkStart w:id="1143" w:name="_Toc470784915"/>
      <w:bookmarkStart w:id="1144" w:name="_Toc470786938"/>
      <w:bookmarkStart w:id="1145" w:name="_Toc470791291"/>
      <w:bookmarkStart w:id="1146" w:name="_Toc472592081"/>
      <w:bookmarkStart w:id="1147" w:name="_Toc472593100"/>
      <w:bookmarkStart w:id="1148" w:name="_Toc479056886"/>
      <w:bookmarkStart w:id="1149" w:name="_Toc490066196"/>
      <w:bookmarkStart w:id="1150" w:name="_Toc31715894"/>
      <w:r w:rsidRPr="002C0D19">
        <w:rPr>
          <w:lang w:val="es-ES"/>
        </w:rPr>
        <w:t>CAPÍTULO PRIMERO</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p>
    <w:p w14:paraId="64C2BE47" w14:textId="77777777" w:rsidR="007968EC" w:rsidRPr="002C0D19" w:rsidRDefault="007968EC" w:rsidP="007968EC">
      <w:pPr>
        <w:pStyle w:val="TTULO"/>
        <w:rPr>
          <w:lang w:val="es-ES"/>
        </w:rPr>
      </w:pPr>
    </w:p>
    <w:p w14:paraId="1E0AA1FB" w14:textId="77777777" w:rsidR="007968EC" w:rsidRPr="002C0D19" w:rsidRDefault="007968EC" w:rsidP="007968EC">
      <w:pPr>
        <w:pStyle w:val="TTULO"/>
        <w:rPr>
          <w:lang w:val="es-ES"/>
        </w:rPr>
      </w:pPr>
      <w:bookmarkStart w:id="1151" w:name="_Toc470775403"/>
      <w:bookmarkStart w:id="1152" w:name="_Toc470779688"/>
      <w:bookmarkStart w:id="1153" w:name="_Toc470780305"/>
      <w:bookmarkStart w:id="1154" w:name="_Toc470780818"/>
      <w:bookmarkStart w:id="1155" w:name="_Toc470784379"/>
      <w:bookmarkStart w:id="1156" w:name="_Toc470784916"/>
      <w:bookmarkStart w:id="1157" w:name="_Toc470786939"/>
      <w:bookmarkStart w:id="1158" w:name="_Toc470791292"/>
      <w:bookmarkStart w:id="1159" w:name="_Toc472592082"/>
      <w:bookmarkStart w:id="1160" w:name="_Toc472593101"/>
      <w:bookmarkStart w:id="1161" w:name="_Toc479056887"/>
      <w:bookmarkStart w:id="1162" w:name="_Toc490066197"/>
      <w:bookmarkStart w:id="1163" w:name="_Toc31715895"/>
      <w:r w:rsidRPr="002C0D19">
        <w:rPr>
          <w:lang w:val="es-ES"/>
        </w:rPr>
        <w:t>CONFIRMACIÓN, CONTROL DE RIESGO Y ACEPTACIÓN DE OPERACIONES PROVENIENTES DE SISTEMAS DE NEGOCIACIÓN Y REGISTRO O MECANISMOS DE CONTRATACIÓN</w:t>
      </w:r>
      <w:bookmarkEnd w:id="1151"/>
      <w:bookmarkEnd w:id="1152"/>
      <w:bookmarkEnd w:id="1153"/>
      <w:bookmarkEnd w:id="1154"/>
      <w:bookmarkEnd w:id="1155"/>
      <w:bookmarkEnd w:id="1156"/>
      <w:bookmarkEnd w:id="1157"/>
      <w:bookmarkEnd w:id="1158"/>
      <w:bookmarkEnd w:id="1159"/>
      <w:bookmarkEnd w:id="1160"/>
      <w:bookmarkEnd w:id="1161"/>
      <w:bookmarkEnd w:id="1162"/>
      <w:bookmarkEnd w:id="1163"/>
    </w:p>
    <w:p w14:paraId="18F4DB26" w14:textId="77777777" w:rsidR="007968EC" w:rsidRPr="002C0D19" w:rsidRDefault="007968EC" w:rsidP="007968EC">
      <w:pPr>
        <w:tabs>
          <w:tab w:val="left" w:pos="360"/>
        </w:tabs>
        <w:ind w:left="360" w:hanging="360"/>
        <w:jc w:val="both"/>
        <w:rPr>
          <w:rFonts w:ascii="Arial Narrow" w:hAnsi="Arial Narrow" w:cs="Arial"/>
          <w:color w:val="000000" w:themeColor="text1"/>
          <w:lang w:val="es-ES" w:eastAsia="es-ES"/>
        </w:rPr>
      </w:pPr>
    </w:p>
    <w:p w14:paraId="048806CB" w14:textId="77777777" w:rsidR="007968EC" w:rsidRPr="002C0D19" w:rsidRDefault="007968EC" w:rsidP="007968EC">
      <w:pPr>
        <w:tabs>
          <w:tab w:val="left" w:pos="360"/>
        </w:tabs>
        <w:ind w:left="360" w:hanging="360"/>
        <w:jc w:val="center"/>
        <w:rPr>
          <w:rFonts w:ascii="Arial Narrow" w:hAnsi="Arial Narrow" w:cs="Arial"/>
          <w:b/>
          <w:i/>
          <w:color w:val="000000" w:themeColor="text1"/>
          <w:lang w:val="es-ES" w:eastAsia="es-ES"/>
        </w:rPr>
      </w:pPr>
      <w:r w:rsidRPr="002C0D19">
        <w:rPr>
          <w:rFonts w:ascii="Arial Narrow" w:hAnsi="Arial Narrow" w:cs="Arial"/>
          <w:b/>
          <w:i/>
          <w:color w:val="000000" w:themeColor="text1"/>
          <w:lang w:val="es-ES" w:eastAsia="es-ES"/>
        </w:rPr>
        <w:t>(Las denominaciones del Título Tercero de la Parte I y del Capítulo Primero del Título Tercero de la Parte I fueron modificadas mediante Circular 14 del 8 de agosto de 2017, publicada en el Boletín Normativo No. 015 del 8 de agosto de 2017. Rige a partir del 9 de agosto de 2017.)</w:t>
      </w:r>
    </w:p>
    <w:p w14:paraId="71793FE2" w14:textId="77777777" w:rsidR="007968EC" w:rsidRPr="002C0D19" w:rsidRDefault="007968EC" w:rsidP="007968EC">
      <w:pPr>
        <w:tabs>
          <w:tab w:val="left" w:pos="360"/>
        </w:tabs>
        <w:ind w:left="360" w:hanging="360"/>
        <w:jc w:val="both"/>
        <w:rPr>
          <w:rFonts w:ascii="Arial Narrow" w:hAnsi="Arial Narrow" w:cs="Arial"/>
          <w:color w:val="000000" w:themeColor="text1"/>
          <w:lang w:val="es-ES" w:eastAsia="es-ES"/>
        </w:rPr>
      </w:pPr>
    </w:p>
    <w:p w14:paraId="5394AC66" w14:textId="77777777" w:rsidR="007968EC" w:rsidRDefault="007968EC" w:rsidP="007968EC">
      <w:pPr>
        <w:pStyle w:val="ARTICULO0"/>
      </w:pPr>
      <w:bookmarkStart w:id="1164" w:name="_Toc31715896"/>
      <w:bookmarkStart w:id="1165" w:name="_Toc472592083"/>
      <w:bookmarkStart w:id="1166" w:name="_Toc472593102"/>
      <w:bookmarkStart w:id="1167" w:name="_Toc479056888"/>
      <w:bookmarkStart w:id="1168" w:name="_Toc470775404"/>
      <w:bookmarkStart w:id="1169" w:name="_Toc470779689"/>
      <w:bookmarkStart w:id="1170" w:name="_Toc470780306"/>
      <w:bookmarkStart w:id="1171" w:name="_Toc470780819"/>
      <w:bookmarkStart w:id="1172" w:name="_Toc470784380"/>
      <w:bookmarkStart w:id="1173" w:name="_Toc470784917"/>
      <w:bookmarkStart w:id="1174" w:name="_Toc470786940"/>
      <w:bookmarkStart w:id="1175" w:name="_Toc470791293"/>
      <w:bookmarkStart w:id="1176" w:name="_Toc490066198"/>
      <w:r w:rsidRPr="002C0D19">
        <w:t>Artículo 1.3.1.1. Confirmación.</w:t>
      </w:r>
      <w:bookmarkEnd w:id="1164"/>
      <w:r w:rsidRPr="002C0D19">
        <w:t xml:space="preserve"> </w:t>
      </w:r>
    </w:p>
    <w:p w14:paraId="09A6A318" w14:textId="77777777" w:rsidR="007968EC" w:rsidRPr="00B84E49" w:rsidRDefault="007968EC" w:rsidP="007968EC">
      <w:pPr>
        <w:jc w:val="both"/>
        <w:rPr>
          <w:rFonts w:ascii="Arial Narrow" w:hAnsi="Arial Narrow" w:cs="Arial"/>
          <w:color w:val="000000" w:themeColor="text1"/>
          <w:lang w:eastAsia="es-ES"/>
        </w:rPr>
      </w:pPr>
    </w:p>
    <w:p w14:paraId="58CB819F" w14:textId="77777777" w:rsidR="007968EC" w:rsidRPr="002C0D19" w:rsidRDefault="007968EC" w:rsidP="007968EC">
      <w:pPr>
        <w:pStyle w:val="ANTECEDENTES"/>
      </w:pPr>
      <w:r w:rsidRPr="002C0D19">
        <w:t>(Este artículo fue adicionado mediante Circular 14 del 8 de agosto de 2017, publicada en el Boletín Normativo No. 015 del 8 de agosto de 2017. Rige a partir del 9 de agosto de 2017.)</w:t>
      </w:r>
    </w:p>
    <w:p w14:paraId="1238898E" w14:textId="77777777" w:rsidR="007968EC" w:rsidRPr="002C0D19" w:rsidRDefault="007968EC" w:rsidP="007968EC">
      <w:pPr>
        <w:tabs>
          <w:tab w:val="left" w:pos="360"/>
        </w:tabs>
        <w:ind w:left="360" w:hanging="360"/>
        <w:jc w:val="both"/>
        <w:rPr>
          <w:rFonts w:ascii="Arial Narrow" w:hAnsi="Arial Narrow" w:cs="Arial"/>
          <w:color w:val="000000" w:themeColor="text1"/>
          <w:lang w:val="es-ES" w:eastAsia="es-ES"/>
        </w:rPr>
      </w:pPr>
    </w:p>
    <w:p w14:paraId="1E01C96E" w14:textId="77777777" w:rsidR="007968EC" w:rsidRPr="002C0D19" w:rsidRDefault="007968EC" w:rsidP="007968EC">
      <w:pPr>
        <w:tabs>
          <w:tab w:val="left" w:pos="0"/>
        </w:tabs>
        <w:jc w:val="both"/>
        <w:rPr>
          <w:rFonts w:ascii="Arial Narrow" w:hAnsi="Arial Narrow" w:cs="Arial"/>
          <w:color w:val="000000" w:themeColor="text1"/>
          <w:lang w:val="es-ES" w:eastAsia="es-ES"/>
        </w:rPr>
      </w:pPr>
      <w:r w:rsidRPr="002C0D19">
        <w:rPr>
          <w:rFonts w:ascii="Arial Narrow" w:hAnsi="Arial Narrow" w:cs="Arial"/>
          <w:lang w:eastAsia="es-ES"/>
        </w:rPr>
        <w:t xml:space="preserve">La confirmación de Operaciones Susceptibles de ser Aceptadas que se envían a la </w:t>
      </w:r>
      <w:proofErr w:type="gramStart"/>
      <w:r w:rsidRPr="002C0D19">
        <w:rPr>
          <w:rFonts w:ascii="Arial Narrow" w:hAnsi="Arial Narrow" w:cs="Arial"/>
          <w:lang w:eastAsia="es-ES"/>
        </w:rPr>
        <w:t>Cámara,</w:t>
      </w:r>
      <w:proofErr w:type="gramEnd"/>
      <w:r w:rsidRPr="002C0D19">
        <w:rPr>
          <w:rFonts w:ascii="Arial Narrow" w:hAnsi="Arial Narrow" w:cs="Arial"/>
          <w:lang w:eastAsia="es-ES"/>
        </w:rPr>
        <w:t xml:space="preserve"> se entiende producida por virtud de la transmisión de la información sobre la adjudicación o cierre de la operación que </w:t>
      </w:r>
      <w:r w:rsidRPr="002C0D19">
        <w:rPr>
          <w:rFonts w:ascii="Arial Narrow" w:hAnsi="Arial Narrow" w:cs="Arial"/>
          <w:lang w:eastAsia="es-ES"/>
        </w:rPr>
        <w:lastRenderedPageBreak/>
        <w:t>efectúe la respectiva bolsa, el sistema de negociación o registro o el Mecanismo de Contratación, a la Cámara.</w:t>
      </w:r>
    </w:p>
    <w:p w14:paraId="45994752" w14:textId="77777777" w:rsidR="007968EC" w:rsidRPr="002C0D19" w:rsidRDefault="007968EC" w:rsidP="007968EC">
      <w:pPr>
        <w:tabs>
          <w:tab w:val="left" w:pos="360"/>
        </w:tabs>
        <w:ind w:left="360" w:hanging="360"/>
        <w:jc w:val="both"/>
        <w:rPr>
          <w:rFonts w:ascii="Arial Narrow" w:hAnsi="Arial Narrow" w:cs="Arial"/>
          <w:color w:val="000000" w:themeColor="text1"/>
          <w:lang w:val="es-ES" w:eastAsia="es-ES"/>
        </w:rPr>
      </w:pPr>
    </w:p>
    <w:p w14:paraId="2451DDC5" w14:textId="77777777" w:rsidR="007968EC" w:rsidRDefault="007968EC" w:rsidP="007968EC">
      <w:pPr>
        <w:pStyle w:val="ARTICULO0"/>
      </w:pPr>
      <w:bookmarkStart w:id="1177" w:name="_Toc31715897"/>
      <w:r w:rsidRPr="002C0D19">
        <w:rPr>
          <w:lang w:val="es-ES"/>
        </w:rPr>
        <w:t xml:space="preserve">Artículo 1.3.1.2. </w:t>
      </w:r>
      <w:r w:rsidRPr="002C0D19">
        <w:t>Acuerdos con sistemas de negociación y/o registro o Mecanismos de Contratación para la Aceptación de Operaciones.</w:t>
      </w:r>
      <w:bookmarkEnd w:id="1165"/>
      <w:bookmarkEnd w:id="1166"/>
      <w:bookmarkEnd w:id="1167"/>
      <w:bookmarkEnd w:id="1177"/>
      <w:r w:rsidRPr="002C0D19">
        <w:t xml:space="preserve"> </w:t>
      </w:r>
      <w:bookmarkEnd w:id="1168"/>
      <w:bookmarkEnd w:id="1169"/>
      <w:bookmarkEnd w:id="1170"/>
      <w:bookmarkEnd w:id="1171"/>
      <w:bookmarkEnd w:id="1172"/>
      <w:bookmarkEnd w:id="1173"/>
      <w:bookmarkEnd w:id="1174"/>
      <w:bookmarkEnd w:id="1175"/>
    </w:p>
    <w:p w14:paraId="73B5A541" w14:textId="77777777" w:rsidR="007968EC" w:rsidRPr="00B84E49" w:rsidRDefault="007968EC" w:rsidP="007968EC">
      <w:pPr>
        <w:jc w:val="both"/>
        <w:rPr>
          <w:rFonts w:ascii="Arial Narrow" w:hAnsi="Arial Narrow" w:cs="Arial"/>
          <w:color w:val="000000" w:themeColor="text1"/>
          <w:lang w:eastAsia="es-ES"/>
        </w:rPr>
      </w:pPr>
    </w:p>
    <w:p w14:paraId="1A91B4E3" w14:textId="77777777" w:rsidR="007968EC" w:rsidRPr="002C0D19" w:rsidRDefault="007968EC" w:rsidP="007968EC">
      <w:pPr>
        <w:pStyle w:val="ANTECEDENTES"/>
      </w:pPr>
      <w:r w:rsidRPr="002C0D19">
        <w:t xml:space="preserve">(Este artículo fue modificado mediante Circular 6 del 29 de marzo de 2010, publicada en el Boletín Normativo No. 008 del 29 de marzo de 2010, mediante Circular 16 del 1 de octubre de 2010, publicada en el Boletín Normativo No. 018 del 1 de octubre de 2010, mediante Circular 15 del 3 de agosto de 2011, publicada en el Boletín Normativo No. 018 del 3 de agosto de 2011, mediante Circular 22 del 14 de noviembre de 2014, publicada en el Boletín Normativo No. 025 del 14 de noviembre de 2014, mediante Circular 19 del 28 de diciembre de 2016, publicada en el Boletín Normativo No. 024 del 28 de diciembre de 2016 </w:t>
      </w:r>
      <w:bookmarkEnd w:id="1176"/>
      <w:r w:rsidRPr="002C0D19">
        <w:t>y renumerado mediante Circular 14 del 8 de agosto de 2017, publicada en el Boletín Normativo No. 015 del 8 de agosto de 2017. Rige a partir del 9 de agosto de 2017.)</w:t>
      </w:r>
    </w:p>
    <w:p w14:paraId="62D52F1F" w14:textId="77777777" w:rsidR="007968EC" w:rsidRPr="002C0D19" w:rsidRDefault="007968EC" w:rsidP="007968EC">
      <w:pPr>
        <w:jc w:val="both"/>
        <w:rPr>
          <w:rFonts w:ascii="Arial Narrow" w:hAnsi="Arial Narrow" w:cs="Arial"/>
          <w:color w:val="000000" w:themeColor="text1"/>
          <w:lang w:eastAsia="es-ES"/>
        </w:rPr>
      </w:pPr>
    </w:p>
    <w:p w14:paraId="277D9D1E"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La Cámara en virtud de los acuerdos suscritos con los sistemas de negociación y/o registro o Mecanismos de Contratación aceptará Operaciones de dichos sistemas o mecanismos, se constituirá en contraparte directa y administrará la Compensación y Liquidación de dichas Operaciones, cuando se determine que cumplen con los requisitos y controles de riesgo para la aceptación de Operaciones como contraparte, establecidos en el Reglamento de Funcionamiento y en la presente Circular. Tales Operaciones se denominarán Operaciones Aceptadas y así las identificará el Sistema.</w:t>
      </w:r>
    </w:p>
    <w:p w14:paraId="19014E1C" w14:textId="77777777" w:rsidR="007968EC" w:rsidRPr="002C0D19" w:rsidRDefault="007968EC" w:rsidP="007968EC">
      <w:pPr>
        <w:jc w:val="both"/>
        <w:rPr>
          <w:rFonts w:ascii="Arial Narrow" w:hAnsi="Arial Narrow" w:cs="Arial"/>
          <w:color w:val="000000" w:themeColor="text1"/>
          <w:lang w:eastAsia="es-ES"/>
        </w:rPr>
      </w:pPr>
    </w:p>
    <w:p w14:paraId="621E4337" w14:textId="77777777" w:rsidR="007968EC" w:rsidRDefault="007968EC" w:rsidP="007968EC">
      <w:pPr>
        <w:pStyle w:val="ARTICULO0"/>
      </w:pPr>
      <w:bookmarkStart w:id="1178" w:name="_Toc472592084"/>
      <w:bookmarkStart w:id="1179" w:name="_Toc472593103"/>
      <w:bookmarkStart w:id="1180" w:name="_Toc479056889"/>
      <w:bookmarkStart w:id="1181" w:name="_Toc31715898"/>
      <w:bookmarkStart w:id="1182" w:name="_Toc470775405"/>
      <w:bookmarkStart w:id="1183" w:name="_Toc470779690"/>
      <w:bookmarkStart w:id="1184" w:name="_Toc470780307"/>
      <w:bookmarkStart w:id="1185" w:name="_Toc470780820"/>
      <w:bookmarkStart w:id="1186" w:name="_Toc470784381"/>
      <w:bookmarkStart w:id="1187" w:name="_Toc470784918"/>
      <w:bookmarkStart w:id="1188" w:name="_Toc470786941"/>
      <w:bookmarkStart w:id="1189" w:name="_Toc470791294"/>
      <w:bookmarkStart w:id="1190" w:name="_Toc490066199"/>
      <w:r w:rsidRPr="002C0D19">
        <w:t>Artículo 1.3.1.3. Requisitos y controles de riesgo para la Aceptación de Operaciones como contraparte.</w:t>
      </w:r>
      <w:bookmarkEnd w:id="1178"/>
      <w:bookmarkEnd w:id="1179"/>
      <w:bookmarkEnd w:id="1180"/>
      <w:bookmarkEnd w:id="1181"/>
      <w:r w:rsidRPr="002C0D19">
        <w:t xml:space="preserve"> </w:t>
      </w:r>
    </w:p>
    <w:p w14:paraId="3E0573EA" w14:textId="77777777" w:rsidR="007968EC" w:rsidRDefault="007968EC" w:rsidP="007968EC">
      <w:pPr>
        <w:keepNext/>
        <w:tabs>
          <w:tab w:val="left" w:pos="0"/>
        </w:tabs>
        <w:jc w:val="both"/>
        <w:outlineLvl w:val="2"/>
        <w:rPr>
          <w:rFonts w:ascii="Arial Narrow" w:hAnsi="Arial Narrow" w:cs="Arial"/>
          <w:b/>
          <w:color w:val="000000" w:themeColor="text1"/>
          <w:u w:val="single"/>
          <w:lang w:eastAsia="es-ES"/>
        </w:rPr>
      </w:pPr>
    </w:p>
    <w:p w14:paraId="723CB72A" w14:textId="77777777" w:rsidR="007968EC" w:rsidRPr="002C0D19" w:rsidRDefault="007968EC" w:rsidP="007968EC">
      <w:pPr>
        <w:pStyle w:val="ANTECEDENTES"/>
        <w:rPr>
          <w:u w:val="single"/>
        </w:rPr>
      </w:pPr>
      <w:r w:rsidRPr="002C0D19">
        <w:t>(Este artículo fue adicionado mediante Circular 19 del 28 de diciembre de 2016, publicada en el Boletín Normativo No. 0</w:t>
      </w:r>
      <w:r>
        <w:t>24 del 28 de diciembre de 2010,</w:t>
      </w:r>
      <w:r w:rsidRPr="002C0D19">
        <w:t xml:space="preserve"> renumerado mediante Circular 14 del 8 de agosto de 2017, publicada en el Boletín Normativo No. 015 del 8 de agosto de 2017</w:t>
      </w:r>
      <w:r>
        <w:t xml:space="preserve"> y modificado mediante Circular 15 del 18 de diciembre de 2018, publicada en el Boletín Normativo No. 028 del 18 de diciembre de 2018</w:t>
      </w:r>
      <w:r w:rsidRPr="002C0D19">
        <w:t xml:space="preserve">. Rige a partir del </w:t>
      </w:r>
      <w:r>
        <w:t>1</w:t>
      </w:r>
      <w:r w:rsidRPr="002C0D19">
        <w:t>9 de</w:t>
      </w:r>
      <w:r>
        <w:t xml:space="preserve"> diciembre</w:t>
      </w:r>
      <w:r w:rsidRPr="002C0D19">
        <w:t xml:space="preserve"> de 201</w:t>
      </w:r>
      <w:r>
        <w:t>8</w:t>
      </w:r>
      <w:r w:rsidRPr="002C0D19">
        <w:t>.)</w:t>
      </w:r>
      <w:bookmarkEnd w:id="1182"/>
      <w:bookmarkEnd w:id="1183"/>
      <w:bookmarkEnd w:id="1184"/>
      <w:bookmarkEnd w:id="1185"/>
      <w:bookmarkEnd w:id="1186"/>
      <w:bookmarkEnd w:id="1187"/>
      <w:bookmarkEnd w:id="1188"/>
      <w:bookmarkEnd w:id="1189"/>
      <w:bookmarkEnd w:id="1190"/>
      <w:r w:rsidRPr="002C0D19">
        <w:rPr>
          <w:lang w:val="es-ES"/>
        </w:rPr>
        <w:t xml:space="preserve"> </w:t>
      </w:r>
    </w:p>
    <w:p w14:paraId="1E4BBA53" w14:textId="77777777" w:rsidR="007968EC" w:rsidRPr="002C0D19" w:rsidRDefault="007968EC" w:rsidP="007968EC">
      <w:pPr>
        <w:rPr>
          <w:rFonts w:ascii="Arial Narrow" w:hAnsi="Arial Narrow" w:cs="Arial"/>
          <w:b/>
          <w:color w:val="000000" w:themeColor="text1"/>
          <w:lang w:val="es-ES" w:eastAsia="es-ES"/>
        </w:rPr>
      </w:pPr>
    </w:p>
    <w:p w14:paraId="5A37C390" w14:textId="77777777" w:rsidR="007968EC" w:rsidRPr="002C0D19" w:rsidRDefault="007968EC" w:rsidP="007968EC">
      <w:pPr>
        <w:jc w:val="both"/>
        <w:rPr>
          <w:rFonts w:ascii="Arial Narrow" w:hAnsi="Arial Narrow" w:cs="Arial"/>
          <w:color w:val="000000" w:themeColor="text1"/>
          <w:lang w:eastAsia="es-ES"/>
        </w:rPr>
      </w:pPr>
      <w:r w:rsidRPr="00462335">
        <w:rPr>
          <w:rFonts w:ascii="Arial Narrow" w:eastAsia="Calibri" w:hAnsi="Arial Narrow"/>
          <w:bCs/>
          <w:color w:val="000000" w:themeColor="text1"/>
        </w:rPr>
        <w:t>La Cámara evaluará y verificará respecto de cada Operación Susceptible de ser Aceptada, que la misma cumple con los requisitos y controles de riesgo establecidos en el artículo 2.3.</w:t>
      </w:r>
      <w:r>
        <w:rPr>
          <w:rFonts w:ascii="Arial Narrow" w:eastAsia="Calibri" w:hAnsi="Arial Narrow"/>
          <w:bCs/>
          <w:color w:val="000000" w:themeColor="text1"/>
        </w:rPr>
        <w:t>4</w:t>
      </w:r>
      <w:r w:rsidRPr="00462335">
        <w:rPr>
          <w:rFonts w:ascii="Arial Narrow" w:eastAsia="Calibri" w:hAnsi="Arial Narrow"/>
          <w:bCs/>
          <w:color w:val="000000" w:themeColor="text1"/>
        </w:rPr>
        <w:t>. del Reglamento y con las particularidades de cada Segmento.</w:t>
      </w:r>
    </w:p>
    <w:p w14:paraId="28565B1B" w14:textId="77777777" w:rsidR="007968EC" w:rsidRPr="002C0D19" w:rsidRDefault="007968EC" w:rsidP="007968EC">
      <w:pPr>
        <w:rPr>
          <w:rFonts w:ascii="Arial Narrow" w:hAnsi="Arial Narrow" w:cs="Arial"/>
          <w:b/>
          <w:color w:val="000000" w:themeColor="text1"/>
          <w:lang w:eastAsia="es-ES"/>
        </w:rPr>
      </w:pPr>
    </w:p>
    <w:p w14:paraId="13F1F4F3" w14:textId="77777777" w:rsidR="007968EC" w:rsidRPr="002C0D19" w:rsidRDefault="007968EC" w:rsidP="007968EC">
      <w:pPr>
        <w:pStyle w:val="TTULO"/>
        <w:rPr>
          <w:lang w:val="es-ES"/>
        </w:rPr>
      </w:pPr>
      <w:bookmarkStart w:id="1191" w:name="_Toc470775406"/>
      <w:bookmarkStart w:id="1192" w:name="_Toc470779691"/>
      <w:bookmarkStart w:id="1193" w:name="_Toc470780308"/>
      <w:bookmarkStart w:id="1194" w:name="_Toc470780821"/>
      <w:bookmarkStart w:id="1195" w:name="_Toc470784382"/>
      <w:bookmarkStart w:id="1196" w:name="_Toc470784919"/>
      <w:bookmarkStart w:id="1197" w:name="_Toc470786942"/>
      <w:bookmarkStart w:id="1198" w:name="_Toc470791295"/>
      <w:bookmarkStart w:id="1199" w:name="_Toc472592085"/>
      <w:bookmarkStart w:id="1200" w:name="_Toc472593104"/>
      <w:bookmarkStart w:id="1201" w:name="_Toc479056890"/>
      <w:bookmarkStart w:id="1202" w:name="_Toc490066200"/>
      <w:bookmarkStart w:id="1203" w:name="_Toc31715899"/>
      <w:r w:rsidRPr="002C0D19">
        <w:rPr>
          <w:lang w:val="es-ES"/>
        </w:rPr>
        <w:t>CAPÍTULO SEGUNDO</w:t>
      </w:r>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14:paraId="444ED576" w14:textId="77777777" w:rsidR="007968EC" w:rsidRPr="002C0D19" w:rsidRDefault="007968EC" w:rsidP="007968EC">
      <w:pPr>
        <w:pStyle w:val="TTULO"/>
        <w:rPr>
          <w:color w:val="000000" w:themeColor="text1"/>
          <w:lang w:val="es-ES"/>
        </w:rPr>
      </w:pPr>
    </w:p>
    <w:p w14:paraId="1F5FD8C6" w14:textId="77777777" w:rsidR="007968EC" w:rsidRPr="002C0D19" w:rsidRDefault="007968EC" w:rsidP="007968EC">
      <w:pPr>
        <w:pStyle w:val="TTULO"/>
        <w:rPr>
          <w:lang w:val="es-ES"/>
        </w:rPr>
      </w:pPr>
      <w:bookmarkStart w:id="1204" w:name="_Toc470775407"/>
      <w:bookmarkStart w:id="1205" w:name="_Toc470779692"/>
      <w:bookmarkStart w:id="1206" w:name="_Toc470780309"/>
      <w:bookmarkStart w:id="1207" w:name="_Toc470780822"/>
      <w:bookmarkStart w:id="1208" w:name="_Toc470784383"/>
      <w:bookmarkStart w:id="1209" w:name="_Toc470784920"/>
      <w:bookmarkStart w:id="1210" w:name="_Toc470786943"/>
      <w:bookmarkStart w:id="1211" w:name="_Toc470791296"/>
      <w:bookmarkStart w:id="1212" w:name="_Toc472592086"/>
      <w:bookmarkStart w:id="1213" w:name="_Toc472593105"/>
      <w:bookmarkStart w:id="1214" w:name="_Toc479056891"/>
      <w:bookmarkStart w:id="1215" w:name="_Toc490066201"/>
      <w:bookmarkStart w:id="1216" w:name="_Toc31715900"/>
      <w:r w:rsidRPr="002C0D19">
        <w:rPr>
          <w:lang w:val="es-ES"/>
        </w:rPr>
        <w:t>RECHAZO DE OPERACIONES</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p>
    <w:p w14:paraId="3B0BF3A7" w14:textId="77777777" w:rsidR="007968EC" w:rsidRPr="002C0D19" w:rsidRDefault="007968EC" w:rsidP="007968EC">
      <w:pPr>
        <w:jc w:val="center"/>
        <w:rPr>
          <w:rFonts w:ascii="Arial Narrow" w:hAnsi="Arial Narrow" w:cs="Arial"/>
          <w:b/>
          <w:color w:val="000000" w:themeColor="text1"/>
          <w:lang w:val="es-ES" w:eastAsia="es-ES"/>
        </w:rPr>
      </w:pPr>
    </w:p>
    <w:p w14:paraId="548F31B2" w14:textId="77777777" w:rsidR="007968EC" w:rsidRDefault="007968EC" w:rsidP="007968EC">
      <w:pPr>
        <w:pStyle w:val="ARTICULO0"/>
        <w:rPr>
          <w:i/>
        </w:rPr>
      </w:pPr>
      <w:bookmarkStart w:id="1217" w:name="_Toc472592087"/>
      <w:bookmarkStart w:id="1218" w:name="_Toc472593106"/>
      <w:bookmarkStart w:id="1219" w:name="_Toc479056892"/>
      <w:bookmarkStart w:id="1220" w:name="_Toc31715901"/>
      <w:bookmarkStart w:id="1221" w:name="_Toc470775408"/>
      <w:bookmarkStart w:id="1222" w:name="_Toc470779693"/>
      <w:bookmarkStart w:id="1223" w:name="_Toc470780310"/>
      <w:bookmarkStart w:id="1224" w:name="_Toc470780823"/>
      <w:bookmarkStart w:id="1225" w:name="_Toc470784384"/>
      <w:bookmarkStart w:id="1226" w:name="_Toc470784921"/>
      <w:bookmarkStart w:id="1227" w:name="_Toc470786944"/>
      <w:bookmarkStart w:id="1228" w:name="_Toc470791297"/>
      <w:bookmarkStart w:id="1229" w:name="_Toc490066202"/>
      <w:r>
        <w:t xml:space="preserve">Artículo 1.3.2.1. </w:t>
      </w:r>
      <w:r w:rsidRPr="002C0D19">
        <w:t>Rechazo de Operaciones provenientes de Sistemas de Negociación y/o de Registro, Mercado Mostrador y Mecanismos de Contratación.</w:t>
      </w:r>
      <w:bookmarkEnd w:id="1217"/>
      <w:bookmarkEnd w:id="1218"/>
      <w:bookmarkEnd w:id="1219"/>
      <w:bookmarkEnd w:id="1220"/>
      <w:r w:rsidRPr="002C0D19">
        <w:rPr>
          <w:i/>
        </w:rPr>
        <w:t xml:space="preserve"> </w:t>
      </w:r>
      <w:bookmarkEnd w:id="1221"/>
      <w:bookmarkEnd w:id="1222"/>
      <w:bookmarkEnd w:id="1223"/>
      <w:bookmarkEnd w:id="1224"/>
      <w:bookmarkEnd w:id="1225"/>
      <w:bookmarkEnd w:id="1226"/>
      <w:bookmarkEnd w:id="1227"/>
      <w:bookmarkEnd w:id="1228"/>
    </w:p>
    <w:p w14:paraId="14726650" w14:textId="77777777" w:rsidR="007968EC" w:rsidRPr="007E757A" w:rsidRDefault="007968EC" w:rsidP="007968EC">
      <w:pPr>
        <w:jc w:val="both"/>
        <w:rPr>
          <w:rFonts w:ascii="Arial Narrow" w:hAnsi="Arial Narrow" w:cs="Arial"/>
          <w:color w:val="000000" w:themeColor="text1"/>
          <w:lang w:eastAsia="es-ES"/>
        </w:rPr>
      </w:pPr>
    </w:p>
    <w:p w14:paraId="03CBCD14" w14:textId="77777777" w:rsidR="007968EC" w:rsidRPr="002C0D19" w:rsidRDefault="007968EC" w:rsidP="007968EC">
      <w:pPr>
        <w:pStyle w:val="ANTECEDENTES"/>
        <w:rPr>
          <w:u w:val="single"/>
        </w:rPr>
      </w:pPr>
      <w:r w:rsidRPr="002C0D19">
        <w:lastRenderedPageBreak/>
        <w:t>(Este artículo fue modificado mediante Circular 6 del 29 de marzo de 2010, publicada en el Boletín Normativo No. 008 del 29 de marzo de 2010,</w:t>
      </w:r>
      <w:r w:rsidRPr="002C0D19">
        <w:rPr>
          <w:bCs/>
        </w:rPr>
        <w:t xml:space="preserve"> mediante </w:t>
      </w:r>
      <w:r w:rsidRPr="002C0D19">
        <w:t>Circular 16 del 1 de octubre de 2010, publicada en el Boletín Normativo No. 018 del 1 de octubre de 2010, mediante Circular 24 del 6 de agosto de 2015, publicada en el Boletín Normativo No. 026 del 6 de agosto de 2015 y mediante Circular 19 del 28 de diciembre de 2016, publicada en el Boletín Normativo No. 024 del 28 de diciembre de 2016. Rige a partir del 29 de diciembre de 2016.)</w:t>
      </w:r>
      <w:bookmarkEnd w:id="1229"/>
    </w:p>
    <w:p w14:paraId="3C872CB7" w14:textId="77777777" w:rsidR="007968EC" w:rsidRPr="002C0D19" w:rsidRDefault="007968EC" w:rsidP="007968EC">
      <w:pPr>
        <w:jc w:val="both"/>
        <w:rPr>
          <w:rFonts w:ascii="Arial Narrow" w:hAnsi="Arial Narrow" w:cs="Arial"/>
          <w:color w:val="000000" w:themeColor="text1"/>
          <w:lang w:val="es-ES" w:eastAsia="es-ES"/>
        </w:rPr>
      </w:pPr>
    </w:p>
    <w:p w14:paraId="28CB4804"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La Cámara rechazará las operaciones que provengan de un Sistema de Negociación y/o Registro, Mercado Mostrador y/o Mecanismos de Contratación, cuando se presente alguno de los problemas técnicos o causales establecidas en la presente Circular en el Segmento al que pertenezca la respectiva Operación Susceptible de ser Aceptadas.</w:t>
      </w:r>
    </w:p>
    <w:p w14:paraId="19968BA3" w14:textId="77777777" w:rsidR="007968EC" w:rsidRPr="002C0D19" w:rsidRDefault="007968EC" w:rsidP="007968EC">
      <w:pPr>
        <w:outlineLvl w:val="1"/>
        <w:rPr>
          <w:rFonts w:ascii="Arial Narrow" w:hAnsi="Arial Narrow" w:cs="Arial"/>
          <w:b/>
          <w:color w:val="000000" w:themeColor="text1"/>
          <w:lang w:eastAsia="es-ES"/>
        </w:rPr>
      </w:pPr>
    </w:p>
    <w:p w14:paraId="3F7798F3" w14:textId="77777777" w:rsidR="007968EC" w:rsidRPr="002C0D19" w:rsidRDefault="007968EC" w:rsidP="007968EC">
      <w:pPr>
        <w:pStyle w:val="TTULO"/>
        <w:rPr>
          <w:lang w:val="es-ES"/>
        </w:rPr>
      </w:pPr>
      <w:bookmarkStart w:id="1230" w:name="_Toc470775409"/>
      <w:bookmarkStart w:id="1231" w:name="_Toc470779694"/>
      <w:bookmarkStart w:id="1232" w:name="_Toc470780311"/>
      <w:bookmarkStart w:id="1233" w:name="_Toc470780824"/>
      <w:bookmarkStart w:id="1234" w:name="_Toc470784385"/>
      <w:bookmarkStart w:id="1235" w:name="_Toc470784922"/>
      <w:bookmarkStart w:id="1236" w:name="_Toc470786945"/>
      <w:bookmarkStart w:id="1237" w:name="_Toc470791298"/>
      <w:bookmarkStart w:id="1238" w:name="_Toc472592088"/>
      <w:bookmarkStart w:id="1239" w:name="_Toc472593107"/>
      <w:bookmarkStart w:id="1240" w:name="_Toc479056893"/>
      <w:bookmarkStart w:id="1241" w:name="_Toc490066203"/>
      <w:bookmarkStart w:id="1242" w:name="_Toc31715902"/>
      <w:r w:rsidRPr="002C0D19">
        <w:rPr>
          <w:lang w:val="es-ES"/>
        </w:rPr>
        <w:t>CAPÍTULO TERCERO</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14:paraId="6A33669C" w14:textId="77777777" w:rsidR="007968EC" w:rsidRPr="002C0D19" w:rsidRDefault="007968EC" w:rsidP="007968EC">
      <w:pPr>
        <w:pStyle w:val="TTULO"/>
        <w:rPr>
          <w:lang w:val="es-ES"/>
        </w:rPr>
      </w:pPr>
    </w:p>
    <w:p w14:paraId="50F461B0" w14:textId="77777777" w:rsidR="007968EC" w:rsidRPr="002C0D19" w:rsidRDefault="007968EC" w:rsidP="007968EC">
      <w:pPr>
        <w:pStyle w:val="TTULO"/>
        <w:rPr>
          <w:lang w:val="es-ES"/>
        </w:rPr>
      </w:pPr>
      <w:bookmarkStart w:id="1243" w:name="_Toc470775410"/>
      <w:bookmarkStart w:id="1244" w:name="_Toc470779695"/>
      <w:bookmarkStart w:id="1245" w:name="_Toc470780312"/>
      <w:bookmarkStart w:id="1246" w:name="_Toc470780825"/>
      <w:bookmarkStart w:id="1247" w:name="_Toc470784386"/>
      <w:bookmarkStart w:id="1248" w:name="_Toc470784923"/>
      <w:bookmarkStart w:id="1249" w:name="_Toc470786946"/>
      <w:bookmarkStart w:id="1250" w:name="_Toc470791299"/>
      <w:bookmarkStart w:id="1251" w:name="_Toc472592089"/>
      <w:bookmarkStart w:id="1252" w:name="_Toc472593108"/>
      <w:bookmarkStart w:id="1253" w:name="_Toc479056894"/>
      <w:bookmarkStart w:id="1254" w:name="_Toc490066204"/>
      <w:bookmarkStart w:id="1255" w:name="_Toc31715903"/>
      <w:r w:rsidRPr="002C0D19">
        <w:rPr>
          <w:lang w:val="es-ES"/>
        </w:rPr>
        <w:t>ANULACIÓN Y CORRECCIÓN DE OPERACIONES</w:t>
      </w:r>
      <w:bookmarkEnd w:id="1243"/>
      <w:bookmarkEnd w:id="1244"/>
      <w:bookmarkEnd w:id="1245"/>
      <w:bookmarkEnd w:id="1246"/>
      <w:bookmarkEnd w:id="1247"/>
      <w:bookmarkEnd w:id="1248"/>
      <w:bookmarkEnd w:id="1249"/>
      <w:bookmarkEnd w:id="1250"/>
      <w:bookmarkEnd w:id="1251"/>
      <w:bookmarkEnd w:id="1252"/>
      <w:bookmarkEnd w:id="1253"/>
      <w:bookmarkEnd w:id="1254"/>
      <w:bookmarkEnd w:id="1255"/>
    </w:p>
    <w:p w14:paraId="4A546FCF" w14:textId="77777777" w:rsidR="007968EC" w:rsidRPr="002C0D19" w:rsidRDefault="007968EC" w:rsidP="007968EC">
      <w:pPr>
        <w:rPr>
          <w:rFonts w:ascii="Arial Narrow" w:hAnsi="Arial Narrow" w:cs="Arial"/>
          <w:b/>
          <w:color w:val="000000" w:themeColor="text1"/>
          <w:lang w:eastAsia="es-ES"/>
        </w:rPr>
      </w:pPr>
    </w:p>
    <w:p w14:paraId="24522DFE" w14:textId="77777777" w:rsidR="007968EC" w:rsidRPr="00892926" w:rsidRDefault="007968EC" w:rsidP="007968EC">
      <w:pPr>
        <w:pStyle w:val="ARTICULO0"/>
      </w:pPr>
      <w:bookmarkStart w:id="1256" w:name="_Toc535342849"/>
      <w:bookmarkStart w:id="1257" w:name="_Toc479056895"/>
      <w:bookmarkStart w:id="1258" w:name="_Toc472593109"/>
      <w:bookmarkStart w:id="1259" w:name="_Toc472592090"/>
      <w:bookmarkStart w:id="1260" w:name="_Toc470791300"/>
      <w:bookmarkStart w:id="1261" w:name="_Toc470786947"/>
      <w:bookmarkStart w:id="1262" w:name="_Toc470784924"/>
      <w:bookmarkStart w:id="1263" w:name="_Toc470784387"/>
      <w:bookmarkStart w:id="1264" w:name="_Toc470780826"/>
      <w:bookmarkStart w:id="1265" w:name="_Toc470780313"/>
      <w:bookmarkStart w:id="1266" w:name="_Toc470779696"/>
      <w:bookmarkStart w:id="1267" w:name="_Toc470775411"/>
      <w:bookmarkStart w:id="1268" w:name="_Toc31715904"/>
      <w:bookmarkStart w:id="1269" w:name="_Toc490066205"/>
      <w:r w:rsidRPr="00892926">
        <w:t>Artículo 1.3.3.1. Anulación de Operaciones.</w:t>
      </w:r>
      <w:bookmarkEnd w:id="1256"/>
      <w:bookmarkEnd w:id="1257"/>
      <w:bookmarkEnd w:id="1258"/>
      <w:bookmarkEnd w:id="1259"/>
      <w:bookmarkEnd w:id="1260"/>
      <w:bookmarkEnd w:id="1261"/>
      <w:bookmarkEnd w:id="1262"/>
      <w:bookmarkEnd w:id="1263"/>
      <w:bookmarkEnd w:id="1264"/>
      <w:bookmarkEnd w:id="1265"/>
      <w:bookmarkEnd w:id="1266"/>
      <w:bookmarkEnd w:id="1267"/>
      <w:bookmarkEnd w:id="1268"/>
      <w:r w:rsidRPr="00892926">
        <w:t xml:space="preserve"> </w:t>
      </w:r>
    </w:p>
    <w:p w14:paraId="7FBB4249" w14:textId="77777777" w:rsidR="007968EC" w:rsidRPr="007E757A" w:rsidRDefault="007968EC" w:rsidP="007968EC">
      <w:pPr>
        <w:jc w:val="both"/>
        <w:rPr>
          <w:rFonts w:ascii="Arial Narrow" w:hAnsi="Arial Narrow" w:cs="Arial"/>
          <w:color w:val="000000" w:themeColor="text1"/>
          <w:lang w:eastAsia="es-ES"/>
        </w:rPr>
      </w:pPr>
    </w:p>
    <w:p w14:paraId="4DEAE2A1" w14:textId="77777777" w:rsidR="007968EC" w:rsidRPr="002C0D19" w:rsidRDefault="007968EC" w:rsidP="007968EC">
      <w:pPr>
        <w:pStyle w:val="ANTECEDENTES"/>
      </w:pPr>
      <w:r w:rsidRPr="002C0D19">
        <w:t>(Este artículo fue modificado mediante Circular 6 del 29 de marzo de 2010, publicada en el Boletín Normativo No. 008 del 29 de marzo de 2010, mediante Circular 16 del 1 de octubre de 2010, publicada en el Boletín Normativo No. 018 del 1 de octubre de 2010, mediante Circular 22 del 14 de noviembre de 2014, publicada en el Boletín Normativo No. 025 del 14 de noviembre de 2014, mediante Circular 16 del 14 de mayo de 2015, publicada en el Boletín Normativo No. 018 del 14 de mayo de 2015, mediante Circular 24 del 6 de agosto de 2015, publicada en el Boletín Normativo No. 026 del 6 de agosto de 2015, mediante Circular 001 del 15 de enero de 2016, publicada en el Boletín Normativo No. 001 del 15 de enero de 2016</w:t>
      </w:r>
      <w:r>
        <w:t>,</w:t>
      </w:r>
      <w:r w:rsidRPr="002C0D19">
        <w:t xml:space="preserve"> mediante Circular 19 del 28 de diciembre de 2016, publicada en el Boletín Normativo No. 024 del 28 de diciembre de 2016</w:t>
      </w:r>
      <w:r>
        <w:t>, y</w:t>
      </w:r>
      <w:r w:rsidRPr="002C0D19">
        <w:t xml:space="preserve"> mediante Circular </w:t>
      </w:r>
      <w:r>
        <w:t>20</w:t>
      </w:r>
      <w:r w:rsidRPr="002C0D19">
        <w:t xml:space="preserve"> del </w:t>
      </w:r>
      <w:r>
        <w:t>6</w:t>
      </w:r>
      <w:r w:rsidRPr="002C0D19">
        <w:t xml:space="preserve"> de diciembre de 201</w:t>
      </w:r>
      <w:r>
        <w:t>9</w:t>
      </w:r>
      <w:r w:rsidRPr="002C0D19">
        <w:t>, publicada en el Boletín Normativo No. 0</w:t>
      </w:r>
      <w:r>
        <w:t>35</w:t>
      </w:r>
      <w:r w:rsidRPr="002C0D19">
        <w:t xml:space="preserve"> del </w:t>
      </w:r>
      <w:r>
        <w:t>6</w:t>
      </w:r>
      <w:r w:rsidRPr="002C0D19">
        <w:t xml:space="preserve"> de diciembre de 201</w:t>
      </w:r>
      <w:r>
        <w:t>9</w:t>
      </w:r>
      <w:r w:rsidRPr="002C0D19">
        <w:t xml:space="preserve">. </w:t>
      </w:r>
      <w:r>
        <w:t>Rige a partir del 9 de diciembre de 2019</w:t>
      </w:r>
      <w:bookmarkEnd w:id="1269"/>
      <w:r>
        <w:t>).</w:t>
      </w:r>
    </w:p>
    <w:p w14:paraId="47051AEC" w14:textId="77777777" w:rsidR="007968EC" w:rsidRDefault="007968EC" w:rsidP="007968EC">
      <w:pPr>
        <w:autoSpaceDE w:val="0"/>
        <w:autoSpaceDN w:val="0"/>
        <w:adjustRightInd w:val="0"/>
        <w:jc w:val="both"/>
        <w:rPr>
          <w:rFonts w:ascii="Arial Narrow" w:hAnsi="Arial Narrow" w:cs="Arial"/>
          <w:color w:val="000000" w:themeColor="text1"/>
          <w:lang w:val="es-ES" w:eastAsia="es-ES"/>
        </w:rPr>
      </w:pPr>
    </w:p>
    <w:p w14:paraId="29E6A0CF" w14:textId="77777777" w:rsidR="007968EC" w:rsidRDefault="007968EC" w:rsidP="007968EC">
      <w:pPr>
        <w:autoSpaceDE w:val="0"/>
        <w:autoSpaceDN w:val="0"/>
        <w:adjustRightInd w:val="0"/>
        <w:jc w:val="both"/>
        <w:rPr>
          <w:rFonts w:ascii="Arial Narrow" w:hAnsi="Arial Narrow" w:cs="Arial"/>
          <w:color w:val="000000" w:themeColor="text1"/>
          <w:lang w:val="es-ES" w:eastAsia="es-ES"/>
        </w:rPr>
      </w:pPr>
      <w:r>
        <w:rPr>
          <w:rFonts w:ascii="Arial Narrow" w:hAnsi="Arial Narrow" w:cs="Arial"/>
          <w:color w:val="000000" w:themeColor="text1"/>
          <w:lang w:val="es-ES" w:eastAsia="es-ES"/>
        </w:rPr>
        <w:t xml:space="preserve">De acuerdo con el artículo 2.5.2. del Reglamento </w:t>
      </w:r>
      <w:r>
        <w:rPr>
          <w:rFonts w:ascii="Arial Narrow" w:hAnsi="Arial Narrow"/>
        </w:rPr>
        <w:t>de Funcionamiento, la</w:t>
      </w:r>
      <w:r>
        <w:rPr>
          <w:rFonts w:ascii="Arial Narrow" w:hAnsi="Arial Narrow" w:cs="Arial"/>
          <w:color w:val="000000" w:themeColor="text1"/>
          <w:lang w:val="es-ES" w:eastAsia="es-ES"/>
        </w:rPr>
        <w:t xml:space="preserve"> Cámara podrá anular Operaciones Aceptadas, de oficio o </w:t>
      </w:r>
      <w:r>
        <w:rPr>
          <w:rFonts w:ascii="Arial Narrow" w:hAnsi="Arial Narrow" w:cs="Arial"/>
          <w:color w:val="000000" w:themeColor="text1"/>
          <w:lang w:eastAsia="es-ES"/>
        </w:rPr>
        <w:t>a solicitud de la bolsa, del Sistema de Negociación y/o de Registro, o del Mecanismo de Contratación,</w:t>
      </w:r>
      <w:r>
        <w:rPr>
          <w:rFonts w:ascii="Arial Narrow" w:hAnsi="Arial Narrow" w:cs="Arial"/>
          <w:color w:val="000000" w:themeColor="text1"/>
          <w:lang w:val="es-ES" w:eastAsia="es-ES"/>
        </w:rPr>
        <w:t xml:space="preserve"> atendiendo razones como la concurrencia de error material, problemas técnicos u otros análogos.</w:t>
      </w:r>
    </w:p>
    <w:p w14:paraId="0FB3ED35" w14:textId="77777777" w:rsidR="007968EC" w:rsidRDefault="007968EC" w:rsidP="007968EC">
      <w:pPr>
        <w:autoSpaceDE w:val="0"/>
        <w:autoSpaceDN w:val="0"/>
        <w:adjustRightInd w:val="0"/>
        <w:jc w:val="both"/>
        <w:rPr>
          <w:rFonts w:ascii="Arial Narrow" w:hAnsi="Arial Narrow" w:cs="Arial"/>
          <w:color w:val="000000" w:themeColor="text1"/>
          <w:lang w:val="es-ES" w:eastAsia="es-ES"/>
        </w:rPr>
      </w:pPr>
    </w:p>
    <w:p w14:paraId="049FD317" w14:textId="77777777" w:rsidR="007968EC" w:rsidRDefault="007968EC" w:rsidP="007968EC">
      <w:pPr>
        <w:autoSpaceDE w:val="0"/>
        <w:autoSpaceDN w:val="0"/>
        <w:adjustRightInd w:val="0"/>
        <w:jc w:val="both"/>
        <w:rPr>
          <w:rFonts w:ascii="Arial Narrow" w:hAnsi="Arial Narrow" w:cs="Arial"/>
          <w:color w:val="000000" w:themeColor="text1"/>
          <w:lang w:val="es-ES" w:eastAsia="es-ES"/>
        </w:rPr>
      </w:pPr>
      <w:r>
        <w:rPr>
          <w:rFonts w:ascii="Arial Narrow" w:hAnsi="Arial Narrow" w:cs="Arial"/>
          <w:color w:val="000000" w:themeColor="text1"/>
          <w:lang w:val="es-ES" w:eastAsia="es-ES"/>
        </w:rPr>
        <w:t>La Cámara podrá anular Operaciones Aceptadas de oficio, entre otros eventos:</w:t>
      </w:r>
    </w:p>
    <w:p w14:paraId="0271BBC0" w14:textId="77777777" w:rsidR="007968EC" w:rsidRDefault="007968EC" w:rsidP="007968EC">
      <w:pPr>
        <w:autoSpaceDE w:val="0"/>
        <w:autoSpaceDN w:val="0"/>
        <w:adjustRightInd w:val="0"/>
        <w:jc w:val="both"/>
        <w:rPr>
          <w:rFonts w:ascii="Arial Narrow" w:hAnsi="Arial Narrow" w:cs="Arial"/>
          <w:color w:val="000000" w:themeColor="text1"/>
          <w:lang w:val="es-ES" w:eastAsia="es-ES"/>
        </w:rPr>
      </w:pPr>
    </w:p>
    <w:p w14:paraId="603C7689" w14:textId="77777777" w:rsidR="007968EC" w:rsidRDefault="007968EC" w:rsidP="00DA7472">
      <w:pPr>
        <w:pStyle w:val="Prrafodelista"/>
        <w:numPr>
          <w:ilvl w:val="0"/>
          <w:numId w:val="365"/>
        </w:numPr>
        <w:autoSpaceDE w:val="0"/>
        <w:autoSpaceDN w:val="0"/>
        <w:adjustRightInd w:val="0"/>
        <w:spacing w:after="160" w:line="256" w:lineRule="auto"/>
        <w:contextualSpacing/>
        <w:jc w:val="both"/>
        <w:rPr>
          <w:rFonts w:ascii="Arial Narrow" w:hAnsi="Arial Narrow"/>
          <w:b w:val="0"/>
          <w:bCs/>
          <w:color w:val="000000" w:themeColor="text1"/>
          <w:lang w:eastAsia="es-ES"/>
        </w:rPr>
      </w:pPr>
      <w:r>
        <w:rPr>
          <w:rFonts w:ascii="Arial Narrow" w:hAnsi="Arial Narrow"/>
          <w:b w:val="0"/>
          <w:bCs/>
          <w:color w:val="000000" w:themeColor="text1"/>
          <w:lang w:val="es-ES" w:eastAsia="es-ES"/>
        </w:rPr>
        <w:t xml:space="preserve">Por la </w:t>
      </w:r>
      <w:r>
        <w:rPr>
          <w:rFonts w:ascii="Arial Narrow" w:hAnsi="Arial Narrow"/>
          <w:b w:val="0"/>
          <w:bCs/>
        </w:rPr>
        <w:t xml:space="preserve">duplicación en los registros de las Operaciones Aceptadas por la Cámara debido a fallas tecnológicas u operativas que ocurran durante el proceso de envío y/o de recepción de información de los Sistemas de Negociación y/o Registro y/o de cualquier Mecanismo de Contratación a la Cámara; </w:t>
      </w:r>
    </w:p>
    <w:p w14:paraId="0A9C520C" w14:textId="77777777" w:rsidR="007968EC" w:rsidRDefault="007968EC" w:rsidP="00DA7472">
      <w:pPr>
        <w:pStyle w:val="Prrafodelista"/>
        <w:numPr>
          <w:ilvl w:val="0"/>
          <w:numId w:val="365"/>
        </w:numPr>
        <w:autoSpaceDE w:val="0"/>
        <w:autoSpaceDN w:val="0"/>
        <w:adjustRightInd w:val="0"/>
        <w:spacing w:after="160" w:line="256" w:lineRule="auto"/>
        <w:contextualSpacing/>
        <w:jc w:val="both"/>
        <w:rPr>
          <w:rFonts w:ascii="Arial Narrow" w:hAnsi="Arial Narrow"/>
          <w:b w:val="0"/>
          <w:bCs/>
          <w:color w:val="000000" w:themeColor="text1"/>
          <w:lang w:eastAsia="es-ES"/>
        </w:rPr>
      </w:pPr>
      <w:r>
        <w:rPr>
          <w:rFonts w:ascii="Arial Narrow" w:hAnsi="Arial Narrow"/>
          <w:b w:val="0"/>
          <w:bCs/>
          <w:color w:val="000000" w:themeColor="text1"/>
          <w:lang w:val="es-ES" w:eastAsia="es-ES"/>
        </w:rPr>
        <w:t xml:space="preserve">Por pérdida de la integridad de la información de las </w:t>
      </w:r>
      <w:r>
        <w:rPr>
          <w:rFonts w:ascii="Arial Narrow" w:hAnsi="Arial Narrow"/>
          <w:b w:val="0"/>
          <w:bCs/>
        </w:rPr>
        <w:t>Operaciones Aceptadas; o</w:t>
      </w:r>
    </w:p>
    <w:p w14:paraId="2A044C89" w14:textId="77777777" w:rsidR="007968EC" w:rsidRDefault="007968EC" w:rsidP="00DA7472">
      <w:pPr>
        <w:pStyle w:val="Prrafodelista"/>
        <w:numPr>
          <w:ilvl w:val="0"/>
          <w:numId w:val="365"/>
        </w:numPr>
        <w:autoSpaceDE w:val="0"/>
        <w:autoSpaceDN w:val="0"/>
        <w:adjustRightInd w:val="0"/>
        <w:spacing w:line="256" w:lineRule="auto"/>
        <w:contextualSpacing/>
        <w:jc w:val="both"/>
        <w:rPr>
          <w:rFonts w:ascii="Arial Narrow" w:hAnsi="Arial Narrow"/>
          <w:b w:val="0"/>
          <w:bCs/>
          <w:color w:val="000000" w:themeColor="text1"/>
          <w:lang w:val="es-ES" w:eastAsia="es-ES"/>
        </w:rPr>
      </w:pPr>
      <w:r>
        <w:rPr>
          <w:rFonts w:ascii="Arial Narrow" w:hAnsi="Arial Narrow"/>
          <w:b w:val="0"/>
          <w:bCs/>
        </w:rPr>
        <w:lastRenderedPageBreak/>
        <w:t>Por inconsistencias en la información sobre las condiciones de una Operación Aceptada entre los Sistemas de Negociación y/o Registro y/o cualquier Mecanismo de Contratación y la Cámara.</w:t>
      </w:r>
    </w:p>
    <w:p w14:paraId="01F8E3C3" w14:textId="77777777" w:rsidR="007968EC" w:rsidRDefault="007968EC" w:rsidP="007968EC">
      <w:pPr>
        <w:pStyle w:val="Prrafodelista"/>
        <w:autoSpaceDE w:val="0"/>
        <w:autoSpaceDN w:val="0"/>
        <w:adjustRightInd w:val="0"/>
        <w:ind w:left="720"/>
        <w:jc w:val="both"/>
        <w:rPr>
          <w:rFonts w:ascii="Arial Narrow" w:hAnsi="Arial Narrow"/>
          <w:color w:val="000000" w:themeColor="text1"/>
          <w:lang w:val="es-ES" w:eastAsia="es-ES"/>
        </w:rPr>
      </w:pPr>
    </w:p>
    <w:p w14:paraId="444667F6" w14:textId="77777777" w:rsidR="007968EC" w:rsidRDefault="007968EC" w:rsidP="007968EC">
      <w:pPr>
        <w:autoSpaceDE w:val="0"/>
        <w:autoSpaceDN w:val="0"/>
        <w:adjustRightInd w:val="0"/>
        <w:jc w:val="both"/>
        <w:rPr>
          <w:rFonts w:ascii="Arial Narrow" w:hAnsi="Arial Narrow" w:cs="Arial"/>
          <w:color w:val="000000" w:themeColor="text1"/>
          <w:lang w:val="es-ES" w:eastAsia="es-ES"/>
        </w:rPr>
      </w:pPr>
      <w:r>
        <w:rPr>
          <w:rFonts w:ascii="Arial Narrow" w:hAnsi="Arial Narrow" w:cs="Arial"/>
          <w:color w:val="000000" w:themeColor="text1"/>
          <w:lang w:val="es-ES" w:eastAsia="es-ES"/>
        </w:rPr>
        <w:t>El procedimiento de anulación de Operaciones corresponderá al establecido para cada tipo de Operación en el respectivo Segmento de la presente Circular.</w:t>
      </w:r>
    </w:p>
    <w:p w14:paraId="5C0F2415" w14:textId="77777777" w:rsidR="007968EC" w:rsidRDefault="007968EC" w:rsidP="007968EC">
      <w:pPr>
        <w:autoSpaceDE w:val="0"/>
        <w:autoSpaceDN w:val="0"/>
        <w:adjustRightInd w:val="0"/>
        <w:jc w:val="both"/>
        <w:rPr>
          <w:rFonts w:ascii="Arial Narrow" w:hAnsi="Arial Narrow" w:cs="Arial"/>
          <w:color w:val="000000" w:themeColor="text1"/>
          <w:lang w:val="es-ES" w:eastAsia="es-ES"/>
        </w:rPr>
      </w:pPr>
    </w:p>
    <w:p w14:paraId="4BE810B2" w14:textId="77777777" w:rsidR="007968EC" w:rsidRDefault="007968EC" w:rsidP="007968EC">
      <w:pPr>
        <w:keepNext/>
        <w:tabs>
          <w:tab w:val="left" w:pos="1701"/>
        </w:tabs>
        <w:jc w:val="both"/>
        <w:outlineLvl w:val="2"/>
        <w:rPr>
          <w:rFonts w:ascii="Arial Narrow" w:hAnsi="Arial Narrow" w:cs="Arial"/>
          <w:bCs/>
          <w:color w:val="000000" w:themeColor="text1"/>
          <w:lang w:eastAsia="es-ES"/>
        </w:rPr>
      </w:pPr>
      <w:r>
        <w:rPr>
          <w:rFonts w:ascii="Arial Narrow" w:hAnsi="Arial Narrow" w:cs="Arial"/>
          <w:color w:val="000000" w:themeColor="text1"/>
          <w:lang w:val="es-ES" w:eastAsia="es-ES"/>
        </w:rPr>
        <w:t xml:space="preserve">Cuando la Cámara realice una anulación de oficio en los términos de este artículo deberá informarlo a las Autoridades Competentes, de conformidad con el artículo 2.5.2. del Reglamento </w:t>
      </w:r>
      <w:r>
        <w:rPr>
          <w:rFonts w:ascii="Arial Narrow" w:hAnsi="Arial Narrow"/>
        </w:rPr>
        <w:t>de Funcionamiento de la Cámara.</w:t>
      </w:r>
    </w:p>
    <w:p w14:paraId="20D5590E" w14:textId="77777777" w:rsidR="007968EC" w:rsidRPr="00892926" w:rsidRDefault="007968EC" w:rsidP="007968EC">
      <w:pPr>
        <w:jc w:val="both"/>
        <w:rPr>
          <w:rFonts w:ascii="Arial Narrow" w:hAnsi="Arial Narrow" w:cs="Arial"/>
          <w:color w:val="000000" w:themeColor="text1"/>
          <w:lang w:eastAsia="es-ES"/>
        </w:rPr>
      </w:pPr>
    </w:p>
    <w:p w14:paraId="33C62024" w14:textId="77777777" w:rsidR="007968EC" w:rsidRDefault="007968EC" w:rsidP="007968EC">
      <w:pPr>
        <w:pStyle w:val="ARTICULO0"/>
      </w:pPr>
      <w:bookmarkStart w:id="1270" w:name="_Toc472592091"/>
      <w:bookmarkStart w:id="1271" w:name="_Toc472593110"/>
      <w:bookmarkStart w:id="1272" w:name="_Toc479056896"/>
      <w:bookmarkStart w:id="1273" w:name="_Toc31715905"/>
      <w:bookmarkStart w:id="1274" w:name="_Toc470775412"/>
      <w:bookmarkStart w:id="1275" w:name="_Toc470779697"/>
      <w:bookmarkStart w:id="1276" w:name="_Toc470780314"/>
      <w:bookmarkStart w:id="1277" w:name="_Toc470780827"/>
      <w:bookmarkStart w:id="1278" w:name="_Toc470784388"/>
      <w:bookmarkStart w:id="1279" w:name="_Toc470784925"/>
      <w:bookmarkStart w:id="1280" w:name="_Toc470786948"/>
      <w:bookmarkStart w:id="1281" w:name="_Toc470791301"/>
      <w:bookmarkStart w:id="1282" w:name="_Toc490066206"/>
      <w:r w:rsidRPr="002C0D19">
        <w:t>Artículo 1.3.3.2. Corrección de Operaciones.</w:t>
      </w:r>
      <w:bookmarkEnd w:id="1270"/>
      <w:bookmarkEnd w:id="1271"/>
      <w:bookmarkEnd w:id="1272"/>
      <w:bookmarkEnd w:id="1273"/>
      <w:r w:rsidRPr="002C0D19">
        <w:t xml:space="preserve"> </w:t>
      </w:r>
      <w:bookmarkEnd w:id="1274"/>
      <w:bookmarkEnd w:id="1275"/>
      <w:bookmarkEnd w:id="1276"/>
      <w:bookmarkEnd w:id="1277"/>
      <w:bookmarkEnd w:id="1278"/>
      <w:bookmarkEnd w:id="1279"/>
      <w:bookmarkEnd w:id="1280"/>
      <w:bookmarkEnd w:id="1281"/>
    </w:p>
    <w:p w14:paraId="52CBC571" w14:textId="77777777" w:rsidR="007968EC" w:rsidRPr="007E757A" w:rsidRDefault="007968EC" w:rsidP="007968EC">
      <w:pPr>
        <w:jc w:val="both"/>
        <w:rPr>
          <w:rFonts w:ascii="Arial Narrow" w:hAnsi="Arial Narrow" w:cs="Arial"/>
          <w:color w:val="000000" w:themeColor="text1"/>
          <w:lang w:eastAsia="es-ES"/>
        </w:rPr>
      </w:pPr>
    </w:p>
    <w:p w14:paraId="6E625B03" w14:textId="77777777" w:rsidR="007968EC" w:rsidRPr="002C0D19" w:rsidRDefault="007968EC" w:rsidP="007968EC">
      <w:pPr>
        <w:pStyle w:val="ANTECEDENTES"/>
      </w:pPr>
      <w:r w:rsidRPr="002C0D19">
        <w:t>(Este artículo fue modificado mediante Circular 6 del 29 de marzo de 2010, publicada en el Boletín Normativo No. 008 del 29 de marzo de 2010, mediante Circular 16 del 1 de octubre de 2010, publicada en el Boletín Normativo No. 018 del 1 de octubre de 2010 y mediante Circular 22 del 14 de noviembre de 2014, publicada en el Boletín Normativo No. 025 del 14 de noviembre de 2014, mediante Circular 24 del 6 de agosto de 2015, publicada en el Boletín Normativo No. 026 del 6 de agosto de 2015, mediante Circular 001 del 15 de enero de 2016, publicada en el Boletín Normativo No. 001 del 15 de enero de 2016 y mediante Circular 19 del 28 de diciembre de 2016, publicada en el Boletín Normativo No. 024 del 28 de diciembre de 2016. Rige a partir del 29 de diciembre de 2016.)</w:t>
      </w:r>
      <w:bookmarkEnd w:id="1282"/>
    </w:p>
    <w:p w14:paraId="4E4A6F8F" w14:textId="77777777" w:rsidR="007968EC" w:rsidRPr="002C0D19" w:rsidRDefault="007968EC" w:rsidP="007968EC">
      <w:pPr>
        <w:jc w:val="both"/>
        <w:rPr>
          <w:rFonts w:ascii="Arial Narrow" w:hAnsi="Arial Narrow" w:cs="Arial"/>
          <w:color w:val="000000" w:themeColor="text1"/>
          <w:lang w:val="es-ES" w:eastAsia="es-ES"/>
        </w:rPr>
      </w:pPr>
    </w:p>
    <w:p w14:paraId="18A6A954"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La corrección de Operaciones será gestionada según lo establecido para cada tipo de Operación en el respectivo Segmento de la presente Circular.</w:t>
      </w:r>
    </w:p>
    <w:p w14:paraId="4CBAAFF7" w14:textId="77777777" w:rsidR="007968EC" w:rsidRPr="002C0D19" w:rsidRDefault="007968EC" w:rsidP="007968EC">
      <w:pPr>
        <w:jc w:val="both"/>
        <w:rPr>
          <w:rFonts w:ascii="Arial Narrow" w:hAnsi="Arial Narrow" w:cs="Arial"/>
          <w:color w:val="000000" w:themeColor="text1"/>
          <w:lang w:val="es-ES" w:eastAsia="es-ES"/>
        </w:rPr>
      </w:pPr>
    </w:p>
    <w:p w14:paraId="30FD7644"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En caso de corrección de Operaciones en cualquier Segmento, la Cámara deberá informar esta situación conforme lo establece el artículo 2.5.1. del Reglamento.</w:t>
      </w:r>
    </w:p>
    <w:p w14:paraId="06AED8E3" w14:textId="77777777" w:rsidR="007968EC" w:rsidRPr="002C0D19" w:rsidRDefault="007968EC" w:rsidP="007968EC">
      <w:pPr>
        <w:keepNext/>
        <w:jc w:val="center"/>
        <w:outlineLvl w:val="0"/>
        <w:rPr>
          <w:rFonts w:ascii="Arial Narrow" w:hAnsi="Arial Narrow" w:cs="Arial"/>
          <w:b/>
          <w:kern w:val="32"/>
          <w:szCs w:val="20"/>
          <w:lang w:val="es-ES" w:eastAsia="es-ES"/>
        </w:rPr>
      </w:pPr>
    </w:p>
    <w:p w14:paraId="7CC32932" w14:textId="77777777" w:rsidR="007968EC" w:rsidRPr="002C0D19" w:rsidRDefault="007968EC" w:rsidP="007968EC">
      <w:pPr>
        <w:pStyle w:val="TTULO"/>
        <w:rPr>
          <w:lang w:val="es-ES"/>
        </w:rPr>
      </w:pPr>
      <w:bookmarkStart w:id="1283" w:name="_Toc470775413"/>
      <w:bookmarkStart w:id="1284" w:name="_Toc470779698"/>
      <w:bookmarkStart w:id="1285" w:name="_Toc470780315"/>
      <w:bookmarkStart w:id="1286" w:name="_Toc470780828"/>
      <w:bookmarkStart w:id="1287" w:name="_Toc470784389"/>
      <w:bookmarkStart w:id="1288" w:name="_Toc470784926"/>
      <w:bookmarkStart w:id="1289" w:name="_Toc470786949"/>
      <w:bookmarkStart w:id="1290" w:name="_Toc470791302"/>
      <w:bookmarkStart w:id="1291" w:name="_Toc472592092"/>
      <w:bookmarkStart w:id="1292" w:name="_Toc472593111"/>
      <w:bookmarkStart w:id="1293" w:name="_Toc479056897"/>
      <w:bookmarkStart w:id="1294" w:name="_Toc490066207"/>
      <w:bookmarkStart w:id="1295" w:name="_Toc31715906"/>
      <w:r w:rsidRPr="002C0D19">
        <w:rPr>
          <w:lang w:val="es-ES"/>
        </w:rPr>
        <w:t>TÍTULO CUARTO</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p>
    <w:p w14:paraId="66104DDC" w14:textId="77777777" w:rsidR="007968EC" w:rsidRPr="002C0D19" w:rsidRDefault="007968EC" w:rsidP="007968EC">
      <w:pPr>
        <w:pStyle w:val="TTULO"/>
        <w:rPr>
          <w:lang w:val="es-ES"/>
        </w:rPr>
      </w:pPr>
    </w:p>
    <w:p w14:paraId="1A87E3F0" w14:textId="77777777" w:rsidR="007968EC" w:rsidRPr="002C0D19" w:rsidRDefault="007968EC" w:rsidP="007968EC">
      <w:pPr>
        <w:pStyle w:val="TTULO"/>
        <w:rPr>
          <w:lang w:val="es-ES"/>
        </w:rPr>
      </w:pPr>
      <w:bookmarkStart w:id="1296" w:name="_Toc470775414"/>
      <w:bookmarkStart w:id="1297" w:name="_Toc470779699"/>
      <w:bookmarkStart w:id="1298" w:name="_Toc470780316"/>
      <w:bookmarkStart w:id="1299" w:name="_Toc470780829"/>
      <w:bookmarkStart w:id="1300" w:name="_Toc470784390"/>
      <w:bookmarkStart w:id="1301" w:name="_Toc470784927"/>
      <w:bookmarkStart w:id="1302" w:name="_Toc470786950"/>
      <w:bookmarkStart w:id="1303" w:name="_Toc470791303"/>
      <w:bookmarkStart w:id="1304" w:name="_Toc472592093"/>
      <w:bookmarkStart w:id="1305" w:name="_Toc472593112"/>
      <w:bookmarkStart w:id="1306" w:name="_Toc479056898"/>
      <w:bookmarkStart w:id="1307" w:name="_Toc490066208"/>
      <w:bookmarkStart w:id="1308" w:name="_Toc31715907"/>
      <w:r w:rsidRPr="002C0D19">
        <w:rPr>
          <w:lang w:val="es-ES"/>
        </w:rPr>
        <w:t>CUENTAS Y GESTIÓN DE OPERACIONES</w:t>
      </w:r>
      <w:bookmarkEnd w:id="1296"/>
      <w:bookmarkEnd w:id="1297"/>
      <w:bookmarkEnd w:id="1298"/>
      <w:bookmarkEnd w:id="1299"/>
      <w:bookmarkEnd w:id="1300"/>
      <w:bookmarkEnd w:id="1301"/>
      <w:bookmarkEnd w:id="1302"/>
      <w:bookmarkEnd w:id="1303"/>
      <w:bookmarkEnd w:id="1304"/>
      <w:bookmarkEnd w:id="1305"/>
      <w:bookmarkEnd w:id="1306"/>
      <w:bookmarkEnd w:id="1307"/>
      <w:bookmarkEnd w:id="1308"/>
    </w:p>
    <w:p w14:paraId="6A40410E" w14:textId="77777777" w:rsidR="007968EC" w:rsidRPr="002C0D19" w:rsidRDefault="007968EC" w:rsidP="007968EC">
      <w:pPr>
        <w:pStyle w:val="TTULO"/>
        <w:rPr>
          <w:lang w:val="es-ES"/>
        </w:rPr>
      </w:pPr>
    </w:p>
    <w:p w14:paraId="3E0CB23E" w14:textId="77777777" w:rsidR="007968EC" w:rsidRPr="002C0D19" w:rsidRDefault="007968EC" w:rsidP="007968EC">
      <w:pPr>
        <w:pStyle w:val="TTULO"/>
        <w:rPr>
          <w:lang w:val="es-ES"/>
        </w:rPr>
      </w:pPr>
      <w:bookmarkStart w:id="1309" w:name="_Toc470775415"/>
      <w:bookmarkStart w:id="1310" w:name="_Toc470779700"/>
      <w:bookmarkStart w:id="1311" w:name="_Toc470780317"/>
      <w:bookmarkStart w:id="1312" w:name="_Toc470780830"/>
      <w:bookmarkStart w:id="1313" w:name="_Toc470784391"/>
      <w:bookmarkStart w:id="1314" w:name="_Toc470784928"/>
      <w:bookmarkStart w:id="1315" w:name="_Toc470786951"/>
      <w:bookmarkStart w:id="1316" w:name="_Toc470791304"/>
      <w:bookmarkStart w:id="1317" w:name="_Toc472592094"/>
      <w:bookmarkStart w:id="1318" w:name="_Toc472593113"/>
      <w:bookmarkStart w:id="1319" w:name="_Toc479056899"/>
      <w:bookmarkStart w:id="1320" w:name="_Toc490066209"/>
      <w:bookmarkStart w:id="1321" w:name="_Toc31715908"/>
      <w:r w:rsidRPr="002C0D19">
        <w:rPr>
          <w:lang w:val="es-ES"/>
        </w:rPr>
        <w:t>CAPÍTULO PRIMERO</w:t>
      </w:r>
      <w:bookmarkEnd w:id="1309"/>
      <w:bookmarkEnd w:id="1310"/>
      <w:bookmarkEnd w:id="1311"/>
      <w:bookmarkEnd w:id="1312"/>
      <w:bookmarkEnd w:id="1313"/>
      <w:bookmarkEnd w:id="1314"/>
      <w:bookmarkEnd w:id="1315"/>
      <w:bookmarkEnd w:id="1316"/>
      <w:bookmarkEnd w:id="1317"/>
      <w:bookmarkEnd w:id="1318"/>
      <w:bookmarkEnd w:id="1319"/>
      <w:bookmarkEnd w:id="1320"/>
      <w:bookmarkEnd w:id="1321"/>
    </w:p>
    <w:p w14:paraId="081ECD8B" w14:textId="77777777" w:rsidR="007968EC" w:rsidRPr="002C0D19" w:rsidRDefault="007968EC" w:rsidP="007968EC">
      <w:pPr>
        <w:pStyle w:val="TTULO"/>
        <w:rPr>
          <w:lang w:val="es-ES"/>
        </w:rPr>
      </w:pPr>
    </w:p>
    <w:p w14:paraId="20BFF8E2" w14:textId="77777777" w:rsidR="007968EC" w:rsidRPr="002C0D19" w:rsidRDefault="007968EC" w:rsidP="007968EC">
      <w:pPr>
        <w:pStyle w:val="TTULO"/>
        <w:rPr>
          <w:lang w:val="es-ES"/>
        </w:rPr>
      </w:pPr>
      <w:bookmarkStart w:id="1322" w:name="_Toc470775416"/>
      <w:bookmarkStart w:id="1323" w:name="_Toc470779701"/>
      <w:bookmarkStart w:id="1324" w:name="_Toc470780318"/>
      <w:bookmarkStart w:id="1325" w:name="_Toc470780831"/>
      <w:bookmarkStart w:id="1326" w:name="_Toc470784392"/>
      <w:bookmarkStart w:id="1327" w:name="_Toc470784929"/>
      <w:bookmarkStart w:id="1328" w:name="_Toc470786952"/>
      <w:bookmarkStart w:id="1329" w:name="_Toc470791305"/>
      <w:bookmarkStart w:id="1330" w:name="_Toc472592095"/>
      <w:bookmarkStart w:id="1331" w:name="_Toc472593114"/>
      <w:bookmarkStart w:id="1332" w:name="_Toc479056900"/>
      <w:bookmarkStart w:id="1333" w:name="_Toc490066210"/>
      <w:bookmarkStart w:id="1334" w:name="_Toc31715909"/>
      <w:r w:rsidRPr="002C0D19">
        <w:rPr>
          <w:lang w:val="es-ES"/>
        </w:rPr>
        <w:t>CUENTAS</w:t>
      </w:r>
      <w:bookmarkEnd w:id="1322"/>
      <w:bookmarkEnd w:id="1323"/>
      <w:bookmarkEnd w:id="1324"/>
      <w:bookmarkEnd w:id="1325"/>
      <w:bookmarkEnd w:id="1326"/>
      <w:bookmarkEnd w:id="1327"/>
      <w:bookmarkEnd w:id="1328"/>
      <w:bookmarkEnd w:id="1329"/>
      <w:bookmarkEnd w:id="1330"/>
      <w:bookmarkEnd w:id="1331"/>
      <w:bookmarkEnd w:id="1332"/>
      <w:bookmarkEnd w:id="1333"/>
      <w:bookmarkEnd w:id="1334"/>
    </w:p>
    <w:p w14:paraId="7FBBB018" w14:textId="77777777" w:rsidR="007968EC" w:rsidRPr="002C0D19" w:rsidRDefault="007968EC" w:rsidP="007968EC">
      <w:pPr>
        <w:jc w:val="both"/>
        <w:outlineLvl w:val="1"/>
        <w:rPr>
          <w:rFonts w:ascii="Arial Narrow" w:hAnsi="Arial Narrow" w:cs="Arial"/>
          <w:color w:val="000000" w:themeColor="text1"/>
          <w:lang w:eastAsia="es-ES"/>
        </w:rPr>
      </w:pPr>
    </w:p>
    <w:p w14:paraId="5E5F792F" w14:textId="77777777" w:rsidR="007968EC" w:rsidRDefault="007968EC" w:rsidP="007968EC">
      <w:pPr>
        <w:pStyle w:val="ARTICULO0"/>
      </w:pPr>
      <w:bookmarkStart w:id="1335" w:name="_Toc206134809"/>
      <w:bookmarkStart w:id="1336" w:name="_Toc472592096"/>
      <w:bookmarkStart w:id="1337" w:name="_Toc472593115"/>
      <w:bookmarkStart w:id="1338" w:name="_Toc479056901"/>
      <w:bookmarkStart w:id="1339" w:name="_Toc31715910"/>
      <w:bookmarkStart w:id="1340" w:name="_Toc470775417"/>
      <w:bookmarkStart w:id="1341" w:name="_Toc470779702"/>
      <w:bookmarkStart w:id="1342" w:name="_Toc470780319"/>
      <w:bookmarkStart w:id="1343" w:name="_Toc470780832"/>
      <w:bookmarkStart w:id="1344" w:name="_Toc470784393"/>
      <w:bookmarkStart w:id="1345" w:name="_Toc470784930"/>
      <w:bookmarkStart w:id="1346" w:name="_Toc470786953"/>
      <w:bookmarkStart w:id="1347" w:name="_Toc470791306"/>
      <w:bookmarkStart w:id="1348" w:name="_Toc490066211"/>
      <w:r w:rsidRPr="002C0D19">
        <w:t>Artículo 1.4.1.1. Proceso de Creación de Cuentas en el Sistema de la Cámara.</w:t>
      </w:r>
      <w:bookmarkEnd w:id="1335"/>
      <w:bookmarkEnd w:id="1336"/>
      <w:bookmarkEnd w:id="1337"/>
      <w:bookmarkEnd w:id="1338"/>
      <w:bookmarkEnd w:id="1339"/>
      <w:r w:rsidRPr="002C0D19">
        <w:t xml:space="preserve"> </w:t>
      </w:r>
    </w:p>
    <w:p w14:paraId="0FB8F2A5" w14:textId="77777777" w:rsidR="007968EC" w:rsidRPr="007E757A" w:rsidRDefault="007968EC" w:rsidP="007968EC">
      <w:pPr>
        <w:jc w:val="both"/>
        <w:rPr>
          <w:rFonts w:ascii="Arial Narrow" w:hAnsi="Arial Narrow" w:cs="Arial"/>
          <w:color w:val="000000" w:themeColor="text1"/>
          <w:lang w:eastAsia="es-ES"/>
        </w:rPr>
      </w:pPr>
    </w:p>
    <w:p w14:paraId="45414D01" w14:textId="77777777" w:rsidR="007968EC" w:rsidRPr="002C0D19" w:rsidRDefault="007968EC" w:rsidP="007968EC">
      <w:pPr>
        <w:pStyle w:val="ANTECEDENTES"/>
      </w:pPr>
      <w:r w:rsidRPr="002C0D19">
        <w:t xml:space="preserve">(Este artículo fue modificado mediante Circular 2 del 12 de febrero de 2009, publicada en el Boletín Normativo No. 002 del 12 de febrero de 2009, mediante Circular 7 del 28 de abril de 2011, publicada en el Boletín Normativo No. 007 del 28 de abril de 2011, mediante Circular 20 del 4 de noviembre de 2011, publicada en el Boletín Normativo No. 023 del 4 de noviembre de 2011, mediante Circular 17 del 5 de septiembre de 2014, publicada en el Boletín Normativo No. 019 del 5 de septiembre de 2014,  </w:t>
      </w:r>
      <w:r w:rsidRPr="002C0D19">
        <w:lastRenderedPageBreak/>
        <w:t>mediante Circular 10 del 18 de marzo de 2015, publicada en el Boletín Normativo No. 010 del 18 de marzo de 2015, mediante Circular 19 del 28 de diciembre de 2016, publicada en el Boletín Normativo No. 024 del 28 de diciembre de 2016,  mediante Circular 8 del 31 de marzo de 2017, publicada en el Boletín Normativo N</w:t>
      </w:r>
      <w:r>
        <w:t>o. 008 del 31 de marzo de 2017,</w:t>
      </w:r>
      <w:r w:rsidRPr="002C0D19">
        <w:t xml:space="preserve"> mediante Circular 14 del 8 de agosto de 2017, publicada en el Boletín Normativo No. 015 del 8 de agosto de 2017</w:t>
      </w:r>
      <w:bookmarkStart w:id="1349" w:name="_Hlk497491877"/>
      <w:r>
        <w:t xml:space="preserve"> y mediante Circular 22 del 3 de noviembre de 2017, publicada mediante Boletín Normativo No. 024 del 3 de noviembre de 2017</w:t>
      </w:r>
      <w:r w:rsidRPr="002C0D19">
        <w:t xml:space="preserve">.  Rige a partir del </w:t>
      </w:r>
      <w:r>
        <w:t>7</w:t>
      </w:r>
      <w:r w:rsidRPr="002C0D19">
        <w:t xml:space="preserve"> de </w:t>
      </w:r>
      <w:r>
        <w:t>noviembre</w:t>
      </w:r>
      <w:r w:rsidRPr="002C0D19">
        <w:t xml:space="preserve"> de 2017.</w:t>
      </w:r>
      <w:bookmarkEnd w:id="1349"/>
      <w:r w:rsidRPr="002C0D19">
        <w:t>)</w:t>
      </w:r>
      <w:bookmarkEnd w:id="1340"/>
      <w:bookmarkEnd w:id="1341"/>
      <w:bookmarkEnd w:id="1342"/>
      <w:bookmarkEnd w:id="1343"/>
      <w:bookmarkEnd w:id="1344"/>
      <w:bookmarkEnd w:id="1345"/>
      <w:bookmarkEnd w:id="1346"/>
      <w:bookmarkEnd w:id="1347"/>
      <w:bookmarkEnd w:id="1348"/>
    </w:p>
    <w:p w14:paraId="7533E784" w14:textId="77777777" w:rsidR="007968EC" w:rsidRPr="002C0D19" w:rsidRDefault="007968EC" w:rsidP="007968EC">
      <w:pPr>
        <w:autoSpaceDE w:val="0"/>
        <w:autoSpaceDN w:val="0"/>
        <w:jc w:val="both"/>
        <w:rPr>
          <w:rFonts w:ascii="Arial Narrow" w:hAnsi="Arial Narrow" w:cs="Arial"/>
          <w:lang w:val="es-ES" w:eastAsia="es-ES"/>
        </w:rPr>
      </w:pPr>
    </w:p>
    <w:p w14:paraId="6345B015" w14:textId="77777777" w:rsidR="007968EC" w:rsidRPr="002C0D19" w:rsidRDefault="007968EC" w:rsidP="007968EC">
      <w:pPr>
        <w:autoSpaceDE w:val="0"/>
        <w:autoSpaceDN w:val="0"/>
        <w:jc w:val="both"/>
        <w:rPr>
          <w:rFonts w:ascii="Arial Narrow" w:hAnsi="Arial Narrow" w:cs="Arial"/>
          <w:lang w:val="es-ES" w:eastAsia="es-ES"/>
        </w:rPr>
      </w:pPr>
      <w:bookmarkStart w:id="1350" w:name="_Toc206134810"/>
      <w:r w:rsidRPr="002C0D19">
        <w:rPr>
          <w:rFonts w:ascii="Arial Narrow" w:hAnsi="Arial Narrow" w:cs="Arial"/>
          <w:lang w:val="es-ES" w:eastAsia="es-ES"/>
        </w:rPr>
        <w:t>A partir de la admisión de un Miembro en la Cámara, éste se habilita en el Portal CRCC a través del cual tiene acceso al Sistema de Administración de Suscriptores SAS, a través del cual el Administrador del Miembro solicita la creación de Cuentas de Terceros Identificados y la creación de Cuentas de Registro de la Cuenta Propia en cada Segmento.</w:t>
      </w:r>
    </w:p>
    <w:p w14:paraId="0380FCA9" w14:textId="77777777" w:rsidR="007968EC" w:rsidRPr="002C0D19" w:rsidRDefault="007968EC" w:rsidP="007968EC">
      <w:pPr>
        <w:autoSpaceDE w:val="0"/>
        <w:autoSpaceDN w:val="0"/>
        <w:jc w:val="both"/>
        <w:rPr>
          <w:rFonts w:ascii="Arial Narrow" w:hAnsi="Arial Narrow" w:cs="Arial"/>
          <w:lang w:val="es-ES" w:eastAsia="es-ES"/>
        </w:rPr>
      </w:pPr>
    </w:p>
    <w:p w14:paraId="06698982" w14:textId="77777777" w:rsidR="007968EC" w:rsidRPr="002C0D19" w:rsidRDefault="007968EC" w:rsidP="00DA7472">
      <w:pPr>
        <w:numPr>
          <w:ilvl w:val="0"/>
          <w:numId w:val="97"/>
        </w:numPr>
        <w:autoSpaceDE w:val="0"/>
        <w:autoSpaceDN w:val="0"/>
        <w:ind w:left="284" w:hanging="284"/>
        <w:jc w:val="both"/>
        <w:rPr>
          <w:rFonts w:ascii="Arial Narrow" w:hAnsi="Arial Narrow" w:cs="Arial"/>
          <w:lang w:val="es-ES" w:eastAsia="es-ES"/>
        </w:rPr>
      </w:pPr>
      <w:r w:rsidRPr="002C0D19">
        <w:rPr>
          <w:rFonts w:ascii="Arial Narrow" w:hAnsi="Arial Narrow" w:cs="Arial"/>
          <w:lang w:val="es-ES" w:eastAsia="es-ES"/>
        </w:rPr>
        <w:t>Para la solicitud y creación de Cuentas de Terceros Identificados en el Sistema de la Cámara se deberá seguir el siguiente procedimiento:</w:t>
      </w:r>
    </w:p>
    <w:p w14:paraId="19CCF6DA" w14:textId="77777777" w:rsidR="007968EC" w:rsidRPr="002C0D19" w:rsidRDefault="007968EC" w:rsidP="007968EC">
      <w:pPr>
        <w:autoSpaceDE w:val="0"/>
        <w:autoSpaceDN w:val="0"/>
        <w:jc w:val="both"/>
        <w:rPr>
          <w:rFonts w:ascii="Arial Narrow" w:hAnsi="Arial Narrow" w:cs="Arial"/>
          <w:lang w:val="es-ES" w:eastAsia="es-ES"/>
        </w:rPr>
      </w:pPr>
    </w:p>
    <w:p w14:paraId="6726CCA1" w14:textId="77777777" w:rsidR="007968EC" w:rsidRPr="002C0D19" w:rsidRDefault="007968EC" w:rsidP="00DA7472">
      <w:pPr>
        <w:numPr>
          <w:ilvl w:val="1"/>
          <w:numId w:val="98"/>
        </w:numPr>
        <w:autoSpaceDE w:val="0"/>
        <w:autoSpaceDN w:val="0"/>
        <w:ind w:left="709"/>
        <w:jc w:val="both"/>
        <w:rPr>
          <w:rFonts w:ascii="Arial Narrow" w:hAnsi="Arial Narrow" w:cs="Arial"/>
          <w:color w:val="000000" w:themeColor="text1"/>
          <w:lang w:val="es-ES" w:eastAsia="es-ES"/>
        </w:rPr>
      </w:pPr>
      <w:r w:rsidRPr="002C0D19">
        <w:rPr>
          <w:rFonts w:ascii="Arial Narrow" w:hAnsi="Arial Narrow" w:cs="Arial"/>
          <w:lang w:val="es-ES" w:eastAsia="es-ES"/>
        </w:rPr>
        <w:t xml:space="preserve">El Administrador del Miembro deberá ingresar a la página web </w:t>
      </w:r>
      <w:hyperlink r:id="rId8" w:history="1">
        <w:r w:rsidRPr="002C0D19">
          <w:rPr>
            <w:rFonts w:ascii="Arial Narrow" w:hAnsi="Arial Narrow" w:cs="Arial"/>
            <w:u w:val="single"/>
            <w:lang w:val="es-ES" w:eastAsia="es-ES"/>
          </w:rPr>
          <w:t>www.camaraderiesgo.com.co</w:t>
        </w:r>
      </w:hyperlink>
      <w:r w:rsidRPr="002C0D19">
        <w:rPr>
          <w:rFonts w:ascii="Arial Narrow" w:hAnsi="Arial Narrow" w:cs="Arial"/>
          <w:lang w:val="es-ES" w:eastAsia="es-ES"/>
        </w:rPr>
        <w:t xml:space="preserve"> y acceder al Portal CRCC; e ingresar al módulo de SAS para diligenciar la información solicitada de identificación del Tercero titular de la Cuenta, las características de administración de la Cuenta según cada Segmento, así como como definir si el titular de Cuenta actuará como depositante directo en la Liquidación al Vencimiento por Entrega en los depósitos de valores DCV y/o Deceval según corresponda, o definir si el Agente debe actuar como depositante en la Liquidación al Vencimiento por Entrega y en la Gestión de garantías en los depósitos de valores DCV y/o Deceval según corresponda, la información asociada a dicho titular que permita su identificación en la Cámara y la información </w:t>
      </w:r>
      <w:r w:rsidRPr="002C0D19">
        <w:rPr>
          <w:rFonts w:ascii="Arial Narrow" w:hAnsi="Arial Narrow" w:cs="Arial"/>
          <w:color w:val="000000" w:themeColor="text1"/>
          <w:lang w:val="es-ES" w:eastAsia="es-ES"/>
        </w:rPr>
        <w:t>referente para la Liquidación de sus operaciones en los depósitos.</w:t>
      </w:r>
    </w:p>
    <w:p w14:paraId="5685289C" w14:textId="77777777" w:rsidR="007968EC" w:rsidRPr="002C0D19" w:rsidRDefault="007968EC" w:rsidP="007968EC">
      <w:pPr>
        <w:autoSpaceDE w:val="0"/>
        <w:autoSpaceDN w:val="0"/>
        <w:ind w:left="709"/>
        <w:contextualSpacing/>
        <w:jc w:val="both"/>
        <w:rPr>
          <w:rFonts w:ascii="Arial Narrow" w:hAnsi="Arial Narrow" w:cs="Arial"/>
          <w:color w:val="000000" w:themeColor="text1"/>
          <w:lang w:val="es-ES" w:eastAsia="es-ES"/>
        </w:rPr>
      </w:pPr>
    </w:p>
    <w:p w14:paraId="4D73C6A2" w14:textId="77777777" w:rsidR="007968EC" w:rsidRPr="002C0D19" w:rsidRDefault="007968EC" w:rsidP="00DA7472">
      <w:pPr>
        <w:numPr>
          <w:ilvl w:val="1"/>
          <w:numId w:val="98"/>
        </w:numPr>
        <w:autoSpaceDE w:val="0"/>
        <w:autoSpaceDN w:val="0"/>
        <w:ind w:left="709"/>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Una vez recibida la solicitud de apertura de Cuenta en el SAS, los funcionarios de la Cámara realizan una verificación </w:t>
      </w:r>
      <w:r w:rsidRPr="002C0D19">
        <w:rPr>
          <w:rFonts w:ascii="Arial Narrow" w:hAnsi="Arial Narrow" w:cs="Arial"/>
          <w:bCs/>
          <w:color w:val="000000" w:themeColor="text1"/>
          <w:lang w:val="es-ES" w:eastAsia="es-ES"/>
        </w:rPr>
        <w:t>en las</w:t>
      </w:r>
      <w:r w:rsidRPr="002C0D19">
        <w:rPr>
          <w:rFonts w:ascii="Arial Narrow" w:hAnsi="Arial Narrow" w:cs="Arial"/>
          <w:color w:val="000000" w:themeColor="text1"/>
          <w:lang w:val="es-ES" w:eastAsia="es-ES"/>
        </w:rPr>
        <w:t xml:space="preserve"> listas de referencia restrictivas para control y lavado de activos y financiación del terrorismo. Los resultados de </w:t>
      </w:r>
      <w:r w:rsidRPr="002C0D19">
        <w:rPr>
          <w:rFonts w:ascii="Arial Narrow" w:hAnsi="Arial Narrow" w:cs="Arial"/>
          <w:bCs/>
          <w:color w:val="000000" w:themeColor="text1"/>
          <w:lang w:val="es-ES" w:eastAsia="es-ES"/>
        </w:rPr>
        <w:t>dicha verificación</w:t>
      </w:r>
      <w:r w:rsidRPr="002C0D19">
        <w:rPr>
          <w:rFonts w:ascii="Arial Narrow" w:hAnsi="Arial Narrow" w:cs="Arial"/>
          <w:color w:val="000000" w:themeColor="text1"/>
          <w:lang w:val="es-ES" w:eastAsia="es-ES"/>
        </w:rPr>
        <w:t xml:space="preserve"> pueden ser </w:t>
      </w:r>
      <w:r w:rsidRPr="002C0D19">
        <w:rPr>
          <w:rFonts w:ascii="Arial Narrow" w:hAnsi="Arial Narrow" w:cs="Arial"/>
          <w:bCs/>
          <w:color w:val="000000" w:themeColor="text1"/>
          <w:lang w:val="es-ES" w:eastAsia="es-ES"/>
        </w:rPr>
        <w:t>consultad</w:t>
      </w:r>
      <w:r w:rsidRPr="002C0D19">
        <w:rPr>
          <w:rFonts w:ascii="Arial Narrow" w:hAnsi="Arial Narrow" w:cs="Arial"/>
          <w:bCs/>
          <w:color w:val="000000" w:themeColor="text1"/>
          <w:lang w:val="es-ES" w:eastAsia="es-ES"/>
        </w:rPr>
        <w:tab/>
        <w:t>os</w:t>
      </w:r>
      <w:r w:rsidRPr="002C0D19">
        <w:rPr>
          <w:rFonts w:ascii="Arial Narrow" w:hAnsi="Arial Narrow" w:cs="Arial"/>
          <w:color w:val="000000" w:themeColor="text1"/>
          <w:lang w:val="es-ES" w:eastAsia="es-ES"/>
        </w:rPr>
        <w:t xml:space="preserve"> por el Miembro a través del SAS.</w:t>
      </w:r>
    </w:p>
    <w:p w14:paraId="6D980625" w14:textId="77777777" w:rsidR="007968EC" w:rsidRPr="002C0D19" w:rsidRDefault="007968EC" w:rsidP="007968EC">
      <w:pPr>
        <w:ind w:left="720"/>
        <w:contextualSpacing/>
        <w:rPr>
          <w:rFonts w:ascii="Arial Narrow" w:hAnsi="Arial Narrow" w:cs="Arial"/>
          <w:color w:val="000000" w:themeColor="text1"/>
          <w:lang w:val="es-ES" w:eastAsia="es-ES"/>
        </w:rPr>
      </w:pPr>
    </w:p>
    <w:p w14:paraId="7C30BCB6" w14:textId="77777777" w:rsidR="007968EC" w:rsidRPr="002C0D19" w:rsidRDefault="007968EC" w:rsidP="00DA7472">
      <w:pPr>
        <w:numPr>
          <w:ilvl w:val="1"/>
          <w:numId w:val="98"/>
        </w:numPr>
        <w:autoSpaceDE w:val="0"/>
        <w:autoSpaceDN w:val="0"/>
        <w:ind w:left="709"/>
        <w:jc w:val="both"/>
        <w:rPr>
          <w:rFonts w:ascii="Arial Narrow" w:hAnsi="Arial Narrow" w:cs="Arial"/>
          <w:lang w:val="es-ES" w:eastAsia="es-ES"/>
        </w:rPr>
      </w:pPr>
      <w:r w:rsidRPr="002C0D19">
        <w:rPr>
          <w:rFonts w:ascii="Arial Narrow" w:hAnsi="Arial Narrow" w:cs="Arial"/>
          <w:lang w:val="es-ES" w:eastAsia="es-ES"/>
        </w:rPr>
        <w:t>Realizados los procesos de verificación descritos en el numeral anterior y siendo favorable el resultado de los mismos, la solicitud es ingresada a la herramienta de mantenimiento de Cuentas, con el fin de actualizar la base de datos del Sistema de la Cámara y proceder a la creación de la Cuenta respecto de los Segmentos que el Miembro haya indicado que va a participar.</w:t>
      </w:r>
    </w:p>
    <w:p w14:paraId="74C49B4F" w14:textId="77777777" w:rsidR="007968EC" w:rsidRPr="002C0D19" w:rsidRDefault="007968EC" w:rsidP="007968EC">
      <w:pPr>
        <w:ind w:left="720"/>
        <w:contextualSpacing/>
        <w:rPr>
          <w:rFonts w:ascii="Arial Narrow" w:hAnsi="Arial Narrow" w:cs="Arial"/>
          <w:lang w:val="es-ES" w:eastAsia="es-ES"/>
        </w:rPr>
      </w:pPr>
    </w:p>
    <w:p w14:paraId="35871605" w14:textId="77777777" w:rsidR="007968EC" w:rsidRPr="002C0D19" w:rsidRDefault="007968EC" w:rsidP="00DA7472">
      <w:pPr>
        <w:numPr>
          <w:ilvl w:val="1"/>
          <w:numId w:val="98"/>
        </w:numPr>
        <w:autoSpaceDE w:val="0"/>
        <w:autoSpaceDN w:val="0"/>
        <w:ind w:left="709"/>
        <w:jc w:val="both"/>
        <w:rPr>
          <w:rFonts w:ascii="Arial Narrow" w:hAnsi="Arial Narrow" w:cs="Arial"/>
          <w:lang w:val="es-ES" w:eastAsia="es-ES"/>
        </w:rPr>
      </w:pPr>
      <w:r w:rsidRPr="002C0D19">
        <w:rPr>
          <w:rFonts w:ascii="Arial Narrow" w:hAnsi="Arial Narrow" w:cs="Arial"/>
          <w:lang w:val="es-ES" w:eastAsia="es-ES"/>
        </w:rPr>
        <w:t>Creada la Cuenta en la base de datos del Sistema, quedará en estado inactivo o de alta no operativa, mientras la Cámara verifica que dispone de la información necesaria para adelantar la Compensación y Liquidación de Operaciones.</w:t>
      </w:r>
    </w:p>
    <w:p w14:paraId="1A647C16" w14:textId="77777777" w:rsidR="007968EC" w:rsidRPr="002C0D19" w:rsidRDefault="007968EC" w:rsidP="007968EC">
      <w:pPr>
        <w:ind w:left="720"/>
        <w:contextualSpacing/>
        <w:rPr>
          <w:rFonts w:ascii="Arial Narrow" w:hAnsi="Arial Narrow" w:cs="Arial"/>
          <w:lang w:val="es-ES" w:eastAsia="es-ES"/>
        </w:rPr>
      </w:pPr>
    </w:p>
    <w:p w14:paraId="1BF9094C" w14:textId="77777777" w:rsidR="007968EC" w:rsidRPr="002C0D19" w:rsidRDefault="007968EC" w:rsidP="00DA7472">
      <w:pPr>
        <w:numPr>
          <w:ilvl w:val="1"/>
          <w:numId w:val="98"/>
        </w:numPr>
        <w:autoSpaceDE w:val="0"/>
        <w:autoSpaceDN w:val="0"/>
        <w:ind w:left="709"/>
        <w:jc w:val="both"/>
        <w:rPr>
          <w:rFonts w:ascii="Arial Narrow" w:hAnsi="Arial Narrow" w:cs="Arial"/>
          <w:lang w:val="es-ES" w:eastAsia="es-ES"/>
        </w:rPr>
      </w:pPr>
      <w:r w:rsidRPr="002C0D19">
        <w:rPr>
          <w:rFonts w:ascii="Arial Narrow" w:hAnsi="Arial Narrow" w:cs="Arial"/>
          <w:lang w:val="es-ES" w:eastAsia="es-ES"/>
        </w:rPr>
        <w:t>Finalizada la verificación de la información señalada en el numeral anterior, la Cuenta entra en estado activo y se habilita para el registro de Operaciones al inicio de sesión del día siguiente.</w:t>
      </w:r>
    </w:p>
    <w:p w14:paraId="3BE67004" w14:textId="77777777" w:rsidR="007968EC" w:rsidRPr="002C0D19" w:rsidRDefault="007968EC" w:rsidP="007968EC">
      <w:pPr>
        <w:autoSpaceDE w:val="0"/>
        <w:autoSpaceDN w:val="0"/>
        <w:jc w:val="both"/>
        <w:rPr>
          <w:rFonts w:ascii="Arial Narrow" w:hAnsi="Arial Narrow" w:cs="Arial"/>
          <w:lang w:val="es-ES" w:eastAsia="es-ES"/>
        </w:rPr>
      </w:pPr>
    </w:p>
    <w:p w14:paraId="12642744" w14:textId="77777777" w:rsidR="007968EC" w:rsidRPr="002C0D19" w:rsidRDefault="007968EC" w:rsidP="00DA7472">
      <w:pPr>
        <w:numPr>
          <w:ilvl w:val="0"/>
          <w:numId w:val="97"/>
        </w:numPr>
        <w:autoSpaceDE w:val="0"/>
        <w:autoSpaceDN w:val="0"/>
        <w:ind w:left="284" w:hanging="284"/>
        <w:jc w:val="both"/>
        <w:rPr>
          <w:rFonts w:ascii="Arial Narrow" w:hAnsi="Arial Narrow" w:cs="Arial"/>
          <w:lang w:val="es-ES" w:eastAsia="es-ES"/>
        </w:rPr>
      </w:pPr>
      <w:r w:rsidRPr="002C0D19">
        <w:rPr>
          <w:rFonts w:ascii="Arial Narrow" w:hAnsi="Arial Narrow" w:cs="Arial"/>
          <w:lang w:val="es-ES" w:eastAsia="es-ES"/>
        </w:rPr>
        <w:lastRenderedPageBreak/>
        <w:t>Para la solicitud y creación de Cuentas de Registro de la Cuenta Propia en el Sistema de la Cámara se deberá seguir el siguiente procedimiento:</w:t>
      </w:r>
    </w:p>
    <w:p w14:paraId="27431F11" w14:textId="77777777" w:rsidR="007968EC" w:rsidRPr="002C0D19" w:rsidRDefault="007968EC" w:rsidP="007968EC">
      <w:pPr>
        <w:autoSpaceDE w:val="0"/>
        <w:autoSpaceDN w:val="0"/>
        <w:jc w:val="both"/>
        <w:rPr>
          <w:rFonts w:ascii="Arial Narrow" w:hAnsi="Arial Narrow" w:cs="Arial"/>
          <w:lang w:val="es-ES" w:eastAsia="es-ES"/>
        </w:rPr>
      </w:pPr>
    </w:p>
    <w:p w14:paraId="550B8DF7" w14:textId="77777777" w:rsidR="007968EC" w:rsidRPr="002C0D19" w:rsidRDefault="007968EC" w:rsidP="00DA7472">
      <w:pPr>
        <w:numPr>
          <w:ilvl w:val="0"/>
          <w:numId w:val="150"/>
        </w:numPr>
        <w:autoSpaceDE w:val="0"/>
        <w:autoSpaceDN w:val="0"/>
        <w:jc w:val="both"/>
        <w:rPr>
          <w:rFonts w:ascii="Arial Narrow" w:hAnsi="Arial Narrow" w:cs="Arial"/>
          <w:lang w:val="es-ES" w:eastAsia="es-ES"/>
        </w:rPr>
      </w:pPr>
      <w:r w:rsidRPr="002C0D19">
        <w:rPr>
          <w:rFonts w:ascii="Arial Narrow" w:hAnsi="Arial Narrow" w:cs="Arial"/>
          <w:lang w:val="es-ES" w:eastAsia="es-ES"/>
        </w:rPr>
        <w:t>Los Miembros podrán solicitar la creación Cuentas de Registro de la Cuenta Propia adicionales, según las características de las Operaciones que se agrupen en cada Segmento, a través de solicitud enviada por correo electrónico por el Administrador del Miembro al Administrador del Sistema en Cámara o por el Portal CRCC.</w:t>
      </w:r>
    </w:p>
    <w:p w14:paraId="37521ED0" w14:textId="77777777" w:rsidR="007968EC" w:rsidRPr="002C0D19" w:rsidRDefault="007968EC" w:rsidP="007968EC">
      <w:pPr>
        <w:autoSpaceDE w:val="0"/>
        <w:autoSpaceDN w:val="0"/>
        <w:ind w:left="709"/>
        <w:contextualSpacing/>
        <w:jc w:val="both"/>
        <w:rPr>
          <w:rFonts w:ascii="Arial Narrow" w:hAnsi="Arial Narrow" w:cs="Arial"/>
          <w:lang w:val="es-ES" w:eastAsia="es-ES"/>
        </w:rPr>
      </w:pPr>
    </w:p>
    <w:p w14:paraId="6474E27C" w14:textId="77777777" w:rsidR="007968EC" w:rsidRPr="002C0D19" w:rsidRDefault="007968EC" w:rsidP="00DA7472">
      <w:pPr>
        <w:numPr>
          <w:ilvl w:val="0"/>
          <w:numId w:val="150"/>
        </w:numPr>
        <w:autoSpaceDE w:val="0"/>
        <w:autoSpaceDN w:val="0"/>
        <w:jc w:val="both"/>
        <w:rPr>
          <w:rFonts w:ascii="Arial Narrow" w:hAnsi="Arial Narrow" w:cs="Arial"/>
          <w:lang w:val="es-ES" w:eastAsia="es-ES"/>
        </w:rPr>
      </w:pPr>
      <w:r w:rsidRPr="002C0D19">
        <w:rPr>
          <w:rFonts w:ascii="Arial Narrow" w:hAnsi="Arial Narrow" w:cs="Arial"/>
          <w:lang w:val="es-ES" w:eastAsia="es-ES"/>
        </w:rPr>
        <w:t>El Miembro no Liquidador podrá solicitar la creación de una o varias Cuentas de Registro de la Cuenta Propia, por cada Miembro Liquidador General con el cual haya celebrado un Convenio.</w:t>
      </w:r>
    </w:p>
    <w:p w14:paraId="73218F7A" w14:textId="77777777" w:rsidR="007968EC" w:rsidRPr="002C0D19" w:rsidRDefault="007968EC" w:rsidP="007968EC">
      <w:pPr>
        <w:autoSpaceDE w:val="0"/>
        <w:autoSpaceDN w:val="0"/>
        <w:jc w:val="both"/>
        <w:rPr>
          <w:rFonts w:ascii="Arial Narrow" w:hAnsi="Arial Narrow" w:cs="Arial"/>
          <w:lang w:val="es-ES" w:eastAsia="es-ES"/>
        </w:rPr>
      </w:pPr>
    </w:p>
    <w:p w14:paraId="698A32C1" w14:textId="77777777" w:rsidR="007968EC" w:rsidRDefault="007968EC" w:rsidP="007968EC">
      <w:pPr>
        <w:autoSpaceDE w:val="0"/>
        <w:autoSpaceDN w:val="0"/>
        <w:jc w:val="both"/>
        <w:rPr>
          <w:rFonts w:ascii="Arial Narrow" w:hAnsi="Arial Narrow" w:cs="Arial"/>
          <w:lang w:eastAsia="es-ES"/>
        </w:rPr>
      </w:pPr>
      <w:r w:rsidRPr="002C0D19">
        <w:rPr>
          <w:rFonts w:ascii="Arial Narrow" w:hAnsi="Arial Narrow" w:cs="Arial"/>
          <w:b/>
          <w:lang w:eastAsia="es-ES"/>
        </w:rPr>
        <w:t>Parágrafo</w:t>
      </w:r>
      <w:r w:rsidRPr="002C0D19">
        <w:rPr>
          <w:rFonts w:ascii="Arial Narrow" w:hAnsi="Arial Narrow" w:cs="Arial"/>
          <w:b/>
          <w:bCs/>
          <w:lang w:eastAsia="es-CO"/>
        </w:rPr>
        <w:t xml:space="preserve"> Primero</w:t>
      </w:r>
      <w:r w:rsidRPr="002C0D19">
        <w:rPr>
          <w:rFonts w:ascii="Arial Narrow" w:hAnsi="Arial Narrow" w:cs="Arial"/>
          <w:b/>
          <w:lang w:eastAsia="es-ES"/>
        </w:rPr>
        <w:t>.</w:t>
      </w:r>
      <w:r>
        <w:rPr>
          <w:rFonts w:ascii="Arial Narrow" w:hAnsi="Arial Narrow" w:cs="Arial"/>
          <w:b/>
          <w:lang w:eastAsia="es-ES"/>
        </w:rPr>
        <w:t xml:space="preserve"> </w:t>
      </w:r>
      <w:r w:rsidRPr="00E1631B">
        <w:rPr>
          <w:rFonts w:ascii="Arial Narrow" w:hAnsi="Arial Narrow" w:cs="Arial"/>
          <w:lang w:eastAsia="es-ES"/>
        </w:rPr>
        <w:t>Los M</w:t>
      </w:r>
      <w:r w:rsidRPr="00A86314">
        <w:rPr>
          <w:rFonts w:ascii="Arial Narrow" w:hAnsi="Arial Narrow" w:cs="Arial"/>
          <w:lang w:eastAsia="es-ES"/>
        </w:rPr>
        <w:t xml:space="preserve">iembros </w:t>
      </w:r>
      <w:r>
        <w:rPr>
          <w:rFonts w:ascii="Arial Narrow" w:hAnsi="Arial Narrow" w:cs="Arial"/>
          <w:lang w:eastAsia="es-ES"/>
        </w:rPr>
        <w:t>deberán</w:t>
      </w:r>
      <w:r w:rsidRPr="00A86314">
        <w:rPr>
          <w:rFonts w:ascii="Arial Narrow" w:hAnsi="Arial Narrow" w:cs="Arial"/>
          <w:lang w:eastAsia="es-ES"/>
        </w:rPr>
        <w:t xml:space="preserve"> crear</w:t>
      </w:r>
      <w:r>
        <w:rPr>
          <w:rFonts w:ascii="Arial Narrow" w:hAnsi="Arial Narrow" w:cs="Arial"/>
          <w:lang w:eastAsia="es-ES"/>
        </w:rPr>
        <w:t xml:space="preserve"> </w:t>
      </w:r>
      <w:r>
        <w:rPr>
          <w:rFonts w:ascii="Arial Narrow" w:hAnsi="Arial Narrow" w:cs="Arial"/>
          <w:lang w:val="es-ES" w:eastAsia="es-ES"/>
        </w:rPr>
        <w:t>las</w:t>
      </w:r>
      <w:r w:rsidRPr="002C0D19">
        <w:rPr>
          <w:rFonts w:ascii="Arial Narrow" w:hAnsi="Arial Narrow" w:cs="Arial"/>
          <w:lang w:val="es-ES" w:eastAsia="es-ES"/>
        </w:rPr>
        <w:t xml:space="preserve"> Cuentas de Terceros Identificados</w:t>
      </w:r>
      <w:r w:rsidRPr="00A86314">
        <w:rPr>
          <w:rFonts w:ascii="Arial Narrow" w:hAnsi="Arial Narrow" w:cs="Arial"/>
          <w:lang w:eastAsia="es-ES"/>
        </w:rPr>
        <w:t xml:space="preserve"> </w:t>
      </w:r>
      <w:r>
        <w:rPr>
          <w:rFonts w:ascii="Arial Narrow" w:hAnsi="Arial Narrow" w:cs="Arial"/>
          <w:lang w:eastAsia="es-ES"/>
        </w:rPr>
        <w:t>independientes para un mismo titular</w:t>
      </w:r>
      <w:r w:rsidRPr="00A86314">
        <w:rPr>
          <w:rFonts w:ascii="Arial Narrow" w:hAnsi="Arial Narrow" w:cs="Arial"/>
          <w:lang w:eastAsia="es-ES"/>
        </w:rPr>
        <w:t xml:space="preserve"> </w:t>
      </w:r>
      <w:r>
        <w:rPr>
          <w:rFonts w:ascii="Arial Narrow" w:hAnsi="Arial Narrow" w:cs="Arial"/>
          <w:lang w:eastAsia="es-ES"/>
        </w:rPr>
        <w:t>para cada</w:t>
      </w:r>
      <w:r w:rsidRPr="00A86314">
        <w:rPr>
          <w:rFonts w:ascii="Arial Narrow" w:hAnsi="Arial Narrow" w:cs="Arial"/>
          <w:lang w:eastAsia="es-ES"/>
        </w:rPr>
        <w:t xml:space="preserve"> </w:t>
      </w:r>
      <w:r>
        <w:rPr>
          <w:rFonts w:ascii="Arial Narrow" w:hAnsi="Arial Narrow" w:cs="Arial"/>
          <w:lang w:eastAsia="es-ES"/>
        </w:rPr>
        <w:t>S</w:t>
      </w:r>
      <w:r w:rsidRPr="00A86314">
        <w:rPr>
          <w:rFonts w:ascii="Arial Narrow" w:hAnsi="Arial Narrow" w:cs="Arial"/>
          <w:lang w:eastAsia="es-ES"/>
        </w:rPr>
        <w:t>egmento</w:t>
      </w:r>
      <w:r>
        <w:rPr>
          <w:rFonts w:ascii="Arial Narrow" w:hAnsi="Arial Narrow" w:cs="Arial"/>
          <w:lang w:eastAsia="es-ES"/>
        </w:rPr>
        <w:t xml:space="preserve"> en que participen,</w:t>
      </w:r>
      <w:r w:rsidRPr="00A86314">
        <w:rPr>
          <w:rFonts w:ascii="Arial Narrow" w:hAnsi="Arial Narrow" w:cs="Arial"/>
          <w:lang w:eastAsia="es-ES"/>
        </w:rPr>
        <w:t xml:space="preserve"> y estas </w:t>
      </w:r>
      <w:r>
        <w:rPr>
          <w:rFonts w:ascii="Arial Narrow" w:hAnsi="Arial Narrow" w:cs="Arial"/>
          <w:lang w:eastAsia="es-ES"/>
        </w:rPr>
        <w:t xml:space="preserve">Cuentas </w:t>
      </w:r>
      <w:r w:rsidRPr="00A86314">
        <w:rPr>
          <w:rFonts w:ascii="Arial Narrow" w:hAnsi="Arial Narrow" w:cs="Arial"/>
          <w:lang w:eastAsia="es-ES"/>
        </w:rPr>
        <w:t xml:space="preserve">serán </w:t>
      </w:r>
      <w:r>
        <w:rPr>
          <w:rFonts w:ascii="Arial Narrow" w:hAnsi="Arial Narrow" w:cs="Arial"/>
          <w:lang w:eastAsia="es-ES"/>
        </w:rPr>
        <w:t>exclusivas del Segmento para el cual se solicita su creación</w:t>
      </w:r>
      <w:r w:rsidRPr="00A86314">
        <w:rPr>
          <w:rFonts w:ascii="Arial Narrow" w:hAnsi="Arial Narrow" w:cs="Arial"/>
          <w:lang w:eastAsia="es-ES"/>
        </w:rPr>
        <w:t>.</w:t>
      </w:r>
    </w:p>
    <w:p w14:paraId="75CA04A1" w14:textId="77777777" w:rsidR="007968EC" w:rsidRPr="002C0D19" w:rsidRDefault="007968EC" w:rsidP="007968EC">
      <w:pPr>
        <w:autoSpaceDE w:val="0"/>
        <w:autoSpaceDN w:val="0"/>
        <w:jc w:val="both"/>
        <w:rPr>
          <w:rFonts w:ascii="Arial Narrow" w:hAnsi="Arial Narrow" w:cs="Arial"/>
          <w:lang w:eastAsia="es-ES"/>
        </w:rPr>
      </w:pPr>
    </w:p>
    <w:p w14:paraId="6220919E" w14:textId="77777777" w:rsidR="007968EC" w:rsidRPr="002C0D19" w:rsidRDefault="007968EC" w:rsidP="007968EC">
      <w:pPr>
        <w:autoSpaceDE w:val="0"/>
        <w:autoSpaceDN w:val="0"/>
        <w:jc w:val="both"/>
        <w:rPr>
          <w:rFonts w:ascii="Arial Narrow" w:hAnsi="Arial Narrow" w:cs="Arial"/>
          <w:bCs/>
          <w:lang w:eastAsia="es-CO"/>
        </w:rPr>
      </w:pPr>
      <w:r w:rsidRPr="002C0D19">
        <w:rPr>
          <w:rFonts w:ascii="Arial Narrow" w:hAnsi="Arial Narrow" w:cs="Arial"/>
          <w:b/>
          <w:bCs/>
          <w:lang w:eastAsia="es-CO"/>
        </w:rPr>
        <w:t>Parágrafo Segundo</w:t>
      </w:r>
      <w:r w:rsidRPr="002C0D19">
        <w:rPr>
          <w:rFonts w:ascii="Arial Narrow" w:hAnsi="Arial Narrow" w:cs="Arial"/>
          <w:bCs/>
          <w:lang w:eastAsia="es-CO"/>
        </w:rPr>
        <w:t>. No obstante, lo anterior, la Cámara podrá señalar un procedimiento especial para la creación de Cuentas para un Segmento.</w:t>
      </w:r>
    </w:p>
    <w:p w14:paraId="167F416D"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2AFDC312" w14:textId="77777777" w:rsidR="007968EC" w:rsidRDefault="007968EC" w:rsidP="007968EC">
      <w:pPr>
        <w:keepNext/>
        <w:tabs>
          <w:tab w:val="left" w:pos="1701"/>
        </w:tabs>
        <w:jc w:val="both"/>
        <w:outlineLvl w:val="2"/>
        <w:rPr>
          <w:rFonts w:ascii="Arial Narrow" w:hAnsi="Arial Narrow" w:cs="Arial"/>
          <w:b/>
          <w:color w:val="000000" w:themeColor="text1"/>
          <w:lang w:eastAsia="es-ES"/>
        </w:rPr>
      </w:pPr>
      <w:bookmarkStart w:id="1351" w:name="_Toc31715911"/>
      <w:bookmarkStart w:id="1352" w:name="_Toc472592097"/>
      <w:bookmarkStart w:id="1353" w:name="_Toc472593116"/>
      <w:bookmarkStart w:id="1354" w:name="_Toc479056902"/>
      <w:bookmarkStart w:id="1355" w:name="_Toc356299015"/>
      <w:bookmarkStart w:id="1356" w:name="_Toc470775418"/>
      <w:bookmarkStart w:id="1357" w:name="_Toc470779703"/>
      <w:bookmarkStart w:id="1358" w:name="_Toc470780320"/>
      <w:bookmarkStart w:id="1359" w:name="_Toc470780833"/>
      <w:bookmarkStart w:id="1360" w:name="_Toc470784394"/>
      <w:bookmarkStart w:id="1361" w:name="_Toc470784931"/>
      <w:bookmarkStart w:id="1362" w:name="_Toc470786954"/>
      <w:bookmarkStart w:id="1363" w:name="_Toc470791307"/>
      <w:bookmarkStart w:id="1364" w:name="_Toc490066212"/>
      <w:r w:rsidRPr="007E757A">
        <w:rPr>
          <w:rStyle w:val="ARTICULOCar"/>
          <w:rFonts w:eastAsiaTheme="minorHAnsi"/>
        </w:rPr>
        <w:t>Artículo 1.4.1.2. Requisitos de Información para la creación de Cuentas</w:t>
      </w:r>
      <w:bookmarkEnd w:id="1351"/>
      <w:r w:rsidRPr="002C0D19">
        <w:rPr>
          <w:rFonts w:ascii="Arial Narrow" w:hAnsi="Arial Narrow" w:cs="Arial"/>
          <w:b/>
          <w:color w:val="000000" w:themeColor="text1"/>
          <w:u w:val="single"/>
          <w:lang w:eastAsia="es-ES"/>
        </w:rPr>
        <w:t>.</w:t>
      </w:r>
      <w:bookmarkEnd w:id="1350"/>
      <w:bookmarkEnd w:id="1352"/>
      <w:bookmarkEnd w:id="1353"/>
      <w:bookmarkEnd w:id="1354"/>
      <w:r w:rsidRPr="002C0D19">
        <w:rPr>
          <w:rFonts w:ascii="Arial Narrow" w:hAnsi="Arial Narrow" w:cs="Arial"/>
          <w:b/>
          <w:color w:val="000000" w:themeColor="text1"/>
          <w:lang w:eastAsia="es-ES"/>
        </w:rPr>
        <w:t xml:space="preserve"> </w:t>
      </w:r>
    </w:p>
    <w:p w14:paraId="64316686" w14:textId="77777777" w:rsidR="007968EC" w:rsidRPr="007E757A" w:rsidRDefault="007968EC" w:rsidP="007968EC">
      <w:pPr>
        <w:jc w:val="both"/>
        <w:rPr>
          <w:rFonts w:ascii="Arial Narrow" w:hAnsi="Arial Narrow" w:cs="Arial"/>
          <w:color w:val="000000" w:themeColor="text1"/>
          <w:lang w:eastAsia="es-ES"/>
        </w:rPr>
      </w:pPr>
    </w:p>
    <w:p w14:paraId="56370C7A" w14:textId="77777777" w:rsidR="007968EC" w:rsidRPr="002C0D19" w:rsidRDefault="007968EC" w:rsidP="007968EC">
      <w:pPr>
        <w:pStyle w:val="ANTECEDENTES"/>
      </w:pPr>
      <w:r w:rsidRPr="002C0D19">
        <w:t>(Este artículo fue modificado mediante Circular 7 del 28 de abril de 2011, publicada en el Boletín Normativo No. 007 del 28 de abril de 2011, mediante Circular 15 del 3 de agosto de 2011, publicada en el Boletín Normativo No. 018 del 3 de agosto de 2011, mediante Circular 20 del 4 de noviembre de 2011, publicada en el Boletín Normativo No. 023 del 4 de noviembre de 2011</w:t>
      </w:r>
      <w:bookmarkEnd w:id="1355"/>
      <w:r w:rsidRPr="002C0D19">
        <w:t xml:space="preserve">, </w:t>
      </w:r>
      <w:r w:rsidRPr="002C0D19">
        <w:rPr>
          <w:lang w:val="es-ES"/>
        </w:rPr>
        <w:t xml:space="preserve">mediante Circular 31 del 7 de noviembre de 2013, publicada en el Boletín Normativo No. 035 del 7 de noviembre de 2013, </w:t>
      </w:r>
      <w:r w:rsidRPr="002C0D19">
        <w:t>mediante Circular 17 del 5 de septiembre de 2014, publicada en el Boletín Normativo No. 019 del 5 de septiembre de 2014, mediante Circular 10 del 18 de marzo de 2015, publicada en el Boletín Normativo No. 010 del 18 de marzo de 2015, mediante Circular 19 del 28 de diciembre de 2016, publicada en el Boletín Normativo No. 024 del 28 de diciembre de 2016 y mediante Circular 14 del 8 de agosto de 2017, publicada en el Boletín Normativo No. 015 del 8 de agosto de 2017. Rige a partir del 9 de agosto de 2017.)</w:t>
      </w:r>
      <w:bookmarkEnd w:id="1356"/>
      <w:bookmarkEnd w:id="1357"/>
      <w:bookmarkEnd w:id="1358"/>
      <w:bookmarkEnd w:id="1359"/>
      <w:bookmarkEnd w:id="1360"/>
      <w:bookmarkEnd w:id="1361"/>
      <w:bookmarkEnd w:id="1362"/>
      <w:bookmarkEnd w:id="1363"/>
      <w:bookmarkEnd w:id="1364"/>
    </w:p>
    <w:p w14:paraId="18E69072" w14:textId="77777777" w:rsidR="007968EC" w:rsidRPr="002C0D19" w:rsidRDefault="007968EC" w:rsidP="007968EC">
      <w:pPr>
        <w:autoSpaceDE w:val="0"/>
        <w:autoSpaceDN w:val="0"/>
        <w:jc w:val="both"/>
        <w:rPr>
          <w:rFonts w:ascii="Arial Narrow" w:hAnsi="Arial Narrow" w:cs="Arial"/>
          <w:lang w:val="es-ES" w:eastAsia="es-ES"/>
        </w:rPr>
      </w:pPr>
    </w:p>
    <w:p w14:paraId="60401D02" w14:textId="77777777" w:rsidR="007968EC" w:rsidRPr="002C0D19" w:rsidRDefault="007968EC" w:rsidP="007968EC">
      <w:pPr>
        <w:autoSpaceDE w:val="0"/>
        <w:autoSpaceDN w:val="0"/>
        <w:jc w:val="both"/>
        <w:rPr>
          <w:rFonts w:ascii="Arial Narrow" w:hAnsi="Arial Narrow" w:cs="Arial"/>
          <w:lang w:val="es-ES" w:eastAsia="es-ES"/>
        </w:rPr>
      </w:pPr>
      <w:r w:rsidRPr="002C0D19">
        <w:rPr>
          <w:rFonts w:ascii="Arial Narrow" w:hAnsi="Arial Narrow" w:cs="Arial"/>
          <w:lang w:val="es-ES" w:eastAsia="es-ES"/>
        </w:rPr>
        <w:t>Para solicitar la creación de una Cuenta en el Sistema de la Cámara, es necesario crear inicialmente el titular de la Cuenta en SAS con la siguiente información:</w:t>
      </w:r>
    </w:p>
    <w:p w14:paraId="16A5CD64" w14:textId="77777777" w:rsidR="007968EC" w:rsidRPr="002C0D19" w:rsidRDefault="007968EC" w:rsidP="007968EC">
      <w:pPr>
        <w:autoSpaceDE w:val="0"/>
        <w:autoSpaceDN w:val="0"/>
        <w:jc w:val="both"/>
        <w:rPr>
          <w:rFonts w:ascii="Arial Narrow" w:hAnsi="Arial Narrow" w:cs="Arial"/>
          <w:lang w:val="es-ES" w:eastAsia="es-ES"/>
        </w:rPr>
      </w:pPr>
    </w:p>
    <w:p w14:paraId="71C52BE0" w14:textId="77777777" w:rsidR="007968EC" w:rsidRPr="002C0D19" w:rsidRDefault="007968EC" w:rsidP="00DA7472">
      <w:pPr>
        <w:numPr>
          <w:ilvl w:val="0"/>
          <w:numId w:val="99"/>
        </w:numPr>
        <w:autoSpaceDE w:val="0"/>
        <w:autoSpaceDN w:val="0"/>
        <w:ind w:left="284" w:hanging="284"/>
        <w:jc w:val="both"/>
        <w:rPr>
          <w:rFonts w:ascii="Arial Narrow" w:hAnsi="Arial Narrow" w:cs="Arial"/>
          <w:lang w:val="es-ES" w:eastAsia="es-ES"/>
        </w:rPr>
      </w:pPr>
      <w:r w:rsidRPr="002C0D19">
        <w:rPr>
          <w:rFonts w:ascii="Arial Narrow" w:hAnsi="Arial Narrow" w:cs="Arial"/>
          <w:lang w:val="es-ES" w:eastAsia="es-ES"/>
        </w:rPr>
        <w:t>Información del titular:</w:t>
      </w:r>
    </w:p>
    <w:p w14:paraId="34311335" w14:textId="77777777" w:rsidR="007968EC" w:rsidRPr="002C0D19" w:rsidRDefault="007968EC" w:rsidP="007968EC">
      <w:pPr>
        <w:autoSpaceDE w:val="0"/>
        <w:autoSpaceDN w:val="0"/>
        <w:ind w:left="284"/>
        <w:contextualSpacing/>
        <w:jc w:val="both"/>
        <w:rPr>
          <w:rFonts w:ascii="Arial Narrow" w:hAnsi="Arial Narrow" w:cs="Arial"/>
          <w:lang w:val="es-ES" w:eastAsia="es-ES"/>
        </w:rPr>
      </w:pPr>
    </w:p>
    <w:p w14:paraId="59BAA235" w14:textId="77777777" w:rsidR="007968EC" w:rsidRPr="002C0D19" w:rsidRDefault="007968EC" w:rsidP="00DA7472">
      <w:pPr>
        <w:numPr>
          <w:ilvl w:val="0"/>
          <w:numId w:val="100"/>
        </w:numPr>
        <w:autoSpaceDE w:val="0"/>
        <w:autoSpaceDN w:val="0"/>
        <w:ind w:left="709"/>
        <w:jc w:val="both"/>
        <w:rPr>
          <w:rFonts w:ascii="Arial Narrow" w:hAnsi="Arial Narrow" w:cs="Arial"/>
          <w:lang w:val="es-ES" w:eastAsia="es-ES"/>
        </w:rPr>
      </w:pPr>
      <w:r w:rsidRPr="002C0D19">
        <w:rPr>
          <w:rFonts w:ascii="Arial Narrow" w:hAnsi="Arial Narrow" w:cs="Arial"/>
          <w:lang w:val="es-ES" w:eastAsia="es-ES"/>
        </w:rPr>
        <w:t>Número de identificación.</w:t>
      </w:r>
    </w:p>
    <w:p w14:paraId="67EDAFCE" w14:textId="77777777" w:rsidR="007968EC" w:rsidRPr="002C0D19" w:rsidRDefault="007968EC" w:rsidP="00DA7472">
      <w:pPr>
        <w:numPr>
          <w:ilvl w:val="0"/>
          <w:numId w:val="100"/>
        </w:numPr>
        <w:autoSpaceDE w:val="0"/>
        <w:autoSpaceDN w:val="0"/>
        <w:ind w:left="709"/>
        <w:jc w:val="both"/>
        <w:rPr>
          <w:rFonts w:ascii="Arial Narrow" w:hAnsi="Arial Narrow" w:cs="Arial"/>
          <w:lang w:val="es-ES" w:eastAsia="es-ES"/>
        </w:rPr>
      </w:pPr>
      <w:r w:rsidRPr="002C0D19">
        <w:rPr>
          <w:rFonts w:ascii="Arial Narrow" w:hAnsi="Arial Narrow" w:cs="Arial"/>
          <w:lang w:val="es-ES" w:eastAsia="es-ES"/>
        </w:rPr>
        <w:t>Tipo de documento de identificación.</w:t>
      </w:r>
    </w:p>
    <w:p w14:paraId="247E68E6" w14:textId="77777777" w:rsidR="007968EC" w:rsidRPr="002C0D19" w:rsidRDefault="007968EC" w:rsidP="00DA7472">
      <w:pPr>
        <w:numPr>
          <w:ilvl w:val="0"/>
          <w:numId w:val="100"/>
        </w:numPr>
        <w:autoSpaceDE w:val="0"/>
        <w:autoSpaceDN w:val="0"/>
        <w:ind w:left="709"/>
        <w:jc w:val="both"/>
        <w:rPr>
          <w:rFonts w:ascii="Arial Narrow" w:hAnsi="Arial Narrow" w:cs="Arial"/>
          <w:lang w:val="es-ES" w:eastAsia="es-ES"/>
        </w:rPr>
      </w:pPr>
      <w:r w:rsidRPr="002C0D19">
        <w:rPr>
          <w:rFonts w:ascii="Arial Narrow" w:hAnsi="Arial Narrow" w:cs="Arial"/>
          <w:lang w:val="es-ES" w:eastAsia="es-ES"/>
        </w:rPr>
        <w:t>Nombre o Razón Social.</w:t>
      </w:r>
    </w:p>
    <w:p w14:paraId="208B0B16" w14:textId="77777777" w:rsidR="007968EC" w:rsidRPr="002C0D19" w:rsidRDefault="007968EC" w:rsidP="00DA7472">
      <w:pPr>
        <w:numPr>
          <w:ilvl w:val="0"/>
          <w:numId w:val="100"/>
        </w:numPr>
        <w:autoSpaceDE w:val="0"/>
        <w:autoSpaceDN w:val="0"/>
        <w:ind w:left="709"/>
        <w:jc w:val="both"/>
        <w:rPr>
          <w:rFonts w:ascii="Arial Narrow" w:hAnsi="Arial Narrow" w:cs="Arial"/>
          <w:lang w:val="es-ES" w:eastAsia="es-ES"/>
        </w:rPr>
      </w:pPr>
      <w:r w:rsidRPr="002C0D19">
        <w:rPr>
          <w:rFonts w:ascii="Arial Narrow" w:hAnsi="Arial Narrow" w:cs="Arial"/>
          <w:lang w:val="es-ES" w:eastAsia="es-ES"/>
        </w:rPr>
        <w:t>País.</w:t>
      </w:r>
    </w:p>
    <w:p w14:paraId="11350211" w14:textId="77777777" w:rsidR="007968EC" w:rsidRPr="002C0D19" w:rsidRDefault="007968EC" w:rsidP="00DA7472">
      <w:pPr>
        <w:numPr>
          <w:ilvl w:val="0"/>
          <w:numId w:val="100"/>
        </w:numPr>
        <w:autoSpaceDE w:val="0"/>
        <w:autoSpaceDN w:val="0"/>
        <w:ind w:left="709"/>
        <w:jc w:val="both"/>
        <w:rPr>
          <w:rFonts w:ascii="Arial Narrow" w:hAnsi="Arial Narrow" w:cs="Arial"/>
          <w:lang w:val="es-ES" w:eastAsia="es-ES"/>
        </w:rPr>
      </w:pPr>
      <w:r w:rsidRPr="002C0D19">
        <w:rPr>
          <w:rFonts w:ascii="Arial Narrow" w:hAnsi="Arial Narrow" w:cs="Arial"/>
          <w:lang w:val="es-ES" w:eastAsia="es-ES"/>
        </w:rPr>
        <w:t>Código CIIU.</w:t>
      </w:r>
    </w:p>
    <w:p w14:paraId="399D0D0F" w14:textId="77777777" w:rsidR="007968EC" w:rsidRPr="002C0D19" w:rsidRDefault="007968EC" w:rsidP="00DA7472">
      <w:pPr>
        <w:numPr>
          <w:ilvl w:val="0"/>
          <w:numId w:val="100"/>
        </w:numPr>
        <w:autoSpaceDE w:val="0"/>
        <w:autoSpaceDN w:val="0"/>
        <w:ind w:left="709"/>
        <w:jc w:val="both"/>
        <w:rPr>
          <w:rFonts w:ascii="Arial Narrow" w:hAnsi="Arial Narrow" w:cs="Arial"/>
          <w:lang w:val="es-ES" w:eastAsia="es-ES"/>
        </w:rPr>
      </w:pPr>
      <w:r w:rsidRPr="002C0D19">
        <w:rPr>
          <w:rFonts w:ascii="Arial Narrow" w:hAnsi="Arial Narrow" w:cs="Arial"/>
          <w:lang w:val="es-ES" w:eastAsia="es-ES"/>
        </w:rPr>
        <w:t>Calidad Tributaria.</w:t>
      </w:r>
    </w:p>
    <w:p w14:paraId="590ACBD8" w14:textId="77777777" w:rsidR="007968EC" w:rsidRPr="002C0D19" w:rsidRDefault="007968EC" w:rsidP="007968EC">
      <w:pPr>
        <w:autoSpaceDE w:val="0"/>
        <w:autoSpaceDN w:val="0"/>
        <w:jc w:val="both"/>
        <w:rPr>
          <w:rFonts w:ascii="Arial Narrow" w:hAnsi="Arial Narrow" w:cs="Arial"/>
          <w:lang w:val="es-ES" w:eastAsia="es-ES"/>
        </w:rPr>
      </w:pPr>
    </w:p>
    <w:p w14:paraId="0E3AFDAE" w14:textId="77777777" w:rsidR="007968EC" w:rsidRPr="002C0D19" w:rsidRDefault="007968EC" w:rsidP="007968EC">
      <w:pPr>
        <w:autoSpaceDE w:val="0"/>
        <w:autoSpaceDN w:val="0"/>
        <w:jc w:val="both"/>
        <w:rPr>
          <w:rFonts w:ascii="Arial Narrow" w:hAnsi="Arial Narrow" w:cs="Arial"/>
          <w:lang w:val="es-ES" w:eastAsia="es-ES"/>
        </w:rPr>
      </w:pPr>
      <w:r w:rsidRPr="002C0D19">
        <w:rPr>
          <w:rFonts w:ascii="Arial Narrow" w:hAnsi="Arial Narrow" w:cs="Arial"/>
          <w:lang w:val="es-ES" w:eastAsia="es-ES"/>
        </w:rPr>
        <w:t>Una vez creado el titular, el Administrador del Miembro solicita la creación de Cuentas en el Sistema de Administración de Suscriptores SAS con la siguiente información:</w:t>
      </w:r>
    </w:p>
    <w:p w14:paraId="0822B862" w14:textId="77777777" w:rsidR="007968EC" w:rsidRPr="002C0D19" w:rsidRDefault="007968EC" w:rsidP="007968EC">
      <w:pPr>
        <w:autoSpaceDE w:val="0"/>
        <w:autoSpaceDN w:val="0"/>
        <w:jc w:val="both"/>
        <w:rPr>
          <w:rFonts w:ascii="Arial Narrow" w:hAnsi="Arial Narrow" w:cs="Arial"/>
          <w:lang w:val="es-ES" w:eastAsia="es-ES"/>
        </w:rPr>
      </w:pPr>
    </w:p>
    <w:p w14:paraId="3708359C" w14:textId="77777777" w:rsidR="007968EC" w:rsidRPr="002C0D19" w:rsidRDefault="007968EC" w:rsidP="00DA7472">
      <w:pPr>
        <w:numPr>
          <w:ilvl w:val="0"/>
          <w:numId w:val="102"/>
        </w:numPr>
        <w:autoSpaceDE w:val="0"/>
        <w:autoSpaceDN w:val="0"/>
        <w:ind w:left="284" w:hanging="284"/>
        <w:jc w:val="both"/>
        <w:rPr>
          <w:rFonts w:ascii="Arial Narrow" w:hAnsi="Arial Narrow" w:cs="Arial"/>
          <w:lang w:val="es-ES" w:eastAsia="es-ES"/>
        </w:rPr>
      </w:pPr>
      <w:r w:rsidRPr="002C0D19">
        <w:rPr>
          <w:rFonts w:ascii="Arial Narrow" w:hAnsi="Arial Narrow" w:cs="Arial"/>
          <w:lang w:val="es-ES" w:eastAsia="es-ES"/>
        </w:rPr>
        <w:t>Información sobre el Tipo de Cuenta:</w:t>
      </w:r>
    </w:p>
    <w:p w14:paraId="50FD6961" w14:textId="77777777" w:rsidR="007968EC" w:rsidRPr="002C0D19" w:rsidRDefault="007968EC" w:rsidP="007968EC">
      <w:pPr>
        <w:autoSpaceDE w:val="0"/>
        <w:autoSpaceDN w:val="0"/>
        <w:jc w:val="both"/>
        <w:rPr>
          <w:rFonts w:ascii="Arial Narrow" w:hAnsi="Arial Narrow" w:cs="Arial"/>
          <w:lang w:val="es-ES" w:eastAsia="es-ES"/>
        </w:rPr>
      </w:pPr>
    </w:p>
    <w:p w14:paraId="24C0818F" w14:textId="77777777" w:rsidR="007968EC" w:rsidRPr="002C0D19" w:rsidRDefault="007968EC" w:rsidP="00DA7472">
      <w:pPr>
        <w:numPr>
          <w:ilvl w:val="0"/>
          <w:numId w:val="101"/>
        </w:numPr>
        <w:autoSpaceDE w:val="0"/>
        <w:autoSpaceDN w:val="0"/>
        <w:ind w:left="709" w:hanging="283"/>
        <w:jc w:val="both"/>
        <w:rPr>
          <w:rFonts w:ascii="Arial Narrow" w:hAnsi="Arial Narrow" w:cs="Arial"/>
          <w:lang w:val="es-ES" w:eastAsia="es-ES"/>
        </w:rPr>
      </w:pPr>
      <w:r w:rsidRPr="002C0D19">
        <w:rPr>
          <w:rFonts w:ascii="Arial Narrow" w:hAnsi="Arial Narrow" w:cs="Arial"/>
          <w:lang w:val="es-ES" w:eastAsia="es-ES"/>
        </w:rPr>
        <w:t xml:space="preserve">Tipo de Titular de Cuenta: Nacional/Extranjero Residente, Extranjero no Residente u Otros. </w:t>
      </w:r>
    </w:p>
    <w:p w14:paraId="08372431" w14:textId="77777777" w:rsidR="007968EC" w:rsidRPr="002C0D19" w:rsidRDefault="007968EC" w:rsidP="00DA7472">
      <w:pPr>
        <w:numPr>
          <w:ilvl w:val="0"/>
          <w:numId w:val="101"/>
        </w:numPr>
        <w:autoSpaceDE w:val="0"/>
        <w:autoSpaceDN w:val="0"/>
        <w:ind w:left="709" w:hanging="283"/>
        <w:jc w:val="both"/>
        <w:rPr>
          <w:rFonts w:ascii="Arial Narrow" w:hAnsi="Arial Narrow" w:cs="Arial"/>
          <w:lang w:val="es-ES" w:eastAsia="es-ES"/>
        </w:rPr>
      </w:pPr>
      <w:r w:rsidRPr="002C0D19">
        <w:rPr>
          <w:rFonts w:ascii="Arial Narrow" w:hAnsi="Arial Narrow" w:cs="Arial"/>
          <w:lang w:val="es-ES" w:eastAsia="es-ES"/>
        </w:rPr>
        <w:t>Tipo de Persona: Establece si la cuenta es para Posición Propia, Tercero Identificado, o un Fondo de Inversión Colectiva - Cartera Colectiva.</w:t>
      </w:r>
    </w:p>
    <w:p w14:paraId="46742C17" w14:textId="77777777" w:rsidR="007968EC" w:rsidRPr="002C0D19" w:rsidRDefault="007968EC" w:rsidP="00DA7472">
      <w:pPr>
        <w:numPr>
          <w:ilvl w:val="0"/>
          <w:numId w:val="101"/>
        </w:numPr>
        <w:autoSpaceDE w:val="0"/>
        <w:autoSpaceDN w:val="0"/>
        <w:ind w:left="709" w:hanging="283"/>
        <w:jc w:val="both"/>
        <w:rPr>
          <w:rFonts w:ascii="Arial Narrow" w:hAnsi="Arial Narrow" w:cs="Arial"/>
          <w:lang w:val="es-ES" w:eastAsia="es-ES"/>
        </w:rPr>
      </w:pPr>
      <w:r w:rsidRPr="002C0D19">
        <w:rPr>
          <w:rFonts w:ascii="Arial Narrow" w:hAnsi="Arial Narrow" w:cs="Arial"/>
          <w:lang w:val="es-ES" w:eastAsia="es-ES"/>
        </w:rPr>
        <w:t>Tipo de Tercero: Establece si la cuenta corresponde a una Persona Natural o Persona jurídica.</w:t>
      </w:r>
    </w:p>
    <w:p w14:paraId="71CC4259" w14:textId="77777777" w:rsidR="007968EC" w:rsidRPr="002C0D19" w:rsidRDefault="007968EC" w:rsidP="00DA7472">
      <w:pPr>
        <w:numPr>
          <w:ilvl w:val="0"/>
          <w:numId w:val="101"/>
        </w:numPr>
        <w:autoSpaceDE w:val="0"/>
        <w:autoSpaceDN w:val="0"/>
        <w:ind w:left="709" w:hanging="283"/>
        <w:jc w:val="both"/>
        <w:rPr>
          <w:rFonts w:ascii="Arial Narrow" w:hAnsi="Arial Narrow" w:cs="Arial"/>
          <w:lang w:val="es-ES" w:eastAsia="es-ES"/>
        </w:rPr>
      </w:pPr>
      <w:r w:rsidRPr="002C0D19">
        <w:rPr>
          <w:rFonts w:ascii="Arial Narrow" w:hAnsi="Arial Narrow" w:cs="Arial"/>
          <w:lang w:val="es-ES" w:eastAsia="es-ES"/>
        </w:rPr>
        <w:t>Clase: Definir si se trata de Posición Propia, Persona Natural, Empresas o Administración de Recursos de Terceros.</w:t>
      </w:r>
    </w:p>
    <w:p w14:paraId="441A41EC" w14:textId="77777777" w:rsidR="007968EC" w:rsidRPr="002C0D19" w:rsidRDefault="007968EC" w:rsidP="00DA7472">
      <w:pPr>
        <w:numPr>
          <w:ilvl w:val="0"/>
          <w:numId w:val="101"/>
        </w:numPr>
        <w:autoSpaceDE w:val="0"/>
        <w:autoSpaceDN w:val="0"/>
        <w:ind w:left="709" w:hanging="283"/>
        <w:jc w:val="both"/>
        <w:rPr>
          <w:rFonts w:ascii="Arial Narrow" w:hAnsi="Arial Narrow" w:cs="Arial"/>
          <w:lang w:val="es-ES" w:eastAsia="es-ES"/>
        </w:rPr>
      </w:pPr>
      <w:r w:rsidRPr="002C0D19">
        <w:rPr>
          <w:rFonts w:ascii="Arial Narrow" w:hAnsi="Arial Narrow" w:cs="Arial"/>
          <w:lang w:val="es-ES" w:eastAsia="es-ES"/>
        </w:rPr>
        <w:t>Categoría: Establece el tipo de cliente.</w:t>
      </w:r>
    </w:p>
    <w:p w14:paraId="3E5FE2A9" w14:textId="77777777" w:rsidR="007968EC" w:rsidRPr="002C0D19" w:rsidRDefault="007968EC" w:rsidP="00DA7472">
      <w:pPr>
        <w:numPr>
          <w:ilvl w:val="0"/>
          <w:numId w:val="101"/>
        </w:numPr>
        <w:autoSpaceDE w:val="0"/>
        <w:autoSpaceDN w:val="0"/>
        <w:ind w:left="709" w:hanging="283"/>
        <w:jc w:val="both"/>
        <w:rPr>
          <w:rFonts w:ascii="Arial Narrow" w:hAnsi="Arial Narrow" w:cs="Arial"/>
          <w:lang w:val="es-ES" w:eastAsia="es-ES"/>
        </w:rPr>
      </w:pPr>
      <w:r w:rsidRPr="002C0D19">
        <w:rPr>
          <w:rFonts w:ascii="Arial Narrow" w:hAnsi="Arial Narrow" w:cs="Arial"/>
          <w:lang w:val="es-ES" w:eastAsia="es-ES"/>
        </w:rPr>
        <w:t>Tipo de Anotación: Saldo de Posición Abierta en Neto o en Bruto.</w:t>
      </w:r>
    </w:p>
    <w:p w14:paraId="7F8744C2" w14:textId="77777777" w:rsidR="007968EC" w:rsidRPr="002C0D19" w:rsidRDefault="007968EC" w:rsidP="00DA7472">
      <w:pPr>
        <w:numPr>
          <w:ilvl w:val="0"/>
          <w:numId w:val="101"/>
        </w:numPr>
        <w:autoSpaceDE w:val="0"/>
        <w:autoSpaceDN w:val="0"/>
        <w:ind w:left="709" w:hanging="283"/>
        <w:jc w:val="both"/>
        <w:rPr>
          <w:rFonts w:ascii="Arial Narrow" w:hAnsi="Arial Narrow" w:cs="Arial"/>
          <w:lang w:val="es-ES" w:eastAsia="es-ES"/>
        </w:rPr>
      </w:pPr>
      <w:r w:rsidRPr="002C0D19">
        <w:rPr>
          <w:rFonts w:ascii="Arial Narrow" w:hAnsi="Arial Narrow" w:cs="Arial"/>
          <w:lang w:val="es-ES" w:eastAsia="es-ES"/>
        </w:rPr>
        <w:t xml:space="preserve">Segmento(s) en que participará el Miembro. </w:t>
      </w:r>
    </w:p>
    <w:p w14:paraId="0365BEBE" w14:textId="77777777" w:rsidR="007968EC" w:rsidRPr="002C0D19" w:rsidRDefault="007968EC" w:rsidP="007968EC">
      <w:pPr>
        <w:autoSpaceDE w:val="0"/>
        <w:autoSpaceDN w:val="0"/>
        <w:jc w:val="both"/>
        <w:rPr>
          <w:rFonts w:ascii="Arial Narrow" w:hAnsi="Arial Narrow" w:cs="Arial"/>
          <w:lang w:val="es-ES" w:eastAsia="es-ES"/>
        </w:rPr>
      </w:pPr>
    </w:p>
    <w:p w14:paraId="715320AA" w14:textId="77777777" w:rsidR="007968EC" w:rsidRPr="002C0D19" w:rsidRDefault="007968EC" w:rsidP="00DA7472">
      <w:pPr>
        <w:numPr>
          <w:ilvl w:val="0"/>
          <w:numId w:val="102"/>
        </w:numPr>
        <w:autoSpaceDE w:val="0"/>
        <w:autoSpaceDN w:val="0"/>
        <w:ind w:left="284" w:hanging="284"/>
        <w:jc w:val="both"/>
        <w:rPr>
          <w:rFonts w:ascii="Arial Narrow" w:hAnsi="Arial Narrow" w:cs="Arial"/>
          <w:lang w:val="es-ES" w:eastAsia="es-ES"/>
        </w:rPr>
      </w:pPr>
      <w:r w:rsidRPr="002C0D19">
        <w:rPr>
          <w:rFonts w:ascii="Arial Narrow" w:hAnsi="Arial Narrow" w:cs="Arial"/>
          <w:lang w:val="es-ES" w:eastAsia="es-ES"/>
        </w:rPr>
        <w:t>Información para la Liquidación y gestión de Garantías:</w:t>
      </w:r>
    </w:p>
    <w:p w14:paraId="1D1908F4" w14:textId="77777777" w:rsidR="007968EC" w:rsidRPr="002C0D19" w:rsidRDefault="007968EC" w:rsidP="007968EC">
      <w:pPr>
        <w:autoSpaceDE w:val="0"/>
        <w:autoSpaceDN w:val="0"/>
        <w:jc w:val="both"/>
        <w:rPr>
          <w:rFonts w:ascii="Arial Narrow" w:hAnsi="Arial Narrow" w:cs="Arial"/>
          <w:lang w:val="es-ES" w:eastAsia="es-ES"/>
        </w:rPr>
      </w:pPr>
    </w:p>
    <w:p w14:paraId="64794165" w14:textId="77777777" w:rsidR="007968EC" w:rsidRPr="002C0D19" w:rsidRDefault="007968EC" w:rsidP="00DA7472">
      <w:pPr>
        <w:numPr>
          <w:ilvl w:val="0"/>
          <w:numId w:val="103"/>
        </w:numPr>
        <w:autoSpaceDE w:val="0"/>
        <w:autoSpaceDN w:val="0"/>
        <w:ind w:left="709" w:hanging="283"/>
        <w:jc w:val="both"/>
        <w:rPr>
          <w:rFonts w:ascii="Arial Narrow" w:hAnsi="Arial Narrow" w:cs="Arial"/>
          <w:lang w:val="es-ES" w:eastAsia="es-ES"/>
        </w:rPr>
      </w:pPr>
      <w:r w:rsidRPr="002C0D19">
        <w:rPr>
          <w:rFonts w:ascii="Arial Narrow" w:hAnsi="Arial Narrow" w:cs="Arial"/>
          <w:lang w:val="es-ES" w:eastAsia="es-ES"/>
        </w:rPr>
        <w:t>Número de Inversionista en Deceval.</w:t>
      </w:r>
    </w:p>
    <w:p w14:paraId="1ACEA7D8" w14:textId="77777777" w:rsidR="007968EC" w:rsidRPr="002C0D19" w:rsidRDefault="007968EC" w:rsidP="00DA7472">
      <w:pPr>
        <w:numPr>
          <w:ilvl w:val="0"/>
          <w:numId w:val="103"/>
        </w:numPr>
        <w:autoSpaceDE w:val="0"/>
        <w:autoSpaceDN w:val="0"/>
        <w:ind w:left="709" w:hanging="283"/>
        <w:jc w:val="both"/>
        <w:rPr>
          <w:rFonts w:ascii="Arial Narrow" w:hAnsi="Arial Narrow" w:cs="Arial"/>
          <w:lang w:val="es-ES" w:eastAsia="es-ES"/>
        </w:rPr>
      </w:pPr>
      <w:r w:rsidRPr="002C0D19">
        <w:rPr>
          <w:rFonts w:ascii="Arial Narrow" w:hAnsi="Arial Narrow" w:cs="Arial"/>
          <w:lang w:val="es-ES" w:eastAsia="es-ES"/>
        </w:rPr>
        <w:t>Número de Contrato DCV.</w:t>
      </w:r>
    </w:p>
    <w:p w14:paraId="0509CF61" w14:textId="77777777" w:rsidR="007968EC" w:rsidRPr="002C0D19" w:rsidRDefault="007968EC" w:rsidP="00DA7472">
      <w:pPr>
        <w:numPr>
          <w:ilvl w:val="0"/>
          <w:numId w:val="103"/>
        </w:numPr>
        <w:autoSpaceDE w:val="0"/>
        <w:autoSpaceDN w:val="0"/>
        <w:ind w:left="709" w:hanging="283"/>
        <w:jc w:val="both"/>
        <w:rPr>
          <w:rFonts w:ascii="Arial Narrow" w:hAnsi="Arial Narrow" w:cs="Arial"/>
          <w:lang w:val="es-ES" w:eastAsia="es-ES"/>
        </w:rPr>
      </w:pPr>
      <w:r w:rsidRPr="002C0D19">
        <w:rPr>
          <w:rFonts w:ascii="Arial Narrow" w:hAnsi="Arial Narrow" w:cs="Arial"/>
          <w:lang w:val="es-ES" w:eastAsia="es-ES"/>
        </w:rPr>
        <w:t>Dígito de verificación DCV.</w:t>
      </w:r>
    </w:p>
    <w:p w14:paraId="646581C5" w14:textId="77777777" w:rsidR="007968EC" w:rsidRPr="002C0D19" w:rsidRDefault="007968EC" w:rsidP="00DA7472">
      <w:pPr>
        <w:numPr>
          <w:ilvl w:val="0"/>
          <w:numId w:val="103"/>
        </w:numPr>
        <w:autoSpaceDE w:val="0"/>
        <w:autoSpaceDN w:val="0"/>
        <w:ind w:left="709" w:hanging="283"/>
        <w:jc w:val="both"/>
        <w:rPr>
          <w:rFonts w:ascii="Arial Narrow" w:hAnsi="Arial Narrow" w:cs="Arial"/>
          <w:lang w:val="es-ES" w:eastAsia="es-ES"/>
        </w:rPr>
      </w:pPr>
      <w:r w:rsidRPr="002C0D19">
        <w:rPr>
          <w:rFonts w:ascii="Arial Narrow" w:hAnsi="Arial Narrow" w:cs="Arial"/>
          <w:lang w:val="es-ES" w:eastAsia="es-ES"/>
        </w:rPr>
        <w:t>Entidad/Portafolio en DCV.</w:t>
      </w:r>
    </w:p>
    <w:p w14:paraId="253051FD" w14:textId="77777777" w:rsidR="007968EC" w:rsidRPr="002C0D19" w:rsidRDefault="007968EC" w:rsidP="007968EC">
      <w:pPr>
        <w:autoSpaceDE w:val="0"/>
        <w:autoSpaceDN w:val="0"/>
        <w:jc w:val="both"/>
        <w:rPr>
          <w:rFonts w:ascii="Arial Narrow" w:hAnsi="Arial Narrow" w:cs="Arial"/>
          <w:lang w:val="es-ES" w:eastAsia="es-ES"/>
        </w:rPr>
      </w:pPr>
    </w:p>
    <w:p w14:paraId="49C60E35" w14:textId="77777777" w:rsidR="007968EC" w:rsidRPr="002C0D19" w:rsidRDefault="007968EC" w:rsidP="00DA7472">
      <w:pPr>
        <w:numPr>
          <w:ilvl w:val="0"/>
          <w:numId w:val="102"/>
        </w:numPr>
        <w:autoSpaceDE w:val="0"/>
        <w:autoSpaceDN w:val="0"/>
        <w:ind w:left="284" w:hanging="284"/>
        <w:jc w:val="both"/>
        <w:rPr>
          <w:rFonts w:ascii="Arial Narrow" w:hAnsi="Arial Narrow" w:cs="Arial"/>
          <w:lang w:val="es-ES" w:eastAsia="es-ES"/>
        </w:rPr>
      </w:pPr>
      <w:r w:rsidRPr="002C0D19">
        <w:rPr>
          <w:rFonts w:ascii="Arial Narrow" w:hAnsi="Arial Narrow" w:cs="Arial"/>
          <w:lang w:val="es-ES" w:eastAsia="es-ES"/>
        </w:rPr>
        <w:t>Información específica:</w:t>
      </w:r>
    </w:p>
    <w:p w14:paraId="4E1BE30A" w14:textId="77777777" w:rsidR="007968EC" w:rsidRPr="002C0D19" w:rsidRDefault="007968EC" w:rsidP="007968EC">
      <w:pPr>
        <w:autoSpaceDE w:val="0"/>
        <w:autoSpaceDN w:val="0"/>
        <w:jc w:val="both"/>
        <w:rPr>
          <w:rFonts w:ascii="Arial Narrow" w:hAnsi="Arial Narrow" w:cs="Arial"/>
          <w:lang w:val="es-ES" w:eastAsia="es-ES"/>
        </w:rPr>
      </w:pPr>
    </w:p>
    <w:p w14:paraId="1EE1E408" w14:textId="77777777" w:rsidR="007968EC" w:rsidRPr="002C0D19" w:rsidRDefault="007968EC" w:rsidP="00DA7472">
      <w:pPr>
        <w:numPr>
          <w:ilvl w:val="0"/>
          <w:numId w:val="104"/>
        </w:numPr>
        <w:autoSpaceDE w:val="0"/>
        <w:autoSpaceDN w:val="0"/>
        <w:ind w:left="709" w:hanging="283"/>
        <w:jc w:val="both"/>
        <w:rPr>
          <w:rFonts w:ascii="Arial Narrow" w:hAnsi="Arial Narrow" w:cs="Arial"/>
          <w:lang w:val="es-ES" w:eastAsia="es-ES"/>
        </w:rPr>
      </w:pPr>
      <w:r w:rsidRPr="002C0D19">
        <w:rPr>
          <w:rFonts w:ascii="Arial Narrow" w:hAnsi="Arial Narrow" w:cs="Arial"/>
          <w:lang w:val="es-ES" w:eastAsia="es-ES"/>
        </w:rPr>
        <w:t>Definir las características que se exigen en la Circular para cada Segmento.</w:t>
      </w:r>
    </w:p>
    <w:p w14:paraId="5AF5C1E0" w14:textId="77777777" w:rsidR="007968EC" w:rsidRPr="002C0D19" w:rsidRDefault="007968EC" w:rsidP="00DA7472">
      <w:pPr>
        <w:numPr>
          <w:ilvl w:val="0"/>
          <w:numId w:val="104"/>
        </w:numPr>
        <w:autoSpaceDE w:val="0"/>
        <w:autoSpaceDN w:val="0"/>
        <w:ind w:left="709" w:hanging="283"/>
        <w:jc w:val="both"/>
        <w:rPr>
          <w:rFonts w:ascii="Arial Narrow" w:hAnsi="Arial Narrow" w:cs="Arial"/>
          <w:lang w:val="es-ES" w:eastAsia="es-ES"/>
        </w:rPr>
      </w:pPr>
      <w:r w:rsidRPr="002C0D19">
        <w:rPr>
          <w:rFonts w:ascii="Arial Narrow" w:hAnsi="Arial Narrow" w:cs="Arial"/>
          <w:lang w:val="es-ES" w:eastAsia="es-ES"/>
        </w:rPr>
        <w:t>Definir si el titular de Cuenta actuará como depositante directo en la Liquidación al Vencimiento por Entrega en los depósitos de valores DCV y/o Deceval según corresponda.</w:t>
      </w:r>
    </w:p>
    <w:p w14:paraId="211B8658" w14:textId="77777777" w:rsidR="007968EC" w:rsidRPr="002C0D19" w:rsidRDefault="007968EC" w:rsidP="00DA7472">
      <w:pPr>
        <w:numPr>
          <w:ilvl w:val="0"/>
          <w:numId w:val="104"/>
        </w:numPr>
        <w:autoSpaceDE w:val="0"/>
        <w:autoSpaceDN w:val="0"/>
        <w:ind w:left="709" w:hanging="283"/>
        <w:jc w:val="both"/>
        <w:rPr>
          <w:rFonts w:ascii="Arial Narrow" w:hAnsi="Arial Narrow" w:cs="Arial"/>
          <w:lang w:val="es-ES" w:eastAsia="es-ES"/>
        </w:rPr>
      </w:pPr>
      <w:r w:rsidRPr="002C0D19">
        <w:rPr>
          <w:rFonts w:ascii="Arial Narrow" w:hAnsi="Arial Narrow" w:cs="Arial"/>
          <w:lang w:val="es-ES" w:eastAsia="es-ES"/>
        </w:rPr>
        <w:t xml:space="preserve">Definir si un Agente Custodio </w:t>
      </w:r>
      <w:r w:rsidRPr="002C0D19">
        <w:rPr>
          <w:rFonts w:ascii="Arial Narrow" w:hAnsi="Arial Narrow" w:cs="Arial"/>
          <w:bCs/>
          <w:lang w:val="es-ES" w:eastAsia="es-ES"/>
        </w:rPr>
        <w:t xml:space="preserve">y/o Agente de Pago </w:t>
      </w:r>
      <w:r w:rsidRPr="002C0D19">
        <w:rPr>
          <w:rFonts w:ascii="Arial Narrow" w:hAnsi="Arial Narrow" w:cs="Arial"/>
          <w:lang w:val="es-ES" w:eastAsia="es-ES"/>
        </w:rPr>
        <w:t>debe actuar como depositante en la Liquidación al Vencimiento por Entrega y en la Gestión de Garantías en los depósitos de valores DCV y/o Deceval, según corresponda. Adicionalmente, el Miembro otorgará los permisos al Agente Custodio</w:t>
      </w:r>
      <w:r w:rsidRPr="002C0D19">
        <w:rPr>
          <w:rFonts w:ascii="Arial Narrow" w:hAnsi="Arial Narrow" w:cs="Arial"/>
          <w:bCs/>
          <w:lang w:val="es-ES" w:eastAsia="es-ES"/>
        </w:rPr>
        <w:t xml:space="preserve"> y/o Agente de Pago</w:t>
      </w:r>
      <w:r w:rsidRPr="002C0D19">
        <w:rPr>
          <w:rFonts w:ascii="Arial Narrow" w:hAnsi="Arial Narrow" w:cs="Arial"/>
          <w:lang w:val="es-ES" w:eastAsia="es-ES"/>
        </w:rPr>
        <w:t xml:space="preserve"> para consultar a través del Portal CRCC de la Cámara la información de los Terceros por los que actúa.</w:t>
      </w:r>
    </w:p>
    <w:p w14:paraId="37FD9AE3" w14:textId="77777777" w:rsidR="007968EC" w:rsidRPr="002C0D19" w:rsidRDefault="007968EC" w:rsidP="007968EC">
      <w:pPr>
        <w:autoSpaceDE w:val="0"/>
        <w:autoSpaceDN w:val="0"/>
        <w:jc w:val="both"/>
        <w:rPr>
          <w:rFonts w:ascii="Arial Narrow" w:hAnsi="Arial Narrow" w:cs="Arial"/>
          <w:lang w:val="es-ES" w:eastAsia="es-ES"/>
        </w:rPr>
      </w:pPr>
    </w:p>
    <w:p w14:paraId="172BC3CB" w14:textId="77777777" w:rsidR="007968EC" w:rsidRPr="002C0D19" w:rsidRDefault="007968EC" w:rsidP="007968EC">
      <w:pPr>
        <w:autoSpaceDE w:val="0"/>
        <w:autoSpaceDN w:val="0"/>
        <w:jc w:val="both"/>
        <w:rPr>
          <w:rFonts w:ascii="Arial Narrow" w:hAnsi="Arial Narrow" w:cs="Arial"/>
          <w:lang w:val="es-ES" w:eastAsia="es-ES"/>
        </w:rPr>
      </w:pPr>
      <w:r w:rsidRPr="002C0D19">
        <w:rPr>
          <w:rFonts w:ascii="Arial Narrow" w:hAnsi="Arial Narrow" w:cs="Arial"/>
          <w:lang w:val="es-ES" w:eastAsia="es-ES"/>
        </w:rPr>
        <w:t>La Cámara podrá solicitar al Miembro cualquier información adicional respecto de sus Terceros Identificados cuando lo estime pertinente. Así mismo, el Miembro deberá mantener una base de datos actualizada de sus Terceros Identificados, de acuerdo con la información solicitada en el Anexo 32, información mínima requerida para desarrollo de las funciones asignadas a la Cámara en calidad de administrador del sistema de compensación y liquidación, con o sin contrapartida central.</w:t>
      </w:r>
    </w:p>
    <w:p w14:paraId="0503079C" w14:textId="77777777" w:rsidR="007968EC" w:rsidRPr="002C0D19" w:rsidRDefault="007968EC" w:rsidP="007968EC">
      <w:pPr>
        <w:autoSpaceDE w:val="0"/>
        <w:autoSpaceDN w:val="0"/>
        <w:jc w:val="both"/>
        <w:rPr>
          <w:rFonts w:ascii="Arial Narrow" w:hAnsi="Arial Narrow" w:cs="Arial"/>
          <w:lang w:val="es-ES" w:eastAsia="es-ES"/>
        </w:rPr>
      </w:pPr>
    </w:p>
    <w:p w14:paraId="60479C60" w14:textId="77777777" w:rsidR="007968EC" w:rsidRPr="002C0D19" w:rsidRDefault="007968EC" w:rsidP="007968EC">
      <w:pPr>
        <w:autoSpaceDE w:val="0"/>
        <w:autoSpaceDN w:val="0"/>
        <w:jc w:val="both"/>
        <w:rPr>
          <w:rFonts w:ascii="Arial Narrow" w:hAnsi="Arial Narrow" w:cs="Arial"/>
          <w:bCs/>
          <w:lang w:eastAsia="es-CO"/>
        </w:rPr>
      </w:pPr>
      <w:r w:rsidRPr="002C0D19">
        <w:rPr>
          <w:rFonts w:ascii="Arial Narrow" w:hAnsi="Arial Narrow" w:cs="Arial"/>
          <w:b/>
          <w:lang w:val="es-ES" w:eastAsia="es-ES"/>
        </w:rPr>
        <w:t>Parágrafo.</w:t>
      </w:r>
      <w:r w:rsidRPr="002C0D19">
        <w:rPr>
          <w:rFonts w:ascii="Arial Narrow" w:hAnsi="Arial Narrow" w:cs="Arial"/>
          <w:lang w:val="es-ES" w:eastAsia="es-ES"/>
        </w:rPr>
        <w:t xml:space="preserve"> El número de Inversionista en Deceval debe corresponder a Cuentas de beneficiario único, no se admiten Cuentas mancomunadas.</w:t>
      </w:r>
      <w:r w:rsidRPr="002C0D19">
        <w:rPr>
          <w:rFonts w:ascii="Arial Narrow" w:hAnsi="Arial Narrow" w:cs="Arial"/>
          <w:bCs/>
          <w:lang w:val="es-ES" w:eastAsia="es-ES"/>
        </w:rPr>
        <w:t xml:space="preserve"> </w:t>
      </w:r>
      <w:r w:rsidRPr="002C0D19">
        <w:rPr>
          <w:rFonts w:ascii="Arial Narrow" w:hAnsi="Arial Narrow" w:cs="Arial"/>
          <w:bCs/>
          <w:lang w:eastAsia="es-CO"/>
        </w:rPr>
        <w:t>No obstante lo anterior, la Cámara podrá permitir Cuentas mancomunadas en un Segmento particular.</w:t>
      </w:r>
    </w:p>
    <w:p w14:paraId="3646EB43"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59BC41C1" w14:textId="77777777" w:rsidR="007968EC" w:rsidRDefault="007968EC" w:rsidP="007968EC">
      <w:pPr>
        <w:pStyle w:val="ARTICULO0"/>
      </w:pPr>
      <w:bookmarkStart w:id="1365" w:name="_Toc472592098"/>
      <w:bookmarkStart w:id="1366" w:name="_Toc472593117"/>
      <w:bookmarkStart w:id="1367" w:name="_Toc479056903"/>
      <w:bookmarkStart w:id="1368" w:name="_Toc31715912"/>
      <w:bookmarkStart w:id="1369" w:name="_Toc470775419"/>
      <w:bookmarkStart w:id="1370" w:name="_Toc470779704"/>
      <w:bookmarkStart w:id="1371" w:name="_Toc470780321"/>
      <w:bookmarkStart w:id="1372" w:name="_Toc470780834"/>
      <w:bookmarkStart w:id="1373" w:name="_Toc470784395"/>
      <w:bookmarkStart w:id="1374" w:name="_Toc470784932"/>
      <w:bookmarkStart w:id="1375" w:name="_Toc470786955"/>
      <w:bookmarkStart w:id="1376" w:name="_Toc470791308"/>
      <w:bookmarkStart w:id="1377" w:name="_Toc490066213"/>
      <w:r w:rsidRPr="002C0D19">
        <w:t>Artículo 1.4.1.3. Modalidades de Registro de Operaciones.</w:t>
      </w:r>
      <w:bookmarkEnd w:id="1365"/>
      <w:bookmarkEnd w:id="1366"/>
      <w:bookmarkEnd w:id="1367"/>
      <w:bookmarkEnd w:id="1368"/>
      <w:r w:rsidRPr="002C0D19">
        <w:t xml:space="preserve"> </w:t>
      </w:r>
    </w:p>
    <w:p w14:paraId="26336FD8" w14:textId="77777777" w:rsidR="007968EC" w:rsidRPr="007E757A" w:rsidRDefault="007968EC" w:rsidP="007968EC">
      <w:pPr>
        <w:jc w:val="both"/>
        <w:rPr>
          <w:rFonts w:ascii="Arial Narrow" w:hAnsi="Arial Narrow" w:cs="Arial"/>
          <w:color w:val="000000" w:themeColor="text1"/>
          <w:lang w:eastAsia="es-ES"/>
        </w:rPr>
      </w:pPr>
    </w:p>
    <w:p w14:paraId="1E566612" w14:textId="77777777" w:rsidR="007968EC" w:rsidRPr="002C0D19" w:rsidRDefault="007968EC" w:rsidP="007968EC">
      <w:pPr>
        <w:pStyle w:val="ANTECEDENTES"/>
      </w:pPr>
      <w:r w:rsidRPr="002C0D19">
        <w:t xml:space="preserve">(Este artículo fue modificado mediante Circular 7 del 28 de abril de 2011, publicada en el Boletín Normativo No. 007 del 28 de abril de 2011. Rige a partir del 2 de mayo de 2011 y renumerado mediante </w:t>
      </w:r>
      <w:r w:rsidRPr="002C0D19">
        <w:rPr>
          <w:lang w:val="es-ES"/>
        </w:rPr>
        <w:t xml:space="preserve">Circular 19 del 28 de diciembre de 2016, publicada en el Boletín Normativo No. 024 del 28 de diciembre de 2016. </w:t>
      </w:r>
      <w:r w:rsidRPr="002C0D19">
        <w:t>Rige a partir del 29 de diciembre de 2016.</w:t>
      </w:r>
      <w:r w:rsidRPr="002C0D19">
        <w:rPr>
          <w:lang w:val="es-ES"/>
        </w:rPr>
        <w:t>)</w:t>
      </w:r>
      <w:bookmarkEnd w:id="1369"/>
      <w:bookmarkEnd w:id="1370"/>
      <w:bookmarkEnd w:id="1371"/>
      <w:bookmarkEnd w:id="1372"/>
      <w:bookmarkEnd w:id="1373"/>
      <w:bookmarkEnd w:id="1374"/>
      <w:bookmarkEnd w:id="1375"/>
      <w:bookmarkEnd w:id="1376"/>
      <w:bookmarkEnd w:id="1377"/>
    </w:p>
    <w:p w14:paraId="739687A5" w14:textId="77777777" w:rsidR="007968EC" w:rsidRPr="002C0D19" w:rsidRDefault="007968EC" w:rsidP="007968EC">
      <w:pPr>
        <w:jc w:val="both"/>
        <w:rPr>
          <w:rFonts w:ascii="Arial Narrow" w:hAnsi="Arial Narrow" w:cs="Arial"/>
          <w:color w:val="000000" w:themeColor="text1"/>
          <w:lang w:val="es-ES" w:eastAsia="es-ES"/>
        </w:rPr>
      </w:pPr>
    </w:p>
    <w:p w14:paraId="70DEAD3D"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El registro de las Operaciones en el Sistema de la Cámara puede ser en neto o en bruto de acuerdo con el tipo de Cuenta.</w:t>
      </w:r>
    </w:p>
    <w:p w14:paraId="29A8F75F" w14:textId="77777777" w:rsidR="007968EC" w:rsidRPr="002C0D19" w:rsidRDefault="007968EC" w:rsidP="007968EC">
      <w:pPr>
        <w:jc w:val="both"/>
        <w:rPr>
          <w:rFonts w:ascii="Arial Narrow" w:hAnsi="Arial Narrow" w:cs="Arial"/>
          <w:color w:val="000000" w:themeColor="text1"/>
          <w:lang w:val="es-ES" w:eastAsia="es-ES"/>
        </w:rPr>
      </w:pPr>
    </w:p>
    <w:p w14:paraId="5226B4E1"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i/>
          <w:color w:val="000000" w:themeColor="text1"/>
          <w:lang w:val="es-ES" w:eastAsia="es-ES"/>
        </w:rPr>
        <w:t>El Registro de Operaciones en neto:</w:t>
      </w:r>
      <w:r w:rsidRPr="002C0D19">
        <w:rPr>
          <w:rFonts w:ascii="Arial Narrow" w:hAnsi="Arial Narrow" w:cs="Arial"/>
          <w:color w:val="000000" w:themeColor="text1"/>
          <w:lang w:val="es-ES" w:eastAsia="es-ES"/>
        </w:rPr>
        <w:t xml:space="preserve"> permite presentar la Posición Abierta existente en una Cuenta como el valor neto resultante de tomar la Posición de compra o venta que tenga mayor valor absoluto y restarle el valor absoluto de la Posición contraria, manteniendo para el resultado la Posición, de compra o de venta, correspondiente con aquella de mayor valor absoluto inicial.</w:t>
      </w:r>
    </w:p>
    <w:p w14:paraId="31F5EC83" w14:textId="77777777" w:rsidR="007968EC" w:rsidRPr="002C0D19" w:rsidRDefault="007968EC" w:rsidP="007968EC">
      <w:pPr>
        <w:jc w:val="both"/>
        <w:rPr>
          <w:rFonts w:ascii="Arial Narrow" w:hAnsi="Arial Narrow" w:cs="Arial"/>
          <w:color w:val="000000" w:themeColor="text1"/>
          <w:lang w:val="es-ES" w:eastAsia="es-ES"/>
        </w:rPr>
      </w:pPr>
    </w:p>
    <w:p w14:paraId="427F3016"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i/>
          <w:color w:val="000000" w:themeColor="text1"/>
          <w:lang w:val="es-ES" w:eastAsia="es-ES"/>
        </w:rPr>
        <w:t>El Registro de Operaciones en bruto</w:t>
      </w:r>
      <w:r w:rsidRPr="002C0D19">
        <w:rPr>
          <w:rFonts w:ascii="Arial Narrow" w:hAnsi="Arial Narrow" w:cs="Arial"/>
          <w:color w:val="000000" w:themeColor="text1"/>
          <w:lang w:val="es-ES" w:eastAsia="es-ES"/>
        </w:rPr>
        <w:t>: permite presentar la Posición Abierta existente en una Cuenta como la relación independiente de las operaciones de compra y de las operaciones de venta.</w:t>
      </w:r>
    </w:p>
    <w:p w14:paraId="2464954F" w14:textId="77777777" w:rsidR="007968EC" w:rsidRPr="002C0D19" w:rsidRDefault="007968EC" w:rsidP="007968EC">
      <w:pPr>
        <w:jc w:val="both"/>
        <w:rPr>
          <w:rFonts w:ascii="Arial Narrow" w:hAnsi="Arial Narrow" w:cs="Arial"/>
          <w:color w:val="000000" w:themeColor="text1"/>
          <w:lang w:val="es-ES" w:eastAsia="es-ES"/>
        </w:rPr>
      </w:pPr>
    </w:p>
    <w:p w14:paraId="41C0BEF5"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eastAsia="es-ES"/>
        </w:rPr>
        <w:t>El registro de las operaciones en la Cuenta Diaria y en su defecto en la Cuenta Residual siempre se realizará en neto. El registro de las Operaciones en las Cuentas Definitivas ya sea en las Cuentas de Registro de la Cuenta Propia o en las Cuentas de Terceros Identificados se realizará en neto</w:t>
      </w:r>
      <w:r w:rsidRPr="002C0D19">
        <w:rPr>
          <w:rFonts w:ascii="Arial Narrow" w:hAnsi="Arial Narrow" w:cs="Arial"/>
          <w:color w:val="000000" w:themeColor="text1"/>
          <w:lang w:val="es-ES" w:eastAsia="es-ES"/>
        </w:rPr>
        <w:t xml:space="preserve">. </w:t>
      </w:r>
    </w:p>
    <w:p w14:paraId="1A6A8CE1" w14:textId="77777777" w:rsidR="007968EC" w:rsidRPr="002C0D19" w:rsidRDefault="007968EC" w:rsidP="007968EC">
      <w:pPr>
        <w:jc w:val="both"/>
        <w:rPr>
          <w:rFonts w:ascii="Arial Narrow" w:hAnsi="Arial Narrow" w:cs="Arial"/>
          <w:color w:val="000000" w:themeColor="text1"/>
          <w:lang w:val="es-ES" w:eastAsia="es-ES"/>
        </w:rPr>
      </w:pPr>
    </w:p>
    <w:p w14:paraId="04AB5F58" w14:textId="77777777" w:rsidR="007968EC" w:rsidRDefault="007968EC" w:rsidP="007968EC">
      <w:pPr>
        <w:pStyle w:val="ARTICULO0"/>
      </w:pPr>
      <w:bookmarkStart w:id="1378" w:name="_Toc472592099"/>
      <w:bookmarkStart w:id="1379" w:name="_Toc472593118"/>
      <w:bookmarkStart w:id="1380" w:name="_Toc479056904"/>
      <w:bookmarkStart w:id="1381" w:name="_Toc31715913"/>
      <w:bookmarkStart w:id="1382" w:name="_Toc470775420"/>
      <w:bookmarkStart w:id="1383" w:name="_Toc470779705"/>
      <w:bookmarkStart w:id="1384" w:name="_Toc470780322"/>
      <w:bookmarkStart w:id="1385" w:name="_Toc470780835"/>
      <w:bookmarkStart w:id="1386" w:name="_Toc470784396"/>
      <w:bookmarkStart w:id="1387" w:name="_Toc470784933"/>
      <w:bookmarkStart w:id="1388" w:name="_Toc470786956"/>
      <w:bookmarkStart w:id="1389" w:name="_Toc470791309"/>
      <w:bookmarkStart w:id="1390" w:name="_Toc490066214"/>
      <w:r w:rsidRPr="002C0D19">
        <w:t>Artículo 1.4.1.4. Cuenta Diaria</w:t>
      </w:r>
      <w:bookmarkEnd w:id="1378"/>
      <w:bookmarkEnd w:id="1379"/>
      <w:bookmarkEnd w:id="1380"/>
      <w:r w:rsidRPr="002C0D19">
        <w:t>.</w:t>
      </w:r>
      <w:bookmarkEnd w:id="1381"/>
      <w:r w:rsidRPr="002C0D19">
        <w:t xml:space="preserve"> </w:t>
      </w:r>
    </w:p>
    <w:p w14:paraId="3D757103" w14:textId="77777777" w:rsidR="007968EC" w:rsidRDefault="007968EC" w:rsidP="007968EC">
      <w:pPr>
        <w:jc w:val="both"/>
        <w:rPr>
          <w:rFonts w:ascii="Arial Narrow" w:hAnsi="Arial Narrow" w:cs="Arial"/>
          <w:color w:val="000000" w:themeColor="text1"/>
          <w:lang w:eastAsia="es-ES"/>
        </w:rPr>
      </w:pPr>
    </w:p>
    <w:p w14:paraId="5D7D42D9" w14:textId="77777777" w:rsidR="007968EC" w:rsidRPr="002C0D19" w:rsidRDefault="007968EC" w:rsidP="007968EC">
      <w:pPr>
        <w:pStyle w:val="ANTECEDENTES"/>
      </w:pPr>
      <w:r w:rsidRPr="002C0D19">
        <w:t>(Este artículo fue modificado mediante Circular 22 del 14 de noviembre de 2014, publicada en el Boletín Normativo No. 025 del 14 de noviembre de 2014. Rige a partir del 18 de noviembre de 2014 y mediante Circular 19 del 28 de diciembre de 2016, publicada en el Boletín Normativo No. 024 del 28 de diciembre de 2016. Rige a partir del 29 de diciembre de 2016.)</w:t>
      </w:r>
      <w:bookmarkEnd w:id="1382"/>
      <w:bookmarkEnd w:id="1383"/>
      <w:bookmarkEnd w:id="1384"/>
      <w:bookmarkEnd w:id="1385"/>
      <w:bookmarkEnd w:id="1386"/>
      <w:bookmarkEnd w:id="1387"/>
      <w:bookmarkEnd w:id="1388"/>
      <w:bookmarkEnd w:id="1389"/>
      <w:bookmarkEnd w:id="1390"/>
    </w:p>
    <w:p w14:paraId="297A78F8" w14:textId="77777777" w:rsidR="007968EC" w:rsidRPr="002C0D19" w:rsidRDefault="007968EC" w:rsidP="007968EC">
      <w:pPr>
        <w:jc w:val="both"/>
        <w:rPr>
          <w:rFonts w:ascii="Arial Narrow" w:hAnsi="Arial Narrow" w:cs="Arial"/>
          <w:color w:val="000000" w:themeColor="text1"/>
          <w:lang w:val="es-ES" w:eastAsia="es-ES"/>
        </w:rPr>
      </w:pPr>
    </w:p>
    <w:p w14:paraId="5A7F786A"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En la Cuenta Diaria de cada Segmento se registran durante una sesión de manera temporal, las transacciones realizadas por un Miembro para su posterior Asignación a Cuentas Definitivas. Si dicha Asignación no ha sido efectuada al cierre de sesión de la Cámara, todas las transacciones pendientes se asignarán a la Cuenta Residual del Miembro del Segmento correspondiente, dada la responsabilidad del Miembro de acuerdo con el Tipo de Liquidación y de la solicitud de Garantías del día. </w:t>
      </w:r>
    </w:p>
    <w:p w14:paraId="673B6ECB" w14:textId="77777777" w:rsidR="007968EC" w:rsidRPr="002C0D19" w:rsidRDefault="007968EC" w:rsidP="007968EC">
      <w:pPr>
        <w:jc w:val="both"/>
        <w:rPr>
          <w:rFonts w:ascii="Arial Narrow" w:hAnsi="Arial Narrow" w:cs="Arial"/>
          <w:color w:val="000000" w:themeColor="text1"/>
          <w:lang w:val="es-ES" w:eastAsia="es-ES"/>
        </w:rPr>
      </w:pPr>
    </w:p>
    <w:p w14:paraId="6E165E59"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La titularidad de este tipo de Cuentas corresponde siempre al Miembro y es creada al momento de activación de la entidad en los sistemas de Cámara. El registro de Operaciones en este tipo de Cuenta se realiza por medio de la modalidad en neto. Así mismo, el cálculo de riesgo de las Operaciones se hace en bruto, consumiendo límites y garantías tanto por Posiciones de compra como de venta, según se indica en el artículo 1.4.1.8. de la presente Circular.</w:t>
      </w:r>
    </w:p>
    <w:p w14:paraId="6B2E7F28" w14:textId="77777777" w:rsidR="007968EC" w:rsidRPr="002C0D19" w:rsidRDefault="007968EC" w:rsidP="007968EC">
      <w:pPr>
        <w:jc w:val="both"/>
        <w:rPr>
          <w:rFonts w:ascii="Arial Narrow" w:hAnsi="Arial Narrow" w:cs="Arial"/>
          <w:color w:val="000000" w:themeColor="text1"/>
          <w:lang w:val="es-ES" w:eastAsia="es-ES"/>
        </w:rPr>
      </w:pPr>
    </w:p>
    <w:p w14:paraId="71D10110" w14:textId="77777777" w:rsidR="007968EC" w:rsidRDefault="007968EC" w:rsidP="007968EC">
      <w:pPr>
        <w:pStyle w:val="ARTICULO0"/>
        <w:rPr>
          <w:i/>
        </w:rPr>
      </w:pPr>
      <w:bookmarkStart w:id="1391" w:name="_Toc472592100"/>
      <w:bookmarkStart w:id="1392" w:name="_Toc472593119"/>
      <w:bookmarkStart w:id="1393" w:name="_Toc479056905"/>
      <w:bookmarkStart w:id="1394" w:name="_Toc31715914"/>
      <w:bookmarkStart w:id="1395" w:name="_Toc470775421"/>
      <w:bookmarkStart w:id="1396" w:name="_Toc470779706"/>
      <w:bookmarkStart w:id="1397" w:name="_Toc470780323"/>
      <w:bookmarkStart w:id="1398" w:name="_Toc470780836"/>
      <w:bookmarkStart w:id="1399" w:name="_Toc470784397"/>
      <w:bookmarkStart w:id="1400" w:name="_Toc470784934"/>
      <w:bookmarkStart w:id="1401" w:name="_Toc470786957"/>
      <w:bookmarkStart w:id="1402" w:name="_Toc470791310"/>
      <w:bookmarkStart w:id="1403" w:name="_Toc490066215"/>
      <w:r w:rsidRPr="002C0D19">
        <w:lastRenderedPageBreak/>
        <w:t>Artículo 1.4.1.5. Cuentas Definitivas.</w:t>
      </w:r>
      <w:bookmarkEnd w:id="1391"/>
      <w:bookmarkEnd w:id="1392"/>
      <w:bookmarkEnd w:id="1393"/>
      <w:bookmarkEnd w:id="1394"/>
      <w:r w:rsidRPr="002C0D19">
        <w:rPr>
          <w:i/>
        </w:rPr>
        <w:t xml:space="preserve"> </w:t>
      </w:r>
    </w:p>
    <w:p w14:paraId="7A22B36D" w14:textId="77777777" w:rsidR="007968EC" w:rsidRPr="007E757A" w:rsidRDefault="007968EC" w:rsidP="007968EC">
      <w:pPr>
        <w:jc w:val="both"/>
        <w:rPr>
          <w:rFonts w:ascii="Arial Narrow" w:hAnsi="Arial Narrow" w:cs="Arial"/>
          <w:color w:val="000000" w:themeColor="text1"/>
          <w:lang w:eastAsia="es-ES"/>
        </w:rPr>
      </w:pPr>
    </w:p>
    <w:p w14:paraId="204A5D1A" w14:textId="77777777" w:rsidR="007968EC" w:rsidRPr="002C0D19" w:rsidRDefault="007968EC" w:rsidP="007968EC">
      <w:pPr>
        <w:pStyle w:val="ANTECEDENTES"/>
        <w:rPr>
          <w:u w:val="single"/>
        </w:rPr>
      </w:pPr>
      <w:r w:rsidRPr="002C0D19">
        <w:t>(Este artículo fue modificado mediante Circular 19 del 28 de diciembre de 2016, publicada en el Boletín Normativo No. 024 del 28 de diciembre de 2016 y mediante Circular 14 del 8 de agosto de 2017, publicada en el Boletín Normativo No. 015 del 8 de agosto de 2017. Rige a partir del 9 de agosto de 2017.)</w:t>
      </w:r>
      <w:bookmarkEnd w:id="1395"/>
      <w:bookmarkEnd w:id="1396"/>
      <w:bookmarkEnd w:id="1397"/>
      <w:bookmarkEnd w:id="1398"/>
      <w:bookmarkEnd w:id="1399"/>
      <w:bookmarkEnd w:id="1400"/>
      <w:bookmarkEnd w:id="1401"/>
      <w:bookmarkEnd w:id="1402"/>
      <w:bookmarkEnd w:id="1403"/>
    </w:p>
    <w:p w14:paraId="5FE275B3" w14:textId="77777777" w:rsidR="007968EC" w:rsidRPr="002C0D19" w:rsidRDefault="007968EC" w:rsidP="007968EC">
      <w:pPr>
        <w:jc w:val="both"/>
        <w:rPr>
          <w:rFonts w:ascii="Arial Narrow" w:hAnsi="Arial Narrow" w:cs="Arial"/>
          <w:color w:val="000000" w:themeColor="text1"/>
          <w:lang w:val="es-ES" w:eastAsia="es-ES"/>
        </w:rPr>
      </w:pPr>
    </w:p>
    <w:p w14:paraId="0DCA4A44"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lang w:val="es-ES" w:eastAsia="es-ES"/>
        </w:rPr>
        <w:t>En las Cuentas Definitivas de cada Segmento</w:t>
      </w:r>
      <w:r w:rsidRPr="002C0D19">
        <w:rPr>
          <w:rFonts w:ascii="Arial Narrow" w:hAnsi="Arial Narrow" w:cs="Arial"/>
          <w:b/>
          <w:lang w:val="es-ES" w:eastAsia="es-ES"/>
        </w:rPr>
        <w:t xml:space="preserve"> </w:t>
      </w:r>
      <w:r w:rsidRPr="002C0D19">
        <w:rPr>
          <w:rFonts w:ascii="Arial Narrow" w:hAnsi="Arial Narrow" w:cs="Arial"/>
          <w:lang w:val="es-ES" w:eastAsia="es-ES"/>
        </w:rPr>
        <w:t>el registro de las Operaciones se realiza mediante la modalidad de neto y el cálculo del riesgo se realiza por neto como se indica en el artículo 1.4.1.8. de la presente Circular. Sobre las operaciones registradas en estas Cuentas pueden ejecutarse los diferentes procedimientos de gestión de Operaciones de la Cámara respecto de un mismo Segmento</w:t>
      </w:r>
      <w:r w:rsidRPr="002C0D19">
        <w:rPr>
          <w:rFonts w:ascii="Arial Narrow" w:hAnsi="Arial Narrow" w:cs="Arial"/>
          <w:b/>
          <w:lang w:val="es-ES" w:eastAsia="es-ES"/>
        </w:rPr>
        <w:t xml:space="preserve"> </w:t>
      </w:r>
      <w:r w:rsidRPr="002C0D19">
        <w:rPr>
          <w:rFonts w:ascii="Arial Narrow" w:hAnsi="Arial Narrow" w:cs="Arial"/>
          <w:lang w:val="es-ES" w:eastAsia="es-ES"/>
        </w:rPr>
        <w:t xml:space="preserve">como son los Traspasos, </w:t>
      </w:r>
      <w:proofErr w:type="spellStart"/>
      <w:r w:rsidRPr="002C0D19">
        <w:rPr>
          <w:rFonts w:ascii="Arial Narrow" w:hAnsi="Arial Narrow" w:cs="Arial"/>
          <w:lang w:val="es-ES" w:eastAsia="es-ES"/>
        </w:rPr>
        <w:t>Give</w:t>
      </w:r>
      <w:proofErr w:type="spellEnd"/>
      <w:r w:rsidRPr="002C0D19">
        <w:rPr>
          <w:rFonts w:ascii="Arial Narrow" w:hAnsi="Arial Narrow" w:cs="Arial"/>
          <w:lang w:val="es-ES" w:eastAsia="es-ES"/>
        </w:rPr>
        <w:t>-up, ajustes y Traspasos de Posición.</w:t>
      </w:r>
    </w:p>
    <w:p w14:paraId="248FDE4F" w14:textId="77777777" w:rsidR="007968EC" w:rsidRPr="002C0D19" w:rsidRDefault="007968EC" w:rsidP="007968EC">
      <w:pPr>
        <w:jc w:val="both"/>
        <w:rPr>
          <w:rFonts w:ascii="Arial Narrow" w:hAnsi="Arial Narrow" w:cs="Arial"/>
          <w:lang w:val="es-ES" w:eastAsia="es-ES"/>
        </w:rPr>
      </w:pPr>
    </w:p>
    <w:p w14:paraId="3E503ABE"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lang w:val="es-ES" w:eastAsia="es-ES"/>
        </w:rPr>
        <w:t xml:space="preserve">Las operaciones se registrarán en estas Cuentas Definitivas una vez se realice la Asignación de la Cuenta Diaria o cuando desde el Sistema de Negociación se encuentren </w:t>
      </w:r>
      <w:proofErr w:type="spellStart"/>
      <w:proofErr w:type="gramStart"/>
      <w:r w:rsidRPr="002C0D19">
        <w:rPr>
          <w:rFonts w:ascii="Arial Narrow" w:hAnsi="Arial Narrow" w:cs="Arial"/>
          <w:lang w:val="es-ES" w:eastAsia="es-ES"/>
        </w:rPr>
        <w:t>pre-asignadas</w:t>
      </w:r>
      <w:proofErr w:type="spellEnd"/>
      <w:proofErr w:type="gramEnd"/>
      <w:r w:rsidRPr="002C0D19">
        <w:rPr>
          <w:rFonts w:ascii="Arial Narrow" w:hAnsi="Arial Narrow" w:cs="Arial"/>
          <w:lang w:val="es-ES" w:eastAsia="es-ES"/>
        </w:rPr>
        <w:t xml:space="preserve"> a la Cuenta definitiva. </w:t>
      </w:r>
    </w:p>
    <w:p w14:paraId="26EA4DC9" w14:textId="77777777" w:rsidR="007968EC" w:rsidRPr="002C0D19" w:rsidRDefault="007968EC" w:rsidP="007968EC">
      <w:pPr>
        <w:ind w:left="48"/>
        <w:jc w:val="both"/>
        <w:rPr>
          <w:rFonts w:ascii="Arial Narrow" w:hAnsi="Arial Narrow" w:cs="Arial"/>
          <w:lang w:val="es-ES" w:eastAsia="es-ES"/>
        </w:rPr>
      </w:pPr>
    </w:p>
    <w:p w14:paraId="05B6EBCB" w14:textId="77777777" w:rsidR="007968EC" w:rsidRPr="002C0D19" w:rsidRDefault="007968EC" w:rsidP="007968EC">
      <w:pPr>
        <w:ind w:left="48"/>
        <w:jc w:val="both"/>
        <w:rPr>
          <w:rFonts w:ascii="Arial Narrow" w:hAnsi="Arial Narrow" w:cs="Arial"/>
          <w:color w:val="000000" w:themeColor="text1"/>
          <w:lang w:val="es-ES" w:eastAsia="es-ES"/>
        </w:rPr>
      </w:pPr>
      <w:r w:rsidRPr="002C0D19">
        <w:rPr>
          <w:rFonts w:ascii="Arial Narrow" w:hAnsi="Arial Narrow" w:cs="Arial"/>
          <w:b/>
          <w:lang w:val="es-ES" w:eastAsia="es-ES"/>
        </w:rPr>
        <w:t>Parágrafo.</w:t>
      </w:r>
      <w:r w:rsidRPr="002C0D19">
        <w:rPr>
          <w:rFonts w:ascii="Arial Narrow" w:hAnsi="Arial Narrow" w:cs="Arial"/>
          <w:lang w:val="es-ES" w:eastAsia="es-ES"/>
        </w:rPr>
        <w:t xml:space="preserve"> En las Cuentas Definitivas el Registro de las Operaciones mediante la modalidad en bruto podrá realizarse cuando la Cámara habilite dicha funcionalidad y reglamente su utilización a través de la presente Circular. </w:t>
      </w:r>
      <w:r w:rsidRPr="002C0D19">
        <w:rPr>
          <w:rFonts w:ascii="Arial Narrow" w:hAnsi="Arial Narrow" w:cs="Arial"/>
          <w:color w:val="000000" w:themeColor="text1"/>
          <w:lang w:val="es-ES" w:eastAsia="es-ES"/>
        </w:rPr>
        <w:t xml:space="preserve"> </w:t>
      </w:r>
    </w:p>
    <w:p w14:paraId="55808111" w14:textId="77777777" w:rsidR="007968EC" w:rsidRPr="002C0D19" w:rsidRDefault="007968EC" w:rsidP="007968EC">
      <w:pPr>
        <w:ind w:left="48"/>
        <w:jc w:val="both"/>
        <w:rPr>
          <w:rFonts w:ascii="Arial Narrow" w:hAnsi="Arial Narrow" w:cs="Arial"/>
          <w:color w:val="000000" w:themeColor="text1"/>
          <w:lang w:val="es-ES" w:eastAsia="es-ES"/>
        </w:rPr>
      </w:pPr>
    </w:p>
    <w:p w14:paraId="3DE45D77" w14:textId="77777777" w:rsidR="007968EC" w:rsidRDefault="007968EC" w:rsidP="007968EC">
      <w:pPr>
        <w:keepNext/>
        <w:tabs>
          <w:tab w:val="left" w:pos="1701"/>
        </w:tabs>
        <w:jc w:val="both"/>
        <w:outlineLvl w:val="2"/>
        <w:rPr>
          <w:rFonts w:ascii="Arial Narrow" w:hAnsi="Arial Narrow" w:cs="Arial"/>
          <w:b/>
          <w:color w:val="000000" w:themeColor="text1"/>
          <w:lang w:eastAsia="es-ES"/>
        </w:rPr>
      </w:pPr>
      <w:bookmarkStart w:id="1404" w:name="_Toc31715915"/>
      <w:bookmarkStart w:id="1405" w:name="_Toc472592101"/>
      <w:bookmarkStart w:id="1406" w:name="_Toc472593120"/>
      <w:bookmarkStart w:id="1407" w:name="_Toc479056906"/>
      <w:bookmarkStart w:id="1408" w:name="_Toc470775422"/>
      <w:bookmarkStart w:id="1409" w:name="_Toc470779707"/>
      <w:bookmarkStart w:id="1410" w:name="_Toc470780324"/>
      <w:bookmarkStart w:id="1411" w:name="_Toc470780837"/>
      <w:bookmarkStart w:id="1412" w:name="_Toc470784398"/>
      <w:bookmarkStart w:id="1413" w:name="_Toc470784935"/>
      <w:bookmarkStart w:id="1414" w:name="_Toc470786958"/>
      <w:bookmarkStart w:id="1415" w:name="_Toc470791311"/>
      <w:bookmarkStart w:id="1416" w:name="_Toc490066216"/>
      <w:r w:rsidRPr="007E757A">
        <w:rPr>
          <w:rStyle w:val="ARTICULOCar"/>
          <w:rFonts w:eastAsiaTheme="minorHAnsi"/>
        </w:rPr>
        <w:t>Artículo 1.4.1.6. Cuenta Residual</w:t>
      </w:r>
      <w:bookmarkEnd w:id="1404"/>
      <w:r w:rsidRPr="002C0D19">
        <w:rPr>
          <w:rFonts w:ascii="Arial Narrow" w:hAnsi="Arial Narrow" w:cs="Arial"/>
          <w:b/>
          <w:color w:val="000000" w:themeColor="text1"/>
          <w:u w:val="single"/>
          <w:lang w:eastAsia="es-ES"/>
        </w:rPr>
        <w:t>.</w:t>
      </w:r>
      <w:bookmarkEnd w:id="1405"/>
      <w:bookmarkEnd w:id="1406"/>
      <w:bookmarkEnd w:id="1407"/>
      <w:r w:rsidRPr="002C0D19">
        <w:rPr>
          <w:rFonts w:ascii="Arial Narrow" w:hAnsi="Arial Narrow" w:cs="Arial"/>
          <w:b/>
          <w:color w:val="000000" w:themeColor="text1"/>
          <w:lang w:eastAsia="es-ES"/>
        </w:rPr>
        <w:t xml:space="preserve"> </w:t>
      </w:r>
      <w:bookmarkEnd w:id="1408"/>
      <w:bookmarkEnd w:id="1409"/>
      <w:bookmarkEnd w:id="1410"/>
      <w:bookmarkEnd w:id="1411"/>
      <w:bookmarkEnd w:id="1412"/>
      <w:bookmarkEnd w:id="1413"/>
      <w:bookmarkEnd w:id="1414"/>
      <w:bookmarkEnd w:id="1415"/>
    </w:p>
    <w:p w14:paraId="7CE27478" w14:textId="77777777" w:rsidR="007968EC" w:rsidRPr="007E757A" w:rsidRDefault="007968EC" w:rsidP="007968EC">
      <w:pPr>
        <w:jc w:val="both"/>
        <w:rPr>
          <w:rFonts w:ascii="Arial Narrow" w:hAnsi="Arial Narrow" w:cs="Arial"/>
          <w:color w:val="000000" w:themeColor="text1"/>
          <w:lang w:eastAsia="es-ES"/>
        </w:rPr>
      </w:pPr>
    </w:p>
    <w:p w14:paraId="169B226C" w14:textId="77777777" w:rsidR="007968EC" w:rsidRPr="002C0D19" w:rsidRDefault="007968EC" w:rsidP="007968EC">
      <w:pPr>
        <w:pStyle w:val="ANTECEDENTES"/>
      </w:pPr>
      <w:r>
        <w:t>(</w:t>
      </w:r>
      <w:r w:rsidRPr="002C0D19">
        <w:t>Este artículo fue modificado mediante Circular 22 del 14 de noviembre de 2014, publicada en el Boletín Normativo No. 025 del 14 de noviembre de 2014. Rige a partir del 18 de noviembre de 2014, mediante Circular 19 del 28 de diciembre de 2016, publicada en el Boletín Normativo No. 024 del 28 de diciembre de 2016 y mediante Circular 2 del 11 de enero de 2017, publicada en el Boletín Normativo No. 002 del 11 de enero de 2017. Rige a partir del 12 de enero de 2017.)</w:t>
      </w:r>
      <w:bookmarkEnd w:id="1416"/>
    </w:p>
    <w:p w14:paraId="58844267" w14:textId="77777777" w:rsidR="007968EC" w:rsidRPr="002C0D19" w:rsidRDefault="007968EC" w:rsidP="007968EC">
      <w:pPr>
        <w:jc w:val="both"/>
        <w:rPr>
          <w:rFonts w:ascii="Arial Narrow" w:hAnsi="Arial Narrow" w:cs="Arial"/>
          <w:b/>
          <w:color w:val="000000" w:themeColor="text1"/>
          <w:lang w:val="es-ES" w:eastAsia="es-ES"/>
        </w:rPr>
      </w:pPr>
    </w:p>
    <w:p w14:paraId="64F459F5"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Es la Cuenta empleada en cada Segmento para registrar automáticamente todas las Operaciones que al cierre del horario de Gestión de Operaciones de cada Segmento, no fueron asignadas de la Cuenta Diaria a una Cuenta Definitiva. El Registro de las Operaciones se realiza mediante la modalidad de neto. Esta Cuenta cuya titularidad pertenece al Miembro permitirá el Traspaso de operaciones para su Registro definitivo al inicio de la sesión de aceptación de operaciones del día hábil siguiente en el Segmento correspondiente. Si al cierre de la sesión de Cámara terminara alguna Operación en la Cuenta Residual, es responsabilidad del Miembro cumplir con las obligaciones generadas por tales Operaciones con respecto a su Garantía y al Tipo de Liquidación.</w:t>
      </w:r>
    </w:p>
    <w:p w14:paraId="0D2C0577" w14:textId="77777777" w:rsidR="007968EC" w:rsidRPr="002C0D19" w:rsidRDefault="007968EC" w:rsidP="007968EC">
      <w:pPr>
        <w:jc w:val="both"/>
        <w:rPr>
          <w:rFonts w:ascii="Arial Narrow" w:hAnsi="Arial Narrow" w:cs="Arial"/>
          <w:color w:val="000000" w:themeColor="text1"/>
          <w:lang w:val="es-ES" w:eastAsia="es-ES"/>
        </w:rPr>
      </w:pPr>
    </w:p>
    <w:p w14:paraId="6CDA6A90"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Igualmente es responsabilidad del Miembro, una vez asignadas las Operaciones de la Cuenta Residual del respectivo Segmento, ajustar las obligaciones de valores y efectivo entre el titular y su propia Posición, por los pagos y constitución de Garantías en que incurrió el Miembro al pagar, recibir o garantizar las obligaciones generadas por las operaciones asignadas tardíamente.</w:t>
      </w:r>
    </w:p>
    <w:p w14:paraId="12370955" w14:textId="77777777" w:rsidR="007968EC" w:rsidRPr="002C0D19" w:rsidRDefault="007968EC" w:rsidP="007968EC">
      <w:pPr>
        <w:jc w:val="both"/>
        <w:rPr>
          <w:rFonts w:ascii="Arial Narrow" w:hAnsi="Arial Narrow" w:cs="Arial"/>
          <w:color w:val="000000" w:themeColor="text1"/>
          <w:lang w:val="es-ES" w:eastAsia="es-ES"/>
        </w:rPr>
      </w:pPr>
    </w:p>
    <w:p w14:paraId="646DAE76"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lastRenderedPageBreak/>
        <w:t>Los Miembros deberán efectuar la regularización de las operaciones registradas en la Cuenta Residual a las Cuentas Definitivas de sus Terceros Identificados en el respectivo Segmento, a través de la gestión de Traspaso, sólo durante el siguiente día hábil a su registro original; de lo contrario, la Cámara podrá exigir las explicaciones pertinentes sobre el retraso en la gestión.</w:t>
      </w:r>
    </w:p>
    <w:p w14:paraId="5ECAC1A0" w14:textId="77777777" w:rsidR="007968EC" w:rsidRPr="002C0D19" w:rsidRDefault="007968EC" w:rsidP="007968EC">
      <w:pPr>
        <w:jc w:val="both"/>
        <w:rPr>
          <w:rFonts w:ascii="Arial Narrow" w:hAnsi="Arial Narrow" w:cs="Arial"/>
          <w:color w:val="000000" w:themeColor="text1"/>
          <w:lang w:eastAsia="es-ES"/>
        </w:rPr>
      </w:pPr>
    </w:p>
    <w:p w14:paraId="23731262" w14:textId="77777777" w:rsidR="007968EC" w:rsidRDefault="007968EC" w:rsidP="007968EC">
      <w:pPr>
        <w:pStyle w:val="ARTICULO0"/>
      </w:pPr>
      <w:bookmarkStart w:id="1417" w:name="_Toc206134812"/>
      <w:bookmarkStart w:id="1418" w:name="_Toc472592102"/>
      <w:bookmarkStart w:id="1419" w:name="_Toc472593121"/>
      <w:bookmarkStart w:id="1420" w:name="_Toc479056907"/>
      <w:bookmarkStart w:id="1421" w:name="_Toc31715916"/>
      <w:bookmarkStart w:id="1422" w:name="_Toc470775423"/>
      <w:bookmarkStart w:id="1423" w:name="_Toc470779708"/>
      <w:bookmarkStart w:id="1424" w:name="_Toc470780325"/>
      <w:bookmarkStart w:id="1425" w:name="_Toc470780838"/>
      <w:bookmarkStart w:id="1426" w:name="_Toc470784399"/>
      <w:bookmarkStart w:id="1427" w:name="_Toc470784936"/>
      <w:bookmarkStart w:id="1428" w:name="_Toc470786959"/>
      <w:bookmarkStart w:id="1429" w:name="_Toc470791312"/>
      <w:bookmarkStart w:id="1430" w:name="_Toc490066217"/>
      <w:r w:rsidRPr="002C0D19">
        <w:t>Artículo 1.4.1.7. Estructura de las Cuentas en el Sistema de Cámara.</w:t>
      </w:r>
      <w:bookmarkEnd w:id="1417"/>
      <w:bookmarkEnd w:id="1418"/>
      <w:bookmarkEnd w:id="1419"/>
      <w:bookmarkEnd w:id="1420"/>
      <w:bookmarkEnd w:id="1421"/>
      <w:r w:rsidRPr="002C0D19">
        <w:t xml:space="preserve"> </w:t>
      </w:r>
    </w:p>
    <w:p w14:paraId="10950BBA" w14:textId="77777777" w:rsidR="007968EC" w:rsidRPr="007E757A" w:rsidRDefault="007968EC" w:rsidP="007968EC">
      <w:pPr>
        <w:jc w:val="both"/>
        <w:rPr>
          <w:rFonts w:ascii="Arial Narrow" w:hAnsi="Arial Narrow" w:cs="Arial"/>
          <w:color w:val="000000" w:themeColor="text1"/>
          <w:lang w:eastAsia="es-ES"/>
        </w:rPr>
      </w:pPr>
    </w:p>
    <w:p w14:paraId="40EF950B" w14:textId="77777777" w:rsidR="007968EC" w:rsidRPr="002C0D19" w:rsidRDefault="007968EC" w:rsidP="007968EC">
      <w:pPr>
        <w:pStyle w:val="ANTECEDENTES"/>
      </w:pPr>
      <w:r w:rsidRPr="002C0D19">
        <w:t xml:space="preserve">(Este artículo fue modificado mediante Circular 7 del 28 de abril de 2011, publicada en el Boletín Normativo No. 007 del 28 de abril de 2011 y mediante Circular 22 del 14 de noviembre de 2014, publicada en el Boletín Normativo No. 025 del 14 de noviembre de 2014, renumerado mediante </w:t>
      </w:r>
      <w:r w:rsidRPr="002C0D19">
        <w:rPr>
          <w:lang w:val="es-ES"/>
        </w:rPr>
        <w:t>Circular 19 del 28 de diciembre de 2016, publicada en el Boletín Normativo No. 024 del 28 de diciembre de 2016</w:t>
      </w:r>
      <w:bookmarkEnd w:id="1422"/>
      <w:bookmarkEnd w:id="1423"/>
      <w:bookmarkEnd w:id="1424"/>
      <w:bookmarkEnd w:id="1425"/>
      <w:bookmarkEnd w:id="1426"/>
      <w:bookmarkEnd w:id="1427"/>
      <w:bookmarkEnd w:id="1428"/>
      <w:bookmarkEnd w:id="1429"/>
      <w:r>
        <w:rPr>
          <w:lang w:val="es-ES"/>
        </w:rPr>
        <w:t xml:space="preserve">, </w:t>
      </w:r>
      <w:r w:rsidRPr="002C0D19">
        <w:rPr>
          <w:lang w:val="es-ES"/>
        </w:rPr>
        <w:t xml:space="preserve">mediante Circular 2 del 11 de enero de 2017, publicada mediante Boletín Normativo </w:t>
      </w:r>
      <w:r>
        <w:rPr>
          <w:lang w:val="es-ES"/>
        </w:rPr>
        <w:t>No. 002 del 2 de enero de 2017, mediante Circular 14 del 30</w:t>
      </w:r>
      <w:r w:rsidRPr="002C0D19">
        <w:rPr>
          <w:lang w:val="es-ES"/>
        </w:rPr>
        <w:t xml:space="preserve"> de</w:t>
      </w:r>
      <w:r>
        <w:rPr>
          <w:lang w:val="es-ES"/>
        </w:rPr>
        <w:t xml:space="preserve"> noviembre de 2018</w:t>
      </w:r>
      <w:r w:rsidRPr="002C0D19">
        <w:rPr>
          <w:lang w:val="es-ES"/>
        </w:rPr>
        <w:t>, publicada me</w:t>
      </w:r>
      <w:r>
        <w:rPr>
          <w:lang w:val="es-ES"/>
        </w:rPr>
        <w:t>diante Boletín Normativo No. 027 del 30</w:t>
      </w:r>
      <w:r w:rsidRPr="002C0D19">
        <w:rPr>
          <w:lang w:val="es-ES"/>
        </w:rPr>
        <w:t xml:space="preserve"> de </w:t>
      </w:r>
      <w:r>
        <w:rPr>
          <w:lang w:val="es-ES"/>
        </w:rPr>
        <w:t xml:space="preserve">noviembre de 2018 y mediante Circular 15 del 18 de diciembre de 2018, publicada en el Boletín Normativo No. 028 del 18 de diciembre de 2018. </w:t>
      </w:r>
      <w:r w:rsidRPr="002C0D19">
        <w:rPr>
          <w:lang w:val="es-ES"/>
        </w:rPr>
        <w:t>Rige</w:t>
      </w:r>
      <w:r>
        <w:rPr>
          <w:lang w:val="es-ES"/>
        </w:rPr>
        <w:t xml:space="preserve"> a partir del 19</w:t>
      </w:r>
      <w:r w:rsidRPr="002C0D19">
        <w:rPr>
          <w:lang w:val="es-ES"/>
        </w:rPr>
        <w:t xml:space="preserve"> de </w:t>
      </w:r>
      <w:r>
        <w:rPr>
          <w:lang w:val="es-ES"/>
        </w:rPr>
        <w:t>diciembre de 2018</w:t>
      </w:r>
      <w:r w:rsidRPr="002C0D19">
        <w:rPr>
          <w:lang w:val="es-ES"/>
        </w:rPr>
        <w:t>.)</w:t>
      </w:r>
      <w:bookmarkEnd w:id="1430"/>
    </w:p>
    <w:p w14:paraId="4235A2DC"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1EB59FED" w14:textId="77777777" w:rsidR="007968EC" w:rsidRPr="002C0D19" w:rsidRDefault="007968EC" w:rsidP="007968EC">
      <w:pPr>
        <w:jc w:val="both"/>
        <w:rPr>
          <w:rFonts w:ascii="Arial Narrow" w:eastAsia="Calibri" w:hAnsi="Arial Narrow"/>
          <w:color w:val="000000" w:themeColor="text1"/>
          <w:lang w:val="es-ES"/>
        </w:rPr>
      </w:pPr>
      <w:r w:rsidRPr="002C0D19">
        <w:rPr>
          <w:rFonts w:ascii="Arial Narrow" w:eastAsia="Calibri" w:hAnsi="Arial Narrow"/>
          <w:color w:val="000000" w:themeColor="text1"/>
          <w:lang w:val="es-ES"/>
        </w:rPr>
        <w:t xml:space="preserve">Las Cuentas en el Sistema de la Cámara se identifican con un código alfanumérico de </w:t>
      </w:r>
      <w:r>
        <w:rPr>
          <w:rFonts w:ascii="Arial Narrow" w:eastAsia="Calibri" w:hAnsi="Arial Narrow"/>
          <w:color w:val="000000" w:themeColor="text1"/>
          <w:lang w:val="es-ES"/>
        </w:rPr>
        <w:t>cinco</w:t>
      </w:r>
      <w:r w:rsidRPr="002C0D19">
        <w:rPr>
          <w:rFonts w:ascii="Arial Narrow" w:eastAsia="Calibri" w:hAnsi="Arial Narrow"/>
          <w:color w:val="000000" w:themeColor="text1"/>
          <w:lang w:val="es-ES"/>
        </w:rPr>
        <w:t xml:space="preserve"> (</w:t>
      </w:r>
      <w:r>
        <w:rPr>
          <w:rFonts w:ascii="Arial Narrow" w:eastAsia="Calibri" w:hAnsi="Arial Narrow"/>
          <w:color w:val="000000" w:themeColor="text1"/>
          <w:lang w:val="es-ES"/>
        </w:rPr>
        <w:t>5</w:t>
      </w:r>
      <w:r w:rsidRPr="002C0D19">
        <w:rPr>
          <w:rFonts w:ascii="Arial Narrow" w:eastAsia="Calibri" w:hAnsi="Arial Narrow"/>
          <w:color w:val="000000" w:themeColor="text1"/>
          <w:lang w:val="es-ES"/>
        </w:rPr>
        <w:t>) dígitos</w:t>
      </w:r>
      <w:r>
        <w:rPr>
          <w:rFonts w:ascii="Arial Narrow" w:eastAsia="Calibri" w:hAnsi="Arial Narrow"/>
          <w:color w:val="000000" w:themeColor="text1"/>
          <w:lang w:val="es-ES"/>
        </w:rPr>
        <w:t>.</w:t>
      </w:r>
    </w:p>
    <w:p w14:paraId="38C4FDF2" w14:textId="77777777" w:rsidR="007968EC" w:rsidRPr="002C0D19" w:rsidRDefault="007968EC" w:rsidP="007968EC">
      <w:pPr>
        <w:jc w:val="both"/>
        <w:rPr>
          <w:rFonts w:ascii="Arial Narrow" w:eastAsia="Calibri" w:hAnsi="Arial Narrow"/>
          <w:b/>
          <w:bCs/>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tblGrid>
      <w:tr w:rsidR="007968EC" w:rsidRPr="002C0D19" w14:paraId="0A896E60" w14:textId="77777777" w:rsidTr="007968EC">
        <w:trPr>
          <w:jc w:val="center"/>
        </w:trPr>
        <w:tc>
          <w:tcPr>
            <w:tcW w:w="1129" w:type="dxa"/>
            <w:shd w:val="clear" w:color="auto" w:fill="D9D9D9"/>
          </w:tcPr>
          <w:p w14:paraId="784F0540" w14:textId="77777777" w:rsidR="007968EC" w:rsidRPr="002C0D19" w:rsidRDefault="007968EC" w:rsidP="007968EC">
            <w:pPr>
              <w:autoSpaceDE w:val="0"/>
              <w:autoSpaceDN w:val="0"/>
              <w:adjustRightInd w:val="0"/>
              <w:jc w:val="center"/>
              <w:rPr>
                <w:rFonts w:ascii="Arial Narrow" w:eastAsia="Calibri" w:hAnsi="Arial Narrow"/>
                <w:color w:val="000000" w:themeColor="text1"/>
              </w:rPr>
            </w:pPr>
            <w:r w:rsidRPr="002C0D19">
              <w:rPr>
                <w:rFonts w:ascii="Arial Narrow" w:eastAsia="Calibri" w:hAnsi="Arial Narrow"/>
                <w:color w:val="000000" w:themeColor="text1"/>
              </w:rPr>
              <w:t>Cuenta</w:t>
            </w:r>
          </w:p>
        </w:tc>
      </w:tr>
      <w:tr w:rsidR="007968EC" w:rsidRPr="002C0D19" w14:paraId="4821A10E" w14:textId="77777777" w:rsidTr="007968EC">
        <w:trPr>
          <w:jc w:val="center"/>
        </w:trPr>
        <w:tc>
          <w:tcPr>
            <w:tcW w:w="1129" w:type="dxa"/>
          </w:tcPr>
          <w:p w14:paraId="555C11BF" w14:textId="77777777" w:rsidR="007968EC" w:rsidRPr="002C0D19" w:rsidRDefault="007968EC" w:rsidP="007968EC">
            <w:pPr>
              <w:autoSpaceDE w:val="0"/>
              <w:autoSpaceDN w:val="0"/>
              <w:adjustRightInd w:val="0"/>
              <w:jc w:val="center"/>
              <w:rPr>
                <w:rFonts w:ascii="Arial Narrow" w:eastAsia="Calibri" w:hAnsi="Arial Narrow"/>
                <w:color w:val="000000" w:themeColor="text1"/>
              </w:rPr>
            </w:pPr>
            <w:r w:rsidRPr="002C0D19">
              <w:rPr>
                <w:rFonts w:ascii="Arial Narrow" w:eastAsia="Calibri" w:hAnsi="Arial Narrow"/>
                <w:color w:val="000000" w:themeColor="text1"/>
              </w:rPr>
              <w:t>T01</w:t>
            </w:r>
            <w:r>
              <w:rPr>
                <w:rFonts w:ascii="Arial Narrow" w:eastAsia="Calibri" w:hAnsi="Arial Narrow"/>
                <w:color w:val="000000" w:themeColor="text1"/>
              </w:rPr>
              <w:t>01</w:t>
            </w:r>
          </w:p>
        </w:tc>
      </w:tr>
    </w:tbl>
    <w:p w14:paraId="4D2C79AA" w14:textId="77777777" w:rsidR="007968EC" w:rsidRPr="002C0D19" w:rsidRDefault="007968EC" w:rsidP="007968EC">
      <w:pPr>
        <w:jc w:val="both"/>
        <w:rPr>
          <w:rFonts w:ascii="Arial Narrow" w:eastAsia="Calibri" w:hAnsi="Arial Narrow"/>
          <w:b/>
          <w:bCs/>
          <w:color w:val="000000" w:themeColor="text1"/>
        </w:rPr>
      </w:pPr>
    </w:p>
    <w:p w14:paraId="3E4457F5"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eastAsia="Calibri" w:hAnsi="Arial Narrow"/>
          <w:color w:val="000000" w:themeColor="text1"/>
        </w:rPr>
        <w:t>Las posiciones abiertas, la Liquidación Diaria, la Liquidación al Vencimiento, las Garantías por Posición exigibles y constituidas, son calculadas por el Sistema a nivel de Cuenta</w:t>
      </w:r>
      <w:r>
        <w:rPr>
          <w:rFonts w:ascii="Arial Narrow" w:eastAsia="Calibri" w:hAnsi="Arial Narrow"/>
          <w:color w:val="000000" w:themeColor="text1"/>
        </w:rPr>
        <w:t>.</w:t>
      </w:r>
    </w:p>
    <w:p w14:paraId="5EEF2CBE"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18944D97" w14:textId="77777777" w:rsidR="007968EC" w:rsidRDefault="007968EC" w:rsidP="007968EC">
      <w:pPr>
        <w:keepNext/>
        <w:tabs>
          <w:tab w:val="left" w:pos="1985"/>
        </w:tabs>
        <w:jc w:val="both"/>
        <w:outlineLvl w:val="2"/>
        <w:rPr>
          <w:rFonts w:ascii="Arial Narrow" w:hAnsi="Arial Narrow" w:cs="Arial"/>
          <w:b/>
          <w:color w:val="000000" w:themeColor="text1"/>
          <w:lang w:eastAsia="es-ES"/>
        </w:rPr>
      </w:pPr>
      <w:bookmarkStart w:id="1431" w:name="_Toc31715917"/>
      <w:bookmarkStart w:id="1432" w:name="_Toc472592103"/>
      <w:bookmarkStart w:id="1433" w:name="_Toc472593122"/>
      <w:bookmarkStart w:id="1434" w:name="_Toc479056908"/>
      <w:bookmarkStart w:id="1435" w:name="_Toc470775424"/>
      <w:bookmarkStart w:id="1436" w:name="_Toc470779709"/>
      <w:bookmarkStart w:id="1437" w:name="_Toc470780326"/>
      <w:bookmarkStart w:id="1438" w:name="_Toc470780839"/>
      <w:bookmarkStart w:id="1439" w:name="_Toc470784400"/>
      <w:bookmarkStart w:id="1440" w:name="_Toc470784937"/>
      <w:bookmarkStart w:id="1441" w:name="_Toc470786960"/>
      <w:bookmarkStart w:id="1442" w:name="_Toc470791313"/>
      <w:bookmarkStart w:id="1443" w:name="_Toc490066218"/>
      <w:r w:rsidRPr="007E757A">
        <w:rPr>
          <w:rStyle w:val="ARTICULOCar"/>
          <w:rFonts w:eastAsiaTheme="minorHAnsi"/>
        </w:rPr>
        <w:t>Artículo 1.4.1.8. Cuantificación de riesgo a partir de la modalidad de Registro de Operaciones</w:t>
      </w:r>
      <w:bookmarkEnd w:id="1431"/>
      <w:r w:rsidRPr="002C0D19">
        <w:rPr>
          <w:rFonts w:ascii="Arial Narrow" w:hAnsi="Arial Narrow" w:cs="Arial"/>
          <w:b/>
          <w:color w:val="000000" w:themeColor="text1"/>
          <w:u w:val="single"/>
          <w:lang w:eastAsia="es-ES"/>
        </w:rPr>
        <w:t>.</w:t>
      </w:r>
      <w:bookmarkEnd w:id="1432"/>
      <w:bookmarkEnd w:id="1433"/>
      <w:bookmarkEnd w:id="1434"/>
      <w:r w:rsidRPr="002C0D19">
        <w:rPr>
          <w:rFonts w:ascii="Arial Narrow" w:hAnsi="Arial Narrow" w:cs="Arial"/>
          <w:b/>
          <w:color w:val="000000" w:themeColor="text1"/>
          <w:lang w:eastAsia="es-ES"/>
        </w:rPr>
        <w:t xml:space="preserve"> </w:t>
      </w:r>
    </w:p>
    <w:p w14:paraId="0C716829" w14:textId="77777777" w:rsidR="007968EC" w:rsidRPr="007E757A" w:rsidRDefault="007968EC" w:rsidP="007968EC">
      <w:pPr>
        <w:jc w:val="both"/>
        <w:rPr>
          <w:rFonts w:ascii="Arial Narrow" w:hAnsi="Arial Narrow" w:cs="Arial"/>
          <w:color w:val="000000" w:themeColor="text1"/>
          <w:lang w:eastAsia="es-ES"/>
        </w:rPr>
      </w:pPr>
    </w:p>
    <w:p w14:paraId="75B59940" w14:textId="77777777" w:rsidR="007968EC" w:rsidRPr="002C0D19" w:rsidRDefault="007968EC" w:rsidP="007968EC">
      <w:pPr>
        <w:pStyle w:val="ANTECEDENTES"/>
        <w:rPr>
          <w:u w:val="single"/>
        </w:rPr>
      </w:pPr>
      <w:r w:rsidRPr="002C0D19">
        <w:t>(Este artículo fue modificado</w:t>
      </w:r>
      <w:r w:rsidRPr="002C0D19">
        <w:rPr>
          <w:u w:val="single"/>
        </w:rPr>
        <w:t xml:space="preserve"> </w:t>
      </w:r>
      <w:r w:rsidRPr="002C0D19">
        <w:t>mediante Circular 24 del 6 de agosto de 2015, publicada en el Boletín Normativo No. 026 del 6 de agosto de 2015. Rige a partir del 10 de agosto de 2015 y modificado mediante Circular 19 del 28 de diciembre de 2016, publicada en el Boletín Normativo No. 024 del 28 de diciembre de 2016. Rige a partir del 29 de diciembre de 2016.)</w:t>
      </w:r>
      <w:bookmarkEnd w:id="1435"/>
      <w:bookmarkEnd w:id="1436"/>
      <w:bookmarkEnd w:id="1437"/>
      <w:bookmarkEnd w:id="1438"/>
      <w:bookmarkEnd w:id="1439"/>
      <w:bookmarkEnd w:id="1440"/>
      <w:bookmarkEnd w:id="1441"/>
      <w:bookmarkEnd w:id="1442"/>
      <w:bookmarkEnd w:id="1443"/>
    </w:p>
    <w:p w14:paraId="52C51A78" w14:textId="77777777" w:rsidR="007968EC" w:rsidRPr="002C0D19" w:rsidRDefault="007968EC" w:rsidP="007968EC">
      <w:pPr>
        <w:jc w:val="both"/>
        <w:rPr>
          <w:rFonts w:ascii="Arial Narrow" w:hAnsi="Arial Narrow" w:cs="Arial"/>
          <w:color w:val="000000" w:themeColor="text1"/>
          <w:lang w:val="es-ES" w:eastAsia="es-ES"/>
        </w:rPr>
      </w:pPr>
    </w:p>
    <w:p w14:paraId="6E954EEC"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De manera independiente a la modalidad en que las Operaciones se registran en una Cuenta de Cámara, el riesgo generado por una Posición Abierta de las Operaciones Aceptadas de todos los Activos puede ser calculado también de forma neta o bruta. En el caso de la Cuenta Diaria en la cual no se ha efectuado la Asignación a la Cuenta del titular de la Operación, el riesgo de la Cuenta se calcula en bruto, lo que implica que el riesgo de las Operaciones de compra es independiente del riesgo de las Operaciones de venta mientras se encuentren en este tipo de Cuentas.</w:t>
      </w:r>
    </w:p>
    <w:p w14:paraId="7101B210" w14:textId="77777777" w:rsidR="007968EC" w:rsidRPr="002C0D19" w:rsidRDefault="007968EC" w:rsidP="007968EC">
      <w:pPr>
        <w:jc w:val="both"/>
        <w:rPr>
          <w:rFonts w:ascii="Arial Narrow" w:hAnsi="Arial Narrow" w:cs="Arial"/>
          <w:color w:val="000000" w:themeColor="text1"/>
          <w:lang w:val="es-ES" w:eastAsia="es-ES"/>
        </w:rPr>
      </w:pPr>
    </w:p>
    <w:p w14:paraId="6918F33D"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Las Operaciones registradas en las Cuentas Definitivas y en la Cuenta Residual generan riesgo por el neto de la Posición de acuerdo con la metodología de cálculo de Garantías establecido en la presente Circular.</w:t>
      </w:r>
    </w:p>
    <w:p w14:paraId="7D386CDC" w14:textId="77777777" w:rsidR="007968EC" w:rsidRPr="002C0D19" w:rsidRDefault="007968EC" w:rsidP="007968EC">
      <w:pPr>
        <w:jc w:val="both"/>
        <w:rPr>
          <w:rFonts w:ascii="Arial Narrow" w:hAnsi="Arial Narrow" w:cs="Arial"/>
          <w:color w:val="000000" w:themeColor="text1"/>
          <w:lang w:val="es-ES" w:eastAsia="es-ES"/>
        </w:rPr>
      </w:pPr>
    </w:p>
    <w:p w14:paraId="78B51DDE"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 w:eastAsia="es-ES"/>
        </w:rPr>
        <w:lastRenderedPageBreak/>
        <w:t>Parágrafo.</w:t>
      </w:r>
      <w:r w:rsidRPr="002C0D19">
        <w:rPr>
          <w:rFonts w:ascii="Arial Narrow" w:hAnsi="Arial Narrow" w:cs="Arial"/>
          <w:color w:val="000000" w:themeColor="text1"/>
          <w:lang w:val="es-ES" w:eastAsia="es-ES"/>
        </w:rPr>
        <w:t xml:space="preserve"> En el caso en que un titular tenga Cuentas habilitadas en varios Segmentos, el riesgo se calcula en neto de manera independiente para cada Segmento.</w:t>
      </w:r>
    </w:p>
    <w:p w14:paraId="5747C7DB" w14:textId="77777777" w:rsidR="007968EC" w:rsidRPr="002C0D19" w:rsidRDefault="007968EC" w:rsidP="007968EC">
      <w:pPr>
        <w:jc w:val="both"/>
        <w:rPr>
          <w:rFonts w:ascii="Arial Narrow" w:hAnsi="Arial Narrow" w:cs="Arial"/>
          <w:color w:val="000000" w:themeColor="text1"/>
          <w:lang w:val="es-ES" w:eastAsia="es-ES"/>
        </w:rPr>
      </w:pPr>
    </w:p>
    <w:p w14:paraId="77CB0049" w14:textId="77777777" w:rsidR="007968EC" w:rsidRPr="002C0D19" w:rsidRDefault="007968EC" w:rsidP="007968EC">
      <w:pPr>
        <w:pStyle w:val="TTULO"/>
        <w:rPr>
          <w:lang w:val="es-ES"/>
        </w:rPr>
      </w:pPr>
      <w:bookmarkStart w:id="1444" w:name="_Toc470775425"/>
      <w:bookmarkStart w:id="1445" w:name="_Toc470779710"/>
      <w:bookmarkStart w:id="1446" w:name="_Toc470780327"/>
      <w:bookmarkStart w:id="1447" w:name="_Toc470780840"/>
      <w:bookmarkStart w:id="1448" w:name="_Toc470784401"/>
      <w:bookmarkStart w:id="1449" w:name="_Toc470784938"/>
      <w:bookmarkStart w:id="1450" w:name="_Toc470786961"/>
      <w:bookmarkStart w:id="1451" w:name="_Toc470791314"/>
      <w:bookmarkStart w:id="1452" w:name="_Toc472592104"/>
      <w:bookmarkStart w:id="1453" w:name="_Toc472593123"/>
      <w:bookmarkStart w:id="1454" w:name="_Toc479056909"/>
      <w:bookmarkStart w:id="1455" w:name="_Toc490066219"/>
      <w:bookmarkStart w:id="1456" w:name="_Toc31715918"/>
      <w:r w:rsidRPr="002C0D19">
        <w:rPr>
          <w:lang w:val="es-ES"/>
        </w:rPr>
        <w:t>CAPÍTULO SEGUNDO</w:t>
      </w:r>
      <w:bookmarkEnd w:id="1444"/>
      <w:bookmarkEnd w:id="1445"/>
      <w:bookmarkEnd w:id="1446"/>
      <w:bookmarkEnd w:id="1447"/>
      <w:bookmarkEnd w:id="1448"/>
      <w:bookmarkEnd w:id="1449"/>
      <w:bookmarkEnd w:id="1450"/>
      <w:bookmarkEnd w:id="1451"/>
      <w:bookmarkEnd w:id="1452"/>
      <w:bookmarkEnd w:id="1453"/>
      <w:bookmarkEnd w:id="1454"/>
      <w:bookmarkEnd w:id="1455"/>
      <w:bookmarkEnd w:id="1456"/>
    </w:p>
    <w:p w14:paraId="41D6E7A8" w14:textId="77777777" w:rsidR="007968EC" w:rsidRPr="002C0D19" w:rsidRDefault="007968EC" w:rsidP="007968EC">
      <w:pPr>
        <w:pStyle w:val="TTULO"/>
        <w:rPr>
          <w:lang w:val="es-ES"/>
        </w:rPr>
      </w:pPr>
    </w:p>
    <w:p w14:paraId="6C81EAAD" w14:textId="77777777" w:rsidR="007968EC" w:rsidRPr="002C0D19" w:rsidRDefault="007968EC" w:rsidP="007968EC">
      <w:pPr>
        <w:pStyle w:val="TTULO"/>
        <w:rPr>
          <w:lang w:val="es-ES"/>
        </w:rPr>
      </w:pPr>
      <w:bookmarkStart w:id="1457" w:name="_Toc470775426"/>
      <w:bookmarkStart w:id="1458" w:name="_Toc470779711"/>
      <w:bookmarkStart w:id="1459" w:name="_Toc470780328"/>
      <w:bookmarkStart w:id="1460" w:name="_Toc470780841"/>
      <w:bookmarkStart w:id="1461" w:name="_Toc470784402"/>
      <w:bookmarkStart w:id="1462" w:name="_Toc470784939"/>
      <w:bookmarkStart w:id="1463" w:name="_Toc470786962"/>
      <w:bookmarkStart w:id="1464" w:name="_Toc470791315"/>
      <w:bookmarkStart w:id="1465" w:name="_Toc472592105"/>
      <w:bookmarkStart w:id="1466" w:name="_Toc472593124"/>
      <w:bookmarkStart w:id="1467" w:name="_Toc479056910"/>
      <w:bookmarkStart w:id="1468" w:name="_Toc490066220"/>
      <w:bookmarkStart w:id="1469" w:name="_Toc31715919"/>
      <w:r w:rsidRPr="002C0D19">
        <w:rPr>
          <w:lang w:val="es-ES"/>
        </w:rPr>
        <w:t>TIPOS DE GESTIÓN DE LAS OPERACIONES</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p>
    <w:p w14:paraId="4F14D619" w14:textId="77777777" w:rsidR="007968EC" w:rsidRPr="002C0D19" w:rsidRDefault="007968EC" w:rsidP="007968EC">
      <w:pPr>
        <w:jc w:val="center"/>
        <w:outlineLvl w:val="1"/>
        <w:rPr>
          <w:rFonts w:ascii="Arial Narrow" w:hAnsi="Arial Narrow" w:cs="Arial"/>
          <w:b/>
          <w:color w:val="000000" w:themeColor="text1"/>
          <w:lang w:eastAsia="es-ES"/>
        </w:rPr>
      </w:pPr>
    </w:p>
    <w:p w14:paraId="6D66629B" w14:textId="77777777" w:rsidR="007968EC" w:rsidRDefault="007968EC" w:rsidP="007968EC">
      <w:pPr>
        <w:pStyle w:val="ARTICULO0"/>
        <w:rPr>
          <w:i/>
        </w:rPr>
      </w:pPr>
      <w:bookmarkStart w:id="1470" w:name="_Toc472592106"/>
      <w:bookmarkStart w:id="1471" w:name="_Toc472593125"/>
      <w:bookmarkStart w:id="1472" w:name="_Toc479056911"/>
      <w:bookmarkStart w:id="1473" w:name="_Toc31715920"/>
      <w:bookmarkStart w:id="1474" w:name="_Toc470775427"/>
      <w:bookmarkStart w:id="1475" w:name="_Toc470779712"/>
      <w:bookmarkStart w:id="1476" w:name="_Toc470780329"/>
      <w:bookmarkStart w:id="1477" w:name="_Toc470780842"/>
      <w:bookmarkStart w:id="1478" w:name="_Toc470784403"/>
      <w:bookmarkStart w:id="1479" w:name="_Toc470784940"/>
      <w:bookmarkStart w:id="1480" w:name="_Toc470786963"/>
      <w:bookmarkStart w:id="1481" w:name="_Toc470791316"/>
      <w:bookmarkStart w:id="1482" w:name="_Toc490066221"/>
      <w:r w:rsidRPr="002C0D19">
        <w:t>Artículo 1.4.2.1. Identificación de los tipos de gestión de las Operaciones Aceptadas.</w:t>
      </w:r>
      <w:bookmarkEnd w:id="1470"/>
      <w:bookmarkEnd w:id="1471"/>
      <w:bookmarkEnd w:id="1472"/>
      <w:bookmarkEnd w:id="1473"/>
      <w:r w:rsidRPr="002C0D19">
        <w:rPr>
          <w:i/>
        </w:rPr>
        <w:t xml:space="preserve"> </w:t>
      </w:r>
    </w:p>
    <w:p w14:paraId="0BE1D93C" w14:textId="77777777" w:rsidR="007968EC" w:rsidRPr="007E757A" w:rsidRDefault="007968EC" w:rsidP="007968EC">
      <w:pPr>
        <w:jc w:val="both"/>
        <w:rPr>
          <w:rFonts w:ascii="Arial Narrow" w:hAnsi="Arial Narrow" w:cs="Arial"/>
          <w:color w:val="000000" w:themeColor="text1"/>
          <w:lang w:eastAsia="es-ES"/>
        </w:rPr>
      </w:pPr>
    </w:p>
    <w:p w14:paraId="72578F43" w14:textId="77777777" w:rsidR="007968EC" w:rsidRPr="002C0D19" w:rsidRDefault="007968EC" w:rsidP="007968EC">
      <w:pPr>
        <w:pStyle w:val="ANTECEDENTES"/>
        <w:rPr>
          <w:u w:val="single"/>
        </w:rPr>
      </w:pPr>
      <w:r w:rsidRPr="002C0D19">
        <w:t>(Este artículo fue modificado mediante Circular 19 del 28 de diciembre de 2016, publicada en el Boletín Normativo No. 024 del 28 de diciembre de 2016. Rige a partir del 29 de diciembre de 2016.)</w:t>
      </w:r>
      <w:bookmarkEnd w:id="1474"/>
      <w:bookmarkEnd w:id="1475"/>
      <w:bookmarkEnd w:id="1476"/>
      <w:bookmarkEnd w:id="1477"/>
      <w:bookmarkEnd w:id="1478"/>
      <w:bookmarkEnd w:id="1479"/>
      <w:bookmarkEnd w:id="1480"/>
      <w:bookmarkEnd w:id="1481"/>
      <w:bookmarkEnd w:id="1482"/>
    </w:p>
    <w:p w14:paraId="241FED96" w14:textId="77777777" w:rsidR="007968EC" w:rsidRPr="002C0D19" w:rsidRDefault="007968EC" w:rsidP="007968EC">
      <w:pPr>
        <w:jc w:val="both"/>
        <w:rPr>
          <w:rFonts w:ascii="Arial Narrow" w:hAnsi="Arial Narrow" w:cs="Arial"/>
          <w:color w:val="000000" w:themeColor="text1"/>
          <w:lang w:val="es-ES" w:eastAsia="es-ES"/>
        </w:rPr>
      </w:pPr>
    </w:p>
    <w:p w14:paraId="77EA4ADC"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Las Operaciones Aceptadas en la Cámara son susceptibles de gestionarse e identificarse en el Sistema de la Cámara desde su origen y de manera completa de acuerdo con su tipo y dentro de cada Segmento, de la siguiente forma:</w:t>
      </w:r>
    </w:p>
    <w:p w14:paraId="7246E30A"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2"/>
        <w:gridCol w:w="4322"/>
      </w:tblGrid>
      <w:tr w:rsidR="007968EC" w:rsidRPr="002C0D19" w14:paraId="19617A02" w14:textId="77777777" w:rsidTr="007968EC">
        <w:tc>
          <w:tcPr>
            <w:tcW w:w="4322" w:type="dxa"/>
          </w:tcPr>
          <w:p w14:paraId="2480E00F"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Tipo de Gestión</w:t>
            </w:r>
          </w:p>
        </w:tc>
        <w:tc>
          <w:tcPr>
            <w:tcW w:w="4322" w:type="dxa"/>
          </w:tcPr>
          <w:p w14:paraId="7F2068CD"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Identificación</w:t>
            </w:r>
          </w:p>
        </w:tc>
      </w:tr>
      <w:tr w:rsidR="007968EC" w:rsidRPr="002C0D19" w14:paraId="6337D8B6" w14:textId="77777777" w:rsidTr="007968EC">
        <w:tc>
          <w:tcPr>
            <w:tcW w:w="4322" w:type="dxa"/>
          </w:tcPr>
          <w:p w14:paraId="4B926A2E"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Asignación</w:t>
            </w:r>
          </w:p>
        </w:tc>
        <w:tc>
          <w:tcPr>
            <w:tcW w:w="4322" w:type="dxa"/>
          </w:tcPr>
          <w:p w14:paraId="4B003D2E"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D</w:t>
            </w:r>
          </w:p>
        </w:tc>
      </w:tr>
      <w:tr w:rsidR="007968EC" w:rsidRPr="002C0D19" w14:paraId="5B5BE148" w14:textId="77777777" w:rsidTr="007968EC">
        <w:tc>
          <w:tcPr>
            <w:tcW w:w="4322" w:type="dxa"/>
          </w:tcPr>
          <w:p w14:paraId="7081B780"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Traspaso de Operaciones</w:t>
            </w:r>
          </w:p>
        </w:tc>
        <w:tc>
          <w:tcPr>
            <w:tcW w:w="4322" w:type="dxa"/>
          </w:tcPr>
          <w:p w14:paraId="3B698D3B"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T</w:t>
            </w:r>
          </w:p>
        </w:tc>
      </w:tr>
      <w:tr w:rsidR="007968EC" w:rsidRPr="002C0D19" w14:paraId="41EBE6B6" w14:textId="77777777" w:rsidTr="007968EC">
        <w:tc>
          <w:tcPr>
            <w:tcW w:w="4322" w:type="dxa"/>
          </w:tcPr>
          <w:p w14:paraId="6EDE609E"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Traspaso de Posición</w:t>
            </w:r>
          </w:p>
        </w:tc>
        <w:tc>
          <w:tcPr>
            <w:tcW w:w="4322" w:type="dxa"/>
          </w:tcPr>
          <w:p w14:paraId="642D88F4"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Z</w:t>
            </w:r>
          </w:p>
        </w:tc>
      </w:tr>
      <w:tr w:rsidR="007968EC" w:rsidRPr="002C0D19" w14:paraId="161606C1" w14:textId="77777777" w:rsidTr="007968EC">
        <w:tc>
          <w:tcPr>
            <w:tcW w:w="4322" w:type="dxa"/>
          </w:tcPr>
          <w:p w14:paraId="11FEA771" w14:textId="77777777" w:rsidR="007968EC" w:rsidRPr="002C0D19" w:rsidRDefault="007968EC" w:rsidP="007968EC">
            <w:pPr>
              <w:jc w:val="both"/>
              <w:rPr>
                <w:rFonts w:ascii="Arial Narrow" w:hAnsi="Arial Narrow" w:cs="Arial"/>
                <w:color w:val="000000" w:themeColor="text1"/>
                <w:lang w:val="es-ES" w:eastAsia="es-ES"/>
              </w:rPr>
            </w:pPr>
            <w:proofErr w:type="spellStart"/>
            <w:r w:rsidRPr="002C0D19">
              <w:rPr>
                <w:rFonts w:ascii="Arial Narrow" w:hAnsi="Arial Narrow" w:cs="Arial"/>
                <w:color w:val="000000" w:themeColor="text1"/>
                <w:lang w:val="es-ES" w:eastAsia="es-ES"/>
              </w:rPr>
              <w:t>Give</w:t>
            </w:r>
            <w:proofErr w:type="spellEnd"/>
            <w:r w:rsidRPr="002C0D19">
              <w:rPr>
                <w:rFonts w:ascii="Arial Narrow" w:hAnsi="Arial Narrow" w:cs="Arial"/>
                <w:color w:val="000000" w:themeColor="text1"/>
                <w:lang w:val="es-ES" w:eastAsia="es-ES"/>
              </w:rPr>
              <w:t xml:space="preserve"> Up</w:t>
            </w:r>
          </w:p>
        </w:tc>
        <w:tc>
          <w:tcPr>
            <w:tcW w:w="4322" w:type="dxa"/>
          </w:tcPr>
          <w:p w14:paraId="716A4CED"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G</w:t>
            </w:r>
          </w:p>
        </w:tc>
      </w:tr>
    </w:tbl>
    <w:p w14:paraId="660DC7E4" w14:textId="77777777" w:rsidR="007968EC" w:rsidRPr="002C0D19" w:rsidRDefault="007968EC" w:rsidP="007968EC">
      <w:pPr>
        <w:autoSpaceDE w:val="0"/>
        <w:autoSpaceDN w:val="0"/>
        <w:jc w:val="both"/>
        <w:rPr>
          <w:rFonts w:ascii="Arial Narrow" w:hAnsi="Arial Narrow" w:cs="Arial"/>
          <w:lang w:val="es-ES" w:eastAsia="es-ES"/>
        </w:rPr>
      </w:pPr>
    </w:p>
    <w:p w14:paraId="39BA755B" w14:textId="77777777" w:rsidR="007968EC" w:rsidRDefault="007968EC" w:rsidP="007968EC">
      <w:pPr>
        <w:pStyle w:val="ARTICULO0"/>
      </w:pPr>
      <w:bookmarkStart w:id="1483" w:name="_Toc472592107"/>
      <w:bookmarkStart w:id="1484" w:name="_Toc472593126"/>
      <w:bookmarkStart w:id="1485" w:name="_Toc479056912"/>
      <w:bookmarkStart w:id="1486" w:name="_Toc31715921"/>
      <w:bookmarkStart w:id="1487" w:name="_Toc470775428"/>
      <w:bookmarkStart w:id="1488" w:name="_Toc470779713"/>
      <w:bookmarkStart w:id="1489" w:name="_Toc470780330"/>
      <w:bookmarkStart w:id="1490" w:name="_Toc470780843"/>
      <w:bookmarkStart w:id="1491" w:name="_Toc470784404"/>
      <w:bookmarkStart w:id="1492" w:name="_Toc470784941"/>
      <w:bookmarkStart w:id="1493" w:name="_Toc470786964"/>
      <w:bookmarkStart w:id="1494" w:name="_Toc470791317"/>
      <w:bookmarkStart w:id="1495" w:name="_Toc490066222"/>
      <w:r w:rsidRPr="002C0D19">
        <w:t>Artículo 1.4.2.2. Asignación de operaciones</w:t>
      </w:r>
      <w:bookmarkEnd w:id="1483"/>
      <w:bookmarkEnd w:id="1484"/>
      <w:bookmarkEnd w:id="1485"/>
      <w:r w:rsidRPr="002C0D19">
        <w:t>.</w:t>
      </w:r>
      <w:bookmarkEnd w:id="1486"/>
      <w:r w:rsidRPr="002C0D19">
        <w:t xml:space="preserve"> </w:t>
      </w:r>
    </w:p>
    <w:p w14:paraId="413503BE" w14:textId="77777777" w:rsidR="007968EC" w:rsidRDefault="007968EC" w:rsidP="007968EC">
      <w:pPr>
        <w:keepNext/>
        <w:tabs>
          <w:tab w:val="left" w:pos="1701"/>
        </w:tabs>
        <w:jc w:val="both"/>
        <w:outlineLvl w:val="2"/>
        <w:rPr>
          <w:rFonts w:ascii="Arial Narrow" w:hAnsi="Arial Narrow" w:cs="Arial"/>
          <w:b/>
          <w:color w:val="000000" w:themeColor="text1"/>
          <w:lang w:eastAsia="es-ES"/>
        </w:rPr>
      </w:pPr>
    </w:p>
    <w:p w14:paraId="29DD6824" w14:textId="77777777" w:rsidR="007968EC" w:rsidRPr="002C0D19" w:rsidRDefault="007968EC" w:rsidP="007968EC">
      <w:pPr>
        <w:pStyle w:val="ANTECEDENTES"/>
      </w:pPr>
      <w:r w:rsidRPr="002C0D19">
        <w:t>(</w:t>
      </w:r>
      <w:bookmarkEnd w:id="1487"/>
      <w:bookmarkEnd w:id="1488"/>
      <w:bookmarkEnd w:id="1489"/>
      <w:bookmarkEnd w:id="1490"/>
      <w:bookmarkEnd w:id="1491"/>
      <w:bookmarkEnd w:id="1492"/>
      <w:bookmarkEnd w:id="1493"/>
      <w:bookmarkEnd w:id="1494"/>
      <w:r w:rsidRPr="002C0D19">
        <w:t>Este artículo fue modificado mediante Circular 7 del 28 de abril de 2011, publicada en el Boletín Normativo No. 007 del 28 de abril de 2011, mediante Circular 22 del 14 de noviembre de 2014, publicada en el Boletín Normativo No. 025 del 14 de noviembre de 2014, mediante Circular 15 del 1 de diciembre de 2016, publicada en el Boletín Normativo No. 019 del 1 de diciembre de 2016, mediante Circular 19 del 28 de diciembre de 2016, publicada en el Boletín Normativo No. 024 del 28 de diciembre de 2016, Fe de Erratas, Circular 1 del 3 de enero de 2017 publicada mediante Boletín Normativo No. 001 del 3 de enero, mediante Circular 2 del 11 de enero de 2017, publicada en el Boletín Normativo No</w:t>
      </w:r>
      <w:r>
        <w:t xml:space="preserve">. 002 del 11 de enero de 2017, </w:t>
      </w:r>
      <w:r w:rsidRPr="002C0D19">
        <w:t>mediante Circular 8 del 31 de marzo de 2017, publicada en el Boletín Normativo No. 008 del 31 de marzo de 2017</w:t>
      </w:r>
      <w:r>
        <w:t xml:space="preserve">, </w:t>
      </w:r>
      <w:r w:rsidRPr="002C0D19">
        <w:t xml:space="preserve">mediante Circular </w:t>
      </w:r>
      <w:r>
        <w:t>14 del 30</w:t>
      </w:r>
      <w:r w:rsidRPr="002C0D19">
        <w:t xml:space="preserve"> de </w:t>
      </w:r>
      <w:r>
        <w:t>noviembre de 2018</w:t>
      </w:r>
      <w:r w:rsidRPr="002C0D19">
        <w:t xml:space="preserve">, publicada en el Boletín Normativo No. </w:t>
      </w:r>
      <w:r>
        <w:t>27 del 30</w:t>
      </w:r>
      <w:r w:rsidRPr="002C0D19">
        <w:t xml:space="preserve"> de </w:t>
      </w:r>
      <w:r>
        <w:t>noviembre de 2018</w:t>
      </w:r>
      <w:r w:rsidRPr="002C0D19">
        <w:t xml:space="preserve">. Rige a partir del 3 de </w:t>
      </w:r>
      <w:r>
        <w:t>diciembre de 2018</w:t>
      </w:r>
      <w:r w:rsidRPr="002C0D19">
        <w:t>.)</w:t>
      </w:r>
      <w:bookmarkEnd w:id="1495"/>
    </w:p>
    <w:p w14:paraId="2DF0F7EF" w14:textId="77777777" w:rsidR="007968EC" w:rsidRPr="002C0D19" w:rsidRDefault="007968EC" w:rsidP="007968EC">
      <w:pPr>
        <w:jc w:val="both"/>
        <w:rPr>
          <w:rFonts w:ascii="Arial Narrow" w:hAnsi="Arial Narrow" w:cs="Arial"/>
          <w:color w:val="000000" w:themeColor="text1"/>
          <w:lang w:eastAsia="es-ES"/>
        </w:rPr>
      </w:pPr>
    </w:p>
    <w:p w14:paraId="106450E9" w14:textId="77777777" w:rsidR="007968EC" w:rsidRPr="002C0D19" w:rsidRDefault="007968EC" w:rsidP="007968EC">
      <w:pPr>
        <w:jc w:val="both"/>
        <w:rPr>
          <w:rFonts w:ascii="Arial Narrow" w:eastAsia="Calibri" w:hAnsi="Arial Narrow" w:cs="Arial"/>
          <w:color w:val="000000" w:themeColor="text1"/>
          <w:lang w:eastAsia="es-ES"/>
        </w:rPr>
      </w:pPr>
      <w:r w:rsidRPr="002C0D19">
        <w:rPr>
          <w:rFonts w:ascii="Arial Narrow" w:eastAsia="Calibri" w:hAnsi="Arial Narrow" w:cs="Arial"/>
          <w:color w:val="000000" w:themeColor="text1"/>
          <w:lang w:eastAsia="es-ES"/>
        </w:rPr>
        <w:t xml:space="preserve">Consiste en la asignación que deben realizar los Miembros, de las Operaciones Aceptadas de la Cuenta Diaria a las Cuentas Definitivas dentro del Segmento al cual pertenecen de acuerdo con el titular al cual correspondan. </w:t>
      </w:r>
    </w:p>
    <w:p w14:paraId="7380C040" w14:textId="77777777" w:rsidR="007968EC" w:rsidRPr="002C0D19" w:rsidRDefault="007968EC" w:rsidP="007968EC">
      <w:pPr>
        <w:jc w:val="both"/>
        <w:rPr>
          <w:rFonts w:ascii="Arial Narrow" w:eastAsia="Calibri" w:hAnsi="Arial Narrow" w:cs="Arial"/>
          <w:color w:val="000000" w:themeColor="text1"/>
          <w:lang w:eastAsia="es-ES"/>
        </w:rPr>
      </w:pPr>
    </w:p>
    <w:p w14:paraId="2D5C4DA3" w14:textId="77777777" w:rsidR="007968EC" w:rsidRPr="002C0D19" w:rsidRDefault="007968EC" w:rsidP="007968EC">
      <w:pPr>
        <w:tabs>
          <w:tab w:val="num" w:pos="0"/>
        </w:tabs>
        <w:autoSpaceDE w:val="0"/>
        <w:autoSpaceDN w:val="0"/>
        <w:adjustRightInd w:val="0"/>
        <w:jc w:val="both"/>
        <w:rPr>
          <w:rFonts w:ascii="Arial Narrow" w:eastAsia="Calibri" w:hAnsi="Arial Narrow" w:cs="Arial"/>
          <w:color w:val="000000" w:themeColor="text1"/>
          <w:lang w:eastAsia="es-ES"/>
        </w:rPr>
      </w:pPr>
      <w:r w:rsidRPr="002C0D19">
        <w:rPr>
          <w:rFonts w:ascii="Arial Narrow" w:eastAsia="Calibri" w:hAnsi="Arial Narrow" w:cs="Arial"/>
          <w:color w:val="000000" w:themeColor="text1"/>
          <w:lang w:eastAsia="es-ES"/>
        </w:rPr>
        <w:t>La Asignación de Operaciones se regirá por las siguientes reglas y presupuestos:</w:t>
      </w:r>
    </w:p>
    <w:p w14:paraId="491B3FC1" w14:textId="77777777" w:rsidR="007968EC" w:rsidRPr="002C0D19" w:rsidRDefault="007968EC" w:rsidP="007968EC">
      <w:pPr>
        <w:autoSpaceDE w:val="0"/>
        <w:autoSpaceDN w:val="0"/>
        <w:adjustRightInd w:val="0"/>
        <w:jc w:val="both"/>
        <w:rPr>
          <w:rFonts w:ascii="Arial Narrow" w:eastAsia="Calibri" w:hAnsi="Arial Narrow" w:cs="Arial"/>
          <w:color w:val="000000" w:themeColor="text1"/>
          <w:lang w:eastAsia="es-ES"/>
        </w:rPr>
      </w:pPr>
    </w:p>
    <w:p w14:paraId="3569AB47" w14:textId="77777777" w:rsidR="007968EC" w:rsidRPr="002C0D19" w:rsidRDefault="007968EC" w:rsidP="00DA7472">
      <w:pPr>
        <w:numPr>
          <w:ilvl w:val="0"/>
          <w:numId w:val="243"/>
        </w:numPr>
        <w:autoSpaceDE w:val="0"/>
        <w:autoSpaceDN w:val="0"/>
        <w:ind w:left="426" w:hanging="426"/>
        <w:jc w:val="both"/>
        <w:rPr>
          <w:rFonts w:ascii="Arial Narrow" w:eastAsia="Calibri" w:hAnsi="Arial Narrow" w:cs="Arial"/>
          <w:color w:val="000000" w:themeColor="text1"/>
          <w:lang w:val="es-ES" w:eastAsia="es-ES"/>
        </w:rPr>
      </w:pPr>
      <w:r w:rsidRPr="002C0D19">
        <w:rPr>
          <w:rFonts w:ascii="Arial Narrow" w:hAnsi="Arial Narrow" w:cs="Arial"/>
          <w:color w:val="000000" w:themeColor="text1"/>
          <w:lang w:eastAsia="es-ES"/>
        </w:rPr>
        <w:lastRenderedPageBreak/>
        <w:t xml:space="preserve">Las Operaciones catalogadas como de Posición Propia estarán asignadas directamente a las Cuentas de Registro de la Cuenta Propia </w:t>
      </w:r>
      <w:r w:rsidRPr="002C0D19">
        <w:rPr>
          <w:rFonts w:ascii="Arial Narrow" w:eastAsia="Calibri" w:hAnsi="Arial Narrow"/>
          <w:color w:val="000000" w:themeColor="text1"/>
          <w:lang w:val="es-ES" w:eastAsia="es-ES"/>
        </w:rPr>
        <w:t>desde el ingreso de la orden en el sistema de negociación y/o registro donde se realiza o registra la Operación.</w:t>
      </w:r>
      <w:r w:rsidRPr="002C0D19">
        <w:rPr>
          <w:rFonts w:ascii="Arial Narrow" w:eastAsia="Calibri" w:hAnsi="Arial Narrow" w:cs="Arial"/>
          <w:color w:val="000000" w:themeColor="text1"/>
          <w:lang w:val="es-ES" w:eastAsia="es-ES"/>
        </w:rPr>
        <w:t xml:space="preserve"> </w:t>
      </w:r>
    </w:p>
    <w:p w14:paraId="31DC864E" w14:textId="77777777" w:rsidR="007968EC" w:rsidRPr="002C0D19" w:rsidRDefault="007968EC" w:rsidP="007968EC">
      <w:pPr>
        <w:autoSpaceDE w:val="0"/>
        <w:autoSpaceDN w:val="0"/>
        <w:ind w:left="441"/>
        <w:jc w:val="both"/>
        <w:rPr>
          <w:rFonts w:ascii="Arial Narrow" w:hAnsi="Arial Narrow" w:cs="Arial"/>
          <w:color w:val="000000" w:themeColor="text1"/>
          <w:lang w:eastAsia="es-ES"/>
        </w:rPr>
      </w:pPr>
    </w:p>
    <w:p w14:paraId="74192B0F" w14:textId="77777777" w:rsidR="007968EC" w:rsidRPr="002C0D19" w:rsidRDefault="007968EC" w:rsidP="00DA7472">
      <w:pPr>
        <w:numPr>
          <w:ilvl w:val="0"/>
          <w:numId w:val="243"/>
        </w:numPr>
        <w:autoSpaceDE w:val="0"/>
        <w:autoSpaceDN w:val="0"/>
        <w:ind w:left="426" w:hanging="426"/>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En el caso de Operaciones de Terceros Identificados, el sistema de negociación y/o registro, Mercado Mostrador o Mecanismos de Contratación donde se realiza o registra la Operación permitirá la Asignación de la Operación a la Cuenta Definitiva desde el ingreso de la orden.</w:t>
      </w:r>
    </w:p>
    <w:p w14:paraId="0495DEA8" w14:textId="77777777" w:rsidR="007968EC" w:rsidRPr="002C0D19" w:rsidRDefault="007968EC" w:rsidP="007968EC">
      <w:pPr>
        <w:autoSpaceDE w:val="0"/>
        <w:autoSpaceDN w:val="0"/>
        <w:ind w:left="441"/>
        <w:jc w:val="both"/>
        <w:rPr>
          <w:rFonts w:ascii="Arial Narrow" w:hAnsi="Arial Narrow" w:cs="Arial"/>
          <w:color w:val="000000" w:themeColor="text1"/>
          <w:lang w:eastAsia="es-ES"/>
        </w:rPr>
      </w:pPr>
    </w:p>
    <w:p w14:paraId="048B7E6B" w14:textId="77777777" w:rsidR="007968EC" w:rsidRPr="002C0D19" w:rsidRDefault="007968EC" w:rsidP="00DA7472">
      <w:pPr>
        <w:numPr>
          <w:ilvl w:val="0"/>
          <w:numId w:val="243"/>
        </w:numPr>
        <w:autoSpaceDE w:val="0"/>
        <w:autoSpaceDN w:val="0"/>
        <w:ind w:left="426" w:hanging="426"/>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Las </w:t>
      </w:r>
      <w:r w:rsidRPr="002C0D19">
        <w:rPr>
          <w:rFonts w:ascii="Arial Narrow" w:eastAsia="Calibri" w:hAnsi="Arial Narrow" w:cs="Arial"/>
          <w:color w:val="000000" w:themeColor="text1"/>
          <w:lang w:val="es-ES" w:eastAsia="es-ES"/>
        </w:rPr>
        <w:t>Operaciones Aceptadas que no sean asignadas, desde el ingreso de la orden o registro de la Operación en los sistemas de negociación y/o registro, Mercado Mostrador o Mecanismos de Contratación, serán registradas preliminar y automáticamente por la Cámara en la Cuenta Diaria, para que posteriormente el Miembro las asigne a la Cuenta Definitiva correspondiente.</w:t>
      </w:r>
      <w:r w:rsidRPr="002C0D19">
        <w:rPr>
          <w:rFonts w:ascii="Arial Narrow" w:eastAsia="Calibri" w:hAnsi="Arial Narrow"/>
          <w:color w:val="000000" w:themeColor="text1"/>
          <w:lang w:val="es-ES" w:eastAsia="es-ES"/>
        </w:rPr>
        <w:t xml:space="preserve"> Excepcionalmente, en el evento en que el Miembro no pueda realizar la asignación de la Operación a la Cuenta Definitiva de Tercero Identificado y considerando que se trata de un error operativo, podrá realizar dicha asignación a la Cuenta de Registro de la Cuenta Propia, teniendo en cuenta su responsabilidad por las Operaciones Aceptadas y registradas en su estructura de Cuentas.  </w:t>
      </w:r>
    </w:p>
    <w:p w14:paraId="767D88DD" w14:textId="77777777" w:rsidR="007968EC" w:rsidRPr="002C0D19" w:rsidRDefault="007968EC" w:rsidP="007968EC">
      <w:pPr>
        <w:ind w:left="441" w:hanging="283"/>
        <w:jc w:val="both"/>
        <w:rPr>
          <w:rFonts w:ascii="Arial Narrow" w:eastAsia="Calibri" w:hAnsi="Arial Narrow" w:cs="Arial"/>
          <w:color w:val="000000" w:themeColor="text1"/>
          <w:lang w:eastAsia="es-ES"/>
        </w:rPr>
      </w:pPr>
    </w:p>
    <w:p w14:paraId="48F876C1" w14:textId="77777777" w:rsidR="007968EC" w:rsidRPr="002C0D19" w:rsidRDefault="007968EC" w:rsidP="00DA7472">
      <w:pPr>
        <w:numPr>
          <w:ilvl w:val="0"/>
          <w:numId w:val="243"/>
        </w:numPr>
        <w:autoSpaceDE w:val="0"/>
        <w:autoSpaceDN w:val="0"/>
        <w:ind w:left="426" w:hanging="426"/>
        <w:jc w:val="both"/>
        <w:rPr>
          <w:rFonts w:ascii="Arial Narrow" w:eastAsia="Calibri" w:hAnsi="Arial Narrow"/>
          <w:color w:val="000000" w:themeColor="text1"/>
          <w:lang w:val="es-ES" w:eastAsia="es-ES"/>
        </w:rPr>
      </w:pPr>
      <w:r w:rsidRPr="002C0D19">
        <w:rPr>
          <w:rFonts w:ascii="Arial Narrow" w:eastAsia="Calibri" w:hAnsi="Arial Narrow"/>
          <w:color w:val="000000" w:themeColor="text1"/>
          <w:lang w:val="es-ES" w:eastAsia="es-ES"/>
        </w:rPr>
        <w:t xml:space="preserve">La Asignación de Operaciones puede tener lugar desde la Hora de Inicio hasta la Hora de Cierre de la sesión de Gestión de Operaciones. </w:t>
      </w:r>
    </w:p>
    <w:p w14:paraId="7EF09650" w14:textId="77777777" w:rsidR="007968EC" w:rsidRPr="002C0D19" w:rsidRDefault="007968EC" w:rsidP="007968EC">
      <w:pPr>
        <w:ind w:left="441" w:hanging="283"/>
        <w:jc w:val="both"/>
        <w:rPr>
          <w:rFonts w:ascii="Arial Narrow" w:eastAsia="Calibri" w:hAnsi="Arial Narrow"/>
          <w:color w:val="000000" w:themeColor="text1"/>
          <w:lang w:val="es-ES"/>
        </w:rPr>
      </w:pPr>
    </w:p>
    <w:p w14:paraId="6EC370D9" w14:textId="77777777" w:rsidR="007968EC" w:rsidRPr="002C0D19" w:rsidRDefault="007968EC" w:rsidP="00DA7472">
      <w:pPr>
        <w:numPr>
          <w:ilvl w:val="0"/>
          <w:numId w:val="243"/>
        </w:numPr>
        <w:autoSpaceDE w:val="0"/>
        <w:autoSpaceDN w:val="0"/>
        <w:ind w:left="426" w:hanging="426"/>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El Operador del Miembro con el perfil autorizado, debe seleccionar cada una de las Operaciones </w:t>
      </w:r>
      <w:r w:rsidRPr="002C0D19">
        <w:rPr>
          <w:rFonts w:ascii="Arial Narrow" w:eastAsia="Calibri" w:hAnsi="Arial Narrow" w:cs="Arial"/>
          <w:color w:val="000000" w:themeColor="text1"/>
          <w:lang w:val="es-ES" w:eastAsia="es-ES"/>
        </w:rPr>
        <w:t>registradas</w:t>
      </w:r>
      <w:r w:rsidRPr="002C0D19">
        <w:rPr>
          <w:rFonts w:ascii="Arial Narrow" w:hAnsi="Arial Narrow" w:cs="Arial"/>
          <w:color w:val="000000" w:themeColor="text1"/>
          <w:lang w:eastAsia="es-ES"/>
        </w:rPr>
        <w:t xml:space="preserve"> en la Cuenta Diaria y trasladar el monto no neteado de la Operación o una fracción de éste, seleccionando el número de contratos y la Cuenta Definitiva del mismo Segmento, a la cual debe realizarse el registro de la posición seleccionada.</w:t>
      </w:r>
    </w:p>
    <w:p w14:paraId="5ACD235A" w14:textId="77777777" w:rsidR="007968EC" w:rsidRPr="00BD70FD" w:rsidRDefault="007968EC" w:rsidP="007968EC">
      <w:pPr>
        <w:autoSpaceDE w:val="0"/>
        <w:autoSpaceDN w:val="0"/>
        <w:ind w:left="426"/>
        <w:jc w:val="both"/>
        <w:rPr>
          <w:rFonts w:ascii="Arial Narrow" w:hAnsi="Arial Narrow" w:cs="Arial"/>
          <w:color w:val="000000" w:themeColor="text1"/>
          <w:lang w:eastAsia="es-ES"/>
        </w:rPr>
      </w:pPr>
    </w:p>
    <w:p w14:paraId="0AD20A8A" w14:textId="77777777" w:rsidR="007968EC" w:rsidRPr="002C0D19" w:rsidRDefault="007968EC" w:rsidP="00DA7472">
      <w:pPr>
        <w:numPr>
          <w:ilvl w:val="0"/>
          <w:numId w:val="243"/>
        </w:numPr>
        <w:autoSpaceDE w:val="0"/>
        <w:autoSpaceDN w:val="0"/>
        <w:ind w:left="426" w:hanging="426"/>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Si al cierre del horario de </w:t>
      </w:r>
      <w:r w:rsidRPr="002C0D19">
        <w:rPr>
          <w:rFonts w:ascii="Arial Narrow" w:hAnsi="Arial Narrow" w:cs="Arial"/>
          <w:color w:val="000000" w:themeColor="text1"/>
          <w:lang w:eastAsia="es-CO"/>
        </w:rPr>
        <w:t>Gestión</w:t>
      </w:r>
      <w:r w:rsidRPr="002C0D19">
        <w:rPr>
          <w:rFonts w:ascii="Arial Narrow" w:hAnsi="Arial Narrow" w:cs="Arial"/>
          <w:color w:val="000000" w:themeColor="text1"/>
          <w:lang w:eastAsia="es-ES"/>
        </w:rPr>
        <w:t xml:space="preserve"> de Operaciones existen Operaciones Aceptadas que no hayan sido </w:t>
      </w:r>
      <w:r w:rsidRPr="002C0D19">
        <w:rPr>
          <w:rFonts w:ascii="Arial Narrow" w:eastAsia="Calibri" w:hAnsi="Arial Narrow" w:cs="Arial"/>
          <w:color w:val="000000" w:themeColor="text1"/>
          <w:lang w:val="es-ES" w:eastAsia="es-ES"/>
        </w:rPr>
        <w:t>asignadas</w:t>
      </w:r>
      <w:r w:rsidRPr="002C0D19">
        <w:rPr>
          <w:rFonts w:ascii="Arial Narrow" w:hAnsi="Arial Narrow" w:cs="Arial"/>
          <w:color w:val="000000" w:themeColor="text1"/>
          <w:lang w:eastAsia="es-ES"/>
        </w:rPr>
        <w:t xml:space="preserve"> de la Cuenta Diaria a una Cuenta Definitiva, el Sistema de la Cámara automáticamente asignará aquellas Operaciones pendientes a la correspondiente Cuenta Residual del mismo Segmento del Miembro Liquidador o Miembro no Liquidador.</w:t>
      </w:r>
    </w:p>
    <w:p w14:paraId="36EB179E" w14:textId="77777777" w:rsidR="007968EC" w:rsidRPr="002C0D19" w:rsidRDefault="007968EC" w:rsidP="007968EC">
      <w:pPr>
        <w:jc w:val="both"/>
        <w:rPr>
          <w:rFonts w:ascii="Arial Narrow" w:eastAsia="Calibri" w:hAnsi="Arial Narrow" w:cs="Arial"/>
          <w:color w:val="000000" w:themeColor="text1"/>
          <w:lang w:val="es-ES" w:eastAsia="es-ES"/>
        </w:rPr>
      </w:pPr>
    </w:p>
    <w:p w14:paraId="73F5C6D0" w14:textId="77777777" w:rsidR="007968EC" w:rsidRPr="002C0D19" w:rsidRDefault="007968EC" w:rsidP="00DA7472">
      <w:pPr>
        <w:numPr>
          <w:ilvl w:val="0"/>
          <w:numId w:val="243"/>
        </w:numPr>
        <w:autoSpaceDE w:val="0"/>
        <w:autoSpaceDN w:val="0"/>
        <w:ind w:left="426" w:hanging="426"/>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La Cámara </w:t>
      </w:r>
      <w:r w:rsidRPr="002C0D19">
        <w:rPr>
          <w:rFonts w:ascii="Arial Narrow" w:eastAsia="Calibri" w:hAnsi="Arial Narrow" w:cs="Arial"/>
          <w:color w:val="000000" w:themeColor="text1"/>
          <w:lang w:val="es-ES" w:eastAsia="es-ES"/>
        </w:rPr>
        <w:t>trata</w:t>
      </w:r>
      <w:r w:rsidRPr="002C0D19">
        <w:rPr>
          <w:rFonts w:ascii="Arial Narrow" w:hAnsi="Arial Narrow" w:cs="Arial"/>
          <w:color w:val="000000" w:themeColor="text1"/>
          <w:lang w:eastAsia="es-ES"/>
        </w:rPr>
        <w:t xml:space="preserve"> la Operación de Asignación como un registro de operación tipo “D”.</w:t>
      </w:r>
    </w:p>
    <w:p w14:paraId="36D8FF2B" w14:textId="77777777" w:rsidR="007968EC" w:rsidRPr="002C0D19" w:rsidRDefault="007968EC" w:rsidP="007968EC">
      <w:pPr>
        <w:ind w:left="708"/>
        <w:rPr>
          <w:rFonts w:ascii="Arial Narrow" w:hAnsi="Arial Narrow" w:cs="Arial"/>
          <w:color w:val="000000" w:themeColor="text1"/>
          <w:lang w:eastAsia="es-CO"/>
        </w:rPr>
      </w:pPr>
    </w:p>
    <w:p w14:paraId="3DC1D3C9" w14:textId="77777777" w:rsidR="007968EC" w:rsidRPr="002C0D19" w:rsidRDefault="007968EC" w:rsidP="00DA7472">
      <w:pPr>
        <w:numPr>
          <w:ilvl w:val="0"/>
          <w:numId w:val="243"/>
        </w:numPr>
        <w:autoSpaceDE w:val="0"/>
        <w:autoSpaceDN w:val="0"/>
        <w:ind w:left="426" w:hanging="426"/>
        <w:jc w:val="both"/>
        <w:rPr>
          <w:rFonts w:ascii="Arial Narrow" w:hAnsi="Arial Narrow" w:cs="Arial"/>
          <w:lang w:val="es-ES" w:eastAsia="es-ES"/>
        </w:rPr>
      </w:pPr>
      <w:r w:rsidRPr="002C0D19">
        <w:rPr>
          <w:rFonts w:ascii="Arial Narrow" w:hAnsi="Arial Narrow" w:cs="Arial"/>
          <w:color w:val="000000" w:themeColor="text1"/>
          <w:lang w:val="es-ES" w:eastAsia="es-ES"/>
        </w:rPr>
        <w:t xml:space="preserve">La Cámara mensualmente, dentro de los primeros cinco (5) días del mes siguiente, </w:t>
      </w:r>
      <w:r w:rsidRPr="002C0D19">
        <w:rPr>
          <w:rFonts w:ascii="Arial Narrow" w:hAnsi="Arial Narrow" w:cs="Arial"/>
          <w:lang w:val="es-ES" w:eastAsia="es-ES"/>
        </w:rPr>
        <w:t xml:space="preserve">generará un reporte sobre la asignación de Operaciones Aceptadas por parte de cada Miembro e identificará aquellas Operaciones Aceptadas cuya asignación se haya efectuado de la Cuenta Diaria a la Cuenta de Registro de la Cuenta Propia del Miembro.  </w:t>
      </w:r>
    </w:p>
    <w:p w14:paraId="4FE6A494" w14:textId="77777777" w:rsidR="007968EC" w:rsidRPr="002C0D19" w:rsidRDefault="007968EC" w:rsidP="007968EC">
      <w:pPr>
        <w:autoSpaceDE w:val="0"/>
        <w:autoSpaceDN w:val="0"/>
        <w:jc w:val="both"/>
        <w:rPr>
          <w:rFonts w:ascii="Arial Narrow" w:hAnsi="Arial Narrow" w:cs="Arial"/>
          <w:lang w:val="es-ES" w:eastAsia="es-ES"/>
        </w:rPr>
      </w:pPr>
    </w:p>
    <w:p w14:paraId="5E44A472" w14:textId="77777777" w:rsidR="007968EC" w:rsidRPr="002C0D19" w:rsidRDefault="007968EC" w:rsidP="00DA7472">
      <w:pPr>
        <w:numPr>
          <w:ilvl w:val="0"/>
          <w:numId w:val="243"/>
        </w:numPr>
        <w:autoSpaceDE w:val="0"/>
        <w:autoSpaceDN w:val="0"/>
        <w:ind w:left="426" w:hanging="426"/>
        <w:jc w:val="both"/>
        <w:rPr>
          <w:rFonts w:ascii="Arial Narrow" w:eastAsia="Calibri" w:hAnsi="Arial Narrow" w:cs="Arial"/>
          <w:color w:val="000000" w:themeColor="text1"/>
          <w:lang w:val="es-ES" w:eastAsia="es-ES"/>
        </w:rPr>
      </w:pPr>
      <w:r w:rsidRPr="002C0D19">
        <w:rPr>
          <w:rFonts w:ascii="Arial Narrow" w:hAnsi="Arial Narrow" w:cs="Arial"/>
          <w:lang w:val="es-ES" w:eastAsia="es-ES"/>
        </w:rPr>
        <w:t xml:space="preserve">Con base en el reporte anterior, la </w:t>
      </w:r>
      <w:r w:rsidRPr="002C0D19">
        <w:rPr>
          <w:rFonts w:ascii="Arial Narrow" w:hAnsi="Arial Narrow" w:cs="Arial"/>
          <w:color w:val="000000" w:themeColor="text1"/>
          <w:lang w:val="es-ES" w:eastAsia="es-ES"/>
        </w:rPr>
        <w:t>Cámara</w:t>
      </w:r>
      <w:r w:rsidRPr="002C0D19">
        <w:rPr>
          <w:rFonts w:ascii="Arial Narrow" w:hAnsi="Arial Narrow" w:cs="Arial"/>
          <w:lang w:val="es-ES" w:eastAsia="es-ES"/>
        </w:rPr>
        <w:t xml:space="preserve"> informará de dichas Asignaciones de Operaciones Aceptadas al representante legal del Miembro, a las bolsas, a los </w:t>
      </w:r>
      <w:r w:rsidRPr="002C0D19">
        <w:rPr>
          <w:rFonts w:ascii="Arial Narrow" w:hAnsi="Arial Narrow" w:cs="Arial"/>
          <w:color w:val="000000" w:themeColor="text1"/>
          <w:lang w:val="es-ES" w:eastAsia="es-ES"/>
        </w:rPr>
        <w:t xml:space="preserve">Sistemas de Negociación y/o Registro o a los Mecanismos de Contratación donde se realiza o Registra la Operación y al Autorregulador del Mercado de Valores. </w:t>
      </w:r>
    </w:p>
    <w:p w14:paraId="0A658BB9" w14:textId="77777777" w:rsidR="007968EC" w:rsidRPr="002C0D19" w:rsidRDefault="007968EC" w:rsidP="007968EC">
      <w:pPr>
        <w:rPr>
          <w:rFonts w:ascii="Arial Narrow" w:eastAsia="Calibri" w:hAnsi="Arial Narrow" w:cs="Arial"/>
          <w:color w:val="000000" w:themeColor="text1"/>
          <w:lang w:eastAsia="es-ES"/>
        </w:rPr>
      </w:pPr>
    </w:p>
    <w:p w14:paraId="74ADF7AB" w14:textId="77777777" w:rsidR="007968EC" w:rsidRPr="002C0D19" w:rsidRDefault="007968EC" w:rsidP="007968EC">
      <w:pPr>
        <w:autoSpaceDE w:val="0"/>
        <w:autoSpaceDN w:val="0"/>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 w:eastAsia="es-ES"/>
        </w:rPr>
        <w:lastRenderedPageBreak/>
        <w:t>Parágrafo.</w:t>
      </w:r>
      <w:r w:rsidRPr="002C0D19">
        <w:rPr>
          <w:rFonts w:ascii="Arial Narrow" w:hAnsi="Arial Narrow" w:cs="Arial"/>
          <w:color w:val="000000" w:themeColor="text1"/>
          <w:lang w:val="es-ES" w:eastAsia="es-ES"/>
        </w:rPr>
        <w:t xml:space="preserve"> La Cámara dentro de su plan de capacitación a los Miembros explicará los eventos en que procede la Asignación de Operaciones.</w:t>
      </w:r>
    </w:p>
    <w:p w14:paraId="5103558E" w14:textId="77777777" w:rsidR="007968EC" w:rsidRPr="002C0D19" w:rsidRDefault="007968EC" w:rsidP="007968EC">
      <w:pPr>
        <w:tabs>
          <w:tab w:val="num" w:pos="1440"/>
        </w:tabs>
        <w:jc w:val="both"/>
        <w:rPr>
          <w:rFonts w:ascii="Arial Narrow" w:hAnsi="Arial Narrow" w:cs="Arial"/>
          <w:color w:val="000000" w:themeColor="text1"/>
          <w:lang w:val="es-ES" w:eastAsia="es-ES"/>
        </w:rPr>
      </w:pPr>
    </w:p>
    <w:p w14:paraId="07F5FAF0" w14:textId="77777777" w:rsidR="007968EC" w:rsidRDefault="007968EC" w:rsidP="007968EC">
      <w:pPr>
        <w:pStyle w:val="ARTICULO0"/>
      </w:pPr>
      <w:bookmarkStart w:id="1496" w:name="_Toc472592108"/>
      <w:bookmarkStart w:id="1497" w:name="_Toc472593127"/>
      <w:bookmarkStart w:id="1498" w:name="_Toc479056913"/>
      <w:bookmarkStart w:id="1499" w:name="_Toc31715922"/>
      <w:bookmarkStart w:id="1500" w:name="_Toc470775429"/>
      <w:bookmarkStart w:id="1501" w:name="_Toc470779714"/>
      <w:bookmarkStart w:id="1502" w:name="_Toc470780331"/>
      <w:bookmarkStart w:id="1503" w:name="_Toc470780844"/>
      <w:bookmarkStart w:id="1504" w:name="_Toc470784405"/>
      <w:bookmarkStart w:id="1505" w:name="_Toc470784942"/>
      <w:bookmarkStart w:id="1506" w:name="_Toc470786965"/>
      <w:bookmarkStart w:id="1507" w:name="_Toc470791318"/>
      <w:bookmarkStart w:id="1508" w:name="_Toc490066223"/>
      <w:r w:rsidRPr="002C0D19">
        <w:t>Artículo 1.4.2.3. Traspaso de Operaciones Aceptadas.</w:t>
      </w:r>
      <w:bookmarkEnd w:id="1496"/>
      <w:bookmarkEnd w:id="1497"/>
      <w:bookmarkEnd w:id="1498"/>
      <w:bookmarkEnd w:id="1499"/>
      <w:r w:rsidRPr="002C0D19">
        <w:t xml:space="preserve"> </w:t>
      </w:r>
      <w:bookmarkEnd w:id="1500"/>
      <w:bookmarkEnd w:id="1501"/>
      <w:bookmarkEnd w:id="1502"/>
      <w:bookmarkEnd w:id="1503"/>
      <w:bookmarkEnd w:id="1504"/>
      <w:bookmarkEnd w:id="1505"/>
      <w:bookmarkEnd w:id="1506"/>
      <w:bookmarkEnd w:id="1507"/>
    </w:p>
    <w:p w14:paraId="02A86E35" w14:textId="77777777" w:rsidR="007968EC" w:rsidRPr="007E757A" w:rsidRDefault="007968EC" w:rsidP="007968EC">
      <w:pPr>
        <w:jc w:val="both"/>
        <w:rPr>
          <w:rFonts w:ascii="Arial Narrow" w:hAnsi="Arial Narrow" w:cs="Arial"/>
          <w:color w:val="000000" w:themeColor="text1"/>
          <w:lang w:eastAsia="es-ES"/>
        </w:rPr>
      </w:pPr>
    </w:p>
    <w:p w14:paraId="12989065" w14:textId="77777777" w:rsidR="007968EC" w:rsidRPr="002C0D19" w:rsidRDefault="007968EC" w:rsidP="007968EC">
      <w:pPr>
        <w:pStyle w:val="ANTECEDENTES"/>
      </w:pPr>
      <w:r w:rsidRPr="002C0D19">
        <w:t xml:space="preserve">(Este artículo fue modificado mediante Circular 15 del 3 de agosto de 2011, publicada en el Boletín Normativo No. 018 del 3 de agosto de 2011 </w:t>
      </w:r>
      <w:r w:rsidRPr="002C0D19">
        <w:rPr>
          <w:bCs/>
        </w:rPr>
        <w:t xml:space="preserve">y mediante Circular 22 del 14 de noviembre de 2014, publicada en el Boletín Normativo No. 025 del 14 de noviembre de 2014, </w:t>
      </w:r>
      <w:r w:rsidRPr="002C0D19">
        <w:t xml:space="preserve">mediante </w:t>
      </w:r>
      <w:r w:rsidRPr="002C0D19">
        <w:rPr>
          <w:bCs/>
        </w:rPr>
        <w:t xml:space="preserve">Circular 15 del 1 de diciembre de 2016, publicada en el Boletín Normativo No. 019 del 1 de diciembre de 2016, mediante Circular </w:t>
      </w:r>
      <w:r w:rsidRPr="002C0D19">
        <w:t xml:space="preserve">19 del 28 de diciembre de 2016, publicada en el Boletín Normativo No. 024 del 28 de diciembre de </w:t>
      </w:r>
      <w:r>
        <w:t>2016,</w:t>
      </w:r>
      <w:r w:rsidRPr="002C0D19">
        <w:t xml:space="preserve"> Fe de Erratas, Circular 1 del 3 de enero de 2017 publicada mediante Boletín Normativo No. 001 del 3 de enero, mediante Circular 2 del 11 de enero de 2017, publicada en el Boletín Normativo No</w:t>
      </w:r>
      <w:r>
        <w:t xml:space="preserve">. 002 del 11 de enero de 2017, </w:t>
      </w:r>
      <w:r w:rsidRPr="002C0D19">
        <w:t>mediante Circular 8 del 31 de marzo de 2017, publicada en el Boletín Normativo No. 008 del 31 de marzo de 2017</w:t>
      </w:r>
      <w:r>
        <w:t xml:space="preserve">, y </w:t>
      </w:r>
      <w:r w:rsidRPr="002C0D19">
        <w:t xml:space="preserve">mediante Circular </w:t>
      </w:r>
      <w:r>
        <w:t>14 del 30</w:t>
      </w:r>
      <w:r w:rsidRPr="002C0D19">
        <w:t xml:space="preserve"> de </w:t>
      </w:r>
      <w:r>
        <w:t>noviembre de 2018</w:t>
      </w:r>
      <w:r w:rsidRPr="002C0D19">
        <w:t xml:space="preserve">, publicada en el Boletín Normativo No. </w:t>
      </w:r>
      <w:r>
        <w:t>27 del 30</w:t>
      </w:r>
      <w:r w:rsidRPr="002C0D19">
        <w:t xml:space="preserve"> de </w:t>
      </w:r>
      <w:r>
        <w:t>noviembre de 2018</w:t>
      </w:r>
      <w:r w:rsidRPr="002C0D19">
        <w:t xml:space="preserve">. Rige a partir del 3 de </w:t>
      </w:r>
      <w:r>
        <w:t>diciembre de 2018</w:t>
      </w:r>
      <w:r w:rsidRPr="002C0D19">
        <w:t>.)</w:t>
      </w:r>
      <w:bookmarkEnd w:id="1508"/>
    </w:p>
    <w:p w14:paraId="01E81B75" w14:textId="77777777" w:rsidR="007968EC" w:rsidRPr="002C0D19" w:rsidRDefault="007968EC" w:rsidP="007968EC">
      <w:pPr>
        <w:rPr>
          <w:rFonts w:ascii="Arial Narrow" w:hAnsi="Arial Narrow" w:cs="Arial"/>
          <w:b/>
          <w:color w:val="000000" w:themeColor="text1"/>
          <w:lang w:eastAsia="es-ES"/>
        </w:rPr>
      </w:pPr>
    </w:p>
    <w:p w14:paraId="40721ACA" w14:textId="77777777" w:rsidR="007968EC" w:rsidRPr="002C0D19" w:rsidRDefault="007968EC" w:rsidP="007968EC">
      <w:pPr>
        <w:autoSpaceDE w:val="0"/>
        <w:autoSpaceDN w:val="0"/>
        <w:adjustRightInd w:val="0"/>
        <w:jc w:val="both"/>
        <w:rPr>
          <w:rFonts w:ascii="Arial Narrow" w:eastAsia="Calibri" w:hAnsi="Arial Narrow" w:cs="Arial"/>
          <w:color w:val="000000" w:themeColor="text1"/>
          <w:lang w:val="es-ES" w:eastAsia="es-ES"/>
        </w:rPr>
      </w:pPr>
      <w:r w:rsidRPr="002C0D19">
        <w:rPr>
          <w:rFonts w:ascii="Arial Narrow" w:eastAsia="Calibri" w:hAnsi="Arial Narrow" w:cs="Arial"/>
          <w:color w:val="000000" w:themeColor="text1"/>
          <w:lang w:val="es-ES" w:eastAsia="es-ES"/>
        </w:rPr>
        <w:t xml:space="preserve">La Operación de Traspaso consiste en la reasignación de una Operación registrada en una Cuenta Definitiva de Tercero Identificado a otra Cuenta o Cuentas Definitivas </w:t>
      </w:r>
      <w:r w:rsidRPr="002C0D19">
        <w:rPr>
          <w:rFonts w:ascii="Arial Narrow" w:eastAsia="Calibri" w:hAnsi="Arial Narrow"/>
          <w:color w:val="000000" w:themeColor="text1"/>
          <w:lang w:val="es-ES" w:eastAsia="es-ES"/>
        </w:rPr>
        <w:t>del mismo</w:t>
      </w:r>
      <w:r w:rsidRPr="002C0D19">
        <w:rPr>
          <w:rFonts w:ascii="Arial Narrow" w:eastAsia="Calibri" w:hAnsi="Arial Narrow" w:cs="Arial"/>
          <w:color w:val="000000" w:themeColor="text1"/>
          <w:lang w:val="es-ES" w:eastAsia="es-ES"/>
        </w:rPr>
        <w:t xml:space="preserve"> Tercero(s) Identificado(s</w:t>
      </w:r>
      <w:r w:rsidRPr="002C0D19">
        <w:rPr>
          <w:rFonts w:ascii="Arial Narrow" w:eastAsia="Calibri" w:hAnsi="Arial Narrow"/>
          <w:color w:val="000000" w:themeColor="text1"/>
          <w:lang w:val="es-ES" w:eastAsia="es-ES"/>
        </w:rPr>
        <w:t>),</w:t>
      </w:r>
      <w:r w:rsidRPr="002C0D19">
        <w:rPr>
          <w:rFonts w:ascii="Arial Narrow" w:eastAsia="Calibri" w:hAnsi="Arial Narrow" w:cs="Arial"/>
          <w:color w:val="000000" w:themeColor="text1"/>
          <w:lang w:val="es-ES" w:eastAsia="es-ES"/>
        </w:rPr>
        <w:t xml:space="preserve"> o de una Operación registrada en una Cuenta Definitiva de Registro de la Cuenta Propia a otra Cuenta o Cuentas Definitivas de Registro de la Cuenta Propia de un mismo Miembro Liquidador o Miembro no Liquidador, </w:t>
      </w:r>
      <w:r w:rsidRPr="002C0D19">
        <w:rPr>
          <w:rFonts w:ascii="Arial Narrow" w:eastAsia="Calibri" w:hAnsi="Arial Narrow"/>
          <w:color w:val="000000" w:themeColor="text1"/>
          <w:lang w:val="es-ES" w:eastAsia="es-ES"/>
        </w:rPr>
        <w:t xml:space="preserve">o de una Operación registrada en una Cuenta Definitiva de Tercero Identificado a otra Cuenta o Cuentas Definitivas de Tercero(s) Identificado(s) diferentes, siempre que se haya presentado un error operativo en el registro inicial de la Operación, </w:t>
      </w:r>
      <w:r w:rsidRPr="002C0D19">
        <w:rPr>
          <w:rFonts w:ascii="Arial Narrow" w:eastAsia="Calibri" w:hAnsi="Arial Narrow" w:cs="Arial"/>
          <w:color w:val="000000" w:themeColor="text1"/>
          <w:lang w:val="es-ES" w:eastAsia="es-ES"/>
        </w:rPr>
        <w:t>dentro de la estructura de Cuentas del mismo Miembro en cada Segmento donde participe. Este tipo de Operación no supone modificación en el Precio de Negociación de la Operación Aceptada ni en su volumen y su Traspaso puede ser por volumen total o parcial.</w:t>
      </w:r>
    </w:p>
    <w:p w14:paraId="747A9591" w14:textId="77777777" w:rsidR="007968EC" w:rsidRPr="002C0D19" w:rsidRDefault="007968EC" w:rsidP="007968EC">
      <w:pPr>
        <w:jc w:val="both"/>
        <w:rPr>
          <w:rFonts w:ascii="Arial Narrow" w:hAnsi="Arial Narrow" w:cs="Arial"/>
          <w:color w:val="000000" w:themeColor="text1"/>
          <w:lang w:val="es-ES" w:eastAsia="es-ES"/>
        </w:rPr>
      </w:pPr>
    </w:p>
    <w:p w14:paraId="1DC8D8E2"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Los Miembros podrán traspasar una Operación Aceptada de una Cuenta Definitiva o de la Cuenta Residual a otra u otras Cuentas Definitivas diferentes, siempre que las mismas se encuentren bajo su misma estructura de Cuentas dentro del mismo Segmento. Excepcionalmente, el Miembro podrá traspasar la Operación Aceptada de la Cuenta Residual a la Cuenta Definitiva de Registro de la Cuenta Propia cuando </w:t>
      </w:r>
      <w:r w:rsidRPr="002C0D19">
        <w:rPr>
          <w:rFonts w:ascii="Arial Narrow" w:eastAsia="Calibri" w:hAnsi="Arial Narrow"/>
          <w:color w:val="000000" w:themeColor="text1"/>
          <w:lang w:val="es-ES" w:eastAsia="es-ES"/>
        </w:rPr>
        <w:t>no pueda realizar el Traspaso a la Cuenta Definitiva de Tercero Identificado teniendo en cuenta su responsabilidad por las Operaciones Aceptadas y registradas en su estructura de Cuentas dentro del mismo Segmento.</w:t>
      </w:r>
      <w:r w:rsidRPr="002C0D19">
        <w:rPr>
          <w:rFonts w:ascii="Arial Narrow" w:hAnsi="Arial Narrow" w:cs="Arial"/>
          <w:color w:val="000000" w:themeColor="text1"/>
          <w:lang w:val="es-ES" w:eastAsia="es-ES"/>
        </w:rPr>
        <w:t xml:space="preserve"> Para tal efecto se cumplirá el siguiente procedimiento:</w:t>
      </w:r>
    </w:p>
    <w:p w14:paraId="3D351DA9" w14:textId="77777777" w:rsidR="007968EC" w:rsidRPr="002C0D19" w:rsidRDefault="007968EC" w:rsidP="007968EC">
      <w:pPr>
        <w:autoSpaceDE w:val="0"/>
        <w:autoSpaceDN w:val="0"/>
        <w:adjustRightInd w:val="0"/>
        <w:jc w:val="both"/>
        <w:rPr>
          <w:rFonts w:ascii="Arial Narrow" w:eastAsia="Calibri" w:hAnsi="Arial Narrow" w:cs="Arial"/>
          <w:color w:val="000000" w:themeColor="text1"/>
          <w:lang w:eastAsia="es-ES"/>
        </w:rPr>
      </w:pPr>
    </w:p>
    <w:p w14:paraId="39BFA1C7" w14:textId="77777777" w:rsidR="007968EC" w:rsidRPr="002C0D19" w:rsidRDefault="007968EC" w:rsidP="00DA7472">
      <w:pPr>
        <w:numPr>
          <w:ilvl w:val="0"/>
          <w:numId w:val="106"/>
        </w:numPr>
        <w:ind w:left="441" w:hanging="425"/>
        <w:jc w:val="both"/>
        <w:rPr>
          <w:rFonts w:ascii="Arial Narrow" w:hAnsi="Arial Narrow" w:cs="Arial"/>
          <w:color w:val="000000" w:themeColor="text1"/>
          <w:lang w:val="es-ES" w:eastAsia="es-ES"/>
        </w:rPr>
      </w:pPr>
      <w:r w:rsidRPr="002C0D19">
        <w:rPr>
          <w:rFonts w:ascii="Arial Narrow" w:hAnsi="Arial Narrow" w:cs="Arial"/>
          <w:color w:val="000000" w:themeColor="text1"/>
          <w:lang w:eastAsia="es-ES"/>
        </w:rPr>
        <w:t>El Operador del Miembro con el perfil autorizado, debe seleccionar la Operación que desea traspasar. El traspaso puede ser por el total del volumen de la Operación o por una fracción de la misma, para lo cual debe indicar el número de contratos y la Cuenta a la cual debe realizarse el Traspaso de la Operación.</w:t>
      </w:r>
    </w:p>
    <w:p w14:paraId="07AE30C7" w14:textId="77777777" w:rsidR="007968EC" w:rsidRPr="002C0D19" w:rsidRDefault="007968EC" w:rsidP="007968EC">
      <w:pPr>
        <w:ind w:left="441" w:hanging="425"/>
        <w:jc w:val="both"/>
        <w:rPr>
          <w:rFonts w:ascii="Arial Narrow" w:eastAsia="Calibri" w:hAnsi="Arial Narrow" w:cs="Arial"/>
          <w:color w:val="000000" w:themeColor="text1"/>
          <w:lang w:val="es-ES" w:eastAsia="es-ES"/>
        </w:rPr>
      </w:pPr>
    </w:p>
    <w:p w14:paraId="409201D5" w14:textId="77777777" w:rsidR="007968EC" w:rsidRPr="002C0D19" w:rsidRDefault="007968EC" w:rsidP="00DA7472">
      <w:pPr>
        <w:numPr>
          <w:ilvl w:val="0"/>
          <w:numId w:val="106"/>
        </w:numPr>
        <w:ind w:left="441" w:hanging="425"/>
        <w:jc w:val="both"/>
        <w:rPr>
          <w:rFonts w:ascii="Arial Narrow" w:hAnsi="Arial Narrow" w:cs="Arial"/>
          <w:color w:val="000000" w:themeColor="text1"/>
          <w:lang w:val="es-ES" w:eastAsia="es-ES"/>
        </w:rPr>
      </w:pPr>
      <w:r w:rsidRPr="002C0D19">
        <w:rPr>
          <w:rFonts w:ascii="Arial Narrow" w:hAnsi="Arial Narrow" w:cs="Arial"/>
          <w:color w:val="000000" w:themeColor="text1"/>
          <w:lang w:eastAsia="es-ES"/>
        </w:rPr>
        <w:t xml:space="preserve">El Sistema identifica la Operación de Traspaso con tipo de operación “T”. Por lo tanto, para efectos del Registro de la Operación, el Traspaso es una nueva Operación que tiene por objeto la correcta Asignación de la Operación original y que la Compensación de los derechos y obligaciones corresponda </w:t>
      </w:r>
      <w:r w:rsidRPr="002C0D19">
        <w:rPr>
          <w:rFonts w:ascii="Arial Narrow" w:hAnsi="Arial Narrow" w:cs="Arial"/>
          <w:color w:val="000000" w:themeColor="text1"/>
          <w:lang w:eastAsia="es-ES"/>
        </w:rPr>
        <w:lastRenderedPageBreak/>
        <w:t>con las instrucciones del Titular de la cuenta, sin eliminar el registro de la Operación original, lo que permite su identificación de manera completa desde el origen.</w:t>
      </w:r>
    </w:p>
    <w:p w14:paraId="3C5D236B" w14:textId="77777777" w:rsidR="007968EC" w:rsidRPr="002C0D19" w:rsidRDefault="007968EC" w:rsidP="007968EC">
      <w:pPr>
        <w:ind w:left="441" w:hanging="425"/>
        <w:jc w:val="both"/>
        <w:rPr>
          <w:rFonts w:ascii="Arial Narrow" w:eastAsia="Calibri" w:hAnsi="Arial Narrow" w:cs="Arial"/>
          <w:color w:val="000000" w:themeColor="text1"/>
          <w:lang w:val="es-ES" w:eastAsia="es-ES"/>
        </w:rPr>
      </w:pPr>
    </w:p>
    <w:p w14:paraId="5C248DF2" w14:textId="77777777" w:rsidR="007968EC" w:rsidRPr="002C0D19" w:rsidRDefault="007968EC" w:rsidP="00DA7472">
      <w:pPr>
        <w:numPr>
          <w:ilvl w:val="0"/>
          <w:numId w:val="106"/>
        </w:numPr>
        <w:ind w:left="426" w:hanging="426"/>
        <w:jc w:val="both"/>
        <w:rPr>
          <w:rFonts w:ascii="Arial Narrow" w:hAnsi="Arial Narrow" w:cs="Arial"/>
          <w:color w:val="000000" w:themeColor="text1"/>
          <w:lang w:val="es-ES" w:eastAsia="es-ES"/>
        </w:rPr>
      </w:pPr>
      <w:r w:rsidRPr="002C0D19">
        <w:rPr>
          <w:rFonts w:ascii="Arial Narrow" w:hAnsi="Arial Narrow" w:cs="Arial"/>
          <w:color w:val="000000" w:themeColor="text1"/>
          <w:lang w:eastAsia="es-ES"/>
        </w:rPr>
        <w:t xml:space="preserve">El Traspaso de Operaciones se podrá realizar en cada sesión en los horarios establecidos para la </w:t>
      </w:r>
      <w:r w:rsidRPr="002C0D19">
        <w:rPr>
          <w:rFonts w:ascii="Arial Narrow" w:hAnsi="Arial Narrow" w:cs="Arial"/>
          <w:color w:val="000000" w:themeColor="text1"/>
          <w:lang w:eastAsia="es-CO"/>
        </w:rPr>
        <w:t>Gestión</w:t>
      </w:r>
      <w:r w:rsidRPr="002C0D19">
        <w:rPr>
          <w:rFonts w:ascii="Arial Narrow" w:hAnsi="Arial Narrow" w:cs="Arial"/>
          <w:color w:val="000000" w:themeColor="text1"/>
          <w:lang w:eastAsia="es-ES"/>
        </w:rPr>
        <w:t xml:space="preserve"> de Operaciones para el respectivo Segmento en la presente Circular.</w:t>
      </w:r>
      <w:r w:rsidRPr="002C0D19">
        <w:rPr>
          <w:rFonts w:ascii="Arial Narrow" w:hAnsi="Arial Narrow" w:cs="Arial"/>
          <w:color w:val="000000" w:themeColor="text1"/>
          <w:lang w:eastAsia="es-CO"/>
        </w:rPr>
        <w:t xml:space="preserve"> </w:t>
      </w:r>
    </w:p>
    <w:p w14:paraId="01666119" w14:textId="77777777" w:rsidR="007968EC" w:rsidRPr="002C0D19" w:rsidRDefault="007968EC" w:rsidP="007968EC">
      <w:pPr>
        <w:ind w:left="708"/>
        <w:rPr>
          <w:rFonts w:ascii="Arial Narrow" w:hAnsi="Arial Narrow" w:cs="Arial"/>
          <w:color w:val="000000" w:themeColor="text1"/>
          <w:lang w:eastAsia="es-CO"/>
        </w:rPr>
      </w:pPr>
    </w:p>
    <w:p w14:paraId="4FA7A9F0" w14:textId="77777777" w:rsidR="007968EC" w:rsidRPr="002C0D19" w:rsidRDefault="007968EC" w:rsidP="00DA7472">
      <w:pPr>
        <w:numPr>
          <w:ilvl w:val="0"/>
          <w:numId w:val="106"/>
        </w:numPr>
        <w:ind w:left="426" w:hanging="426"/>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La Cámara mensualmente, dentro de los primeros cinco (5) días del mes siguiente, generará un reporte sobre el traspaso de Operaciones Aceptadas por parte de cada Miembro.</w:t>
      </w:r>
    </w:p>
    <w:p w14:paraId="6E2F3C52" w14:textId="77777777" w:rsidR="007968EC" w:rsidRPr="002C0D19" w:rsidRDefault="007968EC" w:rsidP="007968EC">
      <w:pPr>
        <w:ind w:left="708"/>
        <w:rPr>
          <w:rFonts w:ascii="Arial Narrow" w:hAnsi="Arial Narrow" w:cs="Arial"/>
          <w:color w:val="000000" w:themeColor="text1"/>
          <w:lang w:eastAsia="es-CO"/>
        </w:rPr>
      </w:pPr>
    </w:p>
    <w:p w14:paraId="2529FCD1" w14:textId="77777777" w:rsidR="007968EC" w:rsidRPr="002C0D19" w:rsidRDefault="007968EC" w:rsidP="00DA7472">
      <w:pPr>
        <w:numPr>
          <w:ilvl w:val="0"/>
          <w:numId w:val="106"/>
        </w:numPr>
        <w:ind w:left="426" w:hanging="426"/>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Con base en el reporte anterior, </w:t>
      </w:r>
      <w:r w:rsidRPr="002C0D19">
        <w:rPr>
          <w:rFonts w:ascii="Arial Narrow" w:hAnsi="Arial Narrow" w:cs="Arial"/>
          <w:lang w:val="es-ES" w:eastAsia="es-ES"/>
        </w:rPr>
        <w:t xml:space="preserve">en el evento de existir Traspasos de Operaciones Aceptadas entre </w:t>
      </w:r>
      <w:r w:rsidRPr="002C0D19">
        <w:rPr>
          <w:rFonts w:ascii="Arial Narrow" w:eastAsia="Calibri" w:hAnsi="Arial Narrow" w:cs="Arial"/>
          <w:color w:val="000000" w:themeColor="text1"/>
          <w:lang w:val="es-ES" w:eastAsia="es-ES"/>
        </w:rPr>
        <w:t>Cuentas Definitivas de Terceros Identificados diferentes, de Cuentas Definitivas de Terceros Identificados a Cuentas Definitivas de Registro de la Cuenta Propia y viceversa, de Cuentas Definitivas de Terceros Identificados a la Cuenta Diaria, de la Cuenta Residual a Cuentas Definitivas de Registro de la Cuenta Propia y viceversa, de Cuentas Definitivas de Registro de la Cuenta Propia a la Cuenta Diaria y viceversa, de Cuentas Definitivas de Terceros Identificados a la Cuenta Residual,</w:t>
      </w:r>
      <w:r w:rsidRPr="002C0D19">
        <w:rPr>
          <w:rFonts w:ascii="Arial Narrow" w:hAnsi="Arial Narrow" w:cs="Arial"/>
          <w:lang w:val="es-ES" w:eastAsia="es-ES"/>
        </w:rPr>
        <w:t xml:space="preserve"> la </w:t>
      </w:r>
      <w:r w:rsidRPr="002C0D19">
        <w:rPr>
          <w:rFonts w:ascii="Arial Narrow" w:hAnsi="Arial Narrow" w:cs="Arial"/>
          <w:color w:val="000000" w:themeColor="text1"/>
          <w:lang w:val="es-ES" w:eastAsia="es-ES"/>
        </w:rPr>
        <w:t>Cámara</w:t>
      </w:r>
      <w:r w:rsidRPr="002C0D19">
        <w:rPr>
          <w:rFonts w:ascii="Arial Narrow" w:hAnsi="Arial Narrow" w:cs="Arial"/>
          <w:lang w:val="es-ES" w:eastAsia="es-ES"/>
        </w:rPr>
        <w:t xml:space="preserve"> solicitará explicaciones al Miembro, el cual deberá responder por medio de carta suscrita por un representante legal en un plazo máximo de cinco (5) días hábiles contados a partir del recibo de la solicitud de explicaciones por parte de la Cámara</w:t>
      </w:r>
      <w:r w:rsidRPr="002C0D19">
        <w:rPr>
          <w:rFonts w:ascii="Arial Narrow" w:hAnsi="Arial Narrow" w:cs="Arial"/>
          <w:color w:val="000000" w:themeColor="text1"/>
          <w:lang w:val="es-ES" w:eastAsia="es-ES"/>
        </w:rPr>
        <w:t>.</w:t>
      </w:r>
    </w:p>
    <w:p w14:paraId="56D4AE79" w14:textId="77777777" w:rsidR="007968EC" w:rsidRPr="002C0D19" w:rsidRDefault="007968EC" w:rsidP="007968EC">
      <w:pPr>
        <w:ind w:left="708"/>
        <w:rPr>
          <w:rFonts w:ascii="Arial Narrow" w:hAnsi="Arial Narrow" w:cs="Arial"/>
          <w:b/>
          <w:lang w:eastAsia="es-CO"/>
        </w:rPr>
      </w:pPr>
    </w:p>
    <w:p w14:paraId="38363BEA" w14:textId="77777777" w:rsidR="007968EC" w:rsidRPr="002C0D19" w:rsidRDefault="007968EC" w:rsidP="00DA7472">
      <w:pPr>
        <w:numPr>
          <w:ilvl w:val="0"/>
          <w:numId w:val="106"/>
        </w:numPr>
        <w:ind w:left="426" w:hanging="426"/>
        <w:jc w:val="both"/>
        <w:rPr>
          <w:rFonts w:ascii="Arial Narrow" w:hAnsi="Arial Narrow" w:cs="Arial"/>
          <w:color w:val="000000" w:themeColor="text1"/>
          <w:lang w:val="es-ES" w:eastAsia="es-ES"/>
        </w:rPr>
      </w:pPr>
      <w:r w:rsidRPr="002C0D19">
        <w:rPr>
          <w:rFonts w:ascii="Arial Narrow" w:hAnsi="Arial Narrow" w:cs="Arial"/>
          <w:lang w:val="es-ES" w:eastAsia="es-ES"/>
        </w:rPr>
        <w:t xml:space="preserve">Al recibo de la comunicación del Miembro en la que se evidencie que no se trató de un error </w:t>
      </w:r>
      <w:r w:rsidRPr="002C0D19">
        <w:rPr>
          <w:rFonts w:ascii="Arial Narrow" w:eastAsia="Calibri" w:hAnsi="Arial Narrow"/>
          <w:color w:val="000000" w:themeColor="text1"/>
          <w:lang w:val="es-ES" w:eastAsia="es-ES"/>
        </w:rPr>
        <w:t>operativo en el registro inicial de la Operación</w:t>
      </w:r>
      <w:r w:rsidRPr="002C0D19">
        <w:rPr>
          <w:rFonts w:ascii="Arial Narrow" w:hAnsi="Arial Narrow" w:cs="Arial"/>
          <w:lang w:val="es-ES" w:eastAsia="es-ES"/>
        </w:rPr>
        <w:t xml:space="preserve"> o en caso de no recibir respuesta oportuna, la Cámara informará de los Traspasos de Operaciones Aceptadas a que se hace referencia en el numeral anterior a las bolsas, a los </w:t>
      </w:r>
      <w:r w:rsidRPr="002C0D19">
        <w:rPr>
          <w:rFonts w:ascii="Arial Narrow" w:hAnsi="Arial Narrow" w:cs="Arial"/>
          <w:color w:val="000000" w:themeColor="text1"/>
          <w:lang w:val="es-ES" w:eastAsia="es-ES"/>
        </w:rPr>
        <w:t>Sistemas de Negociación y/o Registro o Mecanismos de Contratación donde se realiza o registra la Operación y al Autorregulador del Mercado de Valores. En caso contrario, la Cámara archivará la respuesta en la que se evidencie que se trató de un error operativo y la mantendrá a disposición de la Autoridad Competente para su consulta, en caso de ser requerida.</w:t>
      </w:r>
      <w:r w:rsidRPr="002C0D19">
        <w:rPr>
          <w:rFonts w:ascii="Arial Narrow" w:hAnsi="Arial Narrow" w:cs="Arial"/>
          <w:lang w:val="es-ES" w:eastAsia="es-ES"/>
        </w:rPr>
        <w:t xml:space="preserve">   </w:t>
      </w:r>
    </w:p>
    <w:p w14:paraId="13A53F53" w14:textId="77777777" w:rsidR="007968EC" w:rsidRPr="002C0D19" w:rsidRDefault="007968EC" w:rsidP="007968EC">
      <w:pPr>
        <w:autoSpaceDE w:val="0"/>
        <w:autoSpaceDN w:val="0"/>
        <w:jc w:val="both"/>
        <w:rPr>
          <w:rFonts w:ascii="Arial Narrow" w:hAnsi="Arial Narrow" w:cs="Arial"/>
          <w:b/>
          <w:color w:val="000000" w:themeColor="text1"/>
          <w:lang w:val="es-ES" w:eastAsia="es-ES"/>
        </w:rPr>
      </w:pPr>
    </w:p>
    <w:p w14:paraId="457B1949"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
          <w:color w:val="000000" w:themeColor="text1"/>
          <w:lang w:val="es-ES" w:eastAsia="es-ES"/>
        </w:rPr>
        <w:t>Parágrafo.</w:t>
      </w:r>
      <w:r w:rsidRPr="002C0D19">
        <w:rPr>
          <w:rFonts w:ascii="Arial Narrow" w:hAnsi="Arial Narrow" w:cs="Arial"/>
          <w:color w:val="000000" w:themeColor="text1"/>
          <w:lang w:val="es-ES" w:eastAsia="es-ES"/>
        </w:rPr>
        <w:t xml:space="preserve"> La Cámara dentro de su plan de capacitación a los Miembros explicará los eventos en que procede el Traspaso de Operaciones.</w:t>
      </w:r>
    </w:p>
    <w:p w14:paraId="1E85DFF6" w14:textId="77777777" w:rsidR="007968EC" w:rsidRPr="002C0D19" w:rsidRDefault="007968EC" w:rsidP="007968EC">
      <w:pPr>
        <w:jc w:val="both"/>
        <w:rPr>
          <w:rFonts w:ascii="Arial Narrow" w:hAnsi="Arial Narrow" w:cs="Arial"/>
          <w:color w:val="000000" w:themeColor="text1"/>
          <w:lang w:eastAsia="es-ES"/>
        </w:rPr>
      </w:pPr>
    </w:p>
    <w:p w14:paraId="10ED9D10" w14:textId="77777777" w:rsidR="007968EC" w:rsidRDefault="007968EC" w:rsidP="007968EC">
      <w:pPr>
        <w:pStyle w:val="ARTICULO0"/>
      </w:pPr>
      <w:bookmarkStart w:id="1509" w:name="_Toc472592109"/>
      <w:bookmarkStart w:id="1510" w:name="_Toc472593128"/>
      <w:bookmarkStart w:id="1511" w:name="_Toc479056914"/>
      <w:bookmarkStart w:id="1512" w:name="_Toc31715923"/>
      <w:bookmarkStart w:id="1513" w:name="_Toc470775430"/>
      <w:bookmarkStart w:id="1514" w:name="_Toc470779715"/>
      <w:bookmarkStart w:id="1515" w:name="_Toc470780332"/>
      <w:bookmarkStart w:id="1516" w:name="_Toc470780845"/>
      <w:bookmarkStart w:id="1517" w:name="_Toc470784406"/>
      <w:bookmarkStart w:id="1518" w:name="_Toc470784943"/>
      <w:bookmarkStart w:id="1519" w:name="_Toc470786966"/>
      <w:bookmarkStart w:id="1520" w:name="_Toc470791319"/>
      <w:bookmarkStart w:id="1521" w:name="_Toc490066224"/>
      <w:r w:rsidRPr="002C0D19">
        <w:t>Artículo 1.4.2.4. Traspaso de Posición Abierta.</w:t>
      </w:r>
      <w:bookmarkEnd w:id="1509"/>
      <w:bookmarkEnd w:id="1510"/>
      <w:bookmarkEnd w:id="1511"/>
      <w:bookmarkEnd w:id="1512"/>
      <w:r w:rsidRPr="002C0D19">
        <w:t xml:space="preserve"> </w:t>
      </w:r>
    </w:p>
    <w:p w14:paraId="06AF273D" w14:textId="77777777" w:rsidR="007968EC" w:rsidRPr="007E757A" w:rsidRDefault="007968EC" w:rsidP="007968EC">
      <w:pPr>
        <w:jc w:val="both"/>
        <w:rPr>
          <w:rFonts w:ascii="Arial Narrow" w:hAnsi="Arial Narrow" w:cs="Arial"/>
          <w:color w:val="000000" w:themeColor="text1"/>
          <w:lang w:eastAsia="es-ES"/>
        </w:rPr>
      </w:pPr>
    </w:p>
    <w:p w14:paraId="0880FA06" w14:textId="77777777" w:rsidR="007968EC" w:rsidRPr="002C0D19" w:rsidRDefault="007968EC" w:rsidP="007968EC">
      <w:pPr>
        <w:pStyle w:val="ANTECEDENTES"/>
        <w:rPr>
          <w:u w:val="single"/>
        </w:rPr>
      </w:pPr>
      <w:r w:rsidRPr="002C0D19">
        <w:t>(Este artículo fue adicionado mediante Circular 6 del 29 de marzo de 2010, publicada en el Boletín Normativo No. 008 del 29 de marzo de 2010 y mediante Circular 15 del 3 de agosto de 2011, publicada en el Boletín Normativo No. 018 del 3 de agosto de 2011. Rige a partir del 5 de agosto de 2011 y modificado mediante Circular 19 del 28 de diciembre de 2016, publicada en el Boletín Normativo No. 0</w:t>
      </w:r>
      <w:r>
        <w:t xml:space="preserve">24 del 28 de diciembre de 2016, y </w:t>
      </w:r>
      <w:r w:rsidRPr="002C0D19">
        <w:t xml:space="preserve">mediante Circular </w:t>
      </w:r>
      <w:r>
        <w:t>14 del 30</w:t>
      </w:r>
      <w:r w:rsidRPr="002C0D19">
        <w:t xml:space="preserve"> de </w:t>
      </w:r>
      <w:r>
        <w:t>noviembre de 2018</w:t>
      </w:r>
      <w:r w:rsidRPr="002C0D19">
        <w:t xml:space="preserve">, publicada en el Boletín Normativo No. </w:t>
      </w:r>
      <w:r>
        <w:t>27 del 30</w:t>
      </w:r>
      <w:r w:rsidRPr="002C0D19">
        <w:t xml:space="preserve"> de </w:t>
      </w:r>
      <w:r>
        <w:t>noviembre de 2018</w:t>
      </w:r>
      <w:r w:rsidRPr="002C0D19">
        <w:t xml:space="preserve">. Rige a partir del 3 de </w:t>
      </w:r>
      <w:r>
        <w:t>diciembre de 2018</w:t>
      </w:r>
      <w:r w:rsidRPr="002C0D19">
        <w:t>.)</w:t>
      </w:r>
      <w:bookmarkEnd w:id="1513"/>
      <w:bookmarkEnd w:id="1514"/>
      <w:bookmarkEnd w:id="1515"/>
      <w:bookmarkEnd w:id="1516"/>
      <w:bookmarkEnd w:id="1517"/>
      <w:bookmarkEnd w:id="1518"/>
      <w:bookmarkEnd w:id="1519"/>
      <w:bookmarkEnd w:id="1520"/>
      <w:bookmarkEnd w:id="1521"/>
    </w:p>
    <w:p w14:paraId="570467C2" w14:textId="77777777" w:rsidR="007968EC" w:rsidRPr="002C0D19" w:rsidRDefault="007968EC" w:rsidP="007968EC">
      <w:pPr>
        <w:autoSpaceDE w:val="0"/>
        <w:autoSpaceDN w:val="0"/>
        <w:adjustRightInd w:val="0"/>
        <w:jc w:val="both"/>
        <w:rPr>
          <w:rFonts w:ascii="Arial Narrow" w:hAnsi="Arial Narrow" w:cs="Arial"/>
          <w:i/>
          <w:color w:val="000000" w:themeColor="text1"/>
          <w:lang w:val="es-ES" w:eastAsia="es-ES"/>
        </w:rPr>
      </w:pPr>
    </w:p>
    <w:p w14:paraId="5F0D646D"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Adicionalmente a los casos establecidos en el artículo 2.4.14 del Reglamento, la Cámara podrá reasignar la Posición de una, varias o todas las Operaciones Aceptadas de una Cuenta a otra o de un Miembro a otro dentro del mismo Segmento, en los siguientes eventos y únicamente a solicitud de los Miembros:</w:t>
      </w:r>
    </w:p>
    <w:p w14:paraId="1FD29978" w14:textId="77777777" w:rsidR="007968EC" w:rsidRPr="002C0D19" w:rsidRDefault="007968EC" w:rsidP="007968EC">
      <w:pPr>
        <w:tabs>
          <w:tab w:val="left" w:pos="1380"/>
        </w:tabs>
        <w:autoSpaceDE w:val="0"/>
        <w:autoSpaceDN w:val="0"/>
        <w:adjustRightInd w:val="0"/>
        <w:jc w:val="both"/>
        <w:rPr>
          <w:rFonts w:ascii="Arial Narrow" w:hAnsi="Arial Narrow" w:cs="Arial"/>
          <w:color w:val="000000" w:themeColor="text1"/>
          <w:lang w:val="es-ES" w:eastAsia="es-ES"/>
        </w:rPr>
      </w:pPr>
    </w:p>
    <w:p w14:paraId="6D564B56" w14:textId="77777777" w:rsidR="007968EC" w:rsidRPr="002C0D19" w:rsidRDefault="007968EC" w:rsidP="007968EC">
      <w:pPr>
        <w:numPr>
          <w:ilvl w:val="0"/>
          <w:numId w:val="4"/>
        </w:numPr>
        <w:tabs>
          <w:tab w:val="num" w:pos="540"/>
        </w:tabs>
        <w:ind w:left="540" w:hanging="54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lastRenderedPageBreak/>
        <w:t xml:space="preserve">Traspaso de Posición entre Cuentas del mismo titular: En eventos de reorganización empresarial de un Miembro, tales como la adquisición, fusión, escisión o cuando medie solicitud expresa del Tercero Identificado titular de Cuenta que desee cambiar de Miembro, el Miembro correspondiente deberá </w:t>
      </w:r>
      <w:proofErr w:type="spellStart"/>
      <w:r w:rsidRPr="002C0D19">
        <w:rPr>
          <w:rFonts w:ascii="Arial Narrow" w:hAnsi="Arial Narrow" w:cs="Arial"/>
          <w:color w:val="000000" w:themeColor="text1"/>
          <w:lang w:val="es-ES" w:eastAsia="es-ES"/>
        </w:rPr>
        <w:t>allegar</w:t>
      </w:r>
      <w:proofErr w:type="spellEnd"/>
      <w:r w:rsidRPr="002C0D19">
        <w:rPr>
          <w:rFonts w:ascii="Arial Narrow" w:hAnsi="Arial Narrow" w:cs="Arial"/>
          <w:color w:val="000000" w:themeColor="text1"/>
          <w:lang w:val="es-ES" w:eastAsia="es-ES"/>
        </w:rPr>
        <w:t xml:space="preserve"> a la Cámara una solicitud en tal sentido, suscrita por el representante legal, señalando las razones para dicho Traspaso y entregando los documentos justificativos del mismo. Lo anterior sin perjuicio de los documentos que pueda solicitar la Cámara.  </w:t>
      </w:r>
    </w:p>
    <w:p w14:paraId="22950BAB" w14:textId="77777777" w:rsidR="007968EC" w:rsidRPr="002C0D19" w:rsidRDefault="007968EC" w:rsidP="007968EC">
      <w:pPr>
        <w:ind w:left="540"/>
        <w:jc w:val="both"/>
        <w:rPr>
          <w:rFonts w:ascii="Arial Narrow" w:hAnsi="Arial Narrow" w:cs="Arial"/>
          <w:color w:val="000000" w:themeColor="text1"/>
          <w:lang w:val="es-ES" w:eastAsia="es-ES"/>
        </w:rPr>
      </w:pPr>
    </w:p>
    <w:p w14:paraId="4AED687A" w14:textId="77777777" w:rsidR="007968EC" w:rsidRPr="002C0D19" w:rsidRDefault="007968EC" w:rsidP="007968EC">
      <w:pPr>
        <w:autoSpaceDE w:val="0"/>
        <w:autoSpaceDN w:val="0"/>
        <w:adjustRightInd w:val="0"/>
        <w:ind w:left="54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Acreditadas a satisfacción de la Cámara las razones del Traspaso de Posición, la Cámara realizará el Traspaso de todas las posiciones de la Cuenta origen hacia la Cuenta destino dentro del mismo Segmento e inmediatamente dará cierre a la Cuenta de origen.</w:t>
      </w:r>
    </w:p>
    <w:p w14:paraId="10CDE37E" w14:textId="77777777" w:rsidR="007968EC" w:rsidRPr="002C0D19" w:rsidRDefault="007968EC" w:rsidP="007968EC">
      <w:pPr>
        <w:autoSpaceDE w:val="0"/>
        <w:autoSpaceDN w:val="0"/>
        <w:adjustRightInd w:val="0"/>
        <w:ind w:left="540"/>
        <w:jc w:val="both"/>
        <w:rPr>
          <w:rFonts w:ascii="Arial Narrow" w:hAnsi="Arial Narrow" w:cs="Arial"/>
          <w:color w:val="000000" w:themeColor="text1"/>
          <w:lang w:val="es-ES" w:eastAsia="es-ES"/>
        </w:rPr>
      </w:pPr>
    </w:p>
    <w:p w14:paraId="459D2414" w14:textId="77777777" w:rsidR="007968EC" w:rsidRPr="002C0D19" w:rsidRDefault="007968EC" w:rsidP="007968EC">
      <w:pPr>
        <w:autoSpaceDE w:val="0"/>
        <w:autoSpaceDN w:val="0"/>
        <w:adjustRightInd w:val="0"/>
        <w:ind w:left="54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Este tipo de gestión se registrará al siguiente día hábil a la aceptación de la solicitud por parte de la Cámara. </w:t>
      </w:r>
    </w:p>
    <w:p w14:paraId="387DDBCC" w14:textId="77777777" w:rsidR="007968EC" w:rsidRPr="002C0D19" w:rsidRDefault="007968EC" w:rsidP="007968EC">
      <w:pPr>
        <w:autoSpaceDE w:val="0"/>
        <w:autoSpaceDN w:val="0"/>
        <w:adjustRightInd w:val="0"/>
        <w:ind w:left="540"/>
        <w:jc w:val="both"/>
        <w:rPr>
          <w:rFonts w:ascii="Arial Narrow" w:hAnsi="Arial Narrow" w:cs="Arial"/>
          <w:color w:val="000000" w:themeColor="text1"/>
          <w:lang w:val="es-ES" w:eastAsia="es-ES"/>
        </w:rPr>
      </w:pPr>
    </w:p>
    <w:p w14:paraId="4F65F45B" w14:textId="77777777" w:rsidR="007968EC" w:rsidRPr="002C0D19" w:rsidRDefault="007968EC" w:rsidP="007968EC">
      <w:pPr>
        <w:autoSpaceDE w:val="0"/>
        <w:autoSpaceDN w:val="0"/>
        <w:adjustRightInd w:val="0"/>
        <w:ind w:left="54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Las operaciones de Traspaso de Posición serán del tipo "Z" y llevarán como referencia el registro exclusivo de la Cámara. Por lo tanto, el Sistema realizará el Traspaso de cada Posición al Precio de Valoración de Cierre de la sesión anterior. Esta gestión estará sujeta a las tarifas previstas por la Cámara.  </w:t>
      </w:r>
    </w:p>
    <w:p w14:paraId="155C1955" w14:textId="77777777" w:rsidR="007968EC" w:rsidRPr="002C0D19" w:rsidRDefault="007968EC" w:rsidP="007968EC">
      <w:pPr>
        <w:autoSpaceDE w:val="0"/>
        <w:autoSpaceDN w:val="0"/>
        <w:adjustRightInd w:val="0"/>
        <w:ind w:left="54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 </w:t>
      </w:r>
    </w:p>
    <w:p w14:paraId="0944964B" w14:textId="77777777" w:rsidR="007968EC" w:rsidRPr="002C0D19" w:rsidRDefault="007968EC" w:rsidP="007968EC">
      <w:pPr>
        <w:numPr>
          <w:ilvl w:val="0"/>
          <w:numId w:val="4"/>
        </w:numPr>
        <w:tabs>
          <w:tab w:val="num" w:pos="540"/>
        </w:tabs>
        <w:ind w:left="540" w:hanging="54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Traspasos de Posición entre Cuentas de un Tercero identificado a otro: En eventos tales como herencias, donación o subrogación legal, la Cámara realizará el Traspaso de la Posición Abierta una vez el Miembro correspondiente, justifique el Traspaso mediante la entrega de la documentación correspondiente. En todo caso la Cámara exigirá la conformidad por escrito de los titulares de las Cuentas o apoderados de los derechos de dichas Cuentas.</w:t>
      </w:r>
    </w:p>
    <w:p w14:paraId="27466881" w14:textId="77777777" w:rsidR="007968EC" w:rsidRPr="002C0D19" w:rsidRDefault="007968EC" w:rsidP="007968EC">
      <w:pPr>
        <w:jc w:val="both"/>
        <w:rPr>
          <w:rFonts w:ascii="Arial Narrow" w:hAnsi="Arial Narrow" w:cs="Arial"/>
          <w:color w:val="000000" w:themeColor="text1"/>
          <w:lang w:val="es-ES" w:eastAsia="es-ES"/>
        </w:rPr>
      </w:pPr>
    </w:p>
    <w:p w14:paraId="5323EB9D" w14:textId="77777777" w:rsidR="007968EC" w:rsidRDefault="007968EC" w:rsidP="007968EC">
      <w:pPr>
        <w:pStyle w:val="ARTICULO0"/>
        <w:rPr>
          <w:i/>
        </w:rPr>
      </w:pPr>
      <w:bookmarkStart w:id="1522" w:name="_Toc472592110"/>
      <w:bookmarkStart w:id="1523" w:name="_Toc472593129"/>
      <w:bookmarkStart w:id="1524" w:name="_Toc479056915"/>
      <w:bookmarkStart w:id="1525" w:name="_Toc31715924"/>
      <w:bookmarkStart w:id="1526" w:name="_Toc470775431"/>
      <w:bookmarkStart w:id="1527" w:name="_Toc470779716"/>
      <w:bookmarkStart w:id="1528" w:name="_Toc470780333"/>
      <w:bookmarkStart w:id="1529" w:name="_Toc470780846"/>
      <w:bookmarkStart w:id="1530" w:name="_Toc470784407"/>
      <w:bookmarkStart w:id="1531" w:name="_Toc470784944"/>
      <w:bookmarkStart w:id="1532" w:name="_Toc470786967"/>
      <w:bookmarkStart w:id="1533" w:name="_Toc470791320"/>
      <w:bookmarkStart w:id="1534" w:name="_Toc490066225"/>
      <w:r w:rsidRPr="002C0D19">
        <w:t>Artículo 1.4.2.5. Procedimiento del Traspaso de Posición Abierta.</w:t>
      </w:r>
      <w:bookmarkEnd w:id="1522"/>
      <w:bookmarkEnd w:id="1523"/>
      <w:bookmarkEnd w:id="1524"/>
      <w:bookmarkEnd w:id="1525"/>
      <w:r w:rsidRPr="002C0D19">
        <w:rPr>
          <w:i/>
        </w:rPr>
        <w:t xml:space="preserve"> </w:t>
      </w:r>
    </w:p>
    <w:p w14:paraId="2412BC34" w14:textId="77777777" w:rsidR="007968EC" w:rsidRPr="007E757A" w:rsidRDefault="007968EC" w:rsidP="007968EC">
      <w:pPr>
        <w:jc w:val="both"/>
        <w:rPr>
          <w:rFonts w:ascii="Arial Narrow" w:hAnsi="Arial Narrow" w:cs="Arial"/>
          <w:color w:val="000000" w:themeColor="text1"/>
          <w:lang w:eastAsia="es-ES"/>
        </w:rPr>
      </w:pPr>
    </w:p>
    <w:p w14:paraId="7DCAEC61" w14:textId="77777777" w:rsidR="007968EC" w:rsidRPr="002C0D19" w:rsidRDefault="007968EC" w:rsidP="007968EC">
      <w:pPr>
        <w:pStyle w:val="ANTECEDENTES"/>
        <w:rPr>
          <w:u w:val="single"/>
        </w:rPr>
      </w:pPr>
      <w:r w:rsidRPr="002C0D19">
        <w:t>(Este artículo fue modificado mediante Circular 19 del 28 de diciembre de 2016, publicada en el Boletín Normativo No. 024 del 28 de diciembre de 2016. Rige a partir del 29 de diciembre de 2016.)</w:t>
      </w:r>
      <w:bookmarkEnd w:id="1526"/>
      <w:bookmarkEnd w:id="1527"/>
      <w:bookmarkEnd w:id="1528"/>
      <w:bookmarkEnd w:id="1529"/>
      <w:bookmarkEnd w:id="1530"/>
      <w:bookmarkEnd w:id="1531"/>
      <w:bookmarkEnd w:id="1532"/>
      <w:bookmarkEnd w:id="1533"/>
      <w:bookmarkEnd w:id="1534"/>
    </w:p>
    <w:p w14:paraId="6CDB4F1B"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3476A10A"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Para el Traspaso de la Posición Abierta dentro de un mismo Segmento se deberá cumplir el siguiente procedimiento:</w:t>
      </w:r>
    </w:p>
    <w:p w14:paraId="460CDB91" w14:textId="77777777" w:rsidR="007968EC" w:rsidRPr="002C0D19" w:rsidRDefault="007968EC" w:rsidP="007968EC">
      <w:pPr>
        <w:ind w:left="426"/>
        <w:jc w:val="both"/>
        <w:rPr>
          <w:rFonts w:ascii="Arial Narrow" w:hAnsi="Arial Narrow" w:cs="Arial"/>
          <w:color w:val="000000" w:themeColor="text1"/>
          <w:lang w:val="es-ES" w:eastAsia="es-ES"/>
        </w:rPr>
      </w:pPr>
    </w:p>
    <w:p w14:paraId="765028D5" w14:textId="77777777" w:rsidR="007968EC" w:rsidRPr="002C0D19" w:rsidRDefault="007968EC" w:rsidP="00DA7472">
      <w:pPr>
        <w:numPr>
          <w:ilvl w:val="0"/>
          <w:numId w:val="23"/>
        </w:numPr>
        <w:ind w:left="426" w:hanging="426"/>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El Miembro, a través del funcionario con firma autorizada ante la Cámara, deberá presentar la solicitud de Traspaso de Posición Abierta dentro del Segmento o Segmentos que indique, junto con los documentos que lo justifiquen de conformidad con el artículo anterior.</w:t>
      </w:r>
    </w:p>
    <w:p w14:paraId="7C3B6771" w14:textId="77777777" w:rsidR="007968EC" w:rsidRPr="002C0D19" w:rsidRDefault="007968EC" w:rsidP="007968EC">
      <w:pPr>
        <w:ind w:left="426"/>
        <w:jc w:val="both"/>
        <w:rPr>
          <w:rFonts w:ascii="Arial Narrow" w:hAnsi="Arial Narrow" w:cs="Arial"/>
          <w:color w:val="000000" w:themeColor="text1"/>
          <w:lang w:val="es-ES" w:eastAsia="es-ES"/>
        </w:rPr>
      </w:pPr>
    </w:p>
    <w:p w14:paraId="0DFC41D4" w14:textId="77777777" w:rsidR="007968EC" w:rsidRPr="002C0D19" w:rsidRDefault="007968EC" w:rsidP="00DA7472">
      <w:pPr>
        <w:numPr>
          <w:ilvl w:val="0"/>
          <w:numId w:val="23"/>
        </w:numPr>
        <w:ind w:left="426" w:hanging="426"/>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La Cámara tramitará la solicitud de Traspaso previa verificación del contendido y soportes de la solicitud. Adicionalmente verificará la existencia de Cuentas activas para la misma identificación del titular (coincidencia del tipo y número de documento de identificación más coincidencia en el nombre o razón social en el Segmento o Segmentos indicados). En el caso, de la solicitud de Traspaso de Posición por subrogación, herencia o donación, verificará que los titulares sean exclusivamente los reportados en la solicitud</w:t>
      </w:r>
    </w:p>
    <w:p w14:paraId="21762B86" w14:textId="77777777" w:rsidR="007968EC" w:rsidRPr="002C0D19" w:rsidRDefault="007968EC" w:rsidP="007968EC">
      <w:pPr>
        <w:ind w:left="426" w:hanging="426"/>
        <w:jc w:val="both"/>
        <w:rPr>
          <w:rFonts w:ascii="Arial Narrow" w:hAnsi="Arial Narrow" w:cs="Arial"/>
          <w:color w:val="000000" w:themeColor="text1"/>
          <w:lang w:eastAsia="es-CO"/>
        </w:rPr>
      </w:pPr>
    </w:p>
    <w:p w14:paraId="4D706E6C" w14:textId="77777777" w:rsidR="007968EC" w:rsidRPr="002C0D19" w:rsidRDefault="007968EC" w:rsidP="00DA7472">
      <w:pPr>
        <w:numPr>
          <w:ilvl w:val="0"/>
          <w:numId w:val="23"/>
        </w:numPr>
        <w:ind w:left="426" w:hanging="426"/>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Se aplicará sobre el Sistema una Operación de tipo “Z”, la cual se registrará al precio de cierre de la sesión anterior.</w:t>
      </w:r>
    </w:p>
    <w:p w14:paraId="6D490EA8" w14:textId="77777777" w:rsidR="007968EC" w:rsidRPr="002C0D19" w:rsidRDefault="007968EC" w:rsidP="007968EC">
      <w:pPr>
        <w:ind w:left="426" w:hanging="426"/>
        <w:jc w:val="both"/>
        <w:rPr>
          <w:rFonts w:ascii="Arial Narrow" w:hAnsi="Arial Narrow" w:cs="Arial"/>
          <w:color w:val="000000" w:themeColor="text1"/>
          <w:lang w:eastAsia="es-CO"/>
        </w:rPr>
      </w:pPr>
    </w:p>
    <w:p w14:paraId="26C432AD" w14:textId="77777777" w:rsidR="007968EC" w:rsidRPr="002C0D19" w:rsidRDefault="007968EC" w:rsidP="00DA7472">
      <w:pPr>
        <w:numPr>
          <w:ilvl w:val="0"/>
          <w:numId w:val="23"/>
        </w:numPr>
        <w:ind w:left="426" w:hanging="426"/>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Certificará el cambio de estado de activa/alta operacional de la Cuenta a baja de la Cuenta de origen, en el caso de transferencia de titulares o Traspaso por donación, subrogación o herencia.</w:t>
      </w:r>
    </w:p>
    <w:p w14:paraId="4FD8E333" w14:textId="77777777" w:rsidR="007968EC" w:rsidRPr="002C0D19" w:rsidRDefault="007968EC" w:rsidP="007968EC">
      <w:pPr>
        <w:ind w:left="426" w:hanging="426"/>
        <w:jc w:val="both"/>
        <w:rPr>
          <w:rFonts w:ascii="Arial Narrow" w:hAnsi="Arial Narrow" w:cs="Arial"/>
          <w:color w:val="000000" w:themeColor="text1"/>
          <w:lang w:eastAsia="es-CO"/>
        </w:rPr>
      </w:pPr>
    </w:p>
    <w:p w14:paraId="4E90F8E3" w14:textId="77777777" w:rsidR="007968EC" w:rsidRPr="002C0D19" w:rsidRDefault="007968EC" w:rsidP="00DA7472">
      <w:pPr>
        <w:numPr>
          <w:ilvl w:val="0"/>
          <w:numId w:val="23"/>
        </w:numPr>
        <w:ind w:left="426" w:hanging="426"/>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La Cámara una vez completa el procedimiento de verificación de la solicitud de Traspaso de Posición, ejecuta en un plazo de cinco (5) días hábiles la aplicación de la Operación de tipo “Z” y la certificación del cambio de estado de la Cuenta de origen. </w:t>
      </w:r>
    </w:p>
    <w:p w14:paraId="2AA902BE" w14:textId="77777777" w:rsidR="007968EC" w:rsidRPr="002C0D19" w:rsidRDefault="007968EC" w:rsidP="007968EC">
      <w:pPr>
        <w:jc w:val="both"/>
        <w:rPr>
          <w:rFonts w:ascii="Arial Narrow" w:hAnsi="Arial Narrow" w:cs="Arial"/>
          <w:color w:val="000000" w:themeColor="text1"/>
          <w:lang w:val="es-ES" w:eastAsia="es-ES"/>
        </w:rPr>
      </w:pPr>
    </w:p>
    <w:p w14:paraId="30DB0A8A" w14:textId="77777777" w:rsidR="007968EC" w:rsidRDefault="007968EC" w:rsidP="007968EC">
      <w:pPr>
        <w:pStyle w:val="ARTICULO0"/>
        <w:rPr>
          <w:i/>
        </w:rPr>
      </w:pPr>
      <w:bookmarkStart w:id="1535" w:name="_Toc472592111"/>
      <w:bookmarkStart w:id="1536" w:name="_Toc472593130"/>
      <w:bookmarkStart w:id="1537" w:name="_Toc479056916"/>
      <w:bookmarkStart w:id="1538" w:name="_Toc31715925"/>
      <w:bookmarkStart w:id="1539" w:name="_Toc470775432"/>
      <w:bookmarkStart w:id="1540" w:name="_Toc470779717"/>
      <w:bookmarkStart w:id="1541" w:name="_Toc470780334"/>
      <w:bookmarkStart w:id="1542" w:name="_Toc470780847"/>
      <w:bookmarkStart w:id="1543" w:name="_Toc470784408"/>
      <w:bookmarkStart w:id="1544" w:name="_Toc470784945"/>
      <w:bookmarkStart w:id="1545" w:name="_Toc470786968"/>
      <w:bookmarkStart w:id="1546" w:name="_Toc470791321"/>
      <w:bookmarkStart w:id="1547" w:name="_Toc490066226"/>
      <w:r w:rsidRPr="002C0D19">
        <w:t xml:space="preserve">Artículo 1.4.2.6. </w:t>
      </w:r>
      <w:proofErr w:type="spellStart"/>
      <w:r w:rsidRPr="002C0D19">
        <w:t>Give</w:t>
      </w:r>
      <w:proofErr w:type="spellEnd"/>
      <w:r w:rsidRPr="002C0D19">
        <w:t xml:space="preserve"> Up.</w:t>
      </w:r>
      <w:bookmarkEnd w:id="1535"/>
      <w:bookmarkEnd w:id="1536"/>
      <w:bookmarkEnd w:id="1537"/>
      <w:bookmarkEnd w:id="1538"/>
      <w:r w:rsidRPr="002C0D19">
        <w:rPr>
          <w:i/>
        </w:rPr>
        <w:t xml:space="preserve"> </w:t>
      </w:r>
    </w:p>
    <w:p w14:paraId="5E302FF7" w14:textId="77777777" w:rsidR="007968EC" w:rsidRPr="007E757A" w:rsidRDefault="007968EC" w:rsidP="007968EC">
      <w:pPr>
        <w:jc w:val="both"/>
        <w:rPr>
          <w:rFonts w:ascii="Arial Narrow" w:hAnsi="Arial Narrow" w:cs="Arial"/>
          <w:color w:val="000000" w:themeColor="text1"/>
          <w:lang w:eastAsia="es-ES"/>
        </w:rPr>
      </w:pPr>
    </w:p>
    <w:p w14:paraId="79ACFCC8" w14:textId="77777777" w:rsidR="007968EC" w:rsidRPr="002C0D19" w:rsidRDefault="007968EC" w:rsidP="007968EC">
      <w:pPr>
        <w:pStyle w:val="ANTECEDENTES"/>
      </w:pPr>
      <w:r w:rsidRPr="002C0D19">
        <w:t>(Este artículo fue modificado mediante Circular 8 del 18 de junio de 2009, publicada en el Boletín Normativo No. 010 del 18 de junio de 2009</w:t>
      </w:r>
      <w:r>
        <w:t>,</w:t>
      </w:r>
      <w:r w:rsidRPr="002C0D19">
        <w:t xml:space="preserve"> modificado mediante Circular 19 del 28 de diciembre de 2016</w:t>
      </w:r>
      <w:r>
        <w:t>,</w:t>
      </w:r>
      <w:r w:rsidRPr="002C0D19">
        <w:t xml:space="preserve"> publicada en el Boletín Normativo No. 024 del 28 de diciembre de 2016</w:t>
      </w:r>
      <w:r>
        <w:t xml:space="preserve"> </w:t>
      </w:r>
      <w:bookmarkStart w:id="1548" w:name="_Hlk1747920"/>
      <w:r>
        <w:t>y</w:t>
      </w:r>
      <w:r w:rsidRPr="00296F07">
        <w:t xml:space="preserve"> </w:t>
      </w:r>
      <w:r w:rsidRPr="002C0D19">
        <w:t xml:space="preserve">modificado mediante Circular </w:t>
      </w:r>
      <w:r>
        <w:t xml:space="preserve">2 </w:t>
      </w:r>
      <w:r w:rsidRPr="002C0D19">
        <w:t xml:space="preserve">del </w:t>
      </w:r>
      <w:r>
        <w:t>22 de febrero de 2019,</w:t>
      </w:r>
      <w:r w:rsidRPr="002C0D19">
        <w:t xml:space="preserve"> publicada en el Boletín Normativo No. </w:t>
      </w:r>
      <w:r>
        <w:t xml:space="preserve">007 </w:t>
      </w:r>
      <w:r w:rsidRPr="002C0D19">
        <w:t xml:space="preserve">del </w:t>
      </w:r>
      <w:r>
        <w:t xml:space="preserve">22 </w:t>
      </w:r>
      <w:r w:rsidRPr="002C0D19">
        <w:t xml:space="preserve">de </w:t>
      </w:r>
      <w:r>
        <w:t xml:space="preserve">febrero </w:t>
      </w:r>
      <w:r w:rsidRPr="002C0D19">
        <w:t xml:space="preserve">de </w:t>
      </w:r>
      <w:r>
        <w:t>2019</w:t>
      </w:r>
      <w:r w:rsidRPr="002C0D19">
        <w:t xml:space="preserve">. Rige a partir del </w:t>
      </w:r>
      <w:r>
        <w:t>25 de febrero de 2019</w:t>
      </w:r>
      <w:r w:rsidRPr="002C0D19">
        <w:t>.)</w:t>
      </w:r>
      <w:bookmarkEnd w:id="1539"/>
      <w:bookmarkEnd w:id="1540"/>
      <w:bookmarkEnd w:id="1541"/>
      <w:bookmarkEnd w:id="1542"/>
      <w:bookmarkEnd w:id="1543"/>
      <w:bookmarkEnd w:id="1544"/>
      <w:bookmarkEnd w:id="1545"/>
      <w:bookmarkEnd w:id="1546"/>
      <w:bookmarkEnd w:id="1547"/>
      <w:bookmarkEnd w:id="1548"/>
    </w:p>
    <w:p w14:paraId="7C6A6DA1" w14:textId="77777777" w:rsidR="007968EC" w:rsidRPr="002C0D19" w:rsidRDefault="007968EC" w:rsidP="007968EC">
      <w:pPr>
        <w:jc w:val="both"/>
        <w:rPr>
          <w:rFonts w:ascii="Arial Narrow" w:hAnsi="Arial Narrow" w:cs="Arial"/>
          <w:color w:val="000000" w:themeColor="text1"/>
          <w:lang w:val="es-ES" w:eastAsia="es-ES"/>
        </w:rPr>
      </w:pPr>
    </w:p>
    <w:p w14:paraId="19FCA5C3" w14:textId="77777777" w:rsidR="007968EC" w:rsidRPr="002C0D19" w:rsidRDefault="007968EC" w:rsidP="007968EC">
      <w:pPr>
        <w:jc w:val="both"/>
        <w:rPr>
          <w:rFonts w:ascii="Arial Narrow" w:hAnsi="Arial Narrow" w:cs="Arial"/>
          <w:color w:val="000000" w:themeColor="text1"/>
          <w:lang w:val="es-ES" w:eastAsia="es-ES"/>
        </w:rPr>
      </w:pPr>
      <w:r w:rsidRPr="00B62A82">
        <w:rPr>
          <w:rFonts w:ascii="Arial Narrow" w:hAnsi="Arial Narrow" w:cs="Arial"/>
          <w:color w:val="000000" w:themeColor="text1"/>
          <w:lang w:val="es-ES" w:eastAsia="es-ES"/>
        </w:rPr>
        <w:t xml:space="preserve">Un </w:t>
      </w:r>
      <w:proofErr w:type="spellStart"/>
      <w:r w:rsidRPr="00B62A82">
        <w:rPr>
          <w:rFonts w:ascii="Arial Narrow" w:hAnsi="Arial Narrow" w:cs="Arial"/>
          <w:color w:val="000000" w:themeColor="text1"/>
          <w:lang w:val="es-ES" w:eastAsia="es-ES"/>
        </w:rPr>
        <w:t>Give</w:t>
      </w:r>
      <w:proofErr w:type="spellEnd"/>
      <w:r w:rsidRPr="00B62A82">
        <w:rPr>
          <w:rFonts w:ascii="Arial Narrow" w:hAnsi="Arial Narrow" w:cs="Arial"/>
          <w:color w:val="000000" w:themeColor="text1"/>
          <w:lang w:val="es-ES" w:eastAsia="es-ES"/>
        </w:rPr>
        <w:t xml:space="preserve">-Up es una Operación dentro de un mismo Segmento en la que se solicita el Traspaso de una Operación Aceptada de la Cuenta de un Tercero en el Miembro de origen a otra Cuenta de Tercero en otro Miembro denominado Miembro de destino o de la Cuenta de Tercero de la cual sea titular en otro Miembro a su Cuenta de Registro de la Cuenta Propia </w:t>
      </w:r>
      <w:r w:rsidRPr="00B62A82">
        <w:rPr>
          <w:rFonts w:ascii="Arial Narrow" w:hAnsi="Arial Narrow" w:cs="Arial"/>
          <w:bCs/>
          <w:color w:val="000000" w:themeColor="text1"/>
          <w:lang w:val="es-ES" w:eastAsia="es-ES"/>
        </w:rPr>
        <w:t>o de la Cuenta de Registro de la Cuenta Propia a una Cuenta de Tercero de la cual sea titular en otro Miembro,</w:t>
      </w:r>
      <w:r w:rsidRPr="00B62A82">
        <w:rPr>
          <w:rFonts w:ascii="Arial Narrow" w:hAnsi="Arial Narrow" w:cs="Arial"/>
          <w:color w:val="000000" w:themeColor="text1"/>
          <w:lang w:val="es-ES" w:eastAsia="es-ES"/>
        </w:rPr>
        <w:t xml:space="preserve"> para que a través del Miembro de destino se cumplan todas las obligaciones de Compensación y Liquidación de la Operación. En este caso, tanto el Miembro de destino como el Miembro Liquidador del Miembro de destino deben aceptar la petición de </w:t>
      </w:r>
      <w:proofErr w:type="spellStart"/>
      <w:r w:rsidRPr="00B62A82">
        <w:rPr>
          <w:rFonts w:ascii="Arial Narrow" w:hAnsi="Arial Narrow" w:cs="Arial"/>
          <w:color w:val="000000" w:themeColor="text1"/>
          <w:lang w:val="es-ES" w:eastAsia="es-ES"/>
        </w:rPr>
        <w:t>Give</w:t>
      </w:r>
      <w:proofErr w:type="spellEnd"/>
      <w:r w:rsidRPr="00B62A82">
        <w:rPr>
          <w:rFonts w:ascii="Arial Narrow" w:hAnsi="Arial Narrow" w:cs="Arial"/>
          <w:color w:val="000000" w:themeColor="text1"/>
          <w:lang w:val="es-ES" w:eastAsia="es-ES"/>
        </w:rPr>
        <w:t xml:space="preserve">-up para que ésta sea procedente. Solamente ante la aceptación de la solicitud de </w:t>
      </w:r>
      <w:proofErr w:type="spellStart"/>
      <w:r w:rsidRPr="00B62A82">
        <w:rPr>
          <w:rFonts w:ascii="Arial Narrow" w:hAnsi="Arial Narrow" w:cs="Arial"/>
          <w:color w:val="000000" w:themeColor="text1"/>
          <w:lang w:val="es-ES" w:eastAsia="es-ES"/>
        </w:rPr>
        <w:t>Give</w:t>
      </w:r>
      <w:proofErr w:type="spellEnd"/>
      <w:r w:rsidRPr="00B62A82">
        <w:rPr>
          <w:rFonts w:ascii="Arial Narrow" w:hAnsi="Arial Narrow" w:cs="Arial"/>
          <w:color w:val="000000" w:themeColor="text1"/>
          <w:lang w:val="es-ES" w:eastAsia="es-ES"/>
        </w:rPr>
        <w:t xml:space="preserve">-up, el Sistema de Cámara realizará las Operaciones que cierren la Posición sujeta de </w:t>
      </w:r>
      <w:proofErr w:type="spellStart"/>
      <w:r w:rsidRPr="00B62A82">
        <w:rPr>
          <w:rFonts w:ascii="Arial Narrow" w:hAnsi="Arial Narrow" w:cs="Arial"/>
          <w:color w:val="000000" w:themeColor="text1"/>
          <w:lang w:val="es-ES" w:eastAsia="es-ES"/>
        </w:rPr>
        <w:t>Give</w:t>
      </w:r>
      <w:proofErr w:type="spellEnd"/>
      <w:r w:rsidRPr="00B62A82">
        <w:rPr>
          <w:rFonts w:ascii="Arial Narrow" w:hAnsi="Arial Narrow" w:cs="Arial"/>
          <w:color w:val="000000" w:themeColor="text1"/>
          <w:lang w:val="es-ES" w:eastAsia="es-ES"/>
        </w:rPr>
        <w:t>-Up en la Cuenta origen y la registrará como tipo de Operación “G” en la Cuenta destino dentro del mismo Segmento.</w:t>
      </w:r>
    </w:p>
    <w:p w14:paraId="0C6FEF74" w14:textId="77777777" w:rsidR="007968EC" w:rsidRPr="002C0D19" w:rsidRDefault="007968EC" w:rsidP="007968EC">
      <w:pPr>
        <w:jc w:val="both"/>
        <w:rPr>
          <w:rFonts w:ascii="Arial Narrow" w:hAnsi="Arial Narrow" w:cs="Arial"/>
          <w:color w:val="000000" w:themeColor="text1"/>
          <w:lang w:val="es-ES" w:eastAsia="es-ES"/>
        </w:rPr>
      </w:pPr>
    </w:p>
    <w:p w14:paraId="3D41DECD" w14:textId="77777777" w:rsidR="007968EC" w:rsidRPr="002C0D19" w:rsidRDefault="007968EC" w:rsidP="007968EC">
      <w:pPr>
        <w:autoSpaceDE w:val="0"/>
        <w:autoSpaceDN w:val="0"/>
        <w:adjustRightInd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xml:space="preserve">Además de las condiciones previstas en el artículo 2.4.15. del Reglamento, para efectuar una </w:t>
      </w:r>
      <w:r w:rsidRPr="002C0D19">
        <w:rPr>
          <w:rFonts w:ascii="Arial Narrow" w:hAnsi="Arial Narrow" w:cs="Arial"/>
          <w:color w:val="000000" w:themeColor="text1"/>
          <w:lang w:val="es-ES" w:eastAsia="es-ES"/>
        </w:rPr>
        <w:t>Operación</w:t>
      </w:r>
      <w:r w:rsidRPr="002C0D19">
        <w:rPr>
          <w:rFonts w:ascii="Arial Narrow" w:hAnsi="Arial Narrow" w:cs="Arial"/>
          <w:bCs/>
          <w:color w:val="000000" w:themeColor="text1"/>
          <w:lang w:val="es-ES" w:eastAsia="es-ES"/>
        </w:rPr>
        <w:t xml:space="preserve"> de </w:t>
      </w:r>
      <w:proofErr w:type="spellStart"/>
      <w:r w:rsidRPr="002C0D19">
        <w:rPr>
          <w:rFonts w:ascii="Arial Narrow" w:hAnsi="Arial Narrow" w:cs="Arial"/>
          <w:color w:val="000000" w:themeColor="text1"/>
          <w:lang w:val="es-ES" w:eastAsia="es-ES"/>
        </w:rPr>
        <w:t>Give</w:t>
      </w:r>
      <w:proofErr w:type="spellEnd"/>
      <w:r w:rsidRPr="002C0D19">
        <w:rPr>
          <w:rFonts w:ascii="Arial Narrow" w:hAnsi="Arial Narrow" w:cs="Arial"/>
          <w:color w:val="000000" w:themeColor="text1"/>
          <w:lang w:val="es-ES" w:eastAsia="es-ES"/>
        </w:rPr>
        <w:t>-Up</w:t>
      </w:r>
      <w:r w:rsidRPr="002C0D19">
        <w:rPr>
          <w:rFonts w:ascii="Arial Narrow" w:hAnsi="Arial Narrow" w:cs="Arial"/>
          <w:bCs/>
          <w:color w:val="000000" w:themeColor="text1"/>
          <w:lang w:val="es-ES" w:eastAsia="es-ES"/>
        </w:rPr>
        <w:t xml:space="preserve"> se deberá cumplir con las siguientes:</w:t>
      </w:r>
    </w:p>
    <w:p w14:paraId="230D3804" w14:textId="77777777" w:rsidR="007968EC" w:rsidRPr="002C0D19" w:rsidRDefault="007968EC" w:rsidP="007968EC">
      <w:pPr>
        <w:autoSpaceDE w:val="0"/>
        <w:autoSpaceDN w:val="0"/>
        <w:adjustRightInd w:val="0"/>
        <w:jc w:val="both"/>
        <w:rPr>
          <w:rFonts w:ascii="Arial Narrow" w:hAnsi="Arial Narrow" w:cs="Arial"/>
          <w:bCs/>
          <w:color w:val="000000" w:themeColor="text1"/>
          <w:lang w:val="es-ES" w:eastAsia="es-ES"/>
        </w:rPr>
      </w:pPr>
    </w:p>
    <w:p w14:paraId="4D2AA740" w14:textId="77777777" w:rsidR="007968EC" w:rsidRPr="002C0D19" w:rsidRDefault="007968EC" w:rsidP="007968EC">
      <w:pPr>
        <w:numPr>
          <w:ilvl w:val="0"/>
          <w:numId w:val="5"/>
        </w:numPr>
        <w:tabs>
          <w:tab w:val="num" w:pos="540"/>
          <w:tab w:val="num" w:pos="600"/>
          <w:tab w:val="num" w:pos="2160"/>
        </w:tabs>
        <w:ind w:left="540" w:hanging="540"/>
        <w:jc w:val="both"/>
        <w:rPr>
          <w:rFonts w:ascii="Arial Narrow" w:hAnsi="Arial Narrow" w:cs="Arial"/>
          <w:color w:val="000000" w:themeColor="text1"/>
          <w:lang w:val="es-ES" w:eastAsia="es-ES"/>
        </w:rPr>
      </w:pPr>
      <w:r w:rsidRPr="002C0D19">
        <w:rPr>
          <w:rFonts w:ascii="Arial Narrow" w:hAnsi="Arial Narrow" w:cs="Arial"/>
          <w:bCs/>
          <w:color w:val="000000" w:themeColor="text1"/>
          <w:lang w:val="es-ES" w:eastAsia="es-ES"/>
        </w:rPr>
        <w:t xml:space="preserve">Los funcionarios responsables de </w:t>
      </w:r>
      <w:r w:rsidRPr="002C0D19">
        <w:rPr>
          <w:rFonts w:ascii="Arial Narrow" w:hAnsi="Arial Narrow" w:cs="Arial"/>
          <w:color w:val="000000" w:themeColor="text1"/>
          <w:lang w:val="es-ES" w:eastAsia="es-ES"/>
        </w:rPr>
        <w:t xml:space="preserve">ejecutar y aprobar la solicitud de </w:t>
      </w:r>
      <w:proofErr w:type="spellStart"/>
      <w:r w:rsidRPr="002C0D19">
        <w:rPr>
          <w:rFonts w:ascii="Arial Narrow" w:hAnsi="Arial Narrow" w:cs="Arial"/>
          <w:color w:val="000000" w:themeColor="text1"/>
          <w:lang w:val="es-ES" w:eastAsia="es-ES"/>
        </w:rPr>
        <w:t>Give</w:t>
      </w:r>
      <w:proofErr w:type="spellEnd"/>
      <w:r w:rsidRPr="002C0D19">
        <w:rPr>
          <w:rFonts w:ascii="Arial Narrow" w:hAnsi="Arial Narrow" w:cs="Arial"/>
          <w:color w:val="000000" w:themeColor="text1"/>
          <w:lang w:val="es-ES" w:eastAsia="es-ES"/>
        </w:rPr>
        <w:t>-Up deberán regirse por las funcionalidades del Sistema de Cámara y ejercer sus facultades de conformidad con el perfil asignado y las autorizaciones establecidas por los Miembros.</w:t>
      </w:r>
    </w:p>
    <w:p w14:paraId="785F2C1F"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762C9459" w14:textId="77777777" w:rsidR="007968EC" w:rsidRPr="002C0D19" w:rsidRDefault="007968EC" w:rsidP="007968EC">
      <w:pPr>
        <w:numPr>
          <w:ilvl w:val="0"/>
          <w:numId w:val="5"/>
        </w:numPr>
        <w:tabs>
          <w:tab w:val="num" w:pos="540"/>
          <w:tab w:val="num" w:pos="600"/>
          <w:tab w:val="num" w:pos="2160"/>
        </w:tabs>
        <w:ind w:left="540" w:hanging="54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El Administrador del Miembro de origen y del Miembro de destino deberán mantener activos los permisos de ejecución de las funcionalidades de </w:t>
      </w:r>
      <w:proofErr w:type="spellStart"/>
      <w:r w:rsidRPr="002C0D19">
        <w:rPr>
          <w:rFonts w:ascii="Arial Narrow" w:hAnsi="Arial Narrow" w:cs="Arial"/>
          <w:color w:val="000000" w:themeColor="text1"/>
          <w:lang w:val="es-ES" w:eastAsia="es-ES"/>
        </w:rPr>
        <w:t>Give</w:t>
      </w:r>
      <w:proofErr w:type="spellEnd"/>
      <w:r w:rsidRPr="002C0D19">
        <w:rPr>
          <w:rFonts w:ascii="Arial Narrow" w:hAnsi="Arial Narrow" w:cs="Arial"/>
          <w:color w:val="000000" w:themeColor="text1"/>
          <w:lang w:val="es-ES" w:eastAsia="es-ES"/>
        </w:rPr>
        <w:t xml:space="preserve">-Up en el Sistema y establecer a través del mismo en el campo dispuesto para el efecto, una referencia conocida únicamente entre dichos miembros para la realización del </w:t>
      </w:r>
      <w:proofErr w:type="spellStart"/>
      <w:r w:rsidRPr="002C0D19">
        <w:rPr>
          <w:rFonts w:ascii="Arial Narrow" w:hAnsi="Arial Narrow" w:cs="Arial"/>
          <w:color w:val="000000" w:themeColor="text1"/>
          <w:lang w:val="es-ES" w:eastAsia="es-ES"/>
        </w:rPr>
        <w:t>Give</w:t>
      </w:r>
      <w:proofErr w:type="spellEnd"/>
      <w:r w:rsidRPr="002C0D19">
        <w:rPr>
          <w:rFonts w:ascii="Arial Narrow" w:hAnsi="Arial Narrow" w:cs="Arial"/>
          <w:color w:val="000000" w:themeColor="text1"/>
          <w:lang w:val="es-ES" w:eastAsia="es-ES"/>
        </w:rPr>
        <w:t xml:space="preserve">-Up. El envío y la aprobación de </w:t>
      </w:r>
      <w:proofErr w:type="spellStart"/>
      <w:r w:rsidRPr="002C0D19">
        <w:rPr>
          <w:rFonts w:ascii="Arial Narrow" w:hAnsi="Arial Narrow" w:cs="Arial"/>
          <w:color w:val="000000" w:themeColor="text1"/>
          <w:lang w:val="es-ES" w:eastAsia="es-ES"/>
        </w:rPr>
        <w:t>Give</w:t>
      </w:r>
      <w:proofErr w:type="spellEnd"/>
      <w:r w:rsidRPr="002C0D19">
        <w:rPr>
          <w:rFonts w:ascii="Arial Narrow" w:hAnsi="Arial Narrow" w:cs="Arial"/>
          <w:color w:val="000000" w:themeColor="text1"/>
          <w:lang w:val="es-ES" w:eastAsia="es-ES"/>
        </w:rPr>
        <w:t xml:space="preserve">-Up puede configurarse de forma manual o automática. </w:t>
      </w:r>
    </w:p>
    <w:p w14:paraId="27441A89"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7ABACB83" w14:textId="77777777" w:rsidR="007968EC" w:rsidRPr="002C0D19" w:rsidRDefault="007968EC" w:rsidP="007968EC">
      <w:pPr>
        <w:numPr>
          <w:ilvl w:val="0"/>
          <w:numId w:val="5"/>
        </w:numPr>
        <w:tabs>
          <w:tab w:val="num" w:pos="540"/>
          <w:tab w:val="num" w:pos="600"/>
          <w:tab w:val="num" w:pos="2160"/>
        </w:tabs>
        <w:ind w:left="540" w:hanging="54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lastRenderedPageBreak/>
        <w:t xml:space="preserve">La Cámara tendrá la potestad de suspender la aceptación de </w:t>
      </w:r>
      <w:proofErr w:type="spellStart"/>
      <w:r w:rsidRPr="002C0D19">
        <w:rPr>
          <w:rFonts w:ascii="Arial Narrow" w:hAnsi="Arial Narrow" w:cs="Arial"/>
          <w:color w:val="000000" w:themeColor="text1"/>
          <w:lang w:val="es-ES" w:eastAsia="es-ES"/>
        </w:rPr>
        <w:t>Give</w:t>
      </w:r>
      <w:proofErr w:type="spellEnd"/>
      <w:r w:rsidRPr="002C0D19">
        <w:rPr>
          <w:rFonts w:ascii="Arial Narrow" w:hAnsi="Arial Narrow" w:cs="Arial"/>
          <w:color w:val="000000" w:themeColor="text1"/>
          <w:lang w:val="es-ES" w:eastAsia="es-ES"/>
        </w:rPr>
        <w:t>-Up a un determinado Miembro, en cualquier momento de la sesión, en caso de que dicho Miembro supere sus límites de riesgo asignados.</w:t>
      </w:r>
    </w:p>
    <w:p w14:paraId="6B1E674F"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086E3252" w14:textId="77777777" w:rsidR="007968EC" w:rsidRPr="002C0D19" w:rsidRDefault="007968EC" w:rsidP="007968EC">
      <w:pPr>
        <w:numPr>
          <w:ilvl w:val="0"/>
          <w:numId w:val="5"/>
        </w:numPr>
        <w:tabs>
          <w:tab w:val="num" w:pos="540"/>
          <w:tab w:val="num" w:pos="600"/>
          <w:tab w:val="num" w:pos="2160"/>
        </w:tabs>
        <w:ind w:left="540" w:hanging="54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Se podrá solicitar un </w:t>
      </w:r>
      <w:proofErr w:type="spellStart"/>
      <w:r w:rsidRPr="002C0D19">
        <w:rPr>
          <w:rFonts w:ascii="Arial Narrow" w:hAnsi="Arial Narrow" w:cs="Arial"/>
          <w:color w:val="000000" w:themeColor="text1"/>
          <w:lang w:val="es-ES" w:eastAsia="es-ES"/>
        </w:rPr>
        <w:t>Give</w:t>
      </w:r>
      <w:proofErr w:type="spellEnd"/>
      <w:r w:rsidRPr="002C0D19">
        <w:rPr>
          <w:rFonts w:ascii="Arial Narrow" w:hAnsi="Arial Narrow" w:cs="Arial"/>
          <w:color w:val="000000" w:themeColor="text1"/>
          <w:lang w:val="es-ES" w:eastAsia="es-ES"/>
        </w:rPr>
        <w:t xml:space="preserve">-Up de cualquier Operación Aceptada, desde la fecha de registro de la Operación hasta el último día de negociación permitido para el Activo. Las aceptaciones de </w:t>
      </w:r>
      <w:proofErr w:type="spellStart"/>
      <w:r w:rsidRPr="002C0D19">
        <w:rPr>
          <w:rFonts w:ascii="Arial Narrow" w:hAnsi="Arial Narrow" w:cs="Arial"/>
          <w:color w:val="000000" w:themeColor="text1"/>
          <w:lang w:val="es-ES" w:eastAsia="es-ES"/>
        </w:rPr>
        <w:t>Give</w:t>
      </w:r>
      <w:proofErr w:type="spellEnd"/>
      <w:r w:rsidRPr="002C0D19">
        <w:rPr>
          <w:rFonts w:ascii="Arial Narrow" w:hAnsi="Arial Narrow" w:cs="Arial"/>
          <w:color w:val="000000" w:themeColor="text1"/>
          <w:lang w:val="es-ES" w:eastAsia="es-ES"/>
        </w:rPr>
        <w:t>-Up que provengan de Operaciones anteriores al día hábil precedente a la sesión pagarán la tarifa establecida en la presente Circular.</w:t>
      </w:r>
    </w:p>
    <w:p w14:paraId="068D2791" w14:textId="77777777" w:rsidR="007968EC" w:rsidRPr="002C0D19" w:rsidRDefault="007968EC" w:rsidP="007968EC">
      <w:pPr>
        <w:tabs>
          <w:tab w:val="left" w:pos="1739"/>
        </w:tabs>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ab/>
      </w:r>
    </w:p>
    <w:p w14:paraId="7033ACDB" w14:textId="77777777" w:rsidR="007968EC" w:rsidRDefault="007968EC" w:rsidP="007968EC">
      <w:pPr>
        <w:pStyle w:val="ARTICULO0"/>
        <w:rPr>
          <w:i/>
        </w:rPr>
      </w:pPr>
      <w:bookmarkStart w:id="1549" w:name="_Toc472592112"/>
      <w:bookmarkStart w:id="1550" w:name="_Toc472593131"/>
      <w:bookmarkStart w:id="1551" w:name="_Toc479056917"/>
      <w:bookmarkStart w:id="1552" w:name="_Toc31715926"/>
      <w:bookmarkStart w:id="1553" w:name="_Toc490066227"/>
      <w:bookmarkStart w:id="1554" w:name="_Toc470775433"/>
      <w:bookmarkStart w:id="1555" w:name="_Toc470779718"/>
      <w:bookmarkStart w:id="1556" w:name="_Toc470780335"/>
      <w:bookmarkStart w:id="1557" w:name="_Toc470780848"/>
      <w:bookmarkStart w:id="1558" w:name="_Toc470784409"/>
      <w:bookmarkStart w:id="1559" w:name="_Toc470784946"/>
      <w:bookmarkStart w:id="1560" w:name="_Toc470786969"/>
      <w:bookmarkStart w:id="1561" w:name="_Toc470791322"/>
      <w:r w:rsidRPr="002C0D19">
        <w:t xml:space="preserve">Artículo 1.4.2.7. Procedimiento para </w:t>
      </w:r>
      <w:proofErr w:type="spellStart"/>
      <w:r w:rsidRPr="002C0D19">
        <w:t>Give</w:t>
      </w:r>
      <w:proofErr w:type="spellEnd"/>
      <w:r w:rsidRPr="002C0D19">
        <w:t>-Up.</w:t>
      </w:r>
      <w:bookmarkEnd w:id="1549"/>
      <w:bookmarkEnd w:id="1550"/>
      <w:bookmarkEnd w:id="1551"/>
      <w:bookmarkEnd w:id="1552"/>
      <w:r w:rsidRPr="002C0D19">
        <w:rPr>
          <w:i/>
        </w:rPr>
        <w:t xml:space="preserve"> </w:t>
      </w:r>
    </w:p>
    <w:p w14:paraId="097B3CD5" w14:textId="77777777" w:rsidR="007968EC" w:rsidRPr="007E757A" w:rsidRDefault="007968EC" w:rsidP="007968EC">
      <w:pPr>
        <w:jc w:val="both"/>
        <w:rPr>
          <w:rFonts w:ascii="Arial Narrow" w:hAnsi="Arial Narrow" w:cs="Arial"/>
          <w:color w:val="000000" w:themeColor="text1"/>
          <w:lang w:eastAsia="es-ES"/>
        </w:rPr>
      </w:pPr>
    </w:p>
    <w:p w14:paraId="57D960D0" w14:textId="77777777" w:rsidR="007968EC" w:rsidRPr="002C0D19" w:rsidRDefault="007968EC" w:rsidP="007968EC">
      <w:pPr>
        <w:pStyle w:val="ANTECEDENTES"/>
      </w:pPr>
      <w:r w:rsidRPr="002C0D19">
        <w:t>(Este artículo fue modificado mediante Circular 19 del 28 de diciembre de 2016, publicada en el Boletín Normativo No. 024 del 28 de diciembre de 2016 y mediante Circular 2 del 11 de enero de 2017, publicada en el Boletín Normativo No. 002 del 11 de enero de 2017. Rige a partir del 12 de enero de 2017.)</w:t>
      </w:r>
      <w:bookmarkEnd w:id="1553"/>
    </w:p>
    <w:bookmarkEnd w:id="1554"/>
    <w:bookmarkEnd w:id="1555"/>
    <w:bookmarkEnd w:id="1556"/>
    <w:bookmarkEnd w:id="1557"/>
    <w:bookmarkEnd w:id="1558"/>
    <w:bookmarkEnd w:id="1559"/>
    <w:bookmarkEnd w:id="1560"/>
    <w:bookmarkEnd w:id="1561"/>
    <w:p w14:paraId="4963F68F" w14:textId="77777777" w:rsidR="007968EC" w:rsidRPr="002C0D19" w:rsidRDefault="007968EC" w:rsidP="007968EC">
      <w:pPr>
        <w:tabs>
          <w:tab w:val="left" w:pos="1380"/>
        </w:tabs>
        <w:autoSpaceDE w:val="0"/>
        <w:autoSpaceDN w:val="0"/>
        <w:adjustRightInd w:val="0"/>
        <w:jc w:val="both"/>
        <w:rPr>
          <w:rFonts w:ascii="Arial Narrow" w:hAnsi="Arial Narrow" w:cs="Arial"/>
          <w:color w:val="000000" w:themeColor="text1"/>
          <w:lang w:val="es-ES" w:eastAsia="es-ES"/>
        </w:rPr>
      </w:pPr>
    </w:p>
    <w:p w14:paraId="1AF6B47A" w14:textId="77777777" w:rsidR="007968EC" w:rsidRPr="002C0D19" w:rsidRDefault="007968EC" w:rsidP="007968EC">
      <w:pPr>
        <w:tabs>
          <w:tab w:val="left" w:pos="1380"/>
        </w:tabs>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Para la realización de una Operación de </w:t>
      </w:r>
      <w:proofErr w:type="spellStart"/>
      <w:r w:rsidRPr="002C0D19">
        <w:rPr>
          <w:rFonts w:ascii="Arial Narrow" w:hAnsi="Arial Narrow" w:cs="Arial"/>
          <w:color w:val="000000" w:themeColor="text1"/>
          <w:lang w:val="es-ES" w:eastAsia="es-ES"/>
        </w:rPr>
        <w:t>Give</w:t>
      </w:r>
      <w:proofErr w:type="spellEnd"/>
      <w:r w:rsidRPr="002C0D19">
        <w:rPr>
          <w:rFonts w:ascii="Arial Narrow" w:hAnsi="Arial Narrow" w:cs="Arial"/>
          <w:color w:val="000000" w:themeColor="text1"/>
          <w:lang w:val="es-ES" w:eastAsia="es-ES"/>
        </w:rPr>
        <w:t>-Up se deberá cumplir con el siguiente procedimiento dentro del respectivo Segmento</w:t>
      </w:r>
      <w:r w:rsidRPr="002C0D19">
        <w:rPr>
          <w:rFonts w:ascii="Arial Narrow" w:hAnsi="Arial Narrow" w:cs="Arial"/>
          <w:b/>
          <w:color w:val="000000" w:themeColor="text1"/>
          <w:lang w:val="es-ES" w:eastAsia="es-ES"/>
        </w:rPr>
        <w:t>:</w:t>
      </w:r>
    </w:p>
    <w:p w14:paraId="05766EB6" w14:textId="77777777" w:rsidR="007968EC" w:rsidRPr="002C0D19" w:rsidRDefault="007968EC" w:rsidP="007968EC">
      <w:pPr>
        <w:autoSpaceDE w:val="0"/>
        <w:autoSpaceDN w:val="0"/>
        <w:adjustRightInd w:val="0"/>
        <w:jc w:val="both"/>
        <w:rPr>
          <w:rFonts w:ascii="Arial Narrow" w:hAnsi="Arial Narrow" w:cs="Arial"/>
          <w:bCs/>
          <w:color w:val="000000" w:themeColor="text1"/>
          <w:lang w:val="es-ES" w:eastAsia="es-ES"/>
        </w:rPr>
      </w:pPr>
    </w:p>
    <w:p w14:paraId="2B81ED0C" w14:textId="77777777" w:rsidR="007968EC" w:rsidRPr="002C0D19" w:rsidRDefault="007968EC" w:rsidP="007968EC">
      <w:pPr>
        <w:numPr>
          <w:ilvl w:val="0"/>
          <w:numId w:val="6"/>
        </w:numPr>
        <w:tabs>
          <w:tab w:val="num" w:pos="540"/>
          <w:tab w:val="num" w:pos="2160"/>
        </w:tabs>
        <w:ind w:left="540" w:hanging="54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El Operador del Miembro de origen aplica la solicitud de </w:t>
      </w:r>
      <w:proofErr w:type="spellStart"/>
      <w:r w:rsidRPr="002C0D19">
        <w:rPr>
          <w:rFonts w:ascii="Arial Narrow" w:hAnsi="Arial Narrow" w:cs="Arial"/>
          <w:color w:val="000000" w:themeColor="text1"/>
          <w:lang w:val="es-ES" w:eastAsia="es-ES"/>
        </w:rPr>
        <w:t>Give</w:t>
      </w:r>
      <w:proofErr w:type="spellEnd"/>
      <w:r w:rsidRPr="002C0D19">
        <w:rPr>
          <w:rFonts w:ascii="Arial Narrow" w:hAnsi="Arial Narrow" w:cs="Arial"/>
          <w:color w:val="000000" w:themeColor="text1"/>
          <w:lang w:val="es-ES" w:eastAsia="es-ES"/>
        </w:rPr>
        <w:t xml:space="preserve">-Up sobre el Sistema de Cámara y </w:t>
      </w:r>
      <w:proofErr w:type="gramStart"/>
      <w:r w:rsidRPr="002C0D19">
        <w:rPr>
          <w:rFonts w:ascii="Arial Narrow" w:hAnsi="Arial Narrow" w:cs="Arial"/>
          <w:color w:val="000000" w:themeColor="text1"/>
          <w:lang w:val="es-ES" w:eastAsia="es-ES"/>
        </w:rPr>
        <w:t>en caso que</w:t>
      </w:r>
      <w:proofErr w:type="gramEnd"/>
      <w:r w:rsidRPr="002C0D19">
        <w:rPr>
          <w:rFonts w:ascii="Arial Narrow" w:hAnsi="Arial Narrow" w:cs="Arial"/>
          <w:color w:val="000000" w:themeColor="text1"/>
          <w:lang w:val="es-ES" w:eastAsia="es-ES"/>
        </w:rPr>
        <w:t xml:space="preserve"> las funcionalidades del Sistema de Negociación permitan tramitar referencias automáticas de </w:t>
      </w:r>
      <w:proofErr w:type="spellStart"/>
      <w:r w:rsidRPr="002C0D19">
        <w:rPr>
          <w:rFonts w:ascii="Arial Narrow" w:hAnsi="Arial Narrow" w:cs="Arial"/>
          <w:color w:val="000000" w:themeColor="text1"/>
          <w:lang w:val="es-ES" w:eastAsia="es-ES"/>
        </w:rPr>
        <w:t>Give</w:t>
      </w:r>
      <w:proofErr w:type="spellEnd"/>
      <w:r w:rsidRPr="002C0D19">
        <w:rPr>
          <w:rFonts w:ascii="Arial Narrow" w:hAnsi="Arial Narrow" w:cs="Arial"/>
          <w:color w:val="000000" w:themeColor="text1"/>
          <w:lang w:val="es-ES" w:eastAsia="es-ES"/>
        </w:rPr>
        <w:t>-Up, esta solicitud será tramitada por el Sistema de Cámara.</w:t>
      </w:r>
    </w:p>
    <w:p w14:paraId="326FB04A" w14:textId="77777777" w:rsidR="007968EC" w:rsidRPr="002C0D19" w:rsidRDefault="007968EC" w:rsidP="007968EC">
      <w:pPr>
        <w:autoSpaceDE w:val="0"/>
        <w:autoSpaceDN w:val="0"/>
        <w:adjustRightInd w:val="0"/>
        <w:ind w:left="360"/>
        <w:jc w:val="both"/>
        <w:rPr>
          <w:rFonts w:ascii="Arial Narrow" w:hAnsi="Arial Narrow" w:cs="Arial"/>
          <w:color w:val="000000" w:themeColor="text1"/>
          <w:lang w:val="es-ES" w:eastAsia="es-ES"/>
        </w:rPr>
      </w:pPr>
    </w:p>
    <w:p w14:paraId="01CAD2F0" w14:textId="77777777" w:rsidR="007968EC" w:rsidRPr="002C0D19" w:rsidRDefault="007968EC" w:rsidP="007968EC">
      <w:pPr>
        <w:numPr>
          <w:ilvl w:val="0"/>
          <w:numId w:val="6"/>
        </w:numPr>
        <w:tabs>
          <w:tab w:val="num" w:pos="540"/>
          <w:tab w:val="num" w:pos="2160"/>
        </w:tabs>
        <w:ind w:left="540" w:hanging="54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Las solicitudes podrán visualizarse sobre las funcionalidades de gestión de operaciones del Sistema de Cámara tanto en el Miembro de origen como en el Miembro de destino.</w:t>
      </w:r>
    </w:p>
    <w:p w14:paraId="5D0B02AC"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0A727740" w14:textId="77777777" w:rsidR="007968EC" w:rsidRPr="002C0D19" w:rsidRDefault="007968EC" w:rsidP="007968EC">
      <w:pPr>
        <w:numPr>
          <w:ilvl w:val="0"/>
          <w:numId w:val="6"/>
        </w:numPr>
        <w:tabs>
          <w:tab w:val="num" w:pos="540"/>
          <w:tab w:val="num" w:pos="2160"/>
        </w:tabs>
        <w:autoSpaceDE w:val="0"/>
        <w:autoSpaceDN w:val="0"/>
        <w:adjustRightInd w:val="0"/>
        <w:ind w:left="540" w:hanging="54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Una solicitud de </w:t>
      </w:r>
      <w:proofErr w:type="spellStart"/>
      <w:r w:rsidRPr="002C0D19">
        <w:rPr>
          <w:rFonts w:ascii="Arial Narrow" w:hAnsi="Arial Narrow" w:cs="Arial"/>
          <w:color w:val="000000" w:themeColor="text1"/>
          <w:lang w:val="es-ES" w:eastAsia="es-ES"/>
        </w:rPr>
        <w:t>Give</w:t>
      </w:r>
      <w:proofErr w:type="spellEnd"/>
      <w:r w:rsidRPr="002C0D19">
        <w:rPr>
          <w:rFonts w:ascii="Arial Narrow" w:hAnsi="Arial Narrow" w:cs="Arial"/>
          <w:color w:val="000000" w:themeColor="text1"/>
          <w:lang w:val="es-ES" w:eastAsia="es-ES"/>
        </w:rPr>
        <w:t xml:space="preserve">-Up se considerará aceptada por el Miembro de destino cuando éste y, en su caso, su Miembro Liquidador, realicen la aceptación del </w:t>
      </w:r>
      <w:proofErr w:type="spellStart"/>
      <w:r w:rsidRPr="002C0D19">
        <w:rPr>
          <w:rFonts w:ascii="Arial Narrow" w:hAnsi="Arial Narrow" w:cs="Arial"/>
          <w:color w:val="000000" w:themeColor="text1"/>
          <w:lang w:val="es-ES" w:eastAsia="es-ES"/>
        </w:rPr>
        <w:t>Give</w:t>
      </w:r>
      <w:proofErr w:type="spellEnd"/>
      <w:r w:rsidRPr="002C0D19">
        <w:rPr>
          <w:rFonts w:ascii="Arial Narrow" w:hAnsi="Arial Narrow" w:cs="Arial"/>
          <w:color w:val="000000" w:themeColor="text1"/>
          <w:lang w:val="es-ES" w:eastAsia="es-ES"/>
        </w:rPr>
        <w:t xml:space="preserve">-Up en el Terminal del Sistema de Cámara o mediante alguna de las funcionalidades proporcionadas por la Cámara para tal efecto. </w:t>
      </w:r>
    </w:p>
    <w:p w14:paraId="645598E8" w14:textId="77777777" w:rsidR="007968EC" w:rsidRPr="002C0D19" w:rsidRDefault="007968EC" w:rsidP="007968EC">
      <w:pPr>
        <w:ind w:left="708"/>
        <w:jc w:val="both"/>
        <w:rPr>
          <w:rFonts w:ascii="Arial Narrow" w:hAnsi="Arial Narrow" w:cs="Arial"/>
          <w:color w:val="000000" w:themeColor="text1"/>
          <w:lang w:eastAsia="es-CO"/>
        </w:rPr>
      </w:pPr>
    </w:p>
    <w:p w14:paraId="42D7E123" w14:textId="77777777" w:rsidR="007968EC" w:rsidRPr="002C0D19" w:rsidRDefault="007968EC" w:rsidP="007968EC">
      <w:pPr>
        <w:numPr>
          <w:ilvl w:val="0"/>
          <w:numId w:val="6"/>
        </w:numPr>
        <w:tabs>
          <w:tab w:val="num" w:pos="540"/>
          <w:tab w:val="num" w:pos="2160"/>
        </w:tabs>
        <w:autoSpaceDE w:val="0"/>
        <w:autoSpaceDN w:val="0"/>
        <w:adjustRightInd w:val="0"/>
        <w:ind w:left="540" w:hanging="54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Se entenderá que existe un </w:t>
      </w:r>
      <w:proofErr w:type="spellStart"/>
      <w:r w:rsidRPr="002C0D19">
        <w:rPr>
          <w:rFonts w:ascii="Arial Narrow" w:hAnsi="Arial Narrow" w:cs="Arial"/>
          <w:color w:val="000000" w:themeColor="text1"/>
          <w:lang w:val="es-ES" w:eastAsia="es-ES"/>
        </w:rPr>
        <w:t>Give-Out</w:t>
      </w:r>
      <w:proofErr w:type="spellEnd"/>
      <w:r w:rsidRPr="002C0D19">
        <w:rPr>
          <w:rFonts w:ascii="Arial Narrow" w:hAnsi="Arial Narrow" w:cs="Arial"/>
          <w:color w:val="000000" w:themeColor="text1"/>
          <w:lang w:val="es-ES" w:eastAsia="es-ES"/>
        </w:rPr>
        <w:t xml:space="preserve"> cuando se envía una solicitud de </w:t>
      </w:r>
      <w:proofErr w:type="spellStart"/>
      <w:r w:rsidRPr="002C0D19">
        <w:rPr>
          <w:rFonts w:ascii="Arial Narrow" w:hAnsi="Arial Narrow" w:cs="Arial"/>
          <w:color w:val="000000" w:themeColor="text1"/>
          <w:lang w:val="es-ES" w:eastAsia="es-ES"/>
        </w:rPr>
        <w:t>Give</w:t>
      </w:r>
      <w:proofErr w:type="spellEnd"/>
      <w:r w:rsidRPr="002C0D19">
        <w:rPr>
          <w:rFonts w:ascii="Arial Narrow" w:hAnsi="Arial Narrow" w:cs="Arial"/>
          <w:color w:val="000000" w:themeColor="text1"/>
          <w:lang w:val="es-ES" w:eastAsia="es-ES"/>
        </w:rPr>
        <w:t xml:space="preserve">-Up del Miembro de origen al Miembro de destino, e igualmente existirá un </w:t>
      </w:r>
      <w:proofErr w:type="spellStart"/>
      <w:r w:rsidRPr="002C0D19">
        <w:rPr>
          <w:rFonts w:ascii="Arial Narrow" w:hAnsi="Arial Narrow" w:cs="Arial"/>
          <w:color w:val="000000" w:themeColor="text1"/>
          <w:lang w:val="es-ES" w:eastAsia="es-ES"/>
        </w:rPr>
        <w:t>Give</w:t>
      </w:r>
      <w:proofErr w:type="spellEnd"/>
      <w:r w:rsidRPr="002C0D19">
        <w:rPr>
          <w:rFonts w:ascii="Arial Narrow" w:hAnsi="Arial Narrow" w:cs="Arial"/>
          <w:color w:val="000000" w:themeColor="text1"/>
          <w:lang w:val="es-ES" w:eastAsia="es-ES"/>
        </w:rPr>
        <w:t xml:space="preserve">-In cuando una solicitud de </w:t>
      </w:r>
      <w:proofErr w:type="spellStart"/>
      <w:r w:rsidRPr="002C0D19">
        <w:rPr>
          <w:rFonts w:ascii="Arial Narrow" w:hAnsi="Arial Narrow" w:cs="Arial"/>
          <w:color w:val="000000" w:themeColor="text1"/>
          <w:lang w:val="es-ES" w:eastAsia="es-ES"/>
        </w:rPr>
        <w:t>Give</w:t>
      </w:r>
      <w:proofErr w:type="spellEnd"/>
      <w:r w:rsidRPr="002C0D19">
        <w:rPr>
          <w:rFonts w:ascii="Arial Narrow" w:hAnsi="Arial Narrow" w:cs="Arial"/>
          <w:color w:val="000000" w:themeColor="text1"/>
          <w:lang w:val="es-ES" w:eastAsia="es-ES"/>
        </w:rPr>
        <w:t xml:space="preserve">-Up se haya aceptado totalmente, lo que provocará de inmediato el Traspaso de la Operación al Miembro de destino. </w:t>
      </w:r>
    </w:p>
    <w:p w14:paraId="6EE4C1EC" w14:textId="77777777" w:rsidR="007968EC" w:rsidRPr="002C0D19" w:rsidRDefault="007968EC" w:rsidP="007968EC">
      <w:pPr>
        <w:autoSpaceDE w:val="0"/>
        <w:autoSpaceDN w:val="0"/>
        <w:adjustRightInd w:val="0"/>
        <w:ind w:left="540"/>
        <w:jc w:val="both"/>
        <w:rPr>
          <w:rFonts w:ascii="Arial Narrow" w:hAnsi="Arial Narrow" w:cs="Arial"/>
          <w:color w:val="000000" w:themeColor="text1"/>
          <w:lang w:val="es-ES" w:eastAsia="es-ES"/>
        </w:rPr>
      </w:pPr>
    </w:p>
    <w:p w14:paraId="58F05C24" w14:textId="77777777" w:rsidR="007968EC" w:rsidRPr="002C0D19" w:rsidRDefault="007968EC" w:rsidP="007968EC">
      <w:pPr>
        <w:numPr>
          <w:ilvl w:val="0"/>
          <w:numId w:val="6"/>
        </w:numPr>
        <w:tabs>
          <w:tab w:val="num" w:pos="540"/>
          <w:tab w:val="num" w:pos="2160"/>
        </w:tabs>
        <w:ind w:left="540" w:hanging="54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Todas las solicitudes de </w:t>
      </w:r>
      <w:proofErr w:type="spellStart"/>
      <w:r w:rsidRPr="002C0D19">
        <w:rPr>
          <w:rFonts w:ascii="Arial Narrow" w:hAnsi="Arial Narrow" w:cs="Arial"/>
          <w:color w:val="000000" w:themeColor="text1"/>
          <w:lang w:val="es-ES" w:eastAsia="es-ES"/>
        </w:rPr>
        <w:t>Give</w:t>
      </w:r>
      <w:proofErr w:type="spellEnd"/>
      <w:r w:rsidRPr="002C0D19">
        <w:rPr>
          <w:rFonts w:ascii="Arial Narrow" w:hAnsi="Arial Narrow" w:cs="Arial"/>
          <w:color w:val="000000" w:themeColor="text1"/>
          <w:lang w:val="es-ES" w:eastAsia="es-ES"/>
        </w:rPr>
        <w:t>-Up que no hayan sido aceptadas al término del horario de Gestión de Operaciones por parte del Miembro, serán canceladas por el Sistema de Cámara.</w:t>
      </w:r>
    </w:p>
    <w:p w14:paraId="180BB004" w14:textId="77777777" w:rsidR="007968EC" w:rsidRPr="002C0D19" w:rsidRDefault="007968EC" w:rsidP="007968EC">
      <w:pPr>
        <w:tabs>
          <w:tab w:val="num" w:pos="2160"/>
        </w:tabs>
        <w:jc w:val="both"/>
        <w:rPr>
          <w:rFonts w:ascii="Arial Narrow" w:hAnsi="Arial Narrow" w:cs="Arial"/>
          <w:color w:val="000000" w:themeColor="text1"/>
          <w:lang w:val="es-ES" w:eastAsia="es-ES"/>
        </w:rPr>
      </w:pPr>
    </w:p>
    <w:p w14:paraId="136C4240" w14:textId="77777777" w:rsidR="007968EC" w:rsidRPr="002C0D19" w:rsidRDefault="007968EC" w:rsidP="007968EC">
      <w:pPr>
        <w:numPr>
          <w:ilvl w:val="0"/>
          <w:numId w:val="6"/>
        </w:numPr>
        <w:tabs>
          <w:tab w:val="num" w:pos="540"/>
          <w:tab w:val="num" w:pos="2160"/>
        </w:tabs>
        <w:ind w:left="540" w:hanging="54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Este tipo de gestión se podrá realizar en cada sesión en los horarios establecidos para la Gestión de Operaciones para cada Segmento en la presente Circular. </w:t>
      </w:r>
    </w:p>
    <w:p w14:paraId="3B365EF4" w14:textId="77777777" w:rsidR="007968EC" w:rsidRPr="002C0D19" w:rsidRDefault="007968EC" w:rsidP="007968EC">
      <w:pPr>
        <w:tabs>
          <w:tab w:val="num" w:pos="2160"/>
        </w:tabs>
        <w:jc w:val="both"/>
        <w:rPr>
          <w:rFonts w:ascii="Arial Narrow" w:hAnsi="Arial Narrow" w:cs="Arial"/>
          <w:color w:val="000000" w:themeColor="text1"/>
          <w:lang w:val="es-ES" w:eastAsia="es-ES"/>
        </w:rPr>
      </w:pPr>
    </w:p>
    <w:p w14:paraId="2FE577FB" w14:textId="77777777" w:rsidR="007968EC" w:rsidRPr="002C0D19" w:rsidRDefault="007968EC" w:rsidP="007968EC">
      <w:pPr>
        <w:tabs>
          <w:tab w:val="num" w:pos="1065"/>
          <w:tab w:val="num" w:pos="2160"/>
        </w:tabs>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 w:eastAsia="es-ES"/>
        </w:rPr>
        <w:t xml:space="preserve">Parágrafo. </w:t>
      </w:r>
      <w:r w:rsidRPr="002C0D19">
        <w:rPr>
          <w:rFonts w:ascii="Arial Narrow" w:hAnsi="Arial Narrow" w:cs="Arial"/>
          <w:color w:val="000000" w:themeColor="text1"/>
          <w:lang w:val="es-ES" w:eastAsia="es-ES"/>
        </w:rPr>
        <w:t xml:space="preserve">La Cámara tendrá la potestad de suspender la aceptación de </w:t>
      </w:r>
      <w:proofErr w:type="spellStart"/>
      <w:r w:rsidRPr="002C0D19">
        <w:rPr>
          <w:rFonts w:ascii="Arial Narrow" w:hAnsi="Arial Narrow" w:cs="Arial"/>
          <w:color w:val="000000" w:themeColor="text1"/>
          <w:lang w:val="es-ES" w:eastAsia="es-ES"/>
        </w:rPr>
        <w:t>Give</w:t>
      </w:r>
      <w:proofErr w:type="spellEnd"/>
      <w:r w:rsidRPr="002C0D19">
        <w:rPr>
          <w:rFonts w:ascii="Arial Narrow" w:hAnsi="Arial Narrow" w:cs="Arial"/>
          <w:color w:val="000000" w:themeColor="text1"/>
          <w:lang w:val="es-ES" w:eastAsia="es-ES"/>
        </w:rPr>
        <w:t>-In a un determinado Miembro en cualquier momento de la sesión, en caso de que dicho Miembro supere sus límites de riesgo asignados.</w:t>
      </w:r>
    </w:p>
    <w:p w14:paraId="11389AA6" w14:textId="77777777" w:rsidR="007968EC" w:rsidRPr="002C0D19" w:rsidRDefault="007968EC" w:rsidP="007968EC">
      <w:pPr>
        <w:tabs>
          <w:tab w:val="num" w:pos="1065"/>
          <w:tab w:val="num" w:pos="2160"/>
        </w:tabs>
        <w:jc w:val="both"/>
        <w:rPr>
          <w:rFonts w:ascii="Arial Narrow" w:hAnsi="Arial Narrow" w:cs="Arial"/>
          <w:color w:val="000000" w:themeColor="text1"/>
          <w:lang w:val="es-ES" w:eastAsia="es-ES"/>
        </w:rPr>
      </w:pPr>
    </w:p>
    <w:p w14:paraId="43918A34" w14:textId="77777777" w:rsidR="007968EC" w:rsidRDefault="007968EC" w:rsidP="007968EC">
      <w:pPr>
        <w:pStyle w:val="ARTICULO0"/>
        <w:rPr>
          <w:i/>
        </w:rPr>
      </w:pPr>
      <w:bookmarkStart w:id="1562" w:name="_Toc472592113"/>
      <w:bookmarkStart w:id="1563" w:name="_Toc472593132"/>
      <w:bookmarkStart w:id="1564" w:name="_Toc479056918"/>
      <w:bookmarkStart w:id="1565" w:name="_Toc31715927"/>
      <w:bookmarkStart w:id="1566" w:name="_Toc470775434"/>
      <w:bookmarkStart w:id="1567" w:name="_Toc470779719"/>
      <w:bookmarkStart w:id="1568" w:name="_Toc470780336"/>
      <w:bookmarkStart w:id="1569" w:name="_Toc470780849"/>
      <w:bookmarkStart w:id="1570" w:name="_Toc470784410"/>
      <w:bookmarkStart w:id="1571" w:name="_Toc470784947"/>
      <w:bookmarkStart w:id="1572" w:name="_Toc470786970"/>
      <w:bookmarkStart w:id="1573" w:name="_Toc470791323"/>
      <w:bookmarkStart w:id="1574" w:name="_Toc490066228"/>
      <w:r w:rsidRPr="002C0D19">
        <w:t xml:space="preserve">Artículo 1.4.2.8. Efectos del </w:t>
      </w:r>
      <w:proofErr w:type="spellStart"/>
      <w:r w:rsidRPr="002C0D19">
        <w:t>Give</w:t>
      </w:r>
      <w:proofErr w:type="spellEnd"/>
      <w:r w:rsidRPr="002C0D19">
        <w:t>-Up.</w:t>
      </w:r>
      <w:bookmarkEnd w:id="1562"/>
      <w:bookmarkEnd w:id="1563"/>
      <w:bookmarkEnd w:id="1564"/>
      <w:bookmarkEnd w:id="1565"/>
      <w:r w:rsidRPr="002C0D19">
        <w:rPr>
          <w:i/>
        </w:rPr>
        <w:t xml:space="preserve"> </w:t>
      </w:r>
    </w:p>
    <w:p w14:paraId="416FB3B3" w14:textId="77777777" w:rsidR="007968EC" w:rsidRPr="007E757A" w:rsidRDefault="007968EC" w:rsidP="007968EC">
      <w:pPr>
        <w:jc w:val="both"/>
        <w:rPr>
          <w:rFonts w:ascii="Arial Narrow" w:hAnsi="Arial Narrow" w:cs="Arial"/>
          <w:color w:val="000000" w:themeColor="text1"/>
          <w:lang w:eastAsia="es-ES"/>
        </w:rPr>
      </w:pPr>
    </w:p>
    <w:p w14:paraId="754DA674" w14:textId="77777777" w:rsidR="007968EC" w:rsidRPr="002C0D19" w:rsidRDefault="007968EC" w:rsidP="007968EC">
      <w:pPr>
        <w:pStyle w:val="ANTECEDENTES"/>
        <w:rPr>
          <w:u w:val="single"/>
        </w:rPr>
      </w:pPr>
      <w:r w:rsidRPr="007E757A">
        <w:t>(Este artículo fue modificado mediante Circular 19 del 28 de diciembre</w:t>
      </w:r>
      <w:r w:rsidRPr="002C0D19">
        <w:t xml:space="preserve"> de 2016, publicada en el Boletín Normativo No. 024 del 28 de diciembre de 2016. Rige a partir del 29 de diciembre de 2016.)</w:t>
      </w:r>
      <w:bookmarkEnd w:id="1566"/>
      <w:bookmarkEnd w:id="1567"/>
      <w:bookmarkEnd w:id="1568"/>
      <w:bookmarkEnd w:id="1569"/>
      <w:bookmarkEnd w:id="1570"/>
      <w:bookmarkEnd w:id="1571"/>
      <w:bookmarkEnd w:id="1572"/>
      <w:bookmarkEnd w:id="1573"/>
      <w:bookmarkEnd w:id="1574"/>
    </w:p>
    <w:p w14:paraId="3EF79478" w14:textId="77777777" w:rsidR="007968EC" w:rsidRPr="002C0D19" w:rsidRDefault="007968EC" w:rsidP="007968EC">
      <w:pPr>
        <w:tabs>
          <w:tab w:val="num" w:pos="2160"/>
        </w:tabs>
        <w:jc w:val="both"/>
        <w:rPr>
          <w:rFonts w:ascii="Arial Narrow" w:hAnsi="Arial Narrow" w:cs="Arial"/>
          <w:color w:val="000000" w:themeColor="text1"/>
          <w:lang w:val="es-ES" w:eastAsia="es-ES"/>
        </w:rPr>
      </w:pPr>
    </w:p>
    <w:p w14:paraId="3B07A1D3" w14:textId="77777777" w:rsidR="007968EC" w:rsidRPr="002C0D19" w:rsidRDefault="007968EC" w:rsidP="007968EC">
      <w:pPr>
        <w:tabs>
          <w:tab w:val="num" w:pos="2160"/>
        </w:tabs>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Una vez aceptado un </w:t>
      </w:r>
      <w:proofErr w:type="spellStart"/>
      <w:r w:rsidRPr="002C0D19">
        <w:rPr>
          <w:rFonts w:ascii="Arial Narrow" w:hAnsi="Arial Narrow" w:cs="Arial"/>
          <w:color w:val="000000" w:themeColor="text1"/>
          <w:lang w:val="es-ES" w:eastAsia="es-ES"/>
        </w:rPr>
        <w:t>Give</w:t>
      </w:r>
      <w:proofErr w:type="spellEnd"/>
      <w:r w:rsidRPr="002C0D19">
        <w:rPr>
          <w:rFonts w:ascii="Arial Narrow" w:hAnsi="Arial Narrow" w:cs="Arial"/>
          <w:color w:val="000000" w:themeColor="text1"/>
          <w:lang w:val="es-ES" w:eastAsia="es-ES"/>
        </w:rPr>
        <w:t xml:space="preserve">-Up en los términos establecidos en el artículo anterior, el Sistema de Cámara realizará el Traspaso de la Operación dentro del Segmento respectivo, sobre la que se ha solicitado y aceptado el </w:t>
      </w:r>
      <w:proofErr w:type="spellStart"/>
      <w:r w:rsidRPr="002C0D19">
        <w:rPr>
          <w:rFonts w:ascii="Arial Narrow" w:hAnsi="Arial Narrow" w:cs="Arial"/>
          <w:color w:val="000000" w:themeColor="text1"/>
          <w:lang w:val="es-ES" w:eastAsia="es-ES"/>
        </w:rPr>
        <w:t>Give</w:t>
      </w:r>
      <w:proofErr w:type="spellEnd"/>
      <w:r w:rsidRPr="002C0D19">
        <w:rPr>
          <w:rFonts w:ascii="Arial Narrow" w:hAnsi="Arial Narrow" w:cs="Arial"/>
          <w:color w:val="000000" w:themeColor="text1"/>
          <w:lang w:val="es-ES" w:eastAsia="es-ES"/>
        </w:rPr>
        <w:t>-Up, de modo que:</w:t>
      </w:r>
    </w:p>
    <w:p w14:paraId="2ED7FA83" w14:textId="77777777" w:rsidR="007968EC" w:rsidRPr="002C0D19" w:rsidRDefault="007968EC" w:rsidP="007968EC">
      <w:pPr>
        <w:autoSpaceDE w:val="0"/>
        <w:autoSpaceDN w:val="0"/>
        <w:adjustRightInd w:val="0"/>
        <w:ind w:left="720"/>
        <w:jc w:val="both"/>
        <w:rPr>
          <w:rFonts w:ascii="Arial Narrow" w:hAnsi="Arial Narrow" w:cs="Arial"/>
          <w:color w:val="000000" w:themeColor="text1"/>
          <w:lang w:val="es-ES" w:eastAsia="es-ES"/>
        </w:rPr>
      </w:pPr>
    </w:p>
    <w:p w14:paraId="2EB24BC8" w14:textId="77777777" w:rsidR="007968EC" w:rsidRPr="002C0D19" w:rsidRDefault="007968EC" w:rsidP="007968EC">
      <w:pPr>
        <w:numPr>
          <w:ilvl w:val="0"/>
          <w:numId w:val="12"/>
        </w:numPr>
        <w:tabs>
          <w:tab w:val="num" w:pos="540"/>
        </w:tabs>
        <w:ind w:left="540" w:hanging="54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Se registrará en la Cuenta del Miembro de origen y en la Cuenta del Miembro de destino una Operación tipo “G” en los mismos términos de la Operación sobre la que se ha solicitado y aceptado el </w:t>
      </w:r>
      <w:proofErr w:type="spellStart"/>
      <w:r w:rsidRPr="002C0D19">
        <w:rPr>
          <w:rFonts w:ascii="Arial Narrow" w:hAnsi="Arial Narrow" w:cs="Arial"/>
          <w:color w:val="000000" w:themeColor="text1"/>
          <w:lang w:val="es-ES" w:eastAsia="es-ES"/>
        </w:rPr>
        <w:t>Give</w:t>
      </w:r>
      <w:proofErr w:type="spellEnd"/>
      <w:r w:rsidRPr="002C0D19">
        <w:rPr>
          <w:rFonts w:ascii="Arial Narrow" w:hAnsi="Arial Narrow" w:cs="Arial"/>
          <w:color w:val="000000" w:themeColor="text1"/>
          <w:lang w:val="es-ES" w:eastAsia="es-ES"/>
        </w:rPr>
        <w:t>-up.</w:t>
      </w:r>
    </w:p>
    <w:p w14:paraId="0912097B" w14:textId="77777777" w:rsidR="007968EC" w:rsidRPr="002C0D19" w:rsidRDefault="007968EC" w:rsidP="007968EC">
      <w:pPr>
        <w:tabs>
          <w:tab w:val="num" w:pos="900"/>
          <w:tab w:val="num" w:pos="960"/>
        </w:tabs>
        <w:autoSpaceDE w:val="0"/>
        <w:autoSpaceDN w:val="0"/>
        <w:adjustRightInd w:val="0"/>
        <w:ind w:left="900" w:hanging="360"/>
        <w:jc w:val="both"/>
        <w:rPr>
          <w:rFonts w:ascii="Arial Narrow" w:hAnsi="Arial Narrow" w:cs="Arial"/>
          <w:color w:val="000000" w:themeColor="text1"/>
          <w:lang w:val="es-ES" w:eastAsia="es-ES"/>
        </w:rPr>
      </w:pPr>
    </w:p>
    <w:p w14:paraId="140274A6" w14:textId="77777777" w:rsidR="007968EC" w:rsidRPr="002C0D19" w:rsidRDefault="007968EC" w:rsidP="007968EC">
      <w:pPr>
        <w:numPr>
          <w:ilvl w:val="0"/>
          <w:numId w:val="12"/>
        </w:numPr>
        <w:tabs>
          <w:tab w:val="num" w:pos="540"/>
        </w:tabs>
        <w:ind w:left="540" w:hanging="54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Una vez registrado el </w:t>
      </w:r>
      <w:proofErr w:type="spellStart"/>
      <w:r w:rsidRPr="002C0D19">
        <w:rPr>
          <w:rFonts w:ascii="Arial Narrow" w:hAnsi="Arial Narrow" w:cs="Arial"/>
          <w:color w:val="000000" w:themeColor="text1"/>
          <w:lang w:val="es-ES" w:eastAsia="es-ES"/>
        </w:rPr>
        <w:t>Give</w:t>
      </w:r>
      <w:proofErr w:type="spellEnd"/>
      <w:r w:rsidRPr="002C0D19">
        <w:rPr>
          <w:rFonts w:ascii="Arial Narrow" w:hAnsi="Arial Narrow" w:cs="Arial"/>
          <w:color w:val="000000" w:themeColor="text1"/>
          <w:lang w:val="es-ES" w:eastAsia="es-ES"/>
        </w:rPr>
        <w:t>-up en la Cuenta del Miembro de destino, el titular de la Cuenta destino y en su caso, su Miembro Liquidador, serán responsables de la Liquidación y Compensación de la transacción.</w:t>
      </w:r>
    </w:p>
    <w:p w14:paraId="3D41CA4A" w14:textId="77777777" w:rsidR="007968EC" w:rsidRPr="002C0D19" w:rsidRDefault="007968EC" w:rsidP="007968EC">
      <w:pPr>
        <w:tabs>
          <w:tab w:val="num" w:pos="900"/>
        </w:tabs>
        <w:autoSpaceDE w:val="0"/>
        <w:autoSpaceDN w:val="0"/>
        <w:adjustRightInd w:val="0"/>
        <w:ind w:left="900" w:hanging="360"/>
        <w:jc w:val="both"/>
        <w:rPr>
          <w:rFonts w:ascii="Arial Narrow" w:hAnsi="Arial Narrow" w:cs="Arial"/>
          <w:color w:val="000000" w:themeColor="text1"/>
          <w:lang w:val="es-ES" w:eastAsia="es-ES"/>
        </w:rPr>
      </w:pPr>
    </w:p>
    <w:p w14:paraId="1FFA4563" w14:textId="77777777" w:rsidR="007968EC" w:rsidRPr="002C0D19" w:rsidRDefault="007968EC" w:rsidP="007968EC">
      <w:pPr>
        <w:numPr>
          <w:ilvl w:val="0"/>
          <w:numId w:val="12"/>
        </w:numPr>
        <w:tabs>
          <w:tab w:val="num" w:pos="540"/>
        </w:tabs>
        <w:ind w:left="540" w:hanging="54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Al realizar el Traspaso de la Operación (</w:t>
      </w:r>
      <w:proofErr w:type="spellStart"/>
      <w:r w:rsidRPr="002C0D19">
        <w:rPr>
          <w:rFonts w:ascii="Arial Narrow" w:hAnsi="Arial Narrow" w:cs="Arial"/>
          <w:color w:val="000000" w:themeColor="text1"/>
          <w:lang w:val="es-ES" w:eastAsia="es-ES"/>
        </w:rPr>
        <w:t>Give</w:t>
      </w:r>
      <w:proofErr w:type="spellEnd"/>
      <w:r w:rsidRPr="002C0D19">
        <w:rPr>
          <w:rFonts w:ascii="Arial Narrow" w:hAnsi="Arial Narrow" w:cs="Arial"/>
          <w:color w:val="000000" w:themeColor="text1"/>
          <w:lang w:val="es-ES" w:eastAsia="es-ES"/>
        </w:rPr>
        <w:t>-Up), la Posición, las comisiones y todos los términos y obligaciones de la Operación original serán registrados en la Cuenta del Miembro de destino. Se registra una Operación tipo “G” de signo contrario al de la Operación original en la Cuenta del Miembro de origen.</w:t>
      </w:r>
    </w:p>
    <w:p w14:paraId="5F44ABE6" w14:textId="77777777" w:rsidR="007968EC" w:rsidRPr="002C0D19" w:rsidRDefault="007968EC" w:rsidP="007968EC">
      <w:pPr>
        <w:jc w:val="both"/>
        <w:rPr>
          <w:rFonts w:ascii="Arial Narrow" w:hAnsi="Arial Narrow" w:cs="Arial"/>
          <w:color w:val="000000" w:themeColor="text1"/>
          <w:lang w:val="es-ES" w:eastAsia="es-ES"/>
        </w:rPr>
      </w:pPr>
    </w:p>
    <w:p w14:paraId="68837496" w14:textId="77777777" w:rsidR="007968EC" w:rsidRDefault="007968EC" w:rsidP="007968EC">
      <w:pPr>
        <w:pStyle w:val="ARTICULO0"/>
      </w:pPr>
      <w:bookmarkStart w:id="1575" w:name="_Toc472592114"/>
      <w:bookmarkStart w:id="1576" w:name="_Toc472593133"/>
      <w:bookmarkStart w:id="1577" w:name="_Toc479056919"/>
      <w:bookmarkStart w:id="1578" w:name="_Toc31715928"/>
      <w:bookmarkStart w:id="1579" w:name="_Toc470775435"/>
      <w:bookmarkStart w:id="1580" w:name="_Toc470779720"/>
      <w:bookmarkStart w:id="1581" w:name="_Toc470780337"/>
      <w:bookmarkStart w:id="1582" w:name="_Toc470780850"/>
      <w:bookmarkStart w:id="1583" w:name="_Toc470784411"/>
      <w:bookmarkStart w:id="1584" w:name="_Toc470784948"/>
      <w:bookmarkStart w:id="1585" w:name="_Toc470786971"/>
      <w:bookmarkStart w:id="1586" w:name="_Toc470791324"/>
      <w:bookmarkStart w:id="1587" w:name="_Toc490066229"/>
      <w:r w:rsidRPr="002C0D19">
        <w:t>Artículo 1.4.2.9. Responsabilidad e identificación de los tipos de gestión de las Operaciones Aceptadas.</w:t>
      </w:r>
      <w:bookmarkEnd w:id="1575"/>
      <w:bookmarkEnd w:id="1576"/>
      <w:bookmarkEnd w:id="1577"/>
      <w:bookmarkEnd w:id="1578"/>
      <w:r w:rsidRPr="002C0D19">
        <w:t xml:space="preserve"> </w:t>
      </w:r>
    </w:p>
    <w:p w14:paraId="161C9D20" w14:textId="77777777" w:rsidR="007968EC" w:rsidRPr="007E757A" w:rsidRDefault="007968EC" w:rsidP="007968EC">
      <w:pPr>
        <w:jc w:val="both"/>
        <w:rPr>
          <w:rFonts w:ascii="Arial Narrow" w:hAnsi="Arial Narrow" w:cs="Arial"/>
          <w:color w:val="000000" w:themeColor="text1"/>
          <w:lang w:eastAsia="es-ES"/>
        </w:rPr>
      </w:pPr>
    </w:p>
    <w:p w14:paraId="62C4870D" w14:textId="77777777" w:rsidR="007968EC" w:rsidRPr="002C0D19" w:rsidRDefault="007968EC" w:rsidP="007968EC">
      <w:pPr>
        <w:pStyle w:val="ANTECEDENTES"/>
        <w:rPr>
          <w:u w:val="single"/>
        </w:rPr>
      </w:pPr>
      <w:r w:rsidRPr="002C0D19">
        <w:t>(Este artículo fue renumerado mediante Circular 19 del 28 de diciembre de 2016, publicada en el Boletín Normativo No. 024 del 28 de diciembre de 2016. Rige a partir del 29 de diciembre de 2016.)</w:t>
      </w:r>
      <w:bookmarkEnd w:id="1579"/>
      <w:bookmarkEnd w:id="1580"/>
      <w:bookmarkEnd w:id="1581"/>
      <w:bookmarkEnd w:id="1582"/>
      <w:bookmarkEnd w:id="1583"/>
      <w:bookmarkEnd w:id="1584"/>
      <w:bookmarkEnd w:id="1585"/>
      <w:bookmarkEnd w:id="1586"/>
      <w:bookmarkEnd w:id="1587"/>
    </w:p>
    <w:p w14:paraId="287DE0EE" w14:textId="77777777" w:rsidR="007968EC" w:rsidRPr="002C0D19" w:rsidRDefault="007968EC" w:rsidP="007968EC">
      <w:pPr>
        <w:jc w:val="both"/>
        <w:rPr>
          <w:rFonts w:ascii="Arial Narrow" w:hAnsi="Arial Narrow" w:cs="Arial"/>
          <w:color w:val="000000" w:themeColor="text1"/>
          <w:lang w:eastAsia="es-ES"/>
        </w:rPr>
      </w:pPr>
    </w:p>
    <w:p w14:paraId="002AD0D3"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La responsabilidad por la gestión de las Operaciones Aceptadas será única y exclusivamente del Miembro, quien deberá mantener a disposición de la Cámara y de las Autoridades Competentes, la documentación y los registros correspondientes que permitan identificar desde el origen y de manera completa cada tipo de gestión efectuada. </w:t>
      </w:r>
    </w:p>
    <w:p w14:paraId="0599D146" w14:textId="77777777" w:rsidR="007968EC" w:rsidRPr="002C0D19" w:rsidRDefault="007968EC" w:rsidP="007968EC">
      <w:pPr>
        <w:jc w:val="both"/>
        <w:rPr>
          <w:rFonts w:ascii="Arial Narrow" w:hAnsi="Arial Narrow" w:cs="Arial"/>
          <w:color w:val="000000" w:themeColor="text1"/>
          <w:lang w:val="es-ES" w:eastAsia="es-ES"/>
        </w:rPr>
      </w:pPr>
    </w:p>
    <w:p w14:paraId="78FE1AC2" w14:textId="77777777" w:rsidR="007968EC" w:rsidRDefault="007968EC" w:rsidP="007968EC">
      <w:pPr>
        <w:pStyle w:val="ARTICULO0"/>
        <w:rPr>
          <w:i/>
        </w:rPr>
      </w:pPr>
      <w:bookmarkStart w:id="1588" w:name="_Toc472592115"/>
      <w:bookmarkStart w:id="1589" w:name="_Toc472593134"/>
      <w:bookmarkStart w:id="1590" w:name="_Toc479056920"/>
      <w:bookmarkStart w:id="1591" w:name="_Toc31715929"/>
      <w:bookmarkStart w:id="1592" w:name="_Toc470775436"/>
      <w:bookmarkStart w:id="1593" w:name="_Toc470779721"/>
      <w:bookmarkStart w:id="1594" w:name="_Toc470780338"/>
      <w:bookmarkStart w:id="1595" w:name="_Toc470780851"/>
      <w:bookmarkStart w:id="1596" w:name="_Toc470784412"/>
      <w:bookmarkStart w:id="1597" w:name="_Toc470784949"/>
      <w:bookmarkStart w:id="1598" w:name="_Toc470786972"/>
      <w:bookmarkStart w:id="1599" w:name="_Toc470791325"/>
      <w:bookmarkStart w:id="1600" w:name="_Toc490066230"/>
      <w:r w:rsidRPr="002C0D19">
        <w:t>Artículo 1.4.2.10. Restricciones para la gestión de Operaciones entre Cuentas de Segmentos diferentes.</w:t>
      </w:r>
      <w:bookmarkEnd w:id="1588"/>
      <w:bookmarkEnd w:id="1589"/>
      <w:bookmarkEnd w:id="1590"/>
      <w:bookmarkEnd w:id="1591"/>
      <w:r w:rsidRPr="002C0D19">
        <w:rPr>
          <w:i/>
        </w:rPr>
        <w:t xml:space="preserve"> </w:t>
      </w:r>
    </w:p>
    <w:p w14:paraId="475572C2" w14:textId="77777777" w:rsidR="007968EC" w:rsidRPr="007E757A" w:rsidRDefault="007968EC" w:rsidP="007968EC">
      <w:pPr>
        <w:jc w:val="both"/>
        <w:rPr>
          <w:rFonts w:ascii="Arial Narrow" w:hAnsi="Arial Narrow" w:cs="Arial"/>
          <w:color w:val="000000" w:themeColor="text1"/>
          <w:lang w:eastAsia="es-ES"/>
        </w:rPr>
      </w:pPr>
    </w:p>
    <w:p w14:paraId="34204DED" w14:textId="77777777" w:rsidR="007968EC" w:rsidRPr="002C0D19" w:rsidRDefault="007968EC" w:rsidP="007968EC">
      <w:pPr>
        <w:pStyle w:val="ANTECEDENTES"/>
        <w:rPr>
          <w:lang w:val="es-ES"/>
        </w:rPr>
      </w:pPr>
      <w:r w:rsidRPr="002C0D19">
        <w:t xml:space="preserve">(Este artículo fue adicionado mediante Circular 19 del 28 de diciembre de 2016, publicada en el Boletín Normativo No. </w:t>
      </w:r>
      <w:r>
        <w:t>024 del 28 de diciembre de 2016</w:t>
      </w:r>
      <w:r w:rsidRPr="002C0D19">
        <w:rPr>
          <w:lang w:val="es-ES"/>
        </w:rPr>
        <w:t>. Rige a partir del 29 de diciembre de 2016.)</w:t>
      </w:r>
      <w:bookmarkEnd w:id="1592"/>
      <w:bookmarkEnd w:id="1593"/>
      <w:bookmarkEnd w:id="1594"/>
      <w:bookmarkEnd w:id="1595"/>
      <w:bookmarkEnd w:id="1596"/>
      <w:bookmarkEnd w:id="1597"/>
      <w:bookmarkEnd w:id="1598"/>
      <w:bookmarkEnd w:id="1599"/>
      <w:bookmarkEnd w:id="1600"/>
      <w:r w:rsidRPr="002C0D19">
        <w:rPr>
          <w:lang w:val="es-ES"/>
        </w:rPr>
        <w:t xml:space="preserve">     </w:t>
      </w:r>
    </w:p>
    <w:p w14:paraId="565A4195" w14:textId="77777777" w:rsidR="007968EC" w:rsidRPr="002C0D19" w:rsidRDefault="007968EC" w:rsidP="007968EC">
      <w:pPr>
        <w:autoSpaceDE w:val="0"/>
        <w:autoSpaceDN w:val="0"/>
        <w:jc w:val="both"/>
        <w:rPr>
          <w:rFonts w:ascii="Arial Narrow" w:hAnsi="Arial Narrow" w:cs="Arial"/>
          <w:lang w:val="es-ES" w:eastAsia="es-ES"/>
        </w:rPr>
      </w:pPr>
    </w:p>
    <w:p w14:paraId="5F92CBB7" w14:textId="77777777" w:rsidR="007968EC" w:rsidRPr="002C0D19" w:rsidRDefault="007968EC" w:rsidP="007968EC">
      <w:pPr>
        <w:jc w:val="both"/>
        <w:rPr>
          <w:rFonts w:ascii="Arial Narrow" w:hAnsi="Arial Narrow" w:cs="Arial"/>
          <w:color w:val="000000" w:themeColor="text1"/>
          <w:lang w:val="es-ES" w:eastAsia="es-ES"/>
        </w:rPr>
      </w:pPr>
      <w:bookmarkStart w:id="1601" w:name="_Toc470775437"/>
      <w:bookmarkStart w:id="1602" w:name="_Toc470779722"/>
      <w:bookmarkStart w:id="1603" w:name="_Toc470780339"/>
      <w:bookmarkStart w:id="1604" w:name="_Toc470780852"/>
      <w:bookmarkStart w:id="1605" w:name="_Toc470784413"/>
      <w:bookmarkStart w:id="1606" w:name="_Toc470784950"/>
      <w:bookmarkStart w:id="1607" w:name="_Toc470786973"/>
      <w:bookmarkStart w:id="1608" w:name="_Toc470791326"/>
      <w:bookmarkStart w:id="1609" w:name="_Toc471831536"/>
      <w:bookmarkStart w:id="1610" w:name="_Toc490066231"/>
      <w:bookmarkStart w:id="1611" w:name="_Toc490079003"/>
      <w:r w:rsidRPr="002C0D19">
        <w:rPr>
          <w:rFonts w:ascii="Arial Narrow" w:hAnsi="Arial Narrow" w:cs="Arial"/>
          <w:color w:val="000000" w:themeColor="text1"/>
          <w:lang w:val="es-ES" w:eastAsia="es-ES"/>
        </w:rPr>
        <w:t>Los Miembros no podrán realizar procedimientos de Gestión de Operaciones entre Cuentas pertenecientes a Segmentos diferentes.</w:t>
      </w:r>
      <w:bookmarkEnd w:id="1601"/>
      <w:bookmarkEnd w:id="1602"/>
      <w:bookmarkEnd w:id="1603"/>
      <w:bookmarkEnd w:id="1604"/>
      <w:bookmarkEnd w:id="1605"/>
      <w:bookmarkEnd w:id="1606"/>
      <w:bookmarkEnd w:id="1607"/>
      <w:bookmarkEnd w:id="1608"/>
      <w:bookmarkEnd w:id="1609"/>
      <w:bookmarkEnd w:id="1610"/>
      <w:bookmarkEnd w:id="1611"/>
    </w:p>
    <w:p w14:paraId="1D9E1C7A" w14:textId="77777777" w:rsidR="007968EC" w:rsidRPr="002C0D19" w:rsidRDefault="007968EC" w:rsidP="007968EC">
      <w:pPr>
        <w:jc w:val="both"/>
        <w:rPr>
          <w:rFonts w:ascii="Arial Narrow" w:hAnsi="Arial Narrow" w:cs="Arial"/>
          <w:color w:val="000000" w:themeColor="text1"/>
          <w:lang w:val="es-ES" w:eastAsia="es-ES"/>
        </w:rPr>
      </w:pPr>
    </w:p>
    <w:p w14:paraId="55B72480" w14:textId="77777777" w:rsidR="007968EC" w:rsidRPr="002C0D19" w:rsidRDefault="007968EC" w:rsidP="007968EC">
      <w:pPr>
        <w:pStyle w:val="TTULO"/>
        <w:rPr>
          <w:lang w:val="es-ES"/>
        </w:rPr>
      </w:pPr>
      <w:bookmarkStart w:id="1612" w:name="_Toc470775438"/>
      <w:bookmarkStart w:id="1613" w:name="_Toc470779723"/>
      <w:bookmarkStart w:id="1614" w:name="_Toc470780340"/>
      <w:bookmarkStart w:id="1615" w:name="_Toc470780853"/>
      <w:bookmarkStart w:id="1616" w:name="_Toc470784414"/>
      <w:bookmarkStart w:id="1617" w:name="_Toc470784951"/>
      <w:bookmarkStart w:id="1618" w:name="_Toc470786974"/>
      <w:bookmarkStart w:id="1619" w:name="_Toc470791327"/>
      <w:bookmarkStart w:id="1620" w:name="_Toc472592116"/>
      <w:bookmarkStart w:id="1621" w:name="_Toc472593135"/>
      <w:bookmarkStart w:id="1622" w:name="_Toc479056921"/>
      <w:bookmarkStart w:id="1623" w:name="_Toc490066232"/>
      <w:bookmarkStart w:id="1624" w:name="_Toc31715930"/>
      <w:r w:rsidRPr="002C0D19">
        <w:rPr>
          <w:lang w:val="es-ES"/>
        </w:rPr>
        <w:t>TÍTULO QUINTO</w:t>
      </w:r>
      <w:bookmarkEnd w:id="1612"/>
      <w:bookmarkEnd w:id="1613"/>
      <w:bookmarkEnd w:id="1614"/>
      <w:bookmarkEnd w:id="1615"/>
      <w:bookmarkEnd w:id="1616"/>
      <w:bookmarkEnd w:id="1617"/>
      <w:bookmarkEnd w:id="1618"/>
      <w:bookmarkEnd w:id="1619"/>
      <w:bookmarkEnd w:id="1620"/>
      <w:bookmarkEnd w:id="1621"/>
      <w:bookmarkEnd w:id="1622"/>
      <w:bookmarkEnd w:id="1623"/>
      <w:bookmarkEnd w:id="1624"/>
    </w:p>
    <w:p w14:paraId="6E001478" w14:textId="77777777" w:rsidR="007968EC" w:rsidRPr="002C0D19" w:rsidRDefault="007968EC" w:rsidP="007968EC">
      <w:pPr>
        <w:pStyle w:val="TTULO"/>
        <w:rPr>
          <w:lang w:val="es-ES"/>
        </w:rPr>
      </w:pPr>
    </w:p>
    <w:p w14:paraId="141E34DC" w14:textId="77777777" w:rsidR="007968EC" w:rsidRPr="002C0D19" w:rsidRDefault="007968EC" w:rsidP="007968EC">
      <w:pPr>
        <w:pStyle w:val="TTULO"/>
        <w:rPr>
          <w:lang w:val="es-ES"/>
        </w:rPr>
      </w:pPr>
      <w:bookmarkStart w:id="1625" w:name="_Toc470775439"/>
      <w:bookmarkStart w:id="1626" w:name="_Toc470779724"/>
      <w:bookmarkStart w:id="1627" w:name="_Toc470780341"/>
      <w:bookmarkStart w:id="1628" w:name="_Toc470780854"/>
      <w:bookmarkStart w:id="1629" w:name="_Toc470784415"/>
      <w:bookmarkStart w:id="1630" w:name="_Toc470784952"/>
      <w:bookmarkStart w:id="1631" w:name="_Toc470786975"/>
      <w:bookmarkStart w:id="1632" w:name="_Toc470791328"/>
      <w:bookmarkStart w:id="1633" w:name="_Toc472592117"/>
      <w:bookmarkStart w:id="1634" w:name="_Toc472593136"/>
      <w:bookmarkStart w:id="1635" w:name="_Toc479056922"/>
      <w:bookmarkStart w:id="1636" w:name="_Toc490066233"/>
      <w:bookmarkStart w:id="1637" w:name="_Toc31715931"/>
      <w:r w:rsidRPr="002C0D19">
        <w:rPr>
          <w:lang w:val="es-ES"/>
        </w:rPr>
        <w:t>COMPENSACIÓN Y LIQUIDACIÓN DE OPERACIONES</w:t>
      </w:r>
      <w:bookmarkEnd w:id="1625"/>
      <w:bookmarkEnd w:id="1626"/>
      <w:bookmarkEnd w:id="1627"/>
      <w:bookmarkEnd w:id="1628"/>
      <w:bookmarkEnd w:id="1629"/>
      <w:bookmarkEnd w:id="1630"/>
      <w:bookmarkEnd w:id="1631"/>
      <w:bookmarkEnd w:id="1632"/>
      <w:bookmarkEnd w:id="1633"/>
      <w:bookmarkEnd w:id="1634"/>
      <w:bookmarkEnd w:id="1635"/>
      <w:bookmarkEnd w:id="1636"/>
      <w:bookmarkEnd w:id="1637"/>
    </w:p>
    <w:p w14:paraId="65DE99BC" w14:textId="77777777" w:rsidR="007968EC" w:rsidRPr="002C0D19" w:rsidRDefault="007968EC" w:rsidP="007968EC">
      <w:pPr>
        <w:pStyle w:val="TTULO"/>
        <w:rPr>
          <w:lang w:val="es-ES"/>
        </w:rPr>
      </w:pPr>
    </w:p>
    <w:p w14:paraId="27BCBBE2" w14:textId="77777777" w:rsidR="007968EC" w:rsidRPr="002C0D19" w:rsidRDefault="007968EC" w:rsidP="007968EC">
      <w:pPr>
        <w:pStyle w:val="TTULO"/>
        <w:rPr>
          <w:lang w:val="es-ES"/>
        </w:rPr>
      </w:pPr>
      <w:bookmarkStart w:id="1638" w:name="_Toc470775440"/>
      <w:bookmarkStart w:id="1639" w:name="_Toc470779725"/>
      <w:bookmarkStart w:id="1640" w:name="_Toc470780342"/>
      <w:bookmarkStart w:id="1641" w:name="_Toc470780855"/>
      <w:bookmarkStart w:id="1642" w:name="_Toc470784416"/>
      <w:bookmarkStart w:id="1643" w:name="_Toc470784953"/>
      <w:bookmarkStart w:id="1644" w:name="_Toc470786976"/>
      <w:bookmarkStart w:id="1645" w:name="_Toc470791329"/>
      <w:bookmarkStart w:id="1646" w:name="_Toc472592118"/>
      <w:bookmarkStart w:id="1647" w:name="_Toc472593137"/>
      <w:bookmarkStart w:id="1648" w:name="_Toc479056923"/>
      <w:bookmarkStart w:id="1649" w:name="_Toc490066234"/>
      <w:bookmarkStart w:id="1650" w:name="_Toc31715932"/>
      <w:r w:rsidRPr="002C0D19">
        <w:rPr>
          <w:lang w:val="es-ES"/>
        </w:rPr>
        <w:t>CAPÍTULO PRIMERO</w:t>
      </w:r>
      <w:bookmarkEnd w:id="1638"/>
      <w:bookmarkEnd w:id="1639"/>
      <w:bookmarkEnd w:id="1640"/>
      <w:bookmarkEnd w:id="1641"/>
      <w:bookmarkEnd w:id="1642"/>
      <w:bookmarkEnd w:id="1643"/>
      <w:bookmarkEnd w:id="1644"/>
      <w:bookmarkEnd w:id="1645"/>
      <w:bookmarkEnd w:id="1646"/>
      <w:bookmarkEnd w:id="1647"/>
      <w:bookmarkEnd w:id="1648"/>
      <w:bookmarkEnd w:id="1649"/>
      <w:bookmarkEnd w:id="1650"/>
    </w:p>
    <w:p w14:paraId="0E8086E0" w14:textId="77777777" w:rsidR="007968EC" w:rsidRPr="002C0D19" w:rsidRDefault="007968EC" w:rsidP="007968EC">
      <w:pPr>
        <w:pStyle w:val="TTULO"/>
        <w:rPr>
          <w:lang w:val="es-ES"/>
        </w:rPr>
      </w:pPr>
    </w:p>
    <w:p w14:paraId="73C2F492" w14:textId="77777777" w:rsidR="007968EC" w:rsidRPr="002C0D19" w:rsidRDefault="007968EC" w:rsidP="007968EC">
      <w:pPr>
        <w:pStyle w:val="TTULO"/>
        <w:rPr>
          <w:lang w:val="es-ES"/>
        </w:rPr>
      </w:pPr>
      <w:bookmarkStart w:id="1651" w:name="_Toc470775441"/>
      <w:bookmarkStart w:id="1652" w:name="_Toc470779726"/>
      <w:bookmarkStart w:id="1653" w:name="_Toc470780343"/>
      <w:bookmarkStart w:id="1654" w:name="_Toc470780856"/>
      <w:bookmarkStart w:id="1655" w:name="_Toc470784417"/>
      <w:bookmarkStart w:id="1656" w:name="_Toc470784954"/>
      <w:bookmarkStart w:id="1657" w:name="_Toc470786977"/>
      <w:bookmarkStart w:id="1658" w:name="_Toc470791330"/>
      <w:bookmarkStart w:id="1659" w:name="_Toc472592119"/>
      <w:bookmarkStart w:id="1660" w:name="_Toc472593138"/>
      <w:bookmarkStart w:id="1661" w:name="_Toc479056924"/>
      <w:bookmarkStart w:id="1662" w:name="_Toc490066235"/>
      <w:bookmarkStart w:id="1663" w:name="_Toc31715933"/>
      <w:r w:rsidRPr="002C0D19">
        <w:rPr>
          <w:lang w:val="es-ES"/>
        </w:rPr>
        <w:t>COMPENSACIÓN</w:t>
      </w:r>
      <w:bookmarkEnd w:id="1651"/>
      <w:bookmarkEnd w:id="1652"/>
      <w:bookmarkEnd w:id="1653"/>
      <w:bookmarkEnd w:id="1654"/>
      <w:bookmarkEnd w:id="1655"/>
      <w:bookmarkEnd w:id="1656"/>
      <w:bookmarkEnd w:id="1657"/>
      <w:bookmarkEnd w:id="1658"/>
      <w:bookmarkEnd w:id="1659"/>
      <w:bookmarkEnd w:id="1660"/>
      <w:bookmarkEnd w:id="1661"/>
      <w:bookmarkEnd w:id="1662"/>
      <w:bookmarkEnd w:id="1663"/>
    </w:p>
    <w:p w14:paraId="192D83E5" w14:textId="77777777" w:rsidR="007968EC" w:rsidRPr="002C0D19" w:rsidRDefault="007968EC" w:rsidP="007968EC">
      <w:pPr>
        <w:jc w:val="center"/>
        <w:outlineLvl w:val="1"/>
        <w:rPr>
          <w:rFonts w:ascii="Arial Narrow" w:hAnsi="Arial Narrow" w:cs="Arial"/>
          <w:b/>
          <w:color w:val="000000" w:themeColor="text1"/>
          <w:lang w:eastAsia="es-ES"/>
        </w:rPr>
      </w:pPr>
    </w:p>
    <w:p w14:paraId="0229AF9A" w14:textId="77777777" w:rsidR="007968EC" w:rsidRDefault="007968EC" w:rsidP="007968EC">
      <w:pPr>
        <w:pStyle w:val="ARTICULO0"/>
        <w:rPr>
          <w:i/>
        </w:rPr>
      </w:pPr>
      <w:bookmarkStart w:id="1664" w:name="_Toc472592120"/>
      <w:bookmarkStart w:id="1665" w:name="_Toc472593139"/>
      <w:bookmarkStart w:id="1666" w:name="_Toc479056925"/>
      <w:bookmarkStart w:id="1667" w:name="_Toc31715934"/>
      <w:bookmarkStart w:id="1668" w:name="_Toc470775442"/>
      <w:bookmarkStart w:id="1669" w:name="_Toc470779727"/>
      <w:bookmarkStart w:id="1670" w:name="_Toc470780344"/>
      <w:bookmarkStart w:id="1671" w:name="_Toc470780857"/>
      <w:bookmarkStart w:id="1672" w:name="_Toc470784418"/>
      <w:bookmarkStart w:id="1673" w:name="_Toc470784955"/>
      <w:bookmarkStart w:id="1674" w:name="_Toc470786978"/>
      <w:bookmarkStart w:id="1675" w:name="_Toc470791331"/>
      <w:bookmarkStart w:id="1676" w:name="_Toc490066236"/>
      <w:r w:rsidRPr="002C0D19">
        <w:t>Artículo 1.5.1.1. Compensación de efectivo.</w:t>
      </w:r>
      <w:bookmarkEnd w:id="1664"/>
      <w:bookmarkEnd w:id="1665"/>
      <w:bookmarkEnd w:id="1666"/>
      <w:bookmarkEnd w:id="1667"/>
      <w:r w:rsidRPr="002C0D19">
        <w:rPr>
          <w:i/>
        </w:rPr>
        <w:t xml:space="preserve"> </w:t>
      </w:r>
    </w:p>
    <w:p w14:paraId="14425E65" w14:textId="77777777" w:rsidR="007968EC" w:rsidRDefault="007968EC" w:rsidP="007968EC">
      <w:pPr>
        <w:keepNext/>
        <w:tabs>
          <w:tab w:val="left" w:pos="1701"/>
        </w:tabs>
        <w:jc w:val="both"/>
        <w:outlineLvl w:val="2"/>
        <w:rPr>
          <w:rFonts w:ascii="Arial Narrow" w:hAnsi="Arial Narrow" w:cs="Arial"/>
          <w:b/>
          <w:i/>
          <w:color w:val="000000" w:themeColor="text1"/>
          <w:lang w:eastAsia="es-ES"/>
        </w:rPr>
      </w:pPr>
    </w:p>
    <w:p w14:paraId="512C0C0E" w14:textId="77777777" w:rsidR="007968EC" w:rsidRPr="002C0D19" w:rsidRDefault="007968EC" w:rsidP="007968EC">
      <w:pPr>
        <w:pStyle w:val="ANTECEDENTES"/>
      </w:pPr>
      <w:r w:rsidRPr="002C0D19">
        <w:t>(Este artículo fue modificado mediante Circular 19 del 28 de diciembre de 2016, publicada en el Boletín Normativo No. 024 del 28 de diciembre de 2016</w:t>
      </w:r>
      <w:bookmarkEnd w:id="1668"/>
      <w:bookmarkEnd w:id="1669"/>
      <w:bookmarkEnd w:id="1670"/>
      <w:bookmarkEnd w:id="1671"/>
      <w:bookmarkEnd w:id="1672"/>
      <w:bookmarkEnd w:id="1673"/>
      <w:bookmarkEnd w:id="1674"/>
      <w:bookmarkEnd w:id="1675"/>
      <w:bookmarkEnd w:id="1676"/>
      <w:r>
        <w:t>,</w:t>
      </w:r>
      <w:r w:rsidRPr="000C31A5">
        <w:t xml:space="preserve"> </w:t>
      </w:r>
      <w:r>
        <w:t>y mediante Circular 19 del 22 de noviembre de 2019, publicada en el Boletín Normativo No. 034 del 22 de noviembre de 2019</w:t>
      </w:r>
      <w:r w:rsidRPr="002A238E">
        <w:t>.</w:t>
      </w:r>
      <w:r w:rsidRPr="009356C5">
        <w:t xml:space="preserve"> </w:t>
      </w:r>
      <w:r>
        <w:t>Rige a partir del 25 de noviembre de 2019</w:t>
      </w:r>
      <w:r w:rsidRPr="002A238E">
        <w:t>)</w:t>
      </w:r>
      <w:r>
        <w:t>.</w:t>
      </w:r>
    </w:p>
    <w:p w14:paraId="21D74AE2" w14:textId="77777777" w:rsidR="007968EC" w:rsidRPr="002C0D19" w:rsidRDefault="007968EC" w:rsidP="007968EC">
      <w:pPr>
        <w:autoSpaceDE w:val="0"/>
        <w:autoSpaceDN w:val="0"/>
        <w:jc w:val="both"/>
        <w:rPr>
          <w:rFonts w:ascii="Arial Narrow" w:hAnsi="Arial Narrow" w:cs="Arial"/>
          <w:lang w:val="es-ES" w:eastAsia="es-ES"/>
        </w:rPr>
      </w:pPr>
    </w:p>
    <w:p w14:paraId="5B6072C0" w14:textId="77777777" w:rsidR="007968EC"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La Compensación de efectivo de la Cámara con los </w:t>
      </w:r>
      <w:r>
        <w:rPr>
          <w:rFonts w:ascii="Arial Narrow" w:hAnsi="Arial Narrow" w:cs="Arial"/>
          <w:color w:val="000000" w:themeColor="text1"/>
          <w:lang w:val="es-ES" w:eastAsia="es-ES"/>
        </w:rPr>
        <w:t xml:space="preserve">Miembros </w:t>
      </w:r>
      <w:r w:rsidRPr="002C0D19">
        <w:rPr>
          <w:rFonts w:ascii="Arial Narrow" w:hAnsi="Arial Narrow" w:cs="Arial"/>
          <w:color w:val="000000" w:themeColor="text1"/>
          <w:lang w:val="es-ES" w:eastAsia="es-ES"/>
        </w:rPr>
        <w:t>se llevará a cabo de conformidad con lo establecido en la presente Circular para cada Segmento, para cada tipo de Activo y Operaciones Aceptadas.</w:t>
      </w:r>
    </w:p>
    <w:p w14:paraId="1E1F27DD" w14:textId="77777777" w:rsidR="007968EC" w:rsidRPr="002C0D19" w:rsidRDefault="007968EC" w:rsidP="007968EC">
      <w:pPr>
        <w:jc w:val="both"/>
        <w:rPr>
          <w:rFonts w:ascii="Arial Narrow" w:hAnsi="Arial Narrow" w:cs="Arial"/>
          <w:color w:val="000000" w:themeColor="text1"/>
          <w:lang w:val="es-ES" w:eastAsia="es-ES"/>
        </w:rPr>
      </w:pPr>
    </w:p>
    <w:p w14:paraId="2C490348" w14:textId="77777777" w:rsidR="007968EC" w:rsidRDefault="007968EC" w:rsidP="007968EC">
      <w:pPr>
        <w:pStyle w:val="ARTICULO0"/>
      </w:pPr>
      <w:bookmarkStart w:id="1677" w:name="_Toc472592121"/>
      <w:bookmarkStart w:id="1678" w:name="_Toc472593140"/>
      <w:bookmarkStart w:id="1679" w:name="_Toc479056926"/>
      <w:bookmarkStart w:id="1680" w:name="_Toc31715935"/>
      <w:bookmarkStart w:id="1681" w:name="_Toc470775443"/>
      <w:bookmarkStart w:id="1682" w:name="_Toc470779728"/>
      <w:bookmarkStart w:id="1683" w:name="_Toc470780345"/>
      <w:bookmarkStart w:id="1684" w:name="_Toc470780858"/>
      <w:bookmarkStart w:id="1685" w:name="_Toc470784419"/>
      <w:bookmarkStart w:id="1686" w:name="_Toc470784956"/>
      <w:bookmarkStart w:id="1687" w:name="_Toc470786979"/>
      <w:bookmarkStart w:id="1688" w:name="_Toc470791332"/>
      <w:bookmarkStart w:id="1689" w:name="_Toc490066237"/>
      <w:r w:rsidRPr="002C0D19">
        <w:t>Artículo 1.5.1.2. Compensación de Activos.</w:t>
      </w:r>
      <w:bookmarkEnd w:id="1677"/>
      <w:bookmarkEnd w:id="1678"/>
      <w:bookmarkEnd w:id="1679"/>
      <w:bookmarkEnd w:id="1680"/>
    </w:p>
    <w:p w14:paraId="080FAB44" w14:textId="77777777" w:rsidR="007968EC" w:rsidRPr="007E757A" w:rsidRDefault="007968EC" w:rsidP="007968EC">
      <w:pPr>
        <w:jc w:val="both"/>
        <w:rPr>
          <w:rFonts w:ascii="Arial Narrow" w:hAnsi="Arial Narrow" w:cs="Arial"/>
          <w:color w:val="000000" w:themeColor="text1"/>
          <w:lang w:eastAsia="es-ES"/>
        </w:rPr>
      </w:pPr>
    </w:p>
    <w:p w14:paraId="5C29F577" w14:textId="77777777" w:rsidR="007968EC" w:rsidRPr="002C0D19" w:rsidRDefault="007968EC" w:rsidP="007968EC">
      <w:pPr>
        <w:pStyle w:val="ANTECEDENTES"/>
      </w:pPr>
      <w:r w:rsidRPr="002C0D19">
        <w:t>(Este artículo fue modificado mediante Circular 19 del 28 de diciembre de 2016, publicada en el Boletín Normativo No. 024 del 28 de diciembre de 2016. Rige a partir del 29 de diciembre de 2016.)</w:t>
      </w:r>
      <w:bookmarkEnd w:id="1681"/>
      <w:bookmarkEnd w:id="1682"/>
      <w:bookmarkEnd w:id="1683"/>
      <w:bookmarkEnd w:id="1684"/>
      <w:bookmarkEnd w:id="1685"/>
      <w:bookmarkEnd w:id="1686"/>
      <w:bookmarkEnd w:id="1687"/>
      <w:bookmarkEnd w:id="1688"/>
      <w:bookmarkEnd w:id="1689"/>
    </w:p>
    <w:p w14:paraId="50BAC50C" w14:textId="77777777" w:rsidR="007968EC" w:rsidRPr="002C0D19" w:rsidRDefault="007968EC" w:rsidP="007968EC">
      <w:pPr>
        <w:autoSpaceDE w:val="0"/>
        <w:autoSpaceDN w:val="0"/>
        <w:jc w:val="both"/>
        <w:rPr>
          <w:rFonts w:ascii="Arial Narrow" w:hAnsi="Arial Narrow" w:cs="Arial"/>
          <w:lang w:val="es-ES" w:eastAsia="es-ES"/>
        </w:rPr>
      </w:pPr>
    </w:p>
    <w:p w14:paraId="28265000"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La Compensación de Activos de la Cámara con los Miembros se llevará a cabo de conformidad con lo establecido en la presente Circular para cada Segmento, para cada tipo de Activo y Operaciones Aceptadas. </w:t>
      </w:r>
    </w:p>
    <w:p w14:paraId="60D7E664" w14:textId="77777777" w:rsidR="007968EC" w:rsidRPr="002C0D19" w:rsidRDefault="007968EC" w:rsidP="007968EC">
      <w:pPr>
        <w:jc w:val="both"/>
        <w:rPr>
          <w:rFonts w:ascii="Arial Narrow" w:eastAsia="Calibri" w:hAnsi="Arial Narrow"/>
          <w:color w:val="000000" w:themeColor="text1"/>
        </w:rPr>
      </w:pPr>
    </w:p>
    <w:p w14:paraId="55AE74BA" w14:textId="77777777" w:rsidR="007968EC" w:rsidRPr="002C0D19" w:rsidRDefault="007968EC" w:rsidP="007968EC">
      <w:pPr>
        <w:pStyle w:val="TTULO"/>
        <w:rPr>
          <w:lang w:val="es-ES"/>
        </w:rPr>
      </w:pPr>
      <w:bookmarkStart w:id="1690" w:name="_Toc470775444"/>
      <w:bookmarkStart w:id="1691" w:name="_Toc470779729"/>
      <w:bookmarkStart w:id="1692" w:name="_Toc470780346"/>
      <w:bookmarkStart w:id="1693" w:name="_Toc470780859"/>
      <w:bookmarkStart w:id="1694" w:name="_Toc470784420"/>
      <w:bookmarkStart w:id="1695" w:name="_Toc470784957"/>
      <w:bookmarkStart w:id="1696" w:name="_Toc470786980"/>
      <w:bookmarkStart w:id="1697" w:name="_Toc470791333"/>
      <w:bookmarkStart w:id="1698" w:name="_Toc472592122"/>
      <w:bookmarkStart w:id="1699" w:name="_Toc472593141"/>
      <w:bookmarkStart w:id="1700" w:name="_Toc479056927"/>
      <w:bookmarkStart w:id="1701" w:name="_Toc490066238"/>
      <w:bookmarkStart w:id="1702" w:name="_Toc31715936"/>
      <w:r w:rsidRPr="002C0D19">
        <w:rPr>
          <w:lang w:val="es-ES"/>
        </w:rPr>
        <w:t>CAPÍTULO SEGUNDO</w:t>
      </w:r>
      <w:bookmarkEnd w:id="1690"/>
      <w:bookmarkEnd w:id="1691"/>
      <w:bookmarkEnd w:id="1692"/>
      <w:bookmarkEnd w:id="1693"/>
      <w:bookmarkEnd w:id="1694"/>
      <w:bookmarkEnd w:id="1695"/>
      <w:bookmarkEnd w:id="1696"/>
      <w:bookmarkEnd w:id="1697"/>
      <w:bookmarkEnd w:id="1698"/>
      <w:bookmarkEnd w:id="1699"/>
      <w:bookmarkEnd w:id="1700"/>
      <w:bookmarkEnd w:id="1701"/>
      <w:bookmarkEnd w:id="1702"/>
    </w:p>
    <w:p w14:paraId="20C0DAB7" w14:textId="77777777" w:rsidR="007968EC" w:rsidRPr="002C0D19" w:rsidRDefault="007968EC" w:rsidP="007968EC">
      <w:pPr>
        <w:pStyle w:val="TTULO"/>
        <w:rPr>
          <w:rFonts w:eastAsia="Calibri" w:cs="Times New Roman"/>
          <w:color w:val="000000" w:themeColor="text1"/>
        </w:rPr>
      </w:pPr>
    </w:p>
    <w:p w14:paraId="21935B79" w14:textId="77777777" w:rsidR="007968EC" w:rsidRPr="002C0D19" w:rsidRDefault="007968EC" w:rsidP="007968EC">
      <w:pPr>
        <w:pStyle w:val="TTULO"/>
        <w:rPr>
          <w:lang w:val="es-ES"/>
        </w:rPr>
      </w:pPr>
      <w:bookmarkStart w:id="1703" w:name="_Toc470775445"/>
      <w:bookmarkStart w:id="1704" w:name="_Toc470779730"/>
      <w:bookmarkStart w:id="1705" w:name="_Toc470780347"/>
      <w:bookmarkStart w:id="1706" w:name="_Toc470780860"/>
      <w:bookmarkStart w:id="1707" w:name="_Toc470784421"/>
      <w:bookmarkStart w:id="1708" w:name="_Toc470784958"/>
      <w:bookmarkStart w:id="1709" w:name="_Toc470786981"/>
      <w:bookmarkStart w:id="1710" w:name="_Toc470791334"/>
      <w:bookmarkStart w:id="1711" w:name="_Toc472592123"/>
      <w:bookmarkStart w:id="1712" w:name="_Toc472593142"/>
      <w:bookmarkStart w:id="1713" w:name="_Toc479056928"/>
      <w:bookmarkStart w:id="1714" w:name="_Toc490066239"/>
      <w:bookmarkStart w:id="1715" w:name="_Toc31715937"/>
      <w:r w:rsidRPr="002C0D19">
        <w:rPr>
          <w:lang w:val="es-ES"/>
        </w:rPr>
        <w:t>LIQUIDACIÓN</w:t>
      </w:r>
      <w:bookmarkEnd w:id="1703"/>
      <w:bookmarkEnd w:id="1704"/>
      <w:bookmarkEnd w:id="1705"/>
      <w:bookmarkEnd w:id="1706"/>
      <w:bookmarkEnd w:id="1707"/>
      <w:bookmarkEnd w:id="1708"/>
      <w:bookmarkEnd w:id="1709"/>
      <w:bookmarkEnd w:id="1710"/>
      <w:bookmarkEnd w:id="1711"/>
      <w:bookmarkEnd w:id="1712"/>
      <w:bookmarkEnd w:id="1713"/>
      <w:bookmarkEnd w:id="1714"/>
      <w:bookmarkEnd w:id="1715"/>
      <w:r w:rsidRPr="002C0D19">
        <w:rPr>
          <w:lang w:val="es-ES"/>
        </w:rPr>
        <w:t xml:space="preserve"> </w:t>
      </w:r>
    </w:p>
    <w:p w14:paraId="2D290541" w14:textId="77777777" w:rsidR="007968EC" w:rsidRPr="002C0D19" w:rsidRDefault="007968EC" w:rsidP="007968EC">
      <w:pPr>
        <w:jc w:val="both"/>
        <w:rPr>
          <w:rFonts w:ascii="Arial Narrow" w:eastAsia="Calibri" w:hAnsi="Arial Narrow"/>
          <w:color w:val="000000" w:themeColor="text1"/>
        </w:rPr>
      </w:pPr>
    </w:p>
    <w:p w14:paraId="19BB4F5B" w14:textId="77777777" w:rsidR="007968EC" w:rsidRDefault="007968EC" w:rsidP="007968EC">
      <w:pPr>
        <w:pStyle w:val="ARTICULO0"/>
        <w:rPr>
          <w:rFonts w:eastAsia="Calibri" w:cs="Times New Roman"/>
          <w:bCs/>
        </w:rPr>
      </w:pPr>
      <w:bookmarkStart w:id="1716" w:name="_Toc472592124"/>
      <w:bookmarkStart w:id="1717" w:name="_Toc472593143"/>
      <w:bookmarkStart w:id="1718" w:name="_Toc479056929"/>
      <w:bookmarkStart w:id="1719" w:name="_Toc31715938"/>
      <w:bookmarkStart w:id="1720" w:name="_Toc470775446"/>
      <w:bookmarkStart w:id="1721" w:name="_Toc470779731"/>
      <w:bookmarkStart w:id="1722" w:name="_Toc470780348"/>
      <w:bookmarkStart w:id="1723" w:name="_Toc470780861"/>
      <w:bookmarkStart w:id="1724" w:name="_Toc470784422"/>
      <w:bookmarkStart w:id="1725" w:name="_Toc470784959"/>
      <w:bookmarkStart w:id="1726" w:name="_Toc470786982"/>
      <w:bookmarkStart w:id="1727" w:name="_Toc470791335"/>
      <w:bookmarkStart w:id="1728" w:name="_Toc490066240"/>
      <w:r w:rsidRPr="002C0D19">
        <w:t>Artículo 1.5.2.1. Tipo de Liquidación.</w:t>
      </w:r>
      <w:bookmarkEnd w:id="1716"/>
      <w:bookmarkEnd w:id="1717"/>
      <w:bookmarkEnd w:id="1718"/>
      <w:bookmarkEnd w:id="1719"/>
      <w:r w:rsidRPr="002C0D19">
        <w:rPr>
          <w:rFonts w:eastAsia="Calibri" w:cs="Times New Roman"/>
          <w:bCs/>
        </w:rPr>
        <w:t xml:space="preserve"> </w:t>
      </w:r>
    </w:p>
    <w:p w14:paraId="41E00723" w14:textId="77777777" w:rsidR="007968EC" w:rsidRPr="002D772B" w:rsidRDefault="007968EC" w:rsidP="007968EC">
      <w:pPr>
        <w:jc w:val="both"/>
        <w:rPr>
          <w:rFonts w:ascii="Arial Narrow" w:hAnsi="Arial Narrow" w:cs="Arial"/>
          <w:color w:val="000000" w:themeColor="text1"/>
          <w:lang w:eastAsia="es-ES"/>
        </w:rPr>
      </w:pPr>
    </w:p>
    <w:p w14:paraId="4A7EA294" w14:textId="77777777" w:rsidR="007968EC" w:rsidRPr="002C0D19" w:rsidRDefault="007968EC" w:rsidP="007968EC">
      <w:pPr>
        <w:pStyle w:val="ANTECEDENTES"/>
      </w:pPr>
      <w:r w:rsidRPr="002C0D19">
        <w:rPr>
          <w:rFonts w:eastAsia="Calibri"/>
        </w:rPr>
        <w:t xml:space="preserve">(Este artículo fue adicionado mediante Circular 22 del 14 de noviembre de 2014, publicada en el Boletín Normativo No. 025 del 14 de noviembre de 2014 </w:t>
      </w:r>
      <w:r w:rsidRPr="002C0D19">
        <w:t>y modificado mediante Circular 001 del 15 de enero de 2016, publicada en el Boletín Normativo No. 001 del 15 de enero de 2016. Rige a partir del 18 de enero de 2016 y modificado mediante Circular 19 del 28 de diciembre de 2016, publicada en el Boletín Normativo No. 024 del 28 de diciembre de 2016. Rige a partir del 29 de diciembre de 2016.)</w:t>
      </w:r>
      <w:bookmarkEnd w:id="1720"/>
      <w:bookmarkEnd w:id="1721"/>
      <w:bookmarkEnd w:id="1722"/>
      <w:bookmarkEnd w:id="1723"/>
      <w:bookmarkEnd w:id="1724"/>
      <w:bookmarkEnd w:id="1725"/>
      <w:bookmarkEnd w:id="1726"/>
      <w:bookmarkEnd w:id="1727"/>
      <w:bookmarkEnd w:id="1728"/>
    </w:p>
    <w:p w14:paraId="772FF1F0" w14:textId="77777777" w:rsidR="007968EC" w:rsidRPr="002C0D19" w:rsidRDefault="007968EC" w:rsidP="007968EC">
      <w:pPr>
        <w:jc w:val="both"/>
        <w:rPr>
          <w:rFonts w:ascii="Arial Narrow" w:eastAsia="Calibri" w:hAnsi="Arial Narrow"/>
          <w:color w:val="000000" w:themeColor="text1"/>
        </w:rPr>
      </w:pPr>
    </w:p>
    <w:p w14:paraId="05616CCB"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Las Operaciones Aceptadas por la Cámara serán liquidadas mediante alguna o varias de las siguientes modalidades: Liquidación Diaria y/o Liquidación al Vencimiento.</w:t>
      </w:r>
    </w:p>
    <w:p w14:paraId="05974ABE" w14:textId="77777777" w:rsidR="007968EC" w:rsidRPr="002C0D19" w:rsidRDefault="007968EC" w:rsidP="007968EC">
      <w:pPr>
        <w:jc w:val="both"/>
        <w:rPr>
          <w:rFonts w:ascii="Arial Narrow" w:eastAsia="Calibri" w:hAnsi="Arial Narrow"/>
          <w:color w:val="000000" w:themeColor="text1"/>
        </w:rPr>
      </w:pPr>
    </w:p>
    <w:p w14:paraId="181B07D5" w14:textId="77777777" w:rsidR="007968EC" w:rsidRPr="002C0D19" w:rsidRDefault="007968EC" w:rsidP="007968EC">
      <w:pPr>
        <w:jc w:val="both"/>
        <w:rPr>
          <w:rFonts w:ascii="Arial Narrow" w:eastAsia="Calibri" w:hAnsi="Arial Narrow"/>
          <w:color w:val="000000" w:themeColor="text1"/>
        </w:rPr>
      </w:pPr>
      <w:bookmarkStart w:id="1729" w:name="_Toc404097096"/>
      <w:bookmarkStart w:id="1730" w:name="_Toc427233053"/>
      <w:bookmarkStart w:id="1731" w:name="_Toc470775447"/>
      <w:bookmarkStart w:id="1732" w:name="_Toc470779732"/>
      <w:bookmarkStart w:id="1733" w:name="_Toc470780349"/>
      <w:bookmarkStart w:id="1734" w:name="_Toc470780862"/>
      <w:bookmarkStart w:id="1735" w:name="_Toc470784423"/>
      <w:bookmarkStart w:id="1736" w:name="_Toc470784960"/>
      <w:bookmarkStart w:id="1737" w:name="_Toc470786983"/>
      <w:bookmarkStart w:id="1738" w:name="_Toc470791336"/>
      <w:bookmarkStart w:id="1739" w:name="_Toc471831546"/>
      <w:bookmarkStart w:id="1740" w:name="_Toc490066241"/>
      <w:r w:rsidRPr="002C0D19">
        <w:rPr>
          <w:rFonts w:ascii="Arial Narrow" w:eastAsia="Calibri" w:hAnsi="Arial Narrow"/>
          <w:color w:val="000000" w:themeColor="text1"/>
        </w:rPr>
        <w:t xml:space="preserve">El Tipo de Liquidación de las Operaciones Aceptadas por la Cámara será definido para cada Activo de acuerdo con lo dispuesto </w:t>
      </w:r>
      <w:bookmarkEnd w:id="1729"/>
      <w:bookmarkEnd w:id="1730"/>
      <w:r w:rsidRPr="002C0D19">
        <w:rPr>
          <w:rFonts w:ascii="Arial Narrow" w:eastAsia="Calibri" w:hAnsi="Arial Narrow"/>
          <w:color w:val="000000" w:themeColor="text1"/>
        </w:rPr>
        <w:t>en el Segmento al que pertenece.</w:t>
      </w:r>
      <w:bookmarkEnd w:id="1731"/>
      <w:bookmarkEnd w:id="1732"/>
      <w:bookmarkEnd w:id="1733"/>
      <w:bookmarkEnd w:id="1734"/>
      <w:bookmarkEnd w:id="1735"/>
      <w:bookmarkEnd w:id="1736"/>
      <w:bookmarkEnd w:id="1737"/>
      <w:bookmarkEnd w:id="1738"/>
      <w:bookmarkEnd w:id="1739"/>
      <w:bookmarkEnd w:id="1740"/>
    </w:p>
    <w:p w14:paraId="600841AE" w14:textId="77777777" w:rsidR="007968EC" w:rsidRPr="002C0D19" w:rsidRDefault="007968EC" w:rsidP="007968EC">
      <w:pPr>
        <w:jc w:val="both"/>
        <w:rPr>
          <w:rFonts w:ascii="Arial Narrow" w:eastAsia="Calibri" w:hAnsi="Arial Narrow"/>
          <w:color w:val="000000" w:themeColor="text1"/>
        </w:rPr>
      </w:pPr>
    </w:p>
    <w:p w14:paraId="37CC9F1B" w14:textId="77777777" w:rsidR="007968EC" w:rsidRPr="00074A74" w:rsidRDefault="007968EC" w:rsidP="00074A74">
      <w:pPr>
        <w:pStyle w:val="Ttulo0"/>
      </w:pPr>
    </w:p>
    <w:p w14:paraId="4000A20E" w14:textId="77777777" w:rsidR="007968EC" w:rsidRDefault="007968EC" w:rsidP="00074A74">
      <w:pPr>
        <w:pStyle w:val="Ttulo0"/>
      </w:pPr>
    </w:p>
    <w:p w14:paraId="7355C55B" w14:textId="77777777" w:rsidR="007968EC" w:rsidRPr="002C0D19" w:rsidRDefault="007968EC" w:rsidP="007968EC">
      <w:pPr>
        <w:pStyle w:val="TTULO"/>
        <w:rPr>
          <w:lang w:val="es-ES"/>
        </w:rPr>
      </w:pPr>
      <w:bookmarkStart w:id="1741" w:name="_Toc31715939"/>
      <w:r w:rsidRPr="002C0D19">
        <w:rPr>
          <w:lang w:val="es-ES"/>
        </w:rPr>
        <w:t>CAPÍTULO TERCERO</w:t>
      </w:r>
      <w:bookmarkEnd w:id="1741"/>
    </w:p>
    <w:p w14:paraId="3C811ED5" w14:textId="77777777" w:rsidR="007968EC" w:rsidRPr="00074A74" w:rsidRDefault="007968EC" w:rsidP="00074A74">
      <w:pPr>
        <w:pStyle w:val="Ttulo0"/>
      </w:pPr>
    </w:p>
    <w:p w14:paraId="4088A513" w14:textId="77777777" w:rsidR="007968EC" w:rsidRPr="002C0D19" w:rsidRDefault="007968EC" w:rsidP="007968EC">
      <w:pPr>
        <w:pStyle w:val="TTULO"/>
        <w:rPr>
          <w:lang w:val="es-ES"/>
        </w:rPr>
      </w:pPr>
      <w:bookmarkStart w:id="1742" w:name="_Toc31715940"/>
      <w:r w:rsidRPr="002C0D19">
        <w:rPr>
          <w:lang w:val="es-ES"/>
        </w:rPr>
        <w:t>COMPENSACIÓN Y LIQUIDACIÓN ANTICIPADA</w:t>
      </w:r>
      <w:bookmarkEnd w:id="1742"/>
    </w:p>
    <w:p w14:paraId="55319F9F" w14:textId="77777777" w:rsidR="007968EC" w:rsidRPr="002C0D19" w:rsidRDefault="007968EC" w:rsidP="007968EC">
      <w:pPr>
        <w:jc w:val="both"/>
        <w:rPr>
          <w:rFonts w:ascii="Arial Narrow" w:hAnsi="Arial Narrow" w:cs="Arial"/>
          <w:lang w:val="es-ES" w:eastAsia="es-ES"/>
        </w:rPr>
      </w:pPr>
    </w:p>
    <w:p w14:paraId="6BC568CE" w14:textId="77777777" w:rsidR="007968EC" w:rsidRPr="002C0D19" w:rsidRDefault="007968EC" w:rsidP="007968EC">
      <w:pPr>
        <w:jc w:val="center"/>
        <w:rPr>
          <w:rFonts w:ascii="Arial Narrow" w:hAnsi="Arial Narrow" w:cs="Arial"/>
          <w:lang w:val="es-ES" w:eastAsia="es-ES"/>
        </w:rPr>
      </w:pPr>
      <w:r w:rsidRPr="002C0D19">
        <w:rPr>
          <w:rFonts w:ascii="Arial Narrow" w:hAnsi="Arial Narrow" w:cs="Arial"/>
          <w:b/>
          <w:i/>
          <w:lang w:val="es-ES" w:eastAsia="es-ES"/>
        </w:rPr>
        <w:t>(El Capítulo Tercero del Título Quinto de la Parte I fue adicionado mediante Circular 14 del 8 de agosto de 2017, publicado mediante Boletín Normativo No. 015 del 8 de agosto de 2017. Rige a partir del 9 de agosto de 2017.)</w:t>
      </w:r>
    </w:p>
    <w:p w14:paraId="0F52A312" w14:textId="77777777" w:rsidR="007968EC" w:rsidRPr="002C0D19" w:rsidRDefault="007968EC" w:rsidP="007968EC">
      <w:pPr>
        <w:jc w:val="center"/>
        <w:rPr>
          <w:rFonts w:ascii="Arial Narrow" w:hAnsi="Arial Narrow" w:cs="Arial"/>
          <w:lang w:val="es-ES" w:eastAsia="es-ES"/>
        </w:rPr>
      </w:pPr>
    </w:p>
    <w:p w14:paraId="7046A34E" w14:textId="77777777" w:rsidR="007968EC" w:rsidRDefault="007968EC" w:rsidP="007968EC">
      <w:pPr>
        <w:pStyle w:val="ARTICULO0"/>
      </w:pPr>
      <w:bookmarkStart w:id="1743" w:name="_Toc31715941"/>
      <w:r w:rsidRPr="002C0D19">
        <w:t>Artículo 1.5.3.1. Compensación y Liquidación Anticipada.</w:t>
      </w:r>
      <w:bookmarkEnd w:id="1743"/>
      <w:r w:rsidRPr="002C0D19">
        <w:t xml:space="preserve"> </w:t>
      </w:r>
    </w:p>
    <w:p w14:paraId="60F3E943" w14:textId="77777777" w:rsidR="007968EC" w:rsidRPr="002C0D19" w:rsidRDefault="007968EC" w:rsidP="007968EC">
      <w:pPr>
        <w:jc w:val="both"/>
        <w:rPr>
          <w:rFonts w:ascii="Arial Narrow" w:hAnsi="Arial Narrow" w:cs="Arial"/>
          <w:b/>
          <w:color w:val="000000" w:themeColor="text1"/>
          <w:lang w:val="es-ES" w:eastAsia="es-ES"/>
        </w:rPr>
      </w:pPr>
    </w:p>
    <w:p w14:paraId="084887FC" w14:textId="77777777" w:rsidR="007968EC" w:rsidRPr="002C0D19" w:rsidRDefault="007968EC" w:rsidP="007968EC">
      <w:pPr>
        <w:jc w:val="both"/>
        <w:rPr>
          <w:rFonts w:ascii="Arial Narrow" w:hAnsi="Arial Narrow" w:cs="Arial"/>
          <w:u w:val="single"/>
          <w:lang w:val="es-ES" w:eastAsia="es-ES"/>
        </w:rPr>
      </w:pPr>
      <w:r w:rsidRPr="002C0D19">
        <w:rPr>
          <w:rFonts w:ascii="Arial Narrow" w:hAnsi="Arial Narrow" w:cs="Arial"/>
          <w:color w:val="000000" w:themeColor="text1"/>
          <w:lang w:val="es-ES" w:eastAsia="es-ES"/>
        </w:rPr>
        <w:t>La Cámara podrá ordenar el anticipo de la Compensación y Liquidación de una Operación Aceptada cuando la Ley así lo establezca o para reducir o eliminar los riesgos de Incumplimiento de las obligaciones derivadas de las Operaciones Aceptadas frente a los Miembros que hayan cumplido con sus obligaciones con la Cámara siempre que sea necesario limitar la exposición de riesgo de la Cámara.</w:t>
      </w:r>
    </w:p>
    <w:p w14:paraId="61957D73" w14:textId="77777777" w:rsidR="007968EC" w:rsidRPr="002C0D19" w:rsidRDefault="007968EC" w:rsidP="007968EC">
      <w:pPr>
        <w:jc w:val="both"/>
        <w:rPr>
          <w:rFonts w:ascii="Arial Narrow" w:eastAsia="Calibri" w:hAnsi="Arial Narrow" w:cs="Arial"/>
          <w:lang w:eastAsia="es-ES"/>
        </w:rPr>
      </w:pPr>
    </w:p>
    <w:p w14:paraId="3EFA99BE" w14:textId="77777777" w:rsidR="007968EC" w:rsidRPr="002C0D19" w:rsidRDefault="007968EC" w:rsidP="007968EC">
      <w:pPr>
        <w:pStyle w:val="ARTICULO0"/>
      </w:pPr>
      <w:bookmarkStart w:id="1744" w:name="_Toc31715942"/>
      <w:r w:rsidRPr="002C0D19">
        <w:t>Artículo 1.5.3.2. Compensación y Liquidación Anticipada por solicitud de un Miembro.</w:t>
      </w:r>
      <w:bookmarkEnd w:id="1744"/>
      <w:r w:rsidRPr="002C0D19">
        <w:t xml:space="preserve"> </w:t>
      </w:r>
    </w:p>
    <w:p w14:paraId="2EE8D641" w14:textId="77777777" w:rsidR="007968EC" w:rsidRDefault="007968EC" w:rsidP="007968EC">
      <w:pPr>
        <w:jc w:val="both"/>
        <w:rPr>
          <w:rFonts w:ascii="Arial Narrow" w:hAnsi="Arial Narrow" w:cs="Arial"/>
          <w:b/>
          <w:u w:val="single"/>
          <w:lang w:val="es-ES" w:eastAsia="es-ES"/>
        </w:rPr>
      </w:pPr>
    </w:p>
    <w:p w14:paraId="35705959" w14:textId="77777777" w:rsidR="007968EC" w:rsidRPr="00BD4DB7" w:rsidRDefault="007968EC" w:rsidP="00BD4DB7">
      <w:pPr>
        <w:pStyle w:val="Ttulo0"/>
        <w:jc w:val="both"/>
        <w:rPr>
          <w:rStyle w:val="TtuloCar2"/>
          <w:rFonts w:ascii="Arial Narrow" w:hAnsi="Arial Narrow"/>
          <w:b/>
          <w:bCs/>
          <w:u w:val="none"/>
        </w:rPr>
      </w:pPr>
      <w:r w:rsidRPr="00BD4DB7">
        <w:rPr>
          <w:rFonts w:ascii="Arial Narrow" w:hAnsi="Arial Narrow"/>
          <w:b/>
          <w:bCs/>
          <w:u w:val="none"/>
        </w:rPr>
        <w:t>(</w:t>
      </w:r>
      <w:r w:rsidRPr="00BD4DB7">
        <w:rPr>
          <w:rStyle w:val="TtuloCar2"/>
          <w:rFonts w:ascii="Arial Narrow" w:hAnsi="Arial Narrow"/>
          <w:b/>
          <w:bCs/>
          <w:u w:val="none"/>
        </w:rPr>
        <w:t>Este artículo fue modificado mediante Circular 19 del 22 de noviembre de 2019, publicada en el Boletín Normativo No. 034 del 22 de noviembre de 2019. Rige a partir del 25 de noviembre de 2019).</w:t>
      </w:r>
    </w:p>
    <w:p w14:paraId="32208E17" w14:textId="77777777" w:rsidR="007968EC" w:rsidRPr="00BD4DB7" w:rsidRDefault="007968EC" w:rsidP="00BD4DB7">
      <w:pPr>
        <w:pStyle w:val="Ttulo0"/>
        <w:jc w:val="both"/>
        <w:rPr>
          <w:rFonts w:ascii="Arial Narrow" w:hAnsi="Arial Narrow"/>
          <w:b/>
          <w:bCs/>
          <w:u w:val="none"/>
        </w:rPr>
      </w:pPr>
    </w:p>
    <w:p w14:paraId="25F7CB45" w14:textId="77777777" w:rsidR="007968EC" w:rsidRPr="002C0D19" w:rsidRDefault="007968EC" w:rsidP="007968EC">
      <w:pPr>
        <w:jc w:val="both"/>
        <w:rPr>
          <w:rFonts w:ascii="Arial Narrow" w:eastAsia="Calibri" w:hAnsi="Arial Narrow" w:cs="Arial"/>
          <w:lang w:eastAsia="es-ES"/>
        </w:rPr>
      </w:pPr>
      <w:r w:rsidRPr="002C0D19">
        <w:rPr>
          <w:rFonts w:ascii="Arial Narrow" w:eastAsia="Calibri" w:hAnsi="Arial Narrow" w:cs="Arial"/>
          <w:lang w:eastAsia="es-ES"/>
        </w:rPr>
        <w:t xml:space="preserve">Operaciones Aceptadas podrán ser objeto de Compensación y Liquidación Anticipada por solicitud de los Miembros, siempre y cuando se encuentre permitida en el respectivo Segmento.  </w:t>
      </w:r>
    </w:p>
    <w:p w14:paraId="2E3DD169" w14:textId="77777777" w:rsidR="007968EC" w:rsidRPr="002C0D19" w:rsidRDefault="007968EC" w:rsidP="007968EC">
      <w:pPr>
        <w:jc w:val="both"/>
        <w:rPr>
          <w:rFonts w:ascii="Arial Narrow" w:eastAsia="Calibri" w:hAnsi="Arial Narrow" w:cs="Arial"/>
          <w:lang w:eastAsia="es-ES"/>
        </w:rPr>
      </w:pPr>
    </w:p>
    <w:p w14:paraId="14977D97" w14:textId="77777777" w:rsidR="007968EC" w:rsidRPr="002C0D19" w:rsidRDefault="007968EC" w:rsidP="007968EC">
      <w:pPr>
        <w:tabs>
          <w:tab w:val="num" w:pos="0"/>
        </w:tabs>
        <w:autoSpaceDE w:val="0"/>
        <w:autoSpaceDN w:val="0"/>
        <w:adjustRightInd w:val="0"/>
        <w:jc w:val="both"/>
        <w:rPr>
          <w:rFonts w:ascii="Arial Narrow" w:eastAsia="Calibri" w:hAnsi="Arial Narrow" w:cs="Arial"/>
          <w:lang w:eastAsia="es-ES"/>
        </w:rPr>
      </w:pPr>
      <w:r w:rsidRPr="002C0D19">
        <w:rPr>
          <w:rFonts w:ascii="Arial Narrow" w:eastAsia="Calibri" w:hAnsi="Arial Narrow" w:cs="Arial"/>
          <w:lang w:eastAsia="es-ES"/>
        </w:rPr>
        <w:t>La Compensación y Liquidación Anticipada por solicitud de los Miembros se regirá por las siguientes reglas:</w:t>
      </w:r>
    </w:p>
    <w:p w14:paraId="12B9D889" w14:textId="77777777" w:rsidR="007968EC" w:rsidRPr="002C0D19" w:rsidRDefault="007968EC" w:rsidP="007968EC">
      <w:pPr>
        <w:autoSpaceDE w:val="0"/>
        <w:autoSpaceDN w:val="0"/>
        <w:adjustRightInd w:val="0"/>
        <w:jc w:val="both"/>
        <w:rPr>
          <w:rFonts w:ascii="Arial Narrow" w:eastAsia="Calibri" w:hAnsi="Arial Narrow" w:cs="Arial"/>
          <w:lang w:eastAsia="es-ES"/>
        </w:rPr>
      </w:pPr>
    </w:p>
    <w:p w14:paraId="7EB4A89A" w14:textId="77777777" w:rsidR="007968EC" w:rsidRPr="002C0D19" w:rsidRDefault="007968EC" w:rsidP="00DA7472">
      <w:pPr>
        <w:numPr>
          <w:ilvl w:val="0"/>
          <w:numId w:val="265"/>
        </w:numPr>
        <w:autoSpaceDE w:val="0"/>
        <w:autoSpaceDN w:val="0"/>
        <w:ind w:left="441" w:hanging="426"/>
        <w:jc w:val="both"/>
        <w:rPr>
          <w:rFonts w:ascii="Arial Narrow" w:eastAsia="Calibri" w:hAnsi="Arial Narrow" w:cs="Arial"/>
          <w:lang w:eastAsia="es-ES"/>
        </w:rPr>
      </w:pPr>
      <w:r w:rsidRPr="002C0D19">
        <w:rPr>
          <w:rFonts w:ascii="Arial Narrow" w:hAnsi="Arial Narrow" w:cs="Arial"/>
          <w:lang w:eastAsia="es-ES"/>
        </w:rPr>
        <w:t xml:space="preserve">La </w:t>
      </w:r>
      <w:r w:rsidRPr="002C0D19">
        <w:rPr>
          <w:rFonts w:ascii="Arial Narrow" w:eastAsia="Calibri" w:hAnsi="Arial Narrow" w:cs="Arial"/>
          <w:lang w:eastAsia="es-ES"/>
        </w:rPr>
        <w:t>Compensación y Liquidación Anticipada de Operaciones Aceptadas debe encontrarse establecida en el reglamento de la bolsa, sistema de negociación o registro respectivo, o cualquier Mecanismo de Contratación</w:t>
      </w:r>
      <w:r>
        <w:rPr>
          <w:rFonts w:ascii="Arial Narrow" w:eastAsia="Calibri" w:hAnsi="Arial Narrow" w:cs="Arial"/>
          <w:lang w:eastAsia="es-ES"/>
        </w:rPr>
        <w:t>, o en los Términos Económicos</w:t>
      </w:r>
      <w:r w:rsidRPr="00A11F75">
        <w:rPr>
          <w:rFonts w:ascii="Arial" w:eastAsiaTheme="minorHAnsi" w:hAnsi="Arial" w:cs="Arial"/>
          <w:color w:val="000000"/>
          <w:sz w:val="23"/>
          <w:szCs w:val="23"/>
          <w:lang w:eastAsia="en-US"/>
        </w:rPr>
        <w:t xml:space="preserve"> </w:t>
      </w:r>
      <w:r w:rsidRPr="00A11F75">
        <w:rPr>
          <w:rFonts w:ascii="Arial Narrow" w:eastAsia="Calibri" w:hAnsi="Arial Narrow" w:cs="Arial"/>
          <w:lang w:eastAsia="es-ES"/>
        </w:rPr>
        <w:t>pactados por las partes originales en las Operaciones sobre Instrumentos Financieros Derivados No Estandarizados Susceptibles de ser Aceptadas por la Cámara</w:t>
      </w:r>
      <w:r w:rsidRPr="00932098">
        <w:rPr>
          <w:rFonts w:ascii="Arial Narrow" w:eastAsia="Calibri" w:hAnsi="Arial Narrow" w:cs="Arial"/>
          <w:lang w:eastAsia="es-ES"/>
        </w:rPr>
        <w:t>, que debe constar dentro del contrato marco o documentos relacionados</w:t>
      </w:r>
      <w:r>
        <w:rPr>
          <w:rFonts w:ascii="Arial Narrow" w:eastAsia="Calibri" w:hAnsi="Arial Narrow" w:cs="Arial"/>
          <w:lang w:eastAsia="es-ES"/>
        </w:rPr>
        <w:t>.</w:t>
      </w:r>
    </w:p>
    <w:p w14:paraId="73B51BEC" w14:textId="77777777" w:rsidR="007968EC" w:rsidRPr="002C0D19" w:rsidRDefault="007968EC" w:rsidP="007968EC">
      <w:pPr>
        <w:autoSpaceDE w:val="0"/>
        <w:autoSpaceDN w:val="0"/>
        <w:ind w:left="441"/>
        <w:jc w:val="both"/>
        <w:rPr>
          <w:rFonts w:ascii="Arial Narrow" w:eastAsia="Calibri" w:hAnsi="Arial Narrow" w:cs="Arial"/>
          <w:lang w:eastAsia="es-ES"/>
        </w:rPr>
      </w:pPr>
    </w:p>
    <w:p w14:paraId="05FD0FDE" w14:textId="77777777" w:rsidR="007968EC" w:rsidRPr="002C0D19" w:rsidRDefault="007968EC" w:rsidP="00DA7472">
      <w:pPr>
        <w:numPr>
          <w:ilvl w:val="0"/>
          <w:numId w:val="265"/>
        </w:numPr>
        <w:autoSpaceDE w:val="0"/>
        <w:autoSpaceDN w:val="0"/>
        <w:ind w:left="441" w:hanging="426"/>
        <w:jc w:val="both"/>
        <w:rPr>
          <w:rFonts w:ascii="Arial Narrow" w:eastAsia="Calibri" w:hAnsi="Arial Narrow" w:cs="Arial"/>
          <w:lang w:eastAsia="es-ES"/>
        </w:rPr>
      </w:pPr>
      <w:r w:rsidRPr="002C0D19">
        <w:rPr>
          <w:rFonts w:ascii="Arial Narrow" w:eastAsia="Calibri" w:hAnsi="Arial Narrow" w:cs="Arial"/>
          <w:lang w:eastAsia="es-ES"/>
        </w:rPr>
        <w:t>La Compensación y Liquidación Anticipada de Operaciones Aceptadas podrá solicitarse durante el plazo de la respectiva Operación en la Sesión de Gestión de Aceptación de Operaciones, excepto en la Fecha de Liquidación al Vencimiento.</w:t>
      </w:r>
    </w:p>
    <w:p w14:paraId="5856771D" w14:textId="77777777" w:rsidR="007968EC" w:rsidRPr="002C0D19" w:rsidRDefault="007968EC" w:rsidP="007968EC">
      <w:pPr>
        <w:autoSpaceDE w:val="0"/>
        <w:autoSpaceDN w:val="0"/>
        <w:ind w:left="441"/>
        <w:jc w:val="both"/>
        <w:rPr>
          <w:rFonts w:ascii="Arial Narrow" w:eastAsia="Calibri" w:hAnsi="Arial Narrow" w:cs="Arial"/>
          <w:lang w:eastAsia="es-ES"/>
        </w:rPr>
      </w:pPr>
    </w:p>
    <w:p w14:paraId="0824679C" w14:textId="77777777" w:rsidR="007968EC" w:rsidRPr="002C0D19" w:rsidRDefault="007968EC" w:rsidP="00DA7472">
      <w:pPr>
        <w:numPr>
          <w:ilvl w:val="0"/>
          <w:numId w:val="265"/>
        </w:numPr>
        <w:autoSpaceDE w:val="0"/>
        <w:autoSpaceDN w:val="0"/>
        <w:ind w:left="441" w:hanging="426"/>
        <w:jc w:val="both"/>
        <w:rPr>
          <w:rFonts w:ascii="Arial Narrow" w:eastAsia="Calibri" w:hAnsi="Arial Narrow" w:cs="Arial"/>
          <w:lang w:eastAsia="es-ES"/>
        </w:rPr>
      </w:pPr>
      <w:r w:rsidRPr="002C0D19">
        <w:rPr>
          <w:rFonts w:ascii="Arial Narrow" w:eastAsia="Calibri" w:hAnsi="Arial Narrow" w:cs="Arial"/>
          <w:lang w:eastAsia="es-ES"/>
        </w:rPr>
        <w:t xml:space="preserve">El procedimiento para la Compensación y Liquidación Anticipada por solicitud de un Miembro se establecerá en cada Segmento en que esté permitida. </w:t>
      </w:r>
    </w:p>
    <w:p w14:paraId="77A77780" w14:textId="77777777" w:rsidR="007968EC" w:rsidRPr="002C0D19" w:rsidRDefault="007968EC" w:rsidP="007968EC">
      <w:pPr>
        <w:autoSpaceDE w:val="0"/>
        <w:autoSpaceDN w:val="0"/>
        <w:ind w:left="441"/>
        <w:jc w:val="both"/>
        <w:rPr>
          <w:rFonts w:ascii="Arial Narrow" w:eastAsia="Calibri" w:hAnsi="Arial Narrow" w:cs="Arial"/>
          <w:lang w:eastAsia="es-ES"/>
        </w:rPr>
      </w:pPr>
    </w:p>
    <w:p w14:paraId="6EA073AA" w14:textId="77777777" w:rsidR="007968EC" w:rsidRPr="002C0D19" w:rsidRDefault="007968EC" w:rsidP="00DA7472">
      <w:pPr>
        <w:numPr>
          <w:ilvl w:val="0"/>
          <w:numId w:val="265"/>
        </w:numPr>
        <w:autoSpaceDE w:val="0"/>
        <w:autoSpaceDN w:val="0"/>
        <w:ind w:left="441" w:hanging="426"/>
        <w:jc w:val="both"/>
        <w:rPr>
          <w:rFonts w:ascii="Arial Narrow" w:eastAsia="Calibri" w:hAnsi="Arial Narrow" w:cs="Arial"/>
          <w:lang w:eastAsia="es-ES"/>
        </w:rPr>
      </w:pPr>
      <w:r w:rsidRPr="002C0D19">
        <w:rPr>
          <w:rFonts w:ascii="Arial Narrow" w:eastAsia="Calibri" w:hAnsi="Arial Narrow" w:cs="Arial"/>
          <w:lang w:eastAsia="es-ES"/>
        </w:rPr>
        <w:t>La Cámara trata la Compensación y Liquidación Anticipada como un registro de operación tipo “F”.</w:t>
      </w:r>
    </w:p>
    <w:p w14:paraId="1C823EDD" w14:textId="77777777" w:rsidR="007968EC" w:rsidRPr="002C0D19" w:rsidRDefault="007968EC" w:rsidP="007968EC">
      <w:pPr>
        <w:autoSpaceDE w:val="0"/>
        <w:autoSpaceDN w:val="0"/>
        <w:ind w:left="441"/>
        <w:jc w:val="both"/>
        <w:rPr>
          <w:rFonts w:ascii="Arial Narrow" w:eastAsia="Calibri" w:hAnsi="Arial Narrow" w:cs="Arial"/>
          <w:lang w:eastAsia="es-ES"/>
        </w:rPr>
      </w:pPr>
    </w:p>
    <w:p w14:paraId="4BB272BC" w14:textId="77777777" w:rsidR="007968EC" w:rsidRPr="0027300F" w:rsidRDefault="007968EC" w:rsidP="007968EC">
      <w:pPr>
        <w:jc w:val="both"/>
        <w:rPr>
          <w:rFonts w:ascii="Arial Narrow" w:eastAsia="Calibri" w:hAnsi="Arial Narrow"/>
          <w:color w:val="000000" w:themeColor="text1"/>
        </w:rPr>
      </w:pPr>
      <w:r w:rsidRPr="002C0D19">
        <w:rPr>
          <w:rFonts w:ascii="Arial Narrow" w:eastAsia="Calibri" w:hAnsi="Arial Narrow" w:cs="Arial"/>
          <w:lang w:eastAsia="es-ES"/>
        </w:rPr>
        <w:lastRenderedPageBreak/>
        <w:t>La fecha de Compensación y Liquidación Anticipada no podrá corresponder con la fecha de la Aceptación de la Operación en la Cámara.</w:t>
      </w:r>
    </w:p>
    <w:p w14:paraId="17E876F5" w14:textId="77777777" w:rsidR="007968EC" w:rsidRDefault="007968EC" w:rsidP="00074A74">
      <w:pPr>
        <w:pStyle w:val="Ttulo0"/>
      </w:pPr>
    </w:p>
    <w:p w14:paraId="4C28549E" w14:textId="77777777" w:rsidR="007968EC" w:rsidRDefault="007968EC" w:rsidP="00074A74">
      <w:pPr>
        <w:pStyle w:val="Ttulo0"/>
      </w:pPr>
    </w:p>
    <w:p w14:paraId="42431368" w14:textId="77777777" w:rsidR="007968EC" w:rsidRDefault="007968EC" w:rsidP="00074A74">
      <w:pPr>
        <w:pStyle w:val="Ttulo0"/>
      </w:pPr>
    </w:p>
    <w:p w14:paraId="224C46BD" w14:textId="77777777" w:rsidR="007968EC" w:rsidRDefault="007968EC" w:rsidP="00074A74">
      <w:pPr>
        <w:pStyle w:val="Ttulo0"/>
      </w:pPr>
    </w:p>
    <w:p w14:paraId="63427ED9" w14:textId="77777777" w:rsidR="007968EC" w:rsidRPr="00074A74" w:rsidRDefault="007968EC" w:rsidP="00074A74">
      <w:pPr>
        <w:pStyle w:val="Ttulo0"/>
      </w:pPr>
      <w:bookmarkStart w:id="1745" w:name="_Toc470775448"/>
      <w:bookmarkStart w:id="1746" w:name="_Toc470779733"/>
      <w:bookmarkStart w:id="1747" w:name="_Toc470780350"/>
      <w:bookmarkStart w:id="1748" w:name="_Toc470780863"/>
      <w:bookmarkStart w:id="1749" w:name="_Toc470784424"/>
      <w:bookmarkStart w:id="1750" w:name="_Toc470784961"/>
      <w:bookmarkStart w:id="1751" w:name="_Toc470786984"/>
      <w:bookmarkStart w:id="1752" w:name="_Toc470791337"/>
      <w:bookmarkStart w:id="1753" w:name="_Toc472592125"/>
      <w:bookmarkStart w:id="1754" w:name="_Toc472593144"/>
      <w:bookmarkStart w:id="1755" w:name="_Toc479056930"/>
      <w:bookmarkStart w:id="1756" w:name="_Toc490066242"/>
    </w:p>
    <w:p w14:paraId="090941E6" w14:textId="77777777" w:rsidR="007968EC" w:rsidRPr="002C0D19" w:rsidRDefault="007968EC" w:rsidP="007968EC">
      <w:pPr>
        <w:pStyle w:val="TTULO"/>
        <w:rPr>
          <w:lang w:val="es-ES"/>
        </w:rPr>
      </w:pPr>
      <w:bookmarkStart w:id="1757" w:name="_Toc31715943"/>
      <w:r w:rsidRPr="002C0D19">
        <w:rPr>
          <w:lang w:val="es-ES"/>
        </w:rPr>
        <w:t>TÍTULO SEXTO</w:t>
      </w:r>
      <w:bookmarkEnd w:id="1745"/>
      <w:bookmarkEnd w:id="1746"/>
      <w:bookmarkEnd w:id="1747"/>
      <w:bookmarkEnd w:id="1748"/>
      <w:bookmarkEnd w:id="1749"/>
      <w:bookmarkEnd w:id="1750"/>
      <w:bookmarkEnd w:id="1751"/>
      <w:bookmarkEnd w:id="1752"/>
      <w:bookmarkEnd w:id="1753"/>
      <w:bookmarkEnd w:id="1754"/>
      <w:bookmarkEnd w:id="1755"/>
      <w:bookmarkEnd w:id="1756"/>
      <w:bookmarkEnd w:id="1757"/>
    </w:p>
    <w:p w14:paraId="4331B9B8" w14:textId="77777777" w:rsidR="007968EC" w:rsidRPr="002C0D19" w:rsidRDefault="007968EC" w:rsidP="00074A74">
      <w:pPr>
        <w:pStyle w:val="Ttulo0"/>
      </w:pPr>
    </w:p>
    <w:p w14:paraId="65AEA547" w14:textId="77777777" w:rsidR="007968EC" w:rsidRPr="002C0D19" w:rsidRDefault="007968EC" w:rsidP="007968EC">
      <w:pPr>
        <w:pStyle w:val="TTULO"/>
        <w:rPr>
          <w:lang w:val="es-ES"/>
        </w:rPr>
      </w:pPr>
      <w:bookmarkStart w:id="1758" w:name="_Toc470775449"/>
      <w:bookmarkStart w:id="1759" w:name="_Toc470779734"/>
      <w:bookmarkStart w:id="1760" w:name="_Toc470780351"/>
      <w:bookmarkStart w:id="1761" w:name="_Toc470780864"/>
      <w:bookmarkStart w:id="1762" w:name="_Toc470784425"/>
      <w:bookmarkStart w:id="1763" w:name="_Toc470784962"/>
      <w:bookmarkStart w:id="1764" w:name="_Toc470786985"/>
      <w:bookmarkStart w:id="1765" w:name="_Toc470791338"/>
      <w:bookmarkStart w:id="1766" w:name="_Toc472592126"/>
      <w:bookmarkStart w:id="1767" w:name="_Toc472593145"/>
      <w:bookmarkStart w:id="1768" w:name="_Toc479056931"/>
      <w:bookmarkStart w:id="1769" w:name="_Toc490066243"/>
      <w:bookmarkStart w:id="1770" w:name="_Toc31715944"/>
      <w:r w:rsidRPr="002C0D19">
        <w:rPr>
          <w:lang w:val="es-ES"/>
        </w:rPr>
        <w:t>MODELO DE RIESGO DE LA CÁMARA PARA EL CÁLCULO Y GESTIÓN DE GARANTÍAS Y DEFINICIÓN DE LÍMITES</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p>
    <w:p w14:paraId="78078209" w14:textId="77777777" w:rsidR="007968EC" w:rsidRPr="002C0D19" w:rsidRDefault="007968EC" w:rsidP="00074A74">
      <w:pPr>
        <w:pStyle w:val="Ttulo0"/>
      </w:pPr>
    </w:p>
    <w:p w14:paraId="53148D07" w14:textId="77777777" w:rsidR="007968EC" w:rsidRPr="002C0D19" w:rsidRDefault="007968EC" w:rsidP="007968EC">
      <w:pPr>
        <w:pStyle w:val="TTULO"/>
        <w:rPr>
          <w:lang w:val="es-ES"/>
        </w:rPr>
      </w:pPr>
      <w:bookmarkStart w:id="1771" w:name="_Toc470775450"/>
      <w:bookmarkStart w:id="1772" w:name="_Toc470779735"/>
      <w:bookmarkStart w:id="1773" w:name="_Toc470780352"/>
      <w:bookmarkStart w:id="1774" w:name="_Toc470780865"/>
      <w:bookmarkStart w:id="1775" w:name="_Toc470784426"/>
      <w:bookmarkStart w:id="1776" w:name="_Toc470784963"/>
      <w:bookmarkStart w:id="1777" w:name="_Toc470786986"/>
      <w:bookmarkStart w:id="1778" w:name="_Toc470791339"/>
      <w:bookmarkStart w:id="1779" w:name="_Toc472592127"/>
      <w:bookmarkStart w:id="1780" w:name="_Toc472593146"/>
      <w:bookmarkStart w:id="1781" w:name="_Toc479056932"/>
      <w:bookmarkStart w:id="1782" w:name="_Toc490066244"/>
      <w:bookmarkStart w:id="1783" w:name="_Toc31715945"/>
      <w:r w:rsidRPr="002C0D19">
        <w:rPr>
          <w:lang w:val="es-ES"/>
        </w:rPr>
        <w:t>CAPÍTULO PRIMERO</w:t>
      </w:r>
      <w:bookmarkEnd w:id="1771"/>
      <w:bookmarkEnd w:id="1772"/>
      <w:bookmarkEnd w:id="1773"/>
      <w:bookmarkEnd w:id="1774"/>
      <w:bookmarkEnd w:id="1775"/>
      <w:bookmarkEnd w:id="1776"/>
      <w:bookmarkEnd w:id="1777"/>
      <w:bookmarkEnd w:id="1778"/>
      <w:bookmarkEnd w:id="1779"/>
      <w:bookmarkEnd w:id="1780"/>
      <w:bookmarkEnd w:id="1781"/>
      <w:bookmarkEnd w:id="1782"/>
      <w:bookmarkEnd w:id="1783"/>
    </w:p>
    <w:p w14:paraId="567325D3" w14:textId="77777777" w:rsidR="007968EC" w:rsidRPr="002C0D19" w:rsidRDefault="007968EC" w:rsidP="00074A74">
      <w:pPr>
        <w:pStyle w:val="Ttulo0"/>
      </w:pPr>
    </w:p>
    <w:p w14:paraId="1A7EF927" w14:textId="77777777" w:rsidR="007968EC" w:rsidRPr="002C0D19" w:rsidRDefault="007968EC" w:rsidP="007968EC">
      <w:pPr>
        <w:pStyle w:val="TTULO"/>
        <w:rPr>
          <w:lang w:val="es-ES"/>
        </w:rPr>
      </w:pPr>
      <w:bookmarkStart w:id="1784" w:name="_Toc470775451"/>
      <w:bookmarkStart w:id="1785" w:name="_Toc470779736"/>
      <w:bookmarkStart w:id="1786" w:name="_Toc470780353"/>
      <w:bookmarkStart w:id="1787" w:name="_Toc470780866"/>
      <w:bookmarkStart w:id="1788" w:name="_Toc470784427"/>
      <w:bookmarkStart w:id="1789" w:name="_Toc470784964"/>
      <w:bookmarkStart w:id="1790" w:name="_Toc470786987"/>
      <w:bookmarkStart w:id="1791" w:name="_Toc470791340"/>
      <w:bookmarkStart w:id="1792" w:name="_Toc472592128"/>
      <w:bookmarkStart w:id="1793" w:name="_Toc472593147"/>
      <w:bookmarkStart w:id="1794" w:name="_Toc479056933"/>
      <w:bookmarkStart w:id="1795" w:name="_Toc490066245"/>
      <w:bookmarkStart w:id="1796" w:name="_Toc31715946"/>
      <w:r w:rsidRPr="002C0D19">
        <w:rPr>
          <w:lang w:val="es-ES"/>
        </w:rPr>
        <w:t>GENERALIDADES</w:t>
      </w:r>
      <w:bookmarkEnd w:id="1784"/>
      <w:bookmarkEnd w:id="1785"/>
      <w:bookmarkEnd w:id="1786"/>
      <w:bookmarkEnd w:id="1787"/>
      <w:bookmarkEnd w:id="1788"/>
      <w:bookmarkEnd w:id="1789"/>
      <w:bookmarkEnd w:id="1790"/>
      <w:bookmarkEnd w:id="1791"/>
      <w:bookmarkEnd w:id="1792"/>
      <w:bookmarkEnd w:id="1793"/>
      <w:bookmarkEnd w:id="1794"/>
      <w:bookmarkEnd w:id="1795"/>
      <w:bookmarkEnd w:id="1796"/>
    </w:p>
    <w:p w14:paraId="14291D6B" w14:textId="77777777" w:rsidR="007968EC" w:rsidRPr="002C0D19" w:rsidRDefault="007968EC" w:rsidP="00074A74">
      <w:pPr>
        <w:pStyle w:val="Ttulo0"/>
      </w:pPr>
    </w:p>
    <w:p w14:paraId="085A59F5" w14:textId="77777777" w:rsidR="007968EC" w:rsidRDefault="007968EC" w:rsidP="007968EC">
      <w:pPr>
        <w:pStyle w:val="ARTICULO0"/>
      </w:pPr>
      <w:bookmarkStart w:id="1797" w:name="_Toc472592129"/>
      <w:bookmarkStart w:id="1798" w:name="_Toc472593148"/>
      <w:bookmarkStart w:id="1799" w:name="_Toc479056934"/>
      <w:bookmarkStart w:id="1800" w:name="_Toc31715947"/>
      <w:bookmarkStart w:id="1801" w:name="_Toc470775452"/>
      <w:bookmarkStart w:id="1802" w:name="_Toc470779737"/>
      <w:bookmarkStart w:id="1803" w:name="_Toc470780354"/>
      <w:bookmarkStart w:id="1804" w:name="_Toc470780867"/>
      <w:bookmarkStart w:id="1805" w:name="_Toc470784428"/>
      <w:bookmarkStart w:id="1806" w:name="_Toc470784965"/>
      <w:bookmarkStart w:id="1807" w:name="_Toc470786988"/>
      <w:bookmarkStart w:id="1808" w:name="_Toc470791341"/>
      <w:bookmarkStart w:id="1809" w:name="_Toc490066246"/>
      <w:r w:rsidRPr="002C0D19">
        <w:t>Artículo 1.6.1.1. Modelo de Riesgo de la Cámara para el cálculo y gestión de garantías y definición de límites.</w:t>
      </w:r>
      <w:bookmarkEnd w:id="1797"/>
      <w:bookmarkEnd w:id="1798"/>
      <w:bookmarkEnd w:id="1799"/>
      <w:bookmarkEnd w:id="1800"/>
      <w:r w:rsidRPr="002C0D19">
        <w:t xml:space="preserve"> </w:t>
      </w:r>
    </w:p>
    <w:p w14:paraId="0D39B571" w14:textId="77777777" w:rsidR="007968EC" w:rsidRPr="002D772B" w:rsidRDefault="007968EC" w:rsidP="007968EC">
      <w:pPr>
        <w:jc w:val="both"/>
        <w:rPr>
          <w:rFonts w:ascii="Arial Narrow" w:hAnsi="Arial Narrow" w:cs="Arial"/>
          <w:color w:val="000000" w:themeColor="text1"/>
          <w:lang w:eastAsia="es-ES"/>
        </w:rPr>
      </w:pPr>
    </w:p>
    <w:p w14:paraId="79F274AF" w14:textId="77777777" w:rsidR="007968EC" w:rsidRPr="002C0D19" w:rsidRDefault="007968EC" w:rsidP="007968EC">
      <w:pPr>
        <w:pStyle w:val="ANTECEDENTES"/>
      </w:pPr>
      <w:r w:rsidRPr="002C0D19">
        <w:t>(Este artículo fue modificado mediante Circular 2 del 12 de febrero de 2009, publicada en el Boletín Normativo No. 002 del 12 de febrero de 2009. Rige a pa</w:t>
      </w:r>
      <w:r>
        <w:t>rtir del 16 de febrero de 2009,</w:t>
      </w:r>
      <w:r w:rsidRPr="002C0D19">
        <w:t xml:space="preserve"> renumerado mediante </w:t>
      </w:r>
      <w:r w:rsidRPr="002C0D19">
        <w:rPr>
          <w:lang w:val="es-ES"/>
        </w:rPr>
        <w:t>Circular 19 del 28 de diciembre de 2016, publicada en el Boletín Normativo No. 024 del 28 de diciembre de 2016</w:t>
      </w:r>
      <w:r>
        <w:rPr>
          <w:lang w:val="es-ES"/>
        </w:rPr>
        <w:t xml:space="preserve"> y modificado mediante Circular 7 del 9 de mayo de 2018, publicada en el Boletín Normativo No. 010 del 9 de mayo de 2018</w:t>
      </w:r>
      <w:r w:rsidRPr="002C0D19">
        <w:rPr>
          <w:lang w:val="es-ES"/>
        </w:rPr>
        <w:t xml:space="preserve">. </w:t>
      </w:r>
      <w:r w:rsidRPr="002C0D19">
        <w:t>Rige</w:t>
      </w:r>
      <w:r>
        <w:t xml:space="preserve"> a partir del 21</w:t>
      </w:r>
      <w:r w:rsidRPr="002C0D19">
        <w:t xml:space="preserve"> de </w:t>
      </w:r>
      <w:r>
        <w:t>mayo de 2018</w:t>
      </w:r>
      <w:r w:rsidRPr="002C0D19">
        <w:t>.</w:t>
      </w:r>
      <w:r w:rsidRPr="002C0D19">
        <w:rPr>
          <w:lang w:val="es-ES"/>
        </w:rPr>
        <w:t>)</w:t>
      </w:r>
      <w:bookmarkEnd w:id="1801"/>
      <w:bookmarkEnd w:id="1802"/>
      <w:bookmarkEnd w:id="1803"/>
      <w:bookmarkEnd w:id="1804"/>
      <w:bookmarkEnd w:id="1805"/>
      <w:bookmarkEnd w:id="1806"/>
      <w:bookmarkEnd w:id="1807"/>
      <w:bookmarkEnd w:id="1808"/>
      <w:bookmarkEnd w:id="1809"/>
    </w:p>
    <w:p w14:paraId="65734619" w14:textId="77777777" w:rsidR="007968EC" w:rsidRPr="002C0D19" w:rsidRDefault="007968EC" w:rsidP="007968EC">
      <w:pPr>
        <w:jc w:val="both"/>
        <w:rPr>
          <w:rFonts w:ascii="Arial Narrow" w:hAnsi="Arial Narrow" w:cs="Arial"/>
          <w:color w:val="000000" w:themeColor="text1"/>
          <w:lang w:eastAsia="es-ES"/>
        </w:rPr>
      </w:pPr>
    </w:p>
    <w:p w14:paraId="125515E9" w14:textId="77777777" w:rsidR="007968EC" w:rsidRPr="00B460F9" w:rsidRDefault="007968EC" w:rsidP="007968EC">
      <w:pPr>
        <w:jc w:val="both"/>
        <w:rPr>
          <w:rFonts w:ascii="Arial Narrow" w:hAnsi="Arial Narrow" w:cs="Arial"/>
          <w:bCs/>
          <w:color w:val="000000" w:themeColor="text1"/>
          <w:lang w:eastAsia="es-ES"/>
        </w:rPr>
      </w:pPr>
      <w:r w:rsidRPr="00B460F9">
        <w:rPr>
          <w:rFonts w:ascii="Arial Narrow" w:hAnsi="Arial Narrow" w:cs="Arial"/>
          <w:bCs/>
          <w:color w:val="000000" w:themeColor="text1"/>
          <w:lang w:eastAsia="es-ES"/>
        </w:rPr>
        <w:t>La Cámara adoptó el modelo de riesgo MEFFCOM2 desarrollado por MEFF España, el cual sigue el método de cálculo de los modelos SPAN (</w:t>
      </w:r>
      <w:r w:rsidRPr="00B460F9">
        <w:rPr>
          <w:rFonts w:ascii="Arial Narrow" w:hAnsi="Arial Narrow" w:cs="Arial"/>
          <w:bCs/>
          <w:i/>
          <w:color w:val="000000" w:themeColor="text1"/>
          <w:lang w:eastAsia="es-ES"/>
        </w:rPr>
        <w:t xml:space="preserve">Standard Portfolio </w:t>
      </w:r>
      <w:proofErr w:type="spellStart"/>
      <w:r w:rsidRPr="00B460F9">
        <w:rPr>
          <w:rFonts w:ascii="Arial Narrow" w:hAnsi="Arial Narrow" w:cs="Arial"/>
          <w:bCs/>
          <w:i/>
          <w:color w:val="000000" w:themeColor="text1"/>
          <w:lang w:val="es-ES" w:eastAsia="es-ES"/>
        </w:rPr>
        <w:t>Analysis</w:t>
      </w:r>
      <w:proofErr w:type="spellEnd"/>
      <w:r w:rsidRPr="00B460F9">
        <w:rPr>
          <w:rFonts w:ascii="Arial Narrow" w:hAnsi="Arial Narrow" w:cs="Arial"/>
          <w:bCs/>
          <w:color w:val="000000" w:themeColor="text1"/>
          <w:lang w:eastAsia="es-ES"/>
        </w:rPr>
        <w:t xml:space="preserve">) en cuanto a la forma de determinar las Garantías asociadas a las Operaciones Aceptadas. </w:t>
      </w:r>
      <w:r w:rsidRPr="00B460F9">
        <w:rPr>
          <w:rFonts w:ascii="Arial Narrow" w:hAnsi="Arial Narrow" w:cs="Arial"/>
          <w:color w:val="000000" w:themeColor="text1"/>
          <w:lang w:eastAsia="es-ES"/>
        </w:rPr>
        <w:t xml:space="preserve">Sin perjuicio de lo anterior, la Cámara podrá adoptar un modelo de riesgo diferente a </w:t>
      </w:r>
      <w:r w:rsidRPr="00B460F9">
        <w:rPr>
          <w:rFonts w:ascii="Arial Narrow" w:hAnsi="Arial Narrow" w:cs="Arial"/>
          <w:bCs/>
          <w:color w:val="000000" w:themeColor="text1"/>
          <w:lang w:eastAsia="es-ES"/>
        </w:rPr>
        <w:t xml:space="preserve">MEFFCOM2 para el cálculo y gestión de garantías </w:t>
      </w:r>
      <w:r w:rsidRPr="00B460F9">
        <w:rPr>
          <w:rFonts w:ascii="Arial Narrow" w:hAnsi="Arial Narrow" w:cs="Arial"/>
          <w:color w:val="000000" w:themeColor="text1"/>
          <w:lang w:eastAsia="es-ES"/>
        </w:rPr>
        <w:t>para un Segmento en particular</w:t>
      </w:r>
      <w:r w:rsidRPr="00B460F9">
        <w:rPr>
          <w:rFonts w:ascii="Arial Narrow" w:hAnsi="Arial Narrow" w:cs="Arial"/>
          <w:color w:val="000000" w:themeColor="text1"/>
          <w:lang w:val="es-ES" w:eastAsia="es-ES"/>
        </w:rPr>
        <w:t xml:space="preserve"> de conformidad con lo establecido en la presente Circular</w:t>
      </w:r>
      <w:r w:rsidRPr="00B460F9">
        <w:rPr>
          <w:rFonts w:ascii="Arial Narrow" w:hAnsi="Arial Narrow" w:cs="Arial"/>
          <w:color w:val="000000" w:themeColor="text1"/>
          <w:lang w:eastAsia="es-ES"/>
        </w:rPr>
        <w:t>.</w:t>
      </w:r>
    </w:p>
    <w:p w14:paraId="6536438A" w14:textId="77777777" w:rsidR="007968EC" w:rsidRPr="00B460F9" w:rsidRDefault="007968EC" w:rsidP="007968EC">
      <w:pPr>
        <w:jc w:val="both"/>
        <w:rPr>
          <w:rFonts w:ascii="Arial Narrow" w:hAnsi="Arial Narrow" w:cs="Arial"/>
          <w:bCs/>
          <w:color w:val="000000" w:themeColor="text1"/>
          <w:lang w:eastAsia="es-ES"/>
        </w:rPr>
      </w:pPr>
    </w:p>
    <w:p w14:paraId="6DC9F24D" w14:textId="77777777" w:rsidR="007968EC" w:rsidRPr="002C0D19" w:rsidRDefault="007968EC" w:rsidP="007968EC">
      <w:pPr>
        <w:autoSpaceDE w:val="0"/>
        <w:autoSpaceDN w:val="0"/>
        <w:jc w:val="both"/>
        <w:rPr>
          <w:rFonts w:ascii="Arial Narrow" w:hAnsi="Arial Narrow" w:cs="Arial"/>
          <w:bCs/>
          <w:color w:val="000000" w:themeColor="text1"/>
          <w:lang w:eastAsia="es-ES"/>
        </w:rPr>
      </w:pPr>
      <w:r w:rsidRPr="00B460F9">
        <w:rPr>
          <w:rFonts w:ascii="Arial Narrow" w:hAnsi="Arial Narrow" w:cs="Arial"/>
          <w:bCs/>
          <w:color w:val="000000" w:themeColor="text1"/>
          <w:lang w:eastAsia="es-ES"/>
        </w:rPr>
        <w:t>Adicionalmente, el esquema de cálculo de Garantías se complementa con la administración de los Límites de Operación lo que le permite recoger las recomendaciones internacionales enunciadas por IOSCO en la administración de riesgos de una entidad de contrapartida central.</w:t>
      </w:r>
    </w:p>
    <w:p w14:paraId="776166C2" w14:textId="77777777" w:rsidR="007968EC" w:rsidRPr="002C0D19" w:rsidRDefault="007968EC" w:rsidP="007968EC">
      <w:pPr>
        <w:jc w:val="both"/>
        <w:rPr>
          <w:rFonts w:ascii="Arial Narrow" w:hAnsi="Arial Narrow" w:cs="Arial"/>
          <w:color w:val="000000" w:themeColor="text1"/>
          <w:lang w:eastAsia="es-ES"/>
        </w:rPr>
      </w:pPr>
    </w:p>
    <w:p w14:paraId="6EB02B2B" w14:textId="77777777" w:rsidR="007968EC" w:rsidRDefault="007968EC" w:rsidP="007968EC">
      <w:pPr>
        <w:pStyle w:val="ARTICULO0"/>
      </w:pPr>
      <w:bookmarkStart w:id="1810" w:name="_Toc472592130"/>
      <w:bookmarkStart w:id="1811" w:name="_Toc472593149"/>
      <w:bookmarkStart w:id="1812" w:name="_Toc479056935"/>
      <w:bookmarkStart w:id="1813" w:name="_Toc31715948"/>
      <w:r w:rsidRPr="002C0D19">
        <w:t>Artículo 1.6.1.2. Tipos de Garantía.</w:t>
      </w:r>
      <w:bookmarkEnd w:id="1810"/>
      <w:bookmarkEnd w:id="1811"/>
      <w:bookmarkEnd w:id="1812"/>
      <w:bookmarkEnd w:id="1813"/>
      <w:r w:rsidRPr="002C0D19">
        <w:t xml:space="preserve"> </w:t>
      </w:r>
    </w:p>
    <w:p w14:paraId="7774F2D9" w14:textId="77777777" w:rsidR="007968EC" w:rsidRPr="002D772B" w:rsidRDefault="007968EC" w:rsidP="007968EC">
      <w:pPr>
        <w:jc w:val="both"/>
        <w:rPr>
          <w:rFonts w:ascii="Arial Narrow" w:hAnsi="Arial Narrow" w:cs="Arial"/>
          <w:color w:val="000000" w:themeColor="text1"/>
          <w:lang w:eastAsia="es-ES"/>
        </w:rPr>
      </w:pPr>
    </w:p>
    <w:p w14:paraId="5C957421" w14:textId="77777777" w:rsidR="007968EC" w:rsidRPr="002C0D19" w:rsidRDefault="007968EC" w:rsidP="007968EC">
      <w:pPr>
        <w:pStyle w:val="ANTECEDENTES"/>
        <w:rPr>
          <w:u w:val="single"/>
        </w:rPr>
      </w:pPr>
      <w:r w:rsidRPr="002C0D19">
        <w:t>(Este artículo fue adicionado mediante Circular 13 del 26 de julio de 2011, publicada en el Boletín Normativo No. 016 del 26 de julio de 2011. Rige a partir del 28 de julio de 2011</w:t>
      </w:r>
      <w:r>
        <w:t>,</w:t>
      </w:r>
      <w:r w:rsidRPr="002C0D19">
        <w:t xml:space="preserve"> renumerado mediante Circular 19 del 28 de diciembre de 2016, publicada en el Boletín Normativo No. 024 del 28 de diciembre de 2016</w:t>
      </w:r>
      <w:r w:rsidRPr="00B460F9">
        <w:rPr>
          <w:lang w:val="es-ES"/>
        </w:rPr>
        <w:t xml:space="preserve"> </w:t>
      </w:r>
      <w:r>
        <w:rPr>
          <w:lang w:val="es-ES"/>
        </w:rPr>
        <w:t>y modificado mediante Circular 7 del 9 de mayo de 2018, publicada en el Boletín Normativo No. 010 del 9 de mayo de 2018</w:t>
      </w:r>
      <w:r w:rsidRPr="002C0D19">
        <w:rPr>
          <w:lang w:val="es-ES"/>
        </w:rPr>
        <w:t xml:space="preserve">. </w:t>
      </w:r>
      <w:r w:rsidRPr="002C0D19">
        <w:t>Rige</w:t>
      </w:r>
      <w:r>
        <w:t xml:space="preserve"> a partir del 21</w:t>
      </w:r>
      <w:r w:rsidRPr="002C0D19">
        <w:t xml:space="preserve"> de </w:t>
      </w:r>
      <w:r>
        <w:t>mayo de 2018.</w:t>
      </w:r>
      <w:r w:rsidRPr="002C0D19">
        <w:t>)</w:t>
      </w:r>
    </w:p>
    <w:p w14:paraId="6C94F538" w14:textId="77777777" w:rsidR="007968EC" w:rsidRPr="002C0D19" w:rsidRDefault="007968EC" w:rsidP="007968EC">
      <w:pPr>
        <w:autoSpaceDE w:val="0"/>
        <w:autoSpaceDN w:val="0"/>
        <w:adjustRightInd w:val="0"/>
        <w:jc w:val="both"/>
        <w:rPr>
          <w:rFonts w:ascii="Arial Narrow" w:hAnsi="Arial Narrow" w:cs="Arial"/>
          <w:b/>
          <w:color w:val="000000" w:themeColor="text1"/>
          <w:u w:val="single"/>
          <w:lang w:val="es-ES" w:eastAsia="es-ES"/>
        </w:rPr>
      </w:pPr>
    </w:p>
    <w:p w14:paraId="29906061" w14:textId="77777777" w:rsidR="007968EC" w:rsidRPr="00B460F9" w:rsidRDefault="007968EC" w:rsidP="007968EC">
      <w:pPr>
        <w:autoSpaceDE w:val="0"/>
        <w:autoSpaceDN w:val="0"/>
        <w:adjustRightInd w:val="0"/>
        <w:jc w:val="both"/>
        <w:rPr>
          <w:rFonts w:ascii="Arial Narrow" w:hAnsi="Arial Narrow" w:cs="Arial"/>
          <w:color w:val="000000" w:themeColor="text1"/>
          <w:lang w:val="es-ES" w:eastAsia="es-ES"/>
        </w:rPr>
      </w:pPr>
      <w:r w:rsidRPr="00B460F9">
        <w:rPr>
          <w:rFonts w:ascii="Arial Narrow" w:hAnsi="Arial Narrow"/>
          <w:color w:val="000000" w:themeColor="text1"/>
        </w:rPr>
        <w:t>De acuerdo con el modelo de riesgo adoptado para cada Segmento, la Cámara podrá exigir a los Miembros la constitución de cualquiera de los distintos tipos de Garantías definidos en el artículo 2.7.6. del Reglamento de Funcionamiento de la Cámara, con las particularidades que en su caso se establezcan para el respectivo Segmento</w:t>
      </w:r>
      <w:r w:rsidRPr="00B460F9">
        <w:rPr>
          <w:rFonts w:ascii="Arial Narrow" w:hAnsi="Arial Narrow" w:cs="Arial"/>
          <w:color w:val="000000" w:themeColor="text1"/>
          <w:lang w:val="es-ES" w:eastAsia="es-ES"/>
        </w:rPr>
        <w:t>.</w:t>
      </w:r>
    </w:p>
    <w:p w14:paraId="22CE269B" w14:textId="77777777" w:rsidR="007968EC" w:rsidRPr="00217BDE" w:rsidRDefault="007968EC" w:rsidP="00074A74">
      <w:pPr>
        <w:pStyle w:val="Ttulo0"/>
      </w:pPr>
    </w:p>
    <w:p w14:paraId="59ABD914" w14:textId="77777777" w:rsidR="007968EC" w:rsidRPr="002C0D19" w:rsidRDefault="007968EC" w:rsidP="007968EC">
      <w:pPr>
        <w:pStyle w:val="TTULO"/>
        <w:rPr>
          <w:lang w:val="es-ES"/>
        </w:rPr>
      </w:pPr>
      <w:bookmarkStart w:id="1814" w:name="_Toc470775453"/>
      <w:bookmarkStart w:id="1815" w:name="_Toc470779738"/>
      <w:bookmarkStart w:id="1816" w:name="_Toc470780355"/>
      <w:bookmarkStart w:id="1817" w:name="_Toc470780868"/>
      <w:bookmarkStart w:id="1818" w:name="_Toc470784429"/>
      <w:bookmarkStart w:id="1819" w:name="_Toc470784966"/>
      <w:bookmarkStart w:id="1820" w:name="_Toc470786989"/>
      <w:bookmarkStart w:id="1821" w:name="_Toc470791342"/>
      <w:bookmarkStart w:id="1822" w:name="_Toc472592131"/>
      <w:bookmarkStart w:id="1823" w:name="_Toc472593150"/>
      <w:bookmarkStart w:id="1824" w:name="_Toc479056936"/>
      <w:bookmarkStart w:id="1825" w:name="_Toc490066247"/>
      <w:bookmarkStart w:id="1826" w:name="_Toc31715949"/>
      <w:r w:rsidRPr="002C0D19">
        <w:rPr>
          <w:lang w:val="es-ES"/>
        </w:rPr>
        <w:t>CAPÍTULO SEGUNDO</w:t>
      </w:r>
      <w:bookmarkEnd w:id="1814"/>
      <w:bookmarkEnd w:id="1815"/>
      <w:bookmarkEnd w:id="1816"/>
      <w:bookmarkEnd w:id="1817"/>
      <w:bookmarkEnd w:id="1818"/>
      <w:bookmarkEnd w:id="1819"/>
      <w:bookmarkEnd w:id="1820"/>
      <w:bookmarkEnd w:id="1821"/>
      <w:bookmarkEnd w:id="1822"/>
      <w:bookmarkEnd w:id="1823"/>
      <w:bookmarkEnd w:id="1824"/>
      <w:bookmarkEnd w:id="1825"/>
      <w:bookmarkEnd w:id="1826"/>
    </w:p>
    <w:p w14:paraId="30B3CD20" w14:textId="77777777" w:rsidR="007968EC" w:rsidRPr="002C0D19" w:rsidRDefault="007968EC" w:rsidP="00074A74">
      <w:pPr>
        <w:pStyle w:val="Ttulo0"/>
      </w:pPr>
    </w:p>
    <w:p w14:paraId="7CD11DF0" w14:textId="77777777" w:rsidR="007968EC" w:rsidRPr="002C0D19" w:rsidRDefault="007968EC" w:rsidP="007968EC">
      <w:pPr>
        <w:pStyle w:val="TTULO"/>
        <w:rPr>
          <w:lang w:val="es-ES"/>
        </w:rPr>
      </w:pPr>
      <w:bookmarkStart w:id="1827" w:name="_Toc470775454"/>
      <w:bookmarkStart w:id="1828" w:name="_Toc470779739"/>
      <w:bookmarkStart w:id="1829" w:name="_Toc470780356"/>
      <w:bookmarkStart w:id="1830" w:name="_Toc470780869"/>
      <w:bookmarkStart w:id="1831" w:name="_Toc470784430"/>
      <w:bookmarkStart w:id="1832" w:name="_Toc470784967"/>
      <w:bookmarkStart w:id="1833" w:name="_Toc470786990"/>
      <w:bookmarkStart w:id="1834" w:name="_Toc470791343"/>
      <w:bookmarkStart w:id="1835" w:name="_Toc472592132"/>
      <w:bookmarkStart w:id="1836" w:name="_Toc472593151"/>
      <w:bookmarkStart w:id="1837" w:name="_Toc479056937"/>
      <w:bookmarkStart w:id="1838" w:name="_Toc490066248"/>
      <w:bookmarkStart w:id="1839" w:name="_Toc31715950"/>
      <w:r w:rsidRPr="002C0D19">
        <w:rPr>
          <w:lang w:val="es-ES"/>
        </w:rPr>
        <w:t>CÁLCULO DE GARANTÍAS</w:t>
      </w:r>
      <w:bookmarkEnd w:id="1827"/>
      <w:bookmarkEnd w:id="1828"/>
      <w:bookmarkEnd w:id="1829"/>
      <w:bookmarkEnd w:id="1830"/>
      <w:bookmarkEnd w:id="1831"/>
      <w:bookmarkEnd w:id="1832"/>
      <w:bookmarkEnd w:id="1833"/>
      <w:bookmarkEnd w:id="1834"/>
      <w:bookmarkEnd w:id="1835"/>
      <w:bookmarkEnd w:id="1836"/>
      <w:bookmarkEnd w:id="1837"/>
      <w:bookmarkEnd w:id="1838"/>
      <w:bookmarkEnd w:id="1839"/>
    </w:p>
    <w:p w14:paraId="7D766DCE" w14:textId="77777777" w:rsidR="007968EC" w:rsidRPr="002C0D19" w:rsidRDefault="007968EC" w:rsidP="00074A74">
      <w:pPr>
        <w:pStyle w:val="Ttulo0"/>
      </w:pPr>
    </w:p>
    <w:p w14:paraId="435F6E26" w14:textId="77777777" w:rsidR="007968EC" w:rsidRDefault="007968EC" w:rsidP="007968EC">
      <w:pPr>
        <w:pStyle w:val="ARTICULO0"/>
      </w:pPr>
      <w:bookmarkStart w:id="1840" w:name="_Toc472592133"/>
      <w:bookmarkStart w:id="1841" w:name="_Toc472593152"/>
      <w:bookmarkStart w:id="1842" w:name="_Toc479056938"/>
      <w:bookmarkStart w:id="1843" w:name="_Toc31715951"/>
      <w:bookmarkStart w:id="1844" w:name="_Toc470775455"/>
      <w:bookmarkStart w:id="1845" w:name="_Toc470779740"/>
      <w:bookmarkStart w:id="1846" w:name="_Toc470780357"/>
      <w:bookmarkStart w:id="1847" w:name="_Toc470780870"/>
      <w:bookmarkStart w:id="1848" w:name="_Toc470784431"/>
      <w:bookmarkStart w:id="1849" w:name="_Toc470784968"/>
      <w:bookmarkStart w:id="1850" w:name="_Toc470786991"/>
      <w:bookmarkStart w:id="1851" w:name="_Toc470791344"/>
      <w:bookmarkStart w:id="1852" w:name="_Toc490066249"/>
      <w:r w:rsidRPr="002C0D19">
        <w:t>Artículo 1.6.2.1. Reglas sobre la determinación y constitución de la Garantía Individual.</w:t>
      </w:r>
      <w:bookmarkEnd w:id="1840"/>
      <w:bookmarkEnd w:id="1841"/>
      <w:bookmarkEnd w:id="1842"/>
      <w:bookmarkEnd w:id="1843"/>
      <w:r w:rsidRPr="002C0D19">
        <w:t xml:space="preserve"> </w:t>
      </w:r>
    </w:p>
    <w:p w14:paraId="3F117A73" w14:textId="77777777" w:rsidR="007968EC" w:rsidRPr="002D772B" w:rsidRDefault="007968EC" w:rsidP="007968EC">
      <w:pPr>
        <w:jc w:val="both"/>
        <w:rPr>
          <w:rFonts w:ascii="Arial Narrow" w:hAnsi="Arial Narrow" w:cs="Arial"/>
          <w:color w:val="000000" w:themeColor="text1"/>
          <w:lang w:eastAsia="es-ES"/>
        </w:rPr>
      </w:pPr>
    </w:p>
    <w:p w14:paraId="1C937508" w14:textId="77777777" w:rsidR="007968EC" w:rsidRPr="002C0D19" w:rsidRDefault="007968EC" w:rsidP="007968EC">
      <w:pPr>
        <w:pStyle w:val="ANTECEDENTES"/>
      </w:pPr>
      <w:r w:rsidRPr="002C0D19">
        <w:t>(Este artículo fue modificado mediante Circular 19 del 28 de diciembre de 2016, publicada en el Boletín Normativo No. 024 del 28 de diciembre de 2016</w:t>
      </w:r>
      <w:bookmarkEnd w:id="1844"/>
      <w:bookmarkEnd w:id="1845"/>
      <w:bookmarkEnd w:id="1846"/>
      <w:bookmarkEnd w:id="1847"/>
      <w:bookmarkEnd w:id="1848"/>
      <w:bookmarkEnd w:id="1849"/>
      <w:bookmarkEnd w:id="1850"/>
      <w:bookmarkEnd w:id="1851"/>
      <w:r w:rsidRPr="002C0D19">
        <w:t xml:space="preserve"> y mediante Circular 2 del 11 de enero de 2017, publicada en el Boletín Normativo No. 002 del 11 de enero de 2017. Rige a partir del 12 de enero de 2017.)</w:t>
      </w:r>
      <w:bookmarkEnd w:id="1852"/>
    </w:p>
    <w:p w14:paraId="5FFD72EB" w14:textId="77777777" w:rsidR="007968EC" w:rsidRPr="002C0D19" w:rsidRDefault="007968EC" w:rsidP="007968EC">
      <w:pPr>
        <w:jc w:val="both"/>
        <w:rPr>
          <w:rFonts w:ascii="Arial Narrow" w:hAnsi="Arial Narrow" w:cs="Arial"/>
          <w:b/>
          <w:color w:val="000000" w:themeColor="text1"/>
          <w:u w:val="single"/>
          <w:lang w:eastAsia="es-ES"/>
        </w:rPr>
      </w:pPr>
    </w:p>
    <w:p w14:paraId="192E985C"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Los Miembros Liquidadores deberán constituir las Garantías Individuales a que se refiere el literal a. del numeral 1. del artículo 2.7.6. del Reglamento de conformidad con las siguientes reglas: </w:t>
      </w:r>
    </w:p>
    <w:p w14:paraId="2B97C5FC" w14:textId="77777777" w:rsidR="007968EC" w:rsidRPr="002C0D19" w:rsidRDefault="007968EC" w:rsidP="007968EC">
      <w:pPr>
        <w:jc w:val="both"/>
        <w:rPr>
          <w:rFonts w:ascii="Arial Narrow" w:hAnsi="Arial Narrow" w:cs="Arial"/>
          <w:color w:val="000000" w:themeColor="text1"/>
          <w:lang w:val="es-ES" w:eastAsia="es-ES"/>
        </w:rPr>
      </w:pPr>
    </w:p>
    <w:p w14:paraId="78930FBD" w14:textId="77777777" w:rsidR="007968EC" w:rsidRPr="002C0D19" w:rsidRDefault="007968EC" w:rsidP="00DA7472">
      <w:pPr>
        <w:numPr>
          <w:ilvl w:val="0"/>
          <w:numId w:val="151"/>
        </w:numPr>
        <w:ind w:left="380" w:hanging="380"/>
        <w:contextualSpacing/>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Una Garantía mínima a favor de la Cámara, con carácter previo a la aceptación de la primera Operación por parte de la Cámara por el valor fijo determinado en la presente Circular, según se trate de Miembro Liquidador General o de Miembro Liquidador Individual y para cada Segmento.</w:t>
      </w:r>
    </w:p>
    <w:p w14:paraId="3CCFB288" w14:textId="77777777" w:rsidR="007968EC" w:rsidRPr="002C0D19" w:rsidRDefault="007968EC" w:rsidP="007968EC">
      <w:pPr>
        <w:ind w:left="380"/>
        <w:jc w:val="both"/>
        <w:rPr>
          <w:rFonts w:ascii="Arial Narrow" w:hAnsi="Arial Narrow" w:cs="Arial"/>
          <w:color w:val="000000" w:themeColor="text1"/>
          <w:lang w:val="es-ES" w:eastAsia="es-ES"/>
        </w:rPr>
      </w:pPr>
    </w:p>
    <w:p w14:paraId="0700E267" w14:textId="77777777" w:rsidR="007968EC" w:rsidRPr="002C0D19" w:rsidRDefault="007968EC" w:rsidP="00DA7472">
      <w:pPr>
        <w:numPr>
          <w:ilvl w:val="0"/>
          <w:numId w:val="151"/>
        </w:numPr>
        <w:ind w:left="380" w:hanging="380"/>
        <w:contextualSpacing/>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Una Garantía cuando el Miembro Liquidador sobrepase el LRI durante o al final de la sesión, así como si supera el LMC al final de la sesión. El monto de la Garantía Individual corresponderá al exceso del correspondiente Límite. </w:t>
      </w:r>
    </w:p>
    <w:p w14:paraId="47FA3879" w14:textId="77777777" w:rsidR="007968EC" w:rsidRPr="002C0D19" w:rsidRDefault="007968EC" w:rsidP="007968EC">
      <w:pPr>
        <w:ind w:left="708"/>
        <w:rPr>
          <w:rFonts w:ascii="Arial Narrow" w:hAnsi="Arial Narrow" w:cs="Arial"/>
          <w:color w:val="000000" w:themeColor="text1"/>
          <w:lang w:val="es-ES" w:eastAsia="es-ES"/>
        </w:rPr>
      </w:pPr>
    </w:p>
    <w:p w14:paraId="6555567E" w14:textId="77777777" w:rsidR="007968EC" w:rsidRPr="002C0D19" w:rsidRDefault="007968EC" w:rsidP="00DA7472">
      <w:pPr>
        <w:numPr>
          <w:ilvl w:val="0"/>
          <w:numId w:val="151"/>
        </w:numPr>
        <w:ind w:left="380" w:hanging="380"/>
        <w:contextualSpacing/>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Una Garantía cuando el patrimonio técnico del Miembro Liquidador disminuya a un nivel inferior al patrimonio técnico mínimo exigido por la Cámara en un porcentaje no superior al diez por ciento (10%). El monto de la Garantía Individual corresponderá a la diferencia resultante entre el patrimonio técnico mínimo exigido por la Cámara y el patrimonio técnico del Miembro.</w:t>
      </w:r>
    </w:p>
    <w:p w14:paraId="15E40621" w14:textId="77777777" w:rsidR="007968EC" w:rsidRPr="002C0D19" w:rsidRDefault="007968EC" w:rsidP="007968EC">
      <w:pPr>
        <w:ind w:left="380"/>
        <w:jc w:val="both"/>
        <w:rPr>
          <w:rFonts w:ascii="Arial Narrow" w:hAnsi="Arial Narrow" w:cs="Arial"/>
          <w:color w:val="000000" w:themeColor="text1"/>
          <w:lang w:val="es-ES" w:eastAsia="es-ES"/>
        </w:rPr>
      </w:pPr>
    </w:p>
    <w:p w14:paraId="67CBD81C" w14:textId="77777777" w:rsidR="007968EC" w:rsidRPr="002C0D19" w:rsidRDefault="007968EC" w:rsidP="00DA7472">
      <w:pPr>
        <w:numPr>
          <w:ilvl w:val="0"/>
          <w:numId w:val="151"/>
        </w:numPr>
        <w:ind w:left="380" w:hanging="380"/>
        <w:contextualSpacing/>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Una Garantía por estrés del Fondo de Garantía Colectiva en los eventos descritos en el artículo siguiente. </w:t>
      </w:r>
    </w:p>
    <w:p w14:paraId="122E85E3" w14:textId="77777777" w:rsidR="007968EC" w:rsidRPr="002C0D19" w:rsidRDefault="007968EC" w:rsidP="007968EC">
      <w:pPr>
        <w:ind w:left="708"/>
        <w:rPr>
          <w:rFonts w:ascii="Arial Narrow" w:hAnsi="Arial Narrow" w:cs="Arial"/>
          <w:color w:val="000000" w:themeColor="text1"/>
          <w:lang w:val="es-ES" w:eastAsia="es-ES"/>
        </w:rPr>
      </w:pPr>
    </w:p>
    <w:p w14:paraId="1DD31588"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 w:eastAsia="es-ES"/>
        </w:rPr>
        <w:t>Parágrafo Primero.</w:t>
      </w:r>
      <w:r w:rsidRPr="002C0D19">
        <w:rPr>
          <w:rFonts w:ascii="Arial Narrow" w:hAnsi="Arial Narrow" w:cs="Arial"/>
          <w:color w:val="000000" w:themeColor="text1"/>
          <w:lang w:val="es-ES" w:eastAsia="es-ES"/>
        </w:rPr>
        <w:t xml:space="preserve"> Las Garantías Individuales a las que se refiere este artículo son adicionales a la Garantía mínima establecida en el numeral 1 del presente artículo, por lo tanto deberán constituirse por los Miembros Liquidadores de manera separada y para cada uno de los eventos antes relacionados.   </w:t>
      </w:r>
    </w:p>
    <w:p w14:paraId="45EDC17F" w14:textId="77777777" w:rsidR="007968EC" w:rsidRPr="002C0D19" w:rsidRDefault="007968EC" w:rsidP="007968EC">
      <w:pPr>
        <w:jc w:val="both"/>
        <w:rPr>
          <w:rFonts w:ascii="Arial Narrow" w:hAnsi="Arial Narrow" w:cs="Arial"/>
          <w:color w:val="000000" w:themeColor="text1"/>
          <w:lang w:val="es-ES" w:eastAsia="es-ES"/>
        </w:rPr>
      </w:pPr>
    </w:p>
    <w:p w14:paraId="4D24FCBA" w14:textId="77777777" w:rsidR="007968EC" w:rsidRDefault="007968EC" w:rsidP="007968EC">
      <w:pPr>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 w:eastAsia="es-ES"/>
        </w:rPr>
        <w:lastRenderedPageBreak/>
        <w:t>Parágrafo Segundo.</w:t>
      </w:r>
      <w:r w:rsidRPr="002C0D19">
        <w:rPr>
          <w:rFonts w:ascii="Arial Narrow" w:hAnsi="Arial Narrow" w:cs="Arial"/>
          <w:color w:val="000000" w:themeColor="text1"/>
          <w:lang w:val="es-ES" w:eastAsia="es-ES"/>
        </w:rPr>
        <w:t xml:space="preserve"> No obstante lo dispuesto en el presente artículo los Miembros Liquidadores y los Miembros No Liquidadores podrán constituir Garantías Individuales en cualquier momento y por valores superiores a los exigidos por la Cámara de acuerdo con las reglas precedentes.  </w:t>
      </w:r>
    </w:p>
    <w:p w14:paraId="1F005260" w14:textId="77777777" w:rsidR="007968EC" w:rsidRPr="002C0D19" w:rsidRDefault="007968EC" w:rsidP="007968EC">
      <w:pPr>
        <w:jc w:val="both"/>
        <w:rPr>
          <w:rFonts w:ascii="Arial Narrow" w:hAnsi="Arial Narrow" w:cs="Arial"/>
          <w:color w:val="000000" w:themeColor="text1"/>
          <w:lang w:val="es-ES" w:eastAsia="es-ES"/>
        </w:rPr>
      </w:pPr>
    </w:p>
    <w:p w14:paraId="6A64E871" w14:textId="77777777" w:rsidR="007968EC" w:rsidRPr="002C0D19" w:rsidRDefault="007968EC" w:rsidP="007968EC">
      <w:pPr>
        <w:jc w:val="both"/>
        <w:rPr>
          <w:rFonts w:ascii="Arial Narrow" w:hAnsi="Arial Narrow" w:cs="Arial"/>
          <w:color w:val="000000" w:themeColor="text1"/>
          <w:lang w:val="es-ES" w:eastAsia="es-ES"/>
        </w:rPr>
      </w:pPr>
    </w:p>
    <w:p w14:paraId="3C362067" w14:textId="77777777" w:rsidR="007968EC" w:rsidRDefault="007968EC" w:rsidP="007968EC">
      <w:pPr>
        <w:pStyle w:val="ARTICULO0"/>
      </w:pPr>
      <w:bookmarkStart w:id="1853" w:name="_Toc472592134"/>
      <w:bookmarkStart w:id="1854" w:name="_Toc472593153"/>
      <w:bookmarkStart w:id="1855" w:name="_Toc479056939"/>
      <w:bookmarkStart w:id="1856" w:name="_Toc31715952"/>
      <w:bookmarkStart w:id="1857" w:name="_Toc470791345"/>
      <w:bookmarkStart w:id="1858" w:name="_Toc490066250"/>
      <w:r w:rsidRPr="002C0D19">
        <w:t>Artículo 1.6.2.2. Garantía Individual por estrés del Fondo de Garantía Colectiva y forma de calcularla.</w:t>
      </w:r>
      <w:bookmarkEnd w:id="1853"/>
      <w:bookmarkEnd w:id="1854"/>
      <w:bookmarkEnd w:id="1855"/>
      <w:bookmarkEnd w:id="1856"/>
      <w:r w:rsidRPr="002C0D19">
        <w:t xml:space="preserve"> </w:t>
      </w:r>
    </w:p>
    <w:p w14:paraId="0385D1BC" w14:textId="77777777" w:rsidR="007968EC" w:rsidRPr="002D772B" w:rsidRDefault="007968EC" w:rsidP="007968EC">
      <w:pPr>
        <w:jc w:val="both"/>
        <w:rPr>
          <w:rFonts w:ascii="Arial Narrow" w:hAnsi="Arial Narrow" w:cs="Arial"/>
          <w:color w:val="000000" w:themeColor="text1"/>
          <w:lang w:eastAsia="es-ES"/>
        </w:rPr>
      </w:pPr>
    </w:p>
    <w:p w14:paraId="3FCBC342" w14:textId="77777777" w:rsidR="007968EC" w:rsidRPr="002C0D19" w:rsidRDefault="007968EC" w:rsidP="007968EC">
      <w:pPr>
        <w:pStyle w:val="ANTECEDENTES"/>
      </w:pPr>
      <w:r w:rsidRPr="002C0D19">
        <w:t>(Este artículo fue adicionado mediante Circular 19 del 28 de diciembre de 2016, publicada en el Boletín Normativo No. 024 del 28 de diciembre de 2010</w:t>
      </w:r>
      <w:bookmarkEnd w:id="1857"/>
      <w:r w:rsidRPr="002C0D19">
        <w:t xml:space="preserve"> y mediante Circular 2 del 11 de enero de 2017, publicada en el Boletín Normativo No. 002 del 11 de enero de 2017. Rige a partir del 12 de enero de 2017.)</w:t>
      </w:r>
      <w:bookmarkEnd w:id="1858"/>
    </w:p>
    <w:p w14:paraId="070E8A08" w14:textId="77777777" w:rsidR="007968EC" w:rsidRPr="002C0D19" w:rsidRDefault="007968EC" w:rsidP="007968EC">
      <w:pPr>
        <w:jc w:val="both"/>
        <w:rPr>
          <w:rFonts w:ascii="Arial Narrow" w:hAnsi="Arial Narrow" w:cs="Arial"/>
          <w:b/>
          <w:color w:val="000000" w:themeColor="text1"/>
          <w:u w:val="single"/>
          <w:lang w:val="es-ES" w:eastAsia="es-ES"/>
        </w:rPr>
      </w:pPr>
    </w:p>
    <w:p w14:paraId="53D1FA38"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De manera adicional a la Garantía Individual Mínima establecida de conformidad con lo dispuesto en el numeral 1 del artículo anterior, para cada Segmento se exigirá a los Miembros Liquidadores una Garantía Individual por estrés del Fondo de Garantía Colectiva así:</w:t>
      </w:r>
    </w:p>
    <w:p w14:paraId="397921B7" w14:textId="77777777" w:rsidR="007968EC" w:rsidRPr="002C0D19" w:rsidRDefault="007968EC" w:rsidP="007968EC">
      <w:pPr>
        <w:jc w:val="both"/>
        <w:rPr>
          <w:rFonts w:ascii="Arial Narrow" w:hAnsi="Arial Narrow" w:cs="Arial"/>
          <w:color w:val="000000" w:themeColor="text1"/>
          <w:lang w:val="es-ES" w:eastAsia="es-ES"/>
        </w:rPr>
      </w:pPr>
    </w:p>
    <w:p w14:paraId="770F4E7B" w14:textId="77777777" w:rsidR="007968EC" w:rsidRPr="002C0D19" w:rsidRDefault="007968EC" w:rsidP="00DA7472">
      <w:pPr>
        <w:numPr>
          <w:ilvl w:val="0"/>
          <w:numId w:val="245"/>
        </w:numPr>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A aquellos Miembros Liquidadores, a quienes una vez calculado su riesgo en situación de estrés en la Sesión de Cierre de la Cámara, dicho riesgo sea superior a la suma de las aportaciones de los demás Miembros Liquidadores al Fondo de Garantía Colectiva vigente, se les exigirá una Garantía Individual correspondiente al monto que excediera dicha suma.</w:t>
      </w:r>
    </w:p>
    <w:p w14:paraId="2142BF32" w14:textId="77777777" w:rsidR="007968EC" w:rsidRPr="002C0D19" w:rsidRDefault="007968EC" w:rsidP="00DA7472">
      <w:pPr>
        <w:numPr>
          <w:ilvl w:val="0"/>
          <w:numId w:val="245"/>
        </w:numPr>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A los dos (2) Miembros Liquidadores con mayor exposición </w:t>
      </w:r>
      <w:proofErr w:type="gramStart"/>
      <w:r w:rsidRPr="002C0D19">
        <w:rPr>
          <w:rFonts w:ascii="Arial Narrow" w:hAnsi="Arial Narrow" w:cs="Arial"/>
          <w:color w:val="000000" w:themeColor="text1"/>
          <w:lang w:eastAsia="es-CO"/>
        </w:rPr>
        <w:t>en caso que</w:t>
      </w:r>
      <w:proofErr w:type="gramEnd"/>
      <w:r w:rsidRPr="002C0D19">
        <w:rPr>
          <w:rFonts w:ascii="Arial Narrow" w:hAnsi="Arial Narrow" w:cs="Arial"/>
          <w:color w:val="000000" w:themeColor="text1"/>
          <w:lang w:eastAsia="es-CO"/>
        </w:rPr>
        <w:t xml:space="preserve"> el cálculo de su riesgo en situación de estrés realizado diariamente arroje un riesgo superior al tamaño del Fondo de Garantía Colectiva calculado para el Segmento, se les exigirá una Garantía Individual correspondiente a la diferencia resultante, la cual se distribuirá proporcionalmente entre los dos Miembros en función a su riesgo.</w:t>
      </w:r>
    </w:p>
    <w:p w14:paraId="18AD940B" w14:textId="77777777" w:rsidR="007968EC" w:rsidRPr="002C0D19" w:rsidRDefault="007968EC" w:rsidP="007968EC">
      <w:pPr>
        <w:jc w:val="both"/>
        <w:rPr>
          <w:rFonts w:ascii="Arial Narrow" w:hAnsi="Arial Narrow" w:cs="Arial"/>
          <w:b/>
          <w:color w:val="000000" w:themeColor="text1"/>
          <w:u w:val="single"/>
          <w:lang w:val="es-ES" w:eastAsia="es-ES"/>
        </w:rPr>
      </w:pPr>
    </w:p>
    <w:p w14:paraId="56152A49"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Para el efecto, la Garantía Individual por estrés del Fondo de Garantía Colectiva se calculará de acuerdo con el siguiente procedimiento:</w:t>
      </w:r>
    </w:p>
    <w:p w14:paraId="05040685" w14:textId="77777777" w:rsidR="007968EC" w:rsidRPr="002C0D19" w:rsidRDefault="007968EC" w:rsidP="007968EC">
      <w:pPr>
        <w:jc w:val="both"/>
        <w:rPr>
          <w:rFonts w:ascii="Arial Narrow" w:hAnsi="Arial Narrow" w:cs="Arial"/>
          <w:color w:val="000000" w:themeColor="text1"/>
          <w:u w:val="single"/>
          <w:lang w:val="es-ES" w:eastAsia="es-ES"/>
        </w:rPr>
      </w:pPr>
    </w:p>
    <w:p w14:paraId="067AC12F" w14:textId="77777777" w:rsidR="007968EC" w:rsidRPr="002C0D19" w:rsidRDefault="007968EC" w:rsidP="00DA7472">
      <w:pPr>
        <w:numPr>
          <w:ilvl w:val="2"/>
          <w:numId w:val="98"/>
        </w:numPr>
        <w:autoSpaceDE w:val="0"/>
        <w:autoSpaceDN w:val="0"/>
        <w:adjustRightInd w:val="0"/>
        <w:ind w:left="426"/>
        <w:rPr>
          <w:rFonts w:ascii="Arial Narrow" w:hAnsi="Arial Narrow" w:cs="Arial"/>
          <w:bCs/>
          <w:color w:val="000000" w:themeColor="text1"/>
          <w:lang w:eastAsia="es-CO"/>
        </w:rPr>
      </w:pPr>
      <w:r w:rsidRPr="002C0D19">
        <w:rPr>
          <w:rFonts w:ascii="Arial Narrow" w:hAnsi="Arial Narrow" w:cs="Arial"/>
          <w:bCs/>
          <w:color w:val="000000" w:themeColor="text1"/>
          <w:lang w:eastAsia="es-CO"/>
        </w:rPr>
        <w:t>Cálculo diario del riesgo del Miembro Liquidador en situación de estrés en cada Segmento:</w:t>
      </w:r>
    </w:p>
    <w:p w14:paraId="2E51E9A3" w14:textId="77777777" w:rsidR="007968EC" w:rsidRPr="002C0D19" w:rsidRDefault="007968EC" w:rsidP="007968EC">
      <w:pPr>
        <w:jc w:val="both"/>
        <w:rPr>
          <w:rFonts w:ascii="Arial Narrow" w:hAnsi="Arial Narrow" w:cs="Arial"/>
          <w:color w:val="000000" w:themeColor="text1"/>
          <w:u w:val="single"/>
          <w:lang w:eastAsia="es-ES"/>
        </w:rPr>
      </w:pPr>
    </w:p>
    <w:p w14:paraId="177CE996" w14:textId="77777777" w:rsidR="007968EC" w:rsidRPr="002C0D19" w:rsidRDefault="007968EC" w:rsidP="007968EC">
      <w:pPr>
        <w:tabs>
          <w:tab w:val="left" w:pos="426"/>
        </w:tabs>
        <w:ind w:left="426"/>
        <w:contextualSpacing/>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Diariamente en la Sesión de Cierre de la Cámara, se calcula el riesgo en situación de estrés para cada uno de los Miembros Liquidadores participantes de cada Segmento de acuerdo con lo dispuesto en el artículo 1.6.2.9. de la presente Circular.</w:t>
      </w:r>
    </w:p>
    <w:p w14:paraId="2E19CB07" w14:textId="77777777" w:rsidR="007968EC" w:rsidRPr="002C0D19" w:rsidRDefault="007968EC" w:rsidP="007968EC">
      <w:pPr>
        <w:tabs>
          <w:tab w:val="left" w:pos="426"/>
        </w:tabs>
        <w:ind w:left="426"/>
        <w:contextualSpacing/>
        <w:jc w:val="both"/>
        <w:rPr>
          <w:rFonts w:ascii="Arial Narrow" w:hAnsi="Arial Narrow" w:cs="Arial"/>
          <w:color w:val="000000" w:themeColor="text1"/>
          <w:lang w:val="es-ES" w:eastAsia="es-ES"/>
        </w:rPr>
      </w:pPr>
    </w:p>
    <w:p w14:paraId="2E8E937A" w14:textId="77777777" w:rsidR="007968EC" w:rsidRPr="002C0D19" w:rsidRDefault="007968EC" w:rsidP="00DA7472">
      <w:pPr>
        <w:numPr>
          <w:ilvl w:val="2"/>
          <w:numId w:val="98"/>
        </w:numPr>
        <w:autoSpaceDE w:val="0"/>
        <w:autoSpaceDN w:val="0"/>
        <w:adjustRightInd w:val="0"/>
        <w:ind w:left="426"/>
        <w:jc w:val="both"/>
        <w:rPr>
          <w:rFonts w:ascii="Arial Narrow" w:hAnsi="Arial Narrow" w:cs="Arial"/>
          <w:bCs/>
          <w:color w:val="000000" w:themeColor="text1"/>
          <w:lang w:eastAsia="es-CO"/>
        </w:rPr>
      </w:pPr>
      <w:r w:rsidRPr="002C0D19">
        <w:rPr>
          <w:rFonts w:ascii="Arial Narrow" w:hAnsi="Arial Narrow" w:cs="Arial"/>
          <w:bCs/>
          <w:color w:val="000000" w:themeColor="text1"/>
          <w:lang w:eastAsia="es-CO"/>
        </w:rPr>
        <w:t>Obtención de la Garantía Individual por estrés diario del Fondo de Garantía Colectiva simulando el incumplimiento del Miembro Liquidador:</w:t>
      </w:r>
    </w:p>
    <w:p w14:paraId="2EBC712F" w14:textId="77777777" w:rsidR="007968EC" w:rsidRPr="002C0D19" w:rsidRDefault="007968EC" w:rsidP="007968EC">
      <w:pPr>
        <w:autoSpaceDE w:val="0"/>
        <w:autoSpaceDN w:val="0"/>
        <w:adjustRightInd w:val="0"/>
        <w:ind w:left="284"/>
        <w:rPr>
          <w:rFonts w:ascii="Arial Narrow" w:hAnsi="Arial Narrow" w:cs="Arial"/>
          <w:bCs/>
          <w:color w:val="000000" w:themeColor="text1"/>
          <w:lang w:eastAsia="es-CO"/>
        </w:rPr>
      </w:pPr>
    </w:p>
    <w:p w14:paraId="0E4EE4F4" w14:textId="77777777" w:rsidR="007968EC" w:rsidRPr="000C31A5" w:rsidRDefault="007968EC" w:rsidP="007968EC">
      <w:pPr>
        <w:tabs>
          <w:tab w:val="left" w:pos="426"/>
        </w:tabs>
        <w:ind w:left="426"/>
        <w:contextualSpacing/>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Se toma el resultado del riesgo en situación de estrés calculado en el numeral 1 para cada uno de los Miembros Liquidadores y se compara contra el total de las Garantías Individuales y las Garantías Extraordinarias constituidas por dicho Miembro Liquidador y el Importe del Fondo de Garantía Colectiva del Segmento en el que participe. Si el riesgo en situación de estrés supera el total de tales Garantías, la Cámara realiza un ajuste en Garantías Individuales calculado de la siguiente forma:</w:t>
      </w:r>
    </w:p>
    <w:p w14:paraId="03B2260F" w14:textId="77777777" w:rsidR="007968EC" w:rsidRPr="002C0D19" w:rsidRDefault="007968EC" w:rsidP="00DA7472">
      <w:pPr>
        <w:numPr>
          <w:ilvl w:val="1"/>
          <w:numId w:val="102"/>
        </w:numPr>
        <w:autoSpaceDE w:val="0"/>
        <w:autoSpaceDN w:val="0"/>
        <w:adjustRightInd w:val="0"/>
        <w:ind w:left="851" w:hanging="425"/>
        <w:rPr>
          <w:rFonts w:ascii="Arial Narrow" w:hAnsi="Arial Narrow" w:cs="Arial"/>
          <w:color w:val="000000" w:themeColor="text1"/>
          <w:lang w:eastAsia="es-CO"/>
        </w:rPr>
      </w:pPr>
      <w:r w:rsidRPr="002C0D19">
        <w:rPr>
          <w:rFonts w:ascii="Arial Narrow" w:hAnsi="Arial Narrow" w:cs="Arial"/>
          <w:color w:val="000000" w:themeColor="text1"/>
          <w:lang w:eastAsia="es-CO"/>
        </w:rPr>
        <w:lastRenderedPageBreak/>
        <w:t>Cálculo del saldo por cada Segmento:</w:t>
      </w:r>
    </w:p>
    <w:p w14:paraId="646AB084" w14:textId="77777777" w:rsidR="007968EC" w:rsidRPr="002C0D19" w:rsidRDefault="007968EC" w:rsidP="007968EC">
      <w:pPr>
        <w:autoSpaceDE w:val="0"/>
        <w:autoSpaceDN w:val="0"/>
        <w:adjustRightInd w:val="0"/>
        <w:rPr>
          <w:rFonts w:ascii="Arial Narrow" w:hAnsi="Arial Narrow" w:cs="Arial"/>
          <w:color w:val="000000" w:themeColor="text1"/>
          <w:lang w:eastAsia="es-ES"/>
        </w:rPr>
      </w:pPr>
    </w:p>
    <w:p w14:paraId="6C029217" w14:textId="77777777" w:rsidR="007968EC" w:rsidRPr="002C0D19" w:rsidRDefault="007968EC" w:rsidP="007968EC">
      <w:pPr>
        <w:autoSpaceDE w:val="0"/>
        <w:autoSpaceDN w:val="0"/>
        <w:adjustRightInd w:val="0"/>
        <w:ind w:left="851"/>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Al riesgo en situación de estrés obtenido para cada Miembro Liquidador en el Segmento, se le resta la aportación total del Miembro Liquidador al Fondo de Garantía Colectiva de dicho Segmento. Como resultado se obtiene un saldo positivo o negativo en cada Segmento.</w:t>
      </w:r>
    </w:p>
    <w:p w14:paraId="39AB69E7" w14:textId="77777777" w:rsidR="007968EC" w:rsidRPr="002C0D19" w:rsidRDefault="007968EC" w:rsidP="007968EC">
      <w:pPr>
        <w:autoSpaceDE w:val="0"/>
        <w:autoSpaceDN w:val="0"/>
        <w:adjustRightInd w:val="0"/>
        <w:jc w:val="both"/>
        <w:rPr>
          <w:rFonts w:ascii="Arial Narrow" w:hAnsi="Arial Narrow" w:cs="Arial"/>
          <w:color w:val="000000" w:themeColor="text1"/>
          <w:lang w:eastAsia="es-ES"/>
        </w:rPr>
      </w:pPr>
    </w:p>
    <w:p w14:paraId="000A8BFA" w14:textId="77777777" w:rsidR="007968EC" w:rsidRPr="002C0D19" w:rsidRDefault="007968EC" w:rsidP="00DA7472">
      <w:pPr>
        <w:numPr>
          <w:ilvl w:val="1"/>
          <w:numId w:val="102"/>
        </w:numPr>
        <w:autoSpaceDE w:val="0"/>
        <w:autoSpaceDN w:val="0"/>
        <w:adjustRightInd w:val="0"/>
        <w:ind w:left="851" w:hanging="425"/>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Saldo consolidado del Miembro Liquidador: </w:t>
      </w:r>
    </w:p>
    <w:p w14:paraId="2FA8AD1E" w14:textId="77777777" w:rsidR="007968EC" w:rsidRPr="002C0D19" w:rsidRDefault="007968EC" w:rsidP="007968EC">
      <w:pPr>
        <w:autoSpaceDE w:val="0"/>
        <w:autoSpaceDN w:val="0"/>
        <w:adjustRightInd w:val="0"/>
        <w:ind w:left="426"/>
        <w:rPr>
          <w:rFonts w:ascii="Arial Narrow" w:hAnsi="Arial Narrow" w:cs="Arial"/>
          <w:color w:val="000000" w:themeColor="text1"/>
          <w:lang w:eastAsia="es-CO"/>
        </w:rPr>
      </w:pPr>
    </w:p>
    <w:p w14:paraId="750633AF" w14:textId="77777777" w:rsidR="007968EC" w:rsidRPr="002C0D19" w:rsidRDefault="007968EC" w:rsidP="007968EC">
      <w:pPr>
        <w:autoSpaceDE w:val="0"/>
        <w:autoSpaceDN w:val="0"/>
        <w:adjustRightInd w:val="0"/>
        <w:ind w:left="851"/>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Se obtiene el saldo consolidado sumando los saldos resultantes en cada uno de los Segmentos en los que participe el Miembro Liquidador y restando las Garantías Individuales y Extraordinarias que dicho Miembro haya constituido a favor de la Cámara</w:t>
      </w:r>
      <w:r w:rsidRPr="002C0D19">
        <w:rPr>
          <w:rFonts w:ascii="Arial Narrow" w:hAnsi="Arial Narrow" w:cs="Arial"/>
          <w:color w:val="000000" w:themeColor="text1"/>
          <w:lang w:val="es-ES" w:eastAsia="es-ES"/>
        </w:rPr>
        <w:t xml:space="preserve">, </w:t>
      </w:r>
      <w:r w:rsidRPr="002C0D19">
        <w:rPr>
          <w:rFonts w:ascii="Arial Narrow" w:hAnsi="Arial Narrow" w:cs="Arial"/>
          <w:color w:val="000000" w:themeColor="text1"/>
          <w:lang w:eastAsia="es-ES"/>
        </w:rPr>
        <w:t>a partir</w:t>
      </w:r>
      <w:r w:rsidRPr="002C0D19">
        <w:rPr>
          <w:rFonts w:ascii="Arial Narrow" w:hAnsi="Arial Narrow" w:cs="Arial"/>
          <w:color w:val="000000" w:themeColor="text1"/>
          <w:lang w:val="es-ES" w:eastAsia="es-ES"/>
        </w:rPr>
        <w:t xml:space="preserve"> de la siguiente fórmula:</w:t>
      </w:r>
    </w:p>
    <w:p w14:paraId="09F9BB9C" w14:textId="77777777" w:rsidR="007968EC" w:rsidRPr="002C0D19" w:rsidRDefault="007968EC" w:rsidP="007968EC">
      <w:pPr>
        <w:autoSpaceDE w:val="0"/>
        <w:autoSpaceDN w:val="0"/>
        <w:adjustRightInd w:val="0"/>
        <w:ind w:left="851"/>
        <w:jc w:val="both"/>
        <w:rPr>
          <w:rFonts w:ascii="Arial Narrow" w:hAnsi="Arial Narrow" w:cs="Arial"/>
          <w:color w:val="000000" w:themeColor="text1"/>
          <w:lang w:eastAsia="es-ES"/>
        </w:rPr>
      </w:pPr>
    </w:p>
    <w:p w14:paraId="4C9F0D0A" w14:textId="77777777" w:rsidR="007968EC" w:rsidRPr="002C0D19" w:rsidRDefault="007968EC" w:rsidP="007968EC">
      <w:pPr>
        <w:autoSpaceDE w:val="0"/>
        <w:autoSpaceDN w:val="0"/>
        <w:adjustRightInd w:val="0"/>
        <w:ind w:left="851"/>
        <w:jc w:val="both"/>
        <w:rPr>
          <w:rFonts w:ascii="Arial Narrow" w:hAnsi="Arial Narrow" w:cs="Arial"/>
          <w:color w:val="000000" w:themeColor="text1"/>
          <w:sz w:val="18"/>
          <w:szCs w:val="18"/>
          <w:lang w:eastAsia="es-ES"/>
        </w:rPr>
      </w:pPr>
      <m:oMathPara>
        <m:oMath>
          <m:r>
            <m:rPr>
              <m:sty m:val="bi"/>
            </m:rPr>
            <w:rPr>
              <w:rFonts w:ascii="Cambria Math" w:hAnsi="Cambria Math" w:cs="Arial"/>
              <w:color w:val="000000" w:themeColor="text1"/>
              <w:sz w:val="18"/>
              <w:szCs w:val="18"/>
              <w:lang w:eastAsia="es-ES"/>
            </w:rPr>
            <m:t xml:space="preserve">Saldo consolidado= </m:t>
          </m:r>
          <m:nary>
            <m:naryPr>
              <m:chr m:val="∑"/>
              <m:limLoc m:val="undOvr"/>
              <m:subHide m:val="1"/>
              <m:supHide m:val="1"/>
              <m:ctrlPr>
                <w:rPr>
                  <w:rFonts w:ascii="Cambria Math" w:hAnsi="Cambria Math" w:cs="Arial"/>
                  <w:i/>
                  <w:color w:val="000000" w:themeColor="text1"/>
                  <w:sz w:val="18"/>
                  <w:szCs w:val="18"/>
                  <w:lang w:eastAsia="es-ES"/>
                </w:rPr>
              </m:ctrlPr>
            </m:naryPr>
            <m:sub/>
            <m:sup/>
            <m:e>
              <m:sSub>
                <m:sSubPr>
                  <m:ctrlPr>
                    <w:rPr>
                      <w:rFonts w:ascii="Cambria Math" w:hAnsi="Cambria Math" w:cs="Arial"/>
                      <w:i/>
                      <w:color w:val="000000" w:themeColor="text1"/>
                      <w:sz w:val="18"/>
                      <w:szCs w:val="18"/>
                      <w:lang w:eastAsia="es-ES"/>
                    </w:rPr>
                  </m:ctrlPr>
                </m:sSubPr>
                <m:e>
                  <m:r>
                    <m:rPr>
                      <m:sty m:val="bi"/>
                    </m:rPr>
                    <w:rPr>
                      <w:rFonts w:ascii="Cambria Math" w:hAnsi="Cambria Math" w:cs="Arial"/>
                      <w:color w:val="000000" w:themeColor="text1"/>
                      <w:sz w:val="18"/>
                      <w:szCs w:val="18"/>
                      <w:lang w:eastAsia="es-ES"/>
                    </w:rPr>
                    <m:t>Saldo Segmento</m:t>
                  </m:r>
                </m:e>
                <m:sub>
                  <m:r>
                    <m:rPr>
                      <m:sty m:val="bi"/>
                    </m:rPr>
                    <w:rPr>
                      <w:rFonts w:ascii="Cambria Math" w:hAnsi="Cambria Math" w:cs="Arial"/>
                      <w:color w:val="000000" w:themeColor="text1"/>
                      <w:sz w:val="18"/>
                      <w:szCs w:val="18"/>
                      <w:lang w:eastAsia="es-ES"/>
                    </w:rPr>
                    <m:t>i</m:t>
                  </m:r>
                </m:sub>
              </m:sSub>
            </m:e>
          </m:nary>
          <m:r>
            <m:rPr>
              <m:sty m:val="bi"/>
            </m:rPr>
            <w:rPr>
              <w:rFonts w:ascii="Cambria Math" w:hAnsi="Cambria Math" w:cs="Arial"/>
              <w:color w:val="000000" w:themeColor="text1"/>
              <w:sz w:val="18"/>
              <w:szCs w:val="18"/>
              <w:lang w:eastAsia="es-ES"/>
            </w:rPr>
            <m:t xml:space="preserve">- </m:t>
          </m:r>
          <m:r>
            <m:rPr>
              <m:sty m:val="bi"/>
            </m:rPr>
            <w:rPr>
              <w:rFonts w:ascii="Cambria Math" w:hAnsi="Cambria Math" w:cs="Cambria Math"/>
              <w:color w:val="000000" w:themeColor="text1"/>
              <w:sz w:val="18"/>
              <w:szCs w:val="18"/>
              <w:lang w:eastAsia="es-ES"/>
            </w:rPr>
            <m:t>G</m:t>
          </m:r>
          <m:r>
            <m:rPr>
              <m:sty m:val="bi"/>
            </m:rPr>
            <w:rPr>
              <w:rFonts w:ascii="Cambria Math" w:hAnsi="Cambria Math" w:cs="Arial"/>
              <w:color w:val="000000" w:themeColor="text1"/>
              <w:sz w:val="18"/>
              <w:szCs w:val="18"/>
              <w:lang w:eastAsia="es-ES"/>
            </w:rPr>
            <m:t>arantías Individuales-Garantías Extraordinarias</m:t>
          </m:r>
        </m:oMath>
      </m:oMathPara>
    </w:p>
    <w:p w14:paraId="0CC40969" w14:textId="77777777" w:rsidR="007968EC" w:rsidRPr="002C0D19" w:rsidRDefault="007968EC" w:rsidP="007968EC">
      <w:pPr>
        <w:autoSpaceDE w:val="0"/>
        <w:autoSpaceDN w:val="0"/>
        <w:adjustRightInd w:val="0"/>
        <w:ind w:left="851"/>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Donde: </w:t>
      </w:r>
    </w:p>
    <w:p w14:paraId="57A9AD47" w14:textId="77777777" w:rsidR="007968EC" w:rsidRPr="002C0D19" w:rsidRDefault="007968EC" w:rsidP="007968EC">
      <w:pPr>
        <w:autoSpaceDE w:val="0"/>
        <w:autoSpaceDN w:val="0"/>
        <w:adjustRightInd w:val="0"/>
        <w:ind w:left="851"/>
        <w:jc w:val="both"/>
        <w:rPr>
          <w:rFonts w:ascii="Arial Narrow" w:hAnsi="Arial Narrow" w:cs="Arial"/>
          <w:color w:val="000000" w:themeColor="text1"/>
          <w:sz w:val="18"/>
          <w:szCs w:val="18"/>
          <w:lang w:eastAsia="es-ES"/>
        </w:rPr>
      </w:pPr>
      <m:oMath>
        <m:r>
          <m:rPr>
            <m:sty m:val="bi"/>
          </m:rPr>
          <w:rPr>
            <w:rFonts w:ascii="Cambria Math" w:hAnsi="Cambria Math" w:cs="Arial"/>
            <w:color w:val="000000" w:themeColor="text1"/>
            <w:sz w:val="18"/>
            <w:szCs w:val="18"/>
            <w:lang w:eastAsia="es-ES"/>
          </w:rPr>
          <m:t xml:space="preserve">i= </m:t>
        </m:r>
      </m:oMath>
      <w:r w:rsidRPr="002C0D19">
        <w:rPr>
          <w:rFonts w:ascii="Arial Narrow" w:hAnsi="Arial Narrow" w:cs="Arial"/>
          <w:color w:val="000000" w:themeColor="text1"/>
          <w:sz w:val="18"/>
          <w:szCs w:val="18"/>
          <w:lang w:eastAsia="es-ES"/>
        </w:rPr>
        <w:t>Segmentos en los que pertenece el Miembro</w:t>
      </w:r>
    </w:p>
    <w:p w14:paraId="2369561C" w14:textId="77777777" w:rsidR="007968EC" w:rsidRPr="002C0D19" w:rsidRDefault="007968EC" w:rsidP="007968EC">
      <w:pPr>
        <w:autoSpaceDE w:val="0"/>
        <w:autoSpaceDN w:val="0"/>
        <w:adjustRightInd w:val="0"/>
        <w:ind w:left="851"/>
        <w:jc w:val="both"/>
        <w:rPr>
          <w:rFonts w:ascii="Arial Narrow" w:hAnsi="Arial Narrow" w:cs="Arial"/>
          <w:color w:val="000000" w:themeColor="text1"/>
          <w:lang w:eastAsia="es-ES"/>
        </w:rPr>
      </w:pPr>
    </w:p>
    <w:p w14:paraId="1B19376E" w14:textId="77777777" w:rsidR="007968EC" w:rsidRPr="002C0D19" w:rsidRDefault="007968EC" w:rsidP="007968EC">
      <w:pPr>
        <w:autoSpaceDE w:val="0"/>
        <w:autoSpaceDN w:val="0"/>
        <w:adjustRightInd w:val="0"/>
        <w:ind w:left="851"/>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Si el saldo consolidado es negativo, no se solicita Garantía Individual por estrés del Fondo de Garantía Colectiva. Si el saldo consolidado es positivo, se calcula el saldo definitivo por cada Segmento.</w:t>
      </w:r>
    </w:p>
    <w:p w14:paraId="317046D6" w14:textId="77777777" w:rsidR="007968EC" w:rsidRPr="002C0D19" w:rsidRDefault="007968EC" w:rsidP="007968EC">
      <w:pPr>
        <w:autoSpaceDE w:val="0"/>
        <w:autoSpaceDN w:val="0"/>
        <w:adjustRightInd w:val="0"/>
        <w:rPr>
          <w:rFonts w:ascii="Arial Narrow" w:hAnsi="Arial Narrow" w:cs="Arial"/>
          <w:color w:val="000000" w:themeColor="text1"/>
          <w:lang w:eastAsia="es-ES"/>
        </w:rPr>
      </w:pPr>
    </w:p>
    <w:p w14:paraId="3B5A4B58" w14:textId="77777777" w:rsidR="007968EC" w:rsidRPr="002C0D19" w:rsidRDefault="007968EC" w:rsidP="00DA7472">
      <w:pPr>
        <w:numPr>
          <w:ilvl w:val="1"/>
          <w:numId w:val="102"/>
        </w:numPr>
        <w:tabs>
          <w:tab w:val="left" w:pos="851"/>
        </w:tabs>
        <w:autoSpaceDE w:val="0"/>
        <w:autoSpaceDN w:val="0"/>
        <w:adjustRightInd w:val="0"/>
        <w:ind w:left="993" w:hanging="567"/>
        <w:rPr>
          <w:rFonts w:ascii="Arial Narrow" w:hAnsi="Arial Narrow" w:cs="Arial"/>
          <w:color w:val="000000" w:themeColor="text1"/>
          <w:lang w:eastAsia="es-CO"/>
        </w:rPr>
      </w:pPr>
      <w:r w:rsidRPr="002C0D19">
        <w:rPr>
          <w:rFonts w:ascii="Arial Narrow" w:hAnsi="Arial Narrow" w:cs="Arial"/>
          <w:color w:val="000000" w:themeColor="text1"/>
          <w:lang w:eastAsia="es-CO"/>
        </w:rPr>
        <w:t>Cálculo del saldo definitivo por cada Segmento:</w:t>
      </w:r>
    </w:p>
    <w:p w14:paraId="12095360" w14:textId="77777777" w:rsidR="007968EC" w:rsidRPr="002C0D19" w:rsidRDefault="007968EC" w:rsidP="007968EC">
      <w:pPr>
        <w:autoSpaceDE w:val="0"/>
        <w:autoSpaceDN w:val="0"/>
        <w:adjustRightInd w:val="0"/>
        <w:ind w:left="1065"/>
        <w:rPr>
          <w:rFonts w:ascii="Arial Narrow" w:hAnsi="Arial Narrow" w:cs="Arial"/>
          <w:color w:val="000000" w:themeColor="text1"/>
          <w:lang w:eastAsia="es-CO"/>
        </w:rPr>
      </w:pPr>
    </w:p>
    <w:p w14:paraId="0AD04CA4" w14:textId="77777777" w:rsidR="007968EC" w:rsidRPr="002C0D19" w:rsidRDefault="007968EC" w:rsidP="007968EC">
      <w:pPr>
        <w:autoSpaceDE w:val="0"/>
        <w:autoSpaceDN w:val="0"/>
        <w:adjustRightInd w:val="0"/>
        <w:ind w:left="851"/>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El saldo de aquellos Segmentos cuyo resultado sea negativo, se considera que es cero. El saldo definitivo para cada Segmento cuyo resultado sea positivo se obtiene a partir</w:t>
      </w:r>
      <w:r w:rsidRPr="002C0D19">
        <w:rPr>
          <w:rFonts w:ascii="Arial Narrow" w:hAnsi="Arial Narrow" w:cs="Arial"/>
          <w:color w:val="000000" w:themeColor="text1"/>
          <w:lang w:val="es-ES" w:eastAsia="es-ES"/>
        </w:rPr>
        <w:t xml:space="preserve"> de la siguiente fórmula</w:t>
      </w:r>
      <w:r w:rsidRPr="002C0D19">
        <w:rPr>
          <w:rFonts w:ascii="Arial Narrow" w:hAnsi="Arial Narrow" w:cs="Arial"/>
          <w:color w:val="000000" w:themeColor="text1"/>
          <w:lang w:eastAsia="es-ES"/>
        </w:rPr>
        <w:t>:</w:t>
      </w:r>
    </w:p>
    <w:p w14:paraId="7418DCFB" w14:textId="77777777" w:rsidR="007968EC" w:rsidRPr="002C0D19" w:rsidRDefault="007968EC" w:rsidP="007968EC">
      <w:pPr>
        <w:autoSpaceDE w:val="0"/>
        <w:autoSpaceDN w:val="0"/>
        <w:adjustRightInd w:val="0"/>
        <w:ind w:left="851"/>
        <w:jc w:val="both"/>
        <w:rPr>
          <w:rFonts w:ascii="Arial Narrow" w:hAnsi="Arial Narrow" w:cs="Arial"/>
          <w:bCs/>
          <w:color w:val="000000" w:themeColor="text1"/>
          <w:lang w:eastAsia="es-ES"/>
        </w:rPr>
      </w:pPr>
    </w:p>
    <w:p w14:paraId="78E28C3B" w14:textId="77777777" w:rsidR="007968EC" w:rsidRPr="002C0D19" w:rsidRDefault="007968EC" w:rsidP="007968EC">
      <w:pPr>
        <w:autoSpaceDE w:val="0"/>
        <w:autoSpaceDN w:val="0"/>
        <w:adjustRightInd w:val="0"/>
        <w:ind w:left="851"/>
        <w:jc w:val="center"/>
        <w:rPr>
          <w:rFonts w:ascii="Arial Narrow" w:hAnsi="Arial Narrow" w:cs="Arial"/>
          <w:bCs/>
          <w:color w:val="000000" w:themeColor="text1"/>
          <w:lang w:eastAsia="es-ES"/>
        </w:rPr>
      </w:pPr>
      <m:oMathPara>
        <m:oMath>
          <m:r>
            <m:rPr>
              <m:sty m:val="bi"/>
            </m:rPr>
            <w:rPr>
              <w:rFonts w:ascii="Cambria Math" w:hAnsi="Cambria Math" w:cs="Arial"/>
              <w:color w:val="000000" w:themeColor="text1"/>
              <w:sz w:val="18"/>
              <w:szCs w:val="18"/>
              <w:lang w:eastAsia="es-ES"/>
            </w:rPr>
            <m:t>Saldo definitivo del Segmento=</m:t>
          </m:r>
          <m:r>
            <m:rPr>
              <m:sty m:val="b"/>
            </m:rPr>
            <w:rPr>
              <w:rFonts w:ascii="Cambria Math" w:hAnsi="Cambria Math" w:cs="Arial"/>
              <w:color w:val="000000" w:themeColor="text1"/>
              <w:sz w:val="18"/>
              <w:szCs w:val="18"/>
              <w:lang w:eastAsia="es-ES"/>
            </w:rPr>
            <m:t>Saldo consolidado Miembro Liquidador x</m:t>
          </m:r>
          <m:f>
            <m:fPr>
              <m:ctrlPr>
                <w:rPr>
                  <w:rFonts w:ascii="Cambria Math" w:hAnsi="Cambria Math" w:cs="Arial"/>
                  <w:bCs/>
                  <w:color w:val="000000" w:themeColor="text1"/>
                  <w:sz w:val="18"/>
                  <w:szCs w:val="18"/>
                  <w:lang w:eastAsia="es-ES"/>
                </w:rPr>
              </m:ctrlPr>
            </m:fPr>
            <m:num>
              <m:r>
                <m:rPr>
                  <m:sty m:val="b"/>
                </m:rPr>
                <w:rPr>
                  <w:rFonts w:ascii="Cambria Math" w:hAnsi="Cambria Math" w:cs="Arial"/>
                  <w:color w:val="000000" w:themeColor="text1"/>
                  <w:sz w:val="18"/>
                  <w:szCs w:val="18"/>
                  <w:lang w:eastAsia="es-ES"/>
                </w:rPr>
                <m:t>Saldo positivo</m:t>
              </m:r>
            </m:num>
            <m:den>
              <m:r>
                <m:rPr>
                  <m:sty m:val="b"/>
                </m:rPr>
                <w:rPr>
                  <w:rFonts w:ascii="Cambria Math" w:hAnsi="Cambria Math" w:cs="Arial"/>
                  <w:color w:val="000000" w:themeColor="text1"/>
                  <w:sz w:val="18"/>
                  <w:szCs w:val="18"/>
                  <w:lang w:eastAsia="es-ES"/>
                </w:rPr>
                <m:t>Suma de los saldos positivos</m:t>
              </m:r>
            </m:den>
          </m:f>
        </m:oMath>
      </m:oMathPara>
    </w:p>
    <w:p w14:paraId="262AA7CD" w14:textId="77777777" w:rsidR="007968EC" w:rsidRPr="002C0D19" w:rsidRDefault="007968EC" w:rsidP="007968EC">
      <w:pPr>
        <w:autoSpaceDE w:val="0"/>
        <w:autoSpaceDN w:val="0"/>
        <w:adjustRightInd w:val="0"/>
        <w:ind w:left="851"/>
        <w:jc w:val="both"/>
        <w:rPr>
          <w:rFonts w:ascii="Arial Narrow" w:hAnsi="Arial Narrow" w:cs="Arial"/>
          <w:bCs/>
          <w:color w:val="000000" w:themeColor="text1"/>
          <w:lang w:eastAsia="es-ES"/>
        </w:rPr>
      </w:pPr>
    </w:p>
    <w:p w14:paraId="4D741A65" w14:textId="77777777" w:rsidR="007968EC" w:rsidRPr="002C0D19" w:rsidRDefault="007968EC" w:rsidP="007968EC">
      <w:pPr>
        <w:autoSpaceDE w:val="0"/>
        <w:autoSpaceDN w:val="0"/>
        <w:adjustRightInd w:val="0"/>
        <w:ind w:left="851"/>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Para cada Segmento con saldo positivo, se restan las aportaciones al Fondo de Garantía Colectiva del resto de los Miembros Liquidadores que participan en el Segmento. En el caso que el resultado sea positivo, </w:t>
      </w:r>
      <w:r w:rsidRPr="002C0D19">
        <w:rPr>
          <w:rFonts w:ascii="Arial Narrow" w:hAnsi="Arial Narrow" w:cs="Arial"/>
          <w:color w:val="000000" w:themeColor="text1"/>
          <w:lang w:val="es-ES" w:eastAsia="es-ES"/>
        </w:rPr>
        <w:t>la Cámara realiza un ajuste por dicha diferencia en Garantías Individuales al Miembro Liquidador respecto del cual se está haciendo el cálculo.</w:t>
      </w:r>
    </w:p>
    <w:p w14:paraId="7A2573FF" w14:textId="77777777" w:rsidR="007968EC" w:rsidRPr="002C0D19" w:rsidRDefault="007968EC" w:rsidP="007968EC">
      <w:pPr>
        <w:autoSpaceDE w:val="0"/>
        <w:autoSpaceDN w:val="0"/>
        <w:adjustRightInd w:val="0"/>
        <w:rPr>
          <w:rFonts w:ascii="Arial Narrow" w:hAnsi="Arial Narrow" w:cs="Arial"/>
          <w:color w:val="000000" w:themeColor="text1"/>
          <w:lang w:eastAsia="es-ES"/>
        </w:rPr>
      </w:pPr>
    </w:p>
    <w:p w14:paraId="09DFFFA4" w14:textId="77777777" w:rsidR="007968EC" w:rsidRPr="002C0D19" w:rsidRDefault="007968EC" w:rsidP="00DA7472">
      <w:pPr>
        <w:numPr>
          <w:ilvl w:val="0"/>
          <w:numId w:val="240"/>
        </w:numPr>
        <w:autoSpaceDE w:val="0"/>
        <w:autoSpaceDN w:val="0"/>
        <w:adjustRightInd w:val="0"/>
        <w:ind w:left="426" w:hanging="426"/>
        <w:jc w:val="both"/>
        <w:rPr>
          <w:rFonts w:ascii="Arial Narrow" w:hAnsi="Arial Narrow" w:cs="Arial"/>
          <w:bCs/>
          <w:color w:val="000000" w:themeColor="text1"/>
          <w:lang w:eastAsia="es-CO"/>
        </w:rPr>
      </w:pPr>
      <w:r w:rsidRPr="002C0D19">
        <w:rPr>
          <w:rFonts w:ascii="Arial Narrow" w:hAnsi="Arial Narrow" w:cs="Arial"/>
          <w:bCs/>
          <w:color w:val="000000" w:themeColor="text1"/>
          <w:lang w:eastAsia="es-CO"/>
        </w:rPr>
        <w:t>Obtención de la Garantía Individual por estrés diario del Fondo de Garantía Colectiva simulando el incumplimiento de los dos Miembros Liquidadores con mayor exposición al riesgo:</w:t>
      </w:r>
    </w:p>
    <w:p w14:paraId="715EEFBF" w14:textId="77777777" w:rsidR="007968EC" w:rsidRPr="002C0D19" w:rsidRDefault="007968EC" w:rsidP="007968EC">
      <w:pPr>
        <w:autoSpaceDE w:val="0"/>
        <w:autoSpaceDN w:val="0"/>
        <w:adjustRightInd w:val="0"/>
        <w:rPr>
          <w:rFonts w:ascii="Arial Narrow" w:hAnsi="Arial Narrow" w:cs="Arial"/>
          <w:color w:val="000000" w:themeColor="text1"/>
          <w:lang w:val="es-ES" w:eastAsia="es-ES"/>
        </w:rPr>
      </w:pPr>
    </w:p>
    <w:p w14:paraId="622062ED" w14:textId="77777777" w:rsidR="007968EC" w:rsidRPr="002C0D19" w:rsidRDefault="007968EC" w:rsidP="00DA7472">
      <w:pPr>
        <w:numPr>
          <w:ilvl w:val="0"/>
          <w:numId w:val="244"/>
        </w:numPr>
        <w:ind w:left="851" w:hanging="425"/>
        <w:contextualSpacing/>
        <w:jc w:val="both"/>
        <w:rPr>
          <w:rFonts w:ascii="Arial Narrow" w:hAnsi="Arial Narrow" w:cs="Arial"/>
          <w:color w:val="000000" w:themeColor="text1"/>
          <w:u w:val="single"/>
          <w:lang w:eastAsia="es-CO"/>
        </w:rPr>
      </w:pPr>
      <w:r w:rsidRPr="002C0D19">
        <w:rPr>
          <w:rFonts w:ascii="Arial Narrow" w:hAnsi="Arial Narrow" w:cs="Arial"/>
          <w:color w:val="000000" w:themeColor="text1"/>
          <w:lang w:val="es-ES" w:eastAsia="es-CO"/>
        </w:rPr>
        <w:t xml:space="preserve">Para cada Segmento, se toma el resultado del </w:t>
      </w:r>
      <w:r w:rsidRPr="002C0D19">
        <w:rPr>
          <w:rFonts w:ascii="Arial Narrow" w:hAnsi="Arial Narrow" w:cs="Arial"/>
          <w:color w:val="000000" w:themeColor="text1"/>
          <w:lang w:eastAsia="es-CO"/>
        </w:rPr>
        <w:t xml:space="preserve">riesgo en situación de estrés </w:t>
      </w:r>
      <w:r w:rsidRPr="002C0D19">
        <w:rPr>
          <w:rFonts w:ascii="Arial Narrow" w:hAnsi="Arial Narrow" w:cs="Arial"/>
          <w:color w:val="000000" w:themeColor="text1"/>
          <w:lang w:val="es-ES" w:eastAsia="es-CO"/>
        </w:rPr>
        <w:t xml:space="preserve">calculado en el numeral 1 para cada uno de los Miembros Liquidadores y </w:t>
      </w:r>
      <w:r w:rsidRPr="002C0D19">
        <w:rPr>
          <w:rFonts w:ascii="Arial Narrow" w:hAnsi="Arial Narrow" w:cs="Arial"/>
          <w:color w:val="000000" w:themeColor="text1"/>
          <w:lang w:eastAsia="es-CO"/>
        </w:rPr>
        <w:t>se le restan sus Garantías Individuales constituidas en dicho Segmento y su aportación total al Fondo de Garantía Colectiva de acuerdo con la siguiente fórmula:</w:t>
      </w:r>
    </w:p>
    <w:p w14:paraId="0F8017B6" w14:textId="77777777" w:rsidR="007968EC" w:rsidRPr="002C0D19" w:rsidRDefault="007968EC" w:rsidP="007968EC">
      <w:pPr>
        <w:ind w:left="1440"/>
        <w:contextualSpacing/>
        <w:jc w:val="both"/>
        <w:rPr>
          <w:rFonts w:ascii="Arial Narrow" w:hAnsi="Arial Narrow" w:cs="Arial"/>
          <w:color w:val="000000" w:themeColor="text1"/>
          <w:u w:val="single"/>
          <w:lang w:eastAsia="es-CO"/>
        </w:rPr>
      </w:pPr>
    </w:p>
    <w:p w14:paraId="401A4D07" w14:textId="77777777" w:rsidR="007968EC" w:rsidRPr="002C0D19" w:rsidRDefault="007968EC" w:rsidP="007968EC">
      <w:pPr>
        <w:autoSpaceDE w:val="0"/>
        <w:autoSpaceDN w:val="0"/>
        <w:adjustRightInd w:val="0"/>
        <w:ind w:left="851"/>
        <w:jc w:val="both"/>
        <w:rPr>
          <w:rFonts w:ascii="Arial Narrow" w:hAnsi="Arial Narrow" w:cs="Arial"/>
          <w:color w:val="000000" w:themeColor="text1"/>
          <w:sz w:val="18"/>
          <w:szCs w:val="18"/>
          <w:lang w:eastAsia="es-ES"/>
        </w:rPr>
      </w:pPr>
      <m:oMathPara>
        <m:oMath>
          <m:r>
            <m:rPr>
              <m:sty m:val="bi"/>
            </m:rPr>
            <w:rPr>
              <w:rFonts w:ascii="Cambria Math" w:hAnsi="Cambria Math" w:cs="Arial"/>
              <w:color w:val="000000" w:themeColor="text1"/>
              <w:sz w:val="18"/>
              <w:szCs w:val="18"/>
              <w:lang w:eastAsia="es-ES"/>
            </w:rPr>
            <m:t xml:space="preserve">Riesgo Miembro Liquidador = Riesgo en situación de estrés-Aportación total al Fondo de Garantía Colectiva-Parte proporcional de Garantías Individuales asignadas al Segmento </m:t>
          </m:r>
        </m:oMath>
      </m:oMathPara>
    </w:p>
    <w:p w14:paraId="4C09C9F4" w14:textId="77777777" w:rsidR="007968EC" w:rsidRPr="002C0D19" w:rsidRDefault="007968EC" w:rsidP="007968EC">
      <w:pPr>
        <w:ind w:left="1440"/>
        <w:contextualSpacing/>
        <w:jc w:val="both"/>
        <w:rPr>
          <w:rFonts w:ascii="Arial Narrow" w:hAnsi="Arial Narrow" w:cs="Arial"/>
          <w:color w:val="000000" w:themeColor="text1"/>
          <w:u w:val="single"/>
          <w:lang w:eastAsia="es-CO"/>
        </w:rPr>
      </w:pPr>
    </w:p>
    <w:p w14:paraId="2E956943" w14:textId="77777777" w:rsidR="007968EC" w:rsidRPr="002C0D19" w:rsidRDefault="007968EC" w:rsidP="00DA7472">
      <w:pPr>
        <w:numPr>
          <w:ilvl w:val="0"/>
          <w:numId w:val="244"/>
        </w:numPr>
        <w:ind w:left="851" w:hanging="425"/>
        <w:contextualSpacing/>
        <w:jc w:val="both"/>
        <w:rPr>
          <w:rFonts w:ascii="Arial Narrow" w:hAnsi="Arial Narrow" w:cs="Arial"/>
          <w:color w:val="000000" w:themeColor="text1"/>
          <w:u w:val="single"/>
          <w:lang w:eastAsia="es-CO"/>
        </w:rPr>
      </w:pPr>
      <w:r w:rsidRPr="002C0D19">
        <w:rPr>
          <w:rFonts w:ascii="Arial Narrow" w:hAnsi="Arial Narrow" w:cs="Arial"/>
          <w:color w:val="000000" w:themeColor="text1"/>
          <w:lang w:eastAsia="es-CO"/>
        </w:rPr>
        <w:t>Se suma el riesgo obtenido con la fórmula anterior correspondiente a los dos Miembros Liquidadores con mayor exposición a riesgo.</w:t>
      </w:r>
    </w:p>
    <w:p w14:paraId="34F3FE17" w14:textId="77777777" w:rsidR="007968EC" w:rsidRPr="002C0D19" w:rsidRDefault="007968EC" w:rsidP="007968EC">
      <w:pPr>
        <w:ind w:left="851"/>
        <w:contextualSpacing/>
        <w:jc w:val="both"/>
        <w:rPr>
          <w:rFonts w:ascii="Arial Narrow" w:hAnsi="Arial Narrow" w:cs="Arial"/>
          <w:color w:val="000000" w:themeColor="text1"/>
          <w:u w:val="single"/>
          <w:lang w:eastAsia="es-CO"/>
        </w:rPr>
      </w:pPr>
    </w:p>
    <w:p w14:paraId="0F678E87" w14:textId="77777777" w:rsidR="007968EC" w:rsidRPr="002C0D19" w:rsidRDefault="007968EC" w:rsidP="00DA7472">
      <w:pPr>
        <w:numPr>
          <w:ilvl w:val="0"/>
          <w:numId w:val="244"/>
        </w:numPr>
        <w:ind w:left="851" w:hanging="425"/>
        <w:contextualSpacing/>
        <w:jc w:val="both"/>
        <w:rPr>
          <w:rFonts w:ascii="Arial Narrow" w:hAnsi="Arial Narrow" w:cs="Arial"/>
          <w:color w:val="000000" w:themeColor="text1"/>
          <w:u w:val="single"/>
          <w:lang w:eastAsia="es-CO"/>
        </w:rPr>
      </w:pPr>
      <w:r w:rsidRPr="002C0D19">
        <w:rPr>
          <w:rFonts w:ascii="Arial Narrow" w:hAnsi="Arial Narrow" w:cs="Arial"/>
          <w:color w:val="000000" w:themeColor="text1"/>
          <w:lang w:eastAsia="es-CO"/>
        </w:rPr>
        <w:t xml:space="preserve">Se compara el resultado del literal b. del presente numeral contra la suma del resto de las aportaciones al Fondo de </w:t>
      </w:r>
      <w:r w:rsidRPr="002C0D19">
        <w:rPr>
          <w:rFonts w:ascii="Arial Narrow" w:hAnsi="Arial Narrow" w:cs="Arial"/>
          <w:color w:val="000000" w:themeColor="text1"/>
          <w:lang w:val="es-ES" w:eastAsia="es-CO"/>
        </w:rPr>
        <w:t>Garantía</w:t>
      </w:r>
      <w:r w:rsidRPr="002C0D19">
        <w:rPr>
          <w:rFonts w:ascii="Arial Narrow" w:hAnsi="Arial Narrow" w:cs="Arial"/>
          <w:color w:val="000000" w:themeColor="text1"/>
          <w:lang w:eastAsia="es-CO"/>
        </w:rPr>
        <w:t xml:space="preserve"> Colectiva de los demás Miembros Liquidadores. Si el resultado es positivo la Cámara realiza un ajuste de Garantías Individuales de manera proporcional a los dos Miembros Liquidadores con mayor exposición al riesgo.</w:t>
      </w:r>
    </w:p>
    <w:p w14:paraId="12D3802D" w14:textId="77777777" w:rsidR="007968EC" w:rsidRPr="002C0D19" w:rsidRDefault="007968EC" w:rsidP="007968EC">
      <w:pPr>
        <w:ind w:left="708"/>
        <w:rPr>
          <w:rFonts w:ascii="Arial Narrow" w:hAnsi="Arial Narrow" w:cs="Arial"/>
          <w:color w:val="000000" w:themeColor="text1"/>
          <w:sz w:val="21"/>
          <w:szCs w:val="21"/>
          <w:lang w:eastAsia="es-CO"/>
        </w:rPr>
      </w:pPr>
    </w:p>
    <w:p w14:paraId="56E8FB7D"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En todo caso, la Cámara compara el valor de las Garantías Individuales resultantes de los cálculos realizados en los numerales 2. y 3., y exigirá la constitución de Garantías Individuales por el ajuste de mayor valor. </w:t>
      </w:r>
    </w:p>
    <w:p w14:paraId="4304CCA4" w14:textId="77777777" w:rsidR="007968EC" w:rsidRPr="002C0D19" w:rsidRDefault="007968EC" w:rsidP="007968EC">
      <w:pPr>
        <w:jc w:val="both"/>
        <w:rPr>
          <w:rFonts w:ascii="Arial Narrow" w:hAnsi="Arial Narrow" w:cs="Arial"/>
          <w:color w:val="000000" w:themeColor="text1"/>
          <w:lang w:val="es-ES" w:eastAsia="es-CO"/>
        </w:rPr>
      </w:pPr>
    </w:p>
    <w:p w14:paraId="2A2B8E70" w14:textId="77777777" w:rsidR="007968EC" w:rsidRDefault="007968EC" w:rsidP="007968EC">
      <w:pPr>
        <w:pStyle w:val="ARTICULO0"/>
      </w:pPr>
      <w:bookmarkStart w:id="1859" w:name="_Toc472592135"/>
      <w:bookmarkStart w:id="1860" w:name="_Toc472593154"/>
      <w:bookmarkStart w:id="1861" w:name="_Toc479056940"/>
      <w:bookmarkStart w:id="1862" w:name="_Toc31715953"/>
      <w:bookmarkStart w:id="1863" w:name="_Toc470775456"/>
      <w:bookmarkStart w:id="1864" w:name="_Toc470779741"/>
      <w:bookmarkStart w:id="1865" w:name="_Toc470780358"/>
      <w:bookmarkStart w:id="1866" w:name="_Toc470780871"/>
      <w:bookmarkStart w:id="1867" w:name="_Toc470784432"/>
      <w:bookmarkStart w:id="1868" w:name="_Toc470784969"/>
      <w:bookmarkStart w:id="1869" w:name="_Toc470786992"/>
      <w:bookmarkStart w:id="1870" w:name="_Toc470791346"/>
      <w:bookmarkStart w:id="1871" w:name="_Toc490066251"/>
      <w:r w:rsidRPr="002C0D19">
        <w:t>Artículo 1.6.2.3. Generalidades sobre la determinación del valor de las Garantías por Posición.</w:t>
      </w:r>
      <w:bookmarkEnd w:id="1859"/>
      <w:bookmarkEnd w:id="1860"/>
      <w:bookmarkEnd w:id="1861"/>
      <w:bookmarkEnd w:id="1862"/>
      <w:r w:rsidRPr="002C0D19">
        <w:t xml:space="preserve"> </w:t>
      </w:r>
    </w:p>
    <w:p w14:paraId="640436E0" w14:textId="77777777" w:rsidR="007968EC" w:rsidRPr="002D772B" w:rsidRDefault="007968EC" w:rsidP="007968EC">
      <w:pPr>
        <w:jc w:val="both"/>
        <w:rPr>
          <w:rFonts w:ascii="Arial Narrow" w:hAnsi="Arial Narrow" w:cs="Arial"/>
          <w:color w:val="000000" w:themeColor="text1"/>
          <w:lang w:eastAsia="es-ES"/>
        </w:rPr>
      </w:pPr>
    </w:p>
    <w:p w14:paraId="10BA2790" w14:textId="77777777" w:rsidR="007968EC" w:rsidRPr="00074A74" w:rsidRDefault="007968EC" w:rsidP="00074A74">
      <w:pPr>
        <w:pStyle w:val="Ttulo0"/>
        <w:jc w:val="both"/>
        <w:rPr>
          <w:rStyle w:val="TtuloCar2"/>
          <w:rFonts w:ascii="Arial Narrow" w:hAnsi="Arial Narrow"/>
          <w:b/>
          <w:bCs/>
          <w:u w:val="none"/>
        </w:rPr>
      </w:pPr>
      <w:r w:rsidRPr="00074A74">
        <w:rPr>
          <w:rFonts w:ascii="Arial Narrow" w:hAnsi="Arial Narrow"/>
          <w:b/>
          <w:bCs/>
          <w:u w:val="none"/>
        </w:rPr>
        <w:t>(</w:t>
      </w:r>
      <w:r w:rsidRPr="00074A74">
        <w:rPr>
          <w:rStyle w:val="TtuloCar2"/>
          <w:rFonts w:ascii="Arial Narrow" w:hAnsi="Arial Narrow"/>
          <w:b/>
          <w:bCs/>
          <w:u w:val="none"/>
        </w:rPr>
        <w:t>Este artículo fue modificado mediante Circular 19 del 28 de diciembre de 2016, publicada en el Boletín Normativo No. 024 del 28 de diciembre de 2016</w:t>
      </w:r>
      <w:bookmarkEnd w:id="1863"/>
      <w:bookmarkEnd w:id="1864"/>
      <w:bookmarkEnd w:id="1865"/>
      <w:bookmarkEnd w:id="1866"/>
      <w:bookmarkEnd w:id="1867"/>
      <w:bookmarkEnd w:id="1868"/>
      <w:bookmarkEnd w:id="1869"/>
      <w:bookmarkEnd w:id="1870"/>
      <w:r w:rsidRPr="00074A74">
        <w:rPr>
          <w:rStyle w:val="TtuloCar2"/>
          <w:rFonts w:ascii="Arial Narrow" w:hAnsi="Arial Narrow"/>
          <w:b/>
          <w:bCs/>
          <w:u w:val="none"/>
        </w:rPr>
        <w:t xml:space="preserve"> y mediante Circular 2 del 11 de enero de 2017, publicada en el Boletín Normativo No. 002 del 11 de enero de 2017</w:t>
      </w:r>
      <w:bookmarkEnd w:id="1871"/>
      <w:r w:rsidRPr="00074A74">
        <w:rPr>
          <w:rStyle w:val="TtuloCar2"/>
          <w:rFonts w:ascii="Arial Narrow" w:hAnsi="Arial Narrow"/>
          <w:b/>
          <w:bCs/>
          <w:u w:val="none"/>
        </w:rPr>
        <w:t>, y mediante Circular 19 del 22 de noviembre de 2019, publicada en el Boletín Normativo No. 034 del 22 de noviembre de 2019. Rige a partir del 25 de noviembre de 2019).</w:t>
      </w:r>
    </w:p>
    <w:p w14:paraId="3921E9C7" w14:textId="77777777" w:rsidR="007968EC" w:rsidRPr="00217BDE" w:rsidRDefault="007968EC" w:rsidP="007968EC">
      <w:pPr>
        <w:jc w:val="both"/>
        <w:rPr>
          <w:rFonts w:ascii="Arial Narrow" w:hAnsi="Arial Narrow" w:cs="Arial"/>
          <w:bCs/>
          <w:color w:val="000000" w:themeColor="text1"/>
          <w:lang w:val="es-ES" w:eastAsia="es-ES"/>
        </w:rPr>
      </w:pPr>
    </w:p>
    <w:p w14:paraId="651243CB" w14:textId="77777777" w:rsidR="007968EC" w:rsidRPr="002C0D19" w:rsidRDefault="007968EC" w:rsidP="007968EC">
      <w:pPr>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Corresponde a los Miembros y a los Terceros constituir a favor de la Cámara la Garantía por Posición a más tardar al cierre de la Sesión de Gestión de Garantías por el valor exigido diariamente de acuerdo con el monto de las Posiciones Abiertas registradas en sus Cuentas y que son monitoreadas continuamente por la Cámara. Esta Garantía pretende cubrir el costo para la Cámara, de cerrar todas las Posiciones Abiertas registradas para cada titular de una Cuenta, en el caso de presentarse un Incumplimiento.</w:t>
      </w:r>
    </w:p>
    <w:p w14:paraId="08BFAE0C" w14:textId="77777777" w:rsidR="007968EC" w:rsidRPr="002C0D19" w:rsidRDefault="007968EC" w:rsidP="007968EC">
      <w:pPr>
        <w:jc w:val="both"/>
        <w:rPr>
          <w:rFonts w:ascii="Arial Narrow" w:hAnsi="Arial Narrow" w:cs="Arial"/>
          <w:bCs/>
          <w:color w:val="000000" w:themeColor="text1"/>
          <w:lang w:val="es-ES" w:eastAsia="es-ES"/>
        </w:rPr>
      </w:pPr>
    </w:p>
    <w:p w14:paraId="3C84BA08" w14:textId="77777777" w:rsidR="007968EC" w:rsidRPr="002C0D19" w:rsidRDefault="007968EC" w:rsidP="007968EC">
      <w:pPr>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xml:space="preserve">La Garantía por Posición se calcula a nivel de titular de cada una de las Cuentas. </w:t>
      </w:r>
    </w:p>
    <w:p w14:paraId="4AE19D2C" w14:textId="77777777" w:rsidR="007968EC" w:rsidRPr="002C0D19" w:rsidRDefault="007968EC" w:rsidP="007968EC">
      <w:pPr>
        <w:jc w:val="both"/>
        <w:rPr>
          <w:rFonts w:ascii="Arial Narrow" w:hAnsi="Arial Narrow" w:cs="Arial"/>
          <w:bCs/>
          <w:color w:val="000000" w:themeColor="text1"/>
          <w:lang w:val="es-ES" w:eastAsia="es-ES"/>
        </w:rPr>
      </w:pPr>
    </w:p>
    <w:p w14:paraId="4C5779C6" w14:textId="77777777" w:rsidR="007968EC" w:rsidRPr="002C0D19" w:rsidRDefault="007968EC" w:rsidP="007968EC">
      <w:pPr>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Cuando el Miembro sea titular de varias Cuentas de Registro de la Cuenta Propia, la Garantía por Posición podrá calcularse por la Posición neta que resulte de sumar todas las Cuentas de Registro de la Cuenta Propia.</w:t>
      </w:r>
    </w:p>
    <w:p w14:paraId="52E78422" w14:textId="77777777" w:rsidR="007968EC" w:rsidRPr="002C0D19" w:rsidRDefault="007968EC" w:rsidP="007968EC">
      <w:pPr>
        <w:jc w:val="both"/>
        <w:rPr>
          <w:rFonts w:ascii="Arial Narrow" w:hAnsi="Arial Narrow" w:cs="Arial"/>
          <w:bCs/>
          <w:color w:val="000000" w:themeColor="text1"/>
          <w:lang w:val="es-ES" w:eastAsia="es-ES"/>
        </w:rPr>
      </w:pPr>
    </w:p>
    <w:p w14:paraId="16C4F913" w14:textId="77777777" w:rsidR="007968EC" w:rsidRPr="002C0D19" w:rsidRDefault="007968EC" w:rsidP="007968EC">
      <w:pPr>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Siempre que un Miembro Liquidador participe por cuenta de Terceros, de Miembros no Liquidadores y de los Terceros de estos, será responsabilidad del Miembro Liquidador constituir dichas Garantías.</w:t>
      </w:r>
    </w:p>
    <w:p w14:paraId="1D9416E3" w14:textId="77777777" w:rsidR="007968EC" w:rsidRDefault="007968EC" w:rsidP="007968EC">
      <w:pPr>
        <w:jc w:val="both"/>
        <w:rPr>
          <w:rFonts w:ascii="Arial Narrow" w:hAnsi="Arial Narrow" w:cs="Arial"/>
          <w:bCs/>
          <w:color w:val="000000" w:themeColor="text1"/>
          <w:lang w:val="es-ES" w:eastAsia="es-ES"/>
        </w:rPr>
      </w:pPr>
    </w:p>
    <w:p w14:paraId="553EB2CB" w14:textId="77777777" w:rsidR="007968EC" w:rsidRPr="002C0D19" w:rsidRDefault="007968EC" w:rsidP="007968EC">
      <w:pPr>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xml:space="preserve">El objetivo del procedimiento de cálculo de Garantía por Posición es estimar la pérdida máxima generada a nivel de Cuenta por la toma de posiciones en </w:t>
      </w:r>
      <w:r>
        <w:rPr>
          <w:rFonts w:ascii="Arial Narrow" w:hAnsi="Arial Narrow" w:cs="Arial"/>
          <w:bCs/>
          <w:color w:val="000000" w:themeColor="text1"/>
          <w:lang w:val="es-ES" w:eastAsia="es-ES"/>
        </w:rPr>
        <w:t>las Operaciones Aceptadas</w:t>
      </w:r>
      <w:r w:rsidRPr="002C0D19">
        <w:rPr>
          <w:rFonts w:ascii="Arial Narrow" w:hAnsi="Arial Narrow" w:cs="Arial"/>
          <w:bCs/>
          <w:color w:val="000000" w:themeColor="text1"/>
          <w:lang w:val="es-ES" w:eastAsia="es-ES"/>
        </w:rPr>
        <w:t xml:space="preserve"> que compensa y liquida la Cámara en todos los Segmentos. Dicha pérdida máxima está determinada por el tamaño de la Fluctuación máxima o volatilidad en un horizonte de tiempo dedos (2) días o cinco (5) días para las Operaciones </w:t>
      </w:r>
      <w:r>
        <w:rPr>
          <w:rFonts w:ascii="Arial Narrow" w:hAnsi="Arial Narrow" w:cs="Arial"/>
          <w:bCs/>
          <w:color w:val="000000" w:themeColor="text1"/>
          <w:lang w:val="es-ES" w:eastAsia="es-ES"/>
        </w:rPr>
        <w:t>Swaps</w:t>
      </w:r>
      <w:r w:rsidRPr="002C0D19">
        <w:rPr>
          <w:rFonts w:ascii="Arial Narrow" w:hAnsi="Arial Narrow" w:cs="Arial"/>
          <w:bCs/>
          <w:color w:val="000000" w:themeColor="text1"/>
          <w:lang w:val="es-ES" w:eastAsia="es-ES"/>
        </w:rPr>
        <w:t xml:space="preserve">, el número </w:t>
      </w:r>
      <w:r w:rsidRPr="002C0D19">
        <w:rPr>
          <w:rFonts w:ascii="Arial Narrow" w:hAnsi="Arial Narrow" w:cs="Arial"/>
          <w:bCs/>
          <w:color w:val="000000" w:themeColor="text1"/>
          <w:lang w:val="es-ES" w:eastAsia="es-ES"/>
        </w:rPr>
        <w:lastRenderedPageBreak/>
        <w:t>de escenarios en los cuales se subdivide el análisis de dicha Fluctuación y las compensaciones entre posiciones contrarias para el conjunto de Vencimientos de aquellos Contratos que comparten las mismas condiciones del Activo Subyacente. En resumen, dado que cada Cuenta representa un portafolio, los diferentes escenarios de precios crean una distribución de pérdidas y ganancias</w:t>
      </w:r>
      <w:r w:rsidRPr="002C0D19">
        <w:rPr>
          <w:rFonts w:ascii="Arial Narrow" w:eastAsia="SimSun" w:hAnsi="Arial Narrow" w:cs="Arial"/>
          <w:b/>
          <w:bCs/>
          <w:color w:val="000000" w:themeColor="text1"/>
          <w:vertAlign w:val="superscript"/>
          <w:lang w:val="es-ES" w:eastAsia="es-ES"/>
        </w:rPr>
        <w:footnoteReference w:id="1"/>
      </w:r>
      <w:r w:rsidRPr="002C0D19">
        <w:rPr>
          <w:rFonts w:ascii="Arial Narrow" w:hAnsi="Arial Narrow" w:cs="Arial"/>
          <w:bCs/>
          <w:color w:val="000000" w:themeColor="text1"/>
          <w:lang w:val="es-ES" w:eastAsia="es-ES"/>
        </w:rPr>
        <w:t>.</w:t>
      </w:r>
    </w:p>
    <w:p w14:paraId="615DF5A7" w14:textId="77777777" w:rsidR="007968EC" w:rsidRPr="002C0D19" w:rsidRDefault="007968EC" w:rsidP="007968EC">
      <w:pPr>
        <w:jc w:val="both"/>
        <w:rPr>
          <w:rFonts w:ascii="Arial Narrow" w:hAnsi="Arial Narrow" w:cs="Arial"/>
          <w:bCs/>
          <w:color w:val="000000" w:themeColor="text1"/>
          <w:lang w:val="es-ES" w:eastAsia="es-ES"/>
        </w:rPr>
      </w:pPr>
    </w:p>
    <w:p w14:paraId="6CA5F4B0" w14:textId="77777777" w:rsidR="007968EC" w:rsidRDefault="007968EC" w:rsidP="007968EC">
      <w:pPr>
        <w:jc w:val="both"/>
        <w:rPr>
          <w:rFonts w:ascii="Arial Narrow" w:hAnsi="Arial Narrow" w:cs="Arial"/>
          <w:bCs/>
          <w:color w:val="000000" w:themeColor="text1"/>
          <w:lang w:val="es-ES" w:eastAsia="es-ES"/>
        </w:rPr>
      </w:pPr>
      <w:r w:rsidRPr="002C0D19">
        <w:rPr>
          <w:rFonts w:ascii="Arial Narrow" w:hAnsi="Arial Narrow" w:cs="Arial"/>
          <w:b/>
          <w:bCs/>
          <w:color w:val="000000" w:themeColor="text1"/>
          <w:lang w:val="es-ES" w:eastAsia="es-ES"/>
        </w:rPr>
        <w:t>Parágrafo</w:t>
      </w:r>
      <w:r w:rsidRPr="002C0D19">
        <w:rPr>
          <w:rFonts w:ascii="Arial Narrow" w:hAnsi="Arial Narrow" w:cs="Arial"/>
          <w:b/>
          <w:color w:val="000000" w:themeColor="text1"/>
          <w:lang w:val="es-ES" w:eastAsia="es-ES"/>
        </w:rPr>
        <w:t>.</w:t>
      </w:r>
      <w:r w:rsidRPr="002C0D19">
        <w:rPr>
          <w:rFonts w:ascii="Arial Narrow" w:hAnsi="Arial Narrow" w:cs="Arial"/>
          <w:bCs/>
          <w:color w:val="000000" w:themeColor="text1"/>
          <w:lang w:val="es-ES" w:eastAsia="es-ES"/>
        </w:rPr>
        <w:t xml:space="preserve"> Si una misma Cuenta tiene Posición Abierta en varios Segmentos, la Garantía por Posición corresponderá a la sumatoria de las pérdidas estimadas de cada Segmento.</w:t>
      </w:r>
    </w:p>
    <w:p w14:paraId="35A8E8CB" w14:textId="77777777" w:rsidR="007968EC" w:rsidRPr="002C0D19" w:rsidRDefault="007968EC" w:rsidP="007968EC">
      <w:pPr>
        <w:jc w:val="both"/>
        <w:rPr>
          <w:rFonts w:ascii="Arial Narrow" w:hAnsi="Arial Narrow" w:cs="Arial"/>
          <w:bCs/>
          <w:color w:val="000000" w:themeColor="text1"/>
          <w:lang w:val="es-ES" w:eastAsia="es-ES"/>
        </w:rPr>
      </w:pPr>
    </w:p>
    <w:p w14:paraId="2BF77A1B" w14:textId="77777777" w:rsidR="007968EC" w:rsidRPr="002C0D19" w:rsidRDefault="007968EC" w:rsidP="007968EC">
      <w:pPr>
        <w:jc w:val="both"/>
        <w:rPr>
          <w:rFonts w:ascii="Arial Narrow" w:hAnsi="Arial Narrow" w:cs="Arial"/>
          <w:i/>
          <w:iCs/>
          <w:color w:val="000000" w:themeColor="text1"/>
          <w:lang w:val="es-ES" w:eastAsia="es-ES"/>
        </w:rPr>
      </w:pPr>
    </w:p>
    <w:p w14:paraId="501426CA" w14:textId="77777777" w:rsidR="007968EC" w:rsidRDefault="007968EC" w:rsidP="007968EC">
      <w:pPr>
        <w:pStyle w:val="ARTICULO0"/>
      </w:pPr>
      <w:bookmarkStart w:id="1872" w:name="_Toc472592136"/>
      <w:bookmarkStart w:id="1873" w:name="_Toc472593155"/>
      <w:bookmarkStart w:id="1874" w:name="_Toc479056941"/>
      <w:bookmarkStart w:id="1875" w:name="_Toc31715954"/>
      <w:bookmarkStart w:id="1876" w:name="_Toc470775457"/>
      <w:bookmarkStart w:id="1877" w:name="_Toc470779742"/>
      <w:bookmarkStart w:id="1878" w:name="_Toc470780359"/>
      <w:bookmarkStart w:id="1879" w:name="_Toc470780872"/>
      <w:bookmarkStart w:id="1880" w:name="_Toc470784433"/>
      <w:bookmarkStart w:id="1881" w:name="_Toc470784970"/>
      <w:bookmarkStart w:id="1882" w:name="_Toc470786993"/>
      <w:bookmarkStart w:id="1883" w:name="_Toc470791347"/>
      <w:bookmarkStart w:id="1884" w:name="_Toc490066252"/>
      <w:r w:rsidRPr="002C0D19">
        <w:t>Artículo 1.6.2.4. Procedimiento de Cálculo de Garantías por posición según Modelo MEFFCOM2.</w:t>
      </w:r>
      <w:bookmarkEnd w:id="1872"/>
      <w:bookmarkEnd w:id="1873"/>
      <w:bookmarkEnd w:id="1874"/>
      <w:bookmarkEnd w:id="1875"/>
      <w:r w:rsidRPr="002C0D19">
        <w:t xml:space="preserve"> </w:t>
      </w:r>
    </w:p>
    <w:p w14:paraId="3020EA13" w14:textId="77777777" w:rsidR="007968EC" w:rsidRPr="002D772B" w:rsidRDefault="007968EC" w:rsidP="007968EC">
      <w:pPr>
        <w:jc w:val="both"/>
        <w:rPr>
          <w:rFonts w:ascii="Arial Narrow" w:hAnsi="Arial Narrow" w:cs="Arial"/>
          <w:color w:val="000000" w:themeColor="text1"/>
          <w:lang w:eastAsia="es-ES"/>
        </w:rPr>
      </w:pPr>
    </w:p>
    <w:p w14:paraId="79C0BACF" w14:textId="77777777" w:rsidR="007968EC" w:rsidRPr="002C0D19" w:rsidRDefault="007968EC" w:rsidP="007968EC">
      <w:pPr>
        <w:pStyle w:val="ANTECEDENTES"/>
      </w:pPr>
      <w:r w:rsidRPr="002C0D19">
        <w:t>(Este artículo fue modificado mediante Circular 2 del 12 de febrero de 2009, publicada en el Boletín Normativo No. 002 del 12 de febrero de 2009, mediante la Circular 7 del 10 de junio de 2009, publicada en el Boletín Normativo No. 008 del 10 de junio de 2009, mediante Circular 6 del 29 de marzo de 2010, publicada en el Boletín Normativo No. 008 del 29 de marzo de 2010, mediante Circular 4 del 1 de marzo de 2013, publicada en el Boletín Normativo No. 005 del 1 de marzo de 2013 y mediante Circular 22 del 14 de noviembre de 2014, publicada en el Boletín Normativo No. 025 del 14 de noviembre de 2014. Rige a part</w:t>
      </w:r>
      <w:r>
        <w:t>ir del 18 de noviembre de 2014,</w:t>
      </w:r>
      <w:r w:rsidRPr="002C0D19">
        <w:t xml:space="preserve"> modificado mediante Circular 19 del 28 de diciembre de 2016, publicada en el Boletín Normativo No. 024 del 28 de diciembre de 2016</w:t>
      </w:r>
      <w:r w:rsidRPr="00E0167E">
        <w:rPr>
          <w:lang w:val="es-ES"/>
        </w:rPr>
        <w:t xml:space="preserve"> </w:t>
      </w:r>
      <w:r>
        <w:rPr>
          <w:lang w:val="es-ES"/>
        </w:rPr>
        <w:t>y mediante Circular 7 del 9 de mayo de 2018, publicada en el Boletín Normativo No. 010 del 9 de mayo de 2018</w:t>
      </w:r>
      <w:r w:rsidRPr="002C0D19">
        <w:rPr>
          <w:lang w:val="es-ES"/>
        </w:rPr>
        <w:t xml:space="preserve">. </w:t>
      </w:r>
      <w:r w:rsidRPr="002C0D19">
        <w:t>Rige</w:t>
      </w:r>
      <w:r>
        <w:t xml:space="preserve"> a partir del 21</w:t>
      </w:r>
      <w:r w:rsidRPr="002C0D19">
        <w:t xml:space="preserve"> de </w:t>
      </w:r>
      <w:r>
        <w:t>mayo de 2018</w:t>
      </w:r>
      <w:r w:rsidRPr="002C0D19">
        <w:t>.)</w:t>
      </w:r>
      <w:bookmarkEnd w:id="1876"/>
      <w:bookmarkEnd w:id="1877"/>
      <w:bookmarkEnd w:id="1878"/>
      <w:bookmarkEnd w:id="1879"/>
      <w:bookmarkEnd w:id="1880"/>
      <w:bookmarkEnd w:id="1881"/>
      <w:bookmarkEnd w:id="1882"/>
      <w:bookmarkEnd w:id="1883"/>
      <w:bookmarkEnd w:id="1884"/>
    </w:p>
    <w:p w14:paraId="71CB8438" w14:textId="77777777" w:rsidR="007968EC" w:rsidRPr="002C0D19" w:rsidRDefault="007968EC" w:rsidP="007968EC">
      <w:pPr>
        <w:jc w:val="both"/>
        <w:rPr>
          <w:rFonts w:ascii="Arial Narrow" w:hAnsi="Arial Narrow" w:cs="Arial"/>
          <w:bCs/>
          <w:color w:val="000000" w:themeColor="text1"/>
          <w:lang w:val="es-ES" w:eastAsia="es-ES"/>
        </w:rPr>
      </w:pPr>
    </w:p>
    <w:p w14:paraId="279C3D46" w14:textId="77777777" w:rsidR="007968EC" w:rsidRDefault="007968EC" w:rsidP="007968EC">
      <w:pPr>
        <w:jc w:val="both"/>
        <w:rPr>
          <w:rFonts w:ascii="Arial Narrow" w:hAnsi="Arial Narrow"/>
          <w:bCs/>
          <w:color w:val="000000" w:themeColor="text1"/>
        </w:rPr>
      </w:pPr>
      <w:bookmarkStart w:id="1885" w:name="_Toc470775458"/>
      <w:bookmarkStart w:id="1886" w:name="_Toc470779743"/>
      <w:bookmarkStart w:id="1887" w:name="_Toc470780360"/>
      <w:bookmarkStart w:id="1888" w:name="_Toc470780873"/>
      <w:bookmarkStart w:id="1889" w:name="_Toc470784434"/>
      <w:bookmarkStart w:id="1890" w:name="_Toc470784971"/>
      <w:bookmarkStart w:id="1891" w:name="_Toc470786994"/>
      <w:bookmarkStart w:id="1892" w:name="_Toc470791348"/>
      <w:bookmarkStart w:id="1893" w:name="_Toc471831558"/>
      <w:bookmarkStart w:id="1894" w:name="_Toc490066253"/>
      <w:bookmarkStart w:id="1895" w:name="_Toc490079028"/>
      <w:r w:rsidRPr="00E0167E">
        <w:rPr>
          <w:rFonts w:ascii="Arial Narrow" w:hAnsi="Arial Narrow"/>
          <w:bCs/>
          <w:color w:val="000000" w:themeColor="text1"/>
        </w:rPr>
        <w:t>El procedimiento para el cálculo de Garantías por Posición corresponderá al que se determine en la presente Circular para cada Segmento de acuerdo con las particularidades del modelo de riesgo que se adopte para el mismo.</w:t>
      </w:r>
      <w:bookmarkEnd w:id="1885"/>
      <w:bookmarkEnd w:id="1886"/>
      <w:bookmarkEnd w:id="1887"/>
      <w:bookmarkEnd w:id="1888"/>
      <w:bookmarkEnd w:id="1889"/>
      <w:bookmarkEnd w:id="1890"/>
      <w:bookmarkEnd w:id="1891"/>
      <w:bookmarkEnd w:id="1892"/>
      <w:bookmarkEnd w:id="1893"/>
      <w:bookmarkEnd w:id="1894"/>
      <w:bookmarkEnd w:id="1895"/>
    </w:p>
    <w:p w14:paraId="2FE773AF" w14:textId="77777777" w:rsidR="007968EC" w:rsidRPr="00E0167E" w:rsidRDefault="007968EC" w:rsidP="007968EC">
      <w:pPr>
        <w:jc w:val="both"/>
        <w:rPr>
          <w:rFonts w:ascii="Arial Narrow" w:hAnsi="Arial Narrow" w:cs="Arial"/>
          <w:bCs/>
          <w:color w:val="000000" w:themeColor="text1"/>
          <w:lang w:val="es-ES" w:eastAsia="es-ES"/>
        </w:rPr>
      </w:pPr>
    </w:p>
    <w:p w14:paraId="5D4DBE77" w14:textId="77777777" w:rsidR="007968EC" w:rsidRDefault="007968EC" w:rsidP="007968EC">
      <w:pPr>
        <w:pStyle w:val="ARTICULO0"/>
      </w:pPr>
      <w:bookmarkStart w:id="1896" w:name="_Toc472592137"/>
      <w:bookmarkStart w:id="1897" w:name="_Toc472593156"/>
      <w:bookmarkStart w:id="1898" w:name="_Toc479056942"/>
      <w:bookmarkStart w:id="1899" w:name="_Toc31715955"/>
      <w:bookmarkStart w:id="1900" w:name="_Toc470775459"/>
      <w:bookmarkStart w:id="1901" w:name="_Toc470779744"/>
      <w:bookmarkStart w:id="1902" w:name="_Toc470780361"/>
      <w:bookmarkStart w:id="1903" w:name="_Toc470780874"/>
      <w:bookmarkStart w:id="1904" w:name="_Toc470784435"/>
      <w:bookmarkStart w:id="1905" w:name="_Toc470784972"/>
      <w:bookmarkStart w:id="1906" w:name="_Toc470791349"/>
      <w:bookmarkStart w:id="1907" w:name="_Toc490066254"/>
      <w:r w:rsidRPr="002C0D19">
        <w:t>Artículo 1.6.2.5. Parámetros para cálculo de Garantía por Posición.</w:t>
      </w:r>
      <w:bookmarkEnd w:id="1896"/>
      <w:bookmarkEnd w:id="1897"/>
      <w:bookmarkEnd w:id="1898"/>
      <w:bookmarkEnd w:id="1899"/>
      <w:r w:rsidRPr="002C0D19">
        <w:t xml:space="preserve"> </w:t>
      </w:r>
    </w:p>
    <w:p w14:paraId="0A90B66C" w14:textId="77777777" w:rsidR="007968EC" w:rsidRPr="002D772B" w:rsidRDefault="007968EC" w:rsidP="007968EC">
      <w:pPr>
        <w:jc w:val="both"/>
        <w:rPr>
          <w:rFonts w:ascii="Arial Narrow" w:hAnsi="Arial Narrow" w:cs="Arial"/>
          <w:color w:val="000000" w:themeColor="text1"/>
          <w:lang w:eastAsia="es-ES"/>
        </w:rPr>
      </w:pPr>
    </w:p>
    <w:p w14:paraId="6CB302E1" w14:textId="77777777" w:rsidR="007968EC" w:rsidRPr="002C0D19" w:rsidRDefault="007968EC" w:rsidP="007968EC">
      <w:pPr>
        <w:pStyle w:val="ANTECEDENTES"/>
      </w:pPr>
      <w:r w:rsidRPr="002C0D19">
        <w:t xml:space="preserve">(Fe de Erratas, Circular 4 del 13 de noviembre de 2008 publicada mediante Boletín Normativo No. 006 del 13 de noviembre de 2008. Este artículo fue modificado mediante Circular 2 del 12 de febrero de 2009, publicada en el Boletín Normativo No. 002 del 12 de febrero de 2009, mediante la Circular 7 del 10 de junio de 2009, publicada en el Boletín Normativo No. 008 del 10 de junio de 2009, mediante Circular 3 del 17 de febrero de 2010, publicada en el Boletín Normativo No. 003 del 17 de febrero de 2010, mediante Circular 5 del 8 de marzo de 2010, publicada en el Boletín Normativo No. 005 del 8 de marzo de 2010,  mediante Circular 6 del 29 de marzo de 2010, publicada en el Boletín Normativo No. 008 del 29 de marzo de 2010, mediante Circular 16 del 1 de octubre de 2010, publicada en el Boletín Normativo No. 018 del 1 de octubre de 2010, mediante Circular 18 del 25 de octubre de 2010, publicada en el Boletín Normativo No. 020 del 25 de octubre de 2010 y mediante Circular 4 del 28 de febrero de 2011, publicada en el Boletín Normativo No. 004 del 28 de febrero de 2011, mediante Circular 16 del 6 </w:t>
      </w:r>
      <w:r w:rsidRPr="002C0D19">
        <w:lastRenderedPageBreak/>
        <w:t xml:space="preserve">de septiembre de 2011, publicada en el Boletín Normativo No. 019 del 6 de septiembre de 2011, mediante Circular 18 del 29 de septiembre de 2011, publicada en el Boletín Normativo No. 021 del 29 de septiembre de 2011, mediante Circular 9 del 7 de junio de 2012, publicada en el Boletín Normativo No. 009 del 7 de junio de 2012, mediante Circular 10 del 14 de junio de 2012, publicada en el Boletín Normativo No. 010 del 14 de junio de 2012, mediante Circular 12 del 27 de junio de 2012, publicada en el Boletín Normativo No. 012 del 27 de junio de 2012, mediante Circular 6 del 15 de marzo de 2013, publicada en el Boletín Normativo No. 007 del 15 de marzo de 2013, mediante Circular 8 del 12 de abril de 2013, publicada en el Boletín Normativo No. 009 del </w:t>
      </w:r>
      <w:proofErr w:type="gramStart"/>
      <w:r w:rsidRPr="002C0D19">
        <w:t>12  de</w:t>
      </w:r>
      <w:proofErr w:type="gramEnd"/>
      <w:r w:rsidRPr="002C0D19">
        <w:t xml:space="preserve"> abril de 2013, mediante Circular 10 del 3 de mayo de 2013, publicada en el Boletín Normativo No. 011 del 3 de mayo de 2013, mediante Circular 14 del 30 de mayo de 2013, publicada en el Boletín Normativo No. 015 del 30 de mayo de 2013, mediante Circular 19 del 22 de julio de 2013, publicada en el Boletín Normativo No. 022 del 22 de julio de 2013, mediante Circular 20 del 2 de agosto de 2013, publicada en el Boletín Normativo No. 024 del 2 de agosto de 2013, mediante Circular 24 del 28 de agosto de 2013, publicada en el Boletín Normativo No. 028 del 28 de agosto de 2013, mediante Circular 26 del 12 de septiembre de 2013, publicada en el Boletín Normativo No. 030 del 12 de septiembre de 2013, mediante Circular 30 del 31 de octubre de 2013, publicada en el Boletín Normativo No. 034 del 31 de agosto de 2013, mediante Circular 7 del 21 de abril de 2014, publicada en el Boletín Normativo No. 007 del 21 de abril de 2014, mediante Circular 22 del 14 de noviembre de 2014, publicada en el Boletín Normativo No. 025 del 14 de noviembre de 2014, mediante Circular 23 del 21 de noviembre de 2014, publicada en el Boletín Normativo No. 026 del 21 de noviembre de 2014 y mediante Circular 1 del 15 de enero de 2015, publicada en el Boletín Normativo No. 001 del 15 de enero de 2015, mediante Circular 4 del 2 de febrero de 2015, publicada en el Boletín Normativo No. 004 del 2 de febrero de 2015, mediante Circular 5 del 5 de febrero de 2015, publicada en el Boletín Normativo No. 005 del 5 de febrero de 2015, mediante Circular 10 del 18 de marzo de 2015, publicada en el Boletín Normativo No. 010 del 18 de marzo de 2015, mediante Circular 21 del 13 de julio de 2015, publicada en el Boletín Normativo No. 023 del 13 de julio de 2015, mediante Circular 29 del 2 de octubre de 2015, publicada en el Boletín Normativo No. 031 del 2 de octubre de 2015, mediante Circular 31 del 9 de noviembre de 2015, publicada en el Boletín Normativo No. 034 del 9 de noviembre de 2015, mediante Circular 13 del 6 de septiembre de 2016, publicada en el Boletín Normativo No. 014 del 6 de septiembre de 2016 y mediante la Circular 16 del 9 de diciembre de 2016, publicada en el Boletín Normativo No. 020 del 9 de diciembre de 2016. Rige a partir del 12 de diciembre de 2016 y modificado mediante Circular 19 del 28 de diciembre de 2016, publicada en el Boletín Normativo No. 024 del 28 de diciembre de 2016. Rige a partir del 29 de diciembre de 2016.)</w:t>
      </w:r>
      <w:bookmarkEnd w:id="1900"/>
      <w:bookmarkEnd w:id="1901"/>
      <w:bookmarkEnd w:id="1902"/>
      <w:bookmarkEnd w:id="1903"/>
      <w:bookmarkEnd w:id="1904"/>
      <w:bookmarkEnd w:id="1905"/>
      <w:bookmarkEnd w:id="1906"/>
      <w:bookmarkEnd w:id="1907"/>
    </w:p>
    <w:p w14:paraId="2A82740A" w14:textId="77777777" w:rsidR="007968EC" w:rsidRPr="002C0D19" w:rsidRDefault="007968EC" w:rsidP="007968EC">
      <w:pPr>
        <w:jc w:val="both"/>
        <w:rPr>
          <w:rFonts w:ascii="Arial Narrow" w:hAnsi="Arial Narrow" w:cs="Arial"/>
          <w:bCs/>
          <w:color w:val="000000" w:themeColor="text1"/>
          <w:lang w:val="es-ES" w:eastAsia="es-ES"/>
        </w:rPr>
      </w:pPr>
    </w:p>
    <w:p w14:paraId="69AA78AD" w14:textId="77777777" w:rsidR="007968EC" w:rsidRPr="002C0D19" w:rsidRDefault="007968EC" w:rsidP="007968EC">
      <w:pPr>
        <w:jc w:val="both"/>
        <w:rPr>
          <w:rFonts w:ascii="Arial Narrow" w:hAnsi="Arial Narrow" w:cs="Arial"/>
          <w:bCs/>
          <w:color w:val="000000" w:themeColor="text1"/>
          <w:lang w:val="es-ES" w:eastAsia="es-ES"/>
        </w:rPr>
      </w:pPr>
      <w:bookmarkStart w:id="1908" w:name="_Toc470775460"/>
      <w:bookmarkStart w:id="1909" w:name="_Toc470779745"/>
      <w:bookmarkStart w:id="1910" w:name="_Toc470780362"/>
      <w:bookmarkStart w:id="1911" w:name="_Toc470780875"/>
      <w:bookmarkStart w:id="1912" w:name="_Toc470784436"/>
      <w:bookmarkStart w:id="1913" w:name="_Toc470784973"/>
      <w:bookmarkStart w:id="1914" w:name="_Toc470791350"/>
      <w:bookmarkStart w:id="1915" w:name="_Toc471831560"/>
      <w:bookmarkStart w:id="1916" w:name="_Toc490066255"/>
      <w:bookmarkStart w:id="1917" w:name="_Toc490079030"/>
      <w:r w:rsidRPr="002C0D19">
        <w:rPr>
          <w:rFonts w:ascii="Arial Narrow" w:hAnsi="Arial Narrow" w:cs="Arial"/>
          <w:bCs/>
          <w:color w:val="000000" w:themeColor="text1"/>
          <w:lang w:val="es-ES" w:eastAsia="es-ES"/>
        </w:rPr>
        <w:t>Los parámetros para el cálculo de la Garantía por Posición corresponderán a los definidos para cada Activo y Operación Aceptada de la que es objeto, en el respectivo Segmento al que pertenece según se establece en la presente Circular.</w:t>
      </w:r>
      <w:bookmarkEnd w:id="1908"/>
      <w:bookmarkEnd w:id="1909"/>
      <w:bookmarkEnd w:id="1910"/>
      <w:bookmarkEnd w:id="1911"/>
      <w:bookmarkEnd w:id="1912"/>
      <w:bookmarkEnd w:id="1913"/>
      <w:bookmarkEnd w:id="1914"/>
      <w:bookmarkEnd w:id="1915"/>
      <w:bookmarkEnd w:id="1916"/>
      <w:bookmarkEnd w:id="1917"/>
    </w:p>
    <w:p w14:paraId="4BE464E8" w14:textId="77777777" w:rsidR="007968EC" w:rsidRPr="002C0D19" w:rsidRDefault="007968EC" w:rsidP="007968EC">
      <w:pPr>
        <w:jc w:val="both"/>
        <w:rPr>
          <w:rFonts w:ascii="Arial Narrow" w:hAnsi="Arial Narrow" w:cs="Arial"/>
          <w:bCs/>
          <w:color w:val="000000" w:themeColor="text1"/>
          <w:lang w:val="es-ES" w:eastAsia="es-ES"/>
        </w:rPr>
      </w:pPr>
    </w:p>
    <w:p w14:paraId="13FFECE1" w14:textId="77777777" w:rsidR="007968EC" w:rsidRDefault="007968EC" w:rsidP="007968EC">
      <w:pPr>
        <w:pStyle w:val="ARTICULO0"/>
        <w:rPr>
          <w:i/>
        </w:rPr>
      </w:pPr>
      <w:bookmarkStart w:id="1918" w:name="_Toc472592138"/>
      <w:bookmarkStart w:id="1919" w:name="_Toc472593157"/>
      <w:bookmarkStart w:id="1920" w:name="_Toc479056943"/>
      <w:bookmarkStart w:id="1921" w:name="_Toc31715956"/>
      <w:bookmarkStart w:id="1922" w:name="_Toc470775461"/>
      <w:bookmarkStart w:id="1923" w:name="_Toc470779746"/>
      <w:bookmarkStart w:id="1924" w:name="_Toc470780363"/>
      <w:bookmarkStart w:id="1925" w:name="_Toc470780876"/>
      <w:bookmarkStart w:id="1926" w:name="_Toc470784437"/>
      <w:bookmarkStart w:id="1927" w:name="_Toc470784974"/>
      <w:bookmarkStart w:id="1928" w:name="_Toc470791351"/>
      <w:bookmarkStart w:id="1929" w:name="_Toc490066256"/>
      <w:r w:rsidRPr="002C0D19">
        <w:t>Artículo 1.6.2.6. Cambios en los parámetros del procedimiento de cálculo de las Garantías por Posición.</w:t>
      </w:r>
      <w:bookmarkEnd w:id="1918"/>
      <w:bookmarkEnd w:id="1919"/>
      <w:bookmarkEnd w:id="1920"/>
      <w:bookmarkEnd w:id="1921"/>
      <w:r w:rsidRPr="002C0D19">
        <w:rPr>
          <w:i/>
        </w:rPr>
        <w:t xml:space="preserve"> </w:t>
      </w:r>
    </w:p>
    <w:p w14:paraId="5C2F29FC" w14:textId="77777777" w:rsidR="007968EC" w:rsidRDefault="007968EC" w:rsidP="00074A74">
      <w:pPr>
        <w:pStyle w:val="Ttulo0"/>
      </w:pPr>
    </w:p>
    <w:p w14:paraId="186A95DF" w14:textId="77777777" w:rsidR="007968EC" w:rsidRPr="002C0D19" w:rsidRDefault="007968EC" w:rsidP="007968EC">
      <w:pPr>
        <w:pStyle w:val="ANTECEDENTES"/>
      </w:pPr>
      <w:r w:rsidRPr="002C0D19">
        <w:t>(Este artículo fue modificado mediante Circular 19 del 28 de diciembre de 2016, publicada en el Boletín Normativo No. 024 del 28 de diciembre de 2016</w:t>
      </w:r>
      <w:r w:rsidRPr="00E0167E">
        <w:rPr>
          <w:lang w:val="es-ES"/>
        </w:rPr>
        <w:t xml:space="preserve"> </w:t>
      </w:r>
      <w:r>
        <w:rPr>
          <w:lang w:val="es-ES"/>
        </w:rPr>
        <w:t>y mediante Circular 7 del 9 de mayo de 2018, publicada en el Boletín Normativo No. 010 del 9 de mayo de 2018</w:t>
      </w:r>
      <w:r w:rsidRPr="002C0D19">
        <w:rPr>
          <w:lang w:val="es-ES"/>
        </w:rPr>
        <w:t xml:space="preserve">. </w:t>
      </w:r>
      <w:r w:rsidRPr="002C0D19">
        <w:t>Rige</w:t>
      </w:r>
      <w:r>
        <w:t xml:space="preserve"> a partir del 21</w:t>
      </w:r>
      <w:r w:rsidRPr="002C0D19">
        <w:t xml:space="preserve"> de </w:t>
      </w:r>
      <w:r>
        <w:t>mayo de 2018.</w:t>
      </w:r>
      <w:r w:rsidRPr="002C0D19">
        <w:t>)</w:t>
      </w:r>
      <w:bookmarkEnd w:id="1922"/>
      <w:bookmarkEnd w:id="1923"/>
      <w:bookmarkEnd w:id="1924"/>
      <w:bookmarkEnd w:id="1925"/>
      <w:bookmarkEnd w:id="1926"/>
      <w:bookmarkEnd w:id="1927"/>
      <w:bookmarkEnd w:id="1928"/>
      <w:bookmarkEnd w:id="1929"/>
    </w:p>
    <w:p w14:paraId="4C044003" w14:textId="77777777" w:rsidR="007968EC" w:rsidRPr="002C0D19" w:rsidRDefault="007968EC" w:rsidP="007968EC">
      <w:pPr>
        <w:jc w:val="both"/>
        <w:rPr>
          <w:rFonts w:ascii="Arial Narrow" w:hAnsi="Arial Narrow" w:cs="Arial"/>
          <w:color w:val="000000" w:themeColor="text1"/>
          <w:lang w:val="es-ES" w:eastAsia="es-ES"/>
        </w:rPr>
      </w:pPr>
    </w:p>
    <w:p w14:paraId="5A188F2D" w14:textId="77777777" w:rsidR="007968EC" w:rsidRPr="00E0167E" w:rsidRDefault="007968EC" w:rsidP="007968EC">
      <w:pPr>
        <w:jc w:val="both"/>
        <w:rPr>
          <w:rFonts w:ascii="Arial Narrow" w:hAnsi="Arial Narrow" w:cs="Arial"/>
          <w:bCs/>
          <w:color w:val="000000" w:themeColor="text1"/>
          <w:lang w:val="es-ES" w:eastAsia="es-ES"/>
        </w:rPr>
      </w:pPr>
      <w:r w:rsidRPr="00E0167E">
        <w:rPr>
          <w:rFonts w:ascii="Arial Narrow" w:hAnsi="Arial Narrow" w:cs="Arial"/>
          <w:bCs/>
          <w:color w:val="000000" w:themeColor="text1"/>
          <w:lang w:val="es-ES" w:eastAsia="es-ES"/>
        </w:rPr>
        <w:t xml:space="preserve">Todos los parámetros que componen el modelo de riesgo de la Cámara serán revisados cada semana o con la periodicidad que se establezca en un Segmento en particular, realizando pruebas de Stress </w:t>
      </w:r>
      <w:proofErr w:type="spellStart"/>
      <w:r w:rsidRPr="00E0167E">
        <w:rPr>
          <w:rFonts w:ascii="Arial Narrow" w:hAnsi="Arial Narrow" w:cs="Arial"/>
          <w:bCs/>
          <w:color w:val="000000" w:themeColor="text1"/>
          <w:lang w:val="es-ES" w:eastAsia="es-ES"/>
        </w:rPr>
        <w:t>testing</w:t>
      </w:r>
      <w:proofErr w:type="spellEnd"/>
      <w:r w:rsidRPr="00E0167E">
        <w:rPr>
          <w:rFonts w:ascii="Arial Narrow" w:hAnsi="Arial Narrow" w:cs="Arial"/>
          <w:bCs/>
          <w:color w:val="000000" w:themeColor="text1"/>
          <w:lang w:val="es-ES" w:eastAsia="es-ES"/>
        </w:rPr>
        <w:t xml:space="preserve"> y Back </w:t>
      </w:r>
      <w:proofErr w:type="spellStart"/>
      <w:r w:rsidRPr="00E0167E">
        <w:rPr>
          <w:rFonts w:ascii="Arial Narrow" w:hAnsi="Arial Narrow" w:cs="Arial"/>
          <w:bCs/>
          <w:color w:val="000000" w:themeColor="text1"/>
          <w:lang w:val="es-ES" w:eastAsia="es-ES"/>
        </w:rPr>
        <w:t>testing</w:t>
      </w:r>
      <w:proofErr w:type="spellEnd"/>
      <w:r w:rsidRPr="00E0167E">
        <w:rPr>
          <w:rFonts w:ascii="Arial Narrow" w:hAnsi="Arial Narrow" w:cs="Arial"/>
          <w:bCs/>
          <w:color w:val="000000" w:themeColor="text1"/>
          <w:lang w:val="es-ES" w:eastAsia="es-ES"/>
        </w:rPr>
        <w:t>. Estos serán evaluados por el Comité de Riesgos por lo menos una vez cada trimestre en condiciones normales del mercado. Las metodologías utilizadas para la estimación de los parámetros serán revisadas por lo menos una vez por año.</w:t>
      </w:r>
    </w:p>
    <w:p w14:paraId="7B399440" w14:textId="77777777" w:rsidR="007968EC" w:rsidRPr="00E0167E" w:rsidRDefault="007968EC" w:rsidP="007968EC">
      <w:pPr>
        <w:jc w:val="both"/>
        <w:rPr>
          <w:rFonts w:ascii="Arial Narrow" w:hAnsi="Arial Narrow" w:cs="Arial"/>
          <w:color w:val="000000" w:themeColor="text1"/>
          <w:lang w:val="es-ES" w:eastAsia="es-ES"/>
        </w:rPr>
      </w:pPr>
    </w:p>
    <w:p w14:paraId="6AF95275" w14:textId="77777777" w:rsidR="007968EC" w:rsidRPr="00E0167E" w:rsidRDefault="007968EC" w:rsidP="007968EC">
      <w:pPr>
        <w:jc w:val="both"/>
        <w:rPr>
          <w:rFonts w:ascii="Arial Narrow" w:hAnsi="Arial Narrow" w:cs="Arial"/>
          <w:color w:val="000000" w:themeColor="text1"/>
          <w:lang w:val="es-ES" w:eastAsia="es-ES"/>
        </w:rPr>
      </w:pPr>
      <w:r w:rsidRPr="00E0167E">
        <w:rPr>
          <w:rFonts w:ascii="Arial Narrow" w:hAnsi="Arial Narrow" w:cs="Arial"/>
          <w:color w:val="000000" w:themeColor="text1"/>
          <w:lang w:val="es-ES" w:eastAsia="es-ES"/>
        </w:rPr>
        <w:t>En situaciones donde se observe alta volatilidad del mercado que afecte las estimaciones de los parámetros establecidos por la Cámara, se citará al Comité de Riesgos para la revisión, evaluación y aprobación de la modificación de estos parámetros.</w:t>
      </w:r>
    </w:p>
    <w:p w14:paraId="79DD5267" w14:textId="77777777" w:rsidR="007968EC" w:rsidRPr="00E0167E" w:rsidRDefault="007968EC" w:rsidP="007968EC">
      <w:pPr>
        <w:jc w:val="both"/>
        <w:rPr>
          <w:rFonts w:ascii="Arial Narrow" w:hAnsi="Arial Narrow" w:cs="Arial"/>
          <w:color w:val="000000" w:themeColor="text1"/>
          <w:lang w:val="es-ES" w:eastAsia="es-ES"/>
        </w:rPr>
      </w:pPr>
    </w:p>
    <w:p w14:paraId="3AAF3C05" w14:textId="77777777" w:rsidR="007968EC" w:rsidRPr="002C0D19" w:rsidRDefault="007968EC" w:rsidP="007968EC">
      <w:pPr>
        <w:jc w:val="both"/>
        <w:rPr>
          <w:rFonts w:ascii="Arial Narrow" w:hAnsi="Arial Narrow" w:cs="Arial"/>
          <w:color w:val="000000" w:themeColor="text1"/>
          <w:lang w:val="es-ES" w:eastAsia="es-ES"/>
        </w:rPr>
      </w:pPr>
      <w:proofErr w:type="gramStart"/>
      <w:r w:rsidRPr="00E0167E">
        <w:rPr>
          <w:rFonts w:ascii="Arial Narrow" w:hAnsi="Arial Narrow" w:cs="Arial"/>
          <w:color w:val="000000" w:themeColor="text1"/>
          <w:lang w:val="es-ES" w:eastAsia="es-ES"/>
        </w:rPr>
        <w:t>En caso que</w:t>
      </w:r>
      <w:proofErr w:type="gramEnd"/>
      <w:r w:rsidRPr="00E0167E">
        <w:rPr>
          <w:rFonts w:ascii="Arial Narrow" w:hAnsi="Arial Narrow" w:cs="Arial"/>
          <w:color w:val="000000" w:themeColor="text1"/>
          <w:lang w:val="es-ES" w:eastAsia="es-ES"/>
        </w:rPr>
        <w:t xml:space="preserve"> se evidencie una volatilidad observada del día, que esté en el límite de fluctuación extraordinaria establecido por la Cámara por más de dos días, un comité interno integrado por el Gerente, el Subgerente de Operaciones y Riesgos y el Secretario General de la Cámara podrá realizar un ajuste a los parámetros para cálculo de Garantía por Posición para establecer los valores adecuados de riesgo que serán ejecutados inmediatamente sin previa autorización del Comité de Riesgos. La Cámara informará al Comité de Riesgos las decisiones adoptadas, en su siguiente sesión.</w:t>
      </w:r>
    </w:p>
    <w:p w14:paraId="6F9E565E" w14:textId="77777777" w:rsidR="007968EC" w:rsidRPr="002C0D19" w:rsidRDefault="007968EC" w:rsidP="007968EC">
      <w:pPr>
        <w:jc w:val="both"/>
        <w:rPr>
          <w:rFonts w:ascii="Arial Narrow" w:hAnsi="Arial Narrow" w:cs="Arial"/>
          <w:color w:val="000000" w:themeColor="text1"/>
          <w:lang w:eastAsia="es-ES"/>
        </w:rPr>
      </w:pPr>
    </w:p>
    <w:p w14:paraId="28644A16" w14:textId="77777777" w:rsidR="007968EC" w:rsidRDefault="007968EC" w:rsidP="007968EC">
      <w:pPr>
        <w:pStyle w:val="ARTICULO0"/>
      </w:pPr>
      <w:bookmarkStart w:id="1930" w:name="_Toc472592139"/>
      <w:bookmarkStart w:id="1931" w:name="_Toc472593158"/>
      <w:bookmarkStart w:id="1932" w:name="_Toc479056944"/>
      <w:bookmarkStart w:id="1933" w:name="_Toc31715957"/>
      <w:bookmarkStart w:id="1934" w:name="_Toc470775462"/>
      <w:bookmarkStart w:id="1935" w:name="_Toc470779747"/>
      <w:bookmarkStart w:id="1936" w:name="_Toc470780364"/>
      <w:bookmarkStart w:id="1937" w:name="_Toc470780877"/>
      <w:bookmarkStart w:id="1938" w:name="_Toc470784438"/>
      <w:bookmarkStart w:id="1939" w:name="_Toc470784975"/>
      <w:bookmarkStart w:id="1940" w:name="_Toc470791352"/>
      <w:bookmarkStart w:id="1941" w:name="_Toc490066257"/>
      <w:r w:rsidRPr="002C0D19">
        <w:t>Artículo 1.6.2.7. Procedimiento de cálculo de la Garantía Extraordinaria.</w:t>
      </w:r>
      <w:bookmarkEnd w:id="1930"/>
      <w:bookmarkEnd w:id="1931"/>
      <w:bookmarkEnd w:id="1932"/>
      <w:bookmarkEnd w:id="1933"/>
      <w:r w:rsidRPr="002C0D19">
        <w:t xml:space="preserve"> </w:t>
      </w:r>
    </w:p>
    <w:p w14:paraId="2A7B043C" w14:textId="77777777" w:rsidR="007968EC" w:rsidRDefault="007968EC" w:rsidP="00074A74">
      <w:pPr>
        <w:pStyle w:val="Ttulo0"/>
      </w:pPr>
    </w:p>
    <w:p w14:paraId="4C5E4E42" w14:textId="77777777" w:rsidR="007968EC" w:rsidRPr="002C0D19" w:rsidRDefault="007968EC" w:rsidP="007968EC">
      <w:pPr>
        <w:pStyle w:val="ANTECEDENTES"/>
      </w:pPr>
      <w:r w:rsidRPr="002C0D19">
        <w:t xml:space="preserve">(Este artículo fue modificado mediante Circular 5 del 8 de marzo de 2010, publicada en el Boletín Normativo No. 005 del 8 de marzo de 2010, </w:t>
      </w:r>
      <w:r w:rsidRPr="002C0D19">
        <w:rPr>
          <w:bCs/>
        </w:rPr>
        <w:t>mediante Circular 16 del 1 de octubre de 2010, publicada en el Boletín Normativo No. 018 del 1 de octubre de 2010,</w:t>
      </w:r>
      <w:r w:rsidRPr="002C0D19">
        <w:t xml:space="preserve"> mediante Circular 20 del 3 de noviembre de 2010, publicada en el Boletín Normativo No. 022 del 3 de noviembre de 2010, mediante Circular 13 del 26 de julio de 2011, publicada en el Boletín Normativo No. 016 del 26 de julio de 2011, mediante Circular 22 del 14 de noviembre de 2014, publicada en el Boletín Normativo No. 025 del 14 de noviembre de 2014, mediante Circular 19 del 28 de diciembre de 2016, publicada en el Boletín Normativo No. 0</w:t>
      </w:r>
      <w:r>
        <w:t>24 del 28 de diciembre de 2016,</w:t>
      </w:r>
      <w:r w:rsidRPr="002C0D19">
        <w:t xml:space="preserve"> mediante Circular 8 del 31 de marzo de 2017, publicada en el Boletín Normativo No. 008 del 31 de marzo de 2017</w:t>
      </w:r>
      <w:r>
        <w:t xml:space="preserve"> y mediante Circular 7 del 9 de mayo de 2018, publicada en el Boletín Normativo No. 010 del 9 de mayo de 2018</w:t>
      </w:r>
      <w:r w:rsidRPr="002C0D19">
        <w:t>. Rig</w:t>
      </w:r>
      <w:r>
        <w:t>e a partir del 21 de mayo de 2018</w:t>
      </w:r>
      <w:r w:rsidRPr="002C0D19">
        <w:t>.)</w:t>
      </w:r>
      <w:bookmarkEnd w:id="1934"/>
      <w:bookmarkEnd w:id="1935"/>
      <w:bookmarkEnd w:id="1936"/>
      <w:bookmarkEnd w:id="1937"/>
      <w:bookmarkEnd w:id="1938"/>
      <w:bookmarkEnd w:id="1939"/>
      <w:bookmarkEnd w:id="1940"/>
      <w:bookmarkEnd w:id="1941"/>
    </w:p>
    <w:p w14:paraId="58ED195C" w14:textId="77777777" w:rsidR="007968EC" w:rsidRPr="002C0D19" w:rsidRDefault="007968EC" w:rsidP="007968EC">
      <w:pPr>
        <w:jc w:val="both"/>
        <w:rPr>
          <w:rFonts w:ascii="Arial Narrow" w:hAnsi="Arial Narrow" w:cs="Arial"/>
          <w:color w:val="000000" w:themeColor="text1"/>
          <w:lang w:val="es-ES" w:eastAsia="es-ES"/>
        </w:rPr>
      </w:pPr>
    </w:p>
    <w:p w14:paraId="1AF2C108" w14:textId="77777777" w:rsidR="007968EC" w:rsidRPr="00E0167E" w:rsidRDefault="007968EC" w:rsidP="007968EC">
      <w:pPr>
        <w:jc w:val="both"/>
        <w:rPr>
          <w:rFonts w:ascii="Arial Narrow" w:hAnsi="Arial Narrow" w:cs="Arial"/>
          <w:color w:val="000000" w:themeColor="text1"/>
          <w:lang w:val="es-ES" w:eastAsia="es-ES"/>
        </w:rPr>
      </w:pPr>
      <w:r w:rsidRPr="00E0167E">
        <w:rPr>
          <w:rFonts w:ascii="Arial Narrow" w:hAnsi="Arial Narrow" w:cs="Arial"/>
          <w:color w:val="000000" w:themeColor="text1"/>
          <w:lang w:val="es-ES" w:eastAsia="es-ES"/>
        </w:rPr>
        <w:t>La Cámara podrá exigir a los Miembros y a los Terceros Garantías Extraordinarias a más tardar al cierre de la Sesión de Gestión de Garantías, por un valor adicional al de las Garantías por Posición ante circunstancias excepcionales referidas a las volatilidades de los mercados o por tratarse de Posiciones Abiertas que se estimen de alto riesgo o de Posiciones Abiertas de venta con riesgo de Incumplimiento en la Liquidación por Entrega.</w:t>
      </w:r>
    </w:p>
    <w:p w14:paraId="6DE404E1" w14:textId="77777777" w:rsidR="007968EC" w:rsidRPr="00E0167E" w:rsidRDefault="007968EC" w:rsidP="007968EC">
      <w:pPr>
        <w:jc w:val="both"/>
        <w:rPr>
          <w:rFonts w:ascii="Arial Narrow" w:hAnsi="Arial Narrow" w:cs="Arial"/>
          <w:color w:val="000000" w:themeColor="text1"/>
          <w:lang w:val="es-ES" w:eastAsia="es-ES"/>
        </w:rPr>
      </w:pPr>
    </w:p>
    <w:p w14:paraId="5F9C15AF" w14:textId="77777777" w:rsidR="007968EC" w:rsidRPr="00E0167E" w:rsidRDefault="007968EC" w:rsidP="007968EC">
      <w:pPr>
        <w:jc w:val="both"/>
        <w:rPr>
          <w:rFonts w:ascii="Arial Narrow" w:hAnsi="Arial Narrow" w:cs="Arial"/>
          <w:color w:val="000000" w:themeColor="text1"/>
          <w:lang w:val="es-ES" w:eastAsia="es-ES"/>
        </w:rPr>
      </w:pPr>
      <w:r w:rsidRPr="00E0167E">
        <w:rPr>
          <w:rFonts w:ascii="Arial Narrow" w:hAnsi="Arial Narrow" w:cs="Arial"/>
          <w:color w:val="000000" w:themeColor="text1"/>
          <w:lang w:val="es-ES" w:eastAsia="es-ES"/>
        </w:rPr>
        <w:t>La Cámara podrá exigir Garantías Extraordinarias en los siguientes eventos y con base en el procedimiento de cálculo que se indica a continuación:</w:t>
      </w:r>
    </w:p>
    <w:p w14:paraId="01F8D4C9" w14:textId="77777777" w:rsidR="007968EC" w:rsidRPr="00E0167E" w:rsidRDefault="007968EC" w:rsidP="007968EC">
      <w:pPr>
        <w:jc w:val="both"/>
        <w:rPr>
          <w:rFonts w:ascii="Arial Narrow" w:hAnsi="Arial Narrow" w:cs="Arial"/>
          <w:color w:val="000000" w:themeColor="text1"/>
          <w:lang w:val="es-ES" w:eastAsia="es-ES"/>
        </w:rPr>
      </w:pPr>
      <w:r w:rsidRPr="00E0167E">
        <w:rPr>
          <w:rFonts w:ascii="Arial Narrow" w:hAnsi="Arial Narrow" w:cs="Arial"/>
          <w:color w:val="000000" w:themeColor="text1"/>
          <w:lang w:val="es-ES" w:eastAsia="es-ES"/>
        </w:rPr>
        <w:t xml:space="preserve"> </w:t>
      </w:r>
    </w:p>
    <w:p w14:paraId="4207E050" w14:textId="77777777" w:rsidR="007968EC" w:rsidRPr="00E0167E" w:rsidRDefault="007968EC" w:rsidP="00DA7472">
      <w:pPr>
        <w:numPr>
          <w:ilvl w:val="6"/>
          <w:numId w:val="21"/>
        </w:numPr>
        <w:ind w:left="380" w:hanging="426"/>
        <w:contextualSpacing/>
        <w:jc w:val="both"/>
        <w:rPr>
          <w:rFonts w:ascii="Arial Narrow" w:hAnsi="Arial Narrow" w:cs="Arial"/>
          <w:color w:val="000000" w:themeColor="text1"/>
          <w:lang w:val="es-ES" w:eastAsia="es-ES"/>
        </w:rPr>
      </w:pPr>
      <w:r w:rsidRPr="00E0167E">
        <w:rPr>
          <w:rFonts w:ascii="Arial Narrow" w:hAnsi="Arial Narrow" w:cs="Arial"/>
          <w:color w:val="000000" w:themeColor="text1"/>
          <w:lang w:val="es-ES" w:eastAsia="es-ES"/>
        </w:rPr>
        <w:t xml:space="preserve">Volatilidades de los mercados. Variación de precios superior al parámetro de Fluctuación para llamados a Garantías Extraordinarias definido en esta Circular para cada Activo o para cada Activo objeto de una </w:t>
      </w:r>
      <w:r w:rsidRPr="00E0167E">
        <w:rPr>
          <w:rFonts w:ascii="Arial Narrow" w:hAnsi="Arial Narrow" w:cs="Arial"/>
          <w:color w:val="000000" w:themeColor="text1"/>
          <w:lang w:val="es-ES" w:eastAsia="es-ES"/>
        </w:rPr>
        <w:lastRenderedPageBreak/>
        <w:t xml:space="preserve">Operación, independiente del Segmento al que pertenezca. El procedimiento de cálculo de Garantías Extraordinarias por variación de precios corresponde al indicado para cada Segmento en la presente Circular. En este evento, la Cámara contactará al Miembro Liquidador por correo electrónico o vía telefónica y este deberá constituir la Garantía Extraordinaria en el plazo que le fije la Cámara. </w:t>
      </w:r>
    </w:p>
    <w:p w14:paraId="433526DF" w14:textId="77777777" w:rsidR="007968EC" w:rsidRPr="00E0167E" w:rsidRDefault="007968EC" w:rsidP="007968EC">
      <w:pPr>
        <w:ind w:left="380"/>
        <w:jc w:val="both"/>
        <w:rPr>
          <w:rFonts w:ascii="Arial Narrow" w:hAnsi="Arial Narrow" w:cs="Arial"/>
          <w:color w:val="000000" w:themeColor="text1"/>
          <w:lang w:val="es-ES" w:eastAsia="es-CO"/>
        </w:rPr>
      </w:pPr>
    </w:p>
    <w:p w14:paraId="69210044" w14:textId="77777777" w:rsidR="007968EC" w:rsidRPr="00E0167E" w:rsidRDefault="007968EC" w:rsidP="00DA7472">
      <w:pPr>
        <w:numPr>
          <w:ilvl w:val="6"/>
          <w:numId w:val="21"/>
        </w:numPr>
        <w:ind w:left="380" w:hanging="426"/>
        <w:contextualSpacing/>
        <w:jc w:val="both"/>
        <w:rPr>
          <w:rFonts w:ascii="Arial Narrow" w:hAnsi="Arial Narrow" w:cs="Arial"/>
          <w:color w:val="000000" w:themeColor="text1"/>
          <w:lang w:val="es-ES" w:eastAsia="es-CO"/>
        </w:rPr>
      </w:pPr>
      <w:bookmarkStart w:id="1942" w:name="_Toc470775463"/>
      <w:bookmarkStart w:id="1943" w:name="_Toc470779748"/>
      <w:bookmarkStart w:id="1944" w:name="_Toc470780365"/>
      <w:bookmarkStart w:id="1945" w:name="_Toc470780878"/>
      <w:bookmarkStart w:id="1946" w:name="_Toc470784439"/>
      <w:bookmarkStart w:id="1947" w:name="_Toc470784976"/>
      <w:bookmarkStart w:id="1948" w:name="_Toc470791353"/>
      <w:bookmarkStart w:id="1949" w:name="_Toc471831563"/>
      <w:bookmarkStart w:id="1950" w:name="_Toc490066258"/>
      <w:bookmarkStart w:id="1951" w:name="_Toc490079033"/>
      <w:r w:rsidRPr="00E0167E">
        <w:rPr>
          <w:rFonts w:ascii="Arial Narrow" w:hAnsi="Arial Narrow" w:cs="Arial"/>
          <w:color w:val="000000" w:themeColor="text1"/>
          <w:lang w:val="es-ES" w:eastAsia="es-ES"/>
        </w:rPr>
        <w:t xml:space="preserve">Posiciones Abiertas que se estimen de alto riesgo. Cuando el Miembro Liquidador </w:t>
      </w:r>
      <w:bookmarkStart w:id="1952" w:name="_Hlk512270474"/>
      <w:r w:rsidRPr="00E0167E">
        <w:rPr>
          <w:rFonts w:ascii="Arial Narrow" w:hAnsi="Arial Narrow" w:cs="Arial"/>
          <w:color w:val="000000" w:themeColor="text1"/>
          <w:lang w:val="es-ES" w:eastAsia="es-ES"/>
        </w:rPr>
        <w:t xml:space="preserve">exceda los Límites de LRI o LMC </w:t>
      </w:r>
      <w:bookmarkEnd w:id="1952"/>
      <w:r w:rsidRPr="00E0167E">
        <w:rPr>
          <w:rFonts w:ascii="Arial Narrow" w:hAnsi="Arial Narrow" w:cs="Arial"/>
          <w:color w:val="000000" w:themeColor="text1"/>
          <w:lang w:val="es-ES" w:eastAsia="es-ES"/>
        </w:rPr>
        <w:t>según los artículos 1.6.5.5. y 1.6.5.2. de la presente Circular.</w:t>
      </w:r>
      <w:bookmarkEnd w:id="1942"/>
      <w:bookmarkEnd w:id="1943"/>
      <w:bookmarkEnd w:id="1944"/>
      <w:bookmarkEnd w:id="1945"/>
      <w:bookmarkEnd w:id="1946"/>
      <w:bookmarkEnd w:id="1947"/>
      <w:bookmarkEnd w:id="1948"/>
      <w:bookmarkEnd w:id="1949"/>
      <w:bookmarkEnd w:id="1950"/>
      <w:bookmarkEnd w:id="1951"/>
      <w:r w:rsidRPr="00E0167E">
        <w:rPr>
          <w:rFonts w:ascii="Arial Narrow" w:hAnsi="Arial Narrow" w:cs="Arial"/>
          <w:color w:val="000000" w:themeColor="text1"/>
          <w:lang w:val="es-ES" w:eastAsia="es-CO"/>
        </w:rPr>
        <w:t xml:space="preserve"> </w:t>
      </w:r>
    </w:p>
    <w:p w14:paraId="321426F1" w14:textId="77777777" w:rsidR="007968EC" w:rsidRPr="00E0167E" w:rsidRDefault="007968EC" w:rsidP="007968EC">
      <w:pPr>
        <w:rPr>
          <w:rFonts w:ascii="Arial Narrow" w:hAnsi="Arial Narrow" w:cs="Arial"/>
          <w:color w:val="000000" w:themeColor="text1"/>
          <w:lang w:val="es-ES" w:eastAsia="es-CO"/>
        </w:rPr>
      </w:pPr>
    </w:p>
    <w:p w14:paraId="4A26B727" w14:textId="77777777" w:rsidR="007968EC" w:rsidRPr="00E0167E" w:rsidRDefault="007968EC" w:rsidP="00DA7472">
      <w:pPr>
        <w:numPr>
          <w:ilvl w:val="6"/>
          <w:numId w:val="21"/>
        </w:numPr>
        <w:tabs>
          <w:tab w:val="num" w:pos="426"/>
        </w:tabs>
        <w:ind w:left="426" w:hanging="472"/>
        <w:contextualSpacing/>
        <w:jc w:val="both"/>
        <w:rPr>
          <w:rFonts w:ascii="Arial Narrow" w:hAnsi="Arial Narrow" w:cs="Arial"/>
          <w:color w:val="000000" w:themeColor="text1"/>
          <w:lang w:val="es-ES" w:eastAsia="es-CO"/>
        </w:rPr>
      </w:pPr>
      <w:r w:rsidRPr="00E0167E">
        <w:rPr>
          <w:rFonts w:ascii="Arial Narrow" w:hAnsi="Arial Narrow" w:cs="Arial"/>
          <w:color w:val="000000" w:themeColor="text1"/>
          <w:lang w:val="es-ES" w:eastAsia="es-CO"/>
        </w:rPr>
        <w:t>Posiciones Abiertas de venta con riesgo de Incumplimiento en la Liquidación por Entrega. En caso de que el Miembro Liquidador exceda el LOLE según el artículo 1.6.5.7. de la presente Circular, el valor de las garantías GOLE se calculará de la siguiente forma:</w:t>
      </w:r>
    </w:p>
    <w:p w14:paraId="4A4D3792" w14:textId="77777777" w:rsidR="007968EC" w:rsidRPr="00E0167E" w:rsidRDefault="007968EC" w:rsidP="007968EC">
      <w:pPr>
        <w:contextualSpacing/>
        <w:jc w:val="both"/>
        <w:rPr>
          <w:rFonts w:ascii="Arial Narrow" w:hAnsi="Arial Narrow" w:cs="Arial"/>
          <w:color w:val="000000" w:themeColor="text1"/>
          <w:lang w:val="es-ES" w:eastAsia="es-ES"/>
        </w:rPr>
      </w:pPr>
    </w:p>
    <w:p w14:paraId="0F59C52B" w14:textId="77777777" w:rsidR="007968EC" w:rsidRPr="00E0167E" w:rsidRDefault="00682D97" w:rsidP="007968EC">
      <w:pPr>
        <w:autoSpaceDE w:val="0"/>
        <w:autoSpaceDN w:val="0"/>
        <w:jc w:val="both"/>
        <w:rPr>
          <w:rFonts w:ascii="Arial Narrow" w:hAnsi="Arial Narrow" w:cs="Arial"/>
          <w:color w:val="000000" w:themeColor="text1"/>
          <w:lang w:val="es-ES" w:eastAsia="es-ES"/>
        </w:rPr>
      </w:pPr>
      <m:oMathPara>
        <m:oMath>
          <m:sSup>
            <m:sSupPr>
              <m:ctrlPr>
                <w:rPr>
                  <w:rFonts w:ascii="Cambria Math" w:hAnsi="Cambria Math" w:cs="Arial"/>
                  <w:color w:val="000000" w:themeColor="text1"/>
                  <w:sz w:val="20"/>
                  <w:szCs w:val="20"/>
                  <w:lang w:val="es-ES" w:eastAsia="es-ES"/>
                </w:rPr>
              </m:ctrlPr>
            </m:sSupPr>
            <m:e>
              <m:r>
                <m:rPr>
                  <m:sty m:val="b"/>
                </m:rPr>
                <w:rPr>
                  <w:rFonts w:ascii="Cambria Math" w:hAnsi="Cambria Math" w:cs="Arial"/>
                  <w:color w:val="000000" w:themeColor="text1"/>
                  <w:sz w:val="20"/>
                  <w:szCs w:val="20"/>
                  <w:lang w:val="es-ES" w:eastAsia="es-ES"/>
                </w:rPr>
                <m:t>(</m:t>
              </m:r>
              <m:f>
                <m:fPr>
                  <m:ctrlPr>
                    <w:rPr>
                      <w:rFonts w:ascii="Cambria Math" w:eastAsia="Calibri" w:hAnsi="Cambria Math" w:cs="Arial"/>
                      <w:i/>
                      <w:color w:val="000000" w:themeColor="text1"/>
                      <w:sz w:val="20"/>
                      <w:szCs w:val="20"/>
                      <w:lang w:val="es-ES" w:eastAsia="es-ES"/>
                    </w:rPr>
                  </m:ctrlPr>
                </m:fPr>
                <m:num>
                  <m:r>
                    <m:rPr>
                      <m:sty m:val="bi"/>
                    </m:rPr>
                    <w:rPr>
                      <w:rFonts w:ascii="Cambria Math" w:hAnsi="Cambria Math" w:cs="Arial"/>
                      <w:color w:val="000000" w:themeColor="text1"/>
                      <w:sz w:val="20"/>
                      <w:szCs w:val="20"/>
                      <w:lang w:val="es-ES" w:eastAsia="es-ES"/>
                    </w:rPr>
                    <m:t xml:space="preserve">Obligación Latente de Entrega </m:t>
                  </m:r>
                  <m:d>
                    <m:dPr>
                      <m:ctrlPr>
                        <w:rPr>
                          <w:rFonts w:ascii="Cambria Math" w:hAnsi="Cambria Math" w:cs="Arial"/>
                          <w:i/>
                          <w:color w:val="000000" w:themeColor="text1"/>
                          <w:sz w:val="20"/>
                          <w:szCs w:val="20"/>
                          <w:lang w:val="es-ES" w:eastAsia="es-ES"/>
                        </w:rPr>
                      </m:ctrlPr>
                    </m:dPr>
                    <m:e>
                      <m:r>
                        <m:rPr>
                          <m:sty m:val="bi"/>
                        </m:rPr>
                        <w:rPr>
                          <w:rFonts w:ascii="Cambria Math" w:hAnsi="Cambria Math" w:cs="Arial"/>
                          <w:color w:val="000000" w:themeColor="text1"/>
                          <w:sz w:val="20"/>
                          <w:szCs w:val="20"/>
                          <w:lang w:val="es-ES" w:eastAsia="es-ES"/>
                        </w:rPr>
                        <m:t>OL</m:t>
                      </m:r>
                      <m:r>
                        <m:rPr>
                          <m:sty m:val="bi"/>
                        </m:rPr>
                        <w:rPr>
                          <w:rFonts w:ascii="Cambria Math" w:hAnsi="Cambria Math" w:cs="Cambria Math"/>
                          <w:color w:val="000000" w:themeColor="text1"/>
                          <w:sz w:val="20"/>
                          <w:szCs w:val="20"/>
                          <w:lang w:val="es-ES" w:eastAsia="es-ES"/>
                        </w:rPr>
                        <m:t>E</m:t>
                      </m:r>
                    </m:e>
                  </m:d>
                </m:num>
                <m:den>
                  <m:r>
                    <m:rPr>
                      <m:sty m:val="bi"/>
                    </m:rPr>
                    <w:rPr>
                      <w:rFonts w:ascii="Cambria Math" w:hAnsi="Cambria Math" w:cs="Arial"/>
                      <w:color w:val="000000" w:themeColor="text1"/>
                      <w:sz w:val="20"/>
                      <w:szCs w:val="20"/>
                      <w:lang w:val="es-ES" w:eastAsia="es-ES"/>
                    </w:rPr>
                    <m:t xml:space="preserve">Volumen Medio Diario </m:t>
                  </m:r>
                  <m:d>
                    <m:dPr>
                      <m:ctrlPr>
                        <w:rPr>
                          <w:rFonts w:ascii="Cambria Math" w:hAnsi="Cambria Math" w:cs="Arial"/>
                          <w:i/>
                          <w:color w:val="000000" w:themeColor="text1"/>
                          <w:sz w:val="20"/>
                          <w:szCs w:val="20"/>
                          <w:lang w:val="es-ES" w:eastAsia="es-ES"/>
                        </w:rPr>
                      </m:ctrlPr>
                    </m:dPr>
                    <m:e>
                      <m:r>
                        <m:rPr>
                          <m:sty m:val="bi"/>
                        </m:rPr>
                        <w:rPr>
                          <w:rFonts w:ascii="Cambria Math" w:hAnsi="Cambria Math" w:cs="Arial"/>
                          <w:color w:val="000000" w:themeColor="text1"/>
                          <w:sz w:val="20"/>
                          <w:szCs w:val="20"/>
                          <w:lang w:val="es-ES" w:eastAsia="es-ES"/>
                        </w:rPr>
                        <m:t>VMD</m:t>
                      </m:r>
                    </m:e>
                  </m:d>
                </m:den>
              </m:f>
            </m:e>
            <m:sup/>
          </m:sSup>
          <m:r>
            <m:rPr>
              <m:sty m:val="b"/>
            </m:rPr>
            <w:rPr>
              <w:rFonts w:ascii="Cambria Math" w:hAnsi="Cambria Math" w:cs="Arial"/>
              <w:color w:val="000000" w:themeColor="text1"/>
              <w:sz w:val="20"/>
              <w:szCs w:val="20"/>
              <w:lang w:val="es-ES" w:eastAsia="es-ES"/>
            </w:rPr>
            <m:t>- LOLE definido para cada instrumento) X (VMD)</m:t>
          </m:r>
        </m:oMath>
      </m:oMathPara>
    </w:p>
    <w:p w14:paraId="01EDB008" w14:textId="77777777" w:rsidR="007968EC" w:rsidRDefault="007968EC" w:rsidP="007968EC">
      <w:pPr>
        <w:autoSpaceDE w:val="0"/>
        <w:autoSpaceDN w:val="0"/>
        <w:jc w:val="both"/>
        <w:rPr>
          <w:rFonts w:ascii="Arial Narrow" w:hAnsi="Arial Narrow" w:cs="Arial"/>
          <w:color w:val="000000" w:themeColor="text1"/>
          <w:lang w:val="es-ES" w:eastAsia="es-ES"/>
        </w:rPr>
      </w:pPr>
    </w:p>
    <w:p w14:paraId="1686D93B" w14:textId="77777777" w:rsidR="007968EC" w:rsidRPr="002C0D19" w:rsidRDefault="007968EC" w:rsidP="007968EC">
      <w:pPr>
        <w:autoSpaceDE w:val="0"/>
        <w:autoSpaceDN w:val="0"/>
        <w:jc w:val="both"/>
        <w:rPr>
          <w:rFonts w:ascii="Arial Narrow" w:hAnsi="Arial Narrow" w:cs="Arial"/>
          <w:color w:val="000000" w:themeColor="text1"/>
          <w:lang w:val="es-ES" w:eastAsia="es-ES"/>
        </w:rPr>
      </w:pPr>
    </w:p>
    <w:p w14:paraId="4E487A5C" w14:textId="77777777" w:rsidR="007968EC" w:rsidRDefault="007968EC" w:rsidP="007968EC">
      <w:pPr>
        <w:pStyle w:val="ARTICULO0"/>
        <w:rPr>
          <w:bCs/>
          <w:kern w:val="32"/>
          <w:lang w:val="es-ES"/>
        </w:rPr>
      </w:pPr>
      <w:bookmarkStart w:id="1953" w:name="_Toc472592140"/>
      <w:bookmarkStart w:id="1954" w:name="_Toc472593159"/>
      <w:bookmarkStart w:id="1955" w:name="_Toc479056945"/>
      <w:bookmarkStart w:id="1956" w:name="_Toc31715958"/>
      <w:bookmarkStart w:id="1957" w:name="_Toc470775464"/>
      <w:bookmarkStart w:id="1958" w:name="_Toc470779749"/>
      <w:bookmarkStart w:id="1959" w:name="_Toc470780366"/>
      <w:bookmarkStart w:id="1960" w:name="_Toc470780879"/>
      <w:bookmarkStart w:id="1961" w:name="_Toc470784440"/>
      <w:bookmarkStart w:id="1962" w:name="_Toc470784977"/>
      <w:bookmarkStart w:id="1963" w:name="_Toc470791354"/>
      <w:bookmarkStart w:id="1964" w:name="_Toc490066259"/>
      <w:r w:rsidRPr="002C0D19">
        <w:t>Artículo 1.6.2.8. Garantías Exigidas en caso de Incumplimiento.</w:t>
      </w:r>
      <w:bookmarkEnd w:id="1953"/>
      <w:bookmarkEnd w:id="1954"/>
      <w:bookmarkEnd w:id="1955"/>
      <w:bookmarkEnd w:id="1956"/>
      <w:r w:rsidRPr="002C0D19">
        <w:rPr>
          <w:bCs/>
          <w:kern w:val="32"/>
          <w:lang w:val="es-ES"/>
        </w:rPr>
        <w:t xml:space="preserve"> </w:t>
      </w:r>
    </w:p>
    <w:p w14:paraId="4D8B08AB" w14:textId="77777777" w:rsidR="007968EC" w:rsidRDefault="007968EC" w:rsidP="00074A74">
      <w:pPr>
        <w:pStyle w:val="Ttulo0"/>
      </w:pPr>
    </w:p>
    <w:p w14:paraId="69D85B84" w14:textId="77777777" w:rsidR="007968EC" w:rsidRPr="002C0D19" w:rsidRDefault="007968EC" w:rsidP="007968EC">
      <w:pPr>
        <w:pStyle w:val="ANTECEDENTES"/>
      </w:pPr>
      <w:r w:rsidRPr="002C0D19">
        <w:t xml:space="preserve">(Este artículo fue adicionado mediante Circular 15 del 6 de junio de 2013, publicada en el Boletín Normativo No. 016 del 6 de junio de 2013. Rige a partir del 7 de junio de 2013 y renumerado mediante </w:t>
      </w:r>
      <w:r w:rsidRPr="002C0D19">
        <w:rPr>
          <w:lang w:val="es-ES"/>
        </w:rPr>
        <w:t xml:space="preserve">Circular 19 del 28 de diciembre de 2016, publicada en el Boletín Normativo No. 024 del 28 de diciembre de 2016. </w:t>
      </w:r>
      <w:r w:rsidRPr="002C0D19">
        <w:t>Rige a partir del 29 de diciembre de 2016.</w:t>
      </w:r>
      <w:r w:rsidRPr="002C0D19">
        <w:rPr>
          <w:lang w:val="es-ES"/>
        </w:rPr>
        <w:t>)</w:t>
      </w:r>
      <w:bookmarkEnd w:id="1957"/>
      <w:bookmarkEnd w:id="1958"/>
      <w:bookmarkEnd w:id="1959"/>
      <w:bookmarkEnd w:id="1960"/>
      <w:bookmarkEnd w:id="1961"/>
      <w:bookmarkEnd w:id="1962"/>
      <w:bookmarkEnd w:id="1963"/>
      <w:bookmarkEnd w:id="1964"/>
    </w:p>
    <w:p w14:paraId="2C3BB72A" w14:textId="77777777" w:rsidR="007968EC" w:rsidRPr="002C0D19" w:rsidRDefault="007968EC" w:rsidP="007968EC">
      <w:pPr>
        <w:autoSpaceDE w:val="0"/>
        <w:autoSpaceDN w:val="0"/>
        <w:jc w:val="both"/>
        <w:rPr>
          <w:rFonts w:ascii="Arial Narrow" w:hAnsi="Arial Narrow" w:cs="Arial"/>
          <w:bCs/>
          <w:color w:val="000000" w:themeColor="text1"/>
          <w:kern w:val="32"/>
          <w:u w:val="single"/>
          <w:lang w:val="es-ES" w:eastAsia="es-ES"/>
        </w:rPr>
      </w:pPr>
    </w:p>
    <w:p w14:paraId="09EE826E"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En caso de incumplimiento las Garantías Exigidas al Miembro Liquidador, sus Terceros o sus Miembros no Liquidadores y los Terceros de éstos serán aquellas que resulten de la suma de las Garantías exigidas de que trata el presente Capitulo y las Garantías constituidas en exceso por el Miembro Liquidador, sus Terceros o sus Miembros no Liquidadores y los Terceros en favor de la Cámara, las cuales estarán afectas al cumplimiento de las obligaciones asumidas frente a la CRCC S.A.</w:t>
      </w:r>
    </w:p>
    <w:p w14:paraId="1E0E63F8" w14:textId="77777777" w:rsidR="007968EC" w:rsidRPr="002C0D19" w:rsidRDefault="007968EC" w:rsidP="007968EC">
      <w:pPr>
        <w:autoSpaceDE w:val="0"/>
        <w:autoSpaceDN w:val="0"/>
        <w:jc w:val="both"/>
        <w:rPr>
          <w:rFonts w:ascii="Arial Narrow" w:hAnsi="Arial Narrow" w:cs="Arial"/>
          <w:color w:val="000000" w:themeColor="text1"/>
          <w:lang w:val="es-ES" w:eastAsia="es-ES"/>
        </w:rPr>
      </w:pPr>
    </w:p>
    <w:p w14:paraId="291DE8CD" w14:textId="77777777" w:rsidR="007968EC" w:rsidRDefault="007968EC" w:rsidP="007968EC">
      <w:pPr>
        <w:pStyle w:val="ARTICULO0"/>
        <w:rPr>
          <w:kern w:val="32"/>
          <w:lang w:val="es-ES"/>
        </w:rPr>
      </w:pPr>
      <w:bookmarkStart w:id="1965" w:name="_Toc472592141"/>
      <w:bookmarkStart w:id="1966" w:name="_Toc472593160"/>
      <w:bookmarkStart w:id="1967" w:name="_Toc479056946"/>
      <w:bookmarkStart w:id="1968" w:name="_Toc31715959"/>
      <w:bookmarkStart w:id="1969" w:name="_Toc470775465"/>
      <w:bookmarkStart w:id="1970" w:name="_Toc470779750"/>
      <w:bookmarkStart w:id="1971" w:name="_Toc470780367"/>
      <w:bookmarkStart w:id="1972" w:name="_Toc470780880"/>
      <w:bookmarkStart w:id="1973" w:name="_Toc470784441"/>
      <w:bookmarkStart w:id="1974" w:name="_Toc470784978"/>
      <w:bookmarkStart w:id="1975" w:name="_Toc470791355"/>
      <w:bookmarkStart w:id="1976" w:name="_Toc490066260"/>
      <w:r w:rsidRPr="002C0D19">
        <w:t>Artículo 1.6.2.9. Importe del Fondo de Garantía Colectiva y procedimiento para el cálculo del importe del Fondo de Garantía Colectiva para cada Segmento y de las aportaciones de los Miembros Liquidadores.</w:t>
      </w:r>
      <w:bookmarkEnd w:id="1965"/>
      <w:bookmarkEnd w:id="1966"/>
      <w:bookmarkEnd w:id="1967"/>
      <w:bookmarkEnd w:id="1968"/>
      <w:r w:rsidRPr="002C0D19">
        <w:rPr>
          <w:kern w:val="32"/>
          <w:lang w:val="es-ES"/>
        </w:rPr>
        <w:t xml:space="preserve"> </w:t>
      </w:r>
    </w:p>
    <w:p w14:paraId="7B78D3CA" w14:textId="77777777" w:rsidR="007968EC" w:rsidRPr="00615F4E" w:rsidRDefault="007968EC" w:rsidP="007968EC">
      <w:pPr>
        <w:jc w:val="both"/>
        <w:rPr>
          <w:rFonts w:ascii="Arial Narrow" w:hAnsi="Arial Narrow" w:cs="Arial"/>
          <w:color w:val="000000" w:themeColor="text1"/>
          <w:lang w:eastAsia="es-ES"/>
        </w:rPr>
      </w:pPr>
    </w:p>
    <w:p w14:paraId="6561EBFC" w14:textId="77777777" w:rsidR="007968EC" w:rsidRPr="002C0D19" w:rsidRDefault="007968EC" w:rsidP="007968EC">
      <w:pPr>
        <w:pStyle w:val="ANTECEDENTES"/>
      </w:pPr>
      <w:r w:rsidRPr="002C0D19">
        <w:rPr>
          <w:bCs/>
          <w:szCs w:val="32"/>
        </w:rPr>
        <w:t>(</w:t>
      </w:r>
      <w:r w:rsidRPr="002C0D19">
        <w:t>Este artículo fue adicionado mediante Circular 19 del 28 de diciembre de 2016, publicada en el Boletín Normativo No. 024 del 28 de diciembre de 2010</w:t>
      </w:r>
      <w:bookmarkEnd w:id="1969"/>
      <w:bookmarkEnd w:id="1970"/>
      <w:bookmarkEnd w:id="1971"/>
      <w:bookmarkEnd w:id="1972"/>
      <w:bookmarkEnd w:id="1973"/>
      <w:bookmarkEnd w:id="1974"/>
      <w:bookmarkEnd w:id="1975"/>
      <w:r>
        <w:t xml:space="preserve">, modificado </w:t>
      </w:r>
      <w:r w:rsidRPr="002C0D19">
        <w:t>mediante Circular 2 del 11 de enero de 2017, publicada en el Boletín Normativo No. 002 del 11 de enero de 2017</w:t>
      </w:r>
      <w:r>
        <w:t xml:space="preserve">, mediante Circular 18 del 15 de septiembre de 2017, publicada en el Boletín Normativo No. 019 del 15 de septiembre de 2017, mediante Circular 3 del 16 de marzo de 2018, publicada en el Boletín Normativo No. 006 del 16 de marzo de 2018, mediante Circular 1 del 15 de enero de 2019, publicada en el Boletín Normativo No.001 del 15 de enero de 2019, modificado mediante Circular 3 del 26 de febrero de 2019, publicada en el Boletín Normativo No. 008 del 26 de febrero de 2019, modificado mediante Circular 6 del 10 de abril de 2019, publicada en el Boletín Normativo No. 15 del 10 de abril de 2019 y modificado mediante </w:t>
      </w:r>
      <w:r>
        <w:lastRenderedPageBreak/>
        <w:t>Circular 1 del 10 de enero de 2020, publicada en el Boletín Normativo No. 001 del 10 de enero de 2020. Rige a partir del 13</w:t>
      </w:r>
      <w:r w:rsidRPr="002C0D19">
        <w:t xml:space="preserve"> de </w:t>
      </w:r>
      <w:r>
        <w:t>enero de 2020</w:t>
      </w:r>
      <w:r w:rsidRPr="002C0D19">
        <w:t>.)</w:t>
      </w:r>
      <w:bookmarkEnd w:id="1976"/>
    </w:p>
    <w:p w14:paraId="78A70945" w14:textId="77777777" w:rsidR="007968EC" w:rsidRPr="002C0D19" w:rsidRDefault="007968EC" w:rsidP="007968EC">
      <w:pPr>
        <w:jc w:val="both"/>
        <w:rPr>
          <w:rFonts w:ascii="Arial Narrow" w:hAnsi="Arial Narrow" w:cs="Arial"/>
          <w:bCs/>
          <w:color w:val="000000" w:themeColor="text1"/>
          <w:lang w:val="es-ES" w:eastAsia="es-ES"/>
        </w:rPr>
      </w:pPr>
    </w:p>
    <w:p w14:paraId="3B1B9D65" w14:textId="77777777" w:rsidR="007968EC" w:rsidRPr="00434C7D" w:rsidRDefault="007968EC" w:rsidP="007968EC">
      <w:pPr>
        <w:jc w:val="both"/>
        <w:rPr>
          <w:rFonts w:ascii="Arial Narrow" w:hAnsi="Arial Narrow" w:cs="Arial"/>
          <w:bCs/>
          <w:color w:val="000000" w:themeColor="text1"/>
          <w:lang w:val="es-ES" w:eastAsia="es-ES"/>
        </w:rPr>
      </w:pPr>
      <w:r w:rsidRPr="00434C7D">
        <w:rPr>
          <w:rFonts w:ascii="Arial Narrow" w:hAnsi="Arial Narrow" w:cs="Arial"/>
          <w:bCs/>
          <w:color w:val="000000" w:themeColor="text1"/>
          <w:lang w:val="es-ES" w:eastAsia="es-ES"/>
        </w:rPr>
        <w:t>De conformidad con lo establecido en el numeral 3 del artículo 2.7.6. del Reglamento de Funcionamiento, la metodología para el cálculo de los Fondos de Garantía Colectiva será la siguiente:</w:t>
      </w:r>
    </w:p>
    <w:p w14:paraId="2D71F2F3" w14:textId="77777777" w:rsidR="007968EC" w:rsidRPr="00434C7D" w:rsidRDefault="007968EC" w:rsidP="007968EC">
      <w:pPr>
        <w:jc w:val="both"/>
        <w:rPr>
          <w:rFonts w:ascii="Arial Narrow" w:hAnsi="Arial Narrow" w:cs="Arial"/>
          <w:bCs/>
          <w:color w:val="000000" w:themeColor="text1"/>
          <w:lang w:val="es-ES" w:eastAsia="es-ES"/>
        </w:rPr>
      </w:pPr>
    </w:p>
    <w:p w14:paraId="07822428" w14:textId="77777777" w:rsidR="007968EC" w:rsidRPr="00434C7D" w:rsidRDefault="007968EC" w:rsidP="00DA7472">
      <w:pPr>
        <w:numPr>
          <w:ilvl w:val="0"/>
          <w:numId w:val="246"/>
        </w:numPr>
        <w:jc w:val="both"/>
        <w:rPr>
          <w:rFonts w:ascii="Arial Narrow" w:hAnsi="Arial Narrow" w:cs="Arial"/>
          <w:bCs/>
          <w:color w:val="000000" w:themeColor="text1"/>
          <w:lang w:eastAsia="es-CO"/>
        </w:rPr>
      </w:pPr>
      <w:r w:rsidRPr="00434C7D">
        <w:rPr>
          <w:rFonts w:ascii="Arial Narrow" w:hAnsi="Arial Narrow" w:cs="Arial"/>
          <w:bCs/>
          <w:color w:val="000000" w:themeColor="text1"/>
          <w:lang w:eastAsia="es-CO"/>
        </w:rPr>
        <w:t>En primer lugar, se determinará el riesgo en situación de estrés de cada Miembro Liquidador, el cual corresponde a la suma del riesgo de su Cuenta de Registro de la Cuenta Propia, el riesgo de las Cuentas de sus Terceros y el riesgo de las Cuentas de sus Miembros No Liquidadores y de las Cuentas de los Terceros de estos, según sea el caso.</w:t>
      </w:r>
      <w:r>
        <w:rPr>
          <w:rFonts w:ascii="Arial Narrow" w:hAnsi="Arial Narrow" w:cs="Arial"/>
          <w:bCs/>
          <w:color w:val="000000" w:themeColor="text1"/>
          <w:lang w:eastAsia="es-CO"/>
        </w:rPr>
        <w:t xml:space="preserve"> </w:t>
      </w:r>
    </w:p>
    <w:p w14:paraId="26B1B7C6" w14:textId="77777777" w:rsidR="007968EC" w:rsidRPr="00434C7D" w:rsidRDefault="007968EC" w:rsidP="007968EC">
      <w:pPr>
        <w:ind w:left="720"/>
        <w:jc w:val="both"/>
        <w:rPr>
          <w:rFonts w:ascii="Arial Narrow" w:hAnsi="Arial Narrow" w:cs="Arial"/>
          <w:bCs/>
          <w:color w:val="000000" w:themeColor="text1"/>
          <w:lang w:eastAsia="es-CO"/>
        </w:rPr>
      </w:pPr>
    </w:p>
    <w:p w14:paraId="0AE3E4F9" w14:textId="77777777" w:rsidR="007968EC" w:rsidRPr="00434C7D" w:rsidRDefault="007968EC" w:rsidP="007968EC">
      <w:pPr>
        <w:ind w:left="720"/>
        <w:jc w:val="both"/>
        <w:rPr>
          <w:rFonts w:ascii="Arial Narrow" w:hAnsi="Arial Narrow" w:cs="Arial"/>
          <w:bCs/>
          <w:color w:val="000000" w:themeColor="text1"/>
          <w:lang w:eastAsia="es-CO"/>
        </w:rPr>
      </w:pPr>
      <w:r w:rsidRPr="00434C7D">
        <w:rPr>
          <w:rFonts w:ascii="Arial Narrow" w:hAnsi="Arial Narrow" w:cs="Arial"/>
          <w:bCs/>
          <w:color w:val="000000" w:themeColor="text1"/>
          <w:lang w:eastAsia="es-CO"/>
        </w:rPr>
        <w:t>Este riesgo se calculará diariamente para cada Segmento aplicando el siguiente procedimiento:</w:t>
      </w:r>
    </w:p>
    <w:p w14:paraId="63D3E737" w14:textId="77777777" w:rsidR="007968EC" w:rsidRPr="00434C7D" w:rsidRDefault="007968EC" w:rsidP="007968EC">
      <w:pPr>
        <w:ind w:left="1050"/>
        <w:jc w:val="both"/>
        <w:rPr>
          <w:rFonts w:ascii="Arial Narrow" w:hAnsi="Arial Narrow" w:cs="Arial"/>
          <w:bCs/>
          <w:color w:val="000000" w:themeColor="text1"/>
          <w:lang w:val="es-ES" w:eastAsia="es-ES"/>
        </w:rPr>
      </w:pPr>
    </w:p>
    <w:p w14:paraId="535A231D" w14:textId="77777777" w:rsidR="007968EC" w:rsidRPr="00434C7D" w:rsidRDefault="007968EC" w:rsidP="00DA7472">
      <w:pPr>
        <w:numPr>
          <w:ilvl w:val="0"/>
          <w:numId w:val="241"/>
        </w:numPr>
        <w:ind w:left="1476"/>
        <w:contextualSpacing/>
        <w:jc w:val="both"/>
        <w:rPr>
          <w:rFonts w:ascii="Arial Narrow" w:hAnsi="Arial Narrow" w:cs="Arial"/>
          <w:color w:val="000000" w:themeColor="text1"/>
          <w:lang w:val="es-ES" w:eastAsia="es-CO"/>
        </w:rPr>
      </w:pPr>
      <w:r w:rsidRPr="00434C7D">
        <w:rPr>
          <w:rFonts w:ascii="Arial Narrow" w:hAnsi="Arial Narrow" w:cs="Arial"/>
          <w:color w:val="000000" w:themeColor="text1"/>
          <w:lang w:val="es-ES" w:eastAsia="es-CO"/>
        </w:rPr>
        <w:t>Una vez la Cámara cuente con los precios de cierre de todos los Activos que compensa y liquida para cada uno de los Segmentos, se calculan los precios estresados al alza y a la baja aplicando las fluctuaciones de estrés para cada Activo, establecidas en la presente Circular.</w:t>
      </w:r>
    </w:p>
    <w:p w14:paraId="4401EC39" w14:textId="77777777" w:rsidR="007968EC" w:rsidRPr="00434C7D" w:rsidRDefault="007968EC" w:rsidP="007968EC">
      <w:pPr>
        <w:ind w:left="1476"/>
        <w:contextualSpacing/>
        <w:jc w:val="both"/>
        <w:rPr>
          <w:rFonts w:ascii="Arial Narrow" w:hAnsi="Arial Narrow" w:cs="Arial"/>
          <w:color w:val="000000" w:themeColor="text1"/>
          <w:lang w:val="es-ES" w:eastAsia="es-CO"/>
        </w:rPr>
      </w:pPr>
    </w:p>
    <w:p w14:paraId="18D014A3" w14:textId="77777777" w:rsidR="007968EC" w:rsidRPr="00434C7D" w:rsidRDefault="007968EC" w:rsidP="00DA7472">
      <w:pPr>
        <w:numPr>
          <w:ilvl w:val="0"/>
          <w:numId w:val="241"/>
        </w:numPr>
        <w:ind w:left="1476"/>
        <w:contextualSpacing/>
        <w:jc w:val="both"/>
        <w:rPr>
          <w:rFonts w:ascii="Arial Narrow" w:hAnsi="Arial Narrow" w:cs="Arial"/>
          <w:color w:val="000000" w:themeColor="text1"/>
          <w:lang w:val="es-ES" w:eastAsia="es-CO"/>
        </w:rPr>
      </w:pPr>
      <w:r w:rsidRPr="00434C7D">
        <w:rPr>
          <w:rFonts w:ascii="Arial Narrow" w:hAnsi="Arial Narrow" w:cs="Arial"/>
          <w:color w:val="000000" w:themeColor="text1"/>
          <w:lang w:val="es-ES" w:eastAsia="es-CO"/>
        </w:rPr>
        <w:t>Se valora la Posición Abierta para cada Cuenta sobre cada Activo que compensa y liquida para cada uno de los Segmentos, aplicando los precios calculados en el literal anterior, teniendo en cuenta los escenarios establecidos para cada Segmento en la presente Circular.</w:t>
      </w:r>
    </w:p>
    <w:p w14:paraId="01B46119" w14:textId="77777777" w:rsidR="007968EC" w:rsidRPr="00434C7D" w:rsidRDefault="007968EC" w:rsidP="007968EC">
      <w:pPr>
        <w:ind w:left="1050"/>
        <w:jc w:val="both"/>
        <w:rPr>
          <w:rFonts w:ascii="Arial Narrow" w:hAnsi="Arial Narrow" w:cs="Arial"/>
          <w:color w:val="000000" w:themeColor="text1"/>
          <w:lang w:val="es-ES" w:eastAsia="es-ES"/>
        </w:rPr>
      </w:pPr>
    </w:p>
    <w:p w14:paraId="7FFDB22D" w14:textId="77777777" w:rsidR="007968EC" w:rsidRPr="00434C7D" w:rsidRDefault="007968EC" w:rsidP="00DA7472">
      <w:pPr>
        <w:numPr>
          <w:ilvl w:val="0"/>
          <w:numId w:val="241"/>
        </w:numPr>
        <w:autoSpaceDE w:val="0"/>
        <w:autoSpaceDN w:val="0"/>
        <w:adjustRightInd w:val="0"/>
        <w:ind w:left="1476" w:hanging="284"/>
        <w:jc w:val="both"/>
        <w:rPr>
          <w:rFonts w:ascii="Arial Narrow" w:hAnsi="Arial Narrow" w:cs="Arial"/>
          <w:color w:val="000000" w:themeColor="text1"/>
          <w:lang w:eastAsia="es-CO"/>
        </w:rPr>
      </w:pPr>
      <w:r w:rsidRPr="00434C7D">
        <w:rPr>
          <w:rFonts w:ascii="Arial Narrow" w:hAnsi="Arial Narrow" w:cs="Arial"/>
          <w:bCs/>
          <w:color w:val="000000" w:themeColor="text1"/>
          <w:lang w:val="es-ES" w:eastAsia="es-CO"/>
        </w:rPr>
        <w:t xml:space="preserve">A la Posición Abierta valorada en cada uno de los escenarios según lo descrito en el numeral anterior, se le resta la </w:t>
      </w:r>
      <w:r w:rsidRPr="00434C7D">
        <w:rPr>
          <w:rFonts w:ascii="Arial Narrow" w:hAnsi="Arial Narrow" w:cs="Arial"/>
          <w:color w:val="000000" w:themeColor="text1"/>
          <w:lang w:val="es-ES" w:eastAsia="es-CO"/>
        </w:rPr>
        <w:t>Posición Abierta</w:t>
      </w:r>
      <w:r w:rsidRPr="00434C7D">
        <w:rPr>
          <w:rFonts w:ascii="Arial Narrow" w:hAnsi="Arial Narrow" w:cs="Arial"/>
          <w:bCs/>
          <w:color w:val="000000" w:themeColor="text1"/>
          <w:lang w:val="es-ES" w:eastAsia="es-CO"/>
        </w:rPr>
        <w:t xml:space="preserve"> valorada </w:t>
      </w:r>
      <w:r w:rsidRPr="00434C7D">
        <w:rPr>
          <w:rFonts w:ascii="Arial Narrow" w:hAnsi="Arial Narrow" w:cs="Arial"/>
          <w:color w:val="000000" w:themeColor="text1"/>
          <w:lang w:val="es-ES" w:eastAsia="es-CO"/>
        </w:rPr>
        <w:t>para cada Cuenta</w:t>
      </w:r>
      <w:r w:rsidRPr="00434C7D">
        <w:rPr>
          <w:rFonts w:ascii="Arial Narrow" w:hAnsi="Arial Narrow" w:cs="Arial"/>
          <w:bCs/>
          <w:color w:val="000000" w:themeColor="text1"/>
          <w:lang w:val="es-ES" w:eastAsia="es-CO"/>
        </w:rPr>
        <w:t xml:space="preserve"> con el precio de cierre para cada uno de los Activos</w:t>
      </w:r>
      <w:r w:rsidRPr="00434C7D">
        <w:rPr>
          <w:rFonts w:ascii="Arial Narrow" w:hAnsi="Arial Narrow" w:cs="Arial"/>
          <w:color w:val="000000" w:themeColor="text1"/>
          <w:lang w:val="es-ES" w:eastAsia="es-CO"/>
        </w:rPr>
        <w:t xml:space="preserve"> que compensa y liquida para cada uno de los Segmentos. </w:t>
      </w:r>
    </w:p>
    <w:p w14:paraId="42A96E19" w14:textId="77777777" w:rsidR="007968EC" w:rsidRPr="00434C7D" w:rsidRDefault="007968EC" w:rsidP="007968EC">
      <w:pPr>
        <w:ind w:left="1758"/>
        <w:jc w:val="both"/>
        <w:rPr>
          <w:rFonts w:ascii="Arial Narrow" w:hAnsi="Arial Narrow" w:cs="Arial"/>
          <w:color w:val="000000" w:themeColor="text1"/>
          <w:lang w:eastAsia="es-CO"/>
        </w:rPr>
      </w:pPr>
    </w:p>
    <w:p w14:paraId="78F18853" w14:textId="77777777" w:rsidR="007968EC" w:rsidRPr="00434C7D" w:rsidRDefault="007968EC" w:rsidP="00DA7472">
      <w:pPr>
        <w:numPr>
          <w:ilvl w:val="0"/>
          <w:numId w:val="241"/>
        </w:numPr>
        <w:autoSpaceDE w:val="0"/>
        <w:autoSpaceDN w:val="0"/>
        <w:adjustRightInd w:val="0"/>
        <w:ind w:left="1476" w:hanging="284"/>
        <w:jc w:val="both"/>
        <w:rPr>
          <w:rFonts w:ascii="Arial Narrow" w:hAnsi="Arial Narrow" w:cs="Arial"/>
          <w:bCs/>
          <w:color w:val="000000" w:themeColor="text1"/>
          <w:lang w:eastAsia="es-CO"/>
        </w:rPr>
      </w:pPr>
      <w:r w:rsidRPr="00434C7D">
        <w:rPr>
          <w:rFonts w:ascii="Arial Narrow" w:hAnsi="Arial Narrow" w:cs="Arial"/>
          <w:color w:val="000000" w:themeColor="text1"/>
          <w:lang w:val="es-ES" w:eastAsia="es-CO"/>
        </w:rPr>
        <w:t xml:space="preserve">Las pérdidas registradas en cada escenario se comparan con las Garantías por Posición de cada una de </w:t>
      </w:r>
      <w:r w:rsidRPr="00434C7D">
        <w:rPr>
          <w:rFonts w:ascii="Arial Narrow" w:hAnsi="Arial Narrow" w:cs="Arial"/>
          <w:bCs/>
          <w:color w:val="000000" w:themeColor="text1"/>
          <w:lang w:val="es-ES" w:eastAsia="es-CO"/>
        </w:rPr>
        <w:t>las</w:t>
      </w:r>
      <w:r w:rsidRPr="00434C7D">
        <w:rPr>
          <w:rFonts w:ascii="Arial Narrow" w:hAnsi="Arial Narrow" w:cs="Arial"/>
          <w:color w:val="000000" w:themeColor="text1"/>
          <w:lang w:val="es-ES" w:eastAsia="es-CO"/>
        </w:rPr>
        <w:t xml:space="preserve"> Cuentas, según corresponda así:</w:t>
      </w:r>
    </w:p>
    <w:p w14:paraId="6507D0C9" w14:textId="77777777" w:rsidR="007968EC" w:rsidRPr="00434C7D" w:rsidRDefault="007968EC" w:rsidP="007968EC">
      <w:pPr>
        <w:ind w:left="708"/>
        <w:jc w:val="both"/>
        <w:rPr>
          <w:rFonts w:ascii="Arial Narrow" w:hAnsi="Arial Narrow" w:cs="Arial"/>
          <w:b/>
          <w:color w:val="000000" w:themeColor="text1"/>
          <w:lang w:val="es-ES" w:eastAsia="es-CO"/>
        </w:rPr>
      </w:pPr>
    </w:p>
    <w:p w14:paraId="77E199F0" w14:textId="77777777" w:rsidR="007968EC" w:rsidRPr="00434C7D" w:rsidRDefault="007968EC" w:rsidP="00DA7472">
      <w:pPr>
        <w:numPr>
          <w:ilvl w:val="0"/>
          <w:numId w:val="304"/>
        </w:numPr>
        <w:autoSpaceDE w:val="0"/>
        <w:autoSpaceDN w:val="0"/>
        <w:adjustRightInd w:val="0"/>
        <w:contextualSpacing/>
        <w:jc w:val="both"/>
        <w:rPr>
          <w:rFonts w:ascii="Arial Narrow" w:hAnsi="Arial Narrow" w:cs="Arial"/>
          <w:bCs/>
          <w:color w:val="000000" w:themeColor="text1"/>
          <w:lang w:eastAsia="es-CO"/>
        </w:rPr>
      </w:pPr>
      <w:r w:rsidRPr="00434C7D">
        <w:rPr>
          <w:rFonts w:ascii="Arial Narrow" w:hAnsi="Arial Narrow" w:cs="Arial"/>
          <w:color w:val="000000" w:themeColor="text1"/>
          <w:lang w:eastAsia="es-CO"/>
        </w:rPr>
        <w:t>Para las Cuentas de Terceros Identificados y de los Miembros no Liquidadores, el cálculo se realizará de acuerdo con la siguiente fórmula:</w:t>
      </w:r>
    </w:p>
    <w:p w14:paraId="24DB941C" w14:textId="77777777" w:rsidR="007968EC" w:rsidRPr="00434C7D" w:rsidRDefault="007968EC" w:rsidP="007968EC">
      <w:pPr>
        <w:autoSpaceDE w:val="0"/>
        <w:autoSpaceDN w:val="0"/>
        <w:adjustRightInd w:val="0"/>
        <w:ind w:left="2484"/>
        <w:jc w:val="both"/>
        <w:rPr>
          <w:rFonts w:ascii="Arial Narrow" w:hAnsi="Arial Narrow" w:cs="Arial"/>
          <w:b/>
          <w:color w:val="000000" w:themeColor="text1"/>
          <w:lang w:eastAsia="es-CO"/>
        </w:rPr>
      </w:pPr>
    </w:p>
    <w:p w14:paraId="16CDBCD5" w14:textId="77777777" w:rsidR="007968EC" w:rsidRPr="00434C7D" w:rsidRDefault="007968EC" w:rsidP="007968EC">
      <w:pPr>
        <w:ind w:left="2124"/>
        <w:jc w:val="both"/>
        <w:rPr>
          <w:rFonts w:ascii="Arial Narrow" w:hAnsi="Arial Narrow"/>
        </w:rPr>
      </w:pPr>
      <m:oMath>
        <m:r>
          <w:rPr>
            <w:rFonts w:ascii="Cambria Math" w:hAnsi="Cambria Math"/>
          </w:rPr>
          <m:t>RSTij=PSTij-GPTITexigidas-</m:t>
        </m:r>
        <m:r>
          <m:rPr>
            <m:sty m:val="p"/>
          </m:rPr>
          <w:rPr>
            <w:rFonts w:ascii="Cambria Math" w:hAnsi="Cambria Math"/>
          </w:rPr>
          <m:t>max⁡</m:t>
        </m:r>
        <m:r>
          <w:rPr>
            <w:rFonts w:ascii="Cambria Math" w:hAnsi="Cambria Math"/>
          </w:rPr>
          <m:t>(0;GPTITconstituidas-GPTITexigidas)</m:t>
        </m:r>
      </m:oMath>
      <w:r w:rsidRPr="00434C7D">
        <w:rPr>
          <w:rFonts w:ascii="Arial Narrow" w:hAnsi="Arial Narrow"/>
        </w:rPr>
        <w:t xml:space="preserve"> </w:t>
      </w:r>
    </w:p>
    <w:p w14:paraId="6DD1F5DE" w14:textId="77777777" w:rsidR="007968EC" w:rsidRPr="00434C7D" w:rsidRDefault="007968EC" w:rsidP="00DA7472">
      <w:pPr>
        <w:numPr>
          <w:ilvl w:val="0"/>
          <w:numId w:val="304"/>
        </w:numPr>
        <w:autoSpaceDE w:val="0"/>
        <w:autoSpaceDN w:val="0"/>
        <w:adjustRightInd w:val="0"/>
        <w:ind w:left="2552" w:hanging="425"/>
        <w:contextualSpacing/>
        <w:jc w:val="both"/>
        <w:rPr>
          <w:rFonts w:ascii="Arial Narrow" w:hAnsi="Arial Narrow" w:cs="Arial"/>
          <w:color w:val="000000" w:themeColor="text1"/>
          <w:lang w:val="es-ES" w:eastAsia="es-CO"/>
        </w:rPr>
      </w:pPr>
      <w:r w:rsidRPr="00434C7D">
        <w:rPr>
          <w:rFonts w:ascii="Arial Narrow" w:hAnsi="Arial Narrow" w:cs="Arial"/>
          <w:color w:val="000000" w:themeColor="text1"/>
          <w:lang w:eastAsia="es-CO"/>
        </w:rPr>
        <w:t xml:space="preserve">Para las </w:t>
      </w:r>
      <w:r w:rsidRPr="00434C7D">
        <w:rPr>
          <w:rFonts w:ascii="Arial Narrow" w:hAnsi="Arial Narrow" w:cs="Arial"/>
          <w:bCs/>
          <w:color w:val="000000" w:themeColor="text1"/>
          <w:lang w:eastAsia="es-CO"/>
        </w:rPr>
        <w:t>Cuentas de Registro de la Cuenta Propia</w:t>
      </w:r>
      <w:r w:rsidRPr="00434C7D">
        <w:rPr>
          <w:rFonts w:ascii="Arial Narrow" w:hAnsi="Arial Narrow" w:cs="Arial"/>
          <w:color w:val="000000" w:themeColor="text1"/>
          <w:lang w:eastAsia="es-CO"/>
        </w:rPr>
        <w:t xml:space="preserve"> del Miembro Liquidador, el cálculo se realizará de acuerdo con la siguiente formula:</w:t>
      </w:r>
    </w:p>
    <w:p w14:paraId="2AD23239" w14:textId="77777777" w:rsidR="007968EC" w:rsidRPr="00434C7D" w:rsidRDefault="007968EC" w:rsidP="007968EC">
      <w:pPr>
        <w:autoSpaceDE w:val="0"/>
        <w:autoSpaceDN w:val="0"/>
        <w:adjustRightInd w:val="0"/>
        <w:ind w:left="708"/>
        <w:jc w:val="both"/>
        <w:rPr>
          <w:rFonts w:ascii="Arial Narrow" w:hAnsi="Arial Narrow" w:cs="Arial"/>
          <w:b/>
          <w:color w:val="000000" w:themeColor="text1"/>
          <w:lang w:val="es-ES" w:eastAsia="es-CO"/>
        </w:rPr>
      </w:pPr>
    </w:p>
    <w:p w14:paraId="5CDD6FD3" w14:textId="77777777" w:rsidR="007968EC" w:rsidRPr="00434C7D" w:rsidRDefault="007968EC" w:rsidP="007968EC">
      <w:pPr>
        <w:jc w:val="both"/>
        <w:rPr>
          <w:rFonts w:ascii="Arial Narrow" w:hAnsi="Arial Narrow"/>
        </w:rPr>
      </w:pPr>
      <m:oMathPara>
        <m:oMath>
          <m:r>
            <w:rPr>
              <w:rFonts w:ascii="Cambria Math" w:hAnsi="Cambria Math"/>
            </w:rPr>
            <m:t>RSTij=PSTij-GPTITexigidas</m:t>
          </m:r>
        </m:oMath>
      </m:oMathPara>
    </w:p>
    <w:p w14:paraId="3617D78E" w14:textId="77777777" w:rsidR="007968EC" w:rsidRPr="00434C7D" w:rsidRDefault="007968EC" w:rsidP="007968EC">
      <w:pPr>
        <w:ind w:left="1418"/>
        <w:jc w:val="both"/>
        <w:rPr>
          <w:rFonts w:ascii="Arial Narrow" w:hAnsi="Arial Narrow" w:cs="Arial"/>
          <w:bCs/>
          <w:color w:val="000000" w:themeColor="text1"/>
          <w:lang w:val="es-ES" w:eastAsia="es-ES"/>
        </w:rPr>
      </w:pPr>
      <w:r w:rsidRPr="00434C7D">
        <w:rPr>
          <w:rFonts w:ascii="Arial Narrow" w:hAnsi="Arial Narrow" w:cs="Arial"/>
          <w:bCs/>
          <w:color w:val="000000" w:themeColor="text1"/>
          <w:lang w:val="es-ES" w:eastAsia="es-ES"/>
        </w:rPr>
        <w:t>Para efectos de los cálculos anteriores, se tendrá en cuenta que:</w:t>
      </w:r>
    </w:p>
    <w:p w14:paraId="4BB53DA0" w14:textId="77777777" w:rsidR="007968EC" w:rsidRPr="00434C7D" w:rsidRDefault="007968EC" w:rsidP="007968EC">
      <w:pPr>
        <w:ind w:left="1418"/>
        <w:jc w:val="both"/>
        <w:rPr>
          <w:rFonts w:ascii="Arial Narrow" w:hAnsi="Arial Narrow" w:cs="Arial"/>
          <w:bCs/>
          <w:color w:val="000000" w:themeColor="text1"/>
          <w:lang w:val="es-ES" w:eastAsia="es-ES"/>
        </w:rPr>
      </w:pPr>
    </w:p>
    <w:p w14:paraId="0309F134" w14:textId="77777777" w:rsidR="007968EC" w:rsidRPr="00434C7D" w:rsidRDefault="007968EC" w:rsidP="007968EC">
      <w:pPr>
        <w:ind w:left="1418"/>
        <w:jc w:val="both"/>
        <w:rPr>
          <w:rFonts w:ascii="Arial Narrow" w:hAnsi="Arial Narrow" w:cs="Arial"/>
          <w:bCs/>
          <w:color w:val="000000" w:themeColor="text1"/>
          <w:lang w:val="es-ES" w:eastAsia="es-ES"/>
        </w:rPr>
      </w:pPr>
      <m:oMath>
        <m:r>
          <m:rPr>
            <m:sty m:val="bi"/>
          </m:rPr>
          <w:rPr>
            <w:rFonts w:ascii="Cambria Math" w:hAnsi="Cambria Math" w:cs="Arial"/>
            <w:color w:val="000000" w:themeColor="text1"/>
            <w:lang w:val="es-ES" w:eastAsia="es-ES"/>
          </w:rPr>
          <m:t xml:space="preserve">i </m:t>
        </m:r>
      </m:oMath>
      <w:r w:rsidRPr="00434C7D">
        <w:rPr>
          <w:rFonts w:ascii="Arial Narrow" w:hAnsi="Arial Narrow" w:cs="Arial"/>
          <w:color w:val="000000" w:themeColor="text1"/>
          <w:lang w:val="es-ES" w:eastAsia="es-ES"/>
        </w:rPr>
        <w:t>=</w:t>
      </w:r>
      <w:r w:rsidRPr="00434C7D">
        <w:rPr>
          <w:rFonts w:ascii="Arial Narrow" w:hAnsi="Arial Narrow" w:cs="Arial"/>
          <w:b/>
          <w:color w:val="000000" w:themeColor="text1"/>
          <w:lang w:val="es-ES" w:eastAsia="es-ES"/>
        </w:rPr>
        <w:t xml:space="preserve"> </w:t>
      </w:r>
      <w:r w:rsidRPr="00434C7D">
        <w:rPr>
          <w:rFonts w:ascii="Arial Narrow" w:hAnsi="Arial Narrow" w:cs="Arial"/>
          <w:color w:val="000000" w:themeColor="text1"/>
          <w:lang w:val="es-ES" w:eastAsia="es-ES"/>
        </w:rPr>
        <w:t>Cuenta i.</w:t>
      </w:r>
    </w:p>
    <w:p w14:paraId="2F7715B5" w14:textId="77777777" w:rsidR="007968EC" w:rsidRPr="00434C7D" w:rsidRDefault="007968EC" w:rsidP="007968EC">
      <w:pPr>
        <w:ind w:left="1418"/>
        <w:jc w:val="both"/>
        <w:rPr>
          <w:rFonts w:ascii="Arial Narrow" w:hAnsi="Arial Narrow" w:cs="Arial"/>
          <w:bCs/>
          <w:color w:val="000000" w:themeColor="text1"/>
          <w:lang w:val="es-ES" w:eastAsia="es-ES"/>
        </w:rPr>
      </w:pPr>
      <m:oMath>
        <m:r>
          <m:rPr>
            <m:sty m:val="bi"/>
          </m:rPr>
          <w:rPr>
            <w:rFonts w:ascii="Cambria Math" w:hAnsi="Cambria Math" w:cs="Arial"/>
            <w:color w:val="000000" w:themeColor="text1"/>
            <w:lang w:val="es-ES" w:eastAsia="es-ES"/>
          </w:rPr>
          <m:t>j</m:t>
        </m:r>
      </m:oMath>
      <w:r w:rsidRPr="00434C7D">
        <w:rPr>
          <w:rFonts w:ascii="Arial Narrow" w:hAnsi="Arial Narrow" w:cs="Arial"/>
          <w:bCs/>
          <w:color w:val="000000" w:themeColor="text1"/>
          <w:lang w:val="es-ES" w:eastAsia="es-ES"/>
        </w:rPr>
        <w:t xml:space="preserve"> = Escenario j.</w:t>
      </w:r>
    </w:p>
    <w:p w14:paraId="068894FB" w14:textId="77777777" w:rsidR="007968EC" w:rsidRPr="00434C7D" w:rsidRDefault="00682D97" w:rsidP="007968EC">
      <w:pPr>
        <w:ind w:left="1418"/>
        <w:jc w:val="both"/>
        <w:rPr>
          <w:rFonts w:ascii="Arial Narrow" w:hAnsi="Arial Narrow" w:cs="Arial"/>
          <w:bCs/>
          <w:color w:val="000000" w:themeColor="text1"/>
          <w:lang w:val="es-ES" w:eastAsia="es-ES"/>
        </w:rPr>
      </w:pPr>
      <m:oMath>
        <m:sSub>
          <m:sSubPr>
            <m:ctrlPr>
              <w:rPr>
                <w:rFonts w:ascii="Cambria Math" w:hAnsi="Cambria Math" w:cs="Arial"/>
                <w:bCs/>
                <w:color w:val="000000" w:themeColor="text1"/>
                <w:lang w:val="es-ES" w:eastAsia="es-ES"/>
              </w:rPr>
            </m:ctrlPr>
          </m:sSubPr>
          <m:e>
            <m:r>
              <m:rPr>
                <m:sty m:val="bi"/>
              </m:rPr>
              <w:rPr>
                <w:rFonts w:ascii="Cambria Math" w:hAnsi="Cambria Math" w:cs="Arial"/>
                <w:color w:val="000000" w:themeColor="text1"/>
                <w:lang w:val="es-ES" w:eastAsia="es-ES"/>
              </w:rPr>
              <m:t>RST</m:t>
            </m:r>
          </m:e>
          <m:sub>
            <m:r>
              <m:rPr>
                <m:sty m:val="bi"/>
              </m:rPr>
              <w:rPr>
                <w:rFonts w:ascii="Cambria Math" w:hAnsi="Cambria Math" w:cs="Arial"/>
                <w:color w:val="000000" w:themeColor="text1"/>
                <w:lang w:val="es-ES" w:eastAsia="es-ES"/>
              </w:rPr>
              <m:t>ij</m:t>
            </m:r>
          </m:sub>
        </m:sSub>
      </m:oMath>
      <w:r w:rsidR="007968EC" w:rsidRPr="00434C7D">
        <w:rPr>
          <w:rFonts w:ascii="Arial Narrow" w:hAnsi="Arial Narrow" w:cs="Arial"/>
          <w:bCs/>
          <w:color w:val="000000" w:themeColor="text1"/>
          <w:lang w:val="es-ES" w:eastAsia="es-ES"/>
        </w:rPr>
        <w:t>= Riesgo en situación de estrés de la Cuenta i en el escenario j.</w:t>
      </w:r>
    </w:p>
    <w:p w14:paraId="40C80B98" w14:textId="77777777" w:rsidR="007968EC" w:rsidRPr="00434C7D" w:rsidRDefault="00682D97" w:rsidP="007968EC">
      <w:pPr>
        <w:ind w:left="1418"/>
        <w:jc w:val="both"/>
        <w:rPr>
          <w:rFonts w:ascii="Arial Narrow" w:hAnsi="Arial Narrow" w:cs="Arial"/>
          <w:bCs/>
          <w:color w:val="000000" w:themeColor="text1"/>
          <w:lang w:val="es-ES" w:eastAsia="es-ES"/>
        </w:rPr>
      </w:pPr>
      <m:oMath>
        <m:sSub>
          <m:sSubPr>
            <m:ctrlPr>
              <w:rPr>
                <w:rFonts w:ascii="Cambria Math" w:hAnsi="Cambria Math" w:cs="Arial"/>
                <w:bCs/>
                <w:color w:val="000000" w:themeColor="text1"/>
                <w:lang w:val="es-ES" w:eastAsia="es-ES"/>
              </w:rPr>
            </m:ctrlPr>
          </m:sSubPr>
          <m:e>
            <m:r>
              <m:rPr>
                <m:sty m:val="bi"/>
              </m:rPr>
              <w:rPr>
                <w:rFonts w:ascii="Cambria Math" w:hAnsi="Cambria Math" w:cs="Arial"/>
                <w:color w:val="000000" w:themeColor="text1"/>
                <w:lang w:val="es-ES" w:eastAsia="es-ES"/>
              </w:rPr>
              <m:t>PST</m:t>
            </m:r>
          </m:e>
          <m:sub>
            <m:r>
              <m:rPr>
                <m:sty m:val="bi"/>
              </m:rPr>
              <w:rPr>
                <w:rFonts w:ascii="Cambria Math" w:hAnsi="Cambria Math" w:cs="Arial"/>
                <w:color w:val="000000" w:themeColor="text1"/>
                <w:lang w:val="es-ES" w:eastAsia="es-ES"/>
              </w:rPr>
              <m:t>ij</m:t>
            </m:r>
          </m:sub>
        </m:sSub>
      </m:oMath>
      <w:r w:rsidR="007968EC" w:rsidRPr="00434C7D">
        <w:rPr>
          <w:rFonts w:ascii="Arial Narrow" w:hAnsi="Arial Narrow" w:cs="Arial"/>
          <w:bCs/>
          <w:color w:val="000000" w:themeColor="text1"/>
          <w:lang w:val="es-ES" w:eastAsia="es-ES"/>
        </w:rPr>
        <w:t>= Pérdida en situación de estrés de la Cuenta i en el escenario j.</w:t>
      </w:r>
    </w:p>
    <w:p w14:paraId="557198B7" w14:textId="77777777" w:rsidR="007968EC" w:rsidRPr="00434C7D" w:rsidRDefault="007968EC" w:rsidP="007968EC">
      <w:pPr>
        <w:ind w:left="1418"/>
        <w:jc w:val="both"/>
        <w:rPr>
          <w:rFonts w:ascii="Arial Narrow" w:hAnsi="Arial Narrow" w:cs="Arial"/>
          <w:bCs/>
          <w:color w:val="000000" w:themeColor="text1"/>
          <w:lang w:val="es-ES" w:eastAsia="es-ES"/>
        </w:rPr>
      </w:pPr>
      <m:oMath>
        <m:r>
          <m:rPr>
            <m:sty m:val="bi"/>
          </m:rPr>
          <w:rPr>
            <w:rFonts w:ascii="Cambria Math" w:hAnsi="Cambria Math" w:cs="Arial"/>
            <w:color w:val="000000" w:themeColor="text1"/>
            <w:lang w:val="es-ES" w:eastAsia="es-ES"/>
          </w:rPr>
          <m:t>GPTITexigidas</m:t>
        </m:r>
      </m:oMath>
      <w:r w:rsidRPr="00434C7D">
        <w:rPr>
          <w:rFonts w:ascii="Arial Narrow" w:hAnsi="Arial Narrow" w:cs="Arial"/>
          <w:bCs/>
          <w:color w:val="000000" w:themeColor="text1"/>
          <w:lang w:val="es-ES" w:eastAsia="es-ES"/>
        </w:rPr>
        <w:t>= Garantías por Posición exigidas por la Cámara para la Cuenta i.</w:t>
      </w:r>
    </w:p>
    <w:p w14:paraId="01FC7DCD" w14:textId="77777777" w:rsidR="007968EC" w:rsidRPr="00434C7D" w:rsidRDefault="007968EC" w:rsidP="007968EC">
      <w:pPr>
        <w:ind w:left="1418"/>
        <w:jc w:val="both"/>
        <w:rPr>
          <w:rFonts w:ascii="Arial Narrow" w:hAnsi="Arial Narrow" w:cs="Arial"/>
          <w:bCs/>
          <w:color w:val="000000" w:themeColor="text1"/>
          <w:lang w:val="es-ES" w:eastAsia="es-ES"/>
        </w:rPr>
      </w:pPr>
      <m:oMath>
        <m:r>
          <m:rPr>
            <m:sty m:val="bi"/>
          </m:rPr>
          <w:rPr>
            <w:rFonts w:ascii="Cambria Math" w:hAnsi="Cambria Math" w:cs="Arial"/>
            <w:color w:val="000000" w:themeColor="text1"/>
            <w:lang w:val="es-ES" w:eastAsia="es-ES"/>
          </w:rPr>
          <m:t>GPTITconstituidas</m:t>
        </m:r>
      </m:oMath>
      <w:r w:rsidRPr="00434C7D">
        <w:rPr>
          <w:rFonts w:ascii="Arial Narrow" w:hAnsi="Arial Narrow" w:cs="Arial"/>
          <w:bCs/>
          <w:color w:val="000000" w:themeColor="text1"/>
          <w:lang w:val="es-ES" w:eastAsia="es-ES"/>
        </w:rPr>
        <w:t>= Garantías por Posición efectivamente constituidas por el Miembro en la Cuenta i.</w:t>
      </w:r>
    </w:p>
    <w:p w14:paraId="4E72C25E" w14:textId="77777777" w:rsidR="007968EC" w:rsidRPr="00434C7D" w:rsidRDefault="007968EC" w:rsidP="007968EC">
      <w:pPr>
        <w:jc w:val="both"/>
        <w:rPr>
          <w:rFonts w:ascii="Arial Narrow" w:hAnsi="Arial Narrow" w:cs="Arial"/>
          <w:color w:val="000000" w:themeColor="text1"/>
          <w:lang w:eastAsia="es-CO"/>
        </w:rPr>
      </w:pPr>
    </w:p>
    <w:p w14:paraId="23976007" w14:textId="77777777" w:rsidR="007968EC" w:rsidRPr="00434C7D" w:rsidRDefault="007968EC" w:rsidP="00DA7472">
      <w:pPr>
        <w:numPr>
          <w:ilvl w:val="0"/>
          <w:numId w:val="241"/>
        </w:numPr>
        <w:autoSpaceDE w:val="0"/>
        <w:autoSpaceDN w:val="0"/>
        <w:adjustRightInd w:val="0"/>
        <w:ind w:left="1476" w:hanging="284"/>
        <w:jc w:val="both"/>
        <w:rPr>
          <w:rFonts w:ascii="Arial Narrow" w:hAnsi="Arial Narrow" w:cs="Arial"/>
          <w:color w:val="000000" w:themeColor="text1"/>
          <w:lang w:eastAsia="es-CO"/>
        </w:rPr>
      </w:pPr>
      <w:r w:rsidRPr="00434C7D">
        <w:rPr>
          <w:rFonts w:ascii="Arial Narrow" w:hAnsi="Arial Narrow" w:cs="Arial"/>
          <w:color w:val="000000" w:themeColor="text1"/>
          <w:lang w:val="es-ES" w:eastAsia="es-CO"/>
        </w:rPr>
        <w:t xml:space="preserve">Posteriormente, el valor de riesgo en situación de estrés para cada </w:t>
      </w:r>
      <w:proofErr w:type="gramStart"/>
      <w:r w:rsidRPr="00434C7D">
        <w:rPr>
          <w:rFonts w:ascii="Arial Narrow" w:hAnsi="Arial Narrow" w:cs="Arial"/>
          <w:color w:val="000000" w:themeColor="text1"/>
          <w:lang w:val="es-ES" w:eastAsia="es-CO"/>
        </w:rPr>
        <w:t>día,</w:t>
      </w:r>
      <w:proofErr w:type="gramEnd"/>
      <w:r w:rsidRPr="00434C7D">
        <w:rPr>
          <w:rFonts w:ascii="Arial Narrow" w:hAnsi="Arial Narrow" w:cs="Arial"/>
          <w:color w:val="000000" w:themeColor="text1"/>
          <w:lang w:val="es-ES" w:eastAsia="es-CO"/>
        </w:rPr>
        <w:t xml:space="preserve"> será el correspondiente al peor escenario resultante de la suma de los riesgos de toda la estructura de Cuentas bajo cada Miembro Liquidador, y de ser el caso, la suma de los riesgos de toda la estructura de Cuentas bajo sus Miembros no Liquidadores. Para la agregación del riesgo en situación de estrés a nivel de Miembro Liquidador, no se computarán dentro del cálculo del riesgo en situación de estrés, los valores resultantes negativos de las Cuentas diferentes a la Cuenta de Registro de la Cuenta Propia del Miembro Liquidador.</w:t>
      </w:r>
    </w:p>
    <w:p w14:paraId="014BA8CA" w14:textId="77777777" w:rsidR="007968EC" w:rsidRPr="00434C7D" w:rsidRDefault="007968EC" w:rsidP="007968EC">
      <w:pPr>
        <w:jc w:val="both"/>
        <w:rPr>
          <w:rFonts w:ascii="Arial Narrow" w:hAnsi="Arial Narrow" w:cs="Arial"/>
          <w:bCs/>
          <w:color w:val="000000" w:themeColor="text1"/>
          <w:lang w:eastAsia="es-ES"/>
        </w:rPr>
      </w:pPr>
    </w:p>
    <w:p w14:paraId="4E97025B" w14:textId="77777777" w:rsidR="007968EC" w:rsidRPr="00434C7D" w:rsidRDefault="007968EC" w:rsidP="00DA7472">
      <w:pPr>
        <w:numPr>
          <w:ilvl w:val="0"/>
          <w:numId w:val="246"/>
        </w:numPr>
        <w:jc w:val="both"/>
        <w:rPr>
          <w:rFonts w:ascii="Arial Narrow" w:hAnsi="Arial Narrow" w:cs="Arial"/>
          <w:bCs/>
          <w:color w:val="000000" w:themeColor="text1"/>
          <w:lang w:eastAsia="es-CO"/>
        </w:rPr>
      </w:pPr>
      <w:r w:rsidRPr="00434C7D">
        <w:rPr>
          <w:rFonts w:ascii="Arial Narrow" w:hAnsi="Arial Narrow" w:cs="Arial"/>
          <w:bCs/>
          <w:color w:val="000000" w:themeColor="text1"/>
          <w:lang w:eastAsia="es-CO"/>
        </w:rPr>
        <w:t>En segundo lugar, se determinará el importe del Fondo de Garantía Colectiva para cada Segmento, el cual corresponderá a la</w:t>
      </w:r>
      <w:r>
        <w:rPr>
          <w:rFonts w:ascii="Arial Narrow" w:hAnsi="Arial Narrow" w:cs="Arial"/>
          <w:bCs/>
          <w:color w:val="000000" w:themeColor="text1"/>
          <w:lang w:eastAsia="es-CO"/>
        </w:rPr>
        <w:t xml:space="preserve"> suma del </w:t>
      </w:r>
      <w:r w:rsidRPr="00434C7D">
        <w:rPr>
          <w:rFonts w:ascii="Arial Narrow" w:hAnsi="Arial Narrow" w:cs="Arial"/>
          <w:bCs/>
          <w:color w:val="000000" w:themeColor="text1"/>
          <w:lang w:eastAsia="es-CO"/>
        </w:rPr>
        <w:t>promedio diario trimestral del riesgo en situación de estrés del Miembro Liquidador con mayor exposición al riesgo más el promedio diario tri</w:t>
      </w:r>
      <w:r>
        <w:rPr>
          <w:rFonts w:ascii="Arial Narrow" w:hAnsi="Arial Narrow" w:cs="Arial"/>
          <w:bCs/>
          <w:color w:val="000000" w:themeColor="text1"/>
          <w:lang w:eastAsia="es-CO"/>
        </w:rPr>
        <w:t xml:space="preserve">mestral del segundo </w:t>
      </w:r>
      <w:r w:rsidRPr="00434C7D">
        <w:rPr>
          <w:rFonts w:ascii="Arial Narrow" w:hAnsi="Arial Narrow" w:cs="Arial"/>
          <w:bCs/>
          <w:color w:val="000000" w:themeColor="text1"/>
          <w:lang w:eastAsia="es-CO"/>
        </w:rPr>
        <w:t>Miembro Liquidador con mayor exposición al riesgo dentro del Segmento, expresado de la siguiente manera:</w:t>
      </w:r>
    </w:p>
    <w:p w14:paraId="12424703" w14:textId="77777777" w:rsidR="007968EC" w:rsidRPr="00434C7D" w:rsidRDefault="007968EC" w:rsidP="007968EC">
      <w:pPr>
        <w:jc w:val="both"/>
        <w:rPr>
          <w:rFonts w:ascii="Arial Narrow" w:hAnsi="Arial Narrow" w:cs="Arial"/>
          <w:bCs/>
          <w:color w:val="000000" w:themeColor="text1"/>
          <w:lang w:eastAsia="es-ES"/>
        </w:rPr>
      </w:pPr>
    </w:p>
    <w:p w14:paraId="13AAF6E3" w14:textId="77777777" w:rsidR="007968EC" w:rsidRPr="000C6D68" w:rsidRDefault="00682D97" w:rsidP="007968EC">
      <w:pPr>
        <w:ind w:left="1134"/>
        <w:jc w:val="both"/>
        <w:rPr>
          <w:rFonts w:ascii="Arial Narrow" w:eastAsia="Calibri" w:hAnsi="Arial Narrow" w:cs="Arial"/>
          <w:color w:val="000000"/>
          <w:lang w:val="en-US" w:eastAsia="es-ES"/>
        </w:rPr>
      </w:pPr>
      <m:oMathPara>
        <m:oMath>
          <m:sSub>
            <m:sSubPr>
              <m:ctrlPr>
                <w:rPr>
                  <w:rFonts w:ascii="Cambria Math" w:eastAsia="Calibri" w:hAnsi="Cambria Math" w:cs="Arial"/>
                  <w:b/>
                  <w:i/>
                  <w:color w:val="000000"/>
                  <w:lang w:val="en-US" w:eastAsia="es-ES"/>
                </w:rPr>
              </m:ctrlPr>
            </m:sSubPr>
            <m:e>
              <m:r>
                <m:rPr>
                  <m:sty m:val="bi"/>
                </m:rPr>
                <w:rPr>
                  <w:rFonts w:ascii="Cambria Math" w:eastAsia="Calibri" w:hAnsi="Cambria Math" w:cs="Arial"/>
                  <w:color w:val="000000"/>
                  <w:lang w:val="en-US" w:eastAsia="es-ES"/>
                </w:rPr>
                <m:t>FGC</m:t>
              </m:r>
            </m:e>
            <m:sub>
              <m:r>
                <m:rPr>
                  <m:sty m:val="bi"/>
                </m:rPr>
                <w:rPr>
                  <w:rFonts w:ascii="Cambria Math" w:eastAsia="Calibri" w:hAnsi="Cambria Math" w:cs="Arial"/>
                  <w:color w:val="000000"/>
                  <w:lang w:val="en-US" w:eastAsia="es-ES"/>
                </w:rPr>
                <m:t>i</m:t>
              </m:r>
            </m:sub>
          </m:sSub>
          <m:r>
            <m:rPr>
              <m:sty m:val="b"/>
            </m:rPr>
            <w:rPr>
              <w:rFonts w:ascii="Cambria Math" w:eastAsia="Calibri" w:hAnsi="Cambria Math" w:cs="Arial"/>
              <w:color w:val="000000"/>
              <w:lang w:val="en-US" w:eastAsia="es-ES"/>
            </w:rPr>
            <m:t>=</m:t>
          </m:r>
          <m:d>
            <m:dPr>
              <m:ctrlPr>
                <w:rPr>
                  <w:rFonts w:ascii="Cambria Math" w:eastAsia="Calibri" w:hAnsi="Cambria Math" w:cs="Arial"/>
                  <w:bCs/>
                  <w:color w:val="000000"/>
                  <w:lang w:val="es-ES" w:eastAsia="es-ES"/>
                </w:rPr>
              </m:ctrlPr>
            </m:dPr>
            <m:e>
              <m:sSub>
                <m:sSubPr>
                  <m:ctrlPr>
                    <w:rPr>
                      <w:rFonts w:ascii="Cambria Math" w:eastAsia="Calibri" w:hAnsi="Cambria Math" w:cs="Arial"/>
                      <w:bCs/>
                      <w:color w:val="000000"/>
                      <w:lang w:val="es-ES" w:eastAsia="es-ES"/>
                    </w:rPr>
                  </m:ctrlPr>
                </m:sSubPr>
                <m:e>
                  <m:r>
                    <m:rPr>
                      <m:sty m:val="b"/>
                    </m:rPr>
                    <w:rPr>
                      <w:rFonts w:ascii="Cambria Math" w:eastAsia="Calibri" w:hAnsi="Cambria Math" w:cs="Arial"/>
                      <w:color w:val="000000"/>
                      <w:lang w:val="en-US" w:eastAsia="es-ES"/>
                    </w:rPr>
                    <m:t>(</m:t>
                  </m:r>
                  <m:acc>
                    <m:accPr>
                      <m:chr m:val="̅"/>
                      <m:ctrlPr>
                        <w:rPr>
                          <w:rFonts w:ascii="Cambria Math" w:eastAsia="Calibri" w:hAnsi="Cambria Math" w:cs="Arial"/>
                          <w:bCs/>
                          <w:color w:val="000000"/>
                          <w:lang w:val="es-ES" w:eastAsia="es-ES"/>
                        </w:rPr>
                      </m:ctrlPr>
                    </m:accPr>
                    <m:e>
                      <m:r>
                        <m:rPr>
                          <m:sty m:val="bi"/>
                        </m:rPr>
                        <w:rPr>
                          <w:rFonts w:ascii="Cambria Math" w:eastAsia="Calibri" w:hAnsi="Cambria Math" w:cs="Arial"/>
                          <w:color w:val="000000"/>
                          <w:lang w:val="es-ES" w:eastAsia="es-ES"/>
                        </w:rPr>
                        <m:t>Rst</m:t>
                      </m:r>
                    </m:e>
                  </m:acc>
                </m:e>
                <m:sub>
                  <m:r>
                    <m:rPr>
                      <m:sty m:val="bi"/>
                    </m:rPr>
                    <w:rPr>
                      <w:rFonts w:ascii="Cambria Math" w:eastAsia="Calibri" w:hAnsi="Cambria Math" w:cs="Arial"/>
                      <w:color w:val="000000"/>
                      <w:lang w:val="es-ES" w:eastAsia="es-ES"/>
                    </w:rPr>
                    <m:t>ML</m:t>
                  </m:r>
                  <m:r>
                    <m:rPr>
                      <m:sty m:val="b"/>
                    </m:rPr>
                    <w:rPr>
                      <w:rFonts w:ascii="Cambria Math" w:eastAsia="Calibri" w:hAnsi="Cambria Math" w:cs="Arial"/>
                      <w:color w:val="000000"/>
                      <w:lang w:val="es-ES" w:eastAsia="es-ES"/>
                    </w:rPr>
                    <m:t>1</m:t>
                  </m:r>
                </m:sub>
              </m:sSub>
              <m:r>
                <m:rPr>
                  <m:sty m:val="b"/>
                </m:rPr>
                <w:rPr>
                  <w:rFonts w:ascii="Cambria Math" w:eastAsia="Calibri" w:hAnsi="Cambria Math" w:cs="Arial"/>
                  <w:color w:val="000000"/>
                  <w:lang w:val="en-US" w:eastAsia="es-ES"/>
                </w:rPr>
                <m:t>+</m:t>
              </m:r>
              <m:sSub>
                <m:sSubPr>
                  <m:ctrlPr>
                    <w:rPr>
                      <w:rFonts w:ascii="Cambria Math" w:eastAsia="Calibri" w:hAnsi="Cambria Math" w:cs="Arial"/>
                      <w:bCs/>
                      <w:color w:val="000000"/>
                      <w:lang w:val="es-ES" w:eastAsia="es-ES"/>
                    </w:rPr>
                  </m:ctrlPr>
                </m:sSubPr>
                <m:e>
                  <m:acc>
                    <m:accPr>
                      <m:chr m:val="̅"/>
                      <m:ctrlPr>
                        <w:rPr>
                          <w:rFonts w:ascii="Cambria Math" w:eastAsia="Calibri" w:hAnsi="Cambria Math" w:cs="Arial"/>
                          <w:bCs/>
                          <w:color w:val="000000"/>
                          <w:lang w:val="es-ES" w:eastAsia="es-ES"/>
                        </w:rPr>
                      </m:ctrlPr>
                    </m:accPr>
                    <m:e>
                      <m:r>
                        <m:rPr>
                          <m:sty m:val="bi"/>
                        </m:rPr>
                        <w:rPr>
                          <w:rFonts w:ascii="Cambria Math" w:eastAsia="Calibri" w:hAnsi="Cambria Math" w:cs="Arial"/>
                          <w:color w:val="000000"/>
                          <w:lang w:val="es-ES" w:eastAsia="es-ES"/>
                        </w:rPr>
                        <m:t>Rst</m:t>
                      </m:r>
                    </m:e>
                  </m:acc>
                </m:e>
                <m:sub>
                  <m:r>
                    <m:rPr>
                      <m:sty m:val="bi"/>
                    </m:rPr>
                    <w:rPr>
                      <w:rFonts w:ascii="Cambria Math" w:eastAsia="Calibri" w:hAnsi="Cambria Math" w:cs="Arial"/>
                      <w:color w:val="000000"/>
                      <w:lang w:val="es-ES" w:eastAsia="es-ES"/>
                    </w:rPr>
                    <m:t>ML</m:t>
                  </m:r>
                  <m:r>
                    <m:rPr>
                      <m:sty m:val="b"/>
                    </m:rPr>
                    <w:rPr>
                      <w:rFonts w:ascii="Cambria Math" w:eastAsia="Calibri" w:hAnsi="Cambria Math" w:cs="Arial"/>
                      <w:color w:val="000000"/>
                      <w:lang w:val="es-ES" w:eastAsia="es-ES"/>
                    </w:rPr>
                    <m:t>2</m:t>
                  </m:r>
                </m:sub>
              </m:sSub>
            </m:e>
          </m:d>
        </m:oMath>
      </m:oMathPara>
    </w:p>
    <w:p w14:paraId="20CE302B" w14:textId="77777777" w:rsidR="007968EC" w:rsidRPr="000C6D68" w:rsidRDefault="007968EC" w:rsidP="007968EC">
      <w:pPr>
        <w:ind w:left="1134"/>
        <w:jc w:val="both"/>
        <w:rPr>
          <w:rFonts w:ascii="Arial Narrow" w:eastAsia="Calibri" w:hAnsi="Arial Narrow" w:cs="Arial"/>
          <w:bCs/>
          <w:color w:val="000000"/>
          <w:lang w:val="en-US" w:eastAsia="es-ES"/>
        </w:rPr>
      </w:pPr>
    </w:p>
    <w:p w14:paraId="211AA2F6" w14:textId="77777777" w:rsidR="007968EC" w:rsidRPr="000C6D68" w:rsidRDefault="007968EC" w:rsidP="007968EC">
      <w:pPr>
        <w:ind w:left="1134"/>
        <w:jc w:val="both"/>
        <w:rPr>
          <w:rFonts w:ascii="Arial Narrow" w:eastAsia="Calibri" w:hAnsi="Arial Narrow" w:cs="Arial"/>
          <w:bCs/>
          <w:color w:val="000000"/>
          <w:lang w:val="es-ES" w:eastAsia="es-ES"/>
        </w:rPr>
      </w:pPr>
      <w:r w:rsidRPr="000C6D68">
        <w:rPr>
          <w:rFonts w:ascii="Arial Narrow" w:eastAsia="Calibri" w:hAnsi="Arial Narrow" w:cs="Arial"/>
          <w:bCs/>
          <w:color w:val="000000"/>
          <w:lang w:val="es-ES" w:eastAsia="es-ES"/>
        </w:rPr>
        <w:t>Donde:</w:t>
      </w:r>
    </w:p>
    <w:p w14:paraId="15EA79D5" w14:textId="77777777" w:rsidR="007968EC" w:rsidRPr="000C6D68" w:rsidRDefault="007968EC" w:rsidP="007968EC">
      <w:pPr>
        <w:ind w:left="1134"/>
        <w:jc w:val="both"/>
        <w:rPr>
          <w:rFonts w:ascii="Arial Narrow" w:eastAsia="Calibri" w:hAnsi="Arial Narrow" w:cs="Arial"/>
          <w:bCs/>
          <w:color w:val="000000"/>
          <w:lang w:val="es-ES" w:eastAsia="es-ES"/>
        </w:rPr>
      </w:pPr>
    </w:p>
    <w:p w14:paraId="5F509846" w14:textId="77777777" w:rsidR="007968EC" w:rsidRPr="000C6D68" w:rsidRDefault="00682D97" w:rsidP="007968EC">
      <w:pPr>
        <w:ind w:left="1134"/>
        <w:jc w:val="both"/>
        <w:rPr>
          <w:rFonts w:ascii="Arial Narrow" w:eastAsia="Calibri" w:hAnsi="Arial Narrow" w:cs="Arial"/>
          <w:bCs/>
          <w:color w:val="000000"/>
          <w:lang w:val="es-ES" w:eastAsia="es-ES"/>
        </w:rPr>
      </w:pPr>
      <m:oMath>
        <m:sSub>
          <m:sSubPr>
            <m:ctrlPr>
              <w:rPr>
                <w:rFonts w:ascii="Cambria Math" w:eastAsia="Calibri" w:hAnsi="Cambria Math" w:cs="Arial"/>
                <w:b/>
                <w:i/>
                <w:color w:val="000000"/>
                <w:lang w:val="es-ES" w:eastAsia="es-ES"/>
              </w:rPr>
            </m:ctrlPr>
          </m:sSubPr>
          <m:e>
            <m:r>
              <m:rPr>
                <m:sty m:val="bi"/>
              </m:rPr>
              <w:rPr>
                <w:rFonts w:ascii="Cambria Math" w:eastAsia="Calibri" w:hAnsi="Cambria Math" w:cs="Arial"/>
                <w:color w:val="000000"/>
                <w:lang w:val="es-ES" w:eastAsia="es-ES"/>
              </w:rPr>
              <m:t>FGC</m:t>
            </m:r>
          </m:e>
          <m:sub>
            <m:r>
              <m:rPr>
                <m:sty m:val="bi"/>
              </m:rPr>
              <w:rPr>
                <w:rFonts w:ascii="Cambria Math" w:eastAsia="Calibri" w:hAnsi="Cambria Math" w:cs="Arial"/>
                <w:color w:val="000000"/>
                <w:lang w:val="es-ES" w:eastAsia="es-ES"/>
              </w:rPr>
              <m:t>i</m:t>
            </m:r>
          </m:sub>
        </m:sSub>
      </m:oMath>
      <w:r w:rsidR="007968EC" w:rsidRPr="000C6D68">
        <w:rPr>
          <w:rFonts w:ascii="Arial Narrow" w:eastAsia="Calibri" w:hAnsi="Arial Narrow" w:cs="Arial"/>
          <w:bCs/>
          <w:color w:val="000000"/>
          <w:lang w:val="es-ES" w:eastAsia="es-ES"/>
        </w:rPr>
        <w:t>: Fondo de Garantía Colectiva del Segmento i.</w:t>
      </w:r>
    </w:p>
    <w:p w14:paraId="31EEA29A" w14:textId="77777777" w:rsidR="007968EC" w:rsidRPr="000C6D68" w:rsidRDefault="00682D97" w:rsidP="007968EC">
      <w:pPr>
        <w:ind w:left="1134"/>
        <w:jc w:val="both"/>
        <w:rPr>
          <w:rFonts w:ascii="Arial Narrow" w:eastAsia="Calibri" w:hAnsi="Arial Narrow" w:cs="Arial"/>
          <w:bCs/>
          <w:color w:val="000000"/>
          <w:lang w:val="es-ES" w:eastAsia="es-ES"/>
        </w:rPr>
      </w:pPr>
      <m:oMath>
        <m:acc>
          <m:accPr>
            <m:chr m:val="̅"/>
            <m:ctrlPr>
              <w:rPr>
                <w:rFonts w:ascii="Cambria Math" w:eastAsia="Calibri" w:hAnsi="Cambria Math" w:cs="Arial"/>
                <w:b/>
                <w:i/>
                <w:color w:val="000000"/>
                <w:lang w:val="es-ES" w:eastAsia="es-ES"/>
              </w:rPr>
            </m:ctrlPr>
          </m:accPr>
          <m:e>
            <m:r>
              <m:rPr>
                <m:sty m:val="bi"/>
              </m:rPr>
              <w:rPr>
                <w:rFonts w:ascii="Cambria Math" w:eastAsia="Calibri" w:hAnsi="Cambria Math" w:cs="Arial"/>
                <w:color w:val="000000"/>
                <w:lang w:val="es-ES" w:eastAsia="es-ES"/>
              </w:rPr>
              <m:t>Rst</m:t>
            </m:r>
          </m:e>
        </m:acc>
      </m:oMath>
      <w:r w:rsidR="007968EC" w:rsidRPr="000C6D68">
        <w:rPr>
          <w:rFonts w:ascii="Arial Narrow" w:eastAsia="Calibri" w:hAnsi="Arial Narrow" w:cs="Arial"/>
          <w:bCs/>
          <w:color w:val="000000"/>
          <w:lang w:val="es-ES" w:eastAsia="es-ES"/>
        </w:rPr>
        <w:t>: Promedio diario trimestral del riesgo en situación de estrés.</w:t>
      </w:r>
    </w:p>
    <w:p w14:paraId="2AE0BA60" w14:textId="77777777" w:rsidR="007968EC" w:rsidRPr="000C6D68" w:rsidRDefault="007968EC" w:rsidP="007968EC">
      <w:pPr>
        <w:ind w:left="1134"/>
        <w:jc w:val="both"/>
        <w:rPr>
          <w:rFonts w:ascii="Arial Narrow" w:eastAsia="Calibri" w:hAnsi="Arial Narrow" w:cs="Arial"/>
          <w:bCs/>
          <w:color w:val="000000"/>
          <w:lang w:val="es-ES" w:eastAsia="es-ES"/>
        </w:rPr>
      </w:pPr>
      <m:oMath>
        <m:r>
          <m:rPr>
            <m:sty m:val="bi"/>
          </m:rPr>
          <w:rPr>
            <w:rFonts w:ascii="Cambria Math" w:eastAsia="Calibri" w:hAnsi="Cambria Math" w:cs="Arial"/>
            <w:color w:val="000000"/>
            <w:lang w:val="es-ES" w:eastAsia="es-ES"/>
          </w:rPr>
          <m:t>ML</m:t>
        </m:r>
        <m:r>
          <m:rPr>
            <m:sty m:val="b"/>
          </m:rPr>
          <w:rPr>
            <w:rFonts w:ascii="Cambria Math" w:eastAsia="Calibri" w:hAnsi="Cambria Math" w:cs="Arial"/>
            <w:color w:val="000000"/>
            <w:lang w:val="es-ES" w:eastAsia="es-ES"/>
          </w:rPr>
          <m:t>1</m:t>
        </m:r>
      </m:oMath>
      <w:r w:rsidRPr="000C6D68">
        <w:rPr>
          <w:rFonts w:ascii="Arial Narrow" w:eastAsia="Calibri" w:hAnsi="Arial Narrow" w:cs="Arial"/>
          <w:bCs/>
          <w:color w:val="000000"/>
          <w:lang w:val="es-ES" w:eastAsia="es-ES"/>
        </w:rPr>
        <w:t>: Miembro Liquidador con mayor exposición.</w:t>
      </w:r>
    </w:p>
    <w:p w14:paraId="0A5AB2D8" w14:textId="77777777" w:rsidR="007968EC" w:rsidRPr="000C6D68" w:rsidRDefault="007968EC" w:rsidP="007968EC">
      <w:pPr>
        <w:ind w:left="1134"/>
        <w:jc w:val="both"/>
        <w:rPr>
          <w:rFonts w:ascii="Arial Narrow" w:eastAsia="Calibri" w:hAnsi="Arial Narrow" w:cs="Arial"/>
          <w:bCs/>
          <w:color w:val="000000"/>
          <w:lang w:val="es-ES" w:eastAsia="es-ES"/>
        </w:rPr>
      </w:pPr>
      <m:oMath>
        <m:r>
          <m:rPr>
            <m:sty m:val="bi"/>
          </m:rPr>
          <w:rPr>
            <w:rFonts w:ascii="Cambria Math" w:eastAsia="Calibri" w:hAnsi="Cambria Math" w:cs="Arial"/>
            <w:color w:val="000000"/>
            <w:lang w:val="es-ES" w:eastAsia="es-ES"/>
          </w:rPr>
          <m:t>ML</m:t>
        </m:r>
        <m:r>
          <m:rPr>
            <m:sty m:val="b"/>
          </m:rPr>
          <w:rPr>
            <w:rFonts w:ascii="Cambria Math" w:eastAsia="Calibri" w:hAnsi="Cambria Math" w:cs="Arial"/>
            <w:color w:val="000000"/>
            <w:lang w:val="es-ES" w:eastAsia="es-ES"/>
          </w:rPr>
          <m:t>2</m:t>
        </m:r>
      </m:oMath>
      <w:r w:rsidRPr="000C6D68">
        <w:rPr>
          <w:rFonts w:ascii="Arial Narrow" w:eastAsia="Calibri" w:hAnsi="Arial Narrow" w:cs="Arial"/>
          <w:bCs/>
          <w:color w:val="000000"/>
          <w:lang w:val="es-ES" w:eastAsia="es-ES"/>
        </w:rPr>
        <w:t>: Segundo Miembro Liquidador con mayor exposición.</w:t>
      </w:r>
    </w:p>
    <w:p w14:paraId="548BC443" w14:textId="77777777" w:rsidR="007968EC" w:rsidRPr="000C6D68" w:rsidRDefault="007968EC" w:rsidP="007968EC">
      <w:pPr>
        <w:ind w:left="1134"/>
        <w:jc w:val="both"/>
        <w:rPr>
          <w:rFonts w:ascii="Arial Narrow" w:eastAsia="Calibri" w:hAnsi="Arial Narrow" w:cs="Arial"/>
          <w:bCs/>
          <w:color w:val="000000"/>
          <w:lang w:val="es-ES" w:eastAsia="es-ES"/>
        </w:rPr>
      </w:pPr>
      <w:r w:rsidRPr="000C6D68">
        <w:rPr>
          <w:rFonts w:ascii="Arial Narrow" w:eastAsia="Calibri" w:hAnsi="Arial Narrow" w:cs="Arial"/>
          <w:bCs/>
          <w:color w:val="000000"/>
          <w:lang w:val="es-ES" w:eastAsia="es-ES"/>
        </w:rPr>
        <w:t>Para el cálculo del promedio diario trimestral del riesgo en situación de estrés de cada Miembro Liquidador únicamente se toman los valores positivos.</w:t>
      </w:r>
    </w:p>
    <w:p w14:paraId="10F5163C" w14:textId="77777777" w:rsidR="007968EC" w:rsidRPr="00434C7D" w:rsidRDefault="007968EC" w:rsidP="007968EC">
      <w:pPr>
        <w:ind w:left="1134"/>
        <w:jc w:val="both"/>
        <w:rPr>
          <w:rFonts w:ascii="Arial Narrow" w:hAnsi="Arial Narrow" w:cs="Arial"/>
          <w:bCs/>
          <w:color w:val="000000" w:themeColor="text1"/>
          <w:lang w:val="es-ES" w:eastAsia="es-ES"/>
        </w:rPr>
      </w:pPr>
    </w:p>
    <w:p w14:paraId="2562B1BF" w14:textId="77777777" w:rsidR="007968EC" w:rsidRPr="00434C7D" w:rsidRDefault="007968EC" w:rsidP="007968EC">
      <w:pPr>
        <w:ind w:left="709"/>
        <w:jc w:val="both"/>
        <w:rPr>
          <w:rFonts w:ascii="Arial Narrow" w:hAnsi="Arial Narrow" w:cs="Arial"/>
          <w:bCs/>
          <w:color w:val="000000" w:themeColor="text1"/>
          <w:lang w:val="es-ES" w:eastAsia="es-ES"/>
        </w:rPr>
      </w:pPr>
      <w:r w:rsidRPr="00434C7D">
        <w:rPr>
          <w:rFonts w:ascii="Arial Narrow" w:hAnsi="Arial Narrow" w:cs="Arial"/>
          <w:bCs/>
          <w:color w:val="000000" w:themeColor="text1"/>
          <w:lang w:val="es-ES" w:eastAsia="es-ES"/>
        </w:rPr>
        <w:t>Una vez calculado el importe del Fondo de Garantía Colectiva para cada Segmento este valor se compara con el importe mínimo para cada Segmento definido en la presente Circular y se toma como importe del Fondo de Garantía Colectiva del respectivo Segmento el mayor entre los dos. Si el importe corresponde al importe mínimo únicamente se exigirán las aportaciones mínimas, en caso contrario se aplica el siguiente procedimiento:</w:t>
      </w:r>
    </w:p>
    <w:p w14:paraId="5649BDD5" w14:textId="77777777" w:rsidR="007968EC" w:rsidRPr="00434C7D" w:rsidRDefault="007968EC" w:rsidP="007968EC">
      <w:pPr>
        <w:ind w:left="1134"/>
        <w:jc w:val="both"/>
        <w:rPr>
          <w:rFonts w:ascii="Arial Narrow" w:hAnsi="Arial Narrow" w:cs="Arial"/>
          <w:bCs/>
          <w:color w:val="000000" w:themeColor="text1"/>
          <w:lang w:val="es-ES" w:eastAsia="es-ES"/>
        </w:rPr>
      </w:pPr>
    </w:p>
    <w:p w14:paraId="66047F3A" w14:textId="77777777" w:rsidR="007968EC" w:rsidRPr="00434C7D" w:rsidRDefault="007968EC" w:rsidP="00DA7472">
      <w:pPr>
        <w:numPr>
          <w:ilvl w:val="6"/>
          <w:numId w:val="152"/>
        </w:numPr>
        <w:tabs>
          <w:tab w:val="num" w:pos="426"/>
        </w:tabs>
        <w:ind w:left="1560" w:hanging="426"/>
        <w:jc w:val="both"/>
        <w:rPr>
          <w:rFonts w:ascii="Arial Narrow" w:hAnsi="Arial Narrow" w:cs="Arial"/>
          <w:bCs/>
          <w:color w:val="000000" w:themeColor="text1"/>
          <w:lang w:eastAsia="es-CO"/>
        </w:rPr>
      </w:pPr>
      <w:r w:rsidRPr="00434C7D">
        <w:rPr>
          <w:rFonts w:ascii="Arial Narrow" w:hAnsi="Arial Narrow" w:cs="Arial"/>
          <w:bCs/>
          <w:color w:val="000000" w:themeColor="text1"/>
          <w:lang w:eastAsia="es-CO"/>
        </w:rPr>
        <w:t xml:space="preserve">Con base en el importe del Fondo de Garantía Colectiva para cada Segmento, se calcula el monto de las aportaciones totales a constituir por cada uno de los Miembros Liquidadores participantes a prorrata de su exposición al riesgo al Segmento, con la fórmula que se indica a continuación: </w:t>
      </w:r>
    </w:p>
    <w:p w14:paraId="5591AEA8" w14:textId="77777777" w:rsidR="007968EC" w:rsidRPr="00434C7D" w:rsidRDefault="00682D97" w:rsidP="007968EC">
      <w:pPr>
        <w:ind w:left="1134"/>
        <w:jc w:val="both"/>
        <w:rPr>
          <w:rFonts w:ascii="Arial Narrow" w:hAnsi="Arial Narrow" w:cs="Arial"/>
          <w:bCs/>
          <w:color w:val="000000" w:themeColor="text1"/>
          <w:lang w:val="es-ES" w:eastAsia="es-ES"/>
        </w:rPr>
      </w:pPr>
      <m:oMathPara>
        <m:oMath>
          <m:sSub>
            <m:sSubPr>
              <m:ctrlPr>
                <w:rPr>
                  <w:rFonts w:ascii="Cambria Math" w:hAnsi="Cambria Math" w:cs="Arial"/>
                  <w:b/>
                  <w:i/>
                  <w:color w:val="000000" w:themeColor="text1"/>
                  <w:lang w:val="es-ES" w:eastAsia="es-ES"/>
                </w:rPr>
              </m:ctrlPr>
            </m:sSubPr>
            <m:e>
              <m:r>
                <m:rPr>
                  <m:sty m:val="bi"/>
                </m:rPr>
                <w:rPr>
                  <w:rFonts w:ascii="Cambria Math" w:hAnsi="Cambria Math" w:cs="Arial"/>
                  <w:color w:val="000000" w:themeColor="text1"/>
                  <w:lang w:val="es-ES" w:eastAsia="es-ES"/>
                </w:rPr>
                <m:t>Afgc</m:t>
              </m:r>
            </m:e>
            <m:sub>
              <m:r>
                <m:rPr>
                  <m:sty m:val="bi"/>
                </m:rPr>
                <w:rPr>
                  <w:rFonts w:ascii="Cambria Math" w:hAnsi="Cambria Math" w:cs="Arial"/>
                  <w:color w:val="000000" w:themeColor="text1"/>
                  <w:lang w:val="es-ES" w:eastAsia="es-ES"/>
                </w:rPr>
                <m:t>i</m:t>
              </m:r>
            </m:sub>
          </m:sSub>
          <m:r>
            <m:rPr>
              <m:sty m:val="b"/>
            </m:rPr>
            <w:rPr>
              <w:rFonts w:ascii="Cambria Math" w:hAnsi="Cambria Math" w:cs="Arial"/>
              <w:color w:val="000000" w:themeColor="text1"/>
              <w:lang w:val="es-ES" w:eastAsia="es-ES"/>
            </w:rPr>
            <m:t>=</m:t>
          </m:r>
          <m:r>
            <m:rPr>
              <m:sty m:val="bi"/>
            </m:rPr>
            <w:rPr>
              <w:rFonts w:ascii="Cambria Math" w:hAnsi="Cambria Math" w:cs="Arial"/>
              <w:color w:val="000000" w:themeColor="text1"/>
              <w:lang w:val="es-ES" w:eastAsia="es-ES"/>
            </w:rPr>
            <m:t>FGC</m:t>
          </m:r>
          <m:r>
            <m:rPr>
              <m:sty m:val="b"/>
            </m:rPr>
            <w:rPr>
              <w:rFonts w:ascii="Cambria Math" w:hAnsi="Cambria Math" w:cs="Arial"/>
              <w:color w:val="000000" w:themeColor="text1"/>
              <w:lang w:val="es-ES" w:eastAsia="es-ES"/>
            </w:rPr>
            <m:t>*</m:t>
          </m:r>
          <m:f>
            <m:fPr>
              <m:ctrlPr>
                <w:rPr>
                  <w:rFonts w:ascii="Cambria Math" w:hAnsi="Cambria Math" w:cs="Arial"/>
                  <w:bCs/>
                  <w:color w:val="000000" w:themeColor="text1"/>
                  <w:lang w:val="es-ES" w:eastAsia="es-ES"/>
                </w:rPr>
              </m:ctrlPr>
            </m:fPr>
            <m:num>
              <m:sSub>
                <m:sSubPr>
                  <m:ctrlPr>
                    <w:rPr>
                      <w:rFonts w:ascii="Cambria Math" w:hAnsi="Cambria Math" w:cs="Arial"/>
                      <w:bCs/>
                      <w:color w:val="000000" w:themeColor="text1"/>
                      <w:lang w:val="es-ES" w:eastAsia="es-ES"/>
                    </w:rPr>
                  </m:ctrlPr>
                </m:sSubPr>
                <m:e>
                  <m:acc>
                    <m:accPr>
                      <m:chr m:val="̅"/>
                      <m:ctrlPr>
                        <w:rPr>
                          <w:rFonts w:ascii="Cambria Math" w:hAnsi="Cambria Math" w:cs="Arial"/>
                          <w:bCs/>
                          <w:color w:val="000000" w:themeColor="text1"/>
                          <w:lang w:val="es-ES" w:eastAsia="es-ES"/>
                        </w:rPr>
                      </m:ctrlPr>
                    </m:accPr>
                    <m:e>
                      <m:r>
                        <m:rPr>
                          <m:sty m:val="bi"/>
                        </m:rPr>
                        <w:rPr>
                          <w:rFonts w:ascii="Cambria Math" w:hAnsi="Cambria Math" w:cs="Arial"/>
                          <w:color w:val="000000" w:themeColor="text1"/>
                          <w:lang w:val="es-ES" w:eastAsia="es-ES"/>
                        </w:rPr>
                        <m:t>Rst</m:t>
                      </m:r>
                    </m:e>
                  </m:acc>
                </m:e>
                <m:sub>
                  <m:r>
                    <m:rPr>
                      <m:sty m:val="bi"/>
                    </m:rPr>
                    <w:rPr>
                      <w:rFonts w:ascii="Cambria Math" w:hAnsi="Cambria Math" w:cs="Arial"/>
                      <w:color w:val="000000" w:themeColor="text1"/>
                      <w:lang w:val="es-ES" w:eastAsia="es-ES"/>
                    </w:rPr>
                    <m:t>MLi</m:t>
                  </m:r>
                </m:sub>
              </m:sSub>
            </m:num>
            <m:den>
              <m:acc>
                <m:accPr>
                  <m:chr m:val="̅"/>
                  <m:ctrlPr>
                    <w:rPr>
                      <w:rFonts w:ascii="Cambria Math" w:hAnsi="Cambria Math" w:cs="Arial"/>
                      <w:bCs/>
                      <w:color w:val="000000" w:themeColor="text1"/>
                      <w:lang w:val="es-ES" w:eastAsia="es-ES"/>
                    </w:rPr>
                  </m:ctrlPr>
                </m:accPr>
                <m:e>
                  <m:r>
                    <m:rPr>
                      <m:sty m:val="bi"/>
                    </m:rPr>
                    <w:rPr>
                      <w:rFonts w:ascii="Cambria Math" w:hAnsi="Cambria Math" w:cs="Arial"/>
                      <w:color w:val="000000" w:themeColor="text1"/>
                      <w:lang w:val="es-ES" w:eastAsia="es-ES"/>
                    </w:rPr>
                    <m:t>RST</m:t>
                  </m:r>
                </m:e>
              </m:acc>
            </m:den>
          </m:f>
        </m:oMath>
      </m:oMathPara>
    </w:p>
    <w:p w14:paraId="50E65406" w14:textId="77777777" w:rsidR="007968EC" w:rsidRPr="00434C7D" w:rsidRDefault="007968EC" w:rsidP="007968EC">
      <w:pPr>
        <w:ind w:left="1134"/>
        <w:jc w:val="both"/>
        <w:rPr>
          <w:rFonts w:ascii="Arial Narrow" w:hAnsi="Arial Narrow" w:cs="Arial"/>
          <w:bCs/>
          <w:color w:val="000000" w:themeColor="text1"/>
          <w:lang w:val="es-ES" w:eastAsia="es-ES"/>
        </w:rPr>
      </w:pPr>
    </w:p>
    <w:p w14:paraId="2F3240B9" w14:textId="77777777" w:rsidR="007968EC" w:rsidRPr="00434C7D" w:rsidRDefault="007968EC" w:rsidP="007968EC">
      <w:pPr>
        <w:ind w:left="1560"/>
        <w:jc w:val="both"/>
        <w:rPr>
          <w:rFonts w:ascii="Arial Narrow" w:hAnsi="Arial Narrow" w:cs="Arial"/>
          <w:bCs/>
          <w:color w:val="000000" w:themeColor="text1"/>
          <w:lang w:val="es-ES" w:eastAsia="es-ES"/>
        </w:rPr>
      </w:pPr>
      <w:r w:rsidRPr="00434C7D">
        <w:rPr>
          <w:rFonts w:ascii="Arial Narrow" w:hAnsi="Arial Narrow" w:cs="Arial"/>
          <w:bCs/>
          <w:color w:val="000000" w:themeColor="text1"/>
          <w:lang w:val="es-ES" w:eastAsia="es-ES"/>
        </w:rPr>
        <w:t>Donde:</w:t>
      </w:r>
    </w:p>
    <w:p w14:paraId="35E9CB2E" w14:textId="77777777" w:rsidR="007968EC" w:rsidRPr="00434C7D" w:rsidRDefault="007968EC" w:rsidP="007968EC">
      <w:pPr>
        <w:ind w:left="1134"/>
        <w:jc w:val="both"/>
        <w:rPr>
          <w:rFonts w:ascii="Arial Narrow" w:hAnsi="Arial Narrow" w:cs="Arial"/>
          <w:bCs/>
          <w:color w:val="000000" w:themeColor="text1"/>
          <w:lang w:val="es-ES" w:eastAsia="es-ES"/>
        </w:rPr>
      </w:pPr>
    </w:p>
    <w:p w14:paraId="6524729C" w14:textId="77777777" w:rsidR="007968EC" w:rsidRPr="00434C7D" w:rsidRDefault="007968EC" w:rsidP="007968EC">
      <w:pPr>
        <w:ind w:left="1560"/>
        <w:jc w:val="both"/>
        <w:rPr>
          <w:rFonts w:ascii="Arial Narrow" w:hAnsi="Arial Narrow" w:cs="Arial"/>
          <w:bCs/>
          <w:color w:val="000000" w:themeColor="text1"/>
          <w:lang w:val="es-ES" w:eastAsia="es-ES"/>
        </w:rPr>
      </w:pPr>
      <m:oMath>
        <m:r>
          <m:rPr>
            <m:sty m:val="bi"/>
          </m:rPr>
          <w:rPr>
            <w:rFonts w:ascii="Cambria Math" w:hAnsi="Cambria Math" w:cs="Arial"/>
            <w:color w:val="000000" w:themeColor="text1"/>
            <w:lang w:val="es-ES" w:eastAsia="es-ES"/>
          </w:rPr>
          <m:t>FGC</m:t>
        </m:r>
      </m:oMath>
      <w:r w:rsidRPr="00434C7D">
        <w:rPr>
          <w:rFonts w:ascii="Arial Narrow" w:hAnsi="Arial Narrow" w:cs="Arial"/>
          <w:bCs/>
          <w:color w:val="000000" w:themeColor="text1"/>
          <w:lang w:val="es-ES" w:eastAsia="es-ES"/>
        </w:rPr>
        <w:t>: Fondo de Garantía Colectiva.</w:t>
      </w:r>
    </w:p>
    <w:p w14:paraId="424DAEC7" w14:textId="77777777" w:rsidR="007968EC" w:rsidRPr="00434C7D" w:rsidRDefault="007968EC" w:rsidP="007968EC">
      <w:pPr>
        <w:ind w:left="1560"/>
        <w:jc w:val="both"/>
        <w:rPr>
          <w:rFonts w:ascii="Arial Narrow" w:hAnsi="Arial Narrow" w:cs="Arial"/>
          <w:bCs/>
          <w:color w:val="000000" w:themeColor="text1"/>
          <w:lang w:val="es-ES" w:eastAsia="es-ES"/>
        </w:rPr>
      </w:pPr>
      <m:oMath>
        <m:r>
          <m:rPr>
            <m:sty m:val="bi"/>
          </m:rPr>
          <w:rPr>
            <w:rFonts w:ascii="Cambria Math" w:hAnsi="Cambria Math" w:cs="Arial"/>
            <w:color w:val="000000" w:themeColor="text1"/>
            <w:lang w:val="es-ES" w:eastAsia="es-ES"/>
          </w:rPr>
          <m:t>AM</m:t>
        </m:r>
      </m:oMath>
      <w:r w:rsidRPr="00434C7D">
        <w:rPr>
          <w:rFonts w:ascii="Arial Narrow" w:hAnsi="Arial Narrow" w:cs="Arial"/>
          <w:bCs/>
          <w:color w:val="000000" w:themeColor="text1"/>
          <w:lang w:val="es-ES" w:eastAsia="es-ES"/>
        </w:rPr>
        <w:t>: Aportación Mínima.</w:t>
      </w:r>
    </w:p>
    <w:p w14:paraId="3936D58B" w14:textId="77777777" w:rsidR="007968EC" w:rsidRPr="00434C7D" w:rsidRDefault="007968EC" w:rsidP="007968EC">
      <w:pPr>
        <w:ind w:left="1560"/>
        <w:jc w:val="both"/>
        <w:rPr>
          <w:rFonts w:ascii="Arial Narrow" w:hAnsi="Arial Narrow" w:cs="Arial"/>
          <w:bCs/>
          <w:color w:val="000000" w:themeColor="text1"/>
          <w:lang w:val="es-ES" w:eastAsia="es-ES"/>
        </w:rPr>
      </w:pPr>
      <m:oMath>
        <m:r>
          <m:rPr>
            <m:sty m:val="bi"/>
          </m:rPr>
          <w:rPr>
            <w:rFonts w:ascii="Cambria Math" w:hAnsi="Cambria Math" w:cs="Arial"/>
            <w:color w:val="000000" w:themeColor="text1"/>
            <w:lang w:val="es-ES" w:eastAsia="es-ES"/>
          </w:rPr>
          <m:t>ML</m:t>
        </m:r>
        <m:r>
          <m:rPr>
            <m:sty m:val="b"/>
          </m:rPr>
          <w:rPr>
            <w:rFonts w:ascii="Cambria Math" w:hAnsi="Cambria Math" w:cs="Arial"/>
            <w:color w:val="000000" w:themeColor="text1"/>
            <w:lang w:val="es-ES" w:eastAsia="es-ES"/>
          </w:rPr>
          <m:t>:</m:t>
        </m:r>
      </m:oMath>
      <w:r w:rsidRPr="00434C7D">
        <w:rPr>
          <w:rFonts w:ascii="Arial Narrow" w:hAnsi="Arial Narrow" w:cs="Arial"/>
          <w:bCs/>
          <w:color w:val="000000" w:themeColor="text1"/>
          <w:lang w:val="es-ES" w:eastAsia="es-ES"/>
        </w:rPr>
        <w:t xml:space="preserve"> Miembro Liquidador.</w:t>
      </w:r>
    </w:p>
    <w:p w14:paraId="07AB19C1" w14:textId="77777777" w:rsidR="007968EC" w:rsidRPr="00434C7D" w:rsidRDefault="00682D97" w:rsidP="007968EC">
      <w:pPr>
        <w:ind w:left="1560"/>
        <w:jc w:val="both"/>
        <w:rPr>
          <w:rFonts w:ascii="Arial Narrow" w:hAnsi="Arial Narrow" w:cs="Arial"/>
          <w:bCs/>
          <w:color w:val="000000" w:themeColor="text1"/>
          <w:lang w:val="es-ES" w:eastAsia="es-ES"/>
        </w:rPr>
      </w:pPr>
      <m:oMath>
        <m:sSub>
          <m:sSubPr>
            <m:ctrlPr>
              <w:rPr>
                <w:rFonts w:ascii="Cambria Math" w:hAnsi="Cambria Math" w:cs="Arial"/>
                <w:b/>
                <w:i/>
                <w:color w:val="000000" w:themeColor="text1"/>
                <w:lang w:val="es-ES" w:eastAsia="es-ES"/>
              </w:rPr>
            </m:ctrlPr>
          </m:sSubPr>
          <m:e>
            <m:r>
              <m:rPr>
                <m:sty m:val="bi"/>
              </m:rPr>
              <w:rPr>
                <w:rFonts w:ascii="Cambria Math" w:hAnsi="Cambria Math" w:cs="Arial"/>
                <w:color w:val="000000" w:themeColor="text1"/>
                <w:lang w:val="es-ES" w:eastAsia="es-ES"/>
              </w:rPr>
              <m:t>Afgc</m:t>
            </m:r>
          </m:e>
          <m:sub>
            <m:r>
              <m:rPr>
                <m:sty m:val="bi"/>
              </m:rPr>
              <w:rPr>
                <w:rFonts w:ascii="Cambria Math" w:hAnsi="Cambria Math" w:cs="Arial"/>
                <w:color w:val="000000" w:themeColor="text1"/>
                <w:lang w:val="es-ES" w:eastAsia="es-ES"/>
              </w:rPr>
              <m:t>i</m:t>
            </m:r>
          </m:sub>
        </m:sSub>
      </m:oMath>
      <w:r w:rsidR="007968EC" w:rsidRPr="00434C7D">
        <w:rPr>
          <w:rFonts w:ascii="Arial Narrow" w:hAnsi="Arial Narrow" w:cs="Arial"/>
          <w:bCs/>
          <w:color w:val="000000" w:themeColor="text1"/>
          <w:lang w:val="es-ES" w:eastAsia="es-ES"/>
        </w:rPr>
        <w:t>: Aportación al Fondo de Garantía Colectiva del Miembro Liquidador i.</w:t>
      </w:r>
    </w:p>
    <w:p w14:paraId="4A07B5F0" w14:textId="77777777" w:rsidR="007968EC" w:rsidRPr="00434C7D" w:rsidRDefault="007968EC" w:rsidP="007968EC">
      <w:pPr>
        <w:ind w:left="1560"/>
        <w:jc w:val="both"/>
        <w:rPr>
          <w:rFonts w:ascii="Arial Narrow" w:hAnsi="Arial Narrow" w:cs="Arial"/>
          <w:bCs/>
          <w:color w:val="000000" w:themeColor="text1"/>
          <w:lang w:val="es-ES" w:eastAsia="es-ES"/>
        </w:rPr>
      </w:pPr>
      <m:oMath>
        <m:r>
          <m:rPr>
            <m:sty m:val="bi"/>
          </m:rPr>
          <w:rPr>
            <w:rFonts w:ascii="Cambria Math" w:hAnsi="Cambria Math" w:cs="Arial"/>
            <w:color w:val="000000" w:themeColor="text1"/>
            <w:lang w:val="es-ES" w:eastAsia="es-ES"/>
          </w:rPr>
          <m:t>Rst</m:t>
        </m:r>
      </m:oMath>
      <w:r w:rsidRPr="00434C7D">
        <w:rPr>
          <w:rFonts w:ascii="Arial Narrow" w:hAnsi="Arial Narrow" w:cs="Arial"/>
          <w:bCs/>
          <w:color w:val="000000" w:themeColor="text1"/>
          <w:lang w:val="es-ES" w:eastAsia="es-ES"/>
        </w:rPr>
        <w:t>: Riesgo en situación de estrés.</w:t>
      </w:r>
    </w:p>
    <w:p w14:paraId="24DB9434" w14:textId="77777777" w:rsidR="007968EC" w:rsidRPr="00434C7D" w:rsidRDefault="007968EC" w:rsidP="007968EC">
      <w:pPr>
        <w:ind w:left="1560"/>
        <w:jc w:val="both"/>
        <w:rPr>
          <w:rFonts w:ascii="Arial Narrow" w:hAnsi="Arial Narrow" w:cs="Arial"/>
          <w:bCs/>
          <w:color w:val="000000" w:themeColor="text1"/>
          <w:lang w:val="es-ES" w:eastAsia="es-ES"/>
        </w:rPr>
      </w:pPr>
      <m:oMath>
        <m:r>
          <m:rPr>
            <m:sty m:val="bi"/>
          </m:rPr>
          <w:rPr>
            <w:rFonts w:ascii="Cambria Math" w:hAnsi="Cambria Math" w:cs="Arial"/>
            <w:color w:val="000000" w:themeColor="text1"/>
            <w:lang w:val="es-ES" w:eastAsia="es-ES"/>
          </w:rPr>
          <m:t>RST</m:t>
        </m:r>
      </m:oMath>
      <w:r w:rsidRPr="00434C7D">
        <w:rPr>
          <w:rFonts w:ascii="Arial Narrow" w:hAnsi="Arial Narrow" w:cs="Arial"/>
          <w:bCs/>
          <w:color w:val="000000" w:themeColor="text1"/>
          <w:lang w:val="es-ES" w:eastAsia="es-ES"/>
        </w:rPr>
        <w:t>: Riesgo en situación de estrés total.</w:t>
      </w:r>
    </w:p>
    <w:p w14:paraId="16D14478" w14:textId="77777777" w:rsidR="007968EC" w:rsidRPr="00434C7D" w:rsidRDefault="007968EC" w:rsidP="007968EC">
      <w:pPr>
        <w:ind w:left="1134"/>
        <w:jc w:val="both"/>
        <w:rPr>
          <w:rFonts w:ascii="Arial Narrow" w:hAnsi="Arial Narrow" w:cs="Arial"/>
          <w:bCs/>
          <w:color w:val="000000" w:themeColor="text1"/>
          <w:lang w:eastAsia="es-CO"/>
        </w:rPr>
      </w:pPr>
    </w:p>
    <w:p w14:paraId="753C5E32" w14:textId="77777777" w:rsidR="007968EC" w:rsidRPr="00434C7D" w:rsidRDefault="007968EC" w:rsidP="00DA7472">
      <w:pPr>
        <w:numPr>
          <w:ilvl w:val="6"/>
          <w:numId w:val="152"/>
        </w:numPr>
        <w:tabs>
          <w:tab w:val="num" w:pos="426"/>
        </w:tabs>
        <w:ind w:left="1560" w:hanging="426"/>
        <w:jc w:val="both"/>
        <w:rPr>
          <w:rFonts w:ascii="Arial Narrow" w:hAnsi="Arial Narrow" w:cs="Arial"/>
          <w:bCs/>
          <w:color w:val="000000" w:themeColor="text1"/>
          <w:lang w:eastAsia="es-CO"/>
        </w:rPr>
      </w:pPr>
      <w:r w:rsidRPr="00434C7D">
        <w:rPr>
          <w:rFonts w:ascii="Arial Narrow" w:hAnsi="Arial Narrow" w:cs="Arial"/>
          <w:bCs/>
          <w:color w:val="000000" w:themeColor="text1"/>
          <w:lang w:eastAsia="es-CO"/>
        </w:rPr>
        <w:t>Obtenidos los resultados de la prorrata en relación con el importe del Fondo de Garantía Colectiva se comparan con las aportaciones mínimas de cada uno de los Miembros Liquidadores. En el evento en que el valor de la aportación total de cada Miembro Liquidador sea menor a la aportación mínima, dicho Miembro Liquidador se excluye de la prorrata, teniendo como obligación únicamente la constitución de la aportación mínima.</w:t>
      </w:r>
    </w:p>
    <w:p w14:paraId="27F6A39E" w14:textId="77777777" w:rsidR="007968EC" w:rsidRPr="00434C7D" w:rsidRDefault="007968EC" w:rsidP="007968EC">
      <w:pPr>
        <w:ind w:left="1134"/>
        <w:jc w:val="both"/>
        <w:rPr>
          <w:rFonts w:ascii="Arial Narrow" w:hAnsi="Arial Narrow" w:cs="Arial"/>
          <w:bCs/>
          <w:color w:val="000000" w:themeColor="text1"/>
          <w:lang w:val="es-ES" w:eastAsia="es-ES"/>
        </w:rPr>
      </w:pPr>
    </w:p>
    <w:p w14:paraId="3BEFBD30" w14:textId="77777777" w:rsidR="007968EC" w:rsidRPr="00434C7D" w:rsidRDefault="007968EC" w:rsidP="00DA7472">
      <w:pPr>
        <w:numPr>
          <w:ilvl w:val="6"/>
          <w:numId w:val="152"/>
        </w:numPr>
        <w:ind w:left="1560"/>
        <w:jc w:val="both"/>
        <w:rPr>
          <w:rFonts w:ascii="Arial Narrow" w:hAnsi="Arial Narrow" w:cs="Arial"/>
          <w:bCs/>
          <w:color w:val="000000" w:themeColor="text1"/>
          <w:lang w:eastAsia="es-CO"/>
        </w:rPr>
      </w:pPr>
      <w:r w:rsidRPr="00434C7D">
        <w:rPr>
          <w:rFonts w:ascii="Arial Narrow" w:hAnsi="Arial Narrow" w:cs="Arial"/>
          <w:bCs/>
          <w:color w:val="000000" w:themeColor="text1"/>
          <w:lang w:eastAsia="es-CO"/>
        </w:rPr>
        <w:t>Se realiza la sumatoria de las aportaciones totales de los Miembros Liquidadores no excluidos del cálculo una vez restadas sus aportaciones mínimas y se establece una nueva prorrata a aplicar para la distribución del faltante del Fondo de Garantía Colectiva.</w:t>
      </w:r>
    </w:p>
    <w:p w14:paraId="7739BDA4" w14:textId="77777777" w:rsidR="007968EC" w:rsidRPr="00434C7D" w:rsidRDefault="007968EC" w:rsidP="007968EC">
      <w:pPr>
        <w:ind w:left="1134"/>
        <w:jc w:val="both"/>
        <w:rPr>
          <w:rFonts w:ascii="Arial Narrow" w:hAnsi="Arial Narrow" w:cs="Arial"/>
          <w:bCs/>
          <w:color w:val="000000" w:themeColor="text1"/>
          <w:lang w:eastAsia="es-CO"/>
        </w:rPr>
      </w:pPr>
    </w:p>
    <w:p w14:paraId="7D2D294C" w14:textId="77777777" w:rsidR="007968EC" w:rsidRPr="00434C7D" w:rsidRDefault="007968EC" w:rsidP="007968EC">
      <w:pPr>
        <w:ind w:left="1560"/>
        <w:jc w:val="both"/>
        <w:rPr>
          <w:rFonts w:ascii="Arial Narrow" w:hAnsi="Arial Narrow" w:cs="Arial"/>
          <w:bCs/>
          <w:color w:val="000000" w:themeColor="text1"/>
          <w:lang w:eastAsia="es-CO"/>
        </w:rPr>
      </w:pPr>
      <w:r w:rsidRPr="00434C7D">
        <w:rPr>
          <w:rFonts w:ascii="Arial Narrow" w:hAnsi="Arial Narrow" w:cs="Arial"/>
          <w:bCs/>
          <w:color w:val="000000" w:themeColor="text1"/>
          <w:lang w:eastAsia="es-CO"/>
        </w:rPr>
        <w:t>El faltante corresponde al importe del Fondo de Garantía Colectiva menos las aportaciones mínimas de todos los Miembros Liquidadores que participan en el Segmento, aplicando la fórmula que se indica a continuación:</w:t>
      </w:r>
    </w:p>
    <w:p w14:paraId="48963807" w14:textId="77777777" w:rsidR="007968EC" w:rsidRPr="00434C7D" w:rsidRDefault="007968EC" w:rsidP="007968EC">
      <w:pPr>
        <w:ind w:left="1560"/>
        <w:jc w:val="both"/>
        <w:rPr>
          <w:rFonts w:ascii="Arial Narrow" w:hAnsi="Arial Narrow" w:cs="Arial"/>
          <w:bCs/>
          <w:color w:val="000000" w:themeColor="text1"/>
          <w:lang w:eastAsia="es-CO"/>
        </w:rPr>
      </w:pPr>
    </w:p>
    <w:p w14:paraId="45F04247" w14:textId="77777777" w:rsidR="007968EC" w:rsidRPr="00434C7D" w:rsidRDefault="007968EC" w:rsidP="007968EC">
      <w:pPr>
        <w:ind w:left="1134"/>
        <w:jc w:val="both"/>
        <w:rPr>
          <w:rFonts w:ascii="Arial Narrow" w:hAnsi="Arial Narrow" w:cs="Arial"/>
          <w:bCs/>
          <w:color w:val="000000" w:themeColor="text1"/>
          <w:lang w:eastAsia="es-CO"/>
        </w:rPr>
      </w:pPr>
      <m:oMathPara>
        <m:oMath>
          <m:r>
            <m:rPr>
              <m:sty m:val="bi"/>
            </m:rPr>
            <w:rPr>
              <w:rFonts w:ascii="Cambria Math" w:hAnsi="Cambria Math" w:cs="Arial"/>
              <w:color w:val="000000" w:themeColor="text1"/>
              <w:lang w:eastAsia="es-CO"/>
            </w:rPr>
            <m:t>FGCf</m:t>
          </m:r>
          <m:r>
            <m:rPr>
              <m:sty m:val="b"/>
            </m:rPr>
            <w:rPr>
              <w:rFonts w:ascii="Cambria Math" w:hAnsi="Cambria Math" w:cs="Arial"/>
              <w:color w:val="000000" w:themeColor="text1"/>
              <w:lang w:eastAsia="es-CO"/>
            </w:rPr>
            <m:t xml:space="preserve">= </m:t>
          </m:r>
          <m:r>
            <m:rPr>
              <m:sty m:val="bi"/>
            </m:rPr>
            <w:rPr>
              <w:rFonts w:ascii="Cambria Math" w:hAnsi="Cambria Math" w:cs="Arial"/>
              <w:color w:val="000000" w:themeColor="text1"/>
              <w:lang w:eastAsia="es-CO"/>
            </w:rPr>
            <m:t>FGC</m:t>
          </m:r>
          <m:r>
            <m:rPr>
              <m:sty m:val="b"/>
            </m:rPr>
            <w:rPr>
              <w:rFonts w:ascii="Cambria Math" w:hAnsi="Cambria Math" w:cs="Arial"/>
              <w:color w:val="000000" w:themeColor="text1"/>
              <w:lang w:eastAsia="es-CO"/>
            </w:rPr>
            <m:t>-</m:t>
          </m:r>
          <m:nary>
            <m:naryPr>
              <m:chr m:val="∑"/>
              <m:limLoc m:val="undOvr"/>
              <m:ctrlPr>
                <w:rPr>
                  <w:rFonts w:ascii="Cambria Math" w:hAnsi="Cambria Math" w:cs="Arial"/>
                  <w:bCs/>
                  <w:color w:val="000000" w:themeColor="text1"/>
                  <w:lang w:eastAsia="es-CO"/>
                </w:rPr>
              </m:ctrlPr>
            </m:naryPr>
            <m:sub>
              <m:r>
                <m:rPr>
                  <m:sty m:val="bi"/>
                </m:rPr>
                <w:rPr>
                  <w:rFonts w:ascii="Cambria Math" w:hAnsi="Cambria Math" w:cs="Arial"/>
                  <w:color w:val="000000" w:themeColor="text1"/>
                  <w:lang w:eastAsia="es-CO"/>
                </w:rPr>
                <m:t>i</m:t>
              </m:r>
              <m:r>
                <m:rPr>
                  <m:sty m:val="b"/>
                </m:rPr>
                <w:rPr>
                  <w:rFonts w:ascii="Cambria Math" w:hAnsi="Cambria Math" w:cs="Arial"/>
                  <w:color w:val="000000" w:themeColor="text1"/>
                  <w:lang w:eastAsia="es-CO"/>
                </w:rPr>
                <m:t>=1</m:t>
              </m:r>
            </m:sub>
            <m:sup>
              <m:r>
                <m:rPr>
                  <m:sty m:val="bi"/>
                </m:rPr>
                <w:rPr>
                  <w:rFonts w:ascii="Cambria Math" w:hAnsi="Cambria Math" w:cs="Arial"/>
                  <w:color w:val="000000" w:themeColor="text1"/>
                  <w:lang w:eastAsia="es-CO"/>
                </w:rPr>
                <m:t>n</m:t>
              </m:r>
            </m:sup>
            <m:e>
              <m:sSub>
                <m:sSubPr>
                  <m:ctrlPr>
                    <w:rPr>
                      <w:rFonts w:ascii="Cambria Math" w:hAnsi="Cambria Math" w:cs="Arial"/>
                      <w:bCs/>
                      <w:color w:val="000000" w:themeColor="text1"/>
                      <w:lang w:eastAsia="es-CO"/>
                    </w:rPr>
                  </m:ctrlPr>
                </m:sSubPr>
                <m:e>
                  <m:r>
                    <m:rPr>
                      <m:sty m:val="bi"/>
                    </m:rPr>
                    <w:rPr>
                      <w:rFonts w:ascii="Cambria Math" w:hAnsi="Cambria Math" w:cs="Arial"/>
                      <w:color w:val="000000" w:themeColor="text1"/>
                      <w:lang w:eastAsia="es-CO"/>
                    </w:rPr>
                    <m:t>AM</m:t>
                  </m:r>
                </m:e>
                <m:sub>
                  <m:r>
                    <m:rPr>
                      <m:sty m:val="bi"/>
                    </m:rPr>
                    <w:rPr>
                      <w:rFonts w:ascii="Cambria Math" w:hAnsi="Cambria Math" w:cs="Arial"/>
                      <w:color w:val="000000" w:themeColor="text1"/>
                      <w:lang w:eastAsia="es-CO"/>
                    </w:rPr>
                    <m:t>MLi</m:t>
                  </m:r>
                </m:sub>
              </m:sSub>
            </m:e>
          </m:nary>
          <m:r>
            <m:rPr>
              <m:sty m:val="b"/>
            </m:rPr>
            <w:rPr>
              <w:rFonts w:ascii="Cambria Math" w:hAnsi="Cambria Math" w:cs="Arial"/>
              <w:color w:val="000000" w:themeColor="text1"/>
              <w:lang w:eastAsia="es-CO"/>
            </w:rPr>
            <m:t xml:space="preserve"> </m:t>
          </m:r>
        </m:oMath>
      </m:oMathPara>
    </w:p>
    <w:p w14:paraId="2D2B808D" w14:textId="77777777" w:rsidR="007968EC" w:rsidRPr="00434C7D" w:rsidRDefault="007968EC" w:rsidP="007968EC">
      <w:pPr>
        <w:ind w:left="1560"/>
        <w:jc w:val="both"/>
        <w:rPr>
          <w:rFonts w:ascii="Arial Narrow" w:hAnsi="Arial Narrow" w:cs="Arial"/>
          <w:bCs/>
          <w:color w:val="000000" w:themeColor="text1"/>
          <w:lang w:val="es-ES" w:eastAsia="es-ES"/>
        </w:rPr>
      </w:pPr>
      <w:r w:rsidRPr="00434C7D">
        <w:rPr>
          <w:rFonts w:ascii="Arial Narrow" w:hAnsi="Arial Narrow" w:cs="Arial"/>
          <w:bCs/>
          <w:color w:val="000000" w:themeColor="text1"/>
          <w:lang w:val="es-ES" w:eastAsia="es-ES"/>
        </w:rPr>
        <w:t>Donde:</w:t>
      </w:r>
    </w:p>
    <w:p w14:paraId="78EF6421" w14:textId="77777777" w:rsidR="007968EC" w:rsidRPr="00434C7D" w:rsidRDefault="007968EC" w:rsidP="007968EC">
      <w:pPr>
        <w:ind w:left="1134"/>
        <w:jc w:val="both"/>
        <w:rPr>
          <w:rFonts w:ascii="Arial Narrow" w:hAnsi="Arial Narrow" w:cs="Arial"/>
          <w:bCs/>
          <w:color w:val="000000" w:themeColor="text1"/>
          <w:lang w:val="es-ES" w:eastAsia="es-ES"/>
        </w:rPr>
      </w:pPr>
    </w:p>
    <w:p w14:paraId="12E14E10" w14:textId="77777777" w:rsidR="007968EC" w:rsidRPr="00434C7D" w:rsidRDefault="007968EC" w:rsidP="007968EC">
      <w:pPr>
        <w:ind w:left="1560"/>
        <w:jc w:val="both"/>
        <w:rPr>
          <w:rFonts w:ascii="Arial Narrow" w:hAnsi="Arial Narrow" w:cs="Arial"/>
          <w:bCs/>
          <w:color w:val="000000" w:themeColor="text1"/>
          <w:lang w:val="es-ES" w:eastAsia="es-ES"/>
        </w:rPr>
      </w:pPr>
      <m:oMath>
        <m:r>
          <m:rPr>
            <m:sty m:val="bi"/>
          </m:rPr>
          <w:rPr>
            <w:rFonts w:ascii="Cambria Math" w:hAnsi="Cambria Math" w:cs="Arial"/>
            <w:color w:val="000000" w:themeColor="text1"/>
            <w:lang w:val="es-ES" w:eastAsia="es-ES"/>
          </w:rPr>
          <m:t>FGCf</m:t>
        </m:r>
      </m:oMath>
      <w:r w:rsidRPr="00434C7D">
        <w:rPr>
          <w:rFonts w:ascii="Arial Narrow" w:hAnsi="Arial Narrow" w:cs="Arial"/>
          <w:color w:val="000000" w:themeColor="text1"/>
          <w:lang w:val="es-ES" w:eastAsia="es-ES"/>
        </w:rPr>
        <w:t>:</w:t>
      </w:r>
      <w:r w:rsidRPr="00434C7D">
        <w:rPr>
          <w:rFonts w:ascii="Arial Narrow" w:hAnsi="Arial Narrow" w:cs="Arial"/>
          <w:b/>
          <w:color w:val="000000" w:themeColor="text1"/>
          <w:lang w:val="es-ES" w:eastAsia="es-ES"/>
        </w:rPr>
        <w:t xml:space="preserve"> </w:t>
      </w:r>
      <w:r w:rsidRPr="00434C7D">
        <w:rPr>
          <w:rFonts w:ascii="Arial Narrow" w:hAnsi="Arial Narrow" w:cs="Arial"/>
          <w:color w:val="000000" w:themeColor="text1"/>
          <w:lang w:val="es-ES" w:eastAsia="es-ES"/>
        </w:rPr>
        <w:t>Fondo de Garantía Colectiva Faltante.</w:t>
      </w:r>
    </w:p>
    <w:p w14:paraId="687C69E4" w14:textId="77777777" w:rsidR="007968EC" w:rsidRPr="00434C7D" w:rsidRDefault="007968EC" w:rsidP="007968EC">
      <w:pPr>
        <w:ind w:left="1560"/>
        <w:jc w:val="both"/>
        <w:rPr>
          <w:rFonts w:ascii="Arial Narrow" w:hAnsi="Arial Narrow" w:cs="Arial"/>
          <w:bCs/>
          <w:color w:val="000000" w:themeColor="text1"/>
          <w:lang w:val="es-ES" w:eastAsia="es-ES"/>
        </w:rPr>
      </w:pPr>
      <m:oMath>
        <m:r>
          <m:rPr>
            <m:sty m:val="bi"/>
          </m:rPr>
          <w:rPr>
            <w:rFonts w:ascii="Cambria Math" w:hAnsi="Cambria Math" w:cs="Arial"/>
            <w:color w:val="000000" w:themeColor="text1"/>
            <w:lang w:val="es-ES" w:eastAsia="es-ES"/>
          </w:rPr>
          <m:t>FGC</m:t>
        </m:r>
      </m:oMath>
      <w:r w:rsidRPr="00434C7D">
        <w:rPr>
          <w:rFonts w:ascii="Arial Narrow" w:hAnsi="Arial Narrow" w:cs="Arial"/>
          <w:bCs/>
          <w:color w:val="000000" w:themeColor="text1"/>
          <w:lang w:val="es-ES" w:eastAsia="es-ES"/>
        </w:rPr>
        <w:t>: Fondo de Garantía Colectiva.</w:t>
      </w:r>
    </w:p>
    <w:p w14:paraId="07F744DF" w14:textId="77777777" w:rsidR="007968EC" w:rsidRPr="00434C7D" w:rsidRDefault="007968EC" w:rsidP="007968EC">
      <w:pPr>
        <w:ind w:left="1985" w:hanging="426"/>
        <w:jc w:val="both"/>
        <w:rPr>
          <w:rFonts w:ascii="Arial Narrow" w:hAnsi="Arial Narrow" w:cs="Arial"/>
          <w:bCs/>
          <w:color w:val="000000" w:themeColor="text1"/>
          <w:lang w:val="es-ES" w:eastAsia="es-ES"/>
        </w:rPr>
      </w:pPr>
      <m:oMath>
        <m:r>
          <m:rPr>
            <m:sty m:val="bi"/>
          </m:rPr>
          <w:rPr>
            <w:rFonts w:ascii="Cambria Math" w:hAnsi="Cambria Math" w:cs="Arial"/>
            <w:color w:val="000000" w:themeColor="text1"/>
            <w:lang w:val="es-ES" w:eastAsia="es-ES"/>
          </w:rPr>
          <m:t>AM</m:t>
        </m:r>
      </m:oMath>
      <w:r w:rsidRPr="00434C7D">
        <w:rPr>
          <w:rFonts w:ascii="Arial Narrow" w:hAnsi="Arial Narrow" w:cs="Arial"/>
          <w:bCs/>
          <w:color w:val="000000" w:themeColor="text1"/>
          <w:lang w:val="es-ES" w:eastAsia="es-ES"/>
        </w:rPr>
        <w:t>: Aportación Mínima.</w:t>
      </w:r>
    </w:p>
    <w:p w14:paraId="3419C7D9" w14:textId="77777777" w:rsidR="007968EC" w:rsidRPr="00434C7D" w:rsidRDefault="007968EC" w:rsidP="007968EC">
      <w:pPr>
        <w:ind w:left="2127" w:hanging="568"/>
        <w:jc w:val="both"/>
        <w:rPr>
          <w:rFonts w:ascii="Arial Narrow" w:hAnsi="Arial Narrow" w:cs="Arial"/>
          <w:bCs/>
          <w:color w:val="000000" w:themeColor="text1"/>
          <w:lang w:val="es-ES" w:eastAsia="es-ES"/>
        </w:rPr>
      </w:pPr>
      <m:oMath>
        <m:r>
          <m:rPr>
            <m:sty m:val="bi"/>
          </m:rPr>
          <w:rPr>
            <w:rFonts w:ascii="Cambria Math" w:hAnsi="Cambria Math" w:cs="Arial"/>
            <w:color w:val="000000" w:themeColor="text1"/>
            <w:lang w:val="es-ES" w:eastAsia="es-ES"/>
          </w:rPr>
          <m:t>ML</m:t>
        </m:r>
        <m:r>
          <m:rPr>
            <m:sty m:val="b"/>
          </m:rPr>
          <w:rPr>
            <w:rFonts w:ascii="Cambria Math" w:hAnsi="Cambria Math" w:cs="Arial"/>
            <w:color w:val="000000" w:themeColor="text1"/>
            <w:lang w:val="es-ES" w:eastAsia="es-ES"/>
          </w:rPr>
          <m:t>:</m:t>
        </m:r>
      </m:oMath>
      <w:r w:rsidRPr="00434C7D">
        <w:rPr>
          <w:rFonts w:ascii="Arial Narrow" w:hAnsi="Arial Narrow" w:cs="Arial"/>
          <w:bCs/>
          <w:color w:val="000000" w:themeColor="text1"/>
          <w:lang w:val="es-ES" w:eastAsia="es-ES"/>
        </w:rPr>
        <w:t xml:space="preserve"> Miembro Liquidador.</w:t>
      </w:r>
    </w:p>
    <w:p w14:paraId="5C14A972" w14:textId="77777777" w:rsidR="007968EC" w:rsidRPr="00434C7D" w:rsidRDefault="007968EC" w:rsidP="007968EC">
      <w:pPr>
        <w:ind w:left="1134"/>
        <w:jc w:val="both"/>
        <w:rPr>
          <w:rFonts w:ascii="Arial Narrow" w:hAnsi="Arial Narrow" w:cs="Arial"/>
          <w:bCs/>
          <w:color w:val="000000" w:themeColor="text1"/>
          <w:lang w:eastAsia="es-CO"/>
        </w:rPr>
      </w:pPr>
    </w:p>
    <w:p w14:paraId="1FB55D8C" w14:textId="77777777" w:rsidR="007968EC" w:rsidRPr="00434C7D" w:rsidRDefault="007968EC" w:rsidP="00DA7472">
      <w:pPr>
        <w:numPr>
          <w:ilvl w:val="6"/>
          <w:numId w:val="152"/>
        </w:numPr>
        <w:ind w:left="1560" w:hanging="426"/>
        <w:jc w:val="both"/>
        <w:rPr>
          <w:rFonts w:ascii="Arial Narrow" w:hAnsi="Arial Narrow" w:cs="Arial"/>
          <w:bCs/>
          <w:color w:val="000000" w:themeColor="text1"/>
          <w:lang w:eastAsia="es-CO"/>
        </w:rPr>
      </w:pPr>
      <w:r w:rsidRPr="00434C7D">
        <w:rPr>
          <w:rFonts w:ascii="Arial Narrow" w:hAnsi="Arial Narrow" w:cs="Arial"/>
          <w:bCs/>
          <w:color w:val="000000" w:themeColor="text1"/>
          <w:lang w:eastAsia="es-CO"/>
        </w:rPr>
        <w:t>El faltante se distribuye entre los Miembros Liquidadores no excluidos del cálculo con base en la prorrata establecida en el numeral anterior aplicando la siguiente fórmula:</w:t>
      </w:r>
    </w:p>
    <w:p w14:paraId="0BD28341" w14:textId="77777777" w:rsidR="007968EC" w:rsidRPr="00434C7D" w:rsidRDefault="007968EC" w:rsidP="007968EC">
      <w:pPr>
        <w:jc w:val="both"/>
        <w:rPr>
          <w:rFonts w:ascii="Arial Narrow" w:hAnsi="Arial Narrow" w:cs="Arial"/>
          <w:bCs/>
          <w:color w:val="000000" w:themeColor="text1"/>
          <w:lang w:val="es-ES" w:eastAsia="es-ES"/>
        </w:rPr>
      </w:pPr>
    </w:p>
    <w:p w14:paraId="2601FB5A" w14:textId="77777777" w:rsidR="007968EC" w:rsidRPr="00434C7D" w:rsidRDefault="00682D97" w:rsidP="007968EC">
      <w:pPr>
        <w:ind w:left="1560" w:hanging="426"/>
        <w:jc w:val="both"/>
        <w:rPr>
          <w:rFonts w:ascii="Arial Narrow" w:hAnsi="Arial Narrow" w:cs="Arial"/>
          <w:bCs/>
          <w:color w:val="000000" w:themeColor="text1"/>
          <w:lang w:val="es-ES" w:eastAsia="es-ES"/>
        </w:rPr>
      </w:pPr>
      <m:oMathPara>
        <m:oMath>
          <m:sSub>
            <m:sSubPr>
              <m:ctrlPr>
                <w:rPr>
                  <w:rFonts w:ascii="Cambria Math" w:hAnsi="Cambria Math" w:cs="Arial"/>
                  <w:b/>
                  <w:i/>
                  <w:color w:val="000000" w:themeColor="text1"/>
                  <w:lang w:val="es-ES" w:eastAsia="es-ES"/>
                </w:rPr>
              </m:ctrlPr>
            </m:sSubPr>
            <m:e>
              <m:r>
                <m:rPr>
                  <m:sty m:val="bi"/>
                </m:rPr>
                <w:rPr>
                  <w:rFonts w:ascii="Cambria Math" w:hAnsi="Cambria Math" w:cs="Arial"/>
                  <w:color w:val="000000" w:themeColor="text1"/>
                  <w:lang w:val="es-ES" w:eastAsia="es-ES"/>
                </w:rPr>
                <m:t>Afgc</m:t>
              </m:r>
            </m:e>
            <m:sub>
              <m:r>
                <m:rPr>
                  <m:sty m:val="bi"/>
                </m:rPr>
                <w:rPr>
                  <w:rFonts w:ascii="Cambria Math" w:hAnsi="Cambria Math" w:cs="Arial"/>
                  <w:color w:val="000000" w:themeColor="text1"/>
                  <w:lang w:val="es-ES" w:eastAsia="es-ES"/>
                </w:rPr>
                <m:t>i</m:t>
              </m:r>
            </m:sub>
          </m:sSub>
          <m:r>
            <m:rPr>
              <m:sty m:val="b"/>
            </m:rPr>
            <w:rPr>
              <w:rFonts w:ascii="Cambria Math" w:hAnsi="Cambria Math" w:cs="Arial"/>
              <w:color w:val="000000" w:themeColor="text1"/>
              <w:lang w:val="es-ES" w:eastAsia="es-ES"/>
            </w:rPr>
            <m:t>=</m:t>
          </m:r>
          <m:r>
            <m:rPr>
              <m:sty m:val="bi"/>
            </m:rPr>
            <w:rPr>
              <w:rFonts w:ascii="Cambria Math" w:hAnsi="Cambria Math" w:cs="Arial"/>
              <w:color w:val="000000" w:themeColor="text1"/>
              <w:lang w:val="es-ES" w:eastAsia="es-ES"/>
            </w:rPr>
            <m:t>FGCf</m:t>
          </m:r>
          <m:r>
            <m:rPr>
              <m:sty m:val="b"/>
            </m:rPr>
            <w:rPr>
              <w:rFonts w:ascii="Cambria Math" w:hAnsi="Cambria Math" w:cs="Arial"/>
              <w:color w:val="000000" w:themeColor="text1"/>
              <w:lang w:val="es-ES" w:eastAsia="es-ES"/>
            </w:rPr>
            <m:t>*</m:t>
          </m:r>
          <m:f>
            <m:fPr>
              <m:ctrlPr>
                <w:rPr>
                  <w:rFonts w:ascii="Cambria Math" w:hAnsi="Cambria Math" w:cs="Arial"/>
                  <w:bCs/>
                  <w:color w:val="000000" w:themeColor="text1"/>
                  <w:lang w:val="es-ES" w:eastAsia="es-ES"/>
                </w:rPr>
              </m:ctrlPr>
            </m:fPr>
            <m:num>
              <m:sSub>
                <m:sSubPr>
                  <m:ctrlPr>
                    <w:rPr>
                      <w:rFonts w:ascii="Cambria Math" w:hAnsi="Cambria Math" w:cs="Arial"/>
                      <w:bCs/>
                      <w:color w:val="000000" w:themeColor="text1"/>
                      <w:lang w:val="es-ES" w:eastAsia="es-ES"/>
                    </w:rPr>
                  </m:ctrlPr>
                </m:sSubPr>
                <m:e>
                  <m:r>
                    <m:rPr>
                      <m:sty m:val="b"/>
                    </m:rPr>
                    <w:rPr>
                      <w:rFonts w:ascii="Cambria Math" w:hAnsi="Cambria Math" w:cs="Arial"/>
                      <w:color w:val="000000" w:themeColor="text1"/>
                      <w:lang w:val="es-ES" w:eastAsia="es-ES"/>
                    </w:rPr>
                    <m:t>(aportación total-aportación mínima)</m:t>
                  </m:r>
                </m:e>
                <m:sub>
                  <m:r>
                    <m:rPr>
                      <m:sty m:val="bi"/>
                    </m:rPr>
                    <w:rPr>
                      <w:rFonts w:ascii="Cambria Math" w:hAnsi="Cambria Math" w:cs="Arial"/>
                      <w:color w:val="000000" w:themeColor="text1"/>
                      <w:lang w:val="es-ES" w:eastAsia="es-ES"/>
                    </w:rPr>
                    <m:t>i</m:t>
                  </m:r>
                </m:sub>
              </m:sSub>
            </m:num>
            <m:den>
              <m:nary>
                <m:naryPr>
                  <m:chr m:val="∑"/>
                  <m:limLoc m:val="undOvr"/>
                  <m:ctrlPr>
                    <w:rPr>
                      <w:rFonts w:ascii="Cambria Math" w:hAnsi="Cambria Math" w:cs="Arial"/>
                      <w:bCs/>
                      <w:i/>
                      <w:color w:val="000000" w:themeColor="text1"/>
                      <w:lang w:val="es-ES" w:eastAsia="es-ES"/>
                    </w:rPr>
                  </m:ctrlPr>
                </m:naryPr>
                <m:sub>
                  <m:r>
                    <m:rPr>
                      <m:sty m:val="bi"/>
                    </m:rPr>
                    <w:rPr>
                      <w:rFonts w:ascii="Cambria Math" w:hAnsi="Cambria Math" w:cs="Arial"/>
                      <w:color w:val="000000" w:themeColor="text1"/>
                      <w:lang w:val="es-ES" w:eastAsia="es-ES"/>
                    </w:rPr>
                    <m:t>i=1</m:t>
                  </m:r>
                </m:sub>
                <m:sup>
                  <m:r>
                    <m:rPr>
                      <m:sty m:val="bi"/>
                    </m:rPr>
                    <w:rPr>
                      <w:rFonts w:ascii="Cambria Math" w:hAnsi="Cambria Math" w:cs="Arial"/>
                      <w:color w:val="000000" w:themeColor="text1"/>
                      <w:lang w:val="es-ES" w:eastAsia="es-ES"/>
                    </w:rPr>
                    <m:t>n</m:t>
                  </m:r>
                </m:sup>
                <m:e>
                  <m:sSub>
                    <m:sSubPr>
                      <m:ctrlPr>
                        <w:rPr>
                          <w:rFonts w:ascii="Cambria Math" w:hAnsi="Cambria Math" w:cs="Arial"/>
                          <w:bCs/>
                          <w:i/>
                          <w:color w:val="000000" w:themeColor="text1"/>
                          <w:lang w:val="es-ES" w:eastAsia="es-ES"/>
                        </w:rPr>
                      </m:ctrlPr>
                    </m:sSubPr>
                    <m:e>
                      <m:r>
                        <m:rPr>
                          <m:sty m:val="bi"/>
                        </m:rPr>
                        <w:rPr>
                          <w:rFonts w:ascii="Cambria Math" w:hAnsi="Cambria Math" w:cs="Arial"/>
                          <w:color w:val="000000" w:themeColor="text1"/>
                          <w:lang w:val="es-ES" w:eastAsia="es-ES"/>
                        </w:rPr>
                        <m:t>(aportación total-aportación mínima)</m:t>
                      </m:r>
                    </m:e>
                    <m:sub>
                      <m:r>
                        <m:rPr>
                          <m:sty m:val="bi"/>
                        </m:rPr>
                        <w:rPr>
                          <w:rFonts w:ascii="Cambria Math" w:hAnsi="Cambria Math" w:cs="Arial"/>
                          <w:color w:val="000000" w:themeColor="text1"/>
                          <w:lang w:val="es-ES" w:eastAsia="es-ES"/>
                        </w:rPr>
                        <m:t>i</m:t>
                      </m:r>
                    </m:sub>
                  </m:sSub>
                </m:e>
              </m:nary>
            </m:den>
          </m:f>
        </m:oMath>
      </m:oMathPara>
    </w:p>
    <w:p w14:paraId="35148204" w14:textId="77777777" w:rsidR="007968EC" w:rsidRPr="00434C7D" w:rsidRDefault="007968EC" w:rsidP="007968EC">
      <w:pPr>
        <w:ind w:left="1134"/>
        <w:jc w:val="both"/>
        <w:rPr>
          <w:rFonts w:ascii="Arial Narrow" w:hAnsi="Arial Narrow" w:cs="Arial"/>
          <w:bCs/>
          <w:color w:val="000000" w:themeColor="text1"/>
          <w:lang w:val="es-ES" w:eastAsia="es-ES"/>
        </w:rPr>
      </w:pPr>
    </w:p>
    <w:p w14:paraId="6ECC9084" w14:textId="77777777" w:rsidR="007968EC" w:rsidRPr="00434C7D" w:rsidRDefault="007968EC" w:rsidP="007968EC">
      <w:pPr>
        <w:ind w:left="1560"/>
        <w:jc w:val="both"/>
        <w:rPr>
          <w:rFonts w:ascii="Arial Narrow" w:hAnsi="Arial Narrow" w:cs="Arial"/>
          <w:bCs/>
          <w:color w:val="000000" w:themeColor="text1"/>
          <w:lang w:val="es-ES" w:eastAsia="es-ES"/>
        </w:rPr>
      </w:pPr>
      <w:r w:rsidRPr="00434C7D">
        <w:rPr>
          <w:rFonts w:ascii="Arial Narrow" w:hAnsi="Arial Narrow" w:cs="Arial"/>
          <w:bCs/>
          <w:color w:val="000000" w:themeColor="text1"/>
          <w:lang w:val="es-ES" w:eastAsia="es-ES"/>
        </w:rPr>
        <w:lastRenderedPageBreak/>
        <w:t>Donde:</w:t>
      </w:r>
    </w:p>
    <w:p w14:paraId="38D11994" w14:textId="77777777" w:rsidR="007968EC" w:rsidRPr="00434C7D" w:rsidRDefault="007968EC" w:rsidP="007968EC">
      <w:pPr>
        <w:ind w:left="1134"/>
        <w:jc w:val="both"/>
        <w:rPr>
          <w:rFonts w:ascii="Arial Narrow" w:hAnsi="Arial Narrow" w:cs="Arial"/>
          <w:bCs/>
          <w:color w:val="000000" w:themeColor="text1"/>
          <w:lang w:val="es-ES" w:eastAsia="es-ES"/>
        </w:rPr>
      </w:pPr>
    </w:p>
    <w:p w14:paraId="48CF25E5" w14:textId="77777777" w:rsidR="007968EC" w:rsidRPr="00434C7D" w:rsidRDefault="00682D97" w:rsidP="007968EC">
      <w:pPr>
        <w:ind w:left="2268" w:hanging="708"/>
        <w:jc w:val="both"/>
        <w:rPr>
          <w:rFonts w:ascii="Arial Narrow" w:hAnsi="Arial Narrow" w:cs="Arial"/>
          <w:bCs/>
          <w:color w:val="000000" w:themeColor="text1"/>
          <w:lang w:val="es-ES" w:eastAsia="es-ES"/>
        </w:rPr>
      </w:pPr>
      <m:oMath>
        <m:sSub>
          <m:sSubPr>
            <m:ctrlPr>
              <w:rPr>
                <w:rFonts w:ascii="Cambria Math" w:hAnsi="Cambria Math" w:cs="Arial"/>
                <w:b/>
                <w:i/>
                <w:color w:val="000000" w:themeColor="text1"/>
                <w:lang w:val="es-ES" w:eastAsia="es-ES"/>
              </w:rPr>
            </m:ctrlPr>
          </m:sSubPr>
          <m:e>
            <m:r>
              <m:rPr>
                <m:sty m:val="bi"/>
              </m:rPr>
              <w:rPr>
                <w:rFonts w:ascii="Cambria Math" w:hAnsi="Cambria Math" w:cs="Arial"/>
                <w:color w:val="000000" w:themeColor="text1"/>
                <w:lang w:val="es-ES" w:eastAsia="es-ES"/>
              </w:rPr>
              <m:t>Afgc</m:t>
            </m:r>
          </m:e>
          <m:sub>
            <m:r>
              <m:rPr>
                <m:sty m:val="bi"/>
              </m:rPr>
              <w:rPr>
                <w:rFonts w:ascii="Cambria Math" w:hAnsi="Cambria Math" w:cs="Arial"/>
                <w:color w:val="000000" w:themeColor="text1"/>
                <w:lang w:val="es-ES" w:eastAsia="es-ES"/>
              </w:rPr>
              <m:t>i</m:t>
            </m:r>
          </m:sub>
        </m:sSub>
      </m:oMath>
      <w:r w:rsidR="007968EC" w:rsidRPr="00434C7D">
        <w:rPr>
          <w:rFonts w:ascii="Arial Narrow" w:hAnsi="Arial Narrow" w:cs="Arial"/>
          <w:bCs/>
          <w:color w:val="000000" w:themeColor="text1"/>
          <w:lang w:val="es-ES" w:eastAsia="es-ES"/>
        </w:rPr>
        <w:t>: Aportación al Fondo de Garantía Colectiva del Miembro Liquidador i.</w:t>
      </w:r>
    </w:p>
    <w:p w14:paraId="4DEDA7F2" w14:textId="77777777" w:rsidR="007968EC" w:rsidRPr="00434C7D" w:rsidRDefault="007968EC" w:rsidP="007968EC">
      <w:pPr>
        <w:ind w:left="2268" w:hanging="708"/>
        <w:jc w:val="both"/>
        <w:rPr>
          <w:rFonts w:ascii="Arial Narrow" w:hAnsi="Arial Narrow" w:cs="Arial"/>
          <w:bCs/>
          <w:color w:val="000000" w:themeColor="text1"/>
          <w:lang w:val="es-ES" w:eastAsia="es-ES"/>
        </w:rPr>
      </w:pPr>
      <m:oMath>
        <m:r>
          <m:rPr>
            <m:sty m:val="bi"/>
          </m:rPr>
          <w:rPr>
            <w:rFonts w:ascii="Cambria Math" w:hAnsi="Cambria Math" w:cs="Arial"/>
            <w:color w:val="000000" w:themeColor="text1"/>
            <w:lang w:val="es-ES" w:eastAsia="es-ES"/>
          </w:rPr>
          <m:t>Rst</m:t>
        </m:r>
      </m:oMath>
      <w:r w:rsidRPr="00434C7D">
        <w:rPr>
          <w:rFonts w:ascii="Arial Narrow" w:hAnsi="Arial Narrow" w:cs="Arial"/>
          <w:bCs/>
          <w:color w:val="000000" w:themeColor="text1"/>
          <w:lang w:val="es-ES" w:eastAsia="es-ES"/>
        </w:rPr>
        <w:t>: Riesgo en situación de estrés.</w:t>
      </w:r>
    </w:p>
    <w:p w14:paraId="3150BC04" w14:textId="77777777" w:rsidR="007968EC" w:rsidRPr="00434C7D" w:rsidRDefault="007968EC" w:rsidP="007968EC">
      <w:pPr>
        <w:ind w:left="2268" w:hanging="708"/>
        <w:jc w:val="both"/>
        <w:rPr>
          <w:rFonts w:ascii="Arial Narrow" w:hAnsi="Arial Narrow" w:cs="Arial"/>
          <w:bCs/>
          <w:color w:val="000000" w:themeColor="text1"/>
          <w:lang w:val="es-ES" w:eastAsia="es-ES"/>
        </w:rPr>
      </w:pPr>
      <m:oMath>
        <m:r>
          <m:rPr>
            <m:sty m:val="bi"/>
          </m:rPr>
          <w:rPr>
            <w:rFonts w:ascii="Cambria Math" w:hAnsi="Cambria Math" w:cs="Arial"/>
            <w:color w:val="000000" w:themeColor="text1"/>
            <w:lang w:val="es-ES" w:eastAsia="es-ES"/>
          </w:rPr>
          <m:t>RST</m:t>
        </m:r>
      </m:oMath>
      <w:r w:rsidRPr="00434C7D">
        <w:rPr>
          <w:rFonts w:ascii="Arial Narrow" w:hAnsi="Arial Narrow" w:cs="Arial"/>
          <w:bCs/>
          <w:color w:val="000000" w:themeColor="text1"/>
          <w:lang w:val="es-ES" w:eastAsia="es-ES"/>
        </w:rPr>
        <w:t>: Riesgo en situación de estrés total.</w:t>
      </w:r>
    </w:p>
    <w:p w14:paraId="0149BBC6" w14:textId="77777777" w:rsidR="007968EC" w:rsidRPr="00434C7D" w:rsidRDefault="007968EC" w:rsidP="007968EC">
      <w:pPr>
        <w:ind w:left="1134"/>
        <w:jc w:val="both"/>
        <w:rPr>
          <w:rFonts w:ascii="Arial Narrow" w:hAnsi="Arial Narrow" w:cs="Arial"/>
          <w:bCs/>
          <w:color w:val="000000" w:themeColor="text1"/>
          <w:lang w:eastAsia="es-CO"/>
        </w:rPr>
      </w:pPr>
    </w:p>
    <w:p w14:paraId="04B55800" w14:textId="77777777" w:rsidR="007968EC" w:rsidRPr="00434C7D" w:rsidRDefault="007968EC" w:rsidP="007968EC">
      <w:pPr>
        <w:tabs>
          <w:tab w:val="left" w:pos="567"/>
        </w:tabs>
        <w:ind w:left="1134"/>
        <w:jc w:val="both"/>
        <w:rPr>
          <w:rFonts w:ascii="Arial Narrow" w:hAnsi="Arial Narrow" w:cs="Arial"/>
          <w:bCs/>
          <w:color w:val="000000" w:themeColor="text1"/>
          <w:lang w:eastAsia="es-CO"/>
        </w:rPr>
      </w:pPr>
      <w:r w:rsidRPr="00434C7D">
        <w:rPr>
          <w:rFonts w:ascii="Arial Narrow" w:hAnsi="Arial Narrow" w:cs="Arial"/>
          <w:bCs/>
          <w:color w:val="000000" w:themeColor="text1"/>
          <w:lang w:eastAsia="es-CO"/>
        </w:rPr>
        <w:t xml:space="preserve">Halladas las aportaciones adicionales para cada Miembro Liquidador, a éstas se le adicionan las aportaciones mínimas, obteniendo las aportaciones totales que deberá constituir cada Miembro Liquidador. </w:t>
      </w:r>
    </w:p>
    <w:p w14:paraId="3BFDACE7" w14:textId="77777777" w:rsidR="007968EC" w:rsidRPr="00434C7D" w:rsidRDefault="007968EC" w:rsidP="007968EC">
      <w:pPr>
        <w:tabs>
          <w:tab w:val="left" w:pos="567"/>
        </w:tabs>
        <w:ind w:left="426"/>
        <w:jc w:val="both"/>
        <w:rPr>
          <w:rFonts w:ascii="Arial Narrow" w:hAnsi="Arial Narrow" w:cs="Arial"/>
          <w:b/>
          <w:color w:val="000000" w:themeColor="text1"/>
          <w:lang w:eastAsia="es-CO"/>
        </w:rPr>
      </w:pPr>
    </w:p>
    <w:p w14:paraId="0DDEE209" w14:textId="77777777" w:rsidR="007968EC" w:rsidRPr="00434C7D" w:rsidRDefault="007968EC" w:rsidP="007968EC">
      <w:pPr>
        <w:jc w:val="both"/>
        <w:rPr>
          <w:rFonts w:ascii="Arial Narrow" w:hAnsi="Arial Narrow" w:cs="Arial"/>
          <w:bCs/>
          <w:color w:val="000000" w:themeColor="text1"/>
          <w:lang w:val="es-ES" w:eastAsia="es-ES"/>
        </w:rPr>
      </w:pPr>
      <w:r w:rsidRPr="00434C7D">
        <w:rPr>
          <w:rFonts w:ascii="Arial Narrow" w:hAnsi="Arial Narrow" w:cs="Arial"/>
          <w:b/>
          <w:bCs/>
          <w:color w:val="000000" w:themeColor="text1"/>
          <w:lang w:val="es-ES" w:eastAsia="es-ES"/>
        </w:rPr>
        <w:t xml:space="preserve">Parágrafo Primero. </w:t>
      </w:r>
      <w:r w:rsidRPr="00434C7D">
        <w:rPr>
          <w:rFonts w:ascii="Arial Narrow" w:hAnsi="Arial Narrow" w:cs="Arial"/>
          <w:bCs/>
          <w:color w:val="000000" w:themeColor="text1"/>
          <w:lang w:val="es-ES" w:eastAsia="es-ES"/>
        </w:rPr>
        <w:t>Durante los primeros tres (3) meses de inicio de un Segmento, el cálculo del importe del Fondo de Garantía Colectiva a que se refiere el primer inciso del presente artículo se realizará mensualmente. Cumplidos los primeros tres (3) meses de inicio de un Segmento el cálculo del importe del Fondo de Garantía Colectiva se realizará como mínimo trimestralmente de acuerdo con la fórmula establecida en el presente artículo y las particularidades de cada Segmento.</w:t>
      </w:r>
    </w:p>
    <w:p w14:paraId="3A922BC4" w14:textId="77777777" w:rsidR="007968EC" w:rsidRPr="00434C7D" w:rsidRDefault="007968EC" w:rsidP="007968EC">
      <w:pPr>
        <w:jc w:val="both"/>
        <w:rPr>
          <w:rFonts w:ascii="Arial Narrow" w:hAnsi="Arial Narrow" w:cs="Arial"/>
          <w:bCs/>
          <w:color w:val="000000" w:themeColor="text1"/>
          <w:lang w:val="es-ES" w:eastAsia="es-ES"/>
        </w:rPr>
      </w:pPr>
    </w:p>
    <w:p w14:paraId="14A5D666" w14:textId="77777777" w:rsidR="007968EC" w:rsidRDefault="007968EC" w:rsidP="007968EC">
      <w:pPr>
        <w:jc w:val="both"/>
        <w:rPr>
          <w:rFonts w:ascii="Arial Narrow" w:hAnsi="Arial Narrow" w:cs="Arial"/>
          <w:bCs/>
          <w:color w:val="000000" w:themeColor="text1"/>
          <w:lang w:val="es-ES" w:eastAsia="es-ES"/>
        </w:rPr>
      </w:pPr>
      <w:bookmarkStart w:id="1977" w:name="_Toc470775466"/>
      <w:bookmarkStart w:id="1978" w:name="_Toc470779751"/>
      <w:bookmarkStart w:id="1979" w:name="_Toc470780368"/>
      <w:bookmarkStart w:id="1980" w:name="_Toc470780881"/>
      <w:bookmarkStart w:id="1981" w:name="_Toc470784442"/>
      <w:bookmarkStart w:id="1982" w:name="_Toc470784979"/>
      <w:bookmarkStart w:id="1983" w:name="_Toc470791356"/>
      <w:bookmarkStart w:id="1984" w:name="_Toc471831566"/>
      <w:bookmarkStart w:id="1985" w:name="_Toc490066261"/>
      <w:bookmarkStart w:id="1986" w:name="_Toc490079036"/>
      <w:r w:rsidRPr="00434C7D">
        <w:rPr>
          <w:rFonts w:ascii="Arial Narrow" w:hAnsi="Arial Narrow" w:cs="Arial"/>
          <w:b/>
          <w:bCs/>
          <w:color w:val="000000" w:themeColor="text1"/>
          <w:lang w:val="es-ES" w:eastAsia="es-ES"/>
        </w:rPr>
        <w:t xml:space="preserve">Parágrafo Segundo. </w:t>
      </w:r>
      <w:bookmarkEnd w:id="1977"/>
      <w:bookmarkEnd w:id="1978"/>
      <w:bookmarkEnd w:id="1979"/>
      <w:bookmarkEnd w:id="1980"/>
      <w:bookmarkEnd w:id="1981"/>
      <w:bookmarkEnd w:id="1982"/>
      <w:bookmarkEnd w:id="1983"/>
      <w:bookmarkEnd w:id="1984"/>
      <w:bookmarkEnd w:id="1985"/>
      <w:bookmarkEnd w:id="1986"/>
      <w:r w:rsidRPr="00434C7D">
        <w:rPr>
          <w:rFonts w:ascii="Arial Narrow" w:hAnsi="Arial Narrow" w:cs="Arial"/>
          <w:bCs/>
          <w:color w:val="000000" w:themeColor="text1"/>
          <w:lang w:val="es-ES" w:eastAsia="es-ES"/>
        </w:rPr>
        <w:t>La Nación - Ministerio de Hacienda y Crédito Público y el Banco de la República en razón a su naturaleza jurídica, no estarán obligados a constituir, mantener y reponer las Garantías exigidas a través de aportaciones al Fondo de Garantía Colectiva. Estas últimas entidades deberán cubrir su riesgo en situación de estrés mediante la constitución de Garantías Individuales</w:t>
      </w:r>
      <w:r>
        <w:rPr>
          <w:rFonts w:ascii="Arial Narrow" w:hAnsi="Arial Narrow" w:cs="Arial"/>
          <w:bCs/>
          <w:color w:val="000000" w:themeColor="text1"/>
          <w:lang w:val="es-ES" w:eastAsia="es-ES"/>
        </w:rPr>
        <w:t xml:space="preserve"> equivalentes al</w:t>
      </w:r>
      <w:r w:rsidRPr="00653F0D">
        <w:rPr>
          <w:rFonts w:ascii="Arial Narrow" w:hAnsi="Arial Narrow"/>
          <w:lang w:val="es-ES"/>
        </w:rPr>
        <w:t xml:space="preserve"> promedio diario trimestral de</w:t>
      </w:r>
      <w:r>
        <w:rPr>
          <w:rFonts w:ascii="Arial Narrow" w:hAnsi="Arial Narrow"/>
          <w:lang w:val="es-ES"/>
        </w:rPr>
        <w:t xml:space="preserve"> su</w:t>
      </w:r>
      <w:r w:rsidRPr="00653F0D">
        <w:rPr>
          <w:rFonts w:ascii="Arial Narrow" w:hAnsi="Arial Narrow"/>
          <w:lang w:val="es-ES"/>
        </w:rPr>
        <w:t xml:space="preserve"> riesgo en situación de estrés</w:t>
      </w:r>
      <w:r w:rsidRPr="00434C7D">
        <w:rPr>
          <w:rFonts w:ascii="Arial Narrow" w:hAnsi="Arial Narrow" w:cs="Arial"/>
          <w:bCs/>
          <w:color w:val="000000" w:themeColor="text1"/>
          <w:lang w:val="es-ES" w:eastAsia="es-ES"/>
        </w:rPr>
        <w:t xml:space="preserve">. En todo caso, dichas Garantías Individuales no serán inferiores a </w:t>
      </w:r>
      <w:r w:rsidRPr="00B70DC5">
        <w:rPr>
          <w:rFonts w:ascii="Arial Narrow" w:hAnsi="Arial Narrow" w:cs="Arial"/>
          <w:bCs/>
          <w:color w:val="000000" w:themeColor="text1"/>
          <w:lang w:val="es-ES" w:eastAsia="es-ES"/>
        </w:rPr>
        <w:t>quinientos sesenta millones de pesos ($560.000.000).</w:t>
      </w:r>
    </w:p>
    <w:p w14:paraId="391EB284" w14:textId="77777777" w:rsidR="007968EC" w:rsidRDefault="007968EC" w:rsidP="007968EC">
      <w:pPr>
        <w:jc w:val="both"/>
        <w:rPr>
          <w:rFonts w:ascii="Arial Narrow" w:hAnsi="Arial Narrow" w:cs="Arial"/>
          <w:bCs/>
          <w:color w:val="000000" w:themeColor="text1"/>
          <w:lang w:val="es-ES" w:eastAsia="es-ES"/>
        </w:rPr>
      </w:pPr>
    </w:p>
    <w:p w14:paraId="69B332EA" w14:textId="77777777" w:rsidR="007968EC" w:rsidRPr="00434C7D" w:rsidRDefault="007968EC" w:rsidP="007968EC">
      <w:pPr>
        <w:jc w:val="both"/>
        <w:rPr>
          <w:rFonts w:ascii="Arial Narrow" w:hAnsi="Arial Narrow" w:cs="Arial"/>
          <w:bCs/>
          <w:color w:val="000000" w:themeColor="text1"/>
          <w:lang w:val="es-ES" w:eastAsia="es-ES"/>
        </w:rPr>
      </w:pPr>
      <w:r w:rsidRPr="00434C7D">
        <w:rPr>
          <w:rFonts w:ascii="Arial Narrow" w:hAnsi="Arial Narrow" w:cs="Arial"/>
          <w:b/>
          <w:color w:val="000000" w:themeColor="text1"/>
          <w:lang w:val="es-ES" w:eastAsia="es-ES"/>
        </w:rPr>
        <w:t>Parágrafo</w:t>
      </w:r>
      <w:r w:rsidRPr="00434C7D">
        <w:rPr>
          <w:rFonts w:ascii="Arial Narrow" w:hAnsi="Arial Narrow" w:cs="Arial"/>
          <w:b/>
          <w:bCs/>
          <w:color w:val="000000" w:themeColor="text1"/>
          <w:lang w:val="es-ES" w:eastAsia="es-ES"/>
        </w:rPr>
        <w:t xml:space="preserve"> Tercero.</w:t>
      </w:r>
      <w:r w:rsidRPr="00434C7D">
        <w:rPr>
          <w:rFonts w:ascii="Arial Narrow" w:hAnsi="Arial Narrow" w:cs="Arial"/>
          <w:b/>
          <w:color w:val="000000" w:themeColor="text1"/>
          <w:lang w:val="es-ES" w:eastAsia="es-ES"/>
        </w:rPr>
        <w:t xml:space="preserve"> </w:t>
      </w:r>
      <w:r w:rsidRPr="00434C7D">
        <w:rPr>
          <w:rFonts w:ascii="Arial Narrow" w:hAnsi="Arial Narrow" w:cs="Arial"/>
          <w:bCs/>
          <w:color w:val="000000" w:themeColor="text1"/>
          <w:lang w:val="es-ES" w:eastAsia="es-ES"/>
        </w:rPr>
        <w:t>Las aportaciones a los Fondos de Garantía Colectiva serán redondeadas al múltiplo superior de diez millones pesos ($10.000.000).</w:t>
      </w:r>
    </w:p>
    <w:p w14:paraId="1AB5275B" w14:textId="77777777" w:rsidR="007968EC" w:rsidRPr="00434C7D" w:rsidRDefault="007968EC" w:rsidP="007968EC">
      <w:pPr>
        <w:jc w:val="both"/>
        <w:rPr>
          <w:rFonts w:ascii="Arial Narrow" w:hAnsi="Arial Narrow" w:cs="Arial"/>
          <w:bCs/>
          <w:color w:val="000000" w:themeColor="text1"/>
          <w:lang w:val="es-ES" w:eastAsia="es-ES"/>
        </w:rPr>
      </w:pPr>
    </w:p>
    <w:p w14:paraId="32B39A90" w14:textId="77777777" w:rsidR="007968EC" w:rsidRPr="002C0D19" w:rsidRDefault="007968EC" w:rsidP="007968EC">
      <w:pPr>
        <w:jc w:val="both"/>
        <w:rPr>
          <w:rFonts w:ascii="Arial Narrow" w:hAnsi="Arial Narrow" w:cs="Arial"/>
          <w:b/>
          <w:color w:val="000000" w:themeColor="text1"/>
          <w:lang w:val="es-ES" w:eastAsia="es-ES"/>
        </w:rPr>
      </w:pPr>
      <w:r w:rsidRPr="00FF76BB">
        <w:rPr>
          <w:rFonts w:ascii="Arial Narrow" w:hAnsi="Arial Narrow" w:cs="Arial"/>
          <w:b/>
          <w:bCs/>
          <w:color w:val="000000" w:themeColor="text1"/>
          <w:lang w:val="es-ES" w:eastAsia="es-ES"/>
        </w:rPr>
        <w:t xml:space="preserve">Parágrafo Cuarto. </w:t>
      </w:r>
      <w:r w:rsidRPr="00FF76BB">
        <w:rPr>
          <w:rFonts w:ascii="Arial Narrow" w:hAnsi="Arial Narrow" w:cs="Arial"/>
          <w:bCs/>
          <w:color w:val="000000" w:themeColor="text1"/>
          <w:lang w:val="es-ES" w:eastAsia="es-ES"/>
        </w:rPr>
        <w:t>Sin perjuicio de lo previsto en el literal d. del numeral 1. del presente artículo, la Cámara podrá establecer fórmulas distintas para el cálculo del riesgo en situación de estrés para un Activo o Segmento en particular. Las fórmulas de cálculo aplicables a dicho Activo o Segmento serán las descritas en la parte de la Circular que corresponda.</w:t>
      </w:r>
    </w:p>
    <w:p w14:paraId="2F3D4B3F"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5D7C8DEC" w14:textId="77777777" w:rsidR="007968EC" w:rsidRDefault="007968EC" w:rsidP="007968EC">
      <w:pPr>
        <w:pStyle w:val="ARTICULO0"/>
      </w:pPr>
      <w:bookmarkStart w:id="1987" w:name="_Toc472592142"/>
      <w:bookmarkStart w:id="1988" w:name="_Toc472593161"/>
      <w:bookmarkStart w:id="1989" w:name="_Toc479056947"/>
      <w:bookmarkStart w:id="1990" w:name="_Toc31715960"/>
      <w:bookmarkStart w:id="1991" w:name="_Toc470775467"/>
      <w:bookmarkStart w:id="1992" w:name="_Toc470779752"/>
      <w:bookmarkStart w:id="1993" w:name="_Toc470780369"/>
      <w:bookmarkStart w:id="1994" w:name="_Toc470780882"/>
      <w:bookmarkStart w:id="1995" w:name="_Toc470784443"/>
      <w:bookmarkStart w:id="1996" w:name="_Toc470784980"/>
      <w:bookmarkStart w:id="1997" w:name="_Toc470791357"/>
      <w:bookmarkStart w:id="1998" w:name="_Toc490066262"/>
      <w:r w:rsidRPr="002C0D19">
        <w:t>Artículo 1.6.2.10. Importe mínimo del Fondo de Garantía Colectiva total para cada Segmento.</w:t>
      </w:r>
      <w:bookmarkEnd w:id="1987"/>
      <w:bookmarkEnd w:id="1988"/>
      <w:bookmarkEnd w:id="1989"/>
      <w:bookmarkEnd w:id="1990"/>
      <w:r w:rsidRPr="002C0D19">
        <w:t xml:space="preserve"> </w:t>
      </w:r>
    </w:p>
    <w:p w14:paraId="0E5D6F01" w14:textId="77777777" w:rsidR="007968EC" w:rsidRDefault="007968EC" w:rsidP="00074A74">
      <w:pPr>
        <w:pStyle w:val="Ttulo0"/>
      </w:pPr>
    </w:p>
    <w:p w14:paraId="31782BCB" w14:textId="77777777" w:rsidR="007968EC" w:rsidRPr="002C0D19" w:rsidRDefault="007968EC" w:rsidP="007968EC">
      <w:pPr>
        <w:pStyle w:val="ANTECEDENTES"/>
        <w:rPr>
          <w:bCs/>
          <w:kern w:val="32"/>
          <w:u w:val="single"/>
        </w:rPr>
      </w:pPr>
      <w:r w:rsidRPr="002C0D19">
        <w:t>(Este artículo fue adicionado mediante Circular 19 del 28 de diciembre de 2016, publicada en el Boletín Normativo No. 024 del 28 de diciembre de 2010</w:t>
      </w:r>
      <w:r w:rsidRPr="002C0D19">
        <w:rPr>
          <w:lang w:val="es-ES"/>
        </w:rPr>
        <w:t>. Rige a partir del 29 de diciembre de 2016.)</w:t>
      </w:r>
      <w:bookmarkEnd w:id="1991"/>
      <w:bookmarkEnd w:id="1992"/>
      <w:bookmarkEnd w:id="1993"/>
      <w:bookmarkEnd w:id="1994"/>
      <w:bookmarkEnd w:id="1995"/>
      <w:bookmarkEnd w:id="1996"/>
      <w:bookmarkEnd w:id="1997"/>
      <w:bookmarkEnd w:id="1998"/>
      <w:r w:rsidRPr="002C0D19">
        <w:rPr>
          <w:lang w:val="es-ES"/>
        </w:rPr>
        <w:t xml:space="preserve">     </w:t>
      </w:r>
    </w:p>
    <w:p w14:paraId="6A34C796" w14:textId="77777777" w:rsidR="007968EC" w:rsidRPr="002C0D19" w:rsidRDefault="007968EC" w:rsidP="007968EC">
      <w:pPr>
        <w:jc w:val="both"/>
        <w:rPr>
          <w:rFonts w:ascii="Arial Narrow" w:hAnsi="Arial Narrow" w:cs="Arial"/>
          <w:bCs/>
          <w:color w:val="000000" w:themeColor="text1"/>
          <w:lang w:val="es-ES" w:eastAsia="es-ES"/>
        </w:rPr>
      </w:pPr>
    </w:p>
    <w:p w14:paraId="05D9B238"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El importe mínimo del Fondo de Garantía Colectiva total para cada Segmento consiste en la suma de las distintas aportaciones mínimas de los Miembros Liquidadores de acuerdo con lo definido en la presente Circular para cada uno de estos</w:t>
      </w:r>
    </w:p>
    <w:p w14:paraId="0B96B0F7" w14:textId="77777777" w:rsidR="007968EC" w:rsidRPr="002C0D19" w:rsidRDefault="007968EC" w:rsidP="007968EC">
      <w:pPr>
        <w:autoSpaceDE w:val="0"/>
        <w:autoSpaceDN w:val="0"/>
        <w:jc w:val="both"/>
        <w:rPr>
          <w:rFonts w:ascii="Arial Narrow" w:hAnsi="Arial Narrow" w:cs="Arial"/>
          <w:color w:val="000000" w:themeColor="text1"/>
          <w:lang w:val="es-ES" w:eastAsia="es-ES"/>
        </w:rPr>
      </w:pPr>
    </w:p>
    <w:p w14:paraId="2F0FA410" w14:textId="77777777" w:rsidR="007968EC" w:rsidRDefault="007968EC" w:rsidP="007968EC">
      <w:pPr>
        <w:pStyle w:val="ARTICULO0"/>
      </w:pPr>
      <w:bookmarkStart w:id="1999" w:name="_Toc472592143"/>
      <w:bookmarkStart w:id="2000" w:name="_Toc472593162"/>
      <w:bookmarkStart w:id="2001" w:name="_Toc479056948"/>
      <w:bookmarkStart w:id="2002" w:name="_Toc31715961"/>
      <w:bookmarkStart w:id="2003" w:name="_Toc470775468"/>
      <w:bookmarkStart w:id="2004" w:name="_Toc470779753"/>
      <w:bookmarkStart w:id="2005" w:name="_Toc470780370"/>
      <w:bookmarkStart w:id="2006" w:name="_Toc470780883"/>
      <w:bookmarkStart w:id="2007" w:name="_Toc470784444"/>
      <w:bookmarkStart w:id="2008" w:name="_Toc470784981"/>
      <w:bookmarkStart w:id="2009" w:name="_Toc470791358"/>
      <w:bookmarkStart w:id="2010" w:name="_Toc490066263"/>
      <w:r w:rsidRPr="002C0D19">
        <w:lastRenderedPageBreak/>
        <w:t>Artículo 1.6.2.11. Aportaciones mínimas de los Miembros Liquidadores al Fondo de Garantía Colectiva.</w:t>
      </w:r>
      <w:bookmarkEnd w:id="1999"/>
      <w:bookmarkEnd w:id="2000"/>
      <w:bookmarkEnd w:id="2001"/>
      <w:bookmarkEnd w:id="2002"/>
      <w:r w:rsidRPr="002C0D19">
        <w:t xml:space="preserve"> </w:t>
      </w:r>
    </w:p>
    <w:p w14:paraId="0615B35C" w14:textId="77777777" w:rsidR="007968EC" w:rsidRPr="00615F4E" w:rsidRDefault="007968EC" w:rsidP="007968EC">
      <w:pPr>
        <w:jc w:val="both"/>
        <w:rPr>
          <w:rFonts w:ascii="Arial Narrow" w:hAnsi="Arial Narrow" w:cs="Arial"/>
          <w:color w:val="000000" w:themeColor="text1"/>
          <w:lang w:eastAsia="es-ES"/>
        </w:rPr>
      </w:pPr>
    </w:p>
    <w:p w14:paraId="098E9715" w14:textId="77777777" w:rsidR="007968EC" w:rsidRPr="00074A74" w:rsidRDefault="007968EC" w:rsidP="00074A74">
      <w:pPr>
        <w:pStyle w:val="Ttulo0"/>
        <w:jc w:val="both"/>
        <w:rPr>
          <w:rFonts w:ascii="Arial Narrow" w:hAnsi="Arial Narrow"/>
          <w:b/>
          <w:bCs/>
          <w:kern w:val="32"/>
          <w:u w:val="none"/>
        </w:rPr>
      </w:pPr>
      <w:r w:rsidRPr="00074A74">
        <w:rPr>
          <w:rFonts w:ascii="Arial Narrow" w:hAnsi="Arial Narrow"/>
          <w:b/>
          <w:bCs/>
          <w:u w:val="none"/>
        </w:rPr>
        <w:t>(Este artículo fue adicionado mediante Circular 19 del 28 de diciembre de 2016, publicada en el Boletín Normativo No. 024 del 28 de diciembre de 2010 y modificado mediante Circular 8 del 31 de marzo de 2017, publicada en el Boletín Normativo No. 008 del 31 de marzo de 2017</w:t>
      </w:r>
      <w:r w:rsidRPr="00074A74">
        <w:rPr>
          <w:rFonts w:ascii="Arial Narrow" w:hAnsi="Arial Narrow"/>
          <w:b/>
          <w:bCs/>
          <w:u w:val="none"/>
          <w:lang w:val="es-ES"/>
        </w:rPr>
        <w:t>. Rige a partir del 3 de abril de 2017.)</w:t>
      </w:r>
      <w:bookmarkEnd w:id="2003"/>
      <w:bookmarkEnd w:id="2004"/>
      <w:bookmarkEnd w:id="2005"/>
      <w:bookmarkEnd w:id="2006"/>
      <w:bookmarkEnd w:id="2007"/>
      <w:bookmarkEnd w:id="2008"/>
      <w:bookmarkEnd w:id="2009"/>
      <w:bookmarkEnd w:id="2010"/>
      <w:r w:rsidRPr="00074A74">
        <w:rPr>
          <w:rFonts w:ascii="Arial Narrow" w:hAnsi="Arial Narrow"/>
          <w:b/>
          <w:bCs/>
          <w:u w:val="none"/>
          <w:lang w:val="es-ES"/>
        </w:rPr>
        <w:t xml:space="preserve">     </w:t>
      </w:r>
    </w:p>
    <w:p w14:paraId="3E46BF1F" w14:textId="77777777" w:rsidR="007968EC" w:rsidRPr="002C0D19" w:rsidRDefault="007968EC" w:rsidP="007968EC">
      <w:pPr>
        <w:jc w:val="both"/>
        <w:rPr>
          <w:rFonts w:ascii="Arial Narrow" w:hAnsi="Arial Narrow" w:cs="Arial"/>
          <w:b/>
          <w:color w:val="000000" w:themeColor="text1"/>
          <w:kern w:val="32"/>
          <w:u w:val="single"/>
          <w:lang w:val="es-ES" w:eastAsia="es-ES"/>
        </w:rPr>
      </w:pPr>
    </w:p>
    <w:p w14:paraId="3B1ECE78"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Las aportaciones mínimas al Fondo de Garantía Colectiva que le corresponde aportar a cada modalidad de Miembro Liquidador serán las establecidas en la presente Circular para cada uno de los Segmentos en los que participe y dichas aportaciones mínimas se actualizarán en enero de cada año con base en la variación del índice de precios al consumidor (I.P.C) del año inmediatamente anterior publicada por la entidad competente.</w:t>
      </w:r>
    </w:p>
    <w:p w14:paraId="27E3B301"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6556E5EF" w14:textId="77777777" w:rsidR="007968EC" w:rsidRDefault="007968EC" w:rsidP="007968EC">
      <w:pPr>
        <w:pStyle w:val="ARTICULO0"/>
      </w:pPr>
      <w:bookmarkStart w:id="2011" w:name="_Toc472592144"/>
      <w:bookmarkStart w:id="2012" w:name="_Toc472593163"/>
      <w:bookmarkStart w:id="2013" w:name="_Toc479056949"/>
      <w:bookmarkStart w:id="2014" w:name="_Toc31715962"/>
      <w:bookmarkStart w:id="2015" w:name="_Toc470789165"/>
      <w:bookmarkStart w:id="2016" w:name="_Toc470791359"/>
      <w:bookmarkStart w:id="2017" w:name="_Toc490066264"/>
      <w:r w:rsidRPr="002C0D19">
        <w:t>Artículo 1.6.2.12. Procedimiento para la constitución y actualización del Fondo de Garantía Colectiva para cada Segmento y Garantías admisibles que pueden ser objeto de aportación.</w:t>
      </w:r>
      <w:bookmarkEnd w:id="2011"/>
      <w:bookmarkEnd w:id="2012"/>
      <w:bookmarkEnd w:id="2013"/>
      <w:bookmarkEnd w:id="2014"/>
      <w:r w:rsidRPr="002C0D19">
        <w:t xml:space="preserve"> </w:t>
      </w:r>
      <w:bookmarkEnd w:id="2015"/>
      <w:bookmarkEnd w:id="2016"/>
    </w:p>
    <w:p w14:paraId="51BFE0FB" w14:textId="77777777" w:rsidR="007968EC" w:rsidRDefault="007968EC" w:rsidP="00074A74">
      <w:pPr>
        <w:pStyle w:val="Ttulo0"/>
      </w:pPr>
    </w:p>
    <w:p w14:paraId="4926F13F" w14:textId="77777777" w:rsidR="007968EC" w:rsidRPr="002C0D19" w:rsidRDefault="007968EC" w:rsidP="007968EC">
      <w:pPr>
        <w:pStyle w:val="ANTECEDENTES"/>
      </w:pPr>
      <w:r w:rsidRPr="002C0D19">
        <w:t>(Este artículo fue adicionado mediante Circular 19 del 28 de diciembre de 2016, publicada en el Boletín Normativo No. 024 del 28 de diciembre de 2010, modificado mediante Circular 2 del 11 de enero de 2017, publicada en el Boletín Normativo No. 002 del 11 de enero de</w:t>
      </w:r>
      <w:r>
        <w:t xml:space="preserve"> 2017,</w:t>
      </w:r>
      <w:r w:rsidRPr="002C0D19">
        <w:t xml:space="preserve"> mediante Circular 14 del 8 de agosto de 2017, publicada en el Boletín Normativo No. 015 del 8 de agosto de 2017</w:t>
      </w:r>
      <w:r>
        <w:t xml:space="preserve"> y mediante Circular 7 del 9 de mayo de 2018, publicada en el Boletín Normativo No. 010 del 9 de mayo de 2018</w:t>
      </w:r>
      <w:r w:rsidRPr="002C0D19">
        <w:t>. Rige a pa</w:t>
      </w:r>
      <w:r>
        <w:t>rtir del 21</w:t>
      </w:r>
      <w:r w:rsidRPr="002C0D19">
        <w:t xml:space="preserve"> de </w:t>
      </w:r>
      <w:r>
        <w:t>mayo de 2018</w:t>
      </w:r>
      <w:r w:rsidRPr="002C0D19">
        <w:t>.)</w:t>
      </w:r>
      <w:bookmarkEnd w:id="2017"/>
    </w:p>
    <w:p w14:paraId="7601E596" w14:textId="77777777" w:rsidR="007968EC" w:rsidRPr="002C0D19" w:rsidRDefault="007968EC" w:rsidP="007968EC">
      <w:pPr>
        <w:rPr>
          <w:rFonts w:ascii="Arial Narrow" w:hAnsi="Arial Narrow" w:cs="Arial"/>
          <w:bCs/>
          <w:color w:val="000000" w:themeColor="text1"/>
          <w:lang w:val="es-ES" w:eastAsia="es-ES"/>
        </w:rPr>
      </w:pPr>
    </w:p>
    <w:p w14:paraId="41D19451" w14:textId="77777777" w:rsidR="007968EC" w:rsidRPr="00E0167E" w:rsidRDefault="007968EC" w:rsidP="007968EC">
      <w:pPr>
        <w:jc w:val="both"/>
        <w:rPr>
          <w:rFonts w:ascii="Arial Narrow" w:hAnsi="Arial Narrow" w:cs="Arial"/>
          <w:lang w:val="es-ES" w:eastAsia="es-ES"/>
        </w:rPr>
      </w:pPr>
      <w:r w:rsidRPr="00E0167E">
        <w:rPr>
          <w:rFonts w:ascii="Arial Narrow" w:hAnsi="Arial Narrow" w:cs="Arial"/>
          <w:lang w:val="es-ES" w:eastAsia="es-ES"/>
        </w:rPr>
        <w:t>Para la constitución y actualización del Fondo de Garantía Colectiva de un Segmento, la Cámara solicitará a los Miembros Liquidadores que participen en el Segmento el valor de las aportaciones que les corresponde aportar. La solicitud se realizará mediante correo electrónico y/o llamada telefónica al usuario administrador de cada Miembro Liquidador y/o a quien este designe. Los Miembros Liquidadores tendrán cinco (5) días hábiles contados a partir del día siguiente a la solicitud de la Cámara para realizar las aportaciones. El Miembro que no realice la aportación en el plazo antes indicado incurrirá en Incumplimiento.</w:t>
      </w:r>
    </w:p>
    <w:p w14:paraId="2033C5C3" w14:textId="77777777" w:rsidR="007968EC" w:rsidRPr="00E0167E" w:rsidRDefault="007968EC" w:rsidP="007968EC">
      <w:pPr>
        <w:jc w:val="both"/>
        <w:rPr>
          <w:rFonts w:ascii="Arial Narrow" w:hAnsi="Arial Narrow" w:cs="Arial"/>
          <w:lang w:val="es-ES" w:eastAsia="es-ES"/>
        </w:rPr>
      </w:pPr>
    </w:p>
    <w:p w14:paraId="7D36979D" w14:textId="77777777" w:rsidR="007968EC" w:rsidRPr="00E0167E" w:rsidRDefault="007968EC" w:rsidP="007968EC">
      <w:pPr>
        <w:jc w:val="both"/>
        <w:rPr>
          <w:rFonts w:ascii="Arial Narrow" w:hAnsi="Arial Narrow" w:cs="Arial"/>
          <w:lang w:val="es-ES" w:eastAsia="es-ES"/>
        </w:rPr>
      </w:pPr>
      <w:r w:rsidRPr="00E0167E">
        <w:rPr>
          <w:rFonts w:ascii="Arial Narrow" w:hAnsi="Arial Narrow" w:cs="Arial"/>
          <w:lang w:val="es-ES" w:eastAsia="es-ES"/>
        </w:rPr>
        <w:t>En el caso en que un Miembro Liquidador vaya a ingresar como participante a un Segmento ya constituido deberá realizar previamente a su ingreso la aportación mínima al Fondo de Garantía Colectiva de dicho Segmento según lo establecido en la presente Circular. Para el cálculo del importe del Fondo de Garantía Colectiva para dicho Segmento para el siguiente periodo a calcular de conformidad con lo establecido en el artículo 1.6.2.9., la Cámara tendrá en cuenta el promedio del número de días desde el ingreso del Miembro Liquidador al Segmento para el cálculo del riesgo en situación de estrés.</w:t>
      </w:r>
    </w:p>
    <w:p w14:paraId="326350B5" w14:textId="77777777" w:rsidR="007968EC" w:rsidRPr="00E0167E" w:rsidRDefault="007968EC" w:rsidP="007968EC">
      <w:pPr>
        <w:jc w:val="both"/>
        <w:rPr>
          <w:rFonts w:ascii="Arial Narrow" w:hAnsi="Arial Narrow" w:cs="Arial"/>
          <w:lang w:val="es-ES" w:eastAsia="es-ES"/>
        </w:rPr>
      </w:pPr>
    </w:p>
    <w:p w14:paraId="271BEE2C" w14:textId="77777777" w:rsidR="007968EC" w:rsidRPr="002C0D19" w:rsidRDefault="007968EC" w:rsidP="007968EC">
      <w:pPr>
        <w:autoSpaceDE w:val="0"/>
        <w:autoSpaceDN w:val="0"/>
        <w:jc w:val="both"/>
        <w:rPr>
          <w:rFonts w:ascii="Arial Narrow" w:hAnsi="Arial Narrow" w:cs="Arial"/>
          <w:b/>
          <w:color w:val="000000" w:themeColor="text1"/>
          <w:kern w:val="32"/>
          <w:lang w:val="es-ES" w:eastAsia="es-ES"/>
        </w:rPr>
      </w:pPr>
      <w:r w:rsidRPr="00E0167E">
        <w:rPr>
          <w:rFonts w:ascii="Arial Narrow" w:hAnsi="Arial Narrow" w:cs="Arial"/>
          <w:lang w:val="es-ES" w:eastAsia="es-ES"/>
        </w:rPr>
        <w:t>Para el Segmento de Derivados Financieros</w:t>
      </w:r>
      <w:r w:rsidRPr="00E0167E">
        <w:rPr>
          <w:rFonts w:ascii="Arial Narrow" w:hAnsi="Arial Narrow" w:cs="Arial"/>
          <w:bCs/>
          <w:lang w:val="es-ES" w:eastAsia="es-ES"/>
        </w:rPr>
        <w:t>, el Segmento de Renta Fija,</w:t>
      </w:r>
      <w:r w:rsidRPr="00E0167E">
        <w:rPr>
          <w:rFonts w:ascii="Arial Narrow" w:hAnsi="Arial Narrow" w:cs="Arial"/>
          <w:lang w:val="es-ES" w:eastAsia="es-ES"/>
        </w:rPr>
        <w:t xml:space="preserve"> el Segmento de Renta </w:t>
      </w:r>
      <w:r w:rsidRPr="00E0167E">
        <w:rPr>
          <w:rFonts w:ascii="Arial Narrow" w:hAnsi="Arial Narrow" w:cs="Arial"/>
          <w:bCs/>
          <w:lang w:val="es-ES" w:eastAsia="es-ES"/>
        </w:rPr>
        <w:t>Variable y el Segmento Swaps</w:t>
      </w:r>
      <w:r w:rsidRPr="00E0167E">
        <w:rPr>
          <w:rFonts w:ascii="Arial Narrow" w:hAnsi="Arial Narrow" w:cs="Arial"/>
          <w:lang w:val="es-ES" w:eastAsia="es-ES"/>
        </w:rPr>
        <w:t>, los activos susceptibles a ser aportados para la constitución, actualización y reposición del Fondo de Garantía Colectiva son aquellos enunciados en el artículo 1.6.4.1. de la presente Circular, exceptuando los descritos en los numeral 3 y 4</w:t>
      </w:r>
      <w:r w:rsidRPr="00E0167E">
        <w:rPr>
          <w:rFonts w:ascii="Arial Narrow" w:hAnsi="Arial Narrow" w:cs="Arial"/>
          <w:kern w:val="32"/>
          <w:lang w:val="es-ES" w:eastAsia="es-ES"/>
        </w:rPr>
        <w:t>.</w:t>
      </w:r>
    </w:p>
    <w:p w14:paraId="758CCD39" w14:textId="77777777" w:rsidR="007968EC" w:rsidRPr="002C0D19" w:rsidRDefault="007968EC" w:rsidP="007968EC">
      <w:pPr>
        <w:autoSpaceDE w:val="0"/>
        <w:autoSpaceDN w:val="0"/>
        <w:jc w:val="both"/>
        <w:rPr>
          <w:rFonts w:ascii="Arial Narrow" w:hAnsi="Arial Narrow" w:cs="Arial"/>
          <w:b/>
          <w:color w:val="000000" w:themeColor="text1"/>
          <w:kern w:val="32"/>
          <w:lang w:val="es-ES" w:eastAsia="es-ES"/>
        </w:rPr>
      </w:pPr>
    </w:p>
    <w:p w14:paraId="35A9E93C" w14:textId="77777777" w:rsidR="007968EC" w:rsidRDefault="007968EC" w:rsidP="007968EC">
      <w:pPr>
        <w:pStyle w:val="ARTICULO0"/>
        <w:rPr>
          <w:bCs/>
          <w:kern w:val="32"/>
          <w:szCs w:val="32"/>
          <w:lang w:val="es-ES"/>
        </w:rPr>
      </w:pPr>
      <w:bookmarkStart w:id="2018" w:name="_Toc472592145"/>
      <w:bookmarkStart w:id="2019" w:name="_Toc472593164"/>
      <w:bookmarkStart w:id="2020" w:name="_Toc479056950"/>
      <w:bookmarkStart w:id="2021" w:name="_Toc31715963"/>
      <w:bookmarkStart w:id="2022" w:name="_Toc470789166"/>
      <w:bookmarkStart w:id="2023" w:name="_Toc470791360"/>
      <w:bookmarkStart w:id="2024" w:name="_Toc490066265"/>
      <w:r w:rsidRPr="002C0D19">
        <w:lastRenderedPageBreak/>
        <w:t>Artículo 1.6.2.13. Procedimiento para la reposición del Fondo de Garantía Colectiva para cada Segmento.</w:t>
      </w:r>
      <w:bookmarkEnd w:id="2018"/>
      <w:bookmarkEnd w:id="2019"/>
      <w:bookmarkEnd w:id="2020"/>
      <w:bookmarkEnd w:id="2021"/>
      <w:r w:rsidRPr="002C0D19">
        <w:rPr>
          <w:bCs/>
          <w:kern w:val="32"/>
          <w:szCs w:val="32"/>
          <w:lang w:val="es-ES"/>
        </w:rPr>
        <w:t xml:space="preserve"> </w:t>
      </w:r>
      <w:bookmarkEnd w:id="2022"/>
      <w:bookmarkEnd w:id="2023"/>
    </w:p>
    <w:p w14:paraId="5265816E" w14:textId="77777777" w:rsidR="007968EC" w:rsidRPr="00615F4E" w:rsidRDefault="007968EC" w:rsidP="007968EC">
      <w:pPr>
        <w:jc w:val="both"/>
        <w:rPr>
          <w:rFonts w:ascii="Arial Narrow" w:hAnsi="Arial Narrow" w:cs="Arial"/>
          <w:color w:val="000000" w:themeColor="text1"/>
          <w:lang w:eastAsia="es-ES"/>
        </w:rPr>
      </w:pPr>
    </w:p>
    <w:p w14:paraId="1B23429D" w14:textId="77777777" w:rsidR="007968EC" w:rsidRPr="002C0D19" w:rsidRDefault="007968EC" w:rsidP="007968EC">
      <w:pPr>
        <w:pStyle w:val="ANTECEDENTES"/>
      </w:pPr>
      <w:r w:rsidRPr="002C0D19">
        <w:t>(Este artículo fue adicionado mediante Circular 19 del 28 de diciembre de 2016, publicada en el Boletín Normativo No. 024 del 28 de diciembre de 2010 y mediante Circular 2 del 11 de enero de 2017, publicada en el Boletín Normativo No. 002 del 11 de enero de 2017. Rige a partir del 12 de enero de 2017.)</w:t>
      </w:r>
      <w:bookmarkEnd w:id="2024"/>
    </w:p>
    <w:p w14:paraId="32BF38DC" w14:textId="77777777" w:rsidR="007968EC" w:rsidRPr="002C0D19" w:rsidRDefault="007968EC" w:rsidP="007968EC">
      <w:pPr>
        <w:jc w:val="both"/>
        <w:rPr>
          <w:rFonts w:ascii="Arial Narrow" w:hAnsi="Arial Narrow" w:cs="Arial"/>
          <w:bCs/>
          <w:color w:val="000000" w:themeColor="text1"/>
          <w:lang w:val="es-ES" w:eastAsia="es-ES"/>
        </w:rPr>
      </w:pPr>
    </w:p>
    <w:p w14:paraId="6CF50FC2" w14:textId="77777777" w:rsidR="007968EC" w:rsidRPr="002C0D19" w:rsidRDefault="007968EC" w:rsidP="007968EC">
      <w:pPr>
        <w:ind w:left="33" w:right="-7" w:hanging="5"/>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Ante un evento de Incumplimiento de un Miembro Liquidador que ocasione que el Fondo de Garantía Colectiva de un Segmento tuviera que ser utilizado total o parcialmente en los términos establecidos en el artículo 2.8.8. del Reglamento de Funcionamiento de la Cámara y lo dispuesto en la presente Circular, los Miembros Liquidadores participantes estarán obligados a reponer sus aportaciones y realizar aportaciones adicionales al Fondo de conformidad con el siguiente procedimiento:</w:t>
      </w:r>
    </w:p>
    <w:p w14:paraId="106A7C64" w14:textId="77777777" w:rsidR="007968EC" w:rsidRPr="002C0D19" w:rsidRDefault="007968EC" w:rsidP="007968EC">
      <w:pPr>
        <w:ind w:left="33" w:right="-7" w:hanging="5"/>
        <w:jc w:val="both"/>
        <w:rPr>
          <w:rFonts w:ascii="Arial Narrow" w:hAnsi="Arial Narrow" w:cs="Arial"/>
          <w:bCs/>
          <w:color w:val="000000" w:themeColor="text1"/>
          <w:lang w:val="es-ES" w:eastAsia="es-ES"/>
        </w:rPr>
      </w:pPr>
    </w:p>
    <w:p w14:paraId="6032C5FE" w14:textId="77777777" w:rsidR="007968EC" w:rsidRPr="002C0D19" w:rsidRDefault="007968EC" w:rsidP="00DA7472">
      <w:pPr>
        <w:numPr>
          <w:ilvl w:val="0"/>
          <w:numId w:val="153"/>
        </w:numPr>
        <w:ind w:left="521" w:right="-7" w:hanging="425"/>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En el caso en que la parte del importe del Fondo de Garantía Colectiva que haya sido utilizado equivalga a un valor parcial o total de la aportación del Miembro Liquidador Incumplido, dicho valor deberá ser repuesto de manera proporcional a la aportación de los demás Miembros Liquidadores en el último periodo de actualización o reposición según el plazo determinado en el presente artículo.</w:t>
      </w:r>
    </w:p>
    <w:p w14:paraId="16E28DEC" w14:textId="77777777" w:rsidR="007968EC" w:rsidRPr="002C0D19" w:rsidRDefault="007968EC" w:rsidP="007968EC">
      <w:pPr>
        <w:ind w:left="521" w:right="-7" w:hanging="425"/>
        <w:jc w:val="both"/>
        <w:rPr>
          <w:rFonts w:ascii="Arial Narrow" w:hAnsi="Arial Narrow" w:cs="Arial"/>
          <w:bCs/>
          <w:color w:val="000000" w:themeColor="text1"/>
          <w:lang w:val="es-ES" w:eastAsia="es-ES"/>
        </w:rPr>
      </w:pPr>
    </w:p>
    <w:p w14:paraId="0C6B58C0" w14:textId="77777777" w:rsidR="007968EC" w:rsidRPr="002C0D19" w:rsidRDefault="007968EC" w:rsidP="00DA7472">
      <w:pPr>
        <w:numPr>
          <w:ilvl w:val="0"/>
          <w:numId w:val="153"/>
        </w:numPr>
        <w:ind w:left="521" w:right="-7" w:hanging="425"/>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En el caso en que la parte del importe del Fondo de Garantía Colectiva que haya sido utilizado sea mayor a la aportación del Miembro Liquidador Incumplido, la diferencia se imputará proporcionalmente a los Miembros Liquidadores en función de su aportación a dicho Fondo en el último periodo de actualización o reposición y tales Miembros estarán obligados a reponer, por lo menos este valor, según el plazo determinado en el presente artículo.</w:t>
      </w:r>
    </w:p>
    <w:p w14:paraId="0D387234" w14:textId="77777777" w:rsidR="007968EC" w:rsidRPr="002C0D19" w:rsidRDefault="007968EC" w:rsidP="007968EC">
      <w:pPr>
        <w:ind w:left="521" w:right="-7" w:hanging="425"/>
        <w:jc w:val="both"/>
        <w:rPr>
          <w:rFonts w:ascii="Arial Narrow" w:hAnsi="Arial Narrow" w:cs="Arial"/>
          <w:bCs/>
          <w:color w:val="000000" w:themeColor="text1"/>
          <w:lang w:val="es-ES" w:eastAsia="es-ES"/>
        </w:rPr>
      </w:pPr>
    </w:p>
    <w:p w14:paraId="4981EE10" w14:textId="77777777" w:rsidR="007968EC" w:rsidRPr="002C0D19" w:rsidRDefault="007968EC" w:rsidP="00DA7472">
      <w:pPr>
        <w:numPr>
          <w:ilvl w:val="0"/>
          <w:numId w:val="153"/>
        </w:numPr>
        <w:ind w:left="521" w:hanging="425"/>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Una vez establecido el valor a reponer de acuerdo con los numerales anteriores, la Cámara solicitará a los Miembros Liquidadores el valor a reponer, quienes deberán efectuar las aportaciones correspondientes dentro de los cinco (5) días hábiles siguientes contados a partir de la solicitud de reposición. El Miembro Liquidador que no realice la aportación en el plazo antes indicado incurrirá en un evento de Retardo.</w:t>
      </w:r>
    </w:p>
    <w:p w14:paraId="1896A5FF" w14:textId="77777777" w:rsidR="007968EC" w:rsidRPr="002C0D19" w:rsidRDefault="007968EC" w:rsidP="007968EC">
      <w:pPr>
        <w:ind w:left="521" w:right="-7" w:hanging="425"/>
        <w:jc w:val="both"/>
        <w:rPr>
          <w:rFonts w:ascii="Arial Narrow" w:hAnsi="Arial Narrow" w:cs="Arial"/>
          <w:bCs/>
          <w:color w:val="000000" w:themeColor="text1"/>
          <w:lang w:val="es-ES" w:eastAsia="es-ES"/>
        </w:rPr>
      </w:pPr>
    </w:p>
    <w:p w14:paraId="666AD45E" w14:textId="77777777" w:rsidR="007968EC" w:rsidRPr="002C0D19" w:rsidRDefault="007968EC" w:rsidP="00DA7472">
      <w:pPr>
        <w:numPr>
          <w:ilvl w:val="0"/>
          <w:numId w:val="153"/>
        </w:numPr>
        <w:ind w:left="521" w:right="-7" w:hanging="425"/>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xml:space="preserve">La máxima aportación que el resto de </w:t>
      </w:r>
      <w:proofErr w:type="gramStart"/>
      <w:r w:rsidRPr="002C0D19">
        <w:rPr>
          <w:rFonts w:ascii="Arial Narrow" w:hAnsi="Arial Narrow" w:cs="Arial"/>
          <w:bCs/>
          <w:color w:val="000000" w:themeColor="text1"/>
          <w:lang w:val="es-ES" w:eastAsia="es-ES"/>
        </w:rPr>
        <w:t>Miembros</w:t>
      </w:r>
      <w:proofErr w:type="gramEnd"/>
      <w:r w:rsidRPr="002C0D19">
        <w:rPr>
          <w:rFonts w:ascii="Arial Narrow" w:hAnsi="Arial Narrow" w:cs="Arial"/>
          <w:bCs/>
          <w:color w:val="000000" w:themeColor="text1"/>
          <w:lang w:val="es-ES" w:eastAsia="es-ES"/>
        </w:rPr>
        <w:t xml:space="preserve"> Liquidadores estarán obligados a reponer será igual a dos (2) veces su aportación al Fondo de Garantía Colectiva del Segmento antes de declarado el Incumplimiento. Dicha aportación, se mantendrá por un periodo de noventa (90) días calendario que comenzará a partir del día de la declaración de incumplimiento. Al finalizar este plazo, los Miembros Liquidadores deberán actualizar sus aportaciones al Fondo de Garantía Colectiva por el valor que les corresponda en consideración con el nuevo importe del Fondo de Garantía Colectiva.</w:t>
      </w:r>
    </w:p>
    <w:p w14:paraId="2B6204D9" w14:textId="77777777" w:rsidR="007968EC" w:rsidRPr="002C0D19" w:rsidRDefault="007968EC" w:rsidP="007968EC">
      <w:pPr>
        <w:ind w:left="521" w:hanging="425"/>
        <w:rPr>
          <w:rFonts w:ascii="Arial Narrow" w:hAnsi="Arial Narrow" w:cs="Arial"/>
          <w:bCs/>
          <w:color w:val="000000" w:themeColor="text1"/>
          <w:lang w:val="es-ES" w:eastAsia="es-ES"/>
        </w:rPr>
      </w:pPr>
    </w:p>
    <w:p w14:paraId="6A60C57B" w14:textId="77777777" w:rsidR="007968EC" w:rsidRPr="002C0D19" w:rsidRDefault="007968EC" w:rsidP="00DA7472">
      <w:pPr>
        <w:numPr>
          <w:ilvl w:val="0"/>
          <w:numId w:val="153"/>
        </w:numPr>
        <w:ind w:left="521" w:hanging="425"/>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xml:space="preserve">En el caso en que un Miembro Liquidador solicite retirarse de un Segmento deberá presentar la solicitud de retiro de conformidad con lo establecido para cada Segmento en la presente Circular. Cumplido lo allí establecido, la Cámara devolverá la aportación que este había realizado al Fondo de Garantía Colectiva y el monto equivalente a la aportación devuelta deberá ser repuesto proporcionalmente por los demás Miembros Liquidadores participantes en el respectivo Segmento de acuerdo con las </w:t>
      </w:r>
      <w:r w:rsidRPr="002C0D19">
        <w:rPr>
          <w:rFonts w:ascii="Arial Narrow" w:hAnsi="Arial Narrow" w:cs="Arial"/>
          <w:bCs/>
          <w:color w:val="000000" w:themeColor="text1"/>
          <w:lang w:val="es-ES" w:eastAsia="es-ES"/>
        </w:rPr>
        <w:lastRenderedPageBreak/>
        <w:t xml:space="preserve">aportaciones de dichos Miembros para el último periodo de actualización o reposición según el plazo determinado en el presente artículo. </w:t>
      </w:r>
    </w:p>
    <w:p w14:paraId="1D84F8EC" w14:textId="77777777" w:rsidR="007968EC" w:rsidRPr="002C0D19" w:rsidRDefault="007968EC" w:rsidP="007968EC">
      <w:pPr>
        <w:ind w:left="708"/>
        <w:rPr>
          <w:rFonts w:ascii="Arial Narrow" w:hAnsi="Arial Narrow" w:cs="Arial"/>
          <w:bCs/>
          <w:color w:val="000000" w:themeColor="text1"/>
          <w:lang w:val="es-ES" w:eastAsia="es-ES"/>
        </w:rPr>
      </w:pPr>
    </w:p>
    <w:p w14:paraId="114E252B" w14:textId="77777777" w:rsidR="007968EC" w:rsidRPr="002C0D19" w:rsidRDefault="007968EC" w:rsidP="007968EC">
      <w:pPr>
        <w:ind w:left="521"/>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Si durante el periodo transcurrido entre la solicitud de retiro y el cierre de Posición de un Miembro Liquidador en el Segmento se produjere un Incumplimiento, la Cámara podrá utilizar la aportación del Miembro Liquidador, pero este Miembro no estará obligado a realizar la reposición de su aportación si realiza el cierre total de su Posición en los cinco (5) días hábiles siguientes a la solicitud de reposición.</w:t>
      </w:r>
    </w:p>
    <w:p w14:paraId="7DF49545" w14:textId="77777777" w:rsidR="007968EC" w:rsidRPr="002C0D19" w:rsidRDefault="007968EC" w:rsidP="007968EC">
      <w:pPr>
        <w:ind w:left="521" w:hanging="425"/>
        <w:rPr>
          <w:rFonts w:ascii="Arial Narrow" w:hAnsi="Arial Narrow" w:cs="Arial"/>
          <w:bCs/>
          <w:color w:val="000000" w:themeColor="text1"/>
          <w:lang w:val="es-ES" w:eastAsia="es-ES"/>
        </w:rPr>
      </w:pPr>
    </w:p>
    <w:p w14:paraId="2B0F702E" w14:textId="77777777" w:rsidR="007968EC" w:rsidRPr="002C0D19" w:rsidRDefault="007968EC" w:rsidP="00DA7472">
      <w:pPr>
        <w:numPr>
          <w:ilvl w:val="0"/>
          <w:numId w:val="153"/>
        </w:numPr>
        <w:ind w:left="521" w:hanging="425"/>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En el caso en que por una vez se deba disponer de una parte del importe del Fondo de Garantía Colectiva en más del cincuenta por ciento (50%) de su valor total o en cualquier porcentaje en más de una vez en un periodo de tres (3) meses consecutivos, adicionalmente a la reposición por parte de los Miembros Liquidadores, y al menos durante un período de tres (3) meses, las Garantías por Posición exigidas a los Miembros Liquidadores del Segmento se computarán con los mismos parámetros que se aplican al estrés y los Recursos Propios Específicos aportados por la Cámara deberán duplicarse para el Segmento en el que se presentó el Incumplimiento.</w:t>
      </w:r>
    </w:p>
    <w:p w14:paraId="0A4F4EC9" w14:textId="77777777" w:rsidR="007968EC" w:rsidRPr="002C0D19" w:rsidRDefault="007968EC" w:rsidP="007968EC">
      <w:pPr>
        <w:jc w:val="both"/>
        <w:rPr>
          <w:rFonts w:ascii="Arial Narrow" w:hAnsi="Arial Narrow" w:cs="Arial"/>
          <w:b/>
          <w:bCs/>
          <w:color w:val="000000" w:themeColor="text1"/>
          <w:u w:val="single"/>
          <w:lang w:val="es-ES" w:eastAsia="es-ES"/>
        </w:rPr>
      </w:pPr>
    </w:p>
    <w:p w14:paraId="1F8E1FBB" w14:textId="77777777" w:rsidR="007968EC" w:rsidRDefault="007968EC" w:rsidP="007968EC">
      <w:pPr>
        <w:pStyle w:val="ARTICULO0"/>
      </w:pPr>
      <w:bookmarkStart w:id="2025" w:name="_Toc472592146"/>
      <w:bookmarkStart w:id="2026" w:name="_Toc472593165"/>
      <w:bookmarkStart w:id="2027" w:name="_Toc479056951"/>
      <w:bookmarkStart w:id="2028" w:name="_Toc31715964"/>
      <w:bookmarkStart w:id="2029" w:name="_Toc470789167"/>
      <w:bookmarkStart w:id="2030" w:name="_Toc470791361"/>
      <w:bookmarkStart w:id="2031" w:name="_Toc490066266"/>
      <w:r w:rsidRPr="002C0D19">
        <w:t>Artículo 1.6.2.14. Contribuciones para la continuidad del servicio.</w:t>
      </w:r>
      <w:bookmarkEnd w:id="2025"/>
      <w:bookmarkEnd w:id="2026"/>
      <w:bookmarkEnd w:id="2027"/>
      <w:bookmarkEnd w:id="2028"/>
      <w:r w:rsidRPr="002C0D19">
        <w:t xml:space="preserve"> </w:t>
      </w:r>
      <w:bookmarkEnd w:id="2029"/>
      <w:bookmarkEnd w:id="2030"/>
    </w:p>
    <w:p w14:paraId="2A6410F1" w14:textId="77777777" w:rsidR="007968EC" w:rsidRDefault="007968EC" w:rsidP="00074A74">
      <w:pPr>
        <w:pStyle w:val="Ttulo0"/>
      </w:pPr>
    </w:p>
    <w:p w14:paraId="5BEAB661" w14:textId="77777777" w:rsidR="007968EC" w:rsidRPr="002C0D19" w:rsidRDefault="007968EC" w:rsidP="007968EC">
      <w:pPr>
        <w:pStyle w:val="ANTECEDENTES"/>
      </w:pPr>
      <w:r w:rsidRPr="002C0D19">
        <w:t>(Este artículo fue adicionado mediante Circular 19 del 28 de diciembre de 2016, publicada en el Boletín Normativo No. 024 del 28 de diciembre de 2010. Rige a partir del 29 de diciembre de 2016.)</w:t>
      </w:r>
      <w:bookmarkEnd w:id="2031"/>
    </w:p>
    <w:p w14:paraId="5663965B" w14:textId="77777777" w:rsidR="007968EC" w:rsidRPr="002C0D19" w:rsidRDefault="007968EC" w:rsidP="007968EC">
      <w:pPr>
        <w:jc w:val="both"/>
        <w:rPr>
          <w:rFonts w:ascii="Arial Narrow" w:hAnsi="Arial Narrow" w:cs="Arial"/>
          <w:bCs/>
          <w:color w:val="000000" w:themeColor="text1"/>
          <w:lang w:val="es-ES" w:eastAsia="es-ES"/>
        </w:rPr>
      </w:pPr>
    </w:p>
    <w:p w14:paraId="458C0935" w14:textId="77777777" w:rsidR="007968EC" w:rsidRPr="002C0D19" w:rsidRDefault="007968EC" w:rsidP="007968EC">
      <w:pPr>
        <w:contextualSpacing/>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xml:space="preserve">Las Contribuciones para la continuidad del servicio tienen como finalidad cubrir los eventuales saldos deudores que pudieran derivarse del incumplimiento de un Miembro Liquidador que no estén cubiertos por las Garantías por Posición, Garantías Extraordinarias, Garantías Individuales y las aportaciones a los Fondos de Garantía Colectiva, así como los Recursos Propios Específicos de la Cámara, en los términos establecidos en el Reglamento de Funcionamiento de la Cámara y en la presente Circular. Las Contribuciones podrán ser obligatorias o voluntarias. </w:t>
      </w:r>
    </w:p>
    <w:p w14:paraId="284A2287" w14:textId="77777777" w:rsidR="007968EC" w:rsidRPr="002C0D19" w:rsidRDefault="007968EC" w:rsidP="007968EC">
      <w:pPr>
        <w:contextualSpacing/>
        <w:jc w:val="both"/>
        <w:rPr>
          <w:rFonts w:ascii="Arial Narrow" w:hAnsi="Arial Narrow" w:cs="Arial"/>
          <w:bCs/>
          <w:color w:val="000000" w:themeColor="text1"/>
          <w:lang w:val="es-ES" w:eastAsia="es-ES"/>
        </w:rPr>
      </w:pPr>
    </w:p>
    <w:p w14:paraId="3F1B5A94" w14:textId="77777777" w:rsidR="007968EC" w:rsidRPr="002C0D19" w:rsidRDefault="007968EC" w:rsidP="007968EC">
      <w:pPr>
        <w:contextualSpacing/>
        <w:jc w:val="both"/>
        <w:rPr>
          <w:rFonts w:ascii="Arial Narrow" w:hAnsi="Arial Narrow" w:cs="Arial"/>
          <w:bCs/>
          <w:color w:val="000000" w:themeColor="text1"/>
          <w:lang w:val="es-ES" w:eastAsia="es-ES"/>
        </w:rPr>
      </w:pPr>
      <w:r w:rsidRPr="002C0D19">
        <w:rPr>
          <w:rFonts w:ascii="Arial Narrow" w:hAnsi="Arial Narrow" w:cs="Arial"/>
          <w:b/>
          <w:bCs/>
          <w:color w:val="000000" w:themeColor="text1"/>
          <w:lang w:val="es-ES" w:eastAsia="es-ES"/>
        </w:rPr>
        <w:t>Parágrafo</w:t>
      </w:r>
      <w:r w:rsidRPr="002C0D19">
        <w:rPr>
          <w:rFonts w:ascii="Arial Narrow" w:hAnsi="Arial Narrow" w:cs="Arial"/>
          <w:b/>
          <w:color w:val="000000" w:themeColor="text1"/>
          <w:lang w:val="es-ES" w:eastAsia="es-ES"/>
        </w:rPr>
        <w:t>.</w:t>
      </w:r>
      <w:r w:rsidRPr="002C0D19">
        <w:rPr>
          <w:rFonts w:ascii="Arial Narrow" w:hAnsi="Arial Narrow" w:cs="Arial"/>
          <w:bCs/>
          <w:color w:val="000000" w:themeColor="text1"/>
          <w:lang w:val="es-ES" w:eastAsia="es-ES"/>
        </w:rPr>
        <w:t xml:space="preserve"> La Nación - Ministerio de Hacienda y Crédito Público y el Banco de la República en razón a su naturaleza, no estarán obligados a realizar las Contribuciones obligatorias para la continuidad del servicio.</w:t>
      </w:r>
    </w:p>
    <w:p w14:paraId="176EA8D3" w14:textId="77777777" w:rsidR="007968EC" w:rsidRPr="00217BDE" w:rsidRDefault="007968EC" w:rsidP="007968EC">
      <w:pPr>
        <w:autoSpaceDE w:val="0"/>
        <w:autoSpaceDN w:val="0"/>
        <w:jc w:val="both"/>
        <w:rPr>
          <w:rFonts w:ascii="Arial Narrow" w:hAnsi="Arial Narrow" w:cs="Arial"/>
          <w:bCs/>
          <w:color w:val="000000" w:themeColor="text1"/>
          <w:lang w:val="es-ES" w:eastAsia="es-ES"/>
        </w:rPr>
      </w:pPr>
      <w:bookmarkStart w:id="2032" w:name="_Toc470789168"/>
      <w:bookmarkStart w:id="2033" w:name="_Toc470791362"/>
    </w:p>
    <w:p w14:paraId="0B4F5DF4" w14:textId="77777777" w:rsidR="007968EC" w:rsidRDefault="007968EC" w:rsidP="007968EC">
      <w:pPr>
        <w:pStyle w:val="ARTICULO0"/>
      </w:pPr>
      <w:bookmarkStart w:id="2034" w:name="_Toc31715965"/>
      <w:bookmarkStart w:id="2035" w:name="_Toc472592147"/>
      <w:bookmarkStart w:id="2036" w:name="_Toc472593166"/>
      <w:bookmarkStart w:id="2037" w:name="_Toc479056952"/>
      <w:bookmarkStart w:id="2038" w:name="_Toc490066267"/>
      <w:r w:rsidRPr="002C0D19">
        <w:t>Artículo 1.6.2.15. Contribuciones obligatorias para la continuidad del servicio.</w:t>
      </w:r>
      <w:bookmarkEnd w:id="2034"/>
      <w:r w:rsidRPr="002C0D19">
        <w:t xml:space="preserve"> </w:t>
      </w:r>
      <w:bookmarkEnd w:id="2032"/>
      <w:bookmarkEnd w:id="2033"/>
    </w:p>
    <w:p w14:paraId="7ED40F10" w14:textId="77777777" w:rsidR="007968EC" w:rsidRPr="00615F4E" w:rsidRDefault="007968EC" w:rsidP="007968EC">
      <w:pPr>
        <w:jc w:val="both"/>
        <w:rPr>
          <w:rFonts w:ascii="Arial Narrow" w:hAnsi="Arial Narrow" w:cs="Arial"/>
          <w:color w:val="000000" w:themeColor="text1"/>
          <w:lang w:eastAsia="es-ES"/>
        </w:rPr>
      </w:pPr>
    </w:p>
    <w:bookmarkEnd w:id="2035"/>
    <w:bookmarkEnd w:id="2036"/>
    <w:bookmarkEnd w:id="2037"/>
    <w:p w14:paraId="2852C636" w14:textId="77777777" w:rsidR="007968EC" w:rsidRPr="002C0D19" w:rsidRDefault="007968EC" w:rsidP="007968EC">
      <w:pPr>
        <w:pStyle w:val="ANTECEDENTES"/>
      </w:pPr>
      <w:r>
        <w:t>(</w:t>
      </w:r>
      <w:r w:rsidRPr="002C0D19">
        <w:t>Este artículo fue adicionado mediante Circular 19 del 28 de diciembre de 2016, publicada en el Boletín Normativo No. 024 del 28 de diciembre de 2010 y mediante Circular 2 del 11 de enero de 2017, publicada en el Boletín Normativo No. 002 del 11 de enero de 2017. Rige a partir del 12 de enero de 2017.)</w:t>
      </w:r>
      <w:bookmarkEnd w:id="2038"/>
    </w:p>
    <w:p w14:paraId="0A8AC097" w14:textId="77777777" w:rsidR="007968EC" w:rsidRPr="002C0D19" w:rsidRDefault="007968EC" w:rsidP="007968EC">
      <w:pPr>
        <w:jc w:val="both"/>
        <w:rPr>
          <w:rFonts w:ascii="Arial Narrow" w:hAnsi="Arial Narrow" w:cs="Arial"/>
          <w:bCs/>
          <w:color w:val="000000" w:themeColor="text1"/>
          <w:lang w:val="es-ES" w:eastAsia="es-ES"/>
        </w:rPr>
      </w:pPr>
    </w:p>
    <w:p w14:paraId="080B1276"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xml:space="preserve">La Contribución obligatoria para la continuidad del servicio será exigida por la Cámara a los Miembros Liquidadores que participen en el Segmento o los Segmentos en que se haya producido un Incumplimiento. Dichas contribuciones serán informadas por la Cámara al usuario Administrador del Miembro y/o a quien este designe los cuales deberán realizarlas en el plazo dispuesto en el Instructivo Operativo en el cual se les indique la forma, términos en que podrá ser realizada la Contribución obligatoria, así como los activos que </w:t>
      </w:r>
      <w:r w:rsidRPr="002C0D19">
        <w:rPr>
          <w:rFonts w:ascii="Arial Narrow" w:hAnsi="Arial Narrow" w:cs="Arial"/>
          <w:bCs/>
          <w:color w:val="000000" w:themeColor="text1"/>
          <w:lang w:val="es-ES" w:eastAsia="es-ES"/>
        </w:rPr>
        <w:lastRenderedPageBreak/>
        <w:t>podrán ser objeto de la misma. El Miembro Liquidador que no realice la entrega en el plazo indicado en el Instructivo Operativo incurrirá en Incumplimiento.</w:t>
      </w:r>
    </w:p>
    <w:p w14:paraId="2BCFF5C9"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6414ED58" w14:textId="77777777" w:rsidR="007968EC" w:rsidRDefault="007968EC" w:rsidP="007968EC">
      <w:pPr>
        <w:pStyle w:val="ARTICULO0"/>
      </w:pPr>
      <w:bookmarkStart w:id="2039" w:name="_Toc472592148"/>
      <w:bookmarkStart w:id="2040" w:name="_Toc472593167"/>
      <w:bookmarkStart w:id="2041" w:name="_Toc479056953"/>
      <w:bookmarkStart w:id="2042" w:name="_Toc31715966"/>
      <w:bookmarkStart w:id="2043" w:name="_Toc470789169"/>
      <w:bookmarkStart w:id="2044" w:name="_Toc470791363"/>
      <w:bookmarkStart w:id="2045" w:name="_Toc490066268"/>
      <w:r w:rsidRPr="002C0D19">
        <w:t>Artículo 1.6.2.16. Metodología de cálculo de las Contribuciones obligatorias para la continuidad del servicio.</w:t>
      </w:r>
      <w:bookmarkEnd w:id="2039"/>
      <w:bookmarkEnd w:id="2040"/>
      <w:bookmarkEnd w:id="2041"/>
      <w:bookmarkEnd w:id="2042"/>
      <w:r w:rsidRPr="002C0D19">
        <w:t xml:space="preserve"> </w:t>
      </w:r>
    </w:p>
    <w:p w14:paraId="11E23432" w14:textId="77777777" w:rsidR="007968EC" w:rsidRPr="00615F4E" w:rsidRDefault="007968EC" w:rsidP="007968EC">
      <w:pPr>
        <w:jc w:val="both"/>
        <w:rPr>
          <w:rFonts w:ascii="Arial Narrow" w:hAnsi="Arial Narrow" w:cs="Arial"/>
          <w:color w:val="000000" w:themeColor="text1"/>
          <w:lang w:eastAsia="es-ES"/>
        </w:rPr>
      </w:pPr>
    </w:p>
    <w:p w14:paraId="2DF912DE" w14:textId="77777777" w:rsidR="007968EC" w:rsidRPr="002C0D19" w:rsidRDefault="007968EC" w:rsidP="007968EC">
      <w:pPr>
        <w:pStyle w:val="ANTECEDENTES"/>
      </w:pPr>
      <w:r w:rsidRPr="002C0D19">
        <w:t>(Este artículo fue adicionado mediante Circular 19 del 28 de diciembre de 2016, publicada en el Boletín Normativo No. 024 del 28 de diciembre de 2010. Rige a partir del 29 de diciembre de 2016.)</w:t>
      </w:r>
      <w:bookmarkEnd w:id="2043"/>
      <w:bookmarkEnd w:id="2044"/>
      <w:bookmarkEnd w:id="2045"/>
    </w:p>
    <w:p w14:paraId="4755AB09" w14:textId="77777777" w:rsidR="007968EC" w:rsidRPr="002C0D19" w:rsidRDefault="007968EC" w:rsidP="007968EC">
      <w:pPr>
        <w:jc w:val="both"/>
        <w:rPr>
          <w:rFonts w:ascii="Arial Narrow" w:hAnsi="Arial Narrow" w:cs="Arial"/>
          <w:b/>
          <w:bCs/>
          <w:color w:val="000000" w:themeColor="text1"/>
          <w:kern w:val="32"/>
          <w:u w:val="single"/>
          <w:lang w:val="es-ES" w:eastAsia="es-ES"/>
        </w:rPr>
      </w:pPr>
    </w:p>
    <w:p w14:paraId="3C8F50AF" w14:textId="77777777" w:rsidR="007968EC" w:rsidRPr="002C0D19" w:rsidRDefault="007968EC" w:rsidP="007968EC">
      <w:pPr>
        <w:jc w:val="both"/>
        <w:rPr>
          <w:rFonts w:ascii="Arial Narrow" w:hAnsi="Arial Narrow" w:cs="Arial"/>
          <w:bCs/>
          <w:color w:val="000000" w:themeColor="text1"/>
          <w:lang w:val="es-ES" w:eastAsia="es-ES"/>
        </w:rPr>
      </w:pPr>
      <w:bookmarkStart w:id="2046" w:name="_Toc470775469"/>
      <w:bookmarkStart w:id="2047" w:name="_Toc470779754"/>
      <w:bookmarkStart w:id="2048" w:name="_Toc470780371"/>
      <w:bookmarkStart w:id="2049" w:name="_Toc470780884"/>
      <w:bookmarkStart w:id="2050" w:name="_Toc470784445"/>
      <w:bookmarkStart w:id="2051" w:name="_Toc470784982"/>
      <w:bookmarkStart w:id="2052" w:name="_Toc470789170"/>
      <w:bookmarkStart w:id="2053" w:name="_Toc470791364"/>
      <w:bookmarkStart w:id="2054" w:name="_Toc471831574"/>
      <w:bookmarkStart w:id="2055" w:name="_Toc490066269"/>
      <w:bookmarkStart w:id="2056" w:name="_Toc490079044"/>
      <w:r w:rsidRPr="002C0D19">
        <w:rPr>
          <w:rFonts w:ascii="Arial Narrow" w:hAnsi="Arial Narrow" w:cs="Arial"/>
          <w:bCs/>
          <w:color w:val="000000" w:themeColor="text1"/>
          <w:lang w:val="es-ES" w:eastAsia="es-ES"/>
        </w:rPr>
        <w:t>Una vez calculado el saldo deudor resultante del Incumplimiento de un Miembro Liquidador luego de ser utilizado el Importe del Fondo de Garantía Colectiva de un Segmento, de conformidad con lo establecido en el artículo 2.8.8. del Reglamento de Funcionamiento, la Cámara exigirá dicho saldo a los demás Miembros Liquidadores participantes en el Segmento o Segmentos en que se hubiere producido el Incumplimiento, de manera proporcional a las aportaciones de dichos Miembros Liquidadores al Fondo de Garantía Colectiva para el último periodo de actualización o reposición y su importe no excederá del valor de las aportaciones al Fondo de Garantía Colectiva que le haya correspondido constituir a tales Miembros Liquidadores en el Segmento o los Segmentos correspondientes, sin incluir las aportaciones para su reposición.</w:t>
      </w:r>
      <w:bookmarkEnd w:id="2046"/>
      <w:bookmarkEnd w:id="2047"/>
      <w:bookmarkEnd w:id="2048"/>
      <w:bookmarkEnd w:id="2049"/>
      <w:bookmarkEnd w:id="2050"/>
      <w:bookmarkEnd w:id="2051"/>
      <w:bookmarkEnd w:id="2052"/>
      <w:bookmarkEnd w:id="2053"/>
      <w:bookmarkEnd w:id="2054"/>
      <w:bookmarkEnd w:id="2055"/>
      <w:bookmarkEnd w:id="2056"/>
    </w:p>
    <w:p w14:paraId="6117304D" w14:textId="77777777" w:rsidR="007968EC" w:rsidRPr="002C0D19" w:rsidRDefault="007968EC" w:rsidP="007968EC">
      <w:pPr>
        <w:rPr>
          <w:rFonts w:ascii="Arial Narrow" w:hAnsi="Arial Narrow" w:cs="Arial"/>
          <w:b/>
          <w:color w:val="000000" w:themeColor="text1"/>
          <w:lang w:val="es-ES" w:eastAsia="es-ES"/>
        </w:rPr>
      </w:pPr>
    </w:p>
    <w:p w14:paraId="51A4D4EF" w14:textId="77777777" w:rsidR="007968EC" w:rsidRDefault="007968EC" w:rsidP="007968EC">
      <w:pPr>
        <w:keepNext/>
        <w:jc w:val="both"/>
        <w:outlineLvl w:val="2"/>
        <w:rPr>
          <w:rFonts w:ascii="Arial Narrow" w:hAnsi="Arial Narrow" w:cs="Arial"/>
          <w:b/>
          <w:color w:val="000000" w:themeColor="text1"/>
          <w:lang w:eastAsia="es-ES"/>
        </w:rPr>
      </w:pPr>
      <w:bookmarkStart w:id="2057" w:name="_Toc31715967"/>
      <w:bookmarkStart w:id="2058" w:name="_Toc472592149"/>
      <w:bookmarkStart w:id="2059" w:name="_Toc472593168"/>
      <w:bookmarkStart w:id="2060" w:name="_Toc479056954"/>
      <w:bookmarkStart w:id="2061" w:name="_Toc470789171"/>
      <w:bookmarkStart w:id="2062" w:name="_Toc470791365"/>
      <w:bookmarkStart w:id="2063" w:name="_Toc490066270"/>
      <w:r w:rsidRPr="00615F4E">
        <w:rPr>
          <w:rStyle w:val="ARTICULOCar"/>
          <w:rFonts w:eastAsiaTheme="minorHAnsi"/>
        </w:rPr>
        <w:t>Artículo 1.6.2.17. Contribuciones voluntarias para la continuidad del servicio</w:t>
      </w:r>
      <w:bookmarkEnd w:id="2057"/>
      <w:r w:rsidRPr="002C0D19">
        <w:rPr>
          <w:rFonts w:ascii="Arial Narrow" w:hAnsi="Arial Narrow" w:cs="Arial"/>
          <w:b/>
          <w:color w:val="000000" w:themeColor="text1"/>
          <w:u w:val="single"/>
          <w:lang w:eastAsia="es-ES"/>
        </w:rPr>
        <w:t>.</w:t>
      </w:r>
      <w:bookmarkEnd w:id="2058"/>
      <w:bookmarkEnd w:id="2059"/>
      <w:bookmarkEnd w:id="2060"/>
      <w:r w:rsidRPr="002C0D19">
        <w:rPr>
          <w:rFonts w:ascii="Arial Narrow" w:hAnsi="Arial Narrow" w:cs="Arial"/>
          <w:b/>
          <w:color w:val="000000" w:themeColor="text1"/>
          <w:lang w:eastAsia="es-ES"/>
        </w:rPr>
        <w:t xml:space="preserve"> </w:t>
      </w:r>
    </w:p>
    <w:p w14:paraId="3B89C24C" w14:textId="77777777" w:rsidR="007968EC" w:rsidRPr="00615F4E" w:rsidRDefault="007968EC" w:rsidP="007968EC">
      <w:pPr>
        <w:jc w:val="both"/>
        <w:rPr>
          <w:rFonts w:ascii="Arial Narrow" w:hAnsi="Arial Narrow" w:cs="Arial"/>
          <w:color w:val="000000" w:themeColor="text1"/>
          <w:lang w:eastAsia="es-ES"/>
        </w:rPr>
      </w:pPr>
    </w:p>
    <w:p w14:paraId="2EEF9F8C" w14:textId="77777777" w:rsidR="007968EC" w:rsidRPr="002C0D19" w:rsidRDefault="007968EC" w:rsidP="007968EC">
      <w:pPr>
        <w:pStyle w:val="ANTECEDENTES"/>
      </w:pPr>
      <w:r w:rsidRPr="002C0D19">
        <w:t>(Este artículo fue adicionado mediante Circular 19 del 28 de diciembre de 2016, publicada en el Boletín Normativo No. 024 del 28 de diciembre de 2010. Rige a partir del 29 de diciembre de 2016.)</w:t>
      </w:r>
      <w:bookmarkEnd w:id="2061"/>
      <w:bookmarkEnd w:id="2062"/>
      <w:bookmarkEnd w:id="2063"/>
    </w:p>
    <w:p w14:paraId="39C891B4" w14:textId="77777777" w:rsidR="007968EC" w:rsidRPr="002C0D19" w:rsidRDefault="007968EC" w:rsidP="007968EC">
      <w:pPr>
        <w:jc w:val="both"/>
        <w:rPr>
          <w:rFonts w:ascii="Arial Narrow" w:hAnsi="Arial Narrow" w:cs="Arial"/>
          <w:b/>
          <w:bCs/>
          <w:color w:val="000000" w:themeColor="text1"/>
          <w:u w:val="single"/>
          <w:lang w:val="es-ES" w:eastAsia="es-ES"/>
        </w:rPr>
      </w:pPr>
    </w:p>
    <w:p w14:paraId="5E8A8A0B" w14:textId="77777777" w:rsidR="007968EC" w:rsidRPr="002C0D19" w:rsidRDefault="007968EC" w:rsidP="007968EC">
      <w:pPr>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Si luego de utilizar la Contribución obligatoria para la continuidad del servicio, según se establece en el artículo anterior, aún existiere un saldo deudor a cargo del Miembro Liquidador Incumplido, la Cámara podrá solicitar Contribuciones voluntarias a los Miembros Liquidadores para la continuidad del servicio del Segmento donde existiere dicho saldo deudor, sin derecho a devolución por parte de la Cámara, sin perjuicio de que el reembolso de la Contribución voluntaria se reclame por cualquier vía al Miembro Liquidador Incumplido.</w:t>
      </w:r>
    </w:p>
    <w:p w14:paraId="03DEB82B" w14:textId="77777777" w:rsidR="007968EC" w:rsidRPr="002C0D19" w:rsidRDefault="007968EC" w:rsidP="007968EC">
      <w:pPr>
        <w:jc w:val="both"/>
        <w:rPr>
          <w:rFonts w:ascii="Arial Narrow" w:hAnsi="Arial Narrow" w:cs="Arial"/>
          <w:bCs/>
          <w:color w:val="000000" w:themeColor="text1"/>
          <w:lang w:val="es-ES" w:eastAsia="es-ES"/>
        </w:rPr>
      </w:pPr>
    </w:p>
    <w:p w14:paraId="124BF9E1" w14:textId="77777777" w:rsidR="007968EC" w:rsidRDefault="007968EC" w:rsidP="007968EC">
      <w:pPr>
        <w:pStyle w:val="ARTICULO0"/>
      </w:pPr>
      <w:bookmarkStart w:id="2064" w:name="_Toc472592150"/>
      <w:bookmarkStart w:id="2065" w:name="_Toc472593169"/>
      <w:bookmarkStart w:id="2066" w:name="_Toc479056955"/>
      <w:bookmarkStart w:id="2067" w:name="_Toc31715968"/>
      <w:bookmarkStart w:id="2068" w:name="_Toc470789172"/>
      <w:bookmarkStart w:id="2069" w:name="_Toc470791366"/>
      <w:bookmarkStart w:id="2070" w:name="_Toc490066271"/>
      <w:r w:rsidRPr="002C0D19">
        <w:t>Artículo 1.6.2.18. Metodología de cálculo de las Contribuciones voluntarias para la continuidad del servicio.</w:t>
      </w:r>
      <w:bookmarkEnd w:id="2064"/>
      <w:bookmarkEnd w:id="2065"/>
      <w:bookmarkEnd w:id="2066"/>
      <w:bookmarkEnd w:id="2067"/>
      <w:r w:rsidRPr="002C0D19">
        <w:t xml:space="preserve"> </w:t>
      </w:r>
    </w:p>
    <w:p w14:paraId="07BDDF52" w14:textId="77777777" w:rsidR="007968EC" w:rsidRPr="00615F4E" w:rsidRDefault="007968EC" w:rsidP="007968EC">
      <w:pPr>
        <w:jc w:val="both"/>
        <w:rPr>
          <w:rFonts w:ascii="Arial Narrow" w:hAnsi="Arial Narrow" w:cs="Arial"/>
          <w:color w:val="000000" w:themeColor="text1"/>
          <w:lang w:eastAsia="es-ES"/>
        </w:rPr>
      </w:pPr>
    </w:p>
    <w:p w14:paraId="1A2CF135" w14:textId="77777777" w:rsidR="007968EC" w:rsidRPr="002C0D19" w:rsidRDefault="007968EC" w:rsidP="007968EC">
      <w:pPr>
        <w:pStyle w:val="ANTECEDENTES"/>
      </w:pPr>
      <w:r w:rsidRPr="002C0D19">
        <w:t>(Este artículo fue adicionado mediante Circular 19 del 28 de diciembre de 2016, publicada en el Boletín Normativo No. 024 del 28 de diciembre de 2010</w:t>
      </w:r>
      <w:bookmarkEnd w:id="2068"/>
      <w:bookmarkEnd w:id="2069"/>
      <w:r w:rsidRPr="002C0D19">
        <w:t>, mediante Circular 2 del 11 de enero de 2017, publicada en el Boletín Normativo No. 002 del 11 de enero de 2017 y mediante Circular 2 del 11 de enero de 2017, publicada en el Boletín Normativo No. 002 del 11 de enero de 2017. Rige a partir del 12 de enero de 2017.)</w:t>
      </w:r>
      <w:bookmarkEnd w:id="2070"/>
    </w:p>
    <w:p w14:paraId="492E3C5F" w14:textId="77777777" w:rsidR="007968EC" w:rsidRPr="00217BDE" w:rsidRDefault="007968EC" w:rsidP="007968EC">
      <w:pPr>
        <w:jc w:val="both"/>
        <w:rPr>
          <w:rFonts w:ascii="Arial Narrow" w:hAnsi="Arial Narrow" w:cs="Arial"/>
          <w:bCs/>
          <w:color w:val="000000" w:themeColor="text1"/>
          <w:lang w:val="es-ES" w:eastAsia="es-ES"/>
        </w:rPr>
      </w:pPr>
    </w:p>
    <w:p w14:paraId="0DCED23F" w14:textId="77777777" w:rsidR="007968EC" w:rsidRPr="002C0D19" w:rsidRDefault="007968EC" w:rsidP="007968EC">
      <w:pPr>
        <w:jc w:val="both"/>
        <w:rPr>
          <w:rFonts w:ascii="Arial Narrow" w:hAnsi="Arial Narrow" w:cs="Arial"/>
          <w:bCs/>
          <w:color w:val="000000" w:themeColor="text1"/>
          <w:lang w:val="es-ES" w:eastAsia="es-ES"/>
        </w:rPr>
      </w:pPr>
      <w:bookmarkStart w:id="2071" w:name="_Toc470775470"/>
      <w:bookmarkStart w:id="2072" w:name="_Toc470779755"/>
      <w:bookmarkStart w:id="2073" w:name="_Toc470780372"/>
      <w:bookmarkStart w:id="2074" w:name="_Toc470780885"/>
      <w:bookmarkStart w:id="2075" w:name="_Toc470784446"/>
      <w:bookmarkStart w:id="2076" w:name="_Toc470784983"/>
      <w:bookmarkStart w:id="2077" w:name="_Toc470791367"/>
      <w:bookmarkStart w:id="2078" w:name="_Toc471831577"/>
      <w:bookmarkStart w:id="2079" w:name="_Toc490066272"/>
      <w:bookmarkStart w:id="2080" w:name="_Toc490079047"/>
      <w:r w:rsidRPr="002C0D19">
        <w:rPr>
          <w:rFonts w:ascii="Arial Narrow" w:hAnsi="Arial Narrow" w:cs="Arial"/>
          <w:bCs/>
          <w:color w:val="000000" w:themeColor="text1"/>
          <w:lang w:val="es-ES" w:eastAsia="es-ES"/>
        </w:rPr>
        <w:t xml:space="preserve">Una vez calculado el saldo deudor resultante del Incumplimiento de un Miembro Liquidador luego de ser utilizado el Importe del Fondo de Garantía Colectiva y las Contribuciones obligatorias de un Segmento de conformidad con lo establecido en el artículo 2.8.8. del Reglamento de Funcionamiento, la Cámara informará a los Miembros del Segmento dicho saldo deudor, el valor de la aportación voluntaria y el plazo para </w:t>
      </w:r>
      <w:r w:rsidRPr="002C0D19">
        <w:rPr>
          <w:rFonts w:ascii="Arial Narrow" w:hAnsi="Arial Narrow" w:cs="Arial"/>
          <w:bCs/>
          <w:color w:val="000000" w:themeColor="text1"/>
          <w:lang w:val="es-ES" w:eastAsia="es-ES"/>
        </w:rPr>
        <w:lastRenderedPageBreak/>
        <w:t>realizarla. En este evento los Miembros que acepten realizar la Contribución voluntaria deberán informarlo a la Cámara en el término que esta establezca.</w:t>
      </w:r>
      <w:bookmarkEnd w:id="2071"/>
      <w:bookmarkEnd w:id="2072"/>
      <w:bookmarkEnd w:id="2073"/>
      <w:bookmarkEnd w:id="2074"/>
      <w:bookmarkEnd w:id="2075"/>
      <w:bookmarkEnd w:id="2076"/>
      <w:bookmarkEnd w:id="2077"/>
      <w:r w:rsidRPr="00217BDE">
        <w:rPr>
          <w:rFonts w:ascii="Arial Narrow" w:hAnsi="Arial Narrow" w:cs="Arial"/>
          <w:bCs/>
          <w:color w:val="000000" w:themeColor="text1"/>
          <w:lang w:val="es-ES" w:eastAsia="es-ES"/>
        </w:rPr>
        <w:t xml:space="preserve"> El Miembro que </w:t>
      </w:r>
      <w:r w:rsidRPr="002C0D19">
        <w:rPr>
          <w:rFonts w:ascii="Arial Narrow" w:hAnsi="Arial Narrow" w:cs="Arial"/>
          <w:bCs/>
          <w:color w:val="000000" w:themeColor="text1"/>
          <w:lang w:val="es-ES" w:eastAsia="es-ES"/>
        </w:rPr>
        <w:t xml:space="preserve">acepte realizar la Contribución voluntaria y no la </w:t>
      </w:r>
      <w:r w:rsidRPr="00217BDE">
        <w:rPr>
          <w:rFonts w:ascii="Arial Narrow" w:hAnsi="Arial Narrow" w:cs="Arial"/>
          <w:bCs/>
          <w:color w:val="000000" w:themeColor="text1"/>
          <w:lang w:val="es-ES" w:eastAsia="es-ES"/>
        </w:rPr>
        <w:t>realice en el plazo indicado por la Cámara incurrirá en Incumplimiento.</w:t>
      </w:r>
      <w:bookmarkEnd w:id="2078"/>
      <w:bookmarkEnd w:id="2079"/>
      <w:bookmarkEnd w:id="2080"/>
    </w:p>
    <w:p w14:paraId="5264642C" w14:textId="77777777" w:rsidR="007968EC" w:rsidRDefault="007968EC" w:rsidP="00074A74">
      <w:pPr>
        <w:pStyle w:val="Ttulo0"/>
      </w:pPr>
      <w:bookmarkStart w:id="2081" w:name="_Toc470775471"/>
      <w:bookmarkStart w:id="2082" w:name="_Toc470779756"/>
      <w:bookmarkStart w:id="2083" w:name="_Toc470780373"/>
      <w:bookmarkStart w:id="2084" w:name="_Toc470780886"/>
      <w:bookmarkStart w:id="2085" w:name="_Toc470784447"/>
      <w:bookmarkStart w:id="2086" w:name="_Toc470784984"/>
      <w:bookmarkStart w:id="2087" w:name="_Toc470789174"/>
      <w:bookmarkStart w:id="2088" w:name="_Toc470791368"/>
      <w:bookmarkStart w:id="2089" w:name="_Toc472592151"/>
      <w:bookmarkStart w:id="2090" w:name="_Toc472593170"/>
      <w:bookmarkStart w:id="2091" w:name="_Toc479056956"/>
      <w:bookmarkStart w:id="2092" w:name="_Toc490066273"/>
    </w:p>
    <w:p w14:paraId="7063C90B" w14:textId="77777777" w:rsidR="007968EC" w:rsidRPr="002C0D19" w:rsidRDefault="007968EC" w:rsidP="007968EC">
      <w:pPr>
        <w:pStyle w:val="TTULO"/>
        <w:rPr>
          <w:lang w:val="es-ES"/>
        </w:rPr>
      </w:pPr>
      <w:bookmarkStart w:id="2093" w:name="_Toc31715969"/>
      <w:r w:rsidRPr="002C0D19">
        <w:rPr>
          <w:lang w:val="es-ES"/>
        </w:rPr>
        <w:t>CAPITULO TERCERO</w:t>
      </w:r>
      <w:bookmarkEnd w:id="2081"/>
      <w:bookmarkEnd w:id="2082"/>
      <w:bookmarkEnd w:id="2083"/>
      <w:bookmarkEnd w:id="2084"/>
      <w:bookmarkEnd w:id="2085"/>
      <w:bookmarkEnd w:id="2086"/>
      <w:bookmarkEnd w:id="2087"/>
      <w:bookmarkEnd w:id="2088"/>
      <w:bookmarkEnd w:id="2089"/>
      <w:bookmarkEnd w:id="2090"/>
      <w:bookmarkEnd w:id="2091"/>
      <w:bookmarkEnd w:id="2092"/>
      <w:bookmarkEnd w:id="2093"/>
    </w:p>
    <w:p w14:paraId="3F249BC3" w14:textId="77777777" w:rsidR="007968EC" w:rsidRPr="002C0D19" w:rsidRDefault="007968EC" w:rsidP="00074A74">
      <w:pPr>
        <w:pStyle w:val="Ttulo0"/>
      </w:pPr>
    </w:p>
    <w:p w14:paraId="7A786FE9" w14:textId="77777777" w:rsidR="007968EC" w:rsidRPr="002C0D19" w:rsidRDefault="007968EC" w:rsidP="007968EC">
      <w:pPr>
        <w:pStyle w:val="TTULO"/>
        <w:rPr>
          <w:lang w:val="es-ES"/>
        </w:rPr>
      </w:pPr>
      <w:bookmarkStart w:id="2094" w:name="_Toc470775472"/>
      <w:bookmarkStart w:id="2095" w:name="_Toc470779757"/>
      <w:bookmarkStart w:id="2096" w:name="_Toc470780374"/>
      <w:bookmarkStart w:id="2097" w:name="_Toc470780887"/>
      <w:bookmarkStart w:id="2098" w:name="_Toc470784448"/>
      <w:bookmarkStart w:id="2099" w:name="_Toc470784985"/>
      <w:bookmarkStart w:id="2100" w:name="_Toc470789175"/>
      <w:bookmarkStart w:id="2101" w:name="_Toc470791369"/>
      <w:bookmarkStart w:id="2102" w:name="_Toc472592152"/>
      <w:bookmarkStart w:id="2103" w:name="_Toc472593171"/>
      <w:bookmarkStart w:id="2104" w:name="_Toc479056957"/>
      <w:bookmarkStart w:id="2105" w:name="_Toc490066274"/>
      <w:bookmarkStart w:id="2106" w:name="_Toc31715970"/>
      <w:r w:rsidRPr="002C0D19">
        <w:rPr>
          <w:lang w:val="es-ES"/>
        </w:rPr>
        <w:t>RECURSOS PROPIOS ESPECÍFICOS</w:t>
      </w:r>
      <w:bookmarkEnd w:id="2094"/>
      <w:bookmarkEnd w:id="2095"/>
      <w:bookmarkEnd w:id="2096"/>
      <w:bookmarkEnd w:id="2097"/>
      <w:bookmarkEnd w:id="2098"/>
      <w:bookmarkEnd w:id="2099"/>
      <w:bookmarkEnd w:id="2100"/>
      <w:bookmarkEnd w:id="2101"/>
      <w:bookmarkEnd w:id="2102"/>
      <w:bookmarkEnd w:id="2103"/>
      <w:bookmarkEnd w:id="2104"/>
      <w:bookmarkEnd w:id="2105"/>
      <w:bookmarkEnd w:id="2106"/>
    </w:p>
    <w:p w14:paraId="796A494F" w14:textId="77777777" w:rsidR="007968EC" w:rsidRPr="002C0D19" w:rsidRDefault="007968EC" w:rsidP="007968EC">
      <w:pPr>
        <w:jc w:val="both"/>
        <w:rPr>
          <w:rFonts w:ascii="Arial Narrow" w:hAnsi="Arial Narrow" w:cs="Arial"/>
          <w:b/>
          <w:color w:val="000000" w:themeColor="text1"/>
          <w:u w:val="single"/>
          <w:lang w:val="es-ES" w:eastAsia="es-ES"/>
        </w:rPr>
      </w:pPr>
    </w:p>
    <w:p w14:paraId="7D8B4BB7" w14:textId="77777777" w:rsidR="007968EC" w:rsidRDefault="007968EC" w:rsidP="007968EC">
      <w:pPr>
        <w:pStyle w:val="ARTICULO0"/>
      </w:pPr>
      <w:bookmarkStart w:id="2107" w:name="_Toc472592153"/>
      <w:bookmarkStart w:id="2108" w:name="_Toc472593172"/>
      <w:bookmarkStart w:id="2109" w:name="_Toc479056958"/>
      <w:bookmarkStart w:id="2110" w:name="_Toc31715971"/>
      <w:bookmarkStart w:id="2111" w:name="_Toc470789723"/>
      <w:bookmarkStart w:id="2112" w:name="_Toc470791370"/>
      <w:bookmarkStart w:id="2113" w:name="_Toc490066275"/>
      <w:r w:rsidRPr="002C0D19">
        <w:t>Artículo 1.6.3.1. Recursos Propios Específicos.</w:t>
      </w:r>
      <w:bookmarkEnd w:id="2107"/>
      <w:bookmarkEnd w:id="2108"/>
      <w:bookmarkEnd w:id="2109"/>
      <w:bookmarkEnd w:id="2110"/>
      <w:r w:rsidRPr="002C0D19">
        <w:t xml:space="preserve"> </w:t>
      </w:r>
    </w:p>
    <w:p w14:paraId="63E49A99" w14:textId="77777777" w:rsidR="007968EC" w:rsidRPr="00615F4E" w:rsidRDefault="007968EC" w:rsidP="007968EC">
      <w:pPr>
        <w:jc w:val="both"/>
        <w:rPr>
          <w:rFonts w:ascii="Arial Narrow" w:hAnsi="Arial Narrow" w:cs="Arial"/>
          <w:color w:val="000000" w:themeColor="text1"/>
          <w:lang w:eastAsia="es-ES"/>
        </w:rPr>
      </w:pPr>
    </w:p>
    <w:p w14:paraId="540BC7CE" w14:textId="77777777" w:rsidR="007968EC" w:rsidRPr="002C0D19" w:rsidRDefault="007968EC" w:rsidP="007968EC">
      <w:pPr>
        <w:pStyle w:val="ANTECEDENTES"/>
      </w:pPr>
      <w:r w:rsidRPr="002C0D19">
        <w:t>(Este artículo fue adicionado mediante Circular 19 del 28 de diciembre de 2016, publicada en el Boletín Normativo No. 024 del 28 de diciembre de 2010. Rige a partir del 29 de diciembre de 2016.)</w:t>
      </w:r>
      <w:bookmarkEnd w:id="2111"/>
      <w:bookmarkEnd w:id="2112"/>
      <w:bookmarkEnd w:id="2113"/>
      <w:r w:rsidRPr="002C0D19">
        <w:t xml:space="preserve">     </w:t>
      </w:r>
    </w:p>
    <w:p w14:paraId="62FD1D13" w14:textId="77777777" w:rsidR="007968EC" w:rsidRPr="002C0D19" w:rsidRDefault="007968EC" w:rsidP="007968EC">
      <w:pPr>
        <w:jc w:val="both"/>
        <w:rPr>
          <w:rFonts w:ascii="Arial Narrow" w:hAnsi="Arial Narrow" w:cs="Arial"/>
          <w:b/>
          <w:color w:val="000000" w:themeColor="text1"/>
          <w:u w:val="single"/>
          <w:lang w:val="es-ES" w:eastAsia="es-ES"/>
        </w:rPr>
      </w:pPr>
    </w:p>
    <w:p w14:paraId="235149AE" w14:textId="77777777" w:rsidR="007968EC" w:rsidRPr="002C0D19" w:rsidRDefault="007968EC" w:rsidP="007968EC">
      <w:pPr>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Los Recursos Propios Específicos corresponden a una parte del Patrimonio de la Cámara asignado para cada Segmento, el cual será dispuesto para cubrir el impago de un Miembro Liquidador en el caso de que todas las Garantías aportadas por dicho Miembro no fueran suficientes para cubrir el impago, éstas se utilizarán antes que la aportación al Fondo de Garantía Colectiva de cualquier Miembro Liquidador no Incumplido y solo podrá ser utilizado hasta el monto destinado para el Segmento en donde se presentó el Incumplimiento.</w:t>
      </w:r>
    </w:p>
    <w:p w14:paraId="008461A5" w14:textId="77777777" w:rsidR="007968EC" w:rsidRPr="002C0D19" w:rsidRDefault="007968EC" w:rsidP="007968EC">
      <w:pPr>
        <w:jc w:val="both"/>
        <w:rPr>
          <w:rFonts w:ascii="Arial Narrow" w:hAnsi="Arial Narrow" w:cs="Arial"/>
          <w:bCs/>
          <w:color w:val="000000" w:themeColor="text1"/>
          <w:lang w:val="es-ES" w:eastAsia="es-ES"/>
        </w:rPr>
      </w:pPr>
    </w:p>
    <w:p w14:paraId="71A2AAB7" w14:textId="77777777" w:rsidR="007968EC" w:rsidRPr="002C0D19" w:rsidRDefault="007968EC" w:rsidP="007968EC">
      <w:pPr>
        <w:jc w:val="both"/>
        <w:rPr>
          <w:rFonts w:ascii="Arial Narrow" w:hAnsi="Arial Narrow" w:cs="Arial"/>
          <w:bCs/>
          <w:color w:val="000000" w:themeColor="text1"/>
          <w:lang w:val="es-ES" w:eastAsia="es-ES"/>
        </w:rPr>
      </w:pPr>
      <w:bookmarkStart w:id="2114" w:name="_Toc470775473"/>
      <w:bookmarkStart w:id="2115" w:name="_Toc470779758"/>
      <w:bookmarkStart w:id="2116" w:name="_Toc470780375"/>
      <w:bookmarkStart w:id="2117" w:name="_Toc470780888"/>
      <w:bookmarkStart w:id="2118" w:name="_Toc470784449"/>
      <w:bookmarkStart w:id="2119" w:name="_Toc470784986"/>
      <w:bookmarkStart w:id="2120" w:name="_Toc470789724"/>
      <w:bookmarkStart w:id="2121" w:name="_Toc470791371"/>
      <w:bookmarkStart w:id="2122" w:name="_Toc471831581"/>
      <w:bookmarkStart w:id="2123" w:name="_Toc490066276"/>
      <w:bookmarkStart w:id="2124" w:name="_Toc490079051"/>
      <w:r w:rsidRPr="002C0D19">
        <w:rPr>
          <w:rFonts w:ascii="Arial Narrow" w:hAnsi="Arial Narrow" w:cs="Arial"/>
          <w:bCs/>
          <w:color w:val="000000" w:themeColor="text1"/>
          <w:lang w:val="es-ES" w:eastAsia="es-ES"/>
        </w:rPr>
        <w:t>De conformidad con lo establecido en el numeral 6 del artículo 1.6.2.13. de la presente Circular, en el caso en que por una vez se deba disponer de una parte del importe del Fondo de Garantía Colectiva en más del cincuenta por ciento (50%) de su valor total o en cualquier porcentaje en más de una vez en un periodo de tres (3) meses consecutivos, los Recursos Propios Específicos aportados por la Cámara deberán duplicarse para el Segmento en el que se presentó el Incumplimiento.</w:t>
      </w:r>
      <w:bookmarkEnd w:id="2114"/>
      <w:bookmarkEnd w:id="2115"/>
      <w:bookmarkEnd w:id="2116"/>
      <w:bookmarkEnd w:id="2117"/>
      <w:bookmarkEnd w:id="2118"/>
      <w:bookmarkEnd w:id="2119"/>
      <w:bookmarkEnd w:id="2120"/>
      <w:bookmarkEnd w:id="2121"/>
      <w:bookmarkEnd w:id="2122"/>
      <w:bookmarkEnd w:id="2123"/>
      <w:bookmarkEnd w:id="2124"/>
    </w:p>
    <w:p w14:paraId="087C1C08" w14:textId="77777777" w:rsidR="007968EC" w:rsidRPr="002C0D19" w:rsidRDefault="007968EC" w:rsidP="007968EC">
      <w:pPr>
        <w:jc w:val="both"/>
        <w:rPr>
          <w:rFonts w:ascii="Arial Narrow" w:hAnsi="Arial Narrow" w:cs="Arial"/>
          <w:b/>
          <w:color w:val="000000" w:themeColor="text1"/>
          <w:lang w:val="es-ES" w:eastAsia="es-ES"/>
        </w:rPr>
      </w:pPr>
    </w:p>
    <w:p w14:paraId="1C4C0CFD" w14:textId="77777777" w:rsidR="007968EC" w:rsidRDefault="007968EC" w:rsidP="007968EC">
      <w:pPr>
        <w:keepNext/>
        <w:jc w:val="both"/>
        <w:outlineLvl w:val="2"/>
        <w:rPr>
          <w:rFonts w:ascii="Arial Narrow" w:hAnsi="Arial Narrow" w:cs="Arial"/>
          <w:b/>
          <w:color w:val="000000" w:themeColor="text1"/>
          <w:u w:val="single"/>
          <w:lang w:eastAsia="es-ES"/>
        </w:rPr>
      </w:pPr>
      <w:bookmarkStart w:id="2125" w:name="_Toc31715972"/>
      <w:bookmarkStart w:id="2126" w:name="_Toc472592154"/>
      <w:bookmarkStart w:id="2127" w:name="_Toc472593173"/>
      <w:bookmarkStart w:id="2128" w:name="_Toc479056959"/>
      <w:bookmarkStart w:id="2129" w:name="_Toc470789725"/>
      <w:bookmarkStart w:id="2130" w:name="_Toc470791372"/>
      <w:bookmarkStart w:id="2131" w:name="_Toc490066277"/>
      <w:r w:rsidRPr="005F3DD6">
        <w:rPr>
          <w:rStyle w:val="ARTICULOCar"/>
          <w:rFonts w:eastAsiaTheme="minorHAnsi"/>
        </w:rPr>
        <w:t>Artículo 1.6.3.2. Procedimiento para el cálculo y reposición de los Recursos Propios Específicos</w:t>
      </w:r>
      <w:bookmarkEnd w:id="2125"/>
      <w:r w:rsidRPr="002C0D19">
        <w:rPr>
          <w:rFonts w:ascii="Arial Narrow" w:hAnsi="Arial Narrow" w:cs="Arial"/>
          <w:b/>
          <w:color w:val="000000" w:themeColor="text1"/>
          <w:u w:val="single"/>
          <w:lang w:eastAsia="es-ES"/>
        </w:rPr>
        <w:t>.</w:t>
      </w:r>
      <w:bookmarkEnd w:id="2126"/>
      <w:bookmarkEnd w:id="2127"/>
      <w:bookmarkEnd w:id="2128"/>
      <w:r w:rsidRPr="002C0D19">
        <w:rPr>
          <w:rFonts w:ascii="Arial Narrow" w:hAnsi="Arial Narrow" w:cs="Arial"/>
          <w:b/>
          <w:color w:val="000000" w:themeColor="text1"/>
          <w:u w:val="single"/>
          <w:lang w:eastAsia="es-ES"/>
        </w:rPr>
        <w:t xml:space="preserve"> </w:t>
      </w:r>
    </w:p>
    <w:p w14:paraId="2C9B1496" w14:textId="77777777" w:rsidR="007968EC" w:rsidRPr="005F3DD6" w:rsidRDefault="007968EC" w:rsidP="007968EC">
      <w:pPr>
        <w:jc w:val="both"/>
        <w:rPr>
          <w:rFonts w:ascii="Arial Narrow" w:hAnsi="Arial Narrow" w:cs="Arial"/>
          <w:color w:val="000000" w:themeColor="text1"/>
          <w:lang w:eastAsia="es-ES"/>
        </w:rPr>
      </w:pPr>
    </w:p>
    <w:p w14:paraId="54718DB1" w14:textId="77777777" w:rsidR="007968EC" w:rsidRPr="002C0D19" w:rsidRDefault="007968EC" w:rsidP="007968EC">
      <w:pPr>
        <w:pStyle w:val="ANTECEDENTES"/>
      </w:pPr>
      <w:r w:rsidRPr="002C0D19">
        <w:t>(Este artículo fue adicionado mediante Circular 19 del 28 de diciembre de 2016, publicada en el Boletín Normativo No. 024 del 28 de diciembre de 2010. Rige a partir del 29 de diciembre de 2016.)</w:t>
      </w:r>
      <w:bookmarkEnd w:id="2129"/>
      <w:bookmarkEnd w:id="2130"/>
      <w:bookmarkEnd w:id="2131"/>
      <w:r w:rsidRPr="002C0D19">
        <w:t xml:space="preserve">     </w:t>
      </w:r>
    </w:p>
    <w:p w14:paraId="235598EB" w14:textId="77777777" w:rsidR="007968EC" w:rsidRPr="002C0D19" w:rsidRDefault="007968EC" w:rsidP="007968EC">
      <w:pPr>
        <w:jc w:val="both"/>
        <w:rPr>
          <w:rFonts w:ascii="Arial Narrow" w:hAnsi="Arial Narrow" w:cs="Arial"/>
          <w:color w:val="000000" w:themeColor="text1"/>
          <w:u w:val="single"/>
          <w:lang w:val="es-ES" w:eastAsia="es-ES"/>
        </w:rPr>
      </w:pPr>
    </w:p>
    <w:p w14:paraId="25D82C24" w14:textId="77777777" w:rsidR="007968EC" w:rsidRPr="002C0D19" w:rsidRDefault="007968EC" w:rsidP="007968EC">
      <w:pPr>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Los Recursos Propios Específicos corresponden al veinticinco por ciento (25%) del capital mínimo exigido por las disposiciones legales vigentes para la constitución de una cámara de riesgo central de contraparte. Un valor proporcional de dichos Recursos se destinará a cada Segmento calculado con base en el tamaño del Fondo de Garantía Colectiva del respectivo Segmento, el cual es actualizado como mínimo trimestralmente. El monto de los Recursos Propios Específicos a utilizar para cada Segmento y sus actualizaciones se informará a los Miembros mediante Boletín Informativo.</w:t>
      </w:r>
    </w:p>
    <w:p w14:paraId="71222077" w14:textId="77777777" w:rsidR="007968EC" w:rsidRPr="002C0D19" w:rsidRDefault="007968EC" w:rsidP="007968EC">
      <w:pPr>
        <w:jc w:val="both"/>
        <w:rPr>
          <w:rFonts w:ascii="Arial Narrow" w:hAnsi="Arial Narrow" w:cs="Arial"/>
          <w:bCs/>
          <w:color w:val="000000" w:themeColor="text1"/>
          <w:lang w:val="es-ES" w:eastAsia="es-ES"/>
        </w:rPr>
      </w:pPr>
    </w:p>
    <w:p w14:paraId="454468B2" w14:textId="77777777" w:rsidR="007968EC" w:rsidRPr="002C0D19" w:rsidRDefault="007968EC" w:rsidP="007968EC">
      <w:pPr>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En el evento de utilización de los Recursos Propios Específicos asignados a un Segmento, su reposición deberá efectuarse por parte de la Cámara en un plazo que no podrá exceder de seis (6) meses.</w:t>
      </w:r>
    </w:p>
    <w:p w14:paraId="6C714B0E" w14:textId="77777777" w:rsidR="007968EC" w:rsidRPr="002C0D19" w:rsidRDefault="007968EC" w:rsidP="007968EC">
      <w:pPr>
        <w:jc w:val="both"/>
        <w:rPr>
          <w:rFonts w:ascii="Arial Narrow" w:hAnsi="Arial Narrow" w:cs="Arial"/>
          <w:bCs/>
          <w:color w:val="000000" w:themeColor="text1"/>
          <w:lang w:val="es-ES" w:eastAsia="es-ES"/>
        </w:rPr>
      </w:pPr>
    </w:p>
    <w:p w14:paraId="5159427C" w14:textId="77777777" w:rsidR="007968EC" w:rsidRPr="00217BDE" w:rsidRDefault="007968EC" w:rsidP="007968EC">
      <w:pPr>
        <w:jc w:val="both"/>
        <w:rPr>
          <w:rFonts w:ascii="Arial Narrow" w:hAnsi="Arial Narrow" w:cs="Arial"/>
          <w:bCs/>
          <w:color w:val="000000" w:themeColor="text1"/>
          <w:lang w:val="es-ES" w:eastAsia="es-ES"/>
        </w:rPr>
      </w:pPr>
      <w:bookmarkStart w:id="2132" w:name="_Toc470775474"/>
      <w:bookmarkStart w:id="2133" w:name="_Toc470779759"/>
      <w:bookmarkStart w:id="2134" w:name="_Toc470780376"/>
      <w:bookmarkStart w:id="2135" w:name="_Toc470780889"/>
      <w:bookmarkStart w:id="2136" w:name="_Toc470784450"/>
      <w:bookmarkStart w:id="2137" w:name="_Toc470784987"/>
      <w:bookmarkStart w:id="2138" w:name="_Toc470791373"/>
      <w:bookmarkStart w:id="2139" w:name="_Toc471831583"/>
      <w:bookmarkStart w:id="2140" w:name="_Toc490066278"/>
      <w:bookmarkStart w:id="2141" w:name="_Toc490079053"/>
      <w:r w:rsidRPr="00217BDE">
        <w:rPr>
          <w:rFonts w:ascii="Arial Narrow" w:hAnsi="Arial Narrow" w:cs="Arial"/>
          <w:b/>
          <w:bCs/>
          <w:color w:val="000000" w:themeColor="text1"/>
          <w:lang w:val="es-ES" w:eastAsia="es-ES"/>
        </w:rPr>
        <w:lastRenderedPageBreak/>
        <w:t>Parágrafo.</w:t>
      </w:r>
      <w:r w:rsidRPr="002C0D19">
        <w:rPr>
          <w:rFonts w:ascii="Arial Narrow" w:hAnsi="Arial Narrow" w:cs="Arial"/>
          <w:bCs/>
          <w:color w:val="000000" w:themeColor="text1"/>
          <w:lang w:val="es-ES" w:eastAsia="es-ES"/>
        </w:rPr>
        <w:t xml:space="preserve"> Durante los tres (3) primeros meses de entrada en funcionamiento de los Fondos de Garantía Colectiva para cada Segmento el cálculo del tamaño del mismo se hará con periodicidad mensual y en consecuencia los cálculos de los Recursos Propios Específicos asignados a cada Segmento también serán calculados de forma mensual.</w:t>
      </w:r>
      <w:bookmarkEnd w:id="2132"/>
      <w:bookmarkEnd w:id="2133"/>
      <w:bookmarkEnd w:id="2134"/>
      <w:bookmarkEnd w:id="2135"/>
      <w:bookmarkEnd w:id="2136"/>
      <w:bookmarkEnd w:id="2137"/>
      <w:bookmarkEnd w:id="2138"/>
      <w:bookmarkEnd w:id="2139"/>
      <w:bookmarkEnd w:id="2140"/>
      <w:bookmarkEnd w:id="2141"/>
    </w:p>
    <w:p w14:paraId="68586630" w14:textId="77777777" w:rsidR="007968EC" w:rsidRPr="002C0D19" w:rsidRDefault="007968EC" w:rsidP="007968EC">
      <w:pPr>
        <w:rPr>
          <w:rFonts w:ascii="Arial Narrow" w:hAnsi="Arial Narrow" w:cs="Arial"/>
          <w:b/>
          <w:color w:val="000000" w:themeColor="text1"/>
          <w:lang w:eastAsia="es-ES"/>
        </w:rPr>
      </w:pPr>
    </w:p>
    <w:p w14:paraId="225522CB" w14:textId="77777777" w:rsidR="007968EC" w:rsidRPr="002C0D19" w:rsidRDefault="007968EC" w:rsidP="007968EC">
      <w:pPr>
        <w:autoSpaceDE w:val="0"/>
        <w:autoSpaceDN w:val="0"/>
        <w:jc w:val="both"/>
        <w:rPr>
          <w:rFonts w:ascii="Arial Narrow" w:hAnsi="Arial Narrow" w:cs="Arial"/>
          <w:bCs/>
          <w:color w:val="000000" w:themeColor="text1"/>
          <w:lang w:eastAsia="es-ES"/>
        </w:rPr>
      </w:pPr>
    </w:p>
    <w:p w14:paraId="37249A0B" w14:textId="77777777" w:rsidR="007968EC" w:rsidRDefault="007968EC" w:rsidP="00074A74">
      <w:pPr>
        <w:pStyle w:val="Ttulo0"/>
      </w:pPr>
      <w:bookmarkStart w:id="2142" w:name="_Toc470775475"/>
      <w:bookmarkStart w:id="2143" w:name="_Toc470779760"/>
      <w:bookmarkStart w:id="2144" w:name="_Toc470780377"/>
      <w:bookmarkStart w:id="2145" w:name="_Toc470780890"/>
      <w:bookmarkStart w:id="2146" w:name="_Toc470784451"/>
      <w:bookmarkStart w:id="2147" w:name="_Toc470784988"/>
      <w:bookmarkStart w:id="2148" w:name="_Toc470791374"/>
      <w:bookmarkStart w:id="2149" w:name="_Toc472592155"/>
      <w:bookmarkStart w:id="2150" w:name="_Toc472593174"/>
      <w:bookmarkStart w:id="2151" w:name="_Toc479056960"/>
      <w:bookmarkStart w:id="2152" w:name="_Toc490066279"/>
    </w:p>
    <w:p w14:paraId="123658BD" w14:textId="77777777" w:rsidR="007968EC" w:rsidRPr="002C0D19" w:rsidRDefault="007968EC" w:rsidP="007968EC">
      <w:pPr>
        <w:pStyle w:val="TTULO"/>
        <w:rPr>
          <w:lang w:val="es-ES"/>
        </w:rPr>
      </w:pPr>
      <w:bookmarkStart w:id="2153" w:name="_Toc31715973"/>
      <w:r w:rsidRPr="002C0D19">
        <w:rPr>
          <w:lang w:val="es-ES"/>
        </w:rPr>
        <w:t>CAPITULO CUARTO</w:t>
      </w:r>
      <w:bookmarkEnd w:id="2142"/>
      <w:bookmarkEnd w:id="2143"/>
      <w:bookmarkEnd w:id="2144"/>
      <w:bookmarkEnd w:id="2145"/>
      <w:bookmarkEnd w:id="2146"/>
      <w:bookmarkEnd w:id="2147"/>
      <w:bookmarkEnd w:id="2148"/>
      <w:bookmarkEnd w:id="2149"/>
      <w:bookmarkEnd w:id="2150"/>
      <w:bookmarkEnd w:id="2151"/>
      <w:bookmarkEnd w:id="2152"/>
      <w:bookmarkEnd w:id="2153"/>
    </w:p>
    <w:p w14:paraId="49F6FBBD" w14:textId="77777777" w:rsidR="007968EC" w:rsidRPr="002C0D19" w:rsidRDefault="007968EC" w:rsidP="00074A74">
      <w:pPr>
        <w:pStyle w:val="Ttulo0"/>
      </w:pPr>
    </w:p>
    <w:p w14:paraId="23245A87" w14:textId="77777777" w:rsidR="007968EC" w:rsidRPr="002C0D19" w:rsidRDefault="007968EC" w:rsidP="007968EC">
      <w:pPr>
        <w:pStyle w:val="TTULO"/>
        <w:rPr>
          <w:lang w:val="es-ES"/>
        </w:rPr>
      </w:pPr>
      <w:bookmarkStart w:id="2154" w:name="_Toc470775476"/>
      <w:bookmarkStart w:id="2155" w:name="_Toc470779761"/>
      <w:bookmarkStart w:id="2156" w:name="_Toc470780378"/>
      <w:bookmarkStart w:id="2157" w:name="_Toc470780891"/>
      <w:bookmarkStart w:id="2158" w:name="_Toc470784452"/>
      <w:bookmarkStart w:id="2159" w:name="_Toc470784989"/>
      <w:bookmarkStart w:id="2160" w:name="_Toc470791375"/>
      <w:bookmarkStart w:id="2161" w:name="_Toc472592156"/>
      <w:bookmarkStart w:id="2162" w:name="_Toc472593175"/>
      <w:bookmarkStart w:id="2163" w:name="_Toc479056961"/>
      <w:bookmarkStart w:id="2164" w:name="_Toc490066280"/>
      <w:bookmarkStart w:id="2165" w:name="_Toc31715974"/>
      <w:r w:rsidRPr="002C0D19">
        <w:rPr>
          <w:lang w:val="es-ES"/>
        </w:rPr>
        <w:t>GESTION DE GARANTIAS</w:t>
      </w:r>
      <w:bookmarkEnd w:id="2154"/>
      <w:bookmarkEnd w:id="2155"/>
      <w:bookmarkEnd w:id="2156"/>
      <w:bookmarkEnd w:id="2157"/>
      <w:bookmarkEnd w:id="2158"/>
      <w:bookmarkEnd w:id="2159"/>
      <w:bookmarkEnd w:id="2160"/>
      <w:bookmarkEnd w:id="2161"/>
      <w:bookmarkEnd w:id="2162"/>
      <w:bookmarkEnd w:id="2163"/>
      <w:bookmarkEnd w:id="2164"/>
      <w:bookmarkEnd w:id="2165"/>
    </w:p>
    <w:p w14:paraId="44B1B0DA" w14:textId="77777777" w:rsidR="007968EC" w:rsidRPr="002C0D19" w:rsidRDefault="007968EC" w:rsidP="00074A74">
      <w:pPr>
        <w:pStyle w:val="Ttulo0"/>
      </w:pPr>
    </w:p>
    <w:p w14:paraId="6FDA83CB" w14:textId="77777777" w:rsidR="007968EC" w:rsidRDefault="007968EC" w:rsidP="007968EC">
      <w:pPr>
        <w:pStyle w:val="ARTICULO0"/>
        <w:rPr>
          <w:bCs/>
          <w:i/>
          <w:kern w:val="32"/>
          <w:lang w:val="es-ES"/>
        </w:rPr>
      </w:pPr>
      <w:bookmarkStart w:id="2166" w:name="_Toc472592157"/>
      <w:bookmarkStart w:id="2167" w:name="_Toc472593176"/>
      <w:bookmarkStart w:id="2168" w:name="_Toc479056962"/>
      <w:bookmarkStart w:id="2169" w:name="_Toc31715975"/>
      <w:bookmarkStart w:id="2170" w:name="_Toc470775477"/>
      <w:bookmarkStart w:id="2171" w:name="_Toc470779762"/>
      <w:bookmarkStart w:id="2172" w:name="_Toc470780379"/>
      <w:bookmarkStart w:id="2173" w:name="_Toc470780892"/>
      <w:bookmarkStart w:id="2174" w:name="_Toc470784453"/>
      <w:bookmarkStart w:id="2175" w:name="_Toc470784990"/>
      <w:bookmarkStart w:id="2176" w:name="_Toc470791376"/>
      <w:bookmarkStart w:id="2177" w:name="_Toc490066281"/>
      <w:r w:rsidRPr="002C0D19">
        <w:t>Artículo 1.6.4.1. Activos recibidos en garantía.</w:t>
      </w:r>
      <w:bookmarkEnd w:id="2166"/>
      <w:bookmarkEnd w:id="2167"/>
      <w:bookmarkEnd w:id="2168"/>
      <w:bookmarkEnd w:id="2169"/>
      <w:r w:rsidRPr="002C0D19">
        <w:rPr>
          <w:bCs/>
          <w:i/>
          <w:kern w:val="32"/>
          <w:lang w:val="es-ES"/>
        </w:rPr>
        <w:t xml:space="preserve"> </w:t>
      </w:r>
      <w:bookmarkEnd w:id="2170"/>
      <w:bookmarkEnd w:id="2171"/>
      <w:bookmarkEnd w:id="2172"/>
      <w:bookmarkEnd w:id="2173"/>
      <w:bookmarkEnd w:id="2174"/>
      <w:bookmarkEnd w:id="2175"/>
      <w:bookmarkEnd w:id="2176"/>
    </w:p>
    <w:p w14:paraId="2CFEF277" w14:textId="77777777" w:rsidR="007968EC" w:rsidRPr="00CD041E" w:rsidRDefault="007968EC" w:rsidP="007968EC">
      <w:pPr>
        <w:jc w:val="both"/>
        <w:rPr>
          <w:rFonts w:ascii="Arial Narrow" w:hAnsi="Arial Narrow" w:cs="Arial"/>
          <w:color w:val="000000" w:themeColor="text1"/>
          <w:lang w:eastAsia="es-ES"/>
        </w:rPr>
      </w:pPr>
    </w:p>
    <w:p w14:paraId="4BA8927A" w14:textId="77777777" w:rsidR="007968EC" w:rsidRPr="002C0D19" w:rsidRDefault="007968EC" w:rsidP="007968EC">
      <w:pPr>
        <w:pStyle w:val="ANTECEDENTES"/>
      </w:pPr>
      <w:r w:rsidRPr="002C0D19">
        <w:t>(</w:t>
      </w:r>
      <w:r>
        <w:t>Este artículo fue modificado mediante</w:t>
      </w:r>
      <w:r w:rsidRPr="002C0D19">
        <w:t xml:space="preserve"> Circular 14</w:t>
      </w:r>
      <w:r>
        <w:t xml:space="preserve"> del </w:t>
      </w:r>
      <w:r w:rsidRPr="002C0D19">
        <w:t>9 de noviembre de 2016</w:t>
      </w:r>
      <w:r>
        <w:t xml:space="preserve">, publicada en el Boletín Normativo No. 017 del 9 de noviembre de 2016, </w:t>
      </w:r>
      <w:r w:rsidRPr="002C0D19">
        <w:t>mediante Circular 19 del 28 de diciembre de 2016, publicada en el Boletín Normativo No. 024 del 28 de diciembre de 2016</w:t>
      </w:r>
      <w:r>
        <w:t xml:space="preserve"> y mediante Circular 24 del 11 de diciembre de 2017, publicada en el Boletín Normativo No. 031 del 11 de diciembre de 2017</w:t>
      </w:r>
      <w:r w:rsidRPr="002C0D19">
        <w:t>.</w:t>
      </w:r>
      <w:r>
        <w:t xml:space="preserve"> Rige a partir del 12 de diciembre de 2017</w:t>
      </w:r>
      <w:r w:rsidRPr="002C0D19">
        <w:t>.)</w:t>
      </w:r>
      <w:bookmarkEnd w:id="2177"/>
    </w:p>
    <w:p w14:paraId="1D082498" w14:textId="77777777" w:rsidR="007968EC" w:rsidRPr="002C0D19" w:rsidRDefault="007968EC" w:rsidP="007968EC">
      <w:pPr>
        <w:autoSpaceDE w:val="0"/>
        <w:autoSpaceDN w:val="0"/>
        <w:jc w:val="both"/>
        <w:rPr>
          <w:rFonts w:ascii="Arial Narrow" w:hAnsi="Arial Narrow" w:cs="Arial"/>
          <w:b/>
          <w:i/>
          <w:color w:val="000000" w:themeColor="text1"/>
          <w:lang w:eastAsia="es-ES"/>
        </w:rPr>
      </w:pPr>
    </w:p>
    <w:p w14:paraId="5C709FA0" w14:textId="77777777" w:rsidR="007968EC" w:rsidRPr="00E56A06" w:rsidRDefault="007968EC" w:rsidP="007968EC">
      <w:pPr>
        <w:autoSpaceDE w:val="0"/>
        <w:autoSpaceDN w:val="0"/>
        <w:jc w:val="both"/>
        <w:rPr>
          <w:rFonts w:ascii="Arial Narrow" w:hAnsi="Arial Narrow" w:cs="Arial"/>
          <w:bCs/>
          <w:color w:val="000000" w:themeColor="text1"/>
          <w:lang w:val="es-ES" w:eastAsia="es-ES"/>
        </w:rPr>
      </w:pPr>
      <w:r w:rsidRPr="00E56A06">
        <w:rPr>
          <w:rFonts w:ascii="Arial Narrow" w:hAnsi="Arial Narrow" w:cs="Arial"/>
          <w:bCs/>
          <w:color w:val="000000" w:themeColor="text1"/>
          <w:lang w:val="es-ES" w:eastAsia="es-ES"/>
        </w:rPr>
        <w:t>La Cámara aceptará los siguientes Activos en garantía:</w:t>
      </w:r>
    </w:p>
    <w:p w14:paraId="67A8B71B" w14:textId="77777777" w:rsidR="007968EC" w:rsidRPr="00E56A06" w:rsidRDefault="007968EC" w:rsidP="007968EC">
      <w:pPr>
        <w:autoSpaceDE w:val="0"/>
        <w:autoSpaceDN w:val="0"/>
        <w:jc w:val="both"/>
        <w:rPr>
          <w:rFonts w:ascii="Arial Narrow" w:hAnsi="Arial Narrow" w:cs="Arial"/>
          <w:bCs/>
          <w:color w:val="000000" w:themeColor="text1"/>
          <w:lang w:val="es-ES" w:eastAsia="es-ES"/>
        </w:rPr>
      </w:pPr>
    </w:p>
    <w:p w14:paraId="4E857BEC" w14:textId="77777777" w:rsidR="007968EC" w:rsidRPr="00E56A06" w:rsidRDefault="007968EC" w:rsidP="007968EC">
      <w:pPr>
        <w:autoSpaceDE w:val="0"/>
        <w:autoSpaceDN w:val="0"/>
        <w:jc w:val="both"/>
        <w:rPr>
          <w:rFonts w:ascii="Arial Narrow" w:hAnsi="Arial Narrow" w:cs="Arial"/>
          <w:bCs/>
          <w:color w:val="000000" w:themeColor="text1"/>
          <w:lang w:val="es-ES" w:eastAsia="es-ES"/>
        </w:rPr>
      </w:pPr>
      <w:r w:rsidRPr="00E56A06">
        <w:rPr>
          <w:rFonts w:ascii="Arial Narrow" w:hAnsi="Arial Narrow" w:cs="Arial"/>
          <w:bCs/>
          <w:color w:val="000000" w:themeColor="text1"/>
          <w:lang w:val="es-ES" w:eastAsia="es-ES"/>
        </w:rPr>
        <w:t>1.</w:t>
      </w:r>
      <w:r w:rsidRPr="00E56A06">
        <w:rPr>
          <w:rFonts w:ascii="Arial Narrow" w:hAnsi="Arial Narrow" w:cs="Arial"/>
          <w:bCs/>
          <w:color w:val="000000" w:themeColor="text1"/>
          <w:lang w:val="es-ES" w:eastAsia="es-ES"/>
        </w:rPr>
        <w:tab/>
        <w:t>Efectivo en Pesos Colombianos.</w:t>
      </w:r>
    </w:p>
    <w:p w14:paraId="71EFE2E6" w14:textId="77777777" w:rsidR="007968EC" w:rsidRPr="00E56A06" w:rsidRDefault="007968EC" w:rsidP="007968EC">
      <w:pPr>
        <w:autoSpaceDE w:val="0"/>
        <w:autoSpaceDN w:val="0"/>
        <w:jc w:val="both"/>
        <w:rPr>
          <w:rFonts w:ascii="Arial Narrow" w:hAnsi="Arial Narrow" w:cs="Arial"/>
          <w:bCs/>
          <w:color w:val="000000" w:themeColor="text1"/>
          <w:lang w:val="es-ES" w:eastAsia="es-ES"/>
        </w:rPr>
      </w:pPr>
    </w:p>
    <w:p w14:paraId="1AE08D6A" w14:textId="77777777" w:rsidR="007968EC" w:rsidRPr="00E56A06" w:rsidRDefault="007968EC" w:rsidP="007968EC">
      <w:pPr>
        <w:autoSpaceDE w:val="0"/>
        <w:autoSpaceDN w:val="0"/>
        <w:ind w:left="709" w:hanging="709"/>
        <w:jc w:val="both"/>
        <w:rPr>
          <w:rFonts w:ascii="Arial Narrow" w:hAnsi="Arial Narrow" w:cs="Arial"/>
          <w:bCs/>
          <w:color w:val="000000" w:themeColor="text1"/>
          <w:lang w:val="es-ES" w:eastAsia="es-ES"/>
        </w:rPr>
      </w:pPr>
      <w:r w:rsidRPr="00E56A06">
        <w:rPr>
          <w:rFonts w:ascii="Arial Narrow" w:hAnsi="Arial Narrow" w:cs="Arial"/>
          <w:bCs/>
          <w:color w:val="000000" w:themeColor="text1"/>
          <w:lang w:val="es-ES" w:eastAsia="es-ES"/>
        </w:rPr>
        <w:t>2.</w:t>
      </w:r>
      <w:r w:rsidRPr="00E56A06">
        <w:rPr>
          <w:rFonts w:ascii="Arial Narrow" w:hAnsi="Arial Narrow" w:cs="Arial"/>
          <w:bCs/>
          <w:color w:val="000000" w:themeColor="text1"/>
          <w:lang w:val="es-ES" w:eastAsia="es-ES"/>
        </w:rPr>
        <w:tab/>
        <w:t>Títulos de Endeudamiento Soberano (TES) Clase B, tasa fija, denominados en pesos colombianos y en Unidades de Valor Real (UVR) en las referencias que serán informadas mediante Boletín Informativo.</w:t>
      </w:r>
    </w:p>
    <w:p w14:paraId="339DD8BA" w14:textId="77777777" w:rsidR="007968EC" w:rsidRPr="00E56A06" w:rsidRDefault="007968EC" w:rsidP="007968EC">
      <w:pPr>
        <w:autoSpaceDE w:val="0"/>
        <w:autoSpaceDN w:val="0"/>
        <w:ind w:left="709" w:hanging="709"/>
        <w:jc w:val="center"/>
        <w:rPr>
          <w:rFonts w:ascii="Arial Narrow" w:hAnsi="Arial Narrow" w:cs="Arial"/>
          <w:bCs/>
          <w:color w:val="000000" w:themeColor="text1"/>
          <w:lang w:val="es-ES" w:eastAsia="es-ES"/>
        </w:rPr>
      </w:pPr>
    </w:p>
    <w:p w14:paraId="49901A68" w14:textId="77777777" w:rsidR="007968EC" w:rsidRDefault="007968EC" w:rsidP="00DA7472">
      <w:pPr>
        <w:numPr>
          <w:ilvl w:val="0"/>
          <w:numId w:val="154"/>
        </w:numPr>
        <w:autoSpaceDE w:val="0"/>
        <w:autoSpaceDN w:val="0"/>
        <w:ind w:left="708" w:hanging="708"/>
        <w:contextualSpacing/>
        <w:jc w:val="both"/>
        <w:rPr>
          <w:rFonts w:ascii="Arial Narrow" w:hAnsi="Arial Narrow" w:cs="Arial"/>
          <w:bCs/>
          <w:color w:val="000000" w:themeColor="text1"/>
          <w:lang w:val="es-ES" w:eastAsia="es-ES"/>
        </w:rPr>
      </w:pPr>
      <w:r w:rsidRPr="00E56A06">
        <w:rPr>
          <w:rFonts w:ascii="Arial Narrow" w:hAnsi="Arial Narrow" w:cs="Arial"/>
          <w:bCs/>
          <w:color w:val="000000" w:themeColor="text1"/>
          <w:lang w:val="es-ES" w:eastAsia="es-ES"/>
        </w:rPr>
        <w:t>Acciones que sean Activo Subyacente de un Activo o Activo objeto de una Operación compensada y liquidada por la Cámara, de acuerdo con lo descrito en cada Activo o Activo objeto de una Operación compensada y liquidada.</w:t>
      </w:r>
    </w:p>
    <w:p w14:paraId="3851E285" w14:textId="77777777" w:rsidR="007968EC" w:rsidRDefault="007968EC" w:rsidP="007968EC">
      <w:pPr>
        <w:autoSpaceDE w:val="0"/>
        <w:autoSpaceDN w:val="0"/>
        <w:ind w:left="708"/>
        <w:contextualSpacing/>
        <w:jc w:val="both"/>
        <w:rPr>
          <w:rFonts w:ascii="Arial Narrow" w:hAnsi="Arial Narrow" w:cs="Arial"/>
          <w:bCs/>
          <w:color w:val="000000" w:themeColor="text1"/>
          <w:lang w:val="es-ES" w:eastAsia="es-ES"/>
        </w:rPr>
      </w:pPr>
    </w:p>
    <w:p w14:paraId="386BE0E2" w14:textId="77777777" w:rsidR="007968EC" w:rsidRPr="00E56A06" w:rsidRDefault="007968EC" w:rsidP="00DA7472">
      <w:pPr>
        <w:numPr>
          <w:ilvl w:val="0"/>
          <w:numId w:val="154"/>
        </w:numPr>
        <w:autoSpaceDE w:val="0"/>
        <w:autoSpaceDN w:val="0"/>
        <w:ind w:left="708" w:hanging="708"/>
        <w:contextualSpacing/>
        <w:jc w:val="both"/>
        <w:rPr>
          <w:rFonts w:ascii="Arial Narrow" w:hAnsi="Arial Narrow" w:cs="Arial"/>
          <w:bCs/>
          <w:color w:val="000000" w:themeColor="text1"/>
          <w:lang w:val="es-ES" w:eastAsia="es-ES"/>
        </w:rPr>
      </w:pPr>
      <w:r w:rsidRPr="00E56A06">
        <w:rPr>
          <w:rFonts w:ascii="Arial Narrow" w:hAnsi="Arial Narrow" w:cs="Arial"/>
          <w:bCs/>
          <w:color w:val="000000" w:themeColor="text1"/>
          <w:lang w:val="es-ES" w:eastAsia="es-ES"/>
        </w:rPr>
        <w:t xml:space="preserve">Acciones Ordinarias de Ecopetrol, Acciones Preferenciales de Bancolombia, Acciones Ordinarias del Grupo Sura, Acciones Ordinarias de </w:t>
      </w:r>
      <w:r w:rsidRPr="00E56A06">
        <w:rPr>
          <w:rFonts w:ascii="Arial Narrow" w:eastAsia="Calibri" w:hAnsi="Arial Narrow" w:cs="Arial"/>
          <w:color w:val="000000"/>
          <w:lang w:eastAsia="es-ES"/>
        </w:rPr>
        <w:t>Corficolombiana, Acciones Preferenciales de Grupo Argos, Acciones Preferenciales de Davivienda,</w:t>
      </w:r>
      <w:r w:rsidRPr="00E56A06">
        <w:rPr>
          <w:rFonts w:ascii="Arial Narrow" w:hAnsi="Arial Narrow" w:cs="Arial"/>
          <w:bCs/>
          <w:color w:val="000000" w:themeColor="text1"/>
          <w:lang w:val="es-ES" w:eastAsia="es-ES"/>
        </w:rPr>
        <w:t xml:space="preserve"> Acciones Ordinarias de </w:t>
      </w:r>
      <w:r w:rsidRPr="00E56A06">
        <w:rPr>
          <w:rFonts w:ascii="Arial Narrow" w:eastAsia="Calibri" w:hAnsi="Arial Narrow" w:cs="Arial"/>
          <w:color w:val="000000"/>
          <w:lang w:eastAsia="es-ES"/>
        </w:rPr>
        <w:t xml:space="preserve">Cemex </w:t>
      </w:r>
      <w:proofErr w:type="spellStart"/>
      <w:r w:rsidRPr="00E56A06">
        <w:rPr>
          <w:rFonts w:ascii="Arial Narrow" w:eastAsia="Calibri" w:hAnsi="Arial Narrow" w:cs="Arial"/>
          <w:color w:val="000000"/>
          <w:lang w:eastAsia="es-ES"/>
        </w:rPr>
        <w:t>Latam</w:t>
      </w:r>
      <w:proofErr w:type="spellEnd"/>
      <w:r w:rsidRPr="00E56A06">
        <w:rPr>
          <w:rFonts w:ascii="Arial Narrow" w:eastAsia="Calibri" w:hAnsi="Arial Narrow" w:cs="Arial"/>
          <w:color w:val="000000"/>
          <w:lang w:eastAsia="es-ES"/>
        </w:rPr>
        <w:t xml:space="preserve"> Holdings, Acciones Preferenciales de Avianca, </w:t>
      </w:r>
      <w:r w:rsidRPr="00E56A06">
        <w:rPr>
          <w:rFonts w:ascii="Arial Narrow" w:hAnsi="Arial Narrow" w:cs="Arial"/>
          <w:bCs/>
          <w:color w:val="000000" w:themeColor="text1"/>
          <w:lang w:val="es-ES" w:eastAsia="es-ES"/>
        </w:rPr>
        <w:t xml:space="preserve">Acciones Ordinarias de </w:t>
      </w:r>
      <w:r w:rsidRPr="00E56A06">
        <w:rPr>
          <w:rFonts w:ascii="Arial Narrow" w:eastAsia="Calibri" w:hAnsi="Arial Narrow" w:cs="Arial"/>
          <w:color w:val="000000"/>
          <w:lang w:eastAsia="es-ES"/>
        </w:rPr>
        <w:t xml:space="preserve">Canacol y </w:t>
      </w:r>
      <w:r w:rsidRPr="00E56A06">
        <w:rPr>
          <w:rFonts w:ascii="Arial Narrow" w:hAnsi="Arial Narrow" w:cs="Arial"/>
          <w:bCs/>
          <w:color w:val="000000" w:themeColor="text1"/>
          <w:lang w:val="es-ES" w:eastAsia="es-ES"/>
        </w:rPr>
        <w:t xml:space="preserve">Acciones Ordinarias de </w:t>
      </w:r>
      <w:r w:rsidRPr="00E56A06">
        <w:rPr>
          <w:rFonts w:ascii="Arial Narrow" w:eastAsia="Calibri" w:hAnsi="Arial Narrow" w:cs="Arial"/>
          <w:color w:val="000000"/>
          <w:lang w:eastAsia="es-ES"/>
        </w:rPr>
        <w:t xml:space="preserve">Bancolombia </w:t>
      </w:r>
      <w:r w:rsidRPr="00E56A06">
        <w:rPr>
          <w:rFonts w:ascii="Arial Narrow" w:hAnsi="Arial Narrow" w:cs="Arial"/>
          <w:bCs/>
          <w:color w:val="000000" w:themeColor="text1"/>
          <w:lang w:val="es-ES" w:eastAsia="es-ES"/>
        </w:rPr>
        <w:t>para la constitución de Garantías Extraordinarias GOLE exigidas por la Cámara, según el Activo de que se trate.</w:t>
      </w:r>
    </w:p>
    <w:p w14:paraId="1D9F0C67"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79AB9E23" w14:textId="77777777" w:rsidR="007968EC" w:rsidRDefault="007968EC" w:rsidP="007968EC">
      <w:pPr>
        <w:pStyle w:val="ARTICULO0"/>
        <w:rPr>
          <w:bCs/>
        </w:rPr>
      </w:pPr>
      <w:bookmarkStart w:id="2178" w:name="_Toc472592158"/>
      <w:bookmarkStart w:id="2179" w:name="_Toc472593177"/>
      <w:bookmarkStart w:id="2180" w:name="_Toc479056963"/>
      <w:bookmarkStart w:id="2181" w:name="_Toc31715976"/>
      <w:bookmarkStart w:id="2182" w:name="_Toc470775478"/>
      <w:bookmarkStart w:id="2183" w:name="_Toc470779763"/>
      <w:bookmarkStart w:id="2184" w:name="_Toc470780380"/>
      <w:bookmarkStart w:id="2185" w:name="_Toc470780893"/>
      <w:bookmarkStart w:id="2186" w:name="_Toc470784454"/>
      <w:bookmarkStart w:id="2187" w:name="_Toc470784991"/>
      <w:bookmarkStart w:id="2188" w:name="_Toc470791377"/>
      <w:bookmarkStart w:id="2189" w:name="_Toc490066282"/>
      <w:r w:rsidRPr="002C0D19">
        <w:t>Artículo 1.6.4.2. Descuento o “Haircut” para Activos recibidos en garantía.</w:t>
      </w:r>
      <w:bookmarkEnd w:id="2178"/>
      <w:bookmarkEnd w:id="2179"/>
      <w:bookmarkEnd w:id="2180"/>
      <w:bookmarkEnd w:id="2181"/>
      <w:r w:rsidRPr="002C0D19">
        <w:rPr>
          <w:bCs/>
        </w:rPr>
        <w:t xml:space="preserve"> </w:t>
      </w:r>
      <w:bookmarkEnd w:id="2182"/>
      <w:bookmarkEnd w:id="2183"/>
      <w:bookmarkEnd w:id="2184"/>
      <w:bookmarkEnd w:id="2185"/>
      <w:bookmarkEnd w:id="2186"/>
      <w:bookmarkEnd w:id="2187"/>
      <w:bookmarkEnd w:id="2188"/>
    </w:p>
    <w:p w14:paraId="47DE92EF" w14:textId="77777777" w:rsidR="007968EC" w:rsidRPr="004E12C6" w:rsidRDefault="007968EC" w:rsidP="007968EC">
      <w:pPr>
        <w:jc w:val="both"/>
        <w:rPr>
          <w:rFonts w:ascii="Arial Narrow" w:hAnsi="Arial Narrow" w:cs="Arial"/>
          <w:color w:val="000000" w:themeColor="text1"/>
          <w:lang w:eastAsia="es-ES"/>
        </w:rPr>
      </w:pPr>
    </w:p>
    <w:p w14:paraId="40B7BC28" w14:textId="77777777" w:rsidR="007968EC" w:rsidRPr="002C0D19" w:rsidRDefault="007968EC" w:rsidP="007968EC">
      <w:pPr>
        <w:pStyle w:val="ANTECEDENTES"/>
      </w:pPr>
      <w:r w:rsidRPr="002C0D19">
        <w:lastRenderedPageBreak/>
        <w:t>(Actualización al 10 de noviembre de 2016 – Circular 14 – Boletín Normativo No. 017 del 9 de noviembre de 2016. Modificado mediante Circular 19 del 28 de diciembre de 2016, publicada en el Boletín Normativo No. 024 del 28 de diciembre de 2016. Rige a partir del 29 de diciembre de 2016.)</w:t>
      </w:r>
      <w:bookmarkEnd w:id="2189"/>
    </w:p>
    <w:p w14:paraId="63BA227F" w14:textId="77777777" w:rsidR="007968EC" w:rsidRPr="002C0D19" w:rsidRDefault="007968EC" w:rsidP="007968EC">
      <w:pPr>
        <w:autoSpaceDE w:val="0"/>
        <w:autoSpaceDN w:val="0"/>
        <w:jc w:val="both"/>
        <w:rPr>
          <w:rFonts w:ascii="Arial Narrow" w:hAnsi="Arial Narrow" w:cs="Arial"/>
          <w:b/>
          <w:i/>
          <w:color w:val="000000" w:themeColor="text1"/>
          <w:lang w:eastAsia="es-ES"/>
        </w:rPr>
      </w:pPr>
    </w:p>
    <w:p w14:paraId="76CA456A"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Los porcentajes de descuento que serán aplicados a los precios de los diferentes Activos recibidos en garantía junto con su fecha de entrada en vigencia que serán informados mediante Boletín Informativo.</w:t>
      </w:r>
    </w:p>
    <w:p w14:paraId="48D5E732" w14:textId="77777777" w:rsidR="007968EC" w:rsidRPr="002C0D19" w:rsidRDefault="007968EC" w:rsidP="007968EC">
      <w:pPr>
        <w:jc w:val="center"/>
        <w:rPr>
          <w:rFonts w:ascii="Arial Narrow" w:hAnsi="Arial Narrow" w:cs="Arial"/>
          <w:color w:val="000000" w:themeColor="text1"/>
          <w:lang w:val="es-ES" w:eastAsia="es-ES"/>
        </w:rPr>
      </w:pPr>
    </w:p>
    <w:p w14:paraId="51135463"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El porcentaje de descuento o haircut aplicado a los activos recibidos como Garantía es el resultado de comparar la Metodología de </w:t>
      </w:r>
      <w:proofErr w:type="spellStart"/>
      <w:r w:rsidRPr="002C0D19">
        <w:rPr>
          <w:rFonts w:ascii="Arial Narrow" w:hAnsi="Arial Narrow" w:cs="Arial"/>
          <w:color w:val="000000" w:themeColor="text1"/>
          <w:lang w:val="es-ES" w:eastAsia="es-ES"/>
        </w:rPr>
        <w:t>Haircuts</w:t>
      </w:r>
      <w:proofErr w:type="spellEnd"/>
      <w:r w:rsidRPr="002C0D19">
        <w:rPr>
          <w:rFonts w:ascii="Arial Narrow" w:hAnsi="Arial Narrow" w:cs="Arial"/>
          <w:color w:val="000000" w:themeColor="text1"/>
          <w:lang w:val="es-ES" w:eastAsia="es-ES"/>
        </w:rPr>
        <w:t xml:space="preserve">, que depende del cálculo de un valor en riesgo (VAR) por simulación histórica ajustado a un periodo de liquidación, y los </w:t>
      </w:r>
      <w:proofErr w:type="spellStart"/>
      <w:r w:rsidRPr="002C0D19">
        <w:rPr>
          <w:rFonts w:ascii="Arial Narrow" w:hAnsi="Arial Narrow" w:cs="Arial"/>
          <w:color w:val="000000" w:themeColor="text1"/>
          <w:lang w:val="es-ES" w:eastAsia="es-ES"/>
        </w:rPr>
        <w:t>Haircuts</w:t>
      </w:r>
      <w:proofErr w:type="spellEnd"/>
      <w:r w:rsidRPr="002C0D19">
        <w:rPr>
          <w:rFonts w:ascii="Arial Narrow" w:hAnsi="Arial Narrow" w:cs="Arial"/>
          <w:color w:val="000000" w:themeColor="text1"/>
          <w:lang w:val="es-ES" w:eastAsia="es-ES"/>
        </w:rPr>
        <w:t xml:space="preserve"> publicados por el Banco de la República. Con base en lo anterior, se selecciona el mayor de los datos. Dichos cálculos involucran ajustes de riesgo a valores actualizados del punto básico, márgenes de valoración, datos de días hábiles y ajustes del periodo de tenencia mínimo a días probables de liquidación de los activos en estudio.</w:t>
      </w:r>
    </w:p>
    <w:p w14:paraId="6D993107" w14:textId="77777777" w:rsidR="007968EC" w:rsidRPr="002C0D19" w:rsidRDefault="007968EC" w:rsidP="007968EC">
      <w:pPr>
        <w:rPr>
          <w:rFonts w:ascii="Arial Narrow" w:hAnsi="Arial Narrow" w:cs="Arial"/>
          <w:color w:val="000000" w:themeColor="text1"/>
          <w:lang w:val="es-ES" w:eastAsia="es-ES"/>
        </w:rPr>
      </w:pPr>
    </w:p>
    <w:p w14:paraId="28FADC4B" w14:textId="77777777" w:rsidR="007968EC" w:rsidRDefault="007968EC" w:rsidP="007968EC">
      <w:pPr>
        <w:keepNext/>
        <w:tabs>
          <w:tab w:val="left" w:pos="1701"/>
        </w:tabs>
        <w:jc w:val="both"/>
        <w:outlineLvl w:val="2"/>
        <w:rPr>
          <w:rFonts w:ascii="Arial Narrow" w:hAnsi="Arial Narrow" w:cs="Arial"/>
          <w:b/>
          <w:color w:val="000000" w:themeColor="text1"/>
          <w:lang w:eastAsia="es-ES"/>
        </w:rPr>
      </w:pPr>
      <w:bookmarkStart w:id="2190" w:name="_Toc31715977"/>
      <w:bookmarkStart w:id="2191" w:name="_Toc472592159"/>
      <w:bookmarkStart w:id="2192" w:name="_Toc472593178"/>
      <w:bookmarkStart w:id="2193" w:name="_Toc479056964"/>
      <w:bookmarkStart w:id="2194" w:name="_Toc470775479"/>
      <w:bookmarkStart w:id="2195" w:name="_Toc470779764"/>
      <w:bookmarkStart w:id="2196" w:name="_Toc470780381"/>
      <w:bookmarkStart w:id="2197" w:name="_Toc470780894"/>
      <w:bookmarkStart w:id="2198" w:name="_Toc470784455"/>
      <w:bookmarkStart w:id="2199" w:name="_Toc470784992"/>
      <w:bookmarkStart w:id="2200" w:name="_Toc470791378"/>
      <w:bookmarkStart w:id="2201" w:name="_Toc490066283"/>
      <w:r w:rsidRPr="0064250B">
        <w:rPr>
          <w:rStyle w:val="ARTICULOCar"/>
          <w:rFonts w:eastAsiaTheme="minorHAnsi"/>
        </w:rPr>
        <w:t>Artículo 1.6.4.3. Constitución de Garantías en títulos ubicados en Deceval o DCV</w:t>
      </w:r>
      <w:bookmarkEnd w:id="2190"/>
      <w:r w:rsidRPr="002C0D19">
        <w:rPr>
          <w:rFonts w:ascii="Arial Narrow" w:hAnsi="Arial Narrow" w:cs="Arial"/>
          <w:b/>
          <w:color w:val="000000" w:themeColor="text1"/>
          <w:u w:val="single"/>
          <w:lang w:eastAsia="es-ES"/>
        </w:rPr>
        <w:t>.</w:t>
      </w:r>
      <w:bookmarkEnd w:id="2191"/>
      <w:bookmarkEnd w:id="2192"/>
      <w:bookmarkEnd w:id="2193"/>
      <w:r w:rsidRPr="002C0D19">
        <w:rPr>
          <w:rFonts w:ascii="Arial Narrow" w:hAnsi="Arial Narrow" w:cs="Arial"/>
          <w:b/>
          <w:color w:val="000000" w:themeColor="text1"/>
          <w:lang w:eastAsia="es-ES"/>
        </w:rPr>
        <w:t xml:space="preserve"> </w:t>
      </w:r>
    </w:p>
    <w:p w14:paraId="3AE201BD" w14:textId="77777777" w:rsidR="007968EC" w:rsidRPr="0064250B" w:rsidRDefault="007968EC" w:rsidP="007968EC">
      <w:pPr>
        <w:jc w:val="both"/>
        <w:rPr>
          <w:rFonts w:ascii="Arial Narrow" w:hAnsi="Arial Narrow" w:cs="Arial"/>
          <w:color w:val="000000" w:themeColor="text1"/>
          <w:lang w:eastAsia="es-ES"/>
        </w:rPr>
      </w:pPr>
    </w:p>
    <w:p w14:paraId="0B6976FF" w14:textId="77777777" w:rsidR="007968EC" w:rsidRPr="00BD4DB7" w:rsidRDefault="007968EC" w:rsidP="00BD4DB7">
      <w:pPr>
        <w:pStyle w:val="Ttulo0"/>
        <w:jc w:val="both"/>
        <w:rPr>
          <w:rFonts w:ascii="Arial Narrow" w:hAnsi="Arial Narrow"/>
          <w:b/>
          <w:bCs/>
          <w:u w:val="none"/>
        </w:rPr>
      </w:pPr>
      <w:r w:rsidRPr="00BD4DB7">
        <w:rPr>
          <w:rFonts w:ascii="Arial Narrow" w:hAnsi="Arial Narrow"/>
          <w:b/>
          <w:bCs/>
          <w:u w:val="none"/>
        </w:rPr>
        <w:t>(Este artículo fue modificado mediante Circular 7 del 28 de abril de 2011, publicada en el Boletín Normativo No. 007 del 28 de abril de 2011, mediante Circular 9 del 19 de mayo de 2011, publicada en el Boletín Normativo No.010 del 19 de mayo de 2011, mediante Circular 7 del 26 de abril de 2012, publicada en el Boletín Normativo No. 007 del 26 de abril de 2012, mediante Circular 10 del 18 de marzo de 2015, publicada en el Boletín Normativo No. 010 del 18 de marzo de 2015, mediante Circular 19 del 28 de diciembre de 2016, publicada en el Boletín Normativo No. 024 del 28 de diciembre de 2016 y mediante Circular 14 del 8 de agosto de 2017, publicada en el Boletín Normativo No. 015 del 8 de agosto de 2017</w:t>
      </w:r>
      <w:bookmarkEnd w:id="2194"/>
      <w:bookmarkEnd w:id="2195"/>
      <w:bookmarkEnd w:id="2196"/>
      <w:bookmarkEnd w:id="2197"/>
      <w:bookmarkEnd w:id="2198"/>
      <w:bookmarkEnd w:id="2199"/>
      <w:bookmarkEnd w:id="2200"/>
      <w:bookmarkEnd w:id="2201"/>
      <w:r w:rsidRPr="00BD4DB7">
        <w:rPr>
          <w:rFonts w:ascii="Arial Narrow" w:hAnsi="Arial Narrow"/>
          <w:b/>
          <w:bCs/>
          <w:u w:val="none"/>
        </w:rPr>
        <w:t>, y mediante Circular 19 del 22 de noviembre de 2019, publicada en el Boletín Normativo No. 034 del 22 de noviembre de 2019. Rige a partir del 25 de noviembre de 2019).</w:t>
      </w:r>
    </w:p>
    <w:p w14:paraId="6806C51D" w14:textId="77777777" w:rsidR="007968EC" w:rsidRPr="002C0D19" w:rsidRDefault="007968EC" w:rsidP="007968EC">
      <w:pPr>
        <w:autoSpaceDE w:val="0"/>
        <w:autoSpaceDN w:val="0"/>
        <w:adjustRightInd w:val="0"/>
        <w:jc w:val="both"/>
        <w:rPr>
          <w:rFonts w:ascii="Arial Narrow" w:hAnsi="Arial Narrow" w:cs="Arial"/>
          <w:lang w:val="es-ES" w:eastAsia="es-ES"/>
        </w:rPr>
      </w:pPr>
    </w:p>
    <w:p w14:paraId="66C4D761" w14:textId="77777777" w:rsidR="007968EC" w:rsidRPr="002C0D19" w:rsidRDefault="007968EC" w:rsidP="007968EC">
      <w:pPr>
        <w:autoSpaceDE w:val="0"/>
        <w:autoSpaceDN w:val="0"/>
        <w:adjustRightInd w:val="0"/>
        <w:jc w:val="both"/>
        <w:rPr>
          <w:rFonts w:ascii="Arial Narrow" w:hAnsi="Arial Narrow" w:cs="Arial"/>
          <w:lang w:val="es-ES" w:eastAsia="es-ES"/>
        </w:rPr>
      </w:pPr>
      <w:r w:rsidRPr="002C0D19">
        <w:rPr>
          <w:rFonts w:ascii="Arial Narrow" w:hAnsi="Arial Narrow" w:cs="Arial"/>
          <w:lang w:val="es-ES" w:eastAsia="es-ES"/>
        </w:rPr>
        <w:t>La constitución de Garantías en títulos debe ser realizada por los Miembros a través de los depósitos de valores Deceval o DCV, atendiendo el siguiente procedimiento:</w:t>
      </w:r>
    </w:p>
    <w:p w14:paraId="28878905" w14:textId="77777777" w:rsidR="007968EC" w:rsidRPr="002C0D19" w:rsidRDefault="007968EC" w:rsidP="007968EC">
      <w:pPr>
        <w:autoSpaceDE w:val="0"/>
        <w:autoSpaceDN w:val="0"/>
        <w:adjustRightInd w:val="0"/>
        <w:jc w:val="both"/>
        <w:rPr>
          <w:rFonts w:ascii="Arial Narrow" w:hAnsi="Arial Narrow" w:cs="Arial"/>
          <w:lang w:val="es-ES" w:eastAsia="es-ES"/>
        </w:rPr>
      </w:pPr>
    </w:p>
    <w:p w14:paraId="72A0440E" w14:textId="77777777" w:rsidR="007968EC" w:rsidRPr="002C0D19" w:rsidRDefault="007968EC" w:rsidP="007968EC">
      <w:pPr>
        <w:autoSpaceDE w:val="0"/>
        <w:autoSpaceDN w:val="0"/>
        <w:adjustRightInd w:val="0"/>
        <w:ind w:left="567" w:hanging="567"/>
        <w:jc w:val="both"/>
        <w:rPr>
          <w:rFonts w:ascii="Arial Narrow" w:hAnsi="Arial Narrow" w:cs="Arial"/>
          <w:lang w:val="es-ES" w:eastAsia="es-ES"/>
        </w:rPr>
      </w:pPr>
      <w:r w:rsidRPr="002C0D19">
        <w:rPr>
          <w:rFonts w:ascii="Arial Narrow" w:hAnsi="Arial Narrow" w:cs="Arial"/>
          <w:lang w:val="es-ES" w:eastAsia="es-ES"/>
        </w:rPr>
        <w:t xml:space="preserve">1. </w:t>
      </w:r>
      <w:r w:rsidRPr="002C0D19">
        <w:rPr>
          <w:rFonts w:ascii="Arial Narrow" w:hAnsi="Arial Narrow" w:cs="Arial"/>
          <w:lang w:val="es-ES" w:eastAsia="es-ES"/>
        </w:rPr>
        <w:tab/>
        <w:t>El Miembro a través del aplicativo Deceval o DCV, deberá ingresar los datos correspondientes a la garantía a constituir y en caso de existir saldo, el depósito lo bloqueará en la cuenta del titular y a disposición de la Cámara.</w:t>
      </w:r>
    </w:p>
    <w:p w14:paraId="095FB29E" w14:textId="77777777" w:rsidR="007968EC" w:rsidRPr="002C0D19" w:rsidRDefault="007968EC" w:rsidP="007968EC">
      <w:pPr>
        <w:autoSpaceDE w:val="0"/>
        <w:autoSpaceDN w:val="0"/>
        <w:adjustRightInd w:val="0"/>
        <w:jc w:val="both"/>
        <w:rPr>
          <w:rFonts w:ascii="Arial Narrow" w:hAnsi="Arial Narrow" w:cs="Arial"/>
          <w:lang w:val="es-ES" w:eastAsia="es-ES"/>
        </w:rPr>
      </w:pPr>
    </w:p>
    <w:p w14:paraId="37540FAC" w14:textId="77777777" w:rsidR="007968EC" w:rsidRPr="002C0D19" w:rsidRDefault="007968EC" w:rsidP="007968EC">
      <w:pPr>
        <w:autoSpaceDE w:val="0"/>
        <w:autoSpaceDN w:val="0"/>
        <w:adjustRightInd w:val="0"/>
        <w:ind w:left="567" w:hanging="567"/>
        <w:jc w:val="both"/>
        <w:rPr>
          <w:rFonts w:ascii="Arial Narrow" w:hAnsi="Arial Narrow" w:cs="Arial"/>
          <w:lang w:val="es-ES" w:eastAsia="es-ES"/>
        </w:rPr>
      </w:pPr>
      <w:r w:rsidRPr="002C0D19">
        <w:rPr>
          <w:rFonts w:ascii="Arial Narrow" w:hAnsi="Arial Narrow" w:cs="Arial"/>
          <w:lang w:val="es-ES" w:eastAsia="es-ES"/>
        </w:rPr>
        <w:t xml:space="preserve">2. </w:t>
      </w:r>
      <w:r w:rsidRPr="002C0D19">
        <w:rPr>
          <w:rFonts w:ascii="Arial Narrow" w:hAnsi="Arial Narrow" w:cs="Arial"/>
          <w:lang w:val="es-ES" w:eastAsia="es-ES"/>
        </w:rPr>
        <w:tab/>
        <w:t xml:space="preserve">Al momento de constituir la garantía, el Miembro debe indicar claramente el tipo de garantía a constituir y el código del Miembro que se quiere garantizar. </w:t>
      </w:r>
    </w:p>
    <w:p w14:paraId="2EE9FCC5" w14:textId="77777777" w:rsidR="007968EC" w:rsidRPr="002C0D19" w:rsidRDefault="007968EC" w:rsidP="007968EC">
      <w:pPr>
        <w:autoSpaceDE w:val="0"/>
        <w:autoSpaceDN w:val="0"/>
        <w:adjustRightInd w:val="0"/>
        <w:ind w:left="567" w:hanging="567"/>
        <w:jc w:val="both"/>
        <w:rPr>
          <w:rFonts w:ascii="Arial Narrow" w:hAnsi="Arial Narrow" w:cs="Arial"/>
          <w:lang w:val="es-ES" w:eastAsia="es-ES"/>
        </w:rPr>
      </w:pPr>
      <w:r w:rsidRPr="002C0D19">
        <w:rPr>
          <w:rFonts w:ascii="Arial Narrow" w:hAnsi="Arial Narrow" w:cs="Arial"/>
          <w:lang w:val="es-ES" w:eastAsia="es-ES"/>
        </w:rPr>
        <w:t xml:space="preserve"> </w:t>
      </w:r>
    </w:p>
    <w:p w14:paraId="6192EFC0" w14:textId="77777777" w:rsidR="007968EC" w:rsidRDefault="007968EC" w:rsidP="007968EC">
      <w:pPr>
        <w:autoSpaceDE w:val="0"/>
        <w:autoSpaceDN w:val="0"/>
        <w:adjustRightInd w:val="0"/>
        <w:ind w:left="567"/>
        <w:jc w:val="both"/>
        <w:rPr>
          <w:rFonts w:ascii="Arial Narrow" w:hAnsi="Arial Narrow" w:cs="Arial"/>
          <w:lang w:val="es-ES" w:eastAsia="es-ES"/>
        </w:rPr>
      </w:pPr>
      <w:r w:rsidRPr="002C0D19">
        <w:rPr>
          <w:rFonts w:ascii="Arial Narrow" w:hAnsi="Arial Narrow" w:cs="Arial"/>
          <w:lang w:val="es-ES" w:eastAsia="es-ES"/>
        </w:rPr>
        <w:t>En caso de tratarse de la constitución de una Garantía por Posición, se debe indicar además de lo anterior, el código de dicha Cuenta dentro de la estructura de Cuentas del Miembro que corresponda y el Segmento respectivo.</w:t>
      </w:r>
    </w:p>
    <w:p w14:paraId="5D047EF3" w14:textId="77777777" w:rsidR="007968EC" w:rsidRPr="002C0D19" w:rsidRDefault="007968EC" w:rsidP="007968EC">
      <w:pPr>
        <w:autoSpaceDE w:val="0"/>
        <w:autoSpaceDN w:val="0"/>
        <w:adjustRightInd w:val="0"/>
        <w:ind w:left="567"/>
        <w:jc w:val="both"/>
        <w:rPr>
          <w:rFonts w:ascii="Arial Narrow" w:hAnsi="Arial Narrow" w:cs="Arial"/>
          <w:lang w:val="es-ES" w:eastAsia="es-ES"/>
        </w:rPr>
      </w:pPr>
    </w:p>
    <w:p w14:paraId="10872731" w14:textId="77777777" w:rsidR="007968EC" w:rsidRPr="002C0D19" w:rsidRDefault="007968EC" w:rsidP="007968EC">
      <w:pPr>
        <w:autoSpaceDE w:val="0"/>
        <w:autoSpaceDN w:val="0"/>
        <w:adjustRightInd w:val="0"/>
        <w:ind w:left="567" w:hanging="567"/>
        <w:jc w:val="both"/>
        <w:rPr>
          <w:rFonts w:ascii="Arial Narrow" w:hAnsi="Arial Narrow" w:cs="Arial"/>
          <w:lang w:val="es-ES" w:eastAsia="es-ES"/>
        </w:rPr>
      </w:pPr>
      <w:r>
        <w:rPr>
          <w:rFonts w:ascii="Arial Narrow" w:hAnsi="Arial Narrow" w:cs="Arial"/>
          <w:lang w:val="es-ES" w:eastAsia="es-ES"/>
        </w:rPr>
        <w:t>3</w:t>
      </w:r>
      <w:r w:rsidRPr="002C0D19">
        <w:rPr>
          <w:rFonts w:ascii="Arial Narrow" w:hAnsi="Arial Narrow" w:cs="Arial"/>
          <w:lang w:val="es-ES" w:eastAsia="es-ES"/>
        </w:rPr>
        <w:t xml:space="preserve">. </w:t>
      </w:r>
      <w:r w:rsidRPr="002C0D19">
        <w:rPr>
          <w:rFonts w:ascii="Arial Narrow" w:hAnsi="Arial Narrow" w:cs="Arial"/>
          <w:lang w:val="es-ES" w:eastAsia="es-ES"/>
        </w:rPr>
        <w:tab/>
        <w:t>El Sistema de Deceval o DCV reportará electrónicamente las Garantías constituidas al Sistema de Cámara.</w:t>
      </w:r>
    </w:p>
    <w:p w14:paraId="2BF74065" w14:textId="77777777" w:rsidR="007968EC" w:rsidRPr="002C0D19" w:rsidRDefault="007968EC" w:rsidP="007968EC">
      <w:pPr>
        <w:autoSpaceDE w:val="0"/>
        <w:autoSpaceDN w:val="0"/>
        <w:adjustRightInd w:val="0"/>
        <w:jc w:val="both"/>
        <w:rPr>
          <w:rFonts w:ascii="Arial Narrow" w:hAnsi="Arial Narrow" w:cs="Arial"/>
          <w:lang w:val="es-ES" w:eastAsia="es-ES"/>
        </w:rPr>
      </w:pPr>
    </w:p>
    <w:p w14:paraId="476E2201" w14:textId="77777777" w:rsidR="007968EC" w:rsidRPr="002C0D19" w:rsidRDefault="007968EC" w:rsidP="007968EC">
      <w:pPr>
        <w:autoSpaceDE w:val="0"/>
        <w:autoSpaceDN w:val="0"/>
        <w:adjustRightInd w:val="0"/>
        <w:ind w:left="567" w:hanging="567"/>
        <w:jc w:val="both"/>
        <w:rPr>
          <w:rFonts w:ascii="Arial Narrow" w:hAnsi="Arial Narrow" w:cs="Arial"/>
          <w:lang w:val="es-ES" w:eastAsia="es-ES"/>
        </w:rPr>
      </w:pPr>
      <w:r>
        <w:rPr>
          <w:rFonts w:ascii="Arial Narrow" w:hAnsi="Arial Narrow" w:cs="Arial"/>
          <w:lang w:val="es-ES" w:eastAsia="es-ES"/>
        </w:rPr>
        <w:lastRenderedPageBreak/>
        <w:t>4</w:t>
      </w:r>
      <w:r w:rsidRPr="002C0D19">
        <w:rPr>
          <w:rFonts w:ascii="Arial Narrow" w:hAnsi="Arial Narrow" w:cs="Arial"/>
          <w:lang w:val="es-ES" w:eastAsia="es-ES"/>
        </w:rPr>
        <w:t xml:space="preserve">. </w:t>
      </w:r>
      <w:r w:rsidRPr="002C0D19">
        <w:rPr>
          <w:rFonts w:ascii="Arial Narrow" w:hAnsi="Arial Narrow" w:cs="Arial"/>
          <w:lang w:val="es-ES" w:eastAsia="es-ES"/>
        </w:rPr>
        <w:tab/>
        <w:t>La garantía se constituirá en forma irrevocable a favor de la Cámara en el momento del registro electrónico y no será necesario que medie por parte del Deceval o del DCV la expedición de un certificado de garantía sobre los títulos en depósito.</w:t>
      </w:r>
    </w:p>
    <w:p w14:paraId="671B6CDB" w14:textId="77777777" w:rsidR="007968EC" w:rsidRPr="002C0D19" w:rsidRDefault="007968EC" w:rsidP="007968EC">
      <w:pPr>
        <w:autoSpaceDE w:val="0"/>
        <w:autoSpaceDN w:val="0"/>
        <w:adjustRightInd w:val="0"/>
        <w:jc w:val="both"/>
        <w:rPr>
          <w:rFonts w:ascii="Arial Narrow" w:hAnsi="Arial Narrow" w:cs="Arial"/>
          <w:lang w:val="es-ES" w:eastAsia="es-ES"/>
        </w:rPr>
      </w:pPr>
    </w:p>
    <w:p w14:paraId="222C0E5D" w14:textId="77777777" w:rsidR="007968EC" w:rsidRPr="002C0D19" w:rsidRDefault="007968EC" w:rsidP="007968EC">
      <w:pPr>
        <w:autoSpaceDE w:val="0"/>
        <w:autoSpaceDN w:val="0"/>
        <w:adjustRightInd w:val="0"/>
        <w:ind w:left="567" w:hanging="567"/>
        <w:jc w:val="both"/>
        <w:rPr>
          <w:rFonts w:ascii="Arial Narrow" w:hAnsi="Arial Narrow" w:cs="Arial"/>
          <w:lang w:val="es-ES" w:eastAsia="es-ES"/>
        </w:rPr>
      </w:pPr>
      <w:r>
        <w:rPr>
          <w:rFonts w:ascii="Arial Narrow" w:hAnsi="Arial Narrow" w:cs="Arial"/>
          <w:lang w:val="es-ES" w:eastAsia="es-ES"/>
        </w:rPr>
        <w:t>5</w:t>
      </w:r>
      <w:r w:rsidRPr="002C0D19">
        <w:rPr>
          <w:rFonts w:ascii="Arial Narrow" w:hAnsi="Arial Narrow" w:cs="Arial"/>
          <w:lang w:val="es-ES" w:eastAsia="es-ES"/>
        </w:rPr>
        <w:t xml:space="preserve">. </w:t>
      </w:r>
      <w:r w:rsidRPr="002C0D19">
        <w:rPr>
          <w:rFonts w:ascii="Arial Narrow" w:hAnsi="Arial Narrow" w:cs="Arial"/>
          <w:lang w:val="es-ES" w:eastAsia="es-ES"/>
        </w:rPr>
        <w:tab/>
        <w:t>Una vez el Sistema de Cámara registra y actualiza la información de los archivos transmitidos por el Depósito, la Cámara podrá visualizar y validar a través del Sistema que las Garantías están afectas como respaldo de las operaciones registradas en sus Cuentas.</w:t>
      </w:r>
    </w:p>
    <w:p w14:paraId="0F2FC27B" w14:textId="77777777" w:rsidR="007968EC" w:rsidRPr="002C0D19" w:rsidRDefault="007968EC" w:rsidP="007968EC">
      <w:pPr>
        <w:autoSpaceDE w:val="0"/>
        <w:autoSpaceDN w:val="0"/>
        <w:adjustRightInd w:val="0"/>
        <w:jc w:val="both"/>
        <w:rPr>
          <w:rFonts w:ascii="Arial Narrow" w:hAnsi="Arial Narrow" w:cs="Arial"/>
          <w:lang w:val="es-ES" w:eastAsia="es-ES"/>
        </w:rPr>
      </w:pPr>
    </w:p>
    <w:p w14:paraId="3644A11B" w14:textId="77777777" w:rsidR="007968EC" w:rsidRPr="002C0D19" w:rsidRDefault="007968EC" w:rsidP="007968EC">
      <w:pPr>
        <w:autoSpaceDE w:val="0"/>
        <w:autoSpaceDN w:val="0"/>
        <w:adjustRightInd w:val="0"/>
        <w:ind w:left="567" w:hanging="567"/>
        <w:jc w:val="both"/>
        <w:rPr>
          <w:rFonts w:ascii="Arial Narrow" w:hAnsi="Arial Narrow" w:cs="Arial"/>
          <w:lang w:val="es-ES" w:eastAsia="es-ES"/>
        </w:rPr>
      </w:pPr>
      <w:r>
        <w:rPr>
          <w:rFonts w:ascii="Arial Narrow" w:hAnsi="Arial Narrow" w:cs="Arial"/>
          <w:lang w:val="es-ES" w:eastAsia="es-ES"/>
        </w:rPr>
        <w:t>6</w:t>
      </w:r>
      <w:r w:rsidRPr="002C0D19">
        <w:rPr>
          <w:rFonts w:ascii="Arial Narrow" w:hAnsi="Arial Narrow" w:cs="Arial"/>
          <w:lang w:val="es-ES" w:eastAsia="es-ES"/>
        </w:rPr>
        <w:t xml:space="preserve">. </w:t>
      </w:r>
      <w:r w:rsidRPr="002C0D19">
        <w:rPr>
          <w:rFonts w:ascii="Arial Narrow" w:hAnsi="Arial Narrow" w:cs="Arial"/>
          <w:lang w:val="es-ES" w:eastAsia="es-ES"/>
        </w:rPr>
        <w:tab/>
        <w:t>En caso de interrupción de la comunicación entre los sistemas de Deceval o DCV y el Sistema de la Cámara, a petición del Miembro y junto con la verificación por parte de la Cámara de la constitución de Garantías, se podrá surtir el registro de la constitución de la garantía de forma manual directamente sobre el Sistema de Cámara.</w:t>
      </w:r>
    </w:p>
    <w:p w14:paraId="01E55A09" w14:textId="77777777" w:rsidR="007968EC" w:rsidRPr="002C0D19" w:rsidRDefault="007968EC" w:rsidP="007968EC">
      <w:pPr>
        <w:autoSpaceDE w:val="0"/>
        <w:autoSpaceDN w:val="0"/>
        <w:adjustRightInd w:val="0"/>
        <w:jc w:val="both"/>
        <w:rPr>
          <w:rFonts w:ascii="Arial Narrow" w:hAnsi="Arial Narrow" w:cs="Arial"/>
          <w:lang w:val="es-ES" w:eastAsia="es-ES"/>
        </w:rPr>
      </w:pPr>
    </w:p>
    <w:p w14:paraId="56BBBAD9" w14:textId="77777777" w:rsidR="007968EC" w:rsidRPr="002C0D19" w:rsidRDefault="007968EC" w:rsidP="007968EC">
      <w:pPr>
        <w:autoSpaceDE w:val="0"/>
        <w:autoSpaceDN w:val="0"/>
        <w:adjustRightInd w:val="0"/>
        <w:ind w:left="567" w:hanging="567"/>
        <w:jc w:val="both"/>
        <w:rPr>
          <w:rFonts w:ascii="Arial Narrow" w:hAnsi="Arial Narrow" w:cs="Arial"/>
          <w:lang w:val="es-ES" w:eastAsia="es-ES"/>
        </w:rPr>
      </w:pPr>
      <w:r>
        <w:rPr>
          <w:rFonts w:ascii="Arial Narrow" w:hAnsi="Arial Narrow" w:cs="Arial"/>
          <w:lang w:val="es-ES" w:eastAsia="es-ES"/>
        </w:rPr>
        <w:t>7</w:t>
      </w:r>
      <w:r w:rsidRPr="002C0D19">
        <w:rPr>
          <w:rFonts w:ascii="Arial Narrow" w:hAnsi="Arial Narrow" w:cs="Arial"/>
          <w:lang w:val="es-ES" w:eastAsia="es-ES"/>
        </w:rPr>
        <w:t xml:space="preserve">. </w:t>
      </w:r>
      <w:r w:rsidRPr="002C0D19">
        <w:rPr>
          <w:rFonts w:ascii="Arial Narrow" w:hAnsi="Arial Narrow" w:cs="Arial"/>
          <w:lang w:val="es-ES" w:eastAsia="es-ES"/>
        </w:rPr>
        <w:tab/>
        <w:t>Las Garantías constituidas por fuera de los horarios establecidos serán tratadas por el Sistema de Cámara con fecha del día hábil siguiente, pero se conservará la fecha de constitución de la garantía en el Depósito. En este caso si el bloqueo de la garantía tenía como propósito cubrir un importe de garantía exigida, este importe será cargado al Miembro Liquidador en efectivo dentro del proceso de Liquidación que se realiza al inicio del día siguiente, ante lo cual el Miembro Liquidador deberá pagarlo y no podrá solicitar la liberación de este efectivo hasta tanto no se refleje en el Sistema el valor de la garantía constituida fuera de horario, el día anterior.</w:t>
      </w:r>
    </w:p>
    <w:p w14:paraId="7AFBFDC8" w14:textId="77777777" w:rsidR="007968EC" w:rsidRPr="002C0D19" w:rsidRDefault="007968EC" w:rsidP="007968EC">
      <w:pPr>
        <w:autoSpaceDE w:val="0"/>
        <w:autoSpaceDN w:val="0"/>
        <w:adjustRightInd w:val="0"/>
        <w:jc w:val="both"/>
        <w:rPr>
          <w:rFonts w:ascii="Arial Narrow" w:hAnsi="Arial Narrow" w:cs="Arial"/>
          <w:lang w:val="es-ES" w:eastAsia="es-ES"/>
        </w:rPr>
      </w:pPr>
    </w:p>
    <w:p w14:paraId="3043E887" w14:textId="77777777" w:rsidR="007968EC" w:rsidRPr="002C0D19" w:rsidRDefault="007968EC" w:rsidP="007968EC">
      <w:pPr>
        <w:autoSpaceDE w:val="0"/>
        <w:autoSpaceDN w:val="0"/>
        <w:adjustRightInd w:val="0"/>
        <w:ind w:left="567" w:hanging="567"/>
        <w:jc w:val="both"/>
        <w:rPr>
          <w:rFonts w:ascii="Arial Narrow" w:hAnsi="Arial Narrow" w:cs="Arial"/>
          <w:lang w:val="es-ES" w:eastAsia="es-ES"/>
        </w:rPr>
      </w:pPr>
      <w:r>
        <w:rPr>
          <w:rFonts w:ascii="Arial Narrow" w:hAnsi="Arial Narrow" w:cs="Arial"/>
          <w:lang w:val="es-ES" w:eastAsia="es-ES"/>
        </w:rPr>
        <w:t>8</w:t>
      </w:r>
      <w:r w:rsidRPr="002C0D19">
        <w:rPr>
          <w:rFonts w:ascii="Arial Narrow" w:hAnsi="Arial Narrow" w:cs="Arial"/>
          <w:lang w:val="es-ES" w:eastAsia="es-ES"/>
        </w:rPr>
        <w:t xml:space="preserve">. </w:t>
      </w:r>
      <w:r w:rsidRPr="002C0D19">
        <w:rPr>
          <w:rFonts w:ascii="Arial Narrow" w:hAnsi="Arial Narrow" w:cs="Arial"/>
          <w:lang w:val="es-ES" w:eastAsia="es-ES"/>
        </w:rPr>
        <w:tab/>
        <w:t>El Sistema contará con una opción de consulta que le permitirá al Operador de Cámara observar los errores que se hayan producido en el proceso de constitución y gestionar la corrección de los mismos.</w:t>
      </w:r>
    </w:p>
    <w:p w14:paraId="383C5B16" w14:textId="77777777" w:rsidR="007968EC" w:rsidRPr="002C0D19" w:rsidRDefault="007968EC" w:rsidP="007968EC">
      <w:pPr>
        <w:autoSpaceDE w:val="0"/>
        <w:autoSpaceDN w:val="0"/>
        <w:adjustRightInd w:val="0"/>
        <w:ind w:left="567" w:hanging="567"/>
        <w:jc w:val="both"/>
        <w:rPr>
          <w:rFonts w:ascii="Arial Narrow" w:hAnsi="Arial Narrow" w:cs="Arial"/>
          <w:lang w:val="es-ES" w:eastAsia="es-ES"/>
        </w:rPr>
      </w:pPr>
    </w:p>
    <w:p w14:paraId="7E7F1EE0" w14:textId="77777777" w:rsidR="007968EC" w:rsidRPr="002C0D19" w:rsidRDefault="007968EC" w:rsidP="007968EC">
      <w:pPr>
        <w:jc w:val="both"/>
        <w:rPr>
          <w:rFonts w:ascii="Arial Narrow" w:hAnsi="Arial Narrow" w:cs="Arial"/>
          <w:lang w:val="es-ES_tradnl" w:eastAsia="es-ES"/>
        </w:rPr>
      </w:pPr>
      <w:r w:rsidRPr="002C0D19">
        <w:rPr>
          <w:rFonts w:ascii="Arial Narrow" w:hAnsi="Arial Narrow" w:cs="Arial"/>
          <w:b/>
          <w:lang w:val="es-ES_tradnl" w:eastAsia="es-ES"/>
        </w:rPr>
        <w:t>Parágrafo</w:t>
      </w:r>
      <w:r w:rsidRPr="002C0D19">
        <w:rPr>
          <w:rFonts w:ascii="Arial Narrow" w:hAnsi="Arial Narrow" w:cs="Arial"/>
          <w:b/>
          <w:lang w:val="es-ES_tradnl"/>
        </w:rPr>
        <w:t xml:space="preserve"> Primero</w:t>
      </w:r>
      <w:r w:rsidRPr="002C0D19">
        <w:rPr>
          <w:rFonts w:ascii="Arial Narrow" w:hAnsi="Arial Narrow" w:cs="Arial"/>
          <w:b/>
          <w:lang w:val="es-ES_tradnl" w:eastAsia="es-ES"/>
        </w:rPr>
        <w:t>.</w:t>
      </w:r>
      <w:r w:rsidRPr="002C0D19">
        <w:rPr>
          <w:rFonts w:ascii="Arial Narrow" w:hAnsi="Arial Narrow" w:cs="Arial"/>
          <w:lang w:val="es-ES_tradnl" w:eastAsia="es-ES"/>
        </w:rPr>
        <w:t xml:space="preserve"> Si el Miembro lo considera pertinente, el Tercero que sea depositante directo en los depósitos DCV o Deceval, podrá realizar la constitución de las garantías por Posición a favor de la Cámara, atendiendo los pasos correspondientes del procedimiento mencionado. En caso de que el Tercero haya designado un Agente Custodio a través del Miembro Liquidador, este deberá realizar la constitución de las Garantías por Posición a favor de la Cámara en los depósitos DCV o Deceval, atendiendo lo previsto en el procedimiento señalado en el presente artículo.</w:t>
      </w:r>
    </w:p>
    <w:p w14:paraId="6DD066F1" w14:textId="77777777" w:rsidR="007968EC" w:rsidRPr="002C0D19" w:rsidRDefault="007968EC" w:rsidP="007968EC">
      <w:pPr>
        <w:jc w:val="both"/>
        <w:rPr>
          <w:rFonts w:ascii="Arial Narrow" w:hAnsi="Arial Narrow" w:cs="Arial"/>
          <w:lang w:val="es-ES_tradnl"/>
        </w:rPr>
      </w:pPr>
    </w:p>
    <w:p w14:paraId="6F0A1738" w14:textId="77777777" w:rsidR="007968EC" w:rsidRPr="002C0D19" w:rsidRDefault="007968EC" w:rsidP="007968EC">
      <w:pPr>
        <w:autoSpaceDE w:val="0"/>
        <w:autoSpaceDN w:val="0"/>
        <w:adjustRightInd w:val="0"/>
        <w:jc w:val="both"/>
        <w:rPr>
          <w:rFonts w:ascii="Arial Narrow" w:hAnsi="Arial Narrow" w:cs="Arial"/>
          <w:lang w:val="es-ES_tradnl"/>
        </w:rPr>
      </w:pPr>
      <w:r w:rsidRPr="002C0D19">
        <w:rPr>
          <w:rFonts w:ascii="Arial Narrow" w:hAnsi="Arial Narrow" w:cs="Arial"/>
          <w:b/>
          <w:lang w:val="es-ES_tradnl"/>
        </w:rPr>
        <w:t>Parágrafo Segundo</w:t>
      </w:r>
      <w:r w:rsidRPr="002C0D19">
        <w:rPr>
          <w:rFonts w:ascii="Arial Narrow" w:hAnsi="Arial Narrow" w:cs="Arial"/>
          <w:lang w:val="es-ES_tradnl"/>
        </w:rPr>
        <w:t>. La Cámara podrá definir procedimientos adicionales para la constitución de Garantías en un Segmento.</w:t>
      </w:r>
    </w:p>
    <w:p w14:paraId="7129C04B" w14:textId="77777777" w:rsidR="007968EC" w:rsidRPr="0027300F" w:rsidRDefault="007968EC" w:rsidP="007968EC">
      <w:pPr>
        <w:autoSpaceDE w:val="0"/>
        <w:autoSpaceDN w:val="0"/>
        <w:adjustRightInd w:val="0"/>
        <w:jc w:val="both"/>
        <w:rPr>
          <w:rFonts w:ascii="Arial Narrow" w:hAnsi="Arial Narrow" w:cs="Arial"/>
          <w:color w:val="000000" w:themeColor="text1"/>
          <w:lang w:val="es-ES_tradnl" w:eastAsia="es-ES"/>
        </w:rPr>
      </w:pPr>
    </w:p>
    <w:p w14:paraId="69C2EE50" w14:textId="77777777" w:rsidR="007968EC" w:rsidRDefault="007968EC" w:rsidP="007968EC">
      <w:pPr>
        <w:pStyle w:val="ARTICULO0"/>
      </w:pPr>
      <w:bookmarkStart w:id="2202" w:name="_Toc472592160"/>
      <w:bookmarkStart w:id="2203" w:name="_Toc472593179"/>
      <w:bookmarkStart w:id="2204" w:name="_Toc479056965"/>
      <w:bookmarkStart w:id="2205" w:name="_Toc31715978"/>
      <w:bookmarkStart w:id="2206" w:name="_Toc470775480"/>
      <w:bookmarkStart w:id="2207" w:name="_Toc470779765"/>
      <w:bookmarkStart w:id="2208" w:name="_Toc470780382"/>
      <w:bookmarkStart w:id="2209" w:name="_Toc470780895"/>
      <w:bookmarkStart w:id="2210" w:name="_Toc470784456"/>
      <w:bookmarkStart w:id="2211" w:name="_Toc470784993"/>
      <w:bookmarkStart w:id="2212" w:name="_Toc470791379"/>
      <w:bookmarkStart w:id="2213" w:name="_Toc490066284"/>
      <w:r w:rsidRPr="002C0D19">
        <w:t>Artículo 1.6.4.4. Constitución de Garantías en Efectivo.</w:t>
      </w:r>
      <w:bookmarkEnd w:id="2202"/>
      <w:bookmarkEnd w:id="2203"/>
      <w:bookmarkEnd w:id="2204"/>
      <w:bookmarkEnd w:id="2205"/>
      <w:r w:rsidRPr="002C0D19">
        <w:t xml:space="preserve"> </w:t>
      </w:r>
      <w:bookmarkEnd w:id="2206"/>
      <w:bookmarkEnd w:id="2207"/>
      <w:bookmarkEnd w:id="2208"/>
      <w:bookmarkEnd w:id="2209"/>
      <w:bookmarkEnd w:id="2210"/>
      <w:bookmarkEnd w:id="2211"/>
      <w:bookmarkEnd w:id="2212"/>
    </w:p>
    <w:p w14:paraId="763D50A5" w14:textId="77777777" w:rsidR="007968EC" w:rsidRPr="0064250B" w:rsidRDefault="007968EC" w:rsidP="007968EC">
      <w:pPr>
        <w:jc w:val="both"/>
        <w:rPr>
          <w:rFonts w:ascii="Arial Narrow" w:hAnsi="Arial Narrow" w:cs="Arial"/>
          <w:color w:val="000000" w:themeColor="text1"/>
          <w:lang w:eastAsia="es-ES"/>
        </w:rPr>
      </w:pPr>
    </w:p>
    <w:p w14:paraId="294BC520" w14:textId="77777777" w:rsidR="007968EC" w:rsidRPr="002C0D19" w:rsidRDefault="007968EC" w:rsidP="007968EC">
      <w:pPr>
        <w:pStyle w:val="ANTECEDENTES"/>
      </w:pPr>
      <w:r w:rsidRPr="002C0D19">
        <w:t>(Este Artículo fue modificado mediante Circular 13 del 26 de julio de 2011, publicada en el Boletín Normativo No. 016 del 26 de julio de 2011 y mediante Circular 19 del 28 de diciembre de 2016, publicada en el Boletín Normativo No. 024 del 28 de diciembre de 2016. Rige a partir del 29 de diciembre de 2016.)</w:t>
      </w:r>
      <w:bookmarkEnd w:id="2213"/>
    </w:p>
    <w:p w14:paraId="5AD627C7" w14:textId="77777777" w:rsidR="007968EC" w:rsidRPr="002C0D19" w:rsidRDefault="007968EC" w:rsidP="007968EC">
      <w:pPr>
        <w:rPr>
          <w:rFonts w:ascii="Arial Narrow" w:hAnsi="Arial Narrow" w:cs="Arial"/>
          <w:b/>
          <w:color w:val="000000" w:themeColor="text1"/>
          <w:lang w:eastAsia="es-ES"/>
        </w:rPr>
      </w:pPr>
    </w:p>
    <w:p w14:paraId="64C0DE40" w14:textId="77777777" w:rsidR="007968EC" w:rsidRPr="002C0D19" w:rsidRDefault="007968EC" w:rsidP="007968EC">
      <w:pPr>
        <w:widowControl w:val="0"/>
        <w:tabs>
          <w:tab w:val="num" w:pos="284"/>
        </w:tabs>
        <w:jc w:val="both"/>
        <w:rPr>
          <w:rFonts w:ascii="Arial Narrow" w:hAnsi="Arial Narrow" w:cs="Arial"/>
          <w:color w:val="000000" w:themeColor="text1"/>
          <w:lang w:val="es-ES_tradnl"/>
        </w:rPr>
      </w:pPr>
      <w:r w:rsidRPr="002C0D19">
        <w:rPr>
          <w:rFonts w:ascii="Arial Narrow" w:hAnsi="Arial Narrow" w:cs="Arial"/>
          <w:color w:val="000000" w:themeColor="text1"/>
          <w:lang w:val="es-ES_tradnl"/>
        </w:rPr>
        <w:t xml:space="preserve">Las Garantías en efectivo podrán ser constituidas únicamente por los Miembros Liquidadores. La Cámara no registra Garantías en efectivo a nivel de titular final ni a nivel de Miembro no Liquidador, solo lo hace a </w:t>
      </w:r>
      <w:r w:rsidRPr="002C0D19">
        <w:rPr>
          <w:rFonts w:ascii="Arial Narrow" w:hAnsi="Arial Narrow" w:cs="Arial"/>
          <w:color w:val="000000" w:themeColor="text1"/>
          <w:lang w:val="es-ES_tradnl"/>
        </w:rPr>
        <w:lastRenderedPageBreak/>
        <w:t xml:space="preserve">nivel de Liquidador.  </w:t>
      </w:r>
    </w:p>
    <w:p w14:paraId="561B18BD" w14:textId="77777777" w:rsidR="007968EC" w:rsidRPr="002C0D19" w:rsidRDefault="007968EC" w:rsidP="007968EC">
      <w:pPr>
        <w:widowControl w:val="0"/>
        <w:tabs>
          <w:tab w:val="num" w:pos="284"/>
        </w:tabs>
        <w:jc w:val="both"/>
        <w:rPr>
          <w:rFonts w:ascii="Arial Narrow" w:hAnsi="Arial Narrow" w:cs="Arial"/>
          <w:color w:val="000000" w:themeColor="text1"/>
          <w:lang w:val="es-ES_tradnl"/>
        </w:rPr>
      </w:pPr>
    </w:p>
    <w:p w14:paraId="6890DC2E"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La constitución de Garantías en efectivo debe ser realizada por los Miembros a través del Sistema de Cuentas Únicas de Depósito (CUD) del Banco de la República, atendiendo el siguiente procedimiento:</w:t>
      </w:r>
    </w:p>
    <w:p w14:paraId="185BC288" w14:textId="77777777" w:rsidR="007968EC" w:rsidRPr="002C0D19" w:rsidRDefault="007968EC" w:rsidP="007968EC">
      <w:pPr>
        <w:widowControl w:val="0"/>
        <w:tabs>
          <w:tab w:val="num" w:pos="284"/>
        </w:tabs>
        <w:jc w:val="both"/>
        <w:rPr>
          <w:rFonts w:ascii="Arial Narrow" w:hAnsi="Arial Narrow" w:cs="Arial"/>
          <w:color w:val="000000" w:themeColor="text1"/>
          <w:lang w:val="es-ES"/>
        </w:rPr>
      </w:pPr>
    </w:p>
    <w:p w14:paraId="13428B83" w14:textId="77777777" w:rsidR="007968EC" w:rsidRPr="002C0D19" w:rsidRDefault="007968EC" w:rsidP="007968EC">
      <w:pPr>
        <w:widowControl w:val="0"/>
        <w:numPr>
          <w:ilvl w:val="0"/>
          <w:numId w:val="1"/>
        </w:numPr>
        <w:ind w:left="540" w:hanging="540"/>
        <w:jc w:val="both"/>
        <w:rPr>
          <w:rFonts w:ascii="Arial Narrow" w:hAnsi="Arial Narrow" w:cs="Arial"/>
          <w:color w:val="000000" w:themeColor="text1"/>
          <w:lang w:val="es-ES_tradnl"/>
        </w:rPr>
      </w:pPr>
      <w:r w:rsidRPr="002C0D19">
        <w:rPr>
          <w:rFonts w:ascii="Arial Narrow" w:hAnsi="Arial Narrow" w:cs="Arial"/>
          <w:color w:val="000000" w:themeColor="text1"/>
          <w:lang w:val="es-ES_tradnl"/>
        </w:rPr>
        <w:t>Los Miembros Liquidadores a través del Sistema CUD del Banco de la República, mediante la Operación de “Transferencia de Fondos”, deberán capturar y aprobar los datos para la transferencia de efectivo de sus cuentas a la cuenta de la Cámara.</w:t>
      </w:r>
    </w:p>
    <w:p w14:paraId="7AEEEB97" w14:textId="77777777" w:rsidR="007968EC" w:rsidRPr="002C0D19" w:rsidRDefault="007968EC" w:rsidP="007968EC">
      <w:pPr>
        <w:autoSpaceDE w:val="0"/>
        <w:autoSpaceDN w:val="0"/>
        <w:adjustRightInd w:val="0"/>
        <w:ind w:left="360"/>
        <w:jc w:val="both"/>
        <w:rPr>
          <w:rFonts w:ascii="Arial Narrow" w:hAnsi="Arial Narrow" w:cs="Arial"/>
          <w:color w:val="000000" w:themeColor="text1"/>
          <w:lang w:val="es-ES_tradnl" w:eastAsia="es-ES"/>
        </w:rPr>
      </w:pPr>
    </w:p>
    <w:p w14:paraId="3AD0F93D" w14:textId="77777777" w:rsidR="007968EC" w:rsidRPr="002C0D19" w:rsidRDefault="007968EC" w:rsidP="007968EC">
      <w:pPr>
        <w:autoSpaceDE w:val="0"/>
        <w:autoSpaceDN w:val="0"/>
        <w:adjustRightInd w:val="0"/>
        <w:ind w:left="540"/>
        <w:jc w:val="both"/>
        <w:rPr>
          <w:rFonts w:ascii="Arial Narrow" w:hAnsi="Arial Narrow" w:cs="Arial"/>
          <w:color w:val="000000" w:themeColor="text1"/>
          <w:lang w:val="es-ES_tradnl"/>
        </w:rPr>
      </w:pPr>
      <w:r w:rsidRPr="002C0D19">
        <w:rPr>
          <w:rFonts w:ascii="Arial Narrow" w:hAnsi="Arial Narrow" w:cs="Arial"/>
          <w:color w:val="000000" w:themeColor="text1"/>
          <w:lang w:val="es-ES_tradnl"/>
        </w:rPr>
        <w:t xml:space="preserve">A través de dicho Sistema deben informar, el tipo de garantía a constituir, el monto y el código del Miembro Liquidador o Miembro no Liquidador que se quiere garantizar. En caso de tratarse de la constitución de una Garantía Por Posición, se debe indicar además de lo anterior, el código de dicha Cuenta dentro de la estructura de Cuentas del Miembro que corresponda y el Segmento al que corresponda. </w:t>
      </w:r>
    </w:p>
    <w:p w14:paraId="7DF67CE3"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74220799" w14:textId="77777777" w:rsidR="007968EC" w:rsidRPr="002C0D19" w:rsidRDefault="007968EC" w:rsidP="007968EC">
      <w:pPr>
        <w:widowControl w:val="0"/>
        <w:numPr>
          <w:ilvl w:val="0"/>
          <w:numId w:val="1"/>
        </w:numPr>
        <w:ind w:left="540" w:hanging="540"/>
        <w:jc w:val="both"/>
        <w:rPr>
          <w:rFonts w:ascii="Arial Narrow" w:hAnsi="Arial Narrow" w:cs="Arial"/>
          <w:color w:val="000000" w:themeColor="text1"/>
          <w:lang w:val="es-ES_tradnl"/>
        </w:rPr>
      </w:pPr>
      <w:r w:rsidRPr="002C0D19">
        <w:rPr>
          <w:rFonts w:ascii="Arial Narrow" w:hAnsi="Arial Narrow" w:cs="Arial"/>
          <w:color w:val="000000" w:themeColor="text1"/>
          <w:lang w:val="es-ES_tradnl"/>
        </w:rPr>
        <w:t xml:space="preserve">El CUD informará electrónicamente al Sistema de Cámara el tipo de garantía, el importe de garantía constituida en efectivo, el código del Miembro Liquidador o Miembro no Liquidador según corresponda y en caso de tratarse de una Garantía por Posición asociada a una Cuenta, el código de la misma. </w:t>
      </w:r>
    </w:p>
    <w:p w14:paraId="588A7197" w14:textId="77777777" w:rsidR="007968EC" w:rsidRPr="002C0D19" w:rsidRDefault="007968EC" w:rsidP="007968EC">
      <w:pPr>
        <w:widowControl w:val="0"/>
        <w:ind w:left="540"/>
        <w:jc w:val="both"/>
        <w:rPr>
          <w:rFonts w:ascii="Arial Narrow" w:hAnsi="Arial Narrow" w:cs="Arial"/>
          <w:color w:val="000000" w:themeColor="text1"/>
          <w:lang w:val="es-ES_tradnl"/>
        </w:rPr>
      </w:pPr>
    </w:p>
    <w:p w14:paraId="5234952E" w14:textId="77777777" w:rsidR="007968EC" w:rsidRPr="002C0D19" w:rsidRDefault="007968EC" w:rsidP="007968EC">
      <w:pPr>
        <w:widowControl w:val="0"/>
        <w:numPr>
          <w:ilvl w:val="0"/>
          <w:numId w:val="1"/>
        </w:numPr>
        <w:ind w:left="540" w:hanging="540"/>
        <w:jc w:val="both"/>
        <w:rPr>
          <w:rFonts w:ascii="Arial Narrow" w:hAnsi="Arial Narrow" w:cs="Arial"/>
          <w:color w:val="000000" w:themeColor="text1"/>
          <w:lang w:val="es-ES_tradnl"/>
        </w:rPr>
      </w:pPr>
      <w:r w:rsidRPr="002C0D19">
        <w:rPr>
          <w:rFonts w:ascii="Arial Narrow" w:hAnsi="Arial Narrow" w:cs="Arial"/>
          <w:color w:val="000000" w:themeColor="text1"/>
          <w:lang w:val="es-ES_tradnl"/>
        </w:rPr>
        <w:t>Una vez el Sistema de Cámara registra y actualiza la información de los archivos transmitidos por el CUD, la Cámara podrá visualizar y validar a través del Sistema que estas Garantías están afectas al respaldo de las operaciones registradas.</w:t>
      </w:r>
    </w:p>
    <w:p w14:paraId="464BF20F" w14:textId="77777777" w:rsidR="007968EC" w:rsidRPr="002C0D19" w:rsidRDefault="007968EC" w:rsidP="007968EC">
      <w:pPr>
        <w:widowControl w:val="0"/>
        <w:ind w:left="540"/>
        <w:jc w:val="both"/>
        <w:rPr>
          <w:rFonts w:ascii="Arial Narrow" w:hAnsi="Arial Narrow" w:cs="Arial"/>
          <w:color w:val="000000" w:themeColor="text1"/>
          <w:lang w:val="es-ES_tradnl"/>
        </w:rPr>
      </w:pPr>
    </w:p>
    <w:p w14:paraId="6A91F5F3" w14:textId="77777777" w:rsidR="007968EC" w:rsidRPr="002C0D19" w:rsidRDefault="007968EC" w:rsidP="007968EC">
      <w:pPr>
        <w:widowControl w:val="0"/>
        <w:numPr>
          <w:ilvl w:val="0"/>
          <w:numId w:val="1"/>
        </w:numPr>
        <w:ind w:left="540" w:hanging="540"/>
        <w:jc w:val="both"/>
        <w:rPr>
          <w:rFonts w:ascii="Arial Narrow" w:hAnsi="Arial Narrow" w:cs="Arial"/>
          <w:color w:val="000000" w:themeColor="text1"/>
          <w:lang w:val="es-ES_tradnl"/>
        </w:rPr>
      </w:pPr>
      <w:r w:rsidRPr="002C0D19">
        <w:rPr>
          <w:rFonts w:ascii="Arial Narrow" w:hAnsi="Arial Narrow" w:cs="Arial"/>
          <w:color w:val="000000" w:themeColor="text1"/>
          <w:lang w:val="es-ES_tradnl"/>
        </w:rPr>
        <w:t xml:space="preserve">En caso de interrupción de la comunicación entre los Sistemas de CUD y el Sistema de la Cámara, a petición del Miembro y junto con la verificación por parte de la Cámara de la constitución de Garantías, se podrá surtir el registro de la constitución de la garantía de forma manual sobre el Sistema de Cámara. </w:t>
      </w:r>
    </w:p>
    <w:p w14:paraId="7C955692" w14:textId="77777777" w:rsidR="007968EC" w:rsidRPr="002C0D19" w:rsidRDefault="007968EC" w:rsidP="007968EC">
      <w:pPr>
        <w:widowControl w:val="0"/>
        <w:ind w:left="540"/>
        <w:jc w:val="both"/>
        <w:rPr>
          <w:rFonts w:ascii="Arial Narrow" w:hAnsi="Arial Narrow" w:cs="Arial"/>
          <w:color w:val="000000" w:themeColor="text1"/>
          <w:lang w:val="es-ES_tradnl"/>
        </w:rPr>
      </w:pPr>
    </w:p>
    <w:p w14:paraId="08272371" w14:textId="77777777" w:rsidR="007968EC" w:rsidRPr="002C0D19" w:rsidRDefault="007968EC" w:rsidP="007968EC">
      <w:pPr>
        <w:widowControl w:val="0"/>
        <w:numPr>
          <w:ilvl w:val="0"/>
          <w:numId w:val="1"/>
        </w:numPr>
        <w:ind w:left="540" w:hanging="540"/>
        <w:jc w:val="both"/>
        <w:rPr>
          <w:rFonts w:ascii="Arial Narrow" w:hAnsi="Arial Narrow" w:cs="Arial"/>
          <w:color w:val="000000" w:themeColor="text1"/>
          <w:lang w:val="es-ES_tradnl"/>
        </w:rPr>
      </w:pPr>
      <w:r w:rsidRPr="002C0D19">
        <w:rPr>
          <w:rFonts w:ascii="Arial Narrow" w:hAnsi="Arial Narrow" w:cs="Arial"/>
          <w:color w:val="000000" w:themeColor="text1"/>
          <w:lang w:val="es-ES_tradnl"/>
        </w:rPr>
        <w:t>El Sistema contará con una opción de consulta que le permitirá al Operador de Cámara visualizar los errores que se hayan producido en el proceso de constitución y gestionar la corrección de los mismos.</w:t>
      </w:r>
    </w:p>
    <w:p w14:paraId="60875807" w14:textId="77777777" w:rsidR="007968EC" w:rsidRPr="002C0D19" w:rsidRDefault="007968EC" w:rsidP="007968EC">
      <w:pPr>
        <w:rPr>
          <w:rFonts w:ascii="Arial Narrow" w:hAnsi="Arial Narrow" w:cs="Arial"/>
          <w:b/>
          <w:color w:val="000000" w:themeColor="text1"/>
          <w:lang w:eastAsia="es-ES"/>
        </w:rPr>
      </w:pPr>
    </w:p>
    <w:p w14:paraId="4348E44D" w14:textId="77777777" w:rsidR="007968EC" w:rsidRPr="002C0D19" w:rsidRDefault="007968EC" w:rsidP="007968EC">
      <w:pPr>
        <w:pStyle w:val="ARTICULO0"/>
      </w:pPr>
      <w:bookmarkStart w:id="2214" w:name="_Toc470775481"/>
      <w:bookmarkStart w:id="2215" w:name="_Toc470779766"/>
      <w:bookmarkStart w:id="2216" w:name="_Toc470780383"/>
      <w:bookmarkStart w:id="2217" w:name="_Toc470780896"/>
      <w:bookmarkStart w:id="2218" w:name="_Toc470784457"/>
      <w:bookmarkStart w:id="2219" w:name="_Toc470784994"/>
      <w:bookmarkStart w:id="2220" w:name="_Toc470791380"/>
      <w:bookmarkStart w:id="2221" w:name="_Toc472592161"/>
      <w:bookmarkStart w:id="2222" w:name="_Toc472593180"/>
      <w:bookmarkStart w:id="2223" w:name="_Toc479056966"/>
      <w:bookmarkStart w:id="2224" w:name="_Toc490066285"/>
      <w:bookmarkStart w:id="2225" w:name="_Toc31715979"/>
      <w:r w:rsidRPr="002C0D19">
        <w:t>Artículo 1.6.4.5. Solicitud de constitución de Garantías en Efectivo por orden directa de la Cámara</w:t>
      </w:r>
      <w:bookmarkEnd w:id="2214"/>
      <w:bookmarkEnd w:id="2215"/>
      <w:bookmarkEnd w:id="2216"/>
      <w:bookmarkEnd w:id="2217"/>
      <w:bookmarkEnd w:id="2218"/>
      <w:bookmarkEnd w:id="2219"/>
      <w:bookmarkEnd w:id="2220"/>
      <w:r w:rsidRPr="002C0D19">
        <w:t>.</w:t>
      </w:r>
      <w:bookmarkEnd w:id="2221"/>
      <w:bookmarkEnd w:id="2222"/>
      <w:bookmarkEnd w:id="2223"/>
      <w:bookmarkEnd w:id="2224"/>
      <w:bookmarkEnd w:id="2225"/>
    </w:p>
    <w:p w14:paraId="5E6B3D0E" w14:textId="77777777" w:rsidR="007968EC" w:rsidRPr="0064250B" w:rsidRDefault="007968EC" w:rsidP="007968EC">
      <w:pPr>
        <w:jc w:val="both"/>
        <w:rPr>
          <w:rFonts w:ascii="Arial Narrow" w:hAnsi="Arial Narrow" w:cs="Arial"/>
          <w:color w:val="000000" w:themeColor="text1"/>
          <w:lang w:eastAsia="es-ES"/>
        </w:rPr>
      </w:pPr>
    </w:p>
    <w:p w14:paraId="53122F2E" w14:textId="77777777" w:rsidR="007968EC" w:rsidRPr="002C0D19" w:rsidRDefault="007968EC" w:rsidP="007968EC">
      <w:pPr>
        <w:pStyle w:val="ANTECEDENTES"/>
      </w:pPr>
      <w:r w:rsidRPr="002C0D19">
        <w:t>(Este artículo fue renumerado mediante Circular 19 del 28 de diciembre de 2016, publicada en el Boletín Normativo No. 024 del 28 de diciembre de 2016</w:t>
      </w:r>
      <w:r>
        <w:t xml:space="preserve"> y modificado mediante Circular 7 del 9 de mayo de 2018, publicada en el Boletín Normativo No. 010 del 9 de mayo de 2018. Rige a partir del 21</w:t>
      </w:r>
      <w:r w:rsidRPr="002C0D19">
        <w:t xml:space="preserve"> de </w:t>
      </w:r>
      <w:r>
        <w:t>mayo de 2018</w:t>
      </w:r>
      <w:r w:rsidRPr="002C0D19">
        <w:t>.)</w:t>
      </w:r>
    </w:p>
    <w:p w14:paraId="7BA8E388" w14:textId="77777777" w:rsidR="007968EC" w:rsidRPr="002C0D19" w:rsidRDefault="007968EC" w:rsidP="007968EC">
      <w:pPr>
        <w:jc w:val="both"/>
        <w:rPr>
          <w:rFonts w:ascii="Arial Narrow" w:hAnsi="Arial Narrow" w:cs="Arial"/>
          <w:color w:val="000000" w:themeColor="text1"/>
          <w:lang w:val="es-ES" w:eastAsia="es-ES"/>
        </w:rPr>
      </w:pPr>
    </w:p>
    <w:p w14:paraId="192DC0DC" w14:textId="77777777" w:rsidR="007968EC" w:rsidRPr="00E0167E" w:rsidRDefault="007968EC" w:rsidP="007968EC">
      <w:pPr>
        <w:autoSpaceDE w:val="0"/>
        <w:autoSpaceDN w:val="0"/>
        <w:adjustRightInd w:val="0"/>
        <w:jc w:val="both"/>
        <w:rPr>
          <w:rFonts w:ascii="Arial Narrow" w:hAnsi="Arial Narrow" w:cs="Arial"/>
          <w:color w:val="000000" w:themeColor="text1"/>
          <w:lang w:val="es-ES" w:eastAsia="es-ES"/>
        </w:rPr>
      </w:pPr>
      <w:r w:rsidRPr="00E0167E">
        <w:rPr>
          <w:rFonts w:ascii="Arial Narrow" w:hAnsi="Arial Narrow" w:cs="Arial"/>
          <w:color w:val="000000" w:themeColor="text1"/>
          <w:lang w:val="es-ES" w:eastAsia="es-ES"/>
        </w:rPr>
        <w:t>La Cámara, en casos excepcionales o cuando se establezca para un Segmento en particular, podrá ordenar directamente la constitución de Garantías en efectivo a través del Sistema de Cuentas Únicas de Depósito del Banco de la República (CUD), atendiendo el siguiente procedimiento:</w:t>
      </w:r>
    </w:p>
    <w:p w14:paraId="0B4C737E" w14:textId="77777777" w:rsidR="007968EC" w:rsidRPr="00E0167E" w:rsidRDefault="007968EC" w:rsidP="007968EC">
      <w:pPr>
        <w:autoSpaceDE w:val="0"/>
        <w:autoSpaceDN w:val="0"/>
        <w:adjustRightInd w:val="0"/>
        <w:jc w:val="both"/>
        <w:rPr>
          <w:rFonts w:ascii="Arial Narrow" w:hAnsi="Arial Narrow" w:cs="Arial"/>
          <w:color w:val="000000" w:themeColor="text1"/>
          <w:lang w:val="es-ES" w:eastAsia="es-ES"/>
        </w:rPr>
      </w:pPr>
    </w:p>
    <w:p w14:paraId="0EF76BC3" w14:textId="77777777" w:rsidR="007968EC" w:rsidRPr="00E0167E" w:rsidRDefault="007968EC" w:rsidP="007968EC">
      <w:pPr>
        <w:numPr>
          <w:ilvl w:val="0"/>
          <w:numId w:val="8"/>
        </w:numPr>
        <w:tabs>
          <w:tab w:val="num" w:pos="540"/>
        </w:tabs>
        <w:ind w:left="540" w:hanging="540"/>
        <w:jc w:val="both"/>
        <w:rPr>
          <w:rFonts w:ascii="Arial Narrow" w:hAnsi="Arial Narrow" w:cs="Arial"/>
          <w:color w:val="000000" w:themeColor="text1"/>
          <w:lang w:val="es-ES" w:eastAsia="es-ES"/>
        </w:rPr>
      </w:pPr>
      <w:r w:rsidRPr="00E0167E">
        <w:rPr>
          <w:rFonts w:ascii="Arial Narrow" w:hAnsi="Arial Narrow" w:cs="Arial"/>
          <w:color w:val="000000" w:themeColor="text1"/>
          <w:lang w:val="es-ES" w:eastAsia="es-ES"/>
        </w:rPr>
        <w:lastRenderedPageBreak/>
        <w:t xml:space="preserve">El Sistema de la Cámara genera una orden de transferencia al CUD de la cuenta del Agente de Pago </w:t>
      </w:r>
      <w:proofErr w:type="spellStart"/>
      <w:r w:rsidRPr="00E0167E">
        <w:rPr>
          <w:rFonts w:ascii="Arial Narrow" w:hAnsi="Arial Narrow" w:cs="Arial"/>
          <w:color w:val="000000" w:themeColor="text1"/>
          <w:lang w:val="es-ES" w:eastAsia="es-ES"/>
        </w:rPr>
        <w:t>ó</w:t>
      </w:r>
      <w:proofErr w:type="spellEnd"/>
      <w:r w:rsidRPr="00E0167E">
        <w:rPr>
          <w:rFonts w:ascii="Arial Narrow" w:hAnsi="Arial Narrow" w:cs="Arial"/>
          <w:color w:val="000000" w:themeColor="text1"/>
          <w:lang w:val="es-ES" w:eastAsia="es-ES"/>
        </w:rPr>
        <w:t xml:space="preserve"> Miembro Liquidador a la cuenta de la Cámara.</w:t>
      </w:r>
    </w:p>
    <w:p w14:paraId="44EDDA27" w14:textId="77777777" w:rsidR="007968EC" w:rsidRPr="00E0167E" w:rsidRDefault="007968EC" w:rsidP="007968EC">
      <w:pPr>
        <w:jc w:val="both"/>
        <w:rPr>
          <w:rFonts w:ascii="Arial Narrow" w:hAnsi="Arial Narrow" w:cs="Arial"/>
          <w:color w:val="000000" w:themeColor="text1"/>
          <w:lang w:val="es-ES" w:eastAsia="es-ES"/>
        </w:rPr>
      </w:pPr>
    </w:p>
    <w:p w14:paraId="73D6DA7D" w14:textId="77777777" w:rsidR="007968EC" w:rsidRPr="00E0167E" w:rsidRDefault="007968EC" w:rsidP="007968EC">
      <w:pPr>
        <w:numPr>
          <w:ilvl w:val="0"/>
          <w:numId w:val="8"/>
        </w:numPr>
        <w:tabs>
          <w:tab w:val="num" w:pos="540"/>
        </w:tabs>
        <w:ind w:left="540" w:hanging="540"/>
        <w:jc w:val="both"/>
        <w:rPr>
          <w:rFonts w:ascii="Arial Narrow" w:hAnsi="Arial Narrow" w:cs="Arial"/>
          <w:color w:val="000000" w:themeColor="text1"/>
          <w:lang w:val="es-ES" w:eastAsia="es-ES"/>
        </w:rPr>
      </w:pPr>
      <w:r w:rsidRPr="00E0167E">
        <w:rPr>
          <w:rFonts w:ascii="Arial Narrow" w:hAnsi="Arial Narrow" w:cs="Arial"/>
          <w:color w:val="000000" w:themeColor="text1"/>
          <w:lang w:val="es-ES" w:eastAsia="es-ES"/>
        </w:rPr>
        <w:t>La orden enviada por la Cámara ingresará al CUD con prioridad 1 (mayor prioridad) en el orden de Liquidación de las transacciones en la cola de espera de la cuenta a debitar.</w:t>
      </w:r>
    </w:p>
    <w:p w14:paraId="1488E2D3" w14:textId="77777777" w:rsidR="007968EC" w:rsidRPr="00E0167E" w:rsidRDefault="007968EC" w:rsidP="007968EC">
      <w:pPr>
        <w:jc w:val="both"/>
        <w:rPr>
          <w:rFonts w:ascii="Arial Narrow" w:hAnsi="Arial Narrow" w:cs="Arial"/>
          <w:color w:val="000000" w:themeColor="text1"/>
          <w:lang w:val="es-ES" w:eastAsia="es-ES"/>
        </w:rPr>
      </w:pPr>
    </w:p>
    <w:p w14:paraId="62728467" w14:textId="77777777" w:rsidR="007968EC" w:rsidRPr="00E0167E" w:rsidRDefault="007968EC" w:rsidP="007968EC">
      <w:pPr>
        <w:numPr>
          <w:ilvl w:val="0"/>
          <w:numId w:val="8"/>
        </w:numPr>
        <w:tabs>
          <w:tab w:val="num" w:pos="540"/>
        </w:tabs>
        <w:ind w:left="540" w:hanging="540"/>
        <w:jc w:val="both"/>
        <w:rPr>
          <w:rFonts w:ascii="Arial Narrow" w:hAnsi="Arial Narrow" w:cs="Arial"/>
          <w:color w:val="000000" w:themeColor="text1"/>
          <w:lang w:val="es-ES" w:eastAsia="es-ES"/>
        </w:rPr>
      </w:pPr>
      <w:r w:rsidRPr="00E0167E">
        <w:rPr>
          <w:rFonts w:ascii="Arial Narrow" w:hAnsi="Arial Narrow" w:cs="Arial"/>
          <w:color w:val="000000" w:themeColor="text1"/>
          <w:lang w:val="es-ES" w:eastAsia="es-ES"/>
        </w:rPr>
        <w:t>Si el CUD no encuentra transacciones en la fila de espera, o sólo hay transacciones con menor o igual prioridad a la enviada por la Cámara, verifica la existencia de saldo disponible suficiente en la cuenta y realiza la transferencia automática de los fondos a la cuenta de la Cámara.</w:t>
      </w:r>
    </w:p>
    <w:p w14:paraId="5E4E55C2" w14:textId="77777777" w:rsidR="007968EC" w:rsidRPr="00E0167E" w:rsidRDefault="007968EC" w:rsidP="007968EC">
      <w:pPr>
        <w:jc w:val="both"/>
        <w:rPr>
          <w:rFonts w:ascii="Arial Narrow" w:hAnsi="Arial Narrow" w:cs="Arial"/>
          <w:color w:val="000000" w:themeColor="text1"/>
          <w:lang w:val="es-ES" w:eastAsia="es-ES"/>
        </w:rPr>
      </w:pPr>
    </w:p>
    <w:p w14:paraId="7E3CD45B" w14:textId="77777777" w:rsidR="007968EC" w:rsidRPr="00E0167E" w:rsidRDefault="007968EC" w:rsidP="007968EC">
      <w:pPr>
        <w:numPr>
          <w:ilvl w:val="0"/>
          <w:numId w:val="8"/>
        </w:numPr>
        <w:tabs>
          <w:tab w:val="num" w:pos="540"/>
        </w:tabs>
        <w:ind w:left="540" w:hanging="540"/>
        <w:jc w:val="both"/>
        <w:rPr>
          <w:rFonts w:ascii="Arial Narrow" w:hAnsi="Arial Narrow" w:cs="Arial"/>
          <w:color w:val="000000" w:themeColor="text1"/>
          <w:lang w:val="es-ES" w:eastAsia="es-ES"/>
        </w:rPr>
      </w:pPr>
      <w:r w:rsidRPr="00E0167E">
        <w:rPr>
          <w:rFonts w:ascii="Arial Narrow" w:hAnsi="Arial Narrow" w:cs="Arial"/>
          <w:color w:val="000000" w:themeColor="text1"/>
          <w:lang w:val="es-ES" w:eastAsia="es-ES"/>
        </w:rPr>
        <w:t>Una vez realizada la transferencia el Sistema CUD informa a la Cámara que el registro de cada orden de transferencia fue aprobada o rechazada.</w:t>
      </w:r>
    </w:p>
    <w:p w14:paraId="7EABA1F0" w14:textId="77777777" w:rsidR="007968EC" w:rsidRPr="00E0167E" w:rsidRDefault="007968EC" w:rsidP="007968EC">
      <w:pPr>
        <w:autoSpaceDE w:val="0"/>
        <w:autoSpaceDN w:val="0"/>
        <w:adjustRightInd w:val="0"/>
        <w:jc w:val="both"/>
        <w:rPr>
          <w:rFonts w:ascii="Arial Narrow" w:hAnsi="Arial Narrow" w:cs="Arial"/>
          <w:color w:val="000000" w:themeColor="text1"/>
          <w:lang w:val="es-ES" w:eastAsia="es-ES"/>
        </w:rPr>
      </w:pPr>
    </w:p>
    <w:p w14:paraId="19707032" w14:textId="77777777" w:rsidR="007968EC" w:rsidRPr="00E0167E" w:rsidRDefault="007968EC" w:rsidP="007968EC">
      <w:pPr>
        <w:numPr>
          <w:ilvl w:val="0"/>
          <w:numId w:val="8"/>
        </w:numPr>
        <w:tabs>
          <w:tab w:val="num" w:pos="540"/>
        </w:tabs>
        <w:ind w:left="540" w:hanging="540"/>
        <w:jc w:val="both"/>
        <w:rPr>
          <w:rFonts w:ascii="Arial Narrow" w:hAnsi="Arial Narrow" w:cs="Arial"/>
          <w:color w:val="000000" w:themeColor="text1"/>
          <w:lang w:val="es-ES" w:eastAsia="es-ES"/>
        </w:rPr>
      </w:pPr>
      <w:r w:rsidRPr="00E0167E">
        <w:rPr>
          <w:rFonts w:ascii="Arial Narrow" w:hAnsi="Arial Narrow" w:cs="Arial"/>
          <w:color w:val="000000" w:themeColor="text1"/>
          <w:lang w:val="es-ES" w:eastAsia="es-ES"/>
        </w:rPr>
        <w:t>En caso de que una o varias órdenes de transferencia hayan sido rechazadas, la Cámara solicitará al Agente de Pago o al Miembro Liquidador gestionar el traslado de fondos pendientes dentro del horario previsto para el mismo y en caso contrario aplicará el procedimiento para el incumplimiento previsto en el Reglamento y en la presente Circular.</w:t>
      </w:r>
    </w:p>
    <w:p w14:paraId="098CF952" w14:textId="77777777" w:rsidR="007968EC" w:rsidRPr="00E0167E" w:rsidRDefault="007968EC" w:rsidP="007968EC">
      <w:pPr>
        <w:ind w:left="540"/>
        <w:jc w:val="both"/>
        <w:rPr>
          <w:rFonts w:ascii="Arial Narrow" w:hAnsi="Arial Narrow" w:cs="Arial"/>
          <w:color w:val="000000" w:themeColor="text1"/>
          <w:lang w:val="es-ES" w:eastAsia="es-ES"/>
        </w:rPr>
      </w:pPr>
    </w:p>
    <w:p w14:paraId="00457963" w14:textId="77777777" w:rsidR="007968EC" w:rsidRPr="00E0167E" w:rsidRDefault="007968EC" w:rsidP="007968EC">
      <w:pPr>
        <w:numPr>
          <w:ilvl w:val="0"/>
          <w:numId w:val="8"/>
        </w:numPr>
        <w:tabs>
          <w:tab w:val="num" w:pos="540"/>
        </w:tabs>
        <w:ind w:left="540" w:hanging="540"/>
        <w:jc w:val="both"/>
        <w:rPr>
          <w:rFonts w:ascii="Arial Narrow" w:hAnsi="Arial Narrow" w:cs="Arial"/>
          <w:color w:val="000000" w:themeColor="text1"/>
          <w:lang w:val="es-ES" w:eastAsia="es-ES"/>
        </w:rPr>
      </w:pPr>
      <w:r w:rsidRPr="00E0167E">
        <w:rPr>
          <w:rFonts w:ascii="Arial Narrow" w:hAnsi="Arial Narrow" w:cs="Arial"/>
          <w:color w:val="000000" w:themeColor="text1"/>
          <w:lang w:val="es-ES" w:eastAsia="es-ES"/>
        </w:rPr>
        <w:t xml:space="preserve">En caso de interrupción de la comunicación entre los sistemas de CUD y el Sistema de la Cámara, a petición del Miembro y junto con la verificación por parte de la Cámara de la constitución de Garantías, se podrá surtir el registro de la constitución de la garantía de forma manual sobre el Sistema de Cámara. </w:t>
      </w:r>
    </w:p>
    <w:p w14:paraId="044E8018" w14:textId="77777777" w:rsidR="007968EC" w:rsidRPr="00E0167E" w:rsidRDefault="007968EC" w:rsidP="007968EC">
      <w:pPr>
        <w:ind w:left="540"/>
        <w:jc w:val="both"/>
        <w:rPr>
          <w:rFonts w:ascii="Arial Narrow" w:hAnsi="Arial Narrow" w:cs="Arial"/>
          <w:color w:val="000000" w:themeColor="text1"/>
          <w:lang w:val="es-ES" w:eastAsia="es-ES"/>
        </w:rPr>
      </w:pPr>
    </w:p>
    <w:p w14:paraId="5294C3E1" w14:textId="77777777" w:rsidR="007968EC" w:rsidRPr="002C0D19" w:rsidRDefault="007968EC" w:rsidP="007968EC">
      <w:pPr>
        <w:jc w:val="both"/>
        <w:rPr>
          <w:rFonts w:ascii="Arial Narrow" w:hAnsi="Arial Narrow" w:cs="Arial"/>
          <w:color w:val="000000" w:themeColor="text1"/>
          <w:lang w:val="es-ES" w:eastAsia="es-ES"/>
        </w:rPr>
      </w:pPr>
      <w:r w:rsidRPr="00E0167E">
        <w:rPr>
          <w:rFonts w:ascii="Arial Narrow" w:hAnsi="Arial Narrow" w:cs="Arial"/>
          <w:color w:val="000000" w:themeColor="text1"/>
          <w:lang w:val="es-ES" w:eastAsia="es-ES"/>
        </w:rPr>
        <w:t>El Sistema contará con una opción de consulta que le permitirá al Operador de Cámara visualizar los errores que se hayan producido en el proceso de constitución y gestionar la corrección de los mismos.</w:t>
      </w:r>
    </w:p>
    <w:p w14:paraId="302B6891" w14:textId="77777777" w:rsidR="007968EC" w:rsidRPr="00217BDE" w:rsidRDefault="007968EC" w:rsidP="007968EC">
      <w:pPr>
        <w:jc w:val="both"/>
        <w:rPr>
          <w:rFonts w:ascii="Arial Narrow" w:hAnsi="Arial Narrow" w:cs="Arial"/>
          <w:bCs/>
          <w:color w:val="000000" w:themeColor="text1"/>
          <w:lang w:val="es-ES" w:eastAsia="es-ES"/>
        </w:rPr>
      </w:pPr>
    </w:p>
    <w:p w14:paraId="0C573D7F" w14:textId="77777777" w:rsidR="007968EC" w:rsidRDefault="007968EC" w:rsidP="007968EC">
      <w:pPr>
        <w:pStyle w:val="ARTICULO0"/>
      </w:pPr>
      <w:bookmarkStart w:id="2226" w:name="_Toc472592162"/>
      <w:bookmarkStart w:id="2227" w:name="_Toc472593181"/>
      <w:bookmarkStart w:id="2228" w:name="_Toc479056967"/>
      <w:bookmarkStart w:id="2229" w:name="_Toc31715980"/>
      <w:bookmarkStart w:id="2230" w:name="_Toc470775482"/>
      <w:bookmarkStart w:id="2231" w:name="_Toc470779767"/>
      <w:bookmarkStart w:id="2232" w:name="_Toc470780384"/>
      <w:bookmarkStart w:id="2233" w:name="_Toc470780897"/>
      <w:bookmarkStart w:id="2234" w:name="_Toc470784458"/>
      <w:bookmarkStart w:id="2235" w:name="_Toc470784995"/>
      <w:bookmarkStart w:id="2236" w:name="_Toc470791381"/>
      <w:bookmarkStart w:id="2237" w:name="_Toc490066286"/>
      <w:r w:rsidRPr="002C0D19">
        <w:t>Artículo 1.6.4.6. Liberación de Garantías en títulos ubicados en Deceval.</w:t>
      </w:r>
      <w:bookmarkEnd w:id="2226"/>
      <w:bookmarkEnd w:id="2227"/>
      <w:bookmarkEnd w:id="2228"/>
      <w:bookmarkEnd w:id="2229"/>
      <w:r w:rsidRPr="002C0D19">
        <w:t xml:space="preserve"> </w:t>
      </w:r>
    </w:p>
    <w:p w14:paraId="09DEFB2B" w14:textId="77777777" w:rsidR="007968EC" w:rsidRPr="003F5F9A" w:rsidRDefault="007968EC" w:rsidP="007968EC">
      <w:pPr>
        <w:jc w:val="both"/>
        <w:rPr>
          <w:rFonts w:ascii="Arial Narrow" w:hAnsi="Arial Narrow" w:cs="Arial"/>
          <w:color w:val="000000" w:themeColor="text1"/>
          <w:lang w:eastAsia="es-ES"/>
        </w:rPr>
      </w:pPr>
    </w:p>
    <w:p w14:paraId="4A5665C8" w14:textId="77777777" w:rsidR="007968EC" w:rsidRPr="002C0D19" w:rsidRDefault="007968EC" w:rsidP="007968EC">
      <w:pPr>
        <w:pStyle w:val="ANTECEDENTES"/>
        <w:rPr>
          <w:u w:val="single"/>
        </w:rPr>
      </w:pPr>
      <w:r w:rsidRPr="002C0D19">
        <w:t>(Este Artículo fue modificado mediante Circular 4 del 16 de marzo de 2012, publicada en el Boletín Normativo No. 004 del 16 de marzo de 2012, mediante Circular 7 de 26 de abril de 2012, publicada en el Boletín Normativo No. 007 del 26 de abril de 2012, mediante Circular 20 del 31 de octubre de 2012, publicada en el Boletín Normativo No. 020 del 31 de octubre de 2012, mediante Circular 5 del 12 de marzo de 2013, publicado en el Boletín Normativo No.006 del 12 de marzo de 2013, mediante Circular 018 del 9 de junio de 2015, publicado en el Boletín Normativo No.020 del 9 de junio de 2015, mediante Circular 19 del 28 de diciembre de 2016, publicada en el Boletín Normativo No. 024 del 28 de diciembre de 2016 y mediante Circular 14 del 8 de agosto de 2017, publicada en el Boletín Normativo No. 015 del 8 de agosto de 2017. Rige a partir del 9 de agosto de 2017.)</w:t>
      </w:r>
      <w:bookmarkEnd w:id="2230"/>
      <w:bookmarkEnd w:id="2231"/>
      <w:bookmarkEnd w:id="2232"/>
      <w:bookmarkEnd w:id="2233"/>
      <w:bookmarkEnd w:id="2234"/>
      <w:bookmarkEnd w:id="2235"/>
      <w:bookmarkEnd w:id="2236"/>
      <w:bookmarkEnd w:id="2237"/>
    </w:p>
    <w:p w14:paraId="6F8B763B" w14:textId="77777777" w:rsidR="007968EC" w:rsidRPr="00217BDE" w:rsidRDefault="007968EC" w:rsidP="007968EC">
      <w:pPr>
        <w:jc w:val="both"/>
        <w:rPr>
          <w:rFonts w:ascii="Arial Narrow" w:hAnsi="Arial Narrow" w:cs="Arial"/>
          <w:bCs/>
          <w:color w:val="000000" w:themeColor="text1"/>
          <w:lang w:val="es-ES" w:eastAsia="es-ES"/>
        </w:rPr>
      </w:pPr>
    </w:p>
    <w:p w14:paraId="5443A7B3"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lang w:val="es-ES" w:eastAsia="es-ES"/>
        </w:rPr>
        <w:t>La liberación de Garantías en títulos ubicados en Deceval por parte de la Cámara se realiza a solicitud del Miembro a través de las firmas autorizadas designadas por el Usuario Administrador para gestión de Garantías, a través del Portal de la CRCC ingresando la correspondiente solicitud en el módulo Gestión Garantías. En caso de contingencia, las solicitudes serán recibidas por correo electrónico a: garantiascrcc@camaraderiesgo.com.co, adjuntando el formato definido en el Anexo 30</w:t>
      </w:r>
      <w:r w:rsidRPr="002C0D19">
        <w:rPr>
          <w:rFonts w:ascii="Arial Narrow" w:eastAsia="Calibri" w:hAnsi="Arial Narrow" w:cs="Arial"/>
          <w:lang w:eastAsia="es-ES"/>
        </w:rPr>
        <w:t xml:space="preserve">, o por Fax al número </w:t>
      </w:r>
      <w:r w:rsidRPr="002C0D19">
        <w:rPr>
          <w:rFonts w:ascii="Arial Narrow" w:eastAsia="Calibri" w:hAnsi="Arial Narrow" w:cs="Arial"/>
          <w:lang w:eastAsia="es-ES"/>
        </w:rPr>
        <w:lastRenderedPageBreak/>
        <w:t>registrado en la página web de la Cámara www.camaraderiesgo.com.co. El procedimiento de liberación de Garantías será el siguiente:</w:t>
      </w:r>
    </w:p>
    <w:p w14:paraId="42855804" w14:textId="77777777" w:rsidR="007968EC" w:rsidRPr="002C0D19" w:rsidRDefault="007968EC" w:rsidP="007968EC">
      <w:pPr>
        <w:jc w:val="both"/>
        <w:rPr>
          <w:rFonts w:ascii="Arial Narrow" w:hAnsi="Arial Narrow" w:cs="Arial"/>
          <w:lang w:val="es-ES" w:eastAsia="es-ES"/>
        </w:rPr>
      </w:pPr>
    </w:p>
    <w:p w14:paraId="108E7111" w14:textId="77777777" w:rsidR="007968EC" w:rsidRPr="002C0D19" w:rsidRDefault="007968EC" w:rsidP="00DA7472">
      <w:pPr>
        <w:numPr>
          <w:ilvl w:val="0"/>
          <w:numId w:val="132"/>
        </w:numPr>
        <w:autoSpaceDE w:val="0"/>
        <w:autoSpaceDN w:val="0"/>
        <w:adjustRightInd w:val="0"/>
        <w:ind w:left="596" w:hanging="567"/>
        <w:contextualSpacing/>
        <w:jc w:val="both"/>
        <w:rPr>
          <w:rFonts w:ascii="Arial Narrow" w:eastAsia="Calibri" w:hAnsi="Arial Narrow" w:cs="Arial"/>
          <w:kern w:val="32"/>
          <w:lang w:val="es-ES" w:eastAsia="es-ES"/>
        </w:rPr>
      </w:pPr>
      <w:r w:rsidRPr="002C0D19">
        <w:rPr>
          <w:rFonts w:ascii="Arial Narrow" w:eastAsia="Calibri" w:hAnsi="Arial Narrow" w:cs="Arial"/>
          <w:lang w:val="es-ES" w:eastAsia="es-ES"/>
        </w:rPr>
        <w:t>El Miembro que constituyó la garantía deberá enviar a la Cámara la solicitud de liberación de garantías a través del Portal CRCC, ingresando la misma en el submódulo “Solicitud Liberación Garantías”, el cual se encuentra en el módulo Gestión Garantías. Dicha solicitud de liberación deberá contener la aprobación del Miembro Liquidador en caso de tratarse de un Miembro no Liquidador.</w:t>
      </w:r>
    </w:p>
    <w:p w14:paraId="439443F6" w14:textId="77777777" w:rsidR="007968EC" w:rsidRPr="002C0D19" w:rsidRDefault="007968EC" w:rsidP="007968EC">
      <w:pPr>
        <w:autoSpaceDE w:val="0"/>
        <w:autoSpaceDN w:val="0"/>
        <w:adjustRightInd w:val="0"/>
        <w:ind w:left="29"/>
        <w:jc w:val="both"/>
        <w:rPr>
          <w:rFonts w:ascii="Arial Narrow" w:eastAsia="Calibri" w:hAnsi="Arial Narrow" w:cs="Arial"/>
          <w:kern w:val="32"/>
          <w:lang w:eastAsia="es-ES"/>
        </w:rPr>
      </w:pPr>
    </w:p>
    <w:p w14:paraId="2A000358" w14:textId="77777777" w:rsidR="007968EC" w:rsidRPr="002C0D19" w:rsidRDefault="007968EC" w:rsidP="007968EC">
      <w:pPr>
        <w:autoSpaceDE w:val="0"/>
        <w:autoSpaceDN w:val="0"/>
        <w:adjustRightInd w:val="0"/>
        <w:ind w:left="567" w:hanging="567"/>
        <w:jc w:val="both"/>
        <w:rPr>
          <w:rFonts w:ascii="Arial Narrow" w:hAnsi="Arial Narrow" w:cs="Arial"/>
          <w:lang w:val="es-ES" w:eastAsia="es-ES"/>
        </w:rPr>
      </w:pPr>
      <w:r w:rsidRPr="002C0D19">
        <w:rPr>
          <w:rFonts w:ascii="Arial Narrow" w:hAnsi="Arial Narrow" w:cs="Arial"/>
          <w:lang w:val="es-ES" w:eastAsia="es-ES"/>
        </w:rPr>
        <w:t xml:space="preserve">2. </w:t>
      </w:r>
      <w:r w:rsidRPr="002C0D19">
        <w:rPr>
          <w:rFonts w:ascii="Arial Narrow" w:hAnsi="Arial Narrow" w:cs="Arial"/>
          <w:lang w:val="es-ES" w:eastAsia="es-ES"/>
        </w:rPr>
        <w:tab/>
        <w:t>La Cámara verificará el estado de la estructura de Cuentas del Miembro por cada titular (Miembro y/o Tercero Identificado) y determinará el exceso de garantías.</w:t>
      </w:r>
    </w:p>
    <w:p w14:paraId="5D8D0BAD" w14:textId="77777777" w:rsidR="007968EC" w:rsidRPr="002C0D19" w:rsidRDefault="007968EC" w:rsidP="007968EC">
      <w:pPr>
        <w:autoSpaceDE w:val="0"/>
        <w:autoSpaceDN w:val="0"/>
        <w:adjustRightInd w:val="0"/>
        <w:jc w:val="both"/>
        <w:rPr>
          <w:rFonts w:ascii="Arial Narrow" w:hAnsi="Arial Narrow" w:cs="Arial"/>
          <w:lang w:val="es-ES" w:eastAsia="es-ES"/>
        </w:rPr>
      </w:pPr>
    </w:p>
    <w:p w14:paraId="0705DB58" w14:textId="77777777" w:rsidR="007968EC" w:rsidRPr="002C0D19" w:rsidRDefault="007968EC" w:rsidP="007968EC">
      <w:pPr>
        <w:autoSpaceDE w:val="0"/>
        <w:autoSpaceDN w:val="0"/>
        <w:adjustRightInd w:val="0"/>
        <w:ind w:left="567" w:hanging="567"/>
        <w:jc w:val="both"/>
        <w:rPr>
          <w:rFonts w:ascii="Arial Narrow" w:hAnsi="Arial Narrow" w:cs="Arial"/>
          <w:lang w:val="es-ES" w:eastAsia="es-ES"/>
        </w:rPr>
      </w:pPr>
      <w:r w:rsidRPr="002C0D19">
        <w:rPr>
          <w:rFonts w:ascii="Arial Narrow" w:hAnsi="Arial Narrow" w:cs="Arial"/>
          <w:lang w:val="es-ES" w:eastAsia="es-ES"/>
        </w:rPr>
        <w:t xml:space="preserve">3. </w:t>
      </w:r>
      <w:r w:rsidRPr="002C0D19">
        <w:rPr>
          <w:rFonts w:ascii="Arial Narrow" w:hAnsi="Arial Narrow" w:cs="Arial"/>
          <w:lang w:val="es-ES" w:eastAsia="es-ES"/>
        </w:rPr>
        <w:tab/>
        <w:t>La Cámara identificará y marcará los registros que quiere liberar al tiempo que determinará el monto a liberar y generará una orden automática de peticiones de liberación para el Deceval.</w:t>
      </w:r>
    </w:p>
    <w:p w14:paraId="06BC7D3D" w14:textId="77777777" w:rsidR="007968EC" w:rsidRPr="002C0D19" w:rsidRDefault="007968EC" w:rsidP="007968EC">
      <w:pPr>
        <w:autoSpaceDE w:val="0"/>
        <w:autoSpaceDN w:val="0"/>
        <w:adjustRightInd w:val="0"/>
        <w:jc w:val="both"/>
        <w:rPr>
          <w:rFonts w:ascii="Arial Narrow" w:hAnsi="Arial Narrow" w:cs="Arial"/>
          <w:lang w:val="es-ES" w:eastAsia="es-ES"/>
        </w:rPr>
      </w:pPr>
    </w:p>
    <w:p w14:paraId="081D3E77" w14:textId="77777777" w:rsidR="007968EC" w:rsidRPr="002C0D19" w:rsidRDefault="007968EC" w:rsidP="007968EC">
      <w:pPr>
        <w:autoSpaceDE w:val="0"/>
        <w:autoSpaceDN w:val="0"/>
        <w:adjustRightInd w:val="0"/>
        <w:ind w:left="567" w:hanging="567"/>
        <w:jc w:val="both"/>
        <w:rPr>
          <w:rFonts w:ascii="Arial Narrow" w:hAnsi="Arial Narrow" w:cs="Arial"/>
          <w:lang w:val="es-ES" w:eastAsia="es-ES"/>
        </w:rPr>
      </w:pPr>
      <w:r w:rsidRPr="002C0D19">
        <w:rPr>
          <w:rFonts w:ascii="Arial Narrow" w:hAnsi="Arial Narrow" w:cs="Arial"/>
          <w:lang w:val="es-ES" w:eastAsia="es-ES"/>
        </w:rPr>
        <w:t xml:space="preserve">4. </w:t>
      </w:r>
      <w:r w:rsidRPr="002C0D19">
        <w:rPr>
          <w:rFonts w:ascii="Arial Narrow" w:hAnsi="Arial Narrow" w:cs="Arial"/>
          <w:lang w:val="es-ES" w:eastAsia="es-ES"/>
        </w:rPr>
        <w:tab/>
        <w:t>Una vez realizada la transferencia el sistema Deceval informará a la Cámara que el registro de cada orden de liberación fue aprobada o rechazada.</w:t>
      </w:r>
    </w:p>
    <w:p w14:paraId="64F222A3" w14:textId="77777777" w:rsidR="007968EC" w:rsidRPr="002C0D19" w:rsidRDefault="007968EC" w:rsidP="007968EC">
      <w:pPr>
        <w:autoSpaceDE w:val="0"/>
        <w:autoSpaceDN w:val="0"/>
        <w:adjustRightInd w:val="0"/>
        <w:jc w:val="both"/>
        <w:rPr>
          <w:rFonts w:ascii="Arial Narrow" w:hAnsi="Arial Narrow" w:cs="Arial"/>
          <w:lang w:val="es-ES" w:eastAsia="es-ES"/>
        </w:rPr>
      </w:pPr>
    </w:p>
    <w:p w14:paraId="3827A507" w14:textId="77777777" w:rsidR="007968EC" w:rsidRPr="002C0D19" w:rsidRDefault="007968EC" w:rsidP="007968EC">
      <w:pPr>
        <w:autoSpaceDE w:val="0"/>
        <w:autoSpaceDN w:val="0"/>
        <w:adjustRightInd w:val="0"/>
        <w:ind w:left="567" w:hanging="567"/>
        <w:jc w:val="both"/>
        <w:rPr>
          <w:rFonts w:ascii="Arial Narrow" w:hAnsi="Arial Narrow" w:cs="Arial"/>
          <w:lang w:val="es-ES" w:eastAsia="es-ES"/>
        </w:rPr>
      </w:pPr>
      <w:r w:rsidRPr="002C0D19">
        <w:rPr>
          <w:rFonts w:ascii="Arial Narrow" w:hAnsi="Arial Narrow" w:cs="Arial"/>
          <w:lang w:val="es-ES" w:eastAsia="es-ES"/>
        </w:rPr>
        <w:t xml:space="preserve">5. </w:t>
      </w:r>
      <w:r w:rsidRPr="002C0D19">
        <w:rPr>
          <w:rFonts w:ascii="Arial Narrow" w:hAnsi="Arial Narrow" w:cs="Arial"/>
          <w:lang w:val="es-ES" w:eastAsia="es-ES"/>
        </w:rPr>
        <w:tab/>
        <w:t>El Sistema contará con una opción de consulta que le permitirá al Operador de Cámara visualizar los errores que se hayan producido en el proceso de liberación y gestionar la corrección de los mismos.</w:t>
      </w:r>
    </w:p>
    <w:p w14:paraId="63F2C0E7" w14:textId="77777777" w:rsidR="007968EC" w:rsidRPr="002C0D19" w:rsidRDefault="007968EC" w:rsidP="007968EC">
      <w:pPr>
        <w:autoSpaceDE w:val="0"/>
        <w:autoSpaceDN w:val="0"/>
        <w:adjustRightInd w:val="0"/>
        <w:jc w:val="both"/>
        <w:rPr>
          <w:rFonts w:ascii="Arial Narrow" w:hAnsi="Arial Narrow" w:cs="Arial"/>
          <w:lang w:val="es-ES" w:eastAsia="es-ES"/>
        </w:rPr>
      </w:pPr>
    </w:p>
    <w:p w14:paraId="72DF4312" w14:textId="77777777" w:rsidR="007968EC" w:rsidRPr="002C0D19" w:rsidRDefault="007968EC" w:rsidP="007968EC">
      <w:pPr>
        <w:autoSpaceDE w:val="0"/>
        <w:autoSpaceDN w:val="0"/>
        <w:adjustRightInd w:val="0"/>
        <w:ind w:left="567" w:hanging="567"/>
        <w:jc w:val="both"/>
        <w:rPr>
          <w:rFonts w:ascii="Arial Narrow" w:hAnsi="Arial Narrow" w:cs="Arial"/>
          <w:lang w:val="es-ES" w:eastAsia="es-ES"/>
        </w:rPr>
      </w:pPr>
      <w:r w:rsidRPr="002C0D19">
        <w:rPr>
          <w:rFonts w:ascii="Arial Narrow" w:hAnsi="Arial Narrow" w:cs="Arial"/>
          <w:lang w:val="es-ES" w:eastAsia="es-ES"/>
        </w:rPr>
        <w:t xml:space="preserve">6. </w:t>
      </w:r>
      <w:r w:rsidRPr="002C0D19">
        <w:rPr>
          <w:rFonts w:ascii="Arial Narrow" w:hAnsi="Arial Narrow" w:cs="Arial"/>
          <w:lang w:val="es-ES" w:eastAsia="es-ES"/>
        </w:rPr>
        <w:tab/>
        <w:t>En caso de interrupción de la comunicación entre los sistemas de Deceval y el Sistema de la Cámara, esta última deberá ingresar, directamente el Sistema de Deceval, los datos correspondientes a la garantía a liberar para que quede a disposición del titular, y registrarla de forma manual sobre el Sistema de Cámara.</w:t>
      </w:r>
    </w:p>
    <w:p w14:paraId="7A1CEB9E" w14:textId="77777777" w:rsidR="007968EC" w:rsidRPr="002C0D19" w:rsidRDefault="007968EC" w:rsidP="007968EC">
      <w:pPr>
        <w:autoSpaceDE w:val="0"/>
        <w:autoSpaceDN w:val="0"/>
        <w:adjustRightInd w:val="0"/>
        <w:ind w:left="567" w:hanging="567"/>
        <w:jc w:val="both"/>
        <w:rPr>
          <w:rFonts w:ascii="Arial Narrow" w:hAnsi="Arial Narrow" w:cs="Arial"/>
          <w:lang w:val="es-ES" w:eastAsia="es-ES"/>
        </w:rPr>
      </w:pPr>
    </w:p>
    <w:p w14:paraId="428803C2" w14:textId="77777777" w:rsidR="007968EC" w:rsidRPr="002C0D19" w:rsidRDefault="007968EC" w:rsidP="007968EC">
      <w:pPr>
        <w:autoSpaceDE w:val="0"/>
        <w:autoSpaceDN w:val="0"/>
        <w:adjustRightInd w:val="0"/>
        <w:jc w:val="both"/>
        <w:rPr>
          <w:rFonts w:ascii="Arial Narrow" w:hAnsi="Arial Narrow"/>
          <w:color w:val="000000" w:themeColor="text1"/>
          <w:lang w:val="es-ES" w:eastAsia="es-ES"/>
        </w:rPr>
      </w:pPr>
      <w:r w:rsidRPr="002C0D19">
        <w:rPr>
          <w:rFonts w:ascii="Arial Narrow" w:hAnsi="Arial Narrow" w:cs="Arial"/>
          <w:b/>
          <w:lang w:val="es-ES_tradnl"/>
        </w:rPr>
        <w:t>Parágrafo</w:t>
      </w:r>
      <w:r w:rsidRPr="002C0D19">
        <w:rPr>
          <w:rFonts w:ascii="Arial Narrow" w:hAnsi="Arial Narrow" w:cs="Arial"/>
          <w:lang w:val="es-ES_tradnl"/>
        </w:rPr>
        <w:t>. La Cámara podrá definir procedimientos adicionales para la liberación de Garantías en un Segmento.</w:t>
      </w:r>
    </w:p>
    <w:p w14:paraId="770510F3" w14:textId="77777777" w:rsidR="007968EC" w:rsidRPr="002C0D19" w:rsidRDefault="007968EC" w:rsidP="007968EC">
      <w:pPr>
        <w:autoSpaceDE w:val="0"/>
        <w:autoSpaceDN w:val="0"/>
        <w:adjustRightInd w:val="0"/>
        <w:ind w:left="567" w:hanging="567"/>
        <w:jc w:val="both"/>
        <w:rPr>
          <w:rFonts w:ascii="Arial Narrow" w:hAnsi="Arial Narrow" w:cs="Arial"/>
          <w:color w:val="000000" w:themeColor="text1"/>
          <w:lang w:val="es-ES" w:eastAsia="es-ES"/>
        </w:rPr>
      </w:pPr>
    </w:p>
    <w:p w14:paraId="18683490" w14:textId="77777777" w:rsidR="007968EC" w:rsidRDefault="007968EC" w:rsidP="007968EC">
      <w:pPr>
        <w:pStyle w:val="ARTICULO0"/>
      </w:pPr>
      <w:bookmarkStart w:id="2238" w:name="_Toc472592163"/>
      <w:bookmarkStart w:id="2239" w:name="_Toc472593182"/>
      <w:bookmarkStart w:id="2240" w:name="_Toc479056968"/>
      <w:bookmarkStart w:id="2241" w:name="_Toc31715981"/>
      <w:bookmarkStart w:id="2242" w:name="_Toc470775483"/>
      <w:bookmarkStart w:id="2243" w:name="_Toc470779768"/>
      <w:bookmarkStart w:id="2244" w:name="_Toc470780385"/>
      <w:bookmarkStart w:id="2245" w:name="_Toc470780898"/>
      <w:bookmarkStart w:id="2246" w:name="_Toc470784459"/>
      <w:bookmarkStart w:id="2247" w:name="_Toc470784996"/>
      <w:bookmarkStart w:id="2248" w:name="_Toc470791382"/>
      <w:bookmarkStart w:id="2249" w:name="_Toc490066287"/>
      <w:r w:rsidRPr="002C0D19">
        <w:t>Artículo 1.6.4.7. Liberación de Garantías en DCV.</w:t>
      </w:r>
      <w:bookmarkEnd w:id="2238"/>
      <w:bookmarkEnd w:id="2239"/>
      <w:bookmarkEnd w:id="2240"/>
      <w:bookmarkEnd w:id="2241"/>
      <w:r w:rsidRPr="002C0D19">
        <w:t xml:space="preserve"> </w:t>
      </w:r>
    </w:p>
    <w:p w14:paraId="70B53C92" w14:textId="77777777" w:rsidR="007968EC" w:rsidRPr="003F5F9A" w:rsidRDefault="007968EC" w:rsidP="007968EC">
      <w:pPr>
        <w:jc w:val="both"/>
        <w:rPr>
          <w:rFonts w:ascii="Arial Narrow" w:hAnsi="Arial Narrow" w:cs="Arial"/>
          <w:color w:val="000000" w:themeColor="text1"/>
          <w:lang w:eastAsia="es-ES"/>
        </w:rPr>
      </w:pPr>
    </w:p>
    <w:p w14:paraId="73E19915" w14:textId="77777777" w:rsidR="007968EC" w:rsidRPr="002C0D19" w:rsidRDefault="007968EC" w:rsidP="007968EC">
      <w:pPr>
        <w:pStyle w:val="ANTECEDENTES"/>
        <w:rPr>
          <w:u w:val="single"/>
        </w:rPr>
      </w:pPr>
      <w:r w:rsidRPr="002C0D19">
        <w:t>(Este Artículo fue modificado mediante Circular 4 del 16 de marzo de 2012, publicada en el Boletín Normativo No. 004 del 16 de marzo de 2012, mediante Circular 7 del 26 de abril de 2012, publicada en el Boletín Normativo No. 007 del 26 de abril de 2012, mediante Circular 20 del 31 de octubre de 2012, publicada en el Boletín Normativo No. 020 del 31 de octubre de 2012, mediante Circular 5 del 12 de marzo de 2013, publicado en el Boletín Normativo No.006 del 12 de marzo de 2013</w:t>
      </w:r>
      <w:r>
        <w:t xml:space="preserve">, </w:t>
      </w:r>
      <w:r w:rsidRPr="002C0D19">
        <w:t>mediante Circular 018 del 9 de junio de 2015, publicado en el Boletín Normativo No.020 del 9 de junio de 2015</w:t>
      </w:r>
      <w:r>
        <w:t xml:space="preserve">, </w:t>
      </w:r>
      <w:r w:rsidRPr="002C0D19">
        <w:t>modificado mediante Circular 19 del 28 de diciembre de 2016, publicada en el Boletín Normativo No. 024 del 28 de diciembre de 2016</w:t>
      </w:r>
      <w:r>
        <w:t xml:space="preserve"> </w:t>
      </w:r>
      <w:bookmarkStart w:id="2250" w:name="_Hlk1748624"/>
      <w:r w:rsidRPr="0017718C">
        <w:t>y modificado mediante Circular 2 del 22 de febrero de 2019, publicada en el Boletín Normativo No. 007 del 22 de febrero de 2019. Rige a partir del 25 de febrero de 2019.)</w:t>
      </w:r>
      <w:bookmarkEnd w:id="2242"/>
      <w:bookmarkEnd w:id="2243"/>
      <w:bookmarkEnd w:id="2244"/>
      <w:bookmarkEnd w:id="2245"/>
      <w:bookmarkEnd w:id="2246"/>
      <w:bookmarkEnd w:id="2247"/>
      <w:bookmarkEnd w:id="2248"/>
      <w:bookmarkEnd w:id="2249"/>
    </w:p>
    <w:bookmarkEnd w:id="2250"/>
    <w:p w14:paraId="30BAB823" w14:textId="77777777" w:rsidR="007968EC" w:rsidRPr="00217BDE" w:rsidRDefault="007968EC" w:rsidP="007968EC">
      <w:pPr>
        <w:jc w:val="both"/>
        <w:rPr>
          <w:rFonts w:ascii="Arial Narrow" w:hAnsi="Arial Narrow" w:cs="Arial"/>
          <w:bCs/>
          <w:color w:val="000000" w:themeColor="text1"/>
          <w:lang w:val="es-ES" w:eastAsia="es-ES"/>
        </w:rPr>
      </w:pPr>
    </w:p>
    <w:p w14:paraId="0636D3C9"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La liberación de Garantías en títulos ubicados en DCV por parte de la Cámara se realiza a solicitud del Miembro a través de las firmas autorizadas designadas por el Usuario Administrador para gestión de Garantías, a través del Portal de la CRCC ingresando la correspondiente solicitud en el módulo Gestión </w:t>
      </w:r>
      <w:r w:rsidRPr="002C0D19">
        <w:rPr>
          <w:rFonts w:ascii="Arial Narrow" w:hAnsi="Arial Narrow" w:cs="Arial"/>
          <w:color w:val="000000" w:themeColor="text1"/>
          <w:lang w:val="es-ES" w:eastAsia="es-ES"/>
        </w:rPr>
        <w:lastRenderedPageBreak/>
        <w:t xml:space="preserve">Garantías. En caso de contingencia, las solicitudes serán recibidas por correo electrónico: garantiascrcc@camaraderiesgo.com.co, adjuntando el formato definido en el Anexo 30, o por Fax al número registrado en la página web de la Cámara </w:t>
      </w:r>
      <w:hyperlink r:id="rId9" w:history="1">
        <w:r w:rsidRPr="00941F18">
          <w:rPr>
            <w:rStyle w:val="Hipervnculo"/>
            <w:rFonts w:ascii="Arial Narrow" w:hAnsi="Arial Narrow" w:cs="Arial"/>
            <w:lang w:val="es-ES" w:eastAsia="es-ES"/>
          </w:rPr>
          <w:t>www.camaraderiesgo.com.co</w:t>
        </w:r>
      </w:hyperlink>
      <w:r w:rsidRPr="002C0D19">
        <w:rPr>
          <w:rFonts w:ascii="Arial Narrow" w:hAnsi="Arial Narrow" w:cs="Arial"/>
          <w:color w:val="000000" w:themeColor="text1"/>
          <w:lang w:val="es-ES" w:eastAsia="es-ES"/>
        </w:rPr>
        <w:t>.</w:t>
      </w:r>
      <w:r>
        <w:rPr>
          <w:rFonts w:ascii="Arial Narrow" w:hAnsi="Arial Narrow" w:cs="Arial"/>
          <w:color w:val="000000" w:themeColor="text1"/>
          <w:lang w:val="es-ES" w:eastAsia="es-ES"/>
        </w:rPr>
        <w:t xml:space="preserve"> </w:t>
      </w:r>
      <w:r w:rsidRPr="002C0D19">
        <w:rPr>
          <w:rFonts w:ascii="Arial Narrow" w:hAnsi="Arial Narrow" w:cs="Arial"/>
          <w:color w:val="000000" w:themeColor="text1"/>
          <w:lang w:val="es-ES" w:eastAsia="es-ES"/>
        </w:rPr>
        <w:t>El procedimiento de liberación de Garantías será el siguiente:</w:t>
      </w:r>
    </w:p>
    <w:p w14:paraId="00677AEC" w14:textId="77777777" w:rsidR="007968EC" w:rsidRPr="002C0D19" w:rsidRDefault="007968EC" w:rsidP="007968EC">
      <w:pPr>
        <w:autoSpaceDE w:val="0"/>
        <w:autoSpaceDN w:val="0"/>
        <w:adjustRightInd w:val="0"/>
        <w:jc w:val="both"/>
        <w:rPr>
          <w:rFonts w:ascii="Arial Narrow" w:hAnsi="Arial Narrow"/>
          <w:color w:val="000000" w:themeColor="text1"/>
          <w:lang w:val="es-ES" w:eastAsia="es-ES"/>
        </w:rPr>
      </w:pPr>
    </w:p>
    <w:p w14:paraId="1CE36C5B" w14:textId="77777777" w:rsidR="007968EC" w:rsidRPr="002C0D19" w:rsidRDefault="007968EC" w:rsidP="007968EC">
      <w:pPr>
        <w:autoSpaceDE w:val="0"/>
        <w:autoSpaceDN w:val="0"/>
        <w:adjustRightInd w:val="0"/>
        <w:ind w:left="567" w:hanging="567"/>
        <w:jc w:val="both"/>
        <w:rPr>
          <w:rFonts w:ascii="Arial Narrow" w:hAnsi="Arial Narrow"/>
          <w:color w:val="000000" w:themeColor="text1"/>
          <w:lang w:val="es-ES" w:eastAsia="es-ES"/>
        </w:rPr>
      </w:pPr>
      <w:r w:rsidRPr="002C0D19">
        <w:rPr>
          <w:rFonts w:ascii="Arial Narrow" w:hAnsi="Arial Narrow" w:cs="Arial"/>
          <w:color w:val="000000" w:themeColor="text1"/>
          <w:lang w:val="es-ES" w:eastAsia="es-ES"/>
        </w:rPr>
        <w:t xml:space="preserve">1. </w:t>
      </w:r>
      <w:r w:rsidRPr="002C0D19">
        <w:rPr>
          <w:rFonts w:ascii="Arial Narrow" w:hAnsi="Arial Narrow" w:cs="Arial"/>
          <w:color w:val="000000" w:themeColor="text1"/>
          <w:lang w:val="es-ES" w:eastAsia="es-ES"/>
        </w:rPr>
        <w:tab/>
      </w:r>
      <w:r w:rsidRPr="002C0D19">
        <w:rPr>
          <w:rFonts w:ascii="Arial Narrow" w:hAnsi="Arial Narrow"/>
          <w:color w:val="000000" w:themeColor="text1"/>
          <w:lang w:val="es-ES" w:eastAsia="es-ES"/>
        </w:rPr>
        <w:t>El Miembro que constituyó la garantía, deberá enviar a la Cámara la solicitud de liberación de garantías a través del Portal CRCC ingresando la misma en el submódulo “Solicitud Liberación Garantías”, el cual se encuentra en el módulo Gestión Garantías. Dicha solicitud de liberación deberá contener la aprobación del Miembro Liquidador en caso de tratarse de un Miembro no Liquidador.</w:t>
      </w:r>
    </w:p>
    <w:p w14:paraId="5BC09083" w14:textId="77777777" w:rsidR="007968EC" w:rsidRPr="002C0D19" w:rsidRDefault="007968EC" w:rsidP="007968EC">
      <w:pPr>
        <w:autoSpaceDE w:val="0"/>
        <w:autoSpaceDN w:val="0"/>
        <w:adjustRightInd w:val="0"/>
        <w:ind w:left="567" w:hanging="567"/>
        <w:jc w:val="both"/>
        <w:rPr>
          <w:rFonts w:ascii="Arial Narrow" w:hAnsi="Arial Narrow"/>
          <w:color w:val="000000" w:themeColor="text1"/>
          <w:lang w:val="es-ES" w:eastAsia="es-ES"/>
        </w:rPr>
      </w:pPr>
      <w:r>
        <w:rPr>
          <w:rFonts w:ascii="Arial Narrow" w:hAnsi="Arial Narrow"/>
          <w:color w:val="000000" w:themeColor="text1"/>
          <w:lang w:val="es-ES" w:eastAsia="es-ES"/>
        </w:rPr>
        <w:t xml:space="preserve"> </w:t>
      </w:r>
    </w:p>
    <w:p w14:paraId="0574D553" w14:textId="77777777" w:rsidR="007968EC" w:rsidRPr="002C0D19" w:rsidRDefault="007968EC" w:rsidP="007968EC">
      <w:pPr>
        <w:autoSpaceDE w:val="0"/>
        <w:autoSpaceDN w:val="0"/>
        <w:adjustRightInd w:val="0"/>
        <w:ind w:left="567" w:hanging="567"/>
        <w:jc w:val="both"/>
        <w:rPr>
          <w:rFonts w:ascii="Arial Narrow" w:hAnsi="Arial Narrow"/>
          <w:color w:val="000000" w:themeColor="text1"/>
          <w:lang w:val="es-ES" w:eastAsia="es-ES"/>
        </w:rPr>
      </w:pPr>
      <w:r w:rsidRPr="002C0D19">
        <w:rPr>
          <w:rFonts w:ascii="Arial Narrow" w:hAnsi="Arial Narrow"/>
          <w:color w:val="000000" w:themeColor="text1"/>
          <w:lang w:val="es-ES" w:eastAsia="es-ES"/>
        </w:rPr>
        <w:t xml:space="preserve">2. </w:t>
      </w:r>
      <w:r w:rsidRPr="002C0D19">
        <w:rPr>
          <w:rFonts w:ascii="Arial Narrow" w:hAnsi="Arial Narrow"/>
          <w:color w:val="000000" w:themeColor="text1"/>
          <w:lang w:val="es-ES" w:eastAsia="es-ES"/>
        </w:rPr>
        <w:tab/>
        <w:t>La Cámara verificará el estado de las Cuentas amparadas por cada titular (Miembro y/o Tercero Identificado) y determinará el exceso de Garantías.</w:t>
      </w:r>
    </w:p>
    <w:p w14:paraId="6E287B8F" w14:textId="77777777" w:rsidR="007968EC" w:rsidRPr="002C0D19" w:rsidRDefault="007968EC" w:rsidP="007968EC">
      <w:pPr>
        <w:autoSpaceDE w:val="0"/>
        <w:autoSpaceDN w:val="0"/>
        <w:adjustRightInd w:val="0"/>
        <w:jc w:val="both"/>
        <w:rPr>
          <w:rFonts w:ascii="Arial Narrow" w:hAnsi="Arial Narrow"/>
          <w:color w:val="000000" w:themeColor="text1"/>
          <w:lang w:val="es-ES" w:eastAsia="es-ES"/>
        </w:rPr>
      </w:pPr>
    </w:p>
    <w:p w14:paraId="221915D0" w14:textId="77777777" w:rsidR="007968EC" w:rsidRPr="002C0D19" w:rsidRDefault="007968EC" w:rsidP="007968EC">
      <w:pPr>
        <w:autoSpaceDE w:val="0"/>
        <w:autoSpaceDN w:val="0"/>
        <w:adjustRightInd w:val="0"/>
        <w:ind w:left="567" w:hanging="567"/>
        <w:jc w:val="both"/>
        <w:rPr>
          <w:rFonts w:ascii="Arial Narrow" w:hAnsi="Arial Narrow"/>
          <w:color w:val="000000" w:themeColor="text1"/>
          <w:lang w:val="es-ES" w:eastAsia="es-ES"/>
        </w:rPr>
      </w:pPr>
      <w:r w:rsidRPr="002C0D19">
        <w:rPr>
          <w:rFonts w:ascii="Arial Narrow" w:hAnsi="Arial Narrow"/>
          <w:color w:val="000000" w:themeColor="text1"/>
          <w:lang w:val="es-ES" w:eastAsia="es-ES"/>
        </w:rPr>
        <w:t xml:space="preserve">3. </w:t>
      </w:r>
      <w:r w:rsidRPr="002C0D19">
        <w:rPr>
          <w:rFonts w:ascii="Arial Narrow" w:hAnsi="Arial Narrow"/>
          <w:color w:val="000000" w:themeColor="text1"/>
          <w:lang w:val="es-ES" w:eastAsia="es-ES"/>
        </w:rPr>
        <w:tab/>
        <w:t>La Cámara identificará y marcará los registros que quiere liberar al tiempo que determinará el monto a liberar y generará un reporte de peticiones de liberación para replicar la acción sobre el aplicativo del DCV.</w:t>
      </w:r>
    </w:p>
    <w:p w14:paraId="37667F97" w14:textId="77777777" w:rsidR="007968EC" w:rsidRPr="002C0D19" w:rsidRDefault="007968EC" w:rsidP="007968EC">
      <w:pPr>
        <w:autoSpaceDE w:val="0"/>
        <w:autoSpaceDN w:val="0"/>
        <w:adjustRightInd w:val="0"/>
        <w:jc w:val="both"/>
        <w:rPr>
          <w:rFonts w:ascii="Arial Narrow" w:hAnsi="Arial Narrow"/>
          <w:color w:val="000000" w:themeColor="text1"/>
          <w:lang w:val="es-ES" w:eastAsia="es-ES"/>
        </w:rPr>
      </w:pPr>
    </w:p>
    <w:p w14:paraId="72399214" w14:textId="77777777" w:rsidR="007968EC" w:rsidRDefault="007968EC" w:rsidP="007968EC">
      <w:pPr>
        <w:ind w:left="567" w:hanging="567"/>
        <w:jc w:val="both"/>
        <w:rPr>
          <w:rFonts w:ascii="Arial Narrow" w:hAnsi="Arial Narrow"/>
          <w:color w:val="000000" w:themeColor="text1"/>
          <w:lang w:val="es-ES" w:eastAsia="es-ES"/>
        </w:rPr>
      </w:pPr>
      <w:r w:rsidRPr="002C0D19">
        <w:rPr>
          <w:rFonts w:ascii="Arial Narrow" w:hAnsi="Arial Narrow"/>
          <w:color w:val="000000" w:themeColor="text1"/>
          <w:lang w:val="es-ES" w:eastAsia="es-ES"/>
        </w:rPr>
        <w:t xml:space="preserve">4. </w:t>
      </w:r>
      <w:r w:rsidRPr="002C0D19">
        <w:rPr>
          <w:rFonts w:ascii="Arial Narrow" w:hAnsi="Arial Narrow"/>
          <w:color w:val="000000" w:themeColor="text1"/>
          <w:lang w:val="es-ES" w:eastAsia="es-ES"/>
        </w:rPr>
        <w:tab/>
        <w:t>La Cámara ingresará al aplicativo del DCV y realizará la solicitud de liberación de cada registro.</w:t>
      </w:r>
    </w:p>
    <w:p w14:paraId="25A5FB62" w14:textId="77777777" w:rsidR="007968EC" w:rsidRPr="002C0D19" w:rsidRDefault="007968EC" w:rsidP="007968EC">
      <w:pPr>
        <w:ind w:left="567" w:hanging="567"/>
        <w:jc w:val="both"/>
        <w:rPr>
          <w:rFonts w:ascii="Arial Narrow" w:hAnsi="Arial Narrow" w:cs="Arial"/>
          <w:color w:val="000000" w:themeColor="text1"/>
          <w:lang w:val="es-ES" w:eastAsia="es-ES"/>
        </w:rPr>
      </w:pPr>
    </w:p>
    <w:p w14:paraId="6BA9AAA7" w14:textId="77777777" w:rsidR="007968EC" w:rsidRPr="002C0D19" w:rsidRDefault="007968EC" w:rsidP="007968EC">
      <w:pPr>
        <w:jc w:val="both"/>
        <w:rPr>
          <w:rFonts w:ascii="Arial Narrow" w:hAnsi="Arial Narrow" w:cs="Arial"/>
          <w:b/>
          <w:color w:val="000000" w:themeColor="text1"/>
          <w:lang w:val="es-ES" w:eastAsia="es-ES"/>
        </w:rPr>
      </w:pPr>
      <w:r w:rsidRPr="0017718C">
        <w:rPr>
          <w:rFonts w:ascii="Arial Narrow" w:hAnsi="Arial Narrow" w:cs="Arial"/>
          <w:b/>
          <w:color w:val="000000" w:themeColor="text1"/>
          <w:lang w:val="es-ES" w:eastAsia="es-ES"/>
        </w:rPr>
        <w:t xml:space="preserve">Parágrafo: </w:t>
      </w:r>
      <w:r w:rsidRPr="00B62A82">
        <w:rPr>
          <w:rFonts w:ascii="Arial Narrow" w:hAnsi="Arial Narrow" w:cs="Arial"/>
          <w:color w:val="000000" w:themeColor="text1"/>
          <w:lang w:val="es-ES" w:eastAsia="es-ES"/>
        </w:rPr>
        <w:t>La Cámara liberará, sin que se requiera previa solicitud del Miembro, las Garantías constituidas en títulos ubicados en DCV con dos (2) días hábiles de antelación a su fecha de vencimiento y solicitará al Miembro, en caso de requerirse, la sustitución de Garantías por vencimiento de los títulos entregados en Garantía.</w:t>
      </w:r>
      <w:r w:rsidRPr="00B62A82">
        <w:rPr>
          <w:rFonts w:ascii="Arial Narrow" w:hAnsi="Arial Narrow" w:cs="Arial"/>
          <w:color w:val="000000" w:themeColor="text1"/>
          <w:lang w:val="es-ES" w:eastAsia="es-ES"/>
        </w:rPr>
        <w:cr/>
      </w:r>
    </w:p>
    <w:p w14:paraId="6704B084" w14:textId="77777777" w:rsidR="007968EC" w:rsidRDefault="007968EC" w:rsidP="007968EC">
      <w:pPr>
        <w:keepNext/>
        <w:tabs>
          <w:tab w:val="left" w:pos="1701"/>
        </w:tabs>
        <w:jc w:val="both"/>
        <w:outlineLvl w:val="2"/>
        <w:rPr>
          <w:rFonts w:ascii="Arial Narrow" w:hAnsi="Arial Narrow" w:cs="Arial"/>
          <w:b/>
          <w:i/>
          <w:color w:val="000000" w:themeColor="text1"/>
          <w:lang w:val="es-ES_tradnl"/>
        </w:rPr>
      </w:pPr>
      <w:bookmarkStart w:id="2251" w:name="_Toc472592164"/>
      <w:bookmarkStart w:id="2252" w:name="_Toc472593183"/>
      <w:bookmarkStart w:id="2253" w:name="_Toc479056969"/>
      <w:bookmarkStart w:id="2254" w:name="_Toc31715982"/>
      <w:bookmarkStart w:id="2255" w:name="_Toc470775484"/>
      <w:bookmarkStart w:id="2256" w:name="_Toc470779769"/>
      <w:bookmarkStart w:id="2257" w:name="_Toc470780386"/>
      <w:bookmarkStart w:id="2258" w:name="_Toc470780899"/>
      <w:bookmarkStart w:id="2259" w:name="_Toc470784460"/>
      <w:bookmarkStart w:id="2260" w:name="_Toc470784997"/>
      <w:bookmarkStart w:id="2261" w:name="_Toc470791383"/>
      <w:bookmarkStart w:id="2262" w:name="_Toc490066288"/>
      <w:r>
        <w:rPr>
          <w:rStyle w:val="ARTICULOCar"/>
          <w:rFonts w:eastAsiaTheme="minorHAnsi"/>
        </w:rPr>
        <w:t xml:space="preserve">Artículo 1.6.4.8. </w:t>
      </w:r>
      <w:r w:rsidRPr="003F5F9A">
        <w:rPr>
          <w:rStyle w:val="ARTICULOCar"/>
          <w:rFonts w:eastAsiaTheme="minorHAnsi"/>
        </w:rPr>
        <w:t>Liberación de Garantías en efectivo en CUD</w:t>
      </w:r>
      <w:bookmarkEnd w:id="2251"/>
      <w:bookmarkEnd w:id="2252"/>
      <w:bookmarkEnd w:id="2253"/>
      <w:bookmarkEnd w:id="2254"/>
      <w:r w:rsidRPr="002C0D19">
        <w:rPr>
          <w:rFonts w:ascii="Arial Narrow" w:hAnsi="Arial Narrow" w:cs="Arial"/>
          <w:b/>
          <w:color w:val="000000" w:themeColor="text1"/>
          <w:u w:val="single"/>
          <w:lang w:eastAsia="es-ES"/>
        </w:rPr>
        <w:t>.</w:t>
      </w:r>
      <w:r w:rsidRPr="002C0D19">
        <w:rPr>
          <w:rFonts w:ascii="Arial Narrow" w:hAnsi="Arial Narrow" w:cs="Arial"/>
          <w:b/>
          <w:i/>
          <w:color w:val="000000" w:themeColor="text1"/>
          <w:lang w:val="es-ES_tradnl"/>
        </w:rPr>
        <w:t xml:space="preserve"> </w:t>
      </w:r>
    </w:p>
    <w:p w14:paraId="39F4AEDD" w14:textId="77777777" w:rsidR="007968EC" w:rsidRPr="003F5F9A" w:rsidRDefault="007968EC" w:rsidP="007968EC">
      <w:pPr>
        <w:jc w:val="both"/>
        <w:rPr>
          <w:rFonts w:ascii="Arial Narrow" w:hAnsi="Arial Narrow" w:cs="Arial"/>
          <w:color w:val="000000" w:themeColor="text1"/>
          <w:lang w:eastAsia="es-ES"/>
        </w:rPr>
      </w:pPr>
    </w:p>
    <w:p w14:paraId="7AE5383C" w14:textId="77777777" w:rsidR="007968EC" w:rsidRPr="002C0D19" w:rsidRDefault="007968EC" w:rsidP="007968EC">
      <w:pPr>
        <w:pStyle w:val="ANTECEDENTES"/>
        <w:rPr>
          <w:u w:val="single"/>
        </w:rPr>
      </w:pPr>
      <w:r w:rsidRPr="002C0D19">
        <w:t xml:space="preserve">(Este artículo fue modificado mediante Circular 4 del 16 de marzo de 2012, publicada en el Boletín Normativo No. 004 del 16 de marzo de 2012, mediante Circular 20 del 31 de octubre de 2012, publicada en el Boletín Normativo No. 020 del 31 de octubre de 2012, mediante Circular 5 del 12 de marzo de 2013, publicado en el Boletín Normativo </w:t>
      </w:r>
      <w:r>
        <w:t>No.006 del 12 de marzo de 2013,</w:t>
      </w:r>
      <w:r w:rsidRPr="002C0D19">
        <w:t xml:space="preserve"> mediante Circular 12 del 4 de julio de 2014, publicada en el Boletín Normativo No. 014 del 4 de julio de 2014, mediante Circular 22 del 14 de noviembre de 2014, publicada en el Boletín Normativo No. 0</w:t>
      </w:r>
      <w:r>
        <w:t>25 del 14 de noviembre de 2014,</w:t>
      </w:r>
      <w:r w:rsidRPr="002C0D19">
        <w:t xml:space="preserve"> mediante Circular 018 del 9 de junio de 2015, publicado en el Boletín Normativo</w:t>
      </w:r>
      <w:r>
        <w:t xml:space="preserve"> No.020 del 9 de junio de 2015,</w:t>
      </w:r>
      <w:r w:rsidRPr="002C0D19">
        <w:t xml:space="preserve"> mediante Circular 19 del 28 de diciembre de 2016, publicada en el Boletín Normativo No. 024 del 28 de diciembre de 2016</w:t>
      </w:r>
      <w:r>
        <w:t xml:space="preserve"> y mediante Circular 7 del 9 de mayo de 2018, publicada en el Boletín Normativo No. 010 del 9 de mayo de 2018</w:t>
      </w:r>
      <w:r w:rsidRPr="002C0D19">
        <w:t>. Rige a partir del 2</w:t>
      </w:r>
      <w:r>
        <w:t>1</w:t>
      </w:r>
      <w:r w:rsidRPr="002C0D19">
        <w:t xml:space="preserve"> de </w:t>
      </w:r>
      <w:r>
        <w:t>mayo de 2018</w:t>
      </w:r>
      <w:r w:rsidRPr="002C0D19">
        <w:t>.)</w:t>
      </w:r>
      <w:bookmarkEnd w:id="2255"/>
      <w:bookmarkEnd w:id="2256"/>
      <w:bookmarkEnd w:id="2257"/>
      <w:bookmarkEnd w:id="2258"/>
      <w:bookmarkEnd w:id="2259"/>
      <w:bookmarkEnd w:id="2260"/>
      <w:bookmarkEnd w:id="2261"/>
      <w:bookmarkEnd w:id="2262"/>
    </w:p>
    <w:p w14:paraId="46AB61D6" w14:textId="77777777" w:rsidR="007968EC" w:rsidRPr="002C0D19" w:rsidRDefault="007968EC" w:rsidP="007968EC">
      <w:pPr>
        <w:widowControl w:val="0"/>
        <w:jc w:val="both"/>
        <w:rPr>
          <w:rFonts w:ascii="Arial Narrow" w:hAnsi="Arial Narrow" w:cs="Arial"/>
          <w:color w:val="000000" w:themeColor="text1"/>
          <w:lang w:val="es-ES_tradnl"/>
        </w:rPr>
      </w:pPr>
    </w:p>
    <w:p w14:paraId="37D53B50" w14:textId="77777777" w:rsidR="007968EC" w:rsidRPr="00BD2B9E" w:rsidRDefault="007968EC" w:rsidP="007968EC">
      <w:pPr>
        <w:widowControl w:val="0"/>
        <w:jc w:val="both"/>
        <w:rPr>
          <w:rFonts w:ascii="Arial Narrow" w:hAnsi="Arial Narrow" w:cs="Arial"/>
          <w:color w:val="000000" w:themeColor="text1"/>
          <w:lang w:val="es-ES_tradnl"/>
        </w:rPr>
      </w:pPr>
      <w:r w:rsidRPr="00BD2B9E">
        <w:rPr>
          <w:rFonts w:ascii="Arial Narrow" w:hAnsi="Arial Narrow" w:cs="Arial"/>
          <w:color w:val="000000" w:themeColor="text1"/>
          <w:lang w:val="es-ES_tradnl"/>
        </w:rPr>
        <w:t xml:space="preserve">La liberación de las garantías constituidas en efectivo, asignadas o no a alguna Cuenta, se realiza por parte de la Cámara a solicitud del Miembro Liquidador a través de las firmas autorizadas designadas por el Usuario Administrador para gestión de Garantías, quien deberá a través del Portal CRCC ingresar la correspondiente solicitud de liberación en el módulo Gestión Garantías. En caso de contingencia las solicitudes serán recibidas por correo electrónico a: garantiascrcc@camaraderiesgo.com.co, adjuntando el formato definido en el Anexo 30, o por Fax al número registrado en la página web de la Cámara www.camaraderiesgo.com.co. </w:t>
      </w:r>
      <w:r w:rsidRPr="00BD2B9E">
        <w:rPr>
          <w:rFonts w:ascii="Arial Narrow" w:hAnsi="Arial Narrow" w:cs="Arial"/>
          <w:color w:val="000000" w:themeColor="text1"/>
          <w:lang w:val="es-ES_tradnl"/>
        </w:rPr>
        <w:lastRenderedPageBreak/>
        <w:t>En la solicitud de liberación de garantías se deberá informar el Código del Miembro, el tipo de garantía a liberar, el monto solicitado y el Código de la Cuenta de donde quiere liberar dicho monto. En caso de contingencia, las solicitudes serán recibidas por Fax al número registrado en la página web de la Cámara www.camaraderiesgo.com.co.</w:t>
      </w:r>
    </w:p>
    <w:p w14:paraId="0A514D79" w14:textId="77777777" w:rsidR="007968EC" w:rsidRPr="00BD2B9E" w:rsidRDefault="007968EC" w:rsidP="007968EC">
      <w:pPr>
        <w:widowControl w:val="0"/>
        <w:jc w:val="both"/>
        <w:rPr>
          <w:rFonts w:ascii="Arial Narrow" w:hAnsi="Arial Narrow" w:cs="Arial"/>
          <w:color w:val="000000" w:themeColor="text1"/>
        </w:rPr>
      </w:pPr>
    </w:p>
    <w:p w14:paraId="6C15D387" w14:textId="77777777" w:rsidR="007968EC" w:rsidRPr="002C0D19" w:rsidRDefault="007968EC" w:rsidP="007968EC">
      <w:pPr>
        <w:widowControl w:val="0"/>
        <w:jc w:val="both"/>
        <w:rPr>
          <w:rFonts w:ascii="Arial Narrow" w:hAnsi="Arial Narrow" w:cs="Arial"/>
          <w:color w:val="000000" w:themeColor="text1"/>
          <w:lang w:eastAsia="es-ES"/>
        </w:rPr>
      </w:pPr>
      <w:r w:rsidRPr="00BD2B9E">
        <w:rPr>
          <w:rFonts w:ascii="Arial Narrow" w:hAnsi="Arial Narrow" w:cs="Arial"/>
          <w:color w:val="000000" w:themeColor="text1"/>
          <w:lang w:eastAsia="es-ES"/>
        </w:rPr>
        <w:t>Los montos de Garantías que al cierre de una sesión hayan sido debitados automáticamente por el Sistema de Cámara de la cuenta CUD del Miembro Liquidador, por concepto de ajustes o petición de garantías de acuerdo al Tipo de Liquidación aplicable, con el fin de mitigar el riesgo de alguna de sus Cuentas o de las Cuentas de sus Miembros no Liquidadores y que ya no estén siendo utilizados para tal fin y por esta razón constituyan un exceso de Garantías serán abonados de manera automática en la Sesión de Liquidación Diaria del día siguiente, por el Sistema de Cámara a la cuenta CUD de la cual el Miembro Liquidador es titular, siempre y cuando estas garantías no se encuentren invertidas en los términos del artículo 1.6.4.13. de la Circular.</w:t>
      </w:r>
    </w:p>
    <w:p w14:paraId="1C60C134" w14:textId="77777777" w:rsidR="007968EC" w:rsidRPr="002C0D19" w:rsidRDefault="007968EC" w:rsidP="007968EC">
      <w:pPr>
        <w:widowControl w:val="0"/>
        <w:jc w:val="both"/>
        <w:rPr>
          <w:rFonts w:ascii="Arial Narrow" w:hAnsi="Arial Narrow" w:cs="Arial"/>
          <w:color w:val="000000" w:themeColor="text1"/>
        </w:rPr>
      </w:pPr>
    </w:p>
    <w:p w14:paraId="46E0B5BE" w14:textId="77777777" w:rsidR="007968EC" w:rsidRDefault="007968EC" w:rsidP="007968EC">
      <w:pPr>
        <w:pStyle w:val="ARTICULO0"/>
        <w:rPr>
          <w:i/>
        </w:rPr>
      </w:pPr>
      <w:bookmarkStart w:id="2263" w:name="_Toc472592165"/>
      <w:bookmarkStart w:id="2264" w:name="_Toc472593184"/>
      <w:bookmarkStart w:id="2265" w:name="_Toc479056970"/>
      <w:bookmarkStart w:id="2266" w:name="_Toc31715983"/>
      <w:bookmarkStart w:id="2267" w:name="_Toc470775485"/>
      <w:bookmarkStart w:id="2268" w:name="_Toc470779770"/>
      <w:bookmarkStart w:id="2269" w:name="_Toc470780387"/>
      <w:bookmarkStart w:id="2270" w:name="_Toc470780900"/>
      <w:bookmarkStart w:id="2271" w:name="_Toc470784461"/>
      <w:bookmarkStart w:id="2272" w:name="_Toc470784998"/>
      <w:bookmarkStart w:id="2273" w:name="_Toc470791384"/>
      <w:bookmarkStart w:id="2274" w:name="_Toc490066289"/>
      <w:r>
        <w:t xml:space="preserve">Artículo 1.6.4.9. </w:t>
      </w:r>
      <w:r w:rsidRPr="002C0D19">
        <w:t>Sustitución de Garantías.</w:t>
      </w:r>
      <w:bookmarkEnd w:id="2263"/>
      <w:bookmarkEnd w:id="2264"/>
      <w:bookmarkEnd w:id="2265"/>
      <w:bookmarkEnd w:id="2266"/>
      <w:r w:rsidRPr="002C0D19">
        <w:rPr>
          <w:i/>
        </w:rPr>
        <w:t xml:space="preserve"> </w:t>
      </w:r>
    </w:p>
    <w:p w14:paraId="35A9094C" w14:textId="77777777" w:rsidR="007968EC" w:rsidRDefault="007968EC" w:rsidP="00074A74">
      <w:pPr>
        <w:pStyle w:val="Ttulo0"/>
      </w:pPr>
    </w:p>
    <w:p w14:paraId="30D68931" w14:textId="77777777" w:rsidR="007968EC" w:rsidRPr="002C0D19" w:rsidRDefault="007968EC" w:rsidP="007968EC">
      <w:pPr>
        <w:pStyle w:val="ANTECEDENTES"/>
        <w:rPr>
          <w:u w:val="single"/>
        </w:rPr>
      </w:pPr>
      <w:r w:rsidRPr="002C0D19">
        <w:t>(Este artículo fue renumerado mediante Circular 19 del 28 de diciembre de 2016, publicada en el Boletín Normativo No. 024 del 28 de diciembre de 2016. Rige a partir del 29 de diciembre de 2016.)</w:t>
      </w:r>
      <w:bookmarkEnd w:id="2267"/>
      <w:bookmarkEnd w:id="2268"/>
      <w:bookmarkEnd w:id="2269"/>
      <w:bookmarkEnd w:id="2270"/>
      <w:bookmarkEnd w:id="2271"/>
      <w:bookmarkEnd w:id="2272"/>
      <w:bookmarkEnd w:id="2273"/>
      <w:bookmarkEnd w:id="2274"/>
    </w:p>
    <w:p w14:paraId="3159FBD0" w14:textId="77777777" w:rsidR="007968EC" w:rsidRPr="002C0D19" w:rsidRDefault="007968EC" w:rsidP="007968EC">
      <w:pPr>
        <w:widowControl w:val="0"/>
        <w:jc w:val="both"/>
        <w:rPr>
          <w:rFonts w:ascii="Arial Narrow" w:hAnsi="Arial Narrow" w:cs="Arial"/>
          <w:color w:val="000000" w:themeColor="text1"/>
          <w:lang w:val="es-ES"/>
        </w:rPr>
      </w:pPr>
    </w:p>
    <w:p w14:paraId="641E1A53" w14:textId="77777777" w:rsidR="007968EC" w:rsidRPr="002C0D19" w:rsidRDefault="007968EC" w:rsidP="007968EC">
      <w:pPr>
        <w:widowControl w:val="0"/>
        <w:jc w:val="both"/>
        <w:rPr>
          <w:rFonts w:ascii="Arial Narrow" w:hAnsi="Arial Narrow" w:cs="Arial"/>
          <w:color w:val="000000" w:themeColor="text1"/>
          <w:lang w:val="es-ES_tradnl"/>
        </w:rPr>
      </w:pPr>
      <w:r w:rsidRPr="002C0D19">
        <w:rPr>
          <w:rFonts w:ascii="Arial Narrow" w:hAnsi="Arial Narrow" w:cs="Arial"/>
          <w:color w:val="000000" w:themeColor="text1"/>
          <w:lang w:val="es-ES_tradnl"/>
        </w:rPr>
        <w:t xml:space="preserve">Cuando el Miembro desee realizar la sustitución de una Garantía constituida y entregada, deberá </w:t>
      </w:r>
      <w:proofErr w:type="gramStart"/>
      <w:r w:rsidRPr="002C0D19">
        <w:rPr>
          <w:rFonts w:ascii="Arial Narrow" w:hAnsi="Arial Narrow" w:cs="Arial"/>
          <w:color w:val="000000" w:themeColor="text1"/>
          <w:lang w:val="es-ES_tradnl"/>
        </w:rPr>
        <w:t>proceder a constituir</w:t>
      </w:r>
      <w:proofErr w:type="gramEnd"/>
      <w:r w:rsidRPr="002C0D19">
        <w:rPr>
          <w:rFonts w:ascii="Arial Narrow" w:hAnsi="Arial Narrow" w:cs="Arial"/>
          <w:color w:val="000000" w:themeColor="text1"/>
          <w:lang w:val="es-ES_tradnl"/>
        </w:rPr>
        <w:t xml:space="preserve"> la Garantía con la cual pretende realizar la sustitución, en el depósito en el que se encuentre ubicado el título. Una vez recibida la información del depósito, se dará trámite al proceso de liberación por parte de la Cámara. Los procedimientos de constitución y liberación de las Garantías deberán atender los procedimientos descritos en la presente Circular.</w:t>
      </w:r>
    </w:p>
    <w:p w14:paraId="71E4D218" w14:textId="77777777" w:rsidR="007968EC" w:rsidRPr="002C0D19" w:rsidRDefault="007968EC" w:rsidP="007968EC">
      <w:pPr>
        <w:widowControl w:val="0"/>
        <w:jc w:val="both"/>
        <w:rPr>
          <w:rFonts w:ascii="Arial Narrow" w:hAnsi="Arial Narrow" w:cs="Arial"/>
          <w:color w:val="000000" w:themeColor="text1"/>
          <w:lang w:val="es-ES_tradnl"/>
        </w:rPr>
      </w:pPr>
    </w:p>
    <w:p w14:paraId="725CCACB" w14:textId="77777777" w:rsidR="007968EC" w:rsidRDefault="007968EC" w:rsidP="007968EC">
      <w:pPr>
        <w:pStyle w:val="ARTICULO0"/>
      </w:pPr>
      <w:bookmarkStart w:id="2275" w:name="_Toc472592166"/>
      <w:bookmarkStart w:id="2276" w:name="_Toc472593185"/>
      <w:bookmarkStart w:id="2277" w:name="_Toc479056971"/>
      <w:bookmarkStart w:id="2278" w:name="_Toc31715984"/>
      <w:bookmarkStart w:id="2279" w:name="_Toc470775486"/>
      <w:bookmarkStart w:id="2280" w:name="_Toc470779771"/>
      <w:bookmarkStart w:id="2281" w:name="_Toc470780388"/>
      <w:bookmarkStart w:id="2282" w:name="_Toc470780901"/>
      <w:bookmarkStart w:id="2283" w:name="_Toc470784462"/>
      <w:bookmarkStart w:id="2284" w:name="_Toc470784999"/>
      <w:bookmarkStart w:id="2285" w:name="_Toc470791385"/>
      <w:bookmarkStart w:id="2286" w:name="_Toc490066290"/>
      <w:r>
        <w:t xml:space="preserve">Artículo 1.6.4.10. </w:t>
      </w:r>
      <w:r w:rsidRPr="002C0D19">
        <w:t>Reglas generales de valoración de Garantías.</w:t>
      </w:r>
      <w:bookmarkEnd w:id="2275"/>
      <w:bookmarkEnd w:id="2276"/>
      <w:bookmarkEnd w:id="2277"/>
      <w:bookmarkEnd w:id="2278"/>
      <w:r w:rsidRPr="002C0D19">
        <w:t xml:space="preserve"> </w:t>
      </w:r>
    </w:p>
    <w:p w14:paraId="6CDCB31F" w14:textId="77777777" w:rsidR="007968EC" w:rsidRPr="003F5F9A" w:rsidRDefault="007968EC" w:rsidP="007968EC">
      <w:pPr>
        <w:jc w:val="both"/>
        <w:rPr>
          <w:rFonts w:ascii="Arial Narrow" w:hAnsi="Arial Narrow" w:cs="Arial"/>
          <w:color w:val="000000" w:themeColor="text1"/>
          <w:lang w:eastAsia="es-ES"/>
        </w:rPr>
      </w:pPr>
    </w:p>
    <w:p w14:paraId="69D0A352" w14:textId="77777777" w:rsidR="007968EC" w:rsidRPr="002C0D19" w:rsidRDefault="007968EC" w:rsidP="007968EC">
      <w:pPr>
        <w:pStyle w:val="ANTECEDENTES"/>
      </w:pPr>
      <w:r w:rsidRPr="002C0D19">
        <w:rPr>
          <w:lang w:val="es-ES_tradnl"/>
        </w:rPr>
        <w:t xml:space="preserve">(Este artículo fue modificado mediante </w:t>
      </w:r>
      <w:r w:rsidRPr="002C0D19">
        <w:t xml:space="preserve">Circular 4 del 1 de marzo de 2013, publicada en el Boletín Normativo No. 005 del 1 de marzo de 2013. Rige a partir del 4 de marzo de 2013 y renumerado mediante </w:t>
      </w:r>
      <w:r w:rsidRPr="002C0D19">
        <w:rPr>
          <w:lang w:val="es-ES"/>
        </w:rPr>
        <w:t xml:space="preserve">Circular 19 del 28 de diciembre de 2016, publicada en el Boletín Normativo No. 024 del 28 de diciembre de 2016. </w:t>
      </w:r>
      <w:r w:rsidRPr="002C0D19">
        <w:t>Rige a partir del 29 de diciembre de 2016.</w:t>
      </w:r>
      <w:r w:rsidRPr="002C0D19">
        <w:rPr>
          <w:lang w:val="es-ES"/>
        </w:rPr>
        <w:t>)</w:t>
      </w:r>
      <w:bookmarkEnd w:id="2279"/>
      <w:bookmarkEnd w:id="2280"/>
      <w:bookmarkEnd w:id="2281"/>
      <w:bookmarkEnd w:id="2282"/>
      <w:bookmarkEnd w:id="2283"/>
      <w:bookmarkEnd w:id="2284"/>
      <w:bookmarkEnd w:id="2285"/>
      <w:bookmarkEnd w:id="2286"/>
    </w:p>
    <w:p w14:paraId="041672C2" w14:textId="77777777" w:rsidR="007968EC" w:rsidRPr="002C0D19" w:rsidRDefault="007968EC" w:rsidP="007968EC">
      <w:pPr>
        <w:rPr>
          <w:rFonts w:ascii="Arial Narrow" w:hAnsi="Arial Narrow" w:cs="Arial"/>
          <w:b/>
          <w:color w:val="000000" w:themeColor="text1"/>
          <w:lang w:eastAsia="es-ES"/>
        </w:rPr>
      </w:pPr>
    </w:p>
    <w:p w14:paraId="6C3D3A84"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La Cámara aplicará las siguientes reglas generales para valoración de Garantías:</w:t>
      </w:r>
    </w:p>
    <w:p w14:paraId="03FAC315"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461AAA1C" w14:textId="77777777" w:rsidR="007968EC" w:rsidRPr="002C0D19" w:rsidRDefault="007968EC" w:rsidP="00DA7472">
      <w:pPr>
        <w:widowControl w:val="0"/>
        <w:numPr>
          <w:ilvl w:val="0"/>
          <w:numId w:val="78"/>
        </w:numPr>
        <w:tabs>
          <w:tab w:val="num" w:pos="483"/>
        </w:tabs>
        <w:ind w:left="483" w:hanging="483"/>
        <w:jc w:val="both"/>
        <w:rPr>
          <w:rFonts w:ascii="Arial Narrow" w:hAnsi="Arial Narrow" w:cs="Arial"/>
          <w:color w:val="000000" w:themeColor="text1"/>
          <w:lang w:val="es-ES_tradnl"/>
        </w:rPr>
      </w:pPr>
      <w:r w:rsidRPr="002C0D19">
        <w:rPr>
          <w:rFonts w:ascii="Arial Narrow" w:hAnsi="Arial Narrow" w:cs="Arial"/>
          <w:color w:val="000000" w:themeColor="text1"/>
          <w:lang w:val="es-ES_tradnl"/>
        </w:rPr>
        <w:t>Los títulos para los cuales sea posible calcular tasas de descuento utilizarán la información de tasas de referencia, márgenes e índices calculada y publicada por el Proveedor Oficial de Precios para Valoración para la fecha de la sesión durante el cierre de día. Los títulos para los cuales no sea posible calcular tasas de descuento se valorarán utilizando el precio publicado para el día hábil anterior.</w:t>
      </w:r>
    </w:p>
    <w:p w14:paraId="07FCD7D5"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09F0A9D3" w14:textId="77777777" w:rsidR="007968EC" w:rsidRPr="002C0D19" w:rsidRDefault="007968EC" w:rsidP="00DA7472">
      <w:pPr>
        <w:widowControl w:val="0"/>
        <w:numPr>
          <w:ilvl w:val="0"/>
          <w:numId w:val="78"/>
        </w:numPr>
        <w:tabs>
          <w:tab w:val="num" w:pos="483"/>
        </w:tabs>
        <w:ind w:left="483" w:hanging="483"/>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La información del valor de monedas, unidades, tasas e índices será el vigente para la fecha de valoración igual a la fecha de sesión o el último vigente si no se ha publicado el correspondiente a la fecha de valoración.</w:t>
      </w:r>
    </w:p>
    <w:p w14:paraId="70AFB3E7" w14:textId="77777777" w:rsidR="007968EC" w:rsidRPr="002C0D19" w:rsidRDefault="007968EC" w:rsidP="007968EC">
      <w:pPr>
        <w:tabs>
          <w:tab w:val="num" w:pos="480"/>
        </w:tabs>
        <w:autoSpaceDE w:val="0"/>
        <w:autoSpaceDN w:val="0"/>
        <w:adjustRightInd w:val="0"/>
        <w:ind w:left="480" w:hanging="480"/>
        <w:jc w:val="both"/>
        <w:rPr>
          <w:rFonts w:ascii="Arial Narrow" w:hAnsi="Arial Narrow" w:cs="Arial"/>
          <w:color w:val="000000" w:themeColor="text1"/>
          <w:lang w:val="es-ES" w:eastAsia="es-ES"/>
        </w:rPr>
      </w:pPr>
    </w:p>
    <w:p w14:paraId="1F95A439" w14:textId="77777777" w:rsidR="007968EC" w:rsidRPr="002C0D19" w:rsidRDefault="007968EC" w:rsidP="00DA7472">
      <w:pPr>
        <w:widowControl w:val="0"/>
        <w:numPr>
          <w:ilvl w:val="0"/>
          <w:numId w:val="78"/>
        </w:numPr>
        <w:tabs>
          <w:tab w:val="num" w:pos="483"/>
        </w:tabs>
        <w:ind w:left="483" w:hanging="483"/>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lastRenderedPageBreak/>
        <w:t xml:space="preserve">Cuando no sea posible encontrar un margen de valoración para la categoría de un título de renta fija, se utilizará de acuerdo con la metodología aprobada, la obtención de márgenes de valoración de Garantías que no tiene en cuenta la vigencia de los márgenes y utiliza métodos de interpolación y extrapolación para asignar márgenes de valoración a todas las categorías de títulos de renta fija.  </w:t>
      </w:r>
    </w:p>
    <w:p w14:paraId="4AC9E98F" w14:textId="77777777" w:rsidR="007968EC" w:rsidRPr="002C0D19" w:rsidRDefault="007968EC" w:rsidP="007968EC">
      <w:pPr>
        <w:ind w:left="708"/>
        <w:rPr>
          <w:rFonts w:ascii="Arial Narrow" w:hAnsi="Arial Narrow" w:cs="Arial"/>
          <w:b/>
          <w:color w:val="000000" w:themeColor="text1"/>
          <w:lang w:eastAsia="es-CO"/>
        </w:rPr>
      </w:pPr>
    </w:p>
    <w:p w14:paraId="3F11FE66" w14:textId="77777777" w:rsidR="007968EC" w:rsidRPr="002C0D19" w:rsidRDefault="007968EC" w:rsidP="00DA7472">
      <w:pPr>
        <w:widowControl w:val="0"/>
        <w:numPr>
          <w:ilvl w:val="0"/>
          <w:numId w:val="78"/>
        </w:numPr>
        <w:tabs>
          <w:tab w:val="num" w:pos="483"/>
        </w:tabs>
        <w:ind w:left="483" w:hanging="483"/>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Para los títulos de deuda pública externa de la Nación se utilizará un Índice de Rentabilidad construido según la metodología establecida por el Proveedor Oficial de Precios para Valoración.</w:t>
      </w:r>
    </w:p>
    <w:p w14:paraId="305954AA" w14:textId="77777777" w:rsidR="007968EC" w:rsidRPr="002C0D19" w:rsidRDefault="007968EC" w:rsidP="007968EC">
      <w:pPr>
        <w:widowControl w:val="0"/>
        <w:ind w:left="851"/>
        <w:jc w:val="both"/>
        <w:rPr>
          <w:rFonts w:ascii="Arial Narrow" w:hAnsi="Arial Narrow" w:cs="Arial"/>
          <w:color w:val="000000" w:themeColor="text1"/>
          <w:lang w:val="es-ES_tradnl"/>
        </w:rPr>
      </w:pPr>
    </w:p>
    <w:p w14:paraId="6E11CDC7" w14:textId="77777777" w:rsidR="007968EC" w:rsidRDefault="007968EC" w:rsidP="007968EC">
      <w:pPr>
        <w:pStyle w:val="ARTICULO0"/>
      </w:pPr>
      <w:bookmarkStart w:id="2287" w:name="_Toc472592167"/>
      <w:bookmarkStart w:id="2288" w:name="_Toc472593186"/>
      <w:bookmarkStart w:id="2289" w:name="_Toc479056972"/>
      <w:bookmarkStart w:id="2290" w:name="_Toc31715985"/>
      <w:bookmarkStart w:id="2291" w:name="_Toc470775487"/>
      <w:bookmarkStart w:id="2292" w:name="_Toc470779772"/>
      <w:bookmarkStart w:id="2293" w:name="_Toc470780389"/>
      <w:bookmarkStart w:id="2294" w:name="_Toc470780902"/>
      <w:bookmarkStart w:id="2295" w:name="_Toc470784463"/>
      <w:bookmarkStart w:id="2296" w:name="_Toc470785000"/>
      <w:bookmarkStart w:id="2297" w:name="_Toc470791386"/>
      <w:bookmarkStart w:id="2298" w:name="_Toc490066291"/>
      <w:r>
        <w:t xml:space="preserve">Artículo 1.6.4.11. </w:t>
      </w:r>
      <w:r w:rsidRPr="002C0D19">
        <w:t>Proceso de Valoración de las Garantías.</w:t>
      </w:r>
      <w:bookmarkEnd w:id="2287"/>
      <w:bookmarkEnd w:id="2288"/>
      <w:bookmarkEnd w:id="2289"/>
      <w:bookmarkEnd w:id="2290"/>
      <w:r w:rsidRPr="002C0D19">
        <w:t xml:space="preserve"> </w:t>
      </w:r>
    </w:p>
    <w:p w14:paraId="3C104B32" w14:textId="77777777" w:rsidR="007968EC" w:rsidRPr="003F5F9A" w:rsidRDefault="007968EC" w:rsidP="007968EC">
      <w:pPr>
        <w:jc w:val="both"/>
        <w:rPr>
          <w:rFonts w:ascii="Arial Narrow" w:hAnsi="Arial Narrow" w:cs="Arial"/>
          <w:color w:val="000000" w:themeColor="text1"/>
          <w:lang w:eastAsia="es-ES"/>
        </w:rPr>
      </w:pPr>
    </w:p>
    <w:p w14:paraId="58219966" w14:textId="77777777" w:rsidR="007968EC" w:rsidRPr="003F5F9A" w:rsidRDefault="007968EC" w:rsidP="007968EC">
      <w:pPr>
        <w:pStyle w:val="ANTECEDENTES"/>
      </w:pPr>
      <w:r w:rsidRPr="003F5F9A">
        <w:t>(Este artículo fue modificado mediante Circular 4 del 1 de marzo de 2013, publicada en el Boletín Normativo No. 005 del 1 de marzo de 2013. Rige a partir del 4 de marzo de 2013 y renumerado mediante Circular 19 del 28 de diciembre de 2016, publicada en el Boletín Normativo No. 024 del 28 de diciembre de 2016. Rige a partir del 29 de diciembre de 2016.)</w:t>
      </w:r>
      <w:bookmarkEnd w:id="2291"/>
      <w:bookmarkEnd w:id="2292"/>
      <w:bookmarkEnd w:id="2293"/>
      <w:bookmarkEnd w:id="2294"/>
      <w:bookmarkEnd w:id="2295"/>
      <w:bookmarkEnd w:id="2296"/>
      <w:bookmarkEnd w:id="2297"/>
      <w:bookmarkEnd w:id="2298"/>
    </w:p>
    <w:p w14:paraId="1C06CEE6" w14:textId="77777777" w:rsidR="007968EC" w:rsidRPr="002C0D19" w:rsidRDefault="007968EC" w:rsidP="007968EC">
      <w:pPr>
        <w:jc w:val="both"/>
        <w:rPr>
          <w:rFonts w:ascii="Arial Narrow" w:hAnsi="Arial Narrow" w:cs="Arial"/>
          <w:color w:val="000000" w:themeColor="text1"/>
          <w:lang w:val="es-ES" w:eastAsia="es-ES"/>
        </w:rPr>
      </w:pPr>
    </w:p>
    <w:p w14:paraId="4C3C1629" w14:textId="77777777" w:rsidR="007968EC" w:rsidRPr="002C0D19" w:rsidRDefault="007968EC" w:rsidP="007968EC">
      <w:pPr>
        <w:autoSpaceDE w:val="0"/>
        <w:autoSpaceDN w:val="0"/>
        <w:adjustRightInd w:val="0"/>
        <w:rPr>
          <w:rFonts w:ascii="Arial Narrow" w:hAnsi="Arial Narrow" w:cs="Arial"/>
          <w:color w:val="000000" w:themeColor="text1"/>
          <w:szCs w:val="20"/>
          <w:lang w:val="es-ES" w:eastAsia="es-ES"/>
        </w:rPr>
      </w:pPr>
      <w:r w:rsidRPr="002C0D19">
        <w:rPr>
          <w:rFonts w:ascii="Arial Narrow" w:hAnsi="Arial Narrow" w:cs="Arial"/>
          <w:color w:val="000000" w:themeColor="text1"/>
          <w:szCs w:val="20"/>
          <w:lang w:val="es-ES" w:eastAsia="es-ES"/>
        </w:rPr>
        <w:t xml:space="preserve">Al final de la Sesión de Gestión de Garantías, la Cámara inicia el proceso de Valoración de las mismas de la siguiente forma. </w:t>
      </w:r>
    </w:p>
    <w:p w14:paraId="382AFD1C" w14:textId="77777777" w:rsidR="007968EC" w:rsidRPr="002C0D19" w:rsidRDefault="007968EC" w:rsidP="007968EC">
      <w:pPr>
        <w:autoSpaceDE w:val="0"/>
        <w:autoSpaceDN w:val="0"/>
        <w:adjustRightInd w:val="0"/>
        <w:rPr>
          <w:rFonts w:ascii="Arial Narrow" w:hAnsi="Arial Narrow" w:cs="Arial"/>
          <w:color w:val="000000" w:themeColor="text1"/>
          <w:sz w:val="20"/>
          <w:szCs w:val="20"/>
          <w:lang w:val="es-ES" w:eastAsia="es-ES"/>
        </w:rPr>
      </w:pPr>
    </w:p>
    <w:p w14:paraId="643CE952" w14:textId="77777777" w:rsidR="007968EC" w:rsidRPr="002C0D19" w:rsidRDefault="007968EC" w:rsidP="007968EC">
      <w:pPr>
        <w:widowControl w:val="0"/>
        <w:numPr>
          <w:ilvl w:val="0"/>
          <w:numId w:val="9"/>
        </w:numPr>
        <w:tabs>
          <w:tab w:val="num" w:pos="540"/>
        </w:tabs>
        <w:ind w:left="540" w:hanging="540"/>
        <w:jc w:val="both"/>
        <w:rPr>
          <w:rFonts w:ascii="Arial Narrow" w:hAnsi="Arial Narrow" w:cs="Arial"/>
          <w:color w:val="000000" w:themeColor="text1"/>
          <w:lang w:val="es-ES_tradnl"/>
        </w:rPr>
      </w:pPr>
      <w:r w:rsidRPr="002C0D19">
        <w:rPr>
          <w:rFonts w:ascii="Arial Narrow" w:hAnsi="Arial Narrow" w:cs="Arial"/>
          <w:color w:val="000000" w:themeColor="text1"/>
          <w:lang w:val="es-ES_tradnl"/>
        </w:rPr>
        <w:t>Solicita los precios de valoración de los activos recibidos en garantía al Proveedor Oficial de Precios para Valoración.</w:t>
      </w:r>
    </w:p>
    <w:p w14:paraId="0FCFD9F1" w14:textId="77777777" w:rsidR="007968EC" w:rsidRPr="002C0D19" w:rsidRDefault="007968EC" w:rsidP="007968EC">
      <w:pPr>
        <w:widowControl w:val="0"/>
        <w:ind w:left="540"/>
        <w:jc w:val="both"/>
        <w:rPr>
          <w:rFonts w:ascii="Arial Narrow" w:hAnsi="Arial Narrow" w:cs="Arial"/>
          <w:color w:val="000000" w:themeColor="text1"/>
          <w:lang w:val="es-ES_tradnl"/>
        </w:rPr>
      </w:pPr>
    </w:p>
    <w:p w14:paraId="33E89C49" w14:textId="77777777" w:rsidR="007968EC" w:rsidRPr="002C0D19" w:rsidRDefault="007968EC" w:rsidP="007968EC">
      <w:pPr>
        <w:widowControl w:val="0"/>
        <w:numPr>
          <w:ilvl w:val="0"/>
          <w:numId w:val="9"/>
        </w:numPr>
        <w:ind w:left="540" w:hanging="540"/>
        <w:jc w:val="both"/>
        <w:rPr>
          <w:rFonts w:ascii="Arial Narrow" w:hAnsi="Arial Narrow" w:cs="Arial"/>
          <w:color w:val="000000" w:themeColor="text1"/>
          <w:lang w:val="es-ES_tradnl"/>
        </w:rPr>
      </w:pPr>
      <w:r w:rsidRPr="002C0D19">
        <w:rPr>
          <w:rFonts w:ascii="Arial Narrow" w:hAnsi="Arial Narrow" w:cs="Arial"/>
          <w:color w:val="000000" w:themeColor="text1"/>
          <w:lang w:val="es-ES_tradnl"/>
        </w:rPr>
        <w:t>Sobre los precios recibidos, la Cámara aplica los valores de “haircut” establecidos en la presente Circular.</w:t>
      </w:r>
    </w:p>
    <w:p w14:paraId="7DC07D06" w14:textId="77777777" w:rsidR="007968EC" w:rsidRPr="00217BDE" w:rsidRDefault="007968EC" w:rsidP="007968EC">
      <w:pPr>
        <w:jc w:val="both"/>
        <w:rPr>
          <w:rFonts w:ascii="Arial Narrow" w:hAnsi="Arial Narrow" w:cs="Arial"/>
          <w:bCs/>
          <w:color w:val="000000" w:themeColor="text1"/>
          <w:lang w:val="es-ES" w:eastAsia="es-ES"/>
        </w:rPr>
      </w:pPr>
    </w:p>
    <w:p w14:paraId="5C894D95" w14:textId="77777777" w:rsidR="007968EC" w:rsidRDefault="007968EC" w:rsidP="007968EC">
      <w:pPr>
        <w:pStyle w:val="ARTICULO0"/>
      </w:pPr>
      <w:bookmarkStart w:id="2299" w:name="_Toc329081824"/>
      <w:bookmarkStart w:id="2300" w:name="_Toc479056973"/>
      <w:bookmarkStart w:id="2301" w:name="_Toc470775488"/>
      <w:bookmarkStart w:id="2302" w:name="_Toc470779773"/>
      <w:bookmarkStart w:id="2303" w:name="_Toc470780390"/>
      <w:bookmarkStart w:id="2304" w:name="_Toc470780903"/>
      <w:bookmarkStart w:id="2305" w:name="_Toc470784464"/>
      <w:bookmarkStart w:id="2306" w:name="_Toc470785001"/>
      <w:bookmarkStart w:id="2307" w:name="_Toc470791387"/>
      <w:bookmarkStart w:id="2308" w:name="_Toc472592168"/>
      <w:bookmarkStart w:id="2309" w:name="_Toc472593187"/>
      <w:bookmarkStart w:id="2310" w:name="_Toc31715986"/>
      <w:bookmarkStart w:id="2311" w:name="_Toc490066292"/>
      <w:r>
        <w:t xml:space="preserve">Artículo 1.6.4.12. </w:t>
      </w:r>
      <w:r w:rsidRPr="002C0D19">
        <w:t>Garantías Admisibles destinadas a ampliar Límites de Operación.</w:t>
      </w:r>
      <w:bookmarkEnd w:id="2299"/>
      <w:bookmarkEnd w:id="2300"/>
      <w:bookmarkEnd w:id="2301"/>
      <w:bookmarkEnd w:id="2302"/>
      <w:bookmarkEnd w:id="2303"/>
      <w:bookmarkEnd w:id="2304"/>
      <w:bookmarkEnd w:id="2305"/>
      <w:bookmarkEnd w:id="2306"/>
      <w:bookmarkEnd w:id="2307"/>
      <w:bookmarkEnd w:id="2308"/>
      <w:bookmarkEnd w:id="2309"/>
      <w:bookmarkEnd w:id="2310"/>
      <w:r w:rsidRPr="002C0D19">
        <w:t xml:space="preserve"> </w:t>
      </w:r>
    </w:p>
    <w:p w14:paraId="1A723774" w14:textId="77777777" w:rsidR="007968EC" w:rsidRPr="003F5F9A" w:rsidRDefault="007968EC" w:rsidP="007968EC">
      <w:pPr>
        <w:jc w:val="both"/>
        <w:rPr>
          <w:rFonts w:ascii="Arial Narrow" w:hAnsi="Arial Narrow" w:cs="Arial"/>
          <w:color w:val="000000" w:themeColor="text1"/>
          <w:lang w:eastAsia="es-ES"/>
        </w:rPr>
      </w:pPr>
    </w:p>
    <w:p w14:paraId="2AC62D51" w14:textId="77777777" w:rsidR="007968EC" w:rsidRPr="002C0D19" w:rsidRDefault="007968EC" w:rsidP="007968EC">
      <w:pPr>
        <w:pStyle w:val="ANTECEDENTES"/>
        <w:rPr>
          <w:bCs/>
        </w:rPr>
      </w:pPr>
      <w:r w:rsidRPr="002C0D19">
        <w:t>(Este artículo fue adicionado mediante Circular 12 del 9 de mayo de 2013, publicada en el Boletín Normativo No. 013 del 9 de mayo de 2013 y modificado mediante Circular 20 del 1 de julio de 2015, publicada en el Boletín Normativo No. 022 del 1 de julio de 2015, mediante Circular 19 del 28 de diciembre de 2016, publicada en el Boletín Normativo No. 024 del 28 de diciembre de 2016 y mediante Circular 9 del 7 de abril de 2017, publicada en el Boletín Normativo No. 009 del 7 de abril de 2017. Rige a partir del 10 de abril de 2017.)</w:t>
      </w:r>
      <w:bookmarkEnd w:id="2311"/>
    </w:p>
    <w:p w14:paraId="0FC53D8B"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1CD6AB0E" w14:textId="77777777" w:rsidR="007968EC" w:rsidRPr="002C0D19" w:rsidRDefault="007968EC" w:rsidP="007968EC">
      <w:pPr>
        <w:jc w:val="both"/>
        <w:rPr>
          <w:rFonts w:ascii="Arial Narrow" w:hAnsi="Arial Narrow" w:cs="Arial Narrow"/>
          <w:color w:val="000000" w:themeColor="text1"/>
          <w:lang w:eastAsia="es-CO"/>
        </w:rPr>
      </w:pPr>
      <w:r w:rsidRPr="002C0D19">
        <w:rPr>
          <w:rFonts w:ascii="Arial Narrow" w:hAnsi="Arial Narrow" w:cs="Arial Narrow"/>
          <w:color w:val="000000" w:themeColor="text1"/>
          <w:lang w:eastAsia="es-CO"/>
        </w:rPr>
        <w:t>De conformidad con el artículo 2.7.2. del Reglamento de Funcionamiento de la CRCC S.A. podrán ser admitidas como Garantías Admisibles -Salvaguardas Financieras- las Cartas de Crédito Stand By destinadas ampliar los Límites de Riesgo Intradía y de Margin Call de los Miembros de la Cámara.</w:t>
      </w:r>
    </w:p>
    <w:p w14:paraId="726CFC58" w14:textId="77777777" w:rsidR="007968EC" w:rsidRPr="002C0D19" w:rsidRDefault="007968EC" w:rsidP="007968EC">
      <w:pPr>
        <w:jc w:val="both"/>
        <w:rPr>
          <w:rFonts w:ascii="Arial Narrow" w:hAnsi="Arial Narrow" w:cs="Arial Narrow"/>
          <w:color w:val="000000" w:themeColor="text1"/>
          <w:lang w:eastAsia="es-CO"/>
        </w:rPr>
      </w:pPr>
    </w:p>
    <w:p w14:paraId="5A19A804" w14:textId="77777777" w:rsidR="007968EC" w:rsidRPr="002C0D19" w:rsidRDefault="007968EC" w:rsidP="007968EC">
      <w:pPr>
        <w:jc w:val="both"/>
        <w:rPr>
          <w:rFonts w:ascii="Arial Narrow" w:hAnsi="Arial Narrow" w:cs="Arial Narrow"/>
          <w:color w:val="000000" w:themeColor="text1"/>
          <w:lang w:eastAsia="es-CO"/>
        </w:rPr>
      </w:pPr>
      <w:r w:rsidRPr="002C0D19">
        <w:rPr>
          <w:rFonts w:ascii="Arial Narrow" w:hAnsi="Arial Narrow" w:cs="Arial Narrow"/>
          <w:color w:val="000000" w:themeColor="text1"/>
          <w:lang w:eastAsia="es-CO"/>
        </w:rPr>
        <w:t xml:space="preserve">La CRCC S.A. aceptará  como Garantías Admisibles -Salvaguardas Financieras- Cartas de Crédito Stand By a Primer Requerimiento denominadas en pesos colombianos y pagaderas en pesos colombianos, emitidas por entidades financieras vigiladas por la Superintendencia Financiera de Colombia, que tengan la capacidad legal para emitir este tipo de Garantías, únicamente con el propósito de ampliar los Limites de Riesgo Intradía y de Margin Call de los Miembros, los cuales se encuentran definidos en los Artículos 1.6.5.1. y 1.6.5.4., respectivamente, de la presente Circular. Las Cartas de Crédito Stand By no sustituyen las </w:t>
      </w:r>
      <w:r w:rsidRPr="002C0D19">
        <w:rPr>
          <w:rFonts w:ascii="Arial Narrow" w:hAnsi="Arial Narrow" w:cs="Arial Narrow"/>
          <w:color w:val="000000" w:themeColor="text1"/>
          <w:lang w:eastAsia="es-CO"/>
        </w:rPr>
        <w:lastRenderedPageBreak/>
        <w:t>Garantías Individuales, por Posición, Extraordinarias ni las aportaciones al Fondo de Garantía Colectiva otorgadas por los Miembros y aceptadas por la Cámara.</w:t>
      </w:r>
    </w:p>
    <w:p w14:paraId="254F7899" w14:textId="77777777" w:rsidR="007968EC" w:rsidRPr="002C0D19" w:rsidRDefault="007968EC" w:rsidP="007968EC">
      <w:pPr>
        <w:jc w:val="both"/>
        <w:rPr>
          <w:rFonts w:ascii="Arial Narrow" w:hAnsi="Arial Narrow" w:cs="Arial Narrow"/>
          <w:color w:val="000000" w:themeColor="text1"/>
          <w:lang w:eastAsia="es-CO"/>
        </w:rPr>
      </w:pPr>
      <w:r w:rsidRPr="002C0D19">
        <w:rPr>
          <w:rFonts w:ascii="Arial Narrow" w:hAnsi="Arial Narrow" w:cs="Arial Narrow"/>
          <w:color w:val="000000" w:themeColor="text1"/>
          <w:lang w:eastAsia="es-CO"/>
        </w:rPr>
        <w:t xml:space="preserve"> </w:t>
      </w:r>
    </w:p>
    <w:p w14:paraId="74D24292" w14:textId="77777777" w:rsidR="007968EC" w:rsidRPr="002C0D19" w:rsidRDefault="007968EC" w:rsidP="007968EC">
      <w:pPr>
        <w:jc w:val="both"/>
        <w:rPr>
          <w:rFonts w:ascii="Arial Narrow" w:hAnsi="Arial Narrow" w:cs="Arial Narrow"/>
          <w:color w:val="000000" w:themeColor="text1"/>
          <w:lang w:eastAsia="es-CO"/>
        </w:rPr>
      </w:pPr>
      <w:r w:rsidRPr="002C0D19">
        <w:rPr>
          <w:rFonts w:ascii="Arial Narrow" w:hAnsi="Arial Narrow" w:cs="Arial Narrow"/>
          <w:color w:val="000000" w:themeColor="text1"/>
          <w:lang w:eastAsia="es-CO"/>
        </w:rPr>
        <w:t>Para efectos de la aceptación de las Cartas de Crédito Stand By a Primer Requerimiento por parte de la CRCC S.A., los Miembros de la Cámara deberán tener en cuenta que sólo se admitirán aquellas Cartas de Crédito Stand By que sean emitidas conforme al modelo aprobado por la Cámara, formato establecido en el Anexo 31, y las políticas aprobadas por ésta, las cuales se publican a continuación:</w:t>
      </w:r>
    </w:p>
    <w:p w14:paraId="4150D5B2" w14:textId="77777777" w:rsidR="007968EC" w:rsidRPr="002C0D19" w:rsidRDefault="007968EC" w:rsidP="007968EC">
      <w:pPr>
        <w:jc w:val="both"/>
        <w:rPr>
          <w:rFonts w:ascii="Arial Narrow" w:hAnsi="Arial Narrow" w:cs="Arial Narrow"/>
          <w:color w:val="000000" w:themeColor="text1"/>
          <w:lang w:eastAsia="es-CO"/>
        </w:rPr>
      </w:pPr>
    </w:p>
    <w:p w14:paraId="5522F4D7" w14:textId="77777777" w:rsidR="007968EC" w:rsidRPr="002C0D19" w:rsidRDefault="007968EC" w:rsidP="007968EC">
      <w:pPr>
        <w:jc w:val="both"/>
        <w:rPr>
          <w:rFonts w:ascii="Arial Narrow" w:hAnsi="Arial Narrow" w:cs="Arial Narrow"/>
          <w:color w:val="000000" w:themeColor="text1"/>
          <w:lang w:eastAsia="es-CO"/>
        </w:rPr>
      </w:pPr>
      <w:r w:rsidRPr="002C0D19">
        <w:rPr>
          <w:rFonts w:ascii="Arial Narrow" w:hAnsi="Arial Narrow" w:cs="Arial Narrow"/>
          <w:color w:val="000000" w:themeColor="text1"/>
          <w:lang w:eastAsia="es-CO"/>
        </w:rPr>
        <w:t>La CRCC S.A. únicamente aceptará las Cartas de Crédito Stand By destinadas a la ampliación de los Límites de Riesgo Intradía y de Margin Call que cumplan los siguientes requisitos:</w:t>
      </w:r>
    </w:p>
    <w:p w14:paraId="3917BA84" w14:textId="77777777" w:rsidR="007968EC" w:rsidRPr="002C0D19" w:rsidRDefault="007968EC" w:rsidP="007968EC">
      <w:pPr>
        <w:jc w:val="both"/>
        <w:rPr>
          <w:rFonts w:ascii="Arial Narrow" w:hAnsi="Arial Narrow" w:cs="Arial"/>
          <w:color w:val="000000" w:themeColor="text1"/>
          <w:lang w:val="es-ES" w:eastAsia="es-ES"/>
        </w:rPr>
      </w:pPr>
    </w:p>
    <w:p w14:paraId="5E5B2EB2" w14:textId="77777777" w:rsidR="007968EC" w:rsidRPr="002C0D19" w:rsidRDefault="007968EC" w:rsidP="00DA7472">
      <w:pPr>
        <w:numPr>
          <w:ilvl w:val="0"/>
          <w:numId w:val="83"/>
        </w:numPr>
        <w:contextualSpacing/>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Deben ser de carácter Irrevocable, de conformidad con el modelo aprobado por la Cámara</w:t>
      </w:r>
      <w:r w:rsidRPr="002C0D19">
        <w:rPr>
          <w:rFonts w:ascii="Arial Narrow" w:hAnsi="Arial Narrow" w:cs="Arial Narrow"/>
          <w:color w:val="000000" w:themeColor="text1"/>
          <w:lang w:eastAsia="es-CO"/>
        </w:rPr>
        <w:t>, formato establecido en el Anexo 31.</w:t>
      </w:r>
    </w:p>
    <w:p w14:paraId="6B1B4D36" w14:textId="77777777" w:rsidR="007968EC" w:rsidRPr="002C0D19" w:rsidRDefault="007968EC" w:rsidP="00DA7472">
      <w:pPr>
        <w:numPr>
          <w:ilvl w:val="0"/>
          <w:numId w:val="83"/>
        </w:numPr>
        <w:contextualSpacing/>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Deben ser expedidas a Primer Requerimiento, de conformidad con el modelo aprobado por la Cámara</w:t>
      </w:r>
      <w:r w:rsidRPr="002C0D19">
        <w:rPr>
          <w:rFonts w:ascii="Arial Narrow" w:hAnsi="Arial Narrow" w:cs="Arial Narrow"/>
          <w:color w:val="000000" w:themeColor="text1"/>
          <w:lang w:eastAsia="es-CO"/>
        </w:rPr>
        <w:t xml:space="preserve">, </w:t>
      </w:r>
      <w:r w:rsidRPr="002C0D19">
        <w:rPr>
          <w:rFonts w:ascii="Arial Narrow" w:hAnsi="Arial Narrow" w:cs="Arial"/>
          <w:color w:val="000000" w:themeColor="text1"/>
          <w:lang w:eastAsia="es-CO"/>
        </w:rPr>
        <w:t>formato establecido en el Anexo 31.</w:t>
      </w:r>
    </w:p>
    <w:p w14:paraId="116DF5B3" w14:textId="77777777" w:rsidR="007968EC" w:rsidRPr="002C0D19" w:rsidRDefault="007968EC" w:rsidP="00DA7472">
      <w:pPr>
        <w:numPr>
          <w:ilvl w:val="0"/>
          <w:numId w:val="83"/>
        </w:numPr>
        <w:contextualSpacing/>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El monto garantizado por el emisor de la Carta de Crédito Stand By debe ser denominado en pesos colombianos y pagaderos en pesos colombianos.</w:t>
      </w:r>
    </w:p>
    <w:p w14:paraId="427788DA" w14:textId="77777777" w:rsidR="007968EC" w:rsidRPr="002C0D19" w:rsidRDefault="007968EC" w:rsidP="00DA7472">
      <w:pPr>
        <w:numPr>
          <w:ilvl w:val="0"/>
          <w:numId w:val="83"/>
        </w:numPr>
        <w:contextualSpacing/>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La Carta de Crédito Stand By debe tener una vigencia mínima de seis (6) meses y máximo un (1) año y podrá ser renovada desde su fecha de vencimiento, previa aprobación de la Entidad Emisora, por un período igual al inicialmente pactado. En todo caso, la Cámara podrá solicitar la no renovación de la Carta de Crédito Stand By ante la Entidad Emisora.</w:t>
      </w:r>
    </w:p>
    <w:p w14:paraId="7EC9EF34" w14:textId="77777777" w:rsidR="007968EC" w:rsidRPr="002C0D19" w:rsidRDefault="007968EC" w:rsidP="00DA7472">
      <w:pPr>
        <w:numPr>
          <w:ilvl w:val="0"/>
          <w:numId w:val="83"/>
        </w:numPr>
        <w:contextualSpacing/>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Las Cartas de Crédito Stand By no podrán ser modificadas, reconvenidas o canceladas durante su vigencia, sin el consentimiento previo, expreso y escrito de la CRCC S.A., y su cancelación será aceptada siempre y cuando no existan obligaciones pendientes ante la CRCC S.A.</w:t>
      </w:r>
    </w:p>
    <w:p w14:paraId="23EAA031" w14:textId="77777777" w:rsidR="007968EC" w:rsidRPr="002C0D19" w:rsidRDefault="007968EC" w:rsidP="00DA7472">
      <w:pPr>
        <w:numPr>
          <w:ilvl w:val="0"/>
          <w:numId w:val="83"/>
        </w:numPr>
        <w:contextualSpacing/>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Previamente a la aceptación de las Cartas de Crédito Stand By por parte de la Cámara, éstas deberán ser verificadas y admitidas por la Gerencia/Subgerencia de Riesgos y Operaciones de la Cámara.</w:t>
      </w:r>
    </w:p>
    <w:p w14:paraId="7B104CD7" w14:textId="77777777" w:rsidR="007968EC" w:rsidRPr="002C0D19" w:rsidRDefault="007968EC" w:rsidP="00DA7472">
      <w:pPr>
        <w:numPr>
          <w:ilvl w:val="0"/>
          <w:numId w:val="83"/>
        </w:numPr>
        <w:contextualSpacing/>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Una vez son aceptadas las Cartas de Crédito Stand By, estas serán informadas al Comité de Riesgos y a la Junta Directiva.</w:t>
      </w:r>
    </w:p>
    <w:p w14:paraId="3B60DA87" w14:textId="77777777" w:rsidR="007968EC" w:rsidRPr="002C0D19" w:rsidRDefault="007968EC" w:rsidP="007968EC">
      <w:pPr>
        <w:ind w:left="720"/>
        <w:jc w:val="both"/>
        <w:rPr>
          <w:rFonts w:ascii="Arial Narrow" w:hAnsi="Arial Narrow" w:cs="Arial"/>
          <w:color w:val="000000" w:themeColor="text1"/>
          <w:lang w:eastAsia="es-CO"/>
        </w:rPr>
      </w:pPr>
    </w:p>
    <w:p w14:paraId="0DAC41CA"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Las entidades emisoras de las Cartas de Crédito Stand By a Primer Requerimiento deben ser entidades financieras vigiladas por la Superintendencia Financiera de Colombia que: </w:t>
      </w:r>
    </w:p>
    <w:p w14:paraId="2464A692" w14:textId="77777777" w:rsidR="007968EC" w:rsidRPr="002C0D19" w:rsidRDefault="007968EC" w:rsidP="007968EC">
      <w:pPr>
        <w:jc w:val="both"/>
        <w:rPr>
          <w:rFonts w:ascii="Arial Narrow" w:hAnsi="Arial Narrow" w:cs="Arial"/>
          <w:color w:val="000000" w:themeColor="text1"/>
          <w:lang w:val="es-ES" w:eastAsia="es-ES"/>
        </w:rPr>
      </w:pPr>
    </w:p>
    <w:p w14:paraId="4456EDC1" w14:textId="77777777" w:rsidR="007968EC" w:rsidRPr="002C0D19" w:rsidRDefault="007968EC" w:rsidP="00DA7472">
      <w:pPr>
        <w:numPr>
          <w:ilvl w:val="0"/>
          <w:numId w:val="84"/>
        </w:numPr>
        <w:contextualSpacing/>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Cuenten con capacidad legal para emitir este tipo de garantías. </w:t>
      </w:r>
    </w:p>
    <w:p w14:paraId="55EBE03A" w14:textId="77777777" w:rsidR="007968EC" w:rsidRPr="002C0D19" w:rsidRDefault="007968EC" w:rsidP="00DA7472">
      <w:pPr>
        <w:numPr>
          <w:ilvl w:val="0"/>
          <w:numId w:val="84"/>
        </w:numPr>
        <w:contextualSpacing/>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Sean Miembros de la CRCC S.A.  </w:t>
      </w:r>
    </w:p>
    <w:p w14:paraId="5505E61D" w14:textId="77777777" w:rsidR="007968EC" w:rsidRPr="002C0D19" w:rsidRDefault="007968EC" w:rsidP="00DA7472">
      <w:pPr>
        <w:numPr>
          <w:ilvl w:val="0"/>
          <w:numId w:val="84"/>
        </w:numPr>
        <w:contextualSpacing/>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Tengan una calificación de riesgo de crédito AAA otorgado</w:t>
      </w:r>
      <w:r w:rsidRPr="002C0D19">
        <w:rPr>
          <w:rFonts w:ascii="Arial Narrow" w:hAnsi="Arial Narrow" w:cs="Arial Narrow"/>
          <w:color w:val="000000" w:themeColor="text1"/>
          <w:lang w:eastAsia="es-CO"/>
        </w:rPr>
        <w:t xml:space="preserve"> por una Calificadora de Riesgos autorizada por la Superintendencia Financiera de Colombia.</w:t>
      </w:r>
    </w:p>
    <w:p w14:paraId="5E59C697" w14:textId="77777777" w:rsidR="007968EC" w:rsidRPr="002C0D19" w:rsidRDefault="007968EC" w:rsidP="007968EC">
      <w:pPr>
        <w:ind w:left="709"/>
        <w:jc w:val="both"/>
        <w:rPr>
          <w:rFonts w:ascii="Arial Narrow" w:hAnsi="Arial Narrow" w:cs="Arial"/>
          <w:color w:val="000000" w:themeColor="text1"/>
          <w:lang w:eastAsia="es-CO"/>
        </w:rPr>
      </w:pPr>
    </w:p>
    <w:p w14:paraId="352489D0"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Además de lo establecido en los numerales anteriores, el Emisor de la Carta de Crédito Stand By, quien a su vez deberá ser Miembro de la Cámara, deberá tener en cuenta que:</w:t>
      </w:r>
    </w:p>
    <w:p w14:paraId="55C7CD2C" w14:textId="77777777" w:rsidR="007968EC" w:rsidRPr="002C0D19" w:rsidRDefault="007968EC" w:rsidP="007968EC">
      <w:pPr>
        <w:jc w:val="both"/>
        <w:rPr>
          <w:rFonts w:ascii="Arial Narrow" w:hAnsi="Arial Narrow" w:cs="Arial"/>
          <w:color w:val="000000" w:themeColor="text1"/>
          <w:lang w:val="es-ES" w:eastAsia="es-ES"/>
        </w:rPr>
      </w:pPr>
    </w:p>
    <w:p w14:paraId="6D16FE4D" w14:textId="77777777" w:rsidR="007968EC" w:rsidRPr="002C0D19" w:rsidRDefault="007968EC" w:rsidP="00DA7472">
      <w:pPr>
        <w:numPr>
          <w:ilvl w:val="0"/>
          <w:numId w:val="82"/>
        </w:numPr>
        <w:autoSpaceDE w:val="0"/>
        <w:autoSpaceDN w:val="0"/>
        <w:adjustRightInd w:val="0"/>
        <w:ind w:right="1"/>
        <w:contextualSpacing/>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lastRenderedPageBreak/>
        <w:t>El monto garantizado no puede superar el dos por ciento (2%) de su patrimonio técnico y el monto será restado de sus límites asignados por parte de la CRCC S.A. para la compensación y liquidación de operaciones aceptadas.</w:t>
      </w:r>
    </w:p>
    <w:p w14:paraId="2626D0B4" w14:textId="77777777" w:rsidR="007968EC" w:rsidRPr="002C0D19" w:rsidRDefault="007968EC" w:rsidP="007968EC">
      <w:pPr>
        <w:autoSpaceDE w:val="0"/>
        <w:autoSpaceDN w:val="0"/>
        <w:adjustRightInd w:val="0"/>
        <w:ind w:left="708" w:right="1"/>
        <w:jc w:val="both"/>
        <w:rPr>
          <w:rFonts w:ascii="Arial Narrow" w:hAnsi="Arial Narrow" w:cs="Arial"/>
          <w:bCs/>
          <w:color w:val="000000" w:themeColor="text1"/>
          <w:lang w:eastAsia="es-CO"/>
        </w:rPr>
      </w:pPr>
    </w:p>
    <w:p w14:paraId="3A213F44"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 w:eastAsia="es-ES"/>
        </w:rPr>
        <w:t>Parágrafo Primero.</w:t>
      </w:r>
      <w:r w:rsidRPr="002C0D19">
        <w:rPr>
          <w:rFonts w:ascii="Arial Narrow" w:hAnsi="Arial Narrow" w:cs="Arial"/>
          <w:color w:val="000000" w:themeColor="text1"/>
          <w:lang w:val="es-ES" w:eastAsia="es-ES"/>
        </w:rPr>
        <w:t xml:space="preserve"> En el caso en que la entidad emisora de una Carta de Crédito Stand By pierda alguna condición establecida por la CRCC S.A., esto es, ser Miembro de la Cámara y tener una calificación de riesgo de crédito AAA en el mercado local emitida por una Calificadora de Riesgos autorizada por la Superintendencia Financiera de Colombia, el Miembro a favor de quien se expidió la garantía, esto es, el ordenante de la Carta de Crédito Stand By tendrá un plazo de cinco (5) días hábiles para ajustar el consumo de su Límite de Riesgo Intradía (LRI) y diez (10) días hábiles para ajustar el consumo de su Límite de Margin Call (LMC). En caso de no efectuar los ajustes dentro de los plazos correspondientes, se seguirán los procesos de retardos, incumplimientos, medidas preventivas, suspensión y exclusión contenido en el Título Séptimo de la Parte I de la presente Circular.</w:t>
      </w:r>
    </w:p>
    <w:p w14:paraId="2884DE2F"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0C4C79AF"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 w:eastAsia="es-ES"/>
        </w:rPr>
        <w:t>Parágrafo Segundo.</w:t>
      </w:r>
      <w:r w:rsidRPr="002C0D19">
        <w:rPr>
          <w:rFonts w:ascii="Arial Narrow" w:hAnsi="Arial Narrow" w:cs="Arial"/>
          <w:color w:val="000000" w:themeColor="text1"/>
          <w:lang w:val="es-ES" w:eastAsia="es-ES"/>
        </w:rPr>
        <w:t xml:space="preserve"> En caso de sustitución de la entidad emisora de una Carta de Crédito Stand By, ésta deberá contar con una calificación crediticia igual o superior a la de la anterior entidad emisora de la Carta de Crédito Stan By. </w:t>
      </w:r>
    </w:p>
    <w:p w14:paraId="6CE4E26C"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23CF3DC0" w14:textId="77777777" w:rsidR="007968EC" w:rsidRDefault="007968EC" w:rsidP="007968EC">
      <w:pPr>
        <w:pStyle w:val="ARTICULO0"/>
      </w:pPr>
      <w:bookmarkStart w:id="2312" w:name="_Toc472592169"/>
      <w:bookmarkStart w:id="2313" w:name="_Toc472593188"/>
      <w:bookmarkStart w:id="2314" w:name="_Toc479056974"/>
      <w:bookmarkStart w:id="2315" w:name="_Toc31715987"/>
      <w:bookmarkStart w:id="2316" w:name="_Toc470775489"/>
      <w:bookmarkStart w:id="2317" w:name="_Toc470779774"/>
      <w:bookmarkStart w:id="2318" w:name="_Toc470780391"/>
      <w:bookmarkStart w:id="2319" w:name="_Toc470780904"/>
      <w:bookmarkStart w:id="2320" w:name="_Toc470784465"/>
      <w:bookmarkStart w:id="2321" w:name="_Toc470785002"/>
      <w:bookmarkStart w:id="2322" w:name="_Toc470791388"/>
      <w:bookmarkStart w:id="2323" w:name="_Toc490066293"/>
      <w:r>
        <w:t xml:space="preserve">Artículo 1.6.4.13. </w:t>
      </w:r>
      <w:r w:rsidRPr="002C0D19">
        <w:t>Criterios y Políticas de Inversión de las Garantías constituidas en efectivo.</w:t>
      </w:r>
      <w:bookmarkEnd w:id="2312"/>
      <w:bookmarkEnd w:id="2313"/>
      <w:bookmarkEnd w:id="2314"/>
      <w:bookmarkEnd w:id="2315"/>
      <w:r w:rsidRPr="002C0D19">
        <w:t xml:space="preserve"> </w:t>
      </w:r>
    </w:p>
    <w:p w14:paraId="6080B39C" w14:textId="77777777" w:rsidR="007968EC" w:rsidRPr="003F5F9A" w:rsidRDefault="007968EC" w:rsidP="007968EC">
      <w:pPr>
        <w:jc w:val="both"/>
        <w:rPr>
          <w:rFonts w:ascii="Arial Narrow" w:hAnsi="Arial Narrow" w:cs="Arial"/>
          <w:color w:val="000000" w:themeColor="text1"/>
          <w:lang w:eastAsia="es-ES"/>
        </w:rPr>
      </w:pPr>
    </w:p>
    <w:p w14:paraId="44773EBD" w14:textId="77777777" w:rsidR="007968EC" w:rsidRPr="002C0D19" w:rsidRDefault="007968EC" w:rsidP="007968EC">
      <w:pPr>
        <w:pStyle w:val="ANTECEDENTES"/>
        <w:rPr>
          <w:u w:val="single"/>
        </w:rPr>
      </w:pPr>
      <w:r w:rsidRPr="002C0D19">
        <w:t xml:space="preserve">(Este artículo fue adicionado mediante Circular 037 del 29 de diciembre de 2015, publicada en el Boletín Normativo No. 043 del 29 de diciembre de 2015. Rige a partir del 30 de diciembre de 2015 y renumerado mediante </w:t>
      </w:r>
      <w:r w:rsidRPr="002C0D19">
        <w:rPr>
          <w:lang w:val="es-ES"/>
        </w:rPr>
        <w:t xml:space="preserve">Circular 19 del 28 de diciembre de 2016, publicada en el Boletín Normativo No. 024 del 28 de diciembre de 2016. </w:t>
      </w:r>
      <w:r w:rsidRPr="002C0D19">
        <w:t>Rige a partir del 29 de diciembre de 2016.</w:t>
      </w:r>
      <w:r w:rsidRPr="002C0D19">
        <w:rPr>
          <w:lang w:val="es-ES"/>
        </w:rPr>
        <w:t>)</w:t>
      </w:r>
      <w:bookmarkEnd w:id="2316"/>
      <w:bookmarkEnd w:id="2317"/>
      <w:bookmarkEnd w:id="2318"/>
      <w:bookmarkEnd w:id="2319"/>
      <w:bookmarkEnd w:id="2320"/>
      <w:bookmarkEnd w:id="2321"/>
      <w:bookmarkEnd w:id="2322"/>
      <w:bookmarkEnd w:id="2323"/>
    </w:p>
    <w:p w14:paraId="2DAEB50C"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226465C7" w14:textId="77777777" w:rsidR="007968EC" w:rsidRPr="002C0D19" w:rsidRDefault="007968EC" w:rsidP="007968EC">
      <w:p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t>La Cámara invertirá las Garantías constituidas en efectivo por los Miembros, actuando en nombre propio pero por cuenta de los Miembros, a través de operaciones de Reporto o Repo cerrados,</w:t>
      </w:r>
      <w:r w:rsidRPr="002C0D19">
        <w:rPr>
          <w:rFonts w:ascii="Arial Narrow" w:hAnsi="Arial Narrow" w:cs="Arial"/>
          <w:color w:val="000000" w:themeColor="text1"/>
          <w:lang w:val="es-ES" w:eastAsia="es-ES"/>
        </w:rPr>
        <w:t xml:space="preserve"> de acuerdo con lo establecido por el Capítulo 19 de la Circular Básica Contable y Financiera (Circular Externa 100 de 1995) expedida por la Superintendencia Financiera de Colombia</w:t>
      </w:r>
      <w:r w:rsidRPr="002C0D19">
        <w:rPr>
          <w:rFonts w:ascii="Arial Narrow" w:hAnsi="Arial Narrow" w:cs="Arial Narrow,BoldItalic"/>
          <w:bCs/>
          <w:iCs/>
          <w:color w:val="000000" w:themeColor="text1"/>
          <w:lang w:val="es-ES" w:eastAsia="es-CO"/>
        </w:rPr>
        <w:t>, o las normas que lo modifiquen, adicionen o sustituyan en un futuro.</w:t>
      </w:r>
      <w:r w:rsidRPr="002C0D19">
        <w:rPr>
          <w:rFonts w:ascii="Arial Narrow" w:hAnsi="Arial Narrow" w:cs="Arial Narrow,BoldItalic"/>
          <w:bCs/>
          <w:iCs/>
          <w:color w:val="000000" w:themeColor="text1"/>
          <w:lang w:eastAsia="es-CO"/>
        </w:rPr>
        <w:t xml:space="preserve"> </w:t>
      </w:r>
    </w:p>
    <w:p w14:paraId="00A143A9" w14:textId="77777777" w:rsidR="007968EC" w:rsidRPr="002C0D19" w:rsidRDefault="007968EC" w:rsidP="007968EC">
      <w:pPr>
        <w:autoSpaceDE w:val="0"/>
        <w:autoSpaceDN w:val="0"/>
        <w:adjustRightInd w:val="0"/>
        <w:jc w:val="both"/>
        <w:rPr>
          <w:rFonts w:ascii="Arial Narrow" w:hAnsi="Arial Narrow" w:cs="Arial Narrow,BoldItalic"/>
          <w:bCs/>
          <w:iCs/>
          <w:color w:val="000000" w:themeColor="text1"/>
          <w:lang w:eastAsia="es-CO"/>
        </w:rPr>
      </w:pPr>
    </w:p>
    <w:p w14:paraId="45AD5EFF" w14:textId="77777777" w:rsidR="007968EC" w:rsidRPr="002C0D19" w:rsidRDefault="007968EC" w:rsidP="007968EC">
      <w:p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t>En todo caso, la inversión se realizará de forma voluntaria a nivel de Miembro de acuerdo con lo establecido en el artículo 2.7.5. del Reglamento, así como el procedimiento establecido en el numeral 3 del artículo 1.6.4.14 de la presente Circular.</w:t>
      </w:r>
      <w:r w:rsidRPr="002C0D19" w:rsidDel="00F55519">
        <w:rPr>
          <w:rFonts w:ascii="Arial Narrow" w:hAnsi="Arial Narrow" w:cs="Arial Narrow,BoldItalic"/>
          <w:bCs/>
          <w:iCs/>
          <w:color w:val="000000" w:themeColor="text1"/>
          <w:lang w:eastAsia="es-CO"/>
        </w:rPr>
        <w:t xml:space="preserve"> </w:t>
      </w:r>
      <w:r w:rsidRPr="002C0D19">
        <w:rPr>
          <w:rFonts w:ascii="Arial Narrow" w:hAnsi="Arial Narrow" w:cs="Arial Narrow,BoldItalic"/>
          <w:bCs/>
          <w:iCs/>
          <w:color w:val="000000" w:themeColor="text1"/>
          <w:lang w:eastAsia="es-CO"/>
        </w:rPr>
        <w:t xml:space="preserve"> </w:t>
      </w:r>
    </w:p>
    <w:p w14:paraId="272223BF" w14:textId="77777777" w:rsidR="007968EC" w:rsidRPr="002C0D19" w:rsidRDefault="007968EC" w:rsidP="007968EC">
      <w:pPr>
        <w:autoSpaceDE w:val="0"/>
        <w:autoSpaceDN w:val="0"/>
        <w:adjustRightInd w:val="0"/>
        <w:jc w:val="both"/>
        <w:rPr>
          <w:rFonts w:ascii="Arial Narrow" w:hAnsi="Arial Narrow" w:cs="Arial Narrow,BoldItalic"/>
          <w:bCs/>
          <w:iCs/>
          <w:color w:val="000000" w:themeColor="text1"/>
          <w:lang w:eastAsia="es-CO"/>
        </w:rPr>
      </w:pPr>
    </w:p>
    <w:p w14:paraId="63C223C9" w14:textId="77777777" w:rsidR="007968EC" w:rsidRPr="002C0D19" w:rsidRDefault="007968EC" w:rsidP="00DA7472">
      <w:pPr>
        <w:numPr>
          <w:ilvl w:val="0"/>
          <w:numId w:val="90"/>
        </w:num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t xml:space="preserve">La inversión de las garantías en efectivo por parte de la </w:t>
      </w:r>
      <w:proofErr w:type="gramStart"/>
      <w:r w:rsidRPr="002C0D19">
        <w:rPr>
          <w:rFonts w:ascii="Arial Narrow" w:hAnsi="Arial Narrow" w:cs="Arial Narrow,BoldItalic"/>
          <w:bCs/>
          <w:iCs/>
          <w:color w:val="000000" w:themeColor="text1"/>
          <w:lang w:eastAsia="es-CO"/>
        </w:rPr>
        <w:t>Cámara,</w:t>
      </w:r>
      <w:proofErr w:type="gramEnd"/>
      <w:r w:rsidRPr="002C0D19">
        <w:rPr>
          <w:rFonts w:ascii="Arial Narrow" w:hAnsi="Arial Narrow" w:cs="Arial Narrow,BoldItalic"/>
          <w:bCs/>
          <w:iCs/>
          <w:color w:val="000000" w:themeColor="text1"/>
          <w:lang w:eastAsia="es-CO"/>
        </w:rPr>
        <w:t xml:space="preserve"> se realizará con base en los siguientes criterios:</w:t>
      </w:r>
    </w:p>
    <w:p w14:paraId="29E3C836" w14:textId="77777777" w:rsidR="007968EC" w:rsidRPr="002C0D19" w:rsidRDefault="007968EC" w:rsidP="007968EC">
      <w:pPr>
        <w:autoSpaceDE w:val="0"/>
        <w:autoSpaceDN w:val="0"/>
        <w:adjustRightInd w:val="0"/>
        <w:ind w:left="360"/>
        <w:jc w:val="both"/>
        <w:rPr>
          <w:rFonts w:ascii="Arial Narrow" w:hAnsi="Arial Narrow" w:cs="Arial Narrow,BoldItalic"/>
          <w:bCs/>
          <w:iCs/>
          <w:color w:val="000000" w:themeColor="text1"/>
          <w:lang w:eastAsia="es-CO"/>
        </w:rPr>
      </w:pPr>
    </w:p>
    <w:p w14:paraId="22849291" w14:textId="77777777" w:rsidR="007968EC" w:rsidRPr="002C0D19" w:rsidRDefault="007968EC" w:rsidP="00DA7472">
      <w:pPr>
        <w:numPr>
          <w:ilvl w:val="0"/>
          <w:numId w:val="91"/>
        </w:num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t>Las operaciones serán realizadas en el mercado mostrador.</w:t>
      </w:r>
    </w:p>
    <w:p w14:paraId="52F77B13" w14:textId="77777777" w:rsidR="007968EC" w:rsidRPr="002C0D19" w:rsidRDefault="007968EC" w:rsidP="00DA7472">
      <w:pPr>
        <w:numPr>
          <w:ilvl w:val="0"/>
          <w:numId w:val="91"/>
        </w:num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t>El plazo de la operación será de un (1) día hábil.</w:t>
      </w:r>
    </w:p>
    <w:p w14:paraId="7B395CCB" w14:textId="77777777" w:rsidR="007968EC" w:rsidRPr="002C0D19" w:rsidRDefault="007968EC" w:rsidP="00DA7472">
      <w:pPr>
        <w:numPr>
          <w:ilvl w:val="0"/>
          <w:numId w:val="91"/>
        </w:num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t>Los títulos objeto de la operación serán los Títulos de Endeudamiento Soberano (TES) Clase B, tasa fija en pesos colombianos de que trata el Articulo 1.6.4.1. de la presente Circular.</w:t>
      </w:r>
    </w:p>
    <w:p w14:paraId="62A9D03B" w14:textId="77777777" w:rsidR="007968EC" w:rsidRPr="002C0D19" w:rsidRDefault="007968EC" w:rsidP="00DA7472">
      <w:pPr>
        <w:numPr>
          <w:ilvl w:val="0"/>
          <w:numId w:val="91"/>
        </w:num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lastRenderedPageBreak/>
        <w:t>Se aplicará a los títulos objeto de la operación como mínimo los “</w:t>
      </w:r>
      <w:proofErr w:type="spellStart"/>
      <w:r w:rsidRPr="002C0D19">
        <w:rPr>
          <w:rFonts w:ascii="Arial Narrow" w:hAnsi="Arial Narrow" w:cs="Arial Narrow,BoldItalic"/>
          <w:bCs/>
          <w:iCs/>
          <w:color w:val="000000" w:themeColor="text1"/>
          <w:lang w:eastAsia="es-CO"/>
        </w:rPr>
        <w:t>haircuts</w:t>
      </w:r>
      <w:proofErr w:type="spellEnd"/>
      <w:r w:rsidRPr="002C0D19">
        <w:rPr>
          <w:rFonts w:ascii="Arial Narrow" w:hAnsi="Arial Narrow" w:cs="Arial Narrow,BoldItalic"/>
          <w:bCs/>
          <w:iCs/>
          <w:color w:val="000000" w:themeColor="text1"/>
          <w:lang w:eastAsia="es-CO"/>
        </w:rPr>
        <w:t>” definidos en el Artículo 1.6.4.2 de la presente Circular.</w:t>
      </w:r>
    </w:p>
    <w:p w14:paraId="27A64446" w14:textId="77777777" w:rsidR="007968EC" w:rsidRPr="002C0D19" w:rsidRDefault="007968EC" w:rsidP="00DA7472">
      <w:pPr>
        <w:numPr>
          <w:ilvl w:val="0"/>
          <w:numId w:val="91"/>
        </w:num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t>Las Contrapartes de Inversión deberán cumplir con los siguientes requisitos:</w:t>
      </w:r>
    </w:p>
    <w:p w14:paraId="3095E6EE" w14:textId="77777777" w:rsidR="007968EC" w:rsidRPr="002C0D19" w:rsidRDefault="007968EC" w:rsidP="007968EC">
      <w:pPr>
        <w:autoSpaceDE w:val="0"/>
        <w:autoSpaceDN w:val="0"/>
        <w:adjustRightInd w:val="0"/>
        <w:ind w:left="720"/>
        <w:jc w:val="both"/>
        <w:rPr>
          <w:rFonts w:ascii="Arial Narrow" w:hAnsi="Arial Narrow" w:cs="Arial Narrow,BoldItalic"/>
          <w:bCs/>
          <w:iCs/>
          <w:color w:val="000000" w:themeColor="text1"/>
          <w:lang w:eastAsia="es-CO"/>
        </w:rPr>
      </w:pPr>
    </w:p>
    <w:p w14:paraId="01C90677" w14:textId="77777777" w:rsidR="007968EC" w:rsidRPr="002C0D19" w:rsidRDefault="007968EC" w:rsidP="00DA7472">
      <w:pPr>
        <w:numPr>
          <w:ilvl w:val="1"/>
          <w:numId w:val="91"/>
        </w:numPr>
        <w:autoSpaceDE w:val="0"/>
        <w:autoSpaceDN w:val="0"/>
        <w:adjustRightInd w:val="0"/>
        <w:ind w:hanging="164"/>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t>Ser Miembros Liquidadores de la Cámara.</w:t>
      </w:r>
    </w:p>
    <w:p w14:paraId="1809BA15" w14:textId="77777777" w:rsidR="007968EC" w:rsidRPr="002C0D19" w:rsidRDefault="007968EC" w:rsidP="00DA7472">
      <w:pPr>
        <w:numPr>
          <w:ilvl w:val="1"/>
          <w:numId w:val="91"/>
        </w:numPr>
        <w:autoSpaceDE w:val="0"/>
        <w:autoSpaceDN w:val="0"/>
        <w:adjustRightInd w:val="0"/>
        <w:ind w:hanging="164"/>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t>Tener calificación de Riesgo de Crédito de Largo Plazo AAA otorgado por una Calificadora de Riesgos autorizada por la Superintendencia Financiera de Colombia.</w:t>
      </w:r>
    </w:p>
    <w:p w14:paraId="4834699C" w14:textId="77777777" w:rsidR="007968EC" w:rsidRPr="002C0D19" w:rsidRDefault="007968EC" w:rsidP="007968EC">
      <w:pPr>
        <w:autoSpaceDE w:val="0"/>
        <w:autoSpaceDN w:val="0"/>
        <w:adjustRightInd w:val="0"/>
        <w:ind w:left="360"/>
        <w:jc w:val="both"/>
        <w:rPr>
          <w:rFonts w:ascii="Arial Narrow" w:hAnsi="Arial Narrow" w:cs="Arial Narrow,BoldItalic"/>
          <w:bCs/>
          <w:iCs/>
          <w:color w:val="000000" w:themeColor="text1"/>
          <w:lang w:eastAsia="es-CO"/>
        </w:rPr>
      </w:pPr>
    </w:p>
    <w:p w14:paraId="1DC45613" w14:textId="77777777" w:rsidR="007968EC" w:rsidRPr="002C0D19" w:rsidRDefault="007968EC" w:rsidP="00DA7472">
      <w:pPr>
        <w:numPr>
          <w:ilvl w:val="0"/>
          <w:numId w:val="90"/>
        </w:num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val="es-ES" w:eastAsia="es-CO"/>
        </w:rPr>
        <w:t>La Cámara invertirá por cada Contraparte de Inversión hasta el veinticinco (25%) del total de las Garantías en efectivo a invertir, siempre que el monto mínimo a adjudicar por cada una sea igual o mayor a veinte mil millones de pesos ($20.000.000.000).</w:t>
      </w:r>
    </w:p>
    <w:p w14:paraId="1026C68F" w14:textId="77777777" w:rsidR="007968EC" w:rsidRPr="002C0D19" w:rsidRDefault="007968EC" w:rsidP="007968EC">
      <w:pPr>
        <w:autoSpaceDE w:val="0"/>
        <w:autoSpaceDN w:val="0"/>
        <w:adjustRightInd w:val="0"/>
        <w:ind w:left="360"/>
        <w:jc w:val="both"/>
        <w:rPr>
          <w:rFonts w:ascii="Arial Narrow" w:hAnsi="Arial Narrow" w:cs="Arial Narrow,BoldItalic"/>
          <w:bCs/>
          <w:iCs/>
          <w:color w:val="000000" w:themeColor="text1"/>
          <w:lang w:eastAsia="es-CO"/>
        </w:rPr>
      </w:pPr>
    </w:p>
    <w:p w14:paraId="3A9C2382" w14:textId="77777777" w:rsidR="007968EC" w:rsidRPr="002C0D19" w:rsidRDefault="007968EC" w:rsidP="00DA7472">
      <w:pPr>
        <w:numPr>
          <w:ilvl w:val="0"/>
          <w:numId w:val="90"/>
        </w:num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t>La Cámara se reserva el derecho a no invertir el total o una parte de las garantías constituidas en efectivo del Miembro que de acuerdo al análisis de riesgo pueda impactar a la Cámara frente a un requerimiento de liquidez. Para dicho análisis, la Cámara tendrá en cuenta la posición abierta de los Miembros y sus Terceros, la sensibilidad de estas posiciones ante situaciones excepcionales de alta volatilidad, los recursos a los cuales tiene acceso la Cámara ante requerimientos de liquidez y las garantías constituidas en efectivo de dicho Miembro.</w:t>
      </w:r>
    </w:p>
    <w:p w14:paraId="130AF79D" w14:textId="77777777" w:rsidR="007968EC" w:rsidRPr="002C0D19" w:rsidRDefault="007968EC" w:rsidP="007968EC">
      <w:pPr>
        <w:autoSpaceDE w:val="0"/>
        <w:autoSpaceDN w:val="0"/>
        <w:adjustRightInd w:val="0"/>
        <w:ind w:left="360"/>
        <w:jc w:val="both"/>
        <w:rPr>
          <w:rFonts w:ascii="Arial Narrow" w:hAnsi="Arial Narrow" w:cs="Arial Narrow,BoldItalic"/>
          <w:bCs/>
          <w:iCs/>
          <w:color w:val="000000" w:themeColor="text1"/>
          <w:lang w:eastAsia="es-CO"/>
        </w:rPr>
      </w:pPr>
    </w:p>
    <w:p w14:paraId="26C9FD28" w14:textId="77777777" w:rsidR="007968EC" w:rsidRPr="002C0D19" w:rsidRDefault="007968EC" w:rsidP="00DA7472">
      <w:pPr>
        <w:numPr>
          <w:ilvl w:val="2"/>
          <w:numId w:val="91"/>
        </w:numPr>
        <w:autoSpaceDE w:val="0"/>
        <w:autoSpaceDN w:val="0"/>
        <w:adjustRightInd w:val="0"/>
        <w:ind w:left="993"/>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t xml:space="preserve">La Cámara notificará al Miembro al cual no se le inviertan una parte o la totalidad de las Garantías constituidas en efectivo por las razones señaladas en párrafo anterior, una vez al mes, a través de correo electrónico desde la cuenta: </w:t>
      </w:r>
      <w:hyperlink r:id="rId10" w:history="1">
        <w:r w:rsidRPr="002C0D19">
          <w:rPr>
            <w:rFonts w:ascii="Arial Narrow" w:hAnsi="Arial Narrow" w:cs="Arial Narrow,BoldItalic"/>
            <w:bCs/>
            <w:iCs/>
            <w:color w:val="000000" w:themeColor="text1"/>
            <w:u w:val="single"/>
            <w:lang w:eastAsia="es-CO"/>
          </w:rPr>
          <w:t>administracioncrcc@camaraderiesgo.com.co</w:t>
        </w:r>
      </w:hyperlink>
      <w:r w:rsidRPr="002C0D19">
        <w:rPr>
          <w:rFonts w:ascii="Arial Narrow" w:hAnsi="Arial Narrow" w:cs="Arial Narrow,BoldItalic"/>
          <w:bCs/>
          <w:iCs/>
          <w:color w:val="000000" w:themeColor="text1"/>
          <w:lang w:eastAsia="es-CO"/>
        </w:rPr>
        <w:t>.</w:t>
      </w:r>
    </w:p>
    <w:p w14:paraId="2E01A712" w14:textId="77777777" w:rsidR="007968EC" w:rsidRPr="002C0D19" w:rsidRDefault="007968EC" w:rsidP="007968EC">
      <w:pPr>
        <w:autoSpaceDE w:val="0"/>
        <w:autoSpaceDN w:val="0"/>
        <w:adjustRightInd w:val="0"/>
        <w:ind w:left="993"/>
        <w:jc w:val="both"/>
        <w:rPr>
          <w:rFonts w:ascii="Arial Narrow" w:hAnsi="Arial Narrow" w:cs="Arial Narrow,BoldItalic"/>
          <w:bCs/>
          <w:iCs/>
          <w:color w:val="000000" w:themeColor="text1"/>
          <w:lang w:eastAsia="es-CO"/>
        </w:rPr>
      </w:pPr>
    </w:p>
    <w:p w14:paraId="10733895" w14:textId="77777777" w:rsidR="007968EC" w:rsidRPr="002C0D19" w:rsidRDefault="007968EC" w:rsidP="00DA7472">
      <w:pPr>
        <w:numPr>
          <w:ilvl w:val="0"/>
          <w:numId w:val="90"/>
        </w:num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t>En el caso de presentarse situaciones excepcionales, la Cámara se reserva el derecho de realizar o no la inversión de las Garantías en efectivo. En todo caso, los Miembros serán notificados sobre dicha decisión.</w:t>
      </w:r>
    </w:p>
    <w:p w14:paraId="2F4E53D8" w14:textId="77777777" w:rsidR="007968EC" w:rsidRPr="002C0D19" w:rsidRDefault="007968EC" w:rsidP="007968EC">
      <w:pPr>
        <w:autoSpaceDE w:val="0"/>
        <w:autoSpaceDN w:val="0"/>
        <w:adjustRightInd w:val="0"/>
        <w:ind w:left="360"/>
        <w:jc w:val="both"/>
        <w:rPr>
          <w:rFonts w:ascii="Arial Narrow" w:hAnsi="Arial Narrow" w:cs="Arial Narrow,BoldItalic"/>
          <w:bCs/>
          <w:iCs/>
          <w:color w:val="000000" w:themeColor="text1"/>
          <w:lang w:eastAsia="es-CO"/>
        </w:rPr>
      </w:pPr>
    </w:p>
    <w:p w14:paraId="6AF34348" w14:textId="77777777" w:rsidR="007968EC" w:rsidRPr="002C0D19" w:rsidRDefault="007968EC" w:rsidP="00DA7472">
      <w:pPr>
        <w:numPr>
          <w:ilvl w:val="0"/>
          <w:numId w:val="90"/>
        </w:num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t xml:space="preserve">En caso de presentarse un incumplimiento en las operaciones de inversión de las Garantías constituidas en efectivo, éste será gestionado conforme con lo establecido en el reglamento del </w:t>
      </w:r>
      <w:r w:rsidRPr="002C0D19">
        <w:rPr>
          <w:rFonts w:ascii="Arial Narrow" w:hAnsi="Arial Narrow" w:cs="Arial"/>
          <w:color w:val="000000" w:themeColor="text1"/>
          <w:lang w:val="es-ES" w:eastAsia="es-ES"/>
        </w:rPr>
        <w:t>Sistema de Registro de Operaciones sobre Valores</w:t>
      </w:r>
      <w:r w:rsidRPr="002C0D19">
        <w:rPr>
          <w:rFonts w:ascii="Arial Narrow" w:hAnsi="Arial Narrow" w:cs="Arial Narrow,BoldItalic"/>
          <w:bCs/>
          <w:iCs/>
          <w:color w:val="000000" w:themeColor="text1"/>
          <w:lang w:eastAsia="es-CO"/>
        </w:rPr>
        <w:t xml:space="preserve"> en el que se hayan registrado las operaciones.  Sin perjuicio de lo anterior, en caso de pérdidas generadas de tales inversiones, la Cámara no será responsable de los daños y perjuicios que pueda sufrir cualquier Miembro o Tercero por esta causa en los términos del artículo 1.2.4. del Reglamento.</w:t>
      </w:r>
    </w:p>
    <w:p w14:paraId="11691BBE"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085A01CC" w14:textId="77777777" w:rsidR="007968EC" w:rsidRDefault="007968EC" w:rsidP="007968EC">
      <w:pPr>
        <w:pStyle w:val="ARTICULO0"/>
      </w:pPr>
      <w:bookmarkStart w:id="2324" w:name="_Toc472592170"/>
      <w:bookmarkStart w:id="2325" w:name="_Toc472593189"/>
      <w:bookmarkStart w:id="2326" w:name="_Toc479056975"/>
      <w:bookmarkStart w:id="2327" w:name="_Toc31715988"/>
      <w:bookmarkStart w:id="2328" w:name="_Toc470775490"/>
      <w:bookmarkStart w:id="2329" w:name="_Toc470779775"/>
      <w:bookmarkStart w:id="2330" w:name="_Toc470780392"/>
      <w:bookmarkStart w:id="2331" w:name="_Toc470780905"/>
      <w:bookmarkStart w:id="2332" w:name="_Toc470784466"/>
      <w:bookmarkStart w:id="2333" w:name="_Toc470785003"/>
      <w:bookmarkStart w:id="2334" w:name="_Toc470791389"/>
      <w:bookmarkStart w:id="2335" w:name="_Toc490066294"/>
      <w:r>
        <w:t xml:space="preserve">Artículo 1.6.4.14. </w:t>
      </w:r>
      <w:r w:rsidRPr="002C0D19">
        <w:t>Procedimiento de Inversión de las Garantías constituidas en efectivo y de Liquidación de los Intereses.</w:t>
      </w:r>
      <w:bookmarkEnd w:id="2324"/>
      <w:bookmarkEnd w:id="2325"/>
      <w:bookmarkEnd w:id="2326"/>
      <w:bookmarkEnd w:id="2327"/>
      <w:r w:rsidRPr="002C0D19">
        <w:t xml:space="preserve"> </w:t>
      </w:r>
    </w:p>
    <w:p w14:paraId="0003A450" w14:textId="77777777" w:rsidR="007968EC" w:rsidRPr="003F5F9A" w:rsidRDefault="007968EC" w:rsidP="007968EC">
      <w:pPr>
        <w:jc w:val="both"/>
        <w:rPr>
          <w:rFonts w:ascii="Arial Narrow" w:hAnsi="Arial Narrow" w:cs="Arial"/>
          <w:color w:val="000000" w:themeColor="text1"/>
          <w:lang w:eastAsia="es-ES"/>
        </w:rPr>
      </w:pPr>
    </w:p>
    <w:p w14:paraId="26C34331" w14:textId="77777777" w:rsidR="007968EC" w:rsidRPr="002C0D19" w:rsidRDefault="007968EC" w:rsidP="007968EC">
      <w:pPr>
        <w:pStyle w:val="ANTECEDENTES"/>
        <w:rPr>
          <w:u w:val="single"/>
        </w:rPr>
      </w:pPr>
      <w:r w:rsidRPr="002C0D19">
        <w:t xml:space="preserve">(Este artículo fue adicionado mediante Circular 12 del 4 de julio de 2014, publicada en el Boletín Normativo No. 014 del 4 de julio de 2014 y modificado mediante Circular 16 del 14 de julio de 2014, publicada en el Boletín Normativo No. 018 del 14 de agosto de 2014. Rige a partir del 15 de agosto de 2014 y renumerado mediante </w:t>
      </w:r>
      <w:r w:rsidRPr="002C0D19">
        <w:rPr>
          <w:lang w:val="es-ES"/>
        </w:rPr>
        <w:t xml:space="preserve">Circular 19 del 28 de diciembre de 2016, publicada en el Boletín Normativo No. 024 del 28 de diciembre de 2016. </w:t>
      </w:r>
      <w:r w:rsidRPr="002C0D19">
        <w:t>Rige a partir del 29 de diciembre de 2016.</w:t>
      </w:r>
      <w:r w:rsidRPr="002C0D19">
        <w:rPr>
          <w:lang w:val="es-ES"/>
        </w:rPr>
        <w:t>)</w:t>
      </w:r>
      <w:bookmarkEnd w:id="2328"/>
      <w:bookmarkEnd w:id="2329"/>
      <w:bookmarkEnd w:id="2330"/>
      <w:bookmarkEnd w:id="2331"/>
      <w:bookmarkEnd w:id="2332"/>
      <w:bookmarkEnd w:id="2333"/>
      <w:bookmarkEnd w:id="2334"/>
      <w:bookmarkEnd w:id="2335"/>
    </w:p>
    <w:p w14:paraId="2BF57623"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02C1DB06" w14:textId="77777777" w:rsidR="007968EC" w:rsidRPr="002C0D19" w:rsidRDefault="007968EC" w:rsidP="007968EC">
      <w:p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lastRenderedPageBreak/>
        <w:t>1. Procedimiento diario:</w:t>
      </w:r>
    </w:p>
    <w:p w14:paraId="61FC16C9" w14:textId="77777777" w:rsidR="007968EC" w:rsidRPr="002C0D19" w:rsidRDefault="007968EC" w:rsidP="007968EC">
      <w:pPr>
        <w:autoSpaceDE w:val="0"/>
        <w:autoSpaceDN w:val="0"/>
        <w:adjustRightInd w:val="0"/>
        <w:jc w:val="both"/>
        <w:rPr>
          <w:rFonts w:ascii="Arial Narrow" w:hAnsi="Arial Narrow" w:cs="Arial Narrow,BoldItalic"/>
          <w:bCs/>
          <w:iCs/>
          <w:color w:val="000000" w:themeColor="text1"/>
          <w:lang w:eastAsia="es-CO"/>
        </w:rPr>
      </w:pPr>
    </w:p>
    <w:p w14:paraId="1F02F58D" w14:textId="77777777" w:rsidR="007968EC" w:rsidRPr="002C0D19" w:rsidRDefault="007968EC" w:rsidP="007968EC">
      <w:p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t>La Cámara, a través de la Dirección Administrativa y Financiera, realizará el procedimiento de inversión de las Garantías constituidas en efectivo de acuerdo con los criterios establecidos en el artículo 2.7.5. del Reglamento de Funcionamiento y de conformidad con el siguiente procedimiento:</w:t>
      </w:r>
    </w:p>
    <w:p w14:paraId="4F92F0D2" w14:textId="77777777" w:rsidR="007968EC" w:rsidRPr="002C0D19" w:rsidRDefault="007968EC" w:rsidP="007968EC">
      <w:pPr>
        <w:autoSpaceDE w:val="0"/>
        <w:autoSpaceDN w:val="0"/>
        <w:adjustRightInd w:val="0"/>
        <w:jc w:val="both"/>
        <w:rPr>
          <w:rFonts w:ascii="Arial Narrow" w:hAnsi="Arial Narrow" w:cs="Arial Narrow,BoldItalic"/>
          <w:bCs/>
          <w:iCs/>
          <w:color w:val="000000" w:themeColor="text1"/>
          <w:lang w:eastAsia="es-CO"/>
        </w:rPr>
      </w:pPr>
    </w:p>
    <w:p w14:paraId="532D96E2" w14:textId="77777777" w:rsidR="007968EC" w:rsidRPr="002C0D19" w:rsidRDefault="007968EC" w:rsidP="00DA7472">
      <w:pPr>
        <w:numPr>
          <w:ilvl w:val="0"/>
          <w:numId w:val="93"/>
        </w:num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t>La Cámara a través de la Subgerencia de Riesgos y Operaciones establecerá el monto de las Garantías recibidas en efectivo y determinará el saldo disponible para invertir para aquellos Miembros que lo autoricen de acuerdo con el Procedimiento de Inversión de las Garantías constituidas en efectivo. Para tales efectos, la Cámara tomará como saldo a invertir de cada Miembro la totalidad de las Garantías en efectivo constituidas bajo su estructura, dentro de los horarios establecidos para ello de acuerdo con el artículo 1.8.1.3. de la presente Circular.</w:t>
      </w:r>
    </w:p>
    <w:p w14:paraId="170239D7" w14:textId="77777777" w:rsidR="007968EC" w:rsidRPr="002C0D19" w:rsidRDefault="007968EC" w:rsidP="007968EC">
      <w:pPr>
        <w:autoSpaceDE w:val="0"/>
        <w:autoSpaceDN w:val="0"/>
        <w:adjustRightInd w:val="0"/>
        <w:ind w:left="720"/>
        <w:jc w:val="both"/>
        <w:rPr>
          <w:rFonts w:ascii="Arial Narrow" w:hAnsi="Arial Narrow" w:cs="Arial Narrow,BoldItalic"/>
          <w:bCs/>
          <w:iCs/>
          <w:color w:val="000000" w:themeColor="text1"/>
          <w:lang w:eastAsia="es-CO"/>
        </w:rPr>
      </w:pPr>
    </w:p>
    <w:p w14:paraId="4B71A97F" w14:textId="77777777" w:rsidR="007968EC" w:rsidRPr="002C0D19" w:rsidRDefault="007968EC" w:rsidP="00DA7472">
      <w:pPr>
        <w:numPr>
          <w:ilvl w:val="0"/>
          <w:numId w:val="93"/>
        </w:num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t xml:space="preserve">La Cámara, a través de la Dirección Administrativa y Financiera enviará a las Contrapartes de Inversión, por medio de un correo electrónico desde la cuenta </w:t>
      </w:r>
      <w:hyperlink r:id="rId11" w:history="1">
        <w:r w:rsidRPr="002C0D19">
          <w:rPr>
            <w:rFonts w:ascii="Arial Narrow" w:hAnsi="Arial Narrow" w:cs="Arial Narrow,BoldItalic"/>
            <w:bCs/>
            <w:iCs/>
            <w:color w:val="000000" w:themeColor="text1"/>
            <w:u w:val="single"/>
            <w:lang w:eastAsia="es-CO"/>
          </w:rPr>
          <w:t>administracioncrcc@camaraderiesgo.com.co</w:t>
        </w:r>
      </w:hyperlink>
      <w:r w:rsidRPr="002C0D19">
        <w:rPr>
          <w:rFonts w:ascii="Arial Narrow" w:hAnsi="Arial Narrow" w:cs="Arial Narrow,BoldItalic"/>
          <w:bCs/>
          <w:iCs/>
          <w:color w:val="000000" w:themeColor="text1"/>
          <w:lang w:eastAsia="es-CO"/>
        </w:rPr>
        <w:t>, el saldo de Garantías constituidas en efectivo disponible para invertir y las características de la operación, como:</w:t>
      </w:r>
    </w:p>
    <w:p w14:paraId="62805669" w14:textId="77777777" w:rsidR="007968EC" w:rsidRPr="002C0D19" w:rsidRDefault="007968EC" w:rsidP="007968EC">
      <w:pPr>
        <w:ind w:left="708"/>
        <w:rPr>
          <w:rFonts w:ascii="Arial Narrow" w:hAnsi="Arial Narrow" w:cs="Arial Narrow,BoldItalic"/>
          <w:bCs/>
          <w:iCs/>
          <w:color w:val="000000" w:themeColor="text1"/>
          <w:lang w:eastAsia="es-CO"/>
        </w:rPr>
      </w:pPr>
    </w:p>
    <w:p w14:paraId="707FDBD9" w14:textId="77777777" w:rsidR="007968EC" w:rsidRPr="002C0D19" w:rsidRDefault="007968EC" w:rsidP="00DA7472">
      <w:pPr>
        <w:numPr>
          <w:ilvl w:val="0"/>
          <w:numId w:val="94"/>
        </w:num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t xml:space="preserve">Tipo de operación. </w:t>
      </w:r>
    </w:p>
    <w:p w14:paraId="74220EA3" w14:textId="77777777" w:rsidR="007968EC" w:rsidRPr="002C0D19" w:rsidRDefault="007968EC" w:rsidP="00DA7472">
      <w:pPr>
        <w:numPr>
          <w:ilvl w:val="0"/>
          <w:numId w:val="94"/>
        </w:num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t>Plazo de la operación.</w:t>
      </w:r>
    </w:p>
    <w:p w14:paraId="59987854" w14:textId="77777777" w:rsidR="007968EC" w:rsidRPr="002C0D19" w:rsidRDefault="007968EC" w:rsidP="00DA7472">
      <w:pPr>
        <w:numPr>
          <w:ilvl w:val="0"/>
          <w:numId w:val="94"/>
        </w:num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t>Listado de títulos aceptados como garantía de la operación.</w:t>
      </w:r>
    </w:p>
    <w:p w14:paraId="494D04C2" w14:textId="77777777" w:rsidR="007968EC" w:rsidRPr="002C0D19" w:rsidRDefault="007968EC" w:rsidP="00DA7472">
      <w:pPr>
        <w:numPr>
          <w:ilvl w:val="0"/>
          <w:numId w:val="94"/>
        </w:num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t>Características sobre el cumplimiento de la operación.</w:t>
      </w:r>
    </w:p>
    <w:p w14:paraId="2ABC62F1" w14:textId="77777777" w:rsidR="007968EC" w:rsidRPr="002C0D19" w:rsidRDefault="007968EC" w:rsidP="007968EC">
      <w:pPr>
        <w:autoSpaceDE w:val="0"/>
        <w:autoSpaceDN w:val="0"/>
        <w:adjustRightInd w:val="0"/>
        <w:ind w:left="720"/>
        <w:jc w:val="both"/>
        <w:rPr>
          <w:rFonts w:ascii="Arial Narrow" w:hAnsi="Arial Narrow" w:cs="Arial Narrow,BoldItalic"/>
          <w:bCs/>
          <w:iCs/>
          <w:color w:val="000000" w:themeColor="text1"/>
          <w:lang w:eastAsia="es-CO"/>
        </w:rPr>
      </w:pPr>
    </w:p>
    <w:p w14:paraId="182C7093" w14:textId="77777777" w:rsidR="007968EC" w:rsidRPr="002C0D19" w:rsidRDefault="007968EC" w:rsidP="00DA7472">
      <w:pPr>
        <w:numPr>
          <w:ilvl w:val="0"/>
          <w:numId w:val="93"/>
        </w:num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t xml:space="preserve">Las Contrapartes de Inversión enviarán las ofertas por medio del correo electrónico de las firmas autorizadas por el administrador de la entidad para tal fin al correo: </w:t>
      </w:r>
      <w:hyperlink r:id="rId12" w:history="1">
        <w:r w:rsidRPr="002C0D19">
          <w:rPr>
            <w:rFonts w:ascii="Arial Narrow" w:hAnsi="Arial Narrow" w:cs="Arial Narrow,BoldItalic"/>
            <w:bCs/>
            <w:iCs/>
            <w:color w:val="000000" w:themeColor="text1"/>
            <w:u w:val="single"/>
            <w:lang w:eastAsia="es-CO"/>
          </w:rPr>
          <w:t>administracioncrcc@camaraderiesgo.com.co</w:t>
        </w:r>
      </w:hyperlink>
      <w:r w:rsidRPr="002C0D19">
        <w:rPr>
          <w:rFonts w:ascii="Arial Narrow" w:hAnsi="Arial Narrow" w:cs="Arial Narrow,BoldItalic"/>
          <w:bCs/>
          <w:iCs/>
          <w:color w:val="000000" w:themeColor="text1"/>
          <w:lang w:eastAsia="es-CO"/>
        </w:rPr>
        <w:t>, especificando:</w:t>
      </w:r>
    </w:p>
    <w:p w14:paraId="7BE773A4" w14:textId="77777777" w:rsidR="007968EC" w:rsidRPr="002C0D19" w:rsidRDefault="007968EC" w:rsidP="007968EC">
      <w:pPr>
        <w:autoSpaceDE w:val="0"/>
        <w:autoSpaceDN w:val="0"/>
        <w:adjustRightInd w:val="0"/>
        <w:ind w:left="1440"/>
        <w:jc w:val="both"/>
        <w:rPr>
          <w:rFonts w:ascii="Arial Narrow" w:hAnsi="Arial Narrow" w:cs="Arial Narrow,BoldItalic"/>
          <w:bCs/>
          <w:iCs/>
          <w:color w:val="000000" w:themeColor="text1"/>
          <w:lang w:eastAsia="es-CO"/>
        </w:rPr>
      </w:pPr>
    </w:p>
    <w:p w14:paraId="794C5C47" w14:textId="77777777" w:rsidR="007968EC" w:rsidRPr="002C0D19" w:rsidRDefault="007968EC" w:rsidP="00DA7472">
      <w:pPr>
        <w:numPr>
          <w:ilvl w:val="1"/>
          <w:numId w:val="92"/>
        </w:num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t>La tasa ofertada.</w:t>
      </w:r>
    </w:p>
    <w:p w14:paraId="017CF9D2" w14:textId="77777777" w:rsidR="007968EC" w:rsidRPr="002C0D19" w:rsidRDefault="007968EC" w:rsidP="00DA7472">
      <w:pPr>
        <w:numPr>
          <w:ilvl w:val="1"/>
          <w:numId w:val="92"/>
        </w:num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t>El monto de la operación.</w:t>
      </w:r>
    </w:p>
    <w:p w14:paraId="3288A1AA" w14:textId="77777777" w:rsidR="007968EC" w:rsidRPr="002C0D19" w:rsidRDefault="007968EC" w:rsidP="00DA7472">
      <w:pPr>
        <w:numPr>
          <w:ilvl w:val="1"/>
          <w:numId w:val="92"/>
        </w:num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t>El título objeto de la operación y el depósito de valores donde se encuentra.</w:t>
      </w:r>
    </w:p>
    <w:p w14:paraId="3EAECF53" w14:textId="77777777" w:rsidR="007968EC" w:rsidRPr="002C0D19" w:rsidRDefault="007968EC" w:rsidP="007968EC">
      <w:pPr>
        <w:autoSpaceDE w:val="0"/>
        <w:autoSpaceDN w:val="0"/>
        <w:adjustRightInd w:val="0"/>
        <w:jc w:val="both"/>
        <w:rPr>
          <w:rFonts w:ascii="Arial Narrow" w:hAnsi="Arial Narrow" w:cs="Arial Narrow,BoldItalic"/>
          <w:bCs/>
          <w:iCs/>
          <w:color w:val="000000" w:themeColor="text1"/>
          <w:lang w:eastAsia="es-CO"/>
        </w:rPr>
      </w:pPr>
    </w:p>
    <w:p w14:paraId="53547CF4" w14:textId="77777777" w:rsidR="007968EC" w:rsidRPr="002C0D19" w:rsidRDefault="007968EC" w:rsidP="007968EC">
      <w:p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t>Si en el horario establecido en el numeral 3 del artículo 1.8.1.3 de la presente Circular, la Dirección Administrativa y Financiera de la Cámara no recibe ofertas por parte de las Contrapartes de Inversión; la Cámara no realizará la inversión de las Garantías constituidas en efectivo ese día.</w:t>
      </w:r>
    </w:p>
    <w:p w14:paraId="6B4A7E0C" w14:textId="77777777" w:rsidR="007968EC" w:rsidRPr="002C0D19" w:rsidRDefault="007968EC" w:rsidP="007968EC">
      <w:pPr>
        <w:autoSpaceDE w:val="0"/>
        <w:autoSpaceDN w:val="0"/>
        <w:adjustRightInd w:val="0"/>
        <w:ind w:left="720"/>
        <w:jc w:val="both"/>
        <w:rPr>
          <w:rFonts w:ascii="Arial Narrow" w:hAnsi="Arial Narrow" w:cs="Arial Narrow,BoldItalic"/>
          <w:bCs/>
          <w:iCs/>
          <w:color w:val="000000" w:themeColor="text1"/>
          <w:lang w:eastAsia="es-CO"/>
        </w:rPr>
      </w:pPr>
    </w:p>
    <w:p w14:paraId="23D2714C" w14:textId="77777777" w:rsidR="007968EC" w:rsidRPr="002C0D19" w:rsidRDefault="007968EC" w:rsidP="00DA7472">
      <w:pPr>
        <w:numPr>
          <w:ilvl w:val="0"/>
          <w:numId w:val="93"/>
        </w:num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t>La Dirección Administrativa y Financiera de la Cámara adjudicará las ofertas de acuerdo con los siguientes pasos:</w:t>
      </w:r>
    </w:p>
    <w:p w14:paraId="5B51297B" w14:textId="77777777" w:rsidR="007968EC" w:rsidRPr="002C0D19" w:rsidRDefault="007968EC" w:rsidP="00DA7472">
      <w:pPr>
        <w:numPr>
          <w:ilvl w:val="0"/>
          <w:numId w:val="95"/>
        </w:num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t>Ordena de mayor a menor las tasas enviadas por las Contrapartes de Inversión.</w:t>
      </w:r>
    </w:p>
    <w:p w14:paraId="53B1285A" w14:textId="77777777" w:rsidR="007968EC" w:rsidRPr="002C0D19" w:rsidRDefault="007968EC" w:rsidP="00DA7472">
      <w:pPr>
        <w:numPr>
          <w:ilvl w:val="0"/>
          <w:numId w:val="95"/>
        </w:num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t>Adjudica por orden de tasa hasta completar el saldo disponible para invertir. Esta adjudicación tendrá en cuenta el límite definido en el numeral 2 del artículo 1.6.4.13 de la presente Circular. En todo caso la Cámara adjudicará como máximo el monto solicitado por la contraparte de inversión.</w:t>
      </w:r>
    </w:p>
    <w:p w14:paraId="4E65E846" w14:textId="77777777" w:rsidR="007968EC" w:rsidRPr="002C0D19" w:rsidRDefault="007968EC" w:rsidP="00DA7472">
      <w:pPr>
        <w:numPr>
          <w:ilvl w:val="0"/>
          <w:numId w:val="95"/>
        </w:num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lastRenderedPageBreak/>
        <w:t>Si hay más de una oferta con la misma tasa, se adjudicará la oferta por hora de llegada del correo con la oferta.</w:t>
      </w:r>
    </w:p>
    <w:p w14:paraId="368CAEA1" w14:textId="77777777" w:rsidR="007968EC" w:rsidRPr="002C0D19" w:rsidRDefault="007968EC" w:rsidP="007968EC">
      <w:pPr>
        <w:autoSpaceDE w:val="0"/>
        <w:autoSpaceDN w:val="0"/>
        <w:adjustRightInd w:val="0"/>
        <w:ind w:left="1440"/>
        <w:jc w:val="both"/>
        <w:rPr>
          <w:rFonts w:ascii="Arial Narrow" w:hAnsi="Arial Narrow" w:cs="Arial Narrow,BoldItalic"/>
          <w:bCs/>
          <w:iCs/>
          <w:color w:val="000000" w:themeColor="text1"/>
          <w:lang w:eastAsia="es-CO"/>
        </w:rPr>
      </w:pPr>
    </w:p>
    <w:p w14:paraId="4E14313A" w14:textId="77777777" w:rsidR="007968EC" w:rsidRPr="002C0D19" w:rsidRDefault="007968EC" w:rsidP="00DA7472">
      <w:pPr>
        <w:numPr>
          <w:ilvl w:val="0"/>
          <w:numId w:val="93"/>
        </w:num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t>La Dirección Administrativa y Financiera de la Cámara enviará confirmación a las Contrapartes de Inversión sobre los resultados del proceso de adjudicación.</w:t>
      </w:r>
    </w:p>
    <w:p w14:paraId="77B156A2" w14:textId="77777777" w:rsidR="007968EC" w:rsidRPr="002C0D19" w:rsidRDefault="007968EC" w:rsidP="007968EC">
      <w:pPr>
        <w:autoSpaceDE w:val="0"/>
        <w:autoSpaceDN w:val="0"/>
        <w:adjustRightInd w:val="0"/>
        <w:ind w:left="720"/>
        <w:jc w:val="both"/>
        <w:rPr>
          <w:rFonts w:ascii="Arial Narrow" w:hAnsi="Arial Narrow" w:cs="Arial Narrow,BoldItalic"/>
          <w:bCs/>
          <w:iCs/>
          <w:color w:val="000000" w:themeColor="text1"/>
          <w:lang w:eastAsia="es-CO"/>
        </w:rPr>
      </w:pPr>
    </w:p>
    <w:p w14:paraId="69557983" w14:textId="77777777" w:rsidR="007968EC" w:rsidRPr="002C0D19" w:rsidRDefault="007968EC" w:rsidP="00DA7472">
      <w:pPr>
        <w:numPr>
          <w:ilvl w:val="0"/>
          <w:numId w:val="93"/>
        </w:num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t>La Contraparte de Inversión registrará la operación de acuerdo con lo establecido en el artículo 1.6.4.15 de la presente Circular.</w:t>
      </w:r>
    </w:p>
    <w:p w14:paraId="0F238FC1" w14:textId="77777777" w:rsidR="007968EC" w:rsidRPr="002C0D19" w:rsidRDefault="007968EC" w:rsidP="007968EC">
      <w:pPr>
        <w:ind w:left="708"/>
        <w:rPr>
          <w:rFonts w:ascii="Arial Narrow" w:hAnsi="Arial Narrow" w:cs="Arial Narrow,BoldItalic"/>
          <w:bCs/>
          <w:iCs/>
          <w:color w:val="000000" w:themeColor="text1"/>
          <w:lang w:eastAsia="es-CO"/>
        </w:rPr>
      </w:pPr>
    </w:p>
    <w:p w14:paraId="624E8793" w14:textId="77777777" w:rsidR="007968EC" w:rsidRPr="002C0D19" w:rsidRDefault="007968EC" w:rsidP="00DA7472">
      <w:pPr>
        <w:numPr>
          <w:ilvl w:val="0"/>
          <w:numId w:val="93"/>
        </w:num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t>El cumplimiento de las operaciones se efectuará conforme con lo establecido en el reglamento del Sistema de Registro de Operaciones sobre Valores en el cual se registran las mismas, y con Liquidación especial, de tal forma que el cumplimiento de la operación inicial y final sea contra las cuentas CUD, DCV y DECEVAL de la Cámara.</w:t>
      </w:r>
    </w:p>
    <w:p w14:paraId="79B3EF89" w14:textId="77777777" w:rsidR="007968EC" w:rsidRPr="002C0D19" w:rsidRDefault="007968EC" w:rsidP="007968EC">
      <w:pPr>
        <w:ind w:left="708"/>
        <w:rPr>
          <w:rFonts w:ascii="Arial Narrow" w:hAnsi="Arial Narrow" w:cs="Arial Narrow,BoldItalic"/>
          <w:bCs/>
          <w:iCs/>
          <w:color w:val="000000" w:themeColor="text1"/>
          <w:lang w:eastAsia="es-CO"/>
        </w:rPr>
      </w:pPr>
    </w:p>
    <w:p w14:paraId="06F95282" w14:textId="77777777" w:rsidR="007968EC" w:rsidRPr="002C0D19" w:rsidRDefault="007968EC" w:rsidP="00DA7472">
      <w:pPr>
        <w:numPr>
          <w:ilvl w:val="0"/>
          <w:numId w:val="93"/>
        </w:num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t xml:space="preserve">Los intereses generados por la inversión de las Garantías constituidas en </w:t>
      </w:r>
      <w:proofErr w:type="gramStart"/>
      <w:r w:rsidRPr="002C0D19">
        <w:rPr>
          <w:rFonts w:ascii="Arial Narrow" w:hAnsi="Arial Narrow" w:cs="Arial Narrow,BoldItalic"/>
          <w:bCs/>
          <w:iCs/>
          <w:color w:val="000000" w:themeColor="text1"/>
          <w:lang w:eastAsia="es-CO"/>
        </w:rPr>
        <w:t>efectivo,</w:t>
      </w:r>
      <w:proofErr w:type="gramEnd"/>
      <w:r w:rsidRPr="002C0D19">
        <w:rPr>
          <w:rFonts w:ascii="Arial Narrow" w:hAnsi="Arial Narrow" w:cs="Arial Narrow,BoldItalic"/>
          <w:bCs/>
          <w:iCs/>
          <w:color w:val="000000" w:themeColor="text1"/>
          <w:lang w:eastAsia="es-CO"/>
        </w:rPr>
        <w:t xml:space="preserve"> se incluirán dentro de la Liquidación Diaria al Miembro Liquidador y estarán afectas a la Compensación, Liquidación y cumplimiento de las Operaciones Aceptadas por la Cámara.</w:t>
      </w:r>
    </w:p>
    <w:p w14:paraId="25DF02E5" w14:textId="77777777" w:rsidR="007968EC" w:rsidRPr="002C0D19" w:rsidRDefault="007968EC" w:rsidP="007968EC">
      <w:pPr>
        <w:autoSpaceDE w:val="0"/>
        <w:autoSpaceDN w:val="0"/>
        <w:adjustRightInd w:val="0"/>
        <w:jc w:val="both"/>
        <w:rPr>
          <w:rFonts w:ascii="Arial Narrow" w:hAnsi="Arial Narrow" w:cs="Arial Narrow,BoldItalic"/>
          <w:bCs/>
          <w:iCs/>
          <w:color w:val="000000" w:themeColor="text1"/>
          <w:lang w:eastAsia="es-CO"/>
        </w:rPr>
      </w:pPr>
    </w:p>
    <w:p w14:paraId="777ED179" w14:textId="77777777" w:rsidR="007968EC" w:rsidRPr="002C0D19" w:rsidRDefault="007968EC" w:rsidP="007968EC">
      <w:p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t>2. Metodología del cálculo de los intereses</w:t>
      </w:r>
    </w:p>
    <w:p w14:paraId="5736F755" w14:textId="77777777" w:rsidR="007968EC" w:rsidRPr="002C0D19" w:rsidRDefault="007968EC" w:rsidP="007968EC">
      <w:pPr>
        <w:autoSpaceDE w:val="0"/>
        <w:autoSpaceDN w:val="0"/>
        <w:adjustRightInd w:val="0"/>
        <w:jc w:val="both"/>
        <w:rPr>
          <w:rFonts w:ascii="Arial Narrow" w:hAnsi="Arial Narrow" w:cs="Arial Narrow,BoldItalic"/>
          <w:bCs/>
          <w:iCs/>
          <w:color w:val="000000" w:themeColor="text1"/>
          <w:lang w:eastAsia="es-CO"/>
        </w:rPr>
      </w:pPr>
    </w:p>
    <w:p w14:paraId="72BB52C4" w14:textId="77777777" w:rsidR="007968EC" w:rsidRPr="002C0D19" w:rsidRDefault="007968EC" w:rsidP="007968EC">
      <w:p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t>De forma diaria, la Cámara calculará los intereses generados por la inversión de las Garantías constituidas en efectivo, de acuerdo a la siguiente fórmula:</w:t>
      </w:r>
    </w:p>
    <w:p w14:paraId="17630FB5"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m:oMathPara>
        <m:oMath>
          <m:r>
            <m:rPr>
              <m:sty m:val="bi"/>
            </m:rPr>
            <w:rPr>
              <w:rFonts w:ascii="Cambria Math" w:hAnsi="Cambria Math" w:cs="Arial"/>
              <w:color w:val="000000" w:themeColor="text1"/>
              <w:lang w:val="es-ES" w:eastAsia="es-ES"/>
            </w:rPr>
            <m:t>Intereses=VI</m:t>
          </m:r>
          <m:d>
            <m:dPr>
              <m:begChr m:val="["/>
              <m:endChr m:val="]"/>
              <m:ctrlPr>
                <w:rPr>
                  <w:rFonts w:ascii="Cambria Math" w:eastAsia="Calibri" w:hAnsi="Cambria Math"/>
                  <w:i/>
                  <w:color w:val="000000" w:themeColor="text1"/>
                  <w:lang w:eastAsia="es-ES"/>
                </w:rPr>
              </m:ctrlPr>
            </m:dPr>
            <m:e>
              <m:f>
                <m:fPr>
                  <m:ctrlPr>
                    <w:rPr>
                      <w:rFonts w:ascii="Cambria Math" w:eastAsia="Calibri" w:hAnsi="Cambria Math"/>
                      <w:i/>
                      <w:color w:val="000000" w:themeColor="text1"/>
                      <w:lang w:eastAsia="es-ES"/>
                    </w:rPr>
                  </m:ctrlPr>
                </m:fPr>
                <m:num>
                  <m:r>
                    <m:rPr>
                      <m:sty m:val="bi"/>
                    </m:rPr>
                    <w:rPr>
                      <w:rFonts w:ascii="Cambria Math" w:hAnsi="Cambria Math" w:cs="Arial"/>
                      <w:color w:val="000000" w:themeColor="text1"/>
                      <w:lang w:val="es-ES" w:eastAsia="es-ES"/>
                    </w:rPr>
                    <m:t>i%</m:t>
                  </m:r>
                </m:num>
                <m:den>
                  <m:r>
                    <m:rPr>
                      <m:sty m:val="bi"/>
                    </m:rPr>
                    <w:rPr>
                      <w:rFonts w:ascii="Cambria Math" w:hAnsi="Cambria Math" w:cs="Arial"/>
                      <w:color w:val="000000" w:themeColor="text1"/>
                      <w:lang w:val="es-ES" w:eastAsia="es-ES"/>
                    </w:rPr>
                    <m:t>100</m:t>
                  </m:r>
                </m:den>
              </m:f>
              <m:r>
                <m:rPr>
                  <m:sty m:val="bi"/>
                </m:rPr>
                <w:rPr>
                  <w:rFonts w:ascii="Cambria Math" w:hAnsi="Cambria Math" w:cs="Arial"/>
                  <w:color w:val="000000" w:themeColor="text1"/>
                  <w:lang w:val="es-ES" w:eastAsia="es-ES"/>
                </w:rPr>
                <m:t>×</m:t>
              </m:r>
              <m:f>
                <m:fPr>
                  <m:ctrlPr>
                    <w:rPr>
                      <w:rFonts w:ascii="Cambria Math" w:eastAsia="Calibri" w:hAnsi="Cambria Math"/>
                      <w:i/>
                      <w:color w:val="000000" w:themeColor="text1"/>
                      <w:lang w:eastAsia="es-ES"/>
                    </w:rPr>
                  </m:ctrlPr>
                </m:fPr>
                <m:num>
                  <m:r>
                    <m:rPr>
                      <m:sty m:val="bi"/>
                    </m:rPr>
                    <w:rPr>
                      <w:rFonts w:ascii="Cambria Math" w:hAnsi="Cambria Math" w:cs="Arial"/>
                      <w:color w:val="000000" w:themeColor="text1"/>
                      <w:lang w:val="es-ES" w:eastAsia="es-ES"/>
                    </w:rPr>
                    <m:t>n</m:t>
                  </m:r>
                </m:num>
                <m:den>
                  <m:r>
                    <m:rPr>
                      <m:sty m:val="bi"/>
                    </m:rPr>
                    <w:rPr>
                      <w:rFonts w:ascii="Cambria Math" w:hAnsi="Cambria Math" w:cs="Arial"/>
                      <w:color w:val="000000" w:themeColor="text1"/>
                      <w:lang w:val="es-ES" w:eastAsia="es-ES"/>
                    </w:rPr>
                    <m:t>360</m:t>
                  </m:r>
                </m:den>
              </m:f>
            </m:e>
          </m:d>
        </m:oMath>
      </m:oMathPara>
    </w:p>
    <w:p w14:paraId="4E5E58D0" w14:textId="77777777" w:rsidR="007968EC" w:rsidRPr="002C0D19" w:rsidRDefault="007968EC" w:rsidP="007968EC">
      <w:pPr>
        <w:autoSpaceDE w:val="0"/>
        <w:autoSpaceDN w:val="0"/>
        <w:adjustRightInd w:val="0"/>
        <w:jc w:val="both"/>
        <w:rPr>
          <w:rFonts w:ascii="Arial Narrow" w:hAnsi="Arial Narrow" w:cs="Arial Narrow,BoldItalic"/>
          <w:bCs/>
          <w:iCs/>
          <w:color w:val="000000" w:themeColor="text1"/>
          <w:lang w:eastAsia="es-CO"/>
        </w:rPr>
      </w:pPr>
    </w:p>
    <w:p w14:paraId="1481F709" w14:textId="77777777" w:rsidR="007968EC" w:rsidRPr="002C0D19" w:rsidRDefault="007968EC" w:rsidP="007968EC">
      <w:pPr>
        <w:jc w:val="both"/>
        <w:rPr>
          <w:rFonts w:ascii="Arial Narrow" w:hAnsi="Arial Narrow" w:cs="Arial Narrow,BoldItalic"/>
          <w:bCs/>
          <w:i/>
          <w:iCs/>
          <w:color w:val="000000" w:themeColor="text1"/>
          <w:lang w:eastAsia="es-CO"/>
        </w:rPr>
      </w:pPr>
      <w:r w:rsidRPr="002C0D19">
        <w:rPr>
          <w:rFonts w:ascii="Arial Narrow" w:hAnsi="Arial Narrow" w:cs="Arial Narrow,BoldItalic"/>
          <w:bCs/>
          <w:i/>
          <w:iCs/>
          <w:color w:val="000000" w:themeColor="text1"/>
          <w:lang w:eastAsia="es-CO"/>
        </w:rPr>
        <w:t xml:space="preserve">VI=Valor inicial de la operación </w:t>
      </w:r>
    </w:p>
    <w:p w14:paraId="58EED515" w14:textId="77777777" w:rsidR="007968EC" w:rsidRPr="002C0D19" w:rsidRDefault="007968EC" w:rsidP="007968EC">
      <w:pPr>
        <w:jc w:val="both"/>
        <w:rPr>
          <w:rFonts w:ascii="Arial Narrow" w:hAnsi="Arial Narrow" w:cs="Arial Narrow,BoldItalic"/>
          <w:bCs/>
          <w:i/>
          <w:iCs/>
          <w:color w:val="000000" w:themeColor="text1"/>
          <w:lang w:eastAsia="es-CO"/>
        </w:rPr>
      </w:pPr>
      <w:r w:rsidRPr="002C0D19">
        <w:rPr>
          <w:rFonts w:ascii="Arial Narrow" w:hAnsi="Arial Narrow" w:cs="Arial Narrow,BoldItalic"/>
          <w:bCs/>
          <w:i/>
          <w:iCs/>
          <w:color w:val="000000" w:themeColor="text1"/>
          <w:lang w:eastAsia="es-CO"/>
        </w:rPr>
        <w:t>i%= Tasa adjudicada en términos nominal anual periodo vencido, base 360.</w:t>
      </w:r>
    </w:p>
    <w:p w14:paraId="5D716509" w14:textId="77777777" w:rsidR="007968EC" w:rsidRPr="002C0D19" w:rsidRDefault="007968EC" w:rsidP="007968EC">
      <w:pPr>
        <w:jc w:val="both"/>
        <w:rPr>
          <w:rFonts w:ascii="Arial Narrow" w:hAnsi="Arial Narrow" w:cs="Arial Narrow,BoldItalic"/>
          <w:bCs/>
          <w:i/>
          <w:iCs/>
          <w:color w:val="000000" w:themeColor="text1"/>
          <w:lang w:eastAsia="es-CO"/>
        </w:rPr>
      </w:pPr>
      <w:r w:rsidRPr="002C0D19">
        <w:rPr>
          <w:rFonts w:ascii="Arial Narrow" w:hAnsi="Arial Narrow" w:cs="Arial Narrow,BoldItalic"/>
          <w:bCs/>
          <w:i/>
          <w:iCs/>
          <w:color w:val="000000" w:themeColor="text1"/>
          <w:lang w:eastAsia="es-CO"/>
        </w:rPr>
        <w:t>N=Días corridos de plazo entre la fecha inicial y la fecha de la operación de recompra.</w:t>
      </w:r>
    </w:p>
    <w:p w14:paraId="623E0560" w14:textId="77777777" w:rsidR="007968EC" w:rsidRPr="002C0D19" w:rsidRDefault="007968EC" w:rsidP="007968EC">
      <w:pPr>
        <w:jc w:val="both"/>
        <w:rPr>
          <w:rFonts w:ascii="Arial Narrow" w:hAnsi="Arial Narrow" w:cs="Arial Narrow,BoldItalic"/>
          <w:bCs/>
          <w:i/>
          <w:iCs/>
          <w:color w:val="000000" w:themeColor="text1"/>
          <w:lang w:eastAsia="es-CO"/>
        </w:rPr>
      </w:pPr>
    </w:p>
    <w:p w14:paraId="00611E6D" w14:textId="77777777" w:rsidR="007968EC" w:rsidRPr="002C0D19" w:rsidRDefault="007968EC" w:rsidP="007968EC">
      <w:p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t>Cuando las Garantías constituidas en efectivo se inviertan en dos o más operaciones de Reporto o Repo, la Cámara calculará los intereses por cada operación con base en la tasa y los montos adjudicados a cada contraparte. Al final, la Cámara sumará los intereses generados por todas las operaciones y los distribuirá entre los Miembros que autorizaron la inversión de sus Garantías en efectivo, de acuerdo con los montos constituidos en efectivo como Garantía por cada uno de ellos.</w:t>
      </w:r>
    </w:p>
    <w:p w14:paraId="28D8FA50" w14:textId="77777777" w:rsidR="007968EC" w:rsidRPr="002C0D19" w:rsidRDefault="007968EC" w:rsidP="007968EC">
      <w:pPr>
        <w:autoSpaceDE w:val="0"/>
        <w:autoSpaceDN w:val="0"/>
        <w:adjustRightInd w:val="0"/>
        <w:jc w:val="both"/>
        <w:rPr>
          <w:rFonts w:ascii="Arial Narrow" w:hAnsi="Arial Narrow" w:cs="Arial Narrow,BoldItalic"/>
          <w:bCs/>
          <w:iCs/>
          <w:color w:val="000000" w:themeColor="text1"/>
          <w:lang w:eastAsia="es-CO"/>
        </w:rPr>
      </w:pPr>
    </w:p>
    <w:p w14:paraId="2707AA2E" w14:textId="77777777" w:rsidR="007968EC" w:rsidRPr="002C0D19" w:rsidRDefault="007968EC" w:rsidP="007968EC">
      <w:p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t>Los Miembros recibirán la totalidad de los intereses generados por las inversiones, en pesos sin incluir los centavos.</w:t>
      </w:r>
    </w:p>
    <w:p w14:paraId="6C1863C6" w14:textId="77777777" w:rsidR="007968EC" w:rsidRPr="002C0D19" w:rsidRDefault="007968EC" w:rsidP="007968EC">
      <w:pPr>
        <w:autoSpaceDE w:val="0"/>
        <w:autoSpaceDN w:val="0"/>
        <w:adjustRightInd w:val="0"/>
        <w:jc w:val="both"/>
        <w:rPr>
          <w:rFonts w:ascii="Arial Narrow" w:hAnsi="Arial Narrow" w:cs="Arial Narrow,BoldItalic"/>
          <w:bCs/>
          <w:iCs/>
          <w:color w:val="000000" w:themeColor="text1"/>
          <w:lang w:eastAsia="es-CO"/>
        </w:rPr>
      </w:pPr>
    </w:p>
    <w:p w14:paraId="7EB8A48D" w14:textId="77777777" w:rsidR="007968EC" w:rsidRPr="002C0D19" w:rsidRDefault="007968EC" w:rsidP="007968EC">
      <w:p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BoldItalic"/>
          <w:bCs/>
          <w:iCs/>
          <w:color w:val="000000" w:themeColor="text1"/>
          <w:lang w:eastAsia="es-CO"/>
        </w:rPr>
        <w:t xml:space="preserve">3. Manifestación de No Inversión de las Garantías constituidas en Efectivo: </w:t>
      </w:r>
    </w:p>
    <w:p w14:paraId="0C8DBEB8" w14:textId="77777777" w:rsidR="007968EC" w:rsidRPr="002C0D19" w:rsidRDefault="007968EC" w:rsidP="007968EC">
      <w:pPr>
        <w:autoSpaceDE w:val="0"/>
        <w:autoSpaceDN w:val="0"/>
        <w:adjustRightInd w:val="0"/>
        <w:jc w:val="both"/>
        <w:rPr>
          <w:rFonts w:ascii="Arial Narrow" w:hAnsi="Arial Narrow" w:cs="Arial Narrow,BoldItalic"/>
          <w:bCs/>
          <w:iCs/>
          <w:color w:val="000000" w:themeColor="text1"/>
          <w:lang w:eastAsia="es-CO"/>
        </w:rPr>
      </w:pPr>
    </w:p>
    <w:p w14:paraId="34DA584F"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La inversión de las Garantías constituidas en efectivo se realizará de forma voluntaria a nivel de Miembro, de acuerdo a las siguientes especificaciones:</w:t>
      </w:r>
    </w:p>
    <w:p w14:paraId="377AA2C5"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76C331C2"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lastRenderedPageBreak/>
        <w:t>a. El Miembro que no desee realizar la inversión de las Garantías constituidas en efectivo para toda su estructura de cuentas deberá notificarlo a la Cámara, durante los últimos diez (10) días hábiles del mes inmediatamente anterior. Los Miembros No Liquidadores realizarán dicha notificación a través de sus respectivos Miembros Liquidadores Generales.</w:t>
      </w:r>
    </w:p>
    <w:p w14:paraId="3958E9A5"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230836AF"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La Cámara entenderá autorizada la inversión de las Garantías constituidas en efectivo para toda la estructura de cuentas de los Miembros que no hayan manifestado lo contrario dentro de los plazos establecidos en el presente literal.</w:t>
      </w:r>
    </w:p>
    <w:p w14:paraId="0D26A5F4"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1EB934F8"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b. La notificación deberá realizarla el Usuario Administrador o una firma autorizada, enviando un correo electrónico a la siguiente dirección: </w:t>
      </w:r>
      <w:hyperlink r:id="rId13" w:history="1">
        <w:r w:rsidRPr="002C0D19">
          <w:rPr>
            <w:rFonts w:ascii="Arial Narrow" w:hAnsi="Arial Narrow" w:cs="Arial"/>
            <w:color w:val="000000" w:themeColor="text1"/>
            <w:u w:val="single"/>
            <w:lang w:val="es-ES" w:eastAsia="es-ES"/>
          </w:rPr>
          <w:t>operacionescrcc@camaraderiesgo.com.co</w:t>
        </w:r>
      </w:hyperlink>
      <w:r w:rsidRPr="002C0D19">
        <w:rPr>
          <w:rFonts w:ascii="Arial Narrow" w:hAnsi="Arial Narrow" w:cs="Arial"/>
          <w:color w:val="000000" w:themeColor="text1"/>
          <w:lang w:val="es-ES" w:eastAsia="es-ES"/>
        </w:rPr>
        <w:t>.</w:t>
      </w:r>
    </w:p>
    <w:p w14:paraId="4231D1D4"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0C4B93A7"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c. Una vez recibida la Manifestación de No Inversión de las Garantías por parte de algún Miembro, la Cámara excluirá de las inversiones a realizar las Garantías constituidas en efectivo por dicho Miembro para toda su estructura de cuentas. En todo caso, el Miembro podrá autorizar a la Cámara la inversión de las Garantías constituidas en efectivo, en cualquier momento, durante los últimos diez (10) días hábiles del mes inmediatamente anterior a realizar la inversión.</w:t>
      </w:r>
    </w:p>
    <w:p w14:paraId="4A6C14C8" w14:textId="77777777" w:rsidR="007968EC" w:rsidRPr="00217BDE" w:rsidRDefault="007968EC" w:rsidP="007968EC">
      <w:pPr>
        <w:jc w:val="both"/>
        <w:rPr>
          <w:rFonts w:ascii="Arial Narrow" w:hAnsi="Arial Narrow" w:cs="Arial"/>
          <w:bCs/>
          <w:color w:val="000000" w:themeColor="text1"/>
          <w:lang w:val="es-ES" w:eastAsia="es-ES"/>
        </w:rPr>
      </w:pPr>
    </w:p>
    <w:p w14:paraId="2F660F74" w14:textId="77777777" w:rsidR="007968EC" w:rsidRDefault="007968EC" w:rsidP="007968EC">
      <w:pPr>
        <w:pStyle w:val="ARTICULO0"/>
      </w:pPr>
      <w:bookmarkStart w:id="2336" w:name="_Toc472592171"/>
      <w:bookmarkStart w:id="2337" w:name="_Toc472593190"/>
      <w:bookmarkStart w:id="2338" w:name="_Toc479056976"/>
      <w:bookmarkStart w:id="2339" w:name="_Toc31715989"/>
      <w:bookmarkStart w:id="2340" w:name="_Toc470775491"/>
      <w:bookmarkStart w:id="2341" w:name="_Toc470779776"/>
      <w:bookmarkStart w:id="2342" w:name="_Toc470780393"/>
      <w:bookmarkStart w:id="2343" w:name="_Toc470780906"/>
      <w:bookmarkStart w:id="2344" w:name="_Toc470784467"/>
      <w:bookmarkStart w:id="2345" w:name="_Toc470785004"/>
      <w:bookmarkStart w:id="2346" w:name="_Toc470791390"/>
      <w:bookmarkStart w:id="2347" w:name="_Toc490066295"/>
      <w:r>
        <w:t xml:space="preserve">Artículo 1.6.4.15. </w:t>
      </w:r>
      <w:r w:rsidRPr="002C0D19">
        <w:t>Procedimiento para la Contraparte de Inversión.</w:t>
      </w:r>
      <w:bookmarkEnd w:id="2336"/>
      <w:bookmarkEnd w:id="2337"/>
      <w:bookmarkEnd w:id="2338"/>
      <w:bookmarkEnd w:id="2339"/>
      <w:r w:rsidRPr="002C0D19">
        <w:t xml:space="preserve"> </w:t>
      </w:r>
    </w:p>
    <w:p w14:paraId="796BA3F6" w14:textId="77777777" w:rsidR="007968EC" w:rsidRPr="003F5F9A" w:rsidRDefault="007968EC" w:rsidP="007968EC">
      <w:pPr>
        <w:jc w:val="both"/>
        <w:rPr>
          <w:rFonts w:ascii="Arial Narrow" w:hAnsi="Arial Narrow" w:cs="Arial"/>
          <w:color w:val="000000" w:themeColor="text1"/>
          <w:lang w:eastAsia="es-ES"/>
        </w:rPr>
      </w:pPr>
    </w:p>
    <w:p w14:paraId="317E17DE" w14:textId="77777777" w:rsidR="007968EC" w:rsidRPr="002C0D19" w:rsidRDefault="007968EC" w:rsidP="007968EC">
      <w:pPr>
        <w:pStyle w:val="ANTECEDENTES"/>
        <w:rPr>
          <w:u w:val="single"/>
        </w:rPr>
      </w:pPr>
      <w:r w:rsidRPr="002C0D19">
        <w:t xml:space="preserve">(Este artículo fue adicionado mediante Circular 12 del 4 de julio de 2014, publicada en el Boletín Normativo No. 014 del 4 de julio de 2014. Rige a partir del 7 de julio de 2014 y renumerado mediante </w:t>
      </w:r>
      <w:r w:rsidRPr="002C0D19">
        <w:rPr>
          <w:lang w:val="es-ES"/>
        </w:rPr>
        <w:t xml:space="preserve">Circular 19 del 28 de diciembre de 2016, publicada en el Boletín Normativo No. 024 del 28 de diciembre de 2016. </w:t>
      </w:r>
      <w:r w:rsidRPr="002C0D19">
        <w:t>Rige a partir del 29 de diciembre de 2016.</w:t>
      </w:r>
      <w:r w:rsidRPr="002C0D19">
        <w:rPr>
          <w:lang w:val="es-ES"/>
        </w:rPr>
        <w:t>)</w:t>
      </w:r>
      <w:bookmarkEnd w:id="2340"/>
      <w:bookmarkEnd w:id="2341"/>
      <w:bookmarkEnd w:id="2342"/>
      <w:bookmarkEnd w:id="2343"/>
      <w:bookmarkEnd w:id="2344"/>
      <w:bookmarkEnd w:id="2345"/>
      <w:bookmarkEnd w:id="2346"/>
      <w:bookmarkEnd w:id="2347"/>
    </w:p>
    <w:p w14:paraId="4D667118"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6E0D9090" w14:textId="77777777" w:rsidR="007968EC" w:rsidRPr="002C0D19" w:rsidRDefault="007968EC" w:rsidP="007968EC">
      <w:pPr>
        <w:autoSpaceDE w:val="0"/>
        <w:autoSpaceDN w:val="0"/>
        <w:adjustRightInd w:val="0"/>
        <w:jc w:val="both"/>
        <w:rPr>
          <w:rFonts w:ascii="Arial Narrow" w:hAnsi="Arial Narrow" w:cs="Arial Narrow"/>
          <w:color w:val="000000" w:themeColor="text1"/>
          <w:lang w:eastAsia="es-CO"/>
        </w:rPr>
      </w:pPr>
      <w:r w:rsidRPr="002C0D19">
        <w:rPr>
          <w:rFonts w:ascii="Arial Narrow" w:hAnsi="Arial Narrow" w:cs="Arial Narrow"/>
          <w:color w:val="000000" w:themeColor="text1"/>
          <w:lang w:eastAsia="es-CO"/>
        </w:rPr>
        <w:t>Las Contrapartes de Inversión a las cuales la Cámara les adjudique las operaciones deberán realizar las siguientes actividades:</w:t>
      </w:r>
    </w:p>
    <w:p w14:paraId="196FE544" w14:textId="77777777" w:rsidR="007968EC" w:rsidRPr="002C0D19" w:rsidRDefault="007968EC" w:rsidP="007968EC">
      <w:pPr>
        <w:autoSpaceDE w:val="0"/>
        <w:autoSpaceDN w:val="0"/>
        <w:adjustRightInd w:val="0"/>
        <w:jc w:val="both"/>
        <w:rPr>
          <w:rFonts w:ascii="Arial Narrow" w:hAnsi="Arial Narrow" w:cs="Arial Narrow"/>
          <w:color w:val="000000" w:themeColor="text1"/>
          <w:lang w:eastAsia="es-CO"/>
        </w:rPr>
      </w:pPr>
    </w:p>
    <w:p w14:paraId="74BB2C67" w14:textId="77777777" w:rsidR="007968EC" w:rsidRPr="002C0D19" w:rsidRDefault="007968EC" w:rsidP="007968EC">
      <w:pPr>
        <w:autoSpaceDE w:val="0"/>
        <w:autoSpaceDN w:val="0"/>
        <w:adjustRightInd w:val="0"/>
        <w:ind w:left="284" w:hanging="284"/>
        <w:jc w:val="both"/>
        <w:rPr>
          <w:rFonts w:ascii="Arial Narrow" w:hAnsi="Arial Narrow" w:cs="Arial"/>
          <w:color w:val="000000" w:themeColor="text1"/>
          <w:lang w:val="es-ES" w:eastAsia="es-ES"/>
        </w:rPr>
      </w:pPr>
      <w:r w:rsidRPr="002C0D19">
        <w:rPr>
          <w:rFonts w:ascii="Arial Narrow" w:hAnsi="Arial Narrow" w:cs="Arial Narrow"/>
          <w:color w:val="000000" w:themeColor="text1"/>
          <w:lang w:eastAsia="es-CO"/>
        </w:rPr>
        <w:t xml:space="preserve">1.  La Contraparte de Inversión debe estar Afiliado al </w:t>
      </w:r>
      <w:r w:rsidRPr="002C0D19">
        <w:rPr>
          <w:rFonts w:ascii="Arial Narrow" w:hAnsi="Arial Narrow" w:cs="Arial"/>
          <w:color w:val="000000" w:themeColor="text1"/>
          <w:lang w:val="es-ES" w:eastAsia="es-ES"/>
        </w:rPr>
        <w:t>Sistema de Registro de Operaciones sobre Valores</w:t>
      </w:r>
      <w:r w:rsidRPr="002C0D19">
        <w:rPr>
          <w:rFonts w:ascii="Arial Narrow" w:hAnsi="Arial Narrow" w:cs="Arial Narrow"/>
          <w:color w:val="000000" w:themeColor="text1"/>
          <w:lang w:eastAsia="es-CO"/>
        </w:rPr>
        <w:t xml:space="preserve"> e incluirá las características de la operación en dicho sistema, lo anterior en consideración a que la Cámara no ostenta la calidad de Afiliada a los </w:t>
      </w:r>
      <w:r w:rsidRPr="002C0D19">
        <w:rPr>
          <w:rFonts w:ascii="Arial Narrow" w:hAnsi="Arial Narrow" w:cs="Arial"/>
          <w:color w:val="000000" w:themeColor="text1"/>
          <w:lang w:val="es-ES" w:eastAsia="es-ES"/>
        </w:rPr>
        <w:t>Sistemas de Registro de Operaciones sobre Valores.</w:t>
      </w:r>
    </w:p>
    <w:p w14:paraId="4BA36F4B" w14:textId="77777777" w:rsidR="007968EC" w:rsidRPr="002C0D19" w:rsidRDefault="007968EC" w:rsidP="007968EC">
      <w:pPr>
        <w:autoSpaceDE w:val="0"/>
        <w:autoSpaceDN w:val="0"/>
        <w:adjustRightInd w:val="0"/>
        <w:ind w:left="284" w:hanging="284"/>
        <w:jc w:val="both"/>
        <w:rPr>
          <w:rFonts w:ascii="Arial Narrow" w:hAnsi="Arial Narrow" w:cs="Arial Narrow"/>
          <w:color w:val="000000" w:themeColor="text1"/>
          <w:lang w:eastAsia="es-CO"/>
        </w:rPr>
      </w:pPr>
    </w:p>
    <w:p w14:paraId="57F15E18" w14:textId="77777777" w:rsidR="007968EC" w:rsidRPr="002C0D19" w:rsidRDefault="007968EC" w:rsidP="007968EC">
      <w:pPr>
        <w:autoSpaceDE w:val="0"/>
        <w:autoSpaceDN w:val="0"/>
        <w:adjustRightInd w:val="0"/>
        <w:ind w:left="284" w:hanging="284"/>
        <w:jc w:val="both"/>
        <w:rPr>
          <w:rFonts w:ascii="Arial Narrow" w:hAnsi="Arial Narrow" w:cs="Arial Narrow"/>
          <w:color w:val="000000" w:themeColor="text1"/>
          <w:lang w:eastAsia="es-CO"/>
        </w:rPr>
      </w:pPr>
      <w:r w:rsidRPr="002C0D19">
        <w:rPr>
          <w:rFonts w:ascii="Arial Narrow" w:hAnsi="Arial Narrow" w:cs="Arial Narrow"/>
          <w:color w:val="000000" w:themeColor="text1"/>
          <w:lang w:eastAsia="es-CO"/>
        </w:rPr>
        <w:t xml:space="preserve">2.  Una vez incluida la información, la Contraparte de Inversión generará un reporte del </w:t>
      </w:r>
      <w:r w:rsidRPr="002C0D19">
        <w:rPr>
          <w:rFonts w:ascii="Arial Narrow" w:hAnsi="Arial Narrow" w:cs="Arial"/>
          <w:color w:val="000000" w:themeColor="text1"/>
          <w:lang w:val="es-ES" w:eastAsia="es-ES"/>
        </w:rPr>
        <w:t>Sistema de Registro de Operaciones sobre Valores</w:t>
      </w:r>
      <w:r w:rsidRPr="002C0D19">
        <w:rPr>
          <w:rFonts w:ascii="Arial Narrow" w:hAnsi="Arial Narrow" w:cs="Arial Narrow"/>
          <w:color w:val="000000" w:themeColor="text1"/>
          <w:lang w:eastAsia="es-CO"/>
        </w:rPr>
        <w:t xml:space="preserve"> con la información incluida y lo enviará a las siguientes cuentas de correo electrónico: </w:t>
      </w:r>
      <w:hyperlink r:id="rId14" w:history="1">
        <w:r w:rsidRPr="002C0D19">
          <w:rPr>
            <w:rFonts w:ascii="Arial Narrow" w:hAnsi="Arial Narrow" w:cs="Arial Narrow"/>
            <w:color w:val="000000" w:themeColor="text1"/>
            <w:u w:val="single"/>
            <w:lang w:eastAsia="es-CO"/>
          </w:rPr>
          <w:t>operacionescrcc@camaraderiesgo.com.co</w:t>
        </w:r>
      </w:hyperlink>
      <w:r w:rsidRPr="002C0D19">
        <w:rPr>
          <w:rFonts w:ascii="Arial Narrow" w:hAnsi="Arial Narrow" w:cs="Arial Narrow"/>
          <w:color w:val="000000" w:themeColor="text1"/>
          <w:lang w:eastAsia="es-CO"/>
        </w:rPr>
        <w:t xml:space="preserve"> y </w:t>
      </w:r>
      <w:hyperlink r:id="rId15" w:history="1">
        <w:r w:rsidRPr="002C0D19">
          <w:rPr>
            <w:rFonts w:ascii="Arial Narrow" w:hAnsi="Arial Narrow" w:cs="Arial Narrow"/>
            <w:color w:val="000000" w:themeColor="text1"/>
            <w:u w:val="single"/>
            <w:lang w:eastAsia="es-CO"/>
          </w:rPr>
          <w:t>administracioncrcc@camaraderiesgo.com.co</w:t>
        </w:r>
      </w:hyperlink>
      <w:r w:rsidRPr="002C0D19">
        <w:rPr>
          <w:rFonts w:ascii="Arial Narrow" w:hAnsi="Arial Narrow" w:cs="Arial Narrow"/>
          <w:color w:val="000000" w:themeColor="text1"/>
          <w:lang w:eastAsia="es-CO"/>
        </w:rPr>
        <w:t>.</w:t>
      </w:r>
    </w:p>
    <w:p w14:paraId="61B3B45B" w14:textId="77777777" w:rsidR="007968EC" w:rsidRPr="002C0D19" w:rsidRDefault="007968EC" w:rsidP="007968EC">
      <w:pPr>
        <w:autoSpaceDE w:val="0"/>
        <w:autoSpaceDN w:val="0"/>
        <w:adjustRightInd w:val="0"/>
        <w:ind w:left="284" w:hanging="284"/>
        <w:jc w:val="both"/>
        <w:rPr>
          <w:rFonts w:ascii="Arial Narrow" w:hAnsi="Arial Narrow" w:cs="Arial Narrow"/>
          <w:color w:val="000000" w:themeColor="text1"/>
          <w:lang w:eastAsia="es-CO"/>
        </w:rPr>
      </w:pPr>
    </w:p>
    <w:p w14:paraId="461AE7A4" w14:textId="77777777" w:rsidR="007968EC" w:rsidRPr="002C0D19" w:rsidRDefault="007968EC" w:rsidP="007968EC">
      <w:pPr>
        <w:autoSpaceDE w:val="0"/>
        <w:autoSpaceDN w:val="0"/>
        <w:adjustRightInd w:val="0"/>
        <w:ind w:left="284" w:hanging="284"/>
        <w:jc w:val="both"/>
        <w:rPr>
          <w:rFonts w:ascii="Arial Narrow" w:hAnsi="Arial Narrow" w:cs="Arial Narrow"/>
          <w:color w:val="000000" w:themeColor="text1"/>
          <w:lang w:eastAsia="es-CO"/>
        </w:rPr>
      </w:pPr>
      <w:r w:rsidRPr="002C0D19">
        <w:rPr>
          <w:rFonts w:ascii="Arial Narrow" w:hAnsi="Arial Narrow" w:cs="Arial Narrow"/>
          <w:color w:val="000000" w:themeColor="text1"/>
          <w:lang w:eastAsia="es-CO"/>
        </w:rPr>
        <w:t xml:space="preserve">3.  Una vez validada la información por parte de la Cámara, ésta enviará un correo de confirmación a la </w:t>
      </w:r>
      <w:r w:rsidRPr="002C0D19">
        <w:rPr>
          <w:rFonts w:ascii="Arial Narrow" w:hAnsi="Arial Narrow" w:cs="Arial"/>
          <w:color w:val="000000" w:themeColor="text1"/>
          <w:lang w:val="es-ES" w:eastAsia="es-ES"/>
        </w:rPr>
        <w:t>contraparte</w:t>
      </w:r>
      <w:r w:rsidRPr="002C0D19">
        <w:rPr>
          <w:rFonts w:ascii="Arial Narrow" w:hAnsi="Arial Narrow" w:cs="Arial Narrow"/>
          <w:color w:val="000000" w:themeColor="text1"/>
          <w:lang w:eastAsia="es-CO"/>
        </w:rPr>
        <w:t>.</w:t>
      </w:r>
    </w:p>
    <w:p w14:paraId="11355D97" w14:textId="77777777" w:rsidR="007968EC" w:rsidRPr="002C0D19" w:rsidRDefault="007968EC" w:rsidP="007968EC">
      <w:pPr>
        <w:autoSpaceDE w:val="0"/>
        <w:autoSpaceDN w:val="0"/>
        <w:adjustRightInd w:val="0"/>
        <w:ind w:left="284" w:hanging="284"/>
        <w:jc w:val="both"/>
        <w:rPr>
          <w:rFonts w:ascii="Arial Narrow" w:hAnsi="Arial Narrow" w:cs="Arial Narrow"/>
          <w:color w:val="000000" w:themeColor="text1"/>
          <w:lang w:eastAsia="es-CO"/>
        </w:rPr>
      </w:pPr>
    </w:p>
    <w:p w14:paraId="4754299F" w14:textId="77777777" w:rsidR="007968EC" w:rsidRPr="002C0D19" w:rsidRDefault="007968EC" w:rsidP="007968EC">
      <w:pPr>
        <w:autoSpaceDE w:val="0"/>
        <w:autoSpaceDN w:val="0"/>
        <w:adjustRightInd w:val="0"/>
        <w:ind w:left="284" w:hanging="284"/>
        <w:jc w:val="both"/>
        <w:rPr>
          <w:rFonts w:ascii="Arial Narrow" w:hAnsi="Arial Narrow" w:cs="Arial Narrow"/>
          <w:color w:val="000000" w:themeColor="text1"/>
          <w:lang w:eastAsia="es-CO"/>
        </w:rPr>
      </w:pPr>
      <w:r w:rsidRPr="002C0D19">
        <w:rPr>
          <w:rFonts w:ascii="Arial Narrow" w:hAnsi="Arial Narrow" w:cs="Arial Narrow"/>
          <w:color w:val="000000" w:themeColor="text1"/>
          <w:lang w:eastAsia="es-CO"/>
        </w:rPr>
        <w:t xml:space="preserve">4.  La </w:t>
      </w:r>
      <w:r w:rsidRPr="002C0D19">
        <w:rPr>
          <w:rFonts w:ascii="Arial Narrow" w:hAnsi="Arial Narrow" w:cs="Arial"/>
          <w:color w:val="000000" w:themeColor="text1"/>
          <w:lang w:val="es-ES" w:eastAsia="es-ES"/>
        </w:rPr>
        <w:t>Contraparte</w:t>
      </w:r>
      <w:r w:rsidRPr="002C0D19">
        <w:rPr>
          <w:rFonts w:ascii="Arial Narrow" w:hAnsi="Arial Narrow" w:cs="Arial Narrow"/>
          <w:color w:val="000000" w:themeColor="text1"/>
          <w:lang w:eastAsia="es-CO"/>
        </w:rPr>
        <w:t xml:space="preserve"> de Inversión registrará la operación por el mismo y en nombre de la Cámara.</w:t>
      </w:r>
    </w:p>
    <w:p w14:paraId="02CD8258" w14:textId="77777777" w:rsidR="007968EC" w:rsidRPr="002C0D19" w:rsidRDefault="007968EC" w:rsidP="007968EC">
      <w:pPr>
        <w:autoSpaceDE w:val="0"/>
        <w:autoSpaceDN w:val="0"/>
        <w:adjustRightInd w:val="0"/>
        <w:ind w:left="284" w:hanging="284"/>
        <w:jc w:val="both"/>
        <w:rPr>
          <w:rFonts w:ascii="Arial Narrow" w:hAnsi="Arial Narrow" w:cs="Arial Narrow"/>
          <w:color w:val="000000" w:themeColor="text1"/>
          <w:lang w:eastAsia="es-CO"/>
        </w:rPr>
      </w:pPr>
    </w:p>
    <w:p w14:paraId="210E2BAF" w14:textId="77777777" w:rsidR="007968EC" w:rsidRPr="002C0D19" w:rsidRDefault="007968EC" w:rsidP="007968EC">
      <w:pPr>
        <w:autoSpaceDE w:val="0"/>
        <w:autoSpaceDN w:val="0"/>
        <w:adjustRightInd w:val="0"/>
        <w:ind w:left="284" w:hanging="284"/>
        <w:jc w:val="both"/>
        <w:rPr>
          <w:rFonts w:ascii="Arial Narrow" w:hAnsi="Arial Narrow" w:cs="Arial Narrow"/>
          <w:color w:val="000000" w:themeColor="text1"/>
          <w:lang w:eastAsia="es-CO"/>
        </w:rPr>
      </w:pPr>
      <w:r w:rsidRPr="002C0D19">
        <w:rPr>
          <w:rFonts w:ascii="Arial Narrow" w:hAnsi="Arial Narrow" w:cs="Arial Narrow"/>
          <w:color w:val="000000" w:themeColor="text1"/>
          <w:lang w:eastAsia="es-CO"/>
        </w:rPr>
        <w:t xml:space="preserve">5. Las </w:t>
      </w:r>
      <w:r w:rsidRPr="002C0D19">
        <w:rPr>
          <w:rFonts w:ascii="Arial Narrow" w:hAnsi="Arial Narrow" w:cs="Arial"/>
          <w:color w:val="000000" w:themeColor="text1"/>
          <w:lang w:val="es-ES" w:eastAsia="es-ES"/>
        </w:rPr>
        <w:t>operaciones</w:t>
      </w:r>
      <w:r w:rsidRPr="002C0D19">
        <w:rPr>
          <w:rFonts w:ascii="Arial Narrow" w:hAnsi="Arial Narrow" w:cs="Arial Narrow"/>
          <w:color w:val="000000" w:themeColor="text1"/>
          <w:lang w:eastAsia="es-CO"/>
        </w:rPr>
        <w:t xml:space="preserve"> deberán registrarse en el Sistema Centralizado de Operaciones de Negociación y Registro – MEC (Mercado Electrónico Colombiano).</w:t>
      </w:r>
    </w:p>
    <w:p w14:paraId="37AE9784" w14:textId="77777777" w:rsidR="007968EC" w:rsidRPr="002C0D19" w:rsidRDefault="007968EC" w:rsidP="007968EC">
      <w:pPr>
        <w:autoSpaceDE w:val="0"/>
        <w:autoSpaceDN w:val="0"/>
        <w:adjustRightInd w:val="0"/>
        <w:ind w:left="284" w:hanging="284"/>
        <w:jc w:val="both"/>
        <w:rPr>
          <w:rFonts w:ascii="Arial Narrow" w:hAnsi="Arial Narrow" w:cs="Arial Narrow"/>
          <w:color w:val="000000" w:themeColor="text1"/>
          <w:lang w:eastAsia="es-CO"/>
        </w:rPr>
      </w:pPr>
    </w:p>
    <w:p w14:paraId="3FF7839C" w14:textId="77777777" w:rsidR="007968EC" w:rsidRPr="002C0D19" w:rsidRDefault="007968EC" w:rsidP="007968EC">
      <w:pPr>
        <w:autoSpaceDE w:val="0"/>
        <w:autoSpaceDN w:val="0"/>
        <w:adjustRightInd w:val="0"/>
        <w:ind w:left="284" w:hanging="284"/>
        <w:jc w:val="both"/>
        <w:rPr>
          <w:rFonts w:ascii="Arial Narrow" w:hAnsi="Arial Narrow" w:cs="Arial Narrow"/>
          <w:color w:val="000000" w:themeColor="text1"/>
          <w:lang w:eastAsia="es-CO"/>
        </w:rPr>
      </w:pPr>
      <w:r w:rsidRPr="002C0D19">
        <w:rPr>
          <w:rFonts w:ascii="Arial Narrow" w:hAnsi="Arial Narrow" w:cs="Arial Narrow"/>
          <w:color w:val="000000" w:themeColor="text1"/>
          <w:lang w:eastAsia="es-CO"/>
        </w:rPr>
        <w:t>6.  En el Deceval o en el DCV, la Contraparte de Inversión deberá incluir que la operación se debe cumplir con la modalidad de Entrega contra Pago de acuerdo con lo definido en el reglamento de los referidos depósitos.</w:t>
      </w:r>
    </w:p>
    <w:p w14:paraId="1580DDA7" w14:textId="77777777" w:rsidR="007968EC" w:rsidRPr="002C0D19" w:rsidRDefault="007968EC" w:rsidP="00074A74">
      <w:pPr>
        <w:pStyle w:val="Ttulo0"/>
      </w:pPr>
      <w:bookmarkStart w:id="2348" w:name="_Toc470775492"/>
      <w:bookmarkStart w:id="2349" w:name="_Toc470779777"/>
      <w:bookmarkStart w:id="2350" w:name="_Toc470780394"/>
      <w:bookmarkStart w:id="2351" w:name="_Toc470780907"/>
      <w:bookmarkStart w:id="2352" w:name="_Toc470784468"/>
      <w:bookmarkStart w:id="2353" w:name="_Toc470785005"/>
      <w:bookmarkStart w:id="2354" w:name="_Toc470791391"/>
    </w:p>
    <w:p w14:paraId="0BC40B50" w14:textId="77777777" w:rsidR="007968EC" w:rsidRPr="002C0D19" w:rsidRDefault="007968EC" w:rsidP="007968EC">
      <w:pPr>
        <w:pStyle w:val="TTULO"/>
        <w:rPr>
          <w:lang w:val="es-ES"/>
        </w:rPr>
      </w:pPr>
      <w:bookmarkStart w:id="2355" w:name="_Toc472592172"/>
      <w:bookmarkStart w:id="2356" w:name="_Toc472593191"/>
      <w:bookmarkStart w:id="2357" w:name="_Toc479056977"/>
      <w:bookmarkStart w:id="2358" w:name="_Toc490066296"/>
      <w:bookmarkStart w:id="2359" w:name="_Toc31715990"/>
      <w:r w:rsidRPr="002C0D19">
        <w:rPr>
          <w:lang w:val="es-ES"/>
        </w:rPr>
        <w:t>CAPÍTULO QUINTO</w:t>
      </w:r>
      <w:bookmarkEnd w:id="2348"/>
      <w:bookmarkEnd w:id="2349"/>
      <w:bookmarkEnd w:id="2350"/>
      <w:bookmarkEnd w:id="2351"/>
      <w:bookmarkEnd w:id="2352"/>
      <w:bookmarkEnd w:id="2353"/>
      <w:bookmarkEnd w:id="2354"/>
      <w:bookmarkEnd w:id="2355"/>
      <w:bookmarkEnd w:id="2356"/>
      <w:bookmarkEnd w:id="2357"/>
      <w:bookmarkEnd w:id="2358"/>
      <w:bookmarkEnd w:id="2359"/>
    </w:p>
    <w:p w14:paraId="7AF2C603" w14:textId="77777777" w:rsidR="007968EC" w:rsidRPr="002C0D19" w:rsidRDefault="007968EC" w:rsidP="00074A74">
      <w:pPr>
        <w:pStyle w:val="Ttulo0"/>
      </w:pPr>
    </w:p>
    <w:p w14:paraId="4EA36C02" w14:textId="77777777" w:rsidR="007968EC" w:rsidRPr="002C0D19" w:rsidRDefault="007968EC" w:rsidP="007968EC">
      <w:pPr>
        <w:pStyle w:val="TTULO"/>
        <w:rPr>
          <w:lang w:val="es-ES"/>
        </w:rPr>
      </w:pPr>
      <w:bookmarkStart w:id="2360" w:name="_Toc470775493"/>
      <w:bookmarkStart w:id="2361" w:name="_Toc470779778"/>
      <w:bookmarkStart w:id="2362" w:name="_Toc470780395"/>
      <w:bookmarkStart w:id="2363" w:name="_Toc470780908"/>
      <w:bookmarkStart w:id="2364" w:name="_Toc470784469"/>
      <w:bookmarkStart w:id="2365" w:name="_Toc470785006"/>
      <w:bookmarkStart w:id="2366" w:name="_Toc470791392"/>
      <w:bookmarkStart w:id="2367" w:name="_Toc472592173"/>
      <w:bookmarkStart w:id="2368" w:name="_Toc472593192"/>
      <w:bookmarkStart w:id="2369" w:name="_Toc479056978"/>
      <w:bookmarkStart w:id="2370" w:name="_Toc490066297"/>
      <w:bookmarkStart w:id="2371" w:name="_Toc31715991"/>
      <w:r w:rsidRPr="002C0D19">
        <w:rPr>
          <w:lang w:val="es-ES"/>
        </w:rPr>
        <w:t>LÍMITES</w:t>
      </w:r>
      <w:bookmarkEnd w:id="2360"/>
      <w:bookmarkEnd w:id="2361"/>
      <w:bookmarkEnd w:id="2362"/>
      <w:bookmarkEnd w:id="2363"/>
      <w:bookmarkEnd w:id="2364"/>
      <w:bookmarkEnd w:id="2365"/>
      <w:bookmarkEnd w:id="2366"/>
      <w:bookmarkEnd w:id="2367"/>
      <w:bookmarkEnd w:id="2368"/>
      <w:bookmarkEnd w:id="2369"/>
      <w:bookmarkEnd w:id="2370"/>
      <w:bookmarkEnd w:id="2371"/>
    </w:p>
    <w:p w14:paraId="6E735992" w14:textId="77777777" w:rsidR="007968EC" w:rsidRPr="002C0D19" w:rsidRDefault="007968EC" w:rsidP="00074A74">
      <w:pPr>
        <w:pStyle w:val="Ttulo0"/>
      </w:pPr>
    </w:p>
    <w:p w14:paraId="5A4035DE" w14:textId="77777777" w:rsidR="007968EC" w:rsidRDefault="007968EC" w:rsidP="007968EC">
      <w:pPr>
        <w:pStyle w:val="ARTICULO0"/>
      </w:pPr>
      <w:bookmarkStart w:id="2372" w:name="_Toc472592174"/>
      <w:bookmarkStart w:id="2373" w:name="_Toc472593193"/>
      <w:bookmarkStart w:id="2374" w:name="_Toc479056979"/>
      <w:bookmarkStart w:id="2375" w:name="_Toc31715992"/>
      <w:bookmarkStart w:id="2376" w:name="_Toc470775494"/>
      <w:bookmarkStart w:id="2377" w:name="_Toc470779779"/>
      <w:bookmarkStart w:id="2378" w:name="_Toc470780396"/>
      <w:bookmarkStart w:id="2379" w:name="_Toc470780909"/>
      <w:bookmarkStart w:id="2380" w:name="_Toc470784470"/>
      <w:bookmarkStart w:id="2381" w:name="_Toc470785007"/>
      <w:bookmarkStart w:id="2382" w:name="_Toc470791393"/>
      <w:bookmarkStart w:id="2383" w:name="_Toc490066298"/>
      <w:r w:rsidRPr="002C0D19">
        <w:t>Artículo 1.6.5.1. Generalidades del Límite de Riesgo Intradía – LRI.</w:t>
      </w:r>
      <w:bookmarkEnd w:id="2372"/>
      <w:bookmarkEnd w:id="2373"/>
      <w:bookmarkEnd w:id="2374"/>
      <w:bookmarkEnd w:id="2375"/>
      <w:r w:rsidRPr="002C0D19">
        <w:t xml:space="preserve"> </w:t>
      </w:r>
    </w:p>
    <w:p w14:paraId="6C5F5AFD" w14:textId="77777777" w:rsidR="007968EC" w:rsidRPr="003F5F9A" w:rsidRDefault="007968EC" w:rsidP="007968EC">
      <w:pPr>
        <w:jc w:val="both"/>
        <w:rPr>
          <w:rFonts w:ascii="Arial Narrow" w:hAnsi="Arial Narrow" w:cs="Arial"/>
          <w:color w:val="000000" w:themeColor="text1"/>
          <w:lang w:eastAsia="es-ES"/>
        </w:rPr>
      </w:pPr>
    </w:p>
    <w:p w14:paraId="213297D8" w14:textId="77777777" w:rsidR="007968EC" w:rsidRPr="002C0D19" w:rsidRDefault="007968EC" w:rsidP="007968EC">
      <w:pPr>
        <w:pStyle w:val="ANTECEDENTES"/>
        <w:rPr>
          <w:u w:val="single"/>
        </w:rPr>
      </w:pPr>
      <w:r w:rsidRPr="002C0D19">
        <w:t>(</w:t>
      </w:r>
      <w:r w:rsidRPr="002C0D19">
        <w:rPr>
          <w:lang w:val="es-ES_tradnl"/>
        </w:rPr>
        <w:t xml:space="preserve">Este artículo fue modificado mediante </w:t>
      </w:r>
      <w:r w:rsidRPr="002C0D19">
        <w:t>Circular 1 del 10 de enero de 2014, publicada en el Boletín Normativo No. 001 del 10 de enero de 2014 y mediante Circular 17 del 15 de diciembre de 2016, publicada en el Boletín Normativo No. 021 del 15 de diciembre de 2016, mediante Circular 19 del 28 de diciembre de 2016, publicada en el Boletín Normativo No. 024 del 28 de diciembre de 2016 y mediante Circular 14 del 8 de agosto de 2017, publicada en el Boletín Normativo No. 015 del 8 de agosto de 2017. Rige a partir del 9 de agosto de 2017.)</w:t>
      </w:r>
      <w:bookmarkEnd w:id="2376"/>
      <w:bookmarkEnd w:id="2377"/>
      <w:bookmarkEnd w:id="2378"/>
      <w:bookmarkEnd w:id="2379"/>
      <w:bookmarkEnd w:id="2380"/>
      <w:bookmarkEnd w:id="2381"/>
      <w:bookmarkEnd w:id="2382"/>
      <w:bookmarkEnd w:id="2383"/>
    </w:p>
    <w:p w14:paraId="2CF7FDBB" w14:textId="77777777" w:rsidR="007968EC" w:rsidRPr="002C0D19" w:rsidRDefault="007968EC" w:rsidP="007968EC">
      <w:pPr>
        <w:jc w:val="both"/>
        <w:rPr>
          <w:rFonts w:ascii="Arial Narrow" w:hAnsi="Arial Narrow" w:cs="Arial"/>
          <w:color w:val="000000" w:themeColor="text1"/>
          <w:lang w:val="es-ES" w:eastAsia="es-ES"/>
        </w:rPr>
      </w:pPr>
    </w:p>
    <w:p w14:paraId="40CDB49E"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lang w:val="es-ES" w:eastAsia="es-ES"/>
        </w:rPr>
        <w:t>Este Límite representa el máximo riesgo operativo diario que puede generar un Miembro Liquidador por operaciones realizadas tanto por cuenta propia y de sus Terceros Identificados como por las realizadas por sus Miembros no Liquidadores y sus respectivos Terceros Identificados; desde el momento en que se realizan las operaciones hasta el momento en que se deposita la Garantía por Posición.</w:t>
      </w:r>
    </w:p>
    <w:p w14:paraId="2E96E864" w14:textId="77777777" w:rsidR="007968EC" w:rsidRPr="002C0D19" w:rsidRDefault="007968EC" w:rsidP="007968EC">
      <w:pPr>
        <w:ind w:left="360"/>
        <w:jc w:val="both"/>
        <w:rPr>
          <w:rFonts w:ascii="Arial Narrow" w:hAnsi="Arial Narrow" w:cs="Arial"/>
          <w:lang w:val="es-ES" w:eastAsia="es-ES"/>
        </w:rPr>
      </w:pPr>
    </w:p>
    <w:p w14:paraId="6E5E19BE"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lang w:val="es-ES" w:eastAsia="es-ES"/>
        </w:rPr>
        <w:t>El objetivo del Límite de Riesgo Intradía – LRI es restringir el nivel de exposición que le representa a la Cámara la toma de nuevas posiciones en el mercado, hasta tanto no se constituyan las Garantías por Posición de esta Posición, ya sea durante el día o máximo al inicio del día siguiente.</w:t>
      </w:r>
    </w:p>
    <w:p w14:paraId="2B0E90ED" w14:textId="77777777" w:rsidR="007968EC" w:rsidRPr="002C0D19" w:rsidRDefault="007968EC" w:rsidP="007968EC">
      <w:pPr>
        <w:ind w:left="360"/>
        <w:jc w:val="both"/>
        <w:rPr>
          <w:rFonts w:ascii="Arial Narrow" w:hAnsi="Arial Narrow" w:cs="Arial"/>
          <w:lang w:val="es-ES" w:eastAsia="es-ES"/>
        </w:rPr>
      </w:pPr>
    </w:p>
    <w:p w14:paraId="68DA9429" w14:textId="77777777" w:rsidR="007968EC" w:rsidRPr="002C0D19" w:rsidRDefault="007968EC" w:rsidP="007968EC">
      <w:pPr>
        <w:autoSpaceDE w:val="0"/>
        <w:autoSpaceDN w:val="0"/>
        <w:adjustRightInd w:val="0"/>
        <w:jc w:val="both"/>
        <w:rPr>
          <w:rFonts w:ascii="Arial Narrow" w:eastAsia="Calibri" w:hAnsi="Arial Narrow" w:cs="Arial"/>
          <w:lang w:eastAsia="es-ES"/>
        </w:rPr>
      </w:pPr>
      <w:r w:rsidRPr="002C0D19">
        <w:rPr>
          <w:rFonts w:ascii="Arial Narrow" w:eastAsia="Calibri" w:hAnsi="Arial Narrow" w:cs="Arial"/>
          <w:lang w:eastAsia="es-ES"/>
        </w:rPr>
        <w:t xml:space="preserve">Este límite restringe la capacidad de operación de cada Miembro Liquidador y de los titulares de su estructura de Cuentas durante cada sesión de Aceptación de Operaciones. El límite se consume en la medida en que incrementa la Posición Abierta de cada Cuenta y se libera en la medida en que el Miembro Liquidador o su estructura de Cuentas cierran sus Posiciones Abiertas o incrementan voluntariamente o a solicitud de la Cámara, el valor de las Garantías. </w:t>
      </w:r>
    </w:p>
    <w:p w14:paraId="2472CE59" w14:textId="77777777" w:rsidR="007968EC" w:rsidRPr="002C0D19" w:rsidRDefault="007968EC" w:rsidP="007968EC">
      <w:pPr>
        <w:autoSpaceDE w:val="0"/>
        <w:autoSpaceDN w:val="0"/>
        <w:adjustRightInd w:val="0"/>
        <w:jc w:val="both"/>
        <w:rPr>
          <w:rFonts w:ascii="Arial Narrow" w:eastAsia="Calibri" w:hAnsi="Arial Narrow" w:cs="Arial"/>
          <w:lang w:eastAsia="es-ES"/>
        </w:rPr>
      </w:pPr>
    </w:p>
    <w:p w14:paraId="636303EC" w14:textId="77777777" w:rsidR="007968EC" w:rsidRPr="002C0D19" w:rsidRDefault="007968EC" w:rsidP="007968EC">
      <w:pPr>
        <w:autoSpaceDE w:val="0"/>
        <w:autoSpaceDN w:val="0"/>
        <w:adjustRightInd w:val="0"/>
        <w:jc w:val="both"/>
        <w:rPr>
          <w:rFonts w:ascii="Arial Narrow" w:eastAsia="Calibri" w:hAnsi="Arial Narrow" w:cs="Arial"/>
          <w:lang w:eastAsia="es-ES"/>
        </w:rPr>
      </w:pPr>
      <w:r w:rsidRPr="002C0D19">
        <w:rPr>
          <w:rFonts w:ascii="Arial Narrow" w:eastAsia="Calibri" w:hAnsi="Arial Narrow" w:cs="Arial"/>
          <w:lang w:eastAsia="es-ES"/>
        </w:rPr>
        <w:t>El Limite de Riesgo Intradía – LRI, se establece como un porcentaje del patrimonio técnico de cada Miembro Liquidador más el monto de las Garantías Individuales y de las Garantías Extraordinarias, más el monto garantizado por las Cartas de Crédito Stand By emitidas a favor de la Cámara para ampliación del Límite de Riesgo Intradía – LRI cuando se trate del Ordenante de la Carta de Crédito Stand By, de conformidad con lo dispuesto por el artículo 1.6.4.12. de la presente Circular. Para el caso del emisor de una Carta de Crédito Stand By, quien a su vez deberá ser Miembro de la Cámara, el monto garantizado por las Cartas de Crédito Stand By emitidas a favor de la Cámara será restado de su límite asignado, de conformidad con lo dispuesto por el artículo 1.6.4.12. de la presente Circular.</w:t>
      </w:r>
    </w:p>
    <w:p w14:paraId="689A5B89" w14:textId="77777777" w:rsidR="007968EC" w:rsidRPr="002C0D19" w:rsidRDefault="007968EC" w:rsidP="007968EC">
      <w:pPr>
        <w:autoSpaceDE w:val="0"/>
        <w:autoSpaceDN w:val="0"/>
        <w:adjustRightInd w:val="0"/>
        <w:jc w:val="both"/>
        <w:rPr>
          <w:rFonts w:ascii="Arial Narrow" w:eastAsia="Calibri" w:hAnsi="Arial Narrow" w:cs="Arial"/>
          <w:lang w:eastAsia="es-ES"/>
        </w:rPr>
      </w:pPr>
    </w:p>
    <w:p w14:paraId="04B678B4" w14:textId="77777777" w:rsidR="007968EC" w:rsidRPr="002C0D19" w:rsidRDefault="007968EC" w:rsidP="007968EC">
      <w:pPr>
        <w:autoSpaceDE w:val="0"/>
        <w:autoSpaceDN w:val="0"/>
        <w:adjustRightInd w:val="0"/>
        <w:jc w:val="both"/>
        <w:rPr>
          <w:rFonts w:ascii="Arial Narrow" w:eastAsia="Calibri" w:hAnsi="Arial Narrow" w:cs="Arial"/>
          <w:lang w:eastAsia="es-ES"/>
        </w:rPr>
      </w:pPr>
      <w:r w:rsidRPr="002C0D19">
        <w:rPr>
          <w:rFonts w:ascii="Arial Narrow" w:eastAsia="Calibri" w:hAnsi="Arial Narrow" w:cs="Arial"/>
          <w:b/>
          <w:lang w:eastAsia="es-ES"/>
        </w:rPr>
        <w:lastRenderedPageBreak/>
        <w:t>Parágrafo</w:t>
      </w:r>
      <w:r w:rsidRPr="002C0D19">
        <w:rPr>
          <w:rFonts w:ascii="Arial Narrow" w:eastAsia="Calibri" w:hAnsi="Arial Narrow" w:cs="Arial Narrow"/>
          <w:b/>
          <w:lang w:eastAsia="es-ES"/>
        </w:rPr>
        <w:t xml:space="preserve"> Primero</w:t>
      </w:r>
      <w:r w:rsidRPr="002C0D19">
        <w:rPr>
          <w:rFonts w:ascii="Arial Narrow" w:eastAsia="Calibri" w:hAnsi="Arial Narrow" w:cs="Arial"/>
          <w:b/>
          <w:lang w:eastAsia="es-ES"/>
        </w:rPr>
        <w:t>.</w:t>
      </w:r>
      <w:r w:rsidRPr="002C0D19">
        <w:rPr>
          <w:rFonts w:ascii="Arial Narrow" w:eastAsia="Calibri" w:hAnsi="Arial Narrow" w:cs="Arial"/>
          <w:lang w:eastAsia="es-ES"/>
        </w:rPr>
        <w:t xml:space="preserve"> Para efectos de establecer el Límite de Riesgo Intradía – LRI aplicable a la Nación - Ministerio de Hacienda y Crédito Público dicho límite se calculará mensualmente con base en el mayor patrimonio técnico vigente que acredite un Miembro Liquidador de la Cámara.</w:t>
      </w:r>
    </w:p>
    <w:p w14:paraId="67415460" w14:textId="77777777" w:rsidR="007968EC" w:rsidRPr="002C0D19" w:rsidRDefault="007968EC" w:rsidP="007968EC">
      <w:pPr>
        <w:autoSpaceDE w:val="0"/>
        <w:autoSpaceDN w:val="0"/>
        <w:adjustRightInd w:val="0"/>
        <w:jc w:val="both"/>
        <w:rPr>
          <w:rFonts w:ascii="Arial Narrow" w:eastAsia="Calibri" w:hAnsi="Arial Narrow" w:cs="Arial Narrow"/>
          <w:lang w:eastAsia="es-ES"/>
        </w:rPr>
      </w:pPr>
    </w:p>
    <w:p w14:paraId="504ECF8D" w14:textId="77777777" w:rsidR="007968EC" w:rsidRPr="002C0D19" w:rsidRDefault="007968EC" w:rsidP="007968EC">
      <w:pPr>
        <w:jc w:val="both"/>
        <w:rPr>
          <w:rFonts w:ascii="Arial Narrow" w:hAnsi="Arial Narrow" w:cs="Arial"/>
          <w:lang w:val="es-ES" w:eastAsia="es-ES"/>
        </w:rPr>
      </w:pPr>
      <w:r w:rsidRPr="002C0D19">
        <w:rPr>
          <w:rFonts w:ascii="Arial Narrow" w:eastAsia="Calibri" w:hAnsi="Arial Narrow" w:cs="Arial Narrow"/>
          <w:b/>
          <w:lang w:eastAsia="es-ES"/>
        </w:rPr>
        <w:t>Parágrafo Segundo.</w:t>
      </w:r>
      <w:r w:rsidRPr="002C0D19">
        <w:rPr>
          <w:rFonts w:ascii="Arial Narrow" w:eastAsia="Calibri" w:hAnsi="Arial Narrow" w:cs="Arial Narrow"/>
          <w:lang w:eastAsia="es-ES"/>
        </w:rPr>
        <w:t xml:space="preserve"> </w:t>
      </w:r>
      <w:r w:rsidRPr="002C0D19">
        <w:rPr>
          <w:rFonts w:ascii="Arial Narrow" w:hAnsi="Arial Narrow" w:cs="Arial"/>
          <w:lang w:val="es-ES" w:eastAsia="es-ES"/>
        </w:rPr>
        <w:t xml:space="preserve">En el caso en que la Cámara establezca para un Segmento específico que no se requiere al Miembro acreditar una calificación mínima de riesgo, la Cámara asignará un valor de cero (0) al </w:t>
      </w:r>
      <w:r w:rsidRPr="002C0D19">
        <w:rPr>
          <w:rFonts w:ascii="Arial Narrow" w:eastAsia="Calibri" w:hAnsi="Arial Narrow" w:cs="Arial Narrow"/>
          <w:lang w:eastAsia="es-ES"/>
        </w:rPr>
        <w:t xml:space="preserve">Límite de Riesgo Intradía – LRI </w:t>
      </w:r>
      <w:r w:rsidRPr="002C0D19">
        <w:rPr>
          <w:rFonts w:ascii="Arial Narrow" w:hAnsi="Arial Narrow" w:cs="Arial"/>
          <w:lang w:val="es-ES" w:eastAsia="es-ES"/>
        </w:rPr>
        <w:t>para dicho Segmento.</w:t>
      </w:r>
    </w:p>
    <w:p w14:paraId="7A7D248B" w14:textId="77777777" w:rsidR="007968EC" w:rsidRPr="002C0D19" w:rsidRDefault="007968EC" w:rsidP="007968EC">
      <w:pPr>
        <w:jc w:val="both"/>
        <w:rPr>
          <w:rFonts w:ascii="Arial Narrow" w:hAnsi="Arial Narrow" w:cs="Arial"/>
          <w:color w:val="000000" w:themeColor="text1"/>
          <w:lang w:val="es-ES" w:eastAsia="es-ES"/>
        </w:rPr>
      </w:pPr>
    </w:p>
    <w:p w14:paraId="2DEFDDE9" w14:textId="77777777" w:rsidR="007968EC" w:rsidRDefault="007968EC" w:rsidP="007968EC">
      <w:pPr>
        <w:pStyle w:val="ARTICULO0"/>
      </w:pPr>
      <w:bookmarkStart w:id="2384" w:name="_Toc472592175"/>
      <w:bookmarkStart w:id="2385" w:name="_Toc472593194"/>
      <w:bookmarkStart w:id="2386" w:name="_Toc479056980"/>
      <w:bookmarkStart w:id="2387" w:name="_Toc31715993"/>
      <w:bookmarkStart w:id="2388" w:name="_Toc470775495"/>
      <w:bookmarkStart w:id="2389" w:name="_Toc470779780"/>
      <w:bookmarkStart w:id="2390" w:name="_Toc470780397"/>
      <w:bookmarkStart w:id="2391" w:name="_Toc470780910"/>
      <w:bookmarkStart w:id="2392" w:name="_Toc470784471"/>
      <w:bookmarkStart w:id="2393" w:name="_Toc470785008"/>
      <w:bookmarkStart w:id="2394" w:name="_Toc470791394"/>
      <w:bookmarkStart w:id="2395" w:name="_Toc490066299"/>
      <w:r w:rsidRPr="002C0D19">
        <w:t>Artículo 1.6.5.2. Administración y consumo del Límite de Riesgo Intradía – LRI.</w:t>
      </w:r>
      <w:bookmarkEnd w:id="2384"/>
      <w:bookmarkEnd w:id="2385"/>
      <w:bookmarkEnd w:id="2386"/>
      <w:bookmarkEnd w:id="2387"/>
      <w:r w:rsidRPr="002C0D19">
        <w:t xml:space="preserve"> </w:t>
      </w:r>
    </w:p>
    <w:p w14:paraId="6620FF65" w14:textId="77777777" w:rsidR="007968EC" w:rsidRPr="003F5F9A" w:rsidRDefault="007968EC" w:rsidP="007968EC">
      <w:pPr>
        <w:jc w:val="both"/>
        <w:rPr>
          <w:rFonts w:ascii="Arial Narrow" w:hAnsi="Arial Narrow" w:cs="Arial"/>
          <w:color w:val="000000" w:themeColor="text1"/>
          <w:lang w:eastAsia="es-ES"/>
        </w:rPr>
      </w:pPr>
    </w:p>
    <w:p w14:paraId="1AF2B809" w14:textId="77777777" w:rsidR="007968EC" w:rsidRPr="002C0D19" w:rsidRDefault="007968EC" w:rsidP="007968EC">
      <w:pPr>
        <w:pStyle w:val="ANTECEDENTES"/>
      </w:pPr>
      <w:r w:rsidRPr="002C0D19">
        <w:rPr>
          <w:lang w:val="es-ES_tradnl"/>
        </w:rPr>
        <w:t xml:space="preserve">(Este artículo fue modificado mediante </w:t>
      </w:r>
      <w:r w:rsidRPr="002C0D19">
        <w:t xml:space="preserve">Circular 12 del 9 de mayo de 2013, publicada en el Boletín Normativo No. 013 del 9 de mayo de 2013 y </w:t>
      </w:r>
      <w:r w:rsidRPr="002C0D19">
        <w:rPr>
          <w:lang w:val="es-ES_tradnl"/>
        </w:rPr>
        <w:t xml:space="preserve">mediante </w:t>
      </w:r>
      <w:r w:rsidRPr="002C0D19">
        <w:t>Circular 1 del 10 de enero de 2014, publicada en el Boletín Normativo No. 001 del 10 de enero de 2014 y mediante Circular 22 del 14 de noviembre de 2014, publicada en el Boletín Normativo No. 025 del 14 de noviembre de 2014, mediante Circular 19 del 28 de diciembre de 2016, publicada en el Boletín Normativo No. 024 del 28 de diciembre de 2016</w:t>
      </w:r>
      <w:bookmarkEnd w:id="2388"/>
      <w:bookmarkEnd w:id="2389"/>
      <w:bookmarkEnd w:id="2390"/>
      <w:bookmarkEnd w:id="2391"/>
      <w:bookmarkEnd w:id="2392"/>
      <w:bookmarkEnd w:id="2393"/>
      <w:bookmarkEnd w:id="2394"/>
      <w:r w:rsidRPr="002C0D19">
        <w:t xml:space="preserve"> y mediante Circular 2 del 11 de enero de 2017, publicada en el Boletín Normativo No. 002 del 11 de enero de 2017. Rige a partir del 12 de enero de 2017.)</w:t>
      </w:r>
      <w:bookmarkEnd w:id="2395"/>
    </w:p>
    <w:p w14:paraId="6C8AEBC9" w14:textId="77777777" w:rsidR="007968EC" w:rsidRPr="002C0D19" w:rsidRDefault="007968EC" w:rsidP="007968EC">
      <w:pPr>
        <w:jc w:val="both"/>
        <w:rPr>
          <w:rFonts w:ascii="Arial Narrow" w:hAnsi="Arial Narrow" w:cs="Arial"/>
          <w:bCs/>
          <w:color w:val="000000" w:themeColor="text1"/>
          <w:lang w:val="es-ES" w:eastAsia="es-ES"/>
        </w:rPr>
      </w:pPr>
    </w:p>
    <w:p w14:paraId="288478E7" w14:textId="77777777" w:rsidR="007968EC" w:rsidRPr="002C0D19" w:rsidRDefault="007968EC" w:rsidP="007968EC">
      <w:pPr>
        <w:autoSpaceDE w:val="0"/>
        <w:autoSpaceDN w:val="0"/>
        <w:adjustRightInd w:val="0"/>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El Límite de Riesgo Intradía – LRI, está dado por la siguiente formula:</w:t>
      </w:r>
    </w:p>
    <w:p w14:paraId="7D1F0B8F" w14:textId="77777777" w:rsidR="007968EC" w:rsidRPr="002C0D19" w:rsidRDefault="007968EC" w:rsidP="007968EC">
      <w:pPr>
        <w:autoSpaceDE w:val="0"/>
        <w:autoSpaceDN w:val="0"/>
        <w:adjustRightInd w:val="0"/>
        <w:jc w:val="both"/>
        <w:rPr>
          <w:rFonts w:ascii="Arial Narrow" w:hAnsi="Arial Narrow" w:cs="Arial"/>
          <w:color w:val="000000" w:themeColor="text1"/>
          <w:lang w:eastAsia="es-ES"/>
        </w:rPr>
      </w:pPr>
    </w:p>
    <w:p w14:paraId="2B0B5E64" w14:textId="77777777" w:rsidR="007968EC" w:rsidRPr="002C0D19" w:rsidRDefault="007968EC" w:rsidP="007968EC">
      <w:pPr>
        <w:autoSpaceDE w:val="0"/>
        <w:autoSpaceDN w:val="0"/>
        <w:adjustRightInd w:val="0"/>
        <w:ind w:left="708"/>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LRI = 1% * Patrimonio Técnico + Garantía Individual + Garantías Extraordinarias para ampliación del Límite + Cartas de Crédito Stand By a Primer Requerimiento, en caso de ser Ordenante de la Carta de Crédito Stand By.</w:t>
      </w:r>
    </w:p>
    <w:p w14:paraId="6E30FC77" w14:textId="77777777" w:rsidR="007968EC" w:rsidRPr="002C0D19" w:rsidRDefault="007968EC" w:rsidP="007968EC">
      <w:pPr>
        <w:autoSpaceDE w:val="0"/>
        <w:autoSpaceDN w:val="0"/>
        <w:adjustRightInd w:val="0"/>
        <w:jc w:val="both"/>
        <w:rPr>
          <w:rFonts w:ascii="Arial Narrow" w:hAnsi="Arial Narrow" w:cs="Arial"/>
          <w:color w:val="000000" w:themeColor="text1"/>
          <w:lang w:eastAsia="es-ES"/>
        </w:rPr>
      </w:pPr>
    </w:p>
    <w:p w14:paraId="68524EC6" w14:textId="77777777" w:rsidR="007968EC" w:rsidRPr="002C0D19" w:rsidRDefault="007968EC" w:rsidP="007968EC">
      <w:pPr>
        <w:autoSpaceDE w:val="0"/>
        <w:autoSpaceDN w:val="0"/>
        <w:adjustRightInd w:val="0"/>
        <w:ind w:firstLine="708"/>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o</w:t>
      </w:r>
    </w:p>
    <w:p w14:paraId="38A4F159" w14:textId="77777777" w:rsidR="007968EC" w:rsidRPr="002C0D19" w:rsidRDefault="007968EC" w:rsidP="007968EC">
      <w:pPr>
        <w:autoSpaceDE w:val="0"/>
        <w:autoSpaceDN w:val="0"/>
        <w:adjustRightInd w:val="0"/>
        <w:jc w:val="both"/>
        <w:rPr>
          <w:rFonts w:ascii="Arial Narrow" w:hAnsi="Arial Narrow" w:cs="Arial"/>
          <w:color w:val="000000" w:themeColor="text1"/>
          <w:lang w:eastAsia="es-ES"/>
        </w:rPr>
      </w:pPr>
    </w:p>
    <w:p w14:paraId="2ACBC0FE" w14:textId="77777777" w:rsidR="007968EC" w:rsidRPr="002C0D19" w:rsidRDefault="007968EC" w:rsidP="007968EC">
      <w:pPr>
        <w:autoSpaceDE w:val="0"/>
        <w:autoSpaceDN w:val="0"/>
        <w:adjustRightInd w:val="0"/>
        <w:ind w:left="708"/>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LRI = 1% * Patrimonio Técnico + Garantía Individual + Garantías Extraordinarias para ampliación del Límite - Cartas de Crédito Stand By en caso de ser Emisor de la Carta de Crédito Stand By.</w:t>
      </w:r>
    </w:p>
    <w:p w14:paraId="65B7AC0F" w14:textId="77777777" w:rsidR="007968EC" w:rsidRPr="002C0D19" w:rsidRDefault="007968EC" w:rsidP="007968EC">
      <w:pPr>
        <w:autoSpaceDE w:val="0"/>
        <w:autoSpaceDN w:val="0"/>
        <w:adjustRightInd w:val="0"/>
        <w:jc w:val="both"/>
        <w:rPr>
          <w:rFonts w:ascii="Arial Narrow" w:hAnsi="Arial Narrow" w:cs="Arial"/>
          <w:color w:val="000000" w:themeColor="text1"/>
          <w:lang w:eastAsia="es-ES"/>
        </w:rPr>
      </w:pPr>
    </w:p>
    <w:p w14:paraId="5250A8D8" w14:textId="77777777" w:rsidR="007968EC" w:rsidRPr="002C0D19" w:rsidRDefault="007968EC" w:rsidP="007968EC">
      <w:pPr>
        <w:autoSpaceDE w:val="0"/>
        <w:autoSpaceDN w:val="0"/>
        <w:adjustRightInd w:val="0"/>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Donde el Patrimonio Técnico corresponde al del mes inmediatamente anterior certificado por la Superintendencia Financiera de Colombia.</w:t>
      </w:r>
    </w:p>
    <w:p w14:paraId="7B6A47CC" w14:textId="77777777" w:rsidR="007968EC" w:rsidRPr="002C0D19" w:rsidRDefault="007968EC" w:rsidP="007968EC">
      <w:pPr>
        <w:autoSpaceDE w:val="0"/>
        <w:autoSpaceDN w:val="0"/>
        <w:adjustRightInd w:val="0"/>
        <w:jc w:val="both"/>
        <w:rPr>
          <w:rFonts w:ascii="Arial Narrow" w:hAnsi="Arial Narrow" w:cs="Arial"/>
          <w:color w:val="000000" w:themeColor="text1"/>
          <w:lang w:eastAsia="es-ES"/>
        </w:rPr>
      </w:pPr>
    </w:p>
    <w:p w14:paraId="37515B70" w14:textId="77777777" w:rsidR="007968EC" w:rsidRPr="002C0D19" w:rsidRDefault="007968EC" w:rsidP="007968EC">
      <w:pPr>
        <w:autoSpaceDE w:val="0"/>
        <w:autoSpaceDN w:val="0"/>
        <w:adjustRightInd w:val="0"/>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El consumo del Límite de Riesgo Intradía se determina por el Riesgo Intradía – RI del Miembro, que se determina por el Nivel de Riesgo de cada una de sus Cuentas.</w:t>
      </w:r>
    </w:p>
    <w:p w14:paraId="472DBB1E" w14:textId="77777777" w:rsidR="007968EC" w:rsidRPr="002C0D19" w:rsidRDefault="007968EC" w:rsidP="007968EC">
      <w:pPr>
        <w:autoSpaceDE w:val="0"/>
        <w:autoSpaceDN w:val="0"/>
        <w:adjustRightInd w:val="0"/>
        <w:jc w:val="both"/>
        <w:rPr>
          <w:rFonts w:ascii="Arial Narrow" w:hAnsi="Arial Narrow" w:cs="Arial"/>
          <w:color w:val="000000" w:themeColor="text1"/>
          <w:lang w:eastAsia="es-ES"/>
        </w:rPr>
      </w:pPr>
    </w:p>
    <w:p w14:paraId="40704929" w14:textId="77777777" w:rsidR="007968EC" w:rsidRPr="002C0D19" w:rsidRDefault="007968EC" w:rsidP="007968EC">
      <w:pPr>
        <w:autoSpaceDE w:val="0"/>
        <w:autoSpaceDN w:val="0"/>
        <w:adjustRightInd w:val="0"/>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El nivel de Riesgo Intradía para cada Titular de Cuenta con Posiciones Abiertas en contratos cuyo Tipo de Liquidación incluya Liquidación Diaria vendrá dado por la siguiente fórmula:</w:t>
      </w:r>
    </w:p>
    <w:p w14:paraId="2EB38CE0" w14:textId="77777777" w:rsidR="007968EC" w:rsidRPr="002C0D19" w:rsidRDefault="007968EC" w:rsidP="007968EC">
      <w:pPr>
        <w:autoSpaceDE w:val="0"/>
        <w:autoSpaceDN w:val="0"/>
        <w:adjustRightInd w:val="0"/>
        <w:jc w:val="both"/>
        <w:rPr>
          <w:rFonts w:ascii="Arial Narrow" w:hAnsi="Arial Narrow" w:cs="Arial"/>
          <w:color w:val="000000" w:themeColor="text1"/>
          <w:lang w:eastAsia="es-ES"/>
        </w:rPr>
      </w:pPr>
    </w:p>
    <w:p w14:paraId="39304531" w14:textId="77777777" w:rsidR="007968EC" w:rsidRPr="002C0D19" w:rsidRDefault="007968EC" w:rsidP="007968EC">
      <w:pPr>
        <w:autoSpaceDE w:val="0"/>
        <w:autoSpaceDN w:val="0"/>
        <w:adjustRightInd w:val="0"/>
        <w:ind w:left="708"/>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Riesgo Intradía Cliente/Titular = Garantías en tiempo real - Garantías por Posición constituidas ± Variation Margin. </w:t>
      </w:r>
    </w:p>
    <w:p w14:paraId="0BDB3E26" w14:textId="77777777" w:rsidR="007968EC" w:rsidRPr="002C0D19" w:rsidRDefault="007968EC" w:rsidP="007968EC">
      <w:pPr>
        <w:autoSpaceDE w:val="0"/>
        <w:autoSpaceDN w:val="0"/>
        <w:adjustRightInd w:val="0"/>
        <w:jc w:val="both"/>
        <w:rPr>
          <w:rFonts w:ascii="Arial Narrow" w:hAnsi="Arial Narrow" w:cs="Arial"/>
          <w:color w:val="000000" w:themeColor="text1"/>
          <w:lang w:eastAsia="es-ES"/>
        </w:rPr>
      </w:pPr>
    </w:p>
    <w:p w14:paraId="74EBE702" w14:textId="77777777" w:rsidR="007968EC" w:rsidRPr="002C0D19" w:rsidRDefault="007968EC" w:rsidP="007968EC">
      <w:pPr>
        <w:autoSpaceDE w:val="0"/>
        <w:autoSpaceDN w:val="0"/>
        <w:adjustRightInd w:val="0"/>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De otra parte, el nivel de Riesgo en Cuenta Diaria vendría dado por:</w:t>
      </w:r>
    </w:p>
    <w:p w14:paraId="190A2234" w14:textId="77777777" w:rsidR="007968EC" w:rsidRPr="002C0D19" w:rsidRDefault="007968EC" w:rsidP="007968EC">
      <w:pPr>
        <w:autoSpaceDE w:val="0"/>
        <w:autoSpaceDN w:val="0"/>
        <w:adjustRightInd w:val="0"/>
        <w:jc w:val="both"/>
        <w:rPr>
          <w:rFonts w:ascii="Arial Narrow" w:hAnsi="Arial Narrow" w:cs="Arial"/>
          <w:color w:val="000000" w:themeColor="text1"/>
          <w:lang w:eastAsia="es-ES"/>
        </w:rPr>
      </w:pPr>
    </w:p>
    <w:p w14:paraId="34CEDCB7" w14:textId="77777777" w:rsidR="007968EC" w:rsidRPr="002C0D19" w:rsidRDefault="007968EC" w:rsidP="007968EC">
      <w:pPr>
        <w:autoSpaceDE w:val="0"/>
        <w:autoSpaceDN w:val="0"/>
        <w:adjustRightInd w:val="0"/>
        <w:ind w:left="708"/>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lastRenderedPageBreak/>
        <w:t>Riesgo Intradía = Garantías en tiempo real de contratos comprados + Garantías en tiempo real de contratos vendidos ± Variation Margin contratos Comprados ± Variation Margin contratos Vendidos.</w:t>
      </w:r>
    </w:p>
    <w:p w14:paraId="7EF61851" w14:textId="77777777" w:rsidR="007968EC" w:rsidRPr="002C0D19" w:rsidRDefault="007968EC" w:rsidP="007968EC">
      <w:pPr>
        <w:autoSpaceDE w:val="0"/>
        <w:autoSpaceDN w:val="0"/>
        <w:adjustRightInd w:val="0"/>
        <w:jc w:val="both"/>
        <w:rPr>
          <w:rFonts w:ascii="Arial Narrow" w:hAnsi="Arial Narrow" w:cs="Arial"/>
          <w:color w:val="000000" w:themeColor="text1"/>
          <w:lang w:eastAsia="es-ES"/>
        </w:rPr>
      </w:pPr>
    </w:p>
    <w:p w14:paraId="420FD256" w14:textId="77777777" w:rsidR="007968EC" w:rsidRPr="002C0D19" w:rsidRDefault="007968EC" w:rsidP="007968EC">
      <w:pPr>
        <w:autoSpaceDE w:val="0"/>
        <w:autoSpaceDN w:val="0"/>
        <w:adjustRightInd w:val="0"/>
        <w:jc w:val="both"/>
        <w:rPr>
          <w:rFonts w:ascii="Arial Narrow" w:hAnsi="Arial Narrow" w:cs="Arial"/>
          <w:color w:val="000000" w:themeColor="text1"/>
          <w:lang w:eastAsia="es-ES"/>
        </w:rPr>
      </w:pPr>
      <w:proofErr w:type="gramStart"/>
      <w:r w:rsidRPr="002C0D19">
        <w:rPr>
          <w:rFonts w:ascii="Arial Narrow" w:hAnsi="Arial Narrow" w:cs="Arial"/>
          <w:color w:val="000000" w:themeColor="text1"/>
          <w:lang w:eastAsia="es-ES"/>
        </w:rPr>
        <w:t>En caso que</w:t>
      </w:r>
      <w:proofErr w:type="gramEnd"/>
      <w:r w:rsidRPr="002C0D19">
        <w:rPr>
          <w:rFonts w:ascii="Arial Narrow" w:hAnsi="Arial Narrow" w:cs="Arial"/>
          <w:color w:val="000000" w:themeColor="text1"/>
          <w:lang w:eastAsia="es-ES"/>
        </w:rPr>
        <w:t xml:space="preserve"> el riesgo sea positivo, éste se imputará como Límite consumido. En caso contrario se entenderá que dicha Cuenta no aporta riesgo y por ello su operativa no supondrá consumo de Límite para el Miembro.</w:t>
      </w:r>
    </w:p>
    <w:p w14:paraId="74051145" w14:textId="77777777" w:rsidR="007968EC" w:rsidRPr="002C0D19" w:rsidRDefault="007968EC" w:rsidP="007968EC">
      <w:pPr>
        <w:autoSpaceDE w:val="0"/>
        <w:autoSpaceDN w:val="0"/>
        <w:adjustRightInd w:val="0"/>
        <w:jc w:val="both"/>
        <w:rPr>
          <w:rFonts w:ascii="Arial Narrow" w:hAnsi="Arial Narrow" w:cs="Arial"/>
          <w:color w:val="000000" w:themeColor="text1"/>
          <w:lang w:eastAsia="es-ES"/>
        </w:rPr>
      </w:pPr>
    </w:p>
    <w:p w14:paraId="017470B7" w14:textId="77777777" w:rsidR="007968EC" w:rsidRPr="002C0D19" w:rsidRDefault="007968EC" w:rsidP="007968EC">
      <w:pPr>
        <w:autoSpaceDE w:val="0"/>
        <w:autoSpaceDN w:val="0"/>
        <w:adjustRightInd w:val="0"/>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El cálculo del RI del Miembro Liquidador será la suma de los valores positivos obtenidos anteriormente, en las Cuentas propias del Miembro, en las Cuentas propias de sus Miembros No liquidadores, en sus Terceros y los Terceros de sus Miembros No liquidadores.</w:t>
      </w:r>
    </w:p>
    <w:p w14:paraId="6B14DEA4" w14:textId="77777777" w:rsidR="007968EC" w:rsidRPr="002C0D19" w:rsidRDefault="007968EC" w:rsidP="007968EC">
      <w:pPr>
        <w:autoSpaceDE w:val="0"/>
        <w:autoSpaceDN w:val="0"/>
        <w:adjustRightInd w:val="0"/>
        <w:jc w:val="both"/>
        <w:rPr>
          <w:rFonts w:ascii="Arial Narrow" w:hAnsi="Arial Narrow" w:cs="Arial"/>
          <w:color w:val="000000" w:themeColor="text1"/>
          <w:lang w:eastAsia="es-ES"/>
        </w:rPr>
      </w:pPr>
    </w:p>
    <w:p w14:paraId="1AAE2255" w14:textId="77777777" w:rsidR="007968EC" w:rsidRPr="002C0D19" w:rsidRDefault="007968EC" w:rsidP="007968EC">
      <w:pPr>
        <w:autoSpaceDE w:val="0"/>
        <w:autoSpaceDN w:val="0"/>
        <w:adjustRightInd w:val="0"/>
        <w:jc w:val="both"/>
        <w:rPr>
          <w:rFonts w:ascii="Arial Narrow" w:hAnsi="Arial Narrow" w:cs="Arial"/>
          <w:color w:val="000000" w:themeColor="text1"/>
          <w:lang w:eastAsia="es-ES"/>
        </w:rPr>
      </w:pPr>
      <w:bookmarkStart w:id="2396" w:name="_Toc470775496"/>
      <w:bookmarkStart w:id="2397" w:name="_Toc470779781"/>
      <w:bookmarkStart w:id="2398" w:name="_Toc470780398"/>
      <w:bookmarkStart w:id="2399" w:name="_Toc470780911"/>
      <w:bookmarkStart w:id="2400" w:name="_Toc470784472"/>
      <w:bookmarkStart w:id="2401" w:name="_Toc470785009"/>
      <w:bookmarkStart w:id="2402" w:name="_Toc470791395"/>
      <w:bookmarkStart w:id="2403" w:name="_Toc471831605"/>
      <w:bookmarkStart w:id="2404" w:name="_Toc490066300"/>
      <w:bookmarkStart w:id="2405" w:name="_Toc490079075"/>
      <w:r w:rsidRPr="002C0D19">
        <w:rPr>
          <w:rFonts w:ascii="Arial Narrow" w:hAnsi="Arial Narrow" w:cs="Arial"/>
          <w:color w:val="000000" w:themeColor="text1"/>
          <w:lang w:eastAsia="es-ES"/>
        </w:rPr>
        <w:t>El Límite de Riesgo Intradía – LRI se monitorea en tiempo real con una aplicación que calcula los riesgos cada cinco (5) minutos.</w:t>
      </w:r>
      <w:bookmarkEnd w:id="2396"/>
      <w:bookmarkEnd w:id="2397"/>
      <w:bookmarkEnd w:id="2398"/>
      <w:bookmarkEnd w:id="2399"/>
      <w:bookmarkEnd w:id="2400"/>
      <w:bookmarkEnd w:id="2401"/>
      <w:bookmarkEnd w:id="2402"/>
      <w:bookmarkEnd w:id="2403"/>
      <w:bookmarkEnd w:id="2404"/>
      <w:bookmarkEnd w:id="2405"/>
    </w:p>
    <w:p w14:paraId="2567D359" w14:textId="77777777" w:rsidR="007968EC" w:rsidRPr="00217BDE" w:rsidRDefault="007968EC" w:rsidP="007968EC">
      <w:pPr>
        <w:autoSpaceDE w:val="0"/>
        <w:autoSpaceDN w:val="0"/>
        <w:adjustRightInd w:val="0"/>
        <w:jc w:val="both"/>
        <w:rPr>
          <w:rFonts w:ascii="Arial Narrow" w:hAnsi="Arial Narrow" w:cs="Arial"/>
          <w:color w:val="000000" w:themeColor="text1"/>
          <w:lang w:eastAsia="es-ES"/>
        </w:rPr>
      </w:pPr>
    </w:p>
    <w:p w14:paraId="1B23C737" w14:textId="77777777" w:rsidR="007968EC" w:rsidRDefault="007968EC" w:rsidP="007968EC">
      <w:pPr>
        <w:pStyle w:val="ARTICULO0"/>
      </w:pPr>
      <w:bookmarkStart w:id="2406" w:name="_Toc472592176"/>
      <w:bookmarkStart w:id="2407" w:name="_Toc472593195"/>
      <w:bookmarkStart w:id="2408" w:name="_Toc479056981"/>
      <w:bookmarkStart w:id="2409" w:name="_Toc31715994"/>
      <w:bookmarkStart w:id="2410" w:name="_Toc470775497"/>
      <w:bookmarkStart w:id="2411" w:name="_Toc470779782"/>
      <w:bookmarkStart w:id="2412" w:name="_Toc470780399"/>
      <w:bookmarkStart w:id="2413" w:name="_Toc470780912"/>
      <w:bookmarkStart w:id="2414" w:name="_Toc470784473"/>
      <w:bookmarkStart w:id="2415" w:name="_Toc470785010"/>
      <w:bookmarkStart w:id="2416" w:name="_Toc470791396"/>
      <w:bookmarkStart w:id="2417" w:name="_Toc490066301"/>
      <w:r w:rsidRPr="002C0D19">
        <w:t>Artículo 1.6.5.3. Política de Administración del LRI.</w:t>
      </w:r>
      <w:bookmarkEnd w:id="2406"/>
      <w:bookmarkEnd w:id="2407"/>
      <w:bookmarkEnd w:id="2408"/>
      <w:bookmarkEnd w:id="2409"/>
      <w:r w:rsidRPr="002C0D19">
        <w:t xml:space="preserve"> </w:t>
      </w:r>
    </w:p>
    <w:p w14:paraId="469E4034" w14:textId="77777777" w:rsidR="007968EC" w:rsidRPr="00D9028E" w:rsidRDefault="007968EC" w:rsidP="007968EC">
      <w:pPr>
        <w:jc w:val="both"/>
        <w:rPr>
          <w:rFonts w:ascii="Arial Narrow" w:hAnsi="Arial Narrow" w:cs="Arial"/>
          <w:color w:val="000000" w:themeColor="text1"/>
          <w:lang w:eastAsia="es-ES"/>
        </w:rPr>
      </w:pPr>
    </w:p>
    <w:p w14:paraId="4011DFB6" w14:textId="77777777" w:rsidR="007968EC" w:rsidRPr="002C0D19" w:rsidRDefault="007968EC" w:rsidP="007968EC">
      <w:pPr>
        <w:pStyle w:val="ANTECEDENTES"/>
        <w:rPr>
          <w:u w:val="single"/>
        </w:rPr>
      </w:pPr>
      <w:r w:rsidRPr="002C0D19">
        <w:t>(Este Artículo fue modificado mediante Circular 13 del 26 de julio de 2011, publicada en el Boletín Normativo No. 016 del 26 de julio de 2011. Rige a partir del 28 de julio de 2011 y modificado mediante Circular 19 del 28 de diciembre de 2016, publicada en el Boletín Normativo No. 024 del 28 de diciembre de 2016. Rige a partir del 29 de diciembre de 2016.)</w:t>
      </w:r>
      <w:bookmarkEnd w:id="2410"/>
      <w:bookmarkEnd w:id="2411"/>
      <w:bookmarkEnd w:id="2412"/>
      <w:bookmarkEnd w:id="2413"/>
      <w:bookmarkEnd w:id="2414"/>
      <w:bookmarkEnd w:id="2415"/>
      <w:bookmarkEnd w:id="2416"/>
      <w:bookmarkEnd w:id="2417"/>
    </w:p>
    <w:p w14:paraId="08C01446" w14:textId="77777777" w:rsidR="007968EC" w:rsidRPr="002C0D19" w:rsidRDefault="007968EC" w:rsidP="007968EC">
      <w:pPr>
        <w:jc w:val="both"/>
        <w:rPr>
          <w:rFonts w:ascii="Arial Narrow" w:hAnsi="Arial Narrow" w:cs="Arial"/>
          <w:color w:val="000000" w:themeColor="text1"/>
          <w:lang w:val="es-ES" w:eastAsia="es-ES"/>
        </w:rPr>
      </w:pPr>
    </w:p>
    <w:p w14:paraId="4BD67C06" w14:textId="77777777" w:rsidR="007968EC" w:rsidRPr="002C0D19" w:rsidRDefault="007968EC" w:rsidP="00DA7472">
      <w:pPr>
        <w:numPr>
          <w:ilvl w:val="0"/>
          <w:numId w:val="155"/>
        </w:numPr>
        <w:tabs>
          <w:tab w:val="num" w:pos="520"/>
        </w:tabs>
        <w:ind w:left="520" w:hanging="520"/>
        <w:jc w:val="both"/>
        <w:rPr>
          <w:rFonts w:ascii="Arial Narrow" w:hAnsi="Arial Narrow" w:cs="Arial Narrow"/>
          <w:color w:val="000000" w:themeColor="text1"/>
          <w:lang w:eastAsia="es-ES"/>
        </w:rPr>
      </w:pPr>
      <w:r w:rsidRPr="002C0D19">
        <w:rPr>
          <w:rFonts w:ascii="Arial Narrow" w:hAnsi="Arial Narrow" w:cs="Arial Narrow"/>
          <w:color w:val="000000" w:themeColor="text1"/>
          <w:lang w:eastAsia="es-ES"/>
        </w:rPr>
        <w:t xml:space="preserve">Cuando el consumo de Límite de Riesgo Intradía exceda el 90%, se contactará al Miembro Liquidador por correo electrónico o vía telefónica para la constitución de Garantías por Posición en las Cuentas que están generando riesgo o Garantías Individuales o Extraordinarias que amplíen el LRI. Estas Garantías se deben constituir en un periodo no mayor a una hora contada a partir de la hora de envío del correo electrónico o de la hora de la comunicación telefónica, según el caso. </w:t>
      </w:r>
    </w:p>
    <w:p w14:paraId="7E60CDAA" w14:textId="77777777" w:rsidR="007968EC" w:rsidRPr="002C0D19" w:rsidRDefault="007968EC" w:rsidP="007968EC">
      <w:pPr>
        <w:ind w:left="567"/>
        <w:jc w:val="both"/>
        <w:rPr>
          <w:rFonts w:ascii="Arial Narrow" w:hAnsi="Arial Narrow" w:cs="Arial Narrow"/>
          <w:color w:val="000000" w:themeColor="text1"/>
          <w:lang w:eastAsia="es-ES"/>
        </w:rPr>
      </w:pPr>
    </w:p>
    <w:p w14:paraId="62BEEAA4" w14:textId="77777777" w:rsidR="007968EC" w:rsidRPr="002C0D19" w:rsidRDefault="007968EC" w:rsidP="00DA7472">
      <w:pPr>
        <w:numPr>
          <w:ilvl w:val="0"/>
          <w:numId w:val="155"/>
        </w:numPr>
        <w:tabs>
          <w:tab w:val="num" w:pos="567"/>
        </w:tabs>
        <w:ind w:left="567" w:hanging="567"/>
        <w:jc w:val="both"/>
        <w:rPr>
          <w:rFonts w:ascii="Arial Narrow" w:hAnsi="Arial Narrow" w:cs="Arial Narrow"/>
          <w:color w:val="000000" w:themeColor="text1"/>
          <w:lang w:eastAsia="es-ES"/>
        </w:rPr>
      </w:pPr>
      <w:r w:rsidRPr="002C0D19">
        <w:rPr>
          <w:rFonts w:ascii="Arial Narrow" w:hAnsi="Arial Narrow" w:cs="Arial Narrow"/>
          <w:color w:val="000000" w:themeColor="text1"/>
          <w:lang w:eastAsia="es-ES"/>
        </w:rPr>
        <w:t>El Miembro Liquidador que supere su Límite de Riesgo Intradía al final del periodo de gestión de Garantías en más de cuatro veces en un mes deberá ampliar su límite en la cantidad correspondiente al máximo valor excedido. El nuevo límite se mantendrá por un periodo de tres meses, el cual cumplido este periodo, el Miembro Liquidador podrá liberar el valor penalizado.</w:t>
      </w:r>
    </w:p>
    <w:p w14:paraId="513C8765" w14:textId="77777777" w:rsidR="007968EC" w:rsidRPr="002C0D19" w:rsidRDefault="007968EC" w:rsidP="007968EC">
      <w:pPr>
        <w:ind w:left="708"/>
        <w:rPr>
          <w:rFonts w:ascii="Arial Narrow" w:hAnsi="Arial Narrow" w:cs="Arial Narrow"/>
          <w:color w:val="000000" w:themeColor="text1"/>
          <w:lang w:eastAsia="es-CO"/>
        </w:rPr>
      </w:pPr>
    </w:p>
    <w:p w14:paraId="1A230429" w14:textId="77777777" w:rsidR="007968EC" w:rsidRDefault="007968EC" w:rsidP="007968EC">
      <w:pPr>
        <w:pStyle w:val="ARTICULO0"/>
        <w:rPr>
          <w:i/>
        </w:rPr>
      </w:pPr>
      <w:bookmarkStart w:id="2418" w:name="_Toc472592177"/>
      <w:bookmarkStart w:id="2419" w:name="_Toc472593196"/>
      <w:bookmarkStart w:id="2420" w:name="_Toc479056982"/>
      <w:bookmarkStart w:id="2421" w:name="_Toc31715995"/>
      <w:bookmarkStart w:id="2422" w:name="_Toc470775498"/>
      <w:bookmarkStart w:id="2423" w:name="_Toc470779783"/>
      <w:bookmarkStart w:id="2424" w:name="_Toc470780400"/>
      <w:bookmarkStart w:id="2425" w:name="_Toc470780913"/>
      <w:bookmarkStart w:id="2426" w:name="_Toc470784474"/>
      <w:bookmarkStart w:id="2427" w:name="_Toc470785011"/>
      <w:bookmarkStart w:id="2428" w:name="_Toc470791397"/>
      <w:bookmarkStart w:id="2429" w:name="_Toc490066302"/>
      <w:r w:rsidRPr="002C0D19">
        <w:t>Artículo 1.6.5.4. Límite de Margin Call – LMC.</w:t>
      </w:r>
      <w:bookmarkEnd w:id="2418"/>
      <w:bookmarkEnd w:id="2419"/>
      <w:bookmarkEnd w:id="2420"/>
      <w:bookmarkEnd w:id="2421"/>
      <w:r w:rsidRPr="002C0D19">
        <w:rPr>
          <w:i/>
        </w:rPr>
        <w:t xml:space="preserve"> </w:t>
      </w:r>
    </w:p>
    <w:p w14:paraId="4C6363E6" w14:textId="77777777" w:rsidR="007968EC" w:rsidRPr="00D9028E" w:rsidRDefault="007968EC" w:rsidP="007968EC">
      <w:pPr>
        <w:jc w:val="both"/>
        <w:rPr>
          <w:rFonts w:ascii="Arial Narrow" w:hAnsi="Arial Narrow" w:cs="Arial"/>
          <w:color w:val="000000" w:themeColor="text1"/>
          <w:lang w:eastAsia="es-ES"/>
        </w:rPr>
      </w:pPr>
    </w:p>
    <w:p w14:paraId="1BFC4194" w14:textId="77777777" w:rsidR="007968EC" w:rsidRPr="002C0D19" w:rsidRDefault="007968EC" w:rsidP="007968EC">
      <w:pPr>
        <w:pStyle w:val="ANTECEDENTES"/>
        <w:rPr>
          <w:u w:val="single"/>
        </w:rPr>
      </w:pPr>
      <w:r w:rsidRPr="002C0D19">
        <w:t xml:space="preserve">(Este artículo fue modificado mediante Circular 8 del 3 de mayo de 2010, publicada en el Boletín Normativo No. 010 del 3 de mayo de 2010, mediante Circular 12 del 9 de mayo de 2013, publicada en el Boletín Normativo No. 013 del 9 de mayo de 2013., </w:t>
      </w:r>
      <w:r w:rsidRPr="002C0D19">
        <w:rPr>
          <w:lang w:val="es-ES_tradnl"/>
        </w:rPr>
        <w:t xml:space="preserve">mediante </w:t>
      </w:r>
      <w:r w:rsidRPr="002C0D19">
        <w:t>Circular 1 del 10 de enero de 2014, publicada en el Boletín Normativo No. 001 del 10 de enero de 2014 y</w:t>
      </w:r>
      <w:r w:rsidRPr="002C0D19">
        <w:rPr>
          <w:lang w:val="es-ES"/>
        </w:rPr>
        <w:t xml:space="preserve"> mediante Circular 17 del 15 de diciembre de 2016, publicada en el Boletín Normativo No. 021 del 15 de diciembre de 2016</w:t>
      </w:r>
      <w:r w:rsidRPr="002C0D19">
        <w:t>, mediante Circular 19 del 28 de diciembre de 2016, publicada en el Boletín Normativo No. 024 del 28 de diciembre de 2016 y mediante Circular 14 del 8 de agosto de 2017, publicada en el Boletín Normativo No. 015 del 8 de agosto de 2017. Rige a partir del 9 de agosto de 2017.)</w:t>
      </w:r>
      <w:bookmarkEnd w:id="2422"/>
      <w:bookmarkEnd w:id="2423"/>
      <w:bookmarkEnd w:id="2424"/>
      <w:bookmarkEnd w:id="2425"/>
      <w:bookmarkEnd w:id="2426"/>
      <w:bookmarkEnd w:id="2427"/>
      <w:bookmarkEnd w:id="2428"/>
      <w:bookmarkEnd w:id="2429"/>
    </w:p>
    <w:p w14:paraId="376C8822" w14:textId="77777777" w:rsidR="007968EC" w:rsidRPr="00217BDE" w:rsidRDefault="007968EC" w:rsidP="007968EC">
      <w:pPr>
        <w:autoSpaceDE w:val="0"/>
        <w:autoSpaceDN w:val="0"/>
        <w:adjustRightInd w:val="0"/>
        <w:jc w:val="both"/>
        <w:rPr>
          <w:rFonts w:ascii="Arial Narrow" w:hAnsi="Arial Narrow" w:cs="Arial"/>
          <w:color w:val="000000" w:themeColor="text1"/>
          <w:lang w:eastAsia="es-ES"/>
        </w:rPr>
      </w:pPr>
    </w:p>
    <w:p w14:paraId="59AF511F" w14:textId="77777777" w:rsidR="007968EC" w:rsidRPr="002C0D19" w:rsidRDefault="007968EC" w:rsidP="007968EC">
      <w:pPr>
        <w:autoSpaceDE w:val="0"/>
        <w:autoSpaceDN w:val="0"/>
        <w:adjustRightInd w:val="0"/>
        <w:jc w:val="both"/>
        <w:rPr>
          <w:rFonts w:ascii="Arial Narrow" w:eastAsia="Calibri" w:hAnsi="Arial Narrow" w:cs="Arial"/>
          <w:lang w:eastAsia="es-ES"/>
        </w:rPr>
      </w:pPr>
      <w:r w:rsidRPr="002C0D19">
        <w:rPr>
          <w:rFonts w:ascii="Arial Narrow" w:eastAsia="Calibri" w:hAnsi="Arial Narrow" w:cs="Arial"/>
          <w:lang w:eastAsia="es-ES"/>
        </w:rPr>
        <w:lastRenderedPageBreak/>
        <w:t>La Cámara asigna un límite de Margin Call – LMC, con el fin de evitar la acumulación del riesgo de contraparte y liquidez que supone la toma permanente de Posiciones por parte de sus Miembros Liquidadores y de la estructura de Cuentas de éstos y para restringir el impacto que pueda tener en un Miembro Liquidador el llamamiento a Garantías Extraordinarias por causa de variación de precios.</w:t>
      </w:r>
    </w:p>
    <w:p w14:paraId="35C80B1F" w14:textId="77777777" w:rsidR="007968EC" w:rsidRPr="002C0D19" w:rsidRDefault="007968EC" w:rsidP="007968EC">
      <w:pPr>
        <w:autoSpaceDE w:val="0"/>
        <w:autoSpaceDN w:val="0"/>
        <w:adjustRightInd w:val="0"/>
        <w:jc w:val="both"/>
        <w:rPr>
          <w:rFonts w:ascii="Arial Narrow" w:eastAsia="Calibri" w:hAnsi="Arial Narrow" w:cs="Arial"/>
          <w:lang w:eastAsia="es-ES"/>
        </w:rPr>
      </w:pPr>
    </w:p>
    <w:p w14:paraId="565F7D93" w14:textId="77777777" w:rsidR="007968EC" w:rsidRPr="002C0D19" w:rsidRDefault="007968EC" w:rsidP="007968EC">
      <w:pPr>
        <w:autoSpaceDE w:val="0"/>
        <w:autoSpaceDN w:val="0"/>
        <w:adjustRightInd w:val="0"/>
        <w:jc w:val="both"/>
        <w:rPr>
          <w:rFonts w:ascii="Arial Narrow" w:eastAsia="Calibri" w:hAnsi="Arial Narrow" w:cs="Arial"/>
          <w:lang w:eastAsia="es-ES"/>
        </w:rPr>
      </w:pPr>
      <w:r w:rsidRPr="002C0D19">
        <w:rPr>
          <w:rFonts w:ascii="Arial Narrow" w:eastAsia="Calibri" w:hAnsi="Arial Narrow" w:cs="Arial"/>
          <w:lang w:eastAsia="es-ES"/>
        </w:rPr>
        <w:t xml:space="preserve">El Límite de Margin Call – LMC se establece como un porcentaje del patrimonio técnico del Miembro Liquidador más el monto de Garantías Individuales y Garantías Extraordinarias para ampliación del Límite de Margin Call – LMC, más el monto garantizado por las Cartas de Crédito Stand By en caso de ser el Ordenante de conformidad con lo dispuesto por el artículo 1.6.4.12. de la presente Circular. </w:t>
      </w:r>
    </w:p>
    <w:p w14:paraId="28615E06" w14:textId="77777777" w:rsidR="007968EC" w:rsidRPr="002C0D19" w:rsidRDefault="007968EC" w:rsidP="007968EC">
      <w:pPr>
        <w:autoSpaceDE w:val="0"/>
        <w:autoSpaceDN w:val="0"/>
        <w:adjustRightInd w:val="0"/>
        <w:jc w:val="both"/>
        <w:rPr>
          <w:rFonts w:ascii="Arial Narrow" w:eastAsia="Calibri" w:hAnsi="Arial Narrow" w:cs="Arial"/>
          <w:lang w:eastAsia="es-ES"/>
        </w:rPr>
      </w:pPr>
    </w:p>
    <w:p w14:paraId="3A60DC0E" w14:textId="77777777" w:rsidR="007968EC" w:rsidRPr="002C0D19" w:rsidRDefault="007968EC" w:rsidP="007968EC">
      <w:pPr>
        <w:autoSpaceDE w:val="0"/>
        <w:autoSpaceDN w:val="0"/>
        <w:adjustRightInd w:val="0"/>
        <w:jc w:val="both"/>
        <w:rPr>
          <w:rFonts w:ascii="Arial Narrow" w:eastAsia="Calibri" w:hAnsi="Arial Narrow" w:cs="Arial"/>
          <w:lang w:eastAsia="es-ES"/>
        </w:rPr>
      </w:pPr>
      <w:r w:rsidRPr="002C0D19">
        <w:rPr>
          <w:rFonts w:ascii="Arial Narrow" w:eastAsia="Calibri" w:hAnsi="Arial Narrow" w:cs="Arial"/>
          <w:lang w:eastAsia="es-ES"/>
        </w:rPr>
        <w:t>Para el caso del Emisor de una Carta de Crédito Stand By, quien a su vez deberá ser Miembro de la Cámara, el monto garantizado por las Cartas de Crédito Stand By emitidas a favor de la Cámara será restado de su límite asignado, de conformidad con lo dispuesto por el artículo 1.6.4.12. de la presente Circular.</w:t>
      </w:r>
    </w:p>
    <w:p w14:paraId="30E6D0B1" w14:textId="77777777" w:rsidR="007968EC" w:rsidRPr="002C0D19" w:rsidRDefault="007968EC" w:rsidP="007968EC">
      <w:pPr>
        <w:autoSpaceDE w:val="0"/>
        <w:autoSpaceDN w:val="0"/>
        <w:adjustRightInd w:val="0"/>
        <w:jc w:val="both"/>
        <w:rPr>
          <w:rFonts w:ascii="Arial Narrow" w:eastAsia="Calibri" w:hAnsi="Arial Narrow" w:cs="Arial"/>
          <w:lang w:eastAsia="es-ES"/>
        </w:rPr>
      </w:pPr>
    </w:p>
    <w:p w14:paraId="21E0D458" w14:textId="77777777" w:rsidR="007968EC" w:rsidRPr="002C0D19" w:rsidRDefault="007968EC" w:rsidP="007968EC">
      <w:pPr>
        <w:autoSpaceDE w:val="0"/>
        <w:autoSpaceDN w:val="0"/>
        <w:adjustRightInd w:val="0"/>
        <w:jc w:val="both"/>
        <w:rPr>
          <w:rFonts w:ascii="Arial Narrow" w:eastAsia="Calibri" w:hAnsi="Arial Narrow" w:cs="Arial"/>
          <w:lang w:eastAsia="es-ES"/>
        </w:rPr>
      </w:pPr>
      <w:r w:rsidRPr="002C0D19">
        <w:rPr>
          <w:rFonts w:ascii="Arial Narrow" w:eastAsia="Calibri" w:hAnsi="Arial Narrow" w:cs="Arial"/>
          <w:lang w:eastAsia="es-ES"/>
        </w:rPr>
        <w:t xml:space="preserve">Por lo tanto, un Miembro Liquidador deberá incrementar el valor de sus Garantías </w:t>
      </w:r>
      <w:proofErr w:type="gramStart"/>
      <w:r w:rsidRPr="002C0D19">
        <w:rPr>
          <w:rFonts w:ascii="Arial Narrow" w:eastAsia="Calibri" w:hAnsi="Arial Narrow" w:cs="Arial"/>
          <w:lang w:eastAsia="es-ES"/>
        </w:rPr>
        <w:t>en caso que</w:t>
      </w:r>
      <w:proofErr w:type="gramEnd"/>
      <w:r w:rsidRPr="002C0D19">
        <w:rPr>
          <w:rFonts w:ascii="Arial Narrow" w:eastAsia="Calibri" w:hAnsi="Arial Narrow" w:cs="Arial"/>
          <w:lang w:eastAsia="es-ES"/>
        </w:rPr>
        <w:t xml:space="preserve"> el importe de la pérdida posible y el ajuste de garantía que genere su Posición ante una variación extrema definida en los precios, sea superior al valor establecido como nivel del Límite de Margin Call – LMC.</w:t>
      </w:r>
    </w:p>
    <w:p w14:paraId="493EF6BB" w14:textId="77777777" w:rsidR="007968EC" w:rsidRPr="002C0D19" w:rsidRDefault="007968EC" w:rsidP="007968EC">
      <w:pPr>
        <w:autoSpaceDE w:val="0"/>
        <w:autoSpaceDN w:val="0"/>
        <w:adjustRightInd w:val="0"/>
        <w:jc w:val="both"/>
        <w:rPr>
          <w:rFonts w:ascii="Arial Narrow" w:eastAsia="Calibri" w:hAnsi="Arial Narrow" w:cs="Arial"/>
          <w:lang w:eastAsia="es-ES"/>
        </w:rPr>
      </w:pPr>
    </w:p>
    <w:p w14:paraId="0F8C37B5" w14:textId="77777777" w:rsidR="007968EC" w:rsidRPr="002C0D19" w:rsidRDefault="007968EC" w:rsidP="007968EC">
      <w:pPr>
        <w:autoSpaceDE w:val="0"/>
        <w:autoSpaceDN w:val="0"/>
        <w:adjustRightInd w:val="0"/>
        <w:jc w:val="both"/>
        <w:rPr>
          <w:rFonts w:ascii="Arial Narrow" w:eastAsia="Calibri" w:hAnsi="Arial Narrow" w:cs="Arial"/>
          <w:lang w:eastAsia="es-ES"/>
        </w:rPr>
      </w:pPr>
      <w:r w:rsidRPr="002C0D19">
        <w:rPr>
          <w:rFonts w:ascii="Arial Narrow" w:eastAsia="Calibri" w:hAnsi="Arial Narrow" w:cs="Arial"/>
          <w:lang w:eastAsia="es-ES"/>
        </w:rPr>
        <w:t>En todo caso, la Junta Directiva de la Cámara a solicitud de un Miembro Liquidador podrá asignarle un Límite de Margin Call – LMC inferior al establecido.</w:t>
      </w:r>
    </w:p>
    <w:p w14:paraId="1141D115" w14:textId="77777777" w:rsidR="007968EC" w:rsidRPr="002C0D19" w:rsidRDefault="007968EC" w:rsidP="007968EC">
      <w:pPr>
        <w:autoSpaceDE w:val="0"/>
        <w:autoSpaceDN w:val="0"/>
        <w:adjustRightInd w:val="0"/>
        <w:rPr>
          <w:rFonts w:ascii="Arial Narrow" w:eastAsia="Calibri" w:hAnsi="Arial Narrow" w:cs="Arial"/>
          <w:lang w:eastAsia="es-ES"/>
        </w:rPr>
      </w:pPr>
    </w:p>
    <w:p w14:paraId="24FEBA31" w14:textId="77777777" w:rsidR="007968EC" w:rsidRPr="002C0D19" w:rsidRDefault="007968EC" w:rsidP="007968EC">
      <w:pPr>
        <w:autoSpaceDE w:val="0"/>
        <w:autoSpaceDN w:val="0"/>
        <w:adjustRightInd w:val="0"/>
        <w:jc w:val="both"/>
        <w:rPr>
          <w:rFonts w:ascii="Arial Narrow" w:eastAsia="Calibri" w:hAnsi="Arial Narrow" w:cs="Arial"/>
          <w:lang w:eastAsia="es-ES"/>
        </w:rPr>
      </w:pPr>
      <w:r w:rsidRPr="002C0D19">
        <w:rPr>
          <w:rFonts w:ascii="Arial Narrow" w:eastAsia="Calibri" w:hAnsi="Arial Narrow" w:cs="Arial"/>
          <w:lang w:eastAsia="es-ES"/>
        </w:rPr>
        <w:t xml:space="preserve">El cálculo del Límite de Margin Call – LMC se realiza una vez al día antes del cierre de la Cámara en el momento en que se reciban los precios de cierre; la Cámara informará a los Miembros Liquidadores su riesgo por Margin Call y cuando se supere </w:t>
      </w:r>
      <w:proofErr w:type="gramStart"/>
      <w:r w:rsidRPr="002C0D19">
        <w:rPr>
          <w:rFonts w:ascii="Arial Narrow" w:eastAsia="Calibri" w:hAnsi="Arial Narrow" w:cs="Arial"/>
          <w:lang w:eastAsia="es-ES"/>
        </w:rPr>
        <w:t>éste</w:t>
      </w:r>
      <w:proofErr w:type="gramEnd"/>
      <w:r w:rsidRPr="002C0D19">
        <w:rPr>
          <w:rFonts w:ascii="Arial Narrow" w:eastAsia="Calibri" w:hAnsi="Arial Narrow" w:cs="Arial"/>
          <w:lang w:eastAsia="es-ES"/>
        </w:rPr>
        <w:t xml:space="preserve"> Límite exigirá la constitución de Garantías Extraordinarias o Individuales por valor igual o superior al importe excedido. En el caso de que al finalizar la sesión de gestión de Garantías no se haya realizado la constitución, este valor se requerirá al Miembro Liquidador en la Liquidación Diaria.</w:t>
      </w:r>
    </w:p>
    <w:p w14:paraId="5B39C00B" w14:textId="77777777" w:rsidR="007968EC" w:rsidRPr="002C0D19" w:rsidRDefault="007968EC" w:rsidP="007968EC">
      <w:pPr>
        <w:autoSpaceDE w:val="0"/>
        <w:autoSpaceDN w:val="0"/>
        <w:adjustRightInd w:val="0"/>
        <w:jc w:val="both"/>
        <w:rPr>
          <w:rFonts w:ascii="Arial Narrow" w:eastAsia="Calibri" w:hAnsi="Arial Narrow" w:cs="Arial"/>
          <w:lang w:eastAsia="es-ES"/>
        </w:rPr>
      </w:pPr>
    </w:p>
    <w:p w14:paraId="51894275" w14:textId="77777777" w:rsidR="007968EC" w:rsidRPr="002C0D19" w:rsidRDefault="007968EC" w:rsidP="007968EC">
      <w:pPr>
        <w:jc w:val="both"/>
        <w:rPr>
          <w:rFonts w:ascii="Arial Narrow" w:eastAsia="Calibri" w:hAnsi="Arial Narrow" w:cs="Arial"/>
          <w:lang w:eastAsia="es-ES"/>
        </w:rPr>
      </w:pPr>
      <w:r w:rsidRPr="002C0D19">
        <w:rPr>
          <w:rFonts w:ascii="Arial Narrow" w:eastAsia="Calibri" w:hAnsi="Arial Narrow" w:cs="Arial"/>
          <w:b/>
          <w:lang w:eastAsia="es-ES"/>
        </w:rPr>
        <w:t>Parágrafo</w:t>
      </w:r>
      <w:r w:rsidRPr="002C0D19">
        <w:rPr>
          <w:rFonts w:ascii="Arial Narrow" w:eastAsia="Calibri" w:hAnsi="Arial Narrow" w:cs="Arial Narrow"/>
          <w:b/>
          <w:lang w:eastAsia="es-ES"/>
        </w:rPr>
        <w:t xml:space="preserve"> Primero</w:t>
      </w:r>
      <w:r w:rsidRPr="002C0D19">
        <w:rPr>
          <w:rFonts w:ascii="Arial Narrow" w:eastAsia="Calibri" w:hAnsi="Arial Narrow" w:cs="Arial"/>
          <w:b/>
          <w:lang w:eastAsia="es-ES"/>
        </w:rPr>
        <w:t>.</w:t>
      </w:r>
      <w:r w:rsidRPr="002C0D19">
        <w:rPr>
          <w:rFonts w:ascii="Arial Narrow" w:eastAsia="Calibri" w:hAnsi="Arial Narrow" w:cs="Arial"/>
          <w:lang w:eastAsia="es-ES"/>
        </w:rPr>
        <w:t xml:space="preserve"> Para efectos de establecer el Límite de Margin Call – LMC aplicable a la Nación - Ministerio de Hacienda y Crédito Público dicho límite se calculará mensualmente con base en el mayor patrimonio técnico vigente que acredite un Miembro Liquidador de la Cámara</w:t>
      </w:r>
      <w:r w:rsidRPr="002C0D19">
        <w:rPr>
          <w:rFonts w:ascii="Arial Narrow" w:eastAsia="Calibri" w:hAnsi="Arial Narrow" w:cs="Arial Narrow"/>
          <w:lang w:eastAsia="es-ES"/>
        </w:rPr>
        <w:t>.</w:t>
      </w:r>
    </w:p>
    <w:p w14:paraId="19C761E4" w14:textId="77777777" w:rsidR="007968EC" w:rsidRPr="002C0D19" w:rsidRDefault="007968EC" w:rsidP="007968EC">
      <w:pPr>
        <w:jc w:val="both"/>
        <w:rPr>
          <w:rFonts w:ascii="Arial Narrow" w:eastAsia="Calibri" w:hAnsi="Arial Narrow" w:cs="Arial Narrow"/>
          <w:lang w:eastAsia="es-ES"/>
        </w:rPr>
      </w:pPr>
    </w:p>
    <w:p w14:paraId="11032413" w14:textId="77777777" w:rsidR="007968EC" w:rsidRPr="002C0D19" w:rsidRDefault="007968EC" w:rsidP="007968EC">
      <w:pPr>
        <w:jc w:val="both"/>
        <w:rPr>
          <w:rFonts w:ascii="Arial Narrow" w:hAnsi="Arial Narrow" w:cs="Arial Narrow"/>
          <w:color w:val="000000" w:themeColor="text1"/>
          <w:lang w:eastAsia="es-ES"/>
        </w:rPr>
      </w:pPr>
      <w:r w:rsidRPr="002C0D19">
        <w:rPr>
          <w:rFonts w:ascii="Arial Narrow" w:eastAsia="Calibri" w:hAnsi="Arial Narrow" w:cs="Arial Narrow"/>
          <w:b/>
          <w:lang w:eastAsia="es-ES"/>
        </w:rPr>
        <w:t>Parágrafo Segundo.</w:t>
      </w:r>
      <w:r w:rsidRPr="002C0D19">
        <w:rPr>
          <w:rFonts w:ascii="Arial Narrow" w:eastAsia="Calibri" w:hAnsi="Arial Narrow" w:cs="Arial Narrow"/>
          <w:lang w:eastAsia="es-ES"/>
        </w:rPr>
        <w:t xml:space="preserve"> </w:t>
      </w:r>
      <w:r w:rsidRPr="002C0D19">
        <w:rPr>
          <w:rFonts w:ascii="Arial Narrow" w:hAnsi="Arial Narrow" w:cs="Arial"/>
          <w:lang w:val="es-ES" w:eastAsia="es-ES"/>
        </w:rPr>
        <w:t xml:space="preserve">En el caso en que la Cámara establezca para un Segmento específico que no se requiere al Miembro Liquidador acreditar una calificación mínima de riesgo, la Cámara asignará un valor de cero (0) al </w:t>
      </w:r>
      <w:r w:rsidRPr="002C0D19">
        <w:rPr>
          <w:rFonts w:ascii="Arial Narrow" w:eastAsia="Calibri" w:hAnsi="Arial Narrow" w:cs="Arial Narrow"/>
          <w:lang w:eastAsia="es-ES"/>
        </w:rPr>
        <w:t xml:space="preserve">Límite de Margin Call – LMC </w:t>
      </w:r>
      <w:r w:rsidRPr="002C0D19">
        <w:rPr>
          <w:rFonts w:ascii="Arial Narrow" w:hAnsi="Arial Narrow" w:cs="Arial"/>
          <w:lang w:val="es-ES" w:eastAsia="es-ES"/>
        </w:rPr>
        <w:t>para dicho Segmento.</w:t>
      </w:r>
    </w:p>
    <w:p w14:paraId="408BA1E0" w14:textId="77777777" w:rsidR="007968EC" w:rsidRPr="002C0D19" w:rsidRDefault="007968EC" w:rsidP="007968EC">
      <w:pPr>
        <w:jc w:val="both"/>
        <w:rPr>
          <w:rFonts w:ascii="Arial Narrow" w:hAnsi="Arial Narrow" w:cs="Arial"/>
          <w:color w:val="000000" w:themeColor="text1"/>
          <w:lang w:val="es-ES" w:eastAsia="es-ES"/>
        </w:rPr>
      </w:pPr>
    </w:p>
    <w:p w14:paraId="47CDF853" w14:textId="77777777" w:rsidR="007968EC" w:rsidRDefault="007968EC" w:rsidP="007968EC">
      <w:pPr>
        <w:pStyle w:val="ARTICULO0"/>
      </w:pPr>
      <w:bookmarkStart w:id="2430" w:name="_Toc31715996"/>
      <w:bookmarkStart w:id="2431" w:name="_Toc472592178"/>
      <w:bookmarkStart w:id="2432" w:name="_Toc472593197"/>
      <w:bookmarkStart w:id="2433" w:name="_Toc479056983"/>
      <w:bookmarkStart w:id="2434" w:name="_Toc470775499"/>
      <w:bookmarkStart w:id="2435" w:name="_Toc470779784"/>
      <w:bookmarkStart w:id="2436" w:name="_Toc470780401"/>
      <w:bookmarkStart w:id="2437" w:name="_Toc470780914"/>
      <w:bookmarkStart w:id="2438" w:name="_Toc470784475"/>
      <w:bookmarkStart w:id="2439" w:name="_Toc470785012"/>
      <w:bookmarkStart w:id="2440" w:name="_Toc470791398"/>
      <w:bookmarkStart w:id="2441" w:name="_Toc490066303"/>
      <w:r w:rsidRPr="002C0D19">
        <w:t>Artículo 1.6.5.5. Administración y consumo del LMC.</w:t>
      </w:r>
      <w:bookmarkEnd w:id="2430"/>
      <w:r w:rsidRPr="002C0D19">
        <w:t xml:space="preserve"> </w:t>
      </w:r>
    </w:p>
    <w:p w14:paraId="43BC5BD9" w14:textId="77777777" w:rsidR="007968EC" w:rsidRPr="00D9028E" w:rsidRDefault="007968EC" w:rsidP="007968EC">
      <w:pPr>
        <w:jc w:val="both"/>
        <w:rPr>
          <w:rFonts w:ascii="Arial Narrow" w:hAnsi="Arial Narrow" w:cs="Arial"/>
          <w:color w:val="000000" w:themeColor="text1"/>
          <w:lang w:eastAsia="es-ES"/>
        </w:rPr>
      </w:pPr>
    </w:p>
    <w:bookmarkEnd w:id="2431"/>
    <w:bookmarkEnd w:id="2432"/>
    <w:bookmarkEnd w:id="2433"/>
    <w:p w14:paraId="2C1C698D" w14:textId="77777777" w:rsidR="007968EC" w:rsidRPr="002C0D19" w:rsidRDefault="007968EC" w:rsidP="007968EC">
      <w:pPr>
        <w:pStyle w:val="ANTECEDENTES"/>
        <w:rPr>
          <w:u w:val="single"/>
        </w:rPr>
      </w:pPr>
      <w:r>
        <w:rPr>
          <w:lang w:val="es-CO"/>
        </w:rPr>
        <w:t>(</w:t>
      </w:r>
      <w:r w:rsidRPr="002C0D19">
        <w:t xml:space="preserve">Este artículo fue modificado mediante Circular 8 del 3 de mayo de 2010, publicada en el Boletín Normativo No. 010 del 3 de mayo de 2010, </w:t>
      </w:r>
      <w:r w:rsidRPr="002C0D19">
        <w:rPr>
          <w:bCs/>
        </w:rPr>
        <w:t>mediante Circular 7 del 28 de abril de 2011, publicada en el Boletín Normativo No. 007 del 28 de abril de 2011,</w:t>
      </w:r>
      <w:r w:rsidRPr="002C0D19">
        <w:t xml:space="preserve"> mediante Circular 12 del 9 de mayo de 2013, publicada en el Boletín Normativo</w:t>
      </w:r>
      <w:r>
        <w:t xml:space="preserve"> No. 013 del 9 de mayo de 2013,</w:t>
      </w:r>
      <w:r w:rsidRPr="002C0D19">
        <w:t xml:space="preserve"> </w:t>
      </w:r>
      <w:r w:rsidRPr="002C0D19">
        <w:rPr>
          <w:lang w:val="es-ES_tradnl"/>
        </w:rPr>
        <w:t xml:space="preserve">mediante </w:t>
      </w:r>
      <w:r w:rsidRPr="002C0D19">
        <w:t xml:space="preserve">Circular 1 del 10 de enero de 2014, publicada en el Boletín Normativo No. 001 del 10 de enero de 2014, mediante Circular 19 del </w:t>
      </w:r>
      <w:r w:rsidRPr="002C0D19">
        <w:lastRenderedPageBreak/>
        <w:t>28 de diciembre de 2016, publicada en el Boletín Normativo No. 024 del 28 de diciembre de 2016</w:t>
      </w:r>
      <w:bookmarkEnd w:id="2434"/>
      <w:bookmarkEnd w:id="2435"/>
      <w:bookmarkEnd w:id="2436"/>
      <w:bookmarkEnd w:id="2437"/>
      <w:bookmarkEnd w:id="2438"/>
      <w:bookmarkEnd w:id="2439"/>
      <w:bookmarkEnd w:id="2440"/>
      <w:r w:rsidRPr="002C0D19">
        <w:t>, mediante Circular 2 del 11 de enero de 2017, publicada en el Boletín Normativo N</w:t>
      </w:r>
      <w:r>
        <w:t>o. 002 del 11 de enero de 2017,</w:t>
      </w:r>
      <w:r w:rsidRPr="002C0D19">
        <w:t xml:space="preserve"> mediante Circular 6 del 14 de febrero de 2017, publicada en el Boletín Normativo No. 006 del 14 de febrero de 2017</w:t>
      </w:r>
      <w:r>
        <w:t xml:space="preserve"> y mediante Circular 7 del 9 de mayo de 2018, publicada en el Boletín Normativo No. 010 del 9 de mayo de 2018</w:t>
      </w:r>
      <w:r w:rsidRPr="002C0D19">
        <w:t xml:space="preserve">. Rige a partir del </w:t>
      </w:r>
      <w:r>
        <w:t>2</w:t>
      </w:r>
      <w:r w:rsidRPr="002C0D19">
        <w:t>1 de</w:t>
      </w:r>
      <w:r>
        <w:t xml:space="preserve"> mayo de 2018</w:t>
      </w:r>
      <w:r w:rsidRPr="002C0D19">
        <w:t>.)</w:t>
      </w:r>
      <w:bookmarkEnd w:id="2441"/>
      <w:r w:rsidRPr="002C0D19">
        <w:t xml:space="preserve"> </w:t>
      </w:r>
    </w:p>
    <w:p w14:paraId="590A1845" w14:textId="77777777" w:rsidR="007968EC" w:rsidRPr="002C0D19" w:rsidRDefault="007968EC" w:rsidP="007968EC">
      <w:pPr>
        <w:jc w:val="both"/>
        <w:rPr>
          <w:rFonts w:ascii="Arial Narrow" w:hAnsi="Arial Narrow" w:cs="Arial"/>
          <w:bCs/>
          <w:color w:val="000000" w:themeColor="text1"/>
          <w:lang w:val="es-ES" w:eastAsia="es-ES"/>
        </w:rPr>
      </w:pPr>
    </w:p>
    <w:p w14:paraId="7351E4EE" w14:textId="77777777" w:rsidR="007968EC" w:rsidRPr="00BD2B9E" w:rsidRDefault="007968EC" w:rsidP="007968EC">
      <w:pPr>
        <w:autoSpaceDE w:val="0"/>
        <w:autoSpaceDN w:val="0"/>
        <w:adjustRightInd w:val="0"/>
        <w:jc w:val="both"/>
        <w:rPr>
          <w:rFonts w:ascii="Arial Narrow" w:hAnsi="Arial Narrow" w:cs="Arial Narrow"/>
          <w:color w:val="000000" w:themeColor="text1"/>
          <w:lang w:eastAsia="es-ES"/>
        </w:rPr>
      </w:pPr>
      <w:r w:rsidRPr="00BD2B9E">
        <w:rPr>
          <w:rFonts w:ascii="Arial Narrow" w:hAnsi="Arial Narrow" w:cs="Arial Narrow"/>
          <w:color w:val="000000" w:themeColor="text1"/>
          <w:lang w:eastAsia="es-ES"/>
        </w:rPr>
        <w:t xml:space="preserve">El Límite de Margin Call está dado por la siguiente fórmula: </w:t>
      </w:r>
    </w:p>
    <w:p w14:paraId="27C884CF" w14:textId="77777777" w:rsidR="007968EC" w:rsidRPr="00BD2B9E" w:rsidRDefault="007968EC" w:rsidP="007968EC">
      <w:pPr>
        <w:autoSpaceDE w:val="0"/>
        <w:autoSpaceDN w:val="0"/>
        <w:adjustRightInd w:val="0"/>
        <w:jc w:val="both"/>
        <w:rPr>
          <w:rFonts w:ascii="Arial Narrow" w:hAnsi="Arial Narrow" w:cs="Arial Narrow"/>
          <w:color w:val="000000" w:themeColor="text1"/>
          <w:lang w:eastAsia="es-ES"/>
        </w:rPr>
      </w:pPr>
    </w:p>
    <w:p w14:paraId="529BC6E6" w14:textId="77777777" w:rsidR="007968EC" w:rsidRPr="00BD2B9E" w:rsidRDefault="007968EC" w:rsidP="007968EC">
      <w:pPr>
        <w:autoSpaceDE w:val="0"/>
        <w:autoSpaceDN w:val="0"/>
        <w:adjustRightInd w:val="0"/>
        <w:ind w:left="708"/>
        <w:jc w:val="both"/>
        <w:rPr>
          <w:rFonts w:ascii="Arial Narrow" w:hAnsi="Arial Narrow" w:cs="Arial Narrow"/>
          <w:color w:val="000000" w:themeColor="text1"/>
          <w:lang w:eastAsia="es-ES"/>
        </w:rPr>
      </w:pPr>
      <w:r w:rsidRPr="00BD2B9E">
        <w:rPr>
          <w:rFonts w:ascii="Arial Narrow" w:hAnsi="Arial Narrow" w:cs="Arial Narrow"/>
          <w:color w:val="000000" w:themeColor="text1"/>
          <w:lang w:eastAsia="es-ES"/>
        </w:rPr>
        <w:t xml:space="preserve">LMC = 8% * Patrimonio Técnico + Garantías Individuales + Garantías Extraordinarias para ampliación del Límite + valor de Cartas de Crédito Stand By si es el Ordenante de la Carta de Crédito Stand By. </w:t>
      </w:r>
    </w:p>
    <w:p w14:paraId="3D2A4D42" w14:textId="77777777" w:rsidR="007968EC" w:rsidRPr="00BD2B9E" w:rsidRDefault="007968EC" w:rsidP="007968EC">
      <w:pPr>
        <w:autoSpaceDE w:val="0"/>
        <w:autoSpaceDN w:val="0"/>
        <w:adjustRightInd w:val="0"/>
        <w:jc w:val="both"/>
        <w:rPr>
          <w:rFonts w:ascii="Arial Narrow" w:hAnsi="Arial Narrow" w:cs="Arial Narrow"/>
          <w:color w:val="000000" w:themeColor="text1"/>
          <w:lang w:eastAsia="es-ES"/>
        </w:rPr>
      </w:pPr>
    </w:p>
    <w:p w14:paraId="1AE29F71" w14:textId="77777777" w:rsidR="007968EC" w:rsidRPr="00BD2B9E" w:rsidRDefault="007968EC" w:rsidP="007968EC">
      <w:pPr>
        <w:autoSpaceDE w:val="0"/>
        <w:autoSpaceDN w:val="0"/>
        <w:adjustRightInd w:val="0"/>
        <w:ind w:left="709"/>
        <w:jc w:val="both"/>
        <w:rPr>
          <w:rFonts w:ascii="Arial Narrow" w:hAnsi="Arial Narrow" w:cs="Arial Narrow"/>
          <w:color w:val="000000" w:themeColor="text1"/>
          <w:lang w:eastAsia="es-ES"/>
        </w:rPr>
      </w:pPr>
      <w:r w:rsidRPr="00BD2B9E">
        <w:rPr>
          <w:rFonts w:ascii="Arial Narrow" w:hAnsi="Arial Narrow" w:cs="Arial Narrow"/>
          <w:color w:val="000000" w:themeColor="text1"/>
          <w:lang w:eastAsia="es-ES"/>
        </w:rPr>
        <w:t xml:space="preserve">o </w:t>
      </w:r>
    </w:p>
    <w:p w14:paraId="030B69F4" w14:textId="77777777" w:rsidR="007968EC" w:rsidRPr="00BD2B9E" w:rsidRDefault="007968EC" w:rsidP="007968EC">
      <w:pPr>
        <w:autoSpaceDE w:val="0"/>
        <w:autoSpaceDN w:val="0"/>
        <w:adjustRightInd w:val="0"/>
        <w:jc w:val="both"/>
        <w:rPr>
          <w:rFonts w:ascii="Arial Narrow" w:hAnsi="Arial Narrow" w:cs="Arial Narrow"/>
          <w:color w:val="000000" w:themeColor="text1"/>
          <w:lang w:eastAsia="es-ES"/>
        </w:rPr>
      </w:pPr>
    </w:p>
    <w:p w14:paraId="67EC5615" w14:textId="77777777" w:rsidR="007968EC" w:rsidRPr="00BD2B9E" w:rsidRDefault="007968EC" w:rsidP="007968EC">
      <w:pPr>
        <w:autoSpaceDE w:val="0"/>
        <w:autoSpaceDN w:val="0"/>
        <w:adjustRightInd w:val="0"/>
        <w:ind w:left="708"/>
        <w:jc w:val="both"/>
        <w:rPr>
          <w:rFonts w:ascii="Arial Narrow" w:hAnsi="Arial Narrow" w:cs="Arial Narrow"/>
          <w:color w:val="000000" w:themeColor="text1"/>
          <w:lang w:eastAsia="es-ES"/>
        </w:rPr>
      </w:pPr>
      <w:r w:rsidRPr="00BD2B9E">
        <w:rPr>
          <w:rFonts w:ascii="Arial Narrow" w:hAnsi="Arial Narrow" w:cs="Arial Narrow"/>
          <w:color w:val="000000" w:themeColor="text1"/>
          <w:lang w:eastAsia="es-ES"/>
        </w:rPr>
        <w:t>LMC = 8% * Patrimonio Técnico + Garantías Individuales + Garantías Extraordinarias para ampliación del Límite – valor de Cartas de Crédito Stand By si es el Emisor de la Carta de Crédito Stand By.</w:t>
      </w:r>
    </w:p>
    <w:p w14:paraId="70AF566B" w14:textId="77777777" w:rsidR="007968EC" w:rsidRPr="00BD2B9E" w:rsidRDefault="007968EC" w:rsidP="007968EC">
      <w:pPr>
        <w:autoSpaceDE w:val="0"/>
        <w:autoSpaceDN w:val="0"/>
        <w:adjustRightInd w:val="0"/>
        <w:jc w:val="both"/>
        <w:rPr>
          <w:rFonts w:ascii="Arial Narrow" w:hAnsi="Arial Narrow" w:cs="Arial Narrow"/>
          <w:color w:val="000000" w:themeColor="text1"/>
          <w:lang w:eastAsia="es-ES"/>
        </w:rPr>
      </w:pPr>
    </w:p>
    <w:p w14:paraId="11934235" w14:textId="77777777" w:rsidR="007968EC" w:rsidRPr="00BD2B9E" w:rsidRDefault="007968EC" w:rsidP="007968EC">
      <w:pPr>
        <w:autoSpaceDE w:val="0"/>
        <w:autoSpaceDN w:val="0"/>
        <w:adjustRightInd w:val="0"/>
        <w:jc w:val="both"/>
        <w:rPr>
          <w:rFonts w:ascii="Arial Narrow" w:hAnsi="Arial Narrow" w:cs="Arial Narrow"/>
          <w:color w:val="000000" w:themeColor="text1"/>
          <w:lang w:eastAsia="es-ES"/>
        </w:rPr>
      </w:pPr>
      <w:r w:rsidRPr="00BD2B9E">
        <w:rPr>
          <w:rFonts w:ascii="Arial Narrow" w:hAnsi="Arial Narrow" w:cs="Arial Narrow"/>
          <w:color w:val="000000" w:themeColor="text1"/>
          <w:lang w:eastAsia="es-ES"/>
        </w:rPr>
        <w:t>El consumo del Límite de Margin Call se calcula por el Riesgo de Margin Call – RMC, de las Cuentas de Registro de la Cuenta Propia del Miembro Liquidador, de las Cuentas de sus Terceros Identificados, de las Cuentas de Registro de la Cuenta Propia del Miembro no Liquidador y de las Cuentas de los Terceros de éstos, según sea el caso.</w:t>
      </w:r>
    </w:p>
    <w:p w14:paraId="595F9E21" w14:textId="77777777" w:rsidR="007968EC" w:rsidRPr="00BD2B9E" w:rsidRDefault="007968EC" w:rsidP="007968EC">
      <w:pPr>
        <w:autoSpaceDE w:val="0"/>
        <w:autoSpaceDN w:val="0"/>
        <w:adjustRightInd w:val="0"/>
        <w:jc w:val="both"/>
        <w:rPr>
          <w:rFonts w:ascii="Arial Narrow" w:hAnsi="Arial Narrow" w:cs="Arial Narrow"/>
          <w:color w:val="000000" w:themeColor="text1"/>
          <w:lang w:eastAsia="es-ES"/>
        </w:rPr>
      </w:pPr>
    </w:p>
    <w:p w14:paraId="44423EA4" w14:textId="77777777" w:rsidR="007968EC" w:rsidRPr="00BD2B9E" w:rsidRDefault="007968EC" w:rsidP="007968EC">
      <w:pPr>
        <w:autoSpaceDE w:val="0"/>
        <w:autoSpaceDN w:val="0"/>
        <w:adjustRightInd w:val="0"/>
        <w:jc w:val="both"/>
        <w:rPr>
          <w:rFonts w:ascii="Arial Narrow" w:hAnsi="Arial Narrow" w:cs="Arial Narrow"/>
          <w:color w:val="000000" w:themeColor="text1"/>
          <w:lang w:eastAsia="es-ES"/>
        </w:rPr>
      </w:pPr>
      <w:r w:rsidRPr="00BD2B9E">
        <w:rPr>
          <w:rFonts w:ascii="Arial Narrow" w:hAnsi="Arial Narrow" w:cs="Arial Narrow"/>
          <w:color w:val="000000" w:themeColor="text1"/>
          <w:lang w:eastAsia="es-ES"/>
        </w:rPr>
        <w:t>La Cámara calcula diariamente después de la llegada de los precios de cierre reportados por la entidad correspondiente, el Riesgo por Margin Call – RMC que se corresponde con el importe de Garantías Extraordinarias que tendrían que depositar los Miembros Liquidadores en caso de producirse una variación de precios superior a los parámetros de Fluctuación de Garantía Extraordinaria vigentes. El Riesgo por Margin Call – RMC se calcula como sigue:</w:t>
      </w:r>
    </w:p>
    <w:p w14:paraId="3C69ED93" w14:textId="77777777" w:rsidR="007968EC" w:rsidRPr="00BD2B9E" w:rsidRDefault="007968EC" w:rsidP="007968EC">
      <w:pPr>
        <w:autoSpaceDE w:val="0"/>
        <w:autoSpaceDN w:val="0"/>
        <w:adjustRightInd w:val="0"/>
        <w:jc w:val="both"/>
        <w:rPr>
          <w:rFonts w:ascii="Arial Narrow" w:hAnsi="Arial Narrow" w:cs="Arial Narrow"/>
          <w:color w:val="000000" w:themeColor="text1"/>
          <w:lang w:eastAsia="es-ES"/>
        </w:rPr>
      </w:pPr>
    </w:p>
    <w:p w14:paraId="46CBEBA1" w14:textId="77777777" w:rsidR="007968EC" w:rsidRPr="00BD2B9E" w:rsidRDefault="007968EC" w:rsidP="00DA7472">
      <w:pPr>
        <w:numPr>
          <w:ilvl w:val="0"/>
          <w:numId w:val="156"/>
        </w:numPr>
        <w:autoSpaceDE w:val="0"/>
        <w:autoSpaceDN w:val="0"/>
        <w:adjustRightInd w:val="0"/>
        <w:ind w:left="237" w:hanging="284"/>
        <w:contextualSpacing/>
        <w:jc w:val="both"/>
        <w:rPr>
          <w:rFonts w:ascii="Arial Narrow" w:hAnsi="Arial Narrow" w:cs="Arial Narrow"/>
          <w:color w:val="000000" w:themeColor="text1"/>
          <w:lang w:eastAsia="es-ES"/>
        </w:rPr>
      </w:pPr>
      <w:r w:rsidRPr="00BD2B9E">
        <w:rPr>
          <w:rFonts w:ascii="Arial Narrow" w:hAnsi="Arial Narrow" w:cs="Arial Narrow"/>
          <w:color w:val="000000" w:themeColor="text1"/>
          <w:lang w:eastAsia="es-ES"/>
        </w:rPr>
        <w:t>Se calculan veintidós (22) precios teóricos por cada Subyacente, resultado de sumar (escenario alcista) y restar (escenario bajista) al precio de cierre del Activo Subyacente los parámetros de Fluctuación de Garantía Extraordinaria vigentes.</w:t>
      </w:r>
    </w:p>
    <w:p w14:paraId="181B676B" w14:textId="77777777" w:rsidR="007968EC" w:rsidRPr="00BD2B9E" w:rsidRDefault="007968EC" w:rsidP="007968EC">
      <w:pPr>
        <w:autoSpaceDE w:val="0"/>
        <w:autoSpaceDN w:val="0"/>
        <w:adjustRightInd w:val="0"/>
        <w:jc w:val="both"/>
        <w:rPr>
          <w:rFonts w:ascii="Arial Narrow" w:hAnsi="Arial Narrow" w:cs="Arial Narrow"/>
          <w:color w:val="000000" w:themeColor="text1"/>
          <w:lang w:eastAsia="es-ES"/>
        </w:rPr>
      </w:pPr>
    </w:p>
    <w:p w14:paraId="6E5B24DF" w14:textId="77777777" w:rsidR="007968EC" w:rsidRPr="00BD2B9E" w:rsidRDefault="007968EC" w:rsidP="00DA7472">
      <w:pPr>
        <w:numPr>
          <w:ilvl w:val="0"/>
          <w:numId w:val="156"/>
        </w:numPr>
        <w:autoSpaceDE w:val="0"/>
        <w:autoSpaceDN w:val="0"/>
        <w:adjustRightInd w:val="0"/>
        <w:ind w:left="237" w:hanging="284"/>
        <w:contextualSpacing/>
        <w:jc w:val="both"/>
        <w:rPr>
          <w:rFonts w:ascii="Arial Narrow" w:hAnsi="Arial Narrow" w:cs="Arial Narrow"/>
          <w:color w:val="000000" w:themeColor="text1"/>
          <w:lang w:eastAsia="es-ES"/>
        </w:rPr>
      </w:pPr>
      <w:r w:rsidRPr="00BD2B9E">
        <w:rPr>
          <w:rFonts w:ascii="Arial Narrow" w:hAnsi="Arial Narrow" w:cs="Arial Narrow"/>
          <w:color w:val="000000" w:themeColor="text1"/>
          <w:lang w:eastAsia="es-ES"/>
        </w:rPr>
        <w:t>Utilizando los precios Teóricos obtenidos, se realizan veintidós (22) simulaciones de cálculos de Riesgo por Margin Call (uno por cada escenario), para cada Cuenta del Miembro Liquidador y de los Miembros no Liquidadores, en su caso, como sigue:</w:t>
      </w:r>
    </w:p>
    <w:p w14:paraId="39A27746" w14:textId="77777777" w:rsidR="007968EC" w:rsidRPr="00BD2B9E" w:rsidRDefault="007968EC" w:rsidP="007968EC">
      <w:pPr>
        <w:autoSpaceDE w:val="0"/>
        <w:autoSpaceDN w:val="0"/>
        <w:adjustRightInd w:val="0"/>
        <w:jc w:val="both"/>
        <w:rPr>
          <w:rFonts w:ascii="Arial Narrow" w:hAnsi="Arial Narrow" w:cs="Arial Narrow"/>
          <w:color w:val="000000" w:themeColor="text1"/>
          <w:lang w:eastAsia="es-ES"/>
        </w:rPr>
      </w:pPr>
    </w:p>
    <w:p w14:paraId="28C68070" w14:textId="77777777" w:rsidR="007968EC" w:rsidRPr="00BD2B9E" w:rsidRDefault="007968EC" w:rsidP="007968EC">
      <w:pPr>
        <w:autoSpaceDE w:val="0"/>
        <w:autoSpaceDN w:val="0"/>
        <w:adjustRightInd w:val="0"/>
        <w:ind w:left="708"/>
        <w:jc w:val="both"/>
        <w:rPr>
          <w:rFonts w:ascii="Arial Narrow" w:hAnsi="Arial Narrow" w:cs="Arial Narrow"/>
          <w:color w:val="000000" w:themeColor="text1"/>
          <w:lang w:eastAsia="es-ES"/>
        </w:rPr>
      </w:pPr>
      <w:r w:rsidRPr="00BD2B9E">
        <w:rPr>
          <w:rFonts w:ascii="Arial Narrow" w:hAnsi="Arial Narrow" w:cs="Arial Narrow"/>
          <w:color w:val="000000" w:themeColor="text1"/>
          <w:lang w:eastAsia="es-ES"/>
        </w:rPr>
        <w:t>Riesgo por Margin Call = Garantías simuladas - Garantías constituidas + Pérdidas netas.</w:t>
      </w:r>
    </w:p>
    <w:p w14:paraId="623A1184" w14:textId="77777777" w:rsidR="007968EC" w:rsidRPr="00BD2B9E" w:rsidRDefault="007968EC" w:rsidP="007968EC">
      <w:pPr>
        <w:autoSpaceDE w:val="0"/>
        <w:autoSpaceDN w:val="0"/>
        <w:adjustRightInd w:val="0"/>
        <w:jc w:val="both"/>
        <w:rPr>
          <w:rFonts w:ascii="Arial Narrow" w:hAnsi="Arial Narrow" w:cs="Arial Narrow"/>
          <w:color w:val="000000" w:themeColor="text1"/>
          <w:lang w:eastAsia="es-ES"/>
        </w:rPr>
      </w:pPr>
    </w:p>
    <w:p w14:paraId="68BEE412" w14:textId="77777777" w:rsidR="007968EC" w:rsidRPr="00BD2B9E" w:rsidRDefault="007968EC" w:rsidP="007968EC">
      <w:pPr>
        <w:autoSpaceDE w:val="0"/>
        <w:autoSpaceDN w:val="0"/>
        <w:adjustRightInd w:val="0"/>
        <w:jc w:val="both"/>
        <w:rPr>
          <w:rFonts w:ascii="Arial Narrow" w:hAnsi="Arial Narrow" w:cs="Arial Narrow"/>
          <w:color w:val="000000" w:themeColor="text1"/>
          <w:lang w:eastAsia="es-ES"/>
        </w:rPr>
      </w:pPr>
      <w:r w:rsidRPr="00BD2B9E">
        <w:rPr>
          <w:rFonts w:ascii="Arial Narrow" w:hAnsi="Arial Narrow" w:cs="Arial Narrow"/>
          <w:color w:val="000000" w:themeColor="text1"/>
          <w:lang w:eastAsia="es-ES"/>
        </w:rPr>
        <w:t>Donde:</w:t>
      </w:r>
    </w:p>
    <w:p w14:paraId="7E406EB0" w14:textId="77777777" w:rsidR="007968EC" w:rsidRPr="00BD2B9E" w:rsidRDefault="007968EC" w:rsidP="007968EC">
      <w:pPr>
        <w:autoSpaceDE w:val="0"/>
        <w:autoSpaceDN w:val="0"/>
        <w:adjustRightInd w:val="0"/>
        <w:jc w:val="both"/>
        <w:rPr>
          <w:rFonts w:ascii="Arial Narrow" w:hAnsi="Arial Narrow" w:cs="Arial Narrow"/>
          <w:color w:val="000000" w:themeColor="text1"/>
          <w:lang w:eastAsia="es-ES"/>
        </w:rPr>
      </w:pPr>
    </w:p>
    <w:p w14:paraId="08E34236" w14:textId="77777777" w:rsidR="007968EC" w:rsidRPr="00BD2B9E" w:rsidRDefault="007968EC" w:rsidP="007968EC">
      <w:pPr>
        <w:autoSpaceDE w:val="0"/>
        <w:autoSpaceDN w:val="0"/>
        <w:adjustRightInd w:val="0"/>
        <w:jc w:val="both"/>
        <w:rPr>
          <w:rFonts w:ascii="Arial Narrow" w:hAnsi="Arial Narrow" w:cs="Arial Narrow"/>
          <w:color w:val="000000" w:themeColor="text1"/>
          <w:lang w:eastAsia="es-ES"/>
        </w:rPr>
      </w:pPr>
      <w:r w:rsidRPr="00BD2B9E">
        <w:rPr>
          <w:rFonts w:ascii="Arial Narrow" w:hAnsi="Arial Narrow" w:cs="Arial Narrow"/>
          <w:color w:val="000000" w:themeColor="text1"/>
          <w:lang w:eastAsia="es-ES"/>
        </w:rPr>
        <w:lastRenderedPageBreak/>
        <w:t>Garantías simuladas: Se simulan para cada Cuenta las Garantías a constituir tomando como referencia los Precios Teóricos anteriores, y de acuerdo con los procedimientos establecidos en cada momento para el cálculo de Garantías por Posición.</w:t>
      </w:r>
    </w:p>
    <w:p w14:paraId="116FD73B" w14:textId="77777777" w:rsidR="007968EC" w:rsidRPr="00BD2B9E" w:rsidRDefault="007968EC" w:rsidP="007968EC">
      <w:pPr>
        <w:autoSpaceDE w:val="0"/>
        <w:autoSpaceDN w:val="0"/>
        <w:adjustRightInd w:val="0"/>
        <w:jc w:val="both"/>
        <w:rPr>
          <w:rFonts w:ascii="Arial Narrow" w:hAnsi="Arial Narrow" w:cs="Arial Narrow"/>
          <w:color w:val="000000" w:themeColor="text1"/>
          <w:lang w:eastAsia="es-ES"/>
        </w:rPr>
      </w:pPr>
    </w:p>
    <w:p w14:paraId="0AA09C19" w14:textId="77777777" w:rsidR="007968EC" w:rsidRPr="00BD2B9E" w:rsidRDefault="007968EC" w:rsidP="007968EC">
      <w:pPr>
        <w:autoSpaceDE w:val="0"/>
        <w:autoSpaceDN w:val="0"/>
        <w:adjustRightInd w:val="0"/>
        <w:jc w:val="both"/>
        <w:rPr>
          <w:rFonts w:ascii="Arial Narrow" w:hAnsi="Arial Narrow" w:cs="Arial Narrow"/>
          <w:color w:val="000000" w:themeColor="text1"/>
          <w:lang w:eastAsia="es-ES"/>
        </w:rPr>
      </w:pPr>
      <w:r w:rsidRPr="00BD2B9E">
        <w:rPr>
          <w:rFonts w:ascii="Arial Narrow" w:hAnsi="Arial Narrow" w:cs="Arial Narrow"/>
          <w:color w:val="000000" w:themeColor="text1"/>
          <w:lang w:eastAsia="es-ES"/>
        </w:rPr>
        <w:t>Garantías constituidas: Son las Garantías por Posición exigidas durante el día en el que se hacen los cálculos y que corresponden a las posiciones al cierre de la Sesión.</w:t>
      </w:r>
    </w:p>
    <w:p w14:paraId="4E911E42" w14:textId="77777777" w:rsidR="007968EC" w:rsidRPr="00BD2B9E" w:rsidRDefault="007968EC" w:rsidP="007968EC">
      <w:pPr>
        <w:autoSpaceDE w:val="0"/>
        <w:autoSpaceDN w:val="0"/>
        <w:adjustRightInd w:val="0"/>
        <w:jc w:val="both"/>
        <w:rPr>
          <w:rFonts w:ascii="Arial Narrow" w:hAnsi="Arial Narrow" w:cs="Arial Narrow"/>
          <w:color w:val="000000" w:themeColor="text1"/>
          <w:lang w:eastAsia="es-ES"/>
        </w:rPr>
      </w:pPr>
    </w:p>
    <w:p w14:paraId="3042A624" w14:textId="77777777" w:rsidR="007968EC" w:rsidRPr="00BD2B9E" w:rsidRDefault="007968EC" w:rsidP="007968EC">
      <w:pPr>
        <w:autoSpaceDE w:val="0"/>
        <w:autoSpaceDN w:val="0"/>
        <w:adjustRightInd w:val="0"/>
        <w:jc w:val="both"/>
        <w:rPr>
          <w:rFonts w:ascii="Arial Narrow" w:hAnsi="Arial Narrow" w:cs="Arial Narrow"/>
          <w:color w:val="000000" w:themeColor="text1"/>
          <w:lang w:eastAsia="es-ES"/>
        </w:rPr>
      </w:pPr>
      <w:r w:rsidRPr="00BD2B9E">
        <w:rPr>
          <w:rFonts w:ascii="Arial Narrow" w:hAnsi="Arial Narrow" w:cs="Arial Narrow"/>
          <w:color w:val="000000" w:themeColor="text1"/>
          <w:lang w:eastAsia="es-ES"/>
        </w:rPr>
        <w:t>Pérdidas netas: Son el resultado de comparar las posiciones abiertas valoradas al Precio Teórico menos el precio de cierre. Para cada cálculo se suman los resultados que conllevan una pérdida y se restan los que conllevan un beneficio.</w:t>
      </w:r>
    </w:p>
    <w:p w14:paraId="07EC7698" w14:textId="77777777" w:rsidR="007968EC" w:rsidRPr="00BD2B9E" w:rsidRDefault="007968EC" w:rsidP="007968EC">
      <w:pPr>
        <w:autoSpaceDE w:val="0"/>
        <w:autoSpaceDN w:val="0"/>
        <w:adjustRightInd w:val="0"/>
        <w:jc w:val="both"/>
        <w:rPr>
          <w:rFonts w:ascii="Arial Narrow" w:hAnsi="Arial Narrow" w:cs="Arial Narrow"/>
          <w:color w:val="000000" w:themeColor="text1"/>
          <w:lang w:eastAsia="es-ES"/>
        </w:rPr>
      </w:pPr>
    </w:p>
    <w:p w14:paraId="158E4B96" w14:textId="77777777" w:rsidR="007968EC" w:rsidRPr="00BD2B9E" w:rsidRDefault="007968EC" w:rsidP="00DA7472">
      <w:pPr>
        <w:numPr>
          <w:ilvl w:val="0"/>
          <w:numId w:val="156"/>
        </w:numPr>
        <w:autoSpaceDE w:val="0"/>
        <w:autoSpaceDN w:val="0"/>
        <w:adjustRightInd w:val="0"/>
        <w:ind w:left="379" w:hanging="379"/>
        <w:contextualSpacing/>
        <w:jc w:val="both"/>
        <w:rPr>
          <w:rFonts w:ascii="Arial Narrow" w:hAnsi="Arial Narrow" w:cs="Arial Narrow"/>
          <w:color w:val="000000" w:themeColor="text1"/>
          <w:lang w:eastAsia="es-ES"/>
        </w:rPr>
      </w:pPr>
      <w:r w:rsidRPr="00BD2B9E">
        <w:rPr>
          <w:rFonts w:ascii="Arial Narrow" w:hAnsi="Arial Narrow" w:cs="Arial Narrow"/>
          <w:color w:val="000000" w:themeColor="text1"/>
          <w:lang w:eastAsia="es-ES"/>
        </w:rPr>
        <w:t>En cada simulación se suman los valores positivos obtenidos según las fórmulas anteriores para cada Cuenta del Miembro Liquidador y de las Cuentas de sus Miembros no Liquidadores, en su caso. Se selecciona el resultado mayor de las veintidós (22) simulaciones del Riesgo por Margin Call.</w:t>
      </w:r>
    </w:p>
    <w:p w14:paraId="0EF66CF9" w14:textId="77777777" w:rsidR="007968EC" w:rsidRPr="00BD2B9E" w:rsidRDefault="007968EC" w:rsidP="007968EC">
      <w:pPr>
        <w:autoSpaceDE w:val="0"/>
        <w:autoSpaceDN w:val="0"/>
        <w:adjustRightInd w:val="0"/>
        <w:ind w:left="379"/>
        <w:contextualSpacing/>
        <w:jc w:val="both"/>
        <w:rPr>
          <w:rFonts w:ascii="Arial Narrow" w:hAnsi="Arial Narrow" w:cs="Arial Narrow"/>
          <w:color w:val="000000" w:themeColor="text1"/>
          <w:lang w:eastAsia="es-ES"/>
        </w:rPr>
      </w:pPr>
    </w:p>
    <w:p w14:paraId="1EBF37C5" w14:textId="77777777" w:rsidR="007968EC" w:rsidRPr="00BD2B9E" w:rsidRDefault="007968EC" w:rsidP="00DA7472">
      <w:pPr>
        <w:numPr>
          <w:ilvl w:val="0"/>
          <w:numId w:val="156"/>
        </w:numPr>
        <w:autoSpaceDE w:val="0"/>
        <w:autoSpaceDN w:val="0"/>
        <w:adjustRightInd w:val="0"/>
        <w:ind w:left="379" w:hanging="379"/>
        <w:contextualSpacing/>
        <w:jc w:val="both"/>
        <w:rPr>
          <w:rFonts w:ascii="Arial Narrow" w:hAnsi="Arial Narrow" w:cs="Arial Narrow"/>
          <w:color w:val="000000" w:themeColor="text1"/>
          <w:lang w:eastAsia="es-ES"/>
        </w:rPr>
      </w:pPr>
      <w:r w:rsidRPr="00BD2B9E">
        <w:rPr>
          <w:rFonts w:ascii="Arial Narrow" w:hAnsi="Arial Narrow" w:cs="Arial Narrow"/>
          <w:color w:val="000000" w:themeColor="text1"/>
          <w:lang w:eastAsia="es-ES"/>
        </w:rPr>
        <w:t>En caso de que el resultado de Riesgo por Margin Call supere el Límite de Margin Call del Miembro, éste deberá, previa comunicación de la Cámara, ampliar su Límite de Margin Call.</w:t>
      </w:r>
    </w:p>
    <w:p w14:paraId="28CB3398" w14:textId="77777777" w:rsidR="007968EC" w:rsidRPr="00BD2B9E" w:rsidRDefault="007968EC" w:rsidP="007968EC">
      <w:pPr>
        <w:widowControl w:val="0"/>
        <w:jc w:val="both"/>
        <w:rPr>
          <w:rFonts w:ascii="Arial Narrow" w:hAnsi="Arial Narrow" w:cs="Arial"/>
          <w:color w:val="000000" w:themeColor="text1"/>
          <w:lang w:val="es-ES_tradnl"/>
        </w:rPr>
      </w:pPr>
    </w:p>
    <w:p w14:paraId="16871C72" w14:textId="77777777" w:rsidR="007968EC" w:rsidRPr="00BD2B9E" w:rsidRDefault="007968EC" w:rsidP="007968EC">
      <w:pPr>
        <w:jc w:val="both"/>
        <w:rPr>
          <w:rFonts w:ascii="Arial Narrow" w:eastAsia="Calibri" w:hAnsi="Arial Narrow"/>
          <w:lang w:val="es-ES"/>
        </w:rPr>
      </w:pPr>
      <w:r w:rsidRPr="00BD2B9E">
        <w:rPr>
          <w:rFonts w:ascii="Arial Narrow" w:hAnsi="Arial Narrow" w:cs="Arial"/>
          <w:b/>
          <w:bCs/>
          <w:color w:val="000000" w:themeColor="text1"/>
          <w:lang w:val="es-ES" w:eastAsia="es-ES"/>
        </w:rPr>
        <w:t xml:space="preserve">Parágrafo. </w:t>
      </w:r>
      <w:r w:rsidRPr="00BD2B9E">
        <w:rPr>
          <w:rFonts w:ascii="Arial Narrow" w:hAnsi="Arial Narrow" w:cs="Arial"/>
          <w:bCs/>
          <w:color w:val="000000" w:themeColor="text1"/>
          <w:lang w:val="es-ES" w:eastAsia="es-ES"/>
        </w:rPr>
        <w:t xml:space="preserve">Sin perjuicio de lo previsto en el presente artículo, la Cámara podrá establecer fórmulas distintas de la prevista en el presente artículo, para el cálculo del Riesgo por Margin Call </w:t>
      </w:r>
      <w:r w:rsidRPr="00BD2B9E">
        <w:rPr>
          <w:rFonts w:ascii="Arial Narrow" w:hAnsi="Arial Narrow" w:cs="Arial Narrow"/>
          <w:color w:val="000000" w:themeColor="text1"/>
          <w:lang w:eastAsia="es-ES"/>
        </w:rPr>
        <w:t>– RMC –</w:t>
      </w:r>
      <w:r w:rsidRPr="00BD2B9E">
        <w:rPr>
          <w:rFonts w:ascii="Arial Narrow" w:hAnsi="Arial Narrow" w:cs="Arial"/>
          <w:bCs/>
          <w:color w:val="000000" w:themeColor="text1"/>
          <w:lang w:val="es-ES" w:eastAsia="es-ES"/>
        </w:rPr>
        <w:t xml:space="preserve"> para efecto del </w:t>
      </w:r>
      <w:r w:rsidRPr="00BD2B9E">
        <w:rPr>
          <w:rFonts w:ascii="Arial Narrow" w:hAnsi="Arial Narrow" w:cs="Arial Narrow"/>
          <w:color w:val="000000" w:themeColor="text1"/>
          <w:lang w:eastAsia="es-ES"/>
        </w:rPr>
        <w:t xml:space="preserve">consumo del Límite de Margin Call en </w:t>
      </w:r>
      <w:r w:rsidRPr="00BD2B9E">
        <w:rPr>
          <w:rFonts w:ascii="Arial Narrow" w:hAnsi="Arial Narrow" w:cs="Arial"/>
          <w:bCs/>
          <w:color w:val="000000" w:themeColor="text1"/>
          <w:lang w:val="es-ES" w:eastAsia="es-ES"/>
        </w:rPr>
        <w:t>un Segmento o respecto de un Activo en particular. La administración, consumo del LMC, así como las fórmulas de cálculo aplicables al Segmento o al Activo serán las descritas en la parte pertinente de la Circular.</w:t>
      </w:r>
    </w:p>
    <w:p w14:paraId="585B0D2A" w14:textId="77777777" w:rsidR="007968EC" w:rsidRPr="002C0D19" w:rsidRDefault="007968EC" w:rsidP="007968EC">
      <w:pPr>
        <w:widowControl w:val="0"/>
        <w:jc w:val="both"/>
        <w:rPr>
          <w:rFonts w:ascii="Arial Narrow" w:hAnsi="Arial Narrow" w:cs="Arial"/>
          <w:color w:val="000000" w:themeColor="text1"/>
          <w:lang w:val="es-ES_tradnl"/>
        </w:rPr>
      </w:pPr>
    </w:p>
    <w:p w14:paraId="3814F699" w14:textId="77777777" w:rsidR="007968EC" w:rsidRDefault="007968EC" w:rsidP="007968EC">
      <w:pPr>
        <w:pStyle w:val="ARTICULO0"/>
      </w:pPr>
      <w:bookmarkStart w:id="2442" w:name="_Toc472592179"/>
      <w:bookmarkStart w:id="2443" w:name="_Toc472593198"/>
      <w:bookmarkStart w:id="2444" w:name="_Toc479056984"/>
      <w:bookmarkStart w:id="2445" w:name="_Toc31715997"/>
      <w:bookmarkStart w:id="2446" w:name="_Toc470775500"/>
      <w:bookmarkStart w:id="2447" w:name="_Toc470779785"/>
      <w:bookmarkStart w:id="2448" w:name="_Toc470780402"/>
      <w:bookmarkStart w:id="2449" w:name="_Toc470780915"/>
      <w:bookmarkStart w:id="2450" w:name="_Toc470784476"/>
      <w:bookmarkStart w:id="2451" w:name="_Toc470785013"/>
      <w:bookmarkStart w:id="2452" w:name="_Toc470791399"/>
      <w:bookmarkStart w:id="2453" w:name="_Toc490066304"/>
      <w:r w:rsidRPr="002C0D19">
        <w:t>Artículo 1.6.5.6. Formas de ampliación de los Límites de Operación.</w:t>
      </w:r>
      <w:bookmarkEnd w:id="2442"/>
      <w:bookmarkEnd w:id="2443"/>
      <w:bookmarkEnd w:id="2444"/>
      <w:bookmarkEnd w:id="2445"/>
      <w:r w:rsidRPr="002C0D19">
        <w:t xml:space="preserve"> </w:t>
      </w:r>
    </w:p>
    <w:p w14:paraId="17452C78" w14:textId="77777777" w:rsidR="007968EC" w:rsidRPr="00D9028E" w:rsidRDefault="007968EC" w:rsidP="007968EC">
      <w:pPr>
        <w:jc w:val="both"/>
        <w:rPr>
          <w:rFonts w:ascii="Arial Narrow" w:hAnsi="Arial Narrow" w:cs="Arial"/>
          <w:color w:val="000000" w:themeColor="text1"/>
          <w:lang w:eastAsia="es-ES"/>
        </w:rPr>
      </w:pPr>
    </w:p>
    <w:p w14:paraId="53C7A5C0" w14:textId="77777777" w:rsidR="007968EC" w:rsidRPr="002C0D19" w:rsidRDefault="007968EC" w:rsidP="007968EC">
      <w:pPr>
        <w:pStyle w:val="ANTECEDENTES"/>
        <w:rPr>
          <w:u w:val="single"/>
        </w:rPr>
      </w:pPr>
      <w:r w:rsidRPr="002C0D19">
        <w:rPr>
          <w:lang w:val="es-ES_tradnl"/>
        </w:rPr>
        <w:t xml:space="preserve">(Este artículo fue modificado mediante </w:t>
      </w:r>
      <w:r w:rsidRPr="002C0D19">
        <w:t xml:space="preserve">Circular 12 del 9 de mayo de 2013, publicada en el Boletín Normativo No. 013 del 9 de mayo de 2013 y </w:t>
      </w:r>
      <w:r w:rsidRPr="002C0D19">
        <w:rPr>
          <w:lang w:val="es-ES_tradnl"/>
        </w:rPr>
        <w:t xml:space="preserve">mediante </w:t>
      </w:r>
      <w:r w:rsidRPr="002C0D19">
        <w:t>Circular 1 del 10 de enero de 2014, publicada en el Boletín Normativo No. 001 del 10 de enero de 2014. Rige a partir del 13 de enero de 2014 y modificado mediante Circular 19 del 28 de diciembre de 2016, publicada en el Boletín Normativo No. 024 del 28 de diciembre de 2016. Rige a partir del 29 de diciembre de 2016.)</w:t>
      </w:r>
      <w:bookmarkEnd w:id="2446"/>
      <w:bookmarkEnd w:id="2447"/>
      <w:bookmarkEnd w:id="2448"/>
      <w:bookmarkEnd w:id="2449"/>
      <w:bookmarkEnd w:id="2450"/>
      <w:bookmarkEnd w:id="2451"/>
      <w:bookmarkEnd w:id="2452"/>
      <w:bookmarkEnd w:id="2453"/>
    </w:p>
    <w:p w14:paraId="2D2E8C65" w14:textId="77777777" w:rsidR="007968EC" w:rsidRPr="002C0D19" w:rsidRDefault="007968EC" w:rsidP="007968EC">
      <w:pPr>
        <w:widowControl w:val="0"/>
        <w:jc w:val="both"/>
        <w:rPr>
          <w:rFonts w:ascii="Arial Narrow" w:hAnsi="Arial Narrow" w:cs="Arial"/>
          <w:color w:val="000000" w:themeColor="text1"/>
          <w:lang w:val="es-ES_tradnl"/>
        </w:rPr>
      </w:pPr>
    </w:p>
    <w:p w14:paraId="6DCCC9C4" w14:textId="77777777" w:rsidR="007968EC" w:rsidRPr="002C0D19" w:rsidRDefault="007968EC" w:rsidP="007968EC">
      <w:pPr>
        <w:jc w:val="both"/>
        <w:rPr>
          <w:rFonts w:ascii="Arial Narrow" w:hAnsi="Arial Narrow" w:cs="Arial"/>
          <w:color w:val="000000" w:themeColor="text1"/>
          <w:lang w:eastAsia="es-ES"/>
        </w:rPr>
      </w:pPr>
      <w:bookmarkStart w:id="2454" w:name="_Toc470775501"/>
      <w:bookmarkStart w:id="2455" w:name="_Toc470779786"/>
      <w:bookmarkStart w:id="2456" w:name="_Toc470780403"/>
      <w:bookmarkStart w:id="2457" w:name="_Toc470780916"/>
      <w:bookmarkStart w:id="2458" w:name="_Toc470784477"/>
      <w:bookmarkStart w:id="2459" w:name="_Toc470785014"/>
      <w:bookmarkStart w:id="2460" w:name="_Toc470791400"/>
      <w:bookmarkStart w:id="2461" w:name="_Toc471831610"/>
      <w:bookmarkStart w:id="2462" w:name="_Toc490066305"/>
      <w:bookmarkStart w:id="2463" w:name="_Toc490079080"/>
      <w:r w:rsidRPr="002C0D19">
        <w:rPr>
          <w:rFonts w:ascii="Arial Narrow" w:hAnsi="Arial Narrow" w:cs="Arial"/>
          <w:color w:val="000000" w:themeColor="text1"/>
          <w:lang w:eastAsia="es-ES"/>
        </w:rPr>
        <w:t>Para la ampliación de Riesgo Intradía – LRI y el Límite de Margin Call – LMC, se deben constituir Garantías Extraordinarias y/o Individuales ya sea en Títulos o en efectivo. Al efectuarse una ampliación de límite, mediante la constitución de Garantías Extraordinarias y/o Individuales la Cámara primero evaluará el Riesgo por Margin Call, por lo tanto inicialmente ejecutará la ampliación por LMC cuando se requiera y posteriormente con el valor sobrante se ampliará el LRI. Así mismo, para la ampliación del Límite de Riesgo Intradía y el Límite de Margin Call se podrán utilizar Cartas de Crédito Stand By de conformidad con lo dispuesto por el Artículo 1.6.4.12. de esta Circular.</w:t>
      </w:r>
      <w:bookmarkEnd w:id="2454"/>
      <w:bookmarkEnd w:id="2455"/>
      <w:bookmarkEnd w:id="2456"/>
      <w:bookmarkEnd w:id="2457"/>
      <w:bookmarkEnd w:id="2458"/>
      <w:bookmarkEnd w:id="2459"/>
      <w:bookmarkEnd w:id="2460"/>
      <w:bookmarkEnd w:id="2461"/>
      <w:bookmarkEnd w:id="2462"/>
      <w:bookmarkEnd w:id="2463"/>
    </w:p>
    <w:p w14:paraId="6465648E" w14:textId="77777777" w:rsidR="007968EC" w:rsidRPr="002C0D19" w:rsidRDefault="007968EC" w:rsidP="007968EC">
      <w:pPr>
        <w:jc w:val="both"/>
        <w:rPr>
          <w:rFonts w:ascii="Arial Narrow" w:hAnsi="Arial Narrow" w:cs="Arial"/>
          <w:color w:val="000000" w:themeColor="text1"/>
          <w:lang w:eastAsia="es-ES"/>
        </w:rPr>
      </w:pPr>
    </w:p>
    <w:p w14:paraId="20CF7B46" w14:textId="77777777" w:rsidR="007968EC" w:rsidRDefault="007968EC" w:rsidP="007968EC">
      <w:pPr>
        <w:pStyle w:val="ARTICULO0"/>
      </w:pPr>
      <w:bookmarkStart w:id="2464" w:name="_Toc472592180"/>
      <w:bookmarkStart w:id="2465" w:name="_Toc472593199"/>
      <w:bookmarkStart w:id="2466" w:name="_Toc479056985"/>
      <w:bookmarkStart w:id="2467" w:name="_Toc31715998"/>
      <w:bookmarkStart w:id="2468" w:name="_Toc470775502"/>
      <w:bookmarkStart w:id="2469" w:name="_Toc470779787"/>
      <w:bookmarkStart w:id="2470" w:name="_Toc470780404"/>
      <w:bookmarkStart w:id="2471" w:name="_Toc470780917"/>
      <w:bookmarkStart w:id="2472" w:name="_Toc470784478"/>
      <w:bookmarkStart w:id="2473" w:name="_Toc470785015"/>
      <w:bookmarkStart w:id="2474" w:name="_Toc470791401"/>
      <w:bookmarkStart w:id="2475" w:name="_Toc490066306"/>
      <w:r w:rsidRPr="002C0D19">
        <w:t>Artículo 1.6.5.7. Generalidades del Límite de Obligación Latente de Entrega – LOLE</w:t>
      </w:r>
      <w:bookmarkEnd w:id="2464"/>
      <w:bookmarkEnd w:id="2465"/>
      <w:bookmarkEnd w:id="2466"/>
      <w:r w:rsidRPr="002C0D19">
        <w:t>.</w:t>
      </w:r>
      <w:bookmarkEnd w:id="2467"/>
      <w:r w:rsidRPr="002C0D19">
        <w:t xml:space="preserve"> </w:t>
      </w:r>
    </w:p>
    <w:p w14:paraId="52B8DE2E" w14:textId="77777777" w:rsidR="007968EC" w:rsidRPr="00D9028E" w:rsidRDefault="007968EC" w:rsidP="007968EC">
      <w:pPr>
        <w:jc w:val="both"/>
        <w:rPr>
          <w:rFonts w:ascii="Arial Narrow" w:hAnsi="Arial Narrow" w:cs="Arial"/>
          <w:color w:val="000000" w:themeColor="text1"/>
          <w:lang w:eastAsia="es-ES"/>
        </w:rPr>
      </w:pPr>
    </w:p>
    <w:p w14:paraId="19307BEE" w14:textId="77777777" w:rsidR="007968EC" w:rsidRPr="002C0D19" w:rsidRDefault="007968EC" w:rsidP="007968EC">
      <w:pPr>
        <w:pStyle w:val="ANTECEDENTES"/>
      </w:pPr>
      <w:r w:rsidRPr="002C0D19">
        <w:lastRenderedPageBreak/>
        <w:t xml:space="preserve">(Este artículo fue adicionado mediante Circular 5 del 8 de marzo de 2010, publicada en el Boletín Normativo No. 005 del 8 de marzo de 2010. Rige a partir del 10 de marzo de 2010 y renumerado mediante </w:t>
      </w:r>
      <w:r w:rsidRPr="002C0D19">
        <w:rPr>
          <w:lang w:val="es-ES"/>
        </w:rPr>
        <w:t xml:space="preserve">Circular 19 del 28 de diciembre de 2016, publicada en el Boletín Normativo No. 024 del 28 de diciembre de 2016. </w:t>
      </w:r>
      <w:r w:rsidRPr="002C0D19">
        <w:t>Rige a partir del 29 de diciembre de 2016.</w:t>
      </w:r>
      <w:r w:rsidRPr="002C0D19">
        <w:rPr>
          <w:lang w:val="es-ES"/>
        </w:rPr>
        <w:t>)</w:t>
      </w:r>
      <w:bookmarkEnd w:id="2468"/>
      <w:bookmarkEnd w:id="2469"/>
      <w:bookmarkEnd w:id="2470"/>
      <w:bookmarkEnd w:id="2471"/>
      <w:bookmarkEnd w:id="2472"/>
      <w:bookmarkEnd w:id="2473"/>
      <w:bookmarkEnd w:id="2474"/>
      <w:bookmarkEnd w:id="2475"/>
    </w:p>
    <w:p w14:paraId="740F1E8B" w14:textId="77777777" w:rsidR="007968EC" w:rsidRPr="002C0D19" w:rsidRDefault="007968EC" w:rsidP="007968EC">
      <w:pPr>
        <w:jc w:val="both"/>
        <w:rPr>
          <w:rFonts w:ascii="Arial Narrow" w:hAnsi="Arial Narrow" w:cs="Arial"/>
          <w:color w:val="000000" w:themeColor="text1"/>
          <w:lang w:val="es-ES" w:eastAsia="es-ES"/>
        </w:rPr>
      </w:pPr>
    </w:p>
    <w:p w14:paraId="0313A679" w14:textId="77777777" w:rsidR="007968EC" w:rsidRPr="002C0D19" w:rsidRDefault="007968EC" w:rsidP="007968EC">
      <w:pPr>
        <w:jc w:val="both"/>
        <w:rPr>
          <w:rFonts w:ascii="Arial Narrow" w:hAnsi="Arial Narrow" w:cs="Arial"/>
          <w:color w:val="000000" w:themeColor="text1"/>
          <w:lang w:eastAsia="es-CO"/>
        </w:rPr>
      </w:pPr>
      <w:r w:rsidRPr="002C0D19">
        <w:rPr>
          <w:rFonts w:ascii="Arial Narrow" w:hAnsi="Arial Narrow" w:cs="Arial"/>
          <w:color w:val="000000" w:themeColor="text1"/>
          <w:lang w:eastAsia="es-ES"/>
        </w:rPr>
        <w:t>La Cámara establece un Límite de Obligación Latente de Entrega (LOLE) con el fin de controlar el riesgo asumido frente a los Miembros con posiciones de venta en contratos con Liquidación al Vencimiento por Entrega, determinado en virtud del posible Incumplimiento en la entrega de dichas Posiciones Abiertas de sus Cuentas, de las de sus Terceros o de las de sus Miembros no Liquidadores y los Terceros de éstos, según el caso</w:t>
      </w:r>
      <w:r w:rsidRPr="002C0D19">
        <w:rPr>
          <w:rFonts w:ascii="Arial Narrow" w:hAnsi="Arial Narrow" w:cs="Arial"/>
          <w:color w:val="000000" w:themeColor="text1"/>
          <w:lang w:eastAsia="es-CO"/>
        </w:rPr>
        <w:t>.</w:t>
      </w:r>
    </w:p>
    <w:p w14:paraId="23E619B2" w14:textId="77777777" w:rsidR="007968EC" w:rsidRPr="002C0D19" w:rsidRDefault="007968EC" w:rsidP="007968EC">
      <w:pPr>
        <w:jc w:val="both"/>
        <w:rPr>
          <w:rFonts w:ascii="Arial Narrow" w:hAnsi="Arial Narrow" w:cs="Arial"/>
          <w:color w:val="000000" w:themeColor="text1"/>
          <w:lang w:eastAsia="es-CO"/>
        </w:rPr>
      </w:pPr>
    </w:p>
    <w:p w14:paraId="4D747BCF" w14:textId="77777777" w:rsidR="007968EC" w:rsidRPr="002C0D19" w:rsidRDefault="007968EC" w:rsidP="007968EC">
      <w:pPr>
        <w:autoSpaceDE w:val="0"/>
        <w:autoSpaceDN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El objetivo del Límite de Obligación Latente de Entrega (LOLE) es restringir el nivel de exposición que le representa a la Cámara la toma de nuevas posiciones en el mercado, hasta tanto no se constituyan las Garantías Extraordinarias en el Activo Subyacente correspondiente a la operación objeto de la entrega por parte del Miembro.</w:t>
      </w:r>
    </w:p>
    <w:p w14:paraId="08BEA33F" w14:textId="77777777" w:rsidR="007968EC" w:rsidRPr="002C0D19" w:rsidRDefault="007968EC" w:rsidP="007968EC">
      <w:pPr>
        <w:autoSpaceDE w:val="0"/>
        <w:autoSpaceDN w:val="0"/>
        <w:jc w:val="both"/>
        <w:rPr>
          <w:rFonts w:ascii="Arial Narrow" w:hAnsi="Arial Narrow" w:cs="Arial"/>
          <w:color w:val="000000" w:themeColor="text1"/>
          <w:lang w:val="es-ES" w:eastAsia="es-ES"/>
        </w:rPr>
      </w:pPr>
    </w:p>
    <w:p w14:paraId="148962B5" w14:textId="77777777" w:rsidR="007968EC" w:rsidRDefault="007968EC" w:rsidP="007968EC">
      <w:pPr>
        <w:pStyle w:val="ARTICULO0"/>
      </w:pPr>
      <w:bookmarkStart w:id="2476" w:name="_Toc472592181"/>
      <w:bookmarkStart w:id="2477" w:name="_Toc472593200"/>
      <w:bookmarkStart w:id="2478" w:name="_Toc479056986"/>
      <w:bookmarkStart w:id="2479" w:name="_Toc31715999"/>
      <w:bookmarkStart w:id="2480" w:name="_Toc470775503"/>
      <w:bookmarkStart w:id="2481" w:name="_Toc470779788"/>
      <w:bookmarkStart w:id="2482" w:name="_Toc470780405"/>
      <w:bookmarkStart w:id="2483" w:name="_Toc470780918"/>
      <w:bookmarkStart w:id="2484" w:name="_Toc470784479"/>
      <w:bookmarkStart w:id="2485" w:name="_Toc470785016"/>
      <w:bookmarkStart w:id="2486" w:name="_Toc470791402"/>
      <w:bookmarkStart w:id="2487" w:name="_Toc490066307"/>
      <w:r w:rsidRPr="002C0D19">
        <w:t>Artículo 1.6.5.8. Administración y consumo del Límite de Obligación Latente de Entrega LOLE.</w:t>
      </w:r>
      <w:bookmarkEnd w:id="2476"/>
      <w:bookmarkEnd w:id="2477"/>
      <w:bookmarkEnd w:id="2478"/>
      <w:bookmarkEnd w:id="2479"/>
      <w:r w:rsidRPr="002C0D19">
        <w:t xml:space="preserve"> </w:t>
      </w:r>
    </w:p>
    <w:p w14:paraId="759C83C8" w14:textId="77777777" w:rsidR="007968EC" w:rsidRPr="00D9028E" w:rsidRDefault="007968EC" w:rsidP="007968EC">
      <w:pPr>
        <w:jc w:val="both"/>
        <w:rPr>
          <w:rFonts w:ascii="Arial Narrow" w:hAnsi="Arial Narrow" w:cs="Arial"/>
          <w:color w:val="000000" w:themeColor="text1"/>
          <w:lang w:eastAsia="es-ES"/>
        </w:rPr>
      </w:pPr>
    </w:p>
    <w:p w14:paraId="10787B2E" w14:textId="77777777" w:rsidR="007968EC" w:rsidRPr="002C0D19" w:rsidRDefault="007968EC" w:rsidP="007968EC">
      <w:pPr>
        <w:pStyle w:val="ANTECEDENTES"/>
        <w:rPr>
          <w:u w:val="single"/>
        </w:rPr>
      </w:pPr>
      <w:r w:rsidRPr="002C0D19">
        <w:t xml:space="preserve">(Este artículo fue adicionado mediante Circular 5 del 8 de marzo de 2010, publicada en el Boletín Normativo No. 005 del 8 de marzo de 2010 y modificado mediante Circular 21 del 9 de noviembre de 2010, publicada en el Boletín Normativo No. 023 del 9 de noviembre de 2010. Rige a partir del 11 de noviembre de 2010 y renumerado mediante </w:t>
      </w:r>
      <w:r w:rsidRPr="002C0D19">
        <w:rPr>
          <w:lang w:val="es-ES"/>
        </w:rPr>
        <w:t xml:space="preserve">Circular 19 del 28 de diciembre de 2016, publicada en el Boletín Normativo No. 024 del 28 de diciembre de 2016. </w:t>
      </w:r>
      <w:r w:rsidRPr="002C0D19">
        <w:t>Rige a partir del 29 de diciembre de 2016.</w:t>
      </w:r>
      <w:r w:rsidRPr="002C0D19">
        <w:rPr>
          <w:lang w:val="es-ES"/>
        </w:rPr>
        <w:t>)</w:t>
      </w:r>
      <w:bookmarkEnd w:id="2480"/>
      <w:bookmarkEnd w:id="2481"/>
      <w:bookmarkEnd w:id="2482"/>
      <w:bookmarkEnd w:id="2483"/>
      <w:bookmarkEnd w:id="2484"/>
      <w:bookmarkEnd w:id="2485"/>
      <w:bookmarkEnd w:id="2486"/>
      <w:bookmarkEnd w:id="2487"/>
    </w:p>
    <w:p w14:paraId="791A605C" w14:textId="77777777" w:rsidR="007968EC" w:rsidRPr="002C0D19" w:rsidRDefault="007968EC" w:rsidP="007968EC">
      <w:pPr>
        <w:jc w:val="both"/>
        <w:rPr>
          <w:rFonts w:ascii="Arial Narrow" w:hAnsi="Arial Narrow" w:cs="Arial"/>
          <w:color w:val="000000" w:themeColor="text1"/>
          <w:lang w:val="es-ES_tradnl" w:eastAsia="es-CO"/>
        </w:rPr>
      </w:pPr>
    </w:p>
    <w:p w14:paraId="03EFA2A9" w14:textId="77777777" w:rsidR="007968EC" w:rsidRPr="002C0D19" w:rsidRDefault="007968EC" w:rsidP="007968EC">
      <w:pPr>
        <w:jc w:val="both"/>
        <w:rPr>
          <w:rFonts w:ascii="Arial Narrow" w:hAnsi="Arial Narrow" w:cs="Arial"/>
          <w:iCs/>
          <w:color w:val="000000" w:themeColor="text1"/>
          <w:lang w:val="es-ES_tradnl" w:eastAsia="es-CO"/>
        </w:rPr>
      </w:pPr>
      <w:r w:rsidRPr="002C0D19">
        <w:rPr>
          <w:rFonts w:ascii="Arial Narrow" w:hAnsi="Arial Narrow" w:cs="Arial"/>
          <w:iCs/>
          <w:color w:val="000000" w:themeColor="text1"/>
          <w:lang w:val="es-ES_tradnl" w:eastAsia="es-CO"/>
        </w:rPr>
        <w:t>El Límite de Obligación Latente de Entrega – LOLE- se define como:</w:t>
      </w:r>
    </w:p>
    <w:p w14:paraId="1B3FDCFA" w14:textId="77777777" w:rsidR="007968EC" w:rsidRPr="002C0D19" w:rsidRDefault="007968EC" w:rsidP="007968EC">
      <w:pPr>
        <w:jc w:val="both"/>
        <w:rPr>
          <w:rFonts w:ascii="Arial Narrow" w:hAnsi="Arial Narrow" w:cs="Arial"/>
          <w:iCs/>
          <w:color w:val="000000" w:themeColor="text1"/>
          <w:lang w:val="es-ES_tradnl" w:eastAsia="es-CO"/>
        </w:rPr>
      </w:pPr>
    </w:p>
    <w:p w14:paraId="7C0D2368" w14:textId="77777777" w:rsidR="007968EC" w:rsidRPr="002C0D19" w:rsidRDefault="00682D97" w:rsidP="007968EC">
      <w:pPr>
        <w:jc w:val="center"/>
        <w:rPr>
          <w:rFonts w:ascii="Arial Narrow" w:hAnsi="Arial Narrow" w:cs="Arial"/>
          <w:iCs/>
          <w:color w:val="000000" w:themeColor="text1"/>
          <w:lang w:val="es-ES" w:eastAsia="es-ES"/>
        </w:rPr>
      </w:pPr>
      <m:oMathPara>
        <m:oMath>
          <m:sSup>
            <m:sSupPr>
              <m:ctrlPr>
                <w:rPr>
                  <w:rFonts w:ascii="Cambria Math" w:hAnsi="Cambria Math" w:cs="Arial"/>
                  <w:color w:val="000000" w:themeColor="text1"/>
                  <w:sz w:val="20"/>
                  <w:szCs w:val="20"/>
                  <w:lang w:val="es-ES" w:eastAsia="es-ES"/>
                </w:rPr>
              </m:ctrlPr>
            </m:sSupPr>
            <m:e>
              <m:f>
                <m:fPr>
                  <m:ctrlPr>
                    <w:rPr>
                      <w:rFonts w:ascii="Cambria Math" w:eastAsia="Calibri" w:hAnsi="Cambria Math" w:cs="Arial"/>
                      <w:i/>
                      <w:color w:val="000000" w:themeColor="text1"/>
                      <w:sz w:val="20"/>
                      <w:szCs w:val="20"/>
                      <w:lang w:val="es-ES"/>
                    </w:rPr>
                  </m:ctrlPr>
                </m:fPr>
                <m:num>
                  <m:r>
                    <m:rPr>
                      <m:sty m:val="bi"/>
                    </m:rPr>
                    <w:rPr>
                      <w:rFonts w:ascii="Cambria Math" w:hAnsi="Cambria Math" w:cs="Arial"/>
                      <w:color w:val="000000" w:themeColor="text1"/>
                      <w:sz w:val="20"/>
                      <w:szCs w:val="20"/>
                      <w:lang w:val="es-ES" w:eastAsia="es-ES"/>
                    </w:rPr>
                    <m:t>Obligación Latente de Entrega (OLE)</m:t>
                  </m:r>
                </m:num>
                <m:den>
                  <m:r>
                    <m:rPr>
                      <m:sty m:val="bi"/>
                    </m:rPr>
                    <w:rPr>
                      <w:rFonts w:ascii="Cambria Math" w:hAnsi="Cambria Math" w:cs="Arial"/>
                      <w:color w:val="000000" w:themeColor="text1"/>
                      <w:sz w:val="20"/>
                      <w:szCs w:val="20"/>
                      <w:lang w:val="es-ES" w:eastAsia="es-ES"/>
                    </w:rPr>
                    <m:t>Volumen Medio Diario (VMD)</m:t>
                  </m:r>
                </m:den>
              </m:f>
            </m:e>
            <m:sup/>
          </m:sSup>
          <m:r>
            <m:rPr>
              <m:sty m:val="b"/>
            </m:rPr>
            <w:rPr>
              <w:rFonts w:ascii="Cambria Math" w:hAnsi="Cambria Math" w:cs="Arial"/>
              <w:color w:val="000000" w:themeColor="text1"/>
              <w:sz w:val="20"/>
              <w:szCs w:val="20"/>
              <w:lang w:val="es-ES" w:eastAsia="es-ES"/>
            </w:rPr>
            <m:t>≤LOLE definido para cada instrumento</m:t>
          </m:r>
        </m:oMath>
      </m:oMathPara>
    </w:p>
    <w:p w14:paraId="1F143CA7" w14:textId="77777777" w:rsidR="007968EC" w:rsidRPr="002C0D19" w:rsidRDefault="007968EC" w:rsidP="007968EC">
      <w:pPr>
        <w:jc w:val="both"/>
        <w:rPr>
          <w:rFonts w:ascii="Arial Narrow" w:hAnsi="Arial Narrow" w:cs="Arial"/>
          <w:iCs/>
          <w:color w:val="000000" w:themeColor="text1"/>
          <w:lang w:eastAsia="es-CO"/>
        </w:rPr>
      </w:pPr>
    </w:p>
    <w:p w14:paraId="66678D7C" w14:textId="77777777" w:rsidR="007968EC" w:rsidRPr="002C0D19" w:rsidRDefault="007968EC" w:rsidP="007968EC">
      <w:pPr>
        <w:jc w:val="both"/>
        <w:rPr>
          <w:rFonts w:ascii="Arial Narrow" w:hAnsi="Arial Narrow" w:cs="Arial"/>
          <w:iCs/>
          <w:color w:val="000000" w:themeColor="text1"/>
          <w:lang w:val="es-ES_tradnl" w:eastAsia="es-CO"/>
        </w:rPr>
      </w:pPr>
      <w:r w:rsidRPr="002C0D19">
        <w:rPr>
          <w:rFonts w:ascii="Arial Narrow" w:hAnsi="Arial Narrow" w:cs="Arial"/>
          <w:iCs/>
          <w:color w:val="000000" w:themeColor="text1"/>
          <w:lang w:val="es-ES_tradnl" w:eastAsia="es-CO"/>
        </w:rPr>
        <w:t xml:space="preserve">Donde: </w:t>
      </w:r>
    </w:p>
    <w:p w14:paraId="2DABBE71" w14:textId="77777777" w:rsidR="007968EC" w:rsidRPr="002C0D19" w:rsidRDefault="007968EC" w:rsidP="007968EC">
      <w:pPr>
        <w:jc w:val="both"/>
        <w:rPr>
          <w:rFonts w:ascii="Arial Narrow" w:hAnsi="Arial Narrow" w:cs="Arial"/>
          <w:iCs/>
          <w:color w:val="000000" w:themeColor="text1"/>
          <w:lang w:val="es-ES_tradnl" w:eastAsia="es-CO"/>
        </w:rPr>
      </w:pPr>
    </w:p>
    <w:p w14:paraId="30B5BA36" w14:textId="77777777" w:rsidR="007968EC" w:rsidRPr="002C0D19" w:rsidRDefault="007968EC" w:rsidP="007968EC">
      <w:pPr>
        <w:jc w:val="both"/>
        <w:rPr>
          <w:rFonts w:ascii="Arial Narrow" w:hAnsi="Arial Narrow" w:cs="Arial"/>
          <w:b/>
          <w:color w:val="000000" w:themeColor="text1"/>
          <w:lang w:val="es-ES" w:eastAsia="es-ES"/>
        </w:rPr>
      </w:pPr>
      <m:oMath>
        <m:r>
          <m:rPr>
            <m:sty m:val="b"/>
          </m:rPr>
          <w:rPr>
            <w:rFonts w:ascii="Cambria Math" w:hAnsi="Cambria Math" w:cs="Arial"/>
            <w:color w:val="000000" w:themeColor="text1"/>
            <w:lang w:val="es-ES" w:eastAsia="es-ES"/>
          </w:rPr>
          <m:t>OLE</m:t>
        </m:r>
      </m:oMath>
      <w:r w:rsidRPr="002C0D19">
        <w:rPr>
          <w:rFonts w:ascii="Arial Narrow" w:hAnsi="Arial Narrow" w:cs="Arial"/>
          <w:color w:val="000000" w:themeColor="text1"/>
          <w:lang w:val="es-ES" w:eastAsia="es-ES"/>
        </w:rPr>
        <w:t>: Es la obligación a cargo del Miembro Liquidador con posición de venta en los contratos con Liquidación al Vencimiento por Entrega, correspondiente a la sumatoria de las Posiciones Abiertas de venta de sus Cuentas, de las de sus Terceros o de las de sus Miembros no Liquidadores y de los Terceros de éstos, según el caso, multiplicada por su valor nominal, menos el valor nominal de las garantías constituidas a favor de la Cámara en el Activo objeto de entrega por cada titular de Cuenta con posición de venta.</w:t>
      </w:r>
    </w:p>
    <w:p w14:paraId="46B57632" w14:textId="77777777" w:rsidR="007968EC" w:rsidRPr="002C0D19" w:rsidRDefault="007968EC" w:rsidP="007968EC">
      <w:pPr>
        <w:jc w:val="both"/>
        <w:rPr>
          <w:rFonts w:ascii="Arial Narrow" w:eastAsia="Calibri" w:hAnsi="Arial Narrow" w:cs="Arial"/>
          <w:color w:val="000000" w:themeColor="text1"/>
          <w:position w:val="-5"/>
          <w:lang w:val="es-ES" w:eastAsia="es-ES"/>
        </w:rPr>
      </w:pPr>
    </w:p>
    <w:p w14:paraId="3A842811" w14:textId="77777777" w:rsidR="007968EC" w:rsidRPr="002C0D19" w:rsidRDefault="007968EC" w:rsidP="007968EC">
      <w:pPr>
        <w:jc w:val="both"/>
        <w:rPr>
          <w:rFonts w:ascii="Arial Narrow" w:hAnsi="Arial Narrow" w:cs="Arial"/>
          <w:iCs/>
          <w:color w:val="000000" w:themeColor="text1"/>
          <w:lang w:val="es-ES_tradnl" w:eastAsia="es-ES"/>
        </w:rPr>
      </w:pPr>
      <m:oMath>
        <m:r>
          <m:rPr>
            <m:sty m:val="bi"/>
          </m:rPr>
          <w:rPr>
            <w:rFonts w:ascii="Cambria Math" w:hAnsi="Cambria Math" w:cs="Arial"/>
            <w:color w:val="000000" w:themeColor="text1"/>
            <w:lang w:val="es-ES" w:eastAsia="es-ES"/>
          </w:rPr>
          <m:t>VMD</m:t>
        </m:r>
      </m:oMath>
      <w:r w:rsidRPr="002C0D19">
        <w:rPr>
          <w:rFonts w:ascii="Arial Narrow" w:hAnsi="Arial Narrow" w:cs="Arial"/>
          <w:b/>
          <w:color w:val="000000" w:themeColor="text1"/>
          <w:lang w:val="es-ES" w:eastAsia="es-ES"/>
        </w:rPr>
        <w:t>:</w:t>
      </w:r>
      <w:r w:rsidRPr="002C0D19">
        <w:rPr>
          <w:rFonts w:ascii="Arial Narrow" w:hAnsi="Arial Narrow" w:cs="Arial"/>
          <w:color w:val="000000" w:themeColor="text1"/>
          <w:lang w:val="es-ES" w:eastAsia="es-ES"/>
        </w:rPr>
        <w:t xml:space="preserve"> </w:t>
      </w:r>
      <w:r w:rsidRPr="002C0D19">
        <w:rPr>
          <w:rFonts w:ascii="Arial Narrow" w:hAnsi="Arial Narrow" w:cs="Arial"/>
          <w:iCs/>
          <w:color w:val="000000" w:themeColor="text1"/>
          <w:lang w:val="es-ES_tradnl" w:eastAsia="es-ES"/>
        </w:rPr>
        <w:t>Volumen medio diario, es el promedio del valor negociado en el mercado de contado del Activo Subyacente a entregar durante el período que se establezca para cada Instrumento.</w:t>
      </w:r>
    </w:p>
    <w:p w14:paraId="7B01EE16" w14:textId="77777777" w:rsidR="007968EC" w:rsidRPr="002C0D19" w:rsidRDefault="007968EC" w:rsidP="007968EC">
      <w:pPr>
        <w:jc w:val="both"/>
        <w:rPr>
          <w:rFonts w:ascii="Arial Narrow" w:hAnsi="Arial Narrow" w:cs="Arial"/>
          <w:iCs/>
          <w:color w:val="000000" w:themeColor="text1"/>
          <w:lang w:val="es-ES_tradnl" w:eastAsia="es-ES"/>
        </w:rPr>
      </w:pPr>
    </w:p>
    <w:p w14:paraId="1417C100" w14:textId="77777777" w:rsidR="007968EC" w:rsidRPr="002C0D19" w:rsidRDefault="007968EC" w:rsidP="007968EC">
      <w:pPr>
        <w:jc w:val="both"/>
        <w:rPr>
          <w:rFonts w:ascii="Arial Narrow" w:hAnsi="Arial Narrow" w:cs="Arial"/>
          <w:iCs/>
          <w:color w:val="000000" w:themeColor="text1"/>
          <w:lang w:val="es-ES_tradnl" w:eastAsia="es-ES"/>
        </w:rPr>
      </w:pPr>
      <w:r w:rsidRPr="002C0D19">
        <w:rPr>
          <w:rFonts w:ascii="Arial Narrow" w:hAnsi="Arial Narrow" w:cs="Arial"/>
          <w:iCs/>
          <w:color w:val="000000" w:themeColor="text1"/>
          <w:lang w:val="es-ES_tradnl" w:eastAsia="es-ES"/>
        </w:rPr>
        <w:t>La Cámara establece para cada Instrumento el período de aplicación del LOLE.</w:t>
      </w:r>
    </w:p>
    <w:p w14:paraId="6E53CBFA" w14:textId="77777777" w:rsidR="007968EC" w:rsidRPr="002C0D19" w:rsidRDefault="007968EC" w:rsidP="007968EC">
      <w:pPr>
        <w:jc w:val="both"/>
        <w:rPr>
          <w:rFonts w:ascii="Arial Narrow" w:hAnsi="Arial Narrow" w:cs="Arial"/>
          <w:iCs/>
          <w:color w:val="000000" w:themeColor="text1"/>
          <w:lang w:val="es-ES_tradnl" w:eastAsia="es-ES"/>
        </w:rPr>
      </w:pPr>
    </w:p>
    <w:p w14:paraId="1FC531C1" w14:textId="77777777" w:rsidR="007968EC" w:rsidRPr="002C0D19" w:rsidRDefault="007968EC" w:rsidP="007968EC">
      <w:pPr>
        <w:jc w:val="both"/>
        <w:rPr>
          <w:rFonts w:ascii="Arial Narrow" w:hAnsi="Arial Narrow" w:cs="Arial"/>
          <w:iCs/>
          <w:color w:val="000000" w:themeColor="text1"/>
          <w:lang w:val="es-ES_tradnl" w:eastAsia="es-ES"/>
        </w:rPr>
      </w:pPr>
      <w:r w:rsidRPr="002C0D19">
        <w:rPr>
          <w:rFonts w:ascii="Arial Narrow" w:hAnsi="Arial Narrow" w:cs="Arial"/>
          <w:iCs/>
          <w:color w:val="000000" w:themeColor="text1"/>
          <w:lang w:val="es-ES_tradnl" w:eastAsia="es-ES"/>
        </w:rPr>
        <w:lastRenderedPageBreak/>
        <w:t>Cualquier exceso del LOLE obliga al Miembro a constituir garantías extraordinarias GOLE, de acuerdo con la política de Administración del LOLE del artículo 1.6.5.9. de la presente Circular.</w:t>
      </w:r>
    </w:p>
    <w:p w14:paraId="6B127D5F" w14:textId="77777777" w:rsidR="007968EC" w:rsidRPr="002C0D19" w:rsidRDefault="007968EC" w:rsidP="007968EC">
      <w:pPr>
        <w:autoSpaceDE w:val="0"/>
        <w:autoSpaceDN w:val="0"/>
        <w:jc w:val="both"/>
        <w:rPr>
          <w:rFonts w:ascii="Arial Narrow" w:hAnsi="Arial Narrow" w:cs="Verdana"/>
          <w:color w:val="000000" w:themeColor="text1"/>
          <w:lang w:val="es-ES_tradnl" w:eastAsia="es-ES"/>
        </w:rPr>
      </w:pPr>
    </w:p>
    <w:p w14:paraId="3F60918F" w14:textId="77777777" w:rsidR="007968EC" w:rsidRDefault="007968EC" w:rsidP="007968EC">
      <w:pPr>
        <w:pStyle w:val="ARTICULO0"/>
        <w:rPr>
          <w:i/>
        </w:rPr>
      </w:pPr>
      <w:bookmarkStart w:id="2488" w:name="_Toc472592182"/>
      <w:bookmarkStart w:id="2489" w:name="_Toc472593201"/>
      <w:bookmarkStart w:id="2490" w:name="_Toc479056987"/>
      <w:bookmarkStart w:id="2491" w:name="_Toc31716000"/>
      <w:bookmarkStart w:id="2492" w:name="_Toc470775504"/>
      <w:bookmarkStart w:id="2493" w:name="_Toc470779789"/>
      <w:bookmarkStart w:id="2494" w:name="_Toc470780406"/>
      <w:bookmarkStart w:id="2495" w:name="_Toc470780919"/>
      <w:bookmarkStart w:id="2496" w:name="_Toc470784480"/>
      <w:bookmarkStart w:id="2497" w:name="_Toc470785017"/>
      <w:bookmarkStart w:id="2498" w:name="_Toc470791403"/>
      <w:bookmarkStart w:id="2499" w:name="_Toc490066308"/>
      <w:r w:rsidRPr="002C0D19">
        <w:t>Artículo 1.6.5.9. Política de Administración del LOLE.</w:t>
      </w:r>
      <w:bookmarkEnd w:id="2488"/>
      <w:bookmarkEnd w:id="2489"/>
      <w:bookmarkEnd w:id="2490"/>
      <w:bookmarkEnd w:id="2491"/>
      <w:r w:rsidRPr="002C0D19">
        <w:rPr>
          <w:i/>
        </w:rPr>
        <w:t xml:space="preserve"> </w:t>
      </w:r>
    </w:p>
    <w:p w14:paraId="76BCF216" w14:textId="77777777" w:rsidR="007968EC" w:rsidRPr="00D9028E" w:rsidRDefault="007968EC" w:rsidP="007968EC">
      <w:pPr>
        <w:jc w:val="both"/>
        <w:rPr>
          <w:rFonts w:ascii="Arial Narrow" w:hAnsi="Arial Narrow" w:cs="Arial"/>
          <w:color w:val="000000" w:themeColor="text1"/>
          <w:lang w:eastAsia="es-ES"/>
        </w:rPr>
      </w:pPr>
    </w:p>
    <w:p w14:paraId="49A03FB6" w14:textId="77777777" w:rsidR="007968EC" w:rsidRPr="002C0D19" w:rsidRDefault="007968EC" w:rsidP="007968EC">
      <w:pPr>
        <w:pStyle w:val="ANTECEDENTES"/>
      </w:pPr>
      <w:r w:rsidRPr="002C0D19">
        <w:t xml:space="preserve">(Este artículo fue adicionado mediante Circular 5 del 8 de marzo de 2010, publicada en el Boletín Normativo No. 005 del 8 de marzo de 2010 y mediante </w:t>
      </w:r>
      <w:r w:rsidRPr="002C0D19">
        <w:rPr>
          <w:lang w:val="es-ES_tradnl"/>
        </w:rPr>
        <w:t xml:space="preserve">Circular 13 del 26 de julio de 2011, publicada en el Boletín Normativo No. 016 del 26 de julio de 2011. Rige a partir del 28 de julio de 2011 y </w:t>
      </w:r>
      <w:r w:rsidRPr="002C0D19">
        <w:t xml:space="preserve">renumerado mediante </w:t>
      </w:r>
      <w:r w:rsidRPr="002C0D19">
        <w:rPr>
          <w:lang w:val="es-ES"/>
        </w:rPr>
        <w:t xml:space="preserve">Circular 19 del 28 de diciembre de 2016, publicada en el Boletín Normativo No. 024 del 28 de diciembre de 2016. </w:t>
      </w:r>
      <w:r w:rsidRPr="002C0D19">
        <w:t>Rige a partir del 29 de diciembre de 2016.</w:t>
      </w:r>
      <w:r w:rsidRPr="002C0D19">
        <w:rPr>
          <w:lang w:val="es-ES"/>
        </w:rPr>
        <w:t>)</w:t>
      </w:r>
      <w:bookmarkEnd w:id="2492"/>
      <w:bookmarkEnd w:id="2493"/>
      <w:bookmarkEnd w:id="2494"/>
      <w:bookmarkEnd w:id="2495"/>
      <w:bookmarkEnd w:id="2496"/>
      <w:bookmarkEnd w:id="2497"/>
      <w:bookmarkEnd w:id="2498"/>
      <w:bookmarkEnd w:id="2499"/>
    </w:p>
    <w:p w14:paraId="23B8FD90" w14:textId="77777777" w:rsidR="007968EC" w:rsidRPr="002C0D19" w:rsidRDefault="007968EC" w:rsidP="007968EC">
      <w:pPr>
        <w:jc w:val="both"/>
        <w:rPr>
          <w:rFonts w:ascii="Arial Narrow" w:hAnsi="Arial Narrow" w:cs="Arial"/>
          <w:color w:val="000000" w:themeColor="text1"/>
          <w:lang w:val="es-ES_tradnl" w:eastAsia="es-CO"/>
        </w:rPr>
      </w:pPr>
    </w:p>
    <w:p w14:paraId="0AE44BFE" w14:textId="77777777" w:rsidR="007968EC" w:rsidRPr="002C0D19" w:rsidRDefault="007968EC" w:rsidP="00DA7472">
      <w:pPr>
        <w:numPr>
          <w:ilvl w:val="0"/>
          <w:numId w:val="60"/>
        </w:numPr>
        <w:ind w:left="317" w:hanging="284"/>
        <w:contextualSpacing/>
        <w:jc w:val="both"/>
        <w:rPr>
          <w:rFonts w:ascii="Arial Narrow" w:hAnsi="Arial Narrow" w:cs="Arial"/>
          <w:color w:val="000000" w:themeColor="text1"/>
          <w:lang w:val="es-ES_tradnl" w:eastAsia="es-CO"/>
        </w:rPr>
      </w:pPr>
      <w:r w:rsidRPr="002C0D19">
        <w:rPr>
          <w:rFonts w:ascii="Arial Narrow" w:hAnsi="Arial Narrow" w:cs="Arial"/>
          <w:color w:val="000000" w:themeColor="text1"/>
          <w:lang w:val="es-ES_tradnl" w:eastAsia="es-CO"/>
        </w:rPr>
        <w:t>En caso de presentarse un exceso del LOLE se contactará al Miembro Liquidador por correo electrónico o vía telefónica, y éste deberá constituir Garantía de Obligación Latente de Entrega (GOLE) por el 100% de dicho exceso, en un periodo no mayor a 24 horas contadas a partir de la hora de envío del correo electrónico o de la hora de la comunicación telefónica, según el caso.</w:t>
      </w:r>
    </w:p>
    <w:p w14:paraId="7343F81B" w14:textId="77777777" w:rsidR="007968EC" w:rsidRPr="002C0D19" w:rsidRDefault="007968EC" w:rsidP="007968EC">
      <w:pPr>
        <w:jc w:val="both"/>
        <w:rPr>
          <w:rFonts w:ascii="Arial Narrow" w:hAnsi="Arial Narrow" w:cs="Arial"/>
          <w:color w:val="000000" w:themeColor="text1"/>
          <w:lang w:val="es-ES" w:eastAsia="es-CO"/>
        </w:rPr>
      </w:pPr>
    </w:p>
    <w:p w14:paraId="119223CA" w14:textId="77777777" w:rsidR="007968EC" w:rsidRPr="002C0D19" w:rsidRDefault="007968EC" w:rsidP="00DA7472">
      <w:pPr>
        <w:numPr>
          <w:ilvl w:val="0"/>
          <w:numId w:val="60"/>
        </w:numPr>
        <w:ind w:left="317" w:hanging="284"/>
        <w:contextualSpacing/>
        <w:jc w:val="both"/>
        <w:rPr>
          <w:rFonts w:ascii="Arial Narrow" w:hAnsi="Arial Narrow" w:cs="Arial"/>
          <w:color w:val="000000" w:themeColor="text1"/>
          <w:lang w:val="es-ES_tradnl" w:eastAsia="es-CO"/>
        </w:rPr>
      </w:pPr>
      <w:r w:rsidRPr="002C0D19">
        <w:rPr>
          <w:rFonts w:ascii="Arial Narrow" w:hAnsi="Arial Narrow" w:cs="Arial"/>
          <w:color w:val="000000" w:themeColor="text1"/>
          <w:lang w:val="es-ES_tradnl" w:eastAsia="es-CO"/>
        </w:rPr>
        <w:t xml:space="preserve">Las Garantías de Obligación Latente de Entrega (GOLE) se deberán constituir en el Activo Subyacente correspondiente. </w:t>
      </w:r>
    </w:p>
    <w:p w14:paraId="2E73B927" w14:textId="77777777" w:rsidR="007968EC" w:rsidRPr="002C0D19" w:rsidRDefault="007968EC" w:rsidP="007968EC">
      <w:pPr>
        <w:jc w:val="both"/>
        <w:rPr>
          <w:rFonts w:ascii="Arial Narrow" w:hAnsi="Arial Narrow" w:cs="Arial"/>
          <w:color w:val="000000" w:themeColor="text1"/>
          <w:lang w:val="es-ES_tradnl" w:eastAsia="es-CO"/>
        </w:rPr>
      </w:pPr>
    </w:p>
    <w:p w14:paraId="2892CC8F" w14:textId="77777777" w:rsidR="007968EC" w:rsidRPr="002C0D19" w:rsidRDefault="007968EC" w:rsidP="00DA7472">
      <w:pPr>
        <w:numPr>
          <w:ilvl w:val="0"/>
          <w:numId w:val="60"/>
        </w:numPr>
        <w:ind w:left="317" w:hanging="284"/>
        <w:contextualSpacing/>
        <w:jc w:val="both"/>
        <w:rPr>
          <w:rFonts w:ascii="Arial Narrow" w:hAnsi="Arial Narrow" w:cs="Arial"/>
          <w:color w:val="000000" w:themeColor="text1"/>
          <w:lang w:val="es-ES_tradnl" w:eastAsia="es-CO"/>
        </w:rPr>
      </w:pPr>
      <w:r w:rsidRPr="002C0D19">
        <w:rPr>
          <w:rFonts w:ascii="Arial Narrow" w:hAnsi="Arial Narrow" w:cs="Arial"/>
          <w:color w:val="000000" w:themeColor="text1"/>
          <w:lang w:val="es-ES_tradnl" w:eastAsia="es-CO"/>
        </w:rPr>
        <w:t>La Cámara enviará un correo electrónico al Miembro Liquidador informándole el valor de la Garantía de Obligación Latente de Entrega (GOLE) a constituir y la hora máxima para su constitución. En el evento en que el Miembro Liquidador no constituya la Garantía solicitada en el plazo indicado, la Cámara le podrá solicitar a la BVC o al Sistema de Negociación o Registro con el que haya celebrado un acuerdo, la suspensión de dicho Miembro y/o declararlo Incumplido.</w:t>
      </w:r>
    </w:p>
    <w:p w14:paraId="22BE570D" w14:textId="77777777" w:rsidR="007968EC" w:rsidRPr="002C0D19" w:rsidRDefault="007968EC" w:rsidP="007968EC">
      <w:pPr>
        <w:jc w:val="both"/>
        <w:rPr>
          <w:rFonts w:ascii="Arial Narrow" w:hAnsi="Arial Narrow" w:cs="Arial"/>
          <w:color w:val="000000" w:themeColor="text1"/>
          <w:lang w:val="es-ES_tradnl" w:eastAsia="es-ES"/>
        </w:rPr>
      </w:pPr>
    </w:p>
    <w:p w14:paraId="7B1E6409" w14:textId="77777777" w:rsidR="007968EC" w:rsidRDefault="007968EC" w:rsidP="00074A74">
      <w:pPr>
        <w:pStyle w:val="Ttulo0"/>
      </w:pPr>
      <w:bookmarkStart w:id="2500" w:name="_Toc470775505"/>
      <w:bookmarkStart w:id="2501" w:name="_Toc470779790"/>
      <w:bookmarkStart w:id="2502" w:name="_Toc470780407"/>
      <w:bookmarkStart w:id="2503" w:name="_Toc470780920"/>
      <w:bookmarkStart w:id="2504" w:name="_Toc470784481"/>
      <w:bookmarkStart w:id="2505" w:name="_Toc470785018"/>
      <w:bookmarkStart w:id="2506" w:name="_Toc470791404"/>
      <w:bookmarkStart w:id="2507" w:name="_Toc472592183"/>
      <w:bookmarkStart w:id="2508" w:name="_Toc472593202"/>
      <w:bookmarkStart w:id="2509" w:name="_Toc479056988"/>
      <w:bookmarkStart w:id="2510" w:name="_Toc490066309"/>
    </w:p>
    <w:p w14:paraId="57F0B710" w14:textId="77777777" w:rsidR="007968EC" w:rsidRPr="002C0D19" w:rsidRDefault="007968EC" w:rsidP="007968EC">
      <w:pPr>
        <w:pStyle w:val="TTULO"/>
        <w:rPr>
          <w:lang w:val="es-ES"/>
        </w:rPr>
      </w:pPr>
      <w:bookmarkStart w:id="2511" w:name="_Toc31716001"/>
      <w:r w:rsidRPr="002C0D19">
        <w:rPr>
          <w:lang w:val="es-ES"/>
        </w:rPr>
        <w:t>TÍTULO SÉPTIMO</w:t>
      </w:r>
      <w:bookmarkEnd w:id="2500"/>
      <w:bookmarkEnd w:id="2501"/>
      <w:bookmarkEnd w:id="2502"/>
      <w:bookmarkEnd w:id="2503"/>
      <w:bookmarkEnd w:id="2504"/>
      <w:bookmarkEnd w:id="2505"/>
      <w:bookmarkEnd w:id="2506"/>
      <w:bookmarkEnd w:id="2507"/>
      <w:bookmarkEnd w:id="2508"/>
      <w:bookmarkEnd w:id="2509"/>
      <w:bookmarkEnd w:id="2510"/>
      <w:bookmarkEnd w:id="2511"/>
    </w:p>
    <w:p w14:paraId="48ABBC26" w14:textId="77777777" w:rsidR="007968EC" w:rsidRPr="002C0D19" w:rsidRDefault="007968EC" w:rsidP="00074A74">
      <w:pPr>
        <w:pStyle w:val="Ttulo0"/>
      </w:pPr>
    </w:p>
    <w:p w14:paraId="7F5DE7C0" w14:textId="77777777" w:rsidR="007968EC" w:rsidRPr="002C0D19" w:rsidRDefault="007968EC" w:rsidP="007968EC">
      <w:pPr>
        <w:pStyle w:val="TTULO"/>
        <w:rPr>
          <w:lang w:val="es-ES"/>
        </w:rPr>
      </w:pPr>
      <w:bookmarkStart w:id="2512" w:name="_Toc470775506"/>
      <w:bookmarkStart w:id="2513" w:name="_Toc470779791"/>
      <w:bookmarkStart w:id="2514" w:name="_Toc470780408"/>
      <w:bookmarkStart w:id="2515" w:name="_Toc470780921"/>
      <w:bookmarkStart w:id="2516" w:name="_Toc470784482"/>
      <w:bookmarkStart w:id="2517" w:name="_Toc470785019"/>
      <w:bookmarkStart w:id="2518" w:name="_Toc470791405"/>
      <w:bookmarkStart w:id="2519" w:name="_Toc472592184"/>
      <w:bookmarkStart w:id="2520" w:name="_Toc472593203"/>
      <w:bookmarkStart w:id="2521" w:name="_Toc479056989"/>
      <w:bookmarkStart w:id="2522" w:name="_Toc490066310"/>
      <w:bookmarkStart w:id="2523" w:name="_Toc31716002"/>
      <w:r w:rsidRPr="002C0D19">
        <w:rPr>
          <w:lang w:val="es-ES"/>
        </w:rPr>
        <w:t>RETARDOS, INCUMPLIMIENTOS, SUSPENSIÓN</w:t>
      </w:r>
      <w:bookmarkStart w:id="2524" w:name="_Toc470775507"/>
      <w:bookmarkStart w:id="2525" w:name="_Toc470779792"/>
      <w:bookmarkStart w:id="2526" w:name="_Toc470780409"/>
      <w:bookmarkStart w:id="2527" w:name="_Toc470780922"/>
      <w:bookmarkStart w:id="2528" w:name="_Toc470784483"/>
      <w:bookmarkStart w:id="2529" w:name="_Toc470785020"/>
      <w:bookmarkStart w:id="2530" w:name="_Toc470791406"/>
      <w:bookmarkStart w:id="2531" w:name="_Toc472592185"/>
      <w:bookmarkStart w:id="2532" w:name="_Toc472593204"/>
      <w:bookmarkStart w:id="2533" w:name="_Toc479056990"/>
      <w:bookmarkStart w:id="2534" w:name="_Toc490066311"/>
      <w:bookmarkEnd w:id="2512"/>
      <w:bookmarkEnd w:id="2513"/>
      <w:bookmarkEnd w:id="2514"/>
      <w:bookmarkEnd w:id="2515"/>
      <w:bookmarkEnd w:id="2516"/>
      <w:bookmarkEnd w:id="2517"/>
      <w:bookmarkEnd w:id="2518"/>
      <w:bookmarkEnd w:id="2519"/>
      <w:bookmarkEnd w:id="2520"/>
      <w:bookmarkEnd w:id="2521"/>
      <w:bookmarkEnd w:id="2522"/>
      <w:r>
        <w:rPr>
          <w:lang w:val="es-ES"/>
        </w:rPr>
        <w:t xml:space="preserve"> </w:t>
      </w:r>
      <w:r w:rsidRPr="002C0D19">
        <w:rPr>
          <w:lang w:val="es-ES"/>
        </w:rPr>
        <w:t>Y EXCLUSIÓN, MEDIDAS PREVENTIVAS</w:t>
      </w:r>
      <w:bookmarkEnd w:id="2523"/>
      <w:bookmarkEnd w:id="2524"/>
      <w:bookmarkEnd w:id="2525"/>
      <w:bookmarkEnd w:id="2526"/>
      <w:bookmarkEnd w:id="2527"/>
      <w:bookmarkEnd w:id="2528"/>
      <w:bookmarkEnd w:id="2529"/>
      <w:bookmarkEnd w:id="2530"/>
      <w:bookmarkEnd w:id="2531"/>
      <w:bookmarkEnd w:id="2532"/>
      <w:bookmarkEnd w:id="2533"/>
      <w:bookmarkEnd w:id="2534"/>
    </w:p>
    <w:p w14:paraId="5090AACF" w14:textId="77777777" w:rsidR="007968EC" w:rsidRPr="002C0D19" w:rsidRDefault="007968EC" w:rsidP="00074A74">
      <w:pPr>
        <w:pStyle w:val="Ttulo0"/>
      </w:pPr>
    </w:p>
    <w:p w14:paraId="58F59CFE" w14:textId="77777777" w:rsidR="007968EC" w:rsidRPr="002C0D19" w:rsidRDefault="007968EC" w:rsidP="007968EC">
      <w:pPr>
        <w:pStyle w:val="TTULO"/>
        <w:rPr>
          <w:lang w:val="es-ES"/>
        </w:rPr>
      </w:pPr>
      <w:bookmarkStart w:id="2535" w:name="_Toc470775508"/>
      <w:bookmarkStart w:id="2536" w:name="_Toc470779793"/>
      <w:bookmarkStart w:id="2537" w:name="_Toc470780410"/>
      <w:bookmarkStart w:id="2538" w:name="_Toc470780923"/>
      <w:bookmarkStart w:id="2539" w:name="_Toc470784484"/>
      <w:bookmarkStart w:id="2540" w:name="_Toc470785021"/>
      <w:bookmarkStart w:id="2541" w:name="_Toc470791407"/>
      <w:bookmarkStart w:id="2542" w:name="_Toc472592186"/>
      <w:bookmarkStart w:id="2543" w:name="_Toc472593205"/>
      <w:bookmarkStart w:id="2544" w:name="_Toc479056991"/>
      <w:bookmarkStart w:id="2545" w:name="_Toc490066312"/>
      <w:bookmarkStart w:id="2546" w:name="_Toc31716003"/>
      <w:r w:rsidRPr="002C0D19">
        <w:rPr>
          <w:lang w:val="es-ES"/>
        </w:rPr>
        <w:t>CAPÍTULO PRIMERO</w:t>
      </w:r>
      <w:bookmarkEnd w:id="2535"/>
      <w:bookmarkEnd w:id="2536"/>
      <w:bookmarkEnd w:id="2537"/>
      <w:bookmarkEnd w:id="2538"/>
      <w:bookmarkEnd w:id="2539"/>
      <w:bookmarkEnd w:id="2540"/>
      <w:bookmarkEnd w:id="2541"/>
      <w:bookmarkEnd w:id="2542"/>
      <w:bookmarkEnd w:id="2543"/>
      <w:bookmarkEnd w:id="2544"/>
      <w:bookmarkEnd w:id="2545"/>
      <w:bookmarkEnd w:id="2546"/>
    </w:p>
    <w:p w14:paraId="61949549" w14:textId="77777777" w:rsidR="007968EC" w:rsidRPr="002C0D19" w:rsidRDefault="007968EC" w:rsidP="00074A74">
      <w:pPr>
        <w:pStyle w:val="Ttulo0"/>
      </w:pPr>
    </w:p>
    <w:p w14:paraId="1C3009A2" w14:textId="77777777" w:rsidR="007968EC" w:rsidRPr="002C0D19" w:rsidRDefault="007968EC" w:rsidP="007968EC">
      <w:pPr>
        <w:pStyle w:val="TTULO"/>
        <w:rPr>
          <w:lang w:val="es-ES"/>
        </w:rPr>
      </w:pPr>
      <w:bookmarkStart w:id="2547" w:name="_Toc470775509"/>
      <w:bookmarkStart w:id="2548" w:name="_Toc470779794"/>
      <w:bookmarkStart w:id="2549" w:name="_Toc470780411"/>
      <w:bookmarkStart w:id="2550" w:name="_Toc470780924"/>
      <w:bookmarkStart w:id="2551" w:name="_Toc470784485"/>
      <w:bookmarkStart w:id="2552" w:name="_Toc470785022"/>
      <w:bookmarkStart w:id="2553" w:name="_Toc470791408"/>
      <w:bookmarkStart w:id="2554" w:name="_Toc472592187"/>
      <w:bookmarkStart w:id="2555" w:name="_Toc472593206"/>
      <w:bookmarkStart w:id="2556" w:name="_Toc479056992"/>
      <w:bookmarkStart w:id="2557" w:name="_Toc490066313"/>
      <w:bookmarkStart w:id="2558" w:name="_Toc31716004"/>
      <w:r w:rsidRPr="002C0D19">
        <w:rPr>
          <w:lang w:val="es-ES"/>
        </w:rPr>
        <w:t>RETARDOS</w:t>
      </w:r>
      <w:bookmarkEnd w:id="2547"/>
      <w:bookmarkEnd w:id="2548"/>
      <w:bookmarkEnd w:id="2549"/>
      <w:bookmarkEnd w:id="2550"/>
      <w:bookmarkEnd w:id="2551"/>
      <w:bookmarkEnd w:id="2552"/>
      <w:bookmarkEnd w:id="2553"/>
      <w:bookmarkEnd w:id="2554"/>
      <w:bookmarkEnd w:id="2555"/>
      <w:bookmarkEnd w:id="2556"/>
      <w:bookmarkEnd w:id="2557"/>
      <w:bookmarkEnd w:id="2558"/>
    </w:p>
    <w:p w14:paraId="79EE45D8" w14:textId="77777777" w:rsidR="007968EC" w:rsidRPr="002C0D19" w:rsidRDefault="007968EC" w:rsidP="00074A74">
      <w:pPr>
        <w:pStyle w:val="Ttulo0"/>
      </w:pPr>
    </w:p>
    <w:p w14:paraId="44FA5FF0" w14:textId="77777777" w:rsidR="007968EC" w:rsidRDefault="007968EC" w:rsidP="007968EC">
      <w:pPr>
        <w:pStyle w:val="ARTICULO0"/>
      </w:pPr>
      <w:bookmarkStart w:id="2559" w:name="_Toc472592188"/>
      <w:bookmarkStart w:id="2560" w:name="_Toc472593207"/>
      <w:bookmarkStart w:id="2561" w:name="_Toc479056993"/>
      <w:bookmarkStart w:id="2562" w:name="_Toc31716005"/>
      <w:bookmarkStart w:id="2563" w:name="_Toc470775510"/>
      <w:bookmarkStart w:id="2564" w:name="_Toc470779795"/>
      <w:bookmarkStart w:id="2565" w:name="_Toc470780412"/>
      <w:bookmarkStart w:id="2566" w:name="_Toc470780925"/>
      <w:bookmarkStart w:id="2567" w:name="_Toc470784486"/>
      <w:bookmarkStart w:id="2568" w:name="_Toc470785023"/>
      <w:bookmarkStart w:id="2569" w:name="_Toc470791409"/>
      <w:bookmarkStart w:id="2570" w:name="_Toc490066314"/>
      <w:r w:rsidRPr="002C0D19">
        <w:t>Artículo 1.7.1.1. Eventos de Retardo.</w:t>
      </w:r>
      <w:bookmarkEnd w:id="2559"/>
      <w:bookmarkEnd w:id="2560"/>
      <w:bookmarkEnd w:id="2561"/>
      <w:bookmarkEnd w:id="2562"/>
      <w:r w:rsidRPr="002C0D19">
        <w:t xml:space="preserve"> </w:t>
      </w:r>
    </w:p>
    <w:p w14:paraId="543F4663" w14:textId="77777777" w:rsidR="007968EC" w:rsidRPr="00D9028E" w:rsidRDefault="007968EC" w:rsidP="007968EC">
      <w:pPr>
        <w:jc w:val="both"/>
        <w:rPr>
          <w:rFonts w:ascii="Arial Narrow" w:hAnsi="Arial Narrow" w:cs="Arial"/>
          <w:color w:val="000000" w:themeColor="text1"/>
          <w:lang w:eastAsia="es-ES"/>
        </w:rPr>
      </w:pPr>
    </w:p>
    <w:p w14:paraId="1A7C39C1" w14:textId="77777777" w:rsidR="007968EC" w:rsidRPr="002C0D19" w:rsidRDefault="007968EC" w:rsidP="007968EC">
      <w:pPr>
        <w:pStyle w:val="ANTECEDENTES"/>
      </w:pPr>
      <w:r w:rsidRPr="002C0D19">
        <w:t xml:space="preserve">(Este artículo fue modificado mediante Circular 2 del 27 de enero de 2011, publicada en el Boletín Normativo No. 002 del 27 de enero de 2011, mediante </w:t>
      </w:r>
      <w:r w:rsidRPr="002C0D19">
        <w:rPr>
          <w:lang w:val="es-ES_tradnl"/>
        </w:rPr>
        <w:t xml:space="preserve">Circular 13 del 26 de julio de 2011, publicada en el Boletín Normativo No. 016 del 26 de julio de 2011, mediante Circular 25 del 3 de septiembre de 2013, publicada en el Boletín Normativo No. 029 del 3 de septiembre de 2013, </w:t>
      </w:r>
      <w:r w:rsidRPr="002C0D19">
        <w:t>mediante Circular 22 del 14 de noviembre de 2014, publicada en el Boletín Normativo No. 025 del 14 de noviembre de 2014,</w:t>
      </w:r>
      <w:r w:rsidRPr="002C0D19">
        <w:rPr>
          <w:rFonts w:eastAsia="Calibri" w:cs="Times New Roman"/>
          <w:bCs/>
        </w:rPr>
        <w:t xml:space="preserve"> mediante Circular 24 del 6 de agosto de 2015, publicada en el Boletín Normativo No. 026 del 6 de </w:t>
      </w:r>
      <w:r w:rsidRPr="002C0D19">
        <w:rPr>
          <w:rFonts w:eastAsia="Calibri" w:cs="Times New Roman"/>
          <w:bCs/>
        </w:rPr>
        <w:lastRenderedPageBreak/>
        <w:t xml:space="preserve">agosto de 2015, </w:t>
      </w:r>
      <w:r w:rsidRPr="002C0D19">
        <w:t>mediante Circular 19 del 28 de diciembre de 2016, publicada en el Boletín Normativo No. 024 del 28 de diciembre de 2016</w:t>
      </w:r>
      <w:bookmarkEnd w:id="2563"/>
      <w:bookmarkEnd w:id="2564"/>
      <w:bookmarkEnd w:id="2565"/>
      <w:bookmarkEnd w:id="2566"/>
      <w:bookmarkEnd w:id="2567"/>
      <w:bookmarkEnd w:id="2568"/>
      <w:bookmarkEnd w:id="2569"/>
      <w:r w:rsidRPr="002C0D19">
        <w:t>, mediante Circular 2 del 11 de enero de 2017, publicada en el Boletín Normativo N</w:t>
      </w:r>
      <w:r>
        <w:t>o. 002 del 11 de enero de 2017,</w:t>
      </w:r>
      <w:r w:rsidRPr="002C0D19">
        <w:t xml:space="preserve"> mediante Circular 14 del 8 de agosto de 2017, publicada en el Boletín Normativo No. 015 del 8 de agosto de 2017</w:t>
      </w:r>
      <w:r>
        <w:t xml:space="preserve"> y mediante Circular 7 del 9 de mayo de 2018, publicada en el Boletín Normativo No. 010 del 9 de mayo de 2018</w:t>
      </w:r>
      <w:r w:rsidRPr="002C0D19">
        <w:t>. Rige a partir d</w:t>
      </w:r>
      <w:r>
        <w:t>el 21</w:t>
      </w:r>
      <w:r w:rsidRPr="002C0D19">
        <w:t xml:space="preserve"> de </w:t>
      </w:r>
      <w:r>
        <w:t>mayo de 2018</w:t>
      </w:r>
      <w:r w:rsidRPr="002C0D19">
        <w:t>.)</w:t>
      </w:r>
      <w:bookmarkEnd w:id="2570"/>
    </w:p>
    <w:p w14:paraId="2AC06945" w14:textId="77777777" w:rsidR="007968EC" w:rsidRPr="00217BDE" w:rsidRDefault="007968EC" w:rsidP="007968EC">
      <w:pPr>
        <w:jc w:val="both"/>
        <w:rPr>
          <w:rFonts w:ascii="Arial Narrow" w:hAnsi="Arial Narrow" w:cs="Arial"/>
          <w:color w:val="000000" w:themeColor="text1"/>
          <w:lang w:eastAsia="es-ES"/>
        </w:rPr>
      </w:pPr>
      <w:bookmarkStart w:id="2571" w:name="_Toc472592189"/>
      <w:bookmarkStart w:id="2572" w:name="_Toc472593208"/>
      <w:bookmarkStart w:id="2573" w:name="_Toc479056994"/>
      <w:bookmarkStart w:id="2574" w:name="_Toc470775512"/>
      <w:bookmarkStart w:id="2575" w:name="_Toc470779797"/>
      <w:bookmarkStart w:id="2576" w:name="_Toc470780414"/>
      <w:bookmarkStart w:id="2577" w:name="_Toc470780927"/>
      <w:bookmarkStart w:id="2578" w:name="_Toc470784488"/>
      <w:bookmarkStart w:id="2579" w:name="_Toc470785025"/>
      <w:bookmarkStart w:id="2580" w:name="_Toc470791411"/>
    </w:p>
    <w:p w14:paraId="329352D6" w14:textId="77777777" w:rsidR="007968EC" w:rsidRPr="00777DBF" w:rsidRDefault="007968EC" w:rsidP="007968EC">
      <w:pPr>
        <w:autoSpaceDE w:val="0"/>
        <w:autoSpaceDN w:val="0"/>
        <w:adjustRightInd w:val="0"/>
        <w:contextualSpacing/>
        <w:jc w:val="both"/>
        <w:rPr>
          <w:rFonts w:ascii="Arial Narrow" w:eastAsia="Calibri" w:hAnsi="Arial Narrow" w:cs="Arial"/>
          <w:lang w:val="es-ES" w:eastAsia="es-ES"/>
        </w:rPr>
      </w:pPr>
      <w:r w:rsidRPr="00777DBF">
        <w:rPr>
          <w:rFonts w:ascii="Arial Narrow" w:eastAsia="Calibri" w:hAnsi="Arial Narrow" w:cs="Arial"/>
          <w:lang w:val="es-ES" w:eastAsia="es-ES"/>
        </w:rPr>
        <w:t>Se consideran eventos de retardo los siguientes:</w:t>
      </w:r>
    </w:p>
    <w:p w14:paraId="58DD9C41" w14:textId="77777777" w:rsidR="007968EC" w:rsidRPr="00777DBF" w:rsidRDefault="007968EC" w:rsidP="007968EC">
      <w:pPr>
        <w:autoSpaceDE w:val="0"/>
        <w:autoSpaceDN w:val="0"/>
        <w:adjustRightInd w:val="0"/>
        <w:contextualSpacing/>
        <w:jc w:val="both"/>
        <w:rPr>
          <w:rFonts w:ascii="Arial Narrow" w:eastAsia="Calibri" w:hAnsi="Arial Narrow" w:cs="Arial"/>
          <w:lang w:val="es-ES" w:eastAsia="es-ES"/>
        </w:rPr>
      </w:pPr>
    </w:p>
    <w:p w14:paraId="48C05283" w14:textId="77777777" w:rsidR="007968EC" w:rsidRPr="00777DBF" w:rsidRDefault="007968EC" w:rsidP="00DA7472">
      <w:pPr>
        <w:numPr>
          <w:ilvl w:val="0"/>
          <w:numId w:val="107"/>
        </w:numPr>
        <w:autoSpaceDE w:val="0"/>
        <w:autoSpaceDN w:val="0"/>
        <w:adjustRightInd w:val="0"/>
        <w:ind w:left="381" w:hanging="284"/>
        <w:contextualSpacing/>
        <w:jc w:val="both"/>
        <w:rPr>
          <w:rFonts w:ascii="Arial Narrow" w:eastAsia="Calibri" w:hAnsi="Arial Narrow" w:cs="Arial"/>
          <w:lang w:val="es-ES" w:eastAsia="es-ES"/>
        </w:rPr>
      </w:pPr>
      <w:r w:rsidRPr="00777DBF">
        <w:rPr>
          <w:rFonts w:ascii="Arial Narrow" w:eastAsia="Calibri" w:hAnsi="Arial Narrow" w:cs="Arial"/>
          <w:lang w:val="es-ES" w:eastAsia="es-ES"/>
        </w:rPr>
        <w:t xml:space="preserve">El no pago de la Liquidación Diaria o al Vencimiento y cualquier concepto que ésta incorpore en el Horario establecido en la Sesión de Liquidación Diaria o al Vencimiento, siempre y cuando se verifique el pago antes de la finalización de la Sesión de Liquidación Diaria o al Vencimiento </w:t>
      </w:r>
      <w:r w:rsidRPr="00777DBF">
        <w:rPr>
          <w:rFonts w:ascii="Arial Narrow" w:hAnsi="Arial Narrow" w:cs="Arial"/>
          <w:lang w:val="es-ES" w:eastAsia="es-ES"/>
        </w:rPr>
        <w:t>ampliada en virtud del retardo</w:t>
      </w:r>
      <w:r w:rsidRPr="00777DBF">
        <w:rPr>
          <w:rFonts w:ascii="Arial Narrow" w:eastAsia="Calibri" w:hAnsi="Arial Narrow" w:cs="Arial"/>
          <w:lang w:val="es-ES" w:eastAsia="es-ES"/>
        </w:rPr>
        <w:t>.</w:t>
      </w:r>
    </w:p>
    <w:p w14:paraId="152A50D2" w14:textId="77777777" w:rsidR="007968EC" w:rsidRPr="00777DBF" w:rsidRDefault="007968EC" w:rsidP="007968EC">
      <w:pPr>
        <w:autoSpaceDE w:val="0"/>
        <w:autoSpaceDN w:val="0"/>
        <w:adjustRightInd w:val="0"/>
        <w:ind w:left="381" w:hanging="284"/>
        <w:contextualSpacing/>
        <w:jc w:val="both"/>
        <w:rPr>
          <w:rFonts w:ascii="Arial Narrow" w:eastAsia="Calibri" w:hAnsi="Arial Narrow" w:cs="Arial"/>
          <w:lang w:val="es-ES" w:eastAsia="es-ES"/>
        </w:rPr>
      </w:pPr>
    </w:p>
    <w:p w14:paraId="136B4AFA" w14:textId="77777777" w:rsidR="007968EC" w:rsidRPr="00777DBF" w:rsidRDefault="007968EC" w:rsidP="00DA7472">
      <w:pPr>
        <w:numPr>
          <w:ilvl w:val="0"/>
          <w:numId w:val="107"/>
        </w:numPr>
        <w:autoSpaceDE w:val="0"/>
        <w:autoSpaceDN w:val="0"/>
        <w:adjustRightInd w:val="0"/>
        <w:ind w:left="381" w:hanging="284"/>
        <w:contextualSpacing/>
        <w:jc w:val="both"/>
        <w:rPr>
          <w:rFonts w:ascii="Arial Narrow" w:eastAsia="Calibri" w:hAnsi="Arial Narrow" w:cs="Arial"/>
          <w:lang w:val="es-ES" w:eastAsia="es-ES"/>
        </w:rPr>
      </w:pPr>
      <w:r w:rsidRPr="00777DBF">
        <w:rPr>
          <w:rFonts w:ascii="Arial Narrow" w:eastAsia="Calibri" w:hAnsi="Arial Narrow" w:cs="Arial"/>
          <w:lang w:val="es-ES" w:eastAsia="es-ES"/>
        </w:rPr>
        <w:t xml:space="preserve">El no pago del efectivo o entrega del Activo en el Horario establecido para el proceso de Liquidación al </w:t>
      </w:r>
      <w:r w:rsidRPr="00777DBF">
        <w:rPr>
          <w:rFonts w:ascii="Arial Narrow" w:eastAsia="Calibri" w:hAnsi="Arial Narrow"/>
          <w:lang w:val="es-ES" w:eastAsia="es-ES"/>
        </w:rPr>
        <w:t>Vencimiento</w:t>
      </w:r>
      <w:r w:rsidRPr="00777DBF">
        <w:rPr>
          <w:rFonts w:ascii="Arial Narrow" w:eastAsia="Calibri" w:hAnsi="Arial Narrow" w:cs="Arial"/>
          <w:lang w:val="es-ES" w:eastAsia="es-ES"/>
        </w:rPr>
        <w:t>, siempre y cuando se verifique el pago total de la obligación antes de la finalización de esta sesión</w:t>
      </w:r>
      <w:r w:rsidRPr="00777DBF">
        <w:rPr>
          <w:rFonts w:ascii="Arial Narrow" w:hAnsi="Arial Narrow" w:cs="Arial"/>
          <w:lang w:val="es-ES" w:eastAsia="es-ES"/>
        </w:rPr>
        <w:t xml:space="preserve"> ampliada en virtud del retardo</w:t>
      </w:r>
      <w:r w:rsidRPr="00777DBF">
        <w:rPr>
          <w:rFonts w:ascii="Arial Narrow" w:eastAsia="Calibri" w:hAnsi="Arial Narrow" w:cs="Arial"/>
          <w:lang w:val="es-ES" w:eastAsia="es-ES"/>
        </w:rPr>
        <w:t>.</w:t>
      </w:r>
    </w:p>
    <w:p w14:paraId="162825A0" w14:textId="77777777" w:rsidR="007968EC" w:rsidRPr="00777DBF" w:rsidRDefault="007968EC" w:rsidP="007968EC">
      <w:pPr>
        <w:ind w:left="381" w:hanging="284"/>
        <w:contextualSpacing/>
        <w:rPr>
          <w:rFonts w:ascii="Arial Narrow" w:eastAsia="Calibri" w:hAnsi="Arial Narrow" w:cs="Arial"/>
          <w:lang w:val="es-ES" w:eastAsia="es-ES"/>
        </w:rPr>
      </w:pPr>
    </w:p>
    <w:p w14:paraId="1D382592" w14:textId="77777777" w:rsidR="007968EC" w:rsidRPr="00777DBF" w:rsidRDefault="007968EC" w:rsidP="00DA7472">
      <w:pPr>
        <w:numPr>
          <w:ilvl w:val="0"/>
          <w:numId w:val="107"/>
        </w:numPr>
        <w:autoSpaceDE w:val="0"/>
        <w:autoSpaceDN w:val="0"/>
        <w:adjustRightInd w:val="0"/>
        <w:ind w:left="381" w:hanging="284"/>
        <w:contextualSpacing/>
        <w:jc w:val="both"/>
        <w:rPr>
          <w:rFonts w:ascii="Arial Narrow" w:eastAsia="Calibri" w:hAnsi="Arial Narrow" w:cs="Arial"/>
          <w:lang w:val="es-ES" w:eastAsia="es-ES"/>
        </w:rPr>
      </w:pPr>
      <w:r w:rsidRPr="00777DBF">
        <w:rPr>
          <w:rFonts w:ascii="Arial Narrow" w:eastAsia="Calibri" w:hAnsi="Arial Narrow" w:cs="Arial"/>
          <w:lang w:val="es-ES" w:eastAsia="es-ES"/>
        </w:rPr>
        <w:t>La no constitución, ajuste, modificación, ampliación o sustitución de las Garantías exigidas por la Cámara en el Horario, tiempo y forma, establecidos para cada tipo de Garantía, siempre y cuando las constituya antes de que finalice el plazo u Horario establecido en la presente Circular para cada tipo de Garantía. En especial, se consideran eventos de retardo los siguientes:</w:t>
      </w:r>
    </w:p>
    <w:p w14:paraId="0E061F98" w14:textId="77777777" w:rsidR="007968EC" w:rsidRPr="00777DBF" w:rsidRDefault="007968EC" w:rsidP="007968EC">
      <w:pPr>
        <w:jc w:val="both"/>
        <w:rPr>
          <w:rFonts w:ascii="Arial Narrow" w:eastAsia="Calibri" w:hAnsi="Arial Narrow" w:cs="Arial"/>
          <w:lang w:val="es-ES" w:eastAsia="es-ES"/>
        </w:rPr>
      </w:pPr>
    </w:p>
    <w:p w14:paraId="1BF6BD9F" w14:textId="77777777" w:rsidR="007968EC" w:rsidRPr="00777DBF" w:rsidRDefault="007968EC" w:rsidP="00DA7472">
      <w:pPr>
        <w:numPr>
          <w:ilvl w:val="0"/>
          <w:numId w:val="157"/>
        </w:numPr>
        <w:jc w:val="both"/>
        <w:rPr>
          <w:rFonts w:ascii="Arial Narrow" w:eastAsia="Calibri" w:hAnsi="Arial Narrow" w:cs="Arial"/>
          <w:lang w:val="es-ES" w:eastAsia="es-ES"/>
        </w:rPr>
      </w:pPr>
      <w:r w:rsidRPr="00777DBF">
        <w:rPr>
          <w:rFonts w:ascii="Arial Narrow" w:eastAsia="Calibri" w:hAnsi="Arial Narrow" w:cs="Arial"/>
          <w:lang w:val="es-ES" w:eastAsia="es-ES"/>
        </w:rPr>
        <w:t xml:space="preserve">La no constitución de las Garantías por Posición o Garantías Individuales exigidas cuando un Miembro Liquidador exceda el consumo del LRI en un 90%, en el plazo establecido en el artículo 1.6.5.3. de la presente Circular, siempre y cuando su constitución se verifique antes de las 2:00 p.m. del día siguiente en la Sesión de Liquidación Diaria. </w:t>
      </w:r>
    </w:p>
    <w:p w14:paraId="63D54777" w14:textId="77777777" w:rsidR="007968EC" w:rsidRPr="00777DBF" w:rsidRDefault="007968EC" w:rsidP="007968EC">
      <w:pPr>
        <w:ind w:left="664" w:hanging="283"/>
        <w:jc w:val="both"/>
        <w:rPr>
          <w:rFonts w:ascii="Arial Narrow" w:hAnsi="Arial Narrow" w:cs="Arial"/>
          <w:lang w:val="es-ES" w:eastAsia="es-ES"/>
        </w:rPr>
      </w:pPr>
    </w:p>
    <w:p w14:paraId="08237DBF" w14:textId="77777777" w:rsidR="007968EC" w:rsidRPr="00777DBF" w:rsidRDefault="007968EC" w:rsidP="00DA7472">
      <w:pPr>
        <w:numPr>
          <w:ilvl w:val="0"/>
          <w:numId w:val="157"/>
        </w:numPr>
        <w:jc w:val="both"/>
        <w:rPr>
          <w:rFonts w:ascii="Arial Narrow" w:hAnsi="Arial Narrow" w:cs="Arial"/>
          <w:lang w:val="es-ES" w:eastAsia="es-ES"/>
        </w:rPr>
      </w:pPr>
      <w:r w:rsidRPr="00777DBF">
        <w:rPr>
          <w:rFonts w:ascii="Arial Narrow" w:eastAsia="Calibri" w:hAnsi="Arial Narrow" w:cs="Arial"/>
          <w:lang w:val="es-ES" w:eastAsia="es-ES"/>
        </w:rPr>
        <w:t>La no constitución de las Garantías Extraordinarias en los procedimientos de Margin Call y/o por exceso en el LOLE, en los plazos establecidos en los artículos 1.6.2.7. y 1.6.5.9. de la Circular, respectivamente, siempre y cuando su constitución se verifique a más tardar al cierre de la Sesión de Gestión de Garantías.</w:t>
      </w:r>
      <w:bookmarkStart w:id="2581" w:name="_Toc470775511"/>
      <w:bookmarkStart w:id="2582" w:name="_Toc470779796"/>
      <w:bookmarkStart w:id="2583" w:name="_Toc470780413"/>
      <w:bookmarkStart w:id="2584" w:name="_Toc470780926"/>
      <w:bookmarkStart w:id="2585" w:name="_Toc470784487"/>
      <w:bookmarkStart w:id="2586" w:name="_Toc470785024"/>
      <w:bookmarkStart w:id="2587" w:name="_Toc470791410"/>
      <w:bookmarkStart w:id="2588" w:name="_Toc471831620"/>
    </w:p>
    <w:p w14:paraId="549BAFDF" w14:textId="77777777" w:rsidR="007968EC" w:rsidRPr="00777DBF" w:rsidRDefault="007968EC" w:rsidP="007968EC">
      <w:pPr>
        <w:ind w:left="708"/>
        <w:rPr>
          <w:rFonts w:ascii="Arial Narrow" w:hAnsi="Arial Narrow" w:cs="Arial"/>
          <w:lang w:eastAsia="es-CO"/>
        </w:rPr>
      </w:pPr>
    </w:p>
    <w:p w14:paraId="73B6F3A5" w14:textId="77777777" w:rsidR="007968EC" w:rsidRPr="00777DBF" w:rsidRDefault="007968EC" w:rsidP="00DA7472">
      <w:pPr>
        <w:numPr>
          <w:ilvl w:val="0"/>
          <w:numId w:val="157"/>
        </w:numPr>
        <w:jc w:val="both"/>
        <w:rPr>
          <w:rFonts w:ascii="Arial Narrow" w:hAnsi="Arial Narrow" w:cs="Arial"/>
          <w:lang w:val="es-ES" w:eastAsia="es-ES"/>
        </w:rPr>
      </w:pPr>
      <w:r w:rsidRPr="00777DBF">
        <w:rPr>
          <w:rFonts w:ascii="Arial Narrow" w:hAnsi="Arial Narrow" w:cs="Arial"/>
          <w:lang w:eastAsia="es-CO"/>
        </w:rPr>
        <w:t xml:space="preserve">La no constitución de las Garantías Extraordinarias exigidas cuando un Miembro Liquidador supere el LMC con base en el cálculo efectuado antes del cierre de la Cámara en el momento en que se reciban los precios de cierre de conformidad con lo previsto en el artículo 1.6.5.4. de la presente Circular, </w:t>
      </w:r>
      <w:r w:rsidRPr="00777DBF">
        <w:rPr>
          <w:rFonts w:ascii="Arial Narrow" w:hAnsi="Arial Narrow" w:cs="Arial"/>
          <w:lang w:val="es-ES" w:eastAsia="es-ES"/>
        </w:rPr>
        <w:t>en el Horario establecido en la Sesión de Liquidación Diaria, siempre y cuando dicha constitución se verifique antes de la finalización de esta Sesión ampliada en virtud del retardo.</w:t>
      </w:r>
    </w:p>
    <w:p w14:paraId="4CAE07E3" w14:textId="77777777" w:rsidR="007968EC" w:rsidRPr="00777DBF" w:rsidRDefault="007968EC" w:rsidP="007968EC">
      <w:pPr>
        <w:contextualSpacing/>
        <w:rPr>
          <w:rFonts w:ascii="Arial Narrow" w:eastAsia="Calibri" w:hAnsi="Arial Narrow" w:cs="Arial"/>
          <w:lang w:val="es-ES" w:eastAsia="es-ES"/>
        </w:rPr>
      </w:pPr>
    </w:p>
    <w:p w14:paraId="4B716E8C" w14:textId="77777777" w:rsidR="007968EC" w:rsidRPr="00217BDE" w:rsidRDefault="007968EC" w:rsidP="007968EC">
      <w:pPr>
        <w:jc w:val="both"/>
        <w:rPr>
          <w:rFonts w:ascii="Arial Narrow" w:hAnsi="Arial Narrow" w:cs="Arial"/>
          <w:color w:val="000000" w:themeColor="text1"/>
          <w:lang w:eastAsia="es-ES"/>
        </w:rPr>
      </w:pPr>
      <w:bookmarkStart w:id="2589" w:name="_Toc490066315"/>
      <w:bookmarkStart w:id="2590" w:name="_Toc490079090"/>
      <w:r w:rsidRPr="00777DBF">
        <w:rPr>
          <w:rFonts w:ascii="Arial Narrow" w:hAnsi="Arial Narrow" w:cs="Arial"/>
          <w:color w:val="000000" w:themeColor="text1"/>
          <w:lang w:val="es-ES" w:eastAsia="es-ES"/>
        </w:rPr>
        <w:t>En caso de presentarse un retardo en cualquiera de los eventos señalados en el presente artículo, el Miembro y el Agente estarán obligados al pago de consecuencias pecuniarias de conformidad con lo dispuesto en el artículo 2.8.10. del Reglamento de Funcionamiento de la Cámara y estarán sujetos al pago de las tarifas establecidas en la presente Circular.</w:t>
      </w:r>
      <w:bookmarkEnd w:id="2581"/>
      <w:bookmarkEnd w:id="2582"/>
      <w:bookmarkEnd w:id="2583"/>
      <w:bookmarkEnd w:id="2584"/>
      <w:bookmarkEnd w:id="2585"/>
      <w:bookmarkEnd w:id="2586"/>
      <w:bookmarkEnd w:id="2587"/>
      <w:bookmarkEnd w:id="2588"/>
      <w:bookmarkEnd w:id="2589"/>
      <w:bookmarkEnd w:id="2590"/>
    </w:p>
    <w:p w14:paraId="59AADDF4" w14:textId="77777777" w:rsidR="007968EC" w:rsidRPr="00217BDE" w:rsidRDefault="007968EC" w:rsidP="007968EC">
      <w:pPr>
        <w:jc w:val="both"/>
        <w:rPr>
          <w:rFonts w:ascii="Arial Narrow" w:hAnsi="Arial Narrow" w:cs="Arial"/>
          <w:color w:val="000000" w:themeColor="text1"/>
          <w:lang w:eastAsia="es-ES"/>
        </w:rPr>
      </w:pPr>
    </w:p>
    <w:p w14:paraId="0B11C577" w14:textId="77777777" w:rsidR="007968EC" w:rsidRDefault="007968EC" w:rsidP="007968EC">
      <w:pPr>
        <w:pStyle w:val="ARTICULO0"/>
      </w:pPr>
      <w:bookmarkStart w:id="2591" w:name="_Toc31716006"/>
      <w:bookmarkStart w:id="2592" w:name="_Toc490066316"/>
      <w:r w:rsidRPr="002C0D19">
        <w:t>Artículo 1.7.1.2. Consecuencias pecuniarias por retardo en las liquidaciones.</w:t>
      </w:r>
      <w:bookmarkEnd w:id="2571"/>
      <w:bookmarkEnd w:id="2572"/>
      <w:bookmarkEnd w:id="2573"/>
      <w:bookmarkEnd w:id="2591"/>
      <w:r w:rsidRPr="002C0D19">
        <w:t xml:space="preserve"> </w:t>
      </w:r>
    </w:p>
    <w:p w14:paraId="43D12851" w14:textId="77777777" w:rsidR="007968EC" w:rsidRPr="00D9028E" w:rsidRDefault="007968EC" w:rsidP="007968EC">
      <w:pPr>
        <w:jc w:val="both"/>
        <w:rPr>
          <w:rFonts w:ascii="Arial Narrow" w:hAnsi="Arial Narrow" w:cs="Arial"/>
          <w:color w:val="000000" w:themeColor="text1"/>
          <w:lang w:eastAsia="es-ES"/>
        </w:rPr>
      </w:pPr>
    </w:p>
    <w:p w14:paraId="4A048D35" w14:textId="77777777" w:rsidR="007968EC" w:rsidRPr="002C0D19" w:rsidRDefault="007968EC" w:rsidP="007968EC">
      <w:pPr>
        <w:pStyle w:val="ANTECEDENTES"/>
        <w:rPr>
          <w:u w:val="single"/>
        </w:rPr>
      </w:pPr>
      <w:r w:rsidRPr="002C0D19">
        <w:t xml:space="preserve">(Este artículo fue modificado mediante Circular 13 del 26 de julio de 2011, publicada en el Boletín Normativo No. 016 del 26 de julio de 2011, renumerado mediante </w:t>
      </w:r>
      <w:r w:rsidRPr="002C0D19">
        <w:rPr>
          <w:lang w:val="es-ES"/>
        </w:rPr>
        <w:t xml:space="preserve">Circular 19 del 28 de diciembre de 2016, publicada en el Boletín Normativo No. 024 del 28 de diciembre de 2016 y modificado mediante la Circular 14 del 8 agosto de 2017, publicada en el Boletín Normativo No. 015 del 8 de agosto de </w:t>
      </w:r>
      <w:proofErr w:type="gramStart"/>
      <w:r w:rsidRPr="002C0D19">
        <w:rPr>
          <w:lang w:val="es-ES"/>
        </w:rPr>
        <w:t>2017..</w:t>
      </w:r>
      <w:proofErr w:type="gramEnd"/>
      <w:r w:rsidRPr="002C0D19">
        <w:rPr>
          <w:lang w:val="es-ES"/>
        </w:rPr>
        <w:t xml:space="preserve"> </w:t>
      </w:r>
      <w:r w:rsidRPr="002C0D19">
        <w:t>Rige a partir del 9 de agosto de 2017.</w:t>
      </w:r>
      <w:r w:rsidRPr="002C0D19">
        <w:rPr>
          <w:lang w:val="es-ES"/>
        </w:rPr>
        <w:t>)</w:t>
      </w:r>
      <w:bookmarkEnd w:id="2574"/>
      <w:bookmarkEnd w:id="2575"/>
      <w:bookmarkEnd w:id="2576"/>
      <w:bookmarkEnd w:id="2577"/>
      <w:bookmarkEnd w:id="2578"/>
      <w:bookmarkEnd w:id="2579"/>
      <w:bookmarkEnd w:id="2580"/>
      <w:bookmarkEnd w:id="2592"/>
    </w:p>
    <w:p w14:paraId="2BAA05AB" w14:textId="77777777" w:rsidR="007968EC" w:rsidRPr="002C0D19" w:rsidRDefault="007968EC" w:rsidP="007968EC">
      <w:pPr>
        <w:tabs>
          <w:tab w:val="left" w:pos="5988"/>
        </w:tabs>
        <w:jc w:val="both"/>
        <w:rPr>
          <w:rFonts w:ascii="Arial Narrow" w:hAnsi="Arial Narrow" w:cs="Arial"/>
          <w:bCs/>
          <w:color w:val="000000" w:themeColor="text1"/>
          <w:lang w:val="es-ES" w:eastAsia="es-ES"/>
        </w:rPr>
      </w:pPr>
    </w:p>
    <w:p w14:paraId="34A83BAD" w14:textId="77777777" w:rsidR="007968EC" w:rsidRPr="002C0D19" w:rsidRDefault="007968EC" w:rsidP="007968EC">
      <w:pPr>
        <w:tabs>
          <w:tab w:val="left" w:pos="5988"/>
        </w:tabs>
        <w:jc w:val="both"/>
        <w:rPr>
          <w:rFonts w:ascii="Arial Narrow" w:hAnsi="Arial Narrow" w:cs="Arial"/>
          <w:lang w:val="es-ES" w:eastAsia="es-ES"/>
        </w:rPr>
      </w:pPr>
      <w:r w:rsidRPr="002C0D19">
        <w:rPr>
          <w:rFonts w:ascii="Arial Narrow" w:hAnsi="Arial Narrow" w:cs="Arial"/>
          <w:lang w:val="es-ES" w:eastAsia="es-ES"/>
        </w:rPr>
        <w:t xml:space="preserve">En caso de retardo en cualquiera de las Liquidaciones, el Miembro </w:t>
      </w:r>
      <w:r w:rsidRPr="002C0D19">
        <w:rPr>
          <w:rFonts w:ascii="Arial Narrow" w:hAnsi="Arial Narrow" w:cs="Arial"/>
          <w:bCs/>
          <w:lang w:val="es-ES" w:eastAsia="es-ES"/>
        </w:rPr>
        <w:t>y el Agente estarán obligados</w:t>
      </w:r>
      <w:r w:rsidRPr="002C0D19">
        <w:rPr>
          <w:rFonts w:ascii="Arial Narrow" w:hAnsi="Arial Narrow" w:cs="Arial"/>
          <w:lang w:val="es-ES" w:eastAsia="es-ES"/>
        </w:rPr>
        <w:t xml:space="preserve"> al pago de </w:t>
      </w:r>
      <w:r w:rsidRPr="002C0D19">
        <w:rPr>
          <w:rFonts w:ascii="Arial Narrow" w:hAnsi="Arial Narrow" w:cs="Arial"/>
          <w:bCs/>
          <w:lang w:val="es-ES" w:eastAsia="es-ES"/>
        </w:rPr>
        <w:t>consecuencias pecuniarias</w:t>
      </w:r>
      <w:r w:rsidRPr="002C0D19">
        <w:rPr>
          <w:rFonts w:ascii="Arial Narrow" w:hAnsi="Arial Narrow" w:cs="Arial"/>
          <w:lang w:val="es-ES" w:eastAsia="es-ES"/>
        </w:rPr>
        <w:t xml:space="preserve"> de conformidad con lo dispuesto en el artículo 2.8.10. del Reglamento de Funcionamiento de la Cámara y </w:t>
      </w:r>
      <w:r w:rsidRPr="002C0D19">
        <w:rPr>
          <w:rFonts w:ascii="Arial Narrow" w:hAnsi="Arial Narrow" w:cs="Arial"/>
          <w:bCs/>
          <w:lang w:val="es-ES" w:eastAsia="es-ES"/>
        </w:rPr>
        <w:t>estarán sujetos</w:t>
      </w:r>
      <w:r w:rsidRPr="002C0D19">
        <w:rPr>
          <w:rFonts w:ascii="Arial Narrow" w:hAnsi="Arial Narrow" w:cs="Arial"/>
          <w:lang w:val="es-ES" w:eastAsia="es-ES"/>
        </w:rPr>
        <w:t xml:space="preserve"> al pago de </w:t>
      </w:r>
      <w:r w:rsidRPr="002C0D19">
        <w:rPr>
          <w:rFonts w:ascii="Arial Narrow" w:hAnsi="Arial Narrow" w:cs="Arial"/>
          <w:bCs/>
          <w:lang w:val="es-ES" w:eastAsia="es-ES"/>
        </w:rPr>
        <w:t>las tarifas establecidas</w:t>
      </w:r>
      <w:r w:rsidRPr="002C0D19">
        <w:rPr>
          <w:rFonts w:ascii="Arial Narrow" w:hAnsi="Arial Narrow" w:cs="Arial"/>
          <w:lang w:val="es-ES" w:eastAsia="es-ES"/>
        </w:rPr>
        <w:t xml:space="preserve"> en la presente Circular.</w:t>
      </w:r>
    </w:p>
    <w:p w14:paraId="35062B6C" w14:textId="77777777" w:rsidR="007968EC" w:rsidRPr="002C0D19" w:rsidRDefault="007968EC" w:rsidP="007968EC">
      <w:pPr>
        <w:tabs>
          <w:tab w:val="left" w:pos="5988"/>
        </w:tabs>
        <w:jc w:val="both"/>
        <w:rPr>
          <w:rFonts w:ascii="Arial Narrow" w:hAnsi="Arial Narrow" w:cs="Arial"/>
          <w:bCs/>
          <w:color w:val="000000" w:themeColor="text1"/>
          <w:lang w:val="es-ES" w:eastAsia="es-ES"/>
        </w:rPr>
      </w:pPr>
    </w:p>
    <w:p w14:paraId="48BCA454" w14:textId="77777777" w:rsidR="007968EC" w:rsidRDefault="007968EC" w:rsidP="007968EC">
      <w:pPr>
        <w:pStyle w:val="ARTICULO0"/>
      </w:pPr>
      <w:bookmarkStart w:id="2593" w:name="_Toc472592190"/>
      <w:bookmarkStart w:id="2594" w:name="_Toc472593209"/>
      <w:bookmarkStart w:id="2595" w:name="_Toc479056995"/>
      <w:bookmarkStart w:id="2596" w:name="_Toc31716007"/>
      <w:bookmarkStart w:id="2597" w:name="_Toc470775513"/>
      <w:bookmarkStart w:id="2598" w:name="_Toc470779798"/>
      <w:bookmarkStart w:id="2599" w:name="_Toc470780415"/>
      <w:bookmarkStart w:id="2600" w:name="_Toc470780928"/>
      <w:bookmarkStart w:id="2601" w:name="_Toc470784489"/>
      <w:bookmarkStart w:id="2602" w:name="_Toc470785026"/>
      <w:bookmarkStart w:id="2603" w:name="_Toc470791412"/>
      <w:bookmarkStart w:id="2604" w:name="_Toc490066317"/>
      <w:r w:rsidRPr="002C0D19">
        <w:t>Artículo 1.7.1.3. Procedimiento operativo para gestionar por la Cámara eventos de retardo de un Miembro Liquidador.</w:t>
      </w:r>
      <w:bookmarkEnd w:id="2593"/>
      <w:bookmarkEnd w:id="2594"/>
      <w:bookmarkEnd w:id="2595"/>
      <w:bookmarkEnd w:id="2596"/>
      <w:r w:rsidRPr="002C0D19">
        <w:t xml:space="preserve"> </w:t>
      </w:r>
    </w:p>
    <w:p w14:paraId="07F8F90B" w14:textId="77777777" w:rsidR="007968EC" w:rsidRPr="00D9028E" w:rsidRDefault="007968EC" w:rsidP="007968EC">
      <w:pPr>
        <w:jc w:val="both"/>
        <w:rPr>
          <w:rFonts w:ascii="Arial Narrow" w:hAnsi="Arial Narrow" w:cs="Arial"/>
          <w:color w:val="000000" w:themeColor="text1"/>
          <w:lang w:eastAsia="es-ES"/>
        </w:rPr>
      </w:pPr>
    </w:p>
    <w:p w14:paraId="7576DC41" w14:textId="77777777" w:rsidR="007968EC" w:rsidRPr="002C0D19" w:rsidRDefault="007968EC" w:rsidP="007968EC">
      <w:pPr>
        <w:pStyle w:val="ANTECEDENTES"/>
      </w:pPr>
      <w:r w:rsidRPr="002C0D19">
        <w:t xml:space="preserve">(Este artículo fue modificado mediante Circular 2 del 27 de enero de 2011, publicada en el Boletín Normativo No. 002 del 27 de enero de 2011, mediante </w:t>
      </w:r>
      <w:r w:rsidRPr="002C0D19">
        <w:rPr>
          <w:lang w:val="es-ES_tradnl"/>
        </w:rPr>
        <w:t>Circular 13 del 26 de julio de 2011, publicada en el Boletín Normativo No. 016 del 26 de julio de 2011,</w:t>
      </w:r>
      <w:r w:rsidRPr="002C0D19">
        <w:t xml:space="preserve"> mediante Circular 20 del 4 de noviembre de 2011, publicada en el Boletín Normativo No. 023 del 4 de noviembre de 2011, mediante Circular 7 del 26 de abril de 2012, publicada en el Boletín Normativo No. 007 del 26 de abril de 2012,</w:t>
      </w:r>
      <w:r w:rsidRPr="002C0D19">
        <w:rPr>
          <w:lang w:val="es-ES_tradnl"/>
        </w:rPr>
        <w:t xml:space="preserve"> mediante Circular 12 del 4 de julio de 2014, publicada en el Boletín Normativo No. 014 del 4 de julio de 2014, </w:t>
      </w:r>
      <w:r w:rsidRPr="002C0D19">
        <w:t>mediante Circular 19 del 28 de diciembre de 2016, publicada en el Boletín Normativo No. 024 del 28 de diciembre de 2016 y mediante Circular 14 del 8 de agosto de 2017, publicada en el Boletín Normativo No. 015 del 8 de agosto de 2017. Rige a partir del 9 de agosto de 2017.)</w:t>
      </w:r>
      <w:bookmarkEnd w:id="2597"/>
      <w:bookmarkEnd w:id="2598"/>
      <w:bookmarkEnd w:id="2599"/>
      <w:bookmarkEnd w:id="2600"/>
      <w:bookmarkEnd w:id="2601"/>
      <w:bookmarkEnd w:id="2602"/>
      <w:bookmarkEnd w:id="2603"/>
      <w:bookmarkEnd w:id="2604"/>
    </w:p>
    <w:p w14:paraId="6BECB1D5" w14:textId="77777777" w:rsidR="007968EC" w:rsidRPr="002C0D19" w:rsidRDefault="007968EC" w:rsidP="007968EC">
      <w:pPr>
        <w:tabs>
          <w:tab w:val="left" w:pos="5988"/>
        </w:tabs>
        <w:jc w:val="both"/>
        <w:rPr>
          <w:rFonts w:ascii="Arial Narrow" w:hAnsi="Arial Narrow" w:cs="Arial"/>
          <w:lang w:val="es-ES" w:eastAsia="es-ES"/>
        </w:rPr>
      </w:pPr>
    </w:p>
    <w:p w14:paraId="726F1AE8" w14:textId="77777777" w:rsidR="007968EC" w:rsidRPr="002C0D19" w:rsidRDefault="007968EC" w:rsidP="007968EC">
      <w:pPr>
        <w:tabs>
          <w:tab w:val="left" w:pos="5988"/>
        </w:tabs>
        <w:jc w:val="both"/>
        <w:rPr>
          <w:rFonts w:ascii="Arial Narrow" w:hAnsi="Arial Narrow" w:cs="Arial"/>
          <w:lang w:val="es-ES" w:eastAsia="es-ES"/>
        </w:rPr>
      </w:pPr>
      <w:r w:rsidRPr="002C0D19">
        <w:rPr>
          <w:rFonts w:ascii="Arial Narrow" w:hAnsi="Arial Narrow" w:cs="Arial"/>
          <w:lang w:val="es-ES" w:eastAsia="es-ES"/>
        </w:rPr>
        <w:t>Sin perjuicio de las Medidas Preventivas que adopte la Cámara, durante la Sesión de Liquidación ya sea Diaria o al Vencimiento y en el evento de falta de saldo en la Cuenta de efectivo y/o de valores, o retardo en la constitución de Garantías de un Miembro Liquidador en cualquier Segmento, y siendo necesaria la disposición inmediata de recursos y/o valores, la Cámara gestionará el retardo mediante las siguientes actividades:</w:t>
      </w:r>
    </w:p>
    <w:p w14:paraId="2B683117" w14:textId="77777777" w:rsidR="007968EC" w:rsidRPr="002C0D19" w:rsidRDefault="007968EC" w:rsidP="007968EC">
      <w:pPr>
        <w:autoSpaceDE w:val="0"/>
        <w:autoSpaceDN w:val="0"/>
        <w:adjustRightInd w:val="0"/>
        <w:jc w:val="both"/>
        <w:rPr>
          <w:rFonts w:ascii="Arial Narrow" w:hAnsi="Arial Narrow" w:cs="Arial"/>
          <w:b/>
          <w:lang w:val="es-ES" w:eastAsia="es-ES"/>
        </w:rPr>
      </w:pPr>
    </w:p>
    <w:p w14:paraId="57300E1B" w14:textId="77777777" w:rsidR="007968EC" w:rsidRPr="002C0D19" w:rsidRDefault="007968EC" w:rsidP="00DA7472">
      <w:pPr>
        <w:numPr>
          <w:ilvl w:val="0"/>
          <w:numId w:val="77"/>
        </w:numPr>
        <w:autoSpaceDE w:val="0"/>
        <w:autoSpaceDN w:val="0"/>
        <w:adjustRightInd w:val="0"/>
        <w:ind w:left="284" w:hanging="284"/>
        <w:jc w:val="both"/>
        <w:rPr>
          <w:rFonts w:ascii="Arial Narrow" w:hAnsi="Arial Narrow" w:cs="Arial"/>
          <w:lang w:val="es-ES" w:eastAsia="es-ES"/>
        </w:rPr>
      </w:pPr>
      <w:r w:rsidRPr="002C0D19">
        <w:rPr>
          <w:rFonts w:ascii="Arial Narrow" w:hAnsi="Arial Narrow" w:cs="Arial"/>
          <w:lang w:val="es-ES" w:eastAsia="es-ES"/>
        </w:rPr>
        <w:t>Podrá recurrir a cualquiera de los siguientes recursos en efectivo y/o valores o mecanismos financieros a su disposición:</w:t>
      </w:r>
    </w:p>
    <w:p w14:paraId="6999F7F9" w14:textId="77777777" w:rsidR="007968EC" w:rsidRPr="002C0D19" w:rsidRDefault="007968EC" w:rsidP="007968EC">
      <w:pPr>
        <w:autoSpaceDE w:val="0"/>
        <w:autoSpaceDN w:val="0"/>
        <w:adjustRightInd w:val="0"/>
        <w:ind w:left="284"/>
        <w:jc w:val="both"/>
        <w:rPr>
          <w:rFonts w:ascii="Arial Narrow" w:hAnsi="Arial Narrow" w:cs="Arial"/>
          <w:lang w:val="es-ES" w:eastAsia="es-ES"/>
        </w:rPr>
      </w:pPr>
    </w:p>
    <w:p w14:paraId="52CB0750" w14:textId="77777777" w:rsidR="007968EC" w:rsidRPr="002C0D19" w:rsidRDefault="007968EC" w:rsidP="00DA7472">
      <w:pPr>
        <w:numPr>
          <w:ilvl w:val="7"/>
          <w:numId w:val="262"/>
        </w:numPr>
        <w:autoSpaceDE w:val="0"/>
        <w:autoSpaceDN w:val="0"/>
        <w:adjustRightInd w:val="0"/>
        <w:ind w:left="709" w:hanging="425"/>
        <w:jc w:val="both"/>
        <w:rPr>
          <w:rFonts w:ascii="Arial Narrow" w:hAnsi="Arial Narrow" w:cs="Arial"/>
          <w:b/>
          <w:lang w:val="es-ES" w:eastAsia="es-ES"/>
        </w:rPr>
      </w:pPr>
      <w:r w:rsidRPr="002C0D19">
        <w:rPr>
          <w:rFonts w:ascii="Arial Narrow" w:hAnsi="Arial Narrow" w:cs="Arial"/>
          <w:lang w:val="es-ES" w:eastAsia="es-ES"/>
        </w:rPr>
        <w:t>Uso de las líneas de crédito con los establecimientos de crédito.</w:t>
      </w:r>
    </w:p>
    <w:p w14:paraId="51E46B91" w14:textId="77777777" w:rsidR="007968EC" w:rsidRPr="002C0D19" w:rsidRDefault="007968EC" w:rsidP="007968EC">
      <w:pPr>
        <w:autoSpaceDE w:val="0"/>
        <w:autoSpaceDN w:val="0"/>
        <w:adjustRightInd w:val="0"/>
        <w:ind w:left="709" w:hanging="425"/>
        <w:jc w:val="both"/>
        <w:rPr>
          <w:rFonts w:ascii="Arial Narrow" w:hAnsi="Arial Narrow" w:cs="Arial"/>
          <w:b/>
          <w:lang w:val="es-ES" w:eastAsia="es-ES"/>
        </w:rPr>
      </w:pPr>
    </w:p>
    <w:p w14:paraId="42FF7BE8" w14:textId="77777777" w:rsidR="007968EC" w:rsidRPr="002C0D19" w:rsidRDefault="007968EC" w:rsidP="00DA7472">
      <w:pPr>
        <w:numPr>
          <w:ilvl w:val="7"/>
          <w:numId w:val="262"/>
        </w:numPr>
        <w:autoSpaceDE w:val="0"/>
        <w:autoSpaceDN w:val="0"/>
        <w:adjustRightInd w:val="0"/>
        <w:ind w:left="709" w:hanging="425"/>
        <w:jc w:val="both"/>
        <w:rPr>
          <w:rFonts w:ascii="Arial Narrow" w:hAnsi="Arial Narrow" w:cs="Arial"/>
          <w:lang w:val="es-ES" w:eastAsia="es-ES"/>
        </w:rPr>
      </w:pPr>
      <w:r w:rsidRPr="002C0D19">
        <w:rPr>
          <w:rFonts w:ascii="Arial Narrow" w:hAnsi="Arial Narrow" w:cs="Arial"/>
          <w:lang w:val="es-ES" w:eastAsia="es-ES"/>
        </w:rPr>
        <w:t>Uso de recursos en efectivo y/o valores propios de la Cámara, directamente o a través de la realización de operaciones de reporto o repo, fondeo y transferencia temporal de valores con las entidades autorizadas.</w:t>
      </w:r>
    </w:p>
    <w:p w14:paraId="5E415224" w14:textId="77777777" w:rsidR="007968EC" w:rsidRPr="002C0D19" w:rsidRDefault="007968EC" w:rsidP="007968EC">
      <w:pPr>
        <w:ind w:left="708"/>
        <w:rPr>
          <w:rFonts w:ascii="Arial Narrow" w:hAnsi="Arial Narrow"/>
          <w:b/>
          <w:color w:val="000000"/>
          <w:lang w:eastAsia="es-CO"/>
        </w:rPr>
      </w:pPr>
    </w:p>
    <w:p w14:paraId="0AF90746" w14:textId="77777777" w:rsidR="007968EC" w:rsidRPr="002C0D19" w:rsidRDefault="007968EC" w:rsidP="00DA7472">
      <w:pPr>
        <w:numPr>
          <w:ilvl w:val="7"/>
          <w:numId w:val="262"/>
        </w:numPr>
        <w:autoSpaceDE w:val="0"/>
        <w:autoSpaceDN w:val="0"/>
        <w:adjustRightInd w:val="0"/>
        <w:ind w:left="709" w:hanging="425"/>
        <w:jc w:val="both"/>
        <w:rPr>
          <w:rFonts w:ascii="Arial Narrow" w:hAnsi="Arial Narrow" w:cs="Arial"/>
          <w:lang w:val="es-ES" w:eastAsia="es-ES"/>
        </w:rPr>
      </w:pPr>
      <w:r w:rsidRPr="002C0D19">
        <w:rPr>
          <w:rFonts w:ascii="Arial Narrow" w:hAnsi="Arial Narrow" w:cs="Arial"/>
          <w:lang w:val="es-ES" w:eastAsia="es-ES"/>
        </w:rPr>
        <w:lastRenderedPageBreak/>
        <w:t>Ejecución de las Garantías constituidas por el Miembro que incurrió en retardo y dio origen a la adopción de una medida preventiva, según lo previsto en el artículo 2.9.1. del Reglamento de Funcionamiento.</w:t>
      </w:r>
    </w:p>
    <w:p w14:paraId="0E98B3E4" w14:textId="77777777" w:rsidR="007968EC" w:rsidRPr="002C0D19" w:rsidRDefault="007968EC" w:rsidP="007968EC">
      <w:pPr>
        <w:ind w:left="708"/>
        <w:rPr>
          <w:rFonts w:ascii="Arial Narrow" w:hAnsi="Arial Narrow"/>
          <w:b/>
          <w:color w:val="000000"/>
          <w:lang w:eastAsia="es-CO"/>
        </w:rPr>
      </w:pPr>
    </w:p>
    <w:p w14:paraId="1339F2CB" w14:textId="77777777" w:rsidR="007968EC" w:rsidRPr="002C0D19" w:rsidRDefault="007968EC" w:rsidP="00DA7472">
      <w:pPr>
        <w:numPr>
          <w:ilvl w:val="7"/>
          <w:numId w:val="262"/>
        </w:numPr>
        <w:autoSpaceDE w:val="0"/>
        <w:autoSpaceDN w:val="0"/>
        <w:adjustRightInd w:val="0"/>
        <w:ind w:left="709" w:hanging="425"/>
        <w:jc w:val="both"/>
        <w:rPr>
          <w:rFonts w:ascii="Arial Narrow" w:hAnsi="Arial Narrow" w:cs="Arial"/>
          <w:lang w:val="es-ES" w:eastAsia="es-ES"/>
        </w:rPr>
      </w:pPr>
      <w:r w:rsidRPr="002C0D19">
        <w:rPr>
          <w:rFonts w:ascii="Arial Narrow" w:hAnsi="Arial Narrow"/>
          <w:lang w:val="es-ES" w:eastAsia="es-ES"/>
        </w:rPr>
        <w:t xml:space="preserve">Utilización temporal de las Garantías constituidas en efectivo por los Miembros y Terceros de acuerdo con lo establecido en el parágrafo quinto del artículo 2.8.8. del Reglamento de Funcionamiento y en la presente Circular. </w:t>
      </w:r>
    </w:p>
    <w:p w14:paraId="31241BBB" w14:textId="77777777" w:rsidR="007968EC" w:rsidRPr="002C0D19" w:rsidRDefault="007968EC" w:rsidP="007968EC">
      <w:pPr>
        <w:ind w:left="708"/>
        <w:rPr>
          <w:rFonts w:ascii="Arial Narrow" w:hAnsi="Arial Narrow" w:cs="Arial"/>
          <w:b/>
          <w:lang w:eastAsia="es-CO"/>
        </w:rPr>
      </w:pPr>
    </w:p>
    <w:p w14:paraId="5148A16F" w14:textId="77777777" w:rsidR="007968EC" w:rsidRPr="002C0D19" w:rsidRDefault="007968EC" w:rsidP="00DA7472">
      <w:pPr>
        <w:numPr>
          <w:ilvl w:val="7"/>
          <w:numId w:val="262"/>
        </w:numPr>
        <w:autoSpaceDE w:val="0"/>
        <w:autoSpaceDN w:val="0"/>
        <w:adjustRightInd w:val="0"/>
        <w:ind w:left="709" w:hanging="425"/>
        <w:jc w:val="both"/>
        <w:rPr>
          <w:rFonts w:ascii="Arial Narrow" w:hAnsi="Arial Narrow" w:cs="Arial"/>
          <w:lang w:val="es-ES" w:eastAsia="es-ES"/>
        </w:rPr>
      </w:pPr>
      <w:r w:rsidRPr="002C0D19">
        <w:rPr>
          <w:rFonts w:ascii="Arial Narrow" w:hAnsi="Arial Narrow" w:cs="Arial"/>
          <w:lang w:val="es-ES" w:eastAsia="es-ES"/>
        </w:rPr>
        <w:t>Cualquier otro mecanismo de provisión de liquidez y de valores con carácter temporal, a través de los cuales la Cámara pueda cubrir el importe de efectivo o valores no entregados oportunamente a la Cámara.</w:t>
      </w:r>
    </w:p>
    <w:p w14:paraId="6A660A9F" w14:textId="77777777" w:rsidR="007968EC" w:rsidRPr="002C0D19" w:rsidRDefault="007968EC" w:rsidP="007968EC">
      <w:pPr>
        <w:autoSpaceDE w:val="0"/>
        <w:autoSpaceDN w:val="0"/>
        <w:adjustRightInd w:val="0"/>
        <w:jc w:val="both"/>
        <w:rPr>
          <w:rFonts w:ascii="Arial Narrow" w:hAnsi="Arial Narrow" w:cs="Arial"/>
          <w:lang w:val="es-ES" w:eastAsia="es-ES"/>
        </w:rPr>
      </w:pPr>
    </w:p>
    <w:p w14:paraId="67B253CB" w14:textId="77777777" w:rsidR="007968EC" w:rsidRPr="002C0D19" w:rsidRDefault="007968EC" w:rsidP="00DA7472">
      <w:pPr>
        <w:numPr>
          <w:ilvl w:val="0"/>
          <w:numId w:val="77"/>
        </w:numPr>
        <w:autoSpaceDE w:val="0"/>
        <w:autoSpaceDN w:val="0"/>
        <w:adjustRightInd w:val="0"/>
        <w:ind w:left="284" w:hanging="284"/>
        <w:jc w:val="both"/>
        <w:rPr>
          <w:rFonts w:ascii="Arial Narrow" w:hAnsi="Arial Narrow" w:cs="Arial"/>
          <w:lang w:val="es-ES" w:eastAsia="es-ES"/>
        </w:rPr>
      </w:pPr>
      <w:r w:rsidRPr="002C0D19">
        <w:rPr>
          <w:rFonts w:ascii="Arial Narrow" w:hAnsi="Arial Narrow" w:cs="Arial"/>
          <w:lang w:val="es-ES" w:eastAsia="es-ES"/>
        </w:rPr>
        <w:t>Al restablecerse la liquidez y/o el saldo de valores de las cuentas de cumplimiento de la Cámara por cualquiera de los medios anteriormente mencionados, se generará el envío de las órdenes de transferencia por abono hacia las cuentas de los Miembros Liquidadores y/o Agentes según el caso. En el momento en que el Sistema de Cámara procese a satisfacción todos los registros de los diferentes archivos de las órdenes procesadas por el CUD, DCV y Deceval, el proceso de Liquidación Diaria o al Vencimiento se entenderá cumplido. Aquella Operación objeto del retardo estará marcada en el Sistema bajo el estado Cumplida por Cámara en el reporte de Liquidación.</w:t>
      </w:r>
    </w:p>
    <w:p w14:paraId="3F459160" w14:textId="77777777" w:rsidR="007968EC" w:rsidRPr="002C0D19" w:rsidRDefault="007968EC" w:rsidP="007968EC">
      <w:pPr>
        <w:autoSpaceDE w:val="0"/>
        <w:autoSpaceDN w:val="0"/>
        <w:adjustRightInd w:val="0"/>
        <w:jc w:val="both"/>
        <w:rPr>
          <w:rFonts w:ascii="Arial Narrow" w:hAnsi="Arial Narrow" w:cs="Arial"/>
          <w:lang w:val="es-ES" w:eastAsia="es-ES"/>
        </w:rPr>
      </w:pPr>
    </w:p>
    <w:p w14:paraId="6AE6E8AA" w14:textId="77777777" w:rsidR="007968EC" w:rsidRPr="002C0D19" w:rsidRDefault="007968EC" w:rsidP="00DA7472">
      <w:pPr>
        <w:numPr>
          <w:ilvl w:val="0"/>
          <w:numId w:val="77"/>
        </w:numPr>
        <w:autoSpaceDE w:val="0"/>
        <w:autoSpaceDN w:val="0"/>
        <w:adjustRightInd w:val="0"/>
        <w:ind w:left="284" w:hanging="284"/>
        <w:jc w:val="both"/>
        <w:rPr>
          <w:rFonts w:ascii="Arial Narrow" w:hAnsi="Arial Narrow" w:cs="Arial"/>
          <w:lang w:val="es-ES" w:eastAsia="es-ES"/>
        </w:rPr>
      </w:pPr>
      <w:r w:rsidRPr="002C0D19">
        <w:rPr>
          <w:rFonts w:ascii="Arial Narrow" w:hAnsi="Arial Narrow" w:cs="Arial"/>
          <w:lang w:val="es-ES" w:eastAsia="es-ES"/>
        </w:rPr>
        <w:t>Como resultado de la gestión del retardo, la Cámara enviará al Miembro Liquidador que incurrió en el retardo, la liquidación de los conceptos correspondientes a su cargo dentro de los que se incluirán los costos de las consecuencias pecuniarias y/o cualquier otra suma o costo que haya debido asumir la Cámara para cubrir el importe de efectivo o valores no entregados a la Cámara oportunamente, los cuales se liquidarán como un anexo en el resultado de la Liquidación Diaria de la sesión en curso. En todo caso, el Miembro Liquidador que incurrió en el retardo también deberá reembolsar a la Cámara cualquier costo o valor que ésta haya asumido para la gestión del retardo.</w:t>
      </w:r>
      <w:r w:rsidRPr="002C0D19">
        <w:rPr>
          <w:rFonts w:ascii="Arial Narrow" w:hAnsi="Arial Narrow"/>
          <w:lang w:val="es-ES" w:eastAsia="es-ES"/>
        </w:rPr>
        <w:t xml:space="preserve"> Adicionalmente, la Cámara enviará a los Agentes que resulten responsables de las mismas, la Liquidación de las consecuencias pecuniarias a su cargo de conformidad con lo establecido en la presente Circular.</w:t>
      </w:r>
    </w:p>
    <w:p w14:paraId="3778A4F7" w14:textId="77777777" w:rsidR="007968EC" w:rsidRPr="002C0D19" w:rsidRDefault="007968EC" w:rsidP="007968EC">
      <w:pPr>
        <w:autoSpaceDE w:val="0"/>
        <w:autoSpaceDN w:val="0"/>
        <w:adjustRightInd w:val="0"/>
        <w:ind w:left="284" w:hanging="284"/>
        <w:jc w:val="both"/>
        <w:rPr>
          <w:rFonts w:ascii="Arial Narrow" w:hAnsi="Arial Narrow" w:cs="Arial"/>
          <w:lang w:val="es-ES" w:eastAsia="es-ES"/>
        </w:rPr>
      </w:pPr>
    </w:p>
    <w:p w14:paraId="2A5D5E17" w14:textId="77777777" w:rsidR="007968EC" w:rsidRPr="002C0D19" w:rsidRDefault="007968EC" w:rsidP="00DA7472">
      <w:pPr>
        <w:numPr>
          <w:ilvl w:val="0"/>
          <w:numId w:val="77"/>
        </w:numPr>
        <w:autoSpaceDE w:val="0"/>
        <w:autoSpaceDN w:val="0"/>
        <w:adjustRightInd w:val="0"/>
        <w:ind w:left="284" w:hanging="284"/>
        <w:jc w:val="both"/>
        <w:rPr>
          <w:rFonts w:ascii="Arial Narrow" w:hAnsi="Arial Narrow" w:cs="Arial"/>
          <w:lang w:val="es-ES" w:eastAsia="es-ES"/>
        </w:rPr>
      </w:pPr>
      <w:r w:rsidRPr="002C0D19">
        <w:rPr>
          <w:rFonts w:ascii="Arial Narrow" w:hAnsi="Arial Narrow" w:cs="Arial"/>
          <w:lang w:val="es-ES" w:eastAsia="es-ES"/>
        </w:rPr>
        <w:t>En aquellos eventos en que haya sido necesario ejecutar las Garantías constituidas por el Miembro en retardo, el Miembro deberá restablecer las Garantías en el plazo máximo otorgado por la Cámara, el cual será informado mediante correo electrónico.</w:t>
      </w:r>
    </w:p>
    <w:p w14:paraId="5AEF6156" w14:textId="77777777" w:rsidR="007968EC" w:rsidRPr="002C0D19" w:rsidRDefault="007968EC" w:rsidP="007968EC">
      <w:pPr>
        <w:ind w:left="708"/>
        <w:rPr>
          <w:rFonts w:ascii="Arial Narrow" w:hAnsi="Arial Narrow" w:cs="Arial"/>
          <w:b/>
          <w:lang w:val="es-ES" w:eastAsia="es-ES"/>
        </w:rPr>
      </w:pPr>
    </w:p>
    <w:p w14:paraId="2C75F6F0" w14:textId="77777777" w:rsidR="007968EC" w:rsidRPr="002C0D19" w:rsidRDefault="007968EC" w:rsidP="00DA7472">
      <w:pPr>
        <w:numPr>
          <w:ilvl w:val="0"/>
          <w:numId w:val="77"/>
        </w:numPr>
        <w:autoSpaceDE w:val="0"/>
        <w:autoSpaceDN w:val="0"/>
        <w:adjustRightInd w:val="0"/>
        <w:ind w:left="284" w:hanging="284"/>
        <w:jc w:val="both"/>
        <w:rPr>
          <w:rFonts w:ascii="Arial Narrow" w:hAnsi="Arial Narrow" w:cs="Arial"/>
          <w:lang w:val="es-ES" w:eastAsia="es-ES"/>
        </w:rPr>
      </w:pPr>
      <w:r w:rsidRPr="002C0D19">
        <w:rPr>
          <w:rFonts w:ascii="Arial Narrow" w:hAnsi="Arial Narrow" w:cs="Arial"/>
          <w:lang w:val="es-ES" w:eastAsia="es-ES"/>
        </w:rPr>
        <w:t>En caso de que el Miembro no entregue los recursos, valores o Garantías solicitados en el plazo   establecido, o no restablezca las Garantías, la Cámara podrá declarar el Incumplimiento y seguirá el procedimiento establecido en el Reglamento y en la presente Circular.</w:t>
      </w:r>
    </w:p>
    <w:p w14:paraId="448F0EBC" w14:textId="77777777" w:rsidR="007968EC" w:rsidRPr="002C0D19" w:rsidRDefault="007968EC" w:rsidP="007968EC">
      <w:pPr>
        <w:autoSpaceDE w:val="0"/>
        <w:autoSpaceDN w:val="0"/>
        <w:adjustRightInd w:val="0"/>
        <w:jc w:val="both"/>
        <w:rPr>
          <w:rFonts w:ascii="Arial Narrow" w:hAnsi="Arial Narrow" w:cs="Arial"/>
          <w:lang w:val="es-ES" w:eastAsia="es-ES"/>
        </w:rPr>
      </w:pPr>
    </w:p>
    <w:p w14:paraId="3F3508F4" w14:textId="77777777" w:rsidR="007968EC" w:rsidRDefault="007968EC" w:rsidP="00074A74">
      <w:pPr>
        <w:pStyle w:val="Ttulo0"/>
      </w:pPr>
      <w:bookmarkStart w:id="2605" w:name="_Toc470775514"/>
      <w:bookmarkStart w:id="2606" w:name="_Toc470779799"/>
      <w:bookmarkStart w:id="2607" w:name="_Toc470780416"/>
      <w:bookmarkStart w:id="2608" w:name="_Toc470780929"/>
      <w:bookmarkStart w:id="2609" w:name="_Toc470784490"/>
      <w:bookmarkStart w:id="2610" w:name="_Toc470785027"/>
      <w:bookmarkStart w:id="2611" w:name="_Toc470791413"/>
      <w:bookmarkStart w:id="2612" w:name="_Toc472592191"/>
      <w:bookmarkStart w:id="2613" w:name="_Toc472593210"/>
      <w:bookmarkStart w:id="2614" w:name="_Toc479056996"/>
      <w:bookmarkStart w:id="2615" w:name="_Toc490066318"/>
    </w:p>
    <w:p w14:paraId="70A55D7E" w14:textId="77777777" w:rsidR="007968EC" w:rsidRPr="002C0D19" w:rsidRDefault="007968EC" w:rsidP="007968EC">
      <w:pPr>
        <w:pStyle w:val="TTULO"/>
        <w:rPr>
          <w:lang w:val="es-ES"/>
        </w:rPr>
      </w:pPr>
      <w:bookmarkStart w:id="2616" w:name="_Toc31716008"/>
      <w:r w:rsidRPr="002C0D19">
        <w:rPr>
          <w:lang w:val="es-ES"/>
        </w:rPr>
        <w:t>CAPÍTULO SEGUNDO</w:t>
      </w:r>
      <w:bookmarkEnd w:id="2605"/>
      <w:bookmarkEnd w:id="2606"/>
      <w:bookmarkEnd w:id="2607"/>
      <w:bookmarkEnd w:id="2608"/>
      <w:bookmarkEnd w:id="2609"/>
      <w:bookmarkEnd w:id="2610"/>
      <w:bookmarkEnd w:id="2611"/>
      <w:bookmarkEnd w:id="2612"/>
      <w:bookmarkEnd w:id="2613"/>
      <w:bookmarkEnd w:id="2614"/>
      <w:bookmarkEnd w:id="2615"/>
      <w:bookmarkEnd w:id="2616"/>
    </w:p>
    <w:p w14:paraId="13009759" w14:textId="77777777" w:rsidR="007968EC" w:rsidRPr="002C0D19" w:rsidRDefault="007968EC" w:rsidP="00074A74">
      <w:pPr>
        <w:pStyle w:val="Ttulo0"/>
      </w:pPr>
    </w:p>
    <w:p w14:paraId="18BAEC74" w14:textId="77777777" w:rsidR="007968EC" w:rsidRPr="002C0D19" w:rsidRDefault="007968EC" w:rsidP="007968EC">
      <w:pPr>
        <w:pStyle w:val="TTULO"/>
        <w:rPr>
          <w:lang w:val="es-ES"/>
        </w:rPr>
      </w:pPr>
      <w:bookmarkStart w:id="2617" w:name="_Toc470775515"/>
      <w:bookmarkStart w:id="2618" w:name="_Toc470779800"/>
      <w:bookmarkStart w:id="2619" w:name="_Toc470780417"/>
      <w:bookmarkStart w:id="2620" w:name="_Toc470780930"/>
      <w:bookmarkStart w:id="2621" w:name="_Toc470784491"/>
      <w:bookmarkStart w:id="2622" w:name="_Toc470785028"/>
      <w:bookmarkStart w:id="2623" w:name="_Toc470791414"/>
      <w:bookmarkStart w:id="2624" w:name="_Toc472592192"/>
      <w:bookmarkStart w:id="2625" w:name="_Toc472593211"/>
      <w:bookmarkStart w:id="2626" w:name="_Toc479056997"/>
      <w:bookmarkStart w:id="2627" w:name="_Toc490066319"/>
      <w:bookmarkStart w:id="2628" w:name="_Toc31716009"/>
      <w:r w:rsidRPr="002C0D19">
        <w:rPr>
          <w:lang w:val="es-ES"/>
        </w:rPr>
        <w:t>INCUMPLIMIENTOS</w:t>
      </w:r>
      <w:bookmarkEnd w:id="2617"/>
      <w:bookmarkEnd w:id="2618"/>
      <w:bookmarkEnd w:id="2619"/>
      <w:bookmarkEnd w:id="2620"/>
      <w:bookmarkEnd w:id="2621"/>
      <w:bookmarkEnd w:id="2622"/>
      <w:bookmarkEnd w:id="2623"/>
      <w:bookmarkEnd w:id="2624"/>
      <w:bookmarkEnd w:id="2625"/>
      <w:bookmarkEnd w:id="2626"/>
      <w:bookmarkEnd w:id="2627"/>
      <w:bookmarkEnd w:id="2628"/>
    </w:p>
    <w:p w14:paraId="560DDDAE" w14:textId="77777777" w:rsidR="007968EC" w:rsidRPr="002C0D19" w:rsidRDefault="007968EC" w:rsidP="00074A74">
      <w:pPr>
        <w:pStyle w:val="Ttulo0"/>
      </w:pPr>
    </w:p>
    <w:p w14:paraId="6CFE373F" w14:textId="77777777" w:rsidR="007968EC" w:rsidRDefault="007968EC" w:rsidP="007968EC">
      <w:pPr>
        <w:pStyle w:val="ARTICULO0"/>
        <w:rPr>
          <w:i/>
        </w:rPr>
      </w:pPr>
      <w:bookmarkStart w:id="2629" w:name="_Toc472592193"/>
      <w:bookmarkStart w:id="2630" w:name="_Toc472593212"/>
      <w:bookmarkStart w:id="2631" w:name="_Toc479056998"/>
      <w:bookmarkStart w:id="2632" w:name="_Toc31716010"/>
      <w:bookmarkStart w:id="2633" w:name="_Toc470775516"/>
      <w:bookmarkStart w:id="2634" w:name="_Toc470779801"/>
      <w:bookmarkStart w:id="2635" w:name="_Toc470780418"/>
      <w:bookmarkStart w:id="2636" w:name="_Toc470780931"/>
      <w:bookmarkStart w:id="2637" w:name="_Toc470784492"/>
      <w:bookmarkStart w:id="2638" w:name="_Toc470785029"/>
      <w:bookmarkStart w:id="2639" w:name="_Toc470791415"/>
      <w:bookmarkStart w:id="2640" w:name="_Toc490066320"/>
      <w:r w:rsidRPr="002C0D19">
        <w:t>Artículo 1.7.2.1. Procedimiento operativo para gestionar el incumplimiento por parte de un Tercero Identificado o Miembro no Liquidador.</w:t>
      </w:r>
      <w:bookmarkEnd w:id="2629"/>
      <w:bookmarkEnd w:id="2630"/>
      <w:bookmarkEnd w:id="2631"/>
      <w:bookmarkEnd w:id="2632"/>
      <w:r w:rsidRPr="002C0D19">
        <w:rPr>
          <w:i/>
        </w:rPr>
        <w:t xml:space="preserve"> </w:t>
      </w:r>
    </w:p>
    <w:p w14:paraId="6F9A6053" w14:textId="77777777" w:rsidR="007968EC" w:rsidRPr="00D9028E" w:rsidRDefault="007968EC" w:rsidP="007968EC">
      <w:pPr>
        <w:jc w:val="both"/>
        <w:rPr>
          <w:rFonts w:ascii="Arial Narrow" w:hAnsi="Arial Narrow" w:cs="Arial"/>
          <w:color w:val="000000" w:themeColor="text1"/>
          <w:lang w:eastAsia="es-ES"/>
        </w:rPr>
      </w:pPr>
    </w:p>
    <w:p w14:paraId="106E347C" w14:textId="77777777" w:rsidR="007968EC" w:rsidRPr="002C0D19" w:rsidRDefault="007968EC" w:rsidP="007968EC">
      <w:pPr>
        <w:pStyle w:val="ANTECEDENTES"/>
        <w:rPr>
          <w:bCs/>
        </w:rPr>
      </w:pPr>
      <w:r w:rsidRPr="002C0D19">
        <w:t>(Este artículo fue modificado mediante Circular 7 del 26 de abril de 2012, publicada en el Boletín Normativo No. 007 del 26 de abril de 2012. Rige a partir del 30 de abril de 2012)</w:t>
      </w:r>
      <w:bookmarkEnd w:id="2633"/>
      <w:bookmarkEnd w:id="2634"/>
      <w:bookmarkEnd w:id="2635"/>
      <w:bookmarkEnd w:id="2636"/>
      <w:bookmarkEnd w:id="2637"/>
      <w:bookmarkEnd w:id="2638"/>
      <w:bookmarkEnd w:id="2639"/>
      <w:bookmarkEnd w:id="2640"/>
    </w:p>
    <w:p w14:paraId="6EE034E9" w14:textId="77777777" w:rsidR="007968EC" w:rsidRPr="00165180" w:rsidRDefault="007968EC" w:rsidP="007968EC">
      <w:pPr>
        <w:jc w:val="both"/>
        <w:rPr>
          <w:rFonts w:ascii="Arial Narrow" w:hAnsi="Arial Narrow" w:cs="Arial"/>
          <w:color w:val="000000" w:themeColor="text1"/>
          <w:lang w:eastAsia="es-ES"/>
        </w:rPr>
      </w:pPr>
    </w:p>
    <w:p w14:paraId="2A5AD3DE"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En caso de incumplimiento en cualquier Segmento  de un Tercero o de un Miembro no Liquidador, el Miembro Liquidador correspondiente, sin perjuicio de lo dispuesto en el capítulo octavo del título segundo del Reglamento de Cámara, podrá solicitar que la Cámara en desarrollo de la gestión de dicho incumplimiento inactive las Cuentas bajo la titularidad de dicho Tercero en alguno, algunos o todos los Segmentos en los que participe o gestione la solicitud de exclusión de dicho Miembro no Liquidador del Sistema de Cámara. Para el efecto, el Miembro Liquidador deberá entregar a la Cámara los siguientes documentos respecto del Segmento o Segmentos en los que se registra el incumplimiento:</w:t>
      </w:r>
    </w:p>
    <w:p w14:paraId="797EC3FC" w14:textId="77777777" w:rsidR="007968EC" w:rsidRPr="002C0D19" w:rsidRDefault="007968EC" w:rsidP="007968EC">
      <w:pPr>
        <w:jc w:val="both"/>
        <w:rPr>
          <w:rFonts w:ascii="Arial Narrow" w:hAnsi="Arial Narrow" w:cs="Arial"/>
          <w:color w:val="000000" w:themeColor="text1"/>
          <w:lang w:val="es-ES" w:eastAsia="es-ES"/>
        </w:rPr>
      </w:pPr>
    </w:p>
    <w:p w14:paraId="0F31A0AC" w14:textId="77777777" w:rsidR="007968EC" w:rsidRPr="002C0D19" w:rsidRDefault="007968EC" w:rsidP="007968EC">
      <w:pPr>
        <w:ind w:left="567" w:hanging="567"/>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1. </w:t>
      </w:r>
      <w:r w:rsidRPr="002C0D19">
        <w:rPr>
          <w:rFonts w:ascii="Arial Narrow" w:hAnsi="Arial Narrow" w:cs="Arial"/>
          <w:color w:val="000000" w:themeColor="text1"/>
          <w:lang w:eastAsia="es-ES"/>
        </w:rPr>
        <w:tab/>
        <w:t>Copia de la declaración de Incumplimiento emitida al Tercero o Miembro no Liquidador Incumplido.</w:t>
      </w:r>
    </w:p>
    <w:p w14:paraId="7DED9F5A" w14:textId="77777777" w:rsidR="007968EC" w:rsidRPr="002C0D19" w:rsidRDefault="007968EC" w:rsidP="007968EC">
      <w:pPr>
        <w:ind w:left="567" w:hanging="567"/>
        <w:jc w:val="both"/>
        <w:rPr>
          <w:rFonts w:ascii="Arial Narrow" w:hAnsi="Arial Narrow" w:cs="Arial"/>
          <w:color w:val="000000" w:themeColor="text1"/>
          <w:lang w:eastAsia="es-ES"/>
        </w:rPr>
      </w:pPr>
    </w:p>
    <w:p w14:paraId="20073ABB" w14:textId="77777777" w:rsidR="007968EC" w:rsidRPr="002C0D19" w:rsidRDefault="007968EC" w:rsidP="007968EC">
      <w:pPr>
        <w:ind w:left="567" w:hanging="567"/>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2. </w:t>
      </w:r>
      <w:r w:rsidRPr="002C0D19">
        <w:rPr>
          <w:rFonts w:ascii="Arial Narrow" w:hAnsi="Arial Narrow" w:cs="Arial"/>
          <w:color w:val="000000" w:themeColor="text1"/>
          <w:lang w:eastAsia="es-ES"/>
        </w:rPr>
        <w:tab/>
        <w:t>Copia de la Liquidación Diaria, al Vencimiento o cuentas de cobro por pago de los servicios de Liquidación incumplidos por el Tercero o Miembro no Liquidador.</w:t>
      </w:r>
    </w:p>
    <w:p w14:paraId="5064D54D" w14:textId="77777777" w:rsidR="007968EC" w:rsidRPr="002C0D19" w:rsidRDefault="007968EC" w:rsidP="007968EC">
      <w:pPr>
        <w:ind w:left="567" w:hanging="567"/>
        <w:jc w:val="both"/>
        <w:rPr>
          <w:rFonts w:ascii="Arial Narrow" w:hAnsi="Arial Narrow" w:cs="Arial"/>
          <w:color w:val="000000" w:themeColor="text1"/>
          <w:lang w:eastAsia="es-ES"/>
        </w:rPr>
      </w:pPr>
    </w:p>
    <w:p w14:paraId="4757BBBF" w14:textId="77777777" w:rsidR="007968EC" w:rsidRPr="002C0D19" w:rsidRDefault="007968EC" w:rsidP="007968EC">
      <w:pPr>
        <w:ind w:left="567" w:hanging="567"/>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3. </w:t>
      </w:r>
      <w:r w:rsidRPr="002C0D19">
        <w:rPr>
          <w:rFonts w:ascii="Arial Narrow" w:hAnsi="Arial Narrow" w:cs="Arial"/>
          <w:color w:val="000000" w:themeColor="text1"/>
          <w:lang w:eastAsia="es-ES"/>
        </w:rPr>
        <w:tab/>
        <w:t>Comunicación del plan de acción del Miembro Liquidador afectado para hacer frente al Incumplimiento, en la cual solicite el cierre y/o el traslado de las posiciones abiertas de las Cuentas del Tercero o Miembro no Liquidador Incumplido, el cierre de Cuentas y su exclusión de la Cámara.</w:t>
      </w:r>
    </w:p>
    <w:p w14:paraId="0BCA60E3" w14:textId="77777777" w:rsidR="007968EC" w:rsidRPr="002C0D19" w:rsidRDefault="007968EC" w:rsidP="007968EC">
      <w:pPr>
        <w:jc w:val="both"/>
        <w:rPr>
          <w:rFonts w:ascii="Arial Narrow" w:hAnsi="Arial Narrow" w:cs="Arial"/>
          <w:color w:val="000000" w:themeColor="text1"/>
          <w:lang w:eastAsia="es-ES"/>
        </w:rPr>
      </w:pPr>
    </w:p>
    <w:p w14:paraId="6DF3976A" w14:textId="77777777" w:rsidR="007968EC" w:rsidRPr="002C0D19" w:rsidRDefault="007968EC" w:rsidP="007968EC">
      <w:pPr>
        <w:ind w:left="567" w:hanging="567"/>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4. </w:t>
      </w:r>
      <w:r w:rsidRPr="002C0D19">
        <w:rPr>
          <w:rFonts w:ascii="Arial Narrow" w:hAnsi="Arial Narrow" w:cs="Arial"/>
          <w:color w:val="000000" w:themeColor="text1"/>
          <w:lang w:eastAsia="es-ES"/>
        </w:rPr>
        <w:tab/>
        <w:t>En el caso de ser necesaria la transferencia de las Cuentas de Terceros del Miembro no Liquidador Incumplido a su Miembro Liquidador, éste deberá reportar la actualización de los datos de referencia necesarios para efectuar la notificación de dicha eventualidad.</w:t>
      </w:r>
    </w:p>
    <w:p w14:paraId="3504AB21" w14:textId="77777777" w:rsidR="007968EC" w:rsidRPr="002C0D19" w:rsidRDefault="007968EC" w:rsidP="007968EC">
      <w:pPr>
        <w:jc w:val="both"/>
        <w:rPr>
          <w:rFonts w:ascii="Arial Narrow" w:hAnsi="Arial Narrow" w:cs="Arial"/>
          <w:color w:val="000000" w:themeColor="text1"/>
          <w:lang w:eastAsia="es-ES"/>
        </w:rPr>
      </w:pPr>
    </w:p>
    <w:p w14:paraId="0F25E0F1" w14:textId="77777777" w:rsidR="007968EC" w:rsidRDefault="007968EC" w:rsidP="007968EC">
      <w:pPr>
        <w:pStyle w:val="ARTICULO0"/>
      </w:pPr>
      <w:bookmarkStart w:id="2641" w:name="_Toc472592194"/>
      <w:bookmarkStart w:id="2642" w:name="_Toc472593213"/>
      <w:bookmarkStart w:id="2643" w:name="_Toc479056999"/>
      <w:bookmarkStart w:id="2644" w:name="_Toc31716011"/>
      <w:bookmarkStart w:id="2645" w:name="_Toc470775517"/>
      <w:bookmarkStart w:id="2646" w:name="_Toc470779802"/>
      <w:bookmarkStart w:id="2647" w:name="_Toc470780419"/>
      <w:bookmarkStart w:id="2648" w:name="_Toc470780932"/>
      <w:bookmarkStart w:id="2649" w:name="_Toc470784493"/>
      <w:bookmarkStart w:id="2650" w:name="_Toc470785030"/>
      <w:bookmarkStart w:id="2651" w:name="_Toc470791416"/>
      <w:bookmarkStart w:id="2652" w:name="_Toc490066321"/>
      <w:r w:rsidRPr="002C0D19">
        <w:t>Artículo 1.7.2.2. Procedimiento operativo para gestionar el Incumplimiento por parte de un Miembro Liquidador.</w:t>
      </w:r>
      <w:bookmarkEnd w:id="2641"/>
      <w:bookmarkEnd w:id="2642"/>
      <w:bookmarkEnd w:id="2643"/>
      <w:bookmarkEnd w:id="2644"/>
      <w:r w:rsidRPr="002C0D19">
        <w:t xml:space="preserve"> </w:t>
      </w:r>
    </w:p>
    <w:p w14:paraId="3B3329C2" w14:textId="77777777" w:rsidR="007968EC" w:rsidRPr="00D9028E" w:rsidRDefault="007968EC" w:rsidP="007968EC">
      <w:pPr>
        <w:jc w:val="both"/>
        <w:rPr>
          <w:rFonts w:ascii="Arial Narrow" w:hAnsi="Arial Narrow" w:cs="Arial"/>
          <w:color w:val="000000" w:themeColor="text1"/>
          <w:lang w:eastAsia="es-ES"/>
        </w:rPr>
      </w:pPr>
    </w:p>
    <w:p w14:paraId="34D5D7C3" w14:textId="77777777" w:rsidR="007968EC" w:rsidRPr="002C0D19" w:rsidRDefault="007968EC" w:rsidP="007968EC">
      <w:pPr>
        <w:pStyle w:val="ANTECEDENTES"/>
      </w:pPr>
      <w:r w:rsidRPr="002C0D19">
        <w:t>(Este artículo fue modificado mediante Circular 5 del 8 de marzo de 2010, publicada en el Boletín Normativo No. 005 del 8 de marzo de 2010,</w:t>
      </w:r>
      <w:r w:rsidRPr="002C0D19">
        <w:rPr>
          <w:bCs/>
        </w:rPr>
        <w:t xml:space="preserve"> mediante Circular 16 del 1 de octubre de 2010, publicada en el Boletín Normativo No. 018 del 1 de octubre de 2010,</w:t>
      </w:r>
      <w:r w:rsidRPr="002C0D19">
        <w:t xml:space="preserve"> mediante Circular 20 del 4 de noviembre de 2011, publicada en el Boletín Normativo No. 023 del 4 de noviembre de 2011,</w:t>
      </w:r>
      <w:r w:rsidRPr="002C0D19">
        <w:rPr>
          <w:lang w:val="es-ES_tradnl"/>
        </w:rPr>
        <w:t xml:space="preserve"> </w:t>
      </w:r>
      <w:r w:rsidRPr="002C0D19">
        <w:t>mediante Circular 22 del 14 de noviembre de 2014, publicada en el Boletín Normativo No. 025 del 14 de noviembre de 2014,</w:t>
      </w:r>
      <w:r w:rsidRPr="002C0D19">
        <w:rPr>
          <w:rFonts w:eastAsia="Calibri" w:cs="Times New Roman"/>
          <w:bCs/>
        </w:rPr>
        <w:t xml:space="preserve"> mediante Circular 24 del 6 de agosto de 2015, publicada en el Boletín Normativo No. 026 del 6 de agosto de 2015, </w:t>
      </w:r>
      <w:r w:rsidRPr="002C0D19">
        <w:t>mediante Circular 19 del 28 de diciembre de 2016, publicada en el Boletín Normativo No. 024 del 28 de diciembre de 2016 y mediante Circular 14 del 8 de agosto de 2017, publicada en el Boletín Normativo No. 015 del 8 de agosto de 2017. Rige a partir del 9 de agosto de 2017.)</w:t>
      </w:r>
      <w:bookmarkEnd w:id="2645"/>
      <w:bookmarkEnd w:id="2646"/>
      <w:bookmarkEnd w:id="2647"/>
      <w:bookmarkEnd w:id="2648"/>
      <w:bookmarkEnd w:id="2649"/>
      <w:bookmarkEnd w:id="2650"/>
      <w:bookmarkEnd w:id="2651"/>
      <w:bookmarkEnd w:id="2652"/>
    </w:p>
    <w:p w14:paraId="0AC316FB" w14:textId="77777777" w:rsidR="007968EC" w:rsidRPr="002C0D19" w:rsidRDefault="007968EC" w:rsidP="007968EC">
      <w:pPr>
        <w:tabs>
          <w:tab w:val="left" w:pos="5988"/>
        </w:tabs>
        <w:jc w:val="both"/>
        <w:rPr>
          <w:rFonts w:ascii="Arial Narrow" w:hAnsi="Arial Narrow" w:cs="Arial"/>
          <w:bCs/>
          <w:color w:val="000000" w:themeColor="text1"/>
          <w:lang w:val="es-ES" w:eastAsia="es-ES"/>
        </w:rPr>
      </w:pPr>
    </w:p>
    <w:p w14:paraId="79554511" w14:textId="77777777" w:rsidR="007968EC" w:rsidRPr="002C0D19" w:rsidRDefault="007968EC" w:rsidP="007968EC">
      <w:pPr>
        <w:tabs>
          <w:tab w:val="left" w:pos="5988"/>
        </w:tabs>
        <w:jc w:val="both"/>
        <w:rPr>
          <w:rFonts w:ascii="Arial Narrow" w:hAnsi="Arial Narrow" w:cs="Arial"/>
          <w:lang w:val="es-ES" w:eastAsia="es-ES"/>
        </w:rPr>
      </w:pPr>
      <w:r w:rsidRPr="002C0D19">
        <w:rPr>
          <w:rFonts w:ascii="Arial Narrow" w:hAnsi="Arial Narrow" w:cs="Arial"/>
          <w:lang w:val="es-ES" w:eastAsia="es-ES"/>
        </w:rPr>
        <w:t xml:space="preserve">Sin perjuicio de lo dispuesto en el capítulo octavo del título segundo del Reglamento de Funcionamiento de la Cámara, ésta gestionará el incumplimiento de un Miembro Liquidador respecto de todas obligaciones en </w:t>
      </w:r>
      <w:r w:rsidRPr="002C0D19">
        <w:rPr>
          <w:rFonts w:ascii="Arial Narrow" w:hAnsi="Arial Narrow" w:cs="Arial"/>
          <w:lang w:val="es-ES" w:eastAsia="es-ES"/>
        </w:rPr>
        <w:lastRenderedPageBreak/>
        <w:t>todos los Segmentos de la Cámara en que participe dicho Miembro, de acuerdo con el siguiente procedimiento:</w:t>
      </w:r>
    </w:p>
    <w:p w14:paraId="57478B9E" w14:textId="77777777" w:rsidR="007968EC" w:rsidRPr="002C0D19" w:rsidRDefault="007968EC" w:rsidP="007968EC">
      <w:pPr>
        <w:tabs>
          <w:tab w:val="left" w:pos="5988"/>
        </w:tabs>
        <w:jc w:val="both"/>
        <w:rPr>
          <w:rFonts w:ascii="Arial Narrow" w:hAnsi="Arial Narrow" w:cs="Arial"/>
          <w:lang w:val="es-ES" w:eastAsia="es-ES"/>
        </w:rPr>
      </w:pPr>
    </w:p>
    <w:p w14:paraId="6EC422B5" w14:textId="77777777" w:rsidR="007968EC" w:rsidRPr="002C0D19" w:rsidRDefault="007968EC" w:rsidP="00DA7472">
      <w:pPr>
        <w:numPr>
          <w:ilvl w:val="0"/>
          <w:numId w:val="59"/>
        </w:numPr>
        <w:tabs>
          <w:tab w:val="num" w:pos="567"/>
        </w:tabs>
        <w:ind w:left="567" w:hanging="567"/>
        <w:jc w:val="both"/>
        <w:rPr>
          <w:rFonts w:ascii="Arial Narrow" w:hAnsi="Arial Narrow" w:cs="Arial"/>
          <w:lang w:val="es-ES" w:eastAsia="es-CO"/>
        </w:rPr>
      </w:pPr>
      <w:r w:rsidRPr="002C0D19">
        <w:rPr>
          <w:rFonts w:ascii="Arial Narrow" w:hAnsi="Arial Narrow" w:cs="Arial"/>
          <w:lang w:val="es-ES" w:eastAsia="es-CO"/>
        </w:rPr>
        <w:t>Enviará una comunicación formal al Representante Legal del Miembro Liquidador incumplido notificándole las acciones que adelantará ante el administrador del sistema de negociación o registro, Mecanismo de Contratación con los cuales tenga suscritos acuerdos de servicios, y ante las autoridades competentes.</w:t>
      </w:r>
    </w:p>
    <w:p w14:paraId="757472AF" w14:textId="77777777" w:rsidR="007968EC" w:rsidRPr="002C0D19" w:rsidRDefault="007968EC" w:rsidP="007968EC">
      <w:pPr>
        <w:tabs>
          <w:tab w:val="num" w:pos="567"/>
        </w:tabs>
        <w:ind w:left="567" w:hanging="567"/>
        <w:jc w:val="both"/>
        <w:rPr>
          <w:rFonts w:ascii="Arial Narrow" w:hAnsi="Arial Narrow" w:cs="Arial"/>
          <w:lang w:eastAsia="es-ES"/>
        </w:rPr>
      </w:pPr>
    </w:p>
    <w:p w14:paraId="0F60AA60" w14:textId="77777777" w:rsidR="007968EC" w:rsidRPr="002C0D19" w:rsidRDefault="007968EC" w:rsidP="00DA7472">
      <w:pPr>
        <w:numPr>
          <w:ilvl w:val="0"/>
          <w:numId w:val="59"/>
        </w:numPr>
        <w:tabs>
          <w:tab w:val="num" w:pos="567"/>
        </w:tabs>
        <w:ind w:left="567" w:hanging="567"/>
        <w:jc w:val="both"/>
        <w:rPr>
          <w:rFonts w:ascii="Arial Narrow" w:hAnsi="Arial Narrow" w:cs="Arial"/>
          <w:lang w:val="es-ES" w:eastAsia="es-ES"/>
        </w:rPr>
      </w:pPr>
      <w:r w:rsidRPr="002C0D19">
        <w:rPr>
          <w:rFonts w:ascii="Arial Narrow" w:hAnsi="Arial Narrow" w:cs="Arial"/>
          <w:lang w:val="es-ES" w:eastAsia="es-ES"/>
        </w:rPr>
        <w:t>Ejercerá la transferencia de las Garantías constituidas en efectivo y valores bajo la titularidad del Miembro Liquidador Incumplido hacia la cuenta de cumplimiento de la Cámara, de acuerdo con los procedimientos establecidos por los Depósitos y el sistema de pagos del Banco de la República.</w:t>
      </w:r>
    </w:p>
    <w:p w14:paraId="0A74CFAA" w14:textId="77777777" w:rsidR="007968EC" w:rsidRPr="002C0D19" w:rsidRDefault="007968EC" w:rsidP="007968EC">
      <w:pPr>
        <w:tabs>
          <w:tab w:val="num" w:pos="567"/>
        </w:tabs>
        <w:ind w:left="567" w:hanging="567"/>
        <w:jc w:val="both"/>
        <w:rPr>
          <w:rFonts w:ascii="Arial Narrow" w:hAnsi="Arial Narrow" w:cs="Arial"/>
          <w:lang w:val="es-ES" w:eastAsia="es-ES"/>
        </w:rPr>
      </w:pPr>
    </w:p>
    <w:p w14:paraId="3E4F555F" w14:textId="77777777" w:rsidR="007968EC" w:rsidRPr="002C0D19" w:rsidRDefault="007968EC" w:rsidP="00DA7472">
      <w:pPr>
        <w:numPr>
          <w:ilvl w:val="0"/>
          <w:numId w:val="59"/>
        </w:numPr>
        <w:tabs>
          <w:tab w:val="num" w:pos="567"/>
        </w:tabs>
        <w:ind w:left="567" w:hanging="567"/>
        <w:jc w:val="both"/>
        <w:rPr>
          <w:rFonts w:ascii="Arial Narrow" w:hAnsi="Arial Narrow" w:cs="Arial"/>
          <w:lang w:eastAsia="es-CO"/>
        </w:rPr>
      </w:pPr>
      <w:r w:rsidRPr="002C0D19">
        <w:rPr>
          <w:rFonts w:ascii="Arial Narrow" w:hAnsi="Arial Narrow" w:cs="Arial"/>
          <w:lang w:eastAsia="es-CO"/>
        </w:rPr>
        <w:t>Una vez las Garantías son transferidas, la Cámara realizará las gestiones para hacerlas efectivas en el mercado de acuerdo con los parámetros de su política de administración de riesgos las cuales ejecutará de conformidad con el orden de Ejecución de Garantías y otros recursos en eventos de Incumplimiento establecidos en el artículo 2.8.8. del Reglamento de Funcionamiento y el artículo 1.7.2.10. de la presente Circular.</w:t>
      </w:r>
    </w:p>
    <w:p w14:paraId="048AE23A" w14:textId="77777777" w:rsidR="007968EC" w:rsidRPr="002C0D19" w:rsidRDefault="007968EC" w:rsidP="007968EC">
      <w:pPr>
        <w:ind w:left="705"/>
        <w:jc w:val="both"/>
        <w:rPr>
          <w:rFonts w:ascii="Arial Narrow" w:hAnsi="Arial Narrow" w:cs="Arial"/>
          <w:lang w:val="es-ES" w:eastAsia="es-ES"/>
        </w:rPr>
      </w:pPr>
    </w:p>
    <w:p w14:paraId="5F156DD6" w14:textId="77777777" w:rsidR="007968EC" w:rsidRPr="002C0D19" w:rsidRDefault="007968EC" w:rsidP="007968EC">
      <w:pPr>
        <w:ind w:left="567"/>
        <w:jc w:val="both"/>
        <w:rPr>
          <w:rFonts w:ascii="Arial Narrow" w:hAnsi="Arial Narrow" w:cs="Arial"/>
          <w:lang w:val="es-ES" w:eastAsia="es-ES"/>
        </w:rPr>
      </w:pPr>
      <w:r w:rsidRPr="002C0D19">
        <w:rPr>
          <w:rFonts w:ascii="Arial Narrow" w:hAnsi="Arial Narrow" w:cs="Arial"/>
          <w:lang w:val="es-ES" w:eastAsia="es-ES"/>
        </w:rPr>
        <w:t>Sin perjuicio de lo anterior, cuando el Incumplimiento es causado por la no entrega del Activo Subyacente correspondiente a las Operaciones Aceptadas con Liquidación por Entrega, la Cámara al no contar con el Activo Subyacente podrá de manera alternativa cumplir, tomando las Garantías constituidas en los Activos Subyacentes a entregar, que estén bajo la titularidad del Miembro Liquidador Incumplido, para dar cumplimiento total o parcial a las obligaciones derivadas del proceso de entrega. Para resolver el proceso de entrega de los Activos a los titulares de Cuenta con derecho a recibirlos, la Cámara procederá a entregarlos en forma proporcional de acuerdo con el resultado del cálculo del algoritmo para solucionar el proceso de entrega de los Activos o la solución del proceso de entrega de Activos objeto de la Operación compensada y liquidada por la Cámara.</w:t>
      </w:r>
    </w:p>
    <w:p w14:paraId="54238F5F" w14:textId="77777777" w:rsidR="007968EC" w:rsidRPr="002C0D19" w:rsidRDefault="007968EC" w:rsidP="007968EC">
      <w:pPr>
        <w:ind w:left="567"/>
        <w:jc w:val="both"/>
        <w:rPr>
          <w:rFonts w:ascii="Arial Narrow" w:hAnsi="Arial Narrow" w:cs="Arial"/>
          <w:lang w:val="es-ES" w:eastAsia="es-ES"/>
        </w:rPr>
      </w:pPr>
    </w:p>
    <w:p w14:paraId="7340072D" w14:textId="77777777" w:rsidR="007968EC" w:rsidRPr="002C0D19" w:rsidRDefault="007968EC" w:rsidP="007968EC">
      <w:pPr>
        <w:ind w:left="567"/>
        <w:jc w:val="both"/>
        <w:rPr>
          <w:rFonts w:ascii="Arial Narrow" w:hAnsi="Arial Narrow" w:cs="Arial"/>
          <w:lang w:val="es-ES" w:eastAsia="es-ES"/>
        </w:rPr>
      </w:pPr>
      <w:r w:rsidRPr="002C0D19">
        <w:rPr>
          <w:rFonts w:ascii="Arial Narrow" w:hAnsi="Arial Narrow" w:cs="Arial"/>
          <w:lang w:val="es-ES" w:eastAsia="es-ES"/>
        </w:rPr>
        <w:t xml:space="preserve">Las Garantías tomadas por la Cámara de acuerdo con el párrafo anterior generan un derecho a favor del Miembro Liquidador Incumplido en virtud de las Operaciones Aceptadas con Liquidación por Entrega, equivalente a la multiplicación del valor nominal de dicha Garantía por el Precio de Liquidación al Vencimiento del Activo. El derecho será tenido en cuenta por la Cámara una vez se resuelva el proceso de Incumplimiento con dicho Miembro. En todo caso, la Cámara podrá deducir de este valor las obligaciones generadas por el proceso de Incumplimiento. </w:t>
      </w:r>
    </w:p>
    <w:p w14:paraId="7A60371D" w14:textId="77777777" w:rsidR="007968EC" w:rsidRPr="002C0D19" w:rsidRDefault="007968EC" w:rsidP="007968EC">
      <w:pPr>
        <w:tabs>
          <w:tab w:val="num" w:pos="540"/>
        </w:tabs>
        <w:ind w:left="540" w:hanging="540"/>
        <w:jc w:val="both"/>
        <w:rPr>
          <w:rFonts w:ascii="Arial Narrow" w:hAnsi="Arial Narrow" w:cs="Arial"/>
          <w:lang w:val="es-ES" w:eastAsia="es-ES"/>
        </w:rPr>
      </w:pPr>
    </w:p>
    <w:p w14:paraId="582F57C8" w14:textId="77777777" w:rsidR="007968EC" w:rsidRPr="002C0D19" w:rsidRDefault="007968EC" w:rsidP="00DA7472">
      <w:pPr>
        <w:numPr>
          <w:ilvl w:val="0"/>
          <w:numId w:val="59"/>
        </w:numPr>
        <w:tabs>
          <w:tab w:val="num" w:pos="567"/>
        </w:tabs>
        <w:ind w:left="567" w:hanging="567"/>
        <w:jc w:val="both"/>
        <w:rPr>
          <w:rFonts w:ascii="Arial Narrow" w:hAnsi="Arial Narrow" w:cs="Arial"/>
          <w:lang w:val="es-ES" w:eastAsia="es-ES"/>
        </w:rPr>
      </w:pPr>
      <w:r w:rsidRPr="002C0D19">
        <w:rPr>
          <w:rFonts w:ascii="Arial Narrow" w:hAnsi="Arial Narrow" w:cs="Arial"/>
          <w:lang w:val="es-ES" w:eastAsia="es-ES"/>
        </w:rPr>
        <w:t>Paralelamente, la Cámara efectuará el Traspaso de Posición (Operación tipo Z) de las Cuentas propias del Miembro Liquidador Incumplido hacia la Cuenta de la Cámara provista para efectuar el proceso de cierre de posiciones en cada Segmento en los que el Miembro Liquidador incumplido participe en la Compensación y Liquidación, de acuerdo con lo dispuesto en el artículo 1.7.2.4., con el fin de reducir el tamaño de su exposición en riesgo.</w:t>
      </w:r>
    </w:p>
    <w:p w14:paraId="2B47846D" w14:textId="77777777" w:rsidR="007968EC" w:rsidRPr="002C0D19" w:rsidRDefault="007968EC" w:rsidP="007968EC">
      <w:pPr>
        <w:tabs>
          <w:tab w:val="num" w:pos="540"/>
        </w:tabs>
        <w:ind w:left="540" w:hanging="540"/>
        <w:jc w:val="both"/>
        <w:rPr>
          <w:rFonts w:ascii="Arial Narrow" w:hAnsi="Arial Narrow" w:cs="Arial"/>
          <w:lang w:val="es-ES" w:eastAsia="es-ES"/>
        </w:rPr>
      </w:pPr>
    </w:p>
    <w:p w14:paraId="71B00B3B" w14:textId="77777777" w:rsidR="007968EC" w:rsidRPr="002C0D19" w:rsidRDefault="007968EC" w:rsidP="007968EC">
      <w:pPr>
        <w:ind w:left="540"/>
        <w:jc w:val="both"/>
        <w:rPr>
          <w:rFonts w:ascii="Arial Narrow" w:hAnsi="Arial Narrow" w:cs="Arial"/>
          <w:lang w:val="es-ES" w:eastAsia="es-ES"/>
        </w:rPr>
      </w:pPr>
      <w:r w:rsidRPr="002C0D19">
        <w:rPr>
          <w:rFonts w:ascii="Arial Narrow" w:hAnsi="Arial Narrow" w:cs="Arial"/>
          <w:lang w:val="es-ES" w:eastAsia="es-ES"/>
        </w:rPr>
        <w:t xml:space="preserve">Si el Incumplimiento es causado por la no entrega del Activo Subyacente o Activo correspondiente a Operaciones Aceptadas con Liquidación por Entrega, la Cámara asumirá la obligación de cumplir dicha </w:t>
      </w:r>
      <w:r w:rsidRPr="002C0D19">
        <w:rPr>
          <w:rFonts w:ascii="Arial Narrow" w:hAnsi="Arial Narrow" w:cs="Arial"/>
          <w:lang w:val="es-ES" w:eastAsia="es-ES"/>
        </w:rPr>
        <w:lastRenderedPageBreak/>
        <w:t xml:space="preserve">entrega o cumplirá dicha obligación haciendo uso de los mecanismos descritos en el artículo 2.6.12. del Reglamento de Funcionamiento. </w:t>
      </w:r>
    </w:p>
    <w:p w14:paraId="09ABDB23" w14:textId="77777777" w:rsidR="007968EC" w:rsidRPr="002C0D19" w:rsidRDefault="007968EC" w:rsidP="007968EC">
      <w:pPr>
        <w:ind w:left="540"/>
        <w:jc w:val="both"/>
        <w:rPr>
          <w:rFonts w:ascii="Arial Narrow" w:hAnsi="Arial Narrow" w:cs="Arial"/>
          <w:lang w:val="es-ES" w:eastAsia="es-ES"/>
        </w:rPr>
      </w:pPr>
    </w:p>
    <w:p w14:paraId="21027534" w14:textId="77777777" w:rsidR="007968EC" w:rsidRPr="002C0D19" w:rsidRDefault="007968EC" w:rsidP="00DA7472">
      <w:pPr>
        <w:numPr>
          <w:ilvl w:val="0"/>
          <w:numId w:val="59"/>
        </w:numPr>
        <w:tabs>
          <w:tab w:val="num" w:pos="567"/>
        </w:tabs>
        <w:ind w:left="567" w:hanging="567"/>
        <w:jc w:val="both"/>
        <w:rPr>
          <w:rFonts w:ascii="Arial Narrow" w:hAnsi="Arial Narrow" w:cs="Arial"/>
          <w:lang w:val="es-ES" w:eastAsia="es-ES"/>
        </w:rPr>
      </w:pPr>
      <w:r w:rsidRPr="002C0D19">
        <w:rPr>
          <w:rFonts w:ascii="Arial Narrow" w:hAnsi="Arial Narrow" w:cs="Arial"/>
          <w:lang w:val="es-ES" w:eastAsia="es-ES"/>
        </w:rPr>
        <w:t>Una vez la Posición del Miembro Liquidador Incumplido se encuentra registrada en la cuenta de la Cámara en cada Segmento en los que participe en la Compensación y Liquidación, ésta implementará bajo el análisis de las condiciones de mercado, el procedimiento de cierre de posiciones y podrá establecer un plazo máximo para llevar a cabo el mismo.</w:t>
      </w:r>
    </w:p>
    <w:p w14:paraId="76571B29" w14:textId="77777777" w:rsidR="007968EC" w:rsidRPr="002C0D19" w:rsidRDefault="007968EC" w:rsidP="007968EC">
      <w:pPr>
        <w:ind w:left="540"/>
        <w:jc w:val="both"/>
        <w:rPr>
          <w:rFonts w:ascii="Arial Narrow" w:hAnsi="Arial Narrow" w:cs="Arial"/>
          <w:bCs/>
          <w:lang w:val="es-ES" w:eastAsia="es-ES"/>
        </w:rPr>
      </w:pPr>
    </w:p>
    <w:p w14:paraId="06B9FAD8" w14:textId="77777777" w:rsidR="007968EC" w:rsidRPr="002C0D19" w:rsidRDefault="007968EC" w:rsidP="007968EC">
      <w:pPr>
        <w:ind w:left="540"/>
        <w:jc w:val="both"/>
        <w:rPr>
          <w:rFonts w:ascii="Arial Narrow" w:hAnsi="Arial Narrow" w:cs="Arial"/>
          <w:lang w:val="es-ES" w:eastAsia="es-ES"/>
        </w:rPr>
      </w:pPr>
      <w:r w:rsidRPr="002C0D19">
        <w:rPr>
          <w:rFonts w:ascii="Arial Narrow" w:hAnsi="Arial Narrow" w:cs="Arial"/>
          <w:lang w:val="es-ES" w:eastAsia="es-ES"/>
        </w:rPr>
        <w:t>Adicionalmente, en el caso de las Operaciones Aceptadas con Liquidación por Entrega cuya entrega no se efectuó por el Miembro Liquidador Incumplido, la Cámara cumplirá de manera alternativa entregando el Activo respectivo y/o mediante una Liquidación por Diferencias por Incumplimiento en la Entrega según lo dispuesto por el artículo 2.6.12 del Reglamento de Funcionamiento, así:</w:t>
      </w:r>
    </w:p>
    <w:p w14:paraId="27D8E931" w14:textId="77777777" w:rsidR="007968EC" w:rsidRPr="002C0D19" w:rsidRDefault="007968EC" w:rsidP="007968EC">
      <w:pPr>
        <w:ind w:left="540"/>
        <w:jc w:val="both"/>
        <w:rPr>
          <w:rFonts w:ascii="Arial Narrow" w:hAnsi="Arial Narrow" w:cs="Arial"/>
          <w:lang w:val="es-ES" w:eastAsia="es-ES"/>
        </w:rPr>
      </w:pPr>
    </w:p>
    <w:p w14:paraId="4776C388" w14:textId="77777777" w:rsidR="007968EC" w:rsidRPr="002C0D19" w:rsidRDefault="007968EC" w:rsidP="00DA7472">
      <w:pPr>
        <w:numPr>
          <w:ilvl w:val="0"/>
          <w:numId w:val="158"/>
        </w:numPr>
        <w:jc w:val="both"/>
        <w:rPr>
          <w:rFonts w:ascii="Arial Narrow" w:hAnsi="Arial Narrow" w:cs="Arial"/>
          <w:lang w:val="es-ES" w:eastAsia="es-CO"/>
        </w:rPr>
      </w:pPr>
      <w:r w:rsidRPr="002C0D19">
        <w:rPr>
          <w:rFonts w:ascii="Arial Narrow" w:hAnsi="Arial Narrow" w:cs="Arial"/>
          <w:lang w:val="es-ES" w:eastAsia="es-CO"/>
        </w:rPr>
        <w:t xml:space="preserve">La Cámara podrá adquirir de forma total o parcial los Activos Subyacentes o Activos, no entregados por los titulares con la posición neta o bruta vendedora y efectuar la entrega de los mismos a los titulares de Cuenta con posición neta o bruta compradora correspondientes, de acuerdo con el resultado del cálculo del algoritmo para solucionar el proceso de entrega de los Activos o la solución del proceso de entrega de Activos objeto de la Operación compensada y liquidada por la Cámara, según los procedimientos descritos en la presente Circular. </w:t>
      </w:r>
    </w:p>
    <w:p w14:paraId="3238243B" w14:textId="77777777" w:rsidR="007968EC" w:rsidRPr="002C0D19" w:rsidRDefault="007968EC" w:rsidP="007968EC">
      <w:pPr>
        <w:ind w:left="540"/>
        <w:jc w:val="both"/>
        <w:rPr>
          <w:rFonts w:ascii="Arial Narrow" w:hAnsi="Arial Narrow" w:cs="Arial"/>
          <w:bCs/>
          <w:lang w:val="es-ES" w:eastAsia="es-ES"/>
        </w:rPr>
      </w:pPr>
    </w:p>
    <w:p w14:paraId="2ED2AD86" w14:textId="77777777" w:rsidR="007968EC" w:rsidRPr="002C0D19" w:rsidRDefault="007968EC" w:rsidP="007968EC">
      <w:pPr>
        <w:ind w:left="540"/>
        <w:jc w:val="both"/>
        <w:rPr>
          <w:rFonts w:ascii="Arial Narrow" w:hAnsi="Arial Narrow" w:cs="Arial"/>
          <w:lang w:val="es-ES" w:eastAsia="es-ES"/>
        </w:rPr>
      </w:pPr>
      <w:r w:rsidRPr="002C0D19">
        <w:rPr>
          <w:rFonts w:ascii="Arial Narrow" w:hAnsi="Arial Narrow" w:cs="Arial"/>
          <w:lang w:val="es-ES" w:eastAsia="es-ES"/>
        </w:rPr>
        <w:t xml:space="preserve">La cantidad del Activo Subyacente o Activo para dar cumplimiento a la </w:t>
      </w:r>
      <w:proofErr w:type="gramStart"/>
      <w:r w:rsidRPr="002C0D19">
        <w:rPr>
          <w:rFonts w:ascii="Arial Narrow" w:hAnsi="Arial Narrow" w:cs="Arial"/>
          <w:lang w:val="es-ES" w:eastAsia="es-ES"/>
        </w:rPr>
        <w:t>entrega,</w:t>
      </w:r>
      <w:proofErr w:type="gramEnd"/>
      <w:r w:rsidRPr="002C0D19">
        <w:rPr>
          <w:rFonts w:ascii="Arial Narrow" w:hAnsi="Arial Narrow" w:cs="Arial"/>
          <w:lang w:val="es-ES" w:eastAsia="es-ES"/>
        </w:rPr>
        <w:t xml:space="preserve"> se entregará a los titulares así:</w:t>
      </w:r>
    </w:p>
    <w:p w14:paraId="6357A919" w14:textId="77777777" w:rsidR="007968EC" w:rsidRPr="002C0D19" w:rsidRDefault="007968EC" w:rsidP="007968EC">
      <w:pPr>
        <w:ind w:left="540"/>
        <w:jc w:val="both"/>
        <w:rPr>
          <w:rFonts w:ascii="Arial Narrow" w:hAnsi="Arial Narrow" w:cs="Arial"/>
          <w:lang w:val="es-ES" w:eastAsia="es-ES"/>
        </w:rPr>
      </w:pPr>
    </w:p>
    <w:p w14:paraId="34FEFF7F" w14:textId="77777777" w:rsidR="007968EC" w:rsidRPr="002C0D19" w:rsidRDefault="007968EC" w:rsidP="00DA7472">
      <w:pPr>
        <w:numPr>
          <w:ilvl w:val="3"/>
          <w:numId w:val="14"/>
        </w:numPr>
        <w:ind w:left="993"/>
        <w:jc w:val="both"/>
        <w:rPr>
          <w:rFonts w:ascii="Arial Narrow" w:hAnsi="Arial Narrow" w:cs="Arial"/>
          <w:lang w:val="es-ES" w:eastAsia="es-ES"/>
        </w:rPr>
      </w:pPr>
      <w:r w:rsidRPr="002C0D19">
        <w:rPr>
          <w:rFonts w:ascii="Arial Narrow" w:hAnsi="Arial Narrow" w:cs="Arial"/>
          <w:lang w:val="es-ES" w:eastAsia="es-ES"/>
        </w:rPr>
        <w:t>Segmento Derivados Financieros: Para titulares con posición neta compradora de Instrumentos Financieros Derivados Estandarizados de forma proporcional de acuerdo con el resultado del algoritmo de entregas definido en los artículos 2.4.4.12. y siguientes de la presente Circular.</w:t>
      </w:r>
    </w:p>
    <w:p w14:paraId="359C75B1" w14:textId="77777777" w:rsidR="007968EC" w:rsidRPr="002C0D19" w:rsidRDefault="007968EC" w:rsidP="007968EC">
      <w:pPr>
        <w:ind w:left="993"/>
        <w:jc w:val="both"/>
        <w:rPr>
          <w:rFonts w:ascii="Arial Narrow" w:hAnsi="Arial Narrow" w:cs="Arial"/>
          <w:lang w:val="es-ES" w:eastAsia="es-ES"/>
        </w:rPr>
      </w:pPr>
    </w:p>
    <w:p w14:paraId="4E5BD6E0" w14:textId="77777777" w:rsidR="007968EC" w:rsidRPr="002C0D19" w:rsidRDefault="007968EC" w:rsidP="00DA7472">
      <w:pPr>
        <w:numPr>
          <w:ilvl w:val="3"/>
          <w:numId w:val="14"/>
        </w:numPr>
        <w:ind w:left="993"/>
        <w:jc w:val="both"/>
        <w:rPr>
          <w:rFonts w:ascii="Arial Narrow" w:hAnsi="Arial Narrow" w:cs="Arial"/>
          <w:lang w:val="es-ES" w:eastAsia="es-ES"/>
        </w:rPr>
      </w:pPr>
      <w:r w:rsidRPr="002C0D19">
        <w:rPr>
          <w:rFonts w:ascii="Arial Narrow" w:hAnsi="Arial Narrow" w:cs="Arial"/>
          <w:lang w:val="es-ES" w:eastAsia="es-ES"/>
        </w:rPr>
        <w:t>Segmento Renta Fija: Para titulares con posición bruta compradora, en el caso de las Operaciones Simultáneas, de forma proporcional de acuerdo con las parejas definidas según el artículo 3.4.3.5. de la presente Circular.</w:t>
      </w:r>
    </w:p>
    <w:p w14:paraId="344F2578" w14:textId="77777777" w:rsidR="007968EC" w:rsidRPr="002C0D19" w:rsidRDefault="007968EC" w:rsidP="007968EC">
      <w:pPr>
        <w:ind w:left="708"/>
        <w:rPr>
          <w:rFonts w:ascii="Arial Narrow" w:hAnsi="Arial Narrow" w:cs="Arial"/>
          <w:bCs/>
          <w:lang w:eastAsia="es-CO"/>
        </w:rPr>
      </w:pPr>
    </w:p>
    <w:p w14:paraId="5B5D3B1E" w14:textId="77777777" w:rsidR="007968EC" w:rsidRPr="002C0D19" w:rsidRDefault="007968EC" w:rsidP="00DA7472">
      <w:pPr>
        <w:numPr>
          <w:ilvl w:val="3"/>
          <w:numId w:val="14"/>
        </w:numPr>
        <w:ind w:left="993"/>
        <w:jc w:val="both"/>
        <w:rPr>
          <w:rFonts w:ascii="Arial Narrow" w:hAnsi="Arial Narrow" w:cs="Arial"/>
          <w:lang w:val="es-ES" w:eastAsia="es-ES"/>
        </w:rPr>
      </w:pPr>
      <w:r w:rsidRPr="002C0D19">
        <w:rPr>
          <w:rFonts w:ascii="Arial Narrow" w:hAnsi="Arial Narrow" w:cs="Arial"/>
          <w:bCs/>
          <w:lang w:val="es-ES" w:eastAsia="es-ES"/>
        </w:rPr>
        <w:t>Segmento Renta Variable: Para titulares con posición bruta compradora, en el caso de las Operaciones Repo, de forma proporcional de acuerdo con las parejas definidas según el artículo 4.4.3.7. de la presente Circular.</w:t>
      </w:r>
    </w:p>
    <w:p w14:paraId="22B1D587" w14:textId="77777777" w:rsidR="007968EC" w:rsidRPr="002C0D19" w:rsidRDefault="007968EC" w:rsidP="007968EC">
      <w:pPr>
        <w:ind w:left="993"/>
        <w:jc w:val="both"/>
        <w:rPr>
          <w:rFonts w:ascii="Arial Narrow" w:hAnsi="Arial Narrow" w:cs="Arial"/>
          <w:lang w:val="es-ES" w:eastAsia="es-ES"/>
        </w:rPr>
      </w:pPr>
    </w:p>
    <w:p w14:paraId="1B59578A" w14:textId="77777777" w:rsidR="007968EC" w:rsidRPr="002C0D19" w:rsidRDefault="007968EC" w:rsidP="007968EC">
      <w:pPr>
        <w:ind w:left="540"/>
        <w:jc w:val="both"/>
        <w:rPr>
          <w:rFonts w:ascii="Arial Narrow" w:hAnsi="Arial Narrow" w:cs="Arial"/>
          <w:lang w:val="es-ES" w:eastAsia="es-ES"/>
        </w:rPr>
      </w:pPr>
      <w:r w:rsidRPr="002C0D19">
        <w:rPr>
          <w:rFonts w:ascii="Arial Narrow" w:hAnsi="Arial Narrow" w:cs="Arial"/>
          <w:lang w:val="es-ES" w:eastAsia="es-ES"/>
        </w:rPr>
        <w:t>La entrega efectiva del Activo Subyacente o del Activo adquirido por la Cámara para dar cumplimiento a la entrega, estará sujeta a las condiciones de cumplimiento de las operaciones que celebre la Cámara para la adquisición del mismo.</w:t>
      </w:r>
    </w:p>
    <w:p w14:paraId="4D800526" w14:textId="77777777" w:rsidR="007968EC" w:rsidRPr="002C0D19" w:rsidRDefault="007968EC" w:rsidP="007968EC">
      <w:pPr>
        <w:ind w:left="540"/>
        <w:jc w:val="both"/>
        <w:rPr>
          <w:rFonts w:ascii="Arial Narrow" w:hAnsi="Arial Narrow" w:cs="Arial"/>
          <w:lang w:val="es-ES" w:eastAsia="es-ES"/>
        </w:rPr>
      </w:pPr>
    </w:p>
    <w:p w14:paraId="43526F9A" w14:textId="77777777" w:rsidR="007968EC" w:rsidRPr="002C0D19" w:rsidRDefault="007968EC" w:rsidP="007968EC">
      <w:pPr>
        <w:ind w:left="540"/>
        <w:jc w:val="both"/>
        <w:rPr>
          <w:rFonts w:ascii="Arial Narrow" w:hAnsi="Arial Narrow" w:cs="Arial"/>
          <w:lang w:val="es-ES" w:eastAsia="es-ES"/>
        </w:rPr>
      </w:pPr>
      <w:r w:rsidRPr="002C0D19">
        <w:rPr>
          <w:rFonts w:ascii="Arial Narrow" w:hAnsi="Arial Narrow" w:cs="Arial"/>
          <w:lang w:val="es-ES" w:eastAsia="es-ES"/>
        </w:rPr>
        <w:t xml:space="preserve">Cuando el Precio de Adquisición del Activo Subyacente o Activo adquirido por la Cámara sea mayor que el Precio de Liquidación al Vencimiento del Activo o el Precio de Negociación en el caso de las Operaciones Simultáneas, se generará una obligación en cabeza del Miembro Liquidador Incumplido </w:t>
      </w:r>
      <w:r w:rsidRPr="002C0D19">
        <w:rPr>
          <w:rFonts w:ascii="Arial Narrow" w:hAnsi="Arial Narrow" w:cs="Arial"/>
          <w:lang w:val="es-ES" w:eastAsia="es-ES"/>
        </w:rPr>
        <w:lastRenderedPageBreak/>
        <w:t>que no efectuó la entrega de los Activos en virtud de las Operaciones Aceptadas con Liquidación por Entrega. Esta obligación se calculará como la multiplicación entre la diferencia entre los precios y la posición del Activo Subyacente o Activo y entregado por la Cámara para dar cumplimiento a la Entrega correspondiente a dicho Miembro. Esta obligación se sumará a las demás obligaciones derivadas de los costos y gastos asociados a la gestión de Incumplimiento con cargo al Miembro Liquidador Incumplido.</w:t>
      </w:r>
    </w:p>
    <w:p w14:paraId="4C9036E5" w14:textId="77777777" w:rsidR="007968EC" w:rsidRPr="002C0D19" w:rsidRDefault="007968EC" w:rsidP="007968EC">
      <w:pPr>
        <w:ind w:left="540"/>
        <w:jc w:val="both"/>
        <w:rPr>
          <w:rFonts w:ascii="Arial Narrow" w:hAnsi="Arial Narrow" w:cs="Arial"/>
          <w:lang w:val="es-ES" w:eastAsia="es-ES"/>
        </w:rPr>
      </w:pPr>
    </w:p>
    <w:p w14:paraId="5396C1C3" w14:textId="77777777" w:rsidR="007968EC" w:rsidRPr="002C0D19" w:rsidRDefault="007968EC" w:rsidP="007968EC">
      <w:pPr>
        <w:ind w:left="540"/>
        <w:jc w:val="both"/>
        <w:rPr>
          <w:rFonts w:ascii="Arial Narrow" w:hAnsi="Arial Narrow" w:cs="Arial"/>
          <w:lang w:val="es-ES" w:eastAsia="es-ES"/>
        </w:rPr>
      </w:pPr>
      <w:r w:rsidRPr="002C0D19">
        <w:rPr>
          <w:rFonts w:ascii="Arial Narrow" w:hAnsi="Arial Narrow" w:cs="Arial"/>
          <w:lang w:val="es-ES" w:eastAsia="es-ES"/>
        </w:rPr>
        <w:t>Cuando exista más de un Miembro Liquidador que no haya entregado el Activo Subyacente o el Activo correspondiente, en virtud de las operaciones con Liquidación por Entrega, los costos y gastos asociados a la gestión de Incumplimiento se asignarán entre los Miembros Liquidadores Incumplidos de manera proporcional según la cantidad de Activo Subyacente o Activo no entregado a la Cámara.</w:t>
      </w:r>
    </w:p>
    <w:p w14:paraId="5994361F" w14:textId="77777777" w:rsidR="007968EC" w:rsidRPr="002C0D19" w:rsidRDefault="007968EC" w:rsidP="007968EC">
      <w:pPr>
        <w:ind w:left="540"/>
        <w:jc w:val="both"/>
        <w:rPr>
          <w:rFonts w:ascii="Arial Narrow" w:hAnsi="Arial Narrow" w:cs="Arial"/>
          <w:lang w:val="es-ES" w:eastAsia="es-ES"/>
        </w:rPr>
      </w:pPr>
    </w:p>
    <w:p w14:paraId="25ED2CC3" w14:textId="77777777" w:rsidR="007968EC" w:rsidRPr="002C0D19" w:rsidRDefault="007968EC" w:rsidP="007968EC">
      <w:pPr>
        <w:ind w:left="540"/>
        <w:jc w:val="both"/>
        <w:rPr>
          <w:rFonts w:ascii="Arial Narrow" w:hAnsi="Arial Narrow" w:cs="Arial"/>
          <w:lang w:val="es-ES" w:eastAsia="es-ES"/>
        </w:rPr>
      </w:pPr>
      <w:r w:rsidRPr="002C0D19">
        <w:rPr>
          <w:rFonts w:ascii="Arial Narrow" w:hAnsi="Arial Narrow" w:cs="Arial"/>
          <w:lang w:val="es-ES" w:eastAsia="es-ES"/>
        </w:rPr>
        <w:t xml:space="preserve">Como resultado de esta gestión, la Cámara enviará al Miembro Liquidador Incumplido, la liquidación de los conceptos asociados a la gestión de Incumplimiento, incluyendo las consecuencias pecuniarias, si hubiere lugar a ellas, según el artículo </w:t>
      </w:r>
      <w:r w:rsidRPr="002C0D19">
        <w:rPr>
          <w:rFonts w:ascii="Arial Narrow" w:hAnsi="Arial Narrow" w:cs="Arial"/>
          <w:bCs/>
          <w:lang w:val="es-ES" w:eastAsia="es-ES"/>
        </w:rPr>
        <w:t>1.</w:t>
      </w:r>
      <w:r w:rsidRPr="002C0D19">
        <w:rPr>
          <w:rFonts w:ascii="Arial Narrow" w:hAnsi="Arial Narrow" w:cs="Arial"/>
          <w:lang w:val="es-ES" w:eastAsia="es-ES"/>
        </w:rPr>
        <w:t>7.2.3</w:t>
      </w:r>
      <w:r w:rsidRPr="002C0D19">
        <w:rPr>
          <w:rFonts w:ascii="Arial Narrow" w:hAnsi="Arial Narrow" w:cs="Arial"/>
          <w:bCs/>
          <w:lang w:val="es-ES" w:eastAsia="es-ES"/>
        </w:rPr>
        <w:t>.</w:t>
      </w:r>
      <w:r w:rsidRPr="002C0D19">
        <w:rPr>
          <w:rFonts w:ascii="Arial Narrow" w:hAnsi="Arial Narrow" w:cs="Arial"/>
          <w:lang w:val="es-ES" w:eastAsia="es-ES"/>
        </w:rPr>
        <w:t xml:space="preserve"> de la presente Circular.</w:t>
      </w:r>
    </w:p>
    <w:p w14:paraId="16DB0517" w14:textId="77777777" w:rsidR="007968EC" w:rsidRPr="002C0D19" w:rsidRDefault="007968EC" w:rsidP="007968EC">
      <w:pPr>
        <w:ind w:left="540"/>
        <w:jc w:val="both"/>
        <w:rPr>
          <w:rFonts w:ascii="Arial Narrow" w:hAnsi="Arial Narrow" w:cs="Arial"/>
          <w:lang w:val="es-ES" w:eastAsia="es-ES"/>
        </w:rPr>
      </w:pPr>
    </w:p>
    <w:p w14:paraId="6B5F0B6F" w14:textId="77777777" w:rsidR="007968EC" w:rsidRPr="002C0D19" w:rsidRDefault="007968EC" w:rsidP="00DA7472">
      <w:pPr>
        <w:numPr>
          <w:ilvl w:val="1"/>
          <w:numId w:val="14"/>
        </w:numPr>
        <w:tabs>
          <w:tab w:val="num" w:pos="851"/>
        </w:tabs>
        <w:ind w:left="851" w:hanging="284"/>
        <w:jc w:val="both"/>
        <w:rPr>
          <w:rFonts w:ascii="Arial Narrow" w:hAnsi="Arial Narrow" w:cs="Arial"/>
          <w:lang w:val="es-ES" w:eastAsia="es-ES"/>
        </w:rPr>
      </w:pPr>
      <w:r w:rsidRPr="002C0D19">
        <w:rPr>
          <w:rFonts w:ascii="Arial Narrow" w:hAnsi="Arial Narrow" w:cs="Arial"/>
          <w:lang w:val="es-ES" w:eastAsia="es-ES"/>
        </w:rPr>
        <w:t>La Cámara podrá entregar los Activos que haya recibido en Garantía por parte del Miembro Liquidador Incumplido, siempre que estén representados en el Activo Subyacente o Activo de las Operaciones Aceptadas con Liquidación por Entrega para lo cual se seguirá el procedimiento descrito en el numeral 3 del presente artículo.</w:t>
      </w:r>
    </w:p>
    <w:p w14:paraId="3846977D" w14:textId="77777777" w:rsidR="007968EC" w:rsidRPr="002C0D19" w:rsidRDefault="007968EC" w:rsidP="007968EC">
      <w:pPr>
        <w:tabs>
          <w:tab w:val="num" w:pos="851"/>
        </w:tabs>
        <w:ind w:left="851" w:hanging="284"/>
        <w:jc w:val="both"/>
        <w:rPr>
          <w:rFonts w:ascii="Arial Narrow" w:hAnsi="Arial Narrow" w:cs="Arial"/>
          <w:lang w:val="es-ES" w:eastAsia="es-ES"/>
        </w:rPr>
      </w:pPr>
    </w:p>
    <w:p w14:paraId="072E5B20" w14:textId="77777777" w:rsidR="007968EC" w:rsidRPr="002C0D19" w:rsidRDefault="007968EC" w:rsidP="00DA7472">
      <w:pPr>
        <w:numPr>
          <w:ilvl w:val="1"/>
          <w:numId w:val="14"/>
        </w:numPr>
        <w:tabs>
          <w:tab w:val="num" w:pos="851"/>
        </w:tabs>
        <w:ind w:left="851" w:hanging="284"/>
        <w:jc w:val="both"/>
        <w:rPr>
          <w:rFonts w:ascii="Arial Narrow" w:hAnsi="Arial Narrow" w:cs="Arial"/>
          <w:lang w:val="es-ES" w:eastAsia="es-ES"/>
        </w:rPr>
      </w:pPr>
      <w:r w:rsidRPr="002C0D19">
        <w:rPr>
          <w:rFonts w:ascii="Arial Narrow" w:hAnsi="Arial Narrow" w:cs="Arial"/>
          <w:lang w:val="es-ES" w:eastAsia="es-ES"/>
        </w:rPr>
        <w:t>Según lo dispuesto en el artículo 2.8.7</w:t>
      </w:r>
      <w:r w:rsidRPr="002C0D19">
        <w:rPr>
          <w:rFonts w:ascii="Arial Narrow" w:hAnsi="Arial Narrow" w:cs="Arial"/>
          <w:bCs/>
          <w:lang w:val="es-ES" w:eastAsia="es-ES"/>
        </w:rPr>
        <w:t>.</w:t>
      </w:r>
      <w:r w:rsidRPr="002C0D19">
        <w:rPr>
          <w:rFonts w:ascii="Arial Narrow" w:hAnsi="Arial Narrow" w:cs="Arial"/>
          <w:lang w:val="es-ES" w:eastAsia="es-ES"/>
        </w:rPr>
        <w:t xml:space="preserve"> del Reglamento de Funcionamiento, cuando se trate de Operaciones Aceptadas con Liquidación por Entrega, la Cámara podrá cumplir de manera alternativa al Miembro o Miembros asociados al proceso de entrega, que hayan cumplido con todas las obligaciones a su cargo, mediante la Liquidación por Diferencias por Incumplimiento en la Entrega, siguiendo el procedimiento descrito la presente Circular cuando aplique a los Activos o Activos objeto de la Operación compensada y liquidada por la Cámara y demás normas que resulten aplicables de la presente Circular. El cumplimiento de las operaciones por parte de la Cámara mediante una Liquidación por Diferencias por Incumplimiento en la Entrega no subsana el Incumplimiento del Miembro Liquidador y por tanto, la Cámara procederá de conformidad con lo previsto en el Capítulo Octavo del Título Segundo del Reglamento de Funcionamiento y en el Capítulo Segundo del Título Séptimo de la Parte I de la presente Circular.</w:t>
      </w:r>
    </w:p>
    <w:p w14:paraId="186A7D65" w14:textId="77777777" w:rsidR="007968EC" w:rsidRPr="002C0D19" w:rsidRDefault="007968EC" w:rsidP="007968EC">
      <w:pPr>
        <w:ind w:left="567"/>
        <w:jc w:val="both"/>
        <w:rPr>
          <w:rFonts w:ascii="Arial Narrow" w:hAnsi="Arial Narrow" w:cs="Arial"/>
          <w:lang w:val="es-ES" w:eastAsia="es-ES"/>
        </w:rPr>
      </w:pPr>
    </w:p>
    <w:p w14:paraId="485949F5" w14:textId="77777777" w:rsidR="007968EC" w:rsidRPr="002C0D19" w:rsidRDefault="007968EC" w:rsidP="00DA7472">
      <w:pPr>
        <w:numPr>
          <w:ilvl w:val="0"/>
          <w:numId w:val="58"/>
        </w:numPr>
        <w:tabs>
          <w:tab w:val="num" w:pos="567"/>
        </w:tabs>
        <w:ind w:left="567" w:hanging="567"/>
        <w:jc w:val="both"/>
        <w:rPr>
          <w:rFonts w:ascii="Arial Narrow" w:hAnsi="Arial Narrow" w:cs="Arial"/>
          <w:lang w:val="es-ES" w:eastAsia="es-ES"/>
        </w:rPr>
      </w:pPr>
      <w:r w:rsidRPr="002C0D19">
        <w:rPr>
          <w:rFonts w:ascii="Arial Narrow" w:hAnsi="Arial Narrow" w:cs="Arial"/>
          <w:lang w:val="es-ES" w:eastAsia="es-ES"/>
        </w:rPr>
        <w:t>En cualquier caso, ante el incumplimiento del Miembro Liquidador la Cámara intentará proteger las Posiciones y Garantías afectas a las Cuentas de los Terceros y Miembros no Liquidadores y los Terceros de éstos, de acuerdo con el procedimiento dispuesto en el artículo 1.7.2.11. de la presente Circular.</w:t>
      </w:r>
    </w:p>
    <w:p w14:paraId="247713AC" w14:textId="77777777" w:rsidR="007968EC" w:rsidRPr="002C0D19" w:rsidRDefault="007968EC" w:rsidP="007968EC">
      <w:pPr>
        <w:ind w:left="540"/>
        <w:jc w:val="both"/>
        <w:rPr>
          <w:rFonts w:ascii="Arial Narrow" w:hAnsi="Arial Narrow" w:cs="Arial"/>
          <w:lang w:val="es-ES" w:eastAsia="es-ES"/>
        </w:rPr>
      </w:pPr>
    </w:p>
    <w:p w14:paraId="073A74E5" w14:textId="77777777" w:rsidR="007968EC" w:rsidRPr="002C0D19" w:rsidRDefault="007968EC" w:rsidP="00DA7472">
      <w:pPr>
        <w:numPr>
          <w:ilvl w:val="0"/>
          <w:numId w:val="58"/>
        </w:numPr>
        <w:tabs>
          <w:tab w:val="num" w:pos="540"/>
        </w:tabs>
        <w:ind w:left="540" w:hanging="540"/>
        <w:jc w:val="both"/>
        <w:rPr>
          <w:rFonts w:ascii="Arial Narrow" w:hAnsi="Arial Narrow" w:cs="Arial"/>
          <w:lang w:val="es-ES" w:eastAsia="es-ES"/>
        </w:rPr>
      </w:pPr>
      <w:r w:rsidRPr="002C0D19">
        <w:rPr>
          <w:rFonts w:ascii="Arial Narrow" w:hAnsi="Arial Narrow" w:cs="Arial"/>
          <w:lang w:val="es-ES" w:eastAsia="es-ES"/>
        </w:rPr>
        <w:t xml:space="preserve">Finalizado el proceso de cierre de posiciones y los mecanismos de protección de los Terceros Identificados y de los Miembros no Liquidadores, la Cámara procederá a incorporar los costos financieros y operacionales dentro de las obligaciones del Miembro Incumplido, las cuales liquidará contra los recursos provistos por la ejecución de las Garantías. En cualquier caso, el resultado por </w:t>
      </w:r>
      <w:r w:rsidRPr="002C0D19">
        <w:rPr>
          <w:rFonts w:ascii="Arial Narrow" w:hAnsi="Arial Narrow" w:cs="Arial"/>
          <w:lang w:val="es-ES" w:eastAsia="es-ES"/>
        </w:rPr>
        <w:lastRenderedPageBreak/>
        <w:t>cargo o abono se reportará al representante legal de la entidad excluida en un plazo de diez (10) días hábiles, posteriores al cierre de posiciones y/o cumplimiento de la entrega.</w:t>
      </w:r>
    </w:p>
    <w:p w14:paraId="68A32CA3" w14:textId="77777777" w:rsidR="007968EC" w:rsidRPr="002C0D19" w:rsidRDefault="007968EC" w:rsidP="007968EC">
      <w:pPr>
        <w:rPr>
          <w:rFonts w:ascii="Arial Narrow" w:hAnsi="Arial Narrow" w:cs="Arial"/>
          <w:lang w:eastAsia="es-CO"/>
        </w:rPr>
      </w:pPr>
    </w:p>
    <w:p w14:paraId="56F452F0" w14:textId="77777777" w:rsidR="007968EC" w:rsidRPr="002C0D19" w:rsidRDefault="007968EC" w:rsidP="007968EC">
      <w:pPr>
        <w:ind w:left="567"/>
        <w:jc w:val="both"/>
        <w:rPr>
          <w:rFonts w:ascii="Arial Narrow" w:hAnsi="Arial Narrow" w:cs="Arial"/>
          <w:b/>
          <w:color w:val="000000" w:themeColor="text1"/>
          <w:lang w:eastAsia="es-ES"/>
        </w:rPr>
      </w:pPr>
      <w:r w:rsidRPr="002C0D19">
        <w:rPr>
          <w:rFonts w:ascii="Arial Narrow" w:hAnsi="Arial Narrow" w:cs="Arial"/>
          <w:lang w:val="es-ES" w:eastAsia="es-ES"/>
        </w:rPr>
        <w:t>Si la Cámara utiliza como mecanismo de cumplimiento la Liquidación por Diferencias por Incumplimiento en la Entrega, se sumarán a las obligaciones del Miembro Incumplido las consecuencias pecuniarias a que haya lugar, definidas en el artículo 1.7.2.3</w:t>
      </w:r>
      <w:r w:rsidRPr="002C0D19">
        <w:rPr>
          <w:rFonts w:ascii="Arial Narrow" w:hAnsi="Arial Narrow" w:cs="Arial"/>
          <w:lang w:val="es-ES" w:eastAsia="es-CO"/>
        </w:rPr>
        <w:t>.</w:t>
      </w:r>
      <w:r w:rsidRPr="002C0D19">
        <w:rPr>
          <w:rFonts w:ascii="Arial Narrow" w:hAnsi="Arial Narrow" w:cs="Arial"/>
          <w:lang w:val="es-ES" w:eastAsia="es-ES"/>
        </w:rPr>
        <w:t xml:space="preserve"> de la presente Circular.</w:t>
      </w:r>
    </w:p>
    <w:p w14:paraId="761EA656" w14:textId="77777777" w:rsidR="007968EC" w:rsidRPr="002C0D19" w:rsidRDefault="007968EC" w:rsidP="007968EC">
      <w:pPr>
        <w:rPr>
          <w:rFonts w:ascii="Arial Narrow" w:hAnsi="Arial Narrow" w:cs="Arial"/>
          <w:b/>
          <w:color w:val="000000" w:themeColor="text1"/>
          <w:lang w:eastAsia="es-ES"/>
        </w:rPr>
      </w:pPr>
    </w:p>
    <w:p w14:paraId="10E039B1" w14:textId="77777777" w:rsidR="007968EC" w:rsidRDefault="007968EC" w:rsidP="007968EC">
      <w:pPr>
        <w:pStyle w:val="ARTICULO0"/>
      </w:pPr>
      <w:bookmarkStart w:id="2653" w:name="_Toc472592195"/>
      <w:bookmarkStart w:id="2654" w:name="_Toc472593214"/>
      <w:bookmarkStart w:id="2655" w:name="_Toc479057000"/>
      <w:bookmarkStart w:id="2656" w:name="_Toc31716012"/>
      <w:bookmarkStart w:id="2657" w:name="_Toc470775518"/>
      <w:bookmarkStart w:id="2658" w:name="_Toc470779803"/>
      <w:bookmarkStart w:id="2659" w:name="_Toc470780420"/>
      <w:bookmarkStart w:id="2660" w:name="_Toc470780933"/>
      <w:bookmarkStart w:id="2661" w:name="_Toc470784494"/>
      <w:bookmarkStart w:id="2662" w:name="_Toc470785031"/>
      <w:bookmarkStart w:id="2663" w:name="_Toc470791417"/>
      <w:bookmarkStart w:id="2664" w:name="_Toc490066322"/>
      <w:r w:rsidRPr="002C0D19">
        <w:t>Artículo 1.7.2.3. Consecuencias pecuniarias por la no entrega del Activo que corresponda, cuando la operación deba ser cumplida mediante la entrega del mismo.</w:t>
      </w:r>
      <w:bookmarkEnd w:id="2653"/>
      <w:bookmarkEnd w:id="2654"/>
      <w:bookmarkEnd w:id="2655"/>
      <w:bookmarkEnd w:id="2656"/>
      <w:r w:rsidRPr="002C0D19">
        <w:t xml:space="preserve"> </w:t>
      </w:r>
    </w:p>
    <w:p w14:paraId="0511E5F0" w14:textId="77777777" w:rsidR="007968EC" w:rsidRDefault="007968EC" w:rsidP="007968EC">
      <w:pPr>
        <w:keepNext/>
        <w:tabs>
          <w:tab w:val="left" w:pos="1701"/>
        </w:tabs>
        <w:jc w:val="both"/>
        <w:outlineLvl w:val="2"/>
        <w:rPr>
          <w:rFonts w:ascii="Arial Narrow" w:hAnsi="Arial Narrow" w:cs="Arial"/>
          <w:b/>
          <w:color w:val="000000" w:themeColor="text1"/>
          <w:lang w:eastAsia="es-ES"/>
        </w:rPr>
      </w:pPr>
    </w:p>
    <w:p w14:paraId="1AAEE93A" w14:textId="77777777" w:rsidR="007968EC" w:rsidRPr="002C0D19" w:rsidRDefault="007968EC" w:rsidP="007968EC">
      <w:pPr>
        <w:pStyle w:val="ANTECEDENTES"/>
        <w:rPr>
          <w:u w:val="single"/>
        </w:rPr>
      </w:pPr>
      <w:r w:rsidRPr="002C0D19">
        <w:t xml:space="preserve">(Este artículo fue adicionado mediante Circular 5 del 8 de marzo de 2010, publicada en el Boletín Normativo No. 005 del 8 de marzo de 2010 y modificado mediante Circular 6 del 29 de marzo de 2010, publicada en el Boletín Normativo No. 008 del 29 de marzo de 2010, renumerado mediante </w:t>
      </w:r>
      <w:r w:rsidRPr="002C0D19">
        <w:rPr>
          <w:lang w:val="es-ES"/>
        </w:rPr>
        <w:t xml:space="preserve">Circular 19 del 28 de diciembre de 2016, publicada en el Boletín Normativo No. 024 del 28 de diciembre de 2016 y modificado mediante Circular 14 del 8 de agosto de 2017, publicada en el Boletín Normativo No. 015 del 8 de agosto de 2017. </w:t>
      </w:r>
      <w:r w:rsidRPr="002C0D19">
        <w:t>Rige a partir del 9 de agosto de 2017.</w:t>
      </w:r>
      <w:r w:rsidRPr="002C0D19">
        <w:rPr>
          <w:lang w:val="es-ES"/>
        </w:rPr>
        <w:t>)</w:t>
      </w:r>
      <w:bookmarkEnd w:id="2657"/>
      <w:bookmarkEnd w:id="2658"/>
      <w:bookmarkEnd w:id="2659"/>
      <w:bookmarkEnd w:id="2660"/>
      <w:bookmarkEnd w:id="2661"/>
      <w:bookmarkEnd w:id="2662"/>
      <w:bookmarkEnd w:id="2663"/>
      <w:bookmarkEnd w:id="2664"/>
    </w:p>
    <w:p w14:paraId="43362306" w14:textId="77777777" w:rsidR="007968EC" w:rsidRPr="002C0D19" w:rsidRDefault="007968EC" w:rsidP="007968EC">
      <w:pPr>
        <w:jc w:val="both"/>
        <w:rPr>
          <w:rFonts w:ascii="Arial Narrow" w:hAnsi="Arial Narrow" w:cs="Arial"/>
          <w:color w:val="000000" w:themeColor="text1"/>
          <w:lang w:val="es-ES" w:eastAsia="es-ES"/>
        </w:rPr>
      </w:pPr>
    </w:p>
    <w:p w14:paraId="0EEA6590"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lang w:val="es-ES" w:eastAsia="es-ES"/>
        </w:rPr>
        <w:t>De acuerdo con lo establecido en el numeral 2 del artículo 2.8.10. del Título Segundo del Reglamento de Funcionamiento, en caso de Incumplimiento por parte del Miembro Liquidador en la entrega a la Cámara del Activo Subyacente o el Activo objeto de la Operación Aceptada que corresponda, el Miembro Liquidador Incumplido estará sujeto a las siguientes consecuencias pecuniarias directas y automáticas, siempre que se trate de un Activo en relación con el cual se haya determinado en sus generalidades dentro del método de Liquidación la posibilidad de efectuar una Liquidación por Diferencias por Incumplimiento en la Entrega y se aplicarán con base en los parámetros definidos en las reglas especiales del Instrumento:</w:t>
      </w:r>
    </w:p>
    <w:p w14:paraId="51470A9F" w14:textId="77777777" w:rsidR="007968EC" w:rsidRPr="002C0D19" w:rsidRDefault="007968EC" w:rsidP="007968EC">
      <w:pPr>
        <w:jc w:val="both"/>
        <w:rPr>
          <w:rFonts w:ascii="Arial Narrow" w:hAnsi="Arial Narrow" w:cs="Arial"/>
          <w:lang w:val="es-ES" w:eastAsia="es-ES"/>
        </w:rPr>
      </w:pPr>
    </w:p>
    <w:p w14:paraId="2D6F5047" w14:textId="77777777" w:rsidR="007968EC" w:rsidRPr="002C0D19" w:rsidRDefault="007968EC" w:rsidP="00DA7472">
      <w:pPr>
        <w:numPr>
          <w:ilvl w:val="0"/>
          <w:numId w:val="61"/>
        </w:numPr>
        <w:ind w:left="317"/>
        <w:jc w:val="both"/>
        <w:rPr>
          <w:rFonts w:ascii="Arial Narrow" w:hAnsi="Arial Narrow" w:cs="Arial"/>
          <w:lang w:val="es-ES" w:eastAsia="es-ES"/>
        </w:rPr>
      </w:pPr>
      <w:r w:rsidRPr="002C0D19">
        <w:rPr>
          <w:rFonts w:ascii="Arial Narrow" w:hAnsi="Arial Narrow" w:cs="Arial"/>
          <w:lang w:val="es-ES" w:eastAsia="es-ES"/>
        </w:rPr>
        <w:t>Suma a favor de los titulares de Cuenta con derecho a recibir los Activos y que hayan sido objeto de una Liquidación por Diferencias por Incumplimiento en la Entrega: Será el mayor valor entre (i) una suma equivalente al valor de efectivo, a favor o a cargo, del titular de cada Cuenta producto de la Liquidación por Diferencias por Incumplimiento en la Entrega y (ii) el Cálculo de la consecuencia pecuniaria, correspondiente a cada titular de Cuenta con derecho a recibir los Activos.</w:t>
      </w:r>
    </w:p>
    <w:p w14:paraId="22677775" w14:textId="77777777" w:rsidR="007968EC" w:rsidRPr="002C0D19" w:rsidRDefault="007968EC" w:rsidP="007968EC">
      <w:pPr>
        <w:ind w:left="317"/>
        <w:jc w:val="both"/>
        <w:rPr>
          <w:rFonts w:ascii="Arial Narrow" w:hAnsi="Arial Narrow" w:cs="Arial"/>
          <w:lang w:val="es-ES" w:eastAsia="es-ES"/>
        </w:rPr>
      </w:pPr>
    </w:p>
    <w:p w14:paraId="765E77CD" w14:textId="77777777" w:rsidR="007968EC" w:rsidRPr="002C0D19" w:rsidRDefault="007968EC" w:rsidP="007968EC">
      <w:pPr>
        <w:ind w:left="317"/>
        <w:jc w:val="both"/>
        <w:rPr>
          <w:rFonts w:ascii="Arial Narrow" w:hAnsi="Arial Narrow" w:cs="Arial"/>
          <w:lang w:val="es-ES" w:eastAsia="es-ES"/>
        </w:rPr>
      </w:pPr>
      <w:r w:rsidRPr="002C0D19">
        <w:rPr>
          <w:rFonts w:ascii="Arial Narrow" w:hAnsi="Arial Narrow" w:cs="Arial"/>
          <w:lang w:val="es-ES" w:eastAsia="es-ES"/>
        </w:rPr>
        <w:t>Se entiende por cálculo de consecuencia pecuniaria el mayor valor entre: (i) la suma equivalente a un porcentaje del valor de los Activos no entregados valorados a Precio de Liquidación al Vencimiento del Activo y (ii) un número de salarios mínimos mensuales legales vigentes.</w:t>
      </w:r>
    </w:p>
    <w:p w14:paraId="2126EB6F" w14:textId="77777777" w:rsidR="007968EC" w:rsidRPr="002C0D19" w:rsidRDefault="007968EC" w:rsidP="007968EC">
      <w:pPr>
        <w:jc w:val="both"/>
        <w:rPr>
          <w:rFonts w:ascii="Arial Narrow" w:hAnsi="Arial Narrow" w:cs="Arial"/>
          <w:lang w:val="es-ES" w:eastAsia="es-ES"/>
        </w:rPr>
      </w:pPr>
    </w:p>
    <w:p w14:paraId="6D22D3D1" w14:textId="77777777" w:rsidR="007968EC" w:rsidRPr="002C0D19" w:rsidRDefault="007968EC" w:rsidP="00DA7472">
      <w:pPr>
        <w:numPr>
          <w:ilvl w:val="0"/>
          <w:numId w:val="61"/>
        </w:numPr>
        <w:ind w:left="317"/>
        <w:jc w:val="both"/>
        <w:rPr>
          <w:rFonts w:ascii="Arial Narrow" w:hAnsi="Arial Narrow" w:cs="Arial"/>
          <w:lang w:val="es-ES" w:eastAsia="es-ES"/>
        </w:rPr>
      </w:pPr>
      <w:r w:rsidRPr="002C0D19">
        <w:rPr>
          <w:rFonts w:ascii="Arial Narrow" w:hAnsi="Arial Narrow" w:cs="Arial"/>
          <w:lang w:val="es-ES" w:eastAsia="es-ES"/>
        </w:rPr>
        <w:t>Suma a favor de la Cámara: El Miembro Liquidador Incumplido pagará a favor de la Cámara una suma equivalente a un porcentaje del valor de los Activos no entregados valorados a Precio de Liquidación al Vencimiento.</w:t>
      </w:r>
    </w:p>
    <w:p w14:paraId="6C24F89A" w14:textId="77777777" w:rsidR="007968EC" w:rsidRPr="002C0D19" w:rsidRDefault="007968EC" w:rsidP="007968EC">
      <w:pPr>
        <w:ind w:left="317"/>
        <w:jc w:val="both"/>
        <w:rPr>
          <w:rFonts w:ascii="Arial Narrow" w:hAnsi="Arial Narrow" w:cs="Arial"/>
          <w:lang w:val="es-ES" w:eastAsia="es-ES"/>
        </w:rPr>
      </w:pPr>
    </w:p>
    <w:p w14:paraId="61621990"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lang w:val="es-ES" w:eastAsia="es-ES"/>
        </w:rPr>
        <w:t xml:space="preserve">El Miembro Liquidador Incumplido deberá realizar el pago de las consecuencias pecuniarias previstas directamente a la Cámara y ésta pondrá a disposición de los Miembros Liquidadores el detalle de la consecuencia pecuniaria y el saldo neto de efectivo correspondiente para su entrega a los titulares de Cuenta con derecho a la misma. Los titulares de Cuenta solo tendrán derecho a recibir los dineros que les </w:t>
      </w:r>
      <w:r w:rsidRPr="002C0D19">
        <w:rPr>
          <w:rFonts w:ascii="Arial Narrow" w:hAnsi="Arial Narrow" w:cs="Arial"/>
          <w:lang w:val="es-ES" w:eastAsia="es-ES"/>
        </w:rPr>
        <w:lastRenderedPageBreak/>
        <w:t>corresponda en virtud de las consecuencias pecuniarias a través de su Miembro o Miembros Liquidadores y no de la Cámara.</w:t>
      </w:r>
    </w:p>
    <w:p w14:paraId="0B7B9FA1" w14:textId="77777777" w:rsidR="007968EC" w:rsidRPr="002C0D19" w:rsidRDefault="007968EC" w:rsidP="007968EC">
      <w:pPr>
        <w:jc w:val="both"/>
        <w:rPr>
          <w:rFonts w:ascii="Arial Narrow" w:hAnsi="Arial Narrow" w:cs="Arial"/>
          <w:lang w:val="es-ES" w:eastAsia="es-ES"/>
        </w:rPr>
      </w:pPr>
    </w:p>
    <w:p w14:paraId="20A78FB3"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lang w:val="es-ES" w:eastAsia="es-ES"/>
        </w:rPr>
        <w:t>En ningún caso, el Miembro no liquidador o Miembros no Liquidadores, o el Tercero o Terceros titulares de Cuentas tendrán derecho a exigir a la Cámara los dineros que les corresponda recibir en virtud de las consecuencias pecuniarias.</w:t>
      </w:r>
    </w:p>
    <w:p w14:paraId="57407FF2" w14:textId="77777777" w:rsidR="007968EC" w:rsidRPr="002C0D19" w:rsidRDefault="007968EC" w:rsidP="007968EC">
      <w:pPr>
        <w:jc w:val="both"/>
        <w:rPr>
          <w:rFonts w:ascii="Arial Narrow" w:hAnsi="Arial Narrow" w:cs="Arial"/>
          <w:lang w:val="es-ES" w:eastAsia="es-ES"/>
        </w:rPr>
      </w:pPr>
    </w:p>
    <w:p w14:paraId="60795069"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lang w:val="es-ES" w:eastAsia="es-ES"/>
        </w:rPr>
        <w:t>El Miembro Liquidador Incumplido responderá ante la Cámara por todos los daños y perjuicios que el Incumplimiento pudiera haber causado. En todo caso, el Miembro Incumplido deberá pagar a la Cámara todos los gastos y costos en los que incurra por las actividades adelantadas en la gestión de Incumplimiento.</w:t>
      </w:r>
    </w:p>
    <w:p w14:paraId="290EC2C2" w14:textId="77777777" w:rsidR="007968EC" w:rsidRPr="002C0D19" w:rsidRDefault="007968EC" w:rsidP="007968EC">
      <w:pPr>
        <w:jc w:val="both"/>
        <w:rPr>
          <w:rFonts w:ascii="Arial Narrow" w:hAnsi="Arial Narrow" w:cs="Arial"/>
          <w:lang w:val="es-ES" w:eastAsia="es-ES"/>
        </w:rPr>
      </w:pPr>
    </w:p>
    <w:p w14:paraId="3652548F" w14:textId="77777777" w:rsidR="007968EC" w:rsidRPr="002C0D19" w:rsidRDefault="007968EC" w:rsidP="007968EC">
      <w:pPr>
        <w:jc w:val="both"/>
        <w:rPr>
          <w:rFonts w:ascii="Arial Narrow" w:hAnsi="Arial Narrow" w:cs="Arial"/>
          <w:b/>
          <w:lang w:val="es-ES" w:eastAsia="es-ES"/>
        </w:rPr>
      </w:pPr>
      <w:r w:rsidRPr="002C0D19">
        <w:rPr>
          <w:rFonts w:ascii="Arial Narrow" w:hAnsi="Arial Narrow" w:cs="Arial"/>
          <w:lang w:val="es-ES" w:eastAsia="es-ES"/>
        </w:rPr>
        <w:t>Las consecuencias pecuniarias serán única y exclusivamente a cargo de los Miembros que resulten responsables de las mismas y en ningún momento a cargo de la Cámara.</w:t>
      </w:r>
      <w:r w:rsidRPr="002C0D19">
        <w:rPr>
          <w:rFonts w:ascii="Arial Narrow" w:hAnsi="Arial Narrow"/>
          <w:b/>
          <w:lang w:val="es-ES" w:eastAsia="es-ES"/>
        </w:rPr>
        <w:t xml:space="preserve"> </w:t>
      </w:r>
    </w:p>
    <w:p w14:paraId="0F82C1C0" w14:textId="77777777" w:rsidR="007968EC" w:rsidRPr="002C0D19" w:rsidRDefault="007968EC" w:rsidP="007968EC">
      <w:pPr>
        <w:jc w:val="both"/>
        <w:rPr>
          <w:rFonts w:ascii="Arial Narrow" w:hAnsi="Arial Narrow"/>
          <w:b/>
          <w:lang w:val="es-ES" w:eastAsia="es-ES"/>
        </w:rPr>
      </w:pPr>
    </w:p>
    <w:p w14:paraId="264FA763"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lang w:val="es-ES" w:eastAsia="es-ES"/>
        </w:rPr>
        <w:t>Adicionalmente, el Agente que haya Admitido la Operación y no entregue el Activo Subyacente o el Activo objeto de la Operación Aceptada que corresponda, deberá realizar el pago de la consecuencia pecuniaria a favor de la Cámara correspondiente a la suma de dinero establecida en la presente Circular.</w:t>
      </w:r>
    </w:p>
    <w:p w14:paraId="58D54320" w14:textId="77777777" w:rsidR="007968EC" w:rsidRPr="002C0D19" w:rsidRDefault="007968EC" w:rsidP="007968EC">
      <w:pPr>
        <w:rPr>
          <w:rFonts w:ascii="Arial Narrow" w:hAnsi="Arial Narrow" w:cs="Arial"/>
          <w:b/>
          <w:color w:val="000000" w:themeColor="text1"/>
          <w:lang w:eastAsia="es-ES"/>
        </w:rPr>
      </w:pPr>
    </w:p>
    <w:p w14:paraId="087D0B61" w14:textId="77777777" w:rsidR="007968EC" w:rsidRDefault="007968EC" w:rsidP="007968EC">
      <w:pPr>
        <w:pStyle w:val="ARTICULO0"/>
      </w:pPr>
      <w:bookmarkStart w:id="2665" w:name="_Toc472592196"/>
      <w:bookmarkStart w:id="2666" w:name="_Toc472593215"/>
      <w:bookmarkStart w:id="2667" w:name="_Toc479057001"/>
      <w:bookmarkStart w:id="2668" w:name="_Toc31716013"/>
      <w:bookmarkStart w:id="2669" w:name="_Toc470775519"/>
      <w:bookmarkStart w:id="2670" w:name="_Toc470779804"/>
      <w:bookmarkStart w:id="2671" w:name="_Toc470780421"/>
      <w:bookmarkStart w:id="2672" w:name="_Toc470780934"/>
      <w:bookmarkStart w:id="2673" w:name="_Toc470784495"/>
      <w:bookmarkStart w:id="2674" w:name="_Toc470785032"/>
      <w:bookmarkStart w:id="2675" w:name="_Toc470791418"/>
      <w:bookmarkStart w:id="2676" w:name="_Toc490066323"/>
      <w:r>
        <w:t xml:space="preserve">Artículo 1.7.2.4. </w:t>
      </w:r>
      <w:r w:rsidRPr="002C0D19">
        <w:t>Procedimiento para cerrar posiciones en el mercado en caso de Incumplimiento del Miembro Liquidador.</w:t>
      </w:r>
      <w:bookmarkEnd w:id="2665"/>
      <w:bookmarkEnd w:id="2666"/>
      <w:bookmarkEnd w:id="2667"/>
      <w:bookmarkEnd w:id="2668"/>
      <w:r w:rsidRPr="002C0D19">
        <w:t xml:space="preserve"> </w:t>
      </w:r>
    </w:p>
    <w:p w14:paraId="402A392B" w14:textId="77777777" w:rsidR="007968EC" w:rsidRPr="00D9028E" w:rsidRDefault="007968EC" w:rsidP="007968EC">
      <w:pPr>
        <w:jc w:val="both"/>
        <w:rPr>
          <w:rFonts w:ascii="Arial Narrow" w:hAnsi="Arial Narrow" w:cs="Arial"/>
          <w:color w:val="000000" w:themeColor="text1"/>
          <w:lang w:eastAsia="es-ES"/>
        </w:rPr>
      </w:pPr>
    </w:p>
    <w:p w14:paraId="2EDFF18D" w14:textId="77777777" w:rsidR="007968EC" w:rsidRPr="002C0D19" w:rsidRDefault="007968EC" w:rsidP="007968EC">
      <w:pPr>
        <w:pStyle w:val="ANTECEDENTES"/>
      </w:pPr>
      <w:r w:rsidRPr="002C0D19">
        <w:t xml:space="preserve">(Este artículo fue modificado mediante Circular 6 del 29 de marzo de 2010, publicada en el Boletín Normativo No. 008 del 29 de marzo de 2010, mediante Circular 7 del 28 de abril de 2011, publicada en el Boletín Normativo No. 007 del 28 de abril de 2011, mediante Circular 27 del 26 de diciembre de 2014, publicada en el Boletín Normativo No. 031 del 26 de diciembre de 2014 </w:t>
      </w:r>
      <w:r w:rsidRPr="002C0D19">
        <w:rPr>
          <w:lang w:val="es-ES"/>
        </w:rPr>
        <w:t xml:space="preserve">y mediante Circular 5 del 3 de febrero de 2016, publicada en el Boletín Normativo No. 005 del 3 de febrero de 2016. Rige a partir del 4 de febrero de 2016 y </w:t>
      </w:r>
      <w:r w:rsidRPr="002C0D19">
        <w:t>modificado mediante Circular 19 del 28 de diciembre de 2016, publicada en el Boletín Normativo No. 024 del 28 de diciembre de 2016. Rige a partir del 29 de diciembre de 2016.)</w:t>
      </w:r>
      <w:bookmarkEnd w:id="2669"/>
      <w:bookmarkEnd w:id="2670"/>
      <w:bookmarkEnd w:id="2671"/>
      <w:bookmarkEnd w:id="2672"/>
      <w:bookmarkEnd w:id="2673"/>
      <w:bookmarkEnd w:id="2674"/>
      <w:bookmarkEnd w:id="2675"/>
      <w:bookmarkEnd w:id="2676"/>
    </w:p>
    <w:p w14:paraId="60427A46" w14:textId="77777777" w:rsidR="007968EC" w:rsidRPr="00165180" w:rsidRDefault="007968EC" w:rsidP="007968EC">
      <w:pPr>
        <w:jc w:val="both"/>
        <w:rPr>
          <w:rFonts w:ascii="Arial Narrow" w:hAnsi="Arial Narrow" w:cs="Arial"/>
          <w:color w:val="000000" w:themeColor="text1"/>
          <w:lang w:eastAsia="es-ES"/>
        </w:rPr>
      </w:pPr>
    </w:p>
    <w:p w14:paraId="7159B747" w14:textId="77777777" w:rsidR="007968EC" w:rsidRPr="002C0D19" w:rsidRDefault="007968EC" w:rsidP="007968EC">
      <w:pPr>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xml:space="preserve">La </w:t>
      </w:r>
      <w:r w:rsidRPr="002C0D19">
        <w:rPr>
          <w:rFonts w:ascii="Arial Narrow" w:hAnsi="Arial Narrow" w:cs="Arial"/>
          <w:color w:val="000000" w:themeColor="text1"/>
          <w:lang w:val="es-ES" w:eastAsia="es-ES"/>
        </w:rPr>
        <w:t>Cámara</w:t>
      </w:r>
      <w:r w:rsidRPr="002C0D19">
        <w:rPr>
          <w:rFonts w:ascii="Arial Narrow" w:hAnsi="Arial Narrow" w:cs="Arial"/>
          <w:bCs/>
          <w:color w:val="000000" w:themeColor="text1"/>
          <w:lang w:val="es-ES" w:eastAsia="es-ES"/>
        </w:rPr>
        <w:t xml:space="preserve"> podrá ejecutar el siguiente procedimiento inmediatamente se declare el incumplimiento para las posiciones propias del Miembro Liquidador incumplido en todos los Segmentos en que participe.</w:t>
      </w:r>
    </w:p>
    <w:p w14:paraId="19D9158F" w14:textId="77777777" w:rsidR="007968EC" w:rsidRPr="002C0D19" w:rsidRDefault="007968EC" w:rsidP="007968EC">
      <w:pPr>
        <w:ind w:left="360"/>
        <w:jc w:val="both"/>
        <w:rPr>
          <w:rFonts w:ascii="Arial Narrow" w:hAnsi="Arial Narrow" w:cs="Arial"/>
          <w:bCs/>
          <w:color w:val="000000" w:themeColor="text1"/>
          <w:lang w:val="es-ES" w:eastAsia="es-ES"/>
        </w:rPr>
      </w:pPr>
    </w:p>
    <w:p w14:paraId="381CBEAE" w14:textId="77777777" w:rsidR="007968EC" w:rsidRPr="002C0D19" w:rsidRDefault="007968EC" w:rsidP="00DA7472">
      <w:pPr>
        <w:numPr>
          <w:ilvl w:val="0"/>
          <w:numId w:val="159"/>
        </w:numPr>
        <w:tabs>
          <w:tab w:val="num" w:pos="567"/>
        </w:tabs>
        <w:ind w:left="567" w:hanging="567"/>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xml:space="preserve">Traspasará a su propia Cuenta, en cada uno de los Segmentos en los que participe en la Compensación y Liquidación, la Posición Abierta del Miembro Liquidador incumplido e inactivará las Cuentas de posición propia de dicho Miembro. </w:t>
      </w:r>
    </w:p>
    <w:p w14:paraId="41CBE7BC" w14:textId="77777777" w:rsidR="007968EC" w:rsidRPr="002C0D19" w:rsidRDefault="007968EC" w:rsidP="007968EC">
      <w:pPr>
        <w:tabs>
          <w:tab w:val="num" w:pos="540"/>
          <w:tab w:val="num" w:pos="567"/>
        </w:tabs>
        <w:ind w:left="567" w:hanging="567"/>
        <w:jc w:val="both"/>
        <w:rPr>
          <w:rFonts w:ascii="Arial Narrow" w:hAnsi="Arial Narrow" w:cs="Arial"/>
          <w:bCs/>
          <w:color w:val="000000" w:themeColor="text1"/>
          <w:lang w:val="es-ES" w:eastAsia="es-ES"/>
        </w:rPr>
      </w:pPr>
    </w:p>
    <w:p w14:paraId="4685FEEC" w14:textId="77777777" w:rsidR="007968EC" w:rsidRPr="002C0D19" w:rsidRDefault="007968EC" w:rsidP="00DA7472">
      <w:pPr>
        <w:numPr>
          <w:ilvl w:val="0"/>
          <w:numId w:val="159"/>
        </w:numPr>
        <w:tabs>
          <w:tab w:val="num" w:pos="567"/>
        </w:tabs>
        <w:ind w:left="567" w:hanging="567"/>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xml:space="preserve">El </w:t>
      </w:r>
      <w:r w:rsidRPr="002C0D19">
        <w:rPr>
          <w:rFonts w:ascii="Arial Narrow" w:hAnsi="Arial Narrow" w:cs="Arial"/>
          <w:color w:val="000000" w:themeColor="text1"/>
          <w:lang w:val="es-ES" w:eastAsia="es-ES"/>
        </w:rPr>
        <w:t>cierre de</w:t>
      </w:r>
      <w:r w:rsidRPr="002C0D19">
        <w:rPr>
          <w:rFonts w:ascii="Arial Narrow" w:hAnsi="Arial Narrow" w:cs="Arial"/>
          <w:bCs/>
          <w:color w:val="000000" w:themeColor="text1"/>
          <w:lang w:val="es-ES" w:eastAsia="es-ES"/>
        </w:rPr>
        <w:t xml:space="preserve"> posiciones en el mercado lo podrá hacer directamente la </w:t>
      </w:r>
      <w:r w:rsidRPr="002C0D19">
        <w:rPr>
          <w:rFonts w:ascii="Arial Narrow" w:hAnsi="Arial Narrow" w:cs="Arial"/>
          <w:color w:val="000000" w:themeColor="text1"/>
          <w:lang w:val="es-ES" w:eastAsia="es-ES"/>
        </w:rPr>
        <w:t>Cámara</w:t>
      </w:r>
      <w:r w:rsidRPr="002C0D19">
        <w:rPr>
          <w:rFonts w:ascii="Arial Narrow" w:hAnsi="Arial Narrow" w:cs="Arial"/>
          <w:bCs/>
          <w:color w:val="000000" w:themeColor="text1"/>
          <w:lang w:val="es-ES" w:eastAsia="es-ES"/>
        </w:rPr>
        <w:t xml:space="preserve"> a través del </w:t>
      </w:r>
      <w:r w:rsidRPr="002C0D19">
        <w:rPr>
          <w:rFonts w:ascii="Arial Narrow" w:hAnsi="Arial Narrow" w:cs="Arial"/>
          <w:color w:val="000000" w:themeColor="text1"/>
          <w:lang w:val="es-ES" w:eastAsia="es-ES"/>
        </w:rPr>
        <w:t>terminal</w:t>
      </w:r>
      <w:r w:rsidRPr="002C0D19">
        <w:rPr>
          <w:rFonts w:ascii="Arial Narrow" w:hAnsi="Arial Narrow" w:cs="Arial"/>
          <w:bCs/>
          <w:color w:val="000000" w:themeColor="text1"/>
          <w:lang w:val="es-ES" w:eastAsia="es-ES"/>
        </w:rPr>
        <w:t xml:space="preserve"> de negociación disponible para el evento, o podrá transferir dicha </w:t>
      </w:r>
      <w:r w:rsidRPr="002C0D19">
        <w:rPr>
          <w:rFonts w:ascii="Arial Narrow" w:hAnsi="Arial Narrow" w:cs="Arial"/>
          <w:color w:val="000000" w:themeColor="text1"/>
          <w:lang w:val="es-ES" w:eastAsia="es-ES"/>
        </w:rPr>
        <w:t>Posición</w:t>
      </w:r>
      <w:r w:rsidRPr="002C0D19">
        <w:rPr>
          <w:rFonts w:ascii="Arial Narrow" w:hAnsi="Arial Narrow" w:cs="Arial"/>
          <w:bCs/>
          <w:color w:val="000000" w:themeColor="text1"/>
          <w:lang w:val="es-ES" w:eastAsia="es-ES"/>
        </w:rPr>
        <w:t xml:space="preserve"> a otro </w:t>
      </w:r>
      <w:r w:rsidRPr="002C0D19">
        <w:rPr>
          <w:rFonts w:ascii="Arial Narrow" w:hAnsi="Arial Narrow" w:cs="Arial"/>
          <w:color w:val="000000" w:themeColor="text1"/>
          <w:lang w:val="es-ES" w:eastAsia="es-ES"/>
        </w:rPr>
        <w:t>Miembro Liquidador</w:t>
      </w:r>
      <w:r w:rsidRPr="002C0D19">
        <w:rPr>
          <w:rFonts w:ascii="Arial Narrow" w:hAnsi="Arial Narrow" w:cs="Arial"/>
          <w:bCs/>
          <w:color w:val="000000" w:themeColor="text1"/>
          <w:lang w:val="es-ES" w:eastAsia="es-ES"/>
        </w:rPr>
        <w:t xml:space="preserve"> con quien debe haber celebrado previamente un </w:t>
      </w:r>
      <w:r w:rsidRPr="002C0D19">
        <w:rPr>
          <w:rFonts w:ascii="Arial Narrow" w:hAnsi="Arial Narrow" w:cs="Arial"/>
          <w:color w:val="000000" w:themeColor="text1"/>
          <w:lang w:val="es-ES" w:eastAsia="es-ES"/>
        </w:rPr>
        <w:t>Contrato</w:t>
      </w:r>
      <w:r w:rsidRPr="002C0D19">
        <w:rPr>
          <w:rFonts w:ascii="Arial Narrow" w:hAnsi="Arial Narrow" w:cs="Arial"/>
          <w:bCs/>
          <w:color w:val="000000" w:themeColor="text1"/>
          <w:lang w:val="es-ES" w:eastAsia="es-ES"/>
        </w:rPr>
        <w:t xml:space="preserve"> para este fin, según el formato establecido en el Anexo 33. </w:t>
      </w:r>
    </w:p>
    <w:p w14:paraId="1D918598" w14:textId="77777777" w:rsidR="007968EC" w:rsidRPr="002C0D19" w:rsidRDefault="007968EC" w:rsidP="007968EC">
      <w:pPr>
        <w:tabs>
          <w:tab w:val="num" w:pos="567"/>
        </w:tabs>
        <w:ind w:left="567" w:hanging="567"/>
        <w:jc w:val="both"/>
        <w:rPr>
          <w:rFonts w:ascii="Arial Narrow" w:hAnsi="Arial Narrow" w:cs="Arial"/>
          <w:bCs/>
          <w:color w:val="000000" w:themeColor="text1"/>
          <w:lang w:val="es-ES" w:eastAsia="es-ES"/>
        </w:rPr>
      </w:pPr>
    </w:p>
    <w:p w14:paraId="72BED43C" w14:textId="77777777" w:rsidR="007968EC" w:rsidRPr="002C0D19" w:rsidRDefault="007968EC" w:rsidP="00DA7472">
      <w:pPr>
        <w:numPr>
          <w:ilvl w:val="0"/>
          <w:numId w:val="159"/>
        </w:numPr>
        <w:tabs>
          <w:tab w:val="num" w:pos="567"/>
        </w:tabs>
        <w:ind w:left="567" w:hanging="567"/>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lastRenderedPageBreak/>
        <w:t>De conformidad con el Articulo 2.8.7 del Reglamento de Funcionamiento, la Cámara podrá adicionalmente realizar una o combinar algunas de las siguientes medidas para efectuar el cierre de posiciones:</w:t>
      </w:r>
    </w:p>
    <w:p w14:paraId="1DE0EE98" w14:textId="77777777" w:rsidR="007968EC" w:rsidRPr="002C0D19" w:rsidRDefault="007968EC" w:rsidP="007968EC">
      <w:pPr>
        <w:jc w:val="both"/>
        <w:rPr>
          <w:rFonts w:ascii="Arial Narrow" w:hAnsi="Arial Narrow" w:cs="Arial"/>
          <w:bCs/>
          <w:color w:val="000000" w:themeColor="text1"/>
          <w:lang w:val="es-ES" w:eastAsia="es-ES"/>
        </w:rPr>
      </w:pPr>
    </w:p>
    <w:p w14:paraId="592E0D2B" w14:textId="77777777" w:rsidR="007968EC" w:rsidRPr="002C0D19" w:rsidRDefault="007968EC" w:rsidP="00DA7472">
      <w:pPr>
        <w:numPr>
          <w:ilvl w:val="1"/>
          <w:numId w:val="18"/>
        </w:numPr>
        <w:tabs>
          <w:tab w:val="num" w:pos="851"/>
        </w:tabs>
        <w:ind w:left="851" w:hanging="284"/>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Realizar subastas voluntarias u obligatorias con la participación de los Miembros. En las subastas obligatorias deberán participar los Miembros Liquidadores que hayan cumplido con todas las obligaciones a su cargo y que hayan registrado en sus Cuentas de Registro de la Cuenta Propia durante los seis (6) meses anteriores a la fecha del Incumplimiento Operaciones Aceptadas por la Cámara sobre el mismo Activo de las operaciones objeto de Incumplimiento y dentro del mismo Segmento, según se desarrolla en el Artículo 1.7.2.5. de la presente Circular.</w:t>
      </w:r>
    </w:p>
    <w:p w14:paraId="56BBFD31" w14:textId="77777777" w:rsidR="007968EC" w:rsidRPr="002C0D19" w:rsidRDefault="007968EC" w:rsidP="007968EC">
      <w:pPr>
        <w:tabs>
          <w:tab w:val="num" w:pos="851"/>
        </w:tabs>
        <w:ind w:left="851" w:hanging="284"/>
        <w:jc w:val="both"/>
        <w:rPr>
          <w:rFonts w:ascii="Arial Narrow" w:hAnsi="Arial Narrow" w:cs="Arial"/>
          <w:bCs/>
          <w:color w:val="000000" w:themeColor="text1"/>
          <w:lang w:val="es-ES" w:eastAsia="es-ES"/>
        </w:rPr>
      </w:pPr>
    </w:p>
    <w:p w14:paraId="04ED2116" w14:textId="77777777" w:rsidR="007968EC" w:rsidRPr="002C0D19" w:rsidRDefault="007968EC" w:rsidP="00DA7472">
      <w:pPr>
        <w:numPr>
          <w:ilvl w:val="1"/>
          <w:numId w:val="18"/>
        </w:numPr>
        <w:tabs>
          <w:tab w:val="num" w:pos="851"/>
        </w:tabs>
        <w:ind w:left="851" w:hanging="284"/>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Registrar las operaciones necesarias para el cierre de las Posiciones Abiertas, de manera proporcional en las Cuentas de los Miembros Liquidadores que hayan cumplido con todas las obligaciones a su cargo y que tengan registradas en sus Cuentas de Registro de la Cuenta Propia Posiciones Abiertas de Operaciones Aceptadas contrarias a las Posiciones Abiertas de Operaciones Aceptadas del Miembro Liquidador incumplido dentro del mismo Segmento. El registro de operaciones que haga la Cámara será de obligatoria aceptación por parte de los Miembros Liquidadores y se efectuará de manera directamente proporcional a las Posiciones Abiertas contrarias de cada uno de los Miembros Liquidadores cumplidos en posición propia, sin exceder tales Posiciones, según se desarrolla en el Artículo 1.7.2.6 de la presente Circular.</w:t>
      </w:r>
    </w:p>
    <w:p w14:paraId="181B0C21" w14:textId="77777777" w:rsidR="007968EC" w:rsidRPr="002C0D19" w:rsidRDefault="007968EC" w:rsidP="007968EC">
      <w:pPr>
        <w:tabs>
          <w:tab w:val="num" w:pos="851"/>
        </w:tabs>
        <w:ind w:left="851" w:hanging="284"/>
        <w:rPr>
          <w:rFonts w:ascii="Arial Narrow" w:hAnsi="Arial Narrow" w:cs="Arial"/>
          <w:bCs/>
          <w:color w:val="000000" w:themeColor="text1"/>
          <w:lang w:val="es-ES" w:eastAsia="es-CO"/>
        </w:rPr>
      </w:pPr>
    </w:p>
    <w:p w14:paraId="60AD1E3C" w14:textId="77777777" w:rsidR="007968EC" w:rsidRPr="002C0D19" w:rsidRDefault="007968EC" w:rsidP="00DA7472">
      <w:pPr>
        <w:numPr>
          <w:ilvl w:val="1"/>
          <w:numId w:val="18"/>
        </w:numPr>
        <w:tabs>
          <w:tab w:val="num" w:pos="851"/>
        </w:tabs>
        <w:ind w:left="851" w:hanging="284"/>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Registrar las operaciones necesarias para el cierre de las Posiciones Abiertas, de manera proporcional en las Cuentas de Registro de la Cuenta Propia de los Miembros Liquidadores que hayan cumplido con todas las obligaciones a su cargo y que hayan registrado en sus Cuentas de Registro de la Cuenta Propia durante los seis (6) meses anteriores a la fecha del Incumplimiento Operaciones Aceptadas por la Cámara sobre el mismo Activo de las operaciones objeto de Incumplimiento y dentro del mismo Segmento.. El registro de operaciones que haga la Cámara será de obligatoria aceptación por parte de los Miembros Liquidadores dentro del mismo Segmento y se efectuará de manera directamente proporcional al patrimonio técnico de cada uno de los Miembros Liquidadores contra los cuales se cerrarán las Posiciones Abiertas de cada uno de los Miembros incumplidos, según se desarrolla en el Artículo 1.7.2.7 de la presente Circular.</w:t>
      </w:r>
    </w:p>
    <w:p w14:paraId="6C6DD23D" w14:textId="77777777" w:rsidR="007968EC" w:rsidRPr="002C0D19" w:rsidRDefault="007968EC" w:rsidP="007968EC">
      <w:pPr>
        <w:ind w:left="708"/>
        <w:jc w:val="both"/>
        <w:rPr>
          <w:rFonts w:ascii="Arial Narrow" w:hAnsi="Arial Narrow" w:cs="Arial"/>
          <w:bCs/>
          <w:color w:val="000000" w:themeColor="text1"/>
          <w:lang w:val="es-ES" w:eastAsia="es-CO"/>
        </w:rPr>
      </w:pPr>
    </w:p>
    <w:p w14:paraId="4C276452" w14:textId="77777777" w:rsidR="007968EC" w:rsidRPr="002C0D19" w:rsidRDefault="007968EC" w:rsidP="00DA7472">
      <w:pPr>
        <w:numPr>
          <w:ilvl w:val="0"/>
          <w:numId w:val="159"/>
        </w:numPr>
        <w:tabs>
          <w:tab w:val="num" w:pos="709"/>
        </w:tabs>
        <w:ind w:left="709" w:hanging="709"/>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xml:space="preserve">Todos los costos incurridos en el cierre de Posición incluyendo la tarifa de negociación y las Liquidaciones Diarias, si es del caso, se tendrán en cuenta para liquidar el total de obligaciones a cargo del Miembro Liquidador incumplido. </w:t>
      </w:r>
    </w:p>
    <w:p w14:paraId="1E4088DD" w14:textId="77777777" w:rsidR="007968EC" w:rsidRPr="002C0D19" w:rsidRDefault="007968EC" w:rsidP="007968EC">
      <w:pPr>
        <w:jc w:val="both"/>
        <w:rPr>
          <w:rFonts w:ascii="Arial Narrow" w:hAnsi="Arial Narrow" w:cs="Arial"/>
          <w:color w:val="000000" w:themeColor="text1"/>
          <w:lang w:val="es-ES" w:eastAsia="es-ES"/>
        </w:rPr>
      </w:pPr>
    </w:p>
    <w:p w14:paraId="2CCF4F6B" w14:textId="77777777" w:rsidR="007968EC" w:rsidRDefault="007968EC" w:rsidP="007968EC">
      <w:pPr>
        <w:pStyle w:val="ARTICULO0"/>
      </w:pPr>
      <w:bookmarkStart w:id="2677" w:name="_Toc472592197"/>
      <w:bookmarkStart w:id="2678" w:name="_Toc472593216"/>
      <w:bookmarkStart w:id="2679" w:name="_Toc479057002"/>
      <w:bookmarkStart w:id="2680" w:name="_Toc31716014"/>
      <w:bookmarkStart w:id="2681" w:name="_Toc470775520"/>
      <w:bookmarkStart w:id="2682" w:name="_Toc470779805"/>
      <w:bookmarkStart w:id="2683" w:name="_Toc470780422"/>
      <w:bookmarkStart w:id="2684" w:name="_Toc470780935"/>
      <w:bookmarkStart w:id="2685" w:name="_Toc470784496"/>
      <w:bookmarkStart w:id="2686" w:name="_Toc470785033"/>
      <w:bookmarkStart w:id="2687" w:name="_Toc470791419"/>
      <w:bookmarkStart w:id="2688" w:name="_Toc490066324"/>
      <w:r w:rsidRPr="002C0D19">
        <w:t>Artículo 1.7.2.5. Procedimiento para el cierre de Posiciones Abiertas mediante subasta de acuerdo con el literal a. del numeral 3 del artículo 1.7.2.4.</w:t>
      </w:r>
      <w:bookmarkEnd w:id="2677"/>
      <w:bookmarkEnd w:id="2678"/>
      <w:bookmarkEnd w:id="2679"/>
      <w:bookmarkEnd w:id="2680"/>
      <w:r w:rsidRPr="002C0D19">
        <w:t xml:space="preserve"> </w:t>
      </w:r>
    </w:p>
    <w:p w14:paraId="28267A23" w14:textId="77777777" w:rsidR="007968EC" w:rsidRPr="00D9028E" w:rsidRDefault="007968EC" w:rsidP="007968EC">
      <w:pPr>
        <w:jc w:val="both"/>
        <w:rPr>
          <w:rFonts w:ascii="Arial Narrow" w:hAnsi="Arial Narrow" w:cs="Arial"/>
          <w:color w:val="000000" w:themeColor="text1"/>
          <w:lang w:eastAsia="es-ES"/>
        </w:rPr>
      </w:pPr>
    </w:p>
    <w:p w14:paraId="67286861" w14:textId="77777777" w:rsidR="007968EC" w:rsidRPr="002C0D19" w:rsidRDefault="007968EC" w:rsidP="007968EC">
      <w:pPr>
        <w:pStyle w:val="ANTECEDENTES"/>
      </w:pPr>
      <w:r w:rsidRPr="002C0D19">
        <w:t>(Este artículo fue adicionado mediante Circular 6 del 29 de marzo de 2010, publicada en el Boletín Normativo No. 008 del 29 de marzo de 2010. Rige a partir del 7 de abril de 2010 y modificado mediante Circular 19 del 28 de diciembre de 2016, publicada en el Boletín Normativo No. 024 del 28 de diciembre de 2016. Rige a partir del 29 de diciembre de 2016.)</w:t>
      </w:r>
      <w:bookmarkEnd w:id="2681"/>
      <w:bookmarkEnd w:id="2682"/>
      <w:bookmarkEnd w:id="2683"/>
      <w:bookmarkEnd w:id="2684"/>
      <w:bookmarkEnd w:id="2685"/>
      <w:bookmarkEnd w:id="2686"/>
      <w:bookmarkEnd w:id="2687"/>
      <w:bookmarkEnd w:id="2688"/>
    </w:p>
    <w:p w14:paraId="14393F03" w14:textId="77777777" w:rsidR="007968EC" w:rsidRPr="00165180" w:rsidRDefault="007968EC" w:rsidP="007968EC">
      <w:pPr>
        <w:jc w:val="both"/>
        <w:rPr>
          <w:rFonts w:ascii="Arial Narrow" w:hAnsi="Arial Narrow" w:cs="Arial"/>
          <w:color w:val="000000" w:themeColor="text1"/>
          <w:lang w:eastAsia="es-ES"/>
        </w:rPr>
      </w:pPr>
    </w:p>
    <w:p w14:paraId="73330D89" w14:textId="77777777" w:rsidR="007968EC" w:rsidRPr="00165180" w:rsidRDefault="007968EC" w:rsidP="007968EC">
      <w:pPr>
        <w:jc w:val="both"/>
        <w:rPr>
          <w:rFonts w:ascii="Arial Narrow" w:hAnsi="Arial Narrow" w:cs="Arial"/>
          <w:color w:val="000000" w:themeColor="text1"/>
          <w:lang w:eastAsia="es-ES"/>
        </w:rPr>
      </w:pPr>
      <w:bookmarkStart w:id="2689" w:name="_Toc470775521"/>
      <w:bookmarkStart w:id="2690" w:name="_Toc470779806"/>
      <w:bookmarkStart w:id="2691" w:name="_Toc470780423"/>
      <w:bookmarkStart w:id="2692" w:name="_Toc470780936"/>
      <w:bookmarkStart w:id="2693" w:name="_Toc470784497"/>
      <w:bookmarkStart w:id="2694" w:name="_Toc470785034"/>
      <w:bookmarkStart w:id="2695" w:name="_Toc470791420"/>
      <w:bookmarkStart w:id="2696" w:name="_Toc471831630"/>
      <w:bookmarkStart w:id="2697" w:name="_Toc490066325"/>
      <w:bookmarkStart w:id="2698" w:name="_Toc490079100"/>
      <w:r w:rsidRPr="00165180">
        <w:rPr>
          <w:rFonts w:ascii="Arial Narrow" w:hAnsi="Arial Narrow" w:cs="Arial"/>
          <w:color w:val="000000" w:themeColor="text1"/>
          <w:lang w:eastAsia="es-ES"/>
        </w:rPr>
        <w:t>La Cámara comunicará a los Miembros mediante Instructivo Operativo, las características y procedimiento para llevar a cabo la subasta y el Segmento o Segmentos en los cuales se adelantará. En el Instructivo Operativo se indicará los Segmentos, destinatarios de la oferta, los términos y condiciones de las operaciones y/o contratos a adjudicar, cantidad ofrecida, mecanismos de adjudicación, funciones de la Cámara, funciones de los Miembros destinatarios, fecha, horarios, sitio, información disponible y cualquier otra información que la Cámara considere conveniente para el desarrollo de la subasta.</w:t>
      </w:r>
      <w:bookmarkEnd w:id="2689"/>
      <w:bookmarkEnd w:id="2690"/>
      <w:bookmarkEnd w:id="2691"/>
      <w:bookmarkEnd w:id="2692"/>
      <w:bookmarkEnd w:id="2693"/>
      <w:bookmarkEnd w:id="2694"/>
      <w:bookmarkEnd w:id="2695"/>
      <w:bookmarkEnd w:id="2696"/>
      <w:bookmarkEnd w:id="2697"/>
      <w:bookmarkEnd w:id="2698"/>
    </w:p>
    <w:p w14:paraId="089B2A7F" w14:textId="77777777" w:rsidR="007968EC" w:rsidRPr="002C0D19" w:rsidRDefault="007968EC" w:rsidP="007968EC">
      <w:pPr>
        <w:autoSpaceDE w:val="0"/>
        <w:autoSpaceDN w:val="0"/>
        <w:adjustRightInd w:val="0"/>
        <w:jc w:val="both"/>
        <w:rPr>
          <w:rFonts w:ascii="Arial Narrow" w:hAnsi="Arial Narrow" w:cs="Arial"/>
          <w:color w:val="000000" w:themeColor="text1"/>
          <w:u w:val="single"/>
          <w:lang w:eastAsia="es-ES"/>
        </w:rPr>
      </w:pPr>
    </w:p>
    <w:p w14:paraId="43BA0900" w14:textId="77777777" w:rsidR="007968EC" w:rsidRDefault="007968EC" w:rsidP="007968EC">
      <w:pPr>
        <w:pStyle w:val="ARTICULO0"/>
      </w:pPr>
      <w:bookmarkStart w:id="2699" w:name="_Toc472592198"/>
      <w:bookmarkStart w:id="2700" w:name="_Toc472593217"/>
      <w:bookmarkStart w:id="2701" w:name="_Toc479057003"/>
      <w:bookmarkStart w:id="2702" w:name="_Toc31716015"/>
      <w:bookmarkStart w:id="2703" w:name="_Toc470775522"/>
      <w:bookmarkStart w:id="2704" w:name="_Toc470779807"/>
      <w:bookmarkStart w:id="2705" w:name="_Toc470780424"/>
      <w:bookmarkStart w:id="2706" w:name="_Toc470780937"/>
      <w:bookmarkStart w:id="2707" w:name="_Toc470784498"/>
      <w:bookmarkStart w:id="2708" w:name="_Toc470785035"/>
      <w:bookmarkStart w:id="2709" w:name="_Toc470791421"/>
      <w:bookmarkStart w:id="2710" w:name="_Toc490066326"/>
      <w:r w:rsidRPr="002C0D19">
        <w:t>Artículo 1.7.2.6. Procedimiento para el cierre de Posiciones Abiertas mediante el registro de acuerdo con el literal b. del numeral 3 del artículo 1.7.2.4.</w:t>
      </w:r>
      <w:bookmarkEnd w:id="2699"/>
      <w:bookmarkEnd w:id="2700"/>
      <w:bookmarkEnd w:id="2701"/>
      <w:bookmarkEnd w:id="2702"/>
      <w:r w:rsidRPr="002C0D19">
        <w:t xml:space="preserve"> </w:t>
      </w:r>
    </w:p>
    <w:p w14:paraId="52F82E0C" w14:textId="77777777" w:rsidR="007968EC" w:rsidRPr="00D9028E" w:rsidRDefault="007968EC" w:rsidP="007968EC">
      <w:pPr>
        <w:jc w:val="both"/>
        <w:rPr>
          <w:rFonts w:ascii="Arial Narrow" w:hAnsi="Arial Narrow" w:cs="Arial"/>
          <w:color w:val="000000" w:themeColor="text1"/>
          <w:lang w:eastAsia="es-ES"/>
        </w:rPr>
      </w:pPr>
    </w:p>
    <w:p w14:paraId="160B7587" w14:textId="77777777" w:rsidR="007968EC" w:rsidRPr="002C0D19" w:rsidRDefault="007968EC" w:rsidP="007968EC">
      <w:pPr>
        <w:pStyle w:val="ANTECEDENTES"/>
      </w:pPr>
      <w:r w:rsidRPr="002C0D19">
        <w:t>(Este artículo fue adicionado mediante Circular 6 del 29 de marzo de 2010, publicada en el Boletín Normativo No. 008 del 29 de marzo de 2010. Rige a partir del 7 de abril de 2010 y modificado mediante Circular 19 del 28 de diciembre de 2016, publicada en el Boletín Normativo No. 024 del 28 de diciembre de 2016. Rige a partir del 29 de diciembre de 2016.)</w:t>
      </w:r>
      <w:bookmarkEnd w:id="2703"/>
      <w:bookmarkEnd w:id="2704"/>
      <w:bookmarkEnd w:id="2705"/>
      <w:bookmarkEnd w:id="2706"/>
      <w:bookmarkEnd w:id="2707"/>
      <w:bookmarkEnd w:id="2708"/>
      <w:bookmarkEnd w:id="2709"/>
      <w:bookmarkEnd w:id="2710"/>
    </w:p>
    <w:p w14:paraId="50A8767D" w14:textId="77777777" w:rsidR="007968EC" w:rsidRPr="00165180" w:rsidRDefault="007968EC" w:rsidP="007968EC">
      <w:pPr>
        <w:jc w:val="both"/>
        <w:rPr>
          <w:rFonts w:ascii="Arial Narrow" w:hAnsi="Arial Narrow" w:cs="Arial"/>
          <w:color w:val="000000" w:themeColor="text1"/>
          <w:lang w:eastAsia="es-ES"/>
        </w:rPr>
      </w:pPr>
    </w:p>
    <w:p w14:paraId="69D666F5" w14:textId="77777777" w:rsidR="007968EC" w:rsidRPr="002C0D19" w:rsidRDefault="007968EC" w:rsidP="007968EC">
      <w:pPr>
        <w:autoSpaceDE w:val="0"/>
        <w:autoSpaceDN w:val="0"/>
        <w:adjustRightInd w:val="0"/>
        <w:jc w:val="both"/>
        <w:rPr>
          <w:rFonts w:ascii="Arial Narrow" w:hAnsi="Arial Narrow" w:cs="Arial"/>
          <w:bCs/>
          <w:color w:val="000000" w:themeColor="text1"/>
          <w:lang w:eastAsia="es-CO"/>
        </w:rPr>
      </w:pPr>
      <w:r w:rsidRPr="002C0D19">
        <w:rPr>
          <w:rFonts w:ascii="Arial Narrow" w:hAnsi="Arial Narrow" w:cs="Arial"/>
          <w:bCs/>
          <w:color w:val="000000" w:themeColor="text1"/>
          <w:lang w:eastAsia="es-CO"/>
        </w:rPr>
        <w:t>La Cámara seguirá el siguiente procedimiento para los Segmentos que determine:</w:t>
      </w:r>
    </w:p>
    <w:p w14:paraId="6138C521" w14:textId="77777777" w:rsidR="007968EC" w:rsidRPr="002C0D19" w:rsidRDefault="007968EC" w:rsidP="007968EC">
      <w:pPr>
        <w:autoSpaceDE w:val="0"/>
        <w:autoSpaceDN w:val="0"/>
        <w:adjustRightInd w:val="0"/>
        <w:jc w:val="both"/>
        <w:rPr>
          <w:rFonts w:ascii="Arial Narrow" w:hAnsi="Arial Narrow" w:cs="Arial"/>
          <w:bCs/>
          <w:color w:val="000000" w:themeColor="text1"/>
          <w:lang w:val="es-ES" w:eastAsia="es-ES"/>
        </w:rPr>
      </w:pPr>
    </w:p>
    <w:p w14:paraId="59EF740E" w14:textId="77777777" w:rsidR="007968EC" w:rsidRPr="002C0D19" w:rsidRDefault="007968EC" w:rsidP="00DA7472">
      <w:pPr>
        <w:numPr>
          <w:ilvl w:val="0"/>
          <w:numId w:val="65"/>
        </w:numPr>
        <w:autoSpaceDE w:val="0"/>
        <w:autoSpaceDN w:val="0"/>
        <w:adjustRightInd w:val="0"/>
        <w:ind w:left="567" w:hanging="567"/>
        <w:contextualSpacing/>
        <w:jc w:val="both"/>
        <w:rPr>
          <w:rFonts w:ascii="Arial Narrow" w:hAnsi="Arial Narrow" w:cs="Arial"/>
          <w:bCs/>
          <w:color w:val="000000" w:themeColor="text1"/>
          <w:lang w:eastAsia="es-CO"/>
        </w:rPr>
      </w:pPr>
      <w:r w:rsidRPr="002C0D19">
        <w:rPr>
          <w:rFonts w:ascii="Arial Narrow" w:hAnsi="Arial Narrow" w:cs="Arial"/>
          <w:bCs/>
          <w:color w:val="000000" w:themeColor="text1"/>
          <w:lang w:eastAsia="es-CO"/>
        </w:rPr>
        <w:t>Efectuará el Traspaso de la Posición Abierta de las Cuentas de Registro de la Cuenta Propia del Miembro Liquidador incumplido hacia la Cuenta de la Cámara prevista para hacer el cierre de posiciones dentro del mismo Segmento.</w:t>
      </w:r>
    </w:p>
    <w:p w14:paraId="52441A98" w14:textId="77777777" w:rsidR="007968EC" w:rsidRPr="002C0D19" w:rsidRDefault="007968EC" w:rsidP="007968EC">
      <w:pPr>
        <w:autoSpaceDE w:val="0"/>
        <w:autoSpaceDN w:val="0"/>
        <w:adjustRightInd w:val="0"/>
        <w:ind w:left="567" w:hanging="567"/>
        <w:jc w:val="both"/>
        <w:rPr>
          <w:rFonts w:ascii="Arial Narrow" w:hAnsi="Arial Narrow" w:cs="Arial"/>
          <w:bCs/>
          <w:color w:val="000000" w:themeColor="text1"/>
          <w:lang w:eastAsia="es-CO"/>
        </w:rPr>
      </w:pPr>
    </w:p>
    <w:p w14:paraId="19BD2D6F" w14:textId="77777777" w:rsidR="007968EC" w:rsidRPr="002C0D19" w:rsidRDefault="007968EC" w:rsidP="00DA7472">
      <w:pPr>
        <w:numPr>
          <w:ilvl w:val="0"/>
          <w:numId w:val="65"/>
        </w:numPr>
        <w:tabs>
          <w:tab w:val="left" w:pos="567"/>
        </w:tabs>
        <w:autoSpaceDE w:val="0"/>
        <w:autoSpaceDN w:val="0"/>
        <w:adjustRightInd w:val="0"/>
        <w:ind w:left="567" w:hanging="567"/>
        <w:contextualSpacing/>
        <w:jc w:val="both"/>
        <w:rPr>
          <w:rFonts w:ascii="Arial Narrow" w:hAnsi="Arial Narrow" w:cs="Arial"/>
          <w:bCs/>
          <w:color w:val="000000" w:themeColor="text1"/>
          <w:lang w:eastAsia="es-CO"/>
        </w:rPr>
      </w:pPr>
      <w:r w:rsidRPr="002C0D19">
        <w:rPr>
          <w:rFonts w:ascii="Arial Narrow" w:hAnsi="Arial Narrow" w:cs="Arial"/>
          <w:bCs/>
          <w:color w:val="000000" w:themeColor="text1"/>
          <w:lang w:eastAsia="es-CO"/>
        </w:rPr>
        <w:t>Determinará las Posiciones Abiertas de los Miembros Liquidadores que hayan cumplido con todas las obligaciones a su cargo y que tengan registradas en sus Cuentas de Registro de la Cuenta Propia Posiciones Abiertas contrarias a las Posiciones Abiertas del Miembro Liquidador incumplido.</w:t>
      </w:r>
    </w:p>
    <w:p w14:paraId="0984CA9A" w14:textId="77777777" w:rsidR="007968EC" w:rsidRPr="002C0D19" w:rsidRDefault="007968EC" w:rsidP="007968EC">
      <w:pPr>
        <w:tabs>
          <w:tab w:val="left" w:pos="2307"/>
        </w:tabs>
        <w:autoSpaceDE w:val="0"/>
        <w:autoSpaceDN w:val="0"/>
        <w:adjustRightInd w:val="0"/>
        <w:ind w:left="567" w:hanging="567"/>
        <w:jc w:val="both"/>
        <w:rPr>
          <w:rFonts w:ascii="Arial Narrow" w:hAnsi="Arial Narrow" w:cs="Arial"/>
          <w:bCs/>
          <w:color w:val="000000" w:themeColor="text1"/>
          <w:lang w:eastAsia="es-CO"/>
        </w:rPr>
      </w:pPr>
    </w:p>
    <w:p w14:paraId="465D302A" w14:textId="77777777" w:rsidR="007968EC" w:rsidRPr="002C0D19" w:rsidRDefault="007968EC" w:rsidP="00DA7472">
      <w:pPr>
        <w:numPr>
          <w:ilvl w:val="0"/>
          <w:numId w:val="65"/>
        </w:numPr>
        <w:autoSpaceDE w:val="0"/>
        <w:autoSpaceDN w:val="0"/>
        <w:adjustRightInd w:val="0"/>
        <w:ind w:left="567" w:hanging="567"/>
        <w:contextualSpacing/>
        <w:jc w:val="both"/>
        <w:rPr>
          <w:rFonts w:ascii="Arial Narrow" w:hAnsi="Arial Narrow" w:cs="Arial"/>
          <w:bCs/>
          <w:color w:val="000000" w:themeColor="text1"/>
          <w:lang w:eastAsia="es-CO"/>
        </w:rPr>
      </w:pPr>
      <w:r w:rsidRPr="002C0D19">
        <w:rPr>
          <w:rFonts w:ascii="Arial Narrow" w:hAnsi="Arial Narrow" w:cs="Arial"/>
          <w:bCs/>
          <w:color w:val="000000" w:themeColor="text1"/>
          <w:lang w:eastAsia="es-CO"/>
        </w:rPr>
        <w:t>Efectuará el registro de las operaciones necesarias para el cierre de las Posiciones Abiertas del Miembro Liquidador incumplido de manera proporcional en las Cuentas de Registro de la Cuenta Propia de los Miembros Liquidadores que hayan cumplido con todas las obligaciones a su cargo, sin exceder la Posición Abierta contraria que ostente el Miembro Liquidador cumplido. El registro de las Operaciones se hará al Precio de Liquidación de la sesión inmediatamente anterior a la fecha de realización del presente procedimiento.</w:t>
      </w:r>
    </w:p>
    <w:p w14:paraId="000D9A45" w14:textId="77777777" w:rsidR="007968EC" w:rsidRPr="002C0D19" w:rsidRDefault="007968EC" w:rsidP="007968EC">
      <w:pPr>
        <w:autoSpaceDE w:val="0"/>
        <w:autoSpaceDN w:val="0"/>
        <w:adjustRightInd w:val="0"/>
        <w:jc w:val="both"/>
        <w:rPr>
          <w:rFonts w:ascii="Arial Narrow" w:hAnsi="Arial Narrow" w:cs="Arial"/>
          <w:bCs/>
          <w:color w:val="000000" w:themeColor="text1"/>
          <w:u w:val="single"/>
          <w:lang w:eastAsia="es-CO"/>
        </w:rPr>
      </w:pPr>
    </w:p>
    <w:p w14:paraId="24E408D5" w14:textId="77777777" w:rsidR="007968EC" w:rsidRDefault="007968EC" w:rsidP="007968EC">
      <w:pPr>
        <w:pStyle w:val="ARTICULO0"/>
      </w:pPr>
      <w:bookmarkStart w:id="2711" w:name="_Toc472592199"/>
      <w:bookmarkStart w:id="2712" w:name="_Toc472593218"/>
      <w:bookmarkStart w:id="2713" w:name="_Toc479057004"/>
      <w:bookmarkStart w:id="2714" w:name="_Toc31716016"/>
      <w:bookmarkStart w:id="2715" w:name="_Toc470775523"/>
      <w:bookmarkStart w:id="2716" w:name="_Toc470779808"/>
      <w:bookmarkStart w:id="2717" w:name="_Toc470780425"/>
      <w:bookmarkStart w:id="2718" w:name="_Toc470780938"/>
      <w:bookmarkStart w:id="2719" w:name="_Toc470784499"/>
      <w:bookmarkStart w:id="2720" w:name="_Toc470785036"/>
      <w:bookmarkStart w:id="2721" w:name="_Toc470791422"/>
      <w:bookmarkStart w:id="2722" w:name="_Toc490066327"/>
      <w:r w:rsidRPr="002C0D19">
        <w:t>Artículo 1.7.2.7. Procedimiento para el cierre de Posiciones Abiertas mediante el registro de acuerdo con lo establecido en el literal c. del numeral 3 del artículo 1.7.2.4.</w:t>
      </w:r>
      <w:bookmarkEnd w:id="2711"/>
      <w:bookmarkEnd w:id="2712"/>
      <w:bookmarkEnd w:id="2713"/>
      <w:bookmarkEnd w:id="2714"/>
      <w:r w:rsidRPr="002C0D19">
        <w:t xml:space="preserve"> </w:t>
      </w:r>
    </w:p>
    <w:p w14:paraId="5B339CF5" w14:textId="77777777" w:rsidR="007968EC" w:rsidRDefault="007968EC" w:rsidP="007968EC">
      <w:pPr>
        <w:keepNext/>
        <w:tabs>
          <w:tab w:val="left" w:pos="1701"/>
        </w:tabs>
        <w:jc w:val="both"/>
        <w:outlineLvl w:val="2"/>
        <w:rPr>
          <w:rFonts w:ascii="Arial Narrow" w:hAnsi="Arial Narrow" w:cs="Arial"/>
          <w:b/>
          <w:color w:val="000000" w:themeColor="text1"/>
          <w:lang w:eastAsia="es-ES"/>
        </w:rPr>
      </w:pPr>
    </w:p>
    <w:p w14:paraId="661958B7" w14:textId="77777777" w:rsidR="007968EC" w:rsidRPr="002C0D19" w:rsidRDefault="007968EC" w:rsidP="007968EC">
      <w:pPr>
        <w:pStyle w:val="ANTECEDENTES"/>
      </w:pPr>
      <w:r w:rsidRPr="002C0D19">
        <w:t>(Este artículo fue adicionado mediante Circular 6 del 29 de marzo de 2010, publicada en el Boletín Normativo No. 008 del 29 de marzo de 2010 y mediante Circular 7 del 28 de abril de 2011, publicada en el Boletín Normativo No. 007 del 28 de abril de 2011. Rige a partir del 2 de mayo de 2011 y modificado mediante Circular 19 del 28 de diciembre de 2016, publicada en el Boletín Normativo No. 024 del 28 de diciembre de 2016. Rige a partir del 29 de diciembre de 2016.)</w:t>
      </w:r>
      <w:bookmarkEnd w:id="2715"/>
      <w:bookmarkEnd w:id="2716"/>
      <w:bookmarkEnd w:id="2717"/>
      <w:bookmarkEnd w:id="2718"/>
      <w:bookmarkEnd w:id="2719"/>
      <w:bookmarkEnd w:id="2720"/>
      <w:bookmarkEnd w:id="2721"/>
      <w:bookmarkEnd w:id="2722"/>
    </w:p>
    <w:p w14:paraId="756D4C07" w14:textId="77777777" w:rsidR="007968EC" w:rsidRPr="00165180" w:rsidRDefault="007968EC" w:rsidP="007968EC">
      <w:pPr>
        <w:jc w:val="both"/>
        <w:rPr>
          <w:rFonts w:ascii="Arial Narrow" w:hAnsi="Arial Narrow" w:cs="Arial"/>
          <w:color w:val="000000" w:themeColor="text1"/>
          <w:lang w:eastAsia="es-ES"/>
        </w:rPr>
      </w:pPr>
    </w:p>
    <w:p w14:paraId="7D0AA9CA" w14:textId="77777777" w:rsidR="007968EC" w:rsidRPr="002C0D19" w:rsidRDefault="007968EC" w:rsidP="007968EC">
      <w:pPr>
        <w:autoSpaceDE w:val="0"/>
        <w:autoSpaceDN w:val="0"/>
        <w:adjustRightInd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xml:space="preserve">La Cámara seguirá el siguiente </w:t>
      </w:r>
      <w:r w:rsidRPr="002C0D19">
        <w:rPr>
          <w:rFonts w:ascii="Arial Narrow" w:hAnsi="Arial Narrow" w:cs="Arial"/>
          <w:bCs/>
          <w:color w:val="000000" w:themeColor="text1"/>
          <w:lang w:eastAsia="es-CO"/>
        </w:rPr>
        <w:t>procedimiento para los Segmentos que determine:</w:t>
      </w:r>
    </w:p>
    <w:p w14:paraId="1D20B753" w14:textId="77777777" w:rsidR="007968EC" w:rsidRPr="002C0D19" w:rsidRDefault="007968EC" w:rsidP="007968EC">
      <w:pPr>
        <w:autoSpaceDE w:val="0"/>
        <w:autoSpaceDN w:val="0"/>
        <w:adjustRightInd w:val="0"/>
        <w:jc w:val="both"/>
        <w:rPr>
          <w:rFonts w:ascii="Arial Narrow" w:hAnsi="Arial Narrow" w:cs="Arial"/>
          <w:bCs/>
          <w:color w:val="000000" w:themeColor="text1"/>
          <w:lang w:val="es-ES" w:eastAsia="es-ES"/>
        </w:rPr>
      </w:pPr>
    </w:p>
    <w:p w14:paraId="0B25B842" w14:textId="77777777" w:rsidR="007968EC" w:rsidRPr="002C0D19" w:rsidRDefault="007968EC" w:rsidP="00DA7472">
      <w:pPr>
        <w:numPr>
          <w:ilvl w:val="0"/>
          <w:numId w:val="160"/>
        </w:numPr>
        <w:autoSpaceDE w:val="0"/>
        <w:autoSpaceDN w:val="0"/>
        <w:adjustRightInd w:val="0"/>
        <w:ind w:left="567" w:hanging="567"/>
        <w:contextualSpacing/>
        <w:jc w:val="both"/>
        <w:rPr>
          <w:rFonts w:ascii="Arial Narrow" w:hAnsi="Arial Narrow" w:cs="Arial"/>
          <w:bCs/>
          <w:color w:val="000000" w:themeColor="text1"/>
          <w:lang w:val="es-ES" w:eastAsia="es-CO"/>
        </w:rPr>
      </w:pPr>
      <w:r w:rsidRPr="002C0D19">
        <w:rPr>
          <w:rFonts w:ascii="Arial Narrow" w:hAnsi="Arial Narrow" w:cs="Arial"/>
          <w:bCs/>
          <w:color w:val="000000" w:themeColor="text1"/>
          <w:lang w:val="es-ES" w:eastAsia="es-ES"/>
        </w:rPr>
        <w:t>Efectuará el Traspaso de la Posición Abierta de las Cuentas de Registro de la Cuenta Propia del Miembro Liquidador incumplido hacia la Cuenta de la Cámara prevista para hacer el cierre de posicione</w:t>
      </w:r>
      <w:r w:rsidRPr="002C0D19">
        <w:rPr>
          <w:rFonts w:ascii="Arial Narrow" w:hAnsi="Arial Narrow" w:cs="Arial"/>
          <w:bCs/>
          <w:color w:val="000000" w:themeColor="text1"/>
          <w:lang w:eastAsia="es-CO"/>
        </w:rPr>
        <w:t>s dentro del mismo Segmento.</w:t>
      </w:r>
    </w:p>
    <w:p w14:paraId="411A6BEE" w14:textId="77777777" w:rsidR="007968EC" w:rsidRPr="002C0D19" w:rsidRDefault="007968EC" w:rsidP="007968EC">
      <w:pPr>
        <w:autoSpaceDE w:val="0"/>
        <w:autoSpaceDN w:val="0"/>
        <w:adjustRightInd w:val="0"/>
        <w:ind w:left="567" w:hanging="567"/>
        <w:jc w:val="both"/>
        <w:rPr>
          <w:rFonts w:ascii="Arial Narrow" w:hAnsi="Arial Narrow" w:cs="Arial"/>
          <w:bCs/>
          <w:color w:val="000000" w:themeColor="text1"/>
          <w:lang w:val="es-ES" w:eastAsia="es-ES"/>
        </w:rPr>
      </w:pPr>
    </w:p>
    <w:p w14:paraId="2DAB6CE4" w14:textId="77777777" w:rsidR="007968EC" w:rsidRPr="002C0D19" w:rsidRDefault="007968EC" w:rsidP="00DA7472">
      <w:pPr>
        <w:numPr>
          <w:ilvl w:val="0"/>
          <w:numId w:val="160"/>
        </w:numPr>
        <w:autoSpaceDE w:val="0"/>
        <w:autoSpaceDN w:val="0"/>
        <w:adjustRightInd w:val="0"/>
        <w:ind w:left="567" w:hanging="567"/>
        <w:contextualSpacing/>
        <w:jc w:val="both"/>
        <w:rPr>
          <w:rFonts w:ascii="Arial Narrow" w:hAnsi="Arial Narrow" w:cs="Arial"/>
          <w:bCs/>
          <w:color w:val="000000" w:themeColor="text1"/>
          <w:lang w:eastAsia="es-CO"/>
        </w:rPr>
      </w:pPr>
      <w:r w:rsidRPr="002C0D19">
        <w:rPr>
          <w:rFonts w:ascii="Arial Narrow" w:hAnsi="Arial Narrow" w:cs="Arial"/>
          <w:bCs/>
          <w:color w:val="000000" w:themeColor="text1"/>
          <w:lang w:eastAsia="es-CO"/>
        </w:rPr>
        <w:t xml:space="preserve">Determinará las Cuentas de Registro de la Cuenta Propia de los Miembros Liquidadores que hayan cumplido con todas las obligaciones a su cargo y que hayan registrado en sus Cuentas de Registro de la Cuenta Propia durante los seis (6) meses anteriores a la fecha del incumplimiento, Operaciones Aceptadas por la Cámara sobre el mismo </w:t>
      </w:r>
      <w:r w:rsidRPr="002C0D19">
        <w:rPr>
          <w:rFonts w:ascii="Arial Narrow" w:hAnsi="Arial Narrow" w:cs="Arial"/>
          <w:bCs/>
          <w:color w:val="000000" w:themeColor="text1"/>
          <w:lang w:val="es-ES" w:eastAsia="es-ES"/>
        </w:rPr>
        <w:t>Activo y Segmento</w:t>
      </w:r>
      <w:r w:rsidRPr="002C0D19">
        <w:rPr>
          <w:rFonts w:ascii="Arial Narrow" w:hAnsi="Arial Narrow" w:cs="Arial"/>
          <w:b/>
          <w:bCs/>
          <w:color w:val="000000" w:themeColor="text1"/>
          <w:lang w:eastAsia="es-CO"/>
        </w:rPr>
        <w:t xml:space="preserve"> </w:t>
      </w:r>
      <w:r w:rsidRPr="002C0D19">
        <w:rPr>
          <w:rFonts w:ascii="Arial Narrow" w:hAnsi="Arial Narrow" w:cs="Arial"/>
          <w:bCs/>
          <w:color w:val="000000" w:themeColor="text1"/>
          <w:lang w:eastAsia="es-CO"/>
        </w:rPr>
        <w:t>de las operaciones objeto de incumplimiento.</w:t>
      </w:r>
    </w:p>
    <w:p w14:paraId="247D4218" w14:textId="77777777" w:rsidR="007968EC" w:rsidRPr="002C0D19" w:rsidRDefault="007968EC" w:rsidP="007968EC">
      <w:pPr>
        <w:autoSpaceDE w:val="0"/>
        <w:autoSpaceDN w:val="0"/>
        <w:adjustRightInd w:val="0"/>
        <w:ind w:left="371"/>
        <w:jc w:val="both"/>
        <w:rPr>
          <w:rFonts w:ascii="Arial Narrow" w:hAnsi="Arial Narrow" w:cs="Arial"/>
          <w:bCs/>
          <w:color w:val="000000" w:themeColor="text1"/>
          <w:lang w:eastAsia="es-CO"/>
        </w:rPr>
      </w:pPr>
    </w:p>
    <w:p w14:paraId="745D4F55" w14:textId="77777777" w:rsidR="007968EC" w:rsidRPr="002C0D19" w:rsidRDefault="007968EC" w:rsidP="007968EC">
      <w:pPr>
        <w:autoSpaceDE w:val="0"/>
        <w:autoSpaceDN w:val="0"/>
        <w:adjustRightInd w:val="0"/>
        <w:jc w:val="both"/>
        <w:rPr>
          <w:rFonts w:ascii="Arial Narrow" w:hAnsi="Arial Narrow" w:cs="Arial"/>
          <w:bCs/>
          <w:color w:val="000000" w:themeColor="text1"/>
          <w:u w:val="single"/>
          <w:lang w:val="es-ES" w:eastAsia="es-ES"/>
        </w:rPr>
      </w:pPr>
      <w:r w:rsidRPr="002C0D19">
        <w:rPr>
          <w:rFonts w:ascii="Arial Narrow" w:hAnsi="Arial Narrow" w:cs="Arial"/>
          <w:bCs/>
          <w:color w:val="000000" w:themeColor="text1"/>
          <w:lang w:val="es-ES" w:eastAsia="es-ES"/>
        </w:rPr>
        <w:t>La Cámara efectuará el registro de las operaciones necesarias para el cierre de las Posiciones Abiertas del Miembro Liquidador incumplido, de manera directamente proporcional al último patrimonio técnico publicado por la Superintendencia Financiera de Colombia, de los Miembros Liquidadores que hayan cumplido con todas las obligaciones a su cargo. El registro de las Operaciones se hará al Precio de Liquidación de la sesión inmediatamente anterior a la fecha de realización del presente procedimiento.</w:t>
      </w:r>
    </w:p>
    <w:p w14:paraId="3AB96E0F" w14:textId="77777777" w:rsidR="007968EC" w:rsidRPr="002C0D19" w:rsidRDefault="007968EC" w:rsidP="007968EC">
      <w:pPr>
        <w:jc w:val="both"/>
        <w:rPr>
          <w:rFonts w:ascii="Arial Narrow" w:hAnsi="Arial Narrow" w:cs="Arial"/>
          <w:color w:val="000000" w:themeColor="text1"/>
          <w:lang w:eastAsia="es-ES"/>
        </w:rPr>
      </w:pPr>
    </w:p>
    <w:p w14:paraId="76C00ACA" w14:textId="77777777" w:rsidR="007968EC" w:rsidRDefault="007968EC" w:rsidP="007968EC">
      <w:pPr>
        <w:pStyle w:val="ARTICULO0"/>
      </w:pPr>
      <w:bookmarkStart w:id="2723" w:name="_Toc472592200"/>
      <w:bookmarkStart w:id="2724" w:name="_Toc472593219"/>
      <w:bookmarkStart w:id="2725" w:name="_Toc479057005"/>
      <w:bookmarkStart w:id="2726" w:name="_Toc31716017"/>
      <w:bookmarkStart w:id="2727" w:name="_Toc470775524"/>
      <w:bookmarkStart w:id="2728" w:name="_Toc470779809"/>
      <w:bookmarkStart w:id="2729" w:name="_Toc470780426"/>
      <w:bookmarkStart w:id="2730" w:name="_Toc470780939"/>
      <w:bookmarkStart w:id="2731" w:name="_Toc470784500"/>
      <w:bookmarkStart w:id="2732" w:name="_Toc470785037"/>
      <w:bookmarkStart w:id="2733" w:name="_Toc470791423"/>
      <w:bookmarkStart w:id="2734" w:name="_Toc490066328"/>
      <w:r w:rsidRPr="002C0D19">
        <w:t>Artículo 1.7.2.8. Procedimiento para la ejecución de Garantías constituidas en efectivo en caso de incumplimiento.</w:t>
      </w:r>
      <w:bookmarkEnd w:id="2723"/>
      <w:bookmarkEnd w:id="2724"/>
      <w:bookmarkEnd w:id="2725"/>
      <w:bookmarkEnd w:id="2726"/>
      <w:r w:rsidRPr="002C0D19">
        <w:t xml:space="preserve"> </w:t>
      </w:r>
    </w:p>
    <w:p w14:paraId="406AE351" w14:textId="77777777" w:rsidR="007968EC" w:rsidRPr="00885853" w:rsidRDefault="007968EC" w:rsidP="007968EC">
      <w:pPr>
        <w:jc w:val="both"/>
        <w:rPr>
          <w:rFonts w:ascii="Arial Narrow" w:hAnsi="Arial Narrow" w:cs="Arial"/>
          <w:color w:val="000000" w:themeColor="text1"/>
          <w:lang w:eastAsia="es-ES"/>
        </w:rPr>
      </w:pPr>
    </w:p>
    <w:p w14:paraId="5F9F5EAF" w14:textId="77777777" w:rsidR="007968EC" w:rsidRPr="002C0D19" w:rsidRDefault="007968EC" w:rsidP="007968EC">
      <w:pPr>
        <w:pStyle w:val="ANTECEDENTES"/>
      </w:pPr>
      <w:r w:rsidRPr="002C0D19">
        <w:t>(Este artículo fue adicionado mediante Circular 20 del 4 de noviembre de 2011, publicada en el Boletín Normativo No. 023 del 4 de noviembre de 2011 y modificado mediante Circular 7 del 26 de abril de 2012, publicada en el Boletín Normativo No. 007 del 26 de abril de 2012. Rige a partir del 30 de abril de 2012 y modificado mediante Circular 19 del 28 de diciembre de 2016, publicada en el Boletín Normativo No. 024 del 28 de diciembre de 2016. Rige a partir del 29 de diciembre de 2016.)</w:t>
      </w:r>
      <w:bookmarkEnd w:id="2727"/>
      <w:bookmarkEnd w:id="2728"/>
      <w:bookmarkEnd w:id="2729"/>
      <w:bookmarkEnd w:id="2730"/>
      <w:bookmarkEnd w:id="2731"/>
      <w:bookmarkEnd w:id="2732"/>
      <w:bookmarkEnd w:id="2733"/>
      <w:bookmarkEnd w:id="2734"/>
    </w:p>
    <w:p w14:paraId="00004BA0" w14:textId="77777777" w:rsidR="007968EC" w:rsidRPr="002C0D19" w:rsidRDefault="007968EC" w:rsidP="007968EC">
      <w:pPr>
        <w:autoSpaceDE w:val="0"/>
        <w:autoSpaceDN w:val="0"/>
        <w:jc w:val="both"/>
        <w:rPr>
          <w:rFonts w:ascii="Arial Narrow" w:hAnsi="Arial Narrow" w:cs="Arial"/>
          <w:bCs/>
          <w:color w:val="000000" w:themeColor="text1"/>
          <w:lang w:eastAsia="es-ES"/>
        </w:rPr>
      </w:pPr>
    </w:p>
    <w:p w14:paraId="2661E9C1"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En caso de incumplimiento la Cámara dispondrá de las Garantías constituidas en efectivo como fuente de pago de las obligaciones adquiridas y garantizadas, las cuales ejecutará de conformidad con el orden de Ejecución de Garantías y otros recursos en eventos de incumplimiento establecidos en el artículo 2.8.8. del Reglamento de Funcionamiento y el artículo 1.7.2.10. de la presente Circular. Para disponer de las Garantías constituidas en efectivo, debitará los correspondientes recursos en efectivo de la cuenta de cumplimiento de la Cámara de conformidad con el procedimiento establecido por el sistema de pagos del Banco de la República.</w:t>
      </w:r>
    </w:p>
    <w:p w14:paraId="15516689" w14:textId="77777777" w:rsidR="007968EC" w:rsidRPr="002C0D19" w:rsidRDefault="007968EC" w:rsidP="007968EC">
      <w:pPr>
        <w:jc w:val="both"/>
        <w:rPr>
          <w:rFonts w:ascii="Arial Narrow" w:hAnsi="Arial Narrow" w:cs="Arial"/>
          <w:color w:val="000000" w:themeColor="text1"/>
          <w:lang w:val="es-ES" w:eastAsia="es-ES"/>
        </w:rPr>
      </w:pPr>
    </w:p>
    <w:p w14:paraId="6ED759BA" w14:textId="77777777" w:rsidR="007968EC" w:rsidRDefault="007968EC" w:rsidP="007968EC">
      <w:pPr>
        <w:pStyle w:val="ARTICULO0"/>
      </w:pPr>
      <w:bookmarkStart w:id="2735" w:name="_Toc472592201"/>
      <w:bookmarkStart w:id="2736" w:name="_Toc472593220"/>
      <w:bookmarkStart w:id="2737" w:name="_Toc479057006"/>
      <w:bookmarkStart w:id="2738" w:name="_Toc31716018"/>
      <w:bookmarkStart w:id="2739" w:name="_Toc470775525"/>
      <w:bookmarkStart w:id="2740" w:name="_Toc470779810"/>
      <w:bookmarkStart w:id="2741" w:name="_Toc470780427"/>
      <w:bookmarkStart w:id="2742" w:name="_Toc470780940"/>
      <w:bookmarkStart w:id="2743" w:name="_Toc470784501"/>
      <w:bookmarkStart w:id="2744" w:name="_Toc470785038"/>
      <w:bookmarkStart w:id="2745" w:name="_Toc470791424"/>
      <w:bookmarkStart w:id="2746" w:name="_Toc490066329"/>
      <w:r w:rsidRPr="002C0D19">
        <w:t>Artículo 1.7.2.9. Transferencia de Garantías en valores depositados en DCV o Deceval a las cuentas de la Cámara.</w:t>
      </w:r>
      <w:bookmarkEnd w:id="2735"/>
      <w:bookmarkEnd w:id="2736"/>
      <w:bookmarkEnd w:id="2737"/>
      <w:bookmarkEnd w:id="2738"/>
      <w:r w:rsidRPr="002C0D19">
        <w:t xml:space="preserve"> </w:t>
      </w:r>
    </w:p>
    <w:p w14:paraId="569A2B1B" w14:textId="77777777" w:rsidR="007968EC" w:rsidRPr="00885853" w:rsidRDefault="007968EC" w:rsidP="007968EC">
      <w:pPr>
        <w:jc w:val="both"/>
        <w:rPr>
          <w:rFonts w:ascii="Arial Narrow" w:hAnsi="Arial Narrow" w:cs="Arial"/>
          <w:color w:val="000000" w:themeColor="text1"/>
          <w:lang w:eastAsia="es-ES"/>
        </w:rPr>
      </w:pPr>
    </w:p>
    <w:p w14:paraId="7374926E" w14:textId="77777777" w:rsidR="007968EC" w:rsidRPr="002C0D19" w:rsidRDefault="007968EC" w:rsidP="007968EC">
      <w:pPr>
        <w:pStyle w:val="ANTECEDENTES"/>
      </w:pPr>
      <w:r w:rsidRPr="002C0D19">
        <w:t>(Este artículo fue modificado mediante Circular 6 del 29 de marzo de 2010, publicada en el Boletín Normativo No. 008 del 29 de marzo de 2010 y mediante Circular 7 del 26 de abril de 2012, publicada en el Boletín Normativo No. 007 del 26 de abril de 2012. Rige a partir del 30 de abril de 2012 y modificado mediante Circular 19 del 28 de diciembre de 2016, publicada en el Boletín Normativo No. 024 del 28 de diciembre de 2016. Rige a partir del 29 de diciembre de 2016.)</w:t>
      </w:r>
      <w:bookmarkEnd w:id="2739"/>
      <w:bookmarkEnd w:id="2740"/>
      <w:bookmarkEnd w:id="2741"/>
      <w:bookmarkEnd w:id="2742"/>
      <w:bookmarkEnd w:id="2743"/>
      <w:bookmarkEnd w:id="2744"/>
      <w:bookmarkEnd w:id="2745"/>
      <w:bookmarkEnd w:id="2746"/>
    </w:p>
    <w:p w14:paraId="5A228E2E" w14:textId="77777777" w:rsidR="007968EC" w:rsidRPr="002C0D19" w:rsidRDefault="007968EC" w:rsidP="007968EC">
      <w:pPr>
        <w:tabs>
          <w:tab w:val="left" w:pos="5988"/>
        </w:tabs>
        <w:jc w:val="both"/>
        <w:rPr>
          <w:rFonts w:ascii="Arial Narrow" w:hAnsi="Arial Narrow" w:cs="Arial"/>
          <w:bCs/>
          <w:color w:val="000000" w:themeColor="text1"/>
          <w:lang w:val="es-ES" w:eastAsia="es-ES"/>
        </w:rPr>
      </w:pPr>
    </w:p>
    <w:p w14:paraId="7AB55D3D" w14:textId="77777777" w:rsidR="007968EC" w:rsidRPr="00165180" w:rsidRDefault="007968EC" w:rsidP="007968EC">
      <w:pPr>
        <w:jc w:val="both"/>
        <w:rPr>
          <w:rFonts w:ascii="Arial Narrow" w:hAnsi="Arial Narrow" w:cs="Arial"/>
          <w:color w:val="000000" w:themeColor="text1"/>
          <w:lang w:eastAsia="es-ES"/>
        </w:rPr>
      </w:pPr>
      <w:bookmarkStart w:id="2747" w:name="_Toc470775526"/>
      <w:bookmarkStart w:id="2748" w:name="_Toc470779811"/>
      <w:bookmarkStart w:id="2749" w:name="_Toc470780428"/>
      <w:bookmarkStart w:id="2750" w:name="_Toc470780941"/>
      <w:bookmarkStart w:id="2751" w:name="_Toc470784502"/>
      <w:bookmarkStart w:id="2752" w:name="_Toc470785039"/>
      <w:bookmarkStart w:id="2753" w:name="_Toc470791425"/>
      <w:bookmarkStart w:id="2754" w:name="_Toc471831635"/>
      <w:bookmarkStart w:id="2755" w:name="_Toc490066330"/>
      <w:bookmarkStart w:id="2756" w:name="_Toc490079105"/>
      <w:r w:rsidRPr="00165180">
        <w:rPr>
          <w:rFonts w:ascii="Arial Narrow" w:hAnsi="Arial Narrow" w:cs="Arial"/>
          <w:color w:val="000000" w:themeColor="text1"/>
          <w:lang w:eastAsia="es-ES"/>
        </w:rPr>
        <w:lastRenderedPageBreak/>
        <w:t>Con el propósito de ejecutar las Garantías constituidas en valores, la Cámara ingresará al sistema de los depósitos, según el caso, generará la orden de transferencia de los valores depositados como garantía a las cuentas de la Cámara de forma que las mismas queden a su nombre y procederá a su enajenación. Una vez se obtenga el efectivo producto de la enajenación, la Cámara asignará dicho efectivo de acuerdo con la segregación registrada, en cada una de las Cuentas bajo la estructura de Cuentas del Miembro Liquidador incumplido, como Garantías  por Posición en efectivo según corresponda a cada uno de los titulares y en consideración al  Riesgo Intradía registrado en el momento de la ejecución de las Garantías, de tal forma que pueda gestionar de manera independiente el Incumplimiento del Miembro Liquidador y según el caso, dar aplicación a las medidas de protección previstas en el Artículo 1.7.2.11. de la presente Circular.</w:t>
      </w:r>
      <w:bookmarkEnd w:id="2747"/>
      <w:bookmarkEnd w:id="2748"/>
      <w:bookmarkEnd w:id="2749"/>
      <w:bookmarkEnd w:id="2750"/>
      <w:bookmarkEnd w:id="2751"/>
      <w:bookmarkEnd w:id="2752"/>
      <w:bookmarkEnd w:id="2753"/>
      <w:bookmarkEnd w:id="2754"/>
      <w:bookmarkEnd w:id="2755"/>
      <w:bookmarkEnd w:id="2756"/>
    </w:p>
    <w:p w14:paraId="1AC6E7E5" w14:textId="77777777" w:rsidR="007968EC" w:rsidRPr="002C0D19" w:rsidRDefault="007968EC" w:rsidP="007968EC">
      <w:pPr>
        <w:jc w:val="both"/>
        <w:rPr>
          <w:rFonts w:ascii="Arial Narrow" w:hAnsi="Arial Narrow" w:cs="Arial"/>
          <w:color w:val="000000" w:themeColor="text1"/>
          <w:lang w:val="es-ES" w:eastAsia="es-ES"/>
        </w:rPr>
      </w:pPr>
    </w:p>
    <w:p w14:paraId="5BBB040C" w14:textId="77777777" w:rsidR="007968EC" w:rsidRPr="002C0D19" w:rsidRDefault="007968EC" w:rsidP="007968EC">
      <w:pPr>
        <w:tabs>
          <w:tab w:val="left" w:pos="5988"/>
        </w:tabs>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Ejecutada la Garantía en efectivo, conforme con el orden de Ejecución de Garantías y otros recursos en eventos de incumplimiento establecidos en el artículo 2.8.8. del Reglamento de Funcionamiento y el artículo 1.7.2.10. de la presente Circular y cumplidas las operaciones para todos los Segmentos en que participe el Miembro Liquidador Incumplido, la Cámara descontará las consecuencias pecuniarias cuando fuere del caso. De presentarse un excedente, éste deberá ser entregado al Miembro Liquidador Incumplido siempre y cuando se encuentre a paz y salvo por todo concepto frente a la Cámara.</w:t>
      </w:r>
    </w:p>
    <w:p w14:paraId="3097219E" w14:textId="77777777" w:rsidR="007968EC" w:rsidRPr="002C0D19" w:rsidRDefault="007968EC" w:rsidP="007968EC">
      <w:pPr>
        <w:tabs>
          <w:tab w:val="left" w:pos="5988"/>
        </w:tabs>
        <w:jc w:val="both"/>
        <w:rPr>
          <w:rFonts w:ascii="Arial Narrow" w:hAnsi="Arial Narrow" w:cs="Arial"/>
          <w:color w:val="000000" w:themeColor="text1"/>
          <w:lang w:val="es-ES" w:eastAsia="es-ES"/>
        </w:rPr>
      </w:pPr>
    </w:p>
    <w:p w14:paraId="30F17B66" w14:textId="77777777" w:rsidR="007968EC" w:rsidRDefault="007968EC" w:rsidP="007968EC">
      <w:pPr>
        <w:pStyle w:val="ARTICULO0"/>
        <w:rPr>
          <w:lang w:val="es-ES"/>
        </w:rPr>
      </w:pPr>
      <w:bookmarkStart w:id="2757" w:name="_Toc472592202"/>
      <w:bookmarkStart w:id="2758" w:name="_Toc472593221"/>
      <w:bookmarkStart w:id="2759" w:name="_Toc479057007"/>
      <w:bookmarkStart w:id="2760" w:name="_Toc31716019"/>
      <w:bookmarkStart w:id="2761" w:name="_Toc470775527"/>
      <w:bookmarkStart w:id="2762" w:name="_Toc470779812"/>
      <w:bookmarkStart w:id="2763" w:name="_Toc470780429"/>
      <w:bookmarkStart w:id="2764" w:name="_Toc470780942"/>
      <w:bookmarkStart w:id="2765" w:name="_Toc470784503"/>
      <w:bookmarkStart w:id="2766" w:name="_Toc470785040"/>
      <w:bookmarkStart w:id="2767" w:name="_Toc470791426"/>
      <w:bookmarkStart w:id="2768" w:name="_Toc490066331"/>
      <w:r w:rsidRPr="002C0D19">
        <w:rPr>
          <w:lang w:val="es-ES"/>
        </w:rPr>
        <w:t>Artículo 1.7.2.10. Orden para la ejecución de Garantías y otros recursos en eventos de Incumplimiento.</w:t>
      </w:r>
      <w:bookmarkEnd w:id="2757"/>
      <w:bookmarkEnd w:id="2758"/>
      <w:bookmarkEnd w:id="2759"/>
      <w:bookmarkEnd w:id="2760"/>
      <w:r w:rsidRPr="002C0D19">
        <w:rPr>
          <w:lang w:val="es-ES"/>
        </w:rPr>
        <w:t xml:space="preserve"> </w:t>
      </w:r>
    </w:p>
    <w:p w14:paraId="3B17B918" w14:textId="77777777" w:rsidR="007968EC" w:rsidRPr="00885853" w:rsidRDefault="007968EC" w:rsidP="007968EC">
      <w:pPr>
        <w:jc w:val="both"/>
        <w:rPr>
          <w:rFonts w:ascii="Arial Narrow" w:hAnsi="Arial Narrow" w:cs="Arial"/>
          <w:color w:val="000000" w:themeColor="text1"/>
          <w:lang w:eastAsia="es-ES"/>
        </w:rPr>
      </w:pPr>
    </w:p>
    <w:p w14:paraId="18249AAC" w14:textId="77777777" w:rsidR="007968EC" w:rsidRPr="002C0D19" w:rsidRDefault="007968EC" w:rsidP="007968EC">
      <w:pPr>
        <w:pStyle w:val="ANTECEDENTES"/>
      </w:pPr>
      <w:r w:rsidRPr="002C0D19">
        <w:t>(Este artículo fue adicionado mediante Circular 19 del 28 de diciembre de 2016, publicada en el Boletín Normativo No. 024 del 28 de diciembre de 2016</w:t>
      </w:r>
      <w:bookmarkEnd w:id="2761"/>
      <w:bookmarkEnd w:id="2762"/>
      <w:bookmarkEnd w:id="2763"/>
      <w:bookmarkEnd w:id="2764"/>
      <w:bookmarkEnd w:id="2765"/>
      <w:bookmarkEnd w:id="2766"/>
      <w:bookmarkEnd w:id="2767"/>
      <w:r>
        <w:t>,</w:t>
      </w:r>
      <w:r w:rsidRPr="002C0D19">
        <w:t xml:space="preserve"> mediante Circular 2 del 11 de enero de 2017, publicada en el Boletín Normativo No. 002 del 11 de enero de 2017</w:t>
      </w:r>
      <w:r>
        <w:t xml:space="preserve"> y mediante Circular 7 del 9 de mayo de 2018, publicada en el Boletín Normativo No. 010 del 9 de mayo de 2018, y mediante Circular 16 del 8 de octubre de 2019, publicada en el Boletín Normativo No. 030 del 8 de octubre de 2019</w:t>
      </w:r>
      <w:r w:rsidRPr="002C0D19">
        <w:t>.</w:t>
      </w:r>
      <w:r>
        <w:t xml:space="preserve"> Rige a partir del 9 de octubre de 2019.</w:t>
      </w:r>
      <w:r w:rsidRPr="002C0D19">
        <w:t>)</w:t>
      </w:r>
      <w:bookmarkEnd w:id="2768"/>
    </w:p>
    <w:p w14:paraId="4F4E80DD" w14:textId="77777777" w:rsidR="007968EC" w:rsidRPr="002C0D19" w:rsidRDefault="007968EC" w:rsidP="007968EC">
      <w:pPr>
        <w:jc w:val="both"/>
        <w:rPr>
          <w:rFonts w:ascii="Arial Narrow" w:hAnsi="Arial Narrow" w:cs="Arial"/>
          <w:color w:val="000000" w:themeColor="text1"/>
          <w:lang w:eastAsia="es-ES"/>
        </w:rPr>
      </w:pPr>
    </w:p>
    <w:p w14:paraId="11B289F6" w14:textId="77777777" w:rsidR="007968EC" w:rsidRPr="00777DBF" w:rsidRDefault="007968EC" w:rsidP="007968EC">
      <w:pPr>
        <w:jc w:val="both"/>
        <w:rPr>
          <w:rFonts w:ascii="Arial Narrow" w:hAnsi="Arial Narrow" w:cs="Arial"/>
          <w:color w:val="000000" w:themeColor="text1"/>
          <w:lang w:val="es-ES" w:eastAsia="es-ES"/>
        </w:rPr>
      </w:pPr>
      <w:bookmarkStart w:id="2769" w:name="_Hlk514430061"/>
      <w:r w:rsidRPr="00777DBF">
        <w:rPr>
          <w:rFonts w:ascii="Arial Narrow" w:hAnsi="Arial Narrow" w:cs="Arial"/>
          <w:color w:val="000000" w:themeColor="text1"/>
          <w:lang w:val="es-ES" w:eastAsia="es-ES"/>
        </w:rPr>
        <w:t>De conformidad con lo establecido en el artículo 2.8.8. del Reglamento de Funcionamiento de la Cámara, a efectos del cierre de las Posiciones Abiertas y de la Liquidación de las mismas, o del reembolso de lo pagado en virtud de un Incumplimiento, la Cámara ejecutará las Garantías y otros recursos en eventos de Incumplimiento en el orden que se indica a continuación:</w:t>
      </w:r>
    </w:p>
    <w:p w14:paraId="09635685" w14:textId="77777777" w:rsidR="007968EC" w:rsidRPr="00777DBF" w:rsidRDefault="007968EC" w:rsidP="007968EC">
      <w:pPr>
        <w:jc w:val="both"/>
        <w:rPr>
          <w:rFonts w:ascii="Arial Narrow" w:hAnsi="Arial Narrow" w:cs="Arial"/>
          <w:b/>
          <w:color w:val="000000" w:themeColor="text1"/>
          <w:u w:val="single"/>
          <w:lang w:val="es-ES" w:eastAsia="es-ES"/>
        </w:rPr>
      </w:pPr>
    </w:p>
    <w:p w14:paraId="42FAEFFA" w14:textId="77777777" w:rsidR="007968EC" w:rsidRPr="00777DBF" w:rsidRDefault="007968EC" w:rsidP="00DA7472">
      <w:pPr>
        <w:numPr>
          <w:ilvl w:val="0"/>
          <w:numId w:val="161"/>
        </w:numPr>
        <w:tabs>
          <w:tab w:val="clear" w:pos="360"/>
          <w:tab w:val="num" w:pos="1418"/>
        </w:tabs>
        <w:ind w:left="426" w:hanging="426"/>
        <w:jc w:val="both"/>
        <w:rPr>
          <w:rFonts w:ascii="Arial Narrow" w:hAnsi="Arial Narrow" w:cs="Arial"/>
          <w:color w:val="000000" w:themeColor="text1"/>
          <w:lang w:val="es-ES" w:eastAsia="es-ES"/>
        </w:rPr>
      </w:pPr>
      <w:r w:rsidRPr="00777DBF">
        <w:rPr>
          <w:rFonts w:ascii="Arial Narrow" w:hAnsi="Arial Narrow" w:cs="Arial"/>
          <w:color w:val="000000" w:themeColor="text1"/>
          <w:lang w:val="es-ES" w:eastAsia="es-ES"/>
        </w:rPr>
        <w:t>Garantías por Posición del Miembro o del Tercero Identificado incumplido para cada Segmento.</w:t>
      </w:r>
    </w:p>
    <w:p w14:paraId="2FD5247C" w14:textId="77777777" w:rsidR="007968EC" w:rsidRPr="00777DBF" w:rsidRDefault="007968EC" w:rsidP="00DA7472">
      <w:pPr>
        <w:numPr>
          <w:ilvl w:val="0"/>
          <w:numId w:val="161"/>
        </w:numPr>
        <w:tabs>
          <w:tab w:val="clear" w:pos="360"/>
          <w:tab w:val="num" w:pos="0"/>
        </w:tabs>
        <w:ind w:left="426" w:hanging="426"/>
        <w:jc w:val="both"/>
        <w:rPr>
          <w:rFonts w:ascii="Arial Narrow" w:hAnsi="Arial Narrow" w:cs="Arial"/>
          <w:color w:val="000000" w:themeColor="text1"/>
          <w:lang w:val="es-ES" w:eastAsia="es-ES"/>
        </w:rPr>
      </w:pPr>
      <w:r w:rsidRPr="00777DBF">
        <w:rPr>
          <w:rFonts w:ascii="Arial Narrow" w:hAnsi="Arial Narrow" w:cs="Arial"/>
          <w:color w:val="000000" w:themeColor="text1"/>
          <w:lang w:val="es-ES" w:eastAsia="es-ES"/>
        </w:rPr>
        <w:t>Garantías Individuales y, de existir, las Garantías Extraordinarias constit</w:t>
      </w:r>
      <w:r>
        <w:rPr>
          <w:rFonts w:ascii="Arial Narrow" w:hAnsi="Arial Narrow" w:cs="Arial"/>
          <w:color w:val="000000" w:themeColor="text1"/>
          <w:lang w:val="es-ES" w:eastAsia="es-ES"/>
        </w:rPr>
        <w:t xml:space="preserve">uidas por el Miembro Liquidador </w:t>
      </w:r>
      <w:r w:rsidRPr="00777DBF">
        <w:rPr>
          <w:rFonts w:ascii="Arial Narrow" w:hAnsi="Arial Narrow" w:cs="Arial"/>
          <w:color w:val="000000" w:themeColor="text1"/>
          <w:lang w:val="es-ES" w:eastAsia="es-ES"/>
        </w:rPr>
        <w:t>Incumplido.</w:t>
      </w:r>
    </w:p>
    <w:p w14:paraId="1EE57AA5" w14:textId="77777777" w:rsidR="007968EC" w:rsidRPr="00777DBF" w:rsidRDefault="007968EC" w:rsidP="00DA7472">
      <w:pPr>
        <w:numPr>
          <w:ilvl w:val="0"/>
          <w:numId w:val="161"/>
        </w:numPr>
        <w:tabs>
          <w:tab w:val="clear" w:pos="360"/>
          <w:tab w:val="num" w:pos="0"/>
        </w:tabs>
        <w:ind w:left="426" w:hanging="426"/>
        <w:jc w:val="both"/>
        <w:rPr>
          <w:rFonts w:ascii="Arial Narrow" w:hAnsi="Arial Narrow" w:cs="Arial"/>
          <w:color w:val="000000" w:themeColor="text1"/>
          <w:lang w:val="es-ES" w:eastAsia="es-ES"/>
        </w:rPr>
      </w:pPr>
      <w:r w:rsidRPr="00777DBF">
        <w:rPr>
          <w:rFonts w:ascii="Arial Narrow" w:hAnsi="Arial Narrow" w:cs="Arial"/>
          <w:color w:val="000000" w:themeColor="text1"/>
          <w:lang w:val="es-ES" w:eastAsia="es-ES"/>
        </w:rPr>
        <w:t>Las aportaciones del Miembro Liquidador Incumplido al Fondo de Garantía Colectiva para el Segmento donde se haya producido el Incumplimiento y, si no fuere suficiente, cualquier otra Garantía, del tipo que fuere, Individual o Extraordinaria, que el Miembro Liquidador hubiera constituido a favor de la Cámara, y si existieran, las aportaciones del Miembro Liquidador Incumplido a los Fondos de Garantía Colectiva de los demás Segmentos.</w:t>
      </w:r>
    </w:p>
    <w:p w14:paraId="649EDE5C" w14:textId="77777777" w:rsidR="007968EC" w:rsidRPr="00777DBF" w:rsidRDefault="007968EC" w:rsidP="00DA7472">
      <w:pPr>
        <w:numPr>
          <w:ilvl w:val="0"/>
          <w:numId w:val="161"/>
        </w:numPr>
        <w:tabs>
          <w:tab w:val="clear" w:pos="360"/>
          <w:tab w:val="num" w:pos="0"/>
        </w:tabs>
        <w:ind w:left="426" w:hanging="426"/>
        <w:jc w:val="both"/>
        <w:rPr>
          <w:rFonts w:ascii="Arial Narrow" w:hAnsi="Arial Narrow" w:cs="Arial"/>
          <w:color w:val="000000" w:themeColor="text1"/>
          <w:lang w:val="es-ES" w:eastAsia="es-ES"/>
        </w:rPr>
      </w:pPr>
      <w:r w:rsidRPr="00777DBF">
        <w:rPr>
          <w:rFonts w:ascii="Arial Narrow" w:hAnsi="Arial Narrow" w:cs="Arial"/>
          <w:color w:val="000000" w:themeColor="text1"/>
          <w:lang w:val="es-ES" w:eastAsia="es-ES"/>
        </w:rPr>
        <w:t xml:space="preserve">Si luego de ejecutar las Garantías anteriores, aún existiere un saldo deudor a cargo del Miembro Liquidador Incumplido, la Cámara asumirá, con cargo a los Recursos Propios Específicos de la Cámara, </w:t>
      </w:r>
      <w:r w:rsidRPr="00777DBF">
        <w:rPr>
          <w:rFonts w:ascii="Arial Narrow" w:hAnsi="Arial Narrow" w:cs="Arial"/>
          <w:color w:val="000000" w:themeColor="text1"/>
          <w:lang w:val="es-ES" w:eastAsia="es-ES"/>
        </w:rPr>
        <w:lastRenderedPageBreak/>
        <w:t xml:space="preserve">una pérdida equivalente a la parte específicamente asignada al Segmento donde existiere dicho saldo deudor. </w:t>
      </w:r>
    </w:p>
    <w:p w14:paraId="3DC56822" w14:textId="77777777" w:rsidR="007968EC" w:rsidRPr="00777DBF" w:rsidRDefault="007968EC" w:rsidP="00DA7472">
      <w:pPr>
        <w:numPr>
          <w:ilvl w:val="0"/>
          <w:numId w:val="161"/>
        </w:numPr>
        <w:tabs>
          <w:tab w:val="clear" w:pos="360"/>
          <w:tab w:val="num" w:pos="0"/>
        </w:tabs>
        <w:ind w:left="426" w:hanging="426"/>
        <w:jc w:val="both"/>
        <w:rPr>
          <w:rFonts w:ascii="Arial Narrow" w:hAnsi="Arial Narrow" w:cs="Arial"/>
          <w:color w:val="000000" w:themeColor="text1"/>
          <w:lang w:val="es-ES" w:eastAsia="es-ES"/>
        </w:rPr>
      </w:pPr>
      <w:r w:rsidRPr="00777DBF">
        <w:rPr>
          <w:rFonts w:ascii="Arial Narrow" w:hAnsi="Arial Narrow" w:cs="Arial"/>
          <w:color w:val="000000" w:themeColor="text1"/>
          <w:lang w:val="es-ES" w:eastAsia="es-ES"/>
        </w:rPr>
        <w:t xml:space="preserve">Si luego de utilizar los Recursos Propios Específicos de la Cámara, según se establece en el numeral anterior, aún existiere un saldo deudor a cargo del Miembro Liquidador Incumplido, la Cámara ejecutará el resto del Fondo de Garantía Colectiva correspondiente al Segmento donde existiere dicho saldo deudor, es decir, ejecutará las aportaciones al Fondo de Garantía Colectiva de los demás Miembros Liquidadores que participan en el respectivo Segmento. </w:t>
      </w:r>
    </w:p>
    <w:p w14:paraId="5938ABBA" w14:textId="77777777" w:rsidR="007968EC" w:rsidRPr="00777DBF" w:rsidRDefault="007968EC" w:rsidP="00DA7472">
      <w:pPr>
        <w:numPr>
          <w:ilvl w:val="0"/>
          <w:numId w:val="161"/>
        </w:numPr>
        <w:tabs>
          <w:tab w:val="clear" w:pos="360"/>
          <w:tab w:val="num" w:pos="0"/>
        </w:tabs>
        <w:ind w:left="426" w:hanging="426"/>
        <w:jc w:val="both"/>
        <w:rPr>
          <w:rFonts w:ascii="Arial Narrow" w:hAnsi="Arial Narrow" w:cs="Arial"/>
          <w:color w:val="000000" w:themeColor="text1"/>
          <w:lang w:val="es-ES" w:eastAsia="es-ES"/>
        </w:rPr>
      </w:pPr>
      <w:r w:rsidRPr="00777DBF">
        <w:rPr>
          <w:rFonts w:ascii="Arial Narrow" w:hAnsi="Arial Narrow" w:cs="Arial"/>
          <w:color w:val="000000" w:themeColor="text1"/>
          <w:lang w:val="es-ES" w:eastAsia="es-ES"/>
        </w:rPr>
        <w:t>Si cumplido lo anterior, aún existiere un saldo deudor a cargo del Miembro Liquidador Incumplido, la Cámara exigirá a los Miembros Liquidadores del Segmento donde existiese el saldo deudor, la reposición de Garantías mediante la aportación adicional al Fondo de Garantía Colectiva de conformidad con lo establecido en el artículo 1.6.2.13. de la presente Circular, y ejecutará de inmediato las nuevas aportaciones hasta la concurrencia del saldo deudor.</w:t>
      </w:r>
    </w:p>
    <w:p w14:paraId="6E20F46E" w14:textId="77777777" w:rsidR="007968EC" w:rsidRPr="00777DBF" w:rsidRDefault="007968EC" w:rsidP="00DA7472">
      <w:pPr>
        <w:numPr>
          <w:ilvl w:val="0"/>
          <w:numId w:val="161"/>
        </w:numPr>
        <w:tabs>
          <w:tab w:val="clear" w:pos="360"/>
          <w:tab w:val="num" w:pos="0"/>
        </w:tabs>
        <w:ind w:left="426" w:hanging="426"/>
        <w:jc w:val="both"/>
        <w:rPr>
          <w:rFonts w:ascii="Arial Narrow" w:hAnsi="Arial Narrow" w:cs="Arial"/>
          <w:color w:val="000000" w:themeColor="text1"/>
          <w:lang w:val="es-ES" w:eastAsia="es-ES"/>
        </w:rPr>
      </w:pPr>
      <w:r w:rsidRPr="00777DBF">
        <w:rPr>
          <w:rFonts w:ascii="Arial Narrow" w:hAnsi="Arial Narrow" w:cs="Arial"/>
          <w:color w:val="000000" w:themeColor="text1"/>
          <w:lang w:val="es-ES" w:eastAsia="es-ES"/>
        </w:rPr>
        <w:t>Si cumplido lo anterior, aún existiere un saldo deudor a cargo del Miembro Liquidador Incumplido, la Cámara podrá exigir una Contribución obligatoria para la continuidad del servicio del Segmento donde existiere dicho saldo deudor. La Contribución deberá aportarse por los demás Miembros Liquidadores que participen en el respectivo Segmento, y su importe no excederá del valor de las aportaciones al Fondo de Garantía Colectiva que le haya correspondido constituir a tales Miembros Liquidadores, sin incluir las aportaciones para su reposición. La Cámara podrá establecer condiciones específicas para la Contribución Obligatoria para un Segmento en particular. La Contribución obligatoria para la continuidad del servicio es adicional a las aportaciones al Fondo de Garantía Colectiva que deban mantener los Miembros Liquidadores. La Cámara ejecutará de inmediato las Contribuciones obligatorias para la continuidad del servicio hasta concurrencia del saldo deudor. La contribución obligatoria podrá aportarse por los Miembros Liquidadores ya sea con cargo a su cuenta propia o con cargo a las sumas que deban recibir por cualquier concepto en el correspondiente Segmento.</w:t>
      </w:r>
    </w:p>
    <w:p w14:paraId="014E1574" w14:textId="77777777" w:rsidR="007968EC" w:rsidRPr="00777DBF" w:rsidRDefault="007968EC" w:rsidP="00DA7472">
      <w:pPr>
        <w:numPr>
          <w:ilvl w:val="0"/>
          <w:numId w:val="161"/>
        </w:numPr>
        <w:tabs>
          <w:tab w:val="clear" w:pos="360"/>
          <w:tab w:val="num" w:pos="0"/>
        </w:tabs>
        <w:ind w:left="426" w:hanging="426"/>
        <w:jc w:val="both"/>
        <w:rPr>
          <w:rFonts w:ascii="Arial Narrow" w:hAnsi="Arial Narrow" w:cs="Arial"/>
          <w:color w:val="000000" w:themeColor="text1"/>
          <w:lang w:val="es-ES" w:eastAsia="es-ES"/>
        </w:rPr>
      </w:pPr>
      <w:r w:rsidRPr="00777DBF">
        <w:rPr>
          <w:rFonts w:ascii="Arial Narrow" w:hAnsi="Arial Narrow" w:cs="Arial"/>
          <w:color w:val="000000" w:themeColor="text1"/>
          <w:lang w:val="es-ES" w:eastAsia="es-ES"/>
        </w:rPr>
        <w:t>Si luego de utilizar la Contribución obligatoria para la continuidad del servicio, según se establece en el numeral anterior, aún existiere un saldo deudor a cargo del Miembro Liquidador Incumplido, la Cámara podrá solicitar Contribuciones voluntarias a los Miembros Liquidadores para la continuidad del servicio del Segmento donde existiere dicho saldo deudor, sin derecho a devolución por parte de la Cámara, sin perjuicio de que el reembolso de la Contribución voluntaria se reclame por cualquier vía al Miembro Liquidador Incumplido.</w:t>
      </w:r>
    </w:p>
    <w:p w14:paraId="2B99AF6D" w14:textId="77777777" w:rsidR="007968EC" w:rsidRPr="00777DBF" w:rsidRDefault="007968EC" w:rsidP="00DA7472">
      <w:pPr>
        <w:numPr>
          <w:ilvl w:val="0"/>
          <w:numId w:val="161"/>
        </w:numPr>
        <w:tabs>
          <w:tab w:val="clear" w:pos="360"/>
          <w:tab w:val="num" w:pos="0"/>
        </w:tabs>
        <w:ind w:left="426" w:hanging="426"/>
        <w:jc w:val="both"/>
        <w:rPr>
          <w:rFonts w:ascii="Arial Narrow" w:hAnsi="Arial Narrow" w:cs="Arial"/>
          <w:color w:val="000000" w:themeColor="text1"/>
          <w:lang w:val="es-ES" w:eastAsia="es-ES"/>
        </w:rPr>
      </w:pPr>
      <w:r w:rsidRPr="00777DBF">
        <w:rPr>
          <w:rFonts w:ascii="Arial Narrow" w:hAnsi="Arial Narrow" w:cs="Arial"/>
          <w:color w:val="000000" w:themeColor="text1"/>
          <w:lang w:val="es-ES" w:eastAsia="es-ES"/>
        </w:rPr>
        <w:t>Si cumplido lo anterior, aún existiere un saldo deudor a cargo del Miembro Liquidador Incumplido, la Cámara asumirá las pérdidas no cubiertas con cargo al resto de su propio patrimonio.</w:t>
      </w:r>
    </w:p>
    <w:p w14:paraId="41EBA97D" w14:textId="77777777" w:rsidR="007968EC" w:rsidRPr="00777DBF" w:rsidRDefault="007968EC" w:rsidP="00DA7472">
      <w:pPr>
        <w:numPr>
          <w:ilvl w:val="0"/>
          <w:numId w:val="161"/>
        </w:numPr>
        <w:tabs>
          <w:tab w:val="clear" w:pos="360"/>
          <w:tab w:val="num" w:pos="0"/>
        </w:tabs>
        <w:ind w:left="426" w:hanging="426"/>
        <w:jc w:val="both"/>
        <w:rPr>
          <w:rFonts w:ascii="Arial Narrow" w:hAnsi="Arial Narrow" w:cs="Arial"/>
          <w:color w:val="000000" w:themeColor="text1"/>
          <w:lang w:val="es-ES" w:eastAsia="es-ES"/>
        </w:rPr>
      </w:pPr>
      <w:r w:rsidRPr="00777DBF">
        <w:rPr>
          <w:rFonts w:ascii="Arial Narrow" w:hAnsi="Arial Narrow" w:cs="Arial"/>
          <w:color w:val="000000" w:themeColor="text1"/>
          <w:lang w:val="es-ES" w:eastAsia="es-ES"/>
        </w:rPr>
        <w:t>Cumplido lo anterior, la Cámara podrá proceder al cese de las actividades respecto del Segmento donde se presentó el Incumplimiento para lo cual procederá con la Compensación y Liquidación Anticipada y el cierre simultáneo de todas las Posiciones Abiertas existentes en ese momento en el Segmento. A estos efectos, se hallará el saldo neto de cada Posición Abierta debiendo hacerse los pagos que resulten según los saldos sean acreedores o deudores por parte de los Terceros, los Miembros y la Cámara.</w:t>
      </w:r>
    </w:p>
    <w:p w14:paraId="08D1EAEE" w14:textId="77777777" w:rsidR="007968EC" w:rsidRPr="00777DBF" w:rsidRDefault="007968EC" w:rsidP="007968EC">
      <w:pPr>
        <w:ind w:left="567"/>
        <w:jc w:val="both"/>
        <w:rPr>
          <w:rFonts w:ascii="Arial Narrow" w:hAnsi="Arial Narrow" w:cs="Arial"/>
          <w:color w:val="000000" w:themeColor="text1"/>
          <w:lang w:val="es-ES" w:eastAsia="es-ES"/>
        </w:rPr>
      </w:pPr>
    </w:p>
    <w:p w14:paraId="782E6567" w14:textId="77777777" w:rsidR="007968EC" w:rsidRPr="00777DBF" w:rsidRDefault="007968EC" w:rsidP="007968EC">
      <w:pPr>
        <w:jc w:val="both"/>
        <w:rPr>
          <w:rFonts w:ascii="Arial Narrow" w:hAnsi="Arial Narrow" w:cs="Arial"/>
          <w:color w:val="000000" w:themeColor="text1"/>
          <w:lang w:val="es-ES" w:eastAsia="es-ES"/>
        </w:rPr>
      </w:pPr>
      <w:r w:rsidRPr="00777DBF">
        <w:rPr>
          <w:rFonts w:ascii="Arial Narrow" w:hAnsi="Arial Narrow" w:cs="Arial"/>
          <w:b/>
          <w:color w:val="000000" w:themeColor="text1"/>
          <w:lang w:val="es-ES" w:eastAsia="es-ES"/>
        </w:rPr>
        <w:t>Parágrafo Primero.</w:t>
      </w:r>
      <w:r w:rsidRPr="00777DBF">
        <w:rPr>
          <w:rFonts w:ascii="Arial Narrow" w:hAnsi="Arial Narrow" w:cs="Arial"/>
          <w:color w:val="000000" w:themeColor="text1"/>
          <w:lang w:val="es-ES" w:eastAsia="es-ES"/>
        </w:rPr>
        <w:t xml:space="preserve"> Si como consecuencia de la aplicación del orden de ejecución de Garantías y otros recursos previsto en el presente artículo se deriva alguna pérdida por la utilización del Fondo de Garantía Colectiva o por las Contribuciones obligatorias para la continuidad del servicio e incluso por las Contribuciones voluntarias, si las hubiera, tanto para algún Miembro como para la Cámara, éstos podrán </w:t>
      </w:r>
      <w:r w:rsidRPr="00777DBF">
        <w:rPr>
          <w:rFonts w:ascii="Arial Narrow" w:hAnsi="Arial Narrow" w:cs="Arial"/>
          <w:color w:val="000000" w:themeColor="text1"/>
          <w:lang w:val="es-ES" w:eastAsia="es-ES"/>
        </w:rPr>
        <w:lastRenderedPageBreak/>
        <w:t xml:space="preserve">reclamar la restitución de estos valores por la vía que estimen más oportuna a aquel Miembro o Tercero cuyo Incumplimiento originó dicha pérdida. </w:t>
      </w:r>
    </w:p>
    <w:p w14:paraId="26F5226C" w14:textId="77777777" w:rsidR="007968EC" w:rsidRPr="00777DBF" w:rsidRDefault="007968EC" w:rsidP="007968EC">
      <w:pPr>
        <w:jc w:val="both"/>
        <w:rPr>
          <w:rFonts w:ascii="Arial Narrow" w:hAnsi="Arial Narrow" w:cs="Arial"/>
          <w:color w:val="000000" w:themeColor="text1"/>
          <w:lang w:val="es-ES" w:eastAsia="es-ES"/>
        </w:rPr>
      </w:pPr>
    </w:p>
    <w:p w14:paraId="25364268" w14:textId="77777777" w:rsidR="007968EC" w:rsidRPr="00777DBF" w:rsidRDefault="007968EC" w:rsidP="007968EC">
      <w:pPr>
        <w:jc w:val="both"/>
        <w:rPr>
          <w:rFonts w:ascii="Arial Narrow" w:hAnsi="Arial Narrow" w:cs="Arial"/>
          <w:color w:val="000000" w:themeColor="text1"/>
          <w:lang w:val="es-ES" w:eastAsia="es-ES"/>
        </w:rPr>
      </w:pPr>
      <w:r w:rsidRPr="00777DBF">
        <w:rPr>
          <w:rFonts w:ascii="Arial Narrow" w:hAnsi="Arial Narrow" w:cs="Arial"/>
          <w:color w:val="000000" w:themeColor="text1"/>
          <w:lang w:val="es-ES" w:eastAsia="es-ES"/>
        </w:rPr>
        <w:t xml:space="preserve">En este caso, las recuperaciones que puedan obtenerse por cualquiera de los Miembros o por la Cámara se destinarán, a reembolsar a la Cámara y a los Miembros dentro de cada Segmento en el siguiente orden: </w:t>
      </w:r>
    </w:p>
    <w:p w14:paraId="2D9E59F6" w14:textId="77777777" w:rsidR="007968EC" w:rsidRPr="00777DBF" w:rsidRDefault="007968EC" w:rsidP="007968EC">
      <w:pPr>
        <w:jc w:val="both"/>
        <w:rPr>
          <w:rFonts w:ascii="Arial Narrow" w:hAnsi="Arial Narrow" w:cs="Arial"/>
          <w:b/>
          <w:color w:val="000000" w:themeColor="text1"/>
          <w:u w:val="single"/>
          <w:lang w:val="es-ES" w:eastAsia="es-ES"/>
        </w:rPr>
      </w:pPr>
    </w:p>
    <w:p w14:paraId="2EEE0577" w14:textId="77777777" w:rsidR="007968EC" w:rsidRPr="00777DBF" w:rsidRDefault="007968EC" w:rsidP="00DA7472">
      <w:pPr>
        <w:numPr>
          <w:ilvl w:val="0"/>
          <w:numId w:val="162"/>
        </w:numPr>
        <w:ind w:left="567" w:hanging="567"/>
        <w:contextualSpacing/>
        <w:jc w:val="both"/>
        <w:rPr>
          <w:rFonts w:ascii="Arial Narrow" w:hAnsi="Arial Narrow" w:cs="Arial"/>
          <w:color w:val="000000" w:themeColor="text1"/>
          <w:lang w:val="es-ES" w:eastAsia="es-ES"/>
        </w:rPr>
      </w:pPr>
      <w:r w:rsidRPr="00777DBF">
        <w:rPr>
          <w:rFonts w:ascii="Arial Narrow" w:hAnsi="Arial Narrow" w:cs="Arial"/>
          <w:color w:val="000000" w:themeColor="text1"/>
          <w:lang w:val="es-ES" w:eastAsia="es-ES"/>
        </w:rPr>
        <w:t xml:space="preserve">Las Contribuciones voluntarias a que se refiere el numeral 8 del presente artículo; </w:t>
      </w:r>
    </w:p>
    <w:p w14:paraId="7C546A90" w14:textId="77777777" w:rsidR="007968EC" w:rsidRPr="00777DBF" w:rsidRDefault="007968EC" w:rsidP="00DA7472">
      <w:pPr>
        <w:numPr>
          <w:ilvl w:val="0"/>
          <w:numId w:val="162"/>
        </w:numPr>
        <w:ind w:left="567" w:hanging="567"/>
        <w:contextualSpacing/>
        <w:jc w:val="both"/>
        <w:rPr>
          <w:rFonts w:ascii="Arial Narrow" w:hAnsi="Arial Narrow" w:cs="Arial"/>
          <w:color w:val="000000" w:themeColor="text1"/>
          <w:lang w:val="es-ES" w:eastAsia="es-ES"/>
        </w:rPr>
      </w:pPr>
      <w:r w:rsidRPr="00777DBF">
        <w:rPr>
          <w:rFonts w:ascii="Arial Narrow" w:hAnsi="Arial Narrow" w:cs="Arial"/>
          <w:color w:val="000000" w:themeColor="text1"/>
          <w:lang w:val="es-ES" w:eastAsia="es-ES"/>
        </w:rPr>
        <w:t xml:space="preserve">Las Contribuciones obligatorias a que se refiere el numeral 7 del presente artículo; </w:t>
      </w:r>
    </w:p>
    <w:p w14:paraId="4D890954" w14:textId="77777777" w:rsidR="007968EC" w:rsidRPr="00777DBF" w:rsidRDefault="007968EC" w:rsidP="00DA7472">
      <w:pPr>
        <w:numPr>
          <w:ilvl w:val="0"/>
          <w:numId w:val="162"/>
        </w:numPr>
        <w:ind w:left="567" w:hanging="567"/>
        <w:contextualSpacing/>
        <w:jc w:val="both"/>
        <w:rPr>
          <w:rFonts w:ascii="Arial Narrow" w:hAnsi="Arial Narrow" w:cs="Arial"/>
          <w:color w:val="000000" w:themeColor="text1"/>
          <w:lang w:val="es-ES" w:eastAsia="es-ES"/>
        </w:rPr>
      </w:pPr>
      <w:r w:rsidRPr="00777DBF">
        <w:rPr>
          <w:rFonts w:ascii="Arial Narrow" w:hAnsi="Arial Narrow" w:cs="Arial"/>
          <w:color w:val="000000" w:themeColor="text1"/>
          <w:lang w:val="es-ES" w:eastAsia="es-ES"/>
        </w:rPr>
        <w:t xml:space="preserve">Las aportaciones al Fondo de Garantía Colectiva a que se refieren los numerales 5 y 6 del presente artículo; </w:t>
      </w:r>
    </w:p>
    <w:p w14:paraId="1D37AE77" w14:textId="77777777" w:rsidR="007968EC" w:rsidRPr="00777DBF" w:rsidRDefault="007968EC" w:rsidP="00DA7472">
      <w:pPr>
        <w:numPr>
          <w:ilvl w:val="0"/>
          <w:numId w:val="162"/>
        </w:numPr>
        <w:ind w:left="567" w:hanging="567"/>
        <w:contextualSpacing/>
        <w:jc w:val="both"/>
        <w:rPr>
          <w:rFonts w:ascii="Arial Narrow" w:hAnsi="Arial Narrow" w:cs="Arial"/>
          <w:color w:val="000000" w:themeColor="text1"/>
          <w:lang w:val="es-ES" w:eastAsia="es-ES"/>
        </w:rPr>
      </w:pPr>
      <w:r w:rsidRPr="00777DBF">
        <w:rPr>
          <w:rFonts w:ascii="Arial Narrow" w:hAnsi="Arial Narrow" w:cs="Arial"/>
          <w:color w:val="000000" w:themeColor="text1"/>
          <w:lang w:val="es-ES" w:eastAsia="es-ES"/>
        </w:rPr>
        <w:t>Los Recursos Propios Específicos de la Cámara a los que se refiere el numeral 4 del presente artículo.</w:t>
      </w:r>
    </w:p>
    <w:p w14:paraId="7C2CC1A0" w14:textId="77777777" w:rsidR="007968EC" w:rsidRPr="00777DBF" w:rsidRDefault="007968EC" w:rsidP="00DA7472">
      <w:pPr>
        <w:numPr>
          <w:ilvl w:val="0"/>
          <w:numId w:val="162"/>
        </w:numPr>
        <w:ind w:left="567" w:hanging="567"/>
        <w:contextualSpacing/>
        <w:jc w:val="both"/>
        <w:rPr>
          <w:rFonts w:ascii="Arial Narrow" w:hAnsi="Arial Narrow" w:cs="Arial"/>
          <w:color w:val="000000" w:themeColor="text1"/>
          <w:lang w:val="es-ES" w:eastAsia="es-ES"/>
        </w:rPr>
      </w:pPr>
      <w:r w:rsidRPr="00777DBF">
        <w:rPr>
          <w:rFonts w:ascii="Arial Narrow" w:hAnsi="Arial Narrow" w:cs="Arial"/>
          <w:color w:val="000000" w:themeColor="text1"/>
          <w:lang w:val="es-ES" w:eastAsia="es-ES"/>
        </w:rPr>
        <w:t xml:space="preserve">Cualquier otra suma que se haya pagado con cargo al patrimonio de la Cámara. </w:t>
      </w:r>
    </w:p>
    <w:p w14:paraId="5C0D1261" w14:textId="77777777" w:rsidR="007968EC" w:rsidRPr="00777DBF" w:rsidRDefault="007968EC" w:rsidP="007968EC">
      <w:pPr>
        <w:jc w:val="both"/>
        <w:rPr>
          <w:rFonts w:ascii="Arial Narrow" w:hAnsi="Arial Narrow" w:cs="Arial"/>
          <w:color w:val="000000" w:themeColor="text1"/>
          <w:lang w:val="es-ES" w:eastAsia="es-ES"/>
        </w:rPr>
      </w:pPr>
    </w:p>
    <w:p w14:paraId="7C870BCB" w14:textId="77777777" w:rsidR="007968EC" w:rsidRPr="00777DBF" w:rsidRDefault="007968EC" w:rsidP="007968EC">
      <w:pPr>
        <w:jc w:val="both"/>
        <w:rPr>
          <w:rFonts w:ascii="Arial Narrow" w:hAnsi="Arial Narrow" w:cs="Arial"/>
          <w:color w:val="000000" w:themeColor="text1"/>
          <w:lang w:val="es-ES" w:eastAsia="es-ES"/>
        </w:rPr>
      </w:pPr>
      <w:r w:rsidRPr="00777DBF">
        <w:rPr>
          <w:rFonts w:ascii="Arial Narrow" w:hAnsi="Arial Narrow" w:cs="Arial"/>
          <w:color w:val="000000" w:themeColor="text1"/>
          <w:lang w:val="es-ES" w:eastAsia="es-ES"/>
        </w:rPr>
        <w:t>Los valores recuperados se distribuirán a prorrata de las aportaciones o Contribuciones para la continuidad del servicio o Recursos Propios Específicos. En caso de que se recuperara por la Cámara o por cualquier Miembro alguna cantidad correspondiente a las que se hubieran aportado conforme a lo dispuesto en este artículo, quien la haya recuperado estará obligado a entregarla a la Cámara para que ésta proceda a su reparto conforme a lo aquí establecido.</w:t>
      </w:r>
    </w:p>
    <w:p w14:paraId="63DC74E9" w14:textId="77777777" w:rsidR="007968EC" w:rsidRPr="00777DBF" w:rsidRDefault="007968EC" w:rsidP="007968EC">
      <w:pPr>
        <w:jc w:val="both"/>
        <w:rPr>
          <w:rFonts w:ascii="Arial Narrow" w:hAnsi="Arial Narrow" w:cs="Arial"/>
          <w:color w:val="000000" w:themeColor="text1"/>
          <w:lang w:val="es-ES" w:eastAsia="es-ES"/>
        </w:rPr>
      </w:pPr>
    </w:p>
    <w:p w14:paraId="1B7E0CC0" w14:textId="77777777" w:rsidR="007968EC" w:rsidRPr="00777DBF" w:rsidRDefault="007968EC" w:rsidP="007968EC">
      <w:pPr>
        <w:jc w:val="both"/>
        <w:rPr>
          <w:rFonts w:ascii="Arial Narrow" w:hAnsi="Arial Narrow" w:cs="Arial"/>
          <w:color w:val="000000" w:themeColor="text1"/>
          <w:lang w:val="es-ES" w:eastAsia="es-ES"/>
        </w:rPr>
      </w:pPr>
      <w:r w:rsidRPr="00777DBF">
        <w:rPr>
          <w:rFonts w:ascii="Arial Narrow" w:hAnsi="Arial Narrow" w:cs="Arial"/>
          <w:b/>
          <w:color w:val="000000" w:themeColor="text1"/>
          <w:lang w:val="es-ES" w:eastAsia="es-ES"/>
        </w:rPr>
        <w:t>Parágrafo Segundo.</w:t>
      </w:r>
      <w:r w:rsidRPr="00777DBF">
        <w:rPr>
          <w:rFonts w:ascii="Arial Narrow" w:hAnsi="Arial Narrow" w:cs="Arial"/>
          <w:color w:val="000000" w:themeColor="text1"/>
          <w:lang w:val="es-ES" w:eastAsia="es-ES"/>
        </w:rPr>
        <w:t xml:space="preserve"> La Cámara no podrá ejecutar las aportaciones al Fondo de Garantía Colectiva, ni las Contribuciones para la continuidad del servicio, sean obligatorias o voluntarias, constituidas por un Miembro Liquidador que no haya Incumplido y que no haga parte de la Compensación y Liquidación del Segmento en el que exista un saldo deudor. </w:t>
      </w:r>
    </w:p>
    <w:p w14:paraId="4DBBF020" w14:textId="77777777" w:rsidR="007968EC" w:rsidRPr="00777DBF" w:rsidRDefault="007968EC" w:rsidP="007968EC">
      <w:pPr>
        <w:jc w:val="both"/>
        <w:rPr>
          <w:rFonts w:ascii="Arial Narrow" w:hAnsi="Arial Narrow" w:cs="Arial"/>
          <w:color w:val="000000" w:themeColor="text1"/>
          <w:lang w:val="es-ES" w:eastAsia="es-ES"/>
        </w:rPr>
      </w:pPr>
    </w:p>
    <w:p w14:paraId="3DF7D551" w14:textId="77777777" w:rsidR="007968EC" w:rsidRPr="00777DBF" w:rsidRDefault="007968EC" w:rsidP="007968EC">
      <w:pPr>
        <w:jc w:val="both"/>
        <w:rPr>
          <w:rFonts w:ascii="Arial Narrow" w:hAnsi="Arial Narrow" w:cs="Arial"/>
          <w:color w:val="000000" w:themeColor="text1"/>
          <w:lang w:val="es-ES" w:eastAsia="es-ES"/>
        </w:rPr>
      </w:pPr>
      <w:r w:rsidRPr="00777DBF">
        <w:rPr>
          <w:rFonts w:ascii="Arial Narrow" w:hAnsi="Arial Narrow" w:cs="Arial"/>
          <w:b/>
          <w:color w:val="000000" w:themeColor="text1"/>
          <w:lang w:val="es-ES" w:eastAsia="es-ES"/>
        </w:rPr>
        <w:t>Parágrafo Tercero.</w:t>
      </w:r>
      <w:r w:rsidRPr="00777DBF">
        <w:rPr>
          <w:rFonts w:ascii="Arial Narrow" w:hAnsi="Arial Narrow" w:cs="Arial"/>
          <w:color w:val="000000" w:themeColor="text1"/>
          <w:lang w:val="es-ES" w:eastAsia="es-ES"/>
        </w:rPr>
        <w:t xml:space="preserve"> La Cámara podrá extinguir por compensación en cada Segmento en que el Miembro o el Tercero Identificado tenían posición, las cantidades liquidadas, vencidas y exigibles que le adeude el Miembro o el Tercero Identificado incumplido con las cantidades que la Cámara le adeude.</w:t>
      </w:r>
    </w:p>
    <w:p w14:paraId="67BF4829" w14:textId="77777777" w:rsidR="007968EC" w:rsidRPr="00777DBF" w:rsidRDefault="007968EC" w:rsidP="007968EC">
      <w:pPr>
        <w:jc w:val="both"/>
        <w:rPr>
          <w:rFonts w:ascii="Arial Narrow" w:hAnsi="Arial Narrow" w:cs="Arial"/>
          <w:b/>
          <w:color w:val="000000" w:themeColor="text1"/>
          <w:lang w:val="es-ES" w:eastAsia="es-ES"/>
        </w:rPr>
      </w:pPr>
    </w:p>
    <w:p w14:paraId="30402E87" w14:textId="77777777" w:rsidR="007968EC" w:rsidRPr="00777DBF" w:rsidRDefault="007968EC" w:rsidP="007968EC">
      <w:pPr>
        <w:keepNext/>
        <w:tabs>
          <w:tab w:val="left" w:pos="1701"/>
        </w:tabs>
        <w:jc w:val="both"/>
        <w:outlineLvl w:val="2"/>
        <w:rPr>
          <w:rFonts w:ascii="Arial Narrow" w:hAnsi="Arial Narrow" w:cs="Arial"/>
          <w:color w:val="000000" w:themeColor="text1"/>
          <w:lang w:val="es-ES" w:eastAsia="es-ES"/>
        </w:rPr>
      </w:pPr>
      <w:bookmarkStart w:id="2770" w:name="_Toc470775528"/>
      <w:bookmarkStart w:id="2771" w:name="_Toc470779813"/>
      <w:bookmarkStart w:id="2772" w:name="_Toc470780430"/>
      <w:bookmarkStart w:id="2773" w:name="_Toc470780943"/>
      <w:bookmarkStart w:id="2774" w:name="_Toc470784504"/>
      <w:bookmarkStart w:id="2775" w:name="_Toc470785041"/>
      <w:bookmarkStart w:id="2776" w:name="_Toc470791427"/>
      <w:bookmarkStart w:id="2777" w:name="_Toc471831637"/>
      <w:bookmarkStart w:id="2778" w:name="_Toc490066332"/>
      <w:bookmarkStart w:id="2779" w:name="_Toc490079107"/>
      <w:r w:rsidRPr="00777DBF">
        <w:rPr>
          <w:rFonts w:ascii="Arial Narrow" w:hAnsi="Arial Narrow" w:cs="Arial"/>
          <w:b/>
          <w:color w:val="000000" w:themeColor="text1"/>
          <w:lang w:val="es-ES" w:eastAsia="es-ES"/>
        </w:rPr>
        <w:t>Parágrafo Cuarto.</w:t>
      </w:r>
      <w:r w:rsidRPr="00777DBF">
        <w:rPr>
          <w:rFonts w:ascii="Arial Narrow" w:hAnsi="Arial Narrow" w:cs="Arial"/>
          <w:color w:val="000000" w:themeColor="text1"/>
          <w:lang w:val="es-ES" w:eastAsia="es-ES"/>
        </w:rPr>
        <w:t xml:space="preserve"> </w:t>
      </w:r>
      <w:bookmarkEnd w:id="2770"/>
      <w:bookmarkEnd w:id="2771"/>
      <w:bookmarkEnd w:id="2772"/>
      <w:bookmarkEnd w:id="2773"/>
      <w:bookmarkEnd w:id="2774"/>
      <w:bookmarkEnd w:id="2775"/>
      <w:bookmarkEnd w:id="2776"/>
      <w:bookmarkEnd w:id="2777"/>
      <w:bookmarkEnd w:id="2778"/>
      <w:bookmarkEnd w:id="2779"/>
      <w:r w:rsidRPr="00EA3759">
        <w:rPr>
          <w:rFonts w:ascii="Arial Narrow" w:hAnsi="Arial Narrow" w:cs="Arial"/>
          <w:color w:val="000000" w:themeColor="text1"/>
          <w:lang w:val="es-ES" w:eastAsia="es-ES"/>
        </w:rPr>
        <w:t>A efectos del reembolso de lo pagado en virtud de un Incumplimiento, los Miembros titulares de Cuentas de Terceros Ómnibus Segregada por Miembro ejecutarán las Garantías del Tercero no Identificado Incumplido.</w:t>
      </w:r>
    </w:p>
    <w:p w14:paraId="2945BE85" w14:textId="77777777" w:rsidR="007968EC" w:rsidRPr="00777DBF" w:rsidRDefault="007968EC" w:rsidP="007968EC">
      <w:pPr>
        <w:jc w:val="both"/>
        <w:rPr>
          <w:rFonts w:ascii="Arial Narrow" w:hAnsi="Arial Narrow" w:cs="Arial"/>
          <w:color w:val="000000" w:themeColor="text1"/>
          <w:lang w:val="es-ES" w:eastAsia="es-ES"/>
        </w:rPr>
      </w:pPr>
    </w:p>
    <w:p w14:paraId="73AAC71C" w14:textId="77777777" w:rsidR="007968EC" w:rsidRPr="00777DBF" w:rsidRDefault="007968EC" w:rsidP="007968EC">
      <w:pPr>
        <w:keepNext/>
        <w:tabs>
          <w:tab w:val="left" w:pos="1701"/>
        </w:tabs>
        <w:jc w:val="both"/>
        <w:outlineLvl w:val="2"/>
        <w:rPr>
          <w:rFonts w:ascii="Arial Narrow" w:hAnsi="Arial Narrow" w:cs="Arial"/>
          <w:color w:val="000000" w:themeColor="text1"/>
          <w:lang w:val="es-ES" w:eastAsia="es-ES"/>
        </w:rPr>
      </w:pPr>
      <w:bookmarkStart w:id="2780" w:name="_Toc471831638"/>
      <w:bookmarkStart w:id="2781" w:name="_Toc490066333"/>
      <w:bookmarkStart w:id="2782" w:name="_Toc490079108"/>
      <w:bookmarkStart w:id="2783" w:name="_Toc470775529"/>
      <w:bookmarkStart w:id="2784" w:name="_Toc470779814"/>
      <w:bookmarkStart w:id="2785" w:name="_Toc470780431"/>
      <w:bookmarkStart w:id="2786" w:name="_Toc470780944"/>
      <w:bookmarkStart w:id="2787" w:name="_Toc470784505"/>
      <w:bookmarkStart w:id="2788" w:name="_Toc470785042"/>
      <w:bookmarkStart w:id="2789" w:name="_Toc470791428"/>
      <w:r w:rsidRPr="00777DBF">
        <w:rPr>
          <w:rFonts w:ascii="Arial Narrow" w:hAnsi="Arial Narrow" w:cs="Arial"/>
          <w:b/>
          <w:color w:val="000000" w:themeColor="text1"/>
          <w:lang w:val="es-ES" w:eastAsia="es-ES"/>
        </w:rPr>
        <w:t>Parágrafo Quinto.</w:t>
      </w:r>
      <w:r w:rsidRPr="00777DBF">
        <w:rPr>
          <w:rFonts w:ascii="Arial Narrow" w:hAnsi="Arial Narrow" w:cs="Arial"/>
          <w:color w:val="000000" w:themeColor="text1"/>
          <w:lang w:val="es-ES" w:eastAsia="es-ES"/>
        </w:rPr>
        <w:t xml:space="preserve"> En desarrollo de la facultad prevista en el Parágrafo Quinto del artículo 2.8.8. del Reglamento de Funcionamiento, la Cámara podrá utilizar de manera temporal las Garantías constituidas en efectivo por los Miembros y Terceros cuando así lo requiera mientras ejecuta cualquier Garantía constituida en valores o para cumplir cualquier obligación derivada de la Compensación y Liquidación de Operaciones Aceptadas. En todo caso, cuando se trate del cumplimiento de obligaciones derivadas de la gestión de retardo o de la adopción de una medida preventiva, la utilización de las Garantías constituidas en efectivo no impedirá que la Cámara declare el incumplimiento del Miembro que se encuentre en el evento de retardo o </w:t>
      </w:r>
      <w:r w:rsidRPr="00777DBF">
        <w:rPr>
          <w:rFonts w:ascii="Arial Narrow" w:hAnsi="Arial Narrow" w:cs="Arial"/>
          <w:color w:val="000000" w:themeColor="text1"/>
          <w:lang w:val="es-ES" w:eastAsia="es-ES"/>
        </w:rPr>
        <w:lastRenderedPageBreak/>
        <w:t>que haya sido objeto de la medida preventiva, de conformidad con lo dispuesto en el Reglamento de Funcionamiento o en la presente Circular.</w:t>
      </w:r>
      <w:bookmarkEnd w:id="2780"/>
      <w:bookmarkEnd w:id="2781"/>
      <w:bookmarkEnd w:id="2782"/>
      <w:r w:rsidRPr="00777DBF">
        <w:rPr>
          <w:rFonts w:ascii="Arial Narrow" w:hAnsi="Arial Narrow" w:cs="Arial"/>
          <w:color w:val="000000" w:themeColor="text1"/>
          <w:lang w:val="es-ES" w:eastAsia="es-ES"/>
        </w:rPr>
        <w:t xml:space="preserve"> </w:t>
      </w:r>
    </w:p>
    <w:p w14:paraId="79A5725B" w14:textId="77777777" w:rsidR="007968EC" w:rsidRPr="00777DBF" w:rsidRDefault="007968EC" w:rsidP="007968EC">
      <w:pPr>
        <w:keepNext/>
        <w:tabs>
          <w:tab w:val="left" w:pos="1701"/>
        </w:tabs>
        <w:jc w:val="both"/>
        <w:outlineLvl w:val="2"/>
        <w:rPr>
          <w:rFonts w:ascii="Arial Narrow" w:hAnsi="Arial Narrow" w:cs="Arial"/>
          <w:color w:val="000000" w:themeColor="text1"/>
          <w:u w:val="single"/>
          <w:lang w:eastAsia="es-ES"/>
        </w:rPr>
      </w:pPr>
    </w:p>
    <w:p w14:paraId="5B21108E" w14:textId="77777777" w:rsidR="007968EC" w:rsidRPr="00777DBF" w:rsidRDefault="007968EC" w:rsidP="007968EC">
      <w:pPr>
        <w:keepNext/>
        <w:tabs>
          <w:tab w:val="left" w:pos="1701"/>
        </w:tabs>
        <w:jc w:val="both"/>
        <w:outlineLvl w:val="2"/>
        <w:rPr>
          <w:rFonts w:ascii="Arial Narrow" w:hAnsi="Arial Narrow" w:cs="Arial"/>
          <w:color w:val="000000" w:themeColor="text1"/>
          <w:lang w:val="es-ES" w:eastAsia="es-ES"/>
        </w:rPr>
      </w:pPr>
      <w:bookmarkStart w:id="2790" w:name="_Toc470775530"/>
      <w:bookmarkStart w:id="2791" w:name="_Toc470779815"/>
      <w:bookmarkStart w:id="2792" w:name="_Toc470780432"/>
      <w:bookmarkStart w:id="2793" w:name="_Toc470780945"/>
      <w:bookmarkStart w:id="2794" w:name="_Toc470784506"/>
      <w:bookmarkStart w:id="2795" w:name="_Toc470785043"/>
      <w:bookmarkStart w:id="2796" w:name="_Toc470791429"/>
      <w:bookmarkStart w:id="2797" w:name="_Toc471831639"/>
      <w:bookmarkStart w:id="2798" w:name="_Toc490066334"/>
      <w:bookmarkStart w:id="2799" w:name="_Toc490079109"/>
      <w:r w:rsidRPr="00777DBF">
        <w:rPr>
          <w:rFonts w:ascii="Arial Narrow" w:hAnsi="Arial Narrow" w:cs="Arial"/>
          <w:color w:val="000000" w:themeColor="text1"/>
          <w:lang w:val="es-ES" w:eastAsia="es-ES"/>
        </w:rPr>
        <w:t>En caso de que la Cámara utilice Garantías constituidas en efectivo por los Miembros o Terceros, mantendrá en los registros de la Cámara para efectos de lo previsto en materia de constitución y cálculo de Garantías, que tales Miembros o Terceros tienen constituidas sus Garantías en efectivo, sin perjuicio de que la Cámara pueda reconocer temporalmente como contravalor de dichas Garantías, las Garantías en valores pendientes de ejecutar.</w:t>
      </w:r>
      <w:bookmarkEnd w:id="2790"/>
      <w:bookmarkEnd w:id="2791"/>
      <w:bookmarkEnd w:id="2792"/>
      <w:bookmarkEnd w:id="2793"/>
      <w:bookmarkEnd w:id="2794"/>
      <w:bookmarkEnd w:id="2795"/>
      <w:bookmarkEnd w:id="2796"/>
      <w:bookmarkEnd w:id="2797"/>
      <w:bookmarkEnd w:id="2798"/>
      <w:bookmarkEnd w:id="2799"/>
      <w:r w:rsidRPr="00777DBF">
        <w:rPr>
          <w:rFonts w:ascii="Arial Narrow" w:hAnsi="Arial Narrow" w:cs="Arial"/>
          <w:color w:val="000000" w:themeColor="text1"/>
          <w:lang w:val="es-ES" w:eastAsia="es-ES"/>
        </w:rPr>
        <w:t xml:space="preserve"> </w:t>
      </w:r>
    </w:p>
    <w:p w14:paraId="1E850F66" w14:textId="77777777" w:rsidR="007968EC" w:rsidRPr="00777DBF" w:rsidRDefault="007968EC" w:rsidP="007968EC">
      <w:pPr>
        <w:keepNext/>
        <w:tabs>
          <w:tab w:val="left" w:pos="1701"/>
        </w:tabs>
        <w:jc w:val="both"/>
        <w:outlineLvl w:val="2"/>
        <w:rPr>
          <w:rFonts w:ascii="Arial Narrow" w:hAnsi="Arial Narrow" w:cs="Arial"/>
          <w:color w:val="000000" w:themeColor="text1"/>
          <w:lang w:val="es-ES" w:eastAsia="es-ES"/>
        </w:rPr>
      </w:pPr>
      <w:r w:rsidRPr="00777DBF">
        <w:rPr>
          <w:rFonts w:ascii="Arial Narrow" w:hAnsi="Arial Narrow" w:cs="Arial"/>
          <w:color w:val="000000" w:themeColor="text1"/>
          <w:lang w:val="es-ES" w:eastAsia="es-ES"/>
        </w:rPr>
        <w:t xml:space="preserve"> </w:t>
      </w:r>
    </w:p>
    <w:p w14:paraId="71AC8089" w14:textId="77777777" w:rsidR="007968EC" w:rsidRPr="00777DBF" w:rsidRDefault="007968EC" w:rsidP="007968EC">
      <w:pPr>
        <w:keepNext/>
        <w:tabs>
          <w:tab w:val="left" w:pos="1701"/>
        </w:tabs>
        <w:jc w:val="both"/>
        <w:outlineLvl w:val="2"/>
        <w:rPr>
          <w:rFonts w:ascii="Arial Narrow" w:hAnsi="Arial Narrow" w:cs="Arial"/>
          <w:color w:val="000000" w:themeColor="text1"/>
          <w:lang w:val="es-ES" w:eastAsia="es-ES"/>
        </w:rPr>
      </w:pPr>
      <w:bookmarkStart w:id="2800" w:name="_Toc471831640"/>
      <w:bookmarkStart w:id="2801" w:name="_Toc490066335"/>
      <w:bookmarkStart w:id="2802" w:name="_Toc490079110"/>
      <w:bookmarkStart w:id="2803" w:name="_Toc470775531"/>
      <w:bookmarkStart w:id="2804" w:name="_Toc470779816"/>
      <w:bookmarkStart w:id="2805" w:name="_Toc470780433"/>
      <w:bookmarkStart w:id="2806" w:name="_Toc470780946"/>
      <w:bookmarkStart w:id="2807" w:name="_Toc470784507"/>
      <w:bookmarkStart w:id="2808" w:name="_Toc470785044"/>
      <w:bookmarkStart w:id="2809" w:name="_Toc470791430"/>
      <w:r w:rsidRPr="00777DBF">
        <w:rPr>
          <w:rFonts w:ascii="Arial Narrow" w:hAnsi="Arial Narrow" w:cs="Arial"/>
          <w:color w:val="000000" w:themeColor="text1"/>
          <w:lang w:val="es-ES" w:eastAsia="es-ES"/>
        </w:rPr>
        <w:t>En aquellos eventos en que la Cámara utilice temporalmente las Garantías constituidas en efectivo por Miembros que hayan autorizado la inversión de tales Garantías de acuerdo con lo establecido en el artículo 2.7.5. del Reglamento, la Cámara reconocerá intereses a dichos Miembros durante el tiempo en que se utilicen las Garantías constituidas en efectivo, a la tasa de remuneración del efectivo del día definida de acuerdo con lo establecido en el artículo 1.6.4.14. de la presente Circular, y en caso de no haberse registrado dicha tasa, a la tasa de remuneración del día hábil anterior más cercano que haya habido remuneración de Garantías en efectivo.</w:t>
      </w:r>
      <w:bookmarkEnd w:id="2800"/>
      <w:bookmarkEnd w:id="2801"/>
      <w:bookmarkEnd w:id="2802"/>
      <w:r w:rsidRPr="00777DBF">
        <w:rPr>
          <w:rFonts w:ascii="Arial Narrow" w:hAnsi="Arial Narrow" w:cs="Arial"/>
          <w:color w:val="000000" w:themeColor="text1"/>
          <w:lang w:val="es-ES" w:eastAsia="es-ES"/>
        </w:rPr>
        <w:t xml:space="preserve"> </w:t>
      </w:r>
      <w:bookmarkEnd w:id="2803"/>
      <w:bookmarkEnd w:id="2804"/>
      <w:bookmarkEnd w:id="2805"/>
      <w:bookmarkEnd w:id="2806"/>
      <w:bookmarkEnd w:id="2807"/>
      <w:bookmarkEnd w:id="2808"/>
      <w:bookmarkEnd w:id="2809"/>
    </w:p>
    <w:p w14:paraId="01CC08BA" w14:textId="77777777" w:rsidR="007968EC" w:rsidRPr="00777DBF" w:rsidRDefault="007968EC" w:rsidP="007968EC">
      <w:pPr>
        <w:keepNext/>
        <w:tabs>
          <w:tab w:val="left" w:pos="1701"/>
        </w:tabs>
        <w:jc w:val="both"/>
        <w:outlineLvl w:val="2"/>
        <w:rPr>
          <w:rFonts w:ascii="Arial Narrow" w:hAnsi="Arial Narrow" w:cs="Arial"/>
          <w:color w:val="000000" w:themeColor="text1"/>
          <w:lang w:val="es-ES" w:eastAsia="es-ES"/>
        </w:rPr>
      </w:pPr>
      <w:r w:rsidRPr="00777DBF">
        <w:rPr>
          <w:rFonts w:ascii="Arial Narrow" w:hAnsi="Arial Narrow" w:cs="Arial"/>
          <w:color w:val="000000" w:themeColor="text1"/>
          <w:lang w:val="es-ES" w:eastAsia="es-ES"/>
        </w:rPr>
        <w:t xml:space="preserve"> </w:t>
      </w:r>
    </w:p>
    <w:p w14:paraId="0B776BEA" w14:textId="77777777" w:rsidR="007968EC" w:rsidRPr="00777DBF" w:rsidRDefault="007968EC" w:rsidP="007968EC">
      <w:pPr>
        <w:jc w:val="both"/>
        <w:rPr>
          <w:rFonts w:ascii="Arial Narrow" w:eastAsia="Calibri" w:hAnsi="Arial Narrow"/>
        </w:rPr>
      </w:pPr>
      <w:bookmarkStart w:id="2810" w:name="_Toc470775532"/>
      <w:bookmarkStart w:id="2811" w:name="_Toc470779817"/>
      <w:bookmarkStart w:id="2812" w:name="_Toc470780434"/>
      <w:bookmarkStart w:id="2813" w:name="_Toc470780947"/>
      <w:bookmarkStart w:id="2814" w:name="_Toc470784508"/>
      <w:bookmarkStart w:id="2815" w:name="_Toc470785045"/>
      <w:bookmarkStart w:id="2816" w:name="_Toc470791431"/>
      <w:r w:rsidRPr="00777DBF">
        <w:rPr>
          <w:rFonts w:ascii="Arial Narrow" w:hAnsi="Arial Narrow" w:cs="Arial"/>
          <w:color w:val="000000" w:themeColor="text1"/>
          <w:lang w:val="es-ES" w:eastAsia="es-ES"/>
        </w:rPr>
        <w:t xml:space="preserve">Cuando se trate de un evento de incumplimiento o de un evento de retardo o de una medida preventiva, el </w:t>
      </w:r>
      <w:r w:rsidRPr="00777DBF">
        <w:rPr>
          <w:rFonts w:ascii="Arial Narrow" w:hAnsi="Arial Narrow" w:cs="Arial"/>
          <w:color w:val="000000" w:themeColor="text1"/>
          <w:lang w:val="es-MX" w:eastAsia="es-ES"/>
        </w:rPr>
        <w:t xml:space="preserve">Miembro Incumplido </w:t>
      </w:r>
      <w:r w:rsidRPr="00777DBF">
        <w:rPr>
          <w:rFonts w:ascii="Arial Narrow" w:hAnsi="Arial Narrow" w:cs="Arial"/>
          <w:color w:val="000000" w:themeColor="text1"/>
          <w:lang w:val="es-ES" w:eastAsia="es-ES"/>
        </w:rPr>
        <w:t xml:space="preserve">o que se encuentre en retardo o que haya sido objeto de la medida preventiva, según el caso, </w:t>
      </w:r>
      <w:r w:rsidRPr="00777DBF">
        <w:rPr>
          <w:rFonts w:ascii="Arial Narrow" w:hAnsi="Arial Narrow" w:cs="Arial"/>
          <w:color w:val="000000" w:themeColor="text1"/>
          <w:lang w:val="es-MX" w:eastAsia="es-ES"/>
        </w:rPr>
        <w:t xml:space="preserve">responderá ante la Cámara por cualquier daño y perjuicio que el Incumplimiento </w:t>
      </w:r>
      <w:r w:rsidRPr="00777DBF">
        <w:rPr>
          <w:rFonts w:ascii="Arial Narrow" w:hAnsi="Arial Narrow" w:cs="Arial"/>
          <w:color w:val="000000" w:themeColor="text1"/>
          <w:lang w:val="es-ES" w:eastAsia="es-ES"/>
        </w:rPr>
        <w:t xml:space="preserve">o el retardo o la medida preventiva </w:t>
      </w:r>
      <w:r w:rsidRPr="00777DBF">
        <w:rPr>
          <w:rFonts w:ascii="Arial Narrow" w:hAnsi="Arial Narrow" w:cs="Arial"/>
          <w:color w:val="000000" w:themeColor="text1"/>
          <w:lang w:val="es-MX" w:eastAsia="es-ES"/>
        </w:rPr>
        <w:t>pudiera haber causado. En todo caso, el Miembro Incumplido</w:t>
      </w:r>
      <w:r w:rsidRPr="00777DBF">
        <w:rPr>
          <w:rFonts w:ascii="Arial Narrow" w:hAnsi="Arial Narrow" w:cs="Arial"/>
          <w:color w:val="000000" w:themeColor="text1"/>
          <w:lang w:val="es-ES" w:eastAsia="es-ES"/>
        </w:rPr>
        <w:t xml:space="preserve"> o en retardo o que haya sido objeto de la medida preventiva,</w:t>
      </w:r>
      <w:r w:rsidRPr="00777DBF">
        <w:rPr>
          <w:rFonts w:ascii="Arial Narrow" w:hAnsi="Arial Narrow" w:cs="Arial"/>
          <w:color w:val="000000" w:themeColor="text1"/>
          <w:lang w:val="es-MX" w:eastAsia="es-ES"/>
        </w:rPr>
        <w:t xml:space="preserve"> deberá pagar a la Cámara todos los gastos y costos, incluidos los intereses que la Cámara haya tenido que asumir, por las actividades adelantadas para la utilización de las Garantías constituidas en efectivo por otros Miembros o Terceros.</w:t>
      </w:r>
      <w:bookmarkEnd w:id="2810"/>
      <w:bookmarkEnd w:id="2811"/>
      <w:bookmarkEnd w:id="2812"/>
      <w:bookmarkEnd w:id="2813"/>
      <w:bookmarkEnd w:id="2814"/>
      <w:bookmarkEnd w:id="2815"/>
      <w:bookmarkEnd w:id="2816"/>
      <w:r w:rsidRPr="00777DBF">
        <w:rPr>
          <w:rFonts w:ascii="Arial Narrow" w:hAnsi="Arial Narrow" w:cs="Arial"/>
          <w:color w:val="000000" w:themeColor="text1"/>
          <w:lang w:val="es-ES" w:eastAsia="es-ES"/>
        </w:rPr>
        <w:t xml:space="preserve"> </w:t>
      </w:r>
      <w:bookmarkStart w:id="2817" w:name="_Toc470775533"/>
      <w:bookmarkStart w:id="2818" w:name="_Toc470779818"/>
      <w:bookmarkStart w:id="2819" w:name="_Toc470780435"/>
      <w:bookmarkStart w:id="2820" w:name="_Toc470780948"/>
      <w:bookmarkStart w:id="2821" w:name="_Toc470784509"/>
      <w:bookmarkStart w:id="2822" w:name="_Toc470785046"/>
      <w:bookmarkStart w:id="2823" w:name="_Toc470791432"/>
      <w:r w:rsidRPr="00777DBF">
        <w:rPr>
          <w:rFonts w:ascii="Arial Narrow" w:hAnsi="Arial Narrow" w:cs="Arial"/>
          <w:color w:val="000000" w:themeColor="text1"/>
          <w:lang w:val="es-ES" w:eastAsia="es-ES"/>
        </w:rPr>
        <w:t>La Cámara descontará de cualquier suma que resulte a favor del Miembro Incumplido o en retardo o que haya sido objeto de la medida preventiva, los gastos o costos en que incurra, incluido, de ser el caso, el valor de los intereses pagados a otros Miembros.</w:t>
      </w:r>
      <w:bookmarkEnd w:id="2783"/>
      <w:bookmarkEnd w:id="2784"/>
      <w:bookmarkEnd w:id="2785"/>
      <w:bookmarkEnd w:id="2786"/>
      <w:bookmarkEnd w:id="2787"/>
      <w:bookmarkEnd w:id="2788"/>
      <w:bookmarkEnd w:id="2789"/>
      <w:bookmarkEnd w:id="2817"/>
      <w:bookmarkEnd w:id="2818"/>
      <w:bookmarkEnd w:id="2819"/>
      <w:bookmarkEnd w:id="2820"/>
      <w:bookmarkEnd w:id="2821"/>
      <w:bookmarkEnd w:id="2822"/>
      <w:bookmarkEnd w:id="2823"/>
    </w:p>
    <w:p w14:paraId="7F73A727" w14:textId="77777777" w:rsidR="007968EC" w:rsidRPr="00885853" w:rsidRDefault="007968EC" w:rsidP="007968EC">
      <w:pPr>
        <w:jc w:val="both"/>
        <w:rPr>
          <w:rFonts w:ascii="Arial Narrow" w:hAnsi="Arial Narrow" w:cs="Arial"/>
          <w:color w:val="000000" w:themeColor="text1"/>
          <w:lang w:eastAsia="es-ES"/>
        </w:rPr>
      </w:pPr>
      <w:bookmarkStart w:id="2824" w:name="_Toc470775534"/>
      <w:bookmarkStart w:id="2825" w:name="_Toc470779819"/>
      <w:bookmarkStart w:id="2826" w:name="_Toc470780436"/>
      <w:bookmarkStart w:id="2827" w:name="_Toc470780949"/>
      <w:bookmarkStart w:id="2828" w:name="_Toc470784510"/>
      <w:bookmarkStart w:id="2829" w:name="_Toc470785047"/>
      <w:bookmarkStart w:id="2830" w:name="_Toc470790334"/>
      <w:bookmarkStart w:id="2831" w:name="_Toc470791433"/>
      <w:bookmarkEnd w:id="2769"/>
    </w:p>
    <w:p w14:paraId="12E08E61" w14:textId="77777777" w:rsidR="007968EC" w:rsidRDefault="007968EC" w:rsidP="007968EC">
      <w:pPr>
        <w:pStyle w:val="ARTICULO0"/>
      </w:pPr>
      <w:bookmarkStart w:id="2832" w:name="_Toc472592203"/>
      <w:bookmarkStart w:id="2833" w:name="_Toc472593222"/>
      <w:bookmarkStart w:id="2834" w:name="_Toc479057008"/>
      <w:bookmarkStart w:id="2835" w:name="_Toc31716020"/>
      <w:bookmarkStart w:id="2836" w:name="_Toc490066336"/>
      <w:r>
        <w:t xml:space="preserve">Artículo 1.7.2.11. </w:t>
      </w:r>
      <w:r w:rsidRPr="002C0D19">
        <w:t>Otras medidas para la protección de los Terceros y Miembros No Liquidadores ante el incumplimiento del Miembro Liquidador.</w:t>
      </w:r>
      <w:bookmarkEnd w:id="2832"/>
      <w:bookmarkEnd w:id="2833"/>
      <w:bookmarkEnd w:id="2834"/>
      <w:bookmarkEnd w:id="2835"/>
      <w:r w:rsidRPr="002C0D19">
        <w:t xml:space="preserve"> </w:t>
      </w:r>
    </w:p>
    <w:p w14:paraId="4BC2D64F" w14:textId="77777777" w:rsidR="007968EC" w:rsidRPr="00885853" w:rsidRDefault="007968EC" w:rsidP="007968EC">
      <w:pPr>
        <w:jc w:val="both"/>
        <w:rPr>
          <w:rFonts w:ascii="Arial Narrow" w:hAnsi="Arial Narrow" w:cs="Arial"/>
          <w:color w:val="000000" w:themeColor="text1"/>
          <w:lang w:eastAsia="es-ES"/>
        </w:rPr>
      </w:pPr>
    </w:p>
    <w:p w14:paraId="0CA481F3" w14:textId="77777777" w:rsidR="007968EC" w:rsidRPr="002C0D19" w:rsidRDefault="007968EC" w:rsidP="007968EC">
      <w:pPr>
        <w:pStyle w:val="ANTECEDENTES"/>
      </w:pPr>
      <w:r w:rsidRPr="002C0D19">
        <w:t xml:space="preserve">(Este artículo fue modificado mediante Circular </w:t>
      </w:r>
      <w:r w:rsidRPr="002C0D19">
        <w:rPr>
          <w:bCs/>
        </w:rPr>
        <w:t xml:space="preserve">6 del 29 de marzo de 2010, publicada en el Boletín Normativo No. 008 del 29 de marzo de 2010, </w:t>
      </w:r>
      <w:r w:rsidRPr="002C0D19">
        <w:t>mediante Circular 19 del 28 de diciembre de 2016, publicada en el Boletín Normativo No. 024 del 28 de diciembre de 2016</w:t>
      </w:r>
      <w:bookmarkEnd w:id="2824"/>
      <w:bookmarkEnd w:id="2825"/>
      <w:bookmarkEnd w:id="2826"/>
      <w:bookmarkEnd w:id="2827"/>
      <w:bookmarkEnd w:id="2828"/>
      <w:bookmarkEnd w:id="2829"/>
      <w:bookmarkEnd w:id="2830"/>
      <w:bookmarkEnd w:id="2831"/>
      <w:r w:rsidR="00865110">
        <w:t>,</w:t>
      </w:r>
      <w:r w:rsidRPr="002C0D19">
        <w:t xml:space="preserve"> mediante Circular 2 del 11 de enero de 2017, publicada en el Boletín Normativo No. 002 del 11 de enero de 2017</w:t>
      </w:r>
      <w:r w:rsidR="00865110">
        <w:t xml:space="preserve"> y mediante Circular 2 del 29 de enero de 2020, publicada en el Boletín Normativo No. 002 del 29 de enero de 2020</w:t>
      </w:r>
      <w:r w:rsidRPr="002C0D19">
        <w:t xml:space="preserve">. Rige a partir del </w:t>
      </w:r>
      <w:r w:rsidR="00865110">
        <w:t>3</w:t>
      </w:r>
      <w:r w:rsidRPr="002C0D19">
        <w:t xml:space="preserve"> de </w:t>
      </w:r>
      <w:r w:rsidR="00865110">
        <w:t>febrero</w:t>
      </w:r>
      <w:r w:rsidRPr="002C0D19">
        <w:t xml:space="preserve"> de 20</w:t>
      </w:r>
      <w:r w:rsidR="00865110">
        <w:t>20</w:t>
      </w:r>
      <w:r w:rsidRPr="002C0D19">
        <w:t>.)</w:t>
      </w:r>
      <w:bookmarkEnd w:id="2836"/>
    </w:p>
    <w:p w14:paraId="1E19F450" w14:textId="77777777" w:rsidR="007968EC" w:rsidRPr="002C0D19" w:rsidRDefault="007968EC" w:rsidP="007968EC">
      <w:pPr>
        <w:rPr>
          <w:rFonts w:ascii="Arial Narrow" w:hAnsi="Arial Narrow" w:cs="Arial"/>
          <w:b/>
          <w:i/>
          <w:color w:val="000000" w:themeColor="text1"/>
          <w:lang w:val="es-ES" w:eastAsia="es-ES"/>
        </w:rPr>
      </w:pPr>
    </w:p>
    <w:p w14:paraId="64BE5AE8" w14:textId="77777777" w:rsidR="007968EC" w:rsidRPr="002C0D19" w:rsidRDefault="007968EC" w:rsidP="007968EC">
      <w:pPr>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La Cámara ante el incumplimiento del Miembro Liquidador podrá tomar las siguientes medidas:</w:t>
      </w:r>
    </w:p>
    <w:p w14:paraId="75B258CF" w14:textId="77777777" w:rsidR="007968EC" w:rsidRPr="002C0D19" w:rsidRDefault="007968EC" w:rsidP="007968EC">
      <w:pPr>
        <w:jc w:val="both"/>
        <w:rPr>
          <w:rFonts w:ascii="Arial Narrow" w:hAnsi="Arial Narrow" w:cs="Arial"/>
          <w:bCs/>
          <w:color w:val="000000" w:themeColor="text1"/>
          <w:lang w:val="es-ES" w:eastAsia="es-ES"/>
        </w:rPr>
      </w:pPr>
    </w:p>
    <w:p w14:paraId="5605F7EE" w14:textId="77777777" w:rsidR="007968EC" w:rsidRPr="002C0D19" w:rsidRDefault="007968EC" w:rsidP="00DA7472">
      <w:pPr>
        <w:numPr>
          <w:ilvl w:val="0"/>
          <w:numId w:val="163"/>
        </w:numPr>
        <w:tabs>
          <w:tab w:val="num" w:pos="464"/>
        </w:tabs>
        <w:ind w:left="464" w:hanging="425"/>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xml:space="preserve">Si cuenta con la autorización de los Terceros Identificados podrá buscar la transferencia de su Cuenta a otro Miembro, en el Segmento en el que participe en la Compensación y Liquidación el Miembro Liquidador Incumplido, mientras el Tercero Identificado </w:t>
      </w:r>
      <w:r w:rsidR="00865110">
        <w:rPr>
          <w:rFonts w:ascii="Arial Narrow" w:hAnsi="Arial Narrow" w:cs="Arial"/>
          <w:bCs/>
          <w:color w:val="000000" w:themeColor="text1"/>
          <w:lang w:val="es-ES" w:eastAsia="es-ES"/>
        </w:rPr>
        <w:t>se vincula</w:t>
      </w:r>
      <w:r w:rsidRPr="002C0D19">
        <w:rPr>
          <w:rFonts w:ascii="Arial Narrow" w:hAnsi="Arial Narrow" w:cs="Arial"/>
          <w:bCs/>
          <w:color w:val="000000" w:themeColor="text1"/>
          <w:lang w:val="es-ES" w:eastAsia="es-ES"/>
        </w:rPr>
        <w:t xml:space="preserve"> con un nuevo Miembro.  </w:t>
      </w:r>
    </w:p>
    <w:p w14:paraId="3E0553AE" w14:textId="77777777" w:rsidR="007968EC" w:rsidRPr="002C0D19" w:rsidRDefault="007968EC" w:rsidP="007968EC">
      <w:pPr>
        <w:tabs>
          <w:tab w:val="num" w:pos="464"/>
        </w:tabs>
        <w:ind w:left="464"/>
        <w:jc w:val="both"/>
        <w:rPr>
          <w:rFonts w:ascii="Arial Narrow" w:hAnsi="Arial Narrow" w:cs="Arial"/>
          <w:bCs/>
          <w:color w:val="000000" w:themeColor="text1"/>
          <w:lang w:val="es-ES" w:eastAsia="es-ES"/>
        </w:rPr>
      </w:pPr>
    </w:p>
    <w:p w14:paraId="6D681B77" w14:textId="77777777" w:rsidR="007968EC" w:rsidRPr="005F10B9" w:rsidRDefault="007968EC" w:rsidP="00DA7472">
      <w:pPr>
        <w:numPr>
          <w:ilvl w:val="0"/>
          <w:numId w:val="163"/>
        </w:numPr>
        <w:tabs>
          <w:tab w:val="num" w:pos="464"/>
        </w:tabs>
        <w:ind w:left="464" w:hanging="425"/>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lastRenderedPageBreak/>
        <w:t>La Cámara otorgará la categoría de Miembro Liquidador Individual al Miembro no Liquidador, en el Segmento en el que participe en la Compensación y Liquidación el Miembro Liquidador incumplido, por un plazo máximo de treinta (30) días calendario, al término del cual, la entidad tendrá que reportar la copia de un nuevo convenio con otro Miembro Liquidador General. Dado el carácter contingente de dicha acción, el Miembro No Liquidador actuando como nuevo Miembro Liquidador Individual, no estará obligado a constituir Garantías Individuales mínimas en el Segmento.</w:t>
      </w:r>
      <w:bookmarkStart w:id="2837" w:name="_Toc470775535"/>
      <w:bookmarkStart w:id="2838" w:name="_Toc470779820"/>
      <w:bookmarkStart w:id="2839" w:name="_Toc470780437"/>
      <w:bookmarkStart w:id="2840" w:name="_Toc470780950"/>
      <w:bookmarkStart w:id="2841" w:name="_Toc470784511"/>
      <w:bookmarkStart w:id="2842" w:name="_Toc470785048"/>
      <w:bookmarkStart w:id="2843" w:name="_Toc470791434"/>
      <w:bookmarkStart w:id="2844" w:name="_Toc472592204"/>
      <w:bookmarkStart w:id="2845" w:name="_Toc472593223"/>
      <w:bookmarkStart w:id="2846" w:name="_Toc479057009"/>
      <w:bookmarkStart w:id="2847" w:name="_Toc490066337"/>
    </w:p>
    <w:p w14:paraId="4DF29B97" w14:textId="77777777" w:rsidR="007968EC" w:rsidRDefault="007968EC" w:rsidP="007968EC">
      <w:pPr>
        <w:ind w:left="464"/>
        <w:jc w:val="both"/>
        <w:rPr>
          <w:rFonts w:ascii="Arial Narrow" w:hAnsi="Arial Narrow" w:cs="Arial"/>
          <w:bCs/>
          <w:color w:val="000000" w:themeColor="text1"/>
          <w:lang w:val="es-ES" w:eastAsia="es-ES"/>
        </w:rPr>
      </w:pPr>
    </w:p>
    <w:p w14:paraId="6F47D754" w14:textId="77777777" w:rsidR="007968EC" w:rsidRPr="005F10B9" w:rsidRDefault="007968EC" w:rsidP="007968EC">
      <w:pPr>
        <w:pStyle w:val="ARTICULO0"/>
        <w:rPr>
          <w:rFonts w:eastAsia="Calibri"/>
        </w:rPr>
      </w:pPr>
      <w:bookmarkStart w:id="2848" w:name="_Toc31716021"/>
      <w:r w:rsidRPr="005F10B9">
        <w:rPr>
          <w:rFonts w:eastAsia="Calibri"/>
        </w:rPr>
        <w:t>Artículo 1.7.2.12. Comité de Gestión de Incumplimiento</w:t>
      </w:r>
      <w:bookmarkEnd w:id="2848"/>
    </w:p>
    <w:p w14:paraId="321CABCD" w14:textId="77777777" w:rsidR="007968EC" w:rsidRDefault="007968EC" w:rsidP="007968EC">
      <w:pPr>
        <w:jc w:val="both"/>
        <w:rPr>
          <w:rFonts w:ascii="Arial Narrow" w:hAnsi="Arial Narrow" w:cs="Arial"/>
          <w:bCs/>
          <w:color w:val="000000" w:themeColor="text1"/>
          <w:lang w:val="es-ES" w:eastAsia="es-ES"/>
        </w:rPr>
      </w:pPr>
    </w:p>
    <w:p w14:paraId="10F79BBC" w14:textId="77777777" w:rsidR="007968EC" w:rsidRPr="0065788F" w:rsidRDefault="007968EC" w:rsidP="007968EC">
      <w:pPr>
        <w:pStyle w:val="ANTECEDENTES"/>
      </w:pPr>
      <w:r w:rsidRPr="0065788F">
        <w:t>(Este artículo fue adicionado mediante Circular 7 del 9 de mayo de 2018, publicada en el Boletín Normativo No. 010 del 9 de mayo de 2018. Rige a partir del 21 de mayo de 2018.)</w:t>
      </w:r>
    </w:p>
    <w:p w14:paraId="061E40FC" w14:textId="77777777" w:rsidR="007968EC" w:rsidRDefault="007968EC" w:rsidP="007968EC">
      <w:pPr>
        <w:jc w:val="both"/>
        <w:rPr>
          <w:rFonts w:ascii="Arial Narrow" w:hAnsi="Arial Narrow" w:cs="Arial"/>
          <w:bCs/>
          <w:color w:val="000000" w:themeColor="text1"/>
          <w:lang w:val="es-ES" w:eastAsia="es-ES"/>
        </w:rPr>
      </w:pPr>
    </w:p>
    <w:p w14:paraId="51AFB42D" w14:textId="77777777" w:rsidR="007968EC" w:rsidRPr="005F10B9" w:rsidRDefault="007968EC" w:rsidP="007968EC">
      <w:pPr>
        <w:jc w:val="both"/>
        <w:rPr>
          <w:rFonts w:ascii="Arial Narrow" w:hAnsi="Arial Narrow" w:cs="Arial"/>
          <w:bCs/>
          <w:color w:val="000000" w:themeColor="text1"/>
          <w:lang w:val="es-ES" w:eastAsia="es-ES"/>
        </w:rPr>
      </w:pPr>
      <w:r w:rsidRPr="005F10B9">
        <w:rPr>
          <w:rFonts w:ascii="Arial Narrow" w:hAnsi="Arial Narrow" w:cs="Arial"/>
          <w:bCs/>
          <w:color w:val="000000" w:themeColor="text1"/>
          <w:lang w:val="es-ES" w:eastAsia="es-ES"/>
        </w:rPr>
        <w:t xml:space="preserve">La Cámara podrá crear para un Segmento en particular un Comité de Gestión de Incumplimientos, conformado por Miembros que participen en el Segmento de la Cámara de que se trate </w:t>
      </w:r>
      <w:proofErr w:type="gramStart"/>
      <w:r w:rsidRPr="005F10B9">
        <w:rPr>
          <w:rFonts w:ascii="Arial Narrow" w:hAnsi="Arial Narrow" w:cs="Arial"/>
          <w:bCs/>
          <w:color w:val="000000" w:themeColor="text1"/>
          <w:lang w:val="es-ES" w:eastAsia="es-ES"/>
        </w:rPr>
        <w:t>que</w:t>
      </w:r>
      <w:proofErr w:type="gramEnd"/>
      <w:r w:rsidRPr="005F10B9">
        <w:rPr>
          <w:rFonts w:ascii="Arial Narrow" w:hAnsi="Arial Narrow" w:cs="Arial"/>
          <w:bCs/>
          <w:color w:val="000000" w:themeColor="text1"/>
          <w:lang w:val="es-ES" w:eastAsia="es-ES"/>
        </w:rPr>
        <w:t xml:space="preserve"> no sean incumplidos. El Comité colaborará con la Cámara en la gestión de Incumplimiento y su conformación, forma de elección de los miembros y las funciones se determinarán en cada Segmento. La Cámara podrá establecer que la participación de los Miembros en el Comité sea obligatoria. Así mismo, sin perjuicio de lo dispuesto en el presente Capítulo y en el Capítulo Octavo del Título Segundo del Reglamento de la Cámara, en cada Segmento de la Cámara podrán establecerse procedimientos especiales y específicos relativos a la gestión de Incumplimiento que permitan un cierre ordenado y en condiciones de mercado de las Posiciones Abiertas del Miembro Liquidador incumplido.</w:t>
      </w:r>
    </w:p>
    <w:p w14:paraId="5C9FF7C4" w14:textId="77777777" w:rsidR="007968EC" w:rsidRPr="005F10B9" w:rsidRDefault="007968EC" w:rsidP="007968EC">
      <w:pPr>
        <w:jc w:val="both"/>
        <w:rPr>
          <w:rFonts w:ascii="Arial Narrow" w:hAnsi="Arial Narrow" w:cs="Arial"/>
          <w:bCs/>
          <w:color w:val="000000" w:themeColor="text1"/>
          <w:lang w:val="es-ES" w:eastAsia="es-ES"/>
        </w:rPr>
      </w:pPr>
    </w:p>
    <w:p w14:paraId="7FF0F6BC" w14:textId="77777777" w:rsidR="007968EC" w:rsidRPr="005F10B9" w:rsidRDefault="007968EC" w:rsidP="007968EC">
      <w:pPr>
        <w:jc w:val="both"/>
        <w:rPr>
          <w:rFonts w:ascii="Arial Narrow" w:hAnsi="Arial Narrow" w:cs="Arial"/>
          <w:bCs/>
          <w:color w:val="000000" w:themeColor="text1"/>
          <w:lang w:val="es-ES" w:eastAsia="es-ES"/>
        </w:rPr>
      </w:pPr>
      <w:r w:rsidRPr="005F10B9">
        <w:rPr>
          <w:rFonts w:ascii="Arial Narrow" w:hAnsi="Arial Narrow" w:cs="Arial"/>
          <w:bCs/>
          <w:color w:val="000000" w:themeColor="text1"/>
          <w:lang w:val="es-ES" w:eastAsia="es-ES"/>
        </w:rPr>
        <w:t>El Comité de Gestión de Incumplimientos tendrá una función de apoyo y asesoría en la gestión de Incumplimiento del Segmento y sus decisiones no obligarán a la Cámara.</w:t>
      </w:r>
    </w:p>
    <w:p w14:paraId="5A369703" w14:textId="77777777" w:rsidR="007968EC" w:rsidRPr="005F10B9" w:rsidRDefault="007968EC" w:rsidP="007968EC">
      <w:pPr>
        <w:jc w:val="both"/>
        <w:rPr>
          <w:rFonts w:ascii="Arial Narrow" w:hAnsi="Arial Narrow" w:cs="Arial"/>
          <w:bCs/>
          <w:color w:val="000000" w:themeColor="text1"/>
          <w:lang w:val="es-ES" w:eastAsia="es-ES"/>
        </w:rPr>
      </w:pPr>
    </w:p>
    <w:p w14:paraId="7B4C2CB9" w14:textId="77777777" w:rsidR="007968EC" w:rsidRDefault="007968EC" w:rsidP="007968EC">
      <w:pPr>
        <w:jc w:val="both"/>
        <w:rPr>
          <w:rFonts w:ascii="Arial Narrow" w:hAnsi="Arial Narrow" w:cs="Arial"/>
          <w:bCs/>
          <w:color w:val="000000" w:themeColor="text1"/>
          <w:lang w:val="es-ES" w:eastAsia="es-ES"/>
        </w:rPr>
      </w:pPr>
      <w:r w:rsidRPr="005F10B9">
        <w:rPr>
          <w:rFonts w:ascii="Arial Narrow" w:hAnsi="Arial Narrow" w:cs="Arial"/>
          <w:bCs/>
          <w:color w:val="000000" w:themeColor="text1"/>
          <w:lang w:val="es-ES" w:eastAsia="es-ES"/>
        </w:rPr>
        <w:t>Adicionalmente, la Cámara podrá invitar a uno o a varios expertos como asesores en la gestión del Incumplimiento.</w:t>
      </w:r>
    </w:p>
    <w:p w14:paraId="345C9EDB" w14:textId="77777777" w:rsidR="007968EC" w:rsidRDefault="007968EC" w:rsidP="007968EC">
      <w:pPr>
        <w:jc w:val="both"/>
        <w:rPr>
          <w:rFonts w:ascii="Arial Narrow" w:hAnsi="Arial Narrow" w:cs="Arial"/>
          <w:bCs/>
          <w:color w:val="000000" w:themeColor="text1"/>
          <w:lang w:val="es-ES" w:eastAsia="es-ES"/>
        </w:rPr>
      </w:pPr>
    </w:p>
    <w:p w14:paraId="604715E4" w14:textId="77777777" w:rsidR="007968EC" w:rsidRPr="005F10B9" w:rsidRDefault="007968EC" w:rsidP="007968EC">
      <w:pPr>
        <w:jc w:val="both"/>
        <w:rPr>
          <w:rFonts w:ascii="Arial Narrow" w:hAnsi="Arial Narrow" w:cs="Arial"/>
          <w:bCs/>
          <w:color w:val="000000" w:themeColor="text1"/>
          <w:lang w:val="es-ES" w:eastAsia="es-ES"/>
        </w:rPr>
      </w:pPr>
    </w:p>
    <w:p w14:paraId="221FBFF8" w14:textId="77777777" w:rsidR="007968EC" w:rsidRPr="002C0D19" w:rsidRDefault="007968EC" w:rsidP="007968EC">
      <w:pPr>
        <w:pStyle w:val="TTULO"/>
        <w:rPr>
          <w:lang w:val="es-ES"/>
        </w:rPr>
      </w:pPr>
      <w:bookmarkStart w:id="2849" w:name="_Toc31716022"/>
      <w:r w:rsidRPr="002C0D19">
        <w:rPr>
          <w:lang w:val="es-ES"/>
        </w:rPr>
        <w:t>CAPITULO TERCERO</w:t>
      </w:r>
      <w:bookmarkEnd w:id="2837"/>
      <w:bookmarkEnd w:id="2838"/>
      <w:bookmarkEnd w:id="2839"/>
      <w:bookmarkEnd w:id="2840"/>
      <w:bookmarkEnd w:id="2841"/>
      <w:bookmarkEnd w:id="2842"/>
      <w:bookmarkEnd w:id="2843"/>
      <w:bookmarkEnd w:id="2844"/>
      <w:bookmarkEnd w:id="2845"/>
      <w:bookmarkEnd w:id="2846"/>
      <w:bookmarkEnd w:id="2847"/>
      <w:bookmarkEnd w:id="2849"/>
    </w:p>
    <w:p w14:paraId="37145567" w14:textId="77777777" w:rsidR="007968EC" w:rsidRPr="002C0D19" w:rsidRDefault="007968EC" w:rsidP="007968EC">
      <w:pPr>
        <w:pStyle w:val="TTULO"/>
        <w:rPr>
          <w:lang w:val="es-ES"/>
        </w:rPr>
      </w:pPr>
    </w:p>
    <w:p w14:paraId="221D0EC3" w14:textId="77777777" w:rsidR="007968EC" w:rsidRPr="002C0D19" w:rsidRDefault="007968EC" w:rsidP="007968EC">
      <w:pPr>
        <w:pStyle w:val="TTULO"/>
        <w:rPr>
          <w:lang w:val="es-ES"/>
        </w:rPr>
      </w:pPr>
      <w:bookmarkStart w:id="2850" w:name="_Toc470775536"/>
      <w:bookmarkStart w:id="2851" w:name="_Toc470779821"/>
      <w:bookmarkStart w:id="2852" w:name="_Toc470780438"/>
      <w:bookmarkStart w:id="2853" w:name="_Toc470780951"/>
      <w:bookmarkStart w:id="2854" w:name="_Toc470784512"/>
      <w:bookmarkStart w:id="2855" w:name="_Toc470785049"/>
      <w:bookmarkStart w:id="2856" w:name="_Toc470791435"/>
      <w:bookmarkStart w:id="2857" w:name="_Toc472592205"/>
      <w:bookmarkStart w:id="2858" w:name="_Toc472593224"/>
      <w:bookmarkStart w:id="2859" w:name="_Toc479057010"/>
      <w:bookmarkStart w:id="2860" w:name="_Toc490066338"/>
      <w:bookmarkStart w:id="2861" w:name="_Toc31716023"/>
      <w:r w:rsidRPr="002C0D19">
        <w:rPr>
          <w:lang w:val="es-ES"/>
        </w:rPr>
        <w:t>SUSPENSIÓN Y EXCLUSIÓN</w:t>
      </w:r>
      <w:bookmarkEnd w:id="2850"/>
      <w:bookmarkEnd w:id="2851"/>
      <w:bookmarkEnd w:id="2852"/>
      <w:bookmarkEnd w:id="2853"/>
      <w:bookmarkEnd w:id="2854"/>
      <w:bookmarkEnd w:id="2855"/>
      <w:bookmarkEnd w:id="2856"/>
      <w:bookmarkEnd w:id="2857"/>
      <w:bookmarkEnd w:id="2858"/>
      <w:bookmarkEnd w:id="2859"/>
      <w:bookmarkEnd w:id="2860"/>
      <w:bookmarkEnd w:id="2861"/>
    </w:p>
    <w:p w14:paraId="4FCC071C" w14:textId="77777777" w:rsidR="007968EC" w:rsidRPr="002C0D19" w:rsidRDefault="007968EC" w:rsidP="007968EC">
      <w:pPr>
        <w:jc w:val="both"/>
        <w:rPr>
          <w:rFonts w:ascii="Arial Narrow" w:hAnsi="Arial Narrow" w:cs="Arial"/>
          <w:b/>
          <w:bCs/>
          <w:color w:val="000000" w:themeColor="text1"/>
          <w:lang w:val="es-ES" w:eastAsia="es-ES"/>
        </w:rPr>
      </w:pPr>
    </w:p>
    <w:p w14:paraId="6139A6D2" w14:textId="77777777" w:rsidR="007968EC" w:rsidRDefault="007968EC" w:rsidP="007968EC">
      <w:pPr>
        <w:pStyle w:val="ARTICULO0"/>
        <w:rPr>
          <w:i/>
        </w:rPr>
      </w:pPr>
      <w:bookmarkStart w:id="2862" w:name="_Toc472592206"/>
      <w:bookmarkStart w:id="2863" w:name="_Toc472593225"/>
      <w:bookmarkStart w:id="2864" w:name="_Toc479057011"/>
      <w:bookmarkStart w:id="2865" w:name="_Toc31716024"/>
      <w:bookmarkStart w:id="2866" w:name="_Toc490066339"/>
      <w:bookmarkStart w:id="2867" w:name="_Toc470775537"/>
      <w:bookmarkStart w:id="2868" w:name="_Toc470779822"/>
      <w:bookmarkStart w:id="2869" w:name="_Toc470780439"/>
      <w:bookmarkStart w:id="2870" w:name="_Toc470780952"/>
      <w:bookmarkStart w:id="2871" w:name="_Toc470784513"/>
      <w:bookmarkStart w:id="2872" w:name="_Toc470785050"/>
      <w:bookmarkStart w:id="2873" w:name="_Toc470791436"/>
      <w:r w:rsidRPr="002C0D19">
        <w:t>Artículo 1.7.3.1. Suspensión de Funciones.</w:t>
      </w:r>
      <w:bookmarkEnd w:id="2862"/>
      <w:bookmarkEnd w:id="2863"/>
      <w:bookmarkEnd w:id="2864"/>
      <w:bookmarkEnd w:id="2865"/>
      <w:r w:rsidRPr="002C0D19">
        <w:rPr>
          <w:i/>
        </w:rPr>
        <w:t xml:space="preserve"> </w:t>
      </w:r>
    </w:p>
    <w:p w14:paraId="7BC1A478" w14:textId="77777777" w:rsidR="007968EC" w:rsidRDefault="007968EC" w:rsidP="007968EC">
      <w:pPr>
        <w:keepNext/>
        <w:tabs>
          <w:tab w:val="left" w:pos="1701"/>
        </w:tabs>
        <w:jc w:val="both"/>
        <w:outlineLvl w:val="2"/>
        <w:rPr>
          <w:rFonts w:ascii="Arial Narrow" w:hAnsi="Arial Narrow" w:cs="Arial"/>
          <w:b/>
          <w:i/>
          <w:color w:val="000000" w:themeColor="text1"/>
          <w:lang w:eastAsia="es-ES"/>
        </w:rPr>
      </w:pPr>
    </w:p>
    <w:p w14:paraId="4ECF9C29" w14:textId="77777777" w:rsidR="007968EC" w:rsidRPr="002C0D19" w:rsidRDefault="007968EC" w:rsidP="007968EC">
      <w:pPr>
        <w:pStyle w:val="ANTECEDENTES"/>
      </w:pPr>
      <w:r w:rsidRPr="002C0D19">
        <w:t>(Este artículo fue modificado mediante Circular 19 del 28 de diciembre de 2016, publicada en el Boletín Normativo No. 024 del 28 de diciembre de 2016 y mediante Circular 2 del 11 de enero de 2017, publicada en el Boletín Normativo No. 002 del 11 de enero de 2017. Rige a partir del 12 de enero de 2017.)</w:t>
      </w:r>
      <w:bookmarkEnd w:id="2866"/>
    </w:p>
    <w:bookmarkEnd w:id="2867"/>
    <w:bookmarkEnd w:id="2868"/>
    <w:bookmarkEnd w:id="2869"/>
    <w:bookmarkEnd w:id="2870"/>
    <w:bookmarkEnd w:id="2871"/>
    <w:bookmarkEnd w:id="2872"/>
    <w:bookmarkEnd w:id="2873"/>
    <w:p w14:paraId="0DA6A172" w14:textId="77777777" w:rsidR="007968EC" w:rsidRPr="00165180" w:rsidRDefault="007968EC" w:rsidP="007968EC">
      <w:pPr>
        <w:jc w:val="both"/>
        <w:rPr>
          <w:rFonts w:ascii="Arial Narrow" w:hAnsi="Arial Narrow" w:cs="Arial"/>
          <w:color w:val="000000" w:themeColor="text1"/>
          <w:lang w:eastAsia="es-ES"/>
        </w:rPr>
      </w:pPr>
    </w:p>
    <w:p w14:paraId="4C8C5001" w14:textId="77777777" w:rsidR="007968EC" w:rsidRPr="002C0D19" w:rsidRDefault="007968EC" w:rsidP="007968EC">
      <w:pPr>
        <w:tabs>
          <w:tab w:val="left" w:pos="5988"/>
        </w:tabs>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xml:space="preserve">Sin perjuicio de lo dispuesto en el artículo 2.8.11. del Reglamento de Cámara, en caso de suspensión, la Cámara solicitará al Miembro un plan de cierre ordenado de su Posición y la de sus Terceros, en cada Segmento en el que participe en la Compensación y Liquidación, de forma que al momento del cese de </w:t>
      </w:r>
      <w:r w:rsidRPr="002C0D19">
        <w:rPr>
          <w:rFonts w:ascii="Arial Narrow" w:hAnsi="Arial Narrow" w:cs="Arial"/>
          <w:bCs/>
          <w:color w:val="000000" w:themeColor="text1"/>
          <w:lang w:val="es-ES" w:eastAsia="es-ES"/>
        </w:rPr>
        <w:lastRenderedPageBreak/>
        <w:t>funciones el Miembro no debe ser responsable de compensar o liquidar ninguna Posición, dicho plan podrá incluir convenios con otros Miembros, a través de los cuales pueda solicitar ante la Cámara la gestión de “Traspaso de Posición”, para que reciban su Posición hasta tanto el Miembro suspendido resuelva la causa de la suspensión.</w:t>
      </w:r>
    </w:p>
    <w:p w14:paraId="3DE61C0B" w14:textId="77777777" w:rsidR="007968EC" w:rsidRPr="002C0D19" w:rsidRDefault="007968EC" w:rsidP="007968EC">
      <w:pPr>
        <w:tabs>
          <w:tab w:val="left" w:pos="5988"/>
        </w:tabs>
        <w:jc w:val="both"/>
        <w:rPr>
          <w:rFonts w:ascii="Arial Narrow" w:hAnsi="Arial Narrow" w:cs="Arial"/>
          <w:bCs/>
          <w:color w:val="000000" w:themeColor="text1"/>
          <w:lang w:val="es-ES" w:eastAsia="es-ES"/>
        </w:rPr>
      </w:pPr>
    </w:p>
    <w:p w14:paraId="3FCE9821" w14:textId="77777777" w:rsidR="007968EC" w:rsidRDefault="007968EC" w:rsidP="007968EC">
      <w:pPr>
        <w:pStyle w:val="ARTICULO0"/>
        <w:rPr>
          <w:i/>
        </w:rPr>
      </w:pPr>
      <w:bookmarkStart w:id="2874" w:name="_Toc472592207"/>
      <w:bookmarkStart w:id="2875" w:name="_Toc472593226"/>
      <w:bookmarkStart w:id="2876" w:name="_Toc479057012"/>
      <w:bookmarkStart w:id="2877" w:name="_Toc31716025"/>
      <w:bookmarkStart w:id="2878" w:name="_Toc490066340"/>
      <w:bookmarkStart w:id="2879" w:name="_Toc470775538"/>
      <w:bookmarkStart w:id="2880" w:name="_Toc470779823"/>
      <w:bookmarkStart w:id="2881" w:name="_Toc470780440"/>
      <w:bookmarkStart w:id="2882" w:name="_Toc470780953"/>
      <w:bookmarkStart w:id="2883" w:name="_Toc470784514"/>
      <w:bookmarkStart w:id="2884" w:name="_Toc470785051"/>
      <w:bookmarkStart w:id="2885" w:name="_Toc470791437"/>
      <w:r w:rsidRPr="002C0D19">
        <w:t>Artículo 1.7.3.2. Exclusión por decisión de la Cámara</w:t>
      </w:r>
      <w:bookmarkEnd w:id="2874"/>
      <w:bookmarkEnd w:id="2875"/>
      <w:bookmarkEnd w:id="2876"/>
      <w:r w:rsidRPr="002C0D19">
        <w:t>.</w:t>
      </w:r>
      <w:bookmarkEnd w:id="2877"/>
      <w:r w:rsidRPr="002C0D19">
        <w:rPr>
          <w:i/>
        </w:rPr>
        <w:t xml:space="preserve"> </w:t>
      </w:r>
    </w:p>
    <w:p w14:paraId="73AF046D" w14:textId="77777777" w:rsidR="007968EC" w:rsidRDefault="007968EC" w:rsidP="007968EC">
      <w:pPr>
        <w:keepNext/>
        <w:tabs>
          <w:tab w:val="left" w:pos="1701"/>
        </w:tabs>
        <w:jc w:val="both"/>
        <w:outlineLvl w:val="2"/>
        <w:rPr>
          <w:rFonts w:ascii="Arial Narrow" w:hAnsi="Arial Narrow" w:cs="Arial"/>
          <w:b/>
          <w:i/>
          <w:color w:val="000000" w:themeColor="text1"/>
          <w:lang w:eastAsia="es-ES"/>
        </w:rPr>
      </w:pPr>
    </w:p>
    <w:p w14:paraId="1C49ACA8" w14:textId="77777777" w:rsidR="007968EC" w:rsidRPr="002C0D19" w:rsidRDefault="007968EC" w:rsidP="007968EC">
      <w:pPr>
        <w:pStyle w:val="ANTECEDENTES"/>
      </w:pPr>
      <w:r w:rsidRPr="002C0D19">
        <w:t>(Este artículo fue modificado mediante Circular 19 del 28 de diciembre de 2016, publicada en el Boletín Normativo No. 024 del 28 de diciembre de 2016 y mediante Circular 2 del 11 de enero de 2017, publicada en el Boletín Normativo No. 002 del 11 de enero de 2017. Rige a partir del 12 de enero de 2017.)</w:t>
      </w:r>
      <w:bookmarkEnd w:id="2878"/>
    </w:p>
    <w:bookmarkEnd w:id="2879"/>
    <w:bookmarkEnd w:id="2880"/>
    <w:bookmarkEnd w:id="2881"/>
    <w:bookmarkEnd w:id="2882"/>
    <w:bookmarkEnd w:id="2883"/>
    <w:bookmarkEnd w:id="2884"/>
    <w:bookmarkEnd w:id="2885"/>
    <w:p w14:paraId="5171619A" w14:textId="77777777" w:rsidR="007968EC" w:rsidRPr="00165180" w:rsidRDefault="007968EC" w:rsidP="007968EC">
      <w:pPr>
        <w:jc w:val="both"/>
        <w:rPr>
          <w:rFonts w:ascii="Arial Narrow" w:hAnsi="Arial Narrow" w:cs="Arial"/>
          <w:color w:val="000000" w:themeColor="text1"/>
          <w:lang w:eastAsia="es-ES"/>
        </w:rPr>
      </w:pPr>
    </w:p>
    <w:p w14:paraId="05BA301C" w14:textId="77777777" w:rsidR="007968EC" w:rsidRPr="002C0D19" w:rsidRDefault="007968EC" w:rsidP="007968EC">
      <w:pPr>
        <w:tabs>
          <w:tab w:val="left" w:pos="5988"/>
        </w:tabs>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xml:space="preserve">Sin perjuicio de lo dispuesto en los artículos 2.8.12. y 2.8.13. del Reglamento, en caso de exclusión de un Miembro, la Cámara podrá solicitar al Miembro un plan de cierre ordenado de su Posición y la de sus Terceros en cada Segmento en el que participe, de forma tal que al momento que se haga efectiva la exclusión el Miembro no sea responsable de compensar o liquidar ninguna Posición. </w:t>
      </w:r>
    </w:p>
    <w:p w14:paraId="52D44982" w14:textId="77777777" w:rsidR="007968EC" w:rsidRPr="002C0D19" w:rsidRDefault="007968EC" w:rsidP="007968EC">
      <w:pPr>
        <w:keepNext/>
        <w:jc w:val="center"/>
        <w:outlineLvl w:val="0"/>
        <w:rPr>
          <w:rFonts w:ascii="Arial Narrow" w:hAnsi="Arial Narrow" w:cs="Arial"/>
          <w:b/>
          <w:kern w:val="32"/>
          <w:szCs w:val="20"/>
          <w:lang w:val="es-ES" w:eastAsia="es-ES"/>
        </w:rPr>
      </w:pPr>
    </w:p>
    <w:p w14:paraId="3514E7EE" w14:textId="77777777" w:rsidR="007968EC" w:rsidRPr="002C0D19" w:rsidRDefault="007968EC" w:rsidP="007968EC">
      <w:pPr>
        <w:pStyle w:val="TTULO"/>
        <w:rPr>
          <w:lang w:val="es-ES"/>
        </w:rPr>
      </w:pPr>
      <w:bookmarkStart w:id="2886" w:name="_Toc470775539"/>
      <w:bookmarkStart w:id="2887" w:name="_Toc470779824"/>
      <w:bookmarkStart w:id="2888" w:name="_Toc470780441"/>
      <w:bookmarkStart w:id="2889" w:name="_Toc470780954"/>
      <w:bookmarkStart w:id="2890" w:name="_Toc470784515"/>
      <w:bookmarkStart w:id="2891" w:name="_Toc470785052"/>
      <w:bookmarkStart w:id="2892" w:name="_Toc470791438"/>
      <w:bookmarkStart w:id="2893" w:name="_Toc472592208"/>
      <w:bookmarkStart w:id="2894" w:name="_Toc472593227"/>
      <w:bookmarkStart w:id="2895" w:name="_Toc479057013"/>
      <w:bookmarkStart w:id="2896" w:name="_Toc490066341"/>
      <w:bookmarkStart w:id="2897" w:name="_Toc31716026"/>
      <w:r w:rsidRPr="002C0D19">
        <w:rPr>
          <w:lang w:val="es-ES"/>
        </w:rPr>
        <w:t>CAPÍTULO CUARTO</w:t>
      </w:r>
      <w:bookmarkEnd w:id="2886"/>
      <w:bookmarkEnd w:id="2887"/>
      <w:bookmarkEnd w:id="2888"/>
      <w:bookmarkEnd w:id="2889"/>
      <w:bookmarkEnd w:id="2890"/>
      <w:bookmarkEnd w:id="2891"/>
      <w:bookmarkEnd w:id="2892"/>
      <w:bookmarkEnd w:id="2893"/>
      <w:bookmarkEnd w:id="2894"/>
      <w:bookmarkEnd w:id="2895"/>
      <w:bookmarkEnd w:id="2896"/>
      <w:bookmarkEnd w:id="2897"/>
    </w:p>
    <w:p w14:paraId="7E1257EB" w14:textId="77777777" w:rsidR="007968EC" w:rsidRPr="002C0D19" w:rsidRDefault="007968EC" w:rsidP="007968EC">
      <w:pPr>
        <w:pStyle w:val="TTULO"/>
        <w:rPr>
          <w:lang w:val="es-ES"/>
        </w:rPr>
      </w:pPr>
    </w:p>
    <w:p w14:paraId="20C3D6FF" w14:textId="77777777" w:rsidR="007968EC" w:rsidRPr="002C0D19" w:rsidRDefault="007968EC" w:rsidP="007968EC">
      <w:pPr>
        <w:pStyle w:val="TTULO"/>
        <w:rPr>
          <w:lang w:val="es-ES"/>
        </w:rPr>
      </w:pPr>
      <w:bookmarkStart w:id="2898" w:name="_Toc470775540"/>
      <w:bookmarkStart w:id="2899" w:name="_Toc470779825"/>
      <w:bookmarkStart w:id="2900" w:name="_Toc470780442"/>
      <w:bookmarkStart w:id="2901" w:name="_Toc470780955"/>
      <w:bookmarkStart w:id="2902" w:name="_Toc470784516"/>
      <w:bookmarkStart w:id="2903" w:name="_Toc470785053"/>
      <w:bookmarkStart w:id="2904" w:name="_Toc470791439"/>
      <w:bookmarkStart w:id="2905" w:name="_Toc472592209"/>
      <w:bookmarkStart w:id="2906" w:name="_Toc472593228"/>
      <w:bookmarkStart w:id="2907" w:name="_Toc479057014"/>
      <w:bookmarkStart w:id="2908" w:name="_Toc490066342"/>
      <w:bookmarkStart w:id="2909" w:name="_Toc31716027"/>
      <w:r w:rsidRPr="002C0D19">
        <w:rPr>
          <w:lang w:val="es-ES"/>
        </w:rPr>
        <w:t>MEDIDAS PREVENTIVAS</w:t>
      </w:r>
      <w:bookmarkEnd w:id="2898"/>
      <w:bookmarkEnd w:id="2899"/>
      <w:bookmarkEnd w:id="2900"/>
      <w:bookmarkEnd w:id="2901"/>
      <w:bookmarkEnd w:id="2902"/>
      <w:bookmarkEnd w:id="2903"/>
      <w:bookmarkEnd w:id="2904"/>
      <w:bookmarkEnd w:id="2905"/>
      <w:bookmarkEnd w:id="2906"/>
      <w:bookmarkEnd w:id="2907"/>
      <w:bookmarkEnd w:id="2908"/>
      <w:bookmarkEnd w:id="2909"/>
    </w:p>
    <w:p w14:paraId="141BBB99" w14:textId="77777777" w:rsidR="007968EC" w:rsidRPr="002C0D19" w:rsidRDefault="007968EC" w:rsidP="007968EC">
      <w:pPr>
        <w:autoSpaceDE w:val="0"/>
        <w:autoSpaceDN w:val="0"/>
        <w:adjustRightInd w:val="0"/>
        <w:jc w:val="center"/>
        <w:rPr>
          <w:rFonts w:ascii="Arial Narrow" w:hAnsi="Arial Narrow" w:cs="Arial"/>
          <w:b/>
          <w:strike/>
          <w:color w:val="000000" w:themeColor="text1"/>
          <w:lang w:val="es-ES" w:eastAsia="es-ES"/>
        </w:rPr>
      </w:pPr>
    </w:p>
    <w:p w14:paraId="06F89096" w14:textId="77777777" w:rsidR="007968EC" w:rsidRPr="002C0D19" w:rsidRDefault="007968EC" w:rsidP="007968EC">
      <w:pPr>
        <w:jc w:val="both"/>
        <w:rPr>
          <w:rFonts w:ascii="Arial Narrow" w:hAnsi="Arial Narrow" w:cs="Arial"/>
          <w:b/>
          <w:i/>
          <w:color w:val="000000" w:themeColor="text1"/>
          <w:lang w:eastAsia="es-ES"/>
        </w:rPr>
      </w:pPr>
      <w:r w:rsidRPr="002C0D19">
        <w:rPr>
          <w:rFonts w:ascii="Arial Narrow" w:hAnsi="Arial Narrow" w:cs="Arial"/>
          <w:b/>
          <w:i/>
          <w:color w:val="000000" w:themeColor="text1"/>
          <w:lang w:eastAsia="es-ES"/>
        </w:rPr>
        <w:t>(Este capítulo fue adicionado mediante Circular 13 del 26 de julio de 2011, publicada en el Boletín Normativo No. 016 del 26 de julio de 2011. Rige a partir del 28 de julio de 2011.)</w:t>
      </w:r>
    </w:p>
    <w:p w14:paraId="08CF8038" w14:textId="77777777" w:rsidR="007968EC" w:rsidRPr="002C0D19" w:rsidRDefault="007968EC" w:rsidP="007968EC">
      <w:pPr>
        <w:autoSpaceDE w:val="0"/>
        <w:autoSpaceDN w:val="0"/>
        <w:adjustRightInd w:val="0"/>
        <w:jc w:val="center"/>
        <w:rPr>
          <w:rFonts w:ascii="Arial Narrow" w:hAnsi="Arial Narrow" w:cs="Arial"/>
          <w:b/>
          <w:strike/>
          <w:color w:val="000000" w:themeColor="text1"/>
          <w:lang w:val="es-ES" w:eastAsia="es-ES"/>
        </w:rPr>
      </w:pPr>
    </w:p>
    <w:p w14:paraId="1B76A0E3" w14:textId="77777777" w:rsidR="007968EC" w:rsidRDefault="007968EC" w:rsidP="007968EC">
      <w:pPr>
        <w:pStyle w:val="ARTICULO0"/>
      </w:pPr>
      <w:bookmarkStart w:id="2910" w:name="_Toc472592210"/>
      <w:bookmarkStart w:id="2911" w:name="_Toc472593229"/>
      <w:bookmarkStart w:id="2912" w:name="_Toc479057015"/>
      <w:bookmarkStart w:id="2913" w:name="_Toc31716028"/>
      <w:bookmarkStart w:id="2914" w:name="_Toc470775541"/>
      <w:bookmarkStart w:id="2915" w:name="_Toc470779826"/>
      <w:bookmarkStart w:id="2916" w:name="_Toc470780443"/>
      <w:bookmarkStart w:id="2917" w:name="_Toc470780956"/>
      <w:bookmarkStart w:id="2918" w:name="_Toc470784517"/>
      <w:bookmarkStart w:id="2919" w:name="_Toc470785054"/>
      <w:bookmarkStart w:id="2920" w:name="_Toc470791440"/>
      <w:bookmarkStart w:id="2921" w:name="_Toc490066343"/>
      <w:r w:rsidRPr="002C0D19">
        <w:t>Artículo 1.7.4.1. Medidas Preventivas.</w:t>
      </w:r>
      <w:bookmarkEnd w:id="2910"/>
      <w:bookmarkEnd w:id="2911"/>
      <w:bookmarkEnd w:id="2912"/>
      <w:bookmarkEnd w:id="2913"/>
      <w:r w:rsidRPr="002C0D19">
        <w:t xml:space="preserve"> </w:t>
      </w:r>
    </w:p>
    <w:p w14:paraId="3106F550" w14:textId="77777777" w:rsidR="007968EC" w:rsidRDefault="007968EC" w:rsidP="007968EC">
      <w:pPr>
        <w:keepNext/>
        <w:tabs>
          <w:tab w:val="left" w:pos="1701"/>
        </w:tabs>
        <w:jc w:val="both"/>
        <w:outlineLvl w:val="2"/>
        <w:rPr>
          <w:rFonts w:ascii="Arial Narrow" w:hAnsi="Arial Narrow" w:cs="Arial"/>
          <w:b/>
          <w:color w:val="000000" w:themeColor="text1"/>
          <w:lang w:eastAsia="es-ES"/>
        </w:rPr>
      </w:pPr>
    </w:p>
    <w:p w14:paraId="72FDD786" w14:textId="77777777" w:rsidR="007968EC" w:rsidRPr="002C0D19" w:rsidRDefault="007968EC" w:rsidP="007968EC">
      <w:pPr>
        <w:pStyle w:val="ANTECEDENTES"/>
        <w:rPr>
          <w:u w:val="single"/>
        </w:rPr>
      </w:pPr>
      <w:r w:rsidRPr="002C0D19">
        <w:t>(Este artículo fue modificado mediante Circular 19 del 28 de diciembre de 2016, publicada en el Boletín Normativo No. 024 del 28 de diciembre de 2016 y mediante Circular 14 del 8 de agosto de 2017, publicada en el Boletín Normativo No. 015 del 8 de agosto de 2017. Rige a partir del 9 de agosto de 2017.)</w:t>
      </w:r>
      <w:bookmarkEnd w:id="2914"/>
      <w:bookmarkEnd w:id="2915"/>
      <w:bookmarkEnd w:id="2916"/>
      <w:bookmarkEnd w:id="2917"/>
      <w:bookmarkEnd w:id="2918"/>
      <w:bookmarkEnd w:id="2919"/>
      <w:bookmarkEnd w:id="2920"/>
      <w:bookmarkEnd w:id="2921"/>
    </w:p>
    <w:p w14:paraId="0F422B3D" w14:textId="77777777" w:rsidR="007968EC" w:rsidRPr="002C0D19" w:rsidRDefault="007968EC" w:rsidP="007968EC">
      <w:pPr>
        <w:autoSpaceDE w:val="0"/>
        <w:autoSpaceDN w:val="0"/>
        <w:adjustRightInd w:val="0"/>
        <w:jc w:val="both"/>
        <w:rPr>
          <w:rFonts w:ascii="Arial Narrow" w:hAnsi="Arial Narrow" w:cs="Arial"/>
          <w:b/>
          <w:color w:val="000000" w:themeColor="text1"/>
          <w:u w:val="single"/>
          <w:lang w:val="es-ES" w:eastAsia="es-ES"/>
        </w:rPr>
      </w:pPr>
    </w:p>
    <w:p w14:paraId="78818ADD" w14:textId="77777777" w:rsidR="007968EC" w:rsidRPr="002C0D19" w:rsidRDefault="007968EC" w:rsidP="007968EC">
      <w:pPr>
        <w:autoSpaceDE w:val="0"/>
        <w:autoSpaceDN w:val="0"/>
        <w:adjustRightInd w:val="0"/>
        <w:jc w:val="both"/>
        <w:rPr>
          <w:rFonts w:ascii="Arial Narrow" w:hAnsi="Arial Narrow" w:cs="Arial"/>
          <w:lang w:val="es-ES" w:eastAsia="es-ES"/>
        </w:rPr>
      </w:pPr>
      <w:r w:rsidRPr="002C0D19">
        <w:rPr>
          <w:rFonts w:ascii="Arial Narrow" w:hAnsi="Arial Narrow" w:cs="Arial"/>
          <w:lang w:val="es-ES" w:eastAsia="es-ES"/>
        </w:rPr>
        <w:t xml:space="preserve">De conformidad con lo previsto en el artículo 2.9.1. del Reglamento de Funcionamiento, la Cámara podrá, en cualquier momento, ordenar la adopción de medidas preventivas para cualquiera o todos los Segmentos que administre para la Compensación y Liquidación. </w:t>
      </w:r>
    </w:p>
    <w:p w14:paraId="1CB939F9" w14:textId="77777777" w:rsidR="007968EC" w:rsidRPr="002C0D19" w:rsidRDefault="007968EC" w:rsidP="007968EC">
      <w:pPr>
        <w:autoSpaceDE w:val="0"/>
        <w:autoSpaceDN w:val="0"/>
        <w:adjustRightInd w:val="0"/>
        <w:jc w:val="both"/>
        <w:rPr>
          <w:rFonts w:ascii="Arial Narrow" w:hAnsi="Arial Narrow" w:cs="Arial"/>
          <w:lang w:val="es-ES" w:eastAsia="es-ES"/>
        </w:rPr>
      </w:pPr>
    </w:p>
    <w:p w14:paraId="08F1B856" w14:textId="77777777" w:rsidR="007968EC" w:rsidRPr="002C0D19" w:rsidRDefault="007968EC" w:rsidP="007968EC">
      <w:pPr>
        <w:autoSpaceDE w:val="0"/>
        <w:autoSpaceDN w:val="0"/>
        <w:adjustRightInd w:val="0"/>
        <w:jc w:val="both"/>
        <w:rPr>
          <w:rFonts w:ascii="Arial Narrow" w:hAnsi="Arial Narrow" w:cs="Arial"/>
          <w:lang w:val="es-ES" w:eastAsia="es-ES"/>
        </w:rPr>
      </w:pPr>
      <w:r w:rsidRPr="002C0D19">
        <w:rPr>
          <w:rFonts w:ascii="Arial Narrow" w:hAnsi="Arial Narrow" w:cs="Arial"/>
          <w:lang w:val="es-ES" w:eastAsia="es-ES"/>
        </w:rPr>
        <w:t>Salvo que la presente Circular establezca una medida preventiva específica frente a un evento determinado, la Cámara podrá adoptar, en forma simultánea o sucesiva, una o varias de las medidas preventivas descritas en el artículo 2.9.1. del Reglamento de Funcionamiento.</w:t>
      </w:r>
    </w:p>
    <w:p w14:paraId="3C397B88" w14:textId="77777777" w:rsidR="007968EC" w:rsidRPr="002C0D19" w:rsidRDefault="007968EC" w:rsidP="007968EC">
      <w:pPr>
        <w:autoSpaceDE w:val="0"/>
        <w:autoSpaceDN w:val="0"/>
        <w:adjustRightInd w:val="0"/>
        <w:jc w:val="both"/>
        <w:rPr>
          <w:rFonts w:ascii="Arial Narrow" w:hAnsi="Arial Narrow" w:cs="Arial"/>
          <w:lang w:val="es-ES" w:eastAsia="es-ES"/>
        </w:rPr>
      </w:pPr>
    </w:p>
    <w:p w14:paraId="0444E468" w14:textId="77777777" w:rsidR="007968EC" w:rsidRPr="002C0D19" w:rsidRDefault="007968EC" w:rsidP="007968EC">
      <w:pPr>
        <w:autoSpaceDE w:val="0"/>
        <w:autoSpaceDN w:val="0"/>
        <w:adjustRightInd w:val="0"/>
        <w:jc w:val="both"/>
        <w:rPr>
          <w:rFonts w:ascii="Arial Narrow" w:hAnsi="Arial Narrow" w:cs="Arial"/>
          <w:lang w:val="es-ES" w:eastAsia="es-ES"/>
        </w:rPr>
      </w:pPr>
      <w:r w:rsidRPr="002C0D19">
        <w:rPr>
          <w:rFonts w:ascii="Arial Narrow" w:hAnsi="Arial Narrow" w:cs="Arial"/>
          <w:lang w:val="es-ES" w:eastAsia="es-ES"/>
        </w:rPr>
        <w:t>La Cámara podrá establecer de manera adicional a las medidas preventivas descritas en el artículo 2.9.1. del Reglamento de Funcionamiento, medidas preventivas para cada Segmento.</w:t>
      </w:r>
    </w:p>
    <w:p w14:paraId="61FB0EA5" w14:textId="77777777" w:rsidR="007968EC" w:rsidRPr="002C0D19" w:rsidRDefault="007968EC" w:rsidP="007968EC">
      <w:pPr>
        <w:autoSpaceDE w:val="0"/>
        <w:autoSpaceDN w:val="0"/>
        <w:adjustRightInd w:val="0"/>
        <w:jc w:val="both"/>
        <w:rPr>
          <w:rFonts w:ascii="Arial Narrow" w:hAnsi="Arial Narrow" w:cs="Arial"/>
          <w:b/>
          <w:color w:val="000000" w:themeColor="text1"/>
          <w:u w:val="single"/>
          <w:lang w:val="es-ES" w:eastAsia="es-ES"/>
        </w:rPr>
      </w:pPr>
    </w:p>
    <w:p w14:paraId="776DB7DD" w14:textId="77777777" w:rsidR="007968EC" w:rsidRDefault="007968EC" w:rsidP="007968EC">
      <w:pPr>
        <w:pStyle w:val="ARTICULO0"/>
      </w:pPr>
      <w:bookmarkStart w:id="2922" w:name="_Toc472592211"/>
      <w:bookmarkStart w:id="2923" w:name="_Toc472593230"/>
      <w:bookmarkStart w:id="2924" w:name="_Toc479057016"/>
      <w:bookmarkStart w:id="2925" w:name="_Toc31716029"/>
      <w:bookmarkStart w:id="2926" w:name="_Toc470775542"/>
      <w:bookmarkStart w:id="2927" w:name="_Toc470779827"/>
      <w:bookmarkStart w:id="2928" w:name="_Toc470780444"/>
      <w:bookmarkStart w:id="2929" w:name="_Toc470780957"/>
      <w:bookmarkStart w:id="2930" w:name="_Toc470784518"/>
      <w:bookmarkStart w:id="2931" w:name="_Toc470785055"/>
      <w:bookmarkStart w:id="2932" w:name="_Toc470791441"/>
      <w:bookmarkStart w:id="2933" w:name="_Toc490066344"/>
      <w:r w:rsidRPr="002C0D19">
        <w:lastRenderedPageBreak/>
        <w:t>Artículo 1.7.4.2. Procedimiento para la adopción de medidas preventivas.</w:t>
      </w:r>
      <w:bookmarkEnd w:id="2922"/>
      <w:bookmarkEnd w:id="2923"/>
      <w:bookmarkEnd w:id="2924"/>
      <w:bookmarkEnd w:id="2925"/>
      <w:r w:rsidRPr="002C0D19">
        <w:t xml:space="preserve"> </w:t>
      </w:r>
    </w:p>
    <w:p w14:paraId="47339704" w14:textId="77777777" w:rsidR="007968EC" w:rsidRDefault="007968EC" w:rsidP="007968EC">
      <w:pPr>
        <w:keepNext/>
        <w:tabs>
          <w:tab w:val="left" w:pos="1701"/>
        </w:tabs>
        <w:jc w:val="both"/>
        <w:outlineLvl w:val="2"/>
        <w:rPr>
          <w:rFonts w:ascii="Arial Narrow" w:hAnsi="Arial Narrow" w:cs="Arial"/>
          <w:b/>
          <w:color w:val="000000" w:themeColor="text1"/>
          <w:lang w:eastAsia="es-ES"/>
        </w:rPr>
      </w:pPr>
    </w:p>
    <w:p w14:paraId="21354680" w14:textId="77777777" w:rsidR="007968EC" w:rsidRPr="002C0D19" w:rsidRDefault="007968EC" w:rsidP="007968EC">
      <w:pPr>
        <w:pStyle w:val="ANTECEDENTES"/>
        <w:rPr>
          <w:u w:val="single"/>
        </w:rPr>
      </w:pPr>
      <w:r w:rsidRPr="002C0D19">
        <w:rPr>
          <w:rFonts w:eastAsia="Calibri"/>
        </w:rPr>
        <w:t xml:space="preserve">(Este artículo fue modificado mediante Circular 24 del 6 de agosto de 2015, publicada en el Boletín Normativo No. 026 del 6 de agosto de 2015, </w:t>
      </w:r>
      <w:r w:rsidRPr="002C0D19">
        <w:t xml:space="preserve">renumerado mediante </w:t>
      </w:r>
      <w:r w:rsidRPr="002C0D19">
        <w:rPr>
          <w:lang w:val="es-ES"/>
        </w:rPr>
        <w:t xml:space="preserve">Circular 19 del 28 de diciembre de 2016, publicada en el Boletín Normativo No. 024 del 28 de diciembre de 2016 y modificado mediante Circular 14 del 8 de agosto de 2017, publicada en el Boletín Normativo No. 015 del 8 de agosto de 2017. </w:t>
      </w:r>
      <w:r w:rsidRPr="002C0D19">
        <w:t>Rige a partir del 9 de agosto de 2017.</w:t>
      </w:r>
      <w:r w:rsidRPr="002C0D19">
        <w:rPr>
          <w:lang w:val="es-ES"/>
        </w:rPr>
        <w:t>)</w:t>
      </w:r>
      <w:bookmarkEnd w:id="2926"/>
      <w:bookmarkEnd w:id="2927"/>
      <w:bookmarkEnd w:id="2928"/>
      <w:bookmarkEnd w:id="2929"/>
      <w:bookmarkEnd w:id="2930"/>
      <w:bookmarkEnd w:id="2931"/>
      <w:bookmarkEnd w:id="2932"/>
      <w:bookmarkEnd w:id="2933"/>
    </w:p>
    <w:p w14:paraId="13DE725F" w14:textId="77777777" w:rsidR="007968EC" w:rsidRPr="002C0D19" w:rsidRDefault="007968EC" w:rsidP="007968EC">
      <w:pPr>
        <w:autoSpaceDE w:val="0"/>
        <w:autoSpaceDN w:val="0"/>
        <w:adjustRightInd w:val="0"/>
        <w:jc w:val="both"/>
        <w:rPr>
          <w:rFonts w:ascii="Arial Narrow" w:hAnsi="Arial Narrow" w:cs="Arial"/>
          <w:b/>
          <w:color w:val="000000" w:themeColor="text1"/>
          <w:u w:val="single"/>
          <w:lang w:val="es-ES" w:eastAsia="es-ES"/>
        </w:rPr>
      </w:pPr>
    </w:p>
    <w:p w14:paraId="57D66021" w14:textId="77777777" w:rsidR="007968EC" w:rsidRPr="002C0D19" w:rsidRDefault="007968EC" w:rsidP="007968EC">
      <w:pPr>
        <w:autoSpaceDE w:val="0"/>
        <w:autoSpaceDN w:val="0"/>
        <w:adjustRightInd w:val="0"/>
        <w:jc w:val="both"/>
        <w:rPr>
          <w:rFonts w:ascii="Arial Narrow" w:hAnsi="Arial Narrow" w:cs="Arial"/>
          <w:lang w:val="es-ES" w:eastAsia="es-ES"/>
        </w:rPr>
      </w:pPr>
      <w:r w:rsidRPr="002C0D19">
        <w:rPr>
          <w:rFonts w:ascii="Arial Narrow" w:hAnsi="Arial Narrow" w:cs="Arial"/>
          <w:lang w:val="es-ES" w:eastAsia="es-ES"/>
        </w:rPr>
        <w:t>Salvo que en la presente Circular se establezca un procedimiento adicional o un plazo</w:t>
      </w:r>
      <w:r w:rsidRPr="002C0D19">
        <w:rPr>
          <w:rFonts w:ascii="Arial Narrow" w:hAnsi="Arial Narrow" w:cs="Arial"/>
          <w:b/>
          <w:lang w:val="es-ES" w:eastAsia="es-ES"/>
        </w:rPr>
        <w:t xml:space="preserve"> </w:t>
      </w:r>
      <w:r w:rsidRPr="002C0D19">
        <w:rPr>
          <w:rFonts w:ascii="Arial Narrow" w:hAnsi="Arial Narrow" w:cs="Arial"/>
          <w:lang w:val="es-ES" w:eastAsia="es-ES"/>
        </w:rPr>
        <w:t>especial para la adopción de una medida preventiva ante un evento determinado o para un Segmento, la Cámara procederá de acuerdo con el siguiente procedimiento para la adopción de una medida preventiva:</w:t>
      </w:r>
    </w:p>
    <w:p w14:paraId="5632C5FA" w14:textId="77777777" w:rsidR="007968EC" w:rsidRPr="002C0D19" w:rsidRDefault="007968EC" w:rsidP="007968EC">
      <w:pPr>
        <w:autoSpaceDE w:val="0"/>
        <w:autoSpaceDN w:val="0"/>
        <w:adjustRightInd w:val="0"/>
        <w:jc w:val="both"/>
        <w:rPr>
          <w:rFonts w:ascii="Arial Narrow" w:hAnsi="Arial Narrow" w:cs="Arial"/>
          <w:lang w:val="es-ES" w:eastAsia="es-ES"/>
        </w:rPr>
      </w:pPr>
    </w:p>
    <w:p w14:paraId="74E1E88D" w14:textId="77777777" w:rsidR="007968EC" w:rsidRPr="002C0D19" w:rsidRDefault="007968EC" w:rsidP="00DA7472">
      <w:pPr>
        <w:numPr>
          <w:ilvl w:val="0"/>
          <w:numId w:val="70"/>
        </w:numPr>
        <w:autoSpaceDE w:val="0"/>
        <w:autoSpaceDN w:val="0"/>
        <w:adjustRightInd w:val="0"/>
        <w:jc w:val="both"/>
        <w:rPr>
          <w:rFonts w:ascii="Arial Narrow" w:hAnsi="Arial Narrow" w:cs="Arial"/>
          <w:lang w:val="es-ES" w:eastAsia="es-ES"/>
        </w:rPr>
      </w:pPr>
      <w:r w:rsidRPr="002C0D19">
        <w:rPr>
          <w:rFonts w:ascii="Arial Narrow" w:hAnsi="Arial Narrow" w:cs="Arial"/>
          <w:lang w:val="es-ES" w:eastAsia="es-ES"/>
        </w:rPr>
        <w:t>En cualquier momento en que la Cámara tenga conocimiento que un Miembro se encuentra en cualquiera de los eventos establecidos en el primer inciso del artículo 2.9.1. del Reglamento de Funcionamiento, podrá ordenar la adopción de una o varias de las medidas preventivas señaladas en el segundo inciso del mencionado artículo.</w:t>
      </w:r>
    </w:p>
    <w:p w14:paraId="19A3562C" w14:textId="77777777" w:rsidR="007968EC" w:rsidRPr="002C0D19" w:rsidRDefault="007968EC" w:rsidP="007968EC">
      <w:pPr>
        <w:autoSpaceDE w:val="0"/>
        <w:autoSpaceDN w:val="0"/>
        <w:adjustRightInd w:val="0"/>
        <w:ind w:left="360"/>
        <w:jc w:val="both"/>
        <w:rPr>
          <w:rFonts w:ascii="Arial Narrow" w:hAnsi="Arial Narrow" w:cs="Arial"/>
          <w:lang w:val="es-ES" w:eastAsia="es-ES"/>
        </w:rPr>
      </w:pPr>
    </w:p>
    <w:p w14:paraId="2A2D8DA8" w14:textId="77777777" w:rsidR="007968EC" w:rsidRPr="002C0D19" w:rsidRDefault="007968EC" w:rsidP="00DA7472">
      <w:pPr>
        <w:numPr>
          <w:ilvl w:val="0"/>
          <w:numId w:val="70"/>
        </w:numPr>
        <w:autoSpaceDE w:val="0"/>
        <w:autoSpaceDN w:val="0"/>
        <w:adjustRightInd w:val="0"/>
        <w:jc w:val="both"/>
        <w:rPr>
          <w:rFonts w:ascii="Arial Narrow" w:hAnsi="Arial Narrow" w:cs="Arial"/>
          <w:lang w:val="es-ES" w:eastAsia="es-ES"/>
        </w:rPr>
      </w:pPr>
      <w:r w:rsidRPr="002C0D19">
        <w:rPr>
          <w:rFonts w:ascii="Arial Narrow" w:hAnsi="Arial Narrow" w:cs="Arial"/>
          <w:lang w:val="es-ES" w:eastAsia="es-ES"/>
        </w:rPr>
        <w:t xml:space="preserve">Una vez se adopte(n) la(s) medida(s) preventiva(s), o antes si la Cámara lo encuentra pertinente, se le notificará al Miembro por comunicación escrita, correo electrónico o por vía telefónica, voz o mensaje. En la comunicación se indicará la razón por la cual se adopta la(s) medida(s) preventiva(s), el alcance de la(s) misma(s) y el término por el cual se adopta(n). La Cámara puede sujetar el levantamiento de la(s) medida(s) preventiva(s) adoptada(s) a que se le acredite a satisfacción que han cesado las causas que le(s) dieron origen. </w:t>
      </w:r>
    </w:p>
    <w:p w14:paraId="30A03E4C" w14:textId="77777777" w:rsidR="007968EC" w:rsidRPr="002C0D19" w:rsidRDefault="007968EC" w:rsidP="007968EC">
      <w:pPr>
        <w:autoSpaceDE w:val="0"/>
        <w:autoSpaceDN w:val="0"/>
        <w:adjustRightInd w:val="0"/>
        <w:jc w:val="both"/>
        <w:rPr>
          <w:rFonts w:ascii="Arial Narrow" w:hAnsi="Arial Narrow" w:cs="Arial"/>
          <w:lang w:val="es-ES" w:eastAsia="es-ES"/>
        </w:rPr>
      </w:pPr>
    </w:p>
    <w:p w14:paraId="0E82C267" w14:textId="77777777" w:rsidR="007968EC" w:rsidRPr="002C0D19" w:rsidRDefault="007968EC" w:rsidP="00DA7472">
      <w:pPr>
        <w:numPr>
          <w:ilvl w:val="0"/>
          <w:numId w:val="70"/>
        </w:numPr>
        <w:autoSpaceDE w:val="0"/>
        <w:autoSpaceDN w:val="0"/>
        <w:adjustRightInd w:val="0"/>
        <w:jc w:val="both"/>
        <w:rPr>
          <w:rFonts w:ascii="Arial Narrow" w:hAnsi="Arial Narrow" w:cs="Arial"/>
          <w:lang w:val="es-ES" w:eastAsia="es-ES"/>
        </w:rPr>
      </w:pPr>
      <w:r w:rsidRPr="002C0D19">
        <w:rPr>
          <w:rFonts w:ascii="Arial Narrow" w:hAnsi="Arial Narrow" w:cs="Arial"/>
          <w:lang w:val="es-ES" w:eastAsia="es-ES"/>
        </w:rPr>
        <w:t>El Miembro en cualquier momento a partir de la notificación de la Cámara podrá acreditar que el evento que dio lugar a la(s) medida(s) preventiva(s) se encuentra debidamente subsanado.</w:t>
      </w:r>
    </w:p>
    <w:p w14:paraId="4968A642" w14:textId="77777777" w:rsidR="007968EC" w:rsidRPr="002C0D19" w:rsidRDefault="007968EC" w:rsidP="007968EC">
      <w:pPr>
        <w:autoSpaceDE w:val="0"/>
        <w:autoSpaceDN w:val="0"/>
        <w:adjustRightInd w:val="0"/>
        <w:jc w:val="both"/>
        <w:rPr>
          <w:rFonts w:ascii="Arial Narrow" w:hAnsi="Arial Narrow" w:cs="Arial"/>
          <w:lang w:val="es-ES" w:eastAsia="es-ES"/>
        </w:rPr>
      </w:pPr>
    </w:p>
    <w:p w14:paraId="4EBF1EB2" w14:textId="77777777" w:rsidR="007968EC" w:rsidRPr="002C0D19" w:rsidRDefault="007968EC" w:rsidP="00DA7472">
      <w:pPr>
        <w:numPr>
          <w:ilvl w:val="0"/>
          <w:numId w:val="70"/>
        </w:numPr>
        <w:autoSpaceDE w:val="0"/>
        <w:autoSpaceDN w:val="0"/>
        <w:adjustRightInd w:val="0"/>
        <w:jc w:val="both"/>
        <w:rPr>
          <w:rFonts w:ascii="Arial Narrow" w:hAnsi="Arial Narrow" w:cs="Arial"/>
          <w:lang w:val="es-ES" w:eastAsia="es-ES"/>
        </w:rPr>
      </w:pPr>
      <w:r w:rsidRPr="002C0D19">
        <w:rPr>
          <w:rFonts w:ascii="Arial Narrow" w:hAnsi="Arial Narrow" w:cs="Arial"/>
          <w:lang w:val="es-ES" w:eastAsia="es-ES"/>
        </w:rPr>
        <w:t>La Cámara podrá levantar la(s) medida(s) preventiva(s) cuando, a su juicio, verifique que han cesado las causas que hubieren dado origen a las mismas.</w:t>
      </w:r>
    </w:p>
    <w:p w14:paraId="15098203" w14:textId="77777777" w:rsidR="007968EC" w:rsidRPr="002C0D19" w:rsidRDefault="007968EC" w:rsidP="007968EC">
      <w:pPr>
        <w:ind w:left="708"/>
        <w:rPr>
          <w:rFonts w:ascii="Arial Narrow" w:hAnsi="Arial Narrow" w:cs="Arial"/>
          <w:b/>
          <w:lang w:val="es-ES" w:eastAsia="es-ES"/>
        </w:rPr>
      </w:pPr>
    </w:p>
    <w:p w14:paraId="28CD5D6C" w14:textId="77777777" w:rsidR="007968EC" w:rsidRPr="002C0D19" w:rsidRDefault="007968EC" w:rsidP="00DA7472">
      <w:pPr>
        <w:numPr>
          <w:ilvl w:val="0"/>
          <w:numId w:val="70"/>
        </w:numPr>
        <w:autoSpaceDE w:val="0"/>
        <w:autoSpaceDN w:val="0"/>
        <w:adjustRightInd w:val="0"/>
        <w:jc w:val="both"/>
        <w:rPr>
          <w:rFonts w:ascii="Arial Narrow" w:hAnsi="Arial Narrow" w:cs="Arial"/>
          <w:lang w:val="es-ES" w:eastAsia="es-ES"/>
        </w:rPr>
      </w:pPr>
      <w:r w:rsidRPr="002C0D19">
        <w:rPr>
          <w:rFonts w:ascii="Arial Narrow" w:hAnsi="Arial Narrow" w:cs="Arial"/>
          <w:lang w:val="es-ES" w:eastAsia="es-ES"/>
        </w:rPr>
        <w:t>En el evento en que las causas continúen, la Cámara en cualquier momento podrá decretar el Incumplimiento en los términos establecidos en el Reglamento de Funcionamiento y en la presente Circular.</w:t>
      </w:r>
    </w:p>
    <w:p w14:paraId="6985B1C7"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49020C50" w14:textId="77777777" w:rsidR="007968EC" w:rsidRDefault="007968EC" w:rsidP="007968EC">
      <w:pPr>
        <w:pStyle w:val="ARTICULO0"/>
      </w:pPr>
      <w:bookmarkStart w:id="2934" w:name="_Toc472592212"/>
      <w:bookmarkStart w:id="2935" w:name="_Toc472593231"/>
      <w:bookmarkStart w:id="2936" w:name="_Toc479057017"/>
      <w:bookmarkStart w:id="2937" w:name="_Toc31716030"/>
      <w:bookmarkStart w:id="2938" w:name="_Toc470775543"/>
      <w:bookmarkStart w:id="2939" w:name="_Toc470779828"/>
      <w:bookmarkStart w:id="2940" w:name="_Toc470780445"/>
      <w:bookmarkStart w:id="2941" w:name="_Toc470780958"/>
      <w:bookmarkStart w:id="2942" w:name="_Toc470784519"/>
      <w:bookmarkStart w:id="2943" w:name="_Toc470785056"/>
      <w:bookmarkStart w:id="2944" w:name="_Toc470791442"/>
      <w:bookmarkStart w:id="2945" w:name="_Toc490066345"/>
      <w:r w:rsidRPr="002C0D19">
        <w:t>Artículo 1.7.4.3. Plazos especiales para la adopción de Medidas Preventivas durante el procedimiento operativo para gestionar por la Cámara eventos de retardo de un Miembro Liquidador según lo establecido en el artículo 1.7.1.3. de la presente Circular.</w:t>
      </w:r>
      <w:bookmarkEnd w:id="2934"/>
      <w:bookmarkEnd w:id="2935"/>
      <w:bookmarkEnd w:id="2936"/>
      <w:bookmarkEnd w:id="2937"/>
      <w:r w:rsidRPr="002C0D19">
        <w:t xml:space="preserve"> </w:t>
      </w:r>
    </w:p>
    <w:p w14:paraId="6E9F3DEA" w14:textId="77777777" w:rsidR="007968EC" w:rsidRPr="00885853" w:rsidRDefault="007968EC" w:rsidP="007968EC">
      <w:pPr>
        <w:jc w:val="both"/>
        <w:rPr>
          <w:rFonts w:ascii="Arial Narrow" w:hAnsi="Arial Narrow" w:cs="Arial"/>
          <w:color w:val="000000" w:themeColor="text1"/>
          <w:lang w:eastAsia="es-ES"/>
        </w:rPr>
      </w:pPr>
    </w:p>
    <w:p w14:paraId="6E172694" w14:textId="77777777" w:rsidR="007968EC" w:rsidRPr="002C0D19" w:rsidRDefault="007968EC" w:rsidP="007968EC">
      <w:pPr>
        <w:pStyle w:val="ANTECEDENTES"/>
      </w:pPr>
      <w:r w:rsidRPr="002C0D19">
        <w:rPr>
          <w:rFonts w:eastAsia="Calibri"/>
        </w:rPr>
        <w:t>(Este artículo fue modificado mediante Circular 24 del 6 de agosto de 2015, publicada en el Boletín Normativo No. 026 del 6 de agosto de 2015,</w:t>
      </w:r>
      <w:r w:rsidRPr="002C0D19">
        <w:t xml:space="preserve"> mediante Circular 19 del 28 de diciembre de 2016, publicada en el Boletín Normativo No. 024 del 28 de diciembre de 2016 y mediante Circular 14 del 8 de agosto de 2017, publicada en el Boletín Normativo No. 015 del 8 de agosto de 2017. Rige a partir del 9 de agosto de 2017.)</w:t>
      </w:r>
      <w:bookmarkEnd w:id="2938"/>
      <w:bookmarkEnd w:id="2939"/>
      <w:bookmarkEnd w:id="2940"/>
      <w:bookmarkEnd w:id="2941"/>
      <w:bookmarkEnd w:id="2942"/>
      <w:bookmarkEnd w:id="2943"/>
      <w:bookmarkEnd w:id="2944"/>
      <w:bookmarkEnd w:id="2945"/>
    </w:p>
    <w:p w14:paraId="092FDD40" w14:textId="77777777" w:rsidR="007968EC" w:rsidRPr="002C0D19" w:rsidRDefault="007968EC" w:rsidP="007968EC">
      <w:pPr>
        <w:autoSpaceDE w:val="0"/>
        <w:autoSpaceDN w:val="0"/>
        <w:adjustRightInd w:val="0"/>
        <w:jc w:val="both"/>
        <w:rPr>
          <w:rFonts w:ascii="Arial Narrow" w:hAnsi="Arial Narrow" w:cs="Arial"/>
          <w:bCs/>
          <w:color w:val="000000" w:themeColor="text1"/>
          <w:lang w:val="es-ES" w:eastAsia="es-ES"/>
        </w:rPr>
      </w:pPr>
    </w:p>
    <w:p w14:paraId="0C479FDE" w14:textId="77777777" w:rsidR="007968EC" w:rsidRPr="002C0D19" w:rsidRDefault="007968EC" w:rsidP="007968EC">
      <w:pPr>
        <w:autoSpaceDE w:val="0"/>
        <w:autoSpaceDN w:val="0"/>
        <w:adjustRightInd w:val="0"/>
        <w:jc w:val="both"/>
        <w:rPr>
          <w:rFonts w:ascii="Arial Narrow" w:hAnsi="Arial Narrow" w:cs="Arial"/>
          <w:lang w:val="es-ES" w:eastAsia="es-ES"/>
        </w:rPr>
      </w:pPr>
      <w:r w:rsidRPr="002C0D19">
        <w:rPr>
          <w:rFonts w:ascii="Arial Narrow" w:hAnsi="Arial Narrow" w:cs="Arial"/>
          <w:bCs/>
          <w:lang w:val="es-ES" w:eastAsia="es-ES"/>
        </w:rPr>
        <w:t>La</w:t>
      </w:r>
      <w:r w:rsidRPr="002C0D19">
        <w:rPr>
          <w:rFonts w:ascii="Arial Narrow" w:hAnsi="Arial Narrow" w:cs="Arial"/>
          <w:lang w:val="es-ES" w:eastAsia="es-ES"/>
        </w:rPr>
        <w:t xml:space="preserve"> Cámara cumplirá con los siguientes plazos especiales para la adopción de Medidas Preventivas durante el procedimiento operativo para gestionar eventos de retardo de un Miembro Liquidador según lo establecido en el artículo 1.7.1.3. de la presente Circular:</w:t>
      </w:r>
    </w:p>
    <w:p w14:paraId="32CCC34B" w14:textId="77777777" w:rsidR="007968EC" w:rsidRPr="002C0D19" w:rsidRDefault="007968EC" w:rsidP="007968EC">
      <w:pPr>
        <w:autoSpaceDE w:val="0"/>
        <w:autoSpaceDN w:val="0"/>
        <w:adjustRightInd w:val="0"/>
        <w:jc w:val="both"/>
        <w:rPr>
          <w:rFonts w:ascii="Arial Narrow" w:hAnsi="Arial Narrow" w:cs="Arial"/>
          <w:lang w:val="es-ES" w:eastAsia="es-ES"/>
        </w:rPr>
      </w:pPr>
    </w:p>
    <w:p w14:paraId="746CDE33" w14:textId="77777777" w:rsidR="007968EC" w:rsidRPr="002C0D19" w:rsidRDefault="007968EC" w:rsidP="00DA7472">
      <w:pPr>
        <w:numPr>
          <w:ilvl w:val="0"/>
          <w:numId w:val="71"/>
        </w:numPr>
        <w:autoSpaceDE w:val="0"/>
        <w:autoSpaceDN w:val="0"/>
        <w:adjustRightInd w:val="0"/>
        <w:ind w:left="284" w:hanging="284"/>
        <w:jc w:val="both"/>
        <w:rPr>
          <w:rFonts w:ascii="Arial Narrow" w:hAnsi="Arial Narrow" w:cs="Arial"/>
          <w:lang w:val="es-ES" w:eastAsia="es-ES"/>
        </w:rPr>
      </w:pPr>
      <w:r w:rsidRPr="002C0D19">
        <w:rPr>
          <w:rFonts w:ascii="Arial Narrow" w:hAnsi="Arial Narrow" w:cs="Arial"/>
          <w:lang w:val="es-ES" w:eastAsia="es-ES"/>
        </w:rPr>
        <w:t>Eventos de Retardo previstos en los numerales 1 y 2 del Artículo 1.7.1.1. de la presente Circular:</w:t>
      </w:r>
    </w:p>
    <w:p w14:paraId="0F952F16" w14:textId="77777777" w:rsidR="007968EC" w:rsidRPr="002C0D19" w:rsidRDefault="007968EC" w:rsidP="007968EC">
      <w:pPr>
        <w:autoSpaceDE w:val="0"/>
        <w:autoSpaceDN w:val="0"/>
        <w:adjustRightInd w:val="0"/>
        <w:ind w:left="720"/>
        <w:jc w:val="both"/>
        <w:rPr>
          <w:rFonts w:ascii="Arial Narrow" w:hAnsi="Arial Narrow" w:cs="Arial"/>
          <w:lang w:val="es-ES" w:eastAsia="es-ES"/>
        </w:rPr>
      </w:pPr>
    </w:p>
    <w:p w14:paraId="693C0979" w14:textId="77777777" w:rsidR="007968EC" w:rsidRPr="002C0D19" w:rsidRDefault="007968EC" w:rsidP="00DA7472">
      <w:pPr>
        <w:numPr>
          <w:ilvl w:val="0"/>
          <w:numId w:val="72"/>
        </w:numPr>
        <w:autoSpaceDE w:val="0"/>
        <w:autoSpaceDN w:val="0"/>
        <w:adjustRightInd w:val="0"/>
        <w:ind w:left="567" w:hanging="283"/>
        <w:jc w:val="both"/>
        <w:rPr>
          <w:rFonts w:ascii="Arial Narrow" w:hAnsi="Arial Narrow" w:cs="Arial"/>
          <w:lang w:val="es-ES" w:eastAsia="es-ES"/>
        </w:rPr>
      </w:pPr>
      <w:r w:rsidRPr="002C0D19">
        <w:rPr>
          <w:rFonts w:ascii="Arial Narrow" w:hAnsi="Arial Narrow" w:cs="Arial"/>
          <w:lang w:val="es-ES" w:eastAsia="es-ES"/>
        </w:rPr>
        <w:t xml:space="preserve">La Cámara se comunicará telefónicamente o vía correo electrónico con el Administrador del Miembro inmediatamente detecte el no pago de la liquidación, para conocer las razones del retardo. Si éstas son por motivos operativos, la Cámara dará al Miembro Liquidador un plazo de hasta 30 minutos contados desde la hora del fin de la Sesión de Liquidación Diaria o de la Sesión de Liquidación al Vencimiento cuando las Operaciones Aceptadas deban ser cumplidas con Liquidación por Diferencias. </w:t>
      </w:r>
    </w:p>
    <w:p w14:paraId="3F4466C9" w14:textId="77777777" w:rsidR="007968EC" w:rsidRPr="002C0D19" w:rsidRDefault="007968EC" w:rsidP="007968EC">
      <w:pPr>
        <w:autoSpaceDE w:val="0"/>
        <w:autoSpaceDN w:val="0"/>
        <w:adjustRightInd w:val="0"/>
        <w:ind w:left="567" w:hanging="283"/>
        <w:jc w:val="both"/>
        <w:rPr>
          <w:rFonts w:ascii="Arial Narrow" w:hAnsi="Arial Narrow" w:cs="Arial"/>
          <w:lang w:val="es-ES" w:eastAsia="es-ES"/>
        </w:rPr>
      </w:pPr>
    </w:p>
    <w:p w14:paraId="3E280237" w14:textId="77777777" w:rsidR="007968EC" w:rsidRPr="002C0D19" w:rsidRDefault="007968EC" w:rsidP="007968EC">
      <w:pPr>
        <w:autoSpaceDE w:val="0"/>
        <w:autoSpaceDN w:val="0"/>
        <w:adjustRightInd w:val="0"/>
        <w:ind w:left="567"/>
        <w:jc w:val="both"/>
        <w:rPr>
          <w:rFonts w:ascii="Arial Narrow" w:hAnsi="Arial Narrow" w:cs="Arial"/>
          <w:lang w:val="es-ES" w:eastAsia="es-ES"/>
        </w:rPr>
      </w:pPr>
      <w:r w:rsidRPr="002C0D19">
        <w:rPr>
          <w:rFonts w:ascii="Arial Narrow" w:hAnsi="Arial Narrow" w:cs="Arial"/>
          <w:lang w:val="es-ES" w:eastAsia="es-ES"/>
        </w:rPr>
        <w:t xml:space="preserve">Para el caso del pago de la Liquidación al Vencimiento cuando las Operaciones Aceptadas deban ser cumplidas con Liquidación por Entrega, la Cámara se comunicará telefónicamente o vía correo electrónico con el Administrador del Miembro inmediatamente detecte la no entrega del Activo o del efectivo, para conocer las razones del retardo. Si éstas son por motivos operativos, la Cámara dará al Miembro Liquidador, un plazo de hasta 30 minutos contados desde la hora del cierre de la Etapa a) de la Sesión de Liquidación al Vencimiento cuando las Operaciones Aceptadas deban ser cumplidas con Liquidación por Entrega del Activo o del efectivo, para cumplir con el pago de las obligaciones atrasadas. </w:t>
      </w:r>
    </w:p>
    <w:p w14:paraId="1FE9BF9D" w14:textId="77777777" w:rsidR="007968EC" w:rsidRPr="002C0D19" w:rsidRDefault="007968EC" w:rsidP="007968EC">
      <w:pPr>
        <w:autoSpaceDE w:val="0"/>
        <w:autoSpaceDN w:val="0"/>
        <w:adjustRightInd w:val="0"/>
        <w:ind w:left="567" w:hanging="283"/>
        <w:jc w:val="both"/>
        <w:rPr>
          <w:rFonts w:ascii="Arial Narrow" w:hAnsi="Arial Narrow" w:cs="Arial"/>
          <w:lang w:val="es-ES" w:eastAsia="es-ES"/>
        </w:rPr>
      </w:pPr>
    </w:p>
    <w:p w14:paraId="6568B663" w14:textId="77777777" w:rsidR="007968EC" w:rsidRPr="002C0D19" w:rsidRDefault="007968EC" w:rsidP="00DA7472">
      <w:pPr>
        <w:numPr>
          <w:ilvl w:val="0"/>
          <w:numId w:val="72"/>
        </w:numPr>
        <w:autoSpaceDE w:val="0"/>
        <w:autoSpaceDN w:val="0"/>
        <w:adjustRightInd w:val="0"/>
        <w:ind w:left="567" w:hanging="283"/>
        <w:jc w:val="both"/>
        <w:rPr>
          <w:rFonts w:ascii="Arial Narrow" w:hAnsi="Arial Narrow" w:cs="Arial"/>
          <w:lang w:val="es-ES" w:eastAsia="es-ES"/>
        </w:rPr>
      </w:pPr>
      <w:r w:rsidRPr="002C0D19">
        <w:rPr>
          <w:rFonts w:ascii="Arial Narrow" w:hAnsi="Arial Narrow" w:cs="Arial"/>
          <w:lang w:val="es-ES" w:eastAsia="es-ES"/>
        </w:rPr>
        <w:t>Vencido el plazo establecido en el literal anterior, la Cámara adoptará en forma simultánea o sucesiva, una o varias de las Medidas Preventivas establecidas en el artículo 2.9.1. del Reglamento de Funcionamiento.</w:t>
      </w:r>
    </w:p>
    <w:p w14:paraId="7D29D152" w14:textId="77777777" w:rsidR="007968EC" w:rsidRPr="002C0D19" w:rsidRDefault="007968EC" w:rsidP="007968EC">
      <w:pPr>
        <w:autoSpaceDE w:val="0"/>
        <w:autoSpaceDN w:val="0"/>
        <w:adjustRightInd w:val="0"/>
        <w:ind w:left="567" w:hanging="283"/>
        <w:jc w:val="both"/>
        <w:rPr>
          <w:rFonts w:ascii="Arial Narrow" w:hAnsi="Arial Narrow" w:cs="Arial"/>
          <w:lang w:val="es-ES" w:eastAsia="es-ES"/>
        </w:rPr>
      </w:pPr>
    </w:p>
    <w:p w14:paraId="4850436E" w14:textId="77777777" w:rsidR="007968EC" w:rsidRPr="002C0D19" w:rsidRDefault="007968EC" w:rsidP="00DA7472">
      <w:pPr>
        <w:numPr>
          <w:ilvl w:val="0"/>
          <w:numId w:val="72"/>
        </w:numPr>
        <w:autoSpaceDE w:val="0"/>
        <w:autoSpaceDN w:val="0"/>
        <w:adjustRightInd w:val="0"/>
        <w:ind w:left="567" w:hanging="283"/>
        <w:jc w:val="both"/>
        <w:rPr>
          <w:rFonts w:ascii="Arial Narrow" w:hAnsi="Arial Narrow" w:cs="Arial"/>
          <w:lang w:val="es-ES" w:eastAsia="es-ES"/>
        </w:rPr>
      </w:pPr>
      <w:r w:rsidRPr="002C0D19">
        <w:rPr>
          <w:rFonts w:ascii="Arial Narrow" w:hAnsi="Arial Narrow" w:cs="Arial"/>
          <w:lang w:val="es-ES" w:eastAsia="es-ES"/>
        </w:rPr>
        <w:t>La Cámara exigirá al Miembro que en un término no mayor a una hora le remita una comunicación vía correo electrónico por parte del Administrador del Miembro en la que exponga las razones del retardo, el plan de gestión del retardo y el tiempo que tardará en cumplir sus obligaciones. La Cámara podrá no aceptar el plan de gestión de retardo y exigir el cumplimiento inmediato de la obligación pendiente del Miembro. La ejecución del plan de gestión en ningún caso podrá exceder los plazos establecidos en los numerales 1 y 2 del Artículo 1.7.1.1. de la presente Circular, según el evento de retardo de que se trate.</w:t>
      </w:r>
    </w:p>
    <w:p w14:paraId="4A37AA8D" w14:textId="77777777" w:rsidR="007968EC" w:rsidRPr="002C0D19" w:rsidRDefault="007968EC" w:rsidP="007968EC">
      <w:pPr>
        <w:autoSpaceDE w:val="0"/>
        <w:autoSpaceDN w:val="0"/>
        <w:adjustRightInd w:val="0"/>
        <w:jc w:val="both"/>
        <w:rPr>
          <w:rFonts w:ascii="Arial Narrow" w:hAnsi="Arial Narrow" w:cs="Arial"/>
          <w:lang w:val="es-ES" w:eastAsia="es-ES"/>
        </w:rPr>
      </w:pPr>
    </w:p>
    <w:p w14:paraId="5496CA06" w14:textId="77777777" w:rsidR="007968EC" w:rsidRPr="002C0D19" w:rsidRDefault="007968EC" w:rsidP="00DA7472">
      <w:pPr>
        <w:numPr>
          <w:ilvl w:val="0"/>
          <w:numId w:val="71"/>
        </w:numPr>
        <w:autoSpaceDE w:val="0"/>
        <w:autoSpaceDN w:val="0"/>
        <w:adjustRightInd w:val="0"/>
        <w:ind w:left="284" w:hanging="284"/>
        <w:jc w:val="both"/>
        <w:rPr>
          <w:rFonts w:ascii="Arial Narrow" w:hAnsi="Arial Narrow" w:cs="Arial"/>
          <w:lang w:val="es-ES" w:eastAsia="es-ES"/>
        </w:rPr>
      </w:pPr>
      <w:r w:rsidRPr="002C0D19">
        <w:rPr>
          <w:rFonts w:ascii="Arial Narrow" w:hAnsi="Arial Narrow" w:cs="Arial"/>
          <w:lang w:val="es-ES" w:eastAsia="es-ES"/>
        </w:rPr>
        <w:t xml:space="preserve">Retardo en la constitución de Garantías por Posición o Garantías Individuales exigidas cuando un Miembro Liquidador exceda el consumo del LRI en un 90%: Vencido el plazo establecido en artículo 1.6.5.3. de la presente Circular, la Cámara adoptará en forma simultánea o sucesiva, una o varias de las Medidas Preventivas establecidas en el artículo 2.9.1. del Reglamento de Funcionamiento. La Cámara exigirá al Miembro que en un término no mayor a una hora le remita una comunicación vía correo electrónico por parte del Administrador del Miembro en la que exponga las razones del retardo, el plan de gestión del retardo y el tiempo que tardará en cumplir sus obligaciones. La Cámara podrá no aceptar el plan de gestión de retardo y exigir el cumplimiento inmediato de la obligación pendiente del Miembro. La </w:t>
      </w:r>
      <w:r w:rsidRPr="002C0D19">
        <w:rPr>
          <w:rFonts w:ascii="Arial Narrow" w:hAnsi="Arial Narrow" w:cs="Arial"/>
          <w:lang w:val="es-ES" w:eastAsia="es-ES"/>
        </w:rPr>
        <w:lastRenderedPageBreak/>
        <w:t>ejecución del plan de gestión en ningún caso podrá exceder de las 2:00 p.m. del día siguiente en la Sesión de Liquidación Diaria.</w:t>
      </w:r>
      <w:r w:rsidRPr="002C0D19">
        <w:rPr>
          <w:rFonts w:ascii="Arial Narrow" w:hAnsi="Arial Narrow" w:cs="Arial"/>
          <w:b/>
          <w:u w:val="single"/>
          <w:lang w:val="es-ES" w:eastAsia="es-ES"/>
        </w:rPr>
        <w:t xml:space="preserve"> </w:t>
      </w:r>
    </w:p>
    <w:p w14:paraId="37D12A1D" w14:textId="77777777" w:rsidR="007968EC" w:rsidRPr="002C0D19" w:rsidRDefault="007968EC" w:rsidP="007968EC">
      <w:pPr>
        <w:autoSpaceDE w:val="0"/>
        <w:autoSpaceDN w:val="0"/>
        <w:adjustRightInd w:val="0"/>
        <w:ind w:left="284"/>
        <w:jc w:val="both"/>
        <w:rPr>
          <w:rFonts w:ascii="Arial Narrow" w:hAnsi="Arial Narrow" w:cs="Arial"/>
          <w:lang w:val="es-ES" w:eastAsia="es-ES"/>
        </w:rPr>
      </w:pPr>
    </w:p>
    <w:p w14:paraId="6E495D85" w14:textId="77777777" w:rsidR="007968EC" w:rsidRPr="002C0D19" w:rsidRDefault="007968EC" w:rsidP="00DA7472">
      <w:pPr>
        <w:numPr>
          <w:ilvl w:val="0"/>
          <w:numId w:val="71"/>
        </w:numPr>
        <w:autoSpaceDE w:val="0"/>
        <w:autoSpaceDN w:val="0"/>
        <w:adjustRightInd w:val="0"/>
        <w:ind w:left="284" w:hanging="284"/>
        <w:jc w:val="both"/>
        <w:rPr>
          <w:rFonts w:ascii="Arial Narrow" w:hAnsi="Arial Narrow" w:cs="Arial"/>
          <w:lang w:val="es-ES" w:eastAsia="es-ES"/>
        </w:rPr>
      </w:pPr>
      <w:r w:rsidRPr="002C0D19">
        <w:rPr>
          <w:rFonts w:ascii="Arial Narrow" w:hAnsi="Arial Narrow" w:cs="Arial"/>
          <w:lang w:val="es-ES" w:eastAsia="es-ES"/>
        </w:rPr>
        <w:t>Retardo en la constitución de Garantías Extraordinarias en el procedimiento de Margin Call y/o por exceso en el LOLE: Vencidos los plazos establecidos en los artículos 1.6.2.7. y 1.6.5.9., respectivamente, la Cámara adoptará en forma simultánea o sucesiva, una o varias de las Medidas Preventivas establecidas en el artículo 2.9.1. del Reglamento de Funcionamiento. La Cámara exigirá al Miembro que en un término no mayor a una hora le remita una comunicación vía correo electrónico por parte del Administrador del Miembro en la que exponga las razones del retardo, el plan de gestión del retardo y el tiempo que tardará en cumplir sus obligaciones. La Cámara podrá no aceptar el plan de gestión de retardo y exigir el cumplimiento inmediato de la obligación pendiente del Miembro. La ejecución del plan de gestión en ningún caso podrá exceder al cierre de la Sesión de Gestión de Garantías.</w:t>
      </w:r>
    </w:p>
    <w:p w14:paraId="0F959FFF" w14:textId="77777777" w:rsidR="007968EC" w:rsidRPr="002C0D19" w:rsidRDefault="007968EC" w:rsidP="007968EC">
      <w:pPr>
        <w:autoSpaceDE w:val="0"/>
        <w:autoSpaceDN w:val="0"/>
        <w:adjustRightInd w:val="0"/>
        <w:jc w:val="both"/>
        <w:rPr>
          <w:rFonts w:ascii="Arial Narrow" w:hAnsi="Arial Narrow" w:cs="Arial"/>
          <w:lang w:val="es-ES" w:eastAsia="es-ES"/>
        </w:rPr>
      </w:pPr>
    </w:p>
    <w:p w14:paraId="7A27A3AB" w14:textId="77777777" w:rsidR="007968EC" w:rsidRPr="002C0D19" w:rsidRDefault="007968EC" w:rsidP="007968EC">
      <w:pPr>
        <w:autoSpaceDE w:val="0"/>
        <w:autoSpaceDN w:val="0"/>
        <w:adjustRightInd w:val="0"/>
        <w:jc w:val="both"/>
        <w:rPr>
          <w:rFonts w:ascii="Arial Narrow" w:hAnsi="Arial Narrow" w:cs="Arial"/>
          <w:lang w:val="es-ES" w:eastAsia="es-ES"/>
        </w:rPr>
      </w:pPr>
      <w:r w:rsidRPr="002C0D19">
        <w:rPr>
          <w:rFonts w:ascii="Arial Narrow" w:hAnsi="Arial Narrow" w:cs="Arial"/>
          <w:lang w:val="es-ES" w:eastAsia="es-ES"/>
        </w:rPr>
        <w:t>No obstante los plazos especiales dispuestos en este artículo para la adopción de Medidas Preventivas, la Cámara, en todos los casos, dará aplicación al procedimiento operativo para gestionar eventos de retardo de un Miembro Liquidador descrito en el Artículo 1.7.1.3. de la presente Circular.</w:t>
      </w:r>
    </w:p>
    <w:p w14:paraId="5DBED380" w14:textId="77777777" w:rsidR="007968EC" w:rsidRPr="002C0D19" w:rsidRDefault="007968EC" w:rsidP="007968EC">
      <w:pPr>
        <w:autoSpaceDE w:val="0"/>
        <w:autoSpaceDN w:val="0"/>
        <w:adjustRightInd w:val="0"/>
        <w:jc w:val="both"/>
        <w:rPr>
          <w:rFonts w:ascii="Arial Narrow" w:hAnsi="Arial Narrow" w:cs="Arial"/>
          <w:lang w:val="es-ES" w:eastAsia="es-ES"/>
        </w:rPr>
      </w:pPr>
    </w:p>
    <w:p w14:paraId="7CC4C36B" w14:textId="77777777" w:rsidR="007968EC" w:rsidRPr="002C0D19" w:rsidRDefault="007968EC" w:rsidP="007968EC">
      <w:pPr>
        <w:autoSpaceDE w:val="0"/>
        <w:autoSpaceDN w:val="0"/>
        <w:adjustRightInd w:val="0"/>
        <w:jc w:val="both"/>
        <w:rPr>
          <w:rFonts w:ascii="Arial Narrow" w:hAnsi="Arial Narrow" w:cs="Arial"/>
          <w:lang w:val="es-ES" w:eastAsia="es-ES"/>
        </w:rPr>
      </w:pPr>
      <w:r w:rsidRPr="002C0D19">
        <w:rPr>
          <w:rFonts w:ascii="Arial Narrow" w:hAnsi="Arial Narrow" w:cs="Arial"/>
          <w:lang w:val="es-ES" w:eastAsia="es-ES"/>
        </w:rPr>
        <w:t>Los plazos establecidos en el presente artículo no impiden que la Cámara en cualquier momento declare el Incumplimiento del Miembro que se encuentre en un evento de retardo, cuando se presente cualquier causal de Incumplimiento de conformidad con lo dispuesto en el Reglamento de la Cámara o en la presente Circular.</w:t>
      </w:r>
    </w:p>
    <w:p w14:paraId="2389CB9F" w14:textId="77777777" w:rsidR="007968EC" w:rsidRPr="002C0D19" w:rsidRDefault="007968EC" w:rsidP="007968EC">
      <w:pPr>
        <w:autoSpaceDE w:val="0"/>
        <w:autoSpaceDN w:val="0"/>
        <w:adjustRightInd w:val="0"/>
        <w:jc w:val="both"/>
        <w:rPr>
          <w:rFonts w:ascii="Arial Narrow" w:hAnsi="Arial Narrow" w:cs="Arial"/>
          <w:lang w:val="es-ES" w:eastAsia="es-ES"/>
        </w:rPr>
      </w:pPr>
    </w:p>
    <w:p w14:paraId="78554E07" w14:textId="77777777" w:rsidR="007968EC" w:rsidRPr="002C0D19" w:rsidRDefault="007968EC" w:rsidP="007968EC">
      <w:pPr>
        <w:autoSpaceDE w:val="0"/>
        <w:autoSpaceDN w:val="0"/>
        <w:adjustRightInd w:val="0"/>
        <w:jc w:val="both"/>
        <w:rPr>
          <w:rFonts w:ascii="Arial Narrow" w:hAnsi="Arial Narrow" w:cs="Arial"/>
          <w:bCs/>
          <w:lang w:val="es-ES" w:eastAsia="es-ES"/>
        </w:rPr>
      </w:pPr>
      <w:r w:rsidRPr="002C0D19">
        <w:rPr>
          <w:rFonts w:ascii="Arial Narrow" w:hAnsi="Arial Narrow" w:cs="Arial"/>
          <w:b/>
          <w:bCs/>
          <w:lang w:val="es-ES" w:eastAsia="es-ES"/>
        </w:rPr>
        <w:t>Parágrafo.</w:t>
      </w:r>
      <w:r w:rsidRPr="002C0D19">
        <w:rPr>
          <w:rFonts w:ascii="Arial Narrow" w:hAnsi="Arial Narrow" w:cs="Arial"/>
          <w:bCs/>
          <w:lang w:val="es-ES" w:eastAsia="es-ES"/>
        </w:rPr>
        <w:t xml:space="preserve"> En todo caso, la Cámara podrá establecer plazos adicionales para cada Segmento.</w:t>
      </w:r>
    </w:p>
    <w:p w14:paraId="7B9F5661" w14:textId="77777777" w:rsidR="007968EC" w:rsidRPr="002C0D19" w:rsidRDefault="007968EC" w:rsidP="007968EC">
      <w:pPr>
        <w:autoSpaceDE w:val="0"/>
        <w:autoSpaceDN w:val="0"/>
        <w:adjustRightInd w:val="0"/>
        <w:jc w:val="both"/>
        <w:rPr>
          <w:rFonts w:ascii="Arial Narrow" w:hAnsi="Arial Narrow" w:cs="Arial"/>
          <w:bCs/>
          <w:color w:val="000000" w:themeColor="text1"/>
          <w:lang w:val="es-ES" w:eastAsia="es-ES"/>
        </w:rPr>
      </w:pPr>
    </w:p>
    <w:p w14:paraId="2AC1C08C" w14:textId="77777777" w:rsidR="007968EC" w:rsidRDefault="007968EC" w:rsidP="007968EC">
      <w:pPr>
        <w:pStyle w:val="ARTICULO0"/>
      </w:pPr>
      <w:bookmarkStart w:id="2946" w:name="_Toc472592213"/>
      <w:bookmarkStart w:id="2947" w:name="_Toc472593232"/>
      <w:bookmarkStart w:id="2948" w:name="_Toc479057018"/>
      <w:bookmarkStart w:id="2949" w:name="_Toc31716031"/>
      <w:bookmarkStart w:id="2950" w:name="_Toc470775544"/>
      <w:bookmarkStart w:id="2951" w:name="_Toc470779829"/>
      <w:bookmarkStart w:id="2952" w:name="_Toc470780446"/>
      <w:bookmarkStart w:id="2953" w:name="_Toc470780959"/>
      <w:bookmarkStart w:id="2954" w:name="_Toc470784520"/>
      <w:bookmarkStart w:id="2955" w:name="_Toc470785057"/>
      <w:bookmarkStart w:id="2956" w:name="_Toc470791443"/>
      <w:bookmarkStart w:id="2957" w:name="_Toc490066346"/>
      <w:r w:rsidRPr="002C0D19">
        <w:t>Artículo 1.7.4.4. Procedimiento para la ejecución de Garantías constituidas en efectivo en caso de adopción de una medida preventiva.</w:t>
      </w:r>
      <w:bookmarkEnd w:id="2946"/>
      <w:bookmarkEnd w:id="2947"/>
      <w:bookmarkEnd w:id="2948"/>
      <w:bookmarkEnd w:id="2949"/>
      <w:r w:rsidRPr="002C0D19">
        <w:t xml:space="preserve"> </w:t>
      </w:r>
    </w:p>
    <w:p w14:paraId="660497B2" w14:textId="77777777" w:rsidR="007968EC" w:rsidRDefault="007968EC" w:rsidP="007968EC">
      <w:pPr>
        <w:keepNext/>
        <w:tabs>
          <w:tab w:val="left" w:pos="1701"/>
        </w:tabs>
        <w:jc w:val="both"/>
        <w:outlineLvl w:val="2"/>
        <w:rPr>
          <w:rFonts w:ascii="Arial Narrow" w:hAnsi="Arial Narrow" w:cs="Arial"/>
          <w:b/>
          <w:color w:val="000000" w:themeColor="text1"/>
          <w:lang w:eastAsia="es-ES"/>
        </w:rPr>
      </w:pPr>
    </w:p>
    <w:p w14:paraId="593C6386" w14:textId="77777777" w:rsidR="007968EC" w:rsidRPr="002C0D19" w:rsidRDefault="007968EC" w:rsidP="007968EC">
      <w:pPr>
        <w:pStyle w:val="ANTECEDENTES"/>
        <w:rPr>
          <w:u w:val="single"/>
        </w:rPr>
      </w:pPr>
      <w:r w:rsidRPr="002C0D19">
        <w:t xml:space="preserve">(Este artículo fue adicionado mediante Circular 20 del 4 de noviembre de 2011, publicada en el Boletín Normativo No. 023 del 4 de noviembre de 2011 y </w:t>
      </w:r>
      <w:r w:rsidRPr="002C0D19">
        <w:rPr>
          <w:rFonts w:eastAsia="Calibri" w:cs="Times New Roman"/>
          <w:bCs/>
        </w:rPr>
        <w:t>mediante Circular 24 del 6 de agosto de 2015, publicada en el Boletín Normativo N</w:t>
      </w:r>
      <w:r>
        <w:rPr>
          <w:rFonts w:eastAsia="Calibri" w:cs="Times New Roman"/>
          <w:bCs/>
        </w:rPr>
        <w:t>o. 026 del 6 de agosto de 2015,</w:t>
      </w:r>
      <w:r w:rsidRPr="002C0D19">
        <w:rPr>
          <w:rFonts w:eastAsia="Calibri" w:cs="Times New Roman"/>
          <w:bCs/>
        </w:rPr>
        <w:t xml:space="preserve"> </w:t>
      </w:r>
      <w:r w:rsidRPr="002C0D19">
        <w:t xml:space="preserve">renumerado mediante </w:t>
      </w:r>
      <w:r w:rsidRPr="002C0D19">
        <w:rPr>
          <w:lang w:val="es-ES"/>
        </w:rPr>
        <w:t>Circular 19 del 28 de diciembre de 2016, publicada en el Boletín Normativo No. 024 del 28 de diciembre de 2016</w:t>
      </w:r>
      <w:r>
        <w:rPr>
          <w:lang w:val="es-ES"/>
        </w:rPr>
        <w:t xml:space="preserve"> y modificado mediante Circular 24 del 11 de diciembre de 2017, publicada en el Boletín Normativo No. 031 del 11 de diciembre de 2017</w:t>
      </w:r>
      <w:r w:rsidRPr="002C0D19">
        <w:rPr>
          <w:lang w:val="es-ES"/>
        </w:rPr>
        <w:t xml:space="preserve">. </w:t>
      </w:r>
      <w:r>
        <w:t>Rige a partir del 12 de diciembre de 2017</w:t>
      </w:r>
      <w:r w:rsidRPr="002C0D19">
        <w:t>.</w:t>
      </w:r>
      <w:r w:rsidRPr="002C0D19">
        <w:rPr>
          <w:lang w:val="es-ES"/>
        </w:rPr>
        <w:t>)</w:t>
      </w:r>
      <w:bookmarkEnd w:id="2950"/>
      <w:bookmarkEnd w:id="2951"/>
      <w:bookmarkEnd w:id="2952"/>
      <w:bookmarkEnd w:id="2953"/>
      <w:bookmarkEnd w:id="2954"/>
      <w:bookmarkEnd w:id="2955"/>
      <w:bookmarkEnd w:id="2956"/>
      <w:bookmarkEnd w:id="2957"/>
    </w:p>
    <w:p w14:paraId="7CC3000A" w14:textId="77777777" w:rsidR="007968EC" w:rsidRPr="002C0D19" w:rsidRDefault="007968EC" w:rsidP="007968EC">
      <w:pPr>
        <w:autoSpaceDE w:val="0"/>
        <w:autoSpaceDN w:val="0"/>
        <w:jc w:val="both"/>
        <w:rPr>
          <w:rFonts w:ascii="Arial Narrow" w:hAnsi="Arial Narrow" w:cs="Arial"/>
          <w:b/>
          <w:bCs/>
          <w:color w:val="000000" w:themeColor="text1"/>
          <w:lang w:eastAsia="es-ES"/>
        </w:rPr>
      </w:pPr>
    </w:p>
    <w:p w14:paraId="5FE58335" w14:textId="77777777" w:rsidR="007968EC" w:rsidRDefault="007968EC" w:rsidP="007968EC">
      <w:pPr>
        <w:autoSpaceDE w:val="0"/>
        <w:autoSpaceDN w:val="0"/>
        <w:adjustRightInd w:val="0"/>
        <w:jc w:val="both"/>
        <w:rPr>
          <w:rFonts w:ascii="Arial Narrow" w:hAnsi="Arial Narrow" w:cs="Arial"/>
          <w:bCs/>
          <w:color w:val="000000" w:themeColor="text1"/>
          <w:lang w:val="es-ES" w:eastAsia="es-ES"/>
        </w:rPr>
      </w:pPr>
      <w:r w:rsidRPr="007C5A53">
        <w:rPr>
          <w:rFonts w:ascii="Arial Narrow" w:hAnsi="Arial Narrow" w:cs="Arial"/>
          <w:bCs/>
          <w:color w:val="000000" w:themeColor="text1"/>
          <w:lang w:val="es-ES" w:eastAsia="es-ES"/>
        </w:rPr>
        <w:t>De conformidad con lo previsto en el tercer inciso del artículo 2.9.1. del Reglamento de Funcionamiento, en aquellos casos en que la Cámara requiera ejecutar las Garantías constituidas en efectivo con el objeto de sanear las causas que dieron origen a una medida preventiva, seguirá el mismo procedimiento establecido en el artículo 1.7.2.8. de la presente Circular.</w:t>
      </w:r>
    </w:p>
    <w:p w14:paraId="02E76099" w14:textId="77777777" w:rsidR="007968EC" w:rsidRPr="002C0D19" w:rsidRDefault="007968EC" w:rsidP="007968EC">
      <w:pPr>
        <w:autoSpaceDE w:val="0"/>
        <w:autoSpaceDN w:val="0"/>
        <w:adjustRightInd w:val="0"/>
        <w:jc w:val="both"/>
        <w:rPr>
          <w:rFonts w:ascii="Arial Narrow" w:hAnsi="Arial Narrow" w:cs="Arial"/>
          <w:bCs/>
          <w:color w:val="000000" w:themeColor="text1"/>
          <w:lang w:eastAsia="es-ES"/>
        </w:rPr>
      </w:pPr>
    </w:p>
    <w:p w14:paraId="017186FB" w14:textId="77777777" w:rsidR="007968EC" w:rsidRDefault="007968EC" w:rsidP="007968EC">
      <w:pPr>
        <w:pStyle w:val="ARTICULO0"/>
      </w:pPr>
      <w:bookmarkStart w:id="2958" w:name="_Toc472592214"/>
      <w:bookmarkStart w:id="2959" w:name="_Toc472593233"/>
      <w:bookmarkStart w:id="2960" w:name="_Toc479057019"/>
      <w:bookmarkStart w:id="2961" w:name="_Toc31716032"/>
      <w:bookmarkStart w:id="2962" w:name="_Toc490066347"/>
      <w:bookmarkStart w:id="2963" w:name="_Toc470775545"/>
      <w:bookmarkStart w:id="2964" w:name="_Toc470779830"/>
      <w:bookmarkStart w:id="2965" w:name="_Toc470780447"/>
      <w:bookmarkStart w:id="2966" w:name="_Toc470780960"/>
      <w:bookmarkStart w:id="2967" w:name="_Toc470784521"/>
      <w:bookmarkStart w:id="2968" w:name="_Toc470785058"/>
      <w:bookmarkStart w:id="2969" w:name="_Toc470791444"/>
      <w:r w:rsidRPr="002C0D19">
        <w:t>Artículo 1.7.4.5. Procedimiento para la ejecución de Garantías constituidas en títulos en caso de adopción de una medida preventiva.</w:t>
      </w:r>
      <w:bookmarkEnd w:id="2958"/>
      <w:bookmarkEnd w:id="2959"/>
      <w:bookmarkEnd w:id="2960"/>
      <w:bookmarkEnd w:id="2961"/>
      <w:r w:rsidRPr="002C0D19">
        <w:t xml:space="preserve"> </w:t>
      </w:r>
    </w:p>
    <w:p w14:paraId="7B5403E7" w14:textId="77777777" w:rsidR="007968EC" w:rsidRPr="001C0F40" w:rsidRDefault="007968EC" w:rsidP="007968EC">
      <w:pPr>
        <w:autoSpaceDE w:val="0"/>
        <w:autoSpaceDN w:val="0"/>
        <w:jc w:val="both"/>
        <w:rPr>
          <w:rFonts w:ascii="Arial Narrow" w:hAnsi="Arial Narrow" w:cs="Arial"/>
          <w:b/>
          <w:bCs/>
          <w:color w:val="000000" w:themeColor="text1"/>
          <w:lang w:eastAsia="es-ES"/>
        </w:rPr>
      </w:pPr>
    </w:p>
    <w:p w14:paraId="6126B902" w14:textId="77777777" w:rsidR="007968EC" w:rsidRPr="002C0D19" w:rsidRDefault="007968EC" w:rsidP="007968EC">
      <w:pPr>
        <w:pStyle w:val="ANTECEDENTES"/>
      </w:pPr>
      <w:r w:rsidRPr="002C0D19">
        <w:t xml:space="preserve">(Este artículo fue adicionado mediante Circular 7 del 26 de abril de 2012, publicada en el Boletín Normativo No. 007 del 26 de abril de 2012 y </w:t>
      </w:r>
      <w:r w:rsidRPr="002C0D19">
        <w:rPr>
          <w:rFonts w:eastAsia="Calibri" w:cs="Times New Roman"/>
          <w:bCs/>
        </w:rPr>
        <w:t xml:space="preserve">mediante Circular 24 del 6 de agosto de 2015, publicada </w:t>
      </w:r>
      <w:r w:rsidRPr="002C0D19">
        <w:rPr>
          <w:rFonts w:eastAsia="Calibri" w:cs="Times New Roman"/>
          <w:bCs/>
        </w:rPr>
        <w:lastRenderedPageBreak/>
        <w:t xml:space="preserve">en el Boletín Normativo No. 026 del 6 de agosto de 2015, </w:t>
      </w:r>
      <w:r w:rsidRPr="002C0D19">
        <w:t>mediante Circular 19 del 28 de diciembre de 2016, publicada en el Boletín Normativo No. 024 del 28 de diciembre de 2016 y mediante Circular 2 del 11 de enero de 2017, publicada en el Boletín Normativo No. 002 del 11 de enero de 2017. Rige a partir del 12 de enero de 2017.)</w:t>
      </w:r>
      <w:bookmarkEnd w:id="2962"/>
    </w:p>
    <w:bookmarkEnd w:id="2963"/>
    <w:bookmarkEnd w:id="2964"/>
    <w:bookmarkEnd w:id="2965"/>
    <w:bookmarkEnd w:id="2966"/>
    <w:bookmarkEnd w:id="2967"/>
    <w:bookmarkEnd w:id="2968"/>
    <w:bookmarkEnd w:id="2969"/>
    <w:p w14:paraId="259477BE" w14:textId="77777777" w:rsidR="007968EC" w:rsidRPr="002C0D19" w:rsidRDefault="007968EC" w:rsidP="007968EC">
      <w:pPr>
        <w:rPr>
          <w:rFonts w:ascii="Arial Narrow" w:hAnsi="Arial Narrow" w:cs="Arial"/>
          <w:b/>
          <w:color w:val="000000" w:themeColor="text1"/>
          <w:lang w:val="es-ES" w:eastAsia="es-ES"/>
        </w:rPr>
      </w:pPr>
    </w:p>
    <w:p w14:paraId="4BC26AB8"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De conformidad con lo previsto en el tercer inciso del artículo 2.9.1. del Reglamento de Funcionamiento, cuando la Cámara requiera ejecutar las Garantías constituidas en títulos con el objeto de sanear las causas que dieron origen a una medida preventiva, seguirá el procedimiento establecido el artículo 1.7.2.9. de la presente Circular.</w:t>
      </w:r>
    </w:p>
    <w:p w14:paraId="7C85059C" w14:textId="77777777" w:rsidR="007968EC" w:rsidRPr="002C0D19" w:rsidRDefault="007968EC" w:rsidP="007968EC">
      <w:pPr>
        <w:jc w:val="both"/>
        <w:rPr>
          <w:rFonts w:ascii="Arial Narrow" w:hAnsi="Arial Narrow" w:cs="Arial"/>
          <w:color w:val="000000" w:themeColor="text1"/>
          <w:lang w:eastAsia="es-ES"/>
        </w:rPr>
      </w:pPr>
    </w:p>
    <w:p w14:paraId="163519AD"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En aquellos casos en que con la ejecución de las Garantías en títulos sin especificar un código de Cuenta, se saneen las causas que dieron origen a la adopción de medidas preventivas y tales medidas sean levantadas por la Cámara, el saldo remanente de la Garantía a su favor</w:t>
      </w:r>
      <w:r w:rsidRPr="002C0D19">
        <w:rPr>
          <w:rFonts w:ascii="Arial Narrow" w:hAnsi="Arial Narrow" w:cs="Arial"/>
          <w:color w:val="000000" w:themeColor="text1"/>
          <w:lang w:val="es-ES" w:eastAsia="es-ES"/>
        </w:rPr>
        <w:t xml:space="preserve"> será entregado al Miembro Liquidador como Garantía Individual en efectivo.</w:t>
      </w:r>
    </w:p>
    <w:p w14:paraId="0E26B9D3" w14:textId="77777777" w:rsidR="007968EC" w:rsidRPr="002C0D19" w:rsidRDefault="007968EC" w:rsidP="007968EC">
      <w:pPr>
        <w:jc w:val="center"/>
        <w:outlineLvl w:val="0"/>
        <w:rPr>
          <w:rFonts w:ascii="Arial Narrow" w:hAnsi="Arial Narrow" w:cs="Arial"/>
          <w:b/>
          <w:color w:val="000000" w:themeColor="text1"/>
          <w:lang w:eastAsia="es-ES"/>
        </w:rPr>
      </w:pPr>
      <w:bookmarkStart w:id="2970" w:name="_Toc470775546"/>
      <w:bookmarkStart w:id="2971" w:name="_Toc470779831"/>
      <w:bookmarkStart w:id="2972" w:name="_Toc470780448"/>
      <w:bookmarkStart w:id="2973" w:name="_Toc470780961"/>
      <w:bookmarkStart w:id="2974" w:name="_Toc470784522"/>
      <w:bookmarkStart w:id="2975" w:name="_Toc470785059"/>
      <w:bookmarkStart w:id="2976" w:name="_Toc470791445"/>
    </w:p>
    <w:p w14:paraId="7EB37B10" w14:textId="77777777" w:rsidR="007968EC" w:rsidRPr="002C0D19" w:rsidRDefault="007968EC" w:rsidP="007968EC">
      <w:pPr>
        <w:pStyle w:val="TTULO"/>
        <w:rPr>
          <w:lang w:val="es-ES"/>
        </w:rPr>
      </w:pPr>
      <w:bookmarkStart w:id="2977" w:name="_Toc472592215"/>
      <w:bookmarkStart w:id="2978" w:name="_Toc472593234"/>
      <w:bookmarkStart w:id="2979" w:name="_Toc479057020"/>
      <w:bookmarkStart w:id="2980" w:name="_Toc490066348"/>
      <w:bookmarkStart w:id="2981" w:name="_Toc31716033"/>
      <w:r w:rsidRPr="002C0D19">
        <w:rPr>
          <w:lang w:val="es-ES"/>
        </w:rPr>
        <w:t>TÍTULO OCTAVO</w:t>
      </w:r>
      <w:bookmarkEnd w:id="2970"/>
      <w:bookmarkEnd w:id="2971"/>
      <w:bookmarkEnd w:id="2972"/>
      <w:bookmarkEnd w:id="2973"/>
      <w:bookmarkEnd w:id="2974"/>
      <w:bookmarkEnd w:id="2975"/>
      <w:bookmarkEnd w:id="2976"/>
      <w:bookmarkEnd w:id="2977"/>
      <w:bookmarkEnd w:id="2978"/>
      <w:bookmarkEnd w:id="2979"/>
      <w:bookmarkEnd w:id="2980"/>
      <w:bookmarkEnd w:id="2981"/>
    </w:p>
    <w:p w14:paraId="4685037B" w14:textId="77777777" w:rsidR="007968EC" w:rsidRPr="002C0D19" w:rsidRDefault="007968EC" w:rsidP="007968EC">
      <w:pPr>
        <w:pStyle w:val="TTULO"/>
        <w:rPr>
          <w:lang w:val="es-ES"/>
        </w:rPr>
      </w:pPr>
    </w:p>
    <w:p w14:paraId="77E36A76" w14:textId="77777777" w:rsidR="007968EC" w:rsidRPr="002C0D19" w:rsidRDefault="007968EC" w:rsidP="007968EC">
      <w:pPr>
        <w:pStyle w:val="TTULO"/>
        <w:rPr>
          <w:lang w:val="es-ES"/>
        </w:rPr>
      </w:pPr>
      <w:bookmarkStart w:id="2982" w:name="_Toc470775547"/>
      <w:bookmarkStart w:id="2983" w:name="_Toc470779832"/>
      <w:bookmarkStart w:id="2984" w:name="_Toc470780449"/>
      <w:bookmarkStart w:id="2985" w:name="_Toc470780962"/>
      <w:bookmarkStart w:id="2986" w:name="_Toc470784523"/>
      <w:bookmarkStart w:id="2987" w:name="_Toc470785060"/>
      <w:bookmarkStart w:id="2988" w:name="_Toc470791446"/>
      <w:bookmarkStart w:id="2989" w:name="_Toc472592216"/>
      <w:bookmarkStart w:id="2990" w:name="_Toc472593235"/>
      <w:bookmarkStart w:id="2991" w:name="_Toc479057021"/>
      <w:bookmarkStart w:id="2992" w:name="_Toc490066349"/>
      <w:bookmarkStart w:id="2993" w:name="_Toc31716034"/>
      <w:r w:rsidRPr="002C0D19">
        <w:rPr>
          <w:lang w:val="es-ES"/>
        </w:rPr>
        <w:t>CAPÍTULO PRIMERO</w:t>
      </w:r>
      <w:bookmarkEnd w:id="2982"/>
      <w:bookmarkEnd w:id="2983"/>
      <w:bookmarkEnd w:id="2984"/>
      <w:bookmarkEnd w:id="2985"/>
      <w:bookmarkEnd w:id="2986"/>
      <w:bookmarkEnd w:id="2987"/>
      <w:bookmarkEnd w:id="2988"/>
      <w:bookmarkEnd w:id="2989"/>
      <w:bookmarkEnd w:id="2990"/>
      <w:bookmarkEnd w:id="2991"/>
      <w:bookmarkEnd w:id="2992"/>
      <w:bookmarkEnd w:id="2993"/>
    </w:p>
    <w:p w14:paraId="6A781678" w14:textId="77777777" w:rsidR="007968EC" w:rsidRPr="002C0D19" w:rsidRDefault="007968EC" w:rsidP="007968EC">
      <w:pPr>
        <w:pStyle w:val="TTULO"/>
        <w:rPr>
          <w:lang w:val="es-ES"/>
        </w:rPr>
      </w:pPr>
    </w:p>
    <w:p w14:paraId="1C02DF20" w14:textId="77777777" w:rsidR="007968EC" w:rsidRPr="002C0D19" w:rsidRDefault="007968EC" w:rsidP="007968EC">
      <w:pPr>
        <w:pStyle w:val="TTULO"/>
        <w:rPr>
          <w:lang w:val="es-ES"/>
        </w:rPr>
      </w:pPr>
      <w:bookmarkStart w:id="2994" w:name="_Toc470775548"/>
      <w:bookmarkStart w:id="2995" w:name="_Toc470779833"/>
      <w:bookmarkStart w:id="2996" w:name="_Toc470780450"/>
      <w:bookmarkStart w:id="2997" w:name="_Toc470780963"/>
      <w:bookmarkStart w:id="2998" w:name="_Toc470784524"/>
      <w:bookmarkStart w:id="2999" w:name="_Toc470785061"/>
      <w:bookmarkStart w:id="3000" w:name="_Toc470791447"/>
      <w:bookmarkStart w:id="3001" w:name="_Toc472592217"/>
      <w:bookmarkStart w:id="3002" w:name="_Toc472593236"/>
      <w:bookmarkStart w:id="3003" w:name="_Toc479057022"/>
      <w:bookmarkStart w:id="3004" w:name="_Toc490066350"/>
      <w:bookmarkStart w:id="3005" w:name="_Toc31716035"/>
      <w:r w:rsidRPr="002C0D19">
        <w:rPr>
          <w:lang w:val="es-ES"/>
        </w:rPr>
        <w:t>HORARIOS DE LAS SESIONES DE CÁMARA</w:t>
      </w:r>
      <w:bookmarkEnd w:id="2994"/>
      <w:bookmarkEnd w:id="2995"/>
      <w:bookmarkEnd w:id="2996"/>
      <w:bookmarkEnd w:id="2997"/>
      <w:bookmarkEnd w:id="2998"/>
      <w:bookmarkEnd w:id="2999"/>
      <w:bookmarkEnd w:id="3000"/>
      <w:bookmarkEnd w:id="3001"/>
      <w:bookmarkEnd w:id="3002"/>
      <w:bookmarkEnd w:id="3003"/>
      <w:bookmarkEnd w:id="3004"/>
      <w:bookmarkEnd w:id="3005"/>
    </w:p>
    <w:p w14:paraId="353686D2" w14:textId="77777777" w:rsidR="007968EC" w:rsidRPr="002C0D19" w:rsidRDefault="007968EC" w:rsidP="007968EC">
      <w:pPr>
        <w:keepNext/>
        <w:jc w:val="both"/>
        <w:outlineLvl w:val="2"/>
        <w:rPr>
          <w:rFonts w:ascii="Arial Narrow" w:hAnsi="Arial Narrow" w:cs="Arial"/>
          <w:color w:val="000000" w:themeColor="text1"/>
          <w:u w:val="single"/>
          <w:lang w:eastAsia="es-ES"/>
        </w:rPr>
      </w:pPr>
    </w:p>
    <w:p w14:paraId="07DF08F9" w14:textId="77777777" w:rsidR="007968EC" w:rsidRDefault="007968EC" w:rsidP="007968EC">
      <w:pPr>
        <w:pStyle w:val="ARTICULO0"/>
      </w:pPr>
      <w:bookmarkStart w:id="3006" w:name="_Toc472592218"/>
      <w:bookmarkStart w:id="3007" w:name="_Toc472593237"/>
      <w:bookmarkStart w:id="3008" w:name="_Toc479057023"/>
      <w:bookmarkStart w:id="3009" w:name="_Toc31716036"/>
      <w:bookmarkStart w:id="3010" w:name="_Toc490066351"/>
      <w:bookmarkStart w:id="3011" w:name="_Toc470775549"/>
      <w:bookmarkStart w:id="3012" w:name="_Toc470779834"/>
      <w:bookmarkStart w:id="3013" w:name="_Toc470780451"/>
      <w:bookmarkStart w:id="3014" w:name="_Toc470780964"/>
      <w:bookmarkStart w:id="3015" w:name="_Toc470784525"/>
      <w:bookmarkStart w:id="3016" w:name="_Toc470785062"/>
      <w:bookmarkStart w:id="3017" w:name="_Toc470791448"/>
      <w:r w:rsidRPr="002C0D19">
        <w:t>Artículo 1.8.1.1</w:t>
      </w:r>
      <w:r>
        <w:t>.</w:t>
      </w:r>
      <w:r w:rsidRPr="002C0D19">
        <w:t xml:space="preserve"> Horarios de Sesiones de Operación de Cámara.</w:t>
      </w:r>
      <w:bookmarkEnd w:id="3006"/>
      <w:bookmarkEnd w:id="3007"/>
      <w:bookmarkEnd w:id="3008"/>
      <w:bookmarkEnd w:id="3009"/>
      <w:r w:rsidRPr="002C0D19">
        <w:t xml:space="preserve"> </w:t>
      </w:r>
    </w:p>
    <w:p w14:paraId="1267F467" w14:textId="77777777" w:rsidR="007968EC" w:rsidRDefault="007968EC" w:rsidP="007968EC">
      <w:pPr>
        <w:keepNext/>
        <w:tabs>
          <w:tab w:val="left" w:pos="1701"/>
        </w:tabs>
        <w:jc w:val="both"/>
        <w:outlineLvl w:val="2"/>
        <w:rPr>
          <w:rFonts w:ascii="Arial Narrow" w:hAnsi="Arial Narrow" w:cs="Arial"/>
          <w:b/>
          <w:color w:val="000000" w:themeColor="text1"/>
          <w:lang w:eastAsia="es-ES"/>
        </w:rPr>
      </w:pPr>
    </w:p>
    <w:p w14:paraId="3917D2E2" w14:textId="77777777" w:rsidR="007968EC" w:rsidRPr="002C0D19" w:rsidRDefault="007968EC" w:rsidP="007968EC">
      <w:pPr>
        <w:pStyle w:val="ANTECEDENTES"/>
      </w:pPr>
      <w:r w:rsidRPr="002C0D19">
        <w:t>(Este artículo fue modificado mediante Circular 5 del 28 de noviembre de 2008, publicada en el Boletín Normativo No. 007 del 28 de noviembre de 2008, mediante la Circular 2 del 12 de febrero de 2009, publicada en el Boletín Normativo No. 002 del 12 de febrero de 2009, mediante Circular 15 del 16 de Octubre de 2009, publicada en el Boletín Normativo No. 019 del 16 de octubre de 2009, mediante la Circular 5 del 8 de marzo de 2010, publicada en el Boletín Normativo No. 005 del 8 de marzo de 2010, mediante Circular 6 del 29 de marzo de 2010, publicada en el Boletín Normativo No. 008 del 29 de marzo de 2010, mediante Circular 15 del 10 de septiembre de 2010, publicada en el Boletín Normativo No. 017 del 10 de septiembre de 2010,</w:t>
      </w:r>
      <w:r w:rsidRPr="002C0D19">
        <w:rPr>
          <w:bCs/>
        </w:rPr>
        <w:t xml:space="preserve"> mediante Circular 16 del 1 de octubre de 2010, publicada en el Boletín Normativo No. 018 del 1 de octubre de 2010, mediante Circular 17 del 4 de octubre de 2010, publicada en el Boletín Normativo No. 019 del 4 de octubre de 2010, mediante Circular 18 del 25 de octubre de 2010, publicada en el Boletín Normativo No. 020 del 25 de octubre de 2010, </w:t>
      </w:r>
      <w:r w:rsidRPr="002C0D19">
        <w:t>mediante Circular 2 del 27 de enero de 2011, publicada en el Boletín Normativo No. 002 del 27 de enero de 2011,</w:t>
      </w:r>
      <w:r w:rsidRPr="002C0D19">
        <w:rPr>
          <w:bCs/>
        </w:rPr>
        <w:t xml:space="preserve"> </w:t>
      </w:r>
      <w:r w:rsidRPr="002C0D19">
        <w:t xml:space="preserve">mediante Circular 4 del 28 de febrero de 2011, publicada en el Boletín Normativo No. 004 del 28 de febrero de 2011, mediante Circular 18 del 29 de septiembre de 2011, publicada en el Boletín Normativo No. 021 del 29 de septiembre de 2011, mediante Circular 20 del 4 de noviembre de 2011, publicada en el Boletín Normativo No. 023 del 4 de noviembre de 2011, mediante Circular 2 del 8 de febrero de 2012, publicada en el Boletín Normativo No.002 del 8 de febrero de 2012, mediante Circular 9 del 7 de junio de 2012, publicada en el Boletín Normativo No.009 del 7 de junio de 2012, mediante Circular 10 del 14 de junio de 2012, publicada en el Boletín Normativo No. 010 del 14 de junio de 2012, mediante Circular 12 del 27 de junio de 2012, publicada en el Boletín Normativo No. 012 del 27 de junio de 2012, mediante </w:t>
      </w:r>
      <w:r w:rsidRPr="002C0D19">
        <w:lastRenderedPageBreak/>
        <w:t xml:space="preserve">Circular 15 del 14 de agosto de 2012, publicada en el Boletín Normativo No. 015 del 14 de agosto de 2012, mediante Circular 20 del 31 de octubre de 2012, publicada en el Boletín Normativo No. 020 del 31 de octubre de 2012, </w:t>
      </w:r>
      <w:r w:rsidRPr="002C0D19">
        <w:rPr>
          <w:lang w:val="es-ES_tradnl"/>
        </w:rPr>
        <w:t xml:space="preserve">mediante Circular 5 del 12 de marzo de 2013, publicado en el Boletín Normativo No.006 del 12 de marzo de 2013, </w:t>
      </w:r>
      <w:r w:rsidRPr="002C0D19">
        <w:t xml:space="preserve">mediante Circular 6 del 15 de marzo de 2013, publicada en el Boletín Normativo No. 007 del 15 de marzo de 2013, mediante Circular 10 del 3 de mayo de 2013, publicada en el Boletín Normativo No. 011 del 3 de mayo de 2013, mediante Circular 16 del 13 de junio de 2013, publicada en el Boletín Normativo No. 017 del 13 de marzo de 2013, </w:t>
      </w:r>
      <w:r w:rsidRPr="002C0D19">
        <w:rPr>
          <w:lang w:val="es-ES_tradnl"/>
        </w:rPr>
        <w:t xml:space="preserve">mediante Circular 25 del 3 de septiembre de 2013, publicada en el Boletín Normativo No. 029 del 3 de septiembre de 2013, </w:t>
      </w:r>
      <w:r w:rsidRPr="002C0D19">
        <w:rPr>
          <w:lang w:val="es-ES"/>
        </w:rPr>
        <w:t xml:space="preserve">mediante Circular 3 del 6 de febrero de 2014, publicada en el Boletín Normativo No. 003 del 6 de febrero de 2014. Rige a partir del 10 de febrero de 2014, </w:t>
      </w:r>
      <w:r w:rsidRPr="002C0D19">
        <w:rPr>
          <w:lang w:val="es-ES_tradnl"/>
        </w:rPr>
        <w:t xml:space="preserve">mediante Circular 12 del 4 de julio de 2014, publicada en el Boletín Normativo No. 014 del 4 de julio de 2014 y </w:t>
      </w:r>
      <w:r w:rsidRPr="002C0D19">
        <w:t xml:space="preserve">mediante Circular 22 del 14 de noviembre de 2014, publicada en el Boletín Normativo No. 025 del 14 de noviembre de 2014 y mediante Circular 23 del 21 de noviembre de 2014, publicada en el Boletín Normativo No. 026 del 21 de noviembre de 2014, mediante Circular 4 del 2 de febrero de 2015, publicada en el Boletín Normativo No. 003 del 2 de febrero de 2015 </w:t>
      </w:r>
      <w:r w:rsidRPr="002C0D19">
        <w:rPr>
          <w:lang w:val="es-ES_tradnl"/>
        </w:rPr>
        <w:t xml:space="preserve">y mediante Circular 018 del 9 de junio de 2015, publicado en el Boletín Normativo No.020 del 9 de junio de 2015, mediante Circular 022 del 16 de julio de 2015, publicado en el Boletín Normativo No.024 del 16 de julio de 2015, </w:t>
      </w:r>
      <w:r w:rsidRPr="002C0D19">
        <w:rPr>
          <w:rFonts w:eastAsia="Calibri" w:cs="Times New Roman"/>
          <w:bCs/>
        </w:rPr>
        <w:t xml:space="preserve">mediante Circular 24 del 6 de agosto de 2015, publicada en el Boletín Normativo No. 026 del 6 de agosto de 2015 </w:t>
      </w:r>
      <w:r w:rsidRPr="002C0D19">
        <w:t xml:space="preserve">y </w:t>
      </w:r>
      <w:r w:rsidRPr="002C0D19">
        <w:rPr>
          <w:rFonts w:eastAsia="Calibri" w:cs="Times New Roman"/>
          <w:bCs/>
        </w:rPr>
        <w:t xml:space="preserve">mediante Circular 30 del 6 de octubre de 2015, publicada en el Boletín Normativo No. 032 del 6 de octubre de 2015 y mediante Circular 001 del 15 de enero de 2016, publicada en el Boletín Normativo No. 001 del 15 de enero de 2016, </w:t>
      </w:r>
      <w:r w:rsidRPr="002C0D19">
        <w:rPr>
          <w:bCs/>
        </w:rPr>
        <w:t>mediante la Circular 16 del 9 de diciembre de 2016, publicada en el Boletín Normativo No. 020 del 9 de diciembre de 2016</w:t>
      </w:r>
      <w:r w:rsidRPr="002C0D19">
        <w:t>, mediante Circular 19 del 28 de diciembre de 2016, publicada en el Boletín Normativo No. 0</w:t>
      </w:r>
      <w:r>
        <w:t>24 del 28 de diciembre de 2016,</w:t>
      </w:r>
      <w:r w:rsidRPr="002C0D19">
        <w:t xml:space="preserve"> mediante Circular 2 del 11 de enero de 2017, publicada en el Boletín Normativo No. 002 del 11 de enero de 2017</w:t>
      </w:r>
      <w:r>
        <w:t>, mediante Circular 5 del 12 de abril de 2018, publicada en el Boletín Normativo No. 008 del 12 de abril de 2018</w:t>
      </w:r>
      <w:bookmarkEnd w:id="3010"/>
      <w:r w:rsidRPr="00230A20">
        <w:t xml:space="preserve"> </w:t>
      </w:r>
      <w:r>
        <w:t>y mediante Circular 15 del 30 de septiembre de 2019, publicada en el Boletín Normativo No. 028 del 30 de septiembre de 2019. Rige a partir del 1º de octubre de 2019</w:t>
      </w:r>
      <w:r w:rsidRPr="002C0D19">
        <w:t>.)</w:t>
      </w:r>
    </w:p>
    <w:bookmarkEnd w:id="3011"/>
    <w:bookmarkEnd w:id="3012"/>
    <w:bookmarkEnd w:id="3013"/>
    <w:bookmarkEnd w:id="3014"/>
    <w:bookmarkEnd w:id="3015"/>
    <w:bookmarkEnd w:id="3016"/>
    <w:bookmarkEnd w:id="3017"/>
    <w:p w14:paraId="6201FC2B" w14:textId="77777777" w:rsidR="007968EC" w:rsidRPr="002C0D19" w:rsidRDefault="007968EC" w:rsidP="007968EC">
      <w:pPr>
        <w:jc w:val="both"/>
        <w:rPr>
          <w:rFonts w:ascii="Arial Narrow" w:hAnsi="Arial Narrow" w:cs="Arial"/>
          <w:color w:val="000000" w:themeColor="text1"/>
          <w:lang w:val="es-ES" w:eastAsia="es-ES"/>
        </w:rPr>
      </w:pPr>
    </w:p>
    <w:p w14:paraId="0133F62F" w14:textId="77777777" w:rsidR="007968EC" w:rsidRPr="003B437B" w:rsidRDefault="007968EC" w:rsidP="007968EC">
      <w:pPr>
        <w:autoSpaceDE w:val="0"/>
        <w:autoSpaceDN w:val="0"/>
        <w:adjustRightInd w:val="0"/>
        <w:contextualSpacing/>
        <w:jc w:val="both"/>
        <w:rPr>
          <w:rFonts w:ascii="Arial Narrow" w:eastAsia="Calibri" w:hAnsi="Arial Narrow"/>
          <w:color w:val="000000" w:themeColor="text1"/>
        </w:rPr>
      </w:pPr>
      <w:r w:rsidRPr="003B437B">
        <w:rPr>
          <w:rFonts w:ascii="Arial Narrow" w:eastAsia="Calibri" w:hAnsi="Arial Narrow"/>
          <w:color w:val="000000" w:themeColor="text1"/>
        </w:rPr>
        <w:t>De conformidad con el artículo 1.3.6. del Reglamento de Funcionamiento de la Cámara y sin perjuicio del horario de funcionamiento que se establezca en la presente Circular para cada Segmento de acuerdo con sus particularidades, el horario de funcionamiento de la Cámara tendrá las siguientes sesiones:</w:t>
      </w:r>
    </w:p>
    <w:p w14:paraId="41782684" w14:textId="77777777" w:rsidR="007968EC" w:rsidRPr="003B437B" w:rsidRDefault="007968EC" w:rsidP="007968EC">
      <w:pPr>
        <w:autoSpaceDE w:val="0"/>
        <w:autoSpaceDN w:val="0"/>
        <w:adjustRightInd w:val="0"/>
        <w:contextualSpacing/>
        <w:jc w:val="both"/>
        <w:rPr>
          <w:rFonts w:ascii="Arial Narrow" w:eastAsia="Calibri" w:hAnsi="Arial Narrow"/>
          <w:b/>
          <w:color w:val="000000" w:themeColor="text1"/>
          <w:lang w:val="es-ES"/>
        </w:rPr>
      </w:pPr>
    </w:p>
    <w:p w14:paraId="396A6DB2" w14:textId="77777777" w:rsidR="007968EC" w:rsidRPr="003B437B" w:rsidRDefault="007968EC" w:rsidP="00DA7472">
      <w:pPr>
        <w:numPr>
          <w:ilvl w:val="0"/>
          <w:numId w:val="108"/>
        </w:numPr>
        <w:tabs>
          <w:tab w:val="num" w:pos="426"/>
          <w:tab w:val="num" w:pos="5040"/>
        </w:tabs>
        <w:ind w:left="426" w:hanging="426"/>
        <w:jc w:val="both"/>
        <w:rPr>
          <w:rFonts w:ascii="Arial Narrow" w:eastAsia="Calibri" w:hAnsi="Arial Narrow"/>
          <w:b/>
          <w:color w:val="000000" w:themeColor="text1"/>
        </w:rPr>
      </w:pPr>
      <w:r w:rsidRPr="003B437B">
        <w:rPr>
          <w:rFonts w:ascii="Arial Narrow" w:eastAsia="Calibri" w:hAnsi="Arial Narrow"/>
          <w:color w:val="000000" w:themeColor="text1"/>
          <w:u w:val="single"/>
        </w:rPr>
        <w:t>Sesión de Liquidación Diaria:</w:t>
      </w:r>
      <w:r w:rsidRPr="003B437B">
        <w:rPr>
          <w:rFonts w:ascii="Arial Narrow" w:eastAsia="Calibri" w:hAnsi="Arial Narrow"/>
          <w:color w:val="000000" w:themeColor="text1"/>
        </w:rPr>
        <w:t xml:space="preserve"> de 7:00 a.m. a 8:</w:t>
      </w:r>
      <w:r>
        <w:rPr>
          <w:rFonts w:ascii="Arial Narrow" w:eastAsia="Calibri" w:hAnsi="Arial Narrow"/>
          <w:color w:val="000000" w:themeColor="text1"/>
        </w:rPr>
        <w:t>3</w:t>
      </w:r>
      <w:r w:rsidRPr="003B437B">
        <w:rPr>
          <w:rFonts w:ascii="Arial Narrow" w:eastAsia="Calibri" w:hAnsi="Arial Narrow"/>
          <w:color w:val="000000" w:themeColor="text1"/>
        </w:rPr>
        <w:t xml:space="preserve">0 a.m. Proceso de cobro y pago de Liquidación Diaria por parte de la Cámara. En caso de presentarse el evento de retardo previsto en el numeral 1º del artículo </w:t>
      </w:r>
      <w:r>
        <w:rPr>
          <w:rFonts w:ascii="Arial Narrow" w:eastAsia="Calibri" w:hAnsi="Arial Narrow"/>
          <w:color w:val="000000" w:themeColor="text1"/>
        </w:rPr>
        <w:t>1.</w:t>
      </w:r>
      <w:r w:rsidRPr="003B437B">
        <w:rPr>
          <w:rFonts w:ascii="Arial Narrow" w:eastAsia="Calibri" w:hAnsi="Arial Narrow"/>
          <w:color w:val="000000" w:themeColor="text1"/>
        </w:rPr>
        <w:t>7.1.1 de la Circular Única, referente al no pago de la Liquidación Diaria y cualquier concepto que ésta incorpore, el horario de la Sesión de Liquidación Diaria se extenderá hasta las 2:00 p.m.</w:t>
      </w:r>
    </w:p>
    <w:p w14:paraId="42FF1F81" w14:textId="77777777" w:rsidR="007968EC" w:rsidRPr="003B437B" w:rsidRDefault="007968EC" w:rsidP="007968EC">
      <w:pPr>
        <w:tabs>
          <w:tab w:val="num" w:pos="5040"/>
        </w:tabs>
        <w:ind w:left="426"/>
        <w:jc w:val="both"/>
        <w:rPr>
          <w:rFonts w:ascii="Arial Narrow" w:eastAsia="Calibri" w:hAnsi="Arial Narrow"/>
          <w:b/>
          <w:color w:val="000000" w:themeColor="text1"/>
          <w:u w:val="single"/>
        </w:rPr>
      </w:pPr>
    </w:p>
    <w:p w14:paraId="50686989" w14:textId="77777777" w:rsidR="007968EC" w:rsidRPr="003B437B" w:rsidRDefault="007968EC" w:rsidP="00DA7472">
      <w:pPr>
        <w:numPr>
          <w:ilvl w:val="0"/>
          <w:numId w:val="108"/>
        </w:numPr>
        <w:tabs>
          <w:tab w:val="num" w:pos="5040"/>
        </w:tabs>
        <w:ind w:left="426" w:hanging="426"/>
        <w:jc w:val="both"/>
        <w:rPr>
          <w:rFonts w:ascii="Arial Narrow" w:eastAsia="Calibri" w:hAnsi="Arial Narrow"/>
          <w:bCs/>
          <w:color w:val="000000" w:themeColor="text1"/>
        </w:rPr>
      </w:pPr>
      <w:r w:rsidRPr="003B437B">
        <w:rPr>
          <w:rFonts w:ascii="Arial Narrow" w:eastAsia="Calibri" w:hAnsi="Arial Narrow"/>
          <w:bCs/>
          <w:color w:val="000000" w:themeColor="text1"/>
          <w:u w:val="single"/>
        </w:rPr>
        <w:t>Sesión de Aceptación de Operaciones</w:t>
      </w:r>
      <w:r w:rsidRPr="003B437B">
        <w:rPr>
          <w:rFonts w:ascii="Arial Narrow" w:eastAsia="Calibri" w:hAnsi="Arial Narrow"/>
          <w:bCs/>
          <w:color w:val="000000" w:themeColor="text1"/>
        </w:rPr>
        <w:t>: Los horarios para la Aceptación de Operaciones serán los definidos en la presente Circular para cada Segmento según los Activos o Activos objeto de Compensación y Liquidación por la Cámara</w:t>
      </w:r>
    </w:p>
    <w:p w14:paraId="50A58629" w14:textId="77777777" w:rsidR="007968EC" w:rsidRPr="003B437B" w:rsidRDefault="007968EC" w:rsidP="007968EC">
      <w:pPr>
        <w:autoSpaceDE w:val="0"/>
        <w:autoSpaceDN w:val="0"/>
        <w:adjustRightInd w:val="0"/>
        <w:contextualSpacing/>
        <w:jc w:val="both"/>
        <w:rPr>
          <w:rFonts w:ascii="Arial Narrow" w:hAnsi="Arial Narrow" w:cs="Arial"/>
          <w:color w:val="000000" w:themeColor="text1"/>
          <w:highlight w:val="green"/>
          <w:lang w:eastAsia="es-ES"/>
        </w:rPr>
      </w:pPr>
    </w:p>
    <w:p w14:paraId="7918A11E" w14:textId="77777777" w:rsidR="007968EC" w:rsidRPr="003B437B" w:rsidRDefault="007968EC" w:rsidP="00DA7472">
      <w:pPr>
        <w:numPr>
          <w:ilvl w:val="0"/>
          <w:numId w:val="108"/>
        </w:numPr>
        <w:tabs>
          <w:tab w:val="num" w:pos="5040"/>
        </w:tabs>
        <w:ind w:left="426" w:hanging="426"/>
        <w:jc w:val="both"/>
        <w:rPr>
          <w:rFonts w:ascii="Arial Narrow" w:eastAsia="Calibri" w:hAnsi="Arial Narrow"/>
          <w:bCs/>
          <w:color w:val="000000" w:themeColor="text1"/>
        </w:rPr>
      </w:pPr>
      <w:r w:rsidRPr="003B437B">
        <w:rPr>
          <w:rFonts w:ascii="Arial Narrow" w:eastAsia="Calibri" w:hAnsi="Arial Narrow"/>
          <w:bCs/>
          <w:color w:val="000000" w:themeColor="text1"/>
          <w:u w:val="single"/>
        </w:rPr>
        <w:lastRenderedPageBreak/>
        <w:t>Sesión de Gestión de Operaciones</w:t>
      </w:r>
      <w:r w:rsidRPr="003B437B">
        <w:rPr>
          <w:rFonts w:ascii="Arial Narrow" w:eastAsia="Calibri" w:hAnsi="Arial Narrow"/>
          <w:bCs/>
          <w:color w:val="000000" w:themeColor="text1"/>
        </w:rPr>
        <w:t>: Los horarios para la Gestión de Operaciones serán los definidos en la presente Circular para cada Segmento según los Activos o Activos objeto de Compensación y Liquidación por la Cámara</w:t>
      </w:r>
    </w:p>
    <w:p w14:paraId="40E9EE04" w14:textId="77777777" w:rsidR="007968EC" w:rsidRPr="003B437B" w:rsidRDefault="007968EC" w:rsidP="007968EC">
      <w:pPr>
        <w:rPr>
          <w:rFonts w:ascii="Arial Narrow" w:eastAsia="Calibri" w:hAnsi="Arial Narrow"/>
          <w:b/>
          <w:bCs/>
          <w:color w:val="000000" w:themeColor="text1"/>
        </w:rPr>
      </w:pPr>
    </w:p>
    <w:p w14:paraId="695CDB81" w14:textId="77777777" w:rsidR="007968EC" w:rsidRPr="003B437B" w:rsidRDefault="007968EC" w:rsidP="00DA7472">
      <w:pPr>
        <w:numPr>
          <w:ilvl w:val="0"/>
          <w:numId w:val="108"/>
        </w:numPr>
        <w:tabs>
          <w:tab w:val="num" w:pos="5040"/>
        </w:tabs>
        <w:ind w:left="426" w:hanging="426"/>
        <w:jc w:val="both"/>
        <w:rPr>
          <w:rFonts w:ascii="Arial Narrow" w:eastAsia="Calibri" w:hAnsi="Arial Narrow"/>
          <w:bCs/>
          <w:color w:val="000000" w:themeColor="text1"/>
          <w:lang w:val="es-ES"/>
        </w:rPr>
      </w:pPr>
      <w:r w:rsidRPr="003B437B">
        <w:rPr>
          <w:rFonts w:ascii="Arial Narrow" w:eastAsia="Calibri" w:hAnsi="Arial Narrow"/>
          <w:bCs/>
          <w:color w:val="000000" w:themeColor="text1"/>
          <w:u w:val="single"/>
        </w:rPr>
        <w:t>Sesión de Gestión de Garantías:</w:t>
      </w:r>
      <w:r w:rsidRPr="003B437B">
        <w:rPr>
          <w:rFonts w:ascii="Arial Narrow" w:eastAsia="Calibri" w:hAnsi="Arial Narrow"/>
          <w:bCs/>
          <w:color w:val="000000" w:themeColor="text1"/>
        </w:rPr>
        <w:t xml:space="preserve"> Sesión de Gestión de Garantías: De 7:00 a.m. a 7:00 p.m. Dentro de este horario se podrán constituir garantías de 7:00 a.m. a 7:00 p.m. </w:t>
      </w:r>
    </w:p>
    <w:p w14:paraId="2A5DCBB7" w14:textId="77777777" w:rsidR="007968EC" w:rsidRPr="003B437B" w:rsidRDefault="007968EC" w:rsidP="007968EC">
      <w:pPr>
        <w:ind w:left="426"/>
        <w:jc w:val="both"/>
        <w:rPr>
          <w:rFonts w:ascii="Arial Narrow" w:eastAsia="Calibri" w:hAnsi="Arial Narrow"/>
          <w:bCs/>
          <w:color w:val="000000" w:themeColor="text1"/>
          <w:lang w:val="es-ES"/>
        </w:rPr>
      </w:pPr>
    </w:p>
    <w:p w14:paraId="6B5CFBE0" w14:textId="77777777" w:rsidR="007968EC" w:rsidRPr="003B437B" w:rsidRDefault="007968EC" w:rsidP="007968EC">
      <w:pPr>
        <w:tabs>
          <w:tab w:val="num" w:pos="5040"/>
        </w:tabs>
        <w:ind w:left="426"/>
        <w:jc w:val="both"/>
        <w:rPr>
          <w:rFonts w:ascii="Arial Narrow" w:eastAsia="Calibri" w:hAnsi="Arial Narrow"/>
          <w:bCs/>
          <w:color w:val="000000" w:themeColor="text1"/>
        </w:rPr>
      </w:pPr>
      <w:r w:rsidRPr="003B437B">
        <w:rPr>
          <w:rFonts w:ascii="Arial Narrow" w:eastAsia="Calibri" w:hAnsi="Arial Narrow"/>
          <w:bCs/>
          <w:color w:val="000000" w:themeColor="text1"/>
        </w:rPr>
        <w:t>Así mismo, se podrá solicitar la liberación de garantías desde las 8:</w:t>
      </w:r>
      <w:r>
        <w:rPr>
          <w:rFonts w:ascii="Arial Narrow" w:eastAsia="Calibri" w:hAnsi="Arial Narrow"/>
          <w:bCs/>
          <w:color w:val="000000" w:themeColor="text1"/>
        </w:rPr>
        <w:t>3</w:t>
      </w:r>
      <w:r w:rsidRPr="003B437B">
        <w:rPr>
          <w:rFonts w:ascii="Arial Narrow" w:eastAsia="Calibri" w:hAnsi="Arial Narrow"/>
          <w:bCs/>
          <w:color w:val="000000" w:themeColor="text1"/>
        </w:rPr>
        <w:t>0 a.m. hasta las 6:00 p.m.; en el caso en que las Garantías en efectivo del Miembro se encuentren invertidas, se gestionarán las solicitudes de liberación de Garantías el día hábil siguiente, a más tardar a las 7:00 p.m., salvo que la solicitud se realice antes de las 11:00 a.m. en cuyo caso se tramitarán durante la misma sesión, en todo caso si llegada esta hora aún se encuentran Operaciones Repo pendientes de cumplimiento, las solicitudes de liberación se podrán gestionar hasta dos (2) días hábiles siguientes a su solicitud. El Miembro a través de su Usuario Administrador o la firma autorizada podrá solicitar la extensión de horarios de la Sesión de Gestión de Garantías como mínimo diez (10) minutos antes de finalizar el horario para la constitución de garantías y/o el horario para la liberación de garantías cuando se trate de garantías en valores o antes de finalizar la hora de extensión solicitada. Las solicitudes de liberación de garantías que se realicen después de las 6:00 p.m. o después de finalizada la extensión de horarios solicitada por el Miembro cuando se trate de valores, se atenderán el día hábil siguiente. En todo caso, la ampliación de los horarios para la constitución de Garantías en efectivo y valores y la liberación de garantías en valores sólo se extenderá hasta las 10:00 p.m.</w:t>
      </w:r>
    </w:p>
    <w:p w14:paraId="6937BCC1" w14:textId="77777777" w:rsidR="007968EC" w:rsidRPr="003B437B" w:rsidRDefault="007968EC" w:rsidP="007968EC">
      <w:pPr>
        <w:rPr>
          <w:rFonts w:ascii="Arial Narrow" w:eastAsia="Calibri" w:hAnsi="Arial Narrow"/>
          <w:bCs/>
          <w:color w:val="000000" w:themeColor="text1"/>
          <w:lang w:val="es-ES"/>
        </w:rPr>
      </w:pPr>
    </w:p>
    <w:p w14:paraId="1A512609" w14:textId="77777777" w:rsidR="007968EC" w:rsidRPr="003B437B" w:rsidRDefault="007968EC" w:rsidP="007968EC">
      <w:pPr>
        <w:tabs>
          <w:tab w:val="num" w:pos="5040"/>
        </w:tabs>
        <w:ind w:left="426"/>
        <w:jc w:val="both"/>
        <w:rPr>
          <w:rFonts w:ascii="Arial Narrow" w:eastAsia="Calibri" w:hAnsi="Arial Narrow"/>
          <w:bCs/>
          <w:color w:val="000000" w:themeColor="text1"/>
        </w:rPr>
      </w:pPr>
      <w:r w:rsidRPr="003B437B">
        <w:rPr>
          <w:rFonts w:ascii="Arial Narrow" w:eastAsia="Calibri" w:hAnsi="Arial Narrow"/>
          <w:bCs/>
          <w:color w:val="000000" w:themeColor="text1"/>
        </w:rPr>
        <w:t>Las solicitudes de liberación de garantías y de constitución de garantías deberán ser ingresadas en el módulo Gestión Garantías a través del Portal CRCC. Para lo cual, se deberá tener en cuenta lo siguiente:</w:t>
      </w:r>
    </w:p>
    <w:p w14:paraId="362CECA7" w14:textId="77777777" w:rsidR="007968EC" w:rsidRPr="003B437B" w:rsidRDefault="007968EC" w:rsidP="007968EC">
      <w:pPr>
        <w:tabs>
          <w:tab w:val="num" w:pos="5040"/>
        </w:tabs>
        <w:ind w:left="426"/>
        <w:jc w:val="both"/>
        <w:rPr>
          <w:rFonts w:ascii="Arial Narrow" w:eastAsia="Calibri" w:hAnsi="Arial Narrow"/>
          <w:bCs/>
          <w:color w:val="000000" w:themeColor="text1"/>
        </w:rPr>
      </w:pPr>
    </w:p>
    <w:p w14:paraId="747FA426" w14:textId="77777777" w:rsidR="007968EC" w:rsidRPr="003B437B" w:rsidRDefault="007968EC" w:rsidP="00DA7472">
      <w:pPr>
        <w:numPr>
          <w:ilvl w:val="6"/>
          <w:numId w:val="247"/>
        </w:numPr>
        <w:ind w:left="851" w:hanging="425"/>
        <w:jc w:val="both"/>
        <w:rPr>
          <w:rFonts w:ascii="Arial Narrow" w:eastAsia="Calibri" w:hAnsi="Arial Narrow"/>
          <w:bCs/>
          <w:color w:val="000000" w:themeColor="text1"/>
        </w:rPr>
      </w:pPr>
      <w:r w:rsidRPr="003B437B">
        <w:rPr>
          <w:rFonts w:ascii="Arial Narrow" w:eastAsia="Calibri" w:hAnsi="Arial Narrow"/>
          <w:bCs/>
          <w:color w:val="000000" w:themeColor="text1"/>
        </w:rPr>
        <w:t xml:space="preserve">Solicitud de liberación de garantías: Debe ser ingresada a través del submódulo “Solicitud Liberación Garantías”. </w:t>
      </w:r>
    </w:p>
    <w:p w14:paraId="5FC92BB5" w14:textId="77777777" w:rsidR="007968EC" w:rsidRPr="003B437B" w:rsidRDefault="007968EC" w:rsidP="007968EC">
      <w:pPr>
        <w:tabs>
          <w:tab w:val="num" w:pos="5040"/>
        </w:tabs>
        <w:ind w:left="851"/>
        <w:jc w:val="both"/>
        <w:rPr>
          <w:rFonts w:ascii="Arial Narrow" w:eastAsia="Calibri" w:hAnsi="Arial Narrow"/>
          <w:bCs/>
          <w:color w:val="000000" w:themeColor="text1"/>
        </w:rPr>
      </w:pPr>
    </w:p>
    <w:p w14:paraId="439E99CB" w14:textId="77777777" w:rsidR="007968EC" w:rsidRPr="003B437B" w:rsidRDefault="007968EC" w:rsidP="00DA7472">
      <w:pPr>
        <w:numPr>
          <w:ilvl w:val="6"/>
          <w:numId w:val="247"/>
        </w:numPr>
        <w:tabs>
          <w:tab w:val="num" w:pos="5040"/>
        </w:tabs>
        <w:ind w:left="851"/>
        <w:jc w:val="both"/>
        <w:rPr>
          <w:rFonts w:ascii="Arial Narrow" w:eastAsia="Calibri" w:hAnsi="Arial Narrow"/>
          <w:bCs/>
          <w:color w:val="000000" w:themeColor="text1"/>
        </w:rPr>
      </w:pPr>
      <w:r w:rsidRPr="003B437B">
        <w:rPr>
          <w:rFonts w:ascii="Arial Narrow" w:eastAsia="Calibri" w:hAnsi="Arial Narrow"/>
          <w:bCs/>
          <w:color w:val="000000" w:themeColor="text1"/>
        </w:rPr>
        <w:t>Constitución de Garantías: Debe ser ingresada a través del submódulo “Notificación Constitución Garantías”.</w:t>
      </w:r>
    </w:p>
    <w:p w14:paraId="367ECED3" w14:textId="77777777" w:rsidR="007968EC" w:rsidRPr="003B437B" w:rsidRDefault="007968EC" w:rsidP="007968EC">
      <w:pPr>
        <w:tabs>
          <w:tab w:val="num" w:pos="5040"/>
        </w:tabs>
        <w:ind w:left="426"/>
        <w:jc w:val="both"/>
        <w:rPr>
          <w:rFonts w:ascii="Arial Narrow" w:eastAsia="Calibri" w:hAnsi="Arial Narrow"/>
          <w:bCs/>
          <w:color w:val="000000" w:themeColor="text1"/>
        </w:rPr>
      </w:pPr>
    </w:p>
    <w:p w14:paraId="39D13278" w14:textId="77777777" w:rsidR="007968EC" w:rsidRPr="003B437B" w:rsidRDefault="007968EC" w:rsidP="007968EC">
      <w:pPr>
        <w:tabs>
          <w:tab w:val="num" w:pos="5040"/>
        </w:tabs>
        <w:ind w:left="426"/>
        <w:jc w:val="both"/>
        <w:rPr>
          <w:rFonts w:ascii="Arial Narrow" w:eastAsia="Calibri" w:hAnsi="Arial Narrow"/>
          <w:bCs/>
          <w:color w:val="000000" w:themeColor="text1"/>
        </w:rPr>
      </w:pPr>
      <w:r w:rsidRPr="003B437B">
        <w:rPr>
          <w:rFonts w:ascii="Arial Narrow" w:eastAsia="Calibri" w:hAnsi="Arial Narrow"/>
          <w:bCs/>
          <w:color w:val="000000" w:themeColor="text1"/>
        </w:rPr>
        <w:t xml:space="preserve">Para que estas solicitudes sean atendidas, las mismas deberán ser enviadas por las firmas autorizadas designadas por el Usuario Administrador para Gestión de Garantías a través del Portal Web CRCC en el módulo “Gestión Garantías”. En caso de ser una solicitud de liberación de Garantías, ésta se debe ingresar en el submódulo “Solicitud Liberación Garantías”. </w:t>
      </w:r>
    </w:p>
    <w:p w14:paraId="2989F9D1" w14:textId="77777777" w:rsidR="007968EC" w:rsidRPr="003B437B" w:rsidRDefault="007968EC" w:rsidP="007968EC">
      <w:pPr>
        <w:tabs>
          <w:tab w:val="num" w:pos="5040"/>
        </w:tabs>
        <w:ind w:left="426"/>
        <w:jc w:val="both"/>
        <w:rPr>
          <w:rFonts w:ascii="Arial Narrow" w:eastAsia="Calibri" w:hAnsi="Arial Narrow"/>
          <w:bCs/>
          <w:color w:val="000000" w:themeColor="text1"/>
        </w:rPr>
      </w:pPr>
    </w:p>
    <w:p w14:paraId="2D4180B2" w14:textId="77777777" w:rsidR="007968EC" w:rsidRPr="003B437B" w:rsidRDefault="007968EC" w:rsidP="007968EC">
      <w:pPr>
        <w:tabs>
          <w:tab w:val="num" w:pos="5040"/>
        </w:tabs>
        <w:ind w:left="426"/>
        <w:jc w:val="both"/>
        <w:rPr>
          <w:rFonts w:ascii="Arial Narrow" w:eastAsia="Calibri" w:hAnsi="Arial Narrow"/>
          <w:bCs/>
          <w:color w:val="000000" w:themeColor="text1"/>
        </w:rPr>
      </w:pPr>
      <w:r w:rsidRPr="003B437B">
        <w:rPr>
          <w:rFonts w:ascii="Arial Narrow" w:eastAsia="Calibri" w:hAnsi="Arial Narrow"/>
          <w:bCs/>
          <w:color w:val="000000" w:themeColor="text1"/>
        </w:rPr>
        <w:t xml:space="preserve">Para la constitución de Garantías, la solicitud deberá ser ingresada en el submódulo “Notificación Constitución Garantías”. </w:t>
      </w:r>
    </w:p>
    <w:p w14:paraId="44F3083A" w14:textId="77777777" w:rsidR="007968EC" w:rsidRPr="003B437B" w:rsidRDefault="007968EC" w:rsidP="007968EC">
      <w:pPr>
        <w:tabs>
          <w:tab w:val="num" w:pos="5040"/>
        </w:tabs>
        <w:ind w:left="426"/>
        <w:jc w:val="both"/>
        <w:rPr>
          <w:rFonts w:ascii="Arial Narrow" w:eastAsia="Calibri" w:hAnsi="Arial Narrow"/>
          <w:bCs/>
          <w:color w:val="000000" w:themeColor="text1"/>
        </w:rPr>
      </w:pPr>
    </w:p>
    <w:p w14:paraId="3A8F7190" w14:textId="77777777" w:rsidR="007968EC" w:rsidRPr="003B437B" w:rsidRDefault="007968EC" w:rsidP="007968EC">
      <w:pPr>
        <w:tabs>
          <w:tab w:val="num" w:pos="5040"/>
        </w:tabs>
        <w:ind w:left="426"/>
        <w:jc w:val="both"/>
        <w:rPr>
          <w:rFonts w:ascii="Arial Narrow" w:eastAsia="Calibri" w:hAnsi="Arial Narrow"/>
          <w:bCs/>
          <w:color w:val="000000" w:themeColor="text1"/>
        </w:rPr>
      </w:pPr>
      <w:r w:rsidRPr="003B437B">
        <w:rPr>
          <w:rFonts w:ascii="Arial Narrow" w:eastAsia="Calibri" w:hAnsi="Arial Narrow"/>
          <w:bCs/>
          <w:color w:val="000000" w:themeColor="text1"/>
        </w:rPr>
        <w:t>Para que estas solicitudes sean atendidas, las mismas, deberán ser enviadas por las firmas autorizadas por el Usuario Administrador para Gestión de Garantías.</w:t>
      </w:r>
    </w:p>
    <w:p w14:paraId="2C0468A5" w14:textId="77777777" w:rsidR="007968EC" w:rsidRPr="003B437B" w:rsidRDefault="007968EC" w:rsidP="007968EC">
      <w:pPr>
        <w:tabs>
          <w:tab w:val="num" w:pos="5040"/>
        </w:tabs>
        <w:ind w:left="426"/>
        <w:jc w:val="both"/>
        <w:rPr>
          <w:rFonts w:ascii="Arial Narrow" w:eastAsia="Calibri" w:hAnsi="Arial Narrow"/>
          <w:b/>
          <w:bCs/>
          <w:color w:val="000000" w:themeColor="text1"/>
          <w:u w:val="single"/>
        </w:rPr>
      </w:pPr>
    </w:p>
    <w:p w14:paraId="402F58C9" w14:textId="77777777" w:rsidR="007968EC" w:rsidRPr="00D87296" w:rsidRDefault="007968EC" w:rsidP="00DA7472">
      <w:pPr>
        <w:numPr>
          <w:ilvl w:val="0"/>
          <w:numId w:val="108"/>
        </w:numPr>
        <w:tabs>
          <w:tab w:val="num" w:pos="5040"/>
        </w:tabs>
        <w:ind w:left="426" w:hanging="426"/>
        <w:jc w:val="both"/>
        <w:rPr>
          <w:rFonts w:ascii="Arial Narrow" w:eastAsia="Calibri" w:hAnsi="Arial Narrow"/>
          <w:b/>
          <w:bCs/>
          <w:color w:val="000000" w:themeColor="text1"/>
        </w:rPr>
      </w:pPr>
      <w:r w:rsidRPr="003B437B">
        <w:rPr>
          <w:rFonts w:ascii="Arial Narrow" w:eastAsia="Calibri" w:hAnsi="Arial Narrow"/>
          <w:bCs/>
          <w:color w:val="000000" w:themeColor="text1"/>
          <w:u w:val="single"/>
        </w:rPr>
        <w:lastRenderedPageBreak/>
        <w:t>Sesión de Cierre:</w:t>
      </w:r>
      <w:r w:rsidRPr="003B437B">
        <w:rPr>
          <w:rFonts w:ascii="Arial Narrow" w:eastAsia="Calibri" w:hAnsi="Arial Narrow"/>
          <w:bCs/>
          <w:color w:val="000000" w:themeColor="text1"/>
        </w:rPr>
        <w:t xml:space="preserve"> Desde las 7:00 p.m. hasta las 10:00 p.m. como máximo. La Cámara realiza el proceso de Compensación para establecer las obligaciones tanto de Liquidación Diaria y/o Liquidación al Vencimiento, como para el cálculo del Ajuste de Garantías pendientes por constituir y demás conceptos aplicables para su Liquidación al día siguiente. Posterior al cálculo mencionado, genera los reportes, informa a los Miembros y realiza los procesos de cierre del Sistema para la sesión. </w:t>
      </w:r>
    </w:p>
    <w:p w14:paraId="736DDE80" w14:textId="77777777" w:rsidR="007968EC" w:rsidRPr="002C0D19" w:rsidRDefault="007968EC" w:rsidP="007968EC">
      <w:pPr>
        <w:jc w:val="both"/>
        <w:rPr>
          <w:rFonts w:ascii="Arial Narrow" w:hAnsi="Arial Narrow" w:cs="Arial"/>
          <w:color w:val="000000" w:themeColor="text1"/>
          <w:lang w:eastAsia="es-ES"/>
        </w:rPr>
      </w:pPr>
    </w:p>
    <w:p w14:paraId="58FDB947" w14:textId="77777777" w:rsidR="007968EC" w:rsidRDefault="007968EC" w:rsidP="007968EC">
      <w:pPr>
        <w:keepNext/>
        <w:tabs>
          <w:tab w:val="left" w:pos="1701"/>
        </w:tabs>
        <w:jc w:val="both"/>
        <w:outlineLvl w:val="2"/>
        <w:rPr>
          <w:rFonts w:ascii="Arial Narrow" w:hAnsi="Arial Narrow" w:cs="Arial"/>
          <w:b/>
          <w:color w:val="000000" w:themeColor="text1"/>
          <w:lang w:eastAsia="es-ES"/>
        </w:rPr>
      </w:pPr>
      <w:bookmarkStart w:id="3018" w:name="_Toc31716037"/>
      <w:bookmarkStart w:id="3019" w:name="_Toc472592219"/>
      <w:bookmarkStart w:id="3020" w:name="_Toc472593238"/>
      <w:bookmarkStart w:id="3021" w:name="_Toc479057024"/>
      <w:bookmarkStart w:id="3022" w:name="_Toc490066352"/>
      <w:bookmarkStart w:id="3023" w:name="_Toc470775550"/>
      <w:bookmarkStart w:id="3024" w:name="_Toc470779835"/>
      <w:bookmarkStart w:id="3025" w:name="_Toc470780452"/>
      <w:bookmarkStart w:id="3026" w:name="_Toc470780965"/>
      <w:bookmarkStart w:id="3027" w:name="_Toc470784526"/>
      <w:bookmarkStart w:id="3028" w:name="_Toc470785063"/>
      <w:bookmarkStart w:id="3029" w:name="_Toc470791449"/>
      <w:r w:rsidRPr="000E6636">
        <w:rPr>
          <w:rStyle w:val="ARTICULOCar"/>
          <w:rFonts w:eastAsiaTheme="minorHAnsi"/>
        </w:rPr>
        <w:t>Artículo 1.8.1.2. Suspensión de Sesiones de Cámara</w:t>
      </w:r>
      <w:bookmarkEnd w:id="3018"/>
      <w:r w:rsidRPr="002C0D19">
        <w:rPr>
          <w:rFonts w:ascii="Arial Narrow" w:hAnsi="Arial Narrow" w:cs="Arial"/>
          <w:b/>
          <w:color w:val="000000" w:themeColor="text1"/>
          <w:u w:val="single"/>
          <w:lang w:eastAsia="es-ES"/>
        </w:rPr>
        <w:t>.</w:t>
      </w:r>
      <w:bookmarkEnd w:id="3019"/>
      <w:bookmarkEnd w:id="3020"/>
      <w:bookmarkEnd w:id="3021"/>
      <w:r w:rsidRPr="002C0D19">
        <w:rPr>
          <w:rFonts w:ascii="Arial Narrow" w:hAnsi="Arial Narrow" w:cs="Arial"/>
          <w:b/>
          <w:color w:val="000000" w:themeColor="text1"/>
          <w:lang w:eastAsia="es-ES"/>
        </w:rPr>
        <w:t xml:space="preserve"> </w:t>
      </w:r>
    </w:p>
    <w:p w14:paraId="18B9BE79" w14:textId="77777777" w:rsidR="007968EC" w:rsidRPr="001C0F40" w:rsidRDefault="007968EC" w:rsidP="007968EC">
      <w:pPr>
        <w:autoSpaceDE w:val="0"/>
        <w:autoSpaceDN w:val="0"/>
        <w:jc w:val="both"/>
        <w:rPr>
          <w:rFonts w:ascii="Arial Narrow" w:hAnsi="Arial Narrow" w:cs="Arial"/>
          <w:b/>
          <w:bCs/>
          <w:color w:val="000000" w:themeColor="text1"/>
          <w:lang w:eastAsia="es-ES"/>
        </w:rPr>
      </w:pPr>
    </w:p>
    <w:p w14:paraId="28CCEE17" w14:textId="77777777" w:rsidR="007968EC" w:rsidRPr="002C0D19" w:rsidRDefault="007968EC" w:rsidP="007968EC">
      <w:pPr>
        <w:pStyle w:val="ANTECEDENTES"/>
      </w:pPr>
      <w:r w:rsidRPr="002C0D19">
        <w:t>(Este artículo fue modificado mediante Circular 19 del 28 de diciembre de 2016, publicada en el Boletín Normativo No. 024 del 28 de diciembre de 2016 y mediante Circular 2 del 11 de enero de 2017, publicada en el Boletín Normativo No. 002 del 11 de enero de 2017. Rige a partir del 12 de enero de 2017.)</w:t>
      </w:r>
      <w:bookmarkEnd w:id="3022"/>
    </w:p>
    <w:bookmarkEnd w:id="3023"/>
    <w:bookmarkEnd w:id="3024"/>
    <w:bookmarkEnd w:id="3025"/>
    <w:bookmarkEnd w:id="3026"/>
    <w:bookmarkEnd w:id="3027"/>
    <w:bookmarkEnd w:id="3028"/>
    <w:bookmarkEnd w:id="3029"/>
    <w:p w14:paraId="58D6C2CB" w14:textId="77777777" w:rsidR="007968EC" w:rsidRPr="002C0D19" w:rsidRDefault="007968EC" w:rsidP="007968EC">
      <w:pPr>
        <w:jc w:val="both"/>
        <w:rPr>
          <w:rFonts w:ascii="Arial Narrow" w:hAnsi="Arial Narrow" w:cs="Arial"/>
          <w:bCs/>
          <w:color w:val="000000" w:themeColor="text1"/>
          <w:lang w:val="es-ES" w:eastAsia="es-ES"/>
        </w:rPr>
      </w:pPr>
    </w:p>
    <w:p w14:paraId="41FBC8CD" w14:textId="77777777" w:rsidR="007968EC" w:rsidRPr="002C0D19" w:rsidRDefault="007968EC" w:rsidP="007968EC">
      <w:pPr>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La Cámara efectuará la Suspensión de una o varias Sesiones de uno, alguno o todos los Segmentos conforme a lo establecido en el artículo 1.3.7. del Reglamento de Funcionamiento.</w:t>
      </w:r>
    </w:p>
    <w:p w14:paraId="73533F41" w14:textId="77777777" w:rsidR="007968EC" w:rsidRPr="002C0D19" w:rsidRDefault="007968EC" w:rsidP="007968EC">
      <w:pPr>
        <w:rPr>
          <w:rFonts w:ascii="Arial Narrow" w:hAnsi="Arial Narrow" w:cs="Arial"/>
          <w:b/>
          <w:color w:val="000000" w:themeColor="text1"/>
          <w:lang w:eastAsia="es-ES"/>
        </w:rPr>
      </w:pPr>
    </w:p>
    <w:p w14:paraId="5BAE9833" w14:textId="77777777" w:rsidR="007968EC" w:rsidRDefault="007968EC" w:rsidP="007968EC">
      <w:pPr>
        <w:pStyle w:val="ARTICULO0"/>
      </w:pPr>
      <w:bookmarkStart w:id="3030" w:name="_Toc472592220"/>
      <w:bookmarkStart w:id="3031" w:name="_Toc472593239"/>
      <w:bookmarkStart w:id="3032" w:name="_Toc479057025"/>
      <w:bookmarkStart w:id="3033" w:name="_Toc31716038"/>
      <w:bookmarkStart w:id="3034" w:name="_Toc470775551"/>
      <w:bookmarkStart w:id="3035" w:name="_Toc470779836"/>
      <w:bookmarkStart w:id="3036" w:name="_Toc470780453"/>
      <w:bookmarkStart w:id="3037" w:name="_Toc470780966"/>
      <w:bookmarkStart w:id="3038" w:name="_Toc470784527"/>
      <w:bookmarkStart w:id="3039" w:name="_Toc470785064"/>
      <w:bookmarkStart w:id="3040" w:name="_Toc470791450"/>
      <w:bookmarkStart w:id="3041" w:name="_Toc490066353"/>
      <w:r w:rsidRPr="002C0D19">
        <w:t>Artículo 1.8.1.3. Horario de Inversión de las Garantías constituidas en efectivo.</w:t>
      </w:r>
      <w:bookmarkEnd w:id="3030"/>
      <w:bookmarkEnd w:id="3031"/>
      <w:bookmarkEnd w:id="3032"/>
      <w:bookmarkEnd w:id="3033"/>
      <w:r w:rsidRPr="002C0D19">
        <w:t xml:space="preserve"> </w:t>
      </w:r>
    </w:p>
    <w:p w14:paraId="5411B278" w14:textId="77777777" w:rsidR="007968EC" w:rsidRDefault="007968EC" w:rsidP="007968EC">
      <w:pPr>
        <w:keepNext/>
        <w:tabs>
          <w:tab w:val="left" w:pos="1701"/>
        </w:tabs>
        <w:jc w:val="both"/>
        <w:outlineLvl w:val="2"/>
        <w:rPr>
          <w:rFonts w:ascii="Arial Narrow" w:hAnsi="Arial Narrow" w:cs="Arial"/>
          <w:b/>
          <w:color w:val="000000" w:themeColor="text1"/>
          <w:lang w:eastAsia="es-ES"/>
        </w:rPr>
      </w:pPr>
    </w:p>
    <w:p w14:paraId="45F88C8C" w14:textId="77777777" w:rsidR="007968EC" w:rsidRPr="002C0D19" w:rsidRDefault="007968EC" w:rsidP="007968EC">
      <w:pPr>
        <w:pStyle w:val="ANTECEDENTES"/>
        <w:rPr>
          <w:u w:val="single"/>
        </w:rPr>
      </w:pPr>
      <w:r w:rsidRPr="002C0D19">
        <w:t>(Este artículo fue adicionado mediante Circular 12 del 4 de julio de 2014, publicada en el Boletín Normativo No. 014 del 4 de julio de 2014 y modificado mediante Circular 16 del 14 de julio de 2014, publicada en el Boletín Normativo No. 018 del 14 de agosto de 2014. Rige a partir del 15 de agosto de 2014 y modificado mediante Circular 19 del 28 de diciembre de 2016, publicada en el Boletín Normativo No. 024 del 28 de diciembre de 2016. Rige a partir del 29 de diciembre de 2016.)</w:t>
      </w:r>
      <w:bookmarkEnd w:id="3034"/>
      <w:bookmarkEnd w:id="3035"/>
      <w:bookmarkEnd w:id="3036"/>
      <w:bookmarkEnd w:id="3037"/>
      <w:bookmarkEnd w:id="3038"/>
      <w:bookmarkEnd w:id="3039"/>
      <w:bookmarkEnd w:id="3040"/>
      <w:bookmarkEnd w:id="3041"/>
    </w:p>
    <w:p w14:paraId="6B34A05D" w14:textId="77777777" w:rsidR="007968EC" w:rsidRPr="002C0D19" w:rsidRDefault="007968EC" w:rsidP="007968EC">
      <w:pPr>
        <w:rPr>
          <w:rFonts w:ascii="Arial Narrow" w:hAnsi="Arial Narrow" w:cs="Arial"/>
          <w:b/>
          <w:color w:val="000000" w:themeColor="text1"/>
          <w:lang w:eastAsia="es-ES"/>
        </w:rPr>
      </w:pPr>
    </w:p>
    <w:p w14:paraId="5CF8F0E4" w14:textId="77777777" w:rsidR="007968EC" w:rsidRPr="002C0D19" w:rsidRDefault="007968EC" w:rsidP="007968EC">
      <w:pPr>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De conformidad con el artículo 1.6.4.14. de la presente Circular para la inversión de las Garantías constituidas en efectivo por los Miembros, se tendrán en cuenta los siguientes horarios, salvo que para un Segmento se establezca un horario particular:</w:t>
      </w:r>
    </w:p>
    <w:p w14:paraId="553E4440" w14:textId="77777777" w:rsidR="007968EC" w:rsidRPr="002C0D19" w:rsidRDefault="007968EC" w:rsidP="007968EC">
      <w:pPr>
        <w:rPr>
          <w:rFonts w:ascii="Arial Narrow" w:hAnsi="Arial Narrow" w:cs="Arial"/>
          <w:color w:val="000000" w:themeColor="text1"/>
          <w:lang w:eastAsia="es-ES"/>
        </w:rPr>
      </w:pPr>
    </w:p>
    <w:p w14:paraId="50CD3AE4" w14:textId="77777777" w:rsidR="007968EC" w:rsidRPr="002C0D19" w:rsidRDefault="007968EC" w:rsidP="00DA7472">
      <w:pPr>
        <w:numPr>
          <w:ilvl w:val="0"/>
          <w:numId w:val="96"/>
        </w:numPr>
        <w:tabs>
          <w:tab w:val="left" w:pos="2160"/>
        </w:tabs>
        <w:autoSpaceDE w:val="0"/>
        <w:autoSpaceDN w:val="0"/>
        <w:adjustRightInd w:val="0"/>
        <w:ind w:left="567" w:hanging="567"/>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A las 11:00 a.m. la Cámara establecerá, a través de la Subgerencia de Riesgos y Operaciones, el saldo de las Garantías en efectivo que se incluirán dentro de valor de la inversión de ese día definiendo así el saldo disponible para invertir. Esto significa que las constituciones efectuadas después de esta hora no serán tenidas en cuenta en el respectivo saldo disponible para invertir del día.</w:t>
      </w:r>
    </w:p>
    <w:p w14:paraId="6C592F64" w14:textId="77777777" w:rsidR="007968EC" w:rsidRPr="002C0D19" w:rsidRDefault="007968EC" w:rsidP="007968EC">
      <w:pPr>
        <w:tabs>
          <w:tab w:val="left" w:pos="2160"/>
        </w:tabs>
        <w:autoSpaceDE w:val="0"/>
        <w:autoSpaceDN w:val="0"/>
        <w:adjustRightInd w:val="0"/>
        <w:ind w:left="567" w:hanging="567"/>
        <w:jc w:val="both"/>
        <w:rPr>
          <w:rFonts w:ascii="Arial Narrow" w:hAnsi="Arial Narrow" w:cs="Arial"/>
          <w:color w:val="000000" w:themeColor="text1"/>
          <w:lang w:eastAsia="es-CO"/>
        </w:rPr>
      </w:pPr>
    </w:p>
    <w:p w14:paraId="347C051E" w14:textId="77777777" w:rsidR="007968EC" w:rsidRPr="002C0D19" w:rsidRDefault="007968EC" w:rsidP="00DA7472">
      <w:pPr>
        <w:numPr>
          <w:ilvl w:val="0"/>
          <w:numId w:val="96"/>
        </w:numPr>
        <w:tabs>
          <w:tab w:val="left" w:pos="2160"/>
        </w:tabs>
        <w:autoSpaceDE w:val="0"/>
        <w:autoSpaceDN w:val="0"/>
        <w:adjustRightInd w:val="0"/>
        <w:ind w:left="567" w:hanging="567"/>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Hasta las 11:45 a.m., la Cámara, a través de la Dirección Administrativa y Financiera, enviará el saldo disponible en efectivo para invertir a las Contrapartes de Inversión.</w:t>
      </w:r>
    </w:p>
    <w:p w14:paraId="14DD180F" w14:textId="77777777" w:rsidR="007968EC" w:rsidRPr="002C0D19" w:rsidRDefault="007968EC" w:rsidP="007968EC">
      <w:pPr>
        <w:ind w:left="567" w:hanging="567"/>
        <w:rPr>
          <w:rFonts w:ascii="Arial Narrow" w:hAnsi="Arial Narrow" w:cs="Arial"/>
          <w:color w:val="000000" w:themeColor="text1"/>
          <w:lang w:eastAsia="es-CO"/>
        </w:rPr>
      </w:pPr>
    </w:p>
    <w:p w14:paraId="00F0A7DB" w14:textId="77777777" w:rsidR="007968EC" w:rsidRPr="002C0D19" w:rsidRDefault="007968EC" w:rsidP="00DA7472">
      <w:pPr>
        <w:numPr>
          <w:ilvl w:val="0"/>
          <w:numId w:val="96"/>
        </w:numPr>
        <w:tabs>
          <w:tab w:val="left" w:pos="2160"/>
        </w:tabs>
        <w:autoSpaceDE w:val="0"/>
        <w:autoSpaceDN w:val="0"/>
        <w:adjustRightInd w:val="0"/>
        <w:ind w:left="567" w:hanging="567"/>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Hasta las 12:15 p.m., las Contrapartes de Inversión tendrán plazo para enviar las ofertas a la Dirección Financiera y Administrativa.</w:t>
      </w:r>
    </w:p>
    <w:p w14:paraId="2B643D13" w14:textId="77777777" w:rsidR="007968EC" w:rsidRPr="002C0D19" w:rsidRDefault="007968EC" w:rsidP="007968EC">
      <w:pPr>
        <w:ind w:left="567" w:hanging="567"/>
        <w:rPr>
          <w:rFonts w:ascii="Arial Narrow" w:hAnsi="Arial Narrow" w:cs="Arial"/>
          <w:color w:val="000000" w:themeColor="text1"/>
          <w:lang w:eastAsia="es-CO"/>
        </w:rPr>
      </w:pPr>
    </w:p>
    <w:p w14:paraId="3F87C471" w14:textId="77777777" w:rsidR="007968EC" w:rsidRPr="002C0D19" w:rsidRDefault="007968EC" w:rsidP="00DA7472">
      <w:pPr>
        <w:numPr>
          <w:ilvl w:val="0"/>
          <w:numId w:val="96"/>
        </w:numPr>
        <w:tabs>
          <w:tab w:val="left" w:pos="2160"/>
        </w:tabs>
        <w:autoSpaceDE w:val="0"/>
        <w:autoSpaceDN w:val="0"/>
        <w:adjustRightInd w:val="0"/>
        <w:ind w:left="567" w:hanging="567"/>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Hasta las 12:30 p.m., la Cámara, a través de la Dirección Administrativa y Financiera, tendrá plazo para enviar los correos electrónicos de confirmación a las Contrapartes de Inversión sobre los resultados de la adjudicación diaria.</w:t>
      </w:r>
    </w:p>
    <w:p w14:paraId="5687ED6B" w14:textId="77777777" w:rsidR="007968EC" w:rsidRPr="002C0D19" w:rsidRDefault="007968EC" w:rsidP="007968EC">
      <w:pPr>
        <w:ind w:left="567" w:hanging="567"/>
        <w:rPr>
          <w:rFonts w:ascii="Arial Narrow" w:hAnsi="Arial Narrow" w:cs="Arial"/>
          <w:color w:val="000000" w:themeColor="text1"/>
          <w:lang w:eastAsia="es-CO"/>
        </w:rPr>
      </w:pPr>
    </w:p>
    <w:p w14:paraId="37ABF33E" w14:textId="77777777" w:rsidR="007968EC" w:rsidRPr="002C0D19" w:rsidRDefault="007968EC" w:rsidP="00DA7472">
      <w:pPr>
        <w:numPr>
          <w:ilvl w:val="0"/>
          <w:numId w:val="96"/>
        </w:numPr>
        <w:tabs>
          <w:tab w:val="left" w:pos="2160"/>
        </w:tabs>
        <w:autoSpaceDE w:val="0"/>
        <w:autoSpaceDN w:val="0"/>
        <w:adjustRightInd w:val="0"/>
        <w:ind w:left="567" w:hanging="567"/>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lastRenderedPageBreak/>
        <w:t>Hasta las 1:00 p.m., la Cámara, a través de la Dirección Administrativa y Financiera, tendrá plazo para informar a las Contrapartes de Inversión a las cuales adjudique las operaciones, los datos complementarios de las mismas.</w:t>
      </w:r>
    </w:p>
    <w:p w14:paraId="5A9F7567" w14:textId="77777777" w:rsidR="007968EC" w:rsidRPr="002C0D19" w:rsidRDefault="007968EC" w:rsidP="007968EC">
      <w:pPr>
        <w:rPr>
          <w:rFonts w:ascii="Arial Narrow" w:hAnsi="Arial Narrow" w:cs="Arial"/>
          <w:b/>
          <w:color w:val="000000" w:themeColor="text1"/>
          <w:lang w:eastAsia="es-ES"/>
        </w:rPr>
      </w:pPr>
    </w:p>
    <w:p w14:paraId="3267CF21" w14:textId="77777777" w:rsidR="007968EC" w:rsidRPr="002C0D19" w:rsidRDefault="007968EC" w:rsidP="007968EC">
      <w:pPr>
        <w:autoSpaceDE w:val="0"/>
        <w:autoSpaceDN w:val="0"/>
        <w:adjustRightInd w:val="0"/>
        <w:jc w:val="both"/>
        <w:rPr>
          <w:rFonts w:ascii="Arial Narrow" w:hAnsi="Arial Narrow" w:cs="Arial Narrow,BoldItalic"/>
          <w:bCs/>
          <w:iCs/>
          <w:color w:val="000000" w:themeColor="text1"/>
          <w:lang w:eastAsia="es-CO"/>
        </w:rPr>
      </w:pPr>
      <w:r w:rsidRPr="002C0D19">
        <w:rPr>
          <w:rFonts w:ascii="Arial Narrow" w:hAnsi="Arial Narrow" w:cs="Arial Narrow"/>
          <w:b/>
          <w:color w:val="000000" w:themeColor="text1"/>
          <w:lang w:eastAsia="es-CO"/>
        </w:rPr>
        <w:t>Parágrafo.</w:t>
      </w:r>
      <w:r w:rsidRPr="002C0D19">
        <w:rPr>
          <w:rFonts w:ascii="Arial Narrow" w:hAnsi="Arial Narrow" w:cs="Arial Narrow"/>
          <w:color w:val="000000" w:themeColor="text1"/>
          <w:lang w:eastAsia="es-CO"/>
        </w:rPr>
        <w:t xml:space="preserve"> Los horarios de cumplimiento y demás procesos relacionados con el </w:t>
      </w:r>
      <w:r w:rsidRPr="002C0D19">
        <w:rPr>
          <w:rFonts w:ascii="Arial Narrow" w:hAnsi="Arial Narrow" w:cs="Arial"/>
          <w:color w:val="000000" w:themeColor="text1"/>
          <w:lang w:val="es-ES" w:eastAsia="es-ES"/>
        </w:rPr>
        <w:t>Sistema de Registro de Operaciones sobre Valores</w:t>
      </w:r>
      <w:r w:rsidRPr="002C0D19" w:rsidDel="00595C45">
        <w:rPr>
          <w:rFonts w:ascii="Arial Narrow" w:hAnsi="Arial Narrow" w:cs="Arial Narrow"/>
          <w:color w:val="000000" w:themeColor="text1"/>
          <w:lang w:eastAsia="es-CO"/>
        </w:rPr>
        <w:t xml:space="preserve"> </w:t>
      </w:r>
      <w:r w:rsidRPr="002C0D19">
        <w:rPr>
          <w:rFonts w:ascii="Arial Narrow" w:hAnsi="Arial Narrow" w:cs="Arial Narrow"/>
          <w:color w:val="000000" w:themeColor="text1"/>
          <w:lang w:eastAsia="es-CO"/>
        </w:rPr>
        <w:t>se llevarán a cabo</w:t>
      </w:r>
      <w:r w:rsidRPr="002C0D19">
        <w:rPr>
          <w:rFonts w:ascii="Arial Narrow" w:hAnsi="Arial Narrow" w:cs="Arial Narrow,BoldItalic"/>
          <w:bCs/>
          <w:iCs/>
          <w:color w:val="000000" w:themeColor="text1"/>
          <w:lang w:eastAsia="es-CO"/>
        </w:rPr>
        <w:t xml:space="preserve"> conforme con el reglamento del </w:t>
      </w:r>
      <w:r w:rsidRPr="002C0D19">
        <w:rPr>
          <w:rFonts w:ascii="Arial Narrow" w:hAnsi="Arial Narrow" w:cs="Arial"/>
          <w:color w:val="000000" w:themeColor="text1"/>
          <w:lang w:val="es-ES" w:eastAsia="es-ES"/>
        </w:rPr>
        <w:t xml:space="preserve">Sistema de Registro </w:t>
      </w:r>
      <w:r w:rsidRPr="002C0D19">
        <w:rPr>
          <w:rFonts w:ascii="Arial Narrow" w:hAnsi="Arial Narrow" w:cs="Arial Narrow,BoldItalic"/>
          <w:bCs/>
          <w:iCs/>
          <w:color w:val="000000" w:themeColor="text1"/>
          <w:lang w:eastAsia="es-CO"/>
        </w:rPr>
        <w:t>en el que se hayan registrado las operaciones.</w:t>
      </w:r>
    </w:p>
    <w:p w14:paraId="5381EF3E" w14:textId="77777777" w:rsidR="007968EC" w:rsidRPr="002C0D19" w:rsidRDefault="007968EC" w:rsidP="007968EC">
      <w:pPr>
        <w:autoSpaceDE w:val="0"/>
        <w:autoSpaceDN w:val="0"/>
        <w:adjustRightInd w:val="0"/>
        <w:jc w:val="both"/>
        <w:rPr>
          <w:rFonts w:ascii="Arial Narrow" w:hAnsi="Arial Narrow" w:cs="Arial Narrow,BoldItalic"/>
          <w:bCs/>
          <w:iCs/>
          <w:color w:val="000000" w:themeColor="text1"/>
          <w:lang w:eastAsia="es-CO"/>
        </w:rPr>
      </w:pPr>
    </w:p>
    <w:p w14:paraId="3AC3F796" w14:textId="77777777" w:rsidR="007968EC" w:rsidRDefault="007968EC" w:rsidP="007968EC">
      <w:pPr>
        <w:pStyle w:val="ARTICULO0"/>
      </w:pPr>
      <w:bookmarkStart w:id="3042" w:name="_Toc31716039"/>
      <w:r w:rsidRPr="002C0D19">
        <w:t>Artículo 1.8.1.4. Horarios adicionales.</w:t>
      </w:r>
      <w:bookmarkEnd w:id="3042"/>
      <w:r w:rsidRPr="002C0D19">
        <w:t xml:space="preserve"> </w:t>
      </w:r>
    </w:p>
    <w:p w14:paraId="0AFE1C13" w14:textId="77777777" w:rsidR="007968EC" w:rsidRPr="000E6636" w:rsidRDefault="007968EC" w:rsidP="007968EC">
      <w:pPr>
        <w:autoSpaceDE w:val="0"/>
        <w:autoSpaceDN w:val="0"/>
        <w:jc w:val="both"/>
        <w:rPr>
          <w:rFonts w:ascii="Arial Narrow" w:hAnsi="Arial Narrow" w:cs="Arial"/>
          <w:b/>
          <w:bCs/>
          <w:color w:val="000000" w:themeColor="text1"/>
          <w:lang w:eastAsia="es-ES"/>
        </w:rPr>
      </w:pPr>
    </w:p>
    <w:p w14:paraId="5187AB91" w14:textId="77777777" w:rsidR="007968EC" w:rsidRPr="002C0D19" w:rsidRDefault="007968EC" w:rsidP="007968EC">
      <w:pPr>
        <w:pStyle w:val="ANTECEDENTES"/>
      </w:pPr>
      <w:r w:rsidRPr="002C0D19">
        <w:t>(Este artículo fue adicionado mediante Circular 14 del 8 de agosto de 2017, publicada en el Boletín Normativo No. 015 del 8 de agosto de 2017</w:t>
      </w:r>
      <w:r>
        <w:t xml:space="preserve"> y modificado mediante Circular 8 del 18 de mayo de 2018, publicada en el Boletín Normativo No. 011 del 18 de mayo de 2018. Rige a partir del 21</w:t>
      </w:r>
      <w:r w:rsidRPr="002C0D19">
        <w:t xml:space="preserve"> de </w:t>
      </w:r>
      <w:r>
        <w:t>mayo de 2018</w:t>
      </w:r>
      <w:r w:rsidRPr="002C0D19">
        <w:t>.)</w:t>
      </w:r>
    </w:p>
    <w:p w14:paraId="5CCDA906" w14:textId="77777777" w:rsidR="007968EC" w:rsidRPr="002C0D19" w:rsidRDefault="007968EC" w:rsidP="007968EC">
      <w:pPr>
        <w:jc w:val="both"/>
        <w:rPr>
          <w:rFonts w:ascii="Arial Narrow" w:hAnsi="Arial Narrow" w:cs="Arial"/>
          <w:lang w:val="es-ES" w:eastAsia="es-ES"/>
        </w:rPr>
      </w:pPr>
    </w:p>
    <w:p w14:paraId="58DA32BB" w14:textId="77777777" w:rsidR="007968EC" w:rsidRPr="00E862D2" w:rsidRDefault="007968EC" w:rsidP="007968EC">
      <w:pPr>
        <w:jc w:val="both"/>
        <w:rPr>
          <w:rFonts w:ascii="Arial Narrow" w:hAnsi="Arial Narrow" w:cs="Arial"/>
          <w:lang w:val="es-ES" w:eastAsia="es-ES"/>
        </w:rPr>
      </w:pPr>
      <w:r w:rsidRPr="00E862D2">
        <w:rPr>
          <w:rFonts w:ascii="Arial Narrow" w:hAnsi="Arial Narrow" w:cs="Arial"/>
          <w:lang w:val="es-ES" w:eastAsia="es-ES"/>
        </w:rPr>
        <w:t xml:space="preserve">Sin perjuicio de la facultad establecida en el artículo 1.3.8. del Reglamento de Funcionamiento, la Cámara a través del Gerente o quien éste delegue para tal efecto, podrá establecer horarios de funcionamiento adicionales para cada una de las Sesiones de Operación de Cámara, en uno, algunos o todos los Segmentos, cuando se requiera para el desarrollo de sus actividades o por solicitud de los Miembros Liquidadores según se establezca en la presente Circular para un Segmento en particular y de acuerdo con los siguientes criterios: </w:t>
      </w:r>
    </w:p>
    <w:p w14:paraId="45D90AD2" w14:textId="77777777" w:rsidR="007968EC" w:rsidRPr="00E862D2" w:rsidRDefault="007968EC" w:rsidP="007968EC">
      <w:pPr>
        <w:jc w:val="both"/>
        <w:rPr>
          <w:rFonts w:ascii="Arial Narrow" w:hAnsi="Arial Narrow" w:cs="Arial"/>
          <w:lang w:val="es-ES" w:eastAsia="es-ES"/>
        </w:rPr>
      </w:pPr>
    </w:p>
    <w:p w14:paraId="328100CB" w14:textId="77777777" w:rsidR="007968EC" w:rsidRDefault="007968EC" w:rsidP="00DA7472">
      <w:pPr>
        <w:numPr>
          <w:ilvl w:val="3"/>
          <w:numId w:val="264"/>
        </w:numPr>
        <w:ind w:left="709" w:hanging="709"/>
        <w:jc w:val="both"/>
        <w:rPr>
          <w:rFonts w:ascii="Arial Narrow" w:hAnsi="Arial Narrow" w:cs="Arial"/>
          <w:lang w:val="es-ES" w:eastAsia="es-ES"/>
        </w:rPr>
      </w:pPr>
      <w:r w:rsidRPr="00E862D2">
        <w:rPr>
          <w:rFonts w:ascii="Arial Narrow" w:hAnsi="Arial Narrow" w:cs="Arial"/>
          <w:lang w:val="es-ES" w:eastAsia="es-ES"/>
        </w:rPr>
        <w:t xml:space="preserve">El horario adicional deberá establecerse antes de la finalización del horario de la Sesión y será transitorio. </w:t>
      </w:r>
    </w:p>
    <w:p w14:paraId="1A0831CF" w14:textId="77777777" w:rsidR="007968EC" w:rsidRDefault="007968EC" w:rsidP="00DA7472">
      <w:pPr>
        <w:numPr>
          <w:ilvl w:val="3"/>
          <w:numId w:val="264"/>
        </w:numPr>
        <w:ind w:left="709" w:hanging="709"/>
        <w:jc w:val="both"/>
        <w:rPr>
          <w:rFonts w:ascii="Arial Narrow" w:hAnsi="Arial Narrow" w:cs="Arial"/>
          <w:lang w:val="es-ES" w:eastAsia="es-ES"/>
        </w:rPr>
      </w:pPr>
      <w:r w:rsidRPr="00E862D2">
        <w:rPr>
          <w:rFonts w:ascii="Arial Narrow" w:hAnsi="Arial Narrow" w:cs="Arial"/>
          <w:lang w:val="es-ES" w:eastAsia="es-ES"/>
        </w:rPr>
        <w:t>Cualquier horario adicional que se establezca no implicará que la Cámara no pueda cobrar las tarifas o consecuencias pecuniarias establecidas por retardo.</w:t>
      </w:r>
      <w:bookmarkStart w:id="3043" w:name="_Toc470775552"/>
      <w:bookmarkStart w:id="3044" w:name="_Toc470779837"/>
      <w:bookmarkStart w:id="3045" w:name="_Toc470780454"/>
      <w:bookmarkStart w:id="3046" w:name="_Toc470780967"/>
      <w:bookmarkStart w:id="3047" w:name="_Toc470784528"/>
      <w:bookmarkStart w:id="3048" w:name="_Toc470785065"/>
      <w:bookmarkStart w:id="3049" w:name="_Toc470791451"/>
      <w:bookmarkStart w:id="3050" w:name="_Toc472592221"/>
      <w:bookmarkStart w:id="3051" w:name="_Toc472593240"/>
      <w:bookmarkStart w:id="3052" w:name="_Toc479057026"/>
      <w:bookmarkStart w:id="3053" w:name="_Toc490066354"/>
    </w:p>
    <w:p w14:paraId="476B7F4E" w14:textId="77777777" w:rsidR="007968EC" w:rsidRDefault="007968EC" w:rsidP="007968EC">
      <w:pPr>
        <w:jc w:val="both"/>
        <w:rPr>
          <w:rFonts w:ascii="Arial Narrow" w:hAnsi="Arial Narrow" w:cs="Arial"/>
          <w:lang w:val="es-ES" w:eastAsia="es-ES"/>
        </w:rPr>
      </w:pPr>
    </w:p>
    <w:p w14:paraId="01FFBA84" w14:textId="77777777" w:rsidR="007968EC" w:rsidRPr="00E862D2" w:rsidRDefault="007968EC" w:rsidP="007968EC">
      <w:pPr>
        <w:jc w:val="both"/>
        <w:rPr>
          <w:rFonts w:ascii="Arial Narrow" w:hAnsi="Arial Narrow" w:cs="Arial"/>
          <w:lang w:val="es-ES" w:eastAsia="es-ES"/>
        </w:rPr>
      </w:pPr>
    </w:p>
    <w:p w14:paraId="4AA31200" w14:textId="77777777" w:rsidR="007968EC" w:rsidRPr="002C0D19" w:rsidRDefault="007968EC" w:rsidP="007968EC">
      <w:pPr>
        <w:pStyle w:val="TTULO"/>
        <w:rPr>
          <w:lang w:val="es-ES"/>
        </w:rPr>
      </w:pPr>
      <w:bookmarkStart w:id="3054" w:name="_Toc31716040"/>
      <w:r w:rsidRPr="002C0D19">
        <w:rPr>
          <w:lang w:val="es-ES"/>
        </w:rPr>
        <w:t>TÍTULO NOVENO</w:t>
      </w:r>
      <w:bookmarkEnd w:id="3043"/>
      <w:bookmarkEnd w:id="3044"/>
      <w:bookmarkEnd w:id="3045"/>
      <w:bookmarkEnd w:id="3046"/>
      <w:bookmarkEnd w:id="3047"/>
      <w:bookmarkEnd w:id="3048"/>
      <w:bookmarkEnd w:id="3049"/>
      <w:bookmarkEnd w:id="3050"/>
      <w:bookmarkEnd w:id="3051"/>
      <w:bookmarkEnd w:id="3052"/>
      <w:bookmarkEnd w:id="3053"/>
      <w:bookmarkEnd w:id="3054"/>
    </w:p>
    <w:p w14:paraId="6CF65EBE" w14:textId="77777777" w:rsidR="007968EC" w:rsidRPr="002C0D19" w:rsidRDefault="007968EC" w:rsidP="007968EC">
      <w:pPr>
        <w:pStyle w:val="TTULO"/>
        <w:rPr>
          <w:lang w:val="es-ES"/>
        </w:rPr>
      </w:pPr>
    </w:p>
    <w:p w14:paraId="429DA093" w14:textId="77777777" w:rsidR="007968EC" w:rsidRPr="002C0D19" w:rsidRDefault="007968EC" w:rsidP="007968EC">
      <w:pPr>
        <w:pStyle w:val="TTULO"/>
        <w:rPr>
          <w:lang w:val="es-ES"/>
        </w:rPr>
      </w:pPr>
      <w:bookmarkStart w:id="3055" w:name="_Toc470775553"/>
      <w:bookmarkStart w:id="3056" w:name="_Toc470779838"/>
      <w:bookmarkStart w:id="3057" w:name="_Toc470780455"/>
      <w:bookmarkStart w:id="3058" w:name="_Toc470780968"/>
      <w:bookmarkStart w:id="3059" w:name="_Toc470784529"/>
      <w:bookmarkStart w:id="3060" w:name="_Toc470785066"/>
      <w:bookmarkStart w:id="3061" w:name="_Toc470791452"/>
      <w:bookmarkStart w:id="3062" w:name="_Toc472592222"/>
      <w:bookmarkStart w:id="3063" w:name="_Toc472593241"/>
      <w:bookmarkStart w:id="3064" w:name="_Toc479057027"/>
      <w:bookmarkStart w:id="3065" w:name="_Toc490066355"/>
      <w:bookmarkStart w:id="3066" w:name="_Toc31716041"/>
      <w:r w:rsidRPr="002C0D19">
        <w:rPr>
          <w:lang w:val="es-ES"/>
        </w:rPr>
        <w:t>ACTIVOS</w:t>
      </w:r>
      <w:bookmarkEnd w:id="3055"/>
      <w:bookmarkEnd w:id="3056"/>
      <w:bookmarkEnd w:id="3057"/>
      <w:bookmarkEnd w:id="3058"/>
      <w:bookmarkEnd w:id="3059"/>
      <w:bookmarkEnd w:id="3060"/>
      <w:bookmarkEnd w:id="3061"/>
      <w:bookmarkEnd w:id="3062"/>
      <w:bookmarkEnd w:id="3063"/>
      <w:bookmarkEnd w:id="3064"/>
      <w:bookmarkEnd w:id="3065"/>
      <w:bookmarkEnd w:id="3066"/>
    </w:p>
    <w:p w14:paraId="3426037E" w14:textId="77777777" w:rsidR="007968EC" w:rsidRPr="002C0D19" w:rsidRDefault="007968EC" w:rsidP="007968EC">
      <w:pPr>
        <w:pStyle w:val="TTULO"/>
        <w:rPr>
          <w:lang w:val="es-ES"/>
        </w:rPr>
      </w:pPr>
    </w:p>
    <w:p w14:paraId="3160B551" w14:textId="77777777" w:rsidR="007968EC" w:rsidRPr="002C0D19" w:rsidRDefault="007968EC" w:rsidP="007968EC">
      <w:pPr>
        <w:pStyle w:val="TTULO"/>
        <w:rPr>
          <w:lang w:val="es-ES"/>
        </w:rPr>
      </w:pPr>
      <w:bookmarkStart w:id="3067" w:name="_Toc470775554"/>
      <w:bookmarkStart w:id="3068" w:name="_Toc470779839"/>
      <w:bookmarkStart w:id="3069" w:name="_Toc470780456"/>
      <w:bookmarkStart w:id="3070" w:name="_Toc470780969"/>
      <w:bookmarkStart w:id="3071" w:name="_Toc470784530"/>
      <w:bookmarkStart w:id="3072" w:name="_Toc470785067"/>
      <w:bookmarkStart w:id="3073" w:name="_Toc470791453"/>
      <w:bookmarkStart w:id="3074" w:name="_Toc472592223"/>
      <w:bookmarkStart w:id="3075" w:name="_Toc472593242"/>
      <w:bookmarkStart w:id="3076" w:name="_Toc479057028"/>
      <w:bookmarkStart w:id="3077" w:name="_Toc490066356"/>
      <w:bookmarkStart w:id="3078" w:name="_Toc31716042"/>
      <w:r w:rsidRPr="002C0D19">
        <w:rPr>
          <w:lang w:val="es-ES"/>
        </w:rPr>
        <w:t>CAPÍTULO PRIMERO</w:t>
      </w:r>
      <w:bookmarkEnd w:id="3067"/>
      <w:bookmarkEnd w:id="3068"/>
      <w:bookmarkEnd w:id="3069"/>
      <w:bookmarkEnd w:id="3070"/>
      <w:bookmarkEnd w:id="3071"/>
      <w:bookmarkEnd w:id="3072"/>
      <w:bookmarkEnd w:id="3073"/>
      <w:bookmarkEnd w:id="3074"/>
      <w:bookmarkEnd w:id="3075"/>
      <w:bookmarkEnd w:id="3076"/>
      <w:bookmarkEnd w:id="3077"/>
      <w:bookmarkEnd w:id="3078"/>
    </w:p>
    <w:p w14:paraId="6618B545" w14:textId="77777777" w:rsidR="007968EC" w:rsidRPr="002C0D19" w:rsidRDefault="007968EC" w:rsidP="007968EC">
      <w:pPr>
        <w:pStyle w:val="TTULO"/>
        <w:rPr>
          <w:lang w:val="es-ES"/>
        </w:rPr>
      </w:pPr>
    </w:p>
    <w:p w14:paraId="5CEF17E5" w14:textId="77777777" w:rsidR="007968EC" w:rsidRPr="002C0D19" w:rsidRDefault="007968EC" w:rsidP="007968EC">
      <w:pPr>
        <w:pStyle w:val="TTULO"/>
        <w:rPr>
          <w:lang w:val="es-ES"/>
        </w:rPr>
      </w:pPr>
      <w:bookmarkStart w:id="3079" w:name="_Toc470775555"/>
      <w:bookmarkStart w:id="3080" w:name="_Toc470779840"/>
      <w:bookmarkStart w:id="3081" w:name="_Toc470780457"/>
      <w:bookmarkStart w:id="3082" w:name="_Toc470780970"/>
      <w:bookmarkStart w:id="3083" w:name="_Toc470784531"/>
      <w:bookmarkStart w:id="3084" w:name="_Toc470785068"/>
      <w:bookmarkStart w:id="3085" w:name="_Toc470791454"/>
      <w:bookmarkStart w:id="3086" w:name="_Toc472592224"/>
      <w:bookmarkStart w:id="3087" w:name="_Toc472593243"/>
      <w:bookmarkStart w:id="3088" w:name="_Toc479057029"/>
      <w:bookmarkStart w:id="3089" w:name="_Toc490066357"/>
      <w:bookmarkStart w:id="3090" w:name="_Toc31716043"/>
      <w:r w:rsidRPr="002C0D19">
        <w:rPr>
          <w:lang w:val="es-ES"/>
        </w:rPr>
        <w:t>PROCESO DE AUTORIZACIÓN</w:t>
      </w:r>
      <w:bookmarkEnd w:id="3079"/>
      <w:bookmarkEnd w:id="3080"/>
      <w:bookmarkEnd w:id="3081"/>
      <w:bookmarkEnd w:id="3082"/>
      <w:bookmarkEnd w:id="3083"/>
      <w:bookmarkEnd w:id="3084"/>
      <w:bookmarkEnd w:id="3085"/>
      <w:bookmarkEnd w:id="3086"/>
      <w:bookmarkEnd w:id="3087"/>
      <w:bookmarkEnd w:id="3088"/>
      <w:bookmarkEnd w:id="3089"/>
      <w:bookmarkEnd w:id="3090"/>
    </w:p>
    <w:p w14:paraId="5B748162" w14:textId="77777777" w:rsidR="007968EC" w:rsidRPr="002C0D19" w:rsidRDefault="007968EC" w:rsidP="007968EC">
      <w:pPr>
        <w:autoSpaceDE w:val="0"/>
        <w:autoSpaceDN w:val="0"/>
        <w:adjustRightInd w:val="0"/>
        <w:jc w:val="both"/>
        <w:rPr>
          <w:rFonts w:ascii="Arial Narrow" w:hAnsi="Arial Narrow" w:cs="Arial Narrow,BoldItalic"/>
          <w:bCs/>
          <w:iCs/>
          <w:color w:val="000000" w:themeColor="text1"/>
          <w:lang w:eastAsia="es-CO"/>
        </w:rPr>
      </w:pPr>
    </w:p>
    <w:p w14:paraId="1F947A99" w14:textId="77777777" w:rsidR="007968EC" w:rsidRDefault="007968EC" w:rsidP="007968EC">
      <w:pPr>
        <w:pStyle w:val="ARTICULO0"/>
      </w:pPr>
      <w:bookmarkStart w:id="3091" w:name="_Toc472592225"/>
      <w:bookmarkStart w:id="3092" w:name="_Toc472593244"/>
      <w:bookmarkStart w:id="3093" w:name="_Toc479057030"/>
      <w:bookmarkStart w:id="3094" w:name="_Toc31716044"/>
      <w:bookmarkStart w:id="3095" w:name="_Toc470775556"/>
      <w:bookmarkStart w:id="3096" w:name="_Toc470779841"/>
      <w:bookmarkStart w:id="3097" w:name="_Toc470780458"/>
      <w:bookmarkStart w:id="3098" w:name="_Toc470780971"/>
      <w:bookmarkStart w:id="3099" w:name="_Toc470784532"/>
      <w:bookmarkStart w:id="3100" w:name="_Toc470785069"/>
      <w:bookmarkStart w:id="3101" w:name="_Toc470791455"/>
      <w:bookmarkStart w:id="3102" w:name="_Toc490066358"/>
      <w:r w:rsidRPr="002C0D19">
        <w:t>Artículo 1.9.1.1. Proceso de Autorización de los Activos.</w:t>
      </w:r>
      <w:bookmarkEnd w:id="3091"/>
      <w:bookmarkEnd w:id="3092"/>
      <w:bookmarkEnd w:id="3093"/>
      <w:bookmarkEnd w:id="3094"/>
      <w:r w:rsidRPr="002C0D19">
        <w:t xml:space="preserve"> </w:t>
      </w:r>
    </w:p>
    <w:p w14:paraId="1E300BF0" w14:textId="77777777" w:rsidR="007968EC" w:rsidRPr="000E6636" w:rsidRDefault="007968EC" w:rsidP="007968EC">
      <w:pPr>
        <w:autoSpaceDE w:val="0"/>
        <w:autoSpaceDN w:val="0"/>
        <w:jc w:val="both"/>
        <w:rPr>
          <w:rFonts w:ascii="Arial Narrow" w:hAnsi="Arial Narrow" w:cs="Arial"/>
          <w:b/>
          <w:bCs/>
          <w:color w:val="000000" w:themeColor="text1"/>
          <w:lang w:eastAsia="es-ES"/>
        </w:rPr>
      </w:pPr>
    </w:p>
    <w:p w14:paraId="3446AD30" w14:textId="77777777" w:rsidR="007968EC" w:rsidRPr="002C0D19" w:rsidRDefault="007968EC" w:rsidP="007968EC">
      <w:pPr>
        <w:pStyle w:val="ANTECEDENTES"/>
        <w:rPr>
          <w:u w:val="single"/>
        </w:rPr>
      </w:pPr>
      <w:r w:rsidRPr="002C0D19">
        <w:t xml:space="preserve">(Este artículo fue modificado mediante Circular 8 del 18 de junio de 2009, publicada en el Boletín Normativo No. 010 del 18 de junio de 2009 y mediante Circular 6 del 29 de marzo de 2010, publicada en el Boletín Normativo No. 008 del 29 de marzo de 2010, </w:t>
      </w:r>
      <w:r w:rsidRPr="002C0D19">
        <w:rPr>
          <w:bCs/>
        </w:rPr>
        <w:t xml:space="preserve">mediante Circular 16 del 1 de octubre de 2010, publicada en el Boletín Normativo No. 018 del 1 de octubre de 2010, </w:t>
      </w:r>
      <w:r w:rsidRPr="002C0D19">
        <w:t xml:space="preserve">mediante Circular 22 del 14 de noviembre de 2014, publicada en el Boletín Normativo No. 025 del 14 de noviembre de 2014 y </w:t>
      </w:r>
      <w:r w:rsidRPr="002C0D19">
        <w:lastRenderedPageBreak/>
        <w:t>mediante Circular 16 del 9 de diciembre de 2016, publicada mediante Boletín Normativo No. 020 del 9 de diciembre de 2016. Rige a partir del 12 de diciembre de 2016 y modificado mediante Circular 19 del 28 de diciembre de 2016, publicada en el Boletín Normativo No. 024 del 28 de diciembre de 2016. Rige a partir del 29 de diciembre de 2016.)</w:t>
      </w:r>
      <w:bookmarkEnd w:id="3095"/>
      <w:bookmarkEnd w:id="3096"/>
      <w:bookmarkEnd w:id="3097"/>
      <w:bookmarkEnd w:id="3098"/>
      <w:bookmarkEnd w:id="3099"/>
      <w:bookmarkEnd w:id="3100"/>
      <w:bookmarkEnd w:id="3101"/>
      <w:bookmarkEnd w:id="3102"/>
    </w:p>
    <w:p w14:paraId="166ECA5B" w14:textId="77777777" w:rsidR="007968EC" w:rsidRPr="002C0D19" w:rsidRDefault="007968EC" w:rsidP="007968EC">
      <w:pPr>
        <w:tabs>
          <w:tab w:val="left" w:pos="1380"/>
        </w:tabs>
        <w:autoSpaceDE w:val="0"/>
        <w:autoSpaceDN w:val="0"/>
        <w:adjustRightInd w:val="0"/>
        <w:jc w:val="both"/>
        <w:rPr>
          <w:rFonts w:ascii="Arial Narrow" w:hAnsi="Arial Narrow" w:cs="Arial"/>
          <w:color w:val="000000" w:themeColor="text1"/>
          <w:lang w:val="es-ES" w:eastAsia="es-ES"/>
        </w:rPr>
      </w:pPr>
    </w:p>
    <w:p w14:paraId="3355B636"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 xml:space="preserve">De conformidad con lo establecido en el artículo 1.3.3. del Reglamento de Funcionamiento de la Cámara, para la autorización de Activos se deberá observar el siguiente procedimiento sin perjuicio de lo establecido para la autorización de los Activos que pertenezcan a un Segmento específico: </w:t>
      </w:r>
    </w:p>
    <w:p w14:paraId="7A3C1572" w14:textId="77777777" w:rsidR="007968EC" w:rsidRPr="002C0D19" w:rsidRDefault="007968EC" w:rsidP="007968EC">
      <w:pPr>
        <w:ind w:left="696"/>
        <w:jc w:val="both"/>
        <w:rPr>
          <w:rFonts w:ascii="Arial Narrow" w:eastAsia="Calibri" w:hAnsi="Arial Narrow"/>
          <w:bCs/>
          <w:color w:val="000000" w:themeColor="text1"/>
        </w:rPr>
      </w:pPr>
    </w:p>
    <w:p w14:paraId="6E0FC2D4" w14:textId="77777777" w:rsidR="007968EC" w:rsidRPr="002C0D19" w:rsidRDefault="007968EC" w:rsidP="00DA7472">
      <w:pPr>
        <w:numPr>
          <w:ilvl w:val="0"/>
          <w:numId w:val="109"/>
        </w:numPr>
        <w:jc w:val="both"/>
        <w:rPr>
          <w:rFonts w:ascii="Arial Narrow" w:eastAsia="Calibri" w:hAnsi="Arial Narrow"/>
          <w:color w:val="000000" w:themeColor="text1"/>
        </w:rPr>
      </w:pPr>
      <w:r w:rsidRPr="002C0D19">
        <w:rPr>
          <w:rFonts w:ascii="Arial Narrow" w:eastAsia="Calibri" w:hAnsi="Arial Narrow"/>
          <w:color w:val="000000" w:themeColor="text1"/>
        </w:rPr>
        <w:t xml:space="preserve">El administrador del sistema de negociación o registro, o Mecanismo de Contratación en el que se transe, registre, celebre, informe, envíe, confirme, asigne el Activo, una vez lo autorice, deberá remitir comunicación a la Cámara en la que se detalle la información del Activo, los términos en los cuales fue aprobado y la fecha estimada a partir de la cual estará disponible su negociación en el Sistema. </w:t>
      </w:r>
    </w:p>
    <w:p w14:paraId="6DB22823" w14:textId="77777777" w:rsidR="007968EC" w:rsidRPr="002C0D19" w:rsidRDefault="007968EC" w:rsidP="007968EC">
      <w:pPr>
        <w:ind w:left="360"/>
        <w:jc w:val="both"/>
        <w:rPr>
          <w:rFonts w:ascii="Arial Narrow" w:eastAsia="Calibri" w:hAnsi="Arial Narrow"/>
          <w:color w:val="000000" w:themeColor="text1"/>
        </w:rPr>
      </w:pPr>
    </w:p>
    <w:p w14:paraId="66BAC0EC" w14:textId="77777777" w:rsidR="007968EC" w:rsidRPr="002C0D19" w:rsidRDefault="007968EC" w:rsidP="00DA7472">
      <w:pPr>
        <w:numPr>
          <w:ilvl w:val="0"/>
          <w:numId w:val="109"/>
        </w:numPr>
        <w:jc w:val="both"/>
        <w:rPr>
          <w:rFonts w:ascii="Arial Narrow" w:eastAsia="Calibri" w:hAnsi="Arial Narrow"/>
          <w:color w:val="000000" w:themeColor="text1"/>
        </w:rPr>
      </w:pPr>
      <w:r w:rsidRPr="002C0D19">
        <w:rPr>
          <w:rFonts w:ascii="Arial Narrow" w:eastAsia="Calibri" w:hAnsi="Arial Narrow"/>
          <w:color w:val="000000" w:themeColor="text1"/>
        </w:rPr>
        <w:t xml:space="preserve">Una vez recibida la información, la Cámara procederá a definir los </w:t>
      </w:r>
      <w:r w:rsidRPr="002C0D19">
        <w:rPr>
          <w:rFonts w:ascii="Arial Narrow" w:eastAsia="SimSun" w:hAnsi="Arial Narrow"/>
          <w:color w:val="000000" w:themeColor="text1"/>
          <w:lang w:eastAsia="zh-CN"/>
        </w:rPr>
        <w:t>mecanismos de gestión de riesgos y de infraestructura operativa que utilizará para la Compensación y Liquidación del mismo y el Segmento al que pertenecerán. Si el Activo cumple las características establecidas por la Junta Directiva, contenidas en la presente Circular, la autorización se entiende general. En caso contrario, la Junta Directiva impartirá su autorización de forma particular.</w:t>
      </w:r>
    </w:p>
    <w:p w14:paraId="25880177" w14:textId="77777777" w:rsidR="007968EC" w:rsidRPr="002C0D19" w:rsidRDefault="007968EC" w:rsidP="007968EC">
      <w:pPr>
        <w:jc w:val="both"/>
        <w:rPr>
          <w:rFonts w:ascii="Arial Narrow" w:eastAsia="SimSun" w:hAnsi="Arial Narrow"/>
          <w:color w:val="000000" w:themeColor="text1"/>
          <w:lang w:eastAsia="zh-CN"/>
        </w:rPr>
      </w:pPr>
    </w:p>
    <w:p w14:paraId="6DAD0300" w14:textId="77777777" w:rsidR="007968EC" w:rsidRPr="002C0D19" w:rsidRDefault="007968EC" w:rsidP="00DA7472">
      <w:pPr>
        <w:numPr>
          <w:ilvl w:val="0"/>
          <w:numId w:val="109"/>
        </w:numPr>
        <w:jc w:val="both"/>
        <w:rPr>
          <w:rFonts w:ascii="Arial Narrow" w:eastAsia="Calibri" w:hAnsi="Arial Narrow"/>
          <w:color w:val="000000" w:themeColor="text1"/>
        </w:rPr>
      </w:pPr>
      <w:r w:rsidRPr="002C0D19">
        <w:rPr>
          <w:rFonts w:ascii="Arial Narrow" w:eastAsia="SimSun" w:hAnsi="Arial Narrow"/>
          <w:color w:val="000000" w:themeColor="text1"/>
          <w:lang w:eastAsia="zh-CN"/>
        </w:rPr>
        <w:t>Una vez autorizado el Activo por parte de la Junta Directiva y definidos los mecanismos de gestión de riesgos y de infraestructura operativa que utilizará para la Compensación y Liquidación del mismo, la Cámara procederá a surtir el procedimiento de autorización de Activos previsto en el inciso segundo y tercero del artículo 1.3.3. del Reglamento de Funcionamiento de la Cámara.</w:t>
      </w:r>
    </w:p>
    <w:p w14:paraId="21590FDD" w14:textId="77777777" w:rsidR="007968EC" w:rsidRPr="002C0D19" w:rsidRDefault="007968EC" w:rsidP="007968EC">
      <w:pPr>
        <w:jc w:val="both"/>
        <w:rPr>
          <w:rFonts w:ascii="Arial Narrow" w:eastAsia="Calibri" w:hAnsi="Arial Narrow"/>
          <w:color w:val="000000" w:themeColor="text1"/>
        </w:rPr>
      </w:pPr>
    </w:p>
    <w:p w14:paraId="70C2444F" w14:textId="77777777" w:rsidR="007968EC" w:rsidRPr="002C0D19" w:rsidRDefault="007968EC" w:rsidP="007968EC">
      <w:pPr>
        <w:jc w:val="both"/>
        <w:rPr>
          <w:rFonts w:ascii="Arial Narrow" w:eastAsia="Calibri" w:hAnsi="Arial Narrow"/>
          <w:bCs/>
          <w:color w:val="000000" w:themeColor="text1"/>
        </w:rPr>
      </w:pPr>
      <w:proofErr w:type="gramStart"/>
      <w:r w:rsidRPr="002C0D19">
        <w:rPr>
          <w:rFonts w:ascii="Arial Narrow" w:eastAsia="Calibri" w:hAnsi="Arial Narrow"/>
          <w:bCs/>
          <w:color w:val="000000" w:themeColor="text1"/>
        </w:rPr>
        <w:t>En caso que</w:t>
      </w:r>
      <w:proofErr w:type="gramEnd"/>
      <w:r w:rsidRPr="002C0D19">
        <w:rPr>
          <w:rFonts w:ascii="Arial Narrow" w:eastAsia="Calibri" w:hAnsi="Arial Narrow"/>
          <w:bCs/>
          <w:color w:val="000000" w:themeColor="text1"/>
        </w:rPr>
        <w:t xml:space="preserve"> la Superintendencia Financiera de Colombia no hubiere formulado objeciones o hubiere impartido su aprobación, cuando se trate de divisas y Derivados sobre divisas, la Cámara coordinará con el administrador del sistema de negociación o registro el día de salida a producción del nuevo Activo, fecha que será divulgada a través de la página de Internet del administrador del sistema de negociación y registro respectivo.</w:t>
      </w:r>
    </w:p>
    <w:p w14:paraId="67C37F49" w14:textId="77777777" w:rsidR="007968EC" w:rsidRPr="002C0D19" w:rsidRDefault="007968EC" w:rsidP="007968EC">
      <w:pPr>
        <w:jc w:val="both"/>
        <w:rPr>
          <w:rFonts w:ascii="Arial Narrow" w:eastAsia="Calibri" w:hAnsi="Arial Narrow"/>
          <w:bCs/>
          <w:color w:val="000000" w:themeColor="text1"/>
        </w:rPr>
      </w:pPr>
    </w:p>
    <w:p w14:paraId="51F705A2" w14:textId="77777777" w:rsidR="007968EC" w:rsidRPr="002C0D19" w:rsidRDefault="007968EC" w:rsidP="007968EC">
      <w:pPr>
        <w:jc w:val="both"/>
        <w:rPr>
          <w:rFonts w:ascii="Arial Narrow" w:eastAsia="Calibri" w:hAnsi="Arial Narrow"/>
          <w:bCs/>
          <w:color w:val="000000" w:themeColor="text1"/>
        </w:rPr>
      </w:pPr>
      <w:r w:rsidRPr="002C0D19">
        <w:rPr>
          <w:rFonts w:ascii="Arial Narrow" w:eastAsia="Calibri" w:hAnsi="Arial Narrow"/>
          <w:b/>
          <w:bCs/>
          <w:color w:val="000000" w:themeColor="text1"/>
        </w:rPr>
        <w:t>Parágrafo.</w:t>
      </w:r>
      <w:r w:rsidRPr="002C0D19">
        <w:rPr>
          <w:rFonts w:ascii="Arial Narrow" w:eastAsia="Calibri" w:hAnsi="Arial Narrow"/>
          <w:bCs/>
          <w:color w:val="000000" w:themeColor="text1"/>
        </w:rPr>
        <w:t xml:space="preserve"> En el caso del Activo OIS IBR perteneciente al Segmento de Derivados Financieros, el Comité Rector del IBR deberá enviar una comunicación a la Cámara en la que se deberá remitir la información del Activo.</w:t>
      </w:r>
    </w:p>
    <w:p w14:paraId="0CA00A32" w14:textId="77777777" w:rsidR="007968EC" w:rsidRPr="002C0D19" w:rsidRDefault="007968EC" w:rsidP="007968EC">
      <w:pPr>
        <w:jc w:val="both"/>
        <w:rPr>
          <w:rFonts w:ascii="Arial Narrow" w:hAnsi="Arial Narrow" w:cs="Arial"/>
          <w:color w:val="000000" w:themeColor="text1"/>
          <w:lang w:val="es-ES" w:eastAsia="es-ES"/>
        </w:rPr>
      </w:pPr>
    </w:p>
    <w:p w14:paraId="72B3DAAE" w14:textId="77777777" w:rsidR="007968EC" w:rsidRPr="002C0D19" w:rsidRDefault="007968EC" w:rsidP="007968EC">
      <w:pPr>
        <w:pStyle w:val="TTULO"/>
        <w:rPr>
          <w:lang w:val="es-ES"/>
        </w:rPr>
      </w:pPr>
      <w:bookmarkStart w:id="3103" w:name="_Toc470775557"/>
      <w:bookmarkStart w:id="3104" w:name="_Toc470779842"/>
      <w:bookmarkStart w:id="3105" w:name="_Toc470780459"/>
      <w:bookmarkStart w:id="3106" w:name="_Toc470780972"/>
      <w:bookmarkStart w:id="3107" w:name="_Toc470784533"/>
      <w:bookmarkStart w:id="3108" w:name="_Toc470785070"/>
      <w:bookmarkStart w:id="3109" w:name="_Toc470791456"/>
      <w:bookmarkStart w:id="3110" w:name="_Toc472592226"/>
      <w:bookmarkStart w:id="3111" w:name="_Toc472593245"/>
      <w:bookmarkStart w:id="3112" w:name="_Toc479057031"/>
      <w:bookmarkStart w:id="3113" w:name="_Toc490066359"/>
      <w:bookmarkStart w:id="3114" w:name="_Toc31716045"/>
      <w:r w:rsidRPr="002C0D19">
        <w:rPr>
          <w:lang w:val="es-ES"/>
        </w:rPr>
        <w:t>TÍTULO DÉCIMO</w:t>
      </w:r>
      <w:bookmarkEnd w:id="3103"/>
      <w:bookmarkEnd w:id="3104"/>
      <w:bookmarkEnd w:id="3105"/>
      <w:bookmarkEnd w:id="3106"/>
      <w:bookmarkEnd w:id="3107"/>
      <w:bookmarkEnd w:id="3108"/>
      <w:bookmarkEnd w:id="3109"/>
      <w:bookmarkEnd w:id="3110"/>
      <w:bookmarkEnd w:id="3111"/>
      <w:bookmarkEnd w:id="3112"/>
      <w:bookmarkEnd w:id="3113"/>
      <w:bookmarkEnd w:id="3114"/>
    </w:p>
    <w:p w14:paraId="78D94017" w14:textId="77777777" w:rsidR="007968EC" w:rsidRPr="002C0D19" w:rsidRDefault="007968EC" w:rsidP="007968EC">
      <w:pPr>
        <w:pStyle w:val="TTULO"/>
        <w:rPr>
          <w:lang w:val="es-ES"/>
        </w:rPr>
      </w:pPr>
    </w:p>
    <w:p w14:paraId="417CAE5D" w14:textId="77777777" w:rsidR="007968EC" w:rsidRPr="002C0D19" w:rsidRDefault="007968EC" w:rsidP="007968EC">
      <w:pPr>
        <w:pStyle w:val="TTULO"/>
        <w:rPr>
          <w:lang w:val="es-ES"/>
        </w:rPr>
      </w:pPr>
      <w:bookmarkStart w:id="3115" w:name="_Toc472592227"/>
      <w:bookmarkStart w:id="3116" w:name="_Toc472593246"/>
      <w:bookmarkStart w:id="3117" w:name="_Toc479057032"/>
      <w:bookmarkStart w:id="3118" w:name="_Toc490066360"/>
      <w:bookmarkStart w:id="3119" w:name="_Toc31716046"/>
      <w:r w:rsidRPr="002C0D19">
        <w:rPr>
          <w:lang w:val="es-ES"/>
        </w:rPr>
        <w:t>CAPÍTULO PRIMERO</w:t>
      </w:r>
      <w:bookmarkEnd w:id="3115"/>
      <w:bookmarkEnd w:id="3116"/>
      <w:bookmarkEnd w:id="3117"/>
      <w:bookmarkEnd w:id="3118"/>
      <w:bookmarkEnd w:id="3119"/>
      <w:r w:rsidRPr="002C0D19">
        <w:rPr>
          <w:lang w:val="es-ES"/>
        </w:rPr>
        <w:t xml:space="preserve"> </w:t>
      </w:r>
    </w:p>
    <w:p w14:paraId="6739F0F0" w14:textId="77777777" w:rsidR="007968EC" w:rsidRPr="002C0D19" w:rsidRDefault="007968EC" w:rsidP="007968EC">
      <w:pPr>
        <w:pStyle w:val="TTULO"/>
        <w:rPr>
          <w:lang w:val="es-ES"/>
        </w:rPr>
      </w:pPr>
    </w:p>
    <w:p w14:paraId="34DD0825" w14:textId="77777777" w:rsidR="007968EC" w:rsidRPr="002C0D19" w:rsidRDefault="007968EC" w:rsidP="007968EC">
      <w:pPr>
        <w:pStyle w:val="TTULO"/>
        <w:rPr>
          <w:lang w:val="es-ES"/>
        </w:rPr>
      </w:pPr>
      <w:bookmarkStart w:id="3120" w:name="_Toc470775558"/>
      <w:bookmarkStart w:id="3121" w:name="_Toc470779843"/>
      <w:bookmarkStart w:id="3122" w:name="_Toc470780460"/>
      <w:bookmarkStart w:id="3123" w:name="_Toc470780973"/>
      <w:bookmarkStart w:id="3124" w:name="_Toc470784534"/>
      <w:bookmarkStart w:id="3125" w:name="_Toc470785071"/>
      <w:bookmarkStart w:id="3126" w:name="_Toc470791457"/>
      <w:bookmarkStart w:id="3127" w:name="_Toc472592228"/>
      <w:bookmarkStart w:id="3128" w:name="_Toc472593247"/>
      <w:bookmarkStart w:id="3129" w:name="_Toc479057033"/>
      <w:bookmarkStart w:id="3130" w:name="_Toc490066361"/>
      <w:bookmarkStart w:id="3131" w:name="_Toc31716047"/>
      <w:r w:rsidRPr="002C0D19">
        <w:rPr>
          <w:lang w:val="es-ES"/>
        </w:rPr>
        <w:t>TARIFAS.</w:t>
      </w:r>
      <w:bookmarkEnd w:id="3120"/>
      <w:bookmarkEnd w:id="3121"/>
      <w:bookmarkEnd w:id="3122"/>
      <w:bookmarkEnd w:id="3123"/>
      <w:bookmarkEnd w:id="3124"/>
      <w:bookmarkEnd w:id="3125"/>
      <w:bookmarkEnd w:id="3126"/>
      <w:bookmarkEnd w:id="3127"/>
      <w:bookmarkEnd w:id="3128"/>
      <w:bookmarkEnd w:id="3129"/>
      <w:bookmarkEnd w:id="3130"/>
      <w:bookmarkEnd w:id="3131"/>
    </w:p>
    <w:p w14:paraId="1E8E4EEE" w14:textId="77777777" w:rsidR="007968EC" w:rsidRPr="002C0D19" w:rsidRDefault="007968EC" w:rsidP="007968EC">
      <w:pPr>
        <w:jc w:val="both"/>
        <w:outlineLvl w:val="0"/>
        <w:rPr>
          <w:rFonts w:ascii="Arial Narrow" w:hAnsi="Arial Narrow" w:cs="Arial"/>
          <w:color w:val="000000" w:themeColor="text1"/>
          <w:lang w:val="es-ES" w:eastAsia="es-ES"/>
        </w:rPr>
      </w:pPr>
    </w:p>
    <w:p w14:paraId="5476D1FB" w14:textId="77777777" w:rsidR="007968EC" w:rsidRDefault="007968EC" w:rsidP="007968EC">
      <w:pPr>
        <w:pStyle w:val="ARTICULO0"/>
      </w:pPr>
      <w:bookmarkStart w:id="3132" w:name="_Toc472592229"/>
      <w:bookmarkStart w:id="3133" w:name="_Toc472593248"/>
      <w:bookmarkStart w:id="3134" w:name="_Toc479057034"/>
      <w:bookmarkStart w:id="3135" w:name="_Toc31716048"/>
      <w:bookmarkStart w:id="3136" w:name="_Toc470775559"/>
      <w:bookmarkStart w:id="3137" w:name="_Toc470779844"/>
      <w:bookmarkStart w:id="3138" w:name="_Toc470780461"/>
      <w:bookmarkStart w:id="3139" w:name="_Toc470780974"/>
      <w:bookmarkStart w:id="3140" w:name="_Toc470784535"/>
      <w:bookmarkStart w:id="3141" w:name="_Toc470785072"/>
      <w:bookmarkStart w:id="3142" w:name="_Toc470791458"/>
      <w:bookmarkStart w:id="3143" w:name="_Toc490066362"/>
      <w:r w:rsidRPr="002C0D19">
        <w:t>Artículo 1.10.1.1. Tarifas por los servicios del Sistema de la Cámara.</w:t>
      </w:r>
      <w:bookmarkEnd w:id="3132"/>
      <w:bookmarkEnd w:id="3133"/>
      <w:bookmarkEnd w:id="3134"/>
      <w:bookmarkEnd w:id="3135"/>
      <w:r w:rsidRPr="002C0D19">
        <w:t xml:space="preserve"> </w:t>
      </w:r>
    </w:p>
    <w:p w14:paraId="6D627BFF" w14:textId="77777777" w:rsidR="007968EC" w:rsidRPr="000E6636" w:rsidRDefault="007968EC" w:rsidP="007968EC">
      <w:pPr>
        <w:autoSpaceDE w:val="0"/>
        <w:autoSpaceDN w:val="0"/>
        <w:jc w:val="both"/>
        <w:rPr>
          <w:rFonts w:ascii="Arial Narrow" w:hAnsi="Arial Narrow" w:cs="Arial"/>
          <w:b/>
          <w:bCs/>
          <w:color w:val="000000" w:themeColor="text1"/>
          <w:lang w:eastAsia="es-ES"/>
        </w:rPr>
      </w:pPr>
    </w:p>
    <w:p w14:paraId="763BE277" w14:textId="77777777" w:rsidR="007968EC" w:rsidRPr="00BD4DB7" w:rsidRDefault="007968EC" w:rsidP="00BD4DB7">
      <w:pPr>
        <w:pStyle w:val="Ttulo0"/>
        <w:jc w:val="both"/>
        <w:rPr>
          <w:rFonts w:ascii="Arial Narrow" w:hAnsi="Arial Narrow"/>
          <w:b/>
          <w:bCs/>
          <w:u w:val="none"/>
        </w:rPr>
      </w:pPr>
      <w:r w:rsidRPr="00BD4DB7">
        <w:rPr>
          <w:rFonts w:ascii="Arial Narrow" w:hAnsi="Arial Narrow"/>
          <w:b/>
          <w:bCs/>
          <w:u w:val="none"/>
        </w:rPr>
        <w:lastRenderedPageBreak/>
        <w:t xml:space="preserve">(Fe de Erratas, Circular 4 del 13 de noviembre de 2008 publicada mediante Boletín Normativo No. 006 del 13 de noviembre de 2008. Este artículo fue modificado mediante Circular 7 del 10 de junio de 2009, publicada en el Boletín Normativo No. 008 del 10 de junio de 2009, mediante Circular 3 del 17 de febrero de 2010, publicada en el Boletín Normativo No. 003 del 17 de febrero de 2010, mediante Circular 5 del 8 de marzo de 2010, publicada en el Boletín Normativo No. 005 del 8 de marzo de 2010, mediante Circular 6 del 29 de marzo de 2010, publicada en el Boletín Normativo No. 008 del 29 de marzo de 2010, mediante Circular 10 del 28 de junio de 2010, publicada en el Boletín Normativo No. 012 del 28 de junio de 2010, mediante Circular 16 del 1 de octubre de 2010, publicada en el Boletín Normativo No. 018 del 1 de octubre de 2010, mediante Circular 18 del 25 de octubre de 2010, publicada en el Boletín Normativo No. 020 del 25 de octubre de 2010, mediante Circular 2 del 27 de enero de 2011, publicada en el Boletín Normativo No. 002 del 27 de enero de 2011, mediante Circular 4 del 28 de febrero de 2011, publicada en el Boletín Normativo No. 004 del 28 de febrero de 2011, mediante Circular 11 del 21 de junio de 2011, publicada en el Boletín Normativo No. 013 del 21 de junio de 2011, mediante </w:t>
      </w:r>
      <w:r w:rsidRPr="00BD4DB7">
        <w:rPr>
          <w:rFonts w:ascii="Arial Narrow" w:hAnsi="Arial Narrow"/>
          <w:b/>
          <w:bCs/>
          <w:u w:val="none"/>
          <w:lang w:val="es-ES_tradnl"/>
        </w:rPr>
        <w:t>Circular 13 del 26 de julio de 2011, publicada en el Boletín Normativo No. 016 del 26 de julio de 2011,</w:t>
      </w:r>
      <w:r w:rsidRPr="00BD4DB7">
        <w:rPr>
          <w:rFonts w:ascii="Arial Narrow" w:hAnsi="Arial Narrow"/>
          <w:b/>
          <w:bCs/>
          <w:u w:val="none"/>
        </w:rPr>
        <w:t xml:space="preserve"> mediante Circular 15 del 3 de agosto de 2011, publicada en el Boletín Normativo No. 018 del 3 de agosto de 2011, mediante Circular 18 del 29 de septiembre de 2011, publicada en el Boletín Normativo No. 021 del 29 de septiembre de 2011, mediante Circular 24 del 23 de diciembre de 2011, publicada en el Boletín Normativo No. 027 del 23 de diciembre de 2011, mediante Circular 9 del 7 de junio de 2012, publicada en el Boletín Normativo No. 009 del 7 de junio de 2012, mediante Circular 10 del 14 de junio de 2012, publicada en el Boletín Normativo No. 010 del 14 de junio de 2012,  mediante Circular 12 del 27 de junio de 2012, publicada en el Boletín Normativo No. 012 del 27 de junio de 2012, mediante Circular 23 del 20 de diciembre de 2012, publicada en el Boletín Normativo No. 023 del 20 de diciembre de 2012, mediante Circular 5 del 12 de marzo de 2013, publicada en el Boletín Normativo No.016 del 12 de marzo de 2013, mediante Circular 6 del 15 de marzo de 2013, publicada en el Boletín Normativo No. 007 del 15 de marzo de 2013, mediante Circular 16 del 13 de junio de 2013, publicada en el Boletín Normativo No. 017 del 13 de junio de 2013, mediante Circular 29 del 16 de octubre de 2013, publicada en el Boletín Normativo No. 029 del 16 de octubre de 2013, mediante Circular 33 del 9 de diciembre de 2013, publicada en el Boletín Normativo No. 037 del 9 de diciembre de 2013, mediante Circular 12 del 4 de julio de 2014, publicada en el Boletín Normativo No. 014 del 4 de julio de 2014, mediante Circular 19 del 17 de octubre de 2014, publicada en el Boletín Normativo No. 022 del 17 de octubre de 2014 y mediante Circular 22 del 14 de noviembre de 2014, publicada en el Boletín Normativo No. 025 del 14 de noviembre de 2014, mediante Circular 029 del 22 de diciembre de 2014, publicada en el Boletín Normativo No. 029 del 22 de diciembre de 2014, mediante Circular 4 del 2 de febrero de 2015, publicada en el Boletín Normativo No. 003 del 2 de febrero de 2015,  mediante Circular 10 del 18 de marzo de 2015, publicada en el Boletín Normativo No. 010 del 18 de marzo de 2015, mediante Circular 24 del 6 de agosto de 2015, publicada en el Boletín Normativo No. 026 del 6 de agosto de 2015, mediante Circular 27 del 26 de agosto de 2015, publicada en el Boletín Normativo No. 029 del 26 de agosto de 2015, mediante Circular 35 del 21 de diciembre de 2015, publicada en el Boletín Normativo No. 041 del 21 de diciembre de 2015, mediante Circular 001 del 15 de enero de 2016, publicada en el Boletín Normativo No. 001 del 15 de enero de 2016,</w:t>
      </w:r>
      <w:r w:rsidRPr="00BD4DB7">
        <w:rPr>
          <w:rFonts w:ascii="Arial Narrow" w:hAnsi="Arial Narrow"/>
          <w:b/>
          <w:bCs/>
          <w:u w:val="none"/>
          <w:lang w:val="es-ES"/>
        </w:rPr>
        <w:t xml:space="preserve"> mediante Circular 5 del 3 de febrero de 2016, publicada en el Boletín Normativo No. 005 del 3 de febrero de 2016,  mediante Circular 16 del 9 de diciembre de 2016, publicada mediante Boletín Normativo No. 020 del 9 de diciembre de 2016, </w:t>
      </w:r>
      <w:r w:rsidRPr="00BD4DB7">
        <w:rPr>
          <w:rFonts w:ascii="Arial Narrow" w:hAnsi="Arial Narrow"/>
          <w:b/>
          <w:bCs/>
          <w:u w:val="none"/>
        </w:rPr>
        <w:t xml:space="preserve">mediante Circular 19 del 28 de diciembre de 2016, publicada en el Boletín Normativo No. 024 del 28 </w:t>
      </w:r>
      <w:r w:rsidRPr="00BD4DB7">
        <w:rPr>
          <w:rFonts w:ascii="Arial Narrow" w:hAnsi="Arial Narrow"/>
          <w:b/>
          <w:bCs/>
          <w:u w:val="none"/>
        </w:rPr>
        <w:lastRenderedPageBreak/>
        <w:t>de diciembre de 2016</w:t>
      </w:r>
      <w:bookmarkEnd w:id="3136"/>
      <w:bookmarkEnd w:id="3137"/>
      <w:bookmarkEnd w:id="3138"/>
      <w:bookmarkEnd w:id="3139"/>
      <w:bookmarkEnd w:id="3140"/>
      <w:bookmarkEnd w:id="3141"/>
      <w:bookmarkEnd w:id="3142"/>
      <w:r w:rsidRPr="00BD4DB7">
        <w:rPr>
          <w:rFonts w:ascii="Arial Narrow" w:hAnsi="Arial Narrow"/>
          <w:b/>
          <w:bCs/>
          <w:u w:val="none"/>
        </w:rPr>
        <w:t xml:space="preserve">, mediante Circular 2 del 11 de enero de 2017, publicada en el Boletín Normativo No. 002 del 11 de enero de 2017, mediante Circular 5 del 8 de febrero de 2017 publicada en el Boletín Normativo No.005 del 8 de febrero de 2017, mediante Circular 6 del 14 de febrero de 2017, publicada en el Boletín Normativo No. 006 del 14 de febrero de 2017, mediante Circular 8 del 31 de marzo de 2017, publicada en el Boletín Normativo No. 008 del 31 de marzo de 2017, mediante Circular 9 del 7 de abril de 2017, publicada en el Boletín Normativo No. 009 del 7 de abril de 2017, mediante Circular 13 del 14 de julio de 2017, publicada en el Boletín Normativo No. 013 del 14 de julio de 2017, mediante Circular 14 del 8 de agosto de 2017, publicada en el Boletín Normativo No. 015 del 8 de agosto de 2017, mediante Circular 17 del 31 de agosto de 2017, publicada en el Boletín Normativo No. 018 del 31 de agosto de 2017, mediante Circular 26 del 19 de diciembre de 2017, publicada en el Boletín Normativo No. 033 del 19 de diciembre de 2017, </w:t>
      </w:r>
      <w:bookmarkStart w:id="3144" w:name="_Hlk506965359"/>
      <w:r w:rsidRPr="00BD4DB7">
        <w:rPr>
          <w:rFonts w:ascii="Arial Narrow" w:hAnsi="Arial Narrow"/>
          <w:b/>
          <w:bCs/>
          <w:u w:val="none"/>
        </w:rPr>
        <w:t>mediante Circular 2 del 20 de febrero de 2018, publicada en el Boletín Normativo No. 003 del 20 de febrero de 2018, mediante Circular 4 del 21 de marzo de 2018, publicada en el Boletín Normativo No. 007 del 21 de marzo de 2018, mediante Circular 5 del 12 de abril de 2018, publicada en el Boletín Normativo No. 008 del 12 de abril de 2018, mediante Circular 7 del 9 de mayo de 2018, publicada en el Boletín Normativo No. 010 del 9 de mayo de 2018,  mediante Circular 11 del 3 de agosto de 2018, publicada en el Boletín Normativo No. 17 del 3 de agosto de 2018, mediante Circular 15 del 18 de diciembre de 2018, publicada en el Boletín Normativo No. 28 del 18 de diciembre de 2018, mediante Circular 1 del 15 de enero de 2019, publicada en el Boletín Normativo No.001 del 15 de enero de 2019, mediante Circular 7 del 16 de mayo de 2019, publicada en el Boletín No. 019 del 16 de mayo de 2019, mediante Circular 12 del 9 de agosto de 2019, publicada en el Boletín Normativo No. 025 del 9 de agosto de 2019</w:t>
      </w:r>
      <w:bookmarkEnd w:id="3143"/>
      <w:bookmarkEnd w:id="3144"/>
      <w:r w:rsidRPr="00BD4DB7">
        <w:rPr>
          <w:rFonts w:ascii="Arial Narrow" w:hAnsi="Arial Narrow"/>
          <w:b/>
          <w:bCs/>
          <w:u w:val="none"/>
        </w:rPr>
        <w:t>, mediante Circular 19 del 22 de noviembre de 2019, publicada en el Boletín Normativo No. 034 del 22 de noviembre de 2019, y mediante Circular 21 del 19 de diciembre de 2019, publicada en el Boletín Normativo No. 036 del 19 de diciembre de 2019. Rige a partir del 2 de enero de 2020).</w:t>
      </w:r>
    </w:p>
    <w:p w14:paraId="726BE0BE" w14:textId="77777777" w:rsidR="007968EC" w:rsidRDefault="007968EC" w:rsidP="007968EC">
      <w:pPr>
        <w:rPr>
          <w:rFonts w:ascii="Arial Narrow" w:hAnsi="Arial Narrow" w:cs="Arial"/>
          <w:b/>
          <w:lang w:eastAsia="es-ES"/>
        </w:rPr>
      </w:pPr>
    </w:p>
    <w:p w14:paraId="2F99E06C" w14:textId="77777777" w:rsidR="007968EC" w:rsidRPr="00207D41" w:rsidRDefault="007968EC" w:rsidP="007968EC">
      <w:pPr>
        <w:jc w:val="both"/>
        <w:rPr>
          <w:rFonts w:ascii="Arial Narrow" w:hAnsi="Arial Narrow" w:cs="Arial"/>
          <w:lang w:val="es-ES" w:eastAsia="es-ES"/>
        </w:rPr>
      </w:pPr>
      <w:bookmarkStart w:id="3145" w:name="_Hlk514430576"/>
      <w:r w:rsidRPr="00207D41">
        <w:rPr>
          <w:rFonts w:ascii="Arial Narrow" w:hAnsi="Arial Narrow" w:cs="Arial"/>
          <w:lang w:val="es-ES" w:eastAsia="es-ES"/>
        </w:rPr>
        <w:t xml:space="preserve">La estructura tarifaria de la Cámara se compone de cargos fijos, cargos variables y cargos denominados no periódicos y de conformidad con lo establecido en el artículo 2.1.13. del Reglamento de Funcionamiento, las tarifas que la Cámara cobrará son las siguientes: </w:t>
      </w:r>
    </w:p>
    <w:p w14:paraId="3D434B67" w14:textId="77777777" w:rsidR="007968EC" w:rsidRPr="00207D41" w:rsidRDefault="007968EC" w:rsidP="007968EC">
      <w:pPr>
        <w:jc w:val="both"/>
        <w:rPr>
          <w:rFonts w:ascii="Arial Narrow" w:hAnsi="Arial Narrow" w:cs="Arial"/>
          <w:lang w:val="es-ES" w:eastAsia="es-ES"/>
        </w:rPr>
      </w:pPr>
    </w:p>
    <w:tbl>
      <w:tblPr>
        <w:tblW w:w="949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19"/>
        <w:gridCol w:w="1570"/>
        <w:gridCol w:w="2552"/>
        <w:gridCol w:w="4254"/>
      </w:tblGrid>
      <w:tr w:rsidR="007968EC" w:rsidRPr="00207D41" w14:paraId="55A8B0A5" w14:textId="77777777" w:rsidTr="007968EC">
        <w:trPr>
          <w:tblHeader/>
        </w:trPr>
        <w:tc>
          <w:tcPr>
            <w:tcW w:w="1119" w:type="dxa"/>
            <w:tcBorders>
              <w:top w:val="single" w:sz="12" w:space="0" w:color="auto"/>
              <w:left w:val="single" w:sz="12" w:space="0" w:color="auto"/>
              <w:bottom w:val="single" w:sz="12" w:space="0" w:color="auto"/>
              <w:right w:val="single" w:sz="12" w:space="0" w:color="auto"/>
            </w:tcBorders>
            <w:shd w:val="clear" w:color="auto" w:fill="E6E6E6"/>
            <w:vAlign w:val="center"/>
            <w:hideMark/>
          </w:tcPr>
          <w:p w14:paraId="59B082C9" w14:textId="77777777" w:rsidR="007968EC" w:rsidRPr="00207D41" w:rsidRDefault="007968EC" w:rsidP="007968EC">
            <w:pPr>
              <w:jc w:val="center"/>
              <w:rPr>
                <w:rFonts w:ascii="Arial Narrow" w:hAnsi="Arial Narrow" w:cs="Arial"/>
                <w:b/>
                <w:lang w:val="es-ES" w:eastAsia="es-ES"/>
              </w:rPr>
            </w:pPr>
            <w:r w:rsidRPr="00207D41">
              <w:rPr>
                <w:rFonts w:ascii="Arial Narrow" w:hAnsi="Arial Narrow" w:cs="Arial"/>
                <w:b/>
                <w:lang w:val="es-ES" w:eastAsia="es-ES"/>
              </w:rPr>
              <w:t>Tipo de Cargo</w:t>
            </w:r>
          </w:p>
        </w:tc>
        <w:tc>
          <w:tcPr>
            <w:tcW w:w="1570" w:type="dxa"/>
            <w:tcBorders>
              <w:top w:val="single" w:sz="12" w:space="0" w:color="auto"/>
              <w:left w:val="single" w:sz="12" w:space="0" w:color="auto"/>
              <w:bottom w:val="single" w:sz="12" w:space="0" w:color="auto"/>
              <w:right w:val="single" w:sz="12" w:space="0" w:color="auto"/>
            </w:tcBorders>
            <w:shd w:val="clear" w:color="auto" w:fill="E6E6E6"/>
            <w:vAlign w:val="center"/>
            <w:hideMark/>
          </w:tcPr>
          <w:p w14:paraId="63964716" w14:textId="77777777" w:rsidR="007968EC" w:rsidRPr="00207D41" w:rsidRDefault="007968EC" w:rsidP="007968EC">
            <w:pPr>
              <w:jc w:val="center"/>
              <w:rPr>
                <w:rFonts w:ascii="Arial Narrow" w:hAnsi="Arial Narrow" w:cs="Arial"/>
                <w:b/>
                <w:lang w:val="es-ES" w:eastAsia="es-ES"/>
              </w:rPr>
            </w:pPr>
            <w:r w:rsidRPr="00207D41">
              <w:rPr>
                <w:rFonts w:ascii="Arial Narrow" w:hAnsi="Arial Narrow" w:cs="Arial"/>
                <w:b/>
                <w:lang w:val="es-ES" w:eastAsia="es-ES"/>
              </w:rPr>
              <w:t>Nombre de Cargo</w:t>
            </w:r>
          </w:p>
        </w:tc>
        <w:tc>
          <w:tcPr>
            <w:tcW w:w="2552" w:type="dxa"/>
            <w:tcBorders>
              <w:top w:val="single" w:sz="12" w:space="0" w:color="auto"/>
              <w:left w:val="single" w:sz="12" w:space="0" w:color="auto"/>
              <w:bottom w:val="single" w:sz="12" w:space="0" w:color="auto"/>
              <w:right w:val="single" w:sz="12" w:space="0" w:color="auto"/>
            </w:tcBorders>
            <w:shd w:val="clear" w:color="auto" w:fill="E6E6E6"/>
            <w:vAlign w:val="center"/>
            <w:hideMark/>
          </w:tcPr>
          <w:p w14:paraId="173210AE" w14:textId="77777777" w:rsidR="007968EC" w:rsidRPr="00207D41" w:rsidRDefault="007968EC" w:rsidP="007968EC">
            <w:pPr>
              <w:jc w:val="center"/>
              <w:rPr>
                <w:rFonts w:ascii="Arial Narrow" w:hAnsi="Arial Narrow" w:cs="Arial"/>
                <w:b/>
                <w:lang w:val="es-ES" w:eastAsia="es-ES"/>
              </w:rPr>
            </w:pPr>
            <w:r w:rsidRPr="00207D41">
              <w:rPr>
                <w:rFonts w:ascii="Arial Narrow" w:hAnsi="Arial Narrow" w:cs="Arial"/>
                <w:b/>
                <w:lang w:val="es-ES" w:eastAsia="es-ES"/>
              </w:rPr>
              <w:t>Descripción de la tarifa</w:t>
            </w:r>
          </w:p>
        </w:tc>
        <w:tc>
          <w:tcPr>
            <w:tcW w:w="4254" w:type="dxa"/>
            <w:tcBorders>
              <w:top w:val="single" w:sz="12" w:space="0" w:color="auto"/>
              <w:left w:val="single" w:sz="12" w:space="0" w:color="auto"/>
              <w:bottom w:val="single" w:sz="12" w:space="0" w:color="auto"/>
              <w:right w:val="single" w:sz="12" w:space="0" w:color="auto"/>
            </w:tcBorders>
            <w:shd w:val="clear" w:color="auto" w:fill="E6E6E6"/>
            <w:vAlign w:val="center"/>
            <w:hideMark/>
          </w:tcPr>
          <w:p w14:paraId="76B69616" w14:textId="77777777" w:rsidR="007968EC" w:rsidRPr="00207D41" w:rsidRDefault="007968EC" w:rsidP="007968EC">
            <w:pPr>
              <w:jc w:val="center"/>
              <w:rPr>
                <w:rFonts w:ascii="Arial Narrow" w:hAnsi="Arial Narrow" w:cs="Arial"/>
                <w:b/>
                <w:lang w:val="es-ES" w:eastAsia="es-ES"/>
              </w:rPr>
            </w:pPr>
            <w:r w:rsidRPr="00207D41">
              <w:rPr>
                <w:rFonts w:ascii="Arial Narrow" w:hAnsi="Arial Narrow" w:cs="Arial"/>
                <w:b/>
                <w:lang w:val="es-ES" w:eastAsia="es-ES"/>
              </w:rPr>
              <w:t>Importe del Cargo</w:t>
            </w:r>
          </w:p>
        </w:tc>
      </w:tr>
      <w:tr w:rsidR="007968EC" w:rsidRPr="00207D41" w14:paraId="4B695DEA" w14:textId="77777777" w:rsidTr="007968EC">
        <w:tc>
          <w:tcPr>
            <w:tcW w:w="1119" w:type="dxa"/>
            <w:tcBorders>
              <w:top w:val="single" w:sz="12" w:space="0" w:color="auto"/>
              <w:left w:val="single" w:sz="12" w:space="0" w:color="auto"/>
              <w:bottom w:val="single" w:sz="12" w:space="0" w:color="auto"/>
              <w:right w:val="single" w:sz="12" w:space="0" w:color="auto"/>
            </w:tcBorders>
            <w:hideMark/>
          </w:tcPr>
          <w:p w14:paraId="438D7E16" w14:textId="77777777" w:rsidR="007968EC" w:rsidRPr="00207D41" w:rsidRDefault="007968EC" w:rsidP="007968EC">
            <w:pPr>
              <w:jc w:val="center"/>
              <w:rPr>
                <w:rFonts w:ascii="Arial Narrow" w:hAnsi="Arial Narrow" w:cs="Arial"/>
                <w:lang w:val="es-ES" w:eastAsia="es-ES"/>
              </w:rPr>
            </w:pPr>
            <w:r w:rsidRPr="00207D41">
              <w:rPr>
                <w:rFonts w:ascii="Arial Narrow" w:hAnsi="Arial Narrow" w:cs="Arial"/>
                <w:lang w:val="es-ES" w:eastAsia="es-ES"/>
              </w:rPr>
              <w:t>Fijo</w:t>
            </w:r>
          </w:p>
        </w:tc>
        <w:tc>
          <w:tcPr>
            <w:tcW w:w="1570" w:type="dxa"/>
            <w:tcBorders>
              <w:top w:val="single" w:sz="12" w:space="0" w:color="auto"/>
              <w:left w:val="single" w:sz="12" w:space="0" w:color="auto"/>
              <w:bottom w:val="single" w:sz="12" w:space="0" w:color="auto"/>
              <w:right w:val="single" w:sz="12" w:space="0" w:color="auto"/>
            </w:tcBorders>
            <w:hideMark/>
          </w:tcPr>
          <w:p w14:paraId="262AEB29" w14:textId="77777777" w:rsidR="007968EC" w:rsidRPr="00207D41" w:rsidRDefault="007968EC" w:rsidP="007968EC">
            <w:pPr>
              <w:jc w:val="center"/>
              <w:rPr>
                <w:rFonts w:ascii="Arial Narrow" w:hAnsi="Arial Narrow" w:cs="Arial"/>
                <w:lang w:val="es-ES" w:eastAsia="es-ES"/>
              </w:rPr>
            </w:pPr>
            <w:r w:rsidRPr="00207D41">
              <w:rPr>
                <w:rFonts w:ascii="Arial Narrow" w:hAnsi="Arial Narrow" w:cs="Arial"/>
                <w:lang w:val="es-ES" w:eastAsia="es-ES"/>
              </w:rPr>
              <w:t>Membresía</w:t>
            </w:r>
          </w:p>
        </w:tc>
        <w:tc>
          <w:tcPr>
            <w:tcW w:w="2552" w:type="dxa"/>
            <w:tcBorders>
              <w:top w:val="single" w:sz="12" w:space="0" w:color="auto"/>
              <w:left w:val="single" w:sz="12" w:space="0" w:color="auto"/>
              <w:bottom w:val="single" w:sz="12" w:space="0" w:color="auto"/>
              <w:right w:val="single" w:sz="12" w:space="0" w:color="auto"/>
            </w:tcBorders>
            <w:hideMark/>
          </w:tcPr>
          <w:p w14:paraId="578C3D37"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Pago inicial que se realiza por afiliación al Sistema de Compensación y Liquidación de la CÁMARA.</w:t>
            </w:r>
          </w:p>
          <w:p w14:paraId="3A153F19" w14:textId="77777777" w:rsidR="007968EC" w:rsidRPr="00207D41" w:rsidRDefault="007968EC" w:rsidP="007968EC">
            <w:pPr>
              <w:jc w:val="both"/>
              <w:rPr>
                <w:rFonts w:ascii="Arial Narrow" w:hAnsi="Arial Narrow" w:cs="Arial"/>
                <w:lang w:val="es-ES" w:eastAsia="es-ES"/>
              </w:rPr>
            </w:pPr>
          </w:p>
          <w:p w14:paraId="5C226CEF"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 xml:space="preserve">Este pago le permite al Miembro participar en la Compensación y Liquidación en todos los Segmentos de la Cámara </w:t>
            </w:r>
            <w:r w:rsidRPr="00207D41">
              <w:rPr>
                <w:rFonts w:ascii="Arial Narrow" w:hAnsi="Arial Narrow" w:cs="Arial"/>
                <w:lang w:val="es-ES" w:eastAsia="es-ES"/>
              </w:rPr>
              <w:lastRenderedPageBreak/>
              <w:t>excepto en el Segmento Swaps para el cual se establece un cobro adicional e independiente. Se cobra por una sola vez tanto a los Miembros Liquidadores como a los Miembros no Liquidadores. Al Miembro no Liquidador que sea admitido como Miembro Liquidador Individual se le cobra el importe del cargo de Miembro Liquidador a los seis (6) meses de su afiliación al Sistema siempre y cuando para esa fecha esté actuando en ambas modalidades respecto de Segmentos distintos de la Cámara, salvo si se trata del Segmento Swaps.</w:t>
            </w:r>
          </w:p>
          <w:p w14:paraId="2FB9F846" w14:textId="77777777" w:rsidR="007968EC" w:rsidRPr="00207D41" w:rsidRDefault="007968EC" w:rsidP="007968EC">
            <w:pPr>
              <w:jc w:val="both"/>
              <w:rPr>
                <w:rFonts w:ascii="Arial Narrow" w:hAnsi="Arial Narrow" w:cs="Arial"/>
                <w:lang w:val="es-ES" w:eastAsia="es-ES"/>
              </w:rPr>
            </w:pPr>
          </w:p>
          <w:p w14:paraId="0C765B0B"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 xml:space="preserve">Segmento Swaps: Pago para participar en el Segmento Swaps. Se cobra por una sola vez tanto a los Miembros Liquidadores como a los Miembros no Liquidadores. </w:t>
            </w:r>
          </w:p>
          <w:p w14:paraId="338F5EA8" w14:textId="77777777" w:rsidR="007968EC" w:rsidRPr="00207D41" w:rsidRDefault="007968EC" w:rsidP="007968EC">
            <w:pPr>
              <w:jc w:val="both"/>
              <w:rPr>
                <w:rFonts w:ascii="Arial Narrow" w:hAnsi="Arial Narrow" w:cs="Arial"/>
                <w:lang w:val="es-ES" w:eastAsia="es-ES"/>
              </w:rPr>
            </w:pPr>
          </w:p>
          <w:p w14:paraId="1E2F2C93"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 xml:space="preserve">El Miembro que haya sido admitido para participar únicamente en el Segmento Swaps se le cobrará solo esta tarifa de Membresía, pero cuando solicite el ingreso a otro </w:t>
            </w:r>
            <w:r w:rsidRPr="00207D41">
              <w:rPr>
                <w:rFonts w:ascii="Arial Narrow" w:hAnsi="Arial Narrow" w:cs="Arial"/>
                <w:lang w:val="es-ES" w:eastAsia="es-ES"/>
              </w:rPr>
              <w:lastRenderedPageBreak/>
              <w:t xml:space="preserve">Segmento se le cobrará adicionalmente la tarifa prevista para los demás Segmentos. </w:t>
            </w:r>
          </w:p>
          <w:p w14:paraId="12CDB934" w14:textId="77777777" w:rsidR="007968EC" w:rsidRPr="00207D41" w:rsidRDefault="007968EC" w:rsidP="007968EC">
            <w:pPr>
              <w:jc w:val="both"/>
              <w:rPr>
                <w:rFonts w:ascii="Arial Narrow" w:hAnsi="Arial Narrow" w:cs="Arial"/>
                <w:lang w:val="es-ES" w:eastAsia="es-ES"/>
              </w:rPr>
            </w:pPr>
          </w:p>
        </w:tc>
        <w:tc>
          <w:tcPr>
            <w:tcW w:w="4254" w:type="dxa"/>
            <w:tcBorders>
              <w:top w:val="single" w:sz="12" w:space="0" w:color="auto"/>
              <w:left w:val="single" w:sz="12" w:space="0" w:color="auto"/>
              <w:bottom w:val="single" w:sz="12" w:space="0" w:color="auto"/>
              <w:right w:val="single" w:sz="12" w:space="0" w:color="auto"/>
            </w:tcBorders>
          </w:tcPr>
          <w:p w14:paraId="7946C366"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lastRenderedPageBreak/>
              <w:t xml:space="preserve">Para participar en todos los Segmentos excepto para el Segmento Swaps: </w:t>
            </w:r>
          </w:p>
          <w:p w14:paraId="2AC31325" w14:textId="77777777" w:rsidR="007968EC" w:rsidRPr="00207D41" w:rsidRDefault="007968EC" w:rsidP="007968EC">
            <w:pPr>
              <w:jc w:val="both"/>
              <w:rPr>
                <w:rFonts w:ascii="Arial Narrow" w:hAnsi="Arial Narrow" w:cs="Arial"/>
                <w:lang w:val="es-ES" w:eastAsia="es-ES"/>
              </w:rPr>
            </w:pPr>
          </w:p>
          <w:p w14:paraId="18C24C48"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Miembro Liquidador</w:t>
            </w:r>
          </w:p>
          <w:p w14:paraId="70F537D3"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COP $50.000.000</w:t>
            </w:r>
          </w:p>
          <w:p w14:paraId="0A6B9969" w14:textId="77777777" w:rsidR="007968EC" w:rsidRPr="00207D41" w:rsidRDefault="007968EC" w:rsidP="007968EC">
            <w:pPr>
              <w:jc w:val="both"/>
              <w:rPr>
                <w:rFonts w:ascii="Arial Narrow" w:hAnsi="Arial Narrow" w:cs="Arial"/>
                <w:lang w:val="es-ES" w:eastAsia="es-ES"/>
              </w:rPr>
            </w:pPr>
          </w:p>
          <w:p w14:paraId="5CE8F914"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Miembro no Liquidador</w:t>
            </w:r>
          </w:p>
          <w:p w14:paraId="70A86D59"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COP $5.000.000</w:t>
            </w:r>
          </w:p>
          <w:p w14:paraId="0877DD8E" w14:textId="77777777" w:rsidR="007968EC" w:rsidRPr="00207D41" w:rsidRDefault="007968EC" w:rsidP="007968EC">
            <w:pPr>
              <w:jc w:val="both"/>
              <w:rPr>
                <w:rFonts w:ascii="Arial Narrow" w:hAnsi="Arial Narrow" w:cs="Arial"/>
                <w:lang w:val="es-ES" w:eastAsia="es-ES"/>
              </w:rPr>
            </w:pPr>
          </w:p>
          <w:p w14:paraId="797B4B8D"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Por una sola vez.</w:t>
            </w:r>
          </w:p>
          <w:p w14:paraId="0A0E5E8E" w14:textId="77777777" w:rsidR="007968EC" w:rsidRPr="00207D41" w:rsidRDefault="007968EC" w:rsidP="007968EC">
            <w:pPr>
              <w:jc w:val="both"/>
              <w:rPr>
                <w:rFonts w:ascii="Arial Narrow" w:hAnsi="Arial Narrow" w:cs="Arial"/>
                <w:lang w:val="es-ES" w:eastAsia="es-ES"/>
              </w:rPr>
            </w:pPr>
          </w:p>
          <w:p w14:paraId="644E2AA7" w14:textId="77777777" w:rsidR="007968EC" w:rsidRPr="00207D41" w:rsidRDefault="007968EC" w:rsidP="007968EC">
            <w:pPr>
              <w:jc w:val="both"/>
              <w:rPr>
                <w:rFonts w:ascii="Arial Narrow" w:hAnsi="Arial Narrow" w:cs="Arial"/>
                <w:lang w:val="es-ES" w:eastAsia="es-ES"/>
              </w:rPr>
            </w:pPr>
            <w:bookmarkStart w:id="3146" w:name="_Hlk512283862"/>
            <w:r w:rsidRPr="00207D41">
              <w:rPr>
                <w:rFonts w:ascii="Arial Narrow" w:hAnsi="Arial Narrow" w:cs="Arial"/>
                <w:lang w:val="es-ES" w:eastAsia="es-ES"/>
              </w:rPr>
              <w:lastRenderedPageBreak/>
              <w:t>Para participar en el Segmento Swaps:</w:t>
            </w:r>
          </w:p>
          <w:bookmarkEnd w:id="3146"/>
          <w:p w14:paraId="25C723EF" w14:textId="77777777" w:rsidR="007968EC" w:rsidRPr="00207D41" w:rsidRDefault="007968EC" w:rsidP="007968EC">
            <w:pPr>
              <w:jc w:val="both"/>
              <w:rPr>
                <w:rFonts w:ascii="Arial Narrow" w:hAnsi="Arial Narrow" w:cs="Arial"/>
                <w:lang w:val="es-ES" w:eastAsia="es-ES"/>
              </w:rPr>
            </w:pPr>
          </w:p>
          <w:p w14:paraId="63BA4470"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Miembro Liquidador</w:t>
            </w:r>
          </w:p>
          <w:p w14:paraId="7BE07ADD"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COP $75.000.000</w:t>
            </w:r>
          </w:p>
          <w:p w14:paraId="6DD66BFD" w14:textId="77777777" w:rsidR="007968EC" w:rsidRPr="00207D41" w:rsidRDefault="007968EC" w:rsidP="007968EC">
            <w:pPr>
              <w:jc w:val="both"/>
              <w:rPr>
                <w:rFonts w:ascii="Arial Narrow" w:hAnsi="Arial Narrow" w:cs="Arial"/>
                <w:lang w:val="es-ES" w:eastAsia="es-ES"/>
              </w:rPr>
            </w:pPr>
          </w:p>
          <w:p w14:paraId="55F9C4EA"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Miembro no Liquidador</w:t>
            </w:r>
          </w:p>
          <w:p w14:paraId="6A043686"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COP $7.500.000</w:t>
            </w:r>
          </w:p>
          <w:p w14:paraId="3EAC93A3" w14:textId="77777777" w:rsidR="007968EC" w:rsidRPr="00207D41" w:rsidRDefault="007968EC" w:rsidP="007968EC">
            <w:pPr>
              <w:jc w:val="both"/>
              <w:rPr>
                <w:rFonts w:ascii="Arial Narrow" w:hAnsi="Arial Narrow" w:cs="Arial"/>
                <w:lang w:val="es-ES" w:eastAsia="es-ES"/>
              </w:rPr>
            </w:pPr>
          </w:p>
          <w:p w14:paraId="7DA8AFB3"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Por una sola vez</w:t>
            </w:r>
          </w:p>
        </w:tc>
      </w:tr>
      <w:tr w:rsidR="007968EC" w:rsidRPr="00207D41" w14:paraId="27CCF5D8" w14:textId="77777777" w:rsidTr="007968EC">
        <w:tc>
          <w:tcPr>
            <w:tcW w:w="1119" w:type="dxa"/>
            <w:tcBorders>
              <w:top w:val="single" w:sz="12" w:space="0" w:color="auto"/>
              <w:left w:val="single" w:sz="12" w:space="0" w:color="auto"/>
              <w:bottom w:val="single" w:sz="12" w:space="0" w:color="auto"/>
              <w:right w:val="single" w:sz="12" w:space="0" w:color="auto"/>
            </w:tcBorders>
            <w:hideMark/>
          </w:tcPr>
          <w:p w14:paraId="2444A576" w14:textId="77777777" w:rsidR="007968EC" w:rsidRPr="00207D41" w:rsidRDefault="007968EC" w:rsidP="007968EC">
            <w:pPr>
              <w:jc w:val="center"/>
              <w:rPr>
                <w:rFonts w:ascii="Arial Narrow" w:hAnsi="Arial Narrow" w:cs="Arial"/>
                <w:lang w:val="es-ES" w:eastAsia="es-ES"/>
              </w:rPr>
            </w:pPr>
            <w:r w:rsidRPr="00207D41">
              <w:rPr>
                <w:rFonts w:ascii="Arial Narrow" w:hAnsi="Arial Narrow" w:cs="Arial"/>
                <w:lang w:val="es-ES" w:eastAsia="es-ES"/>
              </w:rPr>
              <w:lastRenderedPageBreak/>
              <w:t>Fijo</w:t>
            </w:r>
          </w:p>
        </w:tc>
        <w:tc>
          <w:tcPr>
            <w:tcW w:w="1570" w:type="dxa"/>
            <w:tcBorders>
              <w:top w:val="single" w:sz="12" w:space="0" w:color="auto"/>
              <w:left w:val="single" w:sz="12" w:space="0" w:color="auto"/>
              <w:bottom w:val="single" w:sz="12" w:space="0" w:color="auto"/>
              <w:right w:val="single" w:sz="12" w:space="0" w:color="auto"/>
            </w:tcBorders>
            <w:hideMark/>
          </w:tcPr>
          <w:p w14:paraId="788C7655" w14:textId="77777777" w:rsidR="007968EC" w:rsidRPr="00207D41" w:rsidRDefault="007968EC" w:rsidP="007968EC">
            <w:pPr>
              <w:jc w:val="center"/>
              <w:rPr>
                <w:rFonts w:ascii="Arial Narrow" w:hAnsi="Arial Narrow" w:cs="Arial"/>
                <w:lang w:val="es-ES" w:eastAsia="es-ES"/>
              </w:rPr>
            </w:pPr>
            <w:r w:rsidRPr="00207D41">
              <w:rPr>
                <w:rFonts w:ascii="Arial Narrow" w:hAnsi="Arial Narrow" w:cs="Arial"/>
                <w:lang w:val="es-ES" w:eastAsia="es-ES"/>
              </w:rPr>
              <w:t>Mantenimiento</w:t>
            </w:r>
          </w:p>
        </w:tc>
        <w:tc>
          <w:tcPr>
            <w:tcW w:w="2552" w:type="dxa"/>
            <w:tcBorders>
              <w:top w:val="single" w:sz="12" w:space="0" w:color="auto"/>
              <w:left w:val="single" w:sz="12" w:space="0" w:color="auto"/>
              <w:bottom w:val="single" w:sz="12" w:space="0" w:color="auto"/>
              <w:right w:val="single" w:sz="12" w:space="0" w:color="auto"/>
            </w:tcBorders>
            <w:hideMark/>
          </w:tcPr>
          <w:p w14:paraId="3FA48C3F"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Importe mensual a cargo de los Miembros Liquidadores y Miembros no Liquidadores y Agentes Custodios en virtud del cual se realiza el mantenimiento de la afiliación al Sistema de Compensación y Liquidación de la CÁMARA para participar en todos los Segmentos excepto en el Segmento Swaps.</w:t>
            </w:r>
          </w:p>
          <w:p w14:paraId="26A51FFC" w14:textId="77777777" w:rsidR="007968EC" w:rsidRPr="00207D41" w:rsidRDefault="007968EC" w:rsidP="007968EC">
            <w:pPr>
              <w:jc w:val="both"/>
              <w:rPr>
                <w:rFonts w:ascii="Arial Narrow" w:hAnsi="Arial Narrow" w:cs="Arial"/>
                <w:lang w:val="es-ES" w:eastAsia="es-ES"/>
              </w:rPr>
            </w:pPr>
          </w:p>
          <w:p w14:paraId="27C8CAE2"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 xml:space="preserve">Segmento Swaps: </w:t>
            </w:r>
          </w:p>
          <w:p w14:paraId="5D1C0CC0" w14:textId="77777777" w:rsidR="007968EC" w:rsidRPr="00207D41" w:rsidRDefault="007968EC" w:rsidP="007968EC">
            <w:pPr>
              <w:jc w:val="both"/>
              <w:rPr>
                <w:rFonts w:ascii="Arial Narrow" w:hAnsi="Arial Narrow" w:cs="Arial"/>
                <w:lang w:val="es-ES" w:eastAsia="es-ES"/>
              </w:rPr>
            </w:pPr>
          </w:p>
          <w:p w14:paraId="18221AFD"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 xml:space="preserve">Para los Miembros Liquidadores y Miembros no Liquidadores que participen en el Segmento Swaps aplicará adicionalmente un importe mensual de mantenimiento de afiliación. </w:t>
            </w:r>
          </w:p>
          <w:p w14:paraId="6F720B56" w14:textId="77777777" w:rsidR="007968EC" w:rsidRPr="00207D41" w:rsidRDefault="007968EC" w:rsidP="007968EC">
            <w:pPr>
              <w:jc w:val="both"/>
              <w:rPr>
                <w:rFonts w:ascii="Arial Narrow" w:hAnsi="Arial Narrow" w:cs="Arial"/>
                <w:lang w:val="es-ES" w:eastAsia="es-ES"/>
              </w:rPr>
            </w:pPr>
          </w:p>
        </w:tc>
        <w:tc>
          <w:tcPr>
            <w:tcW w:w="4254" w:type="dxa"/>
            <w:tcBorders>
              <w:top w:val="single" w:sz="12" w:space="0" w:color="auto"/>
              <w:left w:val="single" w:sz="12" w:space="0" w:color="auto"/>
              <w:bottom w:val="single" w:sz="12" w:space="0" w:color="auto"/>
              <w:right w:val="single" w:sz="12" w:space="0" w:color="auto"/>
            </w:tcBorders>
            <w:hideMark/>
          </w:tcPr>
          <w:p w14:paraId="0529E1A0"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 xml:space="preserve">Para participar en todos los Segmentos excepto para el Segmento Swaps: </w:t>
            </w:r>
          </w:p>
          <w:p w14:paraId="32C16282" w14:textId="77777777" w:rsidR="007968EC" w:rsidRPr="00207D41" w:rsidRDefault="007968EC" w:rsidP="007968EC">
            <w:pPr>
              <w:rPr>
                <w:rFonts w:ascii="Arial Narrow" w:hAnsi="Arial Narrow" w:cs="Arial"/>
                <w:lang w:val="es-ES" w:eastAsia="es-ES"/>
              </w:rPr>
            </w:pPr>
          </w:p>
          <w:p w14:paraId="3FECF596" w14:textId="77777777" w:rsidR="007968EC" w:rsidRPr="00207D41" w:rsidRDefault="007968EC" w:rsidP="007968EC">
            <w:pPr>
              <w:rPr>
                <w:rFonts w:ascii="Arial Narrow" w:hAnsi="Arial Narrow" w:cs="Arial"/>
                <w:lang w:val="es-ES" w:eastAsia="es-ES"/>
              </w:rPr>
            </w:pPr>
            <w:r w:rsidRPr="00207D41">
              <w:rPr>
                <w:rFonts w:ascii="Arial Narrow" w:hAnsi="Arial Narrow" w:cs="Arial"/>
                <w:lang w:val="es-ES" w:eastAsia="es-ES"/>
              </w:rPr>
              <w:t>Miembro Liquidador</w:t>
            </w:r>
          </w:p>
          <w:p w14:paraId="0096459A" w14:textId="77777777" w:rsidR="007968EC" w:rsidRPr="00207D41" w:rsidRDefault="007968EC" w:rsidP="007968EC">
            <w:pPr>
              <w:rPr>
                <w:rFonts w:ascii="Arial Narrow" w:hAnsi="Arial Narrow" w:cs="Arial"/>
                <w:lang w:val="es-ES" w:eastAsia="es-ES"/>
              </w:rPr>
            </w:pPr>
            <w:r w:rsidRPr="00207D41">
              <w:rPr>
                <w:rFonts w:ascii="Arial Narrow" w:hAnsi="Arial Narrow" w:cs="Arial"/>
                <w:lang w:val="es-ES" w:eastAsia="es-ES"/>
              </w:rPr>
              <w:t>COP $3.259.000</w:t>
            </w:r>
          </w:p>
          <w:p w14:paraId="1FF8CAB6" w14:textId="77777777" w:rsidR="007968EC" w:rsidRPr="00207D41" w:rsidRDefault="007968EC" w:rsidP="007968EC">
            <w:pPr>
              <w:rPr>
                <w:rFonts w:ascii="Arial Narrow" w:hAnsi="Arial Narrow" w:cs="Arial"/>
                <w:lang w:val="es-ES" w:eastAsia="es-ES"/>
              </w:rPr>
            </w:pPr>
          </w:p>
          <w:p w14:paraId="26857093" w14:textId="77777777" w:rsidR="007968EC" w:rsidRPr="00207D41" w:rsidRDefault="007968EC" w:rsidP="007968EC">
            <w:pPr>
              <w:rPr>
                <w:rFonts w:ascii="Arial Narrow" w:hAnsi="Arial Narrow" w:cs="Arial"/>
                <w:lang w:val="es-ES" w:eastAsia="es-ES"/>
              </w:rPr>
            </w:pPr>
            <w:r w:rsidRPr="00207D41">
              <w:rPr>
                <w:rFonts w:ascii="Arial Narrow" w:hAnsi="Arial Narrow" w:cs="Arial"/>
                <w:lang w:val="es-ES" w:eastAsia="es-ES"/>
              </w:rPr>
              <w:t>Miembro no Liquidador</w:t>
            </w:r>
          </w:p>
          <w:p w14:paraId="683C8F2E" w14:textId="77777777" w:rsidR="007968EC" w:rsidRPr="00207D41" w:rsidRDefault="007968EC" w:rsidP="007968EC">
            <w:pPr>
              <w:rPr>
                <w:rFonts w:ascii="Arial Narrow" w:hAnsi="Arial Narrow" w:cs="Arial"/>
                <w:lang w:val="es-ES" w:eastAsia="es-ES"/>
              </w:rPr>
            </w:pPr>
            <w:r w:rsidRPr="00207D41">
              <w:rPr>
                <w:rFonts w:ascii="Arial Narrow" w:hAnsi="Arial Narrow" w:cs="Arial"/>
                <w:lang w:val="es-ES" w:eastAsia="es-ES"/>
              </w:rPr>
              <w:t>COP $1.222.000</w:t>
            </w:r>
          </w:p>
          <w:p w14:paraId="764DBCC0" w14:textId="77777777" w:rsidR="007968EC" w:rsidRPr="00207D41" w:rsidRDefault="007968EC" w:rsidP="007968EC">
            <w:pPr>
              <w:rPr>
                <w:rFonts w:ascii="Arial Narrow" w:hAnsi="Arial Narrow" w:cs="Arial"/>
                <w:lang w:val="es-ES" w:eastAsia="es-ES"/>
              </w:rPr>
            </w:pPr>
          </w:p>
          <w:p w14:paraId="1F4EFC9A" w14:textId="77777777" w:rsidR="007968EC" w:rsidRPr="00207D41" w:rsidRDefault="007968EC" w:rsidP="007968EC">
            <w:pPr>
              <w:rPr>
                <w:rFonts w:ascii="Arial Narrow" w:hAnsi="Arial Narrow" w:cs="Arial"/>
                <w:lang w:val="es-ES" w:eastAsia="es-ES"/>
              </w:rPr>
            </w:pPr>
            <w:r w:rsidRPr="00207D41">
              <w:rPr>
                <w:rFonts w:ascii="Arial Narrow" w:hAnsi="Arial Narrow" w:cs="Arial"/>
                <w:lang w:val="es-ES" w:eastAsia="es-ES"/>
              </w:rPr>
              <w:t xml:space="preserve">Agente Custodio:     </w:t>
            </w:r>
          </w:p>
          <w:p w14:paraId="343D5452" w14:textId="77777777" w:rsidR="007968EC" w:rsidRPr="00207D41" w:rsidRDefault="007968EC" w:rsidP="007968EC">
            <w:pPr>
              <w:rPr>
                <w:rFonts w:ascii="Arial Narrow" w:hAnsi="Arial Narrow" w:cs="Arial"/>
                <w:lang w:val="es-ES" w:eastAsia="es-ES"/>
              </w:rPr>
            </w:pPr>
            <w:r w:rsidRPr="00207D41">
              <w:rPr>
                <w:rFonts w:ascii="Arial Narrow" w:hAnsi="Arial Narrow" w:cs="Arial"/>
                <w:lang w:val="es-ES" w:eastAsia="es-ES"/>
              </w:rPr>
              <w:t>COP $1.181.000</w:t>
            </w:r>
          </w:p>
          <w:p w14:paraId="2FD8A65B" w14:textId="77777777" w:rsidR="007968EC" w:rsidRPr="00207D41" w:rsidRDefault="007968EC" w:rsidP="007968EC">
            <w:pPr>
              <w:rPr>
                <w:rFonts w:ascii="Arial Narrow" w:hAnsi="Arial Narrow" w:cs="Arial"/>
                <w:lang w:val="es-ES" w:eastAsia="es-ES"/>
              </w:rPr>
            </w:pPr>
          </w:p>
          <w:p w14:paraId="2572BF5C" w14:textId="77777777" w:rsidR="007968EC" w:rsidRPr="00207D41" w:rsidRDefault="007968EC" w:rsidP="007968EC">
            <w:pPr>
              <w:jc w:val="both"/>
              <w:rPr>
                <w:rFonts w:ascii="Arial Narrow" w:hAnsi="Arial Narrow" w:cs="Arial"/>
                <w:lang w:val="es-ES" w:eastAsia="es-ES"/>
              </w:rPr>
            </w:pPr>
            <w:r w:rsidRPr="00207D41" w:rsidDel="0047410A">
              <w:rPr>
                <w:rFonts w:ascii="Arial Narrow" w:hAnsi="Arial Narrow" w:cs="Arial"/>
                <w:lang w:val="es-ES" w:eastAsia="es-ES"/>
              </w:rPr>
              <w:t>Periodicidad: mensual.</w:t>
            </w:r>
          </w:p>
          <w:p w14:paraId="3E23FF25" w14:textId="77777777" w:rsidR="007968EC" w:rsidRPr="00207D41" w:rsidRDefault="007968EC" w:rsidP="007968EC">
            <w:pPr>
              <w:jc w:val="both"/>
              <w:rPr>
                <w:rFonts w:ascii="Arial Narrow" w:hAnsi="Arial Narrow" w:cs="Arial"/>
                <w:lang w:val="es-ES" w:eastAsia="es-ES"/>
              </w:rPr>
            </w:pPr>
          </w:p>
          <w:p w14:paraId="05FFF64D"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Para participar en el Segmento Swaps:</w:t>
            </w:r>
          </w:p>
          <w:p w14:paraId="4798A2DE" w14:textId="77777777" w:rsidR="007968EC" w:rsidRPr="00207D41" w:rsidRDefault="007968EC" w:rsidP="007968EC">
            <w:pPr>
              <w:jc w:val="both"/>
              <w:rPr>
                <w:rFonts w:ascii="Arial Narrow" w:hAnsi="Arial Narrow" w:cs="Arial"/>
                <w:lang w:val="es-ES" w:eastAsia="es-ES"/>
              </w:rPr>
            </w:pPr>
          </w:p>
          <w:p w14:paraId="45ACEFA5"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Miembro Liquidador Segmento Swaps:</w:t>
            </w:r>
          </w:p>
          <w:p w14:paraId="16727458"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COP $4.100.000</w:t>
            </w:r>
            <w:r w:rsidRPr="00207D41">
              <w:rPr>
                <w:rFonts w:ascii="Arial Narrow" w:hAnsi="Arial Narrow" w:cs="Arial"/>
                <w:lang w:val="es-ES" w:eastAsia="es-ES"/>
              </w:rPr>
              <w:cr/>
            </w:r>
          </w:p>
          <w:p w14:paraId="3FE620EC"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Miembro no Liquidador Segmento Swaps:</w:t>
            </w:r>
          </w:p>
          <w:p w14:paraId="7A89C61D"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COP $1.537.000</w:t>
            </w:r>
            <w:r w:rsidRPr="00207D41">
              <w:rPr>
                <w:rFonts w:ascii="Arial Narrow" w:hAnsi="Arial Narrow" w:cs="Arial"/>
                <w:lang w:val="es-ES" w:eastAsia="es-ES"/>
              </w:rPr>
              <w:cr/>
            </w:r>
          </w:p>
          <w:p w14:paraId="12823236"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Periodicidad: mensual.</w:t>
            </w:r>
          </w:p>
        </w:tc>
      </w:tr>
      <w:tr w:rsidR="007968EC" w:rsidRPr="00207D41" w14:paraId="2C5F27E5" w14:textId="77777777" w:rsidTr="007968EC">
        <w:tc>
          <w:tcPr>
            <w:tcW w:w="1119" w:type="dxa"/>
            <w:tcBorders>
              <w:top w:val="single" w:sz="12" w:space="0" w:color="auto"/>
              <w:left w:val="single" w:sz="12" w:space="0" w:color="auto"/>
              <w:bottom w:val="single" w:sz="12" w:space="0" w:color="auto"/>
              <w:right w:val="single" w:sz="12" w:space="0" w:color="auto"/>
            </w:tcBorders>
            <w:hideMark/>
          </w:tcPr>
          <w:p w14:paraId="7D002A18" w14:textId="77777777" w:rsidR="007968EC" w:rsidRPr="00207D41" w:rsidRDefault="007968EC" w:rsidP="007968EC">
            <w:pPr>
              <w:jc w:val="center"/>
              <w:rPr>
                <w:rFonts w:ascii="Arial Narrow" w:hAnsi="Arial Narrow" w:cs="Arial"/>
                <w:lang w:val="es-ES" w:eastAsia="es-ES"/>
              </w:rPr>
            </w:pPr>
            <w:r w:rsidRPr="00207D41">
              <w:rPr>
                <w:rFonts w:ascii="Arial Narrow" w:hAnsi="Arial Narrow" w:cs="Arial"/>
                <w:lang w:val="es-ES" w:eastAsia="es-ES"/>
              </w:rPr>
              <w:t>Fijo</w:t>
            </w:r>
          </w:p>
        </w:tc>
        <w:tc>
          <w:tcPr>
            <w:tcW w:w="1570" w:type="dxa"/>
            <w:tcBorders>
              <w:top w:val="single" w:sz="12" w:space="0" w:color="auto"/>
              <w:left w:val="single" w:sz="12" w:space="0" w:color="auto"/>
              <w:bottom w:val="single" w:sz="12" w:space="0" w:color="auto"/>
              <w:right w:val="single" w:sz="12" w:space="0" w:color="auto"/>
            </w:tcBorders>
            <w:hideMark/>
          </w:tcPr>
          <w:p w14:paraId="0A5BD7A1" w14:textId="77777777" w:rsidR="007968EC" w:rsidRPr="00207D41" w:rsidRDefault="007968EC" w:rsidP="007968EC">
            <w:pPr>
              <w:jc w:val="center"/>
              <w:rPr>
                <w:rFonts w:ascii="Arial Narrow" w:hAnsi="Arial Narrow" w:cs="Arial"/>
                <w:lang w:val="es-ES" w:eastAsia="es-ES"/>
              </w:rPr>
            </w:pPr>
            <w:r w:rsidRPr="00207D41">
              <w:rPr>
                <w:rFonts w:ascii="Arial Narrow" w:hAnsi="Arial Narrow" w:cs="Arial"/>
                <w:lang w:val="es-ES" w:eastAsia="es-ES"/>
              </w:rPr>
              <w:t>Tipo de Conexión</w:t>
            </w:r>
          </w:p>
        </w:tc>
        <w:tc>
          <w:tcPr>
            <w:tcW w:w="2552" w:type="dxa"/>
            <w:tcBorders>
              <w:top w:val="single" w:sz="12" w:space="0" w:color="auto"/>
              <w:left w:val="single" w:sz="12" w:space="0" w:color="auto"/>
              <w:bottom w:val="single" w:sz="12" w:space="0" w:color="auto"/>
              <w:right w:val="single" w:sz="12" w:space="0" w:color="auto"/>
            </w:tcBorders>
            <w:hideMark/>
          </w:tcPr>
          <w:p w14:paraId="006BE72D"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Importe mensual a cargo de los Miembros y Agentes Custodios que además de la conexión vía Terminal “</w:t>
            </w:r>
            <w:proofErr w:type="spellStart"/>
            <w:r w:rsidRPr="00207D41">
              <w:rPr>
                <w:rFonts w:ascii="Arial Narrow" w:hAnsi="Arial Narrow" w:cs="Arial"/>
                <w:lang w:val="es-ES" w:eastAsia="es-ES"/>
              </w:rPr>
              <w:t>Station</w:t>
            </w:r>
            <w:proofErr w:type="spellEnd"/>
            <w:r w:rsidRPr="00207D41">
              <w:rPr>
                <w:rFonts w:ascii="Arial Narrow" w:hAnsi="Arial Narrow" w:cs="Arial"/>
                <w:lang w:val="es-ES" w:eastAsia="es-ES"/>
              </w:rPr>
              <w:t>”, emplean algún otro tipo de Terminal para su conectividad con la CÁMARA.</w:t>
            </w:r>
          </w:p>
        </w:tc>
        <w:tc>
          <w:tcPr>
            <w:tcW w:w="4254" w:type="dxa"/>
            <w:tcBorders>
              <w:top w:val="single" w:sz="12" w:space="0" w:color="auto"/>
              <w:left w:val="single" w:sz="12" w:space="0" w:color="auto"/>
              <w:bottom w:val="single" w:sz="12" w:space="0" w:color="auto"/>
              <w:right w:val="single" w:sz="12" w:space="0" w:color="auto"/>
            </w:tcBorders>
          </w:tcPr>
          <w:p w14:paraId="469058DA" w14:textId="77777777" w:rsidR="007968EC" w:rsidRPr="00207D41" w:rsidRDefault="007968EC" w:rsidP="007968EC">
            <w:pPr>
              <w:rPr>
                <w:rFonts w:ascii="Arial Narrow" w:hAnsi="Arial Narrow" w:cs="Arial"/>
                <w:lang w:val="en-US" w:eastAsia="es-ES"/>
              </w:rPr>
            </w:pPr>
            <w:r w:rsidRPr="00207D41">
              <w:rPr>
                <w:rFonts w:ascii="Arial Narrow" w:hAnsi="Arial Narrow" w:cs="Arial"/>
                <w:lang w:val="en-US" w:eastAsia="es-ES"/>
              </w:rPr>
              <w:t>Terminal “Server”</w:t>
            </w:r>
          </w:p>
          <w:p w14:paraId="2AAD832E" w14:textId="77777777" w:rsidR="007968EC" w:rsidRPr="00207D41" w:rsidRDefault="007968EC" w:rsidP="007968EC">
            <w:pPr>
              <w:rPr>
                <w:rFonts w:ascii="Arial Narrow" w:hAnsi="Arial Narrow" w:cs="Arial"/>
                <w:lang w:val="en-US" w:eastAsia="es-ES"/>
              </w:rPr>
            </w:pPr>
            <w:r w:rsidRPr="00207D41">
              <w:rPr>
                <w:rFonts w:ascii="Arial Narrow" w:hAnsi="Arial Narrow" w:cs="Arial"/>
                <w:lang w:val="en-US" w:eastAsia="es-ES"/>
              </w:rPr>
              <w:t>COP $326.000</w:t>
            </w:r>
          </w:p>
          <w:p w14:paraId="5D8E54CD" w14:textId="77777777" w:rsidR="007968EC" w:rsidRPr="00207D41" w:rsidRDefault="007968EC" w:rsidP="007968EC">
            <w:pPr>
              <w:rPr>
                <w:rFonts w:ascii="Arial Narrow" w:hAnsi="Arial Narrow" w:cs="Arial"/>
                <w:lang w:val="en-US" w:eastAsia="es-ES"/>
              </w:rPr>
            </w:pPr>
          </w:p>
          <w:p w14:paraId="38581530" w14:textId="77777777" w:rsidR="007968EC" w:rsidRPr="00207D41" w:rsidRDefault="007968EC" w:rsidP="007968EC">
            <w:pPr>
              <w:rPr>
                <w:rFonts w:ascii="Arial Narrow" w:hAnsi="Arial Narrow" w:cs="Arial"/>
                <w:lang w:val="en-US" w:eastAsia="es-ES"/>
              </w:rPr>
            </w:pPr>
            <w:r w:rsidRPr="00207D41">
              <w:rPr>
                <w:rFonts w:ascii="Arial Narrow" w:hAnsi="Arial Narrow" w:cs="Arial"/>
                <w:lang w:val="en-US" w:eastAsia="es-ES"/>
              </w:rPr>
              <w:t>Terminal “Gate Fix”</w:t>
            </w:r>
          </w:p>
          <w:p w14:paraId="2631AEAD" w14:textId="77777777" w:rsidR="007968EC" w:rsidRPr="00207D41" w:rsidRDefault="007968EC" w:rsidP="007968EC">
            <w:pPr>
              <w:rPr>
                <w:rFonts w:ascii="Arial Narrow" w:hAnsi="Arial Narrow" w:cs="Arial"/>
                <w:lang w:val="en-US" w:eastAsia="es-ES"/>
              </w:rPr>
            </w:pPr>
            <w:r w:rsidRPr="00207D41">
              <w:rPr>
                <w:rFonts w:ascii="Arial Narrow" w:hAnsi="Arial Narrow" w:cs="Arial"/>
                <w:lang w:val="en-US" w:eastAsia="es-ES"/>
              </w:rPr>
              <w:t>COP $814.000</w:t>
            </w:r>
          </w:p>
          <w:p w14:paraId="5B06ED53" w14:textId="77777777" w:rsidR="007968EC" w:rsidRPr="00207D41" w:rsidRDefault="007968EC" w:rsidP="007968EC">
            <w:pPr>
              <w:rPr>
                <w:rFonts w:ascii="Arial Narrow" w:hAnsi="Arial Narrow" w:cs="Arial"/>
                <w:lang w:val="en-US" w:eastAsia="es-ES"/>
              </w:rPr>
            </w:pPr>
          </w:p>
          <w:p w14:paraId="33CB781F" w14:textId="77777777" w:rsidR="007968EC" w:rsidRPr="00207D41" w:rsidRDefault="007968EC" w:rsidP="007968EC">
            <w:pPr>
              <w:rPr>
                <w:rFonts w:ascii="Arial Narrow" w:hAnsi="Arial Narrow" w:cs="Arial"/>
                <w:lang w:val="en-US" w:eastAsia="es-ES"/>
              </w:rPr>
            </w:pPr>
            <w:r w:rsidRPr="00207D41">
              <w:rPr>
                <w:rFonts w:ascii="Arial Narrow" w:hAnsi="Arial Narrow" w:cs="Arial"/>
                <w:lang w:val="en-US" w:eastAsia="es-ES"/>
              </w:rPr>
              <w:t>Portal “Web” CRCC</w:t>
            </w:r>
          </w:p>
          <w:p w14:paraId="1FCC177A" w14:textId="77777777" w:rsidR="007968EC" w:rsidRPr="00207D41" w:rsidRDefault="007968EC" w:rsidP="007968EC">
            <w:pPr>
              <w:rPr>
                <w:rFonts w:ascii="Arial Narrow" w:hAnsi="Arial Narrow" w:cs="Arial"/>
                <w:lang w:val="en-US" w:eastAsia="es-ES"/>
              </w:rPr>
            </w:pPr>
            <w:r w:rsidRPr="00207D41">
              <w:rPr>
                <w:rFonts w:ascii="Arial Narrow" w:hAnsi="Arial Narrow" w:cs="Arial"/>
                <w:lang w:val="en-US" w:eastAsia="es-ES"/>
              </w:rPr>
              <w:t>COP $326.000</w:t>
            </w:r>
          </w:p>
          <w:p w14:paraId="73AD7178" w14:textId="77777777" w:rsidR="007968EC" w:rsidRPr="00207D41" w:rsidRDefault="007968EC" w:rsidP="007968EC">
            <w:pPr>
              <w:jc w:val="both"/>
              <w:rPr>
                <w:rFonts w:ascii="Arial Narrow" w:hAnsi="Arial Narrow" w:cs="Arial"/>
                <w:b/>
                <w:u w:val="single"/>
                <w:lang w:val="en-US" w:eastAsia="es-ES"/>
              </w:rPr>
            </w:pPr>
          </w:p>
          <w:p w14:paraId="5FE6F3BD"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Por cada Server/</w:t>
            </w:r>
            <w:proofErr w:type="spellStart"/>
            <w:r w:rsidRPr="00207D41">
              <w:rPr>
                <w:rFonts w:ascii="Arial Narrow" w:hAnsi="Arial Narrow" w:cs="Arial"/>
                <w:lang w:val="es-ES" w:eastAsia="es-ES"/>
              </w:rPr>
              <w:t>GateFix</w:t>
            </w:r>
            <w:proofErr w:type="spellEnd"/>
            <w:r w:rsidRPr="00207D41">
              <w:rPr>
                <w:rFonts w:ascii="Arial Narrow" w:hAnsi="Arial Narrow" w:cs="Arial"/>
                <w:lang w:val="es-ES" w:eastAsia="es-ES"/>
              </w:rPr>
              <w:t xml:space="preserve"> contratados por los Miembros, se tiene derecho a un usuario del </w:t>
            </w:r>
            <w:r w:rsidRPr="00207D41">
              <w:rPr>
                <w:rFonts w:ascii="Arial Narrow" w:hAnsi="Arial Narrow" w:cs="Arial"/>
                <w:lang w:val="es-ES" w:eastAsia="es-ES"/>
              </w:rPr>
              <w:lastRenderedPageBreak/>
              <w:t>Portal CRCC, por cada usuario adicional se cobrará la tarifa acá establecida.</w:t>
            </w:r>
          </w:p>
          <w:p w14:paraId="3A219046" w14:textId="77777777" w:rsidR="007968EC" w:rsidRPr="00207D41" w:rsidRDefault="007968EC" w:rsidP="007968EC">
            <w:pPr>
              <w:jc w:val="both"/>
              <w:rPr>
                <w:rFonts w:ascii="Arial Narrow" w:hAnsi="Arial Narrow" w:cs="Arial"/>
                <w:lang w:val="es-ES" w:eastAsia="es-ES"/>
              </w:rPr>
            </w:pPr>
          </w:p>
          <w:p w14:paraId="34A89583"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El Agente Custodio tiene derecho a un usuario del Portal CRCC y por cada usuario adicional se cobra la tarifa Portal CRCC.</w:t>
            </w:r>
          </w:p>
          <w:p w14:paraId="427C9263" w14:textId="77777777" w:rsidR="007968EC" w:rsidRPr="00207D41" w:rsidRDefault="007968EC" w:rsidP="007968EC">
            <w:pPr>
              <w:jc w:val="both"/>
              <w:rPr>
                <w:rFonts w:ascii="Arial Narrow" w:hAnsi="Arial Narrow" w:cs="Arial"/>
                <w:lang w:val="es-ES" w:eastAsia="es-ES"/>
              </w:rPr>
            </w:pPr>
          </w:p>
          <w:p w14:paraId="4008CAF6"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Periodicidad: mensual.</w:t>
            </w:r>
          </w:p>
        </w:tc>
      </w:tr>
      <w:tr w:rsidR="007968EC" w:rsidRPr="00207D41" w14:paraId="0F589470" w14:textId="77777777" w:rsidTr="007968EC">
        <w:tc>
          <w:tcPr>
            <w:tcW w:w="1119" w:type="dxa"/>
            <w:tcBorders>
              <w:top w:val="single" w:sz="12" w:space="0" w:color="auto"/>
              <w:left w:val="single" w:sz="12" w:space="0" w:color="auto"/>
              <w:bottom w:val="single" w:sz="12" w:space="0" w:color="auto"/>
              <w:right w:val="single" w:sz="12" w:space="0" w:color="auto"/>
            </w:tcBorders>
            <w:hideMark/>
          </w:tcPr>
          <w:p w14:paraId="598A3E94" w14:textId="77777777" w:rsidR="007968EC" w:rsidRPr="00207D41" w:rsidRDefault="007968EC" w:rsidP="007968EC">
            <w:pPr>
              <w:autoSpaceDE w:val="0"/>
              <w:autoSpaceDN w:val="0"/>
              <w:jc w:val="center"/>
              <w:rPr>
                <w:rFonts w:ascii="Arial Narrow" w:hAnsi="Arial Narrow" w:cs="Arial"/>
                <w:lang w:val="es-ES" w:eastAsia="es-ES"/>
              </w:rPr>
            </w:pPr>
            <w:r w:rsidRPr="00207D41">
              <w:rPr>
                <w:rFonts w:ascii="Arial Narrow" w:hAnsi="Arial Narrow" w:cs="Arial"/>
                <w:lang w:val="es-ES" w:eastAsia="es-ES"/>
              </w:rPr>
              <w:lastRenderedPageBreak/>
              <w:t>Variable</w:t>
            </w:r>
          </w:p>
        </w:tc>
        <w:tc>
          <w:tcPr>
            <w:tcW w:w="1570" w:type="dxa"/>
            <w:tcBorders>
              <w:top w:val="single" w:sz="12" w:space="0" w:color="auto"/>
              <w:left w:val="single" w:sz="12" w:space="0" w:color="auto"/>
              <w:bottom w:val="single" w:sz="12" w:space="0" w:color="auto"/>
              <w:right w:val="single" w:sz="12" w:space="0" w:color="auto"/>
            </w:tcBorders>
            <w:hideMark/>
          </w:tcPr>
          <w:p w14:paraId="278F8B0F"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Compensación y Liquidación del Instrumento Financiero Derivado Estandarizado</w:t>
            </w:r>
          </w:p>
        </w:tc>
        <w:tc>
          <w:tcPr>
            <w:tcW w:w="2552" w:type="dxa"/>
            <w:tcBorders>
              <w:top w:val="single" w:sz="12" w:space="0" w:color="auto"/>
              <w:left w:val="single" w:sz="12" w:space="0" w:color="auto"/>
              <w:bottom w:val="single" w:sz="12" w:space="0" w:color="auto"/>
              <w:right w:val="single" w:sz="12" w:space="0" w:color="auto"/>
            </w:tcBorders>
          </w:tcPr>
          <w:p w14:paraId="48D68961"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 xml:space="preserve">Tarifa variable establecida como un valor en pesos por cada Contrato de una Operación y por cada punta de la misma, en la cual se obtiene el derecho de que la CÁMARA una vez acepte dicha Operación, realice las funciones de Compensación y Liquidación de ésta en las condiciones en que lo establezca el Reglamento de la Cámara. </w:t>
            </w:r>
          </w:p>
          <w:p w14:paraId="69611A4A" w14:textId="77777777" w:rsidR="007968EC" w:rsidRPr="00207D41" w:rsidRDefault="007968EC" w:rsidP="007968EC">
            <w:pPr>
              <w:jc w:val="both"/>
              <w:rPr>
                <w:rFonts w:ascii="Arial Narrow" w:hAnsi="Arial Narrow" w:cs="Arial"/>
                <w:lang w:val="es-ES" w:eastAsia="es-ES"/>
              </w:rPr>
            </w:pPr>
          </w:p>
          <w:p w14:paraId="4D3A70BC"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 xml:space="preserve">Las transacciones compuestas por la compraventa de más de un Instrumento como lo son los Contratos de “roll </w:t>
            </w:r>
            <w:proofErr w:type="spellStart"/>
            <w:r w:rsidRPr="00207D41">
              <w:rPr>
                <w:rFonts w:ascii="Arial Narrow" w:hAnsi="Arial Narrow" w:cs="Arial"/>
                <w:lang w:val="es-ES" w:eastAsia="es-ES"/>
              </w:rPr>
              <w:t>over</w:t>
            </w:r>
            <w:proofErr w:type="spellEnd"/>
            <w:r w:rsidRPr="00207D41">
              <w:rPr>
                <w:rFonts w:ascii="Arial Narrow" w:hAnsi="Arial Narrow" w:cs="Arial"/>
                <w:lang w:val="es-ES" w:eastAsia="es-ES"/>
              </w:rPr>
              <w:t>” o “time spreads” se cobrarán de acuerdo con los Contratos que componga cada Instrumento compuesto.</w:t>
            </w:r>
          </w:p>
          <w:p w14:paraId="5603ACB2" w14:textId="77777777" w:rsidR="007968EC" w:rsidRPr="00207D41" w:rsidRDefault="007968EC" w:rsidP="007968EC">
            <w:pPr>
              <w:jc w:val="both"/>
              <w:rPr>
                <w:rFonts w:ascii="Arial Narrow" w:hAnsi="Arial Narrow" w:cs="Arial"/>
                <w:lang w:val="es-ES" w:eastAsia="es-ES"/>
              </w:rPr>
            </w:pPr>
          </w:p>
          <w:p w14:paraId="6604FEAE" w14:textId="77777777" w:rsidR="007968EC" w:rsidRPr="00207D41" w:rsidRDefault="007968EC" w:rsidP="007968EC">
            <w:pPr>
              <w:jc w:val="both"/>
              <w:rPr>
                <w:rFonts w:ascii="Arial Narrow" w:hAnsi="Arial Narrow" w:cs="Arial"/>
                <w:lang w:val="es-ES" w:eastAsia="es-ES"/>
              </w:rPr>
            </w:pPr>
          </w:p>
          <w:p w14:paraId="68AB4721" w14:textId="77777777" w:rsidR="007968EC" w:rsidRPr="00207D41" w:rsidRDefault="007968EC" w:rsidP="007968EC">
            <w:pPr>
              <w:jc w:val="both"/>
              <w:rPr>
                <w:rFonts w:ascii="Arial Narrow" w:hAnsi="Arial Narrow" w:cs="Arial"/>
                <w:lang w:val="es-ES" w:eastAsia="es-ES"/>
              </w:rPr>
            </w:pPr>
          </w:p>
          <w:p w14:paraId="0DD4A8BD" w14:textId="77777777" w:rsidR="007968EC" w:rsidRPr="00207D41" w:rsidRDefault="007968EC" w:rsidP="007968EC">
            <w:pPr>
              <w:jc w:val="both"/>
              <w:rPr>
                <w:rFonts w:ascii="Arial Narrow" w:hAnsi="Arial Narrow" w:cs="Arial"/>
                <w:lang w:val="es-ES" w:eastAsia="es-ES"/>
              </w:rPr>
            </w:pPr>
          </w:p>
          <w:p w14:paraId="325A15C8" w14:textId="77777777" w:rsidR="007968EC" w:rsidRPr="00207D41" w:rsidRDefault="007968EC" w:rsidP="007968EC">
            <w:pPr>
              <w:jc w:val="both"/>
              <w:rPr>
                <w:rFonts w:ascii="Arial Narrow" w:hAnsi="Arial Narrow" w:cs="Arial"/>
                <w:lang w:val="es-ES" w:eastAsia="es-ES"/>
              </w:rPr>
            </w:pPr>
          </w:p>
          <w:p w14:paraId="45025932" w14:textId="77777777" w:rsidR="007968EC" w:rsidRPr="00207D41" w:rsidRDefault="007968EC" w:rsidP="007968EC">
            <w:pPr>
              <w:jc w:val="both"/>
              <w:rPr>
                <w:rFonts w:ascii="Arial Narrow" w:hAnsi="Arial Narrow" w:cs="Arial"/>
                <w:lang w:val="es-ES" w:eastAsia="es-ES"/>
              </w:rPr>
            </w:pPr>
          </w:p>
          <w:p w14:paraId="0624AE35" w14:textId="77777777" w:rsidR="007968EC" w:rsidRPr="00207D41" w:rsidRDefault="007968EC" w:rsidP="007968EC">
            <w:pPr>
              <w:jc w:val="both"/>
              <w:rPr>
                <w:rFonts w:ascii="Arial Narrow" w:hAnsi="Arial Narrow" w:cs="Arial"/>
                <w:lang w:val="es-ES" w:eastAsia="es-ES"/>
              </w:rPr>
            </w:pPr>
          </w:p>
          <w:p w14:paraId="483BCEF7" w14:textId="77777777" w:rsidR="007968EC" w:rsidRPr="00207D41" w:rsidRDefault="007968EC" w:rsidP="007968EC">
            <w:pPr>
              <w:jc w:val="both"/>
              <w:rPr>
                <w:rFonts w:ascii="Arial Narrow" w:hAnsi="Arial Narrow" w:cs="Arial"/>
                <w:lang w:val="es-ES" w:eastAsia="es-ES"/>
              </w:rPr>
            </w:pPr>
          </w:p>
          <w:p w14:paraId="397FBDE9" w14:textId="77777777" w:rsidR="007968EC" w:rsidRPr="00207D41" w:rsidRDefault="007968EC" w:rsidP="007968EC">
            <w:pPr>
              <w:jc w:val="both"/>
              <w:rPr>
                <w:rFonts w:ascii="Arial Narrow" w:hAnsi="Arial Narrow" w:cs="Arial"/>
                <w:lang w:val="es-ES" w:eastAsia="es-ES"/>
              </w:rPr>
            </w:pPr>
          </w:p>
          <w:p w14:paraId="74A567DC" w14:textId="77777777" w:rsidR="007968EC" w:rsidRPr="00207D41" w:rsidRDefault="007968EC" w:rsidP="007968EC">
            <w:pPr>
              <w:jc w:val="both"/>
              <w:rPr>
                <w:rFonts w:ascii="Arial Narrow" w:hAnsi="Arial Narrow" w:cs="Arial"/>
                <w:lang w:val="es-ES" w:eastAsia="es-ES"/>
              </w:rPr>
            </w:pPr>
          </w:p>
          <w:p w14:paraId="088E696C" w14:textId="77777777" w:rsidR="007968EC" w:rsidRPr="00207D41" w:rsidRDefault="007968EC" w:rsidP="007968EC">
            <w:pPr>
              <w:jc w:val="both"/>
              <w:rPr>
                <w:rFonts w:ascii="Arial Narrow" w:hAnsi="Arial Narrow" w:cs="Arial"/>
                <w:lang w:val="es-ES" w:eastAsia="es-ES"/>
              </w:rPr>
            </w:pPr>
          </w:p>
          <w:p w14:paraId="5A6F0982" w14:textId="77777777" w:rsidR="007968EC" w:rsidRPr="00207D41" w:rsidRDefault="007968EC" w:rsidP="007968EC">
            <w:pPr>
              <w:jc w:val="both"/>
              <w:rPr>
                <w:rFonts w:ascii="Arial Narrow" w:hAnsi="Arial Narrow" w:cs="Arial"/>
                <w:lang w:val="es-ES" w:eastAsia="es-ES"/>
              </w:rPr>
            </w:pPr>
          </w:p>
          <w:p w14:paraId="70CC9FAF" w14:textId="77777777" w:rsidR="007968EC" w:rsidRPr="00207D41" w:rsidRDefault="007968EC" w:rsidP="007968EC">
            <w:pPr>
              <w:jc w:val="both"/>
              <w:rPr>
                <w:rFonts w:ascii="Arial Narrow" w:hAnsi="Arial Narrow" w:cs="Arial"/>
                <w:lang w:val="es-ES" w:eastAsia="es-ES"/>
              </w:rPr>
            </w:pPr>
          </w:p>
          <w:p w14:paraId="7516E625" w14:textId="77777777" w:rsidR="007968EC" w:rsidRPr="00207D41" w:rsidRDefault="007968EC" w:rsidP="007968EC">
            <w:pPr>
              <w:jc w:val="both"/>
              <w:rPr>
                <w:rFonts w:ascii="Arial Narrow" w:hAnsi="Arial Narrow" w:cs="Arial"/>
                <w:lang w:val="es-ES" w:eastAsia="es-ES"/>
              </w:rPr>
            </w:pPr>
          </w:p>
          <w:p w14:paraId="0A88171A" w14:textId="77777777" w:rsidR="007968EC" w:rsidRPr="00207D41" w:rsidRDefault="007968EC" w:rsidP="007968EC">
            <w:pPr>
              <w:jc w:val="both"/>
              <w:rPr>
                <w:rFonts w:ascii="Arial Narrow" w:hAnsi="Arial Narrow" w:cs="Arial"/>
                <w:lang w:val="es-ES" w:eastAsia="es-ES"/>
              </w:rPr>
            </w:pPr>
          </w:p>
          <w:p w14:paraId="21EAE516" w14:textId="77777777" w:rsidR="007968EC" w:rsidRPr="00207D41" w:rsidRDefault="007968EC" w:rsidP="007968EC">
            <w:pPr>
              <w:jc w:val="both"/>
              <w:rPr>
                <w:rFonts w:ascii="Arial Narrow" w:hAnsi="Arial Narrow" w:cs="Arial"/>
                <w:lang w:val="es-ES" w:eastAsia="es-ES"/>
              </w:rPr>
            </w:pPr>
          </w:p>
          <w:p w14:paraId="4B635003" w14:textId="77777777" w:rsidR="007968EC" w:rsidRPr="00207D41" w:rsidRDefault="007968EC" w:rsidP="007968EC">
            <w:pPr>
              <w:jc w:val="both"/>
              <w:rPr>
                <w:rFonts w:ascii="Arial Narrow" w:hAnsi="Arial Narrow" w:cs="Arial"/>
                <w:lang w:val="es-ES" w:eastAsia="es-ES"/>
              </w:rPr>
            </w:pPr>
          </w:p>
          <w:p w14:paraId="3C0166D2" w14:textId="77777777" w:rsidR="007968EC" w:rsidRPr="00207D41" w:rsidRDefault="007968EC" w:rsidP="007968EC">
            <w:pPr>
              <w:jc w:val="both"/>
              <w:rPr>
                <w:rFonts w:ascii="Arial Narrow" w:hAnsi="Arial Narrow" w:cs="Arial"/>
                <w:lang w:val="es-ES" w:eastAsia="es-ES"/>
              </w:rPr>
            </w:pPr>
          </w:p>
          <w:p w14:paraId="1CD25710" w14:textId="77777777" w:rsidR="007968EC" w:rsidRPr="00207D41" w:rsidRDefault="007968EC" w:rsidP="007968EC">
            <w:pPr>
              <w:jc w:val="both"/>
              <w:rPr>
                <w:rFonts w:ascii="Arial Narrow" w:hAnsi="Arial Narrow" w:cs="Arial"/>
                <w:lang w:val="es-ES" w:eastAsia="es-ES"/>
              </w:rPr>
            </w:pPr>
          </w:p>
          <w:p w14:paraId="4C62D34F" w14:textId="77777777" w:rsidR="007968EC" w:rsidRPr="00207D41" w:rsidRDefault="007968EC" w:rsidP="007968EC">
            <w:pPr>
              <w:jc w:val="both"/>
              <w:rPr>
                <w:rFonts w:ascii="Arial Narrow" w:hAnsi="Arial Narrow" w:cs="Arial"/>
                <w:lang w:val="es-ES" w:eastAsia="es-ES"/>
              </w:rPr>
            </w:pPr>
          </w:p>
          <w:p w14:paraId="06515705" w14:textId="77777777" w:rsidR="007968EC" w:rsidRPr="00207D41" w:rsidRDefault="007968EC" w:rsidP="007968EC">
            <w:pPr>
              <w:jc w:val="both"/>
              <w:rPr>
                <w:rFonts w:ascii="Arial Narrow" w:hAnsi="Arial Narrow" w:cs="Arial"/>
                <w:lang w:val="es-ES" w:eastAsia="es-ES"/>
              </w:rPr>
            </w:pPr>
          </w:p>
          <w:p w14:paraId="7983FBB5" w14:textId="77777777" w:rsidR="007968EC" w:rsidRPr="00207D41" w:rsidRDefault="007968EC" w:rsidP="007968EC">
            <w:pPr>
              <w:jc w:val="both"/>
              <w:rPr>
                <w:rFonts w:ascii="Arial Narrow" w:hAnsi="Arial Narrow" w:cs="Arial"/>
                <w:lang w:val="es-ES" w:eastAsia="es-ES"/>
              </w:rPr>
            </w:pPr>
          </w:p>
          <w:p w14:paraId="575C44FD" w14:textId="77777777" w:rsidR="007968EC" w:rsidRPr="00207D41" w:rsidRDefault="007968EC" w:rsidP="007968EC">
            <w:pPr>
              <w:jc w:val="both"/>
              <w:rPr>
                <w:rFonts w:ascii="Arial Narrow" w:hAnsi="Arial Narrow" w:cs="Arial"/>
                <w:lang w:val="es-ES" w:eastAsia="es-ES"/>
              </w:rPr>
            </w:pPr>
          </w:p>
          <w:p w14:paraId="09CF9008" w14:textId="77777777" w:rsidR="007968EC" w:rsidRPr="00207D41" w:rsidRDefault="007968EC" w:rsidP="007968EC">
            <w:pPr>
              <w:jc w:val="both"/>
              <w:rPr>
                <w:rFonts w:ascii="Arial Narrow" w:hAnsi="Arial Narrow" w:cs="Arial"/>
                <w:lang w:val="es-ES" w:eastAsia="es-ES"/>
              </w:rPr>
            </w:pPr>
          </w:p>
          <w:p w14:paraId="7AD52884" w14:textId="77777777" w:rsidR="007968EC" w:rsidRPr="00207D41" w:rsidRDefault="007968EC" w:rsidP="007968EC">
            <w:pPr>
              <w:jc w:val="both"/>
              <w:rPr>
                <w:rFonts w:ascii="Arial Narrow" w:hAnsi="Arial Narrow" w:cs="Arial"/>
                <w:lang w:val="es-ES" w:eastAsia="es-ES"/>
              </w:rPr>
            </w:pPr>
          </w:p>
          <w:p w14:paraId="5E805732" w14:textId="77777777" w:rsidR="007968EC" w:rsidRPr="00207D41" w:rsidRDefault="007968EC" w:rsidP="007968EC">
            <w:pPr>
              <w:jc w:val="both"/>
              <w:rPr>
                <w:rFonts w:ascii="Arial Narrow" w:hAnsi="Arial Narrow" w:cs="Arial"/>
                <w:lang w:val="es-ES" w:eastAsia="es-ES"/>
              </w:rPr>
            </w:pPr>
          </w:p>
          <w:p w14:paraId="7C9E141E" w14:textId="77777777" w:rsidR="007968EC" w:rsidRPr="00207D41" w:rsidRDefault="007968EC" w:rsidP="007968EC">
            <w:pPr>
              <w:jc w:val="both"/>
              <w:rPr>
                <w:rFonts w:ascii="Arial Narrow" w:hAnsi="Arial Narrow" w:cs="Arial"/>
                <w:lang w:val="es-ES" w:eastAsia="es-ES"/>
              </w:rPr>
            </w:pPr>
          </w:p>
          <w:p w14:paraId="5776C5DF" w14:textId="77777777" w:rsidR="007968EC" w:rsidRPr="00207D41" w:rsidRDefault="007968EC" w:rsidP="007968EC">
            <w:pPr>
              <w:jc w:val="both"/>
              <w:rPr>
                <w:rFonts w:ascii="Arial Narrow" w:hAnsi="Arial Narrow" w:cs="Arial"/>
                <w:lang w:val="es-ES" w:eastAsia="es-ES"/>
              </w:rPr>
            </w:pPr>
          </w:p>
          <w:p w14:paraId="0291E956" w14:textId="77777777" w:rsidR="007968EC" w:rsidRPr="00207D41" w:rsidRDefault="007968EC" w:rsidP="007968EC">
            <w:pPr>
              <w:jc w:val="both"/>
              <w:rPr>
                <w:rFonts w:ascii="Arial Narrow" w:hAnsi="Arial Narrow" w:cs="Arial"/>
                <w:lang w:val="es-ES" w:eastAsia="es-ES"/>
              </w:rPr>
            </w:pPr>
          </w:p>
          <w:p w14:paraId="32B13C3E" w14:textId="77777777" w:rsidR="007968EC" w:rsidRPr="00207D41" w:rsidRDefault="007968EC" w:rsidP="007968EC">
            <w:pPr>
              <w:jc w:val="both"/>
              <w:rPr>
                <w:rFonts w:ascii="Arial Narrow" w:hAnsi="Arial Narrow" w:cs="Arial"/>
                <w:lang w:val="es-ES" w:eastAsia="es-ES"/>
              </w:rPr>
            </w:pPr>
          </w:p>
          <w:p w14:paraId="5460F29D" w14:textId="77777777" w:rsidR="007968EC" w:rsidRPr="00207D41" w:rsidRDefault="007968EC" w:rsidP="007968EC">
            <w:pPr>
              <w:jc w:val="both"/>
              <w:rPr>
                <w:rFonts w:ascii="Arial Narrow" w:hAnsi="Arial Narrow" w:cs="Arial"/>
                <w:lang w:val="es-ES" w:eastAsia="es-ES"/>
              </w:rPr>
            </w:pPr>
          </w:p>
          <w:p w14:paraId="26484495" w14:textId="77777777" w:rsidR="007968EC" w:rsidRPr="00207D41" w:rsidRDefault="007968EC" w:rsidP="007968EC">
            <w:pPr>
              <w:jc w:val="both"/>
              <w:rPr>
                <w:rFonts w:ascii="Arial Narrow" w:hAnsi="Arial Narrow" w:cs="Arial"/>
                <w:lang w:val="es-ES" w:eastAsia="es-ES"/>
              </w:rPr>
            </w:pPr>
          </w:p>
          <w:p w14:paraId="3D7BCFE9" w14:textId="77777777" w:rsidR="007968EC" w:rsidRPr="00207D41" w:rsidRDefault="007968EC" w:rsidP="007968EC">
            <w:pPr>
              <w:jc w:val="both"/>
              <w:rPr>
                <w:rFonts w:ascii="Arial Narrow" w:hAnsi="Arial Narrow" w:cs="Arial"/>
                <w:lang w:val="es-ES" w:eastAsia="es-ES"/>
              </w:rPr>
            </w:pPr>
          </w:p>
          <w:p w14:paraId="51E3F7EF" w14:textId="77777777" w:rsidR="007968EC" w:rsidRPr="00207D41" w:rsidRDefault="007968EC" w:rsidP="007968EC">
            <w:pPr>
              <w:jc w:val="both"/>
              <w:rPr>
                <w:rFonts w:ascii="Arial Narrow" w:hAnsi="Arial Narrow" w:cs="Arial"/>
                <w:lang w:val="es-ES" w:eastAsia="es-ES"/>
              </w:rPr>
            </w:pPr>
          </w:p>
          <w:p w14:paraId="31AB60F2" w14:textId="77777777" w:rsidR="007968EC" w:rsidRPr="00207D41" w:rsidRDefault="007968EC" w:rsidP="007968EC">
            <w:pPr>
              <w:jc w:val="both"/>
              <w:rPr>
                <w:rFonts w:ascii="Arial Narrow" w:hAnsi="Arial Narrow" w:cs="Arial"/>
                <w:lang w:val="es-ES" w:eastAsia="es-ES"/>
              </w:rPr>
            </w:pPr>
          </w:p>
          <w:p w14:paraId="16B2E494" w14:textId="77777777" w:rsidR="007968EC" w:rsidRPr="00207D41" w:rsidRDefault="007968EC" w:rsidP="007968EC">
            <w:pPr>
              <w:jc w:val="both"/>
              <w:rPr>
                <w:rFonts w:ascii="Arial Narrow" w:hAnsi="Arial Narrow" w:cs="Arial"/>
                <w:lang w:val="es-ES" w:eastAsia="es-ES"/>
              </w:rPr>
            </w:pPr>
          </w:p>
          <w:p w14:paraId="67F7D23D" w14:textId="77777777" w:rsidR="007968EC" w:rsidRPr="00207D41" w:rsidRDefault="007968EC" w:rsidP="007968EC">
            <w:pPr>
              <w:jc w:val="both"/>
              <w:rPr>
                <w:rFonts w:ascii="Arial Narrow" w:hAnsi="Arial Narrow" w:cs="Arial"/>
                <w:lang w:val="es-ES" w:eastAsia="es-ES"/>
              </w:rPr>
            </w:pPr>
          </w:p>
          <w:p w14:paraId="29494B26" w14:textId="77777777" w:rsidR="007968EC" w:rsidRPr="00207D41" w:rsidRDefault="007968EC" w:rsidP="007968EC">
            <w:pPr>
              <w:jc w:val="both"/>
              <w:rPr>
                <w:rFonts w:ascii="Arial Narrow" w:hAnsi="Arial Narrow" w:cs="Arial"/>
                <w:lang w:val="es-ES" w:eastAsia="es-ES"/>
              </w:rPr>
            </w:pPr>
          </w:p>
          <w:p w14:paraId="7BD4B43D" w14:textId="77777777" w:rsidR="007968EC" w:rsidRPr="00207D41" w:rsidRDefault="007968EC" w:rsidP="007968EC">
            <w:pPr>
              <w:jc w:val="both"/>
              <w:rPr>
                <w:rFonts w:ascii="Arial Narrow" w:hAnsi="Arial Narrow" w:cs="Arial"/>
                <w:lang w:val="es-ES" w:eastAsia="es-ES"/>
              </w:rPr>
            </w:pPr>
          </w:p>
          <w:p w14:paraId="2A137449" w14:textId="77777777" w:rsidR="007968EC" w:rsidRPr="00207D41" w:rsidRDefault="007968EC" w:rsidP="007968EC">
            <w:pPr>
              <w:jc w:val="both"/>
              <w:rPr>
                <w:rFonts w:ascii="Arial Narrow" w:hAnsi="Arial Narrow" w:cs="Arial"/>
                <w:lang w:val="es-ES" w:eastAsia="es-ES"/>
              </w:rPr>
            </w:pPr>
          </w:p>
          <w:p w14:paraId="4760CC31" w14:textId="77777777" w:rsidR="007968EC" w:rsidRPr="00207D41" w:rsidRDefault="007968EC" w:rsidP="007968EC">
            <w:pPr>
              <w:jc w:val="both"/>
              <w:rPr>
                <w:rFonts w:ascii="Arial Narrow" w:hAnsi="Arial Narrow" w:cs="Arial"/>
                <w:lang w:val="es-ES" w:eastAsia="es-ES"/>
              </w:rPr>
            </w:pPr>
          </w:p>
          <w:p w14:paraId="67864C10" w14:textId="77777777" w:rsidR="007968EC" w:rsidRPr="00207D41" w:rsidRDefault="007968EC" w:rsidP="007968EC">
            <w:pPr>
              <w:jc w:val="both"/>
              <w:rPr>
                <w:rFonts w:ascii="Arial Narrow" w:hAnsi="Arial Narrow" w:cs="Arial"/>
                <w:lang w:val="es-ES" w:eastAsia="es-ES"/>
              </w:rPr>
            </w:pPr>
          </w:p>
          <w:p w14:paraId="262100F8" w14:textId="77777777" w:rsidR="007968EC" w:rsidRPr="00207D41" w:rsidRDefault="007968EC" w:rsidP="007968EC">
            <w:pPr>
              <w:jc w:val="both"/>
              <w:rPr>
                <w:rFonts w:ascii="Arial Narrow" w:hAnsi="Arial Narrow" w:cs="Arial"/>
                <w:lang w:val="es-ES" w:eastAsia="es-ES"/>
              </w:rPr>
            </w:pPr>
          </w:p>
          <w:p w14:paraId="5B2EE6EF" w14:textId="77777777" w:rsidR="007968EC" w:rsidRPr="00207D41" w:rsidRDefault="007968EC" w:rsidP="007968EC">
            <w:pPr>
              <w:jc w:val="both"/>
              <w:rPr>
                <w:rFonts w:ascii="Arial Narrow" w:hAnsi="Arial Narrow" w:cs="Arial"/>
                <w:lang w:val="es-ES" w:eastAsia="es-ES"/>
              </w:rPr>
            </w:pPr>
          </w:p>
          <w:p w14:paraId="315E4B8C" w14:textId="77777777" w:rsidR="007968EC" w:rsidRPr="00207D41" w:rsidRDefault="007968EC" w:rsidP="007968EC">
            <w:pPr>
              <w:jc w:val="both"/>
              <w:rPr>
                <w:rFonts w:ascii="Arial Narrow" w:hAnsi="Arial Narrow" w:cs="Arial"/>
                <w:lang w:val="es-ES" w:eastAsia="es-ES"/>
              </w:rPr>
            </w:pPr>
          </w:p>
          <w:p w14:paraId="098502D8" w14:textId="77777777" w:rsidR="007968EC" w:rsidRPr="00207D41" w:rsidRDefault="007968EC" w:rsidP="007968EC">
            <w:pPr>
              <w:jc w:val="both"/>
              <w:rPr>
                <w:rFonts w:ascii="Arial Narrow" w:hAnsi="Arial Narrow" w:cs="Arial"/>
                <w:lang w:val="es-ES" w:eastAsia="es-ES"/>
              </w:rPr>
            </w:pPr>
          </w:p>
          <w:p w14:paraId="4ECAC8CC" w14:textId="77777777" w:rsidR="007968EC" w:rsidRPr="00207D41" w:rsidRDefault="007968EC" w:rsidP="007968EC">
            <w:pPr>
              <w:jc w:val="both"/>
              <w:rPr>
                <w:rFonts w:ascii="Arial Narrow" w:hAnsi="Arial Narrow" w:cs="Arial"/>
                <w:lang w:val="es-ES" w:eastAsia="es-ES"/>
              </w:rPr>
            </w:pPr>
          </w:p>
          <w:p w14:paraId="54861A04" w14:textId="77777777" w:rsidR="007968EC" w:rsidRPr="00207D41" w:rsidRDefault="007968EC" w:rsidP="007968EC">
            <w:pPr>
              <w:jc w:val="both"/>
              <w:rPr>
                <w:rFonts w:ascii="Arial Narrow" w:hAnsi="Arial Narrow" w:cs="Arial"/>
                <w:lang w:val="es-ES" w:eastAsia="es-ES"/>
              </w:rPr>
            </w:pPr>
          </w:p>
          <w:p w14:paraId="37A0F87A" w14:textId="77777777" w:rsidR="007968EC" w:rsidRPr="00207D41" w:rsidRDefault="007968EC" w:rsidP="007968EC">
            <w:pPr>
              <w:jc w:val="both"/>
              <w:rPr>
                <w:rFonts w:ascii="Arial Narrow" w:hAnsi="Arial Narrow" w:cs="Arial"/>
                <w:lang w:val="es-ES" w:eastAsia="es-ES"/>
              </w:rPr>
            </w:pPr>
          </w:p>
          <w:p w14:paraId="35691ED0" w14:textId="77777777" w:rsidR="007968EC" w:rsidRPr="00207D41" w:rsidRDefault="007968EC" w:rsidP="007968EC">
            <w:pPr>
              <w:jc w:val="both"/>
              <w:rPr>
                <w:rFonts w:ascii="Arial Narrow" w:hAnsi="Arial Narrow" w:cs="Arial"/>
                <w:lang w:val="es-ES" w:eastAsia="es-ES"/>
              </w:rPr>
            </w:pPr>
          </w:p>
          <w:p w14:paraId="1CCFD7C6" w14:textId="77777777" w:rsidR="007968EC" w:rsidRPr="00207D41" w:rsidRDefault="007968EC" w:rsidP="007968EC">
            <w:pPr>
              <w:jc w:val="both"/>
              <w:rPr>
                <w:rFonts w:ascii="Arial Narrow" w:hAnsi="Arial Narrow" w:cs="Arial"/>
                <w:lang w:val="es-ES" w:eastAsia="es-ES"/>
              </w:rPr>
            </w:pPr>
          </w:p>
          <w:p w14:paraId="6C9581F9" w14:textId="77777777" w:rsidR="007968EC" w:rsidRPr="00207D41" w:rsidRDefault="007968EC" w:rsidP="007968EC">
            <w:pPr>
              <w:jc w:val="both"/>
              <w:rPr>
                <w:rFonts w:ascii="Arial Narrow" w:hAnsi="Arial Narrow" w:cs="Arial"/>
                <w:lang w:val="es-ES" w:eastAsia="es-ES"/>
              </w:rPr>
            </w:pPr>
          </w:p>
          <w:p w14:paraId="3EA80C64" w14:textId="77777777" w:rsidR="007968EC" w:rsidRPr="00207D41" w:rsidRDefault="007968EC" w:rsidP="007968EC">
            <w:pPr>
              <w:jc w:val="both"/>
              <w:rPr>
                <w:rFonts w:ascii="Arial Narrow" w:hAnsi="Arial Narrow" w:cs="Arial"/>
                <w:lang w:val="es-ES" w:eastAsia="es-ES"/>
              </w:rPr>
            </w:pPr>
          </w:p>
          <w:p w14:paraId="4FF03790" w14:textId="77777777" w:rsidR="007968EC" w:rsidRPr="00207D41" w:rsidRDefault="007968EC" w:rsidP="007968EC">
            <w:pPr>
              <w:jc w:val="both"/>
              <w:rPr>
                <w:rFonts w:ascii="Arial Narrow" w:hAnsi="Arial Narrow" w:cs="Arial"/>
                <w:lang w:val="es-ES" w:eastAsia="es-ES"/>
              </w:rPr>
            </w:pPr>
          </w:p>
          <w:p w14:paraId="4D9063FB" w14:textId="77777777" w:rsidR="007968EC" w:rsidRPr="00207D41" w:rsidRDefault="007968EC" w:rsidP="007968EC">
            <w:pPr>
              <w:jc w:val="both"/>
              <w:rPr>
                <w:rFonts w:ascii="Arial Narrow" w:hAnsi="Arial Narrow" w:cs="Arial"/>
                <w:lang w:val="es-ES" w:eastAsia="es-ES"/>
              </w:rPr>
            </w:pPr>
          </w:p>
          <w:p w14:paraId="375877C4" w14:textId="77777777" w:rsidR="007968EC" w:rsidRPr="00207D41" w:rsidRDefault="007968EC" w:rsidP="007968EC">
            <w:pPr>
              <w:jc w:val="both"/>
              <w:rPr>
                <w:rFonts w:ascii="Arial Narrow" w:hAnsi="Arial Narrow" w:cs="Arial"/>
                <w:lang w:val="es-ES" w:eastAsia="es-ES"/>
              </w:rPr>
            </w:pPr>
          </w:p>
          <w:p w14:paraId="57F75D0A" w14:textId="77777777" w:rsidR="007968EC" w:rsidRPr="00207D41" w:rsidRDefault="007968EC" w:rsidP="007968EC">
            <w:pPr>
              <w:jc w:val="both"/>
              <w:rPr>
                <w:rFonts w:ascii="Arial Narrow" w:hAnsi="Arial Narrow" w:cs="Arial"/>
                <w:lang w:val="es-ES" w:eastAsia="es-ES"/>
              </w:rPr>
            </w:pPr>
          </w:p>
          <w:p w14:paraId="47B9235F" w14:textId="77777777" w:rsidR="007968EC" w:rsidRPr="00207D41" w:rsidRDefault="007968EC" w:rsidP="007968EC">
            <w:pPr>
              <w:jc w:val="both"/>
              <w:rPr>
                <w:rFonts w:ascii="Arial Narrow" w:hAnsi="Arial Narrow" w:cs="Arial"/>
                <w:lang w:val="es-ES" w:eastAsia="es-ES"/>
              </w:rPr>
            </w:pPr>
          </w:p>
          <w:p w14:paraId="248ECC14" w14:textId="77777777" w:rsidR="007968EC" w:rsidRPr="00207D41" w:rsidRDefault="007968EC" w:rsidP="007968EC">
            <w:pPr>
              <w:jc w:val="both"/>
              <w:rPr>
                <w:rFonts w:ascii="Arial Narrow" w:hAnsi="Arial Narrow" w:cs="Arial"/>
                <w:lang w:val="es-ES" w:eastAsia="es-ES"/>
              </w:rPr>
            </w:pPr>
          </w:p>
          <w:p w14:paraId="1537E992" w14:textId="77777777" w:rsidR="007968EC" w:rsidRPr="00207D41" w:rsidRDefault="007968EC" w:rsidP="007968EC">
            <w:pPr>
              <w:jc w:val="both"/>
              <w:rPr>
                <w:rFonts w:ascii="Arial Narrow" w:hAnsi="Arial Narrow" w:cs="Arial"/>
                <w:lang w:val="es-ES" w:eastAsia="es-ES"/>
              </w:rPr>
            </w:pPr>
          </w:p>
          <w:p w14:paraId="1D083266" w14:textId="77777777" w:rsidR="007968EC" w:rsidRPr="00207D41" w:rsidRDefault="007968EC" w:rsidP="007968EC">
            <w:pPr>
              <w:jc w:val="both"/>
              <w:rPr>
                <w:rFonts w:ascii="Arial Narrow" w:hAnsi="Arial Narrow" w:cs="Arial"/>
                <w:lang w:val="es-ES" w:eastAsia="es-ES"/>
              </w:rPr>
            </w:pPr>
          </w:p>
          <w:p w14:paraId="5E823AE9" w14:textId="77777777" w:rsidR="007968EC" w:rsidRPr="00207D41" w:rsidRDefault="007968EC" w:rsidP="007968EC">
            <w:pPr>
              <w:jc w:val="both"/>
              <w:rPr>
                <w:rFonts w:ascii="Arial Narrow" w:hAnsi="Arial Narrow" w:cs="Arial"/>
                <w:lang w:val="es-ES" w:eastAsia="es-ES"/>
              </w:rPr>
            </w:pPr>
          </w:p>
          <w:p w14:paraId="451ADDE7" w14:textId="77777777" w:rsidR="007968EC" w:rsidRPr="00207D41" w:rsidRDefault="007968EC" w:rsidP="007968EC">
            <w:pPr>
              <w:jc w:val="both"/>
              <w:rPr>
                <w:rFonts w:ascii="Arial Narrow" w:hAnsi="Arial Narrow" w:cs="Arial"/>
                <w:lang w:val="es-ES" w:eastAsia="es-ES"/>
              </w:rPr>
            </w:pPr>
          </w:p>
          <w:p w14:paraId="32BFB7EB" w14:textId="77777777" w:rsidR="007968EC" w:rsidRPr="00207D41" w:rsidRDefault="007968EC" w:rsidP="007968EC">
            <w:pPr>
              <w:jc w:val="both"/>
              <w:rPr>
                <w:rFonts w:ascii="Arial Narrow" w:hAnsi="Arial Narrow" w:cs="Arial"/>
                <w:lang w:val="es-ES" w:eastAsia="es-ES"/>
              </w:rPr>
            </w:pPr>
          </w:p>
          <w:p w14:paraId="7FFF7368" w14:textId="77777777" w:rsidR="007968EC" w:rsidRPr="00207D41" w:rsidRDefault="007968EC" w:rsidP="007968EC">
            <w:pPr>
              <w:jc w:val="both"/>
              <w:rPr>
                <w:rFonts w:ascii="Arial Narrow" w:hAnsi="Arial Narrow" w:cs="Arial"/>
                <w:lang w:val="es-ES" w:eastAsia="es-ES"/>
              </w:rPr>
            </w:pPr>
          </w:p>
          <w:p w14:paraId="05FB501A" w14:textId="77777777" w:rsidR="007968EC" w:rsidRPr="00207D41" w:rsidRDefault="007968EC" w:rsidP="007968EC">
            <w:pPr>
              <w:jc w:val="both"/>
              <w:rPr>
                <w:rFonts w:ascii="Arial Narrow" w:hAnsi="Arial Narrow" w:cs="Arial"/>
                <w:lang w:val="es-ES" w:eastAsia="es-ES"/>
              </w:rPr>
            </w:pPr>
          </w:p>
          <w:p w14:paraId="153C978A" w14:textId="77777777" w:rsidR="007968EC" w:rsidRPr="00207D41" w:rsidRDefault="007968EC" w:rsidP="007968EC">
            <w:pPr>
              <w:jc w:val="both"/>
              <w:rPr>
                <w:rFonts w:ascii="Arial Narrow" w:hAnsi="Arial Narrow" w:cs="Arial"/>
                <w:lang w:val="es-ES" w:eastAsia="es-ES"/>
              </w:rPr>
            </w:pPr>
          </w:p>
          <w:p w14:paraId="508E5569" w14:textId="77777777" w:rsidR="007968EC" w:rsidRPr="00207D41" w:rsidRDefault="007968EC" w:rsidP="007968EC">
            <w:pPr>
              <w:jc w:val="both"/>
              <w:rPr>
                <w:rFonts w:ascii="Arial Narrow" w:hAnsi="Arial Narrow" w:cs="Arial"/>
                <w:lang w:val="es-ES" w:eastAsia="es-ES"/>
              </w:rPr>
            </w:pPr>
          </w:p>
          <w:p w14:paraId="7F6F7389" w14:textId="77777777" w:rsidR="007968EC" w:rsidRPr="00207D41" w:rsidRDefault="007968EC" w:rsidP="007968EC">
            <w:pPr>
              <w:jc w:val="both"/>
              <w:rPr>
                <w:rFonts w:ascii="Arial Narrow" w:hAnsi="Arial Narrow" w:cs="Arial"/>
                <w:lang w:val="es-ES" w:eastAsia="es-ES"/>
              </w:rPr>
            </w:pPr>
          </w:p>
          <w:p w14:paraId="71B0392A" w14:textId="77777777" w:rsidR="007968EC" w:rsidRPr="00207D41" w:rsidRDefault="007968EC" w:rsidP="007968EC">
            <w:pPr>
              <w:jc w:val="both"/>
              <w:rPr>
                <w:rFonts w:ascii="Arial Narrow" w:hAnsi="Arial Narrow" w:cs="Arial"/>
                <w:lang w:val="es-ES" w:eastAsia="es-ES"/>
              </w:rPr>
            </w:pPr>
          </w:p>
          <w:p w14:paraId="108DFDC4" w14:textId="77777777" w:rsidR="007968EC" w:rsidRPr="00207D41" w:rsidRDefault="007968EC" w:rsidP="007968EC">
            <w:pPr>
              <w:jc w:val="both"/>
              <w:rPr>
                <w:rFonts w:ascii="Arial Narrow" w:hAnsi="Arial Narrow" w:cs="Arial"/>
                <w:lang w:val="es-ES" w:eastAsia="es-ES"/>
              </w:rPr>
            </w:pPr>
          </w:p>
          <w:p w14:paraId="324D0545" w14:textId="77777777" w:rsidR="007968EC" w:rsidRPr="00207D41" w:rsidRDefault="007968EC" w:rsidP="007968EC">
            <w:pPr>
              <w:jc w:val="both"/>
              <w:rPr>
                <w:rFonts w:ascii="Arial Narrow" w:hAnsi="Arial Narrow" w:cs="Arial"/>
                <w:lang w:val="es-ES" w:eastAsia="es-ES"/>
              </w:rPr>
            </w:pPr>
          </w:p>
          <w:p w14:paraId="4FD00354" w14:textId="77777777" w:rsidR="007968EC" w:rsidRPr="00207D41" w:rsidRDefault="007968EC" w:rsidP="007968EC">
            <w:pPr>
              <w:jc w:val="both"/>
              <w:rPr>
                <w:rFonts w:ascii="Arial Narrow" w:hAnsi="Arial Narrow" w:cs="Arial"/>
                <w:lang w:val="es-ES" w:eastAsia="es-ES"/>
              </w:rPr>
            </w:pPr>
          </w:p>
          <w:p w14:paraId="7A1C907E" w14:textId="77777777" w:rsidR="007968EC" w:rsidRPr="00207D41" w:rsidRDefault="007968EC" w:rsidP="007968EC">
            <w:pPr>
              <w:jc w:val="both"/>
              <w:rPr>
                <w:rFonts w:ascii="Arial Narrow" w:hAnsi="Arial Narrow" w:cs="Arial"/>
                <w:lang w:val="es-ES" w:eastAsia="es-ES"/>
              </w:rPr>
            </w:pPr>
          </w:p>
          <w:p w14:paraId="34E02FF4" w14:textId="77777777" w:rsidR="007968EC" w:rsidRPr="00207D41" w:rsidRDefault="007968EC" w:rsidP="007968EC">
            <w:pPr>
              <w:jc w:val="both"/>
              <w:rPr>
                <w:rFonts w:ascii="Arial Narrow" w:hAnsi="Arial Narrow" w:cs="Arial"/>
                <w:lang w:val="es-ES" w:eastAsia="es-ES"/>
              </w:rPr>
            </w:pPr>
          </w:p>
          <w:p w14:paraId="179C78FD" w14:textId="77777777" w:rsidR="007968EC" w:rsidRPr="00207D41" w:rsidRDefault="007968EC" w:rsidP="007968EC">
            <w:pPr>
              <w:jc w:val="both"/>
              <w:rPr>
                <w:rFonts w:ascii="Arial Narrow" w:hAnsi="Arial Narrow" w:cs="Arial"/>
                <w:lang w:val="es-ES" w:eastAsia="es-ES"/>
              </w:rPr>
            </w:pPr>
          </w:p>
          <w:p w14:paraId="68DA311D" w14:textId="77777777" w:rsidR="007968EC" w:rsidRPr="00207D41" w:rsidRDefault="007968EC" w:rsidP="007968EC">
            <w:pPr>
              <w:jc w:val="both"/>
              <w:rPr>
                <w:rFonts w:ascii="Arial Narrow" w:hAnsi="Arial Narrow" w:cs="Arial"/>
                <w:lang w:val="es-ES" w:eastAsia="es-ES"/>
              </w:rPr>
            </w:pPr>
          </w:p>
          <w:p w14:paraId="159B1003" w14:textId="77777777" w:rsidR="007968EC" w:rsidRPr="00207D41" w:rsidRDefault="007968EC" w:rsidP="007968EC">
            <w:pPr>
              <w:jc w:val="both"/>
              <w:rPr>
                <w:rFonts w:ascii="Arial Narrow" w:hAnsi="Arial Narrow" w:cs="Arial"/>
                <w:lang w:val="es-ES" w:eastAsia="es-ES"/>
              </w:rPr>
            </w:pPr>
          </w:p>
          <w:p w14:paraId="78C1FAD5" w14:textId="77777777" w:rsidR="007968EC" w:rsidRPr="00207D41" w:rsidRDefault="007968EC" w:rsidP="007968EC">
            <w:pPr>
              <w:jc w:val="both"/>
              <w:rPr>
                <w:rFonts w:ascii="Arial Narrow" w:hAnsi="Arial Narrow" w:cs="Arial"/>
                <w:lang w:val="es-ES" w:eastAsia="es-ES"/>
              </w:rPr>
            </w:pPr>
          </w:p>
          <w:p w14:paraId="44C0C2FA" w14:textId="77777777" w:rsidR="007968EC" w:rsidRPr="00207D41" w:rsidRDefault="007968EC" w:rsidP="007968EC">
            <w:pPr>
              <w:jc w:val="both"/>
              <w:rPr>
                <w:rFonts w:ascii="Arial Narrow" w:hAnsi="Arial Narrow" w:cs="Arial"/>
                <w:lang w:val="es-ES" w:eastAsia="es-ES"/>
              </w:rPr>
            </w:pPr>
          </w:p>
          <w:p w14:paraId="3204C591" w14:textId="77777777" w:rsidR="007968EC" w:rsidRPr="00207D41" w:rsidRDefault="007968EC" w:rsidP="007968EC">
            <w:pPr>
              <w:jc w:val="both"/>
              <w:rPr>
                <w:rFonts w:ascii="Arial Narrow" w:hAnsi="Arial Narrow" w:cs="Arial"/>
                <w:lang w:val="es-ES" w:eastAsia="es-ES"/>
              </w:rPr>
            </w:pPr>
          </w:p>
          <w:p w14:paraId="7C1C0FDB" w14:textId="77777777" w:rsidR="007968EC" w:rsidRPr="00207D41" w:rsidRDefault="007968EC" w:rsidP="007968EC">
            <w:pPr>
              <w:jc w:val="both"/>
              <w:rPr>
                <w:rFonts w:ascii="Arial Narrow" w:hAnsi="Arial Narrow" w:cs="Arial"/>
                <w:lang w:val="es-ES" w:eastAsia="es-ES"/>
              </w:rPr>
            </w:pPr>
          </w:p>
          <w:p w14:paraId="5B995000" w14:textId="77777777" w:rsidR="007968EC" w:rsidRPr="00207D41" w:rsidRDefault="007968EC" w:rsidP="007968EC">
            <w:pPr>
              <w:jc w:val="both"/>
              <w:rPr>
                <w:rFonts w:ascii="Arial Narrow" w:hAnsi="Arial Narrow" w:cs="Arial"/>
                <w:lang w:val="es-ES" w:eastAsia="es-ES"/>
              </w:rPr>
            </w:pPr>
          </w:p>
          <w:p w14:paraId="239EEB31" w14:textId="77777777" w:rsidR="007968EC" w:rsidRPr="00207D41" w:rsidRDefault="007968EC" w:rsidP="007968EC">
            <w:pPr>
              <w:jc w:val="both"/>
              <w:rPr>
                <w:rFonts w:ascii="Arial Narrow" w:hAnsi="Arial Narrow" w:cs="Arial"/>
                <w:lang w:val="es-ES" w:eastAsia="es-ES"/>
              </w:rPr>
            </w:pPr>
          </w:p>
          <w:p w14:paraId="22B16C74" w14:textId="77777777" w:rsidR="007968EC" w:rsidRPr="00207D41" w:rsidRDefault="007968EC" w:rsidP="007968EC">
            <w:pPr>
              <w:jc w:val="both"/>
              <w:rPr>
                <w:rFonts w:ascii="Arial Narrow" w:hAnsi="Arial Narrow" w:cs="Arial"/>
                <w:lang w:val="es-ES" w:eastAsia="es-ES"/>
              </w:rPr>
            </w:pPr>
          </w:p>
          <w:p w14:paraId="0B9A53B8" w14:textId="77777777" w:rsidR="007968EC" w:rsidRPr="00207D41" w:rsidRDefault="007968EC" w:rsidP="007968EC">
            <w:pPr>
              <w:jc w:val="both"/>
              <w:rPr>
                <w:rFonts w:ascii="Arial Narrow" w:hAnsi="Arial Narrow" w:cs="Arial"/>
                <w:lang w:val="es-ES" w:eastAsia="es-ES"/>
              </w:rPr>
            </w:pPr>
          </w:p>
          <w:p w14:paraId="3A8A6873" w14:textId="77777777" w:rsidR="007968EC" w:rsidRPr="00207D41" w:rsidRDefault="007968EC" w:rsidP="007968EC">
            <w:pPr>
              <w:jc w:val="both"/>
              <w:rPr>
                <w:rFonts w:ascii="Arial Narrow" w:hAnsi="Arial Narrow" w:cs="Arial"/>
                <w:lang w:val="es-ES" w:eastAsia="es-ES"/>
              </w:rPr>
            </w:pPr>
          </w:p>
          <w:p w14:paraId="6AD5DCDD" w14:textId="77777777" w:rsidR="007968EC" w:rsidRPr="00207D41" w:rsidRDefault="007968EC" w:rsidP="007968EC">
            <w:pPr>
              <w:jc w:val="both"/>
              <w:rPr>
                <w:rFonts w:ascii="Arial Narrow" w:hAnsi="Arial Narrow" w:cs="Arial"/>
                <w:lang w:val="es-ES" w:eastAsia="es-ES"/>
              </w:rPr>
            </w:pPr>
          </w:p>
          <w:p w14:paraId="2987095D" w14:textId="77777777" w:rsidR="007968EC" w:rsidRPr="00207D41" w:rsidRDefault="007968EC" w:rsidP="007968EC">
            <w:pPr>
              <w:jc w:val="both"/>
              <w:rPr>
                <w:rFonts w:ascii="Arial Narrow" w:hAnsi="Arial Narrow" w:cs="Arial"/>
                <w:lang w:val="es-ES" w:eastAsia="es-ES"/>
              </w:rPr>
            </w:pPr>
          </w:p>
          <w:p w14:paraId="3C7F1106" w14:textId="77777777" w:rsidR="007968EC" w:rsidRPr="00207D41" w:rsidRDefault="007968EC" w:rsidP="007968EC">
            <w:pPr>
              <w:jc w:val="both"/>
              <w:rPr>
                <w:rFonts w:ascii="Arial Narrow" w:hAnsi="Arial Narrow" w:cs="Arial"/>
                <w:lang w:val="es-ES" w:eastAsia="es-ES"/>
              </w:rPr>
            </w:pPr>
          </w:p>
          <w:p w14:paraId="71BCDDA8" w14:textId="77777777" w:rsidR="007968EC" w:rsidRPr="00207D41" w:rsidRDefault="007968EC" w:rsidP="007968EC">
            <w:pPr>
              <w:jc w:val="both"/>
              <w:rPr>
                <w:rFonts w:ascii="Arial Narrow" w:hAnsi="Arial Narrow" w:cs="Arial"/>
                <w:lang w:val="es-ES" w:eastAsia="es-ES"/>
              </w:rPr>
            </w:pPr>
          </w:p>
          <w:p w14:paraId="759064FF" w14:textId="77777777" w:rsidR="007968EC" w:rsidRPr="00207D41" w:rsidRDefault="007968EC" w:rsidP="007968EC">
            <w:pPr>
              <w:jc w:val="both"/>
              <w:rPr>
                <w:rFonts w:ascii="Arial Narrow" w:hAnsi="Arial Narrow" w:cs="Arial"/>
                <w:lang w:val="es-ES" w:eastAsia="es-ES"/>
              </w:rPr>
            </w:pPr>
          </w:p>
          <w:p w14:paraId="3F7F8B4A" w14:textId="77777777" w:rsidR="007968EC" w:rsidRPr="00207D41" w:rsidRDefault="007968EC" w:rsidP="007968EC">
            <w:pPr>
              <w:jc w:val="both"/>
              <w:rPr>
                <w:rFonts w:ascii="Arial Narrow" w:hAnsi="Arial Narrow" w:cs="Arial"/>
                <w:lang w:val="es-ES" w:eastAsia="es-ES"/>
              </w:rPr>
            </w:pPr>
          </w:p>
          <w:p w14:paraId="1B0F6B14" w14:textId="77777777" w:rsidR="007968EC" w:rsidRPr="00207D41" w:rsidRDefault="007968EC" w:rsidP="007968EC">
            <w:pPr>
              <w:jc w:val="both"/>
              <w:rPr>
                <w:rFonts w:ascii="Arial Narrow" w:hAnsi="Arial Narrow" w:cs="Arial"/>
                <w:lang w:val="es-ES" w:eastAsia="es-ES"/>
              </w:rPr>
            </w:pPr>
          </w:p>
          <w:p w14:paraId="398BA5E6" w14:textId="77777777" w:rsidR="007968EC" w:rsidRPr="00207D41" w:rsidRDefault="007968EC" w:rsidP="007968EC">
            <w:pPr>
              <w:jc w:val="both"/>
              <w:rPr>
                <w:rFonts w:ascii="Arial Narrow" w:hAnsi="Arial Narrow" w:cs="Arial"/>
                <w:lang w:val="es-ES" w:eastAsia="es-ES"/>
              </w:rPr>
            </w:pPr>
          </w:p>
          <w:p w14:paraId="3D6834E8" w14:textId="77777777" w:rsidR="007968EC" w:rsidRPr="00207D41" w:rsidRDefault="007968EC" w:rsidP="007968EC">
            <w:pPr>
              <w:jc w:val="both"/>
              <w:rPr>
                <w:rFonts w:ascii="Arial Narrow" w:hAnsi="Arial Narrow" w:cs="Arial"/>
                <w:lang w:val="es-ES" w:eastAsia="es-ES"/>
              </w:rPr>
            </w:pPr>
          </w:p>
          <w:p w14:paraId="61C285A4" w14:textId="77777777" w:rsidR="007968EC" w:rsidRPr="00207D41" w:rsidRDefault="007968EC" w:rsidP="007968EC">
            <w:pPr>
              <w:jc w:val="both"/>
              <w:rPr>
                <w:rFonts w:ascii="Arial Narrow" w:hAnsi="Arial Narrow" w:cs="Arial"/>
                <w:lang w:val="es-ES" w:eastAsia="es-ES"/>
              </w:rPr>
            </w:pPr>
          </w:p>
          <w:p w14:paraId="7E8DCADA" w14:textId="77777777" w:rsidR="007968EC" w:rsidRPr="00207D41" w:rsidRDefault="007968EC" w:rsidP="007968EC">
            <w:pPr>
              <w:jc w:val="both"/>
              <w:rPr>
                <w:rFonts w:ascii="Arial Narrow" w:hAnsi="Arial Narrow" w:cs="Arial"/>
                <w:lang w:val="es-ES" w:eastAsia="es-ES"/>
              </w:rPr>
            </w:pPr>
          </w:p>
          <w:p w14:paraId="20AC0B14" w14:textId="77777777" w:rsidR="007968EC" w:rsidRPr="00207D41" w:rsidRDefault="007968EC" w:rsidP="007968EC">
            <w:pPr>
              <w:jc w:val="both"/>
              <w:rPr>
                <w:rFonts w:ascii="Arial Narrow" w:hAnsi="Arial Narrow" w:cs="Arial"/>
                <w:lang w:val="es-ES" w:eastAsia="es-ES"/>
              </w:rPr>
            </w:pPr>
          </w:p>
          <w:p w14:paraId="0331B7BD" w14:textId="77777777" w:rsidR="007968EC" w:rsidRPr="00207D41" w:rsidRDefault="007968EC" w:rsidP="007968EC">
            <w:pPr>
              <w:jc w:val="both"/>
              <w:rPr>
                <w:rFonts w:ascii="Arial Narrow" w:hAnsi="Arial Narrow" w:cs="Arial"/>
                <w:lang w:val="es-ES" w:eastAsia="es-ES"/>
              </w:rPr>
            </w:pPr>
          </w:p>
          <w:p w14:paraId="25628D5A" w14:textId="77777777" w:rsidR="007968EC" w:rsidRPr="00207D41" w:rsidRDefault="007968EC" w:rsidP="007968EC">
            <w:pPr>
              <w:jc w:val="both"/>
              <w:rPr>
                <w:rFonts w:ascii="Arial Narrow" w:hAnsi="Arial Narrow" w:cs="Arial"/>
                <w:lang w:val="es-ES" w:eastAsia="es-ES"/>
              </w:rPr>
            </w:pPr>
          </w:p>
          <w:p w14:paraId="50D5784F" w14:textId="77777777" w:rsidR="007968EC" w:rsidRPr="00207D41" w:rsidRDefault="007968EC" w:rsidP="007968EC">
            <w:pPr>
              <w:jc w:val="both"/>
              <w:rPr>
                <w:rFonts w:ascii="Arial Narrow" w:hAnsi="Arial Narrow" w:cs="Arial"/>
                <w:lang w:val="es-ES" w:eastAsia="es-ES"/>
              </w:rPr>
            </w:pPr>
          </w:p>
          <w:p w14:paraId="28754B8A" w14:textId="77777777" w:rsidR="007968EC" w:rsidRPr="00207D41" w:rsidRDefault="007968EC" w:rsidP="007968EC">
            <w:pPr>
              <w:jc w:val="both"/>
              <w:rPr>
                <w:rFonts w:ascii="Arial Narrow" w:hAnsi="Arial Narrow" w:cs="Arial"/>
                <w:lang w:val="es-ES" w:eastAsia="es-ES"/>
              </w:rPr>
            </w:pPr>
          </w:p>
          <w:p w14:paraId="36DFA2A2" w14:textId="77777777" w:rsidR="007968EC" w:rsidRPr="00207D41" w:rsidRDefault="007968EC" w:rsidP="007968EC">
            <w:pPr>
              <w:jc w:val="both"/>
              <w:rPr>
                <w:rFonts w:ascii="Arial Narrow" w:hAnsi="Arial Narrow" w:cs="Arial"/>
                <w:lang w:val="es-ES" w:eastAsia="es-ES"/>
              </w:rPr>
            </w:pPr>
          </w:p>
          <w:p w14:paraId="3C6EEEDA" w14:textId="77777777" w:rsidR="007968EC" w:rsidRPr="00207D41" w:rsidRDefault="007968EC" w:rsidP="007968EC">
            <w:pPr>
              <w:jc w:val="both"/>
              <w:rPr>
                <w:rFonts w:ascii="Arial Narrow" w:hAnsi="Arial Narrow" w:cs="Arial"/>
                <w:lang w:val="es-ES" w:eastAsia="es-ES"/>
              </w:rPr>
            </w:pPr>
          </w:p>
          <w:p w14:paraId="06CDFE69" w14:textId="77777777" w:rsidR="007968EC" w:rsidRPr="00207D41" w:rsidRDefault="007968EC" w:rsidP="007968EC">
            <w:pPr>
              <w:jc w:val="both"/>
              <w:rPr>
                <w:rFonts w:ascii="Arial Narrow" w:hAnsi="Arial Narrow" w:cs="Arial"/>
                <w:lang w:val="es-ES" w:eastAsia="es-ES"/>
              </w:rPr>
            </w:pPr>
          </w:p>
          <w:p w14:paraId="27A5B420" w14:textId="77777777" w:rsidR="007968EC" w:rsidRPr="00207D41" w:rsidRDefault="007968EC" w:rsidP="007968EC">
            <w:pPr>
              <w:jc w:val="both"/>
              <w:rPr>
                <w:rFonts w:ascii="Arial Narrow" w:hAnsi="Arial Narrow" w:cs="Arial"/>
                <w:lang w:val="es-ES" w:eastAsia="es-ES"/>
              </w:rPr>
            </w:pPr>
          </w:p>
          <w:p w14:paraId="1AFBE906" w14:textId="77777777" w:rsidR="007968EC" w:rsidRPr="00207D41" w:rsidRDefault="007968EC" w:rsidP="007968EC">
            <w:pPr>
              <w:jc w:val="both"/>
              <w:rPr>
                <w:rFonts w:ascii="Arial Narrow" w:hAnsi="Arial Narrow" w:cs="Arial"/>
                <w:lang w:val="es-ES" w:eastAsia="es-ES"/>
              </w:rPr>
            </w:pPr>
          </w:p>
          <w:p w14:paraId="4D2743E6" w14:textId="77777777" w:rsidR="007968EC" w:rsidRPr="00207D41" w:rsidRDefault="007968EC" w:rsidP="007968EC">
            <w:pPr>
              <w:jc w:val="both"/>
              <w:rPr>
                <w:rFonts w:ascii="Arial Narrow" w:hAnsi="Arial Narrow" w:cs="Arial"/>
                <w:lang w:val="es-ES" w:eastAsia="es-ES"/>
              </w:rPr>
            </w:pPr>
          </w:p>
          <w:p w14:paraId="7664BBA6" w14:textId="77777777" w:rsidR="007968EC" w:rsidRPr="00207D41" w:rsidRDefault="007968EC" w:rsidP="007968EC">
            <w:pPr>
              <w:jc w:val="both"/>
              <w:rPr>
                <w:rFonts w:ascii="Arial Narrow" w:hAnsi="Arial Narrow" w:cs="Arial"/>
                <w:lang w:val="es-ES" w:eastAsia="es-ES"/>
              </w:rPr>
            </w:pPr>
          </w:p>
          <w:p w14:paraId="117FBB21" w14:textId="77777777" w:rsidR="007968EC" w:rsidRPr="00207D41" w:rsidRDefault="007968EC" w:rsidP="007968EC">
            <w:pPr>
              <w:jc w:val="both"/>
              <w:rPr>
                <w:rFonts w:ascii="Arial Narrow" w:hAnsi="Arial Narrow" w:cs="Arial"/>
                <w:lang w:val="es-ES" w:eastAsia="es-ES"/>
              </w:rPr>
            </w:pPr>
          </w:p>
          <w:p w14:paraId="6C3AA326" w14:textId="77777777" w:rsidR="007968EC" w:rsidRPr="00207D41" w:rsidRDefault="007968EC" w:rsidP="007968EC">
            <w:pPr>
              <w:jc w:val="both"/>
              <w:rPr>
                <w:rFonts w:ascii="Arial Narrow" w:hAnsi="Arial Narrow" w:cs="Arial"/>
                <w:lang w:val="es-ES" w:eastAsia="es-ES"/>
              </w:rPr>
            </w:pPr>
          </w:p>
          <w:p w14:paraId="2091D18F" w14:textId="77777777" w:rsidR="007968EC" w:rsidRPr="00207D41" w:rsidRDefault="007968EC" w:rsidP="007968EC">
            <w:pPr>
              <w:jc w:val="both"/>
              <w:rPr>
                <w:rFonts w:ascii="Arial Narrow" w:hAnsi="Arial Narrow" w:cs="Arial"/>
                <w:lang w:val="es-ES" w:eastAsia="es-ES"/>
              </w:rPr>
            </w:pPr>
          </w:p>
          <w:p w14:paraId="15210C08" w14:textId="77777777" w:rsidR="007968EC" w:rsidRPr="00207D41" w:rsidRDefault="007968EC" w:rsidP="007968EC">
            <w:pPr>
              <w:jc w:val="both"/>
              <w:rPr>
                <w:rFonts w:ascii="Arial Narrow" w:hAnsi="Arial Narrow" w:cs="Arial"/>
                <w:lang w:val="es-ES" w:eastAsia="es-ES"/>
              </w:rPr>
            </w:pPr>
          </w:p>
          <w:p w14:paraId="2FD74169" w14:textId="77777777" w:rsidR="007968EC" w:rsidRPr="00207D41" w:rsidRDefault="007968EC" w:rsidP="007968EC">
            <w:pPr>
              <w:jc w:val="both"/>
              <w:rPr>
                <w:rFonts w:ascii="Arial Narrow" w:hAnsi="Arial Narrow" w:cs="Arial"/>
                <w:lang w:val="es-ES" w:eastAsia="es-ES"/>
              </w:rPr>
            </w:pPr>
          </w:p>
          <w:p w14:paraId="6FF51CF4" w14:textId="77777777" w:rsidR="007968EC" w:rsidRPr="00207D41" w:rsidRDefault="007968EC" w:rsidP="007968EC">
            <w:pPr>
              <w:jc w:val="both"/>
              <w:rPr>
                <w:rFonts w:ascii="Arial Narrow" w:hAnsi="Arial Narrow" w:cs="Arial"/>
                <w:lang w:val="es-ES" w:eastAsia="es-ES"/>
              </w:rPr>
            </w:pPr>
          </w:p>
          <w:p w14:paraId="2964A53E" w14:textId="77777777" w:rsidR="007968EC" w:rsidRPr="00207D41" w:rsidRDefault="007968EC" w:rsidP="007968EC">
            <w:pPr>
              <w:jc w:val="both"/>
              <w:rPr>
                <w:rFonts w:ascii="Arial Narrow" w:hAnsi="Arial Narrow" w:cs="Arial"/>
                <w:lang w:val="es-ES" w:eastAsia="es-ES"/>
              </w:rPr>
            </w:pPr>
          </w:p>
          <w:p w14:paraId="152404E2" w14:textId="77777777" w:rsidR="007968EC" w:rsidRPr="00207D41" w:rsidRDefault="007968EC" w:rsidP="007968EC">
            <w:pPr>
              <w:jc w:val="both"/>
              <w:rPr>
                <w:rFonts w:ascii="Arial Narrow" w:hAnsi="Arial Narrow" w:cs="Arial"/>
                <w:lang w:val="es-ES" w:eastAsia="es-ES"/>
              </w:rPr>
            </w:pPr>
          </w:p>
          <w:p w14:paraId="21DBFEE9" w14:textId="77777777" w:rsidR="007968EC" w:rsidRPr="00207D41" w:rsidRDefault="007968EC" w:rsidP="007968EC">
            <w:pPr>
              <w:jc w:val="both"/>
              <w:rPr>
                <w:rFonts w:ascii="Arial Narrow" w:hAnsi="Arial Narrow" w:cs="Arial"/>
                <w:lang w:val="es-ES" w:eastAsia="es-ES"/>
              </w:rPr>
            </w:pPr>
          </w:p>
          <w:p w14:paraId="0FCEFBF3" w14:textId="77777777" w:rsidR="007968EC" w:rsidRPr="00207D41" w:rsidRDefault="007968EC" w:rsidP="007968EC">
            <w:pPr>
              <w:jc w:val="both"/>
              <w:rPr>
                <w:rFonts w:ascii="Arial Narrow" w:hAnsi="Arial Narrow" w:cs="Arial"/>
                <w:lang w:val="es-ES" w:eastAsia="es-ES"/>
              </w:rPr>
            </w:pPr>
          </w:p>
          <w:p w14:paraId="12A461D0" w14:textId="77777777" w:rsidR="007968EC" w:rsidRPr="00207D41" w:rsidRDefault="007968EC" w:rsidP="007968EC">
            <w:pPr>
              <w:jc w:val="both"/>
              <w:rPr>
                <w:rFonts w:ascii="Arial Narrow" w:hAnsi="Arial Narrow" w:cs="Arial"/>
                <w:lang w:val="es-ES" w:eastAsia="es-ES"/>
              </w:rPr>
            </w:pPr>
          </w:p>
          <w:p w14:paraId="47491572" w14:textId="77777777" w:rsidR="007968EC" w:rsidRPr="00207D41" w:rsidRDefault="007968EC" w:rsidP="007968EC">
            <w:pPr>
              <w:jc w:val="both"/>
              <w:rPr>
                <w:rFonts w:ascii="Arial Narrow" w:hAnsi="Arial Narrow" w:cs="Arial"/>
                <w:lang w:val="es-ES" w:eastAsia="es-ES"/>
              </w:rPr>
            </w:pPr>
          </w:p>
          <w:p w14:paraId="59C888AF" w14:textId="77777777" w:rsidR="007968EC" w:rsidRPr="00207D41" w:rsidRDefault="007968EC" w:rsidP="007968EC">
            <w:pPr>
              <w:jc w:val="both"/>
              <w:rPr>
                <w:rFonts w:ascii="Arial Narrow" w:hAnsi="Arial Narrow" w:cs="Arial"/>
                <w:lang w:val="es-ES" w:eastAsia="es-ES"/>
              </w:rPr>
            </w:pPr>
          </w:p>
          <w:p w14:paraId="7D308C58" w14:textId="77777777" w:rsidR="007968EC" w:rsidRPr="00207D41" w:rsidRDefault="007968EC" w:rsidP="007968EC">
            <w:pPr>
              <w:jc w:val="both"/>
              <w:rPr>
                <w:rFonts w:ascii="Arial Narrow" w:hAnsi="Arial Narrow" w:cs="Arial"/>
                <w:lang w:val="es-ES" w:eastAsia="es-ES"/>
              </w:rPr>
            </w:pPr>
          </w:p>
          <w:p w14:paraId="4A8505F4" w14:textId="77777777" w:rsidR="007968EC" w:rsidRPr="00207D41" w:rsidRDefault="007968EC" w:rsidP="007968EC">
            <w:pPr>
              <w:jc w:val="both"/>
              <w:rPr>
                <w:rFonts w:ascii="Arial Narrow" w:hAnsi="Arial Narrow" w:cs="Arial"/>
                <w:lang w:val="es-ES" w:eastAsia="es-ES"/>
              </w:rPr>
            </w:pPr>
          </w:p>
          <w:p w14:paraId="6C423063" w14:textId="77777777" w:rsidR="007968EC" w:rsidRPr="00207D41" w:rsidRDefault="007968EC" w:rsidP="007968EC">
            <w:pPr>
              <w:jc w:val="both"/>
              <w:rPr>
                <w:rFonts w:ascii="Arial Narrow" w:hAnsi="Arial Narrow" w:cs="Arial"/>
                <w:lang w:val="es-ES" w:eastAsia="es-ES"/>
              </w:rPr>
            </w:pPr>
          </w:p>
          <w:p w14:paraId="4247427F" w14:textId="77777777" w:rsidR="007968EC" w:rsidRPr="00207D41" w:rsidRDefault="007968EC" w:rsidP="007968EC">
            <w:pPr>
              <w:jc w:val="both"/>
              <w:rPr>
                <w:rFonts w:ascii="Arial Narrow" w:hAnsi="Arial Narrow" w:cs="Arial"/>
                <w:lang w:val="es-ES" w:eastAsia="es-ES"/>
              </w:rPr>
            </w:pPr>
          </w:p>
          <w:p w14:paraId="42CED7C8" w14:textId="77777777" w:rsidR="007968EC" w:rsidRPr="00207D41" w:rsidRDefault="007968EC" w:rsidP="007968EC">
            <w:pPr>
              <w:jc w:val="both"/>
              <w:rPr>
                <w:rFonts w:ascii="Arial Narrow" w:hAnsi="Arial Narrow" w:cs="Arial"/>
                <w:lang w:val="es-ES" w:eastAsia="es-ES"/>
              </w:rPr>
            </w:pPr>
          </w:p>
          <w:p w14:paraId="1438DEBD" w14:textId="77777777" w:rsidR="007968EC" w:rsidRPr="00207D41" w:rsidRDefault="007968EC" w:rsidP="007968EC">
            <w:pPr>
              <w:jc w:val="both"/>
              <w:rPr>
                <w:rFonts w:ascii="Arial Narrow" w:hAnsi="Arial Narrow" w:cs="Arial"/>
                <w:lang w:val="es-ES" w:eastAsia="es-ES"/>
              </w:rPr>
            </w:pPr>
          </w:p>
          <w:p w14:paraId="64C5AC49" w14:textId="77777777" w:rsidR="007968EC" w:rsidRPr="00207D41" w:rsidRDefault="007968EC" w:rsidP="007968EC">
            <w:pPr>
              <w:jc w:val="both"/>
              <w:rPr>
                <w:rFonts w:ascii="Arial Narrow" w:hAnsi="Arial Narrow" w:cs="Arial"/>
                <w:lang w:val="es-ES" w:eastAsia="es-ES"/>
              </w:rPr>
            </w:pPr>
          </w:p>
          <w:p w14:paraId="0E6F4C22" w14:textId="77777777" w:rsidR="007968EC" w:rsidRPr="00207D41" w:rsidRDefault="007968EC" w:rsidP="007968EC">
            <w:pPr>
              <w:jc w:val="both"/>
              <w:rPr>
                <w:rFonts w:ascii="Arial Narrow" w:hAnsi="Arial Narrow" w:cs="Arial"/>
                <w:lang w:val="es-ES" w:eastAsia="es-ES"/>
              </w:rPr>
            </w:pPr>
          </w:p>
          <w:p w14:paraId="5EC85F22" w14:textId="77777777" w:rsidR="007968EC" w:rsidRPr="00207D41" w:rsidRDefault="007968EC" w:rsidP="007968EC">
            <w:pPr>
              <w:jc w:val="both"/>
              <w:rPr>
                <w:rFonts w:ascii="Arial Narrow" w:hAnsi="Arial Narrow" w:cs="Arial"/>
                <w:lang w:val="es-ES" w:eastAsia="es-ES"/>
              </w:rPr>
            </w:pPr>
          </w:p>
          <w:p w14:paraId="47F690B0" w14:textId="77777777" w:rsidR="007968EC" w:rsidRPr="00207D41" w:rsidRDefault="007968EC" w:rsidP="007968EC">
            <w:pPr>
              <w:jc w:val="both"/>
              <w:rPr>
                <w:rFonts w:ascii="Arial Narrow" w:hAnsi="Arial Narrow" w:cs="Arial"/>
                <w:lang w:val="es-ES" w:eastAsia="es-ES"/>
              </w:rPr>
            </w:pPr>
          </w:p>
          <w:p w14:paraId="59199B02" w14:textId="77777777" w:rsidR="007968EC" w:rsidRPr="00207D41" w:rsidRDefault="007968EC" w:rsidP="007968EC">
            <w:pPr>
              <w:jc w:val="both"/>
              <w:rPr>
                <w:rFonts w:ascii="Arial Narrow" w:hAnsi="Arial Narrow" w:cs="Arial"/>
                <w:lang w:val="es-ES" w:eastAsia="es-ES"/>
              </w:rPr>
            </w:pPr>
          </w:p>
          <w:p w14:paraId="465C8B38" w14:textId="77777777" w:rsidR="007968EC" w:rsidRPr="00207D41" w:rsidRDefault="007968EC" w:rsidP="007968EC">
            <w:pPr>
              <w:jc w:val="both"/>
              <w:rPr>
                <w:rFonts w:ascii="Arial Narrow" w:hAnsi="Arial Narrow" w:cs="Arial"/>
                <w:lang w:val="es-ES" w:eastAsia="es-ES"/>
              </w:rPr>
            </w:pPr>
          </w:p>
          <w:p w14:paraId="6755C7F8" w14:textId="77777777" w:rsidR="007968EC" w:rsidRPr="00207D41" w:rsidRDefault="007968EC" w:rsidP="007968EC">
            <w:pPr>
              <w:jc w:val="both"/>
              <w:rPr>
                <w:rFonts w:ascii="Arial Narrow" w:hAnsi="Arial Narrow" w:cs="Arial"/>
                <w:lang w:val="es-ES" w:eastAsia="es-ES"/>
              </w:rPr>
            </w:pPr>
          </w:p>
          <w:p w14:paraId="60E5731F" w14:textId="77777777" w:rsidR="007968EC" w:rsidRPr="00207D41" w:rsidRDefault="007968EC" w:rsidP="007968EC">
            <w:pPr>
              <w:jc w:val="both"/>
              <w:rPr>
                <w:rFonts w:ascii="Arial Narrow" w:hAnsi="Arial Narrow" w:cs="Arial"/>
                <w:lang w:val="es-ES" w:eastAsia="es-ES"/>
              </w:rPr>
            </w:pPr>
          </w:p>
          <w:p w14:paraId="5D7E5A08" w14:textId="77777777" w:rsidR="007968EC" w:rsidRPr="00207D41" w:rsidRDefault="007968EC" w:rsidP="007968EC">
            <w:pPr>
              <w:jc w:val="both"/>
              <w:rPr>
                <w:rFonts w:ascii="Arial Narrow" w:hAnsi="Arial Narrow" w:cs="Arial"/>
                <w:lang w:val="es-ES" w:eastAsia="es-ES"/>
              </w:rPr>
            </w:pPr>
          </w:p>
          <w:p w14:paraId="5350C2B7" w14:textId="77777777" w:rsidR="007968EC" w:rsidRPr="00207D41" w:rsidRDefault="007968EC" w:rsidP="007968EC">
            <w:pPr>
              <w:jc w:val="both"/>
              <w:rPr>
                <w:rFonts w:ascii="Arial Narrow" w:hAnsi="Arial Narrow" w:cs="Arial"/>
                <w:lang w:val="es-ES" w:eastAsia="es-ES"/>
              </w:rPr>
            </w:pPr>
          </w:p>
          <w:p w14:paraId="5C4AD034" w14:textId="77777777" w:rsidR="007968EC" w:rsidRPr="00207D41" w:rsidRDefault="007968EC" w:rsidP="007968EC">
            <w:pPr>
              <w:jc w:val="both"/>
              <w:rPr>
                <w:rFonts w:ascii="Arial Narrow" w:hAnsi="Arial Narrow" w:cs="Arial"/>
                <w:lang w:val="es-ES" w:eastAsia="es-ES"/>
              </w:rPr>
            </w:pPr>
          </w:p>
          <w:p w14:paraId="3D22400B" w14:textId="77777777" w:rsidR="007968EC" w:rsidRPr="00207D41" w:rsidRDefault="007968EC" w:rsidP="007968EC">
            <w:pPr>
              <w:jc w:val="both"/>
              <w:rPr>
                <w:rFonts w:ascii="Arial Narrow" w:hAnsi="Arial Narrow" w:cs="Arial"/>
                <w:lang w:val="es-ES" w:eastAsia="es-ES"/>
              </w:rPr>
            </w:pPr>
          </w:p>
          <w:p w14:paraId="65FFC813" w14:textId="77777777" w:rsidR="007968EC" w:rsidRPr="00207D41" w:rsidRDefault="007968EC" w:rsidP="007968EC">
            <w:pPr>
              <w:jc w:val="both"/>
              <w:rPr>
                <w:rFonts w:ascii="Arial Narrow" w:hAnsi="Arial Narrow" w:cs="Arial"/>
                <w:lang w:val="es-ES" w:eastAsia="es-ES"/>
              </w:rPr>
            </w:pPr>
          </w:p>
          <w:p w14:paraId="20AB7831" w14:textId="77777777" w:rsidR="007968EC" w:rsidRPr="00207D41" w:rsidRDefault="007968EC" w:rsidP="007968EC">
            <w:pPr>
              <w:jc w:val="both"/>
              <w:rPr>
                <w:rFonts w:ascii="Arial Narrow" w:hAnsi="Arial Narrow" w:cs="Arial"/>
                <w:lang w:val="es-ES" w:eastAsia="es-ES"/>
              </w:rPr>
            </w:pPr>
          </w:p>
          <w:p w14:paraId="6D2EA9DE" w14:textId="77777777" w:rsidR="007968EC" w:rsidRPr="00207D41" w:rsidRDefault="007968EC" w:rsidP="007968EC">
            <w:pPr>
              <w:jc w:val="both"/>
              <w:rPr>
                <w:rFonts w:ascii="Arial Narrow" w:hAnsi="Arial Narrow" w:cs="Arial"/>
                <w:lang w:val="es-ES" w:eastAsia="es-ES"/>
              </w:rPr>
            </w:pPr>
          </w:p>
          <w:p w14:paraId="3237A116" w14:textId="77777777" w:rsidR="007968EC" w:rsidRPr="00207D41" w:rsidRDefault="007968EC" w:rsidP="007968EC">
            <w:pPr>
              <w:jc w:val="both"/>
              <w:rPr>
                <w:rFonts w:ascii="Arial Narrow" w:hAnsi="Arial Narrow" w:cs="Arial"/>
                <w:lang w:val="es-ES" w:eastAsia="es-ES"/>
              </w:rPr>
            </w:pPr>
          </w:p>
          <w:p w14:paraId="1B2B9127" w14:textId="77777777" w:rsidR="007968EC" w:rsidRPr="00207D41" w:rsidRDefault="007968EC" w:rsidP="007968EC">
            <w:pPr>
              <w:jc w:val="both"/>
              <w:rPr>
                <w:rFonts w:ascii="Arial Narrow" w:hAnsi="Arial Narrow" w:cs="Arial"/>
                <w:lang w:val="es-ES" w:eastAsia="es-ES"/>
              </w:rPr>
            </w:pPr>
          </w:p>
          <w:p w14:paraId="716C3592" w14:textId="77777777" w:rsidR="007968EC" w:rsidRPr="00207D41" w:rsidRDefault="007968EC" w:rsidP="007968EC">
            <w:pPr>
              <w:jc w:val="both"/>
              <w:rPr>
                <w:rFonts w:ascii="Arial Narrow" w:hAnsi="Arial Narrow" w:cs="Arial"/>
                <w:lang w:val="es-ES" w:eastAsia="es-ES"/>
              </w:rPr>
            </w:pPr>
          </w:p>
          <w:p w14:paraId="5F5008EA" w14:textId="77777777" w:rsidR="007968EC" w:rsidRPr="00207D41" w:rsidRDefault="007968EC" w:rsidP="007968EC">
            <w:pPr>
              <w:jc w:val="both"/>
              <w:rPr>
                <w:rFonts w:ascii="Arial Narrow" w:hAnsi="Arial Narrow" w:cs="Arial"/>
                <w:lang w:val="es-ES" w:eastAsia="es-ES"/>
              </w:rPr>
            </w:pPr>
          </w:p>
          <w:p w14:paraId="1C72E1FC" w14:textId="77777777" w:rsidR="007968EC" w:rsidRPr="00207D41" w:rsidRDefault="007968EC" w:rsidP="007968EC">
            <w:pPr>
              <w:jc w:val="both"/>
              <w:rPr>
                <w:rFonts w:ascii="Arial Narrow" w:hAnsi="Arial Narrow" w:cs="Arial"/>
                <w:lang w:val="es-ES" w:eastAsia="es-ES"/>
              </w:rPr>
            </w:pPr>
          </w:p>
          <w:p w14:paraId="7E544660" w14:textId="77777777" w:rsidR="007968EC" w:rsidRPr="00207D41" w:rsidRDefault="007968EC" w:rsidP="007968EC">
            <w:pPr>
              <w:jc w:val="both"/>
              <w:rPr>
                <w:rFonts w:ascii="Arial Narrow" w:hAnsi="Arial Narrow" w:cs="Arial"/>
                <w:lang w:val="es-ES" w:eastAsia="es-ES"/>
              </w:rPr>
            </w:pPr>
          </w:p>
          <w:p w14:paraId="021CDC2C" w14:textId="77777777" w:rsidR="007968EC" w:rsidRPr="00207D41" w:rsidRDefault="007968EC" w:rsidP="007968EC">
            <w:pPr>
              <w:jc w:val="both"/>
              <w:rPr>
                <w:rFonts w:ascii="Arial Narrow" w:hAnsi="Arial Narrow" w:cs="Arial"/>
                <w:lang w:val="es-ES" w:eastAsia="es-ES"/>
              </w:rPr>
            </w:pPr>
          </w:p>
          <w:p w14:paraId="28372AE0" w14:textId="77777777" w:rsidR="007968EC" w:rsidRPr="00207D41" w:rsidRDefault="007968EC" w:rsidP="007968EC">
            <w:pPr>
              <w:jc w:val="both"/>
              <w:rPr>
                <w:rFonts w:ascii="Arial Narrow" w:hAnsi="Arial Narrow" w:cs="Arial"/>
                <w:lang w:val="es-ES" w:eastAsia="es-ES"/>
              </w:rPr>
            </w:pPr>
          </w:p>
          <w:p w14:paraId="67749144" w14:textId="77777777" w:rsidR="007968EC" w:rsidRPr="00207D41" w:rsidRDefault="007968EC" w:rsidP="007968EC">
            <w:pPr>
              <w:jc w:val="both"/>
              <w:rPr>
                <w:rFonts w:ascii="Arial Narrow" w:hAnsi="Arial Narrow" w:cs="Arial"/>
                <w:lang w:val="es-ES" w:eastAsia="es-ES"/>
              </w:rPr>
            </w:pPr>
          </w:p>
          <w:p w14:paraId="7DF5CFE4" w14:textId="77777777" w:rsidR="007968EC" w:rsidRPr="00207D41" w:rsidRDefault="007968EC" w:rsidP="007968EC">
            <w:pPr>
              <w:jc w:val="both"/>
              <w:rPr>
                <w:rFonts w:ascii="Arial Narrow" w:hAnsi="Arial Narrow" w:cs="Arial"/>
                <w:lang w:val="es-ES" w:eastAsia="es-ES"/>
              </w:rPr>
            </w:pPr>
          </w:p>
          <w:p w14:paraId="5A355723" w14:textId="77777777" w:rsidR="007968EC" w:rsidRPr="00207D41" w:rsidRDefault="007968EC" w:rsidP="007968EC">
            <w:pPr>
              <w:jc w:val="both"/>
              <w:rPr>
                <w:rFonts w:ascii="Arial Narrow" w:hAnsi="Arial Narrow" w:cs="Arial"/>
                <w:lang w:val="es-ES" w:eastAsia="es-ES"/>
              </w:rPr>
            </w:pPr>
          </w:p>
          <w:p w14:paraId="4B5CB68D" w14:textId="77777777" w:rsidR="007968EC" w:rsidRPr="00207D41" w:rsidRDefault="007968EC" w:rsidP="007968EC">
            <w:pPr>
              <w:jc w:val="both"/>
              <w:rPr>
                <w:rFonts w:ascii="Arial Narrow" w:hAnsi="Arial Narrow" w:cs="Arial"/>
                <w:lang w:val="es-ES" w:eastAsia="es-ES"/>
              </w:rPr>
            </w:pPr>
          </w:p>
          <w:p w14:paraId="3ED41B16" w14:textId="77777777" w:rsidR="007968EC" w:rsidRPr="00207D41" w:rsidRDefault="007968EC" w:rsidP="007968EC">
            <w:pPr>
              <w:jc w:val="both"/>
              <w:rPr>
                <w:rFonts w:ascii="Arial Narrow" w:hAnsi="Arial Narrow" w:cs="Arial"/>
                <w:lang w:val="es-ES" w:eastAsia="es-ES"/>
              </w:rPr>
            </w:pPr>
          </w:p>
          <w:p w14:paraId="6A1FE8FE" w14:textId="77777777" w:rsidR="007968EC" w:rsidRPr="00207D41" w:rsidRDefault="007968EC" w:rsidP="007968EC">
            <w:pPr>
              <w:jc w:val="both"/>
              <w:rPr>
                <w:rFonts w:ascii="Arial Narrow" w:hAnsi="Arial Narrow" w:cs="Arial"/>
                <w:lang w:val="es-ES" w:eastAsia="es-ES"/>
              </w:rPr>
            </w:pPr>
          </w:p>
          <w:p w14:paraId="653A357B" w14:textId="77777777" w:rsidR="007968EC" w:rsidRPr="00207D41" w:rsidRDefault="007968EC" w:rsidP="007968EC">
            <w:pPr>
              <w:jc w:val="both"/>
              <w:rPr>
                <w:rFonts w:ascii="Arial Narrow" w:hAnsi="Arial Narrow" w:cs="Arial"/>
                <w:lang w:val="es-ES" w:eastAsia="es-ES"/>
              </w:rPr>
            </w:pPr>
          </w:p>
          <w:p w14:paraId="0522AE64" w14:textId="77777777" w:rsidR="007968EC" w:rsidRPr="00207D41" w:rsidRDefault="007968EC" w:rsidP="007968EC">
            <w:pPr>
              <w:jc w:val="both"/>
              <w:rPr>
                <w:rFonts w:ascii="Arial Narrow" w:hAnsi="Arial Narrow" w:cs="Arial"/>
                <w:lang w:val="es-ES" w:eastAsia="es-ES"/>
              </w:rPr>
            </w:pPr>
          </w:p>
          <w:p w14:paraId="1E88EBBA" w14:textId="77777777" w:rsidR="007968EC" w:rsidRPr="00207D41" w:rsidRDefault="007968EC" w:rsidP="007968EC">
            <w:pPr>
              <w:jc w:val="both"/>
              <w:rPr>
                <w:rFonts w:ascii="Arial Narrow" w:hAnsi="Arial Narrow" w:cs="Arial"/>
                <w:lang w:val="es-ES" w:eastAsia="es-ES"/>
              </w:rPr>
            </w:pPr>
          </w:p>
          <w:p w14:paraId="05C7F74B" w14:textId="77777777" w:rsidR="007968EC" w:rsidRPr="00207D41" w:rsidRDefault="007968EC" w:rsidP="007968EC">
            <w:pPr>
              <w:jc w:val="both"/>
              <w:rPr>
                <w:rFonts w:ascii="Arial Narrow" w:hAnsi="Arial Narrow" w:cs="Arial"/>
                <w:lang w:val="es-ES" w:eastAsia="es-ES"/>
              </w:rPr>
            </w:pPr>
          </w:p>
          <w:p w14:paraId="6366BEFA" w14:textId="77777777" w:rsidR="007968EC" w:rsidRPr="00207D41" w:rsidRDefault="007968EC" w:rsidP="007968EC">
            <w:pPr>
              <w:jc w:val="both"/>
              <w:rPr>
                <w:rFonts w:ascii="Arial Narrow" w:hAnsi="Arial Narrow" w:cs="Arial"/>
                <w:lang w:val="es-ES" w:eastAsia="es-ES"/>
              </w:rPr>
            </w:pPr>
          </w:p>
          <w:p w14:paraId="77B968A4" w14:textId="77777777" w:rsidR="007968EC" w:rsidRPr="00207D41" w:rsidRDefault="007968EC" w:rsidP="007968EC">
            <w:pPr>
              <w:jc w:val="both"/>
              <w:rPr>
                <w:rFonts w:ascii="Arial Narrow" w:hAnsi="Arial Narrow" w:cs="Arial"/>
                <w:lang w:val="es-ES" w:eastAsia="es-ES"/>
              </w:rPr>
            </w:pPr>
          </w:p>
          <w:p w14:paraId="1EF04408" w14:textId="77777777" w:rsidR="007968EC" w:rsidRPr="00207D41" w:rsidRDefault="007968EC" w:rsidP="007968EC">
            <w:pPr>
              <w:jc w:val="both"/>
              <w:rPr>
                <w:rFonts w:ascii="Arial Narrow" w:hAnsi="Arial Narrow" w:cs="Arial"/>
                <w:lang w:val="es-ES" w:eastAsia="es-ES"/>
              </w:rPr>
            </w:pPr>
          </w:p>
          <w:p w14:paraId="026EA27A" w14:textId="77777777" w:rsidR="007968EC" w:rsidRPr="00207D41" w:rsidRDefault="007968EC" w:rsidP="007968EC">
            <w:pPr>
              <w:jc w:val="both"/>
              <w:rPr>
                <w:rFonts w:ascii="Arial Narrow" w:hAnsi="Arial Narrow" w:cs="Arial"/>
                <w:lang w:val="es-ES" w:eastAsia="es-ES"/>
              </w:rPr>
            </w:pPr>
          </w:p>
          <w:p w14:paraId="695BE54E" w14:textId="77777777" w:rsidR="007968EC" w:rsidRPr="00207D41" w:rsidRDefault="007968EC" w:rsidP="007968EC">
            <w:pPr>
              <w:jc w:val="both"/>
              <w:rPr>
                <w:rFonts w:ascii="Arial Narrow" w:hAnsi="Arial Narrow" w:cs="Arial"/>
                <w:lang w:val="es-ES" w:eastAsia="es-ES"/>
              </w:rPr>
            </w:pPr>
          </w:p>
          <w:p w14:paraId="0578CA04" w14:textId="77777777" w:rsidR="007968EC" w:rsidRPr="00207D41" w:rsidRDefault="007968EC" w:rsidP="007968EC">
            <w:pPr>
              <w:jc w:val="both"/>
              <w:rPr>
                <w:rFonts w:ascii="Arial Narrow" w:hAnsi="Arial Narrow" w:cs="Arial"/>
                <w:lang w:val="es-ES" w:eastAsia="es-ES"/>
              </w:rPr>
            </w:pPr>
          </w:p>
          <w:p w14:paraId="05EABC6B" w14:textId="77777777" w:rsidR="007968EC" w:rsidRPr="00207D41" w:rsidRDefault="007968EC" w:rsidP="007968EC">
            <w:pPr>
              <w:jc w:val="both"/>
              <w:rPr>
                <w:rFonts w:ascii="Arial Narrow" w:hAnsi="Arial Narrow" w:cs="Arial"/>
                <w:lang w:val="es-ES" w:eastAsia="es-ES"/>
              </w:rPr>
            </w:pPr>
          </w:p>
          <w:p w14:paraId="194B1ADB" w14:textId="77777777" w:rsidR="007968EC" w:rsidRPr="00207D41" w:rsidRDefault="007968EC" w:rsidP="007968EC">
            <w:pPr>
              <w:jc w:val="both"/>
              <w:rPr>
                <w:rFonts w:ascii="Arial Narrow" w:hAnsi="Arial Narrow" w:cs="Arial"/>
                <w:lang w:val="es-ES" w:eastAsia="es-ES"/>
              </w:rPr>
            </w:pPr>
          </w:p>
          <w:p w14:paraId="7152100F" w14:textId="77777777" w:rsidR="007968EC" w:rsidRPr="00207D41" w:rsidRDefault="007968EC" w:rsidP="007968EC">
            <w:pPr>
              <w:jc w:val="both"/>
              <w:rPr>
                <w:rFonts w:ascii="Arial Narrow" w:hAnsi="Arial Narrow" w:cs="Arial"/>
                <w:lang w:val="es-ES" w:eastAsia="es-ES"/>
              </w:rPr>
            </w:pPr>
          </w:p>
          <w:p w14:paraId="743EFABE" w14:textId="77777777" w:rsidR="007968EC" w:rsidRPr="00207D41" w:rsidRDefault="007968EC" w:rsidP="007968EC">
            <w:pPr>
              <w:jc w:val="both"/>
              <w:rPr>
                <w:rFonts w:ascii="Arial Narrow" w:hAnsi="Arial Narrow" w:cs="Arial"/>
                <w:lang w:val="es-ES" w:eastAsia="es-ES"/>
              </w:rPr>
            </w:pPr>
          </w:p>
          <w:p w14:paraId="2F264F6C" w14:textId="77777777" w:rsidR="007968EC" w:rsidRPr="00207D41" w:rsidRDefault="007968EC" w:rsidP="007968EC">
            <w:pPr>
              <w:jc w:val="both"/>
              <w:rPr>
                <w:rFonts w:ascii="Arial Narrow" w:hAnsi="Arial Narrow" w:cs="Arial"/>
                <w:lang w:val="es-ES" w:eastAsia="es-ES"/>
              </w:rPr>
            </w:pPr>
          </w:p>
          <w:p w14:paraId="6BC1BA93" w14:textId="77777777" w:rsidR="007968EC" w:rsidRPr="00207D41" w:rsidRDefault="007968EC" w:rsidP="007968EC">
            <w:pPr>
              <w:jc w:val="both"/>
              <w:rPr>
                <w:rFonts w:ascii="Arial Narrow" w:hAnsi="Arial Narrow" w:cs="Arial"/>
                <w:lang w:val="es-ES" w:eastAsia="es-ES"/>
              </w:rPr>
            </w:pPr>
          </w:p>
          <w:p w14:paraId="021F792A" w14:textId="77777777" w:rsidR="007968EC" w:rsidRPr="00207D41" w:rsidRDefault="007968EC" w:rsidP="007968EC">
            <w:pPr>
              <w:jc w:val="both"/>
              <w:rPr>
                <w:rFonts w:ascii="Arial Narrow" w:hAnsi="Arial Narrow" w:cs="Arial"/>
                <w:lang w:val="es-ES" w:eastAsia="es-ES"/>
              </w:rPr>
            </w:pPr>
          </w:p>
          <w:p w14:paraId="0C77F922" w14:textId="77777777" w:rsidR="007968EC" w:rsidRPr="00207D41" w:rsidRDefault="007968EC" w:rsidP="007968EC">
            <w:pPr>
              <w:jc w:val="both"/>
              <w:rPr>
                <w:rFonts w:ascii="Arial Narrow" w:hAnsi="Arial Narrow" w:cs="Arial"/>
                <w:lang w:val="es-ES" w:eastAsia="es-ES"/>
              </w:rPr>
            </w:pPr>
          </w:p>
          <w:p w14:paraId="719D3BA8" w14:textId="77777777" w:rsidR="007968EC" w:rsidRPr="00207D41" w:rsidRDefault="007968EC" w:rsidP="007968EC">
            <w:pPr>
              <w:jc w:val="both"/>
              <w:rPr>
                <w:rFonts w:ascii="Arial Narrow" w:hAnsi="Arial Narrow" w:cs="Arial"/>
                <w:lang w:val="es-ES" w:eastAsia="es-ES"/>
              </w:rPr>
            </w:pPr>
          </w:p>
          <w:p w14:paraId="3806969B" w14:textId="77777777" w:rsidR="007968EC" w:rsidRPr="00207D41" w:rsidRDefault="007968EC" w:rsidP="007968EC">
            <w:pPr>
              <w:jc w:val="both"/>
              <w:rPr>
                <w:rFonts w:ascii="Arial Narrow" w:hAnsi="Arial Narrow" w:cs="Arial"/>
                <w:lang w:val="es-ES" w:eastAsia="es-ES"/>
              </w:rPr>
            </w:pPr>
          </w:p>
          <w:p w14:paraId="6FCC894E" w14:textId="77777777" w:rsidR="007968EC" w:rsidRPr="00207D41" w:rsidRDefault="007968EC" w:rsidP="007968EC">
            <w:pPr>
              <w:jc w:val="both"/>
              <w:rPr>
                <w:rFonts w:ascii="Arial Narrow" w:hAnsi="Arial Narrow" w:cs="Arial"/>
                <w:lang w:val="es-ES" w:eastAsia="es-ES"/>
              </w:rPr>
            </w:pPr>
          </w:p>
          <w:p w14:paraId="14BC5CBD" w14:textId="77777777" w:rsidR="007968EC" w:rsidRPr="00207D41" w:rsidRDefault="007968EC" w:rsidP="007968EC">
            <w:pPr>
              <w:jc w:val="both"/>
              <w:rPr>
                <w:rFonts w:ascii="Arial Narrow" w:hAnsi="Arial Narrow" w:cs="Arial"/>
                <w:lang w:val="es-ES" w:eastAsia="es-ES"/>
              </w:rPr>
            </w:pPr>
          </w:p>
          <w:p w14:paraId="193E8B9D" w14:textId="77777777" w:rsidR="007968EC" w:rsidRPr="00207D41" w:rsidRDefault="007968EC" w:rsidP="007968EC">
            <w:pPr>
              <w:jc w:val="both"/>
              <w:rPr>
                <w:rFonts w:ascii="Arial Narrow" w:hAnsi="Arial Narrow" w:cs="Arial"/>
                <w:lang w:val="es-ES" w:eastAsia="es-ES"/>
              </w:rPr>
            </w:pPr>
          </w:p>
          <w:p w14:paraId="0F7ECE6B" w14:textId="77777777" w:rsidR="007968EC" w:rsidRPr="00207D41" w:rsidRDefault="007968EC" w:rsidP="007968EC">
            <w:pPr>
              <w:jc w:val="both"/>
              <w:rPr>
                <w:rFonts w:ascii="Arial Narrow" w:hAnsi="Arial Narrow" w:cs="Arial"/>
                <w:lang w:val="es-ES" w:eastAsia="es-ES"/>
              </w:rPr>
            </w:pPr>
          </w:p>
          <w:p w14:paraId="0EC1A42F" w14:textId="77777777" w:rsidR="007968EC" w:rsidRPr="00207D41" w:rsidRDefault="007968EC" w:rsidP="007968EC">
            <w:pPr>
              <w:jc w:val="both"/>
              <w:rPr>
                <w:rFonts w:ascii="Arial Narrow" w:hAnsi="Arial Narrow" w:cs="Arial"/>
                <w:lang w:val="es-ES" w:eastAsia="es-ES"/>
              </w:rPr>
            </w:pPr>
          </w:p>
        </w:tc>
        <w:tc>
          <w:tcPr>
            <w:tcW w:w="4254" w:type="dxa"/>
            <w:tcBorders>
              <w:top w:val="single" w:sz="12" w:space="0" w:color="auto"/>
              <w:left w:val="single" w:sz="12" w:space="0" w:color="auto"/>
              <w:bottom w:val="single" w:sz="12" w:space="0" w:color="auto"/>
              <w:right w:val="single" w:sz="12" w:space="0" w:color="auto"/>
            </w:tcBorders>
          </w:tcPr>
          <w:p w14:paraId="35C4533A" w14:textId="77777777" w:rsidR="007968EC" w:rsidRPr="00207D41" w:rsidRDefault="007968EC" w:rsidP="007968EC">
            <w:pPr>
              <w:rPr>
                <w:rFonts w:ascii="Arial Narrow" w:hAnsi="Arial Narrow" w:cs="Arial"/>
                <w:lang w:val="es-ES" w:eastAsia="es-ES"/>
              </w:rPr>
            </w:pPr>
            <w:r w:rsidRPr="00207D41">
              <w:rPr>
                <w:rFonts w:ascii="Arial Narrow" w:hAnsi="Arial Narrow" w:cs="Arial"/>
                <w:lang w:val="es-ES" w:eastAsia="es-ES"/>
              </w:rPr>
              <w:lastRenderedPageBreak/>
              <w:t>Futuro TES: COP $2.500</w:t>
            </w:r>
          </w:p>
          <w:p w14:paraId="47B99BBB" w14:textId="77777777" w:rsidR="007968EC" w:rsidRPr="00207D41" w:rsidRDefault="007968EC" w:rsidP="007968EC">
            <w:pPr>
              <w:rPr>
                <w:rFonts w:ascii="Arial Narrow" w:hAnsi="Arial Narrow" w:cs="Arial"/>
                <w:lang w:val="es-ES" w:eastAsia="es-ES"/>
              </w:rPr>
            </w:pPr>
          </w:p>
          <w:p w14:paraId="36982F99" w14:textId="77777777" w:rsidR="007968EC" w:rsidRPr="00207D41" w:rsidRDefault="007968EC" w:rsidP="007968EC">
            <w:pPr>
              <w:rPr>
                <w:rFonts w:ascii="Arial Narrow" w:hAnsi="Arial Narrow" w:cs="Arial"/>
                <w:lang w:val="es-ES" w:eastAsia="es-ES"/>
              </w:rPr>
            </w:pPr>
            <w:r w:rsidRPr="00207D41">
              <w:rPr>
                <w:rFonts w:ascii="Arial Narrow" w:hAnsi="Arial Narrow" w:cs="Arial"/>
                <w:lang w:val="es-ES" w:eastAsia="es-ES"/>
              </w:rPr>
              <w:t>Contratos de Futuros sobre Títulos TES de Referencias Específicas:</w:t>
            </w:r>
          </w:p>
          <w:p w14:paraId="0766D22F" w14:textId="77777777" w:rsidR="007968EC" w:rsidRPr="00207D41" w:rsidRDefault="007968EC" w:rsidP="007968EC">
            <w:pPr>
              <w:rPr>
                <w:rFonts w:ascii="Arial Narrow" w:hAnsi="Arial Narrow" w:cs="Arial"/>
                <w:lang w:val="es-ES" w:eastAsia="es-ES"/>
              </w:rPr>
            </w:pPr>
          </w:p>
          <w:p w14:paraId="0E9A0123" w14:textId="77777777" w:rsidR="007968EC" w:rsidRPr="00207D41" w:rsidRDefault="007968EC" w:rsidP="007968EC">
            <w:pPr>
              <w:rPr>
                <w:rFonts w:ascii="Arial Narrow" w:eastAsia="Calibri" w:hAnsi="Arial Narrow" w:cs="Arial"/>
                <w:lang w:eastAsia="es-ES"/>
              </w:rPr>
            </w:pPr>
            <w:r w:rsidRPr="00207D41">
              <w:rPr>
                <w:rFonts w:ascii="Arial Narrow" w:eastAsia="Calibri" w:hAnsi="Arial Narrow" w:cs="Arial"/>
                <w:lang w:eastAsia="es-ES"/>
              </w:rPr>
              <w:t xml:space="preserve">Se cobrará un importe del cargo por contrato según el vencimiento del subyacente, así: </w:t>
            </w:r>
          </w:p>
          <w:p w14:paraId="452A47B3" w14:textId="77777777" w:rsidR="007968EC" w:rsidRPr="00207D41" w:rsidRDefault="007968EC" w:rsidP="007968EC">
            <w:pPr>
              <w:rPr>
                <w:rFonts w:ascii="Arial Narrow" w:eastAsia="Calibri" w:hAnsi="Arial Narrow" w:cs="Arial"/>
                <w:lang w:eastAsia="es-ES"/>
              </w:rPr>
            </w:pPr>
          </w:p>
          <w:tbl>
            <w:tblPr>
              <w:tblW w:w="3440" w:type="dxa"/>
              <w:jc w:val="center"/>
              <w:tblLayout w:type="fixed"/>
              <w:tblCellMar>
                <w:left w:w="70" w:type="dxa"/>
                <w:right w:w="70" w:type="dxa"/>
              </w:tblCellMar>
              <w:tblLook w:val="04A0" w:firstRow="1" w:lastRow="0" w:firstColumn="1" w:lastColumn="0" w:noHBand="0" w:noVBand="1"/>
            </w:tblPr>
            <w:tblGrid>
              <w:gridCol w:w="1720"/>
              <w:gridCol w:w="1720"/>
            </w:tblGrid>
            <w:tr w:rsidR="007968EC" w:rsidRPr="00207D41" w14:paraId="0572BB49" w14:textId="77777777" w:rsidTr="007968EC">
              <w:trPr>
                <w:trHeight w:val="630"/>
                <w:jc w:val="center"/>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D6969"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 xml:space="preserve">Subyacente </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57918A47"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Importe del cargo por contrato</w:t>
                  </w:r>
                </w:p>
              </w:tc>
            </w:tr>
            <w:tr w:rsidR="007968EC" w:rsidRPr="00207D41" w14:paraId="28178105" w14:textId="77777777" w:rsidTr="007968EC">
              <w:trPr>
                <w:trHeight w:val="315"/>
                <w:jc w:val="center"/>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1D87A2CF"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TFIT06110919</w:t>
                  </w:r>
                </w:p>
              </w:tc>
              <w:tc>
                <w:tcPr>
                  <w:tcW w:w="1720" w:type="dxa"/>
                  <w:tcBorders>
                    <w:top w:val="nil"/>
                    <w:left w:val="nil"/>
                    <w:bottom w:val="single" w:sz="4" w:space="0" w:color="auto"/>
                    <w:right w:val="single" w:sz="4" w:space="0" w:color="auto"/>
                  </w:tcBorders>
                  <w:shd w:val="clear" w:color="auto" w:fill="auto"/>
                  <w:noWrap/>
                  <w:vAlign w:val="bottom"/>
                  <w:hideMark/>
                </w:tcPr>
                <w:p w14:paraId="777D9705"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COP $1.450</w:t>
                  </w:r>
                </w:p>
              </w:tc>
            </w:tr>
            <w:tr w:rsidR="007968EC" w:rsidRPr="00207D41" w14:paraId="186D7457" w14:textId="77777777" w:rsidTr="007968EC">
              <w:trPr>
                <w:trHeight w:val="315"/>
                <w:jc w:val="center"/>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28BD6D5E"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TFIT15240720</w:t>
                  </w:r>
                </w:p>
              </w:tc>
              <w:tc>
                <w:tcPr>
                  <w:tcW w:w="1720" w:type="dxa"/>
                  <w:tcBorders>
                    <w:top w:val="nil"/>
                    <w:left w:val="nil"/>
                    <w:bottom w:val="single" w:sz="4" w:space="0" w:color="auto"/>
                    <w:right w:val="single" w:sz="4" w:space="0" w:color="auto"/>
                  </w:tcBorders>
                  <w:shd w:val="clear" w:color="auto" w:fill="auto"/>
                  <w:noWrap/>
                  <w:vAlign w:val="bottom"/>
                  <w:hideMark/>
                </w:tcPr>
                <w:p w14:paraId="06196CBE"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COP $2.350</w:t>
                  </w:r>
                </w:p>
              </w:tc>
            </w:tr>
            <w:tr w:rsidR="007968EC" w:rsidRPr="00207D41" w14:paraId="748DC622" w14:textId="77777777" w:rsidTr="007968EC">
              <w:trPr>
                <w:trHeight w:val="315"/>
                <w:jc w:val="center"/>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3A14F3BD"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TFIT10040522</w:t>
                  </w:r>
                </w:p>
              </w:tc>
              <w:tc>
                <w:tcPr>
                  <w:tcW w:w="1720" w:type="dxa"/>
                  <w:tcBorders>
                    <w:top w:val="nil"/>
                    <w:left w:val="nil"/>
                    <w:bottom w:val="single" w:sz="4" w:space="0" w:color="auto"/>
                    <w:right w:val="single" w:sz="4" w:space="0" w:color="auto"/>
                  </w:tcBorders>
                  <w:shd w:val="clear" w:color="auto" w:fill="auto"/>
                  <w:noWrap/>
                  <w:vAlign w:val="bottom"/>
                  <w:hideMark/>
                </w:tcPr>
                <w:p w14:paraId="50D77419"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COP $1.250</w:t>
                  </w:r>
                </w:p>
              </w:tc>
            </w:tr>
            <w:tr w:rsidR="007968EC" w:rsidRPr="00207D41" w14:paraId="34BBB519" w14:textId="77777777" w:rsidTr="007968EC">
              <w:trPr>
                <w:trHeight w:val="315"/>
                <w:jc w:val="center"/>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7DF70B7F"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TFIT16240724</w:t>
                  </w:r>
                </w:p>
              </w:tc>
              <w:tc>
                <w:tcPr>
                  <w:tcW w:w="1720" w:type="dxa"/>
                  <w:tcBorders>
                    <w:top w:val="nil"/>
                    <w:left w:val="nil"/>
                    <w:bottom w:val="single" w:sz="4" w:space="0" w:color="auto"/>
                    <w:right w:val="single" w:sz="4" w:space="0" w:color="auto"/>
                  </w:tcBorders>
                  <w:shd w:val="clear" w:color="auto" w:fill="auto"/>
                  <w:noWrap/>
                  <w:vAlign w:val="bottom"/>
                  <w:hideMark/>
                </w:tcPr>
                <w:p w14:paraId="0980FECD"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COP $1.950</w:t>
                  </w:r>
                </w:p>
              </w:tc>
            </w:tr>
            <w:tr w:rsidR="007968EC" w:rsidRPr="00207D41" w14:paraId="1AABB5DD" w14:textId="77777777" w:rsidTr="007968EC">
              <w:trPr>
                <w:trHeight w:val="315"/>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201F4385"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TFIT08261125</w:t>
                  </w:r>
                </w:p>
              </w:tc>
              <w:tc>
                <w:tcPr>
                  <w:tcW w:w="1720" w:type="dxa"/>
                  <w:tcBorders>
                    <w:top w:val="nil"/>
                    <w:left w:val="nil"/>
                    <w:bottom w:val="single" w:sz="4" w:space="0" w:color="auto"/>
                    <w:right w:val="single" w:sz="4" w:space="0" w:color="auto"/>
                  </w:tcBorders>
                  <w:shd w:val="clear" w:color="auto" w:fill="auto"/>
                  <w:noWrap/>
                  <w:vAlign w:val="bottom"/>
                </w:tcPr>
                <w:p w14:paraId="6A6E0B13"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COP $1.950</w:t>
                  </w:r>
                </w:p>
              </w:tc>
            </w:tr>
            <w:tr w:rsidR="007968EC" w:rsidRPr="00207D41" w14:paraId="1B635F77" w14:textId="77777777" w:rsidTr="007968EC">
              <w:trPr>
                <w:trHeight w:val="315"/>
                <w:jc w:val="center"/>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486CB095"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TFIT15260826</w:t>
                  </w:r>
                </w:p>
              </w:tc>
              <w:tc>
                <w:tcPr>
                  <w:tcW w:w="1720" w:type="dxa"/>
                  <w:tcBorders>
                    <w:top w:val="nil"/>
                    <w:left w:val="nil"/>
                    <w:bottom w:val="single" w:sz="4" w:space="0" w:color="auto"/>
                    <w:right w:val="single" w:sz="4" w:space="0" w:color="auto"/>
                  </w:tcBorders>
                  <w:shd w:val="clear" w:color="auto" w:fill="auto"/>
                  <w:noWrap/>
                  <w:vAlign w:val="bottom"/>
                  <w:hideMark/>
                </w:tcPr>
                <w:p w14:paraId="0CBF210B"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COP $2.200</w:t>
                  </w:r>
                </w:p>
              </w:tc>
            </w:tr>
            <w:tr w:rsidR="007968EC" w:rsidRPr="00207D41" w14:paraId="782D0C4B" w14:textId="77777777" w:rsidTr="007968EC">
              <w:trPr>
                <w:trHeight w:val="315"/>
                <w:jc w:val="center"/>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4E52221C"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TFIT16280428</w:t>
                  </w:r>
                </w:p>
              </w:tc>
              <w:tc>
                <w:tcPr>
                  <w:tcW w:w="1720" w:type="dxa"/>
                  <w:tcBorders>
                    <w:top w:val="nil"/>
                    <w:left w:val="nil"/>
                    <w:bottom w:val="single" w:sz="4" w:space="0" w:color="auto"/>
                    <w:right w:val="single" w:sz="4" w:space="0" w:color="auto"/>
                  </w:tcBorders>
                  <w:shd w:val="clear" w:color="auto" w:fill="auto"/>
                  <w:noWrap/>
                  <w:vAlign w:val="bottom"/>
                  <w:hideMark/>
                </w:tcPr>
                <w:p w14:paraId="3FF369C2"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COP $2.300</w:t>
                  </w:r>
                </w:p>
              </w:tc>
            </w:tr>
            <w:tr w:rsidR="007968EC" w:rsidRPr="00207D41" w14:paraId="1962BC8C" w14:textId="77777777" w:rsidTr="007968EC">
              <w:trPr>
                <w:trHeight w:val="315"/>
                <w:jc w:val="center"/>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733D8AC2"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TFIT16180930</w:t>
                  </w:r>
                </w:p>
              </w:tc>
              <w:tc>
                <w:tcPr>
                  <w:tcW w:w="1720" w:type="dxa"/>
                  <w:tcBorders>
                    <w:top w:val="nil"/>
                    <w:left w:val="nil"/>
                    <w:bottom w:val="single" w:sz="4" w:space="0" w:color="auto"/>
                    <w:right w:val="single" w:sz="4" w:space="0" w:color="auto"/>
                  </w:tcBorders>
                  <w:shd w:val="clear" w:color="auto" w:fill="auto"/>
                  <w:noWrap/>
                  <w:vAlign w:val="bottom"/>
                  <w:hideMark/>
                </w:tcPr>
                <w:p w14:paraId="1B013BE0"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COP $2.900</w:t>
                  </w:r>
                </w:p>
              </w:tc>
            </w:tr>
            <w:tr w:rsidR="007968EC" w:rsidRPr="00207D41" w14:paraId="64DF6674" w14:textId="77777777" w:rsidTr="007968EC">
              <w:trPr>
                <w:trHeight w:val="315"/>
                <w:jc w:val="center"/>
              </w:trPr>
              <w:tc>
                <w:tcPr>
                  <w:tcW w:w="1720" w:type="dxa"/>
                  <w:tcBorders>
                    <w:top w:val="nil"/>
                    <w:left w:val="single" w:sz="4" w:space="0" w:color="auto"/>
                    <w:bottom w:val="nil"/>
                    <w:right w:val="single" w:sz="4" w:space="0" w:color="auto"/>
                  </w:tcBorders>
                  <w:shd w:val="clear" w:color="auto" w:fill="auto"/>
                  <w:noWrap/>
                  <w:vAlign w:val="center"/>
                  <w:hideMark/>
                </w:tcPr>
                <w:p w14:paraId="7BE7F4DD"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TFIT16300632</w:t>
                  </w:r>
                </w:p>
              </w:tc>
              <w:tc>
                <w:tcPr>
                  <w:tcW w:w="1720" w:type="dxa"/>
                  <w:tcBorders>
                    <w:top w:val="nil"/>
                    <w:left w:val="nil"/>
                    <w:bottom w:val="nil"/>
                    <w:right w:val="single" w:sz="4" w:space="0" w:color="auto"/>
                  </w:tcBorders>
                  <w:shd w:val="clear" w:color="auto" w:fill="auto"/>
                  <w:noWrap/>
                  <w:vAlign w:val="bottom"/>
                  <w:hideMark/>
                </w:tcPr>
                <w:p w14:paraId="0CA9B05C"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COP $2.900</w:t>
                  </w:r>
                </w:p>
              </w:tc>
            </w:tr>
            <w:tr w:rsidR="007968EC" w:rsidRPr="00207D41" w14:paraId="498D1AA7" w14:textId="77777777" w:rsidTr="007968EC">
              <w:trPr>
                <w:trHeight w:val="315"/>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696A5059"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TFIT16181034</w:t>
                  </w:r>
                </w:p>
              </w:tc>
              <w:tc>
                <w:tcPr>
                  <w:tcW w:w="1720" w:type="dxa"/>
                  <w:tcBorders>
                    <w:top w:val="nil"/>
                    <w:left w:val="nil"/>
                    <w:bottom w:val="single" w:sz="4" w:space="0" w:color="auto"/>
                    <w:right w:val="single" w:sz="4" w:space="0" w:color="auto"/>
                  </w:tcBorders>
                  <w:shd w:val="clear" w:color="auto" w:fill="auto"/>
                  <w:noWrap/>
                  <w:vAlign w:val="bottom"/>
                </w:tcPr>
                <w:p w14:paraId="2E9948DD"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COP $2.900</w:t>
                  </w:r>
                </w:p>
              </w:tc>
            </w:tr>
          </w:tbl>
          <w:p w14:paraId="454466BD" w14:textId="77777777" w:rsidR="007968EC" w:rsidRPr="00207D41" w:rsidRDefault="007968EC" w:rsidP="007968EC">
            <w:pPr>
              <w:rPr>
                <w:rFonts w:ascii="Arial Narrow" w:hAnsi="Arial Narrow" w:cs="Arial"/>
                <w:lang w:val="es-ES" w:eastAsia="es-ES"/>
              </w:rPr>
            </w:pPr>
          </w:p>
          <w:p w14:paraId="6C2633FA" w14:textId="77777777" w:rsidR="007968EC" w:rsidRPr="00207D41" w:rsidRDefault="007968EC" w:rsidP="007968EC">
            <w:pPr>
              <w:rPr>
                <w:rFonts w:ascii="Arial Narrow" w:hAnsi="Arial Narrow" w:cs="Arial"/>
                <w:lang w:eastAsia="es-ES"/>
              </w:rPr>
            </w:pPr>
            <w:r w:rsidRPr="00207D41">
              <w:rPr>
                <w:rFonts w:ascii="Arial Narrow" w:hAnsi="Arial Narrow" w:cs="Arial"/>
                <w:lang w:eastAsia="es-ES"/>
              </w:rPr>
              <w:t>Futuro de Tasa de Cambio Dólar/Peso y Contrato de Opción sobre la TRM:</w:t>
            </w:r>
          </w:p>
          <w:p w14:paraId="10A4FD6D" w14:textId="77777777" w:rsidR="007968EC" w:rsidRPr="00207D41" w:rsidRDefault="007968EC" w:rsidP="007968EC">
            <w:pPr>
              <w:rPr>
                <w:rFonts w:ascii="Arial Narrow" w:hAnsi="Arial Narrow" w:cs="Arial"/>
                <w:lang w:eastAsia="es-ES"/>
              </w:rPr>
            </w:pPr>
          </w:p>
          <w:p w14:paraId="249AFEF7"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r w:rsidRPr="00207D41">
              <w:rPr>
                <w:rFonts w:ascii="Arial Narrow" w:eastAsia="Calibri" w:hAnsi="Arial Narrow" w:cs="Arial"/>
                <w:lang w:val="es-ES" w:eastAsia="es-ES"/>
              </w:rPr>
              <w:t>Se cobrará un importe por número de contratos compensados y liquidados durante el mes calendario inmediatamente anterior, de conformidad con la siguiente tabla:</w:t>
            </w:r>
          </w:p>
          <w:p w14:paraId="6933FE54"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tbl>
            <w:tblPr>
              <w:tblW w:w="3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
              <w:gridCol w:w="1134"/>
              <w:gridCol w:w="1701"/>
            </w:tblGrid>
            <w:tr w:rsidR="007968EC" w:rsidRPr="00207D41" w14:paraId="3D7436AB" w14:textId="77777777" w:rsidTr="007968EC">
              <w:trPr>
                <w:jc w:val="center"/>
              </w:trPr>
              <w:tc>
                <w:tcPr>
                  <w:tcW w:w="2155" w:type="dxa"/>
                  <w:gridSpan w:val="2"/>
                  <w:tcBorders>
                    <w:top w:val="single" w:sz="4" w:space="0" w:color="auto"/>
                    <w:left w:val="single" w:sz="4" w:space="0" w:color="auto"/>
                    <w:bottom w:val="single" w:sz="4" w:space="0" w:color="auto"/>
                    <w:right w:val="single" w:sz="4" w:space="0" w:color="auto"/>
                  </w:tcBorders>
                  <w:hideMark/>
                </w:tcPr>
                <w:p w14:paraId="0AB0C9FD" w14:textId="77777777" w:rsidR="007968EC" w:rsidRPr="00207D41" w:rsidRDefault="007968EC" w:rsidP="007968EC">
                  <w:pPr>
                    <w:jc w:val="center"/>
                    <w:rPr>
                      <w:rFonts w:ascii="Arial Narrow" w:hAnsi="Arial Narrow" w:cs="Arial"/>
                      <w:b/>
                      <w:lang w:val="es-ES" w:eastAsia="es-ES"/>
                    </w:rPr>
                  </w:pPr>
                  <w:r w:rsidRPr="00207D41">
                    <w:rPr>
                      <w:rFonts w:ascii="Arial Narrow" w:hAnsi="Arial Narrow" w:cs="Arial"/>
                      <w:b/>
                      <w:lang w:val="es-ES" w:eastAsia="es-ES"/>
                    </w:rPr>
                    <w:lastRenderedPageBreak/>
                    <w:t>Número de contratos Compensados y Liquidados durante el mes calendario inmediatamente anterior</w:t>
                  </w:r>
                </w:p>
              </w:tc>
              <w:tc>
                <w:tcPr>
                  <w:tcW w:w="1701" w:type="dxa"/>
                  <w:vMerge w:val="restart"/>
                  <w:tcBorders>
                    <w:top w:val="single" w:sz="4" w:space="0" w:color="auto"/>
                    <w:left w:val="single" w:sz="4" w:space="0" w:color="auto"/>
                    <w:bottom w:val="single" w:sz="4" w:space="0" w:color="auto"/>
                    <w:right w:val="single" w:sz="4" w:space="0" w:color="auto"/>
                  </w:tcBorders>
                </w:tcPr>
                <w:p w14:paraId="3B41B0D9" w14:textId="77777777" w:rsidR="007968EC" w:rsidRPr="00207D41" w:rsidRDefault="007968EC" w:rsidP="007968EC">
                  <w:pPr>
                    <w:jc w:val="center"/>
                    <w:rPr>
                      <w:rFonts w:ascii="Arial Narrow" w:hAnsi="Arial Narrow" w:cs="Arial"/>
                      <w:b/>
                      <w:lang w:val="es-ES" w:eastAsia="es-ES"/>
                    </w:rPr>
                  </w:pPr>
                </w:p>
                <w:p w14:paraId="622A48AD" w14:textId="77777777" w:rsidR="007968EC" w:rsidRPr="00207D41" w:rsidRDefault="007968EC" w:rsidP="007968EC">
                  <w:pPr>
                    <w:jc w:val="center"/>
                    <w:rPr>
                      <w:rFonts w:ascii="Arial Narrow" w:hAnsi="Arial Narrow" w:cs="Arial"/>
                      <w:b/>
                      <w:lang w:val="es-ES" w:eastAsia="es-ES"/>
                    </w:rPr>
                  </w:pPr>
                </w:p>
                <w:p w14:paraId="0B32F881" w14:textId="77777777" w:rsidR="007968EC" w:rsidRPr="00207D41" w:rsidRDefault="007968EC" w:rsidP="007968EC">
                  <w:pPr>
                    <w:jc w:val="center"/>
                    <w:rPr>
                      <w:rFonts w:ascii="Arial Narrow" w:hAnsi="Arial Narrow" w:cs="Arial"/>
                      <w:lang w:val="es-ES" w:eastAsia="es-ES"/>
                    </w:rPr>
                  </w:pPr>
                  <w:r w:rsidRPr="00207D41">
                    <w:rPr>
                      <w:rFonts w:ascii="Arial Narrow" w:hAnsi="Arial Narrow" w:cs="Arial"/>
                      <w:b/>
                      <w:lang w:val="es-ES" w:eastAsia="es-ES"/>
                    </w:rPr>
                    <w:t>Importe del cargo</w:t>
                  </w:r>
                </w:p>
              </w:tc>
            </w:tr>
            <w:tr w:rsidR="007968EC" w:rsidRPr="00207D41" w14:paraId="1AC06AB0" w14:textId="77777777" w:rsidTr="007968EC">
              <w:trPr>
                <w:jc w:val="center"/>
              </w:trPr>
              <w:tc>
                <w:tcPr>
                  <w:tcW w:w="1021" w:type="dxa"/>
                  <w:tcBorders>
                    <w:top w:val="single" w:sz="4" w:space="0" w:color="auto"/>
                    <w:left w:val="single" w:sz="4" w:space="0" w:color="auto"/>
                    <w:bottom w:val="single" w:sz="4" w:space="0" w:color="auto"/>
                    <w:right w:val="single" w:sz="4" w:space="0" w:color="auto"/>
                  </w:tcBorders>
                  <w:hideMark/>
                </w:tcPr>
                <w:p w14:paraId="2E6214BD" w14:textId="77777777" w:rsidR="007968EC" w:rsidRPr="00207D41" w:rsidRDefault="007968EC" w:rsidP="007968EC">
                  <w:pPr>
                    <w:jc w:val="center"/>
                    <w:rPr>
                      <w:rFonts w:ascii="Arial Narrow" w:hAnsi="Arial Narrow" w:cs="Arial"/>
                      <w:b/>
                      <w:i/>
                      <w:lang w:val="es-ES" w:eastAsia="es-ES"/>
                    </w:rPr>
                  </w:pPr>
                  <w:r w:rsidRPr="00207D41">
                    <w:rPr>
                      <w:rFonts w:ascii="Arial Narrow" w:hAnsi="Arial Narrow" w:cs="Arial"/>
                      <w:b/>
                      <w:i/>
                      <w:lang w:val="es-ES" w:eastAsia="es-ES"/>
                    </w:rPr>
                    <w:t>Desde</w:t>
                  </w:r>
                </w:p>
              </w:tc>
              <w:tc>
                <w:tcPr>
                  <w:tcW w:w="1134" w:type="dxa"/>
                  <w:tcBorders>
                    <w:top w:val="single" w:sz="4" w:space="0" w:color="auto"/>
                    <w:left w:val="single" w:sz="4" w:space="0" w:color="auto"/>
                    <w:bottom w:val="single" w:sz="4" w:space="0" w:color="auto"/>
                    <w:right w:val="single" w:sz="4" w:space="0" w:color="auto"/>
                  </w:tcBorders>
                  <w:hideMark/>
                </w:tcPr>
                <w:p w14:paraId="03C26F9B" w14:textId="77777777" w:rsidR="007968EC" w:rsidRPr="00207D41" w:rsidRDefault="007968EC" w:rsidP="007968EC">
                  <w:pPr>
                    <w:jc w:val="center"/>
                    <w:rPr>
                      <w:rFonts w:ascii="Arial Narrow" w:hAnsi="Arial Narrow" w:cs="Arial"/>
                      <w:b/>
                      <w:i/>
                      <w:lang w:val="es-ES" w:eastAsia="es-ES"/>
                    </w:rPr>
                  </w:pPr>
                  <w:r w:rsidRPr="00207D41">
                    <w:rPr>
                      <w:rFonts w:ascii="Arial Narrow" w:hAnsi="Arial Narrow" w:cs="Arial"/>
                      <w:b/>
                      <w:i/>
                      <w:lang w:val="es-ES" w:eastAsia="es-ES"/>
                    </w:rPr>
                    <w:t>Hasta</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54031B9" w14:textId="77777777" w:rsidR="007968EC" w:rsidRPr="00207D41" w:rsidRDefault="007968EC" w:rsidP="007968EC">
                  <w:pPr>
                    <w:spacing w:line="256" w:lineRule="auto"/>
                    <w:rPr>
                      <w:rFonts w:ascii="Arial Narrow" w:hAnsi="Arial Narrow" w:cs="Arial"/>
                      <w:lang w:val="es-ES" w:eastAsia="es-ES"/>
                    </w:rPr>
                  </w:pPr>
                </w:p>
              </w:tc>
            </w:tr>
            <w:tr w:rsidR="007968EC" w:rsidRPr="00207D41" w14:paraId="32BF030B" w14:textId="77777777" w:rsidTr="007968EC">
              <w:trPr>
                <w:jc w:val="center"/>
              </w:trPr>
              <w:tc>
                <w:tcPr>
                  <w:tcW w:w="1021" w:type="dxa"/>
                  <w:tcBorders>
                    <w:top w:val="single" w:sz="4" w:space="0" w:color="auto"/>
                    <w:left w:val="single" w:sz="4" w:space="0" w:color="auto"/>
                    <w:bottom w:val="single" w:sz="4" w:space="0" w:color="auto"/>
                    <w:right w:val="single" w:sz="4" w:space="0" w:color="auto"/>
                  </w:tcBorders>
                  <w:hideMark/>
                </w:tcPr>
                <w:p w14:paraId="62C9ABAA" w14:textId="77777777" w:rsidR="007968EC" w:rsidRPr="00207D41" w:rsidRDefault="007968EC" w:rsidP="007968EC">
                  <w:pPr>
                    <w:jc w:val="center"/>
                    <w:rPr>
                      <w:rFonts w:ascii="Arial Narrow" w:hAnsi="Arial Narrow" w:cs="Arial"/>
                      <w:lang w:val="es-ES" w:eastAsia="es-ES"/>
                    </w:rPr>
                  </w:pPr>
                  <w:r w:rsidRPr="00207D41">
                    <w:rPr>
                      <w:rFonts w:ascii="Arial Narrow" w:hAnsi="Arial Narrow" w:cs="Arial"/>
                      <w:lang w:val="es-ES" w:eastAsia="es-ES"/>
                    </w:rPr>
                    <w:t>-</w:t>
                  </w:r>
                </w:p>
              </w:tc>
              <w:tc>
                <w:tcPr>
                  <w:tcW w:w="1134" w:type="dxa"/>
                  <w:tcBorders>
                    <w:top w:val="single" w:sz="4" w:space="0" w:color="auto"/>
                    <w:left w:val="single" w:sz="4" w:space="0" w:color="auto"/>
                    <w:bottom w:val="single" w:sz="4" w:space="0" w:color="auto"/>
                    <w:right w:val="single" w:sz="4" w:space="0" w:color="auto"/>
                  </w:tcBorders>
                  <w:hideMark/>
                </w:tcPr>
                <w:p w14:paraId="6DCB8EC4" w14:textId="77777777" w:rsidR="007968EC" w:rsidRPr="00207D41" w:rsidRDefault="007968EC" w:rsidP="007968EC">
                  <w:pPr>
                    <w:jc w:val="center"/>
                    <w:rPr>
                      <w:rFonts w:ascii="Arial Narrow" w:hAnsi="Arial Narrow" w:cs="Arial"/>
                      <w:lang w:val="es-ES" w:eastAsia="es-ES"/>
                    </w:rPr>
                  </w:pPr>
                  <w:r w:rsidRPr="00207D41">
                    <w:rPr>
                      <w:rFonts w:ascii="Arial Narrow" w:hAnsi="Arial Narrow" w:cs="Arial"/>
                      <w:lang w:val="es-ES" w:eastAsia="es-ES"/>
                    </w:rPr>
                    <w:t>3.000</w:t>
                  </w:r>
                </w:p>
              </w:tc>
              <w:tc>
                <w:tcPr>
                  <w:tcW w:w="1701" w:type="dxa"/>
                  <w:tcBorders>
                    <w:top w:val="single" w:sz="4" w:space="0" w:color="auto"/>
                    <w:left w:val="single" w:sz="4" w:space="0" w:color="auto"/>
                    <w:bottom w:val="single" w:sz="4" w:space="0" w:color="auto"/>
                    <w:right w:val="single" w:sz="4" w:space="0" w:color="auto"/>
                  </w:tcBorders>
                  <w:hideMark/>
                </w:tcPr>
                <w:p w14:paraId="3530F8A1" w14:textId="77777777" w:rsidR="007968EC" w:rsidRPr="00207D41" w:rsidRDefault="007968EC" w:rsidP="007968EC">
                  <w:pPr>
                    <w:jc w:val="center"/>
                    <w:rPr>
                      <w:rFonts w:ascii="Arial Narrow" w:hAnsi="Arial Narrow" w:cs="Arial"/>
                      <w:lang w:val="es-ES" w:eastAsia="es-ES"/>
                    </w:rPr>
                  </w:pPr>
                  <w:r w:rsidRPr="00207D41">
                    <w:rPr>
                      <w:rFonts w:ascii="Arial Narrow" w:hAnsi="Arial Narrow" w:cs="Arial"/>
                      <w:lang w:val="es-ES" w:eastAsia="es-ES"/>
                    </w:rPr>
                    <w:t>COP $ 1.800</w:t>
                  </w:r>
                </w:p>
              </w:tc>
            </w:tr>
            <w:tr w:rsidR="007968EC" w:rsidRPr="00207D41" w14:paraId="7B0671FF" w14:textId="77777777" w:rsidTr="007968EC">
              <w:trPr>
                <w:jc w:val="center"/>
              </w:trPr>
              <w:tc>
                <w:tcPr>
                  <w:tcW w:w="1021" w:type="dxa"/>
                  <w:tcBorders>
                    <w:top w:val="single" w:sz="4" w:space="0" w:color="auto"/>
                    <w:left w:val="single" w:sz="4" w:space="0" w:color="auto"/>
                    <w:bottom w:val="single" w:sz="4" w:space="0" w:color="auto"/>
                    <w:right w:val="single" w:sz="4" w:space="0" w:color="auto"/>
                  </w:tcBorders>
                  <w:hideMark/>
                </w:tcPr>
                <w:p w14:paraId="64E48C91" w14:textId="77777777" w:rsidR="007968EC" w:rsidRPr="00207D41" w:rsidRDefault="007968EC" w:rsidP="007968EC">
                  <w:pPr>
                    <w:jc w:val="center"/>
                    <w:rPr>
                      <w:rFonts w:ascii="Arial Narrow" w:hAnsi="Arial Narrow" w:cs="Arial"/>
                      <w:lang w:val="es-ES" w:eastAsia="es-ES"/>
                    </w:rPr>
                  </w:pPr>
                  <w:r w:rsidRPr="00207D41">
                    <w:rPr>
                      <w:rFonts w:ascii="Arial Narrow" w:hAnsi="Arial Narrow" w:cs="Arial"/>
                      <w:lang w:val="es-ES" w:eastAsia="es-ES"/>
                    </w:rPr>
                    <w:t>3.001</w:t>
                  </w:r>
                </w:p>
              </w:tc>
              <w:tc>
                <w:tcPr>
                  <w:tcW w:w="1134" w:type="dxa"/>
                  <w:tcBorders>
                    <w:top w:val="single" w:sz="4" w:space="0" w:color="auto"/>
                    <w:left w:val="single" w:sz="4" w:space="0" w:color="auto"/>
                    <w:bottom w:val="single" w:sz="4" w:space="0" w:color="auto"/>
                    <w:right w:val="single" w:sz="4" w:space="0" w:color="auto"/>
                  </w:tcBorders>
                  <w:hideMark/>
                </w:tcPr>
                <w:p w14:paraId="2EF19322" w14:textId="77777777" w:rsidR="007968EC" w:rsidRPr="00207D41" w:rsidRDefault="007968EC" w:rsidP="007968EC">
                  <w:pPr>
                    <w:jc w:val="center"/>
                    <w:rPr>
                      <w:rFonts w:ascii="Arial Narrow" w:hAnsi="Arial Narrow" w:cs="Arial"/>
                      <w:lang w:val="es-ES" w:eastAsia="es-ES"/>
                    </w:rPr>
                  </w:pPr>
                  <w:r w:rsidRPr="00207D41">
                    <w:rPr>
                      <w:rFonts w:ascii="Arial Narrow" w:hAnsi="Arial Narrow" w:cs="Arial"/>
                      <w:lang w:val="es-ES" w:eastAsia="es-ES"/>
                    </w:rPr>
                    <w:t>10.000</w:t>
                  </w:r>
                </w:p>
              </w:tc>
              <w:tc>
                <w:tcPr>
                  <w:tcW w:w="1701" w:type="dxa"/>
                  <w:tcBorders>
                    <w:top w:val="single" w:sz="4" w:space="0" w:color="auto"/>
                    <w:left w:val="single" w:sz="4" w:space="0" w:color="auto"/>
                    <w:bottom w:val="single" w:sz="4" w:space="0" w:color="auto"/>
                    <w:right w:val="single" w:sz="4" w:space="0" w:color="auto"/>
                  </w:tcBorders>
                  <w:hideMark/>
                </w:tcPr>
                <w:p w14:paraId="04A64DE1" w14:textId="77777777" w:rsidR="007968EC" w:rsidRPr="00207D41" w:rsidRDefault="007968EC" w:rsidP="007968EC">
                  <w:pPr>
                    <w:jc w:val="center"/>
                    <w:rPr>
                      <w:rFonts w:ascii="Arial Narrow" w:hAnsi="Arial Narrow" w:cs="Arial"/>
                      <w:lang w:val="es-ES" w:eastAsia="es-ES"/>
                    </w:rPr>
                  </w:pPr>
                  <w:r w:rsidRPr="00207D41">
                    <w:rPr>
                      <w:rFonts w:ascii="Arial Narrow" w:hAnsi="Arial Narrow" w:cs="Arial"/>
                      <w:lang w:val="es-ES" w:eastAsia="es-ES"/>
                    </w:rPr>
                    <w:t>COP $ 1.650</w:t>
                  </w:r>
                </w:p>
              </w:tc>
            </w:tr>
            <w:tr w:rsidR="007968EC" w:rsidRPr="00207D41" w14:paraId="0D65E048" w14:textId="77777777" w:rsidTr="007968EC">
              <w:trPr>
                <w:jc w:val="center"/>
              </w:trPr>
              <w:tc>
                <w:tcPr>
                  <w:tcW w:w="1021" w:type="dxa"/>
                  <w:tcBorders>
                    <w:top w:val="single" w:sz="4" w:space="0" w:color="auto"/>
                    <w:left w:val="single" w:sz="4" w:space="0" w:color="auto"/>
                    <w:bottom w:val="single" w:sz="4" w:space="0" w:color="auto"/>
                    <w:right w:val="single" w:sz="4" w:space="0" w:color="auto"/>
                  </w:tcBorders>
                  <w:hideMark/>
                </w:tcPr>
                <w:p w14:paraId="41504BDB" w14:textId="77777777" w:rsidR="007968EC" w:rsidRPr="00207D41" w:rsidRDefault="007968EC" w:rsidP="007968EC">
                  <w:pPr>
                    <w:jc w:val="center"/>
                    <w:rPr>
                      <w:rFonts w:ascii="Arial Narrow" w:hAnsi="Arial Narrow" w:cs="Arial"/>
                      <w:lang w:val="es-ES" w:eastAsia="es-ES"/>
                    </w:rPr>
                  </w:pPr>
                  <w:r w:rsidRPr="00207D41">
                    <w:rPr>
                      <w:rFonts w:ascii="Arial Narrow" w:hAnsi="Arial Narrow" w:cs="Arial"/>
                      <w:lang w:val="es-ES" w:eastAsia="es-ES"/>
                    </w:rPr>
                    <w:t>10.001</w:t>
                  </w:r>
                </w:p>
              </w:tc>
              <w:tc>
                <w:tcPr>
                  <w:tcW w:w="1134" w:type="dxa"/>
                  <w:tcBorders>
                    <w:top w:val="single" w:sz="4" w:space="0" w:color="auto"/>
                    <w:left w:val="single" w:sz="4" w:space="0" w:color="auto"/>
                    <w:bottom w:val="single" w:sz="4" w:space="0" w:color="auto"/>
                    <w:right w:val="single" w:sz="4" w:space="0" w:color="auto"/>
                  </w:tcBorders>
                  <w:hideMark/>
                </w:tcPr>
                <w:p w14:paraId="407AF317" w14:textId="77777777" w:rsidR="007968EC" w:rsidRPr="00207D41" w:rsidRDefault="007968EC" w:rsidP="007968EC">
                  <w:pPr>
                    <w:jc w:val="center"/>
                    <w:rPr>
                      <w:rFonts w:ascii="Arial Narrow" w:hAnsi="Arial Narrow" w:cs="Arial"/>
                      <w:lang w:val="es-ES" w:eastAsia="es-ES"/>
                    </w:rPr>
                  </w:pPr>
                  <w:r w:rsidRPr="00207D41">
                    <w:rPr>
                      <w:rFonts w:ascii="Arial Narrow" w:hAnsi="Arial Narrow" w:cs="Arial"/>
                      <w:lang w:val="es-ES" w:eastAsia="es-ES"/>
                    </w:rPr>
                    <w:t>20.000</w:t>
                  </w:r>
                </w:p>
              </w:tc>
              <w:tc>
                <w:tcPr>
                  <w:tcW w:w="1701" w:type="dxa"/>
                  <w:tcBorders>
                    <w:top w:val="single" w:sz="4" w:space="0" w:color="auto"/>
                    <w:left w:val="single" w:sz="4" w:space="0" w:color="auto"/>
                    <w:bottom w:val="single" w:sz="4" w:space="0" w:color="auto"/>
                    <w:right w:val="single" w:sz="4" w:space="0" w:color="auto"/>
                  </w:tcBorders>
                  <w:hideMark/>
                </w:tcPr>
                <w:p w14:paraId="47CC8DB9" w14:textId="77777777" w:rsidR="007968EC" w:rsidRPr="00207D41" w:rsidRDefault="007968EC" w:rsidP="007968EC">
                  <w:pPr>
                    <w:jc w:val="center"/>
                    <w:rPr>
                      <w:rFonts w:ascii="Arial Narrow" w:hAnsi="Arial Narrow" w:cs="Arial"/>
                      <w:lang w:val="es-ES" w:eastAsia="es-ES"/>
                    </w:rPr>
                  </w:pPr>
                  <w:r w:rsidRPr="00207D41">
                    <w:rPr>
                      <w:rFonts w:ascii="Arial Narrow" w:hAnsi="Arial Narrow" w:cs="Arial"/>
                      <w:lang w:val="es-ES" w:eastAsia="es-ES"/>
                    </w:rPr>
                    <w:t>COP $ 1.200</w:t>
                  </w:r>
                </w:p>
              </w:tc>
            </w:tr>
            <w:tr w:rsidR="007968EC" w:rsidRPr="00207D41" w14:paraId="2AABDE20" w14:textId="77777777" w:rsidTr="007968EC">
              <w:trPr>
                <w:jc w:val="center"/>
              </w:trPr>
              <w:tc>
                <w:tcPr>
                  <w:tcW w:w="1021" w:type="dxa"/>
                  <w:tcBorders>
                    <w:top w:val="single" w:sz="4" w:space="0" w:color="auto"/>
                    <w:left w:val="single" w:sz="4" w:space="0" w:color="auto"/>
                    <w:bottom w:val="single" w:sz="4" w:space="0" w:color="auto"/>
                    <w:right w:val="single" w:sz="4" w:space="0" w:color="auto"/>
                  </w:tcBorders>
                  <w:hideMark/>
                </w:tcPr>
                <w:p w14:paraId="1859D71E" w14:textId="77777777" w:rsidR="007968EC" w:rsidRPr="00207D41" w:rsidRDefault="007968EC" w:rsidP="007968EC">
                  <w:pPr>
                    <w:jc w:val="center"/>
                    <w:rPr>
                      <w:rFonts w:ascii="Arial Narrow" w:hAnsi="Arial Narrow" w:cs="Arial"/>
                      <w:lang w:val="es-ES" w:eastAsia="es-ES"/>
                    </w:rPr>
                  </w:pPr>
                  <w:r w:rsidRPr="00207D41">
                    <w:rPr>
                      <w:rFonts w:ascii="Arial Narrow" w:hAnsi="Arial Narrow" w:cs="Arial"/>
                      <w:lang w:val="es-ES" w:eastAsia="es-ES"/>
                    </w:rPr>
                    <w:t>20.001</w:t>
                  </w:r>
                </w:p>
              </w:tc>
              <w:tc>
                <w:tcPr>
                  <w:tcW w:w="1134" w:type="dxa"/>
                  <w:tcBorders>
                    <w:top w:val="single" w:sz="4" w:space="0" w:color="auto"/>
                    <w:left w:val="single" w:sz="4" w:space="0" w:color="auto"/>
                    <w:bottom w:val="single" w:sz="4" w:space="0" w:color="auto"/>
                    <w:right w:val="single" w:sz="4" w:space="0" w:color="auto"/>
                  </w:tcBorders>
                  <w:hideMark/>
                </w:tcPr>
                <w:p w14:paraId="499E4CC6" w14:textId="77777777" w:rsidR="007968EC" w:rsidRPr="00207D41" w:rsidRDefault="007968EC" w:rsidP="007968EC">
                  <w:pPr>
                    <w:jc w:val="center"/>
                    <w:rPr>
                      <w:rFonts w:ascii="Arial Narrow" w:hAnsi="Arial Narrow" w:cs="Arial"/>
                      <w:lang w:val="es-ES" w:eastAsia="es-ES"/>
                    </w:rPr>
                  </w:pPr>
                  <w:r w:rsidRPr="00207D41">
                    <w:rPr>
                      <w:rFonts w:ascii="Arial Narrow" w:hAnsi="Arial Narrow" w:cs="Arial"/>
                      <w:lang w:val="es-ES" w:eastAsia="es-ES"/>
                    </w:rPr>
                    <w:t>30.000</w:t>
                  </w:r>
                </w:p>
              </w:tc>
              <w:tc>
                <w:tcPr>
                  <w:tcW w:w="1701" w:type="dxa"/>
                  <w:tcBorders>
                    <w:top w:val="single" w:sz="4" w:space="0" w:color="auto"/>
                    <w:left w:val="single" w:sz="4" w:space="0" w:color="auto"/>
                    <w:bottom w:val="single" w:sz="4" w:space="0" w:color="auto"/>
                    <w:right w:val="single" w:sz="4" w:space="0" w:color="auto"/>
                  </w:tcBorders>
                  <w:hideMark/>
                </w:tcPr>
                <w:p w14:paraId="58F42E95" w14:textId="77777777" w:rsidR="007968EC" w:rsidRPr="00207D41" w:rsidRDefault="007968EC" w:rsidP="007968EC">
                  <w:pPr>
                    <w:jc w:val="center"/>
                    <w:rPr>
                      <w:rFonts w:ascii="Arial Narrow" w:hAnsi="Arial Narrow" w:cs="Arial"/>
                      <w:lang w:val="es-ES" w:eastAsia="es-ES"/>
                    </w:rPr>
                  </w:pPr>
                  <w:r w:rsidRPr="00207D41">
                    <w:rPr>
                      <w:rFonts w:ascii="Arial Narrow" w:hAnsi="Arial Narrow" w:cs="Arial"/>
                      <w:lang w:val="es-ES" w:eastAsia="es-ES"/>
                    </w:rPr>
                    <w:t>COP $ 1000</w:t>
                  </w:r>
                </w:p>
              </w:tc>
            </w:tr>
            <w:tr w:rsidR="007968EC" w:rsidRPr="00207D41" w14:paraId="55609562" w14:textId="77777777" w:rsidTr="007968EC">
              <w:trPr>
                <w:jc w:val="center"/>
              </w:trPr>
              <w:tc>
                <w:tcPr>
                  <w:tcW w:w="1021" w:type="dxa"/>
                  <w:tcBorders>
                    <w:top w:val="single" w:sz="4" w:space="0" w:color="auto"/>
                    <w:left w:val="single" w:sz="4" w:space="0" w:color="auto"/>
                    <w:bottom w:val="single" w:sz="4" w:space="0" w:color="auto"/>
                    <w:right w:val="single" w:sz="4" w:space="0" w:color="auto"/>
                  </w:tcBorders>
                  <w:hideMark/>
                </w:tcPr>
                <w:p w14:paraId="1E753CDB" w14:textId="77777777" w:rsidR="007968EC" w:rsidRPr="00207D41" w:rsidRDefault="007968EC" w:rsidP="007968EC">
                  <w:pPr>
                    <w:jc w:val="center"/>
                    <w:rPr>
                      <w:rFonts w:ascii="Arial Narrow" w:hAnsi="Arial Narrow" w:cs="Arial"/>
                      <w:lang w:val="es-ES" w:eastAsia="es-ES"/>
                    </w:rPr>
                  </w:pPr>
                  <w:r w:rsidRPr="00207D41">
                    <w:rPr>
                      <w:rFonts w:ascii="Arial Narrow" w:hAnsi="Arial Narrow" w:cs="Arial"/>
                      <w:lang w:val="es-ES" w:eastAsia="es-ES"/>
                    </w:rPr>
                    <w:t>30.001</w:t>
                  </w:r>
                </w:p>
              </w:tc>
              <w:tc>
                <w:tcPr>
                  <w:tcW w:w="1134" w:type="dxa"/>
                  <w:tcBorders>
                    <w:top w:val="single" w:sz="4" w:space="0" w:color="auto"/>
                    <w:left w:val="single" w:sz="4" w:space="0" w:color="auto"/>
                    <w:bottom w:val="single" w:sz="4" w:space="0" w:color="auto"/>
                    <w:right w:val="single" w:sz="4" w:space="0" w:color="auto"/>
                  </w:tcBorders>
                  <w:hideMark/>
                </w:tcPr>
                <w:p w14:paraId="12AC5F20" w14:textId="77777777" w:rsidR="007968EC" w:rsidRPr="00207D41" w:rsidRDefault="007968EC" w:rsidP="007968EC">
                  <w:pPr>
                    <w:jc w:val="center"/>
                    <w:rPr>
                      <w:rFonts w:ascii="Arial Narrow" w:hAnsi="Arial Narrow" w:cs="Arial"/>
                      <w:lang w:val="es-ES" w:eastAsia="es-ES"/>
                    </w:rPr>
                  </w:pPr>
                  <w:r w:rsidRPr="00207D41">
                    <w:rPr>
                      <w:rFonts w:ascii="Arial Narrow" w:hAnsi="Arial Narrow" w:cs="Arial"/>
                      <w:lang w:val="es-ES" w:eastAsia="es-ES"/>
                    </w:rPr>
                    <w:t>Adelante</w:t>
                  </w:r>
                </w:p>
              </w:tc>
              <w:tc>
                <w:tcPr>
                  <w:tcW w:w="1701" w:type="dxa"/>
                  <w:tcBorders>
                    <w:top w:val="single" w:sz="4" w:space="0" w:color="auto"/>
                    <w:left w:val="single" w:sz="4" w:space="0" w:color="auto"/>
                    <w:bottom w:val="single" w:sz="4" w:space="0" w:color="auto"/>
                    <w:right w:val="single" w:sz="4" w:space="0" w:color="auto"/>
                  </w:tcBorders>
                  <w:hideMark/>
                </w:tcPr>
                <w:p w14:paraId="79C9FFA0" w14:textId="77777777" w:rsidR="007968EC" w:rsidRPr="00207D41" w:rsidRDefault="007968EC" w:rsidP="007968EC">
                  <w:pPr>
                    <w:ind w:left="-117"/>
                    <w:jc w:val="center"/>
                    <w:rPr>
                      <w:rFonts w:ascii="Arial Narrow" w:hAnsi="Arial Narrow" w:cs="Arial"/>
                      <w:lang w:val="es-ES" w:eastAsia="es-ES"/>
                    </w:rPr>
                  </w:pPr>
                  <w:r w:rsidRPr="00207D41">
                    <w:rPr>
                      <w:rFonts w:ascii="Arial Narrow" w:hAnsi="Arial Narrow" w:cs="Arial"/>
                      <w:lang w:val="es-ES" w:eastAsia="es-ES"/>
                    </w:rPr>
                    <w:t>COP $ 900</w:t>
                  </w:r>
                </w:p>
              </w:tc>
            </w:tr>
          </w:tbl>
          <w:p w14:paraId="754FBEF8" w14:textId="77777777" w:rsidR="007968EC" w:rsidRPr="00207D41" w:rsidRDefault="007968EC" w:rsidP="007968EC">
            <w:pPr>
              <w:jc w:val="both"/>
              <w:rPr>
                <w:rFonts w:ascii="Arial Narrow" w:hAnsi="Arial Narrow" w:cs="Arial"/>
                <w:lang w:eastAsia="es-ES"/>
              </w:rPr>
            </w:pPr>
          </w:p>
          <w:p w14:paraId="0F5E1F4A" w14:textId="77777777" w:rsidR="007968EC" w:rsidRPr="00207D41" w:rsidRDefault="007968EC" w:rsidP="007968EC">
            <w:pPr>
              <w:jc w:val="both"/>
              <w:rPr>
                <w:rFonts w:ascii="Arial Narrow" w:hAnsi="Arial Narrow" w:cs="Arial"/>
                <w:lang w:eastAsia="es-ES"/>
              </w:rPr>
            </w:pPr>
            <w:r w:rsidRPr="00207D41">
              <w:rPr>
                <w:rFonts w:ascii="Arial Narrow" w:hAnsi="Arial Narrow" w:cs="Arial"/>
                <w:lang w:eastAsia="es-ES"/>
              </w:rPr>
              <w:t>El cálculo del número de contratos compensados y liquidados durante el mes calendario inmediatamente anterior, resultará de la suma de todos los contratos que correspondan a la estructura de Cuentas del mismo Miembro Liquidador.</w:t>
            </w:r>
          </w:p>
          <w:p w14:paraId="28E322A4" w14:textId="77777777" w:rsidR="007968EC" w:rsidRPr="00207D41" w:rsidRDefault="007968EC" w:rsidP="007968EC">
            <w:pPr>
              <w:autoSpaceDE w:val="0"/>
              <w:autoSpaceDN w:val="0"/>
              <w:adjustRightInd w:val="0"/>
              <w:rPr>
                <w:rFonts w:ascii="Arial Narrow" w:eastAsia="Calibri" w:hAnsi="Arial Narrow" w:cs="Arial"/>
                <w:lang w:eastAsia="es-ES"/>
              </w:rPr>
            </w:pPr>
          </w:p>
          <w:p w14:paraId="2CB4AF5E" w14:textId="77777777" w:rsidR="007968EC" w:rsidRPr="00207D41" w:rsidRDefault="007968EC" w:rsidP="007968EC">
            <w:pPr>
              <w:autoSpaceDE w:val="0"/>
              <w:autoSpaceDN w:val="0"/>
              <w:adjustRightInd w:val="0"/>
              <w:jc w:val="both"/>
              <w:rPr>
                <w:rFonts w:ascii="Arial Narrow" w:hAnsi="Arial Narrow" w:cs="Arial"/>
                <w:lang w:val="es-ES" w:eastAsia="es-ES"/>
              </w:rPr>
            </w:pPr>
            <w:r w:rsidRPr="00207D41">
              <w:rPr>
                <w:rFonts w:ascii="Arial Narrow" w:hAnsi="Arial Narrow" w:cs="Arial"/>
                <w:lang w:val="es-ES" w:eastAsia="es-ES"/>
              </w:rPr>
              <w:t>Se debe tener en cuenta que los contratos compensados y liquidados el mes inmediatamente anterior, que hayan sido originados por operaciones cerradas en el sistema de negociación de la BVC S.A., se computarán por 1,5 veces antes de realizar la suma de todos los contratos correspondientes a la estructura de Cuentas del Miembro Liquidador.</w:t>
            </w:r>
          </w:p>
          <w:p w14:paraId="2AB86F0F" w14:textId="77777777" w:rsidR="007968EC" w:rsidRPr="00207D41" w:rsidRDefault="007968EC" w:rsidP="007968EC">
            <w:pPr>
              <w:autoSpaceDE w:val="0"/>
              <w:autoSpaceDN w:val="0"/>
              <w:adjustRightInd w:val="0"/>
              <w:rPr>
                <w:rFonts w:ascii="Arial Narrow" w:eastAsia="Calibri" w:hAnsi="Arial Narrow" w:cs="Arial"/>
                <w:lang w:eastAsia="es-ES"/>
              </w:rPr>
            </w:pPr>
          </w:p>
          <w:p w14:paraId="008957FD" w14:textId="77777777" w:rsidR="007968EC" w:rsidRPr="00207D41" w:rsidRDefault="007968EC" w:rsidP="007968EC">
            <w:pPr>
              <w:jc w:val="both"/>
              <w:rPr>
                <w:rFonts w:ascii="Arial Narrow" w:hAnsi="Arial Narrow" w:cs="Arial"/>
                <w:lang w:eastAsia="es-ES"/>
              </w:rPr>
            </w:pPr>
            <w:r w:rsidRPr="00207D41">
              <w:rPr>
                <w:rFonts w:ascii="Arial Narrow" w:hAnsi="Arial Narrow" w:cs="Arial"/>
                <w:lang w:eastAsia="es-ES"/>
              </w:rPr>
              <w:t>Mini Contrato de Futuro de Tasa de Cambio Dólar/Peso: COP$180</w:t>
            </w:r>
          </w:p>
          <w:p w14:paraId="3001279A" w14:textId="77777777" w:rsidR="007968EC" w:rsidRPr="00207D41" w:rsidRDefault="007968EC" w:rsidP="007968EC">
            <w:pPr>
              <w:autoSpaceDE w:val="0"/>
              <w:autoSpaceDN w:val="0"/>
              <w:jc w:val="both"/>
              <w:rPr>
                <w:rFonts w:ascii="Arial Narrow" w:hAnsi="Arial Narrow" w:cs="Arial"/>
                <w:lang w:eastAsia="es-ES"/>
              </w:rPr>
            </w:pPr>
          </w:p>
          <w:p w14:paraId="37591C9C" w14:textId="77777777" w:rsidR="007968EC" w:rsidRPr="00207D41" w:rsidRDefault="007968EC" w:rsidP="007968EC">
            <w:pPr>
              <w:autoSpaceDE w:val="0"/>
              <w:autoSpaceDN w:val="0"/>
              <w:jc w:val="both"/>
              <w:rPr>
                <w:rFonts w:ascii="Arial Narrow" w:eastAsia="Calibri" w:hAnsi="Arial Narrow" w:cs="Arial"/>
                <w:lang w:eastAsia="es-ES"/>
              </w:rPr>
            </w:pPr>
            <w:r w:rsidRPr="00207D41">
              <w:rPr>
                <w:rFonts w:ascii="Arial Narrow" w:hAnsi="Arial Narrow" w:cs="Arial"/>
                <w:color w:val="000000"/>
                <w:lang w:eastAsia="es-ES"/>
              </w:rPr>
              <w:t xml:space="preserve">Futuros y Opciones </w:t>
            </w:r>
            <w:r w:rsidRPr="00207D41">
              <w:rPr>
                <w:rFonts w:ascii="Arial Narrow" w:hAnsi="Arial Narrow" w:cs="Arial"/>
                <w:lang w:eastAsia="es-ES"/>
              </w:rPr>
              <w:t xml:space="preserve">cuyo activo subyacente sean acciones: </w:t>
            </w:r>
            <w:r w:rsidRPr="00207D41">
              <w:rPr>
                <w:rFonts w:ascii="Arial Narrow" w:eastAsia="Calibri" w:hAnsi="Arial Narrow" w:cs="Arial"/>
                <w:lang w:eastAsia="es-ES"/>
              </w:rPr>
              <w:t>Se cobrará un importe durante el mes calendario vigente el cual resulta de multiplicar: a) Tamaño del Contrato</w:t>
            </w:r>
            <w:r w:rsidRPr="00207D41">
              <w:rPr>
                <w:rFonts w:ascii="Arial Narrow" w:eastAsia="Calibri" w:hAnsi="Arial Narrow" w:cs="Arial"/>
              </w:rPr>
              <w:t xml:space="preserve"> </w:t>
            </w:r>
            <w:r w:rsidRPr="00207D41">
              <w:rPr>
                <w:rFonts w:ascii="Arial Narrow" w:eastAsia="Calibri" w:hAnsi="Arial Narrow" w:cs="Arial"/>
                <w:lang w:eastAsia="es-ES"/>
              </w:rPr>
              <w:t xml:space="preserve">por b) el precio de cierre del último día de negociación del mes inmediatamente anterior de la acción </w:t>
            </w:r>
            <w:r w:rsidRPr="00207D41">
              <w:rPr>
                <w:rFonts w:ascii="Arial Narrow" w:eastAsia="Calibri" w:hAnsi="Arial Narrow" w:cs="Arial"/>
                <w:lang w:eastAsia="es-ES"/>
              </w:rPr>
              <w:lastRenderedPageBreak/>
              <w:t>subyacente respectiva publicado por la BVC por c) 0.0125%.</w:t>
            </w:r>
          </w:p>
          <w:p w14:paraId="70AB4D98" w14:textId="77777777" w:rsidR="007968EC" w:rsidRPr="00207D41" w:rsidRDefault="007968EC" w:rsidP="007968EC">
            <w:pPr>
              <w:autoSpaceDE w:val="0"/>
              <w:autoSpaceDN w:val="0"/>
              <w:jc w:val="both"/>
              <w:rPr>
                <w:rFonts w:ascii="Arial Narrow" w:eastAsia="Calibri" w:hAnsi="Arial Narrow" w:cs="Arial"/>
                <w:lang w:eastAsia="es-ES"/>
              </w:rPr>
            </w:pPr>
          </w:p>
          <w:p w14:paraId="76CCBC4C" w14:textId="77777777" w:rsidR="007968EC" w:rsidRPr="00207D41" w:rsidRDefault="007968EC" w:rsidP="007968EC">
            <w:pPr>
              <w:autoSpaceDE w:val="0"/>
              <w:autoSpaceDN w:val="0"/>
              <w:jc w:val="both"/>
              <w:rPr>
                <w:rFonts w:ascii="Arial Narrow" w:eastAsia="Calibri" w:hAnsi="Arial Narrow" w:cs="Arial"/>
                <w:lang w:eastAsia="es-ES"/>
              </w:rPr>
            </w:pPr>
            <w:r w:rsidRPr="00207D41">
              <w:rPr>
                <w:rFonts w:ascii="Arial Narrow" w:eastAsia="Calibri" w:hAnsi="Arial Narrow" w:cs="Arial"/>
                <w:lang w:eastAsia="es-ES"/>
              </w:rPr>
              <w:t>Contratos de Futuros Índice Accionario COLCAP: Se cobrará un importe durante el mes calendario vigente el cual resulta de multiplicar: a) El tamaño del</w:t>
            </w:r>
            <w:r w:rsidRPr="00207D41">
              <w:rPr>
                <w:rFonts w:ascii="Arial Narrow" w:hAnsi="Arial Narrow" w:cs="Arial"/>
                <w:lang w:eastAsia="es-ES"/>
              </w:rPr>
              <w:t xml:space="preserve"> Contrato por b) el valor de cierre del último día de negociación del mes inmediatamente anterior del Índice COLCAP publicado por la BVC por c) </w:t>
            </w:r>
            <w:r w:rsidRPr="00207D41">
              <w:rPr>
                <w:rFonts w:ascii="Arial Narrow" w:eastAsia="Calibri" w:hAnsi="Arial Narrow" w:cs="Arial"/>
                <w:lang w:eastAsia="es-ES"/>
              </w:rPr>
              <w:t>0.010%.</w:t>
            </w:r>
          </w:p>
          <w:p w14:paraId="2760A805" w14:textId="77777777" w:rsidR="007968EC" w:rsidRPr="00207D41" w:rsidRDefault="007968EC" w:rsidP="007968EC">
            <w:pPr>
              <w:autoSpaceDE w:val="0"/>
              <w:autoSpaceDN w:val="0"/>
              <w:jc w:val="both"/>
              <w:rPr>
                <w:rFonts w:ascii="Arial Narrow" w:eastAsia="Calibri" w:hAnsi="Arial Narrow" w:cs="Arial"/>
                <w:lang w:eastAsia="es-ES"/>
              </w:rPr>
            </w:pPr>
          </w:p>
          <w:p w14:paraId="421A9DC2" w14:textId="77777777" w:rsidR="007968EC" w:rsidRPr="00207D41" w:rsidRDefault="007968EC" w:rsidP="007968EC">
            <w:pPr>
              <w:autoSpaceDE w:val="0"/>
              <w:autoSpaceDN w:val="0"/>
              <w:jc w:val="both"/>
              <w:rPr>
                <w:rFonts w:ascii="Arial Narrow" w:eastAsia="Calibri" w:hAnsi="Arial Narrow" w:cs="Arial"/>
                <w:lang w:eastAsia="es-ES"/>
              </w:rPr>
            </w:pPr>
            <w:r w:rsidRPr="00207D41">
              <w:rPr>
                <w:rFonts w:ascii="Arial Narrow" w:eastAsia="Calibri" w:hAnsi="Arial Narrow" w:cs="Arial"/>
                <w:lang w:eastAsia="es-ES"/>
              </w:rPr>
              <w:t xml:space="preserve">Para los Miembros que participen en el Esquema de Creadores de Mercado del Futuro Índice Accionario COLCAP de la BVC S.A., la CRCC S.A. otorgará un descuento sobre el importe variable del Futuro Índice Accionario COLCAP y de los Futuros cuyo activo subyacente sean acciones que hayan sido negociados por el Miembro en la BVC S.A. y compensados y liquidados por la CRCC S.A. La aplicación de este descuento depende de: i) El cumplimiento del Miembro de las obligaciones establecidas en el Programa de Creadores de Mercado del Futuro Índice Accionario COLCAP de la BVC S.A., ii) el puesto ocupado por el Miembro en el Ranking del Programa de Creadores de Mercado del Futuro Índice Accionario COLCAP y iii) del Número de Contratos de Futuro Índice Accionario COLCAP que hayan sido negociados por el Miembro en la BVC S.A. y compensados y liquidados por la CRCC S.A. en el mes inmediatamente anterior, de conformidad con la siguiente tabla: </w:t>
            </w:r>
          </w:p>
          <w:p w14:paraId="1223026E" w14:textId="77777777" w:rsidR="007968EC" w:rsidRPr="00207D41" w:rsidRDefault="007968EC" w:rsidP="007968EC">
            <w:pPr>
              <w:autoSpaceDE w:val="0"/>
              <w:autoSpaceDN w:val="0"/>
              <w:jc w:val="both"/>
              <w:rPr>
                <w:rFonts w:ascii="Arial Narrow" w:hAnsi="Arial Narrow" w:cs="Arial"/>
                <w:lang w:eastAsia="es-ES"/>
              </w:rPr>
            </w:pPr>
          </w:p>
          <w:tbl>
            <w:tblPr>
              <w:tblW w:w="3855" w:type="dxa"/>
              <w:jc w:val="center"/>
              <w:tblLayout w:type="fixed"/>
              <w:tblLook w:val="04A0" w:firstRow="1" w:lastRow="0" w:firstColumn="1" w:lastColumn="0" w:noHBand="0" w:noVBand="1"/>
            </w:tblPr>
            <w:tblGrid>
              <w:gridCol w:w="878"/>
              <w:gridCol w:w="699"/>
              <w:gridCol w:w="719"/>
              <w:gridCol w:w="762"/>
              <w:gridCol w:w="797"/>
            </w:tblGrid>
            <w:tr w:rsidR="007968EC" w:rsidRPr="00207D41" w14:paraId="1FD6499F" w14:textId="77777777" w:rsidTr="007968EC">
              <w:trPr>
                <w:jc w:val="center"/>
              </w:trPr>
              <w:tc>
                <w:tcPr>
                  <w:tcW w:w="1577" w:type="dxa"/>
                  <w:gridSpan w:val="2"/>
                  <w:tcBorders>
                    <w:top w:val="single" w:sz="4" w:space="0" w:color="auto"/>
                    <w:left w:val="single" w:sz="4" w:space="0" w:color="auto"/>
                    <w:bottom w:val="single" w:sz="4" w:space="0" w:color="auto"/>
                    <w:right w:val="single" w:sz="4" w:space="0" w:color="auto"/>
                  </w:tcBorders>
                  <w:vAlign w:val="center"/>
                  <w:hideMark/>
                </w:tcPr>
                <w:p w14:paraId="6420FF77" w14:textId="77777777" w:rsidR="007968EC" w:rsidRPr="00207D41" w:rsidRDefault="007968EC" w:rsidP="007968EC">
                  <w:pPr>
                    <w:autoSpaceDE w:val="0"/>
                    <w:autoSpaceDN w:val="0"/>
                    <w:jc w:val="both"/>
                    <w:rPr>
                      <w:rFonts w:ascii="Arial Narrow" w:hAnsi="Arial Narrow" w:cs="Arial"/>
                      <w:b/>
                      <w:color w:val="000000"/>
                    </w:rPr>
                  </w:pPr>
                  <w:r w:rsidRPr="00207D41">
                    <w:rPr>
                      <w:rFonts w:ascii="Arial Narrow" w:eastAsia="Calibri" w:hAnsi="Arial Narrow" w:cs="Arial"/>
                      <w:b/>
                      <w:color w:val="000000"/>
                    </w:rPr>
                    <w:t xml:space="preserve">Contratos de Futuro Índice Accionario COLCAP negociados </w:t>
                  </w:r>
                  <w:r w:rsidRPr="00207D41">
                    <w:rPr>
                      <w:rFonts w:ascii="Arial Narrow" w:eastAsia="Calibri" w:hAnsi="Arial Narrow" w:cs="Arial"/>
                      <w:b/>
                      <w:color w:val="000000"/>
                    </w:rPr>
                    <w:lastRenderedPageBreak/>
                    <w:t>por el Miembro en el mes inmediatamente anterior</w:t>
                  </w:r>
                </w:p>
              </w:tc>
              <w:tc>
                <w:tcPr>
                  <w:tcW w:w="719" w:type="dxa"/>
                  <w:vMerge w:val="restart"/>
                  <w:tcBorders>
                    <w:top w:val="single" w:sz="4" w:space="0" w:color="auto"/>
                    <w:left w:val="single" w:sz="4" w:space="0" w:color="auto"/>
                    <w:bottom w:val="single" w:sz="4" w:space="0" w:color="auto"/>
                    <w:right w:val="single" w:sz="4" w:space="0" w:color="auto"/>
                  </w:tcBorders>
                  <w:vAlign w:val="center"/>
                  <w:hideMark/>
                </w:tcPr>
                <w:p w14:paraId="60F55956" w14:textId="77777777" w:rsidR="007968EC" w:rsidRPr="00207D41" w:rsidRDefault="007968EC" w:rsidP="007968EC">
                  <w:pPr>
                    <w:autoSpaceDE w:val="0"/>
                    <w:autoSpaceDN w:val="0"/>
                    <w:rPr>
                      <w:rFonts w:ascii="Arial Narrow" w:eastAsia="Calibri" w:hAnsi="Arial Narrow" w:cs="Arial"/>
                      <w:b/>
                      <w:color w:val="000000"/>
                    </w:rPr>
                  </w:pPr>
                  <w:r w:rsidRPr="00207D41">
                    <w:rPr>
                      <w:rFonts w:ascii="Arial Narrow" w:eastAsia="Calibri" w:hAnsi="Arial Narrow" w:cs="Arial"/>
                      <w:b/>
                      <w:color w:val="000000"/>
                    </w:rPr>
                    <w:lastRenderedPageBreak/>
                    <w:t xml:space="preserve">Descuento 1er Lugar </w:t>
                  </w:r>
                </w:p>
              </w:tc>
              <w:tc>
                <w:tcPr>
                  <w:tcW w:w="762" w:type="dxa"/>
                  <w:vMerge w:val="restart"/>
                  <w:tcBorders>
                    <w:top w:val="single" w:sz="4" w:space="0" w:color="auto"/>
                    <w:left w:val="single" w:sz="4" w:space="0" w:color="auto"/>
                    <w:bottom w:val="single" w:sz="4" w:space="0" w:color="auto"/>
                    <w:right w:val="single" w:sz="4" w:space="0" w:color="auto"/>
                  </w:tcBorders>
                  <w:vAlign w:val="center"/>
                  <w:hideMark/>
                </w:tcPr>
                <w:p w14:paraId="3F7121AB" w14:textId="77777777" w:rsidR="007968EC" w:rsidRPr="00207D41" w:rsidRDefault="007968EC" w:rsidP="007968EC">
                  <w:pPr>
                    <w:autoSpaceDE w:val="0"/>
                    <w:autoSpaceDN w:val="0"/>
                    <w:rPr>
                      <w:rFonts w:ascii="Arial Narrow" w:eastAsia="Calibri" w:hAnsi="Arial Narrow" w:cs="Arial"/>
                      <w:b/>
                      <w:color w:val="000000"/>
                    </w:rPr>
                  </w:pPr>
                  <w:r w:rsidRPr="00207D41">
                    <w:rPr>
                      <w:rFonts w:ascii="Arial Narrow" w:eastAsia="Calibri" w:hAnsi="Arial Narrow" w:cs="Arial"/>
                      <w:b/>
                      <w:color w:val="000000"/>
                    </w:rPr>
                    <w:t>Descuento 2do Lugar</w:t>
                  </w:r>
                </w:p>
              </w:tc>
              <w:tc>
                <w:tcPr>
                  <w:tcW w:w="797" w:type="dxa"/>
                  <w:vMerge w:val="restart"/>
                  <w:tcBorders>
                    <w:top w:val="single" w:sz="4" w:space="0" w:color="auto"/>
                    <w:left w:val="single" w:sz="4" w:space="0" w:color="auto"/>
                    <w:bottom w:val="single" w:sz="4" w:space="0" w:color="auto"/>
                    <w:right w:val="single" w:sz="4" w:space="0" w:color="auto"/>
                  </w:tcBorders>
                  <w:vAlign w:val="center"/>
                  <w:hideMark/>
                </w:tcPr>
                <w:p w14:paraId="72256666" w14:textId="77777777" w:rsidR="007968EC" w:rsidRPr="00207D41" w:rsidRDefault="007968EC" w:rsidP="007968EC">
                  <w:pPr>
                    <w:autoSpaceDE w:val="0"/>
                    <w:autoSpaceDN w:val="0"/>
                    <w:rPr>
                      <w:rFonts w:ascii="Arial Narrow" w:eastAsia="Calibri" w:hAnsi="Arial Narrow" w:cs="Arial"/>
                      <w:b/>
                      <w:color w:val="000000"/>
                    </w:rPr>
                  </w:pPr>
                  <w:r w:rsidRPr="00207D41">
                    <w:rPr>
                      <w:rFonts w:ascii="Arial Narrow" w:eastAsia="Calibri" w:hAnsi="Arial Narrow" w:cs="Arial"/>
                      <w:b/>
                      <w:color w:val="000000"/>
                    </w:rPr>
                    <w:t>Descuento 3er Lugar</w:t>
                  </w:r>
                </w:p>
              </w:tc>
            </w:tr>
            <w:tr w:rsidR="007968EC" w:rsidRPr="00207D41" w14:paraId="2396EB7E" w14:textId="77777777" w:rsidTr="007968EC">
              <w:trPr>
                <w:jc w:val="center"/>
              </w:trPr>
              <w:tc>
                <w:tcPr>
                  <w:tcW w:w="878" w:type="dxa"/>
                  <w:tcBorders>
                    <w:top w:val="single" w:sz="4" w:space="0" w:color="auto"/>
                    <w:left w:val="single" w:sz="4" w:space="0" w:color="auto"/>
                    <w:bottom w:val="single" w:sz="4" w:space="0" w:color="auto"/>
                    <w:right w:val="single" w:sz="4" w:space="0" w:color="auto"/>
                  </w:tcBorders>
                  <w:vAlign w:val="center"/>
                  <w:hideMark/>
                </w:tcPr>
                <w:p w14:paraId="7AD32842" w14:textId="77777777" w:rsidR="007968EC" w:rsidRPr="00207D41" w:rsidRDefault="007968EC" w:rsidP="007968EC">
                  <w:pPr>
                    <w:autoSpaceDE w:val="0"/>
                    <w:autoSpaceDN w:val="0"/>
                    <w:jc w:val="both"/>
                    <w:rPr>
                      <w:rFonts w:ascii="Arial Narrow" w:eastAsia="Calibri" w:hAnsi="Arial Narrow" w:cs="Arial"/>
                      <w:b/>
                      <w:color w:val="000000"/>
                    </w:rPr>
                  </w:pPr>
                  <w:r w:rsidRPr="00207D41">
                    <w:rPr>
                      <w:rFonts w:ascii="Arial Narrow" w:eastAsia="Calibri" w:hAnsi="Arial Narrow" w:cs="Arial"/>
                      <w:b/>
                      <w:color w:val="000000"/>
                    </w:rPr>
                    <w:t>Desde</w:t>
                  </w:r>
                </w:p>
              </w:tc>
              <w:tc>
                <w:tcPr>
                  <w:tcW w:w="699" w:type="dxa"/>
                  <w:tcBorders>
                    <w:top w:val="single" w:sz="4" w:space="0" w:color="auto"/>
                    <w:left w:val="single" w:sz="4" w:space="0" w:color="auto"/>
                    <w:bottom w:val="single" w:sz="4" w:space="0" w:color="auto"/>
                    <w:right w:val="single" w:sz="4" w:space="0" w:color="auto"/>
                  </w:tcBorders>
                  <w:vAlign w:val="center"/>
                  <w:hideMark/>
                </w:tcPr>
                <w:p w14:paraId="11BC6178" w14:textId="77777777" w:rsidR="007968EC" w:rsidRPr="00207D41" w:rsidRDefault="007968EC" w:rsidP="007968EC">
                  <w:pPr>
                    <w:autoSpaceDE w:val="0"/>
                    <w:autoSpaceDN w:val="0"/>
                    <w:jc w:val="both"/>
                    <w:rPr>
                      <w:rFonts w:ascii="Arial Narrow" w:eastAsia="Calibri" w:hAnsi="Arial Narrow" w:cs="Arial"/>
                      <w:b/>
                      <w:color w:val="000000"/>
                    </w:rPr>
                  </w:pPr>
                  <w:r w:rsidRPr="00207D41">
                    <w:rPr>
                      <w:rFonts w:ascii="Arial Narrow" w:eastAsia="Calibri" w:hAnsi="Arial Narrow" w:cs="Arial"/>
                      <w:b/>
                      <w:color w:val="000000"/>
                    </w:rPr>
                    <w:t>Hasta</w:t>
                  </w:r>
                </w:p>
              </w:tc>
              <w:tc>
                <w:tcPr>
                  <w:tcW w:w="719" w:type="dxa"/>
                  <w:vMerge/>
                  <w:tcBorders>
                    <w:top w:val="single" w:sz="4" w:space="0" w:color="auto"/>
                    <w:left w:val="single" w:sz="4" w:space="0" w:color="auto"/>
                    <w:bottom w:val="single" w:sz="4" w:space="0" w:color="auto"/>
                    <w:right w:val="single" w:sz="4" w:space="0" w:color="auto"/>
                  </w:tcBorders>
                  <w:vAlign w:val="center"/>
                  <w:hideMark/>
                </w:tcPr>
                <w:p w14:paraId="02F3E4E1" w14:textId="77777777" w:rsidR="007968EC" w:rsidRPr="00207D41" w:rsidRDefault="007968EC" w:rsidP="007968EC">
                  <w:pPr>
                    <w:rPr>
                      <w:rFonts w:ascii="Arial Narrow" w:hAnsi="Arial Narrow" w:cs="Arial"/>
                      <w:b/>
                      <w:color w:val="000000"/>
                    </w:rPr>
                  </w:pPr>
                </w:p>
              </w:tc>
              <w:tc>
                <w:tcPr>
                  <w:tcW w:w="762" w:type="dxa"/>
                  <w:vMerge/>
                  <w:tcBorders>
                    <w:top w:val="single" w:sz="4" w:space="0" w:color="auto"/>
                    <w:left w:val="single" w:sz="4" w:space="0" w:color="auto"/>
                    <w:bottom w:val="single" w:sz="4" w:space="0" w:color="auto"/>
                    <w:right w:val="single" w:sz="4" w:space="0" w:color="auto"/>
                  </w:tcBorders>
                  <w:vAlign w:val="center"/>
                  <w:hideMark/>
                </w:tcPr>
                <w:p w14:paraId="61A04CA0" w14:textId="77777777" w:rsidR="007968EC" w:rsidRPr="00207D41" w:rsidRDefault="007968EC" w:rsidP="007968EC">
                  <w:pPr>
                    <w:rPr>
                      <w:rFonts w:ascii="Arial Narrow" w:hAnsi="Arial Narrow" w:cs="Arial"/>
                      <w:b/>
                      <w:color w:val="000000"/>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14:paraId="5DA87B81" w14:textId="77777777" w:rsidR="007968EC" w:rsidRPr="00207D41" w:rsidRDefault="007968EC" w:rsidP="007968EC">
                  <w:pPr>
                    <w:rPr>
                      <w:rFonts w:ascii="Arial Narrow" w:hAnsi="Arial Narrow" w:cs="Arial"/>
                      <w:b/>
                      <w:color w:val="000000"/>
                    </w:rPr>
                  </w:pPr>
                </w:p>
              </w:tc>
            </w:tr>
            <w:tr w:rsidR="007968EC" w:rsidRPr="00207D41" w14:paraId="526B5B72" w14:textId="77777777" w:rsidTr="007968EC">
              <w:trPr>
                <w:jc w:val="center"/>
              </w:trPr>
              <w:tc>
                <w:tcPr>
                  <w:tcW w:w="878" w:type="dxa"/>
                  <w:tcBorders>
                    <w:top w:val="single" w:sz="4" w:space="0" w:color="auto"/>
                    <w:left w:val="single" w:sz="4" w:space="0" w:color="auto"/>
                    <w:bottom w:val="single" w:sz="4" w:space="0" w:color="auto"/>
                    <w:right w:val="single" w:sz="4" w:space="0" w:color="auto"/>
                  </w:tcBorders>
                  <w:vAlign w:val="center"/>
                  <w:hideMark/>
                </w:tcPr>
                <w:p w14:paraId="6FD4FC44"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1</w:t>
                  </w:r>
                </w:p>
              </w:tc>
              <w:tc>
                <w:tcPr>
                  <w:tcW w:w="699" w:type="dxa"/>
                  <w:tcBorders>
                    <w:top w:val="single" w:sz="4" w:space="0" w:color="auto"/>
                    <w:left w:val="single" w:sz="4" w:space="0" w:color="auto"/>
                    <w:bottom w:val="single" w:sz="4" w:space="0" w:color="auto"/>
                    <w:right w:val="single" w:sz="4" w:space="0" w:color="auto"/>
                  </w:tcBorders>
                  <w:vAlign w:val="center"/>
                  <w:hideMark/>
                </w:tcPr>
                <w:p w14:paraId="58DE9F15"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2000</w:t>
                  </w:r>
                </w:p>
              </w:tc>
              <w:tc>
                <w:tcPr>
                  <w:tcW w:w="719" w:type="dxa"/>
                  <w:tcBorders>
                    <w:top w:val="single" w:sz="4" w:space="0" w:color="auto"/>
                    <w:left w:val="single" w:sz="4" w:space="0" w:color="auto"/>
                    <w:bottom w:val="single" w:sz="4" w:space="0" w:color="auto"/>
                    <w:right w:val="single" w:sz="4" w:space="0" w:color="auto"/>
                  </w:tcBorders>
                  <w:vAlign w:val="center"/>
                  <w:hideMark/>
                </w:tcPr>
                <w:p w14:paraId="6F89D57F"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15.00%</w:t>
                  </w:r>
                </w:p>
              </w:tc>
              <w:tc>
                <w:tcPr>
                  <w:tcW w:w="762" w:type="dxa"/>
                  <w:tcBorders>
                    <w:top w:val="single" w:sz="4" w:space="0" w:color="auto"/>
                    <w:left w:val="single" w:sz="4" w:space="0" w:color="auto"/>
                    <w:bottom w:val="single" w:sz="4" w:space="0" w:color="auto"/>
                    <w:right w:val="single" w:sz="4" w:space="0" w:color="auto"/>
                  </w:tcBorders>
                  <w:vAlign w:val="center"/>
                  <w:hideMark/>
                </w:tcPr>
                <w:p w14:paraId="15D0666B"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12.50%</w:t>
                  </w:r>
                </w:p>
              </w:tc>
              <w:tc>
                <w:tcPr>
                  <w:tcW w:w="797" w:type="dxa"/>
                  <w:tcBorders>
                    <w:top w:val="single" w:sz="4" w:space="0" w:color="auto"/>
                    <w:left w:val="single" w:sz="4" w:space="0" w:color="auto"/>
                    <w:bottom w:val="single" w:sz="4" w:space="0" w:color="auto"/>
                    <w:right w:val="single" w:sz="4" w:space="0" w:color="auto"/>
                  </w:tcBorders>
                  <w:vAlign w:val="center"/>
                  <w:hideMark/>
                </w:tcPr>
                <w:p w14:paraId="76F5E551"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10.00%</w:t>
                  </w:r>
                </w:p>
              </w:tc>
            </w:tr>
            <w:tr w:rsidR="007968EC" w:rsidRPr="00207D41" w14:paraId="087B9052" w14:textId="77777777" w:rsidTr="007968EC">
              <w:trPr>
                <w:jc w:val="center"/>
              </w:trPr>
              <w:tc>
                <w:tcPr>
                  <w:tcW w:w="878" w:type="dxa"/>
                  <w:tcBorders>
                    <w:top w:val="single" w:sz="4" w:space="0" w:color="auto"/>
                    <w:left w:val="single" w:sz="4" w:space="0" w:color="auto"/>
                    <w:bottom w:val="single" w:sz="4" w:space="0" w:color="auto"/>
                    <w:right w:val="single" w:sz="4" w:space="0" w:color="auto"/>
                  </w:tcBorders>
                  <w:vAlign w:val="center"/>
                  <w:hideMark/>
                </w:tcPr>
                <w:p w14:paraId="7BA00A8A"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2001</w:t>
                  </w:r>
                </w:p>
              </w:tc>
              <w:tc>
                <w:tcPr>
                  <w:tcW w:w="699" w:type="dxa"/>
                  <w:tcBorders>
                    <w:top w:val="single" w:sz="4" w:space="0" w:color="auto"/>
                    <w:left w:val="single" w:sz="4" w:space="0" w:color="auto"/>
                    <w:bottom w:val="single" w:sz="4" w:space="0" w:color="auto"/>
                    <w:right w:val="single" w:sz="4" w:space="0" w:color="auto"/>
                  </w:tcBorders>
                  <w:vAlign w:val="center"/>
                  <w:hideMark/>
                </w:tcPr>
                <w:p w14:paraId="45C14013"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5000</w:t>
                  </w:r>
                </w:p>
              </w:tc>
              <w:tc>
                <w:tcPr>
                  <w:tcW w:w="719" w:type="dxa"/>
                  <w:tcBorders>
                    <w:top w:val="single" w:sz="4" w:space="0" w:color="auto"/>
                    <w:left w:val="single" w:sz="4" w:space="0" w:color="auto"/>
                    <w:bottom w:val="single" w:sz="4" w:space="0" w:color="auto"/>
                    <w:right w:val="single" w:sz="4" w:space="0" w:color="auto"/>
                  </w:tcBorders>
                  <w:vAlign w:val="center"/>
                  <w:hideMark/>
                </w:tcPr>
                <w:p w14:paraId="21C40121"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20.00%</w:t>
                  </w:r>
                </w:p>
              </w:tc>
              <w:tc>
                <w:tcPr>
                  <w:tcW w:w="762" w:type="dxa"/>
                  <w:tcBorders>
                    <w:top w:val="single" w:sz="4" w:space="0" w:color="auto"/>
                    <w:left w:val="single" w:sz="4" w:space="0" w:color="auto"/>
                    <w:bottom w:val="single" w:sz="4" w:space="0" w:color="auto"/>
                    <w:right w:val="single" w:sz="4" w:space="0" w:color="auto"/>
                  </w:tcBorders>
                  <w:vAlign w:val="center"/>
                  <w:hideMark/>
                </w:tcPr>
                <w:p w14:paraId="776C1BDD"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15.00%</w:t>
                  </w:r>
                </w:p>
              </w:tc>
              <w:tc>
                <w:tcPr>
                  <w:tcW w:w="797" w:type="dxa"/>
                  <w:tcBorders>
                    <w:top w:val="single" w:sz="4" w:space="0" w:color="auto"/>
                    <w:left w:val="single" w:sz="4" w:space="0" w:color="auto"/>
                    <w:bottom w:val="single" w:sz="4" w:space="0" w:color="auto"/>
                    <w:right w:val="single" w:sz="4" w:space="0" w:color="auto"/>
                  </w:tcBorders>
                  <w:hideMark/>
                </w:tcPr>
                <w:p w14:paraId="0975D511"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10.00%</w:t>
                  </w:r>
                </w:p>
              </w:tc>
            </w:tr>
            <w:tr w:rsidR="007968EC" w:rsidRPr="00207D41" w14:paraId="0A119AAB" w14:textId="77777777" w:rsidTr="007968EC">
              <w:trPr>
                <w:jc w:val="center"/>
              </w:trPr>
              <w:tc>
                <w:tcPr>
                  <w:tcW w:w="878" w:type="dxa"/>
                  <w:tcBorders>
                    <w:top w:val="single" w:sz="4" w:space="0" w:color="auto"/>
                    <w:left w:val="single" w:sz="4" w:space="0" w:color="auto"/>
                    <w:bottom w:val="single" w:sz="4" w:space="0" w:color="auto"/>
                    <w:right w:val="single" w:sz="4" w:space="0" w:color="auto"/>
                  </w:tcBorders>
                  <w:vAlign w:val="center"/>
                  <w:hideMark/>
                </w:tcPr>
                <w:p w14:paraId="075C5489"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5001</w:t>
                  </w:r>
                </w:p>
              </w:tc>
              <w:tc>
                <w:tcPr>
                  <w:tcW w:w="699" w:type="dxa"/>
                  <w:tcBorders>
                    <w:top w:val="single" w:sz="4" w:space="0" w:color="auto"/>
                    <w:left w:val="single" w:sz="4" w:space="0" w:color="auto"/>
                    <w:bottom w:val="single" w:sz="4" w:space="0" w:color="auto"/>
                    <w:right w:val="single" w:sz="4" w:space="0" w:color="auto"/>
                  </w:tcBorders>
                  <w:vAlign w:val="center"/>
                  <w:hideMark/>
                </w:tcPr>
                <w:p w14:paraId="7C23CED4"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10000</w:t>
                  </w:r>
                </w:p>
              </w:tc>
              <w:tc>
                <w:tcPr>
                  <w:tcW w:w="719" w:type="dxa"/>
                  <w:tcBorders>
                    <w:top w:val="single" w:sz="4" w:space="0" w:color="auto"/>
                    <w:left w:val="single" w:sz="4" w:space="0" w:color="auto"/>
                    <w:bottom w:val="single" w:sz="4" w:space="0" w:color="auto"/>
                    <w:right w:val="single" w:sz="4" w:space="0" w:color="auto"/>
                  </w:tcBorders>
                  <w:vAlign w:val="center"/>
                  <w:hideMark/>
                </w:tcPr>
                <w:p w14:paraId="04C28AAA"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25.00%</w:t>
                  </w:r>
                </w:p>
              </w:tc>
              <w:tc>
                <w:tcPr>
                  <w:tcW w:w="762" w:type="dxa"/>
                  <w:tcBorders>
                    <w:top w:val="single" w:sz="4" w:space="0" w:color="auto"/>
                    <w:left w:val="single" w:sz="4" w:space="0" w:color="auto"/>
                    <w:bottom w:val="single" w:sz="4" w:space="0" w:color="auto"/>
                    <w:right w:val="single" w:sz="4" w:space="0" w:color="auto"/>
                  </w:tcBorders>
                  <w:vAlign w:val="center"/>
                  <w:hideMark/>
                </w:tcPr>
                <w:p w14:paraId="364E41BF"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17.00%</w:t>
                  </w:r>
                </w:p>
              </w:tc>
              <w:tc>
                <w:tcPr>
                  <w:tcW w:w="797" w:type="dxa"/>
                  <w:tcBorders>
                    <w:top w:val="single" w:sz="4" w:space="0" w:color="auto"/>
                    <w:left w:val="single" w:sz="4" w:space="0" w:color="auto"/>
                    <w:bottom w:val="single" w:sz="4" w:space="0" w:color="auto"/>
                    <w:right w:val="single" w:sz="4" w:space="0" w:color="auto"/>
                  </w:tcBorders>
                  <w:hideMark/>
                </w:tcPr>
                <w:p w14:paraId="733D19BF"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10.00%</w:t>
                  </w:r>
                </w:p>
              </w:tc>
            </w:tr>
            <w:tr w:rsidR="007968EC" w:rsidRPr="00207D41" w14:paraId="0D5C525A" w14:textId="77777777" w:rsidTr="007968EC">
              <w:trPr>
                <w:jc w:val="center"/>
              </w:trPr>
              <w:tc>
                <w:tcPr>
                  <w:tcW w:w="878" w:type="dxa"/>
                  <w:tcBorders>
                    <w:top w:val="single" w:sz="4" w:space="0" w:color="auto"/>
                    <w:left w:val="single" w:sz="4" w:space="0" w:color="auto"/>
                    <w:bottom w:val="single" w:sz="4" w:space="0" w:color="auto"/>
                    <w:right w:val="single" w:sz="4" w:space="0" w:color="auto"/>
                  </w:tcBorders>
                  <w:vAlign w:val="center"/>
                  <w:hideMark/>
                </w:tcPr>
                <w:p w14:paraId="60674359"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10001</w:t>
                  </w:r>
                </w:p>
              </w:tc>
              <w:tc>
                <w:tcPr>
                  <w:tcW w:w="699" w:type="dxa"/>
                  <w:tcBorders>
                    <w:top w:val="single" w:sz="4" w:space="0" w:color="auto"/>
                    <w:left w:val="single" w:sz="4" w:space="0" w:color="auto"/>
                    <w:bottom w:val="single" w:sz="4" w:space="0" w:color="auto"/>
                    <w:right w:val="single" w:sz="4" w:space="0" w:color="auto"/>
                  </w:tcBorders>
                  <w:vAlign w:val="center"/>
                  <w:hideMark/>
                </w:tcPr>
                <w:p w14:paraId="748F9421"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15000</w:t>
                  </w:r>
                </w:p>
              </w:tc>
              <w:tc>
                <w:tcPr>
                  <w:tcW w:w="719" w:type="dxa"/>
                  <w:tcBorders>
                    <w:top w:val="single" w:sz="4" w:space="0" w:color="auto"/>
                    <w:left w:val="single" w:sz="4" w:space="0" w:color="auto"/>
                    <w:bottom w:val="single" w:sz="4" w:space="0" w:color="auto"/>
                    <w:right w:val="single" w:sz="4" w:space="0" w:color="auto"/>
                  </w:tcBorders>
                  <w:vAlign w:val="center"/>
                  <w:hideMark/>
                </w:tcPr>
                <w:p w14:paraId="4332BE48"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30.00%</w:t>
                  </w:r>
                </w:p>
              </w:tc>
              <w:tc>
                <w:tcPr>
                  <w:tcW w:w="762" w:type="dxa"/>
                  <w:tcBorders>
                    <w:top w:val="single" w:sz="4" w:space="0" w:color="auto"/>
                    <w:left w:val="single" w:sz="4" w:space="0" w:color="auto"/>
                    <w:bottom w:val="single" w:sz="4" w:space="0" w:color="auto"/>
                    <w:right w:val="single" w:sz="4" w:space="0" w:color="auto"/>
                  </w:tcBorders>
                  <w:vAlign w:val="center"/>
                  <w:hideMark/>
                </w:tcPr>
                <w:p w14:paraId="0CBAB995"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20.00%</w:t>
                  </w:r>
                </w:p>
              </w:tc>
              <w:tc>
                <w:tcPr>
                  <w:tcW w:w="797" w:type="dxa"/>
                  <w:tcBorders>
                    <w:top w:val="single" w:sz="4" w:space="0" w:color="auto"/>
                    <w:left w:val="single" w:sz="4" w:space="0" w:color="auto"/>
                    <w:bottom w:val="single" w:sz="4" w:space="0" w:color="auto"/>
                    <w:right w:val="single" w:sz="4" w:space="0" w:color="auto"/>
                  </w:tcBorders>
                  <w:hideMark/>
                </w:tcPr>
                <w:p w14:paraId="726E5268"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10.00%</w:t>
                  </w:r>
                </w:p>
              </w:tc>
            </w:tr>
            <w:tr w:rsidR="007968EC" w:rsidRPr="00207D41" w14:paraId="7D66CEA6" w14:textId="77777777" w:rsidTr="007968EC">
              <w:trPr>
                <w:jc w:val="center"/>
              </w:trPr>
              <w:tc>
                <w:tcPr>
                  <w:tcW w:w="878" w:type="dxa"/>
                  <w:tcBorders>
                    <w:top w:val="single" w:sz="4" w:space="0" w:color="auto"/>
                    <w:left w:val="single" w:sz="4" w:space="0" w:color="auto"/>
                    <w:bottom w:val="single" w:sz="4" w:space="0" w:color="auto"/>
                    <w:right w:val="single" w:sz="4" w:space="0" w:color="auto"/>
                  </w:tcBorders>
                  <w:vAlign w:val="center"/>
                  <w:hideMark/>
                </w:tcPr>
                <w:p w14:paraId="29CFEFD5"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15001</w:t>
                  </w:r>
                </w:p>
              </w:tc>
              <w:tc>
                <w:tcPr>
                  <w:tcW w:w="699" w:type="dxa"/>
                  <w:tcBorders>
                    <w:top w:val="single" w:sz="4" w:space="0" w:color="auto"/>
                    <w:left w:val="single" w:sz="4" w:space="0" w:color="auto"/>
                    <w:bottom w:val="single" w:sz="4" w:space="0" w:color="auto"/>
                    <w:right w:val="single" w:sz="4" w:space="0" w:color="auto"/>
                  </w:tcBorders>
                  <w:vAlign w:val="center"/>
                </w:tcPr>
                <w:p w14:paraId="29308D81"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&lt;</w:t>
                  </w:r>
                </w:p>
              </w:tc>
              <w:tc>
                <w:tcPr>
                  <w:tcW w:w="719" w:type="dxa"/>
                  <w:tcBorders>
                    <w:top w:val="single" w:sz="4" w:space="0" w:color="auto"/>
                    <w:left w:val="single" w:sz="4" w:space="0" w:color="auto"/>
                    <w:bottom w:val="single" w:sz="4" w:space="0" w:color="auto"/>
                    <w:right w:val="single" w:sz="4" w:space="0" w:color="auto"/>
                  </w:tcBorders>
                  <w:vAlign w:val="center"/>
                  <w:hideMark/>
                </w:tcPr>
                <w:p w14:paraId="46B16082"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35.00%</w:t>
                  </w:r>
                </w:p>
              </w:tc>
              <w:tc>
                <w:tcPr>
                  <w:tcW w:w="762" w:type="dxa"/>
                  <w:tcBorders>
                    <w:top w:val="single" w:sz="4" w:space="0" w:color="auto"/>
                    <w:left w:val="single" w:sz="4" w:space="0" w:color="auto"/>
                    <w:bottom w:val="single" w:sz="4" w:space="0" w:color="auto"/>
                    <w:right w:val="single" w:sz="4" w:space="0" w:color="auto"/>
                  </w:tcBorders>
                  <w:vAlign w:val="center"/>
                  <w:hideMark/>
                </w:tcPr>
                <w:p w14:paraId="1DD0427B"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22.50%</w:t>
                  </w:r>
                </w:p>
              </w:tc>
              <w:tc>
                <w:tcPr>
                  <w:tcW w:w="797" w:type="dxa"/>
                  <w:tcBorders>
                    <w:top w:val="single" w:sz="4" w:space="0" w:color="auto"/>
                    <w:left w:val="single" w:sz="4" w:space="0" w:color="auto"/>
                    <w:bottom w:val="single" w:sz="4" w:space="0" w:color="auto"/>
                    <w:right w:val="single" w:sz="4" w:space="0" w:color="auto"/>
                  </w:tcBorders>
                  <w:hideMark/>
                </w:tcPr>
                <w:p w14:paraId="599327B2"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10.00%</w:t>
                  </w:r>
                </w:p>
              </w:tc>
            </w:tr>
          </w:tbl>
          <w:p w14:paraId="6C12A13A" w14:textId="77777777" w:rsidR="007968EC" w:rsidRPr="00207D41" w:rsidRDefault="007968EC" w:rsidP="007968EC">
            <w:pPr>
              <w:autoSpaceDE w:val="0"/>
              <w:autoSpaceDN w:val="0"/>
              <w:jc w:val="both"/>
              <w:rPr>
                <w:rFonts w:ascii="Arial Narrow" w:hAnsi="Arial Narrow" w:cs="Arial"/>
                <w:lang w:eastAsia="es-ES"/>
              </w:rPr>
            </w:pPr>
          </w:p>
          <w:p w14:paraId="21C00FB4" w14:textId="77777777" w:rsidR="007968EC" w:rsidRPr="00207D41" w:rsidRDefault="007968EC" w:rsidP="007968EC">
            <w:pPr>
              <w:autoSpaceDE w:val="0"/>
              <w:autoSpaceDN w:val="0"/>
              <w:jc w:val="both"/>
              <w:rPr>
                <w:rFonts w:ascii="Arial Narrow" w:eastAsia="Calibri" w:hAnsi="Arial Narrow" w:cs="Arial"/>
                <w:lang w:eastAsia="es-ES"/>
              </w:rPr>
            </w:pPr>
            <w:r w:rsidRPr="00207D41">
              <w:rPr>
                <w:rFonts w:ascii="Arial Narrow" w:eastAsia="Calibri" w:hAnsi="Arial Narrow" w:cs="Arial"/>
                <w:lang w:eastAsia="es-ES"/>
              </w:rPr>
              <w:t>La BVC S.A. certificará mensualmente a la CRCC S.A. que los Miembros de ésta, participantes del Programa de Creadores de Mercado del Futuro de Índice Accionario COLCAP: i) Cumplan con las obligaciones establecidas en el programa y ii) el puesto que ocupó cada Miembro participante en el Ranking del programa. Una vez recibida esta certificación, la Cámara tendrá un plazo de hasta tres (3) días hábiles para aplicar este descuento.</w:t>
            </w:r>
          </w:p>
          <w:p w14:paraId="602739F1" w14:textId="77777777" w:rsidR="007968EC" w:rsidRPr="00207D41" w:rsidRDefault="007968EC" w:rsidP="007968EC">
            <w:pPr>
              <w:autoSpaceDE w:val="0"/>
              <w:autoSpaceDN w:val="0"/>
              <w:jc w:val="both"/>
              <w:rPr>
                <w:rFonts w:ascii="Arial Narrow" w:hAnsi="Arial Narrow" w:cs="Arial"/>
                <w:lang w:eastAsia="es-ES"/>
              </w:rPr>
            </w:pPr>
          </w:p>
          <w:p w14:paraId="5BE6AC50" w14:textId="77777777" w:rsidR="007968EC" w:rsidRPr="00207D41" w:rsidRDefault="007968EC" w:rsidP="007968EC">
            <w:pPr>
              <w:autoSpaceDE w:val="0"/>
              <w:autoSpaceDN w:val="0"/>
              <w:jc w:val="both"/>
              <w:rPr>
                <w:rFonts w:ascii="Arial Narrow" w:eastAsia="Calibri" w:hAnsi="Arial Narrow" w:cs="Arial"/>
                <w:lang w:eastAsia="es-ES"/>
              </w:rPr>
            </w:pPr>
            <w:r w:rsidRPr="00207D41">
              <w:rPr>
                <w:rFonts w:ascii="Arial Narrow" w:eastAsia="Calibri" w:hAnsi="Arial Narrow" w:cs="Arial"/>
                <w:lang w:eastAsia="es-ES"/>
              </w:rPr>
              <w:t>Mini Contrato de Futuro Índice Accionario COLCAP: Se cobrará un importe durante el mes calendario vigente el cual resulta de multiplicar: a) El tamaño del</w:t>
            </w:r>
            <w:r w:rsidRPr="00207D41">
              <w:rPr>
                <w:rFonts w:ascii="Arial Narrow" w:hAnsi="Arial Narrow" w:cs="Arial"/>
                <w:lang w:eastAsia="es-ES"/>
              </w:rPr>
              <w:t xml:space="preserve"> Contrato por b) el valor de cierre del último día de negociación del mes inmediatamente anterior del Índice COLCAP publicado por la BVC por c) </w:t>
            </w:r>
            <w:r w:rsidRPr="00207D41">
              <w:rPr>
                <w:rFonts w:ascii="Arial Narrow" w:eastAsia="Calibri" w:hAnsi="Arial Narrow" w:cs="Arial"/>
                <w:lang w:eastAsia="es-ES"/>
              </w:rPr>
              <w:t>0.010%.</w:t>
            </w:r>
          </w:p>
          <w:p w14:paraId="3B6D6A21" w14:textId="77777777" w:rsidR="007968EC" w:rsidRPr="00207D41" w:rsidRDefault="007968EC" w:rsidP="007968EC">
            <w:pPr>
              <w:autoSpaceDE w:val="0"/>
              <w:autoSpaceDN w:val="0"/>
              <w:jc w:val="both"/>
              <w:rPr>
                <w:rFonts w:ascii="Arial Narrow" w:eastAsia="Calibri" w:hAnsi="Arial Narrow" w:cs="Arial"/>
                <w:lang w:eastAsia="es-ES"/>
              </w:rPr>
            </w:pPr>
          </w:p>
          <w:p w14:paraId="6F8D517F" w14:textId="77777777" w:rsidR="007968EC" w:rsidRPr="00207D41" w:rsidRDefault="007968EC" w:rsidP="007968EC">
            <w:pPr>
              <w:autoSpaceDE w:val="0"/>
              <w:autoSpaceDN w:val="0"/>
              <w:jc w:val="both"/>
              <w:rPr>
                <w:rFonts w:ascii="Arial Narrow" w:eastAsia="Calibri" w:hAnsi="Arial Narrow" w:cs="Arial"/>
                <w:lang w:eastAsia="es-ES"/>
              </w:rPr>
            </w:pPr>
            <w:r w:rsidRPr="00207D41">
              <w:rPr>
                <w:rFonts w:ascii="Arial Narrow" w:eastAsia="Calibri" w:hAnsi="Arial Narrow" w:cs="Arial"/>
                <w:lang w:eastAsia="es-ES"/>
              </w:rPr>
              <w:t xml:space="preserve">Para los Miembros que participen en el Esquema de Creadores de Mercado de los </w:t>
            </w:r>
            <w:r w:rsidRPr="00207D41">
              <w:rPr>
                <w:rFonts w:ascii="Arial Narrow" w:eastAsia="Calibri" w:hAnsi="Arial Narrow" w:cs="Arial"/>
                <w:lang w:eastAsia="es-ES"/>
              </w:rPr>
              <w:lastRenderedPageBreak/>
              <w:t xml:space="preserve">Mini Contratos de Futuros Índice Accionario COLCAP de la BVC S.A., la CRCC S.A. otorgará un descuento sobre el importe variable de los Mini Contratos de Futuros Índice Accionario COLCAP y de los Futuros cuyo activo subyacente sean acciones que hayan sido negociados por el Miembro en la BVC S.A. y compensados y liquidados por la CRCC S.A. La aplicación de este descuento depende de: i) El cumplimiento del Miembro de las obligaciones establecidas en el Programa de Creadores de Mercado de los Mini Contratos de Futuros Índice Accionario COLCAP de la BVC S.A., ii) el puesto ocupado por el Miembro en el Ranking del Programa de Creadores de Mercado de los Mini Contratos de Futuros Índice Accionario COLCAP y iii) del Número de Contratos de los Mini Contratos de Futuros Índice Accionario COLCAP que hayan sido negociados por el Miembro en la BVC S.A. y compensados y liquidados por la CRCC S.A. en el mes inmediatamente anterior, de conformidad con la siguiente tabla: </w:t>
            </w:r>
          </w:p>
          <w:p w14:paraId="1B7C695A" w14:textId="77777777" w:rsidR="007968EC" w:rsidRPr="00207D41" w:rsidRDefault="007968EC" w:rsidP="007968EC">
            <w:pPr>
              <w:autoSpaceDE w:val="0"/>
              <w:autoSpaceDN w:val="0"/>
              <w:jc w:val="both"/>
              <w:rPr>
                <w:rFonts w:ascii="Arial Narrow" w:hAnsi="Arial Narrow" w:cs="Arial"/>
                <w:lang w:eastAsia="es-ES"/>
              </w:rPr>
            </w:pPr>
          </w:p>
          <w:tbl>
            <w:tblPr>
              <w:tblW w:w="3906" w:type="dxa"/>
              <w:jc w:val="center"/>
              <w:tblLayout w:type="fixed"/>
              <w:tblLook w:val="04A0" w:firstRow="1" w:lastRow="0" w:firstColumn="1" w:lastColumn="0" w:noHBand="0" w:noVBand="1"/>
            </w:tblPr>
            <w:tblGrid>
              <w:gridCol w:w="878"/>
              <w:gridCol w:w="775"/>
              <w:gridCol w:w="643"/>
              <w:gridCol w:w="762"/>
              <w:gridCol w:w="848"/>
            </w:tblGrid>
            <w:tr w:rsidR="007968EC" w:rsidRPr="00207D41" w14:paraId="549980E3" w14:textId="77777777" w:rsidTr="007968EC">
              <w:trPr>
                <w:jc w:val="center"/>
              </w:trPr>
              <w:tc>
                <w:tcPr>
                  <w:tcW w:w="165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E2710C" w14:textId="77777777" w:rsidR="007968EC" w:rsidRPr="00207D41" w:rsidRDefault="007968EC" w:rsidP="007968EC">
                  <w:pPr>
                    <w:autoSpaceDE w:val="0"/>
                    <w:autoSpaceDN w:val="0"/>
                    <w:jc w:val="both"/>
                    <w:rPr>
                      <w:rFonts w:ascii="Arial Narrow" w:hAnsi="Arial Narrow" w:cs="Arial"/>
                      <w:b/>
                      <w:color w:val="000000"/>
                    </w:rPr>
                  </w:pPr>
                  <w:r w:rsidRPr="00207D41">
                    <w:rPr>
                      <w:rFonts w:ascii="Arial Narrow" w:eastAsia="Calibri" w:hAnsi="Arial Narrow" w:cs="Arial"/>
                      <w:b/>
                      <w:bCs/>
                      <w:lang w:eastAsia="es-ES"/>
                    </w:rPr>
                    <w:t>Mini Contrato de Futuro Índice Accionario COLCAP</w:t>
                  </w:r>
                  <w:r w:rsidRPr="00207D41">
                    <w:rPr>
                      <w:rFonts w:ascii="Arial Narrow" w:eastAsia="Calibri" w:hAnsi="Arial Narrow" w:cs="Arial"/>
                      <w:b/>
                      <w:color w:val="000000"/>
                    </w:rPr>
                    <w:t xml:space="preserve"> negociados por el Miembro en el mes inmediatamente anterior</w:t>
                  </w:r>
                </w:p>
              </w:tc>
              <w:tc>
                <w:tcPr>
                  <w:tcW w:w="64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179A8D" w14:textId="77777777" w:rsidR="007968EC" w:rsidRPr="00207D41" w:rsidRDefault="007968EC" w:rsidP="007968EC">
                  <w:pPr>
                    <w:autoSpaceDE w:val="0"/>
                    <w:autoSpaceDN w:val="0"/>
                    <w:rPr>
                      <w:rFonts w:ascii="Arial Narrow" w:eastAsia="Calibri" w:hAnsi="Arial Narrow" w:cs="Arial"/>
                      <w:b/>
                      <w:color w:val="000000"/>
                    </w:rPr>
                  </w:pPr>
                  <w:r w:rsidRPr="00207D41">
                    <w:rPr>
                      <w:rFonts w:ascii="Arial Narrow" w:eastAsia="Calibri" w:hAnsi="Arial Narrow" w:cs="Arial"/>
                      <w:b/>
                      <w:color w:val="000000"/>
                    </w:rPr>
                    <w:t xml:space="preserve">Descuento 1er Lugar </w:t>
                  </w:r>
                </w:p>
              </w:tc>
              <w:tc>
                <w:tcPr>
                  <w:tcW w:w="76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90C7BF" w14:textId="77777777" w:rsidR="007968EC" w:rsidRPr="00207D41" w:rsidRDefault="007968EC" w:rsidP="007968EC">
                  <w:pPr>
                    <w:autoSpaceDE w:val="0"/>
                    <w:autoSpaceDN w:val="0"/>
                    <w:rPr>
                      <w:rFonts w:ascii="Arial Narrow" w:eastAsia="Calibri" w:hAnsi="Arial Narrow" w:cs="Arial"/>
                      <w:b/>
                      <w:color w:val="000000"/>
                    </w:rPr>
                  </w:pPr>
                  <w:r w:rsidRPr="00207D41">
                    <w:rPr>
                      <w:rFonts w:ascii="Arial Narrow" w:eastAsia="Calibri" w:hAnsi="Arial Narrow" w:cs="Arial"/>
                      <w:b/>
                      <w:color w:val="000000"/>
                    </w:rPr>
                    <w:t>Descuento 2do Lugar</w:t>
                  </w:r>
                </w:p>
              </w:tc>
              <w:tc>
                <w:tcPr>
                  <w:tcW w:w="84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4BD0E5" w14:textId="77777777" w:rsidR="007968EC" w:rsidRPr="00207D41" w:rsidRDefault="007968EC" w:rsidP="007968EC">
                  <w:pPr>
                    <w:autoSpaceDE w:val="0"/>
                    <w:autoSpaceDN w:val="0"/>
                    <w:rPr>
                      <w:rFonts w:ascii="Arial Narrow" w:eastAsia="Calibri" w:hAnsi="Arial Narrow" w:cs="Arial"/>
                      <w:b/>
                      <w:color w:val="000000"/>
                    </w:rPr>
                  </w:pPr>
                  <w:r w:rsidRPr="00207D41">
                    <w:rPr>
                      <w:rFonts w:ascii="Arial Narrow" w:eastAsia="Calibri" w:hAnsi="Arial Narrow" w:cs="Arial"/>
                      <w:b/>
                      <w:color w:val="000000"/>
                    </w:rPr>
                    <w:t>Descuento 3er Lugar</w:t>
                  </w:r>
                </w:p>
              </w:tc>
            </w:tr>
            <w:tr w:rsidR="007968EC" w:rsidRPr="00207D41" w14:paraId="412F0BA0" w14:textId="77777777" w:rsidTr="007968EC">
              <w:trPr>
                <w:jc w:val="center"/>
              </w:trPr>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F257F0" w14:textId="77777777" w:rsidR="007968EC" w:rsidRPr="00207D41" w:rsidRDefault="007968EC" w:rsidP="007968EC">
                  <w:pPr>
                    <w:autoSpaceDE w:val="0"/>
                    <w:autoSpaceDN w:val="0"/>
                    <w:jc w:val="both"/>
                    <w:rPr>
                      <w:rFonts w:ascii="Arial Narrow" w:eastAsia="Calibri" w:hAnsi="Arial Narrow" w:cs="Arial"/>
                      <w:b/>
                      <w:color w:val="000000"/>
                    </w:rPr>
                  </w:pPr>
                  <w:r w:rsidRPr="00207D41">
                    <w:rPr>
                      <w:rFonts w:ascii="Arial Narrow" w:eastAsia="Calibri" w:hAnsi="Arial Narrow" w:cs="Arial"/>
                      <w:b/>
                      <w:color w:val="000000"/>
                    </w:rPr>
                    <w:t>Desde</w:t>
                  </w:r>
                </w:p>
              </w:tc>
              <w:tc>
                <w:tcPr>
                  <w:tcW w:w="7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245E77" w14:textId="77777777" w:rsidR="007968EC" w:rsidRPr="00207D41" w:rsidRDefault="007968EC" w:rsidP="007968EC">
                  <w:pPr>
                    <w:autoSpaceDE w:val="0"/>
                    <w:autoSpaceDN w:val="0"/>
                    <w:jc w:val="both"/>
                    <w:rPr>
                      <w:rFonts w:ascii="Arial Narrow" w:eastAsia="Calibri" w:hAnsi="Arial Narrow" w:cs="Arial"/>
                      <w:b/>
                      <w:color w:val="000000"/>
                    </w:rPr>
                  </w:pPr>
                  <w:r w:rsidRPr="00207D41">
                    <w:rPr>
                      <w:rFonts w:ascii="Arial Narrow" w:eastAsia="Calibri" w:hAnsi="Arial Narrow" w:cs="Arial"/>
                      <w:b/>
                      <w:color w:val="000000"/>
                    </w:rPr>
                    <w:t>Hasta</w:t>
                  </w:r>
                </w:p>
              </w:tc>
              <w:tc>
                <w:tcPr>
                  <w:tcW w:w="64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48D1A0" w14:textId="77777777" w:rsidR="007968EC" w:rsidRPr="00207D41" w:rsidRDefault="007968EC" w:rsidP="007968EC">
                  <w:pPr>
                    <w:rPr>
                      <w:rFonts w:ascii="Arial Narrow" w:hAnsi="Arial Narrow" w:cs="Arial"/>
                      <w:b/>
                      <w:color w:val="000000"/>
                    </w:rPr>
                  </w:pPr>
                </w:p>
              </w:tc>
              <w:tc>
                <w:tcPr>
                  <w:tcW w:w="76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EAB2A" w14:textId="77777777" w:rsidR="007968EC" w:rsidRPr="00207D41" w:rsidRDefault="007968EC" w:rsidP="007968EC">
                  <w:pPr>
                    <w:rPr>
                      <w:rFonts w:ascii="Arial Narrow" w:hAnsi="Arial Narrow" w:cs="Arial"/>
                      <w:b/>
                      <w:color w:val="000000"/>
                    </w:rPr>
                  </w:pPr>
                </w:p>
              </w:tc>
              <w:tc>
                <w:tcPr>
                  <w:tcW w:w="84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191B09" w14:textId="77777777" w:rsidR="007968EC" w:rsidRPr="00207D41" w:rsidRDefault="007968EC" w:rsidP="007968EC">
                  <w:pPr>
                    <w:rPr>
                      <w:rFonts w:ascii="Arial Narrow" w:hAnsi="Arial Narrow" w:cs="Arial"/>
                      <w:b/>
                      <w:color w:val="000000"/>
                    </w:rPr>
                  </w:pPr>
                </w:p>
              </w:tc>
            </w:tr>
            <w:tr w:rsidR="007968EC" w:rsidRPr="00207D41" w14:paraId="78192D39" w14:textId="77777777" w:rsidTr="007968EC">
              <w:trPr>
                <w:jc w:val="center"/>
              </w:trPr>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DDD8E2"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1</w:t>
                  </w:r>
                </w:p>
              </w:tc>
              <w:tc>
                <w:tcPr>
                  <w:tcW w:w="7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D63530"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2000</w:t>
                  </w:r>
                </w:p>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C3392B"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15.00%</w:t>
                  </w:r>
                </w:p>
              </w:tc>
              <w:tc>
                <w:tcPr>
                  <w:tcW w:w="7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751271"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12.50%</w:t>
                  </w:r>
                </w:p>
              </w:tc>
              <w:tc>
                <w:tcPr>
                  <w:tcW w:w="8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516194"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10.00%</w:t>
                  </w:r>
                </w:p>
              </w:tc>
            </w:tr>
            <w:tr w:rsidR="007968EC" w:rsidRPr="00207D41" w14:paraId="25D37A22" w14:textId="77777777" w:rsidTr="007968EC">
              <w:trPr>
                <w:jc w:val="center"/>
              </w:trPr>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E8E854"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2001</w:t>
                  </w:r>
                </w:p>
              </w:tc>
              <w:tc>
                <w:tcPr>
                  <w:tcW w:w="7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25CBD7"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5000</w:t>
                  </w:r>
                </w:p>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09AB2E"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20.00%</w:t>
                  </w:r>
                </w:p>
              </w:tc>
              <w:tc>
                <w:tcPr>
                  <w:tcW w:w="7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F8E6C5"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15.00%</w:t>
                  </w:r>
                </w:p>
              </w:tc>
              <w:tc>
                <w:tcPr>
                  <w:tcW w:w="8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B9CBFD"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10.00%</w:t>
                  </w:r>
                </w:p>
              </w:tc>
            </w:tr>
            <w:tr w:rsidR="007968EC" w:rsidRPr="00207D41" w14:paraId="496AE520" w14:textId="77777777" w:rsidTr="007968EC">
              <w:trPr>
                <w:jc w:val="center"/>
              </w:trPr>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01404B"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lastRenderedPageBreak/>
                    <w:t>5001</w:t>
                  </w:r>
                </w:p>
              </w:tc>
              <w:tc>
                <w:tcPr>
                  <w:tcW w:w="7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0C6432"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10000</w:t>
                  </w:r>
                </w:p>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6CC209"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25.00%</w:t>
                  </w:r>
                </w:p>
              </w:tc>
              <w:tc>
                <w:tcPr>
                  <w:tcW w:w="7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C8E16"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17.00%</w:t>
                  </w:r>
                </w:p>
              </w:tc>
              <w:tc>
                <w:tcPr>
                  <w:tcW w:w="8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C3D262"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10.00%</w:t>
                  </w:r>
                </w:p>
              </w:tc>
            </w:tr>
            <w:tr w:rsidR="007968EC" w:rsidRPr="00207D41" w14:paraId="7FE3A2BB" w14:textId="77777777" w:rsidTr="007968EC">
              <w:trPr>
                <w:jc w:val="center"/>
              </w:trPr>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E4C934"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10001</w:t>
                  </w:r>
                </w:p>
              </w:tc>
              <w:tc>
                <w:tcPr>
                  <w:tcW w:w="7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079BCA"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15000</w:t>
                  </w:r>
                </w:p>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F094A9"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30.00%</w:t>
                  </w:r>
                </w:p>
              </w:tc>
              <w:tc>
                <w:tcPr>
                  <w:tcW w:w="7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83F008"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20.00%</w:t>
                  </w:r>
                </w:p>
              </w:tc>
              <w:tc>
                <w:tcPr>
                  <w:tcW w:w="8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9C5E89"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10.00%</w:t>
                  </w:r>
                </w:p>
              </w:tc>
            </w:tr>
            <w:tr w:rsidR="007968EC" w:rsidRPr="00207D41" w14:paraId="25A4D8AC" w14:textId="77777777" w:rsidTr="007968EC">
              <w:trPr>
                <w:jc w:val="center"/>
              </w:trPr>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E6CE9A"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15001</w:t>
                  </w:r>
                </w:p>
              </w:tc>
              <w:tc>
                <w:tcPr>
                  <w:tcW w:w="7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90CEB9"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&lt;</w:t>
                  </w:r>
                </w:p>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5774CF"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35.00%</w:t>
                  </w:r>
                </w:p>
              </w:tc>
              <w:tc>
                <w:tcPr>
                  <w:tcW w:w="7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290EBA"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22.50%</w:t>
                  </w:r>
                </w:p>
              </w:tc>
              <w:tc>
                <w:tcPr>
                  <w:tcW w:w="8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26D422" w14:textId="77777777" w:rsidR="007968EC" w:rsidRPr="00207D41" w:rsidRDefault="007968EC" w:rsidP="007968EC">
                  <w:pPr>
                    <w:autoSpaceDE w:val="0"/>
                    <w:autoSpaceDN w:val="0"/>
                    <w:jc w:val="center"/>
                    <w:rPr>
                      <w:rFonts w:ascii="Arial Narrow" w:eastAsia="Calibri" w:hAnsi="Arial Narrow" w:cs="Arial"/>
                      <w:color w:val="000000"/>
                    </w:rPr>
                  </w:pPr>
                  <w:r w:rsidRPr="00207D41">
                    <w:rPr>
                      <w:rFonts w:ascii="Arial Narrow" w:eastAsia="Calibri" w:hAnsi="Arial Narrow" w:cs="Arial"/>
                      <w:color w:val="000000"/>
                    </w:rPr>
                    <w:t>10.00%</w:t>
                  </w:r>
                </w:p>
              </w:tc>
            </w:tr>
          </w:tbl>
          <w:p w14:paraId="4018FA6D" w14:textId="77777777" w:rsidR="007968EC" w:rsidRPr="00207D41" w:rsidRDefault="007968EC" w:rsidP="007968EC">
            <w:pPr>
              <w:autoSpaceDE w:val="0"/>
              <w:autoSpaceDN w:val="0"/>
              <w:jc w:val="both"/>
              <w:rPr>
                <w:rFonts w:ascii="Arial Narrow" w:hAnsi="Arial Narrow" w:cs="Arial"/>
                <w:lang w:eastAsia="es-ES"/>
              </w:rPr>
            </w:pPr>
          </w:p>
          <w:p w14:paraId="194C0D6E" w14:textId="77777777" w:rsidR="007968EC" w:rsidRPr="00207D41" w:rsidRDefault="007968EC" w:rsidP="007968EC">
            <w:pPr>
              <w:autoSpaceDE w:val="0"/>
              <w:autoSpaceDN w:val="0"/>
              <w:adjustRightInd w:val="0"/>
              <w:jc w:val="both"/>
              <w:rPr>
                <w:rFonts w:ascii="Arial Narrow" w:eastAsia="Calibri" w:hAnsi="Arial Narrow" w:cs="Arial"/>
                <w:lang w:eastAsia="es-ES"/>
              </w:rPr>
            </w:pPr>
            <w:r w:rsidRPr="00207D41">
              <w:rPr>
                <w:rFonts w:ascii="Arial Narrow" w:eastAsia="Calibri" w:hAnsi="Arial Narrow" w:cs="Arial"/>
                <w:lang w:eastAsia="es-ES"/>
              </w:rPr>
              <w:t>La BVC S.A. certificará mensualmente a la CRCC S.A. que los Miembros de ésta, participantes del Programa de Creadores de Mercado de los Mini Contratos de Futuros Índice Accionario COLCAP: i) Cumplan con las obligaciones establecidas en el programa y ii) el puesto que ocupó cada Miembro participante en el Ranking del programa. Una vez recibida esta certificación, la Cámara tendrá un plazo de hasta tres (3) días hábiles para aplicar este descuento.</w:t>
            </w:r>
          </w:p>
          <w:p w14:paraId="15ABE2AC" w14:textId="77777777" w:rsidR="007968EC" w:rsidRPr="00207D41" w:rsidRDefault="007968EC" w:rsidP="007968EC">
            <w:pPr>
              <w:autoSpaceDE w:val="0"/>
              <w:autoSpaceDN w:val="0"/>
              <w:jc w:val="both"/>
              <w:rPr>
                <w:rFonts w:ascii="Arial Narrow" w:hAnsi="Arial Narrow" w:cs="Arial"/>
                <w:lang w:eastAsia="es-ES"/>
              </w:rPr>
            </w:pPr>
          </w:p>
          <w:p w14:paraId="7E238C50" w14:textId="77777777" w:rsidR="007968EC" w:rsidRPr="00207D41" w:rsidRDefault="007968EC" w:rsidP="007968EC">
            <w:pPr>
              <w:autoSpaceDE w:val="0"/>
              <w:autoSpaceDN w:val="0"/>
              <w:jc w:val="both"/>
              <w:rPr>
                <w:rFonts w:ascii="Arial Narrow" w:hAnsi="Arial Narrow" w:cs="Arial"/>
                <w:lang w:eastAsia="es-ES"/>
              </w:rPr>
            </w:pPr>
          </w:p>
          <w:p w14:paraId="34CAE33B"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r w:rsidRPr="00207D41">
              <w:rPr>
                <w:rFonts w:ascii="Arial Narrow" w:eastAsia="Calibri" w:hAnsi="Arial Narrow" w:cs="Arial"/>
                <w:lang w:val="es-ES" w:eastAsia="es-ES"/>
              </w:rPr>
              <w:t>Contrato Futuro sobre Electricidad Mensual:</w:t>
            </w:r>
            <w:r w:rsidRPr="00207D41">
              <w:rPr>
                <w:rFonts w:ascii="Arial Narrow" w:eastAsia="Calibri" w:hAnsi="Arial Narrow" w:cs="Arial"/>
                <w:b/>
                <w:lang w:val="es-ES" w:eastAsia="es-ES"/>
              </w:rPr>
              <w:t xml:space="preserve"> </w:t>
            </w:r>
            <w:r w:rsidRPr="00207D41">
              <w:rPr>
                <w:rFonts w:ascii="Arial Narrow" w:eastAsia="Calibri" w:hAnsi="Arial Narrow" w:cs="Arial"/>
                <w:lang w:val="es-ES" w:eastAsia="es-ES"/>
              </w:rPr>
              <w:t>se cobrará un importe que se calcula teniendo en cuenta el valor promedio del contrato del mes calendario inmediatamente anterior y un valor fijo de $200 pesos por cada millón, de conformidad con la siguiente metodología:</w:t>
            </w:r>
          </w:p>
          <w:p w14:paraId="667C262C" w14:textId="77777777" w:rsidR="007968EC" w:rsidRPr="00207D41" w:rsidRDefault="007968EC" w:rsidP="007968EC">
            <w:pPr>
              <w:autoSpaceDE w:val="0"/>
              <w:autoSpaceDN w:val="0"/>
              <w:jc w:val="both"/>
              <w:rPr>
                <w:rFonts w:ascii="Arial Narrow" w:hAnsi="Arial Narrow" w:cs="Arial"/>
                <w:lang w:eastAsia="es-ES"/>
              </w:rPr>
            </w:pPr>
          </w:p>
          <w:p w14:paraId="43D15AB9" w14:textId="77777777" w:rsidR="007968EC" w:rsidRPr="00207D41" w:rsidRDefault="007968EC" w:rsidP="007968EC">
            <w:pPr>
              <w:autoSpaceDE w:val="0"/>
              <w:autoSpaceDN w:val="0"/>
              <w:jc w:val="both"/>
              <w:rPr>
                <w:rFonts w:ascii="Arial Narrow" w:hAnsi="Arial Narrow" w:cs="Arial"/>
                <w:lang w:eastAsia="es-ES"/>
              </w:rPr>
            </w:pPr>
            <w:r w:rsidRPr="00207D41">
              <w:rPr>
                <w:rFonts w:ascii="Arial Narrow" w:hAnsi="Arial Narrow" w:cs="Arial"/>
                <w:lang w:eastAsia="es-ES"/>
              </w:rPr>
              <w:t xml:space="preserve">Importe del cargo= </w:t>
            </w:r>
          </w:p>
          <w:p w14:paraId="519244E5" w14:textId="77777777" w:rsidR="007968EC" w:rsidRPr="00207D41" w:rsidRDefault="007968EC" w:rsidP="007968EC">
            <w:pPr>
              <w:autoSpaceDE w:val="0"/>
              <w:autoSpaceDN w:val="0"/>
              <w:jc w:val="both"/>
              <w:rPr>
                <w:rFonts w:ascii="Arial Narrow" w:hAnsi="Arial Narrow" w:cs="Arial"/>
                <w:lang w:eastAsia="es-ES"/>
              </w:rPr>
            </w:pPr>
            <w:r w:rsidRPr="00207D41">
              <w:rPr>
                <w:rFonts w:ascii="Arial Narrow" w:hAnsi="Arial Narrow" w:cs="Arial"/>
                <w:lang w:eastAsia="es-ES"/>
              </w:rPr>
              <w:t>(PPM(t-1)*Nominal*200)/(1.000.000)</w:t>
            </w:r>
          </w:p>
          <w:p w14:paraId="7369EF49" w14:textId="77777777" w:rsidR="007968EC" w:rsidRPr="00207D41" w:rsidRDefault="007968EC" w:rsidP="007968EC">
            <w:pPr>
              <w:autoSpaceDE w:val="0"/>
              <w:autoSpaceDN w:val="0"/>
              <w:adjustRightInd w:val="0"/>
              <w:jc w:val="both"/>
              <w:rPr>
                <w:rFonts w:ascii="Arial Narrow" w:hAnsi="Arial Narrow" w:cs="Arial"/>
                <w:b/>
                <w:lang w:val="es-ES" w:eastAsia="es-ES"/>
              </w:rPr>
            </w:pPr>
          </w:p>
          <w:p w14:paraId="420DCB84" w14:textId="77777777" w:rsidR="007968EC" w:rsidRPr="00207D41" w:rsidRDefault="007968EC" w:rsidP="007968EC">
            <w:pPr>
              <w:autoSpaceDE w:val="0"/>
              <w:autoSpaceDN w:val="0"/>
              <w:jc w:val="both"/>
              <w:rPr>
                <w:rFonts w:ascii="Arial Narrow" w:hAnsi="Arial Narrow" w:cs="Arial"/>
                <w:lang w:eastAsia="es-ES"/>
              </w:rPr>
            </w:pPr>
            <w:r w:rsidRPr="00207D41">
              <w:rPr>
                <w:rFonts w:ascii="Arial Narrow" w:hAnsi="Arial Narrow" w:cs="Arial"/>
                <w:lang w:eastAsia="es-ES"/>
              </w:rPr>
              <w:t xml:space="preserve">Donde: </w:t>
            </w:r>
          </w:p>
          <w:p w14:paraId="26455481" w14:textId="77777777" w:rsidR="007968EC" w:rsidRPr="00207D41" w:rsidRDefault="007968EC" w:rsidP="007968EC">
            <w:pPr>
              <w:autoSpaceDE w:val="0"/>
              <w:autoSpaceDN w:val="0"/>
              <w:jc w:val="both"/>
              <w:rPr>
                <w:rFonts w:ascii="Arial Narrow" w:hAnsi="Arial Narrow" w:cs="Arial"/>
                <w:lang w:eastAsia="es-ES"/>
              </w:rPr>
            </w:pPr>
            <w:r w:rsidRPr="00207D41">
              <w:rPr>
                <w:rFonts w:ascii="Arial Narrow" w:hAnsi="Arial Narrow" w:cs="Arial"/>
                <w:lang w:eastAsia="es-ES"/>
              </w:rPr>
              <w:t>PPM(t-1): Es el valor promedio del Activo Subyacente para todos los días del mes inmediatamente anterior.</w:t>
            </w:r>
          </w:p>
          <w:p w14:paraId="4CC7B2A0" w14:textId="77777777" w:rsidR="007968EC" w:rsidRPr="00207D41" w:rsidRDefault="007968EC" w:rsidP="007968EC">
            <w:pPr>
              <w:autoSpaceDE w:val="0"/>
              <w:autoSpaceDN w:val="0"/>
              <w:jc w:val="both"/>
              <w:rPr>
                <w:rFonts w:ascii="Arial Narrow" w:hAnsi="Arial Narrow" w:cs="Arial"/>
                <w:lang w:eastAsia="es-ES"/>
              </w:rPr>
            </w:pPr>
          </w:p>
          <w:p w14:paraId="241C9532" w14:textId="77777777" w:rsidR="007968EC" w:rsidRPr="00207D41" w:rsidRDefault="007968EC" w:rsidP="007968EC">
            <w:pPr>
              <w:autoSpaceDE w:val="0"/>
              <w:autoSpaceDN w:val="0"/>
              <w:jc w:val="both"/>
              <w:rPr>
                <w:rFonts w:ascii="Arial Narrow" w:hAnsi="Arial Narrow" w:cs="Arial"/>
                <w:lang w:eastAsia="es-ES"/>
              </w:rPr>
            </w:pPr>
            <w:r w:rsidRPr="00207D41">
              <w:rPr>
                <w:rFonts w:ascii="Arial Narrow" w:hAnsi="Arial Narrow" w:cs="Arial"/>
                <w:lang w:eastAsia="es-ES"/>
              </w:rPr>
              <w:t>Nominal: Es el tamaño del Contrato.</w:t>
            </w:r>
          </w:p>
          <w:p w14:paraId="7794564F" w14:textId="77777777" w:rsidR="007968EC" w:rsidRPr="00207D41" w:rsidRDefault="007968EC" w:rsidP="007968EC">
            <w:pPr>
              <w:autoSpaceDE w:val="0"/>
              <w:autoSpaceDN w:val="0"/>
              <w:jc w:val="both"/>
              <w:rPr>
                <w:rFonts w:ascii="Arial Narrow" w:hAnsi="Arial Narrow" w:cs="Arial"/>
                <w:lang w:eastAsia="es-ES"/>
              </w:rPr>
            </w:pPr>
          </w:p>
          <w:p w14:paraId="10C008EB" w14:textId="77777777" w:rsidR="007968EC" w:rsidRPr="00207D41" w:rsidRDefault="007968EC" w:rsidP="007968EC">
            <w:pPr>
              <w:autoSpaceDE w:val="0"/>
              <w:autoSpaceDN w:val="0"/>
              <w:jc w:val="both"/>
              <w:rPr>
                <w:rFonts w:ascii="Arial Narrow" w:hAnsi="Arial Narrow" w:cs="Arial"/>
                <w:color w:val="000000"/>
                <w:lang w:eastAsia="es-ES"/>
              </w:rPr>
            </w:pPr>
            <w:r w:rsidRPr="00207D41">
              <w:rPr>
                <w:rFonts w:ascii="Arial Narrow" w:hAnsi="Arial Narrow" w:cs="Arial"/>
                <w:lang w:eastAsia="es-ES"/>
              </w:rPr>
              <w:t xml:space="preserve">El importe del </w:t>
            </w:r>
            <w:r w:rsidRPr="00207D41">
              <w:rPr>
                <w:rFonts w:ascii="Arial Narrow" w:hAnsi="Arial Narrow" w:cs="Arial"/>
                <w:color w:val="000000"/>
                <w:lang w:eastAsia="es-ES"/>
              </w:rPr>
              <w:t>cargo aplicará para cada uno de los veinticuatro (24) vencimientos que se encuentren disponibles en el Sistema.</w:t>
            </w:r>
          </w:p>
          <w:p w14:paraId="3222C85C" w14:textId="77777777" w:rsidR="007968EC" w:rsidRPr="00207D41" w:rsidRDefault="007968EC" w:rsidP="007968EC">
            <w:pPr>
              <w:autoSpaceDE w:val="0"/>
              <w:autoSpaceDN w:val="0"/>
              <w:jc w:val="both"/>
              <w:rPr>
                <w:rFonts w:ascii="Arial Narrow" w:hAnsi="Arial Narrow" w:cs="Arial"/>
                <w:color w:val="000000"/>
                <w:lang w:eastAsia="es-ES"/>
              </w:rPr>
            </w:pPr>
          </w:p>
          <w:p w14:paraId="7B6D329B" w14:textId="77777777" w:rsidR="007968EC" w:rsidRPr="00207D41" w:rsidRDefault="007968EC" w:rsidP="007968EC">
            <w:pPr>
              <w:autoSpaceDE w:val="0"/>
              <w:autoSpaceDN w:val="0"/>
              <w:jc w:val="both"/>
              <w:rPr>
                <w:rFonts w:ascii="Arial Narrow" w:hAnsi="Arial Narrow" w:cs="Arial"/>
                <w:lang w:eastAsia="es-ES"/>
              </w:rPr>
            </w:pPr>
            <w:r w:rsidRPr="00207D41">
              <w:rPr>
                <w:rFonts w:ascii="Arial Narrow" w:hAnsi="Arial Narrow" w:cs="Arial"/>
                <w:lang w:eastAsia="es-ES"/>
              </w:rPr>
              <w:t>El importe del cargo se actualizará para cada mes calendario a partir del día siguiente al que se pueda determinar el PPM(t-1).</w:t>
            </w:r>
          </w:p>
          <w:p w14:paraId="273B6590" w14:textId="77777777" w:rsidR="007968EC" w:rsidRPr="00207D41" w:rsidRDefault="007968EC" w:rsidP="007968EC">
            <w:pPr>
              <w:autoSpaceDE w:val="0"/>
              <w:autoSpaceDN w:val="0"/>
              <w:jc w:val="both"/>
              <w:rPr>
                <w:rFonts w:ascii="Arial Narrow" w:hAnsi="Arial Narrow" w:cs="Arial"/>
                <w:lang w:eastAsia="es-ES"/>
              </w:rPr>
            </w:pPr>
          </w:p>
          <w:p w14:paraId="2CB40587" w14:textId="77777777" w:rsidR="007968EC" w:rsidRPr="00207D41" w:rsidRDefault="007968EC" w:rsidP="007968EC">
            <w:pPr>
              <w:autoSpaceDE w:val="0"/>
              <w:autoSpaceDN w:val="0"/>
              <w:jc w:val="both"/>
              <w:rPr>
                <w:rFonts w:ascii="Arial Narrow" w:hAnsi="Arial Narrow" w:cs="Arial"/>
                <w:lang w:eastAsia="es-ES"/>
              </w:rPr>
            </w:pPr>
            <w:r w:rsidRPr="00207D41">
              <w:rPr>
                <w:rFonts w:ascii="Arial Narrow" w:hAnsi="Arial Narrow" w:cs="Arial"/>
                <w:lang w:eastAsia="es-ES"/>
              </w:rPr>
              <w:t>Para el primer mes de Aceptación de Operaciones sobre el Contrato Futuro sobre Electricidad Mensual, para efectos de calcular el importe del cargo se tendrá en cuenta el valor promedio aritmético del precio horario en su versión TX1 (valor del Activo Subyacente en la Bolsa de Energía) publicado por la Bolsa de Energía para todos los días del mes inmediatamente anterior y el tamaño del contrato.</w:t>
            </w:r>
          </w:p>
          <w:p w14:paraId="1144D913" w14:textId="77777777" w:rsidR="007968EC" w:rsidRPr="00207D41" w:rsidRDefault="007968EC" w:rsidP="007968EC">
            <w:pPr>
              <w:autoSpaceDE w:val="0"/>
              <w:autoSpaceDN w:val="0"/>
              <w:jc w:val="both"/>
              <w:rPr>
                <w:rFonts w:ascii="Arial Narrow" w:hAnsi="Arial Narrow" w:cs="Arial"/>
                <w:lang w:eastAsia="es-ES"/>
              </w:rPr>
            </w:pPr>
          </w:p>
          <w:p w14:paraId="194856E4"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Contrato Mini de Futuro sobre Electricidad Mensual: se cobrará un importe que se calcula teniendo en cuenta el valor promedio del contrato del mes calendario inmediatamente anterior y un valor fijo de $250 pesos por cada millón, de conformidad con la siguiente metodología:</w:t>
            </w:r>
          </w:p>
          <w:p w14:paraId="073A2A05" w14:textId="77777777" w:rsidR="007968EC" w:rsidRPr="00207D41" w:rsidRDefault="007968EC" w:rsidP="007968EC">
            <w:pPr>
              <w:jc w:val="both"/>
              <w:rPr>
                <w:rFonts w:ascii="Arial Narrow" w:hAnsi="Arial Narrow" w:cs="Arial"/>
                <w:lang w:val="es-ES" w:eastAsia="es-ES"/>
              </w:rPr>
            </w:pPr>
          </w:p>
          <w:p w14:paraId="5D6AB657"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Importe del cargo=</w:t>
            </w:r>
          </w:p>
          <w:p w14:paraId="61E20E1B"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(PPM(t-1)*Nominal*250)/(1.000.000)</w:t>
            </w:r>
          </w:p>
          <w:p w14:paraId="38440E3B" w14:textId="77777777" w:rsidR="007968EC" w:rsidRPr="00207D41" w:rsidRDefault="007968EC" w:rsidP="007968EC">
            <w:pPr>
              <w:jc w:val="both"/>
              <w:rPr>
                <w:rFonts w:ascii="Arial Narrow" w:hAnsi="Arial Narrow" w:cs="Arial"/>
                <w:lang w:val="es-ES" w:eastAsia="es-ES"/>
              </w:rPr>
            </w:pPr>
          </w:p>
          <w:p w14:paraId="25E2C0E8"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Donde:</w:t>
            </w:r>
          </w:p>
          <w:p w14:paraId="070F4519"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PPM(t-1): Es el valor promedio del Activo Subyacente para todos los días del mes inmediatamente anterior.</w:t>
            </w:r>
          </w:p>
          <w:p w14:paraId="6FDA8820" w14:textId="77777777" w:rsidR="007968EC" w:rsidRPr="00207D41" w:rsidRDefault="007968EC" w:rsidP="007968EC">
            <w:pPr>
              <w:jc w:val="both"/>
              <w:rPr>
                <w:rFonts w:ascii="Arial Narrow" w:hAnsi="Arial Narrow" w:cs="Arial"/>
                <w:lang w:val="es-ES" w:eastAsia="es-ES"/>
              </w:rPr>
            </w:pPr>
          </w:p>
          <w:p w14:paraId="2DA52EBC"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Nominal: Es el tamaño del Contrato.</w:t>
            </w:r>
          </w:p>
          <w:p w14:paraId="34FEA68F" w14:textId="77777777" w:rsidR="007968EC" w:rsidRPr="00207D41" w:rsidRDefault="007968EC" w:rsidP="007968EC">
            <w:pPr>
              <w:jc w:val="both"/>
              <w:rPr>
                <w:rFonts w:ascii="Arial Narrow" w:hAnsi="Arial Narrow" w:cs="Arial"/>
                <w:color w:val="000000"/>
                <w:lang w:val="es-ES" w:eastAsia="es-ES"/>
              </w:rPr>
            </w:pPr>
          </w:p>
          <w:p w14:paraId="284881A2" w14:textId="77777777" w:rsidR="007968EC" w:rsidRPr="00207D41" w:rsidRDefault="007968EC" w:rsidP="007968EC">
            <w:pPr>
              <w:jc w:val="both"/>
              <w:rPr>
                <w:rFonts w:ascii="Arial Narrow" w:hAnsi="Arial Narrow" w:cs="Arial"/>
                <w:color w:val="000000"/>
                <w:lang w:val="es-ES" w:eastAsia="es-ES"/>
              </w:rPr>
            </w:pPr>
            <w:r w:rsidRPr="00207D41">
              <w:rPr>
                <w:rFonts w:ascii="Arial Narrow" w:hAnsi="Arial Narrow" w:cs="Arial"/>
                <w:color w:val="000000"/>
                <w:lang w:val="es-ES" w:eastAsia="es-ES"/>
              </w:rPr>
              <w:t xml:space="preserve">El importe del cargo aplicará para cada uno de los </w:t>
            </w:r>
            <w:r w:rsidRPr="00207D41">
              <w:rPr>
                <w:rFonts w:ascii="Arial Narrow" w:hAnsi="Arial Narrow" w:cs="Arial"/>
                <w:color w:val="000000"/>
                <w:lang w:eastAsia="es-ES"/>
              </w:rPr>
              <w:t xml:space="preserve">veinticuatro </w:t>
            </w:r>
            <w:r w:rsidRPr="00207D41">
              <w:rPr>
                <w:rFonts w:ascii="Arial Narrow" w:hAnsi="Arial Narrow" w:cs="Arial"/>
                <w:color w:val="000000"/>
                <w:lang w:val="es-ES" w:eastAsia="es-ES"/>
              </w:rPr>
              <w:t>(24) vencimientos que se encuentren disponibles en el Sistema.</w:t>
            </w:r>
          </w:p>
          <w:p w14:paraId="00A1FAD9" w14:textId="77777777" w:rsidR="007968EC" w:rsidRPr="00207D41" w:rsidRDefault="007968EC" w:rsidP="007968EC">
            <w:pPr>
              <w:jc w:val="both"/>
              <w:rPr>
                <w:rFonts w:ascii="Arial Narrow" w:hAnsi="Arial Narrow" w:cs="Arial"/>
                <w:color w:val="000000"/>
                <w:lang w:val="es-ES" w:eastAsia="es-ES"/>
              </w:rPr>
            </w:pPr>
          </w:p>
          <w:p w14:paraId="612105E3"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lastRenderedPageBreak/>
              <w:t>El importe del cargo se actualizará para cada mes calendario a partir del día siguiente al que se pueda determinar el PPM(t-1).</w:t>
            </w:r>
          </w:p>
          <w:p w14:paraId="4AEBB201" w14:textId="77777777" w:rsidR="007968EC" w:rsidRPr="00207D41" w:rsidRDefault="007968EC" w:rsidP="007968EC">
            <w:pPr>
              <w:jc w:val="both"/>
              <w:rPr>
                <w:rFonts w:ascii="Arial Narrow" w:hAnsi="Arial Narrow" w:cs="Arial"/>
                <w:lang w:val="es-ES" w:eastAsia="es-ES"/>
              </w:rPr>
            </w:pPr>
          </w:p>
          <w:p w14:paraId="4F189BD1"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 xml:space="preserve">Para el primer mes de Aceptación de Operaciones sobre el Contrato Futuro sobre Electricidad Mensual, para efectos de calcular el importe del cargo se tendrá en cuenta el valor promedio aritmético del precio horario en su versión TX1 (valor del Activo Subyacente en la Bolsa de Energía) publicado por la Bolsa de Energía para todos los días del mes inmediatamente anterior y el tamaño del contrato. </w:t>
            </w:r>
          </w:p>
          <w:p w14:paraId="7E1E7764" w14:textId="77777777" w:rsidR="007968EC" w:rsidRPr="00207D41" w:rsidRDefault="007968EC" w:rsidP="007968EC">
            <w:pPr>
              <w:jc w:val="both"/>
              <w:rPr>
                <w:rFonts w:ascii="Arial Narrow" w:hAnsi="Arial Narrow" w:cs="Arial"/>
                <w:lang w:val="es-ES" w:eastAsia="es-ES"/>
              </w:rPr>
            </w:pPr>
          </w:p>
          <w:p w14:paraId="71D728B1"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Contrato de Futuro de Inflación: COP $5.500</w:t>
            </w:r>
          </w:p>
          <w:p w14:paraId="664107C2" w14:textId="77777777" w:rsidR="007968EC" w:rsidRPr="00207D41" w:rsidRDefault="007968EC" w:rsidP="007968EC">
            <w:pPr>
              <w:jc w:val="both"/>
              <w:rPr>
                <w:rFonts w:ascii="Arial Narrow" w:hAnsi="Arial Narrow" w:cs="Arial"/>
                <w:lang w:val="es-ES" w:eastAsia="es-ES"/>
              </w:rPr>
            </w:pPr>
          </w:p>
          <w:p w14:paraId="67D3883F" w14:textId="77777777" w:rsidR="007968EC" w:rsidRPr="00207D41" w:rsidRDefault="007968EC" w:rsidP="007968EC">
            <w:pPr>
              <w:rPr>
                <w:rFonts w:ascii="Arial Narrow" w:eastAsia="Calibri" w:hAnsi="Arial Narrow" w:cs="Arial"/>
                <w:lang w:eastAsia="es-ES"/>
              </w:rPr>
            </w:pPr>
            <w:r w:rsidRPr="00207D41">
              <w:rPr>
                <w:rFonts w:ascii="Arial Narrow" w:hAnsi="Arial Narrow" w:cs="Arial"/>
                <w:lang w:val="es-ES" w:eastAsia="es-ES"/>
              </w:rPr>
              <w:t>Contrato</w:t>
            </w:r>
            <w:r w:rsidRPr="00207D41">
              <w:rPr>
                <w:rFonts w:ascii="Arial Narrow" w:eastAsia="Calibri" w:hAnsi="Arial Narrow" w:cs="Arial"/>
                <w:lang w:eastAsia="es-ES"/>
              </w:rPr>
              <w:t xml:space="preserve"> de Futuro OIS:</w:t>
            </w:r>
          </w:p>
          <w:p w14:paraId="391ED2DF" w14:textId="77777777" w:rsidR="007968EC" w:rsidRPr="00207D41" w:rsidRDefault="007968EC" w:rsidP="007968EC">
            <w:pPr>
              <w:rPr>
                <w:rFonts w:ascii="Arial Narrow" w:eastAsia="Calibri" w:hAnsi="Arial Narrow" w:cs="Arial"/>
                <w:u w:val="single"/>
                <w:lang w:eastAsia="es-ES"/>
              </w:rPr>
            </w:pPr>
          </w:p>
          <w:p w14:paraId="6E8C83C2" w14:textId="77777777" w:rsidR="007968EC" w:rsidRPr="00207D41" w:rsidRDefault="007968EC" w:rsidP="007968EC">
            <w:pPr>
              <w:rPr>
                <w:rFonts w:ascii="Arial Narrow" w:eastAsia="Calibri" w:hAnsi="Arial Narrow" w:cs="Arial"/>
                <w:lang w:eastAsia="es-ES"/>
              </w:rPr>
            </w:pPr>
            <w:r w:rsidRPr="00207D41">
              <w:rPr>
                <w:rFonts w:ascii="Arial Narrow" w:eastAsia="Calibri" w:hAnsi="Arial Narrow" w:cs="Arial"/>
                <w:lang w:eastAsia="es-ES"/>
              </w:rPr>
              <w:t xml:space="preserve">Se cobrará un importe del cargo según el vencimiento operado, así: </w:t>
            </w:r>
          </w:p>
          <w:p w14:paraId="1FA7A602" w14:textId="77777777" w:rsidR="007968EC" w:rsidRPr="00207D41" w:rsidRDefault="007968EC" w:rsidP="007968EC">
            <w:pPr>
              <w:rPr>
                <w:rFonts w:ascii="Arial Narrow" w:eastAsia="Calibri" w:hAnsi="Arial Narrow" w:cs="Arial"/>
                <w:lang w:eastAsia="es-ES"/>
              </w:rPr>
            </w:pPr>
          </w:p>
          <w:tbl>
            <w:tblPr>
              <w:tblW w:w="3855" w:type="dxa"/>
              <w:jc w:val="center"/>
              <w:tblLayout w:type="fixed"/>
              <w:tblLook w:val="04A0" w:firstRow="1" w:lastRow="0" w:firstColumn="1" w:lastColumn="0" w:noHBand="0" w:noVBand="1"/>
            </w:tblPr>
            <w:tblGrid>
              <w:gridCol w:w="1445"/>
              <w:gridCol w:w="709"/>
              <w:gridCol w:w="1701"/>
            </w:tblGrid>
            <w:tr w:rsidR="007968EC" w:rsidRPr="00207D41" w14:paraId="0C0FFED2" w14:textId="77777777" w:rsidTr="007968EC">
              <w:trPr>
                <w:jc w:val="center"/>
              </w:trPr>
              <w:tc>
                <w:tcPr>
                  <w:tcW w:w="1446" w:type="dxa"/>
                  <w:tcBorders>
                    <w:top w:val="single" w:sz="4" w:space="0" w:color="auto"/>
                    <w:left w:val="single" w:sz="4" w:space="0" w:color="auto"/>
                    <w:bottom w:val="single" w:sz="4" w:space="0" w:color="auto"/>
                    <w:right w:val="single" w:sz="4" w:space="0" w:color="auto"/>
                  </w:tcBorders>
                  <w:hideMark/>
                </w:tcPr>
                <w:p w14:paraId="7D98705E" w14:textId="77777777" w:rsidR="007968EC" w:rsidRPr="00207D41" w:rsidRDefault="007968EC" w:rsidP="007968EC">
                  <w:pPr>
                    <w:rPr>
                      <w:rFonts w:ascii="Arial Narrow" w:hAnsi="Arial Narrow"/>
                      <w:b/>
                      <w:color w:val="000000"/>
                    </w:rPr>
                  </w:pPr>
                  <w:r w:rsidRPr="00207D41">
                    <w:rPr>
                      <w:rFonts w:ascii="Arial Narrow" w:hAnsi="Arial Narrow"/>
                      <w:b/>
                      <w:color w:val="000000"/>
                    </w:rPr>
                    <w:t>Vencimiento</w:t>
                  </w:r>
                </w:p>
              </w:tc>
              <w:tc>
                <w:tcPr>
                  <w:tcW w:w="709" w:type="dxa"/>
                  <w:tcBorders>
                    <w:top w:val="single" w:sz="4" w:space="0" w:color="auto"/>
                    <w:left w:val="single" w:sz="4" w:space="0" w:color="auto"/>
                    <w:bottom w:val="single" w:sz="4" w:space="0" w:color="auto"/>
                    <w:right w:val="single" w:sz="4" w:space="0" w:color="auto"/>
                  </w:tcBorders>
                  <w:hideMark/>
                </w:tcPr>
                <w:p w14:paraId="5C1BB797" w14:textId="77777777" w:rsidR="007968EC" w:rsidRPr="00207D41" w:rsidRDefault="007968EC" w:rsidP="007968EC">
                  <w:pPr>
                    <w:rPr>
                      <w:rFonts w:ascii="Arial Narrow" w:hAnsi="Arial Narrow"/>
                      <w:b/>
                      <w:color w:val="000000"/>
                    </w:rPr>
                  </w:pPr>
                  <w:r w:rsidRPr="00207D41">
                    <w:rPr>
                      <w:rFonts w:ascii="Arial Narrow" w:hAnsi="Arial Narrow"/>
                      <w:b/>
                      <w:color w:val="000000"/>
                    </w:rPr>
                    <w:t xml:space="preserve">Días </w:t>
                  </w:r>
                </w:p>
              </w:tc>
              <w:tc>
                <w:tcPr>
                  <w:tcW w:w="1701" w:type="dxa"/>
                  <w:tcBorders>
                    <w:top w:val="single" w:sz="4" w:space="0" w:color="auto"/>
                    <w:left w:val="single" w:sz="4" w:space="0" w:color="auto"/>
                    <w:bottom w:val="single" w:sz="4" w:space="0" w:color="auto"/>
                    <w:right w:val="single" w:sz="4" w:space="0" w:color="auto"/>
                  </w:tcBorders>
                  <w:hideMark/>
                </w:tcPr>
                <w:p w14:paraId="2E5EF5FF" w14:textId="77777777" w:rsidR="007968EC" w:rsidRPr="00207D41" w:rsidRDefault="007968EC" w:rsidP="007968EC">
                  <w:pPr>
                    <w:rPr>
                      <w:rFonts w:ascii="Arial Narrow" w:hAnsi="Arial Narrow"/>
                      <w:b/>
                      <w:color w:val="000000"/>
                    </w:rPr>
                  </w:pPr>
                  <w:r w:rsidRPr="00207D41">
                    <w:rPr>
                      <w:rFonts w:ascii="Arial Narrow" w:hAnsi="Arial Narrow"/>
                      <w:b/>
                      <w:color w:val="000000"/>
                    </w:rPr>
                    <w:t>Tarifa</w:t>
                  </w:r>
                </w:p>
              </w:tc>
            </w:tr>
            <w:tr w:rsidR="007968EC" w:rsidRPr="00207D41" w14:paraId="5A492E6B" w14:textId="77777777" w:rsidTr="007968EC">
              <w:trPr>
                <w:jc w:val="center"/>
              </w:trPr>
              <w:tc>
                <w:tcPr>
                  <w:tcW w:w="1446" w:type="dxa"/>
                  <w:tcBorders>
                    <w:top w:val="single" w:sz="4" w:space="0" w:color="auto"/>
                    <w:left w:val="single" w:sz="4" w:space="0" w:color="auto"/>
                    <w:bottom w:val="single" w:sz="4" w:space="0" w:color="auto"/>
                    <w:right w:val="single" w:sz="4" w:space="0" w:color="auto"/>
                  </w:tcBorders>
                  <w:hideMark/>
                </w:tcPr>
                <w:p w14:paraId="5CAF8731" w14:textId="77777777" w:rsidR="007968EC" w:rsidRPr="00207D41" w:rsidRDefault="007968EC" w:rsidP="007968EC">
                  <w:pPr>
                    <w:rPr>
                      <w:rFonts w:ascii="Arial Narrow" w:hAnsi="Arial Narrow"/>
                      <w:color w:val="000000"/>
                    </w:rPr>
                  </w:pPr>
                  <w:r w:rsidRPr="00207D41">
                    <w:rPr>
                      <w:rFonts w:ascii="Arial Narrow" w:hAnsi="Arial Narrow"/>
                      <w:color w:val="000000"/>
                    </w:rPr>
                    <w:t>1ro</w:t>
                  </w:r>
                </w:p>
              </w:tc>
              <w:tc>
                <w:tcPr>
                  <w:tcW w:w="709" w:type="dxa"/>
                  <w:tcBorders>
                    <w:top w:val="single" w:sz="4" w:space="0" w:color="auto"/>
                    <w:left w:val="single" w:sz="4" w:space="0" w:color="auto"/>
                    <w:bottom w:val="single" w:sz="4" w:space="0" w:color="auto"/>
                    <w:right w:val="single" w:sz="4" w:space="0" w:color="auto"/>
                  </w:tcBorders>
                  <w:hideMark/>
                </w:tcPr>
                <w:p w14:paraId="54E258E3" w14:textId="77777777" w:rsidR="007968EC" w:rsidRPr="00207D41" w:rsidRDefault="007968EC" w:rsidP="007968EC">
                  <w:pPr>
                    <w:rPr>
                      <w:rFonts w:ascii="Arial Narrow" w:hAnsi="Arial Narrow"/>
                      <w:color w:val="000000"/>
                    </w:rPr>
                  </w:pPr>
                  <w:r w:rsidRPr="00207D41">
                    <w:rPr>
                      <w:rFonts w:ascii="Arial Narrow" w:hAnsi="Arial Narrow"/>
                      <w:color w:val="000000"/>
                    </w:rPr>
                    <w:t>30</w:t>
                  </w:r>
                </w:p>
              </w:tc>
              <w:tc>
                <w:tcPr>
                  <w:tcW w:w="1701" w:type="dxa"/>
                  <w:tcBorders>
                    <w:top w:val="single" w:sz="4" w:space="0" w:color="auto"/>
                    <w:left w:val="single" w:sz="4" w:space="0" w:color="auto"/>
                    <w:bottom w:val="single" w:sz="4" w:space="0" w:color="auto"/>
                    <w:right w:val="single" w:sz="4" w:space="0" w:color="auto"/>
                  </w:tcBorders>
                  <w:hideMark/>
                </w:tcPr>
                <w:p w14:paraId="0A78E07F" w14:textId="77777777" w:rsidR="007968EC" w:rsidRPr="00207D41" w:rsidRDefault="007968EC" w:rsidP="007968EC">
                  <w:pPr>
                    <w:rPr>
                      <w:rFonts w:ascii="Arial Narrow" w:hAnsi="Arial Narrow"/>
                      <w:color w:val="000000"/>
                    </w:rPr>
                  </w:pPr>
                  <w:r w:rsidRPr="00207D41">
                    <w:rPr>
                      <w:rFonts w:ascii="Arial Narrow" w:hAnsi="Arial Narrow"/>
                      <w:color w:val="000000"/>
                    </w:rPr>
                    <w:t>COP $</w:t>
                  </w:r>
                  <w:r w:rsidRPr="00207D41">
                    <w:rPr>
                      <w:rFonts w:ascii="Arial Narrow" w:hAnsi="Arial Narrow"/>
                      <w:bCs/>
                      <w:color w:val="000000"/>
                    </w:rPr>
                    <w:t>1.050</w:t>
                  </w:r>
                </w:p>
              </w:tc>
            </w:tr>
            <w:tr w:rsidR="007968EC" w:rsidRPr="00207D41" w14:paraId="39F32E91" w14:textId="77777777" w:rsidTr="007968EC">
              <w:trPr>
                <w:jc w:val="center"/>
              </w:trPr>
              <w:tc>
                <w:tcPr>
                  <w:tcW w:w="1446" w:type="dxa"/>
                  <w:tcBorders>
                    <w:top w:val="single" w:sz="4" w:space="0" w:color="auto"/>
                    <w:left w:val="single" w:sz="4" w:space="0" w:color="auto"/>
                    <w:bottom w:val="single" w:sz="4" w:space="0" w:color="auto"/>
                    <w:right w:val="single" w:sz="4" w:space="0" w:color="auto"/>
                  </w:tcBorders>
                  <w:hideMark/>
                </w:tcPr>
                <w:p w14:paraId="4486A73F" w14:textId="77777777" w:rsidR="007968EC" w:rsidRPr="00207D41" w:rsidRDefault="007968EC" w:rsidP="007968EC">
                  <w:pPr>
                    <w:rPr>
                      <w:rFonts w:ascii="Arial Narrow" w:hAnsi="Arial Narrow"/>
                      <w:color w:val="000000"/>
                    </w:rPr>
                  </w:pPr>
                  <w:r w:rsidRPr="00207D41">
                    <w:rPr>
                      <w:rFonts w:ascii="Arial Narrow" w:hAnsi="Arial Narrow"/>
                      <w:color w:val="000000"/>
                    </w:rPr>
                    <w:t>3ro</w:t>
                  </w:r>
                </w:p>
              </w:tc>
              <w:tc>
                <w:tcPr>
                  <w:tcW w:w="709" w:type="dxa"/>
                  <w:tcBorders>
                    <w:top w:val="single" w:sz="4" w:space="0" w:color="auto"/>
                    <w:left w:val="single" w:sz="4" w:space="0" w:color="auto"/>
                    <w:bottom w:val="single" w:sz="4" w:space="0" w:color="auto"/>
                    <w:right w:val="single" w:sz="4" w:space="0" w:color="auto"/>
                  </w:tcBorders>
                  <w:hideMark/>
                </w:tcPr>
                <w:p w14:paraId="7CCAF6B2" w14:textId="77777777" w:rsidR="007968EC" w:rsidRPr="00207D41" w:rsidRDefault="007968EC" w:rsidP="007968EC">
                  <w:pPr>
                    <w:rPr>
                      <w:rFonts w:ascii="Arial Narrow" w:hAnsi="Arial Narrow"/>
                      <w:color w:val="000000"/>
                    </w:rPr>
                  </w:pPr>
                  <w:r w:rsidRPr="00207D41">
                    <w:rPr>
                      <w:rFonts w:ascii="Arial Narrow" w:hAnsi="Arial Narrow"/>
                      <w:color w:val="000000"/>
                    </w:rPr>
                    <w:t>90</w:t>
                  </w:r>
                </w:p>
              </w:tc>
              <w:tc>
                <w:tcPr>
                  <w:tcW w:w="1701" w:type="dxa"/>
                  <w:tcBorders>
                    <w:top w:val="single" w:sz="4" w:space="0" w:color="auto"/>
                    <w:left w:val="single" w:sz="4" w:space="0" w:color="auto"/>
                    <w:bottom w:val="single" w:sz="4" w:space="0" w:color="auto"/>
                    <w:right w:val="single" w:sz="4" w:space="0" w:color="auto"/>
                  </w:tcBorders>
                  <w:hideMark/>
                </w:tcPr>
                <w:p w14:paraId="11671090" w14:textId="77777777" w:rsidR="007968EC" w:rsidRPr="00207D41" w:rsidRDefault="007968EC" w:rsidP="007968EC">
                  <w:pPr>
                    <w:rPr>
                      <w:rFonts w:ascii="Arial Narrow" w:hAnsi="Arial Narrow"/>
                      <w:color w:val="000000"/>
                    </w:rPr>
                  </w:pPr>
                  <w:r w:rsidRPr="00207D41">
                    <w:rPr>
                      <w:rFonts w:ascii="Arial Narrow" w:hAnsi="Arial Narrow"/>
                      <w:color w:val="000000"/>
                    </w:rPr>
                    <w:t>COP $</w:t>
                  </w:r>
                  <w:r w:rsidRPr="00207D41">
                    <w:rPr>
                      <w:rFonts w:ascii="Arial Narrow" w:hAnsi="Arial Narrow"/>
                      <w:bCs/>
                      <w:color w:val="000000"/>
                    </w:rPr>
                    <w:t>3.150</w:t>
                  </w:r>
                </w:p>
              </w:tc>
            </w:tr>
            <w:tr w:rsidR="007968EC" w:rsidRPr="00207D41" w14:paraId="6B9CC0C9" w14:textId="77777777" w:rsidTr="007968EC">
              <w:trPr>
                <w:jc w:val="center"/>
              </w:trPr>
              <w:tc>
                <w:tcPr>
                  <w:tcW w:w="1446" w:type="dxa"/>
                  <w:tcBorders>
                    <w:top w:val="single" w:sz="4" w:space="0" w:color="auto"/>
                    <w:left w:val="single" w:sz="4" w:space="0" w:color="auto"/>
                    <w:bottom w:val="single" w:sz="4" w:space="0" w:color="auto"/>
                    <w:right w:val="single" w:sz="4" w:space="0" w:color="auto"/>
                  </w:tcBorders>
                  <w:hideMark/>
                </w:tcPr>
                <w:p w14:paraId="414E4ABD" w14:textId="77777777" w:rsidR="007968EC" w:rsidRPr="00207D41" w:rsidRDefault="007968EC" w:rsidP="007968EC">
                  <w:pPr>
                    <w:rPr>
                      <w:rFonts w:ascii="Arial Narrow" w:hAnsi="Arial Narrow"/>
                      <w:color w:val="000000"/>
                    </w:rPr>
                  </w:pPr>
                  <w:r w:rsidRPr="00207D41">
                    <w:rPr>
                      <w:rFonts w:ascii="Arial Narrow" w:hAnsi="Arial Narrow"/>
                      <w:color w:val="000000"/>
                    </w:rPr>
                    <w:t>4to</w:t>
                  </w:r>
                </w:p>
              </w:tc>
              <w:tc>
                <w:tcPr>
                  <w:tcW w:w="709" w:type="dxa"/>
                  <w:tcBorders>
                    <w:top w:val="single" w:sz="4" w:space="0" w:color="auto"/>
                    <w:left w:val="single" w:sz="4" w:space="0" w:color="auto"/>
                    <w:bottom w:val="single" w:sz="4" w:space="0" w:color="auto"/>
                    <w:right w:val="single" w:sz="4" w:space="0" w:color="auto"/>
                  </w:tcBorders>
                  <w:hideMark/>
                </w:tcPr>
                <w:p w14:paraId="73961B3C" w14:textId="77777777" w:rsidR="007968EC" w:rsidRPr="00207D41" w:rsidRDefault="007968EC" w:rsidP="007968EC">
                  <w:pPr>
                    <w:rPr>
                      <w:rFonts w:ascii="Arial Narrow" w:hAnsi="Arial Narrow"/>
                      <w:color w:val="000000"/>
                    </w:rPr>
                  </w:pPr>
                  <w:r w:rsidRPr="00207D41">
                    <w:rPr>
                      <w:rFonts w:ascii="Arial Narrow" w:hAnsi="Arial Narrow"/>
                      <w:color w:val="000000"/>
                    </w:rPr>
                    <w:t>180</w:t>
                  </w:r>
                </w:p>
              </w:tc>
              <w:tc>
                <w:tcPr>
                  <w:tcW w:w="1701" w:type="dxa"/>
                  <w:tcBorders>
                    <w:top w:val="single" w:sz="4" w:space="0" w:color="auto"/>
                    <w:left w:val="single" w:sz="4" w:space="0" w:color="auto"/>
                    <w:bottom w:val="single" w:sz="4" w:space="0" w:color="auto"/>
                    <w:right w:val="single" w:sz="4" w:space="0" w:color="auto"/>
                  </w:tcBorders>
                  <w:hideMark/>
                </w:tcPr>
                <w:p w14:paraId="609FC02F" w14:textId="77777777" w:rsidR="007968EC" w:rsidRPr="00207D41" w:rsidRDefault="007968EC" w:rsidP="007968EC">
                  <w:pPr>
                    <w:rPr>
                      <w:rFonts w:ascii="Arial Narrow" w:hAnsi="Arial Narrow"/>
                      <w:color w:val="000000"/>
                    </w:rPr>
                  </w:pPr>
                  <w:r w:rsidRPr="00207D41">
                    <w:rPr>
                      <w:rFonts w:ascii="Arial Narrow" w:hAnsi="Arial Narrow"/>
                      <w:color w:val="000000"/>
                    </w:rPr>
                    <w:t>COP $</w:t>
                  </w:r>
                  <w:r w:rsidRPr="00207D41">
                    <w:rPr>
                      <w:rFonts w:ascii="Arial Narrow" w:hAnsi="Arial Narrow"/>
                      <w:bCs/>
                      <w:color w:val="000000"/>
                    </w:rPr>
                    <w:t>6.250</w:t>
                  </w:r>
                </w:p>
              </w:tc>
            </w:tr>
            <w:tr w:rsidR="007968EC" w:rsidRPr="00207D41" w14:paraId="0219C0A9" w14:textId="77777777" w:rsidTr="007968EC">
              <w:trPr>
                <w:jc w:val="center"/>
              </w:trPr>
              <w:tc>
                <w:tcPr>
                  <w:tcW w:w="1446" w:type="dxa"/>
                  <w:tcBorders>
                    <w:top w:val="single" w:sz="4" w:space="0" w:color="auto"/>
                    <w:left w:val="single" w:sz="4" w:space="0" w:color="auto"/>
                    <w:bottom w:val="single" w:sz="4" w:space="0" w:color="auto"/>
                    <w:right w:val="single" w:sz="4" w:space="0" w:color="auto"/>
                  </w:tcBorders>
                  <w:hideMark/>
                </w:tcPr>
                <w:p w14:paraId="779CC691" w14:textId="77777777" w:rsidR="007968EC" w:rsidRPr="00207D41" w:rsidRDefault="007968EC" w:rsidP="007968EC">
                  <w:pPr>
                    <w:rPr>
                      <w:rFonts w:ascii="Arial Narrow" w:hAnsi="Arial Narrow"/>
                      <w:color w:val="000000"/>
                    </w:rPr>
                  </w:pPr>
                  <w:r w:rsidRPr="00207D41">
                    <w:rPr>
                      <w:rFonts w:ascii="Arial Narrow" w:hAnsi="Arial Narrow"/>
                      <w:color w:val="000000"/>
                    </w:rPr>
                    <w:t>5to</w:t>
                  </w:r>
                </w:p>
              </w:tc>
              <w:tc>
                <w:tcPr>
                  <w:tcW w:w="709" w:type="dxa"/>
                  <w:tcBorders>
                    <w:top w:val="single" w:sz="4" w:space="0" w:color="auto"/>
                    <w:left w:val="single" w:sz="4" w:space="0" w:color="auto"/>
                    <w:bottom w:val="single" w:sz="4" w:space="0" w:color="auto"/>
                    <w:right w:val="single" w:sz="4" w:space="0" w:color="auto"/>
                  </w:tcBorders>
                  <w:hideMark/>
                </w:tcPr>
                <w:p w14:paraId="547AAA13" w14:textId="77777777" w:rsidR="007968EC" w:rsidRPr="00207D41" w:rsidRDefault="007968EC" w:rsidP="007968EC">
                  <w:pPr>
                    <w:rPr>
                      <w:rFonts w:ascii="Arial Narrow" w:hAnsi="Arial Narrow"/>
                      <w:color w:val="000000"/>
                    </w:rPr>
                  </w:pPr>
                  <w:r w:rsidRPr="00207D41">
                    <w:rPr>
                      <w:rFonts w:ascii="Arial Narrow" w:hAnsi="Arial Narrow"/>
                      <w:color w:val="000000"/>
                    </w:rPr>
                    <w:t>270</w:t>
                  </w:r>
                </w:p>
              </w:tc>
              <w:tc>
                <w:tcPr>
                  <w:tcW w:w="1701" w:type="dxa"/>
                  <w:tcBorders>
                    <w:top w:val="single" w:sz="4" w:space="0" w:color="auto"/>
                    <w:left w:val="single" w:sz="4" w:space="0" w:color="auto"/>
                    <w:bottom w:val="single" w:sz="4" w:space="0" w:color="auto"/>
                    <w:right w:val="single" w:sz="4" w:space="0" w:color="auto"/>
                  </w:tcBorders>
                  <w:hideMark/>
                </w:tcPr>
                <w:p w14:paraId="00DB8F6C" w14:textId="77777777" w:rsidR="007968EC" w:rsidRPr="00207D41" w:rsidRDefault="007968EC" w:rsidP="007968EC">
                  <w:pPr>
                    <w:rPr>
                      <w:rFonts w:ascii="Arial Narrow" w:hAnsi="Arial Narrow"/>
                      <w:color w:val="000000"/>
                    </w:rPr>
                  </w:pPr>
                  <w:r w:rsidRPr="00207D41">
                    <w:rPr>
                      <w:rFonts w:ascii="Arial Narrow" w:hAnsi="Arial Narrow"/>
                      <w:color w:val="000000"/>
                    </w:rPr>
                    <w:t>COP $</w:t>
                  </w:r>
                  <w:r w:rsidRPr="00207D41">
                    <w:rPr>
                      <w:rFonts w:ascii="Arial Narrow" w:hAnsi="Arial Narrow"/>
                      <w:bCs/>
                      <w:color w:val="000000"/>
                    </w:rPr>
                    <w:t>9.350</w:t>
                  </w:r>
                </w:p>
              </w:tc>
            </w:tr>
            <w:tr w:rsidR="007968EC" w:rsidRPr="00207D41" w14:paraId="3361A184" w14:textId="77777777" w:rsidTr="007968EC">
              <w:trPr>
                <w:jc w:val="center"/>
              </w:trPr>
              <w:tc>
                <w:tcPr>
                  <w:tcW w:w="1446" w:type="dxa"/>
                  <w:tcBorders>
                    <w:top w:val="single" w:sz="4" w:space="0" w:color="auto"/>
                    <w:left w:val="single" w:sz="4" w:space="0" w:color="auto"/>
                    <w:bottom w:val="single" w:sz="4" w:space="0" w:color="auto"/>
                    <w:right w:val="single" w:sz="4" w:space="0" w:color="auto"/>
                  </w:tcBorders>
                  <w:hideMark/>
                </w:tcPr>
                <w:p w14:paraId="3100BD22" w14:textId="77777777" w:rsidR="007968EC" w:rsidRPr="00207D41" w:rsidRDefault="007968EC" w:rsidP="007968EC">
                  <w:pPr>
                    <w:rPr>
                      <w:rFonts w:ascii="Arial Narrow" w:hAnsi="Arial Narrow"/>
                      <w:color w:val="000000"/>
                    </w:rPr>
                  </w:pPr>
                  <w:r w:rsidRPr="00207D41">
                    <w:rPr>
                      <w:rFonts w:ascii="Arial Narrow" w:hAnsi="Arial Narrow"/>
                      <w:color w:val="000000"/>
                    </w:rPr>
                    <w:t>6to</w:t>
                  </w:r>
                </w:p>
              </w:tc>
              <w:tc>
                <w:tcPr>
                  <w:tcW w:w="709" w:type="dxa"/>
                  <w:tcBorders>
                    <w:top w:val="single" w:sz="4" w:space="0" w:color="auto"/>
                    <w:left w:val="single" w:sz="4" w:space="0" w:color="auto"/>
                    <w:bottom w:val="single" w:sz="4" w:space="0" w:color="auto"/>
                    <w:right w:val="single" w:sz="4" w:space="0" w:color="auto"/>
                  </w:tcBorders>
                  <w:hideMark/>
                </w:tcPr>
                <w:p w14:paraId="04648700" w14:textId="77777777" w:rsidR="007968EC" w:rsidRPr="00207D41" w:rsidRDefault="007968EC" w:rsidP="007968EC">
                  <w:pPr>
                    <w:rPr>
                      <w:rFonts w:ascii="Arial Narrow" w:hAnsi="Arial Narrow"/>
                      <w:color w:val="000000"/>
                    </w:rPr>
                  </w:pPr>
                  <w:r w:rsidRPr="00207D41">
                    <w:rPr>
                      <w:rFonts w:ascii="Arial Narrow" w:hAnsi="Arial Narrow"/>
                      <w:color w:val="000000"/>
                    </w:rPr>
                    <w:t>360</w:t>
                  </w:r>
                </w:p>
              </w:tc>
              <w:tc>
                <w:tcPr>
                  <w:tcW w:w="1701" w:type="dxa"/>
                  <w:tcBorders>
                    <w:top w:val="single" w:sz="4" w:space="0" w:color="auto"/>
                    <w:left w:val="single" w:sz="4" w:space="0" w:color="auto"/>
                    <w:bottom w:val="single" w:sz="4" w:space="0" w:color="auto"/>
                    <w:right w:val="single" w:sz="4" w:space="0" w:color="auto"/>
                  </w:tcBorders>
                  <w:hideMark/>
                </w:tcPr>
                <w:p w14:paraId="1F9BB453" w14:textId="77777777" w:rsidR="007968EC" w:rsidRPr="00207D41" w:rsidRDefault="007968EC" w:rsidP="007968EC">
                  <w:pPr>
                    <w:rPr>
                      <w:rFonts w:ascii="Arial Narrow" w:hAnsi="Arial Narrow"/>
                      <w:color w:val="000000"/>
                    </w:rPr>
                  </w:pPr>
                  <w:r w:rsidRPr="00207D41">
                    <w:rPr>
                      <w:rFonts w:ascii="Arial Narrow" w:hAnsi="Arial Narrow"/>
                      <w:color w:val="000000"/>
                    </w:rPr>
                    <w:t>COP $</w:t>
                  </w:r>
                  <w:r w:rsidRPr="00207D41">
                    <w:rPr>
                      <w:rFonts w:ascii="Arial Narrow" w:hAnsi="Arial Narrow"/>
                      <w:bCs/>
                      <w:color w:val="000000"/>
                    </w:rPr>
                    <w:t>12.500</w:t>
                  </w:r>
                </w:p>
              </w:tc>
            </w:tr>
            <w:tr w:rsidR="007968EC" w:rsidRPr="00207D41" w14:paraId="1F39EA11" w14:textId="77777777" w:rsidTr="007968EC">
              <w:trPr>
                <w:jc w:val="center"/>
              </w:trPr>
              <w:tc>
                <w:tcPr>
                  <w:tcW w:w="1446" w:type="dxa"/>
                  <w:tcBorders>
                    <w:top w:val="single" w:sz="4" w:space="0" w:color="auto"/>
                    <w:left w:val="single" w:sz="4" w:space="0" w:color="auto"/>
                    <w:bottom w:val="single" w:sz="4" w:space="0" w:color="auto"/>
                    <w:right w:val="single" w:sz="4" w:space="0" w:color="auto"/>
                  </w:tcBorders>
                  <w:hideMark/>
                </w:tcPr>
                <w:p w14:paraId="437E207A" w14:textId="77777777" w:rsidR="007968EC" w:rsidRPr="00207D41" w:rsidRDefault="007968EC" w:rsidP="007968EC">
                  <w:pPr>
                    <w:rPr>
                      <w:rFonts w:ascii="Arial Narrow" w:hAnsi="Arial Narrow"/>
                      <w:color w:val="000000"/>
                    </w:rPr>
                  </w:pPr>
                  <w:r w:rsidRPr="00207D41">
                    <w:rPr>
                      <w:rFonts w:ascii="Arial Narrow" w:hAnsi="Arial Narrow"/>
                      <w:color w:val="000000"/>
                    </w:rPr>
                    <w:t>7mo</w:t>
                  </w:r>
                </w:p>
              </w:tc>
              <w:tc>
                <w:tcPr>
                  <w:tcW w:w="709" w:type="dxa"/>
                  <w:tcBorders>
                    <w:top w:val="single" w:sz="4" w:space="0" w:color="auto"/>
                    <w:left w:val="single" w:sz="4" w:space="0" w:color="auto"/>
                    <w:bottom w:val="single" w:sz="4" w:space="0" w:color="auto"/>
                    <w:right w:val="single" w:sz="4" w:space="0" w:color="auto"/>
                  </w:tcBorders>
                  <w:hideMark/>
                </w:tcPr>
                <w:p w14:paraId="58B0D082" w14:textId="77777777" w:rsidR="007968EC" w:rsidRPr="00207D41" w:rsidRDefault="007968EC" w:rsidP="007968EC">
                  <w:pPr>
                    <w:rPr>
                      <w:rFonts w:ascii="Arial Narrow" w:hAnsi="Arial Narrow"/>
                      <w:color w:val="000000"/>
                    </w:rPr>
                  </w:pPr>
                  <w:r w:rsidRPr="00207D41">
                    <w:rPr>
                      <w:rFonts w:ascii="Arial Narrow" w:hAnsi="Arial Narrow"/>
                      <w:color w:val="000000"/>
                    </w:rPr>
                    <w:t>540</w:t>
                  </w:r>
                </w:p>
              </w:tc>
              <w:tc>
                <w:tcPr>
                  <w:tcW w:w="1701" w:type="dxa"/>
                  <w:tcBorders>
                    <w:top w:val="single" w:sz="4" w:space="0" w:color="auto"/>
                    <w:left w:val="single" w:sz="4" w:space="0" w:color="auto"/>
                    <w:bottom w:val="single" w:sz="4" w:space="0" w:color="auto"/>
                    <w:right w:val="single" w:sz="4" w:space="0" w:color="auto"/>
                  </w:tcBorders>
                  <w:hideMark/>
                </w:tcPr>
                <w:p w14:paraId="123BE7D7" w14:textId="77777777" w:rsidR="007968EC" w:rsidRPr="00207D41" w:rsidRDefault="007968EC" w:rsidP="007968EC">
                  <w:pPr>
                    <w:rPr>
                      <w:rFonts w:ascii="Arial Narrow" w:hAnsi="Arial Narrow"/>
                      <w:color w:val="000000"/>
                    </w:rPr>
                  </w:pPr>
                  <w:r w:rsidRPr="00207D41">
                    <w:rPr>
                      <w:rFonts w:ascii="Arial Narrow" w:hAnsi="Arial Narrow"/>
                      <w:color w:val="000000"/>
                    </w:rPr>
                    <w:t>COP $</w:t>
                  </w:r>
                  <w:r w:rsidRPr="00207D41">
                    <w:rPr>
                      <w:rFonts w:ascii="Arial Narrow" w:hAnsi="Arial Narrow"/>
                      <w:bCs/>
                      <w:color w:val="000000"/>
                    </w:rPr>
                    <w:t>18.750</w:t>
                  </w:r>
                </w:p>
              </w:tc>
            </w:tr>
          </w:tbl>
          <w:p w14:paraId="0BD5422E" w14:textId="77777777" w:rsidR="007968EC" w:rsidRPr="00207D41" w:rsidRDefault="007968EC" w:rsidP="007968EC">
            <w:pPr>
              <w:rPr>
                <w:rFonts w:ascii="Arial Narrow" w:hAnsi="Arial Narrow" w:cs="Arial"/>
                <w:b/>
                <w:lang w:val="es-ES" w:eastAsia="es-ES"/>
              </w:rPr>
            </w:pPr>
          </w:p>
        </w:tc>
      </w:tr>
      <w:tr w:rsidR="007968EC" w:rsidRPr="00207D41" w14:paraId="464ADE34" w14:textId="77777777" w:rsidTr="007968EC">
        <w:trPr>
          <w:trHeight w:val="1666"/>
        </w:trPr>
        <w:tc>
          <w:tcPr>
            <w:tcW w:w="1119" w:type="dxa"/>
            <w:tcBorders>
              <w:top w:val="single" w:sz="12" w:space="0" w:color="auto"/>
              <w:left w:val="single" w:sz="12" w:space="0" w:color="auto"/>
              <w:bottom w:val="single" w:sz="12" w:space="0" w:color="auto"/>
              <w:right w:val="single" w:sz="12" w:space="0" w:color="auto"/>
            </w:tcBorders>
            <w:hideMark/>
          </w:tcPr>
          <w:p w14:paraId="5443493B"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lastRenderedPageBreak/>
              <w:t>Variable</w:t>
            </w:r>
          </w:p>
        </w:tc>
        <w:tc>
          <w:tcPr>
            <w:tcW w:w="1570" w:type="dxa"/>
            <w:tcBorders>
              <w:top w:val="single" w:sz="12" w:space="0" w:color="auto"/>
              <w:left w:val="single" w:sz="12" w:space="0" w:color="auto"/>
              <w:bottom w:val="single" w:sz="12" w:space="0" w:color="auto"/>
              <w:right w:val="single" w:sz="12" w:space="0" w:color="auto"/>
            </w:tcBorders>
            <w:hideMark/>
          </w:tcPr>
          <w:p w14:paraId="345D2D48"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Compensación y Liquidación del Instrumento Financiero Derivado No Estandarizado</w:t>
            </w:r>
          </w:p>
        </w:tc>
        <w:tc>
          <w:tcPr>
            <w:tcW w:w="2552" w:type="dxa"/>
            <w:tcBorders>
              <w:top w:val="single" w:sz="12" w:space="0" w:color="auto"/>
              <w:left w:val="single" w:sz="12" w:space="0" w:color="auto"/>
              <w:bottom w:val="single" w:sz="12" w:space="0" w:color="auto"/>
              <w:right w:val="single" w:sz="12" w:space="0" w:color="auto"/>
            </w:tcBorders>
          </w:tcPr>
          <w:p w14:paraId="759EFC9E"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r w:rsidRPr="00207D41">
              <w:rPr>
                <w:rFonts w:ascii="Arial Narrow" w:eastAsia="Calibri" w:hAnsi="Arial Narrow" w:cs="Arial"/>
                <w:lang w:val="es-ES" w:eastAsia="es-ES"/>
              </w:rPr>
              <w:t>Forward NDF USD/COP:</w:t>
            </w:r>
          </w:p>
          <w:p w14:paraId="6F4E34F4"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265262B6"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r w:rsidRPr="00207D41">
              <w:rPr>
                <w:rFonts w:ascii="Arial Narrow" w:eastAsia="Calibri" w:hAnsi="Arial Narrow" w:cs="Arial"/>
                <w:lang w:val="es-ES" w:eastAsia="es-ES"/>
              </w:rPr>
              <w:t xml:space="preserve">Tarifa variable para el Instrumento Financiero Derivado No Estandarizado Forward NDF USD/COP establecida como un valor en pesos por cada Dólar de los Estados Unidos de América (USD 1) de una </w:t>
            </w:r>
            <w:r w:rsidRPr="00207D41">
              <w:rPr>
                <w:rFonts w:ascii="Arial Narrow" w:eastAsia="Calibri" w:hAnsi="Arial Narrow" w:cs="Arial"/>
                <w:lang w:val="es-ES" w:eastAsia="es-ES"/>
              </w:rPr>
              <w:lastRenderedPageBreak/>
              <w:t xml:space="preserve">operación y por cada punta de la misma, en la cual se obtiene el derecho de que la Cámara una vez acepte dicha Operación, realice las funciones de Compensación y Liquidación de ésta en las condiciones en que lo establezca el Reglamento de la Cámara. </w:t>
            </w:r>
          </w:p>
          <w:p w14:paraId="41A1B383" w14:textId="77777777" w:rsidR="007968EC" w:rsidRPr="00207D41" w:rsidRDefault="007968EC" w:rsidP="007968EC">
            <w:pPr>
              <w:jc w:val="both"/>
              <w:rPr>
                <w:rFonts w:ascii="Arial Narrow" w:hAnsi="Arial Narrow" w:cs="Arial"/>
                <w:lang w:val="es-ES" w:eastAsia="es-ES"/>
              </w:rPr>
            </w:pPr>
          </w:p>
          <w:p w14:paraId="737088CC" w14:textId="77777777" w:rsidR="007968EC" w:rsidRPr="00207D41" w:rsidRDefault="007968EC" w:rsidP="007968EC">
            <w:pPr>
              <w:rPr>
                <w:rFonts w:ascii="Arial Narrow" w:eastAsia="Calibri" w:hAnsi="Arial Narrow" w:cs="Arial"/>
                <w:lang w:eastAsia="es-ES"/>
              </w:rPr>
            </w:pPr>
            <w:r w:rsidRPr="00207D41">
              <w:rPr>
                <w:rFonts w:ascii="Arial Narrow" w:eastAsia="Calibri" w:hAnsi="Arial Narrow" w:cs="Arial"/>
                <w:lang w:eastAsia="es-ES"/>
              </w:rPr>
              <w:t>OIS IBR Formación:</w:t>
            </w:r>
          </w:p>
          <w:p w14:paraId="3F3CDCA4" w14:textId="77777777" w:rsidR="007968EC" w:rsidRPr="00207D41" w:rsidRDefault="007968EC" w:rsidP="007968EC">
            <w:pPr>
              <w:jc w:val="both"/>
              <w:rPr>
                <w:rFonts w:ascii="Arial Narrow" w:hAnsi="Arial Narrow" w:cs="Arial"/>
                <w:lang w:val="es-ES" w:eastAsia="es-ES"/>
              </w:rPr>
            </w:pPr>
          </w:p>
          <w:p w14:paraId="1CE95406" w14:textId="77777777" w:rsidR="007968EC" w:rsidRPr="00207D41" w:rsidRDefault="007968EC" w:rsidP="007968EC">
            <w:pPr>
              <w:jc w:val="both"/>
              <w:rPr>
                <w:rFonts w:ascii="Arial Narrow" w:eastAsia="Calibri" w:hAnsi="Arial Narrow" w:cs="Arial"/>
                <w:lang w:eastAsia="es-ES"/>
              </w:rPr>
            </w:pPr>
            <w:r w:rsidRPr="00207D41">
              <w:rPr>
                <w:rFonts w:ascii="Arial Narrow" w:eastAsia="Calibri" w:hAnsi="Arial Narrow" w:cs="Arial"/>
                <w:lang w:eastAsia="es-ES"/>
              </w:rPr>
              <w:t>Tarifa Variable para el Instrumento Financiero Derivado No Estandarizado establecida como un valor en pesos por cada mil millones de pesos ($1.000 millones) o su equivalente de una Operación y por cada punta de la misma, en la cual se obtiene el derecho de que la CÁMARA una vez acepte dicha Operación, realice las funciones de Compensación y Liquidación de ésta en las condiciones en que lo establezca el Reglamento de la Cámara.</w:t>
            </w:r>
          </w:p>
          <w:p w14:paraId="3E4938DB" w14:textId="77777777" w:rsidR="007968EC" w:rsidRPr="00207D41" w:rsidRDefault="007968EC" w:rsidP="007968EC">
            <w:pPr>
              <w:jc w:val="both"/>
              <w:rPr>
                <w:rFonts w:ascii="Arial Narrow" w:eastAsia="Calibri" w:hAnsi="Arial Narrow" w:cs="Arial"/>
                <w:lang w:eastAsia="es-ES"/>
              </w:rPr>
            </w:pPr>
          </w:p>
          <w:p w14:paraId="1A16F8C3" w14:textId="77777777" w:rsidR="007968EC" w:rsidRPr="00207D41" w:rsidRDefault="007968EC" w:rsidP="007968EC">
            <w:pPr>
              <w:autoSpaceDE w:val="0"/>
              <w:autoSpaceDN w:val="0"/>
              <w:adjustRightInd w:val="0"/>
              <w:jc w:val="both"/>
              <w:rPr>
                <w:rFonts w:ascii="Arial Narrow" w:eastAsia="Calibri" w:hAnsi="Arial Narrow" w:cs="Arial"/>
                <w:lang w:eastAsia="es-ES"/>
              </w:rPr>
            </w:pPr>
            <w:r w:rsidRPr="00207D41">
              <w:rPr>
                <w:rFonts w:ascii="Arial Narrow" w:eastAsia="Calibri" w:hAnsi="Arial Narrow" w:cs="Arial"/>
                <w:lang w:eastAsia="es-ES"/>
              </w:rPr>
              <w:t>OIS IBR:</w:t>
            </w:r>
          </w:p>
          <w:p w14:paraId="7E520416" w14:textId="77777777" w:rsidR="007968EC" w:rsidRPr="00207D41" w:rsidRDefault="007968EC" w:rsidP="007968EC">
            <w:pPr>
              <w:autoSpaceDE w:val="0"/>
              <w:autoSpaceDN w:val="0"/>
              <w:adjustRightInd w:val="0"/>
              <w:jc w:val="both"/>
              <w:rPr>
                <w:rFonts w:ascii="Arial Narrow" w:eastAsia="Calibri" w:hAnsi="Arial Narrow" w:cs="Arial"/>
                <w:lang w:eastAsia="es-ES"/>
              </w:rPr>
            </w:pPr>
          </w:p>
          <w:p w14:paraId="2B73C97D" w14:textId="77777777" w:rsidR="007968EC" w:rsidRPr="00207D41" w:rsidRDefault="007968EC" w:rsidP="007968EC">
            <w:pPr>
              <w:jc w:val="both"/>
              <w:rPr>
                <w:rFonts w:ascii="Arial Narrow" w:eastAsia="Calibri" w:hAnsi="Arial Narrow" w:cs="Arial"/>
                <w:lang w:eastAsia="es-ES"/>
              </w:rPr>
            </w:pPr>
            <w:r w:rsidRPr="00207D41">
              <w:rPr>
                <w:rFonts w:ascii="Arial Narrow" w:eastAsia="Calibri" w:hAnsi="Arial Narrow" w:cs="Arial"/>
                <w:lang w:eastAsia="es-ES"/>
              </w:rPr>
              <w:t xml:space="preserve">Tarifa Variable para el Instrumento Financiero Derivado No </w:t>
            </w:r>
            <w:r w:rsidRPr="00207D41">
              <w:rPr>
                <w:rFonts w:ascii="Arial Narrow" w:eastAsia="Calibri" w:hAnsi="Arial Narrow" w:cs="Arial"/>
                <w:lang w:eastAsia="es-ES"/>
              </w:rPr>
              <w:lastRenderedPageBreak/>
              <w:t>Estandarizado establecida como un valor en pesos por cada mil millones de pesos ($1.000 millones) o su equivalente de una Operación y por cada punta de la misma, en la cual se obtiene el derecho de que la CÁMARA una vez acepte dicha Operación, realice las funciones de Compensación y Liquidación de ésta en las condiciones en que lo establezca el Reglamento de la Cámara.</w:t>
            </w:r>
          </w:p>
          <w:p w14:paraId="14057FE1" w14:textId="77777777" w:rsidR="007968EC" w:rsidRPr="00207D41" w:rsidRDefault="007968EC" w:rsidP="007968EC">
            <w:pPr>
              <w:jc w:val="both"/>
              <w:rPr>
                <w:rFonts w:ascii="Arial Narrow" w:eastAsia="Calibri" w:hAnsi="Arial Narrow" w:cs="Arial"/>
                <w:lang w:eastAsia="es-ES"/>
              </w:rPr>
            </w:pPr>
          </w:p>
        </w:tc>
        <w:tc>
          <w:tcPr>
            <w:tcW w:w="4254" w:type="dxa"/>
            <w:tcBorders>
              <w:top w:val="single" w:sz="12" w:space="0" w:color="auto"/>
              <w:left w:val="single" w:sz="12" w:space="0" w:color="auto"/>
              <w:bottom w:val="single" w:sz="12" w:space="0" w:color="auto"/>
              <w:right w:val="single" w:sz="12" w:space="0" w:color="auto"/>
            </w:tcBorders>
          </w:tcPr>
          <w:p w14:paraId="32078872"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r w:rsidRPr="00207D41">
              <w:rPr>
                <w:rFonts w:ascii="Arial Narrow" w:eastAsia="Calibri" w:hAnsi="Arial Narrow" w:cs="Arial"/>
                <w:lang w:val="es-ES" w:eastAsia="es-ES"/>
              </w:rPr>
              <w:lastRenderedPageBreak/>
              <w:t>Forward NDF USD/COP:</w:t>
            </w:r>
          </w:p>
          <w:p w14:paraId="660A4F9C"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r w:rsidRPr="00207D41">
              <w:rPr>
                <w:rFonts w:ascii="Arial Narrow" w:eastAsia="Calibri" w:hAnsi="Arial Narrow" w:cs="Arial"/>
                <w:lang w:val="es-ES" w:eastAsia="es-ES"/>
              </w:rPr>
              <w:t xml:space="preserve"> </w:t>
            </w:r>
          </w:p>
          <w:p w14:paraId="349CF77A"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r w:rsidRPr="00207D41">
              <w:rPr>
                <w:rFonts w:ascii="Arial Narrow" w:eastAsia="Calibri" w:hAnsi="Arial Narrow" w:cs="Arial"/>
                <w:lang w:val="es-ES" w:eastAsia="es-ES"/>
              </w:rPr>
              <w:t xml:space="preserve">Se cobrará un importe por cada Dólar de los Estados Unidos de América (USD 1) dependiendo del Valor Nominal de todas las operaciones compensadas y liquidadas durante el mes calendario inmediatamente anterior, de conformidad con la siguiente tabla: </w:t>
            </w:r>
          </w:p>
          <w:p w14:paraId="04CEDB11" w14:textId="77777777" w:rsidR="007968EC" w:rsidRPr="00207D41" w:rsidRDefault="007968EC" w:rsidP="007968EC">
            <w:pPr>
              <w:autoSpaceDE w:val="0"/>
              <w:autoSpaceDN w:val="0"/>
              <w:adjustRightInd w:val="0"/>
              <w:jc w:val="both"/>
              <w:rPr>
                <w:rFonts w:ascii="Arial Narrow" w:eastAsia="Calibri" w:hAnsi="Arial Narrow" w:cs="Arial"/>
                <w:u w:val="single"/>
                <w:lang w:val="es-ES" w:eastAsia="es-ES"/>
              </w:rPr>
            </w:pPr>
          </w:p>
          <w:tbl>
            <w:tblPr>
              <w:tblW w:w="3855" w:type="dxa"/>
              <w:jc w:val="center"/>
              <w:tblLayout w:type="fixed"/>
              <w:tblCellMar>
                <w:left w:w="70" w:type="dxa"/>
                <w:right w:w="70" w:type="dxa"/>
              </w:tblCellMar>
              <w:tblLook w:val="04A0" w:firstRow="1" w:lastRow="0" w:firstColumn="1" w:lastColumn="0" w:noHBand="0" w:noVBand="1"/>
            </w:tblPr>
            <w:tblGrid>
              <w:gridCol w:w="878"/>
              <w:gridCol w:w="1418"/>
              <w:gridCol w:w="1559"/>
            </w:tblGrid>
            <w:tr w:rsidR="007968EC" w:rsidRPr="00207D41" w14:paraId="6371CFB9" w14:textId="77777777" w:rsidTr="007968EC">
              <w:trPr>
                <w:trHeight w:val="540"/>
                <w:jc w:val="center"/>
              </w:trPr>
              <w:tc>
                <w:tcPr>
                  <w:tcW w:w="879" w:type="dxa"/>
                  <w:vMerge w:val="restart"/>
                  <w:tcBorders>
                    <w:top w:val="single" w:sz="4" w:space="0" w:color="auto"/>
                    <w:left w:val="single" w:sz="4" w:space="0" w:color="auto"/>
                    <w:bottom w:val="single" w:sz="4" w:space="0" w:color="auto"/>
                    <w:right w:val="single" w:sz="4" w:space="0" w:color="auto"/>
                  </w:tcBorders>
                  <w:vAlign w:val="bottom"/>
                  <w:hideMark/>
                </w:tcPr>
                <w:p w14:paraId="0EB6C331" w14:textId="77777777" w:rsidR="007968EC" w:rsidRPr="00207D41" w:rsidRDefault="007968EC" w:rsidP="007968EC">
                  <w:pPr>
                    <w:jc w:val="center"/>
                    <w:rPr>
                      <w:rFonts w:ascii="Arial Narrow" w:hAnsi="Arial Narrow" w:cs="Arial"/>
                      <w:b/>
                      <w:color w:val="000000"/>
                      <w:lang w:eastAsia="es-ES"/>
                    </w:rPr>
                  </w:pPr>
                  <w:r w:rsidRPr="00207D41">
                    <w:rPr>
                      <w:rFonts w:ascii="Arial Narrow" w:hAnsi="Arial Narrow" w:cs="Arial"/>
                      <w:b/>
                      <w:color w:val="000000"/>
                      <w:lang w:eastAsia="es-ES"/>
                    </w:rPr>
                    <w:t xml:space="preserve">Importe del </w:t>
                  </w:r>
                  <w:r w:rsidRPr="00207D41">
                    <w:rPr>
                      <w:rFonts w:ascii="Arial Narrow" w:hAnsi="Arial Narrow" w:cs="Arial"/>
                      <w:b/>
                      <w:color w:val="000000"/>
                      <w:lang w:eastAsia="es-ES"/>
                    </w:rPr>
                    <w:lastRenderedPageBreak/>
                    <w:t>Cargo por cada USD 1</w:t>
                  </w:r>
                </w:p>
              </w:tc>
              <w:tc>
                <w:tcPr>
                  <w:tcW w:w="2977" w:type="dxa"/>
                  <w:gridSpan w:val="2"/>
                  <w:tcBorders>
                    <w:top w:val="single" w:sz="4" w:space="0" w:color="auto"/>
                    <w:left w:val="nil"/>
                    <w:bottom w:val="single" w:sz="4" w:space="0" w:color="auto"/>
                    <w:right w:val="single" w:sz="4" w:space="0" w:color="auto"/>
                  </w:tcBorders>
                  <w:hideMark/>
                </w:tcPr>
                <w:p w14:paraId="146AE221" w14:textId="77777777" w:rsidR="007968EC" w:rsidRPr="00207D41" w:rsidRDefault="007968EC" w:rsidP="007968EC">
                  <w:pPr>
                    <w:jc w:val="center"/>
                    <w:rPr>
                      <w:rFonts w:ascii="Arial Narrow" w:hAnsi="Arial Narrow" w:cs="Arial"/>
                      <w:b/>
                      <w:color w:val="000000"/>
                      <w:lang w:eastAsia="es-ES"/>
                    </w:rPr>
                  </w:pPr>
                  <w:r w:rsidRPr="00207D41">
                    <w:rPr>
                      <w:rFonts w:ascii="Arial Narrow" w:hAnsi="Arial Narrow" w:cs="Arial"/>
                      <w:b/>
                      <w:color w:val="000000"/>
                      <w:lang w:eastAsia="es-ES"/>
                    </w:rPr>
                    <w:lastRenderedPageBreak/>
                    <w:t xml:space="preserve">Valor Nominal compensado y liquidado durante el mes </w:t>
                  </w:r>
                  <w:r w:rsidRPr="00207D41">
                    <w:rPr>
                      <w:rFonts w:ascii="Arial Narrow" w:hAnsi="Arial Narrow" w:cs="Arial"/>
                      <w:b/>
                      <w:color w:val="000000"/>
                      <w:lang w:eastAsia="es-ES"/>
                    </w:rPr>
                    <w:lastRenderedPageBreak/>
                    <w:t>inmediatamente anterior (USD)</w:t>
                  </w:r>
                </w:p>
              </w:tc>
            </w:tr>
            <w:tr w:rsidR="007968EC" w:rsidRPr="00207D41" w14:paraId="04F10EED" w14:textId="77777777" w:rsidTr="007968EC">
              <w:trPr>
                <w:trHeight w:val="70"/>
                <w:jc w:val="center"/>
              </w:trPr>
              <w:tc>
                <w:tcPr>
                  <w:tcW w:w="879" w:type="dxa"/>
                  <w:vMerge/>
                  <w:tcBorders>
                    <w:top w:val="single" w:sz="4" w:space="0" w:color="auto"/>
                    <w:left w:val="single" w:sz="4" w:space="0" w:color="auto"/>
                    <w:bottom w:val="single" w:sz="4" w:space="0" w:color="auto"/>
                    <w:right w:val="single" w:sz="4" w:space="0" w:color="auto"/>
                  </w:tcBorders>
                  <w:vAlign w:val="center"/>
                  <w:hideMark/>
                </w:tcPr>
                <w:p w14:paraId="203ACDD7" w14:textId="77777777" w:rsidR="007968EC" w:rsidRPr="00207D41" w:rsidRDefault="007968EC" w:rsidP="007968EC">
                  <w:pPr>
                    <w:spacing w:line="256" w:lineRule="auto"/>
                    <w:rPr>
                      <w:rFonts w:ascii="Arial Narrow" w:hAnsi="Arial Narrow" w:cs="Arial"/>
                      <w:b/>
                      <w:color w:val="000000"/>
                      <w:lang w:eastAsia="es-ES"/>
                    </w:rPr>
                  </w:pPr>
                </w:p>
              </w:tc>
              <w:tc>
                <w:tcPr>
                  <w:tcW w:w="1418" w:type="dxa"/>
                  <w:tcBorders>
                    <w:top w:val="nil"/>
                    <w:left w:val="nil"/>
                    <w:bottom w:val="single" w:sz="4" w:space="0" w:color="auto"/>
                    <w:right w:val="single" w:sz="4" w:space="0" w:color="auto"/>
                  </w:tcBorders>
                  <w:hideMark/>
                </w:tcPr>
                <w:p w14:paraId="0AF77E96" w14:textId="77777777" w:rsidR="007968EC" w:rsidRPr="00207D41" w:rsidRDefault="007968EC" w:rsidP="007968EC">
                  <w:pPr>
                    <w:jc w:val="center"/>
                    <w:rPr>
                      <w:rFonts w:ascii="Arial Narrow" w:hAnsi="Arial Narrow" w:cs="Arial"/>
                      <w:b/>
                      <w:i/>
                      <w:color w:val="000000"/>
                      <w:lang w:eastAsia="es-ES"/>
                    </w:rPr>
                  </w:pPr>
                  <w:r w:rsidRPr="00207D41">
                    <w:rPr>
                      <w:rFonts w:ascii="Arial Narrow" w:hAnsi="Arial Narrow" w:cs="Arial"/>
                      <w:b/>
                      <w:i/>
                      <w:color w:val="000000"/>
                      <w:lang w:eastAsia="es-ES"/>
                    </w:rPr>
                    <w:t>Desde</w:t>
                  </w:r>
                </w:p>
              </w:tc>
              <w:tc>
                <w:tcPr>
                  <w:tcW w:w="1559" w:type="dxa"/>
                  <w:tcBorders>
                    <w:top w:val="nil"/>
                    <w:left w:val="nil"/>
                    <w:bottom w:val="single" w:sz="4" w:space="0" w:color="auto"/>
                    <w:right w:val="single" w:sz="4" w:space="0" w:color="auto"/>
                  </w:tcBorders>
                  <w:hideMark/>
                </w:tcPr>
                <w:p w14:paraId="53BFECEC" w14:textId="77777777" w:rsidR="007968EC" w:rsidRPr="00207D41" w:rsidRDefault="007968EC" w:rsidP="007968EC">
                  <w:pPr>
                    <w:jc w:val="center"/>
                    <w:rPr>
                      <w:rFonts w:ascii="Arial Narrow" w:hAnsi="Arial Narrow" w:cs="Arial"/>
                      <w:b/>
                      <w:i/>
                      <w:color w:val="000000"/>
                      <w:lang w:eastAsia="es-ES"/>
                    </w:rPr>
                  </w:pPr>
                  <w:r w:rsidRPr="00207D41">
                    <w:rPr>
                      <w:rFonts w:ascii="Arial Narrow" w:hAnsi="Arial Narrow" w:cs="Arial"/>
                      <w:b/>
                      <w:i/>
                      <w:color w:val="000000"/>
                      <w:lang w:eastAsia="es-ES"/>
                    </w:rPr>
                    <w:t>Hasta</w:t>
                  </w:r>
                </w:p>
              </w:tc>
            </w:tr>
            <w:tr w:rsidR="007968EC" w:rsidRPr="00207D41" w14:paraId="123E6079" w14:textId="77777777" w:rsidTr="007968EC">
              <w:trPr>
                <w:trHeight w:val="165"/>
                <w:jc w:val="center"/>
              </w:trPr>
              <w:tc>
                <w:tcPr>
                  <w:tcW w:w="879" w:type="dxa"/>
                  <w:tcBorders>
                    <w:top w:val="nil"/>
                    <w:left w:val="single" w:sz="4" w:space="0" w:color="auto"/>
                    <w:bottom w:val="single" w:sz="4" w:space="0" w:color="auto"/>
                    <w:right w:val="single" w:sz="4" w:space="0" w:color="auto"/>
                  </w:tcBorders>
                  <w:hideMark/>
                </w:tcPr>
                <w:p w14:paraId="2ED650DF" w14:textId="77777777" w:rsidR="007968EC" w:rsidRPr="00207D41" w:rsidRDefault="007968EC" w:rsidP="007968EC">
                  <w:pPr>
                    <w:jc w:val="center"/>
                    <w:rPr>
                      <w:rFonts w:ascii="Arial Narrow" w:hAnsi="Arial Narrow" w:cs="Arial"/>
                      <w:color w:val="000000"/>
                      <w:lang w:eastAsia="es-ES"/>
                    </w:rPr>
                  </w:pPr>
                  <w:r w:rsidRPr="00207D41">
                    <w:rPr>
                      <w:rFonts w:ascii="Arial Narrow" w:hAnsi="Arial Narrow" w:cs="Arial"/>
                      <w:color w:val="000000"/>
                      <w:lang w:eastAsia="es-ES"/>
                    </w:rPr>
                    <w:t>COP $ 0</w:t>
                  </w:r>
                  <w:r w:rsidRPr="00207D41">
                    <w:rPr>
                      <w:rFonts w:ascii="Arial Narrow" w:hAnsi="Arial Narrow"/>
                      <w:color w:val="000000"/>
                      <w:lang w:eastAsia="es-CO"/>
                    </w:rPr>
                    <w:t>.</w:t>
                  </w:r>
                  <w:r w:rsidRPr="00207D41">
                    <w:rPr>
                      <w:rFonts w:ascii="Arial Narrow" w:hAnsi="Arial Narrow" w:cs="Arial"/>
                      <w:color w:val="000000"/>
                      <w:lang w:eastAsia="es-ES"/>
                    </w:rPr>
                    <w:t>0720</w:t>
                  </w:r>
                </w:p>
              </w:tc>
              <w:tc>
                <w:tcPr>
                  <w:tcW w:w="1418" w:type="dxa"/>
                  <w:tcBorders>
                    <w:top w:val="nil"/>
                    <w:left w:val="nil"/>
                    <w:bottom w:val="single" w:sz="4" w:space="0" w:color="auto"/>
                    <w:right w:val="single" w:sz="4" w:space="0" w:color="auto"/>
                  </w:tcBorders>
                  <w:hideMark/>
                </w:tcPr>
                <w:p w14:paraId="6EE94C62" w14:textId="77777777" w:rsidR="007968EC" w:rsidRPr="00207D41" w:rsidRDefault="007968EC" w:rsidP="007968EC">
                  <w:pPr>
                    <w:jc w:val="center"/>
                    <w:rPr>
                      <w:rFonts w:ascii="Arial Narrow" w:hAnsi="Arial Narrow" w:cs="Arial"/>
                      <w:color w:val="000000"/>
                      <w:lang w:eastAsia="es-ES"/>
                    </w:rPr>
                  </w:pPr>
                  <w:r w:rsidRPr="00207D41">
                    <w:rPr>
                      <w:rFonts w:ascii="Arial Narrow" w:hAnsi="Arial Narrow" w:cs="Arial"/>
                      <w:color w:val="000000"/>
                      <w:lang w:eastAsia="es-ES"/>
                    </w:rPr>
                    <w:t>-</w:t>
                  </w:r>
                </w:p>
              </w:tc>
              <w:tc>
                <w:tcPr>
                  <w:tcW w:w="1559" w:type="dxa"/>
                  <w:tcBorders>
                    <w:top w:val="nil"/>
                    <w:left w:val="nil"/>
                    <w:bottom w:val="single" w:sz="4" w:space="0" w:color="auto"/>
                    <w:right w:val="single" w:sz="4" w:space="0" w:color="auto"/>
                  </w:tcBorders>
                  <w:hideMark/>
                </w:tcPr>
                <w:p w14:paraId="07242F7C" w14:textId="77777777" w:rsidR="007968EC" w:rsidRPr="00207D41" w:rsidRDefault="007968EC" w:rsidP="007968EC">
                  <w:pPr>
                    <w:jc w:val="center"/>
                    <w:rPr>
                      <w:rFonts w:ascii="Arial Narrow" w:hAnsi="Arial Narrow" w:cs="Arial"/>
                      <w:color w:val="000000"/>
                      <w:lang w:eastAsia="es-ES"/>
                    </w:rPr>
                  </w:pPr>
                  <w:r w:rsidRPr="00207D41">
                    <w:rPr>
                      <w:rFonts w:ascii="Arial Narrow" w:hAnsi="Arial Narrow" w:cs="Arial"/>
                      <w:color w:val="000000"/>
                      <w:lang w:eastAsia="es-ES"/>
                    </w:rPr>
                    <w:t>373.000.000</w:t>
                  </w:r>
                </w:p>
              </w:tc>
            </w:tr>
            <w:tr w:rsidR="007968EC" w:rsidRPr="00207D41" w14:paraId="154A5753" w14:textId="77777777" w:rsidTr="007968EC">
              <w:trPr>
                <w:trHeight w:val="98"/>
                <w:jc w:val="center"/>
              </w:trPr>
              <w:tc>
                <w:tcPr>
                  <w:tcW w:w="879" w:type="dxa"/>
                  <w:tcBorders>
                    <w:top w:val="nil"/>
                    <w:left w:val="single" w:sz="4" w:space="0" w:color="auto"/>
                    <w:bottom w:val="single" w:sz="4" w:space="0" w:color="auto"/>
                    <w:right w:val="single" w:sz="4" w:space="0" w:color="auto"/>
                  </w:tcBorders>
                  <w:hideMark/>
                </w:tcPr>
                <w:p w14:paraId="7E07ACD0" w14:textId="77777777" w:rsidR="007968EC" w:rsidRPr="00207D41" w:rsidRDefault="007968EC" w:rsidP="007968EC">
                  <w:pPr>
                    <w:jc w:val="center"/>
                    <w:rPr>
                      <w:rFonts w:ascii="Arial Narrow" w:hAnsi="Arial Narrow" w:cs="Arial"/>
                      <w:color w:val="000000"/>
                      <w:lang w:eastAsia="es-ES"/>
                    </w:rPr>
                  </w:pPr>
                  <w:r w:rsidRPr="00207D41">
                    <w:rPr>
                      <w:rFonts w:ascii="Arial Narrow" w:hAnsi="Arial Narrow" w:cs="Arial"/>
                      <w:color w:val="000000"/>
                      <w:lang w:eastAsia="es-ES"/>
                    </w:rPr>
                    <w:t>COP $ 0</w:t>
                  </w:r>
                  <w:r w:rsidRPr="00207D41">
                    <w:rPr>
                      <w:rFonts w:ascii="Arial Narrow" w:hAnsi="Arial Narrow"/>
                      <w:color w:val="000000"/>
                      <w:lang w:eastAsia="es-CO"/>
                    </w:rPr>
                    <w:t>.</w:t>
                  </w:r>
                  <w:r w:rsidRPr="00207D41">
                    <w:rPr>
                      <w:rFonts w:ascii="Arial Narrow" w:hAnsi="Arial Narrow" w:cs="Arial"/>
                      <w:color w:val="000000"/>
                      <w:lang w:eastAsia="es-ES"/>
                    </w:rPr>
                    <w:t>0660</w:t>
                  </w:r>
                </w:p>
              </w:tc>
              <w:tc>
                <w:tcPr>
                  <w:tcW w:w="1418" w:type="dxa"/>
                  <w:tcBorders>
                    <w:top w:val="nil"/>
                    <w:left w:val="nil"/>
                    <w:bottom w:val="single" w:sz="4" w:space="0" w:color="auto"/>
                    <w:right w:val="single" w:sz="4" w:space="0" w:color="auto"/>
                  </w:tcBorders>
                  <w:hideMark/>
                </w:tcPr>
                <w:p w14:paraId="077DA3DF" w14:textId="77777777" w:rsidR="007968EC" w:rsidRPr="00207D41" w:rsidRDefault="007968EC" w:rsidP="007968EC">
                  <w:pPr>
                    <w:jc w:val="center"/>
                    <w:rPr>
                      <w:rFonts w:ascii="Arial Narrow" w:hAnsi="Arial Narrow" w:cs="Arial"/>
                      <w:color w:val="000000"/>
                      <w:lang w:eastAsia="es-ES"/>
                    </w:rPr>
                  </w:pPr>
                  <w:r w:rsidRPr="00207D41">
                    <w:rPr>
                      <w:rFonts w:ascii="Arial Narrow" w:hAnsi="Arial Narrow" w:cs="Arial"/>
                      <w:color w:val="000000"/>
                      <w:lang w:eastAsia="es-ES"/>
                    </w:rPr>
                    <w:t>373.000.001</w:t>
                  </w:r>
                </w:p>
              </w:tc>
              <w:tc>
                <w:tcPr>
                  <w:tcW w:w="1559" w:type="dxa"/>
                  <w:tcBorders>
                    <w:top w:val="nil"/>
                    <w:left w:val="nil"/>
                    <w:bottom w:val="single" w:sz="4" w:space="0" w:color="auto"/>
                    <w:right w:val="single" w:sz="4" w:space="0" w:color="auto"/>
                  </w:tcBorders>
                  <w:hideMark/>
                </w:tcPr>
                <w:p w14:paraId="7A0462AC" w14:textId="77777777" w:rsidR="007968EC" w:rsidRPr="00207D41" w:rsidRDefault="007968EC" w:rsidP="007968EC">
                  <w:pPr>
                    <w:jc w:val="center"/>
                    <w:rPr>
                      <w:rFonts w:ascii="Arial Narrow" w:hAnsi="Arial Narrow" w:cs="Arial"/>
                      <w:color w:val="000000"/>
                      <w:lang w:eastAsia="es-ES"/>
                    </w:rPr>
                  </w:pPr>
                  <w:r w:rsidRPr="00207D41">
                    <w:rPr>
                      <w:rFonts w:ascii="Arial Narrow" w:hAnsi="Arial Narrow" w:cs="Arial"/>
                      <w:color w:val="000000"/>
                      <w:lang w:eastAsia="es-ES"/>
                    </w:rPr>
                    <w:t>746.000.000</w:t>
                  </w:r>
                </w:p>
              </w:tc>
            </w:tr>
            <w:tr w:rsidR="007968EC" w:rsidRPr="00207D41" w14:paraId="270385AB" w14:textId="77777777" w:rsidTr="007968EC">
              <w:trPr>
                <w:trHeight w:val="70"/>
                <w:jc w:val="center"/>
              </w:trPr>
              <w:tc>
                <w:tcPr>
                  <w:tcW w:w="879" w:type="dxa"/>
                  <w:tcBorders>
                    <w:top w:val="nil"/>
                    <w:left w:val="single" w:sz="4" w:space="0" w:color="auto"/>
                    <w:bottom w:val="single" w:sz="4" w:space="0" w:color="auto"/>
                    <w:right w:val="single" w:sz="4" w:space="0" w:color="auto"/>
                  </w:tcBorders>
                  <w:hideMark/>
                </w:tcPr>
                <w:p w14:paraId="6004C1EC" w14:textId="77777777" w:rsidR="007968EC" w:rsidRPr="00207D41" w:rsidRDefault="007968EC" w:rsidP="007968EC">
                  <w:pPr>
                    <w:jc w:val="center"/>
                    <w:rPr>
                      <w:rFonts w:ascii="Arial Narrow" w:hAnsi="Arial Narrow" w:cs="Arial"/>
                      <w:color w:val="000000"/>
                      <w:lang w:eastAsia="es-ES"/>
                    </w:rPr>
                  </w:pPr>
                  <w:r w:rsidRPr="00207D41">
                    <w:rPr>
                      <w:rFonts w:ascii="Arial Narrow" w:hAnsi="Arial Narrow" w:cs="Arial"/>
                      <w:color w:val="000000"/>
                      <w:lang w:eastAsia="es-ES"/>
                    </w:rPr>
                    <w:t>COP $ 0</w:t>
                  </w:r>
                  <w:r w:rsidRPr="00207D41">
                    <w:rPr>
                      <w:rFonts w:ascii="Arial Narrow" w:hAnsi="Arial Narrow"/>
                      <w:color w:val="000000"/>
                      <w:lang w:eastAsia="es-CO"/>
                    </w:rPr>
                    <w:t>.</w:t>
                  </w:r>
                  <w:r w:rsidRPr="00207D41">
                    <w:rPr>
                      <w:rFonts w:ascii="Arial Narrow" w:hAnsi="Arial Narrow" w:cs="Arial"/>
                      <w:color w:val="000000"/>
                      <w:lang w:eastAsia="es-ES"/>
                    </w:rPr>
                    <w:t>0560</w:t>
                  </w:r>
                </w:p>
              </w:tc>
              <w:tc>
                <w:tcPr>
                  <w:tcW w:w="1418" w:type="dxa"/>
                  <w:tcBorders>
                    <w:top w:val="nil"/>
                    <w:left w:val="nil"/>
                    <w:bottom w:val="single" w:sz="4" w:space="0" w:color="auto"/>
                    <w:right w:val="single" w:sz="4" w:space="0" w:color="auto"/>
                  </w:tcBorders>
                  <w:hideMark/>
                </w:tcPr>
                <w:p w14:paraId="31907279" w14:textId="77777777" w:rsidR="007968EC" w:rsidRPr="00207D41" w:rsidRDefault="007968EC" w:rsidP="007968EC">
                  <w:pPr>
                    <w:jc w:val="center"/>
                    <w:rPr>
                      <w:rFonts w:ascii="Arial Narrow" w:hAnsi="Arial Narrow" w:cs="Arial"/>
                      <w:color w:val="000000"/>
                      <w:lang w:eastAsia="es-ES"/>
                    </w:rPr>
                  </w:pPr>
                  <w:r w:rsidRPr="00207D41">
                    <w:rPr>
                      <w:rFonts w:ascii="Arial Narrow" w:hAnsi="Arial Narrow" w:cs="Arial"/>
                      <w:color w:val="000000"/>
                      <w:lang w:eastAsia="es-ES"/>
                    </w:rPr>
                    <w:t>746.000.001</w:t>
                  </w:r>
                </w:p>
              </w:tc>
              <w:tc>
                <w:tcPr>
                  <w:tcW w:w="1559" w:type="dxa"/>
                  <w:tcBorders>
                    <w:top w:val="nil"/>
                    <w:left w:val="nil"/>
                    <w:bottom w:val="single" w:sz="4" w:space="0" w:color="auto"/>
                    <w:right w:val="single" w:sz="4" w:space="0" w:color="auto"/>
                  </w:tcBorders>
                  <w:hideMark/>
                </w:tcPr>
                <w:p w14:paraId="0D84497A" w14:textId="77777777" w:rsidR="007968EC" w:rsidRPr="00207D41" w:rsidRDefault="007968EC" w:rsidP="007968EC">
                  <w:pPr>
                    <w:jc w:val="center"/>
                    <w:rPr>
                      <w:rFonts w:ascii="Arial Narrow" w:hAnsi="Arial Narrow" w:cs="Arial"/>
                      <w:color w:val="000000"/>
                      <w:lang w:eastAsia="es-ES"/>
                    </w:rPr>
                  </w:pPr>
                  <w:r w:rsidRPr="00207D41">
                    <w:rPr>
                      <w:rFonts w:ascii="Arial Narrow" w:hAnsi="Arial Narrow" w:cs="Arial"/>
                      <w:color w:val="000000"/>
                      <w:lang w:eastAsia="es-ES"/>
                    </w:rPr>
                    <w:t>1.487.000.000</w:t>
                  </w:r>
                </w:p>
              </w:tc>
            </w:tr>
            <w:tr w:rsidR="007968EC" w:rsidRPr="00207D41" w14:paraId="3159383B" w14:textId="77777777" w:rsidTr="007968EC">
              <w:trPr>
                <w:trHeight w:val="89"/>
                <w:jc w:val="center"/>
              </w:trPr>
              <w:tc>
                <w:tcPr>
                  <w:tcW w:w="879" w:type="dxa"/>
                  <w:tcBorders>
                    <w:top w:val="nil"/>
                    <w:left w:val="single" w:sz="4" w:space="0" w:color="auto"/>
                    <w:bottom w:val="single" w:sz="4" w:space="0" w:color="auto"/>
                    <w:right w:val="single" w:sz="4" w:space="0" w:color="auto"/>
                  </w:tcBorders>
                  <w:hideMark/>
                </w:tcPr>
                <w:p w14:paraId="4D2BBB60" w14:textId="77777777" w:rsidR="007968EC" w:rsidRPr="00207D41" w:rsidRDefault="007968EC" w:rsidP="007968EC">
                  <w:pPr>
                    <w:jc w:val="center"/>
                    <w:rPr>
                      <w:rFonts w:ascii="Arial Narrow" w:hAnsi="Arial Narrow" w:cs="Arial"/>
                      <w:color w:val="000000"/>
                      <w:lang w:eastAsia="es-ES"/>
                    </w:rPr>
                  </w:pPr>
                  <w:r w:rsidRPr="00207D41">
                    <w:rPr>
                      <w:rFonts w:ascii="Arial Narrow" w:hAnsi="Arial Narrow" w:cs="Arial"/>
                      <w:color w:val="000000"/>
                      <w:lang w:eastAsia="es-ES"/>
                    </w:rPr>
                    <w:t>COP $ 0</w:t>
                  </w:r>
                  <w:r w:rsidRPr="00207D41">
                    <w:rPr>
                      <w:rFonts w:ascii="Arial Narrow" w:hAnsi="Arial Narrow"/>
                      <w:color w:val="000000"/>
                      <w:lang w:eastAsia="es-CO"/>
                    </w:rPr>
                    <w:t>.</w:t>
                  </w:r>
                  <w:r w:rsidRPr="00207D41">
                    <w:rPr>
                      <w:rFonts w:ascii="Arial Narrow" w:hAnsi="Arial Narrow" w:cs="Arial"/>
                      <w:color w:val="000000"/>
                      <w:lang w:eastAsia="es-ES"/>
                    </w:rPr>
                    <w:t>0400</w:t>
                  </w:r>
                </w:p>
              </w:tc>
              <w:tc>
                <w:tcPr>
                  <w:tcW w:w="1418" w:type="dxa"/>
                  <w:tcBorders>
                    <w:top w:val="nil"/>
                    <w:left w:val="nil"/>
                    <w:bottom w:val="single" w:sz="4" w:space="0" w:color="auto"/>
                    <w:right w:val="single" w:sz="4" w:space="0" w:color="auto"/>
                  </w:tcBorders>
                  <w:hideMark/>
                </w:tcPr>
                <w:p w14:paraId="21C02BF1" w14:textId="77777777" w:rsidR="007968EC" w:rsidRPr="00207D41" w:rsidRDefault="007968EC" w:rsidP="007968EC">
                  <w:pPr>
                    <w:jc w:val="center"/>
                    <w:rPr>
                      <w:rFonts w:ascii="Arial Narrow" w:hAnsi="Arial Narrow" w:cs="Arial"/>
                      <w:color w:val="000000"/>
                      <w:lang w:eastAsia="es-ES"/>
                    </w:rPr>
                  </w:pPr>
                  <w:r w:rsidRPr="00207D41">
                    <w:rPr>
                      <w:rFonts w:ascii="Arial Narrow" w:hAnsi="Arial Narrow" w:cs="Arial"/>
                      <w:color w:val="000000"/>
                      <w:lang w:eastAsia="es-ES"/>
                    </w:rPr>
                    <w:t>1.487.000.001</w:t>
                  </w:r>
                </w:p>
              </w:tc>
              <w:tc>
                <w:tcPr>
                  <w:tcW w:w="1559" w:type="dxa"/>
                  <w:tcBorders>
                    <w:top w:val="nil"/>
                    <w:left w:val="nil"/>
                    <w:bottom w:val="single" w:sz="4" w:space="0" w:color="auto"/>
                    <w:right w:val="single" w:sz="4" w:space="0" w:color="auto"/>
                  </w:tcBorders>
                  <w:hideMark/>
                </w:tcPr>
                <w:p w14:paraId="64627CC3" w14:textId="77777777" w:rsidR="007968EC" w:rsidRPr="00207D41" w:rsidRDefault="007968EC" w:rsidP="007968EC">
                  <w:pPr>
                    <w:jc w:val="center"/>
                    <w:rPr>
                      <w:rFonts w:ascii="Arial Narrow" w:hAnsi="Arial Narrow" w:cs="Arial"/>
                      <w:color w:val="000000"/>
                      <w:lang w:eastAsia="es-ES"/>
                    </w:rPr>
                  </w:pPr>
                  <w:r w:rsidRPr="00207D41">
                    <w:rPr>
                      <w:rFonts w:ascii="Arial Narrow" w:hAnsi="Arial Narrow" w:cs="Arial"/>
                      <w:color w:val="000000"/>
                      <w:lang w:eastAsia="es-ES"/>
                    </w:rPr>
                    <w:t>2.595.000.000</w:t>
                  </w:r>
                </w:p>
              </w:tc>
            </w:tr>
            <w:tr w:rsidR="007968EC" w:rsidRPr="00207D41" w14:paraId="166D3D95" w14:textId="77777777" w:rsidTr="007968EC">
              <w:trPr>
                <w:trHeight w:val="70"/>
                <w:jc w:val="center"/>
              </w:trPr>
              <w:tc>
                <w:tcPr>
                  <w:tcW w:w="879" w:type="dxa"/>
                  <w:tcBorders>
                    <w:top w:val="nil"/>
                    <w:left w:val="single" w:sz="4" w:space="0" w:color="auto"/>
                    <w:bottom w:val="single" w:sz="4" w:space="0" w:color="auto"/>
                    <w:right w:val="single" w:sz="4" w:space="0" w:color="auto"/>
                  </w:tcBorders>
                  <w:hideMark/>
                </w:tcPr>
                <w:p w14:paraId="46CEFEC8" w14:textId="77777777" w:rsidR="007968EC" w:rsidRPr="00207D41" w:rsidRDefault="007968EC" w:rsidP="007968EC">
                  <w:pPr>
                    <w:jc w:val="center"/>
                    <w:rPr>
                      <w:rFonts w:ascii="Arial Narrow" w:hAnsi="Arial Narrow" w:cs="Arial"/>
                      <w:color w:val="000000"/>
                      <w:lang w:eastAsia="es-ES"/>
                    </w:rPr>
                  </w:pPr>
                  <w:r w:rsidRPr="00207D41">
                    <w:rPr>
                      <w:rFonts w:ascii="Arial Narrow" w:hAnsi="Arial Narrow" w:cs="Arial"/>
                      <w:color w:val="000000"/>
                      <w:lang w:eastAsia="es-ES"/>
                    </w:rPr>
                    <w:t>COP $ 0</w:t>
                  </w:r>
                  <w:r w:rsidRPr="00207D41">
                    <w:rPr>
                      <w:rFonts w:ascii="Arial Narrow" w:hAnsi="Arial Narrow"/>
                      <w:color w:val="000000"/>
                      <w:lang w:eastAsia="es-CO"/>
                    </w:rPr>
                    <w:t>.</w:t>
                  </w:r>
                  <w:r w:rsidRPr="00207D41">
                    <w:rPr>
                      <w:rFonts w:ascii="Arial Narrow" w:hAnsi="Arial Narrow" w:cs="Arial"/>
                      <w:color w:val="000000"/>
                      <w:lang w:eastAsia="es-ES"/>
                    </w:rPr>
                    <w:t>0380</w:t>
                  </w:r>
                </w:p>
              </w:tc>
              <w:tc>
                <w:tcPr>
                  <w:tcW w:w="1418" w:type="dxa"/>
                  <w:tcBorders>
                    <w:top w:val="nil"/>
                    <w:left w:val="nil"/>
                    <w:bottom w:val="single" w:sz="4" w:space="0" w:color="auto"/>
                    <w:right w:val="single" w:sz="4" w:space="0" w:color="auto"/>
                  </w:tcBorders>
                  <w:hideMark/>
                </w:tcPr>
                <w:p w14:paraId="0E112636" w14:textId="77777777" w:rsidR="007968EC" w:rsidRPr="00207D41" w:rsidRDefault="007968EC" w:rsidP="007968EC">
                  <w:pPr>
                    <w:jc w:val="center"/>
                    <w:rPr>
                      <w:rFonts w:ascii="Arial Narrow" w:hAnsi="Arial Narrow" w:cs="Arial"/>
                      <w:color w:val="000000"/>
                      <w:lang w:eastAsia="es-ES"/>
                    </w:rPr>
                  </w:pPr>
                  <w:r w:rsidRPr="00207D41">
                    <w:rPr>
                      <w:rFonts w:ascii="Arial Narrow" w:hAnsi="Arial Narrow" w:cs="Arial"/>
                      <w:color w:val="000000"/>
                      <w:lang w:eastAsia="es-ES"/>
                    </w:rPr>
                    <w:t>2.595.000.001</w:t>
                  </w:r>
                </w:p>
              </w:tc>
              <w:tc>
                <w:tcPr>
                  <w:tcW w:w="1559" w:type="dxa"/>
                  <w:tcBorders>
                    <w:top w:val="nil"/>
                    <w:left w:val="nil"/>
                    <w:bottom w:val="single" w:sz="4" w:space="0" w:color="auto"/>
                    <w:right w:val="single" w:sz="4" w:space="0" w:color="auto"/>
                  </w:tcBorders>
                  <w:hideMark/>
                </w:tcPr>
                <w:p w14:paraId="42F39A24" w14:textId="77777777" w:rsidR="007968EC" w:rsidRPr="00207D41" w:rsidRDefault="007968EC" w:rsidP="007968EC">
                  <w:pPr>
                    <w:jc w:val="center"/>
                    <w:rPr>
                      <w:rFonts w:ascii="Arial Narrow" w:hAnsi="Arial Narrow" w:cs="Arial"/>
                      <w:color w:val="000000"/>
                      <w:lang w:eastAsia="es-ES"/>
                    </w:rPr>
                  </w:pPr>
                  <w:r w:rsidRPr="00207D41">
                    <w:rPr>
                      <w:rFonts w:ascii="Arial Narrow" w:hAnsi="Arial Narrow" w:cs="Arial"/>
                      <w:color w:val="000000"/>
                      <w:lang w:eastAsia="es-ES"/>
                    </w:rPr>
                    <w:t>en adelante</w:t>
                  </w:r>
                </w:p>
              </w:tc>
            </w:tr>
          </w:tbl>
          <w:p w14:paraId="77E0432F" w14:textId="77777777" w:rsidR="007968EC" w:rsidRPr="00207D41" w:rsidRDefault="007968EC" w:rsidP="007968EC">
            <w:pPr>
              <w:jc w:val="both"/>
              <w:rPr>
                <w:rFonts w:ascii="Arial Narrow" w:hAnsi="Arial Narrow" w:cs="Arial"/>
                <w:lang w:val="es-ES" w:eastAsia="es-ES"/>
              </w:rPr>
            </w:pPr>
          </w:p>
          <w:p w14:paraId="717E5BE8" w14:textId="77777777" w:rsidR="007968EC" w:rsidRPr="00207D41" w:rsidRDefault="007968EC" w:rsidP="007968EC">
            <w:pPr>
              <w:autoSpaceDE w:val="0"/>
              <w:autoSpaceDN w:val="0"/>
              <w:adjustRightInd w:val="0"/>
              <w:jc w:val="both"/>
              <w:rPr>
                <w:rFonts w:ascii="Arial Narrow" w:eastAsia="Calibri" w:hAnsi="Arial Narrow" w:cs="Arial"/>
                <w:lang w:eastAsia="es-ES"/>
              </w:rPr>
            </w:pPr>
            <w:r w:rsidRPr="00207D41">
              <w:rPr>
                <w:rFonts w:ascii="Arial Narrow" w:eastAsia="Calibri" w:hAnsi="Arial Narrow" w:cs="Arial"/>
                <w:lang w:val="es-ES" w:eastAsia="es-ES"/>
              </w:rPr>
              <w:t>El cálculo del Valor Nominal de las operaciones compensadas y liquidadas durante el mes calendario inmediatamente anterior, resultará de la suma del Valor Nominal de todas las operaciones compensadas y liquidadas que correspondan a la estructura de Cuentas del mismo Miembro Liquidador.</w:t>
            </w:r>
          </w:p>
          <w:p w14:paraId="1798BA9C" w14:textId="77777777" w:rsidR="007968EC" w:rsidRPr="00207D41" w:rsidRDefault="007968EC" w:rsidP="007968EC">
            <w:pPr>
              <w:rPr>
                <w:rFonts w:ascii="Arial Narrow" w:eastAsia="Calibri" w:hAnsi="Arial Narrow" w:cs="Arial"/>
                <w:lang w:eastAsia="es-ES"/>
              </w:rPr>
            </w:pPr>
          </w:p>
          <w:p w14:paraId="593BB8BB" w14:textId="77777777" w:rsidR="007968EC" w:rsidRPr="00207D41" w:rsidRDefault="007968EC" w:rsidP="007968EC">
            <w:pPr>
              <w:rPr>
                <w:rFonts w:ascii="Arial Narrow" w:eastAsia="Calibri" w:hAnsi="Arial Narrow" w:cs="Arial"/>
                <w:lang w:eastAsia="es-ES"/>
              </w:rPr>
            </w:pPr>
            <w:r w:rsidRPr="00207D41">
              <w:rPr>
                <w:rFonts w:ascii="Arial Narrow" w:eastAsia="Calibri" w:hAnsi="Arial Narrow" w:cs="Arial"/>
                <w:lang w:eastAsia="es-ES"/>
              </w:rPr>
              <w:t>OIS IBR Formación:</w:t>
            </w:r>
          </w:p>
          <w:p w14:paraId="632AB167" w14:textId="77777777" w:rsidR="007968EC" w:rsidRPr="00207D41" w:rsidRDefault="007968EC" w:rsidP="007968EC">
            <w:pPr>
              <w:rPr>
                <w:rFonts w:ascii="Arial Narrow" w:eastAsia="Calibri" w:hAnsi="Arial Narrow" w:cs="Arial"/>
                <w:lang w:eastAsia="es-ES"/>
              </w:rPr>
            </w:pPr>
          </w:p>
          <w:p w14:paraId="77E4A397" w14:textId="77777777" w:rsidR="007968EC" w:rsidRPr="00207D41" w:rsidRDefault="007968EC" w:rsidP="007968EC">
            <w:pPr>
              <w:rPr>
                <w:rFonts w:ascii="Arial Narrow" w:eastAsia="Calibri" w:hAnsi="Arial Narrow" w:cs="Arial"/>
                <w:color w:val="000000"/>
                <w:lang w:eastAsia="es-ES"/>
              </w:rPr>
            </w:pPr>
            <w:r w:rsidRPr="00207D41">
              <w:rPr>
                <w:rFonts w:ascii="Arial Narrow" w:eastAsia="Calibri" w:hAnsi="Arial Narrow" w:cs="Arial"/>
                <w:lang w:eastAsia="es-ES"/>
              </w:rPr>
              <w:t xml:space="preserve">Se cobrará un </w:t>
            </w:r>
            <w:r w:rsidRPr="00207D41">
              <w:rPr>
                <w:rFonts w:ascii="Arial Narrow" w:eastAsia="Calibri" w:hAnsi="Arial Narrow" w:cs="Arial"/>
                <w:color w:val="000000"/>
                <w:lang w:eastAsia="es-ES"/>
              </w:rPr>
              <w:t>importe del cargo por cada monto nominal equivalente a COP $</w:t>
            </w:r>
            <w:r w:rsidRPr="00207D41">
              <w:rPr>
                <w:rFonts w:ascii="Arial Narrow" w:eastAsia="Calibri" w:hAnsi="Arial Narrow"/>
                <w:bCs/>
                <w:color w:val="000000"/>
              </w:rPr>
              <w:t>1.000</w:t>
            </w:r>
            <w:r w:rsidRPr="00207D41">
              <w:rPr>
                <w:rFonts w:ascii="Arial Narrow" w:eastAsia="Calibri" w:hAnsi="Arial Narrow" w:cs="Arial"/>
                <w:color w:val="000000"/>
                <w:lang w:eastAsia="es-ES"/>
              </w:rPr>
              <w:t xml:space="preserve"> Millones: </w:t>
            </w:r>
          </w:p>
          <w:p w14:paraId="1964DCA2" w14:textId="77777777" w:rsidR="007968EC" w:rsidRPr="00207D41" w:rsidRDefault="007968EC" w:rsidP="007968EC">
            <w:pPr>
              <w:rPr>
                <w:rFonts w:ascii="Arial Narrow" w:eastAsia="Calibri" w:hAnsi="Arial Narrow" w:cs="Arial"/>
                <w:color w:val="000000"/>
                <w:lang w:eastAsia="es-ES"/>
              </w:rPr>
            </w:pPr>
          </w:p>
          <w:tbl>
            <w:tblPr>
              <w:tblW w:w="3855" w:type="dxa"/>
              <w:jc w:val="center"/>
              <w:tblLayout w:type="fixed"/>
              <w:tblLook w:val="04A0" w:firstRow="1" w:lastRow="0" w:firstColumn="1" w:lastColumn="0" w:noHBand="0" w:noVBand="1"/>
            </w:tblPr>
            <w:tblGrid>
              <w:gridCol w:w="1435"/>
              <w:gridCol w:w="709"/>
              <w:gridCol w:w="1711"/>
            </w:tblGrid>
            <w:tr w:rsidR="007968EC" w:rsidRPr="00207D41" w14:paraId="744A0D86" w14:textId="77777777" w:rsidTr="007968EC">
              <w:trPr>
                <w:jc w:val="center"/>
              </w:trPr>
              <w:tc>
                <w:tcPr>
                  <w:tcW w:w="1436" w:type="dxa"/>
                  <w:tcBorders>
                    <w:top w:val="single" w:sz="4" w:space="0" w:color="auto"/>
                    <w:left w:val="single" w:sz="4" w:space="0" w:color="auto"/>
                    <w:bottom w:val="single" w:sz="4" w:space="0" w:color="auto"/>
                    <w:right w:val="single" w:sz="4" w:space="0" w:color="auto"/>
                  </w:tcBorders>
                  <w:hideMark/>
                </w:tcPr>
                <w:p w14:paraId="4D70E13B" w14:textId="77777777" w:rsidR="007968EC" w:rsidRPr="00207D41" w:rsidRDefault="007968EC" w:rsidP="007968EC">
                  <w:pPr>
                    <w:rPr>
                      <w:rFonts w:ascii="Arial Narrow" w:hAnsi="Arial Narrow"/>
                      <w:b/>
                      <w:color w:val="000000"/>
                    </w:rPr>
                  </w:pPr>
                  <w:r w:rsidRPr="00207D41">
                    <w:rPr>
                      <w:rFonts w:ascii="Arial Narrow" w:hAnsi="Arial Narrow"/>
                      <w:b/>
                      <w:color w:val="000000"/>
                    </w:rPr>
                    <w:t>Vencimiento</w:t>
                  </w:r>
                </w:p>
              </w:tc>
              <w:tc>
                <w:tcPr>
                  <w:tcW w:w="709" w:type="dxa"/>
                  <w:tcBorders>
                    <w:top w:val="single" w:sz="4" w:space="0" w:color="auto"/>
                    <w:left w:val="single" w:sz="4" w:space="0" w:color="auto"/>
                    <w:bottom w:val="single" w:sz="4" w:space="0" w:color="auto"/>
                    <w:right w:val="single" w:sz="4" w:space="0" w:color="auto"/>
                  </w:tcBorders>
                  <w:hideMark/>
                </w:tcPr>
                <w:p w14:paraId="7E7D7EFA" w14:textId="77777777" w:rsidR="007968EC" w:rsidRPr="00207D41" w:rsidRDefault="007968EC" w:rsidP="007968EC">
                  <w:pPr>
                    <w:rPr>
                      <w:rFonts w:ascii="Arial Narrow" w:hAnsi="Arial Narrow"/>
                      <w:b/>
                      <w:color w:val="000000"/>
                      <w:lang w:val="en-US"/>
                    </w:rPr>
                  </w:pPr>
                  <w:r w:rsidRPr="00207D41">
                    <w:rPr>
                      <w:rFonts w:ascii="Arial Narrow" w:hAnsi="Arial Narrow"/>
                      <w:b/>
                      <w:color w:val="000000"/>
                    </w:rPr>
                    <w:t>Días</w:t>
                  </w:r>
                  <w:r w:rsidRPr="00207D41">
                    <w:rPr>
                      <w:rFonts w:ascii="Arial Narrow" w:hAnsi="Arial Narrow"/>
                      <w:b/>
                      <w:color w:val="000000"/>
                      <w:lang w:val="en-US"/>
                    </w:rPr>
                    <w:t xml:space="preserve"> </w:t>
                  </w:r>
                </w:p>
              </w:tc>
              <w:tc>
                <w:tcPr>
                  <w:tcW w:w="1711" w:type="dxa"/>
                  <w:tcBorders>
                    <w:top w:val="single" w:sz="4" w:space="0" w:color="auto"/>
                    <w:left w:val="single" w:sz="4" w:space="0" w:color="auto"/>
                    <w:bottom w:val="single" w:sz="4" w:space="0" w:color="auto"/>
                    <w:right w:val="single" w:sz="4" w:space="0" w:color="auto"/>
                  </w:tcBorders>
                  <w:hideMark/>
                </w:tcPr>
                <w:p w14:paraId="2F7D4843" w14:textId="77777777" w:rsidR="007968EC" w:rsidRPr="00207D41" w:rsidRDefault="007968EC" w:rsidP="007968EC">
                  <w:pPr>
                    <w:rPr>
                      <w:rFonts w:ascii="Arial Narrow" w:hAnsi="Arial Narrow"/>
                      <w:b/>
                      <w:color w:val="000000"/>
                    </w:rPr>
                  </w:pPr>
                  <w:r w:rsidRPr="00207D41">
                    <w:rPr>
                      <w:rFonts w:ascii="Arial Narrow" w:hAnsi="Arial Narrow"/>
                      <w:b/>
                      <w:color w:val="000000"/>
                    </w:rPr>
                    <w:t xml:space="preserve">Importe del Cargo por cada $1000 millones </w:t>
                  </w:r>
                </w:p>
              </w:tc>
            </w:tr>
            <w:tr w:rsidR="007968EC" w:rsidRPr="00B93F48" w14:paraId="3FBDE6E5" w14:textId="77777777" w:rsidTr="007968EC">
              <w:trPr>
                <w:jc w:val="center"/>
              </w:trPr>
              <w:tc>
                <w:tcPr>
                  <w:tcW w:w="1436" w:type="dxa"/>
                  <w:tcBorders>
                    <w:top w:val="single" w:sz="4" w:space="0" w:color="auto"/>
                    <w:left w:val="single" w:sz="4" w:space="0" w:color="auto"/>
                    <w:bottom w:val="single" w:sz="4" w:space="0" w:color="auto"/>
                    <w:right w:val="single" w:sz="4" w:space="0" w:color="auto"/>
                  </w:tcBorders>
                  <w:hideMark/>
                </w:tcPr>
                <w:p w14:paraId="57F5D00E" w14:textId="77777777" w:rsidR="007968EC" w:rsidRPr="00207D41" w:rsidRDefault="007968EC" w:rsidP="007968EC">
                  <w:pPr>
                    <w:rPr>
                      <w:rFonts w:ascii="Arial Narrow" w:hAnsi="Arial Narrow"/>
                      <w:color w:val="000000"/>
                      <w:lang w:val="en-US"/>
                    </w:rPr>
                  </w:pPr>
                  <w:r w:rsidRPr="00207D41">
                    <w:rPr>
                      <w:rFonts w:ascii="Arial Narrow" w:hAnsi="Arial Narrow"/>
                      <w:color w:val="000000"/>
                      <w:lang w:val="en-US"/>
                    </w:rPr>
                    <w:t>1ro</w:t>
                  </w:r>
                </w:p>
              </w:tc>
              <w:tc>
                <w:tcPr>
                  <w:tcW w:w="709" w:type="dxa"/>
                  <w:tcBorders>
                    <w:top w:val="single" w:sz="4" w:space="0" w:color="auto"/>
                    <w:left w:val="single" w:sz="4" w:space="0" w:color="auto"/>
                    <w:bottom w:val="single" w:sz="4" w:space="0" w:color="auto"/>
                    <w:right w:val="single" w:sz="4" w:space="0" w:color="auto"/>
                  </w:tcBorders>
                  <w:hideMark/>
                </w:tcPr>
                <w:p w14:paraId="0C3B8507" w14:textId="77777777" w:rsidR="007968EC" w:rsidRPr="00207D41" w:rsidRDefault="007968EC" w:rsidP="007968EC">
                  <w:pPr>
                    <w:rPr>
                      <w:rFonts w:ascii="Arial Narrow" w:hAnsi="Arial Narrow"/>
                      <w:color w:val="000000"/>
                      <w:lang w:val="en-US"/>
                    </w:rPr>
                  </w:pPr>
                  <w:r w:rsidRPr="00207D41">
                    <w:rPr>
                      <w:rFonts w:ascii="Arial Narrow" w:hAnsi="Arial Narrow"/>
                      <w:color w:val="000000"/>
                      <w:lang w:val="en-US"/>
                    </w:rPr>
                    <w:t>30</w:t>
                  </w:r>
                </w:p>
              </w:tc>
              <w:tc>
                <w:tcPr>
                  <w:tcW w:w="1711" w:type="dxa"/>
                  <w:tcBorders>
                    <w:top w:val="single" w:sz="4" w:space="0" w:color="auto"/>
                    <w:left w:val="single" w:sz="4" w:space="0" w:color="auto"/>
                    <w:bottom w:val="single" w:sz="4" w:space="0" w:color="auto"/>
                    <w:right w:val="single" w:sz="4" w:space="0" w:color="auto"/>
                  </w:tcBorders>
                  <w:hideMark/>
                </w:tcPr>
                <w:p w14:paraId="626B0C26" w14:textId="77777777" w:rsidR="007968EC" w:rsidRPr="00207D41" w:rsidRDefault="007968EC" w:rsidP="007968EC">
                  <w:pPr>
                    <w:rPr>
                      <w:rFonts w:ascii="Arial Narrow" w:hAnsi="Arial Narrow"/>
                      <w:color w:val="000000"/>
                      <w:lang w:val="en-US"/>
                    </w:rPr>
                  </w:pPr>
                  <w:r w:rsidRPr="00207D41">
                    <w:rPr>
                      <w:rFonts w:ascii="Arial Narrow" w:hAnsi="Arial Narrow"/>
                      <w:color w:val="000000"/>
                      <w:lang w:val="en-US"/>
                    </w:rPr>
                    <w:t>COP $</w:t>
                  </w:r>
                  <w:r w:rsidRPr="00207D41">
                    <w:rPr>
                      <w:rFonts w:ascii="Arial Narrow" w:hAnsi="Arial Narrow"/>
                      <w:bCs/>
                      <w:color w:val="000000"/>
                      <w:lang w:val="en-US"/>
                    </w:rPr>
                    <w:t>2.800</w:t>
                  </w:r>
                </w:p>
              </w:tc>
            </w:tr>
            <w:tr w:rsidR="007968EC" w:rsidRPr="00B93F48" w14:paraId="0F6C4597" w14:textId="77777777" w:rsidTr="007968EC">
              <w:trPr>
                <w:jc w:val="center"/>
              </w:trPr>
              <w:tc>
                <w:tcPr>
                  <w:tcW w:w="1436" w:type="dxa"/>
                  <w:tcBorders>
                    <w:top w:val="single" w:sz="4" w:space="0" w:color="auto"/>
                    <w:left w:val="single" w:sz="4" w:space="0" w:color="auto"/>
                    <w:bottom w:val="single" w:sz="4" w:space="0" w:color="auto"/>
                    <w:right w:val="single" w:sz="4" w:space="0" w:color="auto"/>
                  </w:tcBorders>
                  <w:hideMark/>
                </w:tcPr>
                <w:p w14:paraId="734FB7E7" w14:textId="77777777" w:rsidR="007968EC" w:rsidRPr="00207D41" w:rsidRDefault="007968EC" w:rsidP="007968EC">
                  <w:pPr>
                    <w:rPr>
                      <w:rFonts w:ascii="Arial Narrow" w:hAnsi="Arial Narrow"/>
                      <w:color w:val="000000"/>
                      <w:lang w:val="en-US"/>
                    </w:rPr>
                  </w:pPr>
                  <w:r w:rsidRPr="00207D41">
                    <w:rPr>
                      <w:rFonts w:ascii="Arial Narrow" w:hAnsi="Arial Narrow"/>
                      <w:color w:val="000000"/>
                      <w:lang w:val="en-US"/>
                    </w:rPr>
                    <w:t>3ro</w:t>
                  </w:r>
                </w:p>
              </w:tc>
              <w:tc>
                <w:tcPr>
                  <w:tcW w:w="709" w:type="dxa"/>
                  <w:tcBorders>
                    <w:top w:val="single" w:sz="4" w:space="0" w:color="auto"/>
                    <w:left w:val="single" w:sz="4" w:space="0" w:color="auto"/>
                    <w:bottom w:val="single" w:sz="4" w:space="0" w:color="auto"/>
                    <w:right w:val="single" w:sz="4" w:space="0" w:color="auto"/>
                  </w:tcBorders>
                  <w:hideMark/>
                </w:tcPr>
                <w:p w14:paraId="544F1B84" w14:textId="77777777" w:rsidR="007968EC" w:rsidRPr="00207D41" w:rsidRDefault="007968EC" w:rsidP="007968EC">
                  <w:pPr>
                    <w:rPr>
                      <w:rFonts w:ascii="Arial Narrow" w:hAnsi="Arial Narrow"/>
                      <w:color w:val="000000"/>
                      <w:lang w:val="en-US"/>
                    </w:rPr>
                  </w:pPr>
                  <w:r w:rsidRPr="00207D41">
                    <w:rPr>
                      <w:rFonts w:ascii="Arial Narrow" w:hAnsi="Arial Narrow"/>
                      <w:color w:val="000000"/>
                      <w:lang w:val="en-US"/>
                    </w:rPr>
                    <w:t>90</w:t>
                  </w:r>
                </w:p>
              </w:tc>
              <w:tc>
                <w:tcPr>
                  <w:tcW w:w="1711" w:type="dxa"/>
                  <w:tcBorders>
                    <w:top w:val="single" w:sz="4" w:space="0" w:color="auto"/>
                    <w:left w:val="single" w:sz="4" w:space="0" w:color="auto"/>
                    <w:bottom w:val="single" w:sz="4" w:space="0" w:color="auto"/>
                    <w:right w:val="single" w:sz="4" w:space="0" w:color="auto"/>
                  </w:tcBorders>
                  <w:hideMark/>
                </w:tcPr>
                <w:p w14:paraId="79DF87DE" w14:textId="77777777" w:rsidR="007968EC" w:rsidRPr="00207D41" w:rsidRDefault="007968EC" w:rsidP="007968EC">
                  <w:pPr>
                    <w:rPr>
                      <w:rFonts w:ascii="Arial Narrow" w:hAnsi="Arial Narrow"/>
                      <w:color w:val="000000"/>
                      <w:lang w:val="en-US"/>
                    </w:rPr>
                  </w:pPr>
                  <w:r w:rsidRPr="00207D41">
                    <w:rPr>
                      <w:rFonts w:ascii="Arial Narrow" w:hAnsi="Arial Narrow"/>
                      <w:color w:val="000000"/>
                      <w:lang w:val="en-US"/>
                    </w:rPr>
                    <w:t>COP $</w:t>
                  </w:r>
                  <w:r w:rsidRPr="00207D41">
                    <w:rPr>
                      <w:rFonts w:ascii="Arial Narrow" w:hAnsi="Arial Narrow"/>
                      <w:bCs/>
                      <w:color w:val="000000"/>
                      <w:lang w:val="en-US"/>
                    </w:rPr>
                    <w:t>8.400</w:t>
                  </w:r>
                </w:p>
              </w:tc>
            </w:tr>
            <w:tr w:rsidR="007968EC" w:rsidRPr="00B93F48" w14:paraId="1EA79488" w14:textId="77777777" w:rsidTr="007968EC">
              <w:trPr>
                <w:jc w:val="center"/>
              </w:trPr>
              <w:tc>
                <w:tcPr>
                  <w:tcW w:w="1436" w:type="dxa"/>
                  <w:tcBorders>
                    <w:top w:val="single" w:sz="4" w:space="0" w:color="auto"/>
                    <w:left w:val="single" w:sz="4" w:space="0" w:color="auto"/>
                    <w:bottom w:val="single" w:sz="4" w:space="0" w:color="auto"/>
                    <w:right w:val="single" w:sz="4" w:space="0" w:color="auto"/>
                  </w:tcBorders>
                  <w:hideMark/>
                </w:tcPr>
                <w:p w14:paraId="47B661BC" w14:textId="77777777" w:rsidR="007968EC" w:rsidRPr="00207D41" w:rsidRDefault="007968EC" w:rsidP="007968EC">
                  <w:pPr>
                    <w:rPr>
                      <w:rFonts w:ascii="Arial Narrow" w:hAnsi="Arial Narrow"/>
                      <w:color w:val="000000"/>
                      <w:lang w:val="en-US"/>
                    </w:rPr>
                  </w:pPr>
                  <w:r w:rsidRPr="00207D41">
                    <w:rPr>
                      <w:rFonts w:ascii="Arial Narrow" w:hAnsi="Arial Narrow"/>
                      <w:color w:val="000000"/>
                      <w:lang w:val="en-US"/>
                    </w:rPr>
                    <w:t>4to</w:t>
                  </w:r>
                </w:p>
              </w:tc>
              <w:tc>
                <w:tcPr>
                  <w:tcW w:w="709" w:type="dxa"/>
                  <w:tcBorders>
                    <w:top w:val="single" w:sz="4" w:space="0" w:color="auto"/>
                    <w:left w:val="single" w:sz="4" w:space="0" w:color="auto"/>
                    <w:bottom w:val="single" w:sz="4" w:space="0" w:color="auto"/>
                    <w:right w:val="single" w:sz="4" w:space="0" w:color="auto"/>
                  </w:tcBorders>
                  <w:hideMark/>
                </w:tcPr>
                <w:p w14:paraId="3AD045C2" w14:textId="77777777" w:rsidR="007968EC" w:rsidRPr="00207D41" w:rsidRDefault="007968EC" w:rsidP="007968EC">
                  <w:pPr>
                    <w:rPr>
                      <w:rFonts w:ascii="Arial Narrow" w:hAnsi="Arial Narrow"/>
                      <w:color w:val="000000"/>
                      <w:lang w:val="en-US"/>
                    </w:rPr>
                  </w:pPr>
                  <w:r w:rsidRPr="00207D41">
                    <w:rPr>
                      <w:rFonts w:ascii="Arial Narrow" w:hAnsi="Arial Narrow"/>
                      <w:color w:val="000000"/>
                      <w:lang w:val="en-US"/>
                    </w:rPr>
                    <w:t>180</w:t>
                  </w:r>
                </w:p>
              </w:tc>
              <w:tc>
                <w:tcPr>
                  <w:tcW w:w="1711" w:type="dxa"/>
                  <w:tcBorders>
                    <w:top w:val="single" w:sz="4" w:space="0" w:color="auto"/>
                    <w:left w:val="single" w:sz="4" w:space="0" w:color="auto"/>
                    <w:bottom w:val="single" w:sz="4" w:space="0" w:color="auto"/>
                    <w:right w:val="single" w:sz="4" w:space="0" w:color="auto"/>
                  </w:tcBorders>
                  <w:hideMark/>
                </w:tcPr>
                <w:p w14:paraId="631102DC" w14:textId="77777777" w:rsidR="007968EC" w:rsidRPr="00207D41" w:rsidRDefault="007968EC" w:rsidP="007968EC">
                  <w:pPr>
                    <w:rPr>
                      <w:rFonts w:ascii="Arial Narrow" w:hAnsi="Arial Narrow"/>
                      <w:color w:val="000000"/>
                      <w:lang w:val="en-US"/>
                    </w:rPr>
                  </w:pPr>
                  <w:r w:rsidRPr="00207D41">
                    <w:rPr>
                      <w:rFonts w:ascii="Arial Narrow" w:hAnsi="Arial Narrow"/>
                      <w:color w:val="000000"/>
                      <w:lang w:val="en-US"/>
                    </w:rPr>
                    <w:t>COP $</w:t>
                  </w:r>
                  <w:r w:rsidRPr="00207D41">
                    <w:rPr>
                      <w:rFonts w:ascii="Arial Narrow" w:hAnsi="Arial Narrow"/>
                      <w:bCs/>
                      <w:color w:val="000000"/>
                      <w:lang w:val="en-US"/>
                    </w:rPr>
                    <w:t>16.800</w:t>
                  </w:r>
                </w:p>
              </w:tc>
            </w:tr>
          </w:tbl>
          <w:p w14:paraId="1DF9DA62" w14:textId="77777777" w:rsidR="007968EC" w:rsidRPr="00207D41" w:rsidRDefault="007968EC" w:rsidP="007968EC">
            <w:pPr>
              <w:autoSpaceDE w:val="0"/>
              <w:autoSpaceDN w:val="0"/>
              <w:adjustRightInd w:val="0"/>
              <w:jc w:val="both"/>
              <w:rPr>
                <w:rFonts w:ascii="Arial Narrow" w:eastAsia="Calibri" w:hAnsi="Arial Narrow" w:cs="Arial"/>
                <w:lang w:val="en-US" w:eastAsia="es-ES"/>
              </w:rPr>
            </w:pPr>
          </w:p>
          <w:p w14:paraId="153BA531" w14:textId="77777777" w:rsidR="007968EC" w:rsidRPr="00207D41" w:rsidRDefault="007968EC" w:rsidP="007968EC">
            <w:pPr>
              <w:autoSpaceDE w:val="0"/>
              <w:autoSpaceDN w:val="0"/>
              <w:adjustRightInd w:val="0"/>
              <w:jc w:val="both"/>
              <w:rPr>
                <w:rFonts w:ascii="Arial Narrow" w:eastAsia="Calibri" w:hAnsi="Arial Narrow" w:cs="Arial"/>
                <w:lang w:val="en-US" w:eastAsia="es-ES"/>
              </w:rPr>
            </w:pPr>
            <w:r w:rsidRPr="00207D41">
              <w:rPr>
                <w:rFonts w:ascii="Arial Narrow" w:eastAsia="Calibri" w:hAnsi="Arial Narrow" w:cs="Arial"/>
                <w:lang w:val="en-US" w:eastAsia="es-ES"/>
              </w:rPr>
              <w:t>OIS IBR:</w:t>
            </w:r>
          </w:p>
          <w:p w14:paraId="2C3CF622" w14:textId="77777777" w:rsidR="007968EC" w:rsidRPr="00207D41" w:rsidRDefault="007968EC" w:rsidP="007968EC">
            <w:pPr>
              <w:autoSpaceDE w:val="0"/>
              <w:autoSpaceDN w:val="0"/>
              <w:adjustRightInd w:val="0"/>
              <w:jc w:val="both"/>
              <w:rPr>
                <w:rFonts w:ascii="Arial Narrow" w:eastAsia="Calibri" w:hAnsi="Arial Narrow" w:cs="Arial"/>
                <w:color w:val="000000"/>
                <w:lang w:val="en-US" w:eastAsia="es-ES"/>
              </w:rPr>
            </w:pPr>
          </w:p>
          <w:p w14:paraId="39BB4C12" w14:textId="77777777" w:rsidR="007968EC" w:rsidRPr="00207D41" w:rsidRDefault="007968EC" w:rsidP="007968EC">
            <w:pPr>
              <w:autoSpaceDE w:val="0"/>
              <w:autoSpaceDN w:val="0"/>
              <w:adjustRightInd w:val="0"/>
              <w:jc w:val="both"/>
              <w:rPr>
                <w:rFonts w:ascii="Arial Narrow" w:eastAsia="Calibri" w:hAnsi="Arial Narrow" w:cs="Arial"/>
                <w:color w:val="000000"/>
                <w:lang w:eastAsia="es-ES"/>
              </w:rPr>
            </w:pPr>
            <w:r w:rsidRPr="00207D41">
              <w:rPr>
                <w:rFonts w:ascii="Arial Narrow" w:eastAsia="Calibri" w:hAnsi="Arial Narrow" w:cs="Arial"/>
                <w:color w:val="000000"/>
                <w:lang w:eastAsia="es-ES"/>
              </w:rPr>
              <w:lastRenderedPageBreak/>
              <w:t>Se cobrará un importe del cargo por cada monto nominal equivalente a COP $</w:t>
            </w:r>
            <w:r w:rsidRPr="00207D41">
              <w:rPr>
                <w:rFonts w:ascii="Arial Narrow" w:eastAsia="Calibri" w:hAnsi="Arial Narrow"/>
                <w:bCs/>
                <w:color w:val="000000"/>
              </w:rPr>
              <w:t>1.000</w:t>
            </w:r>
            <w:r w:rsidRPr="00207D41">
              <w:rPr>
                <w:rFonts w:ascii="Arial Narrow" w:eastAsia="Calibri" w:hAnsi="Arial Narrow" w:cs="Arial"/>
                <w:color w:val="000000"/>
                <w:lang w:eastAsia="es-ES"/>
              </w:rPr>
              <w:t xml:space="preserve"> Millones: </w:t>
            </w:r>
          </w:p>
          <w:p w14:paraId="61622095" w14:textId="77777777" w:rsidR="007968EC" w:rsidRPr="00207D41" w:rsidRDefault="007968EC" w:rsidP="007968EC">
            <w:pPr>
              <w:autoSpaceDE w:val="0"/>
              <w:autoSpaceDN w:val="0"/>
              <w:adjustRightInd w:val="0"/>
              <w:jc w:val="both"/>
              <w:rPr>
                <w:rFonts w:ascii="Arial Narrow" w:eastAsia="Calibri" w:hAnsi="Arial Narrow" w:cs="Arial"/>
                <w:color w:val="000000"/>
                <w:lang w:eastAsia="es-ES"/>
              </w:rPr>
            </w:pPr>
          </w:p>
          <w:tbl>
            <w:tblPr>
              <w:tblW w:w="3840" w:type="dxa"/>
              <w:jc w:val="center"/>
              <w:tblLayout w:type="fixed"/>
              <w:tblLook w:val="04A0" w:firstRow="1" w:lastRow="0" w:firstColumn="1" w:lastColumn="0" w:noHBand="0" w:noVBand="1"/>
            </w:tblPr>
            <w:tblGrid>
              <w:gridCol w:w="1431"/>
              <w:gridCol w:w="709"/>
              <w:gridCol w:w="1700"/>
            </w:tblGrid>
            <w:tr w:rsidR="007968EC" w:rsidRPr="00207D41" w14:paraId="42FECE84" w14:textId="77777777" w:rsidTr="007968EC">
              <w:trPr>
                <w:trHeight w:val="628"/>
                <w:jc w:val="center"/>
              </w:trPr>
              <w:tc>
                <w:tcPr>
                  <w:tcW w:w="1433" w:type="dxa"/>
                  <w:tcBorders>
                    <w:top w:val="single" w:sz="4" w:space="0" w:color="auto"/>
                    <w:left w:val="single" w:sz="4" w:space="0" w:color="auto"/>
                    <w:bottom w:val="single" w:sz="4" w:space="0" w:color="auto"/>
                    <w:right w:val="single" w:sz="4" w:space="0" w:color="auto"/>
                  </w:tcBorders>
                  <w:hideMark/>
                </w:tcPr>
                <w:p w14:paraId="0C88F05D" w14:textId="77777777" w:rsidR="007968EC" w:rsidRPr="00207D41" w:rsidRDefault="007968EC" w:rsidP="007968EC">
                  <w:pPr>
                    <w:rPr>
                      <w:rFonts w:ascii="Arial Narrow" w:hAnsi="Arial Narrow"/>
                      <w:b/>
                      <w:color w:val="000000"/>
                    </w:rPr>
                  </w:pPr>
                  <w:r w:rsidRPr="00207D41">
                    <w:rPr>
                      <w:rFonts w:ascii="Arial Narrow" w:hAnsi="Arial Narrow"/>
                      <w:b/>
                      <w:color w:val="000000"/>
                    </w:rPr>
                    <w:t>Vencimiento</w:t>
                  </w:r>
                </w:p>
              </w:tc>
              <w:tc>
                <w:tcPr>
                  <w:tcW w:w="709" w:type="dxa"/>
                  <w:tcBorders>
                    <w:top w:val="single" w:sz="4" w:space="0" w:color="auto"/>
                    <w:left w:val="single" w:sz="4" w:space="0" w:color="auto"/>
                    <w:bottom w:val="single" w:sz="4" w:space="0" w:color="auto"/>
                    <w:right w:val="single" w:sz="4" w:space="0" w:color="auto"/>
                  </w:tcBorders>
                  <w:hideMark/>
                </w:tcPr>
                <w:p w14:paraId="7C79D967" w14:textId="77777777" w:rsidR="007968EC" w:rsidRPr="00207D41" w:rsidRDefault="007968EC" w:rsidP="007968EC">
                  <w:pPr>
                    <w:rPr>
                      <w:rFonts w:ascii="Arial Narrow" w:hAnsi="Arial Narrow"/>
                      <w:b/>
                      <w:color w:val="000000"/>
                      <w:lang w:val="en-US"/>
                    </w:rPr>
                  </w:pPr>
                  <w:r w:rsidRPr="00207D41">
                    <w:rPr>
                      <w:rFonts w:ascii="Arial Narrow" w:hAnsi="Arial Narrow"/>
                      <w:b/>
                      <w:color w:val="000000"/>
                    </w:rPr>
                    <w:t>Días</w:t>
                  </w:r>
                  <w:r w:rsidRPr="00207D41">
                    <w:rPr>
                      <w:rFonts w:ascii="Arial Narrow" w:hAnsi="Arial Narrow"/>
                      <w:b/>
                      <w:color w:val="000000"/>
                      <w:lang w:val="en-US"/>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69963868" w14:textId="77777777" w:rsidR="007968EC" w:rsidRPr="00207D41" w:rsidRDefault="007968EC" w:rsidP="007968EC">
                  <w:pPr>
                    <w:rPr>
                      <w:rFonts w:ascii="Arial Narrow" w:hAnsi="Arial Narrow"/>
                      <w:b/>
                      <w:color w:val="000000"/>
                    </w:rPr>
                  </w:pPr>
                  <w:r w:rsidRPr="00207D41">
                    <w:rPr>
                      <w:rFonts w:ascii="Arial Narrow" w:hAnsi="Arial Narrow"/>
                      <w:b/>
                      <w:color w:val="000000"/>
                    </w:rPr>
                    <w:t xml:space="preserve">Importe del Cargo por cada $1000 millones </w:t>
                  </w:r>
                </w:p>
              </w:tc>
            </w:tr>
            <w:tr w:rsidR="007968EC" w:rsidRPr="00207D41" w14:paraId="61D3A674" w14:textId="77777777" w:rsidTr="007968EC">
              <w:trPr>
                <w:trHeight w:val="205"/>
                <w:jc w:val="center"/>
              </w:trPr>
              <w:tc>
                <w:tcPr>
                  <w:tcW w:w="1433" w:type="dxa"/>
                  <w:tcBorders>
                    <w:top w:val="single" w:sz="4" w:space="0" w:color="auto"/>
                    <w:left w:val="single" w:sz="4" w:space="0" w:color="auto"/>
                    <w:bottom w:val="single" w:sz="4" w:space="0" w:color="auto"/>
                    <w:right w:val="single" w:sz="4" w:space="0" w:color="auto"/>
                  </w:tcBorders>
                  <w:hideMark/>
                </w:tcPr>
                <w:p w14:paraId="44456489" w14:textId="77777777" w:rsidR="007968EC" w:rsidRPr="00207D41" w:rsidRDefault="007968EC" w:rsidP="007968EC">
                  <w:pPr>
                    <w:rPr>
                      <w:rFonts w:ascii="Arial Narrow" w:hAnsi="Arial Narrow"/>
                      <w:color w:val="000000"/>
                      <w:lang w:val="en-US"/>
                    </w:rPr>
                  </w:pPr>
                  <w:r w:rsidRPr="00207D41">
                    <w:rPr>
                      <w:rFonts w:ascii="Arial Narrow" w:hAnsi="Arial Narrow"/>
                      <w:color w:val="000000"/>
                      <w:lang w:val="en-US"/>
                    </w:rPr>
                    <w:t>1ro</w:t>
                  </w:r>
                </w:p>
              </w:tc>
              <w:tc>
                <w:tcPr>
                  <w:tcW w:w="709" w:type="dxa"/>
                  <w:tcBorders>
                    <w:top w:val="single" w:sz="4" w:space="0" w:color="auto"/>
                    <w:left w:val="single" w:sz="4" w:space="0" w:color="auto"/>
                    <w:bottom w:val="single" w:sz="4" w:space="0" w:color="auto"/>
                    <w:right w:val="single" w:sz="4" w:space="0" w:color="auto"/>
                  </w:tcBorders>
                  <w:hideMark/>
                </w:tcPr>
                <w:p w14:paraId="352EB9A8" w14:textId="77777777" w:rsidR="007968EC" w:rsidRPr="00207D41" w:rsidRDefault="007968EC" w:rsidP="007968EC">
                  <w:pPr>
                    <w:rPr>
                      <w:rFonts w:ascii="Arial Narrow" w:hAnsi="Arial Narrow"/>
                      <w:color w:val="000000"/>
                      <w:lang w:val="en-US"/>
                    </w:rPr>
                  </w:pPr>
                  <w:r w:rsidRPr="00207D41">
                    <w:rPr>
                      <w:rFonts w:ascii="Arial Narrow" w:hAnsi="Arial Narrow"/>
                      <w:color w:val="000000"/>
                      <w:lang w:val="en-US"/>
                    </w:rPr>
                    <w:t>30</w:t>
                  </w:r>
                </w:p>
              </w:tc>
              <w:tc>
                <w:tcPr>
                  <w:tcW w:w="1701" w:type="dxa"/>
                  <w:tcBorders>
                    <w:top w:val="single" w:sz="4" w:space="0" w:color="auto"/>
                    <w:left w:val="single" w:sz="4" w:space="0" w:color="auto"/>
                    <w:bottom w:val="single" w:sz="4" w:space="0" w:color="auto"/>
                    <w:right w:val="single" w:sz="4" w:space="0" w:color="auto"/>
                  </w:tcBorders>
                  <w:hideMark/>
                </w:tcPr>
                <w:p w14:paraId="5C952C5C" w14:textId="77777777" w:rsidR="007968EC" w:rsidRPr="00207D41" w:rsidRDefault="007968EC" w:rsidP="007968EC">
                  <w:pPr>
                    <w:rPr>
                      <w:rFonts w:ascii="Arial Narrow" w:hAnsi="Arial Narrow"/>
                      <w:color w:val="000000"/>
                      <w:lang w:val="en-US"/>
                    </w:rPr>
                  </w:pPr>
                  <w:r w:rsidRPr="00207D41">
                    <w:rPr>
                      <w:rFonts w:ascii="Arial Narrow" w:hAnsi="Arial Narrow"/>
                      <w:color w:val="000000"/>
                      <w:lang w:val="en-US"/>
                    </w:rPr>
                    <w:t>COP $</w:t>
                  </w:r>
                  <w:r w:rsidRPr="00207D41">
                    <w:rPr>
                      <w:rFonts w:ascii="Arial Narrow" w:hAnsi="Arial Narrow"/>
                      <w:bCs/>
                      <w:color w:val="000000"/>
                      <w:lang w:val="en-US"/>
                    </w:rPr>
                    <w:t>2.800</w:t>
                  </w:r>
                </w:p>
              </w:tc>
            </w:tr>
            <w:tr w:rsidR="007968EC" w:rsidRPr="00207D41" w14:paraId="715E0CD1" w14:textId="77777777" w:rsidTr="007968EC">
              <w:trPr>
                <w:trHeight w:val="205"/>
                <w:jc w:val="center"/>
              </w:trPr>
              <w:tc>
                <w:tcPr>
                  <w:tcW w:w="1433" w:type="dxa"/>
                  <w:tcBorders>
                    <w:top w:val="single" w:sz="4" w:space="0" w:color="auto"/>
                    <w:left w:val="single" w:sz="4" w:space="0" w:color="auto"/>
                    <w:bottom w:val="single" w:sz="4" w:space="0" w:color="auto"/>
                    <w:right w:val="single" w:sz="4" w:space="0" w:color="auto"/>
                  </w:tcBorders>
                  <w:hideMark/>
                </w:tcPr>
                <w:p w14:paraId="0FA5929A" w14:textId="77777777" w:rsidR="007968EC" w:rsidRPr="00207D41" w:rsidRDefault="007968EC" w:rsidP="007968EC">
                  <w:pPr>
                    <w:rPr>
                      <w:rFonts w:ascii="Arial Narrow" w:hAnsi="Arial Narrow"/>
                      <w:color w:val="000000"/>
                      <w:lang w:val="en-US"/>
                    </w:rPr>
                  </w:pPr>
                  <w:r w:rsidRPr="00207D41">
                    <w:rPr>
                      <w:rFonts w:ascii="Arial Narrow" w:hAnsi="Arial Narrow"/>
                      <w:color w:val="000000"/>
                      <w:lang w:val="en-US"/>
                    </w:rPr>
                    <w:t>3ro</w:t>
                  </w:r>
                </w:p>
              </w:tc>
              <w:tc>
                <w:tcPr>
                  <w:tcW w:w="709" w:type="dxa"/>
                  <w:tcBorders>
                    <w:top w:val="single" w:sz="4" w:space="0" w:color="auto"/>
                    <w:left w:val="single" w:sz="4" w:space="0" w:color="auto"/>
                    <w:bottom w:val="single" w:sz="4" w:space="0" w:color="auto"/>
                    <w:right w:val="single" w:sz="4" w:space="0" w:color="auto"/>
                  </w:tcBorders>
                  <w:hideMark/>
                </w:tcPr>
                <w:p w14:paraId="5DF5C4FB" w14:textId="77777777" w:rsidR="007968EC" w:rsidRPr="00207D41" w:rsidRDefault="007968EC" w:rsidP="007968EC">
                  <w:pPr>
                    <w:rPr>
                      <w:rFonts w:ascii="Arial Narrow" w:hAnsi="Arial Narrow"/>
                      <w:color w:val="000000"/>
                      <w:lang w:val="en-US"/>
                    </w:rPr>
                  </w:pPr>
                  <w:r w:rsidRPr="00207D41">
                    <w:rPr>
                      <w:rFonts w:ascii="Arial Narrow" w:hAnsi="Arial Narrow"/>
                      <w:color w:val="000000"/>
                      <w:lang w:val="en-US"/>
                    </w:rPr>
                    <w:t>90</w:t>
                  </w:r>
                </w:p>
              </w:tc>
              <w:tc>
                <w:tcPr>
                  <w:tcW w:w="1701" w:type="dxa"/>
                  <w:tcBorders>
                    <w:top w:val="single" w:sz="4" w:space="0" w:color="auto"/>
                    <w:left w:val="single" w:sz="4" w:space="0" w:color="auto"/>
                    <w:bottom w:val="single" w:sz="4" w:space="0" w:color="auto"/>
                    <w:right w:val="single" w:sz="4" w:space="0" w:color="auto"/>
                  </w:tcBorders>
                  <w:hideMark/>
                </w:tcPr>
                <w:p w14:paraId="3892C360" w14:textId="77777777" w:rsidR="007968EC" w:rsidRPr="00207D41" w:rsidRDefault="007968EC" w:rsidP="007968EC">
                  <w:pPr>
                    <w:rPr>
                      <w:rFonts w:ascii="Arial Narrow" w:hAnsi="Arial Narrow"/>
                      <w:color w:val="000000"/>
                      <w:lang w:val="en-US"/>
                    </w:rPr>
                  </w:pPr>
                  <w:r w:rsidRPr="00207D41">
                    <w:rPr>
                      <w:rFonts w:ascii="Arial Narrow" w:hAnsi="Arial Narrow"/>
                      <w:color w:val="000000"/>
                      <w:lang w:val="en-US"/>
                    </w:rPr>
                    <w:t>COP $</w:t>
                  </w:r>
                  <w:r w:rsidRPr="00207D41">
                    <w:rPr>
                      <w:rFonts w:ascii="Arial Narrow" w:hAnsi="Arial Narrow"/>
                      <w:bCs/>
                      <w:color w:val="000000"/>
                      <w:lang w:val="en-US"/>
                    </w:rPr>
                    <w:t>8.400</w:t>
                  </w:r>
                </w:p>
              </w:tc>
            </w:tr>
            <w:tr w:rsidR="007968EC" w:rsidRPr="00207D41" w14:paraId="7D307615" w14:textId="77777777" w:rsidTr="007968EC">
              <w:trPr>
                <w:trHeight w:val="205"/>
                <w:jc w:val="center"/>
              </w:trPr>
              <w:tc>
                <w:tcPr>
                  <w:tcW w:w="1433" w:type="dxa"/>
                  <w:tcBorders>
                    <w:top w:val="single" w:sz="4" w:space="0" w:color="auto"/>
                    <w:left w:val="single" w:sz="4" w:space="0" w:color="auto"/>
                    <w:bottom w:val="single" w:sz="4" w:space="0" w:color="auto"/>
                    <w:right w:val="single" w:sz="4" w:space="0" w:color="auto"/>
                  </w:tcBorders>
                  <w:hideMark/>
                </w:tcPr>
                <w:p w14:paraId="401EB10D" w14:textId="77777777" w:rsidR="007968EC" w:rsidRPr="00207D41" w:rsidRDefault="007968EC" w:rsidP="007968EC">
                  <w:pPr>
                    <w:rPr>
                      <w:rFonts w:ascii="Arial Narrow" w:hAnsi="Arial Narrow"/>
                      <w:color w:val="000000"/>
                      <w:lang w:val="en-US"/>
                    </w:rPr>
                  </w:pPr>
                  <w:r w:rsidRPr="00207D41">
                    <w:rPr>
                      <w:rFonts w:ascii="Arial Narrow" w:hAnsi="Arial Narrow"/>
                      <w:color w:val="000000"/>
                      <w:lang w:val="en-US"/>
                    </w:rPr>
                    <w:t>4to</w:t>
                  </w:r>
                </w:p>
              </w:tc>
              <w:tc>
                <w:tcPr>
                  <w:tcW w:w="709" w:type="dxa"/>
                  <w:tcBorders>
                    <w:top w:val="single" w:sz="4" w:space="0" w:color="auto"/>
                    <w:left w:val="single" w:sz="4" w:space="0" w:color="auto"/>
                    <w:bottom w:val="single" w:sz="4" w:space="0" w:color="auto"/>
                    <w:right w:val="single" w:sz="4" w:space="0" w:color="auto"/>
                  </w:tcBorders>
                  <w:hideMark/>
                </w:tcPr>
                <w:p w14:paraId="747B14C3" w14:textId="77777777" w:rsidR="007968EC" w:rsidRPr="00207D41" w:rsidRDefault="007968EC" w:rsidP="007968EC">
                  <w:pPr>
                    <w:rPr>
                      <w:rFonts w:ascii="Arial Narrow" w:hAnsi="Arial Narrow"/>
                      <w:color w:val="000000"/>
                      <w:lang w:val="en-US"/>
                    </w:rPr>
                  </w:pPr>
                  <w:r w:rsidRPr="00207D41">
                    <w:rPr>
                      <w:rFonts w:ascii="Arial Narrow" w:hAnsi="Arial Narrow"/>
                      <w:color w:val="000000"/>
                      <w:lang w:val="en-US"/>
                    </w:rPr>
                    <w:t>180</w:t>
                  </w:r>
                </w:p>
              </w:tc>
              <w:tc>
                <w:tcPr>
                  <w:tcW w:w="1701" w:type="dxa"/>
                  <w:tcBorders>
                    <w:top w:val="single" w:sz="4" w:space="0" w:color="auto"/>
                    <w:left w:val="single" w:sz="4" w:space="0" w:color="auto"/>
                    <w:bottom w:val="single" w:sz="4" w:space="0" w:color="auto"/>
                    <w:right w:val="single" w:sz="4" w:space="0" w:color="auto"/>
                  </w:tcBorders>
                  <w:hideMark/>
                </w:tcPr>
                <w:p w14:paraId="30D88343" w14:textId="77777777" w:rsidR="007968EC" w:rsidRPr="00207D41" w:rsidRDefault="007968EC" w:rsidP="007968EC">
                  <w:pPr>
                    <w:rPr>
                      <w:rFonts w:ascii="Arial Narrow" w:hAnsi="Arial Narrow"/>
                      <w:color w:val="000000"/>
                      <w:lang w:val="en-US"/>
                    </w:rPr>
                  </w:pPr>
                  <w:r w:rsidRPr="00207D41">
                    <w:rPr>
                      <w:rFonts w:ascii="Arial Narrow" w:hAnsi="Arial Narrow"/>
                      <w:color w:val="000000"/>
                      <w:lang w:val="en-US"/>
                    </w:rPr>
                    <w:t>COP $</w:t>
                  </w:r>
                  <w:r w:rsidRPr="00207D41">
                    <w:rPr>
                      <w:rFonts w:ascii="Arial Narrow" w:hAnsi="Arial Narrow"/>
                      <w:bCs/>
                      <w:color w:val="000000"/>
                      <w:lang w:val="en-US"/>
                    </w:rPr>
                    <w:t>16.800</w:t>
                  </w:r>
                </w:p>
              </w:tc>
            </w:tr>
            <w:tr w:rsidR="007968EC" w:rsidRPr="00207D41" w14:paraId="3D0C0018" w14:textId="77777777" w:rsidTr="007968EC">
              <w:trPr>
                <w:trHeight w:val="205"/>
                <w:jc w:val="center"/>
              </w:trPr>
              <w:tc>
                <w:tcPr>
                  <w:tcW w:w="1433" w:type="dxa"/>
                  <w:tcBorders>
                    <w:top w:val="single" w:sz="4" w:space="0" w:color="auto"/>
                    <w:left w:val="single" w:sz="4" w:space="0" w:color="auto"/>
                    <w:bottom w:val="single" w:sz="4" w:space="0" w:color="auto"/>
                    <w:right w:val="single" w:sz="4" w:space="0" w:color="auto"/>
                  </w:tcBorders>
                  <w:hideMark/>
                </w:tcPr>
                <w:p w14:paraId="472EEE2D" w14:textId="77777777" w:rsidR="007968EC" w:rsidRPr="00207D41" w:rsidRDefault="007968EC" w:rsidP="007968EC">
                  <w:pPr>
                    <w:rPr>
                      <w:rFonts w:ascii="Arial Narrow" w:hAnsi="Arial Narrow"/>
                      <w:color w:val="000000"/>
                      <w:lang w:val="en-US"/>
                    </w:rPr>
                  </w:pPr>
                  <w:r w:rsidRPr="00207D41">
                    <w:rPr>
                      <w:rFonts w:ascii="Arial Narrow" w:hAnsi="Arial Narrow"/>
                      <w:color w:val="000000"/>
                      <w:lang w:val="en-US"/>
                    </w:rPr>
                    <w:t>5to</w:t>
                  </w:r>
                </w:p>
              </w:tc>
              <w:tc>
                <w:tcPr>
                  <w:tcW w:w="709" w:type="dxa"/>
                  <w:tcBorders>
                    <w:top w:val="single" w:sz="4" w:space="0" w:color="auto"/>
                    <w:left w:val="single" w:sz="4" w:space="0" w:color="auto"/>
                    <w:bottom w:val="single" w:sz="4" w:space="0" w:color="auto"/>
                    <w:right w:val="single" w:sz="4" w:space="0" w:color="auto"/>
                  </w:tcBorders>
                  <w:hideMark/>
                </w:tcPr>
                <w:p w14:paraId="6E741993" w14:textId="77777777" w:rsidR="007968EC" w:rsidRPr="00207D41" w:rsidRDefault="007968EC" w:rsidP="007968EC">
                  <w:pPr>
                    <w:rPr>
                      <w:rFonts w:ascii="Arial Narrow" w:hAnsi="Arial Narrow"/>
                      <w:color w:val="000000"/>
                      <w:lang w:val="en-US"/>
                    </w:rPr>
                  </w:pPr>
                  <w:r w:rsidRPr="00207D41">
                    <w:rPr>
                      <w:rFonts w:ascii="Arial Narrow" w:hAnsi="Arial Narrow"/>
                      <w:color w:val="000000"/>
                      <w:lang w:val="en-US"/>
                    </w:rPr>
                    <w:t>270</w:t>
                  </w:r>
                </w:p>
              </w:tc>
              <w:tc>
                <w:tcPr>
                  <w:tcW w:w="1701" w:type="dxa"/>
                  <w:tcBorders>
                    <w:top w:val="single" w:sz="4" w:space="0" w:color="auto"/>
                    <w:left w:val="single" w:sz="4" w:space="0" w:color="auto"/>
                    <w:bottom w:val="single" w:sz="4" w:space="0" w:color="auto"/>
                    <w:right w:val="single" w:sz="4" w:space="0" w:color="auto"/>
                  </w:tcBorders>
                  <w:hideMark/>
                </w:tcPr>
                <w:p w14:paraId="77060573" w14:textId="77777777" w:rsidR="007968EC" w:rsidRPr="00207D41" w:rsidRDefault="007968EC" w:rsidP="007968EC">
                  <w:pPr>
                    <w:rPr>
                      <w:rFonts w:ascii="Arial Narrow" w:hAnsi="Arial Narrow"/>
                      <w:color w:val="000000"/>
                      <w:lang w:val="en-US"/>
                    </w:rPr>
                  </w:pPr>
                  <w:r w:rsidRPr="00207D41">
                    <w:rPr>
                      <w:rFonts w:ascii="Arial Narrow" w:hAnsi="Arial Narrow"/>
                      <w:color w:val="000000"/>
                      <w:lang w:val="en-US"/>
                    </w:rPr>
                    <w:t>COP $</w:t>
                  </w:r>
                  <w:r w:rsidRPr="00207D41">
                    <w:rPr>
                      <w:rFonts w:ascii="Arial Narrow" w:hAnsi="Arial Narrow"/>
                      <w:bCs/>
                      <w:color w:val="000000"/>
                      <w:lang w:val="en-US"/>
                    </w:rPr>
                    <w:t>25.000</w:t>
                  </w:r>
                </w:p>
              </w:tc>
            </w:tr>
            <w:tr w:rsidR="007968EC" w:rsidRPr="00207D41" w14:paraId="047F815B" w14:textId="77777777" w:rsidTr="007968EC">
              <w:trPr>
                <w:trHeight w:val="205"/>
                <w:jc w:val="center"/>
              </w:trPr>
              <w:tc>
                <w:tcPr>
                  <w:tcW w:w="1433" w:type="dxa"/>
                  <w:tcBorders>
                    <w:top w:val="single" w:sz="4" w:space="0" w:color="auto"/>
                    <w:left w:val="single" w:sz="4" w:space="0" w:color="auto"/>
                    <w:bottom w:val="single" w:sz="4" w:space="0" w:color="auto"/>
                    <w:right w:val="single" w:sz="4" w:space="0" w:color="auto"/>
                  </w:tcBorders>
                  <w:hideMark/>
                </w:tcPr>
                <w:p w14:paraId="106C612D" w14:textId="77777777" w:rsidR="007968EC" w:rsidRPr="00207D41" w:rsidRDefault="007968EC" w:rsidP="007968EC">
                  <w:pPr>
                    <w:rPr>
                      <w:rFonts w:ascii="Arial Narrow" w:hAnsi="Arial Narrow"/>
                      <w:color w:val="000000"/>
                      <w:lang w:val="en-US"/>
                    </w:rPr>
                  </w:pPr>
                  <w:r w:rsidRPr="00207D41">
                    <w:rPr>
                      <w:rFonts w:ascii="Arial Narrow" w:hAnsi="Arial Narrow"/>
                      <w:color w:val="000000"/>
                      <w:lang w:val="en-US"/>
                    </w:rPr>
                    <w:t>6to</w:t>
                  </w:r>
                </w:p>
              </w:tc>
              <w:tc>
                <w:tcPr>
                  <w:tcW w:w="709" w:type="dxa"/>
                  <w:tcBorders>
                    <w:top w:val="single" w:sz="4" w:space="0" w:color="auto"/>
                    <w:left w:val="single" w:sz="4" w:space="0" w:color="auto"/>
                    <w:bottom w:val="single" w:sz="4" w:space="0" w:color="auto"/>
                    <w:right w:val="single" w:sz="4" w:space="0" w:color="auto"/>
                  </w:tcBorders>
                  <w:hideMark/>
                </w:tcPr>
                <w:p w14:paraId="28D8C7A0" w14:textId="77777777" w:rsidR="007968EC" w:rsidRPr="00207D41" w:rsidRDefault="007968EC" w:rsidP="007968EC">
                  <w:pPr>
                    <w:rPr>
                      <w:rFonts w:ascii="Arial Narrow" w:hAnsi="Arial Narrow"/>
                      <w:color w:val="000000"/>
                      <w:lang w:val="en-US"/>
                    </w:rPr>
                  </w:pPr>
                  <w:r w:rsidRPr="00207D41">
                    <w:rPr>
                      <w:rFonts w:ascii="Arial Narrow" w:hAnsi="Arial Narrow"/>
                      <w:color w:val="000000"/>
                      <w:lang w:val="en-US"/>
                    </w:rPr>
                    <w:t>360</w:t>
                  </w:r>
                </w:p>
              </w:tc>
              <w:tc>
                <w:tcPr>
                  <w:tcW w:w="1701" w:type="dxa"/>
                  <w:tcBorders>
                    <w:top w:val="single" w:sz="4" w:space="0" w:color="auto"/>
                    <w:left w:val="single" w:sz="4" w:space="0" w:color="auto"/>
                    <w:bottom w:val="single" w:sz="4" w:space="0" w:color="auto"/>
                    <w:right w:val="single" w:sz="4" w:space="0" w:color="auto"/>
                  </w:tcBorders>
                  <w:hideMark/>
                </w:tcPr>
                <w:p w14:paraId="1F6F1B85" w14:textId="77777777" w:rsidR="007968EC" w:rsidRPr="00207D41" w:rsidRDefault="007968EC" w:rsidP="007968EC">
                  <w:pPr>
                    <w:rPr>
                      <w:rFonts w:ascii="Arial Narrow" w:hAnsi="Arial Narrow"/>
                      <w:color w:val="000000"/>
                      <w:lang w:val="en-US"/>
                    </w:rPr>
                  </w:pPr>
                  <w:r w:rsidRPr="00207D41">
                    <w:rPr>
                      <w:rFonts w:ascii="Arial Narrow" w:hAnsi="Arial Narrow"/>
                      <w:color w:val="000000"/>
                      <w:lang w:val="en-US"/>
                    </w:rPr>
                    <w:t>COP $</w:t>
                  </w:r>
                  <w:r w:rsidRPr="00207D41">
                    <w:rPr>
                      <w:rFonts w:ascii="Arial Narrow" w:hAnsi="Arial Narrow"/>
                      <w:bCs/>
                      <w:color w:val="000000"/>
                      <w:lang w:val="en-US"/>
                    </w:rPr>
                    <w:t>33.400</w:t>
                  </w:r>
                </w:p>
              </w:tc>
            </w:tr>
            <w:tr w:rsidR="007968EC" w:rsidRPr="00207D41" w14:paraId="527AFDFA" w14:textId="77777777" w:rsidTr="007968EC">
              <w:trPr>
                <w:trHeight w:val="205"/>
                <w:jc w:val="center"/>
              </w:trPr>
              <w:tc>
                <w:tcPr>
                  <w:tcW w:w="1433" w:type="dxa"/>
                  <w:tcBorders>
                    <w:top w:val="single" w:sz="4" w:space="0" w:color="auto"/>
                    <w:left w:val="single" w:sz="4" w:space="0" w:color="auto"/>
                    <w:bottom w:val="single" w:sz="4" w:space="0" w:color="auto"/>
                    <w:right w:val="single" w:sz="4" w:space="0" w:color="auto"/>
                  </w:tcBorders>
                  <w:hideMark/>
                </w:tcPr>
                <w:p w14:paraId="2A9230D7" w14:textId="77777777" w:rsidR="007968EC" w:rsidRPr="00207D41" w:rsidRDefault="007968EC" w:rsidP="007968EC">
                  <w:pPr>
                    <w:rPr>
                      <w:rFonts w:ascii="Arial Narrow" w:hAnsi="Arial Narrow"/>
                      <w:color w:val="000000"/>
                      <w:lang w:val="en-US"/>
                    </w:rPr>
                  </w:pPr>
                  <w:r w:rsidRPr="00207D41">
                    <w:rPr>
                      <w:rFonts w:ascii="Arial Narrow" w:hAnsi="Arial Narrow"/>
                      <w:color w:val="000000"/>
                      <w:lang w:val="en-US"/>
                    </w:rPr>
                    <w:t>7mo</w:t>
                  </w:r>
                </w:p>
              </w:tc>
              <w:tc>
                <w:tcPr>
                  <w:tcW w:w="709" w:type="dxa"/>
                  <w:tcBorders>
                    <w:top w:val="single" w:sz="4" w:space="0" w:color="auto"/>
                    <w:left w:val="single" w:sz="4" w:space="0" w:color="auto"/>
                    <w:bottom w:val="single" w:sz="4" w:space="0" w:color="auto"/>
                    <w:right w:val="single" w:sz="4" w:space="0" w:color="auto"/>
                  </w:tcBorders>
                  <w:hideMark/>
                </w:tcPr>
                <w:p w14:paraId="45686519" w14:textId="77777777" w:rsidR="007968EC" w:rsidRPr="00207D41" w:rsidRDefault="007968EC" w:rsidP="007968EC">
                  <w:pPr>
                    <w:rPr>
                      <w:rFonts w:ascii="Arial Narrow" w:hAnsi="Arial Narrow"/>
                      <w:color w:val="000000"/>
                    </w:rPr>
                  </w:pPr>
                  <w:r w:rsidRPr="00207D41">
                    <w:rPr>
                      <w:rFonts w:ascii="Arial Narrow" w:hAnsi="Arial Narrow"/>
                      <w:color w:val="000000"/>
                      <w:lang w:val="en-US"/>
                    </w:rPr>
                    <w:t>5</w:t>
                  </w:r>
                  <w:r w:rsidRPr="00207D41">
                    <w:rPr>
                      <w:rFonts w:ascii="Arial Narrow" w:hAnsi="Arial Narrow"/>
                      <w:color w:val="000000"/>
                    </w:rPr>
                    <w:t>40</w:t>
                  </w:r>
                </w:p>
              </w:tc>
              <w:tc>
                <w:tcPr>
                  <w:tcW w:w="1701" w:type="dxa"/>
                  <w:tcBorders>
                    <w:top w:val="single" w:sz="4" w:space="0" w:color="auto"/>
                    <w:left w:val="single" w:sz="4" w:space="0" w:color="auto"/>
                    <w:bottom w:val="single" w:sz="4" w:space="0" w:color="auto"/>
                    <w:right w:val="single" w:sz="4" w:space="0" w:color="auto"/>
                  </w:tcBorders>
                  <w:hideMark/>
                </w:tcPr>
                <w:p w14:paraId="50FB4460" w14:textId="77777777" w:rsidR="007968EC" w:rsidRPr="00207D41" w:rsidRDefault="007968EC" w:rsidP="007968EC">
                  <w:pPr>
                    <w:rPr>
                      <w:rFonts w:ascii="Arial Narrow" w:hAnsi="Arial Narrow"/>
                      <w:color w:val="000000"/>
                    </w:rPr>
                  </w:pPr>
                  <w:r w:rsidRPr="00207D41">
                    <w:rPr>
                      <w:rFonts w:ascii="Arial Narrow" w:hAnsi="Arial Narrow"/>
                      <w:color w:val="000000"/>
                    </w:rPr>
                    <w:t>COP $</w:t>
                  </w:r>
                  <w:r w:rsidRPr="00207D41">
                    <w:rPr>
                      <w:rFonts w:ascii="Arial Narrow" w:hAnsi="Arial Narrow"/>
                      <w:bCs/>
                      <w:color w:val="000000"/>
                    </w:rPr>
                    <w:t>50.000</w:t>
                  </w:r>
                </w:p>
              </w:tc>
            </w:tr>
          </w:tbl>
          <w:p w14:paraId="536E3743" w14:textId="77777777" w:rsidR="007968EC" w:rsidRPr="00207D41" w:rsidRDefault="007968EC" w:rsidP="007968EC">
            <w:pPr>
              <w:rPr>
                <w:rFonts w:ascii="Arial Narrow" w:eastAsia="Calibri" w:hAnsi="Arial Narrow" w:cs="Arial"/>
                <w:lang w:val="es-ES" w:eastAsia="es-ES"/>
              </w:rPr>
            </w:pPr>
          </w:p>
        </w:tc>
      </w:tr>
      <w:tr w:rsidR="007968EC" w:rsidRPr="00207D41" w14:paraId="36A50BE9" w14:textId="77777777" w:rsidTr="007968EC">
        <w:trPr>
          <w:trHeight w:val="518"/>
        </w:trPr>
        <w:tc>
          <w:tcPr>
            <w:tcW w:w="1119" w:type="dxa"/>
            <w:tcBorders>
              <w:top w:val="single" w:sz="12" w:space="0" w:color="auto"/>
              <w:left w:val="single" w:sz="12" w:space="0" w:color="auto"/>
              <w:bottom w:val="single" w:sz="12" w:space="0" w:color="auto"/>
              <w:right w:val="single" w:sz="12" w:space="0" w:color="auto"/>
            </w:tcBorders>
          </w:tcPr>
          <w:p w14:paraId="413B5B10"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lastRenderedPageBreak/>
              <w:t>Variable</w:t>
            </w:r>
          </w:p>
        </w:tc>
        <w:tc>
          <w:tcPr>
            <w:tcW w:w="1570" w:type="dxa"/>
            <w:tcBorders>
              <w:top w:val="single" w:sz="12" w:space="0" w:color="auto"/>
              <w:left w:val="single" w:sz="12" w:space="0" w:color="auto"/>
              <w:bottom w:val="single" w:sz="12" w:space="0" w:color="auto"/>
              <w:right w:val="single" w:sz="12" w:space="0" w:color="auto"/>
            </w:tcBorders>
          </w:tcPr>
          <w:p w14:paraId="1D215D6A" w14:textId="77777777" w:rsidR="007968EC" w:rsidRPr="00207D41" w:rsidRDefault="007968EC" w:rsidP="007968EC">
            <w:pPr>
              <w:jc w:val="both"/>
              <w:rPr>
                <w:rFonts w:ascii="Arial Narrow" w:eastAsia="Calibri" w:hAnsi="Arial Narrow" w:cs="Arial"/>
                <w:lang w:val="es-ES" w:eastAsia="es-ES"/>
              </w:rPr>
            </w:pPr>
            <w:r w:rsidRPr="00207D41">
              <w:rPr>
                <w:rFonts w:ascii="Arial Narrow" w:hAnsi="Arial Narrow" w:cs="Arial"/>
                <w:lang w:val="es-ES" w:eastAsia="es-ES"/>
              </w:rPr>
              <w:t>Compensación y Liquidación de Operaciones Swaps</w:t>
            </w:r>
          </w:p>
        </w:tc>
        <w:tc>
          <w:tcPr>
            <w:tcW w:w="2552" w:type="dxa"/>
            <w:tcBorders>
              <w:top w:val="single" w:sz="12" w:space="0" w:color="auto"/>
              <w:left w:val="single" w:sz="12" w:space="0" w:color="auto"/>
              <w:bottom w:val="single" w:sz="12" w:space="0" w:color="auto"/>
              <w:right w:val="single" w:sz="12" w:space="0" w:color="auto"/>
            </w:tcBorders>
          </w:tcPr>
          <w:p w14:paraId="240974DD" w14:textId="77777777" w:rsidR="007968EC" w:rsidRPr="00207D41" w:rsidRDefault="007968EC" w:rsidP="007968EC">
            <w:pPr>
              <w:autoSpaceDE w:val="0"/>
              <w:autoSpaceDN w:val="0"/>
              <w:adjustRightInd w:val="0"/>
              <w:jc w:val="both"/>
              <w:rPr>
                <w:rFonts w:ascii="Arial Narrow" w:eastAsia="Calibri" w:hAnsi="Arial Narrow" w:cs="Arial"/>
                <w:lang w:eastAsia="es-ES"/>
              </w:rPr>
            </w:pPr>
            <w:r w:rsidRPr="00207D41">
              <w:rPr>
                <w:rFonts w:ascii="Arial Narrow" w:eastAsia="Calibri" w:hAnsi="Arial Narrow" w:cs="Arial"/>
                <w:lang w:eastAsia="es-ES"/>
              </w:rPr>
              <w:t>IRS y OIS:</w:t>
            </w:r>
          </w:p>
          <w:p w14:paraId="19D51575" w14:textId="77777777" w:rsidR="007968EC" w:rsidRPr="00207D41" w:rsidRDefault="007968EC" w:rsidP="007968EC">
            <w:pPr>
              <w:autoSpaceDE w:val="0"/>
              <w:autoSpaceDN w:val="0"/>
              <w:adjustRightInd w:val="0"/>
              <w:jc w:val="both"/>
              <w:rPr>
                <w:rFonts w:ascii="Arial Narrow" w:eastAsia="Calibri" w:hAnsi="Arial Narrow" w:cs="Arial"/>
                <w:lang w:eastAsia="es-ES"/>
              </w:rPr>
            </w:pPr>
          </w:p>
          <w:p w14:paraId="1EA4F4CF" w14:textId="77777777" w:rsidR="007968EC" w:rsidRPr="00207D41" w:rsidRDefault="007968EC" w:rsidP="007968EC">
            <w:pPr>
              <w:autoSpaceDE w:val="0"/>
              <w:autoSpaceDN w:val="0"/>
              <w:adjustRightInd w:val="0"/>
              <w:jc w:val="both"/>
              <w:rPr>
                <w:rFonts w:ascii="Arial Narrow" w:eastAsia="Calibri" w:hAnsi="Arial Narrow" w:cs="Arial"/>
                <w:lang w:eastAsia="es-ES"/>
              </w:rPr>
            </w:pPr>
            <w:r w:rsidRPr="00207D41">
              <w:rPr>
                <w:rFonts w:ascii="Arial Narrow" w:eastAsia="Calibri" w:hAnsi="Arial Narrow" w:cs="Arial"/>
                <w:lang w:eastAsia="es-ES"/>
              </w:rPr>
              <w:t>Tarifa Variable para los IRS y los OIS establecida como un valor en pesos por cada mil millones de pesos ($1.000 millones) o su equivalente de una Operación y por cada punta de la misma, en la cual se obtiene el derecho de que la CÁMARA una vez acepte dicha Operación, realice las funciones de Compensación y Liquidación de ésta en las condiciones en que lo establezca el Reglamento de la Cámara.</w:t>
            </w:r>
          </w:p>
          <w:p w14:paraId="395071BB" w14:textId="77777777" w:rsidR="007968EC" w:rsidRPr="00207D41" w:rsidRDefault="007968EC" w:rsidP="007968EC">
            <w:pPr>
              <w:autoSpaceDE w:val="0"/>
              <w:autoSpaceDN w:val="0"/>
              <w:adjustRightInd w:val="0"/>
              <w:jc w:val="both"/>
              <w:rPr>
                <w:rFonts w:ascii="Arial Narrow" w:eastAsia="Calibri" w:hAnsi="Arial Narrow" w:cs="Arial"/>
                <w:lang w:eastAsia="es-ES"/>
              </w:rPr>
            </w:pPr>
          </w:p>
          <w:p w14:paraId="5E27E62D"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3BB644FC"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5A813BF5"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2AE5F9A0"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53A63DE0"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2BA0908B"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49D5F9FD"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30E4426B"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3FD4BEBD"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5FA63785"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06ACC183"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2C886A0D"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085935B0"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616D66EB"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3D12383D"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7F044117" w14:textId="77777777" w:rsidR="007968EC" w:rsidRPr="00207D41" w:rsidRDefault="007968EC" w:rsidP="007968EC">
            <w:pPr>
              <w:autoSpaceDE w:val="0"/>
              <w:autoSpaceDN w:val="0"/>
              <w:adjustRightInd w:val="0"/>
              <w:jc w:val="both"/>
              <w:rPr>
                <w:rFonts w:ascii="Arial Narrow" w:eastAsia="Calibri" w:hAnsi="Arial Narrow" w:cs="Arial"/>
                <w:lang w:val="en-US" w:eastAsia="es-ES"/>
              </w:rPr>
            </w:pPr>
            <w:r w:rsidRPr="00207D41">
              <w:rPr>
                <w:rFonts w:ascii="Arial Narrow" w:eastAsia="Calibri" w:hAnsi="Arial Narrow" w:cs="Arial"/>
                <w:lang w:val="en-US" w:eastAsia="es-ES"/>
              </w:rPr>
              <w:t xml:space="preserve">Cross Currency Basis Swaps Overnight (CCBSO): </w:t>
            </w:r>
          </w:p>
          <w:p w14:paraId="614213C1" w14:textId="77777777" w:rsidR="007968EC" w:rsidRPr="00207D41" w:rsidRDefault="007968EC" w:rsidP="007968EC">
            <w:pPr>
              <w:autoSpaceDE w:val="0"/>
              <w:autoSpaceDN w:val="0"/>
              <w:adjustRightInd w:val="0"/>
              <w:jc w:val="both"/>
              <w:rPr>
                <w:rFonts w:ascii="Arial Narrow" w:eastAsia="Calibri" w:hAnsi="Arial Narrow" w:cs="Arial"/>
                <w:lang w:val="en-US" w:eastAsia="es-ES"/>
              </w:rPr>
            </w:pPr>
          </w:p>
          <w:p w14:paraId="3EFCAB74"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r w:rsidRPr="00207D41">
              <w:rPr>
                <w:rFonts w:ascii="Arial Narrow" w:eastAsia="Calibri" w:hAnsi="Arial Narrow" w:cs="Arial"/>
                <w:lang w:eastAsia="es-ES"/>
              </w:rPr>
              <w:t>Tarifa Variable para los Cross Currency Basis Swaps Overnight (CCBSO) establecida como un valor en pesos por cada mil millones de pesos ($1.000 millones) o su equivalente de una Operación y por cada punta de la misma, en la cual se obtiene el derecho</w:t>
            </w:r>
          </w:p>
          <w:p w14:paraId="7E4A60E5"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067436A4"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3360F863"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2A25BA65"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046C72A9"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tc>
        <w:tc>
          <w:tcPr>
            <w:tcW w:w="4254" w:type="dxa"/>
            <w:tcBorders>
              <w:top w:val="single" w:sz="12" w:space="0" w:color="auto"/>
              <w:left w:val="single" w:sz="12" w:space="0" w:color="auto"/>
              <w:bottom w:val="single" w:sz="12" w:space="0" w:color="auto"/>
              <w:right w:val="single" w:sz="12" w:space="0" w:color="auto"/>
            </w:tcBorders>
          </w:tcPr>
          <w:p w14:paraId="4F777930" w14:textId="77777777" w:rsidR="007968EC" w:rsidRPr="00207D41" w:rsidRDefault="007968EC" w:rsidP="007968EC">
            <w:pPr>
              <w:autoSpaceDE w:val="0"/>
              <w:autoSpaceDN w:val="0"/>
              <w:adjustRightInd w:val="0"/>
              <w:jc w:val="both"/>
              <w:rPr>
                <w:rFonts w:ascii="Arial Narrow" w:eastAsia="Calibri" w:hAnsi="Arial Narrow" w:cs="Arial"/>
                <w:lang w:eastAsia="es-ES"/>
              </w:rPr>
            </w:pPr>
            <w:r w:rsidRPr="00207D41">
              <w:rPr>
                <w:rFonts w:ascii="Arial Narrow" w:eastAsia="Calibri" w:hAnsi="Arial Narrow" w:cs="Arial"/>
                <w:lang w:eastAsia="es-ES"/>
              </w:rPr>
              <w:lastRenderedPageBreak/>
              <w:t>IRS y OIS:</w:t>
            </w:r>
          </w:p>
          <w:p w14:paraId="3570FE54"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4AD9B8D4"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r w:rsidRPr="00207D41">
              <w:rPr>
                <w:rFonts w:ascii="Arial Narrow" w:hAnsi="Arial Narrow"/>
              </w:rPr>
              <w:t>Se cobrará un importe del cargo por cada monto nominal equivalente a COP $1.000 Millones:</w:t>
            </w:r>
          </w:p>
          <w:p w14:paraId="1D946E77"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tbl>
            <w:tblPr>
              <w:tblW w:w="2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0"/>
              <w:gridCol w:w="1480"/>
            </w:tblGrid>
            <w:tr w:rsidR="007968EC" w:rsidRPr="00207D41" w14:paraId="300C8F2B" w14:textId="77777777" w:rsidTr="007968EC">
              <w:trPr>
                <w:trHeight w:val="1040"/>
                <w:jc w:val="center"/>
              </w:trPr>
              <w:tc>
                <w:tcPr>
                  <w:tcW w:w="1200" w:type="dxa"/>
                  <w:shd w:val="clear" w:color="auto" w:fill="auto"/>
                  <w:vAlign w:val="center"/>
                  <w:hideMark/>
                </w:tcPr>
                <w:p w14:paraId="625E8FB7" w14:textId="77777777" w:rsidR="007968EC" w:rsidRPr="00207D41" w:rsidRDefault="007968EC" w:rsidP="007968EC">
                  <w:pPr>
                    <w:jc w:val="center"/>
                    <w:rPr>
                      <w:rFonts w:ascii="Arial Narrow" w:hAnsi="Arial Narrow"/>
                      <w:b/>
                      <w:color w:val="000000"/>
                      <w:lang w:eastAsia="es-CO"/>
                    </w:rPr>
                  </w:pPr>
                  <w:r w:rsidRPr="00207D41">
                    <w:rPr>
                      <w:rFonts w:ascii="Arial Narrow" w:hAnsi="Arial Narrow"/>
                      <w:b/>
                      <w:color w:val="000000"/>
                      <w:lang w:eastAsia="es-CO"/>
                    </w:rPr>
                    <w:t>Plazo Hasta</w:t>
                  </w:r>
                </w:p>
              </w:tc>
              <w:tc>
                <w:tcPr>
                  <w:tcW w:w="1480" w:type="dxa"/>
                  <w:shd w:val="clear" w:color="auto" w:fill="auto"/>
                  <w:vAlign w:val="bottom"/>
                  <w:hideMark/>
                </w:tcPr>
                <w:p w14:paraId="60BC3A11" w14:textId="77777777" w:rsidR="007968EC" w:rsidRPr="00207D41" w:rsidRDefault="007968EC" w:rsidP="007968EC">
                  <w:pPr>
                    <w:rPr>
                      <w:rFonts w:ascii="Arial Narrow" w:hAnsi="Arial Narrow"/>
                      <w:b/>
                      <w:color w:val="000000"/>
                      <w:lang w:eastAsia="es-CO"/>
                    </w:rPr>
                  </w:pPr>
                  <w:r w:rsidRPr="00207D41">
                    <w:rPr>
                      <w:rFonts w:ascii="Arial Narrow" w:hAnsi="Arial Narrow"/>
                      <w:b/>
                      <w:color w:val="000000"/>
                      <w:lang w:eastAsia="es-CO"/>
                    </w:rPr>
                    <w:t>Importe del Cargo por cada $1000 millones</w:t>
                  </w:r>
                </w:p>
              </w:tc>
            </w:tr>
            <w:tr w:rsidR="007968EC" w:rsidRPr="00207D41" w14:paraId="1A97827C" w14:textId="77777777" w:rsidTr="007968EC">
              <w:trPr>
                <w:trHeight w:val="315"/>
                <w:jc w:val="center"/>
              </w:trPr>
              <w:tc>
                <w:tcPr>
                  <w:tcW w:w="1200" w:type="dxa"/>
                  <w:shd w:val="clear" w:color="auto" w:fill="auto"/>
                  <w:vAlign w:val="center"/>
                  <w:hideMark/>
                </w:tcPr>
                <w:p w14:paraId="6CDD3B29"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1M</w:t>
                  </w:r>
                </w:p>
              </w:tc>
              <w:tc>
                <w:tcPr>
                  <w:tcW w:w="1480" w:type="dxa"/>
                  <w:shd w:val="clear" w:color="auto" w:fill="auto"/>
                  <w:noWrap/>
                  <w:vAlign w:val="bottom"/>
                  <w:hideMark/>
                </w:tcPr>
                <w:p w14:paraId="7E338C3A"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$2.800</w:t>
                  </w:r>
                </w:p>
              </w:tc>
            </w:tr>
            <w:tr w:rsidR="007968EC" w:rsidRPr="00207D41" w14:paraId="0D8CFAAA" w14:textId="77777777" w:rsidTr="007968EC">
              <w:trPr>
                <w:trHeight w:val="315"/>
                <w:jc w:val="center"/>
              </w:trPr>
              <w:tc>
                <w:tcPr>
                  <w:tcW w:w="1200" w:type="dxa"/>
                  <w:shd w:val="clear" w:color="auto" w:fill="auto"/>
                  <w:vAlign w:val="center"/>
                  <w:hideMark/>
                </w:tcPr>
                <w:p w14:paraId="41759ACD"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3M</w:t>
                  </w:r>
                </w:p>
              </w:tc>
              <w:tc>
                <w:tcPr>
                  <w:tcW w:w="1480" w:type="dxa"/>
                  <w:shd w:val="clear" w:color="auto" w:fill="auto"/>
                  <w:noWrap/>
                  <w:vAlign w:val="bottom"/>
                  <w:hideMark/>
                </w:tcPr>
                <w:p w14:paraId="57C07673"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$8.400</w:t>
                  </w:r>
                </w:p>
              </w:tc>
            </w:tr>
            <w:tr w:rsidR="007968EC" w:rsidRPr="00207D41" w14:paraId="2180E0D3" w14:textId="77777777" w:rsidTr="007968EC">
              <w:trPr>
                <w:trHeight w:val="315"/>
                <w:jc w:val="center"/>
              </w:trPr>
              <w:tc>
                <w:tcPr>
                  <w:tcW w:w="1200" w:type="dxa"/>
                  <w:shd w:val="clear" w:color="auto" w:fill="auto"/>
                  <w:vAlign w:val="center"/>
                  <w:hideMark/>
                </w:tcPr>
                <w:p w14:paraId="7478F9E9"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6M</w:t>
                  </w:r>
                </w:p>
              </w:tc>
              <w:tc>
                <w:tcPr>
                  <w:tcW w:w="1480" w:type="dxa"/>
                  <w:shd w:val="clear" w:color="auto" w:fill="auto"/>
                  <w:noWrap/>
                  <w:vAlign w:val="bottom"/>
                  <w:hideMark/>
                </w:tcPr>
                <w:p w14:paraId="60185BA6"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$16.800</w:t>
                  </w:r>
                </w:p>
              </w:tc>
            </w:tr>
            <w:tr w:rsidR="007968EC" w:rsidRPr="00207D41" w14:paraId="32881166" w14:textId="77777777" w:rsidTr="007968EC">
              <w:trPr>
                <w:trHeight w:val="315"/>
                <w:jc w:val="center"/>
              </w:trPr>
              <w:tc>
                <w:tcPr>
                  <w:tcW w:w="1200" w:type="dxa"/>
                  <w:shd w:val="clear" w:color="auto" w:fill="auto"/>
                  <w:vAlign w:val="center"/>
                  <w:hideMark/>
                </w:tcPr>
                <w:p w14:paraId="683DB93F"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9M</w:t>
                  </w:r>
                </w:p>
              </w:tc>
              <w:tc>
                <w:tcPr>
                  <w:tcW w:w="1480" w:type="dxa"/>
                  <w:shd w:val="clear" w:color="auto" w:fill="auto"/>
                  <w:noWrap/>
                  <w:vAlign w:val="bottom"/>
                  <w:hideMark/>
                </w:tcPr>
                <w:p w14:paraId="22F88160"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$25.000</w:t>
                  </w:r>
                </w:p>
              </w:tc>
            </w:tr>
            <w:tr w:rsidR="007968EC" w:rsidRPr="00207D41" w14:paraId="7EAAEDAA" w14:textId="77777777" w:rsidTr="007968EC">
              <w:trPr>
                <w:trHeight w:val="315"/>
                <w:jc w:val="center"/>
              </w:trPr>
              <w:tc>
                <w:tcPr>
                  <w:tcW w:w="1200" w:type="dxa"/>
                  <w:shd w:val="clear" w:color="auto" w:fill="auto"/>
                  <w:noWrap/>
                  <w:vAlign w:val="center"/>
                  <w:hideMark/>
                </w:tcPr>
                <w:p w14:paraId="29104182"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12M</w:t>
                  </w:r>
                </w:p>
              </w:tc>
              <w:tc>
                <w:tcPr>
                  <w:tcW w:w="1480" w:type="dxa"/>
                  <w:shd w:val="clear" w:color="auto" w:fill="auto"/>
                  <w:noWrap/>
                  <w:vAlign w:val="bottom"/>
                  <w:hideMark/>
                </w:tcPr>
                <w:p w14:paraId="6FADEEB1"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$33.400</w:t>
                  </w:r>
                </w:p>
              </w:tc>
            </w:tr>
            <w:tr w:rsidR="007968EC" w:rsidRPr="00207D41" w14:paraId="705F33CE" w14:textId="77777777" w:rsidTr="007968EC">
              <w:trPr>
                <w:trHeight w:val="315"/>
                <w:jc w:val="center"/>
              </w:trPr>
              <w:tc>
                <w:tcPr>
                  <w:tcW w:w="1200" w:type="dxa"/>
                  <w:shd w:val="clear" w:color="auto" w:fill="auto"/>
                  <w:noWrap/>
                  <w:vAlign w:val="center"/>
                  <w:hideMark/>
                </w:tcPr>
                <w:p w14:paraId="7E6C8C37"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18M</w:t>
                  </w:r>
                </w:p>
              </w:tc>
              <w:tc>
                <w:tcPr>
                  <w:tcW w:w="1480" w:type="dxa"/>
                  <w:shd w:val="clear" w:color="auto" w:fill="auto"/>
                  <w:noWrap/>
                  <w:vAlign w:val="bottom"/>
                  <w:hideMark/>
                </w:tcPr>
                <w:p w14:paraId="254C04C1"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$50.000</w:t>
                  </w:r>
                </w:p>
              </w:tc>
            </w:tr>
            <w:tr w:rsidR="007968EC" w:rsidRPr="00207D41" w14:paraId="12FA4CBE" w14:textId="77777777" w:rsidTr="007968EC">
              <w:trPr>
                <w:trHeight w:val="315"/>
                <w:jc w:val="center"/>
              </w:trPr>
              <w:tc>
                <w:tcPr>
                  <w:tcW w:w="1200" w:type="dxa"/>
                  <w:shd w:val="clear" w:color="auto" w:fill="auto"/>
                  <w:noWrap/>
                  <w:vAlign w:val="center"/>
                  <w:hideMark/>
                </w:tcPr>
                <w:p w14:paraId="0F5361EC"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2Y</w:t>
                  </w:r>
                </w:p>
              </w:tc>
              <w:tc>
                <w:tcPr>
                  <w:tcW w:w="1480" w:type="dxa"/>
                  <w:shd w:val="clear" w:color="auto" w:fill="auto"/>
                  <w:noWrap/>
                  <w:vAlign w:val="bottom"/>
                  <w:hideMark/>
                </w:tcPr>
                <w:p w14:paraId="0CE0466C"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$64.000</w:t>
                  </w:r>
                </w:p>
              </w:tc>
            </w:tr>
            <w:tr w:rsidR="007968EC" w:rsidRPr="00207D41" w14:paraId="23546469" w14:textId="77777777" w:rsidTr="007968EC">
              <w:trPr>
                <w:trHeight w:val="315"/>
                <w:jc w:val="center"/>
              </w:trPr>
              <w:tc>
                <w:tcPr>
                  <w:tcW w:w="1200" w:type="dxa"/>
                  <w:shd w:val="clear" w:color="auto" w:fill="auto"/>
                  <w:noWrap/>
                  <w:vAlign w:val="center"/>
                  <w:hideMark/>
                </w:tcPr>
                <w:p w14:paraId="275ECEA5"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3Y</w:t>
                  </w:r>
                </w:p>
              </w:tc>
              <w:tc>
                <w:tcPr>
                  <w:tcW w:w="1480" w:type="dxa"/>
                  <w:shd w:val="clear" w:color="auto" w:fill="auto"/>
                  <w:noWrap/>
                  <w:vAlign w:val="bottom"/>
                  <w:hideMark/>
                </w:tcPr>
                <w:p w14:paraId="7B2A5D90"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$94.000</w:t>
                  </w:r>
                </w:p>
              </w:tc>
            </w:tr>
            <w:tr w:rsidR="007968EC" w:rsidRPr="00207D41" w14:paraId="51616BDF" w14:textId="77777777" w:rsidTr="007968EC">
              <w:trPr>
                <w:trHeight w:val="315"/>
                <w:jc w:val="center"/>
              </w:trPr>
              <w:tc>
                <w:tcPr>
                  <w:tcW w:w="1200" w:type="dxa"/>
                  <w:shd w:val="clear" w:color="auto" w:fill="auto"/>
                  <w:noWrap/>
                  <w:vAlign w:val="center"/>
                  <w:hideMark/>
                </w:tcPr>
                <w:p w14:paraId="779CD6CD"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4Y</w:t>
                  </w:r>
                </w:p>
              </w:tc>
              <w:tc>
                <w:tcPr>
                  <w:tcW w:w="1480" w:type="dxa"/>
                  <w:shd w:val="clear" w:color="auto" w:fill="auto"/>
                  <w:noWrap/>
                  <w:vAlign w:val="bottom"/>
                  <w:hideMark/>
                </w:tcPr>
                <w:p w14:paraId="56E95B53"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$122.000</w:t>
                  </w:r>
                </w:p>
              </w:tc>
            </w:tr>
            <w:tr w:rsidR="007968EC" w:rsidRPr="00207D41" w14:paraId="7B135BA8" w14:textId="77777777" w:rsidTr="007968EC">
              <w:trPr>
                <w:trHeight w:val="315"/>
                <w:jc w:val="center"/>
              </w:trPr>
              <w:tc>
                <w:tcPr>
                  <w:tcW w:w="1200" w:type="dxa"/>
                  <w:shd w:val="clear" w:color="auto" w:fill="auto"/>
                  <w:noWrap/>
                  <w:vAlign w:val="center"/>
                  <w:hideMark/>
                </w:tcPr>
                <w:p w14:paraId="2174395B"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5Y</w:t>
                  </w:r>
                </w:p>
              </w:tc>
              <w:tc>
                <w:tcPr>
                  <w:tcW w:w="1480" w:type="dxa"/>
                  <w:shd w:val="clear" w:color="auto" w:fill="auto"/>
                  <w:noWrap/>
                  <w:vAlign w:val="bottom"/>
                  <w:hideMark/>
                </w:tcPr>
                <w:p w14:paraId="02C92EC1"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$149.000</w:t>
                  </w:r>
                </w:p>
              </w:tc>
            </w:tr>
            <w:tr w:rsidR="007968EC" w:rsidRPr="00207D41" w14:paraId="0678B846" w14:textId="77777777" w:rsidTr="007968EC">
              <w:trPr>
                <w:trHeight w:val="315"/>
                <w:jc w:val="center"/>
              </w:trPr>
              <w:tc>
                <w:tcPr>
                  <w:tcW w:w="1200" w:type="dxa"/>
                  <w:shd w:val="clear" w:color="auto" w:fill="auto"/>
                  <w:noWrap/>
                  <w:vAlign w:val="center"/>
                  <w:hideMark/>
                </w:tcPr>
                <w:p w14:paraId="30B0290E"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lastRenderedPageBreak/>
                    <w:t>6Y</w:t>
                  </w:r>
                </w:p>
              </w:tc>
              <w:tc>
                <w:tcPr>
                  <w:tcW w:w="1480" w:type="dxa"/>
                  <w:shd w:val="clear" w:color="auto" w:fill="auto"/>
                  <w:noWrap/>
                  <w:vAlign w:val="bottom"/>
                  <w:hideMark/>
                </w:tcPr>
                <w:p w14:paraId="7123D394"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$175.000</w:t>
                  </w:r>
                </w:p>
              </w:tc>
            </w:tr>
            <w:tr w:rsidR="007968EC" w:rsidRPr="00207D41" w14:paraId="162726CA" w14:textId="77777777" w:rsidTr="007968EC">
              <w:trPr>
                <w:trHeight w:val="315"/>
                <w:jc w:val="center"/>
              </w:trPr>
              <w:tc>
                <w:tcPr>
                  <w:tcW w:w="1200" w:type="dxa"/>
                  <w:shd w:val="clear" w:color="auto" w:fill="auto"/>
                  <w:noWrap/>
                  <w:vAlign w:val="center"/>
                  <w:hideMark/>
                </w:tcPr>
                <w:p w14:paraId="6042114C"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7Y</w:t>
                  </w:r>
                </w:p>
              </w:tc>
              <w:tc>
                <w:tcPr>
                  <w:tcW w:w="1480" w:type="dxa"/>
                  <w:shd w:val="clear" w:color="auto" w:fill="auto"/>
                  <w:noWrap/>
                  <w:vAlign w:val="bottom"/>
                  <w:hideMark/>
                </w:tcPr>
                <w:p w14:paraId="619E6F78"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$200.000</w:t>
                  </w:r>
                </w:p>
              </w:tc>
            </w:tr>
            <w:tr w:rsidR="007968EC" w:rsidRPr="00207D41" w14:paraId="1B75D962" w14:textId="77777777" w:rsidTr="007968EC">
              <w:trPr>
                <w:trHeight w:val="315"/>
                <w:jc w:val="center"/>
              </w:trPr>
              <w:tc>
                <w:tcPr>
                  <w:tcW w:w="1200" w:type="dxa"/>
                  <w:shd w:val="clear" w:color="auto" w:fill="auto"/>
                  <w:noWrap/>
                  <w:vAlign w:val="center"/>
                  <w:hideMark/>
                </w:tcPr>
                <w:p w14:paraId="7707BED7"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8Y</w:t>
                  </w:r>
                </w:p>
              </w:tc>
              <w:tc>
                <w:tcPr>
                  <w:tcW w:w="1480" w:type="dxa"/>
                  <w:shd w:val="clear" w:color="auto" w:fill="auto"/>
                  <w:noWrap/>
                  <w:vAlign w:val="bottom"/>
                  <w:hideMark/>
                </w:tcPr>
                <w:p w14:paraId="7F31256E"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$224.000</w:t>
                  </w:r>
                </w:p>
              </w:tc>
            </w:tr>
            <w:tr w:rsidR="007968EC" w:rsidRPr="00207D41" w14:paraId="79F561C7" w14:textId="77777777" w:rsidTr="007968EC">
              <w:trPr>
                <w:trHeight w:val="315"/>
                <w:jc w:val="center"/>
              </w:trPr>
              <w:tc>
                <w:tcPr>
                  <w:tcW w:w="1200" w:type="dxa"/>
                  <w:shd w:val="clear" w:color="auto" w:fill="auto"/>
                  <w:noWrap/>
                  <w:vAlign w:val="center"/>
                  <w:hideMark/>
                </w:tcPr>
                <w:p w14:paraId="13215826"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9Y</w:t>
                  </w:r>
                </w:p>
              </w:tc>
              <w:tc>
                <w:tcPr>
                  <w:tcW w:w="1480" w:type="dxa"/>
                  <w:shd w:val="clear" w:color="auto" w:fill="auto"/>
                  <w:noWrap/>
                  <w:vAlign w:val="bottom"/>
                  <w:hideMark/>
                </w:tcPr>
                <w:p w14:paraId="013F7197"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$247.000</w:t>
                  </w:r>
                </w:p>
              </w:tc>
            </w:tr>
            <w:tr w:rsidR="007968EC" w:rsidRPr="00207D41" w14:paraId="36961790" w14:textId="77777777" w:rsidTr="007968EC">
              <w:trPr>
                <w:trHeight w:val="315"/>
                <w:jc w:val="center"/>
              </w:trPr>
              <w:tc>
                <w:tcPr>
                  <w:tcW w:w="1200" w:type="dxa"/>
                  <w:shd w:val="clear" w:color="auto" w:fill="auto"/>
                  <w:noWrap/>
                  <w:vAlign w:val="center"/>
                  <w:hideMark/>
                </w:tcPr>
                <w:p w14:paraId="55B50AC6"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10Y</w:t>
                  </w:r>
                </w:p>
              </w:tc>
              <w:tc>
                <w:tcPr>
                  <w:tcW w:w="1480" w:type="dxa"/>
                  <w:shd w:val="clear" w:color="auto" w:fill="auto"/>
                  <w:noWrap/>
                  <w:vAlign w:val="bottom"/>
                  <w:hideMark/>
                </w:tcPr>
                <w:p w14:paraId="1D6B407F"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$269.000</w:t>
                  </w:r>
                </w:p>
              </w:tc>
            </w:tr>
            <w:tr w:rsidR="007968EC" w:rsidRPr="00207D41" w14:paraId="2045A94D" w14:textId="77777777" w:rsidTr="007968EC">
              <w:trPr>
                <w:trHeight w:val="315"/>
                <w:jc w:val="center"/>
              </w:trPr>
              <w:tc>
                <w:tcPr>
                  <w:tcW w:w="1200" w:type="dxa"/>
                  <w:shd w:val="clear" w:color="auto" w:fill="auto"/>
                  <w:noWrap/>
                  <w:vAlign w:val="center"/>
                  <w:hideMark/>
                </w:tcPr>
                <w:p w14:paraId="3712B778"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11Y</w:t>
                  </w:r>
                </w:p>
              </w:tc>
              <w:tc>
                <w:tcPr>
                  <w:tcW w:w="1480" w:type="dxa"/>
                  <w:shd w:val="clear" w:color="auto" w:fill="auto"/>
                  <w:noWrap/>
                  <w:vAlign w:val="bottom"/>
                  <w:hideMark/>
                </w:tcPr>
                <w:p w14:paraId="64154D5C"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$290.000</w:t>
                  </w:r>
                </w:p>
              </w:tc>
            </w:tr>
            <w:tr w:rsidR="007968EC" w:rsidRPr="00207D41" w14:paraId="06B52432" w14:textId="77777777" w:rsidTr="007968EC">
              <w:trPr>
                <w:trHeight w:val="181"/>
                <w:jc w:val="center"/>
              </w:trPr>
              <w:tc>
                <w:tcPr>
                  <w:tcW w:w="1200" w:type="dxa"/>
                  <w:shd w:val="clear" w:color="auto" w:fill="auto"/>
                  <w:noWrap/>
                  <w:vAlign w:val="center"/>
                  <w:hideMark/>
                </w:tcPr>
                <w:p w14:paraId="2B7CB183"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12Y</w:t>
                  </w:r>
                </w:p>
              </w:tc>
              <w:tc>
                <w:tcPr>
                  <w:tcW w:w="1480" w:type="dxa"/>
                  <w:shd w:val="clear" w:color="auto" w:fill="auto"/>
                  <w:noWrap/>
                  <w:vAlign w:val="bottom"/>
                  <w:hideMark/>
                </w:tcPr>
                <w:p w14:paraId="69B2AD74"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$311.000</w:t>
                  </w:r>
                </w:p>
              </w:tc>
            </w:tr>
            <w:tr w:rsidR="007968EC" w:rsidRPr="00207D41" w14:paraId="1C7F55AB" w14:textId="77777777" w:rsidTr="007968EC">
              <w:trPr>
                <w:trHeight w:val="171"/>
                <w:jc w:val="center"/>
              </w:trPr>
              <w:tc>
                <w:tcPr>
                  <w:tcW w:w="1200" w:type="dxa"/>
                  <w:shd w:val="clear" w:color="auto" w:fill="auto"/>
                  <w:noWrap/>
                  <w:vAlign w:val="center"/>
                  <w:hideMark/>
                </w:tcPr>
                <w:p w14:paraId="6E3A389A"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13Y</w:t>
                  </w:r>
                </w:p>
              </w:tc>
              <w:tc>
                <w:tcPr>
                  <w:tcW w:w="1480" w:type="dxa"/>
                  <w:shd w:val="clear" w:color="auto" w:fill="auto"/>
                  <w:noWrap/>
                  <w:vAlign w:val="bottom"/>
                  <w:hideMark/>
                </w:tcPr>
                <w:p w14:paraId="4A9A4CC1"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$331.000</w:t>
                  </w:r>
                </w:p>
              </w:tc>
            </w:tr>
            <w:tr w:rsidR="007968EC" w:rsidRPr="00207D41" w14:paraId="7869641C" w14:textId="77777777" w:rsidTr="007968EC">
              <w:trPr>
                <w:trHeight w:val="195"/>
                <w:jc w:val="center"/>
              </w:trPr>
              <w:tc>
                <w:tcPr>
                  <w:tcW w:w="1200" w:type="dxa"/>
                  <w:shd w:val="clear" w:color="auto" w:fill="auto"/>
                  <w:noWrap/>
                  <w:vAlign w:val="center"/>
                  <w:hideMark/>
                </w:tcPr>
                <w:p w14:paraId="5C063485"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14Y</w:t>
                  </w:r>
                </w:p>
              </w:tc>
              <w:tc>
                <w:tcPr>
                  <w:tcW w:w="1480" w:type="dxa"/>
                  <w:shd w:val="clear" w:color="auto" w:fill="auto"/>
                  <w:noWrap/>
                  <w:vAlign w:val="bottom"/>
                  <w:hideMark/>
                </w:tcPr>
                <w:p w14:paraId="7519C361"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$351.000</w:t>
                  </w:r>
                </w:p>
              </w:tc>
            </w:tr>
            <w:tr w:rsidR="007968EC" w:rsidRPr="00207D41" w14:paraId="6E559FB0" w14:textId="77777777" w:rsidTr="007968EC">
              <w:trPr>
                <w:trHeight w:val="307"/>
                <w:jc w:val="center"/>
              </w:trPr>
              <w:tc>
                <w:tcPr>
                  <w:tcW w:w="1200" w:type="dxa"/>
                  <w:shd w:val="clear" w:color="auto" w:fill="auto"/>
                  <w:noWrap/>
                  <w:vAlign w:val="center"/>
                  <w:hideMark/>
                </w:tcPr>
                <w:p w14:paraId="7E327A62"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15Y</w:t>
                  </w:r>
                </w:p>
              </w:tc>
              <w:tc>
                <w:tcPr>
                  <w:tcW w:w="1480" w:type="dxa"/>
                  <w:shd w:val="clear" w:color="auto" w:fill="auto"/>
                  <w:noWrap/>
                  <w:vAlign w:val="bottom"/>
                  <w:hideMark/>
                </w:tcPr>
                <w:p w14:paraId="718DF750"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$370.000</w:t>
                  </w:r>
                </w:p>
              </w:tc>
            </w:tr>
          </w:tbl>
          <w:p w14:paraId="65DC04DE" w14:textId="77777777" w:rsidR="007968EC" w:rsidRPr="00207D41" w:rsidRDefault="007968EC" w:rsidP="007968EC">
            <w:pPr>
              <w:autoSpaceDE w:val="0"/>
              <w:autoSpaceDN w:val="0"/>
              <w:adjustRightInd w:val="0"/>
              <w:jc w:val="both"/>
              <w:rPr>
                <w:rFonts w:ascii="Arial Narrow" w:eastAsia="Calibri" w:hAnsi="Arial Narrow" w:cs="Arial"/>
                <w:lang w:eastAsia="es-ES"/>
              </w:rPr>
            </w:pPr>
          </w:p>
          <w:p w14:paraId="44B3A213" w14:textId="77777777" w:rsidR="007968EC" w:rsidRPr="00207D41" w:rsidRDefault="007968EC" w:rsidP="007968EC">
            <w:pPr>
              <w:autoSpaceDE w:val="0"/>
              <w:autoSpaceDN w:val="0"/>
              <w:adjustRightInd w:val="0"/>
              <w:jc w:val="both"/>
              <w:rPr>
                <w:rFonts w:ascii="Arial Narrow" w:eastAsia="Calibri" w:hAnsi="Arial Narrow" w:cs="Arial"/>
                <w:lang w:eastAsia="es-ES"/>
              </w:rPr>
            </w:pPr>
          </w:p>
          <w:p w14:paraId="3A5D7C2F" w14:textId="77777777" w:rsidR="007968EC" w:rsidRPr="00207D41" w:rsidRDefault="007968EC" w:rsidP="007968EC">
            <w:pPr>
              <w:autoSpaceDE w:val="0"/>
              <w:autoSpaceDN w:val="0"/>
              <w:adjustRightInd w:val="0"/>
              <w:jc w:val="both"/>
              <w:rPr>
                <w:rFonts w:ascii="Arial Narrow" w:eastAsia="Calibri" w:hAnsi="Arial Narrow" w:cs="Arial"/>
                <w:lang w:eastAsia="es-ES"/>
              </w:rPr>
            </w:pPr>
          </w:p>
          <w:p w14:paraId="2F71E347" w14:textId="77777777" w:rsidR="007968EC" w:rsidRPr="00207D41" w:rsidRDefault="007968EC" w:rsidP="007968EC">
            <w:pPr>
              <w:autoSpaceDE w:val="0"/>
              <w:autoSpaceDN w:val="0"/>
              <w:adjustRightInd w:val="0"/>
              <w:jc w:val="both"/>
              <w:rPr>
                <w:rFonts w:ascii="Arial Narrow" w:eastAsia="Calibri" w:hAnsi="Arial Narrow" w:cs="Arial"/>
                <w:lang w:eastAsia="es-ES"/>
              </w:rPr>
            </w:pPr>
            <w:r w:rsidRPr="00207D41">
              <w:rPr>
                <w:rFonts w:ascii="Arial Narrow" w:eastAsia="Calibri" w:hAnsi="Arial Narrow" w:cs="Arial"/>
                <w:lang w:eastAsia="es-ES"/>
              </w:rPr>
              <w:t>Cross Currency Basis Swaps Overnight (CCBSO):</w:t>
            </w:r>
          </w:p>
          <w:p w14:paraId="3F28EA38" w14:textId="77777777" w:rsidR="007968EC" w:rsidRPr="00207D41" w:rsidRDefault="007968EC" w:rsidP="007968EC">
            <w:pPr>
              <w:autoSpaceDE w:val="0"/>
              <w:autoSpaceDN w:val="0"/>
              <w:adjustRightInd w:val="0"/>
              <w:jc w:val="both"/>
              <w:rPr>
                <w:rFonts w:ascii="Arial Narrow" w:eastAsia="Calibri" w:hAnsi="Arial Narrow" w:cs="Arial"/>
                <w:lang w:eastAsia="es-ES"/>
              </w:rPr>
            </w:pPr>
          </w:p>
          <w:tbl>
            <w:tblPr>
              <w:tblW w:w="2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0"/>
              <w:gridCol w:w="1480"/>
            </w:tblGrid>
            <w:tr w:rsidR="007968EC" w:rsidRPr="00207D41" w14:paraId="002F0695" w14:textId="77777777" w:rsidTr="007968EC">
              <w:trPr>
                <w:trHeight w:val="315"/>
                <w:jc w:val="center"/>
              </w:trPr>
              <w:tc>
                <w:tcPr>
                  <w:tcW w:w="1200" w:type="dxa"/>
                  <w:shd w:val="clear" w:color="auto" w:fill="auto"/>
                  <w:vAlign w:val="center"/>
                </w:tcPr>
                <w:p w14:paraId="1FAE2E81" w14:textId="77777777" w:rsidR="007968EC" w:rsidRPr="00207D41" w:rsidRDefault="007968EC" w:rsidP="007968EC">
                  <w:pPr>
                    <w:jc w:val="center"/>
                    <w:rPr>
                      <w:rFonts w:ascii="Arial Narrow" w:hAnsi="Arial Narrow"/>
                      <w:color w:val="000000"/>
                      <w:lang w:val="en-US" w:eastAsia="es-CO"/>
                    </w:rPr>
                  </w:pPr>
                  <w:proofErr w:type="spellStart"/>
                  <w:r w:rsidRPr="00207D41">
                    <w:rPr>
                      <w:rFonts w:ascii="Arial Narrow" w:hAnsi="Arial Narrow"/>
                      <w:b/>
                      <w:color w:val="000000"/>
                      <w:lang w:val="en-US" w:eastAsia="es-CO"/>
                    </w:rPr>
                    <w:t>Plazo</w:t>
                  </w:r>
                  <w:proofErr w:type="spellEnd"/>
                  <w:r w:rsidRPr="00207D41">
                    <w:rPr>
                      <w:rFonts w:ascii="Arial Narrow" w:hAnsi="Arial Narrow"/>
                      <w:b/>
                      <w:color w:val="000000"/>
                      <w:lang w:val="en-US" w:eastAsia="es-CO"/>
                    </w:rPr>
                    <w:t xml:space="preserve"> Hasta</w:t>
                  </w:r>
                </w:p>
              </w:tc>
              <w:tc>
                <w:tcPr>
                  <w:tcW w:w="1480" w:type="dxa"/>
                  <w:shd w:val="clear" w:color="auto" w:fill="auto"/>
                  <w:noWrap/>
                  <w:vAlign w:val="bottom"/>
                </w:tcPr>
                <w:p w14:paraId="783ABB44" w14:textId="77777777" w:rsidR="007968EC" w:rsidRPr="00207D41" w:rsidRDefault="007968EC" w:rsidP="007968EC">
                  <w:pPr>
                    <w:rPr>
                      <w:rFonts w:ascii="Arial Narrow" w:hAnsi="Arial Narrow"/>
                      <w:color w:val="000000"/>
                      <w:lang w:eastAsia="es-CO"/>
                    </w:rPr>
                  </w:pPr>
                  <w:r w:rsidRPr="00207D41">
                    <w:rPr>
                      <w:rFonts w:ascii="Arial Narrow" w:hAnsi="Arial Narrow"/>
                      <w:b/>
                      <w:color w:val="000000"/>
                      <w:lang w:eastAsia="es-CO"/>
                    </w:rPr>
                    <w:t>Importe del Cargo por cada $1000 millones</w:t>
                  </w:r>
                </w:p>
              </w:tc>
            </w:tr>
            <w:tr w:rsidR="007968EC" w:rsidRPr="00207D41" w14:paraId="67C2AEDF" w14:textId="77777777" w:rsidTr="007968EC">
              <w:trPr>
                <w:trHeight w:val="315"/>
                <w:jc w:val="center"/>
              </w:trPr>
              <w:tc>
                <w:tcPr>
                  <w:tcW w:w="1200" w:type="dxa"/>
                  <w:shd w:val="clear" w:color="auto" w:fill="auto"/>
                  <w:vAlign w:val="center"/>
                </w:tcPr>
                <w:p w14:paraId="271C44BE"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1M</w:t>
                  </w:r>
                </w:p>
              </w:tc>
              <w:tc>
                <w:tcPr>
                  <w:tcW w:w="1480" w:type="dxa"/>
                  <w:shd w:val="clear" w:color="auto" w:fill="auto"/>
                  <w:noWrap/>
                  <w:vAlign w:val="bottom"/>
                </w:tcPr>
                <w:p w14:paraId="0285F2DD"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$3.500</w:t>
                  </w:r>
                </w:p>
              </w:tc>
            </w:tr>
            <w:tr w:rsidR="007968EC" w:rsidRPr="00207D41" w14:paraId="3190D3D5" w14:textId="77777777" w:rsidTr="007968EC">
              <w:trPr>
                <w:trHeight w:val="315"/>
                <w:jc w:val="center"/>
              </w:trPr>
              <w:tc>
                <w:tcPr>
                  <w:tcW w:w="1200" w:type="dxa"/>
                  <w:shd w:val="clear" w:color="auto" w:fill="auto"/>
                  <w:vAlign w:val="center"/>
                </w:tcPr>
                <w:p w14:paraId="32BB8FC2"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3M</w:t>
                  </w:r>
                </w:p>
              </w:tc>
              <w:tc>
                <w:tcPr>
                  <w:tcW w:w="1480" w:type="dxa"/>
                  <w:shd w:val="clear" w:color="auto" w:fill="auto"/>
                  <w:noWrap/>
                  <w:vAlign w:val="bottom"/>
                </w:tcPr>
                <w:p w14:paraId="6086E1C9"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$9.000</w:t>
                  </w:r>
                </w:p>
              </w:tc>
            </w:tr>
            <w:tr w:rsidR="007968EC" w:rsidRPr="00207D41" w14:paraId="37A5FA01" w14:textId="77777777" w:rsidTr="007968EC">
              <w:trPr>
                <w:trHeight w:val="315"/>
                <w:jc w:val="center"/>
              </w:trPr>
              <w:tc>
                <w:tcPr>
                  <w:tcW w:w="1200" w:type="dxa"/>
                  <w:shd w:val="clear" w:color="auto" w:fill="auto"/>
                  <w:vAlign w:val="center"/>
                  <w:hideMark/>
                </w:tcPr>
                <w:p w14:paraId="1C1B56DE"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6M</w:t>
                  </w:r>
                </w:p>
              </w:tc>
              <w:tc>
                <w:tcPr>
                  <w:tcW w:w="1480" w:type="dxa"/>
                  <w:shd w:val="clear" w:color="auto" w:fill="auto"/>
                  <w:noWrap/>
                  <w:vAlign w:val="bottom"/>
                  <w:hideMark/>
                </w:tcPr>
                <w:p w14:paraId="5FE036DF"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$17.000</w:t>
                  </w:r>
                </w:p>
              </w:tc>
            </w:tr>
            <w:tr w:rsidR="007968EC" w:rsidRPr="00207D41" w14:paraId="326FC8AA" w14:textId="77777777" w:rsidTr="007968EC">
              <w:trPr>
                <w:trHeight w:val="315"/>
                <w:jc w:val="center"/>
              </w:trPr>
              <w:tc>
                <w:tcPr>
                  <w:tcW w:w="1200" w:type="dxa"/>
                  <w:shd w:val="clear" w:color="auto" w:fill="auto"/>
                  <w:vAlign w:val="center"/>
                  <w:hideMark/>
                </w:tcPr>
                <w:p w14:paraId="7574CEE7"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9M</w:t>
                  </w:r>
                </w:p>
              </w:tc>
              <w:tc>
                <w:tcPr>
                  <w:tcW w:w="1480" w:type="dxa"/>
                  <w:shd w:val="clear" w:color="auto" w:fill="auto"/>
                  <w:noWrap/>
                  <w:vAlign w:val="bottom"/>
                  <w:hideMark/>
                </w:tcPr>
                <w:p w14:paraId="1D326C41"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$25.500</w:t>
                  </w:r>
                </w:p>
              </w:tc>
            </w:tr>
            <w:tr w:rsidR="007968EC" w:rsidRPr="00207D41" w14:paraId="0D3DDFAC" w14:textId="77777777" w:rsidTr="007968EC">
              <w:trPr>
                <w:trHeight w:val="315"/>
                <w:jc w:val="center"/>
              </w:trPr>
              <w:tc>
                <w:tcPr>
                  <w:tcW w:w="1200" w:type="dxa"/>
                  <w:shd w:val="clear" w:color="auto" w:fill="auto"/>
                  <w:noWrap/>
                  <w:vAlign w:val="center"/>
                  <w:hideMark/>
                </w:tcPr>
                <w:p w14:paraId="0571ED70"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12M</w:t>
                  </w:r>
                </w:p>
              </w:tc>
              <w:tc>
                <w:tcPr>
                  <w:tcW w:w="1480" w:type="dxa"/>
                  <w:shd w:val="clear" w:color="auto" w:fill="auto"/>
                  <w:noWrap/>
                  <w:vAlign w:val="bottom"/>
                  <w:hideMark/>
                </w:tcPr>
                <w:p w14:paraId="7EAEA6B1"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$33.500</w:t>
                  </w:r>
                </w:p>
              </w:tc>
            </w:tr>
            <w:tr w:rsidR="007968EC" w:rsidRPr="00207D41" w14:paraId="0424D856" w14:textId="77777777" w:rsidTr="007968EC">
              <w:trPr>
                <w:trHeight w:val="315"/>
                <w:jc w:val="center"/>
              </w:trPr>
              <w:tc>
                <w:tcPr>
                  <w:tcW w:w="1200" w:type="dxa"/>
                  <w:shd w:val="clear" w:color="auto" w:fill="auto"/>
                  <w:noWrap/>
                  <w:vAlign w:val="center"/>
                  <w:hideMark/>
                </w:tcPr>
                <w:p w14:paraId="19BA7745"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18M</w:t>
                  </w:r>
                </w:p>
              </w:tc>
              <w:tc>
                <w:tcPr>
                  <w:tcW w:w="1480" w:type="dxa"/>
                  <w:shd w:val="clear" w:color="auto" w:fill="auto"/>
                  <w:noWrap/>
                  <w:vAlign w:val="bottom"/>
                  <w:hideMark/>
                </w:tcPr>
                <w:p w14:paraId="217E44DF"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$50.000</w:t>
                  </w:r>
                </w:p>
              </w:tc>
            </w:tr>
            <w:tr w:rsidR="007968EC" w:rsidRPr="00207D41" w14:paraId="099E6FDC" w14:textId="77777777" w:rsidTr="007968EC">
              <w:trPr>
                <w:trHeight w:val="315"/>
                <w:jc w:val="center"/>
              </w:trPr>
              <w:tc>
                <w:tcPr>
                  <w:tcW w:w="1200" w:type="dxa"/>
                  <w:shd w:val="clear" w:color="auto" w:fill="auto"/>
                  <w:noWrap/>
                  <w:vAlign w:val="center"/>
                  <w:hideMark/>
                </w:tcPr>
                <w:p w14:paraId="148C0CFF"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2Y</w:t>
                  </w:r>
                </w:p>
              </w:tc>
              <w:tc>
                <w:tcPr>
                  <w:tcW w:w="1480" w:type="dxa"/>
                  <w:shd w:val="clear" w:color="auto" w:fill="auto"/>
                  <w:noWrap/>
                  <w:vAlign w:val="bottom"/>
                  <w:hideMark/>
                </w:tcPr>
                <w:p w14:paraId="5BDB5D7D"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$66.000</w:t>
                  </w:r>
                </w:p>
              </w:tc>
            </w:tr>
            <w:tr w:rsidR="007968EC" w:rsidRPr="00207D41" w14:paraId="75B4B27F" w14:textId="77777777" w:rsidTr="007968EC">
              <w:trPr>
                <w:trHeight w:val="315"/>
                <w:jc w:val="center"/>
              </w:trPr>
              <w:tc>
                <w:tcPr>
                  <w:tcW w:w="1200" w:type="dxa"/>
                  <w:shd w:val="clear" w:color="auto" w:fill="auto"/>
                  <w:noWrap/>
                  <w:vAlign w:val="center"/>
                  <w:hideMark/>
                </w:tcPr>
                <w:p w14:paraId="1E361088"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3Y</w:t>
                  </w:r>
                </w:p>
              </w:tc>
              <w:tc>
                <w:tcPr>
                  <w:tcW w:w="1480" w:type="dxa"/>
                  <w:shd w:val="clear" w:color="auto" w:fill="auto"/>
                  <w:noWrap/>
                  <w:vAlign w:val="bottom"/>
                  <w:hideMark/>
                </w:tcPr>
                <w:p w14:paraId="1B25016F"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$98.000</w:t>
                  </w:r>
                </w:p>
              </w:tc>
            </w:tr>
            <w:tr w:rsidR="007968EC" w:rsidRPr="00207D41" w14:paraId="3C306089" w14:textId="77777777" w:rsidTr="007968EC">
              <w:trPr>
                <w:trHeight w:val="315"/>
                <w:jc w:val="center"/>
              </w:trPr>
              <w:tc>
                <w:tcPr>
                  <w:tcW w:w="1200" w:type="dxa"/>
                  <w:shd w:val="clear" w:color="auto" w:fill="auto"/>
                  <w:noWrap/>
                  <w:vAlign w:val="center"/>
                  <w:hideMark/>
                </w:tcPr>
                <w:p w14:paraId="3030B4AA"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4Y</w:t>
                  </w:r>
                </w:p>
              </w:tc>
              <w:tc>
                <w:tcPr>
                  <w:tcW w:w="1480" w:type="dxa"/>
                  <w:shd w:val="clear" w:color="auto" w:fill="auto"/>
                  <w:noWrap/>
                  <w:vAlign w:val="bottom"/>
                  <w:hideMark/>
                </w:tcPr>
                <w:p w14:paraId="578FA16B"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$130.000</w:t>
                  </w:r>
                </w:p>
              </w:tc>
            </w:tr>
            <w:tr w:rsidR="007968EC" w:rsidRPr="00207D41" w14:paraId="5D2EBC62" w14:textId="77777777" w:rsidTr="007968EC">
              <w:trPr>
                <w:trHeight w:val="315"/>
                <w:jc w:val="center"/>
              </w:trPr>
              <w:tc>
                <w:tcPr>
                  <w:tcW w:w="1200" w:type="dxa"/>
                  <w:shd w:val="clear" w:color="auto" w:fill="auto"/>
                  <w:noWrap/>
                  <w:vAlign w:val="center"/>
                  <w:hideMark/>
                </w:tcPr>
                <w:p w14:paraId="26F4395E"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5Y</w:t>
                  </w:r>
                </w:p>
              </w:tc>
              <w:tc>
                <w:tcPr>
                  <w:tcW w:w="1480" w:type="dxa"/>
                  <w:shd w:val="clear" w:color="auto" w:fill="auto"/>
                  <w:noWrap/>
                  <w:vAlign w:val="bottom"/>
                  <w:hideMark/>
                </w:tcPr>
                <w:p w14:paraId="02499D93"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$160.000</w:t>
                  </w:r>
                </w:p>
              </w:tc>
            </w:tr>
            <w:tr w:rsidR="007968EC" w:rsidRPr="00207D41" w14:paraId="6934FB03" w14:textId="77777777" w:rsidTr="007968EC">
              <w:trPr>
                <w:trHeight w:val="315"/>
                <w:jc w:val="center"/>
              </w:trPr>
              <w:tc>
                <w:tcPr>
                  <w:tcW w:w="1200" w:type="dxa"/>
                  <w:shd w:val="clear" w:color="auto" w:fill="auto"/>
                  <w:noWrap/>
                  <w:vAlign w:val="center"/>
                  <w:hideMark/>
                </w:tcPr>
                <w:p w14:paraId="64FDED58"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6Y</w:t>
                  </w:r>
                </w:p>
              </w:tc>
              <w:tc>
                <w:tcPr>
                  <w:tcW w:w="1480" w:type="dxa"/>
                  <w:shd w:val="clear" w:color="auto" w:fill="auto"/>
                  <w:noWrap/>
                  <w:vAlign w:val="bottom"/>
                  <w:hideMark/>
                </w:tcPr>
                <w:p w14:paraId="7C872F78"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$190.000</w:t>
                  </w:r>
                </w:p>
              </w:tc>
            </w:tr>
            <w:tr w:rsidR="007968EC" w:rsidRPr="00207D41" w14:paraId="217D99F2" w14:textId="77777777" w:rsidTr="007968EC">
              <w:trPr>
                <w:trHeight w:val="315"/>
                <w:jc w:val="center"/>
              </w:trPr>
              <w:tc>
                <w:tcPr>
                  <w:tcW w:w="1200" w:type="dxa"/>
                  <w:shd w:val="clear" w:color="auto" w:fill="auto"/>
                  <w:noWrap/>
                  <w:vAlign w:val="center"/>
                  <w:hideMark/>
                </w:tcPr>
                <w:p w14:paraId="308E9C00"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7Y</w:t>
                  </w:r>
                </w:p>
              </w:tc>
              <w:tc>
                <w:tcPr>
                  <w:tcW w:w="1480" w:type="dxa"/>
                  <w:shd w:val="clear" w:color="auto" w:fill="auto"/>
                  <w:noWrap/>
                  <w:vAlign w:val="bottom"/>
                  <w:hideMark/>
                </w:tcPr>
                <w:p w14:paraId="6A0373C7"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$220.000</w:t>
                  </w:r>
                </w:p>
              </w:tc>
            </w:tr>
            <w:tr w:rsidR="007968EC" w:rsidRPr="00207D41" w14:paraId="2903544D" w14:textId="77777777" w:rsidTr="007968EC">
              <w:trPr>
                <w:trHeight w:val="315"/>
                <w:jc w:val="center"/>
              </w:trPr>
              <w:tc>
                <w:tcPr>
                  <w:tcW w:w="1200" w:type="dxa"/>
                  <w:shd w:val="clear" w:color="auto" w:fill="auto"/>
                  <w:noWrap/>
                  <w:vAlign w:val="center"/>
                  <w:hideMark/>
                </w:tcPr>
                <w:p w14:paraId="6A87AE08"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8Y</w:t>
                  </w:r>
                </w:p>
              </w:tc>
              <w:tc>
                <w:tcPr>
                  <w:tcW w:w="1480" w:type="dxa"/>
                  <w:shd w:val="clear" w:color="auto" w:fill="auto"/>
                  <w:noWrap/>
                  <w:vAlign w:val="bottom"/>
                  <w:hideMark/>
                </w:tcPr>
                <w:p w14:paraId="722C4FEE"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$250.000</w:t>
                  </w:r>
                </w:p>
              </w:tc>
            </w:tr>
            <w:tr w:rsidR="007968EC" w:rsidRPr="00207D41" w14:paraId="2FD28A82" w14:textId="77777777" w:rsidTr="007968EC">
              <w:trPr>
                <w:trHeight w:val="315"/>
                <w:jc w:val="center"/>
              </w:trPr>
              <w:tc>
                <w:tcPr>
                  <w:tcW w:w="1200" w:type="dxa"/>
                  <w:shd w:val="clear" w:color="auto" w:fill="auto"/>
                  <w:noWrap/>
                  <w:vAlign w:val="center"/>
                  <w:hideMark/>
                </w:tcPr>
                <w:p w14:paraId="7FC5C4BE"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9Y</w:t>
                  </w:r>
                </w:p>
              </w:tc>
              <w:tc>
                <w:tcPr>
                  <w:tcW w:w="1480" w:type="dxa"/>
                  <w:shd w:val="clear" w:color="auto" w:fill="auto"/>
                  <w:noWrap/>
                  <w:vAlign w:val="bottom"/>
                  <w:hideMark/>
                </w:tcPr>
                <w:p w14:paraId="6119A4C2"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$280.000</w:t>
                  </w:r>
                </w:p>
              </w:tc>
            </w:tr>
            <w:tr w:rsidR="007968EC" w:rsidRPr="00207D41" w14:paraId="08D6A0C3" w14:textId="77777777" w:rsidTr="007968EC">
              <w:trPr>
                <w:trHeight w:val="315"/>
                <w:jc w:val="center"/>
              </w:trPr>
              <w:tc>
                <w:tcPr>
                  <w:tcW w:w="1200" w:type="dxa"/>
                  <w:shd w:val="clear" w:color="auto" w:fill="auto"/>
                  <w:noWrap/>
                  <w:vAlign w:val="center"/>
                  <w:hideMark/>
                </w:tcPr>
                <w:p w14:paraId="3B186383"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10Y</w:t>
                  </w:r>
                </w:p>
              </w:tc>
              <w:tc>
                <w:tcPr>
                  <w:tcW w:w="1480" w:type="dxa"/>
                  <w:shd w:val="clear" w:color="auto" w:fill="auto"/>
                  <w:noWrap/>
                  <w:vAlign w:val="bottom"/>
                  <w:hideMark/>
                </w:tcPr>
                <w:p w14:paraId="31AE5A9A"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$300.000</w:t>
                  </w:r>
                </w:p>
              </w:tc>
            </w:tr>
            <w:tr w:rsidR="007968EC" w:rsidRPr="00207D41" w14:paraId="78BE7529" w14:textId="77777777" w:rsidTr="007968EC">
              <w:trPr>
                <w:trHeight w:val="315"/>
                <w:jc w:val="center"/>
              </w:trPr>
              <w:tc>
                <w:tcPr>
                  <w:tcW w:w="1200" w:type="dxa"/>
                  <w:shd w:val="clear" w:color="auto" w:fill="auto"/>
                  <w:noWrap/>
                  <w:vAlign w:val="center"/>
                  <w:hideMark/>
                </w:tcPr>
                <w:p w14:paraId="2CE21203"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11Y</w:t>
                  </w:r>
                </w:p>
              </w:tc>
              <w:tc>
                <w:tcPr>
                  <w:tcW w:w="1480" w:type="dxa"/>
                  <w:shd w:val="clear" w:color="auto" w:fill="auto"/>
                  <w:noWrap/>
                  <w:vAlign w:val="bottom"/>
                  <w:hideMark/>
                </w:tcPr>
                <w:p w14:paraId="77D9C744"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$330.000</w:t>
                  </w:r>
                </w:p>
              </w:tc>
            </w:tr>
            <w:tr w:rsidR="007968EC" w:rsidRPr="00207D41" w14:paraId="485FFEA5" w14:textId="77777777" w:rsidTr="007968EC">
              <w:trPr>
                <w:trHeight w:val="315"/>
                <w:jc w:val="center"/>
              </w:trPr>
              <w:tc>
                <w:tcPr>
                  <w:tcW w:w="1200" w:type="dxa"/>
                  <w:shd w:val="clear" w:color="auto" w:fill="auto"/>
                  <w:noWrap/>
                  <w:vAlign w:val="center"/>
                  <w:hideMark/>
                </w:tcPr>
                <w:p w14:paraId="3DA190AB"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lastRenderedPageBreak/>
                    <w:t>12Y</w:t>
                  </w:r>
                </w:p>
              </w:tc>
              <w:tc>
                <w:tcPr>
                  <w:tcW w:w="1480" w:type="dxa"/>
                  <w:shd w:val="clear" w:color="auto" w:fill="auto"/>
                  <w:noWrap/>
                  <w:vAlign w:val="bottom"/>
                  <w:hideMark/>
                </w:tcPr>
                <w:p w14:paraId="7A37C3D0"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$355.000</w:t>
                  </w:r>
                </w:p>
              </w:tc>
            </w:tr>
            <w:tr w:rsidR="007968EC" w:rsidRPr="00207D41" w14:paraId="045D2E48" w14:textId="77777777" w:rsidTr="007968EC">
              <w:trPr>
                <w:trHeight w:val="315"/>
                <w:jc w:val="center"/>
              </w:trPr>
              <w:tc>
                <w:tcPr>
                  <w:tcW w:w="1200" w:type="dxa"/>
                  <w:shd w:val="clear" w:color="auto" w:fill="auto"/>
                  <w:noWrap/>
                  <w:vAlign w:val="center"/>
                  <w:hideMark/>
                </w:tcPr>
                <w:p w14:paraId="25B8D1FD"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13Y</w:t>
                  </w:r>
                </w:p>
              </w:tc>
              <w:tc>
                <w:tcPr>
                  <w:tcW w:w="1480" w:type="dxa"/>
                  <w:shd w:val="clear" w:color="auto" w:fill="auto"/>
                  <w:noWrap/>
                  <w:vAlign w:val="bottom"/>
                  <w:hideMark/>
                </w:tcPr>
                <w:p w14:paraId="3E5CACC7"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$380.000</w:t>
                  </w:r>
                </w:p>
              </w:tc>
            </w:tr>
            <w:tr w:rsidR="007968EC" w:rsidRPr="00207D41" w14:paraId="6DD144E3" w14:textId="77777777" w:rsidTr="007968EC">
              <w:trPr>
                <w:trHeight w:val="315"/>
                <w:jc w:val="center"/>
              </w:trPr>
              <w:tc>
                <w:tcPr>
                  <w:tcW w:w="1200" w:type="dxa"/>
                  <w:shd w:val="clear" w:color="auto" w:fill="auto"/>
                  <w:noWrap/>
                  <w:vAlign w:val="center"/>
                  <w:hideMark/>
                </w:tcPr>
                <w:p w14:paraId="05C5276C"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14Y</w:t>
                  </w:r>
                </w:p>
              </w:tc>
              <w:tc>
                <w:tcPr>
                  <w:tcW w:w="1480" w:type="dxa"/>
                  <w:shd w:val="clear" w:color="auto" w:fill="auto"/>
                  <w:noWrap/>
                  <w:vAlign w:val="bottom"/>
                  <w:hideMark/>
                </w:tcPr>
                <w:p w14:paraId="7786149A"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$405.000</w:t>
                  </w:r>
                </w:p>
              </w:tc>
            </w:tr>
            <w:tr w:rsidR="007968EC" w:rsidRPr="00207D41" w14:paraId="0466D3E3" w14:textId="77777777" w:rsidTr="007968EC">
              <w:trPr>
                <w:trHeight w:val="315"/>
                <w:jc w:val="center"/>
              </w:trPr>
              <w:tc>
                <w:tcPr>
                  <w:tcW w:w="1200" w:type="dxa"/>
                  <w:shd w:val="clear" w:color="auto" w:fill="auto"/>
                  <w:noWrap/>
                  <w:vAlign w:val="center"/>
                  <w:hideMark/>
                </w:tcPr>
                <w:p w14:paraId="104CBCDE" w14:textId="77777777" w:rsidR="007968EC" w:rsidRPr="00207D41" w:rsidRDefault="007968EC" w:rsidP="007968EC">
                  <w:pPr>
                    <w:jc w:val="center"/>
                    <w:rPr>
                      <w:rFonts w:ascii="Arial Narrow" w:hAnsi="Arial Narrow"/>
                      <w:color w:val="000000"/>
                      <w:lang w:eastAsia="es-CO"/>
                    </w:rPr>
                  </w:pPr>
                  <w:r w:rsidRPr="00207D41">
                    <w:rPr>
                      <w:rFonts w:ascii="Arial Narrow" w:hAnsi="Arial Narrow"/>
                      <w:color w:val="000000"/>
                      <w:lang w:eastAsia="es-CO"/>
                    </w:rPr>
                    <w:t>15Y</w:t>
                  </w:r>
                </w:p>
              </w:tc>
              <w:tc>
                <w:tcPr>
                  <w:tcW w:w="1480" w:type="dxa"/>
                  <w:shd w:val="clear" w:color="auto" w:fill="auto"/>
                  <w:noWrap/>
                  <w:vAlign w:val="bottom"/>
                  <w:hideMark/>
                </w:tcPr>
                <w:p w14:paraId="6AF642A0" w14:textId="77777777" w:rsidR="007968EC" w:rsidRPr="00207D41" w:rsidRDefault="007968EC" w:rsidP="007968EC">
                  <w:pPr>
                    <w:rPr>
                      <w:rFonts w:ascii="Arial Narrow" w:hAnsi="Arial Narrow"/>
                      <w:color w:val="000000"/>
                      <w:lang w:eastAsia="es-CO"/>
                    </w:rPr>
                  </w:pPr>
                  <w:r w:rsidRPr="00207D41">
                    <w:rPr>
                      <w:rFonts w:ascii="Arial Narrow" w:hAnsi="Arial Narrow"/>
                      <w:color w:val="000000"/>
                      <w:lang w:eastAsia="es-CO"/>
                    </w:rPr>
                    <w:t>COP $430.000</w:t>
                  </w:r>
                </w:p>
              </w:tc>
            </w:tr>
          </w:tbl>
          <w:p w14:paraId="77DB6455" w14:textId="77777777" w:rsidR="007968EC" w:rsidRPr="00207D41" w:rsidRDefault="007968EC" w:rsidP="007968EC">
            <w:pPr>
              <w:rPr>
                <w:rFonts w:ascii="Arial Narrow" w:eastAsia="Calibri" w:hAnsi="Arial Narrow" w:cs="Arial"/>
                <w:lang w:val="es-ES" w:eastAsia="es-ES"/>
              </w:rPr>
            </w:pPr>
          </w:p>
        </w:tc>
      </w:tr>
      <w:tr w:rsidR="007968EC" w:rsidRPr="00207D41" w14:paraId="1DE763F1" w14:textId="77777777" w:rsidTr="007968EC">
        <w:trPr>
          <w:trHeight w:val="673"/>
        </w:trPr>
        <w:tc>
          <w:tcPr>
            <w:tcW w:w="1119" w:type="dxa"/>
            <w:tcBorders>
              <w:top w:val="single" w:sz="12" w:space="0" w:color="auto"/>
              <w:left w:val="single" w:sz="12" w:space="0" w:color="auto"/>
              <w:bottom w:val="single" w:sz="12" w:space="0" w:color="auto"/>
              <w:right w:val="single" w:sz="12" w:space="0" w:color="auto"/>
            </w:tcBorders>
            <w:hideMark/>
          </w:tcPr>
          <w:p w14:paraId="74C6CD5F"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lastRenderedPageBreak/>
              <w:t>Variable</w:t>
            </w:r>
          </w:p>
        </w:tc>
        <w:tc>
          <w:tcPr>
            <w:tcW w:w="1570" w:type="dxa"/>
            <w:tcBorders>
              <w:top w:val="single" w:sz="12" w:space="0" w:color="auto"/>
              <w:left w:val="single" w:sz="12" w:space="0" w:color="auto"/>
              <w:bottom w:val="single" w:sz="12" w:space="0" w:color="auto"/>
              <w:right w:val="single" w:sz="12" w:space="0" w:color="auto"/>
            </w:tcBorders>
          </w:tcPr>
          <w:p w14:paraId="09C1ACA7" w14:textId="77777777" w:rsidR="007968EC" w:rsidRPr="00207D41" w:rsidRDefault="007968EC" w:rsidP="007968EC">
            <w:pPr>
              <w:jc w:val="both"/>
              <w:rPr>
                <w:rFonts w:ascii="Arial Narrow" w:eastAsia="Calibri" w:hAnsi="Arial Narrow" w:cs="Arial"/>
                <w:lang w:val="es-ES" w:eastAsia="es-ES"/>
              </w:rPr>
            </w:pPr>
            <w:r w:rsidRPr="00207D41">
              <w:rPr>
                <w:rFonts w:ascii="Arial Narrow" w:eastAsia="Calibri" w:hAnsi="Arial Narrow" w:cs="Arial"/>
                <w:lang w:val="es-ES" w:eastAsia="es-ES"/>
              </w:rPr>
              <w:t>Compensación y Liquidación de Operaciones Simultáneas</w:t>
            </w:r>
          </w:p>
          <w:p w14:paraId="66092EF3" w14:textId="77777777" w:rsidR="007968EC" w:rsidRPr="00207D41" w:rsidRDefault="007968EC" w:rsidP="007968EC">
            <w:pPr>
              <w:jc w:val="both"/>
              <w:rPr>
                <w:rFonts w:ascii="Arial Narrow" w:hAnsi="Arial Narrow" w:cs="Arial"/>
                <w:lang w:val="es-ES" w:eastAsia="es-ES"/>
              </w:rPr>
            </w:pPr>
          </w:p>
        </w:tc>
        <w:tc>
          <w:tcPr>
            <w:tcW w:w="2552" w:type="dxa"/>
            <w:tcBorders>
              <w:top w:val="single" w:sz="12" w:space="0" w:color="auto"/>
              <w:left w:val="single" w:sz="12" w:space="0" w:color="auto"/>
              <w:bottom w:val="single" w:sz="12" w:space="0" w:color="auto"/>
              <w:right w:val="single" w:sz="12" w:space="0" w:color="auto"/>
            </w:tcBorders>
            <w:hideMark/>
          </w:tcPr>
          <w:p w14:paraId="095B0788"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r w:rsidRPr="00207D41">
              <w:rPr>
                <w:rFonts w:ascii="Arial Narrow" w:eastAsia="Calibri" w:hAnsi="Arial Narrow" w:cs="Arial"/>
                <w:lang w:val="es-ES" w:eastAsia="es-ES"/>
              </w:rPr>
              <w:t>Tarifa variable establecida como un valor diario (incluyendo los fines de semana y días festivos del calendario colombiano) en pesos de acuerdo con el valor de giro vigente de la operación simultánea, en la cual se obtiene el derecho de que la CÁMARA una vez acepte dicha Operación, realice las funciones de Compensación y Liquidación de ésta en las condiciones en que lo establezca el Reglamento de la Cámara.</w:t>
            </w:r>
          </w:p>
          <w:p w14:paraId="043CAB6D"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26891EDC"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7571A27A"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23732A3E"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1428532F"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6A0BF090"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6718B0E2"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3946AF82"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67C7ED29"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7BE21D0D"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2C816FCA"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7CAA59CB"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2E43B08A"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75D87845"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0C8ADC9D"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463E3C17"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5C941C04"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tc>
        <w:tc>
          <w:tcPr>
            <w:tcW w:w="4254" w:type="dxa"/>
            <w:tcBorders>
              <w:top w:val="single" w:sz="12" w:space="0" w:color="auto"/>
              <w:left w:val="single" w:sz="12" w:space="0" w:color="auto"/>
              <w:bottom w:val="single" w:sz="12" w:space="0" w:color="auto"/>
              <w:right w:val="single" w:sz="12" w:space="0" w:color="auto"/>
            </w:tcBorders>
          </w:tcPr>
          <w:p w14:paraId="3903A13E"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r w:rsidRPr="00207D41">
              <w:rPr>
                <w:rFonts w:ascii="Arial Narrow" w:eastAsia="Calibri" w:hAnsi="Arial Narrow" w:cs="Arial"/>
                <w:lang w:val="es-ES" w:eastAsia="es-ES"/>
              </w:rPr>
              <w:t>Operaciones Simultáneas celebradas en el Sistema Electrónico de Negociación - SEN:</w:t>
            </w:r>
          </w:p>
          <w:p w14:paraId="5B4D8E8E"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4962BEEB"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r w:rsidRPr="00207D41">
              <w:rPr>
                <w:rFonts w:ascii="Arial Narrow" w:eastAsia="Calibri" w:hAnsi="Arial Narrow" w:cs="Arial"/>
                <w:lang w:val="es-ES" w:eastAsia="es-ES"/>
              </w:rPr>
              <w:t>Se cobrará un importe efectivo diario de acuerdo con el valor de giro total de todas las operaciones simultáneas aceptadas en el mes calendario inmediatamente anterior de conformidad con la siguiente tabla:</w:t>
            </w:r>
          </w:p>
          <w:p w14:paraId="6C431556"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tbl>
            <w:tblPr>
              <w:tblW w:w="3990" w:type="dxa"/>
              <w:jc w:val="center"/>
              <w:tblLayout w:type="fixed"/>
              <w:tblLook w:val="04A0" w:firstRow="1" w:lastRow="0" w:firstColumn="1" w:lastColumn="0" w:noHBand="0" w:noVBand="1"/>
            </w:tblPr>
            <w:tblGrid>
              <w:gridCol w:w="1413"/>
              <w:gridCol w:w="1276"/>
              <w:gridCol w:w="1301"/>
            </w:tblGrid>
            <w:tr w:rsidR="007968EC" w:rsidRPr="00207D41" w14:paraId="59E44006" w14:textId="77777777" w:rsidTr="007968EC">
              <w:trPr>
                <w:jc w:val="center"/>
              </w:trPr>
              <w:tc>
                <w:tcPr>
                  <w:tcW w:w="2689" w:type="dxa"/>
                  <w:gridSpan w:val="2"/>
                  <w:tcBorders>
                    <w:top w:val="single" w:sz="4" w:space="0" w:color="auto"/>
                    <w:left w:val="single" w:sz="4" w:space="0" w:color="auto"/>
                    <w:bottom w:val="single" w:sz="4" w:space="0" w:color="auto"/>
                    <w:right w:val="single" w:sz="4" w:space="0" w:color="auto"/>
                  </w:tcBorders>
                  <w:vAlign w:val="center"/>
                  <w:hideMark/>
                </w:tcPr>
                <w:p w14:paraId="64966785" w14:textId="77777777" w:rsidR="007968EC" w:rsidRPr="00207D41" w:rsidRDefault="007968EC" w:rsidP="007968EC">
                  <w:pPr>
                    <w:autoSpaceDE w:val="0"/>
                    <w:autoSpaceDN w:val="0"/>
                    <w:adjustRightInd w:val="0"/>
                    <w:jc w:val="both"/>
                    <w:rPr>
                      <w:rFonts w:ascii="Arial Narrow" w:eastAsia="Calibri" w:hAnsi="Arial Narrow" w:cs="Arial"/>
                      <w:b/>
                      <w:color w:val="000000"/>
                    </w:rPr>
                  </w:pPr>
                  <w:r w:rsidRPr="00207D41">
                    <w:rPr>
                      <w:rFonts w:ascii="Arial Narrow" w:eastAsia="Calibri" w:hAnsi="Arial Narrow" w:cs="Arial"/>
                      <w:b/>
                      <w:color w:val="000000"/>
                    </w:rPr>
                    <w:t>Rango de Valor de giro total de las operaciones simultáneas compensadas y liquidadas durante el mes inmediatamente anterior.</w:t>
                  </w:r>
                </w:p>
              </w:tc>
              <w:tc>
                <w:tcPr>
                  <w:tcW w:w="1301" w:type="dxa"/>
                  <w:tcBorders>
                    <w:top w:val="single" w:sz="4" w:space="0" w:color="auto"/>
                    <w:left w:val="single" w:sz="4" w:space="0" w:color="auto"/>
                    <w:bottom w:val="single" w:sz="4" w:space="0" w:color="auto"/>
                    <w:right w:val="single" w:sz="4" w:space="0" w:color="auto"/>
                  </w:tcBorders>
                  <w:vAlign w:val="center"/>
                </w:tcPr>
                <w:p w14:paraId="790E4D14" w14:textId="77777777" w:rsidR="007968EC" w:rsidRPr="00207D41" w:rsidRDefault="007968EC" w:rsidP="007968EC">
                  <w:pPr>
                    <w:autoSpaceDE w:val="0"/>
                    <w:autoSpaceDN w:val="0"/>
                    <w:adjustRightInd w:val="0"/>
                    <w:jc w:val="both"/>
                    <w:rPr>
                      <w:rFonts w:ascii="Arial Narrow" w:eastAsia="Calibri" w:hAnsi="Arial Narrow" w:cs="Arial"/>
                      <w:b/>
                      <w:color w:val="000000"/>
                    </w:rPr>
                  </w:pPr>
                  <w:r w:rsidRPr="00207D41">
                    <w:rPr>
                      <w:rFonts w:ascii="Arial Narrow" w:eastAsia="Calibri" w:hAnsi="Arial Narrow" w:cs="Arial"/>
                      <w:b/>
                      <w:color w:val="000000"/>
                    </w:rPr>
                    <w:t>Importe del Cargo diario por millón por Operación Simultanea vigente</w:t>
                  </w:r>
                </w:p>
                <w:p w14:paraId="34AFEA75" w14:textId="77777777" w:rsidR="007968EC" w:rsidRPr="00207D41" w:rsidRDefault="007968EC" w:rsidP="007968EC">
                  <w:pPr>
                    <w:rPr>
                      <w:rFonts w:ascii="Arial Narrow" w:eastAsia="Calibri" w:hAnsi="Arial Narrow" w:cs="Arial"/>
                      <w:b/>
                    </w:rPr>
                  </w:pPr>
                </w:p>
                <w:p w14:paraId="5BC25D73" w14:textId="77777777" w:rsidR="007968EC" w:rsidRPr="00207D41" w:rsidRDefault="007968EC" w:rsidP="007968EC">
                  <w:pPr>
                    <w:rPr>
                      <w:rFonts w:ascii="Arial Narrow" w:eastAsia="Calibri" w:hAnsi="Arial Narrow" w:cs="Arial"/>
                      <w:b/>
                    </w:rPr>
                  </w:pPr>
                </w:p>
                <w:p w14:paraId="4A87E18A" w14:textId="77777777" w:rsidR="007968EC" w:rsidRPr="00207D41" w:rsidRDefault="007968EC" w:rsidP="007968EC">
                  <w:pPr>
                    <w:rPr>
                      <w:rFonts w:ascii="Arial Narrow" w:eastAsia="Calibri" w:hAnsi="Arial Narrow" w:cs="Arial"/>
                      <w:b/>
                    </w:rPr>
                  </w:pPr>
                </w:p>
              </w:tc>
            </w:tr>
            <w:tr w:rsidR="007968EC" w:rsidRPr="00207D41" w14:paraId="199946A2" w14:textId="77777777" w:rsidTr="007968EC">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4791EAB" w14:textId="77777777" w:rsidR="007968EC" w:rsidRPr="00207D41" w:rsidRDefault="007968EC" w:rsidP="007968EC">
                  <w:pPr>
                    <w:autoSpaceDE w:val="0"/>
                    <w:autoSpaceDN w:val="0"/>
                    <w:adjustRightInd w:val="0"/>
                    <w:jc w:val="center"/>
                    <w:rPr>
                      <w:rFonts w:ascii="Arial Narrow" w:eastAsia="Calibri" w:hAnsi="Arial Narrow" w:cs="Arial"/>
                      <w:color w:val="000000"/>
                    </w:rPr>
                  </w:pPr>
                  <w:r w:rsidRPr="00207D41">
                    <w:rPr>
                      <w:rFonts w:ascii="Arial Narrow" w:eastAsia="Calibri" w:hAnsi="Arial Narrow" w:cs="Arial"/>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59A3C98"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2.520.999.999.999</w:t>
                  </w:r>
                </w:p>
              </w:tc>
              <w:tc>
                <w:tcPr>
                  <w:tcW w:w="1301" w:type="dxa"/>
                  <w:tcBorders>
                    <w:top w:val="single" w:sz="4" w:space="0" w:color="auto"/>
                    <w:left w:val="single" w:sz="4" w:space="0" w:color="auto"/>
                    <w:bottom w:val="single" w:sz="4" w:space="0" w:color="auto"/>
                    <w:right w:val="single" w:sz="4" w:space="0" w:color="auto"/>
                  </w:tcBorders>
                  <w:vAlign w:val="center"/>
                  <w:hideMark/>
                </w:tcPr>
                <w:p w14:paraId="19136F15"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COP$ 0.630</w:t>
                  </w:r>
                </w:p>
              </w:tc>
            </w:tr>
            <w:tr w:rsidR="007968EC" w:rsidRPr="00207D41" w14:paraId="6A69FE83" w14:textId="77777777" w:rsidTr="007968EC">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8376BB3"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2.521.000.000.000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2B8A5D"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4.755.999.999.999</w:t>
                  </w:r>
                </w:p>
              </w:tc>
              <w:tc>
                <w:tcPr>
                  <w:tcW w:w="1301" w:type="dxa"/>
                  <w:tcBorders>
                    <w:top w:val="single" w:sz="4" w:space="0" w:color="auto"/>
                    <w:left w:val="single" w:sz="4" w:space="0" w:color="auto"/>
                    <w:bottom w:val="single" w:sz="4" w:space="0" w:color="auto"/>
                    <w:right w:val="single" w:sz="4" w:space="0" w:color="auto"/>
                  </w:tcBorders>
                  <w:vAlign w:val="center"/>
                  <w:hideMark/>
                </w:tcPr>
                <w:p w14:paraId="2E6817E9"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COP$ 0.603</w:t>
                  </w:r>
                </w:p>
              </w:tc>
            </w:tr>
            <w:tr w:rsidR="007968EC" w:rsidRPr="00207D41" w14:paraId="1CB39C72" w14:textId="77777777" w:rsidTr="007968EC">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7F55E29E"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4.756.000.000.000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E3D158"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6.989.999.999.999</w:t>
                  </w:r>
                </w:p>
              </w:tc>
              <w:tc>
                <w:tcPr>
                  <w:tcW w:w="1301" w:type="dxa"/>
                  <w:tcBorders>
                    <w:top w:val="single" w:sz="4" w:space="0" w:color="auto"/>
                    <w:left w:val="single" w:sz="4" w:space="0" w:color="auto"/>
                    <w:bottom w:val="single" w:sz="4" w:space="0" w:color="auto"/>
                    <w:right w:val="single" w:sz="4" w:space="0" w:color="auto"/>
                  </w:tcBorders>
                  <w:vAlign w:val="center"/>
                  <w:hideMark/>
                </w:tcPr>
                <w:p w14:paraId="6AE2DFE1"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COP$ 0.575</w:t>
                  </w:r>
                </w:p>
              </w:tc>
            </w:tr>
            <w:tr w:rsidR="007968EC" w:rsidRPr="00207D41" w14:paraId="44307D58" w14:textId="77777777" w:rsidTr="007968EC">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318595DC"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6.990.000.000.000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D2E798"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9.226.999.999.999</w:t>
                  </w:r>
                </w:p>
              </w:tc>
              <w:tc>
                <w:tcPr>
                  <w:tcW w:w="1301" w:type="dxa"/>
                  <w:tcBorders>
                    <w:top w:val="single" w:sz="4" w:space="0" w:color="auto"/>
                    <w:left w:val="single" w:sz="4" w:space="0" w:color="auto"/>
                    <w:bottom w:val="single" w:sz="4" w:space="0" w:color="auto"/>
                    <w:right w:val="single" w:sz="4" w:space="0" w:color="auto"/>
                  </w:tcBorders>
                  <w:vAlign w:val="center"/>
                  <w:hideMark/>
                </w:tcPr>
                <w:p w14:paraId="720BA7C7"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COP$ 0.548</w:t>
                  </w:r>
                </w:p>
              </w:tc>
            </w:tr>
            <w:tr w:rsidR="007968EC" w:rsidRPr="00207D41" w14:paraId="1BD37DEC" w14:textId="77777777" w:rsidTr="007968EC">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13458325"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9.227.000.000.000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C4E4AD"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11.459.999.999.999</w:t>
                  </w:r>
                </w:p>
              </w:tc>
              <w:tc>
                <w:tcPr>
                  <w:tcW w:w="1301" w:type="dxa"/>
                  <w:tcBorders>
                    <w:top w:val="single" w:sz="4" w:space="0" w:color="auto"/>
                    <w:left w:val="single" w:sz="4" w:space="0" w:color="auto"/>
                    <w:bottom w:val="single" w:sz="4" w:space="0" w:color="auto"/>
                    <w:right w:val="single" w:sz="4" w:space="0" w:color="auto"/>
                  </w:tcBorders>
                  <w:vAlign w:val="center"/>
                  <w:hideMark/>
                </w:tcPr>
                <w:p w14:paraId="5885B091"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COP$ 0.521</w:t>
                  </w:r>
                </w:p>
              </w:tc>
            </w:tr>
            <w:tr w:rsidR="007968EC" w:rsidRPr="00207D41" w14:paraId="5D8A91FE" w14:textId="77777777" w:rsidTr="007968EC">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1B929902"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11.460.000.000.000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04A622"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13.694.999.999.999</w:t>
                  </w:r>
                </w:p>
              </w:tc>
              <w:tc>
                <w:tcPr>
                  <w:tcW w:w="1301" w:type="dxa"/>
                  <w:tcBorders>
                    <w:top w:val="single" w:sz="4" w:space="0" w:color="auto"/>
                    <w:left w:val="single" w:sz="4" w:space="0" w:color="auto"/>
                    <w:bottom w:val="single" w:sz="4" w:space="0" w:color="auto"/>
                    <w:right w:val="single" w:sz="4" w:space="0" w:color="auto"/>
                  </w:tcBorders>
                  <w:vAlign w:val="center"/>
                  <w:hideMark/>
                </w:tcPr>
                <w:p w14:paraId="67666055"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COP$ 0.466</w:t>
                  </w:r>
                </w:p>
              </w:tc>
            </w:tr>
            <w:tr w:rsidR="007968EC" w:rsidRPr="00207D41" w14:paraId="13D57D3C" w14:textId="77777777" w:rsidTr="007968EC">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80F9371"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13.695.000.000.000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982B8A"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En adelante</w:t>
                  </w:r>
                </w:p>
              </w:tc>
              <w:tc>
                <w:tcPr>
                  <w:tcW w:w="1301" w:type="dxa"/>
                  <w:tcBorders>
                    <w:top w:val="single" w:sz="4" w:space="0" w:color="auto"/>
                    <w:left w:val="single" w:sz="4" w:space="0" w:color="auto"/>
                    <w:bottom w:val="single" w:sz="4" w:space="0" w:color="auto"/>
                    <w:right w:val="single" w:sz="4" w:space="0" w:color="auto"/>
                  </w:tcBorders>
                  <w:vAlign w:val="center"/>
                  <w:hideMark/>
                </w:tcPr>
                <w:p w14:paraId="00CB5701"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COP$ 0.411</w:t>
                  </w:r>
                </w:p>
              </w:tc>
            </w:tr>
          </w:tbl>
          <w:p w14:paraId="00321F4C" w14:textId="77777777" w:rsidR="007968EC" w:rsidRPr="00207D41" w:rsidRDefault="007968EC" w:rsidP="007968EC">
            <w:pPr>
              <w:rPr>
                <w:rFonts w:ascii="Arial Narrow" w:eastAsia="Calibri" w:hAnsi="Arial Narrow" w:cs="Arial"/>
                <w:lang w:val="es-ES" w:eastAsia="es-ES"/>
              </w:rPr>
            </w:pPr>
          </w:p>
        </w:tc>
      </w:tr>
      <w:tr w:rsidR="007968EC" w:rsidRPr="00207D41" w14:paraId="5D005F7C" w14:textId="77777777" w:rsidTr="007968EC">
        <w:trPr>
          <w:trHeight w:val="2812"/>
        </w:trPr>
        <w:tc>
          <w:tcPr>
            <w:tcW w:w="1119" w:type="dxa"/>
            <w:tcBorders>
              <w:top w:val="single" w:sz="12" w:space="0" w:color="auto"/>
              <w:left w:val="single" w:sz="12" w:space="0" w:color="auto"/>
              <w:bottom w:val="single" w:sz="12" w:space="0" w:color="auto"/>
              <w:right w:val="single" w:sz="12" w:space="0" w:color="auto"/>
            </w:tcBorders>
            <w:hideMark/>
          </w:tcPr>
          <w:p w14:paraId="50F1CEA9"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lastRenderedPageBreak/>
              <w:t>Variable</w:t>
            </w:r>
          </w:p>
        </w:tc>
        <w:tc>
          <w:tcPr>
            <w:tcW w:w="1570" w:type="dxa"/>
            <w:tcBorders>
              <w:top w:val="single" w:sz="12" w:space="0" w:color="auto"/>
              <w:left w:val="single" w:sz="12" w:space="0" w:color="auto"/>
              <w:bottom w:val="single" w:sz="12" w:space="0" w:color="auto"/>
              <w:right w:val="single" w:sz="12" w:space="0" w:color="auto"/>
            </w:tcBorders>
          </w:tcPr>
          <w:p w14:paraId="6791F927" w14:textId="77777777" w:rsidR="007968EC" w:rsidRPr="00207D41" w:rsidRDefault="007968EC" w:rsidP="007968EC">
            <w:pPr>
              <w:jc w:val="both"/>
              <w:rPr>
                <w:rFonts w:ascii="Arial Narrow" w:eastAsia="Calibri" w:hAnsi="Arial Narrow" w:cs="Arial"/>
                <w:lang w:val="es-ES" w:eastAsia="es-ES"/>
              </w:rPr>
            </w:pPr>
            <w:r w:rsidRPr="00207D41">
              <w:rPr>
                <w:rFonts w:ascii="Arial Narrow" w:eastAsia="Calibri" w:hAnsi="Arial Narrow" w:cs="Arial"/>
                <w:lang w:val="es-ES" w:eastAsia="es-ES"/>
              </w:rPr>
              <w:t>Compensación y Liquidación de Operaciones Simultáneas</w:t>
            </w:r>
          </w:p>
          <w:p w14:paraId="661047E6" w14:textId="77777777" w:rsidR="007968EC" w:rsidRPr="00207D41" w:rsidRDefault="007968EC" w:rsidP="007968EC">
            <w:pPr>
              <w:jc w:val="both"/>
              <w:rPr>
                <w:rFonts w:ascii="Arial Narrow" w:eastAsia="Calibri" w:hAnsi="Arial Narrow" w:cs="Arial"/>
                <w:lang w:val="es-ES" w:eastAsia="es-ES"/>
              </w:rPr>
            </w:pPr>
          </w:p>
        </w:tc>
        <w:tc>
          <w:tcPr>
            <w:tcW w:w="2552" w:type="dxa"/>
            <w:tcBorders>
              <w:top w:val="single" w:sz="12" w:space="0" w:color="auto"/>
              <w:left w:val="single" w:sz="12" w:space="0" w:color="auto"/>
              <w:bottom w:val="single" w:sz="12" w:space="0" w:color="auto"/>
              <w:right w:val="single" w:sz="12" w:space="0" w:color="auto"/>
            </w:tcBorders>
          </w:tcPr>
          <w:p w14:paraId="19A330A1" w14:textId="77777777" w:rsidR="007968EC" w:rsidRPr="00207D41" w:rsidRDefault="007968EC" w:rsidP="007968EC">
            <w:pPr>
              <w:jc w:val="both"/>
              <w:rPr>
                <w:rFonts w:ascii="Arial Narrow" w:eastAsia="Calibri" w:hAnsi="Arial Narrow" w:cs="Arial"/>
                <w:lang w:val="es-ES" w:eastAsia="es-ES"/>
              </w:rPr>
            </w:pPr>
            <w:r w:rsidRPr="00207D41">
              <w:rPr>
                <w:rFonts w:ascii="Arial Narrow" w:eastAsia="Calibri" w:hAnsi="Arial Narrow" w:cs="Arial"/>
                <w:lang w:val="es-ES" w:eastAsia="es-ES"/>
              </w:rPr>
              <w:t xml:space="preserve">Tarifa variable establecida como un valor diario (incluyendo los fines de semana y días festivos del calendario colombiano) en pesos de acuerdo con el valor de giro vigente de la operación simultánea, en la cual se obtiene el derecho de que la CÁMARA </w:t>
            </w:r>
            <w:r w:rsidRPr="00207D41">
              <w:rPr>
                <w:rFonts w:ascii="Arial Narrow" w:eastAsia="Calibri" w:hAnsi="Arial Narrow"/>
                <w:lang w:val="es-ES" w:eastAsia="es-ES"/>
              </w:rPr>
              <w:t>una</w:t>
            </w:r>
            <w:r w:rsidRPr="00207D41">
              <w:rPr>
                <w:rFonts w:ascii="Arial Narrow" w:eastAsia="Calibri" w:hAnsi="Arial Narrow" w:cs="Arial"/>
                <w:lang w:val="es-ES" w:eastAsia="es-ES"/>
              </w:rPr>
              <w:t xml:space="preserve"> vez acepte dicha Operación,</w:t>
            </w:r>
            <w:r w:rsidRPr="00207D41">
              <w:rPr>
                <w:rFonts w:ascii="Arial Narrow" w:eastAsia="Calibri" w:hAnsi="Arial Narrow"/>
                <w:lang w:val="es-ES" w:eastAsia="es-ES"/>
              </w:rPr>
              <w:t> realice</w:t>
            </w:r>
            <w:r w:rsidRPr="00207D41">
              <w:rPr>
                <w:rFonts w:ascii="Arial Narrow" w:eastAsia="Calibri" w:hAnsi="Arial Narrow" w:cs="Arial"/>
                <w:lang w:val="es-ES" w:eastAsia="es-ES"/>
              </w:rPr>
              <w:t xml:space="preserve"> las funciones de Compensación y Liquidación de ésta en las condiciones en que lo establezca el Reglamento de la Cámara.</w:t>
            </w:r>
          </w:p>
          <w:p w14:paraId="248D3D72" w14:textId="77777777" w:rsidR="007968EC" w:rsidRPr="00207D41" w:rsidRDefault="007968EC" w:rsidP="007968EC">
            <w:pPr>
              <w:jc w:val="both"/>
              <w:rPr>
                <w:rFonts w:ascii="Arial Narrow" w:eastAsia="Calibri" w:hAnsi="Arial Narrow" w:cs="Arial"/>
                <w:lang w:val="es-ES" w:eastAsia="es-ES"/>
              </w:rPr>
            </w:pPr>
          </w:p>
          <w:p w14:paraId="597B17A7" w14:textId="77777777" w:rsidR="007968EC" w:rsidRPr="00207D41" w:rsidRDefault="007968EC" w:rsidP="007968EC">
            <w:pPr>
              <w:jc w:val="both"/>
              <w:rPr>
                <w:rFonts w:ascii="Arial Narrow" w:eastAsia="Calibri" w:hAnsi="Arial Narrow" w:cs="Arial"/>
                <w:lang w:val="es-ES" w:eastAsia="es-ES"/>
              </w:rPr>
            </w:pPr>
          </w:p>
          <w:p w14:paraId="62474851" w14:textId="77777777" w:rsidR="007968EC" w:rsidRPr="00207D41" w:rsidRDefault="007968EC" w:rsidP="007968EC">
            <w:pPr>
              <w:jc w:val="both"/>
              <w:rPr>
                <w:rFonts w:ascii="Arial Narrow" w:eastAsia="Calibri" w:hAnsi="Arial Narrow" w:cs="Arial"/>
                <w:lang w:val="es-ES" w:eastAsia="es-ES"/>
              </w:rPr>
            </w:pPr>
          </w:p>
          <w:p w14:paraId="63AE45C8" w14:textId="77777777" w:rsidR="007968EC" w:rsidRPr="00207D41" w:rsidRDefault="007968EC" w:rsidP="007968EC">
            <w:pPr>
              <w:jc w:val="both"/>
              <w:rPr>
                <w:rFonts w:ascii="Arial Narrow" w:eastAsia="Calibri" w:hAnsi="Arial Narrow" w:cs="Arial"/>
                <w:lang w:val="es-ES" w:eastAsia="es-ES"/>
              </w:rPr>
            </w:pPr>
          </w:p>
          <w:p w14:paraId="2FB7FB40" w14:textId="77777777" w:rsidR="007968EC" w:rsidRPr="00207D41" w:rsidRDefault="007968EC" w:rsidP="007968EC">
            <w:pPr>
              <w:jc w:val="both"/>
              <w:rPr>
                <w:rFonts w:ascii="Arial Narrow" w:eastAsia="Calibri" w:hAnsi="Arial Narrow" w:cs="Arial"/>
                <w:lang w:val="es-ES" w:eastAsia="es-ES"/>
              </w:rPr>
            </w:pPr>
          </w:p>
          <w:p w14:paraId="402E87D0" w14:textId="77777777" w:rsidR="007968EC" w:rsidRPr="00207D41" w:rsidRDefault="007968EC" w:rsidP="007968EC">
            <w:pPr>
              <w:jc w:val="both"/>
              <w:rPr>
                <w:rFonts w:ascii="Arial Narrow" w:eastAsia="Calibri" w:hAnsi="Arial Narrow" w:cs="Arial"/>
                <w:lang w:val="es-ES" w:eastAsia="es-ES"/>
              </w:rPr>
            </w:pPr>
          </w:p>
          <w:p w14:paraId="541D0DEE" w14:textId="77777777" w:rsidR="007968EC" w:rsidRPr="00207D41" w:rsidRDefault="007968EC" w:rsidP="007968EC">
            <w:pPr>
              <w:jc w:val="both"/>
              <w:rPr>
                <w:rFonts w:ascii="Arial Narrow" w:eastAsia="Calibri" w:hAnsi="Arial Narrow" w:cs="Arial"/>
                <w:lang w:val="es-ES" w:eastAsia="es-ES"/>
              </w:rPr>
            </w:pPr>
          </w:p>
          <w:p w14:paraId="79AC355B" w14:textId="77777777" w:rsidR="007968EC" w:rsidRPr="00207D41" w:rsidRDefault="007968EC" w:rsidP="007968EC">
            <w:pPr>
              <w:jc w:val="both"/>
              <w:rPr>
                <w:rFonts w:ascii="Arial Narrow" w:eastAsia="Calibri" w:hAnsi="Arial Narrow" w:cs="Arial"/>
                <w:lang w:val="es-ES" w:eastAsia="es-ES"/>
              </w:rPr>
            </w:pPr>
          </w:p>
          <w:p w14:paraId="5E87D25A" w14:textId="77777777" w:rsidR="007968EC" w:rsidRPr="00207D41" w:rsidRDefault="007968EC" w:rsidP="007968EC">
            <w:pPr>
              <w:jc w:val="both"/>
              <w:rPr>
                <w:rFonts w:ascii="Arial Narrow" w:eastAsia="Calibri" w:hAnsi="Arial Narrow" w:cs="Arial"/>
                <w:lang w:val="es-ES" w:eastAsia="es-ES"/>
              </w:rPr>
            </w:pPr>
          </w:p>
          <w:p w14:paraId="1B9DAEEC" w14:textId="77777777" w:rsidR="007968EC" w:rsidRPr="00207D41" w:rsidRDefault="007968EC" w:rsidP="007968EC">
            <w:pPr>
              <w:jc w:val="both"/>
              <w:rPr>
                <w:rFonts w:ascii="Arial Narrow" w:eastAsia="Calibri" w:hAnsi="Arial Narrow" w:cs="Arial"/>
                <w:lang w:val="es-ES" w:eastAsia="es-ES"/>
              </w:rPr>
            </w:pPr>
          </w:p>
          <w:p w14:paraId="0B4C609D" w14:textId="77777777" w:rsidR="007968EC" w:rsidRPr="00207D41" w:rsidRDefault="007968EC" w:rsidP="007968EC">
            <w:pPr>
              <w:jc w:val="both"/>
              <w:rPr>
                <w:rFonts w:ascii="Arial Narrow" w:eastAsia="Calibri" w:hAnsi="Arial Narrow" w:cs="Arial"/>
                <w:lang w:val="es-ES" w:eastAsia="es-ES"/>
              </w:rPr>
            </w:pPr>
          </w:p>
          <w:p w14:paraId="0C232873" w14:textId="77777777" w:rsidR="007968EC" w:rsidRPr="00207D41" w:rsidRDefault="007968EC" w:rsidP="007968EC">
            <w:pPr>
              <w:jc w:val="both"/>
              <w:rPr>
                <w:rFonts w:ascii="Arial Narrow" w:eastAsia="Calibri" w:hAnsi="Arial Narrow" w:cs="Arial"/>
                <w:lang w:val="es-ES" w:eastAsia="es-ES"/>
              </w:rPr>
            </w:pPr>
          </w:p>
          <w:p w14:paraId="3BD38D35" w14:textId="77777777" w:rsidR="007968EC" w:rsidRPr="00207D41" w:rsidRDefault="007968EC" w:rsidP="007968EC">
            <w:pPr>
              <w:jc w:val="both"/>
              <w:rPr>
                <w:rFonts w:ascii="Arial Narrow" w:eastAsia="Calibri" w:hAnsi="Arial Narrow" w:cs="Arial"/>
                <w:lang w:val="es-ES" w:eastAsia="es-ES"/>
              </w:rPr>
            </w:pPr>
          </w:p>
          <w:p w14:paraId="3DDD0465" w14:textId="77777777" w:rsidR="007968EC" w:rsidRPr="00207D41" w:rsidRDefault="007968EC" w:rsidP="007968EC">
            <w:pPr>
              <w:jc w:val="both"/>
              <w:rPr>
                <w:rFonts w:ascii="Arial Narrow" w:eastAsia="Calibri" w:hAnsi="Arial Narrow" w:cs="Arial"/>
                <w:lang w:val="es-ES" w:eastAsia="es-ES"/>
              </w:rPr>
            </w:pPr>
          </w:p>
          <w:p w14:paraId="62FE5DDF"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tc>
        <w:tc>
          <w:tcPr>
            <w:tcW w:w="4254" w:type="dxa"/>
            <w:tcBorders>
              <w:top w:val="single" w:sz="12" w:space="0" w:color="auto"/>
              <w:left w:val="single" w:sz="12" w:space="0" w:color="auto"/>
              <w:bottom w:val="single" w:sz="12" w:space="0" w:color="auto"/>
              <w:right w:val="single" w:sz="12" w:space="0" w:color="auto"/>
            </w:tcBorders>
          </w:tcPr>
          <w:p w14:paraId="53642348"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r w:rsidRPr="00207D41">
              <w:rPr>
                <w:rFonts w:ascii="Arial Narrow" w:eastAsia="Calibri" w:hAnsi="Arial Narrow" w:cs="Arial"/>
                <w:lang w:val="es-ES" w:eastAsia="es-ES"/>
              </w:rPr>
              <w:t>Operaciones Simultáneas celebradas o registradas en el Sistema del Mercado Electrónico Colombiano - MEC:</w:t>
            </w:r>
          </w:p>
          <w:p w14:paraId="43AA50E1"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77EDABC4"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r w:rsidRPr="00207D41">
              <w:rPr>
                <w:rFonts w:ascii="Arial Narrow" w:eastAsia="Calibri" w:hAnsi="Arial Narrow" w:cs="Arial"/>
                <w:lang w:val="es-ES" w:eastAsia="es-ES"/>
              </w:rPr>
              <w:t>Se cobrará un importe efectivo diario de acuerdo con el valor de giro total de todas las operaciones simultáneas aceptadas en el mes calendario inmediatamente anterior de conformidad con la siguiente tabla:</w:t>
            </w:r>
          </w:p>
          <w:p w14:paraId="73E36AD9"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tbl>
            <w:tblPr>
              <w:tblW w:w="3990" w:type="dxa"/>
              <w:jc w:val="center"/>
              <w:tblLayout w:type="fixed"/>
              <w:tblLook w:val="04A0" w:firstRow="1" w:lastRow="0" w:firstColumn="1" w:lastColumn="0" w:noHBand="0" w:noVBand="1"/>
            </w:tblPr>
            <w:tblGrid>
              <w:gridCol w:w="1290"/>
              <w:gridCol w:w="1275"/>
              <w:gridCol w:w="1425"/>
            </w:tblGrid>
            <w:tr w:rsidR="007968EC" w:rsidRPr="00207D41" w14:paraId="38D0B077" w14:textId="77777777" w:rsidTr="007968EC">
              <w:trPr>
                <w:jc w:val="center"/>
              </w:trPr>
              <w:tc>
                <w:tcPr>
                  <w:tcW w:w="2565" w:type="dxa"/>
                  <w:gridSpan w:val="2"/>
                  <w:tcBorders>
                    <w:top w:val="single" w:sz="4" w:space="0" w:color="auto"/>
                    <w:left w:val="single" w:sz="4" w:space="0" w:color="auto"/>
                    <w:bottom w:val="single" w:sz="4" w:space="0" w:color="auto"/>
                    <w:right w:val="single" w:sz="4" w:space="0" w:color="auto"/>
                  </w:tcBorders>
                </w:tcPr>
                <w:p w14:paraId="7686EF5B" w14:textId="77777777" w:rsidR="007968EC" w:rsidRPr="00207D41" w:rsidRDefault="007968EC" w:rsidP="007968EC">
                  <w:pPr>
                    <w:autoSpaceDE w:val="0"/>
                    <w:autoSpaceDN w:val="0"/>
                    <w:adjustRightInd w:val="0"/>
                    <w:jc w:val="both"/>
                    <w:rPr>
                      <w:rFonts w:ascii="Arial Narrow" w:eastAsia="Calibri" w:hAnsi="Arial Narrow" w:cs="Arial"/>
                      <w:b/>
                      <w:color w:val="000000"/>
                    </w:rPr>
                  </w:pPr>
                  <w:r w:rsidRPr="00207D41">
                    <w:rPr>
                      <w:rFonts w:ascii="Arial Narrow" w:eastAsia="Calibri" w:hAnsi="Arial Narrow" w:cs="Arial"/>
                      <w:b/>
                      <w:color w:val="000000"/>
                    </w:rPr>
                    <w:t>Rango de Valor de giro total de las operaciones simultáneas compensadas y liquidadas durante el mes inmediatamente anterior.</w:t>
                  </w:r>
                </w:p>
                <w:p w14:paraId="31995EE2" w14:textId="77777777" w:rsidR="007968EC" w:rsidRPr="00207D41" w:rsidRDefault="007968EC" w:rsidP="007968EC">
                  <w:pPr>
                    <w:autoSpaceDE w:val="0"/>
                    <w:autoSpaceDN w:val="0"/>
                    <w:adjustRightInd w:val="0"/>
                    <w:rPr>
                      <w:rFonts w:ascii="Arial Narrow" w:eastAsia="Calibri" w:hAnsi="Arial Narrow" w:cs="Arial"/>
                      <w:b/>
                      <w:color w:val="000000"/>
                    </w:rPr>
                  </w:pPr>
                </w:p>
              </w:tc>
              <w:tc>
                <w:tcPr>
                  <w:tcW w:w="1425" w:type="dxa"/>
                  <w:tcBorders>
                    <w:top w:val="single" w:sz="4" w:space="0" w:color="auto"/>
                    <w:left w:val="single" w:sz="4" w:space="0" w:color="auto"/>
                    <w:bottom w:val="single" w:sz="4" w:space="0" w:color="auto"/>
                    <w:right w:val="single" w:sz="4" w:space="0" w:color="auto"/>
                  </w:tcBorders>
                  <w:vAlign w:val="center"/>
                </w:tcPr>
                <w:p w14:paraId="63D9E26F" w14:textId="77777777" w:rsidR="007968EC" w:rsidRPr="00207D41" w:rsidRDefault="007968EC" w:rsidP="007968EC">
                  <w:pPr>
                    <w:autoSpaceDE w:val="0"/>
                    <w:autoSpaceDN w:val="0"/>
                    <w:adjustRightInd w:val="0"/>
                    <w:rPr>
                      <w:rFonts w:ascii="Arial Narrow" w:eastAsia="Calibri" w:hAnsi="Arial Narrow" w:cs="Arial"/>
                      <w:b/>
                      <w:color w:val="000000"/>
                    </w:rPr>
                  </w:pPr>
                  <w:r w:rsidRPr="00207D41">
                    <w:rPr>
                      <w:rFonts w:ascii="Arial Narrow" w:eastAsia="Calibri" w:hAnsi="Arial Narrow" w:cs="Arial"/>
                      <w:b/>
                      <w:color w:val="000000"/>
                    </w:rPr>
                    <w:t>Importe del Cargo diario por millón por Operación Simultanea vigente</w:t>
                  </w:r>
                </w:p>
              </w:tc>
            </w:tr>
            <w:tr w:rsidR="007968EC" w:rsidRPr="00207D41" w14:paraId="4FD11794" w14:textId="77777777" w:rsidTr="007968EC">
              <w:trPr>
                <w:jc w:val="center"/>
              </w:trPr>
              <w:tc>
                <w:tcPr>
                  <w:tcW w:w="1290" w:type="dxa"/>
                  <w:tcBorders>
                    <w:top w:val="single" w:sz="4" w:space="0" w:color="auto"/>
                    <w:left w:val="single" w:sz="4" w:space="0" w:color="auto"/>
                    <w:bottom w:val="single" w:sz="4" w:space="0" w:color="auto"/>
                    <w:right w:val="single" w:sz="4" w:space="0" w:color="auto"/>
                  </w:tcBorders>
                  <w:vAlign w:val="center"/>
                </w:tcPr>
                <w:p w14:paraId="390E8D89" w14:textId="77777777" w:rsidR="007968EC" w:rsidRPr="00207D41" w:rsidRDefault="007968EC" w:rsidP="007968EC">
                  <w:pPr>
                    <w:autoSpaceDE w:val="0"/>
                    <w:autoSpaceDN w:val="0"/>
                    <w:adjustRightInd w:val="0"/>
                    <w:jc w:val="center"/>
                    <w:rPr>
                      <w:rFonts w:ascii="Arial Narrow" w:eastAsia="Calibri" w:hAnsi="Arial Narrow" w:cs="Arial"/>
                      <w:color w:val="000000"/>
                    </w:rPr>
                  </w:pPr>
                  <w:r w:rsidRPr="00207D41">
                    <w:rPr>
                      <w:rFonts w:ascii="Arial Narrow" w:eastAsia="Calibri" w:hAnsi="Arial Narrow" w:cs="Arial"/>
                      <w:color w:val="000000"/>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E58A578"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2.520.999.999.999</w:t>
                  </w:r>
                </w:p>
              </w:tc>
              <w:tc>
                <w:tcPr>
                  <w:tcW w:w="1425" w:type="dxa"/>
                  <w:tcBorders>
                    <w:top w:val="single" w:sz="4" w:space="0" w:color="auto"/>
                    <w:left w:val="single" w:sz="4" w:space="0" w:color="auto"/>
                    <w:bottom w:val="single" w:sz="4" w:space="0" w:color="auto"/>
                    <w:right w:val="single" w:sz="4" w:space="0" w:color="auto"/>
                  </w:tcBorders>
                  <w:hideMark/>
                </w:tcPr>
                <w:p w14:paraId="29D0F198"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COP$ 0.630</w:t>
                  </w:r>
                </w:p>
              </w:tc>
            </w:tr>
            <w:tr w:rsidR="007968EC" w:rsidRPr="00207D41" w14:paraId="60868F3E" w14:textId="77777777" w:rsidTr="007968EC">
              <w:trPr>
                <w:jc w:val="center"/>
              </w:trPr>
              <w:tc>
                <w:tcPr>
                  <w:tcW w:w="1290" w:type="dxa"/>
                  <w:tcBorders>
                    <w:top w:val="single" w:sz="4" w:space="0" w:color="auto"/>
                    <w:left w:val="single" w:sz="4" w:space="0" w:color="auto"/>
                    <w:bottom w:val="single" w:sz="4" w:space="0" w:color="auto"/>
                    <w:right w:val="single" w:sz="4" w:space="0" w:color="auto"/>
                  </w:tcBorders>
                  <w:vAlign w:val="center"/>
                  <w:hideMark/>
                </w:tcPr>
                <w:p w14:paraId="23826DEC"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2.521.000.000.000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DBFB273"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4.755.999.999.999</w:t>
                  </w:r>
                </w:p>
              </w:tc>
              <w:tc>
                <w:tcPr>
                  <w:tcW w:w="1425" w:type="dxa"/>
                  <w:tcBorders>
                    <w:top w:val="single" w:sz="4" w:space="0" w:color="auto"/>
                    <w:left w:val="single" w:sz="4" w:space="0" w:color="auto"/>
                    <w:bottom w:val="single" w:sz="4" w:space="0" w:color="auto"/>
                    <w:right w:val="single" w:sz="4" w:space="0" w:color="auto"/>
                  </w:tcBorders>
                  <w:hideMark/>
                </w:tcPr>
                <w:p w14:paraId="1E2DDD11"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COP$ 0.603</w:t>
                  </w:r>
                </w:p>
              </w:tc>
            </w:tr>
            <w:tr w:rsidR="007968EC" w:rsidRPr="00207D41" w14:paraId="66CF1882" w14:textId="77777777" w:rsidTr="007968EC">
              <w:trPr>
                <w:jc w:val="center"/>
              </w:trPr>
              <w:tc>
                <w:tcPr>
                  <w:tcW w:w="1290" w:type="dxa"/>
                  <w:tcBorders>
                    <w:top w:val="single" w:sz="4" w:space="0" w:color="auto"/>
                    <w:left w:val="single" w:sz="4" w:space="0" w:color="auto"/>
                    <w:bottom w:val="single" w:sz="4" w:space="0" w:color="auto"/>
                    <w:right w:val="single" w:sz="4" w:space="0" w:color="auto"/>
                  </w:tcBorders>
                  <w:vAlign w:val="center"/>
                  <w:hideMark/>
                </w:tcPr>
                <w:p w14:paraId="253234F6"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4.756.000.000.000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2268960"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6.989.999.999.999</w:t>
                  </w:r>
                </w:p>
              </w:tc>
              <w:tc>
                <w:tcPr>
                  <w:tcW w:w="1425" w:type="dxa"/>
                  <w:tcBorders>
                    <w:top w:val="single" w:sz="4" w:space="0" w:color="auto"/>
                    <w:left w:val="single" w:sz="4" w:space="0" w:color="auto"/>
                    <w:bottom w:val="single" w:sz="4" w:space="0" w:color="auto"/>
                    <w:right w:val="single" w:sz="4" w:space="0" w:color="auto"/>
                  </w:tcBorders>
                  <w:hideMark/>
                </w:tcPr>
                <w:p w14:paraId="6B70F0B4"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COP$ 0.575</w:t>
                  </w:r>
                </w:p>
              </w:tc>
            </w:tr>
            <w:tr w:rsidR="007968EC" w:rsidRPr="00207D41" w14:paraId="443DEBDD" w14:textId="77777777" w:rsidTr="007968EC">
              <w:trPr>
                <w:jc w:val="center"/>
              </w:trPr>
              <w:tc>
                <w:tcPr>
                  <w:tcW w:w="1290" w:type="dxa"/>
                  <w:tcBorders>
                    <w:top w:val="single" w:sz="4" w:space="0" w:color="auto"/>
                    <w:left w:val="single" w:sz="4" w:space="0" w:color="auto"/>
                    <w:bottom w:val="single" w:sz="4" w:space="0" w:color="auto"/>
                    <w:right w:val="single" w:sz="4" w:space="0" w:color="auto"/>
                  </w:tcBorders>
                  <w:vAlign w:val="center"/>
                  <w:hideMark/>
                </w:tcPr>
                <w:p w14:paraId="31EC1B74"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6.990.000.000.000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9E5FE04"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9.226.999.999.999</w:t>
                  </w:r>
                </w:p>
              </w:tc>
              <w:tc>
                <w:tcPr>
                  <w:tcW w:w="1425" w:type="dxa"/>
                  <w:tcBorders>
                    <w:top w:val="single" w:sz="4" w:space="0" w:color="auto"/>
                    <w:left w:val="single" w:sz="4" w:space="0" w:color="auto"/>
                    <w:bottom w:val="single" w:sz="4" w:space="0" w:color="auto"/>
                    <w:right w:val="single" w:sz="4" w:space="0" w:color="auto"/>
                  </w:tcBorders>
                  <w:hideMark/>
                </w:tcPr>
                <w:p w14:paraId="174EC73B"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COP$ 0.548</w:t>
                  </w:r>
                </w:p>
              </w:tc>
            </w:tr>
            <w:tr w:rsidR="007968EC" w:rsidRPr="00207D41" w14:paraId="5797301C" w14:textId="77777777" w:rsidTr="007968EC">
              <w:trPr>
                <w:jc w:val="center"/>
              </w:trPr>
              <w:tc>
                <w:tcPr>
                  <w:tcW w:w="1290" w:type="dxa"/>
                  <w:tcBorders>
                    <w:top w:val="single" w:sz="4" w:space="0" w:color="auto"/>
                    <w:left w:val="single" w:sz="4" w:space="0" w:color="auto"/>
                    <w:bottom w:val="single" w:sz="4" w:space="0" w:color="auto"/>
                    <w:right w:val="single" w:sz="4" w:space="0" w:color="auto"/>
                  </w:tcBorders>
                  <w:vAlign w:val="center"/>
                  <w:hideMark/>
                </w:tcPr>
                <w:p w14:paraId="168E576D"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9.227.000.000.000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BCB7C7"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11.459.999.999.999</w:t>
                  </w:r>
                </w:p>
              </w:tc>
              <w:tc>
                <w:tcPr>
                  <w:tcW w:w="1425" w:type="dxa"/>
                  <w:tcBorders>
                    <w:top w:val="single" w:sz="4" w:space="0" w:color="auto"/>
                    <w:left w:val="single" w:sz="4" w:space="0" w:color="auto"/>
                    <w:bottom w:val="single" w:sz="4" w:space="0" w:color="auto"/>
                    <w:right w:val="single" w:sz="4" w:space="0" w:color="auto"/>
                  </w:tcBorders>
                  <w:hideMark/>
                </w:tcPr>
                <w:p w14:paraId="7BE33C8F"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COP$ 0.521</w:t>
                  </w:r>
                </w:p>
              </w:tc>
            </w:tr>
            <w:tr w:rsidR="007968EC" w:rsidRPr="00207D41" w14:paraId="06AC0E4D" w14:textId="77777777" w:rsidTr="007968EC">
              <w:trPr>
                <w:trHeight w:val="71"/>
                <w:jc w:val="center"/>
              </w:trPr>
              <w:tc>
                <w:tcPr>
                  <w:tcW w:w="1290" w:type="dxa"/>
                  <w:tcBorders>
                    <w:top w:val="single" w:sz="4" w:space="0" w:color="auto"/>
                    <w:left w:val="single" w:sz="4" w:space="0" w:color="auto"/>
                    <w:bottom w:val="single" w:sz="4" w:space="0" w:color="auto"/>
                    <w:right w:val="single" w:sz="4" w:space="0" w:color="auto"/>
                  </w:tcBorders>
                  <w:vAlign w:val="center"/>
                  <w:hideMark/>
                </w:tcPr>
                <w:p w14:paraId="5E1D8D3E"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11.460.000.000.000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C07305"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13.694.999.999.999</w:t>
                  </w:r>
                </w:p>
              </w:tc>
              <w:tc>
                <w:tcPr>
                  <w:tcW w:w="1425" w:type="dxa"/>
                  <w:tcBorders>
                    <w:top w:val="single" w:sz="4" w:space="0" w:color="auto"/>
                    <w:left w:val="single" w:sz="4" w:space="0" w:color="auto"/>
                    <w:bottom w:val="single" w:sz="4" w:space="0" w:color="auto"/>
                    <w:right w:val="single" w:sz="4" w:space="0" w:color="auto"/>
                  </w:tcBorders>
                  <w:hideMark/>
                </w:tcPr>
                <w:p w14:paraId="28094515"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COP$ 0.466</w:t>
                  </w:r>
                </w:p>
              </w:tc>
            </w:tr>
            <w:tr w:rsidR="007968EC" w:rsidRPr="00207D41" w14:paraId="1835A2F8" w14:textId="77777777" w:rsidTr="007968EC">
              <w:trPr>
                <w:jc w:val="center"/>
              </w:trPr>
              <w:tc>
                <w:tcPr>
                  <w:tcW w:w="1290" w:type="dxa"/>
                  <w:tcBorders>
                    <w:top w:val="single" w:sz="4" w:space="0" w:color="auto"/>
                    <w:left w:val="single" w:sz="4" w:space="0" w:color="auto"/>
                    <w:bottom w:val="single" w:sz="4" w:space="0" w:color="auto"/>
                    <w:right w:val="single" w:sz="4" w:space="0" w:color="auto"/>
                  </w:tcBorders>
                  <w:vAlign w:val="center"/>
                  <w:hideMark/>
                </w:tcPr>
                <w:p w14:paraId="11AD4105"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13.695.000.000.000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A41444"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En adelante</w:t>
                  </w:r>
                </w:p>
              </w:tc>
              <w:tc>
                <w:tcPr>
                  <w:tcW w:w="1425" w:type="dxa"/>
                  <w:tcBorders>
                    <w:top w:val="single" w:sz="4" w:space="0" w:color="auto"/>
                    <w:left w:val="single" w:sz="4" w:space="0" w:color="auto"/>
                    <w:bottom w:val="single" w:sz="4" w:space="0" w:color="auto"/>
                    <w:right w:val="single" w:sz="4" w:space="0" w:color="auto"/>
                  </w:tcBorders>
                  <w:hideMark/>
                </w:tcPr>
                <w:p w14:paraId="37AA3811" w14:textId="77777777" w:rsidR="007968EC" w:rsidRPr="00207D41" w:rsidRDefault="007968EC" w:rsidP="007968EC">
                  <w:pPr>
                    <w:autoSpaceDE w:val="0"/>
                    <w:autoSpaceDN w:val="0"/>
                    <w:adjustRightInd w:val="0"/>
                    <w:jc w:val="both"/>
                    <w:rPr>
                      <w:rFonts w:ascii="Arial Narrow" w:eastAsia="Calibri" w:hAnsi="Arial Narrow" w:cs="Arial"/>
                      <w:color w:val="000000"/>
                    </w:rPr>
                  </w:pPr>
                  <w:r w:rsidRPr="00207D41">
                    <w:rPr>
                      <w:rFonts w:ascii="Arial Narrow" w:eastAsia="Calibri" w:hAnsi="Arial Narrow" w:cs="Arial"/>
                      <w:color w:val="000000"/>
                    </w:rPr>
                    <w:t>COP$ 0.411</w:t>
                  </w:r>
                </w:p>
              </w:tc>
            </w:tr>
          </w:tbl>
          <w:p w14:paraId="5CB9BFCF"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tc>
      </w:tr>
      <w:tr w:rsidR="007968EC" w:rsidRPr="00207D41" w14:paraId="37273855" w14:textId="77777777" w:rsidTr="007968EC">
        <w:trPr>
          <w:trHeight w:val="4784"/>
        </w:trPr>
        <w:tc>
          <w:tcPr>
            <w:tcW w:w="1119" w:type="dxa"/>
            <w:tcBorders>
              <w:top w:val="single" w:sz="12" w:space="0" w:color="auto"/>
              <w:left w:val="single" w:sz="12" w:space="0" w:color="auto"/>
              <w:bottom w:val="single" w:sz="12" w:space="0" w:color="auto"/>
              <w:right w:val="single" w:sz="12" w:space="0" w:color="auto"/>
            </w:tcBorders>
            <w:hideMark/>
          </w:tcPr>
          <w:p w14:paraId="725BF87A"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lastRenderedPageBreak/>
              <w:t>Variable</w:t>
            </w:r>
          </w:p>
        </w:tc>
        <w:tc>
          <w:tcPr>
            <w:tcW w:w="1570" w:type="dxa"/>
            <w:tcBorders>
              <w:top w:val="single" w:sz="12" w:space="0" w:color="auto"/>
              <w:left w:val="single" w:sz="12" w:space="0" w:color="auto"/>
              <w:bottom w:val="single" w:sz="12" w:space="0" w:color="auto"/>
              <w:right w:val="single" w:sz="12" w:space="0" w:color="auto"/>
            </w:tcBorders>
          </w:tcPr>
          <w:p w14:paraId="4D5857C1" w14:textId="77777777" w:rsidR="007968EC" w:rsidRPr="00207D41" w:rsidRDefault="007968EC" w:rsidP="007968EC">
            <w:pPr>
              <w:jc w:val="both"/>
              <w:rPr>
                <w:rFonts w:ascii="Arial Narrow" w:eastAsia="Calibri" w:hAnsi="Arial Narrow"/>
                <w:lang w:val="es-ES" w:eastAsia="es-ES"/>
              </w:rPr>
            </w:pPr>
            <w:r w:rsidRPr="00207D41">
              <w:rPr>
                <w:rFonts w:ascii="Arial Narrow" w:eastAsia="Calibri" w:hAnsi="Arial Narrow"/>
                <w:lang w:val="es-ES" w:eastAsia="es-ES"/>
              </w:rPr>
              <w:t>Compensación y Liquidación de Operaciones Repo</w:t>
            </w:r>
          </w:p>
          <w:p w14:paraId="512B75A2" w14:textId="77777777" w:rsidR="007968EC" w:rsidRPr="00207D41" w:rsidRDefault="007968EC" w:rsidP="007968EC">
            <w:pPr>
              <w:jc w:val="both"/>
              <w:rPr>
                <w:rFonts w:ascii="Arial Narrow" w:eastAsia="Calibri" w:hAnsi="Arial Narrow"/>
                <w:lang w:val="es-ES" w:eastAsia="es-ES"/>
              </w:rPr>
            </w:pPr>
          </w:p>
        </w:tc>
        <w:tc>
          <w:tcPr>
            <w:tcW w:w="2552" w:type="dxa"/>
            <w:tcBorders>
              <w:top w:val="single" w:sz="12" w:space="0" w:color="auto"/>
              <w:left w:val="single" w:sz="12" w:space="0" w:color="auto"/>
              <w:bottom w:val="single" w:sz="12" w:space="0" w:color="auto"/>
              <w:right w:val="single" w:sz="12" w:space="0" w:color="auto"/>
            </w:tcBorders>
          </w:tcPr>
          <w:p w14:paraId="0B4C9E9F" w14:textId="77777777" w:rsidR="007968EC" w:rsidRPr="00207D41" w:rsidRDefault="007968EC" w:rsidP="007968EC">
            <w:pPr>
              <w:jc w:val="both"/>
              <w:rPr>
                <w:rFonts w:ascii="Arial Narrow" w:eastAsia="Calibri" w:hAnsi="Arial Narrow" w:cs="Arial"/>
                <w:lang w:val="es-ES" w:eastAsia="es-ES"/>
              </w:rPr>
            </w:pPr>
            <w:r w:rsidRPr="00207D41">
              <w:rPr>
                <w:rFonts w:ascii="Arial Narrow" w:eastAsia="Calibri" w:hAnsi="Arial Narrow"/>
                <w:lang w:val="es-ES" w:eastAsia="es-ES"/>
              </w:rPr>
              <w:t>Tarifa variable establecida como un valor diario (incluyendo los fines de semana y días festivos del calendario colombiano) en pesos de acuerdo con el valor de giro vigente de la Operación Repo, en la cual se obtiene el derecho de que la CÁMARA una vez acepte dicha Operación, realice las funciones de Compensación y Liquidación de ésta en las condiciones en que lo establezca el Reglamento de la Cámara.</w:t>
            </w:r>
          </w:p>
        </w:tc>
        <w:tc>
          <w:tcPr>
            <w:tcW w:w="4254" w:type="dxa"/>
            <w:tcBorders>
              <w:top w:val="single" w:sz="12" w:space="0" w:color="auto"/>
              <w:left w:val="single" w:sz="12" w:space="0" w:color="auto"/>
              <w:bottom w:val="single" w:sz="12" w:space="0" w:color="auto"/>
              <w:right w:val="single" w:sz="12" w:space="0" w:color="auto"/>
            </w:tcBorders>
            <w:hideMark/>
          </w:tcPr>
          <w:p w14:paraId="156DFA47"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r w:rsidRPr="00207D41">
              <w:rPr>
                <w:rFonts w:ascii="Arial Narrow" w:eastAsia="Calibri" w:hAnsi="Arial Narrow" w:cs="Arial"/>
                <w:lang w:val="es-ES" w:eastAsia="es-ES"/>
              </w:rPr>
              <w:t xml:space="preserve">Operaciones Repo celebradas o registradas en el Sistema de Negociación y/o Registro enviadas a compensar en Cámara: Se </w:t>
            </w:r>
            <w:r w:rsidRPr="00207D41">
              <w:rPr>
                <w:rFonts w:ascii="Arial Narrow" w:hAnsi="Arial Narrow" w:cs="Arial"/>
                <w:lang w:eastAsia="es-CO"/>
              </w:rPr>
              <w:t>cobrará un importe efectivo diario, el cual resulta de multiplicar el valor de giro vigente por millón por 0.685.</w:t>
            </w:r>
          </w:p>
        </w:tc>
      </w:tr>
      <w:tr w:rsidR="007968EC" w:rsidRPr="00207D41" w14:paraId="76EA9F6F" w14:textId="77777777" w:rsidTr="007968EC">
        <w:tc>
          <w:tcPr>
            <w:tcW w:w="1119" w:type="dxa"/>
            <w:tcBorders>
              <w:top w:val="single" w:sz="12" w:space="0" w:color="auto"/>
              <w:left w:val="single" w:sz="12" w:space="0" w:color="auto"/>
              <w:bottom w:val="single" w:sz="12" w:space="0" w:color="auto"/>
              <w:right w:val="single" w:sz="12" w:space="0" w:color="auto"/>
            </w:tcBorders>
            <w:hideMark/>
          </w:tcPr>
          <w:p w14:paraId="76A8D3BE"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Variable</w:t>
            </w:r>
          </w:p>
        </w:tc>
        <w:tc>
          <w:tcPr>
            <w:tcW w:w="1570" w:type="dxa"/>
            <w:tcBorders>
              <w:top w:val="single" w:sz="12" w:space="0" w:color="auto"/>
              <w:left w:val="single" w:sz="12" w:space="0" w:color="auto"/>
              <w:bottom w:val="single" w:sz="12" w:space="0" w:color="auto"/>
              <w:right w:val="single" w:sz="12" w:space="0" w:color="auto"/>
            </w:tcBorders>
            <w:hideMark/>
          </w:tcPr>
          <w:p w14:paraId="45D00913"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Notificación y Entrega.</w:t>
            </w:r>
          </w:p>
        </w:tc>
        <w:tc>
          <w:tcPr>
            <w:tcW w:w="2552" w:type="dxa"/>
            <w:tcBorders>
              <w:top w:val="single" w:sz="12" w:space="0" w:color="auto"/>
              <w:left w:val="single" w:sz="12" w:space="0" w:color="auto"/>
              <w:bottom w:val="single" w:sz="12" w:space="0" w:color="auto"/>
              <w:right w:val="single" w:sz="12" w:space="0" w:color="auto"/>
            </w:tcBorders>
            <w:hideMark/>
          </w:tcPr>
          <w:p w14:paraId="58F8EADA"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 xml:space="preserve">Tarifa que se genera por la decisión de llevar a la entrega una Posición de Futuros. Se cobra vinculado al tipo de Liquidación sea ésta efectiva (con la entrega del subyacente) o financiera como un valor por cada Contrato y punta compradora o vendedora que se dé al momento de la entrega. </w:t>
            </w:r>
          </w:p>
          <w:p w14:paraId="60569BF0" w14:textId="77777777" w:rsidR="007968EC" w:rsidRPr="00207D41" w:rsidRDefault="007968EC" w:rsidP="007968EC">
            <w:pPr>
              <w:jc w:val="both"/>
              <w:rPr>
                <w:rFonts w:ascii="Arial Narrow" w:hAnsi="Arial Narrow" w:cs="Arial"/>
                <w:lang w:val="es-ES" w:eastAsia="es-ES"/>
              </w:rPr>
            </w:pPr>
          </w:p>
        </w:tc>
        <w:tc>
          <w:tcPr>
            <w:tcW w:w="4254" w:type="dxa"/>
            <w:tcBorders>
              <w:top w:val="single" w:sz="12" w:space="0" w:color="auto"/>
              <w:left w:val="single" w:sz="12" w:space="0" w:color="auto"/>
              <w:bottom w:val="single" w:sz="12" w:space="0" w:color="auto"/>
              <w:right w:val="single" w:sz="12" w:space="0" w:color="auto"/>
            </w:tcBorders>
            <w:hideMark/>
          </w:tcPr>
          <w:p w14:paraId="75A931DB"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 xml:space="preserve">Liquidación Efectiva: Se cobrará un importe equivalente a 2.5 veces </w:t>
            </w:r>
            <w:r w:rsidRPr="00207D41">
              <w:rPr>
                <w:rFonts w:ascii="Arial Narrow" w:eastAsia="Calibri" w:hAnsi="Arial Narrow" w:cs="Arial"/>
                <w:lang w:val="es-ES" w:eastAsia="es-ES"/>
              </w:rPr>
              <w:t xml:space="preserve">la Tarifa Variable por Compensación y Liquidación de cada Activo correspondiente. </w:t>
            </w:r>
          </w:p>
        </w:tc>
      </w:tr>
      <w:tr w:rsidR="007968EC" w:rsidRPr="00207D41" w14:paraId="6ABA681B" w14:textId="77777777" w:rsidTr="007968EC">
        <w:tc>
          <w:tcPr>
            <w:tcW w:w="1119" w:type="dxa"/>
            <w:tcBorders>
              <w:top w:val="single" w:sz="12" w:space="0" w:color="auto"/>
              <w:left w:val="single" w:sz="12" w:space="0" w:color="auto"/>
              <w:bottom w:val="single" w:sz="12" w:space="0" w:color="auto"/>
              <w:right w:val="single" w:sz="12" w:space="0" w:color="auto"/>
            </w:tcBorders>
            <w:hideMark/>
          </w:tcPr>
          <w:p w14:paraId="21F34F5A"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Variable</w:t>
            </w:r>
          </w:p>
        </w:tc>
        <w:tc>
          <w:tcPr>
            <w:tcW w:w="1570" w:type="dxa"/>
            <w:tcBorders>
              <w:top w:val="single" w:sz="12" w:space="0" w:color="auto"/>
              <w:left w:val="single" w:sz="12" w:space="0" w:color="auto"/>
              <w:bottom w:val="single" w:sz="12" w:space="0" w:color="auto"/>
              <w:right w:val="single" w:sz="12" w:space="0" w:color="auto"/>
            </w:tcBorders>
            <w:hideMark/>
          </w:tcPr>
          <w:p w14:paraId="0E37E413"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Operaciones de Gestión de t+1 en adelante.</w:t>
            </w:r>
          </w:p>
        </w:tc>
        <w:tc>
          <w:tcPr>
            <w:tcW w:w="2552" w:type="dxa"/>
            <w:tcBorders>
              <w:top w:val="single" w:sz="12" w:space="0" w:color="auto"/>
              <w:left w:val="single" w:sz="12" w:space="0" w:color="auto"/>
              <w:bottom w:val="single" w:sz="12" w:space="0" w:color="auto"/>
              <w:right w:val="single" w:sz="12" w:space="0" w:color="auto"/>
            </w:tcBorders>
            <w:hideMark/>
          </w:tcPr>
          <w:p w14:paraId="11355F1C"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 xml:space="preserve">Cargo por Contrato que se genera por operaciones de Traspaso, </w:t>
            </w:r>
            <w:proofErr w:type="spellStart"/>
            <w:r w:rsidRPr="00207D41">
              <w:rPr>
                <w:rFonts w:ascii="Arial Narrow" w:hAnsi="Arial Narrow" w:cs="Arial"/>
                <w:lang w:val="es-ES" w:eastAsia="es-ES"/>
              </w:rPr>
              <w:t>Give</w:t>
            </w:r>
            <w:proofErr w:type="spellEnd"/>
            <w:r w:rsidRPr="00207D41">
              <w:rPr>
                <w:rFonts w:ascii="Arial Narrow" w:hAnsi="Arial Narrow" w:cs="Arial"/>
                <w:lang w:val="es-ES" w:eastAsia="es-ES"/>
              </w:rPr>
              <w:t xml:space="preserve"> Up, Ajuste de Posición u otras similares que apliquen sobre posiciones abiertas negociadas en días anteriores al día de la Operación de gestión.</w:t>
            </w:r>
          </w:p>
        </w:tc>
        <w:tc>
          <w:tcPr>
            <w:tcW w:w="4254" w:type="dxa"/>
            <w:tcBorders>
              <w:top w:val="single" w:sz="12" w:space="0" w:color="auto"/>
              <w:left w:val="single" w:sz="12" w:space="0" w:color="auto"/>
              <w:bottom w:val="single" w:sz="12" w:space="0" w:color="auto"/>
              <w:right w:val="single" w:sz="12" w:space="0" w:color="auto"/>
            </w:tcBorders>
          </w:tcPr>
          <w:p w14:paraId="478E5D1C" w14:textId="77777777" w:rsidR="007968EC" w:rsidRPr="00207D41" w:rsidRDefault="007968EC" w:rsidP="007968EC">
            <w:pPr>
              <w:ind w:left="17" w:hanging="17"/>
              <w:jc w:val="both"/>
              <w:rPr>
                <w:rFonts w:ascii="Arial Narrow" w:hAnsi="Arial Narrow" w:cs="Arial"/>
                <w:color w:val="000000"/>
                <w:lang w:eastAsia="es-ES"/>
              </w:rPr>
            </w:pPr>
            <w:r w:rsidRPr="00207D41">
              <w:rPr>
                <w:rFonts w:ascii="Arial Narrow" w:eastAsia="Calibri" w:hAnsi="Arial Narrow" w:cs="Arial"/>
                <w:color w:val="000000"/>
                <w:lang w:eastAsia="es-ES"/>
              </w:rPr>
              <w:t>Se cobrará un importe equivalente a 1.5 veces la Tarifa Variable por Compensación</w:t>
            </w:r>
            <w:r w:rsidRPr="00207D41">
              <w:rPr>
                <w:rFonts w:ascii="Arial Narrow" w:eastAsia="Calibri" w:hAnsi="Arial Narrow" w:cs="Arial"/>
                <w:lang w:eastAsia="es-ES"/>
              </w:rPr>
              <w:t xml:space="preserve"> </w:t>
            </w:r>
            <w:r w:rsidRPr="00207D41">
              <w:rPr>
                <w:rFonts w:ascii="Arial Narrow" w:eastAsia="Calibri" w:hAnsi="Arial Narrow" w:cs="Arial"/>
                <w:color w:val="000000"/>
              </w:rPr>
              <w:t>y</w:t>
            </w:r>
            <w:r w:rsidRPr="00207D41">
              <w:rPr>
                <w:rFonts w:ascii="Arial Narrow" w:eastAsia="Calibri" w:hAnsi="Arial Narrow" w:cs="Arial"/>
                <w:color w:val="000000"/>
                <w:lang w:eastAsia="es-ES"/>
              </w:rPr>
              <w:t xml:space="preserve"> </w:t>
            </w:r>
            <w:r w:rsidRPr="00207D41">
              <w:rPr>
                <w:rFonts w:ascii="Arial Narrow" w:eastAsia="Calibri" w:hAnsi="Arial Narrow" w:cs="Arial"/>
                <w:lang w:eastAsia="es-ES"/>
              </w:rPr>
              <w:t>Liquidación de cada Activo para: los Futuros TES</w:t>
            </w:r>
            <w:r w:rsidRPr="00207D41">
              <w:rPr>
                <w:rFonts w:ascii="Arial Narrow" w:eastAsia="Calibri" w:hAnsi="Arial Narrow" w:cs="Arial"/>
                <w:color w:val="000000"/>
                <w:lang w:eastAsia="es-ES"/>
              </w:rPr>
              <w:t xml:space="preserve">, Contratos de Futuros sobre Títulos TES de Referencias </w:t>
            </w:r>
            <w:r w:rsidRPr="00207D41">
              <w:rPr>
                <w:rFonts w:ascii="Arial Narrow" w:hAnsi="Arial Narrow" w:cs="Arial"/>
                <w:color w:val="000000"/>
                <w:lang w:val="es-ES" w:eastAsia="es-ES"/>
              </w:rPr>
              <w:t>Específicas</w:t>
            </w:r>
            <w:r w:rsidRPr="00207D41">
              <w:rPr>
                <w:rFonts w:ascii="Arial Narrow" w:eastAsia="Calibri" w:hAnsi="Arial Narrow" w:cs="Arial"/>
                <w:color w:val="000000"/>
                <w:lang w:eastAsia="es-ES"/>
              </w:rPr>
              <w:t>, Futuros</w:t>
            </w:r>
            <w:r w:rsidRPr="00207D41">
              <w:rPr>
                <w:rFonts w:ascii="Arial Narrow" w:eastAsia="Calibri" w:hAnsi="Arial Narrow" w:cs="Arial"/>
                <w:color w:val="000000"/>
              </w:rPr>
              <w:t xml:space="preserve"> y Opciones</w:t>
            </w:r>
            <w:r w:rsidRPr="00207D41">
              <w:rPr>
                <w:rFonts w:ascii="Arial Narrow" w:eastAsia="Calibri" w:hAnsi="Arial Narrow" w:cs="Arial"/>
                <w:color w:val="000000"/>
                <w:lang w:eastAsia="es-ES"/>
              </w:rPr>
              <w:t xml:space="preserve"> cuyo activo subyacente sean acciones, </w:t>
            </w:r>
            <w:r w:rsidRPr="00207D41">
              <w:rPr>
                <w:rFonts w:ascii="Arial Narrow" w:eastAsia="Calibri" w:hAnsi="Arial Narrow" w:cs="Arial"/>
                <w:lang w:eastAsia="es-ES"/>
              </w:rPr>
              <w:t xml:space="preserve">Futuros sobre Índices Accionarios, Futuros sobre Electricidad Mensual, Futuros sobre </w:t>
            </w:r>
            <w:r w:rsidRPr="00207D41">
              <w:rPr>
                <w:rFonts w:ascii="Arial Narrow" w:eastAsia="Calibri" w:hAnsi="Arial Narrow" w:cs="Arial"/>
                <w:color w:val="000000"/>
                <w:lang w:eastAsia="es-ES"/>
              </w:rPr>
              <w:t>IBR</w:t>
            </w:r>
            <w:r w:rsidRPr="00207D41">
              <w:rPr>
                <w:rFonts w:ascii="Arial Narrow" w:eastAsia="Calibri" w:hAnsi="Arial Narrow" w:cs="Arial"/>
                <w:color w:val="000000"/>
              </w:rPr>
              <w:t>, OIS IBR Formación, OIS IBR</w:t>
            </w:r>
            <w:r w:rsidRPr="00207D41">
              <w:rPr>
                <w:rFonts w:ascii="Arial Narrow" w:eastAsia="Calibri" w:hAnsi="Arial Narrow" w:cs="Arial"/>
                <w:color w:val="000000"/>
                <w:lang w:eastAsia="es-ES"/>
              </w:rPr>
              <w:t xml:space="preserve"> y Futuros sobre Inflación.</w:t>
            </w:r>
            <w:r w:rsidRPr="00207D41">
              <w:rPr>
                <w:rFonts w:ascii="Arial Narrow" w:hAnsi="Arial Narrow" w:cs="Arial"/>
                <w:b/>
                <w:color w:val="000000"/>
                <w:lang w:val="es-ES" w:eastAsia="es-ES"/>
              </w:rPr>
              <w:t xml:space="preserve"> </w:t>
            </w:r>
          </w:p>
          <w:p w14:paraId="3B96CDE5" w14:textId="77777777" w:rsidR="007968EC" w:rsidRPr="00207D41" w:rsidRDefault="007968EC" w:rsidP="007968EC">
            <w:pPr>
              <w:autoSpaceDE w:val="0"/>
              <w:autoSpaceDN w:val="0"/>
              <w:adjustRightInd w:val="0"/>
              <w:jc w:val="both"/>
              <w:rPr>
                <w:rFonts w:ascii="Arial Narrow" w:eastAsia="Calibri" w:hAnsi="Arial Narrow" w:cs="Arial"/>
                <w:color w:val="000000"/>
                <w:lang w:val="es-ES" w:eastAsia="es-ES"/>
              </w:rPr>
            </w:pPr>
          </w:p>
          <w:p w14:paraId="2365920D" w14:textId="77777777" w:rsidR="007968EC" w:rsidRPr="00207D41" w:rsidRDefault="007968EC" w:rsidP="007968EC">
            <w:pPr>
              <w:autoSpaceDE w:val="0"/>
              <w:autoSpaceDN w:val="0"/>
              <w:adjustRightInd w:val="0"/>
              <w:jc w:val="both"/>
              <w:rPr>
                <w:rFonts w:ascii="Arial Narrow" w:eastAsia="Calibri" w:hAnsi="Arial Narrow" w:cs="Arial"/>
                <w:color w:val="000000"/>
                <w:lang w:val="es-ES" w:eastAsia="es-ES"/>
              </w:rPr>
            </w:pPr>
            <w:r w:rsidRPr="00207D41">
              <w:rPr>
                <w:rFonts w:ascii="Arial Narrow" w:eastAsia="Calibri" w:hAnsi="Arial Narrow" w:cs="Arial"/>
                <w:color w:val="000000"/>
                <w:lang w:val="es-ES" w:eastAsia="es-ES"/>
              </w:rPr>
              <w:t xml:space="preserve">Futuro de Tasa de Cambio Dólar/Peso y Contrato de Opción sobre la TRM: COP$2.700 </w:t>
            </w:r>
          </w:p>
          <w:p w14:paraId="0AA0B79F"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52B0F965"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r w:rsidRPr="00207D41">
              <w:rPr>
                <w:rFonts w:ascii="Arial Narrow" w:eastAsia="Calibri" w:hAnsi="Arial Narrow" w:cs="Arial"/>
                <w:lang w:val="es-ES" w:eastAsia="es-ES"/>
              </w:rPr>
              <w:t xml:space="preserve">Mini Contrato de Futuro de Tasa de Cambio Dólar/Peso: COP$270 </w:t>
            </w:r>
          </w:p>
          <w:p w14:paraId="6A5C7F17"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798488AB"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Forward NDF USD/COP: Se cobrará COP $0.1080 por cada Dólar de los Estados Unidos de América (1 USD).</w:t>
            </w:r>
          </w:p>
          <w:p w14:paraId="6C7BF6DD" w14:textId="77777777" w:rsidR="007968EC" w:rsidRPr="00207D41" w:rsidRDefault="007968EC" w:rsidP="007968EC">
            <w:pPr>
              <w:jc w:val="both"/>
              <w:rPr>
                <w:rFonts w:ascii="Arial Narrow" w:hAnsi="Arial Narrow" w:cs="Arial"/>
                <w:lang w:val="es-ES" w:eastAsia="es-ES"/>
              </w:rPr>
            </w:pPr>
          </w:p>
        </w:tc>
      </w:tr>
      <w:tr w:rsidR="007968EC" w:rsidRPr="00207D41" w14:paraId="1087DDF6" w14:textId="77777777" w:rsidTr="007968EC">
        <w:tc>
          <w:tcPr>
            <w:tcW w:w="1119" w:type="dxa"/>
            <w:tcBorders>
              <w:top w:val="single" w:sz="12" w:space="0" w:color="auto"/>
              <w:left w:val="single" w:sz="12" w:space="0" w:color="auto"/>
              <w:bottom w:val="single" w:sz="12" w:space="0" w:color="auto"/>
              <w:right w:val="single" w:sz="12" w:space="0" w:color="auto"/>
            </w:tcBorders>
            <w:hideMark/>
          </w:tcPr>
          <w:p w14:paraId="0C38BC56"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lastRenderedPageBreak/>
              <w:t>Variable</w:t>
            </w:r>
          </w:p>
        </w:tc>
        <w:tc>
          <w:tcPr>
            <w:tcW w:w="1570" w:type="dxa"/>
            <w:tcBorders>
              <w:top w:val="single" w:sz="12" w:space="0" w:color="auto"/>
              <w:left w:val="single" w:sz="12" w:space="0" w:color="auto"/>
              <w:bottom w:val="single" w:sz="12" w:space="0" w:color="auto"/>
              <w:right w:val="single" w:sz="12" w:space="0" w:color="auto"/>
            </w:tcBorders>
            <w:hideMark/>
          </w:tcPr>
          <w:p w14:paraId="779DF1A0"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Empleo de Cuenta Residual</w:t>
            </w:r>
          </w:p>
        </w:tc>
        <w:tc>
          <w:tcPr>
            <w:tcW w:w="2552" w:type="dxa"/>
            <w:tcBorders>
              <w:top w:val="single" w:sz="12" w:space="0" w:color="auto"/>
              <w:left w:val="single" w:sz="12" w:space="0" w:color="auto"/>
              <w:bottom w:val="single" w:sz="12" w:space="0" w:color="auto"/>
              <w:right w:val="single" w:sz="12" w:space="0" w:color="auto"/>
            </w:tcBorders>
            <w:hideMark/>
          </w:tcPr>
          <w:p w14:paraId="014B84C9"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 xml:space="preserve">Cargo por Contrato que se genera por operaciones que la CÁMARA debe asignar a la “Cuenta Residual” del Miembro, cuando éste no asignó durante el día las operaciones de la “Cuenta Diaria”. </w:t>
            </w:r>
          </w:p>
        </w:tc>
        <w:tc>
          <w:tcPr>
            <w:tcW w:w="4254" w:type="dxa"/>
            <w:tcBorders>
              <w:top w:val="single" w:sz="12" w:space="0" w:color="auto"/>
              <w:left w:val="single" w:sz="12" w:space="0" w:color="auto"/>
              <w:bottom w:val="single" w:sz="12" w:space="0" w:color="auto"/>
              <w:right w:val="single" w:sz="12" w:space="0" w:color="auto"/>
            </w:tcBorders>
          </w:tcPr>
          <w:p w14:paraId="4931B7A9" w14:textId="77777777" w:rsidR="007968EC" w:rsidRPr="00207D41" w:rsidRDefault="007968EC" w:rsidP="007968EC">
            <w:pPr>
              <w:jc w:val="both"/>
              <w:rPr>
                <w:rFonts w:ascii="Arial Narrow" w:eastAsia="Calibri" w:hAnsi="Arial Narrow" w:cs="Arial"/>
                <w:lang w:eastAsia="es-ES"/>
              </w:rPr>
            </w:pPr>
            <w:r w:rsidRPr="00207D41">
              <w:rPr>
                <w:rFonts w:ascii="Arial Narrow" w:eastAsia="Calibri" w:hAnsi="Arial Narrow" w:cs="Arial"/>
                <w:lang w:eastAsia="es-ES"/>
              </w:rPr>
              <w:t xml:space="preserve">Se cobrará un importe equivalente a 0.5 veces la Tarifa Variable por Compensación y Liquidación </w:t>
            </w:r>
            <w:r w:rsidRPr="00207D41">
              <w:rPr>
                <w:rFonts w:ascii="Arial Narrow" w:eastAsia="Calibri" w:hAnsi="Arial Narrow" w:cs="Arial"/>
                <w:color w:val="000000"/>
                <w:lang w:eastAsia="es-ES"/>
              </w:rPr>
              <w:t xml:space="preserve">de cada Activo para: Los Futuros TES, Contratos de Futuros sobre Títulos TES de Referencias </w:t>
            </w:r>
            <w:r w:rsidRPr="00207D41">
              <w:rPr>
                <w:rFonts w:ascii="Arial Narrow" w:hAnsi="Arial Narrow" w:cs="Arial"/>
                <w:color w:val="000000"/>
                <w:lang w:val="es-ES" w:eastAsia="es-ES"/>
              </w:rPr>
              <w:t>Específicas</w:t>
            </w:r>
            <w:r w:rsidRPr="00207D41">
              <w:rPr>
                <w:rFonts w:ascii="Arial Narrow" w:eastAsia="Calibri" w:hAnsi="Arial Narrow" w:cs="Arial"/>
                <w:color w:val="000000"/>
                <w:lang w:eastAsia="es-ES"/>
              </w:rPr>
              <w:t>, Futuros</w:t>
            </w:r>
            <w:r w:rsidRPr="00207D41">
              <w:rPr>
                <w:rFonts w:ascii="Arial Narrow" w:eastAsia="Calibri" w:hAnsi="Arial Narrow" w:cs="Arial"/>
                <w:color w:val="000000"/>
              </w:rPr>
              <w:t xml:space="preserve"> y Opciones</w:t>
            </w:r>
            <w:r w:rsidRPr="00207D41">
              <w:rPr>
                <w:rFonts w:ascii="Arial Narrow" w:eastAsia="Calibri" w:hAnsi="Arial Narrow" w:cs="Arial"/>
                <w:color w:val="000000"/>
                <w:lang w:eastAsia="es-ES"/>
              </w:rPr>
              <w:t xml:space="preserve"> cuyo activo subyacente sean acciones, Futuros </w:t>
            </w:r>
            <w:r w:rsidRPr="00207D41">
              <w:rPr>
                <w:rFonts w:ascii="Arial Narrow" w:eastAsia="Calibri" w:hAnsi="Arial Narrow" w:cs="Arial"/>
                <w:lang w:eastAsia="es-ES"/>
              </w:rPr>
              <w:t>sobre Índices Accionarios, Futuros sobre Electricidad Mensual, Futuros sobre IBR y Futuros sobre Inflación.</w:t>
            </w:r>
          </w:p>
          <w:p w14:paraId="135FA16B"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56C04EB3"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r w:rsidRPr="00207D41">
              <w:rPr>
                <w:rFonts w:ascii="Arial Narrow" w:eastAsia="Calibri" w:hAnsi="Arial Narrow" w:cs="Arial"/>
                <w:lang w:val="es-ES" w:eastAsia="es-ES"/>
              </w:rPr>
              <w:t xml:space="preserve">Futuro de Tasa de Cambio Dólar/Peso y Contrato de Opción sobre la TRM: COP$900 </w:t>
            </w:r>
          </w:p>
          <w:p w14:paraId="2A981826"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27E32B98"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r w:rsidRPr="00207D41">
              <w:rPr>
                <w:rFonts w:ascii="Arial Narrow" w:eastAsia="Calibri" w:hAnsi="Arial Narrow" w:cs="Arial"/>
                <w:lang w:val="es-ES" w:eastAsia="es-ES"/>
              </w:rPr>
              <w:t xml:space="preserve">Mini Contrato de Futuro de Tasa de Cambio Dólar/Peso: COP$90 </w:t>
            </w:r>
          </w:p>
          <w:p w14:paraId="510C2C20"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p>
          <w:p w14:paraId="5B05B385" w14:textId="77777777" w:rsidR="007968EC" w:rsidRPr="00207D41" w:rsidRDefault="007968EC" w:rsidP="007968EC">
            <w:pPr>
              <w:autoSpaceDE w:val="0"/>
              <w:autoSpaceDN w:val="0"/>
              <w:adjustRightInd w:val="0"/>
              <w:jc w:val="both"/>
              <w:rPr>
                <w:rFonts w:ascii="Arial Narrow" w:eastAsia="Calibri" w:hAnsi="Arial Narrow" w:cs="Arial"/>
                <w:lang w:val="es-ES" w:eastAsia="es-ES"/>
              </w:rPr>
            </w:pPr>
            <w:r w:rsidRPr="00207D41">
              <w:rPr>
                <w:rFonts w:ascii="Arial Narrow" w:eastAsia="Calibri" w:hAnsi="Arial Narrow" w:cs="Arial"/>
                <w:lang w:val="es-ES" w:eastAsia="es-ES"/>
              </w:rPr>
              <w:t>Forward NDF USD/COP: Se cobrará COP $0.0360 por cada Dólar de los Estados Unidos de América (1 USD)</w:t>
            </w:r>
          </w:p>
          <w:p w14:paraId="04C4E4BD" w14:textId="77777777" w:rsidR="007968EC" w:rsidRPr="00207D41" w:rsidRDefault="007968EC" w:rsidP="007968EC">
            <w:pPr>
              <w:autoSpaceDE w:val="0"/>
              <w:autoSpaceDN w:val="0"/>
              <w:adjustRightInd w:val="0"/>
              <w:jc w:val="both"/>
              <w:rPr>
                <w:rFonts w:ascii="Arial Narrow" w:eastAsia="Calibri" w:hAnsi="Arial Narrow" w:cs="Arial"/>
                <w:b/>
                <w:lang w:eastAsia="es-ES"/>
              </w:rPr>
            </w:pPr>
          </w:p>
        </w:tc>
      </w:tr>
      <w:tr w:rsidR="007968EC" w:rsidRPr="00207D41" w14:paraId="027BEFA4" w14:textId="77777777" w:rsidTr="007968EC">
        <w:tc>
          <w:tcPr>
            <w:tcW w:w="1119" w:type="dxa"/>
            <w:tcBorders>
              <w:top w:val="single" w:sz="12" w:space="0" w:color="auto"/>
              <w:left w:val="single" w:sz="12" w:space="0" w:color="auto"/>
              <w:bottom w:val="single" w:sz="12" w:space="0" w:color="auto"/>
              <w:right w:val="single" w:sz="12" w:space="0" w:color="auto"/>
            </w:tcBorders>
            <w:hideMark/>
          </w:tcPr>
          <w:p w14:paraId="475ADBCA"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eastAsia="es-ES"/>
              </w:rPr>
              <w:t>Variable</w:t>
            </w:r>
          </w:p>
        </w:tc>
        <w:tc>
          <w:tcPr>
            <w:tcW w:w="1570" w:type="dxa"/>
            <w:tcBorders>
              <w:top w:val="single" w:sz="12" w:space="0" w:color="auto"/>
              <w:left w:val="single" w:sz="12" w:space="0" w:color="auto"/>
              <w:bottom w:val="single" w:sz="12" w:space="0" w:color="auto"/>
              <w:right w:val="single" w:sz="12" w:space="0" w:color="auto"/>
            </w:tcBorders>
            <w:hideMark/>
          </w:tcPr>
          <w:p w14:paraId="03AEC1C8" w14:textId="77777777" w:rsidR="007968EC" w:rsidRPr="00207D41" w:rsidRDefault="007968EC" w:rsidP="007968EC">
            <w:pPr>
              <w:rPr>
                <w:rFonts w:ascii="Arial Narrow" w:hAnsi="Arial Narrow" w:cs="Arial"/>
                <w:lang w:val="es-ES" w:eastAsia="es-ES"/>
              </w:rPr>
            </w:pPr>
            <w:r w:rsidRPr="00207D41">
              <w:rPr>
                <w:rFonts w:ascii="Arial Narrow" w:hAnsi="Arial Narrow" w:cs="Arial"/>
                <w:lang w:eastAsia="es-ES"/>
              </w:rPr>
              <w:t>Tarifa por Administración de Inversión de las Garantías constituidas en efectivo</w:t>
            </w:r>
          </w:p>
        </w:tc>
        <w:tc>
          <w:tcPr>
            <w:tcW w:w="2552" w:type="dxa"/>
            <w:tcBorders>
              <w:top w:val="single" w:sz="12" w:space="0" w:color="auto"/>
              <w:left w:val="single" w:sz="12" w:space="0" w:color="auto"/>
              <w:bottom w:val="single" w:sz="12" w:space="0" w:color="auto"/>
              <w:right w:val="single" w:sz="12" w:space="0" w:color="auto"/>
            </w:tcBorders>
            <w:hideMark/>
          </w:tcPr>
          <w:p w14:paraId="624CD0A0"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eastAsia="es-ES"/>
              </w:rPr>
              <w:t>Tarifa variable establecida como un porcentaje del total de los intereses generados por la(s) inversión(es</w:t>
            </w:r>
            <w:r w:rsidRPr="00207D41">
              <w:rPr>
                <w:rFonts w:ascii="Arial Narrow" w:hAnsi="Arial Narrow" w:cs="Arial"/>
                <w:lang w:eastAsia="es-CO"/>
              </w:rPr>
              <w:t>).</w:t>
            </w:r>
          </w:p>
        </w:tc>
        <w:tc>
          <w:tcPr>
            <w:tcW w:w="4254" w:type="dxa"/>
            <w:tcBorders>
              <w:top w:val="single" w:sz="12" w:space="0" w:color="auto"/>
              <w:left w:val="single" w:sz="12" w:space="0" w:color="auto"/>
              <w:bottom w:val="single" w:sz="12" w:space="0" w:color="auto"/>
              <w:right w:val="single" w:sz="12" w:space="0" w:color="auto"/>
            </w:tcBorders>
            <w:hideMark/>
          </w:tcPr>
          <w:p w14:paraId="37EC6217" w14:textId="77777777" w:rsidR="007968EC" w:rsidRPr="00207D41" w:rsidRDefault="007968EC" w:rsidP="007968EC">
            <w:pPr>
              <w:jc w:val="both"/>
              <w:rPr>
                <w:rFonts w:ascii="Arial Narrow" w:eastAsia="Calibri" w:hAnsi="Arial Narrow" w:cs="Arial"/>
                <w:lang w:eastAsia="es-ES"/>
              </w:rPr>
            </w:pPr>
            <w:r w:rsidRPr="00207D41">
              <w:rPr>
                <w:rFonts w:ascii="Arial Narrow" w:hAnsi="Arial Narrow" w:cs="Arial"/>
                <w:lang w:eastAsia="es-ES"/>
              </w:rPr>
              <w:t>Se cobrará un importe, el cual resulta de multiplicar: a) Los intereses totales generados por la(s) inversión(es) de las garantías constituidas en efectivo y b) 28.375%</w:t>
            </w:r>
          </w:p>
        </w:tc>
      </w:tr>
      <w:tr w:rsidR="007968EC" w:rsidRPr="00207D41" w14:paraId="6DEE10AC" w14:textId="77777777" w:rsidTr="007968EC">
        <w:tc>
          <w:tcPr>
            <w:tcW w:w="1119" w:type="dxa"/>
            <w:tcBorders>
              <w:top w:val="single" w:sz="12" w:space="0" w:color="auto"/>
              <w:left w:val="single" w:sz="12" w:space="0" w:color="auto"/>
              <w:bottom w:val="single" w:sz="12" w:space="0" w:color="auto"/>
              <w:right w:val="single" w:sz="12" w:space="0" w:color="auto"/>
            </w:tcBorders>
            <w:hideMark/>
          </w:tcPr>
          <w:p w14:paraId="67A50D8A"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No periódico</w:t>
            </w:r>
          </w:p>
        </w:tc>
        <w:tc>
          <w:tcPr>
            <w:tcW w:w="1570" w:type="dxa"/>
            <w:tcBorders>
              <w:top w:val="single" w:sz="12" w:space="0" w:color="auto"/>
              <w:left w:val="single" w:sz="12" w:space="0" w:color="auto"/>
              <w:bottom w:val="single" w:sz="12" w:space="0" w:color="auto"/>
              <w:right w:val="single" w:sz="12" w:space="0" w:color="auto"/>
            </w:tcBorders>
            <w:hideMark/>
          </w:tcPr>
          <w:p w14:paraId="4205525C"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Eventos de Retardo</w:t>
            </w:r>
          </w:p>
        </w:tc>
        <w:tc>
          <w:tcPr>
            <w:tcW w:w="2552" w:type="dxa"/>
            <w:tcBorders>
              <w:top w:val="single" w:sz="12" w:space="0" w:color="auto"/>
              <w:left w:val="single" w:sz="12" w:space="0" w:color="auto"/>
              <w:bottom w:val="single" w:sz="12" w:space="0" w:color="auto"/>
              <w:right w:val="single" w:sz="12" w:space="0" w:color="auto"/>
            </w:tcBorders>
            <w:hideMark/>
          </w:tcPr>
          <w:p w14:paraId="61355B20"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 xml:space="preserve">Cargo generado por incurrir el Miembro en un evento de retardo, con </w:t>
            </w:r>
            <w:r w:rsidRPr="00207D41">
              <w:rPr>
                <w:rFonts w:ascii="Arial Narrow" w:hAnsi="Arial Narrow" w:cs="Arial"/>
                <w:lang w:val="es-ES" w:eastAsia="es-ES"/>
              </w:rPr>
              <w:lastRenderedPageBreak/>
              <w:t>independencia de la causa que origine el retardo y aún si cobran tarifas por retardo a un Agente. La Cámara cargará al Miembro un importe en pesos por el evento, a título de consecuencia pecuniaria y adicionalmente, cobrará sobre el valor de las liquidaciones atrasadas una tasa de interés equivalente a la máxima tasa de mora legal vigente, devengándose durante el tiempo en que se mantenga el retardo.</w:t>
            </w:r>
          </w:p>
          <w:p w14:paraId="56F5D44F" w14:textId="77777777" w:rsidR="007968EC" w:rsidRPr="00207D41" w:rsidRDefault="007968EC" w:rsidP="007968EC">
            <w:pPr>
              <w:jc w:val="both"/>
              <w:rPr>
                <w:rFonts w:ascii="Arial Narrow" w:hAnsi="Arial Narrow" w:cs="Arial"/>
                <w:lang w:val="es-ES" w:eastAsia="es-ES"/>
              </w:rPr>
            </w:pPr>
          </w:p>
        </w:tc>
        <w:tc>
          <w:tcPr>
            <w:tcW w:w="4254" w:type="dxa"/>
            <w:tcBorders>
              <w:top w:val="single" w:sz="12" w:space="0" w:color="auto"/>
              <w:left w:val="single" w:sz="12" w:space="0" w:color="auto"/>
              <w:bottom w:val="single" w:sz="12" w:space="0" w:color="auto"/>
              <w:right w:val="single" w:sz="12" w:space="0" w:color="auto"/>
            </w:tcBorders>
          </w:tcPr>
          <w:p w14:paraId="2FDEB3F1"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lastRenderedPageBreak/>
              <w:t>Por la ocurrencia del evento diez (10) salarios mínimos mensuales legales vigentes (SMMLV).</w:t>
            </w:r>
          </w:p>
          <w:p w14:paraId="0DA9E4D8" w14:textId="77777777" w:rsidR="007968EC" w:rsidRPr="00207D41" w:rsidRDefault="007968EC" w:rsidP="007968EC">
            <w:pPr>
              <w:jc w:val="both"/>
              <w:rPr>
                <w:rFonts w:ascii="Arial Narrow" w:hAnsi="Arial Narrow" w:cs="Arial"/>
                <w:lang w:val="es-ES" w:eastAsia="es-ES"/>
              </w:rPr>
            </w:pPr>
          </w:p>
          <w:p w14:paraId="49BCE01A"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Tasa de interés equivalente a la máxima tasa de mora legal vigente sobre el importe de la Liquidación.</w:t>
            </w:r>
          </w:p>
        </w:tc>
      </w:tr>
      <w:tr w:rsidR="007968EC" w:rsidRPr="00207D41" w14:paraId="79988460" w14:textId="77777777" w:rsidTr="007968EC">
        <w:tc>
          <w:tcPr>
            <w:tcW w:w="1119" w:type="dxa"/>
            <w:tcBorders>
              <w:top w:val="single" w:sz="12" w:space="0" w:color="auto"/>
              <w:left w:val="single" w:sz="12" w:space="0" w:color="auto"/>
              <w:bottom w:val="single" w:sz="12" w:space="0" w:color="auto"/>
              <w:right w:val="single" w:sz="12" w:space="0" w:color="auto"/>
            </w:tcBorders>
            <w:hideMark/>
          </w:tcPr>
          <w:p w14:paraId="61027E69"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lastRenderedPageBreak/>
              <w:t>No periódico</w:t>
            </w:r>
          </w:p>
        </w:tc>
        <w:tc>
          <w:tcPr>
            <w:tcW w:w="1570" w:type="dxa"/>
            <w:tcBorders>
              <w:top w:val="single" w:sz="12" w:space="0" w:color="auto"/>
              <w:left w:val="single" w:sz="12" w:space="0" w:color="auto"/>
              <w:bottom w:val="single" w:sz="12" w:space="0" w:color="auto"/>
              <w:right w:val="single" w:sz="12" w:space="0" w:color="auto"/>
            </w:tcBorders>
            <w:hideMark/>
          </w:tcPr>
          <w:p w14:paraId="37B85996"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Eventos de Retardo</w:t>
            </w:r>
          </w:p>
        </w:tc>
        <w:tc>
          <w:tcPr>
            <w:tcW w:w="2552" w:type="dxa"/>
            <w:tcBorders>
              <w:top w:val="single" w:sz="12" w:space="0" w:color="auto"/>
              <w:left w:val="single" w:sz="12" w:space="0" w:color="auto"/>
              <w:bottom w:val="single" w:sz="12" w:space="0" w:color="auto"/>
              <w:right w:val="single" w:sz="12" w:space="0" w:color="auto"/>
            </w:tcBorders>
            <w:hideMark/>
          </w:tcPr>
          <w:p w14:paraId="3651A85C"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Cargo generado al Agente que Admitió la operación, debido a la no entrega oportuna del efectivo o de los valores de dicha operación, generando el evento de retardo al Miembro Liquidador.</w:t>
            </w:r>
          </w:p>
          <w:p w14:paraId="75B4953B" w14:textId="77777777" w:rsidR="007968EC" w:rsidRPr="00207D41" w:rsidRDefault="007968EC" w:rsidP="007968EC">
            <w:pPr>
              <w:jc w:val="both"/>
              <w:rPr>
                <w:rFonts w:ascii="Arial Narrow" w:hAnsi="Arial Narrow" w:cs="Arial"/>
                <w:lang w:val="es-ES" w:eastAsia="es-ES"/>
              </w:rPr>
            </w:pPr>
          </w:p>
        </w:tc>
        <w:tc>
          <w:tcPr>
            <w:tcW w:w="4254" w:type="dxa"/>
            <w:tcBorders>
              <w:top w:val="single" w:sz="12" w:space="0" w:color="auto"/>
              <w:left w:val="single" w:sz="12" w:space="0" w:color="auto"/>
              <w:bottom w:val="single" w:sz="12" w:space="0" w:color="auto"/>
              <w:right w:val="single" w:sz="12" w:space="0" w:color="auto"/>
            </w:tcBorders>
          </w:tcPr>
          <w:p w14:paraId="2BCDE109"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COP $1.081.000</w:t>
            </w:r>
          </w:p>
          <w:p w14:paraId="143EDFA1" w14:textId="77777777" w:rsidR="007968EC" w:rsidRPr="00207D41" w:rsidRDefault="007968EC" w:rsidP="007968EC">
            <w:pPr>
              <w:jc w:val="both"/>
              <w:rPr>
                <w:rFonts w:ascii="Arial Narrow" w:hAnsi="Arial Narrow" w:cs="Arial"/>
                <w:lang w:val="es-ES" w:eastAsia="es-ES"/>
              </w:rPr>
            </w:pPr>
          </w:p>
          <w:p w14:paraId="4B15D04C" w14:textId="77777777" w:rsidR="007968EC" w:rsidRPr="00207D41" w:rsidRDefault="007968EC" w:rsidP="007968EC">
            <w:pPr>
              <w:jc w:val="both"/>
              <w:rPr>
                <w:rFonts w:ascii="Arial Narrow" w:hAnsi="Arial Narrow" w:cs="Arial"/>
                <w:lang w:val="es-ES" w:eastAsia="es-ES"/>
              </w:rPr>
            </w:pPr>
          </w:p>
          <w:p w14:paraId="1EE4BEEA" w14:textId="77777777" w:rsidR="007968EC" w:rsidRPr="00207D41" w:rsidRDefault="007968EC" w:rsidP="007968EC">
            <w:pPr>
              <w:jc w:val="both"/>
              <w:rPr>
                <w:rFonts w:ascii="Arial Narrow" w:hAnsi="Arial Narrow" w:cs="Arial"/>
                <w:lang w:val="es-ES" w:eastAsia="es-ES"/>
              </w:rPr>
            </w:pPr>
          </w:p>
          <w:p w14:paraId="487CDF8A" w14:textId="77777777" w:rsidR="007968EC" w:rsidRPr="00207D41" w:rsidRDefault="007968EC" w:rsidP="007968EC">
            <w:pPr>
              <w:jc w:val="both"/>
              <w:rPr>
                <w:rFonts w:ascii="Arial Narrow" w:hAnsi="Arial Narrow" w:cs="Arial"/>
                <w:lang w:val="es-ES" w:eastAsia="es-ES"/>
              </w:rPr>
            </w:pPr>
          </w:p>
        </w:tc>
      </w:tr>
      <w:tr w:rsidR="007968EC" w:rsidRPr="00207D41" w14:paraId="6A6D2A8F" w14:textId="77777777" w:rsidTr="007968EC">
        <w:tc>
          <w:tcPr>
            <w:tcW w:w="1119" w:type="dxa"/>
            <w:tcBorders>
              <w:top w:val="single" w:sz="12" w:space="0" w:color="auto"/>
              <w:left w:val="single" w:sz="12" w:space="0" w:color="auto"/>
              <w:bottom w:val="single" w:sz="12" w:space="0" w:color="auto"/>
              <w:right w:val="single" w:sz="12" w:space="0" w:color="auto"/>
            </w:tcBorders>
            <w:hideMark/>
          </w:tcPr>
          <w:p w14:paraId="6B1B4F82"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No periódico</w:t>
            </w:r>
          </w:p>
        </w:tc>
        <w:tc>
          <w:tcPr>
            <w:tcW w:w="1570" w:type="dxa"/>
            <w:tcBorders>
              <w:top w:val="single" w:sz="12" w:space="0" w:color="auto"/>
              <w:left w:val="single" w:sz="12" w:space="0" w:color="auto"/>
              <w:bottom w:val="single" w:sz="12" w:space="0" w:color="auto"/>
              <w:right w:val="single" w:sz="12" w:space="0" w:color="auto"/>
            </w:tcBorders>
            <w:hideMark/>
          </w:tcPr>
          <w:p w14:paraId="11C61927"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Medidas Preventivas</w:t>
            </w:r>
          </w:p>
        </w:tc>
        <w:tc>
          <w:tcPr>
            <w:tcW w:w="2552" w:type="dxa"/>
            <w:tcBorders>
              <w:top w:val="single" w:sz="12" w:space="0" w:color="auto"/>
              <w:left w:val="single" w:sz="12" w:space="0" w:color="auto"/>
              <w:bottom w:val="single" w:sz="12" w:space="0" w:color="auto"/>
              <w:right w:val="single" w:sz="12" w:space="0" w:color="auto"/>
            </w:tcBorders>
            <w:hideMark/>
          </w:tcPr>
          <w:p w14:paraId="77BFA86F"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 xml:space="preserve">Cargo generado al Miembro frente al cual la Cámara ordene una o varias medidas preventivas y por cada evento a que haya lugar la aplicación de una o varias medidas preventivas. </w:t>
            </w:r>
          </w:p>
          <w:p w14:paraId="0EAD9E2B"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br/>
              <w:t xml:space="preserve">Por la ocurrencia de este hecho la Cámara cargará al Miembro un importe en pesos por el evento, a título de consecuencia </w:t>
            </w:r>
            <w:r w:rsidRPr="00207D41">
              <w:rPr>
                <w:rFonts w:ascii="Arial Narrow" w:hAnsi="Arial Narrow" w:cs="Arial"/>
                <w:lang w:val="es-ES" w:eastAsia="es-ES"/>
              </w:rPr>
              <w:lastRenderedPageBreak/>
              <w:t>pecuniaria y adicionalmente, cobrará el pago de un interés de mora a la tasa máxima permitida por la Ley, sobre las sumas atrasadas, devengándose durante el tiempo en que se mantenga el retardo.</w:t>
            </w:r>
          </w:p>
          <w:p w14:paraId="35998434" w14:textId="77777777" w:rsidR="007968EC" w:rsidRPr="00207D41" w:rsidRDefault="007968EC" w:rsidP="007968EC">
            <w:pPr>
              <w:jc w:val="both"/>
              <w:rPr>
                <w:rFonts w:ascii="Arial Narrow" w:hAnsi="Arial Narrow" w:cs="Arial"/>
                <w:lang w:val="es-ES" w:eastAsia="es-ES"/>
              </w:rPr>
            </w:pPr>
          </w:p>
        </w:tc>
        <w:tc>
          <w:tcPr>
            <w:tcW w:w="4254" w:type="dxa"/>
            <w:tcBorders>
              <w:top w:val="single" w:sz="12" w:space="0" w:color="auto"/>
              <w:left w:val="single" w:sz="12" w:space="0" w:color="auto"/>
              <w:bottom w:val="single" w:sz="12" w:space="0" w:color="auto"/>
              <w:right w:val="single" w:sz="12" w:space="0" w:color="auto"/>
            </w:tcBorders>
            <w:hideMark/>
          </w:tcPr>
          <w:p w14:paraId="5D719BA6"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lastRenderedPageBreak/>
              <w:t>Por la adopción de la medida preventiva diez (10) salarios mínimos mensuales legales vigentes(SMMLV).</w:t>
            </w:r>
            <w:r w:rsidRPr="00207D41">
              <w:rPr>
                <w:rFonts w:ascii="Arial Narrow" w:hAnsi="Arial Narrow" w:cs="Arial"/>
                <w:lang w:val="es-ES" w:eastAsia="es-ES"/>
              </w:rPr>
              <w:br/>
            </w:r>
            <w:r w:rsidRPr="00207D41">
              <w:rPr>
                <w:rFonts w:ascii="Arial Narrow" w:hAnsi="Arial Narrow" w:cs="Arial"/>
                <w:lang w:val="es-ES" w:eastAsia="es-ES"/>
              </w:rPr>
              <w:br/>
              <w:t>Tasa de interés equivalente a la máxima tasa de mora legal vigente sobre el importe de la liquidación o en el caso de la entrega de Activos el valor sobre el cual se calculará el interés de mora será el valor de mercado del mismo para el día del cálculo.</w:t>
            </w:r>
          </w:p>
        </w:tc>
      </w:tr>
      <w:tr w:rsidR="007968EC" w:rsidRPr="00207D41" w14:paraId="7A86E7AC" w14:textId="77777777" w:rsidTr="007968EC">
        <w:tc>
          <w:tcPr>
            <w:tcW w:w="1119" w:type="dxa"/>
            <w:tcBorders>
              <w:top w:val="single" w:sz="12" w:space="0" w:color="auto"/>
              <w:left w:val="single" w:sz="12" w:space="0" w:color="auto"/>
              <w:bottom w:val="single" w:sz="12" w:space="0" w:color="auto"/>
              <w:right w:val="single" w:sz="12" w:space="0" w:color="auto"/>
            </w:tcBorders>
            <w:hideMark/>
          </w:tcPr>
          <w:p w14:paraId="7906A86E"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No periódico</w:t>
            </w:r>
          </w:p>
        </w:tc>
        <w:tc>
          <w:tcPr>
            <w:tcW w:w="1570" w:type="dxa"/>
            <w:tcBorders>
              <w:top w:val="single" w:sz="12" w:space="0" w:color="auto"/>
              <w:left w:val="single" w:sz="12" w:space="0" w:color="auto"/>
              <w:bottom w:val="single" w:sz="12" w:space="0" w:color="auto"/>
              <w:right w:val="single" w:sz="12" w:space="0" w:color="auto"/>
            </w:tcBorders>
            <w:hideMark/>
          </w:tcPr>
          <w:p w14:paraId="0F78872A"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Liberación y constitución de Garantías.</w:t>
            </w:r>
          </w:p>
        </w:tc>
        <w:tc>
          <w:tcPr>
            <w:tcW w:w="2552" w:type="dxa"/>
            <w:tcBorders>
              <w:top w:val="single" w:sz="12" w:space="0" w:color="auto"/>
              <w:left w:val="single" w:sz="12" w:space="0" w:color="auto"/>
              <w:bottom w:val="single" w:sz="12" w:space="0" w:color="auto"/>
              <w:right w:val="single" w:sz="12" w:space="0" w:color="auto"/>
            </w:tcBorders>
            <w:hideMark/>
          </w:tcPr>
          <w:p w14:paraId="1DE60BD5"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 xml:space="preserve">Cargo generado por los eventos de liberación y sustitución de Garantías cuando sobrepasa los límites establecidos. </w:t>
            </w:r>
          </w:p>
          <w:p w14:paraId="1D60BF5A" w14:textId="77777777" w:rsidR="007968EC" w:rsidRPr="00207D41" w:rsidRDefault="007968EC" w:rsidP="007968EC">
            <w:pPr>
              <w:jc w:val="both"/>
              <w:rPr>
                <w:rFonts w:ascii="Arial Narrow" w:hAnsi="Arial Narrow" w:cs="Arial"/>
                <w:lang w:val="es-ES" w:eastAsia="es-ES"/>
              </w:rPr>
            </w:pPr>
          </w:p>
        </w:tc>
        <w:tc>
          <w:tcPr>
            <w:tcW w:w="4254" w:type="dxa"/>
            <w:tcBorders>
              <w:top w:val="single" w:sz="12" w:space="0" w:color="auto"/>
              <w:left w:val="single" w:sz="12" w:space="0" w:color="auto"/>
              <w:bottom w:val="single" w:sz="12" w:space="0" w:color="auto"/>
              <w:right w:val="single" w:sz="12" w:space="0" w:color="auto"/>
            </w:tcBorders>
            <w:hideMark/>
          </w:tcPr>
          <w:p w14:paraId="2399926D"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Eventos de liberación y sustitución de Garantías en un mes:</w:t>
            </w:r>
          </w:p>
          <w:p w14:paraId="559311F3"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 xml:space="preserve">    0–25 COP $0</w:t>
            </w:r>
          </w:p>
          <w:p w14:paraId="06247385"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&gt;25–30 COP $1.000</w:t>
            </w:r>
          </w:p>
          <w:p w14:paraId="3F70596F"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&gt;30–50 COP $2.000</w:t>
            </w:r>
          </w:p>
          <w:p w14:paraId="5423BFEE"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&gt;50       COP $5.000</w:t>
            </w:r>
          </w:p>
        </w:tc>
      </w:tr>
      <w:tr w:rsidR="007968EC" w:rsidRPr="00207D41" w14:paraId="0501C133" w14:textId="77777777" w:rsidTr="007968EC">
        <w:tc>
          <w:tcPr>
            <w:tcW w:w="1119" w:type="dxa"/>
            <w:tcBorders>
              <w:top w:val="single" w:sz="12" w:space="0" w:color="auto"/>
              <w:left w:val="single" w:sz="12" w:space="0" w:color="auto"/>
              <w:bottom w:val="single" w:sz="12" w:space="0" w:color="auto"/>
              <w:right w:val="single" w:sz="12" w:space="0" w:color="auto"/>
            </w:tcBorders>
            <w:hideMark/>
          </w:tcPr>
          <w:p w14:paraId="2472A600"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No periódico</w:t>
            </w:r>
          </w:p>
        </w:tc>
        <w:tc>
          <w:tcPr>
            <w:tcW w:w="1570" w:type="dxa"/>
            <w:tcBorders>
              <w:top w:val="single" w:sz="12" w:space="0" w:color="auto"/>
              <w:left w:val="single" w:sz="12" w:space="0" w:color="auto"/>
              <w:bottom w:val="single" w:sz="12" w:space="0" w:color="auto"/>
              <w:right w:val="single" w:sz="12" w:space="0" w:color="auto"/>
            </w:tcBorders>
            <w:hideMark/>
          </w:tcPr>
          <w:p w14:paraId="5D5712DC"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Cambios en la vinculación con Agentes Custodios y de Pago.</w:t>
            </w:r>
          </w:p>
        </w:tc>
        <w:tc>
          <w:tcPr>
            <w:tcW w:w="2552" w:type="dxa"/>
            <w:tcBorders>
              <w:top w:val="single" w:sz="12" w:space="0" w:color="auto"/>
              <w:left w:val="single" w:sz="12" w:space="0" w:color="auto"/>
              <w:bottom w:val="single" w:sz="12" w:space="0" w:color="auto"/>
              <w:right w:val="single" w:sz="12" w:space="0" w:color="auto"/>
            </w:tcBorders>
            <w:hideMark/>
          </w:tcPr>
          <w:p w14:paraId="707B58FC"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Se cobrará una tarifa fija denominada en pesos a aquellos Miembros que en más de una oportunidad al trimestre decidan modificar su situación de custodia de valores o domiciliación de recursos ya sea empleando otros Miembros para desarrollar estas funciones o asumiéndolo ellos mismos.</w:t>
            </w:r>
          </w:p>
          <w:p w14:paraId="4711BE4C" w14:textId="77777777" w:rsidR="007968EC" w:rsidRPr="00207D41" w:rsidRDefault="007968EC" w:rsidP="007968EC">
            <w:pPr>
              <w:jc w:val="both"/>
              <w:rPr>
                <w:rFonts w:ascii="Arial Narrow" w:hAnsi="Arial Narrow" w:cs="Arial"/>
                <w:lang w:val="es-ES" w:eastAsia="es-ES"/>
              </w:rPr>
            </w:pPr>
          </w:p>
        </w:tc>
        <w:tc>
          <w:tcPr>
            <w:tcW w:w="4254" w:type="dxa"/>
            <w:tcBorders>
              <w:top w:val="single" w:sz="12" w:space="0" w:color="auto"/>
              <w:left w:val="single" w:sz="12" w:space="0" w:color="auto"/>
              <w:bottom w:val="single" w:sz="12" w:space="0" w:color="auto"/>
              <w:right w:val="single" w:sz="12" w:space="0" w:color="auto"/>
            </w:tcBorders>
          </w:tcPr>
          <w:p w14:paraId="0EBE421A"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Por evento:</w:t>
            </w:r>
          </w:p>
          <w:p w14:paraId="33FAA6C7" w14:textId="77777777" w:rsidR="007968EC" w:rsidRPr="00207D41" w:rsidRDefault="007968EC" w:rsidP="007968EC">
            <w:pPr>
              <w:jc w:val="both"/>
              <w:rPr>
                <w:rFonts w:ascii="Arial Narrow" w:hAnsi="Arial Narrow" w:cs="Arial"/>
                <w:lang w:val="es-ES" w:eastAsia="es-ES"/>
              </w:rPr>
            </w:pPr>
          </w:p>
          <w:p w14:paraId="31DCF723"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COP $250.000</w:t>
            </w:r>
          </w:p>
        </w:tc>
      </w:tr>
      <w:tr w:rsidR="007968EC" w:rsidRPr="00207D41" w14:paraId="0C26B457" w14:textId="77777777" w:rsidTr="007968EC">
        <w:trPr>
          <w:trHeight w:val="565"/>
        </w:trPr>
        <w:tc>
          <w:tcPr>
            <w:tcW w:w="1119" w:type="dxa"/>
            <w:tcBorders>
              <w:top w:val="single" w:sz="12" w:space="0" w:color="auto"/>
              <w:left w:val="single" w:sz="12" w:space="0" w:color="auto"/>
              <w:bottom w:val="single" w:sz="12" w:space="0" w:color="auto"/>
              <w:right w:val="single" w:sz="12" w:space="0" w:color="auto"/>
            </w:tcBorders>
            <w:hideMark/>
          </w:tcPr>
          <w:p w14:paraId="2F5D7FF2"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No periódico</w:t>
            </w:r>
          </w:p>
        </w:tc>
        <w:tc>
          <w:tcPr>
            <w:tcW w:w="1570" w:type="dxa"/>
            <w:tcBorders>
              <w:top w:val="single" w:sz="12" w:space="0" w:color="auto"/>
              <w:left w:val="single" w:sz="12" w:space="0" w:color="auto"/>
              <w:bottom w:val="single" w:sz="12" w:space="0" w:color="auto"/>
              <w:right w:val="single" w:sz="12" w:space="0" w:color="auto"/>
            </w:tcBorders>
            <w:hideMark/>
          </w:tcPr>
          <w:p w14:paraId="31022628"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Gestión de Garantías por parte de la CÁMARA.</w:t>
            </w:r>
          </w:p>
        </w:tc>
        <w:tc>
          <w:tcPr>
            <w:tcW w:w="2552" w:type="dxa"/>
            <w:tcBorders>
              <w:top w:val="single" w:sz="12" w:space="0" w:color="auto"/>
              <w:left w:val="single" w:sz="12" w:space="0" w:color="auto"/>
              <w:bottom w:val="single" w:sz="12" w:space="0" w:color="auto"/>
              <w:right w:val="single" w:sz="12" w:space="0" w:color="auto"/>
            </w:tcBorders>
            <w:hideMark/>
          </w:tcPr>
          <w:p w14:paraId="3A7E8BB2"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Se genera en el momento en que la CÁMARA debe gestionar la constitución de Garantías por parte de un Miembro, en momentos diferentes a la solicitud de Garantías extraordinarias.</w:t>
            </w:r>
          </w:p>
          <w:p w14:paraId="23C20A3A"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 xml:space="preserve">Cuando algún funcionario de la CÁMARA deba comunicarse con el Miembro para solicitar la constitución regular de Garantías, le dará un plazo </w:t>
            </w:r>
            <w:r w:rsidRPr="00207D41">
              <w:rPr>
                <w:rFonts w:ascii="Arial Narrow" w:hAnsi="Arial Narrow" w:cs="Arial"/>
                <w:lang w:val="es-ES" w:eastAsia="es-ES"/>
              </w:rPr>
              <w:lastRenderedPageBreak/>
              <w:t>para realizar dicha acción. Al finalizar este plazo si el Miembro no ha constituido las Garantías y requiere insistencia por parte de la CÁMARA, se generará un cobro equivalente a un valor porcentual del monto requerido en garantía.</w:t>
            </w:r>
          </w:p>
          <w:p w14:paraId="660F0F63" w14:textId="77777777" w:rsidR="007968EC" w:rsidRPr="00207D41" w:rsidRDefault="007968EC" w:rsidP="007968EC">
            <w:pPr>
              <w:jc w:val="both"/>
              <w:rPr>
                <w:rFonts w:ascii="Arial Narrow" w:hAnsi="Arial Narrow" w:cs="Arial"/>
                <w:lang w:val="es-ES" w:eastAsia="es-ES"/>
              </w:rPr>
            </w:pPr>
          </w:p>
        </w:tc>
        <w:tc>
          <w:tcPr>
            <w:tcW w:w="4254" w:type="dxa"/>
            <w:tcBorders>
              <w:top w:val="single" w:sz="12" w:space="0" w:color="auto"/>
              <w:left w:val="single" w:sz="12" w:space="0" w:color="auto"/>
              <w:bottom w:val="single" w:sz="12" w:space="0" w:color="auto"/>
              <w:right w:val="single" w:sz="12" w:space="0" w:color="auto"/>
            </w:tcBorders>
            <w:hideMark/>
          </w:tcPr>
          <w:p w14:paraId="6ACE2B45"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lastRenderedPageBreak/>
              <w:t>Sobre saldo de Garantías solicitado</w:t>
            </w:r>
          </w:p>
          <w:p w14:paraId="025EDBE6"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0.15%</w:t>
            </w:r>
          </w:p>
        </w:tc>
      </w:tr>
      <w:tr w:rsidR="007968EC" w:rsidRPr="00207D41" w14:paraId="03A86E0A" w14:textId="77777777" w:rsidTr="007968EC">
        <w:trPr>
          <w:trHeight w:val="565"/>
        </w:trPr>
        <w:tc>
          <w:tcPr>
            <w:tcW w:w="1119" w:type="dxa"/>
            <w:tcBorders>
              <w:top w:val="single" w:sz="12" w:space="0" w:color="auto"/>
              <w:left w:val="single" w:sz="12" w:space="0" w:color="auto"/>
              <w:bottom w:val="single" w:sz="12" w:space="0" w:color="auto"/>
              <w:right w:val="single" w:sz="12" w:space="0" w:color="auto"/>
            </w:tcBorders>
            <w:hideMark/>
          </w:tcPr>
          <w:p w14:paraId="43E12069"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No periódico</w:t>
            </w:r>
          </w:p>
        </w:tc>
        <w:tc>
          <w:tcPr>
            <w:tcW w:w="1570" w:type="dxa"/>
            <w:tcBorders>
              <w:top w:val="single" w:sz="12" w:space="0" w:color="auto"/>
              <w:left w:val="single" w:sz="12" w:space="0" w:color="auto"/>
              <w:bottom w:val="single" w:sz="12" w:space="0" w:color="auto"/>
              <w:right w:val="single" w:sz="12" w:space="0" w:color="auto"/>
            </w:tcBorders>
            <w:hideMark/>
          </w:tcPr>
          <w:p w14:paraId="2EA52C76"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Extensión de Horarios para Sesión de Gestión de Garantías</w:t>
            </w:r>
          </w:p>
        </w:tc>
        <w:tc>
          <w:tcPr>
            <w:tcW w:w="2552" w:type="dxa"/>
            <w:tcBorders>
              <w:top w:val="single" w:sz="12" w:space="0" w:color="auto"/>
              <w:left w:val="single" w:sz="12" w:space="0" w:color="auto"/>
              <w:bottom w:val="single" w:sz="12" w:space="0" w:color="auto"/>
              <w:right w:val="single" w:sz="12" w:space="0" w:color="auto"/>
            </w:tcBorders>
            <w:hideMark/>
          </w:tcPr>
          <w:p w14:paraId="11A76AA2" w14:textId="77777777" w:rsidR="007968EC" w:rsidRPr="00207D41" w:rsidRDefault="007968EC" w:rsidP="007968EC">
            <w:pPr>
              <w:jc w:val="both"/>
              <w:rPr>
                <w:rFonts w:ascii="Arial Narrow" w:hAnsi="Arial Narrow" w:cs="Arial"/>
                <w:lang w:val="es-ES" w:eastAsia="es-ES"/>
              </w:rPr>
            </w:pPr>
            <w:r w:rsidRPr="00207D41">
              <w:rPr>
                <w:rFonts w:ascii="Arial Narrow" w:hAnsi="Arial Narrow" w:cs="Arial"/>
                <w:lang w:val="es-ES" w:eastAsia="es-ES"/>
              </w:rPr>
              <w:t>Se genera al momento de la solicitud por parte del Miembro de la extensión de la Sesión de Gestión de Garantías para la constitución y/o liberación de Garantías.</w:t>
            </w:r>
          </w:p>
        </w:tc>
        <w:tc>
          <w:tcPr>
            <w:tcW w:w="4254" w:type="dxa"/>
            <w:tcBorders>
              <w:top w:val="single" w:sz="12" w:space="0" w:color="auto"/>
              <w:left w:val="single" w:sz="12" w:space="0" w:color="auto"/>
              <w:bottom w:val="single" w:sz="12" w:space="0" w:color="auto"/>
              <w:right w:val="single" w:sz="12" w:space="0" w:color="auto"/>
            </w:tcBorders>
            <w:hideMark/>
          </w:tcPr>
          <w:p w14:paraId="5EB2926E" w14:textId="77777777" w:rsidR="007968EC" w:rsidRPr="00207D41" w:rsidRDefault="007968EC" w:rsidP="007968EC">
            <w:pPr>
              <w:autoSpaceDE w:val="0"/>
              <w:autoSpaceDN w:val="0"/>
              <w:adjustRightInd w:val="0"/>
              <w:jc w:val="both"/>
              <w:rPr>
                <w:rFonts w:ascii="Arial Narrow" w:hAnsi="Arial Narrow" w:cs="Arial"/>
                <w:lang w:val="es-ES" w:eastAsia="es-ES"/>
              </w:rPr>
            </w:pPr>
            <w:r w:rsidRPr="00207D41">
              <w:rPr>
                <w:rFonts w:ascii="Arial Narrow" w:hAnsi="Arial Narrow" w:cs="Arial"/>
                <w:lang w:val="es-ES" w:eastAsia="es-ES"/>
              </w:rPr>
              <w:t>Dos (2) salarios mínimos mensuales legales vigentes (SMMLV) por cada hora o fracción de extensión de horario. En caso de solicitarse la extensión de la Sesión de Gestión de Garantías para la constitución y liberación de Garantías de manera conjunta, la tarifa se cobrará una (1) sola vez, por cada hora o fracción de extensión de horario.</w:t>
            </w:r>
          </w:p>
        </w:tc>
      </w:tr>
      <w:bookmarkEnd w:id="3145"/>
    </w:tbl>
    <w:p w14:paraId="6F923492" w14:textId="77777777" w:rsidR="007968EC" w:rsidRPr="0027300F" w:rsidRDefault="007968EC" w:rsidP="007968EC">
      <w:pPr>
        <w:jc w:val="both"/>
        <w:rPr>
          <w:rFonts w:ascii="Arial Narrow" w:hAnsi="Arial Narrow" w:cs="Arial"/>
          <w:color w:val="000000" w:themeColor="text1"/>
          <w:lang w:eastAsia="es-ES"/>
        </w:rPr>
      </w:pPr>
    </w:p>
    <w:p w14:paraId="56F7B50E" w14:textId="77777777" w:rsidR="007968EC" w:rsidRDefault="007968EC" w:rsidP="007968EC">
      <w:pPr>
        <w:pStyle w:val="ARTICULO0"/>
      </w:pPr>
      <w:bookmarkStart w:id="3147" w:name="_Toc472592230"/>
      <w:bookmarkStart w:id="3148" w:name="_Toc472593249"/>
      <w:bookmarkStart w:id="3149" w:name="_Toc479057035"/>
      <w:bookmarkStart w:id="3150" w:name="_Toc31716049"/>
      <w:bookmarkStart w:id="3151" w:name="_Toc470775560"/>
      <w:bookmarkStart w:id="3152" w:name="_Toc470779845"/>
      <w:bookmarkStart w:id="3153" w:name="_Toc470780462"/>
      <w:bookmarkStart w:id="3154" w:name="_Toc470780975"/>
      <w:bookmarkStart w:id="3155" w:name="_Toc470784536"/>
      <w:bookmarkStart w:id="3156" w:name="_Toc470785073"/>
      <w:bookmarkStart w:id="3157" w:name="_Toc470791459"/>
      <w:bookmarkStart w:id="3158" w:name="_Toc490066363"/>
      <w:r w:rsidRPr="002C0D19">
        <w:t>Artículo 1.10.1.2. Cobro de Tarifas.</w:t>
      </w:r>
      <w:bookmarkEnd w:id="3147"/>
      <w:bookmarkEnd w:id="3148"/>
      <w:bookmarkEnd w:id="3149"/>
      <w:bookmarkEnd w:id="3150"/>
      <w:r w:rsidRPr="002C0D19">
        <w:t xml:space="preserve"> </w:t>
      </w:r>
    </w:p>
    <w:p w14:paraId="77E9C934" w14:textId="77777777" w:rsidR="007968EC" w:rsidRPr="000E6636" w:rsidRDefault="007968EC" w:rsidP="007968EC">
      <w:pPr>
        <w:autoSpaceDE w:val="0"/>
        <w:autoSpaceDN w:val="0"/>
        <w:jc w:val="both"/>
        <w:rPr>
          <w:rFonts w:ascii="Arial Narrow" w:hAnsi="Arial Narrow" w:cs="Arial"/>
          <w:b/>
          <w:bCs/>
          <w:color w:val="000000" w:themeColor="text1"/>
          <w:lang w:eastAsia="es-ES"/>
        </w:rPr>
      </w:pPr>
    </w:p>
    <w:p w14:paraId="5ED8B80A" w14:textId="77777777" w:rsidR="007968EC" w:rsidRPr="002C0D19" w:rsidRDefault="007968EC" w:rsidP="007968EC">
      <w:pPr>
        <w:pStyle w:val="ANTECEDENTES"/>
        <w:rPr>
          <w:lang w:val="es-ES"/>
        </w:rPr>
      </w:pPr>
      <w:r w:rsidRPr="002C0D19">
        <w:t xml:space="preserve">(Este artículo fue adicionado mediante Circular 15 del 16 de octubre de 2009, publicada en el Boletín Normativo No. 019 del 16 de octubre de 2009, modificado mediante Circular 12 del 4 de julio de 2014, publicada en el Boletín Normativo No. 014 del 4 de julio de 2014 y mediante Circular 22 del 14 de noviembre de 2014, publicada en el Boletín Normativo No. 025 del 14 de noviembre de 2014, renumerado mediante </w:t>
      </w:r>
      <w:r w:rsidRPr="002C0D19">
        <w:rPr>
          <w:lang w:val="es-ES"/>
        </w:rPr>
        <w:t xml:space="preserve">Circular 19 del 28 de diciembre de 2016, publicada en el Boletín Normativo No. 024 del 28 de diciembre de 2016 </w:t>
      </w:r>
      <w:bookmarkEnd w:id="3151"/>
      <w:bookmarkEnd w:id="3152"/>
      <w:bookmarkEnd w:id="3153"/>
      <w:bookmarkEnd w:id="3154"/>
      <w:bookmarkEnd w:id="3155"/>
      <w:bookmarkEnd w:id="3156"/>
      <w:bookmarkEnd w:id="3157"/>
      <w:r w:rsidRPr="002C0D19">
        <w:rPr>
          <w:lang w:val="es-ES"/>
        </w:rPr>
        <w:t>y modificado</w:t>
      </w:r>
      <w:r w:rsidRPr="002C0D19">
        <w:t xml:space="preserve"> mediante Circular 2 del 11 de enero de 2017, publicada en el Boletín Normativo No. 002 del 11 de enero de 2017. Rige a partir del 12 de enero de 2017.)</w:t>
      </w:r>
      <w:bookmarkEnd w:id="3158"/>
    </w:p>
    <w:p w14:paraId="3B19440E" w14:textId="77777777" w:rsidR="007968EC" w:rsidRPr="002C0D19" w:rsidRDefault="007968EC" w:rsidP="007968EC">
      <w:pPr>
        <w:rPr>
          <w:rFonts w:ascii="Arial Narrow" w:hAnsi="Arial Narrow" w:cs="Arial"/>
          <w:b/>
          <w:color w:val="000000" w:themeColor="text1"/>
          <w:lang w:eastAsia="es-ES"/>
        </w:rPr>
      </w:pPr>
    </w:p>
    <w:p w14:paraId="5354A08E" w14:textId="77777777" w:rsidR="007968EC" w:rsidRPr="002C0D19" w:rsidRDefault="007968EC" w:rsidP="007968EC">
      <w:pPr>
        <w:autoSpaceDE w:val="0"/>
        <w:autoSpaceDN w:val="0"/>
        <w:jc w:val="both"/>
        <w:rPr>
          <w:rFonts w:ascii="Arial Narrow" w:hAnsi="Arial Narrow" w:cs="Arial"/>
          <w:bCs/>
          <w:iCs/>
          <w:color w:val="000000" w:themeColor="text1"/>
          <w:lang w:val="es-ES" w:eastAsia="es-ES"/>
        </w:rPr>
      </w:pPr>
      <w:r w:rsidRPr="002C0D19">
        <w:rPr>
          <w:rFonts w:ascii="Arial Narrow" w:hAnsi="Arial Narrow" w:cs="Arial"/>
          <w:bCs/>
          <w:iCs/>
          <w:color w:val="000000" w:themeColor="text1"/>
          <w:lang w:val="es-ES" w:eastAsia="es-ES"/>
        </w:rPr>
        <w:t>La Cámara cobrará el valor de las siguientes tarifas descritas en el artículo anterior, empleando el mismo procedimiento previsto en el artículo 2.4.2.4. de la presente Circular, para lo cual incorporará en las órdenes de transferencia respectivas, la solicitud de débito de dinero efectivo de las cuentas de depósito de los Agentes de Pago o Miembros Liquidadores, para ser acreditado a la cuenta de la Cámara en el Banco de la República:</w:t>
      </w:r>
    </w:p>
    <w:p w14:paraId="70A04EC2" w14:textId="77777777" w:rsidR="007968EC" w:rsidRPr="002C0D19" w:rsidRDefault="007968EC" w:rsidP="007968EC">
      <w:pPr>
        <w:autoSpaceDE w:val="0"/>
        <w:autoSpaceDN w:val="0"/>
        <w:adjustRightInd w:val="0"/>
        <w:jc w:val="both"/>
        <w:rPr>
          <w:rFonts w:ascii="Arial Narrow" w:hAnsi="Arial Narrow" w:cs="Arial"/>
          <w:bCs/>
          <w:iCs/>
          <w:color w:val="000000" w:themeColor="text1"/>
          <w:lang w:val="es-ES" w:eastAsia="es-ES"/>
        </w:rPr>
      </w:pPr>
    </w:p>
    <w:p w14:paraId="50FA6D40" w14:textId="77777777" w:rsidR="007968EC" w:rsidRPr="002C0D19" w:rsidRDefault="007968EC" w:rsidP="00DA7472">
      <w:pPr>
        <w:numPr>
          <w:ilvl w:val="0"/>
          <w:numId w:val="56"/>
        </w:numPr>
        <w:jc w:val="both"/>
        <w:rPr>
          <w:rFonts w:ascii="Arial Narrow" w:hAnsi="Arial Narrow" w:cs="Arial"/>
          <w:bCs/>
          <w:iCs/>
          <w:color w:val="000000" w:themeColor="text1"/>
          <w:lang w:val="es-ES" w:eastAsia="es-ES"/>
        </w:rPr>
      </w:pPr>
      <w:r w:rsidRPr="002C0D19">
        <w:rPr>
          <w:rFonts w:ascii="Arial Narrow" w:hAnsi="Arial Narrow" w:cs="Arial"/>
          <w:bCs/>
          <w:iCs/>
          <w:color w:val="000000" w:themeColor="text1"/>
          <w:lang w:val="es-ES" w:eastAsia="es-ES"/>
        </w:rPr>
        <w:t>Compensación y Liquidación.</w:t>
      </w:r>
    </w:p>
    <w:p w14:paraId="323E04FF" w14:textId="77777777" w:rsidR="007968EC" w:rsidRPr="002C0D19" w:rsidRDefault="007968EC" w:rsidP="00DA7472">
      <w:pPr>
        <w:numPr>
          <w:ilvl w:val="0"/>
          <w:numId w:val="56"/>
        </w:numPr>
        <w:jc w:val="both"/>
        <w:rPr>
          <w:rFonts w:ascii="Arial Narrow" w:hAnsi="Arial Narrow" w:cs="Arial"/>
          <w:bCs/>
          <w:iCs/>
          <w:color w:val="000000" w:themeColor="text1"/>
          <w:lang w:val="es-ES" w:eastAsia="es-ES"/>
        </w:rPr>
      </w:pPr>
      <w:r w:rsidRPr="002C0D19">
        <w:rPr>
          <w:rFonts w:ascii="Arial Narrow" w:hAnsi="Arial Narrow" w:cs="Arial"/>
          <w:bCs/>
          <w:iCs/>
          <w:color w:val="000000" w:themeColor="text1"/>
          <w:lang w:val="es-ES" w:eastAsia="es-ES"/>
        </w:rPr>
        <w:t>Identificación y Entrega.</w:t>
      </w:r>
    </w:p>
    <w:p w14:paraId="10526ED3" w14:textId="77777777" w:rsidR="007968EC" w:rsidRPr="002C0D19" w:rsidRDefault="007968EC" w:rsidP="00DA7472">
      <w:pPr>
        <w:numPr>
          <w:ilvl w:val="0"/>
          <w:numId w:val="56"/>
        </w:numPr>
        <w:jc w:val="both"/>
        <w:rPr>
          <w:rFonts w:ascii="Arial Narrow" w:hAnsi="Arial Narrow" w:cs="Arial"/>
          <w:bCs/>
          <w:iCs/>
          <w:color w:val="000000" w:themeColor="text1"/>
          <w:lang w:val="es-ES" w:eastAsia="es-ES"/>
        </w:rPr>
      </w:pPr>
      <w:r w:rsidRPr="002C0D19">
        <w:rPr>
          <w:rFonts w:ascii="Arial Narrow" w:hAnsi="Arial Narrow" w:cs="Arial"/>
          <w:bCs/>
          <w:iCs/>
          <w:color w:val="000000" w:themeColor="text1"/>
          <w:lang w:val="es-ES" w:eastAsia="es-ES"/>
        </w:rPr>
        <w:t>Operaciones de gestión de t+1 en adelante.</w:t>
      </w:r>
    </w:p>
    <w:p w14:paraId="4572535E" w14:textId="77777777" w:rsidR="007968EC" w:rsidRPr="002C0D19" w:rsidRDefault="007968EC" w:rsidP="00DA7472">
      <w:pPr>
        <w:numPr>
          <w:ilvl w:val="0"/>
          <w:numId w:val="56"/>
        </w:numPr>
        <w:jc w:val="both"/>
        <w:rPr>
          <w:rFonts w:ascii="Arial Narrow" w:hAnsi="Arial Narrow" w:cs="Arial"/>
          <w:bCs/>
          <w:iCs/>
          <w:color w:val="000000" w:themeColor="text1"/>
          <w:lang w:val="es-ES" w:eastAsia="es-ES"/>
        </w:rPr>
      </w:pPr>
      <w:r w:rsidRPr="002C0D19">
        <w:rPr>
          <w:rFonts w:ascii="Arial Narrow" w:hAnsi="Arial Narrow" w:cs="Arial"/>
          <w:bCs/>
          <w:iCs/>
          <w:color w:val="000000" w:themeColor="text1"/>
          <w:lang w:val="es-ES" w:eastAsia="es-ES"/>
        </w:rPr>
        <w:t>Empleo de Cuenta Residual.</w:t>
      </w:r>
    </w:p>
    <w:p w14:paraId="4DF51843" w14:textId="77777777" w:rsidR="007968EC" w:rsidRPr="002C0D19" w:rsidRDefault="007968EC" w:rsidP="00DA7472">
      <w:pPr>
        <w:numPr>
          <w:ilvl w:val="0"/>
          <w:numId w:val="56"/>
        </w:numPr>
        <w:jc w:val="both"/>
        <w:rPr>
          <w:rFonts w:ascii="Arial Narrow" w:hAnsi="Arial Narrow" w:cs="Arial"/>
          <w:bCs/>
          <w:iCs/>
          <w:color w:val="000000" w:themeColor="text1"/>
          <w:lang w:val="es-ES" w:eastAsia="es-ES"/>
        </w:rPr>
      </w:pPr>
      <w:r w:rsidRPr="002C0D19">
        <w:rPr>
          <w:rFonts w:ascii="Arial Narrow" w:hAnsi="Arial Narrow" w:cs="Arial"/>
          <w:bCs/>
          <w:iCs/>
          <w:color w:val="000000" w:themeColor="text1"/>
          <w:lang w:val="es-ES" w:eastAsia="es-ES"/>
        </w:rPr>
        <w:t>Retardo en el pago de la Liquidación.</w:t>
      </w:r>
    </w:p>
    <w:p w14:paraId="4EB09762" w14:textId="77777777" w:rsidR="007968EC" w:rsidRPr="002C0D19" w:rsidRDefault="007968EC" w:rsidP="00DA7472">
      <w:pPr>
        <w:numPr>
          <w:ilvl w:val="0"/>
          <w:numId w:val="56"/>
        </w:numPr>
        <w:jc w:val="both"/>
        <w:rPr>
          <w:rFonts w:ascii="Arial Narrow" w:hAnsi="Arial Narrow" w:cs="Arial"/>
          <w:bCs/>
          <w:iCs/>
          <w:color w:val="000000" w:themeColor="text1"/>
          <w:lang w:val="es-ES" w:eastAsia="es-ES"/>
        </w:rPr>
      </w:pPr>
      <w:r w:rsidRPr="002C0D19">
        <w:rPr>
          <w:rFonts w:ascii="Arial Narrow" w:hAnsi="Arial Narrow" w:cs="Arial"/>
          <w:bCs/>
          <w:iCs/>
          <w:color w:val="000000" w:themeColor="text1"/>
          <w:lang w:val="es-ES" w:eastAsia="es-ES"/>
        </w:rPr>
        <w:t>Liberación y Constitución de Garantías.</w:t>
      </w:r>
    </w:p>
    <w:p w14:paraId="67AC6AA8" w14:textId="77777777" w:rsidR="007968EC" w:rsidRPr="002C0D19" w:rsidRDefault="007968EC" w:rsidP="00DA7472">
      <w:pPr>
        <w:numPr>
          <w:ilvl w:val="0"/>
          <w:numId w:val="56"/>
        </w:numPr>
        <w:jc w:val="both"/>
        <w:rPr>
          <w:rFonts w:ascii="Arial Narrow" w:hAnsi="Arial Narrow" w:cs="Arial"/>
          <w:bCs/>
          <w:iCs/>
          <w:color w:val="000000" w:themeColor="text1"/>
          <w:lang w:val="es-ES" w:eastAsia="es-ES"/>
        </w:rPr>
      </w:pPr>
      <w:r w:rsidRPr="002C0D19">
        <w:rPr>
          <w:rFonts w:ascii="Arial Narrow" w:hAnsi="Arial Narrow" w:cs="Arial"/>
          <w:bCs/>
          <w:iCs/>
          <w:color w:val="000000" w:themeColor="text1"/>
          <w:lang w:val="es-ES" w:eastAsia="es-ES"/>
        </w:rPr>
        <w:lastRenderedPageBreak/>
        <w:t>Cambios en la Vinculación con Agentes Custodios y de Pago.</w:t>
      </w:r>
    </w:p>
    <w:p w14:paraId="5C84A9FD" w14:textId="77777777" w:rsidR="007968EC" w:rsidRPr="002C0D19" w:rsidRDefault="007968EC" w:rsidP="00DA7472">
      <w:pPr>
        <w:numPr>
          <w:ilvl w:val="0"/>
          <w:numId w:val="56"/>
        </w:numPr>
        <w:jc w:val="both"/>
        <w:rPr>
          <w:rFonts w:ascii="Arial Narrow" w:hAnsi="Arial Narrow" w:cs="Arial"/>
          <w:color w:val="000000" w:themeColor="text1"/>
          <w:lang w:eastAsia="es-ES"/>
        </w:rPr>
      </w:pPr>
      <w:r w:rsidRPr="002C0D19">
        <w:rPr>
          <w:rFonts w:ascii="Arial Narrow" w:hAnsi="Arial Narrow" w:cs="Arial"/>
          <w:bCs/>
          <w:iCs/>
          <w:color w:val="000000" w:themeColor="text1"/>
          <w:lang w:val="es-ES" w:eastAsia="es-ES"/>
        </w:rPr>
        <w:t>Gestión de Garantías por parte de la Cámara.</w:t>
      </w:r>
    </w:p>
    <w:p w14:paraId="687A2B85" w14:textId="77777777" w:rsidR="007968EC" w:rsidRPr="002C0D19" w:rsidRDefault="007968EC" w:rsidP="00DA7472">
      <w:pPr>
        <w:numPr>
          <w:ilvl w:val="0"/>
          <w:numId w:val="56"/>
        </w:numPr>
        <w:rPr>
          <w:rFonts w:ascii="Arial Narrow" w:hAnsi="Arial Narrow" w:cs="Arial"/>
          <w:color w:val="000000" w:themeColor="text1"/>
          <w:lang w:eastAsia="es-ES"/>
        </w:rPr>
      </w:pPr>
      <w:r w:rsidRPr="002C0D19">
        <w:rPr>
          <w:rFonts w:ascii="Arial Narrow" w:hAnsi="Arial Narrow" w:cs="Arial"/>
          <w:color w:val="000000" w:themeColor="text1"/>
          <w:lang w:eastAsia="es-ES"/>
        </w:rPr>
        <w:t>Tarifa por Administración de Inversión de Garantías constituidas en efectivo.</w:t>
      </w:r>
    </w:p>
    <w:p w14:paraId="31E47AA3" w14:textId="77777777" w:rsidR="007968EC" w:rsidRPr="002C0D19" w:rsidRDefault="007968EC" w:rsidP="007968EC">
      <w:pPr>
        <w:jc w:val="center"/>
        <w:rPr>
          <w:rFonts w:ascii="Arial Narrow" w:hAnsi="Arial Narrow" w:cs="Arial"/>
          <w:color w:val="000000" w:themeColor="text1"/>
          <w:lang w:eastAsia="es-ES"/>
        </w:rPr>
      </w:pPr>
    </w:p>
    <w:p w14:paraId="25419995"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b/>
          <w:color w:val="000000" w:themeColor="text1"/>
          <w:lang w:eastAsia="es-ES"/>
        </w:rPr>
        <w:t>Parágrafo.</w:t>
      </w:r>
      <w:r w:rsidRPr="002C0D19">
        <w:rPr>
          <w:rFonts w:ascii="Arial Narrow" w:hAnsi="Arial Narrow" w:cs="Arial"/>
          <w:color w:val="000000" w:themeColor="text1"/>
          <w:lang w:eastAsia="es-ES"/>
        </w:rPr>
        <w:t xml:space="preserve"> En el caso </w:t>
      </w:r>
      <w:r w:rsidRPr="002C0D19">
        <w:rPr>
          <w:rFonts w:ascii="Arial Narrow" w:hAnsi="Arial Narrow" w:cs="Arial"/>
          <w:bCs/>
          <w:iCs/>
          <w:color w:val="000000" w:themeColor="text1"/>
          <w:lang w:val="es-ES" w:eastAsia="es-ES"/>
        </w:rPr>
        <w:t xml:space="preserve">de la Nación - Ministerio de Hacienda y Crédito Público el valor de las tarifas se cobrará mediante facturas expedidas por la Cámara. </w:t>
      </w:r>
    </w:p>
    <w:p w14:paraId="60AD9EDA" w14:textId="77777777" w:rsidR="007968EC" w:rsidRPr="002C0D19" w:rsidRDefault="007968EC" w:rsidP="007968EC">
      <w:pPr>
        <w:jc w:val="center"/>
        <w:rPr>
          <w:rFonts w:ascii="Arial Narrow" w:hAnsi="Arial Narrow" w:cs="Arial"/>
          <w:color w:val="000000" w:themeColor="text1"/>
          <w:lang w:eastAsia="es-ES"/>
        </w:rPr>
      </w:pPr>
    </w:p>
    <w:p w14:paraId="7FB3F419" w14:textId="77777777" w:rsidR="007968EC" w:rsidRDefault="007968EC" w:rsidP="007968EC">
      <w:pPr>
        <w:keepNext/>
        <w:jc w:val="center"/>
        <w:outlineLvl w:val="0"/>
        <w:rPr>
          <w:rFonts w:ascii="Arial Narrow" w:hAnsi="Arial Narrow" w:cs="Arial"/>
          <w:b/>
          <w:kern w:val="32"/>
          <w:szCs w:val="20"/>
          <w:lang w:val="es-ES" w:eastAsia="es-ES"/>
        </w:rPr>
      </w:pPr>
      <w:bookmarkStart w:id="3159" w:name="_Toc470775561"/>
      <w:bookmarkStart w:id="3160" w:name="_Toc470779846"/>
      <w:bookmarkStart w:id="3161" w:name="_Toc470780463"/>
      <w:bookmarkStart w:id="3162" w:name="_Toc470780976"/>
      <w:bookmarkStart w:id="3163" w:name="_Toc470784537"/>
      <w:bookmarkStart w:id="3164" w:name="_Toc470785074"/>
      <w:bookmarkStart w:id="3165" w:name="_Toc470791460"/>
      <w:bookmarkStart w:id="3166" w:name="_Toc472592231"/>
      <w:bookmarkStart w:id="3167" w:name="_Toc472593250"/>
      <w:bookmarkStart w:id="3168" w:name="_Toc479057036"/>
      <w:bookmarkStart w:id="3169" w:name="_Toc490066364"/>
    </w:p>
    <w:p w14:paraId="35A85A4B" w14:textId="77777777" w:rsidR="007968EC" w:rsidRPr="002C0D19" w:rsidRDefault="007968EC" w:rsidP="007968EC">
      <w:pPr>
        <w:pStyle w:val="TTULO"/>
        <w:rPr>
          <w:lang w:val="es-ES"/>
        </w:rPr>
      </w:pPr>
      <w:bookmarkStart w:id="3170" w:name="_Toc31716050"/>
      <w:r w:rsidRPr="002C0D19">
        <w:rPr>
          <w:lang w:val="es-ES"/>
        </w:rPr>
        <w:t>TÍTULO DÉCIMO PRIMERO</w:t>
      </w:r>
      <w:bookmarkEnd w:id="3159"/>
      <w:bookmarkEnd w:id="3160"/>
      <w:bookmarkEnd w:id="3161"/>
      <w:bookmarkEnd w:id="3162"/>
      <w:bookmarkEnd w:id="3163"/>
      <w:bookmarkEnd w:id="3164"/>
      <w:bookmarkEnd w:id="3165"/>
      <w:bookmarkEnd w:id="3166"/>
      <w:bookmarkEnd w:id="3167"/>
      <w:bookmarkEnd w:id="3168"/>
      <w:bookmarkEnd w:id="3169"/>
      <w:bookmarkEnd w:id="3170"/>
    </w:p>
    <w:p w14:paraId="169CC8CA" w14:textId="77777777" w:rsidR="007968EC" w:rsidRPr="002C0D19" w:rsidRDefault="007968EC" w:rsidP="007968EC">
      <w:pPr>
        <w:pStyle w:val="TTULO"/>
        <w:rPr>
          <w:lang w:val="es-ES"/>
        </w:rPr>
      </w:pPr>
    </w:p>
    <w:p w14:paraId="17CFA32F" w14:textId="77777777" w:rsidR="007968EC" w:rsidRPr="002C0D19" w:rsidRDefault="007968EC" w:rsidP="007968EC">
      <w:pPr>
        <w:pStyle w:val="TTULO"/>
        <w:rPr>
          <w:lang w:val="es-ES"/>
        </w:rPr>
      </w:pPr>
      <w:bookmarkStart w:id="3171" w:name="_Toc470775562"/>
      <w:bookmarkStart w:id="3172" w:name="_Toc470779847"/>
      <w:bookmarkStart w:id="3173" w:name="_Toc470780464"/>
      <w:bookmarkStart w:id="3174" w:name="_Toc470780977"/>
      <w:bookmarkStart w:id="3175" w:name="_Toc470784538"/>
      <w:bookmarkStart w:id="3176" w:name="_Toc470785075"/>
      <w:bookmarkStart w:id="3177" w:name="_Toc470791461"/>
      <w:bookmarkStart w:id="3178" w:name="_Toc472592232"/>
      <w:bookmarkStart w:id="3179" w:name="_Toc472593251"/>
      <w:bookmarkStart w:id="3180" w:name="_Toc479057037"/>
      <w:bookmarkStart w:id="3181" w:name="_Toc490066365"/>
      <w:bookmarkStart w:id="3182" w:name="_Toc31716051"/>
      <w:r w:rsidRPr="002C0D19">
        <w:rPr>
          <w:lang w:val="es-ES"/>
        </w:rPr>
        <w:t>CAPÍTULO PRIMERO</w:t>
      </w:r>
      <w:bookmarkEnd w:id="3171"/>
      <w:bookmarkEnd w:id="3172"/>
      <w:bookmarkEnd w:id="3173"/>
      <w:bookmarkEnd w:id="3174"/>
      <w:bookmarkEnd w:id="3175"/>
      <w:bookmarkEnd w:id="3176"/>
      <w:bookmarkEnd w:id="3177"/>
      <w:bookmarkEnd w:id="3178"/>
      <w:bookmarkEnd w:id="3179"/>
      <w:bookmarkEnd w:id="3180"/>
      <w:bookmarkEnd w:id="3181"/>
      <w:bookmarkEnd w:id="3182"/>
    </w:p>
    <w:p w14:paraId="13B40596" w14:textId="77777777" w:rsidR="007968EC" w:rsidRPr="002C0D19" w:rsidRDefault="007968EC" w:rsidP="007968EC">
      <w:pPr>
        <w:pStyle w:val="TTULO"/>
        <w:rPr>
          <w:lang w:val="es-ES"/>
        </w:rPr>
      </w:pPr>
    </w:p>
    <w:p w14:paraId="7C471837" w14:textId="77777777" w:rsidR="007968EC" w:rsidRPr="002C0D19" w:rsidRDefault="007968EC" w:rsidP="007968EC">
      <w:pPr>
        <w:pStyle w:val="TTULO"/>
        <w:rPr>
          <w:lang w:val="es-ES"/>
        </w:rPr>
      </w:pPr>
      <w:bookmarkStart w:id="3183" w:name="_Toc470775563"/>
      <w:bookmarkStart w:id="3184" w:name="_Toc470779848"/>
      <w:bookmarkStart w:id="3185" w:name="_Toc470780465"/>
      <w:bookmarkStart w:id="3186" w:name="_Toc470780978"/>
      <w:bookmarkStart w:id="3187" w:name="_Toc470784539"/>
      <w:bookmarkStart w:id="3188" w:name="_Toc470785076"/>
      <w:bookmarkStart w:id="3189" w:name="_Toc470791462"/>
      <w:bookmarkStart w:id="3190" w:name="_Toc472592233"/>
      <w:bookmarkStart w:id="3191" w:name="_Toc472593252"/>
      <w:bookmarkStart w:id="3192" w:name="_Toc479057038"/>
      <w:bookmarkStart w:id="3193" w:name="_Toc490066366"/>
      <w:bookmarkStart w:id="3194" w:name="_Toc31716052"/>
      <w:r w:rsidRPr="002C0D19">
        <w:rPr>
          <w:lang w:val="es-ES"/>
        </w:rPr>
        <w:t>APLICACIÓN DEL SISTEMA DE PREVENCIÓN Y CONTROL DE LAVADO DE ACTIVOS</w:t>
      </w:r>
      <w:bookmarkEnd w:id="3183"/>
      <w:bookmarkEnd w:id="3184"/>
      <w:bookmarkEnd w:id="3185"/>
      <w:bookmarkEnd w:id="3186"/>
      <w:bookmarkEnd w:id="3187"/>
      <w:bookmarkEnd w:id="3188"/>
      <w:bookmarkEnd w:id="3189"/>
      <w:bookmarkEnd w:id="3190"/>
      <w:bookmarkEnd w:id="3191"/>
      <w:bookmarkEnd w:id="3192"/>
      <w:bookmarkEnd w:id="3193"/>
      <w:bookmarkEnd w:id="3194"/>
    </w:p>
    <w:p w14:paraId="4E78F62F" w14:textId="77777777" w:rsidR="007968EC" w:rsidRPr="002C0D19" w:rsidRDefault="007968EC" w:rsidP="007968EC">
      <w:pPr>
        <w:keepNext/>
        <w:jc w:val="both"/>
        <w:outlineLvl w:val="2"/>
        <w:rPr>
          <w:rFonts w:ascii="Arial Narrow" w:hAnsi="Arial Narrow" w:cs="Arial"/>
          <w:b/>
          <w:color w:val="000000" w:themeColor="text1"/>
          <w:u w:val="single"/>
          <w:lang w:eastAsia="es-ES"/>
        </w:rPr>
      </w:pPr>
    </w:p>
    <w:p w14:paraId="11893AD3" w14:textId="77777777" w:rsidR="007968EC" w:rsidRDefault="007968EC" w:rsidP="007968EC">
      <w:pPr>
        <w:pStyle w:val="ARTICULO0"/>
      </w:pPr>
      <w:bookmarkStart w:id="3195" w:name="_Toc472592234"/>
      <w:bookmarkStart w:id="3196" w:name="_Toc472593253"/>
      <w:bookmarkStart w:id="3197" w:name="_Toc479057039"/>
      <w:bookmarkStart w:id="3198" w:name="_Toc31716053"/>
      <w:bookmarkStart w:id="3199" w:name="_Toc470775564"/>
      <w:bookmarkStart w:id="3200" w:name="_Toc470779849"/>
      <w:bookmarkStart w:id="3201" w:name="_Toc470780466"/>
      <w:bookmarkStart w:id="3202" w:name="_Toc470780979"/>
      <w:bookmarkStart w:id="3203" w:name="_Toc470784540"/>
      <w:bookmarkStart w:id="3204" w:name="_Toc470785077"/>
      <w:bookmarkStart w:id="3205" w:name="_Toc470791463"/>
      <w:bookmarkStart w:id="3206" w:name="_Toc490066367"/>
      <w:r w:rsidRPr="002C0D19">
        <w:t>Artículo 1.11.1.1. Cumplimiento de las disposiciones legales sobre prevención y control de lavado de activos.</w:t>
      </w:r>
      <w:bookmarkEnd w:id="3195"/>
      <w:bookmarkEnd w:id="3196"/>
      <w:bookmarkEnd w:id="3197"/>
      <w:bookmarkEnd w:id="3198"/>
      <w:r w:rsidRPr="002C0D19">
        <w:t xml:space="preserve"> </w:t>
      </w:r>
    </w:p>
    <w:p w14:paraId="58A26AA5" w14:textId="77777777" w:rsidR="007968EC" w:rsidRPr="000E6636" w:rsidRDefault="007968EC" w:rsidP="007968EC">
      <w:pPr>
        <w:autoSpaceDE w:val="0"/>
        <w:autoSpaceDN w:val="0"/>
        <w:jc w:val="both"/>
        <w:rPr>
          <w:rFonts w:ascii="Arial Narrow" w:hAnsi="Arial Narrow" w:cs="Arial"/>
          <w:b/>
          <w:bCs/>
          <w:color w:val="000000" w:themeColor="text1"/>
          <w:lang w:eastAsia="es-ES"/>
        </w:rPr>
      </w:pPr>
    </w:p>
    <w:p w14:paraId="69E22C68" w14:textId="77777777" w:rsidR="007968EC" w:rsidRPr="002C0D19" w:rsidRDefault="007968EC" w:rsidP="007968EC">
      <w:pPr>
        <w:pStyle w:val="ANTECEDENTES"/>
      </w:pPr>
      <w:r w:rsidRPr="002C0D19">
        <w:t xml:space="preserve">(Este artículo fue adicionado mediante Circular 2 del 27 de enero de 2011, publicada en el Boletín Normativo No. 002 del 27 de enero de 2011. Rige a partir del 31 de enero de 2011 y renumerado mediante </w:t>
      </w:r>
      <w:r w:rsidRPr="002C0D19">
        <w:rPr>
          <w:lang w:val="es-ES"/>
        </w:rPr>
        <w:t xml:space="preserve">Circular 19 del 28 de diciembre de 2016, publicada en el Boletín Normativo No. 024 del 28 de diciembre de 2016. </w:t>
      </w:r>
      <w:r w:rsidRPr="002C0D19">
        <w:t>Rige a partir del 29 de diciembre de 2016.</w:t>
      </w:r>
      <w:r w:rsidRPr="002C0D19">
        <w:rPr>
          <w:lang w:val="es-ES"/>
        </w:rPr>
        <w:t>)</w:t>
      </w:r>
      <w:bookmarkEnd w:id="3199"/>
      <w:bookmarkEnd w:id="3200"/>
      <w:bookmarkEnd w:id="3201"/>
      <w:bookmarkEnd w:id="3202"/>
      <w:bookmarkEnd w:id="3203"/>
      <w:bookmarkEnd w:id="3204"/>
      <w:bookmarkEnd w:id="3205"/>
      <w:bookmarkEnd w:id="3206"/>
    </w:p>
    <w:p w14:paraId="24CE8446" w14:textId="77777777" w:rsidR="007968EC" w:rsidRPr="00165180" w:rsidRDefault="007968EC" w:rsidP="007968EC">
      <w:pPr>
        <w:jc w:val="both"/>
        <w:rPr>
          <w:rFonts w:ascii="Arial Narrow" w:hAnsi="Arial Narrow" w:cs="Arial"/>
          <w:color w:val="000000" w:themeColor="text1"/>
          <w:lang w:eastAsia="es-ES"/>
        </w:rPr>
      </w:pPr>
    </w:p>
    <w:p w14:paraId="21B539E3"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Los Miembros de la Cámara, los Agentes Custodios y los Agentes de Pago deberán atender y cumplir lo previsto en las normas sobre prevención y control de lavado de activos que les sean aplicables, de acuerdo con su régimen legal.</w:t>
      </w:r>
    </w:p>
    <w:p w14:paraId="407A85BE" w14:textId="77777777" w:rsidR="007968EC" w:rsidRPr="002C0D19" w:rsidRDefault="007968EC" w:rsidP="007968EC">
      <w:pPr>
        <w:rPr>
          <w:rFonts w:ascii="Arial Narrow" w:hAnsi="Arial Narrow" w:cs="Arial"/>
          <w:b/>
          <w:color w:val="000000" w:themeColor="text1"/>
          <w:lang w:eastAsia="es-ES"/>
        </w:rPr>
      </w:pPr>
    </w:p>
    <w:p w14:paraId="3769A06B" w14:textId="77777777" w:rsidR="007968EC" w:rsidRDefault="007968EC" w:rsidP="007968EC">
      <w:pPr>
        <w:pStyle w:val="ARTICULO0"/>
      </w:pPr>
      <w:bookmarkStart w:id="3207" w:name="_Toc472592235"/>
      <w:bookmarkStart w:id="3208" w:name="_Toc472593254"/>
      <w:bookmarkStart w:id="3209" w:name="_Toc479057040"/>
      <w:bookmarkStart w:id="3210" w:name="_Toc31716054"/>
      <w:bookmarkStart w:id="3211" w:name="_Toc470775565"/>
      <w:bookmarkStart w:id="3212" w:name="_Toc470779850"/>
      <w:bookmarkStart w:id="3213" w:name="_Toc470780467"/>
      <w:bookmarkStart w:id="3214" w:name="_Toc470780980"/>
      <w:bookmarkStart w:id="3215" w:name="_Toc470784541"/>
      <w:bookmarkStart w:id="3216" w:name="_Toc470785078"/>
      <w:bookmarkStart w:id="3217" w:name="_Toc470791464"/>
      <w:bookmarkStart w:id="3218" w:name="_Toc490066368"/>
      <w:r w:rsidRPr="002C0D19">
        <w:t>Artículo 1.11.1.2. Verificación de información en listas restrictivas.</w:t>
      </w:r>
      <w:bookmarkEnd w:id="3207"/>
      <w:bookmarkEnd w:id="3208"/>
      <w:bookmarkEnd w:id="3209"/>
      <w:bookmarkEnd w:id="3210"/>
      <w:r w:rsidRPr="002C0D19">
        <w:t xml:space="preserve"> </w:t>
      </w:r>
    </w:p>
    <w:p w14:paraId="6A3BECE7" w14:textId="77777777" w:rsidR="007968EC" w:rsidRPr="000E6636" w:rsidRDefault="007968EC" w:rsidP="007968EC">
      <w:pPr>
        <w:autoSpaceDE w:val="0"/>
        <w:autoSpaceDN w:val="0"/>
        <w:jc w:val="both"/>
        <w:rPr>
          <w:rFonts w:ascii="Arial Narrow" w:hAnsi="Arial Narrow" w:cs="Arial"/>
          <w:b/>
          <w:bCs/>
          <w:color w:val="000000" w:themeColor="text1"/>
          <w:lang w:eastAsia="es-ES"/>
        </w:rPr>
      </w:pPr>
    </w:p>
    <w:p w14:paraId="17FC576D" w14:textId="77777777" w:rsidR="007968EC" w:rsidRPr="002C0D19" w:rsidRDefault="007968EC" w:rsidP="007968EC">
      <w:pPr>
        <w:pStyle w:val="ANTECEDENTES"/>
      </w:pPr>
      <w:r w:rsidRPr="002C0D19">
        <w:t xml:space="preserve">(Este artículo fue renumerado mediante </w:t>
      </w:r>
      <w:r w:rsidRPr="002C0D19">
        <w:rPr>
          <w:lang w:val="es-ES"/>
        </w:rPr>
        <w:t>Circular 19 del 28 de diciembre de 2016, publicada en el Boletín Normativo No. 024 del 28 de diciembre de 2016.</w:t>
      </w:r>
      <w:bookmarkEnd w:id="3211"/>
      <w:bookmarkEnd w:id="3212"/>
      <w:bookmarkEnd w:id="3213"/>
      <w:bookmarkEnd w:id="3214"/>
      <w:bookmarkEnd w:id="3215"/>
      <w:bookmarkEnd w:id="3216"/>
      <w:bookmarkEnd w:id="3217"/>
      <w:r w:rsidRPr="002C0D19">
        <w:rPr>
          <w:lang w:val="es-ES"/>
        </w:rPr>
        <w:t xml:space="preserve"> </w:t>
      </w:r>
      <w:r w:rsidRPr="002C0D19">
        <w:t>y mediante Circular 2 del 11 de enero de 2017, publicada en el Boletín Normativo No. 002 del 11 de enero de 2017. Rige a partir del 12 de enero de 2017.)</w:t>
      </w:r>
      <w:bookmarkEnd w:id="3218"/>
    </w:p>
    <w:p w14:paraId="46B2AD97" w14:textId="77777777" w:rsidR="007968EC" w:rsidRPr="00165180" w:rsidRDefault="007968EC" w:rsidP="007968EC">
      <w:pPr>
        <w:jc w:val="both"/>
        <w:rPr>
          <w:rFonts w:ascii="Arial Narrow" w:hAnsi="Arial Narrow" w:cs="Arial"/>
          <w:color w:val="000000" w:themeColor="text1"/>
          <w:lang w:eastAsia="es-ES"/>
        </w:rPr>
      </w:pPr>
    </w:p>
    <w:p w14:paraId="4FBA4E26"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Para efectos de verificación de información de personas naturales y jurídicas, se buscará contar con la mayor cantidad posible de fuentes de información pública o privada y siempre serán consultadas por la Cámara las siguientes listas restrictivas:</w:t>
      </w:r>
    </w:p>
    <w:p w14:paraId="3954EEE8"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 </w:t>
      </w:r>
    </w:p>
    <w:p w14:paraId="0A5E11BA" w14:textId="77777777" w:rsidR="007968EC" w:rsidRPr="002C0D19" w:rsidRDefault="007968EC" w:rsidP="00DA7472">
      <w:pPr>
        <w:numPr>
          <w:ilvl w:val="0"/>
          <w:numId w:val="42"/>
        </w:numPr>
        <w:tabs>
          <w:tab w:val="num" w:pos="426"/>
        </w:tabs>
        <w:autoSpaceDE w:val="0"/>
        <w:autoSpaceDN w:val="0"/>
        <w:adjustRightInd w:val="0"/>
        <w:ind w:hanging="72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Lista OFAC del Departamento del Tesoro de los Estados Unidos. </w:t>
      </w:r>
    </w:p>
    <w:p w14:paraId="55DABF12" w14:textId="77777777" w:rsidR="007968EC" w:rsidRPr="002C0D19" w:rsidRDefault="007968EC" w:rsidP="00DA7472">
      <w:pPr>
        <w:numPr>
          <w:ilvl w:val="0"/>
          <w:numId w:val="42"/>
        </w:numPr>
        <w:tabs>
          <w:tab w:val="num" w:pos="426"/>
        </w:tabs>
        <w:autoSpaceDE w:val="0"/>
        <w:autoSpaceDN w:val="0"/>
        <w:adjustRightInd w:val="0"/>
        <w:ind w:hanging="72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Lista del Banco Inglaterra HM </w:t>
      </w:r>
      <w:proofErr w:type="spellStart"/>
      <w:r w:rsidRPr="002C0D19">
        <w:rPr>
          <w:rFonts w:ascii="Arial Narrow" w:hAnsi="Arial Narrow" w:cs="Arial"/>
          <w:color w:val="000000" w:themeColor="text1"/>
          <w:lang w:val="es-ES" w:eastAsia="es-ES"/>
        </w:rPr>
        <w:t>Treasury</w:t>
      </w:r>
      <w:proofErr w:type="spellEnd"/>
      <w:r w:rsidRPr="002C0D19">
        <w:rPr>
          <w:rFonts w:ascii="Arial Narrow" w:hAnsi="Arial Narrow" w:cs="Arial"/>
          <w:color w:val="000000" w:themeColor="text1"/>
          <w:lang w:val="es-ES" w:eastAsia="es-ES"/>
        </w:rPr>
        <w:t>.</w:t>
      </w:r>
    </w:p>
    <w:p w14:paraId="43E0FFB6" w14:textId="77777777" w:rsidR="007968EC" w:rsidRPr="002C0D19" w:rsidRDefault="007968EC" w:rsidP="00DA7472">
      <w:pPr>
        <w:numPr>
          <w:ilvl w:val="0"/>
          <w:numId w:val="42"/>
        </w:numPr>
        <w:tabs>
          <w:tab w:val="num" w:pos="426"/>
        </w:tabs>
        <w:autoSpaceDE w:val="0"/>
        <w:autoSpaceDN w:val="0"/>
        <w:adjustRightInd w:val="0"/>
        <w:ind w:hanging="72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Lista de la Contraloría General de la Nación. </w:t>
      </w:r>
    </w:p>
    <w:p w14:paraId="29BED1B8" w14:textId="77777777" w:rsidR="007968EC" w:rsidRPr="002C0D19" w:rsidRDefault="007968EC" w:rsidP="00DA7472">
      <w:pPr>
        <w:numPr>
          <w:ilvl w:val="0"/>
          <w:numId w:val="42"/>
        </w:numPr>
        <w:tabs>
          <w:tab w:val="num" w:pos="426"/>
        </w:tabs>
        <w:autoSpaceDE w:val="0"/>
        <w:autoSpaceDN w:val="0"/>
        <w:adjustRightInd w:val="0"/>
        <w:ind w:hanging="72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Listas de la ONU (Terroristas Talibanes y Al-Qaida). </w:t>
      </w:r>
    </w:p>
    <w:p w14:paraId="18804934" w14:textId="77777777" w:rsidR="007968EC" w:rsidRPr="002C0D19" w:rsidRDefault="007968EC" w:rsidP="007968EC">
      <w:pPr>
        <w:autoSpaceDE w:val="0"/>
        <w:autoSpaceDN w:val="0"/>
        <w:adjustRightInd w:val="0"/>
        <w:ind w:left="284"/>
        <w:jc w:val="both"/>
        <w:rPr>
          <w:rFonts w:ascii="Arial Narrow" w:hAnsi="Arial Narrow" w:cs="Arial"/>
          <w:color w:val="000000" w:themeColor="text1"/>
          <w:lang w:val="es-ES" w:eastAsia="es-ES"/>
        </w:rPr>
      </w:pPr>
    </w:p>
    <w:p w14:paraId="0C84FCB4"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lastRenderedPageBreak/>
        <w:t>Adicionalmente se podrá verificar información complementaria de personas públicamente expuestas, requerimientos de autoridades e información de investigados y/o condenados por lavado de activos, de procesos de extinción de dominio, así como de otros delitos fuentes o conexos.</w:t>
      </w:r>
    </w:p>
    <w:p w14:paraId="64DF2A54" w14:textId="77777777" w:rsidR="007968EC" w:rsidRPr="002C0D19" w:rsidRDefault="007968EC" w:rsidP="007968EC">
      <w:pPr>
        <w:autoSpaceDE w:val="0"/>
        <w:autoSpaceDN w:val="0"/>
        <w:adjustRightInd w:val="0"/>
        <w:ind w:left="180"/>
        <w:jc w:val="both"/>
        <w:rPr>
          <w:rFonts w:ascii="Arial Narrow" w:hAnsi="Arial Narrow" w:cs="Arial"/>
          <w:color w:val="000000" w:themeColor="text1"/>
          <w:lang w:val="es-ES" w:eastAsia="es-ES"/>
        </w:rPr>
      </w:pPr>
    </w:p>
    <w:p w14:paraId="6067C768"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Trimestralmente y cada vez que se actualice alguna de las listas restrictivas, se efectuarán cruces automáticos o semiautomáticos con las bases de datos, para todos los procesos de vinculación y mantenimiento.</w:t>
      </w:r>
    </w:p>
    <w:p w14:paraId="0859DA65" w14:textId="77777777" w:rsidR="007968EC" w:rsidRPr="002C0D19" w:rsidRDefault="007968EC" w:rsidP="007968EC">
      <w:pPr>
        <w:autoSpaceDE w:val="0"/>
        <w:autoSpaceDN w:val="0"/>
        <w:adjustRightInd w:val="0"/>
        <w:ind w:left="180"/>
        <w:jc w:val="both"/>
        <w:rPr>
          <w:rFonts w:ascii="Arial Narrow" w:hAnsi="Arial Narrow" w:cs="Arial"/>
          <w:color w:val="000000" w:themeColor="text1"/>
          <w:lang w:val="es-ES" w:eastAsia="es-ES"/>
        </w:rPr>
      </w:pPr>
    </w:p>
    <w:p w14:paraId="7A1C0099"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En caso de que algún vinculado se encuentre en alguna de las listas mencionadas, se tramitará su desvinculación y se enviarán los respectivos reportes a las autoridades pertinentes. En el caso que se encuentre reportado en la lista de la Contraloría General de la Nación la Cámara le informará al Miembro correspondiente para que realice la gestión pertinente.</w:t>
      </w:r>
    </w:p>
    <w:p w14:paraId="1F4FD85B"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552BEEC1" w14:textId="77777777" w:rsidR="007968EC" w:rsidRPr="002C0D19" w:rsidRDefault="007968EC" w:rsidP="007968EC">
      <w:pPr>
        <w:pStyle w:val="TTULO"/>
        <w:rPr>
          <w:lang w:val="es-ES"/>
        </w:rPr>
      </w:pPr>
      <w:bookmarkStart w:id="3219" w:name="_Toc470775566"/>
      <w:bookmarkStart w:id="3220" w:name="_Toc470779851"/>
      <w:bookmarkStart w:id="3221" w:name="_Toc470780468"/>
      <w:bookmarkStart w:id="3222" w:name="_Toc470780981"/>
      <w:bookmarkStart w:id="3223" w:name="_Toc470784542"/>
      <w:bookmarkStart w:id="3224" w:name="_Toc470785079"/>
      <w:bookmarkStart w:id="3225" w:name="_Toc470791465"/>
      <w:bookmarkStart w:id="3226" w:name="_Toc472592236"/>
      <w:bookmarkStart w:id="3227" w:name="_Toc472593255"/>
      <w:bookmarkStart w:id="3228" w:name="_Toc479057041"/>
      <w:bookmarkStart w:id="3229" w:name="_Toc490066369"/>
      <w:bookmarkStart w:id="3230" w:name="_Toc31716055"/>
      <w:r w:rsidRPr="002C0D19">
        <w:rPr>
          <w:lang w:val="es-ES"/>
        </w:rPr>
        <w:t>TÍTULO DÉCIMO SEGUNDO</w:t>
      </w:r>
      <w:bookmarkEnd w:id="3219"/>
      <w:bookmarkEnd w:id="3220"/>
      <w:bookmarkEnd w:id="3221"/>
      <w:bookmarkEnd w:id="3222"/>
      <w:bookmarkEnd w:id="3223"/>
      <w:bookmarkEnd w:id="3224"/>
      <w:bookmarkEnd w:id="3225"/>
      <w:bookmarkEnd w:id="3226"/>
      <w:bookmarkEnd w:id="3227"/>
      <w:bookmarkEnd w:id="3228"/>
      <w:bookmarkEnd w:id="3229"/>
      <w:bookmarkEnd w:id="3230"/>
    </w:p>
    <w:p w14:paraId="117337D6" w14:textId="77777777" w:rsidR="007968EC" w:rsidRPr="002C0D19" w:rsidRDefault="007968EC" w:rsidP="007968EC">
      <w:pPr>
        <w:pStyle w:val="TTULO"/>
        <w:rPr>
          <w:lang w:val="es-ES"/>
        </w:rPr>
      </w:pPr>
    </w:p>
    <w:p w14:paraId="0C31B86E" w14:textId="77777777" w:rsidR="007968EC" w:rsidRPr="002C0D19" w:rsidRDefault="007968EC" w:rsidP="007968EC">
      <w:pPr>
        <w:pStyle w:val="TTULO"/>
        <w:rPr>
          <w:lang w:val="es-ES"/>
        </w:rPr>
      </w:pPr>
      <w:bookmarkStart w:id="3231" w:name="_Toc470775567"/>
      <w:bookmarkStart w:id="3232" w:name="_Toc470779852"/>
      <w:bookmarkStart w:id="3233" w:name="_Toc470780469"/>
      <w:bookmarkStart w:id="3234" w:name="_Toc470780982"/>
      <w:bookmarkStart w:id="3235" w:name="_Toc470784543"/>
      <w:bookmarkStart w:id="3236" w:name="_Toc470785080"/>
      <w:bookmarkStart w:id="3237" w:name="_Toc470791466"/>
      <w:bookmarkStart w:id="3238" w:name="_Toc472592237"/>
      <w:bookmarkStart w:id="3239" w:name="_Toc472593256"/>
      <w:bookmarkStart w:id="3240" w:name="_Toc479057042"/>
      <w:bookmarkStart w:id="3241" w:name="_Toc490066370"/>
      <w:bookmarkStart w:id="3242" w:name="_Toc31716056"/>
      <w:r w:rsidRPr="002C0D19">
        <w:rPr>
          <w:lang w:val="es-ES"/>
        </w:rPr>
        <w:t>CAPÍTULO PRIMERO</w:t>
      </w:r>
      <w:bookmarkEnd w:id="3231"/>
      <w:bookmarkEnd w:id="3232"/>
      <w:bookmarkEnd w:id="3233"/>
      <w:bookmarkEnd w:id="3234"/>
      <w:bookmarkEnd w:id="3235"/>
      <w:bookmarkEnd w:id="3236"/>
      <w:bookmarkEnd w:id="3237"/>
      <w:bookmarkEnd w:id="3238"/>
      <w:bookmarkEnd w:id="3239"/>
      <w:bookmarkEnd w:id="3240"/>
      <w:bookmarkEnd w:id="3241"/>
      <w:bookmarkEnd w:id="3242"/>
    </w:p>
    <w:p w14:paraId="6A7D0377" w14:textId="77777777" w:rsidR="007968EC" w:rsidRPr="002C0D19" w:rsidRDefault="007968EC" w:rsidP="007968EC">
      <w:pPr>
        <w:pStyle w:val="TTULO"/>
        <w:rPr>
          <w:lang w:val="es-ES"/>
        </w:rPr>
      </w:pPr>
    </w:p>
    <w:p w14:paraId="58FACC36" w14:textId="77777777" w:rsidR="007968EC" w:rsidRPr="002C0D19" w:rsidRDefault="007968EC" w:rsidP="007968EC">
      <w:pPr>
        <w:pStyle w:val="TTULO"/>
        <w:rPr>
          <w:lang w:val="es-ES"/>
        </w:rPr>
      </w:pPr>
      <w:bookmarkStart w:id="3243" w:name="_Toc470775568"/>
      <w:bookmarkStart w:id="3244" w:name="_Toc470779853"/>
      <w:bookmarkStart w:id="3245" w:name="_Toc470780470"/>
      <w:bookmarkStart w:id="3246" w:name="_Toc470780983"/>
      <w:bookmarkStart w:id="3247" w:name="_Toc470784544"/>
      <w:bookmarkStart w:id="3248" w:name="_Toc470785081"/>
      <w:bookmarkStart w:id="3249" w:name="_Toc470791467"/>
      <w:bookmarkStart w:id="3250" w:name="_Toc472592238"/>
      <w:bookmarkStart w:id="3251" w:name="_Toc472593257"/>
      <w:bookmarkStart w:id="3252" w:name="_Toc479057043"/>
      <w:bookmarkStart w:id="3253" w:name="_Toc490066371"/>
      <w:bookmarkStart w:id="3254" w:name="_Toc31716057"/>
      <w:r w:rsidRPr="002C0D19">
        <w:rPr>
          <w:lang w:val="es-ES"/>
        </w:rPr>
        <w:t>PROCEDIMIENTOS OPERATIVOS EN CASOS DE CONTINGENCIA</w:t>
      </w:r>
      <w:bookmarkEnd w:id="3243"/>
      <w:bookmarkEnd w:id="3244"/>
      <w:bookmarkEnd w:id="3245"/>
      <w:bookmarkEnd w:id="3246"/>
      <w:bookmarkEnd w:id="3247"/>
      <w:bookmarkEnd w:id="3248"/>
      <w:bookmarkEnd w:id="3249"/>
      <w:bookmarkEnd w:id="3250"/>
      <w:bookmarkEnd w:id="3251"/>
      <w:bookmarkEnd w:id="3252"/>
      <w:bookmarkEnd w:id="3253"/>
      <w:bookmarkEnd w:id="3254"/>
    </w:p>
    <w:p w14:paraId="2879279C" w14:textId="77777777" w:rsidR="007968EC" w:rsidRPr="002C0D19" w:rsidRDefault="007968EC" w:rsidP="007968EC">
      <w:pPr>
        <w:keepNext/>
        <w:jc w:val="both"/>
        <w:outlineLvl w:val="2"/>
        <w:rPr>
          <w:rFonts w:ascii="Arial Narrow" w:hAnsi="Arial Narrow" w:cs="Arial"/>
          <w:color w:val="000000" w:themeColor="text1"/>
          <w:u w:val="single"/>
          <w:lang w:eastAsia="es-ES"/>
        </w:rPr>
      </w:pPr>
    </w:p>
    <w:p w14:paraId="4AF1460A" w14:textId="77777777" w:rsidR="007968EC" w:rsidRDefault="007968EC" w:rsidP="007968EC">
      <w:pPr>
        <w:pStyle w:val="ARTICULO0"/>
      </w:pPr>
      <w:bookmarkStart w:id="3255" w:name="_Toc472592239"/>
      <w:bookmarkStart w:id="3256" w:name="_Toc472593258"/>
      <w:bookmarkStart w:id="3257" w:name="_Toc479057044"/>
      <w:bookmarkStart w:id="3258" w:name="_Toc31716058"/>
      <w:bookmarkStart w:id="3259" w:name="_Toc470775569"/>
      <w:bookmarkStart w:id="3260" w:name="_Toc470779854"/>
      <w:bookmarkStart w:id="3261" w:name="_Toc470780471"/>
      <w:bookmarkStart w:id="3262" w:name="_Toc470780984"/>
      <w:bookmarkStart w:id="3263" w:name="_Toc470784545"/>
      <w:bookmarkStart w:id="3264" w:name="_Toc470785082"/>
      <w:bookmarkStart w:id="3265" w:name="_Toc470791468"/>
      <w:bookmarkStart w:id="3266" w:name="_Toc490066372"/>
      <w:r w:rsidRPr="002C0D19">
        <w:t>Artículo 1.12.1.1. Mecanismos de contingencia.</w:t>
      </w:r>
      <w:bookmarkEnd w:id="3255"/>
      <w:bookmarkEnd w:id="3256"/>
      <w:bookmarkEnd w:id="3257"/>
      <w:bookmarkEnd w:id="3258"/>
      <w:r w:rsidRPr="002C0D19">
        <w:t xml:space="preserve"> </w:t>
      </w:r>
    </w:p>
    <w:p w14:paraId="2518DA95" w14:textId="77777777" w:rsidR="007968EC" w:rsidRPr="000E6636" w:rsidRDefault="007968EC" w:rsidP="007968EC">
      <w:pPr>
        <w:autoSpaceDE w:val="0"/>
        <w:autoSpaceDN w:val="0"/>
        <w:jc w:val="both"/>
        <w:rPr>
          <w:rFonts w:ascii="Arial Narrow" w:hAnsi="Arial Narrow" w:cs="Arial"/>
          <w:b/>
          <w:bCs/>
          <w:color w:val="000000" w:themeColor="text1"/>
          <w:lang w:eastAsia="es-ES"/>
        </w:rPr>
      </w:pPr>
    </w:p>
    <w:p w14:paraId="45863DA7" w14:textId="77777777" w:rsidR="007968EC" w:rsidRPr="002C0D19" w:rsidRDefault="007968EC" w:rsidP="007968EC">
      <w:pPr>
        <w:pStyle w:val="ANTECEDENTES"/>
        <w:rPr>
          <w:u w:val="single"/>
        </w:rPr>
      </w:pPr>
      <w:r w:rsidRPr="002C0D19">
        <w:t>(Este artículo fue renumerado mediante Circular 19 del 28 de diciembre de 2016, publicada en el Boletín Normativo No. 024 del 28 de diciembre de 2016. Rige a partir del 29 de diciembre de 2016.)</w:t>
      </w:r>
      <w:bookmarkEnd w:id="3259"/>
      <w:bookmarkEnd w:id="3260"/>
      <w:bookmarkEnd w:id="3261"/>
      <w:bookmarkEnd w:id="3262"/>
      <w:bookmarkEnd w:id="3263"/>
      <w:bookmarkEnd w:id="3264"/>
      <w:bookmarkEnd w:id="3265"/>
      <w:bookmarkEnd w:id="3266"/>
    </w:p>
    <w:p w14:paraId="49F7F9FF" w14:textId="77777777" w:rsidR="007968EC" w:rsidRPr="002C0D19" w:rsidRDefault="007968EC" w:rsidP="007968EC">
      <w:pPr>
        <w:autoSpaceDE w:val="0"/>
        <w:autoSpaceDN w:val="0"/>
        <w:adjustRightInd w:val="0"/>
        <w:jc w:val="both"/>
        <w:rPr>
          <w:rFonts w:ascii="Arial Narrow" w:hAnsi="Arial Narrow" w:cs="Arial"/>
          <w:bCs/>
          <w:i/>
          <w:iCs/>
          <w:color w:val="000000" w:themeColor="text1"/>
          <w:lang w:val="es-ES" w:eastAsia="es-ES"/>
        </w:rPr>
      </w:pPr>
    </w:p>
    <w:p w14:paraId="493E8CAB"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Si el Sistema interrumpe su Operación por fallas técnicas en el transcurso de los horarios de Cámara, interrumpiendo totalmente el servicio en toda la red se obrará como sigue:</w:t>
      </w:r>
    </w:p>
    <w:p w14:paraId="7FA75E93"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52E4212A" w14:textId="77777777" w:rsidR="007968EC" w:rsidRPr="002C0D19" w:rsidRDefault="007968EC" w:rsidP="00DA7472">
      <w:pPr>
        <w:numPr>
          <w:ilvl w:val="0"/>
          <w:numId w:val="28"/>
        </w:numPr>
        <w:autoSpaceDE w:val="0"/>
        <w:autoSpaceDN w:val="0"/>
        <w:adjustRightInd w:val="0"/>
        <w:ind w:left="567" w:hanging="567"/>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El Administrador realizará el diagnóstico de las fallas técnicas presentadas evaluando la alternativa de activación del Centro de Cómputo Alterno como mecanismo de contingencia; en tal caso podrá declarar el estado de contingencia y dará instrucciones al mercado sobre los nuevos horarios de cumplimiento, en coordinación con los depósitos.</w:t>
      </w:r>
    </w:p>
    <w:p w14:paraId="14D93A87" w14:textId="77777777" w:rsidR="007968EC" w:rsidRPr="002C0D19" w:rsidRDefault="007968EC" w:rsidP="007968EC">
      <w:pPr>
        <w:autoSpaceDE w:val="0"/>
        <w:autoSpaceDN w:val="0"/>
        <w:adjustRightInd w:val="0"/>
        <w:ind w:left="567" w:hanging="567"/>
        <w:jc w:val="both"/>
        <w:rPr>
          <w:rFonts w:ascii="Arial Narrow" w:hAnsi="Arial Narrow" w:cs="Arial"/>
          <w:color w:val="000000" w:themeColor="text1"/>
          <w:lang w:eastAsia="es-CO"/>
        </w:rPr>
      </w:pPr>
    </w:p>
    <w:p w14:paraId="6CA70097" w14:textId="77777777" w:rsidR="007968EC" w:rsidRPr="002C0D19" w:rsidRDefault="007968EC" w:rsidP="00DA7472">
      <w:pPr>
        <w:numPr>
          <w:ilvl w:val="0"/>
          <w:numId w:val="28"/>
        </w:numPr>
        <w:autoSpaceDE w:val="0"/>
        <w:autoSpaceDN w:val="0"/>
        <w:adjustRightInd w:val="0"/>
        <w:ind w:left="567" w:hanging="567"/>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Una vez restablecido el servicio a través del Sistema de contingencia, los Miembros podrán realizar sus procesos de cumplimiento normalmente hasta que el Administrador considere pertinente finalizar el estado de contingencia.</w:t>
      </w:r>
    </w:p>
    <w:p w14:paraId="5DCE9FDC" w14:textId="77777777" w:rsidR="007968EC" w:rsidRPr="002C0D19" w:rsidRDefault="007968EC" w:rsidP="007968EC">
      <w:pPr>
        <w:ind w:left="567" w:hanging="567"/>
        <w:jc w:val="both"/>
        <w:rPr>
          <w:rFonts w:ascii="Arial Narrow" w:hAnsi="Arial Narrow" w:cs="Arial"/>
          <w:color w:val="000000" w:themeColor="text1"/>
          <w:lang w:eastAsia="es-CO"/>
        </w:rPr>
      </w:pPr>
    </w:p>
    <w:p w14:paraId="5AD79044" w14:textId="77777777" w:rsidR="007968EC" w:rsidRPr="002C0D19" w:rsidRDefault="007968EC" w:rsidP="00DA7472">
      <w:pPr>
        <w:numPr>
          <w:ilvl w:val="0"/>
          <w:numId w:val="28"/>
        </w:numPr>
        <w:autoSpaceDE w:val="0"/>
        <w:autoSpaceDN w:val="0"/>
        <w:adjustRightInd w:val="0"/>
        <w:ind w:left="567" w:hanging="567"/>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Si se evidencia que la activación del Centro de Cómputo Alterno no garantiza el restablecimiento del servicio, se informará a todos los Miembros para que procedan a realizar el cumplimiento de las operaciones directamente en los depósitos centrales de valores.</w:t>
      </w:r>
    </w:p>
    <w:p w14:paraId="1AC65646" w14:textId="77777777" w:rsidR="007968EC" w:rsidRPr="002C0D19" w:rsidRDefault="007968EC" w:rsidP="007968EC">
      <w:pPr>
        <w:ind w:left="567" w:hanging="567"/>
        <w:jc w:val="both"/>
        <w:rPr>
          <w:rFonts w:ascii="Arial Narrow" w:hAnsi="Arial Narrow" w:cs="Arial"/>
          <w:color w:val="000000" w:themeColor="text1"/>
          <w:lang w:eastAsia="es-CO"/>
        </w:rPr>
      </w:pPr>
    </w:p>
    <w:p w14:paraId="45E87F8A" w14:textId="77777777" w:rsidR="007968EC" w:rsidRPr="002C0D19" w:rsidRDefault="007968EC" w:rsidP="00DA7472">
      <w:pPr>
        <w:numPr>
          <w:ilvl w:val="0"/>
          <w:numId w:val="28"/>
        </w:numPr>
        <w:autoSpaceDE w:val="0"/>
        <w:autoSpaceDN w:val="0"/>
        <w:adjustRightInd w:val="0"/>
        <w:ind w:left="567" w:hanging="567"/>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En caso de incumplimiento de una transacción, los Miembros intervinientes deberán informar de ello al Administrador, a más tardar al día hábil siguiente de ocurrido el hecho, para que éste proceda de conformidad con lo previsto en el Reglamento. </w:t>
      </w:r>
      <w:proofErr w:type="gramStart"/>
      <w:r w:rsidRPr="002C0D19">
        <w:rPr>
          <w:rFonts w:ascii="Arial Narrow" w:hAnsi="Arial Narrow" w:cs="Arial"/>
          <w:color w:val="000000" w:themeColor="text1"/>
          <w:lang w:eastAsia="es-CO"/>
        </w:rPr>
        <w:t>En caso que</w:t>
      </w:r>
      <w:proofErr w:type="gramEnd"/>
      <w:r w:rsidRPr="002C0D19">
        <w:rPr>
          <w:rFonts w:ascii="Arial Narrow" w:hAnsi="Arial Narrow" w:cs="Arial"/>
          <w:color w:val="000000" w:themeColor="text1"/>
          <w:lang w:eastAsia="es-CO"/>
        </w:rPr>
        <w:t xml:space="preserve"> no se informe al Administrador, éste </w:t>
      </w:r>
      <w:r w:rsidRPr="002C0D19">
        <w:rPr>
          <w:rFonts w:ascii="Arial Narrow" w:hAnsi="Arial Narrow" w:cs="Arial"/>
          <w:color w:val="000000" w:themeColor="text1"/>
          <w:lang w:eastAsia="es-CO"/>
        </w:rPr>
        <w:lastRenderedPageBreak/>
        <w:t>quedará excusado de hacer cumplir el Reglamento, salvo que tenga conocimiento por otros medios y en cualquier tiempo.</w:t>
      </w:r>
    </w:p>
    <w:p w14:paraId="0371AF3F" w14:textId="77777777" w:rsidR="007968EC" w:rsidRPr="002C0D19" w:rsidRDefault="007968EC" w:rsidP="007968EC">
      <w:pPr>
        <w:autoSpaceDE w:val="0"/>
        <w:autoSpaceDN w:val="0"/>
        <w:adjustRightInd w:val="0"/>
        <w:ind w:left="567" w:hanging="567"/>
        <w:jc w:val="both"/>
        <w:rPr>
          <w:rFonts w:ascii="Arial Narrow" w:hAnsi="Arial Narrow" w:cs="Arial"/>
          <w:color w:val="000000" w:themeColor="text1"/>
          <w:lang w:eastAsia="es-CO"/>
        </w:rPr>
      </w:pPr>
    </w:p>
    <w:p w14:paraId="3B5CBCC2" w14:textId="77777777" w:rsidR="007968EC" w:rsidRDefault="007968EC" w:rsidP="007968EC">
      <w:pPr>
        <w:pStyle w:val="ARTICULO0"/>
      </w:pPr>
      <w:bookmarkStart w:id="3267" w:name="_Toc472592240"/>
      <w:bookmarkStart w:id="3268" w:name="_Toc472593259"/>
      <w:bookmarkStart w:id="3269" w:name="_Toc479057045"/>
      <w:bookmarkStart w:id="3270" w:name="_Toc31716059"/>
      <w:bookmarkStart w:id="3271" w:name="_Toc470775570"/>
      <w:bookmarkStart w:id="3272" w:name="_Toc470779855"/>
      <w:bookmarkStart w:id="3273" w:name="_Toc470780472"/>
      <w:bookmarkStart w:id="3274" w:name="_Toc470780985"/>
      <w:bookmarkStart w:id="3275" w:name="_Toc470784546"/>
      <w:bookmarkStart w:id="3276" w:name="_Toc470785083"/>
      <w:bookmarkStart w:id="3277" w:name="_Toc470791469"/>
      <w:bookmarkStart w:id="3278" w:name="_Toc490066373"/>
      <w:r w:rsidRPr="002C0D19">
        <w:t>Artículo 1.12.1.2. Garantías en casos de contingencia.</w:t>
      </w:r>
      <w:bookmarkEnd w:id="3267"/>
      <w:bookmarkEnd w:id="3268"/>
      <w:bookmarkEnd w:id="3269"/>
      <w:bookmarkEnd w:id="3270"/>
      <w:r w:rsidRPr="002C0D19">
        <w:t xml:space="preserve"> </w:t>
      </w:r>
    </w:p>
    <w:p w14:paraId="6FC23325" w14:textId="77777777" w:rsidR="007968EC" w:rsidRPr="000E6636" w:rsidRDefault="007968EC" w:rsidP="007968EC">
      <w:pPr>
        <w:autoSpaceDE w:val="0"/>
        <w:autoSpaceDN w:val="0"/>
        <w:jc w:val="both"/>
        <w:rPr>
          <w:rFonts w:ascii="Arial Narrow" w:hAnsi="Arial Narrow" w:cs="Arial"/>
          <w:b/>
          <w:bCs/>
          <w:color w:val="000000" w:themeColor="text1"/>
          <w:lang w:eastAsia="es-ES"/>
        </w:rPr>
      </w:pPr>
    </w:p>
    <w:p w14:paraId="0830F606" w14:textId="77777777" w:rsidR="007968EC" w:rsidRPr="002C0D19" w:rsidRDefault="007968EC" w:rsidP="007968EC">
      <w:pPr>
        <w:pStyle w:val="ANTECEDENTES"/>
        <w:rPr>
          <w:u w:val="single"/>
        </w:rPr>
      </w:pPr>
      <w:r w:rsidRPr="002C0D19">
        <w:t>(Este artículo fue renumerado mediante Circular 19 del 28 de diciembre de 2016, publicada en el Boletín Normativo No. 024 del 28 de diciembre de 2016. Rige a partir del 29 de diciembre de 2016.)</w:t>
      </w:r>
      <w:bookmarkEnd w:id="3271"/>
      <w:bookmarkEnd w:id="3272"/>
      <w:bookmarkEnd w:id="3273"/>
      <w:bookmarkEnd w:id="3274"/>
      <w:bookmarkEnd w:id="3275"/>
      <w:bookmarkEnd w:id="3276"/>
      <w:bookmarkEnd w:id="3277"/>
      <w:bookmarkEnd w:id="3278"/>
    </w:p>
    <w:p w14:paraId="595B0717" w14:textId="77777777" w:rsidR="007968EC" w:rsidRPr="002C0D19" w:rsidRDefault="007968EC" w:rsidP="007968EC">
      <w:pPr>
        <w:jc w:val="both"/>
        <w:rPr>
          <w:rFonts w:ascii="Arial Narrow" w:hAnsi="Arial Narrow" w:cs="Arial"/>
          <w:color w:val="000000" w:themeColor="text1"/>
          <w:lang w:val="es-ES" w:eastAsia="es-ES"/>
        </w:rPr>
      </w:pPr>
    </w:p>
    <w:p w14:paraId="142BDF11"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La Cámara en casos de contingencia calculará las Garantías o los ajustes que se requieran mediante mecanismos alternos e informará su monto a los Miembros, para que procedan a constituirlas y entregarlas en la forma y plazos establecidos en esta Circular y en el Reglamento.</w:t>
      </w:r>
    </w:p>
    <w:p w14:paraId="72193D41" w14:textId="77777777" w:rsidR="007968EC" w:rsidRPr="002C0D19" w:rsidRDefault="007968EC" w:rsidP="007968EC">
      <w:pPr>
        <w:jc w:val="both"/>
        <w:rPr>
          <w:rFonts w:ascii="Arial Narrow" w:hAnsi="Arial Narrow" w:cs="Arial"/>
          <w:color w:val="000000" w:themeColor="text1"/>
          <w:lang w:val="es-ES" w:eastAsia="es-ES"/>
        </w:rPr>
      </w:pPr>
    </w:p>
    <w:p w14:paraId="4D4FDBA7" w14:textId="77777777" w:rsidR="007968EC" w:rsidRDefault="007968EC" w:rsidP="007968EC">
      <w:pPr>
        <w:pStyle w:val="ARTICULO0"/>
      </w:pPr>
      <w:bookmarkStart w:id="3279" w:name="_Toc472592241"/>
      <w:bookmarkStart w:id="3280" w:name="_Toc472593260"/>
      <w:bookmarkStart w:id="3281" w:name="_Toc479057046"/>
      <w:bookmarkStart w:id="3282" w:name="_Toc31716060"/>
      <w:bookmarkStart w:id="3283" w:name="_Toc470775571"/>
      <w:bookmarkStart w:id="3284" w:name="_Toc470779856"/>
      <w:bookmarkStart w:id="3285" w:name="_Toc470780473"/>
      <w:bookmarkStart w:id="3286" w:name="_Toc470780986"/>
      <w:bookmarkStart w:id="3287" w:name="_Toc470784547"/>
      <w:bookmarkStart w:id="3288" w:name="_Toc470785084"/>
      <w:bookmarkStart w:id="3289" w:name="_Toc470791470"/>
      <w:bookmarkStart w:id="3290" w:name="_Toc490066374"/>
      <w:r w:rsidRPr="002C0D19">
        <w:t>Artículo 1.12.1.3. Información en casos de contingencia.</w:t>
      </w:r>
      <w:bookmarkEnd w:id="3279"/>
      <w:bookmarkEnd w:id="3280"/>
      <w:bookmarkEnd w:id="3281"/>
      <w:bookmarkEnd w:id="3282"/>
      <w:r w:rsidRPr="002C0D19">
        <w:t xml:space="preserve"> </w:t>
      </w:r>
    </w:p>
    <w:p w14:paraId="0BAA6505" w14:textId="77777777" w:rsidR="007968EC" w:rsidRPr="000E6636" w:rsidRDefault="007968EC" w:rsidP="007968EC">
      <w:pPr>
        <w:autoSpaceDE w:val="0"/>
        <w:autoSpaceDN w:val="0"/>
        <w:jc w:val="both"/>
        <w:rPr>
          <w:rFonts w:ascii="Arial Narrow" w:hAnsi="Arial Narrow" w:cs="Arial"/>
          <w:b/>
          <w:bCs/>
          <w:color w:val="000000" w:themeColor="text1"/>
          <w:lang w:eastAsia="es-ES"/>
        </w:rPr>
      </w:pPr>
    </w:p>
    <w:p w14:paraId="22F23202" w14:textId="77777777" w:rsidR="007968EC" w:rsidRPr="002C0D19" w:rsidRDefault="007968EC" w:rsidP="007968EC">
      <w:pPr>
        <w:pStyle w:val="ANTECEDENTES"/>
        <w:rPr>
          <w:u w:val="single"/>
        </w:rPr>
      </w:pPr>
      <w:r w:rsidRPr="002C0D19">
        <w:t>(Este artículo fue renumerado mediante Circular 19 del 28 de diciembre de 2016, publicada en el Boletín Normativo No. 024 del 28 de diciembre de 2016. Rige a partir del 29 de diciembre de 2016.)</w:t>
      </w:r>
      <w:bookmarkEnd w:id="3283"/>
      <w:bookmarkEnd w:id="3284"/>
      <w:bookmarkEnd w:id="3285"/>
      <w:bookmarkEnd w:id="3286"/>
      <w:bookmarkEnd w:id="3287"/>
      <w:bookmarkEnd w:id="3288"/>
      <w:bookmarkEnd w:id="3289"/>
      <w:bookmarkEnd w:id="3290"/>
    </w:p>
    <w:p w14:paraId="40752B40"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6A091CC0"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Hasta tanto no se restablezca el funcionamiento del Sistema, no se restablecerá el servicio de información.</w:t>
      </w:r>
    </w:p>
    <w:p w14:paraId="7AA0DE2B"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08781175" w14:textId="77777777" w:rsidR="007968EC" w:rsidRDefault="007968EC" w:rsidP="007968EC">
      <w:pPr>
        <w:keepNext/>
        <w:jc w:val="center"/>
        <w:outlineLvl w:val="0"/>
        <w:rPr>
          <w:rFonts w:ascii="Arial Narrow" w:hAnsi="Arial Narrow" w:cs="Arial"/>
          <w:b/>
          <w:kern w:val="32"/>
          <w:szCs w:val="20"/>
          <w:lang w:val="es-ES" w:eastAsia="es-ES"/>
        </w:rPr>
      </w:pPr>
      <w:bookmarkStart w:id="3291" w:name="_Toc470775572"/>
      <w:bookmarkStart w:id="3292" w:name="_Toc470779857"/>
      <w:bookmarkStart w:id="3293" w:name="_Toc470780474"/>
      <w:bookmarkStart w:id="3294" w:name="_Toc470780987"/>
      <w:bookmarkStart w:id="3295" w:name="_Toc470784548"/>
      <w:bookmarkStart w:id="3296" w:name="_Toc470785085"/>
      <w:bookmarkStart w:id="3297" w:name="_Toc470791471"/>
      <w:bookmarkStart w:id="3298" w:name="_Toc472592242"/>
      <w:bookmarkStart w:id="3299" w:name="_Toc472593261"/>
      <w:bookmarkStart w:id="3300" w:name="_Toc479057047"/>
      <w:bookmarkStart w:id="3301" w:name="_Toc490066375"/>
    </w:p>
    <w:p w14:paraId="01427679" w14:textId="77777777" w:rsidR="007968EC" w:rsidRPr="002C0D19" w:rsidRDefault="007968EC" w:rsidP="007968EC">
      <w:pPr>
        <w:pStyle w:val="TTULO"/>
        <w:rPr>
          <w:lang w:val="es-ES"/>
        </w:rPr>
      </w:pPr>
      <w:bookmarkStart w:id="3302" w:name="_Toc31716061"/>
      <w:r w:rsidRPr="002C0D19">
        <w:rPr>
          <w:lang w:val="es-ES"/>
        </w:rPr>
        <w:t>TÍTULO DÉCIMO TERCERO</w:t>
      </w:r>
      <w:bookmarkEnd w:id="3291"/>
      <w:bookmarkEnd w:id="3292"/>
      <w:bookmarkEnd w:id="3293"/>
      <w:bookmarkEnd w:id="3294"/>
      <w:bookmarkEnd w:id="3295"/>
      <w:bookmarkEnd w:id="3296"/>
      <w:bookmarkEnd w:id="3297"/>
      <w:bookmarkEnd w:id="3298"/>
      <w:bookmarkEnd w:id="3299"/>
      <w:bookmarkEnd w:id="3300"/>
      <w:bookmarkEnd w:id="3301"/>
      <w:bookmarkEnd w:id="3302"/>
    </w:p>
    <w:p w14:paraId="6DC79F93" w14:textId="77777777" w:rsidR="007968EC" w:rsidRPr="002C0D19" w:rsidRDefault="007968EC" w:rsidP="007968EC">
      <w:pPr>
        <w:pStyle w:val="TTULO"/>
        <w:rPr>
          <w:lang w:val="es-ES"/>
        </w:rPr>
      </w:pPr>
    </w:p>
    <w:p w14:paraId="1E41BD45" w14:textId="77777777" w:rsidR="007968EC" w:rsidRPr="002C0D19" w:rsidRDefault="007968EC" w:rsidP="007968EC">
      <w:pPr>
        <w:pStyle w:val="TTULO"/>
        <w:rPr>
          <w:lang w:val="es-ES"/>
        </w:rPr>
      </w:pPr>
      <w:bookmarkStart w:id="3303" w:name="_Toc470775573"/>
      <w:bookmarkStart w:id="3304" w:name="_Toc470779858"/>
      <w:bookmarkStart w:id="3305" w:name="_Toc470780475"/>
      <w:bookmarkStart w:id="3306" w:name="_Toc470780988"/>
      <w:bookmarkStart w:id="3307" w:name="_Toc470784549"/>
      <w:bookmarkStart w:id="3308" w:name="_Toc470785086"/>
      <w:bookmarkStart w:id="3309" w:name="_Toc470791472"/>
      <w:bookmarkStart w:id="3310" w:name="_Toc472592243"/>
      <w:bookmarkStart w:id="3311" w:name="_Toc472593262"/>
      <w:bookmarkStart w:id="3312" w:name="_Toc479057048"/>
      <w:bookmarkStart w:id="3313" w:name="_Toc490066376"/>
      <w:bookmarkStart w:id="3314" w:name="_Toc31716062"/>
      <w:r w:rsidRPr="002C0D19">
        <w:rPr>
          <w:lang w:val="es-ES"/>
        </w:rPr>
        <w:t>CAPÍTULO PRIMERO</w:t>
      </w:r>
      <w:bookmarkEnd w:id="3303"/>
      <w:bookmarkEnd w:id="3304"/>
      <w:bookmarkEnd w:id="3305"/>
      <w:bookmarkEnd w:id="3306"/>
      <w:bookmarkEnd w:id="3307"/>
      <w:bookmarkEnd w:id="3308"/>
      <w:bookmarkEnd w:id="3309"/>
      <w:bookmarkEnd w:id="3310"/>
      <w:bookmarkEnd w:id="3311"/>
      <w:bookmarkEnd w:id="3312"/>
      <w:bookmarkEnd w:id="3313"/>
      <w:bookmarkEnd w:id="3314"/>
    </w:p>
    <w:p w14:paraId="5B06D09D" w14:textId="77777777" w:rsidR="007968EC" w:rsidRPr="002C0D19" w:rsidRDefault="007968EC" w:rsidP="007968EC">
      <w:pPr>
        <w:pStyle w:val="TTULO"/>
        <w:rPr>
          <w:lang w:val="es-ES"/>
        </w:rPr>
      </w:pPr>
    </w:p>
    <w:p w14:paraId="2F7DFAFE" w14:textId="77777777" w:rsidR="007968EC" w:rsidRPr="002C0D19" w:rsidRDefault="007968EC" w:rsidP="007968EC">
      <w:pPr>
        <w:pStyle w:val="TTULO"/>
        <w:rPr>
          <w:lang w:val="es-ES"/>
        </w:rPr>
      </w:pPr>
      <w:bookmarkStart w:id="3315" w:name="_Toc470775574"/>
      <w:bookmarkStart w:id="3316" w:name="_Toc470779859"/>
      <w:bookmarkStart w:id="3317" w:name="_Toc470780476"/>
      <w:bookmarkStart w:id="3318" w:name="_Toc470780989"/>
      <w:bookmarkStart w:id="3319" w:name="_Toc470784550"/>
      <w:bookmarkStart w:id="3320" w:name="_Toc470785087"/>
      <w:bookmarkStart w:id="3321" w:name="_Toc470791473"/>
      <w:bookmarkStart w:id="3322" w:name="_Toc472592244"/>
      <w:bookmarkStart w:id="3323" w:name="_Toc472593263"/>
      <w:bookmarkStart w:id="3324" w:name="_Toc479057049"/>
      <w:bookmarkStart w:id="3325" w:name="_Toc490066377"/>
      <w:bookmarkStart w:id="3326" w:name="_Toc31716063"/>
      <w:r w:rsidRPr="002C0D19">
        <w:rPr>
          <w:lang w:val="es-ES"/>
        </w:rPr>
        <w:t>RETENCIÓN EN LA FUENTE E IVA</w:t>
      </w:r>
      <w:bookmarkEnd w:id="3315"/>
      <w:bookmarkEnd w:id="3316"/>
      <w:bookmarkEnd w:id="3317"/>
      <w:bookmarkEnd w:id="3318"/>
      <w:bookmarkEnd w:id="3319"/>
      <w:bookmarkEnd w:id="3320"/>
      <w:bookmarkEnd w:id="3321"/>
      <w:bookmarkEnd w:id="3322"/>
      <w:bookmarkEnd w:id="3323"/>
      <w:bookmarkEnd w:id="3324"/>
      <w:bookmarkEnd w:id="3325"/>
      <w:bookmarkEnd w:id="3326"/>
    </w:p>
    <w:p w14:paraId="0F12A197" w14:textId="77777777" w:rsidR="007968EC" w:rsidRPr="002C0D19" w:rsidRDefault="007968EC" w:rsidP="007968EC">
      <w:pPr>
        <w:keepNext/>
        <w:jc w:val="both"/>
        <w:outlineLvl w:val="2"/>
        <w:rPr>
          <w:rFonts w:ascii="Arial Narrow" w:hAnsi="Arial Narrow" w:cs="Arial"/>
          <w:color w:val="000000" w:themeColor="text1"/>
          <w:u w:val="single"/>
          <w:lang w:eastAsia="es-ES"/>
        </w:rPr>
      </w:pPr>
    </w:p>
    <w:p w14:paraId="58CDE3FD" w14:textId="77777777" w:rsidR="007968EC" w:rsidRDefault="007968EC" w:rsidP="007968EC">
      <w:pPr>
        <w:pStyle w:val="ARTICULO0"/>
      </w:pPr>
      <w:bookmarkStart w:id="3327" w:name="_Toc472592245"/>
      <w:bookmarkStart w:id="3328" w:name="_Toc472593264"/>
      <w:bookmarkStart w:id="3329" w:name="_Toc479057050"/>
      <w:bookmarkStart w:id="3330" w:name="_Toc31716064"/>
      <w:bookmarkStart w:id="3331" w:name="_Toc470775575"/>
      <w:bookmarkStart w:id="3332" w:name="_Toc470779860"/>
      <w:bookmarkStart w:id="3333" w:name="_Toc470780477"/>
      <w:bookmarkStart w:id="3334" w:name="_Toc470780990"/>
      <w:bookmarkStart w:id="3335" w:name="_Toc470784551"/>
      <w:bookmarkStart w:id="3336" w:name="_Toc470785088"/>
      <w:bookmarkStart w:id="3337" w:name="_Toc470791474"/>
      <w:bookmarkStart w:id="3338" w:name="_Toc490066378"/>
      <w:r w:rsidRPr="002C0D19">
        <w:t>Artículo 1.13.1.1. Manejo de retención en la fuente en Deceval.</w:t>
      </w:r>
      <w:bookmarkEnd w:id="3327"/>
      <w:bookmarkEnd w:id="3328"/>
      <w:bookmarkEnd w:id="3329"/>
      <w:bookmarkEnd w:id="3330"/>
      <w:r w:rsidRPr="002C0D19">
        <w:t xml:space="preserve"> </w:t>
      </w:r>
    </w:p>
    <w:p w14:paraId="6DB03B59" w14:textId="77777777" w:rsidR="007968EC" w:rsidRPr="000E6636" w:rsidRDefault="007968EC" w:rsidP="007968EC">
      <w:pPr>
        <w:autoSpaceDE w:val="0"/>
        <w:autoSpaceDN w:val="0"/>
        <w:jc w:val="both"/>
        <w:rPr>
          <w:rFonts w:ascii="Arial Narrow" w:hAnsi="Arial Narrow" w:cs="Arial"/>
          <w:b/>
          <w:bCs/>
          <w:color w:val="000000" w:themeColor="text1"/>
          <w:lang w:eastAsia="es-ES"/>
        </w:rPr>
      </w:pPr>
    </w:p>
    <w:p w14:paraId="1CE1A864" w14:textId="77777777" w:rsidR="007968EC" w:rsidRPr="002C0D19" w:rsidRDefault="007968EC" w:rsidP="007968EC">
      <w:pPr>
        <w:pStyle w:val="ANTECEDENTES"/>
        <w:rPr>
          <w:u w:val="single"/>
        </w:rPr>
      </w:pPr>
      <w:r w:rsidRPr="002C0D19">
        <w:t>(Este artículo fue renumerado mediante Circular 19 del 28 de diciembre de 2016, publicada en el Boletín Normativo No. 024 del 28 de diciembre de 2016. Rige a partir del 29 de diciembre de 2016.)</w:t>
      </w:r>
      <w:bookmarkEnd w:id="3331"/>
      <w:bookmarkEnd w:id="3332"/>
      <w:bookmarkEnd w:id="3333"/>
      <w:bookmarkEnd w:id="3334"/>
      <w:bookmarkEnd w:id="3335"/>
      <w:bookmarkEnd w:id="3336"/>
      <w:bookmarkEnd w:id="3337"/>
      <w:bookmarkEnd w:id="3338"/>
      <w:r w:rsidRPr="002C0D19">
        <w:t xml:space="preserve"> </w:t>
      </w:r>
    </w:p>
    <w:p w14:paraId="1805BCE7" w14:textId="77777777" w:rsidR="007968EC" w:rsidRPr="002C0D19" w:rsidRDefault="007968EC" w:rsidP="007968EC">
      <w:pPr>
        <w:tabs>
          <w:tab w:val="left" w:pos="5988"/>
        </w:tabs>
        <w:jc w:val="both"/>
        <w:rPr>
          <w:rFonts w:ascii="Arial Narrow" w:hAnsi="Arial Narrow" w:cs="Arial"/>
          <w:bCs/>
          <w:color w:val="000000" w:themeColor="text1"/>
          <w:lang w:val="es-ES" w:eastAsia="es-ES"/>
        </w:rPr>
      </w:pPr>
    </w:p>
    <w:p w14:paraId="2F2CA2B7"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Considerando lo indicado en el Decreto 1797 de 2008 del Ministerio de Hacienda y Crédito Público, respecto a la obligación de comunicar a las sociedades administradoras de los depósitos centralizados de valores la información requerida para la expedición de las constancias de enajenación en las órdenes de transferencia de los títulos, la Cámara procederá como se indica a continuación en las ordenes de transferencia que realice al Deceval:</w:t>
      </w:r>
    </w:p>
    <w:p w14:paraId="5E6B142E" w14:textId="77777777" w:rsidR="007968EC" w:rsidRPr="002C0D19" w:rsidRDefault="007968EC" w:rsidP="007968EC">
      <w:pPr>
        <w:jc w:val="both"/>
        <w:rPr>
          <w:rFonts w:ascii="Arial Narrow" w:hAnsi="Arial Narrow" w:cs="Arial"/>
          <w:color w:val="000000" w:themeColor="text1"/>
          <w:lang w:val="es-ES" w:eastAsia="es-ES"/>
        </w:rPr>
      </w:pPr>
    </w:p>
    <w:p w14:paraId="4CF21069" w14:textId="77777777" w:rsidR="007968EC" w:rsidRPr="002C0D19" w:rsidRDefault="007968EC" w:rsidP="007968EC">
      <w:pPr>
        <w:numPr>
          <w:ilvl w:val="0"/>
          <w:numId w:val="2"/>
        </w:numPr>
        <w:tabs>
          <w:tab w:val="num" w:pos="540"/>
        </w:tabs>
        <w:ind w:left="540" w:hanging="54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La orden de transferencia de los títulos de las Cuentas de los Titulares con Posición neta vendedora a la Cuenta de la Cámara no indicará los datos de la constancia a trasladar. Sin embargo, si el Titular tiene calidad tributaria de CONTRIBUYENTE NO AUTO y el saldo que se ordena trasladar tiene constancia de enajenación, el depósito realiza un traslado proporcional de la misma. </w:t>
      </w:r>
    </w:p>
    <w:p w14:paraId="7D6C74F7" w14:textId="77777777" w:rsidR="007968EC" w:rsidRPr="002C0D19" w:rsidRDefault="007968EC" w:rsidP="007968EC">
      <w:pPr>
        <w:jc w:val="both"/>
        <w:rPr>
          <w:rFonts w:ascii="Arial Narrow" w:hAnsi="Arial Narrow" w:cs="Arial"/>
          <w:color w:val="000000" w:themeColor="text1"/>
          <w:lang w:val="es-ES" w:eastAsia="es-ES"/>
        </w:rPr>
      </w:pPr>
    </w:p>
    <w:p w14:paraId="44D02C5B" w14:textId="77777777" w:rsidR="007968EC" w:rsidRPr="002C0D19" w:rsidRDefault="007968EC" w:rsidP="007968EC">
      <w:pPr>
        <w:numPr>
          <w:ilvl w:val="0"/>
          <w:numId w:val="2"/>
        </w:numPr>
        <w:tabs>
          <w:tab w:val="num" w:pos="540"/>
        </w:tabs>
        <w:ind w:left="540" w:hanging="54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lastRenderedPageBreak/>
        <w:t xml:space="preserve">La orden de transferencia de los títulos de la Cuenta de la Cámara a la Cuenta de los Titulares con Posición neta </w:t>
      </w:r>
      <w:proofErr w:type="gramStart"/>
      <w:r w:rsidRPr="002C0D19">
        <w:rPr>
          <w:rFonts w:ascii="Arial Narrow" w:hAnsi="Arial Narrow" w:cs="Arial"/>
          <w:color w:val="000000" w:themeColor="text1"/>
          <w:lang w:val="es-ES" w:eastAsia="es-ES"/>
        </w:rPr>
        <w:t>compradora,</w:t>
      </w:r>
      <w:proofErr w:type="gramEnd"/>
      <w:r w:rsidRPr="002C0D19">
        <w:rPr>
          <w:rFonts w:ascii="Arial Narrow" w:hAnsi="Arial Narrow" w:cs="Arial"/>
          <w:color w:val="000000" w:themeColor="text1"/>
          <w:lang w:val="es-ES" w:eastAsia="es-ES"/>
        </w:rPr>
        <w:t xml:space="preserve"> llevará los datos de constancia de enajenación para todos los Titulares, independientemente de su calidad tributaria (AUTO, EXENTO, CONTRIBUYENTE NO AUTO) y Deceval sólo la considerará para los Titulares que el depósito tenga clasificados como CONTRIBUYENTES NO AUTOS. </w:t>
      </w:r>
    </w:p>
    <w:p w14:paraId="01426605" w14:textId="77777777" w:rsidR="007968EC" w:rsidRPr="002C0D19" w:rsidRDefault="007968EC" w:rsidP="007968EC">
      <w:pPr>
        <w:tabs>
          <w:tab w:val="left" w:pos="5988"/>
        </w:tabs>
        <w:jc w:val="both"/>
        <w:rPr>
          <w:rFonts w:ascii="Arial Narrow" w:hAnsi="Arial Narrow" w:cs="Arial"/>
          <w:bCs/>
          <w:color w:val="000000" w:themeColor="text1"/>
          <w:lang w:val="es-ES" w:eastAsia="es-ES"/>
        </w:rPr>
      </w:pPr>
    </w:p>
    <w:p w14:paraId="6B5081D0" w14:textId="77777777" w:rsidR="007968EC" w:rsidRDefault="007968EC" w:rsidP="007968EC">
      <w:pPr>
        <w:pStyle w:val="ARTICULO0"/>
      </w:pPr>
      <w:bookmarkStart w:id="3339" w:name="_Toc472592246"/>
      <w:bookmarkStart w:id="3340" w:name="_Toc472593265"/>
      <w:bookmarkStart w:id="3341" w:name="_Toc479057051"/>
      <w:bookmarkStart w:id="3342" w:name="_Toc31716065"/>
      <w:bookmarkStart w:id="3343" w:name="_Toc470775576"/>
      <w:bookmarkStart w:id="3344" w:name="_Toc470779861"/>
      <w:bookmarkStart w:id="3345" w:name="_Toc470780478"/>
      <w:bookmarkStart w:id="3346" w:name="_Toc470780991"/>
      <w:bookmarkStart w:id="3347" w:name="_Toc470784552"/>
      <w:bookmarkStart w:id="3348" w:name="_Toc470785089"/>
      <w:bookmarkStart w:id="3349" w:name="_Toc470791475"/>
      <w:bookmarkStart w:id="3350" w:name="_Toc490066379"/>
      <w:r w:rsidRPr="002C0D19">
        <w:t>Artículo 1.13.1.2. Manejo de retención en la fuente en DCV.</w:t>
      </w:r>
      <w:bookmarkEnd w:id="3339"/>
      <w:bookmarkEnd w:id="3340"/>
      <w:bookmarkEnd w:id="3341"/>
      <w:bookmarkEnd w:id="3342"/>
      <w:r w:rsidRPr="002C0D19">
        <w:t xml:space="preserve"> </w:t>
      </w:r>
    </w:p>
    <w:p w14:paraId="0A910B04" w14:textId="77777777" w:rsidR="007968EC" w:rsidRPr="000E6636" w:rsidRDefault="007968EC" w:rsidP="007968EC">
      <w:pPr>
        <w:autoSpaceDE w:val="0"/>
        <w:autoSpaceDN w:val="0"/>
        <w:jc w:val="both"/>
        <w:rPr>
          <w:rFonts w:ascii="Arial Narrow" w:hAnsi="Arial Narrow" w:cs="Arial"/>
          <w:b/>
          <w:bCs/>
          <w:color w:val="000000" w:themeColor="text1"/>
          <w:lang w:eastAsia="es-ES"/>
        </w:rPr>
      </w:pPr>
    </w:p>
    <w:p w14:paraId="7960609B" w14:textId="77777777" w:rsidR="007968EC" w:rsidRPr="002C0D19" w:rsidRDefault="007968EC" w:rsidP="007968EC">
      <w:pPr>
        <w:pStyle w:val="ANTECEDENTES"/>
        <w:rPr>
          <w:u w:val="single"/>
        </w:rPr>
      </w:pPr>
      <w:r w:rsidRPr="002C0D19">
        <w:t>(Este artículo fue renumerado mediante Circular 19 del 28 de diciembre de 2016, publicada en el Boletín Normativo No. 024 del 28 de diciembre de 2016. Rige a partir del 29 de diciembre de 2016.)</w:t>
      </w:r>
      <w:bookmarkEnd w:id="3343"/>
      <w:bookmarkEnd w:id="3344"/>
      <w:bookmarkEnd w:id="3345"/>
      <w:bookmarkEnd w:id="3346"/>
      <w:bookmarkEnd w:id="3347"/>
      <w:bookmarkEnd w:id="3348"/>
      <w:bookmarkEnd w:id="3349"/>
      <w:bookmarkEnd w:id="3350"/>
    </w:p>
    <w:p w14:paraId="01671771" w14:textId="77777777" w:rsidR="007968EC" w:rsidRPr="002C0D19" w:rsidRDefault="007968EC" w:rsidP="007968EC">
      <w:pPr>
        <w:jc w:val="both"/>
        <w:rPr>
          <w:rFonts w:ascii="Arial Narrow" w:hAnsi="Arial Narrow" w:cs="Arial"/>
          <w:color w:val="000000" w:themeColor="text1"/>
          <w:lang w:val="es-ES" w:eastAsia="es-ES"/>
        </w:rPr>
      </w:pPr>
    </w:p>
    <w:p w14:paraId="6AFB0AB6"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Considerando lo indicado en el Decreto 1797 de 2008 del Ministerio de Hacienda y Crédito Público, respecto a la obligación de comunicar a las sociedades administradoras de los depósitos centralizados de valores la información requerida para la expedición de las constancias de enajenación en las órdenes de transferencia de los títulos, la Cámara procederá como se indica a continuación en las ordenes de transferencia que realice al DCV:</w:t>
      </w:r>
    </w:p>
    <w:p w14:paraId="3BD6DEF5" w14:textId="77777777" w:rsidR="007968EC" w:rsidRPr="002C0D19" w:rsidRDefault="007968EC" w:rsidP="007968EC">
      <w:pPr>
        <w:jc w:val="both"/>
        <w:rPr>
          <w:rFonts w:ascii="Arial Narrow" w:hAnsi="Arial Narrow" w:cs="Arial"/>
          <w:color w:val="000000" w:themeColor="text1"/>
          <w:lang w:val="es-ES" w:eastAsia="es-ES"/>
        </w:rPr>
      </w:pPr>
    </w:p>
    <w:p w14:paraId="3D341F2B" w14:textId="77777777" w:rsidR="007968EC" w:rsidRPr="002C0D19" w:rsidRDefault="007968EC" w:rsidP="007968EC">
      <w:pPr>
        <w:numPr>
          <w:ilvl w:val="0"/>
          <w:numId w:val="3"/>
        </w:numPr>
        <w:tabs>
          <w:tab w:val="num" w:pos="540"/>
        </w:tabs>
        <w:ind w:left="540" w:hanging="54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La orden de transferencia de los títulos de las Cuentas de los Titulares con Posición neta vendedora a la Cuenta de la Cámara no indicará los datos de la constancia a trasladar. Sin embargo, el Miembro debe ingresar los datos directamente en el Sistema interactivo del DCV, si las condiciones tributarias de los Titulares y la modalidad del título lo exigen; de no ser así, la Operación NO se activará.</w:t>
      </w:r>
    </w:p>
    <w:p w14:paraId="139C7703" w14:textId="77777777" w:rsidR="007968EC" w:rsidRPr="00165180" w:rsidRDefault="007968EC" w:rsidP="007968EC">
      <w:pPr>
        <w:jc w:val="both"/>
        <w:rPr>
          <w:rFonts w:ascii="Arial Narrow" w:hAnsi="Arial Narrow" w:cs="Arial"/>
          <w:color w:val="000000" w:themeColor="text1"/>
          <w:lang w:eastAsia="es-ES"/>
        </w:rPr>
      </w:pPr>
    </w:p>
    <w:p w14:paraId="748E5F04" w14:textId="77777777" w:rsidR="007968EC" w:rsidRPr="002C0D19" w:rsidRDefault="007968EC" w:rsidP="007968EC">
      <w:pPr>
        <w:numPr>
          <w:ilvl w:val="0"/>
          <w:numId w:val="3"/>
        </w:numPr>
        <w:tabs>
          <w:tab w:val="num" w:pos="540"/>
        </w:tabs>
        <w:ind w:left="540" w:hanging="54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La orden de transferencia de los títulos de la Cuenta de la Cámara a la Cuenta de los Titulares con Posición neta </w:t>
      </w:r>
      <w:proofErr w:type="gramStart"/>
      <w:r w:rsidRPr="002C0D19">
        <w:rPr>
          <w:rFonts w:ascii="Arial Narrow" w:hAnsi="Arial Narrow" w:cs="Arial"/>
          <w:color w:val="000000" w:themeColor="text1"/>
          <w:lang w:val="es-ES" w:eastAsia="es-ES"/>
        </w:rPr>
        <w:t>compradora,</w:t>
      </w:r>
      <w:proofErr w:type="gramEnd"/>
      <w:r w:rsidRPr="002C0D19">
        <w:rPr>
          <w:rFonts w:ascii="Arial Narrow" w:hAnsi="Arial Narrow" w:cs="Arial"/>
          <w:color w:val="000000" w:themeColor="text1"/>
          <w:lang w:val="es-ES" w:eastAsia="es-ES"/>
        </w:rPr>
        <w:t xml:space="preserve"> llevará los datos de constancia de enajenación para todos los Titulares, independientemente de su calidad tributaria (AUTO, EXENTO, CONTRIBUYENTE NO AUTO) y DCV sólo la considerará para los Titulares que el depósito tenga clasificados como CONTRIBUYENTES NO AUTOS.</w:t>
      </w:r>
    </w:p>
    <w:p w14:paraId="14E00DBF" w14:textId="77777777" w:rsidR="007968EC" w:rsidRPr="002C0D19" w:rsidRDefault="007968EC" w:rsidP="007968EC">
      <w:pPr>
        <w:jc w:val="both"/>
        <w:rPr>
          <w:rFonts w:ascii="Arial Narrow" w:hAnsi="Arial Narrow" w:cs="Arial"/>
          <w:color w:val="000000" w:themeColor="text1"/>
          <w:lang w:val="es-ES" w:eastAsia="es-ES"/>
        </w:rPr>
      </w:pPr>
    </w:p>
    <w:p w14:paraId="727C2470" w14:textId="77777777" w:rsidR="007968EC" w:rsidRDefault="007968EC" w:rsidP="007968EC">
      <w:pPr>
        <w:keepNext/>
        <w:jc w:val="center"/>
        <w:outlineLvl w:val="0"/>
        <w:rPr>
          <w:rFonts w:ascii="Arial Narrow" w:hAnsi="Arial Narrow" w:cs="Arial"/>
          <w:b/>
          <w:kern w:val="32"/>
          <w:szCs w:val="20"/>
          <w:lang w:val="es-ES" w:eastAsia="es-ES"/>
        </w:rPr>
      </w:pPr>
      <w:bookmarkStart w:id="3351" w:name="_Toc470775577"/>
      <w:bookmarkStart w:id="3352" w:name="_Toc470779862"/>
      <w:bookmarkStart w:id="3353" w:name="_Toc470780479"/>
      <w:bookmarkStart w:id="3354" w:name="_Toc470780992"/>
      <w:bookmarkStart w:id="3355" w:name="_Toc470784553"/>
      <w:bookmarkStart w:id="3356" w:name="_Toc470785090"/>
      <w:bookmarkStart w:id="3357" w:name="_Toc470791476"/>
      <w:bookmarkStart w:id="3358" w:name="_Toc472592247"/>
      <w:bookmarkStart w:id="3359" w:name="_Toc472593266"/>
      <w:bookmarkStart w:id="3360" w:name="_Toc479057052"/>
      <w:bookmarkStart w:id="3361" w:name="_Toc490066380"/>
    </w:p>
    <w:p w14:paraId="1F8EC48A" w14:textId="77777777" w:rsidR="007968EC" w:rsidRPr="002C0D19" w:rsidRDefault="007968EC" w:rsidP="007968EC">
      <w:pPr>
        <w:pStyle w:val="TTULO"/>
        <w:rPr>
          <w:lang w:val="es-ES"/>
        </w:rPr>
      </w:pPr>
      <w:bookmarkStart w:id="3362" w:name="_Toc31716066"/>
      <w:r w:rsidRPr="002C0D19">
        <w:rPr>
          <w:lang w:val="es-ES"/>
        </w:rPr>
        <w:t>TÍTULO DÉCIMO CUARTO</w:t>
      </w:r>
      <w:bookmarkEnd w:id="3351"/>
      <w:bookmarkEnd w:id="3352"/>
      <w:bookmarkEnd w:id="3353"/>
      <w:bookmarkEnd w:id="3354"/>
      <w:bookmarkEnd w:id="3355"/>
      <w:bookmarkEnd w:id="3356"/>
      <w:bookmarkEnd w:id="3357"/>
      <w:bookmarkEnd w:id="3358"/>
      <w:bookmarkEnd w:id="3359"/>
      <w:bookmarkEnd w:id="3360"/>
      <w:bookmarkEnd w:id="3361"/>
      <w:bookmarkEnd w:id="3362"/>
    </w:p>
    <w:p w14:paraId="4316B2AE" w14:textId="77777777" w:rsidR="007968EC" w:rsidRPr="002C0D19" w:rsidRDefault="007968EC" w:rsidP="007968EC">
      <w:pPr>
        <w:pStyle w:val="TTULO"/>
        <w:rPr>
          <w:lang w:val="es-ES"/>
        </w:rPr>
      </w:pPr>
    </w:p>
    <w:p w14:paraId="58D1A12A" w14:textId="77777777" w:rsidR="007968EC" w:rsidRPr="002C0D19" w:rsidRDefault="007968EC" w:rsidP="007968EC">
      <w:pPr>
        <w:pStyle w:val="TTULO"/>
        <w:rPr>
          <w:lang w:val="es-ES"/>
        </w:rPr>
      </w:pPr>
      <w:bookmarkStart w:id="3363" w:name="_Toc470775578"/>
      <w:bookmarkStart w:id="3364" w:name="_Toc470779863"/>
      <w:bookmarkStart w:id="3365" w:name="_Toc470780480"/>
      <w:bookmarkStart w:id="3366" w:name="_Toc470780993"/>
      <w:bookmarkStart w:id="3367" w:name="_Toc470784554"/>
      <w:bookmarkStart w:id="3368" w:name="_Toc470785091"/>
      <w:bookmarkStart w:id="3369" w:name="_Toc470791477"/>
      <w:bookmarkStart w:id="3370" w:name="_Toc472592248"/>
      <w:bookmarkStart w:id="3371" w:name="_Toc472593267"/>
      <w:bookmarkStart w:id="3372" w:name="_Toc479057053"/>
      <w:bookmarkStart w:id="3373" w:name="_Toc490066381"/>
      <w:bookmarkStart w:id="3374" w:name="_Toc31716067"/>
      <w:r w:rsidRPr="002C0D19">
        <w:rPr>
          <w:lang w:val="es-ES"/>
        </w:rPr>
        <w:t>CAPÍTULO PRIMERO</w:t>
      </w:r>
      <w:bookmarkEnd w:id="3363"/>
      <w:bookmarkEnd w:id="3364"/>
      <w:bookmarkEnd w:id="3365"/>
      <w:bookmarkEnd w:id="3366"/>
      <w:bookmarkEnd w:id="3367"/>
      <w:bookmarkEnd w:id="3368"/>
      <w:bookmarkEnd w:id="3369"/>
      <w:bookmarkEnd w:id="3370"/>
      <w:bookmarkEnd w:id="3371"/>
      <w:bookmarkEnd w:id="3372"/>
      <w:bookmarkEnd w:id="3373"/>
      <w:bookmarkEnd w:id="3374"/>
    </w:p>
    <w:p w14:paraId="7D20ADEF" w14:textId="77777777" w:rsidR="007968EC" w:rsidRPr="002C0D19" w:rsidRDefault="007968EC" w:rsidP="007968EC">
      <w:pPr>
        <w:pStyle w:val="TTULO"/>
        <w:rPr>
          <w:lang w:val="es-ES"/>
        </w:rPr>
      </w:pPr>
    </w:p>
    <w:p w14:paraId="69BD9651" w14:textId="77777777" w:rsidR="007968EC" w:rsidRPr="002C0D19" w:rsidRDefault="007968EC" w:rsidP="007968EC">
      <w:pPr>
        <w:pStyle w:val="TTULO"/>
        <w:rPr>
          <w:lang w:val="es-ES"/>
        </w:rPr>
      </w:pPr>
      <w:bookmarkStart w:id="3375" w:name="_Toc470775579"/>
      <w:bookmarkStart w:id="3376" w:name="_Toc470779864"/>
      <w:bookmarkStart w:id="3377" w:name="_Toc470780481"/>
      <w:bookmarkStart w:id="3378" w:name="_Toc470780994"/>
      <w:bookmarkStart w:id="3379" w:name="_Toc470784555"/>
      <w:bookmarkStart w:id="3380" w:name="_Toc470785092"/>
      <w:bookmarkStart w:id="3381" w:name="_Toc470791478"/>
      <w:bookmarkStart w:id="3382" w:name="_Toc472592249"/>
      <w:bookmarkStart w:id="3383" w:name="_Toc472593268"/>
      <w:bookmarkStart w:id="3384" w:name="_Toc479057054"/>
      <w:bookmarkStart w:id="3385" w:name="_Toc490066382"/>
      <w:bookmarkStart w:id="3386" w:name="_Toc31716068"/>
      <w:r w:rsidRPr="002C0D19">
        <w:rPr>
          <w:lang w:val="es-ES"/>
        </w:rPr>
        <w:t>INFORMES DE AUDITORÍA</w:t>
      </w:r>
      <w:bookmarkEnd w:id="3375"/>
      <w:bookmarkEnd w:id="3376"/>
      <w:bookmarkEnd w:id="3377"/>
      <w:bookmarkEnd w:id="3378"/>
      <w:bookmarkEnd w:id="3379"/>
      <w:bookmarkEnd w:id="3380"/>
      <w:bookmarkEnd w:id="3381"/>
      <w:bookmarkEnd w:id="3382"/>
      <w:bookmarkEnd w:id="3383"/>
      <w:bookmarkEnd w:id="3384"/>
      <w:bookmarkEnd w:id="3385"/>
      <w:bookmarkEnd w:id="3386"/>
    </w:p>
    <w:p w14:paraId="293CA23B" w14:textId="77777777" w:rsidR="007968EC" w:rsidRPr="002C0D19" w:rsidRDefault="007968EC" w:rsidP="007968EC">
      <w:pPr>
        <w:keepNext/>
        <w:jc w:val="center"/>
        <w:outlineLvl w:val="2"/>
        <w:rPr>
          <w:rFonts w:ascii="Arial Narrow" w:hAnsi="Arial Narrow" w:cs="Arial"/>
          <w:b/>
          <w:color w:val="000000" w:themeColor="text1"/>
          <w:u w:val="single"/>
          <w:lang w:eastAsia="es-ES"/>
        </w:rPr>
      </w:pPr>
    </w:p>
    <w:p w14:paraId="16286E21" w14:textId="77777777" w:rsidR="007968EC" w:rsidRDefault="007968EC" w:rsidP="007968EC">
      <w:pPr>
        <w:keepNext/>
        <w:tabs>
          <w:tab w:val="left" w:pos="1701"/>
        </w:tabs>
        <w:jc w:val="both"/>
        <w:outlineLvl w:val="2"/>
        <w:rPr>
          <w:rFonts w:ascii="Arial Narrow" w:hAnsi="Arial Narrow" w:cs="Arial"/>
          <w:b/>
          <w:color w:val="000000" w:themeColor="text1"/>
          <w:lang w:eastAsia="es-ES"/>
        </w:rPr>
      </w:pPr>
      <w:bookmarkStart w:id="3387" w:name="_Toc31716069"/>
      <w:bookmarkStart w:id="3388" w:name="_Toc472592250"/>
      <w:bookmarkStart w:id="3389" w:name="_Toc472593269"/>
      <w:bookmarkStart w:id="3390" w:name="_Toc479057055"/>
      <w:bookmarkStart w:id="3391" w:name="_Toc470775580"/>
      <w:bookmarkStart w:id="3392" w:name="_Toc470779865"/>
      <w:bookmarkStart w:id="3393" w:name="_Toc470780482"/>
      <w:bookmarkStart w:id="3394" w:name="_Toc470780995"/>
      <w:bookmarkStart w:id="3395" w:name="_Toc470784556"/>
      <w:bookmarkStart w:id="3396" w:name="_Toc470785093"/>
      <w:bookmarkStart w:id="3397" w:name="_Toc470791479"/>
      <w:bookmarkStart w:id="3398" w:name="_Toc490066383"/>
      <w:r w:rsidRPr="000E6636">
        <w:rPr>
          <w:rStyle w:val="ARTICULOCar"/>
          <w:rFonts w:eastAsiaTheme="minorHAnsi"/>
        </w:rPr>
        <w:t>Artículo 1.14.1.1. Informes de Auditoría</w:t>
      </w:r>
      <w:bookmarkEnd w:id="3387"/>
      <w:r w:rsidRPr="002C0D19">
        <w:rPr>
          <w:rFonts w:ascii="Arial Narrow" w:hAnsi="Arial Narrow" w:cs="Arial"/>
          <w:b/>
          <w:color w:val="000000" w:themeColor="text1"/>
          <w:u w:val="single"/>
          <w:lang w:eastAsia="es-ES"/>
        </w:rPr>
        <w:t>.</w:t>
      </w:r>
      <w:bookmarkEnd w:id="3388"/>
      <w:bookmarkEnd w:id="3389"/>
      <w:bookmarkEnd w:id="3390"/>
      <w:r w:rsidRPr="002C0D19">
        <w:rPr>
          <w:rFonts w:ascii="Arial Narrow" w:hAnsi="Arial Narrow" w:cs="Arial"/>
          <w:b/>
          <w:color w:val="000000" w:themeColor="text1"/>
          <w:lang w:eastAsia="es-ES"/>
        </w:rPr>
        <w:t xml:space="preserve"> </w:t>
      </w:r>
    </w:p>
    <w:p w14:paraId="2815A069" w14:textId="77777777" w:rsidR="007968EC" w:rsidRPr="000E6636" w:rsidRDefault="007968EC" w:rsidP="007968EC">
      <w:pPr>
        <w:autoSpaceDE w:val="0"/>
        <w:autoSpaceDN w:val="0"/>
        <w:jc w:val="both"/>
        <w:rPr>
          <w:rFonts w:ascii="Arial Narrow" w:hAnsi="Arial Narrow" w:cs="Arial"/>
          <w:b/>
          <w:bCs/>
          <w:color w:val="000000" w:themeColor="text1"/>
          <w:lang w:eastAsia="es-ES"/>
        </w:rPr>
      </w:pPr>
    </w:p>
    <w:p w14:paraId="60B7AD5D" w14:textId="77777777" w:rsidR="007968EC" w:rsidRPr="002C0D19" w:rsidRDefault="007968EC" w:rsidP="007968EC">
      <w:pPr>
        <w:pStyle w:val="ANTECEDENTES"/>
        <w:rPr>
          <w:u w:val="single"/>
        </w:rPr>
      </w:pPr>
      <w:r w:rsidRPr="002C0D19">
        <w:t>(Este artículo fue renumerado mediante Circular 19 del 28 de diciembre de 2016, publicada en el Boletín Normativo No. 024 del 28 de diciembre de 2016. Rige a partir del 29 de diciembre de 2016.)</w:t>
      </w:r>
      <w:bookmarkEnd w:id="3391"/>
      <w:bookmarkEnd w:id="3392"/>
      <w:bookmarkEnd w:id="3393"/>
      <w:bookmarkEnd w:id="3394"/>
      <w:bookmarkEnd w:id="3395"/>
      <w:bookmarkEnd w:id="3396"/>
      <w:bookmarkEnd w:id="3397"/>
      <w:bookmarkEnd w:id="3398"/>
    </w:p>
    <w:p w14:paraId="0182C518" w14:textId="77777777" w:rsidR="007968EC" w:rsidRPr="002C0D19" w:rsidRDefault="007968EC" w:rsidP="007968EC">
      <w:pPr>
        <w:jc w:val="both"/>
        <w:rPr>
          <w:rFonts w:ascii="Arial Narrow" w:hAnsi="Arial Narrow" w:cs="Arial"/>
          <w:snapToGrid w:val="0"/>
          <w:color w:val="000000" w:themeColor="text1"/>
          <w:lang w:eastAsia="es-ES"/>
        </w:rPr>
      </w:pPr>
    </w:p>
    <w:p w14:paraId="10CFEA4F" w14:textId="77777777" w:rsidR="007968EC" w:rsidRPr="002C0D19" w:rsidRDefault="007968EC" w:rsidP="007968EC">
      <w:pPr>
        <w:jc w:val="both"/>
        <w:rPr>
          <w:rFonts w:ascii="Arial Narrow" w:hAnsi="Arial Narrow" w:cs="Arial"/>
          <w:snapToGrid w:val="0"/>
          <w:color w:val="000000" w:themeColor="text1"/>
          <w:lang w:eastAsia="es-ES"/>
        </w:rPr>
      </w:pPr>
      <w:r w:rsidRPr="002C0D19">
        <w:rPr>
          <w:rFonts w:ascii="Arial Narrow" w:hAnsi="Arial Narrow" w:cs="Arial"/>
          <w:snapToGrid w:val="0"/>
          <w:color w:val="000000" w:themeColor="text1"/>
          <w:lang w:eastAsia="es-ES"/>
        </w:rPr>
        <w:t xml:space="preserve">El Auditor de la Cámara presentará informes periódicos sobre el ejercicio de sus funciones al Comité de Auditoría de la Cámara. </w:t>
      </w:r>
    </w:p>
    <w:p w14:paraId="135CA235" w14:textId="77777777" w:rsidR="007968EC" w:rsidRPr="002C0D19" w:rsidRDefault="007968EC" w:rsidP="007968EC">
      <w:pPr>
        <w:jc w:val="both"/>
        <w:rPr>
          <w:rFonts w:ascii="Arial Narrow" w:hAnsi="Arial Narrow" w:cs="Arial"/>
          <w:snapToGrid w:val="0"/>
          <w:color w:val="000000" w:themeColor="text1"/>
          <w:lang w:eastAsia="es-ES"/>
        </w:rPr>
      </w:pPr>
    </w:p>
    <w:p w14:paraId="63C7917F" w14:textId="77777777" w:rsidR="007968EC" w:rsidRPr="002C0D19" w:rsidRDefault="007968EC" w:rsidP="007968EC">
      <w:pPr>
        <w:jc w:val="both"/>
        <w:rPr>
          <w:rFonts w:ascii="Arial Narrow" w:hAnsi="Arial Narrow" w:cs="Arial"/>
          <w:snapToGrid w:val="0"/>
          <w:color w:val="000000" w:themeColor="text1"/>
          <w:lang w:eastAsia="es-ES"/>
        </w:rPr>
      </w:pPr>
      <w:r w:rsidRPr="002C0D19">
        <w:rPr>
          <w:rFonts w:ascii="Arial Narrow" w:hAnsi="Arial Narrow" w:cs="Arial"/>
          <w:snapToGrid w:val="0"/>
          <w:color w:val="000000" w:themeColor="text1"/>
          <w:lang w:eastAsia="es-ES"/>
        </w:rPr>
        <w:lastRenderedPageBreak/>
        <w:t>Adicionalmente, en el evento en que la Cámara decida contar con un Auditor Externo Informático, éste deberá presentar mensualmente un informe sobre el ejercicio de sus funciones al Gerente.</w:t>
      </w:r>
    </w:p>
    <w:p w14:paraId="7A25AD35" w14:textId="77777777" w:rsidR="007968EC" w:rsidRPr="002C0D19" w:rsidRDefault="007968EC" w:rsidP="007968EC">
      <w:pPr>
        <w:jc w:val="both"/>
        <w:rPr>
          <w:rFonts w:ascii="Arial Narrow" w:hAnsi="Arial Narrow" w:cs="Arial"/>
          <w:snapToGrid w:val="0"/>
          <w:color w:val="000000" w:themeColor="text1"/>
          <w:lang w:eastAsia="es-ES"/>
        </w:rPr>
      </w:pPr>
    </w:p>
    <w:p w14:paraId="1272BA5A" w14:textId="77777777" w:rsidR="007968EC" w:rsidRDefault="007968EC" w:rsidP="007968EC">
      <w:pPr>
        <w:keepNext/>
        <w:jc w:val="center"/>
        <w:outlineLvl w:val="0"/>
        <w:rPr>
          <w:rFonts w:ascii="Arial Narrow" w:hAnsi="Arial Narrow" w:cs="Arial"/>
          <w:b/>
          <w:kern w:val="32"/>
          <w:szCs w:val="20"/>
          <w:lang w:val="es-ES" w:eastAsia="es-ES"/>
        </w:rPr>
      </w:pPr>
      <w:bookmarkStart w:id="3399" w:name="_Toc470775581"/>
      <w:bookmarkStart w:id="3400" w:name="_Toc470779866"/>
      <w:bookmarkStart w:id="3401" w:name="_Toc470780483"/>
      <w:bookmarkStart w:id="3402" w:name="_Toc470780996"/>
      <w:bookmarkStart w:id="3403" w:name="_Toc470784557"/>
      <w:bookmarkStart w:id="3404" w:name="_Toc470785094"/>
      <w:bookmarkStart w:id="3405" w:name="_Toc470791480"/>
      <w:bookmarkStart w:id="3406" w:name="_Toc472592251"/>
      <w:bookmarkStart w:id="3407" w:name="_Toc472593270"/>
      <w:bookmarkStart w:id="3408" w:name="_Toc479057056"/>
      <w:bookmarkStart w:id="3409" w:name="_Toc490066384"/>
    </w:p>
    <w:p w14:paraId="5663B7FB" w14:textId="77777777" w:rsidR="007968EC" w:rsidRPr="002C0D19" w:rsidRDefault="007968EC" w:rsidP="007968EC">
      <w:pPr>
        <w:pStyle w:val="TTULO"/>
        <w:rPr>
          <w:lang w:val="es-ES"/>
        </w:rPr>
      </w:pPr>
      <w:bookmarkStart w:id="3410" w:name="_Toc31716070"/>
      <w:r w:rsidRPr="002C0D19">
        <w:rPr>
          <w:lang w:val="es-ES"/>
        </w:rPr>
        <w:t>TÍTULO DÉCIMO QUINTO</w:t>
      </w:r>
      <w:bookmarkEnd w:id="3399"/>
      <w:bookmarkEnd w:id="3400"/>
      <w:bookmarkEnd w:id="3401"/>
      <w:bookmarkEnd w:id="3402"/>
      <w:bookmarkEnd w:id="3403"/>
      <w:bookmarkEnd w:id="3404"/>
      <w:bookmarkEnd w:id="3405"/>
      <w:bookmarkEnd w:id="3406"/>
      <w:bookmarkEnd w:id="3407"/>
      <w:bookmarkEnd w:id="3408"/>
      <w:bookmarkEnd w:id="3409"/>
      <w:bookmarkEnd w:id="3410"/>
    </w:p>
    <w:p w14:paraId="4A95F53F" w14:textId="77777777" w:rsidR="007968EC" w:rsidRPr="002C0D19" w:rsidRDefault="007968EC" w:rsidP="007968EC">
      <w:pPr>
        <w:pStyle w:val="TTULO"/>
        <w:rPr>
          <w:lang w:val="es-ES"/>
        </w:rPr>
      </w:pPr>
    </w:p>
    <w:p w14:paraId="75EE3C4A" w14:textId="77777777" w:rsidR="007968EC" w:rsidRPr="002C0D19" w:rsidRDefault="007968EC" w:rsidP="007968EC">
      <w:pPr>
        <w:pStyle w:val="TTULO"/>
        <w:rPr>
          <w:lang w:val="es-ES"/>
        </w:rPr>
      </w:pPr>
      <w:bookmarkStart w:id="3411" w:name="_Toc470775582"/>
      <w:bookmarkStart w:id="3412" w:name="_Toc470779867"/>
      <w:bookmarkStart w:id="3413" w:name="_Toc470780484"/>
      <w:bookmarkStart w:id="3414" w:name="_Toc470780997"/>
      <w:bookmarkStart w:id="3415" w:name="_Toc470784558"/>
      <w:bookmarkStart w:id="3416" w:name="_Toc470785095"/>
      <w:bookmarkStart w:id="3417" w:name="_Toc470791481"/>
      <w:bookmarkStart w:id="3418" w:name="_Toc472592252"/>
      <w:bookmarkStart w:id="3419" w:name="_Toc472593271"/>
      <w:bookmarkStart w:id="3420" w:name="_Toc479057057"/>
      <w:bookmarkStart w:id="3421" w:name="_Toc490066385"/>
      <w:bookmarkStart w:id="3422" w:name="_Toc31716071"/>
      <w:r w:rsidRPr="002C0D19">
        <w:rPr>
          <w:lang w:val="es-ES"/>
        </w:rPr>
        <w:t>CAPÍTULO PRIMERO</w:t>
      </w:r>
      <w:bookmarkEnd w:id="3411"/>
      <w:bookmarkEnd w:id="3412"/>
      <w:bookmarkEnd w:id="3413"/>
      <w:bookmarkEnd w:id="3414"/>
      <w:bookmarkEnd w:id="3415"/>
      <w:bookmarkEnd w:id="3416"/>
      <w:bookmarkEnd w:id="3417"/>
      <w:bookmarkEnd w:id="3418"/>
      <w:bookmarkEnd w:id="3419"/>
      <w:bookmarkEnd w:id="3420"/>
      <w:bookmarkEnd w:id="3421"/>
      <w:bookmarkEnd w:id="3422"/>
    </w:p>
    <w:p w14:paraId="4F8BCAE2" w14:textId="77777777" w:rsidR="007968EC" w:rsidRPr="002C0D19" w:rsidRDefault="007968EC" w:rsidP="007968EC">
      <w:pPr>
        <w:pStyle w:val="TTULO"/>
        <w:rPr>
          <w:lang w:val="es-ES"/>
        </w:rPr>
      </w:pPr>
    </w:p>
    <w:p w14:paraId="40F31E70" w14:textId="77777777" w:rsidR="007968EC" w:rsidRPr="002C0D19" w:rsidRDefault="007968EC" w:rsidP="007968EC">
      <w:pPr>
        <w:pStyle w:val="TTULO"/>
        <w:rPr>
          <w:lang w:val="es-ES"/>
        </w:rPr>
      </w:pPr>
      <w:bookmarkStart w:id="3423" w:name="_Toc470775583"/>
      <w:bookmarkStart w:id="3424" w:name="_Toc470779868"/>
      <w:bookmarkStart w:id="3425" w:name="_Toc470780485"/>
      <w:bookmarkStart w:id="3426" w:name="_Toc470780998"/>
      <w:bookmarkStart w:id="3427" w:name="_Toc470784559"/>
      <w:bookmarkStart w:id="3428" w:name="_Toc470785096"/>
      <w:bookmarkStart w:id="3429" w:name="_Toc470791482"/>
      <w:bookmarkStart w:id="3430" w:name="_Toc472592253"/>
      <w:bookmarkStart w:id="3431" w:name="_Toc472593272"/>
      <w:bookmarkStart w:id="3432" w:name="_Toc479057058"/>
      <w:bookmarkStart w:id="3433" w:name="_Toc490066386"/>
      <w:bookmarkStart w:id="3434" w:name="_Toc31716072"/>
      <w:r w:rsidRPr="002C0D19">
        <w:rPr>
          <w:lang w:val="es-ES"/>
        </w:rPr>
        <w:t>REQUERIMIENTOS DE INFRAESTRUCTURA TECNOLÓGICA</w:t>
      </w:r>
      <w:bookmarkEnd w:id="3423"/>
      <w:bookmarkEnd w:id="3424"/>
      <w:bookmarkEnd w:id="3425"/>
      <w:bookmarkEnd w:id="3426"/>
      <w:bookmarkEnd w:id="3427"/>
      <w:bookmarkEnd w:id="3428"/>
      <w:bookmarkEnd w:id="3429"/>
      <w:bookmarkEnd w:id="3430"/>
      <w:bookmarkEnd w:id="3431"/>
      <w:bookmarkEnd w:id="3432"/>
      <w:bookmarkEnd w:id="3433"/>
      <w:bookmarkEnd w:id="3434"/>
    </w:p>
    <w:p w14:paraId="49E37C76" w14:textId="77777777" w:rsidR="007968EC" w:rsidRPr="002C0D19" w:rsidRDefault="007968EC" w:rsidP="007968EC">
      <w:pPr>
        <w:jc w:val="center"/>
        <w:outlineLvl w:val="0"/>
        <w:rPr>
          <w:rFonts w:ascii="Arial Narrow" w:hAnsi="Arial Narrow" w:cs="Arial"/>
          <w:b/>
          <w:color w:val="000000" w:themeColor="text1"/>
          <w:lang w:val="es-ES" w:eastAsia="es-ES"/>
        </w:rPr>
      </w:pPr>
    </w:p>
    <w:p w14:paraId="372AA98A" w14:textId="77777777" w:rsidR="007968EC" w:rsidRDefault="007968EC" w:rsidP="007968EC">
      <w:pPr>
        <w:pStyle w:val="ARTICULO0"/>
      </w:pPr>
      <w:bookmarkStart w:id="3435" w:name="_Toc472592254"/>
      <w:bookmarkStart w:id="3436" w:name="_Toc472593273"/>
      <w:bookmarkStart w:id="3437" w:name="_Toc479057059"/>
      <w:bookmarkStart w:id="3438" w:name="_Toc31716073"/>
      <w:bookmarkStart w:id="3439" w:name="_Toc470775584"/>
      <w:bookmarkStart w:id="3440" w:name="_Toc470779869"/>
      <w:bookmarkStart w:id="3441" w:name="_Toc470780486"/>
      <w:bookmarkStart w:id="3442" w:name="_Toc470780999"/>
      <w:bookmarkStart w:id="3443" w:name="_Toc470784560"/>
      <w:bookmarkStart w:id="3444" w:name="_Toc470785097"/>
      <w:bookmarkStart w:id="3445" w:name="_Toc470791483"/>
      <w:bookmarkStart w:id="3446" w:name="_Toc490066387"/>
      <w:r w:rsidRPr="002C0D19">
        <w:t>Artículo 1.15.1.1. Definiciones.</w:t>
      </w:r>
      <w:bookmarkEnd w:id="3435"/>
      <w:bookmarkEnd w:id="3436"/>
      <w:bookmarkEnd w:id="3437"/>
      <w:bookmarkEnd w:id="3438"/>
      <w:r w:rsidRPr="002C0D19">
        <w:t xml:space="preserve"> </w:t>
      </w:r>
    </w:p>
    <w:p w14:paraId="7AB6D178" w14:textId="77777777" w:rsidR="007968EC" w:rsidRPr="000E6636" w:rsidRDefault="007968EC" w:rsidP="007968EC">
      <w:pPr>
        <w:autoSpaceDE w:val="0"/>
        <w:autoSpaceDN w:val="0"/>
        <w:jc w:val="both"/>
        <w:rPr>
          <w:rFonts w:ascii="Arial Narrow" w:hAnsi="Arial Narrow" w:cs="Arial"/>
          <w:b/>
          <w:bCs/>
          <w:color w:val="000000" w:themeColor="text1"/>
          <w:lang w:eastAsia="es-ES"/>
        </w:rPr>
      </w:pPr>
    </w:p>
    <w:p w14:paraId="528EED97" w14:textId="77777777" w:rsidR="007968EC" w:rsidRPr="002C0D19" w:rsidRDefault="007968EC" w:rsidP="007968EC">
      <w:pPr>
        <w:pStyle w:val="ANTECEDENTES"/>
        <w:rPr>
          <w:u w:val="single"/>
        </w:rPr>
      </w:pPr>
      <w:r w:rsidRPr="002C0D19">
        <w:t>(Este artículo fue modificado mediante Circular 21 del 2 de agosto de 2013, publicada en el Boletín Normativo No. 021 del 2 de agosto de 2013 y mediante Circular 10 del 18 de marzo de 2015, publicada en el Boletín Normativo No. 010 del 18 de marzo d</w:t>
      </w:r>
      <w:r>
        <w:t>e 2015,</w:t>
      </w:r>
      <w:r w:rsidRPr="002C0D19">
        <w:t xml:space="preserve"> renumerado mediante </w:t>
      </w:r>
      <w:r w:rsidRPr="002C0D19">
        <w:rPr>
          <w:lang w:val="es-ES"/>
        </w:rPr>
        <w:t>Circular 19 del 28 de diciembre de 2016, publicada en el Boletín Normativo No. 024 del 28 de diciembre de 2016</w:t>
      </w:r>
      <w:r>
        <w:rPr>
          <w:lang w:val="es-ES"/>
        </w:rPr>
        <w:t xml:space="preserve"> y modificado mediante Circular 7 del 9 de mayo de 2018, publicada en el Boletín Normativo No. 010 del 9 de mayo de 2018</w:t>
      </w:r>
      <w:r w:rsidRPr="002C0D19">
        <w:rPr>
          <w:lang w:val="es-ES"/>
        </w:rPr>
        <w:t xml:space="preserve">. </w:t>
      </w:r>
      <w:r>
        <w:t>Rige a partir del 21</w:t>
      </w:r>
      <w:r w:rsidRPr="002C0D19">
        <w:t xml:space="preserve"> de </w:t>
      </w:r>
      <w:r>
        <w:t>mayo de 2018</w:t>
      </w:r>
      <w:r w:rsidRPr="002C0D19">
        <w:t>.</w:t>
      </w:r>
      <w:r w:rsidRPr="002C0D19">
        <w:rPr>
          <w:lang w:val="es-ES"/>
        </w:rPr>
        <w:t>)</w:t>
      </w:r>
      <w:bookmarkEnd w:id="3439"/>
      <w:bookmarkEnd w:id="3440"/>
      <w:bookmarkEnd w:id="3441"/>
      <w:bookmarkEnd w:id="3442"/>
      <w:bookmarkEnd w:id="3443"/>
      <w:bookmarkEnd w:id="3444"/>
      <w:bookmarkEnd w:id="3445"/>
      <w:bookmarkEnd w:id="3446"/>
    </w:p>
    <w:p w14:paraId="503DA394" w14:textId="77777777" w:rsidR="007968EC" w:rsidRPr="002C0D19" w:rsidRDefault="007968EC" w:rsidP="007968EC">
      <w:pPr>
        <w:jc w:val="both"/>
        <w:rPr>
          <w:rFonts w:ascii="Arial Narrow" w:hAnsi="Arial Narrow" w:cs="Arial"/>
          <w:color w:val="000000" w:themeColor="text1"/>
          <w:lang w:val="es-ES" w:eastAsia="es-ES"/>
        </w:rPr>
      </w:pPr>
    </w:p>
    <w:p w14:paraId="67B949EB" w14:textId="77777777" w:rsidR="007968EC" w:rsidRPr="00C93DB5" w:rsidRDefault="007968EC" w:rsidP="007968EC">
      <w:pPr>
        <w:jc w:val="both"/>
        <w:rPr>
          <w:rFonts w:ascii="Arial Narrow" w:hAnsi="Arial Narrow" w:cs="Arial"/>
          <w:color w:val="000000" w:themeColor="text1"/>
          <w:lang w:val="es-MX" w:eastAsia="es-ES"/>
        </w:rPr>
      </w:pPr>
      <w:r w:rsidRPr="00C93DB5">
        <w:rPr>
          <w:rFonts w:ascii="Arial Narrow" w:hAnsi="Arial Narrow" w:cs="Arial"/>
          <w:color w:val="000000" w:themeColor="text1"/>
          <w:u w:val="single"/>
          <w:lang w:val="es-MX" w:eastAsia="es-ES"/>
        </w:rPr>
        <w:t xml:space="preserve">Terminal </w:t>
      </w:r>
      <w:proofErr w:type="spellStart"/>
      <w:r w:rsidRPr="00C93DB5">
        <w:rPr>
          <w:rFonts w:ascii="Arial Narrow" w:hAnsi="Arial Narrow" w:cs="Arial"/>
          <w:color w:val="000000" w:themeColor="text1"/>
          <w:u w:val="single"/>
          <w:lang w:val="es-MX" w:eastAsia="es-ES"/>
        </w:rPr>
        <w:t>Station</w:t>
      </w:r>
      <w:proofErr w:type="spellEnd"/>
      <w:r w:rsidRPr="00C93DB5">
        <w:rPr>
          <w:rFonts w:ascii="Arial Narrow" w:hAnsi="Arial Narrow" w:cs="Arial"/>
          <w:color w:val="000000" w:themeColor="text1"/>
          <w:lang w:val="es-MX" w:eastAsia="es-ES"/>
        </w:rPr>
        <w:t>: Es la aplicación básica y necesaria para que los Miembros operen y accedan a la información que diariamente le proporcionará la Cámara para la Compensación y Liquidación de sus operaciones.</w:t>
      </w:r>
    </w:p>
    <w:p w14:paraId="4A559E74" w14:textId="77777777" w:rsidR="007968EC" w:rsidRPr="00C93DB5" w:rsidRDefault="007968EC" w:rsidP="007968EC">
      <w:pPr>
        <w:jc w:val="both"/>
        <w:rPr>
          <w:rFonts w:ascii="Arial Narrow" w:hAnsi="Arial Narrow" w:cs="Arial"/>
          <w:color w:val="000000" w:themeColor="text1"/>
          <w:lang w:val="es-MX" w:eastAsia="es-ES"/>
        </w:rPr>
      </w:pPr>
    </w:p>
    <w:p w14:paraId="51AC9910" w14:textId="77777777" w:rsidR="007968EC" w:rsidRPr="00C93DB5" w:rsidRDefault="007968EC" w:rsidP="007968EC">
      <w:pPr>
        <w:jc w:val="both"/>
        <w:rPr>
          <w:rFonts w:ascii="Arial Narrow" w:hAnsi="Arial Narrow" w:cs="Arial"/>
          <w:color w:val="000000" w:themeColor="text1"/>
          <w:lang w:val="es-MX" w:eastAsia="es-ES"/>
        </w:rPr>
      </w:pPr>
      <w:r w:rsidRPr="00C93DB5">
        <w:rPr>
          <w:rFonts w:ascii="Arial Narrow" w:hAnsi="Arial Narrow" w:cs="Arial"/>
          <w:color w:val="000000" w:themeColor="text1"/>
          <w:u w:val="single"/>
          <w:lang w:val="es-MX" w:eastAsia="es-ES"/>
        </w:rPr>
        <w:t>Terminal Server</w:t>
      </w:r>
      <w:r w:rsidRPr="00C93DB5">
        <w:rPr>
          <w:rFonts w:ascii="Arial Narrow" w:hAnsi="Arial Narrow" w:cs="Arial"/>
          <w:color w:val="000000" w:themeColor="text1"/>
          <w:lang w:val="es-MX" w:eastAsia="es-ES"/>
        </w:rPr>
        <w:t>: Es una aplicación que obtiene diariamente la información de cada sesión de la Cámara y almacena dicha información manteniendo un historial de Liquidación y Compensación.</w:t>
      </w:r>
    </w:p>
    <w:p w14:paraId="6578DB3E" w14:textId="77777777" w:rsidR="007968EC" w:rsidRPr="00C93DB5" w:rsidRDefault="007968EC" w:rsidP="007968EC">
      <w:pPr>
        <w:jc w:val="both"/>
        <w:rPr>
          <w:rFonts w:ascii="Arial Narrow" w:hAnsi="Arial Narrow" w:cs="Arial"/>
          <w:color w:val="000000" w:themeColor="text1"/>
          <w:lang w:val="es-MX" w:eastAsia="es-ES"/>
        </w:rPr>
      </w:pPr>
    </w:p>
    <w:p w14:paraId="687FD0F5" w14:textId="77777777" w:rsidR="007968EC" w:rsidRPr="00C93DB5" w:rsidRDefault="007968EC" w:rsidP="007968EC">
      <w:pPr>
        <w:jc w:val="both"/>
        <w:rPr>
          <w:rFonts w:ascii="Arial Narrow" w:hAnsi="Arial Narrow" w:cs="Arial"/>
          <w:color w:val="000000" w:themeColor="text1"/>
          <w:lang w:val="es-MX" w:eastAsia="es-ES"/>
        </w:rPr>
      </w:pPr>
      <w:r w:rsidRPr="00C93DB5">
        <w:rPr>
          <w:rFonts w:ascii="Arial Narrow" w:hAnsi="Arial Narrow" w:cs="Arial"/>
          <w:color w:val="000000" w:themeColor="text1"/>
          <w:u w:val="single"/>
          <w:lang w:val="es-MX" w:eastAsia="es-ES"/>
        </w:rPr>
        <w:t xml:space="preserve">Terminal Gate </w:t>
      </w:r>
      <w:proofErr w:type="spellStart"/>
      <w:r w:rsidRPr="00C93DB5">
        <w:rPr>
          <w:rFonts w:ascii="Arial Narrow" w:hAnsi="Arial Narrow" w:cs="Arial"/>
          <w:color w:val="000000" w:themeColor="text1"/>
          <w:u w:val="single"/>
          <w:lang w:val="es-MX" w:eastAsia="es-ES"/>
        </w:rPr>
        <w:t>Fix</w:t>
      </w:r>
      <w:proofErr w:type="spellEnd"/>
      <w:r w:rsidRPr="00C93DB5">
        <w:rPr>
          <w:rFonts w:ascii="Arial Narrow" w:hAnsi="Arial Narrow" w:cs="Arial"/>
          <w:color w:val="000000" w:themeColor="text1"/>
          <w:lang w:val="es-MX" w:eastAsia="es-ES"/>
        </w:rPr>
        <w:t xml:space="preserve">: Es una aplicación que se instala en un servidor con el fin de poder automatizar todas las funcionalidades ofrecidas por la Terminal </w:t>
      </w:r>
      <w:proofErr w:type="spellStart"/>
      <w:r w:rsidRPr="00C93DB5">
        <w:rPr>
          <w:rFonts w:ascii="Arial Narrow" w:hAnsi="Arial Narrow" w:cs="Arial"/>
          <w:color w:val="000000" w:themeColor="text1"/>
          <w:lang w:val="es-MX" w:eastAsia="es-ES"/>
        </w:rPr>
        <w:t>Station</w:t>
      </w:r>
      <w:proofErr w:type="spellEnd"/>
      <w:r w:rsidRPr="00C93DB5">
        <w:rPr>
          <w:rFonts w:ascii="Arial Narrow" w:hAnsi="Arial Narrow" w:cs="Arial"/>
          <w:color w:val="000000" w:themeColor="text1"/>
          <w:lang w:val="es-MX" w:eastAsia="es-ES"/>
        </w:rPr>
        <w:t xml:space="preserve"> y de esta forma optimizar determinadas tareas al interior de cada Miembro.</w:t>
      </w:r>
    </w:p>
    <w:p w14:paraId="0A803560" w14:textId="77777777" w:rsidR="007968EC" w:rsidRPr="00C93DB5" w:rsidRDefault="007968EC" w:rsidP="007968EC">
      <w:pPr>
        <w:jc w:val="both"/>
        <w:rPr>
          <w:rFonts w:ascii="Arial Narrow" w:hAnsi="Arial Narrow" w:cs="Arial"/>
          <w:color w:val="000000" w:themeColor="text1"/>
          <w:lang w:val="es-MX" w:eastAsia="es-ES"/>
        </w:rPr>
      </w:pPr>
    </w:p>
    <w:p w14:paraId="738C6CB4" w14:textId="77777777" w:rsidR="007968EC" w:rsidRPr="00C93DB5" w:rsidRDefault="007968EC" w:rsidP="007968EC">
      <w:pPr>
        <w:jc w:val="both"/>
        <w:rPr>
          <w:rFonts w:ascii="Arial Narrow" w:hAnsi="Arial Narrow" w:cs="Arial"/>
          <w:color w:val="000000" w:themeColor="text1"/>
          <w:lang w:val="es-MX" w:eastAsia="es-ES"/>
        </w:rPr>
      </w:pPr>
      <w:r w:rsidRPr="00C93DB5">
        <w:rPr>
          <w:rFonts w:ascii="Arial Narrow" w:hAnsi="Arial Narrow" w:cs="Arial"/>
          <w:color w:val="000000" w:themeColor="text1"/>
          <w:u w:val="single"/>
          <w:lang w:val="es-MX" w:eastAsia="es-ES"/>
        </w:rPr>
        <w:t>Portal CRCC</w:t>
      </w:r>
      <w:r w:rsidRPr="00C93DB5">
        <w:rPr>
          <w:rFonts w:ascii="Arial Narrow" w:hAnsi="Arial Narrow" w:cs="Arial"/>
          <w:color w:val="000000" w:themeColor="text1"/>
          <w:lang w:val="es-MX" w:eastAsia="es-ES"/>
        </w:rPr>
        <w:t xml:space="preserve">: Es la aplicación Web que le permite al Miembro y/o Agente tener acceso a toda la información de la Cámara de forma sencilla y consolidada. Se puede acceder desde cualquier Navegador ubicado en las instalaciones del Miembro y/o Agente. El acceso al Portal CRCC, se realizará desde la página web de la Cámara: www.camaraderiesgo.com.co. Previamente, se debe haber inscrito las direcciones </w:t>
      </w:r>
      <w:proofErr w:type="spellStart"/>
      <w:r w:rsidRPr="00C93DB5">
        <w:rPr>
          <w:rFonts w:ascii="Arial Narrow" w:hAnsi="Arial Narrow" w:cs="Arial"/>
          <w:color w:val="000000" w:themeColor="text1"/>
          <w:lang w:val="es-MX" w:eastAsia="es-ES"/>
        </w:rPr>
        <w:t>IP`s</w:t>
      </w:r>
      <w:proofErr w:type="spellEnd"/>
      <w:r w:rsidRPr="00C93DB5">
        <w:rPr>
          <w:rFonts w:ascii="Arial Narrow" w:hAnsi="Arial Narrow" w:cs="Arial"/>
          <w:color w:val="000000" w:themeColor="text1"/>
          <w:lang w:val="es-MX" w:eastAsia="es-ES"/>
        </w:rPr>
        <w:t xml:space="preserve"> del Miembro y/o Agente.</w:t>
      </w:r>
    </w:p>
    <w:p w14:paraId="6D332482" w14:textId="77777777" w:rsidR="007968EC" w:rsidRPr="00C93DB5" w:rsidRDefault="007968EC" w:rsidP="007968EC">
      <w:pPr>
        <w:jc w:val="both"/>
        <w:rPr>
          <w:rFonts w:ascii="Arial Narrow" w:hAnsi="Arial Narrow" w:cs="Arial"/>
          <w:color w:val="000000" w:themeColor="text1"/>
          <w:lang w:val="es-MX" w:eastAsia="es-ES"/>
        </w:rPr>
      </w:pPr>
    </w:p>
    <w:p w14:paraId="5E0C7773" w14:textId="77777777" w:rsidR="007968EC" w:rsidRPr="00C93DB5" w:rsidRDefault="007968EC" w:rsidP="007968EC">
      <w:pPr>
        <w:jc w:val="both"/>
        <w:rPr>
          <w:rFonts w:ascii="Arial Narrow" w:hAnsi="Arial Narrow" w:cs="Arial"/>
          <w:color w:val="000000" w:themeColor="text1"/>
          <w:lang w:val="es-MX" w:eastAsia="es-ES"/>
        </w:rPr>
      </w:pPr>
      <w:proofErr w:type="spellStart"/>
      <w:r w:rsidRPr="00C93DB5">
        <w:rPr>
          <w:rFonts w:ascii="Arial Narrow" w:hAnsi="Arial Narrow" w:cs="Arial"/>
          <w:color w:val="000000" w:themeColor="text1"/>
          <w:u w:val="single"/>
          <w:lang w:val="es-MX" w:eastAsia="es-ES"/>
        </w:rPr>
        <w:t>SwaMi</w:t>
      </w:r>
      <w:proofErr w:type="spellEnd"/>
      <w:r w:rsidRPr="00C93DB5">
        <w:rPr>
          <w:rFonts w:ascii="Arial Narrow" w:hAnsi="Arial Narrow" w:cs="Arial"/>
          <w:color w:val="000000" w:themeColor="text1"/>
          <w:u w:val="single"/>
          <w:lang w:val="es-MX" w:eastAsia="es-ES"/>
        </w:rPr>
        <w:t>:</w:t>
      </w:r>
      <w:r w:rsidRPr="00C93DB5">
        <w:rPr>
          <w:rFonts w:ascii="Arial Narrow" w:hAnsi="Arial Narrow" w:cs="Arial"/>
          <w:color w:val="000000" w:themeColor="text1"/>
          <w:lang w:val="es-MX" w:eastAsia="es-ES"/>
        </w:rPr>
        <w:t xml:space="preserve"> Es una aplicación de simulación de Garantías que permite replicar los cálculos del Initial Margin realizados por la Cámara para el Segmento Swaps.</w:t>
      </w:r>
    </w:p>
    <w:p w14:paraId="1F4F6A18" w14:textId="77777777" w:rsidR="007968EC" w:rsidRPr="00C93DB5" w:rsidRDefault="007968EC" w:rsidP="007968EC">
      <w:pPr>
        <w:jc w:val="both"/>
        <w:rPr>
          <w:rFonts w:ascii="Arial Narrow" w:hAnsi="Arial Narrow" w:cs="Arial"/>
          <w:color w:val="000000" w:themeColor="text1"/>
          <w:lang w:val="es-MX" w:eastAsia="es-ES"/>
        </w:rPr>
      </w:pPr>
    </w:p>
    <w:p w14:paraId="44A5E319" w14:textId="77777777" w:rsidR="007968EC" w:rsidRPr="002C0D19" w:rsidRDefault="007968EC" w:rsidP="007968EC">
      <w:pPr>
        <w:jc w:val="both"/>
        <w:rPr>
          <w:rFonts w:ascii="Arial Narrow" w:hAnsi="Arial Narrow" w:cs="Arial"/>
          <w:color w:val="000000" w:themeColor="text1"/>
          <w:lang w:val="es-MX" w:eastAsia="es-ES"/>
        </w:rPr>
      </w:pPr>
      <w:r w:rsidRPr="00C93DB5">
        <w:rPr>
          <w:rFonts w:ascii="Arial Narrow" w:hAnsi="Arial Narrow" w:cs="Arial"/>
          <w:b/>
          <w:color w:val="000000" w:themeColor="text1"/>
          <w:lang w:val="es-MX" w:eastAsia="es-ES"/>
        </w:rPr>
        <w:t>Parágrafo.</w:t>
      </w:r>
      <w:r w:rsidRPr="00C93DB5">
        <w:rPr>
          <w:rFonts w:ascii="Arial Narrow" w:hAnsi="Arial Narrow" w:cs="Arial"/>
          <w:color w:val="000000" w:themeColor="text1"/>
          <w:lang w:val="es-MX" w:eastAsia="es-ES"/>
        </w:rPr>
        <w:t xml:space="preserve"> La información suministrada al Agente por medio del Portal CRCC está sujeta a los permisos otorgados por el Miembro Liquidador al momento de crear las cuentas de los Terceros en SAS, de que trata el Artículo 1.4.1.2 de la Circular.</w:t>
      </w:r>
    </w:p>
    <w:p w14:paraId="2B0621C1" w14:textId="77777777" w:rsidR="007968EC" w:rsidRPr="00165180" w:rsidRDefault="007968EC" w:rsidP="007968EC">
      <w:pPr>
        <w:jc w:val="both"/>
        <w:rPr>
          <w:rFonts w:ascii="Arial Narrow" w:hAnsi="Arial Narrow" w:cs="Arial"/>
          <w:color w:val="000000" w:themeColor="text1"/>
          <w:lang w:eastAsia="es-ES"/>
        </w:rPr>
      </w:pPr>
    </w:p>
    <w:p w14:paraId="2549C3A1" w14:textId="77777777" w:rsidR="007968EC" w:rsidRPr="00D521B2" w:rsidRDefault="007968EC" w:rsidP="007968EC">
      <w:pPr>
        <w:pStyle w:val="ARTICULO0"/>
      </w:pPr>
      <w:bookmarkStart w:id="3447" w:name="_Toc479057060"/>
      <w:bookmarkStart w:id="3448" w:name="_Toc31716074"/>
      <w:bookmarkStart w:id="3449" w:name="_Toc470775585"/>
      <w:bookmarkStart w:id="3450" w:name="_Toc470779870"/>
      <w:bookmarkStart w:id="3451" w:name="_Toc470780487"/>
      <w:bookmarkStart w:id="3452" w:name="_Toc470781000"/>
      <w:bookmarkStart w:id="3453" w:name="_Toc470784561"/>
      <w:bookmarkStart w:id="3454" w:name="_Toc470785098"/>
      <w:bookmarkStart w:id="3455" w:name="_Toc470791484"/>
      <w:bookmarkStart w:id="3456" w:name="_Toc472592255"/>
      <w:bookmarkStart w:id="3457" w:name="_Toc472593274"/>
      <w:bookmarkStart w:id="3458" w:name="_Toc490066388"/>
      <w:r w:rsidRPr="00D521B2">
        <w:lastRenderedPageBreak/>
        <w:t>Artículo 1.15.1.2. Requerimientos de Infraestructura de Comunicaciones.</w:t>
      </w:r>
      <w:bookmarkEnd w:id="3447"/>
      <w:bookmarkEnd w:id="3448"/>
      <w:r w:rsidRPr="00D521B2">
        <w:t xml:space="preserve"> </w:t>
      </w:r>
    </w:p>
    <w:p w14:paraId="19E2BB27" w14:textId="77777777" w:rsidR="007968EC" w:rsidRPr="000E6636" w:rsidRDefault="007968EC" w:rsidP="007968EC">
      <w:pPr>
        <w:autoSpaceDE w:val="0"/>
        <w:autoSpaceDN w:val="0"/>
        <w:jc w:val="both"/>
        <w:rPr>
          <w:rFonts w:ascii="Arial Narrow" w:hAnsi="Arial Narrow" w:cs="Arial"/>
          <w:b/>
          <w:bCs/>
          <w:color w:val="000000" w:themeColor="text1"/>
          <w:lang w:eastAsia="es-ES"/>
        </w:rPr>
      </w:pPr>
    </w:p>
    <w:p w14:paraId="2A327B78" w14:textId="77777777" w:rsidR="007968EC" w:rsidRPr="002C0D19" w:rsidRDefault="007968EC" w:rsidP="007968EC">
      <w:pPr>
        <w:pStyle w:val="ANTECEDENTES"/>
        <w:rPr>
          <w:u w:val="single"/>
        </w:rPr>
      </w:pPr>
      <w:r w:rsidRPr="002C0D19">
        <w:t xml:space="preserve">(Este artículo fue modificado mediante Circular 21 del 2 de agosto de 2013, publicada en el Boletín Normativo No. 021 del 2 de agosto de 2013 y mediante Circular 10 del 18 de marzo de 2015, publicada en el Boletín Normativo No. 010 del </w:t>
      </w:r>
      <w:r>
        <w:t xml:space="preserve">18 de marzo de 2015, </w:t>
      </w:r>
      <w:r w:rsidRPr="002C0D19">
        <w:t>renumerado mediante Circular 19 del 28 de diciembre de 2016, publicada en el Boletín Normativo No. 024 del 28 de diciembre de 2016</w:t>
      </w:r>
      <w:r>
        <w:t xml:space="preserve"> y modificado mediante Circular 7 del 9 de mayo de 2018, publicada en el Boletín Normativo No. 010 del 9 de mayo de 2018. Rige a partir del 21</w:t>
      </w:r>
      <w:r w:rsidRPr="002C0D19">
        <w:t xml:space="preserve"> de </w:t>
      </w:r>
      <w:r>
        <w:t>mayo de 2018</w:t>
      </w:r>
      <w:r w:rsidRPr="002C0D19">
        <w:t>.)</w:t>
      </w:r>
      <w:bookmarkEnd w:id="3449"/>
      <w:bookmarkEnd w:id="3450"/>
      <w:bookmarkEnd w:id="3451"/>
      <w:bookmarkEnd w:id="3452"/>
      <w:bookmarkEnd w:id="3453"/>
      <w:bookmarkEnd w:id="3454"/>
      <w:bookmarkEnd w:id="3455"/>
      <w:bookmarkEnd w:id="3456"/>
      <w:bookmarkEnd w:id="3457"/>
      <w:bookmarkEnd w:id="3458"/>
    </w:p>
    <w:p w14:paraId="6DB77C30" w14:textId="77777777" w:rsidR="007968EC" w:rsidRPr="002C0D19" w:rsidRDefault="007968EC" w:rsidP="007968EC">
      <w:pPr>
        <w:jc w:val="both"/>
        <w:rPr>
          <w:rFonts w:ascii="Arial Narrow" w:hAnsi="Arial Narrow" w:cs="Arial"/>
          <w:color w:val="000000" w:themeColor="text1"/>
          <w:lang w:val="es-ES" w:eastAsia="es-ES"/>
        </w:rPr>
      </w:pPr>
    </w:p>
    <w:p w14:paraId="33243639" w14:textId="77777777" w:rsidR="007968EC" w:rsidRPr="00C93DB5" w:rsidRDefault="007968EC" w:rsidP="007968EC">
      <w:pPr>
        <w:jc w:val="both"/>
        <w:rPr>
          <w:rFonts w:ascii="Arial Narrow" w:hAnsi="Arial Narrow" w:cs="Arial"/>
          <w:bCs/>
          <w:iCs/>
          <w:color w:val="000000" w:themeColor="text1"/>
          <w:lang w:val="es-ES" w:eastAsia="es-ES"/>
        </w:rPr>
      </w:pPr>
      <w:r w:rsidRPr="00C93DB5">
        <w:rPr>
          <w:rFonts w:ascii="Arial Narrow" w:hAnsi="Arial Narrow" w:cs="Arial"/>
          <w:iCs/>
          <w:color w:val="000000" w:themeColor="text1"/>
          <w:lang w:val="es-ES" w:eastAsia="es-ES"/>
        </w:rPr>
        <w:t xml:space="preserve">Las características </w:t>
      </w:r>
      <w:r w:rsidRPr="00C93DB5">
        <w:rPr>
          <w:rFonts w:ascii="Arial Narrow" w:hAnsi="Arial Narrow" w:cs="Arial"/>
          <w:color w:val="000000" w:themeColor="text1"/>
          <w:lang w:val="es-ES" w:eastAsia="es-ES"/>
        </w:rPr>
        <w:t>de la infraestructura de comunicaciones con el Sistema central de la Cámara son las siguientes:</w:t>
      </w:r>
    </w:p>
    <w:p w14:paraId="0F40FB0E" w14:textId="77777777" w:rsidR="007968EC" w:rsidRPr="00C93DB5" w:rsidRDefault="007968EC" w:rsidP="007968EC">
      <w:pPr>
        <w:rPr>
          <w:rFonts w:ascii="Arial Narrow" w:hAnsi="Arial Narrow" w:cs="Arial"/>
          <w:color w:val="000000" w:themeColor="text1"/>
          <w:lang w:val="es-MX" w:eastAsia="es-ES"/>
        </w:rPr>
      </w:pPr>
    </w:p>
    <w:p w14:paraId="4AEC1377" w14:textId="77777777" w:rsidR="007968EC" w:rsidRPr="00C93DB5" w:rsidRDefault="007968EC" w:rsidP="00DA7472">
      <w:pPr>
        <w:numPr>
          <w:ilvl w:val="0"/>
          <w:numId w:val="86"/>
        </w:numPr>
        <w:contextualSpacing/>
        <w:jc w:val="both"/>
        <w:rPr>
          <w:rFonts w:ascii="Arial Narrow" w:hAnsi="Arial Narrow" w:cs="Arial"/>
          <w:color w:val="000000" w:themeColor="text1"/>
          <w:lang w:eastAsia="es-CO"/>
        </w:rPr>
      </w:pPr>
      <w:r w:rsidRPr="00C93DB5">
        <w:rPr>
          <w:rFonts w:ascii="Arial Narrow" w:hAnsi="Arial Narrow" w:cs="Arial"/>
          <w:color w:val="000000" w:themeColor="text1"/>
          <w:lang w:val="es-MX" w:eastAsia="es-CO"/>
        </w:rPr>
        <w:t>Para el acceso al Sistema de Información a través de canales dedicados, deberá contratar sus servicios de comunicaciones con la Unión Temporal - Claro / Level3. Bajo esta modalidad, el Miembro deberá tener equipos de cómputo con dedicación exclusiva para la conectividad entre el Miembro y la Cámara.</w:t>
      </w:r>
    </w:p>
    <w:p w14:paraId="5DB38BBA" w14:textId="77777777" w:rsidR="007968EC" w:rsidRPr="00C93DB5" w:rsidRDefault="007968EC" w:rsidP="007968EC">
      <w:pPr>
        <w:ind w:left="1004"/>
        <w:rPr>
          <w:rFonts w:ascii="Arial Narrow" w:hAnsi="Arial Narrow" w:cs="Arial"/>
          <w:color w:val="000000" w:themeColor="text1"/>
          <w:lang w:eastAsia="es-CO"/>
        </w:rPr>
      </w:pPr>
    </w:p>
    <w:p w14:paraId="4C04540F" w14:textId="77777777" w:rsidR="007968EC" w:rsidRPr="00C93DB5" w:rsidRDefault="007968EC" w:rsidP="00DA7472">
      <w:pPr>
        <w:numPr>
          <w:ilvl w:val="0"/>
          <w:numId w:val="86"/>
        </w:numPr>
        <w:contextualSpacing/>
        <w:jc w:val="both"/>
        <w:rPr>
          <w:rFonts w:ascii="Arial Narrow" w:hAnsi="Arial Narrow" w:cs="Arial"/>
          <w:color w:val="000000" w:themeColor="text1"/>
          <w:lang w:eastAsia="es-CO"/>
        </w:rPr>
      </w:pPr>
      <w:r w:rsidRPr="00C93DB5">
        <w:rPr>
          <w:rFonts w:ascii="Arial Narrow" w:hAnsi="Arial Narrow" w:cs="Arial"/>
          <w:color w:val="000000" w:themeColor="text1"/>
          <w:lang w:eastAsia="es-CO"/>
        </w:rPr>
        <w:t>La infraestructura de comunicaciones a nivel lógico se configurará un canal o túnel nuevo en su infraestructura para comunicarse desde su entidad hasta lo centros de procesamiento de la CRCC.</w:t>
      </w:r>
    </w:p>
    <w:p w14:paraId="5D199618" w14:textId="77777777" w:rsidR="007968EC" w:rsidRPr="00C93DB5" w:rsidRDefault="007968EC" w:rsidP="007968EC">
      <w:pPr>
        <w:ind w:left="708"/>
        <w:rPr>
          <w:rFonts w:ascii="Arial Narrow" w:hAnsi="Arial Narrow" w:cs="Arial"/>
          <w:color w:val="000000" w:themeColor="text1"/>
          <w:lang w:eastAsia="es-CO"/>
        </w:rPr>
      </w:pPr>
    </w:p>
    <w:p w14:paraId="399FFDF8" w14:textId="77777777" w:rsidR="007968EC" w:rsidRPr="00C93DB5" w:rsidRDefault="007968EC" w:rsidP="00DA7472">
      <w:pPr>
        <w:numPr>
          <w:ilvl w:val="0"/>
          <w:numId w:val="86"/>
        </w:numPr>
        <w:contextualSpacing/>
        <w:jc w:val="both"/>
        <w:rPr>
          <w:rFonts w:ascii="Arial Narrow" w:hAnsi="Arial Narrow" w:cs="Arial"/>
          <w:color w:val="000000" w:themeColor="text1"/>
          <w:lang w:eastAsia="es-CO"/>
        </w:rPr>
      </w:pPr>
      <w:r w:rsidRPr="00C93DB5">
        <w:rPr>
          <w:rFonts w:ascii="Arial Narrow" w:hAnsi="Arial Narrow" w:cs="Arial"/>
          <w:color w:val="000000" w:themeColor="text1"/>
          <w:lang w:eastAsia="es-CO"/>
        </w:rPr>
        <w:t xml:space="preserve">Los usuarios tienen un mecanismo de conexión redundante, a través de dos (2) canales de comunicación con dos (2) proveedores diferentes, garantizando alta disponibilidad y evitando puntos únicos de falla. La disponibilidad en los canales de comunicación ofrecida por la Unión Temporal es del 99,96% mensual. </w:t>
      </w:r>
    </w:p>
    <w:p w14:paraId="49DEF879" w14:textId="77777777" w:rsidR="007968EC" w:rsidRPr="00C93DB5" w:rsidRDefault="007968EC" w:rsidP="007968EC">
      <w:pPr>
        <w:ind w:left="708"/>
        <w:rPr>
          <w:rFonts w:ascii="Arial Narrow" w:hAnsi="Arial Narrow" w:cs="Arial"/>
          <w:color w:val="000000" w:themeColor="text1"/>
          <w:lang w:eastAsia="es-CO"/>
        </w:rPr>
      </w:pPr>
    </w:p>
    <w:p w14:paraId="09EF0A95" w14:textId="77777777" w:rsidR="007968EC" w:rsidRPr="00C93DB5" w:rsidRDefault="007968EC" w:rsidP="00DA7472">
      <w:pPr>
        <w:numPr>
          <w:ilvl w:val="0"/>
          <w:numId w:val="86"/>
        </w:numPr>
        <w:contextualSpacing/>
        <w:jc w:val="both"/>
        <w:rPr>
          <w:rFonts w:ascii="Arial Narrow" w:hAnsi="Arial Narrow" w:cs="Arial"/>
          <w:color w:val="000000" w:themeColor="text1"/>
          <w:lang w:eastAsia="es-CO"/>
        </w:rPr>
      </w:pPr>
      <w:r w:rsidRPr="00C93DB5">
        <w:rPr>
          <w:rFonts w:ascii="Arial Narrow" w:hAnsi="Arial Narrow" w:cs="Arial"/>
          <w:color w:val="000000" w:themeColor="text1"/>
          <w:lang w:eastAsia="es-CO"/>
        </w:rPr>
        <w:t xml:space="preserve">En general, el Miembro o Agente requiere una Terminal instalada independiente para su Operación por cada servicio, trátese de </w:t>
      </w:r>
      <w:proofErr w:type="spellStart"/>
      <w:r w:rsidRPr="00C93DB5">
        <w:rPr>
          <w:rFonts w:ascii="Arial Narrow" w:hAnsi="Arial Narrow" w:cs="Arial"/>
          <w:color w:val="000000" w:themeColor="text1"/>
          <w:lang w:eastAsia="es-CO"/>
        </w:rPr>
        <w:t>Station</w:t>
      </w:r>
      <w:proofErr w:type="spellEnd"/>
      <w:r w:rsidRPr="00C93DB5">
        <w:rPr>
          <w:rFonts w:ascii="Arial Narrow" w:hAnsi="Arial Narrow" w:cs="Arial"/>
          <w:color w:val="000000" w:themeColor="text1"/>
          <w:lang w:eastAsia="es-CO"/>
        </w:rPr>
        <w:t xml:space="preserve">, </w:t>
      </w:r>
      <w:proofErr w:type="spellStart"/>
      <w:r w:rsidRPr="00C93DB5">
        <w:rPr>
          <w:rFonts w:ascii="Arial Narrow" w:hAnsi="Arial Narrow" w:cs="Arial"/>
          <w:color w:val="000000" w:themeColor="text1"/>
          <w:lang w:eastAsia="es-CO"/>
        </w:rPr>
        <w:t>Server,Gate</w:t>
      </w:r>
      <w:proofErr w:type="spellEnd"/>
      <w:r w:rsidRPr="00C93DB5">
        <w:rPr>
          <w:rFonts w:ascii="Arial Narrow" w:hAnsi="Arial Narrow" w:cs="Arial"/>
          <w:color w:val="000000" w:themeColor="text1"/>
          <w:lang w:eastAsia="es-CO"/>
        </w:rPr>
        <w:t xml:space="preserve"> </w:t>
      </w:r>
      <w:proofErr w:type="spellStart"/>
      <w:r w:rsidRPr="00C93DB5">
        <w:rPr>
          <w:rFonts w:ascii="Arial Narrow" w:hAnsi="Arial Narrow" w:cs="Arial"/>
          <w:color w:val="000000" w:themeColor="text1"/>
          <w:lang w:eastAsia="es-CO"/>
        </w:rPr>
        <w:t>Fix</w:t>
      </w:r>
      <w:proofErr w:type="spellEnd"/>
      <w:r w:rsidRPr="00C93DB5">
        <w:rPr>
          <w:rFonts w:ascii="Arial Narrow" w:hAnsi="Arial Narrow" w:cs="Arial"/>
          <w:color w:val="000000" w:themeColor="text1"/>
          <w:lang w:eastAsia="es-CO"/>
        </w:rPr>
        <w:t xml:space="preserve"> o </w:t>
      </w:r>
      <w:proofErr w:type="spellStart"/>
      <w:r w:rsidRPr="00C93DB5">
        <w:rPr>
          <w:rFonts w:ascii="Arial Narrow" w:hAnsi="Arial Narrow" w:cs="Arial"/>
          <w:color w:val="000000" w:themeColor="text1"/>
          <w:lang w:eastAsia="es-CO"/>
        </w:rPr>
        <w:t>SwaMi</w:t>
      </w:r>
      <w:proofErr w:type="spellEnd"/>
      <w:r w:rsidRPr="00C93DB5">
        <w:rPr>
          <w:rFonts w:ascii="Arial Narrow" w:hAnsi="Arial Narrow" w:cs="Arial"/>
          <w:color w:val="000000" w:themeColor="text1"/>
          <w:lang w:eastAsia="es-CO"/>
        </w:rPr>
        <w:t>, en donde la exigencia de ancho de banda por cada Terminal es 32 Kbps.</w:t>
      </w:r>
    </w:p>
    <w:p w14:paraId="3275BAB0" w14:textId="77777777" w:rsidR="007968EC" w:rsidRPr="00C93DB5" w:rsidRDefault="007968EC" w:rsidP="007968EC">
      <w:pPr>
        <w:ind w:left="708"/>
        <w:rPr>
          <w:rFonts w:ascii="Arial Narrow" w:hAnsi="Arial Narrow" w:cs="Arial"/>
          <w:color w:val="000000" w:themeColor="text1"/>
          <w:lang w:eastAsia="es-CO"/>
        </w:rPr>
      </w:pPr>
    </w:p>
    <w:p w14:paraId="6987D37E" w14:textId="77777777" w:rsidR="007968EC" w:rsidRPr="00C93DB5" w:rsidRDefault="007968EC" w:rsidP="00DA7472">
      <w:pPr>
        <w:numPr>
          <w:ilvl w:val="0"/>
          <w:numId w:val="86"/>
        </w:numPr>
        <w:contextualSpacing/>
        <w:jc w:val="both"/>
        <w:rPr>
          <w:rFonts w:ascii="Arial Narrow" w:hAnsi="Arial Narrow" w:cs="Arial"/>
          <w:color w:val="000000" w:themeColor="text1"/>
          <w:lang w:eastAsia="es-CO"/>
        </w:rPr>
      </w:pPr>
      <w:r w:rsidRPr="00C93DB5">
        <w:rPr>
          <w:rFonts w:ascii="Arial Narrow" w:hAnsi="Arial Narrow" w:cs="Arial"/>
          <w:color w:val="000000" w:themeColor="text1"/>
          <w:lang w:eastAsia="es-CO"/>
        </w:rPr>
        <w:t xml:space="preserve">El tráfico de red está encriptado y cifrado de </w:t>
      </w:r>
      <w:proofErr w:type="spellStart"/>
      <w:r w:rsidRPr="00C93DB5">
        <w:rPr>
          <w:rFonts w:ascii="Arial Narrow" w:hAnsi="Arial Narrow" w:cs="Arial"/>
          <w:color w:val="000000" w:themeColor="text1"/>
          <w:lang w:eastAsia="es-CO"/>
        </w:rPr>
        <w:t>router</w:t>
      </w:r>
      <w:proofErr w:type="spellEnd"/>
      <w:r w:rsidRPr="00C93DB5">
        <w:rPr>
          <w:rFonts w:ascii="Arial Narrow" w:hAnsi="Arial Narrow" w:cs="Arial"/>
          <w:color w:val="000000" w:themeColor="text1"/>
          <w:lang w:eastAsia="es-CO"/>
        </w:rPr>
        <w:t xml:space="preserve"> a </w:t>
      </w:r>
      <w:proofErr w:type="spellStart"/>
      <w:r w:rsidRPr="00C93DB5">
        <w:rPr>
          <w:rFonts w:ascii="Arial Narrow" w:hAnsi="Arial Narrow" w:cs="Arial"/>
          <w:color w:val="000000" w:themeColor="text1"/>
          <w:lang w:eastAsia="es-CO"/>
        </w:rPr>
        <w:t>router</w:t>
      </w:r>
      <w:proofErr w:type="spellEnd"/>
      <w:r w:rsidRPr="00C93DB5">
        <w:rPr>
          <w:rFonts w:ascii="Arial Narrow" w:hAnsi="Arial Narrow" w:cs="Arial"/>
          <w:color w:val="000000" w:themeColor="text1"/>
          <w:lang w:eastAsia="es-CO"/>
        </w:rPr>
        <w:t xml:space="preserve"> garantizando el cumplimiento regulatorio. </w:t>
      </w:r>
    </w:p>
    <w:p w14:paraId="1AC975A6" w14:textId="77777777" w:rsidR="007968EC" w:rsidRPr="00C93DB5" w:rsidRDefault="007968EC" w:rsidP="007968EC">
      <w:pPr>
        <w:ind w:left="708"/>
        <w:rPr>
          <w:rFonts w:ascii="Arial Narrow" w:hAnsi="Arial Narrow" w:cs="Arial"/>
          <w:color w:val="000000" w:themeColor="text1"/>
          <w:lang w:eastAsia="es-CO"/>
        </w:rPr>
      </w:pPr>
    </w:p>
    <w:p w14:paraId="3DB311DC" w14:textId="77777777" w:rsidR="007968EC" w:rsidRPr="00C93DB5" w:rsidRDefault="007968EC" w:rsidP="00DA7472">
      <w:pPr>
        <w:numPr>
          <w:ilvl w:val="0"/>
          <w:numId w:val="86"/>
        </w:numPr>
        <w:contextualSpacing/>
        <w:jc w:val="both"/>
        <w:rPr>
          <w:rFonts w:ascii="Arial Narrow" w:hAnsi="Arial Narrow" w:cs="Arial"/>
          <w:color w:val="000000" w:themeColor="text1"/>
          <w:lang w:eastAsia="es-CO"/>
        </w:rPr>
      </w:pPr>
      <w:r w:rsidRPr="00C93DB5">
        <w:rPr>
          <w:rFonts w:ascii="Arial Narrow" w:hAnsi="Arial Narrow" w:cs="Arial"/>
          <w:color w:val="000000" w:themeColor="text1"/>
          <w:lang w:eastAsia="es-CO"/>
        </w:rPr>
        <w:t>La arquitectura del Sistema tiene múltiples capas desde el Sistema central hasta la Terminal del Miembro o cliente pasando por servidores de mensajería y esquemas de seguridad y comunicaciones.</w:t>
      </w:r>
    </w:p>
    <w:p w14:paraId="19C0F360" w14:textId="77777777" w:rsidR="007968EC" w:rsidRPr="00C93DB5" w:rsidRDefault="007968EC" w:rsidP="007968EC">
      <w:pPr>
        <w:ind w:left="708"/>
        <w:rPr>
          <w:rFonts w:ascii="Arial Narrow" w:hAnsi="Arial Narrow" w:cs="Arial"/>
          <w:color w:val="000000" w:themeColor="text1"/>
          <w:lang w:eastAsia="es-CO"/>
        </w:rPr>
      </w:pPr>
    </w:p>
    <w:p w14:paraId="1A45642C" w14:textId="77777777" w:rsidR="007968EC" w:rsidRPr="00C93DB5" w:rsidRDefault="007968EC" w:rsidP="007968EC">
      <w:pPr>
        <w:rPr>
          <w:rFonts w:ascii="Arial Narrow" w:hAnsi="Arial Narrow" w:cs="Arial"/>
          <w:bCs/>
          <w:iCs/>
          <w:color w:val="000000" w:themeColor="text1"/>
          <w:lang w:val="es-ES" w:eastAsia="es-ES"/>
        </w:rPr>
      </w:pPr>
      <w:r w:rsidRPr="00C93DB5">
        <w:rPr>
          <w:rFonts w:ascii="Arial Narrow" w:hAnsi="Arial Narrow" w:cs="Arial"/>
          <w:iCs/>
          <w:color w:val="000000" w:themeColor="text1"/>
          <w:lang w:val="es-ES" w:eastAsia="es-ES"/>
        </w:rPr>
        <w:t>Para el Direccionamiento IP de los servicios de Cámara, se debe tener en cuenta que:</w:t>
      </w:r>
    </w:p>
    <w:p w14:paraId="7320AB98" w14:textId="77777777" w:rsidR="007968EC" w:rsidRPr="00C93DB5" w:rsidRDefault="007968EC" w:rsidP="007968EC">
      <w:pPr>
        <w:rPr>
          <w:rFonts w:ascii="Arial Narrow" w:hAnsi="Arial Narrow" w:cs="Arial"/>
          <w:iCs/>
          <w:color w:val="000000" w:themeColor="text1"/>
          <w:lang w:val="es-ES" w:eastAsia="es-ES"/>
        </w:rPr>
      </w:pPr>
    </w:p>
    <w:p w14:paraId="4763EE97" w14:textId="77777777" w:rsidR="007968EC" w:rsidRPr="00C93DB5" w:rsidRDefault="007968EC" w:rsidP="007968EC">
      <w:pPr>
        <w:jc w:val="both"/>
        <w:rPr>
          <w:rFonts w:ascii="Arial Narrow" w:hAnsi="Arial Narrow" w:cs="Arial"/>
          <w:color w:val="000000" w:themeColor="text1"/>
          <w:lang w:val="es-ES" w:eastAsia="es-ES"/>
        </w:rPr>
      </w:pPr>
      <w:r w:rsidRPr="00C93DB5">
        <w:rPr>
          <w:rFonts w:ascii="Arial Narrow" w:hAnsi="Arial Narrow" w:cs="Arial"/>
          <w:color w:val="000000" w:themeColor="text1"/>
          <w:lang w:val="es-ES" w:eastAsia="es-ES"/>
        </w:rPr>
        <w:t xml:space="preserve">El esquema de direccionamiento para las Terminales de Compensación y </w:t>
      </w:r>
      <w:proofErr w:type="gramStart"/>
      <w:r w:rsidRPr="00C93DB5">
        <w:rPr>
          <w:rFonts w:ascii="Arial Narrow" w:hAnsi="Arial Narrow" w:cs="Arial"/>
          <w:color w:val="000000" w:themeColor="text1"/>
          <w:lang w:val="es-ES" w:eastAsia="es-ES"/>
        </w:rPr>
        <w:t>Liquidación,</w:t>
      </w:r>
      <w:proofErr w:type="gramEnd"/>
      <w:r w:rsidRPr="00C93DB5">
        <w:rPr>
          <w:rFonts w:ascii="Arial Narrow" w:hAnsi="Arial Narrow" w:cs="Arial"/>
          <w:color w:val="000000" w:themeColor="text1"/>
          <w:lang w:val="es-ES" w:eastAsia="es-ES"/>
        </w:rPr>
        <w:t xml:space="preserve"> será asignado por la Cámara, en caso de que dicho direccionamiento interfiera con el asignado por la Cámara, el Miembro o Agente deberá coordinar con el proveedor de comunicaciones para que se configuren los equipos activos utilizando el mecanismo de traslación de direcciones de red, llamado (NAT).</w:t>
      </w:r>
    </w:p>
    <w:p w14:paraId="5FC4E0CF" w14:textId="77777777" w:rsidR="007968EC" w:rsidRPr="00C93DB5" w:rsidRDefault="007968EC" w:rsidP="007968EC">
      <w:pPr>
        <w:jc w:val="both"/>
        <w:rPr>
          <w:rFonts w:ascii="Arial Narrow" w:hAnsi="Arial Narrow" w:cs="Arial"/>
          <w:color w:val="000000" w:themeColor="text1"/>
          <w:lang w:val="es-ES" w:eastAsia="es-ES"/>
        </w:rPr>
      </w:pPr>
    </w:p>
    <w:p w14:paraId="1EF149C1" w14:textId="77777777" w:rsidR="007968EC" w:rsidRPr="00C93DB5" w:rsidRDefault="007968EC" w:rsidP="007968EC">
      <w:pPr>
        <w:jc w:val="both"/>
        <w:rPr>
          <w:rFonts w:ascii="Arial Narrow" w:hAnsi="Arial Narrow" w:cs="Arial"/>
          <w:color w:val="000000" w:themeColor="text1"/>
          <w:lang w:val="es-ES" w:eastAsia="es-ES"/>
        </w:rPr>
      </w:pPr>
      <w:r w:rsidRPr="00C93DB5">
        <w:rPr>
          <w:rFonts w:ascii="Arial Narrow" w:hAnsi="Arial Narrow" w:cs="Arial"/>
          <w:color w:val="000000" w:themeColor="text1"/>
          <w:lang w:val="es-ES" w:eastAsia="es-ES"/>
        </w:rPr>
        <w:t xml:space="preserve">Para el acceso a la información a través del Portal CRCC, se deben registrar la(s) dirección(es) </w:t>
      </w:r>
      <w:proofErr w:type="spellStart"/>
      <w:r w:rsidRPr="00C93DB5">
        <w:rPr>
          <w:rFonts w:ascii="Arial Narrow" w:hAnsi="Arial Narrow" w:cs="Arial"/>
          <w:color w:val="000000" w:themeColor="text1"/>
          <w:lang w:val="es-ES" w:eastAsia="es-ES"/>
        </w:rPr>
        <w:t>Ip</w:t>
      </w:r>
      <w:proofErr w:type="spellEnd"/>
      <w:r w:rsidRPr="00C93DB5">
        <w:rPr>
          <w:rFonts w:ascii="Arial Narrow" w:hAnsi="Arial Narrow" w:cs="Arial"/>
          <w:color w:val="000000" w:themeColor="text1"/>
          <w:lang w:val="es-ES" w:eastAsia="es-ES"/>
        </w:rPr>
        <w:t>(s) del Miembro y/o Agente para garantizar el acceso desde los equipos del Miembro y/o Agente.</w:t>
      </w:r>
    </w:p>
    <w:p w14:paraId="29A741D0" w14:textId="77777777" w:rsidR="007968EC" w:rsidRPr="00C93DB5" w:rsidRDefault="007968EC" w:rsidP="007968EC">
      <w:pPr>
        <w:ind w:left="540"/>
        <w:jc w:val="both"/>
        <w:rPr>
          <w:rFonts w:ascii="Arial Narrow" w:hAnsi="Arial Narrow" w:cs="Arial"/>
          <w:color w:val="000000" w:themeColor="text1"/>
          <w:lang w:val="es-ES" w:eastAsia="es-ES"/>
        </w:rPr>
      </w:pPr>
    </w:p>
    <w:p w14:paraId="10949418" w14:textId="77777777" w:rsidR="007968EC" w:rsidRPr="00C93DB5" w:rsidRDefault="007968EC" w:rsidP="007968EC">
      <w:pPr>
        <w:jc w:val="both"/>
        <w:rPr>
          <w:rFonts w:ascii="Arial Narrow" w:hAnsi="Arial Narrow" w:cs="Arial"/>
          <w:color w:val="000000" w:themeColor="text1"/>
          <w:lang w:val="es-ES" w:eastAsia="es-ES"/>
        </w:rPr>
      </w:pPr>
      <w:r w:rsidRPr="00C93DB5">
        <w:rPr>
          <w:rFonts w:ascii="Arial Narrow" w:hAnsi="Arial Narrow" w:cs="Arial"/>
          <w:color w:val="000000" w:themeColor="text1"/>
          <w:lang w:val="es-ES" w:eastAsia="es-ES"/>
        </w:rPr>
        <w:t>La red de área local (LAN) en las instalaciones de cada Miembro o Agente debe cumplir mínimo con las siguientes características:</w:t>
      </w:r>
    </w:p>
    <w:p w14:paraId="2F0213CB" w14:textId="77777777" w:rsidR="007968EC" w:rsidRPr="00C93DB5" w:rsidRDefault="007968EC" w:rsidP="007968EC">
      <w:pPr>
        <w:ind w:left="540"/>
        <w:rPr>
          <w:rFonts w:ascii="Arial Narrow" w:hAnsi="Arial Narrow" w:cs="Arial"/>
          <w:color w:val="000000" w:themeColor="text1"/>
          <w:lang w:val="es-ES" w:eastAsia="es-ES"/>
        </w:rPr>
      </w:pPr>
    </w:p>
    <w:p w14:paraId="7DBE19A0" w14:textId="77777777" w:rsidR="007968EC" w:rsidRPr="00C93DB5" w:rsidRDefault="007968EC" w:rsidP="00DA7472">
      <w:pPr>
        <w:numPr>
          <w:ilvl w:val="0"/>
          <w:numId w:val="87"/>
        </w:numPr>
        <w:contextualSpacing/>
        <w:jc w:val="both"/>
        <w:rPr>
          <w:rFonts w:ascii="Arial Narrow" w:hAnsi="Arial Narrow" w:cs="Arial"/>
          <w:color w:val="000000" w:themeColor="text1"/>
          <w:lang w:eastAsia="es-CO"/>
        </w:rPr>
      </w:pPr>
      <w:r w:rsidRPr="00C93DB5">
        <w:rPr>
          <w:rFonts w:ascii="Arial Narrow" w:hAnsi="Arial Narrow" w:cs="Arial"/>
          <w:color w:val="000000" w:themeColor="text1"/>
          <w:lang w:eastAsia="es-CO"/>
        </w:rPr>
        <w:t>Cableado estructurado UTP 5e o superior (debidamente certificado).</w:t>
      </w:r>
    </w:p>
    <w:p w14:paraId="00EA08E3" w14:textId="77777777" w:rsidR="007968EC" w:rsidRPr="00C93DB5" w:rsidRDefault="007968EC" w:rsidP="007968EC">
      <w:pPr>
        <w:ind w:left="1004"/>
        <w:rPr>
          <w:rFonts w:ascii="Arial Narrow" w:hAnsi="Arial Narrow" w:cs="Arial"/>
          <w:color w:val="000000" w:themeColor="text1"/>
          <w:lang w:eastAsia="es-CO"/>
        </w:rPr>
      </w:pPr>
    </w:p>
    <w:p w14:paraId="2D63A663" w14:textId="77777777" w:rsidR="007968EC" w:rsidRPr="00C93DB5" w:rsidRDefault="007968EC" w:rsidP="00DA7472">
      <w:pPr>
        <w:numPr>
          <w:ilvl w:val="0"/>
          <w:numId w:val="87"/>
        </w:numPr>
        <w:contextualSpacing/>
        <w:jc w:val="both"/>
        <w:rPr>
          <w:rFonts w:ascii="Arial Narrow" w:hAnsi="Arial Narrow" w:cs="Arial"/>
          <w:color w:val="000000" w:themeColor="text1"/>
          <w:lang w:eastAsia="es-CO"/>
        </w:rPr>
      </w:pPr>
      <w:r w:rsidRPr="00C93DB5">
        <w:rPr>
          <w:rFonts w:ascii="Arial Narrow" w:hAnsi="Arial Narrow" w:cs="Arial"/>
          <w:color w:val="000000" w:themeColor="text1"/>
          <w:lang w:eastAsia="es-CO"/>
        </w:rPr>
        <w:t>Velocidad del segmento de red de área local (LAN) 10/100/1000 Mbps.</w:t>
      </w:r>
    </w:p>
    <w:p w14:paraId="62F2E71A" w14:textId="77777777" w:rsidR="007968EC" w:rsidRPr="00C93DB5" w:rsidRDefault="007968EC" w:rsidP="007968EC">
      <w:pPr>
        <w:ind w:left="708"/>
        <w:rPr>
          <w:rFonts w:ascii="Arial Narrow" w:hAnsi="Arial Narrow" w:cs="Arial"/>
          <w:color w:val="000000" w:themeColor="text1"/>
          <w:lang w:eastAsia="es-CO"/>
        </w:rPr>
      </w:pPr>
    </w:p>
    <w:p w14:paraId="1B98AC33" w14:textId="77777777" w:rsidR="007968EC" w:rsidRPr="00C93DB5" w:rsidRDefault="007968EC" w:rsidP="00DA7472">
      <w:pPr>
        <w:numPr>
          <w:ilvl w:val="0"/>
          <w:numId w:val="87"/>
        </w:numPr>
        <w:contextualSpacing/>
        <w:jc w:val="both"/>
        <w:rPr>
          <w:rFonts w:ascii="Arial Narrow" w:hAnsi="Arial Narrow" w:cs="Arial"/>
          <w:color w:val="000000" w:themeColor="text1"/>
          <w:lang w:eastAsia="es-CO"/>
        </w:rPr>
      </w:pPr>
      <w:r w:rsidRPr="00C93DB5">
        <w:rPr>
          <w:rFonts w:ascii="Arial Narrow" w:hAnsi="Arial Narrow" w:cs="Arial"/>
          <w:color w:val="000000" w:themeColor="text1"/>
          <w:lang w:eastAsia="es-CO"/>
        </w:rPr>
        <w:t xml:space="preserve">Se deben utilizar como dispositivos de conectividad interna para la conexión de las Terminales en su red de área local (LAN), </w:t>
      </w:r>
      <w:proofErr w:type="spellStart"/>
      <w:r w:rsidRPr="00C93DB5">
        <w:rPr>
          <w:rFonts w:ascii="Arial Narrow" w:hAnsi="Arial Narrow" w:cs="Arial"/>
          <w:color w:val="000000" w:themeColor="text1"/>
          <w:lang w:eastAsia="es-CO"/>
        </w:rPr>
        <w:t>switches</w:t>
      </w:r>
      <w:proofErr w:type="spellEnd"/>
      <w:r w:rsidRPr="00C93DB5">
        <w:rPr>
          <w:rFonts w:ascii="Arial Narrow" w:hAnsi="Arial Narrow" w:cs="Arial"/>
          <w:color w:val="000000" w:themeColor="text1"/>
          <w:lang w:eastAsia="es-CO"/>
        </w:rPr>
        <w:t xml:space="preserve">, (no </w:t>
      </w:r>
      <w:proofErr w:type="spellStart"/>
      <w:r w:rsidRPr="00C93DB5">
        <w:rPr>
          <w:rFonts w:ascii="Arial Narrow" w:hAnsi="Arial Narrow" w:cs="Arial"/>
          <w:color w:val="000000" w:themeColor="text1"/>
          <w:lang w:eastAsia="es-CO"/>
        </w:rPr>
        <w:t>hubs</w:t>
      </w:r>
      <w:proofErr w:type="spellEnd"/>
      <w:r w:rsidRPr="00C93DB5">
        <w:rPr>
          <w:rFonts w:ascii="Arial Narrow" w:hAnsi="Arial Narrow" w:cs="Arial"/>
          <w:color w:val="000000" w:themeColor="text1"/>
          <w:lang w:eastAsia="es-CO"/>
        </w:rPr>
        <w:t>).</w:t>
      </w:r>
    </w:p>
    <w:p w14:paraId="4B12D0EE" w14:textId="77777777" w:rsidR="007968EC" w:rsidRPr="00C93DB5" w:rsidRDefault="007968EC" w:rsidP="007968EC">
      <w:pPr>
        <w:ind w:left="708"/>
        <w:rPr>
          <w:rFonts w:ascii="Arial Narrow" w:hAnsi="Arial Narrow" w:cs="Arial"/>
          <w:color w:val="000000" w:themeColor="text1"/>
          <w:lang w:eastAsia="es-CO"/>
        </w:rPr>
      </w:pPr>
    </w:p>
    <w:p w14:paraId="2BE62157" w14:textId="77777777" w:rsidR="007968EC" w:rsidRPr="00C93DB5" w:rsidRDefault="007968EC" w:rsidP="00DA7472">
      <w:pPr>
        <w:numPr>
          <w:ilvl w:val="0"/>
          <w:numId w:val="87"/>
        </w:numPr>
        <w:contextualSpacing/>
        <w:jc w:val="both"/>
        <w:rPr>
          <w:rFonts w:ascii="Arial Narrow" w:hAnsi="Arial Narrow" w:cs="Arial"/>
          <w:color w:val="000000" w:themeColor="text1"/>
          <w:lang w:eastAsia="es-CO"/>
        </w:rPr>
      </w:pPr>
      <w:r w:rsidRPr="00C93DB5">
        <w:rPr>
          <w:rFonts w:ascii="Arial Narrow" w:hAnsi="Arial Narrow" w:cs="Arial"/>
          <w:color w:val="000000" w:themeColor="text1"/>
          <w:lang w:eastAsia="es-CO"/>
        </w:rPr>
        <w:t xml:space="preserve">Los dispositivos de red, </w:t>
      </w:r>
      <w:proofErr w:type="spellStart"/>
      <w:r w:rsidRPr="00C93DB5">
        <w:rPr>
          <w:rFonts w:ascii="Arial Narrow" w:hAnsi="Arial Narrow" w:cs="Arial"/>
          <w:color w:val="000000" w:themeColor="text1"/>
          <w:lang w:eastAsia="es-CO"/>
        </w:rPr>
        <w:t>switches</w:t>
      </w:r>
      <w:proofErr w:type="spellEnd"/>
      <w:r w:rsidRPr="00C93DB5">
        <w:rPr>
          <w:rFonts w:ascii="Arial Narrow" w:hAnsi="Arial Narrow" w:cs="Arial"/>
          <w:color w:val="000000" w:themeColor="text1"/>
          <w:lang w:eastAsia="es-CO"/>
        </w:rPr>
        <w:t xml:space="preserve"> deben tener la capacidad de definir </w:t>
      </w:r>
      <w:proofErr w:type="spellStart"/>
      <w:r w:rsidRPr="00C93DB5">
        <w:rPr>
          <w:rFonts w:ascii="Arial Narrow" w:hAnsi="Arial Narrow" w:cs="Arial"/>
          <w:color w:val="000000" w:themeColor="text1"/>
          <w:lang w:eastAsia="es-CO"/>
        </w:rPr>
        <w:t>VLANs</w:t>
      </w:r>
      <w:proofErr w:type="spellEnd"/>
      <w:r w:rsidRPr="00C93DB5">
        <w:rPr>
          <w:rFonts w:ascii="Arial Narrow" w:hAnsi="Arial Narrow" w:cs="Arial"/>
          <w:color w:val="000000" w:themeColor="text1"/>
          <w:lang w:eastAsia="es-CO"/>
        </w:rPr>
        <w:t xml:space="preserve"> (Virtual </w:t>
      </w:r>
      <w:proofErr w:type="spellStart"/>
      <w:r w:rsidRPr="00C93DB5">
        <w:rPr>
          <w:rFonts w:ascii="Arial Narrow" w:hAnsi="Arial Narrow" w:cs="Arial"/>
          <w:color w:val="000000" w:themeColor="text1"/>
          <w:lang w:eastAsia="es-CO"/>
        </w:rPr>
        <w:t>LANs</w:t>
      </w:r>
      <w:proofErr w:type="spellEnd"/>
      <w:r w:rsidRPr="00C93DB5">
        <w:rPr>
          <w:rFonts w:ascii="Arial Narrow" w:hAnsi="Arial Narrow" w:cs="Arial"/>
          <w:color w:val="000000" w:themeColor="text1"/>
          <w:lang w:eastAsia="es-CO"/>
        </w:rPr>
        <w:t>) para independizar el tráfico interno y segmentar la red de la Cámara en el Miembro.</w:t>
      </w:r>
    </w:p>
    <w:p w14:paraId="3699C925" w14:textId="77777777" w:rsidR="007968EC" w:rsidRPr="00C93DB5" w:rsidRDefault="007968EC" w:rsidP="007968EC">
      <w:pPr>
        <w:ind w:left="708"/>
        <w:rPr>
          <w:rFonts w:ascii="Arial Narrow" w:hAnsi="Arial Narrow" w:cs="Arial"/>
          <w:color w:val="000000" w:themeColor="text1"/>
          <w:lang w:eastAsia="es-CO"/>
        </w:rPr>
      </w:pPr>
    </w:p>
    <w:p w14:paraId="44C64F4E" w14:textId="77777777" w:rsidR="007968EC" w:rsidRPr="00C93DB5" w:rsidRDefault="007968EC" w:rsidP="00DA7472">
      <w:pPr>
        <w:numPr>
          <w:ilvl w:val="0"/>
          <w:numId w:val="87"/>
        </w:numPr>
        <w:contextualSpacing/>
        <w:jc w:val="both"/>
        <w:rPr>
          <w:rFonts w:ascii="Arial Narrow" w:hAnsi="Arial Narrow" w:cs="Arial"/>
          <w:color w:val="000000" w:themeColor="text1"/>
          <w:lang w:eastAsia="es-CO"/>
        </w:rPr>
      </w:pPr>
      <w:r w:rsidRPr="00C93DB5">
        <w:rPr>
          <w:rFonts w:ascii="Arial Narrow" w:hAnsi="Arial Narrow" w:cs="Arial"/>
          <w:color w:val="000000" w:themeColor="text1"/>
          <w:lang w:eastAsia="es-CO"/>
        </w:rPr>
        <w:t>Se recomienda que la conexión interna en el Miembro tenga un switch para el canal principal y otro switch para el canal contingente, esto disminuye el riesgo de tener puntos únicos de falla a nivel de dispositivos físicos.</w:t>
      </w:r>
    </w:p>
    <w:p w14:paraId="06DD4C64" w14:textId="77777777" w:rsidR="007968EC" w:rsidRPr="00C93DB5" w:rsidRDefault="007968EC" w:rsidP="007968EC">
      <w:pPr>
        <w:jc w:val="both"/>
        <w:rPr>
          <w:rFonts w:ascii="Arial Narrow" w:hAnsi="Arial Narrow" w:cs="Arial"/>
          <w:color w:val="000000" w:themeColor="text1"/>
          <w:lang w:eastAsia="es-ES"/>
        </w:rPr>
      </w:pPr>
    </w:p>
    <w:p w14:paraId="72C83EC3" w14:textId="77777777" w:rsidR="007968EC" w:rsidRPr="002C0D19" w:rsidRDefault="007968EC" w:rsidP="007968EC">
      <w:pPr>
        <w:jc w:val="both"/>
        <w:rPr>
          <w:rFonts w:ascii="Arial Narrow" w:hAnsi="Arial Narrow" w:cs="Arial"/>
          <w:color w:val="000000" w:themeColor="text1"/>
          <w:lang w:val="es-ES" w:eastAsia="es-ES"/>
        </w:rPr>
      </w:pPr>
      <w:r w:rsidRPr="00C93DB5">
        <w:rPr>
          <w:rFonts w:ascii="Arial Narrow" w:hAnsi="Arial Narrow" w:cs="Arial"/>
          <w:color w:val="000000" w:themeColor="text1"/>
          <w:lang w:val="es-ES" w:eastAsia="es-ES"/>
        </w:rPr>
        <w:t xml:space="preserve">Cada Miembro o Agente se conectará desde sus Terminales a la Cámara a través de mínimo un servidor de comunicaciones principal y otro servidor de comunicaciones de respaldo que estarán alojados en los centros de procesamiento de datos de la Cámara y que servirán como dispositivos de administración y control de la mensajería entre la Cámara y las entidades. La demora contemplada a nivel de la comunicación en la red LAN (Local </w:t>
      </w:r>
      <w:proofErr w:type="spellStart"/>
      <w:r w:rsidRPr="00C93DB5">
        <w:rPr>
          <w:rFonts w:ascii="Arial Narrow" w:hAnsi="Arial Narrow" w:cs="Arial"/>
          <w:color w:val="000000" w:themeColor="text1"/>
          <w:lang w:val="es-ES" w:eastAsia="es-ES"/>
        </w:rPr>
        <w:t>Area</w:t>
      </w:r>
      <w:proofErr w:type="spellEnd"/>
      <w:r w:rsidRPr="00C93DB5">
        <w:rPr>
          <w:rFonts w:ascii="Arial Narrow" w:hAnsi="Arial Narrow" w:cs="Arial"/>
          <w:color w:val="000000" w:themeColor="text1"/>
          <w:lang w:val="es-ES" w:eastAsia="es-ES"/>
        </w:rPr>
        <w:t xml:space="preserve"> Network) y/o </w:t>
      </w:r>
      <w:proofErr w:type="spellStart"/>
      <w:r w:rsidRPr="00C93DB5">
        <w:rPr>
          <w:rFonts w:ascii="Arial Narrow" w:hAnsi="Arial Narrow" w:cs="Arial"/>
          <w:color w:val="000000" w:themeColor="text1"/>
          <w:lang w:val="es-ES" w:eastAsia="es-ES"/>
        </w:rPr>
        <w:t>Wan</w:t>
      </w:r>
      <w:proofErr w:type="spellEnd"/>
      <w:r w:rsidRPr="00C93DB5">
        <w:rPr>
          <w:rFonts w:ascii="Arial Narrow" w:hAnsi="Arial Narrow" w:cs="Arial"/>
          <w:color w:val="000000" w:themeColor="text1"/>
          <w:lang w:val="es-ES" w:eastAsia="es-ES"/>
        </w:rPr>
        <w:t xml:space="preserve"> (Wide </w:t>
      </w:r>
      <w:proofErr w:type="spellStart"/>
      <w:r w:rsidRPr="00C93DB5">
        <w:rPr>
          <w:rFonts w:ascii="Arial Narrow" w:hAnsi="Arial Narrow" w:cs="Arial"/>
          <w:color w:val="000000" w:themeColor="text1"/>
          <w:lang w:val="es-ES" w:eastAsia="es-ES"/>
        </w:rPr>
        <w:t>Area</w:t>
      </w:r>
      <w:proofErr w:type="spellEnd"/>
      <w:r w:rsidRPr="00C93DB5">
        <w:rPr>
          <w:rFonts w:ascii="Arial Narrow" w:hAnsi="Arial Narrow" w:cs="Arial"/>
          <w:color w:val="000000" w:themeColor="text1"/>
          <w:lang w:val="es-ES" w:eastAsia="es-ES"/>
        </w:rPr>
        <w:t xml:space="preserve"> Network) debe ser menor a Ochenta (80) Milisegundos.</w:t>
      </w:r>
    </w:p>
    <w:p w14:paraId="071CC604" w14:textId="77777777" w:rsidR="007968EC" w:rsidRPr="002C0D19" w:rsidRDefault="007968EC" w:rsidP="007968EC">
      <w:pPr>
        <w:rPr>
          <w:rFonts w:ascii="Arial Narrow" w:hAnsi="Arial Narrow" w:cs="Arial"/>
          <w:b/>
          <w:color w:val="000000" w:themeColor="text1"/>
          <w:lang w:val="es-ES" w:eastAsia="es-ES"/>
        </w:rPr>
      </w:pPr>
    </w:p>
    <w:p w14:paraId="75E52EA3" w14:textId="77777777" w:rsidR="007968EC" w:rsidRPr="00D521B2" w:rsidRDefault="007968EC" w:rsidP="007968EC">
      <w:pPr>
        <w:pStyle w:val="ARTICULO0"/>
      </w:pPr>
      <w:bookmarkStart w:id="3459" w:name="_Toc472592256"/>
      <w:bookmarkStart w:id="3460" w:name="_Toc472593275"/>
      <w:bookmarkStart w:id="3461" w:name="_Toc479057061"/>
      <w:bookmarkStart w:id="3462" w:name="_Toc31716075"/>
      <w:bookmarkStart w:id="3463" w:name="_Toc470775586"/>
      <w:bookmarkStart w:id="3464" w:name="_Toc470779871"/>
      <w:bookmarkStart w:id="3465" w:name="_Toc470780488"/>
      <w:bookmarkStart w:id="3466" w:name="_Toc470781001"/>
      <w:bookmarkStart w:id="3467" w:name="_Toc470784562"/>
      <w:bookmarkStart w:id="3468" w:name="_Toc470785099"/>
      <w:bookmarkStart w:id="3469" w:name="_Toc470791485"/>
      <w:bookmarkStart w:id="3470" w:name="_Toc490066389"/>
      <w:r w:rsidRPr="00D521B2">
        <w:t>Artículo 1.15.1.3. Requerimientos de Infraestructura Tecnológica.</w:t>
      </w:r>
      <w:bookmarkEnd w:id="3459"/>
      <w:bookmarkEnd w:id="3460"/>
      <w:bookmarkEnd w:id="3461"/>
      <w:bookmarkEnd w:id="3462"/>
      <w:r w:rsidRPr="00D521B2">
        <w:t xml:space="preserve"> </w:t>
      </w:r>
    </w:p>
    <w:p w14:paraId="743B2357" w14:textId="77777777" w:rsidR="007968EC" w:rsidRPr="000E6636" w:rsidRDefault="007968EC" w:rsidP="007968EC">
      <w:pPr>
        <w:autoSpaceDE w:val="0"/>
        <w:autoSpaceDN w:val="0"/>
        <w:jc w:val="both"/>
        <w:rPr>
          <w:rFonts w:ascii="Arial Narrow" w:hAnsi="Arial Narrow" w:cs="Arial"/>
          <w:b/>
          <w:bCs/>
          <w:color w:val="000000" w:themeColor="text1"/>
          <w:lang w:eastAsia="es-ES"/>
        </w:rPr>
      </w:pPr>
    </w:p>
    <w:p w14:paraId="1BC7B1D3" w14:textId="77777777" w:rsidR="007968EC" w:rsidRPr="002C0D19" w:rsidRDefault="007968EC" w:rsidP="007968EC">
      <w:pPr>
        <w:pStyle w:val="ANTECEDENTES"/>
      </w:pPr>
      <w:r w:rsidRPr="002C0D19">
        <w:t xml:space="preserve">(Este artículo fue modificado mediante Circular 21 del 2 de agosto de 2013, publicada en el Boletín Normativo No. 021 del 2 de agosto de 2013 y mediante Circular 10 del 18 de marzo de 2015, publicada en el Boletín Normativo No. 010 del 18 de marzo de 2015. Rige a partir del 19 de marzo de 2015 y renumerado mediante </w:t>
      </w:r>
      <w:r w:rsidRPr="002C0D19">
        <w:rPr>
          <w:lang w:val="es-ES"/>
        </w:rPr>
        <w:t xml:space="preserve">Circular 19 del 28 de diciembre de 2016, publicada en el Boletín Normativo No. 024 del 28 de diciembre de 2016. </w:t>
      </w:r>
      <w:r w:rsidRPr="002C0D19">
        <w:t>Rige a partir del 29 de diciembre de 2016.</w:t>
      </w:r>
      <w:r w:rsidRPr="002C0D19">
        <w:rPr>
          <w:lang w:val="es-ES"/>
        </w:rPr>
        <w:t>)</w:t>
      </w:r>
      <w:bookmarkEnd w:id="3463"/>
      <w:bookmarkEnd w:id="3464"/>
      <w:bookmarkEnd w:id="3465"/>
      <w:bookmarkEnd w:id="3466"/>
      <w:bookmarkEnd w:id="3467"/>
      <w:bookmarkEnd w:id="3468"/>
      <w:bookmarkEnd w:id="3469"/>
      <w:bookmarkEnd w:id="3470"/>
    </w:p>
    <w:p w14:paraId="56FDB0CF" w14:textId="77777777" w:rsidR="007968EC" w:rsidRPr="002C0D19" w:rsidRDefault="007968EC" w:rsidP="007968EC">
      <w:pPr>
        <w:jc w:val="both"/>
        <w:rPr>
          <w:rFonts w:ascii="Arial Narrow" w:hAnsi="Arial Narrow" w:cs="Arial"/>
          <w:color w:val="000000" w:themeColor="text1"/>
          <w:lang w:val="es-ES" w:eastAsia="es-ES"/>
        </w:rPr>
      </w:pPr>
    </w:p>
    <w:p w14:paraId="5D74E823"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Los Miembros podrán instalar en su entidad una o más Terminales y podrán tener acceso a diferentes tipos de ellas en las condiciones y características que establezca la Cámara. Las Terminales donde se instalará el Sistema de la Cámara, se encontrarán en las instalaciones del Miembro y serán de uso exclusivo para este Sistema. La(s) Terminal(es) deben ser provistas por el Miembro y deben cumplir como mínimo con las siguientes recomendaciones:</w:t>
      </w:r>
    </w:p>
    <w:p w14:paraId="68FA78FA" w14:textId="77777777" w:rsidR="007968EC" w:rsidRPr="002C0D19" w:rsidRDefault="007968EC" w:rsidP="007968EC">
      <w:pPr>
        <w:ind w:left="540"/>
        <w:rPr>
          <w:rFonts w:ascii="Arial Narrow" w:hAnsi="Arial Narrow" w:cs="Arial"/>
          <w:color w:val="000000" w:themeColor="text1"/>
          <w:lang w:val="es-ES" w:eastAsia="es-ES"/>
        </w:rPr>
      </w:pPr>
    </w:p>
    <w:p w14:paraId="6C000F18" w14:textId="77777777" w:rsidR="007968EC" w:rsidRPr="002C0D19" w:rsidRDefault="007968EC" w:rsidP="00DA7472">
      <w:pPr>
        <w:numPr>
          <w:ilvl w:val="0"/>
          <w:numId w:val="88"/>
        </w:numPr>
        <w:contextualSpacing/>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El software de la CRCC se instala en máquinas físicas bajo SO Windows, en idioma español con el fin de garantizar su buen desempeño.</w:t>
      </w:r>
    </w:p>
    <w:p w14:paraId="59500AB9" w14:textId="77777777" w:rsidR="007968EC" w:rsidRPr="002C0D19" w:rsidRDefault="007968EC" w:rsidP="007968EC">
      <w:pPr>
        <w:ind w:left="1004"/>
        <w:rPr>
          <w:rFonts w:ascii="Arial Narrow" w:hAnsi="Arial Narrow" w:cs="Arial"/>
          <w:color w:val="000000" w:themeColor="text1"/>
          <w:lang w:eastAsia="es-CO"/>
        </w:rPr>
      </w:pPr>
    </w:p>
    <w:p w14:paraId="6EB8308C" w14:textId="77777777" w:rsidR="007968EC" w:rsidRPr="002C0D19" w:rsidRDefault="007968EC" w:rsidP="00DA7472">
      <w:pPr>
        <w:numPr>
          <w:ilvl w:val="0"/>
          <w:numId w:val="88"/>
        </w:numPr>
        <w:contextualSpacing/>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La(s) Terminal(es) de los Miembros debe(n) ser de dedicación exclusiva para operar en el Sistema de la Cámara durante los horarios establecidos por la Cámara; cualquier software adicional que se ejecute simultáneamente generará carga sobre la Terminal de trabajo afectando de manera directa su rendimiento, así como el aumento a nivel de procesamiento y mayor tráfico a nivel de red, lo cual redunda en menor capacidad de recursos y oportunidad en la Operación.</w:t>
      </w:r>
    </w:p>
    <w:p w14:paraId="2B2B66CB" w14:textId="77777777" w:rsidR="007968EC" w:rsidRPr="002C0D19" w:rsidRDefault="007968EC" w:rsidP="007968EC">
      <w:pPr>
        <w:ind w:left="708"/>
        <w:rPr>
          <w:rFonts w:ascii="Arial Narrow" w:hAnsi="Arial Narrow" w:cs="Arial"/>
          <w:color w:val="000000" w:themeColor="text1"/>
          <w:lang w:eastAsia="es-CO"/>
        </w:rPr>
      </w:pPr>
    </w:p>
    <w:p w14:paraId="3B133E02" w14:textId="77777777" w:rsidR="007968EC" w:rsidRPr="002C0D19" w:rsidRDefault="007968EC" w:rsidP="00DA7472">
      <w:pPr>
        <w:numPr>
          <w:ilvl w:val="0"/>
          <w:numId w:val="88"/>
        </w:numPr>
        <w:contextualSpacing/>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Se requiere la instalación de un Software Antivirus para verificar que la Terminal se encuentre libre de virus informáticos.</w:t>
      </w:r>
    </w:p>
    <w:p w14:paraId="6C3E9868" w14:textId="77777777" w:rsidR="007968EC" w:rsidRPr="002C0D19" w:rsidRDefault="007968EC" w:rsidP="007968EC">
      <w:pPr>
        <w:rPr>
          <w:rFonts w:ascii="Arial Narrow" w:hAnsi="Arial Narrow" w:cs="Arial"/>
          <w:b/>
          <w:color w:val="000000" w:themeColor="text1"/>
          <w:lang w:eastAsia="es-ES"/>
        </w:rPr>
      </w:pPr>
    </w:p>
    <w:p w14:paraId="3869CB23" w14:textId="77777777" w:rsidR="007968EC" w:rsidRPr="00D521B2" w:rsidRDefault="007968EC" w:rsidP="007968EC">
      <w:pPr>
        <w:pStyle w:val="ARTICULO0"/>
      </w:pPr>
      <w:bookmarkStart w:id="3471" w:name="_Toc472592257"/>
      <w:bookmarkStart w:id="3472" w:name="_Toc472593276"/>
      <w:bookmarkStart w:id="3473" w:name="_Toc479057062"/>
      <w:bookmarkStart w:id="3474" w:name="_Toc31716076"/>
      <w:bookmarkStart w:id="3475" w:name="_Toc470775587"/>
      <w:bookmarkStart w:id="3476" w:name="_Toc470779872"/>
      <w:bookmarkStart w:id="3477" w:name="_Toc470780489"/>
      <w:bookmarkStart w:id="3478" w:name="_Toc470781002"/>
      <w:bookmarkStart w:id="3479" w:name="_Toc470784563"/>
      <w:bookmarkStart w:id="3480" w:name="_Toc470785100"/>
      <w:bookmarkStart w:id="3481" w:name="_Toc470791486"/>
      <w:bookmarkStart w:id="3482" w:name="_Toc490066390"/>
      <w:r w:rsidRPr="00D521B2">
        <w:t>Artículo 1.15.1.4. Cumplimiento de las Normas de Seguridad Eléctrica.</w:t>
      </w:r>
      <w:bookmarkEnd w:id="3471"/>
      <w:bookmarkEnd w:id="3472"/>
      <w:bookmarkEnd w:id="3473"/>
      <w:bookmarkEnd w:id="3474"/>
      <w:r w:rsidRPr="00D521B2">
        <w:t xml:space="preserve"> </w:t>
      </w:r>
    </w:p>
    <w:p w14:paraId="4DA2D335" w14:textId="77777777" w:rsidR="007968EC" w:rsidRDefault="007968EC" w:rsidP="007968EC">
      <w:pPr>
        <w:keepNext/>
        <w:tabs>
          <w:tab w:val="left" w:pos="1701"/>
        </w:tabs>
        <w:jc w:val="both"/>
        <w:outlineLvl w:val="2"/>
        <w:rPr>
          <w:rFonts w:ascii="Arial Narrow" w:hAnsi="Arial Narrow" w:cs="Arial"/>
          <w:b/>
          <w:color w:val="000000" w:themeColor="text1"/>
          <w:lang w:eastAsia="es-ES"/>
        </w:rPr>
      </w:pPr>
    </w:p>
    <w:p w14:paraId="7A8D7BC1" w14:textId="77777777" w:rsidR="007968EC" w:rsidRPr="002C0D19" w:rsidRDefault="007968EC" w:rsidP="007968EC">
      <w:pPr>
        <w:pStyle w:val="ANTECEDENTES"/>
        <w:rPr>
          <w:u w:val="single"/>
        </w:rPr>
      </w:pPr>
      <w:r w:rsidRPr="002C0D19">
        <w:t xml:space="preserve">(Este artículo fue adicionado mediante Circular 21 del 2 de agosto de 2013, publicada en el Boletín Normativo No. 025 del 2 de agosto de 2013 </w:t>
      </w:r>
      <w:r w:rsidRPr="002C0D19">
        <w:rPr>
          <w:bCs/>
        </w:rPr>
        <w:t xml:space="preserve">y mediante </w:t>
      </w:r>
      <w:r w:rsidRPr="002C0D19">
        <w:t xml:space="preserve">Circular 10 del 18 de marzo de 2015, publicada en el Boletín Normativo No. 010 del 18 de marzo de 2015. Rige a partir del 19 de marzo de 2015 y renumerado mediante </w:t>
      </w:r>
      <w:r w:rsidRPr="002C0D19">
        <w:rPr>
          <w:lang w:val="es-ES"/>
        </w:rPr>
        <w:t xml:space="preserve">Circular 19 del 28 de diciembre de 2016, publicada en el Boletín Normativo No. 024 del 28 de diciembre de 2016. </w:t>
      </w:r>
      <w:r w:rsidRPr="002C0D19">
        <w:t>Rige a partir del 29 de diciembre de 2016.</w:t>
      </w:r>
      <w:r w:rsidRPr="002C0D19">
        <w:rPr>
          <w:lang w:val="es-ES"/>
        </w:rPr>
        <w:t>)</w:t>
      </w:r>
      <w:bookmarkEnd w:id="3475"/>
      <w:bookmarkEnd w:id="3476"/>
      <w:bookmarkEnd w:id="3477"/>
      <w:bookmarkEnd w:id="3478"/>
      <w:bookmarkEnd w:id="3479"/>
      <w:bookmarkEnd w:id="3480"/>
      <w:bookmarkEnd w:id="3481"/>
      <w:bookmarkEnd w:id="3482"/>
    </w:p>
    <w:p w14:paraId="20D1A3B6" w14:textId="77777777" w:rsidR="007968EC" w:rsidRPr="002C0D19" w:rsidRDefault="007968EC" w:rsidP="007968EC">
      <w:pPr>
        <w:rPr>
          <w:rFonts w:ascii="Arial Narrow" w:hAnsi="Arial Narrow" w:cs="Arial"/>
          <w:color w:val="000000" w:themeColor="text1"/>
          <w:lang w:val="es-ES" w:eastAsia="es-ES"/>
        </w:rPr>
      </w:pPr>
    </w:p>
    <w:p w14:paraId="258235B1"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El Miembro debe tener una instalación eléctrica adecuada y certificada para la alimentación de todos los equipos. Adicionalmente, deberá considerar tener una UPS de capacidad suficiente para soportar los equipos y la red en caso de un corte de energía y planta eléctrica para asumir esta alimentación </w:t>
      </w:r>
      <w:proofErr w:type="gramStart"/>
      <w:r w:rsidRPr="002C0D19">
        <w:rPr>
          <w:rFonts w:ascii="Arial Narrow" w:hAnsi="Arial Narrow" w:cs="Arial"/>
          <w:color w:val="000000" w:themeColor="text1"/>
          <w:lang w:val="es-ES" w:eastAsia="es-ES"/>
        </w:rPr>
        <w:t>en caso que</w:t>
      </w:r>
      <w:proofErr w:type="gramEnd"/>
      <w:r w:rsidRPr="002C0D19">
        <w:rPr>
          <w:rFonts w:ascii="Arial Narrow" w:hAnsi="Arial Narrow" w:cs="Arial"/>
          <w:color w:val="000000" w:themeColor="text1"/>
          <w:lang w:val="es-ES" w:eastAsia="es-ES"/>
        </w:rPr>
        <w:t xml:space="preserve"> un evento de esta naturaleza se prolongue. Cada Miembro deberá evaluar sus riesgos y perdida potencial por causa de este tipo de sucesos para tomar las decisiones que considere apropiadas.</w:t>
      </w:r>
    </w:p>
    <w:p w14:paraId="0F52801A" w14:textId="77777777" w:rsidR="007968EC" w:rsidRPr="002C0D19" w:rsidRDefault="007968EC" w:rsidP="007968EC">
      <w:pPr>
        <w:jc w:val="both"/>
        <w:rPr>
          <w:rFonts w:ascii="Arial Narrow" w:hAnsi="Arial Narrow" w:cs="Arial"/>
          <w:color w:val="000000" w:themeColor="text1"/>
          <w:lang w:val="es-ES" w:eastAsia="es-ES"/>
        </w:rPr>
      </w:pPr>
    </w:p>
    <w:p w14:paraId="6B090CC8"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Las instalaciones deben cumplir con las normas nacionales e internacionales que garanticen el uso seguro de la energía eléctrica y contribuyan a un correcto funcionamiento de los equipos para brindar protección a las personas y bienes de la entidad.</w:t>
      </w:r>
    </w:p>
    <w:p w14:paraId="553C3C5B" w14:textId="77777777" w:rsidR="007968EC" w:rsidRPr="002C0D19" w:rsidRDefault="007968EC" w:rsidP="007968EC">
      <w:pPr>
        <w:jc w:val="both"/>
        <w:rPr>
          <w:rFonts w:ascii="Arial Narrow" w:hAnsi="Arial Narrow" w:cs="Arial"/>
          <w:color w:val="000000" w:themeColor="text1"/>
          <w:lang w:val="es-ES" w:eastAsia="es-ES"/>
        </w:rPr>
      </w:pPr>
    </w:p>
    <w:p w14:paraId="02E457E3" w14:textId="77777777" w:rsidR="007968EC" w:rsidRPr="002C0D19" w:rsidRDefault="007968EC" w:rsidP="00DA7472">
      <w:pPr>
        <w:numPr>
          <w:ilvl w:val="0"/>
          <w:numId w:val="89"/>
        </w:numPr>
        <w:contextualSpacing/>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NTC 2050 y NFPA 70 (NEC) (Código eléctrico colombiano).</w:t>
      </w:r>
    </w:p>
    <w:p w14:paraId="0D0C575D" w14:textId="77777777" w:rsidR="007968EC" w:rsidRPr="002C0D19" w:rsidRDefault="007968EC" w:rsidP="00DA7472">
      <w:pPr>
        <w:numPr>
          <w:ilvl w:val="0"/>
          <w:numId w:val="89"/>
        </w:numPr>
        <w:contextualSpacing/>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NTC 4552 (Protección contra descargas eléctricas atmosféricas).</w:t>
      </w:r>
    </w:p>
    <w:p w14:paraId="2D805199" w14:textId="77777777" w:rsidR="007968EC" w:rsidRPr="002C0D19" w:rsidRDefault="007968EC" w:rsidP="00DA7472">
      <w:pPr>
        <w:numPr>
          <w:ilvl w:val="0"/>
          <w:numId w:val="89"/>
        </w:numPr>
        <w:contextualSpacing/>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IEE C62.41.</w:t>
      </w:r>
    </w:p>
    <w:p w14:paraId="2EC717A4" w14:textId="77777777" w:rsidR="007968EC" w:rsidRPr="002C0D19" w:rsidRDefault="007968EC" w:rsidP="00DA7472">
      <w:pPr>
        <w:numPr>
          <w:ilvl w:val="0"/>
          <w:numId w:val="89"/>
        </w:numPr>
        <w:contextualSpacing/>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RETIE (Reglamento Técnico de Instalaciones Eléctricas).</w:t>
      </w:r>
    </w:p>
    <w:p w14:paraId="26E2BA98" w14:textId="77777777" w:rsidR="007968EC" w:rsidRPr="002C0D19" w:rsidRDefault="007968EC" w:rsidP="00DA7472">
      <w:pPr>
        <w:numPr>
          <w:ilvl w:val="0"/>
          <w:numId w:val="89"/>
        </w:numPr>
        <w:contextualSpacing/>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IEEE </w:t>
      </w:r>
      <w:proofErr w:type="spellStart"/>
      <w:r w:rsidRPr="002C0D19">
        <w:rPr>
          <w:rFonts w:ascii="Arial Narrow" w:hAnsi="Arial Narrow" w:cs="Arial"/>
          <w:color w:val="000000" w:themeColor="text1"/>
          <w:lang w:eastAsia="es-CO"/>
        </w:rPr>
        <w:t>std</w:t>
      </w:r>
      <w:proofErr w:type="spellEnd"/>
      <w:r w:rsidRPr="002C0D19">
        <w:rPr>
          <w:rFonts w:ascii="Arial Narrow" w:hAnsi="Arial Narrow" w:cs="Arial"/>
          <w:color w:val="000000" w:themeColor="text1"/>
          <w:lang w:eastAsia="es-CO"/>
        </w:rPr>
        <w:t>. 519.</w:t>
      </w:r>
    </w:p>
    <w:p w14:paraId="631D2A67" w14:textId="77777777" w:rsidR="007968EC" w:rsidRPr="002C0D19" w:rsidRDefault="007968EC" w:rsidP="007968EC">
      <w:pPr>
        <w:rPr>
          <w:rFonts w:ascii="Arial Narrow" w:hAnsi="Arial Narrow" w:cs="Arial"/>
          <w:b/>
          <w:color w:val="000000" w:themeColor="text1"/>
          <w:lang w:val="es-ES" w:eastAsia="es-ES"/>
        </w:rPr>
      </w:pPr>
    </w:p>
    <w:p w14:paraId="70F0970E" w14:textId="77777777" w:rsidR="007968EC" w:rsidRDefault="007968EC" w:rsidP="007968EC">
      <w:pPr>
        <w:keepNext/>
        <w:jc w:val="center"/>
        <w:outlineLvl w:val="0"/>
        <w:rPr>
          <w:rFonts w:ascii="Arial Narrow" w:eastAsia="Calibri" w:hAnsi="Arial Narrow" w:cs="Arial"/>
          <w:b/>
          <w:kern w:val="32"/>
          <w:szCs w:val="20"/>
          <w:lang w:val="es-ES"/>
        </w:rPr>
      </w:pPr>
      <w:bookmarkStart w:id="3483" w:name="_Toc470779873"/>
      <w:bookmarkStart w:id="3484" w:name="_Toc470780490"/>
      <w:bookmarkStart w:id="3485" w:name="_Toc470781003"/>
      <w:bookmarkStart w:id="3486" w:name="_Toc470784564"/>
      <w:bookmarkStart w:id="3487" w:name="_Toc470785101"/>
      <w:bookmarkStart w:id="3488" w:name="_Toc470791487"/>
      <w:bookmarkStart w:id="3489" w:name="_Toc472592258"/>
      <w:bookmarkStart w:id="3490" w:name="_Toc472593277"/>
      <w:bookmarkStart w:id="3491" w:name="_Toc479057063"/>
      <w:bookmarkStart w:id="3492" w:name="_Toc490066391"/>
    </w:p>
    <w:p w14:paraId="58DFF051" w14:textId="77777777" w:rsidR="007968EC" w:rsidRPr="002C0D19" w:rsidRDefault="007968EC" w:rsidP="007968EC">
      <w:pPr>
        <w:pStyle w:val="TTULO"/>
        <w:rPr>
          <w:rFonts w:eastAsia="Calibri"/>
          <w:lang w:val="es-ES"/>
        </w:rPr>
      </w:pPr>
      <w:bookmarkStart w:id="3493" w:name="_Toc31716077"/>
      <w:r w:rsidRPr="002C0D19">
        <w:rPr>
          <w:rFonts w:eastAsia="Calibri"/>
          <w:lang w:val="es-ES"/>
        </w:rPr>
        <w:t>PARTE II</w:t>
      </w:r>
      <w:bookmarkEnd w:id="3483"/>
      <w:bookmarkEnd w:id="3484"/>
      <w:bookmarkEnd w:id="3485"/>
      <w:bookmarkEnd w:id="3486"/>
      <w:bookmarkEnd w:id="3487"/>
      <w:bookmarkEnd w:id="3488"/>
      <w:bookmarkEnd w:id="3489"/>
      <w:bookmarkEnd w:id="3490"/>
      <w:bookmarkEnd w:id="3491"/>
      <w:bookmarkEnd w:id="3492"/>
      <w:bookmarkEnd w:id="3493"/>
    </w:p>
    <w:p w14:paraId="22133390" w14:textId="77777777" w:rsidR="007968EC" w:rsidRPr="002C0D19" w:rsidRDefault="007968EC" w:rsidP="007968EC">
      <w:pPr>
        <w:pStyle w:val="TTULO"/>
        <w:rPr>
          <w:rFonts w:eastAsia="Calibri"/>
          <w:lang w:val="es-ES"/>
        </w:rPr>
      </w:pPr>
    </w:p>
    <w:p w14:paraId="55ADD083" w14:textId="77777777" w:rsidR="007968EC" w:rsidRPr="002C0D19" w:rsidRDefault="007968EC" w:rsidP="007968EC">
      <w:pPr>
        <w:pStyle w:val="TTULO"/>
        <w:rPr>
          <w:rFonts w:eastAsia="Calibri"/>
          <w:lang w:val="es-ES"/>
        </w:rPr>
      </w:pPr>
      <w:bookmarkStart w:id="3494" w:name="_Toc470779874"/>
      <w:bookmarkStart w:id="3495" w:name="_Toc470780491"/>
      <w:bookmarkStart w:id="3496" w:name="_Toc470781004"/>
      <w:bookmarkStart w:id="3497" w:name="_Toc470784565"/>
      <w:bookmarkStart w:id="3498" w:name="_Toc470785102"/>
      <w:bookmarkStart w:id="3499" w:name="_Toc470791488"/>
      <w:bookmarkStart w:id="3500" w:name="_Toc472592259"/>
      <w:bookmarkStart w:id="3501" w:name="_Toc472593278"/>
      <w:bookmarkStart w:id="3502" w:name="_Toc479057064"/>
      <w:bookmarkStart w:id="3503" w:name="_Toc490066392"/>
      <w:bookmarkStart w:id="3504" w:name="_Toc31716078"/>
      <w:r w:rsidRPr="002C0D19">
        <w:rPr>
          <w:rFonts w:eastAsia="Calibri"/>
          <w:lang w:val="es-ES"/>
        </w:rPr>
        <w:t>SEGMENTO DE DERIVADOS FINANCIEROS</w:t>
      </w:r>
      <w:bookmarkEnd w:id="3494"/>
      <w:bookmarkEnd w:id="3495"/>
      <w:bookmarkEnd w:id="3496"/>
      <w:bookmarkEnd w:id="3497"/>
      <w:bookmarkEnd w:id="3498"/>
      <w:bookmarkEnd w:id="3499"/>
      <w:bookmarkEnd w:id="3500"/>
      <w:bookmarkEnd w:id="3501"/>
      <w:bookmarkEnd w:id="3502"/>
      <w:bookmarkEnd w:id="3503"/>
      <w:bookmarkEnd w:id="3504"/>
    </w:p>
    <w:p w14:paraId="08250A15" w14:textId="77777777" w:rsidR="007968EC" w:rsidRPr="002C0D19" w:rsidRDefault="007968EC" w:rsidP="007968EC">
      <w:pPr>
        <w:keepNext/>
        <w:jc w:val="center"/>
        <w:outlineLvl w:val="0"/>
        <w:rPr>
          <w:rFonts w:ascii="Arial Narrow" w:eastAsia="Calibri" w:hAnsi="Arial Narrow" w:cs="Arial"/>
          <w:b/>
          <w:color w:val="000000" w:themeColor="text1"/>
          <w:kern w:val="32"/>
          <w:lang w:eastAsia="es-ES"/>
        </w:rPr>
      </w:pPr>
    </w:p>
    <w:p w14:paraId="10008EF7" w14:textId="77777777" w:rsidR="007968EC" w:rsidRPr="002C0D19" w:rsidRDefault="007968EC" w:rsidP="007968EC">
      <w:pPr>
        <w:jc w:val="center"/>
        <w:rPr>
          <w:rFonts w:ascii="Arial Narrow" w:hAnsi="Arial Narrow" w:cs="Arial"/>
          <w:b/>
          <w:color w:val="000000" w:themeColor="text1"/>
          <w:lang w:val="es-ES" w:eastAsia="es-ES"/>
        </w:rPr>
      </w:pPr>
      <w:r w:rsidRPr="002C0D19">
        <w:rPr>
          <w:rFonts w:ascii="Arial Narrow" w:hAnsi="Arial Narrow" w:cs="Arial"/>
          <w:b/>
          <w:i/>
          <w:color w:val="000000" w:themeColor="text1"/>
          <w:lang w:eastAsia="es-ES"/>
        </w:rPr>
        <w:t xml:space="preserve">(Esta Parte II fue adicionada </w:t>
      </w:r>
      <w:r w:rsidRPr="002C0D19">
        <w:rPr>
          <w:rFonts w:ascii="Arial Narrow" w:hAnsi="Arial Narrow" w:cs="Arial"/>
          <w:b/>
          <w:i/>
          <w:color w:val="000000" w:themeColor="text1"/>
          <w:lang w:val="es-ES" w:eastAsia="es-ES"/>
        </w:rPr>
        <w:t>mediante Circular 19 del 28 de diciembre de 2016, publicada en el Boletín Normativo No. 024 del 28 de diciembre de 2016. Rige a partir del 29 de diciembre de 2016.)</w:t>
      </w:r>
    </w:p>
    <w:p w14:paraId="00794A37" w14:textId="77777777" w:rsidR="007968EC" w:rsidRPr="002C0D19" w:rsidRDefault="007968EC" w:rsidP="007968EC">
      <w:pPr>
        <w:keepNext/>
        <w:jc w:val="center"/>
        <w:outlineLvl w:val="0"/>
        <w:rPr>
          <w:rFonts w:ascii="Arial Narrow" w:eastAsia="Calibri" w:hAnsi="Arial Narrow"/>
          <w:b/>
          <w:bCs/>
          <w:color w:val="000000" w:themeColor="text1"/>
          <w:kern w:val="32"/>
        </w:rPr>
      </w:pPr>
    </w:p>
    <w:p w14:paraId="4820C119" w14:textId="77777777" w:rsidR="007968EC" w:rsidRPr="002C0D19" w:rsidRDefault="007968EC" w:rsidP="007968EC">
      <w:pPr>
        <w:keepNext/>
        <w:jc w:val="center"/>
        <w:outlineLvl w:val="0"/>
        <w:rPr>
          <w:rFonts w:ascii="Arial Narrow" w:eastAsia="Calibri" w:hAnsi="Arial Narrow"/>
          <w:b/>
          <w:bCs/>
          <w:color w:val="000000" w:themeColor="text1"/>
          <w:kern w:val="32"/>
        </w:rPr>
      </w:pPr>
    </w:p>
    <w:p w14:paraId="2B9CC0DD" w14:textId="77777777" w:rsidR="007968EC" w:rsidRDefault="007968EC" w:rsidP="007968EC">
      <w:pPr>
        <w:pStyle w:val="TTULO"/>
        <w:rPr>
          <w:rFonts w:eastAsia="Calibri"/>
          <w:lang w:val="es-ES"/>
        </w:rPr>
      </w:pPr>
      <w:bookmarkStart w:id="3505" w:name="_Toc470779875"/>
      <w:bookmarkStart w:id="3506" w:name="_Toc470780492"/>
      <w:bookmarkStart w:id="3507" w:name="_Toc470781005"/>
      <w:bookmarkStart w:id="3508" w:name="_Toc470784566"/>
      <w:bookmarkStart w:id="3509" w:name="_Toc470785103"/>
      <w:bookmarkStart w:id="3510" w:name="_Toc470791489"/>
      <w:bookmarkStart w:id="3511" w:name="_Toc472592260"/>
      <w:bookmarkStart w:id="3512" w:name="_Toc472593279"/>
      <w:bookmarkStart w:id="3513" w:name="_Toc479057065"/>
      <w:bookmarkStart w:id="3514" w:name="_Toc490066393"/>
      <w:bookmarkStart w:id="3515" w:name="_Toc31716079"/>
      <w:r w:rsidRPr="002C0D19">
        <w:rPr>
          <w:rFonts w:eastAsia="Calibri"/>
          <w:lang w:val="es-ES"/>
        </w:rPr>
        <w:t>TÍTULO PRIMERO</w:t>
      </w:r>
      <w:bookmarkEnd w:id="3505"/>
      <w:bookmarkEnd w:id="3506"/>
      <w:bookmarkEnd w:id="3507"/>
      <w:bookmarkEnd w:id="3508"/>
      <w:bookmarkEnd w:id="3509"/>
      <w:bookmarkEnd w:id="3510"/>
      <w:bookmarkEnd w:id="3511"/>
      <w:bookmarkEnd w:id="3512"/>
      <w:bookmarkEnd w:id="3513"/>
      <w:bookmarkEnd w:id="3514"/>
      <w:bookmarkEnd w:id="3515"/>
    </w:p>
    <w:p w14:paraId="379FA8FD" w14:textId="77777777" w:rsidR="007968EC" w:rsidRPr="002C0D19" w:rsidRDefault="007968EC" w:rsidP="007968EC">
      <w:pPr>
        <w:pStyle w:val="TTULO"/>
        <w:rPr>
          <w:rFonts w:eastAsia="Calibri"/>
          <w:lang w:val="es-ES"/>
        </w:rPr>
      </w:pPr>
    </w:p>
    <w:p w14:paraId="0322CF6D" w14:textId="77777777" w:rsidR="007968EC" w:rsidRPr="002C0D19" w:rsidRDefault="007968EC" w:rsidP="007968EC">
      <w:pPr>
        <w:pStyle w:val="TTULO"/>
        <w:rPr>
          <w:rFonts w:eastAsia="Calibri"/>
          <w:lang w:val="es-ES"/>
        </w:rPr>
      </w:pPr>
      <w:bookmarkStart w:id="3516" w:name="_Toc470779876"/>
      <w:bookmarkStart w:id="3517" w:name="_Toc470780493"/>
      <w:bookmarkStart w:id="3518" w:name="_Toc470781006"/>
      <w:bookmarkStart w:id="3519" w:name="_Toc470784567"/>
      <w:bookmarkStart w:id="3520" w:name="_Toc470785104"/>
      <w:bookmarkStart w:id="3521" w:name="_Toc470791490"/>
      <w:bookmarkStart w:id="3522" w:name="_Toc472592261"/>
      <w:bookmarkStart w:id="3523" w:name="_Toc472593280"/>
      <w:bookmarkStart w:id="3524" w:name="_Toc479057066"/>
      <w:bookmarkStart w:id="3525" w:name="_Toc490066394"/>
      <w:bookmarkStart w:id="3526" w:name="_Toc31716080"/>
      <w:r w:rsidRPr="002C0D19">
        <w:rPr>
          <w:rFonts w:eastAsia="Calibri"/>
          <w:lang w:val="es-ES"/>
        </w:rPr>
        <w:t>MIEMBROS DE LA CÁMARA, TERCEROS Y PARTICIPACIÓN EN EL SEGMENTO</w:t>
      </w:r>
      <w:bookmarkEnd w:id="3516"/>
      <w:bookmarkEnd w:id="3517"/>
      <w:bookmarkEnd w:id="3518"/>
      <w:bookmarkEnd w:id="3519"/>
      <w:bookmarkEnd w:id="3520"/>
      <w:bookmarkEnd w:id="3521"/>
      <w:bookmarkEnd w:id="3522"/>
      <w:bookmarkEnd w:id="3523"/>
      <w:bookmarkEnd w:id="3524"/>
      <w:bookmarkEnd w:id="3525"/>
      <w:bookmarkEnd w:id="3526"/>
    </w:p>
    <w:p w14:paraId="697C3015" w14:textId="77777777" w:rsidR="007968EC" w:rsidRPr="002C0D19" w:rsidRDefault="007968EC" w:rsidP="007968EC">
      <w:pPr>
        <w:pStyle w:val="TTULO"/>
        <w:rPr>
          <w:rFonts w:eastAsia="Calibri"/>
          <w:lang w:val="es-ES"/>
        </w:rPr>
      </w:pPr>
    </w:p>
    <w:p w14:paraId="5C4D8B44" w14:textId="77777777" w:rsidR="007968EC" w:rsidRPr="002C0D19" w:rsidRDefault="007968EC" w:rsidP="007968EC">
      <w:pPr>
        <w:pStyle w:val="TTULO"/>
        <w:rPr>
          <w:rFonts w:eastAsia="Calibri"/>
          <w:lang w:val="es-ES"/>
        </w:rPr>
      </w:pPr>
      <w:bookmarkStart w:id="3527" w:name="_Toc470779877"/>
      <w:bookmarkStart w:id="3528" w:name="_Toc470780494"/>
      <w:bookmarkStart w:id="3529" w:name="_Toc470781007"/>
      <w:bookmarkStart w:id="3530" w:name="_Toc470784568"/>
      <w:bookmarkStart w:id="3531" w:name="_Toc470785105"/>
      <w:bookmarkStart w:id="3532" w:name="_Toc470791491"/>
      <w:bookmarkStart w:id="3533" w:name="_Toc472592262"/>
      <w:bookmarkStart w:id="3534" w:name="_Toc472593281"/>
      <w:bookmarkStart w:id="3535" w:name="_Toc479057067"/>
      <w:bookmarkStart w:id="3536" w:name="_Toc490066395"/>
      <w:bookmarkStart w:id="3537" w:name="_Toc31716081"/>
      <w:r w:rsidRPr="002C0D19">
        <w:rPr>
          <w:rFonts w:eastAsia="Calibri"/>
          <w:lang w:val="es-ES"/>
        </w:rPr>
        <w:t>CAPÍTULO PRIMERO</w:t>
      </w:r>
      <w:bookmarkEnd w:id="3527"/>
      <w:bookmarkEnd w:id="3528"/>
      <w:bookmarkEnd w:id="3529"/>
      <w:bookmarkEnd w:id="3530"/>
      <w:bookmarkEnd w:id="3531"/>
      <w:bookmarkEnd w:id="3532"/>
      <w:bookmarkEnd w:id="3533"/>
      <w:bookmarkEnd w:id="3534"/>
      <w:bookmarkEnd w:id="3535"/>
      <w:bookmarkEnd w:id="3536"/>
      <w:bookmarkEnd w:id="3537"/>
    </w:p>
    <w:p w14:paraId="25E4A74A" w14:textId="77777777" w:rsidR="007968EC" w:rsidRPr="002C0D19" w:rsidRDefault="007968EC" w:rsidP="007968EC">
      <w:pPr>
        <w:pStyle w:val="TTULO"/>
        <w:rPr>
          <w:rFonts w:eastAsia="Calibri"/>
          <w:lang w:val="es-ES"/>
        </w:rPr>
      </w:pPr>
    </w:p>
    <w:p w14:paraId="4FF297D3" w14:textId="77777777" w:rsidR="007968EC" w:rsidRPr="002C0D19" w:rsidRDefault="007968EC" w:rsidP="007968EC">
      <w:pPr>
        <w:pStyle w:val="TTULO"/>
        <w:rPr>
          <w:rFonts w:eastAsia="Calibri"/>
          <w:lang w:val="es-ES"/>
        </w:rPr>
      </w:pPr>
      <w:bookmarkStart w:id="3538" w:name="_Toc470779878"/>
      <w:bookmarkStart w:id="3539" w:name="_Toc470780495"/>
      <w:bookmarkStart w:id="3540" w:name="_Toc470781008"/>
      <w:bookmarkStart w:id="3541" w:name="_Toc470784569"/>
      <w:bookmarkStart w:id="3542" w:name="_Toc470785106"/>
      <w:bookmarkStart w:id="3543" w:name="_Toc470791492"/>
      <w:bookmarkStart w:id="3544" w:name="_Toc472592263"/>
      <w:bookmarkStart w:id="3545" w:name="_Toc472593282"/>
      <w:bookmarkStart w:id="3546" w:name="_Toc479057068"/>
      <w:bookmarkStart w:id="3547" w:name="_Toc490066396"/>
      <w:bookmarkStart w:id="3548" w:name="_Toc31716082"/>
      <w:r w:rsidRPr="002C0D19">
        <w:rPr>
          <w:rFonts w:eastAsia="Calibri"/>
          <w:lang w:val="es-ES"/>
        </w:rPr>
        <w:t>REQUISITOS DE PARTICIPACIÓN, MODIFICACIÓN Y PERMANENCIA DE LOS MIEMBROS</w:t>
      </w:r>
      <w:bookmarkEnd w:id="3538"/>
      <w:bookmarkEnd w:id="3539"/>
      <w:bookmarkEnd w:id="3540"/>
      <w:bookmarkEnd w:id="3541"/>
      <w:bookmarkEnd w:id="3542"/>
      <w:bookmarkEnd w:id="3543"/>
      <w:bookmarkEnd w:id="3544"/>
      <w:bookmarkEnd w:id="3545"/>
      <w:bookmarkEnd w:id="3546"/>
      <w:bookmarkEnd w:id="3547"/>
      <w:bookmarkEnd w:id="3548"/>
    </w:p>
    <w:p w14:paraId="28B7609B" w14:textId="77777777" w:rsidR="007968EC" w:rsidRPr="002C0D19" w:rsidRDefault="007968EC" w:rsidP="007968EC">
      <w:pPr>
        <w:jc w:val="both"/>
        <w:rPr>
          <w:rFonts w:ascii="Arial Narrow" w:eastAsia="Calibri" w:hAnsi="Arial Narrow"/>
          <w:b/>
          <w:color w:val="000000" w:themeColor="text1"/>
        </w:rPr>
      </w:pPr>
    </w:p>
    <w:p w14:paraId="1E01E3D1" w14:textId="77777777" w:rsidR="007968EC" w:rsidRPr="002C0D19" w:rsidRDefault="007968EC" w:rsidP="007968EC">
      <w:pPr>
        <w:pStyle w:val="ARTICULO0"/>
      </w:pPr>
      <w:bookmarkStart w:id="3549" w:name="_Toc470779879"/>
      <w:bookmarkStart w:id="3550" w:name="_Toc470780496"/>
      <w:bookmarkStart w:id="3551" w:name="_Toc470781009"/>
      <w:bookmarkStart w:id="3552" w:name="_Toc470784570"/>
      <w:bookmarkStart w:id="3553" w:name="_Toc470785107"/>
      <w:bookmarkStart w:id="3554" w:name="_Toc470791493"/>
      <w:bookmarkStart w:id="3555" w:name="_Toc472592264"/>
      <w:bookmarkStart w:id="3556" w:name="_Toc472593283"/>
      <w:bookmarkStart w:id="3557" w:name="_Toc479057069"/>
      <w:bookmarkStart w:id="3558" w:name="_Toc490066397"/>
      <w:bookmarkStart w:id="3559" w:name="_Toc31716083"/>
      <w:r w:rsidRPr="002C0D19">
        <w:t>Artículo 2.1.1.1. Solicitud para participar en el Segmento de Derivados y procedimiento operativo de ingreso.</w:t>
      </w:r>
      <w:bookmarkEnd w:id="3549"/>
      <w:bookmarkEnd w:id="3550"/>
      <w:bookmarkEnd w:id="3551"/>
      <w:bookmarkEnd w:id="3552"/>
      <w:bookmarkEnd w:id="3553"/>
      <w:bookmarkEnd w:id="3554"/>
      <w:bookmarkEnd w:id="3555"/>
      <w:bookmarkEnd w:id="3556"/>
      <w:bookmarkEnd w:id="3557"/>
      <w:bookmarkEnd w:id="3558"/>
      <w:bookmarkEnd w:id="3559"/>
    </w:p>
    <w:p w14:paraId="498D83AB" w14:textId="77777777" w:rsidR="007968EC" w:rsidRPr="002C0D19" w:rsidRDefault="007968EC" w:rsidP="007968EC">
      <w:pPr>
        <w:jc w:val="both"/>
        <w:rPr>
          <w:rFonts w:ascii="Arial Narrow" w:eastAsia="Calibri" w:hAnsi="Arial Narrow"/>
          <w:color w:val="000000" w:themeColor="text1"/>
        </w:rPr>
      </w:pPr>
    </w:p>
    <w:p w14:paraId="5501208B" w14:textId="77777777" w:rsidR="007968EC" w:rsidRPr="002C0D19" w:rsidRDefault="007968EC" w:rsidP="007968EC">
      <w:pPr>
        <w:jc w:val="both"/>
        <w:rPr>
          <w:rFonts w:ascii="Arial Narrow" w:eastAsia="Calibri" w:hAnsi="Arial Narrow"/>
          <w:b/>
          <w:color w:val="000000" w:themeColor="text1"/>
        </w:rPr>
      </w:pPr>
      <w:r w:rsidRPr="002C0D19">
        <w:rPr>
          <w:rFonts w:ascii="Arial Narrow" w:eastAsia="Calibri" w:hAnsi="Arial Narrow"/>
          <w:color w:val="000000" w:themeColor="text1"/>
        </w:rPr>
        <w:t>Para participar en la Compensación y Liquidación en el Segmento de Derivados Financieros, los aspirantes a Miembros de la Cámara deben manifestar su interés de participar en la solicitud de admisión como Miembro en la modalidad de la que se trate, o en cualquier tiempo, una vez hayan sido admitidos, mediante escrito remitido al Gerente de la Cámara.</w:t>
      </w:r>
    </w:p>
    <w:p w14:paraId="274A6424" w14:textId="77777777" w:rsidR="007968EC" w:rsidRPr="002C0D19" w:rsidRDefault="007968EC" w:rsidP="007968EC">
      <w:pPr>
        <w:jc w:val="both"/>
        <w:rPr>
          <w:rFonts w:ascii="Arial Narrow" w:eastAsia="Calibri" w:hAnsi="Arial Narrow"/>
          <w:b/>
          <w:color w:val="000000" w:themeColor="text1"/>
        </w:rPr>
      </w:pPr>
    </w:p>
    <w:p w14:paraId="6BF08547" w14:textId="77777777" w:rsidR="007968EC" w:rsidRPr="002C0D19" w:rsidRDefault="007968EC" w:rsidP="007968EC">
      <w:pPr>
        <w:jc w:val="both"/>
        <w:rPr>
          <w:rFonts w:ascii="Arial Narrow" w:eastAsia="Calibri" w:hAnsi="Arial Narrow"/>
          <w:color w:val="000000" w:themeColor="text1"/>
          <w:u w:val="single"/>
        </w:rPr>
      </w:pPr>
      <w:r w:rsidRPr="002C0D19">
        <w:rPr>
          <w:rFonts w:ascii="Arial Narrow" w:eastAsia="Calibri" w:hAnsi="Arial Narrow"/>
          <w:color w:val="000000" w:themeColor="text1"/>
        </w:rPr>
        <w:t xml:space="preserve">El procedimiento operativo de ingreso al Segmento de Derivados Financieros será el siguiente: </w:t>
      </w:r>
    </w:p>
    <w:p w14:paraId="0535EA96" w14:textId="77777777" w:rsidR="007968EC" w:rsidRPr="002C0D19" w:rsidRDefault="007968EC" w:rsidP="007968EC">
      <w:pPr>
        <w:jc w:val="both"/>
        <w:rPr>
          <w:rFonts w:ascii="Arial Narrow" w:eastAsia="Calibri" w:hAnsi="Arial Narrow"/>
          <w:b/>
          <w:color w:val="000000" w:themeColor="text1"/>
        </w:rPr>
      </w:pPr>
    </w:p>
    <w:p w14:paraId="00751E4A" w14:textId="77777777" w:rsidR="007968EC" w:rsidRPr="002C0D19" w:rsidRDefault="007968EC" w:rsidP="00DA7472">
      <w:pPr>
        <w:numPr>
          <w:ilvl w:val="1"/>
          <w:numId w:val="164"/>
        </w:numPr>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 xml:space="preserve">Presentar Carta de solicitud de ingreso al Gerente de la Cámara o a quien este designe en la cual se identifique que el Miembro está interesado en participar en la Compensación y Liquidación para el Segmento de Derivados Financieros, según el formato establecido en el Anexo 1.5, debidamente diligenciado y suscrito por un representante legal. </w:t>
      </w:r>
    </w:p>
    <w:p w14:paraId="2817AD4A" w14:textId="77777777" w:rsidR="007968EC" w:rsidRPr="002C0D19" w:rsidRDefault="007968EC" w:rsidP="007968EC">
      <w:pPr>
        <w:autoSpaceDE w:val="0"/>
        <w:autoSpaceDN w:val="0"/>
        <w:adjustRightInd w:val="0"/>
        <w:ind w:left="426"/>
        <w:jc w:val="both"/>
        <w:rPr>
          <w:rFonts w:ascii="Arial Narrow" w:eastAsia="Calibri" w:hAnsi="Arial Narrow"/>
          <w:color w:val="000000" w:themeColor="text1"/>
        </w:rPr>
      </w:pPr>
    </w:p>
    <w:p w14:paraId="2F5FB066" w14:textId="77777777" w:rsidR="007968EC" w:rsidRPr="002C0D19" w:rsidRDefault="007968EC" w:rsidP="007968EC">
      <w:pPr>
        <w:autoSpaceDE w:val="0"/>
        <w:autoSpaceDN w:val="0"/>
        <w:adjustRightInd w:val="0"/>
        <w:ind w:left="426"/>
        <w:jc w:val="both"/>
        <w:rPr>
          <w:rFonts w:ascii="Arial Narrow" w:eastAsia="Calibri" w:hAnsi="Arial Narrow"/>
          <w:color w:val="000000" w:themeColor="text1"/>
        </w:rPr>
      </w:pPr>
      <w:r w:rsidRPr="002C0D19">
        <w:rPr>
          <w:rFonts w:ascii="Arial Narrow" w:eastAsia="Calibri" w:hAnsi="Arial Narrow"/>
          <w:color w:val="000000" w:themeColor="text1"/>
        </w:rPr>
        <w:t>Cuando se trate de la solicitud de ingreso de un Miembro No Liquidador, será indispensable contar con la aceptación de su Miembro Liquidador General y que este último ingrese o se encuentre participando en el respectivo Segmento.</w:t>
      </w:r>
    </w:p>
    <w:p w14:paraId="04FF0719" w14:textId="77777777" w:rsidR="007968EC" w:rsidRPr="002C0D19" w:rsidRDefault="007968EC" w:rsidP="007968EC">
      <w:pPr>
        <w:jc w:val="both"/>
        <w:rPr>
          <w:rFonts w:ascii="Arial Narrow" w:eastAsia="Calibri" w:hAnsi="Arial Narrow"/>
          <w:b/>
          <w:color w:val="000000" w:themeColor="text1"/>
        </w:rPr>
      </w:pPr>
    </w:p>
    <w:p w14:paraId="46BFF13B" w14:textId="77777777" w:rsidR="007968EC" w:rsidRPr="002C0D19" w:rsidRDefault="007968EC" w:rsidP="00DA7472">
      <w:pPr>
        <w:numPr>
          <w:ilvl w:val="0"/>
          <w:numId w:val="165"/>
        </w:numPr>
        <w:ind w:left="426" w:hanging="284"/>
        <w:contextualSpacing/>
        <w:jc w:val="both"/>
        <w:rPr>
          <w:rFonts w:ascii="Arial Narrow" w:eastAsia="Calibri" w:hAnsi="Arial Narrow"/>
          <w:b/>
          <w:color w:val="000000" w:themeColor="text1"/>
        </w:rPr>
      </w:pPr>
      <w:r w:rsidRPr="002C0D19">
        <w:rPr>
          <w:rFonts w:ascii="Arial Narrow" w:eastAsia="Calibri" w:hAnsi="Arial Narrow"/>
          <w:color w:val="000000" w:themeColor="text1"/>
        </w:rPr>
        <w:t>El Subgerente de Riesgos y Operaciones o el Administrador de Riesgos y Operaciones de Mercado de la Cámara o el funcionario que éstos designen, validará que el Miembro cumpla con los requerimientos establecidos para el ingreso al Segmento de acuerdo con lo establecido en los Artículos 2.1.1.2. y 2.1.1.3. de la presente Circular según corresponda.</w:t>
      </w:r>
    </w:p>
    <w:p w14:paraId="4C964DE5" w14:textId="77777777" w:rsidR="007968EC" w:rsidRPr="002C0D19" w:rsidRDefault="007968EC" w:rsidP="007968EC">
      <w:pPr>
        <w:ind w:left="426"/>
        <w:contextualSpacing/>
        <w:jc w:val="both"/>
        <w:rPr>
          <w:rFonts w:ascii="Arial Narrow" w:eastAsia="Calibri" w:hAnsi="Arial Narrow"/>
          <w:b/>
          <w:color w:val="000000" w:themeColor="text1"/>
        </w:rPr>
      </w:pPr>
    </w:p>
    <w:p w14:paraId="3D372A1A" w14:textId="77777777" w:rsidR="007968EC" w:rsidRPr="002C0D19" w:rsidRDefault="007968EC" w:rsidP="00DA7472">
      <w:pPr>
        <w:numPr>
          <w:ilvl w:val="0"/>
          <w:numId w:val="165"/>
        </w:numPr>
        <w:ind w:left="426" w:hanging="284"/>
        <w:contextualSpacing/>
        <w:jc w:val="both"/>
        <w:rPr>
          <w:rFonts w:ascii="Arial Narrow" w:eastAsia="Calibri" w:hAnsi="Arial Narrow"/>
          <w:b/>
          <w:color w:val="000000" w:themeColor="text1"/>
        </w:rPr>
      </w:pPr>
      <w:r w:rsidRPr="002C0D19">
        <w:rPr>
          <w:rFonts w:ascii="Arial Narrow" w:eastAsia="Calibri" w:hAnsi="Arial Narrow"/>
          <w:color w:val="000000" w:themeColor="text1"/>
        </w:rPr>
        <w:t>El Subgerente de Riesgos y Operaciones o el Administrador de Riesgos y Operaciones de Mercado de la Cámara o el funcionario que estos designen, notificará al Administrador registrado del Miembro, vía correo electrónico, cuando esté habilitada la participación del Miembro en el Segmento solicitado.</w:t>
      </w:r>
    </w:p>
    <w:p w14:paraId="0856EE1B" w14:textId="77777777" w:rsidR="007968EC" w:rsidRPr="002C0D19" w:rsidRDefault="007968EC" w:rsidP="007968EC">
      <w:pPr>
        <w:jc w:val="both"/>
        <w:rPr>
          <w:rFonts w:ascii="Arial Narrow" w:eastAsia="Calibri" w:hAnsi="Arial Narrow"/>
          <w:b/>
          <w:color w:val="000000" w:themeColor="text1"/>
        </w:rPr>
      </w:pPr>
    </w:p>
    <w:p w14:paraId="09F9404D" w14:textId="77777777" w:rsidR="007968EC" w:rsidRDefault="007968EC" w:rsidP="007968EC">
      <w:pPr>
        <w:pStyle w:val="ARTICULO0"/>
      </w:pPr>
      <w:bookmarkStart w:id="3560" w:name="_Toc470779880"/>
      <w:bookmarkStart w:id="3561" w:name="_Toc470780497"/>
      <w:bookmarkStart w:id="3562" w:name="_Toc470781010"/>
      <w:bookmarkStart w:id="3563" w:name="_Toc470784571"/>
      <w:bookmarkStart w:id="3564" w:name="_Toc470785108"/>
      <w:bookmarkStart w:id="3565" w:name="_Toc470791494"/>
      <w:bookmarkStart w:id="3566" w:name="_Toc472592265"/>
      <w:bookmarkStart w:id="3567" w:name="_Toc472593284"/>
      <w:bookmarkStart w:id="3568" w:name="_Toc479057070"/>
      <w:bookmarkStart w:id="3569" w:name="_Toc31716084"/>
      <w:bookmarkStart w:id="3570" w:name="_Toc490066398"/>
      <w:r w:rsidRPr="002C0D19">
        <w:t>Artículo 2.1.1.2. Requisito de patrimonio técnico para el Miembro Liquidador General para Participar en el Segmento de Derivados Financieros.</w:t>
      </w:r>
      <w:bookmarkEnd w:id="3560"/>
      <w:bookmarkEnd w:id="3561"/>
      <w:bookmarkEnd w:id="3562"/>
      <w:bookmarkEnd w:id="3563"/>
      <w:bookmarkEnd w:id="3564"/>
      <w:bookmarkEnd w:id="3565"/>
      <w:bookmarkEnd w:id="3566"/>
      <w:bookmarkEnd w:id="3567"/>
      <w:bookmarkEnd w:id="3568"/>
      <w:bookmarkEnd w:id="3569"/>
      <w:r w:rsidRPr="002C0D19">
        <w:t xml:space="preserve"> </w:t>
      </w:r>
    </w:p>
    <w:p w14:paraId="3A24902E" w14:textId="77777777" w:rsidR="007968EC" w:rsidRPr="000E6636" w:rsidRDefault="007968EC" w:rsidP="007968EC">
      <w:pPr>
        <w:autoSpaceDE w:val="0"/>
        <w:autoSpaceDN w:val="0"/>
        <w:jc w:val="both"/>
        <w:rPr>
          <w:rFonts w:ascii="Arial Narrow" w:hAnsi="Arial Narrow" w:cs="Arial"/>
          <w:b/>
          <w:bCs/>
          <w:color w:val="000000" w:themeColor="text1"/>
          <w:lang w:eastAsia="es-ES"/>
        </w:rPr>
      </w:pPr>
    </w:p>
    <w:p w14:paraId="27BC161F" w14:textId="77777777" w:rsidR="007968EC" w:rsidRPr="002C0D19" w:rsidRDefault="007968EC" w:rsidP="007968EC">
      <w:pPr>
        <w:pStyle w:val="ANTECEDENTES"/>
      </w:pPr>
      <w:r w:rsidRPr="002C0D19">
        <w:t>(Este artículo fue modificado mediante Circular 4 del 18 de enero de 2017, publicada en el Boletín Normativo No. 004 del 18 de enero de 2017</w:t>
      </w:r>
      <w:r>
        <w:t xml:space="preserve">, mediante Circular 1 del 13 de febrero de 2018, publicada </w:t>
      </w:r>
      <w:r>
        <w:lastRenderedPageBreak/>
        <w:t>en el Boletín Normativo No. 002 del 13 de febrero de 2018, mediante Circular 1 del 15 de enero de 2019, publicada en el Boletín Normativo No. 001 del 15 de enero de 2019 y mediante Circular 1 del 10 de enero de 2020, publicada en el Boletín Normativo No. 001 del 10 de enero de 2020</w:t>
      </w:r>
      <w:r w:rsidRPr="002C0D19">
        <w:t xml:space="preserve">. Rige a partir del </w:t>
      </w:r>
      <w:r>
        <w:t>13 de enero de 2020</w:t>
      </w:r>
      <w:r w:rsidRPr="002C0D19">
        <w:t>.)</w:t>
      </w:r>
      <w:bookmarkEnd w:id="3570"/>
    </w:p>
    <w:p w14:paraId="75A95BD4" w14:textId="77777777" w:rsidR="007968EC" w:rsidRPr="002C0D19" w:rsidRDefault="007968EC" w:rsidP="007968EC">
      <w:pPr>
        <w:jc w:val="both"/>
        <w:rPr>
          <w:rFonts w:ascii="Arial Narrow" w:eastAsia="Calibri" w:hAnsi="Arial Narrow"/>
          <w:color w:val="000000" w:themeColor="text1"/>
        </w:rPr>
      </w:pPr>
    </w:p>
    <w:p w14:paraId="7D34D989" w14:textId="77777777" w:rsidR="007968EC" w:rsidRPr="002C0D19" w:rsidRDefault="007968EC" w:rsidP="007968EC">
      <w:pPr>
        <w:jc w:val="both"/>
        <w:rPr>
          <w:rFonts w:ascii="Arial Narrow" w:eastAsia="Calibri" w:hAnsi="Arial Narrow"/>
          <w:b/>
          <w:color w:val="000000" w:themeColor="text1"/>
        </w:rPr>
      </w:pPr>
      <w:r w:rsidRPr="002C0D19">
        <w:rPr>
          <w:rFonts w:ascii="Arial Narrow" w:eastAsia="Calibri" w:hAnsi="Arial Narrow"/>
          <w:color w:val="000000" w:themeColor="text1"/>
        </w:rPr>
        <w:t xml:space="preserve">El requisito de patrimonio técnico mínimo para los Miembros Liquidadores Generales, de acceso y permanencia, para participar en la Compensación y Liquidación en el Segmento de Derivados Financieros de la Cámara será el mismo que se les exige para tener la calidad de Miembros Liquidadores Generales de la Cámara en el artículo 1.2.1.2. de la presente Circular, esto es, para el año </w:t>
      </w:r>
      <w:r w:rsidRPr="002C0D19">
        <w:rPr>
          <w:rFonts w:ascii="Arial Narrow" w:eastAsia="Calibri" w:hAnsi="Arial Narrow"/>
          <w:color w:val="000000" w:themeColor="text1"/>
          <w:lang w:val="es-ES" w:eastAsia="es-ES"/>
        </w:rPr>
        <w:t>2</w:t>
      </w:r>
      <w:r>
        <w:rPr>
          <w:rFonts w:ascii="Arial Narrow" w:eastAsia="Calibri" w:hAnsi="Arial Narrow"/>
          <w:color w:val="000000" w:themeColor="text1"/>
          <w:lang w:val="es-ES" w:eastAsia="es-ES"/>
        </w:rPr>
        <w:t>020</w:t>
      </w:r>
      <w:r w:rsidRPr="002C0D19">
        <w:rPr>
          <w:rFonts w:ascii="Arial Narrow" w:eastAsia="Calibri" w:hAnsi="Arial Narrow"/>
          <w:color w:val="000000" w:themeColor="text1"/>
          <w:lang w:val="es-ES" w:eastAsia="es-ES"/>
        </w:rPr>
        <w:t xml:space="preserve">, la </w:t>
      </w:r>
      <w:r w:rsidRPr="002C0D19">
        <w:rPr>
          <w:rFonts w:ascii="Arial Narrow" w:hAnsi="Arial Narrow" w:cs="Arial"/>
          <w:color w:val="000000" w:themeColor="text1"/>
          <w:lang w:val="es-ES" w:eastAsia="es-ES"/>
        </w:rPr>
        <w:t xml:space="preserve">suma de </w:t>
      </w:r>
      <w:r w:rsidRPr="00B70DC5">
        <w:rPr>
          <w:rFonts w:ascii="Arial Narrow" w:hAnsi="Arial Narrow" w:cs="Arial"/>
          <w:color w:val="000000" w:themeColor="text1"/>
          <w:lang w:val="es-ES" w:eastAsia="es-ES"/>
        </w:rPr>
        <w:t>cien mil cuatrocientos noventa y dos millones de pesos ($100.492.000.000)</w:t>
      </w:r>
      <w:r w:rsidRPr="002C0D19">
        <w:rPr>
          <w:rFonts w:ascii="Arial Narrow" w:hAnsi="Arial Narrow" w:cs="Arial"/>
          <w:color w:val="000000" w:themeColor="text1"/>
          <w:lang w:val="es-ES" w:eastAsia="es-ES"/>
        </w:rPr>
        <w:t xml:space="preserve"> moneda corriente</w:t>
      </w:r>
      <w:r w:rsidRPr="002C0D19">
        <w:rPr>
          <w:rFonts w:ascii="Arial Narrow" w:eastAsia="Calibri" w:hAnsi="Arial Narrow"/>
          <w:color w:val="000000" w:themeColor="text1"/>
        </w:rPr>
        <w:t xml:space="preserve">, </w:t>
      </w:r>
      <w:r w:rsidRPr="002C0D19">
        <w:rPr>
          <w:rFonts w:ascii="Arial Narrow" w:eastAsia="Calibri" w:hAnsi="Arial Narrow"/>
          <w:bCs/>
          <w:color w:val="000000" w:themeColor="text1"/>
        </w:rPr>
        <w:t>valor que se ajustará anualmente, en el mes de enero, en forma automática en el mismo sentido y porcentaje en que varíe el índice de precios al consumidor que suministre el DANE.</w:t>
      </w:r>
    </w:p>
    <w:p w14:paraId="6F8A50FB" w14:textId="77777777" w:rsidR="007968EC" w:rsidRPr="002C0D19" w:rsidRDefault="007968EC" w:rsidP="007968EC">
      <w:pPr>
        <w:jc w:val="both"/>
        <w:rPr>
          <w:rFonts w:ascii="Arial Narrow" w:eastAsia="Calibri" w:hAnsi="Arial Narrow"/>
          <w:b/>
          <w:color w:val="000000" w:themeColor="text1"/>
        </w:rPr>
      </w:pPr>
    </w:p>
    <w:p w14:paraId="2851A2E6" w14:textId="77777777" w:rsidR="007968EC" w:rsidRDefault="007968EC" w:rsidP="007968EC">
      <w:pPr>
        <w:pStyle w:val="ARTICULO0"/>
      </w:pPr>
      <w:bookmarkStart w:id="3571" w:name="_Toc470779881"/>
      <w:bookmarkStart w:id="3572" w:name="_Toc470780498"/>
      <w:bookmarkStart w:id="3573" w:name="_Toc470781011"/>
      <w:bookmarkStart w:id="3574" w:name="_Toc470784572"/>
      <w:bookmarkStart w:id="3575" w:name="_Toc470785109"/>
      <w:bookmarkStart w:id="3576" w:name="_Toc470791495"/>
      <w:bookmarkStart w:id="3577" w:name="_Toc472592266"/>
      <w:bookmarkStart w:id="3578" w:name="_Toc472593285"/>
      <w:bookmarkStart w:id="3579" w:name="_Toc479057071"/>
      <w:bookmarkStart w:id="3580" w:name="_Toc31716085"/>
      <w:bookmarkStart w:id="3581" w:name="_Toc490066399"/>
      <w:r w:rsidRPr="002C0D19">
        <w:t>Artículo 2.1.1.3. Requisito de patrimonio técnico para el Miembro Liquidador Individual para Participar el Segmento de Derivados Financieros.</w:t>
      </w:r>
      <w:bookmarkEnd w:id="3571"/>
      <w:bookmarkEnd w:id="3572"/>
      <w:bookmarkEnd w:id="3573"/>
      <w:bookmarkEnd w:id="3574"/>
      <w:bookmarkEnd w:id="3575"/>
      <w:bookmarkEnd w:id="3576"/>
      <w:bookmarkEnd w:id="3577"/>
      <w:bookmarkEnd w:id="3578"/>
      <w:bookmarkEnd w:id="3579"/>
      <w:bookmarkEnd w:id="3580"/>
      <w:r w:rsidRPr="002C0D19">
        <w:t xml:space="preserve"> </w:t>
      </w:r>
    </w:p>
    <w:p w14:paraId="5EE312D1" w14:textId="77777777" w:rsidR="007968EC" w:rsidRPr="000E6636" w:rsidRDefault="007968EC" w:rsidP="007968EC">
      <w:pPr>
        <w:autoSpaceDE w:val="0"/>
        <w:autoSpaceDN w:val="0"/>
        <w:jc w:val="both"/>
        <w:rPr>
          <w:rFonts w:ascii="Arial Narrow" w:hAnsi="Arial Narrow" w:cs="Arial"/>
          <w:b/>
          <w:bCs/>
          <w:color w:val="000000" w:themeColor="text1"/>
          <w:lang w:eastAsia="es-ES"/>
        </w:rPr>
      </w:pPr>
    </w:p>
    <w:p w14:paraId="4855BDC8" w14:textId="77777777" w:rsidR="007968EC" w:rsidRPr="004C4AC7" w:rsidRDefault="007968EC" w:rsidP="007968EC">
      <w:pPr>
        <w:pStyle w:val="ANTECEDENTES"/>
      </w:pPr>
      <w:r w:rsidRPr="004C4AC7">
        <w:t>(Este artículo fue modificado mediante Circular 4 del 18 de enero de 2017, publicada en el Boletín Normativo No. 004 del 18 de enero de 2017</w:t>
      </w:r>
      <w:bookmarkEnd w:id="3581"/>
      <w:r>
        <w:t xml:space="preserve">, </w:t>
      </w:r>
      <w:r w:rsidRPr="004C4AC7">
        <w:t>mediante Circular 1 del 13 de febrero de 2018, publicada en el Boletín Normativo No. 002 del 13 de febrero de 201</w:t>
      </w:r>
      <w:r>
        <w:t>8, mediante Circular 1 del 15 de enero de 2019, publicada en el Boletín Normativo No. 001 del 15 de enero de 2019</w:t>
      </w:r>
      <w:r w:rsidRPr="002C0D19">
        <w:t xml:space="preserve"> </w:t>
      </w:r>
      <w:r>
        <w:t>y mediante Circular 1 del 10 de enero de 2020, publicada en el Boletín Normativo No. 001 del 10 de enero de 2020</w:t>
      </w:r>
      <w:r w:rsidRPr="002C0D19">
        <w:t xml:space="preserve">. Rige a partir del </w:t>
      </w:r>
      <w:r>
        <w:t>13 de enero de 2020</w:t>
      </w:r>
      <w:r w:rsidRPr="002C0D19">
        <w:t>.</w:t>
      </w:r>
      <w:r w:rsidRPr="004C4AC7">
        <w:t>)</w:t>
      </w:r>
    </w:p>
    <w:p w14:paraId="1C5E840A" w14:textId="77777777" w:rsidR="007968EC" w:rsidRPr="002C0D19" w:rsidRDefault="007968EC" w:rsidP="007968EC">
      <w:pPr>
        <w:jc w:val="both"/>
        <w:rPr>
          <w:rFonts w:ascii="Arial Narrow" w:eastAsia="Calibri" w:hAnsi="Arial Narrow"/>
          <w:b/>
          <w:color w:val="000000" w:themeColor="text1"/>
        </w:rPr>
      </w:pPr>
    </w:p>
    <w:p w14:paraId="70FC3A10"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El requisito de patrimonio técnico mínimo para los Miembro Liquidadores Individuales, de acceso y permanencia, para participar en la Compensación y Liquidación en el Segmento de Derivados Financieros de la Cámara será el mismo que se les exige para tener la calidad de Miembros Liquidadores Individuales de la Cámara en el artículo 1.2.1.3. de la presente Circular, esto es, para el año 20</w:t>
      </w:r>
      <w:r>
        <w:rPr>
          <w:rFonts w:ascii="Arial Narrow" w:eastAsia="Calibri" w:hAnsi="Arial Narrow"/>
          <w:color w:val="000000" w:themeColor="text1"/>
        </w:rPr>
        <w:t>20</w:t>
      </w:r>
      <w:r w:rsidRPr="002C0D19">
        <w:rPr>
          <w:rFonts w:ascii="Arial Narrow" w:eastAsia="Calibri" w:hAnsi="Arial Narrow"/>
          <w:color w:val="000000" w:themeColor="text1"/>
        </w:rPr>
        <w:t xml:space="preserve">, la suma de </w:t>
      </w:r>
      <w:r w:rsidRPr="00B70DC5">
        <w:rPr>
          <w:rFonts w:ascii="Arial Narrow" w:eastAsia="Calibri" w:hAnsi="Arial Narrow"/>
          <w:color w:val="000000" w:themeColor="text1"/>
        </w:rPr>
        <w:t xml:space="preserve">dieciséis mil catorce millones de pesos ($16.014.000.000) </w:t>
      </w:r>
      <w:r w:rsidRPr="002C0D19">
        <w:rPr>
          <w:rFonts w:ascii="Arial Narrow" w:hAnsi="Arial Narrow" w:cs="Arial"/>
          <w:color w:val="000000" w:themeColor="text1"/>
          <w:lang w:val="es-ES" w:eastAsia="es-ES"/>
        </w:rPr>
        <w:t>moneda corriente</w:t>
      </w:r>
      <w:r w:rsidRPr="002C0D19">
        <w:rPr>
          <w:rFonts w:ascii="Arial Narrow" w:eastAsia="Calibri" w:hAnsi="Arial Narrow"/>
          <w:color w:val="000000" w:themeColor="text1"/>
        </w:rPr>
        <w:t>, valor que se ajustará anualmente, en el mes de enero, en forma automática en el mismo sentido y porcentaje en que varíe el índice de precios al consumidor que suministre el DANE.</w:t>
      </w:r>
    </w:p>
    <w:p w14:paraId="174C6E21" w14:textId="77777777" w:rsidR="007968EC" w:rsidRPr="002C0D19" w:rsidRDefault="007968EC" w:rsidP="007968EC">
      <w:pPr>
        <w:jc w:val="both"/>
        <w:rPr>
          <w:rFonts w:ascii="Arial Narrow" w:eastAsia="Calibri" w:hAnsi="Arial Narrow"/>
          <w:color w:val="000000" w:themeColor="text1"/>
        </w:rPr>
      </w:pPr>
    </w:p>
    <w:p w14:paraId="6A299445" w14:textId="77777777" w:rsidR="007968EC" w:rsidRPr="002C0D19" w:rsidRDefault="007968EC" w:rsidP="007968EC">
      <w:pPr>
        <w:pStyle w:val="ARTICULO0"/>
      </w:pPr>
      <w:bookmarkStart w:id="3582" w:name="_Toc470779882"/>
      <w:bookmarkStart w:id="3583" w:name="_Toc470780499"/>
      <w:bookmarkStart w:id="3584" w:name="_Toc470781012"/>
      <w:bookmarkStart w:id="3585" w:name="_Toc470784573"/>
      <w:bookmarkStart w:id="3586" w:name="_Toc470785110"/>
      <w:bookmarkStart w:id="3587" w:name="_Toc470791496"/>
      <w:bookmarkStart w:id="3588" w:name="_Toc472592267"/>
      <w:bookmarkStart w:id="3589" w:name="_Toc472593286"/>
      <w:bookmarkStart w:id="3590" w:name="_Toc479057072"/>
      <w:bookmarkStart w:id="3591" w:name="_Toc490066400"/>
      <w:bookmarkStart w:id="3592" w:name="_Toc31716086"/>
      <w:r w:rsidRPr="002C0D19">
        <w:t>Artículo 2.1.1.4. Procedimiento operativo para el retiro del Segmento de Derivados Financieros.</w:t>
      </w:r>
      <w:bookmarkEnd w:id="3582"/>
      <w:bookmarkEnd w:id="3583"/>
      <w:bookmarkEnd w:id="3584"/>
      <w:bookmarkEnd w:id="3585"/>
      <w:bookmarkEnd w:id="3586"/>
      <w:bookmarkEnd w:id="3587"/>
      <w:bookmarkEnd w:id="3588"/>
      <w:bookmarkEnd w:id="3589"/>
      <w:bookmarkEnd w:id="3590"/>
      <w:bookmarkEnd w:id="3591"/>
      <w:bookmarkEnd w:id="3592"/>
    </w:p>
    <w:p w14:paraId="582A0251" w14:textId="77777777" w:rsidR="007968EC" w:rsidRPr="002C0D19" w:rsidRDefault="007968EC" w:rsidP="007968EC">
      <w:pPr>
        <w:jc w:val="both"/>
        <w:rPr>
          <w:rFonts w:ascii="Arial Narrow" w:eastAsia="Calibri" w:hAnsi="Arial Narrow"/>
          <w:color w:val="000000" w:themeColor="text1"/>
        </w:rPr>
      </w:pPr>
    </w:p>
    <w:p w14:paraId="5EA7C2CD"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 xml:space="preserve">Para el retiro voluntario de un Miembro de la Compensación y Liquidación del Segmento de Derivados Financieros el Miembro deberá seguir el siguiente procedimiento: </w:t>
      </w:r>
    </w:p>
    <w:p w14:paraId="64E92975" w14:textId="77777777" w:rsidR="007968EC" w:rsidRPr="002C0D19" w:rsidRDefault="007968EC" w:rsidP="007968EC">
      <w:pPr>
        <w:jc w:val="both"/>
        <w:rPr>
          <w:rFonts w:ascii="Arial Narrow" w:eastAsia="Calibri" w:hAnsi="Arial Narrow"/>
          <w:color w:val="000000" w:themeColor="text1"/>
        </w:rPr>
      </w:pPr>
    </w:p>
    <w:p w14:paraId="5FE8586D" w14:textId="77777777" w:rsidR="007968EC" w:rsidRPr="002C0D19" w:rsidRDefault="007968EC" w:rsidP="00DA7472">
      <w:pPr>
        <w:numPr>
          <w:ilvl w:val="0"/>
          <w:numId w:val="166"/>
        </w:numPr>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 xml:space="preserve">El Miembro deberá enviar diligenciado el anexo 1.6 Carta de Solicitud de Retiro de Segmentos junto con un plan detallado de retiro en el cual se defina el manejo de las obligaciones de cada una de las Cuentas y el cronograma de cumplimiento para el Segmento de Derivados Financieros. Este plan se deberá dar a conocer y ser aprobado previamente por los titulares de cada una de las Cuentas y aceptado por el Gerente de la Cámara o quien este designe. </w:t>
      </w:r>
    </w:p>
    <w:p w14:paraId="6F952F27" w14:textId="77777777" w:rsidR="007968EC" w:rsidRPr="002C0D19" w:rsidRDefault="007968EC" w:rsidP="007968EC">
      <w:pPr>
        <w:ind w:left="426"/>
        <w:contextualSpacing/>
        <w:jc w:val="both"/>
        <w:rPr>
          <w:rFonts w:ascii="Arial Narrow" w:eastAsia="Calibri" w:hAnsi="Arial Narrow"/>
          <w:color w:val="000000" w:themeColor="text1"/>
        </w:rPr>
      </w:pPr>
    </w:p>
    <w:p w14:paraId="493ED80A" w14:textId="77777777" w:rsidR="007968EC" w:rsidRPr="002C0D19" w:rsidRDefault="007968EC" w:rsidP="00DA7472">
      <w:pPr>
        <w:numPr>
          <w:ilvl w:val="0"/>
          <w:numId w:val="166"/>
        </w:numPr>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lastRenderedPageBreak/>
        <w:t>La Cámara aceptará las operaciones del Miembro en el Segmento de Derivados Financieros, siempre y cuando dichas operaciones se realicen para disminuir el riesgo operativo.</w:t>
      </w:r>
    </w:p>
    <w:p w14:paraId="0AF2CEA1" w14:textId="77777777" w:rsidR="007968EC" w:rsidRPr="002C0D19" w:rsidRDefault="007968EC" w:rsidP="007968EC">
      <w:pPr>
        <w:ind w:left="720"/>
        <w:contextualSpacing/>
        <w:rPr>
          <w:rFonts w:ascii="Arial Narrow" w:eastAsia="Calibri" w:hAnsi="Arial Narrow"/>
          <w:color w:val="000000" w:themeColor="text1"/>
        </w:rPr>
      </w:pPr>
    </w:p>
    <w:p w14:paraId="1FEDA58C" w14:textId="77777777" w:rsidR="007968EC" w:rsidRPr="002C0D19" w:rsidRDefault="007968EC" w:rsidP="00DA7472">
      <w:pPr>
        <w:numPr>
          <w:ilvl w:val="0"/>
          <w:numId w:val="166"/>
        </w:numPr>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La Cámara le permitirá el acceso al Segmento y la gestión de operaciones siempre y cuando correspondan al plan de retiro detallado.</w:t>
      </w:r>
    </w:p>
    <w:p w14:paraId="7AF4A207" w14:textId="77777777" w:rsidR="007968EC" w:rsidRPr="002C0D19" w:rsidRDefault="007968EC" w:rsidP="007968EC">
      <w:pPr>
        <w:ind w:left="720"/>
        <w:contextualSpacing/>
        <w:rPr>
          <w:rFonts w:ascii="Arial Narrow" w:eastAsia="Calibri" w:hAnsi="Arial Narrow"/>
          <w:color w:val="000000" w:themeColor="text1"/>
        </w:rPr>
      </w:pPr>
    </w:p>
    <w:p w14:paraId="15F8F343" w14:textId="77777777" w:rsidR="007968EC" w:rsidRPr="002C0D19" w:rsidRDefault="007968EC" w:rsidP="00DA7472">
      <w:pPr>
        <w:numPr>
          <w:ilvl w:val="0"/>
          <w:numId w:val="166"/>
        </w:numPr>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En ninguna forma se debe entender que el procedimiento de retiro de un Segmento limita el derecho de la Cámara de exigir y recibir el pago de las obligaciones del Miembro establecidas de acuerdo con el Reglamento.</w:t>
      </w:r>
    </w:p>
    <w:p w14:paraId="0A99099D" w14:textId="77777777" w:rsidR="007968EC" w:rsidRPr="002C0D19" w:rsidRDefault="007968EC" w:rsidP="007968EC">
      <w:pPr>
        <w:ind w:left="720"/>
        <w:contextualSpacing/>
        <w:rPr>
          <w:rFonts w:ascii="Arial Narrow" w:eastAsia="Calibri" w:hAnsi="Arial Narrow"/>
          <w:color w:val="000000" w:themeColor="text1"/>
        </w:rPr>
      </w:pPr>
    </w:p>
    <w:p w14:paraId="2C128F53" w14:textId="77777777" w:rsidR="007968EC" w:rsidRPr="002C0D19" w:rsidRDefault="007968EC" w:rsidP="00DA7472">
      <w:pPr>
        <w:numPr>
          <w:ilvl w:val="0"/>
          <w:numId w:val="166"/>
        </w:numPr>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El Gerente de la Cámara podrá aplazar la fecha de retiro del Segmento si el Miembro que ha solicitado su retiro o sus Terceros, tienen un retardo o Incumplimiento.</w:t>
      </w:r>
    </w:p>
    <w:p w14:paraId="5F111AF9" w14:textId="77777777" w:rsidR="007968EC" w:rsidRPr="002C0D19" w:rsidRDefault="007968EC" w:rsidP="007968EC">
      <w:pPr>
        <w:jc w:val="both"/>
        <w:rPr>
          <w:rFonts w:ascii="Arial Narrow" w:eastAsia="Calibri" w:hAnsi="Arial Narrow"/>
          <w:color w:val="000000" w:themeColor="text1"/>
        </w:rPr>
      </w:pPr>
    </w:p>
    <w:p w14:paraId="2E44A8A9"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s="Arial"/>
          <w:b/>
          <w:color w:val="000000" w:themeColor="text1"/>
          <w:lang w:eastAsia="es-ES"/>
        </w:rPr>
        <w:t>Parágrafo Primero.</w:t>
      </w:r>
      <w:r w:rsidRPr="002C0D19">
        <w:rPr>
          <w:rFonts w:ascii="Arial Narrow" w:eastAsia="Calibri" w:hAnsi="Arial Narrow"/>
          <w:b/>
          <w:color w:val="000000" w:themeColor="text1"/>
        </w:rPr>
        <w:t xml:space="preserve"> </w:t>
      </w:r>
      <w:r w:rsidRPr="002C0D19">
        <w:rPr>
          <w:rFonts w:ascii="Arial Narrow" w:eastAsia="Calibri" w:hAnsi="Arial Narrow"/>
          <w:color w:val="000000" w:themeColor="text1"/>
        </w:rPr>
        <w:t>El Miembro No Liquidador que esté interesado en retirarse de este Segmento deberá presentar la solicitud respectiva con el plan detallado de retiro aprobado por su Miembro Liquidador General.</w:t>
      </w:r>
    </w:p>
    <w:p w14:paraId="1B072BF2" w14:textId="77777777" w:rsidR="007968EC" w:rsidRPr="002C0D19" w:rsidRDefault="007968EC" w:rsidP="007968EC">
      <w:pPr>
        <w:jc w:val="both"/>
        <w:rPr>
          <w:rFonts w:ascii="Arial Narrow" w:eastAsia="Calibri" w:hAnsi="Arial Narrow"/>
          <w:color w:val="000000" w:themeColor="text1"/>
        </w:rPr>
      </w:pPr>
    </w:p>
    <w:p w14:paraId="7D2DA080" w14:textId="77777777" w:rsidR="007968EC" w:rsidRPr="002C0D19" w:rsidRDefault="007968EC" w:rsidP="007968EC">
      <w:pPr>
        <w:pStyle w:val="ARTICULO0"/>
      </w:pPr>
      <w:bookmarkStart w:id="3593" w:name="_Toc470779883"/>
      <w:bookmarkStart w:id="3594" w:name="_Toc470780500"/>
      <w:bookmarkStart w:id="3595" w:name="_Toc470781013"/>
      <w:bookmarkStart w:id="3596" w:name="_Toc470784574"/>
      <w:bookmarkStart w:id="3597" w:name="_Toc470785111"/>
      <w:bookmarkStart w:id="3598" w:name="_Toc470791497"/>
      <w:bookmarkStart w:id="3599" w:name="_Toc472592268"/>
      <w:bookmarkStart w:id="3600" w:name="_Toc472593287"/>
      <w:bookmarkStart w:id="3601" w:name="_Toc479057073"/>
      <w:bookmarkStart w:id="3602" w:name="_Toc490066401"/>
      <w:bookmarkStart w:id="3603" w:name="_Toc31716087"/>
      <w:r>
        <w:t xml:space="preserve">Artículo 2.1.1.5. </w:t>
      </w:r>
      <w:r w:rsidRPr="002C0D19">
        <w:t>Acuerdo para compensar y liquidar a través de la Cámara Operaciones sobre Instrumentos Financieros Derivados No Estandarizados.</w:t>
      </w:r>
      <w:bookmarkEnd w:id="3593"/>
      <w:bookmarkEnd w:id="3594"/>
      <w:bookmarkEnd w:id="3595"/>
      <w:bookmarkEnd w:id="3596"/>
      <w:bookmarkEnd w:id="3597"/>
      <w:bookmarkEnd w:id="3598"/>
      <w:bookmarkEnd w:id="3599"/>
      <w:bookmarkEnd w:id="3600"/>
      <w:bookmarkEnd w:id="3601"/>
      <w:bookmarkEnd w:id="3602"/>
      <w:bookmarkEnd w:id="3603"/>
      <w:r w:rsidRPr="002C0D19">
        <w:t xml:space="preserve"> </w:t>
      </w:r>
    </w:p>
    <w:p w14:paraId="5A735A8A" w14:textId="77777777" w:rsidR="007968EC" w:rsidRPr="00165180" w:rsidRDefault="007968EC" w:rsidP="007968EC">
      <w:pPr>
        <w:jc w:val="both"/>
        <w:rPr>
          <w:rFonts w:ascii="Arial Narrow" w:hAnsi="Arial Narrow" w:cs="Arial"/>
          <w:color w:val="000000" w:themeColor="text1"/>
          <w:lang w:eastAsia="es-ES"/>
        </w:rPr>
      </w:pPr>
    </w:p>
    <w:p w14:paraId="16654CB5"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 xml:space="preserve">De conformidad con lo previsto en los artículos 3.1.4. y 3.1.5. del Reglamento de Funcionamiento, los Miembros de la Cámara podrán enviar Operaciones celebradas con otros Miembros o con sus Terceros como contrapartes sobre Instrumentos Financieros Derivados no Estandarizados para la Compensación y Liquidación a través del Segmento de Derivados Financieros de la Cámara como contraparte, siempre que tal posibilidad esté contemplada en el correspondiente Contrato Marco o en el Acuerdo para Compensar y Liquidar a través de la Cámara Operaciones sobre Instrumentos Financieros Derivados No Estandarizados. El contenido mínimo de la cláusula especial del Contrato Marco y del Acuerdo para Compensar y Liquidar a través de la Cámara Operaciones sobre Instrumentos Financieros Derivados no Estandarizados, según se trate de Operaciones celebradas con otros Miembros o con sus Terceros como contrapartes se encuentran en los Anexos 26, 27, 28, 29 y 29A respectivamente, de la presente Circular. </w:t>
      </w:r>
    </w:p>
    <w:p w14:paraId="473C76CC" w14:textId="77777777" w:rsidR="007968EC" w:rsidRPr="002C0D19" w:rsidRDefault="007968EC" w:rsidP="007968EC">
      <w:pPr>
        <w:jc w:val="both"/>
        <w:rPr>
          <w:rFonts w:ascii="Arial Narrow" w:eastAsia="Calibri" w:hAnsi="Arial Narrow"/>
          <w:color w:val="000000" w:themeColor="text1"/>
        </w:rPr>
      </w:pPr>
    </w:p>
    <w:p w14:paraId="75A64F0A"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Los Miembros deberán mantener a disposición de la Cámara los Contratos Marco que incluyan la cláusula especial o los Acuerdos para Compensar y Liquidar a través de la Cámara Operaciones sobre Instrumentos Financieros Derivados no Estandarizados los cuales podrán ser solicitados por la Cámara en cualquier momento.</w:t>
      </w:r>
    </w:p>
    <w:p w14:paraId="08333829" w14:textId="77777777" w:rsidR="007968EC" w:rsidRDefault="007968EC" w:rsidP="007968EC">
      <w:pPr>
        <w:keepNext/>
        <w:outlineLvl w:val="0"/>
        <w:rPr>
          <w:rFonts w:ascii="Arial Narrow" w:eastAsia="Calibri" w:hAnsi="Arial Narrow" w:cs="Arial"/>
          <w:b/>
          <w:kern w:val="32"/>
          <w:szCs w:val="20"/>
          <w:lang w:val="es-ES"/>
        </w:rPr>
      </w:pPr>
      <w:bookmarkStart w:id="3604" w:name="_Toc470779884"/>
      <w:bookmarkStart w:id="3605" w:name="_Toc470780501"/>
      <w:bookmarkStart w:id="3606" w:name="_Toc470781014"/>
      <w:bookmarkStart w:id="3607" w:name="_Toc470784575"/>
      <w:bookmarkStart w:id="3608" w:name="_Toc470785112"/>
      <w:bookmarkStart w:id="3609" w:name="_Toc470791498"/>
      <w:bookmarkStart w:id="3610" w:name="_Toc472592269"/>
      <w:bookmarkStart w:id="3611" w:name="_Toc472593288"/>
      <w:bookmarkStart w:id="3612" w:name="_Toc479057074"/>
      <w:bookmarkStart w:id="3613" w:name="_Toc490066402"/>
    </w:p>
    <w:p w14:paraId="2FFE2462" w14:textId="77777777" w:rsidR="007968EC" w:rsidRPr="000E6636" w:rsidRDefault="007968EC" w:rsidP="007968EC">
      <w:pPr>
        <w:pStyle w:val="TTULO"/>
        <w:rPr>
          <w:rFonts w:eastAsia="Calibri"/>
        </w:rPr>
      </w:pPr>
      <w:bookmarkStart w:id="3614" w:name="_Toc31716088"/>
      <w:r w:rsidRPr="000E6636">
        <w:rPr>
          <w:rFonts w:eastAsia="Calibri"/>
        </w:rPr>
        <w:t>CAPÍTULO SEGUNDO</w:t>
      </w:r>
      <w:bookmarkEnd w:id="3604"/>
      <w:bookmarkEnd w:id="3605"/>
      <w:bookmarkEnd w:id="3606"/>
      <w:bookmarkEnd w:id="3607"/>
      <w:bookmarkEnd w:id="3608"/>
      <w:bookmarkEnd w:id="3609"/>
      <w:bookmarkEnd w:id="3610"/>
      <w:bookmarkEnd w:id="3611"/>
      <w:bookmarkEnd w:id="3612"/>
      <w:bookmarkEnd w:id="3613"/>
      <w:bookmarkEnd w:id="3614"/>
    </w:p>
    <w:p w14:paraId="43C692E0" w14:textId="77777777" w:rsidR="007968EC" w:rsidRPr="000E6636" w:rsidRDefault="007968EC" w:rsidP="007968EC">
      <w:pPr>
        <w:pStyle w:val="TTULO"/>
      </w:pPr>
    </w:p>
    <w:p w14:paraId="33FD7BF5" w14:textId="77777777" w:rsidR="007968EC" w:rsidRPr="000E6636" w:rsidRDefault="007968EC" w:rsidP="007968EC">
      <w:pPr>
        <w:pStyle w:val="TTULO"/>
        <w:rPr>
          <w:rFonts w:eastAsia="Calibri"/>
        </w:rPr>
      </w:pPr>
      <w:bookmarkStart w:id="3615" w:name="_Toc470779885"/>
      <w:bookmarkStart w:id="3616" w:name="_Toc470780502"/>
      <w:bookmarkStart w:id="3617" w:name="_Toc470781015"/>
      <w:bookmarkStart w:id="3618" w:name="_Toc470784576"/>
      <w:bookmarkStart w:id="3619" w:name="_Toc470785113"/>
      <w:bookmarkStart w:id="3620" w:name="_Toc470791499"/>
      <w:bookmarkStart w:id="3621" w:name="_Toc472592270"/>
      <w:bookmarkStart w:id="3622" w:name="_Toc472593289"/>
      <w:bookmarkStart w:id="3623" w:name="_Toc479057075"/>
      <w:bookmarkStart w:id="3624" w:name="_Toc490066403"/>
      <w:bookmarkStart w:id="3625" w:name="_Toc31716089"/>
      <w:r w:rsidRPr="000E6636">
        <w:rPr>
          <w:rFonts w:eastAsia="Calibri"/>
        </w:rPr>
        <w:t>PARTICIPACIÓN DE LOS DIFERENTES TERCEROS</w:t>
      </w:r>
      <w:bookmarkEnd w:id="3615"/>
      <w:bookmarkEnd w:id="3616"/>
      <w:bookmarkEnd w:id="3617"/>
      <w:bookmarkEnd w:id="3618"/>
      <w:bookmarkEnd w:id="3619"/>
      <w:bookmarkEnd w:id="3620"/>
      <w:bookmarkEnd w:id="3621"/>
      <w:bookmarkEnd w:id="3622"/>
      <w:bookmarkEnd w:id="3623"/>
      <w:bookmarkEnd w:id="3624"/>
      <w:bookmarkEnd w:id="3625"/>
    </w:p>
    <w:p w14:paraId="1E894504" w14:textId="77777777" w:rsidR="007968EC" w:rsidRPr="002C0D19" w:rsidRDefault="007968EC" w:rsidP="007968EC">
      <w:pPr>
        <w:keepNext/>
        <w:autoSpaceDE w:val="0"/>
        <w:autoSpaceDN w:val="0"/>
        <w:contextualSpacing/>
        <w:jc w:val="both"/>
        <w:rPr>
          <w:rFonts w:ascii="Arial Narrow" w:hAnsi="Arial Narrow" w:cs="Arial"/>
          <w:b/>
          <w:bCs/>
          <w:color w:val="000000" w:themeColor="text1"/>
          <w:lang w:eastAsia="es-ES"/>
        </w:rPr>
      </w:pPr>
    </w:p>
    <w:p w14:paraId="13296A38" w14:textId="77777777" w:rsidR="007968EC" w:rsidRPr="002C0D19" w:rsidRDefault="007968EC" w:rsidP="007968EC">
      <w:pPr>
        <w:pStyle w:val="ARTICULO0"/>
      </w:pPr>
      <w:bookmarkStart w:id="3626" w:name="_Toc470779886"/>
      <w:bookmarkStart w:id="3627" w:name="_Toc470780503"/>
      <w:bookmarkStart w:id="3628" w:name="_Toc470781016"/>
      <w:bookmarkStart w:id="3629" w:name="_Toc470784577"/>
      <w:bookmarkStart w:id="3630" w:name="_Toc470785114"/>
      <w:bookmarkStart w:id="3631" w:name="_Toc470791500"/>
      <w:bookmarkStart w:id="3632" w:name="_Toc472592271"/>
      <w:bookmarkStart w:id="3633" w:name="_Toc472593290"/>
      <w:bookmarkStart w:id="3634" w:name="_Toc479057076"/>
      <w:bookmarkStart w:id="3635" w:name="_Toc490066404"/>
      <w:bookmarkStart w:id="3636" w:name="_Toc31716090"/>
      <w:r>
        <w:t xml:space="preserve">Artículo 2.1.2.1. </w:t>
      </w:r>
      <w:r w:rsidRPr="002C0D19">
        <w:t>Contenido mínimo del Convenio a celebrar entre los Miembros y los Terceros para la remisión de Operaciones sobre Instrumentos Financieros Derivados No Estandarizados.</w:t>
      </w:r>
      <w:bookmarkEnd w:id="3626"/>
      <w:bookmarkEnd w:id="3627"/>
      <w:bookmarkEnd w:id="3628"/>
      <w:bookmarkEnd w:id="3629"/>
      <w:bookmarkEnd w:id="3630"/>
      <w:bookmarkEnd w:id="3631"/>
      <w:bookmarkEnd w:id="3632"/>
      <w:bookmarkEnd w:id="3633"/>
      <w:bookmarkEnd w:id="3634"/>
      <w:bookmarkEnd w:id="3635"/>
      <w:bookmarkEnd w:id="3636"/>
    </w:p>
    <w:p w14:paraId="36DCAFED" w14:textId="77777777" w:rsidR="007968EC" w:rsidRPr="00165180" w:rsidRDefault="007968EC" w:rsidP="007968EC">
      <w:pPr>
        <w:jc w:val="both"/>
        <w:rPr>
          <w:rFonts w:ascii="Arial Narrow" w:hAnsi="Arial Narrow" w:cs="Arial"/>
          <w:color w:val="000000" w:themeColor="text1"/>
          <w:lang w:eastAsia="es-ES"/>
        </w:rPr>
      </w:pPr>
    </w:p>
    <w:p w14:paraId="4B55D8CF" w14:textId="77777777" w:rsidR="007968EC" w:rsidRPr="002C0D19" w:rsidRDefault="007968EC" w:rsidP="007968EC">
      <w:pPr>
        <w:keepNext/>
        <w:autoSpaceDE w:val="0"/>
        <w:autoSpaceDN w:val="0"/>
        <w:contextualSpacing/>
        <w:jc w:val="both"/>
        <w:rPr>
          <w:rFonts w:ascii="Arial Narrow" w:hAnsi="Arial Narrow" w:cs="Arial"/>
          <w:bCs/>
          <w:color w:val="000000" w:themeColor="text1"/>
          <w:lang w:eastAsia="es-ES"/>
        </w:rPr>
      </w:pPr>
      <w:r w:rsidRPr="002C0D19">
        <w:rPr>
          <w:rFonts w:ascii="Arial Narrow" w:hAnsi="Arial Narrow" w:cs="Arial"/>
          <w:bCs/>
          <w:color w:val="000000" w:themeColor="text1"/>
          <w:lang w:eastAsia="es-ES"/>
        </w:rPr>
        <w:lastRenderedPageBreak/>
        <w:t>Sin perjuicio de lo previsto en el Artículo 3.1.5. del Reglamento de Funcionamiento, según el cual, para que los Miembros puedan Compensar y Liquidar por cuenta de Terceros Operaciones sobre Instrumentos Financieros Derivados No Estandarizados, dicha posibilidad debe estar pactada en el Contrato Marco suscrito con tales Terceros o en el Acuerdo para Compensar y Liquidar a través de la Cámara Operaciones sobre Instrumentos Financieros Derivados No Estandarizados, adicionalmente en el Convenio a celebrar entre los Miembros y los Terceros se debe incorporar como cláusula obligatoria para la remisión a la Cámara de tales Operaciones, la cláusula prevista en el numeral 12. del artículo 2.1.33. del Reglamento de Funcionamiento de la Cámara.</w:t>
      </w:r>
    </w:p>
    <w:p w14:paraId="376B6281" w14:textId="77777777" w:rsidR="007968EC" w:rsidRPr="002C0D19" w:rsidRDefault="007968EC" w:rsidP="007968EC">
      <w:pPr>
        <w:keepNext/>
        <w:autoSpaceDE w:val="0"/>
        <w:autoSpaceDN w:val="0"/>
        <w:contextualSpacing/>
        <w:jc w:val="both"/>
        <w:rPr>
          <w:rFonts w:ascii="Arial Narrow" w:hAnsi="Arial Narrow" w:cs="Arial"/>
          <w:bCs/>
          <w:color w:val="000000" w:themeColor="text1"/>
          <w:lang w:eastAsia="es-ES"/>
        </w:rPr>
      </w:pPr>
    </w:p>
    <w:p w14:paraId="2DAEB885" w14:textId="77777777" w:rsidR="007968EC" w:rsidRPr="002C0D19" w:rsidRDefault="007968EC" w:rsidP="007968EC">
      <w:pPr>
        <w:keepNext/>
        <w:autoSpaceDE w:val="0"/>
        <w:autoSpaceDN w:val="0"/>
        <w:contextualSpacing/>
        <w:jc w:val="both"/>
        <w:rPr>
          <w:rFonts w:ascii="Arial Narrow" w:hAnsi="Arial Narrow" w:cs="Arial"/>
          <w:bCs/>
          <w:color w:val="000000" w:themeColor="text1"/>
          <w:lang w:eastAsia="es-ES"/>
        </w:rPr>
      </w:pPr>
      <w:r w:rsidRPr="002C0D19">
        <w:rPr>
          <w:rFonts w:ascii="Arial Narrow" w:hAnsi="Arial Narrow" w:cs="Arial"/>
          <w:bCs/>
          <w:color w:val="000000" w:themeColor="text1"/>
          <w:lang w:eastAsia="es-ES"/>
        </w:rPr>
        <w:t>La cláusula obligatoria para la remisión a la Cámara de las citadas Operaciones se podrá incorporar directamente en los Convenios bajo el encabezamiento “Operaciones sobre Instrumentos Financieros Derivados No Estandarizados”, formato incluido en el Anexo 20 A, o mediante “Otro Sí” cuando se trate de Convenios ya celebrados entre los Miembros y los Terceros, formato incluido en el Anexo 20 B de la presente Circular.</w:t>
      </w:r>
    </w:p>
    <w:p w14:paraId="22E98F00" w14:textId="77777777" w:rsidR="007968EC" w:rsidRPr="002C0D19" w:rsidRDefault="007968EC" w:rsidP="007968EC">
      <w:pPr>
        <w:keepNext/>
        <w:autoSpaceDE w:val="0"/>
        <w:autoSpaceDN w:val="0"/>
        <w:contextualSpacing/>
        <w:jc w:val="both"/>
        <w:rPr>
          <w:rFonts w:ascii="Arial Narrow" w:hAnsi="Arial Narrow" w:cs="Arial"/>
          <w:b/>
          <w:bCs/>
          <w:color w:val="000000" w:themeColor="text1"/>
          <w:lang w:eastAsia="es-ES"/>
        </w:rPr>
      </w:pPr>
    </w:p>
    <w:p w14:paraId="751FADD1" w14:textId="77777777" w:rsidR="007968EC" w:rsidRPr="002C0D19" w:rsidRDefault="007968EC" w:rsidP="007968EC">
      <w:pPr>
        <w:pStyle w:val="ARTICULO0"/>
      </w:pPr>
      <w:bookmarkStart w:id="3637" w:name="_Toc470779887"/>
      <w:bookmarkStart w:id="3638" w:name="_Toc470780504"/>
      <w:bookmarkStart w:id="3639" w:name="_Toc470781017"/>
      <w:bookmarkStart w:id="3640" w:name="_Toc470784578"/>
      <w:bookmarkStart w:id="3641" w:name="_Toc470785115"/>
      <w:bookmarkStart w:id="3642" w:name="_Toc470791501"/>
      <w:bookmarkStart w:id="3643" w:name="_Toc472592272"/>
      <w:bookmarkStart w:id="3644" w:name="_Toc472593291"/>
      <w:bookmarkStart w:id="3645" w:name="_Toc479057077"/>
      <w:bookmarkStart w:id="3646" w:name="_Toc490066405"/>
      <w:bookmarkStart w:id="3647" w:name="_Toc31716091"/>
      <w:r w:rsidRPr="002C0D19">
        <w:t>Artículo 2.1.2.2. Habilitación de Cuentas para la Compensación y Liquidación de Operaciones sobre Instrumentos Financieros Derivados No Estandarizados por cuenta de Terceros.</w:t>
      </w:r>
      <w:bookmarkEnd w:id="3637"/>
      <w:bookmarkEnd w:id="3638"/>
      <w:bookmarkEnd w:id="3639"/>
      <w:bookmarkEnd w:id="3640"/>
      <w:bookmarkEnd w:id="3641"/>
      <w:bookmarkEnd w:id="3642"/>
      <w:bookmarkEnd w:id="3643"/>
      <w:bookmarkEnd w:id="3644"/>
      <w:bookmarkEnd w:id="3645"/>
      <w:bookmarkEnd w:id="3646"/>
      <w:bookmarkEnd w:id="3647"/>
    </w:p>
    <w:p w14:paraId="5B5C1B51" w14:textId="77777777" w:rsidR="007968EC" w:rsidRPr="002C0D19" w:rsidRDefault="007968EC" w:rsidP="007968EC">
      <w:pPr>
        <w:jc w:val="both"/>
        <w:rPr>
          <w:rFonts w:ascii="Arial Narrow" w:eastAsia="Calibri" w:hAnsi="Arial Narrow"/>
          <w:b/>
          <w:color w:val="000000" w:themeColor="text1"/>
        </w:rPr>
      </w:pPr>
    </w:p>
    <w:p w14:paraId="7790DDF2" w14:textId="77777777" w:rsidR="007968EC" w:rsidRPr="002C0D19" w:rsidRDefault="007968EC" w:rsidP="007968EC">
      <w:pPr>
        <w:jc w:val="both"/>
        <w:rPr>
          <w:rFonts w:ascii="Arial Narrow" w:eastAsia="Calibri" w:hAnsi="Arial Narrow"/>
          <w:b/>
          <w:color w:val="000000" w:themeColor="text1"/>
        </w:rPr>
      </w:pPr>
      <w:r w:rsidRPr="002C0D19">
        <w:rPr>
          <w:rFonts w:ascii="Arial Narrow" w:eastAsia="Calibri" w:hAnsi="Arial Narrow"/>
          <w:color w:val="000000" w:themeColor="text1"/>
        </w:rPr>
        <w:t>Para la Compensación y Liquidación de Operaciones sobre Instrumentos Financieros Derivados No Estandarizados por cuenta de Terceros, los Miembros deberán habilitar en el presente Segmento las Cuentas de Terceros en el Sistema de la Cámara para el registro de este tipo de Operaciones, de acuerdo con las siguientes reglas:</w:t>
      </w:r>
    </w:p>
    <w:p w14:paraId="0B9F7FDC" w14:textId="77777777" w:rsidR="007968EC" w:rsidRPr="002C0D19" w:rsidRDefault="007968EC" w:rsidP="007968EC">
      <w:pPr>
        <w:jc w:val="both"/>
        <w:rPr>
          <w:rFonts w:ascii="Arial Narrow" w:eastAsia="Calibri" w:hAnsi="Arial Narrow"/>
          <w:b/>
          <w:color w:val="000000" w:themeColor="text1"/>
        </w:rPr>
      </w:pPr>
    </w:p>
    <w:p w14:paraId="00F8C09D" w14:textId="77777777" w:rsidR="007968EC" w:rsidRPr="002C0D19" w:rsidRDefault="007968EC" w:rsidP="00DA7472">
      <w:pPr>
        <w:numPr>
          <w:ilvl w:val="0"/>
          <w:numId w:val="167"/>
        </w:numPr>
        <w:ind w:left="457"/>
        <w:contextualSpacing/>
        <w:jc w:val="both"/>
        <w:rPr>
          <w:rFonts w:ascii="Arial Narrow" w:eastAsia="Calibri" w:hAnsi="Arial Narrow"/>
          <w:b/>
          <w:color w:val="000000" w:themeColor="text1"/>
        </w:rPr>
      </w:pPr>
      <w:r w:rsidRPr="002C0D19">
        <w:rPr>
          <w:rFonts w:ascii="Arial Narrow" w:eastAsia="Calibri" w:hAnsi="Arial Narrow"/>
          <w:color w:val="000000" w:themeColor="text1"/>
        </w:rPr>
        <w:t>Cuando se trate de la creación de una Cuenta en el Sistema de Cámara, además de la información establecida en el artículo 1.4.1.2. de la presente Circular, el Miembro deberá indicar de manera expresa en el Sistema de Administración de Suscriptores SAS de la Cámara, que la Cuenta podrá ser utilizada para la Compensación y Liquidación de Operaciones sobre Instrumentos Financieros Derivados No Estandarizados y seleccionar los sistemas de negociación y/o registro o Mecanismos de Contratación autorizados por la Cámara para tal efecto.</w:t>
      </w:r>
    </w:p>
    <w:p w14:paraId="62020885" w14:textId="77777777" w:rsidR="007968EC" w:rsidRPr="002C0D19" w:rsidRDefault="007968EC" w:rsidP="007968EC">
      <w:pPr>
        <w:ind w:left="-15"/>
        <w:contextualSpacing/>
        <w:jc w:val="both"/>
        <w:rPr>
          <w:rFonts w:ascii="Arial Narrow" w:eastAsia="Calibri" w:hAnsi="Arial Narrow"/>
          <w:b/>
          <w:color w:val="000000" w:themeColor="text1"/>
        </w:rPr>
      </w:pPr>
    </w:p>
    <w:p w14:paraId="030DCD15" w14:textId="77777777" w:rsidR="007968EC" w:rsidRPr="002C0D19" w:rsidRDefault="007968EC" w:rsidP="00DA7472">
      <w:pPr>
        <w:numPr>
          <w:ilvl w:val="0"/>
          <w:numId w:val="167"/>
        </w:numPr>
        <w:ind w:left="435"/>
        <w:contextualSpacing/>
        <w:jc w:val="both"/>
        <w:rPr>
          <w:rFonts w:ascii="Arial Narrow" w:eastAsia="Calibri" w:hAnsi="Arial Narrow"/>
          <w:b/>
          <w:color w:val="000000" w:themeColor="text1"/>
        </w:rPr>
      </w:pPr>
      <w:r w:rsidRPr="002C0D19">
        <w:rPr>
          <w:rFonts w:ascii="Arial Narrow" w:eastAsia="Calibri" w:hAnsi="Arial Narrow"/>
          <w:color w:val="000000" w:themeColor="text1"/>
        </w:rPr>
        <w:t>Cuando se trate de una Cuenta ya creada, el Miembro deberá modificar en el SAS de la Cámara, la información de la Cuenta para indicar de manera expresa que la misma podrá ser utilizada para la Compensación y Liquidación de Operaciones sobre Instrumentos Financieros Derivados No Estandarizados y seleccionar los sistemas de negociación y/o registro, o Mecanismos de Contratación autorizados por la Cámara para tal efecto.</w:t>
      </w:r>
    </w:p>
    <w:p w14:paraId="438159BF" w14:textId="77777777" w:rsidR="007968EC" w:rsidRPr="002C0D19" w:rsidRDefault="007968EC" w:rsidP="007968EC">
      <w:pPr>
        <w:contextualSpacing/>
        <w:jc w:val="both"/>
        <w:rPr>
          <w:rFonts w:ascii="Arial Narrow" w:eastAsia="Calibri" w:hAnsi="Arial Narrow"/>
          <w:b/>
          <w:color w:val="000000" w:themeColor="text1"/>
        </w:rPr>
      </w:pPr>
    </w:p>
    <w:p w14:paraId="545CDA4A" w14:textId="77777777" w:rsidR="007968EC" w:rsidRPr="002C0D19" w:rsidRDefault="007968EC" w:rsidP="007968EC">
      <w:pPr>
        <w:jc w:val="both"/>
        <w:rPr>
          <w:rFonts w:ascii="Arial Narrow" w:eastAsia="Calibri" w:hAnsi="Arial Narrow"/>
          <w:b/>
          <w:color w:val="000000" w:themeColor="text1"/>
        </w:rPr>
      </w:pPr>
      <w:r w:rsidRPr="002C0D19">
        <w:rPr>
          <w:rFonts w:ascii="Arial Narrow" w:eastAsia="Calibri" w:hAnsi="Arial Narrow"/>
          <w:color w:val="000000" w:themeColor="text1"/>
        </w:rPr>
        <w:t>Una vez diligenciada la información a que se hace referencia en los numerales 1 y 2 anteriores, la Cámara se entenderá autorizada para entregar la información de tales Cuentas a los sistemas de negociación y/o registro o Mecanismos de Contratación que hayan sido seleccionados por el Miembro.</w:t>
      </w:r>
    </w:p>
    <w:p w14:paraId="092F3AED" w14:textId="77777777" w:rsidR="007968EC" w:rsidRPr="002C0D19" w:rsidRDefault="007968EC" w:rsidP="007968EC">
      <w:pPr>
        <w:jc w:val="both"/>
        <w:rPr>
          <w:rFonts w:ascii="Arial Narrow" w:eastAsia="Calibri" w:hAnsi="Arial Narrow"/>
          <w:b/>
          <w:color w:val="000000" w:themeColor="text1"/>
        </w:rPr>
      </w:pPr>
    </w:p>
    <w:p w14:paraId="73F45B1B" w14:textId="77777777" w:rsidR="007968EC" w:rsidRDefault="007968EC" w:rsidP="007968EC">
      <w:pPr>
        <w:pStyle w:val="ANTECEDENTES"/>
        <w:rPr>
          <w:rFonts w:eastAsia="Calibri"/>
        </w:rPr>
      </w:pPr>
      <w:bookmarkStart w:id="3648" w:name="_Toc470779888"/>
      <w:bookmarkStart w:id="3649" w:name="_Toc470780505"/>
      <w:bookmarkStart w:id="3650" w:name="_Toc470781018"/>
      <w:bookmarkStart w:id="3651" w:name="_Toc470784579"/>
      <w:bookmarkStart w:id="3652" w:name="_Toc470785116"/>
      <w:bookmarkStart w:id="3653" w:name="_Toc470791502"/>
      <w:bookmarkStart w:id="3654" w:name="_Toc472592273"/>
      <w:bookmarkStart w:id="3655" w:name="_Toc472593292"/>
      <w:bookmarkStart w:id="3656" w:name="_Toc479057078"/>
      <w:bookmarkStart w:id="3657" w:name="_Toc490066406"/>
    </w:p>
    <w:p w14:paraId="0057FFD1" w14:textId="77777777" w:rsidR="007968EC" w:rsidRPr="002C0D19" w:rsidRDefault="007968EC" w:rsidP="007968EC">
      <w:pPr>
        <w:pStyle w:val="TTULO"/>
        <w:rPr>
          <w:rFonts w:eastAsia="Calibri"/>
          <w:lang w:val="es-ES"/>
        </w:rPr>
      </w:pPr>
      <w:bookmarkStart w:id="3658" w:name="_Toc31716092"/>
      <w:r w:rsidRPr="002C0D19">
        <w:rPr>
          <w:rFonts w:eastAsia="Calibri"/>
          <w:lang w:val="es-ES"/>
        </w:rPr>
        <w:t>TÍTULO SEGUNDO</w:t>
      </w:r>
      <w:bookmarkEnd w:id="3648"/>
      <w:bookmarkEnd w:id="3649"/>
      <w:bookmarkEnd w:id="3650"/>
      <w:bookmarkEnd w:id="3651"/>
      <w:bookmarkEnd w:id="3652"/>
      <w:bookmarkEnd w:id="3653"/>
      <w:bookmarkEnd w:id="3654"/>
      <w:bookmarkEnd w:id="3655"/>
      <w:bookmarkEnd w:id="3656"/>
      <w:bookmarkEnd w:id="3657"/>
      <w:bookmarkEnd w:id="3658"/>
    </w:p>
    <w:p w14:paraId="4AFDA2B5" w14:textId="77777777" w:rsidR="007968EC" w:rsidRPr="002C0D19" w:rsidRDefault="007968EC" w:rsidP="007968EC">
      <w:pPr>
        <w:pStyle w:val="ANTECEDENTES"/>
        <w:rPr>
          <w:rFonts w:eastAsia="Calibri"/>
        </w:rPr>
      </w:pPr>
    </w:p>
    <w:p w14:paraId="7F57D2EB" w14:textId="77777777" w:rsidR="007968EC" w:rsidRPr="002C0D19" w:rsidRDefault="007968EC" w:rsidP="007968EC">
      <w:pPr>
        <w:pStyle w:val="TTULO"/>
        <w:rPr>
          <w:rFonts w:eastAsia="Calibri"/>
          <w:lang w:val="es-ES"/>
        </w:rPr>
      </w:pPr>
      <w:bookmarkStart w:id="3659" w:name="_Toc470779889"/>
      <w:bookmarkStart w:id="3660" w:name="_Toc470780506"/>
      <w:bookmarkStart w:id="3661" w:name="_Toc470781019"/>
      <w:bookmarkStart w:id="3662" w:name="_Toc470784580"/>
      <w:bookmarkStart w:id="3663" w:name="_Toc470785117"/>
      <w:bookmarkStart w:id="3664" w:name="_Toc470791503"/>
      <w:bookmarkStart w:id="3665" w:name="_Toc472592274"/>
      <w:bookmarkStart w:id="3666" w:name="_Toc472593293"/>
      <w:bookmarkStart w:id="3667" w:name="_Toc479057079"/>
      <w:bookmarkStart w:id="3668" w:name="_Toc490066407"/>
      <w:bookmarkStart w:id="3669" w:name="_Toc31716093"/>
      <w:r w:rsidRPr="002C0D19">
        <w:rPr>
          <w:rFonts w:eastAsia="Calibri"/>
          <w:lang w:val="es-ES"/>
        </w:rPr>
        <w:lastRenderedPageBreak/>
        <w:t>ACEPTACIÓN DE OPERACIONES</w:t>
      </w:r>
      <w:bookmarkEnd w:id="3659"/>
      <w:bookmarkEnd w:id="3660"/>
      <w:bookmarkEnd w:id="3661"/>
      <w:bookmarkEnd w:id="3662"/>
      <w:bookmarkEnd w:id="3663"/>
      <w:bookmarkEnd w:id="3664"/>
      <w:bookmarkEnd w:id="3665"/>
      <w:bookmarkEnd w:id="3666"/>
      <w:bookmarkEnd w:id="3667"/>
      <w:bookmarkEnd w:id="3668"/>
      <w:bookmarkEnd w:id="3669"/>
    </w:p>
    <w:p w14:paraId="67436F70" w14:textId="77777777" w:rsidR="007968EC" w:rsidRPr="002C0D19" w:rsidRDefault="007968EC" w:rsidP="007968EC">
      <w:pPr>
        <w:pStyle w:val="ANTECEDENTES"/>
        <w:rPr>
          <w:rFonts w:eastAsia="Calibri"/>
        </w:rPr>
      </w:pPr>
    </w:p>
    <w:p w14:paraId="21171573" w14:textId="77777777" w:rsidR="007968EC" w:rsidRPr="002C0D19" w:rsidRDefault="007968EC" w:rsidP="007968EC">
      <w:pPr>
        <w:pStyle w:val="TTULO"/>
        <w:rPr>
          <w:rFonts w:eastAsia="Calibri"/>
          <w:lang w:val="es-ES"/>
        </w:rPr>
      </w:pPr>
      <w:bookmarkStart w:id="3670" w:name="_Toc470779890"/>
      <w:bookmarkStart w:id="3671" w:name="_Toc470780507"/>
      <w:bookmarkStart w:id="3672" w:name="_Toc470781020"/>
      <w:bookmarkStart w:id="3673" w:name="_Toc470784581"/>
      <w:bookmarkStart w:id="3674" w:name="_Toc470785118"/>
      <w:bookmarkStart w:id="3675" w:name="_Toc470791504"/>
      <w:bookmarkStart w:id="3676" w:name="_Toc472592275"/>
      <w:bookmarkStart w:id="3677" w:name="_Toc472593294"/>
      <w:bookmarkStart w:id="3678" w:name="_Toc479057080"/>
      <w:bookmarkStart w:id="3679" w:name="_Toc490066408"/>
      <w:bookmarkStart w:id="3680" w:name="_Toc31716094"/>
      <w:r w:rsidRPr="002C0D19">
        <w:rPr>
          <w:rFonts w:eastAsia="Calibri"/>
          <w:lang w:val="es-ES"/>
        </w:rPr>
        <w:t>CAPÍTULO PRIMERO</w:t>
      </w:r>
      <w:bookmarkEnd w:id="3670"/>
      <w:bookmarkEnd w:id="3671"/>
      <w:bookmarkEnd w:id="3672"/>
      <w:bookmarkEnd w:id="3673"/>
      <w:bookmarkEnd w:id="3674"/>
      <w:bookmarkEnd w:id="3675"/>
      <w:bookmarkEnd w:id="3676"/>
      <w:bookmarkEnd w:id="3677"/>
      <w:bookmarkEnd w:id="3678"/>
      <w:bookmarkEnd w:id="3679"/>
      <w:bookmarkEnd w:id="3680"/>
    </w:p>
    <w:p w14:paraId="0D9E96A0" w14:textId="77777777" w:rsidR="007968EC" w:rsidRPr="002C0D19" w:rsidRDefault="007968EC" w:rsidP="007968EC">
      <w:pPr>
        <w:pStyle w:val="ANTECEDENTES"/>
        <w:rPr>
          <w:rFonts w:eastAsia="Calibri"/>
        </w:rPr>
      </w:pPr>
    </w:p>
    <w:p w14:paraId="1805344C" w14:textId="77777777" w:rsidR="007968EC" w:rsidRPr="002C0D19" w:rsidRDefault="007968EC" w:rsidP="007968EC">
      <w:pPr>
        <w:pStyle w:val="TTULO"/>
        <w:rPr>
          <w:rFonts w:eastAsia="Calibri"/>
          <w:lang w:val="es-ES"/>
        </w:rPr>
      </w:pPr>
      <w:bookmarkStart w:id="3681" w:name="_Toc470779891"/>
      <w:bookmarkStart w:id="3682" w:name="_Toc470780508"/>
      <w:bookmarkStart w:id="3683" w:name="_Toc470781021"/>
      <w:bookmarkStart w:id="3684" w:name="_Toc470784582"/>
      <w:bookmarkStart w:id="3685" w:name="_Toc470785119"/>
      <w:bookmarkStart w:id="3686" w:name="_Toc470791505"/>
      <w:bookmarkStart w:id="3687" w:name="_Toc472592276"/>
      <w:bookmarkStart w:id="3688" w:name="_Toc472593295"/>
      <w:bookmarkStart w:id="3689" w:name="_Toc479057081"/>
      <w:bookmarkStart w:id="3690" w:name="_Toc490066409"/>
      <w:bookmarkStart w:id="3691" w:name="_Toc31716095"/>
      <w:r w:rsidRPr="002C0D19">
        <w:rPr>
          <w:rFonts w:eastAsia="Calibri"/>
          <w:lang w:val="es-ES"/>
        </w:rPr>
        <w:t>CONTROL DE RIESGO Y ACEPTACIÓN DE OPERACIONES PROVENIENTES DE SISTEMAS DE NEGOCIACIÓN Y REGISTRO O MECANISMOS DE CONTRATACIÓN</w:t>
      </w:r>
      <w:bookmarkEnd w:id="3681"/>
      <w:bookmarkEnd w:id="3682"/>
      <w:bookmarkEnd w:id="3683"/>
      <w:bookmarkEnd w:id="3684"/>
      <w:bookmarkEnd w:id="3685"/>
      <w:bookmarkEnd w:id="3686"/>
      <w:bookmarkEnd w:id="3687"/>
      <w:bookmarkEnd w:id="3688"/>
      <w:bookmarkEnd w:id="3689"/>
      <w:bookmarkEnd w:id="3690"/>
      <w:bookmarkEnd w:id="3691"/>
    </w:p>
    <w:p w14:paraId="1AB3F59E" w14:textId="77777777" w:rsidR="007968EC" w:rsidRPr="002C0D19" w:rsidRDefault="007968EC" w:rsidP="007968EC">
      <w:pPr>
        <w:jc w:val="both"/>
        <w:rPr>
          <w:rFonts w:ascii="Arial Narrow" w:eastAsia="Calibri" w:hAnsi="Arial Narrow"/>
          <w:b/>
          <w:color w:val="000000" w:themeColor="text1"/>
        </w:rPr>
      </w:pPr>
    </w:p>
    <w:p w14:paraId="04E2761C" w14:textId="77777777" w:rsidR="007968EC" w:rsidRPr="002C0D19" w:rsidRDefault="007968EC" w:rsidP="007968EC">
      <w:pPr>
        <w:jc w:val="both"/>
        <w:rPr>
          <w:rFonts w:ascii="Arial Narrow" w:eastAsia="Calibri" w:hAnsi="Arial Narrow"/>
          <w:b/>
          <w:color w:val="000000" w:themeColor="text1"/>
        </w:rPr>
      </w:pPr>
    </w:p>
    <w:p w14:paraId="7ED9BD20" w14:textId="77777777" w:rsidR="007968EC" w:rsidRPr="002C0D19" w:rsidRDefault="007968EC" w:rsidP="007968EC">
      <w:pPr>
        <w:pStyle w:val="ARTICULO0"/>
      </w:pPr>
      <w:bookmarkStart w:id="3692" w:name="_Toc470779892"/>
      <w:bookmarkStart w:id="3693" w:name="_Toc470780509"/>
      <w:bookmarkStart w:id="3694" w:name="_Toc470781022"/>
      <w:bookmarkStart w:id="3695" w:name="_Toc470784583"/>
      <w:bookmarkStart w:id="3696" w:name="_Toc470785120"/>
      <w:bookmarkStart w:id="3697" w:name="_Toc470791506"/>
      <w:bookmarkStart w:id="3698" w:name="_Toc472592277"/>
      <w:bookmarkStart w:id="3699" w:name="_Toc472593296"/>
      <w:bookmarkStart w:id="3700" w:name="_Toc479057082"/>
      <w:bookmarkStart w:id="3701" w:name="_Toc490066410"/>
      <w:bookmarkStart w:id="3702" w:name="_Toc31716096"/>
      <w:r w:rsidRPr="002C0D19">
        <w:t>Artículo 2.2.1.1. Acuerdos con sistemas de negociación y/o registro o Mecanismos de Contratación para la Aceptación de Operaciones.</w:t>
      </w:r>
      <w:bookmarkEnd w:id="3692"/>
      <w:bookmarkEnd w:id="3693"/>
      <w:bookmarkEnd w:id="3694"/>
      <w:bookmarkEnd w:id="3695"/>
      <w:bookmarkEnd w:id="3696"/>
      <w:bookmarkEnd w:id="3697"/>
      <w:bookmarkEnd w:id="3698"/>
      <w:bookmarkEnd w:id="3699"/>
      <w:bookmarkEnd w:id="3700"/>
      <w:bookmarkEnd w:id="3701"/>
      <w:bookmarkEnd w:id="3702"/>
    </w:p>
    <w:p w14:paraId="0239743B" w14:textId="77777777" w:rsidR="007968EC" w:rsidRPr="002C0D19" w:rsidRDefault="007968EC" w:rsidP="007968EC">
      <w:pPr>
        <w:jc w:val="both"/>
        <w:rPr>
          <w:rFonts w:ascii="Arial Narrow" w:eastAsia="Calibri" w:hAnsi="Arial Narrow"/>
          <w:b/>
          <w:color w:val="000000" w:themeColor="text1"/>
        </w:rPr>
      </w:pPr>
    </w:p>
    <w:p w14:paraId="712CBBCB"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La Cámara en virtud de los acuerdos suscritos con los sistemas de negociación y/o registro o Mecanismos de Contratación aceptará Operaciones de dichos sistemas o mecanismos de acuerdo con lo descrito en el Artículo 1.3.1.1. de la presente Circular.</w:t>
      </w:r>
    </w:p>
    <w:p w14:paraId="5C2D5C13" w14:textId="77777777" w:rsidR="007968EC" w:rsidRPr="002C0D19" w:rsidRDefault="007968EC" w:rsidP="007968EC">
      <w:pPr>
        <w:jc w:val="both"/>
        <w:rPr>
          <w:rFonts w:ascii="Arial Narrow" w:eastAsia="Calibri" w:hAnsi="Arial Narrow"/>
          <w:color w:val="000000" w:themeColor="text1"/>
        </w:rPr>
      </w:pPr>
    </w:p>
    <w:p w14:paraId="53322316"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Adicionalmente cuando se trate de Instrumentos Financieros Derivados No Estandarizados corresponderá a los administradores de los sistemas de negociación y/o registro o Mecanismos de Contratación contar con la autorización expresa de los Miembros para el envío de Operaciones celebradas sobre tales Instrumentos con otros Miembros o con sus Terceros como contrapartes, para la Compensación y Liquidación a través de la Cámara.</w:t>
      </w:r>
    </w:p>
    <w:p w14:paraId="4578E932" w14:textId="77777777" w:rsidR="007968EC" w:rsidRPr="002C0D19" w:rsidRDefault="007968EC" w:rsidP="007968EC">
      <w:pPr>
        <w:jc w:val="both"/>
        <w:rPr>
          <w:rFonts w:ascii="Arial Narrow" w:eastAsia="Calibri" w:hAnsi="Arial Narrow"/>
          <w:color w:val="000000" w:themeColor="text1"/>
        </w:rPr>
      </w:pPr>
    </w:p>
    <w:p w14:paraId="4A96F3B6" w14:textId="77777777" w:rsidR="007968EC" w:rsidRDefault="007968EC" w:rsidP="007968EC">
      <w:pPr>
        <w:pStyle w:val="ARTICULO0"/>
      </w:pPr>
      <w:bookmarkStart w:id="3703" w:name="_Toc470779893"/>
      <w:bookmarkStart w:id="3704" w:name="_Toc470780510"/>
      <w:bookmarkStart w:id="3705" w:name="_Toc470781023"/>
      <w:bookmarkStart w:id="3706" w:name="_Toc470784584"/>
      <w:bookmarkStart w:id="3707" w:name="_Toc470785121"/>
      <w:bookmarkStart w:id="3708" w:name="_Toc470791507"/>
      <w:bookmarkStart w:id="3709" w:name="_Toc472592278"/>
      <w:bookmarkStart w:id="3710" w:name="_Toc472593297"/>
      <w:bookmarkStart w:id="3711" w:name="_Toc31716097"/>
      <w:bookmarkStart w:id="3712" w:name="_Toc479057083"/>
      <w:bookmarkStart w:id="3713" w:name="_Toc490066411"/>
      <w:r>
        <w:t xml:space="preserve">Artículo 2.2.1.2. </w:t>
      </w:r>
      <w:r w:rsidRPr="002C0D19">
        <w:t>Aceptación de Operaciones provenientes de sistemas de negociación de Contratos de Futuros y Contratos de Opciones autorizados por la Cámara.</w:t>
      </w:r>
      <w:bookmarkEnd w:id="3703"/>
      <w:bookmarkEnd w:id="3704"/>
      <w:bookmarkEnd w:id="3705"/>
      <w:bookmarkEnd w:id="3706"/>
      <w:bookmarkEnd w:id="3707"/>
      <w:bookmarkEnd w:id="3708"/>
      <w:bookmarkEnd w:id="3709"/>
      <w:bookmarkEnd w:id="3710"/>
      <w:bookmarkEnd w:id="3711"/>
      <w:r w:rsidRPr="002C0D19">
        <w:t xml:space="preserve"> </w:t>
      </w:r>
    </w:p>
    <w:p w14:paraId="1C107113" w14:textId="77777777" w:rsidR="007968EC" w:rsidRPr="000E6636" w:rsidRDefault="007968EC" w:rsidP="007968EC">
      <w:pPr>
        <w:autoSpaceDE w:val="0"/>
        <w:autoSpaceDN w:val="0"/>
        <w:jc w:val="both"/>
        <w:rPr>
          <w:rFonts w:ascii="Arial Narrow" w:hAnsi="Arial Narrow" w:cs="Arial"/>
          <w:b/>
          <w:bCs/>
          <w:color w:val="000000" w:themeColor="text1"/>
          <w:lang w:eastAsia="es-ES"/>
        </w:rPr>
      </w:pPr>
    </w:p>
    <w:p w14:paraId="3DCEA538" w14:textId="77777777" w:rsidR="007968EC" w:rsidRPr="002C0D19" w:rsidRDefault="007968EC" w:rsidP="007968EC">
      <w:pPr>
        <w:pStyle w:val="ANTECEDENTES"/>
        <w:rPr>
          <w:u w:val="single"/>
        </w:rPr>
      </w:pPr>
      <w:r w:rsidRPr="002C0D19">
        <w:t>(Este artículo fue modificado mediante Circular 6 del 14 de febrero de 2017, publicada en el Boletín Normativo No. 006 del 14 de febrero de 2017. Rige a partir del 15 de febrero de 2017.)</w:t>
      </w:r>
      <w:bookmarkEnd w:id="3712"/>
      <w:bookmarkEnd w:id="3713"/>
      <w:r w:rsidRPr="002C0D19">
        <w:t xml:space="preserve"> </w:t>
      </w:r>
    </w:p>
    <w:p w14:paraId="3BA51B7A" w14:textId="77777777" w:rsidR="007968EC" w:rsidRPr="002C0D19" w:rsidRDefault="007968EC" w:rsidP="007968EC">
      <w:pPr>
        <w:jc w:val="both"/>
        <w:rPr>
          <w:rFonts w:ascii="Arial Narrow" w:eastAsia="Calibri" w:hAnsi="Arial Narrow"/>
          <w:b/>
          <w:color w:val="000000" w:themeColor="text1"/>
        </w:rPr>
      </w:pPr>
    </w:p>
    <w:p w14:paraId="481BF1C2"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 xml:space="preserve">Los administradores de los sistemas de negociación de Contratos de Futuros y Contratos de Opciones transmitirán las Operaciones celebradas en tales sistemas, en tiempo real y en el orden en que sean calzadas en su sistema. La Operación será aceptada por la Cámara una vez verifique que cumple los requisitos y controles de riesgos establecidos para la aceptación de Operaciones como contraparte. La hora de la aceptación será aquella en que el Sistema de la Cámara </w:t>
      </w:r>
      <w:proofErr w:type="gramStart"/>
      <w:r w:rsidRPr="002C0D19">
        <w:rPr>
          <w:rFonts w:ascii="Arial Narrow" w:eastAsia="Calibri" w:hAnsi="Arial Narrow"/>
          <w:color w:val="000000" w:themeColor="text1"/>
        </w:rPr>
        <w:t>le</w:t>
      </w:r>
      <w:proofErr w:type="gramEnd"/>
      <w:r w:rsidRPr="002C0D19">
        <w:rPr>
          <w:rFonts w:ascii="Arial Narrow" w:eastAsia="Calibri" w:hAnsi="Arial Narrow"/>
          <w:color w:val="000000" w:themeColor="text1"/>
        </w:rPr>
        <w:t xml:space="preserve"> entregue a los administradores de los sistemas de negociación el número de registro de la Operación. </w:t>
      </w:r>
    </w:p>
    <w:p w14:paraId="73168287" w14:textId="77777777" w:rsidR="007968EC" w:rsidRPr="002C0D19" w:rsidRDefault="007968EC" w:rsidP="007968EC">
      <w:pPr>
        <w:jc w:val="both"/>
        <w:rPr>
          <w:rFonts w:ascii="Arial Narrow" w:eastAsia="Calibri" w:hAnsi="Arial Narrow"/>
          <w:color w:val="000000" w:themeColor="text1"/>
        </w:rPr>
      </w:pPr>
    </w:p>
    <w:p w14:paraId="419A7A31"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 xml:space="preserve">De conformidad con el artículo 2.3.3. del Reglamento de Funcionamiento, la Cámara evaluará y verificará respecto de cada Operación Susceptible de ser Aceptada, que la misma cumple con los siguientes requisitos y controles de riesgo: </w:t>
      </w:r>
    </w:p>
    <w:p w14:paraId="5E4E7B19" w14:textId="77777777" w:rsidR="007968EC" w:rsidRPr="002C0D19" w:rsidRDefault="007968EC" w:rsidP="007968EC">
      <w:pPr>
        <w:jc w:val="both"/>
        <w:rPr>
          <w:rFonts w:ascii="Arial Narrow" w:eastAsia="Calibri" w:hAnsi="Arial Narrow"/>
          <w:color w:val="000000" w:themeColor="text1"/>
        </w:rPr>
      </w:pPr>
    </w:p>
    <w:p w14:paraId="03D54AFF" w14:textId="77777777" w:rsidR="007968EC" w:rsidRPr="002C0D19" w:rsidRDefault="007968EC" w:rsidP="00DA7472">
      <w:pPr>
        <w:numPr>
          <w:ilvl w:val="0"/>
          <w:numId w:val="169"/>
        </w:numPr>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Que las partes que la celebran son Miembros de la Cámara y se encuentran activos.</w:t>
      </w:r>
    </w:p>
    <w:p w14:paraId="28AAD51B" w14:textId="77777777" w:rsidR="007968EC" w:rsidRPr="002C0D19" w:rsidRDefault="007968EC" w:rsidP="007968EC">
      <w:pPr>
        <w:ind w:left="426" w:hanging="426"/>
        <w:jc w:val="both"/>
        <w:rPr>
          <w:rFonts w:ascii="Arial Narrow" w:eastAsia="Calibri" w:hAnsi="Arial Narrow"/>
          <w:color w:val="000000" w:themeColor="text1"/>
        </w:rPr>
      </w:pPr>
    </w:p>
    <w:p w14:paraId="3CBE36B0" w14:textId="77777777" w:rsidR="007968EC" w:rsidRPr="002C0D19" w:rsidRDefault="007968EC" w:rsidP="00DA7472">
      <w:pPr>
        <w:numPr>
          <w:ilvl w:val="0"/>
          <w:numId w:val="169"/>
        </w:numPr>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 xml:space="preserve">Que al momento de celebración de la operación los Miembros cuentan con los límites y Garantías disponibles. </w:t>
      </w:r>
    </w:p>
    <w:p w14:paraId="6844DB85" w14:textId="77777777" w:rsidR="007968EC" w:rsidRPr="002C0D19" w:rsidRDefault="007968EC" w:rsidP="007968EC">
      <w:pPr>
        <w:ind w:left="426" w:hanging="426"/>
        <w:jc w:val="both"/>
        <w:rPr>
          <w:rFonts w:ascii="Arial Narrow" w:eastAsia="Calibri" w:hAnsi="Arial Narrow"/>
          <w:color w:val="000000" w:themeColor="text1"/>
        </w:rPr>
      </w:pPr>
    </w:p>
    <w:p w14:paraId="34A67880" w14:textId="77777777" w:rsidR="007968EC" w:rsidRPr="002C0D19" w:rsidRDefault="007968EC" w:rsidP="00DA7472">
      <w:pPr>
        <w:numPr>
          <w:ilvl w:val="0"/>
          <w:numId w:val="169"/>
        </w:numPr>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lastRenderedPageBreak/>
        <w:t>Que las Operaciones cumplen con los filtros de volumen previstos por la Cámara.</w:t>
      </w:r>
    </w:p>
    <w:p w14:paraId="716991A6" w14:textId="77777777" w:rsidR="007968EC" w:rsidRPr="002C0D19" w:rsidRDefault="007968EC" w:rsidP="007968EC">
      <w:pPr>
        <w:jc w:val="both"/>
        <w:rPr>
          <w:rFonts w:ascii="Arial Narrow" w:eastAsia="Calibri" w:hAnsi="Arial Narrow"/>
          <w:color w:val="000000" w:themeColor="text1"/>
        </w:rPr>
      </w:pPr>
    </w:p>
    <w:p w14:paraId="7A05949F"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Las Operaciones que hayan cumplido a satisfacción de la Cámara los requisitos y controles de riesgo antes indicados se considerarán Operaciones Aceptadas.</w:t>
      </w:r>
    </w:p>
    <w:p w14:paraId="432399C3" w14:textId="77777777" w:rsidR="007968EC" w:rsidRPr="002C0D19" w:rsidRDefault="007968EC" w:rsidP="007968EC">
      <w:pPr>
        <w:jc w:val="both"/>
        <w:rPr>
          <w:rFonts w:ascii="Arial Narrow" w:eastAsia="Calibri" w:hAnsi="Arial Narrow"/>
          <w:b/>
          <w:color w:val="000000" w:themeColor="text1"/>
          <w:u w:val="single"/>
        </w:rPr>
      </w:pPr>
    </w:p>
    <w:p w14:paraId="47CEAD60" w14:textId="77777777" w:rsidR="007968EC" w:rsidRPr="002C0D19" w:rsidRDefault="007968EC" w:rsidP="007968EC">
      <w:pPr>
        <w:pStyle w:val="ARTICULO0"/>
      </w:pPr>
      <w:bookmarkStart w:id="3714" w:name="_Toc470779894"/>
      <w:bookmarkStart w:id="3715" w:name="_Toc470780511"/>
      <w:bookmarkStart w:id="3716" w:name="_Toc470781024"/>
      <w:bookmarkStart w:id="3717" w:name="_Toc470784585"/>
      <w:bookmarkStart w:id="3718" w:name="_Toc470785122"/>
      <w:bookmarkStart w:id="3719" w:name="_Toc470791508"/>
      <w:bookmarkStart w:id="3720" w:name="_Toc472592279"/>
      <w:bookmarkStart w:id="3721" w:name="_Toc472593298"/>
      <w:bookmarkStart w:id="3722" w:name="_Toc479057084"/>
      <w:bookmarkStart w:id="3723" w:name="_Toc490066412"/>
      <w:bookmarkStart w:id="3724" w:name="_Toc31716098"/>
      <w:r>
        <w:t xml:space="preserve">Artículo 2.2.1.3. </w:t>
      </w:r>
      <w:r w:rsidRPr="002C0D19">
        <w:t>Aceptación de Operaciones de sistemas de registro de Contratos de Futuros autorizados por la Cámara.</w:t>
      </w:r>
      <w:bookmarkEnd w:id="3714"/>
      <w:bookmarkEnd w:id="3715"/>
      <w:bookmarkEnd w:id="3716"/>
      <w:bookmarkEnd w:id="3717"/>
      <w:bookmarkEnd w:id="3718"/>
      <w:bookmarkEnd w:id="3719"/>
      <w:bookmarkEnd w:id="3720"/>
      <w:bookmarkEnd w:id="3721"/>
      <w:bookmarkEnd w:id="3722"/>
      <w:bookmarkEnd w:id="3723"/>
      <w:bookmarkEnd w:id="3724"/>
    </w:p>
    <w:p w14:paraId="5EDE060D" w14:textId="77777777" w:rsidR="007968EC" w:rsidRPr="002C0D19" w:rsidRDefault="007968EC" w:rsidP="007968EC">
      <w:pPr>
        <w:jc w:val="both"/>
        <w:rPr>
          <w:rFonts w:ascii="Arial Narrow" w:eastAsia="Calibri" w:hAnsi="Arial Narrow"/>
          <w:b/>
          <w:color w:val="000000" w:themeColor="text1"/>
          <w:u w:val="single"/>
        </w:rPr>
      </w:pPr>
    </w:p>
    <w:p w14:paraId="069B1A2F" w14:textId="77777777" w:rsidR="007968EC" w:rsidRPr="002C0D19" w:rsidRDefault="007968EC" w:rsidP="007968EC">
      <w:pPr>
        <w:jc w:val="both"/>
        <w:rPr>
          <w:rFonts w:ascii="Arial Narrow" w:eastAsia="Calibri" w:hAnsi="Arial Narrow"/>
          <w:b/>
          <w:color w:val="000000" w:themeColor="text1"/>
        </w:rPr>
      </w:pPr>
      <w:r w:rsidRPr="002C0D19">
        <w:rPr>
          <w:rFonts w:ascii="Arial Narrow" w:eastAsia="Calibri" w:hAnsi="Arial Narrow"/>
          <w:color w:val="000000" w:themeColor="text1"/>
        </w:rPr>
        <w:t>La Cámara para la aceptación de Operaciones provenientes de los sistemas de registro de Contratos de Futuros observará el siguiente procedimiento:</w:t>
      </w:r>
    </w:p>
    <w:p w14:paraId="0748416A" w14:textId="77777777" w:rsidR="007968EC" w:rsidRPr="002C0D19" w:rsidRDefault="007968EC" w:rsidP="007968EC">
      <w:pPr>
        <w:jc w:val="both"/>
        <w:rPr>
          <w:rFonts w:ascii="Arial Narrow" w:eastAsia="Calibri" w:hAnsi="Arial Narrow"/>
          <w:b/>
          <w:color w:val="000000" w:themeColor="text1"/>
        </w:rPr>
      </w:pPr>
    </w:p>
    <w:p w14:paraId="7A0225CB" w14:textId="77777777" w:rsidR="007968EC" w:rsidRPr="002C0D19" w:rsidRDefault="007968EC" w:rsidP="00DA7472">
      <w:pPr>
        <w:numPr>
          <w:ilvl w:val="0"/>
          <w:numId w:val="168"/>
        </w:numPr>
        <w:ind w:left="426" w:hanging="426"/>
        <w:jc w:val="both"/>
        <w:rPr>
          <w:rFonts w:ascii="Arial Narrow" w:eastAsia="Calibri" w:hAnsi="Arial Narrow"/>
          <w:b/>
          <w:color w:val="000000" w:themeColor="text1"/>
        </w:rPr>
      </w:pPr>
      <w:r w:rsidRPr="002C0D19">
        <w:rPr>
          <w:rFonts w:ascii="Arial Narrow" w:eastAsia="Calibri" w:hAnsi="Arial Narrow"/>
          <w:color w:val="000000" w:themeColor="text1"/>
        </w:rPr>
        <w:t xml:space="preserve">Una vez efectuada la solicitud de registro de la operación ante el administrador del sistema de registro, dicho administrador realizará un control de precio y volumen según la cantidad mínima de contratos definida en los parámetros de negociación de cada Contrato de Futuros, para que sea procedente la aprobación del registro. </w:t>
      </w:r>
    </w:p>
    <w:p w14:paraId="3F70D5FB" w14:textId="77777777" w:rsidR="007968EC" w:rsidRPr="002C0D19" w:rsidRDefault="007968EC" w:rsidP="00DA7472">
      <w:pPr>
        <w:numPr>
          <w:ilvl w:val="0"/>
          <w:numId w:val="168"/>
        </w:numPr>
        <w:ind w:left="426" w:hanging="426"/>
        <w:jc w:val="both"/>
        <w:rPr>
          <w:rFonts w:ascii="Arial Narrow" w:eastAsia="Calibri" w:hAnsi="Arial Narrow"/>
          <w:b/>
          <w:color w:val="000000" w:themeColor="text1"/>
        </w:rPr>
      </w:pPr>
      <w:r w:rsidRPr="002C0D19">
        <w:rPr>
          <w:rFonts w:ascii="Arial Narrow" w:eastAsia="Calibri" w:hAnsi="Arial Narrow"/>
          <w:color w:val="000000" w:themeColor="text1"/>
        </w:rPr>
        <w:t xml:space="preserve">Una vez el administrador del sistema de registro, verifica que la Operación cumple con el control de precio y volumen, le dejará disponible a la Cámara la información de la solicitud de registro de la Operación para que ésta realice el control de riesgos que le corresponda y proceda a informar a tal administrador si la Operación es Susceptible de ser Aceptada. </w:t>
      </w:r>
    </w:p>
    <w:p w14:paraId="66CDD420" w14:textId="77777777" w:rsidR="007968EC" w:rsidRPr="002C0D19" w:rsidRDefault="007968EC" w:rsidP="00DA7472">
      <w:pPr>
        <w:numPr>
          <w:ilvl w:val="0"/>
          <w:numId w:val="168"/>
        </w:numPr>
        <w:ind w:left="426" w:hanging="426"/>
        <w:jc w:val="both"/>
        <w:rPr>
          <w:rFonts w:ascii="Arial Narrow" w:eastAsia="Calibri" w:hAnsi="Arial Narrow"/>
          <w:b/>
          <w:color w:val="000000" w:themeColor="text1"/>
        </w:rPr>
      </w:pPr>
      <w:r w:rsidRPr="002C0D19">
        <w:rPr>
          <w:rFonts w:ascii="Arial Narrow" w:eastAsia="Calibri" w:hAnsi="Arial Narrow"/>
          <w:color w:val="000000" w:themeColor="text1"/>
        </w:rPr>
        <w:t>Durante la realización del control de riesgos por parte de la Cámara para la aceptación de la Operación, ésta podrá solicitar al Miembro Liquidador que se encuentre en defecto de garantías, que las constituya en el término que la Cámara establezca, como requisito previo a informar al administrador del sistema de registro que la Operación es Susceptible de ser Aceptada; transcurrido dicho término sin que se constituyan las garantías solicitadas, la Cámara informará al administrador del sistema de registro tal circunstancia para que el mismo dentro de sus facultades rechace el registro; en caso contrario, informará al administrador del sistema de registro a través de tal sistema, que la Operación cumple con las exigencias de la Cámara para su aceptación.</w:t>
      </w:r>
    </w:p>
    <w:p w14:paraId="014FB695" w14:textId="77777777" w:rsidR="007968EC" w:rsidRPr="002C0D19" w:rsidRDefault="007968EC" w:rsidP="00DA7472">
      <w:pPr>
        <w:numPr>
          <w:ilvl w:val="0"/>
          <w:numId w:val="168"/>
        </w:numPr>
        <w:ind w:left="426" w:hanging="426"/>
        <w:jc w:val="both"/>
        <w:rPr>
          <w:rFonts w:ascii="Arial Narrow" w:eastAsia="Calibri" w:hAnsi="Arial Narrow"/>
          <w:b/>
          <w:color w:val="000000" w:themeColor="text1"/>
        </w:rPr>
      </w:pPr>
      <w:r w:rsidRPr="002C0D19">
        <w:rPr>
          <w:rFonts w:ascii="Arial Narrow" w:eastAsia="Calibri" w:hAnsi="Arial Narrow"/>
          <w:color w:val="000000" w:themeColor="text1"/>
        </w:rPr>
        <w:t xml:space="preserve">Una vez la Cámara realice el control de riesgos de la Operación, informará al administrador del sistema de registro la procedencia o no de la aceptación de la misma, a más tardar dentro de la media hora siguiente a la finalización del horario de registro de Operaciones, establecido para cada Instrumento en la reglamentación del administrador del sistema de registro. </w:t>
      </w:r>
    </w:p>
    <w:p w14:paraId="6A1C1545" w14:textId="77777777" w:rsidR="007968EC" w:rsidRPr="002C0D19" w:rsidRDefault="007968EC" w:rsidP="00DA7472">
      <w:pPr>
        <w:numPr>
          <w:ilvl w:val="0"/>
          <w:numId w:val="168"/>
        </w:numPr>
        <w:ind w:left="426" w:hanging="426"/>
        <w:jc w:val="both"/>
        <w:rPr>
          <w:rFonts w:ascii="Arial Narrow" w:eastAsia="Calibri" w:hAnsi="Arial Narrow"/>
          <w:b/>
          <w:color w:val="000000" w:themeColor="text1"/>
        </w:rPr>
      </w:pPr>
      <w:r w:rsidRPr="002C0D19">
        <w:rPr>
          <w:rFonts w:ascii="Arial Narrow" w:eastAsia="Calibri" w:hAnsi="Arial Narrow"/>
          <w:color w:val="000000" w:themeColor="text1"/>
        </w:rPr>
        <w:t>En el momento en que el administrador del sistema de registro apruebe el registro de la Operación, que ha surtido el procedimiento previsto en el presente artículo, transmitirá las Operaciones provenientes del sistema de registro de Contratos de Futuros administrado por él, en tiempo real y en el orden en que hayan sido aprobadas en su registro.</w:t>
      </w:r>
    </w:p>
    <w:p w14:paraId="5268D92D" w14:textId="77777777" w:rsidR="007968EC" w:rsidRPr="002C0D19" w:rsidRDefault="007968EC" w:rsidP="007968EC">
      <w:pPr>
        <w:ind w:left="426" w:hanging="426"/>
        <w:jc w:val="both"/>
        <w:rPr>
          <w:rFonts w:ascii="Arial Narrow" w:eastAsia="Calibri" w:hAnsi="Arial Narrow"/>
          <w:b/>
          <w:color w:val="000000" w:themeColor="text1"/>
        </w:rPr>
      </w:pPr>
    </w:p>
    <w:p w14:paraId="1B6061E0" w14:textId="77777777" w:rsidR="007968EC" w:rsidRPr="002C0D19" w:rsidRDefault="007968EC" w:rsidP="007968EC">
      <w:pPr>
        <w:jc w:val="both"/>
        <w:rPr>
          <w:rFonts w:ascii="Arial Narrow" w:eastAsia="Calibri" w:hAnsi="Arial Narrow"/>
          <w:b/>
          <w:color w:val="000000" w:themeColor="text1"/>
        </w:rPr>
      </w:pPr>
      <w:r w:rsidRPr="002C0D19">
        <w:rPr>
          <w:rFonts w:ascii="Arial Narrow" w:eastAsia="Calibri" w:hAnsi="Arial Narrow"/>
          <w:color w:val="000000" w:themeColor="text1"/>
        </w:rPr>
        <w:t>La Cámara aceptará la Operación para su Compensación y Liquidación actuando como contraparte, con base en el control de riesgos realizado.</w:t>
      </w:r>
    </w:p>
    <w:p w14:paraId="5B978FA3" w14:textId="77777777" w:rsidR="007968EC" w:rsidRPr="002C0D19" w:rsidRDefault="007968EC" w:rsidP="007968EC">
      <w:pPr>
        <w:jc w:val="both"/>
        <w:rPr>
          <w:rFonts w:ascii="Arial Narrow" w:eastAsia="Calibri" w:hAnsi="Arial Narrow"/>
          <w:b/>
          <w:color w:val="000000" w:themeColor="text1"/>
        </w:rPr>
      </w:pPr>
    </w:p>
    <w:p w14:paraId="606E4212" w14:textId="77777777" w:rsidR="007968EC" w:rsidRPr="002C0D19" w:rsidRDefault="007968EC" w:rsidP="007968EC">
      <w:pPr>
        <w:jc w:val="both"/>
        <w:rPr>
          <w:rFonts w:ascii="Arial Narrow" w:eastAsia="Calibri" w:hAnsi="Arial Narrow"/>
          <w:b/>
          <w:color w:val="000000" w:themeColor="text1"/>
        </w:rPr>
      </w:pPr>
      <w:r w:rsidRPr="002C0D19">
        <w:rPr>
          <w:rFonts w:ascii="Arial Narrow" w:eastAsia="Calibri" w:hAnsi="Arial Narrow"/>
          <w:color w:val="000000" w:themeColor="text1"/>
        </w:rPr>
        <w:t>La hora de la aceptación será aquella en que el Sistema de la Cámara le entregue al administrador del sistema de registro el número de registro de la Operación.</w:t>
      </w:r>
    </w:p>
    <w:p w14:paraId="00E98EED" w14:textId="77777777" w:rsidR="007968EC" w:rsidRPr="002C0D19" w:rsidRDefault="007968EC" w:rsidP="007968EC">
      <w:pPr>
        <w:jc w:val="both"/>
        <w:rPr>
          <w:rFonts w:ascii="Arial Narrow" w:eastAsia="Calibri" w:hAnsi="Arial Narrow"/>
          <w:b/>
          <w:color w:val="000000" w:themeColor="text1"/>
        </w:rPr>
      </w:pPr>
    </w:p>
    <w:p w14:paraId="1B1CBA2B" w14:textId="77777777" w:rsidR="007968EC" w:rsidRPr="002C0D19" w:rsidRDefault="007968EC" w:rsidP="007968EC">
      <w:pPr>
        <w:jc w:val="both"/>
        <w:rPr>
          <w:rFonts w:ascii="Arial Narrow" w:eastAsia="Calibri" w:hAnsi="Arial Narrow"/>
          <w:b/>
          <w:color w:val="000000" w:themeColor="text1"/>
        </w:rPr>
      </w:pPr>
      <w:r w:rsidRPr="002C0D19">
        <w:rPr>
          <w:rFonts w:ascii="Arial Narrow" w:eastAsia="Calibri" w:hAnsi="Arial Narrow"/>
          <w:color w:val="000000" w:themeColor="text1"/>
        </w:rPr>
        <w:lastRenderedPageBreak/>
        <w:t>Las Operaciones de registro que acepte la Cámara son identificadas en el Sistema como Operaciones tipo “H”.</w:t>
      </w:r>
    </w:p>
    <w:p w14:paraId="381ED392" w14:textId="77777777" w:rsidR="007968EC" w:rsidRPr="002C0D19" w:rsidRDefault="007968EC" w:rsidP="007968EC">
      <w:pPr>
        <w:jc w:val="both"/>
        <w:rPr>
          <w:rFonts w:ascii="Arial Narrow" w:eastAsia="Calibri" w:hAnsi="Arial Narrow"/>
          <w:b/>
          <w:color w:val="000000" w:themeColor="text1"/>
        </w:rPr>
      </w:pPr>
    </w:p>
    <w:p w14:paraId="11A7661D"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En todo caso, la Cámara no tendrá responsabilidad alguna por el rechazo que el administrador del sistema de registro haga a la solicitud de registro de una Operación en el sistema administrado por el mismo.</w:t>
      </w:r>
    </w:p>
    <w:p w14:paraId="5E052F10" w14:textId="77777777" w:rsidR="007968EC" w:rsidRPr="002C0D19" w:rsidRDefault="007968EC" w:rsidP="007968EC">
      <w:pPr>
        <w:jc w:val="both"/>
        <w:rPr>
          <w:rFonts w:ascii="Arial Narrow" w:eastAsia="Calibri" w:hAnsi="Arial Narrow"/>
          <w:color w:val="000000" w:themeColor="text1"/>
        </w:rPr>
      </w:pPr>
    </w:p>
    <w:p w14:paraId="07EB726D" w14:textId="77777777" w:rsidR="007968EC" w:rsidRPr="002C0D19" w:rsidRDefault="007968EC" w:rsidP="007968EC">
      <w:pPr>
        <w:pStyle w:val="ARTICULO0"/>
      </w:pPr>
      <w:bookmarkStart w:id="3725" w:name="_Toc470779895"/>
      <w:bookmarkStart w:id="3726" w:name="_Toc470780512"/>
      <w:bookmarkStart w:id="3727" w:name="_Toc470781025"/>
      <w:bookmarkStart w:id="3728" w:name="_Toc470784586"/>
      <w:bookmarkStart w:id="3729" w:name="_Toc470785123"/>
      <w:bookmarkStart w:id="3730" w:name="_Toc470791509"/>
      <w:bookmarkStart w:id="3731" w:name="_Toc472592280"/>
      <w:bookmarkStart w:id="3732" w:name="_Toc472593299"/>
      <w:bookmarkStart w:id="3733" w:name="_Toc479057085"/>
      <w:bookmarkStart w:id="3734" w:name="_Toc490066413"/>
      <w:bookmarkStart w:id="3735" w:name="_Toc31716099"/>
      <w:r>
        <w:t xml:space="preserve">Artículo 2.2.1.4. </w:t>
      </w:r>
      <w:r w:rsidRPr="002C0D19">
        <w:t>Aceptación de Operaciones sobre Instrumentos Financieros Derivados No Estandarizados provenientes de sistemas de negociación y/o registro o Mecanismos de Contratación autorizados por la Cámara.</w:t>
      </w:r>
      <w:bookmarkEnd w:id="3725"/>
      <w:bookmarkEnd w:id="3726"/>
      <w:bookmarkEnd w:id="3727"/>
      <w:bookmarkEnd w:id="3728"/>
      <w:bookmarkEnd w:id="3729"/>
      <w:bookmarkEnd w:id="3730"/>
      <w:bookmarkEnd w:id="3731"/>
      <w:bookmarkEnd w:id="3732"/>
      <w:bookmarkEnd w:id="3733"/>
      <w:bookmarkEnd w:id="3734"/>
      <w:bookmarkEnd w:id="3735"/>
    </w:p>
    <w:p w14:paraId="6E916B81" w14:textId="77777777" w:rsidR="007968EC" w:rsidRPr="002C0D19" w:rsidRDefault="007968EC" w:rsidP="007968EC">
      <w:pPr>
        <w:pStyle w:val="ANTECEDENTES"/>
        <w:rPr>
          <w:rFonts w:eastAsia="Calibri"/>
        </w:rPr>
      </w:pPr>
    </w:p>
    <w:p w14:paraId="5BD61EA2" w14:textId="77777777" w:rsidR="007968EC" w:rsidRPr="002C0D19" w:rsidRDefault="007968EC" w:rsidP="007968EC">
      <w:pPr>
        <w:keepNext/>
        <w:tabs>
          <w:tab w:val="left" w:pos="1701"/>
        </w:tabs>
        <w:jc w:val="both"/>
        <w:outlineLvl w:val="2"/>
        <w:rPr>
          <w:rFonts w:ascii="Arial Narrow" w:eastAsia="Calibri" w:hAnsi="Arial Narrow"/>
          <w:color w:val="000000" w:themeColor="text1"/>
        </w:rPr>
      </w:pPr>
      <w:bookmarkStart w:id="3736" w:name="_Toc470775594"/>
      <w:bookmarkStart w:id="3737" w:name="_Toc470779896"/>
      <w:bookmarkStart w:id="3738" w:name="_Toc470780513"/>
      <w:bookmarkStart w:id="3739" w:name="_Toc470781026"/>
      <w:bookmarkStart w:id="3740" w:name="_Toc470784587"/>
      <w:bookmarkStart w:id="3741" w:name="_Toc470785124"/>
      <w:bookmarkStart w:id="3742" w:name="_Toc470791510"/>
      <w:bookmarkStart w:id="3743" w:name="_Toc471831718"/>
      <w:bookmarkStart w:id="3744" w:name="_Toc490066414"/>
      <w:bookmarkStart w:id="3745" w:name="_Toc490079189"/>
      <w:r w:rsidRPr="002C0D19">
        <w:rPr>
          <w:rFonts w:ascii="Arial Narrow" w:eastAsia="Calibri" w:hAnsi="Arial Narrow"/>
          <w:color w:val="000000" w:themeColor="text1"/>
        </w:rPr>
        <w:t>De conformidad con el Reglamento de Funcionamiento, la Cámara evaluará y verificará respecto de cada Operación Susceptible de ser Aceptada, que la misma cumple con los siguientes requisitos y controles de riesgo:</w:t>
      </w:r>
      <w:bookmarkEnd w:id="3736"/>
      <w:bookmarkEnd w:id="3737"/>
      <w:bookmarkEnd w:id="3738"/>
      <w:bookmarkEnd w:id="3739"/>
      <w:bookmarkEnd w:id="3740"/>
      <w:bookmarkEnd w:id="3741"/>
      <w:bookmarkEnd w:id="3742"/>
      <w:bookmarkEnd w:id="3743"/>
      <w:bookmarkEnd w:id="3744"/>
      <w:bookmarkEnd w:id="3745"/>
      <w:r w:rsidRPr="002C0D19">
        <w:rPr>
          <w:rFonts w:ascii="Arial Narrow" w:eastAsia="Calibri" w:hAnsi="Arial Narrow"/>
          <w:color w:val="000000" w:themeColor="text1"/>
        </w:rPr>
        <w:t xml:space="preserve"> </w:t>
      </w:r>
    </w:p>
    <w:p w14:paraId="406226E9" w14:textId="77777777" w:rsidR="007968EC" w:rsidRPr="002C0D19" w:rsidRDefault="007968EC" w:rsidP="007968EC">
      <w:pPr>
        <w:pStyle w:val="ANTECEDENTES"/>
        <w:rPr>
          <w:rFonts w:eastAsia="Calibri"/>
        </w:rPr>
      </w:pPr>
    </w:p>
    <w:p w14:paraId="107B8E5E" w14:textId="77777777" w:rsidR="007968EC" w:rsidRPr="002C0D19" w:rsidRDefault="007968EC" w:rsidP="00DA7472">
      <w:pPr>
        <w:numPr>
          <w:ilvl w:val="0"/>
          <w:numId w:val="170"/>
        </w:numPr>
        <w:ind w:left="426" w:hanging="470"/>
        <w:contextualSpacing/>
        <w:jc w:val="both"/>
        <w:rPr>
          <w:rFonts w:ascii="Arial Narrow" w:eastAsia="Calibri" w:hAnsi="Arial Narrow"/>
          <w:b/>
          <w:color w:val="000000" w:themeColor="text1"/>
          <w:lang w:eastAsia="es-CO"/>
        </w:rPr>
      </w:pPr>
      <w:r w:rsidRPr="002C0D19">
        <w:rPr>
          <w:rFonts w:ascii="Arial Narrow" w:eastAsia="Calibri" w:hAnsi="Arial Narrow"/>
          <w:color w:val="000000" w:themeColor="text1"/>
          <w:lang w:eastAsia="es-CO"/>
        </w:rPr>
        <w:t xml:space="preserve">Que las partes que la celebran son Miembros de la Cámara y se encuentran activos. Cuando se trate de operaciones celebradas por los Miembros con sus Terceros como contrapartes, la Cámara verificará adicionalmente que el Miembro haya habilitado las Cuentas de Terceros en el Sistema de la Cámara para el registro de este tipo de Operaciones, de conformidad con lo dispuesto en el artículo 2.1.2.2. de la presente Circular.  </w:t>
      </w:r>
    </w:p>
    <w:p w14:paraId="6F1157D4" w14:textId="77777777" w:rsidR="007968EC" w:rsidRPr="002C0D19" w:rsidRDefault="007968EC" w:rsidP="007968EC">
      <w:pPr>
        <w:ind w:left="426" w:hanging="426"/>
        <w:contextualSpacing/>
        <w:jc w:val="both"/>
        <w:rPr>
          <w:rFonts w:ascii="Arial Narrow" w:eastAsia="Calibri" w:hAnsi="Arial Narrow"/>
          <w:b/>
          <w:color w:val="000000" w:themeColor="text1"/>
          <w:lang w:eastAsia="es-CO"/>
        </w:rPr>
      </w:pPr>
    </w:p>
    <w:p w14:paraId="07635C40" w14:textId="77777777" w:rsidR="007968EC" w:rsidRPr="002C0D19" w:rsidRDefault="007968EC" w:rsidP="00DA7472">
      <w:pPr>
        <w:numPr>
          <w:ilvl w:val="0"/>
          <w:numId w:val="170"/>
        </w:numPr>
        <w:ind w:left="426" w:hanging="426"/>
        <w:contextualSpacing/>
        <w:jc w:val="both"/>
        <w:rPr>
          <w:rFonts w:ascii="Arial Narrow" w:eastAsia="Calibri" w:hAnsi="Arial Narrow"/>
          <w:b/>
          <w:color w:val="000000" w:themeColor="text1"/>
          <w:lang w:eastAsia="es-CO"/>
        </w:rPr>
      </w:pPr>
      <w:r w:rsidRPr="002C0D19">
        <w:rPr>
          <w:rFonts w:ascii="Arial Narrow" w:eastAsia="Calibri" w:hAnsi="Arial Narrow"/>
          <w:color w:val="000000" w:themeColor="text1"/>
          <w:lang w:eastAsia="es-CO"/>
        </w:rPr>
        <w:t xml:space="preserve">Que los Miembros que celebran la operación cuentan con los límites y Garantías disponibles. En caso de que la operación provenga de un sistema de negociación, de un sistema de registro, del mercado mostrador o Mecanismo de Contratación, la Cámara podrá solicitar la constitución de Garantías adicionales como condición para su aceptación. </w:t>
      </w:r>
    </w:p>
    <w:p w14:paraId="09D6BD06" w14:textId="77777777" w:rsidR="007968EC" w:rsidRPr="002C0D19" w:rsidRDefault="007968EC" w:rsidP="007968EC">
      <w:pPr>
        <w:pStyle w:val="ANTECEDENTES"/>
        <w:rPr>
          <w:rFonts w:eastAsia="Calibri"/>
        </w:rPr>
      </w:pPr>
    </w:p>
    <w:p w14:paraId="0E1E4462" w14:textId="77777777" w:rsidR="007968EC" w:rsidRPr="002C0D19" w:rsidRDefault="007968EC" w:rsidP="00DA7472">
      <w:pPr>
        <w:numPr>
          <w:ilvl w:val="0"/>
          <w:numId w:val="170"/>
        </w:numPr>
        <w:ind w:left="426" w:hanging="426"/>
        <w:contextualSpacing/>
        <w:jc w:val="both"/>
        <w:rPr>
          <w:rFonts w:ascii="Arial Narrow" w:eastAsia="Calibri" w:hAnsi="Arial Narrow"/>
          <w:b/>
          <w:color w:val="000000" w:themeColor="text1"/>
          <w:lang w:eastAsia="es-CO"/>
        </w:rPr>
      </w:pPr>
      <w:r w:rsidRPr="002C0D19">
        <w:rPr>
          <w:rFonts w:ascii="Arial Narrow" w:eastAsia="Calibri" w:hAnsi="Arial Narrow"/>
          <w:color w:val="000000" w:themeColor="text1"/>
        </w:rPr>
        <w:t xml:space="preserve">Que las Operaciones provengan de un sistema de negociación, de un sistema de registro de Operaciones o Mecanismo de Contratación, según el caso, autorizado por la Cámara y que el mismo ha transmitido la información con las condiciones exigidas por la Cámara, incluidos los Términos Económicos, para que las mismas se entiendan confirmadas. </w:t>
      </w:r>
    </w:p>
    <w:p w14:paraId="3A3215BB" w14:textId="77777777" w:rsidR="007968EC" w:rsidRPr="004A6C13" w:rsidRDefault="007968EC" w:rsidP="007968EC">
      <w:pPr>
        <w:pStyle w:val="ANTECEDENTES"/>
        <w:rPr>
          <w:rFonts w:eastAsia="Calibri"/>
        </w:rPr>
      </w:pPr>
    </w:p>
    <w:p w14:paraId="2E786E44" w14:textId="77777777" w:rsidR="007968EC" w:rsidRPr="002C0D19" w:rsidRDefault="007968EC" w:rsidP="00DA7472">
      <w:pPr>
        <w:numPr>
          <w:ilvl w:val="0"/>
          <w:numId w:val="170"/>
        </w:numPr>
        <w:ind w:left="426" w:hanging="426"/>
        <w:contextualSpacing/>
        <w:jc w:val="both"/>
        <w:rPr>
          <w:rFonts w:ascii="Arial Narrow" w:eastAsia="Calibri" w:hAnsi="Arial Narrow"/>
          <w:b/>
          <w:color w:val="000000" w:themeColor="text1"/>
          <w:lang w:eastAsia="es-CO"/>
        </w:rPr>
      </w:pPr>
      <w:r w:rsidRPr="002C0D19">
        <w:rPr>
          <w:rFonts w:ascii="Arial Narrow" w:eastAsia="Calibri" w:hAnsi="Arial Narrow"/>
          <w:color w:val="000000" w:themeColor="text1"/>
        </w:rPr>
        <w:t>Cumplir con los controles de riesgo específicos que defina la Cámara en el presente Segmento para cada tipo de Instrumento Financiero Derivado No Estandarizado.</w:t>
      </w:r>
    </w:p>
    <w:p w14:paraId="5D2AFD8B" w14:textId="77777777" w:rsidR="007968EC" w:rsidRPr="002C0D19" w:rsidRDefault="007968EC" w:rsidP="007968EC">
      <w:pPr>
        <w:pStyle w:val="ANTECEDENTES"/>
        <w:rPr>
          <w:rFonts w:eastAsia="Calibri"/>
        </w:rPr>
      </w:pPr>
    </w:p>
    <w:p w14:paraId="554DAB57"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Las operaciones que hayan cumplido a satisfacción de la Cámara los requisitos y controles de riesgo antes indicados se considerarán Operaciones Aceptadas y la Cámara enviará, en los casos que corresponda, al sistema de negociación, y/o de registro de Operaciones o al Mecanismo de Contratación, un mensaje informando la aceptación de la operación por Cámara.</w:t>
      </w:r>
    </w:p>
    <w:p w14:paraId="1FB30D63" w14:textId="77777777" w:rsidR="007968EC" w:rsidRDefault="007968EC" w:rsidP="007968EC">
      <w:pPr>
        <w:pStyle w:val="ANTECEDENTES"/>
        <w:rPr>
          <w:rFonts w:eastAsia="Calibri"/>
        </w:rPr>
      </w:pPr>
    </w:p>
    <w:p w14:paraId="33154E35" w14:textId="77777777" w:rsidR="007968EC" w:rsidRPr="002C0D19" w:rsidRDefault="007968EC" w:rsidP="007968EC">
      <w:pPr>
        <w:pStyle w:val="ANTECEDENTES"/>
        <w:rPr>
          <w:rFonts w:eastAsia="Calibri"/>
        </w:rPr>
      </w:pPr>
    </w:p>
    <w:p w14:paraId="5366066B" w14:textId="77777777" w:rsidR="007968EC" w:rsidRPr="002C0D19" w:rsidRDefault="007968EC" w:rsidP="007968EC">
      <w:pPr>
        <w:pStyle w:val="TTULO"/>
        <w:rPr>
          <w:rFonts w:eastAsia="Calibri"/>
          <w:lang w:val="es-ES"/>
        </w:rPr>
      </w:pPr>
      <w:bookmarkStart w:id="3746" w:name="_Toc470779897"/>
      <w:bookmarkStart w:id="3747" w:name="_Toc470780514"/>
      <w:bookmarkStart w:id="3748" w:name="_Toc470781027"/>
      <w:bookmarkStart w:id="3749" w:name="_Toc470784588"/>
      <w:bookmarkStart w:id="3750" w:name="_Toc470785125"/>
      <w:bookmarkStart w:id="3751" w:name="_Toc470791511"/>
      <w:bookmarkStart w:id="3752" w:name="_Toc472592281"/>
      <w:bookmarkStart w:id="3753" w:name="_Toc472593300"/>
      <w:bookmarkStart w:id="3754" w:name="_Toc479057086"/>
      <w:bookmarkStart w:id="3755" w:name="_Toc490066415"/>
      <w:bookmarkStart w:id="3756" w:name="_Toc31716100"/>
      <w:r w:rsidRPr="002C0D19">
        <w:rPr>
          <w:rFonts w:eastAsia="Calibri"/>
          <w:lang w:val="es-ES"/>
        </w:rPr>
        <w:t>CAPÍTULO SEGUNDO</w:t>
      </w:r>
      <w:bookmarkEnd w:id="3746"/>
      <w:bookmarkEnd w:id="3747"/>
      <w:bookmarkEnd w:id="3748"/>
      <w:bookmarkEnd w:id="3749"/>
      <w:bookmarkEnd w:id="3750"/>
      <w:bookmarkEnd w:id="3751"/>
      <w:bookmarkEnd w:id="3752"/>
      <w:bookmarkEnd w:id="3753"/>
      <w:bookmarkEnd w:id="3754"/>
      <w:bookmarkEnd w:id="3755"/>
      <w:bookmarkEnd w:id="3756"/>
    </w:p>
    <w:p w14:paraId="0C11156F" w14:textId="77777777" w:rsidR="007968EC" w:rsidRPr="002C0D19" w:rsidRDefault="007968EC" w:rsidP="007968EC">
      <w:pPr>
        <w:pStyle w:val="ANTECEDENTES"/>
        <w:rPr>
          <w:rFonts w:eastAsia="Calibri"/>
        </w:rPr>
      </w:pPr>
    </w:p>
    <w:p w14:paraId="066FFFA5" w14:textId="77777777" w:rsidR="007968EC" w:rsidRPr="002C0D19" w:rsidRDefault="007968EC" w:rsidP="007968EC">
      <w:pPr>
        <w:pStyle w:val="TTULO"/>
        <w:rPr>
          <w:rFonts w:eastAsia="Calibri"/>
          <w:lang w:val="es-ES"/>
        </w:rPr>
      </w:pPr>
      <w:bookmarkStart w:id="3757" w:name="_Toc470779898"/>
      <w:bookmarkStart w:id="3758" w:name="_Toc470780515"/>
      <w:bookmarkStart w:id="3759" w:name="_Toc470781028"/>
      <w:bookmarkStart w:id="3760" w:name="_Toc470784589"/>
      <w:bookmarkStart w:id="3761" w:name="_Toc470785126"/>
      <w:bookmarkStart w:id="3762" w:name="_Toc470791512"/>
      <w:bookmarkStart w:id="3763" w:name="_Toc472592282"/>
      <w:bookmarkStart w:id="3764" w:name="_Toc472593301"/>
      <w:bookmarkStart w:id="3765" w:name="_Toc479057087"/>
      <w:bookmarkStart w:id="3766" w:name="_Toc490066416"/>
      <w:bookmarkStart w:id="3767" w:name="_Toc31716101"/>
      <w:r w:rsidRPr="002C0D19">
        <w:rPr>
          <w:rFonts w:eastAsia="Calibri"/>
          <w:lang w:val="es-ES"/>
        </w:rPr>
        <w:t>RECHAZO DE OPERACIONES</w:t>
      </w:r>
      <w:bookmarkEnd w:id="3757"/>
      <w:bookmarkEnd w:id="3758"/>
      <w:bookmarkEnd w:id="3759"/>
      <w:bookmarkEnd w:id="3760"/>
      <w:bookmarkEnd w:id="3761"/>
      <w:bookmarkEnd w:id="3762"/>
      <w:bookmarkEnd w:id="3763"/>
      <w:bookmarkEnd w:id="3764"/>
      <w:bookmarkEnd w:id="3765"/>
      <w:bookmarkEnd w:id="3766"/>
      <w:bookmarkEnd w:id="3767"/>
    </w:p>
    <w:p w14:paraId="11AF18E3" w14:textId="77777777" w:rsidR="007968EC" w:rsidRPr="002C0D19" w:rsidRDefault="007968EC" w:rsidP="007968EC">
      <w:pPr>
        <w:jc w:val="both"/>
        <w:rPr>
          <w:rFonts w:ascii="Arial Narrow" w:eastAsia="Calibri" w:hAnsi="Arial Narrow"/>
          <w:b/>
          <w:color w:val="000000" w:themeColor="text1"/>
        </w:rPr>
      </w:pPr>
    </w:p>
    <w:p w14:paraId="055A7BEF" w14:textId="77777777" w:rsidR="007968EC" w:rsidRDefault="007968EC" w:rsidP="007968EC">
      <w:pPr>
        <w:pStyle w:val="ARTICULO0"/>
      </w:pPr>
      <w:bookmarkStart w:id="3768" w:name="_Toc470779899"/>
      <w:bookmarkStart w:id="3769" w:name="_Toc470780516"/>
      <w:bookmarkStart w:id="3770" w:name="_Toc470781029"/>
      <w:bookmarkStart w:id="3771" w:name="_Toc470784590"/>
      <w:bookmarkStart w:id="3772" w:name="_Toc470785127"/>
      <w:bookmarkStart w:id="3773" w:name="_Toc470791513"/>
      <w:bookmarkStart w:id="3774" w:name="_Toc472592283"/>
      <w:bookmarkStart w:id="3775" w:name="_Toc472593302"/>
      <w:bookmarkStart w:id="3776" w:name="_Toc31716102"/>
      <w:bookmarkStart w:id="3777" w:name="_Toc479057088"/>
      <w:bookmarkStart w:id="3778" w:name="_Toc490066417"/>
      <w:r w:rsidRPr="002C0D19">
        <w:lastRenderedPageBreak/>
        <w:t>Artículo 2.2.2.1. Rechazo de Operaciones provenientes de sistemas de negociación o de registro de Contratos de Futuros y Contratos de Opciones autorizados por la Cámara.</w:t>
      </w:r>
      <w:bookmarkEnd w:id="3768"/>
      <w:bookmarkEnd w:id="3769"/>
      <w:bookmarkEnd w:id="3770"/>
      <w:bookmarkEnd w:id="3771"/>
      <w:bookmarkEnd w:id="3772"/>
      <w:bookmarkEnd w:id="3773"/>
      <w:bookmarkEnd w:id="3774"/>
      <w:bookmarkEnd w:id="3775"/>
      <w:bookmarkEnd w:id="3776"/>
      <w:r w:rsidRPr="002C0D19">
        <w:t xml:space="preserve"> </w:t>
      </w:r>
    </w:p>
    <w:p w14:paraId="7B512D87" w14:textId="77777777" w:rsidR="007968EC" w:rsidRPr="000E6636" w:rsidRDefault="007968EC" w:rsidP="007968EC">
      <w:pPr>
        <w:autoSpaceDE w:val="0"/>
        <w:autoSpaceDN w:val="0"/>
        <w:jc w:val="both"/>
        <w:rPr>
          <w:rFonts w:ascii="Arial Narrow" w:hAnsi="Arial Narrow" w:cs="Arial"/>
          <w:b/>
          <w:bCs/>
          <w:color w:val="000000" w:themeColor="text1"/>
          <w:lang w:eastAsia="es-ES"/>
        </w:rPr>
      </w:pPr>
    </w:p>
    <w:p w14:paraId="744C8C9A" w14:textId="77777777" w:rsidR="007968EC" w:rsidRPr="002C0D19" w:rsidRDefault="007968EC" w:rsidP="007968EC">
      <w:pPr>
        <w:pStyle w:val="ANTECEDENTES"/>
        <w:rPr>
          <w:u w:val="single"/>
        </w:rPr>
      </w:pPr>
      <w:r w:rsidRPr="002C0D19">
        <w:t>(Este artículo fue modificado mediante Circular 6 del 14 de febrero de 2017, publicada en el Boletín Normativo No. 006 del 14 de febrero de 2017. Rige a partir del 15 de febrero de 2017.)</w:t>
      </w:r>
      <w:bookmarkEnd w:id="3777"/>
      <w:bookmarkEnd w:id="3778"/>
      <w:r w:rsidRPr="002C0D19">
        <w:t xml:space="preserve"> </w:t>
      </w:r>
    </w:p>
    <w:p w14:paraId="37BAD3D3" w14:textId="77777777" w:rsidR="007968EC" w:rsidRPr="002C0D19" w:rsidRDefault="007968EC" w:rsidP="007968EC">
      <w:pPr>
        <w:jc w:val="both"/>
        <w:rPr>
          <w:rFonts w:ascii="Arial Narrow" w:eastAsia="Calibri" w:hAnsi="Arial Narrow"/>
          <w:b/>
          <w:color w:val="000000" w:themeColor="text1"/>
        </w:rPr>
      </w:pPr>
    </w:p>
    <w:p w14:paraId="155D2471"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La Cámara rechazará las operaciones que provengan de un sistema de negociación o registro de operaciones, cuando se presente alguno de los siguientes problemas técnicos o causales:</w:t>
      </w:r>
    </w:p>
    <w:p w14:paraId="314BADE9" w14:textId="77777777" w:rsidR="007968EC" w:rsidRPr="002C0D19" w:rsidRDefault="007968EC" w:rsidP="007968EC">
      <w:pPr>
        <w:jc w:val="both"/>
        <w:rPr>
          <w:rFonts w:ascii="Arial Narrow" w:eastAsia="Calibri" w:hAnsi="Arial Narrow"/>
          <w:color w:val="000000" w:themeColor="text1"/>
        </w:rPr>
      </w:pPr>
    </w:p>
    <w:p w14:paraId="3F5B9996" w14:textId="77777777" w:rsidR="007968EC" w:rsidRPr="002C0D19" w:rsidRDefault="007968EC" w:rsidP="00DA7472">
      <w:pPr>
        <w:numPr>
          <w:ilvl w:val="6"/>
          <w:numId w:val="171"/>
        </w:numPr>
        <w:ind w:left="426" w:hanging="394"/>
        <w:jc w:val="both"/>
        <w:rPr>
          <w:rFonts w:ascii="Arial Narrow" w:eastAsia="Calibri" w:hAnsi="Arial Narrow"/>
          <w:b/>
          <w:color w:val="000000" w:themeColor="text1"/>
        </w:rPr>
      </w:pPr>
      <w:r w:rsidRPr="002C0D19">
        <w:rPr>
          <w:rFonts w:ascii="Arial Narrow" w:eastAsia="Calibri" w:hAnsi="Arial Narrow"/>
          <w:color w:val="000000" w:themeColor="text1"/>
        </w:rPr>
        <w:t>Que la operación haga referencia a un contrato o serie inexistente.</w:t>
      </w:r>
    </w:p>
    <w:p w14:paraId="381FF672" w14:textId="77777777" w:rsidR="007968EC" w:rsidRPr="002C0D19" w:rsidRDefault="007968EC" w:rsidP="00DA7472">
      <w:pPr>
        <w:numPr>
          <w:ilvl w:val="6"/>
          <w:numId w:val="171"/>
        </w:numPr>
        <w:ind w:left="426" w:hanging="394"/>
        <w:jc w:val="both"/>
        <w:rPr>
          <w:rFonts w:ascii="Arial Narrow" w:eastAsia="Calibri" w:hAnsi="Arial Narrow"/>
          <w:b/>
          <w:color w:val="000000" w:themeColor="text1"/>
        </w:rPr>
      </w:pPr>
      <w:r w:rsidRPr="002C0D19">
        <w:rPr>
          <w:rFonts w:ascii="Arial Narrow" w:eastAsia="Calibri" w:hAnsi="Arial Narrow"/>
          <w:color w:val="000000" w:themeColor="text1"/>
        </w:rPr>
        <w:t>Que la operación haga referencia a una cuenta inexistente.</w:t>
      </w:r>
    </w:p>
    <w:p w14:paraId="3D3E3CEB" w14:textId="77777777" w:rsidR="007968EC" w:rsidRPr="002C0D19" w:rsidRDefault="007968EC" w:rsidP="00DA7472">
      <w:pPr>
        <w:numPr>
          <w:ilvl w:val="6"/>
          <w:numId w:val="171"/>
        </w:numPr>
        <w:ind w:left="426" w:hanging="394"/>
        <w:jc w:val="both"/>
        <w:rPr>
          <w:rFonts w:ascii="Arial Narrow" w:eastAsia="Calibri" w:hAnsi="Arial Narrow"/>
          <w:b/>
          <w:color w:val="000000" w:themeColor="text1"/>
        </w:rPr>
      </w:pPr>
      <w:r w:rsidRPr="002C0D19">
        <w:rPr>
          <w:rFonts w:ascii="Arial Narrow" w:eastAsia="Calibri" w:hAnsi="Arial Narrow"/>
          <w:color w:val="000000" w:themeColor="text1"/>
        </w:rPr>
        <w:t>Que la identificación de las partes que perfeccionaron la operación no sea debidamente capturada en el sistema de negociación y registro.</w:t>
      </w:r>
    </w:p>
    <w:p w14:paraId="17B3E47B" w14:textId="77777777" w:rsidR="007968EC" w:rsidRPr="002C0D19" w:rsidRDefault="007968EC" w:rsidP="00DA7472">
      <w:pPr>
        <w:numPr>
          <w:ilvl w:val="6"/>
          <w:numId w:val="171"/>
        </w:numPr>
        <w:ind w:left="426" w:hanging="394"/>
        <w:jc w:val="both"/>
        <w:rPr>
          <w:rFonts w:ascii="Arial Narrow" w:eastAsia="Calibri" w:hAnsi="Arial Narrow"/>
          <w:b/>
          <w:color w:val="000000" w:themeColor="text1"/>
        </w:rPr>
      </w:pPr>
      <w:r w:rsidRPr="002C0D19">
        <w:rPr>
          <w:rFonts w:ascii="Arial Narrow" w:eastAsia="Calibri" w:hAnsi="Arial Narrow"/>
          <w:color w:val="000000" w:themeColor="text1"/>
        </w:rPr>
        <w:t>Que la operación pertenezca a un Miembro de la Cámara que aparezca como suspendido o excluido del mercado.</w:t>
      </w:r>
    </w:p>
    <w:p w14:paraId="6B5105BE" w14:textId="77777777" w:rsidR="007968EC" w:rsidRPr="002C0D19" w:rsidRDefault="007968EC" w:rsidP="00DA7472">
      <w:pPr>
        <w:numPr>
          <w:ilvl w:val="6"/>
          <w:numId w:val="171"/>
        </w:numPr>
        <w:ind w:left="426" w:hanging="394"/>
        <w:jc w:val="both"/>
        <w:rPr>
          <w:rFonts w:ascii="Arial Narrow" w:eastAsia="Calibri" w:hAnsi="Arial Narrow"/>
          <w:b/>
          <w:color w:val="000000" w:themeColor="text1"/>
        </w:rPr>
      </w:pPr>
      <w:r w:rsidRPr="002C0D19">
        <w:rPr>
          <w:rFonts w:ascii="Arial Narrow" w:eastAsia="Calibri" w:hAnsi="Arial Narrow"/>
          <w:color w:val="000000" w:themeColor="text1"/>
        </w:rPr>
        <w:t>Que exista un evento fortuito que impida la comunicación entre el sistema de negociación y registro y el sistema de Cámara.</w:t>
      </w:r>
    </w:p>
    <w:p w14:paraId="1E5639AB" w14:textId="77777777" w:rsidR="007968EC" w:rsidRPr="002C0D19" w:rsidRDefault="007968EC" w:rsidP="007968EC">
      <w:pPr>
        <w:jc w:val="both"/>
        <w:rPr>
          <w:rFonts w:ascii="Arial Narrow" w:eastAsia="Calibri" w:hAnsi="Arial Narrow"/>
          <w:b/>
          <w:color w:val="000000" w:themeColor="text1"/>
        </w:rPr>
      </w:pPr>
    </w:p>
    <w:p w14:paraId="6CEF2178" w14:textId="77777777" w:rsidR="007968EC" w:rsidRPr="002C0D19" w:rsidRDefault="007968EC" w:rsidP="007968EC">
      <w:pPr>
        <w:jc w:val="both"/>
        <w:rPr>
          <w:rFonts w:ascii="Arial Narrow" w:eastAsia="Calibri" w:hAnsi="Arial Narrow"/>
          <w:b/>
          <w:color w:val="000000" w:themeColor="text1"/>
        </w:rPr>
      </w:pPr>
      <w:r w:rsidRPr="002C0D19">
        <w:rPr>
          <w:rFonts w:ascii="Arial Narrow" w:eastAsia="Calibri" w:hAnsi="Arial Narrow"/>
          <w:color w:val="000000" w:themeColor="text1"/>
        </w:rPr>
        <w:t>Bajo la situación extraordinaria en la cual el administrador del sistema de negociación y registro decide la suspensión de funcionalidades de un Instrumento, se entenderá que dicho administrador es responsable de evitar la transmisión de operaciones a la Cámara a partir de tal suspensión; por lo tanto, en el caso en que la Cámara haya aceptado Operaciones negociadas o registradas durante el término de la suspensión, el administrador del sistema de negociación y registro bajo su responsabilidad procederá a anular dichas operaciones. La Cámara no será responsable en ningún caso por tales operaciones.</w:t>
      </w:r>
    </w:p>
    <w:p w14:paraId="2CE3FC52" w14:textId="77777777" w:rsidR="007968EC" w:rsidRPr="002C0D19" w:rsidRDefault="007968EC" w:rsidP="007968EC">
      <w:pPr>
        <w:jc w:val="both"/>
        <w:rPr>
          <w:rFonts w:ascii="Arial Narrow" w:eastAsia="Calibri" w:hAnsi="Arial Narrow"/>
          <w:b/>
          <w:color w:val="000000" w:themeColor="text1"/>
        </w:rPr>
      </w:pPr>
    </w:p>
    <w:p w14:paraId="415395DA" w14:textId="77777777" w:rsidR="007968EC" w:rsidRPr="002C0D19" w:rsidRDefault="007968EC" w:rsidP="007968EC">
      <w:pPr>
        <w:pStyle w:val="ARTICULO0"/>
      </w:pPr>
      <w:bookmarkStart w:id="3779" w:name="_Toc470779900"/>
      <w:bookmarkStart w:id="3780" w:name="_Toc470780517"/>
      <w:bookmarkStart w:id="3781" w:name="_Toc470781030"/>
      <w:bookmarkStart w:id="3782" w:name="_Toc470784591"/>
      <w:bookmarkStart w:id="3783" w:name="_Toc470785128"/>
      <w:bookmarkStart w:id="3784" w:name="_Toc470791514"/>
      <w:bookmarkStart w:id="3785" w:name="_Toc472592284"/>
      <w:bookmarkStart w:id="3786" w:name="_Toc472593303"/>
      <w:bookmarkStart w:id="3787" w:name="_Toc479057089"/>
      <w:bookmarkStart w:id="3788" w:name="_Toc490066418"/>
      <w:bookmarkStart w:id="3789" w:name="_Toc31716103"/>
      <w:r w:rsidRPr="002C0D19">
        <w:t>Artículo 2.2.2.2. Rechazo de Operaciones sobre Instrumentos Financieros Derivados No Estandarizados provenientes de sistemas de negociación y/o registro o Mecanismos de Contratación autorizados por la Cámara.</w:t>
      </w:r>
      <w:bookmarkEnd w:id="3779"/>
      <w:bookmarkEnd w:id="3780"/>
      <w:bookmarkEnd w:id="3781"/>
      <w:bookmarkEnd w:id="3782"/>
      <w:bookmarkEnd w:id="3783"/>
      <w:bookmarkEnd w:id="3784"/>
      <w:bookmarkEnd w:id="3785"/>
      <w:bookmarkEnd w:id="3786"/>
      <w:bookmarkEnd w:id="3787"/>
      <w:bookmarkEnd w:id="3788"/>
      <w:bookmarkEnd w:id="3789"/>
    </w:p>
    <w:p w14:paraId="3EA8B1A6" w14:textId="77777777" w:rsidR="007968EC" w:rsidRPr="002C0D19" w:rsidRDefault="007968EC" w:rsidP="007968EC">
      <w:pPr>
        <w:jc w:val="both"/>
        <w:rPr>
          <w:rFonts w:ascii="Arial Narrow" w:eastAsia="Calibri" w:hAnsi="Arial Narrow"/>
          <w:b/>
          <w:color w:val="000000" w:themeColor="text1"/>
        </w:rPr>
      </w:pPr>
    </w:p>
    <w:p w14:paraId="68B404E5" w14:textId="77777777" w:rsidR="007968EC" w:rsidRPr="002C0D19" w:rsidRDefault="007968EC" w:rsidP="007968EC">
      <w:pPr>
        <w:jc w:val="both"/>
        <w:rPr>
          <w:rFonts w:ascii="Arial Narrow" w:eastAsia="Calibri" w:hAnsi="Arial Narrow"/>
          <w:b/>
          <w:color w:val="000000" w:themeColor="text1"/>
        </w:rPr>
      </w:pPr>
      <w:r w:rsidRPr="002C0D19">
        <w:rPr>
          <w:rFonts w:ascii="Arial Narrow" w:eastAsia="Calibri" w:hAnsi="Arial Narrow"/>
          <w:color w:val="000000" w:themeColor="text1"/>
        </w:rPr>
        <w:t>La Cámara rechazará las operaciones sobre Instrumentos Financieros Derivados No Estandarizados que provengan de un sistema de negociación y/o registro de Operaciones o Mecanismo de Contratación, cuando se presente alguno de los siguientes problemas de tipo operativo, tecnológico o de riesgo.</w:t>
      </w:r>
    </w:p>
    <w:p w14:paraId="5D2CABFE" w14:textId="77777777" w:rsidR="007968EC" w:rsidRPr="002C0D19" w:rsidRDefault="007968EC" w:rsidP="007968EC">
      <w:pPr>
        <w:jc w:val="both"/>
        <w:rPr>
          <w:rFonts w:ascii="Arial Narrow" w:eastAsia="Calibri" w:hAnsi="Arial Narrow"/>
          <w:b/>
          <w:color w:val="000000" w:themeColor="text1"/>
        </w:rPr>
      </w:pPr>
    </w:p>
    <w:p w14:paraId="15CF1135" w14:textId="77777777" w:rsidR="007968EC" w:rsidRPr="002C0D19" w:rsidRDefault="007968EC" w:rsidP="00DA7472">
      <w:pPr>
        <w:numPr>
          <w:ilvl w:val="0"/>
          <w:numId w:val="172"/>
        </w:numPr>
        <w:ind w:left="426" w:hanging="426"/>
        <w:contextualSpacing/>
        <w:jc w:val="both"/>
        <w:rPr>
          <w:rFonts w:ascii="Arial Narrow" w:eastAsia="Calibri" w:hAnsi="Arial Narrow"/>
          <w:b/>
          <w:color w:val="000000" w:themeColor="text1"/>
        </w:rPr>
      </w:pPr>
      <w:r w:rsidRPr="002C0D19">
        <w:rPr>
          <w:rFonts w:ascii="Arial Narrow" w:eastAsia="Calibri" w:hAnsi="Arial Narrow"/>
          <w:color w:val="000000" w:themeColor="text1"/>
        </w:rPr>
        <w:t xml:space="preserve">Que una parte o las dos partes que celebren la Operación no son Miembros de la Cámara o no se encuentran en estado Activo. Cuando se trate de Operaciones celebradas por los Miembros con sus Terceros como contrapartes, la Cámara rechazará las Operaciones cuando el Miembro no haya habilitado las Cuentas de Terceros en el Sistema de la Cámara para el registro de este tipo de Operaciones, de conformidad con lo dispuesto en el artículo 2.1.2.2. de la presente Circular.  </w:t>
      </w:r>
    </w:p>
    <w:p w14:paraId="43D3E13D" w14:textId="77777777" w:rsidR="007968EC" w:rsidRPr="002C0D19" w:rsidRDefault="007968EC" w:rsidP="007968EC">
      <w:pPr>
        <w:ind w:left="426" w:hanging="426"/>
        <w:contextualSpacing/>
        <w:jc w:val="both"/>
        <w:rPr>
          <w:rFonts w:ascii="Arial Narrow" w:eastAsia="Calibri" w:hAnsi="Arial Narrow"/>
          <w:b/>
          <w:color w:val="000000" w:themeColor="text1"/>
        </w:rPr>
      </w:pPr>
    </w:p>
    <w:p w14:paraId="3274C9D6" w14:textId="77777777" w:rsidR="007968EC" w:rsidRPr="002C0D19" w:rsidRDefault="007968EC" w:rsidP="00DA7472">
      <w:pPr>
        <w:numPr>
          <w:ilvl w:val="0"/>
          <w:numId w:val="172"/>
        </w:numPr>
        <w:ind w:left="426" w:hanging="426"/>
        <w:contextualSpacing/>
        <w:jc w:val="both"/>
        <w:rPr>
          <w:rFonts w:ascii="Arial Narrow" w:eastAsia="Calibri" w:hAnsi="Arial Narrow"/>
          <w:b/>
          <w:color w:val="000000" w:themeColor="text1"/>
        </w:rPr>
      </w:pPr>
      <w:r w:rsidRPr="002C0D19">
        <w:rPr>
          <w:rFonts w:ascii="Arial Narrow" w:eastAsia="Calibri" w:hAnsi="Arial Narrow"/>
          <w:color w:val="000000" w:themeColor="text1"/>
        </w:rPr>
        <w:t>Que la Operación pertenezca por lo menos a un Miembro de la Cámara que aparezca como suspendido o excluido del mercado.</w:t>
      </w:r>
    </w:p>
    <w:p w14:paraId="456FE711" w14:textId="77777777" w:rsidR="007968EC" w:rsidRPr="002C0D19" w:rsidRDefault="007968EC" w:rsidP="007968EC">
      <w:pPr>
        <w:ind w:left="426" w:hanging="426"/>
        <w:contextualSpacing/>
        <w:jc w:val="both"/>
        <w:rPr>
          <w:rFonts w:ascii="Arial Narrow" w:eastAsia="Calibri" w:hAnsi="Arial Narrow"/>
          <w:b/>
          <w:color w:val="000000" w:themeColor="text1"/>
        </w:rPr>
      </w:pPr>
    </w:p>
    <w:p w14:paraId="71004639" w14:textId="77777777" w:rsidR="007968EC" w:rsidRPr="002C0D19" w:rsidRDefault="007968EC" w:rsidP="00DA7472">
      <w:pPr>
        <w:numPr>
          <w:ilvl w:val="0"/>
          <w:numId w:val="172"/>
        </w:numPr>
        <w:ind w:left="426" w:hanging="426"/>
        <w:contextualSpacing/>
        <w:jc w:val="both"/>
        <w:rPr>
          <w:rFonts w:ascii="Arial Narrow" w:eastAsia="Calibri" w:hAnsi="Arial Narrow"/>
          <w:b/>
          <w:color w:val="000000" w:themeColor="text1"/>
        </w:rPr>
      </w:pPr>
      <w:r w:rsidRPr="002C0D19">
        <w:rPr>
          <w:rFonts w:ascii="Arial Narrow" w:eastAsia="Calibri" w:hAnsi="Arial Narrow"/>
          <w:color w:val="000000" w:themeColor="text1"/>
        </w:rPr>
        <w:t>Que él o los Miembros que celebran la Operación no cuenten con los límites y Garantías disponibles.</w:t>
      </w:r>
    </w:p>
    <w:p w14:paraId="3292EAC0" w14:textId="77777777" w:rsidR="007968EC" w:rsidRPr="002C0D19" w:rsidRDefault="007968EC" w:rsidP="007968EC">
      <w:pPr>
        <w:ind w:left="426" w:hanging="426"/>
        <w:contextualSpacing/>
        <w:jc w:val="both"/>
        <w:rPr>
          <w:rFonts w:ascii="Arial Narrow" w:eastAsia="Calibri" w:hAnsi="Arial Narrow"/>
          <w:b/>
          <w:color w:val="000000" w:themeColor="text1"/>
        </w:rPr>
      </w:pPr>
    </w:p>
    <w:p w14:paraId="49448CE9" w14:textId="77777777" w:rsidR="007968EC" w:rsidRPr="002C0D19" w:rsidRDefault="007968EC" w:rsidP="00DA7472">
      <w:pPr>
        <w:numPr>
          <w:ilvl w:val="0"/>
          <w:numId w:val="172"/>
        </w:numPr>
        <w:ind w:left="426" w:hanging="426"/>
        <w:contextualSpacing/>
        <w:jc w:val="both"/>
        <w:rPr>
          <w:rFonts w:ascii="Arial Narrow" w:eastAsia="Calibri" w:hAnsi="Arial Narrow"/>
          <w:b/>
          <w:color w:val="000000" w:themeColor="text1"/>
        </w:rPr>
      </w:pPr>
      <w:r w:rsidRPr="002C0D19">
        <w:rPr>
          <w:rFonts w:ascii="Arial Narrow" w:eastAsia="Calibri" w:hAnsi="Arial Narrow"/>
          <w:color w:val="000000" w:themeColor="text1"/>
        </w:rPr>
        <w:t>Que las Operaciones Susceptibles de ser Aceptadas no cumplen con los filtros de volumen previstos por la Cámara para el respectivo Instrumento Financiero Derivado No Estandarizado, cuando así lo establezca la Circular Única de Cámara para dicho Instrumento.</w:t>
      </w:r>
    </w:p>
    <w:p w14:paraId="65DE9338" w14:textId="77777777" w:rsidR="007968EC" w:rsidRPr="002C0D19" w:rsidRDefault="007968EC" w:rsidP="007968EC">
      <w:pPr>
        <w:ind w:left="426" w:hanging="426"/>
        <w:contextualSpacing/>
        <w:jc w:val="both"/>
        <w:rPr>
          <w:rFonts w:ascii="Arial Narrow" w:eastAsia="Calibri" w:hAnsi="Arial Narrow"/>
          <w:b/>
          <w:color w:val="000000" w:themeColor="text1"/>
        </w:rPr>
      </w:pPr>
    </w:p>
    <w:p w14:paraId="26C2BD9C" w14:textId="77777777" w:rsidR="007968EC" w:rsidRPr="002C0D19" w:rsidRDefault="007968EC" w:rsidP="00DA7472">
      <w:pPr>
        <w:numPr>
          <w:ilvl w:val="0"/>
          <w:numId w:val="172"/>
        </w:numPr>
        <w:ind w:left="426" w:hanging="426"/>
        <w:contextualSpacing/>
        <w:jc w:val="both"/>
        <w:rPr>
          <w:rFonts w:ascii="Arial Narrow" w:eastAsia="Calibri" w:hAnsi="Arial Narrow"/>
          <w:b/>
          <w:color w:val="000000" w:themeColor="text1"/>
        </w:rPr>
      </w:pPr>
      <w:r w:rsidRPr="002C0D19">
        <w:rPr>
          <w:rFonts w:ascii="Arial Narrow" w:eastAsia="Calibri" w:hAnsi="Arial Narrow"/>
          <w:color w:val="000000" w:themeColor="text1"/>
        </w:rPr>
        <w:t>Que las Operaciones no provengan de un sistema de negociación, de un sistema de registro de operaciones o Mecanismo de Contratación autorizado por la Cámara.</w:t>
      </w:r>
    </w:p>
    <w:p w14:paraId="17F0E397" w14:textId="77777777" w:rsidR="007968EC" w:rsidRPr="002C0D19" w:rsidRDefault="007968EC" w:rsidP="007968EC">
      <w:pPr>
        <w:ind w:left="426" w:hanging="426"/>
        <w:contextualSpacing/>
        <w:jc w:val="both"/>
        <w:rPr>
          <w:rFonts w:ascii="Arial Narrow" w:eastAsia="Calibri" w:hAnsi="Arial Narrow"/>
          <w:b/>
          <w:color w:val="000000" w:themeColor="text1"/>
        </w:rPr>
      </w:pPr>
    </w:p>
    <w:p w14:paraId="0F57CA23" w14:textId="77777777" w:rsidR="007968EC" w:rsidRPr="002C0D19" w:rsidRDefault="007968EC" w:rsidP="00DA7472">
      <w:pPr>
        <w:numPr>
          <w:ilvl w:val="0"/>
          <w:numId w:val="172"/>
        </w:numPr>
        <w:ind w:left="426" w:hanging="426"/>
        <w:contextualSpacing/>
        <w:jc w:val="both"/>
        <w:rPr>
          <w:rFonts w:ascii="Arial Narrow" w:eastAsia="Calibri" w:hAnsi="Arial Narrow"/>
          <w:b/>
          <w:color w:val="000000" w:themeColor="text1"/>
        </w:rPr>
      </w:pPr>
      <w:r w:rsidRPr="002C0D19">
        <w:rPr>
          <w:rFonts w:ascii="Arial Narrow" w:eastAsia="Calibri" w:hAnsi="Arial Narrow"/>
          <w:color w:val="000000" w:themeColor="text1"/>
        </w:rPr>
        <w:t>Que la información transmitida por los sistemas de negociación o de registro o Mecanismo de Contratación, incluidos los Términos Económicos, no sea la exigida por la Cámara para que se entienda confirmada la Operación o estos no identifiquen debidamente las partes de la Operación.</w:t>
      </w:r>
    </w:p>
    <w:p w14:paraId="35F24F9F" w14:textId="77777777" w:rsidR="007968EC" w:rsidRPr="002C0D19" w:rsidRDefault="007968EC" w:rsidP="007968EC">
      <w:pPr>
        <w:ind w:left="426" w:hanging="426"/>
        <w:contextualSpacing/>
        <w:jc w:val="both"/>
        <w:rPr>
          <w:rFonts w:ascii="Arial Narrow" w:eastAsia="Calibri" w:hAnsi="Arial Narrow"/>
          <w:b/>
          <w:color w:val="000000" w:themeColor="text1"/>
        </w:rPr>
      </w:pPr>
    </w:p>
    <w:p w14:paraId="2BE5555D" w14:textId="77777777" w:rsidR="007968EC" w:rsidRPr="002C0D19" w:rsidRDefault="007968EC" w:rsidP="00DA7472">
      <w:pPr>
        <w:numPr>
          <w:ilvl w:val="0"/>
          <w:numId w:val="172"/>
        </w:numPr>
        <w:ind w:left="426" w:hanging="426"/>
        <w:contextualSpacing/>
        <w:jc w:val="both"/>
        <w:rPr>
          <w:rFonts w:ascii="Arial Narrow" w:eastAsia="Calibri" w:hAnsi="Arial Narrow"/>
          <w:b/>
          <w:color w:val="000000" w:themeColor="text1"/>
        </w:rPr>
      </w:pPr>
      <w:r w:rsidRPr="002C0D19">
        <w:rPr>
          <w:rFonts w:ascii="Arial Narrow" w:eastAsia="Calibri" w:hAnsi="Arial Narrow"/>
          <w:color w:val="000000" w:themeColor="text1"/>
        </w:rPr>
        <w:t>Que la Operación haga referencia a una fecha de vencimiento no aceptada para el correspondiente Instrumento Financiero Derivado No Estandarizado.</w:t>
      </w:r>
    </w:p>
    <w:p w14:paraId="18089905" w14:textId="77777777" w:rsidR="007968EC" w:rsidRPr="002C0D19" w:rsidRDefault="007968EC" w:rsidP="007968EC">
      <w:pPr>
        <w:ind w:left="426" w:hanging="426"/>
        <w:contextualSpacing/>
        <w:jc w:val="both"/>
        <w:rPr>
          <w:rFonts w:ascii="Arial Narrow" w:eastAsia="Calibri" w:hAnsi="Arial Narrow"/>
          <w:b/>
          <w:color w:val="000000" w:themeColor="text1"/>
        </w:rPr>
      </w:pPr>
    </w:p>
    <w:p w14:paraId="1CE30C31" w14:textId="77777777" w:rsidR="007968EC" w:rsidRPr="002C0D19" w:rsidRDefault="007968EC" w:rsidP="00DA7472">
      <w:pPr>
        <w:numPr>
          <w:ilvl w:val="0"/>
          <w:numId w:val="172"/>
        </w:numPr>
        <w:ind w:left="426" w:hanging="426"/>
        <w:contextualSpacing/>
        <w:jc w:val="both"/>
        <w:rPr>
          <w:rFonts w:ascii="Arial Narrow" w:eastAsia="Calibri" w:hAnsi="Arial Narrow"/>
          <w:b/>
          <w:color w:val="000000" w:themeColor="text1"/>
        </w:rPr>
      </w:pPr>
      <w:r w:rsidRPr="002C0D19">
        <w:rPr>
          <w:rFonts w:ascii="Arial Narrow" w:eastAsia="Calibri" w:hAnsi="Arial Narrow"/>
          <w:color w:val="000000" w:themeColor="text1"/>
        </w:rPr>
        <w:t>Que no se cumpla con los controles de riesgo específicos que defina la Cámara para cada tipo de Instrumento Financiero Derivado No Estandarizado.</w:t>
      </w:r>
    </w:p>
    <w:p w14:paraId="4D577031" w14:textId="77777777" w:rsidR="007968EC" w:rsidRPr="002C0D19" w:rsidRDefault="007968EC" w:rsidP="007968EC">
      <w:pPr>
        <w:ind w:left="426" w:hanging="426"/>
        <w:contextualSpacing/>
        <w:jc w:val="both"/>
        <w:rPr>
          <w:rFonts w:ascii="Arial Narrow" w:eastAsia="Calibri" w:hAnsi="Arial Narrow"/>
          <w:b/>
          <w:color w:val="000000" w:themeColor="text1"/>
        </w:rPr>
      </w:pPr>
    </w:p>
    <w:p w14:paraId="2E77F114" w14:textId="77777777" w:rsidR="007968EC" w:rsidRPr="002C0D19" w:rsidRDefault="007968EC" w:rsidP="00DA7472">
      <w:pPr>
        <w:numPr>
          <w:ilvl w:val="0"/>
          <w:numId w:val="172"/>
        </w:numPr>
        <w:ind w:left="426" w:hanging="426"/>
        <w:contextualSpacing/>
        <w:jc w:val="both"/>
        <w:rPr>
          <w:rFonts w:ascii="Arial Narrow" w:eastAsia="Calibri" w:hAnsi="Arial Narrow"/>
          <w:b/>
          <w:color w:val="000000" w:themeColor="text1"/>
        </w:rPr>
      </w:pPr>
      <w:r w:rsidRPr="002C0D19">
        <w:rPr>
          <w:rFonts w:ascii="Arial Narrow" w:eastAsia="Calibri" w:hAnsi="Arial Narrow"/>
          <w:color w:val="000000" w:themeColor="text1"/>
        </w:rPr>
        <w:t xml:space="preserve">Que exista un evento fortuito que impida la comunicación entre el sistema de negociación y/o registro, o Mecanismo de Contratación y el Sistema de Cámara. </w:t>
      </w:r>
    </w:p>
    <w:p w14:paraId="4A68479C" w14:textId="77777777" w:rsidR="007968EC" w:rsidRPr="002C0D19" w:rsidRDefault="007968EC" w:rsidP="007968EC">
      <w:pPr>
        <w:ind w:left="426" w:hanging="426"/>
        <w:jc w:val="both"/>
        <w:rPr>
          <w:rFonts w:ascii="Arial Narrow" w:eastAsia="Calibri" w:hAnsi="Arial Narrow"/>
          <w:b/>
          <w:color w:val="000000" w:themeColor="text1"/>
        </w:rPr>
      </w:pPr>
    </w:p>
    <w:p w14:paraId="1D90001E" w14:textId="77777777" w:rsidR="007968EC" w:rsidRPr="002C0D19" w:rsidRDefault="007968EC" w:rsidP="007968EC">
      <w:pPr>
        <w:jc w:val="both"/>
        <w:rPr>
          <w:rFonts w:ascii="Arial Narrow" w:eastAsia="Calibri" w:hAnsi="Arial Narrow"/>
          <w:b/>
          <w:color w:val="000000" w:themeColor="text1"/>
        </w:rPr>
      </w:pPr>
      <w:r w:rsidRPr="002C0D19">
        <w:rPr>
          <w:rFonts w:ascii="Arial Narrow" w:eastAsia="Calibri" w:hAnsi="Arial Narrow"/>
          <w:color w:val="000000" w:themeColor="text1"/>
        </w:rPr>
        <w:t xml:space="preserve">Las Operaciones rechazadas por una o más de las causales anteriores serán informadas por la Cámara, en los casos que corresponda, al sistema de negociación o sistema de registro de Operaciones o Mecanismo de Contratación y por lo tanto, éstas se seguirán rigiendo por el contrato o acuerdo original según se establece en el artículo 3.2.7 del Reglamento de Funcionamiento de la Cámara. </w:t>
      </w:r>
    </w:p>
    <w:p w14:paraId="38614D93" w14:textId="77777777" w:rsidR="007968EC" w:rsidRPr="002C0D19" w:rsidRDefault="007968EC" w:rsidP="007968EC">
      <w:pPr>
        <w:jc w:val="both"/>
        <w:rPr>
          <w:rFonts w:ascii="Arial Narrow" w:eastAsia="Calibri" w:hAnsi="Arial Narrow"/>
          <w:b/>
          <w:color w:val="000000" w:themeColor="text1"/>
        </w:rPr>
      </w:pPr>
    </w:p>
    <w:p w14:paraId="07E9CF9B" w14:textId="77777777" w:rsidR="007968EC" w:rsidRPr="00165180" w:rsidRDefault="007968EC" w:rsidP="007968EC">
      <w:pPr>
        <w:jc w:val="both"/>
        <w:rPr>
          <w:rFonts w:ascii="Arial Narrow" w:hAnsi="Arial Narrow" w:cs="Arial"/>
          <w:color w:val="000000" w:themeColor="text1"/>
          <w:lang w:eastAsia="es-ES"/>
        </w:rPr>
      </w:pPr>
      <w:bookmarkStart w:id="3790" w:name="_Toc470775597"/>
      <w:bookmarkStart w:id="3791" w:name="_Toc470779901"/>
      <w:bookmarkStart w:id="3792" w:name="_Toc470780518"/>
      <w:bookmarkStart w:id="3793" w:name="_Toc470781031"/>
      <w:bookmarkStart w:id="3794" w:name="_Toc470784592"/>
      <w:bookmarkStart w:id="3795" w:name="_Toc470785129"/>
      <w:bookmarkStart w:id="3796" w:name="_Toc470791515"/>
      <w:bookmarkStart w:id="3797" w:name="_Toc471831723"/>
      <w:bookmarkStart w:id="3798" w:name="_Toc490066419"/>
      <w:bookmarkStart w:id="3799" w:name="_Toc490079194"/>
      <w:r w:rsidRPr="00165180">
        <w:rPr>
          <w:rFonts w:ascii="Arial Narrow" w:hAnsi="Arial Narrow" w:cs="Arial"/>
          <w:color w:val="000000" w:themeColor="text1"/>
          <w:lang w:eastAsia="es-ES"/>
        </w:rPr>
        <w:t>La Cámara no será responsable en ningún caso por tales Operaciones.</w:t>
      </w:r>
      <w:bookmarkEnd w:id="3790"/>
      <w:bookmarkEnd w:id="3791"/>
      <w:bookmarkEnd w:id="3792"/>
      <w:bookmarkEnd w:id="3793"/>
      <w:bookmarkEnd w:id="3794"/>
      <w:bookmarkEnd w:id="3795"/>
      <w:bookmarkEnd w:id="3796"/>
      <w:bookmarkEnd w:id="3797"/>
      <w:bookmarkEnd w:id="3798"/>
      <w:bookmarkEnd w:id="3799"/>
    </w:p>
    <w:p w14:paraId="2FCE2090" w14:textId="77777777" w:rsidR="007968EC" w:rsidRPr="002C0D19" w:rsidRDefault="007968EC" w:rsidP="007968EC">
      <w:pPr>
        <w:pStyle w:val="ANTECEDENTES"/>
        <w:rPr>
          <w:rFonts w:eastAsia="Calibri"/>
        </w:rPr>
      </w:pPr>
    </w:p>
    <w:p w14:paraId="11C3F115" w14:textId="77777777" w:rsidR="007968EC" w:rsidRPr="002C0D19" w:rsidRDefault="007968EC" w:rsidP="007968EC">
      <w:pPr>
        <w:pStyle w:val="TTULO"/>
        <w:rPr>
          <w:rFonts w:eastAsia="Calibri"/>
          <w:lang w:val="es-ES"/>
        </w:rPr>
      </w:pPr>
      <w:bookmarkStart w:id="3800" w:name="_Toc470779902"/>
      <w:bookmarkStart w:id="3801" w:name="_Toc470780519"/>
      <w:bookmarkStart w:id="3802" w:name="_Toc470781032"/>
      <w:bookmarkStart w:id="3803" w:name="_Toc470784593"/>
      <w:bookmarkStart w:id="3804" w:name="_Toc470785130"/>
      <w:bookmarkStart w:id="3805" w:name="_Toc470791516"/>
      <w:bookmarkStart w:id="3806" w:name="_Toc472592285"/>
      <w:bookmarkStart w:id="3807" w:name="_Toc472593304"/>
      <w:bookmarkStart w:id="3808" w:name="_Toc479057090"/>
      <w:bookmarkStart w:id="3809" w:name="_Toc490066420"/>
      <w:bookmarkStart w:id="3810" w:name="_Toc31716104"/>
      <w:r w:rsidRPr="002C0D19">
        <w:rPr>
          <w:rFonts w:eastAsia="Calibri"/>
          <w:lang w:val="es-ES"/>
        </w:rPr>
        <w:t>CAPÍTULO TERCERO</w:t>
      </w:r>
      <w:bookmarkEnd w:id="3800"/>
      <w:bookmarkEnd w:id="3801"/>
      <w:bookmarkEnd w:id="3802"/>
      <w:bookmarkEnd w:id="3803"/>
      <w:bookmarkEnd w:id="3804"/>
      <w:bookmarkEnd w:id="3805"/>
      <w:bookmarkEnd w:id="3806"/>
      <w:bookmarkEnd w:id="3807"/>
      <w:bookmarkEnd w:id="3808"/>
      <w:bookmarkEnd w:id="3809"/>
      <w:bookmarkEnd w:id="3810"/>
    </w:p>
    <w:p w14:paraId="25047205" w14:textId="77777777" w:rsidR="007968EC" w:rsidRPr="002C0D19" w:rsidRDefault="007968EC" w:rsidP="007968EC">
      <w:pPr>
        <w:pStyle w:val="ANTECEDENTES"/>
        <w:rPr>
          <w:rFonts w:eastAsia="Calibri"/>
        </w:rPr>
      </w:pPr>
    </w:p>
    <w:p w14:paraId="3696F6EB" w14:textId="77777777" w:rsidR="007968EC" w:rsidRPr="002C0D19" w:rsidRDefault="007968EC" w:rsidP="007968EC">
      <w:pPr>
        <w:pStyle w:val="TTULO"/>
        <w:rPr>
          <w:rFonts w:eastAsia="Calibri"/>
          <w:lang w:val="es-ES"/>
        </w:rPr>
      </w:pPr>
      <w:bookmarkStart w:id="3811" w:name="_Toc470779903"/>
      <w:bookmarkStart w:id="3812" w:name="_Toc470780520"/>
      <w:bookmarkStart w:id="3813" w:name="_Toc470781033"/>
      <w:bookmarkStart w:id="3814" w:name="_Toc470784594"/>
      <w:bookmarkStart w:id="3815" w:name="_Toc470785131"/>
      <w:bookmarkStart w:id="3816" w:name="_Toc470791517"/>
      <w:bookmarkStart w:id="3817" w:name="_Toc472592286"/>
      <w:bookmarkStart w:id="3818" w:name="_Toc472593305"/>
      <w:bookmarkStart w:id="3819" w:name="_Toc479057091"/>
      <w:bookmarkStart w:id="3820" w:name="_Toc490066421"/>
      <w:bookmarkStart w:id="3821" w:name="_Toc31716105"/>
      <w:r w:rsidRPr="002C0D19">
        <w:rPr>
          <w:rFonts w:eastAsia="Calibri"/>
          <w:lang w:val="es-ES"/>
        </w:rPr>
        <w:t>ANULACIÓN Y CORRECCIÓN DE OPERACIONES</w:t>
      </w:r>
      <w:bookmarkEnd w:id="3811"/>
      <w:bookmarkEnd w:id="3812"/>
      <w:bookmarkEnd w:id="3813"/>
      <w:bookmarkEnd w:id="3814"/>
      <w:bookmarkEnd w:id="3815"/>
      <w:bookmarkEnd w:id="3816"/>
      <w:bookmarkEnd w:id="3817"/>
      <w:bookmarkEnd w:id="3818"/>
      <w:bookmarkEnd w:id="3819"/>
      <w:bookmarkEnd w:id="3820"/>
      <w:bookmarkEnd w:id="3821"/>
    </w:p>
    <w:p w14:paraId="588B6BB0" w14:textId="77777777" w:rsidR="007968EC" w:rsidRPr="002C0D19" w:rsidRDefault="007968EC" w:rsidP="007968EC">
      <w:pPr>
        <w:pStyle w:val="ANTECEDENTES"/>
        <w:rPr>
          <w:rFonts w:eastAsia="Calibri"/>
        </w:rPr>
      </w:pPr>
    </w:p>
    <w:p w14:paraId="77AF225D" w14:textId="77777777" w:rsidR="007968EC" w:rsidRDefault="007968EC" w:rsidP="007968EC">
      <w:pPr>
        <w:pStyle w:val="ARTICULO0"/>
        <w:rPr>
          <w:rFonts w:eastAsia="Calibri" w:cs="Times New Roman"/>
        </w:rPr>
      </w:pPr>
      <w:bookmarkStart w:id="3822" w:name="_Toc470779904"/>
      <w:bookmarkStart w:id="3823" w:name="_Toc470780521"/>
      <w:bookmarkStart w:id="3824" w:name="_Toc470781034"/>
      <w:bookmarkStart w:id="3825" w:name="_Toc470784595"/>
      <w:bookmarkStart w:id="3826" w:name="_Toc470785132"/>
      <w:bookmarkStart w:id="3827" w:name="_Toc470791518"/>
      <w:bookmarkStart w:id="3828" w:name="_Toc472592287"/>
      <w:bookmarkStart w:id="3829" w:name="_Toc472593306"/>
      <w:bookmarkStart w:id="3830" w:name="_Toc31716106"/>
      <w:bookmarkStart w:id="3831" w:name="_Toc479057092"/>
      <w:bookmarkStart w:id="3832" w:name="_Toc490066422"/>
      <w:r w:rsidRPr="002C0D19">
        <w:t>Artículo 2.2.3.1. Procedimiento de anulación de Operaciones</w:t>
      </w:r>
      <w:r w:rsidRPr="002C0D19">
        <w:rPr>
          <w:rFonts w:eastAsia="Calibri" w:cs="Times New Roman"/>
        </w:rPr>
        <w:t>.</w:t>
      </w:r>
      <w:bookmarkEnd w:id="3822"/>
      <w:bookmarkEnd w:id="3823"/>
      <w:bookmarkEnd w:id="3824"/>
      <w:bookmarkEnd w:id="3825"/>
      <w:bookmarkEnd w:id="3826"/>
      <w:bookmarkEnd w:id="3827"/>
      <w:bookmarkEnd w:id="3828"/>
      <w:bookmarkEnd w:id="3829"/>
      <w:bookmarkEnd w:id="3830"/>
      <w:r w:rsidRPr="002C0D19">
        <w:rPr>
          <w:rFonts w:eastAsia="Calibri" w:cs="Times New Roman"/>
        </w:rPr>
        <w:t xml:space="preserve"> </w:t>
      </w:r>
    </w:p>
    <w:p w14:paraId="14C64B6A" w14:textId="77777777" w:rsidR="007968EC" w:rsidRDefault="007968EC" w:rsidP="007968EC">
      <w:pPr>
        <w:pStyle w:val="ANTECEDENTES"/>
        <w:rPr>
          <w:rFonts w:eastAsia="Calibri"/>
        </w:rPr>
      </w:pPr>
    </w:p>
    <w:p w14:paraId="1647DE47" w14:textId="77777777" w:rsidR="007968EC" w:rsidRPr="002C0D19" w:rsidRDefault="007968EC" w:rsidP="007968EC">
      <w:pPr>
        <w:pStyle w:val="ANTECEDENTES"/>
        <w:rPr>
          <w:rFonts w:eastAsia="Calibri"/>
        </w:rPr>
      </w:pPr>
      <w:r w:rsidRPr="002C0D19">
        <w:t>(Este artículo fue modificado mediante Circular 6 del 14 de febrero de 2017, publicada en el Boletín Normativo No. 006 del 14 de febrero de 2017. Rige a partir del 15 de febrero de 2017.)</w:t>
      </w:r>
      <w:bookmarkEnd w:id="3831"/>
      <w:bookmarkEnd w:id="3832"/>
      <w:r w:rsidRPr="002C0D19">
        <w:t xml:space="preserve"> </w:t>
      </w:r>
    </w:p>
    <w:p w14:paraId="5E27092E" w14:textId="77777777" w:rsidR="007968EC" w:rsidRPr="00165180" w:rsidRDefault="007968EC" w:rsidP="007968EC">
      <w:pPr>
        <w:jc w:val="both"/>
        <w:rPr>
          <w:rFonts w:ascii="Arial Narrow" w:hAnsi="Arial Narrow" w:cs="Arial"/>
          <w:color w:val="000000" w:themeColor="text1"/>
          <w:lang w:eastAsia="es-ES"/>
        </w:rPr>
      </w:pPr>
    </w:p>
    <w:p w14:paraId="1A981D2E" w14:textId="77777777" w:rsidR="007968EC" w:rsidRPr="00165180" w:rsidRDefault="007968EC" w:rsidP="007968EC">
      <w:pPr>
        <w:jc w:val="both"/>
        <w:rPr>
          <w:rFonts w:ascii="Arial Narrow" w:hAnsi="Arial Narrow" w:cs="Arial"/>
          <w:color w:val="000000" w:themeColor="text1"/>
          <w:lang w:eastAsia="es-ES"/>
        </w:rPr>
      </w:pPr>
      <w:bookmarkStart w:id="3833" w:name="_Toc470775601"/>
      <w:bookmarkStart w:id="3834" w:name="_Toc470779905"/>
      <w:bookmarkStart w:id="3835" w:name="_Toc470780522"/>
      <w:bookmarkStart w:id="3836" w:name="_Toc470781035"/>
      <w:bookmarkStart w:id="3837" w:name="_Toc470784596"/>
      <w:bookmarkStart w:id="3838" w:name="_Toc470785133"/>
      <w:bookmarkStart w:id="3839" w:name="_Toc470791519"/>
      <w:bookmarkStart w:id="3840" w:name="_Toc471831727"/>
      <w:bookmarkStart w:id="3841" w:name="_Toc490066423"/>
      <w:bookmarkStart w:id="3842" w:name="_Toc490079198"/>
      <w:r w:rsidRPr="00165180">
        <w:rPr>
          <w:rFonts w:ascii="Arial Narrow" w:hAnsi="Arial Narrow" w:cs="Arial"/>
          <w:color w:val="000000" w:themeColor="text1"/>
          <w:lang w:eastAsia="es-ES"/>
        </w:rPr>
        <w:t>El procedimiento de anulación de Operaciones que se agrupan en este Segmento es gestionado directamente por los sistemas de negociación y/o registro, o Mecanismo de Contratación, de acuerdo con las reglas estipuladas en su reglamentación. En todo caso, se tendrá en cuenta el siguiente procedimiento:</w:t>
      </w:r>
      <w:bookmarkEnd w:id="3833"/>
      <w:bookmarkEnd w:id="3834"/>
      <w:bookmarkEnd w:id="3835"/>
      <w:bookmarkEnd w:id="3836"/>
      <w:bookmarkEnd w:id="3837"/>
      <w:bookmarkEnd w:id="3838"/>
      <w:bookmarkEnd w:id="3839"/>
      <w:bookmarkEnd w:id="3840"/>
      <w:bookmarkEnd w:id="3841"/>
      <w:bookmarkEnd w:id="3842"/>
    </w:p>
    <w:p w14:paraId="58A41DAA" w14:textId="77777777" w:rsidR="007968EC" w:rsidRPr="00165180" w:rsidRDefault="007968EC" w:rsidP="007968EC">
      <w:pPr>
        <w:jc w:val="both"/>
        <w:rPr>
          <w:rFonts w:ascii="Arial Narrow" w:hAnsi="Arial Narrow" w:cs="Arial"/>
          <w:color w:val="000000" w:themeColor="text1"/>
          <w:lang w:eastAsia="es-ES"/>
        </w:rPr>
      </w:pPr>
    </w:p>
    <w:p w14:paraId="2B12E630" w14:textId="77777777" w:rsidR="007968EC" w:rsidRPr="00165180" w:rsidRDefault="007968EC" w:rsidP="007968EC">
      <w:pPr>
        <w:jc w:val="both"/>
        <w:rPr>
          <w:rFonts w:ascii="Arial Narrow" w:hAnsi="Arial Narrow" w:cs="Arial"/>
          <w:color w:val="000000" w:themeColor="text1"/>
          <w:lang w:eastAsia="es-ES"/>
        </w:rPr>
      </w:pPr>
      <w:bookmarkStart w:id="3843" w:name="_Toc470775602"/>
      <w:bookmarkStart w:id="3844" w:name="_Toc470779906"/>
      <w:bookmarkStart w:id="3845" w:name="_Toc470780523"/>
      <w:bookmarkStart w:id="3846" w:name="_Toc470781036"/>
      <w:bookmarkStart w:id="3847" w:name="_Toc470784597"/>
      <w:bookmarkStart w:id="3848" w:name="_Toc470785134"/>
      <w:bookmarkStart w:id="3849" w:name="_Toc470791520"/>
      <w:bookmarkStart w:id="3850" w:name="_Toc471831728"/>
      <w:bookmarkStart w:id="3851" w:name="_Toc490066424"/>
      <w:bookmarkStart w:id="3852" w:name="_Toc490079199"/>
      <w:r w:rsidRPr="00165180">
        <w:rPr>
          <w:rFonts w:ascii="Arial Narrow" w:hAnsi="Arial Narrow" w:cs="Arial"/>
          <w:color w:val="000000" w:themeColor="text1"/>
          <w:lang w:eastAsia="es-ES"/>
        </w:rPr>
        <w:t xml:space="preserve">Cuando se trate de Operaciones del sistema de negociación o de registro de Contratos de Futuros o Contratos de Opciones u Operaciones sobre un Instrumento Financiero Derivado No Estandarizado </w:t>
      </w:r>
      <w:r w:rsidRPr="00165180">
        <w:rPr>
          <w:rFonts w:ascii="Arial Narrow" w:hAnsi="Arial Narrow" w:cs="Arial"/>
          <w:color w:val="000000" w:themeColor="text1"/>
          <w:lang w:eastAsia="es-ES"/>
        </w:rPr>
        <w:lastRenderedPageBreak/>
        <w:t xml:space="preserve">proveniente de un Sistema de Negociación y/o Registro o un Mecanismo de Contratación autorizado por la Cámara, el administrador de dichos sistemas  o mecanismos registra una operación de tipo “X”, que permite la generación automática de todas los proceso necesarios para anular las gestiones de traspaso, </w:t>
      </w:r>
      <w:proofErr w:type="spellStart"/>
      <w:r w:rsidRPr="00165180">
        <w:rPr>
          <w:rFonts w:ascii="Arial Narrow" w:hAnsi="Arial Narrow" w:cs="Arial"/>
          <w:color w:val="000000" w:themeColor="text1"/>
          <w:lang w:eastAsia="es-ES"/>
        </w:rPr>
        <w:t>give</w:t>
      </w:r>
      <w:proofErr w:type="spellEnd"/>
      <w:r w:rsidRPr="00165180">
        <w:rPr>
          <w:rFonts w:ascii="Arial Narrow" w:hAnsi="Arial Narrow" w:cs="Arial"/>
          <w:color w:val="000000" w:themeColor="text1"/>
          <w:lang w:eastAsia="es-ES"/>
        </w:rPr>
        <w:t xml:space="preserve"> up y ajuste de posición asociadas al número de registro de Cámara inicial objeto de dicha anulación. Por lo tanto, el administrador del sistema de negociación o de registro es responsable de la aprobación, ejecución y envío de la operación tipo “X” al Sistema de Cámara.</w:t>
      </w:r>
      <w:bookmarkEnd w:id="3843"/>
      <w:bookmarkEnd w:id="3844"/>
      <w:bookmarkEnd w:id="3845"/>
      <w:bookmarkEnd w:id="3846"/>
      <w:bookmarkEnd w:id="3847"/>
      <w:bookmarkEnd w:id="3848"/>
      <w:bookmarkEnd w:id="3849"/>
      <w:bookmarkEnd w:id="3850"/>
      <w:bookmarkEnd w:id="3851"/>
      <w:bookmarkEnd w:id="3852"/>
    </w:p>
    <w:p w14:paraId="0F159AB4" w14:textId="77777777" w:rsidR="007968EC" w:rsidRPr="00165180" w:rsidRDefault="007968EC" w:rsidP="007968EC">
      <w:pPr>
        <w:jc w:val="both"/>
        <w:rPr>
          <w:rFonts w:ascii="Arial Narrow" w:hAnsi="Arial Narrow" w:cs="Arial"/>
          <w:color w:val="000000" w:themeColor="text1"/>
          <w:lang w:eastAsia="es-ES"/>
        </w:rPr>
      </w:pPr>
    </w:p>
    <w:p w14:paraId="4ADCA802" w14:textId="77777777" w:rsidR="007968EC" w:rsidRPr="00165180" w:rsidRDefault="007968EC" w:rsidP="007968EC">
      <w:pPr>
        <w:jc w:val="both"/>
        <w:rPr>
          <w:rFonts w:ascii="Arial Narrow" w:hAnsi="Arial Narrow" w:cs="Arial"/>
          <w:color w:val="000000" w:themeColor="text1"/>
          <w:lang w:eastAsia="es-ES"/>
        </w:rPr>
      </w:pPr>
      <w:bookmarkStart w:id="3853" w:name="_Toc470775603"/>
      <w:bookmarkStart w:id="3854" w:name="_Toc470779907"/>
      <w:bookmarkStart w:id="3855" w:name="_Toc470780524"/>
      <w:bookmarkStart w:id="3856" w:name="_Toc470781037"/>
      <w:bookmarkStart w:id="3857" w:name="_Toc470784598"/>
      <w:bookmarkStart w:id="3858" w:name="_Toc470785135"/>
      <w:bookmarkStart w:id="3859" w:name="_Toc470791521"/>
      <w:bookmarkStart w:id="3860" w:name="_Toc471831729"/>
      <w:bookmarkStart w:id="3861" w:name="_Toc490066425"/>
      <w:bookmarkStart w:id="3862" w:name="_Toc490079200"/>
      <w:r w:rsidRPr="00165180">
        <w:rPr>
          <w:rFonts w:ascii="Arial Narrow" w:hAnsi="Arial Narrow" w:cs="Arial"/>
          <w:color w:val="000000" w:themeColor="text1"/>
          <w:lang w:eastAsia="es-ES"/>
        </w:rPr>
        <w:t>En caso de anulación de Operaciones en el presente Segmento, la Cámara deberá informar esta situación conforme lo establece el artículo 2.5.2. del Reglamento.</w:t>
      </w:r>
      <w:bookmarkEnd w:id="3853"/>
      <w:bookmarkEnd w:id="3854"/>
      <w:bookmarkEnd w:id="3855"/>
      <w:bookmarkEnd w:id="3856"/>
      <w:bookmarkEnd w:id="3857"/>
      <w:bookmarkEnd w:id="3858"/>
      <w:bookmarkEnd w:id="3859"/>
      <w:bookmarkEnd w:id="3860"/>
      <w:bookmarkEnd w:id="3861"/>
      <w:bookmarkEnd w:id="3862"/>
    </w:p>
    <w:p w14:paraId="0E262C8C" w14:textId="77777777" w:rsidR="007968EC" w:rsidRPr="002C0D19" w:rsidRDefault="007968EC" w:rsidP="007968EC">
      <w:pPr>
        <w:jc w:val="both"/>
        <w:rPr>
          <w:rFonts w:ascii="Arial Narrow" w:eastAsia="Calibri" w:hAnsi="Arial Narrow"/>
          <w:color w:val="000000" w:themeColor="text1"/>
        </w:rPr>
      </w:pPr>
    </w:p>
    <w:p w14:paraId="6987A5D6" w14:textId="77777777" w:rsidR="007968EC" w:rsidRDefault="007968EC" w:rsidP="007968EC">
      <w:pPr>
        <w:pStyle w:val="ARTICULO0"/>
        <w:rPr>
          <w:rFonts w:eastAsia="Calibri" w:cs="Times New Roman"/>
        </w:rPr>
      </w:pPr>
      <w:bookmarkStart w:id="3863" w:name="_Toc470779908"/>
      <w:bookmarkStart w:id="3864" w:name="_Toc470780525"/>
      <w:bookmarkStart w:id="3865" w:name="_Toc470781038"/>
      <w:bookmarkStart w:id="3866" w:name="_Toc470784599"/>
      <w:bookmarkStart w:id="3867" w:name="_Toc470785136"/>
      <w:bookmarkStart w:id="3868" w:name="_Toc470791522"/>
      <w:bookmarkStart w:id="3869" w:name="_Toc472592288"/>
      <w:bookmarkStart w:id="3870" w:name="_Toc472593307"/>
      <w:bookmarkStart w:id="3871" w:name="_Toc31716107"/>
      <w:bookmarkStart w:id="3872" w:name="_Toc479057093"/>
      <w:bookmarkStart w:id="3873" w:name="_Toc490066426"/>
      <w:r w:rsidRPr="002C0D19">
        <w:t>Artíc</w:t>
      </w:r>
      <w:r>
        <w:t xml:space="preserve">ulo 2.2.3.2. </w:t>
      </w:r>
      <w:r w:rsidRPr="002C0D19">
        <w:t>Corrección de Operaciones</w:t>
      </w:r>
      <w:r w:rsidRPr="002C0D19">
        <w:rPr>
          <w:rFonts w:eastAsia="Calibri" w:cs="Times New Roman"/>
        </w:rPr>
        <w:t>.</w:t>
      </w:r>
      <w:bookmarkEnd w:id="3863"/>
      <w:bookmarkEnd w:id="3864"/>
      <w:bookmarkEnd w:id="3865"/>
      <w:bookmarkEnd w:id="3866"/>
      <w:bookmarkEnd w:id="3867"/>
      <w:bookmarkEnd w:id="3868"/>
      <w:bookmarkEnd w:id="3869"/>
      <w:bookmarkEnd w:id="3870"/>
      <w:bookmarkEnd w:id="3871"/>
      <w:r w:rsidRPr="002C0D19">
        <w:rPr>
          <w:rFonts w:eastAsia="Calibri" w:cs="Times New Roman"/>
        </w:rPr>
        <w:t xml:space="preserve"> </w:t>
      </w:r>
    </w:p>
    <w:p w14:paraId="13F1FEAD" w14:textId="77777777" w:rsidR="007968EC" w:rsidRDefault="007968EC" w:rsidP="007968EC">
      <w:pPr>
        <w:pStyle w:val="ANTECEDENTES"/>
        <w:rPr>
          <w:rFonts w:eastAsia="Calibri"/>
        </w:rPr>
      </w:pPr>
    </w:p>
    <w:p w14:paraId="45C3F6F5" w14:textId="77777777" w:rsidR="007968EC" w:rsidRPr="002C0D19" w:rsidRDefault="007968EC" w:rsidP="007968EC">
      <w:pPr>
        <w:pStyle w:val="ANTECEDENTES"/>
        <w:rPr>
          <w:rFonts w:eastAsia="Calibri" w:cs="Times New Roman"/>
          <w:u w:val="single"/>
        </w:rPr>
      </w:pPr>
      <w:r w:rsidRPr="002C0D19">
        <w:t>(Este artículo fue modificado mediante Circular 6 del 14 de febrero de 2017, publicada en el Boletín Normativo No. 006 del 14 de febrero de 2017. Rige a partir del 15 de febrero de 2017.)</w:t>
      </w:r>
      <w:bookmarkEnd w:id="3872"/>
      <w:bookmarkEnd w:id="3873"/>
      <w:r w:rsidRPr="002C0D19">
        <w:t xml:space="preserve"> </w:t>
      </w:r>
    </w:p>
    <w:p w14:paraId="09E5F31E" w14:textId="77777777" w:rsidR="007968EC" w:rsidRPr="002C0D19" w:rsidRDefault="007968EC" w:rsidP="007968EC">
      <w:pPr>
        <w:jc w:val="both"/>
        <w:rPr>
          <w:rFonts w:ascii="Arial Narrow" w:eastAsia="Calibri" w:hAnsi="Arial Narrow"/>
          <w:color w:val="000000" w:themeColor="text1"/>
        </w:rPr>
      </w:pPr>
    </w:p>
    <w:p w14:paraId="55AC7EC5" w14:textId="77777777" w:rsidR="007968EC" w:rsidRPr="002C0D19" w:rsidRDefault="007968EC" w:rsidP="007968EC">
      <w:pPr>
        <w:jc w:val="both"/>
        <w:rPr>
          <w:rFonts w:ascii="Arial Narrow" w:eastAsia="Calibri" w:hAnsi="Arial Narrow"/>
          <w:b/>
          <w:color w:val="000000" w:themeColor="text1"/>
        </w:rPr>
      </w:pPr>
      <w:r w:rsidRPr="002C0D19">
        <w:rPr>
          <w:rFonts w:ascii="Arial Narrow" w:eastAsia="Calibri" w:hAnsi="Arial Narrow"/>
          <w:color w:val="000000" w:themeColor="text1"/>
        </w:rPr>
        <w:t>La corrección de Operaciones que se agrupan en este Segmento será gestionada directamente por los sistemas de negociación y/o registro, o Mecanismo de Contratación, de acuerdo con las reglas y procedimientos estipulados en su reglamentación. En todo caso, se tendrán en cuenta el siguiente procedimiento:</w:t>
      </w:r>
    </w:p>
    <w:p w14:paraId="5588203C" w14:textId="77777777" w:rsidR="007968EC" w:rsidRPr="002C0D19" w:rsidRDefault="007968EC" w:rsidP="007968EC">
      <w:pPr>
        <w:jc w:val="both"/>
        <w:rPr>
          <w:rFonts w:ascii="Arial Narrow" w:eastAsia="Calibri" w:hAnsi="Arial Narrow"/>
          <w:color w:val="000000" w:themeColor="text1"/>
        </w:rPr>
      </w:pPr>
    </w:p>
    <w:p w14:paraId="62498160" w14:textId="77777777" w:rsidR="007968EC" w:rsidRPr="002C0D19" w:rsidRDefault="007968EC" w:rsidP="007968EC">
      <w:pPr>
        <w:jc w:val="both"/>
        <w:rPr>
          <w:rFonts w:ascii="Arial Narrow" w:eastAsia="Calibri" w:hAnsi="Arial Narrow"/>
          <w:color w:val="000000" w:themeColor="text1"/>
          <w:lang w:eastAsia="es-CO"/>
        </w:rPr>
      </w:pPr>
      <w:r w:rsidRPr="002C0D19">
        <w:rPr>
          <w:rFonts w:ascii="Arial Narrow" w:eastAsia="Calibri" w:hAnsi="Arial Narrow"/>
          <w:color w:val="000000" w:themeColor="text1"/>
          <w:lang w:eastAsia="es-CO"/>
        </w:rPr>
        <w:t xml:space="preserve">Cuando se trate de Operaciones del sistema de negociación o de registro de Contratos de Futuros o Contratos de Opciones, la corrección de Operaciones implica que el administrador de dichos </w:t>
      </w:r>
      <w:proofErr w:type="gramStart"/>
      <w:r w:rsidRPr="002C0D19">
        <w:rPr>
          <w:rFonts w:ascii="Arial Narrow" w:eastAsia="Calibri" w:hAnsi="Arial Narrow"/>
          <w:color w:val="000000" w:themeColor="text1"/>
          <w:lang w:eastAsia="es-CO"/>
        </w:rPr>
        <w:t>sistemas,</w:t>
      </w:r>
      <w:proofErr w:type="gramEnd"/>
      <w:r w:rsidRPr="002C0D19">
        <w:rPr>
          <w:rFonts w:ascii="Arial Narrow" w:eastAsia="Calibri" w:hAnsi="Arial Narrow"/>
          <w:color w:val="000000" w:themeColor="text1"/>
          <w:lang w:eastAsia="es-CO"/>
        </w:rPr>
        <w:t xml:space="preserve"> genere la anulación de la Operación objeto de corrección y envíe la solicitud de registro de la Operación con la modificación que dio lugar a su corrección.</w:t>
      </w:r>
    </w:p>
    <w:p w14:paraId="38F52913" w14:textId="77777777" w:rsidR="007968EC" w:rsidRPr="002C0D19" w:rsidRDefault="007968EC" w:rsidP="007968EC">
      <w:pPr>
        <w:ind w:left="720"/>
        <w:jc w:val="both"/>
        <w:rPr>
          <w:rFonts w:ascii="Arial Narrow" w:eastAsia="Calibri" w:hAnsi="Arial Narrow"/>
          <w:color w:val="000000" w:themeColor="text1"/>
          <w:lang w:eastAsia="es-CO"/>
        </w:rPr>
      </w:pPr>
    </w:p>
    <w:p w14:paraId="303598A4" w14:textId="77777777" w:rsidR="007968EC" w:rsidRPr="002C0D19" w:rsidRDefault="007968EC" w:rsidP="007968EC">
      <w:pPr>
        <w:jc w:val="both"/>
        <w:rPr>
          <w:rFonts w:ascii="Arial Narrow" w:eastAsia="Calibri" w:hAnsi="Arial Narrow"/>
          <w:color w:val="000000" w:themeColor="text1"/>
          <w:lang w:eastAsia="es-CO"/>
        </w:rPr>
      </w:pPr>
      <w:r w:rsidRPr="002C0D19">
        <w:rPr>
          <w:rFonts w:ascii="Arial Narrow" w:eastAsia="Calibri" w:hAnsi="Arial Narrow"/>
          <w:color w:val="000000" w:themeColor="text1"/>
          <w:lang w:eastAsia="es-CO"/>
        </w:rPr>
        <w:t xml:space="preserve">Cuando se trate de Operaciones sobre Instrumentos Financieros Derivados No Estandarizados provenientes de sistemas de negociación y/o registro o Mecanismos de Contratación autorizados por la Cámara, en los casos que aplique, la corrección de operaciones implica que el administrador de dichos sistemas o </w:t>
      </w:r>
      <w:proofErr w:type="gramStart"/>
      <w:r w:rsidRPr="002C0D19">
        <w:rPr>
          <w:rFonts w:ascii="Arial Narrow" w:eastAsia="Calibri" w:hAnsi="Arial Narrow"/>
          <w:color w:val="000000" w:themeColor="text1"/>
          <w:lang w:eastAsia="es-CO"/>
        </w:rPr>
        <w:t>Mecanismos,</w:t>
      </w:r>
      <w:proofErr w:type="gramEnd"/>
      <w:r w:rsidRPr="002C0D19">
        <w:rPr>
          <w:rFonts w:ascii="Arial Narrow" w:eastAsia="Calibri" w:hAnsi="Arial Narrow"/>
          <w:color w:val="000000" w:themeColor="text1"/>
          <w:lang w:eastAsia="es-CO"/>
        </w:rPr>
        <w:t xml:space="preserve"> genere la anulación de la operación objeto de corrección y envíe una nueva operación con la información correcta.</w:t>
      </w:r>
    </w:p>
    <w:p w14:paraId="132DA425" w14:textId="77777777" w:rsidR="007968EC" w:rsidRPr="002C0D19" w:rsidRDefault="007968EC" w:rsidP="007968EC">
      <w:pPr>
        <w:jc w:val="both"/>
        <w:rPr>
          <w:rFonts w:ascii="Arial Narrow" w:eastAsia="Calibri" w:hAnsi="Arial Narrow"/>
          <w:color w:val="000000" w:themeColor="text1"/>
        </w:rPr>
      </w:pPr>
    </w:p>
    <w:p w14:paraId="58FEEDBE" w14:textId="77777777" w:rsidR="007968EC" w:rsidRPr="002C0D19" w:rsidRDefault="007968EC" w:rsidP="007968EC">
      <w:pPr>
        <w:jc w:val="both"/>
        <w:rPr>
          <w:rFonts w:ascii="Arial Narrow" w:eastAsia="Calibri" w:hAnsi="Arial Narrow"/>
          <w:b/>
          <w:color w:val="000000" w:themeColor="text1"/>
        </w:rPr>
      </w:pPr>
      <w:r w:rsidRPr="002C0D19">
        <w:rPr>
          <w:rFonts w:ascii="Arial Narrow" w:eastAsia="Calibri" w:hAnsi="Arial Narrow"/>
          <w:color w:val="000000" w:themeColor="text1"/>
        </w:rPr>
        <w:t>La Cámara se reserva el derecho de solicitar la documentación que estime pertinente, con el fin de verificar los motivos de la corrección de cualquier Operación, previa a la autorización del registro de la misma.</w:t>
      </w:r>
    </w:p>
    <w:p w14:paraId="46F364BF" w14:textId="77777777" w:rsidR="007968EC" w:rsidRPr="002C0D19" w:rsidRDefault="007968EC" w:rsidP="007968EC">
      <w:pPr>
        <w:jc w:val="both"/>
        <w:rPr>
          <w:rFonts w:ascii="Arial Narrow" w:eastAsia="Calibri" w:hAnsi="Arial Narrow"/>
          <w:b/>
          <w:color w:val="000000" w:themeColor="text1"/>
        </w:rPr>
      </w:pPr>
    </w:p>
    <w:p w14:paraId="026CBB3F" w14:textId="77777777" w:rsidR="007968EC" w:rsidRPr="00165180" w:rsidRDefault="007968EC" w:rsidP="007968EC">
      <w:pPr>
        <w:jc w:val="both"/>
        <w:rPr>
          <w:rFonts w:ascii="Arial Narrow" w:hAnsi="Arial Narrow" w:cs="Arial"/>
          <w:color w:val="000000" w:themeColor="text1"/>
          <w:lang w:eastAsia="es-ES"/>
        </w:rPr>
      </w:pPr>
      <w:bookmarkStart w:id="3874" w:name="_Toc470775604"/>
      <w:bookmarkStart w:id="3875" w:name="_Toc470779909"/>
      <w:bookmarkStart w:id="3876" w:name="_Toc470780526"/>
      <w:bookmarkStart w:id="3877" w:name="_Toc470781039"/>
      <w:bookmarkStart w:id="3878" w:name="_Toc470784600"/>
      <w:bookmarkStart w:id="3879" w:name="_Toc470785137"/>
      <w:bookmarkStart w:id="3880" w:name="_Toc470791523"/>
      <w:bookmarkStart w:id="3881" w:name="_Toc471831731"/>
      <w:bookmarkStart w:id="3882" w:name="_Toc490066427"/>
      <w:bookmarkStart w:id="3883" w:name="_Toc490079202"/>
      <w:r w:rsidRPr="00165180">
        <w:rPr>
          <w:rFonts w:ascii="Arial Narrow" w:hAnsi="Arial Narrow" w:cs="Arial"/>
          <w:color w:val="000000" w:themeColor="text1"/>
          <w:lang w:eastAsia="es-ES"/>
        </w:rPr>
        <w:t>En caso de corrección de Operaciones que se agrupan en el presente Segmento, la Cámara deberá informar esta situación conforme lo establece el artículo 2.5.1. del Reglamento.</w:t>
      </w:r>
      <w:bookmarkEnd w:id="3874"/>
      <w:bookmarkEnd w:id="3875"/>
      <w:bookmarkEnd w:id="3876"/>
      <w:bookmarkEnd w:id="3877"/>
      <w:bookmarkEnd w:id="3878"/>
      <w:bookmarkEnd w:id="3879"/>
      <w:bookmarkEnd w:id="3880"/>
      <w:bookmarkEnd w:id="3881"/>
      <w:bookmarkEnd w:id="3882"/>
      <w:bookmarkEnd w:id="3883"/>
    </w:p>
    <w:p w14:paraId="20581AC8" w14:textId="77777777" w:rsidR="007968EC" w:rsidRDefault="007968EC" w:rsidP="007968EC">
      <w:pPr>
        <w:pStyle w:val="ANTECEDENTES"/>
        <w:rPr>
          <w:rFonts w:eastAsia="Calibri"/>
        </w:rPr>
      </w:pPr>
    </w:p>
    <w:p w14:paraId="6F083BA7" w14:textId="77777777" w:rsidR="007968EC" w:rsidRPr="002C0D19" w:rsidRDefault="007968EC" w:rsidP="007968EC">
      <w:pPr>
        <w:pStyle w:val="ANTECEDENTES"/>
        <w:rPr>
          <w:rFonts w:eastAsia="Calibri"/>
        </w:rPr>
      </w:pPr>
    </w:p>
    <w:p w14:paraId="29E57413" w14:textId="77777777" w:rsidR="007968EC" w:rsidRPr="002C0D19" w:rsidRDefault="007968EC" w:rsidP="007968EC">
      <w:pPr>
        <w:pStyle w:val="TTULO"/>
        <w:rPr>
          <w:rFonts w:eastAsia="Calibri"/>
          <w:lang w:val="es-ES"/>
        </w:rPr>
      </w:pPr>
      <w:bookmarkStart w:id="3884" w:name="_Toc470779910"/>
      <w:bookmarkStart w:id="3885" w:name="_Toc470780527"/>
      <w:bookmarkStart w:id="3886" w:name="_Toc470781040"/>
      <w:bookmarkStart w:id="3887" w:name="_Toc470784601"/>
      <w:bookmarkStart w:id="3888" w:name="_Toc470785138"/>
      <w:bookmarkStart w:id="3889" w:name="_Toc470791524"/>
      <w:bookmarkStart w:id="3890" w:name="_Toc472592289"/>
      <w:bookmarkStart w:id="3891" w:name="_Toc472593308"/>
      <w:bookmarkStart w:id="3892" w:name="_Toc479057094"/>
      <w:bookmarkStart w:id="3893" w:name="_Toc490066428"/>
      <w:bookmarkStart w:id="3894" w:name="_Toc31716108"/>
      <w:r w:rsidRPr="002C0D19">
        <w:rPr>
          <w:rFonts w:eastAsia="Calibri"/>
          <w:lang w:val="es-ES"/>
        </w:rPr>
        <w:t>TÍTULO TERCERO</w:t>
      </w:r>
      <w:bookmarkEnd w:id="3884"/>
      <w:bookmarkEnd w:id="3885"/>
      <w:bookmarkEnd w:id="3886"/>
      <w:bookmarkEnd w:id="3887"/>
      <w:bookmarkEnd w:id="3888"/>
      <w:bookmarkEnd w:id="3889"/>
      <w:bookmarkEnd w:id="3890"/>
      <w:bookmarkEnd w:id="3891"/>
      <w:bookmarkEnd w:id="3892"/>
      <w:bookmarkEnd w:id="3893"/>
      <w:bookmarkEnd w:id="3894"/>
    </w:p>
    <w:p w14:paraId="62A2C0DC" w14:textId="77777777" w:rsidR="007968EC" w:rsidRPr="002C0D19" w:rsidRDefault="007968EC" w:rsidP="007968EC">
      <w:pPr>
        <w:pStyle w:val="ANTECEDENTES"/>
        <w:rPr>
          <w:rFonts w:eastAsia="Calibri"/>
        </w:rPr>
      </w:pPr>
    </w:p>
    <w:p w14:paraId="18CDAE76" w14:textId="77777777" w:rsidR="007968EC" w:rsidRPr="002C0D19" w:rsidRDefault="007968EC" w:rsidP="007968EC">
      <w:pPr>
        <w:pStyle w:val="TTULO"/>
        <w:rPr>
          <w:rFonts w:eastAsia="Calibri"/>
          <w:lang w:val="es-ES"/>
        </w:rPr>
      </w:pPr>
      <w:bookmarkStart w:id="3895" w:name="_Toc470779911"/>
      <w:bookmarkStart w:id="3896" w:name="_Toc470780528"/>
      <w:bookmarkStart w:id="3897" w:name="_Toc470781041"/>
      <w:bookmarkStart w:id="3898" w:name="_Toc470784602"/>
      <w:bookmarkStart w:id="3899" w:name="_Toc470785139"/>
      <w:bookmarkStart w:id="3900" w:name="_Toc470791525"/>
      <w:bookmarkStart w:id="3901" w:name="_Toc472592290"/>
      <w:bookmarkStart w:id="3902" w:name="_Toc472593309"/>
      <w:bookmarkStart w:id="3903" w:name="_Toc479057095"/>
      <w:bookmarkStart w:id="3904" w:name="_Toc490066429"/>
      <w:bookmarkStart w:id="3905" w:name="_Toc31716109"/>
      <w:r w:rsidRPr="002C0D19">
        <w:rPr>
          <w:rFonts w:eastAsia="Calibri"/>
          <w:lang w:val="es-ES"/>
        </w:rPr>
        <w:t>CUENTAS Y GESTIÓN DE OPERACIONES</w:t>
      </w:r>
      <w:bookmarkEnd w:id="3895"/>
      <w:bookmarkEnd w:id="3896"/>
      <w:bookmarkEnd w:id="3897"/>
      <w:bookmarkEnd w:id="3898"/>
      <w:bookmarkEnd w:id="3899"/>
      <w:bookmarkEnd w:id="3900"/>
      <w:bookmarkEnd w:id="3901"/>
      <w:bookmarkEnd w:id="3902"/>
      <w:bookmarkEnd w:id="3903"/>
      <w:bookmarkEnd w:id="3904"/>
      <w:bookmarkEnd w:id="3905"/>
    </w:p>
    <w:p w14:paraId="25AAA5FB" w14:textId="77777777" w:rsidR="007968EC" w:rsidRPr="002C0D19" w:rsidRDefault="007968EC" w:rsidP="007968EC">
      <w:pPr>
        <w:pStyle w:val="ANTECEDENTES"/>
        <w:rPr>
          <w:rFonts w:eastAsia="Calibri"/>
        </w:rPr>
      </w:pPr>
    </w:p>
    <w:p w14:paraId="1EAE621B" w14:textId="77777777" w:rsidR="007968EC" w:rsidRPr="002C0D19" w:rsidRDefault="007968EC" w:rsidP="007968EC">
      <w:pPr>
        <w:pStyle w:val="TTULO"/>
        <w:rPr>
          <w:rFonts w:eastAsia="Calibri"/>
          <w:lang w:val="es-ES"/>
        </w:rPr>
      </w:pPr>
      <w:bookmarkStart w:id="3906" w:name="_Toc470779912"/>
      <w:bookmarkStart w:id="3907" w:name="_Toc470780529"/>
      <w:bookmarkStart w:id="3908" w:name="_Toc470781042"/>
      <w:bookmarkStart w:id="3909" w:name="_Toc470784603"/>
      <w:bookmarkStart w:id="3910" w:name="_Toc470785140"/>
      <w:bookmarkStart w:id="3911" w:name="_Toc470791526"/>
      <w:bookmarkStart w:id="3912" w:name="_Toc472592291"/>
      <w:bookmarkStart w:id="3913" w:name="_Toc472593310"/>
      <w:bookmarkStart w:id="3914" w:name="_Toc479057096"/>
      <w:bookmarkStart w:id="3915" w:name="_Toc490066430"/>
      <w:bookmarkStart w:id="3916" w:name="_Toc31716110"/>
      <w:r w:rsidRPr="002C0D19">
        <w:rPr>
          <w:rFonts w:eastAsia="Calibri"/>
          <w:lang w:val="es-ES"/>
        </w:rPr>
        <w:t>CAPÍTULO PRIMERO</w:t>
      </w:r>
      <w:bookmarkEnd w:id="3906"/>
      <w:bookmarkEnd w:id="3907"/>
      <w:bookmarkEnd w:id="3908"/>
      <w:bookmarkEnd w:id="3909"/>
      <w:bookmarkEnd w:id="3910"/>
      <w:bookmarkEnd w:id="3911"/>
      <w:bookmarkEnd w:id="3912"/>
      <w:bookmarkEnd w:id="3913"/>
      <w:bookmarkEnd w:id="3914"/>
      <w:bookmarkEnd w:id="3915"/>
      <w:bookmarkEnd w:id="3916"/>
    </w:p>
    <w:p w14:paraId="22F66A12" w14:textId="77777777" w:rsidR="007968EC" w:rsidRPr="002C0D19" w:rsidRDefault="007968EC" w:rsidP="007968EC">
      <w:pPr>
        <w:pStyle w:val="ANTECEDENTES"/>
        <w:rPr>
          <w:rFonts w:eastAsia="Calibri"/>
        </w:rPr>
      </w:pPr>
    </w:p>
    <w:p w14:paraId="624FFA38" w14:textId="77777777" w:rsidR="007968EC" w:rsidRPr="002C0D19" w:rsidRDefault="007968EC" w:rsidP="007968EC">
      <w:pPr>
        <w:pStyle w:val="TTULO"/>
        <w:rPr>
          <w:rFonts w:eastAsia="Calibri"/>
          <w:lang w:val="es-ES"/>
        </w:rPr>
      </w:pPr>
      <w:bookmarkStart w:id="3917" w:name="_Toc470779913"/>
      <w:bookmarkStart w:id="3918" w:name="_Toc470780530"/>
      <w:bookmarkStart w:id="3919" w:name="_Toc470781043"/>
      <w:bookmarkStart w:id="3920" w:name="_Toc470784604"/>
      <w:bookmarkStart w:id="3921" w:name="_Toc470785141"/>
      <w:bookmarkStart w:id="3922" w:name="_Toc470791527"/>
      <w:bookmarkStart w:id="3923" w:name="_Toc472592292"/>
      <w:bookmarkStart w:id="3924" w:name="_Toc472593311"/>
      <w:bookmarkStart w:id="3925" w:name="_Toc479057097"/>
      <w:bookmarkStart w:id="3926" w:name="_Toc490066431"/>
      <w:bookmarkStart w:id="3927" w:name="_Toc31716111"/>
      <w:r w:rsidRPr="002C0D19">
        <w:rPr>
          <w:rFonts w:eastAsia="Calibri"/>
          <w:lang w:val="es-ES"/>
        </w:rPr>
        <w:t>CUENTAS</w:t>
      </w:r>
      <w:bookmarkEnd w:id="3917"/>
      <w:bookmarkEnd w:id="3918"/>
      <w:bookmarkEnd w:id="3919"/>
      <w:bookmarkEnd w:id="3920"/>
      <w:bookmarkEnd w:id="3921"/>
      <w:bookmarkEnd w:id="3922"/>
      <w:bookmarkEnd w:id="3923"/>
      <w:bookmarkEnd w:id="3924"/>
      <w:bookmarkEnd w:id="3925"/>
      <w:bookmarkEnd w:id="3926"/>
      <w:bookmarkEnd w:id="3927"/>
    </w:p>
    <w:p w14:paraId="313F33B3" w14:textId="77777777" w:rsidR="007968EC" w:rsidRPr="002C0D19" w:rsidRDefault="007968EC" w:rsidP="007968EC">
      <w:pPr>
        <w:rPr>
          <w:rFonts w:ascii="Arial Narrow" w:eastAsia="Calibri" w:hAnsi="Arial Narrow"/>
          <w:b/>
          <w:color w:val="000000" w:themeColor="text1"/>
        </w:rPr>
      </w:pPr>
    </w:p>
    <w:p w14:paraId="60AF2F72" w14:textId="77777777" w:rsidR="007968EC" w:rsidRDefault="007968EC" w:rsidP="007968EC">
      <w:pPr>
        <w:pStyle w:val="ARTICULO0"/>
      </w:pPr>
      <w:bookmarkStart w:id="3928" w:name="_Toc470779914"/>
      <w:bookmarkStart w:id="3929" w:name="_Toc470780531"/>
      <w:bookmarkStart w:id="3930" w:name="_Toc470781044"/>
      <w:bookmarkStart w:id="3931" w:name="_Toc470784605"/>
      <w:bookmarkStart w:id="3932" w:name="_Toc470785142"/>
      <w:bookmarkStart w:id="3933" w:name="_Toc470791528"/>
      <w:bookmarkStart w:id="3934" w:name="_Toc472592293"/>
      <w:bookmarkStart w:id="3935" w:name="_Toc472593312"/>
      <w:bookmarkStart w:id="3936" w:name="_Toc31716112"/>
      <w:bookmarkStart w:id="3937" w:name="_Toc479057098"/>
      <w:bookmarkStart w:id="3938" w:name="_Toc490066432"/>
      <w:r w:rsidRPr="002C0D19">
        <w:t>Artículo 2.3.1.1. Proceso de Creación de Cuentas en el Sistema de la Cámara.</w:t>
      </w:r>
      <w:bookmarkEnd w:id="3928"/>
      <w:bookmarkEnd w:id="3929"/>
      <w:bookmarkEnd w:id="3930"/>
      <w:bookmarkEnd w:id="3931"/>
      <w:bookmarkEnd w:id="3932"/>
      <w:bookmarkEnd w:id="3933"/>
      <w:bookmarkEnd w:id="3934"/>
      <w:bookmarkEnd w:id="3935"/>
      <w:bookmarkEnd w:id="3936"/>
      <w:r w:rsidRPr="002C0D19">
        <w:t xml:space="preserve"> </w:t>
      </w:r>
    </w:p>
    <w:p w14:paraId="3BBC04F3" w14:textId="77777777" w:rsidR="007968EC" w:rsidRDefault="007968EC" w:rsidP="007968EC">
      <w:pPr>
        <w:pStyle w:val="ANTECEDENTES"/>
      </w:pPr>
    </w:p>
    <w:p w14:paraId="3716C4A1" w14:textId="77777777" w:rsidR="007968EC" w:rsidRPr="002C0D19" w:rsidRDefault="007968EC" w:rsidP="007968EC">
      <w:pPr>
        <w:pStyle w:val="ANTECEDENTES"/>
        <w:rPr>
          <w:u w:val="single"/>
        </w:rPr>
      </w:pPr>
      <w:r w:rsidRPr="002C0D19">
        <w:t>(Este artículo fue modificado mediante Circular 6 del 14 de febrero de 2017, publicada en el Boletín Normativo No. 006 del 14 de febrero de 2017</w:t>
      </w:r>
      <w:r>
        <w:t xml:space="preserve">, y </w:t>
      </w:r>
      <w:bookmarkEnd w:id="3937"/>
      <w:bookmarkEnd w:id="3938"/>
      <w:r>
        <w:t>mediante Circular 12 del 9 de agosto de 2019, publicada en el Boletín Normativo No. 025 del 9 de agosto de 2019. Rige a partir del 12 de agosto de 2019</w:t>
      </w:r>
      <w:r w:rsidRPr="002C0D19">
        <w:t xml:space="preserve">.)  </w:t>
      </w:r>
    </w:p>
    <w:p w14:paraId="7F8232F8" w14:textId="77777777" w:rsidR="007968EC" w:rsidRPr="002C0D19" w:rsidRDefault="007968EC" w:rsidP="007968EC">
      <w:pPr>
        <w:rPr>
          <w:rFonts w:ascii="Arial Narrow" w:eastAsia="Calibri" w:hAnsi="Arial Narrow"/>
          <w:b/>
          <w:color w:val="000000" w:themeColor="text1"/>
        </w:rPr>
      </w:pPr>
    </w:p>
    <w:p w14:paraId="40EA562B" w14:textId="77777777" w:rsidR="007968EC" w:rsidRPr="00EB14DE" w:rsidRDefault="007968EC" w:rsidP="007968EC">
      <w:pPr>
        <w:autoSpaceDE w:val="0"/>
        <w:autoSpaceDN w:val="0"/>
        <w:jc w:val="both"/>
        <w:rPr>
          <w:rFonts w:ascii="Arial Narrow" w:eastAsia="Calibri" w:hAnsi="Arial Narrow"/>
          <w:b/>
          <w:bCs/>
          <w:color w:val="000000" w:themeColor="text1"/>
          <w:lang w:eastAsia="es-CO"/>
        </w:rPr>
      </w:pPr>
      <w:r w:rsidRPr="00EB14DE">
        <w:rPr>
          <w:rFonts w:ascii="Arial Narrow" w:eastAsia="Calibri" w:hAnsi="Arial Narrow"/>
          <w:bCs/>
          <w:color w:val="000000" w:themeColor="text1"/>
          <w:lang w:eastAsia="es-CO"/>
        </w:rPr>
        <w:t>Además de los requisitos establecidos en el artículo 1.4.1.1. de la presente Circular, para el Segmento de Derivados Financieros los Miembros deberán especificar dentro del proceso de creación de cuentas la exclusividad de registro en operaciones de Contratos de Futuros sobre acciones, Contratos de Opciones sobre acciones, Contratos de Futuros Índice Accionario COLCAP y/o Mini Contrato de Futuro Índice Accionario COLCAP, si es el caso, de acuerdo con lo previsto en el numeral 3 del artículo 1.6.4.1. de la presente Circular.</w:t>
      </w:r>
    </w:p>
    <w:p w14:paraId="78F8960B" w14:textId="77777777" w:rsidR="007968EC" w:rsidRPr="00EB14DE" w:rsidRDefault="007968EC" w:rsidP="007968EC">
      <w:pPr>
        <w:autoSpaceDE w:val="0"/>
        <w:autoSpaceDN w:val="0"/>
        <w:jc w:val="both"/>
        <w:rPr>
          <w:rFonts w:ascii="Arial Narrow" w:eastAsia="Calibri" w:hAnsi="Arial Narrow"/>
          <w:b/>
          <w:bCs/>
          <w:color w:val="000000" w:themeColor="text1"/>
          <w:lang w:eastAsia="es-CO"/>
        </w:rPr>
      </w:pPr>
    </w:p>
    <w:p w14:paraId="73A12FCF" w14:textId="77777777" w:rsidR="007968EC" w:rsidRPr="00EB14DE" w:rsidRDefault="007968EC" w:rsidP="007968EC">
      <w:pPr>
        <w:pStyle w:val="ARTICULO0"/>
        <w:rPr>
          <w:b w:val="0"/>
          <w:u w:val="none"/>
        </w:rPr>
      </w:pPr>
      <w:bookmarkStart w:id="3939" w:name="_Toc470779915"/>
      <w:bookmarkStart w:id="3940" w:name="_Toc470780532"/>
      <w:bookmarkStart w:id="3941" w:name="_Toc470781045"/>
      <w:bookmarkStart w:id="3942" w:name="_Toc470784606"/>
      <w:bookmarkStart w:id="3943" w:name="_Toc470785143"/>
      <w:bookmarkStart w:id="3944" w:name="_Toc470791529"/>
      <w:bookmarkStart w:id="3945" w:name="_Toc471831737"/>
      <w:bookmarkStart w:id="3946" w:name="_Toc490066433"/>
      <w:bookmarkStart w:id="3947" w:name="_Toc490079208"/>
      <w:bookmarkStart w:id="3948" w:name="_Toc31716113"/>
      <w:r w:rsidRPr="00EB14DE">
        <w:rPr>
          <w:b w:val="0"/>
          <w:u w:val="none"/>
        </w:rPr>
        <w:t>Cuando se trate de una Cuenta de Tercero Identificado en la que se registrarán Operaciones sobre Instrumentos Financieros Derivados No Estandarizados, el Miembro deberá indicar de manera expresa en el SAS de la Cámara que la Cuenta podrá ser utilizada para la Compensación y Liquidación de tales Operaciones y seleccionar los sistemas de negociación y/o registro autorizados por la Cámara para tal efecto, en concordancia con lo establecido en el artículo 2.1.2.2. de la presente Circular.</w:t>
      </w:r>
      <w:bookmarkEnd w:id="3939"/>
      <w:bookmarkEnd w:id="3940"/>
      <w:bookmarkEnd w:id="3941"/>
      <w:bookmarkEnd w:id="3942"/>
      <w:bookmarkEnd w:id="3943"/>
      <w:bookmarkEnd w:id="3944"/>
      <w:bookmarkEnd w:id="3945"/>
      <w:bookmarkEnd w:id="3946"/>
      <w:bookmarkEnd w:id="3947"/>
      <w:bookmarkEnd w:id="3948"/>
    </w:p>
    <w:p w14:paraId="09B4164F" w14:textId="77777777" w:rsidR="007968EC" w:rsidRPr="002C0D19" w:rsidRDefault="007968EC" w:rsidP="007968EC">
      <w:pPr>
        <w:jc w:val="both"/>
        <w:rPr>
          <w:rFonts w:ascii="Arial Narrow" w:eastAsia="Calibri" w:hAnsi="Arial Narrow"/>
          <w:color w:val="000000" w:themeColor="text1"/>
        </w:rPr>
      </w:pPr>
    </w:p>
    <w:p w14:paraId="5CC87CC9" w14:textId="77777777" w:rsidR="007968EC" w:rsidRPr="002C0D19" w:rsidRDefault="007968EC" w:rsidP="007968EC">
      <w:pPr>
        <w:pStyle w:val="ARTICULO0"/>
        <w:rPr>
          <w:rFonts w:eastAsia="Calibri"/>
        </w:rPr>
      </w:pPr>
      <w:bookmarkStart w:id="3949" w:name="_Toc470790979"/>
      <w:bookmarkStart w:id="3950" w:name="_Toc470791530"/>
      <w:bookmarkStart w:id="3951" w:name="_Toc472592294"/>
      <w:bookmarkStart w:id="3952" w:name="_Toc472593313"/>
      <w:bookmarkStart w:id="3953" w:name="_Toc479057099"/>
      <w:bookmarkStart w:id="3954" w:name="_Toc490066434"/>
      <w:bookmarkStart w:id="3955" w:name="_Toc31716114"/>
      <w:r w:rsidRPr="002C0D19">
        <w:t>Artículo 2.3.1.2.  Asignación de operaciones</w:t>
      </w:r>
      <w:r w:rsidRPr="002C0D19">
        <w:rPr>
          <w:rFonts w:eastAsia="Calibri"/>
        </w:rPr>
        <w:t>.</w:t>
      </w:r>
      <w:bookmarkEnd w:id="3949"/>
      <w:bookmarkEnd w:id="3950"/>
      <w:bookmarkEnd w:id="3951"/>
      <w:bookmarkEnd w:id="3952"/>
      <w:bookmarkEnd w:id="3953"/>
      <w:bookmarkEnd w:id="3954"/>
      <w:bookmarkEnd w:id="3955"/>
    </w:p>
    <w:p w14:paraId="12680BAE" w14:textId="77777777" w:rsidR="007968EC" w:rsidRPr="002C0D19" w:rsidRDefault="007968EC" w:rsidP="007968EC">
      <w:pPr>
        <w:rPr>
          <w:rFonts w:ascii="Arial Narrow" w:eastAsia="Calibri" w:hAnsi="Arial Narrow"/>
          <w:b/>
          <w:color w:val="000000" w:themeColor="text1"/>
        </w:rPr>
      </w:pPr>
    </w:p>
    <w:p w14:paraId="3C94D1D3"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Para el Segmento de Derivados Financieros la Cámara permite que se realice el procedimiento de Asignación de Operaciones de acuerdo a lo establecido en el artículo 1.4.2.2. de la presente Circular.</w:t>
      </w:r>
    </w:p>
    <w:p w14:paraId="34426DA9" w14:textId="77777777" w:rsidR="007968EC" w:rsidRPr="002C0D19" w:rsidRDefault="007968EC" w:rsidP="007968EC">
      <w:pPr>
        <w:jc w:val="both"/>
        <w:rPr>
          <w:rFonts w:ascii="Arial Narrow" w:eastAsia="Calibri" w:hAnsi="Arial Narrow"/>
          <w:b/>
          <w:color w:val="000000" w:themeColor="text1"/>
        </w:rPr>
      </w:pPr>
    </w:p>
    <w:p w14:paraId="7375B659" w14:textId="77777777" w:rsidR="007968EC" w:rsidRPr="002C0D19" w:rsidRDefault="007968EC" w:rsidP="007968EC">
      <w:pPr>
        <w:jc w:val="both"/>
        <w:rPr>
          <w:rFonts w:ascii="Arial Narrow" w:eastAsia="Calibri" w:hAnsi="Arial Narrow"/>
          <w:b/>
          <w:color w:val="000000" w:themeColor="text1"/>
        </w:rPr>
      </w:pPr>
      <w:r w:rsidRPr="002C0D19">
        <w:rPr>
          <w:rFonts w:ascii="Arial Narrow" w:eastAsia="Calibri" w:hAnsi="Arial Narrow"/>
          <w:b/>
          <w:color w:val="000000" w:themeColor="text1"/>
        </w:rPr>
        <w:t>Parágrafo.</w:t>
      </w:r>
      <w:r w:rsidRPr="002C0D19">
        <w:rPr>
          <w:rFonts w:ascii="Arial Narrow" w:eastAsia="Calibri" w:hAnsi="Arial Narrow"/>
          <w:color w:val="000000" w:themeColor="text1"/>
        </w:rPr>
        <w:t xml:space="preserve"> Cuando se trate de Operaciones sobre Instrumentos Financieros Derivados No Estandarizados, dichas Operaciones serán registradas por los Miembros directamente en Cuentas Definitivas a través de los sistemas de negociación y/o registro autorizados por la Cámara, por lo que para dichas Operaciones no estará disponible la Asignación de Operaciones. Para Operaciones sobre Instrumentos Financieros Derivados No Estandarizados provenientes de un Mecanismo de Contratación no estará disponible la Asignación de Operaciones.</w:t>
      </w:r>
    </w:p>
    <w:p w14:paraId="05E158E4" w14:textId="77777777" w:rsidR="007968EC" w:rsidRPr="002C0D19" w:rsidRDefault="007968EC" w:rsidP="007968EC">
      <w:pPr>
        <w:tabs>
          <w:tab w:val="left" w:pos="1419"/>
        </w:tabs>
        <w:rPr>
          <w:rFonts w:ascii="Arial Narrow" w:eastAsia="Calibri" w:hAnsi="Arial Narrow"/>
          <w:b/>
          <w:color w:val="000000" w:themeColor="text1"/>
          <w:u w:val="single"/>
        </w:rPr>
      </w:pPr>
    </w:p>
    <w:p w14:paraId="311BCD50" w14:textId="77777777" w:rsidR="007968EC" w:rsidRPr="002C0D19" w:rsidRDefault="007968EC" w:rsidP="007968EC">
      <w:pPr>
        <w:pStyle w:val="ARTICULO0"/>
        <w:rPr>
          <w:rFonts w:eastAsia="Calibri"/>
        </w:rPr>
      </w:pPr>
      <w:bookmarkStart w:id="3956" w:name="_Toc470790980"/>
      <w:bookmarkStart w:id="3957" w:name="_Toc470791531"/>
      <w:bookmarkStart w:id="3958" w:name="_Toc472592295"/>
      <w:bookmarkStart w:id="3959" w:name="_Toc472593314"/>
      <w:bookmarkStart w:id="3960" w:name="_Toc479057100"/>
      <w:bookmarkStart w:id="3961" w:name="_Toc490066435"/>
      <w:bookmarkStart w:id="3962" w:name="_Toc31716115"/>
      <w:r w:rsidRPr="002C0D19">
        <w:t>Artículo 2.3.1.3. Traspaso de Operaciones Aceptadas</w:t>
      </w:r>
      <w:r w:rsidRPr="002C0D19">
        <w:rPr>
          <w:rFonts w:eastAsia="Calibri"/>
        </w:rPr>
        <w:t>.</w:t>
      </w:r>
      <w:bookmarkEnd w:id="3956"/>
      <w:bookmarkEnd w:id="3957"/>
      <w:bookmarkEnd w:id="3958"/>
      <w:bookmarkEnd w:id="3959"/>
      <w:bookmarkEnd w:id="3960"/>
      <w:bookmarkEnd w:id="3961"/>
      <w:bookmarkEnd w:id="3962"/>
    </w:p>
    <w:p w14:paraId="12A04F88" w14:textId="77777777" w:rsidR="007968EC" w:rsidRPr="002C0D19" w:rsidRDefault="007968EC" w:rsidP="007968EC">
      <w:pPr>
        <w:tabs>
          <w:tab w:val="left" w:pos="1419"/>
        </w:tabs>
        <w:rPr>
          <w:rFonts w:ascii="Arial Narrow" w:eastAsia="Calibri" w:hAnsi="Arial Narrow"/>
          <w:b/>
          <w:color w:val="000000" w:themeColor="text1"/>
        </w:rPr>
      </w:pPr>
    </w:p>
    <w:p w14:paraId="2B17C33D" w14:textId="77777777" w:rsidR="007968EC" w:rsidRPr="002C0D19" w:rsidRDefault="007968EC" w:rsidP="007968EC">
      <w:pPr>
        <w:jc w:val="both"/>
        <w:rPr>
          <w:rFonts w:ascii="Arial Narrow" w:eastAsia="Calibri" w:hAnsi="Arial Narrow"/>
          <w:b/>
          <w:color w:val="000000" w:themeColor="text1"/>
        </w:rPr>
      </w:pPr>
      <w:r w:rsidRPr="002C0D19">
        <w:rPr>
          <w:rFonts w:ascii="Arial Narrow" w:eastAsia="Calibri" w:hAnsi="Arial Narrow"/>
          <w:color w:val="000000" w:themeColor="text1"/>
        </w:rPr>
        <w:t>Para el Segmento de Derivados Financieros la Cámara permite que se realice el procedimiento de Traspaso de Operaciones Aceptadas de acuerdo con lo establecido en el artículo 1.4.2.3. de la presente Circular.</w:t>
      </w:r>
    </w:p>
    <w:p w14:paraId="49A9C2CB" w14:textId="77777777" w:rsidR="007968EC" w:rsidRPr="002C0D19" w:rsidRDefault="007968EC" w:rsidP="007968EC">
      <w:pPr>
        <w:jc w:val="both"/>
        <w:rPr>
          <w:rFonts w:ascii="Arial Narrow" w:eastAsia="Calibri" w:hAnsi="Arial Narrow"/>
          <w:b/>
          <w:color w:val="000000" w:themeColor="text1"/>
        </w:rPr>
      </w:pPr>
    </w:p>
    <w:p w14:paraId="10A2B21A" w14:textId="77777777" w:rsidR="007968EC" w:rsidRPr="00165180" w:rsidRDefault="007968EC" w:rsidP="007968EC">
      <w:pPr>
        <w:jc w:val="both"/>
        <w:rPr>
          <w:rFonts w:ascii="Arial Narrow" w:hAnsi="Arial Narrow" w:cs="Arial"/>
          <w:color w:val="000000" w:themeColor="text1"/>
          <w:lang w:eastAsia="es-ES"/>
        </w:rPr>
      </w:pPr>
      <w:bookmarkStart w:id="3963" w:name="_Toc470779916"/>
      <w:bookmarkStart w:id="3964" w:name="_Toc470780533"/>
      <w:bookmarkStart w:id="3965" w:name="_Toc470781046"/>
      <w:bookmarkStart w:id="3966" w:name="_Toc470784607"/>
      <w:bookmarkStart w:id="3967" w:name="_Toc470785144"/>
      <w:bookmarkStart w:id="3968" w:name="_Toc470790981"/>
      <w:bookmarkStart w:id="3969" w:name="_Toc470791532"/>
      <w:bookmarkStart w:id="3970" w:name="_Toc471831740"/>
      <w:bookmarkStart w:id="3971" w:name="_Toc490066436"/>
      <w:bookmarkStart w:id="3972" w:name="_Toc490079211"/>
      <w:r w:rsidRPr="00165180">
        <w:rPr>
          <w:rFonts w:ascii="Arial Narrow" w:hAnsi="Arial Narrow" w:cs="Arial"/>
          <w:color w:val="000000" w:themeColor="text1"/>
          <w:lang w:eastAsia="es-ES"/>
        </w:rPr>
        <w:t xml:space="preserve">Sin perjuicio de lo anterior, cuando se trate de Traspasos de Posición Abierta en Futuros con Liquidación por entrega el día de Vencimiento, los titulares con Posiciones Abiertas en Cuentas de diferentes </w:t>
      </w:r>
      <w:proofErr w:type="gramStart"/>
      <w:r w:rsidRPr="00165180">
        <w:rPr>
          <w:rFonts w:ascii="Arial Narrow" w:hAnsi="Arial Narrow" w:cs="Arial"/>
          <w:color w:val="000000" w:themeColor="text1"/>
          <w:lang w:eastAsia="es-ES"/>
        </w:rPr>
        <w:t>Miembros,</w:t>
      </w:r>
      <w:proofErr w:type="gramEnd"/>
      <w:r w:rsidRPr="00165180">
        <w:rPr>
          <w:rFonts w:ascii="Arial Narrow" w:hAnsi="Arial Narrow" w:cs="Arial"/>
          <w:color w:val="000000" w:themeColor="text1"/>
          <w:lang w:eastAsia="es-ES"/>
        </w:rPr>
        <w:t xml:space="preserve"> pueden solicitar a través del Miembro el Traspaso de Posición para centralizar el proceso de entrega al Vencimiento en una sola Cuenta.</w:t>
      </w:r>
      <w:bookmarkEnd w:id="3963"/>
      <w:bookmarkEnd w:id="3964"/>
      <w:bookmarkEnd w:id="3965"/>
      <w:bookmarkEnd w:id="3966"/>
      <w:bookmarkEnd w:id="3967"/>
      <w:bookmarkEnd w:id="3968"/>
      <w:bookmarkEnd w:id="3969"/>
      <w:bookmarkEnd w:id="3970"/>
      <w:bookmarkEnd w:id="3971"/>
      <w:bookmarkEnd w:id="3972"/>
    </w:p>
    <w:p w14:paraId="4C974671" w14:textId="77777777" w:rsidR="007968EC" w:rsidRPr="002C0D19" w:rsidRDefault="007968EC" w:rsidP="007968EC">
      <w:pPr>
        <w:jc w:val="both"/>
        <w:rPr>
          <w:rFonts w:ascii="Arial Narrow" w:eastAsia="Calibri" w:hAnsi="Arial Narrow"/>
          <w:color w:val="000000" w:themeColor="text1"/>
        </w:rPr>
      </w:pPr>
    </w:p>
    <w:p w14:paraId="62764353" w14:textId="77777777" w:rsidR="007968EC" w:rsidRPr="002C0D19" w:rsidRDefault="007968EC" w:rsidP="007968EC">
      <w:pPr>
        <w:pStyle w:val="ARTICULO0"/>
        <w:rPr>
          <w:rFonts w:eastAsia="Calibri"/>
        </w:rPr>
      </w:pPr>
      <w:bookmarkStart w:id="3973" w:name="_Toc470790982"/>
      <w:bookmarkStart w:id="3974" w:name="_Toc470791533"/>
      <w:bookmarkStart w:id="3975" w:name="_Toc472592296"/>
      <w:bookmarkStart w:id="3976" w:name="_Toc472593315"/>
      <w:bookmarkStart w:id="3977" w:name="_Toc479057101"/>
      <w:bookmarkStart w:id="3978" w:name="_Toc490066437"/>
      <w:bookmarkStart w:id="3979" w:name="_Toc31716116"/>
      <w:r w:rsidRPr="002C0D19">
        <w:t>Artículo 2.3.1.4. Traspaso de Posición Abierta</w:t>
      </w:r>
      <w:r w:rsidRPr="002C0D19">
        <w:rPr>
          <w:rFonts w:eastAsia="Calibri"/>
        </w:rPr>
        <w:t>.</w:t>
      </w:r>
      <w:bookmarkEnd w:id="3973"/>
      <w:bookmarkEnd w:id="3974"/>
      <w:bookmarkEnd w:id="3975"/>
      <w:bookmarkEnd w:id="3976"/>
      <w:bookmarkEnd w:id="3977"/>
      <w:bookmarkEnd w:id="3978"/>
      <w:bookmarkEnd w:id="3979"/>
    </w:p>
    <w:p w14:paraId="6E01C508" w14:textId="77777777" w:rsidR="007968EC" w:rsidRPr="002C0D19" w:rsidRDefault="007968EC" w:rsidP="007968EC">
      <w:pPr>
        <w:rPr>
          <w:rFonts w:ascii="Arial Narrow" w:eastAsia="Calibri" w:hAnsi="Arial Narrow"/>
          <w:b/>
          <w:color w:val="000000" w:themeColor="text1"/>
        </w:rPr>
      </w:pPr>
    </w:p>
    <w:p w14:paraId="54F0A3BD" w14:textId="77777777" w:rsidR="007968EC" w:rsidRPr="002C0D19" w:rsidRDefault="007968EC" w:rsidP="007968EC">
      <w:pPr>
        <w:jc w:val="both"/>
        <w:rPr>
          <w:rFonts w:ascii="Arial Narrow" w:eastAsia="Calibri" w:hAnsi="Arial Narrow"/>
          <w:b/>
          <w:color w:val="000000" w:themeColor="text1"/>
        </w:rPr>
      </w:pPr>
      <w:r w:rsidRPr="002C0D19">
        <w:rPr>
          <w:rFonts w:ascii="Arial Narrow" w:eastAsia="Calibri" w:hAnsi="Arial Narrow"/>
          <w:color w:val="000000" w:themeColor="text1"/>
        </w:rPr>
        <w:t>Para el Segmento de Derivados Financieros la Cámara permite que se realice el procedimiento de Traspaso de Posición Abierta de acuerdo con lo establecido en el artículo 1.4.2.4. de la presente Circular.</w:t>
      </w:r>
    </w:p>
    <w:p w14:paraId="2EC66FCA" w14:textId="77777777" w:rsidR="007968EC" w:rsidRPr="00165180" w:rsidRDefault="007968EC" w:rsidP="007968EC">
      <w:pPr>
        <w:jc w:val="both"/>
        <w:rPr>
          <w:rFonts w:ascii="Arial Narrow" w:hAnsi="Arial Narrow" w:cs="Arial"/>
          <w:color w:val="000000" w:themeColor="text1"/>
          <w:lang w:eastAsia="es-ES"/>
        </w:rPr>
      </w:pPr>
    </w:p>
    <w:p w14:paraId="0DBB61F7" w14:textId="77777777" w:rsidR="007968EC" w:rsidRPr="00165180" w:rsidRDefault="007968EC" w:rsidP="007968EC">
      <w:pPr>
        <w:jc w:val="both"/>
        <w:rPr>
          <w:rFonts w:ascii="Arial Narrow" w:hAnsi="Arial Narrow" w:cs="Arial"/>
          <w:color w:val="000000" w:themeColor="text1"/>
          <w:lang w:eastAsia="es-ES"/>
        </w:rPr>
      </w:pPr>
      <w:bookmarkStart w:id="3980" w:name="_Toc470779917"/>
      <w:bookmarkStart w:id="3981" w:name="_Toc470780534"/>
      <w:bookmarkStart w:id="3982" w:name="_Toc470781047"/>
      <w:bookmarkStart w:id="3983" w:name="_Toc470784608"/>
      <w:bookmarkStart w:id="3984" w:name="_Toc470785145"/>
      <w:bookmarkStart w:id="3985" w:name="_Toc470790983"/>
      <w:bookmarkStart w:id="3986" w:name="_Toc470791534"/>
      <w:bookmarkStart w:id="3987" w:name="_Toc471831742"/>
      <w:bookmarkStart w:id="3988" w:name="_Toc490066438"/>
      <w:bookmarkStart w:id="3989" w:name="_Toc490079213"/>
      <w:r w:rsidRPr="00165180">
        <w:rPr>
          <w:rFonts w:ascii="Arial Narrow" w:hAnsi="Arial Narrow" w:cs="Arial"/>
          <w:b/>
          <w:color w:val="000000" w:themeColor="text1"/>
          <w:lang w:eastAsia="es-ES"/>
        </w:rPr>
        <w:t>Parágrafo.</w:t>
      </w:r>
      <w:r w:rsidRPr="00165180">
        <w:rPr>
          <w:rFonts w:ascii="Arial Narrow" w:hAnsi="Arial Narrow" w:cs="Arial"/>
          <w:color w:val="000000" w:themeColor="text1"/>
          <w:lang w:eastAsia="es-ES"/>
        </w:rPr>
        <w:t xml:space="preserve"> Para los Traspasos de Posición Abierta en Futuros con Liquidación por entrega el día de Vencimiento los titulares con Posiciones Abiertas en Cuentas de diferentes </w:t>
      </w:r>
      <w:proofErr w:type="gramStart"/>
      <w:r w:rsidRPr="00165180">
        <w:rPr>
          <w:rFonts w:ascii="Arial Narrow" w:hAnsi="Arial Narrow" w:cs="Arial"/>
          <w:color w:val="000000" w:themeColor="text1"/>
          <w:lang w:eastAsia="es-ES"/>
        </w:rPr>
        <w:t>Miembros,</w:t>
      </w:r>
      <w:proofErr w:type="gramEnd"/>
      <w:r w:rsidRPr="00165180">
        <w:rPr>
          <w:rFonts w:ascii="Arial Narrow" w:hAnsi="Arial Narrow" w:cs="Arial"/>
          <w:color w:val="000000" w:themeColor="text1"/>
          <w:lang w:eastAsia="es-ES"/>
        </w:rPr>
        <w:t xml:space="preserve"> pueden solicitar a través del Miembro el Traspaso de Posición para centralizar el proceso de entrega al Vencimiento en una sola Cuenta.</w:t>
      </w:r>
      <w:bookmarkEnd w:id="3980"/>
      <w:bookmarkEnd w:id="3981"/>
      <w:bookmarkEnd w:id="3982"/>
      <w:bookmarkEnd w:id="3983"/>
      <w:bookmarkEnd w:id="3984"/>
      <w:bookmarkEnd w:id="3985"/>
      <w:bookmarkEnd w:id="3986"/>
      <w:bookmarkEnd w:id="3987"/>
      <w:bookmarkEnd w:id="3988"/>
      <w:bookmarkEnd w:id="3989"/>
    </w:p>
    <w:p w14:paraId="68AA0271" w14:textId="77777777" w:rsidR="007968EC" w:rsidRPr="00165180" w:rsidRDefault="007968EC" w:rsidP="007968EC">
      <w:pPr>
        <w:jc w:val="both"/>
        <w:rPr>
          <w:rFonts w:ascii="Arial Narrow" w:hAnsi="Arial Narrow" w:cs="Arial"/>
          <w:color w:val="000000" w:themeColor="text1"/>
          <w:lang w:eastAsia="es-ES"/>
        </w:rPr>
      </w:pPr>
    </w:p>
    <w:p w14:paraId="5D2C8E5A" w14:textId="77777777" w:rsidR="007968EC" w:rsidRPr="002C0D19" w:rsidRDefault="007968EC" w:rsidP="007968EC">
      <w:pPr>
        <w:pStyle w:val="ARTICULO0"/>
      </w:pPr>
      <w:bookmarkStart w:id="3990" w:name="_Toc470779918"/>
      <w:bookmarkStart w:id="3991" w:name="_Toc470780535"/>
      <w:bookmarkStart w:id="3992" w:name="_Toc470781048"/>
      <w:bookmarkStart w:id="3993" w:name="_Toc470784609"/>
      <w:bookmarkStart w:id="3994" w:name="_Toc470785146"/>
      <w:bookmarkStart w:id="3995" w:name="_Toc470791535"/>
      <w:bookmarkStart w:id="3996" w:name="_Toc472592297"/>
      <w:bookmarkStart w:id="3997" w:name="_Toc472593316"/>
      <w:bookmarkStart w:id="3998" w:name="_Toc479057102"/>
      <w:bookmarkStart w:id="3999" w:name="_Toc490066439"/>
      <w:bookmarkStart w:id="4000" w:name="_Toc31716117"/>
      <w:r w:rsidRPr="002C0D19">
        <w:t xml:space="preserve">Artículo 2.3.1.5. </w:t>
      </w:r>
      <w:proofErr w:type="spellStart"/>
      <w:r w:rsidRPr="002C0D19">
        <w:t>Give</w:t>
      </w:r>
      <w:proofErr w:type="spellEnd"/>
      <w:r w:rsidRPr="002C0D19">
        <w:t xml:space="preserve"> Up.</w:t>
      </w:r>
      <w:bookmarkEnd w:id="3990"/>
      <w:bookmarkEnd w:id="3991"/>
      <w:bookmarkEnd w:id="3992"/>
      <w:bookmarkEnd w:id="3993"/>
      <w:bookmarkEnd w:id="3994"/>
      <w:bookmarkEnd w:id="3995"/>
      <w:bookmarkEnd w:id="3996"/>
      <w:bookmarkEnd w:id="3997"/>
      <w:bookmarkEnd w:id="3998"/>
      <w:bookmarkEnd w:id="3999"/>
      <w:bookmarkEnd w:id="4000"/>
    </w:p>
    <w:p w14:paraId="115E02B7" w14:textId="77777777" w:rsidR="007968EC" w:rsidRPr="00165180" w:rsidRDefault="007968EC" w:rsidP="007968EC">
      <w:pPr>
        <w:jc w:val="both"/>
        <w:rPr>
          <w:rFonts w:ascii="Arial Narrow" w:hAnsi="Arial Narrow" w:cs="Arial"/>
          <w:color w:val="000000" w:themeColor="text1"/>
          <w:lang w:eastAsia="es-ES"/>
        </w:rPr>
      </w:pPr>
    </w:p>
    <w:p w14:paraId="5E9AEF29" w14:textId="77777777" w:rsidR="007968EC" w:rsidRPr="00165180" w:rsidRDefault="007968EC" w:rsidP="007968EC">
      <w:pPr>
        <w:jc w:val="both"/>
        <w:rPr>
          <w:rFonts w:ascii="Arial Narrow" w:hAnsi="Arial Narrow" w:cs="Arial"/>
          <w:color w:val="000000" w:themeColor="text1"/>
          <w:lang w:eastAsia="es-ES"/>
        </w:rPr>
      </w:pPr>
      <w:bookmarkStart w:id="4001" w:name="_Toc470779919"/>
      <w:bookmarkStart w:id="4002" w:name="_Toc470780536"/>
      <w:bookmarkStart w:id="4003" w:name="_Toc470781049"/>
      <w:bookmarkStart w:id="4004" w:name="_Toc470784610"/>
      <w:bookmarkStart w:id="4005" w:name="_Toc470785147"/>
      <w:bookmarkStart w:id="4006" w:name="_Toc470791536"/>
      <w:bookmarkStart w:id="4007" w:name="_Toc471831744"/>
      <w:bookmarkStart w:id="4008" w:name="_Toc490066440"/>
      <w:bookmarkStart w:id="4009" w:name="_Toc490079215"/>
      <w:r w:rsidRPr="00165180">
        <w:rPr>
          <w:rFonts w:ascii="Arial Narrow" w:hAnsi="Arial Narrow" w:cs="Arial"/>
          <w:color w:val="000000" w:themeColor="text1"/>
          <w:lang w:eastAsia="es-ES"/>
        </w:rPr>
        <w:t xml:space="preserve">Para el Segmento de Derivados Financieros la Cámara permite que se realice el procedimiento de </w:t>
      </w:r>
      <w:proofErr w:type="spellStart"/>
      <w:r w:rsidRPr="00165180">
        <w:rPr>
          <w:rFonts w:ascii="Arial Narrow" w:hAnsi="Arial Narrow" w:cs="Arial"/>
          <w:color w:val="000000" w:themeColor="text1"/>
          <w:lang w:eastAsia="es-ES"/>
        </w:rPr>
        <w:t>Give</w:t>
      </w:r>
      <w:proofErr w:type="spellEnd"/>
      <w:r w:rsidRPr="00165180">
        <w:rPr>
          <w:rFonts w:ascii="Arial Narrow" w:hAnsi="Arial Narrow" w:cs="Arial"/>
          <w:color w:val="000000" w:themeColor="text1"/>
          <w:lang w:eastAsia="es-ES"/>
        </w:rPr>
        <w:t xml:space="preserve"> Up de acuerdo con lo establecido en el artículo 1.4.2.6. de la presente Circular.</w:t>
      </w:r>
      <w:bookmarkEnd w:id="4001"/>
      <w:bookmarkEnd w:id="4002"/>
      <w:bookmarkEnd w:id="4003"/>
      <w:bookmarkEnd w:id="4004"/>
      <w:bookmarkEnd w:id="4005"/>
      <w:bookmarkEnd w:id="4006"/>
      <w:bookmarkEnd w:id="4007"/>
      <w:bookmarkEnd w:id="4008"/>
      <w:bookmarkEnd w:id="4009"/>
    </w:p>
    <w:p w14:paraId="78D5D913" w14:textId="77777777" w:rsidR="007968EC" w:rsidRPr="00165180" w:rsidRDefault="007968EC" w:rsidP="007968EC">
      <w:pPr>
        <w:jc w:val="both"/>
        <w:rPr>
          <w:rFonts w:ascii="Arial Narrow" w:hAnsi="Arial Narrow" w:cs="Arial"/>
          <w:color w:val="000000" w:themeColor="text1"/>
          <w:lang w:eastAsia="es-ES"/>
        </w:rPr>
      </w:pPr>
    </w:p>
    <w:p w14:paraId="3EF59E4C" w14:textId="77777777" w:rsidR="007968EC" w:rsidRDefault="007968EC" w:rsidP="007968EC">
      <w:pPr>
        <w:pStyle w:val="ANTECEDENTES"/>
        <w:rPr>
          <w:rFonts w:eastAsia="Calibri"/>
        </w:rPr>
      </w:pPr>
      <w:bookmarkStart w:id="4010" w:name="_Toc470779920"/>
      <w:bookmarkStart w:id="4011" w:name="_Toc470780537"/>
      <w:bookmarkStart w:id="4012" w:name="_Toc470781050"/>
      <w:bookmarkStart w:id="4013" w:name="_Toc470784611"/>
      <w:bookmarkStart w:id="4014" w:name="_Toc470785148"/>
      <w:bookmarkStart w:id="4015" w:name="_Toc470791537"/>
      <w:bookmarkStart w:id="4016" w:name="_Toc472592298"/>
      <w:bookmarkStart w:id="4017" w:name="_Toc472593317"/>
      <w:bookmarkStart w:id="4018" w:name="_Toc479057103"/>
      <w:bookmarkStart w:id="4019" w:name="_Toc490066441"/>
    </w:p>
    <w:p w14:paraId="6FC68EC4" w14:textId="77777777" w:rsidR="007968EC" w:rsidRPr="002C0D19" w:rsidRDefault="007968EC" w:rsidP="007968EC">
      <w:pPr>
        <w:pStyle w:val="TTULO"/>
        <w:rPr>
          <w:rFonts w:eastAsia="Calibri"/>
          <w:lang w:val="es-ES"/>
        </w:rPr>
      </w:pPr>
      <w:bookmarkStart w:id="4020" w:name="_Toc31716118"/>
      <w:r w:rsidRPr="002C0D19">
        <w:rPr>
          <w:rFonts w:eastAsia="Calibri"/>
          <w:lang w:val="es-ES"/>
        </w:rPr>
        <w:t>TÍTULO CUARTO</w:t>
      </w:r>
      <w:bookmarkEnd w:id="4010"/>
      <w:bookmarkEnd w:id="4011"/>
      <w:bookmarkEnd w:id="4012"/>
      <w:bookmarkEnd w:id="4013"/>
      <w:bookmarkEnd w:id="4014"/>
      <w:bookmarkEnd w:id="4015"/>
      <w:bookmarkEnd w:id="4016"/>
      <w:bookmarkEnd w:id="4017"/>
      <w:bookmarkEnd w:id="4018"/>
      <w:bookmarkEnd w:id="4019"/>
      <w:bookmarkEnd w:id="4020"/>
    </w:p>
    <w:p w14:paraId="2F5FE825" w14:textId="77777777" w:rsidR="007968EC" w:rsidRPr="002C0D19" w:rsidRDefault="007968EC" w:rsidP="007968EC">
      <w:pPr>
        <w:pStyle w:val="ANTECEDENTES"/>
        <w:rPr>
          <w:rFonts w:eastAsia="Calibri"/>
        </w:rPr>
      </w:pPr>
    </w:p>
    <w:p w14:paraId="0D599F7F" w14:textId="77777777" w:rsidR="007968EC" w:rsidRPr="002C0D19" w:rsidRDefault="007968EC" w:rsidP="007968EC">
      <w:pPr>
        <w:pStyle w:val="TTULO"/>
        <w:rPr>
          <w:rFonts w:eastAsia="Calibri"/>
          <w:lang w:val="es-ES"/>
        </w:rPr>
      </w:pPr>
      <w:bookmarkStart w:id="4021" w:name="_Toc470779921"/>
      <w:bookmarkStart w:id="4022" w:name="_Toc470780538"/>
      <w:bookmarkStart w:id="4023" w:name="_Toc470781051"/>
      <w:bookmarkStart w:id="4024" w:name="_Toc470784612"/>
      <w:bookmarkStart w:id="4025" w:name="_Toc470785149"/>
      <w:bookmarkStart w:id="4026" w:name="_Toc470791538"/>
      <w:bookmarkStart w:id="4027" w:name="_Toc472592299"/>
      <w:bookmarkStart w:id="4028" w:name="_Toc472593318"/>
      <w:bookmarkStart w:id="4029" w:name="_Toc479057104"/>
      <w:bookmarkStart w:id="4030" w:name="_Toc490066442"/>
      <w:bookmarkStart w:id="4031" w:name="_Toc31716119"/>
      <w:r w:rsidRPr="002C0D19">
        <w:rPr>
          <w:rFonts w:eastAsia="Calibri"/>
          <w:lang w:val="es-ES"/>
        </w:rPr>
        <w:t>COMPENSACIÓN Y LIQUIDACIÓN DE OPERACIONES</w:t>
      </w:r>
      <w:bookmarkEnd w:id="4021"/>
      <w:bookmarkEnd w:id="4022"/>
      <w:bookmarkEnd w:id="4023"/>
      <w:bookmarkEnd w:id="4024"/>
      <w:bookmarkEnd w:id="4025"/>
      <w:bookmarkEnd w:id="4026"/>
      <w:bookmarkEnd w:id="4027"/>
      <w:bookmarkEnd w:id="4028"/>
      <w:bookmarkEnd w:id="4029"/>
      <w:bookmarkEnd w:id="4030"/>
      <w:bookmarkEnd w:id="4031"/>
    </w:p>
    <w:p w14:paraId="42488CA0" w14:textId="77777777" w:rsidR="007968EC" w:rsidRPr="002C0D19" w:rsidRDefault="007968EC" w:rsidP="007968EC">
      <w:pPr>
        <w:pStyle w:val="ANTECEDENTES"/>
        <w:rPr>
          <w:rFonts w:eastAsia="Calibri"/>
        </w:rPr>
      </w:pPr>
    </w:p>
    <w:p w14:paraId="7447A685" w14:textId="77777777" w:rsidR="007968EC" w:rsidRPr="002C0D19" w:rsidRDefault="007968EC" w:rsidP="007968EC">
      <w:pPr>
        <w:pStyle w:val="TTULO"/>
        <w:rPr>
          <w:rFonts w:eastAsia="Calibri"/>
          <w:lang w:val="es-ES"/>
        </w:rPr>
      </w:pPr>
      <w:bookmarkStart w:id="4032" w:name="_Toc470779922"/>
      <w:bookmarkStart w:id="4033" w:name="_Toc470780539"/>
      <w:bookmarkStart w:id="4034" w:name="_Toc470781052"/>
      <w:bookmarkStart w:id="4035" w:name="_Toc470784613"/>
      <w:bookmarkStart w:id="4036" w:name="_Toc470785150"/>
      <w:bookmarkStart w:id="4037" w:name="_Toc470791539"/>
      <w:bookmarkStart w:id="4038" w:name="_Toc472592300"/>
      <w:bookmarkStart w:id="4039" w:name="_Toc472593319"/>
      <w:bookmarkStart w:id="4040" w:name="_Toc479057105"/>
      <w:bookmarkStart w:id="4041" w:name="_Toc490066443"/>
      <w:bookmarkStart w:id="4042" w:name="_Toc31716120"/>
      <w:r w:rsidRPr="002C0D19">
        <w:rPr>
          <w:rFonts w:eastAsia="Calibri"/>
          <w:lang w:val="es-ES"/>
        </w:rPr>
        <w:t>CAPÍTULO PRIMERO</w:t>
      </w:r>
      <w:bookmarkEnd w:id="4032"/>
      <w:bookmarkEnd w:id="4033"/>
      <w:bookmarkEnd w:id="4034"/>
      <w:bookmarkEnd w:id="4035"/>
      <w:bookmarkEnd w:id="4036"/>
      <w:bookmarkEnd w:id="4037"/>
      <w:bookmarkEnd w:id="4038"/>
      <w:bookmarkEnd w:id="4039"/>
      <w:bookmarkEnd w:id="4040"/>
      <w:bookmarkEnd w:id="4041"/>
      <w:bookmarkEnd w:id="4042"/>
    </w:p>
    <w:p w14:paraId="7BCC38B2" w14:textId="77777777" w:rsidR="007968EC" w:rsidRPr="002C0D19" w:rsidRDefault="007968EC" w:rsidP="007968EC">
      <w:pPr>
        <w:pStyle w:val="ANTECEDENTES"/>
        <w:rPr>
          <w:rFonts w:eastAsia="Calibri"/>
        </w:rPr>
      </w:pPr>
    </w:p>
    <w:p w14:paraId="64A7F295" w14:textId="77777777" w:rsidR="007968EC" w:rsidRPr="002C0D19" w:rsidRDefault="007968EC" w:rsidP="007968EC">
      <w:pPr>
        <w:pStyle w:val="TTULO"/>
        <w:rPr>
          <w:rFonts w:eastAsia="Calibri"/>
          <w:lang w:val="es-ES"/>
        </w:rPr>
      </w:pPr>
      <w:bookmarkStart w:id="4043" w:name="_Toc470779923"/>
      <w:bookmarkStart w:id="4044" w:name="_Toc470780540"/>
      <w:bookmarkStart w:id="4045" w:name="_Toc470781053"/>
      <w:bookmarkStart w:id="4046" w:name="_Toc470784614"/>
      <w:bookmarkStart w:id="4047" w:name="_Toc470785151"/>
      <w:bookmarkStart w:id="4048" w:name="_Toc470791540"/>
      <w:bookmarkStart w:id="4049" w:name="_Toc472592301"/>
      <w:bookmarkStart w:id="4050" w:name="_Toc472593320"/>
      <w:bookmarkStart w:id="4051" w:name="_Toc479057106"/>
      <w:bookmarkStart w:id="4052" w:name="_Toc490066444"/>
      <w:bookmarkStart w:id="4053" w:name="_Toc31716121"/>
      <w:r w:rsidRPr="002C0D19">
        <w:rPr>
          <w:rFonts w:eastAsia="Calibri"/>
          <w:lang w:val="es-ES"/>
        </w:rPr>
        <w:t>COMPENSACIÓN DE INSTRUMENTOS FINANCIEROS DERIVADOS</w:t>
      </w:r>
      <w:bookmarkEnd w:id="4043"/>
      <w:bookmarkEnd w:id="4044"/>
      <w:bookmarkEnd w:id="4045"/>
      <w:bookmarkEnd w:id="4046"/>
      <w:bookmarkEnd w:id="4047"/>
      <w:bookmarkEnd w:id="4048"/>
      <w:bookmarkEnd w:id="4049"/>
      <w:bookmarkEnd w:id="4050"/>
      <w:bookmarkEnd w:id="4051"/>
      <w:bookmarkEnd w:id="4052"/>
      <w:bookmarkEnd w:id="4053"/>
    </w:p>
    <w:p w14:paraId="1A1229F4" w14:textId="77777777" w:rsidR="007968EC" w:rsidRPr="002C0D19" w:rsidRDefault="007968EC" w:rsidP="007968EC">
      <w:pPr>
        <w:pStyle w:val="ANTECEDENTES"/>
        <w:rPr>
          <w:rFonts w:eastAsia="Calibri"/>
        </w:rPr>
      </w:pPr>
    </w:p>
    <w:p w14:paraId="45E037BA" w14:textId="77777777" w:rsidR="007968EC" w:rsidRPr="002C0D19" w:rsidRDefault="007968EC" w:rsidP="007968EC">
      <w:pPr>
        <w:pStyle w:val="ARTICULO0"/>
      </w:pPr>
      <w:bookmarkStart w:id="4054" w:name="_Toc470779924"/>
      <w:bookmarkStart w:id="4055" w:name="_Toc470780541"/>
      <w:bookmarkStart w:id="4056" w:name="_Toc470781054"/>
      <w:bookmarkStart w:id="4057" w:name="_Toc470784615"/>
      <w:bookmarkStart w:id="4058" w:name="_Toc470785152"/>
      <w:bookmarkStart w:id="4059" w:name="_Toc470791541"/>
      <w:bookmarkStart w:id="4060" w:name="_Toc472592302"/>
      <w:bookmarkStart w:id="4061" w:name="_Toc472593321"/>
      <w:bookmarkStart w:id="4062" w:name="_Toc479057107"/>
      <w:bookmarkStart w:id="4063" w:name="_Toc490066445"/>
      <w:bookmarkStart w:id="4064" w:name="_Toc31716122"/>
      <w:r w:rsidRPr="002C0D19">
        <w:t>Artículo 2.4.1.1.  Compensación de efectivo.</w:t>
      </w:r>
      <w:bookmarkEnd w:id="4054"/>
      <w:bookmarkEnd w:id="4055"/>
      <w:bookmarkEnd w:id="4056"/>
      <w:bookmarkEnd w:id="4057"/>
      <w:bookmarkEnd w:id="4058"/>
      <w:bookmarkEnd w:id="4059"/>
      <w:bookmarkEnd w:id="4060"/>
      <w:bookmarkEnd w:id="4061"/>
      <w:bookmarkEnd w:id="4062"/>
      <w:bookmarkEnd w:id="4063"/>
      <w:bookmarkEnd w:id="4064"/>
    </w:p>
    <w:p w14:paraId="45C6BC5A" w14:textId="77777777" w:rsidR="007968EC" w:rsidRPr="00165180" w:rsidRDefault="007968EC" w:rsidP="007968EC">
      <w:pPr>
        <w:jc w:val="both"/>
        <w:rPr>
          <w:rFonts w:ascii="Arial Narrow" w:hAnsi="Arial Narrow" w:cs="Arial"/>
          <w:color w:val="000000" w:themeColor="text1"/>
          <w:lang w:eastAsia="es-ES"/>
        </w:rPr>
      </w:pPr>
    </w:p>
    <w:p w14:paraId="7434A41B"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La Compensación de efectivo de la Cámara con los Miembros en el Segmento de Derivados Financieros inicialmente será bilateral neta a nivel de titular de Cuenta y una vez establecidas las obligaciones o derechos de entrega o recibo de fondos de las mismas, se llevará a cabo un proceso de Compensación multilateral neto dentro de la estructura de Cuentas del Miembro Liquidador para determinar su obligación o derecho de entrega o de recibo de fondos frente a la Cámara.</w:t>
      </w:r>
    </w:p>
    <w:p w14:paraId="228890BA" w14:textId="77777777" w:rsidR="007968EC" w:rsidRPr="002C0D19" w:rsidRDefault="007968EC" w:rsidP="007968EC">
      <w:pPr>
        <w:jc w:val="both"/>
        <w:rPr>
          <w:rFonts w:ascii="Arial Narrow" w:eastAsia="Calibri" w:hAnsi="Arial Narrow"/>
          <w:color w:val="000000" w:themeColor="text1"/>
        </w:rPr>
      </w:pPr>
    </w:p>
    <w:p w14:paraId="6C24FF37" w14:textId="77777777" w:rsidR="007968EC" w:rsidRPr="002C0D19" w:rsidRDefault="007968EC" w:rsidP="007968EC">
      <w:pPr>
        <w:pStyle w:val="ARTICULO0"/>
        <w:rPr>
          <w:rFonts w:eastAsia="Calibri"/>
        </w:rPr>
      </w:pPr>
      <w:bookmarkStart w:id="4065" w:name="_Toc470791542"/>
      <w:bookmarkStart w:id="4066" w:name="_Toc472592303"/>
      <w:bookmarkStart w:id="4067" w:name="_Toc472593322"/>
      <w:bookmarkStart w:id="4068" w:name="_Toc479057108"/>
      <w:bookmarkStart w:id="4069" w:name="_Toc490066446"/>
      <w:bookmarkStart w:id="4070" w:name="_Toc31716123"/>
      <w:r w:rsidRPr="002C0D19">
        <w:t>Artículo 2.4.1.2.  Compensación de Activos</w:t>
      </w:r>
      <w:r w:rsidRPr="002C0D19">
        <w:rPr>
          <w:rFonts w:eastAsia="Calibri"/>
        </w:rPr>
        <w:t>.</w:t>
      </w:r>
      <w:bookmarkEnd w:id="4065"/>
      <w:bookmarkEnd w:id="4066"/>
      <w:bookmarkEnd w:id="4067"/>
      <w:bookmarkEnd w:id="4068"/>
      <w:bookmarkEnd w:id="4069"/>
      <w:bookmarkEnd w:id="4070"/>
    </w:p>
    <w:p w14:paraId="625FE467" w14:textId="77777777" w:rsidR="007968EC" w:rsidRPr="002C0D19" w:rsidRDefault="007968EC" w:rsidP="007968EC">
      <w:pPr>
        <w:jc w:val="both"/>
        <w:rPr>
          <w:rFonts w:ascii="Arial Narrow" w:eastAsia="Calibri" w:hAnsi="Arial Narrow"/>
          <w:b/>
          <w:color w:val="000000" w:themeColor="text1"/>
        </w:rPr>
      </w:pPr>
    </w:p>
    <w:p w14:paraId="13CA3457" w14:textId="77777777" w:rsidR="007968EC" w:rsidRPr="002C0D19" w:rsidRDefault="007968EC" w:rsidP="007968EC">
      <w:pPr>
        <w:jc w:val="both"/>
        <w:rPr>
          <w:rFonts w:ascii="Arial Narrow" w:eastAsia="Calibri" w:hAnsi="Arial Narrow"/>
          <w:b/>
          <w:color w:val="000000" w:themeColor="text1"/>
        </w:rPr>
      </w:pPr>
      <w:r w:rsidRPr="002C0D19">
        <w:rPr>
          <w:rFonts w:ascii="Arial Narrow" w:eastAsia="Calibri" w:hAnsi="Arial Narrow"/>
          <w:color w:val="000000" w:themeColor="text1"/>
        </w:rPr>
        <w:t xml:space="preserve">La Compensación de Activos de la Cámara con los Miembros en el Segmento de Derivados Financieros para la Liquidación por entrega al vencimiento será bilateral neta a nivel de titular de Cuenta, para establecer las obligaciones o derechos de entrega o de recibo de Activos. </w:t>
      </w:r>
    </w:p>
    <w:p w14:paraId="4F4696D1" w14:textId="77777777" w:rsidR="007968EC" w:rsidRPr="002C0D19" w:rsidRDefault="007968EC" w:rsidP="007968EC">
      <w:pPr>
        <w:pStyle w:val="ANTECEDENTES"/>
        <w:rPr>
          <w:rFonts w:eastAsia="Calibri"/>
        </w:rPr>
      </w:pPr>
    </w:p>
    <w:p w14:paraId="6214A604" w14:textId="77777777" w:rsidR="007968EC" w:rsidRPr="002C0D19" w:rsidRDefault="007968EC" w:rsidP="007968EC">
      <w:pPr>
        <w:pStyle w:val="TTULO"/>
        <w:rPr>
          <w:rFonts w:eastAsia="Calibri"/>
          <w:lang w:val="es-ES"/>
        </w:rPr>
      </w:pPr>
      <w:bookmarkStart w:id="4071" w:name="_Toc470779925"/>
      <w:bookmarkStart w:id="4072" w:name="_Toc470780542"/>
      <w:bookmarkStart w:id="4073" w:name="_Toc470781055"/>
      <w:bookmarkStart w:id="4074" w:name="_Toc470784616"/>
      <w:bookmarkStart w:id="4075" w:name="_Toc470785153"/>
      <w:bookmarkStart w:id="4076" w:name="_Toc470791543"/>
      <w:bookmarkStart w:id="4077" w:name="_Toc472592304"/>
      <w:bookmarkStart w:id="4078" w:name="_Toc472593323"/>
      <w:bookmarkStart w:id="4079" w:name="_Toc479057109"/>
      <w:bookmarkStart w:id="4080" w:name="_Toc490066447"/>
      <w:bookmarkStart w:id="4081" w:name="_Toc31716124"/>
      <w:r w:rsidRPr="002C0D19">
        <w:rPr>
          <w:rFonts w:eastAsia="Calibri"/>
          <w:lang w:val="es-ES"/>
        </w:rPr>
        <w:t>CAPITULO SEGUNDO</w:t>
      </w:r>
      <w:bookmarkEnd w:id="4071"/>
      <w:bookmarkEnd w:id="4072"/>
      <w:bookmarkEnd w:id="4073"/>
      <w:bookmarkEnd w:id="4074"/>
      <w:bookmarkEnd w:id="4075"/>
      <w:bookmarkEnd w:id="4076"/>
      <w:bookmarkEnd w:id="4077"/>
      <w:bookmarkEnd w:id="4078"/>
      <w:bookmarkEnd w:id="4079"/>
      <w:bookmarkEnd w:id="4080"/>
      <w:bookmarkEnd w:id="4081"/>
    </w:p>
    <w:p w14:paraId="4D31DC57" w14:textId="77777777" w:rsidR="007968EC" w:rsidRPr="002C0D19" w:rsidRDefault="007968EC" w:rsidP="007968EC">
      <w:pPr>
        <w:pStyle w:val="ANTECEDENTES"/>
        <w:rPr>
          <w:rFonts w:eastAsia="Calibri"/>
        </w:rPr>
      </w:pPr>
    </w:p>
    <w:p w14:paraId="0CDEDD3C" w14:textId="77777777" w:rsidR="007968EC" w:rsidRPr="002C0D19" w:rsidRDefault="007968EC" w:rsidP="007968EC">
      <w:pPr>
        <w:pStyle w:val="TTULO"/>
        <w:rPr>
          <w:rFonts w:eastAsia="Calibri"/>
          <w:lang w:val="es-ES"/>
        </w:rPr>
      </w:pPr>
      <w:bookmarkStart w:id="4082" w:name="_Toc470779926"/>
      <w:bookmarkStart w:id="4083" w:name="_Toc470780543"/>
      <w:bookmarkStart w:id="4084" w:name="_Toc470781056"/>
      <w:bookmarkStart w:id="4085" w:name="_Toc470784617"/>
      <w:bookmarkStart w:id="4086" w:name="_Toc470785154"/>
      <w:bookmarkStart w:id="4087" w:name="_Toc470791544"/>
      <w:bookmarkStart w:id="4088" w:name="_Toc472592305"/>
      <w:bookmarkStart w:id="4089" w:name="_Toc472593324"/>
      <w:bookmarkStart w:id="4090" w:name="_Toc479057110"/>
      <w:bookmarkStart w:id="4091" w:name="_Toc490066448"/>
      <w:bookmarkStart w:id="4092" w:name="_Toc31716125"/>
      <w:r w:rsidRPr="002C0D19">
        <w:rPr>
          <w:rFonts w:eastAsia="Calibri"/>
          <w:lang w:val="es-ES"/>
        </w:rPr>
        <w:t>LIQUIDACIÓN DIARIA DE INSTRUMENTOS FINANCIEROS DERIVADOS ESTANDARIZADOS</w:t>
      </w:r>
      <w:bookmarkEnd w:id="4082"/>
      <w:bookmarkEnd w:id="4083"/>
      <w:bookmarkEnd w:id="4084"/>
      <w:bookmarkEnd w:id="4085"/>
      <w:bookmarkEnd w:id="4086"/>
      <w:bookmarkEnd w:id="4087"/>
      <w:bookmarkEnd w:id="4088"/>
      <w:bookmarkEnd w:id="4089"/>
      <w:bookmarkEnd w:id="4090"/>
      <w:bookmarkEnd w:id="4091"/>
      <w:bookmarkEnd w:id="4092"/>
    </w:p>
    <w:p w14:paraId="5CDA024A" w14:textId="77777777" w:rsidR="007968EC" w:rsidRPr="002C0D19" w:rsidRDefault="007968EC" w:rsidP="007968EC">
      <w:pPr>
        <w:jc w:val="both"/>
        <w:rPr>
          <w:rFonts w:ascii="Arial Narrow" w:eastAsia="Calibri" w:hAnsi="Arial Narrow"/>
          <w:b/>
          <w:color w:val="000000" w:themeColor="text1"/>
          <w:u w:val="single"/>
        </w:rPr>
      </w:pPr>
    </w:p>
    <w:p w14:paraId="3296B344" w14:textId="77777777" w:rsidR="007968EC" w:rsidRDefault="007968EC" w:rsidP="007968EC">
      <w:pPr>
        <w:pStyle w:val="ARTICULO0"/>
        <w:rPr>
          <w:rFonts w:eastAsia="Calibri"/>
        </w:rPr>
      </w:pPr>
      <w:bookmarkStart w:id="4093" w:name="_Toc470791545"/>
      <w:bookmarkStart w:id="4094" w:name="_Toc472592306"/>
      <w:bookmarkStart w:id="4095" w:name="_Toc472593325"/>
      <w:bookmarkStart w:id="4096" w:name="_Toc479057111"/>
      <w:bookmarkStart w:id="4097" w:name="_Toc31716126"/>
      <w:bookmarkStart w:id="4098" w:name="_Toc490066449"/>
      <w:r w:rsidRPr="002C0D19">
        <w:lastRenderedPageBreak/>
        <w:t>Artículo 2.4.2.1. Conceptos incluidos en Liquidación Diaria</w:t>
      </w:r>
      <w:r w:rsidRPr="002C0D19">
        <w:rPr>
          <w:rFonts w:eastAsia="Calibri"/>
        </w:rPr>
        <w:t>.</w:t>
      </w:r>
      <w:bookmarkEnd w:id="4093"/>
      <w:bookmarkEnd w:id="4094"/>
      <w:bookmarkEnd w:id="4095"/>
      <w:bookmarkEnd w:id="4096"/>
      <w:bookmarkEnd w:id="4097"/>
      <w:r w:rsidRPr="002C0D19">
        <w:rPr>
          <w:rFonts w:eastAsia="Calibri"/>
        </w:rPr>
        <w:t xml:space="preserve"> </w:t>
      </w:r>
    </w:p>
    <w:p w14:paraId="5A67FE22" w14:textId="77777777" w:rsidR="007968EC" w:rsidRPr="000E6636" w:rsidRDefault="007968EC" w:rsidP="007968EC">
      <w:pPr>
        <w:autoSpaceDE w:val="0"/>
        <w:autoSpaceDN w:val="0"/>
        <w:jc w:val="both"/>
        <w:rPr>
          <w:rFonts w:ascii="Arial Narrow" w:hAnsi="Arial Narrow" w:cs="Arial"/>
          <w:b/>
          <w:bCs/>
          <w:color w:val="000000" w:themeColor="text1"/>
          <w:lang w:eastAsia="es-ES"/>
        </w:rPr>
      </w:pPr>
    </w:p>
    <w:p w14:paraId="628D54A9" w14:textId="77777777" w:rsidR="007968EC" w:rsidRPr="002C0D19" w:rsidRDefault="007968EC" w:rsidP="007968EC">
      <w:pPr>
        <w:pStyle w:val="ANTECEDENTES"/>
        <w:rPr>
          <w:u w:val="single"/>
        </w:rPr>
      </w:pPr>
      <w:r w:rsidRPr="002C0D19">
        <w:t>(Este artículo fue modificado mediante Circular 2 del 11 de enero de 2017, publicada en el Boletín Normativo No. 002 del 11 de enero de 2017 y mediante Circular 6 del 14 de febrero de 2017, publicada en el Boletín Normativo No. 006 del 14 de febrero de 2017. Rige a partir del 15 de febrero de 2017.)</w:t>
      </w:r>
      <w:bookmarkEnd w:id="4098"/>
      <w:r w:rsidRPr="002C0D19">
        <w:t xml:space="preserve"> </w:t>
      </w:r>
    </w:p>
    <w:p w14:paraId="62F5D054" w14:textId="77777777" w:rsidR="007968EC" w:rsidRPr="002C0D19" w:rsidRDefault="007968EC" w:rsidP="007968EC">
      <w:pPr>
        <w:jc w:val="both"/>
        <w:rPr>
          <w:rFonts w:ascii="Arial Narrow" w:eastAsia="Calibri" w:hAnsi="Arial Narrow"/>
          <w:b/>
          <w:color w:val="000000" w:themeColor="text1"/>
        </w:rPr>
      </w:pPr>
    </w:p>
    <w:p w14:paraId="0B4606CD" w14:textId="77777777" w:rsidR="007968EC" w:rsidRPr="002C0D19" w:rsidRDefault="007968EC" w:rsidP="007968EC">
      <w:pPr>
        <w:jc w:val="both"/>
        <w:rPr>
          <w:rFonts w:ascii="Arial Narrow" w:eastAsia="Calibri" w:hAnsi="Arial Narrow"/>
          <w:b/>
          <w:bCs/>
          <w:color w:val="000000" w:themeColor="text1"/>
        </w:rPr>
      </w:pPr>
      <w:r w:rsidRPr="002C0D19">
        <w:rPr>
          <w:rFonts w:ascii="Arial Narrow" w:eastAsia="Calibri" w:hAnsi="Arial Narrow"/>
          <w:color w:val="000000" w:themeColor="text1"/>
        </w:rPr>
        <w:t>Diariamente en la Sesión de Liquidación Diaria, los Miembros entregarán o recibirán de la Cámara, según corresponda, los fondos por los siguientes conceptos:</w:t>
      </w:r>
    </w:p>
    <w:p w14:paraId="187FA99C" w14:textId="77777777" w:rsidR="007968EC" w:rsidRPr="002C0D19" w:rsidRDefault="007968EC" w:rsidP="007968EC">
      <w:pPr>
        <w:jc w:val="both"/>
        <w:rPr>
          <w:rFonts w:ascii="Arial Narrow" w:eastAsia="Calibri" w:hAnsi="Arial Narrow"/>
          <w:b/>
          <w:bCs/>
          <w:color w:val="000000" w:themeColor="text1"/>
        </w:rPr>
      </w:pPr>
    </w:p>
    <w:p w14:paraId="749A95EB" w14:textId="77777777" w:rsidR="007968EC" w:rsidRPr="002C0D19" w:rsidRDefault="007968EC" w:rsidP="00DA7472">
      <w:pPr>
        <w:numPr>
          <w:ilvl w:val="0"/>
          <w:numId w:val="173"/>
        </w:numPr>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Ajuste diario a Precios de Liquidación para Contratos de Futuros cuyo Tipo de Liquidación incluya la Liquidación Diaria.</w:t>
      </w:r>
    </w:p>
    <w:p w14:paraId="697646D0" w14:textId="77777777" w:rsidR="007968EC" w:rsidRPr="00165180" w:rsidRDefault="007968EC" w:rsidP="007968EC">
      <w:pPr>
        <w:jc w:val="both"/>
        <w:rPr>
          <w:rFonts w:ascii="Arial Narrow" w:hAnsi="Arial Narrow" w:cs="Arial"/>
          <w:color w:val="000000" w:themeColor="text1"/>
          <w:lang w:eastAsia="es-ES"/>
        </w:rPr>
      </w:pPr>
    </w:p>
    <w:p w14:paraId="79878FDF"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Para la Liquidación Diaria, la Cámara tomará las Posiciones Abiertas de las Cuentas de Registro de la Cuenta Propia del Miembro Liquidador, de las Cuentas de Terceros Identificados, de las Cuentas de Registro de la Cuenta Propia del Miembro No Liquidador y de las Cuentas de los Terceros Identificados de éstos, en cada Contrato de Futuro, las valorará al Precio de Liquidación para Contratos del día de acuerdo con lo establecido en la presente Circular, y entregará la información de la Liquidación por Diferencias del día, respecto al precio del Futuro de acuerdo con el siguiente tratamiento:</w:t>
      </w:r>
    </w:p>
    <w:p w14:paraId="60A756F2" w14:textId="77777777" w:rsidR="007968EC" w:rsidRPr="00165180" w:rsidRDefault="007968EC" w:rsidP="007968EC">
      <w:pPr>
        <w:jc w:val="both"/>
        <w:rPr>
          <w:rFonts w:ascii="Arial Narrow" w:hAnsi="Arial Narrow" w:cs="Arial"/>
          <w:color w:val="000000" w:themeColor="text1"/>
          <w:lang w:eastAsia="es-ES"/>
        </w:rPr>
      </w:pPr>
    </w:p>
    <w:p w14:paraId="0EBF625A" w14:textId="77777777" w:rsidR="007968EC" w:rsidRPr="002C0D19" w:rsidRDefault="007968EC" w:rsidP="00DA7472">
      <w:pPr>
        <w:numPr>
          <w:ilvl w:val="0"/>
          <w:numId w:val="174"/>
        </w:numPr>
        <w:autoSpaceDE w:val="0"/>
        <w:autoSpaceDN w:val="0"/>
        <w:adjustRightInd w:val="0"/>
        <w:contextualSpacing/>
        <w:jc w:val="both"/>
        <w:rPr>
          <w:rFonts w:ascii="Arial Narrow" w:eastAsia="Calibri" w:hAnsi="Arial Narrow"/>
          <w:color w:val="000000" w:themeColor="text1"/>
        </w:rPr>
      </w:pPr>
      <w:r w:rsidRPr="002C0D19">
        <w:rPr>
          <w:rFonts w:ascii="Arial Narrow" w:eastAsia="Calibri" w:hAnsi="Arial Narrow"/>
          <w:color w:val="000000" w:themeColor="text1"/>
          <w:u w:val="single"/>
          <w:lang w:eastAsia="es-CO"/>
        </w:rPr>
        <w:t>Futuros comprados</w:t>
      </w:r>
      <w:r w:rsidRPr="002C0D19">
        <w:rPr>
          <w:rFonts w:ascii="Arial Narrow" w:eastAsia="Calibri" w:hAnsi="Arial Narrow"/>
          <w:color w:val="000000" w:themeColor="text1"/>
          <w:lang w:eastAsia="es-CO"/>
        </w:rPr>
        <w:t xml:space="preserve">: La Cámara calcula la diferencia entre el Precio de Liquidación para Contratos del día del cálculo y el precio del Futuro valorado al cierre del día anterior. En el evento en que la diferencia sea positiva el titular de la Cuenta tendrá derecho a recibir el dinero efectivo correspondiente al valor de la diferencia multiplicado por el número de contratos y por el multiplicador, en caso contrario, deberá entregar a la Cámara dicho valor. </w:t>
      </w:r>
    </w:p>
    <w:p w14:paraId="5F2CC167" w14:textId="77777777" w:rsidR="007968EC" w:rsidRPr="002C0D19" w:rsidRDefault="007968EC" w:rsidP="007968EC">
      <w:pPr>
        <w:autoSpaceDE w:val="0"/>
        <w:autoSpaceDN w:val="0"/>
        <w:adjustRightInd w:val="0"/>
        <w:ind w:left="720"/>
        <w:contextualSpacing/>
        <w:jc w:val="both"/>
        <w:rPr>
          <w:rFonts w:ascii="Arial Narrow" w:eastAsia="Calibri" w:hAnsi="Arial Narrow"/>
          <w:color w:val="000000" w:themeColor="text1"/>
        </w:rPr>
      </w:pPr>
    </w:p>
    <w:p w14:paraId="53047AC9" w14:textId="77777777" w:rsidR="007968EC" w:rsidRPr="002C0D19" w:rsidRDefault="007968EC" w:rsidP="00DA7472">
      <w:pPr>
        <w:numPr>
          <w:ilvl w:val="0"/>
          <w:numId w:val="174"/>
        </w:numPr>
        <w:autoSpaceDE w:val="0"/>
        <w:autoSpaceDN w:val="0"/>
        <w:adjustRightInd w:val="0"/>
        <w:contextualSpacing/>
        <w:jc w:val="both"/>
        <w:rPr>
          <w:rFonts w:ascii="Arial Narrow" w:eastAsia="Calibri" w:hAnsi="Arial Narrow"/>
          <w:color w:val="000000" w:themeColor="text1"/>
        </w:rPr>
      </w:pPr>
      <w:r w:rsidRPr="002C0D19">
        <w:rPr>
          <w:rFonts w:ascii="Arial Narrow" w:eastAsia="Calibri" w:hAnsi="Arial Narrow"/>
          <w:color w:val="000000" w:themeColor="text1"/>
          <w:u w:val="single"/>
          <w:lang w:eastAsia="es-CO"/>
        </w:rPr>
        <w:t>Futuros vendidos</w:t>
      </w:r>
      <w:r w:rsidRPr="002C0D19">
        <w:rPr>
          <w:rFonts w:ascii="Arial Narrow" w:eastAsia="Calibri" w:hAnsi="Arial Narrow"/>
          <w:color w:val="000000" w:themeColor="text1"/>
          <w:lang w:eastAsia="es-CO"/>
        </w:rPr>
        <w:t xml:space="preserve">: La Cámara calcula la diferencia entre el precio del Futuro al cierre del día anterior y el Precio de Liquidación para Contratos del día. En el evento en que la diferencia sea positiva el titular de la Cuenta tendrá derecho a recibir el dinero efectivo correspondiente al valor de la diferencia multiplicado por el número de contratos y por el multiplicador del contrato, en caso contrario, deberá entregar a la Cámara dicho valor. </w:t>
      </w:r>
    </w:p>
    <w:p w14:paraId="6DE76036" w14:textId="77777777" w:rsidR="007968EC" w:rsidRPr="007128BF" w:rsidRDefault="007968EC" w:rsidP="007968EC">
      <w:pPr>
        <w:jc w:val="both"/>
        <w:rPr>
          <w:rFonts w:ascii="Arial Narrow" w:hAnsi="Arial Narrow" w:cs="Arial"/>
          <w:color w:val="000000" w:themeColor="text1"/>
          <w:lang w:eastAsia="es-ES"/>
        </w:rPr>
      </w:pPr>
    </w:p>
    <w:p w14:paraId="6062E6BC" w14:textId="77777777" w:rsidR="007968EC" w:rsidRPr="002C0D19" w:rsidRDefault="007968EC" w:rsidP="00DA7472">
      <w:pPr>
        <w:numPr>
          <w:ilvl w:val="0"/>
          <w:numId w:val="174"/>
        </w:numPr>
        <w:autoSpaceDE w:val="0"/>
        <w:autoSpaceDN w:val="0"/>
        <w:adjustRightInd w:val="0"/>
        <w:contextualSpacing/>
        <w:jc w:val="both"/>
        <w:rPr>
          <w:rFonts w:ascii="Arial Narrow" w:eastAsia="Calibri" w:hAnsi="Arial Narrow"/>
          <w:color w:val="000000" w:themeColor="text1"/>
        </w:rPr>
      </w:pPr>
      <w:r w:rsidRPr="002C0D19">
        <w:rPr>
          <w:rFonts w:ascii="Arial Narrow" w:eastAsia="Calibri" w:hAnsi="Arial Narrow"/>
          <w:color w:val="000000" w:themeColor="text1"/>
          <w:u w:val="single"/>
          <w:lang w:eastAsia="es-CO"/>
        </w:rPr>
        <w:t>Futuros comprados y vendidos en la misma sesión</w:t>
      </w:r>
      <w:r w:rsidRPr="002C0D19">
        <w:rPr>
          <w:rFonts w:ascii="Arial Narrow" w:eastAsia="Calibri" w:hAnsi="Arial Narrow"/>
          <w:color w:val="000000" w:themeColor="text1"/>
          <w:lang w:eastAsia="es-CO"/>
        </w:rPr>
        <w:t xml:space="preserve">: Se calculará la diferencia entre el precio de venta menos el precio de compra. En el evento en que la diferencia sea positiva el titular de la Cuenta tendrá derecho a recibir el dinero efectivo correspondiente al valor de la diferencia multiplicado por el número de contratos y por el multiplicador del contrato, en caso contrario, deberá entregar a la Cámara dicho valor. </w:t>
      </w:r>
    </w:p>
    <w:p w14:paraId="4D3AA286" w14:textId="77777777" w:rsidR="007968EC" w:rsidRPr="007128BF" w:rsidRDefault="007968EC" w:rsidP="007968EC">
      <w:pPr>
        <w:jc w:val="both"/>
        <w:rPr>
          <w:rFonts w:ascii="Arial Narrow" w:hAnsi="Arial Narrow" w:cs="Arial"/>
          <w:color w:val="000000" w:themeColor="text1"/>
          <w:lang w:eastAsia="es-ES"/>
        </w:rPr>
      </w:pPr>
    </w:p>
    <w:p w14:paraId="5D79BB8E" w14:textId="77777777" w:rsidR="007968EC" w:rsidRPr="002C0D19" w:rsidRDefault="007968EC" w:rsidP="00DA7472">
      <w:pPr>
        <w:numPr>
          <w:ilvl w:val="0"/>
          <w:numId w:val="174"/>
        </w:numPr>
        <w:autoSpaceDE w:val="0"/>
        <w:autoSpaceDN w:val="0"/>
        <w:adjustRightInd w:val="0"/>
        <w:contextualSpacing/>
        <w:jc w:val="both"/>
        <w:rPr>
          <w:rFonts w:ascii="Arial Narrow" w:eastAsia="Calibri" w:hAnsi="Arial Narrow"/>
          <w:color w:val="000000" w:themeColor="text1"/>
        </w:rPr>
      </w:pPr>
      <w:r w:rsidRPr="002C0D19">
        <w:rPr>
          <w:rFonts w:ascii="Arial Narrow" w:eastAsia="Calibri" w:hAnsi="Arial Narrow"/>
          <w:color w:val="000000" w:themeColor="text1"/>
          <w:u w:val="single"/>
          <w:lang w:eastAsia="es-CO"/>
        </w:rPr>
        <w:t>Futuros comprados que se venden en el día</w:t>
      </w:r>
      <w:r w:rsidRPr="002C0D19">
        <w:rPr>
          <w:rFonts w:ascii="Arial Narrow" w:eastAsia="Calibri" w:hAnsi="Arial Narrow"/>
          <w:color w:val="000000" w:themeColor="text1"/>
          <w:lang w:eastAsia="es-CO"/>
        </w:rPr>
        <w:t xml:space="preserve">: Se calculará la diferencia entre el precio de venta menos el precio del Futuro al cierre del día anterior. En el evento en que la diferencia sea positiva el titular de la Cuenta tendrá derecho a recibir el dinero efectivo correspondiente al valor de la diferencia multiplicado por el número de Contratos y por el multiplicador del contrato, en caso contrario, deberá entregar a la Cámara dicho valor. </w:t>
      </w:r>
    </w:p>
    <w:p w14:paraId="221D1E5D" w14:textId="77777777" w:rsidR="007968EC" w:rsidRPr="007128BF" w:rsidRDefault="007968EC" w:rsidP="007968EC">
      <w:pPr>
        <w:jc w:val="both"/>
        <w:rPr>
          <w:rFonts w:ascii="Arial Narrow" w:hAnsi="Arial Narrow" w:cs="Arial"/>
          <w:color w:val="000000" w:themeColor="text1"/>
          <w:lang w:eastAsia="es-ES"/>
        </w:rPr>
      </w:pPr>
    </w:p>
    <w:p w14:paraId="52229F37" w14:textId="77777777" w:rsidR="007968EC" w:rsidRPr="002C0D19" w:rsidRDefault="007968EC" w:rsidP="00DA7472">
      <w:pPr>
        <w:numPr>
          <w:ilvl w:val="0"/>
          <w:numId w:val="174"/>
        </w:numPr>
        <w:autoSpaceDE w:val="0"/>
        <w:autoSpaceDN w:val="0"/>
        <w:adjustRightInd w:val="0"/>
        <w:contextualSpacing/>
        <w:jc w:val="both"/>
        <w:rPr>
          <w:rFonts w:ascii="Arial Narrow" w:eastAsia="Calibri" w:hAnsi="Arial Narrow"/>
          <w:color w:val="000000" w:themeColor="text1"/>
        </w:rPr>
      </w:pPr>
      <w:r w:rsidRPr="002C0D19">
        <w:rPr>
          <w:rFonts w:ascii="Arial Narrow" w:eastAsia="Calibri" w:hAnsi="Arial Narrow"/>
          <w:color w:val="000000" w:themeColor="text1"/>
          <w:u w:val="single"/>
          <w:lang w:eastAsia="es-CO"/>
        </w:rPr>
        <w:lastRenderedPageBreak/>
        <w:t>Futuros vendidos que se compran en el día</w:t>
      </w:r>
      <w:r w:rsidRPr="002C0D19">
        <w:rPr>
          <w:rFonts w:ascii="Arial Narrow" w:eastAsia="Calibri" w:hAnsi="Arial Narrow"/>
          <w:color w:val="000000" w:themeColor="text1"/>
          <w:lang w:eastAsia="es-CO"/>
        </w:rPr>
        <w:t xml:space="preserve">: Se calculará la diferencia entre el precio del Futuro al cierre del día anterior menos el precio de compra. En el evento en que la diferencia sea positiva el titular de la Cuenta tendrá derecho a recibir el dinero efectivo correspondiente al valor de la diferencia multiplicado por el número de contratos y por el multiplicador del contrato, en caso contrario, deberá entregar a la Cámara dicho valor. </w:t>
      </w:r>
    </w:p>
    <w:p w14:paraId="1542DB1F" w14:textId="77777777" w:rsidR="007968EC" w:rsidRPr="007128BF" w:rsidRDefault="007968EC" w:rsidP="007968EC">
      <w:pPr>
        <w:jc w:val="both"/>
        <w:rPr>
          <w:rFonts w:ascii="Arial Narrow" w:hAnsi="Arial Narrow" w:cs="Arial"/>
          <w:color w:val="000000" w:themeColor="text1"/>
          <w:lang w:eastAsia="es-ES"/>
        </w:rPr>
      </w:pPr>
    </w:p>
    <w:p w14:paraId="40DCFB72" w14:textId="77777777" w:rsidR="007968EC" w:rsidRPr="002C0D19" w:rsidRDefault="007968EC" w:rsidP="00DA7472">
      <w:pPr>
        <w:numPr>
          <w:ilvl w:val="0"/>
          <w:numId w:val="173"/>
        </w:numPr>
        <w:ind w:left="426"/>
        <w:jc w:val="both"/>
        <w:rPr>
          <w:rFonts w:ascii="Arial Narrow" w:hAnsi="Arial Narrow" w:cs="Arial"/>
          <w:color w:val="000000" w:themeColor="text1"/>
          <w:lang w:val="es-ES" w:eastAsia="es-CO"/>
        </w:rPr>
      </w:pPr>
      <w:r w:rsidRPr="002C0D19">
        <w:rPr>
          <w:rFonts w:ascii="Arial Narrow" w:hAnsi="Arial Narrow" w:cs="Arial"/>
          <w:color w:val="000000" w:themeColor="text1"/>
          <w:lang w:val="es-ES" w:eastAsia="es-ES"/>
        </w:rPr>
        <w:t xml:space="preserve">Prima de los Contratos de Opciones: Se calculará como el producto del número de contratos negociados, </w:t>
      </w:r>
      <w:r w:rsidRPr="002C0D19">
        <w:rPr>
          <w:rFonts w:ascii="Arial Narrow" w:eastAsia="Calibri" w:hAnsi="Arial Narrow"/>
          <w:color w:val="000000" w:themeColor="text1"/>
          <w:lang w:val="es-ES" w:eastAsia="es-CO"/>
        </w:rPr>
        <w:t xml:space="preserve">multiplicador del contrato </w:t>
      </w:r>
      <w:r w:rsidRPr="002C0D19">
        <w:rPr>
          <w:rFonts w:ascii="Arial Narrow" w:hAnsi="Arial Narrow" w:cs="Arial"/>
          <w:color w:val="000000" w:themeColor="text1"/>
          <w:lang w:val="es-ES" w:eastAsia="es-ES"/>
        </w:rPr>
        <w:t xml:space="preserve">y precio pactado de la operación. El titular de la Cuenta vendedora del Contrato de la Opción tendrá derecho a recibir el dinero efectivo correspondiente al valor calculado de la Prima de los Contratos de Opciones y el comprador del Contrato de Opción deberá entregar a la Cámara dicho valor. Este pago se realiza por una única vez al día hábil siguiente de la negociación y se hace por cada operación. </w:t>
      </w:r>
    </w:p>
    <w:p w14:paraId="78A70D51" w14:textId="77777777" w:rsidR="007968EC" w:rsidRPr="002C0D19" w:rsidRDefault="007968EC" w:rsidP="007968EC">
      <w:pPr>
        <w:ind w:left="426"/>
        <w:contextualSpacing/>
        <w:jc w:val="both"/>
        <w:rPr>
          <w:rFonts w:ascii="Arial Narrow" w:eastAsia="Calibri" w:hAnsi="Arial Narrow"/>
          <w:bCs/>
          <w:color w:val="000000" w:themeColor="text1"/>
        </w:rPr>
      </w:pPr>
    </w:p>
    <w:p w14:paraId="3BB6D283" w14:textId="77777777" w:rsidR="007968EC" w:rsidRPr="002C0D19" w:rsidRDefault="007968EC" w:rsidP="00DA7472">
      <w:pPr>
        <w:numPr>
          <w:ilvl w:val="0"/>
          <w:numId w:val="173"/>
        </w:numPr>
        <w:ind w:left="426" w:hanging="426"/>
        <w:contextualSpacing/>
        <w:jc w:val="both"/>
        <w:rPr>
          <w:rFonts w:ascii="Arial Narrow" w:eastAsia="Calibri" w:hAnsi="Arial Narrow"/>
          <w:bCs/>
          <w:color w:val="000000" w:themeColor="text1"/>
        </w:rPr>
      </w:pPr>
      <w:r w:rsidRPr="002C0D19">
        <w:rPr>
          <w:rFonts w:ascii="Arial Narrow" w:eastAsia="Calibri" w:hAnsi="Arial Narrow"/>
          <w:bCs/>
          <w:color w:val="000000" w:themeColor="text1"/>
          <w:lang w:eastAsia="es-CO"/>
        </w:rPr>
        <w:t>Garantías Individuales: El Sistema de Cámara calculará los ajustes de los montos requeridos en Garantías Individuales por las Posiciones Abiertas de los Contratos en la forma en que se establece en el Reglamento y en la presente Circular.</w:t>
      </w:r>
    </w:p>
    <w:p w14:paraId="6FB6CF9E" w14:textId="77777777" w:rsidR="007968EC" w:rsidRPr="007128BF" w:rsidRDefault="007968EC" w:rsidP="007968EC">
      <w:pPr>
        <w:jc w:val="both"/>
        <w:rPr>
          <w:rFonts w:ascii="Arial Narrow" w:hAnsi="Arial Narrow" w:cs="Arial"/>
          <w:color w:val="000000" w:themeColor="text1"/>
          <w:lang w:eastAsia="es-ES"/>
        </w:rPr>
      </w:pPr>
    </w:p>
    <w:p w14:paraId="5347CD0B" w14:textId="77777777" w:rsidR="007968EC" w:rsidRPr="002C0D19" w:rsidRDefault="007968EC" w:rsidP="00DA7472">
      <w:pPr>
        <w:numPr>
          <w:ilvl w:val="0"/>
          <w:numId w:val="173"/>
        </w:numPr>
        <w:ind w:left="426" w:hanging="426"/>
        <w:contextualSpacing/>
        <w:jc w:val="both"/>
        <w:rPr>
          <w:rFonts w:ascii="Arial Narrow" w:eastAsia="Calibri" w:hAnsi="Arial Narrow"/>
          <w:bCs/>
          <w:color w:val="000000" w:themeColor="text1"/>
        </w:rPr>
      </w:pPr>
      <w:r w:rsidRPr="002C0D19">
        <w:rPr>
          <w:rFonts w:ascii="Arial Narrow" w:eastAsia="Calibri" w:hAnsi="Arial Narrow"/>
          <w:color w:val="000000" w:themeColor="text1"/>
          <w:lang w:eastAsia="es-CO"/>
        </w:rPr>
        <w:t>Garantías</w:t>
      </w:r>
      <w:r w:rsidRPr="002C0D19">
        <w:rPr>
          <w:rFonts w:ascii="Arial Narrow" w:eastAsia="Calibri" w:hAnsi="Arial Narrow"/>
          <w:bCs/>
          <w:color w:val="000000" w:themeColor="text1"/>
          <w:lang w:eastAsia="es-CO"/>
        </w:rPr>
        <w:t xml:space="preserve"> Extraordinarias: Sin perjuicio de lo previsto en la presente Circular para la constitución de Garantías Extraordinarias en el procedimiento de Margin Call, el Sistema de Cámara calculará los ajustes de los montos requeridos en Garantías Extraordinarias por las Posiciones Abiertas de los Contratos en la forma como se establece en el Reglamento y en esta Circular.</w:t>
      </w:r>
    </w:p>
    <w:p w14:paraId="04920786" w14:textId="77777777" w:rsidR="007968EC" w:rsidRPr="002C0D19" w:rsidRDefault="007968EC" w:rsidP="007968EC">
      <w:pPr>
        <w:ind w:left="708"/>
        <w:jc w:val="both"/>
        <w:rPr>
          <w:rFonts w:ascii="Arial Narrow" w:eastAsia="Calibri" w:hAnsi="Arial Narrow"/>
          <w:color w:val="000000" w:themeColor="text1"/>
        </w:rPr>
      </w:pPr>
    </w:p>
    <w:p w14:paraId="71376210" w14:textId="77777777" w:rsidR="007968EC" w:rsidRPr="002C0D19" w:rsidRDefault="007968EC" w:rsidP="00DA7472">
      <w:pPr>
        <w:numPr>
          <w:ilvl w:val="0"/>
          <w:numId w:val="173"/>
        </w:numPr>
        <w:ind w:left="426" w:hanging="426"/>
        <w:contextualSpacing/>
        <w:jc w:val="both"/>
        <w:rPr>
          <w:rFonts w:ascii="Arial Narrow" w:eastAsia="Calibri" w:hAnsi="Arial Narrow"/>
          <w:bCs/>
          <w:color w:val="000000" w:themeColor="text1"/>
        </w:rPr>
      </w:pPr>
      <w:r w:rsidRPr="002C0D19">
        <w:rPr>
          <w:rFonts w:ascii="Arial Narrow" w:eastAsia="Calibri" w:hAnsi="Arial Narrow"/>
          <w:color w:val="000000" w:themeColor="text1"/>
        </w:rPr>
        <w:t>Remuneración</w:t>
      </w:r>
      <w:r w:rsidRPr="002C0D19">
        <w:rPr>
          <w:rFonts w:ascii="Arial Narrow" w:eastAsia="Calibri" w:hAnsi="Arial Narrow"/>
          <w:bCs/>
          <w:color w:val="000000" w:themeColor="text1"/>
        </w:rPr>
        <w:t xml:space="preserve"> de las Garantías: La Cámara entregará la totalidad de la remuneración de las Garantías constituidas en efectivo de toda la estructura de cuentas del Miembro que haya autorizado su inversión, conforme con la metodología contenida en el numeral 2 del artículo 1.6.4.14. de la presente Circu</w:t>
      </w:r>
      <w:r w:rsidRPr="002C0D19">
        <w:rPr>
          <w:rFonts w:ascii="Arial Narrow" w:eastAsia="Calibri" w:hAnsi="Arial Narrow" w:cs="Arial Narrow"/>
          <w:color w:val="000000" w:themeColor="text1"/>
        </w:rPr>
        <w:t>lar.</w:t>
      </w:r>
    </w:p>
    <w:p w14:paraId="74B9FD77" w14:textId="77777777" w:rsidR="007968EC" w:rsidRPr="002C0D19" w:rsidRDefault="007968EC" w:rsidP="007968EC">
      <w:pPr>
        <w:ind w:left="720"/>
        <w:contextualSpacing/>
        <w:jc w:val="both"/>
        <w:rPr>
          <w:rFonts w:ascii="Arial Narrow" w:eastAsia="Calibri" w:hAnsi="Arial Narrow"/>
          <w:b/>
          <w:bCs/>
          <w:color w:val="000000" w:themeColor="text1"/>
          <w:u w:val="single"/>
        </w:rPr>
      </w:pPr>
    </w:p>
    <w:p w14:paraId="1E3DAF99" w14:textId="77777777" w:rsidR="007968EC" w:rsidRPr="002C0D19" w:rsidRDefault="007968EC" w:rsidP="007968EC">
      <w:pPr>
        <w:pStyle w:val="ARTICULO0"/>
        <w:rPr>
          <w:rFonts w:eastAsia="Calibri" w:cs="Times New Roman"/>
        </w:rPr>
      </w:pPr>
      <w:bookmarkStart w:id="4099" w:name="_Toc470791546"/>
      <w:bookmarkStart w:id="4100" w:name="_Toc472592307"/>
      <w:bookmarkStart w:id="4101" w:name="_Toc472593326"/>
      <w:bookmarkStart w:id="4102" w:name="_Toc479057112"/>
      <w:bookmarkStart w:id="4103" w:name="_Toc490066450"/>
      <w:bookmarkStart w:id="4104" w:name="_Toc31716127"/>
      <w:r w:rsidRPr="002C0D19">
        <w:t>Artículo 2.4.2.2.  Procedimiento de cálculo del ajuste diario a Precios de Liquidación en los Contratos de Futuros cuyo Tipo de Liquidación incluya la Liquidación Diaria</w:t>
      </w:r>
      <w:bookmarkEnd w:id="4099"/>
      <w:r w:rsidRPr="002C0D19">
        <w:rPr>
          <w:rFonts w:eastAsia="Calibri" w:cs="Times New Roman"/>
        </w:rPr>
        <w:t>.</w:t>
      </w:r>
      <w:bookmarkEnd w:id="4100"/>
      <w:bookmarkEnd w:id="4101"/>
      <w:bookmarkEnd w:id="4102"/>
      <w:bookmarkEnd w:id="4103"/>
      <w:bookmarkEnd w:id="4104"/>
    </w:p>
    <w:p w14:paraId="3F8653AE" w14:textId="77777777" w:rsidR="007968EC" w:rsidRPr="002C0D19" w:rsidRDefault="007968EC" w:rsidP="007968EC">
      <w:pPr>
        <w:jc w:val="both"/>
        <w:rPr>
          <w:rFonts w:ascii="Arial Narrow" w:eastAsia="Calibri" w:hAnsi="Arial Narrow"/>
          <w:b/>
          <w:color w:val="000000" w:themeColor="text1"/>
        </w:rPr>
      </w:pPr>
    </w:p>
    <w:p w14:paraId="1F44FE8C" w14:textId="77777777" w:rsidR="007968EC" w:rsidRPr="002C0D19" w:rsidRDefault="007968EC" w:rsidP="007968EC">
      <w:pPr>
        <w:jc w:val="both"/>
        <w:rPr>
          <w:rFonts w:ascii="Arial Narrow" w:eastAsia="Calibri" w:hAnsi="Arial Narrow"/>
          <w:b/>
          <w:bCs/>
          <w:color w:val="000000" w:themeColor="text1"/>
          <w:u w:val="single"/>
          <w:lang w:eastAsia="es-CO"/>
        </w:rPr>
      </w:pPr>
      <w:r w:rsidRPr="002C0D19">
        <w:rPr>
          <w:rFonts w:ascii="Arial Narrow" w:eastAsia="Calibri" w:hAnsi="Arial Narrow"/>
          <w:bCs/>
          <w:color w:val="000000" w:themeColor="text1"/>
          <w:lang w:eastAsia="es-CO"/>
        </w:rPr>
        <w:t>Las Posiciones Abiertas en Contratos de Futuros serán valoradas diariamente al final de la sesión al correspondiente Precio de Liquidación para Contratos entregado por el Proveedor Oficial de Precios para Valoración: El cálculo de la Liquidación dependerá del momento en que fue aceptada la Operación y se realizará de acuerdo con las siguientes fórmulas:</w:t>
      </w:r>
    </w:p>
    <w:p w14:paraId="34E60D83" w14:textId="77777777" w:rsidR="007968EC" w:rsidRPr="002C0D19" w:rsidRDefault="007968EC" w:rsidP="007968EC">
      <w:pPr>
        <w:jc w:val="both"/>
        <w:rPr>
          <w:rFonts w:ascii="Arial Narrow" w:eastAsia="Calibri" w:hAnsi="Arial Narrow"/>
          <w:b/>
          <w:bCs/>
          <w:color w:val="000000" w:themeColor="text1"/>
        </w:rPr>
      </w:pPr>
    </w:p>
    <w:p w14:paraId="78A12D75" w14:textId="77777777" w:rsidR="007968EC" w:rsidRPr="002C0D19" w:rsidRDefault="007968EC" w:rsidP="00DA7472">
      <w:pPr>
        <w:numPr>
          <w:ilvl w:val="0"/>
          <w:numId w:val="175"/>
        </w:numPr>
        <w:contextualSpacing/>
        <w:jc w:val="both"/>
        <w:rPr>
          <w:rFonts w:ascii="Arial Narrow" w:eastAsia="Calibri" w:hAnsi="Arial Narrow"/>
          <w:b/>
          <w:bCs/>
          <w:color w:val="000000" w:themeColor="text1"/>
        </w:rPr>
      </w:pPr>
      <w:r w:rsidRPr="002C0D19">
        <w:rPr>
          <w:rFonts w:ascii="Arial Narrow" w:eastAsia="Calibri" w:hAnsi="Arial Narrow" w:cs="Arial Narrow"/>
          <w:color w:val="000000" w:themeColor="text1"/>
        </w:rPr>
        <w:t>Operaciones realizadas en el día.</w:t>
      </w:r>
    </w:p>
    <w:p w14:paraId="5A59DDA9" w14:textId="77777777" w:rsidR="007968EC" w:rsidRPr="002C0D19" w:rsidRDefault="007968EC" w:rsidP="007968EC">
      <w:pPr>
        <w:jc w:val="both"/>
        <w:rPr>
          <w:rFonts w:ascii="Arial Narrow" w:eastAsia="Calibri" w:hAnsi="Arial Narrow"/>
          <w:b/>
          <w:bCs/>
          <w:color w:val="000000" w:themeColor="text1"/>
        </w:rPr>
      </w:pPr>
    </w:p>
    <w:p w14:paraId="4499757C" w14:textId="77777777" w:rsidR="007968EC" w:rsidRPr="002C0D19" w:rsidRDefault="007968EC" w:rsidP="007968EC">
      <w:pPr>
        <w:ind w:left="1440"/>
        <w:contextualSpacing/>
        <w:jc w:val="both"/>
        <w:rPr>
          <w:rFonts w:ascii="Arial Narrow" w:eastAsia="Calibri" w:hAnsi="Arial Narrow"/>
          <w:b/>
          <w:color w:val="000000" w:themeColor="text1"/>
        </w:rPr>
      </w:pPr>
      <m:oMathPara>
        <m:oMathParaPr>
          <m:jc m:val="left"/>
        </m:oMathParaPr>
        <m:oMath>
          <m:r>
            <m:rPr>
              <m:sty m:val="bi"/>
            </m:rPr>
            <w:rPr>
              <w:rFonts w:ascii="Cambria Math" w:eastAsia="Calibri" w:hAnsi="Cambria Math"/>
              <w:color w:val="000000" w:themeColor="text1"/>
            </w:rPr>
            <m:t>LiqDif=</m:t>
          </m:r>
          <m:d>
            <m:dPr>
              <m:ctrlPr>
                <w:rPr>
                  <w:rFonts w:ascii="Cambria Math" w:eastAsia="Calibri" w:hAnsi="Cambria Math"/>
                  <w:i/>
                  <w:color w:val="000000" w:themeColor="text1"/>
                </w:rPr>
              </m:ctrlPr>
            </m:dPr>
            <m:e>
              <m:r>
                <m:rPr>
                  <m:sty m:val="bi"/>
                </m:rPr>
                <w:rPr>
                  <w:rFonts w:ascii="Cambria Math" w:eastAsia="Calibri" w:hAnsi="Cambria Math"/>
                  <w:color w:val="000000" w:themeColor="text1"/>
                </w:rPr>
                <m:t>P</m:t>
              </m:r>
              <m:sSub>
                <m:sSubPr>
                  <m:ctrlPr>
                    <w:rPr>
                      <w:rFonts w:ascii="Cambria Math" w:eastAsia="Calibri" w:hAnsi="Cambria Math"/>
                      <w:i/>
                      <w:color w:val="000000" w:themeColor="text1"/>
                    </w:rPr>
                  </m:ctrlPr>
                </m:sSubPr>
                <m:e>
                  <m:r>
                    <m:rPr>
                      <m:sty m:val="bi"/>
                    </m:rPr>
                    <w:rPr>
                      <w:rFonts w:ascii="Cambria Math" w:eastAsia="Calibri" w:hAnsi="Cambria Math"/>
                      <w:color w:val="000000" w:themeColor="text1"/>
                    </w:rPr>
                    <m:t>L</m:t>
                  </m:r>
                </m:e>
                <m:sub>
                  <m:r>
                    <m:rPr>
                      <m:sty m:val="bi"/>
                    </m:rPr>
                    <w:rPr>
                      <w:rFonts w:ascii="Cambria Math" w:eastAsia="Calibri" w:hAnsi="Cambria Math"/>
                      <w:color w:val="000000" w:themeColor="text1"/>
                    </w:rPr>
                    <m:t>t</m:t>
                  </m:r>
                </m:sub>
              </m:sSub>
              <m:r>
                <m:rPr>
                  <m:sty m:val="bi"/>
                </m:rPr>
                <w:rPr>
                  <w:rFonts w:ascii="Cambria Math" w:eastAsia="Calibri" w:hAnsi="Cambria Math"/>
                  <w:color w:val="000000" w:themeColor="text1"/>
                </w:rPr>
                <m:t>-P</m:t>
              </m:r>
              <m:sSub>
                <m:sSubPr>
                  <m:ctrlPr>
                    <w:rPr>
                      <w:rFonts w:ascii="Cambria Math" w:eastAsia="Calibri" w:hAnsi="Cambria Math"/>
                      <w:i/>
                      <w:color w:val="000000" w:themeColor="text1"/>
                    </w:rPr>
                  </m:ctrlPr>
                </m:sSubPr>
                <m:e>
                  <m:r>
                    <m:rPr>
                      <m:sty m:val="bi"/>
                    </m:rPr>
                    <w:rPr>
                      <w:rFonts w:ascii="Cambria Math" w:eastAsia="Calibri" w:hAnsi="Cambria Math"/>
                      <w:color w:val="000000" w:themeColor="text1"/>
                    </w:rPr>
                    <m:t>N</m:t>
                  </m:r>
                </m:e>
                <m:sub>
                  <m:r>
                    <m:rPr>
                      <m:sty m:val="bi"/>
                    </m:rPr>
                    <w:rPr>
                      <w:rFonts w:ascii="Cambria Math" w:eastAsia="Calibri" w:hAnsi="Cambria Math"/>
                      <w:color w:val="000000" w:themeColor="text1"/>
                    </w:rPr>
                    <m:t>t</m:t>
                  </m:r>
                </m:sub>
              </m:sSub>
            </m:e>
          </m:d>
          <m:r>
            <m:rPr>
              <m:sty m:val="bi"/>
            </m:rPr>
            <w:rPr>
              <w:rFonts w:ascii="Cambria Math" w:eastAsia="Calibri" w:hAnsi="Cambria Math"/>
              <w:color w:val="000000" w:themeColor="text1"/>
            </w:rPr>
            <m:t>×m×Q</m:t>
          </m:r>
        </m:oMath>
      </m:oMathPara>
    </w:p>
    <w:p w14:paraId="4E3CEEC3" w14:textId="77777777" w:rsidR="007968EC" w:rsidRPr="002C0D19" w:rsidRDefault="007968EC" w:rsidP="007968EC">
      <w:pPr>
        <w:jc w:val="both"/>
        <w:rPr>
          <w:rFonts w:ascii="Arial Narrow" w:eastAsia="Calibri" w:hAnsi="Arial Narrow"/>
          <w:b/>
          <w:bCs/>
          <w:color w:val="000000" w:themeColor="text1"/>
        </w:rPr>
      </w:pPr>
    </w:p>
    <w:p w14:paraId="12A08B14" w14:textId="77777777" w:rsidR="007968EC" w:rsidRPr="002C0D19" w:rsidRDefault="007968EC" w:rsidP="00DA7472">
      <w:pPr>
        <w:numPr>
          <w:ilvl w:val="0"/>
          <w:numId w:val="175"/>
        </w:numPr>
        <w:contextualSpacing/>
        <w:jc w:val="both"/>
        <w:rPr>
          <w:rFonts w:ascii="Arial Narrow" w:eastAsia="Calibri" w:hAnsi="Arial Narrow" w:cs="Arial Narrow"/>
          <w:color w:val="000000" w:themeColor="text1"/>
        </w:rPr>
      </w:pPr>
      <w:r w:rsidRPr="002C0D19">
        <w:rPr>
          <w:rFonts w:ascii="Arial Narrow" w:eastAsia="Calibri" w:hAnsi="Arial Narrow" w:cs="Arial Narrow"/>
          <w:color w:val="000000" w:themeColor="text1"/>
        </w:rPr>
        <w:t>Posiciones Abiertas del día anterior.</w:t>
      </w:r>
    </w:p>
    <w:p w14:paraId="340448BF" w14:textId="77777777" w:rsidR="007968EC" w:rsidRPr="002C0D19" w:rsidRDefault="007968EC" w:rsidP="007968EC">
      <w:pPr>
        <w:jc w:val="both"/>
        <w:rPr>
          <w:rFonts w:ascii="Arial Narrow" w:eastAsia="Calibri" w:hAnsi="Arial Narrow" w:cs="Arial Narrow"/>
          <w:color w:val="000000" w:themeColor="text1"/>
          <w:lang w:eastAsia="es-CO"/>
        </w:rPr>
      </w:pPr>
    </w:p>
    <w:p w14:paraId="23678FFF" w14:textId="77777777" w:rsidR="007968EC" w:rsidRPr="002C0D19" w:rsidRDefault="007968EC" w:rsidP="007968EC">
      <w:pPr>
        <w:ind w:left="720"/>
        <w:jc w:val="both"/>
        <w:rPr>
          <w:rFonts w:ascii="Arial Narrow" w:eastAsia="Calibri" w:hAnsi="Arial Narrow"/>
          <w:b/>
          <w:i/>
          <w:color w:val="000000" w:themeColor="text1"/>
        </w:rPr>
      </w:pPr>
      <m:oMathPara>
        <m:oMathParaPr>
          <m:jc m:val="left"/>
        </m:oMathParaPr>
        <m:oMath>
          <m:r>
            <m:rPr>
              <m:sty m:val="bi"/>
            </m:rPr>
            <w:rPr>
              <w:rFonts w:ascii="Cambria Math" w:eastAsia="Calibri" w:hAnsi="Cambria Math"/>
              <w:color w:val="000000" w:themeColor="text1"/>
            </w:rPr>
            <m:t>iqDif=</m:t>
          </m:r>
          <m:d>
            <m:dPr>
              <m:ctrlPr>
                <w:rPr>
                  <w:rFonts w:ascii="Cambria Math" w:eastAsia="Calibri" w:hAnsi="Cambria Math"/>
                  <w:i/>
                  <w:color w:val="000000" w:themeColor="text1"/>
                </w:rPr>
              </m:ctrlPr>
            </m:dPr>
            <m:e>
              <m:r>
                <m:rPr>
                  <m:sty m:val="bi"/>
                </m:rPr>
                <w:rPr>
                  <w:rFonts w:ascii="Cambria Math" w:eastAsia="Calibri" w:hAnsi="Cambria Math"/>
                  <w:color w:val="000000" w:themeColor="text1"/>
                </w:rPr>
                <m:t>P</m:t>
              </m:r>
              <m:sSub>
                <m:sSubPr>
                  <m:ctrlPr>
                    <w:rPr>
                      <w:rFonts w:ascii="Cambria Math" w:eastAsia="Calibri" w:hAnsi="Cambria Math"/>
                      <w:i/>
                      <w:color w:val="000000" w:themeColor="text1"/>
                    </w:rPr>
                  </m:ctrlPr>
                </m:sSubPr>
                <m:e>
                  <m:r>
                    <m:rPr>
                      <m:sty m:val="bi"/>
                    </m:rPr>
                    <w:rPr>
                      <w:rFonts w:ascii="Cambria Math" w:eastAsia="Calibri" w:hAnsi="Cambria Math"/>
                      <w:color w:val="000000" w:themeColor="text1"/>
                    </w:rPr>
                    <m:t>L</m:t>
                  </m:r>
                </m:e>
                <m:sub>
                  <m:r>
                    <m:rPr>
                      <m:sty m:val="bi"/>
                    </m:rPr>
                    <w:rPr>
                      <w:rFonts w:ascii="Cambria Math" w:eastAsia="Calibri" w:hAnsi="Cambria Math"/>
                      <w:color w:val="000000" w:themeColor="text1"/>
                    </w:rPr>
                    <m:t>t</m:t>
                  </m:r>
                </m:sub>
              </m:sSub>
              <m:r>
                <m:rPr>
                  <m:sty m:val="bi"/>
                </m:rPr>
                <w:rPr>
                  <w:rFonts w:ascii="Cambria Math" w:eastAsia="Calibri" w:hAnsi="Cambria Math"/>
                  <w:color w:val="000000" w:themeColor="text1"/>
                </w:rPr>
                <m:t>-P</m:t>
              </m:r>
              <m:sSub>
                <m:sSubPr>
                  <m:ctrlPr>
                    <w:rPr>
                      <w:rFonts w:ascii="Cambria Math" w:eastAsia="Calibri" w:hAnsi="Cambria Math"/>
                      <w:i/>
                      <w:color w:val="000000" w:themeColor="text1"/>
                    </w:rPr>
                  </m:ctrlPr>
                </m:sSubPr>
                <m:e>
                  <m:r>
                    <m:rPr>
                      <m:sty m:val="bi"/>
                    </m:rPr>
                    <w:rPr>
                      <w:rFonts w:ascii="Cambria Math" w:eastAsia="Calibri" w:hAnsi="Cambria Math"/>
                      <w:color w:val="000000" w:themeColor="text1"/>
                    </w:rPr>
                    <m:t>L</m:t>
                  </m:r>
                </m:e>
                <m:sub>
                  <m:r>
                    <m:rPr>
                      <m:sty m:val="bi"/>
                    </m:rPr>
                    <w:rPr>
                      <w:rFonts w:ascii="Cambria Math" w:eastAsia="Calibri" w:hAnsi="Cambria Math"/>
                      <w:color w:val="000000" w:themeColor="text1"/>
                    </w:rPr>
                    <m:t>t-1</m:t>
                  </m:r>
                </m:sub>
              </m:sSub>
            </m:e>
          </m:d>
          <m:r>
            <m:rPr>
              <m:sty m:val="bi"/>
            </m:rPr>
            <w:rPr>
              <w:rFonts w:ascii="Cambria Math" w:eastAsia="Calibri" w:hAnsi="Cambria Math"/>
              <w:color w:val="000000" w:themeColor="text1"/>
            </w:rPr>
            <m:t>×m×Q</m:t>
          </m:r>
        </m:oMath>
      </m:oMathPara>
    </w:p>
    <w:p w14:paraId="570BDD7C" w14:textId="77777777" w:rsidR="007968EC" w:rsidRPr="002C0D19" w:rsidRDefault="007968EC" w:rsidP="007968EC">
      <w:pPr>
        <w:jc w:val="both"/>
        <w:rPr>
          <w:rFonts w:ascii="Arial Narrow" w:eastAsia="Calibri" w:hAnsi="Arial Narrow" w:cs="Arial Narrow"/>
          <w:b/>
          <w:color w:val="000000" w:themeColor="text1"/>
          <w:lang w:eastAsia="es-CO"/>
        </w:rPr>
      </w:pPr>
    </w:p>
    <w:p w14:paraId="7D3CD28F" w14:textId="77777777" w:rsidR="007968EC" w:rsidRPr="002C0D19" w:rsidRDefault="007968EC" w:rsidP="007968EC">
      <w:pPr>
        <w:autoSpaceDE w:val="0"/>
        <w:autoSpaceDN w:val="0"/>
        <w:adjustRightInd w:val="0"/>
        <w:jc w:val="both"/>
        <w:rPr>
          <w:rFonts w:ascii="Arial Narrow" w:eastAsia="Calibri" w:hAnsi="Arial Narrow" w:cs="Arial Narrow"/>
          <w:b/>
          <w:color w:val="000000" w:themeColor="text1"/>
          <w:lang w:eastAsia="es-CO"/>
        </w:rPr>
      </w:pPr>
      <w:r w:rsidRPr="002C0D19">
        <w:rPr>
          <w:rFonts w:ascii="Arial Narrow" w:eastAsia="Calibri" w:hAnsi="Arial Narrow" w:cs="Arial Narrow"/>
          <w:color w:val="000000" w:themeColor="text1"/>
          <w:lang w:eastAsia="es-CO"/>
        </w:rPr>
        <w:t>Donde:</w:t>
      </w:r>
    </w:p>
    <w:p w14:paraId="2166A319" w14:textId="77777777" w:rsidR="007968EC" w:rsidRPr="002C0D19" w:rsidRDefault="007968EC" w:rsidP="007968EC">
      <w:pPr>
        <w:autoSpaceDE w:val="0"/>
        <w:autoSpaceDN w:val="0"/>
        <w:adjustRightInd w:val="0"/>
        <w:jc w:val="both"/>
        <w:rPr>
          <w:rFonts w:ascii="Arial Narrow" w:eastAsia="Calibri" w:hAnsi="Arial Narrow" w:cs="Arial Narrow"/>
          <w:b/>
          <w:color w:val="000000" w:themeColor="text1"/>
          <w:lang w:eastAsia="es-CO"/>
        </w:rPr>
      </w:pPr>
    </w:p>
    <w:p w14:paraId="798BC654" w14:textId="77777777" w:rsidR="007968EC" w:rsidRPr="002C0D19" w:rsidRDefault="007968EC" w:rsidP="007968EC">
      <w:pPr>
        <w:autoSpaceDE w:val="0"/>
        <w:autoSpaceDN w:val="0"/>
        <w:adjustRightInd w:val="0"/>
        <w:jc w:val="both"/>
        <w:rPr>
          <w:rFonts w:ascii="Arial Narrow" w:eastAsia="Calibri" w:hAnsi="Arial Narrow" w:cs="Arial Narrow"/>
          <w:b/>
          <w:color w:val="000000" w:themeColor="text1"/>
          <w:lang w:eastAsia="es-CO"/>
        </w:rPr>
      </w:pPr>
      <w:r w:rsidRPr="002C0D19">
        <w:rPr>
          <w:rFonts w:ascii="Cambria Math" w:eastAsia="Calibri" w:hAnsi="Cambria Math" w:cs="Cambria Math"/>
          <w:color w:val="000000" w:themeColor="text1"/>
          <w:lang w:eastAsia="es-CO"/>
        </w:rPr>
        <w:t>𝑷</w:t>
      </w:r>
      <w:r w:rsidRPr="002C0D19">
        <w:rPr>
          <w:rFonts w:ascii="Arial Narrow" w:eastAsia="Calibri" w:hAnsi="Arial Narrow" w:cs="Cambria Math"/>
          <w:color w:val="000000" w:themeColor="text1"/>
          <w:lang w:eastAsia="es-CO"/>
        </w:rPr>
        <w:t>N</w:t>
      </w:r>
      <w:r w:rsidRPr="002C0D19">
        <w:rPr>
          <w:rFonts w:ascii="Cambria Math" w:eastAsia="Calibri" w:hAnsi="Cambria Math" w:cs="Cambria Math"/>
          <w:color w:val="000000" w:themeColor="text1"/>
          <w:lang w:eastAsia="es-CO"/>
        </w:rPr>
        <w:t>𝒕</w:t>
      </w:r>
      <w:r w:rsidRPr="002C0D19">
        <w:rPr>
          <w:rFonts w:ascii="Arial Narrow" w:eastAsia="Calibri" w:hAnsi="Arial Narrow" w:cs="Cambria Math"/>
          <w:color w:val="000000" w:themeColor="text1"/>
          <w:lang w:eastAsia="es-CO"/>
        </w:rPr>
        <w:t xml:space="preserve"> = </w:t>
      </w:r>
      <w:r w:rsidRPr="002C0D19">
        <w:rPr>
          <w:rFonts w:ascii="Arial Narrow" w:eastAsia="Calibri" w:hAnsi="Arial Narrow" w:cs="Arial Narrow"/>
          <w:color w:val="000000" w:themeColor="text1"/>
          <w:lang w:eastAsia="es-CO"/>
        </w:rPr>
        <w:t>Precio de Negociación</w:t>
      </w:r>
    </w:p>
    <w:p w14:paraId="024472F7" w14:textId="77777777" w:rsidR="007968EC" w:rsidRPr="002C0D19" w:rsidRDefault="007968EC" w:rsidP="007968EC">
      <w:pPr>
        <w:autoSpaceDE w:val="0"/>
        <w:autoSpaceDN w:val="0"/>
        <w:adjustRightInd w:val="0"/>
        <w:jc w:val="both"/>
        <w:rPr>
          <w:rFonts w:ascii="Arial Narrow" w:eastAsia="Calibri" w:hAnsi="Arial Narrow" w:cs="Arial Narrow"/>
          <w:b/>
          <w:color w:val="000000" w:themeColor="text1"/>
          <w:lang w:eastAsia="es-CO"/>
        </w:rPr>
      </w:pPr>
      <w:r w:rsidRPr="002C0D19">
        <w:rPr>
          <w:rFonts w:ascii="Cambria Math" w:eastAsia="Calibri" w:hAnsi="Cambria Math" w:cs="Cambria Math"/>
          <w:color w:val="000000" w:themeColor="text1"/>
          <w:lang w:eastAsia="es-CO"/>
        </w:rPr>
        <w:t>𝑷𝑳𝒕</w:t>
      </w:r>
      <w:r w:rsidRPr="002C0D19">
        <w:rPr>
          <w:rFonts w:ascii="Arial Narrow" w:eastAsia="Calibri" w:hAnsi="Arial Narrow" w:cs="Cambria Math"/>
          <w:color w:val="000000" w:themeColor="text1"/>
          <w:lang w:eastAsia="es-CO"/>
        </w:rPr>
        <w:t xml:space="preserve"> = </w:t>
      </w:r>
      <w:r w:rsidRPr="002C0D19">
        <w:rPr>
          <w:rFonts w:ascii="Arial Narrow" w:eastAsia="Calibri" w:hAnsi="Arial Narrow" w:cs="Arial Narrow"/>
          <w:color w:val="000000" w:themeColor="text1"/>
          <w:lang w:eastAsia="es-CO"/>
        </w:rPr>
        <w:t>Precio de Liquidación para Contratos</w:t>
      </w:r>
    </w:p>
    <w:p w14:paraId="16FB1752" w14:textId="77777777" w:rsidR="007968EC" w:rsidRPr="002C0D19" w:rsidRDefault="007968EC" w:rsidP="007968EC">
      <w:pPr>
        <w:autoSpaceDE w:val="0"/>
        <w:autoSpaceDN w:val="0"/>
        <w:adjustRightInd w:val="0"/>
        <w:jc w:val="both"/>
        <w:rPr>
          <w:rFonts w:ascii="Arial Narrow" w:eastAsia="Calibri" w:hAnsi="Arial Narrow" w:cs="Arial Narrow"/>
          <w:b/>
          <w:color w:val="000000" w:themeColor="text1"/>
          <w:lang w:eastAsia="es-CO"/>
        </w:rPr>
      </w:pPr>
      <w:r w:rsidRPr="002C0D19">
        <w:rPr>
          <w:rFonts w:ascii="Cambria Math" w:eastAsia="Calibri" w:hAnsi="Cambria Math" w:cs="Cambria Math"/>
          <w:color w:val="000000" w:themeColor="text1"/>
          <w:lang w:eastAsia="es-CO"/>
        </w:rPr>
        <w:t>𝑷𝑳𝒕</w:t>
      </w:r>
      <w:r w:rsidRPr="002C0D19">
        <w:rPr>
          <w:rFonts w:ascii="Arial Narrow" w:eastAsia="Calibri" w:hAnsi="Arial Narrow" w:cs="Cambria Math"/>
          <w:color w:val="000000" w:themeColor="text1"/>
          <w:lang w:eastAsia="es-CO"/>
        </w:rPr>
        <w:t>−</w:t>
      </w:r>
      <w:r w:rsidRPr="002C0D19">
        <w:rPr>
          <w:rFonts w:ascii="Cambria Math" w:eastAsia="Calibri" w:hAnsi="Cambria Math" w:cs="Cambria Math"/>
          <w:color w:val="000000" w:themeColor="text1"/>
          <w:lang w:eastAsia="es-CO"/>
        </w:rPr>
        <w:t>𝟏</w:t>
      </w:r>
      <w:r w:rsidRPr="002C0D19">
        <w:rPr>
          <w:rFonts w:ascii="Arial Narrow" w:eastAsia="Calibri" w:hAnsi="Arial Narrow" w:cs="Cambria Math"/>
          <w:color w:val="000000" w:themeColor="text1"/>
          <w:lang w:eastAsia="es-CO"/>
        </w:rPr>
        <w:t xml:space="preserve"> =</w:t>
      </w:r>
      <w:r w:rsidRPr="002C0D19">
        <w:rPr>
          <w:rFonts w:ascii="Arial Narrow" w:eastAsia="Calibri" w:hAnsi="Arial Narrow" w:cs="Arial Narrow"/>
          <w:color w:val="000000" w:themeColor="text1"/>
          <w:lang w:eastAsia="es-CO"/>
        </w:rPr>
        <w:t>Precio de Liquidación para Contratos de la sesión anterior</w:t>
      </w:r>
    </w:p>
    <w:p w14:paraId="39BA5100" w14:textId="77777777" w:rsidR="007968EC" w:rsidRPr="002C0D19" w:rsidRDefault="007968EC" w:rsidP="007968EC">
      <w:pPr>
        <w:autoSpaceDE w:val="0"/>
        <w:autoSpaceDN w:val="0"/>
        <w:adjustRightInd w:val="0"/>
        <w:jc w:val="both"/>
        <w:rPr>
          <w:rFonts w:ascii="Arial Narrow" w:eastAsia="Calibri" w:hAnsi="Arial Narrow" w:cs="Arial Narrow"/>
          <w:b/>
          <w:color w:val="000000" w:themeColor="text1"/>
          <w:lang w:eastAsia="es-CO"/>
        </w:rPr>
      </w:pPr>
      <w:r w:rsidRPr="002C0D19">
        <w:rPr>
          <w:rFonts w:ascii="Cambria Math" w:eastAsia="Calibri" w:hAnsi="Cambria Math" w:cs="Cambria Math"/>
          <w:color w:val="000000" w:themeColor="text1"/>
          <w:lang w:eastAsia="es-CO"/>
        </w:rPr>
        <w:t>𝒎</w:t>
      </w:r>
      <w:r w:rsidRPr="002C0D19">
        <w:rPr>
          <w:rFonts w:ascii="Arial Narrow" w:eastAsia="Calibri" w:hAnsi="Arial Narrow" w:cs="Cambria Math"/>
          <w:color w:val="000000" w:themeColor="text1"/>
          <w:lang w:eastAsia="es-CO"/>
        </w:rPr>
        <w:t xml:space="preserve"> = </w:t>
      </w:r>
      <w:r w:rsidRPr="002C0D19">
        <w:rPr>
          <w:rFonts w:ascii="Arial Narrow" w:eastAsia="Calibri" w:hAnsi="Arial Narrow" w:cs="Arial Narrow"/>
          <w:color w:val="000000" w:themeColor="text1"/>
          <w:lang w:eastAsia="es-CO"/>
        </w:rPr>
        <w:t>Multiplicador</w:t>
      </w:r>
    </w:p>
    <w:p w14:paraId="3BC23DEC" w14:textId="77777777" w:rsidR="007968EC" w:rsidRPr="002C0D19" w:rsidRDefault="007968EC" w:rsidP="007968EC">
      <w:pPr>
        <w:jc w:val="both"/>
        <w:rPr>
          <w:rFonts w:ascii="Arial Narrow" w:eastAsia="Calibri" w:hAnsi="Arial Narrow" w:cs="Arial Narrow"/>
          <w:b/>
          <w:color w:val="000000" w:themeColor="text1"/>
          <w:lang w:eastAsia="es-CO"/>
        </w:rPr>
      </w:pPr>
      <w:r w:rsidRPr="002C0D19">
        <w:rPr>
          <w:rFonts w:ascii="Cambria Math" w:eastAsia="Calibri" w:hAnsi="Cambria Math" w:cs="Cambria Math"/>
          <w:color w:val="000000" w:themeColor="text1"/>
          <w:lang w:eastAsia="es-CO"/>
        </w:rPr>
        <w:t>𝑸</w:t>
      </w:r>
      <w:r w:rsidRPr="002C0D19">
        <w:rPr>
          <w:rFonts w:ascii="Arial Narrow" w:eastAsia="Calibri" w:hAnsi="Arial Narrow" w:cs="Cambria Math"/>
          <w:color w:val="000000" w:themeColor="text1"/>
          <w:lang w:eastAsia="es-CO"/>
        </w:rPr>
        <w:t xml:space="preserve"> = </w:t>
      </w:r>
      <w:r w:rsidRPr="002C0D19">
        <w:rPr>
          <w:rFonts w:ascii="Arial Narrow" w:eastAsia="Calibri" w:hAnsi="Arial Narrow" w:cs="Arial Narrow"/>
          <w:color w:val="000000" w:themeColor="text1"/>
          <w:lang w:eastAsia="es-CO"/>
        </w:rPr>
        <w:t>Cantidad de Contratos que llevará signo positivo en el caso de los Contratos comprados y negativo en el caso de los Contratos vendidos.</w:t>
      </w:r>
    </w:p>
    <w:p w14:paraId="25CE672B" w14:textId="77777777" w:rsidR="007968EC" w:rsidRPr="002C0D19" w:rsidRDefault="007968EC" w:rsidP="007968EC">
      <w:pPr>
        <w:jc w:val="both"/>
        <w:rPr>
          <w:rFonts w:ascii="Arial Narrow" w:eastAsia="Calibri" w:hAnsi="Arial Narrow"/>
          <w:b/>
          <w:bCs/>
          <w:color w:val="000000" w:themeColor="text1"/>
        </w:rPr>
      </w:pPr>
    </w:p>
    <w:p w14:paraId="7A58ADB1" w14:textId="77777777" w:rsidR="007968EC" w:rsidRPr="002C0D19" w:rsidRDefault="007968EC" w:rsidP="007968EC">
      <w:pPr>
        <w:jc w:val="both"/>
        <w:rPr>
          <w:rFonts w:ascii="Arial Narrow" w:eastAsia="Calibri" w:hAnsi="Arial Narrow" w:cs="Arial Narrow"/>
          <w:color w:val="000000" w:themeColor="text1"/>
          <w:lang w:eastAsia="es-CO"/>
        </w:rPr>
      </w:pPr>
      <w:r w:rsidRPr="002C0D19">
        <w:rPr>
          <w:rFonts w:ascii="Arial Narrow" w:eastAsia="Calibri" w:hAnsi="Arial Narrow" w:cs="Arial Narrow"/>
          <w:color w:val="000000" w:themeColor="text1"/>
          <w:lang w:eastAsia="es-CO"/>
        </w:rPr>
        <w:t xml:space="preserve">En general, cuando </w:t>
      </w:r>
      <w:proofErr w:type="gramStart"/>
      <w:r w:rsidRPr="002C0D19">
        <w:rPr>
          <w:rFonts w:ascii="Arial Narrow" w:eastAsia="Calibri" w:hAnsi="Arial Narrow" w:cs="Arial Narrow"/>
          <w:color w:val="000000" w:themeColor="text1"/>
          <w:lang w:eastAsia="es-CO"/>
        </w:rPr>
        <w:t>ésta</w:t>
      </w:r>
      <w:proofErr w:type="gramEnd"/>
      <w:r w:rsidRPr="002C0D19">
        <w:rPr>
          <w:rFonts w:ascii="Arial Narrow" w:eastAsia="Calibri" w:hAnsi="Arial Narrow" w:cs="Arial Narrow"/>
          <w:color w:val="000000" w:themeColor="text1"/>
          <w:lang w:eastAsia="es-CO"/>
        </w:rPr>
        <w:t xml:space="preserve"> Liquidación sea positiva será acreditada a los Miembros Liquidadores y compensará los cargos ocasionados por otros conceptos que la Cámara incluye en la Liquidación Diaria; en caso contrario este importe será debitado de las cuentas de depósito en el Banco de la República que los Miembros Liquidadores tienen registrado en el Sistema.</w:t>
      </w:r>
    </w:p>
    <w:p w14:paraId="370C4DAC" w14:textId="77777777" w:rsidR="007968EC" w:rsidRPr="002C0D19" w:rsidRDefault="007968EC" w:rsidP="007968EC">
      <w:pPr>
        <w:jc w:val="both"/>
        <w:rPr>
          <w:rFonts w:ascii="Arial Narrow" w:eastAsia="Calibri" w:hAnsi="Arial Narrow"/>
          <w:color w:val="000000" w:themeColor="text1"/>
        </w:rPr>
      </w:pPr>
    </w:p>
    <w:p w14:paraId="6E0C8863" w14:textId="77777777" w:rsidR="007968EC" w:rsidRPr="002C0D19" w:rsidRDefault="007968EC" w:rsidP="007968EC">
      <w:pPr>
        <w:pStyle w:val="ARTICULO0"/>
      </w:pPr>
      <w:bookmarkStart w:id="4105" w:name="_Toc470779927"/>
      <w:bookmarkStart w:id="4106" w:name="_Toc470780544"/>
      <w:bookmarkStart w:id="4107" w:name="_Toc470781057"/>
      <w:bookmarkStart w:id="4108" w:name="_Toc470784618"/>
      <w:bookmarkStart w:id="4109" w:name="_Toc470785155"/>
      <w:bookmarkStart w:id="4110" w:name="_Toc470791547"/>
      <w:bookmarkStart w:id="4111" w:name="_Toc472592308"/>
      <w:bookmarkStart w:id="4112" w:name="_Toc472593327"/>
      <w:bookmarkStart w:id="4113" w:name="_Toc479057113"/>
      <w:bookmarkStart w:id="4114" w:name="_Toc490066451"/>
      <w:bookmarkStart w:id="4115" w:name="_Toc31716128"/>
      <w:r w:rsidRPr="002C0D19">
        <w:t>Artículo 2.4.2.3.  Etapas del Procedimiento de Liquidación Diaria.</w:t>
      </w:r>
      <w:bookmarkEnd w:id="4105"/>
      <w:bookmarkEnd w:id="4106"/>
      <w:bookmarkEnd w:id="4107"/>
      <w:bookmarkEnd w:id="4108"/>
      <w:bookmarkEnd w:id="4109"/>
      <w:bookmarkEnd w:id="4110"/>
      <w:bookmarkEnd w:id="4111"/>
      <w:bookmarkEnd w:id="4112"/>
      <w:bookmarkEnd w:id="4113"/>
      <w:bookmarkEnd w:id="4114"/>
      <w:bookmarkEnd w:id="4115"/>
    </w:p>
    <w:p w14:paraId="71D9340D" w14:textId="77777777" w:rsidR="007968EC" w:rsidRPr="002C0D19" w:rsidRDefault="007968EC" w:rsidP="007968EC">
      <w:pPr>
        <w:jc w:val="both"/>
        <w:rPr>
          <w:rFonts w:ascii="Arial Narrow" w:eastAsia="Calibri" w:hAnsi="Arial Narrow"/>
          <w:b/>
          <w:color w:val="000000" w:themeColor="text1"/>
        </w:rPr>
      </w:pPr>
    </w:p>
    <w:p w14:paraId="34AEBAC1"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El procedimiento de Liquidación Diaria se llevará a cabo en las siguientes etapas:</w:t>
      </w:r>
    </w:p>
    <w:p w14:paraId="2E3F4479" w14:textId="77777777" w:rsidR="007968EC" w:rsidRPr="002C0D19" w:rsidRDefault="007968EC" w:rsidP="007968EC">
      <w:pPr>
        <w:jc w:val="both"/>
        <w:rPr>
          <w:rFonts w:ascii="Arial Narrow" w:eastAsia="Calibri" w:hAnsi="Arial Narrow"/>
          <w:color w:val="000000" w:themeColor="text1"/>
        </w:rPr>
      </w:pPr>
    </w:p>
    <w:p w14:paraId="4C329EF0" w14:textId="77777777" w:rsidR="007968EC" w:rsidRPr="002C0D19" w:rsidRDefault="007968EC" w:rsidP="00DA7472">
      <w:pPr>
        <w:numPr>
          <w:ilvl w:val="0"/>
          <w:numId w:val="176"/>
        </w:numPr>
        <w:tabs>
          <w:tab w:val="num" w:pos="426"/>
        </w:tabs>
        <w:ind w:left="457" w:right="-42" w:hanging="457"/>
        <w:jc w:val="both"/>
        <w:rPr>
          <w:rFonts w:ascii="Arial Narrow" w:eastAsia="Calibri" w:hAnsi="Arial Narrow"/>
          <w:color w:val="000000" w:themeColor="text1"/>
        </w:rPr>
      </w:pPr>
      <w:r w:rsidRPr="002C0D19">
        <w:rPr>
          <w:rFonts w:ascii="Arial Narrow" w:eastAsia="Calibri" w:hAnsi="Arial Narrow"/>
          <w:color w:val="000000" w:themeColor="text1"/>
        </w:rPr>
        <w:t>Primera etapa: La Cámara entregará diariamente al Miembro Liquidador la información acerca de la Liquidación de las operaciones registradas en el día a través del Sistema de Cámara antes del inicio de la sesión de Aceptación de Operaciones del día hábil siguiente al de la fecha de la celebración de las Operaciones Aceptadas. La información incluirá la situación detallada de sus Cuentas, de sus Terceros Identificados y el importe de Garantías correspondiente a las mismas.</w:t>
      </w:r>
    </w:p>
    <w:p w14:paraId="4D0833E1" w14:textId="77777777" w:rsidR="007968EC" w:rsidRPr="002C0D19" w:rsidRDefault="007968EC" w:rsidP="007968EC">
      <w:pPr>
        <w:tabs>
          <w:tab w:val="num" w:pos="426"/>
          <w:tab w:val="num" w:pos="567"/>
        </w:tabs>
        <w:ind w:left="426" w:hanging="457"/>
        <w:jc w:val="both"/>
        <w:rPr>
          <w:rFonts w:ascii="Arial Narrow" w:eastAsia="Calibri" w:hAnsi="Arial Narrow"/>
          <w:color w:val="000000" w:themeColor="text1"/>
        </w:rPr>
      </w:pPr>
      <w:r w:rsidRPr="002C0D19">
        <w:rPr>
          <w:rFonts w:ascii="Arial Narrow" w:eastAsia="Calibri" w:hAnsi="Arial Narrow"/>
          <w:color w:val="000000" w:themeColor="text1"/>
        </w:rPr>
        <w:tab/>
        <w:t>Con base en la información, la Cámara procederá a la preparación de las órdenes de transferencia por cargo o abono en la cuenta CUD del Miembro Liquidador en el Banco de la República.</w:t>
      </w:r>
    </w:p>
    <w:p w14:paraId="4EBB1EA5" w14:textId="77777777" w:rsidR="007968EC" w:rsidRPr="007128BF" w:rsidRDefault="007968EC" w:rsidP="007968EC">
      <w:pPr>
        <w:jc w:val="both"/>
        <w:rPr>
          <w:rFonts w:ascii="Arial Narrow" w:hAnsi="Arial Narrow" w:cs="Arial"/>
          <w:color w:val="000000" w:themeColor="text1"/>
          <w:lang w:eastAsia="es-ES"/>
        </w:rPr>
      </w:pPr>
    </w:p>
    <w:p w14:paraId="7B938CF5" w14:textId="77777777" w:rsidR="007968EC" w:rsidRDefault="007968EC" w:rsidP="00DA7472">
      <w:pPr>
        <w:numPr>
          <w:ilvl w:val="0"/>
          <w:numId w:val="176"/>
        </w:numPr>
        <w:tabs>
          <w:tab w:val="num" w:pos="426"/>
        </w:tabs>
        <w:ind w:left="426" w:hanging="457"/>
        <w:jc w:val="both"/>
        <w:rPr>
          <w:rFonts w:ascii="Arial Narrow" w:eastAsia="Calibri" w:hAnsi="Arial Narrow"/>
          <w:color w:val="000000" w:themeColor="text1"/>
        </w:rPr>
      </w:pPr>
      <w:r w:rsidRPr="002C0D19">
        <w:rPr>
          <w:rFonts w:ascii="Arial Narrow" w:eastAsia="Calibri" w:hAnsi="Arial Narrow"/>
          <w:color w:val="000000" w:themeColor="text1"/>
        </w:rPr>
        <w:t xml:space="preserve">Segunda etapa: Se realiza en la sesión denominada Liquidación Diaria. La Cámara transmite las órdenes de transferencia de cargo y abono en la cuenta CUD de los Miembros Liquidadores </w:t>
      </w:r>
      <w:proofErr w:type="spellStart"/>
      <w:r w:rsidRPr="002C0D19">
        <w:rPr>
          <w:rFonts w:ascii="Arial Narrow" w:eastAsia="Calibri" w:hAnsi="Arial Narrow"/>
          <w:color w:val="000000" w:themeColor="text1"/>
        </w:rPr>
        <w:t>ó</w:t>
      </w:r>
      <w:proofErr w:type="spellEnd"/>
      <w:r w:rsidRPr="002C0D19">
        <w:rPr>
          <w:rFonts w:ascii="Arial Narrow" w:eastAsia="Calibri" w:hAnsi="Arial Narrow"/>
          <w:color w:val="000000" w:themeColor="text1"/>
        </w:rPr>
        <w:t xml:space="preserve"> de los Agentes de Pago, según corresponda, hacia el Sistema de Pagos del Banco de República, de conformidad con la autorización de débito automático otorgada por cada uno de los Miembros o de los Agentes de Pago a la Cámara.</w:t>
      </w:r>
    </w:p>
    <w:p w14:paraId="66939E38" w14:textId="77777777" w:rsidR="007968EC" w:rsidRPr="002C0D19" w:rsidRDefault="007968EC" w:rsidP="007968EC">
      <w:pPr>
        <w:ind w:left="426"/>
        <w:jc w:val="both"/>
        <w:rPr>
          <w:rFonts w:ascii="Arial Narrow" w:eastAsia="Calibri" w:hAnsi="Arial Narrow"/>
          <w:color w:val="000000" w:themeColor="text1"/>
        </w:rPr>
      </w:pPr>
    </w:p>
    <w:p w14:paraId="4829B711" w14:textId="77777777" w:rsidR="007968EC" w:rsidRPr="002C0D19" w:rsidRDefault="007968EC" w:rsidP="00DA7472">
      <w:pPr>
        <w:numPr>
          <w:ilvl w:val="0"/>
          <w:numId w:val="176"/>
        </w:numPr>
        <w:tabs>
          <w:tab w:val="num" w:pos="426"/>
        </w:tabs>
        <w:ind w:left="426" w:hanging="457"/>
        <w:jc w:val="both"/>
        <w:rPr>
          <w:rFonts w:ascii="Arial Narrow" w:eastAsia="Calibri" w:hAnsi="Arial Narrow"/>
          <w:color w:val="000000" w:themeColor="text1"/>
        </w:rPr>
      </w:pPr>
      <w:r w:rsidRPr="002C0D19">
        <w:rPr>
          <w:rFonts w:ascii="Arial Narrow" w:eastAsia="Calibri" w:hAnsi="Arial Narrow"/>
          <w:color w:val="000000" w:themeColor="text1"/>
        </w:rPr>
        <w:t xml:space="preserve">Tercera etapa: Una vez concluida la sesión de Liquidación Diaria, los Miembros Liquidadores, tienen la obligación de efectuar el proceso de entrega y cobro de efectivo, a los Terceros Identificados y Miembros no Liquidadores, correspondientes a la Liquidación Diaria. Los Miembros No liquidadores deberán procesar la información ofrecida por los Terminales de Cámara con la información procedente de su Miembro Liquidador, con el fin de realizar la gestión de liquidación de la misma manera frente a sus Terceros Identificados. </w:t>
      </w:r>
    </w:p>
    <w:p w14:paraId="0360D029" w14:textId="77777777" w:rsidR="007968EC" w:rsidRPr="007128BF" w:rsidRDefault="007968EC" w:rsidP="007968EC">
      <w:pPr>
        <w:jc w:val="both"/>
        <w:rPr>
          <w:rFonts w:ascii="Arial Narrow" w:hAnsi="Arial Narrow" w:cs="Arial"/>
          <w:color w:val="000000" w:themeColor="text1"/>
          <w:lang w:eastAsia="es-ES"/>
        </w:rPr>
      </w:pPr>
      <w:bookmarkStart w:id="4116" w:name="_Toc470779928"/>
      <w:bookmarkStart w:id="4117" w:name="_Toc470780545"/>
      <w:bookmarkStart w:id="4118" w:name="_Toc470781058"/>
      <w:bookmarkStart w:id="4119" w:name="_Toc470784619"/>
      <w:bookmarkStart w:id="4120" w:name="_Toc470785156"/>
      <w:bookmarkStart w:id="4121" w:name="_Toc470791548"/>
    </w:p>
    <w:p w14:paraId="341E6539" w14:textId="77777777" w:rsidR="007968EC" w:rsidRPr="002C0D19" w:rsidRDefault="007968EC" w:rsidP="007968EC">
      <w:pPr>
        <w:pStyle w:val="ARTICULO0"/>
      </w:pPr>
      <w:bookmarkStart w:id="4122" w:name="_Toc472592309"/>
      <w:bookmarkStart w:id="4123" w:name="_Toc472593328"/>
      <w:bookmarkStart w:id="4124" w:name="_Toc479057114"/>
      <w:bookmarkStart w:id="4125" w:name="_Toc490066452"/>
      <w:bookmarkStart w:id="4126" w:name="_Toc31716129"/>
      <w:r w:rsidRPr="002C0D19">
        <w:t>Artículo 2.4.2.4. Pagos.</w:t>
      </w:r>
      <w:bookmarkEnd w:id="4116"/>
      <w:bookmarkEnd w:id="4117"/>
      <w:bookmarkEnd w:id="4118"/>
      <w:bookmarkEnd w:id="4119"/>
      <w:bookmarkEnd w:id="4120"/>
      <w:bookmarkEnd w:id="4121"/>
      <w:bookmarkEnd w:id="4122"/>
      <w:bookmarkEnd w:id="4123"/>
      <w:bookmarkEnd w:id="4124"/>
      <w:bookmarkEnd w:id="4125"/>
      <w:bookmarkEnd w:id="4126"/>
    </w:p>
    <w:p w14:paraId="0D1E1B9E" w14:textId="77777777" w:rsidR="007968EC" w:rsidRPr="002C0D19" w:rsidRDefault="007968EC" w:rsidP="007968EC">
      <w:pPr>
        <w:jc w:val="both"/>
        <w:rPr>
          <w:rFonts w:ascii="Arial Narrow" w:eastAsia="Calibri" w:hAnsi="Arial Narrow"/>
          <w:b/>
          <w:color w:val="000000" w:themeColor="text1"/>
        </w:rPr>
      </w:pPr>
    </w:p>
    <w:p w14:paraId="5716430E" w14:textId="77777777" w:rsidR="007968EC" w:rsidRPr="002C0D19" w:rsidRDefault="007968EC" w:rsidP="007968EC">
      <w:pPr>
        <w:jc w:val="both"/>
        <w:rPr>
          <w:rFonts w:ascii="Arial Narrow" w:eastAsia="Calibri" w:hAnsi="Arial Narrow"/>
          <w:b/>
          <w:color w:val="000000" w:themeColor="text1"/>
        </w:rPr>
      </w:pPr>
      <w:r w:rsidRPr="002C0D19">
        <w:rPr>
          <w:rFonts w:ascii="Arial Narrow" w:eastAsia="Calibri" w:hAnsi="Arial Narrow"/>
          <w:color w:val="000000" w:themeColor="text1"/>
        </w:rPr>
        <w:t>El procedimiento de pagos para Instrumentos Financieros Derivados se realizará de la siguiente manera:</w:t>
      </w:r>
    </w:p>
    <w:p w14:paraId="0C1754F1" w14:textId="77777777" w:rsidR="007968EC" w:rsidRPr="002C0D19" w:rsidRDefault="007968EC" w:rsidP="007968EC">
      <w:pPr>
        <w:jc w:val="both"/>
        <w:rPr>
          <w:rFonts w:ascii="Arial Narrow" w:eastAsia="Calibri" w:hAnsi="Arial Narrow"/>
          <w:color w:val="000000" w:themeColor="text1"/>
        </w:rPr>
      </w:pPr>
    </w:p>
    <w:p w14:paraId="762267C1" w14:textId="77777777" w:rsidR="007968EC" w:rsidRPr="002C0D19" w:rsidRDefault="007968EC" w:rsidP="00DA7472">
      <w:pPr>
        <w:numPr>
          <w:ilvl w:val="0"/>
          <w:numId w:val="177"/>
        </w:numPr>
        <w:tabs>
          <w:tab w:val="num" w:pos="426"/>
        </w:tabs>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lastRenderedPageBreak/>
        <w:t xml:space="preserve">El Sistema genera las órdenes de transferencia para el sistema de pagos del Banco de la República, con la solicitud de débito de dinero efectivo de las cuentas de depósito de los Agentes de Pago </w:t>
      </w:r>
      <w:proofErr w:type="spellStart"/>
      <w:r w:rsidRPr="002C0D19">
        <w:rPr>
          <w:rFonts w:ascii="Arial Narrow" w:eastAsia="Calibri" w:hAnsi="Arial Narrow"/>
          <w:color w:val="000000" w:themeColor="text1"/>
        </w:rPr>
        <w:t>ó</w:t>
      </w:r>
      <w:proofErr w:type="spellEnd"/>
      <w:r w:rsidRPr="002C0D19">
        <w:rPr>
          <w:rFonts w:ascii="Arial Narrow" w:eastAsia="Calibri" w:hAnsi="Arial Narrow"/>
          <w:color w:val="000000" w:themeColor="text1"/>
        </w:rPr>
        <w:t xml:space="preserve"> Miembros Liquidadores que quedaron con una Posición neta deudora, para ser acreditado a la cuenta de la Cámara en el Banco de la República.</w:t>
      </w:r>
    </w:p>
    <w:p w14:paraId="20F35EE3" w14:textId="77777777" w:rsidR="007968EC" w:rsidRPr="002C0D19" w:rsidRDefault="007968EC" w:rsidP="007968EC">
      <w:pPr>
        <w:ind w:left="426"/>
        <w:contextualSpacing/>
        <w:jc w:val="both"/>
        <w:rPr>
          <w:rFonts w:ascii="Arial Narrow" w:eastAsia="Calibri" w:hAnsi="Arial Narrow"/>
          <w:color w:val="000000" w:themeColor="text1"/>
        </w:rPr>
      </w:pPr>
    </w:p>
    <w:p w14:paraId="338BE309" w14:textId="77777777" w:rsidR="007968EC" w:rsidRPr="002C0D19" w:rsidRDefault="007968EC" w:rsidP="00DA7472">
      <w:pPr>
        <w:numPr>
          <w:ilvl w:val="0"/>
          <w:numId w:val="177"/>
        </w:numPr>
        <w:tabs>
          <w:tab w:val="num" w:pos="426"/>
        </w:tabs>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Las órdenes enviadas por la Cámara ingresarán al sistema de pagos con Prioridad 1 en el orden de Liquidación de las transacciones en la fila de espera de la cuenta a debitar.</w:t>
      </w:r>
    </w:p>
    <w:p w14:paraId="1891AF6E" w14:textId="77777777" w:rsidR="007968EC" w:rsidRPr="002C0D19" w:rsidRDefault="007968EC" w:rsidP="007968EC">
      <w:pPr>
        <w:ind w:left="720"/>
        <w:contextualSpacing/>
        <w:rPr>
          <w:rFonts w:ascii="Arial Narrow" w:eastAsia="Calibri" w:hAnsi="Arial Narrow"/>
          <w:color w:val="000000" w:themeColor="text1"/>
        </w:rPr>
      </w:pPr>
    </w:p>
    <w:p w14:paraId="2803DCAA" w14:textId="77777777" w:rsidR="007968EC" w:rsidRPr="002C0D19" w:rsidRDefault="007968EC" w:rsidP="00DA7472">
      <w:pPr>
        <w:numPr>
          <w:ilvl w:val="0"/>
          <w:numId w:val="177"/>
        </w:numPr>
        <w:tabs>
          <w:tab w:val="num" w:pos="426"/>
        </w:tabs>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El sistema de pagos verifica saldos y realiza la transferencia automática de los fondos a la cuenta de la Cámara.</w:t>
      </w:r>
    </w:p>
    <w:p w14:paraId="37352719" w14:textId="77777777" w:rsidR="007968EC" w:rsidRPr="002C0D19" w:rsidRDefault="007968EC" w:rsidP="007968EC">
      <w:pPr>
        <w:ind w:left="720"/>
        <w:contextualSpacing/>
        <w:rPr>
          <w:rFonts w:ascii="Arial Narrow" w:eastAsia="Calibri" w:hAnsi="Arial Narrow"/>
          <w:color w:val="000000" w:themeColor="text1"/>
        </w:rPr>
      </w:pPr>
    </w:p>
    <w:p w14:paraId="0D29AC8C" w14:textId="77777777" w:rsidR="007968EC" w:rsidRPr="002C0D19" w:rsidRDefault="007968EC" w:rsidP="00DA7472">
      <w:pPr>
        <w:numPr>
          <w:ilvl w:val="0"/>
          <w:numId w:val="177"/>
        </w:numPr>
        <w:tabs>
          <w:tab w:val="num" w:pos="426"/>
        </w:tabs>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Una vez realizada la transferencia, el Sistema de Pagos informa a la Cámara que el registro de cada orden de transferencia fue aprobada o rechazada.</w:t>
      </w:r>
    </w:p>
    <w:p w14:paraId="12CD2EC2" w14:textId="77777777" w:rsidR="007968EC" w:rsidRPr="002C0D19" w:rsidRDefault="007968EC" w:rsidP="007968EC">
      <w:pPr>
        <w:ind w:left="720"/>
        <w:contextualSpacing/>
        <w:rPr>
          <w:rFonts w:ascii="Arial Narrow" w:eastAsia="Calibri" w:hAnsi="Arial Narrow"/>
          <w:color w:val="000000" w:themeColor="text1"/>
        </w:rPr>
      </w:pPr>
    </w:p>
    <w:p w14:paraId="64878F48" w14:textId="77777777" w:rsidR="007968EC" w:rsidRPr="002C0D19" w:rsidRDefault="007968EC" w:rsidP="00DA7472">
      <w:pPr>
        <w:numPr>
          <w:ilvl w:val="0"/>
          <w:numId w:val="177"/>
        </w:numPr>
        <w:tabs>
          <w:tab w:val="num" w:pos="426"/>
        </w:tabs>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En caso de que una o varias órdenes de transferencia hayan sido rechazadas, la Cámara solicitará al Agente de Pago o al Miembro Liquidador gestionar el traslado de fondos pendientes dentro del horario previsto para la Liquidación Diaria y en caso contrario aplicará el proceso de retardo y/o incumplimiento previsto en el Reglamento y en la presente Circular.</w:t>
      </w:r>
    </w:p>
    <w:p w14:paraId="3F90AFF2" w14:textId="77777777" w:rsidR="007968EC" w:rsidRPr="002C0D19" w:rsidRDefault="007968EC" w:rsidP="007968EC">
      <w:pPr>
        <w:ind w:left="720"/>
        <w:contextualSpacing/>
        <w:rPr>
          <w:rFonts w:ascii="Arial Narrow" w:eastAsia="Calibri" w:hAnsi="Arial Narrow"/>
          <w:color w:val="000000" w:themeColor="text1"/>
        </w:rPr>
      </w:pPr>
    </w:p>
    <w:p w14:paraId="2CBABB3F" w14:textId="77777777" w:rsidR="007968EC" w:rsidRPr="002C0D19" w:rsidRDefault="007968EC" w:rsidP="00DA7472">
      <w:pPr>
        <w:numPr>
          <w:ilvl w:val="0"/>
          <w:numId w:val="177"/>
        </w:numPr>
        <w:tabs>
          <w:tab w:val="num" w:pos="426"/>
        </w:tabs>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 xml:space="preserve">Una vez la Cámara cuente con todos los recursos, genera una orden para el sistema de pagos del Banco de la República con las transferencias de débito/abono de dineros de la cuenta de la Cámara a las cuentas de los Agentes de Pagos </w:t>
      </w:r>
      <w:proofErr w:type="spellStart"/>
      <w:r w:rsidRPr="002C0D19">
        <w:rPr>
          <w:rFonts w:ascii="Arial Narrow" w:eastAsia="Calibri" w:hAnsi="Arial Narrow"/>
          <w:color w:val="000000" w:themeColor="text1"/>
        </w:rPr>
        <w:t>ó</w:t>
      </w:r>
      <w:proofErr w:type="spellEnd"/>
      <w:r w:rsidRPr="002C0D19">
        <w:rPr>
          <w:rFonts w:ascii="Arial Narrow" w:eastAsia="Calibri" w:hAnsi="Arial Narrow"/>
          <w:color w:val="000000" w:themeColor="text1"/>
        </w:rPr>
        <w:t xml:space="preserve"> Miembros Liquidadores que quedaron con una Posición neta acreedora.</w:t>
      </w:r>
    </w:p>
    <w:p w14:paraId="12AE1BAF" w14:textId="77777777" w:rsidR="007968EC" w:rsidRPr="002C0D19" w:rsidRDefault="007968EC" w:rsidP="007968EC">
      <w:pPr>
        <w:ind w:left="720"/>
        <w:contextualSpacing/>
        <w:rPr>
          <w:rFonts w:ascii="Arial Narrow" w:eastAsia="Calibri" w:hAnsi="Arial Narrow"/>
          <w:color w:val="000000" w:themeColor="text1"/>
        </w:rPr>
      </w:pPr>
    </w:p>
    <w:p w14:paraId="3C68BA1A" w14:textId="77777777" w:rsidR="007968EC" w:rsidRPr="002C0D19" w:rsidRDefault="007968EC" w:rsidP="00DA7472">
      <w:pPr>
        <w:numPr>
          <w:ilvl w:val="0"/>
          <w:numId w:val="177"/>
        </w:numPr>
        <w:tabs>
          <w:tab w:val="num" w:pos="426"/>
        </w:tabs>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La Cámara reportará a los Miembros la información necesaria para que realicen la entrega y recibo del dinero efectivo entre éstos y los titulares de cada una de sus Cuentas. Los derechos de los titulares de las Cuentas relativos al recibo de dinero efectivo lo son únicamente con respecto a su Miembro correspondiente y en ningún caso respecto de la Cámara, por lo tanto cuando la Cámara pague dinero efectivo a los titulares de Cuentas lo hará colocando los fondos a disposición del Miembro y a favor de los titulares. El pago hecho por la Cámara al Miembro, de los dineros que le corresponde recibir a los titulares de las Cuentas, es válido y extingue la obligación a cargo de la Cámara. En ningún caso, los titulares podrán exigir a la Cámara los dineros que le corresponda recibir en virtud de las operaciones realizadas por su cuenta.</w:t>
      </w:r>
    </w:p>
    <w:p w14:paraId="18B853C2" w14:textId="77777777" w:rsidR="007968EC" w:rsidRPr="002C0D19" w:rsidRDefault="007968EC" w:rsidP="007968EC">
      <w:pPr>
        <w:tabs>
          <w:tab w:val="num" w:pos="426"/>
        </w:tabs>
        <w:jc w:val="both"/>
        <w:rPr>
          <w:rFonts w:ascii="Arial Narrow" w:eastAsia="Calibri" w:hAnsi="Arial Narrow"/>
          <w:b/>
          <w:color w:val="000000" w:themeColor="text1"/>
        </w:rPr>
      </w:pPr>
    </w:p>
    <w:p w14:paraId="72720AEC" w14:textId="77777777" w:rsidR="007968EC" w:rsidRDefault="007968EC" w:rsidP="007968EC">
      <w:pPr>
        <w:keepNext/>
        <w:jc w:val="center"/>
        <w:outlineLvl w:val="0"/>
        <w:rPr>
          <w:rFonts w:ascii="Arial Narrow" w:eastAsia="Calibri" w:hAnsi="Arial Narrow" w:cs="Arial"/>
          <w:b/>
          <w:kern w:val="32"/>
          <w:szCs w:val="20"/>
          <w:lang w:val="es-ES"/>
        </w:rPr>
      </w:pPr>
      <w:bookmarkStart w:id="4127" w:name="_Toc470779929"/>
      <w:bookmarkStart w:id="4128" w:name="_Toc470780546"/>
      <w:bookmarkStart w:id="4129" w:name="_Toc470781059"/>
      <w:bookmarkStart w:id="4130" w:name="_Toc470784620"/>
      <w:bookmarkStart w:id="4131" w:name="_Toc470785157"/>
      <w:bookmarkStart w:id="4132" w:name="_Toc470791549"/>
      <w:bookmarkStart w:id="4133" w:name="_Toc472592310"/>
      <w:bookmarkStart w:id="4134" w:name="_Toc472593329"/>
      <w:bookmarkStart w:id="4135" w:name="_Toc479057115"/>
      <w:bookmarkStart w:id="4136" w:name="_Toc490066453"/>
    </w:p>
    <w:p w14:paraId="1C19EA96" w14:textId="77777777" w:rsidR="007968EC" w:rsidRPr="002C0D19" w:rsidRDefault="007968EC" w:rsidP="007968EC">
      <w:pPr>
        <w:pStyle w:val="TTULO"/>
        <w:rPr>
          <w:rFonts w:eastAsia="Calibri"/>
          <w:lang w:val="es-ES"/>
        </w:rPr>
      </w:pPr>
      <w:bookmarkStart w:id="4137" w:name="_Toc31716130"/>
      <w:r w:rsidRPr="002C0D19">
        <w:rPr>
          <w:rFonts w:eastAsia="Calibri"/>
          <w:lang w:val="es-ES"/>
        </w:rPr>
        <w:t>CAPÍTULO TERCERO</w:t>
      </w:r>
      <w:bookmarkEnd w:id="4127"/>
      <w:bookmarkEnd w:id="4128"/>
      <w:bookmarkEnd w:id="4129"/>
      <w:bookmarkEnd w:id="4130"/>
      <w:bookmarkEnd w:id="4131"/>
      <w:bookmarkEnd w:id="4132"/>
      <w:bookmarkEnd w:id="4133"/>
      <w:bookmarkEnd w:id="4134"/>
      <w:bookmarkEnd w:id="4135"/>
      <w:bookmarkEnd w:id="4136"/>
      <w:bookmarkEnd w:id="4137"/>
    </w:p>
    <w:p w14:paraId="294930DE" w14:textId="77777777" w:rsidR="007968EC" w:rsidRPr="002C0D19" w:rsidRDefault="007968EC" w:rsidP="007968EC">
      <w:pPr>
        <w:pStyle w:val="TTULO"/>
        <w:rPr>
          <w:rFonts w:eastAsia="Calibri"/>
          <w:lang w:val="es-ES"/>
        </w:rPr>
      </w:pPr>
    </w:p>
    <w:p w14:paraId="77E48D36" w14:textId="77777777" w:rsidR="007968EC" w:rsidRPr="002C0D19" w:rsidRDefault="007968EC" w:rsidP="007968EC">
      <w:pPr>
        <w:pStyle w:val="TTULO"/>
        <w:rPr>
          <w:rFonts w:eastAsia="Calibri"/>
          <w:lang w:val="es-ES"/>
        </w:rPr>
      </w:pPr>
      <w:bookmarkStart w:id="4138" w:name="_Toc470779930"/>
      <w:bookmarkStart w:id="4139" w:name="_Toc470780547"/>
      <w:bookmarkStart w:id="4140" w:name="_Toc470781060"/>
      <w:bookmarkStart w:id="4141" w:name="_Toc470784621"/>
      <w:bookmarkStart w:id="4142" w:name="_Toc470785158"/>
      <w:bookmarkStart w:id="4143" w:name="_Toc470791550"/>
      <w:bookmarkStart w:id="4144" w:name="_Toc472592311"/>
      <w:bookmarkStart w:id="4145" w:name="_Toc472593330"/>
      <w:bookmarkStart w:id="4146" w:name="_Toc479057116"/>
      <w:bookmarkStart w:id="4147" w:name="_Toc490066454"/>
      <w:bookmarkStart w:id="4148" w:name="_Toc31716131"/>
      <w:r w:rsidRPr="002C0D19">
        <w:rPr>
          <w:rFonts w:eastAsia="Calibri"/>
          <w:lang w:val="es-ES"/>
        </w:rPr>
        <w:t>LIQUIDACIÓN DIARIA DE INSTRUMENTOS FINANCIEROS DERIVADOS NO ESTANDARIZADOS PROVENIENTES DE SISTEMAS DE NEGOCIACION Y/O REGISTRO O MECANISMOS DE CONTRATACIÓN</w:t>
      </w:r>
      <w:bookmarkEnd w:id="4138"/>
      <w:bookmarkEnd w:id="4139"/>
      <w:bookmarkEnd w:id="4140"/>
      <w:bookmarkEnd w:id="4141"/>
      <w:bookmarkEnd w:id="4142"/>
      <w:bookmarkEnd w:id="4143"/>
      <w:bookmarkEnd w:id="4144"/>
      <w:bookmarkEnd w:id="4145"/>
      <w:bookmarkEnd w:id="4146"/>
      <w:bookmarkEnd w:id="4147"/>
      <w:bookmarkEnd w:id="4148"/>
    </w:p>
    <w:p w14:paraId="160A4549" w14:textId="77777777" w:rsidR="007968EC" w:rsidRPr="002C0D19" w:rsidRDefault="007968EC" w:rsidP="007968EC">
      <w:pPr>
        <w:keepNext/>
        <w:jc w:val="center"/>
        <w:outlineLvl w:val="0"/>
        <w:rPr>
          <w:rFonts w:ascii="Arial Narrow" w:eastAsia="Calibri" w:hAnsi="Arial Narrow"/>
          <w:b/>
          <w:color w:val="000000" w:themeColor="text1"/>
        </w:rPr>
      </w:pPr>
    </w:p>
    <w:p w14:paraId="2310ADF4" w14:textId="77777777" w:rsidR="007968EC" w:rsidRPr="002C0D19" w:rsidRDefault="007968EC" w:rsidP="007968EC">
      <w:pPr>
        <w:pStyle w:val="ARTICULO0"/>
      </w:pPr>
      <w:bookmarkStart w:id="4149" w:name="_Toc470779931"/>
      <w:bookmarkStart w:id="4150" w:name="_Toc470780548"/>
      <w:bookmarkStart w:id="4151" w:name="_Toc470781061"/>
      <w:bookmarkStart w:id="4152" w:name="_Toc470784622"/>
      <w:bookmarkStart w:id="4153" w:name="_Toc470785159"/>
      <w:bookmarkStart w:id="4154" w:name="_Toc470791551"/>
      <w:bookmarkStart w:id="4155" w:name="_Toc472592312"/>
      <w:bookmarkStart w:id="4156" w:name="_Toc472593331"/>
      <w:bookmarkStart w:id="4157" w:name="_Toc479057117"/>
      <w:bookmarkStart w:id="4158" w:name="_Toc490066455"/>
      <w:bookmarkStart w:id="4159" w:name="_Toc31716132"/>
      <w:r w:rsidRPr="002C0D19">
        <w:t>Artículo 2.4.3.1. Conceptos incluidos en la Liquidación Diaria sobre Instrumentos Financieros Derivados No Estandarizados provenientes de sistemas de negociación y/o registro o Mecanismo de Contratación.</w:t>
      </w:r>
      <w:bookmarkEnd w:id="4149"/>
      <w:bookmarkEnd w:id="4150"/>
      <w:bookmarkEnd w:id="4151"/>
      <w:bookmarkEnd w:id="4152"/>
      <w:bookmarkEnd w:id="4153"/>
      <w:bookmarkEnd w:id="4154"/>
      <w:bookmarkEnd w:id="4155"/>
      <w:bookmarkEnd w:id="4156"/>
      <w:bookmarkEnd w:id="4157"/>
      <w:bookmarkEnd w:id="4158"/>
      <w:bookmarkEnd w:id="4159"/>
    </w:p>
    <w:p w14:paraId="51EE3877" w14:textId="77777777" w:rsidR="007968EC" w:rsidRPr="002C0D19" w:rsidRDefault="007968EC" w:rsidP="007968EC">
      <w:pPr>
        <w:jc w:val="both"/>
        <w:rPr>
          <w:rFonts w:ascii="Arial Narrow" w:eastAsia="Calibri" w:hAnsi="Arial Narrow"/>
          <w:b/>
          <w:color w:val="000000" w:themeColor="text1"/>
        </w:rPr>
      </w:pPr>
    </w:p>
    <w:p w14:paraId="3AF90A5E" w14:textId="77777777" w:rsidR="007968EC" w:rsidRPr="002C0D19" w:rsidRDefault="007968EC" w:rsidP="007968EC">
      <w:pPr>
        <w:jc w:val="both"/>
        <w:rPr>
          <w:rFonts w:ascii="Arial Narrow" w:eastAsia="Calibri" w:hAnsi="Arial Narrow"/>
          <w:bCs/>
          <w:color w:val="000000" w:themeColor="text1"/>
        </w:rPr>
      </w:pPr>
      <w:r w:rsidRPr="002C0D19">
        <w:rPr>
          <w:rFonts w:ascii="Arial Narrow" w:eastAsia="Calibri" w:hAnsi="Arial Narrow"/>
          <w:bCs/>
          <w:color w:val="000000" w:themeColor="text1"/>
        </w:rPr>
        <w:t>Diariamente en la Sesión de Liquidación Diaria, los Miembros entregarán o recibirán, según corresponda, los fondos por los siguientes conceptos:</w:t>
      </w:r>
    </w:p>
    <w:p w14:paraId="7F0F8984" w14:textId="77777777" w:rsidR="007968EC" w:rsidRPr="002C0D19" w:rsidRDefault="007968EC" w:rsidP="007968EC">
      <w:pPr>
        <w:jc w:val="both"/>
        <w:rPr>
          <w:rFonts w:ascii="Arial Narrow" w:eastAsia="Calibri" w:hAnsi="Arial Narrow"/>
          <w:bCs/>
          <w:color w:val="000000" w:themeColor="text1"/>
        </w:rPr>
      </w:pPr>
    </w:p>
    <w:p w14:paraId="121B9733" w14:textId="77777777" w:rsidR="007968EC" w:rsidRPr="002C0D19" w:rsidRDefault="007968EC" w:rsidP="00DA7472">
      <w:pPr>
        <w:numPr>
          <w:ilvl w:val="0"/>
          <w:numId w:val="178"/>
        </w:numPr>
        <w:autoSpaceDE w:val="0"/>
        <w:autoSpaceDN w:val="0"/>
        <w:adjustRightInd w:val="0"/>
        <w:contextualSpacing/>
        <w:jc w:val="both"/>
        <w:rPr>
          <w:rFonts w:ascii="Arial Narrow" w:eastAsia="Calibri" w:hAnsi="Arial Narrow"/>
          <w:b/>
          <w:color w:val="000000" w:themeColor="text1"/>
        </w:rPr>
      </w:pPr>
      <w:r w:rsidRPr="002C0D19">
        <w:rPr>
          <w:rFonts w:ascii="Arial Narrow" w:eastAsia="Calibri" w:hAnsi="Arial Narrow"/>
          <w:color w:val="000000" w:themeColor="text1"/>
          <w:lang w:eastAsia="es-CO"/>
        </w:rPr>
        <w:t>Ajuste diario a Precios de Valoración de Cierre de los Instrumentos Financieros Derivados No Estandarizados:</w:t>
      </w:r>
    </w:p>
    <w:p w14:paraId="478437F3" w14:textId="77777777" w:rsidR="007968EC" w:rsidRPr="00D807A3" w:rsidRDefault="007968EC" w:rsidP="007968EC">
      <w:pPr>
        <w:jc w:val="both"/>
        <w:rPr>
          <w:rFonts w:ascii="Arial Narrow" w:hAnsi="Arial Narrow" w:cs="Arial"/>
          <w:color w:val="000000" w:themeColor="text1"/>
          <w:lang w:eastAsia="es-ES"/>
        </w:rPr>
      </w:pPr>
    </w:p>
    <w:p w14:paraId="36633680" w14:textId="77777777" w:rsidR="007968EC" w:rsidRPr="002C0D19" w:rsidRDefault="007968EC" w:rsidP="007968EC">
      <w:pPr>
        <w:ind w:left="742"/>
        <w:contextualSpacing/>
        <w:jc w:val="both"/>
        <w:rPr>
          <w:rFonts w:ascii="Arial Narrow" w:eastAsia="Calibri" w:hAnsi="Arial Narrow"/>
          <w:bCs/>
          <w:color w:val="000000" w:themeColor="text1"/>
          <w:lang w:val="es-ES" w:eastAsia="es-ES"/>
        </w:rPr>
      </w:pPr>
      <w:r w:rsidRPr="002C0D19">
        <w:rPr>
          <w:rFonts w:ascii="Arial Narrow" w:eastAsia="Calibri" w:hAnsi="Arial Narrow"/>
          <w:bCs/>
          <w:color w:val="000000" w:themeColor="text1"/>
          <w:lang w:val="es-ES" w:eastAsia="es-ES"/>
        </w:rPr>
        <w:t xml:space="preserve">Para la Liquidación Diaria, la Cámara tomará las posiciones resultantes de las Operaciones sobre Instrumentos Financieros Derivados No Estandarizados de las Cuentas de Registro de la Cuenta Propia del Miembro Liquidador, de las Cuentas de Registro de la Cuenta Propia del Miembro No Liquidador y de las Cuentas de los Terceros Identificados de éstos, las valorará al Precio de Valoración de Cierre de acuerdo con lo establecido en la presente Circular, y entregará la información de la Liquidación por Diferencias del día, de acuerdo con el siguiente tratamiento: </w:t>
      </w:r>
    </w:p>
    <w:p w14:paraId="172EA272" w14:textId="77777777" w:rsidR="007968EC" w:rsidRPr="002C0D19" w:rsidRDefault="007968EC" w:rsidP="007968EC">
      <w:pPr>
        <w:autoSpaceDE w:val="0"/>
        <w:autoSpaceDN w:val="0"/>
        <w:adjustRightInd w:val="0"/>
        <w:ind w:left="426"/>
        <w:jc w:val="both"/>
        <w:rPr>
          <w:rFonts w:ascii="Arial Narrow" w:eastAsia="Calibri" w:hAnsi="Arial Narrow"/>
          <w:b/>
          <w:color w:val="000000" w:themeColor="text1"/>
        </w:rPr>
      </w:pPr>
    </w:p>
    <w:p w14:paraId="731AB000" w14:textId="77777777" w:rsidR="007968EC" w:rsidRPr="002C0D19" w:rsidRDefault="007968EC" w:rsidP="00DA7472">
      <w:pPr>
        <w:numPr>
          <w:ilvl w:val="2"/>
          <w:numId w:val="178"/>
        </w:numPr>
        <w:autoSpaceDE w:val="0"/>
        <w:autoSpaceDN w:val="0"/>
        <w:adjustRightInd w:val="0"/>
        <w:ind w:left="1276" w:hanging="425"/>
        <w:jc w:val="both"/>
        <w:rPr>
          <w:rFonts w:ascii="Arial Narrow" w:eastAsia="Calibri" w:hAnsi="Arial Narrow"/>
          <w:b/>
          <w:color w:val="000000" w:themeColor="text1"/>
        </w:rPr>
      </w:pPr>
      <w:r w:rsidRPr="002C0D19">
        <w:rPr>
          <w:rFonts w:ascii="Arial Narrow" w:eastAsia="Calibri" w:hAnsi="Arial Narrow"/>
          <w:color w:val="000000" w:themeColor="text1"/>
          <w:lang w:eastAsia="es-CO"/>
        </w:rPr>
        <w:t xml:space="preserve">Posición Abierta en Operaciones sobre Instrumentos Financieros Derivados No Estandarizados de compra: La Cámara calcula la diferencia entre el Precio de Valoración de Cierre de la sesión y el Precio de Valoración de Cierre de la sesión anterior. En el evento en que la diferencia sea positiva el titular de la Cuenta tendrá derecho a recibir el dinero efectivo correspondiente al valor de la diferencia multiplicado por la Posición Abierta, en caso contrario, deberá entregar a la Cámara dicho valor. </w:t>
      </w:r>
    </w:p>
    <w:p w14:paraId="61DEDFDE" w14:textId="77777777" w:rsidR="007968EC" w:rsidRPr="002C0D19" w:rsidRDefault="007968EC" w:rsidP="00DA7472">
      <w:pPr>
        <w:numPr>
          <w:ilvl w:val="2"/>
          <w:numId w:val="178"/>
        </w:numPr>
        <w:autoSpaceDE w:val="0"/>
        <w:autoSpaceDN w:val="0"/>
        <w:adjustRightInd w:val="0"/>
        <w:ind w:left="1276" w:hanging="425"/>
        <w:jc w:val="both"/>
        <w:rPr>
          <w:rFonts w:ascii="Arial Narrow" w:eastAsia="Calibri" w:hAnsi="Arial Narrow"/>
          <w:color w:val="000000" w:themeColor="text1"/>
        </w:rPr>
      </w:pPr>
      <w:r w:rsidRPr="002C0D19">
        <w:rPr>
          <w:rFonts w:ascii="Arial Narrow" w:eastAsia="Calibri" w:hAnsi="Arial Narrow"/>
          <w:color w:val="000000" w:themeColor="text1"/>
        </w:rPr>
        <w:t>Posición Abierta en Operaciones sobre Instrumentos Financieros Derivados No Estandarizados de venta: La Cámara calcula la diferencia entre el Precio de Valoración de Cierre de la sesión y el Precio de Valoración de Cierre de la sesión anterior. En el evento en que la diferencia sea negativa el titular de la Cuenta tendrá derecho a recibir el dinero efectivo correspondiente al valor de la diferencia multiplicado por la Posición Abierta, en caso contrario, deberá entregar a la Cámara dicho valor.</w:t>
      </w:r>
    </w:p>
    <w:p w14:paraId="3E3F28D5" w14:textId="77777777" w:rsidR="007968EC" w:rsidRPr="002C0D19" w:rsidRDefault="007968EC" w:rsidP="00DA7472">
      <w:pPr>
        <w:numPr>
          <w:ilvl w:val="2"/>
          <w:numId w:val="178"/>
        </w:numPr>
        <w:autoSpaceDE w:val="0"/>
        <w:autoSpaceDN w:val="0"/>
        <w:adjustRightInd w:val="0"/>
        <w:ind w:left="1276" w:hanging="425"/>
        <w:jc w:val="both"/>
        <w:rPr>
          <w:rFonts w:ascii="Arial Narrow" w:eastAsia="Calibri" w:hAnsi="Arial Narrow"/>
          <w:color w:val="000000" w:themeColor="text1"/>
        </w:rPr>
      </w:pPr>
      <w:r w:rsidRPr="002C0D19">
        <w:rPr>
          <w:rFonts w:ascii="Arial Narrow" w:eastAsia="Calibri" w:hAnsi="Arial Narrow"/>
          <w:color w:val="000000" w:themeColor="text1"/>
        </w:rPr>
        <w:t xml:space="preserve">Operación sobre Instrumentos Financieros Derivados No Estandarizados de compra aceptada por la Cámara el día de la sesión: La Cámara calcula la diferencia entre el Precio de Valoración de Cierre de la sesión y el Precio de Negociación. En el evento en que la diferencia sea positiva, el titular de la Cuenta tendrá derecho a recibir el dinero efectivo correspondiente al valor de la diferencia multiplicado por el valor nominal de la operación, en caso contrario, deberá entregar a la Cámara dicho valor. </w:t>
      </w:r>
    </w:p>
    <w:p w14:paraId="180E3D69" w14:textId="77777777" w:rsidR="007968EC" w:rsidRPr="002C0D19" w:rsidRDefault="007968EC" w:rsidP="00DA7472">
      <w:pPr>
        <w:numPr>
          <w:ilvl w:val="2"/>
          <w:numId w:val="178"/>
        </w:numPr>
        <w:autoSpaceDE w:val="0"/>
        <w:autoSpaceDN w:val="0"/>
        <w:adjustRightInd w:val="0"/>
        <w:ind w:left="1276" w:hanging="425"/>
        <w:jc w:val="both"/>
        <w:rPr>
          <w:rFonts w:ascii="Arial Narrow" w:eastAsia="Calibri" w:hAnsi="Arial Narrow"/>
          <w:b/>
          <w:color w:val="000000" w:themeColor="text1"/>
        </w:rPr>
      </w:pPr>
      <w:r w:rsidRPr="002C0D19">
        <w:rPr>
          <w:rFonts w:ascii="Arial Narrow" w:eastAsia="Calibri" w:hAnsi="Arial Narrow"/>
          <w:color w:val="000000" w:themeColor="text1"/>
        </w:rPr>
        <w:t>Operación sobre Instrumentos Financieros Derivados No Estandarizados de venta aceptada por la Cámara el día de la sesión: La Cámara calcula la diferencia entre el Precio de Negociación y el Precio de Valoración de Cierre de la sesión. En el evento en que la diferencia sea positiva el titular de la Cuenta tendrá derecho a recibir el dinero efectivo correspondiente al valor de la diferencia multiplicado por el valor nominal de la operación, en caso contrario, deberá entregar a la Cámara dicho valor.</w:t>
      </w:r>
    </w:p>
    <w:p w14:paraId="7556AA4D" w14:textId="77777777" w:rsidR="007968EC" w:rsidRPr="002C0D19" w:rsidRDefault="007968EC" w:rsidP="007968EC">
      <w:pPr>
        <w:autoSpaceDE w:val="0"/>
        <w:autoSpaceDN w:val="0"/>
        <w:adjustRightInd w:val="0"/>
        <w:ind w:left="1276"/>
        <w:jc w:val="both"/>
        <w:rPr>
          <w:rFonts w:ascii="Arial Narrow" w:eastAsia="Calibri" w:hAnsi="Arial Narrow"/>
          <w:b/>
          <w:color w:val="000000" w:themeColor="text1"/>
        </w:rPr>
      </w:pPr>
    </w:p>
    <w:p w14:paraId="18D03EEA" w14:textId="77777777" w:rsidR="007968EC" w:rsidRPr="002C0D19" w:rsidRDefault="007968EC" w:rsidP="00DA7472">
      <w:pPr>
        <w:numPr>
          <w:ilvl w:val="0"/>
          <w:numId w:val="178"/>
        </w:numPr>
        <w:autoSpaceDE w:val="0"/>
        <w:autoSpaceDN w:val="0"/>
        <w:adjustRightInd w:val="0"/>
        <w:contextualSpacing/>
        <w:jc w:val="both"/>
        <w:rPr>
          <w:rFonts w:ascii="Arial Narrow" w:eastAsia="Calibri" w:hAnsi="Arial Narrow"/>
          <w:b/>
          <w:bCs/>
          <w:color w:val="000000" w:themeColor="text1"/>
        </w:rPr>
      </w:pPr>
      <w:r w:rsidRPr="002C0D19">
        <w:rPr>
          <w:rFonts w:ascii="Arial Narrow" w:eastAsia="Calibri" w:hAnsi="Arial Narrow"/>
          <w:color w:val="000000" w:themeColor="text1"/>
        </w:rPr>
        <w:lastRenderedPageBreak/>
        <w:t xml:space="preserve">Garantías </w:t>
      </w:r>
      <w:r w:rsidRPr="002C0D19">
        <w:rPr>
          <w:rFonts w:ascii="Arial Narrow" w:eastAsia="Calibri" w:hAnsi="Arial Narrow"/>
          <w:bCs/>
          <w:color w:val="000000" w:themeColor="text1"/>
        </w:rPr>
        <w:t>por Posición: El Sistema de Cámara calculará los ajustes de los montos requeridos en Garantías por Posición por las Posiciones Abiertas de las operaciones en la forma en que se establece en el Reglamento y en la presente Circular</w:t>
      </w:r>
    </w:p>
    <w:p w14:paraId="080A6310" w14:textId="77777777" w:rsidR="007968EC" w:rsidRPr="002C0D19" w:rsidRDefault="007968EC" w:rsidP="007968EC">
      <w:pPr>
        <w:jc w:val="both"/>
        <w:rPr>
          <w:rFonts w:ascii="Arial Narrow" w:eastAsia="Calibri" w:hAnsi="Arial Narrow"/>
          <w:b/>
          <w:bCs/>
          <w:color w:val="000000" w:themeColor="text1"/>
        </w:rPr>
      </w:pPr>
    </w:p>
    <w:p w14:paraId="11871E4E" w14:textId="77777777" w:rsidR="007968EC" w:rsidRPr="002C0D19" w:rsidRDefault="007968EC" w:rsidP="00DA7472">
      <w:pPr>
        <w:numPr>
          <w:ilvl w:val="0"/>
          <w:numId w:val="178"/>
        </w:numPr>
        <w:autoSpaceDE w:val="0"/>
        <w:autoSpaceDN w:val="0"/>
        <w:adjustRightInd w:val="0"/>
        <w:contextualSpacing/>
        <w:jc w:val="both"/>
        <w:rPr>
          <w:rFonts w:ascii="Arial Narrow" w:eastAsia="Calibri" w:hAnsi="Arial Narrow"/>
          <w:b/>
          <w:bCs/>
          <w:color w:val="000000" w:themeColor="text1"/>
        </w:rPr>
      </w:pPr>
      <w:r w:rsidRPr="002C0D19">
        <w:rPr>
          <w:rFonts w:ascii="Arial Narrow" w:eastAsia="Calibri" w:hAnsi="Arial Narrow"/>
          <w:color w:val="000000" w:themeColor="text1"/>
        </w:rPr>
        <w:t>Garantías</w:t>
      </w:r>
      <w:r w:rsidRPr="002C0D19">
        <w:rPr>
          <w:rFonts w:ascii="Arial Narrow" w:eastAsia="Calibri" w:hAnsi="Arial Narrow"/>
          <w:bCs/>
          <w:color w:val="000000" w:themeColor="text1"/>
        </w:rPr>
        <w:t xml:space="preserve"> Extraordinarias: Sin perjuicio de lo previsto en la presente Circular para la constitución de Garantías Extraordinarias en el procedimiento de Margin Call, el Sistema de Cámara calculará los ajustes de los montos requeridos en Garantías Extraordinarias por las Posiciones Abiertas de las operaciones en la forma como se establece en el Reglamento y en esta Circular.</w:t>
      </w:r>
    </w:p>
    <w:p w14:paraId="07A24060" w14:textId="77777777" w:rsidR="007968EC" w:rsidRPr="002C0D19" w:rsidRDefault="007968EC" w:rsidP="007968EC">
      <w:pPr>
        <w:autoSpaceDE w:val="0"/>
        <w:autoSpaceDN w:val="0"/>
        <w:adjustRightInd w:val="0"/>
        <w:ind w:left="720"/>
        <w:contextualSpacing/>
        <w:jc w:val="both"/>
        <w:rPr>
          <w:rFonts w:ascii="Arial Narrow" w:eastAsia="Calibri" w:hAnsi="Arial Narrow"/>
          <w:b/>
          <w:bCs/>
          <w:color w:val="000000" w:themeColor="text1"/>
        </w:rPr>
      </w:pPr>
    </w:p>
    <w:p w14:paraId="768C5287" w14:textId="77777777" w:rsidR="007968EC" w:rsidRPr="002C0D19" w:rsidRDefault="007968EC" w:rsidP="00DA7472">
      <w:pPr>
        <w:numPr>
          <w:ilvl w:val="0"/>
          <w:numId w:val="178"/>
        </w:numPr>
        <w:autoSpaceDE w:val="0"/>
        <w:autoSpaceDN w:val="0"/>
        <w:adjustRightInd w:val="0"/>
        <w:contextualSpacing/>
        <w:jc w:val="both"/>
        <w:rPr>
          <w:rFonts w:ascii="Arial Narrow" w:eastAsia="Calibri" w:hAnsi="Arial Narrow"/>
          <w:bCs/>
          <w:color w:val="000000" w:themeColor="text1"/>
        </w:rPr>
      </w:pPr>
      <w:r w:rsidRPr="002C0D19">
        <w:rPr>
          <w:rFonts w:ascii="Arial Narrow" w:eastAsia="Calibri" w:hAnsi="Arial Narrow"/>
          <w:color w:val="000000" w:themeColor="text1"/>
        </w:rPr>
        <w:t>Remuneración</w:t>
      </w:r>
      <w:r w:rsidRPr="002C0D19">
        <w:rPr>
          <w:rFonts w:ascii="Arial Narrow" w:eastAsia="Calibri" w:hAnsi="Arial Narrow"/>
          <w:bCs/>
          <w:color w:val="000000" w:themeColor="text1"/>
        </w:rPr>
        <w:t xml:space="preserve"> de las Garantías: La Cámara entregará la totalidad de la remuneración de las Garantías constituidas en efectivo de toda la estructura de cuentas del Miembro que haya autorizado su inversión, conforme con la metodología contenida en el numeral 2 del artículo 1.</w:t>
      </w:r>
      <w:r w:rsidRPr="002C0D19">
        <w:rPr>
          <w:rFonts w:ascii="Arial Narrow" w:eastAsia="Calibri" w:hAnsi="Arial Narrow"/>
          <w:bCs/>
          <w:color w:val="000000" w:themeColor="text1"/>
          <w:lang w:eastAsia="es-CO"/>
        </w:rPr>
        <w:t>6.</w:t>
      </w:r>
      <w:r w:rsidRPr="002C0D19">
        <w:rPr>
          <w:rFonts w:ascii="Arial Narrow" w:eastAsia="Calibri" w:hAnsi="Arial Narrow"/>
          <w:bCs/>
          <w:color w:val="000000" w:themeColor="text1"/>
        </w:rPr>
        <w:t>4</w:t>
      </w:r>
      <w:r w:rsidRPr="002C0D19">
        <w:rPr>
          <w:rFonts w:ascii="Arial Narrow" w:eastAsia="Calibri" w:hAnsi="Arial Narrow"/>
          <w:bCs/>
          <w:color w:val="000000" w:themeColor="text1"/>
          <w:lang w:eastAsia="es-CO"/>
        </w:rPr>
        <w:t>.14.</w:t>
      </w:r>
      <w:r w:rsidRPr="002C0D19">
        <w:rPr>
          <w:rFonts w:ascii="Arial Narrow" w:eastAsia="Calibri" w:hAnsi="Arial Narrow"/>
          <w:bCs/>
          <w:color w:val="000000" w:themeColor="text1"/>
        </w:rPr>
        <w:t xml:space="preserve"> de la presente Circular.</w:t>
      </w:r>
    </w:p>
    <w:p w14:paraId="0046F2F8" w14:textId="77777777" w:rsidR="007968EC" w:rsidRPr="002C0D19" w:rsidRDefault="007968EC" w:rsidP="007968EC">
      <w:pPr>
        <w:autoSpaceDE w:val="0"/>
        <w:autoSpaceDN w:val="0"/>
        <w:adjustRightInd w:val="0"/>
        <w:jc w:val="both"/>
        <w:rPr>
          <w:rFonts w:ascii="Arial Narrow" w:eastAsia="Calibri" w:hAnsi="Arial Narrow"/>
          <w:b/>
          <w:bCs/>
          <w:color w:val="000000" w:themeColor="text1"/>
        </w:rPr>
      </w:pPr>
    </w:p>
    <w:p w14:paraId="3CE3B331" w14:textId="77777777" w:rsidR="007968EC" w:rsidRPr="002C0D19" w:rsidRDefault="007968EC" w:rsidP="007968EC">
      <w:pPr>
        <w:pStyle w:val="ARTICULO0"/>
      </w:pPr>
      <w:bookmarkStart w:id="4160" w:name="_Toc470779932"/>
      <w:bookmarkStart w:id="4161" w:name="_Toc470780549"/>
      <w:bookmarkStart w:id="4162" w:name="_Toc470781062"/>
      <w:bookmarkStart w:id="4163" w:name="_Toc470784623"/>
      <w:bookmarkStart w:id="4164" w:name="_Toc470785160"/>
      <w:bookmarkStart w:id="4165" w:name="_Toc470791552"/>
      <w:bookmarkStart w:id="4166" w:name="_Toc472592313"/>
      <w:bookmarkStart w:id="4167" w:name="_Toc472593332"/>
      <w:bookmarkStart w:id="4168" w:name="_Toc479057118"/>
      <w:bookmarkStart w:id="4169" w:name="_Toc490066456"/>
      <w:bookmarkStart w:id="4170" w:name="_Toc31716133"/>
      <w:r w:rsidRPr="002C0D19">
        <w:t>Artículo 2.4.3.2. Procedimiento de cálculo del ajuste diario a Precios de Liquidación de Instrumentos Financieros Derivados No Estandarizados provenientes de sistemas de negociación y/o registro o Mecanismo de Contratación cuyo Tipo de Liquidación incluya la Liquidación Diaria.</w:t>
      </w:r>
      <w:bookmarkEnd w:id="4160"/>
      <w:bookmarkEnd w:id="4161"/>
      <w:bookmarkEnd w:id="4162"/>
      <w:bookmarkEnd w:id="4163"/>
      <w:bookmarkEnd w:id="4164"/>
      <w:bookmarkEnd w:id="4165"/>
      <w:bookmarkEnd w:id="4166"/>
      <w:bookmarkEnd w:id="4167"/>
      <w:bookmarkEnd w:id="4168"/>
      <w:bookmarkEnd w:id="4169"/>
      <w:bookmarkEnd w:id="4170"/>
    </w:p>
    <w:p w14:paraId="065E20E5" w14:textId="77777777" w:rsidR="007968EC" w:rsidRPr="002C0D19" w:rsidRDefault="007968EC" w:rsidP="007968EC">
      <w:pPr>
        <w:jc w:val="both"/>
        <w:rPr>
          <w:rFonts w:ascii="Arial Narrow" w:eastAsia="Calibri" w:hAnsi="Arial Narrow"/>
          <w:b/>
          <w:color w:val="000000" w:themeColor="text1"/>
        </w:rPr>
      </w:pPr>
    </w:p>
    <w:p w14:paraId="642094A1" w14:textId="77777777" w:rsidR="007968EC" w:rsidRPr="002C0D19" w:rsidRDefault="007968EC" w:rsidP="007968EC">
      <w:pPr>
        <w:contextualSpacing/>
        <w:jc w:val="both"/>
        <w:rPr>
          <w:rFonts w:ascii="Arial Narrow" w:eastAsia="Calibri" w:hAnsi="Arial Narrow"/>
          <w:b/>
          <w:color w:val="000000" w:themeColor="text1"/>
        </w:rPr>
      </w:pPr>
      <w:r w:rsidRPr="002C0D19">
        <w:rPr>
          <w:rFonts w:ascii="Arial Narrow" w:eastAsia="Calibri" w:hAnsi="Arial Narrow"/>
          <w:color w:val="000000" w:themeColor="text1"/>
        </w:rPr>
        <w:t>la Posición Abierta sobre cada vencimiento del Instrumento Financiero Derivado No Estandarizado será valorada diariamente al final de la Sesión de Cámara al Precio de Valoración de Cierre. El cálculo de la Liquidación dependerá del momento en que fue aceptada la Operación y se realizará de acuerdo con las siguientes formulas:</w:t>
      </w:r>
    </w:p>
    <w:p w14:paraId="50F2E178" w14:textId="77777777" w:rsidR="007968EC" w:rsidRPr="002C0D19" w:rsidRDefault="007968EC" w:rsidP="007968EC">
      <w:pPr>
        <w:autoSpaceDE w:val="0"/>
        <w:autoSpaceDN w:val="0"/>
        <w:adjustRightInd w:val="0"/>
        <w:jc w:val="both"/>
        <w:rPr>
          <w:rFonts w:ascii="Arial Narrow" w:eastAsia="Calibri" w:hAnsi="Arial Narrow"/>
          <w:b/>
          <w:color w:val="000000" w:themeColor="text1"/>
        </w:rPr>
      </w:pPr>
    </w:p>
    <w:p w14:paraId="10C09189" w14:textId="77777777" w:rsidR="007968EC" w:rsidRPr="002C0D19" w:rsidRDefault="007968EC" w:rsidP="00DA7472">
      <w:pPr>
        <w:numPr>
          <w:ilvl w:val="0"/>
          <w:numId w:val="179"/>
        </w:numPr>
        <w:autoSpaceDE w:val="0"/>
        <w:autoSpaceDN w:val="0"/>
        <w:adjustRightInd w:val="0"/>
        <w:contextualSpacing/>
        <w:jc w:val="both"/>
        <w:rPr>
          <w:rFonts w:ascii="Arial Narrow" w:eastAsia="Calibri" w:hAnsi="Arial Narrow"/>
          <w:b/>
          <w:color w:val="000000" w:themeColor="text1"/>
        </w:rPr>
      </w:pPr>
      <w:r w:rsidRPr="002C0D19">
        <w:rPr>
          <w:rFonts w:ascii="Arial Narrow" w:eastAsia="Calibri" w:hAnsi="Arial Narrow"/>
          <w:color w:val="000000" w:themeColor="text1"/>
        </w:rPr>
        <w:t>Operaciones Aceptadas el día de la sesión:</w:t>
      </w:r>
    </w:p>
    <w:p w14:paraId="469BFF8C" w14:textId="77777777" w:rsidR="007968EC" w:rsidRPr="002C0D19" w:rsidRDefault="007968EC" w:rsidP="007968EC">
      <w:pPr>
        <w:autoSpaceDE w:val="0"/>
        <w:autoSpaceDN w:val="0"/>
        <w:adjustRightInd w:val="0"/>
        <w:ind w:left="720"/>
        <w:contextualSpacing/>
        <w:jc w:val="both"/>
        <w:rPr>
          <w:rFonts w:ascii="Arial Narrow" w:eastAsia="Calibri" w:hAnsi="Arial Narrow"/>
          <w:b/>
          <w:color w:val="000000" w:themeColor="text1"/>
        </w:rPr>
      </w:pPr>
    </w:p>
    <w:p w14:paraId="69A78256" w14:textId="77777777" w:rsidR="007968EC" w:rsidRPr="002C0D19" w:rsidRDefault="007968EC" w:rsidP="007968EC">
      <w:pPr>
        <w:autoSpaceDE w:val="0"/>
        <w:autoSpaceDN w:val="0"/>
        <w:adjustRightInd w:val="0"/>
        <w:ind w:left="720"/>
        <w:contextualSpacing/>
        <w:jc w:val="both"/>
        <w:rPr>
          <w:rFonts w:ascii="Arial Narrow" w:eastAsia="Calibri" w:hAnsi="Arial Narrow"/>
          <w:b/>
          <w:color w:val="000000" w:themeColor="text1"/>
        </w:rPr>
      </w:pPr>
      <m:oMathPara>
        <m:oMath>
          <m:r>
            <m:rPr>
              <m:sty m:val="bi"/>
            </m:rPr>
            <w:rPr>
              <w:rFonts w:ascii="Cambria Math" w:eastAsia="Calibri" w:hAnsi="Cambria Math"/>
              <w:color w:val="000000" w:themeColor="text1"/>
            </w:rPr>
            <m:t>LiqDif=</m:t>
          </m:r>
          <m:d>
            <m:dPr>
              <m:ctrlPr>
                <w:rPr>
                  <w:rFonts w:ascii="Cambria Math" w:eastAsia="Calibri" w:hAnsi="Cambria Math"/>
                  <w:i/>
                  <w:color w:val="000000" w:themeColor="text1"/>
                </w:rPr>
              </m:ctrlPr>
            </m:dPr>
            <m:e>
              <m:sSub>
                <m:sSubPr>
                  <m:ctrlPr>
                    <w:rPr>
                      <w:rFonts w:ascii="Cambria Math" w:eastAsia="Calibri" w:hAnsi="Cambria Math"/>
                      <w:i/>
                      <w:color w:val="000000" w:themeColor="text1"/>
                    </w:rPr>
                  </m:ctrlPr>
                </m:sSubPr>
                <m:e>
                  <m:r>
                    <m:rPr>
                      <m:sty m:val="bi"/>
                    </m:rPr>
                    <w:rPr>
                      <w:rFonts w:ascii="Cambria Math" w:eastAsia="Calibri" w:hAnsi="Cambria Math"/>
                      <w:color w:val="000000" w:themeColor="text1"/>
                    </w:rPr>
                    <m:t>PL</m:t>
                  </m:r>
                </m:e>
                <m:sub>
                  <m:r>
                    <m:rPr>
                      <m:sty m:val="bi"/>
                    </m:rPr>
                    <w:rPr>
                      <w:rFonts w:ascii="Cambria Math" w:eastAsia="Calibri" w:hAnsi="Cambria Math"/>
                      <w:color w:val="000000" w:themeColor="text1"/>
                    </w:rPr>
                    <m:t>t</m:t>
                  </m:r>
                </m:sub>
              </m:sSub>
              <m:r>
                <m:rPr>
                  <m:sty m:val="bi"/>
                </m:rPr>
                <w:rPr>
                  <w:rFonts w:ascii="Cambria Math" w:eastAsia="Calibri" w:hAnsi="Cambria Math"/>
                  <w:color w:val="000000" w:themeColor="text1"/>
                </w:rPr>
                <m:t>-</m:t>
              </m:r>
              <m:sSub>
                <m:sSubPr>
                  <m:ctrlPr>
                    <w:rPr>
                      <w:rFonts w:ascii="Cambria Math" w:eastAsia="Calibri" w:hAnsi="Cambria Math"/>
                      <w:i/>
                      <w:color w:val="000000" w:themeColor="text1"/>
                    </w:rPr>
                  </m:ctrlPr>
                </m:sSubPr>
                <m:e>
                  <m:r>
                    <m:rPr>
                      <m:sty m:val="bi"/>
                    </m:rPr>
                    <w:rPr>
                      <w:rFonts w:ascii="Cambria Math" w:eastAsia="Calibri" w:hAnsi="Cambria Math"/>
                      <w:color w:val="000000" w:themeColor="text1"/>
                    </w:rPr>
                    <m:t>PN</m:t>
                  </m:r>
                </m:e>
                <m:sub>
                  <m:r>
                    <m:rPr>
                      <m:sty m:val="bi"/>
                    </m:rPr>
                    <w:rPr>
                      <w:rFonts w:ascii="Cambria Math" w:eastAsia="Calibri" w:hAnsi="Cambria Math"/>
                      <w:color w:val="000000" w:themeColor="text1"/>
                    </w:rPr>
                    <m:t>t</m:t>
                  </m:r>
                </m:sub>
              </m:sSub>
            </m:e>
          </m:d>
          <m:r>
            <m:rPr>
              <m:sty m:val="bi"/>
            </m:rPr>
            <w:rPr>
              <w:rFonts w:ascii="Cambria Math" w:eastAsia="Calibri" w:hAnsi="Cambria Math"/>
              <w:color w:val="000000" w:themeColor="text1"/>
            </w:rPr>
            <m:t>*</m:t>
          </m:r>
          <m:sSub>
            <m:sSubPr>
              <m:ctrlPr>
                <w:rPr>
                  <w:rFonts w:ascii="Cambria Math" w:eastAsia="Calibri" w:hAnsi="Cambria Math"/>
                  <w:color w:val="000000" w:themeColor="text1"/>
                </w:rPr>
              </m:ctrlPr>
            </m:sSubPr>
            <m:e>
              <m:r>
                <m:rPr>
                  <m:sty m:val="b"/>
                </m:rPr>
                <w:rPr>
                  <w:rFonts w:ascii="Cambria Math" w:eastAsia="Calibri" w:hAnsi="Cambria Math"/>
                  <w:color w:val="000000" w:themeColor="text1"/>
                </w:rPr>
                <m:t>N</m:t>
              </m:r>
            </m:e>
            <m:sub>
              <m:r>
                <m:rPr>
                  <m:sty m:val="b"/>
                </m:rPr>
                <w:rPr>
                  <w:rFonts w:ascii="Cambria Math" w:eastAsia="Calibri" w:hAnsi="Cambria Math"/>
                  <w:color w:val="000000" w:themeColor="text1"/>
                </w:rPr>
                <m:t>a</m:t>
              </m:r>
            </m:sub>
          </m:sSub>
        </m:oMath>
      </m:oMathPara>
    </w:p>
    <w:p w14:paraId="5A400D55" w14:textId="77777777" w:rsidR="007968EC" w:rsidRPr="002C0D19" w:rsidRDefault="007968EC" w:rsidP="007968EC">
      <w:pPr>
        <w:autoSpaceDE w:val="0"/>
        <w:autoSpaceDN w:val="0"/>
        <w:adjustRightInd w:val="0"/>
        <w:jc w:val="both"/>
        <w:rPr>
          <w:rFonts w:ascii="Arial Narrow" w:eastAsia="Calibri" w:hAnsi="Arial Narrow"/>
          <w:b/>
          <w:color w:val="000000" w:themeColor="text1"/>
        </w:rPr>
      </w:pPr>
    </w:p>
    <w:p w14:paraId="664C6BE4" w14:textId="77777777" w:rsidR="007968EC" w:rsidRPr="002C0D19" w:rsidRDefault="007968EC" w:rsidP="007968EC">
      <w:pPr>
        <w:ind w:left="720"/>
        <w:contextualSpacing/>
        <w:jc w:val="both"/>
        <w:rPr>
          <w:rFonts w:ascii="Arial Narrow" w:eastAsia="Calibri" w:hAnsi="Arial Narrow"/>
          <w:b/>
          <w:color w:val="000000" w:themeColor="text1"/>
        </w:rPr>
      </w:pPr>
      <w:r w:rsidRPr="002C0D19">
        <w:rPr>
          <w:rFonts w:ascii="Arial Narrow" w:eastAsia="Calibri" w:hAnsi="Arial Narrow"/>
          <w:color w:val="000000" w:themeColor="text1"/>
        </w:rPr>
        <w:t xml:space="preserve">Donde </w:t>
      </w:r>
    </w:p>
    <w:p w14:paraId="1CD3E6E4" w14:textId="77777777" w:rsidR="007968EC" w:rsidRPr="002C0D19" w:rsidRDefault="007968EC" w:rsidP="007968EC">
      <w:pPr>
        <w:autoSpaceDE w:val="0"/>
        <w:autoSpaceDN w:val="0"/>
        <w:adjustRightInd w:val="0"/>
        <w:jc w:val="both"/>
        <w:rPr>
          <w:rFonts w:ascii="Arial Narrow" w:eastAsia="Calibri" w:hAnsi="Arial Narrow"/>
          <w:b/>
          <w:color w:val="000000" w:themeColor="text1"/>
        </w:rPr>
      </w:pPr>
    </w:p>
    <w:p w14:paraId="084D833C" w14:textId="77777777" w:rsidR="007968EC" w:rsidRPr="002C0D19" w:rsidRDefault="00682D97" w:rsidP="007968EC">
      <w:pPr>
        <w:ind w:left="720"/>
        <w:contextualSpacing/>
        <w:jc w:val="both"/>
        <w:rPr>
          <w:rFonts w:ascii="Arial Narrow" w:eastAsia="Calibri" w:hAnsi="Arial Narrow"/>
          <w:b/>
          <w:color w:val="000000" w:themeColor="text1"/>
        </w:rPr>
      </w:pPr>
      <m:oMath>
        <m:sSub>
          <m:sSubPr>
            <m:ctrlPr>
              <w:rPr>
                <w:rFonts w:ascii="Cambria Math" w:eastAsia="Calibri" w:hAnsi="Cambria Math"/>
                <w:color w:val="000000" w:themeColor="text1"/>
              </w:rPr>
            </m:ctrlPr>
          </m:sSubPr>
          <m:e>
            <m:r>
              <m:rPr>
                <m:sty m:val="b"/>
              </m:rPr>
              <w:rPr>
                <w:rFonts w:ascii="Cambria Math" w:eastAsia="Calibri" w:hAnsi="Cambria Math"/>
                <w:color w:val="000000" w:themeColor="text1"/>
              </w:rPr>
              <m:t>N</m:t>
            </m:r>
          </m:e>
          <m:sub>
            <m:r>
              <m:rPr>
                <m:sty m:val="b"/>
              </m:rPr>
              <w:rPr>
                <w:rFonts w:ascii="Cambria Math" w:eastAsia="Calibri" w:hAnsi="Cambria Math"/>
                <w:color w:val="000000" w:themeColor="text1"/>
              </w:rPr>
              <m:t>a</m:t>
            </m:r>
          </m:sub>
        </m:sSub>
      </m:oMath>
      <w:r w:rsidR="007968EC" w:rsidRPr="002C0D19">
        <w:rPr>
          <w:rFonts w:ascii="Arial Narrow" w:eastAsia="Calibri" w:hAnsi="Arial Narrow"/>
          <w:color w:val="000000" w:themeColor="text1"/>
        </w:rPr>
        <w:t>= Valor Nominal de compra o de venta según corresponda. Llevará signo positivo en el caso de operaciones de compra y negativo en el caso de operaciones de venta.</w:t>
      </w:r>
    </w:p>
    <w:p w14:paraId="20B05670" w14:textId="77777777" w:rsidR="007968EC" w:rsidRPr="002C0D19" w:rsidRDefault="007968EC" w:rsidP="007968EC">
      <w:pPr>
        <w:autoSpaceDE w:val="0"/>
        <w:autoSpaceDN w:val="0"/>
        <w:adjustRightInd w:val="0"/>
        <w:jc w:val="both"/>
        <w:rPr>
          <w:rFonts w:ascii="Arial Narrow" w:eastAsia="Calibri" w:hAnsi="Arial Narrow"/>
          <w:b/>
          <w:color w:val="000000" w:themeColor="text1"/>
        </w:rPr>
      </w:pPr>
    </w:p>
    <w:p w14:paraId="27F0BEA9" w14:textId="77777777" w:rsidR="007968EC" w:rsidRPr="002C0D19" w:rsidRDefault="007968EC" w:rsidP="00DA7472">
      <w:pPr>
        <w:numPr>
          <w:ilvl w:val="0"/>
          <w:numId w:val="179"/>
        </w:numPr>
        <w:autoSpaceDE w:val="0"/>
        <w:autoSpaceDN w:val="0"/>
        <w:adjustRightInd w:val="0"/>
        <w:contextualSpacing/>
        <w:jc w:val="both"/>
        <w:rPr>
          <w:rFonts w:ascii="Arial Narrow" w:eastAsia="Calibri" w:hAnsi="Arial Narrow"/>
          <w:b/>
          <w:color w:val="000000" w:themeColor="text1"/>
        </w:rPr>
      </w:pPr>
      <w:r w:rsidRPr="002C0D19">
        <w:rPr>
          <w:rFonts w:ascii="Arial Narrow" w:eastAsia="Calibri" w:hAnsi="Arial Narrow"/>
          <w:color w:val="000000" w:themeColor="text1"/>
        </w:rPr>
        <w:t>Posiciones Abiertas del día anterior.</w:t>
      </w:r>
    </w:p>
    <w:p w14:paraId="59CF272B" w14:textId="77777777" w:rsidR="007968EC" w:rsidRPr="002C0D19" w:rsidRDefault="007968EC" w:rsidP="007968EC">
      <w:pPr>
        <w:autoSpaceDE w:val="0"/>
        <w:autoSpaceDN w:val="0"/>
        <w:adjustRightInd w:val="0"/>
        <w:jc w:val="both"/>
        <w:rPr>
          <w:rFonts w:ascii="Arial Narrow" w:eastAsia="Calibri" w:hAnsi="Arial Narrow"/>
          <w:b/>
          <w:color w:val="000000" w:themeColor="text1"/>
        </w:rPr>
      </w:pPr>
    </w:p>
    <w:p w14:paraId="7B1E8B49" w14:textId="77777777" w:rsidR="007968EC" w:rsidRPr="002C0D19" w:rsidRDefault="00682D97" w:rsidP="007968EC">
      <w:pPr>
        <w:autoSpaceDE w:val="0"/>
        <w:autoSpaceDN w:val="0"/>
        <w:adjustRightInd w:val="0"/>
        <w:jc w:val="both"/>
        <w:rPr>
          <w:rFonts w:ascii="Arial Narrow" w:eastAsia="Calibri" w:hAnsi="Arial Narrow"/>
          <w:b/>
          <w:color w:val="000000" w:themeColor="text1"/>
        </w:rPr>
      </w:pPr>
      <m:oMathPara>
        <m:oMath>
          <m:sSub>
            <m:sSubPr>
              <m:ctrlPr>
                <w:rPr>
                  <w:rFonts w:ascii="Cambria Math" w:eastAsia="Calibri" w:hAnsi="Cambria Math"/>
                  <w:i/>
                  <w:color w:val="000000" w:themeColor="text1"/>
                </w:rPr>
              </m:ctrlPr>
            </m:sSubPr>
            <m:e>
              <m:r>
                <m:rPr>
                  <m:sty m:val="bi"/>
                </m:rPr>
                <w:rPr>
                  <w:rFonts w:ascii="Cambria Math" w:eastAsia="Calibri" w:hAnsi="Cambria Math"/>
                  <w:color w:val="000000" w:themeColor="text1"/>
                </w:rPr>
                <m:t>LiqDif</m:t>
              </m:r>
            </m:e>
            <m:sub>
              <m:r>
                <m:rPr>
                  <m:sty m:val="bi"/>
                </m:rPr>
                <w:rPr>
                  <w:rFonts w:ascii="Cambria Math" w:eastAsia="Calibri" w:hAnsi="Cambria Math"/>
                  <w:color w:val="000000" w:themeColor="text1"/>
                </w:rPr>
                <m:t>t</m:t>
              </m:r>
            </m:sub>
          </m:sSub>
          <m:r>
            <m:rPr>
              <m:sty m:val="bi"/>
            </m:rPr>
            <w:rPr>
              <w:rFonts w:ascii="Cambria Math" w:eastAsia="Calibri" w:hAnsi="Cambria Math"/>
              <w:color w:val="000000" w:themeColor="text1"/>
            </w:rPr>
            <m:t>=</m:t>
          </m:r>
          <m:d>
            <m:dPr>
              <m:ctrlPr>
                <w:rPr>
                  <w:rFonts w:ascii="Cambria Math" w:eastAsia="Calibri" w:hAnsi="Cambria Math"/>
                  <w:i/>
                  <w:color w:val="000000" w:themeColor="text1"/>
                </w:rPr>
              </m:ctrlPr>
            </m:dPr>
            <m:e>
              <m:sSub>
                <m:sSubPr>
                  <m:ctrlPr>
                    <w:rPr>
                      <w:rFonts w:ascii="Cambria Math" w:eastAsia="Calibri" w:hAnsi="Cambria Math"/>
                      <w:i/>
                      <w:color w:val="000000" w:themeColor="text1"/>
                    </w:rPr>
                  </m:ctrlPr>
                </m:sSubPr>
                <m:e>
                  <m:r>
                    <m:rPr>
                      <m:sty m:val="bi"/>
                    </m:rPr>
                    <w:rPr>
                      <w:rFonts w:ascii="Cambria Math" w:eastAsia="Calibri" w:hAnsi="Cambria Math"/>
                      <w:color w:val="000000" w:themeColor="text1"/>
                    </w:rPr>
                    <m:t>PL</m:t>
                  </m:r>
                </m:e>
                <m:sub>
                  <m:r>
                    <m:rPr>
                      <m:sty m:val="bi"/>
                    </m:rPr>
                    <w:rPr>
                      <w:rFonts w:ascii="Cambria Math" w:eastAsia="Calibri" w:hAnsi="Cambria Math"/>
                      <w:color w:val="000000" w:themeColor="text1"/>
                    </w:rPr>
                    <m:t>t</m:t>
                  </m:r>
                </m:sub>
              </m:sSub>
              <m:r>
                <m:rPr>
                  <m:sty m:val="bi"/>
                </m:rPr>
                <w:rPr>
                  <w:rFonts w:ascii="Cambria Math" w:eastAsia="Calibri" w:hAnsi="Cambria Math"/>
                  <w:color w:val="000000" w:themeColor="text1"/>
                </w:rPr>
                <m:t>-</m:t>
              </m:r>
              <m:sSub>
                <m:sSubPr>
                  <m:ctrlPr>
                    <w:rPr>
                      <w:rFonts w:ascii="Cambria Math" w:eastAsia="Calibri" w:hAnsi="Cambria Math"/>
                      <w:i/>
                      <w:color w:val="000000" w:themeColor="text1"/>
                    </w:rPr>
                  </m:ctrlPr>
                </m:sSubPr>
                <m:e>
                  <m:r>
                    <m:rPr>
                      <m:sty m:val="bi"/>
                    </m:rPr>
                    <w:rPr>
                      <w:rFonts w:ascii="Cambria Math" w:eastAsia="Calibri" w:hAnsi="Cambria Math"/>
                      <w:color w:val="000000" w:themeColor="text1"/>
                    </w:rPr>
                    <m:t>PL</m:t>
                  </m:r>
                </m:e>
                <m:sub>
                  <m:r>
                    <m:rPr>
                      <m:sty m:val="bi"/>
                    </m:rPr>
                    <w:rPr>
                      <w:rFonts w:ascii="Cambria Math" w:eastAsia="Calibri" w:hAnsi="Cambria Math"/>
                      <w:color w:val="000000" w:themeColor="text1"/>
                    </w:rPr>
                    <m:t>t-1</m:t>
                  </m:r>
                </m:sub>
              </m:sSub>
            </m:e>
          </m:d>
          <m:r>
            <m:rPr>
              <m:sty m:val="bi"/>
            </m:rPr>
            <w:rPr>
              <w:rFonts w:ascii="Cambria Math" w:eastAsia="Calibri" w:hAnsi="Cambria Math"/>
              <w:color w:val="000000" w:themeColor="text1"/>
            </w:rPr>
            <m:t>*</m:t>
          </m:r>
          <m:r>
            <m:rPr>
              <m:sty m:val="b"/>
            </m:rPr>
            <w:rPr>
              <w:rFonts w:ascii="Cambria Math" w:eastAsia="Calibri" w:hAnsi="Cambria Math"/>
              <w:color w:val="000000" w:themeColor="text1"/>
            </w:rPr>
            <m:t>N</m:t>
          </m:r>
        </m:oMath>
      </m:oMathPara>
    </w:p>
    <w:p w14:paraId="5DD27A96" w14:textId="77777777" w:rsidR="007968EC" w:rsidRPr="002C0D19" w:rsidRDefault="007968EC" w:rsidP="007968EC">
      <w:pPr>
        <w:ind w:left="993" w:hanging="567"/>
        <w:jc w:val="both"/>
        <w:rPr>
          <w:rFonts w:ascii="Arial Narrow" w:eastAsia="Calibri" w:hAnsi="Arial Narrow"/>
          <w:b/>
          <w:color w:val="000000" w:themeColor="text1"/>
        </w:rPr>
      </w:pPr>
      <w:r w:rsidRPr="002C0D19">
        <w:rPr>
          <w:rFonts w:ascii="Arial Narrow" w:eastAsia="Calibri" w:hAnsi="Arial Narrow"/>
          <w:color w:val="000000" w:themeColor="text1"/>
        </w:rPr>
        <w:t xml:space="preserve">Donde </w:t>
      </w:r>
    </w:p>
    <w:p w14:paraId="6EB5AB20" w14:textId="77777777" w:rsidR="007968EC" w:rsidRPr="002C0D19" w:rsidRDefault="007968EC" w:rsidP="007968EC">
      <w:pPr>
        <w:ind w:left="993" w:hanging="567"/>
        <w:jc w:val="both"/>
        <w:rPr>
          <w:rFonts w:ascii="Arial Narrow" w:eastAsia="Calibri" w:hAnsi="Arial Narrow"/>
          <w:b/>
          <w:color w:val="000000" w:themeColor="text1"/>
        </w:rPr>
      </w:pPr>
    </w:p>
    <w:p w14:paraId="4A72D446" w14:textId="77777777" w:rsidR="007968EC" w:rsidRPr="002C0D19" w:rsidRDefault="00682D97" w:rsidP="007968EC">
      <w:pPr>
        <w:ind w:left="993" w:hanging="567"/>
        <w:jc w:val="both"/>
        <w:rPr>
          <w:rFonts w:ascii="Arial Narrow" w:eastAsia="Calibri" w:hAnsi="Arial Narrow"/>
          <w:b/>
          <w:color w:val="000000" w:themeColor="text1"/>
        </w:rPr>
      </w:pPr>
      <m:oMath>
        <m:sSub>
          <m:sSubPr>
            <m:ctrlPr>
              <w:rPr>
                <w:rFonts w:ascii="Cambria Math" w:eastAsia="Calibri" w:hAnsi="Cambria Math"/>
                <w:color w:val="000000" w:themeColor="text1"/>
              </w:rPr>
            </m:ctrlPr>
          </m:sSubPr>
          <m:e>
            <m:r>
              <m:rPr>
                <m:sty m:val="b"/>
              </m:rPr>
              <w:rPr>
                <w:rFonts w:ascii="Cambria Math" w:eastAsia="Calibri" w:hAnsi="Cambria Math"/>
                <w:color w:val="000000" w:themeColor="text1"/>
              </w:rPr>
              <m:t>LiqDif</m:t>
            </m:r>
          </m:e>
          <m:sub>
            <m:r>
              <m:rPr>
                <m:sty m:val="b"/>
              </m:rPr>
              <w:rPr>
                <w:rFonts w:ascii="Cambria Math" w:eastAsia="Calibri" w:hAnsi="Cambria Math"/>
                <w:color w:val="000000" w:themeColor="text1"/>
              </w:rPr>
              <m:t>t</m:t>
            </m:r>
          </m:sub>
        </m:sSub>
      </m:oMath>
      <w:r w:rsidR="007968EC" w:rsidRPr="002C0D19">
        <w:rPr>
          <w:rFonts w:ascii="Arial Narrow" w:eastAsia="Calibri" w:hAnsi="Arial Narrow"/>
          <w:color w:val="000000" w:themeColor="text1"/>
        </w:rPr>
        <w:t xml:space="preserve"> = Liquidación por diferencias de precios</w:t>
      </w:r>
    </w:p>
    <w:p w14:paraId="32465FC4" w14:textId="77777777" w:rsidR="007968EC" w:rsidRPr="002C0D19" w:rsidRDefault="007968EC" w:rsidP="007968EC">
      <w:pPr>
        <w:ind w:left="993" w:hanging="567"/>
        <w:jc w:val="both"/>
        <w:rPr>
          <w:rFonts w:ascii="Arial Narrow" w:eastAsia="Calibri" w:hAnsi="Arial Narrow"/>
          <w:b/>
          <w:color w:val="000000" w:themeColor="text1"/>
        </w:rPr>
      </w:pPr>
    </w:p>
    <w:p w14:paraId="50D4AFFA" w14:textId="77777777" w:rsidR="007968EC" w:rsidRPr="002C0D19" w:rsidRDefault="00682D97" w:rsidP="007968EC">
      <w:pPr>
        <w:ind w:left="993" w:hanging="567"/>
        <w:jc w:val="both"/>
        <w:rPr>
          <w:rFonts w:ascii="Arial Narrow" w:eastAsia="Calibri" w:hAnsi="Arial Narrow"/>
          <w:b/>
          <w:color w:val="000000" w:themeColor="text1"/>
        </w:rPr>
      </w:pPr>
      <m:oMath>
        <m:sSub>
          <m:sSubPr>
            <m:ctrlPr>
              <w:rPr>
                <w:rFonts w:ascii="Cambria Math" w:eastAsia="Calibri" w:hAnsi="Cambria Math"/>
                <w:color w:val="000000" w:themeColor="text1"/>
              </w:rPr>
            </m:ctrlPr>
          </m:sSubPr>
          <m:e>
            <m:r>
              <m:rPr>
                <m:sty m:val="b"/>
              </m:rPr>
              <w:rPr>
                <w:rFonts w:ascii="Cambria Math" w:eastAsia="Calibri" w:hAnsi="Cambria Math"/>
                <w:color w:val="000000" w:themeColor="text1"/>
              </w:rPr>
              <m:t>PL</m:t>
            </m:r>
          </m:e>
          <m:sub>
            <m:r>
              <m:rPr>
                <m:sty m:val="b"/>
              </m:rPr>
              <w:rPr>
                <w:rFonts w:ascii="Cambria Math" w:eastAsia="Calibri" w:hAnsi="Cambria Math"/>
                <w:color w:val="000000" w:themeColor="text1"/>
              </w:rPr>
              <m:t>t</m:t>
            </m:r>
          </m:sub>
        </m:sSub>
      </m:oMath>
      <w:r w:rsidR="007968EC" w:rsidRPr="002C0D19">
        <w:rPr>
          <w:rFonts w:ascii="Arial Narrow" w:eastAsia="Calibri" w:hAnsi="Arial Narrow"/>
          <w:color w:val="000000" w:themeColor="text1"/>
        </w:rPr>
        <w:t xml:space="preserve">  = Precio de Valoración de Cierre</w:t>
      </w:r>
    </w:p>
    <w:p w14:paraId="0A6FF87E" w14:textId="77777777" w:rsidR="007968EC" w:rsidRPr="002C0D19" w:rsidRDefault="007968EC" w:rsidP="007968EC">
      <w:pPr>
        <w:jc w:val="both"/>
        <w:rPr>
          <w:rFonts w:ascii="Arial Narrow" w:eastAsia="Calibri" w:hAnsi="Arial Narrow"/>
          <w:b/>
          <w:color w:val="000000" w:themeColor="text1"/>
        </w:rPr>
      </w:pPr>
    </w:p>
    <w:p w14:paraId="049CB81E" w14:textId="77777777" w:rsidR="007968EC" w:rsidRPr="002C0D19" w:rsidRDefault="00682D97" w:rsidP="007968EC">
      <w:pPr>
        <w:ind w:left="426"/>
        <w:jc w:val="both"/>
        <w:rPr>
          <w:rFonts w:ascii="Arial Narrow" w:eastAsia="Calibri" w:hAnsi="Arial Narrow"/>
          <w:b/>
          <w:color w:val="000000" w:themeColor="text1"/>
        </w:rPr>
      </w:pPr>
      <m:oMath>
        <m:sSub>
          <m:sSubPr>
            <m:ctrlPr>
              <w:rPr>
                <w:rFonts w:ascii="Cambria Math" w:eastAsia="Calibri" w:hAnsi="Cambria Math"/>
                <w:color w:val="000000" w:themeColor="text1"/>
              </w:rPr>
            </m:ctrlPr>
          </m:sSubPr>
          <m:e>
            <m:r>
              <m:rPr>
                <m:sty m:val="b"/>
              </m:rPr>
              <w:rPr>
                <w:rFonts w:ascii="Cambria Math" w:eastAsia="Calibri" w:hAnsi="Cambria Math"/>
                <w:color w:val="000000" w:themeColor="text1"/>
              </w:rPr>
              <m:t>PL</m:t>
            </m:r>
          </m:e>
          <m:sub>
            <m:r>
              <m:rPr>
                <m:sty m:val="b"/>
              </m:rPr>
              <w:rPr>
                <w:rFonts w:ascii="Cambria Math" w:eastAsia="Calibri" w:hAnsi="Cambria Math"/>
                <w:color w:val="000000" w:themeColor="text1"/>
              </w:rPr>
              <m:t>t-1</m:t>
            </m:r>
          </m:sub>
        </m:sSub>
      </m:oMath>
      <w:r w:rsidR="007968EC" w:rsidRPr="002C0D19">
        <w:rPr>
          <w:rFonts w:ascii="Arial Narrow" w:eastAsia="Calibri" w:hAnsi="Arial Narrow"/>
          <w:color w:val="000000" w:themeColor="text1"/>
        </w:rPr>
        <w:t>= Precio de Valoración de Cierre de la sesión anterior de Cámara.</w:t>
      </w:r>
    </w:p>
    <w:p w14:paraId="0B500F2C" w14:textId="77777777" w:rsidR="007968EC" w:rsidRPr="002C0D19" w:rsidRDefault="007968EC" w:rsidP="007968EC">
      <w:pPr>
        <w:jc w:val="both"/>
        <w:rPr>
          <w:rFonts w:ascii="Arial Narrow" w:eastAsia="Calibri" w:hAnsi="Arial Narrow"/>
          <w:b/>
          <w:color w:val="000000" w:themeColor="text1"/>
        </w:rPr>
      </w:pPr>
    </w:p>
    <w:p w14:paraId="1962CE46" w14:textId="77777777" w:rsidR="007968EC" w:rsidRPr="002C0D19" w:rsidRDefault="00682D97" w:rsidP="007968EC">
      <w:pPr>
        <w:ind w:left="993" w:hanging="567"/>
        <w:jc w:val="both"/>
        <w:rPr>
          <w:rFonts w:ascii="Arial Narrow" w:eastAsia="Calibri" w:hAnsi="Arial Narrow"/>
          <w:b/>
          <w:color w:val="000000" w:themeColor="text1"/>
        </w:rPr>
      </w:pPr>
      <m:oMath>
        <m:sSub>
          <m:sSubPr>
            <m:ctrlPr>
              <w:rPr>
                <w:rFonts w:ascii="Cambria Math" w:eastAsia="Calibri" w:hAnsi="Cambria Math"/>
                <w:color w:val="000000" w:themeColor="text1"/>
              </w:rPr>
            </m:ctrlPr>
          </m:sSubPr>
          <m:e>
            <m:r>
              <m:rPr>
                <m:sty m:val="b"/>
              </m:rPr>
              <w:rPr>
                <w:rFonts w:ascii="Cambria Math" w:eastAsia="Calibri" w:hAnsi="Cambria Math"/>
                <w:color w:val="000000" w:themeColor="text1"/>
              </w:rPr>
              <m:t>PN</m:t>
            </m:r>
          </m:e>
          <m:sub>
            <m:r>
              <m:rPr>
                <m:sty m:val="b"/>
              </m:rPr>
              <w:rPr>
                <w:rFonts w:ascii="Cambria Math" w:eastAsia="Calibri" w:hAnsi="Cambria Math"/>
                <w:color w:val="000000" w:themeColor="text1"/>
              </w:rPr>
              <m:t>t</m:t>
            </m:r>
          </m:sub>
        </m:sSub>
      </m:oMath>
      <w:r w:rsidR="007968EC" w:rsidRPr="002C0D19">
        <w:rPr>
          <w:rFonts w:ascii="Arial Narrow" w:eastAsia="Calibri" w:hAnsi="Arial Narrow"/>
          <w:color w:val="000000" w:themeColor="text1"/>
        </w:rPr>
        <w:t xml:space="preserve"> = Precio de Negociación. Para las Operaciones sobre NDF (USD/COP) será la Tasa de la Operación</w:t>
      </w:r>
    </w:p>
    <w:p w14:paraId="7E900B3F" w14:textId="77777777" w:rsidR="007968EC" w:rsidRPr="002C0D19" w:rsidRDefault="007968EC" w:rsidP="007968EC">
      <w:pPr>
        <w:ind w:left="993" w:hanging="567"/>
        <w:jc w:val="both"/>
        <w:rPr>
          <w:rFonts w:ascii="Arial Narrow" w:eastAsia="Calibri" w:hAnsi="Arial Narrow"/>
          <w:b/>
          <w:color w:val="000000" w:themeColor="text1"/>
        </w:rPr>
      </w:pPr>
    </w:p>
    <w:p w14:paraId="770C7C73" w14:textId="77777777" w:rsidR="007968EC" w:rsidRPr="002C0D19" w:rsidRDefault="007968EC" w:rsidP="007968EC">
      <w:pPr>
        <w:keepNext/>
        <w:autoSpaceDE w:val="0"/>
        <w:autoSpaceDN w:val="0"/>
        <w:ind w:left="426"/>
        <w:contextualSpacing/>
        <w:jc w:val="both"/>
        <w:rPr>
          <w:rFonts w:ascii="Arial Narrow" w:eastAsia="Calibri" w:hAnsi="Arial Narrow"/>
          <w:color w:val="000000" w:themeColor="text1"/>
        </w:rPr>
      </w:pPr>
      <m:oMath>
        <m:r>
          <m:rPr>
            <m:sty m:val="b"/>
          </m:rPr>
          <w:rPr>
            <w:rFonts w:ascii="Cambria Math" w:eastAsia="Calibri" w:hAnsi="Cambria Math"/>
            <w:color w:val="000000" w:themeColor="text1"/>
          </w:rPr>
          <m:t>N</m:t>
        </m:r>
      </m:oMath>
      <w:r w:rsidRPr="002C0D19">
        <w:rPr>
          <w:rFonts w:ascii="Arial Narrow" w:eastAsia="Calibri" w:hAnsi="Arial Narrow"/>
          <w:color w:val="000000" w:themeColor="text1"/>
        </w:rPr>
        <w:t xml:space="preserve">  = Posición Abierta de compra o de venta según corresponda. Llevará signo positivo en el caso de Posiciones Abiertas de compra y negativo en el caso Posiciones Abiertas de venta.</w:t>
      </w:r>
    </w:p>
    <w:p w14:paraId="350F3EB1" w14:textId="77777777" w:rsidR="007968EC" w:rsidRPr="002C0D19" w:rsidRDefault="007968EC" w:rsidP="007968EC">
      <w:pPr>
        <w:keepNext/>
        <w:autoSpaceDE w:val="0"/>
        <w:autoSpaceDN w:val="0"/>
        <w:contextualSpacing/>
        <w:jc w:val="both"/>
        <w:rPr>
          <w:rFonts w:ascii="Arial Narrow" w:eastAsia="Calibri" w:hAnsi="Arial Narrow"/>
          <w:color w:val="000000" w:themeColor="text1"/>
        </w:rPr>
      </w:pPr>
    </w:p>
    <w:p w14:paraId="24E4C9F8" w14:textId="77777777" w:rsidR="007968EC" w:rsidRPr="002C0D19" w:rsidRDefault="007968EC" w:rsidP="007968EC">
      <w:pPr>
        <w:pStyle w:val="ARTICULO0"/>
      </w:pPr>
      <w:bookmarkStart w:id="4171" w:name="_Toc470779933"/>
      <w:bookmarkStart w:id="4172" w:name="_Toc470780550"/>
      <w:bookmarkStart w:id="4173" w:name="_Toc470781063"/>
      <w:bookmarkStart w:id="4174" w:name="_Toc470784624"/>
      <w:bookmarkStart w:id="4175" w:name="_Toc470785161"/>
      <w:bookmarkStart w:id="4176" w:name="_Toc470791553"/>
      <w:bookmarkStart w:id="4177" w:name="_Toc472592314"/>
      <w:bookmarkStart w:id="4178" w:name="_Toc472593333"/>
      <w:bookmarkStart w:id="4179" w:name="_Toc479057119"/>
      <w:bookmarkStart w:id="4180" w:name="_Toc490066457"/>
      <w:bookmarkStart w:id="4181" w:name="_Toc31716134"/>
      <w:r w:rsidRPr="002C0D19">
        <w:t>Artículo 2.4.3.3. Etapas del Procedimiento de Liquidación Diaria de Instrumentos Financieros Derivados No Estandarizados provenientes de sistemas de negociación y/o registro o Mecanismo de Contratación cuyo Tipo de Liquidación incluya la Liquidación Diaria</w:t>
      </w:r>
      <w:bookmarkEnd w:id="4171"/>
      <w:bookmarkEnd w:id="4172"/>
      <w:bookmarkEnd w:id="4173"/>
      <w:bookmarkEnd w:id="4174"/>
      <w:bookmarkEnd w:id="4175"/>
      <w:bookmarkEnd w:id="4176"/>
      <w:bookmarkEnd w:id="4177"/>
      <w:bookmarkEnd w:id="4178"/>
      <w:bookmarkEnd w:id="4179"/>
      <w:bookmarkEnd w:id="4180"/>
      <w:bookmarkEnd w:id="4181"/>
    </w:p>
    <w:p w14:paraId="7824F560" w14:textId="77777777" w:rsidR="007968EC" w:rsidRPr="002C0D19" w:rsidRDefault="007968EC" w:rsidP="007968EC">
      <w:pPr>
        <w:rPr>
          <w:rFonts w:ascii="Arial Narrow" w:eastAsia="Calibri" w:hAnsi="Arial Narrow"/>
          <w:b/>
          <w:color w:val="000000" w:themeColor="text1"/>
        </w:rPr>
      </w:pPr>
    </w:p>
    <w:p w14:paraId="3CE64C40" w14:textId="77777777" w:rsidR="007968EC" w:rsidRPr="002C0D19" w:rsidRDefault="007968EC" w:rsidP="007968EC">
      <w:pPr>
        <w:jc w:val="both"/>
        <w:rPr>
          <w:rFonts w:ascii="Arial Narrow" w:eastAsia="Calibri" w:hAnsi="Arial Narrow"/>
          <w:b/>
          <w:color w:val="000000" w:themeColor="text1"/>
        </w:rPr>
      </w:pPr>
      <w:r w:rsidRPr="002C0D19">
        <w:rPr>
          <w:rFonts w:ascii="Arial Narrow" w:eastAsia="Calibri" w:hAnsi="Arial Narrow"/>
          <w:color w:val="000000" w:themeColor="text1"/>
        </w:rPr>
        <w:t>El procedimiento de Liquidación Diaria se llevará a cabo de acuerdo con lo establecido en el artículo 2.4.2.3. de la presente Circular.</w:t>
      </w:r>
    </w:p>
    <w:p w14:paraId="6A080E23" w14:textId="77777777" w:rsidR="007968EC" w:rsidRPr="002C0D19" w:rsidRDefault="007968EC" w:rsidP="007968EC">
      <w:pPr>
        <w:keepNext/>
        <w:autoSpaceDE w:val="0"/>
        <w:autoSpaceDN w:val="0"/>
        <w:contextualSpacing/>
        <w:jc w:val="both"/>
        <w:rPr>
          <w:rFonts w:ascii="Arial Narrow" w:hAnsi="Arial Narrow" w:cs="Arial"/>
          <w:b/>
          <w:bCs/>
          <w:color w:val="000000" w:themeColor="text1"/>
          <w:lang w:eastAsia="es-ES"/>
        </w:rPr>
      </w:pPr>
    </w:p>
    <w:p w14:paraId="52133B37" w14:textId="77777777" w:rsidR="007968EC" w:rsidRPr="002C0D19" w:rsidRDefault="007968EC" w:rsidP="007968EC">
      <w:pPr>
        <w:pStyle w:val="ARTICULO0"/>
      </w:pPr>
      <w:bookmarkStart w:id="4182" w:name="_Toc470779934"/>
      <w:bookmarkStart w:id="4183" w:name="_Toc470780551"/>
      <w:bookmarkStart w:id="4184" w:name="_Toc470781064"/>
      <w:bookmarkStart w:id="4185" w:name="_Toc470784625"/>
      <w:bookmarkStart w:id="4186" w:name="_Toc470785162"/>
      <w:bookmarkStart w:id="4187" w:name="_Toc470791554"/>
      <w:bookmarkStart w:id="4188" w:name="_Toc472592315"/>
      <w:bookmarkStart w:id="4189" w:name="_Toc472593334"/>
      <w:bookmarkStart w:id="4190" w:name="_Toc479057120"/>
      <w:bookmarkStart w:id="4191" w:name="_Toc490066458"/>
      <w:bookmarkStart w:id="4192" w:name="_Toc31716135"/>
      <w:r w:rsidRPr="002C0D19">
        <w:t>Artículo 2.4.3.4. Pagos de Operaciones de Instrumentos Financieros Derivados No Estandarizados provenientes de sistemas de negociación y/o registro o Mecanismos de Contratación cuyo Tipo de Liquidación incluya la Liquidación Diaria.</w:t>
      </w:r>
      <w:bookmarkEnd w:id="4182"/>
      <w:bookmarkEnd w:id="4183"/>
      <w:bookmarkEnd w:id="4184"/>
      <w:bookmarkEnd w:id="4185"/>
      <w:bookmarkEnd w:id="4186"/>
      <w:bookmarkEnd w:id="4187"/>
      <w:bookmarkEnd w:id="4188"/>
      <w:bookmarkEnd w:id="4189"/>
      <w:bookmarkEnd w:id="4190"/>
      <w:bookmarkEnd w:id="4191"/>
      <w:bookmarkEnd w:id="4192"/>
    </w:p>
    <w:p w14:paraId="46D39967" w14:textId="77777777" w:rsidR="007968EC" w:rsidRPr="002C0D19" w:rsidRDefault="007968EC" w:rsidP="007968EC">
      <w:pPr>
        <w:rPr>
          <w:rFonts w:ascii="Arial Narrow" w:eastAsia="Calibri" w:hAnsi="Arial Narrow"/>
          <w:b/>
          <w:color w:val="000000" w:themeColor="text1"/>
        </w:rPr>
      </w:pPr>
    </w:p>
    <w:p w14:paraId="3EB0D7E3"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Los pagos se llevarán a cabo de acuerdo con lo establecido en el artículo 2.4.2.4. de la presente Circular.</w:t>
      </w:r>
    </w:p>
    <w:p w14:paraId="215706A5" w14:textId="77777777" w:rsidR="007968EC" w:rsidRPr="002C0D19" w:rsidRDefault="007968EC" w:rsidP="007968EC">
      <w:pPr>
        <w:jc w:val="both"/>
        <w:rPr>
          <w:rFonts w:ascii="Arial Narrow" w:eastAsia="Calibri" w:hAnsi="Arial Narrow"/>
          <w:color w:val="000000" w:themeColor="text1"/>
        </w:rPr>
      </w:pPr>
    </w:p>
    <w:p w14:paraId="22A69FFD" w14:textId="77777777" w:rsidR="007968EC" w:rsidRPr="002C0D19" w:rsidRDefault="007968EC" w:rsidP="007968EC">
      <w:pPr>
        <w:pStyle w:val="TTULO"/>
        <w:rPr>
          <w:rFonts w:eastAsia="Calibri"/>
          <w:lang w:val="es-ES"/>
        </w:rPr>
      </w:pPr>
      <w:bookmarkStart w:id="4193" w:name="_Toc470779935"/>
      <w:bookmarkStart w:id="4194" w:name="_Toc470780552"/>
      <w:bookmarkStart w:id="4195" w:name="_Toc470781065"/>
      <w:bookmarkStart w:id="4196" w:name="_Toc470784626"/>
      <w:bookmarkStart w:id="4197" w:name="_Toc470785163"/>
      <w:bookmarkStart w:id="4198" w:name="_Toc470791555"/>
      <w:bookmarkStart w:id="4199" w:name="_Toc472592316"/>
      <w:bookmarkStart w:id="4200" w:name="_Toc472593335"/>
      <w:bookmarkStart w:id="4201" w:name="_Toc479057121"/>
      <w:bookmarkStart w:id="4202" w:name="_Toc490066459"/>
      <w:bookmarkStart w:id="4203" w:name="_Toc31716136"/>
      <w:r w:rsidRPr="002C0D19">
        <w:rPr>
          <w:rFonts w:eastAsia="Calibri"/>
          <w:lang w:val="es-ES"/>
        </w:rPr>
        <w:t>CAPÍTULO CUARTO</w:t>
      </w:r>
      <w:bookmarkEnd w:id="4193"/>
      <w:bookmarkEnd w:id="4194"/>
      <w:bookmarkEnd w:id="4195"/>
      <w:bookmarkEnd w:id="4196"/>
      <w:bookmarkEnd w:id="4197"/>
      <w:bookmarkEnd w:id="4198"/>
      <w:bookmarkEnd w:id="4199"/>
      <w:bookmarkEnd w:id="4200"/>
      <w:bookmarkEnd w:id="4201"/>
      <w:bookmarkEnd w:id="4202"/>
      <w:bookmarkEnd w:id="4203"/>
    </w:p>
    <w:p w14:paraId="6D5481A7" w14:textId="77777777" w:rsidR="007968EC" w:rsidRPr="002C0D19" w:rsidRDefault="007968EC" w:rsidP="007968EC">
      <w:pPr>
        <w:pStyle w:val="TTULO"/>
        <w:rPr>
          <w:rFonts w:eastAsia="Calibri"/>
          <w:lang w:val="es-ES"/>
        </w:rPr>
      </w:pPr>
    </w:p>
    <w:p w14:paraId="5DFECE37" w14:textId="77777777" w:rsidR="007968EC" w:rsidRPr="002C0D19" w:rsidRDefault="007968EC" w:rsidP="007968EC">
      <w:pPr>
        <w:pStyle w:val="TTULO"/>
        <w:rPr>
          <w:rFonts w:eastAsia="Calibri"/>
          <w:lang w:val="es-ES"/>
        </w:rPr>
      </w:pPr>
      <w:bookmarkStart w:id="4204" w:name="_Toc470779936"/>
      <w:bookmarkStart w:id="4205" w:name="_Toc470780553"/>
      <w:bookmarkStart w:id="4206" w:name="_Toc470781066"/>
      <w:bookmarkStart w:id="4207" w:name="_Toc470784627"/>
      <w:bookmarkStart w:id="4208" w:name="_Toc470785164"/>
      <w:bookmarkStart w:id="4209" w:name="_Toc470791556"/>
      <w:bookmarkStart w:id="4210" w:name="_Toc472592317"/>
      <w:bookmarkStart w:id="4211" w:name="_Toc472593336"/>
      <w:bookmarkStart w:id="4212" w:name="_Toc479057122"/>
      <w:bookmarkStart w:id="4213" w:name="_Toc490066460"/>
      <w:bookmarkStart w:id="4214" w:name="_Toc31716137"/>
      <w:r w:rsidRPr="002C0D19">
        <w:rPr>
          <w:rFonts w:eastAsia="Calibri"/>
          <w:lang w:val="es-ES"/>
        </w:rPr>
        <w:t>LIQUIDACIÓN AL VENCIMIENTO DE INSTRUMENTOS FINANCIEROS DERIVADOS ESTANDARIZADOS</w:t>
      </w:r>
      <w:bookmarkEnd w:id="4204"/>
      <w:bookmarkEnd w:id="4205"/>
      <w:bookmarkEnd w:id="4206"/>
      <w:bookmarkEnd w:id="4207"/>
      <w:bookmarkEnd w:id="4208"/>
      <w:bookmarkEnd w:id="4209"/>
      <w:bookmarkEnd w:id="4210"/>
      <w:bookmarkEnd w:id="4211"/>
      <w:bookmarkEnd w:id="4212"/>
      <w:bookmarkEnd w:id="4213"/>
      <w:bookmarkEnd w:id="4214"/>
    </w:p>
    <w:p w14:paraId="1339F936" w14:textId="77777777" w:rsidR="007968EC" w:rsidRPr="002C0D19" w:rsidRDefault="007968EC" w:rsidP="007968EC">
      <w:pPr>
        <w:rPr>
          <w:rFonts w:ascii="Arial Narrow" w:eastAsia="Calibri" w:hAnsi="Arial Narrow"/>
          <w:b/>
          <w:color w:val="000000" w:themeColor="text1"/>
        </w:rPr>
      </w:pPr>
    </w:p>
    <w:p w14:paraId="321A4F4E" w14:textId="77777777" w:rsidR="007968EC" w:rsidRPr="002C0D19" w:rsidRDefault="007968EC" w:rsidP="007968EC">
      <w:pPr>
        <w:pStyle w:val="ARTICULO0"/>
      </w:pPr>
      <w:bookmarkStart w:id="4215" w:name="_Toc470779937"/>
      <w:bookmarkStart w:id="4216" w:name="_Toc470780554"/>
      <w:bookmarkStart w:id="4217" w:name="_Toc470781067"/>
      <w:bookmarkStart w:id="4218" w:name="_Toc470784628"/>
      <w:bookmarkStart w:id="4219" w:name="_Toc470785165"/>
      <w:bookmarkStart w:id="4220" w:name="_Toc470791557"/>
      <w:bookmarkStart w:id="4221" w:name="_Toc472592318"/>
      <w:bookmarkStart w:id="4222" w:name="_Toc472593337"/>
      <w:bookmarkStart w:id="4223" w:name="_Toc479057123"/>
      <w:bookmarkStart w:id="4224" w:name="_Toc490066461"/>
      <w:bookmarkStart w:id="4225" w:name="_Toc31716138"/>
      <w:r w:rsidRPr="002C0D19">
        <w:t>Artículo 2.4.4.1. Liquidación por Diferencias de Contratos de Futuros cuyo Tipo de Liquidación incluya Liquidación Diaria.</w:t>
      </w:r>
      <w:bookmarkEnd w:id="4215"/>
      <w:bookmarkEnd w:id="4216"/>
      <w:bookmarkEnd w:id="4217"/>
      <w:bookmarkEnd w:id="4218"/>
      <w:bookmarkEnd w:id="4219"/>
      <w:bookmarkEnd w:id="4220"/>
      <w:bookmarkEnd w:id="4221"/>
      <w:bookmarkEnd w:id="4222"/>
      <w:bookmarkEnd w:id="4223"/>
      <w:bookmarkEnd w:id="4224"/>
      <w:bookmarkEnd w:id="4225"/>
    </w:p>
    <w:p w14:paraId="36613023" w14:textId="77777777" w:rsidR="007968EC" w:rsidRPr="00D807A3" w:rsidRDefault="007968EC" w:rsidP="007968EC">
      <w:pPr>
        <w:jc w:val="both"/>
        <w:rPr>
          <w:rFonts w:ascii="Arial Narrow" w:hAnsi="Arial Narrow" w:cs="Arial"/>
          <w:color w:val="000000" w:themeColor="text1"/>
          <w:lang w:eastAsia="es-ES"/>
        </w:rPr>
      </w:pPr>
    </w:p>
    <w:p w14:paraId="49808F86" w14:textId="77777777" w:rsidR="007968EC" w:rsidRPr="002C0D19" w:rsidRDefault="007968EC" w:rsidP="007968EC">
      <w:pPr>
        <w:jc w:val="both"/>
        <w:rPr>
          <w:rFonts w:ascii="Arial Narrow" w:eastAsia="Calibri" w:hAnsi="Arial Narrow"/>
          <w:b/>
          <w:bCs/>
          <w:color w:val="000000" w:themeColor="text1"/>
        </w:rPr>
      </w:pPr>
      <w:r w:rsidRPr="002C0D19">
        <w:rPr>
          <w:rFonts w:ascii="Arial Narrow" w:eastAsia="Calibri" w:hAnsi="Arial Narrow"/>
          <w:bCs/>
          <w:color w:val="000000" w:themeColor="text1"/>
        </w:rPr>
        <w:t>Al vencimiento de los Contratos de Futuro cuyo método de liquidación sea Liquidación por Diferencias, la Cámara atenderá el siguiente procedimiento:</w:t>
      </w:r>
    </w:p>
    <w:p w14:paraId="640ED53B" w14:textId="77777777" w:rsidR="007968EC" w:rsidRPr="002C0D19" w:rsidRDefault="007968EC" w:rsidP="007968EC">
      <w:pPr>
        <w:jc w:val="both"/>
        <w:rPr>
          <w:rFonts w:ascii="Arial Narrow" w:eastAsia="Calibri" w:hAnsi="Arial Narrow"/>
          <w:b/>
          <w:bCs/>
          <w:color w:val="000000" w:themeColor="text1"/>
        </w:rPr>
      </w:pPr>
    </w:p>
    <w:p w14:paraId="28171233" w14:textId="77777777" w:rsidR="007968EC" w:rsidRPr="002C0D19" w:rsidRDefault="007968EC" w:rsidP="00DA7472">
      <w:pPr>
        <w:numPr>
          <w:ilvl w:val="0"/>
          <w:numId w:val="180"/>
        </w:numPr>
        <w:ind w:left="426" w:hanging="426"/>
        <w:contextualSpacing/>
        <w:jc w:val="both"/>
        <w:rPr>
          <w:rFonts w:ascii="Arial Narrow" w:eastAsia="Calibri" w:hAnsi="Arial Narrow"/>
          <w:b/>
          <w:bCs/>
          <w:color w:val="000000" w:themeColor="text1"/>
        </w:rPr>
      </w:pPr>
      <w:r w:rsidRPr="002C0D19">
        <w:rPr>
          <w:rFonts w:ascii="Arial Narrow" w:eastAsia="Calibri" w:hAnsi="Arial Narrow"/>
          <w:bCs/>
          <w:color w:val="000000" w:themeColor="text1"/>
        </w:rPr>
        <w:t>La Cámara recibirá el Ultimo Día de Negociación del Contrato, el Precio de Liquidación para Contratos provisto por el Proveedor Oficial de Precios para Valoración.</w:t>
      </w:r>
    </w:p>
    <w:p w14:paraId="1821F93C" w14:textId="77777777" w:rsidR="007968EC" w:rsidRPr="002C0D19" w:rsidRDefault="007968EC" w:rsidP="007968EC">
      <w:pPr>
        <w:ind w:left="426"/>
        <w:contextualSpacing/>
        <w:jc w:val="both"/>
        <w:rPr>
          <w:rFonts w:ascii="Arial Narrow" w:eastAsia="Calibri" w:hAnsi="Arial Narrow"/>
          <w:b/>
          <w:bCs/>
          <w:color w:val="000000" w:themeColor="text1"/>
        </w:rPr>
      </w:pPr>
    </w:p>
    <w:p w14:paraId="6A6329F1" w14:textId="77777777" w:rsidR="007968EC" w:rsidRPr="002C0D19" w:rsidRDefault="007968EC" w:rsidP="00DA7472">
      <w:pPr>
        <w:numPr>
          <w:ilvl w:val="0"/>
          <w:numId w:val="180"/>
        </w:numPr>
        <w:ind w:left="426" w:hanging="426"/>
        <w:contextualSpacing/>
        <w:jc w:val="both"/>
        <w:rPr>
          <w:rFonts w:ascii="Arial Narrow" w:eastAsia="Calibri" w:hAnsi="Arial Narrow"/>
          <w:b/>
          <w:bCs/>
          <w:color w:val="000000" w:themeColor="text1"/>
        </w:rPr>
      </w:pPr>
      <w:r w:rsidRPr="002C0D19">
        <w:rPr>
          <w:rFonts w:ascii="Arial Narrow" w:eastAsia="Calibri" w:hAnsi="Arial Narrow"/>
          <w:bCs/>
          <w:color w:val="000000" w:themeColor="text1"/>
        </w:rPr>
        <w:t>Con base en la información recibida, realizará la Liquidación por Diferencias, de conformidad con el procedimiento de liquidación diaria establecido en el Capítulo III del presente Título para todos los Contratos de Futuro que permanezcan con Posición Abierta el Último Día de Negociación del Contrato.</w:t>
      </w:r>
    </w:p>
    <w:p w14:paraId="794CF6C3" w14:textId="77777777" w:rsidR="007968EC" w:rsidRPr="002C0D19" w:rsidRDefault="007968EC" w:rsidP="007968EC">
      <w:pPr>
        <w:ind w:left="720"/>
        <w:contextualSpacing/>
        <w:rPr>
          <w:rFonts w:ascii="Arial Narrow" w:eastAsia="Calibri" w:hAnsi="Arial Narrow"/>
          <w:b/>
          <w:bCs/>
          <w:color w:val="000000" w:themeColor="text1"/>
        </w:rPr>
      </w:pPr>
    </w:p>
    <w:p w14:paraId="18A38C7B" w14:textId="77777777" w:rsidR="007968EC" w:rsidRPr="002C0D19" w:rsidRDefault="007968EC" w:rsidP="007968EC">
      <w:pPr>
        <w:jc w:val="both"/>
        <w:rPr>
          <w:rFonts w:ascii="Arial Narrow" w:eastAsia="Calibri" w:hAnsi="Arial Narrow"/>
          <w:b/>
          <w:color w:val="000000" w:themeColor="text1"/>
        </w:rPr>
      </w:pPr>
      <w:r w:rsidRPr="002C0D19">
        <w:rPr>
          <w:rFonts w:ascii="Arial Narrow" w:eastAsia="Calibri" w:hAnsi="Arial Narrow"/>
          <w:bCs/>
          <w:color w:val="000000" w:themeColor="text1"/>
        </w:rPr>
        <w:t>Los pagos y cobros a los titulares de las Cuentas se efectuarán a través del Miembro Liquidador o Agente de Pago, según corresponda.</w:t>
      </w:r>
    </w:p>
    <w:p w14:paraId="5551050D" w14:textId="77777777" w:rsidR="007968EC" w:rsidRPr="002C0D19" w:rsidRDefault="007968EC" w:rsidP="007968EC">
      <w:pPr>
        <w:jc w:val="both"/>
        <w:rPr>
          <w:rFonts w:ascii="Arial Narrow" w:eastAsia="Calibri" w:hAnsi="Arial Narrow"/>
          <w:bCs/>
          <w:color w:val="000000" w:themeColor="text1"/>
        </w:rPr>
      </w:pPr>
    </w:p>
    <w:p w14:paraId="203BB0AC" w14:textId="77777777" w:rsidR="007968EC" w:rsidRDefault="007968EC" w:rsidP="007968EC">
      <w:pPr>
        <w:pStyle w:val="ARTICULO0"/>
      </w:pPr>
      <w:bookmarkStart w:id="4226" w:name="_Toc470779938"/>
      <w:bookmarkStart w:id="4227" w:name="_Toc470780555"/>
      <w:bookmarkStart w:id="4228" w:name="_Toc470781068"/>
      <w:bookmarkStart w:id="4229" w:name="_Toc470784629"/>
      <w:bookmarkStart w:id="4230" w:name="_Toc470785166"/>
      <w:bookmarkStart w:id="4231" w:name="_Toc470791558"/>
      <w:bookmarkStart w:id="4232" w:name="_Toc472592319"/>
      <w:bookmarkStart w:id="4233" w:name="_Toc472593338"/>
      <w:bookmarkStart w:id="4234" w:name="_Toc31716139"/>
      <w:bookmarkStart w:id="4235" w:name="_Toc479057124"/>
      <w:bookmarkStart w:id="4236" w:name="_Toc490066462"/>
      <w:r w:rsidRPr="002C0D19">
        <w:lastRenderedPageBreak/>
        <w:t>Artículo 2.4.4.2. Conceptos incluidos en la Liquidación por Diferencias de Contratos de Futuros y Contratos de Opciones cuyo Tipo de Liquidación incluya Liquidación Únicamente al Vencimiento.</w:t>
      </w:r>
      <w:bookmarkEnd w:id="4226"/>
      <w:bookmarkEnd w:id="4227"/>
      <w:bookmarkEnd w:id="4228"/>
      <w:bookmarkEnd w:id="4229"/>
      <w:bookmarkEnd w:id="4230"/>
      <w:bookmarkEnd w:id="4231"/>
      <w:bookmarkEnd w:id="4232"/>
      <w:bookmarkEnd w:id="4233"/>
      <w:bookmarkEnd w:id="4234"/>
      <w:r w:rsidRPr="002C0D19">
        <w:t xml:space="preserve"> </w:t>
      </w:r>
    </w:p>
    <w:p w14:paraId="2CF56E02" w14:textId="77777777" w:rsidR="007968EC" w:rsidRPr="00FC3CFC" w:rsidRDefault="007968EC" w:rsidP="007968EC">
      <w:pPr>
        <w:autoSpaceDE w:val="0"/>
        <w:autoSpaceDN w:val="0"/>
        <w:jc w:val="both"/>
        <w:rPr>
          <w:rFonts w:ascii="Arial Narrow" w:hAnsi="Arial Narrow" w:cs="Arial"/>
          <w:b/>
          <w:bCs/>
          <w:color w:val="000000" w:themeColor="text1"/>
          <w:lang w:eastAsia="es-ES"/>
        </w:rPr>
      </w:pPr>
    </w:p>
    <w:p w14:paraId="5E8A0D0E" w14:textId="77777777" w:rsidR="007968EC" w:rsidRPr="002C0D19" w:rsidRDefault="007968EC" w:rsidP="007968EC">
      <w:pPr>
        <w:pStyle w:val="ANTECEDENTES"/>
        <w:rPr>
          <w:u w:val="single"/>
        </w:rPr>
      </w:pPr>
      <w:r w:rsidRPr="002C0D19">
        <w:t>(Este artículo fue modificado mediante Circular 6 del 14 de febrero de 2017, publicada en el Boletín Normativo No. 006 del 14 de febrero de 2017. Rige a partir del 15 de febrero de 2017.)</w:t>
      </w:r>
      <w:bookmarkEnd w:id="4235"/>
      <w:bookmarkEnd w:id="4236"/>
      <w:r w:rsidRPr="002C0D19">
        <w:t xml:space="preserve"> </w:t>
      </w:r>
    </w:p>
    <w:p w14:paraId="7123B31E" w14:textId="77777777" w:rsidR="007968EC" w:rsidRPr="002C0D19" w:rsidRDefault="007968EC" w:rsidP="007968EC">
      <w:pPr>
        <w:jc w:val="both"/>
        <w:rPr>
          <w:rFonts w:ascii="Arial Narrow" w:eastAsia="Calibri" w:hAnsi="Arial Narrow"/>
          <w:b/>
          <w:bCs/>
          <w:color w:val="000000" w:themeColor="text1"/>
        </w:rPr>
      </w:pPr>
    </w:p>
    <w:p w14:paraId="019B685C" w14:textId="77777777" w:rsidR="007968EC" w:rsidRPr="002C0D19" w:rsidRDefault="007968EC" w:rsidP="007968EC">
      <w:pPr>
        <w:autoSpaceDE w:val="0"/>
        <w:autoSpaceDN w:val="0"/>
        <w:adjustRightInd w:val="0"/>
        <w:jc w:val="both"/>
        <w:rPr>
          <w:rFonts w:ascii="Arial Narrow" w:eastAsia="Calibri" w:hAnsi="Arial Narrow"/>
          <w:bCs/>
          <w:color w:val="000000" w:themeColor="text1"/>
        </w:rPr>
      </w:pPr>
      <w:r w:rsidRPr="002C0D19">
        <w:rPr>
          <w:rFonts w:ascii="Arial Narrow" w:eastAsia="Calibri" w:hAnsi="Arial Narrow"/>
          <w:bCs/>
          <w:color w:val="000000" w:themeColor="text1"/>
        </w:rPr>
        <w:t>El día del vencimiento en la Sesión de Liquidación al Vencimiento cuando las Operaciones Aceptadas deban ser cumplidas con Liquidación por Diferencias, los Miembros entregarán o recibirán de la Cámara, según corresponda, los fondos por el siguiente concepto:</w:t>
      </w:r>
    </w:p>
    <w:p w14:paraId="41FF389C" w14:textId="77777777" w:rsidR="007968EC" w:rsidRPr="002C0D19" w:rsidRDefault="007968EC" w:rsidP="007968EC">
      <w:pPr>
        <w:autoSpaceDE w:val="0"/>
        <w:autoSpaceDN w:val="0"/>
        <w:adjustRightInd w:val="0"/>
        <w:jc w:val="both"/>
        <w:rPr>
          <w:rFonts w:ascii="Arial Narrow" w:eastAsia="Calibri" w:hAnsi="Arial Narrow"/>
          <w:bCs/>
          <w:color w:val="000000" w:themeColor="text1"/>
        </w:rPr>
      </w:pPr>
    </w:p>
    <w:p w14:paraId="772B926F" w14:textId="77777777" w:rsidR="007968EC" w:rsidRPr="002C0D19" w:rsidRDefault="007968EC" w:rsidP="00DA7472">
      <w:pPr>
        <w:numPr>
          <w:ilvl w:val="0"/>
          <w:numId w:val="181"/>
        </w:numPr>
        <w:autoSpaceDE w:val="0"/>
        <w:autoSpaceDN w:val="0"/>
        <w:adjustRightInd w:val="0"/>
        <w:ind w:left="426" w:hanging="426"/>
        <w:jc w:val="both"/>
        <w:rPr>
          <w:rFonts w:ascii="Arial Narrow" w:eastAsia="Calibri" w:hAnsi="Arial Narrow"/>
          <w:bCs/>
          <w:color w:val="000000" w:themeColor="text1"/>
        </w:rPr>
      </w:pPr>
      <w:r w:rsidRPr="002C0D19">
        <w:rPr>
          <w:rFonts w:ascii="Arial Narrow" w:eastAsia="Calibri" w:hAnsi="Arial Narrow"/>
          <w:bCs/>
          <w:color w:val="000000" w:themeColor="text1"/>
          <w:u w:val="single"/>
        </w:rPr>
        <w:t>Ajuste al vencimiento a Precios de Liquidación en Contrato de Futuros y Contratos de Opciones</w:t>
      </w:r>
      <w:r w:rsidRPr="002C0D19">
        <w:rPr>
          <w:rFonts w:ascii="Arial Narrow" w:eastAsia="Calibri" w:hAnsi="Arial Narrow"/>
          <w:bCs/>
          <w:color w:val="000000" w:themeColor="text1"/>
        </w:rPr>
        <w:t>: Para la Liquidación al Vencimiento, la Cámara tomará las Posiciones Abiertas de las Cuentas de Registro de la Cuenta Propia del Miembro Liquidador, de las Cuentas de Terceros Identificados, de las Cuentas de Registro de la Cuenta Propia del Miembro No Liquidador y de las Cuentas de los Terceros Identificados de éstos, en cada Contrato de Futuro y Contratos de Opciones cuando estás sean ejercidas, las valorará al Precio de Liquidación para Contratos del día de acuerdo con lo establecido en la presente Circular, y entregará la información de la Liquidación por Diferencias, respecto al precio del Futuro  y/o de la Opción de acuerdo con el siguiente tratamiento:</w:t>
      </w:r>
    </w:p>
    <w:p w14:paraId="5D9DA8DB" w14:textId="77777777" w:rsidR="007968EC" w:rsidRPr="002C0D19" w:rsidRDefault="007968EC" w:rsidP="007968EC">
      <w:pPr>
        <w:autoSpaceDE w:val="0"/>
        <w:autoSpaceDN w:val="0"/>
        <w:adjustRightInd w:val="0"/>
        <w:ind w:left="426" w:hanging="426"/>
        <w:jc w:val="both"/>
        <w:rPr>
          <w:rFonts w:ascii="Arial Narrow" w:eastAsia="Calibri" w:hAnsi="Arial Narrow"/>
          <w:bCs/>
          <w:color w:val="000000" w:themeColor="text1"/>
        </w:rPr>
      </w:pPr>
    </w:p>
    <w:p w14:paraId="0463AF35" w14:textId="77777777" w:rsidR="007968EC" w:rsidRPr="002C0D19" w:rsidRDefault="007968EC" w:rsidP="00DA7472">
      <w:pPr>
        <w:numPr>
          <w:ilvl w:val="0"/>
          <w:numId w:val="187"/>
        </w:numPr>
        <w:autoSpaceDE w:val="0"/>
        <w:autoSpaceDN w:val="0"/>
        <w:adjustRightInd w:val="0"/>
        <w:ind w:left="851" w:hanging="425"/>
        <w:jc w:val="both"/>
        <w:rPr>
          <w:rFonts w:ascii="Arial Narrow" w:eastAsia="Calibri" w:hAnsi="Arial Narrow"/>
          <w:bCs/>
          <w:color w:val="000000" w:themeColor="text1"/>
        </w:rPr>
      </w:pPr>
      <w:r w:rsidRPr="002C0D19">
        <w:rPr>
          <w:rFonts w:ascii="Arial Narrow" w:eastAsia="Calibri" w:hAnsi="Arial Narrow"/>
          <w:bCs/>
          <w:color w:val="000000" w:themeColor="text1"/>
          <w:u w:val="single"/>
        </w:rPr>
        <w:t>Futuros comprados</w:t>
      </w:r>
      <w:r w:rsidRPr="002C0D19">
        <w:rPr>
          <w:rFonts w:ascii="Arial Narrow" w:eastAsia="Calibri" w:hAnsi="Arial Narrow"/>
          <w:bCs/>
          <w:color w:val="000000" w:themeColor="text1"/>
        </w:rPr>
        <w:t xml:space="preserve">: La Cámara calcula la diferencia entre el Precio de Liquidación </w:t>
      </w:r>
      <w:r w:rsidRPr="002C0D19">
        <w:rPr>
          <w:rFonts w:ascii="Arial Narrow" w:eastAsia="Calibri" w:hAnsi="Arial Narrow"/>
          <w:color w:val="000000" w:themeColor="text1"/>
        </w:rPr>
        <w:t xml:space="preserve">para Contratos </w:t>
      </w:r>
      <w:r w:rsidRPr="002C0D19">
        <w:rPr>
          <w:rFonts w:ascii="Arial Narrow" w:eastAsia="Calibri" w:hAnsi="Arial Narrow"/>
          <w:bCs/>
          <w:color w:val="000000" w:themeColor="text1"/>
        </w:rPr>
        <w:t>del día del cálculo y el Precio de Negociación del Futuro. En el evento en que la diferencia sea positiva el titular de la Cuenta tendrá derecho a recibir el dinero efectivo correspondiente al valor de la diferencia multiplicado por el número de contratos y por el multiplicador del contrato, en caso contrario deberá entregar a la Cámara dicho valor.</w:t>
      </w:r>
    </w:p>
    <w:p w14:paraId="7F4528F7" w14:textId="77777777" w:rsidR="007968EC" w:rsidRPr="002C0D19" w:rsidRDefault="007968EC" w:rsidP="007968EC">
      <w:pPr>
        <w:autoSpaceDE w:val="0"/>
        <w:autoSpaceDN w:val="0"/>
        <w:adjustRightInd w:val="0"/>
        <w:ind w:left="851" w:hanging="425"/>
        <w:jc w:val="both"/>
        <w:rPr>
          <w:rFonts w:ascii="Arial Narrow" w:eastAsia="Calibri" w:hAnsi="Arial Narrow"/>
          <w:bCs/>
          <w:color w:val="000000" w:themeColor="text1"/>
        </w:rPr>
      </w:pPr>
    </w:p>
    <w:p w14:paraId="1B418C16" w14:textId="77777777" w:rsidR="007968EC" w:rsidRPr="002C0D19" w:rsidRDefault="007968EC" w:rsidP="00DA7472">
      <w:pPr>
        <w:numPr>
          <w:ilvl w:val="0"/>
          <w:numId w:val="187"/>
        </w:numPr>
        <w:autoSpaceDE w:val="0"/>
        <w:autoSpaceDN w:val="0"/>
        <w:adjustRightInd w:val="0"/>
        <w:ind w:left="851" w:hanging="425"/>
        <w:jc w:val="both"/>
        <w:rPr>
          <w:rFonts w:ascii="Arial Narrow" w:eastAsia="Calibri" w:hAnsi="Arial Narrow"/>
          <w:bCs/>
          <w:color w:val="000000" w:themeColor="text1"/>
        </w:rPr>
      </w:pPr>
      <w:r w:rsidRPr="002C0D19">
        <w:rPr>
          <w:rFonts w:ascii="Arial Narrow" w:eastAsia="Calibri" w:hAnsi="Arial Narrow"/>
          <w:bCs/>
          <w:color w:val="000000" w:themeColor="text1"/>
          <w:u w:val="single"/>
        </w:rPr>
        <w:t>Futuros vendidos</w:t>
      </w:r>
      <w:r w:rsidRPr="002C0D19">
        <w:rPr>
          <w:rFonts w:ascii="Arial Narrow" w:eastAsia="Calibri" w:hAnsi="Arial Narrow"/>
          <w:bCs/>
          <w:color w:val="000000" w:themeColor="text1"/>
        </w:rPr>
        <w:t>: La Cámara calcula la diferencia entre el Precio de Negociación y el Precio de Liquidación del día. En el evento en que la diferencia sea positiva el titular de la Cuenta tendrá derecho a recibir el dinero efectivo correspondiente al valor de la diferencia multiplicado por el número de Contratos y por el multiplicador del contrato, en caso contrario, deberá entregar a la Cámara dicho valor.</w:t>
      </w:r>
    </w:p>
    <w:p w14:paraId="3CA7E150" w14:textId="77777777" w:rsidR="007968EC" w:rsidRPr="002C0D19" w:rsidRDefault="007968EC" w:rsidP="007968EC">
      <w:pPr>
        <w:ind w:left="708"/>
        <w:rPr>
          <w:rFonts w:ascii="Arial Narrow" w:eastAsia="Calibri" w:hAnsi="Arial Narrow"/>
          <w:bCs/>
          <w:color w:val="000000" w:themeColor="text1"/>
        </w:rPr>
      </w:pPr>
    </w:p>
    <w:p w14:paraId="0F7B922E" w14:textId="77777777" w:rsidR="007968EC" w:rsidRPr="002C0D19" w:rsidRDefault="007968EC" w:rsidP="00DA7472">
      <w:pPr>
        <w:numPr>
          <w:ilvl w:val="0"/>
          <w:numId w:val="187"/>
        </w:numPr>
        <w:autoSpaceDE w:val="0"/>
        <w:autoSpaceDN w:val="0"/>
        <w:adjustRightInd w:val="0"/>
        <w:ind w:left="851" w:hanging="425"/>
        <w:jc w:val="both"/>
        <w:rPr>
          <w:rFonts w:ascii="Arial Narrow" w:eastAsia="Calibri" w:hAnsi="Arial Narrow"/>
          <w:bCs/>
          <w:color w:val="000000" w:themeColor="text1"/>
          <w:lang w:val="es-ES" w:eastAsia="es-ES"/>
        </w:rPr>
      </w:pPr>
      <w:r w:rsidRPr="002C0D19">
        <w:rPr>
          <w:rFonts w:ascii="Arial Narrow" w:eastAsia="Calibri" w:hAnsi="Arial Narrow"/>
          <w:bCs/>
          <w:color w:val="000000" w:themeColor="text1"/>
          <w:u w:val="single"/>
          <w:lang w:val="es-ES" w:eastAsia="es-ES"/>
        </w:rPr>
        <w:t>Opciones Call compradas y Ejercidas:</w:t>
      </w:r>
      <w:r w:rsidRPr="002C0D19">
        <w:rPr>
          <w:rFonts w:ascii="Arial Narrow" w:eastAsia="Calibri" w:hAnsi="Arial Narrow"/>
          <w:bCs/>
          <w:color w:val="000000" w:themeColor="text1"/>
          <w:lang w:val="es-ES" w:eastAsia="es-ES"/>
        </w:rPr>
        <w:t xml:space="preserve"> </w:t>
      </w:r>
      <w:r w:rsidRPr="002C0D19">
        <w:rPr>
          <w:rFonts w:ascii="Arial Narrow" w:hAnsi="Arial Narrow" w:cs="Arial"/>
          <w:bCs/>
          <w:color w:val="000000" w:themeColor="text1"/>
          <w:lang w:val="es-ES" w:eastAsia="es-ES"/>
        </w:rPr>
        <w:t xml:space="preserve">La Cámara calcula la diferencia entre el Precio de cierre del Activo Subyacente y el Strike. </w:t>
      </w:r>
      <w:r w:rsidRPr="002C0D19">
        <w:rPr>
          <w:rFonts w:ascii="Arial Narrow" w:eastAsia="Calibri" w:hAnsi="Arial Narrow"/>
          <w:bCs/>
          <w:color w:val="000000" w:themeColor="text1"/>
          <w:lang w:val="es-ES" w:eastAsia="es-ES"/>
        </w:rPr>
        <w:t xml:space="preserve">En el evento en que la diferencia sea positiva, el titular de la Cuenta tendrá derecho a recibir el dinero efectivo correspondiente al valor de la diferencia multiplicado por el número de contratos y por el </w:t>
      </w:r>
      <w:r w:rsidRPr="002C0D19">
        <w:rPr>
          <w:rFonts w:ascii="Arial Narrow" w:eastAsia="Calibri" w:hAnsi="Arial Narrow"/>
          <w:color w:val="000000" w:themeColor="text1"/>
          <w:lang w:val="es-ES" w:eastAsia="es-CO"/>
        </w:rPr>
        <w:t>multiplicador del contrato.</w:t>
      </w:r>
      <w:r w:rsidRPr="002C0D19">
        <w:rPr>
          <w:rFonts w:ascii="Arial Narrow" w:eastAsia="Calibri" w:hAnsi="Arial Narrow"/>
          <w:bCs/>
          <w:color w:val="000000" w:themeColor="text1"/>
          <w:lang w:val="es-ES" w:eastAsia="es-ES"/>
        </w:rPr>
        <w:t xml:space="preserve"> </w:t>
      </w:r>
    </w:p>
    <w:p w14:paraId="12A3B991" w14:textId="77777777" w:rsidR="007968EC" w:rsidRPr="002C0D19" w:rsidRDefault="007968EC" w:rsidP="007968EC">
      <w:pPr>
        <w:autoSpaceDE w:val="0"/>
        <w:autoSpaceDN w:val="0"/>
        <w:adjustRightInd w:val="0"/>
        <w:ind w:left="426"/>
        <w:jc w:val="both"/>
        <w:rPr>
          <w:rFonts w:ascii="Arial Narrow" w:eastAsia="Calibri" w:hAnsi="Arial Narrow"/>
          <w:bCs/>
          <w:color w:val="000000" w:themeColor="text1"/>
          <w:lang w:val="es-ES" w:eastAsia="es-ES"/>
        </w:rPr>
      </w:pPr>
    </w:p>
    <w:p w14:paraId="2E12B4C3" w14:textId="77777777" w:rsidR="007968EC" w:rsidRPr="002C0D19" w:rsidRDefault="007968EC" w:rsidP="00DA7472">
      <w:pPr>
        <w:numPr>
          <w:ilvl w:val="0"/>
          <w:numId w:val="187"/>
        </w:numPr>
        <w:autoSpaceDE w:val="0"/>
        <w:autoSpaceDN w:val="0"/>
        <w:adjustRightInd w:val="0"/>
        <w:ind w:left="851" w:hanging="425"/>
        <w:jc w:val="both"/>
        <w:rPr>
          <w:rFonts w:ascii="Arial Narrow" w:eastAsia="Calibri" w:hAnsi="Arial Narrow"/>
          <w:bCs/>
          <w:color w:val="000000" w:themeColor="text1"/>
          <w:lang w:val="es-ES" w:eastAsia="es-ES"/>
        </w:rPr>
      </w:pPr>
      <w:r w:rsidRPr="002C0D19">
        <w:rPr>
          <w:rFonts w:ascii="Arial Narrow" w:eastAsia="Calibri" w:hAnsi="Arial Narrow"/>
          <w:bCs/>
          <w:color w:val="000000" w:themeColor="text1"/>
          <w:u w:val="single"/>
          <w:lang w:val="es-ES" w:eastAsia="es-ES"/>
        </w:rPr>
        <w:t xml:space="preserve">Opciones </w:t>
      </w:r>
      <w:proofErr w:type="spellStart"/>
      <w:r w:rsidRPr="002C0D19">
        <w:rPr>
          <w:rFonts w:ascii="Arial Narrow" w:eastAsia="Calibri" w:hAnsi="Arial Narrow"/>
          <w:bCs/>
          <w:color w:val="000000" w:themeColor="text1"/>
          <w:u w:val="single"/>
          <w:lang w:val="es-ES" w:eastAsia="es-ES"/>
        </w:rPr>
        <w:t>Put</w:t>
      </w:r>
      <w:proofErr w:type="spellEnd"/>
      <w:r w:rsidRPr="002C0D19">
        <w:rPr>
          <w:rFonts w:ascii="Arial Narrow" w:eastAsia="Calibri" w:hAnsi="Arial Narrow"/>
          <w:bCs/>
          <w:color w:val="000000" w:themeColor="text1"/>
          <w:u w:val="single"/>
          <w:lang w:val="es-ES" w:eastAsia="es-ES"/>
        </w:rPr>
        <w:t xml:space="preserve"> Compradas y Ejercidas:</w:t>
      </w:r>
      <w:r w:rsidRPr="002C0D19">
        <w:rPr>
          <w:rFonts w:ascii="Arial Narrow" w:eastAsia="Calibri" w:hAnsi="Arial Narrow"/>
          <w:bCs/>
          <w:color w:val="000000" w:themeColor="text1"/>
          <w:lang w:val="es-ES" w:eastAsia="es-ES"/>
        </w:rPr>
        <w:t xml:space="preserve"> </w:t>
      </w:r>
      <w:r w:rsidRPr="002C0D19">
        <w:rPr>
          <w:rFonts w:ascii="Arial Narrow" w:hAnsi="Arial Narrow" w:cs="Arial"/>
          <w:bCs/>
          <w:color w:val="000000" w:themeColor="text1"/>
          <w:lang w:val="es-ES" w:eastAsia="es-ES"/>
        </w:rPr>
        <w:t xml:space="preserve">La Cámara calcula la diferencia entre el Strike y el Precio de cierre del Activo Subyacente. </w:t>
      </w:r>
      <w:r w:rsidRPr="002C0D19">
        <w:rPr>
          <w:rFonts w:ascii="Arial Narrow" w:eastAsia="Calibri" w:hAnsi="Arial Narrow"/>
          <w:bCs/>
          <w:color w:val="000000" w:themeColor="text1"/>
          <w:lang w:val="es-ES" w:eastAsia="es-ES"/>
        </w:rPr>
        <w:t xml:space="preserve">En el evento en que la diferencia sea positiva, el titular de la Cuenta tendrá derecho a recibir el dinero efectivo correspondiente al valor de la diferencia multiplicado por el número de contratos y por el </w:t>
      </w:r>
      <w:r w:rsidRPr="002C0D19">
        <w:rPr>
          <w:rFonts w:ascii="Arial Narrow" w:eastAsia="Calibri" w:hAnsi="Arial Narrow"/>
          <w:color w:val="000000" w:themeColor="text1"/>
          <w:lang w:val="es-ES" w:eastAsia="es-CO"/>
        </w:rPr>
        <w:t>multiplicador del contrato.</w:t>
      </w:r>
    </w:p>
    <w:p w14:paraId="1EAD6273" w14:textId="77777777" w:rsidR="007968EC" w:rsidRPr="002C0D19" w:rsidRDefault="007968EC" w:rsidP="007968EC">
      <w:pPr>
        <w:autoSpaceDE w:val="0"/>
        <w:autoSpaceDN w:val="0"/>
        <w:adjustRightInd w:val="0"/>
        <w:jc w:val="both"/>
        <w:rPr>
          <w:rFonts w:ascii="Arial Narrow" w:eastAsia="Calibri" w:hAnsi="Arial Narrow"/>
          <w:bCs/>
          <w:color w:val="000000" w:themeColor="text1"/>
        </w:rPr>
      </w:pPr>
    </w:p>
    <w:p w14:paraId="7CA6A5CC" w14:textId="77777777" w:rsidR="007968EC" w:rsidRPr="002C0D19" w:rsidRDefault="007968EC" w:rsidP="00DA7472">
      <w:pPr>
        <w:numPr>
          <w:ilvl w:val="0"/>
          <w:numId w:val="181"/>
        </w:numPr>
        <w:autoSpaceDE w:val="0"/>
        <w:autoSpaceDN w:val="0"/>
        <w:adjustRightInd w:val="0"/>
        <w:ind w:left="426" w:hanging="426"/>
        <w:jc w:val="both"/>
        <w:rPr>
          <w:rFonts w:ascii="Arial Narrow" w:eastAsia="Calibri" w:hAnsi="Arial Narrow"/>
          <w:bCs/>
          <w:color w:val="000000" w:themeColor="text1"/>
        </w:rPr>
      </w:pPr>
      <w:r w:rsidRPr="002C0D19">
        <w:rPr>
          <w:rFonts w:ascii="Arial Narrow" w:eastAsia="Calibri" w:hAnsi="Arial Narrow"/>
          <w:bCs/>
          <w:color w:val="000000" w:themeColor="text1"/>
          <w:u w:val="single"/>
        </w:rPr>
        <w:lastRenderedPageBreak/>
        <w:t>Garantías por Posición</w:t>
      </w:r>
      <w:r w:rsidRPr="002C0D19">
        <w:rPr>
          <w:rFonts w:ascii="Arial Narrow" w:eastAsia="Calibri" w:hAnsi="Arial Narrow"/>
          <w:bCs/>
          <w:color w:val="000000" w:themeColor="text1"/>
        </w:rPr>
        <w:t>: El Sistema de Cámara calculará los ajustes de los montos requeridos en Garantías por Posición por las Posiciones Abiertas de los Contratos en la forma en que se establece en el Reglamento y en la presente Circular.</w:t>
      </w:r>
    </w:p>
    <w:p w14:paraId="20338304" w14:textId="77777777" w:rsidR="007968EC" w:rsidRPr="002C0D19" w:rsidRDefault="007968EC" w:rsidP="007968EC">
      <w:pPr>
        <w:autoSpaceDE w:val="0"/>
        <w:autoSpaceDN w:val="0"/>
        <w:adjustRightInd w:val="0"/>
        <w:ind w:left="426"/>
        <w:jc w:val="both"/>
        <w:rPr>
          <w:rFonts w:ascii="Arial Narrow" w:eastAsia="Calibri" w:hAnsi="Arial Narrow"/>
          <w:bCs/>
          <w:color w:val="000000" w:themeColor="text1"/>
        </w:rPr>
      </w:pPr>
    </w:p>
    <w:p w14:paraId="7335E653" w14:textId="77777777" w:rsidR="007968EC" w:rsidRPr="002C0D19" w:rsidRDefault="007968EC" w:rsidP="00DA7472">
      <w:pPr>
        <w:numPr>
          <w:ilvl w:val="0"/>
          <w:numId w:val="181"/>
        </w:numPr>
        <w:autoSpaceDE w:val="0"/>
        <w:autoSpaceDN w:val="0"/>
        <w:adjustRightInd w:val="0"/>
        <w:ind w:left="426" w:hanging="426"/>
        <w:jc w:val="both"/>
        <w:rPr>
          <w:rFonts w:ascii="Arial Narrow" w:eastAsia="Calibri" w:hAnsi="Arial Narrow"/>
          <w:bCs/>
          <w:color w:val="000000" w:themeColor="text1"/>
        </w:rPr>
      </w:pPr>
      <w:r w:rsidRPr="002C0D19">
        <w:rPr>
          <w:rFonts w:ascii="Arial Narrow" w:eastAsia="Calibri" w:hAnsi="Arial Narrow"/>
          <w:bCs/>
          <w:color w:val="000000" w:themeColor="text1"/>
          <w:u w:val="single"/>
        </w:rPr>
        <w:t>Garantías Extraordinarias</w:t>
      </w:r>
      <w:r w:rsidRPr="002C0D19">
        <w:rPr>
          <w:rFonts w:ascii="Arial Narrow" w:eastAsia="Calibri" w:hAnsi="Arial Narrow"/>
          <w:bCs/>
          <w:color w:val="000000" w:themeColor="text1"/>
        </w:rPr>
        <w:t>: Sin perjuicio de lo previsto en la presente Circular para la constitución de Garantías Extraordinarias en el procedimiento de Margin Call, el Sistema de Cámara calculará los ajustes de los montos requeridos en Garantías Extraordinarias por las Posiciones Abiertas de los Contratos en la forma como se establece en el Reglamento y en esta Circular.</w:t>
      </w:r>
    </w:p>
    <w:p w14:paraId="75D1EEFE" w14:textId="77777777" w:rsidR="007968EC" w:rsidRPr="002C0D19" w:rsidRDefault="007968EC" w:rsidP="00DA7472">
      <w:pPr>
        <w:numPr>
          <w:ilvl w:val="0"/>
          <w:numId w:val="181"/>
        </w:numPr>
        <w:autoSpaceDE w:val="0"/>
        <w:autoSpaceDN w:val="0"/>
        <w:adjustRightInd w:val="0"/>
        <w:ind w:left="426" w:hanging="426"/>
        <w:jc w:val="both"/>
        <w:rPr>
          <w:rFonts w:ascii="Arial Narrow" w:eastAsia="Calibri" w:hAnsi="Arial Narrow"/>
          <w:bCs/>
          <w:color w:val="000000" w:themeColor="text1"/>
        </w:rPr>
      </w:pPr>
      <w:r w:rsidRPr="002C0D19">
        <w:rPr>
          <w:rFonts w:ascii="Arial Narrow" w:eastAsia="Calibri" w:hAnsi="Arial Narrow"/>
          <w:bCs/>
          <w:color w:val="000000" w:themeColor="text1"/>
          <w:u w:val="single"/>
        </w:rPr>
        <w:t>Remuneración de las Garantías</w:t>
      </w:r>
      <w:r w:rsidRPr="002C0D19">
        <w:rPr>
          <w:rFonts w:ascii="Arial Narrow" w:eastAsia="Calibri" w:hAnsi="Arial Narrow"/>
          <w:bCs/>
          <w:color w:val="000000" w:themeColor="text1"/>
        </w:rPr>
        <w:t>: La Cámara entregará la totalidad de la remuneración de las Garantías constituidas en efectivo de toda la estructura de cuentas del Miembro que haya autorizado su inversión, conforme con la metodología contenida en el numeral 2 del artículo 1.6.4.14. de la presente Circu</w:t>
      </w:r>
      <w:r w:rsidRPr="002C0D19">
        <w:rPr>
          <w:rFonts w:ascii="Arial Narrow" w:eastAsia="Calibri" w:hAnsi="Arial Narrow" w:cs="Arial Narrow"/>
          <w:color w:val="000000" w:themeColor="text1"/>
        </w:rPr>
        <w:t>lar.</w:t>
      </w:r>
    </w:p>
    <w:p w14:paraId="11CA7565" w14:textId="77777777" w:rsidR="007968EC" w:rsidRPr="00D807A3" w:rsidRDefault="007968EC" w:rsidP="007968EC">
      <w:pPr>
        <w:jc w:val="both"/>
        <w:rPr>
          <w:rFonts w:ascii="Arial Narrow" w:hAnsi="Arial Narrow" w:cs="Arial"/>
          <w:color w:val="000000" w:themeColor="text1"/>
          <w:lang w:eastAsia="es-ES"/>
        </w:rPr>
      </w:pPr>
      <w:bookmarkStart w:id="4237" w:name="_Toc470779939"/>
      <w:bookmarkStart w:id="4238" w:name="_Toc470780556"/>
      <w:bookmarkStart w:id="4239" w:name="_Toc470781069"/>
      <w:bookmarkStart w:id="4240" w:name="_Toc470784630"/>
      <w:bookmarkStart w:id="4241" w:name="_Toc470785167"/>
      <w:bookmarkStart w:id="4242" w:name="_Toc470791559"/>
    </w:p>
    <w:p w14:paraId="1F06658E" w14:textId="77777777" w:rsidR="007968EC" w:rsidRDefault="007968EC" w:rsidP="007968EC">
      <w:pPr>
        <w:pStyle w:val="ARTICULO0"/>
      </w:pPr>
      <w:bookmarkStart w:id="4243" w:name="_Toc472592320"/>
      <w:bookmarkStart w:id="4244" w:name="_Toc472593339"/>
      <w:bookmarkStart w:id="4245" w:name="_Toc31716140"/>
      <w:bookmarkStart w:id="4246" w:name="_Toc479057125"/>
      <w:bookmarkStart w:id="4247" w:name="_Toc490066463"/>
      <w:r w:rsidRPr="002C0D19">
        <w:t>Artículo 2.4.4.3. Procedimiento de cálculo del ajuste al Vencimiento a Precios de Liquidación para Contratos, en la Liquidación por Diferencias de Contratos de Futuros y Contratos de Opciones cuyo Tipo de Liquidación incluya Liquidación Únicamente al Vencimiento.</w:t>
      </w:r>
      <w:bookmarkEnd w:id="4237"/>
      <w:bookmarkEnd w:id="4238"/>
      <w:bookmarkEnd w:id="4239"/>
      <w:bookmarkEnd w:id="4240"/>
      <w:bookmarkEnd w:id="4241"/>
      <w:bookmarkEnd w:id="4242"/>
      <w:bookmarkEnd w:id="4243"/>
      <w:bookmarkEnd w:id="4244"/>
      <w:bookmarkEnd w:id="4245"/>
      <w:r w:rsidRPr="002C0D19">
        <w:t xml:space="preserve"> </w:t>
      </w:r>
    </w:p>
    <w:p w14:paraId="5372C576" w14:textId="77777777" w:rsidR="007968EC" w:rsidRPr="00FC3CFC" w:rsidRDefault="007968EC" w:rsidP="007968EC">
      <w:pPr>
        <w:autoSpaceDE w:val="0"/>
        <w:autoSpaceDN w:val="0"/>
        <w:jc w:val="both"/>
        <w:rPr>
          <w:rFonts w:ascii="Arial Narrow" w:hAnsi="Arial Narrow" w:cs="Arial"/>
          <w:b/>
          <w:bCs/>
          <w:color w:val="000000" w:themeColor="text1"/>
          <w:lang w:eastAsia="es-ES"/>
        </w:rPr>
      </w:pPr>
    </w:p>
    <w:p w14:paraId="750E27A4" w14:textId="77777777" w:rsidR="007968EC" w:rsidRPr="002C0D19" w:rsidRDefault="007968EC" w:rsidP="007968EC">
      <w:pPr>
        <w:pStyle w:val="ANTECEDENTES"/>
        <w:rPr>
          <w:u w:val="single"/>
        </w:rPr>
      </w:pPr>
      <w:r w:rsidRPr="002C0D19">
        <w:t>(Este artículo fue modificado mediante Circular 6 del 14 de febrero de 2017, publicada en el Boletín Normativo No. 006 del 14 de febrero de 2017. Rige a partir del 15 de febrero de 2017.)</w:t>
      </w:r>
      <w:bookmarkEnd w:id="4246"/>
      <w:bookmarkEnd w:id="4247"/>
    </w:p>
    <w:p w14:paraId="3B13AE5F" w14:textId="77777777" w:rsidR="007968EC" w:rsidRPr="002C0D19" w:rsidRDefault="007968EC" w:rsidP="007968EC">
      <w:pPr>
        <w:jc w:val="both"/>
        <w:rPr>
          <w:rFonts w:ascii="Arial Narrow" w:eastAsia="Calibri" w:hAnsi="Arial Narrow"/>
          <w:b/>
          <w:color w:val="000000" w:themeColor="text1"/>
          <w:u w:val="single"/>
        </w:rPr>
      </w:pPr>
    </w:p>
    <w:p w14:paraId="7D154CA6" w14:textId="77777777" w:rsidR="007968EC" w:rsidRPr="002C0D19" w:rsidRDefault="007968EC" w:rsidP="007968EC">
      <w:pPr>
        <w:jc w:val="both"/>
        <w:rPr>
          <w:rFonts w:ascii="Arial Narrow" w:eastAsia="Calibri" w:hAnsi="Arial Narrow"/>
          <w:color w:val="000000" w:themeColor="text1"/>
          <w:u w:val="single"/>
        </w:rPr>
      </w:pPr>
      <w:r w:rsidRPr="002C0D19">
        <w:rPr>
          <w:rFonts w:ascii="Arial Narrow" w:eastAsia="Calibri" w:hAnsi="Arial Narrow"/>
          <w:color w:val="000000" w:themeColor="text1"/>
          <w:u w:val="single"/>
        </w:rPr>
        <w:t>Contratos de Futuros</w:t>
      </w:r>
    </w:p>
    <w:p w14:paraId="352A69DA" w14:textId="77777777" w:rsidR="007968EC" w:rsidRPr="002C0D19" w:rsidRDefault="007968EC" w:rsidP="007968EC">
      <w:pPr>
        <w:jc w:val="both"/>
        <w:rPr>
          <w:rFonts w:ascii="Arial Narrow" w:eastAsia="Calibri" w:hAnsi="Arial Narrow"/>
          <w:color w:val="000000" w:themeColor="text1"/>
        </w:rPr>
      </w:pPr>
    </w:p>
    <w:p w14:paraId="372B9940" w14:textId="77777777" w:rsidR="007968EC" w:rsidRPr="002C0D19" w:rsidRDefault="007968EC" w:rsidP="007968EC">
      <w:pPr>
        <w:jc w:val="both"/>
        <w:rPr>
          <w:rFonts w:ascii="Arial Narrow" w:eastAsia="Calibri" w:hAnsi="Arial Narrow"/>
          <w:bCs/>
          <w:color w:val="000000" w:themeColor="text1"/>
        </w:rPr>
      </w:pPr>
      <w:r w:rsidRPr="002C0D19">
        <w:rPr>
          <w:rFonts w:ascii="Arial Narrow" w:eastAsia="Calibri" w:hAnsi="Arial Narrow"/>
          <w:color w:val="000000" w:themeColor="text1"/>
        </w:rPr>
        <w:t>L</w:t>
      </w:r>
      <w:r w:rsidRPr="002C0D19">
        <w:rPr>
          <w:rFonts w:ascii="Arial Narrow" w:eastAsia="Calibri" w:hAnsi="Arial Narrow"/>
          <w:bCs/>
          <w:color w:val="000000" w:themeColor="text1"/>
        </w:rPr>
        <w:t>as Posiciones Abiertas en Contratos de Futuros serán valoradas al final de la sesión correspondiente al Último Día de Negociación, al Precio de Liquidación</w:t>
      </w:r>
      <w:r w:rsidRPr="002C0D19">
        <w:rPr>
          <w:rFonts w:ascii="Arial Narrow" w:eastAsia="Calibri" w:hAnsi="Arial Narrow"/>
          <w:color w:val="000000" w:themeColor="text1"/>
        </w:rPr>
        <w:t xml:space="preserve"> para Contratos </w:t>
      </w:r>
      <w:r w:rsidRPr="002C0D19">
        <w:rPr>
          <w:rFonts w:ascii="Arial Narrow" w:eastAsia="Calibri" w:hAnsi="Arial Narrow"/>
          <w:bCs/>
          <w:color w:val="000000" w:themeColor="text1"/>
        </w:rPr>
        <w:t>entregado por el Proveedor Oficial de Precios para Valoración y se realizará de acuerdo con la siguiente fórmula:</w:t>
      </w:r>
    </w:p>
    <w:p w14:paraId="1EA309EA" w14:textId="77777777" w:rsidR="007968EC" w:rsidRPr="002C0D19" w:rsidRDefault="007968EC" w:rsidP="007968EC">
      <w:pPr>
        <w:jc w:val="both"/>
        <w:rPr>
          <w:rFonts w:ascii="Arial Narrow" w:eastAsia="Calibri" w:hAnsi="Arial Narrow"/>
          <w:color w:val="000000" w:themeColor="text1"/>
        </w:rPr>
      </w:pPr>
    </w:p>
    <w:p w14:paraId="6FC00B6E" w14:textId="77777777" w:rsidR="007968EC" w:rsidRPr="002C0D19" w:rsidRDefault="007968EC" w:rsidP="007968EC">
      <w:pPr>
        <w:jc w:val="both"/>
        <w:rPr>
          <w:rFonts w:ascii="Arial Narrow" w:eastAsia="Calibri" w:hAnsi="Arial Narrow"/>
          <w:color w:val="000000" w:themeColor="text1"/>
        </w:rPr>
      </w:pPr>
      <w:r w:rsidRPr="002C0D19">
        <w:rPr>
          <w:rFonts w:ascii="Cambria Math" w:eastAsia="Calibri" w:hAnsi="Cambria Math" w:cs="Cambria Math"/>
          <w:color w:val="000000" w:themeColor="text1"/>
          <w:lang w:eastAsia="es-CO"/>
        </w:rPr>
        <w:t>𝑳𝒊𝒒</w:t>
      </w:r>
      <w:proofErr w:type="spellStart"/>
      <w:r w:rsidRPr="002C0D19">
        <w:rPr>
          <w:rFonts w:ascii="Arial Narrow" w:eastAsia="Calibri" w:hAnsi="Arial Narrow" w:cs="Cambria Math"/>
          <w:i/>
          <w:color w:val="000000" w:themeColor="text1"/>
          <w:lang w:eastAsia="es-CO"/>
        </w:rPr>
        <w:t>Vto</w:t>
      </w:r>
      <w:proofErr w:type="spellEnd"/>
      <w:r w:rsidRPr="002C0D19">
        <w:rPr>
          <w:rFonts w:ascii="Arial Narrow" w:eastAsia="Calibri" w:hAnsi="Arial Narrow" w:cs="Cambria Math"/>
          <w:color w:val="000000" w:themeColor="text1"/>
          <w:lang w:eastAsia="es-CO"/>
        </w:rPr>
        <w:t xml:space="preserve"> = (</w:t>
      </w:r>
      <w:r w:rsidRPr="002C0D19">
        <w:rPr>
          <w:rFonts w:ascii="Cambria Math" w:eastAsia="Calibri" w:hAnsi="Cambria Math" w:cs="Cambria Math"/>
          <w:color w:val="000000" w:themeColor="text1"/>
          <w:lang w:eastAsia="es-CO"/>
        </w:rPr>
        <w:t>𝑷𝑳</w:t>
      </w:r>
      <w:r w:rsidRPr="002C0D19">
        <w:rPr>
          <w:rFonts w:ascii="Arial Narrow" w:eastAsia="Calibri" w:hAnsi="Arial Narrow" w:cs="Cambria Math"/>
          <w:i/>
          <w:color w:val="000000" w:themeColor="text1"/>
          <w:lang w:eastAsia="es-CO"/>
        </w:rPr>
        <w:t>V</w:t>
      </w:r>
      <w:r w:rsidRPr="002C0D19">
        <w:rPr>
          <w:rFonts w:ascii="Cambria Math" w:eastAsia="Calibri" w:hAnsi="Cambria Math" w:cs="Cambria Math"/>
          <w:color w:val="000000" w:themeColor="text1"/>
          <w:lang w:eastAsia="es-CO"/>
        </w:rPr>
        <w:t>𝒕</w:t>
      </w:r>
      <w:r w:rsidRPr="002C0D19">
        <w:rPr>
          <w:rFonts w:ascii="Arial Narrow" w:eastAsia="Calibri" w:hAnsi="Arial Narrow" w:cs="Cambria Math"/>
          <w:color w:val="000000" w:themeColor="text1"/>
          <w:lang w:eastAsia="es-CO"/>
        </w:rPr>
        <w:t xml:space="preserve"> − </w:t>
      </w:r>
      <w:r w:rsidRPr="002C0D19">
        <w:rPr>
          <w:rFonts w:ascii="Cambria Math" w:eastAsia="Calibri" w:hAnsi="Cambria Math" w:cs="Cambria Math"/>
          <w:color w:val="000000" w:themeColor="text1"/>
          <w:lang w:eastAsia="es-CO"/>
        </w:rPr>
        <w:t>𝑷</w:t>
      </w:r>
      <w:r w:rsidRPr="002C0D19">
        <w:rPr>
          <w:rFonts w:ascii="Arial Narrow" w:eastAsia="Calibri" w:hAnsi="Arial Narrow" w:cs="Cambria Math"/>
          <w:i/>
          <w:color w:val="000000" w:themeColor="text1"/>
          <w:lang w:eastAsia="es-CO"/>
        </w:rPr>
        <w:t>N</w:t>
      </w:r>
      <w:r w:rsidRPr="002C0D19">
        <w:rPr>
          <w:rFonts w:ascii="Arial Narrow" w:eastAsia="Calibri" w:hAnsi="Arial Narrow" w:cs="Cambria Math"/>
          <w:color w:val="000000" w:themeColor="text1"/>
          <w:lang w:eastAsia="es-CO"/>
        </w:rPr>
        <w:t xml:space="preserve">) × </w:t>
      </w:r>
      <w:r w:rsidRPr="002C0D19">
        <w:rPr>
          <w:rFonts w:ascii="Cambria Math" w:eastAsia="Calibri" w:hAnsi="Cambria Math" w:cs="Cambria Math"/>
          <w:color w:val="000000" w:themeColor="text1"/>
          <w:lang w:eastAsia="es-CO"/>
        </w:rPr>
        <w:t>𝒎</w:t>
      </w:r>
      <w:r w:rsidRPr="002C0D19">
        <w:rPr>
          <w:rFonts w:ascii="Arial Narrow" w:eastAsia="Calibri" w:hAnsi="Arial Narrow" w:cs="Cambria Math"/>
          <w:color w:val="000000" w:themeColor="text1"/>
          <w:lang w:eastAsia="es-CO"/>
        </w:rPr>
        <w:t xml:space="preserve"> × </w:t>
      </w:r>
      <w:r w:rsidRPr="002C0D19">
        <w:rPr>
          <w:rFonts w:ascii="Cambria Math" w:eastAsia="Calibri" w:hAnsi="Cambria Math" w:cs="Cambria Math"/>
          <w:color w:val="000000" w:themeColor="text1"/>
          <w:lang w:eastAsia="es-CO"/>
        </w:rPr>
        <w:t>𝑸</w:t>
      </w:r>
    </w:p>
    <w:p w14:paraId="3583685B" w14:textId="77777777" w:rsidR="007968EC" w:rsidRPr="00D807A3" w:rsidRDefault="007968EC" w:rsidP="007968EC">
      <w:pPr>
        <w:jc w:val="both"/>
        <w:rPr>
          <w:rFonts w:ascii="Arial Narrow" w:hAnsi="Arial Narrow" w:cs="Arial"/>
          <w:color w:val="000000" w:themeColor="text1"/>
          <w:lang w:eastAsia="es-ES"/>
        </w:rPr>
      </w:pPr>
    </w:p>
    <w:p w14:paraId="0D474C65" w14:textId="77777777" w:rsidR="007968EC" w:rsidRPr="00D807A3" w:rsidRDefault="007968EC" w:rsidP="007968EC">
      <w:pPr>
        <w:jc w:val="both"/>
        <w:rPr>
          <w:rFonts w:ascii="Arial Narrow" w:hAnsi="Arial Narrow" w:cs="Arial"/>
          <w:color w:val="000000" w:themeColor="text1"/>
          <w:lang w:eastAsia="es-ES"/>
        </w:rPr>
      </w:pPr>
      <w:r w:rsidRPr="00D807A3">
        <w:rPr>
          <w:rFonts w:ascii="Arial Narrow" w:hAnsi="Arial Narrow" w:cs="Arial"/>
          <w:color w:val="000000" w:themeColor="text1"/>
          <w:lang w:eastAsia="es-ES"/>
        </w:rPr>
        <w:t>Donde:</w:t>
      </w:r>
    </w:p>
    <w:p w14:paraId="034A704C" w14:textId="77777777" w:rsidR="007968EC" w:rsidRPr="00D807A3" w:rsidRDefault="007968EC" w:rsidP="007968EC">
      <w:pPr>
        <w:jc w:val="both"/>
        <w:rPr>
          <w:rFonts w:ascii="Arial Narrow" w:hAnsi="Arial Narrow" w:cs="Arial"/>
          <w:color w:val="000000" w:themeColor="text1"/>
          <w:lang w:eastAsia="es-ES"/>
        </w:rPr>
      </w:pPr>
    </w:p>
    <w:p w14:paraId="59C2D086"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Cambria Math" w:eastAsia="Calibri" w:hAnsi="Cambria Math" w:cs="Cambria Math"/>
          <w:color w:val="000000" w:themeColor="text1"/>
          <w:lang w:eastAsia="es-CO"/>
        </w:rPr>
        <w:t>𝑳𝒊𝒒</w:t>
      </w:r>
      <w:proofErr w:type="spellStart"/>
      <w:r w:rsidRPr="002C0D19">
        <w:rPr>
          <w:rFonts w:ascii="Arial Narrow" w:eastAsia="Calibri" w:hAnsi="Arial Narrow" w:cs="Cambria Math"/>
          <w:i/>
          <w:color w:val="000000" w:themeColor="text1"/>
          <w:lang w:eastAsia="es-CO"/>
        </w:rPr>
        <w:t>Vto</w:t>
      </w:r>
      <w:proofErr w:type="spellEnd"/>
      <w:r w:rsidRPr="002C0D19">
        <w:rPr>
          <w:rFonts w:ascii="Arial Narrow" w:eastAsia="Calibri" w:hAnsi="Arial Narrow" w:cs="Cambria Math"/>
          <w:color w:val="000000" w:themeColor="text1"/>
          <w:lang w:eastAsia="es-CO"/>
        </w:rPr>
        <w:t xml:space="preserve"> = Liquidación al Vencimiento</w:t>
      </w:r>
    </w:p>
    <w:p w14:paraId="21C69860" w14:textId="77777777" w:rsidR="007968EC" w:rsidRPr="002C0D19" w:rsidRDefault="00682D97" w:rsidP="007968EC">
      <w:pPr>
        <w:autoSpaceDE w:val="0"/>
        <w:autoSpaceDN w:val="0"/>
        <w:adjustRightInd w:val="0"/>
        <w:jc w:val="both"/>
        <w:rPr>
          <w:rFonts w:ascii="Arial Narrow" w:eastAsia="Calibri" w:hAnsi="Arial Narrow" w:cs="Cambria Math"/>
          <w:color w:val="000000" w:themeColor="text1"/>
          <w:lang w:eastAsia="es-CO"/>
        </w:rPr>
      </w:pPr>
      <m:oMathPara>
        <m:oMathParaPr>
          <m:jc m:val="left"/>
        </m:oMathParaPr>
        <m:oMath>
          <m:sSub>
            <m:sSubPr>
              <m:ctrlPr>
                <w:rPr>
                  <w:rFonts w:ascii="Cambria Math" w:eastAsia="Calibri" w:hAnsi="Cambria Math" w:cs="Cambria Math"/>
                  <w:b/>
                  <w:color w:val="000000" w:themeColor="text1"/>
                  <w:lang w:eastAsia="es-CO"/>
                </w:rPr>
              </m:ctrlPr>
            </m:sSubPr>
            <m:e>
              <m:r>
                <m:rPr>
                  <m:sty m:val="b"/>
                </m:rPr>
                <w:rPr>
                  <w:rFonts w:ascii="Cambria Math" w:eastAsia="Calibri" w:hAnsi="Cambria Math" w:cs="Cambria Math"/>
                  <w:color w:val="000000" w:themeColor="text1"/>
                  <w:lang w:eastAsia="es-CO"/>
                </w:rPr>
                <m:t>PLV</m:t>
              </m:r>
            </m:e>
            <m:sub>
              <m:r>
                <m:rPr>
                  <m:sty m:val="b"/>
                </m:rPr>
                <w:rPr>
                  <w:rFonts w:ascii="Cambria Math" w:eastAsia="Calibri" w:hAnsi="Cambria Math" w:cs="Cambria Math"/>
                  <w:color w:val="000000" w:themeColor="text1"/>
                  <w:lang w:eastAsia="es-CO"/>
                </w:rPr>
                <m:t>t</m:t>
              </m:r>
            </m:sub>
          </m:sSub>
          <m:r>
            <m:rPr>
              <m:sty m:val="b"/>
            </m:rPr>
            <w:rPr>
              <w:rFonts w:ascii="Cambria Math" w:eastAsia="Calibri" w:hAnsi="Cambria Math" w:cs="Cambria Math"/>
              <w:color w:val="000000" w:themeColor="text1"/>
              <w:lang w:eastAsia="es-CO"/>
            </w:rPr>
            <m:t>=Precio de Liquidación  para Contratos</m:t>
          </m:r>
        </m:oMath>
      </m:oMathPara>
    </w:p>
    <w:p w14:paraId="5AD0505F" w14:textId="77777777" w:rsidR="007968EC" w:rsidRPr="002C0D19" w:rsidRDefault="007968EC" w:rsidP="007968EC">
      <w:pPr>
        <w:autoSpaceDE w:val="0"/>
        <w:autoSpaceDN w:val="0"/>
        <w:adjustRightInd w:val="0"/>
        <w:jc w:val="both"/>
        <w:rPr>
          <w:rFonts w:ascii="Arial Narrow" w:eastAsia="Calibri" w:hAnsi="Arial Narrow" w:cs="Cambria Math"/>
          <w:color w:val="000000" w:themeColor="text1"/>
          <w:lang w:eastAsia="es-CO"/>
        </w:rPr>
      </w:pPr>
      <m:oMathPara>
        <m:oMathParaPr>
          <m:jc m:val="left"/>
        </m:oMathParaPr>
        <m:oMath>
          <m:r>
            <m:rPr>
              <m:sty m:val="b"/>
            </m:rPr>
            <w:rPr>
              <w:rFonts w:ascii="Cambria Math" w:eastAsia="Calibri" w:hAnsi="Cambria Math" w:cs="Cambria Math"/>
              <w:color w:val="000000" w:themeColor="text1"/>
              <w:lang w:eastAsia="es-CO"/>
            </w:rPr>
            <m:t>PN=Precio de Negociación</m:t>
          </m:r>
        </m:oMath>
      </m:oMathPara>
    </w:p>
    <w:p w14:paraId="04A840E1" w14:textId="77777777" w:rsidR="007968EC" w:rsidRPr="002C0D19" w:rsidRDefault="007968EC" w:rsidP="007968EC">
      <w:pPr>
        <w:autoSpaceDE w:val="0"/>
        <w:autoSpaceDN w:val="0"/>
        <w:adjustRightInd w:val="0"/>
        <w:jc w:val="both"/>
        <w:rPr>
          <w:rFonts w:ascii="Arial Narrow" w:eastAsia="Calibri" w:hAnsi="Arial Narrow" w:cs="Cambria Math"/>
          <w:color w:val="000000" w:themeColor="text1"/>
          <w:lang w:eastAsia="es-CO"/>
        </w:rPr>
      </w:pPr>
      <m:oMathPara>
        <m:oMathParaPr>
          <m:jc m:val="left"/>
        </m:oMathParaPr>
        <m:oMath>
          <m:r>
            <m:rPr>
              <m:sty m:val="b"/>
            </m:rPr>
            <w:rPr>
              <w:rFonts w:ascii="Cambria Math" w:eastAsia="Calibri" w:hAnsi="Cambria Math" w:cs="Cambria Math"/>
              <w:color w:val="000000" w:themeColor="text1"/>
              <w:lang w:eastAsia="es-CO"/>
            </w:rPr>
            <m:t>m=Multiplicador</m:t>
          </m:r>
        </m:oMath>
      </m:oMathPara>
    </w:p>
    <w:p w14:paraId="45CDAE96" w14:textId="77777777" w:rsidR="007968EC" w:rsidRPr="002C0D19" w:rsidRDefault="007968EC" w:rsidP="007968EC">
      <w:pPr>
        <w:autoSpaceDE w:val="0"/>
        <w:autoSpaceDN w:val="0"/>
        <w:adjustRightInd w:val="0"/>
        <w:jc w:val="both"/>
        <w:rPr>
          <w:rFonts w:ascii="Arial Narrow" w:eastAsia="Calibri" w:hAnsi="Arial Narrow"/>
          <w:color w:val="000000" w:themeColor="text1"/>
        </w:rPr>
      </w:pPr>
      <m:oMath>
        <m:r>
          <m:rPr>
            <m:sty m:val="b"/>
          </m:rPr>
          <w:rPr>
            <w:rFonts w:ascii="Cambria Math" w:eastAsia="Calibri" w:hAnsi="Cambria Math" w:cs="Cambria Math"/>
            <w:color w:val="000000" w:themeColor="text1"/>
            <w:lang w:eastAsia="es-CO"/>
          </w:rPr>
          <m:t>Q=Cantidad de Contratos</m:t>
        </m:r>
      </m:oMath>
      <w:r w:rsidRPr="002C0D19">
        <w:rPr>
          <w:rFonts w:ascii="Arial Narrow" w:eastAsia="Calibri" w:hAnsi="Arial Narrow" w:cs="Arial Narrow"/>
          <w:color w:val="000000" w:themeColor="text1"/>
          <w:lang w:eastAsia="es-CO"/>
        </w:rPr>
        <w:t xml:space="preserve"> que llevará signo positivo en el caso de los Contratos comprados y negativo en el caso de los contratos vendidos.</w:t>
      </w:r>
    </w:p>
    <w:p w14:paraId="7EAF88D4" w14:textId="77777777" w:rsidR="007968EC" w:rsidRPr="002C0D19" w:rsidRDefault="007968EC" w:rsidP="007968EC">
      <w:pPr>
        <w:jc w:val="both"/>
        <w:rPr>
          <w:rFonts w:ascii="Arial Narrow" w:eastAsia="Calibri" w:hAnsi="Arial Narrow"/>
          <w:bCs/>
          <w:color w:val="000000" w:themeColor="text1"/>
          <w:lang w:val="es-ES" w:eastAsia="es-ES"/>
        </w:rPr>
      </w:pPr>
    </w:p>
    <w:p w14:paraId="2F213323" w14:textId="77777777" w:rsidR="007968EC" w:rsidRPr="002C0D19" w:rsidRDefault="007968EC" w:rsidP="007968EC">
      <w:pPr>
        <w:jc w:val="both"/>
        <w:rPr>
          <w:rFonts w:ascii="Arial Narrow" w:eastAsia="Calibri" w:hAnsi="Arial Narrow"/>
          <w:bCs/>
          <w:color w:val="000000" w:themeColor="text1"/>
          <w:u w:val="single"/>
          <w:lang w:val="es-ES" w:eastAsia="es-ES"/>
        </w:rPr>
      </w:pPr>
      <w:r w:rsidRPr="002C0D19">
        <w:rPr>
          <w:rFonts w:ascii="Arial Narrow" w:eastAsia="Calibri" w:hAnsi="Arial Narrow"/>
          <w:bCs/>
          <w:color w:val="000000" w:themeColor="text1"/>
          <w:u w:val="single"/>
          <w:lang w:val="es-ES" w:eastAsia="es-ES"/>
        </w:rPr>
        <w:t>Contratos de Opciones</w:t>
      </w:r>
    </w:p>
    <w:p w14:paraId="27B3A4F3" w14:textId="77777777" w:rsidR="007968EC" w:rsidRPr="002C0D19" w:rsidRDefault="007968EC" w:rsidP="007968EC">
      <w:pPr>
        <w:jc w:val="both"/>
        <w:rPr>
          <w:rFonts w:ascii="Arial Narrow" w:eastAsia="Calibri" w:hAnsi="Arial Narrow"/>
          <w:bCs/>
          <w:color w:val="000000" w:themeColor="text1"/>
          <w:lang w:val="es-ES" w:eastAsia="es-ES"/>
        </w:rPr>
      </w:pPr>
    </w:p>
    <w:p w14:paraId="31CBD2F3" w14:textId="77777777" w:rsidR="007968EC" w:rsidRPr="002C0D19" w:rsidRDefault="007968EC" w:rsidP="007968EC">
      <w:pPr>
        <w:jc w:val="both"/>
        <w:rPr>
          <w:rFonts w:ascii="Arial Narrow" w:eastAsia="Calibri" w:hAnsi="Arial Narrow"/>
          <w:bCs/>
          <w:color w:val="000000" w:themeColor="text1"/>
          <w:lang w:val="es-ES" w:eastAsia="es-ES"/>
        </w:rPr>
      </w:pPr>
      <w:r w:rsidRPr="002C0D19">
        <w:rPr>
          <w:rFonts w:ascii="Arial Narrow" w:eastAsia="Calibri" w:hAnsi="Arial Narrow"/>
          <w:color w:val="000000" w:themeColor="text1"/>
          <w:lang w:val="es-ES" w:eastAsia="es-ES"/>
        </w:rPr>
        <w:t>L</w:t>
      </w:r>
      <w:r w:rsidRPr="002C0D19">
        <w:rPr>
          <w:rFonts w:ascii="Arial Narrow" w:eastAsia="Calibri" w:hAnsi="Arial Narrow"/>
          <w:bCs/>
          <w:color w:val="000000" w:themeColor="text1"/>
          <w:lang w:val="es-ES" w:eastAsia="es-ES"/>
        </w:rPr>
        <w:t>as Posiciones Abiertas en Contratos de Opciones que sean ejercidas se valoradas al final de la sesión correspondiente al Último Día de Negociación, al Precio de Liquidación</w:t>
      </w:r>
      <w:r w:rsidRPr="002C0D19">
        <w:rPr>
          <w:rFonts w:ascii="Arial Narrow" w:eastAsia="Calibri" w:hAnsi="Arial Narrow"/>
          <w:color w:val="000000" w:themeColor="text1"/>
          <w:lang w:val="es-ES" w:eastAsia="es-ES"/>
        </w:rPr>
        <w:t xml:space="preserve"> para Contratos </w:t>
      </w:r>
      <w:r w:rsidRPr="002C0D19">
        <w:rPr>
          <w:rFonts w:ascii="Arial Narrow" w:eastAsia="Calibri" w:hAnsi="Arial Narrow"/>
          <w:bCs/>
          <w:color w:val="000000" w:themeColor="text1"/>
          <w:lang w:val="es-ES" w:eastAsia="es-ES"/>
        </w:rPr>
        <w:t>entregado por el Proveedor Oficial de Precios para Valoración y se realizará de acuerdo con la siguiente fórmula:</w:t>
      </w:r>
    </w:p>
    <w:p w14:paraId="7368717E" w14:textId="77777777" w:rsidR="007968EC" w:rsidRPr="002C0D19" w:rsidRDefault="007968EC" w:rsidP="007968EC">
      <w:pPr>
        <w:jc w:val="both"/>
        <w:rPr>
          <w:rFonts w:ascii="Arial Narrow" w:eastAsia="Calibri" w:hAnsi="Arial Narrow"/>
          <w:b/>
          <w:color w:val="000000" w:themeColor="text1"/>
          <w:lang w:val="es-ES" w:eastAsia="es-ES"/>
        </w:rPr>
      </w:pPr>
    </w:p>
    <w:p w14:paraId="08D6D7FA" w14:textId="77777777" w:rsidR="007968EC" w:rsidRPr="002C0D19" w:rsidRDefault="007968EC" w:rsidP="007968EC">
      <w:pPr>
        <w:jc w:val="both"/>
        <w:rPr>
          <w:rFonts w:ascii="Arial Narrow" w:eastAsia="Calibri" w:hAnsi="Arial Narrow"/>
          <w:color w:val="000000" w:themeColor="text1"/>
          <w:lang w:val="es-ES" w:eastAsia="es-ES"/>
        </w:rPr>
      </w:pPr>
      <w:r w:rsidRPr="002C0D19">
        <w:rPr>
          <w:rFonts w:ascii="Arial Narrow" w:eastAsia="Calibri" w:hAnsi="Arial Narrow"/>
          <w:color w:val="000000" w:themeColor="text1"/>
          <w:lang w:val="es-ES" w:eastAsia="es-ES"/>
        </w:rPr>
        <w:lastRenderedPageBreak/>
        <w:t>Contratos de Opciones Call</w:t>
      </w:r>
    </w:p>
    <w:p w14:paraId="35284632" w14:textId="77777777" w:rsidR="007968EC" w:rsidRPr="002C0D19" w:rsidRDefault="007968EC" w:rsidP="007968EC">
      <w:pPr>
        <w:jc w:val="both"/>
        <w:rPr>
          <w:rFonts w:ascii="Arial Narrow" w:eastAsia="Calibri" w:hAnsi="Arial Narrow"/>
          <w:color w:val="000000" w:themeColor="text1"/>
          <w:lang w:val="es-ES" w:eastAsia="es-ES"/>
        </w:rPr>
      </w:pPr>
    </w:p>
    <w:p w14:paraId="6519C4BA" w14:textId="77777777" w:rsidR="007968EC" w:rsidRPr="002C0D19" w:rsidRDefault="007968EC" w:rsidP="007968EC">
      <w:pPr>
        <w:jc w:val="both"/>
        <w:rPr>
          <w:rFonts w:ascii="Arial Narrow" w:eastAsia="Calibri" w:hAnsi="Arial Narrow"/>
          <w:color w:val="000000" w:themeColor="text1"/>
          <w:lang w:val="es-ES" w:eastAsia="es-ES"/>
        </w:rPr>
      </w:pPr>
      <w:r w:rsidRPr="002C0D19">
        <w:rPr>
          <w:rFonts w:ascii="Cambria Math" w:eastAsia="Calibri" w:hAnsi="Cambria Math" w:cs="Cambria Math"/>
          <w:color w:val="000000" w:themeColor="text1"/>
          <w:lang w:val="es-ES" w:eastAsia="es-CO"/>
        </w:rPr>
        <w:t>𝑳𝒊𝒒</w:t>
      </w:r>
      <w:proofErr w:type="spellStart"/>
      <w:r w:rsidRPr="002C0D19">
        <w:rPr>
          <w:rFonts w:ascii="Arial Narrow" w:eastAsia="Calibri" w:hAnsi="Arial Narrow" w:cs="Cambria Math"/>
          <w:i/>
          <w:color w:val="000000" w:themeColor="text1"/>
          <w:lang w:val="es-ES" w:eastAsia="es-CO"/>
        </w:rPr>
        <w:t>Vto</w:t>
      </w:r>
      <w:proofErr w:type="spellEnd"/>
      <w:r w:rsidRPr="002C0D19">
        <w:rPr>
          <w:rFonts w:ascii="Arial Narrow" w:eastAsia="Calibri" w:hAnsi="Arial Narrow" w:cs="Cambria Math"/>
          <w:color w:val="000000" w:themeColor="text1"/>
          <w:lang w:val="es-ES" w:eastAsia="es-CO"/>
        </w:rPr>
        <w:t xml:space="preserve"> = (</w:t>
      </w:r>
      <w:r w:rsidRPr="002C0D19">
        <w:rPr>
          <w:rFonts w:ascii="Cambria Math" w:eastAsia="Calibri" w:hAnsi="Cambria Math" w:cs="Cambria Math"/>
          <w:color w:val="000000" w:themeColor="text1"/>
          <w:lang w:val="es-ES" w:eastAsia="es-CO"/>
        </w:rPr>
        <w:t>𝑷𝑳</w:t>
      </w:r>
      <w:r w:rsidRPr="002C0D19">
        <w:rPr>
          <w:rFonts w:ascii="Arial Narrow" w:eastAsia="Calibri" w:hAnsi="Arial Narrow" w:cs="Cambria Math"/>
          <w:i/>
          <w:color w:val="000000" w:themeColor="text1"/>
          <w:lang w:val="es-ES" w:eastAsia="es-CO"/>
        </w:rPr>
        <w:t>V</w:t>
      </w:r>
      <w:r w:rsidRPr="002C0D19">
        <w:rPr>
          <w:rFonts w:ascii="Cambria Math" w:eastAsia="Calibri" w:hAnsi="Cambria Math" w:cs="Cambria Math"/>
          <w:color w:val="000000" w:themeColor="text1"/>
          <w:lang w:val="es-ES" w:eastAsia="es-CO"/>
        </w:rPr>
        <w:t>𝒕</w:t>
      </w:r>
      <w:r w:rsidRPr="002C0D19">
        <w:rPr>
          <w:rFonts w:ascii="Arial Narrow" w:eastAsia="Calibri" w:hAnsi="Arial Narrow" w:cs="Cambria Math"/>
          <w:color w:val="000000" w:themeColor="text1"/>
          <w:lang w:val="es-ES" w:eastAsia="es-CO"/>
        </w:rPr>
        <w:t xml:space="preserve"> − </w:t>
      </w:r>
      <w:r w:rsidRPr="002C0D19">
        <w:rPr>
          <w:rFonts w:ascii="Arial Narrow" w:eastAsia="Calibri" w:hAnsi="Arial Narrow" w:cs="Cambria Math"/>
          <w:i/>
          <w:color w:val="000000" w:themeColor="text1"/>
          <w:lang w:val="es-ES" w:eastAsia="es-CO"/>
        </w:rPr>
        <w:t>ST</w:t>
      </w:r>
      <w:r w:rsidRPr="002C0D19">
        <w:rPr>
          <w:rFonts w:ascii="Arial Narrow" w:eastAsia="Calibri" w:hAnsi="Arial Narrow" w:cs="Cambria Math"/>
          <w:color w:val="000000" w:themeColor="text1"/>
          <w:lang w:val="es-ES" w:eastAsia="es-CO"/>
        </w:rPr>
        <w:t xml:space="preserve">) × </w:t>
      </w:r>
      <w:r w:rsidRPr="002C0D19">
        <w:rPr>
          <w:rFonts w:ascii="Cambria Math" w:eastAsia="Calibri" w:hAnsi="Cambria Math" w:cs="Cambria Math"/>
          <w:color w:val="000000" w:themeColor="text1"/>
          <w:lang w:val="es-ES" w:eastAsia="es-CO"/>
        </w:rPr>
        <w:t>𝒎</w:t>
      </w:r>
      <w:r w:rsidRPr="002C0D19">
        <w:rPr>
          <w:rFonts w:ascii="Arial Narrow" w:eastAsia="Calibri" w:hAnsi="Arial Narrow" w:cs="Cambria Math"/>
          <w:color w:val="000000" w:themeColor="text1"/>
          <w:lang w:val="es-ES" w:eastAsia="es-CO"/>
        </w:rPr>
        <w:t xml:space="preserve"> × </w:t>
      </w:r>
      <w:r w:rsidRPr="002C0D19">
        <w:rPr>
          <w:rFonts w:ascii="Cambria Math" w:eastAsia="Calibri" w:hAnsi="Cambria Math" w:cs="Cambria Math"/>
          <w:color w:val="000000" w:themeColor="text1"/>
          <w:lang w:val="es-ES" w:eastAsia="es-CO"/>
        </w:rPr>
        <w:t>𝑸</w:t>
      </w:r>
    </w:p>
    <w:p w14:paraId="289D083C" w14:textId="77777777" w:rsidR="007968EC" w:rsidRPr="00D807A3" w:rsidRDefault="007968EC" w:rsidP="007968EC">
      <w:pPr>
        <w:jc w:val="both"/>
        <w:rPr>
          <w:rFonts w:ascii="Arial Narrow" w:hAnsi="Arial Narrow" w:cs="Arial"/>
          <w:color w:val="000000" w:themeColor="text1"/>
          <w:lang w:eastAsia="es-ES"/>
        </w:rPr>
      </w:pPr>
    </w:p>
    <w:p w14:paraId="2B51B885" w14:textId="77777777" w:rsidR="007968EC" w:rsidRPr="002C0D19" w:rsidRDefault="007968EC" w:rsidP="007968EC">
      <w:pPr>
        <w:jc w:val="both"/>
        <w:rPr>
          <w:rFonts w:ascii="Arial Narrow" w:hAnsi="Arial Narrow"/>
          <w:bCs/>
          <w:color w:val="000000" w:themeColor="text1"/>
          <w:lang w:val="es-ES" w:eastAsia="es-ES"/>
        </w:rPr>
      </w:pPr>
      <w:r w:rsidRPr="002C0D19">
        <w:rPr>
          <w:rFonts w:ascii="Arial Narrow" w:hAnsi="Arial Narrow"/>
          <w:bCs/>
          <w:color w:val="000000" w:themeColor="text1"/>
          <w:lang w:val="es-ES" w:eastAsia="es-ES"/>
        </w:rPr>
        <w:t>Donde:</w:t>
      </w:r>
    </w:p>
    <w:p w14:paraId="79208E2B" w14:textId="77777777" w:rsidR="007968EC" w:rsidRPr="00D807A3" w:rsidRDefault="007968EC" w:rsidP="007968EC">
      <w:pPr>
        <w:jc w:val="both"/>
        <w:rPr>
          <w:rFonts w:ascii="Arial Narrow" w:hAnsi="Arial Narrow" w:cs="Arial"/>
          <w:color w:val="000000" w:themeColor="text1"/>
          <w:lang w:eastAsia="es-ES"/>
        </w:rPr>
      </w:pPr>
    </w:p>
    <w:p w14:paraId="70FB0F3D" w14:textId="77777777" w:rsidR="007968EC" w:rsidRPr="002C0D19" w:rsidRDefault="007968EC" w:rsidP="007968EC">
      <w:pPr>
        <w:autoSpaceDE w:val="0"/>
        <w:autoSpaceDN w:val="0"/>
        <w:adjustRightInd w:val="0"/>
        <w:rPr>
          <w:rFonts w:ascii="Arial Narrow" w:eastAsia="Calibri" w:hAnsi="Arial Narrow" w:cs="Arial"/>
          <w:color w:val="000000" w:themeColor="text1"/>
          <w:lang w:val="es-ES" w:eastAsia="es-ES"/>
        </w:rPr>
      </w:pPr>
      <w:r w:rsidRPr="002C0D19">
        <w:rPr>
          <w:rFonts w:ascii="Cambria Math" w:eastAsia="Calibri" w:hAnsi="Cambria Math" w:cs="Cambria Math"/>
          <w:color w:val="000000" w:themeColor="text1"/>
          <w:lang w:val="es-ES" w:eastAsia="es-CO"/>
        </w:rPr>
        <w:t>𝑳𝒊𝒒</w:t>
      </w:r>
      <w:proofErr w:type="spellStart"/>
      <w:r w:rsidRPr="002C0D19">
        <w:rPr>
          <w:rFonts w:ascii="Arial Narrow" w:eastAsia="Calibri" w:hAnsi="Arial Narrow" w:cs="Cambria Math"/>
          <w:i/>
          <w:color w:val="000000" w:themeColor="text1"/>
          <w:lang w:val="es-ES" w:eastAsia="es-CO"/>
        </w:rPr>
        <w:t>Vto</w:t>
      </w:r>
      <w:proofErr w:type="spellEnd"/>
      <w:r w:rsidRPr="002C0D19">
        <w:rPr>
          <w:rFonts w:ascii="Arial Narrow" w:eastAsia="Calibri" w:hAnsi="Arial Narrow" w:cs="Cambria Math"/>
          <w:color w:val="000000" w:themeColor="text1"/>
          <w:lang w:val="es-ES" w:eastAsia="es-CO"/>
        </w:rPr>
        <w:t xml:space="preserve"> = Liquidación al Vencimiento</w:t>
      </w:r>
    </w:p>
    <w:p w14:paraId="6A848EAB" w14:textId="77777777" w:rsidR="007968EC" w:rsidRPr="002C0D19" w:rsidRDefault="00682D97" w:rsidP="007968EC">
      <w:pPr>
        <w:autoSpaceDE w:val="0"/>
        <w:autoSpaceDN w:val="0"/>
        <w:adjustRightInd w:val="0"/>
        <w:rPr>
          <w:rFonts w:ascii="Arial Narrow" w:eastAsia="Calibri" w:hAnsi="Arial Narrow" w:cs="Arial"/>
          <w:b/>
          <w:color w:val="000000" w:themeColor="text1"/>
          <w:lang w:val="es-ES" w:eastAsia="es-CO"/>
        </w:rPr>
      </w:pPr>
      <m:oMathPara>
        <m:oMathParaPr>
          <m:jc m:val="left"/>
        </m:oMathParaPr>
        <m:oMath>
          <m:sSub>
            <m:sSubPr>
              <m:ctrlPr>
                <w:rPr>
                  <w:rFonts w:ascii="Cambria Math" w:eastAsia="Calibri" w:hAnsi="Cambria Math" w:cs="Cambria Math"/>
                  <w:b/>
                  <w:color w:val="000000" w:themeColor="text1"/>
                  <w:lang w:val="es-ES" w:eastAsia="es-CO"/>
                </w:rPr>
              </m:ctrlPr>
            </m:sSubPr>
            <m:e>
              <m:r>
                <m:rPr>
                  <m:sty m:val="b"/>
                </m:rPr>
                <w:rPr>
                  <w:rFonts w:ascii="Cambria Math" w:eastAsia="Calibri" w:hAnsi="Cambria Math" w:cs="Cambria Math"/>
                  <w:color w:val="000000" w:themeColor="text1"/>
                  <w:lang w:val="es-ES" w:eastAsia="es-CO"/>
                </w:rPr>
                <m:t>PLV</m:t>
              </m:r>
            </m:e>
            <m:sub>
              <m:r>
                <m:rPr>
                  <m:sty m:val="b"/>
                </m:rPr>
                <w:rPr>
                  <w:rFonts w:ascii="Cambria Math" w:eastAsia="Calibri" w:hAnsi="Cambria Math" w:cs="Cambria Math"/>
                  <w:color w:val="000000" w:themeColor="text1"/>
                  <w:lang w:val="es-ES" w:eastAsia="es-CO"/>
                </w:rPr>
                <m:t>t</m:t>
              </m:r>
            </m:sub>
          </m:sSub>
          <m:r>
            <m:rPr>
              <m:sty m:val="b"/>
            </m:rPr>
            <w:rPr>
              <w:rFonts w:ascii="Cambria Math" w:eastAsia="Calibri" w:hAnsi="Cambria Math" w:cs="Cambria Math"/>
              <w:color w:val="000000" w:themeColor="text1"/>
              <w:lang w:val="es-ES" w:eastAsia="es-CO"/>
            </w:rPr>
            <m:t>=Precio de Liquidación del subyacente</m:t>
          </m:r>
        </m:oMath>
      </m:oMathPara>
    </w:p>
    <w:p w14:paraId="7A622B88" w14:textId="77777777" w:rsidR="007968EC" w:rsidRPr="002C0D19" w:rsidRDefault="007968EC" w:rsidP="007968EC">
      <w:pPr>
        <w:autoSpaceDE w:val="0"/>
        <w:autoSpaceDN w:val="0"/>
        <w:adjustRightInd w:val="0"/>
        <w:rPr>
          <w:rFonts w:ascii="Arial Narrow" w:eastAsia="Calibri" w:hAnsi="Arial Narrow" w:cs="Cambria Math"/>
          <w:b/>
          <w:color w:val="000000" w:themeColor="text1"/>
          <w:lang w:val="es-ES" w:eastAsia="es-CO"/>
        </w:rPr>
      </w:pPr>
      <m:oMath>
        <m:r>
          <m:rPr>
            <m:sty m:val="b"/>
          </m:rPr>
          <w:rPr>
            <w:rFonts w:ascii="Cambria Math" w:eastAsia="Calibri" w:hAnsi="Cambria Math" w:cs="Cambria Math"/>
            <w:color w:val="000000" w:themeColor="text1"/>
            <w:lang w:val="es-ES" w:eastAsia="es-CO"/>
          </w:rPr>
          <m:t>ST=Strik</m:t>
        </m:r>
      </m:oMath>
      <w:r w:rsidRPr="002C0D19">
        <w:rPr>
          <w:rFonts w:ascii="Arial Narrow" w:eastAsia="Calibri" w:hAnsi="Arial Narrow" w:cs="Cambria Math"/>
          <w:b/>
          <w:color w:val="000000" w:themeColor="text1"/>
          <w:lang w:val="es-ES" w:eastAsia="es-CO"/>
        </w:rPr>
        <w:t>e</w:t>
      </w:r>
    </w:p>
    <w:p w14:paraId="232CF273" w14:textId="77777777" w:rsidR="007968EC" w:rsidRPr="002C0D19" w:rsidRDefault="007968EC" w:rsidP="007968EC">
      <w:pPr>
        <w:autoSpaceDE w:val="0"/>
        <w:autoSpaceDN w:val="0"/>
        <w:adjustRightInd w:val="0"/>
        <w:rPr>
          <w:rFonts w:ascii="Arial Narrow" w:eastAsia="Calibri" w:hAnsi="Arial Narrow" w:cs="Cambria Math"/>
          <w:b/>
          <w:color w:val="000000" w:themeColor="text1"/>
          <w:lang w:val="es-ES" w:eastAsia="es-CO"/>
        </w:rPr>
      </w:pPr>
      <m:oMathPara>
        <m:oMathParaPr>
          <m:jc m:val="left"/>
        </m:oMathParaPr>
        <m:oMath>
          <m:r>
            <m:rPr>
              <m:sty m:val="b"/>
            </m:rPr>
            <w:rPr>
              <w:rFonts w:ascii="Cambria Math" w:eastAsia="Calibri" w:hAnsi="Cambria Math" w:cs="Cambria Math"/>
              <w:color w:val="000000" w:themeColor="text1"/>
              <w:lang w:val="es-ES" w:eastAsia="es-CO"/>
            </w:rPr>
            <m:t xml:space="preserve">m=Multiplicador </m:t>
          </m:r>
          <m:r>
            <m:rPr>
              <m:sty m:val="b"/>
            </m:rPr>
            <w:rPr>
              <w:rFonts w:ascii="Cambria Math" w:eastAsia="Calibri" w:hAnsi="Cambria Math"/>
              <w:color w:val="000000" w:themeColor="text1"/>
              <w:lang w:val="es-ES" w:eastAsia="es-ES"/>
            </w:rPr>
            <m:t>del contrato</m:t>
          </m:r>
        </m:oMath>
      </m:oMathPara>
    </w:p>
    <w:p w14:paraId="0E5DEAF1" w14:textId="77777777" w:rsidR="007968EC" w:rsidRPr="002C0D19" w:rsidRDefault="007968EC" w:rsidP="007968EC">
      <w:pPr>
        <w:autoSpaceDE w:val="0"/>
        <w:autoSpaceDN w:val="0"/>
        <w:adjustRightInd w:val="0"/>
        <w:jc w:val="both"/>
        <w:rPr>
          <w:rFonts w:ascii="Arial Narrow" w:hAnsi="Arial Narrow"/>
          <w:color w:val="000000" w:themeColor="text1"/>
          <w:lang w:val="es-ES" w:eastAsia="es-ES"/>
        </w:rPr>
      </w:pPr>
      <m:oMath>
        <m:r>
          <m:rPr>
            <m:sty m:val="b"/>
          </m:rPr>
          <w:rPr>
            <w:rFonts w:ascii="Cambria Math" w:eastAsia="Calibri" w:hAnsi="Cambria Math" w:cs="Cambria Math"/>
            <w:color w:val="000000" w:themeColor="text1"/>
            <w:lang w:val="es-ES" w:eastAsia="es-CO"/>
          </w:rPr>
          <m:t>Q=Cantidad</m:t>
        </m:r>
        <m:r>
          <m:rPr>
            <m:sty m:val="b"/>
          </m:rPr>
          <w:rPr>
            <w:rFonts w:ascii="Cambria Math" w:eastAsia="Calibri" w:hAnsi="Cambria Math" w:cs="Cambria Math"/>
            <w:color w:val="000000" w:themeColor="text1"/>
            <w:lang w:val="es-ES" w:eastAsia="es-ES"/>
          </w:rPr>
          <m:t xml:space="preserve"> </m:t>
        </m:r>
        <m:r>
          <m:rPr>
            <m:sty m:val="b"/>
          </m:rPr>
          <w:rPr>
            <w:rFonts w:ascii="Cambria Math" w:eastAsia="Calibri" w:hAnsi="Cambria Math" w:cs="Cambria Math"/>
            <w:color w:val="000000" w:themeColor="text1"/>
            <w:lang w:val="es-ES" w:eastAsia="es-CO"/>
          </w:rPr>
          <m:t>de</m:t>
        </m:r>
        <m:r>
          <m:rPr>
            <m:sty m:val="b"/>
          </m:rPr>
          <w:rPr>
            <w:rFonts w:ascii="Cambria Math" w:eastAsia="Calibri" w:hAnsi="Cambria Math" w:cs="Cambria Math"/>
            <w:color w:val="000000" w:themeColor="text1"/>
            <w:lang w:val="es-ES" w:eastAsia="es-ES"/>
          </w:rPr>
          <m:t xml:space="preserve"> </m:t>
        </m:r>
        <m:r>
          <m:rPr>
            <m:sty m:val="b"/>
          </m:rPr>
          <w:rPr>
            <w:rFonts w:ascii="Cambria Math" w:eastAsia="Calibri" w:hAnsi="Cambria Math" w:cs="Cambria Math"/>
            <w:color w:val="000000" w:themeColor="text1"/>
            <w:lang w:val="es-ES" w:eastAsia="es-CO"/>
          </w:rPr>
          <m:t>Contratos.</m:t>
        </m:r>
      </m:oMath>
      <w:r w:rsidRPr="002C0D19">
        <w:rPr>
          <w:rFonts w:ascii="Arial Narrow" w:eastAsia="Calibri" w:hAnsi="Arial Narrow" w:cs="Arial Narrow"/>
          <w:color w:val="000000" w:themeColor="text1"/>
          <w:lang w:val="es-ES" w:eastAsia="es-CO"/>
        </w:rPr>
        <w:t xml:space="preserve"> Llevará signo positivo en el caso de los Contratos comprados y negativo en el caso de los contratos vendidos.</w:t>
      </w:r>
    </w:p>
    <w:p w14:paraId="440AC5C4" w14:textId="77777777" w:rsidR="007968EC" w:rsidRPr="002C0D19" w:rsidRDefault="007968EC" w:rsidP="007968EC">
      <w:pPr>
        <w:jc w:val="both"/>
        <w:rPr>
          <w:rFonts w:ascii="Arial Narrow" w:eastAsia="Calibri" w:hAnsi="Arial Narrow"/>
          <w:bCs/>
          <w:color w:val="000000" w:themeColor="text1"/>
          <w:lang w:val="es-ES" w:eastAsia="es-ES"/>
        </w:rPr>
      </w:pPr>
    </w:p>
    <w:p w14:paraId="6C51BC1A" w14:textId="77777777" w:rsidR="007968EC" w:rsidRPr="002C0D19" w:rsidRDefault="007968EC" w:rsidP="007968EC">
      <w:pPr>
        <w:jc w:val="both"/>
        <w:rPr>
          <w:rFonts w:ascii="Arial Narrow" w:eastAsia="Calibri" w:hAnsi="Arial Narrow"/>
          <w:color w:val="000000" w:themeColor="text1"/>
          <w:lang w:val="es-ES" w:eastAsia="es-ES"/>
        </w:rPr>
      </w:pPr>
      <w:r w:rsidRPr="002C0D19">
        <w:rPr>
          <w:rFonts w:ascii="Arial Narrow" w:eastAsia="Calibri" w:hAnsi="Arial Narrow"/>
          <w:color w:val="000000" w:themeColor="text1"/>
          <w:lang w:val="es-ES" w:eastAsia="es-ES"/>
        </w:rPr>
        <w:t xml:space="preserve">Contratos de Opciones </w:t>
      </w:r>
      <w:proofErr w:type="spellStart"/>
      <w:r w:rsidRPr="002C0D19">
        <w:rPr>
          <w:rFonts w:ascii="Arial Narrow" w:eastAsia="Calibri" w:hAnsi="Arial Narrow"/>
          <w:color w:val="000000" w:themeColor="text1"/>
          <w:lang w:val="es-ES" w:eastAsia="es-ES"/>
        </w:rPr>
        <w:t>Put</w:t>
      </w:r>
      <w:proofErr w:type="spellEnd"/>
    </w:p>
    <w:p w14:paraId="16AA31BA" w14:textId="77777777" w:rsidR="007968EC" w:rsidRPr="002C0D19" w:rsidRDefault="007968EC" w:rsidP="007968EC">
      <w:pPr>
        <w:jc w:val="both"/>
        <w:rPr>
          <w:rFonts w:ascii="Arial Narrow" w:eastAsia="Calibri" w:hAnsi="Arial Narrow"/>
          <w:bCs/>
          <w:color w:val="000000" w:themeColor="text1"/>
          <w:lang w:val="es-ES" w:eastAsia="es-ES"/>
        </w:rPr>
      </w:pPr>
    </w:p>
    <w:p w14:paraId="1A425EDA" w14:textId="77777777" w:rsidR="007968EC" w:rsidRPr="002C0D19" w:rsidRDefault="007968EC" w:rsidP="007968EC">
      <w:pPr>
        <w:jc w:val="both"/>
        <w:rPr>
          <w:rFonts w:ascii="Arial Narrow" w:eastAsia="Calibri" w:hAnsi="Arial Narrow"/>
          <w:color w:val="000000" w:themeColor="text1"/>
          <w:lang w:val="es-ES" w:eastAsia="es-ES"/>
        </w:rPr>
      </w:pPr>
      <w:r w:rsidRPr="002C0D19">
        <w:rPr>
          <w:rFonts w:ascii="Cambria Math" w:eastAsia="Calibri" w:hAnsi="Cambria Math" w:cs="Cambria Math"/>
          <w:color w:val="000000" w:themeColor="text1"/>
          <w:lang w:val="es-ES" w:eastAsia="es-CO"/>
        </w:rPr>
        <w:t>𝑳𝒊𝒒</w:t>
      </w:r>
      <w:proofErr w:type="spellStart"/>
      <w:r w:rsidRPr="002C0D19">
        <w:rPr>
          <w:rFonts w:ascii="Arial Narrow" w:eastAsia="Calibri" w:hAnsi="Arial Narrow" w:cs="Cambria Math"/>
          <w:i/>
          <w:color w:val="000000" w:themeColor="text1"/>
          <w:lang w:val="es-ES" w:eastAsia="es-CO"/>
        </w:rPr>
        <w:t>Vto</w:t>
      </w:r>
      <w:proofErr w:type="spellEnd"/>
      <w:r w:rsidRPr="002C0D19">
        <w:rPr>
          <w:rFonts w:ascii="Arial Narrow" w:eastAsia="Calibri" w:hAnsi="Arial Narrow" w:cs="Cambria Math"/>
          <w:color w:val="000000" w:themeColor="text1"/>
          <w:lang w:val="es-ES" w:eastAsia="es-CO"/>
        </w:rPr>
        <w:t xml:space="preserve"> = (</w:t>
      </w:r>
      <w:r w:rsidRPr="002C0D19">
        <w:rPr>
          <w:rFonts w:ascii="Arial Narrow" w:eastAsia="Calibri" w:hAnsi="Arial Narrow" w:cs="Cambria Math"/>
          <w:i/>
          <w:color w:val="000000" w:themeColor="text1"/>
          <w:lang w:val="es-ES" w:eastAsia="es-CO"/>
        </w:rPr>
        <w:t>ST</w:t>
      </w:r>
      <w:r w:rsidRPr="002C0D19">
        <w:rPr>
          <w:rFonts w:ascii="Arial Narrow" w:eastAsia="Calibri" w:hAnsi="Arial Narrow" w:cs="Cambria Math"/>
          <w:color w:val="000000" w:themeColor="text1"/>
          <w:lang w:val="es-ES" w:eastAsia="es-CO"/>
        </w:rPr>
        <w:t xml:space="preserve"> -</w:t>
      </w:r>
      <w:r w:rsidRPr="002C0D19">
        <w:rPr>
          <w:rFonts w:ascii="Cambria Math" w:eastAsia="Calibri" w:hAnsi="Cambria Math" w:cs="Cambria Math"/>
          <w:color w:val="000000" w:themeColor="text1"/>
          <w:lang w:val="es-ES" w:eastAsia="es-CO"/>
        </w:rPr>
        <w:t>𝑷𝑳</w:t>
      </w:r>
      <w:r w:rsidRPr="002C0D19">
        <w:rPr>
          <w:rFonts w:ascii="Arial Narrow" w:eastAsia="Calibri" w:hAnsi="Arial Narrow" w:cs="Cambria Math"/>
          <w:i/>
          <w:color w:val="000000" w:themeColor="text1"/>
          <w:lang w:val="es-ES" w:eastAsia="es-CO"/>
        </w:rPr>
        <w:t>V</w:t>
      </w:r>
      <w:r w:rsidRPr="002C0D19">
        <w:rPr>
          <w:rFonts w:ascii="Cambria Math" w:eastAsia="Calibri" w:hAnsi="Cambria Math" w:cs="Cambria Math"/>
          <w:color w:val="000000" w:themeColor="text1"/>
          <w:lang w:val="es-ES" w:eastAsia="es-CO"/>
        </w:rPr>
        <w:t>𝒕</w:t>
      </w:r>
      <w:r w:rsidRPr="002C0D19">
        <w:rPr>
          <w:rFonts w:ascii="Arial Narrow" w:eastAsia="Calibri" w:hAnsi="Arial Narrow" w:cs="Cambria Math"/>
          <w:color w:val="000000" w:themeColor="text1"/>
          <w:lang w:val="es-ES" w:eastAsia="es-CO"/>
        </w:rPr>
        <w:t xml:space="preserve">) × </w:t>
      </w:r>
      <w:r w:rsidRPr="002C0D19">
        <w:rPr>
          <w:rFonts w:ascii="Cambria Math" w:eastAsia="Calibri" w:hAnsi="Cambria Math" w:cs="Cambria Math"/>
          <w:color w:val="000000" w:themeColor="text1"/>
          <w:lang w:val="es-ES" w:eastAsia="es-CO"/>
        </w:rPr>
        <w:t>𝒎</w:t>
      </w:r>
      <w:r w:rsidRPr="002C0D19">
        <w:rPr>
          <w:rFonts w:ascii="Arial Narrow" w:eastAsia="Calibri" w:hAnsi="Arial Narrow" w:cs="Cambria Math"/>
          <w:color w:val="000000" w:themeColor="text1"/>
          <w:lang w:val="es-ES" w:eastAsia="es-CO"/>
        </w:rPr>
        <w:t xml:space="preserve"> × </w:t>
      </w:r>
      <w:r w:rsidRPr="002C0D19">
        <w:rPr>
          <w:rFonts w:ascii="Cambria Math" w:eastAsia="Calibri" w:hAnsi="Cambria Math" w:cs="Cambria Math"/>
          <w:color w:val="000000" w:themeColor="text1"/>
          <w:lang w:val="es-ES" w:eastAsia="es-CO"/>
        </w:rPr>
        <w:t>𝑸</w:t>
      </w:r>
    </w:p>
    <w:p w14:paraId="7F3D8019" w14:textId="77777777" w:rsidR="007968EC" w:rsidRPr="00D807A3" w:rsidRDefault="007968EC" w:rsidP="007968EC">
      <w:pPr>
        <w:jc w:val="both"/>
        <w:rPr>
          <w:rFonts w:ascii="Arial Narrow" w:hAnsi="Arial Narrow" w:cs="Arial"/>
          <w:color w:val="000000" w:themeColor="text1"/>
          <w:lang w:eastAsia="es-ES"/>
        </w:rPr>
      </w:pPr>
    </w:p>
    <w:p w14:paraId="7568340B" w14:textId="77777777" w:rsidR="007968EC" w:rsidRPr="00D807A3" w:rsidRDefault="007968EC" w:rsidP="007968EC">
      <w:pPr>
        <w:jc w:val="both"/>
        <w:rPr>
          <w:rFonts w:ascii="Arial Narrow" w:hAnsi="Arial Narrow" w:cs="Arial"/>
          <w:color w:val="000000" w:themeColor="text1"/>
          <w:lang w:eastAsia="es-ES"/>
        </w:rPr>
      </w:pPr>
      <w:r w:rsidRPr="00D807A3">
        <w:rPr>
          <w:rFonts w:ascii="Arial Narrow" w:hAnsi="Arial Narrow" w:cs="Arial"/>
          <w:color w:val="000000" w:themeColor="text1"/>
          <w:lang w:eastAsia="es-ES"/>
        </w:rPr>
        <w:t>Donde:</w:t>
      </w:r>
    </w:p>
    <w:p w14:paraId="39A178AA" w14:textId="77777777" w:rsidR="007968EC" w:rsidRPr="00D807A3" w:rsidRDefault="007968EC" w:rsidP="007968EC">
      <w:pPr>
        <w:jc w:val="both"/>
        <w:rPr>
          <w:rFonts w:ascii="Arial Narrow" w:hAnsi="Arial Narrow" w:cs="Arial"/>
          <w:color w:val="000000" w:themeColor="text1"/>
          <w:lang w:eastAsia="es-ES"/>
        </w:rPr>
      </w:pPr>
    </w:p>
    <w:p w14:paraId="029EF68A" w14:textId="77777777" w:rsidR="007968EC" w:rsidRPr="002C0D19" w:rsidRDefault="007968EC" w:rsidP="007968EC">
      <w:pPr>
        <w:autoSpaceDE w:val="0"/>
        <w:autoSpaceDN w:val="0"/>
        <w:adjustRightInd w:val="0"/>
        <w:rPr>
          <w:rFonts w:ascii="Arial Narrow" w:eastAsia="Calibri" w:hAnsi="Arial Narrow" w:cs="Arial"/>
          <w:color w:val="000000" w:themeColor="text1"/>
          <w:lang w:val="es-ES" w:eastAsia="es-ES"/>
        </w:rPr>
      </w:pPr>
      <w:r w:rsidRPr="002C0D19">
        <w:rPr>
          <w:rFonts w:ascii="Cambria Math" w:eastAsia="Calibri" w:hAnsi="Cambria Math" w:cs="Cambria Math"/>
          <w:color w:val="000000" w:themeColor="text1"/>
          <w:lang w:val="es-ES" w:eastAsia="es-CO"/>
        </w:rPr>
        <w:t>𝑳𝒊𝒒</w:t>
      </w:r>
      <w:proofErr w:type="spellStart"/>
      <w:r w:rsidRPr="002C0D19">
        <w:rPr>
          <w:rFonts w:ascii="Arial Narrow" w:eastAsia="Calibri" w:hAnsi="Arial Narrow" w:cs="Cambria Math"/>
          <w:i/>
          <w:color w:val="000000" w:themeColor="text1"/>
          <w:lang w:val="es-ES" w:eastAsia="es-CO"/>
        </w:rPr>
        <w:t>Vto</w:t>
      </w:r>
      <w:proofErr w:type="spellEnd"/>
      <w:r w:rsidRPr="002C0D19">
        <w:rPr>
          <w:rFonts w:ascii="Arial Narrow" w:eastAsia="Calibri" w:hAnsi="Arial Narrow" w:cs="Cambria Math"/>
          <w:color w:val="000000" w:themeColor="text1"/>
          <w:lang w:val="es-ES" w:eastAsia="es-CO"/>
        </w:rPr>
        <w:t xml:space="preserve"> = Liquidación al Vencimiento</w:t>
      </w:r>
    </w:p>
    <w:p w14:paraId="2764CB60" w14:textId="77777777" w:rsidR="007968EC" w:rsidRPr="002C0D19" w:rsidRDefault="00682D97" w:rsidP="007968EC">
      <w:pPr>
        <w:autoSpaceDE w:val="0"/>
        <w:autoSpaceDN w:val="0"/>
        <w:adjustRightInd w:val="0"/>
        <w:rPr>
          <w:rFonts w:ascii="Arial Narrow" w:eastAsia="Calibri" w:hAnsi="Arial Narrow" w:cs="Cambria Math"/>
          <w:b/>
          <w:color w:val="000000" w:themeColor="text1"/>
          <w:lang w:val="es-ES" w:eastAsia="es-CO"/>
        </w:rPr>
      </w:pPr>
      <m:oMathPara>
        <m:oMathParaPr>
          <m:jc m:val="left"/>
        </m:oMathParaPr>
        <m:oMath>
          <m:sSub>
            <m:sSubPr>
              <m:ctrlPr>
                <w:rPr>
                  <w:rFonts w:ascii="Cambria Math" w:eastAsia="Calibri" w:hAnsi="Cambria Math" w:cs="Cambria Math"/>
                  <w:b/>
                  <w:color w:val="000000" w:themeColor="text1"/>
                  <w:lang w:val="es-ES" w:eastAsia="es-CO"/>
                </w:rPr>
              </m:ctrlPr>
            </m:sSubPr>
            <m:e>
              <m:r>
                <m:rPr>
                  <m:sty m:val="b"/>
                </m:rPr>
                <w:rPr>
                  <w:rFonts w:ascii="Cambria Math" w:eastAsia="Calibri" w:hAnsi="Cambria Math" w:cs="Cambria Math"/>
                  <w:color w:val="000000" w:themeColor="text1"/>
                  <w:lang w:val="es-ES" w:eastAsia="es-CO"/>
                </w:rPr>
                <m:t>PLV</m:t>
              </m:r>
            </m:e>
            <m:sub>
              <m:r>
                <m:rPr>
                  <m:sty m:val="b"/>
                </m:rPr>
                <w:rPr>
                  <w:rFonts w:ascii="Cambria Math" w:eastAsia="Calibri" w:hAnsi="Cambria Math" w:cs="Cambria Math"/>
                  <w:color w:val="000000" w:themeColor="text1"/>
                  <w:lang w:val="es-ES" w:eastAsia="es-CO"/>
                </w:rPr>
                <m:t>t</m:t>
              </m:r>
            </m:sub>
          </m:sSub>
          <m:r>
            <m:rPr>
              <m:sty m:val="b"/>
            </m:rPr>
            <w:rPr>
              <w:rFonts w:ascii="Cambria Math" w:eastAsia="Calibri" w:hAnsi="Cambria Math" w:cs="Cambria Math"/>
              <w:color w:val="000000" w:themeColor="text1"/>
              <w:lang w:val="es-ES" w:eastAsia="es-CO"/>
            </w:rPr>
            <m:t>=Precio de Liquidación  de subyacente</m:t>
          </m:r>
        </m:oMath>
      </m:oMathPara>
    </w:p>
    <w:p w14:paraId="60DAE10A" w14:textId="77777777" w:rsidR="007968EC" w:rsidRPr="002C0D19" w:rsidRDefault="007968EC" w:rsidP="007968EC">
      <w:pPr>
        <w:autoSpaceDE w:val="0"/>
        <w:autoSpaceDN w:val="0"/>
        <w:adjustRightInd w:val="0"/>
        <w:rPr>
          <w:rFonts w:ascii="Arial Narrow" w:eastAsia="Calibri" w:hAnsi="Arial Narrow" w:cs="Cambria Math"/>
          <w:b/>
          <w:color w:val="000000" w:themeColor="text1"/>
          <w:lang w:val="es-ES" w:eastAsia="es-CO"/>
        </w:rPr>
      </w:pPr>
      <m:oMathPara>
        <m:oMathParaPr>
          <m:jc m:val="left"/>
        </m:oMathParaPr>
        <m:oMath>
          <m:r>
            <m:rPr>
              <m:sty m:val="b"/>
            </m:rPr>
            <w:rPr>
              <w:rFonts w:ascii="Cambria Math" w:eastAsia="Calibri" w:hAnsi="Cambria Math" w:cs="Cambria Math"/>
              <w:color w:val="000000" w:themeColor="text1"/>
              <w:lang w:val="es-ES" w:eastAsia="es-CO"/>
            </w:rPr>
            <m:t>ST=Strike</m:t>
          </m:r>
        </m:oMath>
      </m:oMathPara>
    </w:p>
    <w:p w14:paraId="47F83232" w14:textId="77777777" w:rsidR="007968EC" w:rsidRPr="002C0D19" w:rsidRDefault="007968EC" w:rsidP="007968EC">
      <w:pPr>
        <w:autoSpaceDE w:val="0"/>
        <w:autoSpaceDN w:val="0"/>
        <w:adjustRightInd w:val="0"/>
        <w:rPr>
          <w:rFonts w:ascii="Arial Narrow" w:eastAsia="Calibri" w:hAnsi="Arial Narrow" w:cs="Cambria Math"/>
          <w:b/>
          <w:color w:val="000000" w:themeColor="text1"/>
          <w:lang w:val="es-ES" w:eastAsia="es-CO"/>
        </w:rPr>
      </w:pPr>
      <m:oMathPara>
        <m:oMathParaPr>
          <m:jc m:val="left"/>
        </m:oMathParaPr>
        <m:oMath>
          <m:r>
            <m:rPr>
              <m:sty m:val="b"/>
            </m:rPr>
            <w:rPr>
              <w:rFonts w:ascii="Cambria Math" w:eastAsia="Calibri" w:hAnsi="Cambria Math" w:cs="Cambria Math"/>
              <w:color w:val="000000" w:themeColor="text1"/>
              <w:lang w:val="es-ES" w:eastAsia="es-CO"/>
            </w:rPr>
            <m:t xml:space="preserve">m=Multiplicador </m:t>
          </m:r>
          <m:r>
            <m:rPr>
              <m:sty m:val="b"/>
            </m:rPr>
            <w:rPr>
              <w:rFonts w:ascii="Cambria Math" w:eastAsia="Calibri" w:hAnsi="Cambria Math"/>
              <w:color w:val="000000" w:themeColor="text1"/>
              <w:lang w:val="es-ES" w:eastAsia="es-ES"/>
            </w:rPr>
            <m:t>del contrato</m:t>
          </m:r>
        </m:oMath>
      </m:oMathPara>
    </w:p>
    <w:p w14:paraId="17AA81C8" w14:textId="77777777" w:rsidR="007968EC" w:rsidRPr="002C0D19" w:rsidRDefault="007968EC" w:rsidP="007968EC">
      <w:pPr>
        <w:jc w:val="both"/>
        <w:rPr>
          <w:rFonts w:ascii="Arial Narrow" w:eastAsia="Calibri" w:hAnsi="Arial Narrow"/>
          <w:bCs/>
          <w:color w:val="000000" w:themeColor="text1"/>
          <w:lang w:val="es-ES" w:eastAsia="es-ES"/>
        </w:rPr>
      </w:pPr>
      <m:oMath>
        <m:r>
          <m:rPr>
            <m:sty m:val="b"/>
          </m:rPr>
          <w:rPr>
            <w:rFonts w:ascii="Cambria Math" w:eastAsia="Calibri" w:hAnsi="Cambria Math" w:cs="Cambria Math"/>
            <w:color w:val="000000" w:themeColor="text1"/>
            <w:lang w:val="es-ES" w:eastAsia="es-CO"/>
          </w:rPr>
          <m:t>Q=Cantidad de Contratos.</m:t>
        </m:r>
      </m:oMath>
      <w:r w:rsidRPr="002C0D19">
        <w:rPr>
          <w:rFonts w:ascii="Arial Narrow" w:eastAsia="Calibri" w:hAnsi="Arial Narrow" w:cs="Arial Narrow"/>
          <w:color w:val="000000" w:themeColor="text1"/>
          <w:lang w:val="es-ES" w:eastAsia="es-CO"/>
        </w:rPr>
        <w:t>llevará signo positivo en el caso de los Contratos comprados y negativo en el caso de los contratos vendidos</w:t>
      </w:r>
    </w:p>
    <w:p w14:paraId="0341926D" w14:textId="77777777" w:rsidR="007968EC" w:rsidRPr="002C0D19" w:rsidRDefault="007968EC" w:rsidP="007968EC">
      <w:pPr>
        <w:jc w:val="both"/>
        <w:rPr>
          <w:rFonts w:ascii="Arial Narrow" w:eastAsia="Calibri" w:hAnsi="Arial Narrow"/>
          <w:bCs/>
          <w:color w:val="000000" w:themeColor="text1"/>
        </w:rPr>
      </w:pPr>
    </w:p>
    <w:p w14:paraId="059B1EFE" w14:textId="77777777" w:rsidR="007968EC" w:rsidRPr="002C0D19" w:rsidRDefault="007968EC" w:rsidP="007968EC">
      <w:pPr>
        <w:jc w:val="both"/>
        <w:rPr>
          <w:rFonts w:ascii="Arial Narrow" w:eastAsia="Calibri" w:hAnsi="Arial Narrow"/>
          <w:bCs/>
          <w:color w:val="000000" w:themeColor="text1"/>
        </w:rPr>
      </w:pPr>
      <w:r w:rsidRPr="002C0D19">
        <w:rPr>
          <w:rFonts w:ascii="Arial Narrow" w:eastAsia="Calibri" w:hAnsi="Arial Narrow"/>
          <w:bCs/>
          <w:color w:val="000000" w:themeColor="text1"/>
        </w:rPr>
        <w:t>En general, cuando esta Liquidación sea positiva será acreditada a los Miembros Liquidadores y compensará los cargos ocasionados por otros conceptos que la Cámara incluye en la Sesión de Liquidación al Vencimiento cuando las Operaciones Aceptadas deban ser cumplidas con Liquidación por Diferencias; en caso contrario este importe será debitado de las cuentas de depósito en el Banco de la República que los Miembros Liquidadores tienen registradas en el Sistema.</w:t>
      </w:r>
    </w:p>
    <w:p w14:paraId="2B009D04" w14:textId="77777777" w:rsidR="007968EC" w:rsidRPr="002C0D19" w:rsidRDefault="007968EC" w:rsidP="007968EC">
      <w:pPr>
        <w:jc w:val="both"/>
        <w:rPr>
          <w:rFonts w:ascii="Arial Narrow" w:eastAsia="Calibri" w:hAnsi="Arial Narrow"/>
          <w:bCs/>
          <w:color w:val="000000" w:themeColor="text1"/>
        </w:rPr>
      </w:pPr>
    </w:p>
    <w:p w14:paraId="51946966" w14:textId="77777777" w:rsidR="007968EC" w:rsidRDefault="007968EC" w:rsidP="007968EC">
      <w:pPr>
        <w:pStyle w:val="ARTICULO0"/>
      </w:pPr>
      <w:bookmarkStart w:id="4248" w:name="_Toc470779940"/>
      <w:bookmarkStart w:id="4249" w:name="_Toc470780557"/>
      <w:bookmarkStart w:id="4250" w:name="_Toc470781070"/>
      <w:bookmarkStart w:id="4251" w:name="_Toc470784631"/>
      <w:bookmarkStart w:id="4252" w:name="_Toc470785168"/>
      <w:bookmarkStart w:id="4253" w:name="_Toc470791560"/>
      <w:bookmarkStart w:id="4254" w:name="_Toc472592321"/>
      <w:bookmarkStart w:id="4255" w:name="_Toc472593340"/>
      <w:bookmarkStart w:id="4256" w:name="_Toc31716141"/>
      <w:bookmarkStart w:id="4257" w:name="_Toc479057126"/>
      <w:bookmarkStart w:id="4258" w:name="_Toc490066464"/>
      <w:r w:rsidRPr="002C0D19">
        <w:t>Artículo 2.4.4.4. Etapas del Procedimiento de Liquidación al Vencimiento en Liquidación por Diferencias de Contratos de Futuros y Contratos de Opciones, cuyo Tipo de Liquidación incluya Liquidación Únicamente al Vencimiento.</w:t>
      </w:r>
      <w:bookmarkEnd w:id="4248"/>
      <w:bookmarkEnd w:id="4249"/>
      <w:bookmarkEnd w:id="4250"/>
      <w:bookmarkEnd w:id="4251"/>
      <w:bookmarkEnd w:id="4252"/>
      <w:bookmarkEnd w:id="4253"/>
      <w:bookmarkEnd w:id="4254"/>
      <w:bookmarkEnd w:id="4255"/>
      <w:bookmarkEnd w:id="4256"/>
      <w:r w:rsidRPr="002C0D19">
        <w:t xml:space="preserve"> </w:t>
      </w:r>
    </w:p>
    <w:p w14:paraId="459C5F89" w14:textId="77777777" w:rsidR="007968EC" w:rsidRPr="00FC3CFC" w:rsidRDefault="007968EC" w:rsidP="007968EC">
      <w:pPr>
        <w:autoSpaceDE w:val="0"/>
        <w:autoSpaceDN w:val="0"/>
        <w:jc w:val="both"/>
        <w:rPr>
          <w:rFonts w:ascii="Arial Narrow" w:hAnsi="Arial Narrow" w:cs="Arial"/>
          <w:b/>
          <w:bCs/>
          <w:color w:val="000000" w:themeColor="text1"/>
          <w:lang w:eastAsia="es-ES"/>
        </w:rPr>
      </w:pPr>
    </w:p>
    <w:p w14:paraId="1B09D51A" w14:textId="77777777" w:rsidR="007968EC" w:rsidRPr="002C0D19" w:rsidRDefault="007968EC" w:rsidP="007968EC">
      <w:pPr>
        <w:pStyle w:val="ANTECEDENTES"/>
        <w:rPr>
          <w:u w:val="single"/>
        </w:rPr>
      </w:pPr>
      <w:r w:rsidRPr="002C0D19">
        <w:t>(Este artículo fue modificado mediante Circular 6 del 14 de febrero de 2017, publicada en el Boletín Normativo No. 006 del 14 de febrero de 2017. Rige a partir del 15 de febrero de 2017.)</w:t>
      </w:r>
      <w:bookmarkEnd w:id="4257"/>
      <w:bookmarkEnd w:id="4258"/>
    </w:p>
    <w:p w14:paraId="6341011D" w14:textId="77777777" w:rsidR="007968EC" w:rsidRPr="002C0D19" w:rsidRDefault="007968EC" w:rsidP="007968EC">
      <w:pPr>
        <w:jc w:val="both"/>
        <w:rPr>
          <w:rFonts w:ascii="Arial Narrow" w:eastAsia="Calibri" w:hAnsi="Arial Narrow"/>
          <w:b/>
          <w:bCs/>
          <w:color w:val="000000" w:themeColor="text1"/>
        </w:rPr>
      </w:pPr>
    </w:p>
    <w:p w14:paraId="4FD497FE" w14:textId="77777777" w:rsidR="007968EC" w:rsidRPr="002C0D19" w:rsidRDefault="007968EC" w:rsidP="007968EC">
      <w:pPr>
        <w:jc w:val="both"/>
        <w:rPr>
          <w:rFonts w:ascii="Arial Narrow" w:eastAsia="Calibri" w:hAnsi="Arial Narrow"/>
          <w:bCs/>
          <w:color w:val="000000" w:themeColor="text1"/>
        </w:rPr>
      </w:pPr>
      <w:r w:rsidRPr="002C0D19">
        <w:rPr>
          <w:rFonts w:ascii="Arial Narrow" w:eastAsia="Calibri" w:hAnsi="Arial Narrow"/>
          <w:bCs/>
          <w:color w:val="000000" w:themeColor="text1"/>
        </w:rPr>
        <w:t>El procedimiento de Liquidación al Vencimiento se llevará a cabo en las siguientes etapas:</w:t>
      </w:r>
    </w:p>
    <w:p w14:paraId="29D7B8AD" w14:textId="77777777" w:rsidR="007968EC" w:rsidRPr="002C0D19" w:rsidRDefault="007968EC" w:rsidP="007968EC">
      <w:pPr>
        <w:jc w:val="both"/>
        <w:rPr>
          <w:rFonts w:ascii="Arial Narrow" w:eastAsia="Calibri" w:hAnsi="Arial Narrow"/>
          <w:bCs/>
          <w:color w:val="000000" w:themeColor="text1"/>
        </w:rPr>
      </w:pPr>
    </w:p>
    <w:p w14:paraId="53D490AD" w14:textId="77777777" w:rsidR="007968EC" w:rsidRPr="002C0D19" w:rsidRDefault="007968EC" w:rsidP="00DA7472">
      <w:pPr>
        <w:numPr>
          <w:ilvl w:val="0"/>
          <w:numId w:val="182"/>
        </w:numPr>
        <w:ind w:left="459" w:hanging="459"/>
        <w:contextualSpacing/>
        <w:jc w:val="both"/>
        <w:rPr>
          <w:rFonts w:ascii="Arial Narrow" w:eastAsia="Calibri" w:hAnsi="Arial Narrow"/>
          <w:bCs/>
          <w:color w:val="000000" w:themeColor="text1"/>
        </w:rPr>
      </w:pPr>
      <w:r w:rsidRPr="002C0D19">
        <w:rPr>
          <w:rFonts w:ascii="Arial Narrow" w:eastAsia="Calibri" w:hAnsi="Arial Narrow"/>
          <w:bCs/>
          <w:color w:val="000000" w:themeColor="text1"/>
          <w:u w:val="single"/>
        </w:rPr>
        <w:lastRenderedPageBreak/>
        <w:t>Primera etapa</w:t>
      </w:r>
      <w:r w:rsidRPr="002C0D19">
        <w:rPr>
          <w:rFonts w:ascii="Arial Narrow" w:eastAsia="Calibri" w:hAnsi="Arial Narrow"/>
          <w:bCs/>
          <w:color w:val="000000" w:themeColor="text1"/>
        </w:rPr>
        <w:t xml:space="preserve">: La Cámara entregará al Miembro Liquidador la información acerca de la Liquidación al Vencimiento de las operaciones registradas a través del Sistema de Cámara antes del inicio de la Sesión de Aceptación de Operaciones de la fecha de vencimiento de las Operaciones Aceptadas. La información incluirá la situación detallada de sus Cuentas, de sus Terceros Identificados. </w:t>
      </w:r>
    </w:p>
    <w:p w14:paraId="1CBF0FCC" w14:textId="77777777" w:rsidR="007968EC" w:rsidRPr="00D807A3" w:rsidRDefault="007968EC" w:rsidP="007968EC">
      <w:pPr>
        <w:jc w:val="both"/>
        <w:rPr>
          <w:rFonts w:ascii="Arial Narrow" w:hAnsi="Arial Narrow" w:cs="Arial"/>
          <w:color w:val="000000" w:themeColor="text1"/>
          <w:lang w:eastAsia="es-ES"/>
        </w:rPr>
      </w:pPr>
    </w:p>
    <w:p w14:paraId="68CDBB81" w14:textId="77777777" w:rsidR="007968EC" w:rsidRPr="002C0D19" w:rsidRDefault="007968EC" w:rsidP="007968EC">
      <w:pPr>
        <w:ind w:left="454"/>
        <w:contextualSpacing/>
        <w:jc w:val="both"/>
        <w:rPr>
          <w:rFonts w:ascii="Arial Narrow" w:eastAsia="Calibri" w:hAnsi="Arial Narrow"/>
          <w:bCs/>
          <w:color w:val="000000" w:themeColor="text1"/>
        </w:rPr>
      </w:pPr>
      <w:r w:rsidRPr="002C0D19">
        <w:rPr>
          <w:rFonts w:ascii="Arial Narrow" w:eastAsia="Calibri" w:hAnsi="Arial Narrow"/>
          <w:bCs/>
          <w:color w:val="000000" w:themeColor="text1"/>
        </w:rPr>
        <w:t>Con base en la información, la Cámara procederá a la preparación de las órdenes de transferencia por cargo o abono en la cuenta CUD del Miembro Liquidador en el Banco de la República.</w:t>
      </w:r>
    </w:p>
    <w:p w14:paraId="379F3F1F" w14:textId="77777777" w:rsidR="007968EC" w:rsidRPr="00D807A3" w:rsidRDefault="007968EC" w:rsidP="007968EC">
      <w:pPr>
        <w:jc w:val="both"/>
        <w:rPr>
          <w:rFonts w:ascii="Arial Narrow" w:hAnsi="Arial Narrow" w:cs="Arial"/>
          <w:color w:val="000000" w:themeColor="text1"/>
          <w:lang w:eastAsia="es-ES"/>
        </w:rPr>
      </w:pPr>
    </w:p>
    <w:p w14:paraId="73455A61" w14:textId="77777777" w:rsidR="007968EC" w:rsidRPr="002C0D19" w:rsidRDefault="007968EC" w:rsidP="00DA7472">
      <w:pPr>
        <w:numPr>
          <w:ilvl w:val="0"/>
          <w:numId w:val="182"/>
        </w:numPr>
        <w:ind w:left="454" w:hanging="459"/>
        <w:contextualSpacing/>
        <w:jc w:val="both"/>
        <w:rPr>
          <w:rFonts w:ascii="Arial Narrow" w:eastAsia="Calibri" w:hAnsi="Arial Narrow"/>
          <w:bCs/>
          <w:color w:val="000000" w:themeColor="text1"/>
        </w:rPr>
      </w:pPr>
      <w:r w:rsidRPr="002C0D19">
        <w:rPr>
          <w:rFonts w:ascii="Arial Narrow" w:eastAsia="Calibri" w:hAnsi="Arial Narrow"/>
          <w:bCs/>
          <w:color w:val="000000" w:themeColor="text1"/>
          <w:u w:val="single"/>
        </w:rPr>
        <w:t>Segunda etapa</w:t>
      </w:r>
      <w:r w:rsidRPr="002C0D19">
        <w:rPr>
          <w:rFonts w:ascii="Arial Narrow" w:eastAsia="Calibri" w:hAnsi="Arial Narrow"/>
          <w:bCs/>
          <w:color w:val="000000" w:themeColor="text1"/>
        </w:rPr>
        <w:t>: Se realiza en la Sesión denominada Liquidación al Vencimiento cuando las Operaciones Aceptadas deban ser cumplidas con Liquidación por Diferencias. La Cámara transmite las órdenes de transferencia de cargo y abono en la cuenta CUD de los Miembros Liquidadores o de los Agentes de Pago, según corresponda, hacia el Sistema de Pagos del Banco de la República, de conformidad con la autorización de débito automático otorgada por cada uno de los Miembros o de los Agentes de Pago a la Cámara.</w:t>
      </w:r>
    </w:p>
    <w:p w14:paraId="46A93E70" w14:textId="77777777" w:rsidR="007968EC" w:rsidRPr="00D807A3" w:rsidRDefault="007968EC" w:rsidP="007968EC">
      <w:pPr>
        <w:jc w:val="both"/>
        <w:rPr>
          <w:rFonts w:ascii="Arial Narrow" w:hAnsi="Arial Narrow" w:cs="Arial"/>
          <w:color w:val="000000" w:themeColor="text1"/>
          <w:lang w:eastAsia="es-ES"/>
        </w:rPr>
      </w:pPr>
    </w:p>
    <w:p w14:paraId="65CD2A9F" w14:textId="77777777" w:rsidR="007968EC" w:rsidRPr="002C0D19" w:rsidRDefault="007968EC" w:rsidP="00DA7472">
      <w:pPr>
        <w:numPr>
          <w:ilvl w:val="0"/>
          <w:numId w:val="182"/>
        </w:numPr>
        <w:ind w:left="454" w:hanging="459"/>
        <w:contextualSpacing/>
        <w:jc w:val="both"/>
        <w:rPr>
          <w:rFonts w:ascii="Arial Narrow" w:eastAsia="Calibri" w:hAnsi="Arial Narrow"/>
          <w:bCs/>
          <w:color w:val="000000" w:themeColor="text1"/>
        </w:rPr>
      </w:pPr>
      <w:r w:rsidRPr="002C0D19">
        <w:rPr>
          <w:rFonts w:ascii="Arial Narrow" w:eastAsia="Calibri" w:hAnsi="Arial Narrow"/>
          <w:bCs/>
          <w:color w:val="000000" w:themeColor="text1"/>
          <w:u w:val="single"/>
        </w:rPr>
        <w:t>Tercera etapa</w:t>
      </w:r>
      <w:r w:rsidRPr="002C0D19">
        <w:rPr>
          <w:rFonts w:ascii="Arial Narrow" w:eastAsia="Calibri" w:hAnsi="Arial Narrow"/>
          <w:bCs/>
          <w:color w:val="000000" w:themeColor="text1"/>
        </w:rPr>
        <w:t>: Una vez concluida la Sesión de Liquidación al Vencimiento cuando las Operaciones Aceptadas deban ser cumplidas con Liquidación por Diferencias, los Miembros Liquidadores, tienen la obligación de efectuar el proceso de entrega y cobro de efectivo, a los Terceros Identificados y Miembros no Liquidadores, correspondientes a la Liquidación al Vencimiento. Los Miembros No liquidadores deberán procesar la información ofrecida por los Terminales de Cámara con la información procedente de su Miembro Liquidador, con el fin de realizar la gestión de liquidación de la misma manera frente a sus Terceros Identificados.</w:t>
      </w:r>
    </w:p>
    <w:p w14:paraId="0AE91119" w14:textId="77777777" w:rsidR="007968EC" w:rsidRPr="002C0D19" w:rsidRDefault="007968EC" w:rsidP="007968EC">
      <w:pPr>
        <w:ind w:left="720"/>
        <w:contextualSpacing/>
        <w:rPr>
          <w:rFonts w:ascii="Arial Narrow" w:eastAsia="Calibri" w:hAnsi="Arial Narrow"/>
          <w:bCs/>
          <w:color w:val="000000" w:themeColor="text1"/>
        </w:rPr>
      </w:pPr>
    </w:p>
    <w:p w14:paraId="2A419ECF" w14:textId="77777777" w:rsidR="007968EC" w:rsidRDefault="007968EC" w:rsidP="007968EC">
      <w:pPr>
        <w:pStyle w:val="ARTICULO0"/>
      </w:pPr>
      <w:bookmarkStart w:id="4259" w:name="_Toc470779941"/>
      <w:bookmarkStart w:id="4260" w:name="_Toc470780558"/>
      <w:bookmarkStart w:id="4261" w:name="_Toc470781071"/>
      <w:bookmarkStart w:id="4262" w:name="_Toc470784632"/>
      <w:bookmarkStart w:id="4263" w:name="_Toc470785169"/>
      <w:bookmarkStart w:id="4264" w:name="_Toc470791561"/>
      <w:bookmarkStart w:id="4265" w:name="_Toc472592322"/>
      <w:bookmarkStart w:id="4266" w:name="_Toc472593341"/>
      <w:bookmarkStart w:id="4267" w:name="_Toc31716142"/>
      <w:bookmarkStart w:id="4268" w:name="_Toc479057127"/>
      <w:bookmarkStart w:id="4269" w:name="_Toc490066465"/>
      <w:r w:rsidRPr="002C0D19">
        <w:t>Artículo 2.4.4.5. Pagos de la Liquidación por Diferencias de Contratos de Futuros y Contratos de Opciones, cuyo Tipo de Liquidación incluya Liquidación Únicamente al Vencimiento.</w:t>
      </w:r>
      <w:bookmarkEnd w:id="4259"/>
      <w:bookmarkEnd w:id="4260"/>
      <w:bookmarkEnd w:id="4261"/>
      <w:bookmarkEnd w:id="4262"/>
      <w:bookmarkEnd w:id="4263"/>
      <w:bookmarkEnd w:id="4264"/>
      <w:bookmarkEnd w:id="4265"/>
      <w:bookmarkEnd w:id="4266"/>
      <w:bookmarkEnd w:id="4267"/>
      <w:r w:rsidRPr="002C0D19">
        <w:t xml:space="preserve"> </w:t>
      </w:r>
    </w:p>
    <w:p w14:paraId="327643EA" w14:textId="77777777" w:rsidR="007968EC" w:rsidRPr="00FC3CFC" w:rsidRDefault="007968EC" w:rsidP="007968EC">
      <w:pPr>
        <w:autoSpaceDE w:val="0"/>
        <w:autoSpaceDN w:val="0"/>
        <w:jc w:val="both"/>
        <w:rPr>
          <w:rFonts w:ascii="Arial Narrow" w:hAnsi="Arial Narrow" w:cs="Arial"/>
          <w:b/>
          <w:bCs/>
          <w:color w:val="000000" w:themeColor="text1"/>
          <w:lang w:eastAsia="es-ES"/>
        </w:rPr>
      </w:pPr>
    </w:p>
    <w:p w14:paraId="7E18443E" w14:textId="77777777" w:rsidR="007968EC" w:rsidRPr="002C0D19" w:rsidRDefault="007968EC" w:rsidP="007968EC">
      <w:pPr>
        <w:pStyle w:val="ANTECEDENTES"/>
        <w:rPr>
          <w:u w:val="single"/>
        </w:rPr>
      </w:pPr>
      <w:r w:rsidRPr="002C0D19">
        <w:t>(Este artículo fue modificado mediante Circular 6 del 14 de febrero de 2017, publicada en el Boletín Normativo No. 006 del 14 de febrero de 2017. Rige a partir del 15 de febrero de 2017.)</w:t>
      </w:r>
      <w:bookmarkEnd w:id="4268"/>
      <w:bookmarkEnd w:id="4269"/>
    </w:p>
    <w:p w14:paraId="03FEEF5F" w14:textId="77777777" w:rsidR="007968EC" w:rsidRPr="002C0D19" w:rsidRDefault="007968EC" w:rsidP="007968EC">
      <w:pPr>
        <w:jc w:val="both"/>
        <w:rPr>
          <w:rFonts w:ascii="Arial Narrow" w:eastAsia="Calibri" w:hAnsi="Arial Narrow"/>
          <w:b/>
          <w:bCs/>
          <w:color w:val="000000" w:themeColor="text1"/>
        </w:rPr>
      </w:pPr>
    </w:p>
    <w:p w14:paraId="6631B1E7" w14:textId="77777777" w:rsidR="007968EC" w:rsidRPr="002C0D19" w:rsidRDefault="007968EC" w:rsidP="007968EC">
      <w:pPr>
        <w:jc w:val="both"/>
        <w:rPr>
          <w:rFonts w:ascii="Arial Narrow" w:eastAsia="Calibri" w:hAnsi="Arial Narrow"/>
          <w:bCs/>
          <w:color w:val="000000" w:themeColor="text1"/>
        </w:rPr>
      </w:pPr>
      <w:r w:rsidRPr="002C0D19">
        <w:rPr>
          <w:rFonts w:ascii="Arial Narrow" w:eastAsia="Calibri" w:hAnsi="Arial Narrow"/>
          <w:color w:val="000000" w:themeColor="text1"/>
        </w:rPr>
        <w:t>E</w:t>
      </w:r>
      <w:r w:rsidRPr="002C0D19">
        <w:rPr>
          <w:rFonts w:ascii="Arial Narrow" w:eastAsia="Calibri" w:hAnsi="Arial Narrow"/>
          <w:bCs/>
          <w:color w:val="000000" w:themeColor="text1"/>
        </w:rPr>
        <w:t>ste proceso se lleva a cabo durante la sesión denominada Liquidación al Vencimiento cuando las Operaciones Aceptadas deban ser cumplidas con Liquidación por Diferencias y se llevan a cabo las siguientes actividades:</w:t>
      </w:r>
    </w:p>
    <w:p w14:paraId="1B82D312" w14:textId="77777777" w:rsidR="007968EC" w:rsidRPr="002C0D19" w:rsidRDefault="007968EC" w:rsidP="007968EC">
      <w:pPr>
        <w:jc w:val="both"/>
        <w:rPr>
          <w:rFonts w:ascii="Arial Narrow" w:eastAsia="Calibri" w:hAnsi="Arial Narrow"/>
          <w:b/>
          <w:bCs/>
          <w:color w:val="000000" w:themeColor="text1"/>
        </w:rPr>
      </w:pPr>
    </w:p>
    <w:p w14:paraId="04E81F73" w14:textId="77777777" w:rsidR="007968EC" w:rsidRPr="002C0D19" w:rsidRDefault="007968EC" w:rsidP="00DA7472">
      <w:pPr>
        <w:numPr>
          <w:ilvl w:val="0"/>
          <w:numId w:val="183"/>
        </w:numPr>
        <w:ind w:left="459" w:hanging="425"/>
        <w:contextualSpacing/>
        <w:jc w:val="both"/>
        <w:rPr>
          <w:rFonts w:ascii="Arial Narrow" w:eastAsia="Calibri" w:hAnsi="Arial Narrow"/>
          <w:bCs/>
          <w:color w:val="000000" w:themeColor="text1"/>
        </w:rPr>
      </w:pPr>
      <w:r w:rsidRPr="002C0D19">
        <w:rPr>
          <w:rFonts w:ascii="Arial Narrow" w:eastAsia="Calibri" w:hAnsi="Arial Narrow"/>
          <w:bCs/>
          <w:color w:val="000000" w:themeColor="text1"/>
        </w:rPr>
        <w:t>El Sistema genera las órdenes de transferencia al Sistema de pagos del Banco de la República, con la solicitud de débito de dinero efectivo de las cuentas de depósito de los Agentes de Pago o Miembros Liquidadores que quedaron con una Posición neta deudora, para ser acreditados a la cuenta de la Cámara en el Banco de la República.</w:t>
      </w:r>
    </w:p>
    <w:p w14:paraId="580B444F" w14:textId="77777777" w:rsidR="007968EC" w:rsidRPr="00D807A3" w:rsidRDefault="007968EC" w:rsidP="007968EC">
      <w:pPr>
        <w:jc w:val="both"/>
        <w:rPr>
          <w:rFonts w:ascii="Arial Narrow" w:hAnsi="Arial Narrow" w:cs="Arial"/>
          <w:color w:val="000000" w:themeColor="text1"/>
          <w:lang w:eastAsia="es-ES"/>
        </w:rPr>
      </w:pPr>
    </w:p>
    <w:p w14:paraId="43487A1E" w14:textId="77777777" w:rsidR="007968EC" w:rsidRPr="002C0D19" w:rsidRDefault="007968EC" w:rsidP="00DA7472">
      <w:pPr>
        <w:numPr>
          <w:ilvl w:val="0"/>
          <w:numId w:val="183"/>
        </w:numPr>
        <w:ind w:left="435"/>
        <w:contextualSpacing/>
        <w:jc w:val="both"/>
        <w:rPr>
          <w:rFonts w:ascii="Arial Narrow" w:eastAsia="Calibri" w:hAnsi="Arial Narrow"/>
          <w:bCs/>
          <w:color w:val="000000" w:themeColor="text1"/>
        </w:rPr>
      </w:pPr>
      <w:r w:rsidRPr="002C0D19">
        <w:rPr>
          <w:rFonts w:ascii="Arial Narrow" w:eastAsia="Calibri" w:hAnsi="Arial Narrow"/>
          <w:bCs/>
          <w:color w:val="000000" w:themeColor="text1"/>
          <w:lang w:eastAsia="es-CO"/>
        </w:rPr>
        <w:t xml:space="preserve">Las órdenes enviadas por la Cámara ingresarán al sistema de pagos con Prioridad 1 en el orden de Liquidación de las transacciones en la fila de espera de la cuenta a debitar. </w:t>
      </w:r>
    </w:p>
    <w:p w14:paraId="4E81AE8F" w14:textId="77777777" w:rsidR="007968EC" w:rsidRPr="00D807A3" w:rsidRDefault="007968EC" w:rsidP="007968EC">
      <w:pPr>
        <w:jc w:val="both"/>
        <w:rPr>
          <w:rFonts w:ascii="Arial Narrow" w:hAnsi="Arial Narrow" w:cs="Arial"/>
          <w:color w:val="000000" w:themeColor="text1"/>
          <w:lang w:eastAsia="es-ES"/>
        </w:rPr>
      </w:pPr>
    </w:p>
    <w:p w14:paraId="60127FBC" w14:textId="77777777" w:rsidR="007968EC" w:rsidRPr="002C0D19" w:rsidRDefault="007968EC" w:rsidP="00DA7472">
      <w:pPr>
        <w:numPr>
          <w:ilvl w:val="0"/>
          <w:numId w:val="183"/>
        </w:numPr>
        <w:ind w:left="435"/>
        <w:contextualSpacing/>
        <w:jc w:val="both"/>
        <w:rPr>
          <w:rFonts w:ascii="Arial Narrow" w:eastAsia="Calibri" w:hAnsi="Arial Narrow"/>
          <w:bCs/>
          <w:color w:val="000000" w:themeColor="text1"/>
        </w:rPr>
      </w:pPr>
      <w:r w:rsidRPr="002C0D19">
        <w:rPr>
          <w:rFonts w:ascii="Arial Narrow" w:eastAsia="Calibri" w:hAnsi="Arial Narrow"/>
          <w:bCs/>
          <w:color w:val="000000" w:themeColor="text1"/>
        </w:rPr>
        <w:t>El sistema de pagos verifica saldos y realiza la transferencia automática de los fondos a la cuenta de la Cámara.</w:t>
      </w:r>
    </w:p>
    <w:p w14:paraId="40BB3CB1" w14:textId="77777777" w:rsidR="007968EC" w:rsidRPr="00D807A3" w:rsidRDefault="007968EC" w:rsidP="007968EC">
      <w:pPr>
        <w:jc w:val="both"/>
        <w:rPr>
          <w:rFonts w:ascii="Arial Narrow" w:hAnsi="Arial Narrow" w:cs="Arial"/>
          <w:color w:val="000000" w:themeColor="text1"/>
          <w:lang w:eastAsia="es-ES"/>
        </w:rPr>
      </w:pPr>
    </w:p>
    <w:p w14:paraId="6A1433A1" w14:textId="77777777" w:rsidR="007968EC" w:rsidRPr="002C0D19" w:rsidRDefault="007968EC" w:rsidP="00DA7472">
      <w:pPr>
        <w:numPr>
          <w:ilvl w:val="0"/>
          <w:numId w:val="183"/>
        </w:numPr>
        <w:ind w:left="435"/>
        <w:contextualSpacing/>
        <w:jc w:val="both"/>
        <w:rPr>
          <w:rFonts w:ascii="Arial Narrow" w:eastAsia="Calibri" w:hAnsi="Arial Narrow"/>
          <w:bCs/>
          <w:color w:val="000000" w:themeColor="text1"/>
        </w:rPr>
      </w:pPr>
      <w:r w:rsidRPr="002C0D19">
        <w:rPr>
          <w:rFonts w:ascii="Arial Narrow" w:eastAsia="Calibri" w:hAnsi="Arial Narrow"/>
          <w:bCs/>
          <w:color w:val="000000" w:themeColor="text1"/>
        </w:rPr>
        <w:t>Una vez realizada la transferencia, el sistema de Pagos informa a la Cámara que el registro de cada orden de transferencia fue aprobada o rechazada.</w:t>
      </w:r>
    </w:p>
    <w:p w14:paraId="240DA5D2" w14:textId="77777777" w:rsidR="007968EC" w:rsidRPr="00D807A3" w:rsidRDefault="007968EC" w:rsidP="007968EC">
      <w:pPr>
        <w:jc w:val="both"/>
        <w:rPr>
          <w:rFonts w:ascii="Arial Narrow" w:hAnsi="Arial Narrow" w:cs="Arial"/>
          <w:color w:val="000000" w:themeColor="text1"/>
          <w:lang w:eastAsia="es-ES"/>
        </w:rPr>
      </w:pPr>
    </w:p>
    <w:p w14:paraId="3A9F2635" w14:textId="77777777" w:rsidR="007968EC" w:rsidRPr="002C0D19" w:rsidRDefault="007968EC" w:rsidP="00DA7472">
      <w:pPr>
        <w:numPr>
          <w:ilvl w:val="0"/>
          <w:numId w:val="183"/>
        </w:numPr>
        <w:ind w:left="435"/>
        <w:contextualSpacing/>
        <w:jc w:val="both"/>
        <w:rPr>
          <w:rFonts w:ascii="Arial Narrow" w:eastAsia="Calibri" w:hAnsi="Arial Narrow"/>
          <w:bCs/>
          <w:color w:val="000000" w:themeColor="text1"/>
        </w:rPr>
      </w:pPr>
      <w:r w:rsidRPr="002C0D19">
        <w:rPr>
          <w:rFonts w:ascii="Arial Narrow" w:eastAsia="Calibri" w:hAnsi="Arial Narrow"/>
          <w:bCs/>
          <w:color w:val="000000" w:themeColor="text1"/>
        </w:rPr>
        <w:t>En caso de que una o varias órdenes de transferencia hayan sido rechazadas, la Cámara solicitará al Agente de Pago o al Miembro Liquidador gestionar el traslado de fondos pendientes dentro del horario previsto para la Liquidación al Vencimiento cuando las Operaciones Aceptadas deban ser cumplidas con Liquidación por Diferencias, y en caso contrario aplicará el proceso de retardo y/o incumplimiento previsto en el Reglamento y en la presente Circular.</w:t>
      </w:r>
    </w:p>
    <w:p w14:paraId="06898C95" w14:textId="77777777" w:rsidR="007968EC" w:rsidRPr="00D807A3" w:rsidRDefault="007968EC" w:rsidP="007968EC">
      <w:pPr>
        <w:jc w:val="both"/>
        <w:rPr>
          <w:rFonts w:ascii="Arial Narrow" w:hAnsi="Arial Narrow" w:cs="Arial"/>
          <w:color w:val="000000" w:themeColor="text1"/>
          <w:lang w:eastAsia="es-ES"/>
        </w:rPr>
      </w:pPr>
    </w:p>
    <w:p w14:paraId="65E2F4FC" w14:textId="77777777" w:rsidR="007968EC" w:rsidRPr="002C0D19" w:rsidRDefault="007968EC" w:rsidP="00DA7472">
      <w:pPr>
        <w:numPr>
          <w:ilvl w:val="0"/>
          <w:numId w:val="183"/>
        </w:numPr>
        <w:ind w:left="435"/>
        <w:contextualSpacing/>
        <w:jc w:val="both"/>
        <w:rPr>
          <w:rFonts w:ascii="Arial Narrow" w:eastAsia="Calibri" w:hAnsi="Arial Narrow"/>
          <w:bCs/>
          <w:color w:val="000000" w:themeColor="text1"/>
        </w:rPr>
      </w:pPr>
      <w:r w:rsidRPr="002C0D19">
        <w:rPr>
          <w:rFonts w:ascii="Arial Narrow" w:eastAsia="Calibri" w:hAnsi="Arial Narrow"/>
          <w:bCs/>
          <w:color w:val="000000" w:themeColor="text1"/>
        </w:rPr>
        <w:t>Una vez la Cámara cuente con todos los recursos, genera una orden para el sistema de pagos del Banco de la República con la transferencia de débito/abono de dineros de la cuenta de la Cámara a las cuentas de los Agentes de Pagos o Miembros Liquidadores que quedaron con una Posición neta acreedora.</w:t>
      </w:r>
    </w:p>
    <w:p w14:paraId="4EDD64FA" w14:textId="77777777" w:rsidR="007968EC" w:rsidRPr="00D807A3" w:rsidRDefault="007968EC" w:rsidP="007968EC">
      <w:pPr>
        <w:jc w:val="both"/>
        <w:rPr>
          <w:rFonts w:ascii="Arial Narrow" w:hAnsi="Arial Narrow" w:cs="Arial"/>
          <w:color w:val="000000" w:themeColor="text1"/>
          <w:lang w:eastAsia="es-ES"/>
        </w:rPr>
      </w:pPr>
    </w:p>
    <w:p w14:paraId="1E77A736" w14:textId="77777777" w:rsidR="007968EC" w:rsidRPr="002C0D19" w:rsidRDefault="007968EC" w:rsidP="00DA7472">
      <w:pPr>
        <w:numPr>
          <w:ilvl w:val="0"/>
          <w:numId w:val="183"/>
        </w:numPr>
        <w:ind w:left="435"/>
        <w:contextualSpacing/>
        <w:jc w:val="both"/>
        <w:rPr>
          <w:rFonts w:ascii="Arial Narrow" w:eastAsia="Calibri" w:hAnsi="Arial Narrow"/>
          <w:b/>
          <w:bCs/>
          <w:color w:val="000000" w:themeColor="text1"/>
        </w:rPr>
      </w:pPr>
      <w:r w:rsidRPr="002C0D19">
        <w:rPr>
          <w:rFonts w:ascii="Arial Narrow" w:eastAsia="Calibri" w:hAnsi="Arial Narrow"/>
          <w:bCs/>
          <w:color w:val="000000" w:themeColor="text1"/>
        </w:rPr>
        <w:t>La Cámara reportará a los Miembros la información necesaria para que realicen la entrega y recibo del dinero efectivo entre éstos y los titulares de cada una de sus Cuentas. Los derechos de los titulares de las Cuentas relativos al recibo de dinero efectivo lo son únicamente con respecto a su Miembro correspondiente y en ningún caso respecto de la Cámara, por lo tanto cuando la Cámara pague dinero efectivo a los titulares de Cuentas lo hará colocando los fondos a disposición del Miembro y a favor de los titulares. El pago hecho por la Cámara al Miembro, de los dineros que le corresponde recibir a los titulares de las Cuentas, es válido y extingue la obligación a cargo de la Cámara. En ningún caso, los titulares podrán exigir a la Cámara los dineros que le corresponda recibir en virtud de las operaciones realizadas por su cuenta.</w:t>
      </w:r>
    </w:p>
    <w:p w14:paraId="6F5674AB" w14:textId="77777777" w:rsidR="007968EC" w:rsidRPr="002C0D19" w:rsidRDefault="007968EC" w:rsidP="007968EC">
      <w:pPr>
        <w:ind w:left="720"/>
        <w:contextualSpacing/>
        <w:rPr>
          <w:rFonts w:ascii="Arial Narrow" w:eastAsia="Calibri" w:hAnsi="Arial Narrow"/>
          <w:b/>
          <w:bCs/>
          <w:color w:val="000000" w:themeColor="text1"/>
        </w:rPr>
      </w:pPr>
    </w:p>
    <w:p w14:paraId="62C6AAD9" w14:textId="77777777" w:rsidR="007968EC" w:rsidRPr="002C0D19" w:rsidRDefault="007968EC" w:rsidP="007968EC">
      <w:pPr>
        <w:pStyle w:val="ARTICULO0"/>
      </w:pPr>
      <w:bookmarkStart w:id="4270" w:name="_Toc472592323"/>
      <w:bookmarkStart w:id="4271" w:name="_Toc472593342"/>
      <w:bookmarkStart w:id="4272" w:name="_Toc479057128"/>
      <w:bookmarkStart w:id="4273" w:name="_Toc470779942"/>
      <w:bookmarkStart w:id="4274" w:name="_Toc470780559"/>
      <w:bookmarkStart w:id="4275" w:name="_Toc470781072"/>
      <w:bookmarkStart w:id="4276" w:name="_Toc470784633"/>
      <w:bookmarkStart w:id="4277" w:name="_Toc470785170"/>
      <w:bookmarkStart w:id="4278" w:name="_Toc470791562"/>
      <w:bookmarkStart w:id="4279" w:name="_Toc490066466"/>
      <w:bookmarkStart w:id="4280" w:name="_Toc31716143"/>
      <w:r w:rsidRPr="002C0D19">
        <w:t>Artículo 2.4.4.6. Liquidación por entrega de Contratos de Futuros</w:t>
      </w:r>
      <w:bookmarkEnd w:id="4270"/>
      <w:bookmarkEnd w:id="4271"/>
      <w:bookmarkEnd w:id="4272"/>
      <w:r w:rsidRPr="002C0D19">
        <w:t>.</w:t>
      </w:r>
      <w:bookmarkEnd w:id="4273"/>
      <w:bookmarkEnd w:id="4274"/>
      <w:bookmarkEnd w:id="4275"/>
      <w:bookmarkEnd w:id="4276"/>
      <w:bookmarkEnd w:id="4277"/>
      <w:bookmarkEnd w:id="4278"/>
      <w:bookmarkEnd w:id="4279"/>
      <w:bookmarkEnd w:id="4280"/>
    </w:p>
    <w:p w14:paraId="7A9521DE" w14:textId="77777777" w:rsidR="007968EC" w:rsidRPr="002C0D19" w:rsidRDefault="007968EC" w:rsidP="007968EC">
      <w:pPr>
        <w:jc w:val="both"/>
        <w:rPr>
          <w:rFonts w:ascii="Arial Narrow" w:eastAsia="Calibri" w:hAnsi="Arial Narrow"/>
          <w:b/>
          <w:color w:val="000000" w:themeColor="text1"/>
        </w:rPr>
      </w:pPr>
    </w:p>
    <w:p w14:paraId="46413616"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Entre el último día de negociación y el día del vencimiento de los Contratos de Futuro cuya Liquidación sea por entrega, la Cámara atenderá el siguiente procedimiento:</w:t>
      </w:r>
    </w:p>
    <w:p w14:paraId="4EC4CE52" w14:textId="77777777" w:rsidR="007968EC" w:rsidRPr="002C0D19" w:rsidRDefault="007968EC" w:rsidP="007968EC">
      <w:pPr>
        <w:jc w:val="both"/>
        <w:rPr>
          <w:rFonts w:ascii="Arial Narrow" w:eastAsia="Calibri" w:hAnsi="Arial Narrow"/>
          <w:color w:val="000000" w:themeColor="text1"/>
        </w:rPr>
      </w:pPr>
    </w:p>
    <w:p w14:paraId="6F2C01F1" w14:textId="77777777" w:rsidR="007968EC" w:rsidRPr="002C0D19" w:rsidRDefault="007968EC" w:rsidP="00DA7472">
      <w:pPr>
        <w:numPr>
          <w:ilvl w:val="0"/>
          <w:numId w:val="184"/>
        </w:numPr>
        <w:ind w:left="426" w:hanging="426"/>
        <w:contextualSpacing/>
        <w:jc w:val="both"/>
        <w:rPr>
          <w:rFonts w:ascii="Arial Narrow" w:eastAsia="Calibri" w:hAnsi="Arial Narrow"/>
          <w:color w:val="000000" w:themeColor="text1"/>
        </w:rPr>
      </w:pPr>
      <w:proofErr w:type="gramStart"/>
      <w:r w:rsidRPr="002C0D19">
        <w:rPr>
          <w:rFonts w:ascii="Arial Narrow" w:eastAsia="Calibri" w:hAnsi="Arial Narrow"/>
          <w:color w:val="000000" w:themeColor="text1"/>
        </w:rPr>
        <w:t>Determinación del Activo a entregar</w:t>
      </w:r>
      <w:proofErr w:type="gramEnd"/>
      <w:r w:rsidRPr="002C0D19">
        <w:rPr>
          <w:rFonts w:ascii="Arial Narrow" w:eastAsia="Calibri" w:hAnsi="Arial Narrow"/>
          <w:color w:val="000000" w:themeColor="text1"/>
        </w:rPr>
        <w:t>.</w:t>
      </w:r>
    </w:p>
    <w:p w14:paraId="065378CF" w14:textId="77777777" w:rsidR="007968EC" w:rsidRPr="002C0D19" w:rsidRDefault="007968EC" w:rsidP="00DA7472">
      <w:pPr>
        <w:numPr>
          <w:ilvl w:val="0"/>
          <w:numId w:val="184"/>
        </w:numPr>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Notificación de entrega.</w:t>
      </w:r>
    </w:p>
    <w:p w14:paraId="4B4E5339" w14:textId="77777777" w:rsidR="007968EC" w:rsidRPr="002C0D19" w:rsidRDefault="007968EC" w:rsidP="00DA7472">
      <w:pPr>
        <w:numPr>
          <w:ilvl w:val="0"/>
          <w:numId w:val="184"/>
        </w:numPr>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Cálculo del valor de giro del efectivo que debe realizar el titular de la Cuenta con posición neta compradora.</w:t>
      </w:r>
    </w:p>
    <w:p w14:paraId="16DB8A20" w14:textId="77777777" w:rsidR="007968EC" w:rsidRPr="002C0D19" w:rsidRDefault="007968EC" w:rsidP="00DA7472">
      <w:pPr>
        <w:numPr>
          <w:ilvl w:val="0"/>
          <w:numId w:val="184"/>
        </w:numPr>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Cálculo del algoritmo para solucionar el proceso de entrega de Activos.</w:t>
      </w:r>
    </w:p>
    <w:p w14:paraId="7F4EADFC" w14:textId="77777777" w:rsidR="007968EC" w:rsidRPr="002C0D19" w:rsidRDefault="007968EC" w:rsidP="00DA7472">
      <w:pPr>
        <w:numPr>
          <w:ilvl w:val="0"/>
          <w:numId w:val="184"/>
        </w:numPr>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Liquidación.</w:t>
      </w:r>
    </w:p>
    <w:p w14:paraId="08759DE0" w14:textId="77777777" w:rsidR="007968EC" w:rsidRPr="002C0D19" w:rsidRDefault="007968EC" w:rsidP="007968EC">
      <w:pPr>
        <w:jc w:val="both"/>
        <w:rPr>
          <w:rFonts w:ascii="Arial Narrow" w:eastAsia="Calibri" w:hAnsi="Arial Narrow"/>
          <w:color w:val="000000" w:themeColor="text1"/>
        </w:rPr>
      </w:pPr>
    </w:p>
    <w:p w14:paraId="233661A2" w14:textId="77777777" w:rsidR="007968EC" w:rsidRPr="002C0D19" w:rsidRDefault="007968EC" w:rsidP="007968EC">
      <w:pPr>
        <w:pStyle w:val="ARTICULO0"/>
      </w:pPr>
      <w:bookmarkStart w:id="4281" w:name="_Toc470779943"/>
      <w:bookmarkStart w:id="4282" w:name="_Toc470780560"/>
      <w:bookmarkStart w:id="4283" w:name="_Toc470781073"/>
      <w:bookmarkStart w:id="4284" w:name="_Toc470784634"/>
      <w:bookmarkStart w:id="4285" w:name="_Toc470785171"/>
      <w:bookmarkStart w:id="4286" w:name="_Toc470791563"/>
      <w:bookmarkStart w:id="4287" w:name="_Toc472592324"/>
      <w:bookmarkStart w:id="4288" w:name="_Toc472593343"/>
      <w:bookmarkStart w:id="4289" w:name="_Toc479057129"/>
      <w:bookmarkStart w:id="4290" w:name="_Toc490066467"/>
      <w:bookmarkStart w:id="4291" w:name="_Toc31716144"/>
      <w:r w:rsidRPr="002C0D19">
        <w:t xml:space="preserve">Artículo 2.4.4.7. </w:t>
      </w:r>
      <w:proofErr w:type="gramStart"/>
      <w:r w:rsidRPr="002C0D19">
        <w:t>Determinación del Activo a entregar</w:t>
      </w:r>
      <w:proofErr w:type="gramEnd"/>
      <w:r w:rsidRPr="002C0D19">
        <w:t xml:space="preserve"> en la Liquidación por Entrega de Contratos de Futuros.</w:t>
      </w:r>
      <w:bookmarkEnd w:id="4281"/>
      <w:bookmarkEnd w:id="4282"/>
      <w:bookmarkEnd w:id="4283"/>
      <w:bookmarkEnd w:id="4284"/>
      <w:bookmarkEnd w:id="4285"/>
      <w:bookmarkEnd w:id="4286"/>
      <w:bookmarkEnd w:id="4287"/>
      <w:bookmarkEnd w:id="4288"/>
      <w:bookmarkEnd w:id="4289"/>
      <w:bookmarkEnd w:id="4290"/>
      <w:bookmarkEnd w:id="4291"/>
    </w:p>
    <w:p w14:paraId="784C53B9" w14:textId="77777777" w:rsidR="007968EC" w:rsidRPr="002C0D19" w:rsidRDefault="007968EC" w:rsidP="007968EC">
      <w:pPr>
        <w:jc w:val="both"/>
        <w:rPr>
          <w:rFonts w:ascii="Arial Narrow" w:eastAsia="Calibri" w:hAnsi="Arial Narrow"/>
          <w:b/>
          <w:color w:val="000000" w:themeColor="text1"/>
          <w:u w:val="single"/>
        </w:rPr>
      </w:pPr>
    </w:p>
    <w:p w14:paraId="2334D22D" w14:textId="77777777" w:rsidR="007968EC" w:rsidRPr="002C0D19" w:rsidRDefault="007968EC" w:rsidP="007968EC">
      <w:pPr>
        <w:tabs>
          <w:tab w:val="left" w:pos="5988"/>
        </w:tabs>
        <w:jc w:val="both"/>
        <w:rPr>
          <w:rFonts w:ascii="Arial Narrow" w:hAnsi="Arial Narrow" w:cs="Arial"/>
          <w:color w:val="000000" w:themeColor="text1"/>
          <w:lang w:val="es-MX" w:eastAsia="es-ES"/>
        </w:rPr>
      </w:pPr>
      <w:proofErr w:type="gramStart"/>
      <w:r w:rsidRPr="002C0D19">
        <w:rPr>
          <w:rFonts w:ascii="Arial Narrow" w:eastAsia="Calibri" w:hAnsi="Arial Narrow"/>
          <w:color w:val="000000" w:themeColor="text1"/>
          <w:lang w:val="es-MX" w:eastAsia="es-ES"/>
        </w:rPr>
        <w:t xml:space="preserve">El </w:t>
      </w:r>
      <w:r w:rsidRPr="002C0D19">
        <w:rPr>
          <w:rFonts w:ascii="Arial Narrow" w:hAnsi="Arial Narrow" w:cs="Arial"/>
          <w:color w:val="000000" w:themeColor="text1"/>
          <w:lang w:val="es-MX" w:eastAsia="es-ES"/>
        </w:rPr>
        <w:t>Activo a entregar</w:t>
      </w:r>
      <w:proofErr w:type="gramEnd"/>
      <w:r w:rsidRPr="002C0D19">
        <w:rPr>
          <w:rFonts w:ascii="Arial Narrow" w:hAnsi="Arial Narrow" w:cs="Arial"/>
          <w:color w:val="000000" w:themeColor="text1"/>
          <w:lang w:val="es-MX" w:eastAsia="es-ES"/>
        </w:rPr>
        <w:t xml:space="preserve"> será el definido para cada Contrato de Futuro, el cual es de conocimiento del mercado desde el momento de su inscripción en la Bolsa o en otro sistema de negociación o registro que tenga convenio con la Cámara. Para el caso de Contratos de Futuro, que admitan más de un Activo para entrega, </w:t>
      </w:r>
      <w:r w:rsidRPr="002C0D19">
        <w:rPr>
          <w:rFonts w:ascii="Arial Narrow" w:hAnsi="Arial Narrow" w:cs="Arial"/>
          <w:color w:val="000000" w:themeColor="text1"/>
          <w:lang w:val="es-MX" w:eastAsia="es-ES"/>
        </w:rPr>
        <w:lastRenderedPageBreak/>
        <w:t>también se conoce desde el momento de inscripción la canasta de Activos entregables, el factor de conversión y demás información pertinente para el cálculo del importe de efectivo.</w:t>
      </w:r>
    </w:p>
    <w:p w14:paraId="3C6FC677"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roofErr w:type="gramStart"/>
      <w:r w:rsidRPr="002C0D19">
        <w:rPr>
          <w:rFonts w:ascii="Arial Narrow" w:hAnsi="Arial Narrow" w:cs="Arial"/>
          <w:color w:val="000000" w:themeColor="text1"/>
          <w:lang w:val="es-ES" w:eastAsia="es-ES"/>
        </w:rPr>
        <w:t>En caso que</w:t>
      </w:r>
      <w:proofErr w:type="gramEnd"/>
      <w:r w:rsidRPr="002C0D19">
        <w:rPr>
          <w:rFonts w:ascii="Arial Narrow" w:hAnsi="Arial Narrow" w:cs="Arial"/>
          <w:color w:val="000000" w:themeColor="text1"/>
          <w:lang w:val="es-ES" w:eastAsia="es-ES"/>
        </w:rPr>
        <w:t xml:space="preserve"> el Activo subyacente de un Contrato de Futuro sobre Acciones que tenga Liquidación por Entrega, se encuentre suspendido en el sistema de negociación el último día de negociación del Contrato de Futuro, la Cámara podrá, de acuerdo con el artículo 1.3.4. del Reglamento de Funcionamiento de la Cámara, relacionado con la Suspensión o cancelación de Activos:</w:t>
      </w:r>
    </w:p>
    <w:p w14:paraId="271D8CF6"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33B58904" w14:textId="77777777" w:rsidR="007968EC" w:rsidRPr="002C0D19" w:rsidRDefault="007968EC" w:rsidP="00DA7472">
      <w:pPr>
        <w:numPr>
          <w:ilvl w:val="0"/>
          <w:numId w:val="185"/>
        </w:numPr>
        <w:autoSpaceDE w:val="0"/>
        <w:autoSpaceDN w:val="0"/>
        <w:adjustRightInd w:val="0"/>
        <w:ind w:left="426" w:hanging="426"/>
        <w:jc w:val="both"/>
        <w:rPr>
          <w:rFonts w:ascii="Arial Narrow" w:hAnsi="Arial Narrow" w:cs="Arial"/>
          <w:b/>
          <w:color w:val="000000" w:themeColor="text1"/>
          <w:lang w:val="es-ES" w:eastAsia="es-ES"/>
        </w:rPr>
      </w:pPr>
      <w:r w:rsidRPr="002C0D19">
        <w:rPr>
          <w:rFonts w:ascii="Arial Narrow" w:hAnsi="Arial Narrow" w:cs="Arial"/>
          <w:color w:val="000000" w:themeColor="text1"/>
          <w:lang w:val="es-ES" w:eastAsia="es-ES"/>
        </w:rPr>
        <w:t xml:space="preserve">Suspender la liquidación al vencimiento del respectivo Contrato de Futuro hasta por un plazo máximo de diez (10) días hábiles desde el último día de negociación, y/o; </w:t>
      </w:r>
    </w:p>
    <w:p w14:paraId="56563B83" w14:textId="77777777" w:rsidR="007968EC" w:rsidRPr="002C0D19" w:rsidRDefault="007968EC" w:rsidP="00DA7472">
      <w:pPr>
        <w:numPr>
          <w:ilvl w:val="0"/>
          <w:numId w:val="185"/>
        </w:numPr>
        <w:autoSpaceDE w:val="0"/>
        <w:autoSpaceDN w:val="0"/>
        <w:adjustRightInd w:val="0"/>
        <w:ind w:left="426" w:hanging="426"/>
        <w:jc w:val="both"/>
        <w:rPr>
          <w:rFonts w:ascii="Arial Narrow" w:hAnsi="Arial Narrow" w:cs="Arial"/>
          <w:b/>
          <w:color w:val="000000" w:themeColor="text1"/>
          <w:lang w:val="es-ES" w:eastAsia="es-ES"/>
        </w:rPr>
      </w:pPr>
      <w:r w:rsidRPr="002C0D19">
        <w:rPr>
          <w:rFonts w:ascii="Arial Narrow" w:hAnsi="Arial Narrow"/>
          <w:color w:val="000000" w:themeColor="text1"/>
          <w:lang w:val="es-ES" w:eastAsia="es-ES"/>
        </w:rPr>
        <w:t>Establecer que la liquidación del respectivo Contrato de Futuro se realice por Diferencias de acuerdo con lo descrito en el Artículo 2.4.4.1. de la presente Circular, relacionado con la Liquidación por Diferencias de Contratos de Futuros, con base en el precio de liquidación del último día de negociación, provisto por el Proveedor Oficial de Precios para Valoración para el respectivo Contrato y suministrado a la CRCC S.A.</w:t>
      </w:r>
    </w:p>
    <w:p w14:paraId="4536015B" w14:textId="77777777" w:rsidR="007968EC" w:rsidRPr="00D807A3" w:rsidRDefault="007968EC" w:rsidP="007968EC">
      <w:pPr>
        <w:jc w:val="both"/>
        <w:rPr>
          <w:rFonts w:ascii="Arial Narrow" w:hAnsi="Arial Narrow" w:cs="Arial"/>
          <w:color w:val="000000" w:themeColor="text1"/>
          <w:lang w:eastAsia="es-ES"/>
        </w:rPr>
      </w:pPr>
      <w:bookmarkStart w:id="4292" w:name="_Toc470779944"/>
      <w:bookmarkStart w:id="4293" w:name="_Toc470780561"/>
      <w:bookmarkStart w:id="4294" w:name="_Toc470781074"/>
      <w:bookmarkStart w:id="4295" w:name="_Toc470784635"/>
      <w:bookmarkStart w:id="4296" w:name="_Toc470785172"/>
      <w:bookmarkStart w:id="4297" w:name="_Toc470791564"/>
    </w:p>
    <w:p w14:paraId="43DEE80F" w14:textId="77777777" w:rsidR="007968EC" w:rsidRPr="002C0D19" w:rsidRDefault="007968EC" w:rsidP="007968EC">
      <w:pPr>
        <w:pStyle w:val="ARTICULO0"/>
        <w:rPr>
          <w:rFonts w:eastAsia="Calibri" w:cs="Times New Roman"/>
        </w:rPr>
      </w:pPr>
      <w:bookmarkStart w:id="4298" w:name="_Toc472592325"/>
      <w:bookmarkStart w:id="4299" w:name="_Toc472593344"/>
      <w:bookmarkStart w:id="4300" w:name="_Toc479057130"/>
      <w:bookmarkStart w:id="4301" w:name="_Toc490066468"/>
      <w:bookmarkStart w:id="4302" w:name="_Toc31716145"/>
      <w:r w:rsidRPr="002C0D19">
        <w:t>Artículo 2.4.4.8. Notificación de Entrega en la Liquidación por Entrega de Contratos de Futuros.</w:t>
      </w:r>
      <w:bookmarkEnd w:id="4292"/>
      <w:bookmarkEnd w:id="4293"/>
      <w:bookmarkEnd w:id="4294"/>
      <w:bookmarkEnd w:id="4295"/>
      <w:bookmarkEnd w:id="4296"/>
      <w:bookmarkEnd w:id="4297"/>
      <w:bookmarkEnd w:id="4298"/>
      <w:bookmarkEnd w:id="4299"/>
      <w:bookmarkEnd w:id="4300"/>
      <w:bookmarkEnd w:id="4301"/>
      <w:bookmarkEnd w:id="4302"/>
    </w:p>
    <w:p w14:paraId="597965C8" w14:textId="77777777" w:rsidR="007968EC" w:rsidRPr="002C0D19" w:rsidRDefault="007968EC" w:rsidP="007968EC">
      <w:pPr>
        <w:widowControl w:val="0"/>
        <w:jc w:val="both"/>
        <w:rPr>
          <w:rFonts w:ascii="Arial Narrow" w:eastAsia="Calibri" w:hAnsi="Arial Narrow"/>
          <w:color w:val="000000" w:themeColor="text1"/>
          <w:lang w:val="es-ES_tradnl"/>
        </w:rPr>
      </w:pPr>
    </w:p>
    <w:p w14:paraId="21429DCC" w14:textId="77777777" w:rsidR="007968EC" w:rsidRPr="002C0D19" w:rsidRDefault="007968EC" w:rsidP="007968EC">
      <w:pPr>
        <w:widowControl w:val="0"/>
        <w:jc w:val="both"/>
        <w:rPr>
          <w:rFonts w:ascii="Arial Narrow" w:eastAsia="Calibri" w:hAnsi="Arial Narrow"/>
          <w:color w:val="000000" w:themeColor="text1"/>
          <w:lang w:val="es-ES_tradnl"/>
        </w:rPr>
      </w:pPr>
      <w:r w:rsidRPr="002C0D19">
        <w:rPr>
          <w:rFonts w:ascii="Arial Narrow" w:eastAsia="Calibri" w:hAnsi="Arial Narrow"/>
          <w:color w:val="000000" w:themeColor="text1"/>
          <w:lang w:val="es-ES_tradnl"/>
        </w:rPr>
        <w:t xml:space="preserve">La notificación de entrega será necesaria para aquellos Contratos que admiten más de un entregable. Ésta permite que los titulares con Posición neta vendedora, a través de los Miembros, elijan de la canasta de entregables el o los Activo (s) con el (los) cual (es) cumplirán la Liquidación por entrega. El proceso de notificación se llevará a cabo el último día de negociación del contrato. </w:t>
      </w:r>
    </w:p>
    <w:p w14:paraId="13AC636B" w14:textId="77777777" w:rsidR="007968EC" w:rsidRPr="00D807A3" w:rsidRDefault="007968EC" w:rsidP="007968EC">
      <w:pPr>
        <w:jc w:val="both"/>
        <w:rPr>
          <w:rFonts w:ascii="Arial Narrow" w:hAnsi="Arial Narrow" w:cs="Arial"/>
          <w:color w:val="000000" w:themeColor="text1"/>
          <w:lang w:eastAsia="es-ES"/>
        </w:rPr>
      </w:pPr>
    </w:p>
    <w:p w14:paraId="576EBE36" w14:textId="77777777" w:rsidR="007968EC" w:rsidRPr="002C0D19" w:rsidRDefault="007968EC" w:rsidP="007968EC">
      <w:pPr>
        <w:widowControl w:val="0"/>
        <w:jc w:val="both"/>
        <w:rPr>
          <w:rFonts w:ascii="Arial Narrow" w:eastAsia="Calibri" w:hAnsi="Arial Narrow"/>
          <w:color w:val="000000" w:themeColor="text1"/>
          <w:lang w:val="es-ES_tradnl"/>
        </w:rPr>
      </w:pPr>
      <w:r w:rsidRPr="002C0D19">
        <w:rPr>
          <w:rFonts w:ascii="Arial Narrow" w:eastAsia="Calibri" w:hAnsi="Arial Narrow"/>
          <w:color w:val="000000" w:themeColor="text1"/>
          <w:lang w:val="es-ES_tradnl"/>
        </w:rPr>
        <w:t>El proceso de notificación es el siguiente:</w:t>
      </w:r>
    </w:p>
    <w:p w14:paraId="4E83FC40" w14:textId="77777777" w:rsidR="007968EC" w:rsidRPr="002C0D19" w:rsidRDefault="007968EC" w:rsidP="007968EC">
      <w:pPr>
        <w:ind w:left="720"/>
        <w:contextualSpacing/>
        <w:jc w:val="both"/>
        <w:rPr>
          <w:rFonts w:ascii="Arial Narrow" w:eastAsia="Calibri" w:hAnsi="Arial Narrow"/>
          <w:b/>
          <w:color w:val="000000" w:themeColor="text1"/>
        </w:rPr>
      </w:pPr>
    </w:p>
    <w:p w14:paraId="38710CE6" w14:textId="77777777" w:rsidR="007968EC" w:rsidRPr="002C0D19" w:rsidRDefault="007968EC" w:rsidP="00DA7472">
      <w:pPr>
        <w:numPr>
          <w:ilvl w:val="0"/>
          <w:numId w:val="188"/>
        </w:numPr>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lang w:eastAsia="es-CO"/>
        </w:rPr>
        <w:t>Los Miembros informarán a la Cámara el (los) Activo(s) a entregar por parte de los titulares con Posición neta vendedora, así como el (los) depósito (s) de valores a través del (los) cual (es) realizarán la entrega, dentro de los horarios establecidos por la Cámara para el efecto.</w:t>
      </w:r>
    </w:p>
    <w:p w14:paraId="6408B1BD" w14:textId="77777777" w:rsidR="007968EC" w:rsidRPr="002C0D19" w:rsidRDefault="007968EC" w:rsidP="007968EC">
      <w:pPr>
        <w:ind w:left="426" w:hanging="426"/>
        <w:contextualSpacing/>
        <w:jc w:val="both"/>
        <w:rPr>
          <w:rFonts w:ascii="Arial Narrow" w:eastAsia="Calibri" w:hAnsi="Arial Narrow"/>
          <w:color w:val="000000" w:themeColor="text1"/>
        </w:rPr>
      </w:pPr>
    </w:p>
    <w:p w14:paraId="3C9785DD" w14:textId="77777777" w:rsidR="007968EC" w:rsidRPr="002C0D19" w:rsidRDefault="007968EC" w:rsidP="00DA7472">
      <w:pPr>
        <w:numPr>
          <w:ilvl w:val="0"/>
          <w:numId w:val="188"/>
        </w:numPr>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lang w:eastAsia="es-CO"/>
        </w:rPr>
        <w:t>Los Miembros Liquidadores pueden completar las notificaciones de los Miembros no Liquidadores que liquidan, siempre y cuando los mismos no hayan informado los entregables correspondientes a la totalidad de sus titulares vendedores, dentro de los horarios establecidos por la Cámara para el efecto.</w:t>
      </w:r>
    </w:p>
    <w:p w14:paraId="1BF73FD6" w14:textId="77777777" w:rsidR="007968EC" w:rsidRPr="002C0D19" w:rsidRDefault="007968EC" w:rsidP="007968EC">
      <w:pPr>
        <w:ind w:left="426" w:hanging="426"/>
        <w:contextualSpacing/>
        <w:rPr>
          <w:rFonts w:ascii="Arial Narrow" w:eastAsia="Calibri" w:hAnsi="Arial Narrow"/>
          <w:color w:val="000000" w:themeColor="text1"/>
        </w:rPr>
      </w:pPr>
    </w:p>
    <w:p w14:paraId="7758B255" w14:textId="77777777" w:rsidR="007968EC" w:rsidRPr="002C0D19" w:rsidRDefault="007968EC" w:rsidP="00DA7472">
      <w:pPr>
        <w:numPr>
          <w:ilvl w:val="0"/>
          <w:numId w:val="188"/>
        </w:numPr>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La Cámara podrá definir y notificar el Activo a entregar cuando el Miembro no lo haya notificado</w:t>
      </w:r>
    </w:p>
    <w:p w14:paraId="20BE4C8F" w14:textId="77777777" w:rsidR="007968EC" w:rsidRPr="002C0D19" w:rsidRDefault="007968EC" w:rsidP="007968EC">
      <w:pPr>
        <w:contextualSpacing/>
        <w:jc w:val="both"/>
        <w:rPr>
          <w:rFonts w:ascii="Arial Narrow" w:eastAsia="Calibri" w:hAnsi="Arial Narrow"/>
          <w:b/>
          <w:color w:val="000000" w:themeColor="text1"/>
        </w:rPr>
      </w:pPr>
    </w:p>
    <w:p w14:paraId="3F8BD028" w14:textId="77777777" w:rsidR="007968EC" w:rsidRPr="002C0D19" w:rsidRDefault="007968EC" w:rsidP="007968EC">
      <w:pPr>
        <w:pStyle w:val="ARTICULO0"/>
      </w:pPr>
      <w:bookmarkStart w:id="4303" w:name="_Toc470779945"/>
      <w:bookmarkStart w:id="4304" w:name="_Toc470780562"/>
      <w:bookmarkStart w:id="4305" w:name="_Toc470781075"/>
      <w:bookmarkStart w:id="4306" w:name="_Toc470784636"/>
      <w:bookmarkStart w:id="4307" w:name="_Toc470785173"/>
      <w:bookmarkStart w:id="4308" w:name="_Toc470791565"/>
      <w:bookmarkStart w:id="4309" w:name="_Toc472592326"/>
      <w:bookmarkStart w:id="4310" w:name="_Toc472593345"/>
      <w:bookmarkStart w:id="4311" w:name="_Toc479057131"/>
      <w:bookmarkStart w:id="4312" w:name="_Toc490066469"/>
      <w:bookmarkStart w:id="4313" w:name="_Toc31716146"/>
      <w:r w:rsidRPr="002C0D19">
        <w:t>Artículo 2.4.4.9. Sesión de notificación para los Miembros no Liquidadores y los Miembros Liquidadores en la Liquidación por Entrega de Contratos de Futuros.</w:t>
      </w:r>
      <w:bookmarkEnd w:id="4303"/>
      <w:bookmarkEnd w:id="4304"/>
      <w:bookmarkEnd w:id="4305"/>
      <w:bookmarkEnd w:id="4306"/>
      <w:bookmarkEnd w:id="4307"/>
      <w:bookmarkEnd w:id="4308"/>
      <w:bookmarkEnd w:id="4309"/>
      <w:bookmarkEnd w:id="4310"/>
      <w:bookmarkEnd w:id="4311"/>
      <w:bookmarkEnd w:id="4312"/>
      <w:bookmarkEnd w:id="4313"/>
    </w:p>
    <w:p w14:paraId="71BD6FEF" w14:textId="77777777" w:rsidR="007968EC" w:rsidRPr="002C0D19" w:rsidRDefault="007968EC" w:rsidP="007968EC">
      <w:pPr>
        <w:rPr>
          <w:rFonts w:ascii="Arial Narrow" w:eastAsia="Calibri" w:hAnsi="Arial Narrow"/>
          <w:b/>
          <w:color w:val="000000" w:themeColor="text1"/>
        </w:rPr>
      </w:pPr>
    </w:p>
    <w:p w14:paraId="0B7C2920"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 xml:space="preserve">Dentro de la </w:t>
      </w:r>
      <w:r w:rsidRPr="002C0D19">
        <w:rPr>
          <w:rFonts w:ascii="Arial Narrow" w:eastAsia="Calibri" w:hAnsi="Arial Narrow"/>
          <w:bCs/>
          <w:iCs/>
          <w:color w:val="000000" w:themeColor="text1"/>
        </w:rPr>
        <w:t>sesión de Cierre</w:t>
      </w:r>
      <w:r w:rsidRPr="002C0D19">
        <w:rPr>
          <w:rFonts w:ascii="Arial Narrow" w:eastAsia="Calibri" w:hAnsi="Arial Narrow"/>
          <w:color w:val="000000" w:themeColor="text1"/>
        </w:rPr>
        <w:t xml:space="preserve"> del último día de negociación del Contrato, habrá una sesión de notificación para los Miembros no Liquidadores y Miembros Liquidadores en la que deberán informar a la Cámara las decisiones de entrega de Activos de todos sus titulares vendedores.</w:t>
      </w:r>
    </w:p>
    <w:p w14:paraId="3542697F" w14:textId="77777777" w:rsidR="007968EC" w:rsidRPr="002C0D19" w:rsidRDefault="007968EC" w:rsidP="007968EC">
      <w:pPr>
        <w:jc w:val="both"/>
        <w:rPr>
          <w:rFonts w:ascii="Arial Narrow" w:eastAsia="Calibri" w:hAnsi="Arial Narrow"/>
          <w:color w:val="000000" w:themeColor="text1"/>
        </w:rPr>
      </w:pPr>
    </w:p>
    <w:p w14:paraId="4FD601CE"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lastRenderedPageBreak/>
        <w:t>En caso de contingencia, si el Miembro no puede hacer las notificaciones, esta gestión podrá realizarse a su solicitud por la Cámara. Dicha solicitud deberá hacerse mediante correo electrónico o Fax por parte del Administrador del Miembro dentro del horario establecido para el efecto.</w:t>
      </w:r>
    </w:p>
    <w:p w14:paraId="60101F6A" w14:textId="77777777" w:rsidR="007968EC" w:rsidRPr="002C0D19" w:rsidRDefault="007968EC" w:rsidP="007968EC">
      <w:pPr>
        <w:jc w:val="both"/>
        <w:rPr>
          <w:rFonts w:ascii="Arial Narrow" w:eastAsia="Calibri" w:hAnsi="Arial Narrow"/>
          <w:color w:val="000000" w:themeColor="text1"/>
        </w:rPr>
      </w:pPr>
    </w:p>
    <w:p w14:paraId="65920EB5" w14:textId="77777777" w:rsidR="007968EC" w:rsidRPr="002C0D19" w:rsidRDefault="007968EC" w:rsidP="007968EC">
      <w:pPr>
        <w:pStyle w:val="ARTICULO0"/>
      </w:pPr>
      <w:bookmarkStart w:id="4314" w:name="_Toc470779946"/>
      <w:bookmarkStart w:id="4315" w:name="_Toc470780563"/>
      <w:bookmarkStart w:id="4316" w:name="_Toc470781076"/>
      <w:bookmarkStart w:id="4317" w:name="_Toc470784637"/>
      <w:bookmarkStart w:id="4318" w:name="_Toc470785174"/>
      <w:bookmarkStart w:id="4319" w:name="_Toc470791566"/>
      <w:bookmarkStart w:id="4320" w:name="_Toc472592327"/>
      <w:bookmarkStart w:id="4321" w:name="_Toc472593346"/>
      <w:bookmarkStart w:id="4322" w:name="_Toc479057132"/>
      <w:bookmarkStart w:id="4323" w:name="_Toc490066470"/>
      <w:bookmarkStart w:id="4324" w:name="_Toc31716147"/>
      <w:r w:rsidRPr="002C0D19">
        <w:t>Artículo 2.4.4.10. Sesión de notificación para los Miembros Liquidadores en la Liquidación por Entrega de Contratos de Futuros.</w:t>
      </w:r>
      <w:bookmarkEnd w:id="4314"/>
      <w:bookmarkEnd w:id="4315"/>
      <w:bookmarkEnd w:id="4316"/>
      <w:bookmarkEnd w:id="4317"/>
      <w:bookmarkEnd w:id="4318"/>
      <w:bookmarkEnd w:id="4319"/>
      <w:bookmarkEnd w:id="4320"/>
      <w:bookmarkEnd w:id="4321"/>
      <w:bookmarkEnd w:id="4322"/>
      <w:bookmarkEnd w:id="4323"/>
      <w:bookmarkEnd w:id="4324"/>
    </w:p>
    <w:p w14:paraId="2F4B107E" w14:textId="77777777" w:rsidR="007968EC" w:rsidRPr="002C0D19" w:rsidRDefault="007968EC" w:rsidP="007968EC">
      <w:pPr>
        <w:rPr>
          <w:rFonts w:ascii="Arial Narrow" w:eastAsia="Calibri" w:hAnsi="Arial Narrow"/>
          <w:b/>
          <w:color w:val="000000" w:themeColor="text1"/>
        </w:rPr>
      </w:pPr>
    </w:p>
    <w:p w14:paraId="6DC48A56"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 xml:space="preserve">Una vez cerrada la sesión de notificación establecida en el artículo anterior, se inicia automáticamente una nueva sesión exclusiva para que los Miembros Liquidadores informen a la Cámara las decisiones de entrega no notificadas en el período anterior. </w:t>
      </w:r>
    </w:p>
    <w:p w14:paraId="27FBF9E8" w14:textId="77777777" w:rsidR="007968EC" w:rsidRPr="00D807A3" w:rsidRDefault="007968EC" w:rsidP="007968EC">
      <w:pPr>
        <w:jc w:val="both"/>
        <w:rPr>
          <w:rFonts w:ascii="Arial Narrow" w:hAnsi="Arial Narrow" w:cs="Arial"/>
          <w:color w:val="000000" w:themeColor="text1"/>
          <w:lang w:eastAsia="es-ES"/>
        </w:rPr>
      </w:pPr>
    </w:p>
    <w:p w14:paraId="08AF0C15"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 xml:space="preserve">Durante esta sesión, los Miembros Liquidadores informan a la Cámara de las decisiones de entrega de todos los titulares vendedores de su estructura de Cuentas. </w:t>
      </w:r>
    </w:p>
    <w:p w14:paraId="3E6F2A17" w14:textId="77777777" w:rsidR="007968EC" w:rsidRPr="00D807A3" w:rsidRDefault="007968EC" w:rsidP="007968EC">
      <w:pPr>
        <w:jc w:val="both"/>
        <w:rPr>
          <w:rFonts w:ascii="Arial Narrow" w:hAnsi="Arial Narrow" w:cs="Arial"/>
          <w:color w:val="000000" w:themeColor="text1"/>
          <w:lang w:eastAsia="es-ES"/>
        </w:rPr>
      </w:pPr>
    </w:p>
    <w:p w14:paraId="49AE917E"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En caso de contingencia, si el Miembro no puede hacer las notificaciones, esta gestión podrá realizarse a su solicitud por la Cámara. Dicha solicitud deberá hacerse mediante correo electrónico o Fax por parte del Administrador del Miembro dentro del horario establecido para el efecto.</w:t>
      </w:r>
    </w:p>
    <w:p w14:paraId="49106025" w14:textId="77777777" w:rsidR="007968EC" w:rsidRPr="002C0D19" w:rsidRDefault="007968EC" w:rsidP="007968EC">
      <w:pPr>
        <w:jc w:val="both"/>
        <w:rPr>
          <w:rFonts w:ascii="Arial Narrow" w:eastAsia="Calibri" w:hAnsi="Arial Narrow"/>
          <w:color w:val="000000" w:themeColor="text1"/>
        </w:rPr>
      </w:pPr>
    </w:p>
    <w:p w14:paraId="14454F53" w14:textId="77777777" w:rsidR="007968EC" w:rsidRPr="002C0D19" w:rsidRDefault="007968EC" w:rsidP="007968EC">
      <w:pPr>
        <w:pStyle w:val="ARTICULO0"/>
      </w:pPr>
      <w:bookmarkStart w:id="4325" w:name="_Toc470779947"/>
      <w:bookmarkStart w:id="4326" w:name="_Toc470780564"/>
      <w:bookmarkStart w:id="4327" w:name="_Toc470781077"/>
      <w:bookmarkStart w:id="4328" w:name="_Toc470784638"/>
      <w:bookmarkStart w:id="4329" w:name="_Toc470785175"/>
      <w:bookmarkStart w:id="4330" w:name="_Toc470791567"/>
      <w:bookmarkStart w:id="4331" w:name="_Toc472592328"/>
      <w:bookmarkStart w:id="4332" w:name="_Toc472593347"/>
      <w:bookmarkStart w:id="4333" w:name="_Toc479057133"/>
      <w:bookmarkStart w:id="4334" w:name="_Toc490066471"/>
      <w:bookmarkStart w:id="4335" w:name="_Toc31716148"/>
      <w:r w:rsidRPr="002C0D19">
        <w:t>Artículo 2.4.4.11. Sesión de notificación para la Cámara en la Liquidación por Entrega de Contratos de Futuros.</w:t>
      </w:r>
      <w:bookmarkEnd w:id="4325"/>
      <w:bookmarkEnd w:id="4326"/>
      <w:bookmarkEnd w:id="4327"/>
      <w:bookmarkEnd w:id="4328"/>
      <w:bookmarkEnd w:id="4329"/>
      <w:bookmarkEnd w:id="4330"/>
      <w:bookmarkEnd w:id="4331"/>
      <w:bookmarkEnd w:id="4332"/>
      <w:bookmarkEnd w:id="4333"/>
      <w:bookmarkEnd w:id="4334"/>
      <w:bookmarkEnd w:id="4335"/>
    </w:p>
    <w:p w14:paraId="4200DB80" w14:textId="77777777" w:rsidR="007968EC" w:rsidRPr="002C0D19" w:rsidRDefault="007968EC" w:rsidP="007968EC">
      <w:pPr>
        <w:rPr>
          <w:rFonts w:ascii="Arial Narrow" w:eastAsia="Calibri" w:hAnsi="Arial Narrow"/>
          <w:b/>
          <w:color w:val="000000" w:themeColor="text1"/>
        </w:rPr>
      </w:pPr>
    </w:p>
    <w:p w14:paraId="35F187C1" w14:textId="77777777" w:rsidR="007968EC" w:rsidRPr="002C0D19" w:rsidRDefault="007968EC" w:rsidP="007968EC">
      <w:pPr>
        <w:tabs>
          <w:tab w:val="num" w:pos="1080"/>
        </w:tabs>
        <w:jc w:val="both"/>
        <w:rPr>
          <w:rFonts w:ascii="Arial Narrow" w:eastAsia="Calibri" w:hAnsi="Arial Narrow"/>
          <w:color w:val="000000" w:themeColor="text1"/>
        </w:rPr>
      </w:pPr>
      <w:r w:rsidRPr="002C0D19">
        <w:rPr>
          <w:rFonts w:ascii="Arial Narrow" w:eastAsia="Calibri" w:hAnsi="Arial Narrow"/>
          <w:color w:val="000000" w:themeColor="text1"/>
        </w:rPr>
        <w:t xml:space="preserve">Vencidas las sesiones anteriores, corresponderá a la Cámara definir y notificar el Activo entregable de aquellas Posiciones vendedoras para las que los Miembros no hayan comunicado sus decisiones de entrega. </w:t>
      </w:r>
    </w:p>
    <w:p w14:paraId="0DF1D12E" w14:textId="77777777" w:rsidR="007968EC" w:rsidRPr="002C0D19" w:rsidRDefault="007968EC" w:rsidP="007968EC">
      <w:pPr>
        <w:jc w:val="both"/>
        <w:rPr>
          <w:rFonts w:ascii="Arial Narrow" w:eastAsia="Calibri" w:hAnsi="Arial Narrow"/>
          <w:color w:val="000000" w:themeColor="text1"/>
        </w:rPr>
      </w:pPr>
    </w:p>
    <w:p w14:paraId="10F291ED" w14:textId="77777777" w:rsidR="007968EC" w:rsidRPr="002C0D19" w:rsidRDefault="007968EC" w:rsidP="007968EC">
      <w:pPr>
        <w:pStyle w:val="ARTICULO0"/>
      </w:pPr>
      <w:bookmarkStart w:id="4336" w:name="_Toc470779948"/>
      <w:bookmarkStart w:id="4337" w:name="_Toc470780565"/>
      <w:bookmarkStart w:id="4338" w:name="_Toc470781078"/>
      <w:bookmarkStart w:id="4339" w:name="_Toc470784639"/>
      <w:bookmarkStart w:id="4340" w:name="_Toc470785176"/>
      <w:bookmarkStart w:id="4341" w:name="_Toc470791568"/>
      <w:bookmarkStart w:id="4342" w:name="_Toc472592329"/>
      <w:bookmarkStart w:id="4343" w:name="_Toc472593348"/>
      <w:bookmarkStart w:id="4344" w:name="_Toc479057134"/>
      <w:bookmarkStart w:id="4345" w:name="_Toc490066472"/>
      <w:bookmarkStart w:id="4346" w:name="_Toc31716149"/>
      <w:r w:rsidRPr="002C0D19">
        <w:t>Artículo 2.4.4.12. Cálculo del algoritmo para solucionar el proceso de entrega de Activos en la Liquidación por Entrega de Contratos de Futuros.</w:t>
      </w:r>
      <w:bookmarkEnd w:id="4336"/>
      <w:bookmarkEnd w:id="4337"/>
      <w:bookmarkEnd w:id="4338"/>
      <w:bookmarkEnd w:id="4339"/>
      <w:bookmarkEnd w:id="4340"/>
      <w:bookmarkEnd w:id="4341"/>
      <w:bookmarkEnd w:id="4342"/>
      <w:bookmarkEnd w:id="4343"/>
      <w:bookmarkEnd w:id="4344"/>
      <w:bookmarkEnd w:id="4345"/>
      <w:bookmarkEnd w:id="4346"/>
    </w:p>
    <w:p w14:paraId="44D4FE20" w14:textId="77777777" w:rsidR="007968EC" w:rsidRPr="002C0D19" w:rsidRDefault="007968EC" w:rsidP="007968EC">
      <w:pPr>
        <w:jc w:val="both"/>
        <w:rPr>
          <w:rFonts w:ascii="Arial Narrow" w:eastAsia="Calibri" w:hAnsi="Arial Narrow"/>
          <w:color w:val="000000" w:themeColor="text1"/>
        </w:rPr>
      </w:pPr>
    </w:p>
    <w:p w14:paraId="3A25E0FA" w14:textId="77777777" w:rsidR="007968EC" w:rsidRPr="002C0D19" w:rsidRDefault="007968EC" w:rsidP="007968EC">
      <w:pPr>
        <w:tabs>
          <w:tab w:val="num" w:pos="1080"/>
        </w:tabs>
        <w:jc w:val="both"/>
        <w:rPr>
          <w:rFonts w:ascii="Arial Narrow" w:eastAsia="Calibri" w:hAnsi="Arial Narrow"/>
          <w:color w:val="000000" w:themeColor="text1"/>
        </w:rPr>
      </w:pPr>
      <w:r w:rsidRPr="002C0D19">
        <w:rPr>
          <w:rFonts w:ascii="Arial Narrow" w:eastAsia="Calibri" w:hAnsi="Arial Narrow"/>
          <w:color w:val="000000" w:themeColor="text1"/>
        </w:rPr>
        <w:t>La Cámara cuenta con un algoritmo para solucionar el proceso de entregas de Activos a través del establecimiento de parejas de titulares con Posición neta vendedora y titulares con Posición neta compradora, dando prioridad a la formación de parejas entre titulares del mismo Miembro. El proceso es el siguiente:</w:t>
      </w:r>
    </w:p>
    <w:p w14:paraId="5A349802" w14:textId="77777777" w:rsidR="007968EC" w:rsidRPr="002C0D19" w:rsidRDefault="007968EC" w:rsidP="007968EC">
      <w:pPr>
        <w:widowControl w:val="0"/>
        <w:jc w:val="both"/>
        <w:rPr>
          <w:rFonts w:ascii="Arial Narrow" w:eastAsia="Calibri" w:hAnsi="Arial Narrow"/>
          <w:color w:val="000000" w:themeColor="text1"/>
          <w:lang w:val="es-ES_tradnl"/>
        </w:rPr>
      </w:pPr>
    </w:p>
    <w:p w14:paraId="2EB85F9E" w14:textId="77777777" w:rsidR="007968EC" w:rsidRPr="002C0D19" w:rsidRDefault="007968EC" w:rsidP="00DA7472">
      <w:pPr>
        <w:numPr>
          <w:ilvl w:val="0"/>
          <w:numId w:val="186"/>
        </w:numPr>
        <w:ind w:left="426" w:hanging="426"/>
        <w:jc w:val="both"/>
        <w:rPr>
          <w:rFonts w:ascii="Arial Narrow" w:eastAsia="Calibri" w:hAnsi="Arial Narrow"/>
          <w:color w:val="000000" w:themeColor="text1"/>
        </w:rPr>
      </w:pPr>
      <w:r w:rsidRPr="002C0D19">
        <w:rPr>
          <w:rFonts w:ascii="Arial Narrow" w:eastAsia="Calibri" w:hAnsi="Arial Narrow"/>
          <w:color w:val="000000" w:themeColor="text1"/>
        </w:rPr>
        <w:t xml:space="preserve">El Sistema toma la Posición neta de cada uno de los titulares de un Miembro, tanto compradores como vendedores. </w:t>
      </w:r>
    </w:p>
    <w:p w14:paraId="7238F089" w14:textId="77777777" w:rsidR="007968EC" w:rsidRPr="002C0D19" w:rsidRDefault="007968EC" w:rsidP="007968EC">
      <w:pPr>
        <w:ind w:left="426" w:hanging="426"/>
        <w:jc w:val="both"/>
        <w:rPr>
          <w:rFonts w:ascii="Arial Narrow" w:eastAsia="Calibri" w:hAnsi="Arial Narrow"/>
          <w:color w:val="000000" w:themeColor="text1"/>
        </w:rPr>
      </w:pPr>
    </w:p>
    <w:p w14:paraId="0D70A432" w14:textId="77777777" w:rsidR="007968EC" w:rsidRPr="002C0D19" w:rsidRDefault="007968EC" w:rsidP="00DA7472">
      <w:pPr>
        <w:numPr>
          <w:ilvl w:val="0"/>
          <w:numId w:val="186"/>
        </w:numPr>
        <w:ind w:left="426" w:hanging="426"/>
        <w:jc w:val="both"/>
        <w:rPr>
          <w:rFonts w:ascii="Arial Narrow" w:eastAsia="Calibri" w:hAnsi="Arial Narrow"/>
          <w:color w:val="000000" w:themeColor="text1"/>
        </w:rPr>
      </w:pPr>
      <w:r w:rsidRPr="002C0D19">
        <w:rPr>
          <w:rFonts w:ascii="Arial Narrow" w:eastAsia="Calibri" w:hAnsi="Arial Narrow"/>
          <w:color w:val="000000" w:themeColor="text1"/>
        </w:rPr>
        <w:t>Las primeras parejas se configuran como “Titular Miembro contra Titular mismo Miembro” por el mínimo de la suma de las posiciones compradoras y de la suma de las posiciones vendedoras de los titulares de ese Miembro.</w:t>
      </w:r>
    </w:p>
    <w:p w14:paraId="3557BF59" w14:textId="77777777" w:rsidR="007968EC" w:rsidRPr="002C0D19" w:rsidRDefault="007968EC" w:rsidP="007968EC">
      <w:pPr>
        <w:ind w:left="708"/>
        <w:rPr>
          <w:rFonts w:ascii="Arial Narrow" w:eastAsia="Calibri" w:hAnsi="Arial Narrow"/>
          <w:color w:val="000000" w:themeColor="text1"/>
        </w:rPr>
      </w:pPr>
    </w:p>
    <w:p w14:paraId="0254811E" w14:textId="77777777" w:rsidR="007968EC" w:rsidRPr="002C0D19" w:rsidRDefault="007968EC" w:rsidP="00DA7472">
      <w:pPr>
        <w:numPr>
          <w:ilvl w:val="1"/>
          <w:numId w:val="186"/>
        </w:numPr>
        <w:tabs>
          <w:tab w:val="left" w:pos="851"/>
          <w:tab w:val="num" w:pos="900"/>
        </w:tabs>
        <w:autoSpaceDE w:val="0"/>
        <w:autoSpaceDN w:val="0"/>
        <w:adjustRightInd w:val="0"/>
        <w:ind w:left="851" w:hanging="425"/>
        <w:contextualSpacing/>
        <w:jc w:val="both"/>
        <w:rPr>
          <w:rFonts w:ascii="Arial Narrow" w:eastAsia="Calibri" w:hAnsi="Arial Narrow"/>
          <w:color w:val="000000" w:themeColor="text1"/>
        </w:rPr>
      </w:pPr>
      <w:r w:rsidRPr="002C0D19">
        <w:rPr>
          <w:rFonts w:ascii="Arial Narrow" w:eastAsia="Calibri" w:hAnsi="Arial Narrow"/>
          <w:color w:val="000000" w:themeColor="text1"/>
        </w:rPr>
        <w:t xml:space="preserve">Para repartir estas parejas a nivel Titular, se aplica el algoritmo Reparto Miembro (titulares compradores y vendedores del mismo Miembro no Liquidador) entre los titulares compradores y vendedores a nivel de Miembro no Liquidador.  </w:t>
      </w:r>
    </w:p>
    <w:p w14:paraId="7EEA0FD2" w14:textId="77777777" w:rsidR="007968EC" w:rsidRPr="002C0D19" w:rsidRDefault="007968EC" w:rsidP="007968EC">
      <w:pPr>
        <w:tabs>
          <w:tab w:val="left" w:pos="851"/>
        </w:tabs>
        <w:autoSpaceDE w:val="0"/>
        <w:autoSpaceDN w:val="0"/>
        <w:adjustRightInd w:val="0"/>
        <w:ind w:left="851" w:hanging="425"/>
        <w:contextualSpacing/>
        <w:jc w:val="both"/>
        <w:rPr>
          <w:rFonts w:ascii="Arial Narrow" w:eastAsia="Calibri" w:hAnsi="Arial Narrow"/>
          <w:color w:val="000000" w:themeColor="text1"/>
        </w:rPr>
      </w:pPr>
    </w:p>
    <w:p w14:paraId="746DE6C5" w14:textId="77777777" w:rsidR="007968EC" w:rsidRPr="002C0D19" w:rsidRDefault="007968EC" w:rsidP="00DA7472">
      <w:pPr>
        <w:numPr>
          <w:ilvl w:val="1"/>
          <w:numId w:val="186"/>
        </w:numPr>
        <w:tabs>
          <w:tab w:val="left" w:pos="851"/>
          <w:tab w:val="num" w:pos="900"/>
        </w:tabs>
        <w:autoSpaceDE w:val="0"/>
        <w:autoSpaceDN w:val="0"/>
        <w:adjustRightInd w:val="0"/>
        <w:ind w:left="851" w:hanging="425"/>
        <w:contextualSpacing/>
        <w:jc w:val="both"/>
        <w:rPr>
          <w:rFonts w:ascii="Arial Narrow" w:eastAsia="Calibri" w:hAnsi="Arial Narrow"/>
          <w:color w:val="000000" w:themeColor="text1"/>
        </w:rPr>
      </w:pPr>
      <w:r w:rsidRPr="002C0D19">
        <w:rPr>
          <w:rFonts w:ascii="Arial Narrow" w:eastAsia="Calibri" w:hAnsi="Arial Narrow"/>
          <w:color w:val="000000" w:themeColor="text1"/>
          <w:lang w:eastAsia="es-CO"/>
        </w:rPr>
        <w:lastRenderedPageBreak/>
        <w:t>Por tanto, el Miembro no Liquidador termina con una Posición neta, bien sea compradora o vendedora. Dentro de la estructura de titulares del Miembro no Liquidador los que no tienen a esta altura una pareja asignada corresponden a aquellos cuya suma de Posición es igual a la Posición neta por asignar del Miembro no Liquidador.</w:t>
      </w:r>
    </w:p>
    <w:p w14:paraId="373B11AC" w14:textId="77777777" w:rsidR="007968EC" w:rsidRPr="00D807A3" w:rsidRDefault="007968EC" w:rsidP="007968EC">
      <w:pPr>
        <w:jc w:val="both"/>
        <w:rPr>
          <w:rFonts w:ascii="Arial Narrow" w:hAnsi="Arial Narrow" w:cs="Arial"/>
          <w:color w:val="000000" w:themeColor="text1"/>
          <w:lang w:eastAsia="es-ES"/>
        </w:rPr>
      </w:pPr>
    </w:p>
    <w:p w14:paraId="7021C1EF" w14:textId="77777777" w:rsidR="007968EC" w:rsidRPr="002C0D19" w:rsidRDefault="007968EC" w:rsidP="00DA7472">
      <w:pPr>
        <w:numPr>
          <w:ilvl w:val="0"/>
          <w:numId w:val="186"/>
        </w:numPr>
        <w:ind w:left="426" w:hanging="426"/>
        <w:jc w:val="both"/>
        <w:rPr>
          <w:rFonts w:ascii="Arial Narrow" w:eastAsia="Calibri" w:hAnsi="Arial Narrow"/>
          <w:color w:val="000000" w:themeColor="text1"/>
        </w:rPr>
      </w:pPr>
      <w:proofErr w:type="gramStart"/>
      <w:r w:rsidRPr="002C0D19">
        <w:rPr>
          <w:rFonts w:ascii="Arial Narrow" w:eastAsia="Calibri" w:hAnsi="Arial Narrow"/>
          <w:color w:val="000000" w:themeColor="text1"/>
          <w:lang w:eastAsia="es-CO"/>
        </w:rPr>
        <w:t>Las segundas parejas a construir</w:t>
      </w:r>
      <w:proofErr w:type="gramEnd"/>
      <w:r w:rsidRPr="002C0D19">
        <w:rPr>
          <w:rFonts w:ascii="Arial Narrow" w:eastAsia="Calibri" w:hAnsi="Arial Narrow"/>
          <w:color w:val="000000" w:themeColor="text1"/>
          <w:lang w:eastAsia="es-CO"/>
        </w:rPr>
        <w:t xml:space="preserve"> se configuran como “Titular Miembro contra Titular Miembro del mismo Miembro Liquidador” por el mínimo de la suma de posiciones compradoras netas y de la suma de posiciones vendedoras netas de los Miembros no Liquidadores bajo un mismo Miembro Liquidador. El neto comprador o vendedor por Miembro se obtiene como resultado del algoritmo del numeral anterior.</w:t>
      </w:r>
    </w:p>
    <w:p w14:paraId="5A19CE7B" w14:textId="77777777" w:rsidR="007968EC" w:rsidRPr="002C0D19" w:rsidRDefault="007968EC" w:rsidP="007968EC">
      <w:pPr>
        <w:ind w:left="426"/>
        <w:jc w:val="both"/>
        <w:rPr>
          <w:rFonts w:ascii="Arial Narrow" w:eastAsia="Calibri" w:hAnsi="Arial Narrow"/>
          <w:color w:val="000000" w:themeColor="text1"/>
        </w:rPr>
      </w:pPr>
    </w:p>
    <w:p w14:paraId="2B132AD0" w14:textId="77777777" w:rsidR="007968EC" w:rsidRPr="002C0D19" w:rsidRDefault="007968EC" w:rsidP="00DA7472">
      <w:pPr>
        <w:numPr>
          <w:ilvl w:val="7"/>
          <w:numId w:val="186"/>
        </w:numPr>
        <w:tabs>
          <w:tab w:val="left" w:pos="1875"/>
        </w:tabs>
        <w:autoSpaceDE w:val="0"/>
        <w:autoSpaceDN w:val="0"/>
        <w:adjustRightInd w:val="0"/>
        <w:ind w:left="851" w:hanging="425"/>
        <w:jc w:val="both"/>
        <w:rPr>
          <w:rFonts w:ascii="Arial Narrow" w:eastAsia="Calibri" w:hAnsi="Arial Narrow"/>
          <w:color w:val="000000" w:themeColor="text1"/>
        </w:rPr>
      </w:pPr>
      <w:r w:rsidRPr="002C0D19">
        <w:rPr>
          <w:rFonts w:ascii="Arial Narrow" w:eastAsia="Calibri" w:hAnsi="Arial Narrow"/>
          <w:color w:val="000000" w:themeColor="text1"/>
          <w:lang w:eastAsia="es-CO"/>
        </w:rPr>
        <w:t>Para repartir estas segundas parejas, se aplica el algoritmo “Reparto Miembro Liquidador (diferente Negociador pero mismo Liquidador)” entre los Miembros compradores netos y Miembros vendedores netos del Miembro Liquidador.</w:t>
      </w:r>
    </w:p>
    <w:p w14:paraId="195E3725" w14:textId="77777777" w:rsidR="007968EC" w:rsidRPr="002C0D19" w:rsidRDefault="007968EC" w:rsidP="00DA7472">
      <w:pPr>
        <w:numPr>
          <w:ilvl w:val="7"/>
          <w:numId w:val="186"/>
        </w:numPr>
        <w:tabs>
          <w:tab w:val="num" w:pos="900"/>
          <w:tab w:val="left" w:pos="1380"/>
        </w:tabs>
        <w:autoSpaceDE w:val="0"/>
        <w:autoSpaceDN w:val="0"/>
        <w:adjustRightInd w:val="0"/>
        <w:ind w:left="851" w:hanging="425"/>
        <w:jc w:val="both"/>
        <w:rPr>
          <w:rFonts w:ascii="Arial Narrow" w:eastAsia="Calibri" w:hAnsi="Arial Narrow"/>
          <w:color w:val="000000" w:themeColor="text1"/>
        </w:rPr>
      </w:pPr>
      <w:r w:rsidRPr="002C0D19">
        <w:rPr>
          <w:rFonts w:ascii="Arial Narrow" w:eastAsia="Calibri" w:hAnsi="Arial Narrow"/>
          <w:color w:val="000000" w:themeColor="text1"/>
          <w:lang w:eastAsia="es-CO"/>
        </w:rPr>
        <w:t>Como resultado de este algoritmo, el Miembro Liquidador puede terminar con una Posición neta, bien sea compradora o vendedora. La suma de Posición de los titulares o Miembros sin asignación de pareja de entrega corresponderá con la Posición neta del Miembro Liquidador.</w:t>
      </w:r>
    </w:p>
    <w:p w14:paraId="4E764827" w14:textId="77777777" w:rsidR="007968EC" w:rsidRPr="002C0D19" w:rsidRDefault="007968EC" w:rsidP="007968EC">
      <w:pPr>
        <w:tabs>
          <w:tab w:val="left" w:pos="1380"/>
        </w:tabs>
        <w:autoSpaceDE w:val="0"/>
        <w:autoSpaceDN w:val="0"/>
        <w:adjustRightInd w:val="0"/>
        <w:ind w:left="851"/>
        <w:jc w:val="both"/>
        <w:rPr>
          <w:rFonts w:ascii="Arial Narrow" w:eastAsia="Calibri" w:hAnsi="Arial Narrow"/>
          <w:color w:val="000000" w:themeColor="text1"/>
        </w:rPr>
      </w:pPr>
    </w:p>
    <w:p w14:paraId="2ABAE579" w14:textId="77777777" w:rsidR="007968EC" w:rsidRPr="002C0D19" w:rsidRDefault="007968EC" w:rsidP="00DA7472">
      <w:pPr>
        <w:numPr>
          <w:ilvl w:val="0"/>
          <w:numId w:val="186"/>
        </w:numPr>
        <w:ind w:left="426" w:hanging="426"/>
        <w:jc w:val="both"/>
        <w:rPr>
          <w:rFonts w:ascii="Arial Narrow" w:eastAsia="Calibri" w:hAnsi="Arial Narrow"/>
          <w:color w:val="000000" w:themeColor="text1"/>
        </w:rPr>
      </w:pPr>
      <w:r w:rsidRPr="002C0D19">
        <w:rPr>
          <w:rFonts w:ascii="Arial Narrow" w:eastAsia="Calibri" w:hAnsi="Arial Narrow"/>
          <w:color w:val="000000" w:themeColor="text1"/>
          <w:lang w:eastAsia="es-CO"/>
        </w:rPr>
        <w:t>El siguiente paso en asignación de parejas se configuran como “Titular Miembro contra Titular Miembro del mismo Agente de Pago”.</w:t>
      </w:r>
    </w:p>
    <w:p w14:paraId="5F021C9C" w14:textId="77777777" w:rsidR="007968EC" w:rsidRPr="002C0D19" w:rsidRDefault="007968EC" w:rsidP="007968EC">
      <w:pPr>
        <w:ind w:left="426"/>
        <w:jc w:val="both"/>
        <w:rPr>
          <w:rFonts w:ascii="Arial Narrow" w:eastAsia="Calibri" w:hAnsi="Arial Narrow"/>
          <w:color w:val="000000" w:themeColor="text1"/>
        </w:rPr>
      </w:pPr>
    </w:p>
    <w:p w14:paraId="6F107BB7" w14:textId="77777777" w:rsidR="007968EC" w:rsidRPr="002C0D19" w:rsidRDefault="007968EC" w:rsidP="00DA7472">
      <w:pPr>
        <w:numPr>
          <w:ilvl w:val="1"/>
          <w:numId w:val="186"/>
        </w:numPr>
        <w:tabs>
          <w:tab w:val="num" w:pos="900"/>
        </w:tabs>
        <w:ind w:left="851" w:hanging="425"/>
        <w:jc w:val="both"/>
        <w:rPr>
          <w:rFonts w:ascii="Arial Narrow" w:eastAsia="Calibri" w:hAnsi="Arial Narrow"/>
          <w:color w:val="000000" w:themeColor="text1"/>
        </w:rPr>
      </w:pPr>
      <w:r w:rsidRPr="002C0D19">
        <w:rPr>
          <w:rFonts w:ascii="Arial Narrow" w:eastAsia="Calibri" w:hAnsi="Arial Narrow"/>
          <w:color w:val="000000" w:themeColor="text1"/>
        </w:rPr>
        <w:t>Para repartir estas parejas, se toman todos los Liquidadores de un mismo Agente de Pago. Como los Liquidadores tienen la asignación por un neto según el procedimiento anterior, se pueden tener Liquidadores con neto de compra y con neto de venta.</w:t>
      </w:r>
    </w:p>
    <w:p w14:paraId="6666FCA9" w14:textId="77777777" w:rsidR="007968EC" w:rsidRPr="002C0D19" w:rsidRDefault="007968EC" w:rsidP="00DA7472">
      <w:pPr>
        <w:numPr>
          <w:ilvl w:val="1"/>
          <w:numId w:val="186"/>
        </w:numPr>
        <w:tabs>
          <w:tab w:val="num" w:pos="900"/>
        </w:tabs>
        <w:ind w:left="851" w:hanging="425"/>
        <w:jc w:val="both"/>
        <w:rPr>
          <w:rFonts w:ascii="Arial Narrow" w:eastAsia="Calibri" w:hAnsi="Arial Narrow"/>
          <w:color w:val="000000" w:themeColor="text1"/>
        </w:rPr>
      </w:pPr>
      <w:r w:rsidRPr="002C0D19">
        <w:rPr>
          <w:rFonts w:ascii="Arial Narrow" w:eastAsia="Calibri" w:hAnsi="Arial Narrow"/>
          <w:color w:val="000000" w:themeColor="text1"/>
        </w:rPr>
        <w:t>Se aplica el algoritmo Reparto Agente de Pago (diferente Liquidador pero mismo Agente de Pago), entre los Liquidadores compradores netos y Liquidadores vendedores netos del mismo Agente de Pago.</w:t>
      </w:r>
    </w:p>
    <w:p w14:paraId="17F7CFDD" w14:textId="77777777" w:rsidR="007968EC" w:rsidRPr="002C0D19" w:rsidRDefault="007968EC" w:rsidP="00DA7472">
      <w:pPr>
        <w:numPr>
          <w:ilvl w:val="1"/>
          <w:numId w:val="186"/>
        </w:numPr>
        <w:tabs>
          <w:tab w:val="num" w:pos="900"/>
        </w:tabs>
        <w:ind w:left="851" w:hanging="425"/>
        <w:jc w:val="both"/>
        <w:rPr>
          <w:rFonts w:ascii="Arial Narrow" w:eastAsia="Calibri" w:hAnsi="Arial Narrow"/>
          <w:color w:val="000000" w:themeColor="text1"/>
        </w:rPr>
      </w:pPr>
      <w:r w:rsidRPr="002C0D19">
        <w:rPr>
          <w:rFonts w:ascii="Arial Narrow" w:eastAsia="Calibri" w:hAnsi="Arial Narrow"/>
          <w:color w:val="000000" w:themeColor="text1"/>
        </w:rPr>
        <w:t>A este nivel los titulares de los Miembros Liquidadores con el mismo Agente de Pago tienen asignado uno o varios titulares para realizar los cruces en la entrega, salvo por el valor neto comprador o vendedor agregado a nivel de Agente de Pago que deberá asignarse en el paso final siguiente.</w:t>
      </w:r>
    </w:p>
    <w:p w14:paraId="18EE1D6A" w14:textId="77777777" w:rsidR="007968EC" w:rsidRPr="002C0D19" w:rsidRDefault="007968EC" w:rsidP="007968EC">
      <w:pPr>
        <w:ind w:left="426"/>
        <w:jc w:val="both"/>
        <w:rPr>
          <w:rFonts w:ascii="Arial Narrow" w:eastAsia="Calibri" w:hAnsi="Arial Narrow"/>
          <w:color w:val="000000" w:themeColor="text1"/>
        </w:rPr>
      </w:pPr>
    </w:p>
    <w:p w14:paraId="01EB33F8" w14:textId="77777777" w:rsidR="007968EC" w:rsidRPr="002C0D19" w:rsidRDefault="007968EC" w:rsidP="00DA7472">
      <w:pPr>
        <w:numPr>
          <w:ilvl w:val="0"/>
          <w:numId w:val="186"/>
        </w:numPr>
        <w:ind w:left="426" w:hanging="426"/>
        <w:jc w:val="both"/>
        <w:rPr>
          <w:rFonts w:ascii="Arial Narrow" w:eastAsia="Calibri" w:hAnsi="Arial Narrow"/>
          <w:color w:val="000000" w:themeColor="text1"/>
        </w:rPr>
      </w:pPr>
      <w:r w:rsidRPr="002C0D19">
        <w:rPr>
          <w:rFonts w:ascii="Arial Narrow" w:eastAsia="Calibri" w:hAnsi="Arial Narrow"/>
          <w:color w:val="000000" w:themeColor="text1"/>
          <w:lang w:eastAsia="es-CO"/>
        </w:rPr>
        <w:t>Las últimas parejas se construyen como “Titular Miembro contra Titular Miembro de distinto Agente de Pago”.</w:t>
      </w:r>
    </w:p>
    <w:p w14:paraId="37355702" w14:textId="77777777" w:rsidR="007968EC" w:rsidRPr="002C0D19" w:rsidRDefault="007968EC" w:rsidP="007968EC">
      <w:pPr>
        <w:ind w:left="426"/>
        <w:jc w:val="both"/>
        <w:rPr>
          <w:rFonts w:ascii="Arial Narrow" w:eastAsia="Calibri" w:hAnsi="Arial Narrow"/>
          <w:color w:val="000000" w:themeColor="text1"/>
        </w:rPr>
      </w:pPr>
    </w:p>
    <w:p w14:paraId="1457BE20" w14:textId="77777777" w:rsidR="007968EC" w:rsidRPr="002C0D19" w:rsidRDefault="007968EC" w:rsidP="00DA7472">
      <w:pPr>
        <w:numPr>
          <w:ilvl w:val="1"/>
          <w:numId w:val="186"/>
        </w:numPr>
        <w:tabs>
          <w:tab w:val="num" w:pos="900"/>
        </w:tabs>
        <w:ind w:left="709" w:hanging="283"/>
        <w:jc w:val="both"/>
        <w:rPr>
          <w:rFonts w:ascii="Arial Narrow" w:eastAsia="Calibri" w:hAnsi="Arial Narrow"/>
          <w:color w:val="000000" w:themeColor="text1"/>
        </w:rPr>
      </w:pPr>
      <w:r w:rsidRPr="002C0D19">
        <w:rPr>
          <w:rFonts w:ascii="Arial Narrow" w:eastAsia="Calibri" w:hAnsi="Arial Narrow"/>
          <w:color w:val="000000" w:themeColor="text1"/>
        </w:rPr>
        <w:t>Finalmente, se toman todos los Agentes de Pago de la Cámara. Como éstos han salido por un neto se pueden tener Agentes de Pago con neto de compra o con neto de venta.</w:t>
      </w:r>
    </w:p>
    <w:p w14:paraId="0525864E" w14:textId="77777777" w:rsidR="007968EC" w:rsidRPr="002C0D19" w:rsidRDefault="007968EC" w:rsidP="00DA7472">
      <w:pPr>
        <w:numPr>
          <w:ilvl w:val="1"/>
          <w:numId w:val="186"/>
        </w:numPr>
        <w:tabs>
          <w:tab w:val="num" w:pos="900"/>
        </w:tabs>
        <w:ind w:left="709" w:hanging="283"/>
        <w:jc w:val="both"/>
        <w:rPr>
          <w:rFonts w:ascii="Arial Narrow" w:eastAsia="Calibri" w:hAnsi="Arial Narrow"/>
          <w:color w:val="000000" w:themeColor="text1"/>
        </w:rPr>
      </w:pPr>
      <w:r w:rsidRPr="002C0D19">
        <w:rPr>
          <w:rFonts w:ascii="Arial Narrow" w:eastAsia="Calibri" w:hAnsi="Arial Narrow"/>
          <w:color w:val="000000" w:themeColor="text1"/>
        </w:rPr>
        <w:t>Se aplica el algoritmo Reparto Cámara (diferente Agente de Pago) entre los Agentes de Pago compradores netos y Agentes de Pago vendedores netos.</w:t>
      </w:r>
    </w:p>
    <w:p w14:paraId="0B9E060D" w14:textId="77777777" w:rsidR="007968EC" w:rsidRPr="002C0D19" w:rsidRDefault="007968EC" w:rsidP="007968EC">
      <w:pPr>
        <w:ind w:left="709"/>
        <w:jc w:val="both"/>
        <w:rPr>
          <w:rFonts w:ascii="Arial Narrow" w:eastAsia="Calibri" w:hAnsi="Arial Narrow"/>
          <w:color w:val="000000" w:themeColor="text1"/>
        </w:rPr>
      </w:pPr>
    </w:p>
    <w:p w14:paraId="485ADE8A" w14:textId="77777777" w:rsidR="007968EC" w:rsidRPr="002C0D19" w:rsidRDefault="007968EC" w:rsidP="007968EC">
      <w:pPr>
        <w:autoSpaceDE w:val="0"/>
        <w:autoSpaceDN w:val="0"/>
        <w:adjustRightInd w:val="0"/>
        <w:ind w:left="360"/>
        <w:jc w:val="both"/>
        <w:rPr>
          <w:rFonts w:ascii="Arial Narrow" w:eastAsia="Calibri" w:hAnsi="Arial Narrow"/>
          <w:color w:val="000000" w:themeColor="text1"/>
        </w:rPr>
      </w:pPr>
      <w:r w:rsidRPr="002C0D19">
        <w:rPr>
          <w:rFonts w:ascii="Arial Narrow" w:eastAsia="Calibri" w:hAnsi="Arial Narrow"/>
          <w:color w:val="000000" w:themeColor="text1"/>
          <w:lang w:eastAsia="es-CO"/>
        </w:rPr>
        <w:t xml:space="preserve">En este punto se concluye la asignación de parejas de forma que todos los titulares tienen asociado uno o varios titulares para realizar el proceso de entrega, ya sea en su orden dentro de los titulares de su Miembro no Liquidador, dentro de los titulares de su Miembro Liquidador, dentro de los titulares del </w:t>
      </w:r>
      <w:r w:rsidRPr="002C0D19">
        <w:rPr>
          <w:rFonts w:ascii="Arial Narrow" w:eastAsia="Calibri" w:hAnsi="Arial Narrow"/>
          <w:color w:val="000000" w:themeColor="text1"/>
          <w:lang w:eastAsia="es-CO"/>
        </w:rPr>
        <w:lastRenderedPageBreak/>
        <w:t xml:space="preserve">Agente de Pago de su Liquidador o finalmente, con titulares de la estructura de Cuentas de un Miembro Liquidador con Agente de Pago distinto. </w:t>
      </w:r>
    </w:p>
    <w:p w14:paraId="6118285A" w14:textId="77777777" w:rsidR="007968EC" w:rsidRPr="00D807A3" w:rsidRDefault="007968EC" w:rsidP="007968EC">
      <w:pPr>
        <w:jc w:val="both"/>
        <w:rPr>
          <w:rFonts w:ascii="Arial Narrow" w:hAnsi="Arial Narrow" w:cs="Arial"/>
          <w:color w:val="000000" w:themeColor="text1"/>
          <w:lang w:eastAsia="es-ES"/>
        </w:rPr>
      </w:pPr>
    </w:p>
    <w:p w14:paraId="76D0E4D3" w14:textId="77777777" w:rsidR="007968EC" w:rsidRDefault="007968EC" w:rsidP="00DA7472">
      <w:pPr>
        <w:numPr>
          <w:ilvl w:val="0"/>
          <w:numId w:val="186"/>
        </w:numPr>
        <w:ind w:left="426" w:hanging="426"/>
        <w:jc w:val="both"/>
        <w:rPr>
          <w:rFonts w:ascii="Arial Narrow" w:eastAsia="Calibri" w:hAnsi="Arial Narrow"/>
          <w:color w:val="000000" w:themeColor="text1"/>
          <w:lang w:eastAsia="es-CO"/>
        </w:rPr>
      </w:pPr>
      <w:r w:rsidRPr="002C0D19">
        <w:rPr>
          <w:rFonts w:ascii="Arial Narrow" w:eastAsia="Calibri" w:hAnsi="Arial Narrow"/>
          <w:color w:val="000000" w:themeColor="text1"/>
          <w:lang w:eastAsia="es-CO"/>
        </w:rPr>
        <w:t>A partir de la construcción de este proceso, la Cámara notifica a los Miembros el detalle de la información correspondiente a las parejas de entrega.</w:t>
      </w:r>
    </w:p>
    <w:p w14:paraId="46E77494" w14:textId="77777777" w:rsidR="007968EC" w:rsidRPr="002C0D19" w:rsidRDefault="007968EC" w:rsidP="007968EC">
      <w:pPr>
        <w:ind w:left="426"/>
        <w:jc w:val="both"/>
        <w:rPr>
          <w:rFonts w:ascii="Arial Narrow" w:eastAsia="Calibri" w:hAnsi="Arial Narrow"/>
          <w:color w:val="000000" w:themeColor="text1"/>
          <w:lang w:eastAsia="es-CO"/>
        </w:rPr>
      </w:pPr>
    </w:p>
    <w:p w14:paraId="38702A68" w14:textId="77777777" w:rsidR="007968EC" w:rsidRPr="002C0D19" w:rsidRDefault="007968EC" w:rsidP="007968EC">
      <w:pPr>
        <w:ind w:left="426"/>
        <w:jc w:val="both"/>
        <w:rPr>
          <w:rFonts w:ascii="Arial Narrow" w:eastAsia="Calibri" w:hAnsi="Arial Narrow"/>
          <w:color w:val="000000" w:themeColor="text1"/>
        </w:rPr>
      </w:pPr>
      <w:r w:rsidRPr="002C0D19">
        <w:rPr>
          <w:rFonts w:ascii="Arial Narrow" w:eastAsia="Calibri" w:hAnsi="Arial Narrow"/>
          <w:color w:val="000000" w:themeColor="text1"/>
          <w:lang w:val="es-ES_tradnl"/>
        </w:rPr>
        <w:t>Para cada pareja se entrega la siguiente información:</w:t>
      </w:r>
    </w:p>
    <w:p w14:paraId="4217AD0D" w14:textId="77777777" w:rsidR="007968EC" w:rsidRPr="00C02E65" w:rsidRDefault="007968EC" w:rsidP="00DA7472">
      <w:pPr>
        <w:numPr>
          <w:ilvl w:val="0"/>
          <w:numId w:val="186"/>
        </w:numPr>
        <w:ind w:left="426" w:hanging="426"/>
        <w:jc w:val="both"/>
        <w:rPr>
          <w:rFonts w:ascii="Arial Narrow" w:eastAsia="Calibri" w:hAnsi="Arial Narrow"/>
          <w:color w:val="000000" w:themeColor="text1"/>
          <w:lang w:eastAsia="es-CO"/>
        </w:rPr>
      </w:pPr>
    </w:p>
    <w:p w14:paraId="21569A53" w14:textId="77777777" w:rsidR="007968EC" w:rsidRPr="002C0D19" w:rsidRDefault="007968EC" w:rsidP="00DA7472">
      <w:pPr>
        <w:numPr>
          <w:ilvl w:val="1"/>
          <w:numId w:val="186"/>
        </w:numPr>
        <w:tabs>
          <w:tab w:val="num" w:pos="720"/>
          <w:tab w:val="num" w:pos="900"/>
        </w:tabs>
        <w:ind w:left="709" w:hanging="283"/>
        <w:jc w:val="both"/>
        <w:rPr>
          <w:rFonts w:ascii="Arial Narrow" w:eastAsia="Calibri" w:hAnsi="Arial Narrow"/>
          <w:color w:val="000000" w:themeColor="text1"/>
        </w:rPr>
      </w:pPr>
      <w:r w:rsidRPr="002C0D19">
        <w:rPr>
          <w:rFonts w:ascii="Arial Narrow" w:eastAsia="Calibri" w:hAnsi="Arial Narrow"/>
          <w:color w:val="000000" w:themeColor="text1"/>
        </w:rPr>
        <w:t>Al vendedor (del Derivado) se le notifica cuál es el título o los títulos objeto</w:t>
      </w:r>
      <w:r>
        <w:rPr>
          <w:rFonts w:ascii="Arial Narrow" w:eastAsia="Calibri" w:hAnsi="Arial Narrow"/>
          <w:color w:val="000000" w:themeColor="text1"/>
        </w:rPr>
        <w:t xml:space="preserve"> de entrega, el volumen </w:t>
      </w:r>
      <w:r w:rsidRPr="002C0D19">
        <w:rPr>
          <w:rFonts w:ascii="Arial Narrow" w:eastAsia="Calibri" w:hAnsi="Arial Narrow"/>
          <w:color w:val="000000" w:themeColor="text1"/>
        </w:rPr>
        <w:t xml:space="preserve">del mismo que debe entregar, el (los) depósito (s) por el (los) que deberá hacer la entrega y el valor en efectivo que recibirá. </w:t>
      </w:r>
    </w:p>
    <w:p w14:paraId="126B2A63" w14:textId="77777777" w:rsidR="007968EC" w:rsidRPr="002C0D19" w:rsidRDefault="007968EC" w:rsidP="007968EC">
      <w:pPr>
        <w:tabs>
          <w:tab w:val="num" w:pos="720"/>
          <w:tab w:val="num" w:pos="851"/>
          <w:tab w:val="num" w:pos="993"/>
        </w:tabs>
        <w:ind w:left="851" w:hanging="425"/>
        <w:contextualSpacing/>
        <w:jc w:val="both"/>
        <w:rPr>
          <w:rFonts w:ascii="Arial Narrow" w:eastAsia="Calibri" w:hAnsi="Arial Narrow"/>
          <w:color w:val="000000" w:themeColor="text1"/>
        </w:rPr>
      </w:pPr>
    </w:p>
    <w:p w14:paraId="3445CF57" w14:textId="77777777" w:rsidR="007968EC" w:rsidRPr="002C0D19" w:rsidRDefault="007968EC" w:rsidP="00DA7472">
      <w:pPr>
        <w:numPr>
          <w:ilvl w:val="1"/>
          <w:numId w:val="186"/>
        </w:numPr>
        <w:tabs>
          <w:tab w:val="num" w:pos="720"/>
          <w:tab w:val="num" w:pos="900"/>
        </w:tabs>
        <w:ind w:left="709" w:hanging="283"/>
        <w:jc w:val="both"/>
        <w:rPr>
          <w:rFonts w:ascii="Arial Narrow" w:eastAsia="Calibri" w:hAnsi="Arial Narrow"/>
          <w:color w:val="000000" w:themeColor="text1"/>
        </w:rPr>
      </w:pPr>
      <w:r w:rsidRPr="002C0D19">
        <w:rPr>
          <w:rFonts w:ascii="Arial Narrow" w:eastAsia="Calibri" w:hAnsi="Arial Narrow"/>
          <w:color w:val="000000" w:themeColor="text1"/>
        </w:rPr>
        <w:t>Al comprador (del Derivado) se le notifica el valor efectivo que debe pagar, el o los títulos a recibir, su volumen, y el (los) depósito(s) por el (los) que lo (los) recibirá.</w:t>
      </w:r>
    </w:p>
    <w:p w14:paraId="752FF8FF" w14:textId="77777777" w:rsidR="007968EC" w:rsidRPr="002C0D19" w:rsidRDefault="007968EC" w:rsidP="007968EC">
      <w:pPr>
        <w:tabs>
          <w:tab w:val="num" w:pos="720"/>
          <w:tab w:val="num" w:pos="851"/>
        </w:tabs>
        <w:ind w:left="851" w:hanging="425"/>
        <w:contextualSpacing/>
        <w:rPr>
          <w:rFonts w:ascii="Arial Narrow" w:eastAsia="Calibri" w:hAnsi="Arial Narrow"/>
          <w:color w:val="000000" w:themeColor="text1"/>
        </w:rPr>
      </w:pPr>
    </w:p>
    <w:p w14:paraId="4C7037E9" w14:textId="77777777" w:rsidR="007968EC" w:rsidRPr="002C0D19" w:rsidRDefault="007968EC" w:rsidP="00DA7472">
      <w:pPr>
        <w:numPr>
          <w:ilvl w:val="1"/>
          <w:numId w:val="186"/>
        </w:numPr>
        <w:tabs>
          <w:tab w:val="num" w:pos="720"/>
          <w:tab w:val="num" w:pos="900"/>
        </w:tabs>
        <w:ind w:left="709" w:hanging="283"/>
        <w:jc w:val="both"/>
        <w:rPr>
          <w:rFonts w:ascii="Arial Narrow" w:eastAsia="Calibri" w:hAnsi="Arial Narrow"/>
          <w:color w:val="000000" w:themeColor="text1"/>
        </w:rPr>
      </w:pPr>
      <w:r w:rsidRPr="002C0D19">
        <w:rPr>
          <w:rFonts w:ascii="Arial Narrow" w:eastAsia="Calibri" w:hAnsi="Arial Narrow"/>
          <w:color w:val="000000" w:themeColor="text1"/>
        </w:rPr>
        <w:t>En las estaciones de los Miembros no Liquidadores se podrá listar y generar en forma de fichero, el listado del resultado de la entrega. Los Miembros no Liquidadores podrán consultar los datos que afectan a sus titulares en el proceso de entrega.</w:t>
      </w:r>
    </w:p>
    <w:p w14:paraId="081DC76E" w14:textId="77777777" w:rsidR="007968EC" w:rsidRPr="002C0D19" w:rsidRDefault="007968EC" w:rsidP="007968EC">
      <w:pPr>
        <w:tabs>
          <w:tab w:val="num" w:pos="720"/>
        </w:tabs>
        <w:ind w:left="720" w:hanging="425"/>
        <w:contextualSpacing/>
        <w:rPr>
          <w:rFonts w:ascii="Arial Narrow" w:eastAsia="Calibri" w:hAnsi="Arial Narrow"/>
          <w:color w:val="000000" w:themeColor="text1"/>
        </w:rPr>
      </w:pPr>
    </w:p>
    <w:p w14:paraId="79787C02" w14:textId="77777777" w:rsidR="007968EC" w:rsidRPr="002C0D19" w:rsidRDefault="007968EC" w:rsidP="00DA7472">
      <w:pPr>
        <w:numPr>
          <w:ilvl w:val="1"/>
          <w:numId w:val="186"/>
        </w:numPr>
        <w:tabs>
          <w:tab w:val="num" w:pos="720"/>
          <w:tab w:val="num" w:pos="900"/>
        </w:tabs>
        <w:ind w:left="709" w:hanging="283"/>
        <w:jc w:val="both"/>
        <w:rPr>
          <w:rFonts w:ascii="Arial Narrow" w:eastAsia="Calibri" w:hAnsi="Arial Narrow"/>
          <w:color w:val="000000" w:themeColor="text1"/>
        </w:rPr>
      </w:pPr>
      <w:r w:rsidRPr="002C0D19">
        <w:rPr>
          <w:rFonts w:ascii="Arial Narrow" w:eastAsia="Calibri" w:hAnsi="Arial Narrow"/>
          <w:color w:val="000000" w:themeColor="text1"/>
        </w:rPr>
        <w:t>Igualmente, los Miembros Liquidadores además de conocer los datos de sus propios titulares, conocerán los datos de las Cuentas de titulares de sus Miembros no Liquidadores. Esto permite que cada Miembro Liquidador calcule el importe neto que debe cobrar o pagar a la Cámara sumando los cobros que recibirán los vendedores y restando los pagos que efectuarán los compradores.</w:t>
      </w:r>
    </w:p>
    <w:p w14:paraId="1E3A49A5" w14:textId="77777777" w:rsidR="007968EC" w:rsidRPr="002C0D19" w:rsidRDefault="007968EC" w:rsidP="007968EC">
      <w:pPr>
        <w:keepNext/>
        <w:autoSpaceDE w:val="0"/>
        <w:autoSpaceDN w:val="0"/>
        <w:contextualSpacing/>
        <w:jc w:val="both"/>
        <w:rPr>
          <w:rFonts w:ascii="Arial Narrow" w:hAnsi="Arial Narrow" w:cs="Arial"/>
          <w:b/>
          <w:bCs/>
          <w:color w:val="000000" w:themeColor="text1"/>
          <w:lang w:eastAsia="es-ES"/>
        </w:rPr>
      </w:pPr>
    </w:p>
    <w:p w14:paraId="3D280E97" w14:textId="77777777" w:rsidR="007968EC" w:rsidRPr="002C0D19" w:rsidRDefault="007968EC" w:rsidP="007968EC">
      <w:pPr>
        <w:pStyle w:val="ARTICULO0"/>
      </w:pPr>
      <w:bookmarkStart w:id="4347" w:name="_Toc470779949"/>
      <w:bookmarkStart w:id="4348" w:name="_Toc470780566"/>
      <w:bookmarkStart w:id="4349" w:name="_Toc470781079"/>
      <w:bookmarkStart w:id="4350" w:name="_Toc470784640"/>
      <w:bookmarkStart w:id="4351" w:name="_Toc470785177"/>
      <w:bookmarkStart w:id="4352" w:name="_Toc470791569"/>
      <w:bookmarkStart w:id="4353" w:name="_Toc472592330"/>
      <w:bookmarkStart w:id="4354" w:name="_Toc472593349"/>
      <w:bookmarkStart w:id="4355" w:name="_Toc479057135"/>
      <w:bookmarkStart w:id="4356" w:name="_Toc490066473"/>
      <w:bookmarkStart w:id="4357" w:name="_Toc31716150"/>
      <w:r w:rsidRPr="002C0D19">
        <w:t>Artículo 2.4.4.13. Formación de parejas en un Miembro (titulares compradores y vendedores del mismo Miembro no Liquidador) en la Liquidación por Entrega de Contratos de Futuros.</w:t>
      </w:r>
      <w:bookmarkEnd w:id="4347"/>
      <w:bookmarkEnd w:id="4348"/>
      <w:bookmarkEnd w:id="4349"/>
      <w:bookmarkEnd w:id="4350"/>
      <w:bookmarkEnd w:id="4351"/>
      <w:bookmarkEnd w:id="4352"/>
      <w:bookmarkEnd w:id="4353"/>
      <w:bookmarkEnd w:id="4354"/>
      <w:bookmarkEnd w:id="4355"/>
      <w:bookmarkEnd w:id="4356"/>
      <w:bookmarkEnd w:id="4357"/>
    </w:p>
    <w:p w14:paraId="44C493EB" w14:textId="77777777" w:rsidR="007968EC" w:rsidRPr="002C0D19" w:rsidRDefault="007968EC" w:rsidP="007968EC">
      <w:pPr>
        <w:jc w:val="both"/>
        <w:rPr>
          <w:rFonts w:ascii="Arial Narrow" w:eastAsia="Calibri" w:hAnsi="Arial Narrow"/>
          <w:b/>
          <w:color w:val="000000" w:themeColor="text1"/>
        </w:rPr>
      </w:pPr>
    </w:p>
    <w:p w14:paraId="446B68C6" w14:textId="77777777" w:rsidR="007968EC" w:rsidRPr="002C0D19" w:rsidRDefault="007968EC" w:rsidP="007968EC">
      <w:pPr>
        <w:tabs>
          <w:tab w:val="left" w:pos="5988"/>
        </w:tabs>
        <w:jc w:val="both"/>
        <w:rPr>
          <w:rFonts w:ascii="Arial Narrow" w:eastAsia="Calibri" w:hAnsi="Arial Narrow"/>
          <w:color w:val="000000" w:themeColor="text1"/>
        </w:rPr>
      </w:pPr>
      <w:r w:rsidRPr="002C0D19">
        <w:rPr>
          <w:rFonts w:ascii="Arial Narrow" w:eastAsia="Calibri" w:hAnsi="Arial Narrow"/>
          <w:color w:val="000000" w:themeColor="text1"/>
        </w:rPr>
        <w:t>Se pretende obtener unas parejas “Titular Miembro contra Titular mismo Miembro”. En este paso el máximo volumen posible de asignación será el mínimo entre la suma de posiciones compradoras y la suma de posiciones vendedoras del Miembro.</w:t>
      </w:r>
    </w:p>
    <w:p w14:paraId="679F5BEE" w14:textId="77777777" w:rsidR="007968EC" w:rsidRPr="00C02E65" w:rsidRDefault="007968EC" w:rsidP="007968EC">
      <w:pPr>
        <w:jc w:val="both"/>
        <w:rPr>
          <w:rFonts w:ascii="Arial Narrow" w:eastAsia="Calibri" w:hAnsi="Arial Narrow"/>
          <w:b/>
          <w:color w:val="000000" w:themeColor="text1"/>
        </w:rPr>
      </w:pPr>
    </w:p>
    <w:p w14:paraId="679697CB" w14:textId="77777777" w:rsidR="007968EC" w:rsidRPr="002C0D19" w:rsidRDefault="007968EC" w:rsidP="007968EC">
      <w:pPr>
        <w:tabs>
          <w:tab w:val="left" w:pos="5988"/>
        </w:tabs>
        <w:jc w:val="both"/>
        <w:rPr>
          <w:rFonts w:ascii="Arial Narrow" w:eastAsia="Calibri" w:hAnsi="Arial Narrow"/>
          <w:color w:val="000000" w:themeColor="text1"/>
        </w:rPr>
      </w:pPr>
      <w:r w:rsidRPr="002C0D19">
        <w:rPr>
          <w:rFonts w:ascii="Arial Narrow" w:eastAsia="Calibri" w:hAnsi="Arial Narrow"/>
          <w:color w:val="000000" w:themeColor="text1"/>
        </w:rPr>
        <w:t>El proceso para cada Miembro no Liquidador inicia a partir de la identificación de los titulares compradores de ese Miembro por un lado y los Titulares vendedores por otro y a continuación se procede de la siguiente forma:</w:t>
      </w:r>
    </w:p>
    <w:p w14:paraId="174A3AE3" w14:textId="77777777" w:rsidR="007968EC" w:rsidRPr="00C02E65" w:rsidRDefault="007968EC" w:rsidP="007968EC">
      <w:pPr>
        <w:jc w:val="both"/>
        <w:rPr>
          <w:rFonts w:ascii="Arial Narrow" w:eastAsia="Calibri" w:hAnsi="Arial Narrow"/>
          <w:b/>
          <w:color w:val="000000" w:themeColor="text1"/>
        </w:rPr>
      </w:pPr>
    </w:p>
    <w:p w14:paraId="15C1DEC6" w14:textId="77777777" w:rsidR="007968EC" w:rsidRPr="002C0D19" w:rsidRDefault="007968EC" w:rsidP="00DA7472">
      <w:pPr>
        <w:numPr>
          <w:ilvl w:val="0"/>
          <w:numId w:val="189"/>
        </w:numPr>
        <w:tabs>
          <w:tab w:val="num" w:pos="567"/>
        </w:tabs>
        <w:ind w:hanging="1065"/>
        <w:jc w:val="both"/>
        <w:rPr>
          <w:rFonts w:ascii="Arial Narrow" w:eastAsia="Calibri" w:hAnsi="Arial Narrow"/>
          <w:color w:val="000000" w:themeColor="text1"/>
        </w:rPr>
      </w:pPr>
      <w:r w:rsidRPr="002C0D19">
        <w:rPr>
          <w:rFonts w:ascii="Arial Narrow" w:eastAsia="Calibri" w:hAnsi="Arial Narrow"/>
          <w:color w:val="000000" w:themeColor="text1"/>
        </w:rPr>
        <w:t>Ambos lados se ordenan de forma descendente por el volumen de la Posición Abierta que va a vencer.</w:t>
      </w:r>
    </w:p>
    <w:p w14:paraId="498C1045" w14:textId="77777777" w:rsidR="007968EC" w:rsidRPr="002C0D19" w:rsidRDefault="007968EC" w:rsidP="00DA7472">
      <w:pPr>
        <w:numPr>
          <w:ilvl w:val="0"/>
          <w:numId w:val="189"/>
        </w:numPr>
        <w:ind w:left="540" w:hanging="540"/>
        <w:jc w:val="both"/>
        <w:rPr>
          <w:rFonts w:ascii="Arial Narrow" w:eastAsia="Calibri" w:hAnsi="Arial Narrow"/>
          <w:color w:val="000000" w:themeColor="text1"/>
        </w:rPr>
      </w:pPr>
      <w:r w:rsidRPr="002C0D19">
        <w:rPr>
          <w:rFonts w:ascii="Arial Narrow" w:eastAsia="Calibri" w:hAnsi="Arial Narrow"/>
          <w:color w:val="000000" w:themeColor="text1"/>
        </w:rPr>
        <w:t>Se identifica si existen titulares con igual volumen comprador y vendedor. En este caso tanto el lado comprador como vendedor se organiza por Miembro – Titular para ordenar aquellos titulares con el mismo volumen.</w:t>
      </w:r>
    </w:p>
    <w:p w14:paraId="1D5905B4" w14:textId="77777777" w:rsidR="007968EC" w:rsidRPr="002C0D19" w:rsidRDefault="007968EC" w:rsidP="00DA7472">
      <w:pPr>
        <w:numPr>
          <w:ilvl w:val="0"/>
          <w:numId w:val="189"/>
        </w:numPr>
        <w:ind w:left="540" w:hanging="540"/>
        <w:jc w:val="both"/>
        <w:rPr>
          <w:rFonts w:ascii="Arial Narrow" w:eastAsia="Calibri" w:hAnsi="Arial Narrow"/>
          <w:color w:val="000000" w:themeColor="text1"/>
        </w:rPr>
      </w:pPr>
      <w:r w:rsidRPr="002C0D19">
        <w:rPr>
          <w:rFonts w:ascii="Arial Narrow" w:eastAsia="Calibri" w:hAnsi="Arial Narrow"/>
          <w:color w:val="000000" w:themeColor="text1"/>
        </w:rPr>
        <w:t>Con este orden se establecen las diferentes parejas que presentan igual volumen de compra y venta. Estas serían las primeras parejas “Titular Miembro contra Titular mismo Miembro”.</w:t>
      </w:r>
    </w:p>
    <w:p w14:paraId="7B3C8DAC" w14:textId="77777777" w:rsidR="007968EC" w:rsidRPr="002C0D19" w:rsidRDefault="007968EC" w:rsidP="00DA7472">
      <w:pPr>
        <w:numPr>
          <w:ilvl w:val="0"/>
          <w:numId w:val="189"/>
        </w:numPr>
        <w:ind w:left="540" w:hanging="540"/>
        <w:jc w:val="both"/>
        <w:rPr>
          <w:rFonts w:ascii="Arial Narrow" w:eastAsia="Calibri" w:hAnsi="Arial Narrow"/>
          <w:color w:val="000000" w:themeColor="text1"/>
        </w:rPr>
      </w:pPr>
      <w:r w:rsidRPr="002C0D19">
        <w:rPr>
          <w:rFonts w:ascii="Arial Narrow" w:eastAsia="Calibri" w:hAnsi="Arial Narrow"/>
          <w:color w:val="000000" w:themeColor="text1"/>
        </w:rPr>
        <w:t>Este proceso se repite para cada combinación de comprador y vendedor con igual volumen.</w:t>
      </w:r>
    </w:p>
    <w:p w14:paraId="5D140408" w14:textId="77777777" w:rsidR="007968EC" w:rsidRPr="002C0D19" w:rsidRDefault="007968EC" w:rsidP="00DA7472">
      <w:pPr>
        <w:numPr>
          <w:ilvl w:val="0"/>
          <w:numId w:val="189"/>
        </w:numPr>
        <w:ind w:left="540" w:hanging="540"/>
        <w:jc w:val="both"/>
        <w:rPr>
          <w:rFonts w:ascii="Arial Narrow" w:eastAsia="Calibri" w:hAnsi="Arial Narrow"/>
          <w:color w:val="000000" w:themeColor="text1"/>
        </w:rPr>
      </w:pPr>
      <w:r w:rsidRPr="002C0D19">
        <w:rPr>
          <w:rFonts w:ascii="Arial Narrow" w:eastAsia="Calibri" w:hAnsi="Arial Narrow"/>
          <w:color w:val="000000" w:themeColor="text1"/>
        </w:rPr>
        <w:lastRenderedPageBreak/>
        <w:t>A las parejas establecidas, tanto a comprador como vendedor, se les resta el volumen asignado de la Operación y se comprueba que el resultado sea igual a cero, para proceder a eliminar al titular del proceso de reparto.</w:t>
      </w:r>
    </w:p>
    <w:p w14:paraId="63EB8D2E" w14:textId="77777777" w:rsidR="007968EC" w:rsidRPr="002C0D19" w:rsidRDefault="007968EC" w:rsidP="00DA7472">
      <w:pPr>
        <w:numPr>
          <w:ilvl w:val="0"/>
          <w:numId w:val="189"/>
        </w:numPr>
        <w:ind w:left="540" w:hanging="540"/>
        <w:jc w:val="both"/>
        <w:rPr>
          <w:rFonts w:ascii="Arial Narrow" w:eastAsia="Calibri" w:hAnsi="Arial Narrow"/>
          <w:color w:val="000000" w:themeColor="text1"/>
        </w:rPr>
      </w:pPr>
      <w:r w:rsidRPr="002C0D19">
        <w:rPr>
          <w:rFonts w:ascii="Arial Narrow" w:eastAsia="Calibri" w:hAnsi="Arial Narrow"/>
          <w:color w:val="000000" w:themeColor="text1"/>
        </w:rPr>
        <w:t>Los titulares restantes se ordenan por cada lado de compra y venta, de forma descendente por el volumen de la Posición Abierta a vencer.</w:t>
      </w:r>
    </w:p>
    <w:p w14:paraId="5E941B97" w14:textId="77777777" w:rsidR="007968EC" w:rsidRPr="002C0D19" w:rsidRDefault="007968EC" w:rsidP="00DA7472">
      <w:pPr>
        <w:numPr>
          <w:ilvl w:val="0"/>
          <w:numId w:val="189"/>
        </w:numPr>
        <w:ind w:left="540" w:hanging="540"/>
        <w:jc w:val="both"/>
        <w:rPr>
          <w:rFonts w:ascii="Arial Narrow" w:eastAsia="Calibri" w:hAnsi="Arial Narrow"/>
          <w:color w:val="000000" w:themeColor="text1"/>
        </w:rPr>
      </w:pPr>
      <w:r w:rsidRPr="002C0D19">
        <w:rPr>
          <w:rFonts w:ascii="Arial Narrow" w:eastAsia="Calibri" w:hAnsi="Arial Narrow"/>
          <w:color w:val="000000" w:themeColor="text1"/>
        </w:rPr>
        <w:t>Se establecen parejas entre los titulares con mayor volumen de compra y venta por asignar. Éstas serían las siguientes parejas “Titular Miembro contra Titular mismo Miembro” con un volumen de la Operación igual al menor de los volúmenes de compra y venta de cada pareja.</w:t>
      </w:r>
    </w:p>
    <w:p w14:paraId="72F34FB0" w14:textId="77777777" w:rsidR="007968EC" w:rsidRPr="002C0D19" w:rsidRDefault="007968EC" w:rsidP="00DA7472">
      <w:pPr>
        <w:numPr>
          <w:ilvl w:val="0"/>
          <w:numId w:val="189"/>
        </w:numPr>
        <w:ind w:left="540" w:hanging="540"/>
        <w:jc w:val="both"/>
        <w:rPr>
          <w:rFonts w:ascii="Arial Narrow" w:eastAsia="Calibri" w:hAnsi="Arial Narrow"/>
          <w:color w:val="000000" w:themeColor="text1"/>
        </w:rPr>
      </w:pPr>
      <w:r w:rsidRPr="002C0D19">
        <w:rPr>
          <w:rFonts w:ascii="Arial Narrow" w:eastAsia="Calibri" w:hAnsi="Arial Narrow"/>
          <w:color w:val="000000" w:themeColor="text1"/>
        </w:rPr>
        <w:t>Por cada pareja se resta el volumen asignado tanto a vendedor como a comprador y los titulares que después de este cálculo presenten volumen igual a cero son eliminados del proceso de reparto. En caso contrario, el titular con Posición viva después de la asignación permanece con el volumen remanente para ser asignado en el proceso iterativo siguiente.</w:t>
      </w:r>
    </w:p>
    <w:p w14:paraId="7B44F8FD" w14:textId="77777777" w:rsidR="007968EC" w:rsidRPr="002C0D19" w:rsidRDefault="007968EC" w:rsidP="00DA7472">
      <w:pPr>
        <w:numPr>
          <w:ilvl w:val="0"/>
          <w:numId w:val="189"/>
        </w:numPr>
        <w:ind w:left="540" w:hanging="540"/>
        <w:jc w:val="both"/>
        <w:rPr>
          <w:rFonts w:ascii="Arial Narrow" w:eastAsia="Calibri" w:hAnsi="Arial Narrow"/>
          <w:color w:val="000000" w:themeColor="text1"/>
        </w:rPr>
      </w:pPr>
      <w:r w:rsidRPr="002C0D19">
        <w:rPr>
          <w:rFonts w:ascii="Arial Narrow" w:eastAsia="Calibri" w:hAnsi="Arial Narrow"/>
          <w:color w:val="000000" w:themeColor="text1"/>
        </w:rPr>
        <w:t>Se realiza este proceso de forma reiterativa hasta que se agote dentro del Miembro Liquidador ya sea el volumen de compra o el volumen de venta por asignar.</w:t>
      </w:r>
    </w:p>
    <w:p w14:paraId="2010EB09" w14:textId="77777777" w:rsidR="007968EC" w:rsidRPr="002C0D19" w:rsidRDefault="007968EC" w:rsidP="007968EC">
      <w:pPr>
        <w:tabs>
          <w:tab w:val="left" w:pos="5988"/>
        </w:tabs>
        <w:jc w:val="both"/>
        <w:rPr>
          <w:rFonts w:ascii="Arial Narrow" w:eastAsia="Calibri" w:hAnsi="Arial Narrow"/>
          <w:color w:val="000000" w:themeColor="text1"/>
        </w:rPr>
      </w:pPr>
    </w:p>
    <w:p w14:paraId="44158C1D" w14:textId="77777777" w:rsidR="007968EC" w:rsidRPr="002C0D19" w:rsidRDefault="007968EC" w:rsidP="007968EC">
      <w:pPr>
        <w:tabs>
          <w:tab w:val="left" w:pos="5988"/>
        </w:tabs>
        <w:jc w:val="both"/>
        <w:rPr>
          <w:rFonts w:ascii="Arial Narrow" w:eastAsia="Calibri" w:hAnsi="Arial Narrow"/>
          <w:color w:val="000000" w:themeColor="text1"/>
        </w:rPr>
      </w:pPr>
      <w:r w:rsidRPr="002C0D19">
        <w:rPr>
          <w:rFonts w:ascii="Arial Narrow" w:eastAsia="Calibri" w:hAnsi="Arial Narrow"/>
          <w:color w:val="000000" w:themeColor="text1"/>
        </w:rPr>
        <w:t>De esta forma se construyen todas las posibles parejas de entrega dentro del Miembro no Liquidador y la Posición de compra o de venta no asignada, se llevará para su asignación con las posiciones no asignadas de otros Miembros no Liquidadores del mismo Miembro Liquidador, o con lo Terceros Identificados directos de éste.</w:t>
      </w:r>
    </w:p>
    <w:p w14:paraId="09AD1832" w14:textId="77777777" w:rsidR="007968EC" w:rsidRPr="002C0D19" w:rsidRDefault="007968EC" w:rsidP="007968EC">
      <w:pPr>
        <w:jc w:val="both"/>
        <w:rPr>
          <w:rFonts w:ascii="Arial Narrow" w:eastAsia="Calibri" w:hAnsi="Arial Narrow"/>
          <w:color w:val="000000" w:themeColor="text1"/>
        </w:rPr>
      </w:pPr>
    </w:p>
    <w:p w14:paraId="5085D99B" w14:textId="77777777" w:rsidR="007968EC" w:rsidRPr="002C0D19" w:rsidRDefault="007968EC" w:rsidP="007968EC">
      <w:pPr>
        <w:pStyle w:val="ARTICULO0"/>
      </w:pPr>
      <w:bookmarkStart w:id="4358" w:name="_Toc470779950"/>
      <w:bookmarkStart w:id="4359" w:name="_Toc470780567"/>
      <w:bookmarkStart w:id="4360" w:name="_Toc470781080"/>
      <w:bookmarkStart w:id="4361" w:name="_Toc470784641"/>
      <w:bookmarkStart w:id="4362" w:name="_Toc470785178"/>
      <w:bookmarkStart w:id="4363" w:name="_Toc470791570"/>
      <w:bookmarkStart w:id="4364" w:name="_Toc472592331"/>
      <w:bookmarkStart w:id="4365" w:name="_Toc472593350"/>
      <w:bookmarkStart w:id="4366" w:name="_Toc479057136"/>
      <w:bookmarkStart w:id="4367" w:name="_Toc490066474"/>
      <w:bookmarkStart w:id="4368" w:name="_Toc31716151"/>
      <w:r w:rsidRPr="002C0D19">
        <w:t>Artículo 2.4.4.14. Formación de parejas en Miembro Liquidador (diferente Miembro No Liquidador pero mismo Miembro Liquidador) en la Liquidación por Entrega de Contratos de Futuros.</w:t>
      </w:r>
      <w:bookmarkEnd w:id="4358"/>
      <w:bookmarkEnd w:id="4359"/>
      <w:bookmarkEnd w:id="4360"/>
      <w:bookmarkEnd w:id="4361"/>
      <w:bookmarkEnd w:id="4362"/>
      <w:bookmarkEnd w:id="4363"/>
      <w:bookmarkEnd w:id="4364"/>
      <w:bookmarkEnd w:id="4365"/>
      <w:bookmarkEnd w:id="4366"/>
      <w:bookmarkEnd w:id="4367"/>
      <w:bookmarkEnd w:id="4368"/>
    </w:p>
    <w:p w14:paraId="39F9E5ED" w14:textId="77777777" w:rsidR="007968EC" w:rsidRPr="002C0D19" w:rsidRDefault="007968EC" w:rsidP="007968EC">
      <w:pPr>
        <w:jc w:val="both"/>
        <w:rPr>
          <w:rFonts w:ascii="Arial Narrow" w:eastAsia="Calibri" w:hAnsi="Arial Narrow"/>
          <w:b/>
          <w:color w:val="000000" w:themeColor="text1"/>
        </w:rPr>
      </w:pPr>
    </w:p>
    <w:p w14:paraId="42F68E0A" w14:textId="77777777" w:rsidR="007968EC" w:rsidRPr="002C0D19" w:rsidRDefault="007968EC" w:rsidP="007968EC">
      <w:pPr>
        <w:tabs>
          <w:tab w:val="left" w:pos="5988"/>
        </w:tabs>
        <w:jc w:val="both"/>
        <w:rPr>
          <w:rFonts w:ascii="Arial Narrow" w:eastAsia="Calibri" w:hAnsi="Arial Narrow"/>
          <w:color w:val="000000" w:themeColor="text1"/>
        </w:rPr>
      </w:pPr>
      <w:r w:rsidRPr="002C0D19">
        <w:rPr>
          <w:rFonts w:ascii="Arial Narrow" w:eastAsia="Calibri" w:hAnsi="Arial Narrow"/>
          <w:color w:val="000000" w:themeColor="text1"/>
        </w:rPr>
        <w:t xml:space="preserve">Se pretende obtener parejas “Titular Miembro contra Titular Miembro del mismo Liquidador”. Como consecuencia del resultado del algoritmo “Reparto Miembro”, los Miembros No Liquidadores con volumen pendiente de asignar sólo tienen titulares de compra o titulares de venta, en cuyo caso, se procede a realizar la asignación entre posiciones contrarias de Miembros No Liquidadores y las posiciones de Terceros Identificados directos que compensa y liquida el Miembro Liquidador. </w:t>
      </w:r>
    </w:p>
    <w:p w14:paraId="07B3E06A" w14:textId="77777777" w:rsidR="007968EC" w:rsidRPr="00C02E65" w:rsidRDefault="007968EC" w:rsidP="007968EC">
      <w:pPr>
        <w:jc w:val="both"/>
        <w:rPr>
          <w:rFonts w:ascii="Arial Narrow" w:eastAsia="Calibri" w:hAnsi="Arial Narrow"/>
          <w:b/>
          <w:color w:val="000000" w:themeColor="text1"/>
        </w:rPr>
      </w:pPr>
    </w:p>
    <w:p w14:paraId="1AB500A0" w14:textId="77777777" w:rsidR="007968EC" w:rsidRPr="002C0D19" w:rsidRDefault="007968EC" w:rsidP="007968EC">
      <w:pPr>
        <w:tabs>
          <w:tab w:val="left" w:pos="5988"/>
        </w:tabs>
        <w:jc w:val="both"/>
        <w:rPr>
          <w:rFonts w:ascii="Arial Narrow" w:eastAsia="Calibri" w:hAnsi="Arial Narrow"/>
          <w:color w:val="000000" w:themeColor="text1"/>
        </w:rPr>
      </w:pPr>
      <w:r w:rsidRPr="002C0D19">
        <w:rPr>
          <w:rFonts w:ascii="Arial Narrow" w:eastAsia="Calibri" w:hAnsi="Arial Narrow"/>
          <w:color w:val="000000" w:themeColor="text1"/>
        </w:rPr>
        <w:t>Para esto se sigue el procedimiento del algoritmo anterior, que implica lo siguiente:</w:t>
      </w:r>
    </w:p>
    <w:p w14:paraId="2CE5C3DB" w14:textId="77777777" w:rsidR="007968EC" w:rsidRPr="00C02E65" w:rsidRDefault="007968EC" w:rsidP="007968EC">
      <w:pPr>
        <w:jc w:val="both"/>
        <w:rPr>
          <w:rFonts w:ascii="Arial Narrow" w:eastAsia="Calibri" w:hAnsi="Arial Narrow"/>
          <w:b/>
          <w:color w:val="000000" w:themeColor="text1"/>
        </w:rPr>
      </w:pPr>
    </w:p>
    <w:p w14:paraId="05977836" w14:textId="77777777" w:rsidR="007968EC" w:rsidRPr="002C0D19" w:rsidRDefault="007968EC" w:rsidP="00DA7472">
      <w:pPr>
        <w:numPr>
          <w:ilvl w:val="0"/>
          <w:numId w:val="190"/>
        </w:numPr>
        <w:tabs>
          <w:tab w:val="num" w:pos="540"/>
        </w:tabs>
        <w:ind w:left="540" w:hanging="540"/>
        <w:jc w:val="both"/>
        <w:rPr>
          <w:rFonts w:ascii="Arial Narrow" w:eastAsia="Calibri" w:hAnsi="Arial Narrow"/>
          <w:color w:val="000000" w:themeColor="text1"/>
        </w:rPr>
      </w:pPr>
      <w:r w:rsidRPr="002C0D19">
        <w:rPr>
          <w:rFonts w:ascii="Arial Narrow" w:eastAsia="Calibri" w:hAnsi="Arial Narrow"/>
          <w:color w:val="000000" w:themeColor="text1"/>
        </w:rPr>
        <w:t>Se ordenan de forma descendente por el volumen de la Posición Abierta que va a vencer, las posiciones resultantes de los titulares de cada Miembro No Liquidador y las de los Terceros Identificados directos del Miembro Liquidador.</w:t>
      </w:r>
    </w:p>
    <w:p w14:paraId="1EEB6651" w14:textId="77777777" w:rsidR="007968EC" w:rsidRPr="002C0D19" w:rsidRDefault="007968EC" w:rsidP="00DA7472">
      <w:pPr>
        <w:numPr>
          <w:ilvl w:val="0"/>
          <w:numId w:val="190"/>
        </w:numPr>
        <w:tabs>
          <w:tab w:val="num" w:pos="540"/>
        </w:tabs>
        <w:ind w:left="540" w:hanging="540"/>
        <w:jc w:val="both"/>
        <w:rPr>
          <w:rFonts w:ascii="Arial Narrow" w:eastAsia="Calibri" w:hAnsi="Arial Narrow"/>
          <w:color w:val="000000" w:themeColor="text1"/>
        </w:rPr>
      </w:pPr>
      <w:r w:rsidRPr="002C0D19">
        <w:rPr>
          <w:rFonts w:ascii="Arial Narrow" w:eastAsia="Calibri" w:hAnsi="Arial Narrow"/>
          <w:color w:val="000000" w:themeColor="text1"/>
        </w:rPr>
        <w:t>Se identifica si existen titulares con igual volumen comprador y vendedor. En este caso tanto el lado comprador como vendedor se ordena por Miembro – Titular para ordenar aquellos titulares con el mismo volumen.</w:t>
      </w:r>
    </w:p>
    <w:p w14:paraId="47C0FBD4" w14:textId="77777777" w:rsidR="007968EC" w:rsidRPr="002C0D19" w:rsidRDefault="007968EC" w:rsidP="00DA7472">
      <w:pPr>
        <w:numPr>
          <w:ilvl w:val="0"/>
          <w:numId w:val="190"/>
        </w:numPr>
        <w:tabs>
          <w:tab w:val="num" w:pos="540"/>
        </w:tabs>
        <w:ind w:left="540" w:hanging="540"/>
        <w:jc w:val="both"/>
        <w:rPr>
          <w:rFonts w:ascii="Arial Narrow" w:eastAsia="Calibri" w:hAnsi="Arial Narrow"/>
          <w:color w:val="000000" w:themeColor="text1"/>
        </w:rPr>
      </w:pPr>
      <w:r w:rsidRPr="002C0D19">
        <w:rPr>
          <w:rFonts w:ascii="Arial Narrow" w:eastAsia="Calibri" w:hAnsi="Arial Narrow"/>
          <w:color w:val="000000" w:themeColor="text1"/>
        </w:rPr>
        <w:t>Con este orden se establecen las diferentes parejas que presentan igual volumen de compra y venta. Estas serían las primeras parejas “Titular Miembro contra Titular Miembro del mismo Liquidador”.</w:t>
      </w:r>
    </w:p>
    <w:p w14:paraId="5189DC04" w14:textId="77777777" w:rsidR="007968EC" w:rsidRPr="002C0D19" w:rsidRDefault="007968EC" w:rsidP="00DA7472">
      <w:pPr>
        <w:numPr>
          <w:ilvl w:val="0"/>
          <w:numId w:val="190"/>
        </w:numPr>
        <w:tabs>
          <w:tab w:val="num" w:pos="540"/>
        </w:tabs>
        <w:ind w:left="540" w:hanging="540"/>
        <w:jc w:val="both"/>
        <w:rPr>
          <w:rFonts w:ascii="Arial Narrow" w:eastAsia="Calibri" w:hAnsi="Arial Narrow"/>
          <w:color w:val="000000" w:themeColor="text1"/>
        </w:rPr>
      </w:pPr>
      <w:r w:rsidRPr="002C0D19">
        <w:rPr>
          <w:rFonts w:ascii="Arial Narrow" w:eastAsia="Calibri" w:hAnsi="Arial Narrow"/>
          <w:color w:val="000000" w:themeColor="text1"/>
        </w:rPr>
        <w:t>Este proceso se repite para cada combinación de comprador y vendedor con igual volumen.</w:t>
      </w:r>
    </w:p>
    <w:p w14:paraId="30CA63CA" w14:textId="77777777" w:rsidR="007968EC" w:rsidRPr="002C0D19" w:rsidRDefault="007968EC" w:rsidP="00DA7472">
      <w:pPr>
        <w:numPr>
          <w:ilvl w:val="0"/>
          <w:numId w:val="190"/>
        </w:numPr>
        <w:tabs>
          <w:tab w:val="num" w:pos="540"/>
        </w:tabs>
        <w:ind w:left="540" w:hanging="540"/>
        <w:jc w:val="both"/>
        <w:rPr>
          <w:rFonts w:ascii="Arial Narrow" w:eastAsia="Calibri" w:hAnsi="Arial Narrow"/>
          <w:color w:val="000000" w:themeColor="text1"/>
        </w:rPr>
      </w:pPr>
      <w:r w:rsidRPr="002C0D19">
        <w:rPr>
          <w:rFonts w:ascii="Arial Narrow" w:eastAsia="Calibri" w:hAnsi="Arial Narrow"/>
          <w:color w:val="000000" w:themeColor="text1"/>
        </w:rPr>
        <w:t>A las parejas establecidas, tanto a comprador como vendedor, se les resta el volumen asignado de la Operación y se comprueba que el resultado sea igual a cero, para proceder a eliminar al titular del proceso de reparto.</w:t>
      </w:r>
    </w:p>
    <w:p w14:paraId="5F630A28" w14:textId="77777777" w:rsidR="007968EC" w:rsidRPr="002C0D19" w:rsidRDefault="007968EC" w:rsidP="00DA7472">
      <w:pPr>
        <w:numPr>
          <w:ilvl w:val="0"/>
          <w:numId w:val="190"/>
        </w:numPr>
        <w:tabs>
          <w:tab w:val="num" w:pos="540"/>
        </w:tabs>
        <w:ind w:left="540" w:hanging="540"/>
        <w:jc w:val="both"/>
        <w:rPr>
          <w:rFonts w:ascii="Arial Narrow" w:eastAsia="Calibri" w:hAnsi="Arial Narrow"/>
          <w:color w:val="000000" w:themeColor="text1"/>
        </w:rPr>
      </w:pPr>
      <w:r w:rsidRPr="002C0D19">
        <w:rPr>
          <w:rFonts w:ascii="Arial Narrow" w:eastAsia="Calibri" w:hAnsi="Arial Narrow"/>
          <w:color w:val="000000" w:themeColor="text1"/>
        </w:rPr>
        <w:lastRenderedPageBreak/>
        <w:t>Los titulares restantes se ordenan por cada lado de compra y venta, de forma descendente por el volumen de la Posición Abierta a vencer.</w:t>
      </w:r>
    </w:p>
    <w:p w14:paraId="75898F33" w14:textId="77777777" w:rsidR="007968EC" w:rsidRPr="002C0D19" w:rsidRDefault="007968EC" w:rsidP="00DA7472">
      <w:pPr>
        <w:numPr>
          <w:ilvl w:val="0"/>
          <w:numId w:val="190"/>
        </w:numPr>
        <w:tabs>
          <w:tab w:val="num" w:pos="540"/>
        </w:tabs>
        <w:ind w:left="540" w:hanging="540"/>
        <w:jc w:val="both"/>
        <w:rPr>
          <w:rFonts w:ascii="Arial Narrow" w:eastAsia="Calibri" w:hAnsi="Arial Narrow"/>
          <w:color w:val="000000" w:themeColor="text1"/>
        </w:rPr>
      </w:pPr>
      <w:r w:rsidRPr="002C0D19">
        <w:rPr>
          <w:rFonts w:ascii="Arial Narrow" w:eastAsia="Calibri" w:hAnsi="Arial Narrow"/>
          <w:color w:val="000000" w:themeColor="text1"/>
        </w:rPr>
        <w:t>Se establecen parejas entre los titulares con mayor volumen de compra y venta por asignar. Éstas serían las siguientes parejas “Titular Miembro contra Titular Miembro del mismo Liquidador” con un volumen de la Operación igual al menor de los volúmenes de compra y venta de cada pareja.</w:t>
      </w:r>
    </w:p>
    <w:p w14:paraId="39477C3B" w14:textId="77777777" w:rsidR="007968EC" w:rsidRPr="002C0D19" w:rsidRDefault="007968EC" w:rsidP="00DA7472">
      <w:pPr>
        <w:numPr>
          <w:ilvl w:val="0"/>
          <w:numId w:val="190"/>
        </w:numPr>
        <w:tabs>
          <w:tab w:val="num" w:pos="540"/>
        </w:tabs>
        <w:ind w:left="540" w:hanging="540"/>
        <w:jc w:val="both"/>
        <w:rPr>
          <w:rFonts w:ascii="Arial Narrow" w:eastAsia="Calibri" w:hAnsi="Arial Narrow"/>
          <w:color w:val="000000" w:themeColor="text1"/>
        </w:rPr>
      </w:pPr>
      <w:r w:rsidRPr="002C0D19">
        <w:rPr>
          <w:rFonts w:ascii="Arial Narrow" w:eastAsia="Calibri" w:hAnsi="Arial Narrow"/>
          <w:color w:val="000000" w:themeColor="text1"/>
        </w:rPr>
        <w:t>Por cada pareja se resta el volumen asignado tanto a vendedor como a comprador y los titulares que después de este cálculo presenten volumen igual a cero son eliminados del proceso de reparto. En caso contrario, el titular con Posición viva después de la asignación permanece con el volumen remanente para ser asignado en el proceso iterativo siguiente.</w:t>
      </w:r>
    </w:p>
    <w:p w14:paraId="0675C212" w14:textId="77777777" w:rsidR="007968EC" w:rsidRPr="002C0D19" w:rsidRDefault="007968EC" w:rsidP="00DA7472">
      <w:pPr>
        <w:numPr>
          <w:ilvl w:val="0"/>
          <w:numId w:val="190"/>
        </w:numPr>
        <w:tabs>
          <w:tab w:val="num" w:pos="540"/>
        </w:tabs>
        <w:ind w:left="540" w:hanging="540"/>
        <w:jc w:val="both"/>
        <w:rPr>
          <w:rFonts w:ascii="Arial Narrow" w:eastAsia="Calibri" w:hAnsi="Arial Narrow"/>
          <w:color w:val="000000" w:themeColor="text1"/>
        </w:rPr>
      </w:pPr>
      <w:r w:rsidRPr="002C0D19">
        <w:rPr>
          <w:rFonts w:ascii="Arial Narrow" w:eastAsia="Calibri" w:hAnsi="Arial Narrow"/>
          <w:color w:val="000000" w:themeColor="text1"/>
        </w:rPr>
        <w:t>Se realiza este proceso de forma reiterativa hasta que se agote dentro del Miembro Liquidador ya sea el volumen de compra o el volumen de venta por asignar.</w:t>
      </w:r>
    </w:p>
    <w:p w14:paraId="6EA2EFD2" w14:textId="77777777" w:rsidR="007968EC" w:rsidRPr="002C0D19" w:rsidRDefault="007968EC" w:rsidP="007968EC">
      <w:pPr>
        <w:tabs>
          <w:tab w:val="left" w:pos="5988"/>
        </w:tabs>
        <w:jc w:val="both"/>
        <w:rPr>
          <w:rFonts w:ascii="Arial Narrow" w:eastAsia="Calibri" w:hAnsi="Arial Narrow"/>
          <w:color w:val="000000" w:themeColor="text1"/>
        </w:rPr>
      </w:pPr>
    </w:p>
    <w:p w14:paraId="7BD74FD5" w14:textId="77777777" w:rsidR="007968EC" w:rsidRPr="002C0D19" w:rsidRDefault="007968EC" w:rsidP="007968EC">
      <w:pPr>
        <w:tabs>
          <w:tab w:val="left" w:pos="5988"/>
        </w:tabs>
        <w:jc w:val="both"/>
        <w:rPr>
          <w:rFonts w:ascii="Arial Narrow" w:eastAsia="Calibri" w:hAnsi="Arial Narrow"/>
          <w:color w:val="000000" w:themeColor="text1"/>
        </w:rPr>
      </w:pPr>
      <w:r w:rsidRPr="002C0D19">
        <w:rPr>
          <w:rFonts w:ascii="Arial Narrow" w:eastAsia="Calibri" w:hAnsi="Arial Narrow"/>
          <w:color w:val="000000" w:themeColor="text1"/>
        </w:rPr>
        <w:t>De esta forma se construyen todas las posibles parejas de entrega dentro del Miembro Liquidador y la Posición sea de compra o de venta no asignada, se llevará para su asignación con las posiciones no asignadas de otros Miembros Liquidadores pertenecientes al mismo Agente de Pago.</w:t>
      </w:r>
    </w:p>
    <w:p w14:paraId="0E1EAB06" w14:textId="77777777" w:rsidR="007968EC" w:rsidRPr="002C0D19" w:rsidRDefault="007968EC" w:rsidP="007968EC">
      <w:pPr>
        <w:jc w:val="both"/>
        <w:rPr>
          <w:rFonts w:ascii="Arial Narrow" w:eastAsia="Calibri" w:hAnsi="Arial Narrow"/>
          <w:color w:val="000000" w:themeColor="text1"/>
        </w:rPr>
      </w:pPr>
    </w:p>
    <w:p w14:paraId="4993B668" w14:textId="77777777" w:rsidR="007968EC" w:rsidRPr="002C0D19" w:rsidRDefault="007968EC" w:rsidP="007968EC">
      <w:pPr>
        <w:pStyle w:val="ARTICULO0"/>
      </w:pPr>
      <w:bookmarkStart w:id="4369" w:name="_Toc470779951"/>
      <w:bookmarkStart w:id="4370" w:name="_Toc470780568"/>
      <w:bookmarkStart w:id="4371" w:name="_Toc470781081"/>
      <w:bookmarkStart w:id="4372" w:name="_Toc470784642"/>
      <w:bookmarkStart w:id="4373" w:name="_Toc470785179"/>
      <w:bookmarkStart w:id="4374" w:name="_Toc470791571"/>
      <w:bookmarkStart w:id="4375" w:name="_Toc472592332"/>
      <w:bookmarkStart w:id="4376" w:name="_Toc472593351"/>
      <w:bookmarkStart w:id="4377" w:name="_Toc479057137"/>
      <w:bookmarkStart w:id="4378" w:name="_Toc490066475"/>
      <w:bookmarkStart w:id="4379" w:name="_Toc31716152"/>
      <w:r w:rsidRPr="002C0D19">
        <w:t>Artículo 2.4.4.15. Reparto Agente de Pago (diferente Liquidador pero mismo Agente de Pago) en la Liquidación por Entrega de Contratos de Futuros.</w:t>
      </w:r>
      <w:bookmarkEnd w:id="4369"/>
      <w:bookmarkEnd w:id="4370"/>
      <w:bookmarkEnd w:id="4371"/>
      <w:bookmarkEnd w:id="4372"/>
      <w:bookmarkEnd w:id="4373"/>
      <w:bookmarkEnd w:id="4374"/>
      <w:bookmarkEnd w:id="4375"/>
      <w:bookmarkEnd w:id="4376"/>
      <w:bookmarkEnd w:id="4377"/>
      <w:bookmarkEnd w:id="4378"/>
      <w:bookmarkEnd w:id="4379"/>
    </w:p>
    <w:p w14:paraId="42C99A95" w14:textId="77777777" w:rsidR="007968EC" w:rsidRPr="002C0D19" w:rsidRDefault="007968EC" w:rsidP="007968EC">
      <w:pPr>
        <w:jc w:val="both"/>
        <w:rPr>
          <w:rFonts w:ascii="Arial Narrow" w:eastAsia="Calibri" w:hAnsi="Arial Narrow"/>
          <w:b/>
          <w:color w:val="000000" w:themeColor="text1"/>
        </w:rPr>
      </w:pPr>
    </w:p>
    <w:p w14:paraId="4B3C280F" w14:textId="77777777" w:rsidR="007968EC" w:rsidRPr="002C0D19" w:rsidRDefault="007968EC" w:rsidP="007968EC">
      <w:pPr>
        <w:tabs>
          <w:tab w:val="left" w:pos="5988"/>
        </w:tabs>
        <w:jc w:val="both"/>
        <w:rPr>
          <w:rFonts w:ascii="Arial Narrow" w:eastAsia="Calibri" w:hAnsi="Arial Narrow"/>
          <w:color w:val="000000" w:themeColor="text1"/>
        </w:rPr>
      </w:pPr>
      <w:r w:rsidRPr="002C0D19">
        <w:rPr>
          <w:rFonts w:ascii="Arial Narrow" w:eastAsia="Calibri" w:hAnsi="Arial Narrow"/>
          <w:color w:val="000000" w:themeColor="text1"/>
        </w:rPr>
        <w:t>Se pretende obtener parejas “Titular Miembro contra Titular Miembro del mismo Agente de Pago”. Como consecuencia del resultado del algoritmo “Reparto Miembro Liquidador”, los Miembros Liquidadores con volumen pendiente de asignar sólo tienen titulares de compra o titulares de venta, en cuyo caso, se procede a realizar la asignación entre posiciones contrarias de Miembros Liquidadores que cuentan con el mismo Agente de Pago.</w:t>
      </w:r>
    </w:p>
    <w:p w14:paraId="5DD9B0CC" w14:textId="77777777" w:rsidR="007968EC" w:rsidRDefault="007968EC" w:rsidP="007968EC">
      <w:pPr>
        <w:tabs>
          <w:tab w:val="left" w:pos="5988"/>
        </w:tabs>
        <w:jc w:val="both"/>
        <w:rPr>
          <w:rFonts w:ascii="Arial Narrow" w:eastAsia="Calibri" w:hAnsi="Arial Narrow"/>
          <w:color w:val="000000" w:themeColor="text1"/>
        </w:rPr>
      </w:pPr>
    </w:p>
    <w:p w14:paraId="03606ACA" w14:textId="77777777" w:rsidR="007968EC" w:rsidRPr="002C0D19" w:rsidRDefault="007968EC" w:rsidP="007968EC">
      <w:pPr>
        <w:tabs>
          <w:tab w:val="left" w:pos="5988"/>
        </w:tabs>
        <w:jc w:val="both"/>
        <w:rPr>
          <w:rFonts w:ascii="Arial Narrow" w:eastAsia="Calibri" w:hAnsi="Arial Narrow"/>
          <w:color w:val="000000" w:themeColor="text1"/>
        </w:rPr>
      </w:pPr>
      <w:r w:rsidRPr="002C0D19">
        <w:rPr>
          <w:rFonts w:ascii="Arial Narrow" w:eastAsia="Calibri" w:hAnsi="Arial Narrow"/>
          <w:color w:val="000000" w:themeColor="text1"/>
        </w:rPr>
        <w:t>El procedimiento que se sigue en este caso es el siguiente:</w:t>
      </w:r>
    </w:p>
    <w:p w14:paraId="24ED7158" w14:textId="77777777" w:rsidR="007968EC" w:rsidRPr="002C0D19" w:rsidRDefault="007968EC" w:rsidP="007968EC">
      <w:pPr>
        <w:tabs>
          <w:tab w:val="left" w:pos="5988"/>
        </w:tabs>
        <w:jc w:val="both"/>
        <w:rPr>
          <w:rFonts w:ascii="Arial Narrow" w:eastAsia="Calibri" w:hAnsi="Arial Narrow"/>
          <w:color w:val="000000" w:themeColor="text1"/>
        </w:rPr>
      </w:pPr>
    </w:p>
    <w:p w14:paraId="44220C05" w14:textId="77777777" w:rsidR="007968EC" w:rsidRPr="002C0D19" w:rsidRDefault="007968EC" w:rsidP="00DA7472">
      <w:pPr>
        <w:numPr>
          <w:ilvl w:val="0"/>
          <w:numId w:val="191"/>
        </w:numPr>
        <w:ind w:left="601" w:hanging="567"/>
        <w:jc w:val="both"/>
        <w:rPr>
          <w:rFonts w:ascii="Arial Narrow" w:eastAsia="Calibri" w:hAnsi="Arial Narrow"/>
          <w:color w:val="000000" w:themeColor="text1"/>
          <w:lang w:eastAsia="es-CO"/>
        </w:rPr>
      </w:pPr>
      <w:r w:rsidRPr="002C0D19">
        <w:rPr>
          <w:rFonts w:ascii="Arial Narrow" w:eastAsia="Calibri" w:hAnsi="Arial Narrow"/>
          <w:color w:val="000000" w:themeColor="text1"/>
          <w:lang w:eastAsia="es-CO"/>
        </w:rPr>
        <w:t>Se ordenan de forma descendente por el volumen de la Posición Abierta que va a vencer, las posiciones resultantes de los titulares de cada Liquidador.</w:t>
      </w:r>
    </w:p>
    <w:p w14:paraId="6933E77E" w14:textId="77777777" w:rsidR="007968EC" w:rsidRPr="002C0D19" w:rsidRDefault="007968EC" w:rsidP="00DA7472">
      <w:pPr>
        <w:numPr>
          <w:ilvl w:val="0"/>
          <w:numId w:val="191"/>
        </w:numPr>
        <w:ind w:left="567" w:hanging="567"/>
        <w:jc w:val="both"/>
        <w:rPr>
          <w:rFonts w:ascii="Arial Narrow" w:eastAsia="Calibri" w:hAnsi="Arial Narrow"/>
          <w:color w:val="000000" w:themeColor="text1"/>
          <w:lang w:eastAsia="es-CO"/>
        </w:rPr>
      </w:pPr>
      <w:r w:rsidRPr="002C0D19">
        <w:rPr>
          <w:rFonts w:ascii="Arial Narrow" w:eastAsia="Calibri" w:hAnsi="Arial Narrow"/>
          <w:color w:val="000000" w:themeColor="text1"/>
          <w:lang w:eastAsia="es-CO"/>
        </w:rPr>
        <w:t>Se identifica si existen titulares con igual volumen comprador y vendedor. En este caso tanto el lado comprador como vendedor se ordena por Miembro – Titular para ordenar aquellos titulares con el mismo volumen.</w:t>
      </w:r>
    </w:p>
    <w:p w14:paraId="0744B826" w14:textId="77777777" w:rsidR="007968EC" w:rsidRPr="002C0D19" w:rsidRDefault="007968EC" w:rsidP="00DA7472">
      <w:pPr>
        <w:numPr>
          <w:ilvl w:val="0"/>
          <w:numId w:val="191"/>
        </w:numPr>
        <w:ind w:left="567" w:hanging="567"/>
        <w:jc w:val="both"/>
        <w:rPr>
          <w:rFonts w:ascii="Arial Narrow" w:eastAsia="Calibri" w:hAnsi="Arial Narrow"/>
          <w:color w:val="000000" w:themeColor="text1"/>
          <w:lang w:eastAsia="es-CO"/>
        </w:rPr>
      </w:pPr>
      <w:r w:rsidRPr="002C0D19">
        <w:rPr>
          <w:rFonts w:ascii="Arial Narrow" w:eastAsia="Calibri" w:hAnsi="Arial Narrow"/>
          <w:color w:val="000000" w:themeColor="text1"/>
          <w:lang w:eastAsia="es-CO"/>
        </w:rPr>
        <w:t>Con este orden se establecen las diferentes parejas que presentan igual volumen de compra y venta. Estas serían las primeras parejas “Titular Miembro contra Titular Miembro del mismo Agente de Pago”.</w:t>
      </w:r>
    </w:p>
    <w:p w14:paraId="72594871" w14:textId="77777777" w:rsidR="007968EC" w:rsidRPr="002C0D19" w:rsidRDefault="007968EC" w:rsidP="00DA7472">
      <w:pPr>
        <w:numPr>
          <w:ilvl w:val="0"/>
          <w:numId w:val="191"/>
        </w:numPr>
        <w:ind w:left="567" w:hanging="567"/>
        <w:jc w:val="both"/>
        <w:rPr>
          <w:rFonts w:ascii="Arial Narrow" w:eastAsia="Calibri" w:hAnsi="Arial Narrow"/>
          <w:color w:val="000000" w:themeColor="text1"/>
          <w:lang w:eastAsia="es-CO"/>
        </w:rPr>
      </w:pPr>
      <w:r w:rsidRPr="002C0D19">
        <w:rPr>
          <w:rFonts w:ascii="Arial Narrow" w:eastAsia="Calibri" w:hAnsi="Arial Narrow"/>
          <w:color w:val="000000" w:themeColor="text1"/>
          <w:lang w:eastAsia="es-CO"/>
        </w:rPr>
        <w:t>Este proceso se repite para cada combinación de comprador y vendedor con igual volumen.</w:t>
      </w:r>
    </w:p>
    <w:p w14:paraId="663D118E" w14:textId="77777777" w:rsidR="007968EC" w:rsidRPr="002C0D19" w:rsidRDefault="007968EC" w:rsidP="00DA7472">
      <w:pPr>
        <w:numPr>
          <w:ilvl w:val="0"/>
          <w:numId w:val="191"/>
        </w:numPr>
        <w:ind w:left="567" w:hanging="567"/>
        <w:jc w:val="both"/>
        <w:rPr>
          <w:rFonts w:ascii="Arial Narrow" w:eastAsia="Calibri" w:hAnsi="Arial Narrow"/>
          <w:color w:val="000000" w:themeColor="text1"/>
          <w:lang w:eastAsia="es-CO"/>
        </w:rPr>
      </w:pPr>
      <w:r w:rsidRPr="002C0D19">
        <w:rPr>
          <w:rFonts w:ascii="Arial Narrow" w:eastAsia="Calibri" w:hAnsi="Arial Narrow"/>
          <w:color w:val="000000" w:themeColor="text1"/>
          <w:lang w:eastAsia="es-CO"/>
        </w:rPr>
        <w:t>A las parejas establecidas, tanto a comprador como vendedor, se les resta el volumen asignado de la Operación y se comprueba que el resultado sea igual a cero, para proceder a eliminar al titular del proceso de reparto.</w:t>
      </w:r>
    </w:p>
    <w:p w14:paraId="4FD77430" w14:textId="77777777" w:rsidR="007968EC" w:rsidRPr="002C0D19" w:rsidRDefault="007968EC" w:rsidP="00DA7472">
      <w:pPr>
        <w:numPr>
          <w:ilvl w:val="0"/>
          <w:numId w:val="191"/>
        </w:numPr>
        <w:ind w:left="567" w:hanging="567"/>
        <w:jc w:val="both"/>
        <w:rPr>
          <w:rFonts w:ascii="Arial Narrow" w:eastAsia="Calibri" w:hAnsi="Arial Narrow"/>
          <w:color w:val="000000" w:themeColor="text1"/>
          <w:lang w:eastAsia="es-CO"/>
        </w:rPr>
      </w:pPr>
      <w:r w:rsidRPr="002C0D19">
        <w:rPr>
          <w:rFonts w:ascii="Arial Narrow" w:eastAsia="Calibri" w:hAnsi="Arial Narrow"/>
          <w:color w:val="000000" w:themeColor="text1"/>
          <w:lang w:eastAsia="es-CO"/>
        </w:rPr>
        <w:t>Los titulares restantes se ordenan por cada lado de compra y venta, de forma descendente por el volumen de la Posición Abierta a vencer.</w:t>
      </w:r>
    </w:p>
    <w:p w14:paraId="17913C18" w14:textId="77777777" w:rsidR="007968EC" w:rsidRPr="002C0D19" w:rsidRDefault="007968EC" w:rsidP="00DA7472">
      <w:pPr>
        <w:numPr>
          <w:ilvl w:val="0"/>
          <w:numId w:val="191"/>
        </w:numPr>
        <w:ind w:left="567" w:hanging="567"/>
        <w:jc w:val="both"/>
        <w:rPr>
          <w:rFonts w:ascii="Arial Narrow" w:eastAsia="Calibri" w:hAnsi="Arial Narrow"/>
          <w:color w:val="000000" w:themeColor="text1"/>
          <w:lang w:eastAsia="es-CO"/>
        </w:rPr>
      </w:pPr>
      <w:r w:rsidRPr="002C0D19">
        <w:rPr>
          <w:rFonts w:ascii="Arial Narrow" w:eastAsia="Calibri" w:hAnsi="Arial Narrow"/>
          <w:color w:val="000000" w:themeColor="text1"/>
          <w:lang w:eastAsia="es-CO"/>
        </w:rPr>
        <w:t>Se establecen parejas entre los titulares con mayor volumen de compra y venta por asignar. Éstas serían las siguientes parejas “Titular Miembro contra Titular Miembro del mismo Agente de Pago” con un volumen de la Operación igual al menor de los volúmenes de compra y venta de cada pareja.</w:t>
      </w:r>
    </w:p>
    <w:p w14:paraId="39BB125A" w14:textId="77777777" w:rsidR="007968EC" w:rsidRPr="002C0D19" w:rsidRDefault="007968EC" w:rsidP="00DA7472">
      <w:pPr>
        <w:numPr>
          <w:ilvl w:val="0"/>
          <w:numId w:val="191"/>
        </w:numPr>
        <w:ind w:left="567" w:hanging="567"/>
        <w:jc w:val="both"/>
        <w:rPr>
          <w:rFonts w:ascii="Arial Narrow" w:eastAsia="Calibri" w:hAnsi="Arial Narrow"/>
          <w:color w:val="000000" w:themeColor="text1"/>
          <w:lang w:eastAsia="es-CO"/>
        </w:rPr>
      </w:pPr>
      <w:r w:rsidRPr="002C0D19">
        <w:rPr>
          <w:rFonts w:ascii="Arial Narrow" w:eastAsia="Calibri" w:hAnsi="Arial Narrow"/>
          <w:color w:val="000000" w:themeColor="text1"/>
          <w:lang w:eastAsia="es-CO"/>
        </w:rPr>
        <w:lastRenderedPageBreak/>
        <w:t>Por cada pareja se resta el volumen asignado tanto a vendedor como a comprador y los titulares que después de este cálculo presenten volumen igual a cero son eliminados del proceso de reparto. En caso contrario, el titular con Posición viva después de la Asignación permanece con el volumen remanente para ser asignado en el proceso iterativo siguiente.</w:t>
      </w:r>
    </w:p>
    <w:p w14:paraId="58BBD1EC" w14:textId="77777777" w:rsidR="007968EC" w:rsidRPr="002C0D19" w:rsidRDefault="007968EC" w:rsidP="00DA7472">
      <w:pPr>
        <w:numPr>
          <w:ilvl w:val="0"/>
          <w:numId w:val="191"/>
        </w:numPr>
        <w:ind w:left="567" w:hanging="567"/>
        <w:jc w:val="both"/>
        <w:rPr>
          <w:rFonts w:ascii="Arial Narrow" w:eastAsia="Calibri" w:hAnsi="Arial Narrow"/>
          <w:color w:val="000000" w:themeColor="text1"/>
          <w:lang w:eastAsia="es-CO"/>
        </w:rPr>
      </w:pPr>
      <w:r w:rsidRPr="002C0D19">
        <w:rPr>
          <w:rFonts w:ascii="Arial Narrow" w:eastAsia="Calibri" w:hAnsi="Arial Narrow"/>
          <w:color w:val="000000" w:themeColor="text1"/>
          <w:lang w:eastAsia="es-CO"/>
        </w:rPr>
        <w:t>Se realiza este proceso de forma reiterativa hasta que se agote dentro de la estructura de Cuentas relacionada con el Agente de Pago ya sea el volumen de compra o el volumen de venta por asignar.</w:t>
      </w:r>
    </w:p>
    <w:p w14:paraId="387132A9" w14:textId="77777777" w:rsidR="007968EC" w:rsidRPr="002C0D19" w:rsidRDefault="007968EC" w:rsidP="007968EC">
      <w:pPr>
        <w:tabs>
          <w:tab w:val="left" w:pos="5988"/>
        </w:tabs>
        <w:jc w:val="both"/>
        <w:rPr>
          <w:rFonts w:ascii="Arial Narrow" w:eastAsia="Calibri" w:hAnsi="Arial Narrow"/>
          <w:color w:val="000000" w:themeColor="text1"/>
        </w:rPr>
      </w:pPr>
    </w:p>
    <w:p w14:paraId="69B154C2" w14:textId="77777777" w:rsidR="007968EC" w:rsidRPr="002C0D19" w:rsidRDefault="007968EC" w:rsidP="007968EC">
      <w:pPr>
        <w:tabs>
          <w:tab w:val="left" w:pos="5988"/>
        </w:tabs>
        <w:jc w:val="both"/>
        <w:rPr>
          <w:rFonts w:ascii="Arial Narrow" w:eastAsia="Calibri" w:hAnsi="Arial Narrow"/>
          <w:color w:val="000000" w:themeColor="text1"/>
        </w:rPr>
      </w:pPr>
      <w:r w:rsidRPr="002C0D19">
        <w:rPr>
          <w:rFonts w:ascii="Arial Narrow" w:eastAsia="Calibri" w:hAnsi="Arial Narrow"/>
          <w:color w:val="000000" w:themeColor="text1"/>
        </w:rPr>
        <w:t>De esta forma se construyen todas las posibles parejas de entrega dentro del Agente de Pago y la Posición sea de compra o de venta no asignada, se llevará para su Asignación con las posiciones no asignadas resultantes de este proceso con otros Agentes de Pago.</w:t>
      </w:r>
    </w:p>
    <w:p w14:paraId="530D8EBC" w14:textId="77777777" w:rsidR="007968EC" w:rsidRPr="002C0D19" w:rsidRDefault="007968EC" w:rsidP="007968EC">
      <w:pPr>
        <w:jc w:val="both"/>
        <w:rPr>
          <w:rFonts w:ascii="Arial Narrow" w:eastAsia="Calibri" w:hAnsi="Arial Narrow"/>
          <w:color w:val="000000" w:themeColor="text1"/>
        </w:rPr>
      </w:pPr>
    </w:p>
    <w:p w14:paraId="4A29B097" w14:textId="77777777" w:rsidR="007968EC" w:rsidRPr="002C0D19" w:rsidRDefault="007968EC" w:rsidP="007968EC">
      <w:pPr>
        <w:pStyle w:val="ARTICULO0"/>
      </w:pPr>
      <w:bookmarkStart w:id="4380" w:name="_Toc470779952"/>
      <w:bookmarkStart w:id="4381" w:name="_Toc470780569"/>
      <w:bookmarkStart w:id="4382" w:name="_Toc470781082"/>
      <w:bookmarkStart w:id="4383" w:name="_Toc470784643"/>
      <w:bookmarkStart w:id="4384" w:name="_Toc470785180"/>
      <w:bookmarkStart w:id="4385" w:name="_Toc470791572"/>
      <w:bookmarkStart w:id="4386" w:name="_Toc472592333"/>
      <w:bookmarkStart w:id="4387" w:name="_Toc472593352"/>
      <w:bookmarkStart w:id="4388" w:name="_Toc479057138"/>
      <w:bookmarkStart w:id="4389" w:name="_Toc490066476"/>
      <w:bookmarkStart w:id="4390" w:name="_Toc31716153"/>
      <w:r w:rsidRPr="002C0D19">
        <w:t>Artículo 2.4.4.16. Formación de parejas por parte de la Cámara (diferente Agente de Pago) en la Liquidación por Entrega de Contratos de Futuros.</w:t>
      </w:r>
      <w:bookmarkEnd w:id="4380"/>
      <w:bookmarkEnd w:id="4381"/>
      <w:bookmarkEnd w:id="4382"/>
      <w:bookmarkEnd w:id="4383"/>
      <w:bookmarkEnd w:id="4384"/>
      <w:bookmarkEnd w:id="4385"/>
      <w:bookmarkEnd w:id="4386"/>
      <w:bookmarkEnd w:id="4387"/>
      <w:bookmarkEnd w:id="4388"/>
      <w:bookmarkEnd w:id="4389"/>
      <w:bookmarkEnd w:id="4390"/>
    </w:p>
    <w:p w14:paraId="3C687915" w14:textId="77777777" w:rsidR="007968EC" w:rsidRPr="002C0D19" w:rsidRDefault="007968EC" w:rsidP="007968EC">
      <w:pPr>
        <w:jc w:val="both"/>
        <w:rPr>
          <w:rFonts w:ascii="Arial Narrow" w:eastAsia="Calibri" w:hAnsi="Arial Narrow"/>
          <w:b/>
          <w:color w:val="000000" w:themeColor="text1"/>
        </w:rPr>
      </w:pPr>
    </w:p>
    <w:p w14:paraId="0EF9E782" w14:textId="77777777" w:rsidR="007968EC" w:rsidRPr="002C0D19" w:rsidRDefault="007968EC" w:rsidP="007968EC">
      <w:pPr>
        <w:tabs>
          <w:tab w:val="left" w:pos="5988"/>
        </w:tabs>
        <w:jc w:val="both"/>
        <w:rPr>
          <w:rFonts w:ascii="Arial Narrow" w:eastAsia="Calibri" w:hAnsi="Arial Narrow"/>
          <w:color w:val="000000" w:themeColor="text1"/>
        </w:rPr>
      </w:pPr>
      <w:r w:rsidRPr="002C0D19">
        <w:rPr>
          <w:rFonts w:ascii="Arial Narrow" w:eastAsia="Calibri" w:hAnsi="Arial Narrow"/>
          <w:color w:val="000000" w:themeColor="text1"/>
        </w:rPr>
        <w:t>Se pretende obtener parejas “Titular Miembro contra Titular Miembro de distintos Agentes de Pago”. Como consecuencia del resultado del algoritmo “Reparto Agente de Pago”, las Cuentas asociadas con los Agentes de Pago con volumen pendiente de asignar sólo tienen titulares de compra o titulares de venta, en cuyo caso, se procede a realizar la asignación entre posiciones contrarias de distintos Agentes de Pago.</w:t>
      </w:r>
    </w:p>
    <w:p w14:paraId="243327A4" w14:textId="77777777" w:rsidR="007968EC" w:rsidRPr="002C0D19" w:rsidRDefault="007968EC" w:rsidP="007968EC">
      <w:pPr>
        <w:tabs>
          <w:tab w:val="left" w:pos="5988"/>
        </w:tabs>
        <w:jc w:val="both"/>
        <w:rPr>
          <w:rFonts w:ascii="Arial Narrow" w:eastAsia="Calibri" w:hAnsi="Arial Narrow"/>
          <w:color w:val="000000" w:themeColor="text1"/>
        </w:rPr>
      </w:pPr>
    </w:p>
    <w:p w14:paraId="59848802" w14:textId="77777777" w:rsidR="007968EC" w:rsidRPr="002C0D19" w:rsidRDefault="007968EC" w:rsidP="007968EC">
      <w:pPr>
        <w:tabs>
          <w:tab w:val="left" w:pos="5988"/>
        </w:tabs>
        <w:jc w:val="both"/>
        <w:rPr>
          <w:rFonts w:ascii="Arial Narrow" w:eastAsia="Calibri" w:hAnsi="Arial Narrow"/>
          <w:color w:val="000000" w:themeColor="text1"/>
        </w:rPr>
      </w:pPr>
      <w:r w:rsidRPr="002C0D19">
        <w:rPr>
          <w:rFonts w:ascii="Arial Narrow" w:eastAsia="Calibri" w:hAnsi="Arial Narrow"/>
          <w:color w:val="000000" w:themeColor="text1"/>
        </w:rPr>
        <w:t>El procedimiento que se sigue en este caso es el siguiente:</w:t>
      </w:r>
    </w:p>
    <w:p w14:paraId="4C628EDD" w14:textId="77777777" w:rsidR="007968EC" w:rsidRPr="002C0D19" w:rsidRDefault="007968EC" w:rsidP="007968EC">
      <w:pPr>
        <w:tabs>
          <w:tab w:val="left" w:pos="5988"/>
        </w:tabs>
        <w:jc w:val="both"/>
        <w:rPr>
          <w:rFonts w:ascii="Arial Narrow" w:eastAsia="Calibri" w:hAnsi="Arial Narrow"/>
          <w:color w:val="000000" w:themeColor="text1"/>
        </w:rPr>
      </w:pPr>
    </w:p>
    <w:p w14:paraId="7C0FA1D4" w14:textId="77777777" w:rsidR="007968EC" w:rsidRPr="002C0D19" w:rsidRDefault="007968EC" w:rsidP="00DA7472">
      <w:pPr>
        <w:numPr>
          <w:ilvl w:val="0"/>
          <w:numId w:val="192"/>
        </w:numPr>
        <w:ind w:left="540" w:hanging="540"/>
        <w:jc w:val="both"/>
        <w:rPr>
          <w:rFonts w:ascii="Arial Narrow" w:eastAsia="Calibri" w:hAnsi="Arial Narrow"/>
          <w:color w:val="000000" w:themeColor="text1"/>
        </w:rPr>
      </w:pPr>
      <w:r w:rsidRPr="002C0D19">
        <w:rPr>
          <w:rFonts w:ascii="Arial Narrow" w:eastAsia="Calibri" w:hAnsi="Arial Narrow"/>
          <w:color w:val="000000" w:themeColor="text1"/>
        </w:rPr>
        <w:t>Se ordenan de forma descendente por el volumen de la Posición Abierta que va a vencer, las posiciones resultantes de los titulares de cada Agente de Pago.</w:t>
      </w:r>
    </w:p>
    <w:p w14:paraId="7EC03148" w14:textId="77777777" w:rsidR="007968EC" w:rsidRPr="002C0D19" w:rsidRDefault="007968EC" w:rsidP="00DA7472">
      <w:pPr>
        <w:numPr>
          <w:ilvl w:val="0"/>
          <w:numId w:val="192"/>
        </w:numPr>
        <w:ind w:left="540" w:hanging="540"/>
        <w:jc w:val="both"/>
        <w:rPr>
          <w:rFonts w:ascii="Arial Narrow" w:eastAsia="Calibri" w:hAnsi="Arial Narrow"/>
          <w:color w:val="000000" w:themeColor="text1"/>
        </w:rPr>
      </w:pPr>
      <w:r w:rsidRPr="002C0D19">
        <w:rPr>
          <w:rFonts w:ascii="Arial Narrow" w:eastAsia="Calibri" w:hAnsi="Arial Narrow"/>
          <w:color w:val="000000" w:themeColor="text1"/>
        </w:rPr>
        <w:t>Se identifica si existen titulares con igual volumen comprador y vendedor. En este caso tanto el lado comprador como vendedor se ordena por Miembro – Titular para ordenar aquellos titulares con el mismo volumen.</w:t>
      </w:r>
    </w:p>
    <w:p w14:paraId="2E2F8D52" w14:textId="77777777" w:rsidR="007968EC" w:rsidRPr="002C0D19" w:rsidRDefault="007968EC" w:rsidP="00DA7472">
      <w:pPr>
        <w:numPr>
          <w:ilvl w:val="0"/>
          <w:numId w:val="192"/>
        </w:numPr>
        <w:ind w:left="540" w:hanging="540"/>
        <w:jc w:val="both"/>
        <w:rPr>
          <w:rFonts w:ascii="Arial Narrow" w:eastAsia="Calibri" w:hAnsi="Arial Narrow"/>
          <w:color w:val="000000" w:themeColor="text1"/>
        </w:rPr>
      </w:pPr>
      <w:r w:rsidRPr="002C0D19">
        <w:rPr>
          <w:rFonts w:ascii="Arial Narrow" w:eastAsia="Calibri" w:hAnsi="Arial Narrow"/>
          <w:color w:val="000000" w:themeColor="text1"/>
        </w:rPr>
        <w:t>Con este orden se establecen las diferentes parejas que presentan igual volumen de compra y venta. Estas serían las primeras parejas “Titular Miembro contra Titular Miembro de distintos Agentes de Pago”.</w:t>
      </w:r>
    </w:p>
    <w:p w14:paraId="714D477F" w14:textId="77777777" w:rsidR="007968EC" w:rsidRPr="002C0D19" w:rsidRDefault="007968EC" w:rsidP="00DA7472">
      <w:pPr>
        <w:numPr>
          <w:ilvl w:val="0"/>
          <w:numId w:val="192"/>
        </w:numPr>
        <w:ind w:left="540" w:hanging="540"/>
        <w:jc w:val="both"/>
        <w:rPr>
          <w:rFonts w:ascii="Arial Narrow" w:eastAsia="Calibri" w:hAnsi="Arial Narrow"/>
          <w:color w:val="000000" w:themeColor="text1"/>
        </w:rPr>
      </w:pPr>
      <w:r w:rsidRPr="002C0D19">
        <w:rPr>
          <w:rFonts w:ascii="Arial Narrow" w:eastAsia="Calibri" w:hAnsi="Arial Narrow"/>
          <w:color w:val="000000" w:themeColor="text1"/>
        </w:rPr>
        <w:t>Este proceso se repite para cada combinación de comprador y vendedor con igual volumen.</w:t>
      </w:r>
    </w:p>
    <w:p w14:paraId="3CBCC2A1" w14:textId="77777777" w:rsidR="007968EC" w:rsidRPr="002C0D19" w:rsidRDefault="007968EC" w:rsidP="00DA7472">
      <w:pPr>
        <w:numPr>
          <w:ilvl w:val="0"/>
          <w:numId w:val="192"/>
        </w:numPr>
        <w:ind w:left="540" w:hanging="540"/>
        <w:jc w:val="both"/>
        <w:rPr>
          <w:rFonts w:ascii="Arial Narrow" w:eastAsia="Calibri" w:hAnsi="Arial Narrow"/>
          <w:color w:val="000000" w:themeColor="text1"/>
        </w:rPr>
      </w:pPr>
      <w:r w:rsidRPr="002C0D19">
        <w:rPr>
          <w:rFonts w:ascii="Arial Narrow" w:eastAsia="Calibri" w:hAnsi="Arial Narrow"/>
          <w:color w:val="000000" w:themeColor="text1"/>
        </w:rPr>
        <w:t>A las parejas establecidas, tanto a comprador como vendedor, se les resta el volumen asignado de la Operación y se comprueba que el resultado sea igual a cero, para proceder a eliminar al titular del proceso de reparto.</w:t>
      </w:r>
    </w:p>
    <w:p w14:paraId="30837F1E" w14:textId="77777777" w:rsidR="007968EC" w:rsidRPr="002C0D19" w:rsidRDefault="007968EC" w:rsidP="00DA7472">
      <w:pPr>
        <w:numPr>
          <w:ilvl w:val="0"/>
          <w:numId w:val="192"/>
        </w:numPr>
        <w:ind w:left="540" w:hanging="540"/>
        <w:jc w:val="both"/>
        <w:rPr>
          <w:rFonts w:ascii="Arial Narrow" w:eastAsia="Calibri" w:hAnsi="Arial Narrow"/>
          <w:color w:val="000000" w:themeColor="text1"/>
        </w:rPr>
      </w:pPr>
      <w:r w:rsidRPr="002C0D19">
        <w:rPr>
          <w:rFonts w:ascii="Arial Narrow" w:eastAsia="Calibri" w:hAnsi="Arial Narrow"/>
          <w:color w:val="000000" w:themeColor="text1"/>
        </w:rPr>
        <w:t>Los titulares restantes se ordenan por cada lado de compra y venta, de forma descendente por el volumen de la Posición Abierta a vencer.</w:t>
      </w:r>
    </w:p>
    <w:p w14:paraId="3FB07991" w14:textId="77777777" w:rsidR="007968EC" w:rsidRPr="002C0D19" w:rsidRDefault="007968EC" w:rsidP="00DA7472">
      <w:pPr>
        <w:numPr>
          <w:ilvl w:val="0"/>
          <w:numId w:val="192"/>
        </w:numPr>
        <w:ind w:left="540" w:hanging="540"/>
        <w:jc w:val="both"/>
        <w:rPr>
          <w:rFonts w:ascii="Arial Narrow" w:eastAsia="Calibri" w:hAnsi="Arial Narrow"/>
          <w:color w:val="000000" w:themeColor="text1"/>
        </w:rPr>
      </w:pPr>
      <w:r w:rsidRPr="002C0D19">
        <w:rPr>
          <w:rFonts w:ascii="Arial Narrow" w:eastAsia="Calibri" w:hAnsi="Arial Narrow"/>
          <w:color w:val="000000" w:themeColor="text1"/>
        </w:rPr>
        <w:t>Se establecen parejas entre los titulares con mayor volumen de compra y venta por asignar. Éstas serían las siguientes parejas “Titular Miembro contra Titular Miembro de distintos Agentes de Pago” con un volumen de la Operación igual al menor de los volúmenes de compra y venta de cada pareja.</w:t>
      </w:r>
    </w:p>
    <w:p w14:paraId="70347714" w14:textId="77777777" w:rsidR="007968EC" w:rsidRPr="002C0D19" w:rsidRDefault="007968EC" w:rsidP="00DA7472">
      <w:pPr>
        <w:numPr>
          <w:ilvl w:val="0"/>
          <w:numId w:val="192"/>
        </w:numPr>
        <w:ind w:left="540" w:hanging="540"/>
        <w:jc w:val="both"/>
        <w:rPr>
          <w:rFonts w:ascii="Arial Narrow" w:eastAsia="Calibri" w:hAnsi="Arial Narrow"/>
          <w:color w:val="000000" w:themeColor="text1"/>
        </w:rPr>
      </w:pPr>
      <w:r w:rsidRPr="002C0D19">
        <w:rPr>
          <w:rFonts w:ascii="Arial Narrow" w:eastAsia="Calibri" w:hAnsi="Arial Narrow"/>
          <w:color w:val="000000" w:themeColor="text1"/>
        </w:rPr>
        <w:t>Por cada pareja se resta el volumen asignado tanto a vendedor como a comprador y los titulares que después de este cálculo presenten volumen igual a cero son eliminados del proceso de reparto. En caso contrario, el titular con Posición viva después de la asignación permanece con el volumen remanente para ser asignado en el proceso iterativo siguiente.</w:t>
      </w:r>
    </w:p>
    <w:p w14:paraId="27C93E71" w14:textId="77777777" w:rsidR="007968EC" w:rsidRPr="002C0D19" w:rsidRDefault="007968EC" w:rsidP="00DA7472">
      <w:pPr>
        <w:numPr>
          <w:ilvl w:val="0"/>
          <w:numId w:val="192"/>
        </w:numPr>
        <w:ind w:left="540" w:hanging="540"/>
        <w:jc w:val="both"/>
        <w:rPr>
          <w:rFonts w:ascii="Arial Narrow" w:eastAsia="Calibri" w:hAnsi="Arial Narrow"/>
          <w:color w:val="000000" w:themeColor="text1"/>
        </w:rPr>
      </w:pPr>
      <w:r w:rsidRPr="002C0D19">
        <w:rPr>
          <w:rFonts w:ascii="Arial Narrow" w:eastAsia="Calibri" w:hAnsi="Arial Narrow"/>
          <w:color w:val="000000" w:themeColor="text1"/>
        </w:rPr>
        <w:lastRenderedPageBreak/>
        <w:t>Se realiza este proceso de forma reiterativa hasta que se agote dentro de la estructura de Cuentas relacionada con cada Agente de Pago ya sea el volumen de compra o el volumen de venta por asignar.</w:t>
      </w:r>
    </w:p>
    <w:p w14:paraId="6E6D3869" w14:textId="77777777" w:rsidR="007968EC" w:rsidRPr="002C0D19" w:rsidRDefault="007968EC" w:rsidP="007968EC">
      <w:pPr>
        <w:tabs>
          <w:tab w:val="left" w:pos="5988"/>
        </w:tabs>
        <w:jc w:val="both"/>
        <w:rPr>
          <w:rFonts w:ascii="Arial Narrow" w:eastAsia="Calibri" w:hAnsi="Arial Narrow"/>
          <w:color w:val="000000" w:themeColor="text1"/>
        </w:rPr>
      </w:pPr>
    </w:p>
    <w:p w14:paraId="6F19F94C" w14:textId="77777777" w:rsidR="007968EC" w:rsidRPr="002C0D19" w:rsidRDefault="007968EC" w:rsidP="007968EC">
      <w:pPr>
        <w:tabs>
          <w:tab w:val="left" w:pos="5988"/>
        </w:tabs>
        <w:jc w:val="both"/>
        <w:rPr>
          <w:rFonts w:ascii="Arial Narrow" w:eastAsia="Calibri" w:hAnsi="Arial Narrow"/>
          <w:color w:val="000000" w:themeColor="text1"/>
        </w:rPr>
      </w:pPr>
      <w:r w:rsidRPr="002C0D19">
        <w:rPr>
          <w:rFonts w:ascii="Arial Narrow" w:eastAsia="Calibri" w:hAnsi="Arial Narrow"/>
          <w:color w:val="000000" w:themeColor="text1"/>
        </w:rPr>
        <w:t>De esta forma se construyen todas las posibles parejas restantes dado que como la Cámara no toma Posición en este momento no existe Posición de compra o de venta sin asignar.</w:t>
      </w:r>
    </w:p>
    <w:p w14:paraId="527DBAD7" w14:textId="77777777" w:rsidR="007968EC" w:rsidRPr="002C0D19" w:rsidRDefault="007968EC" w:rsidP="007968EC">
      <w:pPr>
        <w:jc w:val="both"/>
        <w:rPr>
          <w:rFonts w:ascii="Arial Narrow" w:eastAsia="Calibri" w:hAnsi="Arial Narrow"/>
          <w:color w:val="000000" w:themeColor="text1"/>
        </w:rPr>
      </w:pPr>
    </w:p>
    <w:p w14:paraId="3C75A90A" w14:textId="77777777" w:rsidR="007968EC" w:rsidRPr="002C0D19" w:rsidRDefault="007968EC" w:rsidP="007968EC">
      <w:pPr>
        <w:pStyle w:val="ARTICULO0"/>
      </w:pPr>
      <w:bookmarkStart w:id="4391" w:name="_Toc470779953"/>
      <w:bookmarkStart w:id="4392" w:name="_Toc470780570"/>
      <w:bookmarkStart w:id="4393" w:name="_Toc470781083"/>
      <w:bookmarkStart w:id="4394" w:name="_Toc470784644"/>
      <w:bookmarkStart w:id="4395" w:name="_Toc470785181"/>
      <w:bookmarkStart w:id="4396" w:name="_Toc470791573"/>
      <w:bookmarkStart w:id="4397" w:name="_Toc472592334"/>
      <w:bookmarkStart w:id="4398" w:name="_Toc472593353"/>
      <w:bookmarkStart w:id="4399" w:name="_Toc479057139"/>
      <w:bookmarkStart w:id="4400" w:name="_Toc490066477"/>
      <w:bookmarkStart w:id="4401" w:name="_Toc31716154"/>
      <w:r w:rsidRPr="002C0D19">
        <w:t>Artículo 2.4.4.17. Algoritmo para asignación de varios entregables de un titular vendedor a distintos titulares compradores en la Liquidación por Entrega de Contratos de Futuros.</w:t>
      </w:r>
      <w:bookmarkEnd w:id="4391"/>
      <w:bookmarkEnd w:id="4392"/>
      <w:bookmarkEnd w:id="4393"/>
      <w:bookmarkEnd w:id="4394"/>
      <w:bookmarkEnd w:id="4395"/>
      <w:bookmarkEnd w:id="4396"/>
      <w:bookmarkEnd w:id="4397"/>
      <w:bookmarkEnd w:id="4398"/>
      <w:bookmarkEnd w:id="4399"/>
      <w:bookmarkEnd w:id="4400"/>
      <w:bookmarkEnd w:id="4401"/>
    </w:p>
    <w:p w14:paraId="08E2C3CC" w14:textId="77777777" w:rsidR="007968EC" w:rsidRPr="002C0D19" w:rsidRDefault="007968EC" w:rsidP="007968EC">
      <w:pPr>
        <w:jc w:val="both"/>
        <w:rPr>
          <w:rFonts w:ascii="Arial Narrow" w:eastAsia="Calibri" w:hAnsi="Arial Narrow"/>
          <w:b/>
          <w:color w:val="000000" w:themeColor="text1"/>
        </w:rPr>
      </w:pPr>
    </w:p>
    <w:p w14:paraId="7E7E1071" w14:textId="77777777" w:rsidR="007968EC" w:rsidRPr="002C0D19" w:rsidRDefault="007968EC" w:rsidP="007968EC">
      <w:pPr>
        <w:tabs>
          <w:tab w:val="num" w:pos="2445"/>
        </w:tabs>
        <w:jc w:val="both"/>
        <w:rPr>
          <w:rFonts w:ascii="Arial Narrow" w:eastAsia="Calibri" w:hAnsi="Arial Narrow"/>
          <w:color w:val="000000" w:themeColor="text1"/>
        </w:rPr>
      </w:pPr>
      <w:r w:rsidRPr="002C0D19">
        <w:rPr>
          <w:rFonts w:ascii="Arial Narrow" w:eastAsia="Calibri" w:hAnsi="Arial Narrow"/>
          <w:color w:val="000000" w:themeColor="text1"/>
        </w:rPr>
        <w:t>Si en el proceso de los algoritmos antes mencionados y de acuerdo con las características del Instrumento que lo hagan posible, existe un titular vendedor que puede cumplir con distintos entregables y es pareja de varios titulares compradores, se utiliza el siguiente algoritmo para definir el entregable correspondiente a cada titular comprador:</w:t>
      </w:r>
    </w:p>
    <w:p w14:paraId="4549CD1D" w14:textId="77777777" w:rsidR="007968EC" w:rsidRPr="00C02E65" w:rsidRDefault="007968EC" w:rsidP="007968EC">
      <w:pPr>
        <w:jc w:val="both"/>
        <w:rPr>
          <w:rFonts w:ascii="Arial Narrow" w:eastAsia="Calibri" w:hAnsi="Arial Narrow"/>
          <w:b/>
          <w:color w:val="000000" w:themeColor="text1"/>
        </w:rPr>
      </w:pPr>
    </w:p>
    <w:p w14:paraId="3B4EBA5C" w14:textId="77777777" w:rsidR="007968EC" w:rsidRPr="002C0D19" w:rsidRDefault="007968EC" w:rsidP="00DA7472">
      <w:pPr>
        <w:numPr>
          <w:ilvl w:val="0"/>
          <w:numId w:val="193"/>
        </w:numPr>
        <w:ind w:left="540" w:hanging="540"/>
        <w:jc w:val="both"/>
        <w:rPr>
          <w:rFonts w:ascii="Arial Narrow" w:eastAsia="Calibri" w:hAnsi="Arial Narrow"/>
          <w:color w:val="000000" w:themeColor="text1"/>
        </w:rPr>
      </w:pPr>
      <w:r w:rsidRPr="002C0D19">
        <w:rPr>
          <w:rFonts w:ascii="Arial Narrow" w:eastAsia="Calibri" w:hAnsi="Arial Narrow"/>
          <w:color w:val="000000" w:themeColor="text1"/>
        </w:rPr>
        <w:t>Se identifica si de los distintos volúmenes de los entregables del vendedor, el volumen de alguno de ellos coincide con el volumen de la Posición de un titular comprador a asignar. En este caso tanto el lado comprador como los entregables del vendedor se ordenan por Miembro – Titular – Número de Orden del Entregable, para ordenar aquellos titulares con el mismo volumen de un entregable del vendedor.</w:t>
      </w:r>
    </w:p>
    <w:p w14:paraId="565039AE" w14:textId="77777777" w:rsidR="007968EC" w:rsidRPr="002C0D19" w:rsidRDefault="007968EC" w:rsidP="00DA7472">
      <w:pPr>
        <w:numPr>
          <w:ilvl w:val="0"/>
          <w:numId w:val="193"/>
        </w:numPr>
        <w:ind w:left="540" w:hanging="540"/>
        <w:jc w:val="both"/>
        <w:rPr>
          <w:rFonts w:ascii="Arial Narrow" w:eastAsia="Calibri" w:hAnsi="Arial Narrow"/>
          <w:color w:val="000000" w:themeColor="text1"/>
        </w:rPr>
      </w:pPr>
      <w:r w:rsidRPr="002C0D19">
        <w:rPr>
          <w:rFonts w:ascii="Arial Narrow" w:eastAsia="Calibri" w:hAnsi="Arial Narrow"/>
          <w:color w:val="000000" w:themeColor="text1"/>
        </w:rPr>
        <w:t>Con este orden se establecen las diferentes parejas que presentan igual volumen de compra con volumen de cada entregable del vendedor. El entregable del vendedor se asigna así al comprador y se elimina el comprador y el volumen del entregable del proceso de reparto.</w:t>
      </w:r>
    </w:p>
    <w:p w14:paraId="5EC1B561" w14:textId="77777777" w:rsidR="007968EC" w:rsidRPr="002C0D19" w:rsidRDefault="007968EC" w:rsidP="00DA7472">
      <w:pPr>
        <w:numPr>
          <w:ilvl w:val="0"/>
          <w:numId w:val="193"/>
        </w:numPr>
        <w:ind w:left="540" w:hanging="540"/>
        <w:jc w:val="both"/>
        <w:rPr>
          <w:rFonts w:ascii="Arial Narrow" w:eastAsia="Calibri" w:hAnsi="Arial Narrow"/>
          <w:color w:val="000000" w:themeColor="text1"/>
        </w:rPr>
      </w:pPr>
      <w:r w:rsidRPr="002C0D19">
        <w:rPr>
          <w:rFonts w:ascii="Arial Narrow" w:eastAsia="Calibri" w:hAnsi="Arial Narrow"/>
          <w:color w:val="000000" w:themeColor="text1"/>
        </w:rPr>
        <w:t>Este proceso se repite para cada combinación de comprador y entregable del vendedor con igual volumen.</w:t>
      </w:r>
    </w:p>
    <w:p w14:paraId="48583D07" w14:textId="77777777" w:rsidR="007968EC" w:rsidRPr="002C0D19" w:rsidRDefault="007968EC" w:rsidP="00DA7472">
      <w:pPr>
        <w:numPr>
          <w:ilvl w:val="0"/>
          <w:numId w:val="193"/>
        </w:numPr>
        <w:ind w:left="540" w:hanging="540"/>
        <w:jc w:val="both"/>
        <w:rPr>
          <w:rFonts w:ascii="Arial Narrow" w:eastAsia="Calibri" w:hAnsi="Arial Narrow"/>
          <w:color w:val="000000" w:themeColor="text1"/>
        </w:rPr>
      </w:pPr>
      <w:r w:rsidRPr="002C0D19">
        <w:rPr>
          <w:rFonts w:ascii="Arial Narrow" w:eastAsia="Calibri" w:hAnsi="Arial Narrow"/>
          <w:color w:val="000000" w:themeColor="text1"/>
        </w:rPr>
        <w:t>Los entregables del vendedor y titulares compradores restantes, se ordenan de forma descendente por el volumen del entregable y de la Posición Abierta de compra a vencer.</w:t>
      </w:r>
    </w:p>
    <w:p w14:paraId="7C2A19DE" w14:textId="77777777" w:rsidR="007968EC" w:rsidRPr="002C0D19" w:rsidRDefault="007968EC" w:rsidP="00DA7472">
      <w:pPr>
        <w:numPr>
          <w:ilvl w:val="0"/>
          <w:numId w:val="193"/>
        </w:numPr>
        <w:ind w:left="540" w:hanging="540"/>
        <w:jc w:val="both"/>
        <w:rPr>
          <w:rFonts w:ascii="Arial Narrow" w:eastAsia="Calibri" w:hAnsi="Arial Narrow"/>
          <w:color w:val="000000" w:themeColor="text1"/>
        </w:rPr>
      </w:pPr>
      <w:r w:rsidRPr="002C0D19">
        <w:rPr>
          <w:rFonts w:ascii="Arial Narrow" w:eastAsia="Calibri" w:hAnsi="Arial Narrow"/>
          <w:color w:val="000000" w:themeColor="text1"/>
        </w:rPr>
        <w:t>Se establecen parejas entre los entregables del vendedor y los titulares compradores con mayor volumen de compra y venta por asignar. El volumen asignado en cada iteración corresponde al menor entre el volumen del entregable y el volumen del comprador.</w:t>
      </w:r>
    </w:p>
    <w:p w14:paraId="762F622A" w14:textId="77777777" w:rsidR="007968EC" w:rsidRPr="002C0D19" w:rsidRDefault="007968EC" w:rsidP="00DA7472">
      <w:pPr>
        <w:numPr>
          <w:ilvl w:val="0"/>
          <w:numId w:val="193"/>
        </w:numPr>
        <w:ind w:left="540" w:hanging="540"/>
        <w:jc w:val="both"/>
        <w:rPr>
          <w:rFonts w:ascii="Arial Narrow" w:eastAsia="Calibri" w:hAnsi="Arial Narrow"/>
          <w:color w:val="000000" w:themeColor="text1"/>
        </w:rPr>
      </w:pPr>
      <w:r w:rsidRPr="002C0D19">
        <w:rPr>
          <w:rFonts w:ascii="Arial Narrow" w:eastAsia="Calibri" w:hAnsi="Arial Narrow"/>
          <w:color w:val="000000" w:themeColor="text1"/>
        </w:rPr>
        <w:t>Por cada pareja se resta el volumen asignado tanto a entregable del vendedor como a Posición del comprador y los entregables o titulares que después de este cálculo presenten volumen igual a cero son eliminados del proceso de reparto. Para la iteración siguiente y según el caso, se mantendrá dentro del proceso de reparto el volumen remanente del entregable o de la Posición del comprador.</w:t>
      </w:r>
    </w:p>
    <w:p w14:paraId="12D5E3AA" w14:textId="77777777" w:rsidR="007968EC" w:rsidRPr="002C0D19" w:rsidRDefault="007968EC" w:rsidP="00DA7472">
      <w:pPr>
        <w:numPr>
          <w:ilvl w:val="0"/>
          <w:numId w:val="193"/>
        </w:numPr>
        <w:ind w:left="540" w:hanging="540"/>
        <w:jc w:val="both"/>
        <w:rPr>
          <w:rFonts w:ascii="Arial Narrow" w:eastAsia="Calibri" w:hAnsi="Arial Narrow"/>
          <w:color w:val="000000" w:themeColor="text1"/>
        </w:rPr>
      </w:pPr>
      <w:r w:rsidRPr="002C0D19">
        <w:rPr>
          <w:rFonts w:ascii="Arial Narrow" w:eastAsia="Calibri" w:hAnsi="Arial Narrow"/>
          <w:color w:val="000000" w:themeColor="text1"/>
        </w:rPr>
        <w:t>Se realiza este proceso de forma reiterativa hasta que se agote el volumen de entregables del vendedor con las posiciones vivas de los compradores.</w:t>
      </w:r>
    </w:p>
    <w:p w14:paraId="328BB4B8" w14:textId="77777777" w:rsidR="007968EC" w:rsidRPr="00C02E65" w:rsidRDefault="007968EC" w:rsidP="007968EC">
      <w:pPr>
        <w:keepNext/>
        <w:autoSpaceDE w:val="0"/>
        <w:autoSpaceDN w:val="0"/>
        <w:contextualSpacing/>
        <w:jc w:val="both"/>
        <w:rPr>
          <w:rFonts w:ascii="Arial Narrow" w:hAnsi="Arial Narrow" w:cs="Arial"/>
          <w:b/>
          <w:bCs/>
          <w:color w:val="000000" w:themeColor="text1"/>
          <w:lang w:eastAsia="es-ES"/>
        </w:rPr>
      </w:pPr>
    </w:p>
    <w:p w14:paraId="34A0C705" w14:textId="77777777" w:rsidR="007968EC" w:rsidRPr="002C0D19" w:rsidRDefault="007968EC" w:rsidP="007968EC">
      <w:pPr>
        <w:tabs>
          <w:tab w:val="left" w:pos="5988"/>
        </w:tabs>
        <w:jc w:val="both"/>
        <w:rPr>
          <w:rFonts w:ascii="Arial Narrow" w:eastAsia="Calibri" w:hAnsi="Arial Narrow"/>
          <w:color w:val="000000" w:themeColor="text1"/>
        </w:rPr>
      </w:pPr>
      <w:r w:rsidRPr="002C0D19">
        <w:rPr>
          <w:rFonts w:ascii="Arial Narrow" w:eastAsia="Calibri" w:hAnsi="Arial Narrow"/>
          <w:color w:val="000000" w:themeColor="text1"/>
        </w:rPr>
        <w:t>De esta forma la asignación de entregas entre comprador y vendedor se discrimina también por cada entregable con el que el vendedor pueda cumplir la Operación.</w:t>
      </w:r>
    </w:p>
    <w:p w14:paraId="16FFCBEF" w14:textId="77777777" w:rsidR="007968EC" w:rsidRPr="002C0D19" w:rsidRDefault="007968EC" w:rsidP="007968EC">
      <w:pPr>
        <w:keepNext/>
        <w:autoSpaceDE w:val="0"/>
        <w:autoSpaceDN w:val="0"/>
        <w:contextualSpacing/>
        <w:jc w:val="both"/>
        <w:rPr>
          <w:rFonts w:ascii="Arial Narrow" w:hAnsi="Arial Narrow" w:cs="Arial"/>
          <w:b/>
          <w:bCs/>
          <w:color w:val="000000" w:themeColor="text1"/>
          <w:lang w:eastAsia="es-ES"/>
        </w:rPr>
      </w:pPr>
    </w:p>
    <w:p w14:paraId="6E3F3D61" w14:textId="77777777" w:rsidR="007968EC" w:rsidRDefault="007968EC" w:rsidP="007968EC">
      <w:pPr>
        <w:pStyle w:val="ARTICULO0"/>
      </w:pPr>
      <w:bookmarkStart w:id="4402" w:name="_Toc470779954"/>
      <w:bookmarkStart w:id="4403" w:name="_Toc470780571"/>
      <w:bookmarkStart w:id="4404" w:name="_Toc470781084"/>
      <w:bookmarkStart w:id="4405" w:name="_Toc470784645"/>
      <w:bookmarkStart w:id="4406" w:name="_Toc470785182"/>
      <w:bookmarkStart w:id="4407" w:name="_Toc470791574"/>
      <w:bookmarkStart w:id="4408" w:name="_Toc472592335"/>
      <w:bookmarkStart w:id="4409" w:name="_Toc472593354"/>
      <w:bookmarkStart w:id="4410" w:name="_Toc31716155"/>
      <w:bookmarkStart w:id="4411" w:name="_Toc479057140"/>
      <w:bookmarkStart w:id="4412" w:name="_Toc490066478"/>
      <w:r w:rsidRPr="002C0D19">
        <w:t>Artículo 2.4.4.18. Cálculo del valor de giro del efectivo que debe realizar el titular de la Cuenta con posición neta compradora en la Liquidación por Entrega de Contratos de Futuros.</w:t>
      </w:r>
      <w:bookmarkEnd w:id="4402"/>
      <w:bookmarkEnd w:id="4403"/>
      <w:bookmarkEnd w:id="4404"/>
      <w:bookmarkEnd w:id="4405"/>
      <w:bookmarkEnd w:id="4406"/>
      <w:bookmarkEnd w:id="4407"/>
      <w:bookmarkEnd w:id="4408"/>
      <w:bookmarkEnd w:id="4409"/>
      <w:bookmarkEnd w:id="4410"/>
      <w:r w:rsidRPr="002C0D19">
        <w:t xml:space="preserve"> </w:t>
      </w:r>
    </w:p>
    <w:p w14:paraId="0B229CDD" w14:textId="77777777" w:rsidR="007968EC" w:rsidRPr="00FC3CFC" w:rsidRDefault="007968EC" w:rsidP="007968EC">
      <w:pPr>
        <w:autoSpaceDE w:val="0"/>
        <w:autoSpaceDN w:val="0"/>
        <w:jc w:val="both"/>
        <w:rPr>
          <w:rFonts w:ascii="Arial Narrow" w:hAnsi="Arial Narrow" w:cs="Arial"/>
          <w:b/>
          <w:bCs/>
          <w:color w:val="000000" w:themeColor="text1"/>
          <w:lang w:eastAsia="es-ES"/>
        </w:rPr>
      </w:pPr>
    </w:p>
    <w:p w14:paraId="49E8900B" w14:textId="77777777" w:rsidR="007968EC" w:rsidRPr="002C0D19" w:rsidRDefault="007968EC" w:rsidP="007968EC">
      <w:pPr>
        <w:pStyle w:val="ANTECEDENTES"/>
        <w:rPr>
          <w:u w:val="single"/>
        </w:rPr>
      </w:pPr>
      <w:r w:rsidRPr="002C0D19">
        <w:lastRenderedPageBreak/>
        <w:t>(Este artículo fue modificado mediante Circular 6 del 14 de febrero de 2017, publicada en el Boletín Normativo No. 006 del 14 de febrero de 2017. Rige a partir del 15 de febrero de 2017.)</w:t>
      </w:r>
      <w:bookmarkEnd w:id="4411"/>
      <w:bookmarkEnd w:id="4412"/>
    </w:p>
    <w:p w14:paraId="79EAD3F4" w14:textId="77777777" w:rsidR="007968EC" w:rsidRPr="00C02E65" w:rsidRDefault="007968EC" w:rsidP="007968EC">
      <w:pPr>
        <w:keepNext/>
        <w:autoSpaceDE w:val="0"/>
        <w:autoSpaceDN w:val="0"/>
        <w:contextualSpacing/>
        <w:jc w:val="both"/>
        <w:rPr>
          <w:rFonts w:ascii="Arial Narrow" w:hAnsi="Arial Narrow" w:cs="Arial"/>
          <w:b/>
          <w:bCs/>
          <w:color w:val="000000" w:themeColor="text1"/>
          <w:lang w:eastAsia="es-ES"/>
        </w:rPr>
      </w:pPr>
    </w:p>
    <w:p w14:paraId="40D22F4D"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El valor de giro en efectivo por la Posición Abierta que cada titular comprador deberá pagar por cada Posición de vendedor que le fue asignado, se calcula según la siguiente fórmula:</w:t>
      </w:r>
    </w:p>
    <w:p w14:paraId="5A6D79F5" w14:textId="77777777" w:rsidR="007968EC" w:rsidRPr="00C02E65" w:rsidRDefault="007968EC" w:rsidP="007968EC">
      <w:pPr>
        <w:keepNext/>
        <w:autoSpaceDE w:val="0"/>
        <w:autoSpaceDN w:val="0"/>
        <w:contextualSpacing/>
        <w:jc w:val="both"/>
        <w:rPr>
          <w:rFonts w:ascii="Arial Narrow" w:hAnsi="Arial Narrow" w:cs="Arial"/>
          <w:b/>
          <w:bCs/>
          <w:color w:val="000000" w:themeColor="text1"/>
          <w:lang w:eastAsia="es-ES"/>
        </w:rPr>
      </w:pPr>
    </w:p>
    <w:p w14:paraId="34EC95CE" w14:textId="77777777" w:rsidR="007968EC" w:rsidRPr="002C0D19" w:rsidRDefault="007968EC" w:rsidP="007968EC">
      <w:pPr>
        <w:jc w:val="both"/>
        <w:rPr>
          <w:rFonts w:ascii="Arial Narrow" w:eastAsia="Calibri" w:hAnsi="Arial Narrow"/>
          <w:bCs/>
          <w:i/>
          <w:color w:val="000000" w:themeColor="text1"/>
        </w:rPr>
      </w:pPr>
      <w:r w:rsidRPr="002C0D19">
        <w:rPr>
          <w:rFonts w:ascii="Arial Narrow" w:eastAsia="Calibri" w:hAnsi="Arial Narrow"/>
          <w:bCs/>
          <w:i/>
          <w:color w:val="000000" w:themeColor="text1"/>
        </w:rPr>
        <w:t>Importe efectivo O</w:t>
      </w:r>
      <w:r w:rsidRPr="002C0D19">
        <w:rPr>
          <w:rFonts w:ascii="Arial Narrow" w:eastAsia="Calibri" w:hAnsi="Arial Narrow"/>
          <w:i/>
          <w:color w:val="000000" w:themeColor="text1"/>
        </w:rPr>
        <w:t>peración</w:t>
      </w:r>
      <w:r w:rsidRPr="002C0D19">
        <w:rPr>
          <w:rFonts w:ascii="Arial Narrow" w:eastAsia="Calibri" w:hAnsi="Arial Narrow"/>
          <w:bCs/>
          <w:i/>
          <w:color w:val="000000" w:themeColor="text1"/>
        </w:rPr>
        <w:t xml:space="preserve"> = </w:t>
      </w:r>
      <w:proofErr w:type="spellStart"/>
      <w:r w:rsidRPr="002C0D19">
        <w:rPr>
          <w:rFonts w:ascii="Arial Narrow" w:eastAsia="Calibri" w:hAnsi="Arial Narrow"/>
          <w:bCs/>
          <w:i/>
          <w:color w:val="000000" w:themeColor="text1"/>
        </w:rPr>
        <w:t>Nº</w:t>
      </w:r>
      <w:proofErr w:type="spellEnd"/>
      <w:r w:rsidRPr="002C0D19">
        <w:rPr>
          <w:rFonts w:ascii="Arial Narrow" w:eastAsia="Calibri" w:hAnsi="Arial Narrow"/>
          <w:bCs/>
          <w:i/>
          <w:color w:val="000000" w:themeColor="text1"/>
        </w:rPr>
        <w:t xml:space="preserve"> </w:t>
      </w:r>
      <w:r w:rsidRPr="002C0D19">
        <w:rPr>
          <w:rFonts w:ascii="Arial Narrow" w:eastAsia="Calibri" w:hAnsi="Arial Narrow"/>
          <w:i/>
          <w:color w:val="000000" w:themeColor="text1"/>
        </w:rPr>
        <w:t>Contrato</w:t>
      </w:r>
      <w:r w:rsidRPr="002C0D19">
        <w:rPr>
          <w:rFonts w:ascii="Arial Narrow" w:eastAsia="Calibri" w:hAnsi="Arial Narrow"/>
          <w:bCs/>
          <w:i/>
          <w:color w:val="000000" w:themeColor="text1"/>
        </w:rPr>
        <w:t>s * Precio L</w:t>
      </w:r>
      <w:r w:rsidRPr="002C0D19">
        <w:rPr>
          <w:rFonts w:ascii="Arial Narrow" w:eastAsia="Calibri" w:hAnsi="Arial Narrow"/>
          <w:i/>
          <w:color w:val="000000" w:themeColor="text1"/>
        </w:rPr>
        <w:t>iquidación</w:t>
      </w:r>
      <w:r w:rsidRPr="002C0D19">
        <w:rPr>
          <w:rFonts w:ascii="Arial Narrow" w:eastAsia="Calibri" w:hAnsi="Arial Narrow"/>
          <w:bCs/>
          <w:i/>
          <w:color w:val="000000" w:themeColor="text1"/>
        </w:rPr>
        <w:t xml:space="preserve"> * Multiplicador del contrato</w:t>
      </w:r>
    </w:p>
    <w:p w14:paraId="733BC597" w14:textId="77777777" w:rsidR="007968EC" w:rsidRPr="00C02E65" w:rsidRDefault="007968EC" w:rsidP="007968EC">
      <w:pPr>
        <w:keepNext/>
        <w:autoSpaceDE w:val="0"/>
        <w:autoSpaceDN w:val="0"/>
        <w:contextualSpacing/>
        <w:jc w:val="both"/>
        <w:rPr>
          <w:rFonts w:ascii="Arial Narrow" w:hAnsi="Arial Narrow" w:cs="Arial"/>
          <w:b/>
          <w:bCs/>
          <w:color w:val="000000" w:themeColor="text1"/>
          <w:lang w:eastAsia="es-ES"/>
        </w:rPr>
      </w:pPr>
    </w:p>
    <w:p w14:paraId="5718362E"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 xml:space="preserve">Para el caso de Contratos de Futuro cuyo Activo Subyacente sean valores de renta fija que admitan varios entregables, el Precio de Liquidación de la fórmula anterior deberá contener el efecto del factor de conversión y del cupón corrido, de acuerdo con la definición del proceso de Liquidación del Instrumento, así. </w:t>
      </w:r>
    </w:p>
    <w:p w14:paraId="56E35428" w14:textId="77777777" w:rsidR="007968EC" w:rsidRPr="00C02E65" w:rsidRDefault="007968EC" w:rsidP="007968EC">
      <w:pPr>
        <w:keepNext/>
        <w:autoSpaceDE w:val="0"/>
        <w:autoSpaceDN w:val="0"/>
        <w:contextualSpacing/>
        <w:jc w:val="both"/>
        <w:rPr>
          <w:rFonts w:ascii="Arial Narrow" w:hAnsi="Arial Narrow" w:cs="Arial"/>
          <w:b/>
          <w:bCs/>
          <w:color w:val="000000" w:themeColor="text1"/>
          <w:lang w:eastAsia="es-ES"/>
        </w:rPr>
      </w:pPr>
    </w:p>
    <w:p w14:paraId="6A206D60" w14:textId="77777777" w:rsidR="007968EC" w:rsidRPr="002C0D19" w:rsidRDefault="007968EC" w:rsidP="007968EC">
      <w:pPr>
        <w:jc w:val="both"/>
        <w:rPr>
          <w:rFonts w:ascii="Arial Narrow" w:eastAsia="Calibri" w:hAnsi="Arial Narrow"/>
          <w:bCs/>
          <w:i/>
          <w:color w:val="000000" w:themeColor="text1"/>
        </w:rPr>
      </w:pPr>
      <w:r w:rsidRPr="002C0D19">
        <w:rPr>
          <w:rFonts w:ascii="Arial Narrow" w:eastAsia="Calibri" w:hAnsi="Arial Narrow"/>
          <w:bCs/>
          <w:i/>
          <w:color w:val="000000" w:themeColor="text1"/>
        </w:rPr>
        <w:t>Importe efectivo O</w:t>
      </w:r>
      <w:r w:rsidRPr="002C0D19">
        <w:rPr>
          <w:rFonts w:ascii="Arial Narrow" w:eastAsia="Calibri" w:hAnsi="Arial Narrow"/>
          <w:i/>
          <w:color w:val="000000" w:themeColor="text1"/>
        </w:rPr>
        <w:t>peración</w:t>
      </w:r>
      <w:r w:rsidRPr="002C0D19">
        <w:rPr>
          <w:rFonts w:ascii="Arial Narrow" w:eastAsia="Calibri" w:hAnsi="Arial Narrow"/>
          <w:bCs/>
          <w:i/>
          <w:color w:val="000000" w:themeColor="text1"/>
        </w:rPr>
        <w:t xml:space="preserve"> = </w:t>
      </w:r>
      <w:proofErr w:type="spellStart"/>
      <w:r w:rsidRPr="002C0D19">
        <w:rPr>
          <w:rFonts w:ascii="Arial Narrow" w:eastAsia="Calibri" w:hAnsi="Arial Narrow"/>
          <w:bCs/>
          <w:i/>
          <w:color w:val="000000" w:themeColor="text1"/>
        </w:rPr>
        <w:t>Nº</w:t>
      </w:r>
      <w:proofErr w:type="spellEnd"/>
      <w:r w:rsidRPr="002C0D19">
        <w:rPr>
          <w:rFonts w:ascii="Arial Narrow" w:eastAsia="Calibri" w:hAnsi="Arial Narrow"/>
          <w:bCs/>
          <w:i/>
          <w:color w:val="000000" w:themeColor="text1"/>
        </w:rPr>
        <w:t xml:space="preserve"> </w:t>
      </w:r>
      <w:r w:rsidRPr="002C0D19">
        <w:rPr>
          <w:rFonts w:ascii="Arial Narrow" w:eastAsia="Calibri" w:hAnsi="Arial Narrow"/>
          <w:i/>
          <w:color w:val="000000" w:themeColor="text1"/>
        </w:rPr>
        <w:t>Contrato</w:t>
      </w:r>
      <w:r w:rsidRPr="002C0D19">
        <w:rPr>
          <w:rFonts w:ascii="Arial Narrow" w:eastAsia="Calibri" w:hAnsi="Arial Narrow"/>
          <w:bCs/>
          <w:i/>
          <w:color w:val="000000" w:themeColor="text1"/>
        </w:rPr>
        <w:t>s *(Factor de conversión * Precio L</w:t>
      </w:r>
      <w:r w:rsidRPr="002C0D19">
        <w:rPr>
          <w:rFonts w:ascii="Arial Narrow" w:eastAsia="Calibri" w:hAnsi="Arial Narrow"/>
          <w:i/>
          <w:color w:val="000000" w:themeColor="text1"/>
        </w:rPr>
        <w:t>iquidación</w:t>
      </w:r>
      <w:r w:rsidRPr="002C0D19">
        <w:rPr>
          <w:rFonts w:ascii="Arial Narrow" w:eastAsia="Calibri" w:hAnsi="Arial Narrow"/>
          <w:bCs/>
          <w:i/>
          <w:color w:val="000000" w:themeColor="text1"/>
        </w:rPr>
        <w:t xml:space="preserve"> * Valor Nominal del Contrato de Futuro + Cupón Corrido)</w:t>
      </w:r>
    </w:p>
    <w:p w14:paraId="7910FCD3" w14:textId="77777777" w:rsidR="007968EC" w:rsidRPr="00C02E65" w:rsidRDefault="007968EC" w:rsidP="007968EC">
      <w:pPr>
        <w:keepNext/>
        <w:autoSpaceDE w:val="0"/>
        <w:autoSpaceDN w:val="0"/>
        <w:contextualSpacing/>
        <w:jc w:val="both"/>
        <w:rPr>
          <w:rFonts w:ascii="Arial Narrow" w:hAnsi="Arial Narrow" w:cs="Arial"/>
          <w:b/>
          <w:bCs/>
          <w:color w:val="000000" w:themeColor="text1"/>
          <w:lang w:eastAsia="es-ES"/>
        </w:rPr>
      </w:pPr>
    </w:p>
    <w:p w14:paraId="1BC01BA6"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El cupón corrido se calcula sobre la base del valor nominal del Contrato de Futuro pero sobre las condiciones particulares del título a entregar.</w:t>
      </w:r>
    </w:p>
    <w:p w14:paraId="33F15F7C" w14:textId="77777777" w:rsidR="007968EC" w:rsidRPr="002C0D19" w:rsidRDefault="007968EC" w:rsidP="007968EC">
      <w:pPr>
        <w:keepNext/>
        <w:autoSpaceDE w:val="0"/>
        <w:autoSpaceDN w:val="0"/>
        <w:contextualSpacing/>
        <w:jc w:val="both"/>
        <w:rPr>
          <w:rFonts w:ascii="Arial Narrow" w:hAnsi="Arial Narrow" w:cs="Arial"/>
          <w:b/>
          <w:bCs/>
          <w:color w:val="000000" w:themeColor="text1"/>
          <w:lang w:eastAsia="es-ES"/>
        </w:rPr>
      </w:pPr>
    </w:p>
    <w:p w14:paraId="4DE8EA05" w14:textId="77777777" w:rsidR="007968EC" w:rsidRPr="002C0D19" w:rsidRDefault="007968EC" w:rsidP="007968EC">
      <w:pPr>
        <w:pStyle w:val="ARTICULO0"/>
      </w:pPr>
      <w:bookmarkStart w:id="4413" w:name="_Toc470779955"/>
      <w:bookmarkStart w:id="4414" w:name="_Toc470780572"/>
      <w:bookmarkStart w:id="4415" w:name="_Toc470781085"/>
      <w:bookmarkStart w:id="4416" w:name="_Toc470784646"/>
      <w:bookmarkStart w:id="4417" w:name="_Toc470785183"/>
      <w:bookmarkStart w:id="4418" w:name="_Toc470791575"/>
      <w:bookmarkStart w:id="4419" w:name="_Toc472592336"/>
      <w:bookmarkStart w:id="4420" w:name="_Toc472593355"/>
      <w:bookmarkStart w:id="4421" w:name="_Toc479057141"/>
      <w:bookmarkStart w:id="4422" w:name="_Toc490066479"/>
      <w:bookmarkStart w:id="4423" w:name="_Toc31716156"/>
      <w:r w:rsidRPr="002C0D19">
        <w:t>Artículo 2.4.4.19. Liquidación por Entrega de Contratos Futuros.</w:t>
      </w:r>
      <w:bookmarkEnd w:id="4413"/>
      <w:bookmarkEnd w:id="4414"/>
      <w:bookmarkEnd w:id="4415"/>
      <w:bookmarkEnd w:id="4416"/>
      <w:bookmarkEnd w:id="4417"/>
      <w:bookmarkEnd w:id="4418"/>
      <w:bookmarkEnd w:id="4419"/>
      <w:bookmarkEnd w:id="4420"/>
      <w:bookmarkEnd w:id="4421"/>
      <w:bookmarkEnd w:id="4422"/>
      <w:bookmarkEnd w:id="4423"/>
    </w:p>
    <w:p w14:paraId="7B6690B6" w14:textId="77777777" w:rsidR="007968EC" w:rsidRPr="002C0D19" w:rsidRDefault="007968EC" w:rsidP="007968EC">
      <w:pPr>
        <w:jc w:val="both"/>
        <w:rPr>
          <w:rFonts w:ascii="Arial Narrow" w:eastAsia="Calibri" w:hAnsi="Arial Narrow"/>
          <w:b/>
          <w:color w:val="000000" w:themeColor="text1"/>
        </w:rPr>
      </w:pPr>
    </w:p>
    <w:p w14:paraId="28CAA096" w14:textId="77777777" w:rsidR="007968EC" w:rsidRPr="002C0D19" w:rsidRDefault="007968EC" w:rsidP="007968EC">
      <w:pPr>
        <w:jc w:val="both"/>
        <w:rPr>
          <w:rFonts w:ascii="Arial Narrow" w:eastAsia="Calibri" w:hAnsi="Arial Narrow"/>
          <w:color w:val="000000" w:themeColor="text1"/>
        </w:rPr>
      </w:pPr>
      <w:bookmarkStart w:id="4424" w:name="_Toc470779956"/>
      <w:bookmarkStart w:id="4425" w:name="_Toc470780573"/>
      <w:bookmarkStart w:id="4426" w:name="_Toc470781086"/>
      <w:bookmarkStart w:id="4427" w:name="_Toc470784647"/>
      <w:bookmarkStart w:id="4428" w:name="_Toc470785184"/>
      <w:bookmarkStart w:id="4429" w:name="_Toc470791576"/>
      <w:bookmarkStart w:id="4430" w:name="_Toc471831784"/>
      <w:bookmarkStart w:id="4431" w:name="_Toc490066480"/>
      <w:bookmarkStart w:id="4432" w:name="_Toc490079255"/>
      <w:r w:rsidRPr="002C0D19">
        <w:rPr>
          <w:rFonts w:ascii="Arial Narrow" w:eastAsia="Calibri" w:hAnsi="Arial Narrow"/>
          <w:color w:val="000000" w:themeColor="text1"/>
        </w:rPr>
        <w:t>El día de Vencimiento de los Contratos pertenecientes al Segmento de Derivados Financieros que tengan este tipo de Liquidación, se cumplen las operaciones correspondientes a las parejas de entrega que fueron formadas y notificadas.</w:t>
      </w:r>
      <w:bookmarkEnd w:id="4424"/>
      <w:bookmarkEnd w:id="4425"/>
      <w:bookmarkEnd w:id="4426"/>
      <w:bookmarkEnd w:id="4427"/>
      <w:bookmarkEnd w:id="4428"/>
      <w:bookmarkEnd w:id="4429"/>
      <w:bookmarkEnd w:id="4430"/>
      <w:bookmarkEnd w:id="4431"/>
      <w:bookmarkEnd w:id="4432"/>
    </w:p>
    <w:p w14:paraId="007F67BF" w14:textId="77777777" w:rsidR="007968EC" w:rsidRPr="00C02E65" w:rsidRDefault="007968EC" w:rsidP="007968EC">
      <w:pPr>
        <w:keepNext/>
        <w:autoSpaceDE w:val="0"/>
        <w:autoSpaceDN w:val="0"/>
        <w:contextualSpacing/>
        <w:jc w:val="both"/>
        <w:rPr>
          <w:rFonts w:ascii="Arial Narrow" w:hAnsi="Arial Narrow" w:cs="Arial"/>
          <w:b/>
          <w:bCs/>
          <w:color w:val="000000" w:themeColor="text1"/>
          <w:lang w:eastAsia="es-ES"/>
        </w:rPr>
      </w:pPr>
    </w:p>
    <w:p w14:paraId="32BBC847"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 xml:space="preserve">Las operaciones de transferencia desde los Miembros hacia la Cámara y desde la Cámara hacia los Miembros de valores y efectivo pueden realizarse mediante transferencias totales o parciales. </w:t>
      </w:r>
    </w:p>
    <w:p w14:paraId="68FF26FB" w14:textId="77777777" w:rsidR="007968EC" w:rsidRPr="002C0D19" w:rsidRDefault="007968EC" w:rsidP="007968EC">
      <w:pPr>
        <w:jc w:val="both"/>
        <w:rPr>
          <w:rFonts w:ascii="Arial Narrow" w:eastAsia="Calibri" w:hAnsi="Arial Narrow"/>
          <w:b/>
          <w:color w:val="000000" w:themeColor="text1"/>
        </w:rPr>
      </w:pPr>
    </w:p>
    <w:p w14:paraId="1F8752B3" w14:textId="77777777" w:rsidR="007968EC" w:rsidRPr="002C0D19" w:rsidRDefault="007968EC" w:rsidP="007968EC">
      <w:pPr>
        <w:jc w:val="both"/>
        <w:rPr>
          <w:rFonts w:ascii="Arial Narrow" w:eastAsia="Calibri" w:hAnsi="Arial Narrow"/>
          <w:b/>
          <w:color w:val="000000" w:themeColor="text1"/>
        </w:rPr>
      </w:pPr>
      <w:r w:rsidRPr="002C0D19">
        <w:rPr>
          <w:rFonts w:ascii="Arial Narrow" w:eastAsia="Calibri" w:hAnsi="Arial Narrow"/>
          <w:color w:val="000000" w:themeColor="text1"/>
        </w:rPr>
        <w:t>En caso de transferencias parciales de efectivo y valores, desde los Miembros hacia la Cámara y desde la Cámara hacia los Miembros, éstas se realizarán hasta el pago efectivo de la obligación, antes de finalizar la Sesión de Liquidación al Vencimiento cuando las Operaciones Aceptadas deben ser cumplidas con lo Liquidación por Entrega.</w:t>
      </w:r>
    </w:p>
    <w:p w14:paraId="257C6137" w14:textId="77777777" w:rsidR="007968EC" w:rsidRPr="002C0D19" w:rsidRDefault="007968EC" w:rsidP="007968EC">
      <w:pPr>
        <w:jc w:val="both"/>
        <w:rPr>
          <w:rFonts w:ascii="Arial Narrow" w:eastAsia="Calibri" w:hAnsi="Arial Narrow"/>
          <w:b/>
          <w:color w:val="000000" w:themeColor="text1"/>
        </w:rPr>
      </w:pPr>
    </w:p>
    <w:p w14:paraId="2FAA39B2" w14:textId="77777777" w:rsidR="007968EC" w:rsidRPr="002C0D19" w:rsidRDefault="007968EC" w:rsidP="007968EC">
      <w:pPr>
        <w:jc w:val="both"/>
        <w:rPr>
          <w:rFonts w:ascii="Arial Narrow" w:eastAsia="Calibri" w:hAnsi="Arial Narrow"/>
          <w:color w:val="000000" w:themeColor="text1"/>
        </w:rPr>
      </w:pPr>
      <w:bookmarkStart w:id="4433" w:name="_Toc470779957"/>
      <w:bookmarkStart w:id="4434" w:name="_Toc470780574"/>
      <w:bookmarkStart w:id="4435" w:name="_Toc470781087"/>
      <w:bookmarkStart w:id="4436" w:name="_Toc470784648"/>
      <w:bookmarkStart w:id="4437" w:name="_Toc470785185"/>
      <w:bookmarkStart w:id="4438" w:name="_Toc470791577"/>
      <w:bookmarkStart w:id="4439" w:name="_Toc471831785"/>
      <w:bookmarkStart w:id="4440" w:name="_Toc490066481"/>
      <w:bookmarkStart w:id="4441" w:name="_Toc490079256"/>
      <w:r w:rsidRPr="002C0D19">
        <w:rPr>
          <w:rFonts w:ascii="Arial Narrow" w:eastAsia="Calibri" w:hAnsi="Arial Narrow"/>
          <w:color w:val="000000" w:themeColor="text1"/>
        </w:rPr>
        <w:t xml:space="preserve">Las operaciones de transferencia de </w:t>
      </w:r>
      <w:proofErr w:type="gramStart"/>
      <w:r w:rsidRPr="002C0D19">
        <w:rPr>
          <w:rFonts w:ascii="Arial Narrow" w:eastAsia="Calibri" w:hAnsi="Arial Narrow"/>
          <w:color w:val="000000" w:themeColor="text1"/>
        </w:rPr>
        <w:t>valores,</w:t>
      </w:r>
      <w:proofErr w:type="gramEnd"/>
      <w:r w:rsidRPr="002C0D19">
        <w:rPr>
          <w:rFonts w:ascii="Arial Narrow" w:eastAsia="Calibri" w:hAnsi="Arial Narrow"/>
          <w:color w:val="000000" w:themeColor="text1"/>
        </w:rPr>
        <w:t xml:space="preserve"> se hacen a nivel de cuenta titular. Esto es, si un Miembro tiene que entregar un valor por un titular y recibir el mismo valor por otro titular, ambas operaciones se notifican a los depósitos.</w:t>
      </w:r>
      <w:bookmarkEnd w:id="4433"/>
      <w:bookmarkEnd w:id="4434"/>
      <w:bookmarkEnd w:id="4435"/>
      <w:bookmarkEnd w:id="4436"/>
      <w:bookmarkEnd w:id="4437"/>
      <w:bookmarkEnd w:id="4438"/>
      <w:bookmarkEnd w:id="4439"/>
      <w:bookmarkEnd w:id="4440"/>
      <w:bookmarkEnd w:id="4441"/>
    </w:p>
    <w:p w14:paraId="30743CC7" w14:textId="77777777" w:rsidR="007968EC" w:rsidRPr="002C0D19" w:rsidRDefault="007968EC" w:rsidP="007968EC">
      <w:pPr>
        <w:jc w:val="both"/>
        <w:rPr>
          <w:rFonts w:ascii="Arial Narrow" w:eastAsia="Calibri" w:hAnsi="Arial Narrow"/>
          <w:b/>
          <w:color w:val="000000" w:themeColor="text1"/>
        </w:rPr>
      </w:pPr>
    </w:p>
    <w:p w14:paraId="764C7355" w14:textId="77777777" w:rsidR="007968EC" w:rsidRPr="002C0D19" w:rsidRDefault="007968EC" w:rsidP="007968EC">
      <w:pPr>
        <w:jc w:val="both"/>
        <w:rPr>
          <w:rFonts w:ascii="Arial Narrow" w:eastAsia="Calibri" w:hAnsi="Arial Narrow"/>
          <w:color w:val="000000" w:themeColor="text1"/>
        </w:rPr>
      </w:pPr>
      <w:bookmarkStart w:id="4442" w:name="_Toc470779958"/>
      <w:bookmarkStart w:id="4443" w:name="_Toc470780575"/>
      <w:bookmarkStart w:id="4444" w:name="_Toc470781088"/>
      <w:bookmarkStart w:id="4445" w:name="_Toc470784649"/>
      <w:bookmarkStart w:id="4446" w:name="_Toc470785186"/>
      <w:bookmarkStart w:id="4447" w:name="_Toc470791578"/>
      <w:bookmarkStart w:id="4448" w:name="_Toc471831786"/>
      <w:bookmarkStart w:id="4449" w:name="_Toc490066482"/>
      <w:bookmarkStart w:id="4450" w:name="_Toc490079257"/>
      <w:r w:rsidRPr="002C0D19">
        <w:rPr>
          <w:rFonts w:ascii="Arial Narrow" w:eastAsia="Calibri" w:hAnsi="Arial Narrow"/>
          <w:color w:val="000000" w:themeColor="text1"/>
        </w:rPr>
        <w:t xml:space="preserve">Las operaciones de transferencia de efectivo, se determinan neto a nivel de Miembro Liquidador cuando la entrega de valores desde los Miembros hacia la Cámara sea total.  Las operaciones de transferencia de </w:t>
      </w:r>
      <w:proofErr w:type="gramStart"/>
      <w:r w:rsidRPr="002C0D19">
        <w:rPr>
          <w:rFonts w:ascii="Arial Narrow" w:eastAsia="Calibri" w:hAnsi="Arial Narrow"/>
          <w:color w:val="000000" w:themeColor="text1"/>
        </w:rPr>
        <w:t>efectivo,</w:t>
      </w:r>
      <w:proofErr w:type="gramEnd"/>
      <w:r w:rsidRPr="002C0D19">
        <w:rPr>
          <w:rFonts w:ascii="Arial Narrow" w:eastAsia="Calibri" w:hAnsi="Arial Narrow"/>
          <w:color w:val="000000" w:themeColor="text1"/>
        </w:rPr>
        <w:t xml:space="preserve"> se calculan neto a nivel de titular de cada cuenta, cuando la entrega de valores desde los Miembros hacia la Cámara sea parcial.</w:t>
      </w:r>
      <w:bookmarkEnd w:id="4442"/>
      <w:bookmarkEnd w:id="4443"/>
      <w:bookmarkEnd w:id="4444"/>
      <w:bookmarkEnd w:id="4445"/>
      <w:bookmarkEnd w:id="4446"/>
      <w:bookmarkEnd w:id="4447"/>
      <w:bookmarkEnd w:id="4448"/>
      <w:bookmarkEnd w:id="4449"/>
      <w:bookmarkEnd w:id="4450"/>
    </w:p>
    <w:p w14:paraId="6DF18A4C" w14:textId="77777777" w:rsidR="007968EC" w:rsidRPr="002C0D19" w:rsidRDefault="007968EC" w:rsidP="007968EC">
      <w:pPr>
        <w:jc w:val="both"/>
        <w:rPr>
          <w:rFonts w:ascii="Arial Narrow" w:eastAsia="Calibri" w:hAnsi="Arial Narrow"/>
          <w:color w:val="000000" w:themeColor="text1"/>
        </w:rPr>
      </w:pPr>
    </w:p>
    <w:p w14:paraId="665380B7" w14:textId="77777777" w:rsidR="007968EC" w:rsidRPr="002C0D19" w:rsidRDefault="007968EC" w:rsidP="007968EC">
      <w:pPr>
        <w:jc w:val="both"/>
        <w:rPr>
          <w:rFonts w:ascii="Arial Narrow" w:eastAsia="Calibri" w:hAnsi="Arial Narrow"/>
          <w:color w:val="000000" w:themeColor="text1"/>
        </w:rPr>
      </w:pPr>
      <w:bookmarkStart w:id="4451" w:name="_Toc470779959"/>
      <w:bookmarkStart w:id="4452" w:name="_Toc470780576"/>
      <w:bookmarkStart w:id="4453" w:name="_Toc470781089"/>
      <w:bookmarkStart w:id="4454" w:name="_Toc470784650"/>
      <w:bookmarkStart w:id="4455" w:name="_Toc470785187"/>
      <w:bookmarkStart w:id="4456" w:name="_Toc470791579"/>
      <w:bookmarkStart w:id="4457" w:name="_Toc471831787"/>
      <w:bookmarkStart w:id="4458" w:name="_Toc490066483"/>
      <w:bookmarkStart w:id="4459" w:name="_Toc490079258"/>
      <w:r w:rsidRPr="002C0D19">
        <w:rPr>
          <w:rFonts w:ascii="Arial Narrow" w:eastAsia="Calibri" w:hAnsi="Arial Narrow"/>
          <w:color w:val="000000" w:themeColor="text1"/>
        </w:rPr>
        <w:t xml:space="preserve">En caso de que se designe un Agente de Pago, el movimiento de efectivo a realizar con cada Agente de Pago corresponde a todos los valores de giro que tiene que pagar y recibir para todos sus Miembros </w:t>
      </w:r>
      <w:r w:rsidRPr="002C0D19">
        <w:rPr>
          <w:rFonts w:ascii="Arial Narrow" w:eastAsia="Calibri" w:hAnsi="Arial Narrow"/>
          <w:color w:val="000000" w:themeColor="text1"/>
        </w:rPr>
        <w:lastRenderedPageBreak/>
        <w:t>Liquidadores o del Miembro Liquidador directamente. Este movimiento podrá ser un cargo o un abono o ninguno, este último en caso de que el valor a pagar y a recibir sea el mismo.</w:t>
      </w:r>
      <w:bookmarkEnd w:id="4451"/>
      <w:bookmarkEnd w:id="4452"/>
      <w:bookmarkEnd w:id="4453"/>
      <w:bookmarkEnd w:id="4454"/>
      <w:bookmarkEnd w:id="4455"/>
      <w:bookmarkEnd w:id="4456"/>
      <w:bookmarkEnd w:id="4457"/>
      <w:bookmarkEnd w:id="4458"/>
      <w:bookmarkEnd w:id="4459"/>
    </w:p>
    <w:p w14:paraId="2C7DD71B" w14:textId="77777777" w:rsidR="007968EC" w:rsidRPr="002C0D19" w:rsidRDefault="007968EC" w:rsidP="007968EC">
      <w:pPr>
        <w:jc w:val="both"/>
        <w:rPr>
          <w:rFonts w:ascii="Arial Narrow" w:eastAsia="Calibri" w:hAnsi="Arial Narrow"/>
          <w:b/>
          <w:color w:val="000000" w:themeColor="text1"/>
        </w:rPr>
      </w:pPr>
    </w:p>
    <w:p w14:paraId="72B1EC7D" w14:textId="77777777" w:rsidR="007968EC" w:rsidRPr="002C0D19" w:rsidRDefault="007968EC" w:rsidP="007968EC">
      <w:pPr>
        <w:jc w:val="both"/>
        <w:rPr>
          <w:rFonts w:ascii="Arial Narrow" w:eastAsia="Calibri" w:hAnsi="Arial Narrow"/>
          <w:color w:val="000000" w:themeColor="text1"/>
        </w:rPr>
      </w:pPr>
      <w:bookmarkStart w:id="4460" w:name="_Toc470779960"/>
      <w:bookmarkStart w:id="4461" w:name="_Toc470780577"/>
      <w:bookmarkStart w:id="4462" w:name="_Toc470781090"/>
      <w:bookmarkStart w:id="4463" w:name="_Toc470784651"/>
      <w:bookmarkStart w:id="4464" w:name="_Toc470785188"/>
      <w:bookmarkStart w:id="4465" w:name="_Toc470791580"/>
      <w:bookmarkStart w:id="4466" w:name="_Toc471831788"/>
      <w:bookmarkStart w:id="4467" w:name="_Toc490066484"/>
      <w:bookmarkStart w:id="4468" w:name="_Toc490079259"/>
      <w:r w:rsidRPr="002C0D19">
        <w:rPr>
          <w:rFonts w:ascii="Arial Narrow" w:eastAsia="Calibri" w:hAnsi="Arial Narrow"/>
          <w:color w:val="000000" w:themeColor="text1"/>
        </w:rPr>
        <w:t>Las órdenes de transferencia de valores y efectivo se realizan, según el caso, a través de los depósitos de valores DECEVAL y DCV y del sistema de pagos del Banco de la República (CUD). Dichas órdenes, se realizan en tres etapas:</w:t>
      </w:r>
      <w:bookmarkEnd w:id="4460"/>
      <w:bookmarkEnd w:id="4461"/>
      <w:bookmarkEnd w:id="4462"/>
      <w:bookmarkEnd w:id="4463"/>
      <w:bookmarkEnd w:id="4464"/>
      <w:bookmarkEnd w:id="4465"/>
      <w:bookmarkEnd w:id="4466"/>
      <w:bookmarkEnd w:id="4467"/>
      <w:bookmarkEnd w:id="4468"/>
    </w:p>
    <w:p w14:paraId="2ECA74C4" w14:textId="77777777" w:rsidR="007968EC" w:rsidRPr="002C0D19" w:rsidRDefault="007968EC" w:rsidP="007968EC">
      <w:pPr>
        <w:jc w:val="both"/>
        <w:rPr>
          <w:rFonts w:ascii="Arial Narrow" w:eastAsia="Calibri" w:hAnsi="Arial Narrow"/>
          <w:b/>
          <w:color w:val="000000" w:themeColor="text1"/>
        </w:rPr>
      </w:pPr>
    </w:p>
    <w:p w14:paraId="27EE58B3"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u w:val="single"/>
        </w:rPr>
        <w:t>Etapa 1:</w:t>
      </w:r>
      <w:r w:rsidRPr="002C0D19">
        <w:rPr>
          <w:rFonts w:ascii="Arial Narrow" w:eastAsia="Calibri" w:hAnsi="Arial Narrow"/>
          <w:color w:val="000000" w:themeColor="text1"/>
        </w:rPr>
        <w:t xml:space="preserve"> Solicitud de transferencias de valores y efectivo desde Miembros a la Cámara:</w:t>
      </w:r>
    </w:p>
    <w:p w14:paraId="7DCD882A" w14:textId="77777777" w:rsidR="007968EC" w:rsidRPr="002C0D19" w:rsidRDefault="007968EC" w:rsidP="007968EC">
      <w:pPr>
        <w:jc w:val="both"/>
        <w:rPr>
          <w:rFonts w:ascii="Arial Narrow" w:eastAsia="Calibri" w:hAnsi="Arial Narrow"/>
          <w:b/>
          <w:color w:val="000000" w:themeColor="text1"/>
        </w:rPr>
      </w:pPr>
    </w:p>
    <w:p w14:paraId="50EDBBDA" w14:textId="77777777" w:rsidR="007968EC" w:rsidRPr="002C0D19" w:rsidRDefault="007968EC" w:rsidP="007968EC">
      <w:pPr>
        <w:jc w:val="both"/>
        <w:rPr>
          <w:rFonts w:ascii="Arial Narrow" w:eastAsia="Calibri" w:hAnsi="Arial Narrow"/>
          <w:color w:val="000000" w:themeColor="text1"/>
        </w:rPr>
      </w:pPr>
      <w:bookmarkStart w:id="4469" w:name="_Toc470779961"/>
      <w:bookmarkStart w:id="4470" w:name="_Toc470780578"/>
      <w:bookmarkStart w:id="4471" w:name="_Toc470781091"/>
      <w:bookmarkStart w:id="4472" w:name="_Toc470784652"/>
      <w:bookmarkStart w:id="4473" w:name="_Toc470785189"/>
      <w:bookmarkStart w:id="4474" w:name="_Toc470791581"/>
      <w:bookmarkStart w:id="4475" w:name="_Toc471831789"/>
      <w:bookmarkStart w:id="4476" w:name="_Toc490066485"/>
      <w:bookmarkStart w:id="4477" w:name="_Toc490079260"/>
      <w:r w:rsidRPr="002C0D19">
        <w:rPr>
          <w:rFonts w:ascii="Arial Narrow" w:eastAsia="Calibri" w:hAnsi="Arial Narrow"/>
          <w:color w:val="000000" w:themeColor="text1"/>
        </w:rPr>
        <w:t xml:space="preserve">En esta etapa las operaciones de transferencias de </w:t>
      </w:r>
      <w:proofErr w:type="gramStart"/>
      <w:r w:rsidRPr="002C0D19">
        <w:rPr>
          <w:rFonts w:ascii="Arial Narrow" w:eastAsia="Calibri" w:hAnsi="Arial Narrow"/>
          <w:color w:val="000000" w:themeColor="text1"/>
        </w:rPr>
        <w:t>efectivo,</w:t>
      </w:r>
      <w:proofErr w:type="gramEnd"/>
      <w:r w:rsidRPr="002C0D19">
        <w:rPr>
          <w:rFonts w:ascii="Arial Narrow" w:eastAsia="Calibri" w:hAnsi="Arial Narrow"/>
          <w:color w:val="000000" w:themeColor="text1"/>
        </w:rPr>
        <w:t xml:space="preserve"> se determinarán de la siguiente forma, según sea el caso:</w:t>
      </w:r>
      <w:bookmarkEnd w:id="4469"/>
      <w:bookmarkEnd w:id="4470"/>
      <w:bookmarkEnd w:id="4471"/>
      <w:bookmarkEnd w:id="4472"/>
      <w:bookmarkEnd w:id="4473"/>
      <w:bookmarkEnd w:id="4474"/>
      <w:bookmarkEnd w:id="4475"/>
      <w:bookmarkEnd w:id="4476"/>
      <w:bookmarkEnd w:id="4477"/>
    </w:p>
    <w:p w14:paraId="4B4C7921" w14:textId="77777777" w:rsidR="007968EC" w:rsidRPr="002C0D19" w:rsidRDefault="007968EC" w:rsidP="007968EC">
      <w:pPr>
        <w:jc w:val="both"/>
        <w:rPr>
          <w:rFonts w:ascii="Arial Narrow" w:eastAsia="Calibri" w:hAnsi="Arial Narrow"/>
          <w:color w:val="000000" w:themeColor="text1"/>
        </w:rPr>
      </w:pPr>
    </w:p>
    <w:p w14:paraId="4FCFC626" w14:textId="77777777" w:rsidR="007968EC" w:rsidRPr="00C02E65" w:rsidRDefault="007968EC" w:rsidP="00DA7472">
      <w:pPr>
        <w:pStyle w:val="Prrafodelista"/>
        <w:numPr>
          <w:ilvl w:val="0"/>
          <w:numId w:val="299"/>
        </w:numPr>
        <w:jc w:val="both"/>
        <w:rPr>
          <w:rFonts w:ascii="Arial Narrow" w:eastAsia="Calibri" w:hAnsi="Arial Narrow" w:cs="Times New Roman"/>
          <w:b w:val="0"/>
          <w:color w:val="000000" w:themeColor="text1"/>
        </w:rPr>
      </w:pPr>
      <w:bookmarkStart w:id="4478" w:name="_Toc470779962"/>
      <w:bookmarkStart w:id="4479" w:name="_Toc470780579"/>
      <w:bookmarkStart w:id="4480" w:name="_Toc470781092"/>
      <w:bookmarkStart w:id="4481" w:name="_Toc470784653"/>
      <w:bookmarkStart w:id="4482" w:name="_Toc470785190"/>
      <w:bookmarkStart w:id="4483" w:name="_Toc470791582"/>
      <w:bookmarkStart w:id="4484" w:name="_Toc471831790"/>
      <w:bookmarkStart w:id="4485" w:name="_Toc490066486"/>
      <w:bookmarkStart w:id="4486" w:name="_Toc490079261"/>
      <w:r w:rsidRPr="00C02E65">
        <w:rPr>
          <w:rFonts w:ascii="Arial Narrow" w:eastAsia="Calibri" w:hAnsi="Arial Narrow" w:cs="Times New Roman"/>
          <w:b w:val="0"/>
          <w:color w:val="000000" w:themeColor="text1"/>
        </w:rPr>
        <w:t>Neto a nivel de Miembro Liquidador, cuando la entrega de valores desde los Miembros hacia la Cámara sea total, en el proceso de “Entrega Total de la Sesión de Liquidación al Vencimiento cuando las operaciones Aceptadas deban ser cumplidas con Liquidación por Entrega”, de acuerdo con lo establecido en el Artículo 2.6.1.1. Horarios de Sesiones de Operación de Cámara.</w:t>
      </w:r>
      <w:bookmarkEnd w:id="4478"/>
      <w:bookmarkEnd w:id="4479"/>
      <w:bookmarkEnd w:id="4480"/>
      <w:bookmarkEnd w:id="4481"/>
      <w:bookmarkEnd w:id="4482"/>
      <w:bookmarkEnd w:id="4483"/>
      <w:bookmarkEnd w:id="4484"/>
      <w:bookmarkEnd w:id="4485"/>
      <w:bookmarkEnd w:id="4486"/>
      <w:r w:rsidRPr="00C02E65">
        <w:rPr>
          <w:rFonts w:ascii="Arial Narrow" w:eastAsia="Calibri" w:hAnsi="Arial Narrow" w:cs="Times New Roman"/>
          <w:b w:val="0"/>
          <w:color w:val="000000" w:themeColor="text1"/>
        </w:rPr>
        <w:t xml:space="preserve">  </w:t>
      </w:r>
    </w:p>
    <w:p w14:paraId="70F16D81" w14:textId="77777777" w:rsidR="007968EC" w:rsidRPr="00C02E65" w:rsidRDefault="007968EC" w:rsidP="007968EC">
      <w:pPr>
        <w:ind w:left="708"/>
        <w:jc w:val="both"/>
        <w:rPr>
          <w:rFonts w:ascii="Arial Narrow" w:eastAsia="Calibri" w:hAnsi="Arial Narrow"/>
          <w:color w:val="000000" w:themeColor="text1"/>
        </w:rPr>
      </w:pPr>
    </w:p>
    <w:p w14:paraId="7902D590" w14:textId="77777777" w:rsidR="007968EC" w:rsidRPr="00C02E65" w:rsidRDefault="007968EC" w:rsidP="00DA7472">
      <w:pPr>
        <w:pStyle w:val="Prrafodelista"/>
        <w:numPr>
          <w:ilvl w:val="0"/>
          <w:numId w:val="299"/>
        </w:numPr>
        <w:jc w:val="both"/>
        <w:rPr>
          <w:rFonts w:ascii="Arial Narrow" w:eastAsia="Calibri" w:hAnsi="Arial Narrow" w:cs="Times New Roman"/>
          <w:color w:val="000000" w:themeColor="text1"/>
        </w:rPr>
      </w:pPr>
      <w:bookmarkStart w:id="4487" w:name="_Toc470779963"/>
      <w:bookmarkStart w:id="4488" w:name="_Toc470780580"/>
      <w:bookmarkStart w:id="4489" w:name="_Toc470781093"/>
      <w:bookmarkStart w:id="4490" w:name="_Toc470784654"/>
      <w:bookmarkStart w:id="4491" w:name="_Toc470785191"/>
      <w:bookmarkStart w:id="4492" w:name="_Toc470791583"/>
      <w:bookmarkStart w:id="4493" w:name="_Toc471831791"/>
      <w:bookmarkStart w:id="4494" w:name="_Toc490066487"/>
      <w:bookmarkStart w:id="4495" w:name="_Toc490079262"/>
      <w:r w:rsidRPr="00C02E65">
        <w:rPr>
          <w:rFonts w:ascii="Arial Narrow" w:eastAsia="Calibri" w:hAnsi="Arial Narrow" w:cs="Times New Roman"/>
          <w:b w:val="0"/>
          <w:color w:val="000000" w:themeColor="text1"/>
        </w:rPr>
        <w:t>Neto a nivel del titular de Cuenta, cuando la entrega de valores desde los Miembros hacia la Cámara sea parcial, es decir, que a los Miembros Liquidadores les falten valores por entregar de las parejas formadas y notificadas, al momento de finalizar el proceso de “Entrega Total de la Sesión de Liquidación al Vencimiento cuando las Operaciones Aceptadas deban ser cumplidas con Liquidación por Entrega” de acuerdo con lo establecido en el Artículo 2.6.1.1.  Horarios de Sesiones de Operación de Cámara.</w:t>
      </w:r>
      <w:bookmarkEnd w:id="4487"/>
      <w:bookmarkEnd w:id="4488"/>
      <w:bookmarkEnd w:id="4489"/>
      <w:bookmarkEnd w:id="4490"/>
      <w:bookmarkEnd w:id="4491"/>
      <w:bookmarkEnd w:id="4492"/>
      <w:bookmarkEnd w:id="4493"/>
      <w:bookmarkEnd w:id="4494"/>
      <w:bookmarkEnd w:id="4495"/>
      <w:r w:rsidRPr="00C02E65">
        <w:rPr>
          <w:rFonts w:ascii="Arial Narrow" w:eastAsia="Calibri" w:hAnsi="Arial Narrow" w:cs="Times New Roman"/>
          <w:b w:val="0"/>
          <w:color w:val="000000" w:themeColor="text1"/>
        </w:rPr>
        <w:t xml:space="preserve">  </w:t>
      </w:r>
    </w:p>
    <w:p w14:paraId="7CC7DE22" w14:textId="77777777" w:rsidR="007968EC" w:rsidRPr="002C0D19" w:rsidRDefault="007968EC" w:rsidP="007968EC">
      <w:pPr>
        <w:autoSpaceDE w:val="0"/>
        <w:autoSpaceDN w:val="0"/>
        <w:adjustRightInd w:val="0"/>
        <w:jc w:val="both"/>
        <w:rPr>
          <w:rFonts w:ascii="Arial Narrow" w:eastAsia="Calibri" w:hAnsi="Arial Narrow"/>
          <w:color w:val="000000" w:themeColor="text1"/>
          <w:u w:val="single"/>
        </w:rPr>
      </w:pPr>
    </w:p>
    <w:p w14:paraId="1AA1C30D"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u w:val="single"/>
        </w:rPr>
        <w:t>Etapa 2:</w:t>
      </w:r>
      <w:r w:rsidRPr="002C0D19">
        <w:rPr>
          <w:rFonts w:ascii="Arial Narrow" w:eastAsia="Calibri" w:hAnsi="Arial Narrow"/>
          <w:color w:val="000000" w:themeColor="text1"/>
        </w:rPr>
        <w:t xml:space="preserve"> Solicitud de transferencias de valores y efectivo desde la Cámara a los Miembros.</w:t>
      </w:r>
    </w:p>
    <w:p w14:paraId="4AC49793" w14:textId="77777777" w:rsidR="007968EC" w:rsidRPr="002C0D19" w:rsidRDefault="007968EC" w:rsidP="007968EC">
      <w:pPr>
        <w:autoSpaceDE w:val="0"/>
        <w:autoSpaceDN w:val="0"/>
        <w:adjustRightInd w:val="0"/>
        <w:jc w:val="both"/>
        <w:rPr>
          <w:rFonts w:ascii="Arial Narrow" w:eastAsia="Calibri" w:hAnsi="Arial Narrow"/>
          <w:b/>
          <w:color w:val="000000" w:themeColor="text1"/>
        </w:rPr>
      </w:pPr>
    </w:p>
    <w:p w14:paraId="72F7B1AC"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u w:val="single"/>
        </w:rPr>
        <w:t>Etapa 3:</w:t>
      </w:r>
      <w:r w:rsidRPr="002C0D19">
        <w:rPr>
          <w:rFonts w:ascii="Arial Narrow" w:eastAsia="Calibri" w:hAnsi="Arial Narrow"/>
          <w:color w:val="000000" w:themeColor="text1"/>
        </w:rPr>
        <w:t xml:space="preserve"> Gestión de retardos o incumplimientos para efectuar la Liquidación.</w:t>
      </w:r>
    </w:p>
    <w:p w14:paraId="23681A6F" w14:textId="77777777" w:rsidR="007968EC" w:rsidRPr="002C0D19" w:rsidRDefault="007968EC" w:rsidP="007968EC">
      <w:pPr>
        <w:jc w:val="both"/>
        <w:rPr>
          <w:rFonts w:ascii="Arial Narrow" w:eastAsia="Calibri" w:hAnsi="Arial Narrow"/>
          <w:color w:val="000000" w:themeColor="text1"/>
        </w:rPr>
      </w:pPr>
    </w:p>
    <w:p w14:paraId="6BCACD0B" w14:textId="77777777" w:rsidR="007968EC" w:rsidRPr="002C0D19" w:rsidRDefault="007968EC" w:rsidP="007968EC">
      <w:pPr>
        <w:autoSpaceDE w:val="0"/>
        <w:autoSpaceDN w:val="0"/>
        <w:adjustRightInd w:val="0"/>
        <w:contextualSpacing/>
        <w:jc w:val="both"/>
        <w:rPr>
          <w:rFonts w:ascii="Arial Narrow" w:eastAsia="Calibri" w:hAnsi="Arial Narrow"/>
          <w:color w:val="000000" w:themeColor="text1"/>
        </w:rPr>
      </w:pPr>
      <w:r w:rsidRPr="002C0D19">
        <w:rPr>
          <w:rFonts w:ascii="Arial Narrow" w:eastAsia="Calibri" w:hAnsi="Arial Narrow"/>
          <w:color w:val="000000" w:themeColor="text1"/>
        </w:rPr>
        <w:t xml:space="preserve">Las etapas a que se refiere el presente </w:t>
      </w:r>
      <w:proofErr w:type="gramStart"/>
      <w:r w:rsidRPr="002C0D19">
        <w:rPr>
          <w:rFonts w:ascii="Arial Narrow" w:eastAsia="Calibri" w:hAnsi="Arial Narrow"/>
          <w:color w:val="000000" w:themeColor="text1"/>
        </w:rPr>
        <w:t>Artículo,</w:t>
      </w:r>
      <w:proofErr w:type="gramEnd"/>
      <w:r w:rsidRPr="002C0D19">
        <w:rPr>
          <w:rFonts w:ascii="Arial Narrow" w:eastAsia="Calibri" w:hAnsi="Arial Narrow"/>
          <w:color w:val="000000" w:themeColor="text1"/>
        </w:rPr>
        <w:t xml:space="preserve"> se realizaran en los horarios establecidos en el Artículo 2.6.1.1. Horarios de Sesiones de Operación de Cámara. Durante cada etapa, la Cámara puede consultar el estado de cumplimiento de las órdenes de transferencia.</w:t>
      </w:r>
    </w:p>
    <w:p w14:paraId="5E290C17" w14:textId="77777777" w:rsidR="007968EC" w:rsidRPr="002C0D19" w:rsidRDefault="007968EC" w:rsidP="007968EC">
      <w:pPr>
        <w:jc w:val="both"/>
        <w:rPr>
          <w:rFonts w:ascii="Arial Narrow" w:eastAsia="Calibri" w:hAnsi="Arial Narrow"/>
          <w:color w:val="000000" w:themeColor="text1"/>
        </w:rPr>
      </w:pPr>
    </w:p>
    <w:p w14:paraId="67C1BA2D" w14:textId="77777777" w:rsidR="007968EC" w:rsidRPr="002C0D19" w:rsidRDefault="007968EC" w:rsidP="007968EC">
      <w:pPr>
        <w:pStyle w:val="ARTICULO0"/>
      </w:pPr>
      <w:bookmarkStart w:id="4496" w:name="_Toc470779964"/>
      <w:bookmarkStart w:id="4497" w:name="_Toc470780581"/>
      <w:bookmarkStart w:id="4498" w:name="_Toc470781094"/>
      <w:bookmarkStart w:id="4499" w:name="_Toc470784655"/>
      <w:bookmarkStart w:id="4500" w:name="_Toc470785192"/>
      <w:bookmarkStart w:id="4501" w:name="_Toc470791584"/>
      <w:bookmarkStart w:id="4502" w:name="_Toc472592337"/>
      <w:bookmarkStart w:id="4503" w:name="_Toc472593356"/>
      <w:bookmarkStart w:id="4504" w:name="_Toc479057142"/>
      <w:bookmarkStart w:id="4505" w:name="_Toc490066488"/>
      <w:bookmarkStart w:id="4506" w:name="_Toc31716157"/>
      <w:r w:rsidRPr="002C0D19">
        <w:t>Artículo 2.4.4.20. Solicitud de transferencias de valores y efectivo desde Miembros a la Cámara.</w:t>
      </w:r>
      <w:bookmarkEnd w:id="4496"/>
      <w:bookmarkEnd w:id="4497"/>
      <w:bookmarkEnd w:id="4498"/>
      <w:bookmarkEnd w:id="4499"/>
      <w:bookmarkEnd w:id="4500"/>
      <w:bookmarkEnd w:id="4501"/>
      <w:bookmarkEnd w:id="4502"/>
      <w:bookmarkEnd w:id="4503"/>
      <w:bookmarkEnd w:id="4504"/>
      <w:bookmarkEnd w:id="4505"/>
      <w:bookmarkEnd w:id="4506"/>
    </w:p>
    <w:p w14:paraId="0E1038CD" w14:textId="77777777" w:rsidR="007968EC" w:rsidRPr="002C0D19" w:rsidRDefault="007968EC" w:rsidP="007968EC">
      <w:pPr>
        <w:jc w:val="both"/>
        <w:rPr>
          <w:rFonts w:ascii="Arial Narrow" w:eastAsia="Calibri" w:hAnsi="Arial Narrow"/>
          <w:b/>
          <w:color w:val="000000" w:themeColor="text1"/>
        </w:rPr>
      </w:pPr>
    </w:p>
    <w:p w14:paraId="1F5FCBE5"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Proceso mediante el cual los Miembros con Posición neta compradora en contratos pertenecientes al Segmento de Derivados Financieros que tengan el tipo de Liquidación con Entrega al Vencimiento, deben realizar la entrega total o parcial del dinero, a la cuenta de la Cámara y los titulares con Posición neta vendedora deben entregar el(los) título(s) correspondiente(s) a la respectiva cuenta de la Cámara; así:</w:t>
      </w:r>
    </w:p>
    <w:p w14:paraId="391DC53E" w14:textId="77777777" w:rsidR="007968EC" w:rsidRPr="00C02E65" w:rsidRDefault="007968EC" w:rsidP="007968EC">
      <w:pPr>
        <w:jc w:val="both"/>
        <w:rPr>
          <w:rFonts w:ascii="Arial Narrow" w:eastAsia="Calibri" w:hAnsi="Arial Narrow"/>
          <w:color w:val="000000" w:themeColor="text1"/>
        </w:rPr>
      </w:pPr>
    </w:p>
    <w:p w14:paraId="4624A614" w14:textId="77777777" w:rsidR="007968EC" w:rsidRPr="002C0D19" w:rsidRDefault="007968EC" w:rsidP="007968EC">
      <w:pPr>
        <w:autoSpaceDE w:val="0"/>
        <w:autoSpaceDN w:val="0"/>
        <w:jc w:val="both"/>
        <w:rPr>
          <w:rFonts w:ascii="Arial Narrow" w:eastAsia="Calibri" w:hAnsi="Arial Narrow"/>
          <w:color w:val="000000" w:themeColor="text1"/>
        </w:rPr>
      </w:pPr>
      <w:r w:rsidRPr="002C0D19">
        <w:rPr>
          <w:rFonts w:ascii="Arial Narrow" w:eastAsia="Calibri" w:hAnsi="Arial Narrow"/>
          <w:color w:val="000000" w:themeColor="text1"/>
        </w:rPr>
        <w:t xml:space="preserve">Para la entrega de valores, la Cámara solicita a los depósitos la transferencia de valores la cual puede realizarse mediante la entrega total o parcial del título, desde la cuenta del titular vendedor a la cuenta de la Cámara para cada depósito / titular / valor que deba entregar a la Cámara. Estas transferencias se solicitan </w:t>
      </w:r>
      <w:r w:rsidRPr="002C0D19">
        <w:rPr>
          <w:rFonts w:ascii="Arial Narrow" w:eastAsia="Calibri" w:hAnsi="Arial Narrow"/>
          <w:color w:val="000000" w:themeColor="text1"/>
        </w:rPr>
        <w:lastRenderedPageBreak/>
        <w:t>con la condición “Libre de Pago”. En caso de entregas parciales, la Cámara seguirá solicitando las transferencias hasta la entrega total de los Valores, durante el proceso de “Entrega Parcial de la Sesión de Liquidación al Vencimiento cuando las Operaciones Aceptadas deben ser cumplidas con lo Liquidación por Entrega”.</w:t>
      </w:r>
    </w:p>
    <w:p w14:paraId="07041CD8" w14:textId="77777777" w:rsidR="007968EC" w:rsidRPr="00C02E65" w:rsidRDefault="007968EC" w:rsidP="007968EC">
      <w:pPr>
        <w:jc w:val="both"/>
        <w:rPr>
          <w:rFonts w:ascii="Arial Narrow" w:eastAsia="Calibri" w:hAnsi="Arial Narrow"/>
          <w:color w:val="000000" w:themeColor="text1"/>
        </w:rPr>
      </w:pPr>
    </w:p>
    <w:p w14:paraId="43D33A33"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Para la entrega de efectivo, la Cámara solicita al CUD la transferencia de efectivo, en forma total o parcial, desde la cuenta del Miembro Liquidador o Agente de Pago, según corresponda, a la cuenta de la Cámara. En caso de entregas parciales, la Cámara seguirá solicitando las mismas durante el proceso de “Entrega Parcial de la Sesión de Liquidación al Vencimiento cuando las Operaciones Aceptadas deben ser cumplidas con lo Liquidación por Entrega”.</w:t>
      </w:r>
    </w:p>
    <w:p w14:paraId="196C850E" w14:textId="77777777" w:rsidR="007968EC" w:rsidRPr="002C0D19" w:rsidRDefault="007968EC" w:rsidP="007968EC">
      <w:pPr>
        <w:ind w:left="708"/>
        <w:jc w:val="both"/>
        <w:rPr>
          <w:rFonts w:ascii="Arial Narrow" w:eastAsia="Calibri" w:hAnsi="Arial Narrow"/>
          <w:color w:val="000000" w:themeColor="text1"/>
          <w:lang w:eastAsia="es-CO"/>
        </w:rPr>
      </w:pPr>
    </w:p>
    <w:p w14:paraId="73392B58"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b/>
          <w:color w:val="000000" w:themeColor="text1"/>
        </w:rPr>
        <w:t>Parágrafo.</w:t>
      </w:r>
      <w:r w:rsidRPr="002C0D19">
        <w:rPr>
          <w:rFonts w:ascii="Arial Narrow" w:eastAsia="Calibri" w:hAnsi="Arial Narrow"/>
          <w:color w:val="000000" w:themeColor="text1"/>
        </w:rPr>
        <w:t xml:space="preserve"> Sólo hasta la fecha de Notificación de Entrega prevista en el artículo 2.4.4.8. de la presente Circular, los Miembros podrán solicitar a través del SAS, la actualización de la información correspondiente a los Depósitos, de los titulares para la entrega.</w:t>
      </w:r>
    </w:p>
    <w:p w14:paraId="7340D730" w14:textId="77777777" w:rsidR="007968EC" w:rsidRPr="002C0D19" w:rsidRDefault="007968EC" w:rsidP="007968EC">
      <w:pPr>
        <w:jc w:val="both"/>
        <w:rPr>
          <w:rFonts w:ascii="Arial Narrow" w:eastAsia="Calibri" w:hAnsi="Arial Narrow"/>
          <w:b/>
          <w:color w:val="000000" w:themeColor="text1"/>
        </w:rPr>
      </w:pPr>
    </w:p>
    <w:p w14:paraId="198C2EF9" w14:textId="77777777" w:rsidR="007968EC" w:rsidRPr="002C0D19" w:rsidRDefault="007968EC" w:rsidP="007968EC">
      <w:pPr>
        <w:pStyle w:val="ARTICULO0"/>
      </w:pPr>
      <w:bookmarkStart w:id="4507" w:name="_Toc470779965"/>
      <w:bookmarkStart w:id="4508" w:name="_Toc470780582"/>
      <w:bookmarkStart w:id="4509" w:name="_Toc470781095"/>
      <w:bookmarkStart w:id="4510" w:name="_Toc470784656"/>
      <w:bookmarkStart w:id="4511" w:name="_Toc470785193"/>
      <w:bookmarkStart w:id="4512" w:name="_Toc470791585"/>
      <w:bookmarkStart w:id="4513" w:name="_Toc472592338"/>
      <w:bookmarkStart w:id="4514" w:name="_Toc472593357"/>
      <w:bookmarkStart w:id="4515" w:name="_Toc479057143"/>
      <w:bookmarkStart w:id="4516" w:name="_Toc490066489"/>
      <w:bookmarkStart w:id="4517" w:name="_Toc31716158"/>
      <w:r w:rsidRPr="002C0D19">
        <w:t>Artículo 2.4.4.21. Proceso de transferencia de valores localizados en DCV desde el Miembro hacia la Cámara.</w:t>
      </w:r>
      <w:bookmarkEnd w:id="4507"/>
      <w:bookmarkEnd w:id="4508"/>
      <w:bookmarkEnd w:id="4509"/>
      <w:bookmarkEnd w:id="4510"/>
      <w:bookmarkEnd w:id="4511"/>
      <w:bookmarkEnd w:id="4512"/>
      <w:bookmarkEnd w:id="4513"/>
      <w:bookmarkEnd w:id="4514"/>
      <w:bookmarkEnd w:id="4515"/>
      <w:bookmarkEnd w:id="4516"/>
      <w:bookmarkEnd w:id="4517"/>
    </w:p>
    <w:p w14:paraId="31F2B48A" w14:textId="77777777" w:rsidR="007968EC" w:rsidRPr="002C0D19" w:rsidRDefault="007968EC" w:rsidP="007968EC">
      <w:pPr>
        <w:jc w:val="both"/>
        <w:rPr>
          <w:rFonts w:ascii="Arial Narrow" w:eastAsia="Calibri" w:hAnsi="Arial Narrow"/>
          <w:b/>
          <w:color w:val="000000" w:themeColor="text1"/>
        </w:rPr>
      </w:pPr>
    </w:p>
    <w:p w14:paraId="4704E0CF"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La orden de transferencia de valores localizados en DCV de las cuentas de los titulares con posiciones vendedoras a la cuenta de la Cámara, procede de la siguiente manera:</w:t>
      </w:r>
    </w:p>
    <w:p w14:paraId="21313467" w14:textId="77777777" w:rsidR="007968EC" w:rsidRPr="002C0D19" w:rsidRDefault="007968EC" w:rsidP="007968EC">
      <w:pPr>
        <w:jc w:val="both"/>
        <w:rPr>
          <w:rFonts w:ascii="Arial Narrow" w:eastAsia="Calibri" w:hAnsi="Arial Narrow"/>
          <w:color w:val="000000" w:themeColor="text1"/>
        </w:rPr>
      </w:pPr>
    </w:p>
    <w:p w14:paraId="77B406AA" w14:textId="77777777" w:rsidR="007968EC" w:rsidRPr="002C0D19" w:rsidRDefault="007968EC" w:rsidP="00DA7472">
      <w:pPr>
        <w:numPr>
          <w:ilvl w:val="0"/>
          <w:numId w:val="194"/>
        </w:numPr>
        <w:ind w:left="426" w:hanging="426"/>
        <w:jc w:val="both"/>
        <w:rPr>
          <w:rFonts w:ascii="Arial Narrow" w:eastAsia="Calibri" w:hAnsi="Arial Narrow"/>
          <w:color w:val="000000" w:themeColor="text1"/>
        </w:rPr>
      </w:pPr>
      <w:r w:rsidRPr="002C0D19">
        <w:rPr>
          <w:rFonts w:ascii="Arial Narrow" w:eastAsia="Calibri" w:hAnsi="Arial Narrow"/>
          <w:color w:val="000000" w:themeColor="text1"/>
        </w:rPr>
        <w:t>La Cámara genera una orden de transferencia del valor bajo la modalidad “Libre de Pago” al DCV de las cuentas de los titulares a la cuenta de la Cámara.</w:t>
      </w:r>
    </w:p>
    <w:p w14:paraId="5070B140" w14:textId="77777777" w:rsidR="007968EC" w:rsidRPr="002C0D19" w:rsidRDefault="007968EC" w:rsidP="00DA7472">
      <w:pPr>
        <w:numPr>
          <w:ilvl w:val="0"/>
          <w:numId w:val="194"/>
        </w:numPr>
        <w:ind w:left="426" w:hanging="426"/>
        <w:jc w:val="both"/>
        <w:rPr>
          <w:rFonts w:ascii="Arial Narrow" w:eastAsia="Calibri" w:hAnsi="Arial Narrow"/>
          <w:color w:val="000000" w:themeColor="text1"/>
        </w:rPr>
      </w:pPr>
      <w:r w:rsidRPr="002C0D19">
        <w:rPr>
          <w:rFonts w:ascii="Arial Narrow" w:eastAsia="Calibri" w:hAnsi="Arial Narrow"/>
          <w:color w:val="000000" w:themeColor="text1"/>
        </w:rPr>
        <w:t>El DCV verifica saldos y realiza la transferencia automática de los valores a la cuenta de la Cámara, teniendo en cuenta que el Miembro debe ingresar los datos para la expedición de las constancias de enajenación, si las condiciones tributarias de los titulares y la modalidad del valor lo exigen.</w:t>
      </w:r>
    </w:p>
    <w:p w14:paraId="0E4CCA15" w14:textId="77777777" w:rsidR="007968EC" w:rsidRPr="002C0D19" w:rsidRDefault="007968EC" w:rsidP="00DA7472">
      <w:pPr>
        <w:numPr>
          <w:ilvl w:val="0"/>
          <w:numId w:val="194"/>
        </w:numPr>
        <w:ind w:left="426" w:hanging="426"/>
        <w:jc w:val="both"/>
        <w:rPr>
          <w:rFonts w:ascii="Arial Narrow" w:eastAsia="Calibri" w:hAnsi="Arial Narrow"/>
          <w:color w:val="000000" w:themeColor="text1"/>
        </w:rPr>
      </w:pPr>
      <w:r w:rsidRPr="002C0D19">
        <w:rPr>
          <w:rFonts w:ascii="Arial Narrow" w:eastAsia="Calibri" w:hAnsi="Arial Narrow"/>
          <w:color w:val="000000" w:themeColor="text1"/>
        </w:rPr>
        <w:t>Una vez realizada la transferencia, el sistema DCV informa a la Cámara que el registro de cada orden de transferencia fue aprobada o rechazada.</w:t>
      </w:r>
    </w:p>
    <w:p w14:paraId="32F13556" w14:textId="77777777" w:rsidR="007968EC" w:rsidRPr="002C0D19" w:rsidRDefault="007968EC" w:rsidP="007968EC">
      <w:pPr>
        <w:keepNext/>
        <w:autoSpaceDE w:val="0"/>
        <w:autoSpaceDN w:val="0"/>
        <w:contextualSpacing/>
        <w:jc w:val="both"/>
        <w:rPr>
          <w:rFonts w:ascii="Arial Narrow" w:hAnsi="Arial Narrow" w:cs="Arial"/>
          <w:bCs/>
          <w:color w:val="000000" w:themeColor="text1"/>
          <w:lang w:eastAsia="es-ES"/>
        </w:rPr>
      </w:pPr>
      <w:r w:rsidRPr="002C0D19">
        <w:rPr>
          <w:rFonts w:ascii="Arial Narrow" w:eastAsia="Calibri" w:hAnsi="Arial Narrow"/>
          <w:color w:val="000000" w:themeColor="text1"/>
        </w:rPr>
        <w:t>En caso de que una o varias órdenes de transferencias hayan sido rechazadas, la Cámara solicitará al Miembro Liquidador o al Agente Custodio, según corresponda, gestionar el traslado de los valores pendientes dentro del horario previsto y en caso contrario la Cámara aplicará el proceso de incumplimiento establecido en el Reglamento y en la presente Circular.</w:t>
      </w:r>
    </w:p>
    <w:p w14:paraId="6A97F670" w14:textId="77777777" w:rsidR="007968EC" w:rsidRPr="002C0D19" w:rsidRDefault="007968EC" w:rsidP="007968EC">
      <w:pPr>
        <w:keepNext/>
        <w:autoSpaceDE w:val="0"/>
        <w:autoSpaceDN w:val="0"/>
        <w:contextualSpacing/>
        <w:jc w:val="both"/>
        <w:rPr>
          <w:rFonts w:ascii="Arial Narrow" w:hAnsi="Arial Narrow" w:cs="Arial"/>
          <w:bCs/>
          <w:color w:val="000000" w:themeColor="text1"/>
          <w:lang w:eastAsia="es-ES"/>
        </w:rPr>
      </w:pPr>
    </w:p>
    <w:p w14:paraId="62D60A7D" w14:textId="77777777" w:rsidR="007968EC" w:rsidRPr="002C0D19" w:rsidRDefault="007968EC" w:rsidP="007968EC">
      <w:pPr>
        <w:pStyle w:val="ARTICULO0"/>
      </w:pPr>
      <w:bookmarkStart w:id="4518" w:name="_Toc470779966"/>
      <w:bookmarkStart w:id="4519" w:name="_Toc470780583"/>
      <w:bookmarkStart w:id="4520" w:name="_Toc470781096"/>
      <w:bookmarkStart w:id="4521" w:name="_Toc470784657"/>
      <w:bookmarkStart w:id="4522" w:name="_Toc470785194"/>
      <w:bookmarkStart w:id="4523" w:name="_Toc470791586"/>
      <w:bookmarkStart w:id="4524" w:name="_Toc472592339"/>
      <w:bookmarkStart w:id="4525" w:name="_Toc472593358"/>
      <w:bookmarkStart w:id="4526" w:name="_Toc479057144"/>
      <w:bookmarkStart w:id="4527" w:name="_Toc490066490"/>
      <w:bookmarkStart w:id="4528" w:name="_Toc31716159"/>
      <w:r w:rsidRPr="002C0D19">
        <w:t>Artículo 2.4.4.22.  Proceso de transferencia de valores localizados en Deceval desde el Miembro hacia la Cámara.</w:t>
      </w:r>
      <w:bookmarkEnd w:id="4518"/>
      <w:bookmarkEnd w:id="4519"/>
      <w:bookmarkEnd w:id="4520"/>
      <w:bookmarkEnd w:id="4521"/>
      <w:bookmarkEnd w:id="4522"/>
      <w:bookmarkEnd w:id="4523"/>
      <w:bookmarkEnd w:id="4524"/>
      <w:bookmarkEnd w:id="4525"/>
      <w:bookmarkEnd w:id="4526"/>
      <w:bookmarkEnd w:id="4527"/>
      <w:bookmarkEnd w:id="4528"/>
    </w:p>
    <w:p w14:paraId="485D5B84" w14:textId="77777777" w:rsidR="007968EC" w:rsidRPr="002C0D19" w:rsidRDefault="007968EC" w:rsidP="007968EC">
      <w:pPr>
        <w:jc w:val="both"/>
        <w:rPr>
          <w:rFonts w:ascii="Arial Narrow" w:eastAsia="Calibri" w:hAnsi="Arial Narrow"/>
          <w:color w:val="000000" w:themeColor="text1"/>
        </w:rPr>
      </w:pPr>
    </w:p>
    <w:p w14:paraId="408CA554" w14:textId="77777777" w:rsidR="007968EC" w:rsidRPr="002C0D19" w:rsidRDefault="007968EC" w:rsidP="007968EC">
      <w:pPr>
        <w:jc w:val="both"/>
        <w:rPr>
          <w:rFonts w:ascii="Arial Narrow" w:eastAsia="Calibri" w:hAnsi="Arial Narrow"/>
          <w:color w:val="000000" w:themeColor="text1"/>
        </w:rPr>
      </w:pPr>
      <w:bookmarkStart w:id="4529" w:name="_Toc470779967"/>
      <w:bookmarkStart w:id="4530" w:name="_Toc470780584"/>
      <w:bookmarkStart w:id="4531" w:name="_Toc470781097"/>
      <w:bookmarkStart w:id="4532" w:name="_Toc470784658"/>
      <w:bookmarkStart w:id="4533" w:name="_Toc470785195"/>
      <w:bookmarkStart w:id="4534" w:name="_Toc470791587"/>
      <w:bookmarkStart w:id="4535" w:name="_Toc471831795"/>
      <w:bookmarkStart w:id="4536" w:name="_Toc490066491"/>
      <w:bookmarkStart w:id="4537" w:name="_Toc490079266"/>
      <w:r w:rsidRPr="002C0D19">
        <w:rPr>
          <w:rFonts w:ascii="Arial Narrow" w:eastAsia="Calibri" w:hAnsi="Arial Narrow"/>
          <w:color w:val="000000" w:themeColor="text1"/>
        </w:rPr>
        <w:t xml:space="preserve">La orden de transferencia de valores localizados en Deceval de las cuentas de los titulares con posiciones vendedoras a la cuenta de la </w:t>
      </w:r>
      <w:proofErr w:type="gramStart"/>
      <w:r w:rsidRPr="002C0D19">
        <w:rPr>
          <w:rFonts w:ascii="Arial Narrow" w:eastAsia="Calibri" w:hAnsi="Arial Narrow"/>
          <w:color w:val="000000" w:themeColor="text1"/>
        </w:rPr>
        <w:t>Cámara,</w:t>
      </w:r>
      <w:proofErr w:type="gramEnd"/>
      <w:r w:rsidRPr="002C0D19">
        <w:rPr>
          <w:rFonts w:ascii="Arial Narrow" w:eastAsia="Calibri" w:hAnsi="Arial Narrow"/>
          <w:color w:val="000000" w:themeColor="text1"/>
        </w:rPr>
        <w:t xml:space="preserve"> procederá de la siguiente manera:</w:t>
      </w:r>
      <w:bookmarkEnd w:id="4529"/>
      <w:bookmarkEnd w:id="4530"/>
      <w:bookmarkEnd w:id="4531"/>
      <w:bookmarkEnd w:id="4532"/>
      <w:bookmarkEnd w:id="4533"/>
      <w:bookmarkEnd w:id="4534"/>
      <w:bookmarkEnd w:id="4535"/>
      <w:bookmarkEnd w:id="4536"/>
      <w:bookmarkEnd w:id="4537"/>
    </w:p>
    <w:p w14:paraId="6EAF6134" w14:textId="77777777" w:rsidR="007968EC" w:rsidRPr="00C02E65" w:rsidRDefault="007968EC" w:rsidP="007968EC">
      <w:pPr>
        <w:jc w:val="both"/>
        <w:rPr>
          <w:rFonts w:ascii="Arial Narrow" w:eastAsia="Calibri" w:hAnsi="Arial Narrow"/>
          <w:color w:val="000000" w:themeColor="text1"/>
        </w:rPr>
      </w:pPr>
    </w:p>
    <w:p w14:paraId="5930F1FD" w14:textId="77777777" w:rsidR="007968EC" w:rsidRPr="00C02E65" w:rsidRDefault="007968EC" w:rsidP="00DA7472">
      <w:pPr>
        <w:pStyle w:val="Prrafodelista"/>
        <w:numPr>
          <w:ilvl w:val="0"/>
          <w:numId w:val="300"/>
        </w:numPr>
        <w:ind w:left="426" w:hanging="426"/>
        <w:jc w:val="both"/>
        <w:rPr>
          <w:rFonts w:ascii="Arial Narrow" w:eastAsia="Calibri" w:hAnsi="Arial Narrow" w:cs="Times New Roman"/>
          <w:b w:val="0"/>
          <w:color w:val="000000" w:themeColor="text1"/>
        </w:rPr>
      </w:pPr>
      <w:bookmarkStart w:id="4538" w:name="_Toc470779968"/>
      <w:bookmarkStart w:id="4539" w:name="_Toc470780585"/>
      <w:bookmarkStart w:id="4540" w:name="_Toc470781098"/>
      <w:bookmarkStart w:id="4541" w:name="_Toc470784659"/>
      <w:bookmarkStart w:id="4542" w:name="_Toc470785196"/>
      <w:bookmarkStart w:id="4543" w:name="_Toc470791588"/>
      <w:bookmarkStart w:id="4544" w:name="_Toc471831796"/>
      <w:bookmarkStart w:id="4545" w:name="_Toc490066492"/>
      <w:bookmarkStart w:id="4546" w:name="_Toc490079267"/>
      <w:r w:rsidRPr="00C02E65">
        <w:rPr>
          <w:rFonts w:ascii="Arial Narrow" w:eastAsia="Calibri" w:hAnsi="Arial Narrow" w:cs="Times New Roman"/>
          <w:b w:val="0"/>
          <w:color w:val="000000" w:themeColor="text1"/>
        </w:rPr>
        <w:t>La Cámara genera una orden de transferencia de valor bajo la modalidad “Libre de Pago” al Deceval de las cuentas de los titulares a la cuenta de la Cámara.</w:t>
      </w:r>
      <w:bookmarkEnd w:id="4538"/>
      <w:bookmarkEnd w:id="4539"/>
      <w:bookmarkEnd w:id="4540"/>
      <w:bookmarkEnd w:id="4541"/>
      <w:bookmarkEnd w:id="4542"/>
      <w:bookmarkEnd w:id="4543"/>
      <w:bookmarkEnd w:id="4544"/>
      <w:bookmarkEnd w:id="4545"/>
      <w:bookmarkEnd w:id="4546"/>
    </w:p>
    <w:p w14:paraId="45C0588B" w14:textId="77777777" w:rsidR="007968EC" w:rsidRPr="00C02E65" w:rsidRDefault="007968EC" w:rsidP="00DA7472">
      <w:pPr>
        <w:pStyle w:val="Prrafodelista"/>
        <w:numPr>
          <w:ilvl w:val="0"/>
          <w:numId w:val="300"/>
        </w:numPr>
        <w:ind w:left="426" w:hanging="426"/>
        <w:jc w:val="both"/>
        <w:rPr>
          <w:rFonts w:ascii="Arial Narrow" w:eastAsia="Calibri" w:hAnsi="Arial Narrow" w:cs="Times New Roman"/>
          <w:b w:val="0"/>
          <w:color w:val="000000" w:themeColor="text1"/>
        </w:rPr>
      </w:pPr>
      <w:bookmarkStart w:id="4547" w:name="_Toc470779969"/>
      <w:bookmarkStart w:id="4548" w:name="_Toc470780586"/>
      <w:bookmarkStart w:id="4549" w:name="_Toc470781099"/>
      <w:bookmarkStart w:id="4550" w:name="_Toc470784660"/>
      <w:bookmarkStart w:id="4551" w:name="_Toc470785197"/>
      <w:bookmarkStart w:id="4552" w:name="_Toc470791589"/>
      <w:bookmarkStart w:id="4553" w:name="_Toc471831797"/>
      <w:bookmarkStart w:id="4554" w:name="_Toc490066493"/>
      <w:bookmarkStart w:id="4555" w:name="_Toc490079268"/>
      <w:r w:rsidRPr="00C02E65">
        <w:rPr>
          <w:rFonts w:ascii="Arial Narrow" w:eastAsia="Calibri" w:hAnsi="Arial Narrow" w:cs="Times New Roman"/>
          <w:b w:val="0"/>
          <w:color w:val="000000" w:themeColor="text1"/>
        </w:rPr>
        <w:t>El Deceval verifica saldos y realiza la transferencia automática de los valores a la cuenta de la Cámara.</w:t>
      </w:r>
      <w:bookmarkEnd w:id="4547"/>
      <w:bookmarkEnd w:id="4548"/>
      <w:bookmarkEnd w:id="4549"/>
      <w:bookmarkEnd w:id="4550"/>
      <w:bookmarkEnd w:id="4551"/>
      <w:bookmarkEnd w:id="4552"/>
      <w:bookmarkEnd w:id="4553"/>
      <w:bookmarkEnd w:id="4554"/>
      <w:bookmarkEnd w:id="4555"/>
    </w:p>
    <w:p w14:paraId="7F1199F8" w14:textId="77777777" w:rsidR="007968EC" w:rsidRPr="00C02E65" w:rsidRDefault="007968EC" w:rsidP="007968EC">
      <w:pPr>
        <w:ind w:left="426" w:hanging="426"/>
        <w:jc w:val="both"/>
        <w:rPr>
          <w:rFonts w:ascii="Arial Narrow" w:eastAsia="Calibri" w:hAnsi="Arial Narrow"/>
          <w:color w:val="000000" w:themeColor="text1"/>
        </w:rPr>
      </w:pPr>
    </w:p>
    <w:p w14:paraId="614CB840" w14:textId="77777777" w:rsidR="007968EC" w:rsidRPr="00C02E65" w:rsidRDefault="007968EC" w:rsidP="00DA7472">
      <w:pPr>
        <w:pStyle w:val="Prrafodelista"/>
        <w:numPr>
          <w:ilvl w:val="0"/>
          <w:numId w:val="300"/>
        </w:numPr>
        <w:ind w:left="426" w:hanging="426"/>
        <w:jc w:val="both"/>
        <w:rPr>
          <w:rFonts w:ascii="Arial Narrow" w:eastAsia="Calibri" w:hAnsi="Arial Narrow" w:cs="Times New Roman"/>
          <w:b w:val="0"/>
          <w:color w:val="000000" w:themeColor="text1"/>
        </w:rPr>
      </w:pPr>
      <w:bookmarkStart w:id="4556" w:name="_Toc470779970"/>
      <w:bookmarkStart w:id="4557" w:name="_Toc470780587"/>
      <w:bookmarkStart w:id="4558" w:name="_Toc470781100"/>
      <w:bookmarkStart w:id="4559" w:name="_Toc470784661"/>
      <w:bookmarkStart w:id="4560" w:name="_Toc470785198"/>
      <w:bookmarkStart w:id="4561" w:name="_Toc470791590"/>
      <w:bookmarkStart w:id="4562" w:name="_Toc471831798"/>
      <w:bookmarkStart w:id="4563" w:name="_Toc490066494"/>
      <w:bookmarkStart w:id="4564" w:name="_Toc490079269"/>
      <w:r w:rsidRPr="00C02E65">
        <w:rPr>
          <w:rFonts w:ascii="Arial Narrow" w:eastAsia="Calibri" w:hAnsi="Arial Narrow" w:cs="Times New Roman"/>
          <w:b w:val="0"/>
          <w:color w:val="000000" w:themeColor="text1"/>
        </w:rPr>
        <w:lastRenderedPageBreak/>
        <w:t>Una vez realizada la transferencia el Deceval informa a la Cámara que el registro de cada orden de transferencia fue aprobada o rechazada.</w:t>
      </w:r>
      <w:bookmarkEnd w:id="4556"/>
      <w:bookmarkEnd w:id="4557"/>
      <w:bookmarkEnd w:id="4558"/>
      <w:bookmarkEnd w:id="4559"/>
      <w:bookmarkEnd w:id="4560"/>
      <w:bookmarkEnd w:id="4561"/>
      <w:bookmarkEnd w:id="4562"/>
      <w:bookmarkEnd w:id="4563"/>
      <w:bookmarkEnd w:id="4564"/>
    </w:p>
    <w:p w14:paraId="57456483" w14:textId="77777777" w:rsidR="007968EC" w:rsidRPr="00C02E65" w:rsidRDefault="007968EC" w:rsidP="007968EC">
      <w:pPr>
        <w:ind w:left="426" w:hanging="426"/>
        <w:jc w:val="both"/>
        <w:rPr>
          <w:rFonts w:ascii="Arial Narrow" w:eastAsia="Calibri" w:hAnsi="Arial Narrow"/>
          <w:color w:val="000000" w:themeColor="text1"/>
        </w:rPr>
      </w:pPr>
    </w:p>
    <w:p w14:paraId="1C2DD9B2" w14:textId="77777777" w:rsidR="007968EC" w:rsidRPr="00C02E65" w:rsidRDefault="007968EC" w:rsidP="00DA7472">
      <w:pPr>
        <w:pStyle w:val="Prrafodelista"/>
        <w:numPr>
          <w:ilvl w:val="0"/>
          <w:numId w:val="300"/>
        </w:numPr>
        <w:ind w:left="426" w:hanging="426"/>
        <w:jc w:val="both"/>
        <w:rPr>
          <w:rFonts w:ascii="Arial Narrow" w:eastAsia="Calibri" w:hAnsi="Arial Narrow" w:cs="Times New Roman"/>
          <w:b w:val="0"/>
          <w:color w:val="000000" w:themeColor="text1"/>
        </w:rPr>
      </w:pPr>
      <w:bookmarkStart w:id="4565" w:name="_Toc470779971"/>
      <w:bookmarkStart w:id="4566" w:name="_Toc470780588"/>
      <w:bookmarkStart w:id="4567" w:name="_Toc470781101"/>
      <w:bookmarkStart w:id="4568" w:name="_Toc470784662"/>
      <w:bookmarkStart w:id="4569" w:name="_Toc470785199"/>
      <w:bookmarkStart w:id="4570" w:name="_Toc470791591"/>
      <w:bookmarkStart w:id="4571" w:name="_Toc471831799"/>
      <w:bookmarkStart w:id="4572" w:name="_Toc490066495"/>
      <w:bookmarkStart w:id="4573" w:name="_Toc490079270"/>
      <w:r w:rsidRPr="00C02E65">
        <w:rPr>
          <w:rFonts w:ascii="Arial Narrow" w:eastAsia="Calibri" w:hAnsi="Arial Narrow" w:cs="Times New Roman"/>
          <w:b w:val="0"/>
          <w:color w:val="000000" w:themeColor="text1"/>
        </w:rPr>
        <w:t xml:space="preserve">Las transferencias rechazadas por falta de saldo en valores en la cuenta de </w:t>
      </w:r>
      <w:proofErr w:type="gramStart"/>
      <w:r w:rsidRPr="00C02E65">
        <w:rPr>
          <w:rFonts w:ascii="Arial Narrow" w:eastAsia="Calibri" w:hAnsi="Arial Narrow" w:cs="Times New Roman"/>
          <w:b w:val="0"/>
          <w:color w:val="000000" w:themeColor="text1"/>
        </w:rPr>
        <w:t>Deceval,</w:t>
      </w:r>
      <w:proofErr w:type="gramEnd"/>
      <w:r w:rsidRPr="00C02E65">
        <w:rPr>
          <w:rFonts w:ascii="Arial Narrow" w:eastAsia="Calibri" w:hAnsi="Arial Narrow" w:cs="Times New Roman"/>
          <w:b w:val="0"/>
          <w:color w:val="000000" w:themeColor="text1"/>
        </w:rPr>
        <w:t xml:space="preserve"> quedan en Deceval en un proceso de “repique”, pendiente de que haya saldo en la cuenta indicada. Este proceso se realiza durante un intervalo de tiempo determinado por el Depósito.</w:t>
      </w:r>
      <w:bookmarkEnd w:id="4565"/>
      <w:bookmarkEnd w:id="4566"/>
      <w:bookmarkEnd w:id="4567"/>
      <w:bookmarkEnd w:id="4568"/>
      <w:bookmarkEnd w:id="4569"/>
      <w:bookmarkEnd w:id="4570"/>
      <w:bookmarkEnd w:id="4571"/>
      <w:bookmarkEnd w:id="4572"/>
      <w:bookmarkEnd w:id="4573"/>
    </w:p>
    <w:p w14:paraId="26054EEB" w14:textId="77777777" w:rsidR="007968EC" w:rsidRPr="00C02E65" w:rsidRDefault="007968EC" w:rsidP="007968EC">
      <w:pPr>
        <w:ind w:left="426" w:hanging="426"/>
        <w:jc w:val="both"/>
        <w:rPr>
          <w:rFonts w:ascii="Arial Narrow" w:eastAsia="Calibri" w:hAnsi="Arial Narrow"/>
          <w:color w:val="000000" w:themeColor="text1"/>
        </w:rPr>
      </w:pPr>
    </w:p>
    <w:p w14:paraId="34B14B43" w14:textId="77777777" w:rsidR="007968EC" w:rsidRPr="00C02E65" w:rsidRDefault="007968EC" w:rsidP="00DA7472">
      <w:pPr>
        <w:pStyle w:val="Prrafodelista"/>
        <w:numPr>
          <w:ilvl w:val="0"/>
          <w:numId w:val="300"/>
        </w:numPr>
        <w:ind w:left="426" w:hanging="426"/>
        <w:jc w:val="both"/>
        <w:rPr>
          <w:rFonts w:ascii="Arial Narrow" w:eastAsia="Calibri" w:hAnsi="Arial Narrow" w:cs="Times New Roman"/>
          <w:b w:val="0"/>
          <w:color w:val="000000" w:themeColor="text1"/>
        </w:rPr>
      </w:pPr>
      <w:bookmarkStart w:id="4574" w:name="_Toc470779972"/>
      <w:bookmarkStart w:id="4575" w:name="_Toc470780589"/>
      <w:bookmarkStart w:id="4576" w:name="_Toc470781102"/>
      <w:bookmarkStart w:id="4577" w:name="_Toc470784663"/>
      <w:bookmarkStart w:id="4578" w:name="_Toc470785200"/>
      <w:bookmarkStart w:id="4579" w:name="_Toc470791592"/>
      <w:bookmarkStart w:id="4580" w:name="_Toc471831800"/>
      <w:bookmarkStart w:id="4581" w:name="_Toc490066496"/>
      <w:bookmarkStart w:id="4582" w:name="_Toc490079271"/>
      <w:r w:rsidRPr="00C02E65">
        <w:rPr>
          <w:rFonts w:ascii="Arial Narrow" w:eastAsia="Calibri" w:hAnsi="Arial Narrow" w:cs="Times New Roman"/>
          <w:b w:val="0"/>
          <w:color w:val="000000" w:themeColor="text1"/>
        </w:rPr>
        <w:t>Cuando la cuenta tenga saldo disponible, se realiza la transferencia a la cuenta de la Cámara.</w:t>
      </w:r>
      <w:bookmarkEnd w:id="4574"/>
      <w:bookmarkEnd w:id="4575"/>
      <w:bookmarkEnd w:id="4576"/>
      <w:bookmarkEnd w:id="4577"/>
      <w:bookmarkEnd w:id="4578"/>
      <w:bookmarkEnd w:id="4579"/>
      <w:bookmarkEnd w:id="4580"/>
      <w:bookmarkEnd w:id="4581"/>
      <w:bookmarkEnd w:id="4582"/>
    </w:p>
    <w:p w14:paraId="10A12488" w14:textId="77777777" w:rsidR="007968EC" w:rsidRPr="00C02E65" w:rsidRDefault="007968EC" w:rsidP="007968EC">
      <w:pPr>
        <w:ind w:left="426" w:hanging="426"/>
        <w:jc w:val="both"/>
        <w:rPr>
          <w:rFonts w:ascii="Arial Narrow" w:eastAsia="Calibri" w:hAnsi="Arial Narrow"/>
          <w:color w:val="000000" w:themeColor="text1"/>
        </w:rPr>
      </w:pPr>
    </w:p>
    <w:p w14:paraId="11032B0F" w14:textId="77777777" w:rsidR="007968EC" w:rsidRPr="00C02E65" w:rsidRDefault="007968EC" w:rsidP="00DA7472">
      <w:pPr>
        <w:pStyle w:val="Prrafodelista"/>
        <w:numPr>
          <w:ilvl w:val="0"/>
          <w:numId w:val="300"/>
        </w:numPr>
        <w:ind w:left="426" w:hanging="426"/>
        <w:jc w:val="both"/>
        <w:rPr>
          <w:rFonts w:ascii="Arial Narrow" w:eastAsia="Calibri" w:hAnsi="Arial Narrow" w:cs="Times New Roman"/>
          <w:color w:val="000000" w:themeColor="text1"/>
        </w:rPr>
      </w:pPr>
      <w:bookmarkStart w:id="4583" w:name="_Toc470779973"/>
      <w:bookmarkStart w:id="4584" w:name="_Toc470780590"/>
      <w:bookmarkStart w:id="4585" w:name="_Toc470781103"/>
      <w:bookmarkStart w:id="4586" w:name="_Toc470784664"/>
      <w:bookmarkStart w:id="4587" w:name="_Toc470785201"/>
      <w:bookmarkStart w:id="4588" w:name="_Toc470791593"/>
      <w:bookmarkStart w:id="4589" w:name="_Toc471831801"/>
      <w:bookmarkStart w:id="4590" w:name="_Toc490066497"/>
      <w:bookmarkStart w:id="4591" w:name="_Toc490079272"/>
      <w:r w:rsidRPr="00C02E65">
        <w:rPr>
          <w:rFonts w:ascii="Arial Narrow" w:eastAsia="Calibri" w:hAnsi="Arial Narrow" w:cs="Times New Roman"/>
          <w:b w:val="0"/>
          <w:color w:val="000000" w:themeColor="text1"/>
        </w:rPr>
        <w:t>En caso de que una o varias órdenes de transferencias hayan sido rechazadas, la Cámara solicitará al Miembro Liquidador o al Agente Custodio, según corresponda, gestionar el traslado de valores pendientes dentro del horario previsto y en caso contrario aplicará el proceso de incumplimiento establecido en el Reglamento y en la presente Circular.</w:t>
      </w:r>
      <w:bookmarkEnd w:id="4583"/>
      <w:bookmarkEnd w:id="4584"/>
      <w:bookmarkEnd w:id="4585"/>
      <w:bookmarkEnd w:id="4586"/>
      <w:bookmarkEnd w:id="4587"/>
      <w:bookmarkEnd w:id="4588"/>
      <w:bookmarkEnd w:id="4589"/>
      <w:bookmarkEnd w:id="4590"/>
      <w:bookmarkEnd w:id="4591"/>
    </w:p>
    <w:p w14:paraId="41979406" w14:textId="77777777" w:rsidR="007968EC" w:rsidRPr="002C0D19" w:rsidRDefault="007968EC" w:rsidP="007968EC">
      <w:pPr>
        <w:keepNext/>
        <w:autoSpaceDE w:val="0"/>
        <w:autoSpaceDN w:val="0"/>
        <w:ind w:hanging="459"/>
        <w:contextualSpacing/>
        <w:jc w:val="both"/>
        <w:rPr>
          <w:rFonts w:ascii="Arial Narrow" w:hAnsi="Arial Narrow" w:cs="Arial"/>
          <w:bCs/>
          <w:color w:val="000000" w:themeColor="text1"/>
          <w:lang w:eastAsia="es-ES"/>
        </w:rPr>
      </w:pPr>
    </w:p>
    <w:p w14:paraId="6F167F25" w14:textId="77777777" w:rsidR="007968EC" w:rsidRPr="002C0D19" w:rsidRDefault="007968EC" w:rsidP="007968EC">
      <w:pPr>
        <w:pStyle w:val="ARTICULO0"/>
      </w:pPr>
      <w:bookmarkStart w:id="4592" w:name="_Toc470779974"/>
      <w:bookmarkStart w:id="4593" w:name="_Toc470780591"/>
      <w:bookmarkStart w:id="4594" w:name="_Toc470781104"/>
      <w:bookmarkStart w:id="4595" w:name="_Toc470784665"/>
      <w:bookmarkStart w:id="4596" w:name="_Toc470785202"/>
      <w:bookmarkStart w:id="4597" w:name="_Toc470791594"/>
      <w:bookmarkStart w:id="4598" w:name="_Toc472592340"/>
      <w:bookmarkStart w:id="4599" w:name="_Toc472593359"/>
      <w:bookmarkStart w:id="4600" w:name="_Toc479057145"/>
      <w:bookmarkStart w:id="4601" w:name="_Toc490066498"/>
      <w:bookmarkStart w:id="4602" w:name="_Toc31716160"/>
      <w:r w:rsidRPr="002C0D19">
        <w:t>Artículo 2.4.4.23. Proceso de transferencias de efectivo desde el Miembro Liquidador o Agente de Pago hacia la Cámara.</w:t>
      </w:r>
      <w:bookmarkEnd w:id="4592"/>
      <w:bookmarkEnd w:id="4593"/>
      <w:bookmarkEnd w:id="4594"/>
      <w:bookmarkEnd w:id="4595"/>
      <w:bookmarkEnd w:id="4596"/>
      <w:bookmarkEnd w:id="4597"/>
      <w:bookmarkEnd w:id="4598"/>
      <w:bookmarkEnd w:id="4599"/>
      <w:bookmarkEnd w:id="4600"/>
      <w:bookmarkEnd w:id="4601"/>
      <w:bookmarkEnd w:id="4602"/>
    </w:p>
    <w:p w14:paraId="4D18ADE5" w14:textId="77777777" w:rsidR="007968EC" w:rsidRPr="002C0D19" w:rsidRDefault="007968EC" w:rsidP="007968EC">
      <w:pPr>
        <w:jc w:val="both"/>
        <w:rPr>
          <w:rFonts w:ascii="Arial Narrow" w:eastAsia="Calibri" w:hAnsi="Arial Narrow"/>
          <w:b/>
          <w:color w:val="000000" w:themeColor="text1"/>
        </w:rPr>
      </w:pPr>
    </w:p>
    <w:p w14:paraId="46D402FB"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Paralelo a la transmisión de órdenes de transferencia de valores, la Cámara transmite al sistema de pagos del Banco de la República, la orden de débito con las transferencias de efectivo hacia la Cámara, así:</w:t>
      </w:r>
    </w:p>
    <w:p w14:paraId="4E833A63" w14:textId="77777777" w:rsidR="007968EC" w:rsidRPr="005703C9" w:rsidRDefault="007968EC" w:rsidP="007968EC">
      <w:pPr>
        <w:jc w:val="both"/>
        <w:rPr>
          <w:rFonts w:ascii="Arial Narrow" w:eastAsia="Calibri" w:hAnsi="Arial Narrow"/>
          <w:color w:val="000000" w:themeColor="text1"/>
        </w:rPr>
      </w:pPr>
    </w:p>
    <w:p w14:paraId="1B63D4B0" w14:textId="77777777" w:rsidR="007968EC" w:rsidRPr="002C0D19" w:rsidRDefault="007968EC" w:rsidP="00DA7472">
      <w:pPr>
        <w:numPr>
          <w:ilvl w:val="0"/>
          <w:numId w:val="195"/>
        </w:numPr>
        <w:ind w:left="426" w:hanging="284"/>
        <w:contextualSpacing/>
        <w:jc w:val="both"/>
        <w:rPr>
          <w:rFonts w:ascii="Arial Narrow" w:eastAsia="Calibri" w:hAnsi="Arial Narrow"/>
          <w:color w:val="000000" w:themeColor="text1"/>
        </w:rPr>
      </w:pPr>
      <w:r w:rsidRPr="002C0D19">
        <w:rPr>
          <w:rFonts w:ascii="Arial Narrow" w:eastAsia="Calibri" w:hAnsi="Arial Narrow"/>
          <w:color w:val="000000" w:themeColor="text1"/>
        </w:rPr>
        <w:t>La Cámara genera una orden de débito para el CUD del Banco de la República con las transferencias de dineros de las cuentas de los Miembros Liquidadores o Agentes de Pago, según corresponda, a la cuenta de la Cámara.</w:t>
      </w:r>
    </w:p>
    <w:p w14:paraId="5FE32CEB" w14:textId="77777777" w:rsidR="007968EC" w:rsidRPr="002C0D19" w:rsidRDefault="007968EC" w:rsidP="007968EC">
      <w:pPr>
        <w:ind w:left="426"/>
        <w:contextualSpacing/>
        <w:jc w:val="both"/>
        <w:rPr>
          <w:rFonts w:ascii="Arial Narrow" w:eastAsia="Calibri" w:hAnsi="Arial Narrow"/>
          <w:color w:val="000000" w:themeColor="text1"/>
        </w:rPr>
      </w:pPr>
    </w:p>
    <w:p w14:paraId="293F0A11" w14:textId="77777777" w:rsidR="007968EC" w:rsidRPr="002C0D19" w:rsidRDefault="007968EC" w:rsidP="00DA7472">
      <w:pPr>
        <w:numPr>
          <w:ilvl w:val="0"/>
          <w:numId w:val="195"/>
        </w:numPr>
        <w:ind w:left="426" w:hanging="284"/>
        <w:contextualSpacing/>
        <w:jc w:val="both"/>
        <w:rPr>
          <w:rFonts w:ascii="Arial Narrow" w:eastAsia="Calibri" w:hAnsi="Arial Narrow"/>
          <w:color w:val="000000" w:themeColor="text1"/>
        </w:rPr>
      </w:pPr>
      <w:r w:rsidRPr="002C0D19">
        <w:rPr>
          <w:rFonts w:ascii="Arial Narrow" w:eastAsia="Calibri" w:hAnsi="Arial Narrow"/>
          <w:color w:val="000000" w:themeColor="text1"/>
        </w:rPr>
        <w:t>La orden enviada por la Cámara ingresará al CUD con Prioridad 1 en el orden de Liquidación de las transacciones en la cola de espera de la cuenta a debitar.</w:t>
      </w:r>
    </w:p>
    <w:p w14:paraId="7271E7B8" w14:textId="77777777" w:rsidR="007968EC" w:rsidRPr="002C0D19" w:rsidRDefault="007968EC" w:rsidP="007968EC">
      <w:pPr>
        <w:ind w:left="720"/>
        <w:contextualSpacing/>
        <w:rPr>
          <w:rFonts w:ascii="Arial Narrow" w:eastAsia="Calibri" w:hAnsi="Arial Narrow"/>
          <w:color w:val="000000" w:themeColor="text1"/>
        </w:rPr>
      </w:pPr>
    </w:p>
    <w:p w14:paraId="16D36ADE" w14:textId="77777777" w:rsidR="007968EC" w:rsidRPr="002C0D19" w:rsidRDefault="007968EC" w:rsidP="00DA7472">
      <w:pPr>
        <w:numPr>
          <w:ilvl w:val="0"/>
          <w:numId w:val="195"/>
        </w:numPr>
        <w:ind w:left="426" w:hanging="284"/>
        <w:contextualSpacing/>
        <w:jc w:val="both"/>
        <w:rPr>
          <w:rFonts w:ascii="Arial Narrow" w:eastAsia="Calibri" w:hAnsi="Arial Narrow"/>
          <w:color w:val="000000" w:themeColor="text1"/>
        </w:rPr>
      </w:pPr>
      <w:r w:rsidRPr="002C0D19">
        <w:rPr>
          <w:rFonts w:ascii="Arial Narrow" w:eastAsia="Calibri" w:hAnsi="Arial Narrow"/>
          <w:color w:val="000000" w:themeColor="text1"/>
        </w:rPr>
        <w:t>Si el CUD no encuentra transacciones en la fila de espera, o sólo hay transacciones con menor o igual prioridad a la enviada por la Cámara, verifica la existencia de saldo disponible suficiente en la cuenta y realiza la transferencia automática de los fondos a la cuenta de la Cámara.</w:t>
      </w:r>
    </w:p>
    <w:p w14:paraId="47B78537" w14:textId="77777777" w:rsidR="007968EC" w:rsidRPr="002C0D19" w:rsidRDefault="007968EC" w:rsidP="007968EC">
      <w:pPr>
        <w:ind w:left="720"/>
        <w:contextualSpacing/>
        <w:rPr>
          <w:rFonts w:ascii="Arial Narrow" w:eastAsia="Calibri" w:hAnsi="Arial Narrow"/>
          <w:bCs/>
          <w:color w:val="000000" w:themeColor="text1"/>
        </w:rPr>
      </w:pPr>
    </w:p>
    <w:p w14:paraId="667E5C28" w14:textId="77777777" w:rsidR="007968EC" w:rsidRPr="002C0D19" w:rsidRDefault="007968EC" w:rsidP="00DA7472">
      <w:pPr>
        <w:numPr>
          <w:ilvl w:val="0"/>
          <w:numId w:val="195"/>
        </w:numPr>
        <w:ind w:left="426" w:hanging="284"/>
        <w:contextualSpacing/>
        <w:jc w:val="both"/>
        <w:rPr>
          <w:rFonts w:ascii="Arial Narrow" w:eastAsia="Calibri" w:hAnsi="Arial Narrow"/>
          <w:color w:val="000000" w:themeColor="text1"/>
        </w:rPr>
      </w:pPr>
      <w:r w:rsidRPr="002C0D19">
        <w:rPr>
          <w:rFonts w:ascii="Arial Narrow" w:eastAsia="Calibri" w:hAnsi="Arial Narrow"/>
          <w:bCs/>
          <w:color w:val="000000" w:themeColor="text1"/>
        </w:rPr>
        <w:t>Una vez realizada la transferencia el CUD informa a la Cámara que el registro de cada orden de transferencia fue aprobada o rechazada.</w:t>
      </w:r>
    </w:p>
    <w:p w14:paraId="18A247D2" w14:textId="77777777" w:rsidR="007968EC" w:rsidRPr="002C0D19" w:rsidRDefault="007968EC" w:rsidP="007968EC">
      <w:pPr>
        <w:ind w:left="720"/>
        <w:contextualSpacing/>
        <w:rPr>
          <w:rFonts w:ascii="Arial Narrow" w:eastAsia="Calibri" w:hAnsi="Arial Narrow"/>
          <w:color w:val="000000" w:themeColor="text1"/>
        </w:rPr>
      </w:pPr>
    </w:p>
    <w:p w14:paraId="24A9FC3D" w14:textId="77777777" w:rsidR="007968EC" w:rsidRPr="002C0D19" w:rsidRDefault="007968EC" w:rsidP="00DA7472">
      <w:pPr>
        <w:numPr>
          <w:ilvl w:val="0"/>
          <w:numId w:val="195"/>
        </w:numPr>
        <w:ind w:left="426" w:hanging="284"/>
        <w:contextualSpacing/>
        <w:jc w:val="both"/>
        <w:rPr>
          <w:rFonts w:ascii="Arial Narrow" w:eastAsia="Calibri" w:hAnsi="Arial Narrow"/>
          <w:color w:val="000000" w:themeColor="text1"/>
        </w:rPr>
      </w:pPr>
      <w:r w:rsidRPr="002C0D19">
        <w:rPr>
          <w:rFonts w:ascii="Arial Narrow" w:eastAsia="Calibri" w:hAnsi="Arial Narrow"/>
          <w:color w:val="000000" w:themeColor="text1"/>
        </w:rPr>
        <w:t>En caso de que una o varias órdenes de transferencias hayan sido rechazadas, la Cámara solicitará al Miembro Liquidador o al Agente de Pago, según corresponda, gestionar el traslado de fondos pendientes dentro del horario previsto y en caso contrario aplicara el proceso de incumplimiento establecido en el Reglamento y en la presente Circular.</w:t>
      </w:r>
    </w:p>
    <w:p w14:paraId="283E6570" w14:textId="77777777" w:rsidR="007968EC" w:rsidRPr="002C0D19" w:rsidRDefault="007968EC" w:rsidP="007968EC">
      <w:pPr>
        <w:keepNext/>
        <w:autoSpaceDE w:val="0"/>
        <w:autoSpaceDN w:val="0"/>
        <w:contextualSpacing/>
        <w:jc w:val="both"/>
        <w:rPr>
          <w:rFonts w:ascii="Arial Narrow" w:hAnsi="Arial Narrow" w:cs="Arial"/>
          <w:b/>
          <w:bCs/>
          <w:color w:val="000000" w:themeColor="text1"/>
          <w:lang w:eastAsia="es-ES"/>
        </w:rPr>
      </w:pPr>
    </w:p>
    <w:p w14:paraId="7CC632C8" w14:textId="77777777" w:rsidR="007968EC" w:rsidRPr="002C0D19" w:rsidRDefault="007968EC" w:rsidP="007968EC">
      <w:pPr>
        <w:pStyle w:val="ARTICULO0"/>
      </w:pPr>
      <w:bookmarkStart w:id="4603" w:name="_Toc470779975"/>
      <w:bookmarkStart w:id="4604" w:name="_Toc470780592"/>
      <w:bookmarkStart w:id="4605" w:name="_Toc470781105"/>
      <w:bookmarkStart w:id="4606" w:name="_Toc470784666"/>
      <w:bookmarkStart w:id="4607" w:name="_Toc470785203"/>
      <w:bookmarkStart w:id="4608" w:name="_Toc470791595"/>
      <w:bookmarkStart w:id="4609" w:name="_Toc472592341"/>
      <w:bookmarkStart w:id="4610" w:name="_Toc472593360"/>
      <w:bookmarkStart w:id="4611" w:name="_Toc479057146"/>
      <w:bookmarkStart w:id="4612" w:name="_Toc490066499"/>
      <w:bookmarkStart w:id="4613" w:name="_Toc31716161"/>
      <w:r w:rsidRPr="002C0D19">
        <w:t>Artículo 2.4.4.24.  Gestión de Incumplimientos para efectuar la Liquidación.</w:t>
      </w:r>
      <w:bookmarkEnd w:id="4603"/>
      <w:bookmarkEnd w:id="4604"/>
      <w:bookmarkEnd w:id="4605"/>
      <w:bookmarkEnd w:id="4606"/>
      <w:bookmarkEnd w:id="4607"/>
      <w:bookmarkEnd w:id="4608"/>
      <w:bookmarkEnd w:id="4609"/>
      <w:bookmarkEnd w:id="4610"/>
      <w:bookmarkEnd w:id="4611"/>
      <w:bookmarkEnd w:id="4612"/>
      <w:bookmarkEnd w:id="4613"/>
    </w:p>
    <w:p w14:paraId="5A970C3B" w14:textId="77777777" w:rsidR="007968EC" w:rsidRPr="002C0D19" w:rsidRDefault="007968EC" w:rsidP="007968EC">
      <w:pPr>
        <w:jc w:val="both"/>
        <w:rPr>
          <w:rFonts w:ascii="Arial Narrow" w:eastAsia="Calibri" w:hAnsi="Arial Narrow"/>
          <w:bCs/>
          <w:color w:val="000000" w:themeColor="text1"/>
        </w:rPr>
      </w:pPr>
    </w:p>
    <w:p w14:paraId="6FBD0AB9" w14:textId="77777777" w:rsidR="007968EC" w:rsidRPr="002C0D19" w:rsidRDefault="007968EC" w:rsidP="007968EC">
      <w:pPr>
        <w:jc w:val="both"/>
        <w:rPr>
          <w:rFonts w:ascii="Arial Narrow" w:eastAsia="Calibri" w:hAnsi="Arial Narrow"/>
          <w:bCs/>
          <w:color w:val="000000" w:themeColor="text1"/>
        </w:rPr>
      </w:pPr>
      <w:r w:rsidRPr="002C0D19">
        <w:rPr>
          <w:rFonts w:ascii="Arial Narrow" w:eastAsia="Calibri" w:hAnsi="Arial Narrow"/>
          <w:bCs/>
          <w:color w:val="000000" w:themeColor="text1"/>
        </w:rPr>
        <w:t>El proceso de gestión de incumplimientos se describe en el Título Séptimo de la Parte I de la presente Circular.</w:t>
      </w:r>
    </w:p>
    <w:p w14:paraId="42514C80" w14:textId="77777777" w:rsidR="007968EC" w:rsidRPr="002C0D19" w:rsidRDefault="007968EC" w:rsidP="007968EC">
      <w:pPr>
        <w:jc w:val="both"/>
        <w:rPr>
          <w:rFonts w:ascii="Arial Narrow" w:eastAsia="Calibri" w:hAnsi="Arial Narrow"/>
          <w:color w:val="000000" w:themeColor="text1"/>
        </w:rPr>
      </w:pPr>
    </w:p>
    <w:p w14:paraId="43F0968D" w14:textId="77777777" w:rsidR="007968EC" w:rsidRPr="002C0D19" w:rsidRDefault="007968EC" w:rsidP="007968EC">
      <w:pPr>
        <w:pStyle w:val="ARTICULO0"/>
      </w:pPr>
      <w:bookmarkStart w:id="4614" w:name="_Toc470779976"/>
      <w:bookmarkStart w:id="4615" w:name="_Toc470780593"/>
      <w:bookmarkStart w:id="4616" w:name="_Toc470781106"/>
      <w:bookmarkStart w:id="4617" w:name="_Toc470784667"/>
      <w:bookmarkStart w:id="4618" w:name="_Toc470785204"/>
      <w:bookmarkStart w:id="4619" w:name="_Toc470791596"/>
      <w:bookmarkStart w:id="4620" w:name="_Toc472592342"/>
      <w:bookmarkStart w:id="4621" w:name="_Toc472593361"/>
      <w:bookmarkStart w:id="4622" w:name="_Toc479057147"/>
      <w:bookmarkStart w:id="4623" w:name="_Toc490066500"/>
      <w:bookmarkStart w:id="4624" w:name="_Toc31716162"/>
      <w:r w:rsidRPr="002C0D19">
        <w:t>Artículo 2.4.4.25. Solicitud de transferencias de valores y efectivo desde la Cámara hacia los Miembros.</w:t>
      </w:r>
      <w:bookmarkEnd w:id="4614"/>
      <w:bookmarkEnd w:id="4615"/>
      <w:bookmarkEnd w:id="4616"/>
      <w:bookmarkEnd w:id="4617"/>
      <w:bookmarkEnd w:id="4618"/>
      <w:bookmarkEnd w:id="4619"/>
      <w:bookmarkEnd w:id="4620"/>
      <w:bookmarkEnd w:id="4621"/>
      <w:bookmarkEnd w:id="4622"/>
      <w:bookmarkEnd w:id="4623"/>
      <w:bookmarkEnd w:id="4624"/>
    </w:p>
    <w:p w14:paraId="7FCC8712" w14:textId="77777777" w:rsidR="007968EC" w:rsidRPr="002C0D19" w:rsidRDefault="007968EC" w:rsidP="007968EC">
      <w:pPr>
        <w:jc w:val="both"/>
        <w:rPr>
          <w:rFonts w:ascii="Arial Narrow" w:eastAsia="Calibri" w:hAnsi="Arial Narrow"/>
          <w:color w:val="000000" w:themeColor="text1"/>
        </w:rPr>
      </w:pPr>
    </w:p>
    <w:p w14:paraId="6466B44C"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La Cámara una vez confirmadas las transferencias de dinero y valores a sus cuentas, por cada pareja de entrega formada y notificada, procede a realizar las transferencias de dinero y valores desde sus cuentas, en forma total o parcial. Si las transferencias de dinero y valores son parciales, las transferencias se seguirán realizando hasta completar el pago efectivo de las obligaciones.</w:t>
      </w:r>
    </w:p>
    <w:p w14:paraId="531FC410" w14:textId="77777777" w:rsidR="007968EC" w:rsidRPr="005703C9" w:rsidRDefault="007968EC" w:rsidP="007968EC">
      <w:pPr>
        <w:jc w:val="both"/>
        <w:rPr>
          <w:rFonts w:ascii="Arial Narrow" w:eastAsia="Calibri" w:hAnsi="Arial Narrow"/>
          <w:color w:val="000000" w:themeColor="text1"/>
        </w:rPr>
      </w:pPr>
    </w:p>
    <w:p w14:paraId="04B18EB4"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Los valores se entregan a nivel de titular de Cuenta y el efectivo a nivel de Miembro Liquidador o Agente de Pago, independientemente que la entrega se determine neto a nivel de titular de cuenta, según corresponda, así:</w:t>
      </w:r>
    </w:p>
    <w:p w14:paraId="2ABC50A8" w14:textId="77777777" w:rsidR="007968EC" w:rsidRPr="005703C9" w:rsidRDefault="007968EC" w:rsidP="007968EC">
      <w:pPr>
        <w:jc w:val="both"/>
        <w:rPr>
          <w:rFonts w:ascii="Arial Narrow" w:eastAsia="Calibri" w:hAnsi="Arial Narrow"/>
          <w:color w:val="000000" w:themeColor="text1"/>
        </w:rPr>
      </w:pPr>
    </w:p>
    <w:p w14:paraId="156EF887" w14:textId="77777777" w:rsidR="007968EC" w:rsidRDefault="007968EC" w:rsidP="00DA7472">
      <w:pPr>
        <w:numPr>
          <w:ilvl w:val="0"/>
          <w:numId w:val="196"/>
        </w:numPr>
        <w:autoSpaceDE w:val="0"/>
        <w:autoSpaceDN w:val="0"/>
        <w:adjustRightInd w:val="0"/>
        <w:ind w:left="426" w:hanging="426"/>
        <w:jc w:val="both"/>
        <w:rPr>
          <w:rFonts w:ascii="Arial Narrow" w:eastAsia="Calibri" w:hAnsi="Arial Narrow"/>
          <w:color w:val="000000" w:themeColor="text1"/>
          <w:lang w:eastAsia="es-CO"/>
        </w:rPr>
      </w:pPr>
      <w:r w:rsidRPr="002C0D19">
        <w:rPr>
          <w:rFonts w:ascii="Arial Narrow" w:eastAsia="Calibri" w:hAnsi="Arial Narrow"/>
          <w:color w:val="000000" w:themeColor="text1"/>
          <w:lang w:eastAsia="es-CO"/>
        </w:rPr>
        <w:t>Para la entrega de valores, la Cámara solicita a los depósitos la transferencia de valores, mediante entregas totales o parciales, según sea el caso, desde la cuenta de la Cámara a la cuenta del titular comprador a nivel de depósito / titular / valor. Estas transferencias se solicitan con la condición “Libre de Pago”.</w:t>
      </w:r>
    </w:p>
    <w:p w14:paraId="5D410F0F" w14:textId="77777777" w:rsidR="007968EC" w:rsidRPr="002C0D19" w:rsidRDefault="007968EC" w:rsidP="007968EC">
      <w:pPr>
        <w:autoSpaceDE w:val="0"/>
        <w:autoSpaceDN w:val="0"/>
        <w:adjustRightInd w:val="0"/>
        <w:ind w:left="426"/>
        <w:jc w:val="both"/>
        <w:rPr>
          <w:rFonts w:ascii="Arial Narrow" w:eastAsia="Calibri" w:hAnsi="Arial Narrow"/>
          <w:color w:val="000000" w:themeColor="text1"/>
          <w:lang w:eastAsia="es-CO"/>
        </w:rPr>
      </w:pPr>
    </w:p>
    <w:p w14:paraId="23EB9F3F" w14:textId="77777777" w:rsidR="007968EC" w:rsidRPr="005703C9" w:rsidRDefault="007968EC" w:rsidP="00DA7472">
      <w:pPr>
        <w:numPr>
          <w:ilvl w:val="0"/>
          <w:numId w:val="196"/>
        </w:numPr>
        <w:autoSpaceDE w:val="0"/>
        <w:autoSpaceDN w:val="0"/>
        <w:adjustRightInd w:val="0"/>
        <w:ind w:left="426" w:hanging="426"/>
        <w:jc w:val="both"/>
        <w:rPr>
          <w:rFonts w:ascii="Arial Narrow" w:eastAsia="Calibri" w:hAnsi="Arial Narrow"/>
          <w:color w:val="000000" w:themeColor="text1"/>
          <w:lang w:eastAsia="es-CO"/>
        </w:rPr>
      </w:pPr>
      <w:bookmarkStart w:id="4625" w:name="_Toc470779977"/>
      <w:bookmarkStart w:id="4626" w:name="_Toc470780594"/>
      <w:bookmarkStart w:id="4627" w:name="_Toc470781107"/>
      <w:bookmarkStart w:id="4628" w:name="_Toc470784668"/>
      <w:bookmarkStart w:id="4629" w:name="_Toc470785205"/>
      <w:bookmarkStart w:id="4630" w:name="_Toc470791597"/>
      <w:bookmarkStart w:id="4631" w:name="_Toc471831805"/>
      <w:bookmarkStart w:id="4632" w:name="_Toc490066501"/>
      <w:bookmarkStart w:id="4633" w:name="_Toc490079276"/>
      <w:r w:rsidRPr="002C0D19">
        <w:rPr>
          <w:rFonts w:ascii="Arial Narrow" w:eastAsia="Calibri" w:hAnsi="Arial Narrow"/>
          <w:color w:val="000000" w:themeColor="text1"/>
          <w:lang w:eastAsia="es-CO"/>
        </w:rPr>
        <w:t>Para la entrega de efectivo, la Cámara solicita al CUD la transferencia de efectivo, mediante entregas totales o parciales, según sea el caso, desde la cuenta de la Cámara a la cuenta del Miembro Liquidador o Agente de Pago o a nivel de titular de cuenta, según corresponda.</w:t>
      </w:r>
      <w:bookmarkEnd w:id="4625"/>
      <w:bookmarkEnd w:id="4626"/>
      <w:bookmarkEnd w:id="4627"/>
      <w:bookmarkEnd w:id="4628"/>
      <w:bookmarkEnd w:id="4629"/>
      <w:bookmarkEnd w:id="4630"/>
      <w:bookmarkEnd w:id="4631"/>
      <w:bookmarkEnd w:id="4632"/>
      <w:bookmarkEnd w:id="4633"/>
    </w:p>
    <w:p w14:paraId="214903D6" w14:textId="77777777" w:rsidR="007968EC" w:rsidRPr="002C0D19" w:rsidRDefault="007968EC" w:rsidP="007968EC">
      <w:pPr>
        <w:ind w:left="720"/>
        <w:contextualSpacing/>
        <w:rPr>
          <w:rFonts w:ascii="Arial Narrow" w:eastAsia="Calibri" w:hAnsi="Arial Narrow"/>
          <w:b/>
          <w:color w:val="000000" w:themeColor="text1"/>
          <w:lang w:eastAsia="es-CO"/>
        </w:rPr>
      </w:pPr>
    </w:p>
    <w:p w14:paraId="0924FB51" w14:textId="77777777" w:rsidR="007968EC" w:rsidRPr="002C0D19" w:rsidRDefault="007968EC" w:rsidP="007968EC">
      <w:pPr>
        <w:pStyle w:val="ARTICULO0"/>
      </w:pPr>
      <w:bookmarkStart w:id="4634" w:name="_Toc470779978"/>
      <w:bookmarkStart w:id="4635" w:name="_Toc470780595"/>
      <w:bookmarkStart w:id="4636" w:name="_Toc470781108"/>
      <w:bookmarkStart w:id="4637" w:name="_Toc470784669"/>
      <w:bookmarkStart w:id="4638" w:name="_Toc470785206"/>
      <w:bookmarkStart w:id="4639" w:name="_Toc470791598"/>
      <w:bookmarkStart w:id="4640" w:name="_Toc472592343"/>
      <w:bookmarkStart w:id="4641" w:name="_Toc472593362"/>
      <w:bookmarkStart w:id="4642" w:name="_Toc479057148"/>
      <w:bookmarkStart w:id="4643" w:name="_Toc490066502"/>
      <w:bookmarkStart w:id="4644" w:name="_Toc31716163"/>
      <w:r w:rsidRPr="002C0D19">
        <w:t>Artículo 2.4.4.26. Transferencia de dinero a la cuenta de los Miembros Liquidadores en el CUD.</w:t>
      </w:r>
      <w:bookmarkEnd w:id="4634"/>
      <w:bookmarkEnd w:id="4635"/>
      <w:bookmarkEnd w:id="4636"/>
      <w:bookmarkEnd w:id="4637"/>
      <w:bookmarkEnd w:id="4638"/>
      <w:bookmarkEnd w:id="4639"/>
      <w:bookmarkEnd w:id="4640"/>
      <w:bookmarkEnd w:id="4641"/>
      <w:bookmarkEnd w:id="4642"/>
      <w:bookmarkEnd w:id="4643"/>
      <w:bookmarkEnd w:id="4644"/>
    </w:p>
    <w:p w14:paraId="6ACA0C58" w14:textId="77777777" w:rsidR="007968EC" w:rsidRPr="002C0D19" w:rsidRDefault="007968EC" w:rsidP="007968EC">
      <w:pPr>
        <w:tabs>
          <w:tab w:val="left" w:pos="2171"/>
        </w:tabs>
        <w:jc w:val="both"/>
        <w:rPr>
          <w:rFonts w:ascii="Arial Narrow" w:eastAsia="Calibri" w:hAnsi="Arial Narrow"/>
          <w:color w:val="000000" w:themeColor="text1"/>
        </w:rPr>
      </w:pPr>
    </w:p>
    <w:p w14:paraId="64487577" w14:textId="77777777" w:rsidR="007968EC" w:rsidRPr="002C0D19" w:rsidRDefault="007968EC" w:rsidP="00DA7472">
      <w:pPr>
        <w:numPr>
          <w:ilvl w:val="0"/>
          <w:numId w:val="197"/>
        </w:numPr>
        <w:autoSpaceDE w:val="0"/>
        <w:autoSpaceDN w:val="0"/>
        <w:adjustRightInd w:val="0"/>
        <w:ind w:left="457" w:hanging="457"/>
        <w:contextualSpacing/>
        <w:jc w:val="both"/>
        <w:rPr>
          <w:rFonts w:ascii="Arial Narrow" w:eastAsia="Calibri" w:hAnsi="Arial Narrow" w:cs="Arial Narrow"/>
          <w:color w:val="000000" w:themeColor="text1"/>
        </w:rPr>
      </w:pPr>
      <w:r w:rsidRPr="002C0D19">
        <w:rPr>
          <w:rFonts w:ascii="Arial Narrow" w:eastAsia="Calibri" w:hAnsi="Arial Narrow" w:cs="Arial Narrow"/>
          <w:color w:val="000000" w:themeColor="text1"/>
        </w:rPr>
        <w:t>La Cámara genera una orden de débito para el CUD del Banco de la República con las transferencias de dineros de la cuenta de la Cámara a la cuenta de los Miembros Liquidadores o a los Agentes de Pago, según corresponda.</w:t>
      </w:r>
    </w:p>
    <w:p w14:paraId="4ACF4CD7" w14:textId="77777777" w:rsidR="007968EC" w:rsidRPr="002C0D19" w:rsidRDefault="007968EC" w:rsidP="007968EC">
      <w:pPr>
        <w:autoSpaceDE w:val="0"/>
        <w:autoSpaceDN w:val="0"/>
        <w:adjustRightInd w:val="0"/>
        <w:ind w:left="457"/>
        <w:contextualSpacing/>
        <w:jc w:val="both"/>
        <w:rPr>
          <w:rFonts w:ascii="Arial Narrow" w:eastAsia="Calibri" w:hAnsi="Arial Narrow" w:cs="Arial Narrow"/>
          <w:color w:val="000000" w:themeColor="text1"/>
        </w:rPr>
      </w:pPr>
    </w:p>
    <w:p w14:paraId="0DC3C28E" w14:textId="77777777" w:rsidR="007968EC" w:rsidRPr="002C0D19" w:rsidRDefault="007968EC" w:rsidP="00DA7472">
      <w:pPr>
        <w:numPr>
          <w:ilvl w:val="0"/>
          <w:numId w:val="197"/>
        </w:numPr>
        <w:autoSpaceDE w:val="0"/>
        <w:autoSpaceDN w:val="0"/>
        <w:adjustRightInd w:val="0"/>
        <w:ind w:left="457" w:hanging="457"/>
        <w:contextualSpacing/>
        <w:jc w:val="both"/>
        <w:rPr>
          <w:rFonts w:ascii="Arial Narrow" w:eastAsia="Calibri" w:hAnsi="Arial Narrow" w:cs="Arial Narrow"/>
          <w:color w:val="000000" w:themeColor="text1"/>
        </w:rPr>
      </w:pPr>
      <w:r w:rsidRPr="002C0D19">
        <w:rPr>
          <w:rFonts w:ascii="Arial Narrow" w:eastAsia="Calibri" w:hAnsi="Arial Narrow" w:cs="Arial Narrow"/>
          <w:color w:val="000000" w:themeColor="text1"/>
        </w:rPr>
        <w:t>El CUD verifica saldos y realiza la transferencia automática de los fondos a la cuenta de los Miembros Liquidadores o Agentes de Pago, según corresponda.</w:t>
      </w:r>
    </w:p>
    <w:p w14:paraId="2A0B6B06" w14:textId="77777777" w:rsidR="007968EC" w:rsidRPr="002C0D19" w:rsidRDefault="007968EC" w:rsidP="007968EC">
      <w:pPr>
        <w:autoSpaceDE w:val="0"/>
        <w:autoSpaceDN w:val="0"/>
        <w:adjustRightInd w:val="0"/>
        <w:ind w:left="457"/>
        <w:contextualSpacing/>
        <w:jc w:val="both"/>
        <w:rPr>
          <w:rFonts w:ascii="Arial Narrow" w:eastAsia="Calibri" w:hAnsi="Arial Narrow" w:cs="Arial Narrow"/>
          <w:color w:val="000000" w:themeColor="text1"/>
        </w:rPr>
      </w:pPr>
    </w:p>
    <w:p w14:paraId="131589D1" w14:textId="77777777" w:rsidR="007968EC" w:rsidRPr="002C0D19" w:rsidRDefault="007968EC" w:rsidP="00DA7472">
      <w:pPr>
        <w:numPr>
          <w:ilvl w:val="0"/>
          <w:numId w:val="197"/>
        </w:numPr>
        <w:autoSpaceDE w:val="0"/>
        <w:autoSpaceDN w:val="0"/>
        <w:adjustRightInd w:val="0"/>
        <w:ind w:left="457" w:hanging="457"/>
        <w:contextualSpacing/>
        <w:jc w:val="both"/>
        <w:rPr>
          <w:rFonts w:ascii="Arial Narrow" w:eastAsia="Calibri" w:hAnsi="Arial Narrow" w:cs="Arial Narrow"/>
          <w:color w:val="000000" w:themeColor="text1"/>
        </w:rPr>
      </w:pPr>
      <w:r w:rsidRPr="002C0D19">
        <w:rPr>
          <w:rFonts w:ascii="Arial Narrow" w:eastAsia="Calibri" w:hAnsi="Arial Narrow" w:cs="Arial Narrow"/>
          <w:color w:val="000000" w:themeColor="text1"/>
        </w:rPr>
        <w:t>Una vez realizada la transferencia el CUD informa a la Cámara que el registro de cada orden de transferencia fue aprobada o rechazada.</w:t>
      </w:r>
    </w:p>
    <w:p w14:paraId="3C54D917" w14:textId="77777777" w:rsidR="007968EC" w:rsidRPr="002C0D19" w:rsidRDefault="007968EC" w:rsidP="007968EC">
      <w:pPr>
        <w:ind w:left="720"/>
        <w:contextualSpacing/>
        <w:rPr>
          <w:rFonts w:ascii="Arial Narrow" w:eastAsia="Calibri" w:hAnsi="Arial Narrow" w:cs="Arial Narrow"/>
          <w:color w:val="000000" w:themeColor="text1"/>
        </w:rPr>
      </w:pPr>
    </w:p>
    <w:p w14:paraId="1E1909BF" w14:textId="77777777" w:rsidR="007968EC" w:rsidRDefault="007968EC" w:rsidP="00DA7472">
      <w:pPr>
        <w:numPr>
          <w:ilvl w:val="0"/>
          <w:numId w:val="197"/>
        </w:numPr>
        <w:autoSpaceDE w:val="0"/>
        <w:autoSpaceDN w:val="0"/>
        <w:adjustRightInd w:val="0"/>
        <w:ind w:left="457" w:hanging="457"/>
        <w:contextualSpacing/>
        <w:jc w:val="both"/>
        <w:rPr>
          <w:rFonts w:ascii="Arial Narrow" w:eastAsia="Calibri" w:hAnsi="Arial Narrow" w:cs="Arial Narrow"/>
          <w:color w:val="000000" w:themeColor="text1"/>
        </w:rPr>
      </w:pPr>
      <w:r w:rsidRPr="002C0D19">
        <w:rPr>
          <w:rFonts w:ascii="Arial Narrow" w:eastAsia="Calibri" w:hAnsi="Arial Narrow" w:cs="Arial Narrow"/>
          <w:color w:val="000000" w:themeColor="text1"/>
        </w:rPr>
        <w:t>En caso de que una o varias órdenes de transferencias hayan sido rechazadas, la Cámara verificará el error y realizará nuevamente el proceso de transferencia.</w:t>
      </w:r>
    </w:p>
    <w:p w14:paraId="41979551" w14:textId="77777777" w:rsidR="007968EC" w:rsidRPr="002C0D19" w:rsidRDefault="007968EC" w:rsidP="007968EC">
      <w:pPr>
        <w:autoSpaceDE w:val="0"/>
        <w:autoSpaceDN w:val="0"/>
        <w:adjustRightInd w:val="0"/>
        <w:contextualSpacing/>
        <w:jc w:val="both"/>
        <w:rPr>
          <w:rFonts w:ascii="Arial Narrow" w:eastAsia="Calibri" w:hAnsi="Arial Narrow" w:cs="Arial Narrow"/>
          <w:color w:val="000000" w:themeColor="text1"/>
        </w:rPr>
      </w:pPr>
    </w:p>
    <w:p w14:paraId="6F480F5A" w14:textId="77777777" w:rsidR="007968EC" w:rsidRPr="002C0D19" w:rsidRDefault="007968EC" w:rsidP="007968EC">
      <w:pPr>
        <w:pStyle w:val="ARTICULO0"/>
      </w:pPr>
      <w:bookmarkStart w:id="4645" w:name="_Toc470779979"/>
      <w:bookmarkStart w:id="4646" w:name="_Toc470780596"/>
      <w:bookmarkStart w:id="4647" w:name="_Toc470781109"/>
      <w:bookmarkStart w:id="4648" w:name="_Toc470784670"/>
      <w:bookmarkStart w:id="4649" w:name="_Toc470785207"/>
      <w:bookmarkStart w:id="4650" w:name="_Toc470791599"/>
      <w:bookmarkStart w:id="4651" w:name="_Toc472592344"/>
      <w:bookmarkStart w:id="4652" w:name="_Toc472593363"/>
      <w:bookmarkStart w:id="4653" w:name="_Toc479057149"/>
      <w:bookmarkStart w:id="4654" w:name="_Toc490066503"/>
      <w:bookmarkStart w:id="4655" w:name="_Toc31716164"/>
      <w:r w:rsidRPr="002C0D19">
        <w:t>Artículo 2.4.4.27. Transferencia de valores a la cuenta de los titulares en DCV y Deceval.</w:t>
      </w:r>
      <w:bookmarkEnd w:id="4645"/>
      <w:bookmarkEnd w:id="4646"/>
      <w:bookmarkEnd w:id="4647"/>
      <w:bookmarkEnd w:id="4648"/>
      <w:bookmarkEnd w:id="4649"/>
      <w:bookmarkEnd w:id="4650"/>
      <w:bookmarkEnd w:id="4651"/>
      <w:bookmarkEnd w:id="4652"/>
      <w:bookmarkEnd w:id="4653"/>
      <w:bookmarkEnd w:id="4654"/>
      <w:bookmarkEnd w:id="4655"/>
    </w:p>
    <w:p w14:paraId="3A81E21D" w14:textId="77777777" w:rsidR="007968EC" w:rsidRPr="002C0D19" w:rsidRDefault="007968EC" w:rsidP="007968EC">
      <w:pPr>
        <w:jc w:val="both"/>
        <w:rPr>
          <w:rFonts w:ascii="Arial Narrow" w:eastAsia="Calibri" w:hAnsi="Arial Narrow"/>
          <w:b/>
          <w:color w:val="000000" w:themeColor="text1"/>
        </w:rPr>
      </w:pPr>
    </w:p>
    <w:p w14:paraId="23CC3419"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lang w:val="es-ES" w:eastAsia="es-ES"/>
        </w:rPr>
        <w:t>El Sistema genera un archivo para el DCV y el Deceval con las órdenes de transferencia de valores de la cuenta de la Cámara a las cuentas de los titulares con posiciones compradoras, así:</w:t>
      </w:r>
    </w:p>
    <w:p w14:paraId="6BF77A72" w14:textId="77777777" w:rsidR="007968EC" w:rsidRPr="005703C9" w:rsidRDefault="007968EC" w:rsidP="007968EC">
      <w:pPr>
        <w:jc w:val="both"/>
        <w:rPr>
          <w:rFonts w:ascii="Arial Narrow" w:eastAsia="Calibri" w:hAnsi="Arial Narrow"/>
          <w:b/>
          <w:color w:val="000000" w:themeColor="text1"/>
        </w:rPr>
      </w:pPr>
    </w:p>
    <w:p w14:paraId="10215FAD" w14:textId="77777777" w:rsidR="007968EC" w:rsidRPr="002C0D19" w:rsidRDefault="007968EC" w:rsidP="00DA7472">
      <w:pPr>
        <w:numPr>
          <w:ilvl w:val="0"/>
          <w:numId w:val="198"/>
        </w:numPr>
        <w:tabs>
          <w:tab w:val="num" w:pos="426"/>
        </w:tabs>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lastRenderedPageBreak/>
        <w:t>La Cámara genera una orden de transferencia de valores bajo la modalidad “Libre de Pago” al DCV y al Deceval de las cuentas de la Cámara a la cuenta de los titulares compradores.</w:t>
      </w:r>
    </w:p>
    <w:p w14:paraId="6B6037DA" w14:textId="77777777" w:rsidR="007968EC" w:rsidRPr="002C0D19" w:rsidRDefault="007968EC" w:rsidP="007968EC">
      <w:pPr>
        <w:ind w:left="426"/>
        <w:contextualSpacing/>
        <w:jc w:val="both"/>
        <w:rPr>
          <w:rFonts w:ascii="Arial Narrow" w:eastAsia="Calibri" w:hAnsi="Arial Narrow"/>
          <w:color w:val="000000" w:themeColor="text1"/>
        </w:rPr>
      </w:pPr>
    </w:p>
    <w:p w14:paraId="654B9563" w14:textId="77777777" w:rsidR="007968EC" w:rsidRPr="002C0D19" w:rsidRDefault="007968EC" w:rsidP="00DA7472">
      <w:pPr>
        <w:numPr>
          <w:ilvl w:val="0"/>
          <w:numId w:val="198"/>
        </w:numPr>
        <w:tabs>
          <w:tab w:val="num" w:pos="426"/>
        </w:tabs>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El DCV y el Deceval verifican saldos y realizan la transferencia automática de los valores a la cuenta de los titulares compradores.</w:t>
      </w:r>
    </w:p>
    <w:p w14:paraId="1FAEE616" w14:textId="77777777" w:rsidR="007968EC" w:rsidRPr="002C0D19" w:rsidRDefault="007968EC" w:rsidP="007968EC">
      <w:pPr>
        <w:ind w:left="720"/>
        <w:contextualSpacing/>
        <w:rPr>
          <w:rFonts w:ascii="Arial Narrow" w:eastAsia="Calibri" w:hAnsi="Arial Narrow"/>
          <w:color w:val="000000" w:themeColor="text1"/>
        </w:rPr>
      </w:pPr>
    </w:p>
    <w:p w14:paraId="13BD9BC8" w14:textId="77777777" w:rsidR="007968EC" w:rsidRPr="002C0D19" w:rsidRDefault="007968EC" w:rsidP="00DA7472">
      <w:pPr>
        <w:numPr>
          <w:ilvl w:val="0"/>
          <w:numId w:val="198"/>
        </w:numPr>
        <w:tabs>
          <w:tab w:val="num" w:pos="426"/>
        </w:tabs>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Una vez realizada la transferencia el DCV y el Deceval informan a la Cámara que el registro de cada orden de transferencia fue aprobada o rechazada.</w:t>
      </w:r>
    </w:p>
    <w:p w14:paraId="6C0E0D90" w14:textId="77777777" w:rsidR="007968EC" w:rsidRPr="002C0D19" w:rsidRDefault="007968EC" w:rsidP="007968EC">
      <w:pPr>
        <w:ind w:left="720"/>
        <w:contextualSpacing/>
        <w:rPr>
          <w:rFonts w:ascii="Arial Narrow" w:eastAsia="Calibri" w:hAnsi="Arial Narrow"/>
          <w:color w:val="000000" w:themeColor="text1"/>
        </w:rPr>
      </w:pPr>
    </w:p>
    <w:p w14:paraId="722B3935" w14:textId="77777777" w:rsidR="007968EC" w:rsidRPr="002C0D19" w:rsidRDefault="007968EC" w:rsidP="00DA7472">
      <w:pPr>
        <w:numPr>
          <w:ilvl w:val="0"/>
          <w:numId w:val="198"/>
        </w:numPr>
        <w:tabs>
          <w:tab w:val="num" w:pos="426"/>
        </w:tabs>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En caso de que una o varias órdenes de transferencias hayan sido rechazadas, la Cámara verificará el error y realizará nuevamente el proceso de transferencia</w:t>
      </w:r>
    </w:p>
    <w:p w14:paraId="7F3E95AB" w14:textId="77777777" w:rsidR="007968EC" w:rsidRPr="002C0D19" w:rsidRDefault="007968EC" w:rsidP="007968EC">
      <w:pPr>
        <w:jc w:val="both"/>
        <w:rPr>
          <w:rFonts w:ascii="Arial Narrow" w:eastAsia="Calibri" w:hAnsi="Arial Narrow"/>
          <w:b/>
          <w:color w:val="000000" w:themeColor="text1"/>
        </w:rPr>
      </w:pPr>
    </w:p>
    <w:p w14:paraId="1F00C539" w14:textId="77777777" w:rsidR="007968EC" w:rsidRPr="002C0D19" w:rsidRDefault="007968EC" w:rsidP="007968EC">
      <w:pPr>
        <w:pStyle w:val="ARTICULO0"/>
      </w:pPr>
      <w:bookmarkStart w:id="4656" w:name="_Toc470779980"/>
      <w:bookmarkStart w:id="4657" w:name="_Toc470780597"/>
      <w:bookmarkStart w:id="4658" w:name="_Toc470781110"/>
      <w:bookmarkStart w:id="4659" w:name="_Toc470784671"/>
      <w:bookmarkStart w:id="4660" w:name="_Toc470785208"/>
      <w:bookmarkStart w:id="4661" w:name="_Toc470791600"/>
      <w:bookmarkStart w:id="4662" w:name="_Toc472592345"/>
      <w:bookmarkStart w:id="4663" w:name="_Toc472593364"/>
      <w:bookmarkStart w:id="4664" w:name="_Toc479057150"/>
      <w:bookmarkStart w:id="4665" w:name="_Toc490066504"/>
      <w:bookmarkStart w:id="4666" w:name="_Toc31716165"/>
      <w:r w:rsidRPr="002C0D19">
        <w:t>Artículo 2.4.4.28. Utilización del Módulo Contingente del Deceval.</w:t>
      </w:r>
      <w:bookmarkEnd w:id="4656"/>
      <w:bookmarkEnd w:id="4657"/>
      <w:bookmarkEnd w:id="4658"/>
      <w:bookmarkEnd w:id="4659"/>
      <w:bookmarkEnd w:id="4660"/>
      <w:bookmarkEnd w:id="4661"/>
      <w:bookmarkEnd w:id="4662"/>
      <w:bookmarkEnd w:id="4663"/>
      <w:bookmarkEnd w:id="4664"/>
      <w:bookmarkEnd w:id="4665"/>
      <w:bookmarkEnd w:id="4666"/>
    </w:p>
    <w:p w14:paraId="7B9AD82C" w14:textId="77777777" w:rsidR="007968EC" w:rsidRPr="002C0D19" w:rsidRDefault="007968EC" w:rsidP="007968EC">
      <w:pPr>
        <w:jc w:val="both"/>
        <w:rPr>
          <w:rFonts w:ascii="Arial Narrow" w:eastAsia="Calibri" w:hAnsi="Arial Narrow"/>
          <w:b/>
          <w:color w:val="000000" w:themeColor="text1"/>
        </w:rPr>
      </w:pPr>
    </w:p>
    <w:p w14:paraId="7E640039"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El módulo contingente para cumplimiento de entregas en Deceval es un mecanismo alterno para realizar la transferencia de los valores, que requiere la instrucción directa de traslado por parte del Miembro y la disposición de los saldos a favor de la Cámara. Este Sistema se utilizará cuando se presenten inconvenientes para la utilización de los mecanismos previstos en el presente capítulo o por autorización expresa de la Cámara.</w:t>
      </w:r>
    </w:p>
    <w:p w14:paraId="5D698ECE"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p>
    <w:p w14:paraId="359857AB"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 xml:space="preserve">En este módulo, los Miembros deberán acceder directamente a los sistemas del Deceval, identificando el valor y el número de cuenta del comitente, al igual que los datos de la cuenta destino. </w:t>
      </w:r>
    </w:p>
    <w:p w14:paraId="30680500" w14:textId="77777777" w:rsidR="007968EC" w:rsidRPr="005703C9" w:rsidRDefault="007968EC" w:rsidP="007968EC">
      <w:pPr>
        <w:jc w:val="both"/>
        <w:rPr>
          <w:rFonts w:ascii="Arial Narrow" w:eastAsia="Calibri" w:hAnsi="Arial Narrow"/>
          <w:b/>
          <w:color w:val="000000" w:themeColor="text1"/>
        </w:rPr>
      </w:pPr>
    </w:p>
    <w:p w14:paraId="2194AE96"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Estos datos serán verificados por la Cámara contra los datos correspondientes a la obligación de entrega. Si los datos coinciden, la Cámara procederá a dar por cumplida la entrega en el Sistema de la Cámara y a incluirla en la Liquidación neta.</w:t>
      </w:r>
    </w:p>
    <w:p w14:paraId="5FFA854F" w14:textId="77777777" w:rsidR="007968EC" w:rsidRPr="002C0D19" w:rsidRDefault="007968EC" w:rsidP="007968EC">
      <w:pPr>
        <w:jc w:val="both"/>
        <w:rPr>
          <w:rFonts w:ascii="Arial Narrow" w:eastAsia="Calibri" w:hAnsi="Arial Narrow"/>
          <w:color w:val="000000" w:themeColor="text1"/>
        </w:rPr>
      </w:pPr>
    </w:p>
    <w:p w14:paraId="28D91938" w14:textId="77777777" w:rsidR="007968EC" w:rsidRPr="002C0D19" w:rsidRDefault="007968EC" w:rsidP="007968EC">
      <w:pPr>
        <w:pStyle w:val="ARTICULO0"/>
      </w:pPr>
      <w:bookmarkStart w:id="4667" w:name="_Toc470779981"/>
      <w:bookmarkStart w:id="4668" w:name="_Toc470780598"/>
      <w:bookmarkStart w:id="4669" w:name="_Toc470781111"/>
      <w:bookmarkStart w:id="4670" w:name="_Toc470784672"/>
      <w:bookmarkStart w:id="4671" w:name="_Toc470785209"/>
      <w:bookmarkStart w:id="4672" w:name="_Toc470791601"/>
      <w:bookmarkStart w:id="4673" w:name="_Toc472592346"/>
      <w:bookmarkStart w:id="4674" w:name="_Toc472593365"/>
      <w:bookmarkStart w:id="4675" w:name="_Toc479057151"/>
      <w:bookmarkStart w:id="4676" w:name="_Toc490066505"/>
      <w:bookmarkStart w:id="4677" w:name="_Toc31716166"/>
      <w:r w:rsidRPr="002C0D19">
        <w:t>Artículo 2.4.4.29. Expedición del comprobante para Liquidación.</w:t>
      </w:r>
      <w:bookmarkEnd w:id="4667"/>
      <w:bookmarkEnd w:id="4668"/>
      <w:bookmarkEnd w:id="4669"/>
      <w:bookmarkEnd w:id="4670"/>
      <w:bookmarkEnd w:id="4671"/>
      <w:bookmarkEnd w:id="4672"/>
      <w:bookmarkEnd w:id="4673"/>
      <w:bookmarkEnd w:id="4674"/>
      <w:bookmarkEnd w:id="4675"/>
      <w:bookmarkEnd w:id="4676"/>
      <w:bookmarkEnd w:id="4677"/>
    </w:p>
    <w:p w14:paraId="2BA933F0" w14:textId="77777777" w:rsidR="007968EC" w:rsidRPr="002C0D19" w:rsidRDefault="007968EC" w:rsidP="007968EC">
      <w:pPr>
        <w:rPr>
          <w:rFonts w:ascii="Arial Narrow" w:eastAsia="Calibri" w:hAnsi="Arial Narrow"/>
          <w:b/>
          <w:color w:val="000000" w:themeColor="text1"/>
        </w:rPr>
      </w:pPr>
    </w:p>
    <w:p w14:paraId="153A59AE"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Los Miembros están obligados a expedir comprobantes de Liquidación a los Terceros Identificados con base en los datos suministrados por la Cámara al cierre de su operación diaria.</w:t>
      </w:r>
    </w:p>
    <w:p w14:paraId="7A8F135E" w14:textId="77777777" w:rsidR="007968EC" w:rsidRPr="005703C9" w:rsidRDefault="007968EC" w:rsidP="007968EC">
      <w:pPr>
        <w:jc w:val="both"/>
        <w:rPr>
          <w:rFonts w:ascii="Arial Narrow" w:eastAsia="Calibri" w:hAnsi="Arial Narrow"/>
          <w:b/>
          <w:color w:val="000000" w:themeColor="text1"/>
        </w:rPr>
      </w:pPr>
    </w:p>
    <w:p w14:paraId="5DE6EEF7"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Será de exclusiva responsabilidad de los Miembros el manejo, integridad e inalterabilidad de los datos para los comprobantes de Liquidación. En todo caso, los datos reales de la Operación serán aquellos que reposen en el Sistema.</w:t>
      </w:r>
    </w:p>
    <w:p w14:paraId="7F6A5045" w14:textId="77777777" w:rsidR="007968EC" w:rsidRPr="002C0D19" w:rsidRDefault="007968EC" w:rsidP="007968EC">
      <w:pPr>
        <w:jc w:val="both"/>
        <w:rPr>
          <w:rFonts w:ascii="Arial Narrow" w:eastAsia="Calibri" w:hAnsi="Arial Narrow"/>
          <w:color w:val="000000" w:themeColor="text1"/>
        </w:rPr>
      </w:pPr>
    </w:p>
    <w:p w14:paraId="2C965F67" w14:textId="77777777" w:rsidR="007968EC" w:rsidRPr="002C0D19" w:rsidRDefault="007968EC" w:rsidP="007968EC">
      <w:pPr>
        <w:pStyle w:val="ARTICULO0"/>
        <w:rPr>
          <w:rFonts w:eastAsia="Calibri" w:cs="Times New Roman"/>
        </w:rPr>
      </w:pPr>
      <w:bookmarkStart w:id="4678" w:name="_Toc470791602"/>
      <w:bookmarkStart w:id="4679" w:name="_Toc472592347"/>
      <w:bookmarkStart w:id="4680" w:name="_Toc472593366"/>
      <w:bookmarkStart w:id="4681" w:name="_Toc479057152"/>
      <w:bookmarkStart w:id="4682" w:name="_Toc490066506"/>
      <w:bookmarkStart w:id="4683" w:name="_Toc31716167"/>
      <w:r w:rsidRPr="002C0D19">
        <w:t>Artículo 2.4.4.30. Liquidación por Diferencias por Incumplimiento en la Entrega</w:t>
      </w:r>
      <w:r w:rsidRPr="002C0D19">
        <w:rPr>
          <w:rFonts w:eastAsia="Calibri" w:cs="Times New Roman"/>
        </w:rPr>
        <w:t>.</w:t>
      </w:r>
      <w:bookmarkEnd w:id="4678"/>
      <w:bookmarkEnd w:id="4679"/>
      <w:bookmarkEnd w:id="4680"/>
      <w:bookmarkEnd w:id="4681"/>
      <w:bookmarkEnd w:id="4682"/>
      <w:bookmarkEnd w:id="4683"/>
    </w:p>
    <w:p w14:paraId="1FD6C178" w14:textId="77777777" w:rsidR="007968EC" w:rsidRPr="002C0D19" w:rsidRDefault="007968EC" w:rsidP="007968EC">
      <w:pPr>
        <w:jc w:val="both"/>
        <w:rPr>
          <w:rFonts w:ascii="Arial Narrow" w:eastAsia="Calibri" w:hAnsi="Arial Narrow"/>
          <w:b/>
          <w:color w:val="000000" w:themeColor="text1"/>
        </w:rPr>
      </w:pPr>
    </w:p>
    <w:p w14:paraId="0CC8E446" w14:textId="77777777" w:rsidR="007968EC" w:rsidRPr="002C0D19" w:rsidRDefault="007968EC" w:rsidP="007968EC">
      <w:pPr>
        <w:jc w:val="both"/>
        <w:rPr>
          <w:rFonts w:ascii="Arial Narrow" w:eastAsia="Calibri" w:hAnsi="Arial Narrow"/>
          <w:color w:val="000000" w:themeColor="text1"/>
          <w:lang w:val="es-MX"/>
        </w:rPr>
      </w:pPr>
      <w:r w:rsidRPr="002C0D19">
        <w:rPr>
          <w:rFonts w:ascii="Arial Narrow" w:eastAsia="Calibri" w:hAnsi="Arial Narrow"/>
          <w:color w:val="000000" w:themeColor="text1"/>
          <w:lang w:val="es-MX"/>
        </w:rPr>
        <w:t>En el evento en que un Miembro Liquidador no efectúe la entrega de los Activos que le corresponda entregar en virtud de las Operaciones Aceptadas con Liquidación por Entrega, la Cámara, podrá cumplir de manera alternativa a través de los Miembros Liquidadores respectivos, a los titulares de Cuenta que tengan derecho a recibir los Activos y que hayan cumplido con todas las obligaciones a su cargo, mediante la Liquidación por Diferencias por Incumplimiento en la Entrega, en los siguientes casos:</w:t>
      </w:r>
    </w:p>
    <w:p w14:paraId="11EA1671" w14:textId="77777777" w:rsidR="007968EC" w:rsidRPr="002C0D19" w:rsidRDefault="007968EC" w:rsidP="007968EC">
      <w:pPr>
        <w:jc w:val="both"/>
        <w:rPr>
          <w:rFonts w:ascii="Arial Narrow" w:eastAsia="Calibri" w:hAnsi="Arial Narrow"/>
          <w:b/>
          <w:color w:val="000000" w:themeColor="text1"/>
          <w:lang w:val="es-MX"/>
        </w:rPr>
      </w:pPr>
    </w:p>
    <w:p w14:paraId="5C6BABB0" w14:textId="77777777" w:rsidR="007968EC" w:rsidRPr="002C0D19" w:rsidRDefault="007968EC" w:rsidP="00DA7472">
      <w:pPr>
        <w:numPr>
          <w:ilvl w:val="0"/>
          <w:numId w:val="199"/>
        </w:numPr>
        <w:autoSpaceDE w:val="0"/>
        <w:autoSpaceDN w:val="0"/>
        <w:adjustRightInd w:val="0"/>
        <w:ind w:left="426" w:hanging="426"/>
        <w:contextualSpacing/>
        <w:jc w:val="both"/>
        <w:rPr>
          <w:rFonts w:ascii="Arial Narrow" w:eastAsia="Calibri" w:hAnsi="Arial Narrow"/>
          <w:color w:val="000000" w:themeColor="text1"/>
          <w:lang w:val="es-MX" w:eastAsia="es-CO"/>
        </w:rPr>
      </w:pPr>
      <w:r w:rsidRPr="002C0D19">
        <w:rPr>
          <w:rFonts w:ascii="Arial Narrow" w:eastAsia="Calibri" w:hAnsi="Arial Narrow"/>
          <w:color w:val="000000" w:themeColor="text1"/>
          <w:lang w:val="es-MX" w:eastAsia="es-CO"/>
        </w:rPr>
        <w:t xml:space="preserve">Cuando los Miembros Liquidadores cuyos titulares de Cuenta que tengan derecho a recibir los Activos, hayan solicitado a la Cámara el cumplimiento por medio de la Liquidación por Diferencias por </w:t>
      </w:r>
      <w:r w:rsidRPr="002C0D19">
        <w:rPr>
          <w:rFonts w:ascii="Arial Narrow" w:eastAsia="Calibri" w:hAnsi="Arial Narrow"/>
          <w:b/>
          <w:color w:val="000000" w:themeColor="text1"/>
          <w:lang w:val="es-MX" w:eastAsia="es-CO"/>
        </w:rPr>
        <w:t>i</w:t>
      </w:r>
      <w:r w:rsidRPr="002C0D19">
        <w:rPr>
          <w:rFonts w:ascii="Arial Narrow" w:eastAsia="Calibri" w:hAnsi="Arial Narrow"/>
          <w:color w:val="000000" w:themeColor="text1"/>
          <w:lang w:val="es-MX" w:eastAsia="es-CO"/>
        </w:rPr>
        <w:t>ncumplimiento en la Entrega.</w:t>
      </w:r>
    </w:p>
    <w:p w14:paraId="29A67972" w14:textId="77777777" w:rsidR="007968EC" w:rsidRPr="002C0D19" w:rsidRDefault="007968EC" w:rsidP="007968EC">
      <w:pPr>
        <w:autoSpaceDE w:val="0"/>
        <w:autoSpaceDN w:val="0"/>
        <w:adjustRightInd w:val="0"/>
        <w:ind w:left="426"/>
        <w:contextualSpacing/>
        <w:jc w:val="both"/>
        <w:rPr>
          <w:rFonts w:ascii="Arial Narrow" w:eastAsia="Calibri" w:hAnsi="Arial Narrow"/>
          <w:color w:val="000000" w:themeColor="text1"/>
          <w:lang w:val="es-MX" w:eastAsia="es-CO"/>
        </w:rPr>
      </w:pPr>
    </w:p>
    <w:p w14:paraId="728DE393" w14:textId="77777777" w:rsidR="007968EC" w:rsidRPr="002C0D19" w:rsidRDefault="007968EC" w:rsidP="00DA7472">
      <w:pPr>
        <w:numPr>
          <w:ilvl w:val="0"/>
          <w:numId w:val="199"/>
        </w:numPr>
        <w:autoSpaceDE w:val="0"/>
        <w:autoSpaceDN w:val="0"/>
        <w:adjustRightInd w:val="0"/>
        <w:ind w:left="426" w:hanging="426"/>
        <w:contextualSpacing/>
        <w:jc w:val="both"/>
        <w:rPr>
          <w:rFonts w:ascii="Arial Narrow" w:eastAsia="Calibri" w:hAnsi="Arial Narrow"/>
          <w:color w:val="000000" w:themeColor="text1"/>
          <w:lang w:val="es-MX" w:eastAsia="es-CO"/>
        </w:rPr>
      </w:pPr>
      <w:r w:rsidRPr="002C0D19">
        <w:rPr>
          <w:rFonts w:ascii="Arial Narrow" w:eastAsia="Calibri" w:hAnsi="Arial Narrow"/>
          <w:color w:val="000000" w:themeColor="text1"/>
          <w:lang w:val="es-MX" w:eastAsia="es-CO"/>
        </w:rPr>
        <w:t>Cuando la Cámara no cuente con el Activo Subyacente.</w:t>
      </w:r>
    </w:p>
    <w:p w14:paraId="48608473" w14:textId="77777777" w:rsidR="007968EC" w:rsidRPr="005703C9" w:rsidRDefault="007968EC" w:rsidP="007968EC">
      <w:pPr>
        <w:jc w:val="both"/>
        <w:rPr>
          <w:rFonts w:ascii="Arial Narrow" w:eastAsia="Calibri" w:hAnsi="Arial Narrow"/>
          <w:b/>
          <w:color w:val="000000" w:themeColor="text1"/>
        </w:rPr>
      </w:pPr>
    </w:p>
    <w:p w14:paraId="39C607F8" w14:textId="77777777" w:rsidR="007968EC" w:rsidRPr="002C0D19" w:rsidRDefault="007968EC" w:rsidP="007968EC">
      <w:pPr>
        <w:pStyle w:val="ARTICULO0"/>
      </w:pPr>
      <w:bookmarkStart w:id="4684" w:name="_Toc470779982"/>
      <w:bookmarkStart w:id="4685" w:name="_Toc470780599"/>
      <w:bookmarkStart w:id="4686" w:name="_Toc470781112"/>
      <w:bookmarkStart w:id="4687" w:name="_Toc470784673"/>
      <w:bookmarkStart w:id="4688" w:name="_Toc470785210"/>
      <w:bookmarkStart w:id="4689" w:name="_Toc470791603"/>
      <w:bookmarkStart w:id="4690" w:name="_Toc472592348"/>
      <w:bookmarkStart w:id="4691" w:name="_Toc472593367"/>
      <w:bookmarkStart w:id="4692" w:name="_Toc479057153"/>
      <w:bookmarkStart w:id="4693" w:name="_Toc490066507"/>
      <w:bookmarkStart w:id="4694" w:name="_Toc31716168"/>
      <w:r w:rsidRPr="002C0D19">
        <w:t>Artículo 2.4.4.31. Variables y conceptos incluidos en la Liquidación por Diferencias por Incumplimiento en la Entrega.</w:t>
      </w:r>
      <w:bookmarkEnd w:id="4684"/>
      <w:bookmarkEnd w:id="4685"/>
      <w:bookmarkEnd w:id="4686"/>
      <w:bookmarkEnd w:id="4687"/>
      <w:bookmarkEnd w:id="4688"/>
      <w:bookmarkEnd w:id="4689"/>
      <w:bookmarkEnd w:id="4690"/>
      <w:bookmarkEnd w:id="4691"/>
      <w:bookmarkEnd w:id="4692"/>
      <w:bookmarkEnd w:id="4693"/>
      <w:bookmarkEnd w:id="4694"/>
    </w:p>
    <w:p w14:paraId="7D2C86E9" w14:textId="77777777" w:rsidR="007968EC" w:rsidRPr="002C0D19" w:rsidRDefault="007968EC" w:rsidP="007968EC">
      <w:pPr>
        <w:jc w:val="both"/>
        <w:rPr>
          <w:rFonts w:ascii="Arial Narrow" w:eastAsia="Calibri" w:hAnsi="Arial Narrow"/>
          <w:b/>
          <w:color w:val="000000" w:themeColor="text1"/>
        </w:rPr>
      </w:pPr>
    </w:p>
    <w:p w14:paraId="3040A656" w14:textId="77777777" w:rsidR="007968EC" w:rsidRPr="002C0D19" w:rsidRDefault="007968EC" w:rsidP="007968EC">
      <w:pPr>
        <w:autoSpaceDE w:val="0"/>
        <w:autoSpaceDN w:val="0"/>
        <w:adjustRightInd w:val="0"/>
        <w:jc w:val="both"/>
        <w:rPr>
          <w:rFonts w:ascii="Arial Narrow" w:eastAsia="Calibri" w:hAnsi="Arial Narrow"/>
          <w:bCs/>
          <w:color w:val="000000" w:themeColor="text1"/>
        </w:rPr>
      </w:pPr>
      <w:r w:rsidRPr="002C0D19">
        <w:rPr>
          <w:rFonts w:ascii="Arial Narrow" w:eastAsia="Calibri" w:hAnsi="Arial Narrow"/>
          <w:color w:val="000000" w:themeColor="text1"/>
          <w:lang w:val="es-MX"/>
        </w:rPr>
        <w:t>En virtud del proceso de Liquidación por Diferencias por Incumplimiento en la Entrega, los Miembros entregarán o recibirán de la Cámara, según corresponda, los fondos teniendo en cuenta las siguientes variables y por los siguientes conceptos:</w:t>
      </w:r>
    </w:p>
    <w:p w14:paraId="3B39F74D" w14:textId="77777777" w:rsidR="007968EC" w:rsidRPr="005703C9" w:rsidRDefault="007968EC" w:rsidP="007968EC">
      <w:pPr>
        <w:jc w:val="both"/>
        <w:rPr>
          <w:rFonts w:ascii="Arial Narrow" w:eastAsia="Calibri" w:hAnsi="Arial Narrow"/>
          <w:b/>
          <w:color w:val="000000" w:themeColor="text1"/>
        </w:rPr>
      </w:pPr>
    </w:p>
    <w:p w14:paraId="39D11872" w14:textId="77777777" w:rsidR="007968EC" w:rsidRPr="002C0D19" w:rsidRDefault="007968EC" w:rsidP="00DA7472">
      <w:pPr>
        <w:numPr>
          <w:ilvl w:val="3"/>
          <w:numId w:val="165"/>
        </w:numPr>
        <w:autoSpaceDE w:val="0"/>
        <w:autoSpaceDN w:val="0"/>
        <w:adjustRightInd w:val="0"/>
        <w:ind w:left="426" w:hanging="426"/>
        <w:contextualSpacing/>
        <w:jc w:val="both"/>
        <w:rPr>
          <w:rFonts w:ascii="Arial Narrow" w:eastAsia="Calibri" w:hAnsi="Arial Narrow"/>
          <w:b/>
          <w:bCs/>
          <w:color w:val="000000" w:themeColor="text1"/>
        </w:rPr>
      </w:pPr>
      <w:r w:rsidRPr="002C0D19">
        <w:rPr>
          <w:rFonts w:ascii="Arial Narrow" w:eastAsia="Calibri" w:hAnsi="Arial Narrow"/>
          <w:b/>
          <w:bCs/>
          <w:color w:val="000000" w:themeColor="text1"/>
        </w:rPr>
        <w:t>Variables:</w:t>
      </w:r>
    </w:p>
    <w:p w14:paraId="25A38E3B" w14:textId="77777777" w:rsidR="007968EC" w:rsidRPr="002C0D19" w:rsidRDefault="007968EC" w:rsidP="007968EC">
      <w:pPr>
        <w:autoSpaceDE w:val="0"/>
        <w:autoSpaceDN w:val="0"/>
        <w:adjustRightInd w:val="0"/>
        <w:ind w:left="426"/>
        <w:contextualSpacing/>
        <w:jc w:val="both"/>
        <w:rPr>
          <w:rFonts w:ascii="Arial Narrow" w:eastAsia="Calibri" w:hAnsi="Arial Narrow"/>
          <w:b/>
          <w:bCs/>
          <w:color w:val="000000" w:themeColor="text1"/>
        </w:rPr>
      </w:pPr>
    </w:p>
    <w:p w14:paraId="0E94257C" w14:textId="77777777" w:rsidR="007968EC" w:rsidRPr="005703C9" w:rsidRDefault="007968EC" w:rsidP="00DA7472">
      <w:pPr>
        <w:numPr>
          <w:ilvl w:val="0"/>
          <w:numId w:val="200"/>
        </w:numPr>
        <w:autoSpaceDE w:val="0"/>
        <w:autoSpaceDN w:val="0"/>
        <w:adjustRightInd w:val="0"/>
        <w:ind w:left="851" w:hanging="425"/>
        <w:jc w:val="both"/>
        <w:rPr>
          <w:rFonts w:ascii="Arial Narrow" w:eastAsia="Calibri" w:hAnsi="Arial Narrow"/>
          <w:bCs/>
          <w:color w:val="000000" w:themeColor="text1"/>
        </w:rPr>
      </w:pPr>
      <w:r w:rsidRPr="002C0D19">
        <w:rPr>
          <w:rFonts w:ascii="Arial Narrow" w:eastAsia="Calibri" w:hAnsi="Arial Narrow"/>
          <w:bCs/>
          <w:color w:val="000000" w:themeColor="text1"/>
        </w:rPr>
        <w:t>Activo Subyacente entregado parcialmente a la Cámara: Es la cantidad del Activo Subyacente que se entrega parcialmente por el titular de Cuenta siendo su obligación de entrega por una cantidad mayor.</w:t>
      </w:r>
    </w:p>
    <w:p w14:paraId="646EB46D" w14:textId="77777777" w:rsidR="007968EC" w:rsidRPr="002C0D19" w:rsidRDefault="007968EC" w:rsidP="00DA7472">
      <w:pPr>
        <w:numPr>
          <w:ilvl w:val="0"/>
          <w:numId w:val="200"/>
        </w:numPr>
        <w:autoSpaceDE w:val="0"/>
        <w:autoSpaceDN w:val="0"/>
        <w:adjustRightInd w:val="0"/>
        <w:ind w:left="851" w:hanging="425"/>
        <w:jc w:val="both"/>
        <w:rPr>
          <w:rFonts w:ascii="Arial Narrow" w:eastAsia="Calibri" w:hAnsi="Arial Narrow"/>
          <w:bCs/>
          <w:color w:val="000000" w:themeColor="text1"/>
        </w:rPr>
      </w:pPr>
      <w:r w:rsidRPr="002C0D19">
        <w:rPr>
          <w:rFonts w:ascii="Arial Narrow" w:eastAsia="Calibri" w:hAnsi="Arial Narrow"/>
          <w:color w:val="000000" w:themeColor="text1"/>
        </w:rPr>
        <w:t xml:space="preserve">Activo Subyacente no Entregado a la Cámara: Es la cantidad del Activo Subyacente no entregado </w:t>
      </w:r>
      <w:r w:rsidRPr="002C0D19">
        <w:rPr>
          <w:rFonts w:ascii="Arial Narrow" w:eastAsia="Calibri" w:hAnsi="Arial Narrow"/>
          <w:bCs/>
          <w:color w:val="000000" w:themeColor="text1"/>
        </w:rPr>
        <w:t>por el titular de Cuenta con obligación de entrega.</w:t>
      </w:r>
    </w:p>
    <w:p w14:paraId="060CA426" w14:textId="77777777" w:rsidR="007968EC" w:rsidRPr="002C0D19" w:rsidRDefault="007968EC" w:rsidP="00DA7472">
      <w:pPr>
        <w:numPr>
          <w:ilvl w:val="0"/>
          <w:numId w:val="200"/>
        </w:numPr>
        <w:autoSpaceDE w:val="0"/>
        <w:autoSpaceDN w:val="0"/>
        <w:adjustRightInd w:val="0"/>
        <w:ind w:left="851" w:hanging="425"/>
        <w:jc w:val="both"/>
        <w:rPr>
          <w:rFonts w:ascii="Arial Narrow" w:eastAsia="Calibri" w:hAnsi="Arial Narrow"/>
          <w:color w:val="000000" w:themeColor="text1"/>
        </w:rPr>
      </w:pPr>
      <w:r w:rsidRPr="002C0D19">
        <w:rPr>
          <w:rFonts w:ascii="Arial Narrow" w:eastAsia="Calibri" w:hAnsi="Arial Narrow"/>
          <w:color w:val="000000" w:themeColor="text1"/>
        </w:rPr>
        <w:t>Activo Subyacente entregado por la Cámara: Es la cantidad del Activo Subyacente entregado por la Cámara al titular de Cuenta con derecho a recibir dicho Activo, incluidas aquellas que entregue en desarrollo de lo dispuesto en el artículo 1.7.2.2. de la presente Circular.</w:t>
      </w:r>
    </w:p>
    <w:p w14:paraId="2E020485" w14:textId="77777777" w:rsidR="007968EC" w:rsidRPr="002C0D19" w:rsidRDefault="007968EC" w:rsidP="00DA7472">
      <w:pPr>
        <w:numPr>
          <w:ilvl w:val="0"/>
          <w:numId w:val="200"/>
        </w:numPr>
        <w:autoSpaceDE w:val="0"/>
        <w:autoSpaceDN w:val="0"/>
        <w:adjustRightInd w:val="0"/>
        <w:ind w:left="851" w:hanging="425"/>
        <w:jc w:val="both"/>
        <w:rPr>
          <w:rFonts w:ascii="Arial Narrow" w:eastAsia="Calibri" w:hAnsi="Arial Narrow"/>
          <w:color w:val="000000" w:themeColor="text1"/>
        </w:rPr>
      </w:pPr>
      <w:r w:rsidRPr="002C0D19">
        <w:rPr>
          <w:rFonts w:ascii="Arial Narrow" w:eastAsia="Calibri" w:hAnsi="Arial Narrow"/>
          <w:color w:val="000000" w:themeColor="text1"/>
        </w:rPr>
        <w:t>Activo Subyacente adquirido y entregado por la Cámara: Cantidad del Activo Subyacente adquirido por la Cámara en desarrollo de lo dispuesto en el artículo 1.7.2.2. de la presente Circular y entregado por ésta al titular de Cuenta con derecho a recibir.</w:t>
      </w:r>
    </w:p>
    <w:p w14:paraId="1E743D6E" w14:textId="77777777" w:rsidR="007968EC" w:rsidRPr="002C0D19" w:rsidRDefault="007968EC" w:rsidP="00DA7472">
      <w:pPr>
        <w:numPr>
          <w:ilvl w:val="0"/>
          <w:numId w:val="200"/>
        </w:numPr>
        <w:autoSpaceDE w:val="0"/>
        <w:autoSpaceDN w:val="0"/>
        <w:adjustRightInd w:val="0"/>
        <w:ind w:left="851" w:hanging="425"/>
        <w:jc w:val="both"/>
        <w:rPr>
          <w:rFonts w:ascii="Arial Narrow" w:eastAsia="Calibri" w:hAnsi="Arial Narrow"/>
          <w:color w:val="000000" w:themeColor="text1"/>
        </w:rPr>
      </w:pPr>
      <w:r w:rsidRPr="002C0D19">
        <w:rPr>
          <w:rFonts w:ascii="Arial Narrow" w:eastAsia="Calibri" w:hAnsi="Arial Narrow"/>
          <w:color w:val="000000" w:themeColor="text1"/>
        </w:rPr>
        <w:t>Activo Subyacente no recibido por el titular de Cuenta: Es la cantidad del Activo Subyacente que el titular de Cuenta con derecho a recibir dichos Activos, no recibió de la Cámara como resultado del Incumplimiento en la entrega del titular de Cuenta que le correspondió en la formación de parejas definida en los artículos 2.4.4.12. y siguientes de la presente Circular.</w:t>
      </w:r>
    </w:p>
    <w:p w14:paraId="6C657A01" w14:textId="77777777" w:rsidR="007968EC" w:rsidRPr="002C0D19" w:rsidRDefault="007968EC" w:rsidP="00DA7472">
      <w:pPr>
        <w:numPr>
          <w:ilvl w:val="0"/>
          <w:numId w:val="200"/>
        </w:numPr>
        <w:autoSpaceDE w:val="0"/>
        <w:autoSpaceDN w:val="0"/>
        <w:adjustRightInd w:val="0"/>
        <w:ind w:left="851" w:hanging="425"/>
        <w:jc w:val="both"/>
        <w:rPr>
          <w:rFonts w:ascii="Arial Narrow" w:eastAsia="Calibri" w:hAnsi="Arial Narrow"/>
          <w:color w:val="000000" w:themeColor="text1"/>
        </w:rPr>
      </w:pPr>
      <w:r w:rsidRPr="002C0D19">
        <w:rPr>
          <w:rFonts w:ascii="Arial Narrow" w:eastAsia="Calibri" w:hAnsi="Arial Narrow"/>
          <w:color w:val="000000" w:themeColor="text1"/>
        </w:rPr>
        <w:t xml:space="preserve">Precio de Liquidación al Vencimiento del Activo Subyacente: Es el equivalente al Precio de Liquidación del último día de negociación del contrato. </w:t>
      </w:r>
    </w:p>
    <w:p w14:paraId="0C06586D" w14:textId="77777777" w:rsidR="007968EC" w:rsidRPr="002C0D19" w:rsidRDefault="007968EC" w:rsidP="00DA7472">
      <w:pPr>
        <w:numPr>
          <w:ilvl w:val="0"/>
          <w:numId w:val="200"/>
        </w:numPr>
        <w:autoSpaceDE w:val="0"/>
        <w:autoSpaceDN w:val="0"/>
        <w:adjustRightInd w:val="0"/>
        <w:ind w:left="851" w:hanging="425"/>
        <w:jc w:val="both"/>
        <w:rPr>
          <w:rFonts w:ascii="Arial Narrow" w:eastAsia="Calibri" w:hAnsi="Arial Narrow"/>
          <w:color w:val="000000" w:themeColor="text1"/>
        </w:rPr>
      </w:pPr>
      <w:r w:rsidRPr="002C0D19">
        <w:rPr>
          <w:rFonts w:ascii="Arial Narrow" w:eastAsia="Calibri" w:hAnsi="Arial Narrow"/>
          <w:color w:val="000000" w:themeColor="text1"/>
        </w:rPr>
        <w:t>Valoración a precios de Liquidación al Vencimiento de la cantidad del Activo Subyacente no recibido por el titular de Cuenta: Es el resultado de multiplicar la cantidad del Activo Subyacente no recibido por el titular de Cuenta por el Precio de Liquidación al Vencimiento del Activo Subyacente.</w:t>
      </w:r>
    </w:p>
    <w:p w14:paraId="6A7AFBFA" w14:textId="77777777" w:rsidR="007968EC" w:rsidRPr="002C0D19" w:rsidRDefault="007968EC" w:rsidP="00DA7472">
      <w:pPr>
        <w:numPr>
          <w:ilvl w:val="0"/>
          <w:numId w:val="200"/>
        </w:numPr>
        <w:autoSpaceDE w:val="0"/>
        <w:autoSpaceDN w:val="0"/>
        <w:adjustRightInd w:val="0"/>
        <w:ind w:left="851" w:hanging="425"/>
        <w:jc w:val="both"/>
        <w:rPr>
          <w:rFonts w:ascii="Arial Narrow" w:eastAsia="Calibri" w:hAnsi="Arial Narrow"/>
          <w:color w:val="000000" w:themeColor="text1"/>
        </w:rPr>
      </w:pPr>
      <w:r w:rsidRPr="002C0D19">
        <w:rPr>
          <w:rFonts w:ascii="Arial Narrow" w:eastAsia="Calibri" w:hAnsi="Arial Narrow"/>
          <w:color w:val="000000" w:themeColor="text1"/>
        </w:rPr>
        <w:t>Precio de Referencia de la Liquidación por Diferencias por Incumplimiento en la Entrega: Es el Precio de Referencia que empleará la Cámara para realizar el cálculo de la Liquidación por Diferencias por Incumplimiento en la Entrega.</w:t>
      </w:r>
    </w:p>
    <w:p w14:paraId="0B21905F" w14:textId="77777777" w:rsidR="007968EC" w:rsidRPr="002C0D19" w:rsidRDefault="007968EC" w:rsidP="00DA7472">
      <w:pPr>
        <w:numPr>
          <w:ilvl w:val="0"/>
          <w:numId w:val="200"/>
        </w:numPr>
        <w:autoSpaceDE w:val="0"/>
        <w:autoSpaceDN w:val="0"/>
        <w:adjustRightInd w:val="0"/>
        <w:ind w:left="851" w:hanging="425"/>
        <w:jc w:val="both"/>
        <w:rPr>
          <w:rFonts w:ascii="Arial Narrow" w:eastAsia="Calibri" w:hAnsi="Arial Narrow"/>
          <w:color w:val="000000" w:themeColor="text1"/>
        </w:rPr>
      </w:pPr>
      <w:r w:rsidRPr="002C0D19">
        <w:rPr>
          <w:rFonts w:ascii="Arial Narrow" w:eastAsia="Calibri" w:hAnsi="Arial Narrow"/>
          <w:color w:val="000000" w:themeColor="text1"/>
        </w:rPr>
        <w:t>Valoración a Precios de Referencia de la cantidad del Activo Subyacente no recibido por parte del titular de Cuenta: Es el resultado de multiplicar la cantidad del Activo Subyacente no recibido por el titular de Cuenta por el Precio de Referencia para la Liquidación por Diferencias por Incumplimiento en la Entrega.</w:t>
      </w:r>
    </w:p>
    <w:p w14:paraId="21AC4B3B" w14:textId="77777777" w:rsidR="007968EC" w:rsidRPr="002C0D19" w:rsidRDefault="007968EC" w:rsidP="00DA7472">
      <w:pPr>
        <w:numPr>
          <w:ilvl w:val="0"/>
          <w:numId w:val="200"/>
        </w:numPr>
        <w:autoSpaceDE w:val="0"/>
        <w:autoSpaceDN w:val="0"/>
        <w:adjustRightInd w:val="0"/>
        <w:ind w:left="851" w:hanging="425"/>
        <w:jc w:val="both"/>
        <w:rPr>
          <w:rFonts w:ascii="Arial Narrow" w:eastAsia="Calibri" w:hAnsi="Arial Narrow"/>
          <w:color w:val="000000" w:themeColor="text1"/>
        </w:rPr>
      </w:pPr>
      <w:r w:rsidRPr="002C0D19">
        <w:rPr>
          <w:rFonts w:ascii="Arial Narrow" w:eastAsia="Calibri" w:hAnsi="Arial Narrow"/>
          <w:color w:val="000000" w:themeColor="text1"/>
        </w:rPr>
        <w:lastRenderedPageBreak/>
        <w:t>Precio de adquisición del Activo Subyacente pagado por la Cámara: Es el promedio ponderado por monto de los precios pagados por la Cámara por las adquisiciones del Activo Subyacente efectuadas en desarrollo de lo dispuesto en el artículo 1.7.2.2. de la presente Circular.</w:t>
      </w:r>
    </w:p>
    <w:p w14:paraId="69CECB2E" w14:textId="77777777" w:rsidR="007968EC" w:rsidRPr="002C0D19" w:rsidRDefault="007968EC" w:rsidP="00DA7472">
      <w:pPr>
        <w:numPr>
          <w:ilvl w:val="0"/>
          <w:numId w:val="200"/>
        </w:numPr>
        <w:autoSpaceDE w:val="0"/>
        <w:autoSpaceDN w:val="0"/>
        <w:adjustRightInd w:val="0"/>
        <w:ind w:left="851" w:hanging="425"/>
        <w:jc w:val="both"/>
        <w:rPr>
          <w:rFonts w:ascii="Arial Narrow" w:eastAsia="Calibri" w:hAnsi="Arial Narrow"/>
          <w:color w:val="000000" w:themeColor="text1"/>
        </w:rPr>
      </w:pPr>
      <w:r w:rsidRPr="002C0D19">
        <w:rPr>
          <w:rFonts w:ascii="Arial Narrow" w:eastAsia="Calibri" w:hAnsi="Arial Narrow"/>
          <w:color w:val="000000" w:themeColor="text1"/>
        </w:rPr>
        <w:t xml:space="preserve">Valoración a precio de adquisición del Activo Subyacente pagado por la Cámara: Es el resultado de multiplicar la cantidad del Activo Subyacente adquirido y entregado por la Cámara por el precio de adquisición del Activo Subyacente pagado por la Cámara. </w:t>
      </w:r>
    </w:p>
    <w:p w14:paraId="3D559F1E" w14:textId="77777777" w:rsidR="007968EC" w:rsidRPr="002C0D19" w:rsidRDefault="007968EC" w:rsidP="007968EC">
      <w:pPr>
        <w:autoSpaceDE w:val="0"/>
        <w:autoSpaceDN w:val="0"/>
        <w:adjustRightInd w:val="0"/>
        <w:ind w:left="426" w:hanging="426"/>
        <w:contextualSpacing/>
        <w:jc w:val="both"/>
        <w:rPr>
          <w:rFonts w:ascii="Arial Narrow" w:eastAsia="Calibri" w:hAnsi="Arial Narrow"/>
          <w:b/>
          <w:bCs/>
          <w:color w:val="000000" w:themeColor="text1"/>
        </w:rPr>
      </w:pPr>
    </w:p>
    <w:p w14:paraId="18C621F6" w14:textId="77777777" w:rsidR="007968EC" w:rsidRPr="002C0D19" w:rsidRDefault="007968EC" w:rsidP="00DA7472">
      <w:pPr>
        <w:numPr>
          <w:ilvl w:val="3"/>
          <w:numId w:val="165"/>
        </w:numPr>
        <w:autoSpaceDE w:val="0"/>
        <w:autoSpaceDN w:val="0"/>
        <w:adjustRightInd w:val="0"/>
        <w:ind w:left="426" w:hanging="426"/>
        <w:contextualSpacing/>
        <w:jc w:val="both"/>
        <w:rPr>
          <w:rFonts w:ascii="Arial Narrow" w:eastAsia="Calibri" w:hAnsi="Arial Narrow"/>
          <w:b/>
          <w:bCs/>
          <w:color w:val="000000" w:themeColor="text1"/>
        </w:rPr>
      </w:pPr>
      <w:r w:rsidRPr="002C0D19">
        <w:rPr>
          <w:rFonts w:ascii="Arial Narrow" w:eastAsia="Calibri" w:hAnsi="Arial Narrow"/>
          <w:b/>
          <w:bCs/>
          <w:color w:val="000000" w:themeColor="text1"/>
        </w:rPr>
        <w:t>Conceptos:</w:t>
      </w:r>
    </w:p>
    <w:p w14:paraId="0411889A" w14:textId="77777777" w:rsidR="007968EC" w:rsidRPr="002C0D19" w:rsidRDefault="007968EC" w:rsidP="007968EC">
      <w:pPr>
        <w:autoSpaceDE w:val="0"/>
        <w:autoSpaceDN w:val="0"/>
        <w:adjustRightInd w:val="0"/>
        <w:ind w:left="426"/>
        <w:contextualSpacing/>
        <w:jc w:val="both"/>
        <w:rPr>
          <w:rFonts w:ascii="Arial Narrow" w:eastAsia="Calibri" w:hAnsi="Arial Narrow"/>
          <w:b/>
          <w:bCs/>
          <w:color w:val="000000" w:themeColor="text1"/>
        </w:rPr>
      </w:pPr>
    </w:p>
    <w:p w14:paraId="2FB23232" w14:textId="77777777" w:rsidR="007968EC" w:rsidRPr="002C0D19" w:rsidRDefault="007968EC" w:rsidP="00DA7472">
      <w:pPr>
        <w:numPr>
          <w:ilvl w:val="0"/>
          <w:numId w:val="201"/>
        </w:numPr>
        <w:autoSpaceDE w:val="0"/>
        <w:autoSpaceDN w:val="0"/>
        <w:adjustRightInd w:val="0"/>
        <w:ind w:left="851" w:hanging="491"/>
        <w:jc w:val="both"/>
        <w:rPr>
          <w:rFonts w:ascii="Arial Narrow" w:eastAsia="Calibri" w:hAnsi="Arial Narrow"/>
          <w:b/>
          <w:color w:val="000000" w:themeColor="text1"/>
        </w:rPr>
      </w:pPr>
      <w:r w:rsidRPr="002C0D19">
        <w:rPr>
          <w:rFonts w:ascii="Arial Narrow" w:eastAsia="Calibri" w:hAnsi="Arial Narrow"/>
          <w:b/>
          <w:color w:val="000000" w:themeColor="text1"/>
        </w:rPr>
        <w:t>Ajuste a Precios de Referencia del  Activo Subyacente no recibido por el titular de Cuenta:</w:t>
      </w:r>
      <w:r w:rsidRPr="002C0D19">
        <w:rPr>
          <w:rFonts w:ascii="Arial Narrow" w:eastAsia="Calibri" w:hAnsi="Arial Narrow"/>
          <w:color w:val="000000" w:themeColor="text1"/>
        </w:rPr>
        <w:t xml:space="preserve"> Para la Liquidación por Diferencias por Incumplimiento en la Entrega, la Cámara calculará la diferencia entre el Activo Subyacente no recibido por el titular de Cuenta valorado a precios de Liquidación al Vencimiento del Activo Subyacente, y el Activo Subyacente no recibido por el titular de Cuenta valorado al Precio de Referencia de la Liquidación por Diferencias por Incumplimiento en la Entrega, y entregará la información de la Liquidación por Diferencias por Incumplimiento en la Entrega de acuerdo con el siguiente tratamiento:</w:t>
      </w:r>
    </w:p>
    <w:p w14:paraId="623C6F1F" w14:textId="77777777" w:rsidR="007968EC" w:rsidRPr="002C0D19" w:rsidRDefault="007968EC" w:rsidP="007968EC">
      <w:pPr>
        <w:autoSpaceDE w:val="0"/>
        <w:autoSpaceDN w:val="0"/>
        <w:adjustRightInd w:val="0"/>
        <w:ind w:left="1134"/>
        <w:jc w:val="both"/>
        <w:rPr>
          <w:rFonts w:ascii="Arial Narrow" w:eastAsia="Calibri" w:hAnsi="Arial Narrow"/>
          <w:color w:val="000000" w:themeColor="text1"/>
        </w:rPr>
      </w:pPr>
    </w:p>
    <w:p w14:paraId="437FD2A0" w14:textId="77777777" w:rsidR="007968EC" w:rsidRPr="002C0D19" w:rsidRDefault="007968EC" w:rsidP="00DA7472">
      <w:pPr>
        <w:numPr>
          <w:ilvl w:val="0"/>
          <w:numId w:val="230"/>
        </w:numPr>
        <w:autoSpaceDE w:val="0"/>
        <w:autoSpaceDN w:val="0"/>
        <w:adjustRightInd w:val="0"/>
        <w:ind w:left="1134" w:hanging="283"/>
        <w:jc w:val="both"/>
        <w:rPr>
          <w:rFonts w:ascii="Arial Narrow" w:eastAsia="Calibri" w:hAnsi="Arial Narrow"/>
          <w:color w:val="000000" w:themeColor="text1"/>
        </w:rPr>
      </w:pPr>
      <w:r w:rsidRPr="002C0D19">
        <w:rPr>
          <w:rFonts w:ascii="Arial Narrow" w:eastAsia="Calibri" w:hAnsi="Arial Narrow"/>
          <w:b/>
          <w:color w:val="000000" w:themeColor="text1"/>
          <w:lang w:eastAsia="es-CO"/>
        </w:rPr>
        <w:t xml:space="preserve">Titulares de Cuenta con posición neta compradora de acuerdo con el resultado del algoritmo de entregas definido en los artículos </w:t>
      </w:r>
      <w:r w:rsidRPr="002C0D19">
        <w:rPr>
          <w:rFonts w:ascii="Arial Narrow" w:eastAsia="Calibri" w:hAnsi="Arial Narrow"/>
          <w:b/>
          <w:color w:val="000000" w:themeColor="text1"/>
        </w:rPr>
        <w:t>2.4.4.12.</w:t>
      </w:r>
      <w:r w:rsidRPr="002C0D19">
        <w:rPr>
          <w:rFonts w:ascii="Arial Narrow" w:eastAsia="Calibri" w:hAnsi="Arial Narrow"/>
          <w:b/>
          <w:color w:val="000000" w:themeColor="text1"/>
          <w:lang w:eastAsia="es-CO"/>
        </w:rPr>
        <w:t xml:space="preserve"> y siguientes de la presente Circular:</w:t>
      </w:r>
      <w:r w:rsidRPr="002C0D19">
        <w:rPr>
          <w:rFonts w:ascii="Arial Narrow" w:eastAsia="Calibri" w:hAnsi="Arial Narrow"/>
          <w:color w:val="000000" w:themeColor="text1"/>
          <w:lang w:eastAsia="es-CO"/>
        </w:rPr>
        <w:t xml:space="preserve"> En el evento en que la diferencia sea negativa el titular de la Cuenta tendrá derecho a recibir a través del Miembro Liquidador respectivo, el dinero efectivo correspondiente, hechas las deducciones que se indican en el literal b) siguiente del presente numeral.</w:t>
      </w:r>
    </w:p>
    <w:p w14:paraId="19C02037" w14:textId="77777777" w:rsidR="007968EC" w:rsidRPr="002C0D19" w:rsidRDefault="007968EC" w:rsidP="007968EC">
      <w:pPr>
        <w:autoSpaceDE w:val="0"/>
        <w:autoSpaceDN w:val="0"/>
        <w:adjustRightInd w:val="0"/>
        <w:ind w:left="1134"/>
        <w:jc w:val="both"/>
        <w:rPr>
          <w:rFonts w:ascii="Arial Narrow" w:eastAsia="Calibri" w:hAnsi="Arial Narrow"/>
          <w:b/>
          <w:color w:val="000000" w:themeColor="text1"/>
        </w:rPr>
      </w:pPr>
    </w:p>
    <w:p w14:paraId="7AA09A85" w14:textId="77777777" w:rsidR="007968EC" w:rsidRPr="002C0D19" w:rsidRDefault="007968EC" w:rsidP="00DA7472">
      <w:pPr>
        <w:numPr>
          <w:ilvl w:val="0"/>
          <w:numId w:val="230"/>
        </w:numPr>
        <w:autoSpaceDE w:val="0"/>
        <w:autoSpaceDN w:val="0"/>
        <w:adjustRightInd w:val="0"/>
        <w:ind w:left="1134" w:hanging="283"/>
        <w:jc w:val="both"/>
        <w:rPr>
          <w:rFonts w:ascii="Arial Narrow" w:eastAsia="Calibri" w:hAnsi="Arial Narrow"/>
          <w:b/>
          <w:color w:val="000000" w:themeColor="text1"/>
        </w:rPr>
      </w:pPr>
      <w:r w:rsidRPr="002C0D19">
        <w:rPr>
          <w:rFonts w:ascii="Arial Narrow" w:eastAsia="Calibri" w:hAnsi="Arial Narrow"/>
          <w:b/>
          <w:color w:val="000000" w:themeColor="text1"/>
          <w:lang w:eastAsia="es-CO"/>
        </w:rPr>
        <w:t xml:space="preserve">Titulares de Cuenta con posición neta vendedora de acuerdo con el resultado del algoritmo de entregas </w:t>
      </w:r>
      <w:r w:rsidRPr="002C0D19">
        <w:rPr>
          <w:rFonts w:ascii="Arial Narrow" w:eastAsia="Calibri" w:hAnsi="Arial Narrow"/>
          <w:b/>
          <w:color w:val="000000" w:themeColor="text1"/>
          <w:lang w:val="es-MX" w:eastAsia="es-CO"/>
        </w:rPr>
        <w:t xml:space="preserve">definido en </w:t>
      </w:r>
      <w:r w:rsidRPr="002C0D19">
        <w:rPr>
          <w:rFonts w:ascii="Arial Narrow" w:eastAsia="Calibri" w:hAnsi="Arial Narrow"/>
          <w:b/>
          <w:color w:val="000000" w:themeColor="text1"/>
          <w:lang w:eastAsia="es-CO"/>
        </w:rPr>
        <w:t xml:space="preserve">los artículos </w:t>
      </w:r>
      <w:r w:rsidRPr="002C0D19">
        <w:rPr>
          <w:rFonts w:ascii="Arial Narrow" w:eastAsia="Calibri" w:hAnsi="Arial Narrow"/>
          <w:b/>
          <w:color w:val="000000" w:themeColor="text1"/>
        </w:rPr>
        <w:t xml:space="preserve">2.4.4.12. </w:t>
      </w:r>
      <w:r w:rsidRPr="002C0D19">
        <w:rPr>
          <w:rFonts w:ascii="Arial Narrow" w:eastAsia="Calibri" w:hAnsi="Arial Narrow"/>
          <w:b/>
          <w:color w:val="000000" w:themeColor="text1"/>
          <w:lang w:eastAsia="es-CO"/>
        </w:rPr>
        <w:t>y siguientes</w:t>
      </w:r>
      <w:r w:rsidRPr="002C0D19">
        <w:rPr>
          <w:rFonts w:ascii="Arial Narrow" w:eastAsia="Calibri" w:hAnsi="Arial Narrow"/>
          <w:b/>
          <w:color w:val="000000" w:themeColor="text1"/>
          <w:lang w:val="es-MX" w:eastAsia="es-CO"/>
        </w:rPr>
        <w:t xml:space="preserve"> de la presente Circular</w:t>
      </w:r>
      <w:r w:rsidRPr="002C0D19">
        <w:rPr>
          <w:rFonts w:ascii="Arial Narrow" w:eastAsia="Calibri" w:hAnsi="Arial Narrow"/>
          <w:b/>
          <w:color w:val="000000" w:themeColor="text1"/>
          <w:lang w:eastAsia="es-CO"/>
        </w:rPr>
        <w:t>:</w:t>
      </w:r>
      <w:r w:rsidRPr="002C0D19">
        <w:rPr>
          <w:rFonts w:ascii="Arial Narrow" w:eastAsia="Calibri" w:hAnsi="Arial Narrow"/>
          <w:color w:val="000000" w:themeColor="text1"/>
          <w:lang w:eastAsia="es-CO"/>
        </w:rPr>
        <w:t xml:space="preserve"> En el evento en que la diferencia sea positiva el titular de la Cuenta tendrá derecho a recibir, a través del Miembro Liquidador respectivo, el dinero efectivo correspondiente de conformidad con el procedimiento establecido en el literal b) siguiente del presente numeral.</w:t>
      </w:r>
    </w:p>
    <w:p w14:paraId="7E54D786" w14:textId="77777777" w:rsidR="007968EC" w:rsidRPr="002C0D19" w:rsidRDefault="007968EC" w:rsidP="007968EC">
      <w:pPr>
        <w:autoSpaceDE w:val="0"/>
        <w:autoSpaceDN w:val="0"/>
        <w:adjustRightInd w:val="0"/>
        <w:ind w:left="851"/>
        <w:jc w:val="both"/>
        <w:rPr>
          <w:rFonts w:ascii="Arial Narrow" w:eastAsia="Calibri" w:hAnsi="Arial Narrow"/>
          <w:color w:val="000000" w:themeColor="text1"/>
        </w:rPr>
      </w:pPr>
    </w:p>
    <w:p w14:paraId="17DD2F96" w14:textId="77777777" w:rsidR="007968EC" w:rsidRPr="002C0D19" w:rsidRDefault="007968EC" w:rsidP="00DA7472">
      <w:pPr>
        <w:numPr>
          <w:ilvl w:val="0"/>
          <w:numId w:val="201"/>
        </w:numPr>
        <w:autoSpaceDE w:val="0"/>
        <w:autoSpaceDN w:val="0"/>
        <w:adjustRightInd w:val="0"/>
        <w:ind w:left="851" w:hanging="491"/>
        <w:jc w:val="both"/>
        <w:rPr>
          <w:rFonts w:ascii="Arial Narrow" w:eastAsia="Calibri" w:hAnsi="Arial Narrow"/>
          <w:color w:val="000000" w:themeColor="text1"/>
        </w:rPr>
      </w:pPr>
      <w:r w:rsidRPr="002C0D19">
        <w:rPr>
          <w:rFonts w:ascii="Arial Narrow" w:eastAsia="Calibri" w:hAnsi="Arial Narrow"/>
          <w:b/>
          <w:color w:val="000000" w:themeColor="text1"/>
          <w:lang w:eastAsia="es-CO"/>
        </w:rPr>
        <w:t>Devolución de sumas de efectivo recibidas por la Cámara por concepto del valor de giro:</w:t>
      </w:r>
      <w:r w:rsidRPr="002C0D19">
        <w:rPr>
          <w:rFonts w:ascii="Arial Narrow" w:eastAsia="Calibri" w:hAnsi="Arial Narrow"/>
          <w:color w:val="000000" w:themeColor="text1"/>
          <w:lang w:eastAsia="es-CO"/>
        </w:rPr>
        <w:t xml:space="preserve"> De conformidad con lo previsto en el artículo 2.6.12. del Reglamento de Funcionamiento, la Liquidación, cuando sea el caso, incorporará el valor de las sumas de efectivo recibido por la Cámara de los Miembros Liquidadores por cuenta de los titulares de Cuenta que, con derecho a recibir los Activos, hayan entregado dichas sumas en cumplimiento de la Liquidación al Vencimiento por Entrega. </w:t>
      </w:r>
    </w:p>
    <w:p w14:paraId="1B77435E" w14:textId="77777777" w:rsidR="007968EC" w:rsidRPr="002C0D19" w:rsidRDefault="007968EC" w:rsidP="007968EC">
      <w:pPr>
        <w:autoSpaceDE w:val="0"/>
        <w:autoSpaceDN w:val="0"/>
        <w:adjustRightInd w:val="0"/>
        <w:ind w:left="851"/>
        <w:jc w:val="both"/>
        <w:rPr>
          <w:rFonts w:ascii="Arial Narrow" w:eastAsia="Calibri" w:hAnsi="Arial Narrow"/>
          <w:color w:val="000000" w:themeColor="text1"/>
          <w:lang w:eastAsia="es-CO"/>
        </w:rPr>
      </w:pPr>
    </w:p>
    <w:p w14:paraId="496037A0" w14:textId="77777777" w:rsidR="007968EC" w:rsidRPr="002C0D19" w:rsidRDefault="007968EC" w:rsidP="007968EC">
      <w:pPr>
        <w:autoSpaceDE w:val="0"/>
        <w:autoSpaceDN w:val="0"/>
        <w:adjustRightInd w:val="0"/>
        <w:ind w:left="851"/>
        <w:jc w:val="both"/>
        <w:rPr>
          <w:rFonts w:ascii="Arial Narrow" w:eastAsia="Calibri" w:hAnsi="Arial Narrow"/>
          <w:color w:val="000000" w:themeColor="text1"/>
        </w:rPr>
      </w:pPr>
      <w:r w:rsidRPr="002C0D19">
        <w:rPr>
          <w:rFonts w:ascii="Arial Narrow" w:eastAsia="Calibri" w:hAnsi="Arial Narrow"/>
          <w:color w:val="000000" w:themeColor="text1"/>
          <w:lang w:eastAsia="es-CO"/>
        </w:rPr>
        <w:t xml:space="preserve">Estas sumas serán entregadas a través del Miembro Liquidador respectivo al titular de Cuenta con posición neta compradora de acuerdo con el algoritmo descrito en los artículos </w:t>
      </w:r>
      <w:r w:rsidRPr="002C0D19">
        <w:rPr>
          <w:rFonts w:ascii="Arial Narrow" w:eastAsia="Calibri" w:hAnsi="Arial Narrow"/>
          <w:color w:val="000000" w:themeColor="text1"/>
        </w:rPr>
        <w:t>2.4.4.12.</w:t>
      </w:r>
      <w:r w:rsidRPr="002C0D19">
        <w:rPr>
          <w:rFonts w:ascii="Arial Narrow" w:eastAsia="Calibri" w:hAnsi="Arial Narrow"/>
          <w:color w:val="000000" w:themeColor="text1"/>
          <w:lang w:eastAsia="es-CO"/>
        </w:rPr>
        <w:t xml:space="preserve"> y siguientes de la presente Circular y serán el resultado de restar al cálculo del valor de giro del efectivo que debe realizar el titular de la Cuenta con posición neta compradora definido en el artículo </w:t>
      </w:r>
      <w:r w:rsidRPr="002C0D19">
        <w:rPr>
          <w:rFonts w:ascii="Arial Narrow" w:eastAsia="Calibri" w:hAnsi="Arial Narrow"/>
          <w:color w:val="000000" w:themeColor="text1"/>
        </w:rPr>
        <w:t xml:space="preserve">2.4.4.18. </w:t>
      </w:r>
      <w:r w:rsidRPr="002C0D19">
        <w:rPr>
          <w:rFonts w:ascii="Arial Narrow" w:eastAsia="Calibri" w:hAnsi="Arial Narrow"/>
          <w:color w:val="000000" w:themeColor="text1"/>
          <w:lang w:eastAsia="es-CO"/>
        </w:rPr>
        <w:t>de la presente Circular, lo siguiente:</w:t>
      </w:r>
    </w:p>
    <w:p w14:paraId="0B42E419" w14:textId="77777777" w:rsidR="007968EC" w:rsidRPr="005703C9" w:rsidRDefault="007968EC" w:rsidP="007968EC">
      <w:pPr>
        <w:jc w:val="both"/>
        <w:rPr>
          <w:rFonts w:ascii="Arial Narrow" w:eastAsia="Calibri" w:hAnsi="Arial Narrow"/>
          <w:b/>
          <w:color w:val="000000" w:themeColor="text1"/>
        </w:rPr>
      </w:pPr>
    </w:p>
    <w:p w14:paraId="203546EF" w14:textId="77777777" w:rsidR="007968EC" w:rsidRPr="002C0D19" w:rsidRDefault="007968EC" w:rsidP="00DA7472">
      <w:pPr>
        <w:numPr>
          <w:ilvl w:val="0"/>
          <w:numId w:val="231"/>
        </w:numPr>
        <w:autoSpaceDE w:val="0"/>
        <w:autoSpaceDN w:val="0"/>
        <w:adjustRightInd w:val="0"/>
        <w:ind w:left="1134" w:hanging="283"/>
        <w:jc w:val="both"/>
        <w:rPr>
          <w:rFonts w:ascii="Arial Narrow" w:eastAsia="Calibri" w:hAnsi="Arial Narrow"/>
          <w:color w:val="000000" w:themeColor="text1"/>
        </w:rPr>
      </w:pPr>
      <w:r w:rsidRPr="002C0D19">
        <w:rPr>
          <w:rFonts w:ascii="Arial Narrow" w:eastAsia="Calibri" w:hAnsi="Arial Narrow"/>
          <w:color w:val="000000" w:themeColor="text1"/>
          <w:lang w:eastAsia="es-CO"/>
        </w:rPr>
        <w:lastRenderedPageBreak/>
        <w:t xml:space="preserve">El resultado de multiplicar la cantidad del Activo adjudicado al titular de Cuenta según lo definido en el numeral 3 del artículo </w:t>
      </w:r>
      <w:r w:rsidRPr="002C0D19">
        <w:rPr>
          <w:rFonts w:ascii="Arial Narrow" w:eastAsia="Calibri" w:hAnsi="Arial Narrow"/>
          <w:color w:val="000000" w:themeColor="text1"/>
        </w:rPr>
        <w:t>1.</w:t>
      </w:r>
      <w:r w:rsidRPr="002C0D19">
        <w:rPr>
          <w:rFonts w:ascii="Arial Narrow" w:eastAsia="Calibri" w:hAnsi="Arial Narrow"/>
          <w:color w:val="000000" w:themeColor="text1"/>
          <w:lang w:eastAsia="es-CO"/>
        </w:rPr>
        <w:t>7.2.2. de la presente Circular, de los Activos entregados a la Cámara en Garantía en el Activo entregable y que la Cámara haya utilizado para dar cumplimiento a la entrega, por el Precio de Liquidación al Vencimiento del Activo; y</w:t>
      </w:r>
    </w:p>
    <w:p w14:paraId="36EF0CFA" w14:textId="77777777" w:rsidR="007968EC" w:rsidRPr="002C0D19" w:rsidRDefault="007968EC" w:rsidP="007968EC">
      <w:pPr>
        <w:autoSpaceDE w:val="0"/>
        <w:autoSpaceDN w:val="0"/>
        <w:adjustRightInd w:val="0"/>
        <w:ind w:left="1134"/>
        <w:jc w:val="both"/>
        <w:rPr>
          <w:rFonts w:ascii="Arial Narrow" w:eastAsia="Calibri" w:hAnsi="Arial Narrow"/>
          <w:color w:val="000000" w:themeColor="text1"/>
        </w:rPr>
      </w:pPr>
    </w:p>
    <w:p w14:paraId="0BD1979C" w14:textId="77777777" w:rsidR="007968EC" w:rsidRPr="002C0D19" w:rsidRDefault="007968EC" w:rsidP="00DA7472">
      <w:pPr>
        <w:numPr>
          <w:ilvl w:val="0"/>
          <w:numId w:val="231"/>
        </w:numPr>
        <w:autoSpaceDE w:val="0"/>
        <w:autoSpaceDN w:val="0"/>
        <w:adjustRightInd w:val="0"/>
        <w:ind w:left="1134" w:hanging="283"/>
        <w:jc w:val="both"/>
        <w:rPr>
          <w:rFonts w:ascii="Arial Narrow" w:eastAsia="Calibri" w:hAnsi="Arial Narrow"/>
          <w:color w:val="000000" w:themeColor="text1"/>
        </w:rPr>
      </w:pPr>
      <w:r w:rsidRPr="002C0D19">
        <w:rPr>
          <w:rFonts w:ascii="Arial Narrow" w:eastAsia="Calibri" w:hAnsi="Arial Narrow"/>
          <w:color w:val="000000" w:themeColor="text1"/>
          <w:lang w:eastAsia="es-CO"/>
        </w:rPr>
        <w:t xml:space="preserve">El resultado de multiplicar la cantidad del Activo adjudicado al titular de Cuenta según lo definido en el numeral 5 del artículo </w:t>
      </w:r>
      <w:r w:rsidRPr="002C0D19">
        <w:rPr>
          <w:rFonts w:ascii="Arial Narrow" w:eastAsia="Calibri" w:hAnsi="Arial Narrow"/>
          <w:color w:val="000000" w:themeColor="text1"/>
        </w:rPr>
        <w:t>1.</w:t>
      </w:r>
      <w:r w:rsidRPr="002C0D19">
        <w:rPr>
          <w:rFonts w:ascii="Arial Narrow" w:eastAsia="Calibri" w:hAnsi="Arial Narrow"/>
          <w:color w:val="000000" w:themeColor="text1"/>
          <w:lang w:eastAsia="es-CO"/>
        </w:rPr>
        <w:t>7.2.2. de la presente Circular, es decir, del total de los Activos adquiridos por la Cámara para dar cumplimiento a la entrega, por el menor de los precios entre el Precio de Adquisición del Activo Subyacente pagado por la Cámara para dar cumplimiento a la entrega y el Precio de Liquidación al Vencimiento del Activo.</w:t>
      </w:r>
    </w:p>
    <w:p w14:paraId="02B1E569" w14:textId="77777777" w:rsidR="007968EC" w:rsidRPr="005703C9" w:rsidRDefault="007968EC" w:rsidP="007968EC">
      <w:pPr>
        <w:jc w:val="both"/>
        <w:rPr>
          <w:rFonts w:ascii="Arial Narrow" w:eastAsia="Calibri" w:hAnsi="Arial Narrow"/>
          <w:b/>
          <w:color w:val="000000" w:themeColor="text1"/>
        </w:rPr>
      </w:pPr>
    </w:p>
    <w:p w14:paraId="7DBAA749" w14:textId="77777777" w:rsidR="007968EC" w:rsidRPr="002C0D19" w:rsidRDefault="007968EC" w:rsidP="007968EC">
      <w:pPr>
        <w:pStyle w:val="ARTICULO0"/>
      </w:pPr>
      <w:bookmarkStart w:id="4695" w:name="_Toc470779983"/>
      <w:bookmarkStart w:id="4696" w:name="_Toc470780600"/>
      <w:bookmarkStart w:id="4697" w:name="_Toc470781113"/>
      <w:bookmarkStart w:id="4698" w:name="_Toc470784674"/>
      <w:bookmarkStart w:id="4699" w:name="_Toc470785211"/>
      <w:bookmarkStart w:id="4700" w:name="_Toc470791604"/>
      <w:bookmarkStart w:id="4701" w:name="_Toc472592349"/>
      <w:bookmarkStart w:id="4702" w:name="_Toc472593368"/>
      <w:bookmarkStart w:id="4703" w:name="_Toc479057154"/>
      <w:bookmarkStart w:id="4704" w:name="_Toc490066508"/>
      <w:bookmarkStart w:id="4705" w:name="_Toc31716169"/>
      <w:r w:rsidRPr="002C0D19">
        <w:t>Artículo 2.4.4.32.  Procedimiento de Cálculo de la Liquidación por Diferencias por Incumplimiento en la Entrega LDIE.</w:t>
      </w:r>
      <w:bookmarkEnd w:id="4695"/>
      <w:bookmarkEnd w:id="4696"/>
      <w:bookmarkEnd w:id="4697"/>
      <w:bookmarkEnd w:id="4698"/>
      <w:bookmarkEnd w:id="4699"/>
      <w:bookmarkEnd w:id="4700"/>
      <w:bookmarkEnd w:id="4701"/>
      <w:bookmarkEnd w:id="4702"/>
      <w:bookmarkEnd w:id="4703"/>
      <w:bookmarkEnd w:id="4704"/>
      <w:bookmarkEnd w:id="4705"/>
    </w:p>
    <w:p w14:paraId="7CB099EC" w14:textId="77777777" w:rsidR="007968EC" w:rsidRPr="002C0D19" w:rsidRDefault="007968EC" w:rsidP="007968EC">
      <w:pPr>
        <w:jc w:val="both"/>
        <w:rPr>
          <w:rFonts w:ascii="Arial Narrow" w:eastAsia="Calibri" w:hAnsi="Arial Narrow"/>
          <w:color w:val="000000" w:themeColor="text1"/>
        </w:rPr>
      </w:pPr>
    </w:p>
    <w:p w14:paraId="1E0DF3FD"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El procedimiento de cálculo de la Liquidación por Diferencias por Incumplimiento en la Entrega se realizará de acuerdo con las siguientes fórmulas:</w:t>
      </w:r>
    </w:p>
    <w:p w14:paraId="1855F120" w14:textId="77777777" w:rsidR="007968EC" w:rsidRPr="002C0D19" w:rsidRDefault="007968EC" w:rsidP="007968EC">
      <w:pPr>
        <w:jc w:val="both"/>
        <w:rPr>
          <w:rFonts w:ascii="Arial Narrow" w:eastAsia="Calibri" w:hAnsi="Arial Narrow"/>
          <w:color w:val="000000" w:themeColor="text1"/>
        </w:rPr>
      </w:pPr>
    </w:p>
    <w:p w14:paraId="341025A7"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Cálculo del Importe de la Liquidación por Diferencias por Incumplimiento en la Entrega:</w:t>
      </w:r>
    </w:p>
    <w:p w14:paraId="6A814704"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p>
    <w:p w14:paraId="7C8E4C00" w14:textId="77777777" w:rsidR="007968EC" w:rsidRPr="002C0D19" w:rsidRDefault="007968EC" w:rsidP="007968EC">
      <w:pPr>
        <w:jc w:val="both"/>
        <w:rPr>
          <w:rFonts w:ascii="Arial Narrow" w:eastAsia="Calibri" w:hAnsi="Arial Narrow"/>
          <w:color w:val="000000" w:themeColor="text1"/>
        </w:rPr>
      </w:pPr>
    </w:p>
    <w:tbl>
      <w:tblPr>
        <w:tblpPr w:leftFromText="141" w:rightFromText="141" w:vertAnchor="text" w:horzAnchor="margin" w:tblpXSpec="center" w:tblpY="-180"/>
        <w:tblOverlap w:val="never"/>
        <w:tblW w:w="9013" w:type="dxa"/>
        <w:tblCellMar>
          <w:left w:w="70" w:type="dxa"/>
          <w:right w:w="70" w:type="dxa"/>
        </w:tblCellMar>
        <w:tblLook w:val="04A0" w:firstRow="1" w:lastRow="0" w:firstColumn="1" w:lastColumn="0" w:noHBand="0" w:noVBand="1"/>
      </w:tblPr>
      <w:tblGrid>
        <w:gridCol w:w="841"/>
        <w:gridCol w:w="1261"/>
        <w:gridCol w:w="2802"/>
        <w:gridCol w:w="629"/>
        <w:gridCol w:w="3480"/>
      </w:tblGrid>
      <w:tr w:rsidR="007968EC" w:rsidRPr="002C0D19" w14:paraId="19DC75F8" w14:textId="77777777" w:rsidTr="007968EC">
        <w:trPr>
          <w:trHeight w:val="787"/>
        </w:trPr>
        <w:tc>
          <w:tcPr>
            <w:tcW w:w="841" w:type="dxa"/>
            <w:tcBorders>
              <w:top w:val="nil"/>
              <w:left w:val="nil"/>
              <w:bottom w:val="nil"/>
              <w:right w:val="nil"/>
            </w:tcBorders>
            <w:shd w:val="clear" w:color="FFFFFF" w:fill="auto"/>
            <w:noWrap/>
            <w:vAlign w:val="center"/>
            <w:hideMark/>
          </w:tcPr>
          <w:p w14:paraId="7A069D40" w14:textId="77777777" w:rsidR="007968EC" w:rsidRPr="002C0D19" w:rsidRDefault="007968EC" w:rsidP="007968EC">
            <w:pPr>
              <w:ind w:left="-496" w:firstLine="496"/>
              <w:jc w:val="center"/>
              <w:rPr>
                <w:rFonts w:ascii="Arial Narrow" w:eastAsia="Calibri" w:hAnsi="Arial Narrow"/>
                <w:bCs/>
                <w:i/>
                <w:iCs/>
                <w:color w:val="000000" w:themeColor="text1"/>
              </w:rPr>
            </w:pPr>
            <w:r w:rsidRPr="002C0D19">
              <w:rPr>
                <w:rFonts w:ascii="Arial Narrow" w:eastAsia="Calibri" w:hAnsi="Arial Narrow"/>
                <w:bCs/>
                <w:i/>
                <w:iCs/>
                <w:color w:val="000000" w:themeColor="text1"/>
              </w:rPr>
              <w:t>LDIE</w:t>
            </w:r>
          </w:p>
        </w:tc>
        <w:tc>
          <w:tcPr>
            <w:tcW w:w="1261" w:type="dxa"/>
            <w:tcBorders>
              <w:top w:val="nil"/>
              <w:left w:val="nil"/>
              <w:bottom w:val="nil"/>
              <w:right w:val="nil"/>
            </w:tcBorders>
            <w:shd w:val="clear" w:color="FFFFFF" w:fill="auto"/>
            <w:noWrap/>
            <w:vAlign w:val="center"/>
            <w:hideMark/>
          </w:tcPr>
          <w:p w14:paraId="6ACB86D3" w14:textId="77777777" w:rsidR="007968EC" w:rsidRPr="002C0D19" w:rsidRDefault="007968EC" w:rsidP="007968EC">
            <w:pPr>
              <w:ind w:left="-496" w:firstLine="496"/>
              <w:jc w:val="center"/>
              <w:rPr>
                <w:rFonts w:ascii="Arial Narrow" w:eastAsia="Calibri" w:hAnsi="Arial Narrow"/>
                <w:b/>
                <w:i/>
                <w:iCs/>
                <w:color w:val="000000" w:themeColor="text1"/>
              </w:rPr>
            </w:pPr>
            <w:r w:rsidRPr="002C0D19">
              <w:rPr>
                <w:rFonts w:ascii="Arial Narrow" w:eastAsia="Calibri" w:hAnsi="Arial Narrow"/>
                <w:i/>
                <w:iCs/>
                <w:color w:val="000000" w:themeColor="text1"/>
              </w:rPr>
              <w:t>=</w:t>
            </w:r>
          </w:p>
        </w:tc>
        <w:tc>
          <w:tcPr>
            <w:tcW w:w="2802" w:type="dxa"/>
            <w:tcBorders>
              <w:top w:val="nil"/>
              <w:left w:val="nil"/>
              <w:bottom w:val="nil"/>
              <w:right w:val="nil"/>
            </w:tcBorders>
            <w:shd w:val="clear" w:color="FFFFFF" w:fill="auto"/>
            <w:vAlign w:val="center"/>
            <w:hideMark/>
          </w:tcPr>
          <w:p w14:paraId="1D00401F" w14:textId="77777777" w:rsidR="007968EC" w:rsidRPr="002C0D19" w:rsidRDefault="007968EC" w:rsidP="007968EC">
            <w:pPr>
              <w:ind w:left="-212" w:firstLine="496"/>
              <w:jc w:val="center"/>
              <w:rPr>
                <w:rFonts w:ascii="Arial Narrow" w:eastAsia="Calibri" w:hAnsi="Arial Narrow"/>
                <w:b/>
                <w:color w:val="000000" w:themeColor="text1"/>
              </w:rPr>
            </w:pPr>
            <w:r w:rsidRPr="002C0D19">
              <w:rPr>
                <w:rFonts w:ascii="Arial Narrow" w:eastAsia="Calibri" w:hAnsi="Arial Narrow"/>
                <w:color w:val="000000" w:themeColor="text1"/>
              </w:rPr>
              <w:t>Ajuste a Precios de Referencia del Activo Subyacente no recibido por el titular de Cuenta</w:t>
            </w:r>
          </w:p>
          <w:p w14:paraId="2DA8954B" w14:textId="77777777" w:rsidR="007968EC" w:rsidRPr="002C0D19" w:rsidRDefault="007968EC" w:rsidP="007968EC">
            <w:pPr>
              <w:ind w:left="-212" w:firstLine="496"/>
              <w:jc w:val="center"/>
              <w:rPr>
                <w:rFonts w:ascii="Arial Narrow" w:eastAsia="Calibri" w:hAnsi="Arial Narrow"/>
                <w:b/>
                <w:i/>
                <w:iCs/>
                <w:color w:val="000000" w:themeColor="text1"/>
              </w:rPr>
            </w:pPr>
          </w:p>
        </w:tc>
        <w:tc>
          <w:tcPr>
            <w:tcW w:w="629" w:type="dxa"/>
            <w:tcBorders>
              <w:top w:val="nil"/>
              <w:left w:val="nil"/>
              <w:bottom w:val="nil"/>
              <w:right w:val="nil"/>
            </w:tcBorders>
            <w:shd w:val="clear" w:color="FFFFFF" w:fill="auto"/>
            <w:noWrap/>
            <w:vAlign w:val="center"/>
            <w:hideMark/>
          </w:tcPr>
          <w:p w14:paraId="37742248" w14:textId="77777777" w:rsidR="007968EC" w:rsidRPr="002C0D19" w:rsidRDefault="007968EC" w:rsidP="007968EC">
            <w:pPr>
              <w:ind w:left="-496" w:firstLine="496"/>
              <w:jc w:val="center"/>
              <w:rPr>
                <w:rFonts w:ascii="Arial Narrow" w:eastAsia="Calibri" w:hAnsi="Arial Narrow"/>
                <w:b/>
                <w:i/>
                <w:iCs/>
                <w:color w:val="000000" w:themeColor="text1"/>
              </w:rPr>
            </w:pPr>
            <w:r w:rsidRPr="002C0D19">
              <w:rPr>
                <w:rFonts w:ascii="Arial Narrow" w:eastAsia="Calibri" w:hAnsi="Arial Narrow"/>
                <w:i/>
                <w:iCs/>
                <w:color w:val="000000" w:themeColor="text1"/>
              </w:rPr>
              <w:t>+</w:t>
            </w:r>
          </w:p>
        </w:tc>
        <w:tc>
          <w:tcPr>
            <w:tcW w:w="3480" w:type="dxa"/>
            <w:tcBorders>
              <w:top w:val="nil"/>
              <w:left w:val="nil"/>
              <w:bottom w:val="nil"/>
              <w:right w:val="nil"/>
            </w:tcBorders>
            <w:shd w:val="clear" w:color="FFFFFF" w:fill="auto"/>
            <w:noWrap/>
            <w:vAlign w:val="center"/>
            <w:hideMark/>
          </w:tcPr>
          <w:p w14:paraId="7D53FB4B" w14:textId="77777777" w:rsidR="007968EC" w:rsidRPr="002C0D19" w:rsidRDefault="007968EC" w:rsidP="007968EC">
            <w:pPr>
              <w:ind w:firstLine="214"/>
              <w:jc w:val="center"/>
              <w:rPr>
                <w:rFonts w:ascii="Arial Narrow" w:eastAsia="Calibri" w:hAnsi="Arial Narrow"/>
                <w:b/>
                <w:i/>
                <w:iCs/>
                <w:color w:val="000000" w:themeColor="text1"/>
              </w:rPr>
            </w:pPr>
            <w:r w:rsidRPr="002C0D19">
              <w:rPr>
                <w:rFonts w:ascii="Arial Narrow" w:eastAsia="Calibri" w:hAnsi="Arial Narrow"/>
                <w:color w:val="000000" w:themeColor="text1"/>
              </w:rPr>
              <w:t>Devolución de sumas de efectivo recibidas por la Cámara por concepto del valor de giro</w:t>
            </w:r>
          </w:p>
        </w:tc>
      </w:tr>
    </w:tbl>
    <w:p w14:paraId="39A6592D" w14:textId="77777777" w:rsidR="007968EC" w:rsidRPr="002C0D19" w:rsidRDefault="007968EC" w:rsidP="007968EC">
      <w:pPr>
        <w:jc w:val="both"/>
        <w:rPr>
          <w:rFonts w:ascii="Arial Narrow" w:eastAsia="Calibri" w:hAnsi="Arial Narrow"/>
          <w:color w:val="000000" w:themeColor="text1"/>
        </w:rPr>
      </w:pPr>
    </w:p>
    <w:p w14:paraId="3DB7E206" w14:textId="77777777" w:rsidR="007968EC" w:rsidRPr="002C0D19" w:rsidRDefault="007968EC" w:rsidP="00DA7472">
      <w:pPr>
        <w:numPr>
          <w:ilvl w:val="0"/>
          <w:numId w:val="202"/>
        </w:numPr>
        <w:tabs>
          <w:tab w:val="left" w:pos="284"/>
        </w:tabs>
        <w:contextualSpacing/>
        <w:jc w:val="both"/>
        <w:rPr>
          <w:rFonts w:ascii="Arial Narrow" w:eastAsia="Calibri" w:hAnsi="Arial Narrow"/>
          <w:b/>
          <w:color w:val="000000" w:themeColor="text1"/>
        </w:rPr>
      </w:pPr>
      <w:r w:rsidRPr="002C0D19">
        <w:rPr>
          <w:rFonts w:ascii="Arial Narrow" w:eastAsia="Calibri" w:hAnsi="Arial Narrow"/>
          <w:b/>
          <w:color w:val="000000" w:themeColor="text1"/>
        </w:rPr>
        <w:t>Ajuste a Precios de Referencia del Activo Subyacente no recibido por el titular de Cuenta:</w:t>
      </w:r>
    </w:p>
    <w:p w14:paraId="5266CF61" w14:textId="77777777" w:rsidR="007968EC" w:rsidRPr="002C0D19" w:rsidRDefault="007968EC" w:rsidP="007968EC">
      <w:pPr>
        <w:jc w:val="both"/>
        <w:rPr>
          <w:rFonts w:ascii="Arial Narrow" w:eastAsia="Calibri" w:hAnsi="Arial Narrow"/>
          <w:color w:val="000000" w:themeColor="text1"/>
        </w:rPr>
      </w:pPr>
    </w:p>
    <w:tbl>
      <w:tblPr>
        <w:tblW w:w="9214" w:type="dxa"/>
        <w:tblCellMar>
          <w:left w:w="70" w:type="dxa"/>
          <w:right w:w="70" w:type="dxa"/>
        </w:tblCellMar>
        <w:tblLook w:val="04A0" w:firstRow="1" w:lastRow="0" w:firstColumn="1" w:lastColumn="0" w:noHBand="0" w:noVBand="1"/>
      </w:tblPr>
      <w:tblGrid>
        <w:gridCol w:w="284"/>
        <w:gridCol w:w="2818"/>
        <w:gridCol w:w="283"/>
        <w:gridCol w:w="741"/>
        <w:gridCol w:w="311"/>
        <w:gridCol w:w="1658"/>
        <w:gridCol w:w="283"/>
        <w:gridCol w:w="510"/>
        <w:gridCol w:w="273"/>
        <w:gridCol w:w="741"/>
        <w:gridCol w:w="1312"/>
      </w:tblGrid>
      <w:tr w:rsidR="007968EC" w:rsidRPr="002C0D19" w14:paraId="0675AFD0" w14:textId="77777777" w:rsidTr="007968EC">
        <w:trPr>
          <w:gridBefore w:val="1"/>
          <w:wBefore w:w="284" w:type="dxa"/>
          <w:trHeight w:val="1290"/>
        </w:trPr>
        <w:tc>
          <w:tcPr>
            <w:tcW w:w="2818" w:type="dxa"/>
            <w:tcBorders>
              <w:top w:val="nil"/>
              <w:left w:val="nil"/>
              <w:bottom w:val="nil"/>
              <w:right w:val="nil"/>
            </w:tcBorders>
            <w:shd w:val="clear" w:color="auto" w:fill="auto"/>
            <w:vAlign w:val="center"/>
            <w:hideMark/>
          </w:tcPr>
          <w:p w14:paraId="4D2E95DA" w14:textId="77777777" w:rsidR="007968EC" w:rsidRPr="002C0D19" w:rsidRDefault="007968EC" w:rsidP="007968EC">
            <w:pPr>
              <w:jc w:val="center"/>
              <w:rPr>
                <w:rFonts w:ascii="Arial Narrow" w:eastAsia="Calibri" w:hAnsi="Arial Narrow"/>
                <w:b/>
                <w:i/>
                <w:color w:val="000000" w:themeColor="text1"/>
                <w:lang w:eastAsia="es-CO"/>
              </w:rPr>
            </w:pPr>
            <w:r w:rsidRPr="002C0D19">
              <w:rPr>
                <w:rFonts w:ascii="Arial Narrow" w:eastAsia="Calibri" w:hAnsi="Arial Narrow"/>
                <w:color w:val="000000" w:themeColor="text1"/>
              </w:rPr>
              <w:t xml:space="preserve">Ajuste a Precios de Referencia </w:t>
            </w:r>
            <w:proofErr w:type="gramStart"/>
            <w:r w:rsidRPr="002C0D19">
              <w:rPr>
                <w:rFonts w:ascii="Arial Narrow" w:eastAsia="Calibri" w:hAnsi="Arial Narrow"/>
                <w:color w:val="000000" w:themeColor="text1"/>
              </w:rPr>
              <w:t>del  Activo</w:t>
            </w:r>
            <w:proofErr w:type="gramEnd"/>
            <w:r w:rsidRPr="002C0D19">
              <w:rPr>
                <w:rFonts w:ascii="Arial Narrow" w:eastAsia="Calibri" w:hAnsi="Arial Narrow"/>
                <w:color w:val="000000" w:themeColor="text1"/>
              </w:rPr>
              <w:t xml:space="preserve"> Subyacente no recibido por el titular de Cuenta</w:t>
            </w:r>
          </w:p>
        </w:tc>
        <w:tc>
          <w:tcPr>
            <w:tcW w:w="283" w:type="dxa"/>
            <w:tcBorders>
              <w:top w:val="nil"/>
              <w:left w:val="nil"/>
              <w:bottom w:val="nil"/>
              <w:right w:val="nil"/>
            </w:tcBorders>
            <w:shd w:val="clear" w:color="auto" w:fill="auto"/>
            <w:noWrap/>
            <w:vAlign w:val="center"/>
            <w:hideMark/>
          </w:tcPr>
          <w:p w14:paraId="0F37AF54" w14:textId="77777777" w:rsidR="007968EC" w:rsidRPr="002C0D19" w:rsidRDefault="007968EC" w:rsidP="007968EC">
            <w:pPr>
              <w:jc w:val="both"/>
              <w:rPr>
                <w:rFonts w:ascii="Arial Narrow" w:eastAsia="Calibri" w:hAnsi="Arial Narrow"/>
                <w:b/>
                <w:i/>
                <w:color w:val="000000" w:themeColor="text1"/>
                <w:lang w:eastAsia="es-CO"/>
              </w:rPr>
            </w:pPr>
            <w:r w:rsidRPr="002C0D19">
              <w:rPr>
                <w:rFonts w:ascii="Arial Narrow" w:eastAsia="Calibri" w:hAnsi="Arial Narrow"/>
                <w:i/>
                <w:color w:val="000000" w:themeColor="text1"/>
                <w:lang w:eastAsia="es-CO"/>
              </w:rPr>
              <w:t>=</w:t>
            </w:r>
          </w:p>
        </w:tc>
        <w:tc>
          <w:tcPr>
            <w:tcW w:w="2710" w:type="dxa"/>
            <w:gridSpan w:val="3"/>
            <w:tcBorders>
              <w:top w:val="nil"/>
              <w:left w:val="nil"/>
              <w:bottom w:val="nil"/>
              <w:right w:val="nil"/>
            </w:tcBorders>
            <w:shd w:val="clear" w:color="auto" w:fill="auto"/>
            <w:vAlign w:val="center"/>
            <w:hideMark/>
          </w:tcPr>
          <w:p w14:paraId="664DE8E7" w14:textId="77777777" w:rsidR="007968EC" w:rsidRPr="002C0D19" w:rsidRDefault="007968EC" w:rsidP="007968EC">
            <w:pPr>
              <w:jc w:val="center"/>
              <w:rPr>
                <w:rFonts w:ascii="Arial Narrow" w:eastAsia="Calibri" w:hAnsi="Arial Narrow"/>
                <w:b/>
                <w:color w:val="000000" w:themeColor="text1"/>
              </w:rPr>
            </w:pPr>
            <w:r w:rsidRPr="002C0D19">
              <w:rPr>
                <w:rFonts w:ascii="Arial Narrow" w:eastAsia="Calibri" w:hAnsi="Arial Narrow"/>
                <w:color w:val="000000" w:themeColor="text1"/>
              </w:rPr>
              <w:t>Valoración a precios de Liquidación al Vencimiento de la cantidad del Activo Subyacente no recibido por el titular de Cuenta</w:t>
            </w:r>
          </w:p>
          <w:p w14:paraId="55ECD962" w14:textId="77777777" w:rsidR="007968EC" w:rsidRPr="002C0D19" w:rsidRDefault="007968EC" w:rsidP="007968EC">
            <w:pPr>
              <w:jc w:val="center"/>
              <w:rPr>
                <w:rFonts w:ascii="Arial Narrow" w:eastAsia="Calibri" w:hAnsi="Arial Narrow"/>
                <w:b/>
                <w:i/>
                <w:color w:val="000000" w:themeColor="text1"/>
                <w:lang w:eastAsia="es-CO"/>
              </w:rPr>
            </w:pPr>
          </w:p>
        </w:tc>
        <w:tc>
          <w:tcPr>
            <w:tcW w:w="283" w:type="dxa"/>
            <w:tcBorders>
              <w:top w:val="nil"/>
              <w:left w:val="nil"/>
              <w:bottom w:val="nil"/>
              <w:right w:val="nil"/>
            </w:tcBorders>
            <w:shd w:val="clear" w:color="auto" w:fill="auto"/>
            <w:noWrap/>
            <w:vAlign w:val="center"/>
            <w:hideMark/>
          </w:tcPr>
          <w:p w14:paraId="7A5C5AEA" w14:textId="77777777" w:rsidR="007968EC" w:rsidRPr="002C0D19" w:rsidRDefault="007968EC" w:rsidP="007968EC">
            <w:pPr>
              <w:jc w:val="both"/>
              <w:rPr>
                <w:rFonts w:ascii="Arial Narrow" w:eastAsia="Calibri" w:hAnsi="Arial Narrow"/>
                <w:b/>
                <w:i/>
                <w:color w:val="000000" w:themeColor="text1"/>
                <w:lang w:eastAsia="es-CO"/>
              </w:rPr>
            </w:pPr>
            <w:r w:rsidRPr="002C0D19">
              <w:rPr>
                <w:rFonts w:ascii="Arial Narrow" w:eastAsia="Calibri" w:hAnsi="Arial Narrow"/>
                <w:i/>
                <w:color w:val="000000" w:themeColor="text1"/>
                <w:lang w:eastAsia="es-CO"/>
              </w:rPr>
              <w:t>-</w:t>
            </w:r>
          </w:p>
        </w:tc>
        <w:tc>
          <w:tcPr>
            <w:tcW w:w="2836" w:type="dxa"/>
            <w:gridSpan w:val="4"/>
            <w:tcBorders>
              <w:top w:val="nil"/>
              <w:left w:val="nil"/>
              <w:bottom w:val="nil"/>
              <w:right w:val="nil"/>
            </w:tcBorders>
            <w:shd w:val="clear" w:color="auto" w:fill="auto"/>
            <w:noWrap/>
            <w:vAlign w:val="center"/>
            <w:hideMark/>
          </w:tcPr>
          <w:p w14:paraId="4418CCCD" w14:textId="77777777" w:rsidR="007968EC" w:rsidRPr="002C0D19" w:rsidRDefault="007968EC" w:rsidP="007968EC">
            <w:pPr>
              <w:jc w:val="center"/>
              <w:rPr>
                <w:rFonts w:ascii="Arial Narrow" w:eastAsia="Calibri" w:hAnsi="Arial Narrow"/>
                <w:b/>
                <w:i/>
                <w:color w:val="000000" w:themeColor="text1"/>
                <w:lang w:eastAsia="es-CO"/>
              </w:rPr>
            </w:pPr>
            <w:r w:rsidRPr="002C0D19">
              <w:rPr>
                <w:rFonts w:ascii="Arial Narrow" w:eastAsia="Calibri" w:hAnsi="Arial Narrow"/>
                <w:color w:val="000000" w:themeColor="text1"/>
              </w:rPr>
              <w:t>Valoración a Precios de Referencia de la cantidad del Activo Subyacente no recibido por parte del titular de Cuenta</w:t>
            </w:r>
          </w:p>
        </w:tc>
      </w:tr>
      <w:tr w:rsidR="007968EC" w:rsidRPr="002C0D19" w14:paraId="5B6D6159" w14:textId="77777777" w:rsidTr="007968EC">
        <w:tblPrEx>
          <w:jc w:val="center"/>
        </w:tblPrEx>
        <w:trPr>
          <w:gridAfter w:val="1"/>
          <w:wAfter w:w="1312" w:type="dxa"/>
          <w:trHeight w:val="1290"/>
          <w:jc w:val="center"/>
        </w:trPr>
        <w:tc>
          <w:tcPr>
            <w:tcW w:w="4126" w:type="dxa"/>
            <w:gridSpan w:val="4"/>
            <w:tcBorders>
              <w:top w:val="nil"/>
              <w:left w:val="nil"/>
              <w:bottom w:val="nil"/>
              <w:right w:val="nil"/>
            </w:tcBorders>
            <w:shd w:val="clear" w:color="auto" w:fill="auto"/>
            <w:vAlign w:val="center"/>
            <w:hideMark/>
          </w:tcPr>
          <w:p w14:paraId="6BE68225" w14:textId="77777777" w:rsidR="007968EC" w:rsidRPr="002C0D19" w:rsidRDefault="007968EC" w:rsidP="007968EC">
            <w:pPr>
              <w:ind w:left="67" w:hanging="11"/>
              <w:jc w:val="center"/>
              <w:rPr>
                <w:rFonts w:ascii="Arial Narrow" w:eastAsia="Calibri" w:hAnsi="Arial Narrow"/>
                <w:b/>
                <w:i/>
                <w:color w:val="000000" w:themeColor="text1"/>
                <w:lang w:eastAsia="es-CO"/>
              </w:rPr>
            </w:pPr>
            <w:r w:rsidRPr="002C0D19">
              <w:rPr>
                <w:rFonts w:ascii="Arial Narrow" w:eastAsia="Calibri" w:hAnsi="Arial Narrow"/>
                <w:color w:val="000000" w:themeColor="text1"/>
              </w:rPr>
              <w:t>Valoración a precios de Liquidación al Vencimiento de la cantidad del Activo Subyacente no recibido por el titular de Cuenta</w:t>
            </w:r>
          </w:p>
        </w:tc>
        <w:tc>
          <w:tcPr>
            <w:tcW w:w="311" w:type="dxa"/>
            <w:tcBorders>
              <w:top w:val="nil"/>
              <w:left w:val="nil"/>
              <w:bottom w:val="nil"/>
              <w:right w:val="nil"/>
            </w:tcBorders>
            <w:shd w:val="clear" w:color="auto" w:fill="auto"/>
            <w:noWrap/>
            <w:vAlign w:val="center"/>
            <w:hideMark/>
          </w:tcPr>
          <w:p w14:paraId="051BBF81" w14:textId="77777777" w:rsidR="007968EC" w:rsidRPr="002C0D19" w:rsidRDefault="007968EC" w:rsidP="007968EC">
            <w:pPr>
              <w:ind w:left="67" w:hanging="11"/>
              <w:jc w:val="center"/>
              <w:rPr>
                <w:rFonts w:ascii="Arial Narrow" w:eastAsia="Calibri" w:hAnsi="Arial Narrow"/>
                <w:b/>
                <w:i/>
                <w:color w:val="000000" w:themeColor="text1"/>
                <w:lang w:eastAsia="es-CO"/>
              </w:rPr>
            </w:pPr>
            <w:r w:rsidRPr="002C0D19">
              <w:rPr>
                <w:rFonts w:ascii="Arial Narrow" w:eastAsia="Calibri" w:hAnsi="Arial Narrow"/>
                <w:i/>
                <w:color w:val="000000" w:themeColor="text1"/>
                <w:lang w:eastAsia="es-CO"/>
              </w:rPr>
              <w:t>=</w:t>
            </w:r>
          </w:p>
        </w:tc>
        <w:tc>
          <w:tcPr>
            <w:tcW w:w="2451" w:type="dxa"/>
            <w:gridSpan w:val="3"/>
            <w:tcBorders>
              <w:top w:val="nil"/>
              <w:left w:val="nil"/>
              <w:bottom w:val="nil"/>
              <w:right w:val="nil"/>
            </w:tcBorders>
            <w:shd w:val="clear" w:color="auto" w:fill="auto"/>
            <w:vAlign w:val="center"/>
            <w:hideMark/>
          </w:tcPr>
          <w:p w14:paraId="148E674C" w14:textId="77777777" w:rsidR="007968EC" w:rsidRPr="002C0D19" w:rsidRDefault="007968EC" w:rsidP="007968EC">
            <w:pPr>
              <w:ind w:left="67" w:hanging="11"/>
              <w:jc w:val="center"/>
              <w:rPr>
                <w:rFonts w:ascii="Arial Narrow" w:eastAsia="Calibri" w:hAnsi="Arial Narrow"/>
                <w:b/>
                <w:i/>
                <w:color w:val="000000" w:themeColor="text1"/>
                <w:lang w:eastAsia="es-CO"/>
              </w:rPr>
            </w:pPr>
            <w:r w:rsidRPr="002C0D19">
              <w:rPr>
                <w:rFonts w:ascii="Arial Narrow" w:eastAsia="Calibri" w:hAnsi="Arial Narrow"/>
                <w:color w:val="000000" w:themeColor="text1"/>
              </w:rPr>
              <w:t>Activo Subyacente no recibido por el titular de Cuenta</w:t>
            </w:r>
          </w:p>
        </w:tc>
        <w:tc>
          <w:tcPr>
            <w:tcW w:w="273" w:type="dxa"/>
            <w:tcBorders>
              <w:top w:val="nil"/>
              <w:left w:val="nil"/>
              <w:bottom w:val="nil"/>
              <w:right w:val="nil"/>
            </w:tcBorders>
            <w:shd w:val="clear" w:color="auto" w:fill="auto"/>
            <w:noWrap/>
            <w:vAlign w:val="center"/>
            <w:hideMark/>
          </w:tcPr>
          <w:p w14:paraId="361D8143" w14:textId="77777777" w:rsidR="007968EC" w:rsidRPr="002C0D19" w:rsidRDefault="007968EC" w:rsidP="007968EC">
            <w:pPr>
              <w:ind w:left="67" w:hanging="11"/>
              <w:jc w:val="center"/>
              <w:rPr>
                <w:rFonts w:ascii="Arial Narrow" w:eastAsia="Calibri" w:hAnsi="Arial Narrow"/>
                <w:b/>
                <w:i/>
                <w:color w:val="000000" w:themeColor="text1"/>
                <w:lang w:eastAsia="es-CO"/>
              </w:rPr>
            </w:pPr>
            <w:r w:rsidRPr="002C0D19">
              <w:rPr>
                <w:rFonts w:ascii="Arial Narrow" w:eastAsia="Calibri" w:hAnsi="Arial Narrow"/>
                <w:i/>
                <w:color w:val="000000" w:themeColor="text1"/>
                <w:lang w:eastAsia="es-CO"/>
              </w:rPr>
              <w:t>*</w:t>
            </w:r>
          </w:p>
        </w:tc>
        <w:tc>
          <w:tcPr>
            <w:tcW w:w="741" w:type="dxa"/>
            <w:tcBorders>
              <w:top w:val="nil"/>
              <w:left w:val="nil"/>
              <w:bottom w:val="nil"/>
              <w:right w:val="nil"/>
            </w:tcBorders>
            <w:shd w:val="clear" w:color="auto" w:fill="auto"/>
            <w:noWrap/>
            <w:vAlign w:val="center"/>
            <w:hideMark/>
          </w:tcPr>
          <w:p w14:paraId="24F4B917" w14:textId="77777777" w:rsidR="007968EC" w:rsidRPr="002C0D19" w:rsidRDefault="007968EC" w:rsidP="007968EC">
            <w:pPr>
              <w:ind w:left="67" w:hanging="11"/>
              <w:jc w:val="center"/>
              <w:rPr>
                <w:rFonts w:ascii="Arial Narrow" w:eastAsia="Calibri" w:hAnsi="Arial Narrow"/>
                <w:b/>
                <w:i/>
                <w:color w:val="000000" w:themeColor="text1"/>
                <w:lang w:eastAsia="es-CO"/>
              </w:rPr>
            </w:pPr>
            <w:proofErr w:type="spellStart"/>
            <w:r w:rsidRPr="002C0D19">
              <w:rPr>
                <w:rFonts w:ascii="Arial Narrow" w:eastAsia="Calibri" w:hAnsi="Arial Narrow"/>
                <w:i/>
                <w:color w:val="000000" w:themeColor="text1"/>
                <w:lang w:eastAsia="es-CO"/>
              </w:rPr>
              <w:t>PLv</w:t>
            </w:r>
            <w:proofErr w:type="spellEnd"/>
          </w:p>
        </w:tc>
      </w:tr>
    </w:tbl>
    <w:p w14:paraId="0E3C83CE" w14:textId="77777777" w:rsidR="007968EC" w:rsidRPr="002C0D19" w:rsidRDefault="007968EC" w:rsidP="007968EC">
      <w:pPr>
        <w:contextualSpacing/>
        <w:jc w:val="both"/>
        <w:rPr>
          <w:rFonts w:ascii="Arial Narrow" w:eastAsia="Calibri" w:hAnsi="Arial Narrow"/>
          <w:b/>
          <w:color w:val="000000" w:themeColor="text1"/>
        </w:rPr>
      </w:pPr>
      <w:r w:rsidRPr="002C0D19">
        <w:rPr>
          <w:rFonts w:ascii="Arial Narrow" w:eastAsia="Calibri" w:hAnsi="Arial Narrow"/>
          <w:i/>
          <w:color w:val="000000" w:themeColor="text1"/>
        </w:rPr>
        <w:t xml:space="preserve">          </w:t>
      </w:r>
      <w:proofErr w:type="spellStart"/>
      <w:r w:rsidRPr="002C0D19">
        <w:rPr>
          <w:rFonts w:ascii="Arial Narrow" w:eastAsia="Calibri" w:hAnsi="Arial Narrow"/>
          <w:i/>
          <w:color w:val="000000" w:themeColor="text1"/>
        </w:rPr>
        <w:t>PLv</w:t>
      </w:r>
      <w:proofErr w:type="spellEnd"/>
      <w:r w:rsidRPr="002C0D19">
        <w:rPr>
          <w:rFonts w:ascii="Arial Narrow" w:eastAsia="Calibri" w:hAnsi="Arial Narrow"/>
          <w:color w:val="000000" w:themeColor="text1"/>
        </w:rPr>
        <w:t xml:space="preserve"> = Precio de Liquidación al Vencimiento del Activo Subyacente</w:t>
      </w:r>
    </w:p>
    <w:tbl>
      <w:tblPr>
        <w:tblW w:w="7816" w:type="dxa"/>
        <w:tblInd w:w="212" w:type="dxa"/>
        <w:tblCellMar>
          <w:left w:w="70" w:type="dxa"/>
          <w:right w:w="70" w:type="dxa"/>
        </w:tblCellMar>
        <w:tblLook w:val="04A0" w:firstRow="1" w:lastRow="0" w:firstColumn="1" w:lastColumn="0" w:noHBand="0" w:noVBand="1"/>
      </w:tblPr>
      <w:tblGrid>
        <w:gridCol w:w="4115"/>
        <w:gridCol w:w="255"/>
        <w:gridCol w:w="2683"/>
        <w:gridCol w:w="426"/>
        <w:gridCol w:w="337"/>
      </w:tblGrid>
      <w:tr w:rsidR="007968EC" w:rsidRPr="002C0D19" w14:paraId="22C42031" w14:textId="77777777" w:rsidTr="007968EC">
        <w:trPr>
          <w:trHeight w:val="1290"/>
        </w:trPr>
        <w:tc>
          <w:tcPr>
            <w:tcW w:w="4182" w:type="dxa"/>
            <w:tcBorders>
              <w:top w:val="nil"/>
              <w:left w:val="nil"/>
              <w:bottom w:val="nil"/>
              <w:right w:val="nil"/>
            </w:tcBorders>
            <w:shd w:val="clear" w:color="auto" w:fill="auto"/>
            <w:vAlign w:val="center"/>
            <w:hideMark/>
          </w:tcPr>
          <w:p w14:paraId="42991B9A" w14:textId="77777777" w:rsidR="007968EC" w:rsidRPr="002C0D19" w:rsidRDefault="007968EC" w:rsidP="007968EC">
            <w:pPr>
              <w:ind w:left="142" w:hanging="142"/>
              <w:jc w:val="center"/>
              <w:rPr>
                <w:rFonts w:ascii="Arial Narrow" w:eastAsia="Calibri" w:hAnsi="Arial Narrow"/>
                <w:b/>
                <w:i/>
                <w:color w:val="000000" w:themeColor="text1"/>
                <w:lang w:eastAsia="es-CO"/>
              </w:rPr>
            </w:pPr>
            <w:r w:rsidRPr="002C0D19">
              <w:rPr>
                <w:rFonts w:ascii="Arial Narrow" w:eastAsia="Calibri" w:hAnsi="Arial Narrow"/>
                <w:color w:val="000000" w:themeColor="text1"/>
              </w:rPr>
              <w:t>Valoración a precios de Liquidación al Vencimiento de la cantidad del Activo Subyacente no recibido por el titular de Cuenta</w:t>
            </w:r>
          </w:p>
        </w:tc>
        <w:tc>
          <w:tcPr>
            <w:tcW w:w="217" w:type="dxa"/>
            <w:tcBorders>
              <w:top w:val="nil"/>
              <w:left w:val="nil"/>
              <w:bottom w:val="nil"/>
              <w:right w:val="nil"/>
            </w:tcBorders>
            <w:shd w:val="clear" w:color="auto" w:fill="auto"/>
            <w:noWrap/>
            <w:vAlign w:val="center"/>
            <w:hideMark/>
          </w:tcPr>
          <w:p w14:paraId="06C4AB68" w14:textId="77777777" w:rsidR="007968EC" w:rsidRPr="002C0D19" w:rsidRDefault="007968EC" w:rsidP="007968EC">
            <w:pPr>
              <w:jc w:val="center"/>
              <w:rPr>
                <w:rFonts w:ascii="Arial Narrow" w:eastAsia="Calibri" w:hAnsi="Arial Narrow"/>
                <w:b/>
                <w:i/>
                <w:color w:val="000000" w:themeColor="text1"/>
                <w:lang w:eastAsia="es-CO"/>
              </w:rPr>
            </w:pPr>
            <w:r w:rsidRPr="002C0D19">
              <w:rPr>
                <w:rFonts w:ascii="Arial Narrow" w:eastAsia="Calibri" w:hAnsi="Arial Narrow"/>
                <w:i/>
                <w:color w:val="000000" w:themeColor="text1"/>
                <w:lang w:eastAsia="es-CO"/>
              </w:rPr>
              <w:t>=</w:t>
            </w:r>
          </w:p>
        </w:tc>
        <w:tc>
          <w:tcPr>
            <w:tcW w:w="2719" w:type="dxa"/>
            <w:tcBorders>
              <w:top w:val="nil"/>
              <w:left w:val="nil"/>
              <w:bottom w:val="nil"/>
              <w:right w:val="nil"/>
            </w:tcBorders>
            <w:shd w:val="clear" w:color="auto" w:fill="auto"/>
            <w:vAlign w:val="center"/>
            <w:hideMark/>
          </w:tcPr>
          <w:p w14:paraId="41F05AB2" w14:textId="77777777" w:rsidR="007968EC" w:rsidRPr="002C0D19" w:rsidRDefault="007968EC" w:rsidP="007968EC">
            <w:pPr>
              <w:jc w:val="center"/>
              <w:rPr>
                <w:rFonts w:ascii="Arial Narrow" w:eastAsia="Calibri" w:hAnsi="Arial Narrow"/>
                <w:b/>
                <w:i/>
                <w:color w:val="000000" w:themeColor="text1"/>
                <w:lang w:eastAsia="es-CO"/>
              </w:rPr>
            </w:pPr>
            <w:r w:rsidRPr="002C0D19">
              <w:rPr>
                <w:rFonts w:ascii="Arial Narrow" w:eastAsia="Calibri" w:hAnsi="Arial Narrow"/>
                <w:color w:val="000000" w:themeColor="text1"/>
              </w:rPr>
              <w:t>Activo Subyacente no recibido por el titular de Cuenta</w:t>
            </w:r>
          </w:p>
        </w:tc>
        <w:tc>
          <w:tcPr>
            <w:tcW w:w="426" w:type="dxa"/>
            <w:tcBorders>
              <w:top w:val="nil"/>
              <w:left w:val="nil"/>
              <w:bottom w:val="nil"/>
              <w:right w:val="nil"/>
            </w:tcBorders>
            <w:shd w:val="clear" w:color="auto" w:fill="auto"/>
            <w:noWrap/>
            <w:vAlign w:val="center"/>
            <w:hideMark/>
          </w:tcPr>
          <w:p w14:paraId="3CD4350F" w14:textId="77777777" w:rsidR="007968EC" w:rsidRPr="002C0D19" w:rsidRDefault="007968EC" w:rsidP="007968EC">
            <w:pPr>
              <w:jc w:val="center"/>
              <w:rPr>
                <w:rFonts w:ascii="Arial Narrow" w:eastAsia="Calibri" w:hAnsi="Arial Narrow"/>
                <w:b/>
                <w:i/>
                <w:color w:val="000000" w:themeColor="text1"/>
                <w:lang w:eastAsia="es-CO"/>
              </w:rPr>
            </w:pPr>
            <w:r w:rsidRPr="002C0D19">
              <w:rPr>
                <w:rFonts w:ascii="Arial Narrow" w:eastAsia="Calibri" w:hAnsi="Arial Narrow"/>
                <w:i/>
                <w:color w:val="000000" w:themeColor="text1"/>
                <w:lang w:eastAsia="es-CO"/>
              </w:rPr>
              <w:t>*</w:t>
            </w:r>
          </w:p>
        </w:tc>
        <w:tc>
          <w:tcPr>
            <w:tcW w:w="272" w:type="dxa"/>
            <w:tcBorders>
              <w:top w:val="nil"/>
              <w:left w:val="nil"/>
              <w:bottom w:val="nil"/>
              <w:right w:val="nil"/>
            </w:tcBorders>
            <w:shd w:val="clear" w:color="auto" w:fill="auto"/>
            <w:noWrap/>
            <w:vAlign w:val="center"/>
            <w:hideMark/>
          </w:tcPr>
          <w:p w14:paraId="3404447C" w14:textId="77777777" w:rsidR="007968EC" w:rsidRPr="002C0D19" w:rsidRDefault="007968EC" w:rsidP="007968EC">
            <w:pPr>
              <w:jc w:val="center"/>
              <w:rPr>
                <w:rFonts w:ascii="Arial Narrow" w:eastAsia="Calibri" w:hAnsi="Arial Narrow"/>
                <w:b/>
                <w:i/>
                <w:color w:val="000000" w:themeColor="text1"/>
                <w:lang w:eastAsia="es-CO"/>
              </w:rPr>
            </w:pPr>
            <w:r w:rsidRPr="002C0D19">
              <w:rPr>
                <w:rFonts w:ascii="Arial Narrow" w:eastAsia="Calibri" w:hAnsi="Arial Narrow"/>
                <w:i/>
                <w:color w:val="000000" w:themeColor="text1"/>
                <w:lang w:eastAsia="es-CO"/>
              </w:rPr>
              <w:t>Pr</w:t>
            </w:r>
          </w:p>
        </w:tc>
      </w:tr>
    </w:tbl>
    <w:p w14:paraId="5913B4CB" w14:textId="77777777" w:rsidR="007968EC" w:rsidRPr="002C0D19" w:rsidRDefault="007968EC" w:rsidP="007968EC">
      <w:pPr>
        <w:tabs>
          <w:tab w:val="left" w:pos="284"/>
        </w:tabs>
        <w:ind w:left="599"/>
        <w:contextualSpacing/>
        <w:jc w:val="both"/>
        <w:rPr>
          <w:rFonts w:ascii="Arial Narrow" w:eastAsia="Calibri" w:hAnsi="Arial Narrow"/>
          <w:color w:val="000000" w:themeColor="text1"/>
        </w:rPr>
      </w:pPr>
    </w:p>
    <w:p w14:paraId="640BA40A" w14:textId="77777777" w:rsidR="007968EC" w:rsidRPr="002C0D19" w:rsidRDefault="007968EC" w:rsidP="00DA7472">
      <w:pPr>
        <w:numPr>
          <w:ilvl w:val="0"/>
          <w:numId w:val="202"/>
        </w:numPr>
        <w:tabs>
          <w:tab w:val="left" w:pos="284"/>
        </w:tabs>
        <w:ind w:left="709" w:hanging="349"/>
        <w:contextualSpacing/>
        <w:jc w:val="both"/>
        <w:rPr>
          <w:rFonts w:ascii="Arial Narrow" w:eastAsia="Calibri" w:hAnsi="Arial Narrow"/>
          <w:b/>
          <w:color w:val="000000" w:themeColor="text1"/>
        </w:rPr>
      </w:pPr>
      <w:r w:rsidRPr="002C0D19">
        <w:rPr>
          <w:rFonts w:ascii="Arial Narrow" w:eastAsia="Calibri" w:hAnsi="Arial Narrow"/>
          <w:b/>
          <w:color w:val="000000" w:themeColor="text1"/>
        </w:rPr>
        <w:t xml:space="preserve">Devolución de sumas de efectivo recibidas por la Cámara por concepto del valor de giro: </w:t>
      </w:r>
    </w:p>
    <w:p w14:paraId="2DA0FABC" w14:textId="77777777" w:rsidR="007968EC" w:rsidRPr="005703C9" w:rsidRDefault="007968EC" w:rsidP="007968EC">
      <w:pPr>
        <w:jc w:val="both"/>
        <w:rPr>
          <w:rFonts w:ascii="Arial Narrow" w:eastAsia="Calibri" w:hAnsi="Arial Narrow"/>
          <w:b/>
          <w:color w:val="000000" w:themeColor="text1"/>
        </w:rPr>
      </w:pPr>
    </w:p>
    <w:tbl>
      <w:tblPr>
        <w:tblW w:w="9214" w:type="dxa"/>
        <w:tblCellMar>
          <w:left w:w="70" w:type="dxa"/>
          <w:right w:w="70" w:type="dxa"/>
        </w:tblCellMar>
        <w:tblLook w:val="04A0" w:firstRow="1" w:lastRow="0" w:firstColumn="1" w:lastColumn="0" w:noHBand="0" w:noVBand="1"/>
      </w:tblPr>
      <w:tblGrid>
        <w:gridCol w:w="1274"/>
        <w:gridCol w:w="255"/>
        <w:gridCol w:w="1627"/>
        <w:gridCol w:w="426"/>
        <w:gridCol w:w="2673"/>
        <w:gridCol w:w="206"/>
        <w:gridCol w:w="2753"/>
      </w:tblGrid>
      <w:tr w:rsidR="007968EC" w:rsidRPr="002C0D19" w14:paraId="2F406380" w14:textId="77777777" w:rsidTr="007968EC">
        <w:trPr>
          <w:trHeight w:val="525"/>
        </w:trPr>
        <w:tc>
          <w:tcPr>
            <w:tcW w:w="1274" w:type="dxa"/>
            <w:tcBorders>
              <w:top w:val="nil"/>
              <w:left w:val="nil"/>
              <w:bottom w:val="nil"/>
              <w:right w:val="nil"/>
            </w:tcBorders>
            <w:shd w:val="clear" w:color="FFFFFF" w:fill="auto"/>
            <w:vAlign w:val="center"/>
            <w:hideMark/>
          </w:tcPr>
          <w:p w14:paraId="13BFD5BE" w14:textId="77777777" w:rsidR="007968EC" w:rsidRPr="002C0D19" w:rsidRDefault="007968EC" w:rsidP="007968EC">
            <w:pPr>
              <w:jc w:val="center"/>
              <w:rPr>
                <w:rFonts w:ascii="Arial Narrow" w:eastAsia="Calibri" w:hAnsi="Arial Narrow"/>
                <w:b/>
                <w:i/>
                <w:iCs/>
                <w:color w:val="000000" w:themeColor="text1"/>
              </w:rPr>
            </w:pPr>
            <w:r w:rsidRPr="002C0D19">
              <w:rPr>
                <w:rFonts w:ascii="Arial Narrow" w:eastAsia="Calibri" w:hAnsi="Arial Narrow"/>
                <w:i/>
                <w:iCs/>
                <w:color w:val="000000" w:themeColor="text1"/>
              </w:rPr>
              <w:t>Devolución de sumas de efectivo recibidas por la Cámara por concepto del valor de giro</w:t>
            </w:r>
          </w:p>
        </w:tc>
        <w:tc>
          <w:tcPr>
            <w:tcW w:w="255" w:type="dxa"/>
            <w:tcBorders>
              <w:top w:val="nil"/>
              <w:left w:val="nil"/>
              <w:bottom w:val="nil"/>
              <w:right w:val="nil"/>
            </w:tcBorders>
            <w:shd w:val="clear" w:color="FFFFFF" w:fill="auto"/>
            <w:noWrap/>
            <w:vAlign w:val="center"/>
            <w:hideMark/>
          </w:tcPr>
          <w:p w14:paraId="41778C86" w14:textId="77777777" w:rsidR="007968EC" w:rsidRPr="002C0D19" w:rsidRDefault="007968EC" w:rsidP="007968EC">
            <w:pPr>
              <w:jc w:val="center"/>
              <w:rPr>
                <w:rFonts w:ascii="Arial Narrow" w:eastAsia="Calibri" w:hAnsi="Arial Narrow"/>
                <w:b/>
                <w:i/>
                <w:iCs/>
                <w:color w:val="000000" w:themeColor="text1"/>
              </w:rPr>
            </w:pPr>
            <w:r w:rsidRPr="002C0D19">
              <w:rPr>
                <w:rFonts w:ascii="Arial Narrow" w:eastAsia="Calibri" w:hAnsi="Arial Narrow"/>
                <w:i/>
                <w:iCs/>
                <w:color w:val="000000" w:themeColor="text1"/>
              </w:rPr>
              <w:t>=</w:t>
            </w:r>
          </w:p>
        </w:tc>
        <w:tc>
          <w:tcPr>
            <w:tcW w:w="1627" w:type="dxa"/>
            <w:tcBorders>
              <w:top w:val="nil"/>
              <w:left w:val="nil"/>
              <w:bottom w:val="nil"/>
              <w:right w:val="nil"/>
            </w:tcBorders>
            <w:shd w:val="clear" w:color="FFFFFF" w:fill="auto"/>
            <w:vAlign w:val="center"/>
            <w:hideMark/>
          </w:tcPr>
          <w:p w14:paraId="2256DADB" w14:textId="77777777" w:rsidR="007968EC" w:rsidRPr="002C0D19" w:rsidRDefault="007968EC" w:rsidP="007968EC">
            <w:pPr>
              <w:ind w:left="-89" w:right="-70" w:firstLine="89"/>
              <w:jc w:val="center"/>
              <w:rPr>
                <w:rFonts w:ascii="Arial Narrow" w:eastAsia="Calibri" w:hAnsi="Arial Narrow"/>
                <w:b/>
                <w:i/>
                <w:iCs/>
                <w:color w:val="000000" w:themeColor="text1"/>
              </w:rPr>
            </w:pPr>
            <w:r w:rsidRPr="002C0D19">
              <w:rPr>
                <w:rFonts w:ascii="Arial Narrow" w:eastAsia="Calibri" w:hAnsi="Arial Narrow"/>
                <w:i/>
                <w:iCs/>
                <w:color w:val="000000" w:themeColor="text1"/>
              </w:rPr>
              <w:t>Cálculo del valor de giro del efectivo que debe realizar el titular de Cuenta con posición neta compradora</w:t>
            </w:r>
          </w:p>
        </w:tc>
        <w:tc>
          <w:tcPr>
            <w:tcW w:w="426" w:type="dxa"/>
            <w:tcBorders>
              <w:top w:val="nil"/>
              <w:left w:val="nil"/>
              <w:bottom w:val="nil"/>
              <w:right w:val="nil"/>
            </w:tcBorders>
            <w:shd w:val="clear" w:color="FFFFFF" w:fill="auto"/>
            <w:noWrap/>
            <w:vAlign w:val="center"/>
            <w:hideMark/>
          </w:tcPr>
          <w:p w14:paraId="7916C5CB" w14:textId="77777777" w:rsidR="007968EC" w:rsidRPr="002C0D19" w:rsidRDefault="007968EC" w:rsidP="007968EC">
            <w:pPr>
              <w:jc w:val="center"/>
              <w:rPr>
                <w:rFonts w:ascii="Arial Narrow" w:eastAsia="Calibri" w:hAnsi="Arial Narrow"/>
                <w:b/>
                <w:i/>
                <w:iCs/>
                <w:color w:val="000000" w:themeColor="text1"/>
              </w:rPr>
            </w:pPr>
            <w:r w:rsidRPr="002C0D19">
              <w:rPr>
                <w:rFonts w:ascii="Arial Narrow" w:eastAsia="Calibri" w:hAnsi="Arial Narrow"/>
                <w:i/>
                <w:iCs/>
                <w:color w:val="000000" w:themeColor="text1"/>
              </w:rPr>
              <w:t>-</w:t>
            </w:r>
          </w:p>
        </w:tc>
        <w:tc>
          <w:tcPr>
            <w:tcW w:w="2673" w:type="dxa"/>
            <w:tcBorders>
              <w:top w:val="nil"/>
              <w:left w:val="nil"/>
              <w:bottom w:val="nil"/>
              <w:right w:val="nil"/>
            </w:tcBorders>
            <w:shd w:val="clear" w:color="FFFFFF" w:fill="auto"/>
            <w:vAlign w:val="center"/>
            <w:hideMark/>
          </w:tcPr>
          <w:p w14:paraId="79AEEC76" w14:textId="77777777" w:rsidR="007968EC" w:rsidRPr="002C0D19" w:rsidRDefault="007968EC" w:rsidP="007968EC">
            <w:pPr>
              <w:jc w:val="center"/>
              <w:rPr>
                <w:rFonts w:ascii="Arial Narrow" w:eastAsia="Calibri" w:hAnsi="Arial Narrow"/>
                <w:b/>
                <w:i/>
                <w:iCs/>
                <w:color w:val="000000" w:themeColor="text1"/>
              </w:rPr>
            </w:pPr>
            <w:r w:rsidRPr="002C0D19">
              <w:rPr>
                <w:rFonts w:ascii="Arial Narrow" w:eastAsia="Calibri" w:hAnsi="Arial Narrow"/>
                <w:i/>
                <w:iCs/>
                <w:color w:val="000000" w:themeColor="text1"/>
              </w:rPr>
              <w:t xml:space="preserve">  (Cantidad del Activo Adjudicado al titular de Cuenta de los Activos entregados a la Cámara en Garantía y que la Cámara haya utilizado para dar cumplimiento a la entrega</w:t>
            </w:r>
          </w:p>
          <w:p w14:paraId="46B2647A" w14:textId="77777777" w:rsidR="007968EC" w:rsidRPr="002C0D19" w:rsidRDefault="007968EC" w:rsidP="007968EC">
            <w:pPr>
              <w:jc w:val="center"/>
              <w:rPr>
                <w:rFonts w:ascii="Arial Narrow" w:eastAsia="Calibri" w:hAnsi="Arial Narrow"/>
                <w:b/>
                <w:i/>
                <w:iCs/>
                <w:color w:val="000000" w:themeColor="text1"/>
              </w:rPr>
            </w:pPr>
            <w:r w:rsidRPr="002C0D19">
              <w:rPr>
                <w:rFonts w:ascii="Arial Narrow" w:eastAsia="Calibri" w:hAnsi="Arial Narrow"/>
                <w:i/>
                <w:iCs/>
                <w:color w:val="000000" w:themeColor="text1"/>
              </w:rPr>
              <w:t xml:space="preserve"> * </w:t>
            </w:r>
          </w:p>
          <w:p w14:paraId="44C56EAB" w14:textId="77777777" w:rsidR="007968EC" w:rsidRPr="002C0D19" w:rsidRDefault="007968EC" w:rsidP="007968EC">
            <w:pPr>
              <w:jc w:val="center"/>
              <w:rPr>
                <w:rFonts w:ascii="Arial Narrow" w:eastAsia="Calibri" w:hAnsi="Arial Narrow"/>
                <w:b/>
                <w:i/>
                <w:iCs/>
                <w:color w:val="000000" w:themeColor="text1"/>
              </w:rPr>
            </w:pPr>
            <w:r w:rsidRPr="002C0D19">
              <w:rPr>
                <w:rFonts w:ascii="Arial Narrow" w:eastAsia="Calibri" w:hAnsi="Arial Narrow"/>
                <w:i/>
                <w:iCs/>
                <w:color w:val="000000" w:themeColor="text1"/>
              </w:rPr>
              <w:t>Precio de Liquidación al Vencimiento del Activo))</w:t>
            </w:r>
          </w:p>
          <w:p w14:paraId="6533617F" w14:textId="77777777" w:rsidR="007968EC" w:rsidRPr="002C0D19" w:rsidRDefault="007968EC" w:rsidP="007968EC">
            <w:pPr>
              <w:jc w:val="center"/>
              <w:rPr>
                <w:rFonts w:ascii="Arial Narrow" w:eastAsia="Calibri" w:hAnsi="Arial Narrow"/>
                <w:b/>
                <w:i/>
                <w:iCs/>
                <w:color w:val="000000" w:themeColor="text1"/>
              </w:rPr>
            </w:pPr>
          </w:p>
        </w:tc>
        <w:tc>
          <w:tcPr>
            <w:tcW w:w="206" w:type="dxa"/>
            <w:tcBorders>
              <w:top w:val="nil"/>
              <w:left w:val="nil"/>
              <w:bottom w:val="nil"/>
              <w:right w:val="nil"/>
            </w:tcBorders>
            <w:shd w:val="clear" w:color="FFFFFF" w:fill="auto"/>
            <w:noWrap/>
            <w:vAlign w:val="center"/>
            <w:hideMark/>
          </w:tcPr>
          <w:p w14:paraId="7F303AFF" w14:textId="77777777" w:rsidR="007968EC" w:rsidRPr="002C0D19" w:rsidRDefault="007968EC" w:rsidP="007968EC">
            <w:pPr>
              <w:jc w:val="center"/>
              <w:rPr>
                <w:rFonts w:ascii="Arial Narrow" w:eastAsia="Calibri" w:hAnsi="Arial Narrow"/>
                <w:b/>
                <w:i/>
                <w:iCs/>
                <w:color w:val="000000" w:themeColor="text1"/>
              </w:rPr>
            </w:pPr>
            <w:r w:rsidRPr="002C0D19">
              <w:rPr>
                <w:rFonts w:ascii="Arial Narrow" w:eastAsia="Calibri" w:hAnsi="Arial Narrow"/>
                <w:i/>
                <w:iCs/>
                <w:color w:val="000000" w:themeColor="text1"/>
              </w:rPr>
              <w:t>-</w:t>
            </w:r>
          </w:p>
        </w:tc>
        <w:tc>
          <w:tcPr>
            <w:tcW w:w="2753" w:type="dxa"/>
            <w:tcBorders>
              <w:top w:val="nil"/>
              <w:left w:val="nil"/>
              <w:bottom w:val="nil"/>
              <w:right w:val="nil"/>
            </w:tcBorders>
            <w:shd w:val="clear" w:color="FFFFFF" w:fill="auto"/>
            <w:vAlign w:val="center"/>
            <w:hideMark/>
          </w:tcPr>
          <w:p w14:paraId="78543E1F" w14:textId="77777777" w:rsidR="007968EC" w:rsidRPr="002C0D19" w:rsidRDefault="007968EC" w:rsidP="007968EC">
            <w:pPr>
              <w:jc w:val="center"/>
              <w:rPr>
                <w:rFonts w:ascii="Arial Narrow" w:eastAsia="Calibri" w:hAnsi="Arial Narrow"/>
                <w:b/>
                <w:i/>
                <w:iCs/>
                <w:color w:val="000000" w:themeColor="text1"/>
              </w:rPr>
            </w:pPr>
            <w:r w:rsidRPr="002C0D19">
              <w:rPr>
                <w:rFonts w:ascii="Arial Narrow" w:eastAsia="Calibri" w:hAnsi="Arial Narrow"/>
                <w:i/>
                <w:iCs/>
                <w:color w:val="000000" w:themeColor="text1"/>
              </w:rPr>
              <w:t xml:space="preserve">  Activo adjudicado al titular de Cuenta del total de los Activos adquiridos por la Cámara para dar cumplimiento a la entrega y entregado por la Cámara</w:t>
            </w:r>
          </w:p>
          <w:p w14:paraId="52E02445" w14:textId="77777777" w:rsidR="007968EC" w:rsidRPr="002C0D19" w:rsidRDefault="007968EC" w:rsidP="007968EC">
            <w:pPr>
              <w:jc w:val="center"/>
              <w:rPr>
                <w:rFonts w:ascii="Arial Narrow" w:eastAsia="Calibri" w:hAnsi="Arial Narrow"/>
                <w:b/>
                <w:i/>
                <w:iCs/>
                <w:color w:val="000000" w:themeColor="text1"/>
              </w:rPr>
            </w:pPr>
            <w:r w:rsidRPr="002C0D19">
              <w:rPr>
                <w:rFonts w:ascii="Arial Narrow" w:eastAsia="Calibri" w:hAnsi="Arial Narrow"/>
                <w:i/>
                <w:iCs/>
                <w:color w:val="000000" w:themeColor="text1"/>
              </w:rPr>
              <w:t>*</w:t>
            </w:r>
          </w:p>
          <w:p w14:paraId="7BDC5264" w14:textId="77777777" w:rsidR="007968EC" w:rsidRPr="002C0D19" w:rsidRDefault="007968EC" w:rsidP="007968EC">
            <w:pPr>
              <w:jc w:val="center"/>
              <w:rPr>
                <w:rFonts w:ascii="Arial Narrow" w:eastAsia="Calibri" w:hAnsi="Arial Narrow"/>
                <w:b/>
                <w:i/>
                <w:iCs/>
                <w:color w:val="000000" w:themeColor="text1"/>
              </w:rPr>
            </w:pPr>
            <w:r w:rsidRPr="002C0D19">
              <w:rPr>
                <w:rFonts w:ascii="Arial Narrow" w:eastAsia="Calibri" w:hAnsi="Arial Narrow"/>
                <w:i/>
                <w:iCs/>
                <w:color w:val="000000" w:themeColor="text1"/>
              </w:rPr>
              <w:t xml:space="preserve"> (Mínimo(Precio de Adquisición del Activo Subyacente pagado por la Cámara y el Precio de Liquidación al Vencimiento del Activo))”</w:t>
            </w:r>
          </w:p>
          <w:p w14:paraId="4E51B2AD" w14:textId="77777777" w:rsidR="007968EC" w:rsidRPr="002C0D19" w:rsidRDefault="007968EC" w:rsidP="007968EC">
            <w:pPr>
              <w:jc w:val="center"/>
              <w:rPr>
                <w:rFonts w:ascii="Arial Narrow" w:eastAsia="Calibri" w:hAnsi="Arial Narrow"/>
                <w:b/>
                <w:i/>
                <w:iCs/>
                <w:color w:val="000000" w:themeColor="text1"/>
              </w:rPr>
            </w:pPr>
          </w:p>
        </w:tc>
      </w:tr>
    </w:tbl>
    <w:p w14:paraId="5435F85F" w14:textId="77777777" w:rsidR="007968EC" w:rsidRPr="002C0D19" w:rsidRDefault="007968EC" w:rsidP="007968EC">
      <w:pPr>
        <w:pStyle w:val="ARTICULO0"/>
        <w:rPr>
          <w:rFonts w:eastAsia="Calibri"/>
        </w:rPr>
      </w:pPr>
      <w:bookmarkStart w:id="4706" w:name="_Toc470791605"/>
      <w:bookmarkStart w:id="4707" w:name="_Toc472592350"/>
      <w:bookmarkStart w:id="4708" w:name="_Toc472593369"/>
      <w:bookmarkStart w:id="4709" w:name="_Toc479057155"/>
      <w:bookmarkStart w:id="4710" w:name="_Toc490066509"/>
      <w:bookmarkStart w:id="4711" w:name="_Toc31716170"/>
      <w:r>
        <w:rPr>
          <w:rFonts w:eastAsia="Calibri"/>
        </w:rPr>
        <w:t xml:space="preserve">Artículo 2.4.4.33. </w:t>
      </w:r>
      <w:r w:rsidRPr="002C0D19">
        <w:rPr>
          <w:rFonts w:eastAsia="Calibri"/>
        </w:rPr>
        <w:t>Etapas y pagos de la Liquidación por Diferencias por Incumplimiento en la Entrega LDIE.</w:t>
      </w:r>
      <w:bookmarkEnd w:id="4706"/>
      <w:bookmarkEnd w:id="4707"/>
      <w:bookmarkEnd w:id="4708"/>
      <w:bookmarkEnd w:id="4709"/>
      <w:bookmarkEnd w:id="4710"/>
      <w:bookmarkEnd w:id="4711"/>
    </w:p>
    <w:p w14:paraId="35862A4E" w14:textId="77777777" w:rsidR="007968EC" w:rsidRPr="002C0D19" w:rsidRDefault="007968EC" w:rsidP="007968EC">
      <w:pPr>
        <w:contextualSpacing/>
        <w:jc w:val="both"/>
        <w:rPr>
          <w:rFonts w:ascii="Arial Narrow" w:eastAsia="Calibri" w:hAnsi="Arial Narrow"/>
          <w:color w:val="000000" w:themeColor="text1"/>
          <w:u w:val="single"/>
          <w:lang w:val="es-MX" w:eastAsia="es-ES"/>
        </w:rPr>
      </w:pPr>
    </w:p>
    <w:p w14:paraId="7711CB59" w14:textId="77777777" w:rsidR="007968EC" w:rsidRPr="002C0D19" w:rsidRDefault="007968EC" w:rsidP="007968EC">
      <w:pPr>
        <w:contextualSpacing/>
        <w:jc w:val="both"/>
        <w:rPr>
          <w:rFonts w:ascii="Arial Narrow" w:eastAsia="Calibri" w:hAnsi="Arial Narrow"/>
          <w:color w:val="000000" w:themeColor="text1"/>
          <w:lang w:val="es-MX"/>
        </w:rPr>
      </w:pPr>
      <w:r w:rsidRPr="002C0D19">
        <w:rPr>
          <w:rFonts w:ascii="Arial Narrow" w:eastAsia="Calibri" w:hAnsi="Arial Narrow"/>
          <w:color w:val="000000" w:themeColor="text1"/>
          <w:u w:val="single"/>
          <w:lang w:val="es-MX" w:eastAsia="es-ES"/>
        </w:rPr>
        <w:t>Etapa 1</w:t>
      </w:r>
      <w:r w:rsidRPr="002C0D19">
        <w:rPr>
          <w:rFonts w:ascii="Arial Narrow" w:eastAsia="Calibri" w:hAnsi="Arial Narrow"/>
          <w:color w:val="000000" w:themeColor="text1"/>
          <w:lang w:val="es-MX" w:eastAsia="es-ES"/>
        </w:rPr>
        <w:t xml:space="preserve">: Entrega de Información acerca de la Liquidación por Diferencias por Incumplimiento en la Entrega. </w:t>
      </w:r>
    </w:p>
    <w:p w14:paraId="00B30D72" w14:textId="77777777" w:rsidR="007968EC" w:rsidRPr="005703C9" w:rsidRDefault="007968EC" w:rsidP="007968EC">
      <w:pPr>
        <w:jc w:val="both"/>
        <w:rPr>
          <w:rFonts w:ascii="Arial Narrow" w:eastAsia="Calibri" w:hAnsi="Arial Narrow"/>
          <w:b/>
          <w:color w:val="000000" w:themeColor="text1"/>
        </w:rPr>
      </w:pPr>
    </w:p>
    <w:p w14:paraId="7017887B" w14:textId="77777777" w:rsidR="007968EC" w:rsidRPr="002C0D19" w:rsidRDefault="007968EC" w:rsidP="007968EC">
      <w:pPr>
        <w:contextualSpacing/>
        <w:jc w:val="both"/>
        <w:rPr>
          <w:rFonts w:ascii="Arial Narrow" w:eastAsia="Calibri" w:hAnsi="Arial Narrow"/>
          <w:color w:val="000000" w:themeColor="text1"/>
          <w:lang w:val="es-MX"/>
        </w:rPr>
      </w:pPr>
      <w:r w:rsidRPr="002C0D19">
        <w:rPr>
          <w:rFonts w:ascii="Arial Narrow" w:eastAsia="Calibri" w:hAnsi="Arial Narrow"/>
          <w:color w:val="000000" w:themeColor="text1"/>
          <w:lang w:val="es-MX" w:eastAsia="es-ES"/>
        </w:rPr>
        <w:t>Antes de finalizada la Sesión de Cierre</w:t>
      </w:r>
      <w:r w:rsidRPr="002C0D19">
        <w:rPr>
          <w:rFonts w:ascii="Arial Narrow" w:eastAsia="Calibri" w:hAnsi="Arial Narrow"/>
          <w:color w:val="000000" w:themeColor="text1"/>
          <w:lang w:val="es-ES" w:eastAsia="es-ES"/>
        </w:rPr>
        <w:t xml:space="preserve">, </w:t>
      </w:r>
      <w:r w:rsidRPr="002C0D19">
        <w:rPr>
          <w:rFonts w:ascii="Arial Narrow" w:eastAsia="Calibri" w:hAnsi="Arial Narrow"/>
          <w:color w:val="000000" w:themeColor="text1"/>
          <w:lang w:val="es-MX" w:eastAsia="es-ES"/>
        </w:rPr>
        <w:t xml:space="preserve">la Cámara informará a los Miembros involucrados en el proceso de Incumplimiento el resultado de la Liquidación por Diferencias por Incumplimiento en la Entrega. </w:t>
      </w:r>
    </w:p>
    <w:p w14:paraId="51DBCE1F" w14:textId="77777777" w:rsidR="007968EC" w:rsidRPr="002C0D19" w:rsidRDefault="007968EC" w:rsidP="007968EC">
      <w:pPr>
        <w:autoSpaceDE w:val="0"/>
        <w:autoSpaceDN w:val="0"/>
        <w:adjustRightInd w:val="0"/>
        <w:jc w:val="both"/>
        <w:rPr>
          <w:rFonts w:ascii="Arial Narrow" w:eastAsia="Calibri" w:hAnsi="Arial Narrow"/>
          <w:color w:val="000000" w:themeColor="text1"/>
          <w:lang w:val="es-ES" w:eastAsia="es-ES"/>
        </w:rPr>
      </w:pPr>
    </w:p>
    <w:p w14:paraId="787F4ECE"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lang w:val="es-ES" w:eastAsia="es-ES"/>
        </w:rPr>
        <w:t xml:space="preserve">Cuando la Cámara cuente con los Activos que le permitan cumplir la Liquidación por Entrega de manera parcial, ésta así lo informará. </w:t>
      </w:r>
    </w:p>
    <w:p w14:paraId="46FF22FB" w14:textId="77777777" w:rsidR="007968EC" w:rsidRPr="002C0D19" w:rsidRDefault="007968EC" w:rsidP="007968EC">
      <w:pPr>
        <w:jc w:val="both"/>
        <w:rPr>
          <w:rFonts w:ascii="Arial Narrow" w:eastAsia="Calibri" w:hAnsi="Arial Narrow"/>
          <w:color w:val="000000" w:themeColor="text1"/>
          <w:lang w:val="es-MX"/>
        </w:rPr>
      </w:pPr>
    </w:p>
    <w:p w14:paraId="44EDD19F" w14:textId="77777777" w:rsidR="007968EC" w:rsidRPr="002C0D19" w:rsidRDefault="007968EC" w:rsidP="007968EC">
      <w:pPr>
        <w:contextualSpacing/>
        <w:jc w:val="both"/>
        <w:rPr>
          <w:rFonts w:ascii="Arial Narrow" w:eastAsia="Calibri" w:hAnsi="Arial Narrow"/>
          <w:color w:val="000000" w:themeColor="text1"/>
          <w:lang w:val="es-MX"/>
        </w:rPr>
      </w:pPr>
      <w:r w:rsidRPr="002C0D19">
        <w:rPr>
          <w:rFonts w:ascii="Arial Narrow" w:eastAsia="Calibri" w:hAnsi="Arial Narrow"/>
          <w:color w:val="000000" w:themeColor="text1"/>
          <w:u w:val="single"/>
          <w:lang w:val="es-MX" w:eastAsia="es-ES"/>
        </w:rPr>
        <w:t>Etapa 2</w:t>
      </w:r>
      <w:r w:rsidRPr="002C0D19">
        <w:rPr>
          <w:rFonts w:ascii="Arial Narrow" w:eastAsia="Calibri" w:hAnsi="Arial Narrow"/>
          <w:color w:val="000000" w:themeColor="text1"/>
          <w:lang w:val="es-MX" w:eastAsia="es-ES"/>
        </w:rPr>
        <w:t>: Transferencia de Efectivos hacia la Cámara.</w:t>
      </w:r>
    </w:p>
    <w:p w14:paraId="728FA3D0" w14:textId="77777777" w:rsidR="007968EC" w:rsidRPr="002C0D19" w:rsidRDefault="007968EC" w:rsidP="007968EC">
      <w:pPr>
        <w:autoSpaceDE w:val="0"/>
        <w:autoSpaceDN w:val="0"/>
        <w:jc w:val="both"/>
        <w:rPr>
          <w:rFonts w:ascii="Arial Narrow" w:eastAsia="Calibri" w:hAnsi="Arial Narrow"/>
          <w:b/>
          <w:bCs/>
          <w:color w:val="000000" w:themeColor="text1"/>
          <w:lang w:val="es-MX"/>
        </w:rPr>
      </w:pPr>
    </w:p>
    <w:p w14:paraId="0B8C67B7" w14:textId="77777777" w:rsidR="007968EC" w:rsidRPr="002C0D19" w:rsidRDefault="007968EC" w:rsidP="007968EC">
      <w:pPr>
        <w:jc w:val="both"/>
        <w:rPr>
          <w:rFonts w:ascii="Arial Narrow" w:eastAsia="Calibri" w:hAnsi="Arial Narrow"/>
          <w:color w:val="000000" w:themeColor="text1"/>
          <w:lang w:val="es-MX"/>
        </w:rPr>
      </w:pPr>
      <w:r w:rsidRPr="002C0D19">
        <w:rPr>
          <w:rFonts w:ascii="Arial Narrow" w:eastAsia="Calibri" w:hAnsi="Arial Narrow"/>
          <w:color w:val="000000" w:themeColor="text1"/>
          <w:lang w:val="es-MX" w:eastAsia="es-ES"/>
        </w:rPr>
        <w:t>De acuerdo con los procedimientos del Sistema de Pagos del Banco de la República, el Miembro Liquidador al que le corresponda con base en la información suministrada en la Etapa 1, efectuará una transferencia de efectivo a la cuenta de la Cámara por el valor determinado en la Liquidación por Diferencias por Incumplimiento en la Entrega utilizando el concepto “197 – CRCC – Liquidación al Vencimiento de Contratos – Posición Débito”, definido en los conceptos establecidos en el Sistema de Pagos del Banco de la República. La transferencia de efectivo que realice el Miembro Liquidador con posición neta vendedora de conformidad con lo dispuesto en el artículo 2.8.7. del Reglamento,</w:t>
      </w:r>
      <w:r w:rsidRPr="002C0D19">
        <w:rPr>
          <w:rFonts w:ascii="Arial Narrow" w:eastAsia="Calibri" w:hAnsi="Arial Narrow"/>
          <w:color w:val="000000" w:themeColor="text1"/>
          <w:lang w:val="es-ES" w:eastAsia="es-ES"/>
        </w:rPr>
        <w:t xml:space="preserve"> no subsana el Incumplimiento de dicho Miembro. </w:t>
      </w:r>
    </w:p>
    <w:p w14:paraId="2473826B" w14:textId="77777777" w:rsidR="007968EC" w:rsidRPr="005703C9" w:rsidRDefault="007968EC" w:rsidP="007968EC">
      <w:pPr>
        <w:jc w:val="both"/>
        <w:rPr>
          <w:rFonts w:ascii="Arial Narrow" w:eastAsia="Calibri" w:hAnsi="Arial Narrow"/>
          <w:b/>
          <w:color w:val="000000" w:themeColor="text1"/>
        </w:rPr>
      </w:pPr>
    </w:p>
    <w:p w14:paraId="7E5EF96A" w14:textId="77777777" w:rsidR="007968EC" w:rsidRPr="002C0D19" w:rsidRDefault="007968EC" w:rsidP="007968EC">
      <w:pPr>
        <w:contextualSpacing/>
        <w:jc w:val="both"/>
        <w:rPr>
          <w:rFonts w:ascii="Arial Narrow" w:eastAsia="Calibri" w:hAnsi="Arial Narrow"/>
          <w:color w:val="000000" w:themeColor="text1"/>
          <w:lang w:val="es-MX"/>
        </w:rPr>
      </w:pPr>
      <w:r w:rsidRPr="002C0D19">
        <w:rPr>
          <w:rFonts w:ascii="Arial Narrow" w:eastAsia="Calibri" w:hAnsi="Arial Narrow"/>
          <w:color w:val="000000" w:themeColor="text1"/>
          <w:u w:val="single"/>
          <w:lang w:val="es-MX" w:eastAsia="es-ES"/>
        </w:rPr>
        <w:t>Etapa 3</w:t>
      </w:r>
      <w:r w:rsidRPr="002C0D19">
        <w:rPr>
          <w:rFonts w:ascii="Arial Narrow" w:eastAsia="Calibri" w:hAnsi="Arial Narrow"/>
          <w:color w:val="000000" w:themeColor="text1"/>
          <w:lang w:val="es-MX" w:eastAsia="es-ES"/>
        </w:rPr>
        <w:t>: Transferencias de efectivo de la Cámara hacia los Miembros Liquidadores.</w:t>
      </w:r>
    </w:p>
    <w:p w14:paraId="1C9360B4" w14:textId="77777777" w:rsidR="007968EC" w:rsidRPr="005703C9" w:rsidRDefault="007968EC" w:rsidP="007968EC">
      <w:pPr>
        <w:jc w:val="both"/>
        <w:rPr>
          <w:rFonts w:ascii="Arial Narrow" w:eastAsia="Calibri" w:hAnsi="Arial Narrow"/>
          <w:b/>
          <w:color w:val="000000" w:themeColor="text1"/>
        </w:rPr>
      </w:pPr>
    </w:p>
    <w:p w14:paraId="5CF1A358" w14:textId="77777777" w:rsidR="007968EC" w:rsidRPr="002C0D19" w:rsidRDefault="007968EC" w:rsidP="007968EC">
      <w:pPr>
        <w:jc w:val="both"/>
        <w:rPr>
          <w:rFonts w:ascii="Arial Narrow" w:eastAsia="Calibri" w:hAnsi="Arial Narrow"/>
          <w:color w:val="000000" w:themeColor="text1"/>
          <w:lang w:val="es-MX"/>
        </w:rPr>
      </w:pPr>
      <w:r w:rsidRPr="002C0D19">
        <w:rPr>
          <w:rFonts w:ascii="Arial Narrow" w:eastAsia="Calibri" w:hAnsi="Arial Narrow"/>
          <w:color w:val="000000" w:themeColor="text1"/>
          <w:lang w:val="es-MX" w:eastAsia="es-ES"/>
        </w:rPr>
        <w:t xml:space="preserve">Para el cumplimiento de la Liquidación por Diferencias por Incumplimiento en la Entrega, la Cámara de conformidad con los procedimientos del Sistema de Pagos del Banco de la República, con base en la información suministrada en la Etapa 1, efectuará una transferencia de efectivo a la cuenta del Miembro Liquidador al que corresponda, por el valor determinado en la Liquidación por Diferencias por Incumplimiento </w:t>
      </w:r>
      <w:r w:rsidRPr="002C0D19">
        <w:rPr>
          <w:rFonts w:ascii="Arial Narrow" w:eastAsia="Calibri" w:hAnsi="Arial Narrow"/>
          <w:color w:val="000000" w:themeColor="text1"/>
          <w:lang w:val="es-MX" w:eastAsia="es-ES"/>
        </w:rPr>
        <w:lastRenderedPageBreak/>
        <w:t>en la Entrega utilizando el concepto “198 – CRCC – Liquidación al Vencimiento de Contratos – Posición Crédito” definido en los conceptos establecido en el Sistema de Pagos del Banco de la República.</w:t>
      </w:r>
    </w:p>
    <w:p w14:paraId="3D144B86" w14:textId="77777777" w:rsidR="007968EC" w:rsidRPr="005703C9" w:rsidRDefault="007968EC" w:rsidP="007968EC">
      <w:pPr>
        <w:jc w:val="both"/>
        <w:rPr>
          <w:rFonts w:ascii="Arial Narrow" w:eastAsia="Calibri" w:hAnsi="Arial Narrow"/>
          <w:b/>
          <w:color w:val="000000" w:themeColor="text1"/>
        </w:rPr>
      </w:pPr>
    </w:p>
    <w:p w14:paraId="4EA22460" w14:textId="77777777" w:rsidR="007968EC" w:rsidRPr="002C0D19" w:rsidRDefault="007968EC" w:rsidP="007968EC">
      <w:pPr>
        <w:jc w:val="both"/>
        <w:rPr>
          <w:rFonts w:ascii="Arial Narrow" w:eastAsia="Calibri" w:hAnsi="Arial Narrow"/>
          <w:color w:val="000000" w:themeColor="text1"/>
          <w:lang w:val="es-MX" w:eastAsia="es-ES"/>
        </w:rPr>
      </w:pPr>
      <w:r w:rsidRPr="002C0D19">
        <w:rPr>
          <w:rFonts w:ascii="Arial Narrow" w:eastAsia="Calibri" w:hAnsi="Arial Narrow"/>
          <w:color w:val="000000" w:themeColor="text1"/>
          <w:u w:val="single"/>
          <w:lang w:val="es-MX" w:eastAsia="es-ES"/>
        </w:rPr>
        <w:t>Etapa 4</w:t>
      </w:r>
      <w:r w:rsidRPr="002C0D19">
        <w:rPr>
          <w:rFonts w:ascii="Arial Narrow" w:eastAsia="Calibri" w:hAnsi="Arial Narrow"/>
          <w:color w:val="000000" w:themeColor="text1"/>
          <w:lang w:val="es-MX" w:eastAsia="es-ES"/>
        </w:rPr>
        <w:t>: Una vez concluida la sesión de Liquidación por Diferencias por Incumplimiento en la Entrega, los Miembros Liquidadores tienen la obligación de efectuar el proceso de entrega y cobro de efectivo a los Terceros Identificados y a los Miembros no Liquidadores, correspondiente a la Liquidación por Diferencias por Incumplimiento en la Entrega de acuerdo con el artículo 2.6.12. del Reglamento de Funcionamiento.</w:t>
      </w:r>
    </w:p>
    <w:p w14:paraId="3D5A68C4" w14:textId="77777777" w:rsidR="007968EC" w:rsidRPr="002C0D19" w:rsidRDefault="007968EC" w:rsidP="007968EC">
      <w:pPr>
        <w:jc w:val="both"/>
        <w:rPr>
          <w:rFonts w:ascii="Arial Narrow" w:eastAsia="Calibri" w:hAnsi="Arial Narrow"/>
          <w:color w:val="000000" w:themeColor="text1"/>
          <w:lang w:val="es-MX" w:eastAsia="es-ES"/>
        </w:rPr>
      </w:pPr>
    </w:p>
    <w:p w14:paraId="507204A3" w14:textId="77777777" w:rsidR="007968EC" w:rsidRDefault="007968EC" w:rsidP="007968EC">
      <w:pPr>
        <w:pStyle w:val="ARTICULO0"/>
        <w:rPr>
          <w:rFonts w:eastAsia="Calibri"/>
        </w:rPr>
      </w:pPr>
      <w:bookmarkStart w:id="4712" w:name="_Toc31716171"/>
      <w:bookmarkStart w:id="4713" w:name="_Toc479057156"/>
      <w:bookmarkStart w:id="4714" w:name="_Toc490066510"/>
      <w:r w:rsidRPr="002C0D19">
        <w:rPr>
          <w:rFonts w:eastAsia="Calibri"/>
        </w:rPr>
        <w:t>Artículo 2.4.4.34. Ejercicio de los Contratos de Opciones.</w:t>
      </w:r>
      <w:bookmarkEnd w:id="4712"/>
      <w:r w:rsidRPr="002C0D19">
        <w:rPr>
          <w:rFonts w:eastAsia="Calibri"/>
        </w:rPr>
        <w:t xml:space="preserve"> </w:t>
      </w:r>
    </w:p>
    <w:p w14:paraId="4128CE76" w14:textId="77777777" w:rsidR="007968EC" w:rsidRPr="00FC3CFC" w:rsidRDefault="007968EC" w:rsidP="007968EC">
      <w:pPr>
        <w:autoSpaceDE w:val="0"/>
        <w:autoSpaceDN w:val="0"/>
        <w:jc w:val="both"/>
        <w:rPr>
          <w:rFonts w:ascii="Arial Narrow" w:hAnsi="Arial Narrow" w:cs="Arial"/>
          <w:b/>
          <w:bCs/>
          <w:color w:val="000000" w:themeColor="text1"/>
          <w:lang w:eastAsia="es-ES"/>
        </w:rPr>
      </w:pPr>
    </w:p>
    <w:p w14:paraId="55855843" w14:textId="77777777" w:rsidR="007968EC" w:rsidRPr="002C0D19" w:rsidRDefault="007968EC" w:rsidP="007968EC">
      <w:pPr>
        <w:pStyle w:val="ANTECEDENTES"/>
        <w:rPr>
          <w:rFonts w:eastAsia="Calibri"/>
        </w:rPr>
      </w:pPr>
      <w:r w:rsidRPr="002C0D19">
        <w:rPr>
          <w:rFonts w:eastAsia="Calibri"/>
        </w:rPr>
        <w:t>(Este artículo fue adicionado mediante Circular 6 del 14 de febrero de 2017, publicada mediante Boletín Normativo No. 006 del 14 de febrero de 2017. Rige a partir del 15 de febrero de 2017).</w:t>
      </w:r>
      <w:bookmarkEnd w:id="4713"/>
      <w:bookmarkEnd w:id="4714"/>
    </w:p>
    <w:p w14:paraId="7797E28B" w14:textId="77777777" w:rsidR="007968EC" w:rsidRPr="005703C9" w:rsidRDefault="007968EC" w:rsidP="007968EC">
      <w:pPr>
        <w:jc w:val="both"/>
        <w:rPr>
          <w:rFonts w:ascii="Arial Narrow" w:eastAsia="Calibri" w:hAnsi="Arial Narrow"/>
          <w:b/>
          <w:color w:val="000000" w:themeColor="text1"/>
        </w:rPr>
      </w:pPr>
    </w:p>
    <w:p w14:paraId="18DAF765" w14:textId="77777777" w:rsidR="007968EC" w:rsidRPr="005703C9" w:rsidRDefault="007968EC" w:rsidP="007968EC">
      <w:pPr>
        <w:jc w:val="both"/>
        <w:rPr>
          <w:rFonts w:ascii="Arial Narrow" w:eastAsia="Calibri" w:hAnsi="Arial Narrow"/>
          <w:color w:val="000000" w:themeColor="text1"/>
        </w:rPr>
      </w:pPr>
      <w:bookmarkStart w:id="4715" w:name="_Toc479057157"/>
      <w:bookmarkStart w:id="4716" w:name="_Toc490066511"/>
      <w:bookmarkStart w:id="4717" w:name="_Toc490079286"/>
      <w:r w:rsidRPr="005703C9">
        <w:rPr>
          <w:rFonts w:ascii="Arial Narrow" w:eastAsia="Calibri" w:hAnsi="Arial Narrow"/>
          <w:color w:val="000000" w:themeColor="text1"/>
        </w:rPr>
        <w:t xml:space="preserve">Para aquellas Opciones que estén In </w:t>
      </w:r>
      <w:proofErr w:type="spellStart"/>
      <w:r w:rsidRPr="005703C9">
        <w:rPr>
          <w:rFonts w:ascii="Arial Narrow" w:eastAsia="Calibri" w:hAnsi="Arial Narrow"/>
          <w:color w:val="000000" w:themeColor="text1"/>
        </w:rPr>
        <w:t>the</w:t>
      </w:r>
      <w:proofErr w:type="spellEnd"/>
      <w:r w:rsidRPr="005703C9">
        <w:rPr>
          <w:rFonts w:ascii="Arial Narrow" w:eastAsia="Calibri" w:hAnsi="Arial Narrow"/>
          <w:color w:val="000000" w:themeColor="text1"/>
        </w:rPr>
        <w:t xml:space="preserve"> Money (ITM) en la Sesión de Cierre de la fecha de vencimiento del Contrato, el sistema de la Cámara ejercerá la Opción de forma automática. Para aquellas Opciones que estén At </w:t>
      </w:r>
      <w:proofErr w:type="spellStart"/>
      <w:r w:rsidRPr="005703C9">
        <w:rPr>
          <w:rFonts w:ascii="Arial Narrow" w:eastAsia="Calibri" w:hAnsi="Arial Narrow"/>
          <w:color w:val="000000" w:themeColor="text1"/>
        </w:rPr>
        <w:t>the</w:t>
      </w:r>
      <w:proofErr w:type="spellEnd"/>
      <w:r w:rsidRPr="005703C9">
        <w:rPr>
          <w:rFonts w:ascii="Arial Narrow" w:eastAsia="Calibri" w:hAnsi="Arial Narrow"/>
          <w:color w:val="000000" w:themeColor="text1"/>
        </w:rPr>
        <w:t xml:space="preserve"> Money (ATM) o </w:t>
      </w:r>
      <w:proofErr w:type="spellStart"/>
      <w:r w:rsidRPr="005703C9">
        <w:rPr>
          <w:rFonts w:ascii="Arial Narrow" w:eastAsia="Calibri" w:hAnsi="Arial Narrow"/>
          <w:color w:val="000000" w:themeColor="text1"/>
        </w:rPr>
        <w:t>Out</w:t>
      </w:r>
      <w:proofErr w:type="spellEnd"/>
      <w:r w:rsidRPr="005703C9">
        <w:rPr>
          <w:rFonts w:ascii="Arial Narrow" w:eastAsia="Calibri" w:hAnsi="Arial Narrow"/>
          <w:color w:val="000000" w:themeColor="text1"/>
        </w:rPr>
        <w:t xml:space="preserve"> </w:t>
      </w:r>
      <w:proofErr w:type="spellStart"/>
      <w:r w:rsidRPr="005703C9">
        <w:rPr>
          <w:rFonts w:ascii="Arial Narrow" w:eastAsia="Calibri" w:hAnsi="Arial Narrow"/>
          <w:color w:val="000000" w:themeColor="text1"/>
        </w:rPr>
        <w:t>of</w:t>
      </w:r>
      <w:proofErr w:type="spellEnd"/>
      <w:r w:rsidRPr="005703C9">
        <w:rPr>
          <w:rFonts w:ascii="Arial Narrow" w:eastAsia="Calibri" w:hAnsi="Arial Narrow"/>
          <w:color w:val="000000" w:themeColor="text1"/>
        </w:rPr>
        <w:t xml:space="preserve"> </w:t>
      </w:r>
      <w:proofErr w:type="spellStart"/>
      <w:r w:rsidRPr="005703C9">
        <w:rPr>
          <w:rFonts w:ascii="Arial Narrow" w:eastAsia="Calibri" w:hAnsi="Arial Narrow"/>
          <w:color w:val="000000" w:themeColor="text1"/>
        </w:rPr>
        <w:t>the</w:t>
      </w:r>
      <w:proofErr w:type="spellEnd"/>
      <w:r w:rsidRPr="005703C9">
        <w:rPr>
          <w:rFonts w:ascii="Arial Narrow" w:eastAsia="Calibri" w:hAnsi="Arial Narrow"/>
          <w:color w:val="000000" w:themeColor="text1"/>
        </w:rPr>
        <w:t xml:space="preserve"> Money (OTM) en la Sesión de Cierre de la fecha de vencimiento del Contrato, el sistema de la Cámara no ejercerá la Opción.</w:t>
      </w:r>
      <w:bookmarkEnd w:id="4715"/>
      <w:bookmarkEnd w:id="4716"/>
      <w:bookmarkEnd w:id="4717"/>
    </w:p>
    <w:p w14:paraId="23518BC6" w14:textId="77777777" w:rsidR="007968EC" w:rsidRPr="002C0D19" w:rsidRDefault="007968EC" w:rsidP="007968EC">
      <w:pPr>
        <w:jc w:val="both"/>
        <w:rPr>
          <w:rFonts w:ascii="Arial Narrow" w:eastAsia="Calibri" w:hAnsi="Arial Narrow"/>
          <w:color w:val="000000" w:themeColor="text1"/>
        </w:rPr>
      </w:pPr>
    </w:p>
    <w:p w14:paraId="0A6BF99C" w14:textId="77777777" w:rsidR="007968EC" w:rsidRPr="002C0D19" w:rsidRDefault="007968EC" w:rsidP="007968EC">
      <w:pPr>
        <w:keepNext/>
        <w:autoSpaceDE w:val="0"/>
        <w:autoSpaceDN w:val="0"/>
        <w:contextualSpacing/>
        <w:jc w:val="both"/>
        <w:rPr>
          <w:rFonts w:ascii="Arial Narrow" w:hAnsi="Arial Narrow" w:cs="Arial"/>
          <w:bCs/>
          <w:color w:val="000000" w:themeColor="text1"/>
          <w:lang w:eastAsia="es-ES"/>
        </w:rPr>
      </w:pPr>
    </w:p>
    <w:p w14:paraId="6B537E81" w14:textId="77777777" w:rsidR="007968EC" w:rsidRPr="002C0D19" w:rsidRDefault="007968EC" w:rsidP="007968EC">
      <w:pPr>
        <w:pStyle w:val="TTULO"/>
        <w:rPr>
          <w:rFonts w:eastAsia="Calibri"/>
          <w:lang w:val="es-ES"/>
        </w:rPr>
      </w:pPr>
      <w:bookmarkStart w:id="4718" w:name="_Toc470779984"/>
      <w:bookmarkStart w:id="4719" w:name="_Toc470780601"/>
      <w:bookmarkStart w:id="4720" w:name="_Toc470781114"/>
      <w:bookmarkStart w:id="4721" w:name="_Toc470784675"/>
      <w:bookmarkStart w:id="4722" w:name="_Toc470785212"/>
      <w:bookmarkStart w:id="4723" w:name="_Toc470791606"/>
      <w:bookmarkStart w:id="4724" w:name="_Toc472592351"/>
      <w:bookmarkStart w:id="4725" w:name="_Toc472593370"/>
      <w:bookmarkStart w:id="4726" w:name="_Toc479057158"/>
      <w:bookmarkStart w:id="4727" w:name="_Toc490066512"/>
      <w:bookmarkStart w:id="4728" w:name="_Toc31716172"/>
      <w:r w:rsidRPr="002C0D19">
        <w:rPr>
          <w:rFonts w:eastAsia="Calibri"/>
          <w:lang w:val="es-ES"/>
        </w:rPr>
        <w:t>CAPÍTULO QUINTO</w:t>
      </w:r>
      <w:bookmarkEnd w:id="4718"/>
      <w:bookmarkEnd w:id="4719"/>
      <w:bookmarkEnd w:id="4720"/>
      <w:bookmarkEnd w:id="4721"/>
      <w:bookmarkEnd w:id="4722"/>
      <w:bookmarkEnd w:id="4723"/>
      <w:bookmarkEnd w:id="4724"/>
      <w:bookmarkEnd w:id="4725"/>
      <w:bookmarkEnd w:id="4726"/>
      <w:bookmarkEnd w:id="4727"/>
      <w:bookmarkEnd w:id="4728"/>
    </w:p>
    <w:p w14:paraId="7D291AD6" w14:textId="77777777" w:rsidR="007968EC" w:rsidRPr="002C0D19" w:rsidRDefault="007968EC" w:rsidP="007968EC">
      <w:pPr>
        <w:pStyle w:val="TTULO"/>
        <w:rPr>
          <w:rFonts w:eastAsia="Calibri"/>
          <w:lang w:val="es-ES"/>
        </w:rPr>
      </w:pPr>
    </w:p>
    <w:p w14:paraId="2CF78D3D" w14:textId="77777777" w:rsidR="007968EC" w:rsidRPr="002C0D19" w:rsidRDefault="007968EC" w:rsidP="007968EC">
      <w:pPr>
        <w:pStyle w:val="TTULO"/>
        <w:rPr>
          <w:rFonts w:eastAsia="Calibri"/>
          <w:lang w:val="es-ES"/>
        </w:rPr>
      </w:pPr>
      <w:bookmarkStart w:id="4729" w:name="_Toc470779985"/>
      <w:bookmarkStart w:id="4730" w:name="_Toc470780602"/>
      <w:bookmarkStart w:id="4731" w:name="_Toc470781115"/>
      <w:bookmarkStart w:id="4732" w:name="_Toc470784676"/>
      <w:bookmarkStart w:id="4733" w:name="_Toc470785213"/>
      <w:bookmarkStart w:id="4734" w:name="_Toc470791607"/>
      <w:bookmarkStart w:id="4735" w:name="_Toc472592352"/>
      <w:bookmarkStart w:id="4736" w:name="_Toc472593371"/>
      <w:bookmarkStart w:id="4737" w:name="_Toc479057159"/>
      <w:bookmarkStart w:id="4738" w:name="_Toc490066513"/>
      <w:bookmarkStart w:id="4739" w:name="_Toc31716173"/>
      <w:r w:rsidRPr="002C0D19">
        <w:rPr>
          <w:rFonts w:eastAsia="Calibri"/>
          <w:lang w:val="es-ES"/>
        </w:rPr>
        <w:t>LIQUIDACIÓN AL VENCIMIENTO DE INSTRUMENTOS FINANCIEROS DERIVADOS NO ESTANDARIZADOS</w:t>
      </w:r>
      <w:bookmarkEnd w:id="4729"/>
      <w:bookmarkEnd w:id="4730"/>
      <w:bookmarkEnd w:id="4731"/>
      <w:bookmarkEnd w:id="4732"/>
      <w:bookmarkEnd w:id="4733"/>
      <w:bookmarkEnd w:id="4734"/>
      <w:bookmarkEnd w:id="4735"/>
      <w:bookmarkEnd w:id="4736"/>
      <w:bookmarkEnd w:id="4737"/>
      <w:bookmarkEnd w:id="4738"/>
      <w:bookmarkEnd w:id="4739"/>
    </w:p>
    <w:p w14:paraId="2FF21CA0" w14:textId="77777777" w:rsidR="007968EC" w:rsidRPr="002C0D19" w:rsidRDefault="007968EC" w:rsidP="007968EC">
      <w:pPr>
        <w:jc w:val="both"/>
        <w:rPr>
          <w:rFonts w:ascii="Arial Narrow" w:eastAsia="Calibri" w:hAnsi="Arial Narrow" w:cs="Arial"/>
          <w:b/>
          <w:color w:val="000000" w:themeColor="text1"/>
          <w:u w:val="single"/>
          <w:lang w:eastAsia="es-ES"/>
        </w:rPr>
      </w:pPr>
    </w:p>
    <w:p w14:paraId="7640FA31" w14:textId="77777777" w:rsidR="007968EC" w:rsidRPr="002C0D19" w:rsidRDefault="007968EC" w:rsidP="007968EC">
      <w:pPr>
        <w:pStyle w:val="ARTICULO0"/>
      </w:pPr>
      <w:bookmarkStart w:id="4740" w:name="_Toc470779986"/>
      <w:bookmarkStart w:id="4741" w:name="_Toc470780603"/>
      <w:bookmarkStart w:id="4742" w:name="_Toc470781116"/>
      <w:bookmarkStart w:id="4743" w:name="_Toc470784677"/>
      <w:bookmarkStart w:id="4744" w:name="_Toc470785214"/>
      <w:bookmarkStart w:id="4745" w:name="_Toc470791608"/>
      <w:bookmarkStart w:id="4746" w:name="_Toc472592353"/>
      <w:bookmarkStart w:id="4747" w:name="_Toc472593372"/>
      <w:bookmarkStart w:id="4748" w:name="_Toc479057160"/>
      <w:bookmarkStart w:id="4749" w:name="_Toc490066514"/>
      <w:bookmarkStart w:id="4750" w:name="_Toc31716174"/>
      <w:r>
        <w:t xml:space="preserve">Artículo 2.4.5.1. </w:t>
      </w:r>
      <w:r w:rsidRPr="002C0D19">
        <w:t>Liquidación por Diferencias de Operaciones sobre Instrumentos Financieros Derivados No Estandarizados provenientes de sistemas de negociación y/o registro o Mecanismo de Contratación cuyo Tipo de Liquidación incluya la Liquidación Diaria.</w:t>
      </w:r>
      <w:bookmarkEnd w:id="4740"/>
      <w:bookmarkEnd w:id="4741"/>
      <w:bookmarkEnd w:id="4742"/>
      <w:bookmarkEnd w:id="4743"/>
      <w:bookmarkEnd w:id="4744"/>
      <w:bookmarkEnd w:id="4745"/>
      <w:bookmarkEnd w:id="4746"/>
      <w:bookmarkEnd w:id="4747"/>
      <w:bookmarkEnd w:id="4748"/>
      <w:bookmarkEnd w:id="4749"/>
      <w:bookmarkEnd w:id="4750"/>
    </w:p>
    <w:p w14:paraId="35CB225D" w14:textId="77777777" w:rsidR="007968EC" w:rsidRPr="002C0D19" w:rsidRDefault="007968EC" w:rsidP="007968EC">
      <w:pPr>
        <w:jc w:val="both"/>
        <w:rPr>
          <w:rFonts w:ascii="Arial Narrow" w:eastAsia="Calibri" w:hAnsi="Arial Narrow"/>
          <w:b/>
          <w:color w:val="000000" w:themeColor="text1"/>
        </w:rPr>
      </w:pPr>
    </w:p>
    <w:p w14:paraId="4CF2074D"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lang w:val="es-ES" w:eastAsia="es-ES"/>
        </w:rPr>
        <w:t xml:space="preserve">Al vencimiento de las Operaciones sobre Instrumentos Financieros Derivados No Estandarizados cuyo Tipo de Liquidación incluya la Liquidación Diaria, la Cámara atenderá el siguiente procedimiento: </w:t>
      </w:r>
    </w:p>
    <w:p w14:paraId="7C0EF3AE" w14:textId="77777777" w:rsidR="007968EC" w:rsidRPr="002C0D19" w:rsidRDefault="007968EC" w:rsidP="007968EC">
      <w:pPr>
        <w:jc w:val="both"/>
        <w:rPr>
          <w:rFonts w:ascii="Arial Narrow" w:eastAsia="Calibri" w:hAnsi="Arial Narrow"/>
          <w:color w:val="000000" w:themeColor="text1"/>
        </w:rPr>
      </w:pPr>
    </w:p>
    <w:p w14:paraId="64A74AD4" w14:textId="77777777" w:rsidR="007968EC" w:rsidRPr="002C0D19" w:rsidRDefault="007968EC" w:rsidP="00DA7472">
      <w:pPr>
        <w:numPr>
          <w:ilvl w:val="0"/>
          <w:numId w:val="203"/>
        </w:numPr>
        <w:jc w:val="both"/>
        <w:rPr>
          <w:rFonts w:ascii="Arial Narrow" w:eastAsia="Calibri" w:hAnsi="Arial Narrow"/>
          <w:color w:val="000000" w:themeColor="text1"/>
        </w:rPr>
      </w:pPr>
      <w:r w:rsidRPr="002C0D19">
        <w:rPr>
          <w:rFonts w:ascii="Arial Narrow" w:eastAsia="Calibri" w:hAnsi="Arial Narrow"/>
          <w:color w:val="000000" w:themeColor="text1"/>
        </w:rPr>
        <w:t>La Cámara obtendrá el Precio de Valoración de Cierre del Proveedor Oficial de Precios para Valoración.</w:t>
      </w:r>
    </w:p>
    <w:p w14:paraId="00EE8129" w14:textId="77777777" w:rsidR="007968EC" w:rsidRPr="002C0D19" w:rsidRDefault="007968EC" w:rsidP="00DA7472">
      <w:pPr>
        <w:numPr>
          <w:ilvl w:val="0"/>
          <w:numId w:val="203"/>
        </w:numPr>
        <w:jc w:val="both"/>
        <w:rPr>
          <w:rFonts w:ascii="Arial Narrow" w:eastAsia="Calibri" w:hAnsi="Arial Narrow"/>
          <w:color w:val="000000" w:themeColor="text1"/>
        </w:rPr>
      </w:pPr>
      <w:r w:rsidRPr="002C0D19">
        <w:rPr>
          <w:rFonts w:ascii="Arial Narrow" w:eastAsia="Calibri" w:hAnsi="Arial Narrow"/>
          <w:color w:val="000000" w:themeColor="text1"/>
        </w:rPr>
        <w:t>Con base en la información obtenida, realizará la Liquidación por Diferencias, de conformidad con el procedimiento establecido en los artículos 2.4.3.1. al 2.4.3.4. de la presente Circular para todos los Instrumentos Financieros Derivados No Estandarizados cuyo Tipo de Liquidación incluya la Liquidación Diaria.</w:t>
      </w:r>
    </w:p>
    <w:p w14:paraId="58DDA2B6" w14:textId="77777777" w:rsidR="007968EC" w:rsidRPr="002C0D19" w:rsidRDefault="007968EC" w:rsidP="007968EC">
      <w:pPr>
        <w:keepNext/>
        <w:autoSpaceDE w:val="0"/>
        <w:autoSpaceDN w:val="0"/>
        <w:contextualSpacing/>
        <w:jc w:val="both"/>
        <w:rPr>
          <w:rFonts w:ascii="Arial Narrow" w:eastAsia="Calibri" w:hAnsi="Arial Narrow"/>
          <w:color w:val="000000" w:themeColor="text1"/>
        </w:rPr>
      </w:pPr>
    </w:p>
    <w:p w14:paraId="49B80F63" w14:textId="77777777" w:rsidR="007968EC" w:rsidRPr="002C0D19" w:rsidRDefault="007968EC" w:rsidP="007968EC">
      <w:pPr>
        <w:keepNext/>
        <w:autoSpaceDE w:val="0"/>
        <w:autoSpaceDN w:val="0"/>
        <w:contextualSpacing/>
        <w:jc w:val="both"/>
        <w:rPr>
          <w:rFonts w:ascii="Arial Narrow" w:eastAsia="Calibri" w:hAnsi="Arial Narrow"/>
          <w:color w:val="000000" w:themeColor="text1"/>
        </w:rPr>
      </w:pPr>
      <w:r w:rsidRPr="002C0D19">
        <w:rPr>
          <w:rFonts w:ascii="Arial Narrow" w:eastAsia="Calibri" w:hAnsi="Arial Narrow"/>
          <w:color w:val="000000" w:themeColor="text1"/>
        </w:rPr>
        <w:t>Los pagos y cobros a los titulares de las Cuentas se efectuarán a través del Miembro o Agente de Pago, según corresponda.</w:t>
      </w:r>
    </w:p>
    <w:p w14:paraId="35332427" w14:textId="77777777" w:rsidR="007968EC" w:rsidRPr="002C0D19" w:rsidRDefault="007968EC" w:rsidP="007968EC">
      <w:pPr>
        <w:keepNext/>
        <w:autoSpaceDE w:val="0"/>
        <w:autoSpaceDN w:val="0"/>
        <w:contextualSpacing/>
        <w:jc w:val="both"/>
        <w:rPr>
          <w:rFonts w:ascii="Arial Narrow" w:eastAsia="Calibri" w:hAnsi="Arial Narrow"/>
          <w:b/>
          <w:color w:val="000000" w:themeColor="text1"/>
        </w:rPr>
      </w:pPr>
    </w:p>
    <w:p w14:paraId="05FEC82F" w14:textId="77777777" w:rsidR="007968EC" w:rsidRPr="002C0D19" w:rsidRDefault="007968EC" w:rsidP="007968EC">
      <w:pPr>
        <w:pStyle w:val="ARTICULO0"/>
      </w:pPr>
      <w:bookmarkStart w:id="4751" w:name="_Toc470779987"/>
      <w:bookmarkStart w:id="4752" w:name="_Toc470780604"/>
      <w:bookmarkStart w:id="4753" w:name="_Toc470781117"/>
      <w:bookmarkStart w:id="4754" w:name="_Toc470784678"/>
      <w:bookmarkStart w:id="4755" w:name="_Toc470785215"/>
      <w:bookmarkStart w:id="4756" w:name="_Toc470791609"/>
      <w:bookmarkStart w:id="4757" w:name="_Toc472592354"/>
      <w:bookmarkStart w:id="4758" w:name="_Toc472593373"/>
      <w:bookmarkStart w:id="4759" w:name="_Toc479057161"/>
      <w:bookmarkStart w:id="4760" w:name="_Toc490066515"/>
      <w:bookmarkStart w:id="4761" w:name="_Toc31716175"/>
      <w:r>
        <w:t xml:space="preserve">Artículo 2.4.5.2. </w:t>
      </w:r>
      <w:r w:rsidRPr="002C0D19">
        <w:t xml:space="preserve">Conceptos incluidos en la Liquidación al Vencimiento de Operaciones sobre Instrumentos Financieros Derivados No Estandarizados provenientes de sistemas de negociación y/o </w:t>
      </w:r>
      <w:r w:rsidRPr="002C0D19">
        <w:lastRenderedPageBreak/>
        <w:t>registro o Mecanismo de Contratación cuyo Tipo de Liquidación incluya Liquidación Únicamente al Vencimiento.</w:t>
      </w:r>
      <w:bookmarkEnd w:id="4751"/>
      <w:bookmarkEnd w:id="4752"/>
      <w:bookmarkEnd w:id="4753"/>
      <w:bookmarkEnd w:id="4754"/>
      <w:bookmarkEnd w:id="4755"/>
      <w:bookmarkEnd w:id="4756"/>
      <w:bookmarkEnd w:id="4757"/>
      <w:bookmarkEnd w:id="4758"/>
      <w:bookmarkEnd w:id="4759"/>
      <w:bookmarkEnd w:id="4760"/>
      <w:bookmarkEnd w:id="4761"/>
    </w:p>
    <w:p w14:paraId="1A5268A7" w14:textId="77777777" w:rsidR="007968EC" w:rsidRPr="002C0D19" w:rsidRDefault="007968EC" w:rsidP="007968EC">
      <w:pPr>
        <w:jc w:val="both"/>
        <w:rPr>
          <w:rFonts w:ascii="Arial Narrow" w:eastAsia="Calibri" w:hAnsi="Arial Narrow"/>
          <w:b/>
          <w:color w:val="000000" w:themeColor="text1"/>
        </w:rPr>
      </w:pPr>
    </w:p>
    <w:p w14:paraId="66857D45" w14:textId="77777777" w:rsidR="007968EC" w:rsidRPr="002C0D19" w:rsidRDefault="007968EC" w:rsidP="007968EC">
      <w:pPr>
        <w:jc w:val="both"/>
        <w:rPr>
          <w:rFonts w:ascii="Arial Narrow" w:eastAsia="Calibri" w:hAnsi="Arial Narrow"/>
          <w:bCs/>
          <w:color w:val="000000" w:themeColor="text1"/>
        </w:rPr>
      </w:pPr>
      <w:r w:rsidRPr="002C0D19">
        <w:rPr>
          <w:rFonts w:ascii="Arial Narrow" w:eastAsia="Calibri" w:hAnsi="Arial Narrow"/>
          <w:bCs/>
          <w:color w:val="000000" w:themeColor="text1"/>
          <w:lang w:val="es-ES" w:eastAsia="es-ES"/>
        </w:rPr>
        <w:t>Diariamente en la Sesión de Liquidación al Vencimiento cuando las Operaciones Aceptadas deban ser cumplidas con Liquidación por Diferencias, los Miembros entregarán o recibirán, según corresponda, los fondos por los siguientes conceptos:</w:t>
      </w:r>
    </w:p>
    <w:p w14:paraId="2A23BF85" w14:textId="77777777" w:rsidR="007968EC" w:rsidRPr="005703C9" w:rsidRDefault="007968EC" w:rsidP="007968EC">
      <w:pPr>
        <w:jc w:val="both"/>
        <w:rPr>
          <w:rFonts w:ascii="Arial Narrow" w:eastAsia="Calibri" w:hAnsi="Arial Narrow"/>
          <w:b/>
          <w:color w:val="000000" w:themeColor="text1"/>
        </w:rPr>
      </w:pPr>
    </w:p>
    <w:p w14:paraId="38772A08" w14:textId="77777777" w:rsidR="007968EC" w:rsidRPr="002C0D19" w:rsidRDefault="007968EC" w:rsidP="00DA7472">
      <w:pPr>
        <w:numPr>
          <w:ilvl w:val="0"/>
          <w:numId w:val="205"/>
        </w:numPr>
        <w:autoSpaceDE w:val="0"/>
        <w:autoSpaceDN w:val="0"/>
        <w:adjustRightInd w:val="0"/>
        <w:ind w:left="457" w:hanging="457"/>
        <w:contextualSpacing/>
        <w:jc w:val="both"/>
        <w:rPr>
          <w:rFonts w:ascii="Arial Narrow" w:eastAsia="Calibri" w:hAnsi="Arial Narrow"/>
          <w:b/>
          <w:bCs/>
          <w:color w:val="000000" w:themeColor="text1"/>
        </w:rPr>
      </w:pPr>
      <w:r w:rsidRPr="002C0D19">
        <w:rPr>
          <w:rFonts w:ascii="Arial Narrow" w:eastAsia="Calibri" w:hAnsi="Arial Narrow"/>
          <w:color w:val="000000" w:themeColor="text1"/>
          <w:u w:val="single"/>
          <w:lang w:eastAsia="es-CO"/>
        </w:rPr>
        <w:t xml:space="preserve">Ajuste al vencimiento a Precios de Valoración de Cierre de los Instrumentos Financieros Derivados No Estandarizados: </w:t>
      </w:r>
      <w:r w:rsidRPr="002C0D19">
        <w:rPr>
          <w:rFonts w:ascii="Arial Narrow" w:eastAsia="Calibri" w:hAnsi="Arial Narrow"/>
          <w:bCs/>
          <w:color w:val="000000" w:themeColor="text1"/>
        </w:rPr>
        <w:t xml:space="preserve">Para la Liquidación al Vencimiento de Operaciones sobre Instrumentos Financieros Derivados No Estandarizados cuyo Tipo de Liquidación sea únicamente al Vencimiento, la Cámara tomará las posiciones resultantes de las Operaciones sobre Instrumentos Financieros Derivados No Estandarizados de las Cuentas de Registro de la Cuenta Propia del Miembro Liquidador, de las Cuentas de Registro de la Cuenta Propia del Miembro No Liquidador y de las Cuentas de los Terceros Identificados de éstos, las valorará al Precio de Valoración de Cierre de acuerdo con lo establecido en la presente Circular, y entregará la información de la Liquidación por Diferencias del día, de acuerdo con el siguiente tratamiento: </w:t>
      </w:r>
    </w:p>
    <w:p w14:paraId="4E945124" w14:textId="77777777" w:rsidR="007968EC" w:rsidRPr="002C0D19" w:rsidRDefault="007968EC" w:rsidP="007968EC">
      <w:pPr>
        <w:autoSpaceDE w:val="0"/>
        <w:autoSpaceDN w:val="0"/>
        <w:adjustRightInd w:val="0"/>
        <w:ind w:left="426"/>
        <w:jc w:val="both"/>
        <w:rPr>
          <w:rFonts w:ascii="Arial Narrow" w:eastAsia="Calibri" w:hAnsi="Arial Narrow"/>
          <w:b/>
          <w:color w:val="000000" w:themeColor="text1"/>
        </w:rPr>
      </w:pPr>
    </w:p>
    <w:p w14:paraId="2AF9C2EC" w14:textId="77777777" w:rsidR="007968EC" w:rsidRPr="002C0D19" w:rsidRDefault="007968EC" w:rsidP="00DA7472">
      <w:pPr>
        <w:numPr>
          <w:ilvl w:val="0"/>
          <w:numId w:val="204"/>
        </w:numPr>
        <w:autoSpaceDE w:val="0"/>
        <w:autoSpaceDN w:val="0"/>
        <w:adjustRightInd w:val="0"/>
        <w:ind w:left="599" w:hanging="283"/>
        <w:jc w:val="both"/>
        <w:rPr>
          <w:rFonts w:ascii="Arial Narrow" w:eastAsia="Calibri" w:hAnsi="Arial Narrow"/>
          <w:color w:val="000000" w:themeColor="text1"/>
        </w:rPr>
      </w:pPr>
      <w:r w:rsidRPr="002C0D19">
        <w:rPr>
          <w:rFonts w:ascii="Arial Narrow" w:eastAsia="Calibri" w:hAnsi="Arial Narrow"/>
          <w:color w:val="000000" w:themeColor="text1"/>
        </w:rPr>
        <w:t xml:space="preserve">Operaciones sobre Instrumentos Financieros Derivados No Estandarizados de compra: La Cámara calcula la diferencia entre el Precio de Valoración de Cierre de la sesión y el Precio de Negociación. En el evento en que la diferencia sea positiva el titular de la Cuenta tendrá derecho a recibir el dinero efectivo correspondiente al valor de la diferencia multiplicado por la Posición Abierta, en caso contrario, deberá entregar a la Cámara dicho valor. </w:t>
      </w:r>
    </w:p>
    <w:p w14:paraId="4AB7A057" w14:textId="77777777" w:rsidR="007968EC" w:rsidRPr="002C0D19" w:rsidRDefault="007968EC" w:rsidP="00DA7472">
      <w:pPr>
        <w:numPr>
          <w:ilvl w:val="0"/>
          <w:numId w:val="204"/>
        </w:numPr>
        <w:autoSpaceDE w:val="0"/>
        <w:autoSpaceDN w:val="0"/>
        <w:adjustRightInd w:val="0"/>
        <w:ind w:left="599" w:hanging="283"/>
        <w:jc w:val="both"/>
        <w:rPr>
          <w:rFonts w:ascii="Arial Narrow" w:eastAsia="Calibri" w:hAnsi="Arial Narrow"/>
          <w:color w:val="000000" w:themeColor="text1"/>
        </w:rPr>
      </w:pPr>
      <w:r w:rsidRPr="002C0D19">
        <w:rPr>
          <w:rFonts w:ascii="Arial Narrow" w:eastAsia="Calibri" w:hAnsi="Arial Narrow"/>
          <w:color w:val="000000" w:themeColor="text1"/>
        </w:rPr>
        <w:t>Operaciones sobre Instrumentos Financieros Derivados No Estandarizados de venta: La Cámara calcula la diferencia entre el Precio de Negociación y el Precio de Valoración de Cierre de la sesión. En el evento en que la diferencia sea positiva el titular de la Cuenta tendrá derecho a recibir el dinero efectivo correspondiente al valor de la diferencia multiplicado por la Posición Abierta, en caso contrario, deberá entregar a la Cámara dicho valor.</w:t>
      </w:r>
    </w:p>
    <w:p w14:paraId="018F03D3" w14:textId="77777777" w:rsidR="007968EC" w:rsidRPr="002C0D19" w:rsidRDefault="007968EC" w:rsidP="007968EC">
      <w:pPr>
        <w:autoSpaceDE w:val="0"/>
        <w:autoSpaceDN w:val="0"/>
        <w:adjustRightInd w:val="0"/>
        <w:ind w:left="599"/>
        <w:jc w:val="both"/>
        <w:rPr>
          <w:rFonts w:ascii="Arial Narrow" w:eastAsia="Calibri" w:hAnsi="Arial Narrow"/>
          <w:color w:val="000000" w:themeColor="text1"/>
        </w:rPr>
      </w:pPr>
    </w:p>
    <w:p w14:paraId="66925D70" w14:textId="77777777" w:rsidR="007968EC" w:rsidRPr="002C0D19" w:rsidRDefault="007968EC" w:rsidP="00DA7472">
      <w:pPr>
        <w:numPr>
          <w:ilvl w:val="0"/>
          <w:numId w:val="205"/>
        </w:numPr>
        <w:autoSpaceDE w:val="0"/>
        <w:autoSpaceDN w:val="0"/>
        <w:adjustRightInd w:val="0"/>
        <w:ind w:left="457" w:hanging="425"/>
        <w:contextualSpacing/>
        <w:jc w:val="both"/>
        <w:rPr>
          <w:rFonts w:ascii="Arial Narrow" w:eastAsia="Calibri" w:hAnsi="Arial Narrow"/>
          <w:bCs/>
          <w:color w:val="000000" w:themeColor="text1"/>
        </w:rPr>
      </w:pPr>
      <w:r w:rsidRPr="002C0D19">
        <w:rPr>
          <w:rFonts w:ascii="Arial Narrow" w:eastAsia="Calibri" w:hAnsi="Arial Narrow"/>
          <w:color w:val="000000" w:themeColor="text1"/>
          <w:u w:val="single"/>
          <w:lang w:eastAsia="es-CO"/>
        </w:rPr>
        <w:t xml:space="preserve">Garantías </w:t>
      </w:r>
      <w:r w:rsidRPr="002C0D19">
        <w:rPr>
          <w:rFonts w:ascii="Arial Narrow" w:eastAsia="Calibri" w:hAnsi="Arial Narrow"/>
          <w:bCs/>
          <w:color w:val="000000" w:themeColor="text1"/>
          <w:u w:val="single"/>
        </w:rPr>
        <w:t>por Posición</w:t>
      </w:r>
      <w:r w:rsidRPr="002C0D19">
        <w:rPr>
          <w:rFonts w:ascii="Arial Narrow" w:eastAsia="Calibri" w:hAnsi="Arial Narrow"/>
          <w:bCs/>
          <w:color w:val="000000" w:themeColor="text1"/>
        </w:rPr>
        <w:t>: El Sistema de Cámara calculará los ajustes de los montos requeridos en Garantías por Posición por las Posiciones Abiertas de las Operaciones Aceptadas en la forma en que se establece en el Reglamento y en la presente Circular</w:t>
      </w:r>
    </w:p>
    <w:p w14:paraId="18177CD7" w14:textId="77777777" w:rsidR="007968EC" w:rsidRPr="002C0D19" w:rsidRDefault="007968EC" w:rsidP="007968EC">
      <w:pPr>
        <w:jc w:val="both"/>
        <w:rPr>
          <w:rFonts w:ascii="Arial Narrow" w:eastAsia="Calibri" w:hAnsi="Arial Narrow"/>
          <w:bCs/>
          <w:color w:val="000000" w:themeColor="text1"/>
        </w:rPr>
      </w:pPr>
    </w:p>
    <w:p w14:paraId="581CF94E" w14:textId="77777777" w:rsidR="007968EC" w:rsidRPr="002C0D19" w:rsidRDefault="007968EC" w:rsidP="00DA7472">
      <w:pPr>
        <w:numPr>
          <w:ilvl w:val="0"/>
          <w:numId w:val="205"/>
        </w:numPr>
        <w:autoSpaceDE w:val="0"/>
        <w:autoSpaceDN w:val="0"/>
        <w:adjustRightInd w:val="0"/>
        <w:ind w:left="457" w:hanging="425"/>
        <w:contextualSpacing/>
        <w:jc w:val="both"/>
        <w:rPr>
          <w:rFonts w:ascii="Arial Narrow" w:eastAsia="Calibri" w:hAnsi="Arial Narrow"/>
          <w:bCs/>
          <w:color w:val="000000" w:themeColor="text1"/>
        </w:rPr>
      </w:pPr>
      <w:r w:rsidRPr="002C0D19">
        <w:rPr>
          <w:rFonts w:ascii="Arial Narrow" w:eastAsia="Calibri" w:hAnsi="Arial Narrow"/>
          <w:bCs/>
          <w:color w:val="000000" w:themeColor="text1"/>
          <w:u w:val="single"/>
        </w:rPr>
        <w:t>Garantías Extraordinarias</w:t>
      </w:r>
      <w:r w:rsidRPr="002C0D19">
        <w:rPr>
          <w:rFonts w:ascii="Arial Narrow" w:eastAsia="Calibri" w:hAnsi="Arial Narrow"/>
          <w:bCs/>
          <w:color w:val="000000" w:themeColor="text1"/>
        </w:rPr>
        <w:t>: Sin perjuicio de lo previsto en la presente Circular para la constitución de Garantías Extraordinarias en el procedimiento de Margin Call, el Sistema de Cámara calculará los ajustes de los montos requeridos en Garantías Extraordinarias por las Posiciones Abiertas de los Operaciones Aceptadas en la forma como se establece en el Reglamento y en esta Circular.</w:t>
      </w:r>
    </w:p>
    <w:p w14:paraId="6A94FDD3" w14:textId="77777777" w:rsidR="007968EC" w:rsidRPr="002C0D19" w:rsidRDefault="007968EC" w:rsidP="007968EC">
      <w:pPr>
        <w:ind w:left="708"/>
        <w:jc w:val="both"/>
        <w:rPr>
          <w:rFonts w:ascii="Arial Narrow" w:eastAsia="Calibri" w:hAnsi="Arial Narrow"/>
          <w:bCs/>
          <w:color w:val="000000" w:themeColor="text1"/>
        </w:rPr>
      </w:pPr>
    </w:p>
    <w:p w14:paraId="70DA7558" w14:textId="77777777" w:rsidR="007968EC" w:rsidRPr="002C0D19" w:rsidRDefault="007968EC" w:rsidP="00DA7472">
      <w:pPr>
        <w:numPr>
          <w:ilvl w:val="0"/>
          <w:numId w:val="205"/>
        </w:numPr>
        <w:autoSpaceDE w:val="0"/>
        <w:autoSpaceDN w:val="0"/>
        <w:adjustRightInd w:val="0"/>
        <w:ind w:left="457" w:hanging="425"/>
        <w:contextualSpacing/>
        <w:jc w:val="both"/>
        <w:rPr>
          <w:rFonts w:ascii="Arial Narrow" w:eastAsia="Calibri" w:hAnsi="Arial Narrow"/>
          <w:bCs/>
          <w:color w:val="000000" w:themeColor="text1"/>
        </w:rPr>
      </w:pPr>
      <w:r w:rsidRPr="002C0D19">
        <w:rPr>
          <w:rFonts w:ascii="Arial Narrow" w:eastAsia="Calibri" w:hAnsi="Arial Narrow"/>
          <w:bCs/>
          <w:color w:val="000000" w:themeColor="text1"/>
          <w:u w:val="single"/>
        </w:rPr>
        <w:t>Remuneración de las Garantías</w:t>
      </w:r>
      <w:r w:rsidRPr="002C0D19">
        <w:rPr>
          <w:rFonts w:ascii="Arial Narrow" w:eastAsia="Calibri" w:hAnsi="Arial Narrow"/>
          <w:bCs/>
          <w:color w:val="000000" w:themeColor="text1"/>
        </w:rPr>
        <w:t>: La Cámara entregará la totalidad de la remuneración de las Garantías constituidas en efectivo de toda la estructura de cuentas del Miembro que haya autorizado su inversión, conforme con la metodología contenida en el numeral 2 del artículo 1.6.4.14. de la presente Circu</w:t>
      </w:r>
      <w:r w:rsidRPr="002C0D19">
        <w:rPr>
          <w:rFonts w:ascii="Arial Narrow" w:eastAsia="Calibri" w:hAnsi="Arial Narrow" w:cs="Arial Narrow"/>
          <w:color w:val="000000" w:themeColor="text1"/>
          <w:lang w:eastAsia="es-CO"/>
        </w:rPr>
        <w:t>lar.</w:t>
      </w:r>
    </w:p>
    <w:p w14:paraId="07D4AE2D" w14:textId="77777777" w:rsidR="007968EC" w:rsidRPr="002C0D19" w:rsidRDefault="007968EC" w:rsidP="007968EC">
      <w:pPr>
        <w:keepNext/>
        <w:autoSpaceDE w:val="0"/>
        <w:autoSpaceDN w:val="0"/>
        <w:contextualSpacing/>
        <w:jc w:val="both"/>
        <w:rPr>
          <w:rFonts w:ascii="Arial Narrow" w:eastAsia="Calibri" w:hAnsi="Arial Narrow"/>
          <w:color w:val="000000" w:themeColor="text1"/>
        </w:rPr>
      </w:pPr>
    </w:p>
    <w:p w14:paraId="052ABBE8" w14:textId="77777777" w:rsidR="007968EC" w:rsidRPr="002C0D19" w:rsidRDefault="007968EC" w:rsidP="007968EC">
      <w:pPr>
        <w:pStyle w:val="ARTICULO0"/>
      </w:pPr>
      <w:bookmarkStart w:id="4762" w:name="_Toc470779988"/>
      <w:bookmarkStart w:id="4763" w:name="_Toc470780605"/>
      <w:bookmarkStart w:id="4764" w:name="_Toc470781118"/>
      <w:bookmarkStart w:id="4765" w:name="_Toc470784679"/>
      <w:bookmarkStart w:id="4766" w:name="_Toc470785216"/>
      <w:bookmarkStart w:id="4767" w:name="_Toc470791610"/>
      <w:bookmarkStart w:id="4768" w:name="_Toc472592355"/>
      <w:bookmarkStart w:id="4769" w:name="_Toc472593374"/>
      <w:bookmarkStart w:id="4770" w:name="_Toc479057162"/>
      <w:bookmarkStart w:id="4771" w:name="_Toc490066516"/>
      <w:bookmarkStart w:id="4772" w:name="_Toc31716176"/>
      <w:r w:rsidRPr="002C0D19">
        <w:t xml:space="preserve">Artículo 2.4.5.3. Procedimiento para el cálculo de la Liquidación al Vencimiento a Precio de Valoración de Cierre de Instrumentos Financieros Derivados No Estandarizados provenientes de sistemas de </w:t>
      </w:r>
      <w:r w:rsidRPr="002C0D19">
        <w:lastRenderedPageBreak/>
        <w:t>negociación y/o registro o Mecanismo de Contratación cuyo Tipo de Liquidación incluya Liquidación Únicamente al Vencimiento.</w:t>
      </w:r>
      <w:bookmarkEnd w:id="4762"/>
      <w:bookmarkEnd w:id="4763"/>
      <w:bookmarkEnd w:id="4764"/>
      <w:bookmarkEnd w:id="4765"/>
      <w:bookmarkEnd w:id="4766"/>
      <w:bookmarkEnd w:id="4767"/>
      <w:bookmarkEnd w:id="4768"/>
      <w:bookmarkEnd w:id="4769"/>
      <w:bookmarkEnd w:id="4770"/>
      <w:bookmarkEnd w:id="4771"/>
      <w:bookmarkEnd w:id="4772"/>
    </w:p>
    <w:p w14:paraId="537778AA" w14:textId="77777777" w:rsidR="007968EC" w:rsidRPr="002C0D19" w:rsidRDefault="007968EC" w:rsidP="007968EC">
      <w:pPr>
        <w:contextualSpacing/>
        <w:jc w:val="both"/>
        <w:rPr>
          <w:rFonts w:ascii="Arial Narrow" w:eastAsia="Calibri" w:hAnsi="Arial Narrow"/>
          <w:color w:val="000000" w:themeColor="text1"/>
        </w:rPr>
      </w:pPr>
    </w:p>
    <w:p w14:paraId="295CF33E" w14:textId="77777777" w:rsidR="007968EC" w:rsidRPr="002C0D19" w:rsidRDefault="007968EC" w:rsidP="007968EC">
      <w:pPr>
        <w:contextualSpacing/>
        <w:jc w:val="both"/>
        <w:rPr>
          <w:rFonts w:ascii="Arial Narrow" w:eastAsia="Calibri" w:hAnsi="Arial Narrow"/>
          <w:b/>
          <w:color w:val="000000" w:themeColor="text1"/>
        </w:rPr>
      </w:pPr>
      <w:r w:rsidRPr="002C0D19">
        <w:rPr>
          <w:rFonts w:ascii="Arial Narrow" w:eastAsia="Calibri" w:hAnsi="Arial Narrow"/>
          <w:color w:val="000000" w:themeColor="text1"/>
        </w:rPr>
        <w:t>Las operaciones sobre cada vencimiento del Instrumento Financiero Derivado No Estandarizados, serán valoradas, al final de la sesión correspondiente al día hábil anterior a la fecha de vencimiento, al Precio de Valoración de Cierre entregado por el Proveedor oficial de Precios para Valoración y se realizará de acuerdo con la siguiente fórmula</w:t>
      </w:r>
    </w:p>
    <w:p w14:paraId="6DEC510F" w14:textId="77777777" w:rsidR="007968EC" w:rsidRPr="002C0D19" w:rsidRDefault="007968EC" w:rsidP="007968EC">
      <w:pPr>
        <w:autoSpaceDE w:val="0"/>
        <w:autoSpaceDN w:val="0"/>
        <w:adjustRightInd w:val="0"/>
        <w:jc w:val="both"/>
        <w:rPr>
          <w:rFonts w:ascii="Arial Narrow" w:eastAsia="Calibri" w:hAnsi="Arial Narrow"/>
          <w:b/>
          <w:color w:val="000000" w:themeColor="text1"/>
        </w:rPr>
      </w:pPr>
    </w:p>
    <w:p w14:paraId="1DEEADDA" w14:textId="77777777" w:rsidR="007968EC" w:rsidRPr="002C0D19" w:rsidRDefault="007968EC" w:rsidP="007968EC">
      <w:pPr>
        <w:autoSpaceDE w:val="0"/>
        <w:autoSpaceDN w:val="0"/>
        <w:adjustRightInd w:val="0"/>
        <w:jc w:val="both"/>
        <w:rPr>
          <w:rFonts w:ascii="Arial Narrow" w:eastAsia="Calibri" w:hAnsi="Arial Narrow"/>
          <w:b/>
          <w:color w:val="000000" w:themeColor="text1"/>
        </w:rPr>
      </w:pPr>
      <m:oMathPara>
        <m:oMath>
          <m:r>
            <m:rPr>
              <m:sty m:val="bi"/>
            </m:rPr>
            <w:rPr>
              <w:rFonts w:ascii="Cambria Math" w:eastAsia="Calibri" w:hAnsi="Cambria Math"/>
              <w:color w:val="000000" w:themeColor="text1"/>
            </w:rPr>
            <m:t>LiqVto=</m:t>
          </m:r>
          <m:d>
            <m:dPr>
              <m:ctrlPr>
                <w:rPr>
                  <w:rFonts w:ascii="Cambria Math" w:eastAsia="Calibri" w:hAnsi="Cambria Math"/>
                  <w:b/>
                  <w:i/>
                  <w:color w:val="000000" w:themeColor="text1"/>
                </w:rPr>
              </m:ctrlPr>
            </m:dPr>
            <m:e>
              <m:sSub>
                <m:sSubPr>
                  <m:ctrlPr>
                    <w:rPr>
                      <w:rFonts w:ascii="Cambria Math" w:eastAsia="Calibri" w:hAnsi="Cambria Math"/>
                      <w:b/>
                      <w:i/>
                      <w:color w:val="000000" w:themeColor="text1"/>
                    </w:rPr>
                  </m:ctrlPr>
                </m:sSubPr>
                <m:e>
                  <m:r>
                    <m:rPr>
                      <m:sty m:val="bi"/>
                    </m:rPr>
                    <w:rPr>
                      <w:rFonts w:ascii="Cambria Math" w:eastAsia="Calibri" w:hAnsi="Cambria Math"/>
                      <w:color w:val="000000" w:themeColor="text1"/>
                    </w:rPr>
                    <m:t>PLV</m:t>
                  </m:r>
                </m:e>
                <m:sub>
                  <m:r>
                    <m:rPr>
                      <m:sty m:val="bi"/>
                    </m:rPr>
                    <w:rPr>
                      <w:rFonts w:ascii="Cambria Math" w:eastAsia="Calibri" w:hAnsi="Cambria Math"/>
                      <w:color w:val="000000" w:themeColor="text1"/>
                    </w:rPr>
                    <m:t>t</m:t>
                  </m:r>
                </m:sub>
              </m:sSub>
              <m:r>
                <m:rPr>
                  <m:sty m:val="bi"/>
                </m:rPr>
                <w:rPr>
                  <w:rFonts w:ascii="Cambria Math" w:eastAsia="Calibri" w:hAnsi="Cambria Math"/>
                  <w:color w:val="000000" w:themeColor="text1"/>
                </w:rPr>
                <m:t>-PN</m:t>
              </m:r>
            </m:e>
          </m:d>
          <m:r>
            <m:rPr>
              <m:sty m:val="bi"/>
            </m:rPr>
            <w:rPr>
              <w:rFonts w:ascii="Cambria Math" w:eastAsia="Calibri" w:hAnsi="Cambria Math"/>
              <w:color w:val="000000" w:themeColor="text1"/>
            </w:rPr>
            <m:t>*</m:t>
          </m:r>
          <m:r>
            <m:rPr>
              <m:sty m:val="b"/>
            </m:rPr>
            <w:rPr>
              <w:rFonts w:ascii="Cambria Math" w:eastAsia="Calibri" w:hAnsi="Cambria Math"/>
              <w:color w:val="000000" w:themeColor="text1"/>
            </w:rPr>
            <m:t>N</m:t>
          </m:r>
        </m:oMath>
      </m:oMathPara>
    </w:p>
    <w:p w14:paraId="68905258" w14:textId="77777777" w:rsidR="007968EC" w:rsidRPr="002C0D19" w:rsidRDefault="007968EC" w:rsidP="007968EC">
      <w:pPr>
        <w:ind w:left="993" w:hanging="567"/>
        <w:jc w:val="both"/>
        <w:rPr>
          <w:rFonts w:ascii="Arial Narrow" w:eastAsia="Calibri" w:hAnsi="Arial Narrow"/>
          <w:b/>
          <w:color w:val="000000" w:themeColor="text1"/>
        </w:rPr>
      </w:pPr>
    </w:p>
    <w:p w14:paraId="03B3E51F" w14:textId="77777777" w:rsidR="007968EC" w:rsidRPr="002C0D19" w:rsidRDefault="007968EC" w:rsidP="007968EC">
      <w:pPr>
        <w:ind w:left="993" w:hanging="567"/>
        <w:jc w:val="both"/>
        <w:rPr>
          <w:rFonts w:ascii="Arial Narrow" w:eastAsia="Calibri" w:hAnsi="Arial Narrow"/>
          <w:b/>
          <w:color w:val="000000" w:themeColor="text1"/>
        </w:rPr>
      </w:pPr>
      <w:r w:rsidRPr="002C0D19">
        <w:rPr>
          <w:rFonts w:ascii="Arial Narrow" w:eastAsia="Calibri" w:hAnsi="Arial Narrow"/>
          <w:color w:val="000000" w:themeColor="text1"/>
        </w:rPr>
        <w:t xml:space="preserve">Donde </w:t>
      </w:r>
    </w:p>
    <w:p w14:paraId="27698000" w14:textId="77777777" w:rsidR="007968EC" w:rsidRPr="002C0D19" w:rsidRDefault="007968EC" w:rsidP="007968EC">
      <w:pPr>
        <w:ind w:left="993" w:hanging="567"/>
        <w:jc w:val="both"/>
        <w:rPr>
          <w:rFonts w:ascii="Arial Narrow" w:eastAsia="Calibri" w:hAnsi="Arial Narrow"/>
          <w:b/>
          <w:color w:val="000000" w:themeColor="text1"/>
        </w:rPr>
      </w:pPr>
    </w:p>
    <w:p w14:paraId="15603A26" w14:textId="77777777" w:rsidR="007968EC" w:rsidRPr="002C0D19" w:rsidRDefault="00682D97" w:rsidP="007968EC">
      <w:pPr>
        <w:ind w:left="993" w:hanging="567"/>
        <w:jc w:val="both"/>
        <w:rPr>
          <w:rFonts w:ascii="Arial Narrow" w:eastAsia="Calibri" w:hAnsi="Arial Narrow"/>
          <w:b/>
          <w:color w:val="000000" w:themeColor="text1"/>
        </w:rPr>
      </w:pPr>
      <m:oMath>
        <m:sSub>
          <m:sSubPr>
            <m:ctrlPr>
              <w:rPr>
                <w:rFonts w:ascii="Cambria Math" w:eastAsia="Calibri" w:hAnsi="Cambria Math"/>
                <w:b/>
                <w:color w:val="000000" w:themeColor="text1"/>
              </w:rPr>
            </m:ctrlPr>
          </m:sSubPr>
          <m:e>
            <m:r>
              <m:rPr>
                <m:sty m:val="b"/>
              </m:rPr>
              <w:rPr>
                <w:rFonts w:ascii="Cambria Math" w:eastAsia="Calibri" w:hAnsi="Cambria Math"/>
                <w:color w:val="000000" w:themeColor="text1"/>
              </w:rPr>
              <m:t>LiqVto</m:t>
            </m:r>
          </m:e>
          <m:sub>
            <m:r>
              <m:rPr>
                <m:sty m:val="b"/>
              </m:rPr>
              <w:rPr>
                <w:rFonts w:ascii="Cambria Math" w:eastAsia="Calibri" w:hAnsi="Cambria Math"/>
                <w:color w:val="000000" w:themeColor="text1"/>
              </w:rPr>
              <m:t>t</m:t>
            </m:r>
          </m:sub>
        </m:sSub>
      </m:oMath>
      <w:r w:rsidR="007968EC" w:rsidRPr="002C0D19">
        <w:rPr>
          <w:rFonts w:ascii="Arial Narrow" w:eastAsia="Calibri" w:hAnsi="Arial Narrow"/>
          <w:color w:val="000000" w:themeColor="text1"/>
        </w:rPr>
        <w:t xml:space="preserve"> = Liquidación al Vencimiento</w:t>
      </w:r>
    </w:p>
    <w:p w14:paraId="27A3757C" w14:textId="77777777" w:rsidR="007968EC" w:rsidRPr="002C0D19" w:rsidRDefault="00682D97" w:rsidP="007968EC">
      <w:pPr>
        <w:ind w:left="993" w:hanging="567"/>
        <w:jc w:val="both"/>
        <w:rPr>
          <w:rFonts w:ascii="Arial Narrow" w:eastAsia="Calibri" w:hAnsi="Arial Narrow"/>
          <w:b/>
          <w:color w:val="000000" w:themeColor="text1"/>
        </w:rPr>
      </w:pPr>
      <m:oMath>
        <m:sSub>
          <m:sSubPr>
            <m:ctrlPr>
              <w:rPr>
                <w:rFonts w:ascii="Cambria Math" w:eastAsia="Calibri" w:hAnsi="Cambria Math"/>
                <w:b/>
                <w:color w:val="000000" w:themeColor="text1"/>
              </w:rPr>
            </m:ctrlPr>
          </m:sSubPr>
          <m:e>
            <m:r>
              <m:rPr>
                <m:sty m:val="b"/>
              </m:rPr>
              <w:rPr>
                <w:rFonts w:ascii="Cambria Math" w:eastAsia="Calibri" w:hAnsi="Cambria Math"/>
                <w:color w:val="000000" w:themeColor="text1"/>
              </w:rPr>
              <m:t>PL</m:t>
            </m:r>
          </m:e>
          <m:sub>
            <m:r>
              <m:rPr>
                <m:sty m:val="b"/>
              </m:rPr>
              <w:rPr>
                <w:rFonts w:ascii="Cambria Math" w:eastAsia="Calibri" w:hAnsi="Cambria Math"/>
                <w:color w:val="000000" w:themeColor="text1"/>
              </w:rPr>
              <m:t>t</m:t>
            </m:r>
          </m:sub>
        </m:sSub>
      </m:oMath>
      <w:r w:rsidR="007968EC" w:rsidRPr="002C0D19">
        <w:rPr>
          <w:rFonts w:ascii="Arial Narrow" w:eastAsia="Calibri" w:hAnsi="Arial Narrow"/>
          <w:color w:val="000000" w:themeColor="text1"/>
        </w:rPr>
        <w:t xml:space="preserve">  = Precio de Valoración de Cierre</w:t>
      </w:r>
    </w:p>
    <w:p w14:paraId="44DED9EF" w14:textId="77777777" w:rsidR="007968EC" w:rsidRPr="002C0D19" w:rsidRDefault="00682D97" w:rsidP="007968EC">
      <w:pPr>
        <w:ind w:left="426"/>
        <w:jc w:val="both"/>
        <w:rPr>
          <w:rFonts w:ascii="Arial Narrow" w:eastAsia="Calibri" w:hAnsi="Arial Narrow"/>
          <w:b/>
          <w:color w:val="000000" w:themeColor="text1"/>
        </w:rPr>
      </w:pPr>
      <m:oMath>
        <m:sSub>
          <m:sSubPr>
            <m:ctrlPr>
              <w:rPr>
                <w:rFonts w:ascii="Cambria Math" w:eastAsia="Calibri" w:hAnsi="Cambria Math"/>
                <w:b/>
                <w:color w:val="000000" w:themeColor="text1"/>
              </w:rPr>
            </m:ctrlPr>
          </m:sSubPr>
          <m:e>
            <m:r>
              <m:rPr>
                <m:sty m:val="b"/>
              </m:rPr>
              <w:rPr>
                <w:rFonts w:ascii="Cambria Math" w:eastAsia="Calibri" w:hAnsi="Cambria Math"/>
                <w:color w:val="000000" w:themeColor="text1"/>
              </w:rPr>
              <m:t>PN</m:t>
            </m:r>
          </m:e>
          <m:sub/>
        </m:sSub>
      </m:oMath>
      <w:r w:rsidR="007968EC" w:rsidRPr="002C0D19">
        <w:rPr>
          <w:rFonts w:ascii="Arial Narrow" w:eastAsia="Calibri" w:hAnsi="Arial Narrow"/>
          <w:color w:val="000000" w:themeColor="text1"/>
        </w:rPr>
        <w:t>= Precio de Negociación.</w:t>
      </w:r>
    </w:p>
    <w:p w14:paraId="345B6F08" w14:textId="77777777" w:rsidR="007968EC" w:rsidRPr="002C0D19" w:rsidRDefault="007968EC" w:rsidP="007968EC">
      <w:pPr>
        <w:ind w:left="426"/>
        <w:jc w:val="both"/>
        <w:rPr>
          <w:rFonts w:ascii="Arial Narrow" w:eastAsia="Calibri" w:hAnsi="Arial Narrow"/>
          <w:color w:val="000000" w:themeColor="text1"/>
        </w:rPr>
      </w:pPr>
      <m:oMath>
        <m:r>
          <m:rPr>
            <m:sty m:val="b"/>
          </m:rPr>
          <w:rPr>
            <w:rFonts w:ascii="Cambria Math" w:eastAsia="Calibri" w:hAnsi="Cambria Math"/>
            <w:color w:val="000000" w:themeColor="text1"/>
          </w:rPr>
          <m:t>Na</m:t>
        </m:r>
      </m:oMath>
      <w:r w:rsidRPr="002C0D19">
        <w:rPr>
          <w:rFonts w:ascii="Arial Narrow" w:eastAsia="Calibri" w:hAnsi="Arial Narrow"/>
          <w:color w:val="000000" w:themeColor="text1"/>
        </w:rPr>
        <w:t xml:space="preserve">  = Valor Nominal de compra o de venta según corresponda.  Llevará signo positivo en el caso de operaciones de compra y negativo en el caso de operaciones de venta.</w:t>
      </w:r>
    </w:p>
    <w:p w14:paraId="32BF4B24" w14:textId="77777777" w:rsidR="007968EC" w:rsidRPr="005703C9" w:rsidRDefault="007968EC" w:rsidP="007968EC">
      <w:pPr>
        <w:jc w:val="both"/>
        <w:rPr>
          <w:rFonts w:ascii="Arial Narrow" w:eastAsia="Calibri" w:hAnsi="Arial Narrow"/>
          <w:b/>
          <w:color w:val="000000" w:themeColor="text1"/>
        </w:rPr>
      </w:pPr>
    </w:p>
    <w:p w14:paraId="6FB2779F"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bCs/>
          <w:color w:val="000000" w:themeColor="text1"/>
        </w:rPr>
        <w:t>En general, cuando esta Liquidación sea positiva será acreditada a los Miembros Liquidadores y compensará los cargos ocasionados por otros conceptos que la Cámara incluye en la Sesión de Liquidación al Vencimiento cuando las Operaciones Aceptadas deban ser cumplidas con Liquidación por Diferencias; en caso contrario este importe será debitado de las cuentas de depósito en el Banco de la República que los Miembros Liquidadores tienen registrado en el Sistema.</w:t>
      </w:r>
    </w:p>
    <w:p w14:paraId="2CA3FCE8" w14:textId="77777777" w:rsidR="007968EC" w:rsidRPr="002C0D19" w:rsidRDefault="007968EC" w:rsidP="007968EC">
      <w:pPr>
        <w:jc w:val="both"/>
        <w:rPr>
          <w:rFonts w:ascii="Arial Narrow" w:eastAsia="Calibri" w:hAnsi="Arial Narrow"/>
          <w:bCs/>
          <w:color w:val="000000" w:themeColor="text1"/>
        </w:rPr>
      </w:pPr>
    </w:p>
    <w:p w14:paraId="2A2A2AB9" w14:textId="77777777" w:rsidR="007968EC" w:rsidRPr="002C0D19" w:rsidRDefault="007968EC" w:rsidP="007968EC">
      <w:pPr>
        <w:pStyle w:val="ARTICULO0"/>
      </w:pPr>
      <w:bookmarkStart w:id="4773" w:name="_Toc470779989"/>
      <w:bookmarkStart w:id="4774" w:name="_Toc470780606"/>
      <w:bookmarkStart w:id="4775" w:name="_Toc470781119"/>
      <w:bookmarkStart w:id="4776" w:name="_Toc470784680"/>
      <w:bookmarkStart w:id="4777" w:name="_Toc470785217"/>
      <w:bookmarkStart w:id="4778" w:name="_Toc470791611"/>
      <w:bookmarkStart w:id="4779" w:name="_Toc472592356"/>
      <w:bookmarkStart w:id="4780" w:name="_Toc472593375"/>
      <w:bookmarkStart w:id="4781" w:name="_Toc479057163"/>
      <w:bookmarkStart w:id="4782" w:name="_Toc490066517"/>
      <w:bookmarkStart w:id="4783" w:name="_Toc31716177"/>
      <w:r>
        <w:t xml:space="preserve">Artículo 2.4.5.4. </w:t>
      </w:r>
      <w:r w:rsidRPr="002C0D19">
        <w:t>Etapas del Procedimiento de Liquidación al Vencimiento de Operaciones sobre Instrumentos Financieros Derivados No Estandarizados provenientes de sistemas de negociación y/o registro o cualquier Mecanismo de Contratación cuyo Tipo de Liquidación incluya Liquidación Únicamente al Vencimiento.</w:t>
      </w:r>
      <w:bookmarkEnd w:id="4773"/>
      <w:bookmarkEnd w:id="4774"/>
      <w:bookmarkEnd w:id="4775"/>
      <w:bookmarkEnd w:id="4776"/>
      <w:bookmarkEnd w:id="4777"/>
      <w:bookmarkEnd w:id="4778"/>
      <w:bookmarkEnd w:id="4779"/>
      <w:bookmarkEnd w:id="4780"/>
      <w:bookmarkEnd w:id="4781"/>
      <w:bookmarkEnd w:id="4782"/>
      <w:bookmarkEnd w:id="4783"/>
    </w:p>
    <w:p w14:paraId="2EB5B7E6" w14:textId="77777777" w:rsidR="007968EC" w:rsidRPr="002C0D19" w:rsidRDefault="007968EC" w:rsidP="007968EC">
      <w:pPr>
        <w:jc w:val="both"/>
        <w:rPr>
          <w:rFonts w:ascii="Arial Narrow" w:eastAsia="Calibri" w:hAnsi="Arial Narrow"/>
          <w:b/>
          <w:bCs/>
          <w:color w:val="000000" w:themeColor="text1"/>
        </w:rPr>
      </w:pPr>
    </w:p>
    <w:p w14:paraId="0C5CD158"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El procedimiento de Liquidación al Vencimiento Operaciones sobre Instrumentos Financieros Derivados No Estandarizados cuyo Tipo de Liquidación sea únicamente al Vencimiento, se llevará a cabo en las siguientes etapas:</w:t>
      </w:r>
    </w:p>
    <w:p w14:paraId="5FD7C7D3" w14:textId="77777777" w:rsidR="007968EC" w:rsidRPr="005703C9" w:rsidRDefault="007968EC" w:rsidP="007968EC">
      <w:pPr>
        <w:jc w:val="both"/>
        <w:rPr>
          <w:rFonts w:ascii="Arial Narrow" w:eastAsia="Calibri" w:hAnsi="Arial Narrow"/>
          <w:b/>
          <w:color w:val="000000" w:themeColor="text1"/>
        </w:rPr>
      </w:pPr>
    </w:p>
    <w:p w14:paraId="7419E5F5" w14:textId="77777777" w:rsidR="007968EC" w:rsidRPr="002C0D19" w:rsidRDefault="007968EC" w:rsidP="00DA7472">
      <w:pPr>
        <w:numPr>
          <w:ilvl w:val="0"/>
          <w:numId w:val="206"/>
        </w:numPr>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u w:val="single"/>
        </w:rPr>
        <w:t>Primera etapa</w:t>
      </w:r>
      <w:r w:rsidRPr="002C0D19">
        <w:rPr>
          <w:rFonts w:ascii="Arial Narrow" w:eastAsia="Calibri" w:hAnsi="Arial Narrow"/>
          <w:color w:val="000000" w:themeColor="text1"/>
        </w:rPr>
        <w:t xml:space="preserve">: La Cámara entregará al Miembro Liquidador la información acerca de la Liquidación al Vencimiento de las operaciones registradas a través del Sistema de Cámara antes del inicio de la Sesión de Aceptación de Operaciones en la fecha de vencimiento de las Operaciones Aceptadas. La información incluirá la situación detallada de sus Cuentas, de sus Terceros Identificados. </w:t>
      </w:r>
    </w:p>
    <w:p w14:paraId="2097CEF5" w14:textId="77777777" w:rsidR="007968EC" w:rsidRPr="005703C9" w:rsidRDefault="007968EC" w:rsidP="007968EC">
      <w:pPr>
        <w:jc w:val="both"/>
        <w:rPr>
          <w:rFonts w:ascii="Arial Narrow" w:eastAsia="Calibri" w:hAnsi="Arial Narrow"/>
          <w:b/>
          <w:color w:val="000000" w:themeColor="text1"/>
        </w:rPr>
      </w:pPr>
    </w:p>
    <w:p w14:paraId="7AEB56A8" w14:textId="77777777" w:rsidR="007968EC" w:rsidRPr="002C0D19" w:rsidRDefault="007968EC" w:rsidP="007968EC">
      <w:pPr>
        <w:ind w:left="426"/>
        <w:contextualSpacing/>
        <w:jc w:val="both"/>
        <w:rPr>
          <w:rFonts w:ascii="Arial Narrow" w:eastAsia="Calibri" w:hAnsi="Arial Narrow"/>
          <w:color w:val="000000" w:themeColor="text1"/>
        </w:rPr>
      </w:pPr>
      <w:r w:rsidRPr="002C0D19">
        <w:rPr>
          <w:rFonts w:ascii="Arial Narrow" w:eastAsia="Calibri" w:hAnsi="Arial Narrow"/>
          <w:color w:val="000000" w:themeColor="text1"/>
        </w:rPr>
        <w:t>Con base en la información, la Cámara procederá a la preparación de las órdenes de transferencia por cargo o abono en la cuenta CUD del Miembro Liquidador en el Banco de la República.</w:t>
      </w:r>
    </w:p>
    <w:p w14:paraId="31685A14" w14:textId="77777777" w:rsidR="007968EC" w:rsidRPr="005703C9" w:rsidRDefault="007968EC" w:rsidP="007968EC">
      <w:pPr>
        <w:jc w:val="both"/>
        <w:rPr>
          <w:rFonts w:ascii="Arial Narrow" w:eastAsia="Calibri" w:hAnsi="Arial Narrow"/>
          <w:b/>
          <w:color w:val="000000" w:themeColor="text1"/>
        </w:rPr>
      </w:pPr>
    </w:p>
    <w:p w14:paraId="0B546C3D" w14:textId="77777777" w:rsidR="007968EC" w:rsidRPr="002C0D19" w:rsidRDefault="007968EC" w:rsidP="00DA7472">
      <w:pPr>
        <w:numPr>
          <w:ilvl w:val="0"/>
          <w:numId w:val="206"/>
        </w:numPr>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u w:val="single"/>
        </w:rPr>
        <w:t>Segunda etapa</w:t>
      </w:r>
      <w:r w:rsidRPr="002C0D19">
        <w:rPr>
          <w:rFonts w:ascii="Arial Narrow" w:eastAsia="Calibri" w:hAnsi="Arial Narrow"/>
          <w:color w:val="000000" w:themeColor="text1"/>
        </w:rPr>
        <w:t xml:space="preserve">: Se realiza en la Sesión denominada Liquidación al Vencimiento cuando las Operaciones Aceptadas deban ser cumplidas con Liquidación por Diferencias. La Cámara transmite las </w:t>
      </w:r>
      <w:r w:rsidRPr="002C0D19">
        <w:rPr>
          <w:rFonts w:ascii="Arial Narrow" w:eastAsia="Calibri" w:hAnsi="Arial Narrow"/>
          <w:color w:val="000000" w:themeColor="text1"/>
        </w:rPr>
        <w:lastRenderedPageBreak/>
        <w:t>órdenes de transferencia de cargo y abono en la cuenta CUD de los Miembros Liquidadores o de los Agentes de Pago, según corresponda, hacia el Sistema de Pagos del Banco de la República, de conformidad con la autorización de débito automático otorgada por cada uno de los Miembros o de los Agentes de Pago a la Cámara.</w:t>
      </w:r>
    </w:p>
    <w:p w14:paraId="40C911C3" w14:textId="77777777" w:rsidR="007968EC" w:rsidRPr="002C0D19" w:rsidRDefault="007968EC" w:rsidP="007968EC">
      <w:pPr>
        <w:ind w:left="426"/>
        <w:contextualSpacing/>
        <w:jc w:val="both"/>
        <w:rPr>
          <w:rFonts w:ascii="Arial Narrow" w:eastAsia="Calibri" w:hAnsi="Arial Narrow"/>
          <w:b/>
          <w:color w:val="000000" w:themeColor="text1"/>
        </w:rPr>
      </w:pPr>
    </w:p>
    <w:p w14:paraId="7CBB491E" w14:textId="77777777" w:rsidR="007968EC" w:rsidRPr="002C0D19" w:rsidRDefault="007968EC" w:rsidP="00DA7472">
      <w:pPr>
        <w:numPr>
          <w:ilvl w:val="0"/>
          <w:numId w:val="206"/>
        </w:numPr>
        <w:ind w:left="426" w:hanging="426"/>
        <w:contextualSpacing/>
        <w:jc w:val="both"/>
        <w:rPr>
          <w:rFonts w:ascii="Arial Narrow" w:eastAsia="Calibri" w:hAnsi="Arial Narrow"/>
          <w:b/>
          <w:color w:val="000000" w:themeColor="text1"/>
        </w:rPr>
      </w:pPr>
      <w:r w:rsidRPr="002C0D19">
        <w:rPr>
          <w:rFonts w:ascii="Arial Narrow" w:eastAsia="Calibri" w:hAnsi="Arial Narrow"/>
          <w:color w:val="000000" w:themeColor="text1"/>
          <w:u w:val="single"/>
        </w:rPr>
        <w:t>Tercera etapa:</w:t>
      </w:r>
      <w:r w:rsidRPr="002C0D19">
        <w:rPr>
          <w:rFonts w:ascii="Arial Narrow" w:eastAsia="Calibri" w:hAnsi="Arial Narrow"/>
          <w:color w:val="000000" w:themeColor="text1"/>
        </w:rPr>
        <w:t xml:space="preserve"> Una vez concluida la Sesión de Liquidación al Vencimiento cuando las Operaciones Aceptadas deban ser cumplidas con Liquidación por Diferencias, los Miembros Liquidadores, tienen la obligación de efectuar el proceso de entrega y cobro de efectivo, a los Terceros Identificados y Miembros no Liquidadores, correspondientes a la Liquidación al Vencimiento. Los Miembros No liquidadores deberán procesar la información ofrecida por los Terminales de Cámara con la información procedente de su Miembro Liquidador, con el fin de realizar la gestión de liquidación de la misma manera frente a sus Terceros Identificados.</w:t>
      </w:r>
    </w:p>
    <w:p w14:paraId="37F0F797" w14:textId="77777777" w:rsidR="007968EC" w:rsidRPr="002C0D19" w:rsidRDefault="007968EC" w:rsidP="007968EC">
      <w:pPr>
        <w:keepNext/>
        <w:autoSpaceDE w:val="0"/>
        <w:autoSpaceDN w:val="0"/>
        <w:ind w:left="426" w:hanging="426"/>
        <w:contextualSpacing/>
        <w:jc w:val="both"/>
        <w:rPr>
          <w:rFonts w:ascii="Arial Narrow" w:eastAsia="Calibri" w:hAnsi="Arial Narrow"/>
          <w:b/>
          <w:color w:val="000000" w:themeColor="text1"/>
        </w:rPr>
      </w:pPr>
    </w:p>
    <w:p w14:paraId="325720B7" w14:textId="77777777" w:rsidR="007968EC" w:rsidRPr="002C0D19" w:rsidRDefault="007968EC" w:rsidP="007968EC">
      <w:pPr>
        <w:pStyle w:val="ARTICULO0"/>
      </w:pPr>
      <w:bookmarkStart w:id="4784" w:name="_Toc470779990"/>
      <w:bookmarkStart w:id="4785" w:name="_Toc470780607"/>
      <w:bookmarkStart w:id="4786" w:name="_Toc470781120"/>
      <w:bookmarkStart w:id="4787" w:name="_Toc470784681"/>
      <w:bookmarkStart w:id="4788" w:name="_Toc470785218"/>
      <w:bookmarkStart w:id="4789" w:name="_Toc470791612"/>
      <w:bookmarkStart w:id="4790" w:name="_Toc472592357"/>
      <w:bookmarkStart w:id="4791" w:name="_Toc472593376"/>
      <w:bookmarkStart w:id="4792" w:name="_Toc479057164"/>
      <w:bookmarkStart w:id="4793" w:name="_Toc490066518"/>
      <w:bookmarkStart w:id="4794" w:name="_Toc31716178"/>
      <w:r w:rsidRPr="002C0D19">
        <w:t>Artículo 2.4.5.5. Pagos de Operaciones sobre Instrumentos Financieros Derivados No Estandarizados provenientes de sistemas de negociación y/o registro o cualquier Mecanismo de Contratación cuyo Tipo de Liquidación incluya la Liquidación Únicamente al Vencimiento.</w:t>
      </w:r>
      <w:bookmarkEnd w:id="4784"/>
      <w:bookmarkEnd w:id="4785"/>
      <w:bookmarkEnd w:id="4786"/>
      <w:bookmarkEnd w:id="4787"/>
      <w:bookmarkEnd w:id="4788"/>
      <w:bookmarkEnd w:id="4789"/>
      <w:bookmarkEnd w:id="4790"/>
      <w:bookmarkEnd w:id="4791"/>
      <w:bookmarkEnd w:id="4792"/>
      <w:bookmarkEnd w:id="4793"/>
      <w:bookmarkEnd w:id="4794"/>
    </w:p>
    <w:p w14:paraId="538EE38C" w14:textId="77777777" w:rsidR="007968EC" w:rsidRPr="002C0D19" w:rsidRDefault="007968EC" w:rsidP="007968EC">
      <w:pPr>
        <w:jc w:val="both"/>
        <w:rPr>
          <w:rFonts w:ascii="Arial Narrow" w:eastAsia="Calibri" w:hAnsi="Arial Narrow"/>
          <w:b/>
          <w:bCs/>
          <w:color w:val="000000" w:themeColor="text1"/>
        </w:rPr>
      </w:pPr>
    </w:p>
    <w:p w14:paraId="2BBC4E3F" w14:textId="77777777" w:rsidR="007968EC" w:rsidRPr="002C0D19" w:rsidRDefault="007968EC" w:rsidP="007968EC">
      <w:pPr>
        <w:jc w:val="both"/>
        <w:rPr>
          <w:rFonts w:ascii="Arial Narrow" w:eastAsia="Calibri" w:hAnsi="Arial Narrow"/>
          <w:bCs/>
          <w:color w:val="000000" w:themeColor="text1"/>
        </w:rPr>
      </w:pPr>
      <w:r w:rsidRPr="002C0D19">
        <w:rPr>
          <w:rFonts w:ascii="Arial Narrow" w:eastAsia="Calibri" w:hAnsi="Arial Narrow"/>
          <w:bCs/>
          <w:color w:val="000000" w:themeColor="text1"/>
        </w:rPr>
        <w:t>Este proceso se lleva a cabo durante la Sesión denominada Liquidación al Vencimiento cuando las Operaciones Aceptadas deban ser cumplidas con Liquidación por Diferencias, y se llevan a cabo las siguientes actividades:</w:t>
      </w:r>
    </w:p>
    <w:p w14:paraId="72129F4D" w14:textId="77777777" w:rsidR="007968EC" w:rsidRPr="002C0D19" w:rsidRDefault="007968EC" w:rsidP="007968EC">
      <w:pPr>
        <w:jc w:val="both"/>
        <w:rPr>
          <w:rFonts w:ascii="Arial Narrow" w:eastAsia="Calibri" w:hAnsi="Arial Narrow"/>
          <w:bCs/>
          <w:color w:val="000000" w:themeColor="text1"/>
        </w:rPr>
      </w:pPr>
    </w:p>
    <w:p w14:paraId="4F7633B3" w14:textId="77777777" w:rsidR="007968EC" w:rsidRPr="002C0D19" w:rsidRDefault="007968EC" w:rsidP="00DA7472">
      <w:pPr>
        <w:numPr>
          <w:ilvl w:val="0"/>
          <w:numId w:val="207"/>
        </w:numPr>
        <w:ind w:left="426" w:hanging="426"/>
        <w:contextualSpacing/>
        <w:jc w:val="both"/>
        <w:rPr>
          <w:rFonts w:ascii="Arial Narrow" w:eastAsia="Calibri" w:hAnsi="Arial Narrow"/>
          <w:bCs/>
          <w:color w:val="000000" w:themeColor="text1"/>
        </w:rPr>
      </w:pPr>
      <w:r w:rsidRPr="002C0D19">
        <w:rPr>
          <w:rFonts w:ascii="Arial Narrow" w:eastAsia="Calibri" w:hAnsi="Arial Narrow"/>
          <w:bCs/>
          <w:color w:val="000000" w:themeColor="text1"/>
        </w:rPr>
        <w:t>El Sistema genera las órdenes de transferencia al sistema de pagos del Banco de la República, con la solicitud de débito de dinero efectivo de las cuentas de depósito de los Agentes de Pago o Miembros Liquidadores que quedaron con una Posición neta deudora, para ser acreditado a la cuenta de la Cámara en el Banco de la República.</w:t>
      </w:r>
    </w:p>
    <w:p w14:paraId="04AA3512" w14:textId="77777777" w:rsidR="007968EC" w:rsidRPr="002C0D19" w:rsidRDefault="007968EC" w:rsidP="00DA7472">
      <w:pPr>
        <w:numPr>
          <w:ilvl w:val="0"/>
          <w:numId w:val="207"/>
        </w:numPr>
        <w:ind w:left="426" w:hanging="426"/>
        <w:contextualSpacing/>
        <w:jc w:val="both"/>
        <w:rPr>
          <w:rFonts w:ascii="Arial Narrow" w:eastAsia="Calibri" w:hAnsi="Arial Narrow"/>
          <w:bCs/>
          <w:color w:val="000000" w:themeColor="text1"/>
        </w:rPr>
      </w:pPr>
      <w:r w:rsidRPr="002C0D19">
        <w:rPr>
          <w:rFonts w:ascii="Arial Narrow" w:eastAsia="Calibri" w:hAnsi="Arial Narrow"/>
          <w:bCs/>
          <w:color w:val="000000" w:themeColor="text1"/>
          <w:lang w:eastAsia="es-CO"/>
        </w:rPr>
        <w:t xml:space="preserve">Las órdenes enviadas por la Cámara ingresarán al sistema de pagos con Prioridad 1 en el orden de Liquidación de las transacciones en la fila de espera de la cuenta a debitar. </w:t>
      </w:r>
    </w:p>
    <w:p w14:paraId="10C29B41" w14:textId="77777777" w:rsidR="007968EC" w:rsidRPr="002C0D19" w:rsidRDefault="007968EC" w:rsidP="007968EC">
      <w:pPr>
        <w:ind w:left="426" w:hanging="426"/>
        <w:contextualSpacing/>
        <w:jc w:val="both"/>
        <w:rPr>
          <w:rFonts w:ascii="Arial Narrow" w:eastAsia="Calibri" w:hAnsi="Arial Narrow"/>
          <w:bCs/>
          <w:color w:val="000000" w:themeColor="text1"/>
        </w:rPr>
      </w:pPr>
    </w:p>
    <w:p w14:paraId="14CACA6F" w14:textId="77777777" w:rsidR="007968EC" w:rsidRPr="002C0D19" w:rsidRDefault="007968EC" w:rsidP="00DA7472">
      <w:pPr>
        <w:numPr>
          <w:ilvl w:val="0"/>
          <w:numId w:val="207"/>
        </w:numPr>
        <w:ind w:left="426" w:hanging="426"/>
        <w:contextualSpacing/>
        <w:jc w:val="both"/>
        <w:rPr>
          <w:rFonts w:ascii="Arial Narrow" w:eastAsia="Calibri" w:hAnsi="Arial Narrow"/>
          <w:bCs/>
          <w:color w:val="000000" w:themeColor="text1"/>
        </w:rPr>
      </w:pPr>
      <w:r w:rsidRPr="002C0D19">
        <w:rPr>
          <w:rFonts w:ascii="Arial Narrow" w:eastAsia="Calibri" w:hAnsi="Arial Narrow"/>
          <w:bCs/>
          <w:color w:val="000000" w:themeColor="text1"/>
        </w:rPr>
        <w:t>El Sistema de pagos verifica saldos y realiza la transferencia automática de los fondos a la cuenta de la Cámara.</w:t>
      </w:r>
    </w:p>
    <w:p w14:paraId="42C4B22E" w14:textId="77777777" w:rsidR="007968EC" w:rsidRPr="002C0D19" w:rsidRDefault="007968EC" w:rsidP="007968EC">
      <w:pPr>
        <w:ind w:left="426" w:hanging="426"/>
        <w:contextualSpacing/>
        <w:jc w:val="both"/>
        <w:rPr>
          <w:rFonts w:ascii="Arial Narrow" w:eastAsia="Calibri" w:hAnsi="Arial Narrow"/>
          <w:bCs/>
          <w:color w:val="000000" w:themeColor="text1"/>
        </w:rPr>
      </w:pPr>
    </w:p>
    <w:p w14:paraId="0EF46ED9" w14:textId="77777777" w:rsidR="007968EC" w:rsidRPr="002C0D19" w:rsidRDefault="007968EC" w:rsidP="00DA7472">
      <w:pPr>
        <w:numPr>
          <w:ilvl w:val="0"/>
          <w:numId w:val="207"/>
        </w:numPr>
        <w:ind w:left="426" w:hanging="426"/>
        <w:contextualSpacing/>
        <w:jc w:val="both"/>
        <w:rPr>
          <w:rFonts w:ascii="Arial Narrow" w:eastAsia="Calibri" w:hAnsi="Arial Narrow"/>
          <w:bCs/>
          <w:color w:val="000000" w:themeColor="text1"/>
        </w:rPr>
      </w:pPr>
      <w:r w:rsidRPr="002C0D19">
        <w:rPr>
          <w:rFonts w:ascii="Arial Narrow" w:eastAsia="Calibri" w:hAnsi="Arial Narrow"/>
          <w:bCs/>
          <w:color w:val="000000" w:themeColor="text1"/>
        </w:rPr>
        <w:t>Una vez realizada la transferencia, el Sistema de Pagos informa a la Cámara que el registro de cada orden de transferencia fue aprobada o rechazada.</w:t>
      </w:r>
    </w:p>
    <w:p w14:paraId="524D3008" w14:textId="77777777" w:rsidR="007968EC" w:rsidRPr="002C0D19" w:rsidRDefault="007968EC" w:rsidP="007968EC">
      <w:pPr>
        <w:ind w:left="426" w:hanging="426"/>
        <w:contextualSpacing/>
        <w:jc w:val="both"/>
        <w:rPr>
          <w:rFonts w:ascii="Arial Narrow" w:eastAsia="Calibri" w:hAnsi="Arial Narrow"/>
          <w:bCs/>
          <w:color w:val="000000" w:themeColor="text1"/>
        </w:rPr>
      </w:pPr>
    </w:p>
    <w:p w14:paraId="76387B65" w14:textId="77777777" w:rsidR="007968EC" w:rsidRPr="002C0D19" w:rsidRDefault="007968EC" w:rsidP="00DA7472">
      <w:pPr>
        <w:numPr>
          <w:ilvl w:val="0"/>
          <w:numId w:val="207"/>
        </w:numPr>
        <w:ind w:left="426" w:hanging="426"/>
        <w:contextualSpacing/>
        <w:jc w:val="both"/>
        <w:rPr>
          <w:rFonts w:ascii="Arial Narrow" w:eastAsia="Calibri" w:hAnsi="Arial Narrow"/>
          <w:bCs/>
          <w:color w:val="000000" w:themeColor="text1"/>
        </w:rPr>
      </w:pPr>
      <w:r w:rsidRPr="002C0D19">
        <w:rPr>
          <w:rFonts w:ascii="Arial Narrow" w:eastAsia="Calibri" w:hAnsi="Arial Narrow"/>
          <w:bCs/>
          <w:color w:val="000000" w:themeColor="text1"/>
        </w:rPr>
        <w:t>En caso de que una o varias órdenes de transferencia hayan sido rechazadas, la Cámara solicitará al Agente de Pago o al Miembro Liquidador gestionar el traslado de fondos pendientes dentro del horario previsto para la Sesión Liquidación al Vencimiento cuando las Operaciones Aceptadas deban ser cumplidas con Liquidación por Diferencias y en caso contrario aplicará el proceso de retardo y/o incumplimiento previsto en el Reglamento y en la presente Circular.</w:t>
      </w:r>
    </w:p>
    <w:p w14:paraId="6FE2BF62" w14:textId="77777777" w:rsidR="007968EC" w:rsidRPr="002C0D19" w:rsidRDefault="007968EC" w:rsidP="007968EC">
      <w:pPr>
        <w:ind w:left="426" w:hanging="426"/>
        <w:contextualSpacing/>
        <w:jc w:val="both"/>
        <w:rPr>
          <w:rFonts w:ascii="Arial Narrow" w:eastAsia="Calibri" w:hAnsi="Arial Narrow"/>
          <w:bCs/>
          <w:color w:val="000000" w:themeColor="text1"/>
        </w:rPr>
      </w:pPr>
    </w:p>
    <w:p w14:paraId="68D50FCE" w14:textId="77777777" w:rsidR="007968EC" w:rsidRPr="002C0D19" w:rsidRDefault="007968EC" w:rsidP="00DA7472">
      <w:pPr>
        <w:numPr>
          <w:ilvl w:val="0"/>
          <w:numId w:val="207"/>
        </w:numPr>
        <w:ind w:left="426" w:hanging="426"/>
        <w:contextualSpacing/>
        <w:jc w:val="both"/>
        <w:rPr>
          <w:rFonts w:ascii="Arial Narrow" w:eastAsia="Calibri" w:hAnsi="Arial Narrow"/>
          <w:bCs/>
          <w:color w:val="000000" w:themeColor="text1"/>
        </w:rPr>
      </w:pPr>
      <w:r w:rsidRPr="002C0D19">
        <w:rPr>
          <w:rFonts w:ascii="Arial Narrow" w:eastAsia="Calibri" w:hAnsi="Arial Narrow"/>
          <w:bCs/>
          <w:color w:val="000000" w:themeColor="text1"/>
        </w:rPr>
        <w:t xml:space="preserve">Una vez la Cámara cuente con todos los recursos, genera una orden para el sistema de pagos del Banco de la República con las transferencias de débito/abono de dineros de la cuenta de la Cámara a </w:t>
      </w:r>
      <w:r w:rsidRPr="002C0D19">
        <w:rPr>
          <w:rFonts w:ascii="Arial Narrow" w:eastAsia="Calibri" w:hAnsi="Arial Narrow"/>
          <w:bCs/>
          <w:color w:val="000000" w:themeColor="text1"/>
        </w:rPr>
        <w:lastRenderedPageBreak/>
        <w:t>las cuentas de los Agentes de Pagos o Miembros Liquidadores que quedaron con una Posición neta acreedora.</w:t>
      </w:r>
    </w:p>
    <w:p w14:paraId="50CC3FC1" w14:textId="77777777" w:rsidR="007968EC" w:rsidRPr="002C0D19" w:rsidRDefault="007968EC" w:rsidP="007968EC">
      <w:pPr>
        <w:ind w:left="720"/>
        <w:contextualSpacing/>
        <w:jc w:val="both"/>
        <w:rPr>
          <w:rFonts w:ascii="Arial Narrow" w:eastAsia="Calibri" w:hAnsi="Arial Narrow"/>
          <w:bCs/>
          <w:color w:val="000000" w:themeColor="text1"/>
        </w:rPr>
      </w:pPr>
    </w:p>
    <w:p w14:paraId="46B6BADC" w14:textId="77777777" w:rsidR="007968EC" w:rsidRPr="002C0D19" w:rsidRDefault="007968EC" w:rsidP="007968EC">
      <w:pPr>
        <w:keepNext/>
        <w:autoSpaceDE w:val="0"/>
        <w:autoSpaceDN w:val="0"/>
        <w:contextualSpacing/>
        <w:jc w:val="both"/>
        <w:rPr>
          <w:rFonts w:ascii="Arial Narrow" w:eastAsia="Calibri" w:hAnsi="Arial Narrow"/>
          <w:color w:val="000000" w:themeColor="text1"/>
        </w:rPr>
      </w:pPr>
      <w:r w:rsidRPr="002C0D19">
        <w:rPr>
          <w:rFonts w:ascii="Arial Narrow" w:eastAsia="Calibri" w:hAnsi="Arial Narrow"/>
          <w:bCs/>
          <w:color w:val="000000" w:themeColor="text1"/>
        </w:rPr>
        <w:t>La Cámara reportará a los Miembros la información necesaria para que realicen la entrega y recibo del dinero efectivo entre éstos y los titulares de cada una de sus Cuentas. Los derechos de los titulares de las Cuentas relativos al recibo de dinero efectivo lo son únicamente con respecto a su Miembro correspondiente y en ningún caso respecto de la Cámara, por lo tanto, cuando la Cámara pague dinero efectivo a los titulares de Cuentas lo hará colocando los fondos a disposición del Miembro y a favor de los titulares. El pago hecho por la Cámara al Miembro, de los dineros que le corresponde recibir a los titulares de las Cuentas, es válido y extingue la obligación a cargo de la Cámara. En ningún caso, los titulares podrán exigir a la Cámara los dineros que le corresponda recibir en virtud de las operaciones realizadas por su cuenta.</w:t>
      </w:r>
    </w:p>
    <w:p w14:paraId="6B2B6B67" w14:textId="77777777" w:rsidR="007968EC" w:rsidRPr="002C0D19" w:rsidRDefault="007968EC" w:rsidP="007968EC">
      <w:pPr>
        <w:keepNext/>
        <w:autoSpaceDE w:val="0"/>
        <w:autoSpaceDN w:val="0"/>
        <w:contextualSpacing/>
        <w:jc w:val="both"/>
        <w:rPr>
          <w:rFonts w:ascii="Arial Narrow" w:eastAsia="Calibri" w:hAnsi="Arial Narrow"/>
          <w:color w:val="000000" w:themeColor="text1"/>
        </w:rPr>
      </w:pPr>
    </w:p>
    <w:p w14:paraId="7BC43451" w14:textId="77777777" w:rsidR="007968EC" w:rsidRDefault="007968EC" w:rsidP="007968EC">
      <w:pPr>
        <w:keepNext/>
        <w:jc w:val="center"/>
        <w:outlineLvl w:val="0"/>
        <w:rPr>
          <w:rFonts w:ascii="Arial Narrow" w:eastAsia="Calibri" w:hAnsi="Arial Narrow" w:cs="Arial"/>
          <w:b/>
          <w:kern w:val="32"/>
          <w:szCs w:val="20"/>
          <w:lang w:val="es-ES"/>
        </w:rPr>
      </w:pPr>
      <w:bookmarkStart w:id="4795" w:name="_Toc470779991"/>
      <w:bookmarkStart w:id="4796" w:name="_Toc470780608"/>
      <w:bookmarkStart w:id="4797" w:name="_Toc470781121"/>
      <w:bookmarkStart w:id="4798" w:name="_Toc470784682"/>
      <w:bookmarkStart w:id="4799" w:name="_Toc470785219"/>
      <w:bookmarkStart w:id="4800" w:name="_Toc470791613"/>
      <w:bookmarkStart w:id="4801" w:name="_Toc472592358"/>
      <w:bookmarkStart w:id="4802" w:name="_Toc472593377"/>
      <w:bookmarkStart w:id="4803" w:name="_Toc479057165"/>
      <w:bookmarkStart w:id="4804" w:name="_Toc490066519"/>
    </w:p>
    <w:p w14:paraId="311808D4" w14:textId="77777777" w:rsidR="007968EC" w:rsidRPr="002C0D19" w:rsidRDefault="007968EC" w:rsidP="007968EC">
      <w:pPr>
        <w:pStyle w:val="TTULO"/>
        <w:rPr>
          <w:rFonts w:eastAsia="Calibri"/>
          <w:lang w:val="es-ES"/>
        </w:rPr>
      </w:pPr>
      <w:bookmarkStart w:id="4805" w:name="_Toc31716179"/>
      <w:r w:rsidRPr="002C0D19">
        <w:rPr>
          <w:rFonts w:eastAsia="Calibri"/>
          <w:lang w:val="es-ES"/>
        </w:rPr>
        <w:t>CAPÍTULO SEXTO</w:t>
      </w:r>
      <w:bookmarkEnd w:id="4795"/>
      <w:bookmarkEnd w:id="4796"/>
      <w:bookmarkEnd w:id="4797"/>
      <w:bookmarkEnd w:id="4798"/>
      <w:bookmarkEnd w:id="4799"/>
      <w:bookmarkEnd w:id="4800"/>
      <w:bookmarkEnd w:id="4801"/>
      <w:bookmarkEnd w:id="4802"/>
      <w:bookmarkEnd w:id="4803"/>
      <w:bookmarkEnd w:id="4804"/>
      <w:bookmarkEnd w:id="4805"/>
    </w:p>
    <w:p w14:paraId="02177B2C" w14:textId="77777777" w:rsidR="007968EC" w:rsidRPr="002C0D19" w:rsidRDefault="007968EC" w:rsidP="007968EC">
      <w:pPr>
        <w:pStyle w:val="TTULO"/>
        <w:rPr>
          <w:rFonts w:eastAsia="Calibri"/>
          <w:lang w:val="es-ES"/>
        </w:rPr>
      </w:pPr>
    </w:p>
    <w:p w14:paraId="59DCE567" w14:textId="77777777" w:rsidR="007968EC" w:rsidRPr="002C0D19" w:rsidRDefault="007968EC" w:rsidP="007968EC">
      <w:pPr>
        <w:pStyle w:val="TTULO"/>
        <w:rPr>
          <w:rFonts w:eastAsia="Calibri"/>
          <w:lang w:val="es-ES"/>
        </w:rPr>
      </w:pPr>
      <w:bookmarkStart w:id="4806" w:name="_Toc470779992"/>
      <w:bookmarkStart w:id="4807" w:name="_Toc470780609"/>
      <w:bookmarkStart w:id="4808" w:name="_Toc470781122"/>
      <w:bookmarkStart w:id="4809" w:name="_Toc470784683"/>
      <w:bookmarkStart w:id="4810" w:name="_Toc470785220"/>
      <w:bookmarkStart w:id="4811" w:name="_Toc470791614"/>
      <w:bookmarkStart w:id="4812" w:name="_Toc472592359"/>
      <w:bookmarkStart w:id="4813" w:name="_Toc472593378"/>
      <w:bookmarkStart w:id="4814" w:name="_Toc479057166"/>
      <w:bookmarkStart w:id="4815" w:name="_Toc490066520"/>
      <w:bookmarkStart w:id="4816" w:name="_Toc31716180"/>
      <w:r w:rsidRPr="002C0D19">
        <w:rPr>
          <w:rFonts w:eastAsia="Calibri"/>
          <w:lang w:val="es-ES"/>
        </w:rPr>
        <w:t>INFORMACION DEL PRECIO JUSTO DE INTERCAMBIO DE LOS INSTRUMENTOS FINANCIEROS DERIVADOS E INSTRUMENTOS FINANCIEROS DERIVADOS NO ESTANDARIZADOS</w:t>
      </w:r>
      <w:bookmarkEnd w:id="4806"/>
      <w:bookmarkEnd w:id="4807"/>
      <w:bookmarkEnd w:id="4808"/>
      <w:bookmarkEnd w:id="4809"/>
      <w:bookmarkEnd w:id="4810"/>
      <w:bookmarkEnd w:id="4811"/>
      <w:bookmarkEnd w:id="4812"/>
      <w:bookmarkEnd w:id="4813"/>
      <w:bookmarkEnd w:id="4814"/>
      <w:bookmarkEnd w:id="4815"/>
      <w:bookmarkEnd w:id="4816"/>
    </w:p>
    <w:p w14:paraId="0A5996E3" w14:textId="77777777" w:rsidR="007968EC" w:rsidRPr="002C0D19" w:rsidRDefault="007968EC" w:rsidP="007968EC">
      <w:pPr>
        <w:jc w:val="center"/>
        <w:rPr>
          <w:rFonts w:ascii="Arial Narrow" w:eastAsia="Calibri" w:hAnsi="Arial Narrow"/>
          <w:b/>
          <w:color w:val="000000" w:themeColor="text1"/>
        </w:rPr>
      </w:pPr>
    </w:p>
    <w:p w14:paraId="29FE2D40" w14:textId="77777777" w:rsidR="007968EC" w:rsidRPr="002C0D19" w:rsidRDefault="007968EC" w:rsidP="007968EC">
      <w:pPr>
        <w:pStyle w:val="ARTICULO0"/>
      </w:pPr>
      <w:bookmarkStart w:id="4817" w:name="_Toc470779993"/>
      <w:bookmarkStart w:id="4818" w:name="_Toc470780610"/>
      <w:bookmarkStart w:id="4819" w:name="_Toc470781123"/>
      <w:bookmarkStart w:id="4820" w:name="_Toc470784684"/>
      <w:bookmarkStart w:id="4821" w:name="_Toc470785221"/>
      <w:bookmarkStart w:id="4822" w:name="_Toc470791615"/>
      <w:bookmarkStart w:id="4823" w:name="_Toc472592360"/>
      <w:bookmarkStart w:id="4824" w:name="_Toc472593379"/>
      <w:bookmarkStart w:id="4825" w:name="_Toc479057167"/>
      <w:bookmarkStart w:id="4826" w:name="_Toc490066521"/>
      <w:bookmarkStart w:id="4827" w:name="_Toc31716181"/>
      <w:r w:rsidRPr="002C0D19">
        <w:t>Artículo 2.4.6.1. Publicación del Precio Justo de Intercambio.</w:t>
      </w:r>
      <w:bookmarkEnd w:id="4817"/>
      <w:bookmarkEnd w:id="4818"/>
      <w:bookmarkEnd w:id="4819"/>
      <w:bookmarkEnd w:id="4820"/>
      <w:bookmarkEnd w:id="4821"/>
      <w:bookmarkEnd w:id="4822"/>
      <w:bookmarkEnd w:id="4823"/>
      <w:bookmarkEnd w:id="4824"/>
      <w:bookmarkEnd w:id="4825"/>
      <w:bookmarkEnd w:id="4826"/>
      <w:bookmarkEnd w:id="4827"/>
    </w:p>
    <w:p w14:paraId="171ABF3A" w14:textId="77777777" w:rsidR="007968EC" w:rsidRPr="002C0D19" w:rsidRDefault="007968EC" w:rsidP="007968EC">
      <w:pPr>
        <w:jc w:val="both"/>
        <w:rPr>
          <w:rFonts w:ascii="Arial Narrow" w:eastAsia="Calibri" w:hAnsi="Arial Narrow"/>
          <w:b/>
          <w:bCs/>
          <w:color w:val="000000" w:themeColor="text1"/>
        </w:rPr>
      </w:pPr>
    </w:p>
    <w:p w14:paraId="7826D8C7" w14:textId="77777777" w:rsidR="007968EC" w:rsidRPr="002C0D19" w:rsidRDefault="007968EC" w:rsidP="007968EC">
      <w:pPr>
        <w:jc w:val="both"/>
        <w:rPr>
          <w:rFonts w:ascii="Arial Narrow" w:eastAsia="Calibri" w:hAnsi="Arial Narrow"/>
          <w:bCs/>
          <w:color w:val="000000" w:themeColor="text1"/>
        </w:rPr>
      </w:pPr>
      <w:r w:rsidRPr="002C0D19">
        <w:rPr>
          <w:rFonts w:ascii="Arial Narrow" w:eastAsia="Calibri" w:hAnsi="Arial Narrow"/>
          <w:bCs/>
          <w:color w:val="000000" w:themeColor="text1"/>
        </w:rPr>
        <w:t xml:space="preserve">La Cámara publicará el Precio Justo de Intercambio de los Instrumentos Financieros Derivados e Instrumentos Financieros Derivados No Estandarizados a todos los Proveedores de Precios para Valoración autorizados por la Superintendencia Financiera de Colombia y demás agentes o participantes del mercado, de conformidad con lo establecido en los artículos 1.2.3. y 2.4.16. del Reglamento de Funcionamiento y lo establecido en el literal b) del numeral 7.2. del Capítulo XVIII de la Circular Básica Contable y Financiera, así como de las normas que la modifiquen adicionen o sustituyan, de la siguiente forma: </w:t>
      </w:r>
    </w:p>
    <w:p w14:paraId="055739CA" w14:textId="77777777" w:rsidR="007968EC" w:rsidRPr="002C0D19" w:rsidRDefault="007968EC" w:rsidP="007968EC">
      <w:pPr>
        <w:jc w:val="both"/>
        <w:rPr>
          <w:rFonts w:ascii="Arial Narrow" w:eastAsia="Calibri" w:hAnsi="Arial Narrow"/>
          <w:bCs/>
          <w:color w:val="000000" w:themeColor="text1"/>
        </w:rPr>
      </w:pPr>
    </w:p>
    <w:p w14:paraId="7E50B8A5" w14:textId="77777777" w:rsidR="007968EC" w:rsidRPr="002C0D19" w:rsidRDefault="007968EC" w:rsidP="00DA7472">
      <w:pPr>
        <w:numPr>
          <w:ilvl w:val="0"/>
          <w:numId w:val="208"/>
        </w:numPr>
        <w:contextualSpacing/>
        <w:jc w:val="both"/>
        <w:rPr>
          <w:rFonts w:ascii="Arial Narrow" w:eastAsia="Calibri" w:hAnsi="Arial Narrow"/>
          <w:bCs/>
          <w:color w:val="000000" w:themeColor="text1"/>
        </w:rPr>
      </w:pPr>
      <w:r w:rsidRPr="002C0D19">
        <w:rPr>
          <w:rFonts w:ascii="Arial Narrow" w:eastAsia="Calibri" w:hAnsi="Arial Narrow"/>
          <w:bCs/>
          <w:color w:val="000000" w:themeColor="text1"/>
          <w:lang w:eastAsia="es-CO"/>
        </w:rPr>
        <w:t>Publicación del Precio Justo de Intercambio cuando se trate de compensación y Liquidación Diaria y/o al Vencimiento: Diariamente la Cámara a través de su Página Web, informará el Precio Justo de Intercambio de las Operaciones aceptadas para su compensación y liquidación desde la fecha de la aceptación de la Operación hasta la fecha de Vencimiento.</w:t>
      </w:r>
    </w:p>
    <w:p w14:paraId="79C88FF8" w14:textId="77777777" w:rsidR="007968EC" w:rsidRPr="002C0D19" w:rsidRDefault="007968EC" w:rsidP="007968EC">
      <w:pPr>
        <w:ind w:left="720"/>
        <w:contextualSpacing/>
        <w:jc w:val="both"/>
        <w:rPr>
          <w:rFonts w:ascii="Arial Narrow" w:eastAsia="Calibri" w:hAnsi="Arial Narrow"/>
          <w:bCs/>
          <w:color w:val="000000" w:themeColor="text1"/>
        </w:rPr>
      </w:pPr>
    </w:p>
    <w:p w14:paraId="1E480B04" w14:textId="77777777" w:rsidR="007968EC" w:rsidRPr="002C0D19" w:rsidRDefault="007968EC" w:rsidP="00DA7472">
      <w:pPr>
        <w:numPr>
          <w:ilvl w:val="0"/>
          <w:numId w:val="208"/>
        </w:numPr>
        <w:contextualSpacing/>
        <w:jc w:val="both"/>
        <w:rPr>
          <w:rFonts w:ascii="Arial Narrow" w:eastAsia="Calibri" w:hAnsi="Arial Narrow"/>
          <w:bCs/>
          <w:color w:val="000000" w:themeColor="text1"/>
        </w:rPr>
      </w:pPr>
      <w:r w:rsidRPr="002C0D19">
        <w:rPr>
          <w:rFonts w:ascii="Arial Narrow" w:eastAsia="Calibri" w:hAnsi="Arial Narrow"/>
          <w:bCs/>
          <w:color w:val="000000" w:themeColor="text1"/>
          <w:lang w:eastAsia="es-CO"/>
        </w:rPr>
        <w:t>Publicación del Precio Justo de Intercambio cuando se trate de compensación y Liquidación únicamente al Vencimiento: En la fecha vencimiento La Cámara, a través de su Página Web, publicará el Precio Justo de Intercambio de las operaciones aceptadas para su compensación y liquidación.</w:t>
      </w:r>
    </w:p>
    <w:p w14:paraId="4CDB5DE9" w14:textId="77777777" w:rsidR="007968EC" w:rsidRPr="002C0D19" w:rsidRDefault="007968EC" w:rsidP="007968EC">
      <w:pPr>
        <w:contextualSpacing/>
        <w:jc w:val="center"/>
        <w:rPr>
          <w:rFonts w:ascii="Arial Narrow" w:eastAsia="Calibri" w:hAnsi="Arial Narrow"/>
          <w:b/>
          <w:bCs/>
          <w:color w:val="000000" w:themeColor="text1"/>
          <w:lang w:eastAsia="es-CO"/>
        </w:rPr>
      </w:pPr>
    </w:p>
    <w:p w14:paraId="16AE9C19" w14:textId="77777777" w:rsidR="007968EC" w:rsidRDefault="007968EC" w:rsidP="007968EC">
      <w:pPr>
        <w:keepNext/>
        <w:jc w:val="center"/>
        <w:outlineLvl w:val="0"/>
        <w:rPr>
          <w:rFonts w:ascii="Arial Narrow" w:eastAsia="Calibri" w:hAnsi="Arial Narrow" w:cs="Arial"/>
          <w:b/>
          <w:kern w:val="32"/>
          <w:szCs w:val="20"/>
          <w:lang w:val="es-ES"/>
        </w:rPr>
      </w:pPr>
    </w:p>
    <w:p w14:paraId="43A72680" w14:textId="77777777" w:rsidR="007968EC" w:rsidRPr="002C0D19" w:rsidRDefault="007968EC" w:rsidP="007968EC">
      <w:pPr>
        <w:pStyle w:val="TTULO"/>
        <w:rPr>
          <w:rFonts w:eastAsia="Calibri"/>
          <w:lang w:val="es-ES"/>
        </w:rPr>
      </w:pPr>
      <w:bookmarkStart w:id="4828" w:name="_Toc31716182"/>
      <w:r w:rsidRPr="002C0D19">
        <w:rPr>
          <w:rFonts w:eastAsia="Calibri"/>
          <w:lang w:val="es-ES"/>
        </w:rPr>
        <w:t>CAPÍTULO SÉPTIMO</w:t>
      </w:r>
      <w:bookmarkEnd w:id="4828"/>
    </w:p>
    <w:p w14:paraId="7E7CD7E9" w14:textId="77777777" w:rsidR="007968EC" w:rsidRPr="002C0D19" w:rsidRDefault="007968EC" w:rsidP="007968EC">
      <w:pPr>
        <w:pStyle w:val="TTULO"/>
        <w:rPr>
          <w:rFonts w:eastAsia="Calibri" w:cs="Times New Roman"/>
        </w:rPr>
      </w:pPr>
    </w:p>
    <w:p w14:paraId="1673F690" w14:textId="77777777" w:rsidR="007968EC" w:rsidRPr="002C0D19" w:rsidRDefault="007968EC" w:rsidP="007968EC">
      <w:pPr>
        <w:pStyle w:val="TTULO"/>
        <w:rPr>
          <w:rFonts w:eastAsia="Calibri"/>
          <w:lang w:val="es-ES"/>
        </w:rPr>
      </w:pPr>
      <w:bookmarkStart w:id="4829" w:name="_Toc31716183"/>
      <w:r w:rsidRPr="002C0D19">
        <w:rPr>
          <w:rFonts w:eastAsia="Calibri"/>
          <w:lang w:val="es-ES"/>
        </w:rPr>
        <w:t>COMPENSACIÓN Y LIQUIDACIÓN ANTICIPADA</w:t>
      </w:r>
      <w:bookmarkEnd w:id="4829"/>
    </w:p>
    <w:p w14:paraId="79C6C1F5" w14:textId="77777777" w:rsidR="007968EC" w:rsidRPr="002C0D19" w:rsidRDefault="007968EC" w:rsidP="007968EC">
      <w:pPr>
        <w:pStyle w:val="TTULO"/>
        <w:rPr>
          <w:rFonts w:eastAsia="Calibri" w:cs="Times New Roman"/>
        </w:rPr>
      </w:pPr>
    </w:p>
    <w:p w14:paraId="590BD76D" w14:textId="77777777" w:rsidR="007968EC" w:rsidRPr="002C0D19" w:rsidRDefault="007968EC" w:rsidP="007968EC">
      <w:pPr>
        <w:pStyle w:val="ANTECEDENTES"/>
        <w:rPr>
          <w:rFonts w:eastAsia="Calibri"/>
        </w:rPr>
      </w:pPr>
      <w:r w:rsidRPr="002C0D19">
        <w:rPr>
          <w:rFonts w:eastAsia="Calibri"/>
        </w:rPr>
        <w:lastRenderedPageBreak/>
        <w:t>(El Capítulo Séptimo del Título Cuarto de la Parte II fue adicionado mediante Circular 14 del 8 de agosto de 2017, publicada en el Boletín Normativo No. 015 del 8 de agosto de 2017. Rige a partir del 9 de agosto de 2017.)</w:t>
      </w:r>
    </w:p>
    <w:p w14:paraId="36546184" w14:textId="77777777" w:rsidR="007968EC" w:rsidRPr="002C0D19" w:rsidRDefault="007968EC" w:rsidP="007968EC">
      <w:pPr>
        <w:jc w:val="center"/>
        <w:rPr>
          <w:rFonts w:ascii="Arial Narrow" w:eastAsia="Calibri" w:hAnsi="Arial Narrow"/>
          <w:b/>
        </w:rPr>
      </w:pPr>
    </w:p>
    <w:p w14:paraId="5E2DD487" w14:textId="77777777" w:rsidR="007968EC" w:rsidRPr="002C0D19" w:rsidRDefault="007968EC" w:rsidP="007968EC">
      <w:pPr>
        <w:pStyle w:val="ARTICULO0"/>
      </w:pPr>
      <w:bookmarkStart w:id="4830" w:name="_Toc31716184"/>
      <w:r w:rsidRPr="002C0D19">
        <w:t>Artículo 2.4.7.1. Compensación y Liquidación Anticipada</w:t>
      </w:r>
      <w:r w:rsidRPr="002C0D19">
        <w:rPr>
          <w:color w:val="FF0000"/>
        </w:rPr>
        <w:t xml:space="preserve"> </w:t>
      </w:r>
      <w:r w:rsidRPr="002C0D19">
        <w:t>por solicitud de un Miembro.</w:t>
      </w:r>
      <w:bookmarkEnd w:id="4830"/>
    </w:p>
    <w:p w14:paraId="1F3F1523" w14:textId="77777777" w:rsidR="007968EC" w:rsidRPr="002C0D19" w:rsidRDefault="007968EC" w:rsidP="007968EC">
      <w:pPr>
        <w:jc w:val="both"/>
        <w:rPr>
          <w:rFonts w:ascii="Arial Narrow" w:eastAsia="Calibri" w:hAnsi="Arial Narrow"/>
          <w:b/>
          <w:bCs/>
          <w:color w:val="000000" w:themeColor="text1"/>
        </w:rPr>
      </w:pPr>
    </w:p>
    <w:p w14:paraId="521AAE3D" w14:textId="77777777" w:rsidR="007968EC" w:rsidRPr="002C0D19" w:rsidRDefault="007968EC" w:rsidP="007968EC">
      <w:pPr>
        <w:contextualSpacing/>
        <w:jc w:val="both"/>
        <w:rPr>
          <w:rFonts w:ascii="Arial Narrow" w:eastAsia="Calibri" w:hAnsi="Arial Narrow"/>
          <w:b/>
          <w:bCs/>
          <w:color w:val="000000" w:themeColor="text1"/>
          <w:lang w:eastAsia="es-CO"/>
        </w:rPr>
      </w:pPr>
      <w:r w:rsidRPr="002C0D19">
        <w:rPr>
          <w:rFonts w:ascii="Arial Narrow" w:hAnsi="Arial Narrow" w:cs="Arial"/>
          <w:lang w:val="es-ES" w:eastAsia="es-ES"/>
        </w:rPr>
        <w:t>En el Segmento de Derivados Financieros no se permite la Compensación y Liquidación Anticipada por solicitud de un Miembro.</w:t>
      </w:r>
    </w:p>
    <w:p w14:paraId="649B41C9" w14:textId="77777777" w:rsidR="007968EC" w:rsidRPr="002C0D19" w:rsidRDefault="007968EC" w:rsidP="007968EC">
      <w:pPr>
        <w:contextualSpacing/>
        <w:rPr>
          <w:rFonts w:ascii="Arial Narrow" w:eastAsia="Calibri" w:hAnsi="Arial Narrow"/>
          <w:bCs/>
          <w:color w:val="000000" w:themeColor="text1"/>
        </w:rPr>
      </w:pPr>
    </w:p>
    <w:p w14:paraId="33379DE1" w14:textId="77777777" w:rsidR="007968EC" w:rsidRDefault="007968EC" w:rsidP="007968EC">
      <w:pPr>
        <w:keepNext/>
        <w:jc w:val="center"/>
        <w:outlineLvl w:val="0"/>
        <w:rPr>
          <w:rFonts w:ascii="Arial Narrow" w:eastAsia="Calibri" w:hAnsi="Arial Narrow" w:cs="Arial"/>
          <w:b/>
          <w:kern w:val="32"/>
          <w:szCs w:val="20"/>
          <w:lang w:val="es-ES"/>
        </w:rPr>
      </w:pPr>
      <w:bookmarkStart w:id="4831" w:name="_Toc470779994"/>
      <w:bookmarkStart w:id="4832" w:name="_Toc470780611"/>
      <w:bookmarkStart w:id="4833" w:name="_Toc470781124"/>
      <w:bookmarkStart w:id="4834" w:name="_Toc470784685"/>
      <w:bookmarkStart w:id="4835" w:name="_Toc470785222"/>
      <w:bookmarkStart w:id="4836" w:name="_Toc470791616"/>
      <w:bookmarkStart w:id="4837" w:name="_Toc472592361"/>
      <w:bookmarkStart w:id="4838" w:name="_Toc472593380"/>
      <w:bookmarkStart w:id="4839" w:name="_Toc479057168"/>
      <w:bookmarkStart w:id="4840" w:name="_Toc490066522"/>
    </w:p>
    <w:p w14:paraId="77B07CC1" w14:textId="77777777" w:rsidR="007968EC" w:rsidRPr="002C0D19" w:rsidRDefault="007968EC" w:rsidP="007968EC">
      <w:pPr>
        <w:pStyle w:val="TTULO"/>
        <w:rPr>
          <w:rFonts w:eastAsia="Calibri"/>
          <w:lang w:val="es-ES"/>
        </w:rPr>
      </w:pPr>
      <w:bookmarkStart w:id="4841" w:name="_Toc31716185"/>
      <w:r w:rsidRPr="002C0D19">
        <w:rPr>
          <w:rFonts w:eastAsia="Calibri"/>
          <w:lang w:val="es-ES"/>
        </w:rPr>
        <w:t>TÍTULO QUINTO</w:t>
      </w:r>
      <w:bookmarkEnd w:id="4831"/>
      <w:bookmarkEnd w:id="4832"/>
      <w:bookmarkEnd w:id="4833"/>
      <w:bookmarkEnd w:id="4834"/>
      <w:bookmarkEnd w:id="4835"/>
      <w:bookmarkEnd w:id="4836"/>
      <w:bookmarkEnd w:id="4837"/>
      <w:bookmarkEnd w:id="4838"/>
      <w:bookmarkEnd w:id="4839"/>
      <w:bookmarkEnd w:id="4840"/>
      <w:bookmarkEnd w:id="4841"/>
    </w:p>
    <w:p w14:paraId="48AEE4E9" w14:textId="77777777" w:rsidR="007968EC" w:rsidRPr="002C0D19" w:rsidRDefault="007968EC" w:rsidP="007968EC">
      <w:pPr>
        <w:pStyle w:val="TTULO"/>
        <w:rPr>
          <w:rFonts w:eastAsia="Calibri" w:cs="Times New Roman"/>
          <w:bCs/>
          <w:color w:val="000000" w:themeColor="text1"/>
          <w:lang w:eastAsia="es-CO"/>
        </w:rPr>
      </w:pPr>
    </w:p>
    <w:p w14:paraId="78908E97" w14:textId="77777777" w:rsidR="007968EC" w:rsidRPr="002C0D19" w:rsidRDefault="007968EC" w:rsidP="007968EC">
      <w:pPr>
        <w:pStyle w:val="TTULO"/>
        <w:rPr>
          <w:rFonts w:eastAsia="Calibri"/>
          <w:lang w:val="es-ES"/>
        </w:rPr>
      </w:pPr>
      <w:bookmarkStart w:id="4842" w:name="_Toc470779995"/>
      <w:bookmarkStart w:id="4843" w:name="_Toc470780612"/>
      <w:bookmarkStart w:id="4844" w:name="_Toc470781125"/>
      <w:bookmarkStart w:id="4845" w:name="_Toc470784686"/>
      <w:bookmarkStart w:id="4846" w:name="_Toc470785223"/>
      <w:bookmarkStart w:id="4847" w:name="_Toc470791617"/>
      <w:bookmarkStart w:id="4848" w:name="_Toc472592362"/>
      <w:bookmarkStart w:id="4849" w:name="_Toc472593381"/>
      <w:bookmarkStart w:id="4850" w:name="_Toc479057169"/>
      <w:bookmarkStart w:id="4851" w:name="_Toc490066523"/>
      <w:bookmarkStart w:id="4852" w:name="_Toc31716186"/>
      <w:r w:rsidRPr="002C0D19">
        <w:rPr>
          <w:rFonts w:eastAsia="Calibri"/>
          <w:lang w:val="es-ES"/>
        </w:rPr>
        <w:t>MODELO DE RIESGO DE LA CÁMARA PARA EL CÁLCULO Y GESTIÓN DE GARANTÍAS Y DEFINICIÓN DE LÍMITES</w:t>
      </w:r>
      <w:bookmarkEnd w:id="4842"/>
      <w:bookmarkEnd w:id="4843"/>
      <w:bookmarkEnd w:id="4844"/>
      <w:bookmarkEnd w:id="4845"/>
      <w:bookmarkEnd w:id="4846"/>
      <w:bookmarkEnd w:id="4847"/>
      <w:bookmarkEnd w:id="4848"/>
      <w:bookmarkEnd w:id="4849"/>
      <w:bookmarkEnd w:id="4850"/>
      <w:bookmarkEnd w:id="4851"/>
      <w:bookmarkEnd w:id="4852"/>
    </w:p>
    <w:p w14:paraId="5CBB2FCA" w14:textId="77777777" w:rsidR="007968EC" w:rsidRPr="002C0D19" w:rsidRDefault="007968EC" w:rsidP="007968EC">
      <w:pPr>
        <w:pStyle w:val="TTULO"/>
        <w:rPr>
          <w:rFonts w:eastAsia="Calibri" w:cs="Times New Roman"/>
          <w:bCs/>
          <w:color w:val="000000" w:themeColor="text1"/>
          <w:lang w:eastAsia="es-CO"/>
        </w:rPr>
      </w:pPr>
    </w:p>
    <w:p w14:paraId="142538D2" w14:textId="77777777" w:rsidR="007968EC" w:rsidRPr="002C0D19" w:rsidRDefault="007968EC" w:rsidP="007968EC">
      <w:pPr>
        <w:pStyle w:val="TTULO"/>
        <w:rPr>
          <w:rFonts w:eastAsia="Calibri"/>
          <w:lang w:val="es-ES"/>
        </w:rPr>
      </w:pPr>
      <w:bookmarkStart w:id="4853" w:name="_Toc470779996"/>
      <w:bookmarkStart w:id="4854" w:name="_Toc470780613"/>
      <w:bookmarkStart w:id="4855" w:name="_Toc470781126"/>
      <w:bookmarkStart w:id="4856" w:name="_Toc470784687"/>
      <w:bookmarkStart w:id="4857" w:name="_Toc470785224"/>
      <w:bookmarkStart w:id="4858" w:name="_Toc470791618"/>
      <w:bookmarkStart w:id="4859" w:name="_Toc472592363"/>
      <w:bookmarkStart w:id="4860" w:name="_Toc472593382"/>
      <w:bookmarkStart w:id="4861" w:name="_Toc479057170"/>
      <w:bookmarkStart w:id="4862" w:name="_Toc490066524"/>
      <w:bookmarkStart w:id="4863" w:name="_Toc31716187"/>
      <w:r w:rsidRPr="002C0D19">
        <w:rPr>
          <w:rFonts w:eastAsia="Calibri"/>
          <w:lang w:val="es-ES"/>
        </w:rPr>
        <w:t>CAPÍTULO PRIMERO</w:t>
      </w:r>
      <w:bookmarkEnd w:id="4853"/>
      <w:bookmarkEnd w:id="4854"/>
      <w:bookmarkEnd w:id="4855"/>
      <w:bookmarkEnd w:id="4856"/>
      <w:bookmarkEnd w:id="4857"/>
      <w:bookmarkEnd w:id="4858"/>
      <w:bookmarkEnd w:id="4859"/>
      <w:bookmarkEnd w:id="4860"/>
      <w:bookmarkEnd w:id="4861"/>
      <w:bookmarkEnd w:id="4862"/>
      <w:bookmarkEnd w:id="4863"/>
    </w:p>
    <w:p w14:paraId="73017AFF" w14:textId="77777777" w:rsidR="007968EC" w:rsidRPr="002C0D19" w:rsidRDefault="007968EC" w:rsidP="007968EC">
      <w:pPr>
        <w:pStyle w:val="TTULO"/>
        <w:rPr>
          <w:rFonts w:eastAsia="Calibri" w:cs="Times New Roman"/>
          <w:bCs/>
          <w:color w:val="000000" w:themeColor="text1"/>
          <w:lang w:eastAsia="es-CO"/>
        </w:rPr>
      </w:pPr>
    </w:p>
    <w:p w14:paraId="1AD87702" w14:textId="77777777" w:rsidR="007968EC" w:rsidRPr="002C0D19" w:rsidRDefault="007968EC" w:rsidP="007968EC">
      <w:pPr>
        <w:pStyle w:val="TTULO"/>
        <w:rPr>
          <w:rFonts w:eastAsia="Calibri"/>
          <w:lang w:val="es-ES"/>
        </w:rPr>
      </w:pPr>
      <w:bookmarkStart w:id="4864" w:name="_Toc470779997"/>
      <w:bookmarkStart w:id="4865" w:name="_Toc470781127"/>
      <w:bookmarkStart w:id="4866" w:name="_Toc470784688"/>
      <w:bookmarkStart w:id="4867" w:name="_Toc470785225"/>
      <w:bookmarkStart w:id="4868" w:name="_Toc470791619"/>
      <w:bookmarkStart w:id="4869" w:name="_Toc472592364"/>
      <w:bookmarkStart w:id="4870" w:name="_Toc472593383"/>
      <w:bookmarkStart w:id="4871" w:name="_Toc479057171"/>
      <w:bookmarkStart w:id="4872" w:name="_Toc490066525"/>
      <w:bookmarkStart w:id="4873" w:name="_Toc31716188"/>
      <w:r w:rsidRPr="002C0D19">
        <w:rPr>
          <w:rFonts w:eastAsia="Calibri"/>
          <w:lang w:val="es-ES"/>
        </w:rPr>
        <w:t>GARANTÍAS Y GESTIÓN DE GARANTÍAS</w:t>
      </w:r>
      <w:bookmarkEnd w:id="4864"/>
      <w:bookmarkEnd w:id="4865"/>
      <w:bookmarkEnd w:id="4866"/>
      <w:bookmarkEnd w:id="4867"/>
      <w:bookmarkEnd w:id="4868"/>
      <w:bookmarkEnd w:id="4869"/>
      <w:bookmarkEnd w:id="4870"/>
      <w:bookmarkEnd w:id="4871"/>
      <w:bookmarkEnd w:id="4872"/>
      <w:bookmarkEnd w:id="4873"/>
    </w:p>
    <w:p w14:paraId="7D5A50A1" w14:textId="77777777" w:rsidR="007968EC" w:rsidRPr="002C0D19" w:rsidRDefault="007968EC" w:rsidP="007968EC">
      <w:pPr>
        <w:contextualSpacing/>
        <w:jc w:val="center"/>
        <w:rPr>
          <w:rFonts w:ascii="Arial Narrow" w:eastAsia="Calibri" w:hAnsi="Arial Narrow"/>
          <w:b/>
          <w:bCs/>
          <w:color w:val="000000" w:themeColor="text1"/>
          <w:lang w:eastAsia="es-CO"/>
        </w:rPr>
      </w:pPr>
    </w:p>
    <w:p w14:paraId="0CD42694" w14:textId="77777777" w:rsidR="007968EC" w:rsidRPr="00FC3CFC" w:rsidRDefault="007968EC" w:rsidP="007968EC">
      <w:pPr>
        <w:pStyle w:val="ARTICULO0"/>
      </w:pPr>
      <w:bookmarkStart w:id="4874" w:name="_Toc472592365"/>
      <w:bookmarkStart w:id="4875" w:name="_Toc472593384"/>
      <w:bookmarkStart w:id="4876" w:name="_Toc479057172"/>
      <w:bookmarkStart w:id="4877" w:name="_Toc470779998"/>
      <w:bookmarkStart w:id="4878" w:name="_Toc470781128"/>
      <w:bookmarkStart w:id="4879" w:name="_Toc470784689"/>
      <w:bookmarkStart w:id="4880" w:name="_Toc470785226"/>
      <w:bookmarkStart w:id="4881" w:name="_Toc470791620"/>
      <w:bookmarkStart w:id="4882" w:name="_Toc31716189"/>
      <w:bookmarkStart w:id="4883" w:name="_Toc490066526"/>
      <w:r w:rsidRPr="00FC3CFC">
        <w:t>Artículo 2.5.1.1. Valor mínimo de la Garantía individual</w:t>
      </w:r>
      <w:bookmarkEnd w:id="4874"/>
      <w:bookmarkEnd w:id="4875"/>
      <w:bookmarkEnd w:id="4876"/>
      <w:r w:rsidRPr="00FC3CFC">
        <w:t>.</w:t>
      </w:r>
      <w:bookmarkEnd w:id="4877"/>
      <w:bookmarkEnd w:id="4878"/>
      <w:bookmarkEnd w:id="4879"/>
      <w:bookmarkEnd w:id="4880"/>
      <w:bookmarkEnd w:id="4881"/>
      <w:bookmarkEnd w:id="4882"/>
      <w:r w:rsidRPr="00FC3CFC">
        <w:t xml:space="preserve"> </w:t>
      </w:r>
    </w:p>
    <w:p w14:paraId="41D8B96F" w14:textId="77777777" w:rsidR="007968EC" w:rsidRPr="00FC3CFC" w:rsidRDefault="007968EC" w:rsidP="007968EC">
      <w:pPr>
        <w:autoSpaceDE w:val="0"/>
        <w:autoSpaceDN w:val="0"/>
        <w:jc w:val="both"/>
        <w:rPr>
          <w:rFonts w:ascii="Arial Narrow" w:hAnsi="Arial Narrow" w:cs="Arial"/>
          <w:b/>
          <w:bCs/>
          <w:color w:val="000000" w:themeColor="text1"/>
          <w:lang w:eastAsia="es-ES"/>
        </w:rPr>
      </w:pPr>
    </w:p>
    <w:p w14:paraId="324E9D9C" w14:textId="77777777" w:rsidR="007968EC" w:rsidRPr="002C0D19" w:rsidRDefault="007968EC" w:rsidP="007968EC">
      <w:pPr>
        <w:pStyle w:val="ANTECEDENTES"/>
        <w:rPr>
          <w:u w:val="single"/>
        </w:rPr>
      </w:pPr>
      <w:r w:rsidRPr="002C0D19">
        <w:rPr>
          <w:rFonts w:eastAsia="Calibri"/>
        </w:rPr>
        <w:t>(Este artículo fue modificado mediante Circular 2 del 11 de enero de 2017, publicada en el Boletín Normativo No. 002 del 11 de enero de 2017. Rige a partir del 12 de enero de 2017.)</w:t>
      </w:r>
      <w:bookmarkEnd w:id="4883"/>
    </w:p>
    <w:p w14:paraId="0D012BB0" w14:textId="77777777" w:rsidR="007968EC" w:rsidRPr="002C0D19" w:rsidRDefault="007968EC" w:rsidP="007968EC">
      <w:pPr>
        <w:rPr>
          <w:rFonts w:ascii="Arial Narrow" w:eastAsia="Calibri" w:hAnsi="Arial Narrow"/>
          <w:b/>
          <w:bCs/>
          <w:color w:val="000000" w:themeColor="text1"/>
        </w:rPr>
      </w:pPr>
    </w:p>
    <w:p w14:paraId="00F5B364"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 xml:space="preserve">Los Miembros Liquidadores deberán constituir una Garantía Individual por los siguientes valores mínimos para el presente Segmento:  </w:t>
      </w:r>
    </w:p>
    <w:p w14:paraId="6CEFBC7F" w14:textId="77777777" w:rsidR="007968EC" w:rsidRPr="005703C9" w:rsidRDefault="007968EC" w:rsidP="007968EC">
      <w:pPr>
        <w:jc w:val="both"/>
        <w:rPr>
          <w:rFonts w:ascii="Arial Narrow" w:eastAsia="Calibri" w:hAnsi="Arial Narrow"/>
          <w:b/>
          <w:color w:val="000000" w:themeColor="text1"/>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4"/>
        <w:gridCol w:w="6237"/>
      </w:tblGrid>
      <w:tr w:rsidR="007968EC" w:rsidRPr="002C0D19" w14:paraId="0DD9391F" w14:textId="77777777" w:rsidTr="007968EC">
        <w:trPr>
          <w:trHeight w:val="167"/>
          <w:jc w:val="center"/>
        </w:trPr>
        <w:tc>
          <w:tcPr>
            <w:tcW w:w="3114" w:type="dxa"/>
          </w:tcPr>
          <w:p w14:paraId="441F44AE" w14:textId="77777777" w:rsidR="007968EC" w:rsidRPr="002C0D19" w:rsidRDefault="007968EC" w:rsidP="007968EC">
            <w:pPr>
              <w:autoSpaceDE w:val="0"/>
              <w:autoSpaceDN w:val="0"/>
              <w:adjustRightInd w:val="0"/>
              <w:ind w:right="-333"/>
              <w:jc w:val="center"/>
              <w:rPr>
                <w:rFonts w:ascii="Arial Narrow" w:eastAsia="Calibri" w:hAnsi="Arial Narrow"/>
                <w:b/>
                <w:color w:val="000000" w:themeColor="text1"/>
                <w:lang w:eastAsia="es-CO"/>
              </w:rPr>
            </w:pPr>
            <w:r w:rsidRPr="002C0D19">
              <w:rPr>
                <w:rFonts w:ascii="Arial Narrow" w:eastAsia="Calibri" w:hAnsi="Arial Narrow"/>
                <w:b/>
                <w:color w:val="000000" w:themeColor="text1"/>
                <w:lang w:eastAsia="es-CO"/>
              </w:rPr>
              <w:t>Miembro</w:t>
            </w:r>
          </w:p>
        </w:tc>
        <w:tc>
          <w:tcPr>
            <w:tcW w:w="6237" w:type="dxa"/>
          </w:tcPr>
          <w:p w14:paraId="7E9AA5D8" w14:textId="77777777" w:rsidR="007968EC" w:rsidRPr="002C0D19" w:rsidRDefault="007968EC" w:rsidP="007968EC">
            <w:pPr>
              <w:autoSpaceDE w:val="0"/>
              <w:autoSpaceDN w:val="0"/>
              <w:adjustRightInd w:val="0"/>
              <w:ind w:right="-333"/>
              <w:jc w:val="center"/>
              <w:rPr>
                <w:rFonts w:ascii="Arial Narrow" w:eastAsia="Calibri" w:hAnsi="Arial Narrow"/>
                <w:b/>
                <w:color w:val="000000" w:themeColor="text1"/>
                <w:lang w:eastAsia="es-CO"/>
              </w:rPr>
            </w:pPr>
            <w:r w:rsidRPr="002C0D19">
              <w:rPr>
                <w:rFonts w:ascii="Arial Narrow" w:eastAsia="Calibri" w:hAnsi="Arial Narrow"/>
                <w:b/>
                <w:color w:val="000000" w:themeColor="text1"/>
                <w:lang w:eastAsia="es-CO"/>
              </w:rPr>
              <w:t>Valor de la Garantía individual</w:t>
            </w:r>
          </w:p>
        </w:tc>
      </w:tr>
      <w:tr w:rsidR="007968EC" w:rsidRPr="002C0D19" w14:paraId="04C7F476" w14:textId="77777777" w:rsidTr="007968EC">
        <w:trPr>
          <w:trHeight w:val="178"/>
          <w:jc w:val="center"/>
        </w:trPr>
        <w:tc>
          <w:tcPr>
            <w:tcW w:w="3114" w:type="dxa"/>
          </w:tcPr>
          <w:p w14:paraId="6171123B" w14:textId="77777777" w:rsidR="007968EC" w:rsidRPr="002C0D19" w:rsidRDefault="007968EC" w:rsidP="007968EC">
            <w:pPr>
              <w:autoSpaceDE w:val="0"/>
              <w:autoSpaceDN w:val="0"/>
              <w:adjustRightInd w:val="0"/>
              <w:ind w:right="-333"/>
              <w:jc w:val="both"/>
              <w:rPr>
                <w:rFonts w:ascii="Arial Narrow" w:eastAsia="Calibri" w:hAnsi="Arial Narrow"/>
                <w:color w:val="000000" w:themeColor="text1"/>
                <w:lang w:eastAsia="es-CO"/>
              </w:rPr>
            </w:pPr>
            <w:r w:rsidRPr="002C0D19">
              <w:rPr>
                <w:rFonts w:ascii="Arial Narrow" w:eastAsia="Calibri" w:hAnsi="Arial Narrow"/>
                <w:color w:val="000000" w:themeColor="text1"/>
                <w:lang w:eastAsia="es-CO"/>
              </w:rPr>
              <w:t>Miembro Liquidador Individual</w:t>
            </w:r>
          </w:p>
        </w:tc>
        <w:tc>
          <w:tcPr>
            <w:tcW w:w="6237" w:type="dxa"/>
          </w:tcPr>
          <w:p w14:paraId="49D55592" w14:textId="77777777" w:rsidR="007968EC" w:rsidRPr="002C0D19" w:rsidRDefault="007968EC" w:rsidP="007968EC">
            <w:pPr>
              <w:autoSpaceDE w:val="0"/>
              <w:autoSpaceDN w:val="0"/>
              <w:adjustRightInd w:val="0"/>
              <w:ind w:right="459"/>
              <w:jc w:val="both"/>
              <w:rPr>
                <w:rFonts w:ascii="Arial Narrow" w:eastAsia="Calibri" w:hAnsi="Arial Narrow"/>
                <w:color w:val="000000" w:themeColor="text1"/>
                <w:lang w:eastAsia="es-CO"/>
              </w:rPr>
            </w:pPr>
            <w:r w:rsidRPr="002C0D19">
              <w:rPr>
                <w:rFonts w:ascii="Arial Narrow" w:eastAsia="Calibri" w:hAnsi="Arial Narrow"/>
                <w:color w:val="000000" w:themeColor="text1"/>
                <w:lang w:eastAsia="es-CO"/>
              </w:rPr>
              <w:t>Doscientos cincuenta millones de pesos ($250.000.000) moneda corriente.</w:t>
            </w:r>
          </w:p>
          <w:p w14:paraId="1840B0B6" w14:textId="77777777" w:rsidR="007968EC" w:rsidRPr="002C0D19" w:rsidRDefault="007968EC" w:rsidP="007968EC">
            <w:pPr>
              <w:autoSpaceDE w:val="0"/>
              <w:autoSpaceDN w:val="0"/>
              <w:adjustRightInd w:val="0"/>
              <w:ind w:right="-333"/>
              <w:jc w:val="both"/>
              <w:rPr>
                <w:rFonts w:ascii="Arial Narrow" w:eastAsia="Calibri" w:hAnsi="Arial Narrow"/>
                <w:color w:val="000000" w:themeColor="text1"/>
                <w:lang w:eastAsia="es-CO"/>
              </w:rPr>
            </w:pPr>
          </w:p>
        </w:tc>
      </w:tr>
      <w:tr w:rsidR="007968EC" w:rsidRPr="002C0D19" w14:paraId="76A0284B" w14:textId="77777777" w:rsidTr="007968EC">
        <w:trPr>
          <w:trHeight w:val="178"/>
          <w:jc w:val="center"/>
        </w:trPr>
        <w:tc>
          <w:tcPr>
            <w:tcW w:w="3114" w:type="dxa"/>
          </w:tcPr>
          <w:p w14:paraId="05FA0B24" w14:textId="77777777" w:rsidR="007968EC" w:rsidRPr="002C0D19" w:rsidRDefault="007968EC" w:rsidP="007968EC">
            <w:pPr>
              <w:autoSpaceDE w:val="0"/>
              <w:autoSpaceDN w:val="0"/>
              <w:adjustRightInd w:val="0"/>
              <w:ind w:right="-333"/>
              <w:jc w:val="both"/>
              <w:rPr>
                <w:rFonts w:ascii="Arial Narrow" w:eastAsia="Calibri" w:hAnsi="Arial Narrow"/>
                <w:b/>
                <w:color w:val="000000" w:themeColor="text1"/>
                <w:lang w:eastAsia="es-CO"/>
              </w:rPr>
            </w:pPr>
            <w:r w:rsidRPr="002C0D19">
              <w:rPr>
                <w:rFonts w:ascii="Arial Narrow" w:eastAsia="Calibri" w:hAnsi="Arial Narrow"/>
                <w:color w:val="000000" w:themeColor="text1"/>
                <w:lang w:eastAsia="es-CO"/>
              </w:rPr>
              <w:t>Miembro Liquidador General</w:t>
            </w:r>
          </w:p>
          <w:p w14:paraId="648A275D" w14:textId="77777777" w:rsidR="007968EC" w:rsidRPr="002C0D19" w:rsidRDefault="007968EC" w:rsidP="007968EC">
            <w:pPr>
              <w:autoSpaceDE w:val="0"/>
              <w:autoSpaceDN w:val="0"/>
              <w:adjustRightInd w:val="0"/>
              <w:ind w:right="-333"/>
              <w:jc w:val="both"/>
              <w:rPr>
                <w:rFonts w:ascii="Arial Narrow" w:eastAsia="Calibri" w:hAnsi="Arial Narrow"/>
                <w:color w:val="000000" w:themeColor="text1"/>
                <w:lang w:eastAsia="es-CO"/>
              </w:rPr>
            </w:pPr>
          </w:p>
        </w:tc>
        <w:tc>
          <w:tcPr>
            <w:tcW w:w="6237" w:type="dxa"/>
          </w:tcPr>
          <w:p w14:paraId="2314F8F9" w14:textId="77777777" w:rsidR="007968EC" w:rsidRPr="002C0D19" w:rsidRDefault="007968EC" w:rsidP="007968EC">
            <w:pPr>
              <w:autoSpaceDE w:val="0"/>
              <w:autoSpaceDN w:val="0"/>
              <w:adjustRightInd w:val="0"/>
              <w:ind w:right="-333"/>
              <w:jc w:val="both"/>
              <w:rPr>
                <w:rFonts w:ascii="Arial Narrow" w:eastAsia="Calibri" w:hAnsi="Arial Narrow"/>
                <w:color w:val="000000" w:themeColor="text1"/>
                <w:lang w:eastAsia="es-CO"/>
              </w:rPr>
            </w:pPr>
            <w:r w:rsidRPr="002C0D19">
              <w:rPr>
                <w:rFonts w:ascii="Arial Narrow" w:eastAsia="Calibri" w:hAnsi="Arial Narrow"/>
                <w:color w:val="000000" w:themeColor="text1"/>
                <w:lang w:eastAsia="es-CO"/>
              </w:rPr>
              <w:t>Quinientos millones de pesos ($500.000.000) moneda corriente.</w:t>
            </w:r>
          </w:p>
        </w:tc>
      </w:tr>
    </w:tbl>
    <w:p w14:paraId="7936BC27" w14:textId="77777777" w:rsidR="007968EC" w:rsidRPr="002C0D19" w:rsidRDefault="007968EC" w:rsidP="007968EC">
      <w:pPr>
        <w:jc w:val="both"/>
        <w:rPr>
          <w:rFonts w:ascii="Arial Narrow" w:eastAsia="Calibri" w:hAnsi="Arial Narrow"/>
          <w:bCs/>
          <w:color w:val="000000" w:themeColor="text1"/>
        </w:rPr>
      </w:pPr>
    </w:p>
    <w:p w14:paraId="43DD2E90" w14:textId="77777777" w:rsidR="007968EC" w:rsidRPr="002C0D19" w:rsidRDefault="007968EC" w:rsidP="007968EC">
      <w:pPr>
        <w:pStyle w:val="ARTICULO0"/>
      </w:pPr>
      <w:bookmarkStart w:id="4884" w:name="_Toc470779999"/>
      <w:bookmarkStart w:id="4885" w:name="_Toc470781129"/>
      <w:bookmarkStart w:id="4886" w:name="_Toc470784690"/>
      <w:bookmarkStart w:id="4887" w:name="_Toc470785227"/>
      <w:bookmarkStart w:id="4888" w:name="_Toc470791621"/>
      <w:bookmarkStart w:id="4889" w:name="_Toc472592366"/>
      <w:bookmarkStart w:id="4890" w:name="_Toc472593385"/>
      <w:bookmarkStart w:id="4891" w:name="_Toc479057173"/>
      <w:bookmarkStart w:id="4892" w:name="_Toc490066527"/>
      <w:bookmarkStart w:id="4893" w:name="_Toc31716190"/>
      <w:r w:rsidRPr="002C0D19">
        <w:t>Artículo 2.5.1.2. Garantía Individual por estrés test del Fondo de Garantía Colectiva.</w:t>
      </w:r>
      <w:bookmarkEnd w:id="4884"/>
      <w:bookmarkEnd w:id="4885"/>
      <w:bookmarkEnd w:id="4886"/>
      <w:bookmarkEnd w:id="4887"/>
      <w:bookmarkEnd w:id="4888"/>
      <w:bookmarkEnd w:id="4889"/>
      <w:bookmarkEnd w:id="4890"/>
      <w:bookmarkEnd w:id="4891"/>
      <w:bookmarkEnd w:id="4892"/>
      <w:bookmarkEnd w:id="4893"/>
      <w:r w:rsidRPr="002C0D19">
        <w:t xml:space="preserve"> </w:t>
      </w:r>
    </w:p>
    <w:p w14:paraId="175010AC" w14:textId="77777777" w:rsidR="007968EC" w:rsidRPr="002C0D19" w:rsidRDefault="007968EC" w:rsidP="007968EC">
      <w:pPr>
        <w:jc w:val="both"/>
        <w:rPr>
          <w:rFonts w:ascii="Arial Narrow" w:eastAsia="Calibri" w:hAnsi="Arial Narrow"/>
          <w:b/>
          <w:color w:val="000000" w:themeColor="text1"/>
        </w:rPr>
      </w:pPr>
    </w:p>
    <w:p w14:paraId="759C5F76" w14:textId="77777777" w:rsidR="007968EC" w:rsidRPr="002C0D19" w:rsidRDefault="007968EC" w:rsidP="007968EC">
      <w:pPr>
        <w:jc w:val="both"/>
        <w:rPr>
          <w:rFonts w:ascii="Arial Narrow" w:eastAsia="Calibri" w:hAnsi="Arial Narrow"/>
          <w:bCs/>
          <w:color w:val="000000" w:themeColor="text1"/>
          <w:lang w:eastAsia="es-CO"/>
        </w:rPr>
      </w:pPr>
      <w:r w:rsidRPr="002C0D19">
        <w:rPr>
          <w:rFonts w:ascii="Arial Narrow" w:eastAsia="Calibri" w:hAnsi="Arial Narrow"/>
          <w:bCs/>
          <w:color w:val="000000" w:themeColor="text1"/>
        </w:rPr>
        <w:t>La Garantía Individual por estrés test para el presente Segmento se calculará de conformidad con lo dispuesto en el artículo 1.6.2.2. de la presente Circular.</w:t>
      </w:r>
    </w:p>
    <w:p w14:paraId="0B072EED" w14:textId="77777777" w:rsidR="007968EC" w:rsidRPr="002C0D19" w:rsidRDefault="007968EC" w:rsidP="007968EC">
      <w:pPr>
        <w:jc w:val="both"/>
        <w:rPr>
          <w:rFonts w:ascii="Arial Narrow" w:eastAsia="Calibri" w:hAnsi="Arial Narrow"/>
          <w:b/>
          <w:color w:val="000000" w:themeColor="text1"/>
        </w:rPr>
      </w:pPr>
      <w:bookmarkStart w:id="4894" w:name="_Toc470780000"/>
      <w:bookmarkStart w:id="4895" w:name="_Toc470781130"/>
      <w:bookmarkStart w:id="4896" w:name="_Toc470784691"/>
      <w:bookmarkStart w:id="4897" w:name="_Toc470785228"/>
      <w:bookmarkStart w:id="4898" w:name="_Toc470791622"/>
    </w:p>
    <w:p w14:paraId="2D9FF3B8" w14:textId="77777777" w:rsidR="007968EC" w:rsidRDefault="007968EC" w:rsidP="007968EC">
      <w:pPr>
        <w:pStyle w:val="ARTICULO0"/>
        <w:rPr>
          <w:rFonts w:eastAsia="Calibri" w:cs="Times New Roman"/>
        </w:rPr>
      </w:pPr>
      <w:bookmarkStart w:id="4899" w:name="_Toc472592367"/>
      <w:bookmarkStart w:id="4900" w:name="_Toc472593386"/>
      <w:bookmarkStart w:id="4901" w:name="_Toc31716191"/>
      <w:bookmarkStart w:id="4902" w:name="_Toc479057174"/>
      <w:bookmarkStart w:id="4903" w:name="_Toc490066528"/>
      <w:r w:rsidRPr="002C0D19">
        <w:lastRenderedPageBreak/>
        <w:t>Artículo 2.5.1.3. Procedimiento de Cálculo de Garantías por Posición según Modelo MEFFCOM2.</w:t>
      </w:r>
      <w:bookmarkEnd w:id="4894"/>
      <w:bookmarkEnd w:id="4895"/>
      <w:bookmarkEnd w:id="4896"/>
      <w:bookmarkEnd w:id="4897"/>
      <w:bookmarkEnd w:id="4898"/>
      <w:bookmarkEnd w:id="4899"/>
      <w:bookmarkEnd w:id="4900"/>
      <w:bookmarkEnd w:id="4901"/>
      <w:r w:rsidRPr="002C0D19">
        <w:rPr>
          <w:rFonts w:eastAsia="Calibri" w:cs="Times New Roman"/>
        </w:rPr>
        <w:t xml:space="preserve"> </w:t>
      </w:r>
    </w:p>
    <w:p w14:paraId="6C55A778" w14:textId="77777777" w:rsidR="007968EC" w:rsidRDefault="007968EC" w:rsidP="007968EC">
      <w:pPr>
        <w:keepNext/>
        <w:tabs>
          <w:tab w:val="left" w:pos="1701"/>
        </w:tabs>
        <w:jc w:val="both"/>
        <w:outlineLvl w:val="2"/>
        <w:rPr>
          <w:rFonts w:ascii="Arial Narrow" w:eastAsia="Calibri" w:hAnsi="Arial Narrow"/>
          <w:b/>
          <w:color w:val="000000" w:themeColor="text1"/>
          <w:u w:val="single"/>
        </w:rPr>
      </w:pPr>
    </w:p>
    <w:p w14:paraId="2D068754" w14:textId="77777777" w:rsidR="007968EC" w:rsidRPr="002C0D19" w:rsidRDefault="007968EC" w:rsidP="007968EC">
      <w:pPr>
        <w:pStyle w:val="ANTECEDENTES"/>
        <w:rPr>
          <w:rFonts w:eastAsia="Calibri" w:cs="Times New Roman"/>
          <w:u w:val="single"/>
        </w:rPr>
      </w:pPr>
      <w:r w:rsidRPr="002C0D19">
        <w:t>(Este artículo fue modificado mediante Circular 6 del 14 de febrero de 2017, publicada en el Boletín Normativo No. 006 del 14 de febrero de 2017. Rige a partir del 15 de febrero de 2017.)</w:t>
      </w:r>
      <w:bookmarkEnd w:id="4902"/>
      <w:bookmarkEnd w:id="4903"/>
    </w:p>
    <w:p w14:paraId="6E82682C" w14:textId="77777777" w:rsidR="007968EC" w:rsidRPr="002C0D19" w:rsidRDefault="007968EC" w:rsidP="007968EC">
      <w:pPr>
        <w:jc w:val="both"/>
        <w:rPr>
          <w:rFonts w:ascii="Arial Narrow" w:eastAsia="Calibri" w:hAnsi="Arial Narrow"/>
          <w:b/>
          <w:color w:val="000000" w:themeColor="text1"/>
        </w:rPr>
      </w:pPr>
    </w:p>
    <w:p w14:paraId="1BE344D7"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Este modelo tiene en cuenta la valoración de las Posiciones Abiertas y las compensaciones entre Vencimientos del mismo Activo Subyacente y compensaciones entre los diferentes Instrumentos que se encuentren dentro del Segmento de Derivados Financieros.</w:t>
      </w:r>
    </w:p>
    <w:p w14:paraId="78D4B276" w14:textId="77777777" w:rsidR="007968EC" w:rsidRPr="005703C9" w:rsidRDefault="007968EC" w:rsidP="007968EC">
      <w:pPr>
        <w:jc w:val="both"/>
        <w:rPr>
          <w:rFonts w:ascii="Arial Narrow" w:eastAsia="Calibri" w:hAnsi="Arial Narrow"/>
          <w:b/>
          <w:color w:val="000000" w:themeColor="text1"/>
        </w:rPr>
      </w:pPr>
    </w:p>
    <w:p w14:paraId="12CF4837"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El procedimiento que se describe a continuación se realiza para cada titular de Cuenta, los pasos a seguir en el cálculo de la Garantía por Posición para posiciones compensadas en Futuros y Opciones son:</w:t>
      </w:r>
    </w:p>
    <w:p w14:paraId="35121676" w14:textId="77777777" w:rsidR="007968EC" w:rsidRPr="005703C9" w:rsidRDefault="007968EC" w:rsidP="007968EC">
      <w:pPr>
        <w:jc w:val="both"/>
        <w:rPr>
          <w:rFonts w:ascii="Arial Narrow" w:eastAsia="Calibri" w:hAnsi="Arial Narrow"/>
          <w:b/>
          <w:color w:val="000000" w:themeColor="text1"/>
        </w:rPr>
      </w:pPr>
    </w:p>
    <w:p w14:paraId="11F4745A" w14:textId="77777777" w:rsidR="007968EC" w:rsidRPr="002C0D19" w:rsidRDefault="007968EC" w:rsidP="00DA7472">
      <w:pPr>
        <w:numPr>
          <w:ilvl w:val="0"/>
          <w:numId w:val="210"/>
        </w:numPr>
        <w:autoSpaceDE w:val="0"/>
        <w:autoSpaceDN w:val="0"/>
        <w:adjustRightInd w:val="0"/>
        <w:ind w:left="426" w:hanging="426"/>
        <w:jc w:val="both"/>
        <w:rPr>
          <w:rFonts w:ascii="Arial Narrow" w:eastAsia="Calibri" w:hAnsi="Arial Narrow"/>
          <w:color w:val="000000" w:themeColor="text1"/>
          <w:lang w:eastAsia="es-CO"/>
        </w:rPr>
      </w:pPr>
      <w:r w:rsidRPr="002C0D19">
        <w:rPr>
          <w:rFonts w:ascii="Arial Narrow" w:eastAsia="Calibri" w:hAnsi="Arial Narrow"/>
          <w:color w:val="000000" w:themeColor="text1"/>
          <w:lang w:eastAsia="es-CO"/>
        </w:rPr>
        <w:t>Construcción de los diferentes escenarios de evaluación.</w:t>
      </w:r>
    </w:p>
    <w:p w14:paraId="6A205F1C" w14:textId="77777777" w:rsidR="007968EC" w:rsidRPr="002C0D19" w:rsidRDefault="007968EC" w:rsidP="007968EC">
      <w:pPr>
        <w:jc w:val="both"/>
        <w:rPr>
          <w:rFonts w:ascii="Arial Narrow" w:eastAsia="Calibri" w:hAnsi="Arial Narrow"/>
          <w:b/>
          <w:color w:val="000000" w:themeColor="text1"/>
        </w:rPr>
      </w:pPr>
    </w:p>
    <w:p w14:paraId="76ED9AC6"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 xml:space="preserve">Se determinan diferentes escenarios de precios que permiten estimar la máxima pérdida esperada en función de los parámetros de cada uno de los Instrumentos compensados en la Cámara.  </w:t>
      </w:r>
    </w:p>
    <w:p w14:paraId="14578376" w14:textId="77777777" w:rsidR="007968EC" w:rsidRPr="002C0D19" w:rsidRDefault="007968EC" w:rsidP="007968EC">
      <w:pPr>
        <w:jc w:val="both"/>
        <w:rPr>
          <w:rFonts w:ascii="Arial Narrow" w:eastAsia="Calibri" w:hAnsi="Arial Narrow"/>
          <w:b/>
          <w:color w:val="000000" w:themeColor="text1"/>
        </w:rPr>
      </w:pPr>
    </w:p>
    <w:p w14:paraId="7C5AFE23"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Estos escenarios se calculan para cada uno de los Contratos por Grupo de Compensación que se tengan en la Cuenta, por lo tanto, se tiene una matriz donde las filas están representadas por los diferentes Contratos que se tengan del Instrumento y las columnas son los diferentes escenarios estimados.</w:t>
      </w:r>
    </w:p>
    <w:p w14:paraId="49D46E5D" w14:textId="77777777" w:rsidR="007968EC" w:rsidRPr="002C0D19" w:rsidRDefault="007968EC" w:rsidP="007968EC">
      <w:pPr>
        <w:jc w:val="both"/>
        <w:rPr>
          <w:rFonts w:ascii="Arial Narrow" w:eastAsia="Calibri" w:hAnsi="Arial Narrow"/>
          <w:b/>
          <w:color w:val="000000" w:themeColor="text1"/>
        </w:rPr>
      </w:pPr>
    </w:p>
    <w:p w14:paraId="759AC41E" w14:textId="77777777" w:rsidR="007968EC" w:rsidRPr="002C0D19" w:rsidRDefault="007968EC" w:rsidP="00DA7472">
      <w:pPr>
        <w:numPr>
          <w:ilvl w:val="0"/>
          <w:numId w:val="248"/>
        </w:numPr>
        <w:autoSpaceDE w:val="0"/>
        <w:autoSpaceDN w:val="0"/>
        <w:adjustRightInd w:val="0"/>
        <w:ind w:hanging="720"/>
        <w:jc w:val="both"/>
        <w:rPr>
          <w:rFonts w:ascii="Arial Narrow" w:eastAsia="Calibri" w:hAnsi="Arial Narrow"/>
          <w:color w:val="000000" w:themeColor="text1"/>
        </w:rPr>
      </w:pPr>
      <w:r w:rsidRPr="002C0D19">
        <w:rPr>
          <w:rFonts w:ascii="Arial Narrow" w:eastAsia="Calibri" w:hAnsi="Arial Narrow"/>
          <w:color w:val="000000" w:themeColor="text1"/>
        </w:rPr>
        <w:t xml:space="preserve">Los escenarios de precios hipotéticos están dados por la siguientes formulas. </w:t>
      </w:r>
    </w:p>
    <w:p w14:paraId="4D62A709" w14:textId="77777777" w:rsidR="007968EC" w:rsidRPr="002C0D19" w:rsidRDefault="007968EC" w:rsidP="007968EC">
      <w:pPr>
        <w:autoSpaceDE w:val="0"/>
        <w:autoSpaceDN w:val="0"/>
        <w:adjustRightInd w:val="0"/>
        <w:ind w:left="360"/>
        <w:jc w:val="both"/>
        <w:rPr>
          <w:rFonts w:ascii="Arial Narrow" w:eastAsia="Calibri" w:hAnsi="Arial Narrow"/>
          <w:color w:val="000000" w:themeColor="text1"/>
        </w:rPr>
      </w:pPr>
    </w:p>
    <w:p w14:paraId="5CAEF316" w14:textId="77777777" w:rsidR="007968EC" w:rsidRPr="002C0D19" w:rsidRDefault="007968EC" w:rsidP="007968EC">
      <w:pPr>
        <w:autoSpaceDE w:val="0"/>
        <w:autoSpaceDN w:val="0"/>
        <w:adjustRightInd w:val="0"/>
        <w:jc w:val="both"/>
        <w:rPr>
          <w:rFonts w:ascii="Arial Narrow" w:eastAsia="Calibri" w:hAnsi="Arial Narrow"/>
          <w:color w:val="000000" w:themeColor="text1"/>
          <w:lang w:val="es-ES"/>
        </w:rPr>
      </w:pPr>
      <w:r w:rsidRPr="002C0D19">
        <w:rPr>
          <w:rFonts w:ascii="Arial Narrow" w:eastAsia="Calibri" w:hAnsi="Arial Narrow"/>
          <w:color w:val="000000" w:themeColor="text1"/>
          <w:lang w:val="es-ES"/>
        </w:rPr>
        <w:t xml:space="preserve">Inicialmente solo se establecen once (11) escenarios de evaluación. </w:t>
      </w:r>
    </w:p>
    <w:p w14:paraId="3EB085A2" w14:textId="77777777" w:rsidR="007968EC" w:rsidRPr="005703C9" w:rsidRDefault="007968EC" w:rsidP="007968EC">
      <w:pPr>
        <w:jc w:val="both"/>
        <w:rPr>
          <w:rFonts w:ascii="Arial Narrow" w:eastAsia="Calibri" w:hAnsi="Arial Narrow"/>
          <w:b/>
          <w:color w:val="000000" w:themeColor="text1"/>
        </w:rPr>
      </w:pPr>
    </w:p>
    <w:p w14:paraId="15036E3F" w14:textId="77777777" w:rsidR="007968EC" w:rsidRPr="002C0D19" w:rsidRDefault="007968EC" w:rsidP="007968EC">
      <w:pPr>
        <w:jc w:val="both"/>
        <w:rPr>
          <w:rFonts w:ascii="Arial Narrow" w:hAnsi="Arial Narrow" w:cs="Arial"/>
          <w:i/>
          <w:color w:val="000000" w:themeColor="text1"/>
          <w:sz w:val="20"/>
          <w:szCs w:val="20"/>
          <w:lang w:val="es-ES" w:eastAsia="es-ES"/>
        </w:rPr>
      </w:pPr>
      <w:proofErr w:type="gramStart"/>
      <w:r w:rsidRPr="002C0D19">
        <w:rPr>
          <w:rFonts w:ascii="Arial Narrow" w:hAnsi="Arial Narrow" w:cs="Arial"/>
          <w:i/>
          <w:color w:val="000000" w:themeColor="text1"/>
          <w:sz w:val="20"/>
          <w:szCs w:val="20"/>
          <w:lang w:val="es-ES" w:eastAsia="es-ES"/>
        </w:rPr>
        <w:t>Escenario a analizar</w:t>
      </w:r>
      <w:proofErr w:type="gramEnd"/>
      <w:r w:rsidRPr="002C0D19">
        <w:rPr>
          <w:rFonts w:ascii="Arial Narrow" w:hAnsi="Arial Narrow" w:cs="Arial"/>
          <w:i/>
          <w:color w:val="000000" w:themeColor="text1"/>
          <w:sz w:val="20"/>
          <w:szCs w:val="20"/>
          <w:lang w:val="es-ES" w:eastAsia="es-ES"/>
        </w:rPr>
        <w:t xml:space="preserve"> (-5,-4, …,0,1…5)</w:t>
      </w:r>
    </w:p>
    <w:p w14:paraId="3FA92AEC" w14:textId="77777777" w:rsidR="007968EC" w:rsidRPr="002C0D19" w:rsidRDefault="007968EC" w:rsidP="007968EC">
      <w:pPr>
        <w:jc w:val="both"/>
        <w:rPr>
          <w:rFonts w:ascii="Arial Narrow" w:hAnsi="Arial Narrow" w:cs="Arial"/>
          <w:color w:val="000000" w:themeColor="text1"/>
          <w:sz w:val="20"/>
          <w:szCs w:val="20"/>
          <w:lang w:val="es-ES" w:eastAsia="es-ES"/>
        </w:rPr>
      </w:pPr>
      <w:r w:rsidRPr="002C0D19">
        <w:rPr>
          <w:rFonts w:ascii="Arial Narrow" w:hAnsi="Arial Narrow" w:cs="Arial"/>
          <w:i/>
          <w:color w:val="000000" w:themeColor="text1"/>
          <w:sz w:val="20"/>
          <w:szCs w:val="20"/>
          <w:lang w:val="es-ES" w:eastAsia="es-ES"/>
        </w:rPr>
        <w:t>Fluctuación total =</w:t>
      </w:r>
      <w:r w:rsidRPr="002C0D19">
        <w:rPr>
          <w:rFonts w:ascii="Arial Narrow" w:hAnsi="Arial Narrow" w:cs="Arial"/>
          <w:color w:val="000000" w:themeColor="text1"/>
          <w:sz w:val="20"/>
          <w:szCs w:val="20"/>
          <w:lang w:val="es-ES" w:eastAsia="es-ES"/>
        </w:rPr>
        <w:t>Fluctuación asociada al subyacente</w:t>
      </w:r>
    </w:p>
    <w:p w14:paraId="57E076E0" w14:textId="77777777" w:rsidR="007968EC" w:rsidRPr="002C0D19" w:rsidRDefault="007968EC" w:rsidP="007968EC">
      <w:pPr>
        <w:jc w:val="both"/>
        <w:rPr>
          <w:rFonts w:ascii="Arial Narrow" w:hAnsi="Arial Narrow" w:cs="Arial"/>
          <w:i/>
          <w:color w:val="000000" w:themeColor="text1"/>
          <w:sz w:val="20"/>
          <w:szCs w:val="20"/>
          <w:lang w:val="es-ES" w:eastAsia="es-ES"/>
        </w:rPr>
      </w:pPr>
      <w:r w:rsidRPr="002C0D19">
        <w:rPr>
          <w:rFonts w:ascii="Arial Narrow" w:hAnsi="Arial Narrow" w:cs="Arial"/>
          <w:i/>
          <w:color w:val="000000" w:themeColor="text1"/>
          <w:sz w:val="20"/>
          <w:szCs w:val="20"/>
          <w:lang w:val="es-ES" w:eastAsia="es-ES"/>
        </w:rPr>
        <w:t>Último Precio: representa el último precio transado del Contrato; al final del día este precio será el suministrado por el Proveedor Oficial de Precios para Valoración para el respectivo Contrato.</w:t>
      </w:r>
    </w:p>
    <w:p w14:paraId="593D52BB" w14:textId="77777777" w:rsidR="007968EC" w:rsidRPr="002C0D19" w:rsidRDefault="007968EC" w:rsidP="007968EC">
      <w:pPr>
        <w:jc w:val="both"/>
        <w:rPr>
          <w:rFonts w:ascii="Arial Narrow" w:hAnsi="Arial Narrow" w:cs="Arial"/>
          <w:b/>
          <w:color w:val="000000" w:themeColor="text1"/>
          <w:lang w:val="es-ES" w:eastAsia="es-ES"/>
        </w:rPr>
      </w:pPr>
    </w:p>
    <w:p w14:paraId="209BA43B"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Para Contratos de Futuros: </w:t>
      </w:r>
    </w:p>
    <w:p w14:paraId="0DF82C2D" w14:textId="77777777" w:rsidR="007968EC" w:rsidRPr="002C0D19" w:rsidRDefault="007968EC" w:rsidP="007968EC">
      <w:pPr>
        <w:jc w:val="both"/>
        <w:rPr>
          <w:rFonts w:ascii="Arial Narrow" w:hAnsi="Arial Narrow" w:cs="Arial"/>
          <w:color w:val="000000" w:themeColor="text1"/>
          <w:lang w:val="es-ES" w:eastAsia="es-ES"/>
        </w:rPr>
      </w:pPr>
    </w:p>
    <w:p w14:paraId="04C36B6E"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Para el escenario base:</w:t>
      </w:r>
    </w:p>
    <w:p w14:paraId="57FD0D76" w14:textId="77777777" w:rsidR="007968EC" w:rsidRPr="002C0D19" w:rsidRDefault="007968EC" w:rsidP="007968EC">
      <w:pPr>
        <w:jc w:val="both"/>
        <w:rPr>
          <w:rFonts w:ascii="Arial Narrow" w:hAnsi="Arial Narrow" w:cs="Arial"/>
          <w:b/>
          <w:color w:val="000000" w:themeColor="text1"/>
          <w:lang w:val="es-ES" w:eastAsia="es-ES"/>
        </w:rPr>
      </w:pPr>
    </w:p>
    <w:p w14:paraId="21FA520B" w14:textId="77777777" w:rsidR="007968EC" w:rsidRPr="002C0D19" w:rsidRDefault="007968EC" w:rsidP="007968EC">
      <w:pPr>
        <w:jc w:val="center"/>
        <w:rPr>
          <w:rFonts w:ascii="Arial Narrow" w:hAnsi="Arial Narrow" w:cs="Arial"/>
          <w:b/>
          <w:color w:val="000000" w:themeColor="text1"/>
          <w:lang w:val="es-ES" w:eastAsia="es-ES"/>
        </w:rPr>
      </w:pPr>
      <m:oMathPara>
        <m:oMath>
          <m:r>
            <m:rPr>
              <m:sty m:val="bi"/>
            </m:rPr>
            <w:rPr>
              <w:rFonts w:ascii="Cambria Math" w:hAnsi="Cambria Math" w:cs="Arial"/>
              <w:color w:val="000000" w:themeColor="text1"/>
              <w:lang w:val="es-ES" w:eastAsia="es-ES"/>
            </w:rPr>
            <m:t xml:space="preserve">Último Precio </m:t>
          </m:r>
          <m:sSub>
            <m:sSubPr>
              <m:ctrlPr>
                <w:rPr>
                  <w:rFonts w:ascii="Cambria Math" w:hAnsi="Cambria Math" w:cs="Arial"/>
                  <w:b/>
                  <w:i/>
                  <w:color w:val="000000" w:themeColor="text1"/>
                  <w:lang w:val="es-ES" w:eastAsia="es-ES"/>
                </w:rPr>
              </m:ctrlPr>
            </m:sSubPr>
            <m:e>
              <m:r>
                <m:rPr>
                  <m:sty m:val="bi"/>
                </m:rPr>
                <w:rPr>
                  <w:rFonts w:ascii="Cambria Math" w:hAnsi="Cambria Math" w:cs="Arial"/>
                  <w:color w:val="000000" w:themeColor="text1"/>
                  <w:lang w:val="es-ES" w:eastAsia="es-ES"/>
                </w:rPr>
                <m:t>e</m:t>
              </m:r>
            </m:e>
            <m:sub>
              <m:r>
                <m:rPr>
                  <m:sty m:val="bi"/>
                </m:rPr>
                <w:rPr>
                  <w:rFonts w:ascii="Cambria Math" w:hAnsi="Cambria Math" w:cs="Arial"/>
                  <w:color w:val="000000" w:themeColor="text1"/>
                  <w:lang w:val="es-ES" w:eastAsia="es-ES"/>
                </w:rPr>
                <m:t>0</m:t>
              </m:r>
            </m:sub>
          </m:sSub>
          <m:r>
            <m:rPr>
              <m:sty m:val="bi"/>
            </m:rPr>
            <w:rPr>
              <w:rFonts w:ascii="Cambria Math" w:hAnsi="Cambria Math" w:cs="Arial"/>
              <w:color w:val="000000" w:themeColor="text1"/>
              <w:lang w:val="es-ES" w:eastAsia="es-ES"/>
            </w:rPr>
            <m:t xml:space="preserve">=Último Precio </m:t>
          </m:r>
        </m:oMath>
      </m:oMathPara>
    </w:p>
    <w:p w14:paraId="1B2A323C" w14:textId="77777777" w:rsidR="007968EC" w:rsidRPr="002C0D19" w:rsidRDefault="007968EC" w:rsidP="007968EC">
      <w:pPr>
        <w:jc w:val="both"/>
        <w:rPr>
          <w:rFonts w:ascii="Arial Narrow" w:hAnsi="Arial Narrow" w:cs="Arial"/>
          <w:b/>
          <w:color w:val="000000" w:themeColor="text1"/>
          <w:lang w:val="es-ES" w:eastAsia="es-ES"/>
        </w:rPr>
      </w:pPr>
    </w:p>
    <w:p w14:paraId="3CD5F127"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Para los escenarios restantes:</w:t>
      </w:r>
    </w:p>
    <w:p w14:paraId="76913856" w14:textId="77777777" w:rsidR="007968EC" w:rsidRPr="002C0D19" w:rsidRDefault="007968EC" w:rsidP="007968EC">
      <w:pPr>
        <w:jc w:val="both"/>
        <w:rPr>
          <w:rFonts w:ascii="Arial Narrow" w:hAnsi="Arial Narrow" w:cs="Arial"/>
          <w:b/>
          <w:color w:val="000000" w:themeColor="text1"/>
          <w:lang w:val="es-ES" w:eastAsia="es-ES"/>
        </w:rPr>
      </w:pPr>
    </w:p>
    <w:p w14:paraId="3C2B2CE9" w14:textId="77777777" w:rsidR="007968EC" w:rsidRPr="002C0D19" w:rsidRDefault="007968EC" w:rsidP="007968EC">
      <w:pPr>
        <w:jc w:val="both"/>
        <w:rPr>
          <w:rFonts w:ascii="Arial Narrow" w:hAnsi="Arial Narrow" w:cs="Arial"/>
          <w:b/>
          <w:color w:val="000000" w:themeColor="text1"/>
          <w:lang w:val="es-ES" w:eastAsia="es-ES"/>
        </w:rPr>
      </w:pPr>
      <m:oMathPara>
        <m:oMathParaPr>
          <m:jc m:val="left"/>
        </m:oMathParaPr>
        <m:oMath>
          <m:r>
            <m:rPr>
              <m:sty m:val="bi"/>
            </m:rPr>
            <w:rPr>
              <w:rFonts w:ascii="Cambria Math" w:hAnsi="Cambria Math" w:cs="Arial"/>
              <w:color w:val="000000" w:themeColor="text1"/>
              <w:lang w:val="es-ES" w:eastAsia="es-ES"/>
            </w:rPr>
            <m:t xml:space="preserve">Último Precio </m:t>
          </m:r>
          <m:sSub>
            <m:sSubPr>
              <m:ctrlPr>
                <w:rPr>
                  <w:rFonts w:ascii="Cambria Math" w:hAnsi="Cambria Math" w:cs="Arial"/>
                  <w:b/>
                  <w:i/>
                  <w:color w:val="000000" w:themeColor="text1"/>
                  <w:lang w:val="es-ES" w:eastAsia="es-ES"/>
                </w:rPr>
              </m:ctrlPr>
            </m:sSubPr>
            <m:e>
              <m:r>
                <m:rPr>
                  <m:sty m:val="bi"/>
                </m:rPr>
                <w:rPr>
                  <w:rFonts w:ascii="Cambria Math" w:hAnsi="Cambria Math" w:cs="Arial"/>
                  <w:color w:val="000000" w:themeColor="text1"/>
                  <w:lang w:val="es-ES" w:eastAsia="es-ES"/>
                </w:rPr>
                <m:t>e</m:t>
              </m:r>
            </m:e>
            <m:sub>
              <m:r>
                <m:rPr>
                  <m:sty m:val="bi"/>
                </m:rPr>
                <w:rPr>
                  <w:rFonts w:ascii="Cambria Math" w:hAnsi="Cambria Math" w:cs="Arial"/>
                  <w:color w:val="000000" w:themeColor="text1"/>
                  <w:lang w:val="es-ES" w:eastAsia="es-ES"/>
                </w:rPr>
                <m:t>i</m:t>
              </m:r>
            </m:sub>
          </m:sSub>
          <m:r>
            <m:rPr>
              <m:sty m:val="bi"/>
            </m:rPr>
            <w:rPr>
              <w:rFonts w:ascii="Cambria Math" w:hAnsi="Cambria Math" w:cs="Arial"/>
              <w:color w:val="000000" w:themeColor="text1"/>
              <w:lang w:val="es-ES" w:eastAsia="es-ES"/>
            </w:rPr>
            <m:t>=Último Precio *</m:t>
          </m:r>
          <m:d>
            <m:dPr>
              <m:ctrlPr>
                <w:rPr>
                  <w:rFonts w:ascii="Cambria Math" w:hAnsi="Cambria Math" w:cs="Arial"/>
                  <w:b/>
                  <w:i/>
                  <w:color w:val="000000" w:themeColor="text1"/>
                  <w:lang w:val="es-ES" w:eastAsia="es-ES"/>
                </w:rPr>
              </m:ctrlPr>
            </m:dPr>
            <m:e>
              <m:r>
                <m:rPr>
                  <m:sty m:val="bi"/>
                </m:rPr>
                <w:rPr>
                  <w:rFonts w:ascii="Cambria Math" w:hAnsi="Cambria Math" w:cs="Arial"/>
                  <w:color w:val="000000" w:themeColor="text1"/>
                  <w:lang w:val="es-ES" w:eastAsia="es-ES"/>
                </w:rPr>
                <m:t>1+i*</m:t>
              </m:r>
              <m:f>
                <m:fPr>
                  <m:ctrlPr>
                    <w:rPr>
                      <w:rFonts w:ascii="Cambria Math" w:hAnsi="Cambria Math" w:cs="Arial"/>
                      <w:b/>
                      <w:i/>
                      <w:color w:val="000000" w:themeColor="text1"/>
                      <w:lang w:val="es-ES" w:eastAsia="es-ES"/>
                    </w:rPr>
                  </m:ctrlPr>
                </m:fPr>
                <m:num>
                  <m:r>
                    <m:rPr>
                      <m:sty m:val="bi"/>
                    </m:rPr>
                    <w:rPr>
                      <w:rFonts w:ascii="Cambria Math" w:hAnsi="Cambria Math" w:cs="Arial"/>
                      <w:color w:val="000000" w:themeColor="text1"/>
                      <w:lang w:val="es-ES" w:eastAsia="es-ES"/>
                    </w:rPr>
                    <m:t>Fluctuación Total</m:t>
                  </m:r>
                </m:num>
                <m:den>
                  <m:r>
                    <m:rPr>
                      <m:sty m:val="bi"/>
                    </m:rPr>
                    <w:rPr>
                      <w:rFonts w:ascii="Cambria Math" w:hAnsi="Cambria Math" w:cs="Arial"/>
                      <w:color w:val="000000" w:themeColor="text1"/>
                      <w:lang w:val="es-ES" w:eastAsia="es-ES"/>
                    </w:rPr>
                    <m:t>5</m:t>
                  </m:r>
                </m:den>
              </m:f>
            </m:e>
          </m:d>
          <m:r>
            <m:rPr>
              <m:sty m:val="bi"/>
            </m:rPr>
            <w:rPr>
              <w:rFonts w:ascii="Cambria Math" w:hAnsi="Cambria Math" w:cs="Arial"/>
              <w:color w:val="000000" w:themeColor="text1"/>
              <w:lang w:val="es-ES" w:eastAsia="es-ES"/>
            </w:rPr>
            <m:t xml:space="preserve">  </m:t>
          </m:r>
        </m:oMath>
      </m:oMathPara>
    </w:p>
    <w:p w14:paraId="5F66AF40"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Donde </w:t>
      </w:r>
    </w:p>
    <w:p w14:paraId="015E0478" w14:textId="77777777" w:rsidR="007968EC" w:rsidRPr="002C0D19" w:rsidRDefault="007968EC" w:rsidP="007968EC">
      <w:pPr>
        <w:jc w:val="both"/>
        <w:rPr>
          <w:rFonts w:ascii="Arial Narrow" w:hAnsi="Arial Narrow" w:cs="Arial"/>
          <w:b/>
          <w:color w:val="000000" w:themeColor="text1"/>
          <w:lang w:val="es-ES" w:eastAsia="es-ES"/>
        </w:rPr>
      </w:pPr>
    </w:p>
    <w:p w14:paraId="0EDE1762" w14:textId="77777777" w:rsidR="007968EC" w:rsidRPr="002C0D19" w:rsidRDefault="007968EC" w:rsidP="007968EC">
      <w:pPr>
        <w:jc w:val="both"/>
        <w:rPr>
          <w:rFonts w:ascii="Arial Narrow" w:hAnsi="Arial Narrow" w:cs="Arial"/>
          <w:b/>
          <w:i/>
          <w:color w:val="000000" w:themeColor="text1"/>
          <w:sz w:val="20"/>
          <w:szCs w:val="20"/>
          <w:lang w:val="es-ES" w:eastAsia="es-ES"/>
        </w:rPr>
      </w:pPr>
      <w:r w:rsidRPr="002C0D19">
        <w:rPr>
          <w:rFonts w:ascii="Arial Narrow" w:hAnsi="Arial Narrow" w:cs="Arial"/>
          <w:b/>
          <w:i/>
          <w:color w:val="000000" w:themeColor="text1"/>
          <w:lang w:val="es-ES" w:eastAsia="es-ES"/>
        </w:rPr>
        <w:t xml:space="preserve">i </w:t>
      </w:r>
      <w:r w:rsidRPr="002C0D19">
        <w:rPr>
          <w:rFonts w:ascii="Arial Narrow" w:hAnsi="Arial Narrow" w:cs="Arial"/>
          <w:b/>
          <w:i/>
          <w:color w:val="000000" w:themeColor="text1"/>
          <w:sz w:val="20"/>
          <w:szCs w:val="20"/>
          <w:lang w:val="es-ES" w:eastAsia="es-ES"/>
        </w:rPr>
        <w:t>= Escenario a analizar (-5,-4, …,0,1…5)</w:t>
      </w:r>
    </w:p>
    <w:p w14:paraId="7933CF62" w14:textId="77777777" w:rsidR="007968EC" w:rsidRPr="002C0D19" w:rsidRDefault="007968EC" w:rsidP="007968EC">
      <w:pPr>
        <w:jc w:val="both"/>
        <w:rPr>
          <w:rFonts w:ascii="Arial Narrow" w:hAnsi="Arial Narrow" w:cs="Arial"/>
          <w:color w:val="000000" w:themeColor="text1"/>
          <w:sz w:val="20"/>
          <w:szCs w:val="20"/>
          <w:lang w:val="es-ES" w:eastAsia="es-ES"/>
        </w:rPr>
      </w:pPr>
      <w:r w:rsidRPr="002C0D19">
        <w:rPr>
          <w:rFonts w:ascii="Arial Narrow" w:hAnsi="Arial Narrow" w:cs="Arial"/>
          <w:i/>
          <w:color w:val="000000" w:themeColor="text1"/>
          <w:sz w:val="20"/>
          <w:szCs w:val="20"/>
          <w:lang w:val="es-ES" w:eastAsia="es-ES"/>
        </w:rPr>
        <w:lastRenderedPageBreak/>
        <w:t>Fluctuación total =</w:t>
      </w:r>
      <w:r w:rsidRPr="002C0D19">
        <w:rPr>
          <w:rFonts w:ascii="Arial Narrow" w:hAnsi="Arial Narrow" w:cs="Arial"/>
          <w:color w:val="000000" w:themeColor="text1"/>
          <w:sz w:val="20"/>
          <w:szCs w:val="20"/>
          <w:lang w:val="es-ES" w:eastAsia="es-ES"/>
        </w:rPr>
        <w:t>Fluctuación asociada al subyacente</w:t>
      </w:r>
    </w:p>
    <w:p w14:paraId="53A7E490" w14:textId="77777777" w:rsidR="007968EC" w:rsidRPr="002C0D19" w:rsidRDefault="007968EC" w:rsidP="007968EC">
      <w:pPr>
        <w:jc w:val="both"/>
        <w:rPr>
          <w:rFonts w:ascii="Arial Narrow" w:hAnsi="Arial Narrow" w:cs="Arial"/>
          <w:b/>
          <w:color w:val="000000" w:themeColor="text1"/>
          <w:sz w:val="20"/>
          <w:szCs w:val="20"/>
          <w:lang w:val="es-ES" w:eastAsia="es-ES"/>
        </w:rPr>
      </w:pPr>
      <m:oMath>
        <m:r>
          <m:rPr>
            <m:sty m:val="bi"/>
          </m:rPr>
          <w:rPr>
            <w:rFonts w:ascii="Cambria Math" w:hAnsi="Cambria Math" w:cs="Arial"/>
            <w:color w:val="000000" w:themeColor="text1"/>
            <w:lang w:val="es-ES" w:eastAsia="es-ES"/>
          </w:rPr>
          <m:t xml:space="preserve">Último Precio </m:t>
        </m:r>
        <m:sSub>
          <m:sSubPr>
            <m:ctrlPr>
              <w:rPr>
                <w:rFonts w:ascii="Cambria Math" w:hAnsi="Cambria Math" w:cs="Arial"/>
                <w:b/>
                <w:i/>
                <w:color w:val="000000" w:themeColor="text1"/>
                <w:lang w:val="es-ES" w:eastAsia="es-ES"/>
              </w:rPr>
            </m:ctrlPr>
          </m:sSubPr>
          <m:e>
            <m:r>
              <m:rPr>
                <m:sty m:val="bi"/>
              </m:rPr>
              <w:rPr>
                <w:rFonts w:ascii="Cambria Math" w:hAnsi="Cambria Math" w:cs="Arial"/>
                <w:color w:val="000000" w:themeColor="text1"/>
                <w:lang w:val="es-ES" w:eastAsia="es-ES"/>
              </w:rPr>
              <m:t>e</m:t>
            </m:r>
          </m:e>
          <m:sub>
            <m:r>
              <m:rPr>
                <m:sty m:val="bi"/>
              </m:rPr>
              <w:rPr>
                <w:rFonts w:ascii="Cambria Math" w:hAnsi="Cambria Math" w:cs="Arial"/>
                <w:color w:val="000000" w:themeColor="text1"/>
                <w:lang w:val="es-ES" w:eastAsia="es-ES"/>
              </w:rPr>
              <m:t>i</m:t>
            </m:r>
          </m:sub>
        </m:sSub>
        <m:r>
          <m:rPr>
            <m:sty m:val="bi"/>
          </m:rPr>
          <w:rPr>
            <w:rFonts w:ascii="Cambria Math" w:hAnsi="Cambria Math" w:cs="Arial"/>
            <w:color w:val="000000" w:themeColor="text1"/>
            <w:lang w:val="es-ES" w:eastAsia="es-ES"/>
          </w:rPr>
          <m:t>=</m:t>
        </m:r>
      </m:oMath>
      <w:r w:rsidRPr="002C0D19">
        <w:rPr>
          <w:rFonts w:ascii="Arial Narrow" w:hAnsi="Arial Narrow" w:cs="Arial"/>
          <w:color w:val="000000" w:themeColor="text1"/>
          <w:sz w:val="20"/>
          <w:szCs w:val="20"/>
          <w:lang w:val="es-ES" w:eastAsia="es-ES"/>
        </w:rPr>
        <w:t xml:space="preserve">Precio Hipotético del futuro en el escenario </w:t>
      </w:r>
      <w:r w:rsidRPr="002C0D19">
        <w:rPr>
          <w:rFonts w:ascii="Arial Narrow" w:hAnsi="Arial Narrow" w:cs="Arial"/>
          <w:i/>
          <w:color w:val="000000" w:themeColor="text1"/>
          <w:sz w:val="20"/>
          <w:szCs w:val="20"/>
          <w:lang w:val="es-ES" w:eastAsia="es-ES"/>
        </w:rPr>
        <w:t>i.</w:t>
      </w:r>
    </w:p>
    <w:p w14:paraId="6AF85794" w14:textId="77777777" w:rsidR="007968EC" w:rsidRPr="002C0D19" w:rsidRDefault="007968EC" w:rsidP="007968EC">
      <w:pPr>
        <w:jc w:val="both"/>
        <w:rPr>
          <w:rFonts w:ascii="Arial Narrow" w:hAnsi="Arial Narrow" w:cs="Arial"/>
          <w:b/>
          <w:color w:val="000000" w:themeColor="text1"/>
          <w:lang w:val="es-ES" w:eastAsia="es-ES"/>
        </w:rPr>
      </w:pPr>
      <m:oMath>
        <m:r>
          <m:rPr>
            <m:sty m:val="bi"/>
          </m:rPr>
          <w:rPr>
            <w:rFonts w:ascii="Cambria Math" w:hAnsi="Cambria Math" w:cs="Arial"/>
            <w:color w:val="000000" w:themeColor="text1"/>
            <w:lang w:val="es-ES" w:eastAsia="es-ES"/>
          </w:rPr>
          <m:t xml:space="preserve">Último Precio </m:t>
        </m:r>
      </m:oMath>
      <w:r w:rsidRPr="002C0D19">
        <w:rPr>
          <w:rFonts w:ascii="Arial Narrow" w:hAnsi="Arial Narrow" w:cs="Arial"/>
          <w:color w:val="000000" w:themeColor="text1"/>
          <w:sz w:val="20"/>
          <w:szCs w:val="20"/>
          <w:lang w:val="es-ES" w:eastAsia="es-ES"/>
        </w:rPr>
        <w:t>=Precio del subyacente enviado por el proveedor de servicios.</w:t>
      </w:r>
    </w:p>
    <w:p w14:paraId="5444BEDA" w14:textId="77777777" w:rsidR="007968EC" w:rsidRPr="002C0D19" w:rsidRDefault="007968EC" w:rsidP="007968EC">
      <w:pPr>
        <w:jc w:val="both"/>
        <w:rPr>
          <w:rFonts w:ascii="Arial Narrow" w:hAnsi="Arial Narrow" w:cs="Arial"/>
          <w:b/>
          <w:color w:val="000000" w:themeColor="text1"/>
          <w:lang w:val="es-ES" w:eastAsia="es-ES"/>
        </w:rPr>
      </w:pPr>
    </w:p>
    <w:p w14:paraId="6C5A9539"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Para Contratos de Opciones: </w:t>
      </w:r>
    </w:p>
    <w:p w14:paraId="6A1B985A" w14:textId="77777777" w:rsidR="007968EC" w:rsidRPr="002C0D19" w:rsidRDefault="007968EC" w:rsidP="007968EC">
      <w:pPr>
        <w:jc w:val="both"/>
        <w:rPr>
          <w:rFonts w:ascii="Arial Narrow" w:hAnsi="Arial Narrow" w:cs="Arial"/>
          <w:color w:val="000000" w:themeColor="text1"/>
          <w:lang w:val="es-ES" w:eastAsia="es-ES"/>
        </w:rPr>
      </w:pPr>
    </w:p>
    <w:p w14:paraId="3FB09D38"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Para el escenario base:</w:t>
      </w:r>
    </w:p>
    <w:p w14:paraId="758C5617" w14:textId="77777777" w:rsidR="007968EC" w:rsidRPr="002C0D19" w:rsidRDefault="007968EC" w:rsidP="007968EC">
      <w:pPr>
        <w:jc w:val="both"/>
        <w:rPr>
          <w:rFonts w:ascii="Arial Narrow" w:hAnsi="Arial Narrow" w:cs="Arial"/>
          <w:b/>
          <w:color w:val="000000" w:themeColor="text1"/>
          <w:lang w:val="es-ES" w:eastAsia="es-ES"/>
        </w:rPr>
      </w:pPr>
    </w:p>
    <w:p w14:paraId="23CFAE03" w14:textId="77777777" w:rsidR="007968EC" w:rsidRPr="002C0D19" w:rsidRDefault="007968EC" w:rsidP="007968EC">
      <w:pPr>
        <w:jc w:val="center"/>
        <w:rPr>
          <w:rFonts w:ascii="Arial Narrow" w:hAnsi="Arial Narrow" w:cs="Arial"/>
          <w:b/>
          <w:color w:val="000000" w:themeColor="text1"/>
          <w:lang w:val="es-ES" w:eastAsia="es-ES"/>
        </w:rPr>
      </w:pPr>
      <m:oMathPara>
        <m:oMath>
          <m:r>
            <m:rPr>
              <m:sty m:val="bi"/>
            </m:rPr>
            <w:rPr>
              <w:rFonts w:ascii="Cambria Math" w:hAnsi="Cambria Math" w:cs="Arial"/>
              <w:color w:val="000000" w:themeColor="text1"/>
              <w:lang w:val="es-ES" w:eastAsia="es-ES"/>
            </w:rPr>
            <m:t>Precio subyacent</m:t>
          </m:r>
          <m:sSub>
            <m:sSubPr>
              <m:ctrlPr>
                <w:rPr>
                  <w:rFonts w:ascii="Cambria Math" w:hAnsi="Cambria Math" w:cs="Arial"/>
                  <w:b/>
                  <w:i/>
                  <w:color w:val="000000" w:themeColor="text1"/>
                  <w:lang w:val="es-ES" w:eastAsia="es-ES"/>
                </w:rPr>
              </m:ctrlPr>
            </m:sSubPr>
            <m:e>
              <m:r>
                <m:rPr>
                  <m:sty m:val="bi"/>
                </m:rPr>
                <w:rPr>
                  <w:rFonts w:ascii="Cambria Math" w:hAnsi="Cambria Math" w:cs="Arial"/>
                  <w:color w:val="000000" w:themeColor="text1"/>
                  <w:lang w:val="es-ES" w:eastAsia="es-ES"/>
                </w:rPr>
                <m:t>e</m:t>
              </m:r>
            </m:e>
            <m:sub>
              <m:r>
                <m:rPr>
                  <m:sty m:val="bi"/>
                </m:rPr>
                <w:rPr>
                  <w:rFonts w:ascii="Cambria Math" w:hAnsi="Cambria Math" w:cs="Arial"/>
                  <w:color w:val="000000" w:themeColor="text1"/>
                  <w:lang w:val="es-ES" w:eastAsia="es-ES"/>
                </w:rPr>
                <m:t>0</m:t>
              </m:r>
            </m:sub>
          </m:sSub>
          <m:r>
            <m:rPr>
              <m:sty m:val="bi"/>
            </m:rPr>
            <w:rPr>
              <w:rFonts w:ascii="Cambria Math" w:hAnsi="Cambria Math" w:cs="Arial"/>
              <w:color w:val="000000" w:themeColor="text1"/>
              <w:lang w:val="es-ES" w:eastAsia="es-ES"/>
            </w:rPr>
            <m:t>=Precio Subyacente</m:t>
          </m:r>
        </m:oMath>
      </m:oMathPara>
    </w:p>
    <w:p w14:paraId="71537417" w14:textId="77777777" w:rsidR="007968EC" w:rsidRPr="002C0D19" w:rsidRDefault="007968EC" w:rsidP="007968EC">
      <w:pPr>
        <w:jc w:val="both"/>
        <w:rPr>
          <w:rFonts w:ascii="Arial Narrow" w:hAnsi="Arial Narrow" w:cs="Arial"/>
          <w:b/>
          <w:color w:val="000000" w:themeColor="text1"/>
          <w:lang w:val="es-ES" w:eastAsia="es-ES"/>
        </w:rPr>
      </w:pPr>
    </w:p>
    <w:p w14:paraId="29998FBE"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Para los escenarios restantes:</w:t>
      </w:r>
    </w:p>
    <w:p w14:paraId="032C2965" w14:textId="77777777" w:rsidR="007968EC" w:rsidRPr="002C0D19" w:rsidRDefault="007968EC" w:rsidP="007968EC">
      <w:pPr>
        <w:jc w:val="both"/>
        <w:rPr>
          <w:rFonts w:ascii="Arial Narrow" w:hAnsi="Arial Narrow" w:cs="Arial"/>
          <w:b/>
          <w:color w:val="000000" w:themeColor="text1"/>
          <w:lang w:val="es-ES" w:eastAsia="es-ES"/>
        </w:rPr>
      </w:pPr>
    </w:p>
    <w:p w14:paraId="503CB21A" w14:textId="77777777" w:rsidR="007968EC" w:rsidRPr="002C0D19" w:rsidRDefault="007968EC" w:rsidP="007968EC">
      <w:pPr>
        <w:jc w:val="both"/>
        <w:rPr>
          <w:rFonts w:ascii="Arial Narrow" w:hAnsi="Arial Narrow" w:cs="Arial"/>
          <w:b/>
          <w:color w:val="000000" w:themeColor="text1"/>
          <w:lang w:val="es-ES" w:eastAsia="es-ES"/>
        </w:rPr>
      </w:pPr>
      <m:oMathPara>
        <m:oMathParaPr>
          <m:jc m:val="left"/>
        </m:oMathParaPr>
        <m:oMath>
          <m:r>
            <m:rPr>
              <m:sty m:val="bi"/>
            </m:rPr>
            <w:rPr>
              <w:rFonts w:ascii="Cambria Math" w:hAnsi="Cambria Math" w:cs="Arial"/>
              <w:color w:val="000000" w:themeColor="text1"/>
              <w:lang w:val="es-ES" w:eastAsia="es-ES"/>
            </w:rPr>
            <m:t>Precio subyacent</m:t>
          </m:r>
          <m:sSub>
            <m:sSubPr>
              <m:ctrlPr>
                <w:rPr>
                  <w:rFonts w:ascii="Cambria Math" w:hAnsi="Cambria Math" w:cs="Arial"/>
                  <w:b/>
                  <w:i/>
                  <w:color w:val="000000" w:themeColor="text1"/>
                  <w:lang w:val="es-ES" w:eastAsia="es-ES"/>
                </w:rPr>
              </m:ctrlPr>
            </m:sSubPr>
            <m:e>
              <m:r>
                <m:rPr>
                  <m:sty m:val="bi"/>
                </m:rPr>
                <w:rPr>
                  <w:rFonts w:ascii="Cambria Math" w:hAnsi="Cambria Math" w:cs="Arial"/>
                  <w:color w:val="000000" w:themeColor="text1"/>
                  <w:lang w:val="es-ES" w:eastAsia="es-ES"/>
                </w:rPr>
                <m:t>e</m:t>
              </m:r>
            </m:e>
            <m:sub>
              <m:r>
                <m:rPr>
                  <m:sty m:val="bi"/>
                </m:rPr>
                <w:rPr>
                  <w:rFonts w:ascii="Cambria Math" w:hAnsi="Cambria Math" w:cs="Arial"/>
                  <w:color w:val="000000" w:themeColor="text1"/>
                  <w:lang w:val="es-ES" w:eastAsia="es-ES"/>
                </w:rPr>
                <m:t>i</m:t>
              </m:r>
            </m:sub>
          </m:sSub>
          <m:r>
            <m:rPr>
              <m:sty m:val="bi"/>
            </m:rPr>
            <w:rPr>
              <w:rFonts w:ascii="Cambria Math" w:hAnsi="Cambria Math" w:cs="Arial"/>
              <w:color w:val="000000" w:themeColor="text1"/>
              <w:lang w:val="es-ES" w:eastAsia="es-ES"/>
            </w:rPr>
            <m:t>=Precio Subyacente*</m:t>
          </m:r>
          <m:d>
            <m:dPr>
              <m:ctrlPr>
                <w:rPr>
                  <w:rFonts w:ascii="Cambria Math" w:hAnsi="Cambria Math" w:cs="Arial"/>
                  <w:b/>
                  <w:i/>
                  <w:color w:val="000000" w:themeColor="text1"/>
                  <w:lang w:val="es-ES" w:eastAsia="es-ES"/>
                </w:rPr>
              </m:ctrlPr>
            </m:dPr>
            <m:e>
              <m:r>
                <m:rPr>
                  <m:sty m:val="bi"/>
                </m:rPr>
                <w:rPr>
                  <w:rFonts w:ascii="Cambria Math" w:hAnsi="Cambria Math" w:cs="Arial"/>
                  <w:color w:val="000000" w:themeColor="text1"/>
                  <w:lang w:val="es-ES" w:eastAsia="es-ES"/>
                </w:rPr>
                <m:t>1+i*</m:t>
              </m:r>
              <m:f>
                <m:fPr>
                  <m:ctrlPr>
                    <w:rPr>
                      <w:rFonts w:ascii="Cambria Math" w:hAnsi="Cambria Math" w:cs="Arial"/>
                      <w:b/>
                      <w:i/>
                      <w:color w:val="000000" w:themeColor="text1"/>
                      <w:lang w:val="es-ES" w:eastAsia="es-ES"/>
                    </w:rPr>
                  </m:ctrlPr>
                </m:fPr>
                <m:num>
                  <m:r>
                    <m:rPr>
                      <m:sty m:val="bi"/>
                    </m:rPr>
                    <w:rPr>
                      <w:rFonts w:ascii="Cambria Math" w:hAnsi="Cambria Math" w:cs="Arial"/>
                      <w:color w:val="000000" w:themeColor="text1"/>
                      <w:lang w:val="es-ES" w:eastAsia="es-ES"/>
                    </w:rPr>
                    <m:t>Fluctuación Total</m:t>
                  </m:r>
                </m:num>
                <m:den>
                  <m:r>
                    <m:rPr>
                      <m:sty m:val="bi"/>
                    </m:rPr>
                    <w:rPr>
                      <w:rFonts w:ascii="Cambria Math" w:hAnsi="Cambria Math" w:cs="Arial"/>
                      <w:color w:val="000000" w:themeColor="text1"/>
                      <w:lang w:val="es-ES" w:eastAsia="es-ES"/>
                    </w:rPr>
                    <m:t>5</m:t>
                  </m:r>
                </m:den>
              </m:f>
            </m:e>
          </m:d>
          <m:r>
            <m:rPr>
              <m:sty m:val="bi"/>
            </m:rPr>
            <w:rPr>
              <w:rFonts w:ascii="Cambria Math" w:hAnsi="Cambria Math" w:cs="Arial"/>
              <w:color w:val="000000" w:themeColor="text1"/>
              <w:lang w:val="es-ES" w:eastAsia="es-ES"/>
            </w:rPr>
            <m:t xml:space="preserve">  </m:t>
          </m:r>
        </m:oMath>
      </m:oMathPara>
    </w:p>
    <w:p w14:paraId="438961F2" w14:textId="77777777" w:rsidR="007968EC" w:rsidRPr="002C0D19" w:rsidRDefault="007968EC" w:rsidP="007968EC">
      <w:pPr>
        <w:jc w:val="both"/>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 xml:space="preserve">Donde </w:t>
      </w:r>
    </w:p>
    <w:p w14:paraId="087F4ADF" w14:textId="77777777" w:rsidR="007968EC" w:rsidRPr="002C0D19" w:rsidRDefault="007968EC" w:rsidP="007968EC">
      <w:pPr>
        <w:jc w:val="both"/>
        <w:rPr>
          <w:rFonts w:ascii="Arial Narrow" w:hAnsi="Arial Narrow" w:cs="Arial"/>
          <w:b/>
          <w:color w:val="000000" w:themeColor="text1"/>
          <w:lang w:val="es-ES" w:eastAsia="es-ES"/>
        </w:rPr>
      </w:pPr>
    </w:p>
    <w:p w14:paraId="16680B34" w14:textId="77777777" w:rsidR="007968EC" w:rsidRPr="002C0D19" w:rsidRDefault="007968EC" w:rsidP="007968EC">
      <w:pPr>
        <w:jc w:val="both"/>
        <w:rPr>
          <w:rFonts w:ascii="Arial Narrow" w:hAnsi="Arial Narrow" w:cs="Arial"/>
          <w:i/>
          <w:color w:val="000000" w:themeColor="text1"/>
          <w:sz w:val="20"/>
          <w:szCs w:val="20"/>
          <w:lang w:val="es-ES" w:eastAsia="es-ES"/>
        </w:rPr>
      </w:pPr>
      <w:r w:rsidRPr="002C0D19">
        <w:rPr>
          <w:rFonts w:ascii="Arial Narrow" w:hAnsi="Arial Narrow" w:cs="Arial"/>
          <w:i/>
          <w:color w:val="000000" w:themeColor="text1"/>
          <w:lang w:val="es-ES" w:eastAsia="es-ES"/>
        </w:rPr>
        <w:t xml:space="preserve">i </w:t>
      </w:r>
      <w:r w:rsidRPr="002C0D19">
        <w:rPr>
          <w:rFonts w:ascii="Arial Narrow" w:hAnsi="Arial Narrow" w:cs="Arial"/>
          <w:i/>
          <w:color w:val="000000" w:themeColor="text1"/>
          <w:sz w:val="20"/>
          <w:szCs w:val="20"/>
          <w:lang w:val="es-ES" w:eastAsia="es-ES"/>
        </w:rPr>
        <w:t>= Escenario a analizar (-5,-4, …,0,1…5)</w:t>
      </w:r>
    </w:p>
    <w:p w14:paraId="30829A97" w14:textId="77777777" w:rsidR="007968EC" w:rsidRPr="002C0D19" w:rsidRDefault="007968EC" w:rsidP="007968EC">
      <w:pPr>
        <w:jc w:val="both"/>
        <w:rPr>
          <w:rFonts w:ascii="Arial Narrow" w:hAnsi="Arial Narrow" w:cs="Arial"/>
          <w:color w:val="000000" w:themeColor="text1"/>
          <w:sz w:val="20"/>
          <w:szCs w:val="20"/>
          <w:lang w:val="es-ES" w:eastAsia="es-ES"/>
        </w:rPr>
      </w:pPr>
      <w:r w:rsidRPr="002C0D19">
        <w:rPr>
          <w:rFonts w:ascii="Arial Narrow" w:hAnsi="Arial Narrow" w:cs="Arial"/>
          <w:i/>
          <w:color w:val="000000" w:themeColor="text1"/>
          <w:sz w:val="20"/>
          <w:szCs w:val="20"/>
          <w:lang w:val="es-ES" w:eastAsia="es-ES"/>
        </w:rPr>
        <w:t>Fluctuación total =</w:t>
      </w:r>
      <w:r w:rsidRPr="002C0D19">
        <w:rPr>
          <w:rFonts w:ascii="Arial Narrow" w:hAnsi="Arial Narrow" w:cs="Arial"/>
          <w:color w:val="000000" w:themeColor="text1"/>
          <w:sz w:val="20"/>
          <w:szCs w:val="20"/>
          <w:lang w:val="es-ES" w:eastAsia="es-ES"/>
        </w:rPr>
        <w:t>Fluctuación asociada al subyacente</w:t>
      </w:r>
    </w:p>
    <w:p w14:paraId="1D715E63" w14:textId="77777777" w:rsidR="007968EC" w:rsidRPr="002C0D19" w:rsidRDefault="007968EC" w:rsidP="007968EC">
      <w:pPr>
        <w:jc w:val="both"/>
        <w:rPr>
          <w:rFonts w:ascii="Arial Narrow" w:hAnsi="Arial Narrow" w:cs="Arial"/>
          <w:b/>
          <w:color w:val="000000" w:themeColor="text1"/>
          <w:sz w:val="20"/>
          <w:szCs w:val="20"/>
          <w:lang w:val="es-ES" w:eastAsia="es-ES"/>
        </w:rPr>
      </w:pPr>
      <m:oMath>
        <m:r>
          <m:rPr>
            <m:sty m:val="bi"/>
          </m:rPr>
          <w:rPr>
            <w:rFonts w:ascii="Cambria Math" w:hAnsi="Cambria Math" w:cs="Arial"/>
            <w:color w:val="000000" w:themeColor="text1"/>
            <w:lang w:val="es-ES" w:eastAsia="es-ES"/>
          </w:rPr>
          <m:t>Precio subyacent</m:t>
        </m:r>
        <m:sSub>
          <m:sSubPr>
            <m:ctrlPr>
              <w:rPr>
                <w:rFonts w:ascii="Cambria Math" w:hAnsi="Cambria Math" w:cs="Arial"/>
                <w:b/>
                <w:i/>
                <w:color w:val="000000" w:themeColor="text1"/>
                <w:lang w:val="es-ES" w:eastAsia="es-ES"/>
              </w:rPr>
            </m:ctrlPr>
          </m:sSubPr>
          <m:e>
            <m:r>
              <m:rPr>
                <m:sty m:val="bi"/>
              </m:rPr>
              <w:rPr>
                <w:rFonts w:ascii="Cambria Math" w:hAnsi="Cambria Math" w:cs="Arial"/>
                <w:color w:val="000000" w:themeColor="text1"/>
                <w:lang w:val="es-ES" w:eastAsia="es-ES"/>
              </w:rPr>
              <m:t>e</m:t>
            </m:r>
          </m:e>
          <m:sub>
            <m:r>
              <m:rPr>
                <m:sty m:val="bi"/>
              </m:rPr>
              <w:rPr>
                <w:rFonts w:ascii="Cambria Math" w:hAnsi="Cambria Math" w:cs="Arial"/>
                <w:color w:val="000000" w:themeColor="text1"/>
                <w:lang w:val="es-ES" w:eastAsia="es-ES"/>
              </w:rPr>
              <m:t>i</m:t>
            </m:r>
          </m:sub>
        </m:sSub>
        <m:r>
          <m:rPr>
            <m:sty m:val="bi"/>
          </m:rPr>
          <w:rPr>
            <w:rFonts w:ascii="Cambria Math" w:hAnsi="Cambria Math" w:cs="Arial"/>
            <w:color w:val="000000" w:themeColor="text1"/>
            <w:lang w:val="es-ES" w:eastAsia="es-ES"/>
          </w:rPr>
          <m:t>=</m:t>
        </m:r>
      </m:oMath>
      <w:r w:rsidRPr="002C0D19">
        <w:rPr>
          <w:rFonts w:ascii="Arial Narrow" w:hAnsi="Arial Narrow" w:cs="Arial"/>
          <w:color w:val="000000" w:themeColor="text1"/>
          <w:sz w:val="20"/>
          <w:szCs w:val="20"/>
          <w:lang w:val="es-ES" w:eastAsia="es-ES"/>
        </w:rPr>
        <w:t xml:space="preserve">Precio Hipotético del subyacente en el escenario </w:t>
      </w:r>
      <w:r w:rsidRPr="002C0D19">
        <w:rPr>
          <w:rFonts w:ascii="Arial Narrow" w:hAnsi="Arial Narrow" w:cs="Arial"/>
          <w:i/>
          <w:color w:val="000000" w:themeColor="text1"/>
          <w:sz w:val="20"/>
          <w:szCs w:val="20"/>
          <w:lang w:val="es-ES" w:eastAsia="es-ES"/>
        </w:rPr>
        <w:t>i.</w:t>
      </w:r>
    </w:p>
    <w:p w14:paraId="213EB30A" w14:textId="77777777" w:rsidR="007968EC" w:rsidRPr="002C0D19" w:rsidRDefault="007968EC" w:rsidP="007968EC">
      <w:pPr>
        <w:jc w:val="both"/>
        <w:rPr>
          <w:rFonts w:ascii="Arial Narrow" w:hAnsi="Arial Narrow" w:cs="Arial"/>
          <w:b/>
          <w:color w:val="000000" w:themeColor="text1"/>
          <w:lang w:val="es-ES" w:eastAsia="es-ES"/>
        </w:rPr>
      </w:pPr>
      <m:oMath>
        <m:r>
          <m:rPr>
            <m:sty m:val="bi"/>
          </m:rPr>
          <w:rPr>
            <w:rFonts w:ascii="Cambria Math" w:hAnsi="Cambria Math" w:cs="Arial"/>
            <w:color w:val="000000" w:themeColor="text1"/>
            <w:lang w:val="es-ES" w:eastAsia="es-ES"/>
          </w:rPr>
          <m:t>Precio Subyacente</m:t>
        </m:r>
      </m:oMath>
      <w:r w:rsidRPr="002C0D19">
        <w:rPr>
          <w:rFonts w:ascii="Arial Narrow" w:hAnsi="Arial Narrow" w:cs="Arial"/>
          <w:b/>
          <w:color w:val="000000" w:themeColor="text1"/>
          <w:sz w:val="20"/>
          <w:szCs w:val="20"/>
          <w:lang w:val="es-ES" w:eastAsia="es-ES"/>
        </w:rPr>
        <w:t xml:space="preserve"> =</w:t>
      </w:r>
      <w:r w:rsidRPr="002C0D19">
        <w:rPr>
          <w:rFonts w:ascii="Arial Narrow" w:hAnsi="Arial Narrow" w:cs="Arial"/>
          <w:color w:val="000000" w:themeColor="text1"/>
          <w:sz w:val="20"/>
          <w:szCs w:val="20"/>
          <w:lang w:val="es-ES" w:eastAsia="es-ES"/>
        </w:rPr>
        <w:t>Precio del subyacente enviado por el proveedor de servicios.</w:t>
      </w:r>
    </w:p>
    <w:p w14:paraId="7D674D83" w14:textId="77777777" w:rsidR="007968EC" w:rsidRPr="00397BCE" w:rsidRDefault="007968EC" w:rsidP="007968EC">
      <w:pPr>
        <w:jc w:val="both"/>
        <w:rPr>
          <w:rFonts w:ascii="Arial Narrow" w:eastAsia="Calibri" w:hAnsi="Arial Narrow"/>
          <w:b/>
          <w:color w:val="000000" w:themeColor="text1"/>
        </w:rPr>
      </w:pPr>
    </w:p>
    <w:p w14:paraId="7F159458" w14:textId="77777777" w:rsidR="007968EC" w:rsidRPr="002C0D19" w:rsidRDefault="007968EC" w:rsidP="00DA7472">
      <w:pPr>
        <w:numPr>
          <w:ilvl w:val="0"/>
          <w:numId w:val="248"/>
        </w:numPr>
        <w:autoSpaceDE w:val="0"/>
        <w:autoSpaceDN w:val="0"/>
        <w:adjustRightInd w:val="0"/>
        <w:ind w:hanging="720"/>
        <w:jc w:val="both"/>
        <w:rPr>
          <w:rFonts w:ascii="Arial Narrow" w:eastAsia="Calibri" w:hAnsi="Arial Narrow"/>
          <w:color w:val="000000" w:themeColor="text1"/>
        </w:rPr>
      </w:pPr>
      <w:r w:rsidRPr="002C0D19">
        <w:rPr>
          <w:rFonts w:ascii="Arial Narrow" w:eastAsia="Calibri" w:hAnsi="Arial Narrow"/>
          <w:color w:val="000000" w:themeColor="text1"/>
        </w:rPr>
        <w:t>Determinación de la volatilidad reducida y aumentada (Volatilidad Tomo y Volatilidad Doy) solo para Contratos de Opciones</w:t>
      </w:r>
    </w:p>
    <w:p w14:paraId="79E8FA9D" w14:textId="77777777" w:rsidR="007968EC" w:rsidRPr="002C0D19" w:rsidRDefault="007968EC" w:rsidP="007968EC">
      <w:pPr>
        <w:rPr>
          <w:rFonts w:ascii="Arial Narrow" w:hAnsi="Arial Narrow" w:cs="Arial"/>
          <w:b/>
          <w:color w:val="000000" w:themeColor="text1"/>
          <w:lang w:val="es-ES" w:eastAsia="es-ES"/>
        </w:rPr>
      </w:pPr>
    </w:p>
    <w:p w14:paraId="79E3429B"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Para el cálculo de la volatilidad reducida y aumentada se utiliza el porcentaje de incremento y disminución de la volatilidad para cada Grupo de Compensación. La volatilidad reducida (volatilidad Tomo) y la volatilidad aumentada (volatilidad Doy) resultantes por cada contrato de Opción, se utilizarán en el cálculo de las matrices de precios teóricos y deltas. A cada volatilidad implícita se le aplica la siguiente fórmula:</w:t>
      </w:r>
    </w:p>
    <w:p w14:paraId="1E7F31F7" w14:textId="77777777" w:rsidR="007968EC" w:rsidRPr="002C0D19" w:rsidRDefault="007968EC" w:rsidP="007968EC">
      <w:pPr>
        <w:jc w:val="both"/>
        <w:rPr>
          <w:rFonts w:ascii="Arial Narrow" w:hAnsi="Arial Narrow" w:cs="Arial"/>
          <w:b/>
          <w:color w:val="000000" w:themeColor="text1"/>
          <w:lang w:val="es-ES" w:eastAsia="es-ES"/>
        </w:rPr>
      </w:pPr>
    </w:p>
    <w:p w14:paraId="10AC9BBD" w14:textId="77777777" w:rsidR="007968EC" w:rsidRPr="002C0D19" w:rsidRDefault="007968EC" w:rsidP="007968EC">
      <w:pPr>
        <w:jc w:val="both"/>
        <w:rPr>
          <w:rFonts w:ascii="Arial Narrow" w:hAnsi="Arial Narrow" w:cs="Arial"/>
          <w:b/>
          <w:color w:val="000000" w:themeColor="text1"/>
          <w:lang w:val="es-ES" w:eastAsia="es-ES"/>
        </w:rPr>
      </w:pPr>
    </w:p>
    <w:p w14:paraId="48DF4E51" w14:textId="77777777" w:rsidR="007968EC" w:rsidRPr="002C0D19" w:rsidRDefault="007968EC" w:rsidP="007968EC">
      <w:pPr>
        <w:jc w:val="center"/>
        <w:rPr>
          <w:rFonts w:ascii="Cambria Math" w:hAnsi="Cambria Math" w:cs="Arial"/>
          <w:b/>
          <w:color w:val="000000" w:themeColor="text1"/>
          <w:lang w:val="es-ES" w:eastAsia="es-ES"/>
        </w:rPr>
      </w:pPr>
      <m:oMathPara>
        <m:oMathParaPr>
          <m:jc m:val="center"/>
        </m:oMathParaPr>
        <m:oMath>
          <m:r>
            <m:rPr>
              <m:sty m:val="bi"/>
            </m:rPr>
            <w:rPr>
              <w:rFonts w:ascii="Cambria Math" w:hAnsi="Cambria Math" w:cs="Arial"/>
              <w:color w:val="000000" w:themeColor="text1"/>
              <w:lang w:val="es-ES" w:eastAsia="es-ES"/>
            </w:rPr>
            <m:t>Volatilidad Tomo</m:t>
          </m:r>
          <m:d>
            <m:dPr>
              <m:ctrlPr>
                <w:rPr>
                  <w:rFonts w:ascii="Cambria Math" w:hAnsi="Cambria Math" w:cs="Arial"/>
                  <w:b/>
                  <w:i/>
                  <w:color w:val="000000" w:themeColor="text1"/>
                  <w:lang w:val="es-ES" w:eastAsia="es-ES"/>
                </w:rPr>
              </m:ctrlPr>
            </m:dPr>
            <m:e>
              <m:r>
                <m:rPr>
                  <m:sty m:val="bi"/>
                </m:rPr>
                <w:rPr>
                  <w:rFonts w:ascii="Cambria Math" w:hAnsi="Cambria Math" w:cs="Arial"/>
                  <w:color w:val="000000" w:themeColor="text1"/>
                  <w:lang w:val="es-ES" w:eastAsia="es-ES"/>
                </w:rPr>
                <m:t>reducida</m:t>
              </m:r>
            </m:e>
          </m:d>
          <m:r>
            <m:rPr>
              <m:sty m:val="bi"/>
            </m:rPr>
            <w:rPr>
              <w:rFonts w:ascii="Cambria Math" w:hAnsi="Cambria Math" w:cs="Arial"/>
              <w:color w:val="000000" w:themeColor="text1"/>
              <w:lang w:val="es-ES" w:eastAsia="es-ES"/>
            </w:rPr>
            <m:t>=VIC*</m:t>
          </m:r>
          <m:d>
            <m:dPr>
              <m:ctrlPr>
                <w:rPr>
                  <w:rFonts w:ascii="Cambria Math" w:hAnsi="Cambria Math" w:cs="Arial"/>
                  <w:b/>
                  <w:i/>
                  <w:color w:val="000000" w:themeColor="text1"/>
                  <w:lang w:val="es-ES" w:eastAsia="es-ES"/>
                </w:rPr>
              </m:ctrlPr>
            </m:dPr>
            <m:e>
              <m:r>
                <m:rPr>
                  <m:sty m:val="bi"/>
                </m:rPr>
                <w:rPr>
                  <w:rFonts w:ascii="Cambria Math" w:hAnsi="Cambria Math" w:cs="Arial"/>
                  <w:color w:val="000000" w:themeColor="text1"/>
                  <w:lang w:val="es-ES" w:eastAsia="es-ES"/>
                </w:rPr>
                <m:t>1-PD</m:t>
              </m:r>
            </m:e>
          </m:d>
        </m:oMath>
      </m:oMathPara>
    </w:p>
    <w:p w14:paraId="39CC5D28" w14:textId="77777777" w:rsidR="007968EC" w:rsidRPr="002C0D19" w:rsidRDefault="007968EC" w:rsidP="007968EC">
      <w:pPr>
        <w:jc w:val="center"/>
        <w:rPr>
          <w:rFonts w:ascii="Arial Narrow" w:hAnsi="Arial Narrow" w:cs="Arial"/>
          <w:b/>
          <w:color w:val="000000" w:themeColor="text1"/>
          <w:lang w:val="es-ES" w:eastAsia="es-ES"/>
        </w:rPr>
      </w:pPr>
      <m:oMathPara>
        <m:oMath>
          <m:r>
            <m:rPr>
              <m:sty m:val="bi"/>
            </m:rPr>
            <w:rPr>
              <w:rFonts w:ascii="Cambria Math" w:hAnsi="Cambria Math" w:cs="Arial"/>
              <w:color w:val="000000" w:themeColor="text1"/>
              <w:lang w:val="es-ES" w:eastAsia="es-ES"/>
            </w:rPr>
            <m:t>Volatilidad Doy</m:t>
          </m:r>
          <m:d>
            <m:dPr>
              <m:ctrlPr>
                <w:rPr>
                  <w:rFonts w:ascii="Cambria Math" w:hAnsi="Cambria Math" w:cs="Arial"/>
                  <w:b/>
                  <w:i/>
                  <w:color w:val="000000" w:themeColor="text1"/>
                  <w:lang w:val="es-ES" w:eastAsia="es-ES"/>
                </w:rPr>
              </m:ctrlPr>
            </m:dPr>
            <m:e>
              <m:r>
                <m:rPr>
                  <m:sty m:val="bi"/>
                </m:rPr>
                <w:rPr>
                  <w:rFonts w:ascii="Cambria Math" w:hAnsi="Cambria Math" w:cs="Arial"/>
                  <w:color w:val="000000" w:themeColor="text1"/>
                  <w:lang w:val="es-ES" w:eastAsia="es-ES"/>
                </w:rPr>
                <m:t>aumentada</m:t>
              </m:r>
            </m:e>
          </m:d>
          <m:r>
            <m:rPr>
              <m:sty m:val="bi"/>
            </m:rPr>
            <w:rPr>
              <w:rFonts w:ascii="Cambria Math" w:hAnsi="Cambria Math" w:cs="Arial"/>
              <w:color w:val="000000" w:themeColor="text1"/>
              <w:lang w:val="es-ES" w:eastAsia="es-ES"/>
            </w:rPr>
            <m:t>=VIC*</m:t>
          </m:r>
          <m:d>
            <m:dPr>
              <m:ctrlPr>
                <w:rPr>
                  <w:rFonts w:ascii="Cambria Math" w:hAnsi="Cambria Math" w:cs="Arial"/>
                  <w:b/>
                  <w:i/>
                  <w:color w:val="000000" w:themeColor="text1"/>
                  <w:lang w:val="es-ES" w:eastAsia="es-ES"/>
                </w:rPr>
              </m:ctrlPr>
            </m:dPr>
            <m:e>
              <m:r>
                <m:rPr>
                  <m:sty m:val="bi"/>
                </m:rPr>
                <w:rPr>
                  <w:rFonts w:ascii="Cambria Math" w:hAnsi="Cambria Math" w:cs="Arial"/>
                  <w:color w:val="000000" w:themeColor="text1"/>
                  <w:lang w:val="es-ES" w:eastAsia="es-ES"/>
                </w:rPr>
                <m:t>1+PI</m:t>
              </m:r>
            </m:e>
          </m:d>
        </m:oMath>
      </m:oMathPara>
    </w:p>
    <w:p w14:paraId="701E984D"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Donde </w:t>
      </w:r>
    </w:p>
    <w:p w14:paraId="60C5BAD5" w14:textId="77777777" w:rsidR="007968EC" w:rsidRPr="002C0D19" w:rsidRDefault="007968EC" w:rsidP="007968EC">
      <w:pPr>
        <w:jc w:val="both"/>
        <w:rPr>
          <w:rFonts w:ascii="Arial Narrow" w:hAnsi="Arial Narrow" w:cs="Arial"/>
          <w:color w:val="000000" w:themeColor="text1"/>
          <w:lang w:val="es-ES" w:eastAsia="es-ES"/>
        </w:rPr>
      </w:pPr>
    </w:p>
    <w:p w14:paraId="1C9D56C5"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VIC</w:t>
      </w:r>
      <w:r w:rsidRPr="002C0D19">
        <w:rPr>
          <w:rFonts w:ascii="Arial Narrow" w:hAnsi="Arial Narrow" w:cs="Arial"/>
          <w:i/>
          <w:color w:val="000000" w:themeColor="text1"/>
          <w:lang w:val="es-ES" w:eastAsia="es-ES"/>
        </w:rPr>
        <w:t xml:space="preserve"> =</w:t>
      </w:r>
      <w:r w:rsidRPr="002C0D19">
        <w:rPr>
          <w:rFonts w:ascii="Arial Narrow" w:hAnsi="Arial Narrow" w:cs="Arial"/>
          <w:color w:val="000000" w:themeColor="text1"/>
          <w:lang w:val="es-ES" w:eastAsia="es-ES"/>
        </w:rPr>
        <w:t>Volatilidad Implícita del Contrato</w:t>
      </w:r>
    </w:p>
    <w:p w14:paraId="5B1691CA"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PD=Porcentaje de disminución de la volatilidad implicitica</w:t>
      </w:r>
    </w:p>
    <w:p w14:paraId="0BE3E481"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PI= Porcentaje de incremento de la volatilidad implícita</w:t>
      </w:r>
    </w:p>
    <w:p w14:paraId="40C1CE7A" w14:textId="77777777" w:rsidR="007968EC" w:rsidRPr="00397BCE" w:rsidRDefault="007968EC" w:rsidP="007968EC">
      <w:pPr>
        <w:jc w:val="both"/>
        <w:rPr>
          <w:rFonts w:ascii="Arial Narrow" w:eastAsia="Calibri" w:hAnsi="Arial Narrow"/>
          <w:b/>
          <w:color w:val="000000" w:themeColor="text1"/>
        </w:rPr>
      </w:pPr>
    </w:p>
    <w:p w14:paraId="661AFF33" w14:textId="77777777" w:rsidR="007968EC" w:rsidRPr="002C0D19" w:rsidRDefault="007968EC" w:rsidP="00DA7472">
      <w:pPr>
        <w:numPr>
          <w:ilvl w:val="0"/>
          <w:numId w:val="248"/>
        </w:numPr>
        <w:autoSpaceDE w:val="0"/>
        <w:autoSpaceDN w:val="0"/>
        <w:adjustRightInd w:val="0"/>
        <w:ind w:hanging="720"/>
        <w:jc w:val="both"/>
        <w:rPr>
          <w:rFonts w:ascii="Arial Narrow" w:eastAsia="Calibri" w:hAnsi="Arial Narrow"/>
          <w:b/>
          <w:color w:val="000000" w:themeColor="text1"/>
          <w:lang w:eastAsia="es-CO"/>
        </w:rPr>
      </w:pPr>
      <w:r w:rsidRPr="002C0D19">
        <w:rPr>
          <w:rFonts w:ascii="Arial Narrow" w:eastAsia="Calibri" w:hAnsi="Arial Narrow"/>
          <w:color w:val="000000" w:themeColor="text1"/>
        </w:rPr>
        <w:t>Cálculo de las matrices de precios teóricos.</w:t>
      </w:r>
    </w:p>
    <w:p w14:paraId="34BD4269" w14:textId="77777777" w:rsidR="007968EC" w:rsidRPr="002C0D19" w:rsidRDefault="007968EC" w:rsidP="007968EC">
      <w:pPr>
        <w:autoSpaceDE w:val="0"/>
        <w:autoSpaceDN w:val="0"/>
        <w:adjustRightInd w:val="0"/>
        <w:jc w:val="both"/>
        <w:rPr>
          <w:rFonts w:ascii="Arial Narrow" w:eastAsia="Calibri" w:hAnsi="Arial Narrow"/>
          <w:b/>
          <w:color w:val="000000" w:themeColor="text1"/>
          <w:lang w:val="es-ES" w:eastAsia="es-ES"/>
        </w:rPr>
      </w:pPr>
    </w:p>
    <w:p w14:paraId="5BA98BC9" w14:textId="77777777" w:rsidR="007968EC" w:rsidRPr="002C0D19" w:rsidRDefault="007968EC" w:rsidP="007968EC">
      <w:pPr>
        <w:autoSpaceDE w:val="0"/>
        <w:autoSpaceDN w:val="0"/>
        <w:adjustRightInd w:val="0"/>
        <w:jc w:val="both"/>
        <w:rPr>
          <w:rFonts w:ascii="Arial Narrow" w:eastAsia="Calibri" w:hAnsi="Arial Narrow"/>
          <w:b/>
          <w:color w:val="000000" w:themeColor="text1"/>
          <w:lang w:val="es-ES" w:eastAsia="es-ES"/>
        </w:rPr>
      </w:pPr>
    </w:p>
    <w:p w14:paraId="12648F77" w14:textId="77777777" w:rsidR="007968EC" w:rsidRPr="002C0D19" w:rsidRDefault="007968EC" w:rsidP="007968EC">
      <w:pPr>
        <w:jc w:val="both"/>
        <w:rPr>
          <w:rFonts w:ascii="Arial Narrow" w:eastAsia="Calibri" w:hAnsi="Arial Narrow"/>
          <w:color w:val="000000" w:themeColor="text1"/>
          <w:lang w:val="es-ES" w:eastAsia="es-ES"/>
        </w:rPr>
      </w:pPr>
      <w:r w:rsidRPr="002C0D19">
        <w:rPr>
          <w:rFonts w:ascii="Arial Narrow" w:eastAsia="Calibri" w:hAnsi="Arial Narrow"/>
          <w:color w:val="000000" w:themeColor="text1"/>
          <w:lang w:val="es-ES" w:eastAsia="es-ES"/>
        </w:rPr>
        <w:t>La Cámara evalúa el riesgo de cada uno de los Contratos que se tengan en cada una de las Cuentas</w:t>
      </w:r>
      <w:r w:rsidRPr="002C0D19">
        <w:rPr>
          <w:rFonts w:ascii="Arial Narrow" w:hAnsi="Arial Narrow" w:cs="Arial"/>
          <w:color w:val="000000" w:themeColor="text1"/>
          <w:lang w:val="es-ES" w:eastAsia="es-ES"/>
        </w:rPr>
        <w:t xml:space="preserve"> </w:t>
      </w:r>
      <w:r w:rsidRPr="002C0D19">
        <w:rPr>
          <w:rFonts w:ascii="Arial Narrow" w:eastAsia="Calibri" w:hAnsi="Arial Narrow"/>
          <w:color w:val="000000" w:themeColor="text1"/>
          <w:lang w:val="es-ES" w:eastAsia="es-ES"/>
        </w:rPr>
        <w:t xml:space="preserve">Este riesgo viene expresado por la Fluctuación que se pueda presentar en el cambio de precios </w:t>
      </w:r>
      <w:r w:rsidRPr="002C0D19">
        <w:rPr>
          <w:rFonts w:ascii="Arial Narrow" w:hAnsi="Arial Narrow" w:cs="Arial"/>
          <w:color w:val="000000" w:themeColor="text1"/>
          <w:lang w:val="es-ES" w:eastAsia="es-ES"/>
        </w:rPr>
        <w:t xml:space="preserve">y volatilidad (este </w:t>
      </w:r>
      <w:r w:rsidRPr="002C0D19">
        <w:rPr>
          <w:rFonts w:ascii="Arial Narrow" w:hAnsi="Arial Narrow" w:cs="Arial"/>
          <w:color w:val="000000" w:themeColor="text1"/>
          <w:lang w:val="es-ES" w:eastAsia="es-ES"/>
        </w:rPr>
        <w:lastRenderedPageBreak/>
        <w:t>último parámetro sólo afecta a las Opciones)</w:t>
      </w:r>
      <w:r w:rsidRPr="002C0D19">
        <w:rPr>
          <w:rFonts w:ascii="Arial Narrow" w:eastAsia="Calibri" w:hAnsi="Arial Narrow"/>
          <w:color w:val="000000" w:themeColor="text1"/>
          <w:lang w:val="es-ES" w:eastAsia="es-ES"/>
        </w:rPr>
        <w:t>, por esta razón, se calcula un precio teórico que en el caso de Futuros viene expresado por la siguiente fórmula:</w:t>
      </w:r>
    </w:p>
    <w:p w14:paraId="36E07BDB" w14:textId="77777777" w:rsidR="007968EC" w:rsidRPr="002C0D19" w:rsidRDefault="007968EC" w:rsidP="007968EC">
      <w:pPr>
        <w:autoSpaceDE w:val="0"/>
        <w:autoSpaceDN w:val="0"/>
        <w:adjustRightInd w:val="0"/>
        <w:jc w:val="both"/>
        <w:rPr>
          <w:rFonts w:ascii="Arial Narrow" w:eastAsia="Calibri" w:hAnsi="Arial Narrow"/>
          <w:b/>
          <w:color w:val="000000" w:themeColor="text1"/>
          <w:lang w:val="es-ES" w:eastAsia="es-ES"/>
        </w:rPr>
      </w:pPr>
    </w:p>
    <w:p w14:paraId="5CFC602A" w14:textId="77777777" w:rsidR="007968EC" w:rsidRPr="002C0D19" w:rsidRDefault="007968EC" w:rsidP="007968EC">
      <w:pPr>
        <w:autoSpaceDE w:val="0"/>
        <w:autoSpaceDN w:val="0"/>
        <w:adjustRightInd w:val="0"/>
        <w:jc w:val="both"/>
        <w:rPr>
          <w:rFonts w:ascii="Arial Narrow" w:eastAsia="Calibri" w:hAnsi="Arial Narrow"/>
          <w:color w:val="000000" w:themeColor="text1"/>
          <w:lang w:val="es-ES" w:eastAsia="es-ES"/>
        </w:rPr>
      </w:pPr>
      <w:r w:rsidRPr="002C0D19">
        <w:rPr>
          <w:rFonts w:ascii="Arial Narrow" w:eastAsia="Calibri" w:hAnsi="Arial Narrow"/>
          <w:color w:val="000000" w:themeColor="text1"/>
          <w:lang w:val="es-ES" w:eastAsia="es-ES"/>
        </w:rPr>
        <w:t>Precio Teórico = Precio escenario i – Último precio</w:t>
      </w:r>
    </w:p>
    <w:p w14:paraId="590222C4" w14:textId="77777777" w:rsidR="007968EC" w:rsidRPr="00397BCE" w:rsidRDefault="007968EC" w:rsidP="007968EC">
      <w:pPr>
        <w:jc w:val="both"/>
        <w:rPr>
          <w:rFonts w:ascii="Arial Narrow" w:eastAsia="Calibri" w:hAnsi="Arial Narrow"/>
          <w:b/>
          <w:color w:val="000000" w:themeColor="text1"/>
        </w:rPr>
      </w:pPr>
    </w:p>
    <w:p w14:paraId="41FCAE8B"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Para las Opciones se tiene en cuenta el tipo de subyacente y se aplica la fórmula de valoración de Black-Scholes, teniendo en cuenta cada combinación de volatilidad (Aumentada y Reducida) y precio hipotético del subyacente. La fórmula de valoración de Black-Scholes se encuentra detallada en los controles de riesgo de cada uno de los activos en la presente circular</w:t>
      </w:r>
    </w:p>
    <w:p w14:paraId="15C0CF35" w14:textId="77777777" w:rsidR="007968EC" w:rsidRPr="00397BCE" w:rsidRDefault="007968EC" w:rsidP="007968EC">
      <w:pPr>
        <w:jc w:val="both"/>
        <w:rPr>
          <w:rFonts w:ascii="Arial Narrow" w:eastAsia="Calibri" w:hAnsi="Arial Narrow"/>
          <w:b/>
          <w:color w:val="000000" w:themeColor="text1"/>
        </w:rPr>
      </w:pPr>
    </w:p>
    <w:p w14:paraId="20D9ED63" w14:textId="77777777" w:rsidR="007968EC" w:rsidRPr="002C0D19" w:rsidRDefault="007968EC" w:rsidP="007968EC">
      <w:pPr>
        <w:autoSpaceDE w:val="0"/>
        <w:autoSpaceDN w:val="0"/>
        <w:adjustRightInd w:val="0"/>
        <w:jc w:val="both"/>
        <w:rPr>
          <w:rFonts w:ascii="Arial Narrow" w:eastAsia="Calibri" w:hAnsi="Arial Narrow"/>
          <w:color w:val="000000" w:themeColor="text1"/>
          <w:lang w:val="es-ES" w:eastAsia="es-ES"/>
        </w:rPr>
      </w:pPr>
      <w:r w:rsidRPr="002C0D19">
        <w:rPr>
          <w:rFonts w:ascii="Arial Narrow" w:eastAsia="Calibri" w:hAnsi="Arial Narrow"/>
          <w:color w:val="000000" w:themeColor="text1"/>
          <w:lang w:val="es-ES" w:eastAsia="es-ES"/>
        </w:rPr>
        <w:t>Estos precios se calculan para cada escenario y para cada Contrato de la Cuenta.</w:t>
      </w:r>
    </w:p>
    <w:p w14:paraId="6374AD3A" w14:textId="77777777" w:rsidR="007968EC" w:rsidRPr="002C0D19" w:rsidRDefault="007968EC" w:rsidP="007968EC">
      <w:pPr>
        <w:autoSpaceDE w:val="0"/>
        <w:autoSpaceDN w:val="0"/>
        <w:adjustRightInd w:val="0"/>
        <w:jc w:val="both"/>
        <w:rPr>
          <w:rFonts w:ascii="Arial Narrow" w:eastAsia="Calibri" w:hAnsi="Arial Narrow"/>
          <w:b/>
          <w:color w:val="000000" w:themeColor="text1"/>
          <w:lang w:val="es-ES" w:eastAsia="es-ES"/>
        </w:rPr>
      </w:pPr>
    </w:p>
    <w:p w14:paraId="0E26881A" w14:textId="77777777" w:rsidR="007968EC" w:rsidRPr="002C0D19" w:rsidRDefault="007968EC" w:rsidP="00DA7472">
      <w:pPr>
        <w:numPr>
          <w:ilvl w:val="0"/>
          <w:numId w:val="248"/>
        </w:numPr>
        <w:autoSpaceDE w:val="0"/>
        <w:autoSpaceDN w:val="0"/>
        <w:adjustRightInd w:val="0"/>
        <w:ind w:hanging="720"/>
        <w:jc w:val="both"/>
        <w:rPr>
          <w:rFonts w:ascii="Arial Narrow" w:eastAsia="Calibri" w:hAnsi="Arial Narrow"/>
          <w:color w:val="000000" w:themeColor="text1"/>
        </w:rPr>
      </w:pPr>
      <w:r w:rsidRPr="002C0D19">
        <w:rPr>
          <w:rFonts w:ascii="Arial Narrow" w:eastAsia="Calibri" w:hAnsi="Arial Narrow"/>
          <w:color w:val="000000" w:themeColor="text1"/>
        </w:rPr>
        <w:t xml:space="preserve">Cálculo de las matrices de deltas </w:t>
      </w:r>
    </w:p>
    <w:p w14:paraId="774014D9" w14:textId="77777777" w:rsidR="007968EC" w:rsidRPr="002C0D19" w:rsidRDefault="007968EC" w:rsidP="007968EC">
      <w:pPr>
        <w:ind w:left="321"/>
        <w:contextualSpacing/>
        <w:jc w:val="both"/>
        <w:rPr>
          <w:rFonts w:ascii="Arial Narrow" w:hAnsi="Arial Narrow" w:cs="Arial"/>
          <w:b/>
          <w:color w:val="000000" w:themeColor="text1"/>
          <w:lang w:val="es-ES" w:eastAsia="es-CO"/>
        </w:rPr>
      </w:pPr>
    </w:p>
    <w:p w14:paraId="706CCD01"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Se calcula una matriz de deltas con el objeto de determinar el número de posiciones de signo opuesto en distintos vencimientos de un mismo Grupo de Compensación. En el caso de los contratos de futuros no se calculan los deltas, dado que el delta es un parámetro determinado que siempre es igual a 1 para cada una de las columnas.</w:t>
      </w:r>
    </w:p>
    <w:p w14:paraId="19018917" w14:textId="77777777" w:rsidR="007968EC" w:rsidRPr="002C0D19" w:rsidRDefault="007968EC" w:rsidP="007968EC">
      <w:pPr>
        <w:jc w:val="both"/>
        <w:rPr>
          <w:rFonts w:ascii="Arial Narrow" w:hAnsi="Arial Narrow" w:cs="Arial"/>
          <w:b/>
          <w:color w:val="000000" w:themeColor="text1"/>
          <w:lang w:val="es-ES" w:eastAsia="es-ES"/>
        </w:rPr>
      </w:pPr>
    </w:p>
    <w:p w14:paraId="6AF4F638"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Dado lo anterior, los deltas para las Opciones se calculan para cada combinación de volatilidad (Aumentada y Reducida) y precio hipotético del subyacente teniendo en cuenta si la Opción es de tipo Call o </w:t>
      </w:r>
      <w:proofErr w:type="spellStart"/>
      <w:r w:rsidRPr="002C0D19">
        <w:rPr>
          <w:rFonts w:ascii="Arial Narrow" w:hAnsi="Arial Narrow" w:cs="Arial"/>
          <w:color w:val="000000" w:themeColor="text1"/>
          <w:lang w:val="es-ES" w:eastAsia="es-ES"/>
        </w:rPr>
        <w:t>Put</w:t>
      </w:r>
      <w:proofErr w:type="spellEnd"/>
      <w:r w:rsidRPr="002C0D19">
        <w:rPr>
          <w:rFonts w:ascii="Arial Narrow" w:hAnsi="Arial Narrow" w:cs="Arial"/>
          <w:color w:val="000000" w:themeColor="text1"/>
          <w:lang w:val="es-ES" w:eastAsia="es-ES"/>
        </w:rPr>
        <w:t xml:space="preserve">. </w:t>
      </w:r>
    </w:p>
    <w:p w14:paraId="5296AB64" w14:textId="77777777" w:rsidR="007968EC" w:rsidRPr="002C0D19" w:rsidRDefault="007968EC" w:rsidP="007968EC">
      <w:pPr>
        <w:jc w:val="both"/>
        <w:rPr>
          <w:rFonts w:ascii="Arial Narrow" w:hAnsi="Arial Narrow" w:cs="Arial"/>
          <w:b/>
          <w:color w:val="000000" w:themeColor="text1"/>
          <w:lang w:val="es-ES" w:eastAsia="es-ES"/>
        </w:rPr>
      </w:pPr>
    </w:p>
    <w:p w14:paraId="793A0EA4" w14:textId="77777777" w:rsidR="007968EC" w:rsidRPr="002C0D19" w:rsidRDefault="007968EC" w:rsidP="007968EC">
      <w:pPr>
        <w:rPr>
          <w:rFonts w:ascii="Arial Narrow" w:hAnsi="Arial Narrow" w:cs="Arial"/>
          <w:b/>
          <w:color w:val="000000" w:themeColor="text1"/>
          <w:lang w:val="es-ES" w:eastAsia="es-ES"/>
        </w:rPr>
      </w:pPr>
    </w:p>
    <w:p w14:paraId="43509853" w14:textId="77777777" w:rsidR="007968EC" w:rsidRPr="002C0D19" w:rsidRDefault="007968EC" w:rsidP="007968EC">
      <w:pPr>
        <w:jc w:val="center"/>
        <w:rPr>
          <w:rFonts w:ascii="Arial Narrow" w:hAnsi="Arial Narrow" w:cs="Arial"/>
          <w:b/>
          <w:color w:val="000000" w:themeColor="text1"/>
          <w:lang w:val="es-ES" w:eastAsia="es-ES"/>
        </w:rPr>
      </w:pPr>
      <m:oMathPara>
        <m:oMath>
          <m:r>
            <m:rPr>
              <m:sty m:val="bi"/>
            </m:rPr>
            <w:rPr>
              <w:rFonts w:ascii="Cambria Math" w:hAnsi="Cambria Math" w:cs="Arial"/>
              <w:color w:val="000000" w:themeColor="text1"/>
              <w:lang w:val="es-ES" w:eastAsia="es-ES"/>
            </w:rPr>
            <m:t>Delta Call=</m:t>
          </m:r>
          <m:sSup>
            <m:sSupPr>
              <m:ctrlPr>
                <w:rPr>
                  <w:rFonts w:ascii="Cambria Math" w:hAnsi="Cambria Math" w:cs="Arial"/>
                  <w:b/>
                  <w:i/>
                  <w:color w:val="000000" w:themeColor="text1"/>
                  <w:lang w:val="es-ES" w:eastAsia="es-ES"/>
                </w:rPr>
              </m:ctrlPr>
            </m:sSupPr>
            <m:e>
              <m:r>
                <m:rPr>
                  <m:sty m:val="bi"/>
                </m:rPr>
                <w:rPr>
                  <w:rFonts w:ascii="Cambria Math" w:hAnsi="Cambria Math" w:cs="Arial"/>
                  <w:color w:val="000000" w:themeColor="text1"/>
                  <w:lang w:val="es-ES" w:eastAsia="es-ES"/>
                </w:rPr>
                <m:t>e</m:t>
              </m:r>
            </m:e>
            <m:sup>
              <m:r>
                <m:rPr>
                  <m:sty m:val="bi"/>
                </m:rPr>
                <w:rPr>
                  <w:rFonts w:ascii="Cambria Math" w:hAnsi="Cambria Math" w:cs="Arial"/>
                  <w:color w:val="000000" w:themeColor="text1"/>
                  <w:lang w:val="es-ES" w:eastAsia="es-ES"/>
                </w:rPr>
                <m:t>-rt</m:t>
              </m:r>
            </m:sup>
          </m:sSup>
          <m:r>
            <m:rPr>
              <m:sty m:val="bi"/>
            </m:rPr>
            <w:rPr>
              <w:rFonts w:ascii="Cambria Math" w:hAnsi="Cambria Math" w:cs="Arial"/>
              <w:color w:val="000000" w:themeColor="text1"/>
              <w:lang w:val="es-ES" w:eastAsia="es-ES"/>
            </w:rPr>
            <m:t>N(D)</m:t>
          </m:r>
        </m:oMath>
      </m:oMathPara>
    </w:p>
    <w:p w14:paraId="05F06D9D" w14:textId="77777777" w:rsidR="007968EC" w:rsidRPr="002C0D19" w:rsidRDefault="007968EC" w:rsidP="007968EC">
      <w:pPr>
        <w:jc w:val="center"/>
        <w:rPr>
          <w:rFonts w:ascii="Arial Narrow" w:hAnsi="Arial Narrow" w:cs="Arial"/>
          <w:b/>
          <w:color w:val="000000" w:themeColor="text1"/>
          <w:lang w:val="es-ES" w:eastAsia="es-ES"/>
        </w:rPr>
      </w:pPr>
      <m:oMathPara>
        <m:oMathParaPr>
          <m:jc m:val="center"/>
        </m:oMathParaPr>
        <m:oMath>
          <m:r>
            <m:rPr>
              <m:sty m:val="bi"/>
            </m:rPr>
            <w:rPr>
              <w:rFonts w:ascii="Cambria Math" w:hAnsi="Cambria Math" w:cs="Arial"/>
              <w:color w:val="000000" w:themeColor="text1"/>
              <w:lang w:val="es-ES" w:eastAsia="es-ES"/>
            </w:rPr>
            <m:t>Delta Put=</m:t>
          </m:r>
          <m:sSup>
            <m:sSupPr>
              <m:ctrlPr>
                <w:rPr>
                  <w:rFonts w:ascii="Cambria Math" w:hAnsi="Cambria Math" w:cs="Arial"/>
                  <w:b/>
                  <w:i/>
                  <w:color w:val="000000" w:themeColor="text1"/>
                  <w:lang w:val="es-ES" w:eastAsia="es-ES"/>
                </w:rPr>
              </m:ctrlPr>
            </m:sSupPr>
            <m:e>
              <m:r>
                <m:rPr>
                  <m:sty m:val="bi"/>
                </m:rPr>
                <w:rPr>
                  <w:rFonts w:ascii="Cambria Math" w:hAnsi="Cambria Math" w:cs="Arial"/>
                  <w:color w:val="000000" w:themeColor="text1"/>
                  <w:lang w:val="es-ES" w:eastAsia="es-ES"/>
                </w:rPr>
                <m:t>-e</m:t>
              </m:r>
            </m:e>
            <m:sup>
              <m:r>
                <m:rPr>
                  <m:sty m:val="bi"/>
                </m:rPr>
                <w:rPr>
                  <w:rFonts w:ascii="Cambria Math" w:hAnsi="Cambria Math" w:cs="Arial"/>
                  <w:color w:val="000000" w:themeColor="text1"/>
                  <w:lang w:val="es-ES" w:eastAsia="es-ES"/>
                </w:rPr>
                <m:t>-rt</m:t>
              </m:r>
            </m:sup>
          </m:sSup>
          <m:r>
            <m:rPr>
              <m:sty m:val="bi"/>
            </m:rPr>
            <w:rPr>
              <w:rFonts w:ascii="Cambria Math" w:hAnsi="Cambria Math" w:cs="Arial"/>
              <w:color w:val="000000" w:themeColor="text1"/>
              <w:lang w:val="es-ES" w:eastAsia="es-ES"/>
            </w:rPr>
            <m:t>N</m:t>
          </m:r>
          <m:d>
            <m:dPr>
              <m:ctrlPr>
                <w:rPr>
                  <w:rFonts w:ascii="Cambria Math" w:hAnsi="Cambria Math" w:cs="Arial"/>
                  <w:b/>
                  <w:i/>
                  <w:color w:val="000000" w:themeColor="text1"/>
                  <w:lang w:val="es-ES" w:eastAsia="es-ES"/>
                </w:rPr>
              </m:ctrlPr>
            </m:dPr>
            <m:e>
              <m:r>
                <m:rPr>
                  <m:sty m:val="bi"/>
                </m:rPr>
                <w:rPr>
                  <w:rFonts w:ascii="Cambria Math" w:hAnsi="Cambria Math" w:cs="Arial"/>
                  <w:color w:val="000000" w:themeColor="text1"/>
                  <w:lang w:val="es-ES" w:eastAsia="es-ES"/>
                </w:rPr>
                <m:t>-D</m:t>
              </m:r>
            </m:e>
          </m:d>
        </m:oMath>
      </m:oMathPara>
    </w:p>
    <w:p w14:paraId="73A9E21E" w14:textId="77777777" w:rsidR="007968EC" w:rsidRPr="002C0D19" w:rsidRDefault="007968EC" w:rsidP="007968EC">
      <w:pPr>
        <w:rPr>
          <w:rFonts w:ascii="Arial Narrow" w:hAnsi="Arial Narrow" w:cs="Arial"/>
          <w:b/>
          <w:color w:val="000000" w:themeColor="text1"/>
          <w:lang w:val="es-ES" w:eastAsia="es-ES"/>
        </w:rPr>
      </w:pPr>
    </w:p>
    <w:p w14:paraId="5754A10B" w14:textId="77777777" w:rsidR="007968EC" w:rsidRPr="002C0D19" w:rsidRDefault="007968EC" w:rsidP="007968EC">
      <w:pPr>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Donde </w:t>
      </w:r>
    </w:p>
    <w:p w14:paraId="64B2FE7B" w14:textId="77777777" w:rsidR="007968EC" w:rsidRPr="002C0D19" w:rsidRDefault="007968EC" w:rsidP="007968EC">
      <w:pPr>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D=Se describe en el modelo de valoración Black Black-Scholes correspondiente a cada uno de los activos.</w:t>
      </w:r>
    </w:p>
    <w:p w14:paraId="41D9AC92" w14:textId="77777777" w:rsidR="007968EC" w:rsidRPr="002C0D19" w:rsidRDefault="007968EC" w:rsidP="007968EC">
      <w:pPr>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t = Días a vencimiento / Días año (365 si el periodo analizado es superior a 365 días, y 360 en caso contrario)</w:t>
      </w:r>
    </w:p>
    <w:p w14:paraId="56BE287E" w14:textId="77777777" w:rsidR="007968EC" w:rsidRPr="002C0D19" w:rsidRDefault="007968EC" w:rsidP="007968EC">
      <w:pPr>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r = Tipo de interés (IBR)</w:t>
      </w:r>
    </w:p>
    <w:p w14:paraId="5824403D" w14:textId="77777777" w:rsidR="007968EC" w:rsidRPr="002C0D19" w:rsidRDefault="007968EC" w:rsidP="007968EC">
      <w:pPr>
        <w:autoSpaceDE w:val="0"/>
        <w:autoSpaceDN w:val="0"/>
        <w:adjustRightInd w:val="0"/>
        <w:rPr>
          <w:rFonts w:ascii="Arial Narrow" w:hAnsi="Arial Narrow" w:cs="Calibri"/>
          <w:color w:val="000000" w:themeColor="text1"/>
          <w:lang w:val="es-ES" w:eastAsia="es-ES"/>
        </w:rPr>
      </w:pPr>
      <w:r w:rsidRPr="002C0D19">
        <w:rPr>
          <w:rFonts w:ascii="Arial Narrow" w:hAnsi="Arial Narrow" w:cs="Arial"/>
          <w:bCs/>
          <w:color w:val="000000" w:themeColor="text1"/>
          <w:lang w:val="es-ES" w:eastAsia="es-ES"/>
        </w:rPr>
        <w:t>N(D)=Distribución Normal estándar acumulada del parámetro D.</w:t>
      </w:r>
    </w:p>
    <w:p w14:paraId="01C15588" w14:textId="77777777" w:rsidR="007968EC" w:rsidRPr="002C0D19" w:rsidRDefault="007968EC" w:rsidP="007968EC">
      <w:pPr>
        <w:jc w:val="both"/>
        <w:rPr>
          <w:rFonts w:ascii="Arial Narrow" w:hAnsi="Arial Narrow" w:cs="Arial"/>
          <w:bCs/>
          <w:color w:val="000000" w:themeColor="text1"/>
          <w:lang w:val="es-ES" w:eastAsia="es-ES"/>
        </w:rPr>
      </w:pPr>
    </w:p>
    <w:p w14:paraId="70FAEF10" w14:textId="77777777" w:rsidR="007968EC" w:rsidRPr="002C0D19" w:rsidRDefault="007968EC" w:rsidP="007968EC">
      <w:pPr>
        <w:autoSpaceDE w:val="0"/>
        <w:autoSpaceDN w:val="0"/>
        <w:adjustRightInd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Para el cálculo de N(x), la función de Distribución Normal Estándar acumulada, se utiliza la aproximación polinómica de Taylor de grado 3</w:t>
      </w:r>
    </w:p>
    <w:p w14:paraId="65B21C8B" w14:textId="77777777" w:rsidR="007968EC" w:rsidRPr="005703C9" w:rsidRDefault="007968EC" w:rsidP="007968EC">
      <w:pPr>
        <w:jc w:val="both"/>
        <w:rPr>
          <w:rFonts w:ascii="Arial Narrow" w:eastAsia="Calibri" w:hAnsi="Arial Narrow"/>
          <w:b/>
          <w:color w:val="000000" w:themeColor="text1"/>
        </w:rPr>
      </w:pPr>
    </w:p>
    <w:p w14:paraId="7CFDE845" w14:textId="77777777" w:rsidR="007968EC" w:rsidRPr="002C0D19" w:rsidRDefault="007968EC" w:rsidP="00DA7472">
      <w:pPr>
        <w:numPr>
          <w:ilvl w:val="0"/>
          <w:numId w:val="210"/>
        </w:numPr>
        <w:autoSpaceDE w:val="0"/>
        <w:autoSpaceDN w:val="0"/>
        <w:adjustRightInd w:val="0"/>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Cálculo de la Garantía por la Posición neta.</w:t>
      </w:r>
    </w:p>
    <w:p w14:paraId="33C48EDC" w14:textId="77777777" w:rsidR="007968EC" w:rsidRPr="005703C9" w:rsidRDefault="007968EC" w:rsidP="007968EC">
      <w:pPr>
        <w:jc w:val="both"/>
        <w:rPr>
          <w:rFonts w:ascii="Arial Narrow" w:eastAsia="Calibri" w:hAnsi="Arial Narrow"/>
          <w:b/>
          <w:color w:val="000000" w:themeColor="text1"/>
        </w:rPr>
      </w:pPr>
    </w:p>
    <w:p w14:paraId="16A96810"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Al tener los precios teóricos de cada contrato en cada uno de los escenarios, se calcula la Garantía por la Posición neta, es decir, se calcula la Garantía neteando las diferentes posiciones sin tener en cuenta las diferencias que se puedan presentar por tener diferentes Vencimientos.</w:t>
      </w:r>
    </w:p>
    <w:p w14:paraId="7C09F4FE" w14:textId="77777777" w:rsidR="007968EC" w:rsidRPr="005703C9" w:rsidRDefault="007968EC" w:rsidP="007968EC">
      <w:pPr>
        <w:jc w:val="both"/>
        <w:rPr>
          <w:rFonts w:ascii="Arial Narrow" w:eastAsia="Calibri" w:hAnsi="Arial Narrow"/>
          <w:b/>
          <w:color w:val="000000" w:themeColor="text1"/>
        </w:rPr>
      </w:pPr>
    </w:p>
    <w:p w14:paraId="2508A38B"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Para esto se ajusta la Posición Abierta en el Grupo de Compensación de cada Cuenta; tomando los precios teóricos de cada escenario se aplican las siguientes fórmulas:</w:t>
      </w:r>
    </w:p>
    <w:p w14:paraId="5776DB4B" w14:textId="77777777" w:rsidR="007968EC" w:rsidRPr="00397BCE" w:rsidRDefault="007968EC" w:rsidP="007968EC">
      <w:pPr>
        <w:jc w:val="both"/>
        <w:rPr>
          <w:rFonts w:ascii="Arial Narrow" w:eastAsia="Calibri" w:hAnsi="Arial Narrow"/>
          <w:b/>
          <w:color w:val="000000" w:themeColor="text1"/>
        </w:rPr>
      </w:pPr>
    </w:p>
    <w:p w14:paraId="05C7B73F"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 xml:space="preserve">Valor Posición Abierta compradora = </w:t>
      </w:r>
      <w:proofErr w:type="spellStart"/>
      <w:r w:rsidRPr="002C0D19">
        <w:rPr>
          <w:rFonts w:ascii="Arial Narrow" w:eastAsia="Calibri" w:hAnsi="Arial Narrow"/>
          <w:color w:val="000000" w:themeColor="text1"/>
        </w:rPr>
        <w:t>NºContratos</w:t>
      </w:r>
      <w:proofErr w:type="spellEnd"/>
      <w:r w:rsidRPr="002C0D19">
        <w:rPr>
          <w:rFonts w:ascii="Arial Narrow" w:eastAsia="Calibri" w:hAnsi="Arial Narrow"/>
          <w:color w:val="000000" w:themeColor="text1"/>
        </w:rPr>
        <w:t xml:space="preserve"> * Precio teórico *Multiplicador *-1</w:t>
      </w:r>
    </w:p>
    <w:p w14:paraId="59CDAE0C" w14:textId="77777777" w:rsidR="007968EC" w:rsidRPr="005703C9" w:rsidRDefault="007968EC" w:rsidP="007968EC">
      <w:pPr>
        <w:jc w:val="both"/>
        <w:rPr>
          <w:rFonts w:ascii="Arial Narrow" w:eastAsia="Calibri" w:hAnsi="Arial Narrow"/>
          <w:b/>
          <w:color w:val="000000" w:themeColor="text1"/>
        </w:rPr>
      </w:pPr>
    </w:p>
    <w:p w14:paraId="429AEB1C" w14:textId="77777777" w:rsidR="007968EC" w:rsidRPr="002C0D19" w:rsidRDefault="007968EC" w:rsidP="007968EC">
      <w:pPr>
        <w:tabs>
          <w:tab w:val="left" w:pos="7695"/>
        </w:tabs>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 xml:space="preserve">Valor Posición Abierta vendedora = </w:t>
      </w:r>
      <w:proofErr w:type="spellStart"/>
      <w:r w:rsidRPr="002C0D19">
        <w:rPr>
          <w:rFonts w:ascii="Arial Narrow" w:eastAsia="Calibri" w:hAnsi="Arial Narrow"/>
          <w:color w:val="000000" w:themeColor="text1"/>
        </w:rPr>
        <w:t>NºContratos</w:t>
      </w:r>
      <w:proofErr w:type="spellEnd"/>
      <w:r w:rsidRPr="002C0D19">
        <w:rPr>
          <w:rFonts w:ascii="Arial Narrow" w:eastAsia="Calibri" w:hAnsi="Arial Narrow"/>
          <w:color w:val="000000" w:themeColor="text1"/>
        </w:rPr>
        <w:t xml:space="preserve"> * Precio teórico * Multiplicador * 1</w:t>
      </w:r>
      <w:r w:rsidRPr="002C0D19">
        <w:rPr>
          <w:rFonts w:ascii="Arial Narrow" w:eastAsia="Calibri" w:hAnsi="Arial Narrow"/>
          <w:color w:val="000000" w:themeColor="text1"/>
        </w:rPr>
        <w:tab/>
      </w:r>
    </w:p>
    <w:p w14:paraId="4C3A6877" w14:textId="77777777" w:rsidR="007968EC" w:rsidRPr="002C0D19" w:rsidRDefault="007968EC" w:rsidP="007968EC">
      <w:pPr>
        <w:tabs>
          <w:tab w:val="left" w:pos="7695"/>
        </w:tabs>
        <w:autoSpaceDE w:val="0"/>
        <w:autoSpaceDN w:val="0"/>
        <w:adjustRightInd w:val="0"/>
        <w:jc w:val="both"/>
        <w:rPr>
          <w:rFonts w:ascii="Arial Narrow" w:eastAsia="Calibri" w:hAnsi="Arial Narrow"/>
          <w:color w:val="000000" w:themeColor="text1"/>
        </w:rPr>
      </w:pPr>
    </w:p>
    <w:p w14:paraId="77C66828"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Los valores resultantes con signo positivo suponen un importe de Garantía, por el contrario, los valores negativos suponen una disminución de Garantía.</w:t>
      </w:r>
    </w:p>
    <w:p w14:paraId="1196B8F3" w14:textId="77777777" w:rsidR="007968EC" w:rsidRPr="005703C9" w:rsidRDefault="007968EC" w:rsidP="007968EC">
      <w:pPr>
        <w:jc w:val="both"/>
        <w:rPr>
          <w:rFonts w:ascii="Arial Narrow" w:eastAsia="Calibri" w:hAnsi="Arial Narrow"/>
          <w:b/>
          <w:color w:val="000000" w:themeColor="text1"/>
        </w:rPr>
      </w:pPr>
    </w:p>
    <w:p w14:paraId="5E4203D7"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Sumando columna a columna los valores calculados para los Contratos de un mismo Grupo de Compensación (compensándose totalmente los valores positivos y negativos, independientemente de si pertenecen al mismo o a distintos Vencimientos), se obtiene una fila que se denomina “Garantías de Posición Neta”.</w:t>
      </w:r>
    </w:p>
    <w:p w14:paraId="259A2679" w14:textId="77777777" w:rsidR="007968EC" w:rsidRPr="005703C9" w:rsidRDefault="007968EC" w:rsidP="007968EC">
      <w:pPr>
        <w:jc w:val="both"/>
        <w:rPr>
          <w:rFonts w:ascii="Arial Narrow" w:eastAsia="Calibri" w:hAnsi="Arial Narrow"/>
          <w:b/>
          <w:color w:val="000000" w:themeColor="text1"/>
        </w:rPr>
      </w:pPr>
    </w:p>
    <w:p w14:paraId="25C2C1DB" w14:textId="77777777" w:rsidR="007968EC" w:rsidRPr="002C0D19" w:rsidRDefault="007968EC" w:rsidP="00DA7472">
      <w:pPr>
        <w:numPr>
          <w:ilvl w:val="0"/>
          <w:numId w:val="210"/>
        </w:numPr>
        <w:autoSpaceDE w:val="0"/>
        <w:autoSpaceDN w:val="0"/>
        <w:adjustRightInd w:val="0"/>
        <w:ind w:left="426" w:hanging="426"/>
        <w:jc w:val="both"/>
        <w:rPr>
          <w:rFonts w:ascii="Arial Narrow" w:eastAsia="Calibri" w:hAnsi="Arial Narrow"/>
          <w:color w:val="000000" w:themeColor="text1"/>
        </w:rPr>
      </w:pPr>
      <w:r w:rsidRPr="002C0D19">
        <w:rPr>
          <w:rFonts w:ascii="Arial Narrow" w:eastAsia="Calibri" w:hAnsi="Arial Narrow"/>
          <w:color w:val="000000" w:themeColor="text1"/>
        </w:rPr>
        <w:t>Adición de Garantías por Compensación entre Vencimientos.</w:t>
      </w:r>
    </w:p>
    <w:p w14:paraId="3B93B67E"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p>
    <w:p w14:paraId="2CCCC1A3"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Como la correlación entre distintos Vencimientos no es perfecta, la Compensación no puede ser total, por tanto, se determina si en la valoración de Posición Abierta se han compensado posiciones correspondientes a Vencimientos distintos, y se establece un ajuste de la Garantía por Posición neta.</w:t>
      </w:r>
    </w:p>
    <w:p w14:paraId="462D5717" w14:textId="77777777" w:rsidR="007968EC" w:rsidRPr="005703C9" w:rsidRDefault="007968EC" w:rsidP="007968EC">
      <w:pPr>
        <w:jc w:val="both"/>
        <w:rPr>
          <w:rFonts w:ascii="Arial Narrow" w:eastAsia="Calibri" w:hAnsi="Arial Narrow"/>
          <w:b/>
          <w:color w:val="000000" w:themeColor="text1"/>
        </w:rPr>
      </w:pPr>
    </w:p>
    <w:p w14:paraId="5472F521"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Para esto se calcula la Posición en deltas con el fin de obtener la Posición neta en cada Vencimiento. En el caso de los Futuros, el delta es siempre igual a 1.  Para las Opciones el delta a utilizar corresponde al calculado en el literal 2 del presente artículo.</w:t>
      </w:r>
    </w:p>
    <w:p w14:paraId="5932E2C8"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p>
    <w:p w14:paraId="1032ECCC"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La valoración de la Posición Abierta en deltas para cada escenario está dada por las siguientes formulas:</w:t>
      </w:r>
    </w:p>
    <w:p w14:paraId="0CB3154B" w14:textId="77777777" w:rsidR="007968EC" w:rsidRPr="005703C9" w:rsidRDefault="007968EC" w:rsidP="007968EC">
      <w:pPr>
        <w:jc w:val="both"/>
        <w:rPr>
          <w:rFonts w:ascii="Arial Narrow" w:eastAsia="Calibri" w:hAnsi="Arial Narrow"/>
          <w:b/>
          <w:color w:val="000000" w:themeColor="text1"/>
        </w:rPr>
      </w:pPr>
    </w:p>
    <w:p w14:paraId="4D44A727"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 xml:space="preserve">Delta P. Abierta compradora escenario = N° de Contratos * Delta escenario * Multiplicador del contrato </w:t>
      </w:r>
      <w:r w:rsidRPr="002C0D19">
        <w:rPr>
          <w:rFonts w:ascii="Arial Narrow" w:eastAsia="Calibri" w:hAnsi="Arial Narrow"/>
          <w:color w:val="000000" w:themeColor="text1"/>
          <w:lang w:val="es-ES" w:eastAsia="es-ES"/>
        </w:rPr>
        <w:t>* 1</w:t>
      </w:r>
    </w:p>
    <w:p w14:paraId="5DCD52E4" w14:textId="77777777" w:rsidR="007968EC" w:rsidRPr="005703C9" w:rsidRDefault="007968EC" w:rsidP="007968EC">
      <w:pPr>
        <w:jc w:val="both"/>
        <w:rPr>
          <w:rFonts w:ascii="Arial Narrow" w:eastAsia="Calibri" w:hAnsi="Arial Narrow"/>
          <w:b/>
          <w:color w:val="000000" w:themeColor="text1"/>
        </w:rPr>
      </w:pPr>
    </w:p>
    <w:p w14:paraId="28F1D8DC"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Delta P. Abierta vendedora escenario = N° de Contratos * Delta escenario* Multiplicador del contrato *- 1.</w:t>
      </w:r>
    </w:p>
    <w:p w14:paraId="61193634" w14:textId="77777777" w:rsidR="007968EC" w:rsidRPr="005703C9" w:rsidRDefault="007968EC" w:rsidP="007968EC">
      <w:pPr>
        <w:jc w:val="both"/>
        <w:rPr>
          <w:rFonts w:ascii="Arial Narrow" w:eastAsia="Calibri" w:hAnsi="Arial Narrow"/>
          <w:b/>
          <w:color w:val="000000" w:themeColor="text1"/>
        </w:rPr>
      </w:pPr>
    </w:p>
    <w:p w14:paraId="1F415145"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Obteniéndose así, una Posición de deltas para cada uno de los Vencimientos de cada Grupo de Compensación. Con esta Posición de deltas se procede a calcular, en cada escenario, las compensaciones (time spreads) entre aquellos Vencimientos que presenten posiciones en deltas con signo contrario, para luego calcular el importe de garantía por este concepto.</w:t>
      </w:r>
    </w:p>
    <w:p w14:paraId="27D77885" w14:textId="77777777" w:rsidR="007968EC" w:rsidRPr="005703C9" w:rsidRDefault="007968EC" w:rsidP="007968EC">
      <w:pPr>
        <w:jc w:val="both"/>
        <w:rPr>
          <w:rFonts w:ascii="Arial Narrow" w:eastAsia="Calibri" w:hAnsi="Arial Narrow"/>
          <w:b/>
          <w:color w:val="000000" w:themeColor="text1"/>
        </w:rPr>
      </w:pPr>
    </w:p>
    <w:p w14:paraId="10373F7D"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proofErr w:type="gramStart"/>
      <w:r w:rsidRPr="002C0D19">
        <w:rPr>
          <w:rFonts w:ascii="Arial Narrow" w:eastAsia="Calibri" w:hAnsi="Arial Narrow"/>
          <w:color w:val="000000" w:themeColor="text1"/>
        </w:rPr>
        <w:t>Los pasos a realizar</w:t>
      </w:r>
      <w:proofErr w:type="gramEnd"/>
      <w:r w:rsidRPr="002C0D19">
        <w:rPr>
          <w:rFonts w:ascii="Arial Narrow" w:eastAsia="Calibri" w:hAnsi="Arial Narrow"/>
          <w:color w:val="000000" w:themeColor="text1"/>
        </w:rPr>
        <w:t xml:space="preserve"> son los siguientes:</w:t>
      </w:r>
    </w:p>
    <w:p w14:paraId="328B6897" w14:textId="77777777" w:rsidR="007968EC" w:rsidRPr="005703C9" w:rsidRDefault="007968EC" w:rsidP="007968EC">
      <w:pPr>
        <w:jc w:val="both"/>
        <w:rPr>
          <w:rFonts w:ascii="Arial Narrow" w:eastAsia="Calibri" w:hAnsi="Arial Narrow"/>
          <w:b/>
          <w:color w:val="000000" w:themeColor="text1"/>
        </w:rPr>
      </w:pPr>
    </w:p>
    <w:p w14:paraId="29383BF4" w14:textId="77777777" w:rsidR="007968EC" w:rsidRPr="002C0D19" w:rsidRDefault="007968EC" w:rsidP="00DA7472">
      <w:pPr>
        <w:numPr>
          <w:ilvl w:val="4"/>
          <w:numId w:val="165"/>
        </w:numPr>
        <w:autoSpaceDE w:val="0"/>
        <w:autoSpaceDN w:val="0"/>
        <w:adjustRightInd w:val="0"/>
        <w:ind w:left="426" w:hanging="426"/>
        <w:contextualSpacing/>
        <w:jc w:val="both"/>
        <w:rPr>
          <w:rFonts w:ascii="Arial Narrow" w:eastAsia="Calibri" w:hAnsi="Arial Narrow"/>
          <w:color w:val="000000" w:themeColor="text1"/>
        </w:rPr>
      </w:pPr>
      <w:proofErr w:type="gramStart"/>
      <w:r w:rsidRPr="002C0D19">
        <w:rPr>
          <w:rFonts w:ascii="Arial Narrow" w:eastAsia="Calibri" w:hAnsi="Arial Narrow"/>
          <w:color w:val="000000" w:themeColor="text1"/>
        </w:rPr>
        <w:t>Selección de los Vencimientos a compensar</w:t>
      </w:r>
      <w:proofErr w:type="gramEnd"/>
    </w:p>
    <w:p w14:paraId="6D60C3F9" w14:textId="77777777" w:rsidR="007968EC" w:rsidRPr="005703C9" w:rsidRDefault="007968EC" w:rsidP="007968EC">
      <w:pPr>
        <w:jc w:val="both"/>
        <w:rPr>
          <w:rFonts w:ascii="Arial Narrow" w:eastAsia="Calibri" w:hAnsi="Arial Narrow"/>
          <w:b/>
          <w:color w:val="000000" w:themeColor="text1"/>
        </w:rPr>
      </w:pPr>
    </w:p>
    <w:p w14:paraId="344B1A79"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Se dará prioridad a la pareja de Vencimientos que presenten fechas de Vencimiento más cercanas entre sí, empezando por las fechas más lejanas. Por ejemplo, si hay cuatro Vencimientos el orden será:</w:t>
      </w:r>
    </w:p>
    <w:p w14:paraId="404366E7" w14:textId="77777777" w:rsidR="007968EC" w:rsidRPr="005703C9" w:rsidRDefault="007968EC" w:rsidP="007968EC">
      <w:pPr>
        <w:jc w:val="both"/>
        <w:rPr>
          <w:rFonts w:ascii="Arial Narrow" w:eastAsia="Calibri" w:hAnsi="Arial Narrow"/>
          <w:b/>
          <w:color w:val="000000" w:themeColor="text1"/>
        </w:rPr>
      </w:pPr>
    </w:p>
    <w:p w14:paraId="74CF88AD"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4ª/3ª, 3ª/2ª, 2ª/1ª, 4ª/2ª, 3ª/1ª, 4ª/1ª</w:t>
      </w:r>
    </w:p>
    <w:p w14:paraId="58BB501B" w14:textId="77777777" w:rsidR="007968EC" w:rsidRPr="005703C9" w:rsidRDefault="007968EC" w:rsidP="007968EC">
      <w:pPr>
        <w:jc w:val="both"/>
        <w:rPr>
          <w:rFonts w:ascii="Arial Narrow" w:eastAsia="Calibri" w:hAnsi="Arial Narrow"/>
          <w:b/>
          <w:color w:val="000000" w:themeColor="text1"/>
        </w:rPr>
      </w:pPr>
    </w:p>
    <w:p w14:paraId="24FCEE02" w14:textId="77777777" w:rsidR="007968EC" w:rsidRPr="002C0D19" w:rsidRDefault="007968EC" w:rsidP="00DA7472">
      <w:pPr>
        <w:numPr>
          <w:ilvl w:val="1"/>
          <w:numId w:val="165"/>
        </w:numPr>
        <w:autoSpaceDE w:val="0"/>
        <w:autoSpaceDN w:val="0"/>
        <w:adjustRightInd w:val="0"/>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lastRenderedPageBreak/>
        <w:t>Obtención del número de spreads</w:t>
      </w:r>
    </w:p>
    <w:p w14:paraId="1643802C" w14:textId="77777777" w:rsidR="007968EC" w:rsidRPr="005703C9" w:rsidRDefault="007968EC" w:rsidP="007968EC">
      <w:pPr>
        <w:jc w:val="both"/>
        <w:rPr>
          <w:rFonts w:ascii="Arial Narrow" w:eastAsia="Calibri" w:hAnsi="Arial Narrow"/>
          <w:b/>
          <w:color w:val="000000" w:themeColor="text1"/>
        </w:rPr>
      </w:pPr>
    </w:p>
    <w:p w14:paraId="3698C95D"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El número de spreads por cada par de deltas con signo contrario es:</w:t>
      </w:r>
    </w:p>
    <w:p w14:paraId="1E71C32A" w14:textId="77777777" w:rsidR="007968EC" w:rsidRPr="005703C9" w:rsidRDefault="007968EC" w:rsidP="007968EC">
      <w:pPr>
        <w:jc w:val="both"/>
        <w:rPr>
          <w:rFonts w:ascii="Arial Narrow" w:eastAsia="Calibri" w:hAnsi="Arial Narrow"/>
          <w:b/>
          <w:color w:val="000000" w:themeColor="text1"/>
        </w:rPr>
      </w:pPr>
    </w:p>
    <w:p w14:paraId="0D58D596"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proofErr w:type="spellStart"/>
      <w:r w:rsidRPr="002C0D19">
        <w:rPr>
          <w:rFonts w:ascii="Arial Narrow" w:eastAsia="Calibri" w:hAnsi="Arial Narrow"/>
          <w:color w:val="000000" w:themeColor="text1"/>
        </w:rPr>
        <w:t>Nº</w:t>
      </w:r>
      <w:proofErr w:type="spellEnd"/>
      <w:r w:rsidRPr="002C0D19">
        <w:rPr>
          <w:rFonts w:ascii="Arial Narrow" w:eastAsia="Calibri" w:hAnsi="Arial Narrow"/>
          <w:color w:val="000000" w:themeColor="text1"/>
        </w:rPr>
        <w:t xml:space="preserve"> de spreads = Mínimo valor absoluto {Posición delta Vencimiento, A; Posición delta Vencimiento B}</w:t>
      </w:r>
    </w:p>
    <w:p w14:paraId="24069F3B" w14:textId="77777777" w:rsidR="007968EC" w:rsidRPr="005703C9" w:rsidRDefault="007968EC" w:rsidP="007968EC">
      <w:pPr>
        <w:jc w:val="both"/>
        <w:rPr>
          <w:rFonts w:ascii="Arial Narrow" w:eastAsia="Calibri" w:hAnsi="Arial Narrow"/>
          <w:b/>
          <w:color w:val="000000" w:themeColor="text1"/>
        </w:rPr>
      </w:pPr>
    </w:p>
    <w:p w14:paraId="2D1755B4" w14:textId="77777777" w:rsidR="007968EC" w:rsidRPr="002C0D19" w:rsidRDefault="007968EC" w:rsidP="00DA7472">
      <w:pPr>
        <w:numPr>
          <w:ilvl w:val="1"/>
          <w:numId w:val="165"/>
        </w:numPr>
        <w:autoSpaceDE w:val="0"/>
        <w:autoSpaceDN w:val="0"/>
        <w:adjustRightInd w:val="0"/>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Obtención de la delta no consumida en spreads</w:t>
      </w:r>
    </w:p>
    <w:p w14:paraId="733FA7DD" w14:textId="77777777" w:rsidR="007968EC" w:rsidRPr="005703C9" w:rsidRDefault="007968EC" w:rsidP="007968EC">
      <w:pPr>
        <w:jc w:val="both"/>
        <w:rPr>
          <w:rFonts w:ascii="Arial Narrow" w:eastAsia="Calibri" w:hAnsi="Arial Narrow"/>
          <w:b/>
          <w:color w:val="000000" w:themeColor="text1"/>
        </w:rPr>
      </w:pPr>
    </w:p>
    <w:p w14:paraId="6C17C271"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A continuación, para cada Vencimiento se calculará la delta no consumida en spreads.</w:t>
      </w:r>
    </w:p>
    <w:p w14:paraId="668B5E50" w14:textId="77777777" w:rsidR="007968EC" w:rsidRPr="005703C9" w:rsidRDefault="007968EC" w:rsidP="007968EC">
      <w:pPr>
        <w:jc w:val="both"/>
        <w:rPr>
          <w:rFonts w:ascii="Arial Narrow" w:eastAsia="Calibri" w:hAnsi="Arial Narrow"/>
          <w:b/>
          <w:color w:val="000000" w:themeColor="text1"/>
        </w:rPr>
      </w:pPr>
    </w:p>
    <w:p w14:paraId="0BAE073F" w14:textId="77777777" w:rsidR="007968EC" w:rsidRPr="002C0D19" w:rsidRDefault="007968EC" w:rsidP="007968EC">
      <w:pPr>
        <w:autoSpaceDE w:val="0"/>
        <w:autoSpaceDN w:val="0"/>
        <w:adjustRightInd w:val="0"/>
        <w:ind w:left="790" w:hanging="506"/>
        <w:jc w:val="both"/>
        <w:rPr>
          <w:rFonts w:ascii="Arial Narrow" w:eastAsia="Calibri" w:hAnsi="Arial Narrow"/>
          <w:color w:val="000000" w:themeColor="text1"/>
        </w:rPr>
      </w:pPr>
      <w:r w:rsidRPr="002C0D19">
        <w:rPr>
          <w:rFonts w:ascii="Arial Narrow" w:eastAsia="Calibri" w:hAnsi="Arial Narrow"/>
          <w:color w:val="000000" w:themeColor="text1"/>
        </w:rPr>
        <w:t>- Si la delta inicial es positiva:</w:t>
      </w:r>
    </w:p>
    <w:p w14:paraId="2E58A9BF" w14:textId="77777777" w:rsidR="007968EC" w:rsidRPr="002C0D19" w:rsidRDefault="007968EC" w:rsidP="007968EC">
      <w:pPr>
        <w:autoSpaceDE w:val="0"/>
        <w:autoSpaceDN w:val="0"/>
        <w:adjustRightInd w:val="0"/>
        <w:ind w:left="790" w:hanging="506"/>
        <w:jc w:val="both"/>
        <w:rPr>
          <w:rFonts w:ascii="Arial Narrow" w:eastAsia="Calibri" w:hAnsi="Arial Narrow"/>
          <w:color w:val="000000" w:themeColor="text1"/>
        </w:rPr>
      </w:pPr>
      <w:r w:rsidRPr="002C0D19">
        <w:rPr>
          <w:rFonts w:ascii="Arial Narrow" w:eastAsia="Calibri" w:hAnsi="Arial Narrow"/>
          <w:color w:val="000000" w:themeColor="text1"/>
        </w:rPr>
        <w:t xml:space="preserve">Delta no consumida en spreads = Delta inicial – </w:t>
      </w:r>
      <w:proofErr w:type="spellStart"/>
      <w:r w:rsidRPr="002C0D19">
        <w:rPr>
          <w:rFonts w:ascii="Arial Narrow" w:eastAsia="Calibri" w:hAnsi="Arial Narrow"/>
          <w:color w:val="000000" w:themeColor="text1"/>
        </w:rPr>
        <w:t>Nº</w:t>
      </w:r>
      <w:proofErr w:type="spellEnd"/>
      <w:r w:rsidRPr="002C0D19">
        <w:rPr>
          <w:rFonts w:ascii="Arial Narrow" w:eastAsia="Calibri" w:hAnsi="Arial Narrow"/>
          <w:color w:val="000000" w:themeColor="text1"/>
        </w:rPr>
        <w:t xml:space="preserve"> de spreads</w:t>
      </w:r>
    </w:p>
    <w:p w14:paraId="1A74BE29" w14:textId="77777777" w:rsidR="007968EC" w:rsidRPr="002C0D19" w:rsidRDefault="007968EC" w:rsidP="007968EC">
      <w:pPr>
        <w:autoSpaceDE w:val="0"/>
        <w:autoSpaceDN w:val="0"/>
        <w:adjustRightInd w:val="0"/>
        <w:ind w:left="790" w:hanging="506"/>
        <w:jc w:val="both"/>
        <w:rPr>
          <w:rFonts w:ascii="Arial Narrow" w:eastAsia="Calibri" w:hAnsi="Arial Narrow"/>
          <w:color w:val="000000" w:themeColor="text1"/>
        </w:rPr>
      </w:pPr>
      <w:r w:rsidRPr="002C0D19">
        <w:rPr>
          <w:rFonts w:ascii="Arial Narrow" w:eastAsia="Calibri" w:hAnsi="Arial Narrow"/>
          <w:color w:val="000000" w:themeColor="text1"/>
        </w:rPr>
        <w:t>- Si la delta inicial es negativa:</w:t>
      </w:r>
    </w:p>
    <w:p w14:paraId="0BAFE019" w14:textId="77777777" w:rsidR="007968EC" w:rsidRPr="002C0D19" w:rsidRDefault="007968EC" w:rsidP="007968EC">
      <w:pPr>
        <w:autoSpaceDE w:val="0"/>
        <w:autoSpaceDN w:val="0"/>
        <w:adjustRightInd w:val="0"/>
        <w:ind w:left="790" w:hanging="506"/>
        <w:jc w:val="both"/>
        <w:rPr>
          <w:rFonts w:ascii="Arial Narrow" w:eastAsia="Calibri" w:hAnsi="Arial Narrow"/>
          <w:color w:val="000000" w:themeColor="text1"/>
        </w:rPr>
      </w:pPr>
      <w:r w:rsidRPr="002C0D19">
        <w:rPr>
          <w:rFonts w:ascii="Arial Narrow" w:eastAsia="Calibri" w:hAnsi="Arial Narrow"/>
          <w:color w:val="000000" w:themeColor="text1"/>
        </w:rPr>
        <w:t xml:space="preserve">Delta no consumida en spreads = Delta inicial + </w:t>
      </w:r>
      <w:proofErr w:type="spellStart"/>
      <w:r w:rsidRPr="002C0D19">
        <w:rPr>
          <w:rFonts w:ascii="Arial Narrow" w:eastAsia="Calibri" w:hAnsi="Arial Narrow"/>
          <w:color w:val="000000" w:themeColor="text1"/>
        </w:rPr>
        <w:t>Nº</w:t>
      </w:r>
      <w:proofErr w:type="spellEnd"/>
      <w:r w:rsidRPr="002C0D19">
        <w:rPr>
          <w:rFonts w:ascii="Arial Narrow" w:eastAsia="Calibri" w:hAnsi="Arial Narrow"/>
          <w:color w:val="000000" w:themeColor="text1"/>
        </w:rPr>
        <w:t xml:space="preserve"> de spreads</w:t>
      </w:r>
    </w:p>
    <w:p w14:paraId="7534D135" w14:textId="77777777" w:rsidR="007968EC" w:rsidRPr="005703C9" w:rsidRDefault="007968EC" w:rsidP="007968EC">
      <w:pPr>
        <w:jc w:val="both"/>
        <w:rPr>
          <w:rFonts w:ascii="Arial Narrow" w:eastAsia="Calibri" w:hAnsi="Arial Narrow"/>
          <w:b/>
          <w:color w:val="000000" w:themeColor="text1"/>
        </w:rPr>
      </w:pPr>
    </w:p>
    <w:p w14:paraId="064ACBF4" w14:textId="77777777" w:rsidR="007968EC" w:rsidRPr="002C0D19" w:rsidRDefault="007968EC" w:rsidP="00DA7472">
      <w:pPr>
        <w:numPr>
          <w:ilvl w:val="1"/>
          <w:numId w:val="165"/>
        </w:numPr>
        <w:autoSpaceDE w:val="0"/>
        <w:autoSpaceDN w:val="0"/>
        <w:adjustRightInd w:val="0"/>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Repetición del cálculo de los Vencimientos a compensar hasta que no existan time-spreads compensables</w:t>
      </w:r>
    </w:p>
    <w:p w14:paraId="7E7F001E"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p>
    <w:p w14:paraId="69346CBE"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Siempre que queden deltas compensables, se procede con la siguiente combinación de Vencimientos a compensar y se repite este proceso hasta que no exista ninguna combinación de Vencimientos a compensar.</w:t>
      </w:r>
    </w:p>
    <w:p w14:paraId="1B3C99F4" w14:textId="77777777" w:rsidR="007968EC" w:rsidRPr="005703C9" w:rsidRDefault="007968EC" w:rsidP="007968EC">
      <w:pPr>
        <w:jc w:val="both"/>
        <w:rPr>
          <w:rFonts w:ascii="Arial Narrow" w:eastAsia="Calibri" w:hAnsi="Arial Narrow"/>
          <w:b/>
          <w:color w:val="000000" w:themeColor="text1"/>
        </w:rPr>
      </w:pPr>
    </w:p>
    <w:p w14:paraId="7EEAF2D0" w14:textId="77777777" w:rsidR="007968EC" w:rsidRPr="002C0D19" w:rsidRDefault="007968EC" w:rsidP="00DA7472">
      <w:pPr>
        <w:numPr>
          <w:ilvl w:val="1"/>
          <w:numId w:val="165"/>
        </w:numPr>
        <w:autoSpaceDE w:val="0"/>
        <w:autoSpaceDN w:val="0"/>
        <w:adjustRightInd w:val="0"/>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Obtención Garantía por Time-Spread</w:t>
      </w:r>
    </w:p>
    <w:p w14:paraId="16721937" w14:textId="77777777" w:rsidR="007968EC" w:rsidRPr="005703C9" w:rsidRDefault="007968EC" w:rsidP="007968EC">
      <w:pPr>
        <w:jc w:val="both"/>
        <w:rPr>
          <w:rFonts w:ascii="Arial Narrow" w:eastAsia="Calibri" w:hAnsi="Arial Narrow"/>
          <w:b/>
          <w:color w:val="000000" w:themeColor="text1"/>
        </w:rPr>
      </w:pPr>
    </w:p>
    <w:p w14:paraId="323E0C01"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 xml:space="preserve">A continuación, cada número de spreads se multiplica por un valor para convertirlo en unidades monetarias. Este valor se define como el máximo número entre un valor mínimo por spread y el diferencial de precios de los Futuros correspondientes a cada uno de los dos Vencimientos que se compensan, multiplicado por el factor de cobertura por time spread. </w:t>
      </w:r>
    </w:p>
    <w:p w14:paraId="115F3E9C" w14:textId="77777777" w:rsidR="007968EC" w:rsidRPr="005703C9" w:rsidRDefault="007968EC" w:rsidP="007968EC">
      <w:pPr>
        <w:jc w:val="both"/>
        <w:rPr>
          <w:rFonts w:ascii="Arial Narrow" w:eastAsia="Calibri" w:hAnsi="Arial Narrow"/>
          <w:b/>
          <w:color w:val="000000" w:themeColor="text1"/>
        </w:rPr>
      </w:pPr>
    </w:p>
    <w:p w14:paraId="0DF19BA6"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Es decir, el valor a aplicar es:</w:t>
      </w:r>
    </w:p>
    <w:p w14:paraId="08ECF2E5" w14:textId="77777777" w:rsidR="007968EC" w:rsidRPr="005703C9" w:rsidRDefault="007968EC" w:rsidP="007968EC">
      <w:pPr>
        <w:jc w:val="both"/>
        <w:rPr>
          <w:rFonts w:ascii="Arial Narrow" w:eastAsia="Calibri" w:hAnsi="Arial Narrow"/>
          <w:b/>
          <w:color w:val="000000" w:themeColor="text1"/>
        </w:rPr>
      </w:pPr>
    </w:p>
    <w:p w14:paraId="052EE887"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Máx. (VMS, Valor Absoluto (PC1 - PC2)) * Factor de cobertura</w:t>
      </w:r>
    </w:p>
    <w:p w14:paraId="739B3265" w14:textId="77777777" w:rsidR="007968EC" w:rsidRPr="005703C9" w:rsidRDefault="007968EC" w:rsidP="007968EC">
      <w:pPr>
        <w:jc w:val="both"/>
        <w:rPr>
          <w:rFonts w:ascii="Arial Narrow" w:eastAsia="Calibri" w:hAnsi="Arial Narrow"/>
          <w:b/>
          <w:color w:val="000000" w:themeColor="text1"/>
        </w:rPr>
      </w:pPr>
    </w:p>
    <w:p w14:paraId="23E9451A"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Donde:</w:t>
      </w:r>
    </w:p>
    <w:p w14:paraId="470CCC63" w14:textId="77777777" w:rsidR="007968EC" w:rsidRPr="005703C9" w:rsidRDefault="007968EC" w:rsidP="007968EC">
      <w:pPr>
        <w:jc w:val="both"/>
        <w:rPr>
          <w:rFonts w:ascii="Arial Narrow" w:eastAsia="Calibri" w:hAnsi="Arial Narrow"/>
          <w:b/>
          <w:color w:val="000000" w:themeColor="text1"/>
        </w:rPr>
      </w:pPr>
    </w:p>
    <w:p w14:paraId="5109D8EA"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VMS: Valor mínimo del spread</w:t>
      </w:r>
    </w:p>
    <w:p w14:paraId="01D378E1"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PC1: Precio de cierre del primer Futuro.</w:t>
      </w:r>
    </w:p>
    <w:p w14:paraId="28D10A7C"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PC2: Precio de cierre del segundo Futuro.</w:t>
      </w:r>
    </w:p>
    <w:p w14:paraId="768BFA1B"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Factor de cobertura: Parámetro, normalmente superior a uno, que se especifica para cada Grupo de Compensación.</w:t>
      </w:r>
    </w:p>
    <w:p w14:paraId="7306E474" w14:textId="77777777" w:rsidR="007968EC" w:rsidRPr="005703C9" w:rsidRDefault="007968EC" w:rsidP="007968EC">
      <w:pPr>
        <w:jc w:val="both"/>
        <w:rPr>
          <w:rFonts w:ascii="Arial Narrow" w:eastAsia="Calibri" w:hAnsi="Arial Narrow"/>
          <w:b/>
          <w:color w:val="000000" w:themeColor="text1"/>
        </w:rPr>
      </w:pPr>
    </w:p>
    <w:p w14:paraId="6A771FB6"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El valor mínimo por spread y el factor por time spread serán los previstos en la Circular Única de la Cámara para cada Instrumento.</w:t>
      </w:r>
    </w:p>
    <w:p w14:paraId="770886C5" w14:textId="77777777" w:rsidR="007968EC" w:rsidRPr="005703C9" w:rsidRDefault="007968EC" w:rsidP="007968EC">
      <w:pPr>
        <w:jc w:val="both"/>
        <w:rPr>
          <w:rFonts w:ascii="Arial Narrow" w:eastAsia="Calibri" w:hAnsi="Arial Narrow"/>
          <w:b/>
          <w:color w:val="000000" w:themeColor="text1"/>
        </w:rPr>
      </w:pPr>
    </w:p>
    <w:p w14:paraId="1D2724DC"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lastRenderedPageBreak/>
        <w:t>Luego, se suman las filas de Garantías por spreads en cada escenario. La fila resultante, que se denomina “Garantías por Time Spreads”, se suma a la fila Garantías Posición Neta obtenida en el numeral 2.</w:t>
      </w:r>
    </w:p>
    <w:p w14:paraId="01BDD7FA"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p>
    <w:p w14:paraId="6B13534E"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Por tanto, la fila resultante, denominada “Total Garantías”, está ajustada o corregida por la falta de correlación perfecta entre distintos vencimientos del mismo Grupo de Compensación.</w:t>
      </w:r>
    </w:p>
    <w:p w14:paraId="5F6FCE19" w14:textId="77777777" w:rsidR="007968EC" w:rsidRPr="00397BCE" w:rsidRDefault="007968EC" w:rsidP="007968EC">
      <w:pPr>
        <w:jc w:val="both"/>
        <w:rPr>
          <w:rFonts w:ascii="Arial Narrow" w:eastAsia="Calibri" w:hAnsi="Arial Narrow"/>
          <w:b/>
          <w:color w:val="000000" w:themeColor="text1"/>
        </w:rPr>
      </w:pPr>
    </w:p>
    <w:p w14:paraId="5F42821A" w14:textId="77777777" w:rsidR="007968EC" w:rsidRDefault="007968EC" w:rsidP="00DA7472">
      <w:pPr>
        <w:numPr>
          <w:ilvl w:val="1"/>
          <w:numId w:val="165"/>
        </w:numPr>
        <w:autoSpaceDE w:val="0"/>
        <w:autoSpaceDN w:val="0"/>
        <w:adjustRightInd w:val="0"/>
        <w:ind w:left="426" w:hanging="448"/>
        <w:contextualSpacing/>
        <w:jc w:val="both"/>
        <w:rPr>
          <w:rFonts w:ascii="Arial Narrow" w:eastAsia="Calibri" w:hAnsi="Arial Narrow"/>
          <w:color w:val="000000" w:themeColor="text1"/>
        </w:rPr>
      </w:pPr>
      <w:r w:rsidRPr="002C0D19">
        <w:rPr>
          <w:rFonts w:ascii="Arial Narrow" w:eastAsia="Calibri" w:hAnsi="Arial Narrow"/>
          <w:color w:val="000000" w:themeColor="text1"/>
        </w:rPr>
        <w:t>Obtención de la “Garantía Grupo de Compensación”</w:t>
      </w:r>
    </w:p>
    <w:p w14:paraId="1586044D" w14:textId="77777777" w:rsidR="007968EC" w:rsidRPr="002C0D19" w:rsidRDefault="007968EC" w:rsidP="007968EC">
      <w:pPr>
        <w:autoSpaceDE w:val="0"/>
        <w:autoSpaceDN w:val="0"/>
        <w:adjustRightInd w:val="0"/>
        <w:ind w:left="426"/>
        <w:contextualSpacing/>
        <w:jc w:val="both"/>
        <w:rPr>
          <w:rFonts w:ascii="Arial Narrow" w:eastAsia="Calibri" w:hAnsi="Arial Narrow"/>
          <w:color w:val="000000" w:themeColor="text1"/>
        </w:rPr>
      </w:pPr>
    </w:p>
    <w:p w14:paraId="515FC42E"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Se selecciona de la fila “Total Garantías” la columna con el mayor valor, es decir, la que supone una mayor Garantía, que se denomina “Garantía Grupo”. Este valor constituye la parte de la Garantía por Posición que corresponde al Grupo de Compensación.</w:t>
      </w:r>
    </w:p>
    <w:p w14:paraId="61F5FA1E" w14:textId="77777777" w:rsidR="007968EC" w:rsidRPr="00397BCE" w:rsidRDefault="007968EC" w:rsidP="007968EC">
      <w:pPr>
        <w:jc w:val="both"/>
        <w:rPr>
          <w:rFonts w:ascii="Arial Narrow" w:eastAsia="Calibri" w:hAnsi="Arial Narrow"/>
          <w:b/>
          <w:color w:val="000000" w:themeColor="text1"/>
        </w:rPr>
      </w:pPr>
    </w:p>
    <w:p w14:paraId="34892FD5" w14:textId="77777777" w:rsidR="007968EC" w:rsidRPr="002C0D19" w:rsidRDefault="007968EC" w:rsidP="00DA7472">
      <w:pPr>
        <w:numPr>
          <w:ilvl w:val="0"/>
          <w:numId w:val="210"/>
        </w:numPr>
        <w:autoSpaceDE w:val="0"/>
        <w:autoSpaceDN w:val="0"/>
        <w:adjustRightInd w:val="0"/>
        <w:ind w:left="426" w:hanging="426"/>
        <w:jc w:val="both"/>
        <w:rPr>
          <w:rFonts w:ascii="Arial Narrow" w:eastAsia="Calibri" w:hAnsi="Arial Narrow"/>
          <w:color w:val="000000" w:themeColor="text1"/>
        </w:rPr>
      </w:pPr>
      <w:r w:rsidRPr="002C0D19">
        <w:rPr>
          <w:rFonts w:ascii="Arial Narrow" w:eastAsia="Calibri" w:hAnsi="Arial Narrow"/>
          <w:color w:val="000000" w:themeColor="text1"/>
        </w:rPr>
        <w:t>Descuento en Garantía por Compensación entre Instrumentos.</w:t>
      </w:r>
    </w:p>
    <w:p w14:paraId="0DFCDD8B" w14:textId="77777777" w:rsidR="007968EC" w:rsidRPr="00397BCE" w:rsidRDefault="007968EC" w:rsidP="007968EC">
      <w:pPr>
        <w:jc w:val="both"/>
        <w:rPr>
          <w:rFonts w:ascii="Arial Narrow" w:eastAsia="Calibri" w:hAnsi="Arial Narrow"/>
          <w:b/>
          <w:color w:val="000000" w:themeColor="text1"/>
        </w:rPr>
      </w:pPr>
    </w:p>
    <w:p w14:paraId="38CBC4D6"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Por la correlación que puede existir entre los diferentes Instrumentos que se compensan y liquidan en la Cámara, la Garantía por Posición exigida disminuirá en función de esta correlación para la posición cruzada, es decir, para las cuentas que contengan posiciones de compra y/o venta entre los diferentes subyacentes.</w:t>
      </w:r>
    </w:p>
    <w:p w14:paraId="7C4B0714" w14:textId="77777777" w:rsidR="007968EC" w:rsidRPr="00397BCE" w:rsidRDefault="007968EC" w:rsidP="007968EC">
      <w:pPr>
        <w:jc w:val="both"/>
        <w:rPr>
          <w:rFonts w:ascii="Arial Narrow" w:eastAsia="Calibri" w:hAnsi="Arial Narrow"/>
          <w:b/>
          <w:color w:val="000000" w:themeColor="text1"/>
        </w:rPr>
      </w:pPr>
    </w:p>
    <w:p w14:paraId="655B7317"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Los pasos para realizar esta compensación son los siguientes:</w:t>
      </w:r>
    </w:p>
    <w:p w14:paraId="005B17B2" w14:textId="77777777" w:rsidR="007968EC" w:rsidRPr="00397BCE" w:rsidRDefault="007968EC" w:rsidP="007968EC">
      <w:pPr>
        <w:jc w:val="both"/>
        <w:rPr>
          <w:rFonts w:ascii="Arial Narrow" w:eastAsia="Calibri" w:hAnsi="Arial Narrow"/>
          <w:b/>
          <w:color w:val="000000" w:themeColor="text1"/>
        </w:rPr>
      </w:pPr>
    </w:p>
    <w:p w14:paraId="41A8AF14" w14:textId="77777777" w:rsidR="007968EC" w:rsidRPr="002C0D19" w:rsidRDefault="007968EC" w:rsidP="00DA7472">
      <w:pPr>
        <w:numPr>
          <w:ilvl w:val="0"/>
          <w:numId w:val="211"/>
        </w:numPr>
        <w:autoSpaceDE w:val="0"/>
        <w:autoSpaceDN w:val="0"/>
        <w:adjustRightInd w:val="0"/>
        <w:ind w:left="426" w:hanging="426"/>
        <w:contextualSpacing/>
        <w:jc w:val="both"/>
        <w:rPr>
          <w:rFonts w:ascii="Arial Narrow" w:eastAsia="Calibri" w:hAnsi="Arial Narrow"/>
          <w:color w:val="000000" w:themeColor="text1"/>
        </w:rPr>
      </w:pPr>
      <w:proofErr w:type="gramStart"/>
      <w:r w:rsidRPr="002C0D19">
        <w:rPr>
          <w:rFonts w:ascii="Arial Narrow" w:eastAsia="Calibri" w:hAnsi="Arial Narrow"/>
          <w:color w:val="000000" w:themeColor="text1"/>
        </w:rPr>
        <w:t>Selección de los Instrumentos o Activos Subyacentes a compensar</w:t>
      </w:r>
      <w:proofErr w:type="gramEnd"/>
    </w:p>
    <w:p w14:paraId="7F515A92" w14:textId="77777777" w:rsidR="007968EC" w:rsidRPr="00397BCE" w:rsidRDefault="007968EC" w:rsidP="007968EC">
      <w:pPr>
        <w:jc w:val="both"/>
        <w:rPr>
          <w:rFonts w:ascii="Arial Narrow" w:eastAsia="Calibri" w:hAnsi="Arial Narrow"/>
          <w:b/>
          <w:color w:val="000000" w:themeColor="text1"/>
        </w:rPr>
      </w:pPr>
    </w:p>
    <w:p w14:paraId="6F0C8620"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 xml:space="preserve">Utilizando el orden previsto en el artículo 2.5.1.4. de la Circular Única de la Cámara, se elige la pareja de Activos Subyacentes que tengan la posibilidad de compensar posiciones de acuerdo con la correlación existente entre ellos y el signo de esta correlación. </w:t>
      </w:r>
    </w:p>
    <w:p w14:paraId="4E8279D4" w14:textId="77777777" w:rsidR="007968EC" w:rsidRPr="00397BCE" w:rsidRDefault="007968EC" w:rsidP="007968EC">
      <w:pPr>
        <w:jc w:val="both"/>
        <w:rPr>
          <w:rFonts w:ascii="Arial Narrow" w:eastAsia="Calibri" w:hAnsi="Arial Narrow"/>
          <w:b/>
          <w:color w:val="000000" w:themeColor="text1"/>
        </w:rPr>
      </w:pPr>
    </w:p>
    <w:p w14:paraId="7E888BC2" w14:textId="77777777" w:rsidR="007968EC" w:rsidRPr="002C0D19" w:rsidRDefault="007968EC" w:rsidP="00DA7472">
      <w:pPr>
        <w:numPr>
          <w:ilvl w:val="0"/>
          <w:numId w:val="211"/>
        </w:numPr>
        <w:autoSpaceDE w:val="0"/>
        <w:autoSpaceDN w:val="0"/>
        <w:adjustRightInd w:val="0"/>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Obtención de la delta a aplicar por cada grupo de compensación</w:t>
      </w:r>
    </w:p>
    <w:p w14:paraId="57669832" w14:textId="77777777" w:rsidR="007968EC" w:rsidRPr="00397BCE" w:rsidRDefault="007968EC" w:rsidP="007968EC">
      <w:pPr>
        <w:jc w:val="both"/>
        <w:rPr>
          <w:rFonts w:ascii="Arial Narrow" w:eastAsia="Calibri" w:hAnsi="Arial Narrow"/>
          <w:b/>
          <w:color w:val="000000" w:themeColor="text1"/>
        </w:rPr>
      </w:pPr>
    </w:p>
    <w:p w14:paraId="15E9A6C9"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 xml:space="preserve">Este paso se realiza con el fin de determinar el valor real de compensación, tomando los deltas que quedaron sin compensar en la etapa de compensación entre vencimientos. </w:t>
      </w:r>
      <w:proofErr w:type="gramStart"/>
      <w:r w:rsidRPr="002C0D19">
        <w:rPr>
          <w:rFonts w:ascii="Arial Narrow" w:eastAsia="Calibri" w:hAnsi="Arial Narrow"/>
          <w:color w:val="000000" w:themeColor="text1"/>
        </w:rPr>
        <w:t>La delta a aplicar</w:t>
      </w:r>
      <w:proofErr w:type="gramEnd"/>
      <w:r w:rsidRPr="002C0D19">
        <w:rPr>
          <w:rFonts w:ascii="Arial Narrow" w:eastAsia="Calibri" w:hAnsi="Arial Narrow"/>
          <w:color w:val="000000" w:themeColor="text1"/>
        </w:rPr>
        <w:t xml:space="preserve"> se obtiene de la comparación del delta inicial y un delta teórico, estos dos valores se detallan a continuación:</w:t>
      </w:r>
    </w:p>
    <w:p w14:paraId="3FB020B8" w14:textId="77777777" w:rsidR="007968EC" w:rsidRPr="00397BCE" w:rsidRDefault="007968EC" w:rsidP="007968EC">
      <w:pPr>
        <w:jc w:val="both"/>
        <w:rPr>
          <w:rFonts w:ascii="Arial Narrow" w:eastAsia="Calibri" w:hAnsi="Arial Narrow"/>
          <w:b/>
          <w:color w:val="000000" w:themeColor="text1"/>
        </w:rPr>
      </w:pPr>
    </w:p>
    <w:p w14:paraId="62E4196B" w14:textId="77777777" w:rsidR="007968EC" w:rsidRPr="002C0D19" w:rsidRDefault="007968EC" w:rsidP="00DA7472">
      <w:pPr>
        <w:numPr>
          <w:ilvl w:val="0"/>
          <w:numId w:val="212"/>
        </w:numPr>
        <w:autoSpaceDE w:val="0"/>
        <w:autoSpaceDN w:val="0"/>
        <w:adjustRightInd w:val="0"/>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Obtención de la delta inicial en cada Grupo de Compensación</w:t>
      </w:r>
    </w:p>
    <w:p w14:paraId="63B01142" w14:textId="77777777" w:rsidR="007968EC" w:rsidRPr="00397BCE" w:rsidRDefault="007968EC" w:rsidP="007968EC">
      <w:pPr>
        <w:jc w:val="both"/>
        <w:rPr>
          <w:rFonts w:ascii="Arial Narrow" w:eastAsia="Calibri" w:hAnsi="Arial Narrow"/>
          <w:b/>
          <w:color w:val="000000" w:themeColor="text1"/>
        </w:rPr>
      </w:pPr>
    </w:p>
    <w:p w14:paraId="749306B0"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En primer lugar, a partir de las deltas no consumidas de los diferentes vencimientos de cada grupo previstos en el literal c. del numeral 3 del presente artículo, se selecciona la columna en la que se alcanza el valor mínimo de cada Grupo de Compensación, al resultado se le denomina delta inicial.</w:t>
      </w:r>
    </w:p>
    <w:p w14:paraId="4774757D" w14:textId="77777777" w:rsidR="007968EC" w:rsidRPr="00397BCE" w:rsidRDefault="007968EC" w:rsidP="007968EC">
      <w:pPr>
        <w:jc w:val="both"/>
        <w:rPr>
          <w:rFonts w:ascii="Arial Narrow" w:eastAsia="Calibri" w:hAnsi="Arial Narrow"/>
          <w:b/>
          <w:color w:val="000000" w:themeColor="text1"/>
        </w:rPr>
      </w:pPr>
    </w:p>
    <w:p w14:paraId="59CC1772" w14:textId="77777777" w:rsidR="007968EC" w:rsidRPr="002C0D19" w:rsidRDefault="007968EC" w:rsidP="00DA7472">
      <w:pPr>
        <w:numPr>
          <w:ilvl w:val="0"/>
          <w:numId w:val="212"/>
        </w:numPr>
        <w:autoSpaceDE w:val="0"/>
        <w:autoSpaceDN w:val="0"/>
        <w:adjustRightInd w:val="0"/>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Obtención de la delta teórica en cada Grupo de Compensación</w:t>
      </w:r>
    </w:p>
    <w:p w14:paraId="05AC64DB" w14:textId="77777777" w:rsidR="007968EC" w:rsidRPr="00397BCE" w:rsidRDefault="007968EC" w:rsidP="007968EC">
      <w:pPr>
        <w:jc w:val="both"/>
        <w:rPr>
          <w:rFonts w:ascii="Arial Narrow" w:eastAsia="Calibri" w:hAnsi="Arial Narrow"/>
          <w:b/>
          <w:color w:val="000000" w:themeColor="text1"/>
        </w:rPr>
      </w:pPr>
    </w:p>
    <w:p w14:paraId="41A5E360"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Seguidamente, se calcula una delta teórica, que presentará el mismo signo que la delta inicial, pero cuyo valor es el resultado de dividir los siguientes importes:</w:t>
      </w:r>
    </w:p>
    <w:p w14:paraId="1410AE19" w14:textId="77777777" w:rsidR="007968EC" w:rsidRPr="00397BCE" w:rsidRDefault="007968EC" w:rsidP="007968EC">
      <w:pPr>
        <w:jc w:val="both"/>
        <w:rPr>
          <w:rFonts w:ascii="Arial Narrow" w:eastAsia="Calibri" w:hAnsi="Arial Narrow"/>
          <w:b/>
          <w:color w:val="000000" w:themeColor="text1"/>
        </w:rPr>
      </w:pPr>
    </w:p>
    <w:p w14:paraId="5EF3AEDA" w14:textId="77777777" w:rsidR="007968EC" w:rsidRPr="002C0D19" w:rsidRDefault="007968EC" w:rsidP="00DA7472">
      <w:pPr>
        <w:numPr>
          <w:ilvl w:val="0"/>
          <w:numId w:val="209"/>
        </w:numPr>
        <w:autoSpaceDE w:val="0"/>
        <w:autoSpaceDN w:val="0"/>
        <w:adjustRightInd w:val="0"/>
        <w:ind w:left="441" w:hanging="425"/>
        <w:jc w:val="both"/>
        <w:rPr>
          <w:rFonts w:ascii="Arial Narrow" w:eastAsia="Calibri" w:hAnsi="Arial Narrow"/>
          <w:color w:val="000000" w:themeColor="text1"/>
          <w:lang w:eastAsia="es-CO"/>
        </w:rPr>
      </w:pPr>
      <w:r w:rsidRPr="002C0D19">
        <w:rPr>
          <w:rFonts w:ascii="Arial Narrow" w:eastAsia="Calibri" w:hAnsi="Arial Narrow"/>
          <w:color w:val="000000" w:themeColor="text1"/>
          <w:lang w:eastAsia="es-CO"/>
        </w:rPr>
        <w:lastRenderedPageBreak/>
        <w:t>Pérdida potencial futura: pérdida que puede experimentar la Posición Abierta en el Grupo de Compensación. Este importe es igual a la Garantía neta del Grupo.</w:t>
      </w:r>
    </w:p>
    <w:p w14:paraId="4587BCC2" w14:textId="77777777" w:rsidR="007968EC" w:rsidRPr="00397BCE" w:rsidRDefault="007968EC" w:rsidP="007968EC">
      <w:pPr>
        <w:jc w:val="both"/>
        <w:rPr>
          <w:rFonts w:ascii="Arial Narrow" w:eastAsia="Calibri" w:hAnsi="Arial Narrow"/>
          <w:b/>
          <w:color w:val="000000" w:themeColor="text1"/>
        </w:rPr>
      </w:pPr>
    </w:p>
    <w:p w14:paraId="036136F9" w14:textId="77777777" w:rsidR="007968EC" w:rsidRPr="002C0D19" w:rsidRDefault="007968EC" w:rsidP="00DA7472">
      <w:pPr>
        <w:numPr>
          <w:ilvl w:val="0"/>
          <w:numId w:val="209"/>
        </w:numPr>
        <w:autoSpaceDE w:val="0"/>
        <w:autoSpaceDN w:val="0"/>
        <w:adjustRightInd w:val="0"/>
        <w:ind w:left="441" w:hanging="425"/>
        <w:jc w:val="both"/>
        <w:rPr>
          <w:rFonts w:ascii="Arial Narrow" w:eastAsia="Calibri" w:hAnsi="Arial Narrow"/>
          <w:color w:val="000000" w:themeColor="text1"/>
          <w:lang w:eastAsia="es-CO"/>
        </w:rPr>
      </w:pPr>
      <w:r w:rsidRPr="002C0D19">
        <w:rPr>
          <w:rFonts w:ascii="Arial Narrow" w:eastAsia="Calibri" w:hAnsi="Arial Narrow"/>
          <w:color w:val="000000" w:themeColor="text1"/>
          <w:lang w:eastAsia="es-CO"/>
        </w:rPr>
        <w:t xml:space="preserve">Garantía por 1 delta: es la pérdida potencial futura que puede experimentar por 1 delta del Grupo de Compensación. Este importe es igual a la Fluctuación total del grupo multiplicada por el Precio de cierre del subyacente. Para los futuros de Futuro de TES y Tasa de Cambio Dólar/Peso el precio de cierre del subyacente es el precio del vencimiento más cercano. </w:t>
      </w:r>
    </w:p>
    <w:p w14:paraId="43868F6D"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p>
    <w:p w14:paraId="1C391F71"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Delta Teórica = Pérdida Potencial Futura Grupo / Garantía por 1 Delta del grupo</w:t>
      </w:r>
    </w:p>
    <w:p w14:paraId="5677F988"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p>
    <w:p w14:paraId="53ACBB2F"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El importe resultante se redondea al número de decimales con el que cotiza el subyacente. El Parámetro “Fluctuación total a analizar” es aquel definido en el artículo 2.5.1.4. de la Circular Única de la Cámara “Parámetros para cálculo de Garantía por Posición”.</w:t>
      </w:r>
    </w:p>
    <w:p w14:paraId="2495DFAE" w14:textId="77777777" w:rsidR="007968EC" w:rsidRPr="002C0D19" w:rsidRDefault="007968EC" w:rsidP="007968EC">
      <w:pPr>
        <w:autoSpaceDE w:val="0"/>
        <w:autoSpaceDN w:val="0"/>
        <w:adjustRightInd w:val="0"/>
        <w:contextualSpacing/>
        <w:jc w:val="both"/>
        <w:rPr>
          <w:rFonts w:ascii="Arial Narrow" w:eastAsia="Calibri" w:hAnsi="Arial Narrow"/>
          <w:color w:val="000000" w:themeColor="text1"/>
        </w:rPr>
      </w:pPr>
    </w:p>
    <w:p w14:paraId="24B2D561" w14:textId="77777777" w:rsidR="007968EC" w:rsidRPr="002C0D19" w:rsidRDefault="007968EC" w:rsidP="00DA7472">
      <w:pPr>
        <w:numPr>
          <w:ilvl w:val="0"/>
          <w:numId w:val="212"/>
        </w:numPr>
        <w:autoSpaceDE w:val="0"/>
        <w:autoSpaceDN w:val="0"/>
        <w:adjustRightInd w:val="0"/>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Obtención de la delta a aplicar en cada Grupo de Compensación</w:t>
      </w:r>
    </w:p>
    <w:p w14:paraId="7BB0A26E" w14:textId="77777777" w:rsidR="007968EC" w:rsidRPr="00397BCE" w:rsidRDefault="007968EC" w:rsidP="007968EC">
      <w:pPr>
        <w:jc w:val="both"/>
        <w:rPr>
          <w:rFonts w:ascii="Arial Narrow" w:eastAsia="Calibri" w:hAnsi="Arial Narrow"/>
          <w:b/>
          <w:color w:val="000000" w:themeColor="text1"/>
        </w:rPr>
      </w:pPr>
    </w:p>
    <w:p w14:paraId="42545F01"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 xml:space="preserve">Se compara la delta inicial y la delta teórica y se selecciona –manteniendo el signo de la delta inicial- la delta con un menor valor absoluto, que será </w:t>
      </w:r>
      <w:proofErr w:type="gramStart"/>
      <w:r w:rsidRPr="002C0D19">
        <w:rPr>
          <w:rFonts w:ascii="Arial Narrow" w:eastAsia="Calibri" w:hAnsi="Arial Narrow"/>
          <w:color w:val="000000" w:themeColor="text1"/>
        </w:rPr>
        <w:t>la delta a aplicar</w:t>
      </w:r>
      <w:proofErr w:type="gramEnd"/>
      <w:r w:rsidRPr="002C0D19">
        <w:rPr>
          <w:rFonts w:ascii="Arial Narrow" w:eastAsia="Calibri" w:hAnsi="Arial Narrow"/>
          <w:color w:val="000000" w:themeColor="text1"/>
        </w:rPr>
        <w:t xml:space="preserve"> en la compensación con otros subyacentes. </w:t>
      </w:r>
    </w:p>
    <w:p w14:paraId="39CD8BBF" w14:textId="77777777" w:rsidR="007968EC" w:rsidRPr="00397BCE" w:rsidRDefault="007968EC" w:rsidP="007968EC">
      <w:pPr>
        <w:jc w:val="both"/>
        <w:rPr>
          <w:rFonts w:ascii="Arial Narrow" w:eastAsia="Calibri" w:hAnsi="Arial Narrow"/>
          <w:b/>
          <w:color w:val="000000" w:themeColor="text1"/>
        </w:rPr>
      </w:pPr>
    </w:p>
    <w:p w14:paraId="1D76E4D2"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proofErr w:type="gramStart"/>
      <w:r w:rsidRPr="002C0D19">
        <w:rPr>
          <w:rFonts w:ascii="Arial Narrow" w:eastAsia="Calibri" w:hAnsi="Arial Narrow"/>
          <w:color w:val="000000" w:themeColor="text1"/>
        </w:rPr>
        <w:t>Delta a aplicar</w:t>
      </w:r>
      <w:proofErr w:type="gramEnd"/>
      <w:r w:rsidRPr="002C0D19">
        <w:rPr>
          <w:rFonts w:ascii="Arial Narrow" w:eastAsia="Calibri" w:hAnsi="Arial Narrow"/>
          <w:color w:val="000000" w:themeColor="text1"/>
        </w:rPr>
        <w:t xml:space="preserve"> = Mínimo valor absoluto {Delta Inicial; Delta Teórica} * Signo Delta Inicial</w:t>
      </w:r>
    </w:p>
    <w:p w14:paraId="75351C3C" w14:textId="77777777" w:rsidR="007968EC" w:rsidRPr="00397BCE" w:rsidRDefault="007968EC" w:rsidP="007968EC">
      <w:pPr>
        <w:jc w:val="both"/>
        <w:rPr>
          <w:rFonts w:ascii="Arial Narrow" w:eastAsia="Calibri" w:hAnsi="Arial Narrow"/>
          <w:b/>
          <w:color w:val="000000" w:themeColor="text1"/>
        </w:rPr>
      </w:pPr>
    </w:p>
    <w:p w14:paraId="118922BC" w14:textId="77777777" w:rsidR="007968EC" w:rsidRPr="002C0D19" w:rsidRDefault="007968EC" w:rsidP="00DA7472">
      <w:pPr>
        <w:numPr>
          <w:ilvl w:val="0"/>
          <w:numId w:val="211"/>
        </w:numPr>
        <w:autoSpaceDE w:val="0"/>
        <w:autoSpaceDN w:val="0"/>
        <w:adjustRightInd w:val="0"/>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Cálculo del número de spreads para los subyacentes a compensar</w:t>
      </w:r>
    </w:p>
    <w:p w14:paraId="5506405E" w14:textId="77777777" w:rsidR="007968EC" w:rsidRPr="00397BCE" w:rsidRDefault="007968EC" w:rsidP="007968EC">
      <w:pPr>
        <w:jc w:val="both"/>
        <w:rPr>
          <w:rFonts w:ascii="Arial Narrow" w:eastAsia="Calibri" w:hAnsi="Arial Narrow"/>
          <w:b/>
          <w:color w:val="000000" w:themeColor="text1"/>
        </w:rPr>
      </w:pPr>
    </w:p>
    <w:p w14:paraId="6BE02738"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A continuación, se realiza el cálculo del número de spreads entre cada par de Activos Subyacentes utilizando las deltas para formar 1 spread, previstas para cada pareja de subyacente en el artículo 2.5.1.4. de la Circular Única de la Cámara.</w:t>
      </w:r>
    </w:p>
    <w:p w14:paraId="114D7DB7" w14:textId="77777777" w:rsidR="007968EC" w:rsidRPr="00397BCE" w:rsidRDefault="007968EC" w:rsidP="007968EC">
      <w:pPr>
        <w:jc w:val="both"/>
        <w:rPr>
          <w:rFonts w:ascii="Arial Narrow" w:eastAsia="Calibri" w:hAnsi="Arial Narrow"/>
          <w:b/>
          <w:color w:val="000000" w:themeColor="text1"/>
        </w:rPr>
      </w:pPr>
    </w:p>
    <w:p w14:paraId="64DC9E62"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Para ello, se aplicará la siguiente fórmula:</w:t>
      </w:r>
    </w:p>
    <w:p w14:paraId="7EB50BAF" w14:textId="77777777" w:rsidR="007968EC" w:rsidRPr="00397BCE" w:rsidRDefault="007968EC" w:rsidP="007968EC">
      <w:pPr>
        <w:jc w:val="both"/>
        <w:rPr>
          <w:rFonts w:ascii="Arial Narrow" w:eastAsia="Calibri" w:hAnsi="Arial Narrow"/>
          <w:b/>
          <w:color w:val="000000" w:themeColor="text1"/>
        </w:rPr>
      </w:pPr>
    </w:p>
    <w:p w14:paraId="028E42F9"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Número de spreads a utilizar = Mínimo valor absoluto {delta Grupo A/delta de 1 spread Grupo A; delta Grupo B / delta de 1 spread Grupo B}</w:t>
      </w:r>
    </w:p>
    <w:p w14:paraId="26ABEA74" w14:textId="77777777" w:rsidR="007968EC" w:rsidRPr="00397BCE" w:rsidRDefault="007968EC" w:rsidP="007968EC">
      <w:pPr>
        <w:jc w:val="both"/>
        <w:rPr>
          <w:rFonts w:ascii="Arial Narrow" w:eastAsia="Calibri" w:hAnsi="Arial Narrow"/>
          <w:b/>
          <w:color w:val="000000" w:themeColor="text1"/>
        </w:rPr>
      </w:pPr>
    </w:p>
    <w:p w14:paraId="2C4E2D20" w14:textId="77777777" w:rsidR="007968EC" w:rsidRPr="002C0D19" w:rsidRDefault="007968EC" w:rsidP="00DA7472">
      <w:pPr>
        <w:numPr>
          <w:ilvl w:val="0"/>
          <w:numId w:val="211"/>
        </w:numPr>
        <w:autoSpaceDE w:val="0"/>
        <w:autoSpaceDN w:val="0"/>
        <w:adjustRightInd w:val="0"/>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Obtención de la delta consumida y la delta no consumida en la compensación</w:t>
      </w:r>
    </w:p>
    <w:p w14:paraId="4E25EBF5" w14:textId="77777777" w:rsidR="007968EC" w:rsidRPr="00397BCE" w:rsidRDefault="007968EC" w:rsidP="007968EC">
      <w:pPr>
        <w:jc w:val="both"/>
        <w:rPr>
          <w:rFonts w:ascii="Arial Narrow" w:eastAsia="Calibri" w:hAnsi="Arial Narrow"/>
          <w:b/>
          <w:color w:val="000000" w:themeColor="text1"/>
        </w:rPr>
      </w:pPr>
    </w:p>
    <w:p w14:paraId="1FD9ECD9"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La delta consumida y no consumida en spreads para cada Activo Subyacente será igual a:</w:t>
      </w:r>
    </w:p>
    <w:p w14:paraId="06600851"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p>
    <w:p w14:paraId="2D2BC9D8"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 xml:space="preserve">Delta consumida en spreads = </w:t>
      </w:r>
      <w:proofErr w:type="spellStart"/>
      <w:r w:rsidRPr="002C0D19">
        <w:rPr>
          <w:rFonts w:ascii="Arial Narrow" w:eastAsia="Calibri" w:hAnsi="Arial Narrow"/>
          <w:color w:val="000000" w:themeColor="text1"/>
        </w:rPr>
        <w:t>Nº</w:t>
      </w:r>
      <w:proofErr w:type="spellEnd"/>
      <w:r w:rsidRPr="002C0D19">
        <w:rPr>
          <w:rFonts w:ascii="Arial Narrow" w:eastAsia="Calibri" w:hAnsi="Arial Narrow"/>
          <w:color w:val="000000" w:themeColor="text1"/>
        </w:rPr>
        <w:t xml:space="preserve"> de spreads x delta para 1 spread x signo delta</w:t>
      </w:r>
    </w:p>
    <w:p w14:paraId="03EB22B6"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Delta no consumida en spreads = Delta a aplicar – Delta consumida en spreads</w:t>
      </w:r>
    </w:p>
    <w:p w14:paraId="6E9F5F47" w14:textId="77777777" w:rsidR="007968EC" w:rsidRPr="00397BCE" w:rsidRDefault="007968EC" w:rsidP="007968EC">
      <w:pPr>
        <w:jc w:val="both"/>
        <w:rPr>
          <w:rFonts w:ascii="Arial Narrow" w:eastAsia="Calibri" w:hAnsi="Arial Narrow"/>
          <w:b/>
          <w:color w:val="000000" w:themeColor="text1"/>
        </w:rPr>
      </w:pPr>
    </w:p>
    <w:p w14:paraId="73172BB7" w14:textId="77777777" w:rsidR="007968EC" w:rsidRPr="002C0D19" w:rsidRDefault="007968EC" w:rsidP="00DA7472">
      <w:pPr>
        <w:numPr>
          <w:ilvl w:val="0"/>
          <w:numId w:val="211"/>
        </w:numPr>
        <w:autoSpaceDE w:val="0"/>
        <w:autoSpaceDN w:val="0"/>
        <w:adjustRightInd w:val="0"/>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Repetición del paso anterior hasta que no haya compensación posible</w:t>
      </w:r>
    </w:p>
    <w:p w14:paraId="5AF4EE4F" w14:textId="77777777" w:rsidR="007968EC" w:rsidRPr="00397BCE" w:rsidRDefault="007968EC" w:rsidP="007968EC">
      <w:pPr>
        <w:jc w:val="both"/>
        <w:rPr>
          <w:rFonts w:ascii="Arial Narrow" w:eastAsia="Calibri" w:hAnsi="Arial Narrow"/>
          <w:b/>
          <w:color w:val="000000" w:themeColor="text1"/>
        </w:rPr>
      </w:pPr>
    </w:p>
    <w:p w14:paraId="01673D05"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lastRenderedPageBreak/>
        <w:t>Se procede con la siguiente combinación de subyacentes a compensar y se repite este proceso hasta que no exista ninguna combinación de subyacentes por ser compensados.</w:t>
      </w:r>
    </w:p>
    <w:p w14:paraId="709CA701" w14:textId="77777777" w:rsidR="007968EC" w:rsidRPr="00397BCE" w:rsidRDefault="007968EC" w:rsidP="007968EC">
      <w:pPr>
        <w:jc w:val="both"/>
        <w:rPr>
          <w:rFonts w:ascii="Arial Narrow" w:eastAsia="Calibri" w:hAnsi="Arial Narrow"/>
          <w:b/>
          <w:color w:val="000000" w:themeColor="text1"/>
        </w:rPr>
      </w:pPr>
    </w:p>
    <w:p w14:paraId="44BFC86D" w14:textId="77777777" w:rsidR="007968EC" w:rsidRPr="002C0D19" w:rsidRDefault="007968EC" w:rsidP="00DA7472">
      <w:pPr>
        <w:numPr>
          <w:ilvl w:val="0"/>
          <w:numId w:val="211"/>
        </w:numPr>
        <w:autoSpaceDE w:val="0"/>
        <w:autoSpaceDN w:val="0"/>
        <w:adjustRightInd w:val="0"/>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Cálculo del descuento por spreads obtenido en las compensaciones</w:t>
      </w:r>
    </w:p>
    <w:p w14:paraId="0C78D4BE" w14:textId="77777777" w:rsidR="007968EC" w:rsidRPr="00397BCE" w:rsidRDefault="007968EC" w:rsidP="007968EC">
      <w:pPr>
        <w:jc w:val="both"/>
        <w:rPr>
          <w:rFonts w:ascii="Arial Narrow" w:eastAsia="Calibri" w:hAnsi="Arial Narrow"/>
          <w:b/>
          <w:color w:val="000000" w:themeColor="text1"/>
        </w:rPr>
      </w:pPr>
    </w:p>
    <w:p w14:paraId="12863A05"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A continuación, por cada delta consumida en spreads, se calcula el importe a descontar de la Garantía Grupo, en función del parámetro Crédito sobre garantías previsto en el artículo 2.5.1.4. de la Circular Única de la Cámara.</w:t>
      </w:r>
    </w:p>
    <w:p w14:paraId="426C7FBF" w14:textId="77777777" w:rsidR="007968EC" w:rsidRPr="00397BCE" w:rsidRDefault="007968EC" w:rsidP="007968EC">
      <w:pPr>
        <w:jc w:val="both"/>
        <w:rPr>
          <w:rFonts w:ascii="Arial Narrow" w:eastAsia="Calibri" w:hAnsi="Arial Narrow"/>
          <w:b/>
          <w:color w:val="000000" w:themeColor="text1"/>
        </w:rPr>
      </w:pPr>
    </w:p>
    <w:p w14:paraId="576DA97D"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Descuento por delta = Crédito sobre garantías x garantía por 1 delta</w:t>
      </w:r>
    </w:p>
    <w:p w14:paraId="250BF7DA" w14:textId="77777777" w:rsidR="007968EC" w:rsidRPr="00397BCE" w:rsidRDefault="007968EC" w:rsidP="007968EC">
      <w:pPr>
        <w:jc w:val="both"/>
        <w:rPr>
          <w:rFonts w:ascii="Arial Narrow" w:eastAsia="Calibri" w:hAnsi="Arial Narrow"/>
          <w:b/>
          <w:color w:val="000000" w:themeColor="text1"/>
        </w:rPr>
      </w:pPr>
    </w:p>
    <w:p w14:paraId="57303F0F"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Finalmente, el descuento por spreads se obtendrá aplicando la siguiente fórmula:</w:t>
      </w:r>
    </w:p>
    <w:p w14:paraId="70F00C9F" w14:textId="77777777" w:rsidR="007968EC" w:rsidRPr="00397BCE" w:rsidRDefault="007968EC" w:rsidP="007968EC">
      <w:pPr>
        <w:jc w:val="both"/>
        <w:rPr>
          <w:rFonts w:ascii="Arial Narrow" w:eastAsia="Calibri" w:hAnsi="Arial Narrow"/>
          <w:b/>
          <w:color w:val="000000" w:themeColor="text1"/>
        </w:rPr>
      </w:pPr>
    </w:p>
    <w:p w14:paraId="4421185D"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DESCUENTO por spreads = Delta consumida en spreads * Signo delta * Descuento por delta</w:t>
      </w:r>
    </w:p>
    <w:p w14:paraId="44B07124" w14:textId="77777777" w:rsidR="007968EC" w:rsidRPr="00397BCE" w:rsidRDefault="007968EC" w:rsidP="007968EC">
      <w:pPr>
        <w:jc w:val="both"/>
        <w:rPr>
          <w:rFonts w:ascii="Arial Narrow" w:eastAsia="Calibri" w:hAnsi="Arial Narrow"/>
          <w:b/>
          <w:color w:val="000000" w:themeColor="text1"/>
        </w:rPr>
      </w:pPr>
    </w:p>
    <w:p w14:paraId="3FF14540" w14:textId="77777777" w:rsidR="007968EC" w:rsidRPr="002C0D19" w:rsidRDefault="007968EC" w:rsidP="00DA7472">
      <w:pPr>
        <w:numPr>
          <w:ilvl w:val="0"/>
          <w:numId w:val="211"/>
        </w:numPr>
        <w:tabs>
          <w:tab w:val="left" w:pos="993"/>
        </w:tabs>
        <w:autoSpaceDE w:val="0"/>
        <w:autoSpaceDN w:val="0"/>
        <w:adjustRightInd w:val="0"/>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Cálculo de la Garantía por Posición final por cada Grupo de Compensación</w:t>
      </w:r>
    </w:p>
    <w:p w14:paraId="25FA738E" w14:textId="77777777" w:rsidR="007968EC" w:rsidRPr="00397BCE" w:rsidRDefault="007968EC" w:rsidP="007968EC">
      <w:pPr>
        <w:jc w:val="both"/>
        <w:rPr>
          <w:rFonts w:ascii="Arial Narrow" w:eastAsia="Calibri" w:hAnsi="Arial Narrow"/>
          <w:b/>
          <w:color w:val="000000" w:themeColor="text1"/>
        </w:rPr>
      </w:pPr>
    </w:p>
    <w:p w14:paraId="142FD71F"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Los descuentos obtenidos se restan de la garantía grupo, obteniéndose una Garantía por Posición final por cada Grupo de Compensación.</w:t>
      </w:r>
    </w:p>
    <w:p w14:paraId="0A5C6D26"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p>
    <w:p w14:paraId="16D3F6B7" w14:textId="77777777" w:rsidR="007968EC" w:rsidRPr="002C0D19" w:rsidRDefault="007968EC" w:rsidP="00DA7472">
      <w:pPr>
        <w:numPr>
          <w:ilvl w:val="0"/>
          <w:numId w:val="210"/>
        </w:numPr>
        <w:autoSpaceDE w:val="0"/>
        <w:autoSpaceDN w:val="0"/>
        <w:adjustRightInd w:val="0"/>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Ajuste diario de Garantías para Contratos de Futuros cuyo Tipo de Liquidación incluya</w:t>
      </w:r>
      <w:r w:rsidRPr="002C0D19">
        <w:rPr>
          <w:rFonts w:ascii="Arial Narrow" w:eastAsia="Calibri" w:hAnsi="Arial Narrow"/>
          <w:b/>
          <w:color w:val="000000" w:themeColor="text1"/>
        </w:rPr>
        <w:t xml:space="preserve"> </w:t>
      </w:r>
      <w:r w:rsidRPr="002C0D19">
        <w:rPr>
          <w:rFonts w:ascii="Arial Narrow" w:eastAsia="Calibri" w:hAnsi="Arial Narrow"/>
          <w:color w:val="000000" w:themeColor="text1"/>
        </w:rPr>
        <w:t xml:space="preserve">Liquidación Únicamente al Vencimiento  </w:t>
      </w:r>
    </w:p>
    <w:p w14:paraId="5CAC8EE3" w14:textId="77777777" w:rsidR="007968EC" w:rsidRPr="00397BCE" w:rsidRDefault="007968EC" w:rsidP="007968EC">
      <w:pPr>
        <w:jc w:val="both"/>
        <w:rPr>
          <w:rFonts w:ascii="Arial Narrow" w:eastAsia="Calibri" w:hAnsi="Arial Narrow"/>
          <w:b/>
          <w:color w:val="000000" w:themeColor="text1"/>
        </w:rPr>
      </w:pPr>
    </w:p>
    <w:p w14:paraId="62F29472" w14:textId="77777777" w:rsidR="007968EC" w:rsidRPr="002C0D19" w:rsidRDefault="007968EC" w:rsidP="007968EC">
      <w:pPr>
        <w:autoSpaceDE w:val="0"/>
        <w:autoSpaceDN w:val="0"/>
        <w:adjustRightInd w:val="0"/>
        <w:jc w:val="both"/>
        <w:rPr>
          <w:rFonts w:ascii="Arial Narrow" w:eastAsia="Calibri" w:hAnsi="Arial Narrow" w:cs="Arial Narrow"/>
          <w:color w:val="000000" w:themeColor="text1"/>
          <w:lang w:eastAsia="es-CO"/>
        </w:rPr>
      </w:pPr>
      <w:r w:rsidRPr="002C0D19">
        <w:rPr>
          <w:rFonts w:ascii="Arial Narrow" w:eastAsia="Calibri" w:hAnsi="Arial Narrow" w:cs="Arial Narrow"/>
          <w:color w:val="000000" w:themeColor="text1"/>
          <w:lang w:eastAsia="es-CO"/>
        </w:rPr>
        <w:t>Las Posiciones Abiertas en Contratos de Futuros serán valoradas diariamente al final de la Sesión de Cierre al correspondiente al Precio de Liquidación para Contratos provisto por el Proveedor Oficial de Precios para Valoración, así:</w:t>
      </w:r>
    </w:p>
    <w:p w14:paraId="0F35CE88" w14:textId="77777777" w:rsidR="007968EC" w:rsidRPr="00397BCE" w:rsidRDefault="007968EC" w:rsidP="007968EC">
      <w:pPr>
        <w:jc w:val="both"/>
        <w:rPr>
          <w:rFonts w:ascii="Arial Narrow" w:eastAsia="Calibri" w:hAnsi="Arial Narrow"/>
          <w:b/>
          <w:color w:val="000000" w:themeColor="text1"/>
        </w:rPr>
      </w:pPr>
    </w:p>
    <w:p w14:paraId="1E40E736" w14:textId="77777777" w:rsidR="007968EC" w:rsidRPr="002C0D19" w:rsidRDefault="007968EC" w:rsidP="007968EC">
      <w:pPr>
        <w:autoSpaceDE w:val="0"/>
        <w:autoSpaceDN w:val="0"/>
        <w:adjustRightInd w:val="0"/>
        <w:jc w:val="both"/>
        <w:rPr>
          <w:rFonts w:ascii="Arial Narrow" w:eastAsia="Calibri" w:hAnsi="Arial Narrow" w:cs="Cambria Math"/>
          <w:color w:val="000000" w:themeColor="text1"/>
          <w:lang w:eastAsia="es-CO"/>
        </w:rPr>
      </w:pPr>
      <w:r w:rsidRPr="002C0D19">
        <w:rPr>
          <w:rFonts w:ascii="Arial Narrow" w:eastAsia="Calibri" w:hAnsi="Arial Narrow" w:cs="Cambria Math"/>
          <w:color w:val="000000" w:themeColor="text1"/>
          <w:lang w:eastAsia="es-CO"/>
        </w:rPr>
        <w:t>Ajuste Diario de Garantías = (</w:t>
      </w:r>
      <w:r w:rsidRPr="002C0D19">
        <w:rPr>
          <w:rFonts w:ascii="Cambria Math" w:eastAsia="Calibri" w:hAnsi="Cambria Math" w:cs="Cambria Math"/>
          <w:color w:val="000000" w:themeColor="text1"/>
          <w:lang w:eastAsia="es-CO"/>
        </w:rPr>
        <w:t>𝑷𝑳𝒕</w:t>
      </w:r>
      <w:r w:rsidRPr="002C0D19">
        <w:rPr>
          <w:rFonts w:ascii="Arial Narrow" w:eastAsia="Calibri" w:hAnsi="Arial Narrow" w:cs="Cambria Math"/>
          <w:color w:val="000000" w:themeColor="text1"/>
          <w:lang w:eastAsia="es-CO"/>
        </w:rPr>
        <w:t xml:space="preserve"> − </w:t>
      </w:r>
      <w:r w:rsidRPr="002C0D19">
        <w:rPr>
          <w:rFonts w:ascii="Cambria Math" w:eastAsia="Calibri" w:hAnsi="Cambria Math" w:cs="Cambria Math"/>
          <w:color w:val="000000" w:themeColor="text1"/>
          <w:lang w:eastAsia="es-CO"/>
        </w:rPr>
        <w:t>𝑷</w:t>
      </w:r>
      <w:r w:rsidRPr="002C0D19">
        <w:rPr>
          <w:rFonts w:ascii="Arial Narrow" w:eastAsia="Calibri" w:hAnsi="Arial Narrow" w:cs="Cambria Math"/>
          <w:i/>
          <w:color w:val="000000" w:themeColor="text1"/>
          <w:lang w:eastAsia="es-CO"/>
        </w:rPr>
        <w:t>N</w:t>
      </w:r>
      <w:r w:rsidRPr="002C0D19">
        <w:rPr>
          <w:rFonts w:ascii="Arial Narrow" w:eastAsia="Calibri" w:hAnsi="Arial Narrow" w:cs="Cambria Math"/>
          <w:color w:val="000000" w:themeColor="text1"/>
          <w:lang w:eastAsia="es-CO"/>
        </w:rPr>
        <w:t xml:space="preserve">) × </w:t>
      </w:r>
      <w:r w:rsidRPr="002C0D19">
        <w:rPr>
          <w:rFonts w:ascii="Cambria Math" w:eastAsia="Calibri" w:hAnsi="Cambria Math" w:cs="Cambria Math"/>
          <w:color w:val="000000" w:themeColor="text1"/>
          <w:lang w:eastAsia="es-CO"/>
        </w:rPr>
        <w:t>𝒎</w:t>
      </w:r>
      <w:r w:rsidRPr="002C0D19">
        <w:rPr>
          <w:rFonts w:ascii="Arial Narrow" w:eastAsia="Calibri" w:hAnsi="Arial Narrow" w:cs="Cambria Math"/>
          <w:color w:val="000000" w:themeColor="text1"/>
          <w:lang w:eastAsia="es-CO"/>
        </w:rPr>
        <w:t xml:space="preserve"> × </w:t>
      </w:r>
      <w:r w:rsidRPr="002C0D19">
        <w:rPr>
          <w:rFonts w:ascii="Cambria Math" w:eastAsia="Calibri" w:hAnsi="Cambria Math" w:cs="Cambria Math"/>
          <w:color w:val="000000" w:themeColor="text1"/>
          <w:lang w:eastAsia="es-CO"/>
        </w:rPr>
        <w:t>𝑸</w:t>
      </w:r>
    </w:p>
    <w:p w14:paraId="3AF2D81C" w14:textId="77777777" w:rsidR="007968EC" w:rsidRPr="00397BCE" w:rsidRDefault="007968EC" w:rsidP="007968EC">
      <w:pPr>
        <w:jc w:val="both"/>
        <w:rPr>
          <w:rFonts w:ascii="Arial Narrow" w:eastAsia="Calibri" w:hAnsi="Arial Narrow"/>
          <w:b/>
          <w:color w:val="000000" w:themeColor="text1"/>
        </w:rPr>
      </w:pPr>
    </w:p>
    <w:p w14:paraId="11598DAE"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Donde:</w:t>
      </w:r>
    </w:p>
    <w:p w14:paraId="339D0814" w14:textId="77777777" w:rsidR="007968EC" w:rsidRPr="00397BCE" w:rsidRDefault="007968EC" w:rsidP="007968EC">
      <w:pPr>
        <w:jc w:val="both"/>
        <w:rPr>
          <w:rFonts w:ascii="Arial Narrow" w:eastAsia="Calibri" w:hAnsi="Arial Narrow"/>
          <w:b/>
          <w:color w:val="000000" w:themeColor="text1"/>
        </w:rPr>
      </w:pPr>
    </w:p>
    <w:p w14:paraId="2A4BC620" w14:textId="77777777" w:rsidR="007968EC" w:rsidRPr="002C0D19" w:rsidRDefault="007968EC" w:rsidP="007968EC">
      <w:pPr>
        <w:autoSpaceDE w:val="0"/>
        <w:autoSpaceDN w:val="0"/>
        <w:adjustRightInd w:val="0"/>
        <w:jc w:val="both"/>
        <w:rPr>
          <w:rFonts w:ascii="Arial Narrow" w:eastAsia="Calibri" w:hAnsi="Arial Narrow" w:cs="Arial Narrow"/>
          <w:color w:val="000000" w:themeColor="text1"/>
          <w:lang w:eastAsia="es-CO"/>
        </w:rPr>
      </w:pPr>
      <w:r w:rsidRPr="002C0D19">
        <w:rPr>
          <w:rFonts w:ascii="Cambria Math" w:eastAsia="Calibri" w:hAnsi="Cambria Math" w:cs="Cambria Math"/>
          <w:color w:val="000000" w:themeColor="text1"/>
          <w:lang w:eastAsia="es-CO"/>
        </w:rPr>
        <w:t>𝑷</w:t>
      </w:r>
      <w:r w:rsidRPr="002C0D19">
        <w:rPr>
          <w:rFonts w:ascii="Arial Narrow" w:eastAsia="Calibri" w:hAnsi="Arial Narrow" w:cs="Cambria Math"/>
          <w:i/>
          <w:color w:val="000000" w:themeColor="text1"/>
          <w:lang w:eastAsia="es-CO"/>
        </w:rPr>
        <w:t>N</w:t>
      </w:r>
      <w:r w:rsidRPr="002C0D19">
        <w:rPr>
          <w:rFonts w:ascii="Arial Narrow" w:eastAsia="Calibri" w:hAnsi="Arial Narrow" w:cs="Cambria Math"/>
          <w:color w:val="000000" w:themeColor="text1"/>
          <w:lang w:eastAsia="es-CO"/>
        </w:rPr>
        <w:t xml:space="preserve"> = </w:t>
      </w:r>
      <w:r w:rsidRPr="002C0D19">
        <w:rPr>
          <w:rFonts w:ascii="Arial Narrow" w:eastAsia="Calibri" w:hAnsi="Arial Narrow" w:cs="Arial Narrow"/>
          <w:color w:val="000000" w:themeColor="text1"/>
          <w:lang w:eastAsia="es-CO"/>
        </w:rPr>
        <w:t>Precio de Negociación</w:t>
      </w:r>
    </w:p>
    <w:p w14:paraId="37FC91D1" w14:textId="77777777" w:rsidR="007968EC" w:rsidRPr="002C0D19" w:rsidRDefault="007968EC" w:rsidP="007968EC">
      <w:pPr>
        <w:autoSpaceDE w:val="0"/>
        <w:autoSpaceDN w:val="0"/>
        <w:adjustRightInd w:val="0"/>
        <w:jc w:val="both"/>
        <w:rPr>
          <w:rFonts w:ascii="Arial Narrow" w:eastAsia="Calibri" w:hAnsi="Arial Narrow" w:cs="Arial Narrow"/>
          <w:color w:val="000000" w:themeColor="text1"/>
          <w:lang w:eastAsia="es-CO"/>
        </w:rPr>
      </w:pPr>
      <w:r w:rsidRPr="002C0D19">
        <w:rPr>
          <w:rFonts w:ascii="Cambria Math" w:eastAsia="Calibri" w:hAnsi="Cambria Math" w:cs="Cambria Math"/>
          <w:color w:val="000000" w:themeColor="text1"/>
          <w:lang w:eastAsia="es-CO"/>
        </w:rPr>
        <w:t>𝑷𝑳𝒕</w:t>
      </w:r>
      <w:r w:rsidRPr="002C0D19">
        <w:rPr>
          <w:rFonts w:ascii="Arial Narrow" w:eastAsia="Calibri" w:hAnsi="Arial Narrow" w:cs="Cambria Math"/>
          <w:color w:val="000000" w:themeColor="text1"/>
          <w:lang w:eastAsia="es-CO"/>
        </w:rPr>
        <w:t xml:space="preserve"> = </w:t>
      </w:r>
      <w:r w:rsidRPr="002C0D19">
        <w:rPr>
          <w:rFonts w:ascii="Arial Narrow" w:eastAsia="Calibri" w:hAnsi="Arial Narrow" w:cs="Arial Narrow"/>
          <w:color w:val="000000" w:themeColor="text1"/>
          <w:lang w:eastAsia="es-CO"/>
        </w:rPr>
        <w:t>Precio de Liquidación para Contratos</w:t>
      </w:r>
    </w:p>
    <w:p w14:paraId="6F72D0BF" w14:textId="77777777" w:rsidR="007968EC" w:rsidRPr="002C0D19" w:rsidRDefault="007968EC" w:rsidP="007968EC">
      <w:pPr>
        <w:autoSpaceDE w:val="0"/>
        <w:autoSpaceDN w:val="0"/>
        <w:adjustRightInd w:val="0"/>
        <w:jc w:val="both"/>
        <w:rPr>
          <w:rFonts w:ascii="Arial Narrow" w:eastAsia="Calibri" w:hAnsi="Arial Narrow" w:cs="Arial Narrow"/>
          <w:color w:val="000000" w:themeColor="text1"/>
          <w:lang w:eastAsia="es-CO"/>
        </w:rPr>
      </w:pPr>
      <w:r w:rsidRPr="002C0D19">
        <w:rPr>
          <w:rFonts w:ascii="Cambria Math" w:eastAsia="Calibri" w:hAnsi="Cambria Math" w:cs="Cambria Math"/>
          <w:color w:val="000000" w:themeColor="text1"/>
          <w:lang w:eastAsia="es-CO"/>
        </w:rPr>
        <w:t>𝒎</w:t>
      </w:r>
      <w:r w:rsidRPr="002C0D19">
        <w:rPr>
          <w:rFonts w:ascii="Arial Narrow" w:eastAsia="Calibri" w:hAnsi="Arial Narrow" w:cs="Cambria Math"/>
          <w:color w:val="000000" w:themeColor="text1"/>
          <w:lang w:eastAsia="es-CO"/>
        </w:rPr>
        <w:t xml:space="preserve"> = </w:t>
      </w:r>
      <w:r w:rsidRPr="002C0D19">
        <w:rPr>
          <w:rFonts w:ascii="Arial Narrow" w:eastAsia="Calibri" w:hAnsi="Arial Narrow" w:cs="Arial Narrow"/>
          <w:color w:val="000000" w:themeColor="text1"/>
          <w:lang w:eastAsia="es-CO"/>
        </w:rPr>
        <w:t>Multiplicador del contrato</w:t>
      </w:r>
    </w:p>
    <w:p w14:paraId="22BF16B7" w14:textId="77777777" w:rsidR="007968EC" w:rsidRPr="002C0D19" w:rsidRDefault="007968EC" w:rsidP="007968EC">
      <w:pPr>
        <w:autoSpaceDE w:val="0"/>
        <w:autoSpaceDN w:val="0"/>
        <w:adjustRightInd w:val="0"/>
        <w:jc w:val="both"/>
        <w:rPr>
          <w:rFonts w:ascii="Arial Narrow" w:eastAsia="Calibri" w:hAnsi="Arial Narrow" w:cs="Arial Narrow"/>
          <w:color w:val="000000" w:themeColor="text1"/>
          <w:lang w:eastAsia="es-CO"/>
        </w:rPr>
      </w:pPr>
      <w:r w:rsidRPr="002C0D19">
        <w:rPr>
          <w:rFonts w:ascii="Cambria Math" w:eastAsia="Calibri" w:hAnsi="Cambria Math" w:cs="Cambria Math"/>
          <w:color w:val="000000" w:themeColor="text1"/>
          <w:lang w:eastAsia="es-CO"/>
        </w:rPr>
        <w:t>𝑸</w:t>
      </w:r>
      <w:r w:rsidRPr="002C0D19">
        <w:rPr>
          <w:rFonts w:ascii="Arial Narrow" w:eastAsia="Calibri" w:hAnsi="Arial Narrow" w:cs="Cambria Math"/>
          <w:color w:val="000000" w:themeColor="text1"/>
          <w:lang w:eastAsia="es-CO"/>
        </w:rPr>
        <w:t xml:space="preserve"> = </w:t>
      </w:r>
      <w:r w:rsidRPr="002C0D19">
        <w:rPr>
          <w:rFonts w:ascii="Arial Narrow" w:eastAsia="Calibri" w:hAnsi="Arial Narrow" w:cs="Arial Narrow"/>
          <w:color w:val="000000" w:themeColor="text1"/>
          <w:lang w:eastAsia="es-CO"/>
        </w:rPr>
        <w:t>Cantidad de Contratos que llevará signo positivo en el caso de los Contratos comprados y negativo en el caso de los Contratos vendidos.</w:t>
      </w:r>
    </w:p>
    <w:p w14:paraId="17D7308B" w14:textId="77777777" w:rsidR="007968EC" w:rsidRPr="00397BCE" w:rsidRDefault="007968EC" w:rsidP="007968EC">
      <w:pPr>
        <w:jc w:val="both"/>
        <w:rPr>
          <w:rFonts w:ascii="Arial Narrow" w:eastAsia="Calibri" w:hAnsi="Arial Narrow"/>
          <w:b/>
          <w:color w:val="000000" w:themeColor="text1"/>
        </w:rPr>
      </w:pPr>
    </w:p>
    <w:p w14:paraId="356DF19B"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En el evento en que el valor del ajuste sea positivo, el titular de la Cuenta tendrá derecho a que la exigencia de Garantías a nivel del titular de Cuenta presente una disminución, en caso contrario, éste deberá entregar a la Cámara dicho valor bajo el concepto de Garantías por Posición, en la Sesión de Liquidación Diaria del día hábil siguiente.</w:t>
      </w:r>
    </w:p>
    <w:p w14:paraId="55DA881F" w14:textId="77777777" w:rsidR="007968EC" w:rsidRPr="002C0D19" w:rsidRDefault="007968EC" w:rsidP="007968EC">
      <w:pPr>
        <w:jc w:val="both"/>
        <w:rPr>
          <w:rFonts w:ascii="Arial Narrow" w:eastAsia="Calibri" w:hAnsi="Arial Narrow"/>
          <w:b/>
          <w:color w:val="000000" w:themeColor="text1"/>
        </w:rPr>
      </w:pPr>
    </w:p>
    <w:p w14:paraId="3BA4EBAC" w14:textId="77777777" w:rsidR="007968EC" w:rsidRPr="002C0D19" w:rsidRDefault="007968EC" w:rsidP="00DA7472">
      <w:pPr>
        <w:numPr>
          <w:ilvl w:val="0"/>
          <w:numId w:val="210"/>
        </w:numPr>
        <w:autoSpaceDE w:val="0"/>
        <w:autoSpaceDN w:val="0"/>
        <w:adjustRightInd w:val="0"/>
        <w:ind w:left="426" w:hanging="426"/>
        <w:jc w:val="both"/>
        <w:rPr>
          <w:rFonts w:ascii="Arial Narrow" w:eastAsia="Calibri" w:hAnsi="Arial Narrow"/>
          <w:color w:val="000000" w:themeColor="text1"/>
        </w:rPr>
      </w:pPr>
      <w:r w:rsidRPr="002C0D19">
        <w:rPr>
          <w:rFonts w:ascii="Arial Narrow" w:eastAsia="Calibri" w:hAnsi="Arial Narrow"/>
          <w:color w:val="000000" w:themeColor="text1"/>
        </w:rPr>
        <w:lastRenderedPageBreak/>
        <w:t xml:space="preserve"> Ajuste diario de Garantías para Operaciones sobre Instrumentos Financieros Derivados No Estandarizados cuyo Tipo de Liquidación incluya </w:t>
      </w:r>
      <w:r w:rsidRPr="002C0D19">
        <w:rPr>
          <w:rFonts w:ascii="Arial Narrow" w:eastAsia="Calibri" w:hAnsi="Arial Narrow"/>
          <w:bCs/>
          <w:color w:val="000000" w:themeColor="text1"/>
        </w:rPr>
        <w:t xml:space="preserve">Liquidación únicamente </w:t>
      </w:r>
      <w:r w:rsidRPr="002C0D19">
        <w:rPr>
          <w:rFonts w:ascii="Arial Narrow" w:eastAsia="Calibri" w:hAnsi="Arial Narrow"/>
          <w:color w:val="000000" w:themeColor="text1"/>
        </w:rPr>
        <w:t xml:space="preserve">al Vencimiento  </w:t>
      </w:r>
    </w:p>
    <w:p w14:paraId="40F1FA3B" w14:textId="77777777" w:rsidR="007968EC" w:rsidRPr="00397BCE" w:rsidRDefault="007968EC" w:rsidP="007968EC">
      <w:pPr>
        <w:jc w:val="both"/>
        <w:rPr>
          <w:rFonts w:ascii="Arial Narrow" w:eastAsia="Calibri" w:hAnsi="Arial Narrow"/>
          <w:b/>
          <w:color w:val="000000" w:themeColor="text1"/>
        </w:rPr>
      </w:pPr>
    </w:p>
    <w:p w14:paraId="1E196D9F" w14:textId="77777777" w:rsidR="007968EC" w:rsidRPr="002C0D19" w:rsidRDefault="007968EC" w:rsidP="007968EC">
      <w:pPr>
        <w:autoSpaceDE w:val="0"/>
        <w:autoSpaceDN w:val="0"/>
        <w:adjustRightInd w:val="0"/>
        <w:jc w:val="both"/>
        <w:rPr>
          <w:rFonts w:ascii="Arial Narrow" w:eastAsia="Calibri" w:hAnsi="Arial Narrow" w:cs="Arial Narrow,Bold"/>
          <w:b/>
          <w:bCs/>
          <w:color w:val="000000" w:themeColor="text1"/>
          <w:lang w:eastAsia="es-CO"/>
        </w:rPr>
      </w:pPr>
      <w:r w:rsidRPr="002C0D19">
        <w:rPr>
          <w:rFonts w:ascii="Arial Narrow" w:eastAsia="Calibri" w:hAnsi="Arial Narrow" w:cs="Arial Narrow"/>
          <w:color w:val="000000" w:themeColor="text1"/>
          <w:lang w:eastAsia="es-CO"/>
        </w:rPr>
        <w:t>Las Posiciones Abiertas en Operaciones sobre Instrumentos Financieros Derivados No Estandarizados serán valoradas diariamente al final de la Sesión de Cierre al Precio de Valoración de Cierre entregado por el Proveedor Oficial de Precios para Valoración</w:t>
      </w:r>
      <w:r w:rsidRPr="002C0D19">
        <w:rPr>
          <w:rFonts w:ascii="Arial Narrow" w:eastAsia="Calibri" w:hAnsi="Arial Narrow" w:cs="Arial Narrow,Bold"/>
          <w:bCs/>
          <w:color w:val="000000" w:themeColor="text1"/>
          <w:lang w:eastAsia="es-CO"/>
        </w:rPr>
        <w:t xml:space="preserve">. </w:t>
      </w:r>
    </w:p>
    <w:p w14:paraId="508F2B7A" w14:textId="77777777" w:rsidR="007968EC" w:rsidRPr="002C0D19" w:rsidRDefault="007968EC" w:rsidP="007968EC">
      <w:pPr>
        <w:autoSpaceDE w:val="0"/>
        <w:autoSpaceDN w:val="0"/>
        <w:adjustRightInd w:val="0"/>
        <w:jc w:val="both"/>
        <w:rPr>
          <w:rFonts w:ascii="Arial Narrow" w:eastAsia="Calibri" w:hAnsi="Arial Narrow" w:cs="Arial Narrow,Bold"/>
          <w:b/>
          <w:bCs/>
          <w:color w:val="000000" w:themeColor="text1"/>
          <w:lang w:eastAsia="es-CO"/>
        </w:rPr>
      </w:pPr>
    </w:p>
    <w:p w14:paraId="1F83C26F" w14:textId="77777777" w:rsidR="007968EC" w:rsidRPr="002C0D19" w:rsidRDefault="007968EC" w:rsidP="007968EC">
      <w:pPr>
        <w:autoSpaceDE w:val="0"/>
        <w:autoSpaceDN w:val="0"/>
        <w:adjustRightInd w:val="0"/>
        <w:jc w:val="both"/>
        <w:rPr>
          <w:rFonts w:ascii="Arial Narrow" w:eastAsia="Calibri" w:hAnsi="Arial Narrow" w:cs="Arial Narrow"/>
          <w:color w:val="000000" w:themeColor="text1"/>
          <w:lang w:eastAsia="es-CO"/>
        </w:rPr>
      </w:pPr>
      <w:r w:rsidRPr="002C0D19">
        <w:rPr>
          <w:rFonts w:ascii="Arial Narrow" w:eastAsia="Calibri" w:hAnsi="Arial Narrow" w:cs="Arial Narrow"/>
          <w:color w:val="000000" w:themeColor="text1"/>
          <w:lang w:eastAsia="es-CO"/>
        </w:rPr>
        <w:t>El cálculo del ajuste de que trata el presente numeral dependerá del momento en que fue aceptada la Operación y se realizará de acuerdo con la siguiente fórmula:</w:t>
      </w:r>
    </w:p>
    <w:p w14:paraId="1CC6F15F" w14:textId="77777777" w:rsidR="007968EC" w:rsidRPr="00397BCE" w:rsidRDefault="007968EC" w:rsidP="007968EC">
      <w:pPr>
        <w:jc w:val="both"/>
        <w:rPr>
          <w:rFonts w:ascii="Arial Narrow" w:eastAsia="Calibri" w:hAnsi="Arial Narrow"/>
          <w:b/>
          <w:color w:val="000000" w:themeColor="text1"/>
        </w:rPr>
      </w:pPr>
    </w:p>
    <w:p w14:paraId="17268336" w14:textId="77777777" w:rsidR="007968EC" w:rsidRPr="002C0D19" w:rsidRDefault="007968EC" w:rsidP="007968EC">
      <w:pPr>
        <w:autoSpaceDE w:val="0"/>
        <w:autoSpaceDN w:val="0"/>
        <w:adjustRightInd w:val="0"/>
        <w:jc w:val="both"/>
        <w:rPr>
          <w:rFonts w:ascii="Arial Narrow" w:eastAsia="Calibri" w:hAnsi="Arial Narrow" w:cs="Cambria Math"/>
          <w:color w:val="000000" w:themeColor="text1"/>
          <w:lang w:eastAsia="es-CO"/>
        </w:rPr>
      </w:pPr>
      <w:r w:rsidRPr="002C0D19">
        <w:rPr>
          <w:rFonts w:ascii="Arial Narrow" w:eastAsia="Calibri" w:hAnsi="Arial Narrow" w:cs="Cambria Math"/>
          <w:color w:val="000000" w:themeColor="text1"/>
          <w:lang w:eastAsia="es-CO"/>
        </w:rPr>
        <w:t>Ajuste Diario de Garantías = (</w:t>
      </w:r>
      <w:r w:rsidRPr="002C0D19">
        <w:rPr>
          <w:rFonts w:ascii="Cambria Math" w:eastAsia="Calibri" w:hAnsi="Cambria Math" w:cs="Cambria Math"/>
          <w:color w:val="000000" w:themeColor="text1"/>
          <w:lang w:eastAsia="es-CO"/>
        </w:rPr>
        <w:t>𝑷</w:t>
      </w:r>
      <w:r w:rsidRPr="002C0D19">
        <w:rPr>
          <w:rFonts w:ascii="Arial Narrow" w:eastAsia="Calibri" w:hAnsi="Arial Narrow" w:cs="Cambria Math"/>
          <w:i/>
          <w:color w:val="000000" w:themeColor="text1"/>
          <w:lang w:eastAsia="es-CO"/>
        </w:rPr>
        <w:t>V</w:t>
      </w:r>
      <w:r w:rsidRPr="002C0D19">
        <w:rPr>
          <w:rFonts w:ascii="Arial Narrow" w:eastAsia="Calibri" w:hAnsi="Arial Narrow" w:cs="Cambria Math"/>
          <w:color w:val="000000" w:themeColor="text1"/>
          <w:lang w:eastAsia="es-CO"/>
        </w:rPr>
        <w:t xml:space="preserve"> − </w:t>
      </w:r>
      <w:r w:rsidRPr="002C0D19">
        <w:rPr>
          <w:rFonts w:ascii="Cambria Math" w:eastAsia="Calibri" w:hAnsi="Cambria Math" w:cs="Cambria Math"/>
          <w:color w:val="000000" w:themeColor="text1"/>
          <w:lang w:eastAsia="es-CO"/>
        </w:rPr>
        <w:t>𝑷</w:t>
      </w:r>
      <w:r w:rsidRPr="002C0D19">
        <w:rPr>
          <w:rFonts w:ascii="Arial Narrow" w:eastAsia="Calibri" w:hAnsi="Arial Narrow" w:cs="Cambria Math"/>
          <w:i/>
          <w:color w:val="000000" w:themeColor="text1"/>
          <w:lang w:eastAsia="es-CO"/>
        </w:rPr>
        <w:t>N</w:t>
      </w:r>
      <w:r w:rsidRPr="002C0D19">
        <w:rPr>
          <w:rFonts w:ascii="Arial Narrow" w:eastAsia="Calibri" w:hAnsi="Arial Narrow" w:cs="Cambria Math"/>
          <w:color w:val="000000" w:themeColor="text1"/>
          <w:lang w:eastAsia="es-CO"/>
        </w:rPr>
        <w:t xml:space="preserve">) × </w:t>
      </w:r>
      <w:proofErr w:type="spellStart"/>
      <w:r w:rsidRPr="002C0D19">
        <w:rPr>
          <w:rFonts w:ascii="Arial Narrow" w:eastAsia="Calibri" w:hAnsi="Arial Narrow" w:cs="Cambria Math"/>
          <w:color w:val="000000" w:themeColor="text1"/>
          <w:lang w:eastAsia="es-CO"/>
        </w:rPr>
        <w:t>Na</w:t>
      </w:r>
      <w:proofErr w:type="spellEnd"/>
    </w:p>
    <w:p w14:paraId="3B845CD9" w14:textId="77777777" w:rsidR="007968EC" w:rsidRPr="00397BCE" w:rsidRDefault="007968EC" w:rsidP="007968EC">
      <w:pPr>
        <w:jc w:val="both"/>
        <w:rPr>
          <w:rFonts w:ascii="Arial Narrow" w:eastAsia="Calibri" w:hAnsi="Arial Narrow"/>
          <w:b/>
          <w:color w:val="000000" w:themeColor="text1"/>
        </w:rPr>
      </w:pPr>
    </w:p>
    <w:p w14:paraId="5FEACD71"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Donde:</w:t>
      </w:r>
    </w:p>
    <w:p w14:paraId="4DD8555F" w14:textId="77777777" w:rsidR="007968EC" w:rsidRPr="00397BCE" w:rsidRDefault="007968EC" w:rsidP="007968EC">
      <w:pPr>
        <w:jc w:val="both"/>
        <w:rPr>
          <w:rFonts w:ascii="Arial Narrow" w:eastAsia="Calibri" w:hAnsi="Arial Narrow"/>
          <w:b/>
          <w:color w:val="000000" w:themeColor="text1"/>
        </w:rPr>
      </w:pPr>
    </w:p>
    <w:p w14:paraId="7F4FF7DF" w14:textId="77777777" w:rsidR="007968EC" w:rsidRPr="002C0D19" w:rsidRDefault="007968EC" w:rsidP="007968EC">
      <w:pPr>
        <w:autoSpaceDE w:val="0"/>
        <w:autoSpaceDN w:val="0"/>
        <w:adjustRightInd w:val="0"/>
        <w:jc w:val="both"/>
        <w:rPr>
          <w:rFonts w:ascii="Arial Narrow" w:eastAsia="Calibri" w:hAnsi="Arial Narrow" w:cs="Arial Narrow"/>
          <w:color w:val="000000" w:themeColor="text1"/>
          <w:lang w:eastAsia="es-CO"/>
        </w:rPr>
      </w:pPr>
      <w:r w:rsidRPr="002C0D19">
        <w:rPr>
          <w:rFonts w:ascii="Cambria Math" w:eastAsia="Calibri" w:hAnsi="Cambria Math" w:cs="Cambria Math"/>
          <w:color w:val="000000" w:themeColor="text1"/>
          <w:lang w:eastAsia="es-CO"/>
        </w:rPr>
        <w:t>𝑷</w:t>
      </w:r>
      <w:r w:rsidRPr="002C0D19">
        <w:rPr>
          <w:rFonts w:ascii="Arial Narrow" w:eastAsia="Calibri" w:hAnsi="Arial Narrow" w:cs="Cambria Math"/>
          <w:i/>
          <w:color w:val="000000" w:themeColor="text1"/>
          <w:lang w:eastAsia="es-CO"/>
        </w:rPr>
        <w:t>N</w:t>
      </w:r>
      <w:r w:rsidRPr="002C0D19">
        <w:rPr>
          <w:rFonts w:ascii="Arial Narrow" w:eastAsia="Calibri" w:hAnsi="Arial Narrow" w:cs="Cambria Math"/>
          <w:color w:val="000000" w:themeColor="text1"/>
          <w:lang w:eastAsia="es-CO"/>
        </w:rPr>
        <w:t xml:space="preserve"> = </w:t>
      </w:r>
      <w:r w:rsidRPr="002C0D19">
        <w:rPr>
          <w:rFonts w:ascii="Arial Narrow" w:eastAsia="Calibri" w:hAnsi="Arial Narrow" w:cs="Arial Narrow"/>
          <w:color w:val="000000" w:themeColor="text1"/>
          <w:lang w:eastAsia="es-CO"/>
        </w:rPr>
        <w:t>Precio de Negociación</w:t>
      </w:r>
    </w:p>
    <w:p w14:paraId="39E52876" w14:textId="77777777" w:rsidR="007968EC" w:rsidRPr="002C0D19" w:rsidRDefault="007968EC" w:rsidP="007968EC">
      <w:pPr>
        <w:autoSpaceDE w:val="0"/>
        <w:autoSpaceDN w:val="0"/>
        <w:adjustRightInd w:val="0"/>
        <w:jc w:val="both"/>
        <w:rPr>
          <w:rFonts w:ascii="Arial Narrow" w:eastAsia="Calibri" w:hAnsi="Arial Narrow" w:cs="Arial Narrow"/>
          <w:color w:val="000000" w:themeColor="text1"/>
          <w:lang w:eastAsia="es-CO"/>
        </w:rPr>
      </w:pPr>
      <w:r w:rsidRPr="002C0D19">
        <w:rPr>
          <w:rFonts w:ascii="Cambria Math" w:eastAsia="Calibri" w:hAnsi="Cambria Math" w:cs="Cambria Math"/>
          <w:color w:val="000000" w:themeColor="text1"/>
          <w:lang w:eastAsia="es-CO"/>
        </w:rPr>
        <w:t>𝑷</w:t>
      </w:r>
      <w:r w:rsidRPr="002C0D19">
        <w:rPr>
          <w:rFonts w:ascii="Arial Narrow" w:eastAsia="Calibri" w:hAnsi="Arial Narrow" w:cs="Cambria Math"/>
          <w:i/>
          <w:color w:val="000000" w:themeColor="text1"/>
          <w:lang w:eastAsia="es-CO"/>
        </w:rPr>
        <w:t>V</w:t>
      </w:r>
      <w:r w:rsidRPr="002C0D19">
        <w:rPr>
          <w:rFonts w:ascii="Arial Narrow" w:eastAsia="Calibri" w:hAnsi="Arial Narrow" w:cs="Cambria Math"/>
          <w:color w:val="000000" w:themeColor="text1"/>
          <w:lang w:eastAsia="es-CO"/>
        </w:rPr>
        <w:t xml:space="preserve"> = </w:t>
      </w:r>
      <w:r w:rsidRPr="002C0D19">
        <w:rPr>
          <w:rFonts w:ascii="Arial Narrow" w:eastAsia="Calibri" w:hAnsi="Arial Narrow" w:cs="Arial Narrow"/>
          <w:color w:val="000000" w:themeColor="text1"/>
          <w:lang w:eastAsia="es-CO"/>
        </w:rPr>
        <w:t>Precio de Valoración de Cierre</w:t>
      </w:r>
    </w:p>
    <w:p w14:paraId="274E19D9" w14:textId="77777777" w:rsidR="007968EC" w:rsidRPr="002C0D19" w:rsidRDefault="007968EC" w:rsidP="007968EC">
      <w:pPr>
        <w:jc w:val="both"/>
        <w:rPr>
          <w:rFonts w:ascii="Arial Narrow" w:eastAsia="Calibri" w:hAnsi="Arial Narrow"/>
          <w:color w:val="000000" w:themeColor="text1"/>
        </w:rPr>
      </w:pPr>
      <m:oMath>
        <m:r>
          <m:rPr>
            <m:sty m:val="b"/>
          </m:rPr>
          <w:rPr>
            <w:rFonts w:ascii="Cambria Math" w:eastAsia="Calibri" w:hAnsi="Cambria Math"/>
            <w:color w:val="000000" w:themeColor="text1"/>
          </w:rPr>
          <m:t>Na</m:t>
        </m:r>
      </m:oMath>
      <w:r w:rsidRPr="002C0D19">
        <w:rPr>
          <w:rFonts w:ascii="Arial Narrow" w:eastAsia="Calibri" w:hAnsi="Arial Narrow"/>
          <w:color w:val="000000" w:themeColor="text1"/>
        </w:rPr>
        <w:t xml:space="preserve">  = Valor Nominal de compra o de venta según corresponda.  Levará signo positivo en el caso de operaciones de compra y negativo en el caso operaciones de venta</w:t>
      </w:r>
    </w:p>
    <w:p w14:paraId="7A4271A5" w14:textId="77777777" w:rsidR="007968EC" w:rsidRPr="002C0D19" w:rsidRDefault="007968EC" w:rsidP="007968EC">
      <w:pPr>
        <w:jc w:val="both"/>
        <w:rPr>
          <w:rFonts w:ascii="Arial Narrow" w:eastAsia="Calibri" w:hAnsi="Arial Narrow"/>
          <w:color w:val="000000" w:themeColor="text1"/>
        </w:rPr>
      </w:pPr>
    </w:p>
    <w:p w14:paraId="620EC2A5"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En el evento en que el valor del ajuste sea positivo, el titular de la Cuenta tendrá derecho a que la exigencia de Garantía a nivel de titular presente una disminución, en caso contrario, deberá entregar a la Cámara dicho valor bajo el concepto de Garantías por Posición, en la Sesión de Liquidación Diaria y/o al Vencimiento del día hábil siguiente.</w:t>
      </w:r>
    </w:p>
    <w:p w14:paraId="6B4E2FF2" w14:textId="77777777" w:rsidR="007968EC" w:rsidRPr="002C0D19" w:rsidRDefault="007968EC" w:rsidP="007968EC">
      <w:pPr>
        <w:jc w:val="both"/>
        <w:rPr>
          <w:rFonts w:ascii="Arial Narrow" w:eastAsia="Calibri" w:hAnsi="Arial Narrow"/>
          <w:b/>
          <w:color w:val="000000" w:themeColor="text1"/>
        </w:rPr>
      </w:pPr>
    </w:p>
    <w:p w14:paraId="3192485B" w14:textId="77777777" w:rsidR="007968EC" w:rsidRPr="002C0D19" w:rsidRDefault="007968EC" w:rsidP="00DA7472">
      <w:pPr>
        <w:numPr>
          <w:ilvl w:val="0"/>
          <w:numId w:val="210"/>
        </w:numPr>
        <w:autoSpaceDE w:val="0"/>
        <w:autoSpaceDN w:val="0"/>
        <w:adjustRightInd w:val="0"/>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lang w:val="es-ES" w:eastAsia="es-ES"/>
        </w:rPr>
        <w:t xml:space="preserve">Ajuste diario de Garantías para Operaciones sobre Contratos de Opciones cuyo Tipo de Liquidación incluya </w:t>
      </w:r>
      <w:r w:rsidRPr="002C0D19">
        <w:rPr>
          <w:rFonts w:ascii="Arial Narrow" w:eastAsia="Calibri" w:hAnsi="Arial Narrow"/>
          <w:bCs/>
          <w:color w:val="000000" w:themeColor="text1"/>
          <w:lang w:val="es-ES" w:eastAsia="es-ES"/>
        </w:rPr>
        <w:t xml:space="preserve">Liquidación únicamente </w:t>
      </w:r>
      <w:r w:rsidRPr="002C0D19">
        <w:rPr>
          <w:rFonts w:ascii="Arial Narrow" w:eastAsia="Calibri" w:hAnsi="Arial Narrow"/>
          <w:color w:val="000000" w:themeColor="text1"/>
          <w:lang w:val="es-ES" w:eastAsia="es-ES"/>
        </w:rPr>
        <w:t xml:space="preserve">al Vencimiento  </w:t>
      </w:r>
    </w:p>
    <w:p w14:paraId="53EEA532" w14:textId="77777777" w:rsidR="007968EC" w:rsidRPr="00397BCE" w:rsidRDefault="007968EC" w:rsidP="007968EC">
      <w:pPr>
        <w:jc w:val="both"/>
        <w:rPr>
          <w:rFonts w:ascii="Arial Narrow" w:eastAsia="Calibri" w:hAnsi="Arial Narrow"/>
          <w:b/>
          <w:color w:val="000000" w:themeColor="text1"/>
        </w:rPr>
      </w:pPr>
    </w:p>
    <w:p w14:paraId="05445CB7" w14:textId="77777777" w:rsidR="007968EC" w:rsidRPr="002C0D19" w:rsidRDefault="007968EC" w:rsidP="007968EC">
      <w:pPr>
        <w:autoSpaceDE w:val="0"/>
        <w:autoSpaceDN w:val="0"/>
        <w:adjustRightInd w:val="0"/>
        <w:jc w:val="both"/>
        <w:rPr>
          <w:rFonts w:ascii="Arial Narrow" w:eastAsia="Calibri" w:hAnsi="Arial Narrow" w:cs="Arial Narrow"/>
          <w:color w:val="000000" w:themeColor="text1"/>
          <w:lang w:val="es-ES" w:eastAsia="es-CO"/>
        </w:rPr>
      </w:pPr>
      <w:r w:rsidRPr="002C0D19">
        <w:rPr>
          <w:rFonts w:ascii="Arial Narrow" w:eastAsia="Calibri" w:hAnsi="Arial Narrow" w:cs="Arial Narrow"/>
          <w:color w:val="000000" w:themeColor="text1"/>
          <w:lang w:val="es-ES" w:eastAsia="es-CO"/>
        </w:rPr>
        <w:t>Las Posiciones Abiertas en Operaciones sobre Contratos de Opciones serán valoradas diariamente al final de la Sesión de Cierre al Precio de Valoración de Cierre entregado por el Proveedor Oficial de Precios para Valoración se realizará de acuerdo con la siguiente fórmula:</w:t>
      </w:r>
    </w:p>
    <w:p w14:paraId="2AA57B06" w14:textId="77777777" w:rsidR="007968EC" w:rsidRPr="00397BCE" w:rsidRDefault="007968EC" w:rsidP="007968EC">
      <w:pPr>
        <w:jc w:val="both"/>
        <w:rPr>
          <w:rFonts w:ascii="Arial Narrow" w:eastAsia="Calibri" w:hAnsi="Arial Narrow"/>
          <w:b/>
          <w:color w:val="000000" w:themeColor="text1"/>
        </w:rPr>
      </w:pPr>
    </w:p>
    <w:p w14:paraId="296D64E8" w14:textId="77777777" w:rsidR="007968EC" w:rsidRPr="002C0D19" w:rsidRDefault="007968EC" w:rsidP="007968EC">
      <w:pPr>
        <w:autoSpaceDE w:val="0"/>
        <w:autoSpaceDN w:val="0"/>
        <w:adjustRightInd w:val="0"/>
        <w:jc w:val="both"/>
        <w:rPr>
          <w:rFonts w:ascii="Arial Narrow" w:eastAsia="Calibri" w:hAnsi="Arial Narrow" w:cs="Cambria Math"/>
          <w:color w:val="000000" w:themeColor="text1"/>
          <w:lang w:val="es-ES" w:eastAsia="es-CO"/>
        </w:rPr>
      </w:pPr>
      <w:r w:rsidRPr="002C0D19">
        <w:rPr>
          <w:rFonts w:ascii="Arial Narrow" w:eastAsia="Calibri" w:hAnsi="Arial Narrow" w:cs="Cambria Math"/>
          <w:color w:val="000000" w:themeColor="text1"/>
          <w:lang w:val="es-ES" w:eastAsia="es-CO"/>
        </w:rPr>
        <w:t>Ajuste Diario de Garantías = (</w:t>
      </w:r>
      <w:r w:rsidRPr="002C0D19">
        <w:rPr>
          <w:rFonts w:ascii="Cambria Math" w:eastAsia="Calibri" w:hAnsi="Cambria Math" w:cs="Cambria Math"/>
          <w:color w:val="000000" w:themeColor="text1"/>
          <w:lang w:val="es-ES" w:eastAsia="es-CO"/>
        </w:rPr>
        <w:t>𝑷</w:t>
      </w:r>
      <w:r w:rsidRPr="002C0D19">
        <w:rPr>
          <w:rFonts w:ascii="Arial Narrow" w:eastAsia="Calibri" w:hAnsi="Arial Narrow" w:cs="Cambria Math"/>
          <w:i/>
          <w:color w:val="000000" w:themeColor="text1"/>
          <w:lang w:val="es-ES" w:eastAsia="es-CO"/>
        </w:rPr>
        <w:t>V</w:t>
      </w:r>
      <w:r w:rsidRPr="002C0D19">
        <w:rPr>
          <w:rFonts w:ascii="Arial Narrow" w:eastAsia="Calibri" w:hAnsi="Arial Narrow" w:cs="Cambria Math"/>
          <w:color w:val="000000" w:themeColor="text1"/>
          <w:lang w:val="es-ES" w:eastAsia="es-CO"/>
        </w:rPr>
        <w:t xml:space="preserve"> − </w:t>
      </w:r>
      <w:r w:rsidRPr="002C0D19">
        <w:rPr>
          <w:rFonts w:ascii="Cambria Math" w:eastAsia="Calibri" w:hAnsi="Cambria Math" w:cs="Cambria Math"/>
          <w:color w:val="000000" w:themeColor="text1"/>
          <w:lang w:val="es-ES" w:eastAsia="es-CO"/>
        </w:rPr>
        <w:t>𝑷</w:t>
      </w:r>
      <w:r w:rsidRPr="002C0D19">
        <w:rPr>
          <w:rFonts w:ascii="Arial Narrow" w:eastAsia="Calibri" w:hAnsi="Arial Narrow" w:cs="Cambria Math"/>
          <w:i/>
          <w:color w:val="000000" w:themeColor="text1"/>
          <w:lang w:val="es-ES" w:eastAsia="es-CO"/>
        </w:rPr>
        <w:t>N</w:t>
      </w:r>
      <w:r w:rsidRPr="002C0D19">
        <w:rPr>
          <w:rFonts w:ascii="Arial Narrow" w:eastAsia="Calibri" w:hAnsi="Arial Narrow" w:cs="Cambria Math"/>
          <w:color w:val="000000" w:themeColor="text1"/>
          <w:lang w:val="es-ES" w:eastAsia="es-CO"/>
        </w:rPr>
        <w:t xml:space="preserve">) × </w:t>
      </w:r>
      <w:proofErr w:type="spellStart"/>
      <w:r w:rsidRPr="002C0D19">
        <w:rPr>
          <w:rFonts w:ascii="Arial Narrow" w:eastAsia="Calibri" w:hAnsi="Arial Narrow" w:cs="Cambria Math"/>
          <w:color w:val="000000" w:themeColor="text1"/>
          <w:lang w:val="es-ES" w:eastAsia="es-CO"/>
        </w:rPr>
        <w:t>Na</w:t>
      </w:r>
      <w:proofErr w:type="spellEnd"/>
    </w:p>
    <w:p w14:paraId="64C4D5F2" w14:textId="77777777" w:rsidR="007968EC" w:rsidRPr="00397BCE" w:rsidRDefault="007968EC" w:rsidP="007968EC">
      <w:pPr>
        <w:jc w:val="both"/>
        <w:rPr>
          <w:rFonts w:ascii="Arial Narrow" w:eastAsia="Calibri" w:hAnsi="Arial Narrow"/>
          <w:b/>
          <w:color w:val="000000" w:themeColor="text1"/>
        </w:rPr>
      </w:pPr>
    </w:p>
    <w:p w14:paraId="6E50918F" w14:textId="77777777" w:rsidR="007968EC" w:rsidRPr="002C0D19" w:rsidRDefault="007968EC" w:rsidP="007968EC">
      <w:pPr>
        <w:autoSpaceDE w:val="0"/>
        <w:autoSpaceDN w:val="0"/>
        <w:adjustRightInd w:val="0"/>
        <w:jc w:val="both"/>
        <w:rPr>
          <w:rFonts w:ascii="Arial Narrow" w:eastAsia="Calibri" w:hAnsi="Arial Narrow"/>
          <w:color w:val="000000" w:themeColor="text1"/>
          <w:lang w:val="es-ES" w:eastAsia="es-ES"/>
        </w:rPr>
      </w:pPr>
      <w:r w:rsidRPr="002C0D19">
        <w:rPr>
          <w:rFonts w:ascii="Arial Narrow" w:eastAsia="Calibri" w:hAnsi="Arial Narrow"/>
          <w:color w:val="000000" w:themeColor="text1"/>
          <w:lang w:val="es-ES" w:eastAsia="es-ES"/>
        </w:rPr>
        <w:t>Donde:</w:t>
      </w:r>
    </w:p>
    <w:p w14:paraId="23ED0354" w14:textId="77777777" w:rsidR="007968EC" w:rsidRPr="00397BCE" w:rsidRDefault="007968EC" w:rsidP="007968EC">
      <w:pPr>
        <w:jc w:val="both"/>
        <w:rPr>
          <w:rFonts w:ascii="Arial Narrow" w:eastAsia="Calibri" w:hAnsi="Arial Narrow"/>
          <w:b/>
          <w:color w:val="000000" w:themeColor="text1"/>
        </w:rPr>
      </w:pPr>
    </w:p>
    <w:p w14:paraId="56A5620A" w14:textId="77777777" w:rsidR="007968EC" w:rsidRPr="002C0D19" w:rsidRDefault="007968EC" w:rsidP="007968EC">
      <w:pPr>
        <w:autoSpaceDE w:val="0"/>
        <w:autoSpaceDN w:val="0"/>
        <w:adjustRightInd w:val="0"/>
        <w:jc w:val="both"/>
        <w:rPr>
          <w:rFonts w:ascii="Arial Narrow" w:eastAsia="Calibri" w:hAnsi="Arial Narrow" w:cs="Arial Narrow"/>
          <w:color w:val="000000" w:themeColor="text1"/>
          <w:lang w:val="es-ES" w:eastAsia="es-CO"/>
        </w:rPr>
      </w:pPr>
      <w:r w:rsidRPr="002C0D19">
        <w:rPr>
          <w:rFonts w:ascii="Cambria Math" w:eastAsia="Calibri" w:hAnsi="Cambria Math" w:cs="Cambria Math"/>
          <w:color w:val="000000" w:themeColor="text1"/>
          <w:lang w:val="es-ES" w:eastAsia="es-CO"/>
        </w:rPr>
        <w:t>𝑷</w:t>
      </w:r>
      <w:r w:rsidRPr="002C0D19">
        <w:rPr>
          <w:rFonts w:ascii="Arial Narrow" w:eastAsia="Calibri" w:hAnsi="Arial Narrow" w:cs="Cambria Math"/>
          <w:i/>
          <w:color w:val="000000" w:themeColor="text1"/>
          <w:lang w:val="es-ES" w:eastAsia="es-CO"/>
        </w:rPr>
        <w:t>N</w:t>
      </w:r>
      <w:r w:rsidRPr="002C0D19">
        <w:rPr>
          <w:rFonts w:ascii="Arial Narrow" w:eastAsia="Calibri" w:hAnsi="Arial Narrow" w:cs="Cambria Math"/>
          <w:color w:val="000000" w:themeColor="text1"/>
          <w:lang w:val="es-ES" w:eastAsia="es-CO"/>
        </w:rPr>
        <w:t xml:space="preserve"> = </w:t>
      </w:r>
      <w:r w:rsidRPr="002C0D19">
        <w:rPr>
          <w:rFonts w:ascii="Arial Narrow" w:eastAsia="Calibri" w:hAnsi="Arial Narrow" w:cs="Arial Narrow"/>
          <w:color w:val="000000" w:themeColor="text1"/>
          <w:lang w:val="es-ES" w:eastAsia="es-CO"/>
        </w:rPr>
        <w:t>Precio de Valoración de Cierre de la Opción del día anterior</w:t>
      </w:r>
    </w:p>
    <w:p w14:paraId="21AF0023" w14:textId="77777777" w:rsidR="007968EC" w:rsidRPr="002C0D19" w:rsidRDefault="007968EC" w:rsidP="007968EC">
      <w:pPr>
        <w:autoSpaceDE w:val="0"/>
        <w:autoSpaceDN w:val="0"/>
        <w:adjustRightInd w:val="0"/>
        <w:jc w:val="both"/>
        <w:rPr>
          <w:rFonts w:ascii="Arial Narrow" w:eastAsia="Calibri" w:hAnsi="Arial Narrow" w:cs="Arial Narrow"/>
          <w:color w:val="000000" w:themeColor="text1"/>
          <w:lang w:val="es-ES" w:eastAsia="es-CO"/>
        </w:rPr>
      </w:pPr>
      <w:r w:rsidRPr="002C0D19">
        <w:rPr>
          <w:rFonts w:ascii="Cambria Math" w:eastAsia="Calibri" w:hAnsi="Cambria Math" w:cs="Cambria Math"/>
          <w:color w:val="000000" w:themeColor="text1"/>
          <w:lang w:val="es-ES" w:eastAsia="es-CO"/>
        </w:rPr>
        <w:t>𝑷</w:t>
      </w:r>
      <w:r w:rsidRPr="002C0D19">
        <w:rPr>
          <w:rFonts w:ascii="Arial Narrow" w:eastAsia="Calibri" w:hAnsi="Arial Narrow" w:cs="Cambria Math"/>
          <w:i/>
          <w:color w:val="000000" w:themeColor="text1"/>
          <w:lang w:val="es-ES" w:eastAsia="es-CO"/>
        </w:rPr>
        <w:t>V</w:t>
      </w:r>
      <w:r w:rsidRPr="002C0D19">
        <w:rPr>
          <w:rFonts w:ascii="Arial Narrow" w:eastAsia="Calibri" w:hAnsi="Arial Narrow" w:cs="Cambria Math"/>
          <w:color w:val="000000" w:themeColor="text1"/>
          <w:lang w:val="es-ES" w:eastAsia="es-CO"/>
        </w:rPr>
        <w:t xml:space="preserve"> = </w:t>
      </w:r>
      <w:r w:rsidRPr="002C0D19">
        <w:rPr>
          <w:rFonts w:ascii="Arial Narrow" w:eastAsia="Calibri" w:hAnsi="Arial Narrow" w:cs="Arial Narrow"/>
          <w:color w:val="000000" w:themeColor="text1"/>
          <w:lang w:val="es-ES" w:eastAsia="es-CO"/>
        </w:rPr>
        <w:t>Precio de Valoración de Cierre de la Opción</w:t>
      </w:r>
    </w:p>
    <w:p w14:paraId="51A504C6" w14:textId="77777777" w:rsidR="007968EC" w:rsidRPr="002C0D19" w:rsidRDefault="007968EC" w:rsidP="007968EC">
      <w:pPr>
        <w:jc w:val="both"/>
        <w:rPr>
          <w:rFonts w:ascii="Arial Narrow" w:eastAsia="Calibri" w:hAnsi="Arial Narrow"/>
          <w:color w:val="000000" w:themeColor="text1"/>
          <w:lang w:val="es-ES" w:eastAsia="es-ES"/>
        </w:rPr>
      </w:pPr>
      <m:oMath>
        <m:r>
          <m:rPr>
            <m:sty m:val="b"/>
          </m:rPr>
          <w:rPr>
            <w:rFonts w:ascii="Cambria Math" w:eastAsia="Calibri" w:hAnsi="Cambria Math"/>
            <w:color w:val="000000" w:themeColor="text1"/>
            <w:lang w:val="es-ES" w:eastAsia="es-ES"/>
          </w:rPr>
          <m:t>Na</m:t>
        </m:r>
      </m:oMath>
      <w:r w:rsidRPr="002C0D19">
        <w:rPr>
          <w:rFonts w:ascii="Arial Narrow" w:eastAsia="Calibri" w:hAnsi="Arial Narrow"/>
          <w:color w:val="000000" w:themeColor="text1"/>
          <w:lang w:val="es-ES" w:eastAsia="es-ES"/>
        </w:rPr>
        <w:t xml:space="preserve">  = Valor Nominal de compra o de venta según corresponda.  Llevará signo positivo en el caso de operaciones de compra y negativo </w:t>
      </w:r>
      <w:r>
        <w:rPr>
          <w:rFonts w:ascii="Arial Narrow" w:eastAsia="Calibri" w:hAnsi="Arial Narrow"/>
          <w:color w:val="000000" w:themeColor="text1"/>
          <w:lang w:val="es-ES" w:eastAsia="es-ES"/>
        </w:rPr>
        <w:t>en el caso operaciones de venta</w:t>
      </w:r>
    </w:p>
    <w:p w14:paraId="42B4F366" w14:textId="77777777" w:rsidR="007968EC" w:rsidRPr="002C0D19" w:rsidRDefault="007968EC" w:rsidP="007968EC">
      <w:pPr>
        <w:autoSpaceDE w:val="0"/>
        <w:autoSpaceDN w:val="0"/>
        <w:adjustRightInd w:val="0"/>
        <w:contextualSpacing/>
        <w:jc w:val="both"/>
        <w:rPr>
          <w:rFonts w:ascii="Arial Narrow" w:eastAsia="Calibri" w:hAnsi="Arial Narrow"/>
          <w:color w:val="000000" w:themeColor="text1"/>
        </w:rPr>
      </w:pPr>
    </w:p>
    <w:p w14:paraId="32EA773B" w14:textId="77777777" w:rsidR="007968EC" w:rsidRPr="002C0D19" w:rsidRDefault="007968EC" w:rsidP="00DA7472">
      <w:pPr>
        <w:numPr>
          <w:ilvl w:val="0"/>
          <w:numId w:val="210"/>
        </w:numPr>
        <w:autoSpaceDE w:val="0"/>
        <w:autoSpaceDN w:val="0"/>
        <w:adjustRightInd w:val="0"/>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Determinación de la Garantía por Posición.</w:t>
      </w:r>
    </w:p>
    <w:p w14:paraId="67ECF0D7" w14:textId="77777777" w:rsidR="007968EC" w:rsidRPr="00397BCE" w:rsidRDefault="007968EC" w:rsidP="007968EC">
      <w:pPr>
        <w:jc w:val="both"/>
        <w:rPr>
          <w:rFonts w:ascii="Arial Narrow" w:eastAsia="Calibri" w:hAnsi="Arial Narrow"/>
          <w:b/>
          <w:color w:val="000000" w:themeColor="text1"/>
        </w:rPr>
      </w:pPr>
    </w:p>
    <w:p w14:paraId="07E06337" w14:textId="77777777" w:rsidR="007968EC" w:rsidRPr="002C0D19" w:rsidRDefault="007968EC" w:rsidP="007968EC">
      <w:pPr>
        <w:jc w:val="both"/>
        <w:rPr>
          <w:rFonts w:ascii="Arial Narrow" w:eastAsia="Calibri" w:hAnsi="Arial Narrow"/>
          <w:b/>
          <w:color w:val="000000" w:themeColor="text1"/>
        </w:rPr>
      </w:pPr>
      <w:r w:rsidRPr="002C0D19">
        <w:rPr>
          <w:rFonts w:ascii="Arial Narrow" w:eastAsia="Calibri" w:hAnsi="Arial Narrow"/>
          <w:color w:val="000000" w:themeColor="text1"/>
        </w:rPr>
        <w:lastRenderedPageBreak/>
        <w:t xml:space="preserve">Se suman por escenarios el valor de las Garantías resultantes de los distintos Grupos de Compensación, compensándose valores positivos y negativos, así como el Ajuste Diario de Garantías cuando se trata de operaciones cuyo Tipo de Liquidación incluya Liquidación </w:t>
      </w:r>
      <w:r w:rsidRPr="002C0D19">
        <w:rPr>
          <w:rFonts w:ascii="Arial Narrow" w:eastAsia="Calibri" w:hAnsi="Arial Narrow"/>
          <w:bCs/>
          <w:color w:val="000000" w:themeColor="text1"/>
        </w:rPr>
        <w:t xml:space="preserve">Únicamente </w:t>
      </w:r>
      <w:r w:rsidRPr="002C0D19">
        <w:rPr>
          <w:rFonts w:ascii="Arial Narrow" w:eastAsia="Calibri" w:hAnsi="Arial Narrow"/>
          <w:color w:val="000000" w:themeColor="text1"/>
        </w:rPr>
        <w:t>al Vencimiento, de acuerdo a lo descrito en el numeral anterior. El valor obtenido corresponde a la Garantía por Posición a constituir por el titular de cada Cuenta</w:t>
      </w:r>
    </w:p>
    <w:p w14:paraId="464AF92A" w14:textId="77777777" w:rsidR="007968EC" w:rsidRPr="002C0D19" w:rsidRDefault="007968EC" w:rsidP="007968EC">
      <w:pPr>
        <w:jc w:val="both"/>
        <w:rPr>
          <w:rFonts w:ascii="Arial Narrow" w:eastAsia="Calibri" w:hAnsi="Arial Narrow"/>
          <w:b/>
          <w:color w:val="000000" w:themeColor="text1"/>
        </w:rPr>
      </w:pPr>
    </w:p>
    <w:p w14:paraId="4545A556" w14:textId="77777777" w:rsidR="007968EC" w:rsidRPr="002C0D19" w:rsidRDefault="007968EC" w:rsidP="007968EC">
      <w:pPr>
        <w:jc w:val="both"/>
        <w:rPr>
          <w:rFonts w:ascii="Arial Narrow" w:eastAsia="Calibri" w:hAnsi="Arial Narrow"/>
          <w:color w:val="000000" w:themeColor="text1"/>
          <w:u w:val="single"/>
        </w:rPr>
      </w:pPr>
      <w:r w:rsidRPr="002C0D19">
        <w:rPr>
          <w:rFonts w:ascii="Arial Narrow" w:eastAsia="Calibri" w:hAnsi="Arial Narrow"/>
          <w:b/>
          <w:color w:val="000000" w:themeColor="text1"/>
        </w:rPr>
        <w:t>Parágrafo.</w:t>
      </w:r>
      <w:r w:rsidRPr="002C0D19">
        <w:rPr>
          <w:rFonts w:ascii="Arial Narrow" w:eastAsia="Calibri" w:hAnsi="Arial Narrow"/>
          <w:color w:val="000000" w:themeColor="text1"/>
        </w:rPr>
        <w:t xml:space="preserve"> Cuando se trate del Instrumento Forward NDF (USD/COP) el “último precio” para el primer vencimiento será el suministrado por el Proveedor Oficial de Precios para Valoración. Para los demás vencimientos el “último precio” se establecerá según lo descrito en el numeral 1. i) del artículo 1.6.2.7. Procedimiento de cálculo de la Garantía Extraordinaria.</w:t>
      </w:r>
    </w:p>
    <w:p w14:paraId="1BE4AF5C" w14:textId="77777777" w:rsidR="007968EC" w:rsidRPr="002C0D19" w:rsidRDefault="007968EC" w:rsidP="007968EC">
      <w:pPr>
        <w:jc w:val="both"/>
        <w:rPr>
          <w:rFonts w:ascii="Arial Narrow" w:eastAsia="Calibri" w:hAnsi="Arial Narrow"/>
          <w:color w:val="000000" w:themeColor="text1"/>
        </w:rPr>
      </w:pPr>
    </w:p>
    <w:p w14:paraId="2F280B1B" w14:textId="77777777" w:rsidR="007968EC" w:rsidRDefault="007968EC" w:rsidP="007968EC">
      <w:pPr>
        <w:pStyle w:val="ARTICULO0"/>
      </w:pPr>
      <w:bookmarkStart w:id="4904" w:name="_Toc470780001"/>
      <w:bookmarkStart w:id="4905" w:name="_Toc470781131"/>
      <w:bookmarkStart w:id="4906" w:name="_Toc470784692"/>
      <w:bookmarkStart w:id="4907" w:name="_Toc470785229"/>
      <w:bookmarkStart w:id="4908" w:name="_Toc470791623"/>
      <w:bookmarkStart w:id="4909" w:name="_Toc472592368"/>
      <w:bookmarkStart w:id="4910" w:name="_Toc472593387"/>
      <w:bookmarkStart w:id="4911" w:name="_Toc479057175"/>
      <w:bookmarkStart w:id="4912" w:name="_Toc31716192"/>
      <w:bookmarkStart w:id="4913" w:name="_Toc490066529"/>
      <w:r w:rsidRPr="002C0D19">
        <w:t>Artículo 2.5.1.4. Parámetros para cálculo de Garantía por Posición.</w:t>
      </w:r>
      <w:bookmarkEnd w:id="4904"/>
      <w:bookmarkEnd w:id="4905"/>
      <w:bookmarkEnd w:id="4906"/>
      <w:bookmarkEnd w:id="4907"/>
      <w:bookmarkEnd w:id="4908"/>
      <w:bookmarkEnd w:id="4909"/>
      <w:bookmarkEnd w:id="4910"/>
      <w:bookmarkEnd w:id="4911"/>
      <w:bookmarkEnd w:id="4912"/>
      <w:r w:rsidRPr="002C0D19">
        <w:t xml:space="preserve"> </w:t>
      </w:r>
    </w:p>
    <w:p w14:paraId="2E3EC481" w14:textId="77777777" w:rsidR="007968EC" w:rsidRPr="009B4524" w:rsidRDefault="007968EC" w:rsidP="007968EC">
      <w:pPr>
        <w:rPr>
          <w:rFonts w:ascii="Arial" w:eastAsia="Calibri" w:hAnsi="Arial" w:cs="Arial"/>
          <w:b/>
          <w:lang w:eastAsia="es-ES"/>
        </w:rPr>
      </w:pPr>
    </w:p>
    <w:p w14:paraId="39055D75" w14:textId="47315D93" w:rsidR="007968EC" w:rsidRPr="002C0D19" w:rsidRDefault="007968EC" w:rsidP="007968EC">
      <w:pPr>
        <w:pStyle w:val="ANTECEDENTES"/>
      </w:pPr>
      <w:r w:rsidRPr="002C0D19">
        <w:rPr>
          <w:rFonts w:eastAsia="Calibri"/>
        </w:rPr>
        <w:t>(Este artículo fue modificado mediante Circular 2 del 11 de enero de 2017, publicada en el Boletín Normativo No. 002 del 11 de enero de 2017, mediante Circular 3 del 12 de enero de 2017, publicada en el Boletín Normativo No. 003 del 12 de enero de 2017,</w:t>
      </w:r>
      <w:r w:rsidRPr="002C0D19">
        <w:t xml:space="preserve"> mediante Circular 5 del 8 de febrero de 2017 publicada en el Boletín Normativo No.005 del 8 de febrero de 2017, mediante Circular 6 del 14 de febrero de 2017, publicada en el Boletín Normativo No. </w:t>
      </w:r>
      <w:r>
        <w:t xml:space="preserve">006 del 14 de febrero de 2017, </w:t>
      </w:r>
      <w:r w:rsidRPr="002C0D19">
        <w:t>mediante Circular 7 del 24 de marzo de 2017, publicada en el Boletín Normativo No. 007 del 24 de marzo de 2017, mediante Circular 10 del 12 de mayo de 2017, publicada en el Boletín Normativo No. 010 del 12 de mayo de 2017, mediante Circular 12 del 16 de junio de 2017, publicada en el Boletín Normativo N</w:t>
      </w:r>
      <w:r>
        <w:t>o. 012 del 16 de junio de 2017,</w:t>
      </w:r>
      <w:r w:rsidRPr="002C0D19">
        <w:t xml:space="preserve"> mediante Circular 13 del 14 de julio de 2017, publicada en el Boletín Normativo No. 013 del 14 de julio de 2017</w:t>
      </w:r>
      <w:r>
        <w:t xml:space="preserve">, mediante Circular 24 del 11 de diciembre de 2017, publicada en el Boletín Normativo No. 031 del 11 de diciembre de 2017, mediante Circular </w:t>
      </w:r>
      <w:r w:rsidRPr="009B4524">
        <w:t>2 del 20 de febrero de 2018, publicada en el Boletín Normativo No. 003 del 20 de febrero de 2018</w:t>
      </w:r>
      <w:r>
        <w:t xml:space="preserve">, mediante Circular 5 del 12 de abril de 2018, publicada en el Boletín Normativo No. 008 del 12 de abril de 2018, </w:t>
      </w:r>
      <w:bookmarkStart w:id="4914" w:name="_Hlk512356829"/>
      <w:r>
        <w:t>mediante Circular 6 del 24 de abril de 2018, publicada en el Boletín Normativo No. 009 del 24 de abril de 2018, mediante Circular 8 del 18 de mayo de 2018, publicada en el Boletín Normativo No. 011 del 18 de mayo de 2018, mediante Circular 9 del 14 de junio de 2018, publicada en el Boletín Normativo No. 012 del 14 de junio de 2018,</w:t>
      </w:r>
      <w:bookmarkEnd w:id="4914"/>
      <w:r>
        <w:t xml:space="preserve"> mediante Circular 10 del 6 de julio de 2018, publicada en el Boletín Normativo No. 013 del 6 de julio de 2018, mediante Circular 12 del 17 de septiembre de 2018, publicada en el Boletín Normativo No. 022 del 17 de septiembre de 2018, mediante Circular 13 del 26 de octubre de 2018, publicada en el Boletín Normativo No. 025 del 26 de octubre de 2018, </w:t>
      </w:r>
      <w:r w:rsidRPr="002C0D19">
        <w:t xml:space="preserve">mediante Circular </w:t>
      </w:r>
      <w:r>
        <w:t>14 del 30</w:t>
      </w:r>
      <w:r w:rsidRPr="002C0D19">
        <w:t xml:space="preserve"> de </w:t>
      </w:r>
      <w:r>
        <w:t>noviembre de 2018</w:t>
      </w:r>
      <w:r w:rsidRPr="002C0D19">
        <w:t xml:space="preserve">, publicada en el Boletín Normativo No. </w:t>
      </w:r>
      <w:r>
        <w:t>27 del 30</w:t>
      </w:r>
      <w:r w:rsidRPr="002C0D19">
        <w:t xml:space="preserve"> de </w:t>
      </w:r>
      <w:r>
        <w:t xml:space="preserve">noviembre de 2018, </w:t>
      </w:r>
      <w:r w:rsidRPr="002C0D19">
        <w:t xml:space="preserve">mediante Circular </w:t>
      </w:r>
      <w:r>
        <w:t>16 del 26</w:t>
      </w:r>
      <w:r w:rsidRPr="002C0D19">
        <w:t xml:space="preserve"> de </w:t>
      </w:r>
      <w:r>
        <w:t>diciembre de 2018</w:t>
      </w:r>
      <w:r w:rsidRPr="002C0D19">
        <w:t xml:space="preserve">, publicada en el Boletín Normativo No. </w:t>
      </w:r>
      <w:r>
        <w:t>29 del 26</w:t>
      </w:r>
      <w:r w:rsidRPr="002C0D19">
        <w:t xml:space="preserve"> de </w:t>
      </w:r>
      <w:r>
        <w:t xml:space="preserve">diciembre de 2018, mediante Circular 1 del 15 de enero de 2019, publicada en el Boletín Normativo No. 001 del 15 de enero de 2019, </w:t>
      </w:r>
      <w:r w:rsidRPr="0017718C">
        <w:t>modificado mediante Circular 2 del 22 de febrero de 2019, publicada en el Boletín Normativo No</w:t>
      </w:r>
      <w:bookmarkStart w:id="4915" w:name="_Hlk3810733"/>
      <w:r>
        <w:t xml:space="preserve">. 007 del 22 de febrero de 2019, modificado mediante Circular 5 del 18 de marzo de 2019, publicada en el Boletín Normativo </w:t>
      </w:r>
      <w:bookmarkStart w:id="4916" w:name="_Hlk13037168"/>
      <w:bookmarkStart w:id="4917" w:name="_Hlk13038362"/>
      <w:r>
        <w:t>No. 014 del 18 de marzo de 2019, modificado mediante Circular 9 del 2 de julio de 2019, publicada en el Boletín Normativo No. 021 del 2 de julio de 2019 y modificado mediante Circular 11 del 15</w:t>
      </w:r>
      <w:r w:rsidRPr="00A61B6E">
        <w:t xml:space="preserve"> de julio de 2019, publicada</w:t>
      </w:r>
      <w:r>
        <w:t xml:space="preserve"> en el Boletín Normativo No. 023 del 15</w:t>
      </w:r>
      <w:r w:rsidRPr="00A61B6E">
        <w:t xml:space="preserve"> de julio de 2019</w:t>
      </w:r>
      <w:r>
        <w:t xml:space="preserve">, mediante Circular 12 del 9 de agosto de 2019, publicada en el Boletín Normativo No. 025 del 9 de agosto de 2019, y mediante </w:t>
      </w:r>
      <w:r w:rsidRPr="00217A99">
        <w:t xml:space="preserve">Circular 13 del 9 de septiembre de 2019, publicada en el Boletín </w:t>
      </w:r>
      <w:r w:rsidRPr="00217A99">
        <w:lastRenderedPageBreak/>
        <w:t>Normativo No. 026 del 2</w:t>
      </w:r>
      <w:r>
        <w:t>4</w:t>
      </w:r>
      <w:r w:rsidRPr="00217A99">
        <w:t xml:space="preserve"> de septiembre de 2019</w:t>
      </w:r>
      <w:bookmarkEnd w:id="4913"/>
      <w:bookmarkEnd w:id="4915"/>
      <w:bookmarkEnd w:id="4916"/>
      <w:bookmarkEnd w:id="4917"/>
      <w:r>
        <w:t xml:space="preserve">, </w:t>
      </w:r>
      <w:r w:rsidRPr="002C0D19">
        <w:t xml:space="preserve">mediante Circular </w:t>
      </w:r>
      <w:r>
        <w:t>20</w:t>
      </w:r>
      <w:r w:rsidRPr="002C0D19">
        <w:t xml:space="preserve"> del </w:t>
      </w:r>
      <w:r>
        <w:t>6</w:t>
      </w:r>
      <w:r w:rsidRPr="002C0D19">
        <w:t xml:space="preserve"> de diciembre de 201</w:t>
      </w:r>
      <w:r>
        <w:t>9</w:t>
      </w:r>
      <w:r w:rsidRPr="002C0D19">
        <w:t>, publicada en el Boletín Normativo No. 0</w:t>
      </w:r>
      <w:r>
        <w:t>35</w:t>
      </w:r>
      <w:r w:rsidRPr="002C0D19">
        <w:t xml:space="preserve"> del </w:t>
      </w:r>
      <w:r>
        <w:t>6</w:t>
      </w:r>
      <w:r w:rsidRPr="002C0D19">
        <w:t xml:space="preserve"> de diciembre de 201</w:t>
      </w:r>
      <w:r>
        <w:t>9</w:t>
      </w:r>
      <w:r w:rsidR="00B93F48" w:rsidRPr="00B93F48">
        <w:t xml:space="preserve"> </w:t>
      </w:r>
      <w:bookmarkStart w:id="4918" w:name="_Hlk32215780"/>
      <w:r w:rsidR="00B93F48">
        <w:t>y</w:t>
      </w:r>
      <w:r w:rsidR="00B93F48" w:rsidRPr="002C0D19">
        <w:t xml:space="preserve"> mediante Circular </w:t>
      </w:r>
      <w:r w:rsidR="00B93F48">
        <w:t>3</w:t>
      </w:r>
      <w:r w:rsidR="00B93F48" w:rsidRPr="002C0D19">
        <w:t xml:space="preserve"> del </w:t>
      </w:r>
      <w:r w:rsidR="00B93F48">
        <w:t>5</w:t>
      </w:r>
      <w:r w:rsidR="00B93F48" w:rsidRPr="002C0D19">
        <w:t xml:space="preserve"> de </w:t>
      </w:r>
      <w:r w:rsidR="00B93F48">
        <w:t>feb</w:t>
      </w:r>
      <w:r w:rsidR="00B93F48" w:rsidRPr="002C0D19">
        <w:t>re</w:t>
      </w:r>
      <w:r w:rsidR="00B93F48">
        <w:t>ro</w:t>
      </w:r>
      <w:r w:rsidR="00B93F48" w:rsidRPr="002C0D19">
        <w:t xml:space="preserve"> de 20</w:t>
      </w:r>
      <w:r w:rsidR="00B93F48">
        <w:t>20</w:t>
      </w:r>
      <w:r w:rsidR="00B93F48" w:rsidRPr="002C0D19">
        <w:t>, publicada en el Boletín Normativo No. 0</w:t>
      </w:r>
      <w:r w:rsidR="00B93F48">
        <w:t>03</w:t>
      </w:r>
      <w:r w:rsidR="00B93F48" w:rsidRPr="002C0D19">
        <w:t xml:space="preserve"> del </w:t>
      </w:r>
      <w:r w:rsidR="00B93F48">
        <w:t>5</w:t>
      </w:r>
      <w:r w:rsidR="00B93F48" w:rsidRPr="002C0D19">
        <w:t xml:space="preserve"> de </w:t>
      </w:r>
      <w:r w:rsidR="00B93F48">
        <w:t>fe</w:t>
      </w:r>
      <w:r w:rsidR="00B93F48" w:rsidRPr="002C0D19">
        <w:t>bre</w:t>
      </w:r>
      <w:r w:rsidR="00B93F48">
        <w:t>ro</w:t>
      </w:r>
      <w:r w:rsidR="00B93F48" w:rsidRPr="002C0D19">
        <w:t xml:space="preserve"> de 20</w:t>
      </w:r>
      <w:r w:rsidR="00B93F48">
        <w:t>20</w:t>
      </w:r>
      <w:r w:rsidR="00B93F48" w:rsidRPr="002C0D19">
        <w:t xml:space="preserve">. </w:t>
      </w:r>
      <w:r w:rsidR="00B93F48">
        <w:t>Rige a partir del 10 de febrero de 2020</w:t>
      </w:r>
      <w:r>
        <w:t>).</w:t>
      </w:r>
      <w:bookmarkEnd w:id="4918"/>
    </w:p>
    <w:p w14:paraId="1DDF2E1E" w14:textId="77777777" w:rsidR="007968EC" w:rsidRPr="00601191" w:rsidRDefault="007968EC" w:rsidP="007968EC">
      <w:pPr>
        <w:rPr>
          <w:rFonts w:ascii="Arial" w:eastAsia="Calibri" w:hAnsi="Arial" w:cs="Arial"/>
          <w:b/>
          <w:lang w:eastAsia="es-ES"/>
        </w:rPr>
      </w:pPr>
      <w:bookmarkStart w:id="4919" w:name="_Hlk20207072"/>
    </w:p>
    <w:p w14:paraId="15F8FBDC" w14:textId="77777777" w:rsidR="007968EC" w:rsidRDefault="007968EC" w:rsidP="007968EC">
      <w:pPr>
        <w:jc w:val="both"/>
        <w:rPr>
          <w:rFonts w:ascii="Arial Narrow" w:eastAsia="Calibri" w:hAnsi="Arial Narrow"/>
          <w:color w:val="000000"/>
          <w:lang w:eastAsia="en-US"/>
        </w:rPr>
      </w:pPr>
      <w:r>
        <w:rPr>
          <w:rFonts w:ascii="Arial Narrow" w:eastAsia="Calibri" w:hAnsi="Arial Narrow"/>
          <w:color w:val="000000"/>
          <w:lang w:eastAsia="en-US"/>
        </w:rPr>
        <w:t xml:space="preserve">Los Parámetros utilizados para el cálculo de la Garantía por Posición se definen para cada tipo de Instrumento: </w:t>
      </w:r>
    </w:p>
    <w:p w14:paraId="0BE2DAED" w14:textId="77777777" w:rsidR="007968EC" w:rsidRDefault="007968EC" w:rsidP="007968EC">
      <w:pPr>
        <w:autoSpaceDE w:val="0"/>
        <w:autoSpaceDN w:val="0"/>
        <w:rPr>
          <w:rFonts w:ascii="Arial Narrow" w:eastAsia="Calibri" w:hAnsi="Arial Narrow"/>
          <w:color w:val="000000"/>
          <w:lang w:eastAsia="en-US"/>
        </w:rPr>
      </w:pPr>
      <w:r>
        <w:rPr>
          <w:rFonts w:ascii="Arial Narrow" w:eastAsia="Calibri" w:hAnsi="Arial Narrow"/>
          <w:color w:val="000000"/>
          <w:lang w:eastAsia="en-US"/>
        </w:rPr>
        <w:t xml:space="preserve"> </w:t>
      </w:r>
    </w:p>
    <w:p w14:paraId="18F56BD3" w14:textId="77777777" w:rsidR="007968EC" w:rsidRDefault="007968EC" w:rsidP="00DA7472">
      <w:pPr>
        <w:numPr>
          <w:ilvl w:val="0"/>
          <w:numId w:val="366"/>
        </w:numPr>
        <w:autoSpaceDE w:val="0"/>
        <w:autoSpaceDN w:val="0"/>
        <w:spacing w:after="160" w:line="256" w:lineRule="auto"/>
        <w:ind w:left="426" w:hanging="426"/>
        <w:contextualSpacing/>
        <w:jc w:val="both"/>
        <w:rPr>
          <w:rFonts w:ascii="Arial Narrow" w:eastAsia="Calibri" w:hAnsi="Arial Narrow"/>
          <w:b/>
          <w:bCs/>
          <w:color w:val="000000"/>
          <w:u w:val="single"/>
          <w:lang w:eastAsia="en-US"/>
        </w:rPr>
      </w:pPr>
      <w:r>
        <w:rPr>
          <w:rFonts w:ascii="Arial Narrow" w:eastAsia="Calibri" w:hAnsi="Arial Narrow"/>
          <w:color w:val="000000"/>
          <w:u w:val="single"/>
          <w:lang w:eastAsia="en-US"/>
        </w:rPr>
        <w:t>Futuro TES Corto Plazo:</w:t>
      </w:r>
    </w:p>
    <w:p w14:paraId="1A363A32" w14:textId="77777777" w:rsidR="007968EC" w:rsidRDefault="007968EC" w:rsidP="007968EC">
      <w:pPr>
        <w:autoSpaceDE w:val="0"/>
        <w:autoSpaceDN w:val="0"/>
        <w:rPr>
          <w:rFonts w:ascii="Arial Narrow" w:eastAsia="Calibri" w:hAnsi="Arial Narrow"/>
          <w:b/>
          <w:bCs/>
          <w:color w:val="000000"/>
          <w:lang w:eastAsia="en-US"/>
        </w:rPr>
      </w:pPr>
    </w:p>
    <w:p w14:paraId="2D636103" w14:textId="77777777" w:rsidR="007968EC" w:rsidRDefault="007968EC" w:rsidP="007968EC">
      <w:pPr>
        <w:autoSpaceDE w:val="0"/>
        <w:autoSpaceDN w:val="0"/>
        <w:jc w:val="both"/>
        <w:rPr>
          <w:rFonts w:ascii="Arial Narrow" w:eastAsia="Calibri" w:hAnsi="Arial Narrow"/>
          <w:color w:val="000000"/>
          <w:lang w:eastAsia="en-US"/>
        </w:rPr>
      </w:pPr>
      <w:r>
        <w:rPr>
          <w:rFonts w:ascii="Arial Narrow" w:eastAsia="Calibri" w:hAnsi="Arial Narrow"/>
          <w:color w:val="000000"/>
          <w:lang w:eastAsia="en-US"/>
        </w:rPr>
        <w:t>Para el Instrumento de Futuro TES Corto Plazo se tienen los siguientes parámetros:</w:t>
      </w:r>
    </w:p>
    <w:p w14:paraId="588D898E" w14:textId="77777777" w:rsidR="007968EC" w:rsidRDefault="007968EC" w:rsidP="007968EC">
      <w:pPr>
        <w:autoSpaceDE w:val="0"/>
        <w:autoSpaceDN w:val="0"/>
        <w:jc w:val="both"/>
        <w:rPr>
          <w:rFonts w:ascii="Arial Narrow" w:eastAsia="Calibri" w:hAnsi="Arial Narrow"/>
          <w:color w:val="000000"/>
          <w:lang w:eastAsia="en-US"/>
        </w:rPr>
      </w:pPr>
    </w:p>
    <w:p w14:paraId="48E2E1C7" w14:textId="77777777" w:rsidR="007968EC" w:rsidRDefault="007968EC" w:rsidP="007968EC">
      <w:pPr>
        <w:autoSpaceDE w:val="0"/>
        <w:autoSpaceDN w:val="0"/>
        <w:jc w:val="both"/>
        <w:rPr>
          <w:rFonts w:ascii="Arial Narrow" w:eastAsia="Calibri" w:hAnsi="Arial Narrow"/>
          <w:color w:val="000000"/>
          <w:lang w:eastAsia="en-US"/>
        </w:rPr>
      </w:pPr>
    </w:p>
    <w:tbl>
      <w:tblPr>
        <w:tblW w:w="8805" w:type="dxa"/>
        <w:jc w:val="center"/>
        <w:tblLayout w:type="fixed"/>
        <w:tblCellMar>
          <w:left w:w="70" w:type="dxa"/>
          <w:right w:w="70" w:type="dxa"/>
        </w:tblCellMar>
        <w:tblLook w:val="04A0" w:firstRow="1" w:lastRow="0" w:firstColumn="1" w:lastColumn="0" w:noHBand="0" w:noVBand="1"/>
      </w:tblPr>
      <w:tblGrid>
        <w:gridCol w:w="1797"/>
        <w:gridCol w:w="1529"/>
        <w:gridCol w:w="1368"/>
        <w:gridCol w:w="1276"/>
        <w:gridCol w:w="1417"/>
        <w:gridCol w:w="1418"/>
      </w:tblGrid>
      <w:tr w:rsidR="007968EC" w14:paraId="2CD0AE40" w14:textId="77777777" w:rsidTr="007968EC">
        <w:trPr>
          <w:trHeight w:val="555"/>
          <w:jc w:val="center"/>
        </w:trPr>
        <w:tc>
          <w:tcPr>
            <w:tcW w:w="1798" w:type="dxa"/>
            <w:shd w:val="clear" w:color="auto" w:fill="FFFFFF"/>
            <w:noWrap/>
            <w:vAlign w:val="bottom"/>
            <w:hideMark/>
          </w:tcPr>
          <w:p w14:paraId="42FC7D4A" w14:textId="77777777" w:rsidR="007968EC" w:rsidRDefault="007968EC" w:rsidP="007968EC">
            <w:pPr>
              <w:autoSpaceDE w:val="0"/>
              <w:autoSpaceDN w:val="0"/>
              <w:spacing w:line="256" w:lineRule="auto"/>
              <w:rPr>
                <w:rFonts w:ascii="Arial Narrow" w:eastAsia="Calibri" w:hAnsi="Arial Narrow"/>
                <w:b/>
                <w:bCs/>
                <w:color w:val="000000"/>
                <w:lang w:eastAsia="en-US"/>
              </w:rPr>
            </w:pPr>
            <w:r>
              <w:rPr>
                <w:rFonts w:ascii="Arial Narrow" w:eastAsia="Calibri" w:hAnsi="Arial Narrow"/>
                <w:color w:val="000000"/>
                <w:lang w:eastAsia="en-US"/>
              </w:rPr>
              <w:t> </w:t>
            </w:r>
          </w:p>
        </w:tc>
        <w:tc>
          <w:tcPr>
            <w:tcW w:w="1530" w:type="dxa"/>
            <w:tcBorders>
              <w:top w:val="single" w:sz="4" w:space="0" w:color="auto"/>
              <w:left w:val="single" w:sz="4" w:space="0" w:color="auto"/>
              <w:bottom w:val="nil"/>
              <w:right w:val="single" w:sz="4" w:space="0" w:color="auto"/>
            </w:tcBorders>
            <w:shd w:val="clear" w:color="auto" w:fill="FFFFFF"/>
            <w:vAlign w:val="center"/>
            <w:hideMark/>
          </w:tcPr>
          <w:p w14:paraId="6B5F4C3C"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Multiplicador del contrato</w:t>
            </w:r>
          </w:p>
        </w:tc>
        <w:tc>
          <w:tcPr>
            <w:tcW w:w="1368" w:type="dxa"/>
            <w:tcBorders>
              <w:top w:val="single" w:sz="4" w:space="0" w:color="auto"/>
              <w:left w:val="nil"/>
              <w:bottom w:val="nil"/>
              <w:right w:val="single" w:sz="4" w:space="0" w:color="auto"/>
            </w:tcBorders>
            <w:shd w:val="clear" w:color="auto" w:fill="FFFFFF"/>
            <w:vAlign w:val="center"/>
            <w:hideMark/>
          </w:tcPr>
          <w:p w14:paraId="41FC7728"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Nominal</w:t>
            </w:r>
          </w:p>
        </w:tc>
        <w:tc>
          <w:tcPr>
            <w:tcW w:w="1276" w:type="dxa"/>
            <w:tcBorders>
              <w:top w:val="single" w:sz="4" w:space="0" w:color="auto"/>
              <w:left w:val="nil"/>
              <w:bottom w:val="nil"/>
              <w:right w:val="single" w:sz="4" w:space="0" w:color="auto"/>
            </w:tcBorders>
            <w:shd w:val="clear" w:color="auto" w:fill="FFFFFF"/>
            <w:vAlign w:val="center"/>
            <w:hideMark/>
          </w:tcPr>
          <w:p w14:paraId="0D741FF6"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proofErr w:type="spellStart"/>
            <w:r>
              <w:rPr>
                <w:rFonts w:ascii="Arial Narrow" w:eastAsia="Calibri" w:hAnsi="Arial Narrow"/>
                <w:color w:val="000000"/>
                <w:lang w:eastAsia="en-US"/>
              </w:rPr>
              <w:t>Nº</w:t>
            </w:r>
            <w:proofErr w:type="spellEnd"/>
            <w:r>
              <w:rPr>
                <w:rFonts w:ascii="Arial Narrow" w:eastAsia="Calibri" w:hAnsi="Arial Narrow"/>
                <w:color w:val="000000"/>
                <w:lang w:eastAsia="en-US"/>
              </w:rPr>
              <w:t xml:space="preserve"> de escenarios</w:t>
            </w:r>
          </w:p>
        </w:tc>
        <w:tc>
          <w:tcPr>
            <w:tcW w:w="1417" w:type="dxa"/>
            <w:tcBorders>
              <w:top w:val="single" w:sz="4" w:space="0" w:color="auto"/>
              <w:left w:val="nil"/>
              <w:bottom w:val="nil"/>
              <w:right w:val="single" w:sz="4" w:space="0" w:color="auto"/>
            </w:tcBorders>
            <w:shd w:val="clear" w:color="auto" w:fill="FFFFFF"/>
            <w:vAlign w:val="center"/>
            <w:hideMark/>
          </w:tcPr>
          <w:p w14:paraId="3AFADF75"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Tipo Fluctuación</w:t>
            </w:r>
          </w:p>
        </w:tc>
        <w:tc>
          <w:tcPr>
            <w:tcW w:w="1418" w:type="dxa"/>
            <w:tcBorders>
              <w:top w:val="single" w:sz="4" w:space="0" w:color="auto"/>
              <w:left w:val="nil"/>
              <w:bottom w:val="nil"/>
              <w:right w:val="single" w:sz="4" w:space="0" w:color="auto"/>
            </w:tcBorders>
            <w:shd w:val="clear" w:color="auto" w:fill="FFFFFF"/>
            <w:vAlign w:val="center"/>
            <w:hideMark/>
          </w:tcPr>
          <w:p w14:paraId="455B6318"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Fluctuación</w:t>
            </w:r>
          </w:p>
          <w:p w14:paraId="5DF57685"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Total</w:t>
            </w:r>
          </w:p>
        </w:tc>
      </w:tr>
      <w:tr w:rsidR="007968EC" w14:paraId="7F378445" w14:textId="77777777" w:rsidTr="007968EC">
        <w:trPr>
          <w:trHeight w:val="255"/>
          <w:jc w:val="center"/>
        </w:trPr>
        <w:tc>
          <w:tcPr>
            <w:tcW w:w="17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B9903C"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Futuro TES Corto Plazo</w:t>
            </w:r>
          </w:p>
        </w:tc>
        <w:tc>
          <w:tcPr>
            <w:tcW w:w="1530" w:type="dxa"/>
            <w:tcBorders>
              <w:top w:val="single" w:sz="4" w:space="0" w:color="auto"/>
              <w:left w:val="nil"/>
              <w:bottom w:val="single" w:sz="4" w:space="0" w:color="auto"/>
              <w:right w:val="single" w:sz="4" w:space="0" w:color="auto"/>
            </w:tcBorders>
            <w:shd w:val="clear" w:color="auto" w:fill="FFFFFF"/>
            <w:noWrap/>
            <w:vAlign w:val="center"/>
            <w:hideMark/>
          </w:tcPr>
          <w:p w14:paraId="55DF3678"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2.500.000</w:t>
            </w:r>
          </w:p>
        </w:tc>
        <w:tc>
          <w:tcPr>
            <w:tcW w:w="1368" w:type="dxa"/>
            <w:tcBorders>
              <w:top w:val="single" w:sz="4" w:space="0" w:color="auto"/>
              <w:left w:val="nil"/>
              <w:bottom w:val="single" w:sz="4" w:space="0" w:color="auto"/>
              <w:right w:val="single" w:sz="4" w:space="0" w:color="auto"/>
            </w:tcBorders>
            <w:shd w:val="clear" w:color="auto" w:fill="FFFFFF"/>
            <w:noWrap/>
            <w:vAlign w:val="center"/>
            <w:hideMark/>
          </w:tcPr>
          <w:p w14:paraId="6F399047"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250.000.000</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14:paraId="0E60E935"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11</w:t>
            </w:r>
          </w:p>
        </w:tc>
        <w:tc>
          <w:tcPr>
            <w:tcW w:w="1417" w:type="dxa"/>
            <w:tcBorders>
              <w:top w:val="single" w:sz="4" w:space="0" w:color="auto"/>
              <w:left w:val="nil"/>
              <w:bottom w:val="single" w:sz="4" w:space="0" w:color="auto"/>
              <w:right w:val="single" w:sz="4" w:space="0" w:color="auto"/>
            </w:tcBorders>
            <w:shd w:val="clear" w:color="auto" w:fill="FFFFFF"/>
            <w:noWrap/>
            <w:vAlign w:val="center"/>
            <w:hideMark/>
          </w:tcPr>
          <w:p w14:paraId="36DF6202"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Porcentual</w:t>
            </w:r>
          </w:p>
        </w:tc>
        <w:tc>
          <w:tcPr>
            <w:tcW w:w="1418" w:type="dxa"/>
            <w:tcBorders>
              <w:top w:val="single" w:sz="4" w:space="0" w:color="auto"/>
              <w:left w:val="nil"/>
              <w:bottom w:val="single" w:sz="4" w:space="0" w:color="auto"/>
              <w:right w:val="single" w:sz="4" w:space="0" w:color="auto"/>
            </w:tcBorders>
            <w:shd w:val="clear" w:color="auto" w:fill="FFFFFF"/>
            <w:noWrap/>
            <w:vAlign w:val="center"/>
            <w:hideMark/>
          </w:tcPr>
          <w:p w14:paraId="32BFB2B4"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 xml:space="preserve">1.3% </w:t>
            </w:r>
          </w:p>
        </w:tc>
      </w:tr>
    </w:tbl>
    <w:p w14:paraId="0FDA45F4" w14:textId="77777777" w:rsidR="007968EC" w:rsidRDefault="007968EC" w:rsidP="007968EC">
      <w:pPr>
        <w:autoSpaceDE w:val="0"/>
        <w:autoSpaceDN w:val="0"/>
        <w:jc w:val="both"/>
        <w:rPr>
          <w:rFonts w:ascii="Arial Narrow" w:eastAsia="Calibri" w:hAnsi="Arial Narrow"/>
          <w:b/>
          <w:bCs/>
          <w:color w:val="000000"/>
          <w:lang w:eastAsia="en-US"/>
        </w:rPr>
      </w:pPr>
    </w:p>
    <w:p w14:paraId="43BA50EC" w14:textId="77777777" w:rsidR="007968EC" w:rsidRDefault="007968EC" w:rsidP="007968EC">
      <w:pPr>
        <w:autoSpaceDE w:val="0"/>
        <w:autoSpaceDN w:val="0"/>
        <w:jc w:val="both"/>
        <w:rPr>
          <w:rFonts w:ascii="Arial Narrow" w:eastAsia="Calibri" w:hAnsi="Arial Narrow"/>
          <w:b/>
          <w:bCs/>
          <w:color w:val="000000"/>
          <w:lang w:eastAsia="en-US"/>
        </w:rPr>
      </w:pPr>
    </w:p>
    <w:p w14:paraId="5DBF38D0" w14:textId="77777777" w:rsidR="007968EC" w:rsidRDefault="007968EC" w:rsidP="007968EC">
      <w:pPr>
        <w:autoSpaceDE w:val="0"/>
        <w:autoSpaceDN w:val="0"/>
        <w:jc w:val="both"/>
        <w:rPr>
          <w:rFonts w:ascii="Arial Narrow" w:eastAsia="Calibri" w:hAnsi="Arial Narrow"/>
          <w:b/>
          <w:bCs/>
          <w:color w:val="000000"/>
          <w:lang w:eastAsia="en-US"/>
        </w:rPr>
      </w:pPr>
    </w:p>
    <w:tbl>
      <w:tblPr>
        <w:tblW w:w="6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16"/>
        <w:gridCol w:w="1439"/>
        <w:gridCol w:w="1518"/>
        <w:gridCol w:w="1902"/>
      </w:tblGrid>
      <w:tr w:rsidR="007968EC" w14:paraId="6239AFAC" w14:textId="77777777" w:rsidTr="007968EC">
        <w:trPr>
          <w:trHeight w:val="555"/>
          <w:jc w:val="center"/>
        </w:trPr>
        <w:tc>
          <w:tcPr>
            <w:tcW w:w="1818" w:type="dxa"/>
            <w:tcBorders>
              <w:top w:val="nil"/>
              <w:left w:val="nil"/>
              <w:bottom w:val="single" w:sz="4" w:space="0" w:color="auto"/>
              <w:right w:val="single" w:sz="4" w:space="0" w:color="auto"/>
            </w:tcBorders>
            <w:shd w:val="clear" w:color="auto" w:fill="FFFFFF"/>
            <w:noWrap/>
            <w:vAlign w:val="bottom"/>
            <w:hideMark/>
          </w:tcPr>
          <w:p w14:paraId="0BF35D8E" w14:textId="77777777" w:rsidR="007968EC" w:rsidRDefault="007968EC" w:rsidP="007968EC">
            <w:pPr>
              <w:autoSpaceDE w:val="0"/>
              <w:autoSpaceDN w:val="0"/>
              <w:spacing w:line="256" w:lineRule="auto"/>
              <w:rPr>
                <w:rFonts w:ascii="Arial Narrow" w:eastAsia="Calibri" w:hAnsi="Arial Narrow"/>
                <w:b/>
                <w:bCs/>
                <w:color w:val="000000"/>
                <w:lang w:eastAsia="en-US"/>
              </w:rPr>
            </w:pPr>
            <w:r>
              <w:rPr>
                <w:rFonts w:ascii="Arial Narrow" w:eastAsia="Calibri" w:hAnsi="Arial Narrow"/>
                <w:color w:val="000000"/>
                <w:lang w:eastAsia="en-US"/>
              </w:rPr>
              <w:t> </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58C9D6" w14:textId="77777777" w:rsidR="007968EC" w:rsidRDefault="007968EC" w:rsidP="007968EC">
            <w:pPr>
              <w:autoSpaceDE w:val="0"/>
              <w:autoSpaceDN w:val="0"/>
              <w:spacing w:line="256" w:lineRule="auto"/>
              <w:jc w:val="center"/>
              <w:rPr>
                <w:rFonts w:ascii="Arial Narrow" w:eastAsia="Calibri" w:hAnsi="Arial Narrow"/>
                <w:b/>
                <w:bCs/>
                <w:color w:val="000000"/>
                <w:lang w:val="pt-BR" w:eastAsia="en-US"/>
              </w:rPr>
            </w:pPr>
            <w:r>
              <w:rPr>
                <w:rFonts w:ascii="Arial Narrow" w:eastAsia="Calibri" w:hAnsi="Arial Narrow"/>
                <w:color w:val="000000"/>
                <w:lang w:val="pt-BR" w:eastAsia="en-US"/>
              </w:rPr>
              <w:t>Factor de cobertura por Time Spread</w:t>
            </w: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43C186"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Valor mínimo por Spread</w:t>
            </w:r>
          </w:p>
        </w:tc>
        <w:tc>
          <w:tcPr>
            <w:tcW w:w="19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642705"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Fluctuación para llamados a Garantías Extraordinarias</w:t>
            </w:r>
          </w:p>
        </w:tc>
      </w:tr>
      <w:tr w:rsidR="007968EC" w14:paraId="5B9936BB" w14:textId="77777777" w:rsidTr="007968EC">
        <w:trPr>
          <w:trHeight w:val="255"/>
          <w:jc w:val="center"/>
        </w:trPr>
        <w:tc>
          <w:tcPr>
            <w:tcW w:w="18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A1556EA"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Futuro TES Corto Plazo</w:t>
            </w:r>
          </w:p>
        </w:tc>
        <w:tc>
          <w:tcPr>
            <w:tcW w:w="144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B42B64"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1.2</w:t>
            </w:r>
          </w:p>
        </w:tc>
        <w:tc>
          <w:tcPr>
            <w:tcW w:w="151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F19A1B"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0.27</w:t>
            </w:r>
          </w:p>
        </w:tc>
        <w:tc>
          <w:tcPr>
            <w:tcW w:w="19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B1E488"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0.97%</w:t>
            </w:r>
          </w:p>
        </w:tc>
      </w:tr>
    </w:tbl>
    <w:p w14:paraId="1FD5918E" w14:textId="77777777" w:rsidR="007968EC" w:rsidRDefault="007968EC" w:rsidP="007968EC">
      <w:pPr>
        <w:autoSpaceDE w:val="0"/>
        <w:autoSpaceDN w:val="0"/>
        <w:rPr>
          <w:rFonts w:ascii="Arial Narrow" w:eastAsia="Calibri" w:hAnsi="Arial Narrow"/>
          <w:b/>
          <w:bCs/>
          <w:color w:val="000000"/>
          <w:lang w:eastAsia="en-US"/>
        </w:rPr>
      </w:pPr>
    </w:p>
    <w:p w14:paraId="5F3DC475" w14:textId="77777777" w:rsidR="007968EC" w:rsidRDefault="007968EC" w:rsidP="007968EC">
      <w:pPr>
        <w:autoSpaceDE w:val="0"/>
        <w:autoSpaceDN w:val="0"/>
        <w:rPr>
          <w:rFonts w:ascii="Arial Narrow" w:eastAsia="Calibri" w:hAnsi="Arial Narrow"/>
          <w:b/>
          <w:bCs/>
          <w:color w:val="000000"/>
          <w:lang w:eastAsia="en-US"/>
        </w:rPr>
      </w:pPr>
    </w:p>
    <w:p w14:paraId="5FA6AE78" w14:textId="77777777" w:rsidR="007968EC" w:rsidRDefault="007968EC" w:rsidP="00DA7472">
      <w:pPr>
        <w:numPr>
          <w:ilvl w:val="0"/>
          <w:numId w:val="366"/>
        </w:numPr>
        <w:autoSpaceDE w:val="0"/>
        <w:autoSpaceDN w:val="0"/>
        <w:spacing w:after="160" w:line="256" w:lineRule="auto"/>
        <w:ind w:left="426" w:hanging="426"/>
        <w:contextualSpacing/>
        <w:jc w:val="both"/>
        <w:rPr>
          <w:rFonts w:ascii="Arial Narrow" w:eastAsia="Calibri" w:hAnsi="Arial Narrow"/>
          <w:b/>
          <w:bCs/>
          <w:color w:val="000000"/>
          <w:u w:val="single"/>
          <w:lang w:eastAsia="en-US"/>
        </w:rPr>
      </w:pPr>
      <w:r>
        <w:rPr>
          <w:rFonts w:ascii="Arial Narrow" w:eastAsia="Calibri" w:hAnsi="Arial Narrow"/>
          <w:color w:val="000000"/>
          <w:u w:val="single"/>
          <w:lang w:eastAsia="en-US"/>
        </w:rPr>
        <w:t>Futuro TES Mediano Plazo:</w:t>
      </w:r>
    </w:p>
    <w:p w14:paraId="18801600" w14:textId="77777777" w:rsidR="007968EC" w:rsidRDefault="007968EC" w:rsidP="007968EC">
      <w:pPr>
        <w:autoSpaceDE w:val="0"/>
        <w:autoSpaceDN w:val="0"/>
        <w:rPr>
          <w:rFonts w:ascii="Arial Narrow" w:eastAsia="Calibri" w:hAnsi="Arial Narrow"/>
          <w:b/>
          <w:bCs/>
          <w:color w:val="000000"/>
          <w:lang w:eastAsia="en-US"/>
        </w:rPr>
      </w:pPr>
    </w:p>
    <w:p w14:paraId="04D8C0C4" w14:textId="77777777" w:rsidR="007968EC" w:rsidRDefault="007968EC" w:rsidP="007968EC">
      <w:pPr>
        <w:autoSpaceDE w:val="0"/>
        <w:autoSpaceDN w:val="0"/>
        <w:jc w:val="both"/>
        <w:rPr>
          <w:rFonts w:ascii="Arial Narrow" w:eastAsia="Calibri" w:hAnsi="Arial Narrow"/>
          <w:color w:val="000000"/>
          <w:lang w:eastAsia="en-US"/>
        </w:rPr>
      </w:pPr>
      <w:r>
        <w:rPr>
          <w:rFonts w:ascii="Arial Narrow" w:eastAsia="Calibri" w:hAnsi="Arial Narrow"/>
          <w:color w:val="000000"/>
          <w:lang w:eastAsia="en-US"/>
        </w:rPr>
        <w:t>Para el Instrumento de Futuro TES Mediano Plazo se tienen los siguientes parámetros:</w:t>
      </w:r>
    </w:p>
    <w:p w14:paraId="0A67CC9D" w14:textId="77777777" w:rsidR="007968EC" w:rsidRDefault="007968EC" w:rsidP="007968EC">
      <w:pPr>
        <w:autoSpaceDE w:val="0"/>
        <w:autoSpaceDN w:val="0"/>
        <w:jc w:val="both"/>
        <w:rPr>
          <w:rFonts w:ascii="Arial Narrow" w:eastAsia="Calibri" w:hAnsi="Arial Narrow"/>
          <w:color w:val="000000"/>
          <w:lang w:eastAsia="en-US"/>
        </w:rPr>
      </w:pPr>
    </w:p>
    <w:p w14:paraId="4B21595C" w14:textId="77777777" w:rsidR="007968EC" w:rsidRDefault="007968EC" w:rsidP="007968EC">
      <w:pPr>
        <w:autoSpaceDE w:val="0"/>
        <w:autoSpaceDN w:val="0"/>
        <w:rPr>
          <w:rFonts w:ascii="Arial Narrow" w:eastAsia="Calibri" w:hAnsi="Arial Narrow"/>
          <w:b/>
          <w:bCs/>
          <w:color w:val="000000"/>
          <w:lang w:eastAsia="en-US"/>
        </w:rPr>
      </w:pPr>
    </w:p>
    <w:tbl>
      <w:tblPr>
        <w:tblW w:w="8805" w:type="dxa"/>
        <w:jc w:val="center"/>
        <w:tblLayout w:type="fixed"/>
        <w:tblCellMar>
          <w:left w:w="70" w:type="dxa"/>
          <w:right w:w="70" w:type="dxa"/>
        </w:tblCellMar>
        <w:tblLook w:val="04A0" w:firstRow="1" w:lastRow="0" w:firstColumn="1" w:lastColumn="0" w:noHBand="0" w:noVBand="1"/>
      </w:tblPr>
      <w:tblGrid>
        <w:gridCol w:w="1797"/>
        <w:gridCol w:w="1529"/>
        <w:gridCol w:w="1368"/>
        <w:gridCol w:w="1276"/>
        <w:gridCol w:w="1417"/>
        <w:gridCol w:w="1418"/>
      </w:tblGrid>
      <w:tr w:rsidR="007968EC" w14:paraId="5D55D121" w14:textId="77777777" w:rsidTr="007968EC">
        <w:trPr>
          <w:trHeight w:val="555"/>
          <w:jc w:val="center"/>
        </w:trPr>
        <w:tc>
          <w:tcPr>
            <w:tcW w:w="1798" w:type="dxa"/>
            <w:tcBorders>
              <w:top w:val="nil"/>
              <w:left w:val="nil"/>
              <w:bottom w:val="nil"/>
              <w:right w:val="single" w:sz="4" w:space="0" w:color="auto"/>
            </w:tcBorders>
            <w:shd w:val="clear" w:color="auto" w:fill="FFFFFF"/>
            <w:noWrap/>
            <w:vAlign w:val="bottom"/>
            <w:hideMark/>
          </w:tcPr>
          <w:p w14:paraId="596DEC59" w14:textId="77777777" w:rsidR="007968EC" w:rsidRDefault="007968EC" w:rsidP="007968EC">
            <w:pPr>
              <w:autoSpaceDE w:val="0"/>
              <w:autoSpaceDN w:val="0"/>
              <w:spacing w:line="256" w:lineRule="auto"/>
              <w:rPr>
                <w:rFonts w:ascii="Arial Narrow" w:eastAsia="Calibri" w:hAnsi="Arial Narrow"/>
                <w:b/>
                <w:bCs/>
                <w:color w:val="000000"/>
                <w:lang w:eastAsia="en-US"/>
              </w:rPr>
            </w:pPr>
            <w:r>
              <w:rPr>
                <w:rFonts w:ascii="Arial Narrow" w:eastAsia="Calibri" w:hAnsi="Arial Narrow"/>
                <w:color w:val="000000"/>
                <w:lang w:eastAsia="en-US"/>
              </w:rPr>
              <w:t> </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10E893"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Multiplicador del contrato</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B72BDD"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Nominal</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1A9CAB"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proofErr w:type="spellStart"/>
            <w:r>
              <w:rPr>
                <w:rFonts w:ascii="Arial Narrow" w:eastAsia="Calibri" w:hAnsi="Arial Narrow"/>
                <w:color w:val="000000"/>
                <w:lang w:eastAsia="en-US"/>
              </w:rPr>
              <w:t>Nº</w:t>
            </w:r>
            <w:proofErr w:type="spellEnd"/>
            <w:r>
              <w:rPr>
                <w:rFonts w:ascii="Arial Narrow" w:eastAsia="Calibri" w:hAnsi="Arial Narrow"/>
                <w:color w:val="000000"/>
                <w:lang w:eastAsia="en-US"/>
              </w:rPr>
              <w:t xml:space="preserve"> de escenarios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F92EBA"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Tipo Fluctuación</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8270E9"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Fluctuación</w:t>
            </w:r>
          </w:p>
          <w:p w14:paraId="2E325E3B"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Total</w:t>
            </w:r>
          </w:p>
        </w:tc>
      </w:tr>
      <w:tr w:rsidR="007968EC" w14:paraId="4D640C74" w14:textId="77777777" w:rsidTr="007968EC">
        <w:trPr>
          <w:trHeight w:val="255"/>
          <w:jc w:val="center"/>
        </w:trPr>
        <w:tc>
          <w:tcPr>
            <w:tcW w:w="17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044B4B5"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Futuro TES Mediano Plazo</w:t>
            </w:r>
          </w:p>
        </w:tc>
        <w:tc>
          <w:tcPr>
            <w:tcW w:w="1530" w:type="dxa"/>
            <w:tcBorders>
              <w:top w:val="single" w:sz="4" w:space="0" w:color="auto"/>
              <w:left w:val="nil"/>
              <w:bottom w:val="single" w:sz="4" w:space="0" w:color="auto"/>
              <w:right w:val="single" w:sz="4" w:space="0" w:color="auto"/>
            </w:tcBorders>
            <w:shd w:val="clear" w:color="auto" w:fill="FFFFFF"/>
            <w:noWrap/>
            <w:vAlign w:val="center"/>
            <w:hideMark/>
          </w:tcPr>
          <w:p w14:paraId="26D555CD"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2.500.000</w:t>
            </w:r>
          </w:p>
        </w:tc>
        <w:tc>
          <w:tcPr>
            <w:tcW w:w="1368" w:type="dxa"/>
            <w:tcBorders>
              <w:top w:val="single" w:sz="4" w:space="0" w:color="auto"/>
              <w:left w:val="nil"/>
              <w:bottom w:val="single" w:sz="4" w:space="0" w:color="auto"/>
              <w:right w:val="single" w:sz="4" w:space="0" w:color="auto"/>
            </w:tcBorders>
            <w:shd w:val="clear" w:color="auto" w:fill="FFFFFF"/>
            <w:noWrap/>
            <w:vAlign w:val="center"/>
            <w:hideMark/>
          </w:tcPr>
          <w:p w14:paraId="61496F57"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250.000.000</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14:paraId="59413C96"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11</w:t>
            </w:r>
          </w:p>
        </w:tc>
        <w:tc>
          <w:tcPr>
            <w:tcW w:w="1417" w:type="dxa"/>
            <w:tcBorders>
              <w:top w:val="single" w:sz="4" w:space="0" w:color="auto"/>
              <w:left w:val="nil"/>
              <w:bottom w:val="single" w:sz="4" w:space="0" w:color="auto"/>
              <w:right w:val="single" w:sz="4" w:space="0" w:color="auto"/>
            </w:tcBorders>
            <w:shd w:val="clear" w:color="auto" w:fill="FFFFFF"/>
            <w:noWrap/>
            <w:vAlign w:val="center"/>
            <w:hideMark/>
          </w:tcPr>
          <w:p w14:paraId="36BE3A7B"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Porcentual</w:t>
            </w:r>
          </w:p>
        </w:tc>
        <w:tc>
          <w:tcPr>
            <w:tcW w:w="1418" w:type="dxa"/>
            <w:tcBorders>
              <w:top w:val="single" w:sz="4" w:space="0" w:color="auto"/>
              <w:left w:val="nil"/>
              <w:bottom w:val="single" w:sz="4" w:space="0" w:color="auto"/>
              <w:right w:val="single" w:sz="4" w:space="0" w:color="auto"/>
            </w:tcBorders>
            <w:shd w:val="clear" w:color="auto" w:fill="FFFFFF"/>
            <w:noWrap/>
            <w:vAlign w:val="center"/>
            <w:hideMark/>
          </w:tcPr>
          <w:p w14:paraId="3AD6616B"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 xml:space="preserve"> 2.1%</w:t>
            </w:r>
          </w:p>
        </w:tc>
      </w:tr>
    </w:tbl>
    <w:p w14:paraId="123E9C07" w14:textId="77777777" w:rsidR="007968EC" w:rsidRDefault="007968EC" w:rsidP="007968EC">
      <w:pPr>
        <w:autoSpaceDE w:val="0"/>
        <w:autoSpaceDN w:val="0"/>
        <w:rPr>
          <w:rFonts w:ascii="Arial Narrow" w:eastAsia="Calibri" w:hAnsi="Arial Narrow"/>
          <w:b/>
          <w:bCs/>
          <w:color w:val="000000"/>
          <w:lang w:eastAsia="en-US"/>
        </w:rPr>
      </w:pPr>
    </w:p>
    <w:tbl>
      <w:tblPr>
        <w:tblW w:w="6315" w:type="dxa"/>
        <w:jc w:val="center"/>
        <w:tblLayout w:type="fixed"/>
        <w:tblCellMar>
          <w:left w:w="70" w:type="dxa"/>
          <w:right w:w="70" w:type="dxa"/>
        </w:tblCellMar>
        <w:tblLook w:val="04A0" w:firstRow="1" w:lastRow="0" w:firstColumn="1" w:lastColumn="0" w:noHBand="0" w:noVBand="1"/>
      </w:tblPr>
      <w:tblGrid>
        <w:gridCol w:w="1816"/>
        <w:gridCol w:w="1440"/>
        <w:gridCol w:w="1519"/>
        <w:gridCol w:w="1540"/>
      </w:tblGrid>
      <w:tr w:rsidR="007968EC" w14:paraId="061CD912" w14:textId="77777777" w:rsidTr="007968EC">
        <w:trPr>
          <w:trHeight w:val="555"/>
          <w:jc w:val="center"/>
        </w:trPr>
        <w:tc>
          <w:tcPr>
            <w:tcW w:w="1818" w:type="dxa"/>
            <w:tcBorders>
              <w:top w:val="nil"/>
              <w:left w:val="nil"/>
              <w:bottom w:val="nil"/>
              <w:right w:val="single" w:sz="4" w:space="0" w:color="auto"/>
            </w:tcBorders>
            <w:shd w:val="clear" w:color="auto" w:fill="FFFFFF"/>
            <w:noWrap/>
            <w:vAlign w:val="bottom"/>
            <w:hideMark/>
          </w:tcPr>
          <w:p w14:paraId="06F482E0"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 </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4D860B"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Factor por Time Spread</w:t>
            </w:r>
          </w:p>
        </w:tc>
        <w:tc>
          <w:tcPr>
            <w:tcW w:w="1519" w:type="dxa"/>
            <w:tcBorders>
              <w:top w:val="single" w:sz="4" w:space="0" w:color="auto"/>
              <w:left w:val="nil"/>
              <w:bottom w:val="single" w:sz="4" w:space="0" w:color="auto"/>
              <w:right w:val="single" w:sz="4" w:space="0" w:color="auto"/>
            </w:tcBorders>
            <w:shd w:val="clear" w:color="auto" w:fill="FFFFFF"/>
            <w:vAlign w:val="center"/>
            <w:hideMark/>
          </w:tcPr>
          <w:p w14:paraId="521C3673"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Valor mínimo por Spread</w:t>
            </w:r>
          </w:p>
        </w:tc>
        <w:tc>
          <w:tcPr>
            <w:tcW w:w="1540" w:type="dxa"/>
            <w:tcBorders>
              <w:top w:val="single" w:sz="4" w:space="0" w:color="auto"/>
              <w:left w:val="nil"/>
              <w:bottom w:val="single" w:sz="4" w:space="0" w:color="auto"/>
              <w:right w:val="single" w:sz="4" w:space="0" w:color="auto"/>
            </w:tcBorders>
            <w:shd w:val="clear" w:color="auto" w:fill="FFFFFF"/>
            <w:vAlign w:val="center"/>
            <w:hideMark/>
          </w:tcPr>
          <w:p w14:paraId="1F61CDB2"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 xml:space="preserve">Fluctuación para llamados </w:t>
            </w:r>
            <w:r>
              <w:rPr>
                <w:rFonts w:ascii="Arial Narrow" w:eastAsia="Calibri" w:hAnsi="Arial Narrow"/>
                <w:color w:val="000000"/>
                <w:lang w:eastAsia="en-US"/>
              </w:rPr>
              <w:lastRenderedPageBreak/>
              <w:t>a Garantías Extraordinarias</w:t>
            </w:r>
          </w:p>
        </w:tc>
      </w:tr>
      <w:tr w:rsidR="007968EC" w14:paraId="2799286E" w14:textId="77777777" w:rsidTr="007968EC">
        <w:trPr>
          <w:trHeight w:val="255"/>
          <w:jc w:val="center"/>
        </w:trPr>
        <w:tc>
          <w:tcPr>
            <w:tcW w:w="18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C02BE2"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lastRenderedPageBreak/>
              <w:t>Futuro TES Mediano Plazo</w:t>
            </w:r>
          </w:p>
        </w:tc>
        <w:tc>
          <w:tcPr>
            <w:tcW w:w="1440" w:type="dxa"/>
            <w:tcBorders>
              <w:top w:val="single" w:sz="4" w:space="0" w:color="auto"/>
              <w:left w:val="nil"/>
              <w:bottom w:val="single" w:sz="4" w:space="0" w:color="auto"/>
              <w:right w:val="single" w:sz="4" w:space="0" w:color="auto"/>
            </w:tcBorders>
            <w:shd w:val="clear" w:color="auto" w:fill="FFFFFF"/>
            <w:noWrap/>
            <w:vAlign w:val="center"/>
            <w:hideMark/>
          </w:tcPr>
          <w:p w14:paraId="36603440"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1.2</w:t>
            </w:r>
          </w:p>
        </w:tc>
        <w:tc>
          <w:tcPr>
            <w:tcW w:w="1519" w:type="dxa"/>
            <w:tcBorders>
              <w:top w:val="single" w:sz="4" w:space="0" w:color="auto"/>
              <w:left w:val="nil"/>
              <w:bottom w:val="single" w:sz="4" w:space="0" w:color="auto"/>
              <w:right w:val="single" w:sz="4" w:space="0" w:color="auto"/>
            </w:tcBorders>
            <w:shd w:val="clear" w:color="auto" w:fill="FFFFFF"/>
            <w:noWrap/>
            <w:vAlign w:val="center"/>
            <w:hideMark/>
          </w:tcPr>
          <w:p w14:paraId="23C1491A"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0.47</w:t>
            </w:r>
          </w:p>
        </w:tc>
        <w:tc>
          <w:tcPr>
            <w:tcW w:w="1540" w:type="dxa"/>
            <w:tcBorders>
              <w:top w:val="single" w:sz="4" w:space="0" w:color="auto"/>
              <w:left w:val="nil"/>
              <w:bottom w:val="single" w:sz="4" w:space="0" w:color="auto"/>
              <w:right w:val="single" w:sz="4" w:space="0" w:color="auto"/>
            </w:tcBorders>
            <w:shd w:val="clear" w:color="auto" w:fill="FFFFFF"/>
            <w:noWrap/>
            <w:vAlign w:val="center"/>
            <w:hideMark/>
          </w:tcPr>
          <w:p w14:paraId="491E39B8"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 xml:space="preserve"> 1.57%</w:t>
            </w:r>
          </w:p>
        </w:tc>
      </w:tr>
    </w:tbl>
    <w:p w14:paraId="39B0BC9C" w14:textId="77777777" w:rsidR="007968EC" w:rsidRDefault="007968EC" w:rsidP="007968EC">
      <w:pPr>
        <w:autoSpaceDE w:val="0"/>
        <w:autoSpaceDN w:val="0"/>
        <w:jc w:val="both"/>
        <w:rPr>
          <w:rFonts w:ascii="Arial Narrow" w:eastAsia="Calibri" w:hAnsi="Arial Narrow"/>
          <w:b/>
          <w:bCs/>
          <w:color w:val="000000"/>
          <w:lang w:eastAsia="en-US"/>
        </w:rPr>
      </w:pPr>
    </w:p>
    <w:p w14:paraId="4C406C6F" w14:textId="77777777" w:rsidR="007968EC" w:rsidRDefault="007968EC" w:rsidP="007968EC">
      <w:pPr>
        <w:autoSpaceDE w:val="0"/>
        <w:autoSpaceDN w:val="0"/>
        <w:rPr>
          <w:rFonts w:ascii="Arial Narrow" w:eastAsia="Calibri" w:hAnsi="Arial Narrow"/>
          <w:b/>
          <w:bCs/>
          <w:color w:val="000000"/>
          <w:lang w:eastAsia="en-US"/>
        </w:rPr>
      </w:pPr>
    </w:p>
    <w:p w14:paraId="5E8CCE44" w14:textId="77777777" w:rsidR="007968EC" w:rsidRDefault="007968EC" w:rsidP="00DA7472">
      <w:pPr>
        <w:numPr>
          <w:ilvl w:val="0"/>
          <w:numId w:val="366"/>
        </w:numPr>
        <w:autoSpaceDE w:val="0"/>
        <w:autoSpaceDN w:val="0"/>
        <w:spacing w:after="160" w:line="256" w:lineRule="auto"/>
        <w:ind w:left="426" w:hanging="426"/>
        <w:contextualSpacing/>
        <w:jc w:val="both"/>
        <w:rPr>
          <w:rFonts w:ascii="Arial Narrow" w:eastAsia="Calibri" w:hAnsi="Arial Narrow"/>
          <w:b/>
          <w:bCs/>
          <w:color w:val="000000"/>
          <w:u w:val="single"/>
          <w:lang w:eastAsia="en-US"/>
        </w:rPr>
      </w:pPr>
      <w:r>
        <w:rPr>
          <w:rFonts w:ascii="Arial Narrow" w:eastAsia="Calibri" w:hAnsi="Arial Narrow"/>
          <w:color w:val="000000"/>
          <w:u w:val="single"/>
          <w:lang w:eastAsia="en-US"/>
        </w:rPr>
        <w:t>Futuro TES Largo Plazo:</w:t>
      </w:r>
    </w:p>
    <w:p w14:paraId="5AD1EEC7" w14:textId="77777777" w:rsidR="007968EC" w:rsidRDefault="007968EC" w:rsidP="007968EC">
      <w:pPr>
        <w:autoSpaceDE w:val="0"/>
        <w:autoSpaceDN w:val="0"/>
        <w:rPr>
          <w:rFonts w:ascii="Arial Narrow" w:eastAsia="Calibri" w:hAnsi="Arial Narrow"/>
          <w:b/>
          <w:bCs/>
          <w:color w:val="000000"/>
          <w:lang w:eastAsia="en-US"/>
        </w:rPr>
      </w:pPr>
    </w:p>
    <w:p w14:paraId="42C22D99" w14:textId="77777777" w:rsidR="007968EC" w:rsidRDefault="007968EC" w:rsidP="007968EC">
      <w:pPr>
        <w:autoSpaceDE w:val="0"/>
        <w:autoSpaceDN w:val="0"/>
        <w:jc w:val="both"/>
        <w:rPr>
          <w:rFonts w:ascii="Arial Narrow" w:eastAsia="Calibri" w:hAnsi="Arial Narrow"/>
          <w:color w:val="000000"/>
          <w:lang w:eastAsia="en-US"/>
        </w:rPr>
      </w:pPr>
      <w:r>
        <w:rPr>
          <w:rFonts w:ascii="Arial Narrow" w:eastAsia="Calibri" w:hAnsi="Arial Narrow"/>
          <w:color w:val="000000"/>
          <w:lang w:eastAsia="en-US"/>
        </w:rPr>
        <w:t>Para el Instrumento de Futuro TES Largo Plazo se tienen los siguientes parámetros:</w:t>
      </w:r>
    </w:p>
    <w:p w14:paraId="2E5C103D" w14:textId="77777777" w:rsidR="007968EC" w:rsidRDefault="007968EC" w:rsidP="007968EC">
      <w:pPr>
        <w:autoSpaceDE w:val="0"/>
        <w:autoSpaceDN w:val="0"/>
        <w:jc w:val="both"/>
        <w:rPr>
          <w:rFonts w:ascii="Arial Narrow" w:eastAsia="Calibri" w:hAnsi="Arial Narrow"/>
          <w:color w:val="000000"/>
          <w:lang w:eastAsia="en-US"/>
        </w:rPr>
      </w:pPr>
    </w:p>
    <w:p w14:paraId="1CE7BCD8" w14:textId="77777777" w:rsidR="007968EC" w:rsidRDefault="007968EC" w:rsidP="007968EC">
      <w:pPr>
        <w:autoSpaceDE w:val="0"/>
        <w:autoSpaceDN w:val="0"/>
        <w:rPr>
          <w:rFonts w:ascii="Arial Narrow" w:eastAsia="Calibri" w:hAnsi="Arial Narrow"/>
          <w:b/>
          <w:bCs/>
          <w:color w:val="000000"/>
          <w:lang w:eastAsia="en-US"/>
        </w:rPr>
      </w:pPr>
    </w:p>
    <w:tbl>
      <w:tblPr>
        <w:tblW w:w="8805" w:type="dxa"/>
        <w:jc w:val="center"/>
        <w:tblLayout w:type="fixed"/>
        <w:tblCellMar>
          <w:left w:w="70" w:type="dxa"/>
          <w:right w:w="70" w:type="dxa"/>
        </w:tblCellMar>
        <w:tblLook w:val="04A0" w:firstRow="1" w:lastRow="0" w:firstColumn="1" w:lastColumn="0" w:noHBand="0" w:noVBand="1"/>
      </w:tblPr>
      <w:tblGrid>
        <w:gridCol w:w="1797"/>
        <w:gridCol w:w="1529"/>
        <w:gridCol w:w="1368"/>
        <w:gridCol w:w="1276"/>
        <w:gridCol w:w="1417"/>
        <w:gridCol w:w="1418"/>
      </w:tblGrid>
      <w:tr w:rsidR="007968EC" w14:paraId="7AAA7A2D" w14:textId="77777777" w:rsidTr="007968EC">
        <w:trPr>
          <w:trHeight w:val="70"/>
          <w:jc w:val="center"/>
        </w:trPr>
        <w:tc>
          <w:tcPr>
            <w:tcW w:w="1798" w:type="dxa"/>
            <w:tcBorders>
              <w:top w:val="nil"/>
              <w:left w:val="nil"/>
              <w:bottom w:val="nil"/>
              <w:right w:val="single" w:sz="4" w:space="0" w:color="auto"/>
            </w:tcBorders>
            <w:shd w:val="clear" w:color="auto" w:fill="FFFFFF"/>
            <w:noWrap/>
            <w:vAlign w:val="bottom"/>
            <w:hideMark/>
          </w:tcPr>
          <w:p w14:paraId="0144654B" w14:textId="77777777" w:rsidR="007968EC" w:rsidRDefault="007968EC" w:rsidP="007968EC">
            <w:pPr>
              <w:autoSpaceDE w:val="0"/>
              <w:autoSpaceDN w:val="0"/>
              <w:spacing w:line="256" w:lineRule="auto"/>
              <w:rPr>
                <w:rFonts w:ascii="Arial Narrow" w:eastAsia="Calibri" w:hAnsi="Arial Narrow"/>
                <w:b/>
                <w:bCs/>
                <w:color w:val="000000"/>
                <w:lang w:eastAsia="en-US"/>
              </w:rPr>
            </w:pPr>
            <w:r>
              <w:rPr>
                <w:rFonts w:ascii="Arial Narrow" w:eastAsia="Calibri" w:hAnsi="Arial Narrow"/>
                <w:color w:val="000000"/>
                <w:lang w:eastAsia="en-US"/>
              </w:rPr>
              <w:t> </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EE91EA"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Multiplicador del contrato</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60832B"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Nominal</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94E0A9"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proofErr w:type="spellStart"/>
            <w:r>
              <w:rPr>
                <w:rFonts w:ascii="Arial Narrow" w:eastAsia="Calibri" w:hAnsi="Arial Narrow"/>
                <w:color w:val="000000"/>
                <w:lang w:eastAsia="en-US"/>
              </w:rPr>
              <w:t>Nº</w:t>
            </w:r>
            <w:proofErr w:type="spellEnd"/>
            <w:r>
              <w:rPr>
                <w:rFonts w:ascii="Arial Narrow" w:eastAsia="Calibri" w:hAnsi="Arial Narrow"/>
                <w:color w:val="000000"/>
                <w:lang w:eastAsia="en-US"/>
              </w:rPr>
              <w:t xml:space="preserve"> de escenarios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7B9DA5"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Tipo Fluctuación</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5B8C26"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Fluctuación</w:t>
            </w:r>
          </w:p>
          <w:p w14:paraId="151C530B"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Total</w:t>
            </w:r>
          </w:p>
        </w:tc>
      </w:tr>
      <w:tr w:rsidR="007968EC" w14:paraId="1B5AADFA" w14:textId="77777777" w:rsidTr="007968EC">
        <w:trPr>
          <w:trHeight w:val="70"/>
          <w:jc w:val="center"/>
        </w:trPr>
        <w:tc>
          <w:tcPr>
            <w:tcW w:w="17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91DFE7D"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Futuro TES Largo Plazo</w:t>
            </w:r>
          </w:p>
        </w:tc>
        <w:tc>
          <w:tcPr>
            <w:tcW w:w="1530" w:type="dxa"/>
            <w:tcBorders>
              <w:top w:val="single" w:sz="4" w:space="0" w:color="auto"/>
              <w:left w:val="nil"/>
              <w:bottom w:val="single" w:sz="4" w:space="0" w:color="auto"/>
              <w:right w:val="single" w:sz="4" w:space="0" w:color="auto"/>
            </w:tcBorders>
            <w:shd w:val="clear" w:color="auto" w:fill="FFFFFF"/>
            <w:noWrap/>
            <w:vAlign w:val="center"/>
            <w:hideMark/>
          </w:tcPr>
          <w:p w14:paraId="0EB90237"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2.500.000</w:t>
            </w:r>
          </w:p>
        </w:tc>
        <w:tc>
          <w:tcPr>
            <w:tcW w:w="1368" w:type="dxa"/>
            <w:tcBorders>
              <w:top w:val="single" w:sz="4" w:space="0" w:color="auto"/>
              <w:left w:val="nil"/>
              <w:bottom w:val="single" w:sz="4" w:space="0" w:color="auto"/>
              <w:right w:val="single" w:sz="4" w:space="0" w:color="auto"/>
            </w:tcBorders>
            <w:shd w:val="clear" w:color="auto" w:fill="FFFFFF"/>
            <w:noWrap/>
            <w:vAlign w:val="center"/>
            <w:hideMark/>
          </w:tcPr>
          <w:p w14:paraId="6A96B4BF"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250.000.000</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14:paraId="32A0E924"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11</w:t>
            </w:r>
          </w:p>
        </w:tc>
        <w:tc>
          <w:tcPr>
            <w:tcW w:w="1417" w:type="dxa"/>
            <w:tcBorders>
              <w:top w:val="single" w:sz="4" w:space="0" w:color="auto"/>
              <w:left w:val="nil"/>
              <w:bottom w:val="single" w:sz="4" w:space="0" w:color="auto"/>
              <w:right w:val="single" w:sz="4" w:space="0" w:color="auto"/>
            </w:tcBorders>
            <w:shd w:val="clear" w:color="auto" w:fill="FFFFFF"/>
            <w:noWrap/>
            <w:vAlign w:val="center"/>
            <w:hideMark/>
          </w:tcPr>
          <w:p w14:paraId="621CD72D"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Porcentual</w:t>
            </w:r>
          </w:p>
        </w:tc>
        <w:tc>
          <w:tcPr>
            <w:tcW w:w="1418" w:type="dxa"/>
            <w:tcBorders>
              <w:top w:val="single" w:sz="4" w:space="0" w:color="auto"/>
              <w:left w:val="nil"/>
              <w:bottom w:val="single" w:sz="4" w:space="0" w:color="auto"/>
              <w:right w:val="single" w:sz="4" w:space="0" w:color="auto"/>
            </w:tcBorders>
            <w:shd w:val="clear" w:color="auto" w:fill="FFFFFF"/>
            <w:noWrap/>
            <w:vAlign w:val="center"/>
            <w:hideMark/>
          </w:tcPr>
          <w:p w14:paraId="0777D608"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4.8%</w:t>
            </w:r>
          </w:p>
        </w:tc>
      </w:tr>
    </w:tbl>
    <w:p w14:paraId="00D104B9" w14:textId="77777777" w:rsidR="007968EC" w:rsidRDefault="007968EC" w:rsidP="007968EC">
      <w:pPr>
        <w:autoSpaceDE w:val="0"/>
        <w:autoSpaceDN w:val="0"/>
        <w:rPr>
          <w:rFonts w:ascii="Arial Narrow" w:eastAsia="Calibri" w:hAnsi="Arial Narrow"/>
          <w:b/>
          <w:bCs/>
          <w:color w:val="000000"/>
          <w:lang w:eastAsia="en-US"/>
        </w:rPr>
      </w:pPr>
    </w:p>
    <w:tbl>
      <w:tblPr>
        <w:tblW w:w="6315" w:type="dxa"/>
        <w:jc w:val="center"/>
        <w:tblLayout w:type="fixed"/>
        <w:tblCellMar>
          <w:left w:w="70" w:type="dxa"/>
          <w:right w:w="70" w:type="dxa"/>
        </w:tblCellMar>
        <w:tblLook w:val="04A0" w:firstRow="1" w:lastRow="0" w:firstColumn="1" w:lastColumn="0" w:noHBand="0" w:noVBand="1"/>
      </w:tblPr>
      <w:tblGrid>
        <w:gridCol w:w="1816"/>
        <w:gridCol w:w="1440"/>
        <w:gridCol w:w="1519"/>
        <w:gridCol w:w="1540"/>
      </w:tblGrid>
      <w:tr w:rsidR="007968EC" w14:paraId="5CE27CBF" w14:textId="77777777" w:rsidTr="007968EC">
        <w:trPr>
          <w:trHeight w:val="555"/>
          <w:jc w:val="center"/>
        </w:trPr>
        <w:tc>
          <w:tcPr>
            <w:tcW w:w="1818" w:type="dxa"/>
            <w:tcBorders>
              <w:top w:val="nil"/>
              <w:left w:val="nil"/>
              <w:bottom w:val="nil"/>
              <w:right w:val="single" w:sz="4" w:space="0" w:color="auto"/>
            </w:tcBorders>
            <w:shd w:val="clear" w:color="auto" w:fill="FFFFFF"/>
            <w:noWrap/>
            <w:vAlign w:val="bottom"/>
            <w:hideMark/>
          </w:tcPr>
          <w:p w14:paraId="6DAEE9D2" w14:textId="77777777" w:rsidR="007968EC" w:rsidRDefault="007968EC" w:rsidP="007968EC">
            <w:pPr>
              <w:autoSpaceDE w:val="0"/>
              <w:autoSpaceDN w:val="0"/>
              <w:spacing w:line="256" w:lineRule="auto"/>
              <w:rPr>
                <w:rFonts w:ascii="Arial Narrow" w:eastAsia="Calibri" w:hAnsi="Arial Narrow"/>
                <w:b/>
                <w:bCs/>
                <w:color w:val="000000"/>
                <w:lang w:eastAsia="en-US"/>
              </w:rPr>
            </w:pPr>
            <w:r>
              <w:rPr>
                <w:rFonts w:ascii="Arial Narrow" w:eastAsia="Calibri" w:hAnsi="Arial Narrow"/>
                <w:color w:val="000000"/>
                <w:lang w:eastAsia="en-US"/>
              </w:rPr>
              <w:t> </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4D1B78"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Factor por Time Spread</w:t>
            </w:r>
          </w:p>
        </w:tc>
        <w:tc>
          <w:tcPr>
            <w:tcW w:w="1519" w:type="dxa"/>
            <w:tcBorders>
              <w:top w:val="single" w:sz="4" w:space="0" w:color="auto"/>
              <w:left w:val="nil"/>
              <w:bottom w:val="nil"/>
              <w:right w:val="single" w:sz="4" w:space="0" w:color="auto"/>
            </w:tcBorders>
            <w:shd w:val="clear" w:color="auto" w:fill="FFFFFF"/>
            <w:vAlign w:val="center"/>
            <w:hideMark/>
          </w:tcPr>
          <w:p w14:paraId="2B23AB7A"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Valor mínimo por Spread</w:t>
            </w:r>
          </w:p>
        </w:tc>
        <w:tc>
          <w:tcPr>
            <w:tcW w:w="1540" w:type="dxa"/>
            <w:tcBorders>
              <w:top w:val="single" w:sz="4" w:space="0" w:color="auto"/>
              <w:left w:val="nil"/>
              <w:bottom w:val="nil"/>
              <w:right w:val="single" w:sz="4" w:space="0" w:color="auto"/>
            </w:tcBorders>
            <w:shd w:val="clear" w:color="auto" w:fill="FFFFFF"/>
            <w:vAlign w:val="center"/>
            <w:hideMark/>
          </w:tcPr>
          <w:p w14:paraId="12763BD8"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Fluctuación para llamado a Garantías Extraordinarias</w:t>
            </w:r>
          </w:p>
        </w:tc>
      </w:tr>
      <w:tr w:rsidR="007968EC" w14:paraId="6022D42D" w14:textId="77777777" w:rsidTr="007968EC">
        <w:trPr>
          <w:trHeight w:val="255"/>
          <w:jc w:val="center"/>
        </w:trPr>
        <w:tc>
          <w:tcPr>
            <w:tcW w:w="18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7D89CD3"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Futuro TES Largo Plazo</w:t>
            </w:r>
          </w:p>
        </w:tc>
        <w:tc>
          <w:tcPr>
            <w:tcW w:w="1440" w:type="dxa"/>
            <w:tcBorders>
              <w:top w:val="single" w:sz="4" w:space="0" w:color="auto"/>
              <w:left w:val="nil"/>
              <w:bottom w:val="single" w:sz="4" w:space="0" w:color="auto"/>
              <w:right w:val="single" w:sz="4" w:space="0" w:color="auto"/>
            </w:tcBorders>
            <w:shd w:val="clear" w:color="auto" w:fill="FFFFFF"/>
            <w:noWrap/>
            <w:vAlign w:val="center"/>
            <w:hideMark/>
          </w:tcPr>
          <w:p w14:paraId="4C054B01"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1.2</w:t>
            </w:r>
          </w:p>
        </w:tc>
        <w:tc>
          <w:tcPr>
            <w:tcW w:w="1519" w:type="dxa"/>
            <w:tcBorders>
              <w:top w:val="single" w:sz="4" w:space="0" w:color="auto"/>
              <w:left w:val="nil"/>
              <w:bottom w:val="single" w:sz="4" w:space="0" w:color="auto"/>
              <w:right w:val="single" w:sz="4" w:space="0" w:color="auto"/>
            </w:tcBorders>
            <w:shd w:val="clear" w:color="auto" w:fill="FFFFFF"/>
            <w:noWrap/>
            <w:vAlign w:val="center"/>
            <w:hideMark/>
          </w:tcPr>
          <w:p w14:paraId="021B450D"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0.57</w:t>
            </w:r>
          </w:p>
        </w:tc>
        <w:tc>
          <w:tcPr>
            <w:tcW w:w="1540" w:type="dxa"/>
            <w:tcBorders>
              <w:top w:val="single" w:sz="4" w:space="0" w:color="auto"/>
              <w:left w:val="nil"/>
              <w:bottom w:val="single" w:sz="4" w:space="0" w:color="auto"/>
              <w:right w:val="single" w:sz="4" w:space="0" w:color="auto"/>
            </w:tcBorders>
            <w:shd w:val="clear" w:color="auto" w:fill="FFFFFF"/>
            <w:noWrap/>
            <w:vAlign w:val="center"/>
            <w:hideMark/>
          </w:tcPr>
          <w:p w14:paraId="6B34B579"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3.60%</w:t>
            </w:r>
          </w:p>
        </w:tc>
      </w:tr>
    </w:tbl>
    <w:p w14:paraId="33329E70" w14:textId="77777777" w:rsidR="007968EC" w:rsidRDefault="007968EC" w:rsidP="007968EC">
      <w:pPr>
        <w:autoSpaceDE w:val="0"/>
        <w:autoSpaceDN w:val="0"/>
        <w:rPr>
          <w:rFonts w:ascii="Arial Narrow" w:eastAsia="Calibri" w:hAnsi="Arial Narrow"/>
          <w:b/>
          <w:bCs/>
          <w:color w:val="000000"/>
          <w:lang w:eastAsia="en-US"/>
        </w:rPr>
      </w:pPr>
    </w:p>
    <w:p w14:paraId="37F4EB3B" w14:textId="77777777" w:rsidR="007968EC" w:rsidRDefault="007968EC" w:rsidP="007968EC">
      <w:pPr>
        <w:autoSpaceDE w:val="0"/>
        <w:autoSpaceDN w:val="0"/>
        <w:rPr>
          <w:rFonts w:ascii="Arial Narrow" w:eastAsia="Calibri" w:hAnsi="Arial Narrow"/>
          <w:b/>
          <w:bCs/>
          <w:color w:val="000000"/>
          <w:lang w:eastAsia="en-US"/>
        </w:rPr>
      </w:pPr>
    </w:p>
    <w:p w14:paraId="49F10748" w14:textId="77777777" w:rsidR="007968EC" w:rsidRDefault="007968EC" w:rsidP="007968EC">
      <w:pPr>
        <w:autoSpaceDE w:val="0"/>
        <w:autoSpaceDN w:val="0"/>
        <w:rPr>
          <w:rFonts w:ascii="Arial Narrow" w:eastAsia="Calibri" w:hAnsi="Arial Narrow"/>
          <w:b/>
          <w:bCs/>
          <w:color w:val="000000"/>
          <w:lang w:eastAsia="en-US"/>
        </w:rPr>
      </w:pPr>
    </w:p>
    <w:p w14:paraId="3EB12E9F" w14:textId="77777777" w:rsidR="007968EC" w:rsidRDefault="007968EC" w:rsidP="007968EC">
      <w:pPr>
        <w:autoSpaceDE w:val="0"/>
        <w:autoSpaceDN w:val="0"/>
        <w:rPr>
          <w:rFonts w:ascii="Arial Narrow" w:eastAsia="Calibri" w:hAnsi="Arial Narrow"/>
          <w:b/>
          <w:bCs/>
          <w:color w:val="000000"/>
          <w:lang w:eastAsia="en-US"/>
        </w:rPr>
      </w:pPr>
    </w:p>
    <w:p w14:paraId="2E565EF5" w14:textId="77777777" w:rsidR="007968EC" w:rsidRDefault="007968EC" w:rsidP="00DA7472">
      <w:pPr>
        <w:numPr>
          <w:ilvl w:val="0"/>
          <w:numId w:val="366"/>
        </w:numPr>
        <w:autoSpaceDE w:val="0"/>
        <w:autoSpaceDN w:val="0"/>
        <w:spacing w:after="160" w:line="256" w:lineRule="auto"/>
        <w:ind w:left="426" w:hanging="426"/>
        <w:contextualSpacing/>
        <w:jc w:val="both"/>
        <w:rPr>
          <w:rFonts w:ascii="Arial Narrow" w:eastAsia="Calibri" w:hAnsi="Arial Narrow"/>
          <w:b/>
          <w:bCs/>
          <w:color w:val="000000"/>
          <w:u w:val="single"/>
          <w:lang w:eastAsia="en-US"/>
        </w:rPr>
      </w:pPr>
      <w:r>
        <w:rPr>
          <w:rFonts w:ascii="Arial Narrow" w:eastAsia="Calibri" w:hAnsi="Arial Narrow"/>
          <w:color w:val="000000"/>
          <w:u w:val="single"/>
          <w:lang w:val="es-MX" w:eastAsia="en-US"/>
        </w:rPr>
        <w:t>Futuros sobre Títulos TES de Referencias Específicas:</w:t>
      </w:r>
    </w:p>
    <w:p w14:paraId="4285A4A3" w14:textId="77777777" w:rsidR="007968EC" w:rsidRDefault="007968EC" w:rsidP="007968EC">
      <w:pPr>
        <w:autoSpaceDE w:val="0"/>
        <w:autoSpaceDN w:val="0"/>
        <w:rPr>
          <w:rFonts w:ascii="Arial Narrow" w:eastAsia="Calibri" w:hAnsi="Arial Narrow"/>
          <w:b/>
          <w:bCs/>
          <w:color w:val="000000"/>
          <w:lang w:eastAsia="en-US"/>
        </w:rPr>
      </w:pPr>
    </w:p>
    <w:p w14:paraId="1C09CD92" w14:textId="77777777" w:rsidR="007968EC" w:rsidRDefault="007968EC" w:rsidP="007968EC">
      <w:pPr>
        <w:jc w:val="both"/>
        <w:rPr>
          <w:rFonts w:ascii="Arial Narrow" w:eastAsia="Calibri" w:hAnsi="Arial Narrow"/>
          <w:bCs/>
          <w:color w:val="000000"/>
          <w:lang w:eastAsia="en-US"/>
        </w:rPr>
      </w:pPr>
      <w:r>
        <w:rPr>
          <w:rFonts w:ascii="Arial Narrow" w:eastAsia="Calibri" w:hAnsi="Arial Narrow"/>
          <w:bCs/>
          <w:color w:val="000000"/>
          <w:lang w:eastAsia="en-US"/>
        </w:rPr>
        <w:t>Para efectos de control de riesgo se agrupan los Futuros de Referencias Específicas en Grupos por la Escala de Duración Modificada (EDM), de conformidad con la siguiente tabla:</w:t>
      </w:r>
    </w:p>
    <w:p w14:paraId="3F201109" w14:textId="77777777" w:rsidR="007968EC" w:rsidRDefault="007968EC" w:rsidP="007968EC">
      <w:pPr>
        <w:jc w:val="both"/>
        <w:rPr>
          <w:rFonts w:ascii="Arial Narrow" w:eastAsia="Calibri" w:hAnsi="Arial Narrow"/>
          <w:bCs/>
          <w:color w:val="000000"/>
          <w:lang w:eastAsia="en-US"/>
        </w:rPr>
      </w:pPr>
    </w:p>
    <w:tbl>
      <w:tblPr>
        <w:tblW w:w="5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7"/>
        <w:gridCol w:w="1273"/>
        <w:gridCol w:w="1274"/>
        <w:gridCol w:w="1841"/>
      </w:tblGrid>
      <w:tr w:rsidR="007968EC" w14:paraId="18F6FDE2" w14:textId="77777777" w:rsidTr="007968EC">
        <w:trPr>
          <w:trHeight w:val="60"/>
          <w:jc w:val="center"/>
        </w:trPr>
        <w:tc>
          <w:tcPr>
            <w:tcW w:w="1418" w:type="dxa"/>
            <w:vMerge w:val="restart"/>
            <w:tcBorders>
              <w:top w:val="nil"/>
              <w:left w:val="nil"/>
              <w:bottom w:val="single" w:sz="4" w:space="0" w:color="auto"/>
              <w:right w:val="single" w:sz="4" w:space="0" w:color="auto"/>
            </w:tcBorders>
            <w:noWrap/>
            <w:vAlign w:val="center"/>
            <w:hideMark/>
          </w:tcPr>
          <w:p w14:paraId="4C3A6C8C" w14:textId="77777777" w:rsidR="007968EC" w:rsidRDefault="007968EC" w:rsidP="007968EC">
            <w:pPr>
              <w:rPr>
                <w:rFonts w:ascii="Arial Narrow" w:eastAsia="Calibri" w:hAnsi="Arial Narrow"/>
                <w:bCs/>
                <w:color w:val="000000"/>
                <w:lang w:eastAsia="en-US"/>
              </w:rPr>
            </w:pP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78630E5F"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val="es-MX" w:eastAsia="en-US"/>
              </w:rPr>
              <w:t>Grupo de Compensación</w:t>
            </w:r>
          </w:p>
        </w:tc>
        <w:tc>
          <w:tcPr>
            <w:tcW w:w="3119" w:type="dxa"/>
            <w:gridSpan w:val="2"/>
            <w:tcBorders>
              <w:top w:val="single" w:sz="4" w:space="0" w:color="auto"/>
              <w:left w:val="single" w:sz="4" w:space="0" w:color="auto"/>
              <w:bottom w:val="single" w:sz="4" w:space="0" w:color="auto"/>
              <w:right w:val="single" w:sz="4" w:space="0" w:color="auto"/>
            </w:tcBorders>
            <w:hideMark/>
          </w:tcPr>
          <w:p w14:paraId="0B2B58B6"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Escala de Duración Modificada (EDM) para cada Grupo de Compensación</w:t>
            </w:r>
          </w:p>
        </w:tc>
      </w:tr>
      <w:tr w:rsidR="007968EC" w14:paraId="02381B62" w14:textId="77777777" w:rsidTr="007968EC">
        <w:trPr>
          <w:trHeight w:val="70"/>
          <w:jc w:val="center"/>
        </w:trPr>
        <w:tc>
          <w:tcPr>
            <w:tcW w:w="1418" w:type="dxa"/>
            <w:vMerge/>
            <w:tcBorders>
              <w:top w:val="nil"/>
              <w:left w:val="nil"/>
              <w:bottom w:val="single" w:sz="4" w:space="0" w:color="auto"/>
              <w:right w:val="single" w:sz="4" w:space="0" w:color="auto"/>
            </w:tcBorders>
            <w:vAlign w:val="center"/>
            <w:hideMark/>
          </w:tcPr>
          <w:p w14:paraId="567690AE" w14:textId="77777777" w:rsidR="007968EC" w:rsidRDefault="007968EC" w:rsidP="007968EC">
            <w:pPr>
              <w:spacing w:line="256" w:lineRule="auto"/>
              <w:rPr>
                <w:rFonts w:ascii="Arial Narrow" w:eastAsia="Calibri" w:hAnsi="Arial Narrow"/>
                <w:bCs/>
                <w:color w:val="000000"/>
                <w:lang w:eastAsia="en-U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D994B4A" w14:textId="77777777" w:rsidR="007968EC" w:rsidRDefault="007968EC" w:rsidP="007968EC">
            <w:pPr>
              <w:spacing w:line="256" w:lineRule="auto"/>
              <w:rPr>
                <w:rFonts w:ascii="Arial Narrow" w:eastAsia="Calibri" w:hAnsi="Arial Narrow"/>
                <w:b/>
                <w:bCs/>
                <w:color w:val="000000"/>
                <w:lang w:eastAsia="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CEA14D3"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s-CO"/>
              </w:rPr>
              <w:t xml:space="preserve">De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B2DAC4E"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s-CO"/>
              </w:rPr>
              <w:t xml:space="preserve">Hasta </w:t>
            </w:r>
          </w:p>
        </w:tc>
      </w:tr>
      <w:tr w:rsidR="007968EC" w14:paraId="76D5ABB1" w14:textId="77777777" w:rsidTr="007968EC">
        <w:trPr>
          <w:trHeight w:val="181"/>
          <w:jc w:val="center"/>
        </w:trPr>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3D7F396C"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 xml:space="preserve">Contratos de Futuros sobre Títulos TES de </w:t>
            </w:r>
            <w:r>
              <w:rPr>
                <w:rFonts w:ascii="Arial Narrow" w:eastAsia="Calibri" w:hAnsi="Arial Narrow"/>
                <w:color w:val="000000"/>
                <w:lang w:eastAsia="en-US"/>
              </w:rPr>
              <w:lastRenderedPageBreak/>
              <w:t>Referencias Especificas</w:t>
            </w:r>
          </w:p>
        </w:tc>
        <w:tc>
          <w:tcPr>
            <w:tcW w:w="1275" w:type="dxa"/>
            <w:tcBorders>
              <w:top w:val="single" w:sz="4" w:space="0" w:color="auto"/>
              <w:left w:val="single" w:sz="4" w:space="0" w:color="auto"/>
              <w:bottom w:val="single" w:sz="4" w:space="0" w:color="auto"/>
              <w:right w:val="single" w:sz="4" w:space="0" w:color="auto"/>
            </w:tcBorders>
            <w:hideMark/>
          </w:tcPr>
          <w:p w14:paraId="54CAAE44"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lastRenderedPageBreak/>
              <w:t>H1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8C42DD"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s-CO"/>
              </w:rPr>
              <w:t>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5EE0228"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s-CO"/>
              </w:rPr>
              <w:t>0.75</w:t>
            </w:r>
          </w:p>
        </w:tc>
      </w:tr>
      <w:tr w:rsidR="007968EC" w14:paraId="5971DB2A" w14:textId="77777777" w:rsidTr="007968EC">
        <w:trPr>
          <w:trHeight w:val="46"/>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7E28AC78" w14:textId="77777777" w:rsidR="007968EC" w:rsidRDefault="007968EC" w:rsidP="007968EC">
            <w:pPr>
              <w:spacing w:line="256" w:lineRule="auto"/>
              <w:rPr>
                <w:rFonts w:ascii="Arial Narrow" w:eastAsia="Calibri" w:hAnsi="Arial Narrow"/>
                <w:b/>
                <w:bCs/>
                <w:color w:val="000000"/>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796D6B81"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H2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C23410"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s-CO"/>
              </w:rPr>
              <w:t>0.75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65441EC"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s-CO"/>
              </w:rPr>
              <w:t>1.5</w:t>
            </w:r>
          </w:p>
        </w:tc>
      </w:tr>
      <w:tr w:rsidR="007968EC" w14:paraId="6433FE9F" w14:textId="77777777" w:rsidTr="007968EC">
        <w:trPr>
          <w:trHeight w:val="46"/>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7FF1D1B1" w14:textId="77777777" w:rsidR="007968EC" w:rsidRDefault="007968EC" w:rsidP="007968EC">
            <w:pPr>
              <w:spacing w:line="256" w:lineRule="auto"/>
              <w:rPr>
                <w:rFonts w:ascii="Arial Narrow" w:eastAsia="Calibri" w:hAnsi="Arial Narrow"/>
                <w:b/>
                <w:bCs/>
                <w:color w:val="000000"/>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7B0661AB"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H3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DDCC64"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s-CO"/>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DF6E820"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s-CO"/>
              </w:rPr>
              <w:t>3.0</w:t>
            </w:r>
          </w:p>
        </w:tc>
      </w:tr>
      <w:tr w:rsidR="007968EC" w14:paraId="2530E99F" w14:textId="77777777" w:rsidTr="007968EC">
        <w:trPr>
          <w:trHeight w:val="46"/>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39BC024A" w14:textId="77777777" w:rsidR="007968EC" w:rsidRDefault="007968EC" w:rsidP="007968EC">
            <w:pPr>
              <w:spacing w:line="256" w:lineRule="auto"/>
              <w:rPr>
                <w:rFonts w:ascii="Arial Narrow" w:eastAsia="Calibri" w:hAnsi="Arial Narrow"/>
                <w:b/>
                <w:bCs/>
                <w:color w:val="000000"/>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7CB09344"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H4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0E955C"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s-CO"/>
              </w:rPr>
              <w:t>3.0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384B56D"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s-CO"/>
              </w:rPr>
              <w:t>5.0</w:t>
            </w:r>
          </w:p>
        </w:tc>
      </w:tr>
      <w:tr w:rsidR="007968EC" w14:paraId="5C030434" w14:textId="77777777" w:rsidTr="007968EC">
        <w:trPr>
          <w:trHeight w:val="46"/>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607F3620" w14:textId="77777777" w:rsidR="007968EC" w:rsidRDefault="007968EC" w:rsidP="007968EC">
            <w:pPr>
              <w:spacing w:line="256" w:lineRule="auto"/>
              <w:rPr>
                <w:rFonts w:ascii="Arial Narrow" w:eastAsia="Calibri" w:hAnsi="Arial Narrow"/>
                <w:b/>
                <w:bCs/>
                <w:color w:val="000000"/>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0B4C60C4"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H5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28EB57"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s-CO"/>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8D91B8F"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s-CO"/>
              </w:rPr>
              <w:t>7.0</w:t>
            </w:r>
          </w:p>
        </w:tc>
      </w:tr>
      <w:tr w:rsidR="007968EC" w14:paraId="6378DEFA" w14:textId="77777777" w:rsidTr="007968EC">
        <w:trPr>
          <w:trHeight w:val="46"/>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7AC53520" w14:textId="77777777" w:rsidR="007968EC" w:rsidRDefault="007968EC" w:rsidP="007968EC">
            <w:pPr>
              <w:spacing w:line="256" w:lineRule="auto"/>
              <w:rPr>
                <w:rFonts w:ascii="Arial Narrow" w:eastAsia="Calibri" w:hAnsi="Arial Narrow"/>
                <w:b/>
                <w:bCs/>
                <w:color w:val="000000"/>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7A93FE96"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H6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9ACB56"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s-CO"/>
              </w:rPr>
              <w:t>7.0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F776C0C"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s-CO"/>
              </w:rPr>
              <w:t>10.0</w:t>
            </w:r>
          </w:p>
        </w:tc>
      </w:tr>
      <w:tr w:rsidR="007968EC" w14:paraId="42E27530" w14:textId="77777777" w:rsidTr="007968EC">
        <w:trPr>
          <w:trHeight w:val="46"/>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2F0EF5C3" w14:textId="77777777" w:rsidR="007968EC" w:rsidRDefault="007968EC" w:rsidP="007968EC">
            <w:pPr>
              <w:spacing w:line="256" w:lineRule="auto"/>
              <w:rPr>
                <w:rFonts w:ascii="Arial Narrow" w:eastAsia="Calibri" w:hAnsi="Arial Narrow"/>
                <w:b/>
                <w:bCs/>
                <w:color w:val="000000"/>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6BF7049E"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H7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7905E0"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s-CO"/>
              </w:rPr>
              <w:t>10.0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3E3528C"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s-CO"/>
              </w:rPr>
              <w:t>15.0</w:t>
            </w:r>
          </w:p>
        </w:tc>
      </w:tr>
      <w:tr w:rsidR="007968EC" w14:paraId="59174A4B" w14:textId="77777777" w:rsidTr="007968EC">
        <w:trPr>
          <w:trHeight w:val="46"/>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04B6925A" w14:textId="77777777" w:rsidR="007968EC" w:rsidRDefault="007968EC" w:rsidP="007968EC">
            <w:pPr>
              <w:spacing w:line="256" w:lineRule="auto"/>
              <w:rPr>
                <w:rFonts w:ascii="Arial Narrow" w:eastAsia="Calibri" w:hAnsi="Arial Narrow"/>
                <w:b/>
                <w:bCs/>
                <w:color w:val="000000"/>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6B1926FD"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H8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F99CC4" w14:textId="77777777" w:rsidR="007968EC" w:rsidRDefault="007968EC" w:rsidP="007968EC">
            <w:pPr>
              <w:spacing w:line="256" w:lineRule="auto"/>
              <w:jc w:val="center"/>
              <w:rPr>
                <w:rFonts w:ascii="Arial Narrow" w:eastAsia="Calibri" w:hAnsi="Arial Narrow"/>
                <w:color w:val="000000"/>
                <w:lang w:eastAsia="es-CO"/>
              </w:rPr>
            </w:pPr>
            <w:r>
              <w:rPr>
                <w:rFonts w:ascii="Arial Narrow" w:eastAsia="Calibri" w:hAnsi="Arial Narrow"/>
                <w:color w:val="000000"/>
                <w:lang w:eastAsia="es-CO"/>
              </w:rPr>
              <w:t>15.0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8FFD191" w14:textId="77777777" w:rsidR="007968EC" w:rsidRDefault="007968EC" w:rsidP="007968EC">
            <w:pPr>
              <w:spacing w:line="256" w:lineRule="auto"/>
              <w:jc w:val="center"/>
              <w:rPr>
                <w:rFonts w:ascii="Arial Narrow" w:eastAsia="Calibri" w:hAnsi="Arial Narrow"/>
                <w:color w:val="000000"/>
                <w:lang w:eastAsia="es-CO"/>
              </w:rPr>
            </w:pPr>
            <w:r>
              <w:rPr>
                <w:rFonts w:ascii="Arial Narrow" w:eastAsia="Calibri" w:hAnsi="Arial Narrow"/>
                <w:color w:val="000000"/>
                <w:lang w:eastAsia="es-CO"/>
              </w:rPr>
              <w:t>20.0</w:t>
            </w:r>
          </w:p>
        </w:tc>
      </w:tr>
    </w:tbl>
    <w:p w14:paraId="6D89F5F0" w14:textId="77777777" w:rsidR="007968EC" w:rsidRDefault="007968EC" w:rsidP="007968EC">
      <w:pPr>
        <w:jc w:val="both"/>
        <w:rPr>
          <w:rFonts w:ascii="Arial Narrow" w:eastAsia="Calibri" w:hAnsi="Arial Narrow"/>
          <w:b/>
          <w:bCs/>
          <w:color w:val="000000"/>
          <w:lang w:eastAsia="en-US"/>
        </w:rPr>
      </w:pPr>
    </w:p>
    <w:p w14:paraId="60ACD818" w14:textId="77777777" w:rsidR="007968EC" w:rsidRDefault="007968EC" w:rsidP="007968EC">
      <w:pPr>
        <w:autoSpaceDE w:val="0"/>
        <w:autoSpaceDN w:val="0"/>
        <w:rPr>
          <w:rFonts w:ascii="Arial Narrow" w:eastAsia="Calibri" w:hAnsi="Arial Narrow"/>
          <w:b/>
          <w:bCs/>
          <w:color w:val="000000"/>
          <w:lang w:eastAsia="en-US"/>
        </w:rPr>
      </w:pPr>
    </w:p>
    <w:p w14:paraId="61EAFDBD" w14:textId="77777777" w:rsidR="007968EC" w:rsidRDefault="007968EC" w:rsidP="007968EC">
      <w:pPr>
        <w:rPr>
          <w:rFonts w:ascii="Arial Narrow" w:eastAsia="Calibri" w:hAnsi="Arial Narrow"/>
          <w:color w:val="000000"/>
          <w:lang w:val="es-MX" w:eastAsia="en-US"/>
        </w:rPr>
      </w:pPr>
      <w:r>
        <w:rPr>
          <w:rFonts w:ascii="Arial Narrow" w:eastAsia="Calibri" w:hAnsi="Arial Narrow"/>
          <w:color w:val="000000"/>
          <w:lang w:val="es-MX" w:eastAsia="en-US"/>
        </w:rPr>
        <w:t>Para los Instrumentos de Contratos de Futuros sobre Títulos TES de Referencias Específicas se tienen los siguientes parámetros:</w:t>
      </w:r>
    </w:p>
    <w:p w14:paraId="0F152084" w14:textId="77777777" w:rsidR="007968EC" w:rsidRDefault="007968EC" w:rsidP="007968EC">
      <w:pPr>
        <w:rPr>
          <w:rFonts w:ascii="Arial Narrow" w:eastAsia="Calibri" w:hAnsi="Arial Narrow"/>
          <w:color w:val="000000"/>
          <w:lang w:val="es-MX" w:eastAsia="en-US"/>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8"/>
        <w:gridCol w:w="1276"/>
        <w:gridCol w:w="710"/>
        <w:gridCol w:w="851"/>
        <w:gridCol w:w="1277"/>
        <w:gridCol w:w="993"/>
        <w:gridCol w:w="993"/>
        <w:gridCol w:w="1277"/>
        <w:gridCol w:w="1135"/>
      </w:tblGrid>
      <w:tr w:rsidR="007968EC" w14:paraId="563377FB" w14:textId="77777777" w:rsidTr="007968EC">
        <w:trPr>
          <w:trHeight w:val="122"/>
          <w:jc w:val="center"/>
        </w:trPr>
        <w:tc>
          <w:tcPr>
            <w:tcW w:w="1418" w:type="dxa"/>
            <w:tcBorders>
              <w:top w:val="nil"/>
              <w:left w:val="nil"/>
              <w:bottom w:val="single" w:sz="4" w:space="0" w:color="auto"/>
              <w:right w:val="single" w:sz="4" w:space="0" w:color="auto"/>
            </w:tcBorders>
            <w:vAlign w:val="center"/>
            <w:hideMark/>
          </w:tcPr>
          <w:p w14:paraId="388D2E29" w14:textId="77777777" w:rsidR="007968EC" w:rsidRDefault="007968EC" w:rsidP="007968EC">
            <w:pPr>
              <w:spacing w:line="256" w:lineRule="auto"/>
              <w:rPr>
                <w:rFonts w:ascii="Arial Narrow" w:eastAsia="Calibri" w:hAnsi="Arial Narrow"/>
                <w:b/>
                <w:color w:val="000000"/>
                <w:lang w:eastAsia="en-US"/>
              </w:rPr>
            </w:pPr>
            <w:r>
              <w:rPr>
                <w:rFonts w:ascii="Arial Narrow" w:eastAsia="Calibri" w:hAnsi="Arial Narrow"/>
                <w:color w:val="000000"/>
                <w:lang w:eastAsia="en-US"/>
              </w:rPr>
              <w:t> </w:t>
            </w:r>
          </w:p>
        </w:tc>
        <w:tc>
          <w:tcPr>
            <w:tcW w:w="1276" w:type="dxa"/>
            <w:tcBorders>
              <w:top w:val="single" w:sz="4" w:space="0" w:color="auto"/>
              <w:left w:val="single" w:sz="4" w:space="0" w:color="auto"/>
              <w:bottom w:val="single" w:sz="4" w:space="0" w:color="auto"/>
              <w:right w:val="single" w:sz="4" w:space="0" w:color="auto"/>
            </w:tcBorders>
            <w:hideMark/>
          </w:tcPr>
          <w:p w14:paraId="1B30BC4E" w14:textId="77777777" w:rsidR="007968EC" w:rsidRDefault="007968EC" w:rsidP="007968EC">
            <w:pPr>
              <w:spacing w:line="256" w:lineRule="auto"/>
              <w:ind w:left="-70"/>
              <w:jc w:val="center"/>
              <w:rPr>
                <w:rFonts w:ascii="Arial Narrow" w:eastAsia="Calibri" w:hAnsi="Arial Narrow"/>
                <w:b/>
                <w:bCs/>
                <w:color w:val="000000"/>
                <w:lang w:eastAsia="en-US"/>
              </w:rPr>
            </w:pPr>
            <w:r>
              <w:rPr>
                <w:rFonts w:ascii="Arial Narrow" w:eastAsia="Calibri" w:hAnsi="Arial Narrow"/>
                <w:bCs/>
                <w:color w:val="000000"/>
                <w:lang w:eastAsia="en-US"/>
              </w:rPr>
              <w:t>Escala de Duración Modificada (EDM)</w:t>
            </w:r>
            <w:r>
              <w:rPr>
                <w:rFonts w:ascii="Arial Narrow" w:eastAsia="Calibri" w:hAnsi="Arial Narrow"/>
                <w:bCs/>
                <w:color w:val="000000"/>
                <w:lang w:val="es-MX" w:eastAsia="en-US"/>
              </w:rPr>
              <w:t xml:space="preserve"> para cada Grupo de Compensación</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B4B4E8" w14:textId="77777777" w:rsidR="007968EC" w:rsidRDefault="007968EC" w:rsidP="007968EC">
            <w:pPr>
              <w:spacing w:line="256" w:lineRule="auto"/>
              <w:ind w:left="-70"/>
              <w:jc w:val="center"/>
              <w:rPr>
                <w:rFonts w:ascii="Arial Narrow" w:eastAsia="Calibri" w:hAnsi="Arial Narrow"/>
                <w:b/>
                <w:bCs/>
                <w:color w:val="000000"/>
                <w:lang w:eastAsia="en-US"/>
              </w:rPr>
            </w:pPr>
            <w:r>
              <w:rPr>
                <w:rFonts w:ascii="Arial Narrow" w:eastAsia="Calibri" w:hAnsi="Arial Narrow"/>
                <w:color w:val="000000"/>
                <w:lang w:eastAsia="en-US"/>
              </w:rPr>
              <w:t xml:space="preserve">De </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8D0771" w14:textId="77777777" w:rsidR="007968EC" w:rsidRDefault="007968EC" w:rsidP="007968EC">
            <w:pPr>
              <w:spacing w:line="256" w:lineRule="auto"/>
              <w:ind w:left="-70"/>
              <w:jc w:val="center"/>
              <w:rPr>
                <w:rFonts w:ascii="Arial Narrow" w:eastAsia="Calibri" w:hAnsi="Arial Narrow"/>
                <w:b/>
                <w:bCs/>
                <w:color w:val="000000"/>
                <w:lang w:eastAsia="en-US"/>
              </w:rPr>
            </w:pPr>
            <w:r>
              <w:rPr>
                <w:rFonts w:ascii="Arial Narrow" w:eastAsia="Calibri" w:hAnsi="Arial Narrow"/>
                <w:color w:val="000000"/>
                <w:lang w:eastAsia="en-US"/>
              </w:rPr>
              <w:t xml:space="preserve">Hasta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6347BF"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Multiplicador</w:t>
            </w:r>
          </w:p>
        </w:tc>
        <w:tc>
          <w:tcPr>
            <w:tcW w:w="992" w:type="dxa"/>
            <w:tcBorders>
              <w:top w:val="single" w:sz="4" w:space="0" w:color="auto"/>
              <w:left w:val="single" w:sz="4" w:space="0" w:color="auto"/>
              <w:bottom w:val="single" w:sz="4" w:space="0" w:color="auto"/>
              <w:right w:val="single" w:sz="4" w:space="0" w:color="auto"/>
            </w:tcBorders>
            <w:vAlign w:val="center"/>
            <w:hideMark/>
          </w:tcPr>
          <w:p w14:paraId="1EC47874"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Nominal</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4DBC99" w14:textId="77777777" w:rsidR="007968EC" w:rsidRDefault="007968EC" w:rsidP="007968EC">
            <w:pPr>
              <w:spacing w:line="256" w:lineRule="auto"/>
              <w:jc w:val="center"/>
              <w:rPr>
                <w:rFonts w:ascii="Arial Narrow" w:eastAsia="Calibri" w:hAnsi="Arial Narrow"/>
                <w:b/>
                <w:bCs/>
                <w:color w:val="000000"/>
                <w:lang w:eastAsia="en-US"/>
              </w:rPr>
            </w:pPr>
            <w:proofErr w:type="spellStart"/>
            <w:r>
              <w:rPr>
                <w:rFonts w:ascii="Arial Narrow" w:eastAsia="Calibri" w:hAnsi="Arial Narrow"/>
                <w:color w:val="000000"/>
                <w:lang w:eastAsia="en-US"/>
              </w:rPr>
              <w:t>Nº</w:t>
            </w:r>
            <w:proofErr w:type="spellEnd"/>
            <w:r>
              <w:rPr>
                <w:rFonts w:ascii="Arial Narrow" w:eastAsia="Calibri" w:hAnsi="Arial Narrow"/>
                <w:color w:val="000000"/>
                <w:lang w:eastAsia="en-US"/>
              </w:rPr>
              <w:t xml:space="preserve"> de escenarios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493E35"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Tipo Fluctuación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E43E36"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Fluctuación Total</w:t>
            </w:r>
          </w:p>
        </w:tc>
      </w:tr>
      <w:tr w:rsidR="007968EC" w14:paraId="3017882C" w14:textId="77777777" w:rsidTr="007968EC">
        <w:trPr>
          <w:trHeight w:val="60"/>
          <w:jc w:val="center"/>
        </w:trPr>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0F8EB446"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Contratos de Futuros sobre Títulos TES de Referencias Especificas</w:t>
            </w:r>
          </w:p>
        </w:tc>
        <w:tc>
          <w:tcPr>
            <w:tcW w:w="1276" w:type="dxa"/>
            <w:tcBorders>
              <w:top w:val="single" w:sz="4" w:space="0" w:color="auto"/>
              <w:left w:val="single" w:sz="4" w:space="0" w:color="auto"/>
              <w:bottom w:val="single" w:sz="4" w:space="0" w:color="auto"/>
              <w:right w:val="single" w:sz="4" w:space="0" w:color="auto"/>
            </w:tcBorders>
            <w:hideMark/>
          </w:tcPr>
          <w:p w14:paraId="70A69DF8"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H1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3072A4E"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EECBE1"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0.75</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58102C89"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2.500.000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F896DA4"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250.000.000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56401FAB"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11</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750BBCF5"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Porcentual</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E5CFB0A"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0.5%</w:t>
            </w:r>
          </w:p>
        </w:tc>
      </w:tr>
      <w:tr w:rsidR="007968EC" w14:paraId="56DFC9D3" w14:textId="77777777" w:rsidTr="007968EC">
        <w:trPr>
          <w:trHeight w:val="157"/>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11CFDC26" w14:textId="77777777" w:rsidR="007968EC" w:rsidRDefault="007968EC" w:rsidP="007968EC">
            <w:pPr>
              <w:spacing w:line="256" w:lineRule="auto"/>
              <w:rPr>
                <w:rFonts w:ascii="Arial Narrow" w:eastAsia="Calibri" w:hAnsi="Arial Narrow"/>
                <w:b/>
                <w:bCs/>
                <w:color w:val="00000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6E3D6150"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H2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3CB2D27"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0.75</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900B01"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1.5</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5031D67" w14:textId="77777777" w:rsidR="007968EC" w:rsidRDefault="007968EC" w:rsidP="007968EC">
            <w:pPr>
              <w:spacing w:line="256" w:lineRule="auto"/>
              <w:rPr>
                <w:rFonts w:ascii="Arial Narrow" w:eastAsia="Calibri" w:hAnsi="Arial Narrow"/>
                <w:b/>
                <w:color w:val="000000"/>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38BAB71" w14:textId="77777777" w:rsidR="007968EC" w:rsidRDefault="007968EC" w:rsidP="007968EC">
            <w:pPr>
              <w:spacing w:line="256" w:lineRule="auto"/>
              <w:rPr>
                <w:rFonts w:ascii="Arial Narrow" w:eastAsia="Calibri" w:hAnsi="Arial Narrow"/>
                <w:b/>
                <w:color w:val="000000"/>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03D02A5" w14:textId="77777777" w:rsidR="007968EC" w:rsidRDefault="007968EC" w:rsidP="007968EC">
            <w:pPr>
              <w:spacing w:line="256" w:lineRule="auto"/>
              <w:rPr>
                <w:rFonts w:ascii="Arial Narrow" w:eastAsia="Calibri" w:hAnsi="Arial Narrow"/>
                <w:b/>
                <w:color w:val="000000"/>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F9B1955" w14:textId="77777777" w:rsidR="007968EC" w:rsidRDefault="007968EC" w:rsidP="007968EC">
            <w:pPr>
              <w:spacing w:line="256" w:lineRule="auto"/>
              <w:rPr>
                <w:rFonts w:ascii="Arial Narrow" w:eastAsia="Calibri" w:hAnsi="Arial Narrow"/>
                <w:b/>
                <w:color w:val="000000"/>
                <w:lang w:eastAsia="en-US"/>
              </w:rPr>
            </w:pPr>
          </w:p>
        </w:tc>
        <w:tc>
          <w:tcPr>
            <w:tcW w:w="1134" w:type="dxa"/>
            <w:tcBorders>
              <w:top w:val="single" w:sz="4" w:space="0" w:color="auto"/>
              <w:left w:val="single" w:sz="4" w:space="0" w:color="auto"/>
              <w:bottom w:val="single" w:sz="4" w:space="0" w:color="auto"/>
              <w:right w:val="single" w:sz="4" w:space="0" w:color="auto"/>
            </w:tcBorders>
            <w:vAlign w:val="bottom"/>
            <w:hideMark/>
          </w:tcPr>
          <w:p w14:paraId="3C279DDC"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0.8%</w:t>
            </w:r>
          </w:p>
        </w:tc>
      </w:tr>
      <w:tr w:rsidR="007968EC" w14:paraId="6DB6EE0C" w14:textId="77777777" w:rsidTr="007968EC">
        <w:trPr>
          <w:trHeight w:val="43"/>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624E99BD" w14:textId="77777777" w:rsidR="007968EC" w:rsidRDefault="007968EC" w:rsidP="007968EC">
            <w:pPr>
              <w:spacing w:line="256" w:lineRule="auto"/>
              <w:rPr>
                <w:rFonts w:ascii="Arial Narrow" w:eastAsia="Calibri" w:hAnsi="Arial Narrow"/>
                <w:b/>
                <w:bCs/>
                <w:color w:val="00000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7C6CCBB0"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H3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4CF0B95"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1.5</w:t>
            </w:r>
          </w:p>
        </w:tc>
        <w:tc>
          <w:tcPr>
            <w:tcW w:w="850" w:type="dxa"/>
            <w:tcBorders>
              <w:top w:val="single" w:sz="4" w:space="0" w:color="auto"/>
              <w:left w:val="single" w:sz="4" w:space="0" w:color="auto"/>
              <w:bottom w:val="single" w:sz="4" w:space="0" w:color="auto"/>
              <w:right w:val="single" w:sz="4" w:space="0" w:color="auto"/>
            </w:tcBorders>
            <w:vAlign w:val="center"/>
            <w:hideMark/>
          </w:tcPr>
          <w:p w14:paraId="45FC3BA7"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3.0</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8895E7D" w14:textId="77777777" w:rsidR="007968EC" w:rsidRDefault="007968EC" w:rsidP="007968EC">
            <w:pPr>
              <w:spacing w:line="256" w:lineRule="auto"/>
              <w:rPr>
                <w:rFonts w:ascii="Arial Narrow" w:eastAsia="Calibri" w:hAnsi="Arial Narrow"/>
                <w:b/>
                <w:color w:val="000000"/>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8FAE608" w14:textId="77777777" w:rsidR="007968EC" w:rsidRDefault="007968EC" w:rsidP="007968EC">
            <w:pPr>
              <w:spacing w:line="256" w:lineRule="auto"/>
              <w:rPr>
                <w:rFonts w:ascii="Arial Narrow" w:eastAsia="Calibri" w:hAnsi="Arial Narrow"/>
                <w:b/>
                <w:color w:val="000000"/>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C57AE3A" w14:textId="77777777" w:rsidR="007968EC" w:rsidRDefault="007968EC" w:rsidP="007968EC">
            <w:pPr>
              <w:spacing w:line="256" w:lineRule="auto"/>
              <w:rPr>
                <w:rFonts w:ascii="Arial Narrow" w:eastAsia="Calibri" w:hAnsi="Arial Narrow"/>
                <w:b/>
                <w:color w:val="000000"/>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AC3C16F" w14:textId="77777777" w:rsidR="007968EC" w:rsidRDefault="007968EC" w:rsidP="007968EC">
            <w:pPr>
              <w:spacing w:line="256" w:lineRule="auto"/>
              <w:rPr>
                <w:rFonts w:ascii="Arial Narrow" w:eastAsia="Calibri" w:hAnsi="Arial Narrow"/>
                <w:b/>
                <w:color w:val="000000"/>
                <w:lang w:eastAsia="en-US"/>
              </w:rPr>
            </w:pPr>
          </w:p>
        </w:tc>
        <w:tc>
          <w:tcPr>
            <w:tcW w:w="1134" w:type="dxa"/>
            <w:tcBorders>
              <w:top w:val="single" w:sz="4" w:space="0" w:color="auto"/>
              <w:left w:val="single" w:sz="4" w:space="0" w:color="auto"/>
              <w:bottom w:val="single" w:sz="4" w:space="0" w:color="auto"/>
              <w:right w:val="single" w:sz="4" w:space="0" w:color="auto"/>
            </w:tcBorders>
            <w:vAlign w:val="bottom"/>
            <w:hideMark/>
          </w:tcPr>
          <w:p w14:paraId="32E09B6A"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1.3%</w:t>
            </w:r>
          </w:p>
        </w:tc>
      </w:tr>
      <w:tr w:rsidR="007968EC" w14:paraId="67F10E88" w14:textId="77777777" w:rsidTr="007968EC">
        <w:trPr>
          <w:trHeight w:val="43"/>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1DD73993" w14:textId="77777777" w:rsidR="007968EC" w:rsidRDefault="007968EC" w:rsidP="007968EC">
            <w:pPr>
              <w:spacing w:line="256" w:lineRule="auto"/>
              <w:rPr>
                <w:rFonts w:ascii="Arial Narrow" w:eastAsia="Calibri" w:hAnsi="Arial Narrow"/>
                <w:b/>
                <w:bCs/>
                <w:color w:val="00000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64C86F94"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H4</w:t>
            </w:r>
          </w:p>
        </w:tc>
        <w:tc>
          <w:tcPr>
            <w:tcW w:w="709" w:type="dxa"/>
            <w:tcBorders>
              <w:top w:val="single" w:sz="4" w:space="0" w:color="auto"/>
              <w:left w:val="single" w:sz="4" w:space="0" w:color="auto"/>
              <w:bottom w:val="single" w:sz="4" w:space="0" w:color="auto"/>
              <w:right w:val="single" w:sz="4" w:space="0" w:color="auto"/>
            </w:tcBorders>
            <w:vAlign w:val="center"/>
            <w:hideMark/>
          </w:tcPr>
          <w:p w14:paraId="786D5CED"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92D9F9"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5.0</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AC0F243" w14:textId="77777777" w:rsidR="007968EC" w:rsidRDefault="007968EC" w:rsidP="007968EC">
            <w:pPr>
              <w:spacing w:line="256" w:lineRule="auto"/>
              <w:rPr>
                <w:rFonts w:ascii="Arial Narrow" w:eastAsia="Calibri" w:hAnsi="Arial Narrow"/>
                <w:b/>
                <w:color w:val="000000"/>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71AAEC8" w14:textId="77777777" w:rsidR="007968EC" w:rsidRDefault="007968EC" w:rsidP="007968EC">
            <w:pPr>
              <w:spacing w:line="256" w:lineRule="auto"/>
              <w:rPr>
                <w:rFonts w:ascii="Arial Narrow" w:eastAsia="Calibri" w:hAnsi="Arial Narrow"/>
                <w:b/>
                <w:color w:val="000000"/>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5B02292" w14:textId="77777777" w:rsidR="007968EC" w:rsidRDefault="007968EC" w:rsidP="007968EC">
            <w:pPr>
              <w:spacing w:line="256" w:lineRule="auto"/>
              <w:rPr>
                <w:rFonts w:ascii="Arial Narrow" w:eastAsia="Calibri" w:hAnsi="Arial Narrow"/>
                <w:b/>
                <w:color w:val="000000"/>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12B14E0" w14:textId="77777777" w:rsidR="007968EC" w:rsidRDefault="007968EC" w:rsidP="007968EC">
            <w:pPr>
              <w:spacing w:line="256" w:lineRule="auto"/>
              <w:rPr>
                <w:rFonts w:ascii="Arial Narrow" w:eastAsia="Calibri" w:hAnsi="Arial Narrow"/>
                <w:b/>
                <w:color w:val="000000"/>
                <w:lang w:eastAsia="en-US"/>
              </w:rPr>
            </w:pPr>
          </w:p>
        </w:tc>
        <w:tc>
          <w:tcPr>
            <w:tcW w:w="1134" w:type="dxa"/>
            <w:tcBorders>
              <w:top w:val="single" w:sz="4" w:space="0" w:color="auto"/>
              <w:left w:val="single" w:sz="4" w:space="0" w:color="auto"/>
              <w:bottom w:val="single" w:sz="4" w:space="0" w:color="auto"/>
              <w:right w:val="single" w:sz="4" w:space="0" w:color="auto"/>
            </w:tcBorders>
            <w:vAlign w:val="bottom"/>
            <w:hideMark/>
          </w:tcPr>
          <w:p w14:paraId="4CCCCD69"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2.1%</w:t>
            </w:r>
          </w:p>
        </w:tc>
      </w:tr>
      <w:tr w:rsidR="007968EC" w14:paraId="64510E77" w14:textId="77777777" w:rsidTr="007968EC">
        <w:trPr>
          <w:trHeight w:val="43"/>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25C76BFF" w14:textId="77777777" w:rsidR="007968EC" w:rsidRDefault="007968EC" w:rsidP="007968EC">
            <w:pPr>
              <w:spacing w:line="256" w:lineRule="auto"/>
              <w:rPr>
                <w:rFonts w:ascii="Arial Narrow" w:eastAsia="Calibri" w:hAnsi="Arial Narrow"/>
                <w:b/>
                <w:bCs/>
                <w:color w:val="00000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6E86E163"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H5</w:t>
            </w:r>
          </w:p>
        </w:tc>
        <w:tc>
          <w:tcPr>
            <w:tcW w:w="709" w:type="dxa"/>
            <w:tcBorders>
              <w:top w:val="single" w:sz="4" w:space="0" w:color="auto"/>
              <w:left w:val="single" w:sz="4" w:space="0" w:color="auto"/>
              <w:bottom w:val="single" w:sz="4" w:space="0" w:color="auto"/>
              <w:right w:val="single" w:sz="4" w:space="0" w:color="auto"/>
            </w:tcBorders>
            <w:vAlign w:val="center"/>
            <w:hideMark/>
          </w:tcPr>
          <w:p w14:paraId="4781854E"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 xml:space="preserve">5.00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4EE3E25E"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7.00</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770129B" w14:textId="77777777" w:rsidR="007968EC" w:rsidRDefault="007968EC" w:rsidP="007968EC">
            <w:pPr>
              <w:spacing w:line="256" w:lineRule="auto"/>
              <w:rPr>
                <w:rFonts w:ascii="Arial Narrow" w:eastAsia="Calibri" w:hAnsi="Arial Narrow"/>
                <w:b/>
                <w:color w:val="000000"/>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18691B6" w14:textId="77777777" w:rsidR="007968EC" w:rsidRDefault="007968EC" w:rsidP="007968EC">
            <w:pPr>
              <w:spacing w:line="256" w:lineRule="auto"/>
              <w:rPr>
                <w:rFonts w:ascii="Arial Narrow" w:eastAsia="Calibri" w:hAnsi="Arial Narrow"/>
                <w:b/>
                <w:color w:val="000000"/>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290BEF1" w14:textId="77777777" w:rsidR="007968EC" w:rsidRDefault="007968EC" w:rsidP="007968EC">
            <w:pPr>
              <w:spacing w:line="256" w:lineRule="auto"/>
              <w:rPr>
                <w:rFonts w:ascii="Arial Narrow" w:eastAsia="Calibri" w:hAnsi="Arial Narrow"/>
                <w:b/>
                <w:color w:val="000000"/>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5FA1CDC" w14:textId="77777777" w:rsidR="007968EC" w:rsidRDefault="007968EC" w:rsidP="007968EC">
            <w:pPr>
              <w:spacing w:line="256" w:lineRule="auto"/>
              <w:rPr>
                <w:rFonts w:ascii="Arial Narrow" w:eastAsia="Calibri" w:hAnsi="Arial Narrow"/>
                <w:b/>
                <w:color w:val="000000"/>
                <w:lang w:eastAsia="en-US"/>
              </w:rPr>
            </w:pPr>
          </w:p>
        </w:tc>
        <w:tc>
          <w:tcPr>
            <w:tcW w:w="1134" w:type="dxa"/>
            <w:tcBorders>
              <w:top w:val="single" w:sz="4" w:space="0" w:color="auto"/>
              <w:left w:val="single" w:sz="4" w:space="0" w:color="auto"/>
              <w:bottom w:val="single" w:sz="4" w:space="0" w:color="auto"/>
              <w:right w:val="single" w:sz="4" w:space="0" w:color="auto"/>
            </w:tcBorders>
            <w:vAlign w:val="bottom"/>
            <w:hideMark/>
          </w:tcPr>
          <w:p w14:paraId="473200AF"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3.4%</w:t>
            </w:r>
          </w:p>
        </w:tc>
      </w:tr>
      <w:tr w:rsidR="007968EC" w14:paraId="1D891B29" w14:textId="77777777" w:rsidTr="007968EC">
        <w:trPr>
          <w:trHeight w:val="43"/>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14A4E3B8" w14:textId="77777777" w:rsidR="007968EC" w:rsidRDefault="007968EC" w:rsidP="007968EC">
            <w:pPr>
              <w:spacing w:line="256" w:lineRule="auto"/>
              <w:rPr>
                <w:rFonts w:ascii="Arial Narrow" w:eastAsia="Calibri" w:hAnsi="Arial Narrow"/>
                <w:b/>
                <w:bCs/>
                <w:color w:val="00000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14C0C052"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H6</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9EBF4A"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7.00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21D47E3"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10.0</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85B8650" w14:textId="77777777" w:rsidR="007968EC" w:rsidRDefault="007968EC" w:rsidP="007968EC">
            <w:pPr>
              <w:spacing w:line="256" w:lineRule="auto"/>
              <w:rPr>
                <w:rFonts w:ascii="Arial Narrow" w:eastAsia="Calibri" w:hAnsi="Arial Narrow"/>
                <w:b/>
                <w:color w:val="000000"/>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A3C8368" w14:textId="77777777" w:rsidR="007968EC" w:rsidRDefault="007968EC" w:rsidP="007968EC">
            <w:pPr>
              <w:spacing w:line="256" w:lineRule="auto"/>
              <w:rPr>
                <w:rFonts w:ascii="Arial Narrow" w:eastAsia="Calibri" w:hAnsi="Arial Narrow"/>
                <w:b/>
                <w:color w:val="000000"/>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E89FD2D" w14:textId="77777777" w:rsidR="007968EC" w:rsidRDefault="007968EC" w:rsidP="007968EC">
            <w:pPr>
              <w:spacing w:line="256" w:lineRule="auto"/>
              <w:rPr>
                <w:rFonts w:ascii="Arial Narrow" w:eastAsia="Calibri" w:hAnsi="Arial Narrow"/>
                <w:b/>
                <w:color w:val="000000"/>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EC2A3BB" w14:textId="77777777" w:rsidR="007968EC" w:rsidRDefault="007968EC" w:rsidP="007968EC">
            <w:pPr>
              <w:spacing w:line="256" w:lineRule="auto"/>
              <w:rPr>
                <w:rFonts w:ascii="Arial Narrow" w:eastAsia="Calibri" w:hAnsi="Arial Narrow"/>
                <w:b/>
                <w:color w:val="000000"/>
                <w:lang w:eastAsia="en-US"/>
              </w:rPr>
            </w:pPr>
          </w:p>
        </w:tc>
        <w:tc>
          <w:tcPr>
            <w:tcW w:w="1134" w:type="dxa"/>
            <w:tcBorders>
              <w:top w:val="single" w:sz="4" w:space="0" w:color="auto"/>
              <w:left w:val="single" w:sz="4" w:space="0" w:color="auto"/>
              <w:bottom w:val="single" w:sz="4" w:space="0" w:color="auto"/>
              <w:right w:val="single" w:sz="4" w:space="0" w:color="auto"/>
            </w:tcBorders>
            <w:vAlign w:val="bottom"/>
            <w:hideMark/>
          </w:tcPr>
          <w:p w14:paraId="4C10047D"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4.8%</w:t>
            </w:r>
          </w:p>
        </w:tc>
      </w:tr>
      <w:tr w:rsidR="007968EC" w14:paraId="648FEE8D" w14:textId="77777777" w:rsidTr="007968EC">
        <w:trPr>
          <w:trHeight w:val="115"/>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2FE3AF04" w14:textId="77777777" w:rsidR="007968EC" w:rsidRDefault="007968EC" w:rsidP="007968EC">
            <w:pPr>
              <w:spacing w:line="256" w:lineRule="auto"/>
              <w:rPr>
                <w:rFonts w:ascii="Arial Narrow" w:eastAsia="Calibri" w:hAnsi="Arial Narrow"/>
                <w:b/>
                <w:bCs/>
                <w:color w:val="00000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4CBDEBFE"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H7</w:t>
            </w:r>
          </w:p>
        </w:tc>
        <w:tc>
          <w:tcPr>
            <w:tcW w:w="709" w:type="dxa"/>
            <w:tcBorders>
              <w:top w:val="single" w:sz="4" w:space="0" w:color="auto"/>
              <w:left w:val="single" w:sz="4" w:space="0" w:color="auto"/>
              <w:bottom w:val="single" w:sz="4" w:space="0" w:color="auto"/>
              <w:right w:val="single" w:sz="4" w:space="0" w:color="auto"/>
            </w:tcBorders>
            <w:vAlign w:val="center"/>
            <w:hideMark/>
          </w:tcPr>
          <w:p w14:paraId="2D134A50"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816AD23"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15.0</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8FCFBE4" w14:textId="77777777" w:rsidR="007968EC" w:rsidRDefault="007968EC" w:rsidP="007968EC">
            <w:pPr>
              <w:spacing w:line="256" w:lineRule="auto"/>
              <w:rPr>
                <w:rFonts w:ascii="Arial Narrow" w:eastAsia="Calibri" w:hAnsi="Arial Narrow"/>
                <w:b/>
                <w:color w:val="000000"/>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C58546A" w14:textId="77777777" w:rsidR="007968EC" w:rsidRDefault="007968EC" w:rsidP="007968EC">
            <w:pPr>
              <w:spacing w:line="256" w:lineRule="auto"/>
              <w:rPr>
                <w:rFonts w:ascii="Arial Narrow" w:eastAsia="Calibri" w:hAnsi="Arial Narrow"/>
                <w:b/>
                <w:color w:val="000000"/>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3AB2048" w14:textId="77777777" w:rsidR="007968EC" w:rsidRDefault="007968EC" w:rsidP="007968EC">
            <w:pPr>
              <w:spacing w:line="256" w:lineRule="auto"/>
              <w:rPr>
                <w:rFonts w:ascii="Arial Narrow" w:eastAsia="Calibri" w:hAnsi="Arial Narrow"/>
                <w:b/>
                <w:color w:val="000000"/>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7021F5B" w14:textId="77777777" w:rsidR="007968EC" w:rsidRDefault="007968EC" w:rsidP="007968EC">
            <w:pPr>
              <w:spacing w:line="256" w:lineRule="auto"/>
              <w:rPr>
                <w:rFonts w:ascii="Arial Narrow" w:eastAsia="Calibri" w:hAnsi="Arial Narrow"/>
                <w:b/>
                <w:color w:val="000000"/>
                <w:lang w:eastAsia="en-US"/>
              </w:rPr>
            </w:pPr>
          </w:p>
        </w:tc>
        <w:tc>
          <w:tcPr>
            <w:tcW w:w="1134" w:type="dxa"/>
            <w:tcBorders>
              <w:top w:val="single" w:sz="4" w:space="0" w:color="auto"/>
              <w:left w:val="single" w:sz="4" w:space="0" w:color="auto"/>
              <w:bottom w:val="single" w:sz="4" w:space="0" w:color="auto"/>
              <w:right w:val="single" w:sz="4" w:space="0" w:color="auto"/>
            </w:tcBorders>
            <w:vAlign w:val="bottom"/>
            <w:hideMark/>
          </w:tcPr>
          <w:p w14:paraId="0779BE8D"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7.9%</w:t>
            </w:r>
          </w:p>
        </w:tc>
      </w:tr>
      <w:tr w:rsidR="007968EC" w14:paraId="779EB571" w14:textId="77777777" w:rsidTr="007968EC">
        <w:trPr>
          <w:trHeight w:val="115"/>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00BF946F" w14:textId="77777777" w:rsidR="007968EC" w:rsidRDefault="007968EC" w:rsidP="007968EC">
            <w:pPr>
              <w:spacing w:line="256" w:lineRule="auto"/>
              <w:rPr>
                <w:rFonts w:ascii="Arial Narrow" w:eastAsia="Calibri" w:hAnsi="Arial Narrow"/>
                <w:b/>
                <w:bCs/>
                <w:color w:val="00000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50AE0771"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H8</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605ED5"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15.0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F22DC14"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20.0</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761EF24" w14:textId="77777777" w:rsidR="007968EC" w:rsidRDefault="007968EC" w:rsidP="007968EC">
            <w:pPr>
              <w:spacing w:line="256" w:lineRule="auto"/>
              <w:rPr>
                <w:rFonts w:ascii="Arial Narrow" w:eastAsia="Calibri" w:hAnsi="Arial Narrow"/>
                <w:b/>
                <w:color w:val="000000"/>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32005ED" w14:textId="77777777" w:rsidR="007968EC" w:rsidRDefault="007968EC" w:rsidP="007968EC">
            <w:pPr>
              <w:spacing w:line="256" w:lineRule="auto"/>
              <w:rPr>
                <w:rFonts w:ascii="Arial Narrow" w:eastAsia="Calibri" w:hAnsi="Arial Narrow"/>
                <w:b/>
                <w:color w:val="000000"/>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E904ABD" w14:textId="77777777" w:rsidR="007968EC" w:rsidRDefault="007968EC" w:rsidP="007968EC">
            <w:pPr>
              <w:spacing w:line="256" w:lineRule="auto"/>
              <w:rPr>
                <w:rFonts w:ascii="Arial Narrow" w:eastAsia="Calibri" w:hAnsi="Arial Narrow"/>
                <w:b/>
                <w:color w:val="000000"/>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08FEF07" w14:textId="77777777" w:rsidR="007968EC" w:rsidRDefault="007968EC" w:rsidP="007968EC">
            <w:pPr>
              <w:spacing w:line="256" w:lineRule="auto"/>
              <w:rPr>
                <w:rFonts w:ascii="Arial Narrow" w:eastAsia="Calibri" w:hAnsi="Arial Narrow"/>
                <w:b/>
                <w:color w:val="000000"/>
                <w:lang w:eastAsia="en-US"/>
              </w:rPr>
            </w:pPr>
          </w:p>
        </w:tc>
        <w:tc>
          <w:tcPr>
            <w:tcW w:w="1134" w:type="dxa"/>
            <w:tcBorders>
              <w:top w:val="single" w:sz="4" w:space="0" w:color="auto"/>
              <w:left w:val="single" w:sz="4" w:space="0" w:color="auto"/>
              <w:bottom w:val="single" w:sz="4" w:space="0" w:color="auto"/>
              <w:right w:val="single" w:sz="4" w:space="0" w:color="auto"/>
            </w:tcBorders>
            <w:vAlign w:val="bottom"/>
            <w:hideMark/>
          </w:tcPr>
          <w:p w14:paraId="5CD1CC7D"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16.8%</w:t>
            </w:r>
          </w:p>
        </w:tc>
      </w:tr>
    </w:tbl>
    <w:p w14:paraId="1EA3AEAF" w14:textId="77777777" w:rsidR="007968EC" w:rsidRDefault="007968EC" w:rsidP="007968EC">
      <w:pPr>
        <w:rPr>
          <w:rFonts w:ascii="Arial Narrow" w:eastAsia="Calibri" w:hAnsi="Arial Narrow"/>
          <w:color w:val="000000"/>
          <w:lang w:val="es-MX" w:eastAsia="en-US"/>
        </w:rPr>
      </w:pPr>
    </w:p>
    <w:tbl>
      <w:tblPr>
        <w:tblW w:w="6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8"/>
        <w:gridCol w:w="1135"/>
        <w:gridCol w:w="1061"/>
        <w:gridCol w:w="1351"/>
        <w:gridCol w:w="1560"/>
      </w:tblGrid>
      <w:tr w:rsidR="007968EC" w14:paraId="6D283B0D" w14:textId="77777777" w:rsidTr="007968EC">
        <w:trPr>
          <w:trHeight w:val="60"/>
          <w:jc w:val="center"/>
        </w:trPr>
        <w:tc>
          <w:tcPr>
            <w:tcW w:w="1418" w:type="dxa"/>
            <w:tcBorders>
              <w:top w:val="nil"/>
              <w:left w:val="nil"/>
              <w:bottom w:val="single" w:sz="4" w:space="0" w:color="auto"/>
              <w:right w:val="single" w:sz="4" w:space="0" w:color="auto"/>
            </w:tcBorders>
            <w:noWrap/>
            <w:vAlign w:val="center"/>
            <w:hideMark/>
          </w:tcPr>
          <w:p w14:paraId="08712228"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37FCF2"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Escala de Duración Modificada (EDM)</w:t>
            </w:r>
          </w:p>
        </w:tc>
        <w:tc>
          <w:tcPr>
            <w:tcW w:w="1060" w:type="dxa"/>
            <w:tcBorders>
              <w:top w:val="single" w:sz="4" w:space="0" w:color="auto"/>
              <w:left w:val="single" w:sz="4" w:space="0" w:color="auto"/>
              <w:bottom w:val="single" w:sz="4" w:space="0" w:color="auto"/>
              <w:right w:val="single" w:sz="4" w:space="0" w:color="auto"/>
            </w:tcBorders>
            <w:vAlign w:val="center"/>
            <w:hideMark/>
          </w:tcPr>
          <w:p w14:paraId="39EFB465"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Factor de cobertura por Time Spread</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BE8507F"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Valor Mínimo por Spread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A64EEC1"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Fluctuación para llamados a Garantías Extraordinarias</w:t>
            </w:r>
          </w:p>
        </w:tc>
      </w:tr>
      <w:tr w:rsidR="007968EC" w14:paraId="6383CFF5" w14:textId="77777777" w:rsidTr="007968EC">
        <w:trPr>
          <w:trHeight w:val="181"/>
          <w:jc w:val="center"/>
        </w:trPr>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3B6E52DD"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Contratos de Futuros sobre Títulos TES de Referencias Especificas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6DCCEB"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H1</w:t>
            </w:r>
          </w:p>
        </w:tc>
        <w:tc>
          <w:tcPr>
            <w:tcW w:w="1060" w:type="dxa"/>
            <w:vMerge w:val="restart"/>
            <w:tcBorders>
              <w:top w:val="single" w:sz="4" w:space="0" w:color="auto"/>
              <w:left w:val="single" w:sz="4" w:space="0" w:color="auto"/>
              <w:bottom w:val="single" w:sz="4" w:space="0" w:color="auto"/>
              <w:right w:val="single" w:sz="4" w:space="0" w:color="auto"/>
            </w:tcBorders>
            <w:vAlign w:val="center"/>
            <w:hideMark/>
          </w:tcPr>
          <w:p w14:paraId="195B04AD"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1.2</w:t>
            </w:r>
          </w:p>
        </w:tc>
        <w:tc>
          <w:tcPr>
            <w:tcW w:w="1350" w:type="dxa"/>
            <w:tcBorders>
              <w:top w:val="single" w:sz="4" w:space="0" w:color="auto"/>
              <w:left w:val="single" w:sz="4" w:space="0" w:color="auto"/>
              <w:bottom w:val="single" w:sz="4" w:space="0" w:color="auto"/>
              <w:right w:val="single" w:sz="4" w:space="0" w:color="auto"/>
            </w:tcBorders>
            <w:vAlign w:val="bottom"/>
            <w:hideMark/>
          </w:tcPr>
          <w:p w14:paraId="53CF2841" w14:textId="77777777" w:rsidR="007968EC" w:rsidRDefault="007968EC" w:rsidP="007968EC">
            <w:pPr>
              <w:spacing w:line="256" w:lineRule="auto"/>
              <w:jc w:val="center"/>
              <w:rPr>
                <w:rFonts w:ascii="Arial Narrow" w:eastAsia="Calibri" w:hAnsi="Arial Narrow"/>
                <w:color w:val="000000"/>
                <w:lang w:eastAsia="en-US"/>
              </w:rPr>
            </w:pPr>
            <w:r>
              <w:rPr>
                <w:rFonts w:ascii="Arial Narrow" w:hAnsi="Arial Narrow" w:cs="Arial"/>
                <w:lang w:val="es-ES" w:eastAsia="es-ES"/>
              </w:rPr>
              <w:t>0.39</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D48236C"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0.37%</w:t>
            </w:r>
          </w:p>
        </w:tc>
      </w:tr>
      <w:tr w:rsidR="007968EC" w14:paraId="4ACE5AD8" w14:textId="77777777" w:rsidTr="007968EC">
        <w:trPr>
          <w:trHeight w:val="46"/>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52CDCF28" w14:textId="77777777" w:rsidR="007968EC" w:rsidRDefault="007968EC" w:rsidP="007968EC">
            <w:pPr>
              <w:spacing w:line="256" w:lineRule="auto"/>
              <w:rPr>
                <w:rFonts w:ascii="Arial Narrow" w:eastAsia="Calibri" w:hAnsi="Arial Narrow"/>
                <w:b/>
                <w:bCs/>
                <w:color w:val="000000"/>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C91139D"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H2</w:t>
            </w: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24AA3EF6" w14:textId="77777777" w:rsidR="007968EC" w:rsidRDefault="007968EC" w:rsidP="007968EC">
            <w:pPr>
              <w:spacing w:line="256" w:lineRule="auto"/>
              <w:rPr>
                <w:rFonts w:ascii="Arial Narrow" w:eastAsia="Calibri" w:hAnsi="Arial Narrow"/>
                <w:b/>
                <w:color w:val="000000"/>
                <w:lang w:eastAsia="en-US"/>
              </w:rPr>
            </w:pPr>
          </w:p>
        </w:tc>
        <w:tc>
          <w:tcPr>
            <w:tcW w:w="1350" w:type="dxa"/>
            <w:tcBorders>
              <w:top w:val="single" w:sz="4" w:space="0" w:color="auto"/>
              <w:left w:val="single" w:sz="4" w:space="0" w:color="auto"/>
              <w:bottom w:val="single" w:sz="4" w:space="0" w:color="auto"/>
              <w:right w:val="single" w:sz="4" w:space="0" w:color="auto"/>
            </w:tcBorders>
            <w:vAlign w:val="bottom"/>
            <w:hideMark/>
          </w:tcPr>
          <w:p w14:paraId="323E1D70" w14:textId="77777777" w:rsidR="007968EC" w:rsidRDefault="007968EC" w:rsidP="007968EC">
            <w:pPr>
              <w:spacing w:line="256" w:lineRule="auto"/>
              <w:jc w:val="center"/>
              <w:rPr>
                <w:rFonts w:ascii="Arial Narrow" w:eastAsia="Calibri" w:hAnsi="Arial Narrow"/>
                <w:color w:val="000000"/>
                <w:lang w:eastAsia="en-US"/>
              </w:rPr>
            </w:pPr>
            <w:r>
              <w:rPr>
                <w:rFonts w:ascii="Arial Narrow" w:hAnsi="Arial Narrow" w:cs="Arial"/>
                <w:lang w:val="es-ES" w:eastAsia="es-ES"/>
              </w:rPr>
              <w:t>0.27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3FC22C3"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0.60%</w:t>
            </w:r>
          </w:p>
        </w:tc>
      </w:tr>
      <w:tr w:rsidR="007968EC" w14:paraId="3FF13442" w14:textId="77777777" w:rsidTr="007968EC">
        <w:trPr>
          <w:trHeight w:val="46"/>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697FFFA9" w14:textId="77777777" w:rsidR="007968EC" w:rsidRDefault="007968EC" w:rsidP="007968EC">
            <w:pPr>
              <w:spacing w:line="256" w:lineRule="auto"/>
              <w:rPr>
                <w:rFonts w:ascii="Arial Narrow" w:eastAsia="Calibri" w:hAnsi="Arial Narrow"/>
                <w:b/>
                <w:bCs/>
                <w:color w:val="000000"/>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E7FE583"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H3</w:t>
            </w: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3B94BABE" w14:textId="77777777" w:rsidR="007968EC" w:rsidRDefault="007968EC" w:rsidP="007968EC">
            <w:pPr>
              <w:spacing w:line="256" w:lineRule="auto"/>
              <w:rPr>
                <w:rFonts w:ascii="Arial Narrow" w:eastAsia="Calibri" w:hAnsi="Arial Narrow"/>
                <w:b/>
                <w:color w:val="000000"/>
                <w:lang w:eastAsia="en-US"/>
              </w:rPr>
            </w:pPr>
          </w:p>
        </w:tc>
        <w:tc>
          <w:tcPr>
            <w:tcW w:w="1350" w:type="dxa"/>
            <w:tcBorders>
              <w:top w:val="single" w:sz="4" w:space="0" w:color="auto"/>
              <w:left w:val="single" w:sz="4" w:space="0" w:color="auto"/>
              <w:bottom w:val="single" w:sz="4" w:space="0" w:color="auto"/>
              <w:right w:val="single" w:sz="4" w:space="0" w:color="auto"/>
            </w:tcBorders>
            <w:vAlign w:val="bottom"/>
            <w:hideMark/>
          </w:tcPr>
          <w:p w14:paraId="53CCD115" w14:textId="77777777" w:rsidR="007968EC" w:rsidRDefault="007968EC" w:rsidP="007968EC">
            <w:pPr>
              <w:spacing w:line="256" w:lineRule="auto"/>
              <w:jc w:val="center"/>
              <w:rPr>
                <w:rFonts w:ascii="Arial Narrow" w:eastAsia="Calibri" w:hAnsi="Arial Narrow"/>
                <w:color w:val="000000"/>
                <w:lang w:eastAsia="en-US"/>
              </w:rPr>
            </w:pPr>
            <w:r>
              <w:rPr>
                <w:rFonts w:ascii="Arial Narrow" w:hAnsi="Arial Narrow" w:cs="Arial"/>
                <w:lang w:val="es-ES" w:eastAsia="es-ES"/>
              </w:rPr>
              <w:t xml:space="preserve">0.37 </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37DE619"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0.97%</w:t>
            </w:r>
          </w:p>
        </w:tc>
      </w:tr>
      <w:tr w:rsidR="007968EC" w14:paraId="7F6F73C3" w14:textId="77777777" w:rsidTr="007968EC">
        <w:trPr>
          <w:trHeight w:val="46"/>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236EA677" w14:textId="77777777" w:rsidR="007968EC" w:rsidRDefault="007968EC" w:rsidP="007968EC">
            <w:pPr>
              <w:spacing w:line="256" w:lineRule="auto"/>
              <w:rPr>
                <w:rFonts w:ascii="Arial Narrow" w:eastAsia="Calibri" w:hAnsi="Arial Narrow"/>
                <w:b/>
                <w:bCs/>
                <w:color w:val="000000"/>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6F4D894"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H4</w:t>
            </w: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5A258C31" w14:textId="77777777" w:rsidR="007968EC" w:rsidRDefault="007968EC" w:rsidP="007968EC">
            <w:pPr>
              <w:spacing w:line="256" w:lineRule="auto"/>
              <w:rPr>
                <w:rFonts w:ascii="Arial Narrow" w:eastAsia="Calibri" w:hAnsi="Arial Narrow"/>
                <w:b/>
                <w:color w:val="000000"/>
                <w:lang w:eastAsia="en-US"/>
              </w:rPr>
            </w:pPr>
          </w:p>
        </w:tc>
        <w:tc>
          <w:tcPr>
            <w:tcW w:w="1350" w:type="dxa"/>
            <w:tcBorders>
              <w:top w:val="single" w:sz="4" w:space="0" w:color="auto"/>
              <w:left w:val="single" w:sz="4" w:space="0" w:color="auto"/>
              <w:bottom w:val="single" w:sz="4" w:space="0" w:color="auto"/>
              <w:right w:val="single" w:sz="4" w:space="0" w:color="auto"/>
            </w:tcBorders>
            <w:vAlign w:val="bottom"/>
            <w:hideMark/>
          </w:tcPr>
          <w:p w14:paraId="6D801940" w14:textId="77777777" w:rsidR="007968EC" w:rsidRDefault="007968EC" w:rsidP="007968EC">
            <w:pPr>
              <w:spacing w:line="256" w:lineRule="auto"/>
              <w:jc w:val="center"/>
              <w:rPr>
                <w:rFonts w:ascii="Arial Narrow" w:eastAsia="Calibri" w:hAnsi="Arial Narrow"/>
                <w:color w:val="000000"/>
                <w:lang w:eastAsia="en-US"/>
              </w:rPr>
            </w:pPr>
            <w:r>
              <w:rPr>
                <w:rFonts w:ascii="Arial Narrow" w:hAnsi="Arial Narrow" w:cs="Arial"/>
                <w:lang w:val="es-ES" w:eastAsia="es-ES"/>
              </w:rPr>
              <w:t xml:space="preserve">0.47 </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655AA34"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1.57%</w:t>
            </w:r>
          </w:p>
        </w:tc>
      </w:tr>
      <w:tr w:rsidR="007968EC" w14:paraId="2FB9EB96" w14:textId="77777777" w:rsidTr="007968EC">
        <w:trPr>
          <w:trHeight w:val="46"/>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71B90F1A" w14:textId="77777777" w:rsidR="007968EC" w:rsidRDefault="007968EC" w:rsidP="007968EC">
            <w:pPr>
              <w:spacing w:line="256" w:lineRule="auto"/>
              <w:rPr>
                <w:rFonts w:ascii="Arial Narrow" w:eastAsia="Calibri" w:hAnsi="Arial Narrow"/>
                <w:b/>
                <w:bCs/>
                <w:color w:val="000000"/>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3853DAC"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H5</w:t>
            </w: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099BD89D" w14:textId="77777777" w:rsidR="007968EC" w:rsidRDefault="007968EC" w:rsidP="007968EC">
            <w:pPr>
              <w:spacing w:line="256" w:lineRule="auto"/>
              <w:rPr>
                <w:rFonts w:ascii="Arial Narrow" w:eastAsia="Calibri" w:hAnsi="Arial Narrow"/>
                <w:b/>
                <w:color w:val="000000"/>
                <w:lang w:eastAsia="en-US"/>
              </w:rPr>
            </w:pPr>
          </w:p>
        </w:tc>
        <w:tc>
          <w:tcPr>
            <w:tcW w:w="1350" w:type="dxa"/>
            <w:tcBorders>
              <w:top w:val="single" w:sz="4" w:space="0" w:color="auto"/>
              <w:left w:val="single" w:sz="4" w:space="0" w:color="auto"/>
              <w:bottom w:val="single" w:sz="4" w:space="0" w:color="auto"/>
              <w:right w:val="single" w:sz="4" w:space="0" w:color="auto"/>
            </w:tcBorders>
            <w:vAlign w:val="bottom"/>
            <w:hideMark/>
          </w:tcPr>
          <w:p w14:paraId="3AD1AC71" w14:textId="77777777" w:rsidR="007968EC" w:rsidRDefault="007968EC" w:rsidP="007968EC">
            <w:pPr>
              <w:spacing w:line="256" w:lineRule="auto"/>
              <w:jc w:val="center"/>
              <w:rPr>
                <w:rFonts w:ascii="Arial Narrow" w:eastAsia="Calibri" w:hAnsi="Arial Narrow"/>
                <w:color w:val="000000"/>
                <w:lang w:eastAsia="en-US"/>
              </w:rPr>
            </w:pPr>
            <w:r>
              <w:rPr>
                <w:rFonts w:ascii="Arial Narrow" w:hAnsi="Arial Narrow" w:cs="Arial"/>
                <w:lang w:val="es-ES" w:eastAsia="es-ES"/>
              </w:rPr>
              <w:t xml:space="preserve">0.47 </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8D147BD"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2.55%</w:t>
            </w:r>
          </w:p>
        </w:tc>
      </w:tr>
      <w:tr w:rsidR="007968EC" w14:paraId="11B0E9A7" w14:textId="77777777" w:rsidTr="007968EC">
        <w:trPr>
          <w:trHeight w:val="46"/>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0A8FAFBD" w14:textId="77777777" w:rsidR="007968EC" w:rsidRDefault="007968EC" w:rsidP="007968EC">
            <w:pPr>
              <w:spacing w:line="256" w:lineRule="auto"/>
              <w:rPr>
                <w:rFonts w:ascii="Arial Narrow" w:eastAsia="Calibri" w:hAnsi="Arial Narrow"/>
                <w:b/>
                <w:bCs/>
                <w:color w:val="000000"/>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5559BC2"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H6</w:t>
            </w: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004540DD" w14:textId="77777777" w:rsidR="007968EC" w:rsidRDefault="007968EC" w:rsidP="007968EC">
            <w:pPr>
              <w:spacing w:line="256" w:lineRule="auto"/>
              <w:rPr>
                <w:rFonts w:ascii="Arial Narrow" w:eastAsia="Calibri" w:hAnsi="Arial Narrow"/>
                <w:b/>
                <w:color w:val="000000"/>
                <w:lang w:eastAsia="en-US"/>
              </w:rPr>
            </w:pPr>
          </w:p>
        </w:tc>
        <w:tc>
          <w:tcPr>
            <w:tcW w:w="1350" w:type="dxa"/>
            <w:tcBorders>
              <w:top w:val="single" w:sz="4" w:space="0" w:color="auto"/>
              <w:left w:val="single" w:sz="4" w:space="0" w:color="auto"/>
              <w:bottom w:val="single" w:sz="4" w:space="0" w:color="auto"/>
              <w:right w:val="single" w:sz="4" w:space="0" w:color="auto"/>
            </w:tcBorders>
            <w:vAlign w:val="bottom"/>
            <w:hideMark/>
          </w:tcPr>
          <w:p w14:paraId="7BD61A86" w14:textId="77777777" w:rsidR="007968EC" w:rsidRDefault="007968EC" w:rsidP="007968EC">
            <w:pPr>
              <w:spacing w:line="256" w:lineRule="auto"/>
              <w:jc w:val="center"/>
              <w:rPr>
                <w:rFonts w:ascii="Arial Narrow" w:eastAsia="Calibri" w:hAnsi="Arial Narrow"/>
                <w:color w:val="000000"/>
                <w:lang w:eastAsia="en-US"/>
              </w:rPr>
            </w:pPr>
            <w:r>
              <w:rPr>
                <w:rFonts w:ascii="Arial Narrow" w:hAnsi="Arial Narrow" w:cs="Arial"/>
                <w:lang w:val="es-ES" w:eastAsia="es-ES"/>
              </w:rPr>
              <w:t xml:space="preserve">0.57 </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FC48861"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3.60%</w:t>
            </w:r>
          </w:p>
        </w:tc>
      </w:tr>
      <w:tr w:rsidR="007968EC" w14:paraId="258D5C38" w14:textId="77777777" w:rsidTr="007968EC">
        <w:trPr>
          <w:trHeight w:val="46"/>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4B005B2C" w14:textId="77777777" w:rsidR="007968EC" w:rsidRDefault="007968EC" w:rsidP="007968EC">
            <w:pPr>
              <w:spacing w:line="256" w:lineRule="auto"/>
              <w:rPr>
                <w:rFonts w:ascii="Arial Narrow" w:eastAsia="Calibri" w:hAnsi="Arial Narrow"/>
                <w:b/>
                <w:bCs/>
                <w:color w:val="000000"/>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7B686F7"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H7</w:t>
            </w: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6064A5B8" w14:textId="77777777" w:rsidR="007968EC" w:rsidRDefault="007968EC" w:rsidP="007968EC">
            <w:pPr>
              <w:spacing w:line="256" w:lineRule="auto"/>
              <w:rPr>
                <w:rFonts w:ascii="Arial Narrow" w:eastAsia="Calibri" w:hAnsi="Arial Narrow"/>
                <w:b/>
                <w:color w:val="000000"/>
                <w:lang w:eastAsia="en-US"/>
              </w:rPr>
            </w:pPr>
          </w:p>
        </w:tc>
        <w:tc>
          <w:tcPr>
            <w:tcW w:w="1350" w:type="dxa"/>
            <w:tcBorders>
              <w:top w:val="single" w:sz="4" w:space="0" w:color="auto"/>
              <w:left w:val="single" w:sz="4" w:space="0" w:color="auto"/>
              <w:bottom w:val="single" w:sz="4" w:space="0" w:color="auto"/>
              <w:right w:val="single" w:sz="4" w:space="0" w:color="auto"/>
            </w:tcBorders>
            <w:vAlign w:val="bottom"/>
            <w:hideMark/>
          </w:tcPr>
          <w:p w14:paraId="10366494" w14:textId="77777777" w:rsidR="007968EC" w:rsidRDefault="007968EC" w:rsidP="007968EC">
            <w:pPr>
              <w:spacing w:line="256" w:lineRule="auto"/>
              <w:jc w:val="center"/>
              <w:rPr>
                <w:rFonts w:ascii="Arial Narrow" w:eastAsia="Calibri" w:hAnsi="Arial Narrow"/>
                <w:color w:val="000000"/>
                <w:lang w:eastAsia="en-US"/>
              </w:rPr>
            </w:pPr>
            <w:r>
              <w:rPr>
                <w:rFonts w:ascii="Arial Narrow" w:hAnsi="Arial Narrow" w:cs="Arial"/>
                <w:lang w:val="es-ES" w:eastAsia="es-ES"/>
              </w:rPr>
              <w:t xml:space="preserve">0.57 </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1BD485A"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5.92%</w:t>
            </w:r>
          </w:p>
        </w:tc>
      </w:tr>
      <w:tr w:rsidR="007968EC" w14:paraId="0383CCC2" w14:textId="77777777" w:rsidTr="007968EC">
        <w:trPr>
          <w:trHeight w:val="46"/>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3B179AAC" w14:textId="77777777" w:rsidR="007968EC" w:rsidRDefault="007968EC" w:rsidP="007968EC">
            <w:pPr>
              <w:spacing w:line="256" w:lineRule="auto"/>
              <w:rPr>
                <w:rFonts w:ascii="Arial Narrow" w:eastAsia="Calibri" w:hAnsi="Arial Narrow"/>
                <w:b/>
                <w:bCs/>
                <w:color w:val="000000"/>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3959985"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H8</w:t>
            </w: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6D2F3F68" w14:textId="77777777" w:rsidR="007968EC" w:rsidRDefault="007968EC" w:rsidP="007968EC">
            <w:pPr>
              <w:spacing w:line="256" w:lineRule="auto"/>
              <w:rPr>
                <w:rFonts w:ascii="Arial Narrow" w:eastAsia="Calibri" w:hAnsi="Arial Narrow"/>
                <w:b/>
                <w:color w:val="000000"/>
                <w:lang w:eastAsia="en-US"/>
              </w:rPr>
            </w:pPr>
          </w:p>
        </w:tc>
        <w:tc>
          <w:tcPr>
            <w:tcW w:w="1350" w:type="dxa"/>
            <w:tcBorders>
              <w:top w:val="single" w:sz="4" w:space="0" w:color="auto"/>
              <w:left w:val="single" w:sz="4" w:space="0" w:color="auto"/>
              <w:bottom w:val="single" w:sz="4" w:space="0" w:color="auto"/>
              <w:right w:val="single" w:sz="4" w:space="0" w:color="auto"/>
            </w:tcBorders>
            <w:vAlign w:val="bottom"/>
            <w:hideMark/>
          </w:tcPr>
          <w:p w14:paraId="48A06C8C" w14:textId="77777777" w:rsidR="007968EC" w:rsidRDefault="007968EC" w:rsidP="007968EC">
            <w:pPr>
              <w:spacing w:line="256" w:lineRule="auto"/>
              <w:jc w:val="center"/>
              <w:rPr>
                <w:rFonts w:ascii="Arial Narrow" w:hAnsi="Arial Narrow" w:cs="Arial"/>
                <w:lang w:val="es-ES" w:eastAsia="es-ES"/>
              </w:rPr>
            </w:pPr>
            <w:r>
              <w:rPr>
                <w:rFonts w:ascii="Arial Narrow" w:hAnsi="Arial Narrow" w:cs="Arial"/>
                <w:lang w:val="es-ES" w:eastAsia="es-ES"/>
              </w:rPr>
              <w:t>0.57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D7102C3"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12.60%</w:t>
            </w:r>
          </w:p>
        </w:tc>
      </w:tr>
    </w:tbl>
    <w:p w14:paraId="7252E0C0" w14:textId="77777777" w:rsidR="007968EC" w:rsidRDefault="007968EC" w:rsidP="007968EC">
      <w:pPr>
        <w:jc w:val="both"/>
        <w:rPr>
          <w:rFonts w:ascii="Arial Narrow" w:eastAsia="Calibri" w:hAnsi="Arial Narrow"/>
          <w:color w:val="000000"/>
          <w:lang w:eastAsia="en-US"/>
        </w:rPr>
      </w:pPr>
    </w:p>
    <w:p w14:paraId="70852161" w14:textId="77777777" w:rsidR="007968EC" w:rsidRDefault="007968EC" w:rsidP="007968EC">
      <w:pPr>
        <w:jc w:val="both"/>
        <w:rPr>
          <w:rFonts w:ascii="Arial Narrow" w:eastAsia="Calibri" w:hAnsi="Arial Narrow"/>
          <w:color w:val="000000"/>
          <w:lang w:eastAsia="en-US"/>
        </w:rPr>
      </w:pPr>
    </w:p>
    <w:p w14:paraId="3E5E7B5A" w14:textId="77777777" w:rsidR="007968EC" w:rsidRDefault="007968EC" w:rsidP="007968EC">
      <w:pPr>
        <w:jc w:val="both"/>
        <w:rPr>
          <w:rFonts w:ascii="Arial Narrow" w:eastAsia="Calibri" w:hAnsi="Arial Narrow"/>
          <w:b/>
          <w:color w:val="000000"/>
          <w:lang w:val="es-MX" w:eastAsia="en-US"/>
        </w:rPr>
      </w:pPr>
      <w:r>
        <w:rPr>
          <w:rFonts w:ascii="Arial Narrow" w:eastAsia="Calibri" w:hAnsi="Arial Narrow"/>
          <w:color w:val="000000"/>
          <w:lang w:val="es-MX" w:eastAsia="en-US"/>
        </w:rPr>
        <w:lastRenderedPageBreak/>
        <w:t>La Escala de Duración Modificada (EDM) se realiza con base en metodologías de valoración y cálculo de duración modificada de los activos subyacentes de los Contratos de Futuros sobre Títulos TES de Referencias Específicas. Dicho cálculo se ejecuta con dos (2) días hábiles de anterioridad al fin de cada mes y empezará a aplicarse a partir del primer día hábil del siguiente mes.</w:t>
      </w:r>
    </w:p>
    <w:p w14:paraId="49AF01F0" w14:textId="77777777" w:rsidR="007968EC" w:rsidRDefault="007968EC" w:rsidP="007968EC">
      <w:pPr>
        <w:autoSpaceDE w:val="0"/>
        <w:autoSpaceDN w:val="0"/>
        <w:adjustRightInd w:val="0"/>
        <w:jc w:val="both"/>
        <w:rPr>
          <w:rFonts w:ascii="Arial Narrow" w:eastAsia="Calibri" w:hAnsi="Arial Narrow" w:cs="Arial"/>
          <w:lang w:val="es-MX" w:eastAsia="es-ES"/>
        </w:rPr>
      </w:pPr>
    </w:p>
    <w:p w14:paraId="59EA30A6" w14:textId="77777777" w:rsidR="007968EC" w:rsidRDefault="007968EC" w:rsidP="00DA7472">
      <w:pPr>
        <w:numPr>
          <w:ilvl w:val="0"/>
          <w:numId w:val="366"/>
        </w:numPr>
        <w:autoSpaceDE w:val="0"/>
        <w:autoSpaceDN w:val="0"/>
        <w:spacing w:after="160" w:line="256" w:lineRule="auto"/>
        <w:ind w:left="426" w:hanging="426"/>
        <w:contextualSpacing/>
        <w:jc w:val="both"/>
        <w:rPr>
          <w:rFonts w:ascii="Arial Narrow" w:eastAsia="Calibri" w:hAnsi="Arial Narrow"/>
          <w:b/>
          <w:bCs/>
          <w:color w:val="000000"/>
          <w:u w:val="single"/>
          <w:lang w:val="es-MX" w:eastAsia="en-US"/>
        </w:rPr>
      </w:pPr>
      <w:r>
        <w:rPr>
          <w:rFonts w:ascii="Arial Narrow" w:eastAsia="Calibri" w:hAnsi="Arial Narrow"/>
          <w:color w:val="000000"/>
          <w:u w:val="single"/>
          <w:lang w:val="es-MX" w:eastAsia="en-US"/>
        </w:rPr>
        <w:t>Instrumentos Derivados Financieros cuyo subyacente sea la Tasa de Cambio Dólar/Peso:</w:t>
      </w:r>
    </w:p>
    <w:p w14:paraId="08592FB1" w14:textId="77777777" w:rsidR="007968EC" w:rsidRDefault="007968EC" w:rsidP="007968EC">
      <w:pPr>
        <w:autoSpaceDE w:val="0"/>
        <w:autoSpaceDN w:val="0"/>
        <w:rPr>
          <w:rFonts w:ascii="Arial Narrow" w:eastAsia="Calibri" w:hAnsi="Arial Narrow"/>
          <w:b/>
          <w:bCs/>
          <w:color w:val="000000"/>
          <w:lang w:val="es-MX" w:eastAsia="en-US"/>
        </w:rPr>
      </w:pPr>
    </w:p>
    <w:p w14:paraId="6087558B" w14:textId="77777777" w:rsidR="007968EC" w:rsidRDefault="007968EC" w:rsidP="007968EC">
      <w:pPr>
        <w:jc w:val="both"/>
        <w:rPr>
          <w:rFonts w:ascii="Arial Narrow" w:eastAsia="Calibri" w:hAnsi="Arial Narrow"/>
          <w:b/>
          <w:bCs/>
          <w:color w:val="000000"/>
          <w:lang w:eastAsia="en-US"/>
        </w:rPr>
      </w:pPr>
      <w:r>
        <w:rPr>
          <w:rFonts w:ascii="Arial Narrow" w:eastAsia="Calibri" w:hAnsi="Arial Narrow"/>
          <w:bCs/>
          <w:color w:val="000000"/>
          <w:lang w:eastAsia="en-US"/>
        </w:rPr>
        <w:t xml:space="preserve">Para efectos de control de riesgo se agrupan los Futuros de </w:t>
      </w:r>
      <w:r>
        <w:rPr>
          <w:rFonts w:ascii="Arial Narrow" w:eastAsia="Calibri" w:hAnsi="Arial Narrow"/>
          <w:color w:val="000000"/>
          <w:lang w:val="es-MX" w:eastAsia="en-US"/>
        </w:rPr>
        <w:t xml:space="preserve">Tasa de Cambio Dólar/Peso, </w:t>
      </w:r>
      <w:r>
        <w:rPr>
          <w:rFonts w:ascii="Arial Narrow" w:eastAsia="Calibri" w:hAnsi="Arial Narrow"/>
          <w:color w:val="000000"/>
          <w:lang w:eastAsia="en-US"/>
        </w:rPr>
        <w:t xml:space="preserve">Mini Futuro de Tasa de Cambio Dólar/Peso, </w:t>
      </w:r>
      <w:r>
        <w:rPr>
          <w:rFonts w:ascii="Arial Narrow" w:hAnsi="Arial Narrow"/>
          <w:color w:val="000000"/>
          <w:lang w:eastAsia="es-CO"/>
        </w:rPr>
        <w:t>Opción sobre la TRM</w:t>
      </w:r>
      <w:r>
        <w:rPr>
          <w:rFonts w:ascii="Arial Narrow" w:eastAsia="Calibri" w:hAnsi="Arial Narrow"/>
          <w:color w:val="000000"/>
          <w:lang w:eastAsia="en-US"/>
        </w:rPr>
        <w:t xml:space="preserve"> y Forward NDF USD/COP. Los parámetros son los siguientes:</w:t>
      </w:r>
    </w:p>
    <w:p w14:paraId="42E990D5" w14:textId="77777777" w:rsidR="007968EC" w:rsidRDefault="007968EC" w:rsidP="007968EC">
      <w:pPr>
        <w:autoSpaceDE w:val="0"/>
        <w:autoSpaceDN w:val="0"/>
        <w:rPr>
          <w:rFonts w:ascii="Arial Narrow" w:eastAsia="Calibri" w:hAnsi="Arial Narrow"/>
          <w:b/>
          <w:bCs/>
          <w:color w:val="000000"/>
          <w:lang w:eastAsia="en-US"/>
        </w:rPr>
      </w:pPr>
    </w:p>
    <w:tbl>
      <w:tblPr>
        <w:tblW w:w="9795" w:type="dxa"/>
        <w:jc w:val="center"/>
        <w:tblLayout w:type="fixed"/>
        <w:tblCellMar>
          <w:left w:w="70" w:type="dxa"/>
          <w:right w:w="70" w:type="dxa"/>
        </w:tblCellMar>
        <w:tblLook w:val="04A0" w:firstRow="1" w:lastRow="0" w:firstColumn="1" w:lastColumn="0" w:noHBand="0" w:noVBand="1"/>
      </w:tblPr>
      <w:tblGrid>
        <w:gridCol w:w="1701"/>
        <w:gridCol w:w="1558"/>
        <w:gridCol w:w="1134"/>
        <w:gridCol w:w="1152"/>
        <w:gridCol w:w="1416"/>
        <w:gridCol w:w="1417"/>
        <w:gridCol w:w="1417"/>
      </w:tblGrid>
      <w:tr w:rsidR="007968EC" w14:paraId="23A25B2E" w14:textId="77777777" w:rsidTr="007968EC">
        <w:trPr>
          <w:trHeight w:val="70"/>
          <w:jc w:val="center"/>
        </w:trPr>
        <w:tc>
          <w:tcPr>
            <w:tcW w:w="1701" w:type="dxa"/>
            <w:tcBorders>
              <w:top w:val="nil"/>
              <w:left w:val="nil"/>
              <w:bottom w:val="nil"/>
              <w:right w:val="single" w:sz="4" w:space="0" w:color="auto"/>
            </w:tcBorders>
            <w:shd w:val="clear" w:color="auto" w:fill="FFFFFF"/>
            <w:noWrap/>
            <w:vAlign w:val="bottom"/>
            <w:hideMark/>
          </w:tcPr>
          <w:p w14:paraId="15662555" w14:textId="77777777" w:rsidR="007968EC" w:rsidRDefault="007968EC" w:rsidP="007968EC">
            <w:pPr>
              <w:autoSpaceDE w:val="0"/>
              <w:autoSpaceDN w:val="0"/>
              <w:spacing w:line="256" w:lineRule="auto"/>
              <w:rPr>
                <w:rFonts w:ascii="Arial Narrow" w:eastAsia="Calibri" w:hAnsi="Arial Narrow"/>
                <w:b/>
                <w:bCs/>
                <w:color w:val="000000"/>
                <w:lang w:eastAsia="en-US"/>
              </w:rPr>
            </w:pPr>
            <w:r>
              <w:rPr>
                <w:rFonts w:ascii="Arial Narrow" w:eastAsia="Calibri" w:hAnsi="Arial Narrow"/>
                <w:color w:val="000000"/>
                <w:lang w:eastAsia="en-US"/>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B2DB37"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Multiplicador del contrato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907C57"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Nominal</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FEC149"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proofErr w:type="spellStart"/>
            <w:r>
              <w:rPr>
                <w:rFonts w:ascii="Arial Narrow" w:eastAsia="Calibri" w:hAnsi="Arial Narrow"/>
                <w:color w:val="000000"/>
                <w:lang w:eastAsia="en-US"/>
              </w:rPr>
              <w:t>Nº</w:t>
            </w:r>
            <w:proofErr w:type="spellEnd"/>
            <w:r>
              <w:rPr>
                <w:rFonts w:ascii="Arial Narrow" w:eastAsia="Calibri" w:hAnsi="Arial Narrow"/>
                <w:color w:val="000000"/>
                <w:lang w:eastAsia="en-US"/>
              </w:rPr>
              <w:t xml:space="preserve"> de escenarios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4A09C0"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Tipo Fluctuación</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64EABC"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Fluctuación</w:t>
            </w:r>
          </w:p>
          <w:p w14:paraId="388DFBEC"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Total</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3A066D78" w14:textId="77777777" w:rsidR="007968EC" w:rsidRDefault="007968EC" w:rsidP="007968EC">
            <w:pPr>
              <w:autoSpaceDE w:val="0"/>
              <w:autoSpaceDN w:val="0"/>
              <w:spacing w:line="256" w:lineRule="auto"/>
              <w:jc w:val="center"/>
              <w:rPr>
                <w:rFonts w:ascii="Arial Narrow" w:eastAsia="Calibri" w:hAnsi="Arial Narrow"/>
                <w:color w:val="000000"/>
                <w:lang w:eastAsia="en-US"/>
              </w:rPr>
            </w:pPr>
            <w:r>
              <w:rPr>
                <w:rFonts w:ascii="Arial Narrow" w:hAnsi="Arial Narrow" w:cs="Arial"/>
                <w:color w:val="000000"/>
                <w:lang w:val="es-ES" w:eastAsia="es-ES"/>
              </w:rPr>
              <w:t>Porcentaje de Disminución e Incremento</w:t>
            </w:r>
          </w:p>
        </w:tc>
      </w:tr>
      <w:tr w:rsidR="007968EC" w14:paraId="44B42E31" w14:textId="77777777" w:rsidTr="007968EC">
        <w:trPr>
          <w:trHeight w:val="255"/>
          <w:jc w:val="center"/>
        </w:trPr>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690AB3C" w14:textId="77777777" w:rsidR="007968EC" w:rsidRDefault="007968EC" w:rsidP="007968EC">
            <w:pPr>
              <w:autoSpaceDE w:val="0"/>
              <w:autoSpaceDN w:val="0"/>
              <w:spacing w:line="256" w:lineRule="auto"/>
              <w:rPr>
                <w:rFonts w:ascii="Arial Narrow" w:eastAsia="Calibri" w:hAnsi="Arial Narrow"/>
                <w:b/>
                <w:bCs/>
                <w:color w:val="000000"/>
                <w:lang w:eastAsia="en-US"/>
              </w:rPr>
            </w:pPr>
            <w:r>
              <w:rPr>
                <w:rFonts w:ascii="Arial Narrow" w:eastAsia="Calibri" w:hAnsi="Arial Narrow"/>
                <w:color w:val="000000"/>
                <w:lang w:val="es-MX" w:eastAsia="en-US"/>
              </w:rPr>
              <w:t>Futuro de Tasa de Cambio Dólar/Peso</w:t>
            </w:r>
          </w:p>
        </w:tc>
        <w:tc>
          <w:tcPr>
            <w:tcW w:w="1559" w:type="dxa"/>
            <w:tcBorders>
              <w:top w:val="single" w:sz="4" w:space="0" w:color="auto"/>
              <w:left w:val="nil"/>
              <w:bottom w:val="single" w:sz="4" w:space="0" w:color="auto"/>
              <w:right w:val="single" w:sz="4" w:space="0" w:color="auto"/>
            </w:tcBorders>
            <w:shd w:val="clear" w:color="auto" w:fill="FFFFFF"/>
            <w:noWrap/>
            <w:vAlign w:val="center"/>
            <w:hideMark/>
          </w:tcPr>
          <w:p w14:paraId="1705E721"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val="es-MX" w:eastAsia="en-US"/>
              </w:rPr>
              <w:t>50.000</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14:paraId="588097A8"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val="es-MX" w:eastAsia="en-US"/>
              </w:rPr>
              <w:t>50.000</w:t>
            </w:r>
          </w:p>
        </w:tc>
        <w:tc>
          <w:tcPr>
            <w:tcW w:w="1152" w:type="dxa"/>
            <w:tcBorders>
              <w:top w:val="single" w:sz="4" w:space="0" w:color="auto"/>
              <w:left w:val="nil"/>
              <w:bottom w:val="single" w:sz="4" w:space="0" w:color="auto"/>
              <w:right w:val="single" w:sz="4" w:space="0" w:color="auto"/>
            </w:tcBorders>
            <w:shd w:val="clear" w:color="auto" w:fill="FFFFFF"/>
            <w:noWrap/>
            <w:vAlign w:val="center"/>
            <w:hideMark/>
          </w:tcPr>
          <w:p w14:paraId="5846EA7C"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11</w:t>
            </w:r>
          </w:p>
        </w:tc>
        <w:tc>
          <w:tcPr>
            <w:tcW w:w="1417" w:type="dxa"/>
            <w:vMerge w:val="restart"/>
            <w:tcBorders>
              <w:top w:val="single" w:sz="4" w:space="0" w:color="auto"/>
              <w:left w:val="nil"/>
              <w:bottom w:val="single" w:sz="4" w:space="0" w:color="auto"/>
              <w:right w:val="single" w:sz="4" w:space="0" w:color="auto"/>
            </w:tcBorders>
            <w:shd w:val="clear" w:color="auto" w:fill="FFFFFF"/>
            <w:noWrap/>
            <w:vAlign w:val="center"/>
            <w:hideMark/>
          </w:tcPr>
          <w:p w14:paraId="339E8AD0"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Porcentual</w:t>
            </w:r>
          </w:p>
        </w:tc>
        <w:tc>
          <w:tcPr>
            <w:tcW w:w="1418" w:type="dxa"/>
            <w:vMerge w:val="restart"/>
            <w:tcBorders>
              <w:top w:val="single" w:sz="4" w:space="0" w:color="auto"/>
              <w:left w:val="nil"/>
              <w:bottom w:val="single" w:sz="4" w:space="0" w:color="auto"/>
              <w:right w:val="single" w:sz="4" w:space="0" w:color="auto"/>
            </w:tcBorders>
            <w:shd w:val="clear" w:color="auto" w:fill="FFFFFF"/>
            <w:noWrap/>
            <w:vAlign w:val="center"/>
            <w:hideMark/>
          </w:tcPr>
          <w:p w14:paraId="64401963"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5.9%</w:t>
            </w:r>
          </w:p>
        </w:tc>
        <w:tc>
          <w:tcPr>
            <w:tcW w:w="1418" w:type="dxa"/>
            <w:tcBorders>
              <w:top w:val="single" w:sz="4" w:space="0" w:color="auto"/>
              <w:left w:val="nil"/>
              <w:bottom w:val="single" w:sz="4" w:space="0" w:color="auto"/>
              <w:right w:val="single" w:sz="4" w:space="0" w:color="auto"/>
            </w:tcBorders>
            <w:shd w:val="clear" w:color="auto" w:fill="FFFFFF"/>
            <w:hideMark/>
          </w:tcPr>
          <w:p w14:paraId="0A1AE447" w14:textId="77777777" w:rsidR="007968EC" w:rsidRDefault="007968EC" w:rsidP="007968EC">
            <w:pPr>
              <w:autoSpaceDE w:val="0"/>
              <w:autoSpaceDN w:val="0"/>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N/A</w:t>
            </w:r>
          </w:p>
        </w:tc>
      </w:tr>
      <w:tr w:rsidR="007968EC" w14:paraId="44003502" w14:textId="77777777" w:rsidTr="007968EC">
        <w:trPr>
          <w:trHeight w:val="255"/>
          <w:jc w:val="center"/>
        </w:trPr>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F5CE2B2" w14:textId="77777777" w:rsidR="007968EC" w:rsidRDefault="007968EC" w:rsidP="007968EC">
            <w:pPr>
              <w:autoSpaceDE w:val="0"/>
              <w:autoSpaceDN w:val="0"/>
              <w:spacing w:line="256" w:lineRule="auto"/>
              <w:rPr>
                <w:rFonts w:ascii="Arial Narrow" w:eastAsia="Calibri" w:hAnsi="Arial Narrow"/>
                <w:color w:val="000000"/>
                <w:lang w:val="es-MX" w:eastAsia="en-US"/>
              </w:rPr>
            </w:pPr>
            <w:r>
              <w:rPr>
                <w:rFonts w:ascii="Arial Narrow" w:eastAsia="Calibri" w:hAnsi="Arial Narrow"/>
                <w:color w:val="000000"/>
                <w:lang w:val="es-MX" w:eastAsia="en-US"/>
              </w:rPr>
              <w:t>Mini Contrato de Futuro de Tasa de Cambio Dólar/Peso</w:t>
            </w:r>
          </w:p>
        </w:tc>
        <w:tc>
          <w:tcPr>
            <w:tcW w:w="1559" w:type="dxa"/>
            <w:tcBorders>
              <w:top w:val="single" w:sz="4" w:space="0" w:color="auto"/>
              <w:left w:val="nil"/>
              <w:bottom w:val="single" w:sz="4" w:space="0" w:color="auto"/>
              <w:right w:val="single" w:sz="4" w:space="0" w:color="auto"/>
            </w:tcBorders>
            <w:shd w:val="clear" w:color="auto" w:fill="FFFFFF"/>
            <w:noWrap/>
            <w:vAlign w:val="center"/>
            <w:hideMark/>
          </w:tcPr>
          <w:p w14:paraId="397198C9" w14:textId="77777777" w:rsidR="007968EC" w:rsidRDefault="007968EC" w:rsidP="007968EC">
            <w:pPr>
              <w:autoSpaceDE w:val="0"/>
              <w:autoSpaceDN w:val="0"/>
              <w:spacing w:line="256" w:lineRule="auto"/>
              <w:jc w:val="center"/>
              <w:rPr>
                <w:rFonts w:ascii="Arial Narrow" w:eastAsia="Calibri" w:hAnsi="Arial Narrow"/>
                <w:color w:val="000000"/>
                <w:lang w:val="es-MX" w:eastAsia="en-US"/>
              </w:rPr>
            </w:pPr>
            <w:r>
              <w:rPr>
                <w:rFonts w:ascii="Arial Narrow" w:eastAsia="Calibri" w:hAnsi="Arial Narrow"/>
                <w:color w:val="000000"/>
                <w:lang w:val="es-MX" w:eastAsia="en-US"/>
              </w:rPr>
              <w:t>5.000</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14:paraId="55FF33DB" w14:textId="77777777" w:rsidR="007968EC" w:rsidRDefault="007968EC" w:rsidP="007968EC">
            <w:pPr>
              <w:autoSpaceDE w:val="0"/>
              <w:autoSpaceDN w:val="0"/>
              <w:spacing w:line="256" w:lineRule="auto"/>
              <w:jc w:val="center"/>
              <w:rPr>
                <w:rFonts w:ascii="Arial Narrow" w:eastAsia="Calibri" w:hAnsi="Arial Narrow"/>
                <w:color w:val="000000"/>
                <w:lang w:val="es-MX" w:eastAsia="en-US"/>
              </w:rPr>
            </w:pPr>
            <w:r>
              <w:rPr>
                <w:rFonts w:ascii="Arial Narrow" w:eastAsia="Calibri" w:hAnsi="Arial Narrow"/>
                <w:color w:val="000000"/>
                <w:lang w:val="es-MX" w:eastAsia="en-US"/>
              </w:rPr>
              <w:t>5.000</w:t>
            </w:r>
          </w:p>
        </w:tc>
        <w:tc>
          <w:tcPr>
            <w:tcW w:w="1152" w:type="dxa"/>
            <w:tcBorders>
              <w:top w:val="single" w:sz="4" w:space="0" w:color="auto"/>
              <w:left w:val="nil"/>
              <w:bottom w:val="single" w:sz="4" w:space="0" w:color="auto"/>
              <w:right w:val="single" w:sz="4" w:space="0" w:color="auto"/>
            </w:tcBorders>
            <w:shd w:val="clear" w:color="auto" w:fill="FFFFFF"/>
            <w:noWrap/>
            <w:vAlign w:val="center"/>
            <w:hideMark/>
          </w:tcPr>
          <w:p w14:paraId="3A75346C" w14:textId="77777777" w:rsidR="007968EC" w:rsidRDefault="007968EC" w:rsidP="007968EC">
            <w:pPr>
              <w:autoSpaceDE w:val="0"/>
              <w:autoSpaceDN w:val="0"/>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11</w:t>
            </w:r>
          </w:p>
        </w:tc>
        <w:tc>
          <w:tcPr>
            <w:tcW w:w="1417" w:type="dxa"/>
            <w:vMerge/>
            <w:tcBorders>
              <w:top w:val="single" w:sz="4" w:space="0" w:color="auto"/>
              <w:left w:val="nil"/>
              <w:bottom w:val="single" w:sz="4" w:space="0" w:color="auto"/>
              <w:right w:val="single" w:sz="4" w:space="0" w:color="auto"/>
            </w:tcBorders>
            <w:vAlign w:val="center"/>
            <w:hideMark/>
          </w:tcPr>
          <w:p w14:paraId="3D68E13C" w14:textId="77777777" w:rsidR="007968EC" w:rsidRDefault="007968EC" w:rsidP="007968EC">
            <w:pPr>
              <w:spacing w:line="256" w:lineRule="auto"/>
              <w:rPr>
                <w:rFonts w:ascii="Arial Narrow" w:eastAsia="Calibri" w:hAnsi="Arial Narrow"/>
                <w:b/>
                <w:bCs/>
                <w:color w:val="000000"/>
                <w:lang w:eastAsia="en-US"/>
              </w:rPr>
            </w:pPr>
          </w:p>
        </w:tc>
        <w:tc>
          <w:tcPr>
            <w:tcW w:w="1418" w:type="dxa"/>
            <w:vMerge/>
            <w:tcBorders>
              <w:top w:val="single" w:sz="4" w:space="0" w:color="auto"/>
              <w:left w:val="nil"/>
              <w:bottom w:val="single" w:sz="4" w:space="0" w:color="auto"/>
              <w:right w:val="single" w:sz="4" w:space="0" w:color="auto"/>
            </w:tcBorders>
            <w:vAlign w:val="center"/>
            <w:hideMark/>
          </w:tcPr>
          <w:p w14:paraId="7B959801" w14:textId="77777777" w:rsidR="007968EC" w:rsidRDefault="007968EC" w:rsidP="007968EC">
            <w:pPr>
              <w:spacing w:line="256" w:lineRule="auto"/>
              <w:rPr>
                <w:rFonts w:ascii="Arial Narrow" w:eastAsia="Calibri" w:hAnsi="Arial Narrow"/>
                <w:b/>
                <w:bCs/>
                <w:color w:val="000000"/>
                <w:lang w:eastAsia="en-US"/>
              </w:rPr>
            </w:pPr>
          </w:p>
        </w:tc>
        <w:tc>
          <w:tcPr>
            <w:tcW w:w="1418" w:type="dxa"/>
            <w:tcBorders>
              <w:top w:val="single" w:sz="4" w:space="0" w:color="auto"/>
              <w:left w:val="nil"/>
              <w:bottom w:val="single" w:sz="4" w:space="0" w:color="auto"/>
              <w:right w:val="single" w:sz="4" w:space="0" w:color="auto"/>
            </w:tcBorders>
            <w:shd w:val="clear" w:color="auto" w:fill="FFFFFF"/>
            <w:hideMark/>
          </w:tcPr>
          <w:p w14:paraId="34F55D11" w14:textId="77777777" w:rsidR="007968EC" w:rsidRDefault="007968EC" w:rsidP="007968EC">
            <w:pPr>
              <w:autoSpaceDE w:val="0"/>
              <w:autoSpaceDN w:val="0"/>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N/A</w:t>
            </w:r>
          </w:p>
        </w:tc>
      </w:tr>
      <w:tr w:rsidR="007968EC" w14:paraId="4B3F85C4" w14:textId="77777777" w:rsidTr="007968EC">
        <w:trPr>
          <w:trHeight w:val="255"/>
          <w:jc w:val="center"/>
        </w:trPr>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6FE73C7" w14:textId="77777777" w:rsidR="007968EC" w:rsidRDefault="007968EC" w:rsidP="007968EC">
            <w:pPr>
              <w:autoSpaceDE w:val="0"/>
              <w:autoSpaceDN w:val="0"/>
              <w:spacing w:line="256" w:lineRule="auto"/>
              <w:rPr>
                <w:rFonts w:ascii="Arial Narrow" w:eastAsia="Calibri" w:hAnsi="Arial Narrow"/>
                <w:color w:val="000000"/>
                <w:lang w:val="es-MX" w:eastAsia="en-US"/>
              </w:rPr>
            </w:pPr>
            <w:r>
              <w:rPr>
                <w:rFonts w:ascii="Arial Narrow" w:eastAsia="Calibri" w:hAnsi="Arial Narrow"/>
                <w:color w:val="000000"/>
                <w:lang w:eastAsia="en-US"/>
              </w:rPr>
              <w:t>Forward NDF USD/COP</w:t>
            </w:r>
          </w:p>
        </w:tc>
        <w:tc>
          <w:tcPr>
            <w:tcW w:w="1559" w:type="dxa"/>
            <w:tcBorders>
              <w:top w:val="single" w:sz="4" w:space="0" w:color="auto"/>
              <w:left w:val="nil"/>
              <w:bottom w:val="single" w:sz="4" w:space="0" w:color="auto"/>
              <w:right w:val="single" w:sz="4" w:space="0" w:color="auto"/>
            </w:tcBorders>
            <w:shd w:val="clear" w:color="auto" w:fill="FFFFFF"/>
            <w:noWrap/>
            <w:vAlign w:val="center"/>
            <w:hideMark/>
          </w:tcPr>
          <w:p w14:paraId="7AAC8244" w14:textId="77777777" w:rsidR="007968EC" w:rsidRDefault="007968EC" w:rsidP="007968EC">
            <w:pPr>
              <w:autoSpaceDE w:val="0"/>
              <w:autoSpaceDN w:val="0"/>
              <w:spacing w:line="256" w:lineRule="auto"/>
              <w:jc w:val="center"/>
              <w:rPr>
                <w:rFonts w:ascii="Arial Narrow" w:eastAsia="Calibri" w:hAnsi="Arial Narrow"/>
                <w:color w:val="000000"/>
                <w:lang w:val="es-MX" w:eastAsia="en-US"/>
              </w:rPr>
            </w:pPr>
            <w:r>
              <w:rPr>
                <w:rFonts w:ascii="Arial Narrow" w:eastAsia="Calibri" w:hAnsi="Arial Narrow"/>
                <w:color w:val="000000"/>
                <w:lang w:val="es-MX" w:eastAsia="en-US"/>
              </w:rPr>
              <w:t>1</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14:paraId="470E56E6" w14:textId="77777777" w:rsidR="007968EC" w:rsidRDefault="007968EC" w:rsidP="007968EC">
            <w:pPr>
              <w:autoSpaceDE w:val="0"/>
              <w:autoSpaceDN w:val="0"/>
              <w:spacing w:line="256" w:lineRule="auto"/>
              <w:jc w:val="center"/>
              <w:rPr>
                <w:rFonts w:ascii="Arial Narrow" w:eastAsia="Calibri" w:hAnsi="Arial Narrow"/>
                <w:color w:val="000000"/>
                <w:lang w:val="es-MX" w:eastAsia="en-US"/>
              </w:rPr>
            </w:pPr>
            <w:r>
              <w:rPr>
                <w:rFonts w:ascii="Arial Narrow" w:eastAsia="Calibri" w:hAnsi="Arial Narrow"/>
                <w:color w:val="000000"/>
                <w:lang w:val="es-MX" w:eastAsia="en-US"/>
              </w:rPr>
              <w:t>1</w:t>
            </w:r>
          </w:p>
        </w:tc>
        <w:tc>
          <w:tcPr>
            <w:tcW w:w="1152" w:type="dxa"/>
            <w:tcBorders>
              <w:top w:val="single" w:sz="4" w:space="0" w:color="auto"/>
              <w:left w:val="nil"/>
              <w:bottom w:val="single" w:sz="4" w:space="0" w:color="auto"/>
              <w:right w:val="single" w:sz="4" w:space="0" w:color="auto"/>
            </w:tcBorders>
            <w:shd w:val="clear" w:color="auto" w:fill="FFFFFF"/>
            <w:noWrap/>
            <w:vAlign w:val="center"/>
            <w:hideMark/>
          </w:tcPr>
          <w:p w14:paraId="0C289A7D" w14:textId="77777777" w:rsidR="007968EC" w:rsidRDefault="007968EC" w:rsidP="007968EC">
            <w:pPr>
              <w:autoSpaceDE w:val="0"/>
              <w:autoSpaceDN w:val="0"/>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11</w:t>
            </w:r>
          </w:p>
        </w:tc>
        <w:tc>
          <w:tcPr>
            <w:tcW w:w="1417" w:type="dxa"/>
            <w:vMerge/>
            <w:tcBorders>
              <w:top w:val="single" w:sz="4" w:space="0" w:color="auto"/>
              <w:left w:val="nil"/>
              <w:bottom w:val="single" w:sz="4" w:space="0" w:color="auto"/>
              <w:right w:val="single" w:sz="4" w:space="0" w:color="auto"/>
            </w:tcBorders>
            <w:vAlign w:val="center"/>
            <w:hideMark/>
          </w:tcPr>
          <w:p w14:paraId="0CBB543A" w14:textId="77777777" w:rsidR="007968EC" w:rsidRDefault="007968EC" w:rsidP="007968EC">
            <w:pPr>
              <w:spacing w:line="256" w:lineRule="auto"/>
              <w:rPr>
                <w:rFonts w:ascii="Arial Narrow" w:eastAsia="Calibri" w:hAnsi="Arial Narrow"/>
                <w:b/>
                <w:bCs/>
                <w:color w:val="000000"/>
                <w:lang w:eastAsia="en-US"/>
              </w:rPr>
            </w:pPr>
          </w:p>
        </w:tc>
        <w:tc>
          <w:tcPr>
            <w:tcW w:w="1418" w:type="dxa"/>
            <w:vMerge/>
            <w:tcBorders>
              <w:top w:val="single" w:sz="4" w:space="0" w:color="auto"/>
              <w:left w:val="nil"/>
              <w:bottom w:val="single" w:sz="4" w:space="0" w:color="auto"/>
              <w:right w:val="single" w:sz="4" w:space="0" w:color="auto"/>
            </w:tcBorders>
            <w:vAlign w:val="center"/>
            <w:hideMark/>
          </w:tcPr>
          <w:p w14:paraId="099AEBFF" w14:textId="77777777" w:rsidR="007968EC" w:rsidRDefault="007968EC" w:rsidP="007968EC">
            <w:pPr>
              <w:spacing w:line="256" w:lineRule="auto"/>
              <w:rPr>
                <w:rFonts w:ascii="Arial Narrow" w:eastAsia="Calibri" w:hAnsi="Arial Narrow"/>
                <w:b/>
                <w:bCs/>
                <w:color w:val="000000"/>
                <w:lang w:eastAsia="en-US"/>
              </w:rPr>
            </w:pPr>
          </w:p>
        </w:tc>
        <w:tc>
          <w:tcPr>
            <w:tcW w:w="1418" w:type="dxa"/>
            <w:tcBorders>
              <w:top w:val="single" w:sz="4" w:space="0" w:color="auto"/>
              <w:left w:val="nil"/>
              <w:bottom w:val="single" w:sz="4" w:space="0" w:color="auto"/>
              <w:right w:val="single" w:sz="4" w:space="0" w:color="auto"/>
            </w:tcBorders>
            <w:shd w:val="clear" w:color="auto" w:fill="FFFFFF"/>
            <w:hideMark/>
          </w:tcPr>
          <w:p w14:paraId="175C4E96" w14:textId="77777777" w:rsidR="007968EC" w:rsidRDefault="007968EC" w:rsidP="007968EC">
            <w:pPr>
              <w:autoSpaceDE w:val="0"/>
              <w:autoSpaceDN w:val="0"/>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N/A</w:t>
            </w:r>
          </w:p>
        </w:tc>
      </w:tr>
      <w:tr w:rsidR="007968EC" w14:paraId="66D06252" w14:textId="77777777" w:rsidTr="007968EC">
        <w:trPr>
          <w:trHeight w:val="255"/>
          <w:jc w:val="center"/>
        </w:trPr>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EFB8FA9" w14:textId="77777777" w:rsidR="007968EC" w:rsidRDefault="007968EC" w:rsidP="007968EC">
            <w:pPr>
              <w:autoSpaceDE w:val="0"/>
              <w:autoSpaceDN w:val="0"/>
              <w:spacing w:line="256" w:lineRule="auto"/>
              <w:rPr>
                <w:rFonts w:ascii="Arial Narrow" w:eastAsia="Calibri" w:hAnsi="Arial Narrow"/>
                <w:color w:val="000000"/>
                <w:lang w:val="es-MX" w:eastAsia="en-US"/>
              </w:rPr>
            </w:pPr>
            <w:r>
              <w:rPr>
                <w:rFonts w:ascii="Arial Narrow" w:hAnsi="Arial Narrow"/>
                <w:color w:val="000000"/>
                <w:lang w:eastAsia="es-CO"/>
              </w:rPr>
              <w:t>Contrato de Opción sobre la TRM</w:t>
            </w:r>
          </w:p>
        </w:tc>
        <w:tc>
          <w:tcPr>
            <w:tcW w:w="1559" w:type="dxa"/>
            <w:tcBorders>
              <w:top w:val="single" w:sz="4" w:space="0" w:color="auto"/>
              <w:left w:val="nil"/>
              <w:bottom w:val="single" w:sz="4" w:space="0" w:color="auto"/>
              <w:right w:val="single" w:sz="4" w:space="0" w:color="auto"/>
            </w:tcBorders>
            <w:shd w:val="clear" w:color="auto" w:fill="FFFFFF"/>
            <w:noWrap/>
            <w:vAlign w:val="center"/>
            <w:hideMark/>
          </w:tcPr>
          <w:p w14:paraId="73C32FF7" w14:textId="77777777" w:rsidR="007968EC" w:rsidRDefault="007968EC" w:rsidP="007968EC">
            <w:pPr>
              <w:autoSpaceDE w:val="0"/>
              <w:autoSpaceDN w:val="0"/>
              <w:spacing w:line="256" w:lineRule="auto"/>
              <w:jc w:val="center"/>
              <w:rPr>
                <w:rFonts w:ascii="Arial Narrow" w:eastAsia="Calibri" w:hAnsi="Arial Narrow"/>
                <w:color w:val="000000"/>
                <w:lang w:val="es-MX" w:eastAsia="en-US"/>
              </w:rPr>
            </w:pPr>
            <w:r>
              <w:rPr>
                <w:rFonts w:ascii="Arial Narrow" w:eastAsia="Calibri" w:hAnsi="Arial Narrow"/>
                <w:color w:val="000000"/>
                <w:lang w:val="es-MX" w:eastAsia="en-US"/>
              </w:rPr>
              <w:t>50.000</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14:paraId="22141450" w14:textId="77777777" w:rsidR="007968EC" w:rsidRDefault="007968EC" w:rsidP="007968EC">
            <w:pPr>
              <w:autoSpaceDE w:val="0"/>
              <w:autoSpaceDN w:val="0"/>
              <w:spacing w:line="256" w:lineRule="auto"/>
              <w:jc w:val="center"/>
              <w:rPr>
                <w:rFonts w:ascii="Arial Narrow" w:eastAsia="Calibri" w:hAnsi="Arial Narrow"/>
                <w:color w:val="000000"/>
                <w:lang w:val="es-MX" w:eastAsia="en-US"/>
              </w:rPr>
            </w:pPr>
            <w:r>
              <w:rPr>
                <w:rFonts w:ascii="Arial Narrow" w:eastAsia="Calibri" w:hAnsi="Arial Narrow"/>
                <w:color w:val="000000"/>
                <w:lang w:val="es-MX" w:eastAsia="en-US"/>
              </w:rPr>
              <w:t>50.000</w:t>
            </w:r>
          </w:p>
        </w:tc>
        <w:tc>
          <w:tcPr>
            <w:tcW w:w="1152" w:type="dxa"/>
            <w:tcBorders>
              <w:top w:val="single" w:sz="4" w:space="0" w:color="auto"/>
              <w:left w:val="nil"/>
              <w:bottom w:val="single" w:sz="4" w:space="0" w:color="auto"/>
              <w:right w:val="single" w:sz="4" w:space="0" w:color="auto"/>
            </w:tcBorders>
            <w:shd w:val="clear" w:color="auto" w:fill="FFFFFF"/>
            <w:noWrap/>
            <w:vAlign w:val="center"/>
            <w:hideMark/>
          </w:tcPr>
          <w:p w14:paraId="775C0505" w14:textId="77777777" w:rsidR="007968EC" w:rsidRDefault="007968EC" w:rsidP="007968EC">
            <w:pPr>
              <w:autoSpaceDE w:val="0"/>
              <w:autoSpaceDN w:val="0"/>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22</w:t>
            </w:r>
          </w:p>
        </w:tc>
        <w:tc>
          <w:tcPr>
            <w:tcW w:w="1417" w:type="dxa"/>
            <w:vMerge/>
            <w:tcBorders>
              <w:top w:val="single" w:sz="4" w:space="0" w:color="auto"/>
              <w:left w:val="nil"/>
              <w:bottom w:val="single" w:sz="4" w:space="0" w:color="auto"/>
              <w:right w:val="single" w:sz="4" w:space="0" w:color="auto"/>
            </w:tcBorders>
            <w:vAlign w:val="center"/>
            <w:hideMark/>
          </w:tcPr>
          <w:p w14:paraId="2039875B" w14:textId="77777777" w:rsidR="007968EC" w:rsidRDefault="007968EC" w:rsidP="007968EC">
            <w:pPr>
              <w:spacing w:line="256" w:lineRule="auto"/>
              <w:rPr>
                <w:rFonts w:ascii="Arial Narrow" w:eastAsia="Calibri" w:hAnsi="Arial Narrow"/>
                <w:b/>
                <w:bCs/>
                <w:color w:val="000000"/>
                <w:lang w:eastAsia="en-US"/>
              </w:rPr>
            </w:pPr>
          </w:p>
        </w:tc>
        <w:tc>
          <w:tcPr>
            <w:tcW w:w="1418" w:type="dxa"/>
            <w:vMerge/>
            <w:tcBorders>
              <w:top w:val="single" w:sz="4" w:space="0" w:color="auto"/>
              <w:left w:val="nil"/>
              <w:bottom w:val="single" w:sz="4" w:space="0" w:color="auto"/>
              <w:right w:val="single" w:sz="4" w:space="0" w:color="auto"/>
            </w:tcBorders>
            <w:vAlign w:val="center"/>
            <w:hideMark/>
          </w:tcPr>
          <w:p w14:paraId="5A0A6F52" w14:textId="77777777" w:rsidR="007968EC" w:rsidRDefault="007968EC" w:rsidP="007968EC">
            <w:pPr>
              <w:spacing w:line="256" w:lineRule="auto"/>
              <w:rPr>
                <w:rFonts w:ascii="Arial Narrow" w:eastAsia="Calibri" w:hAnsi="Arial Narrow"/>
                <w:b/>
                <w:bCs/>
                <w:color w:val="000000"/>
                <w:lang w:eastAsia="en-US"/>
              </w:rPr>
            </w:pPr>
          </w:p>
        </w:tc>
        <w:tc>
          <w:tcPr>
            <w:tcW w:w="1418" w:type="dxa"/>
            <w:tcBorders>
              <w:top w:val="single" w:sz="4" w:space="0" w:color="auto"/>
              <w:left w:val="nil"/>
              <w:bottom w:val="single" w:sz="4" w:space="0" w:color="auto"/>
              <w:right w:val="single" w:sz="4" w:space="0" w:color="auto"/>
            </w:tcBorders>
            <w:shd w:val="clear" w:color="auto" w:fill="FFFFFF"/>
            <w:hideMark/>
          </w:tcPr>
          <w:p w14:paraId="5D5D7EA5" w14:textId="77777777" w:rsidR="007968EC" w:rsidRDefault="007968EC" w:rsidP="007968EC">
            <w:pPr>
              <w:autoSpaceDE w:val="0"/>
              <w:autoSpaceDN w:val="0"/>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25%</w:t>
            </w:r>
          </w:p>
        </w:tc>
      </w:tr>
    </w:tbl>
    <w:p w14:paraId="6358D095" w14:textId="77777777" w:rsidR="007968EC" w:rsidRDefault="007968EC" w:rsidP="007968EC">
      <w:pPr>
        <w:autoSpaceDE w:val="0"/>
        <w:autoSpaceDN w:val="0"/>
        <w:rPr>
          <w:rFonts w:ascii="Arial Narrow" w:eastAsia="Calibri" w:hAnsi="Arial Narrow"/>
          <w:b/>
          <w:bCs/>
          <w:color w:val="000000"/>
          <w:lang w:eastAsia="en-US"/>
        </w:rPr>
      </w:pPr>
    </w:p>
    <w:tbl>
      <w:tblPr>
        <w:tblW w:w="6600" w:type="dxa"/>
        <w:jc w:val="center"/>
        <w:tblLayout w:type="fixed"/>
        <w:tblCellMar>
          <w:left w:w="70" w:type="dxa"/>
          <w:right w:w="70" w:type="dxa"/>
        </w:tblCellMar>
        <w:tblLook w:val="04A0" w:firstRow="1" w:lastRow="0" w:firstColumn="1" w:lastColumn="0" w:noHBand="0" w:noVBand="1"/>
      </w:tblPr>
      <w:tblGrid>
        <w:gridCol w:w="2101"/>
        <w:gridCol w:w="1440"/>
        <w:gridCol w:w="1519"/>
        <w:gridCol w:w="1540"/>
      </w:tblGrid>
      <w:tr w:rsidR="007968EC" w14:paraId="5346BE41" w14:textId="77777777" w:rsidTr="007968EC">
        <w:trPr>
          <w:trHeight w:val="555"/>
          <w:jc w:val="center"/>
        </w:trPr>
        <w:tc>
          <w:tcPr>
            <w:tcW w:w="2102" w:type="dxa"/>
            <w:tcBorders>
              <w:top w:val="nil"/>
              <w:left w:val="nil"/>
              <w:bottom w:val="nil"/>
              <w:right w:val="single" w:sz="4" w:space="0" w:color="auto"/>
            </w:tcBorders>
            <w:shd w:val="clear" w:color="auto" w:fill="FFFFFF"/>
            <w:noWrap/>
            <w:vAlign w:val="bottom"/>
            <w:hideMark/>
          </w:tcPr>
          <w:p w14:paraId="6146DA70" w14:textId="77777777" w:rsidR="007968EC" w:rsidRDefault="007968EC" w:rsidP="007968EC">
            <w:pPr>
              <w:autoSpaceDE w:val="0"/>
              <w:autoSpaceDN w:val="0"/>
              <w:spacing w:line="256" w:lineRule="auto"/>
              <w:rPr>
                <w:rFonts w:ascii="Arial Narrow" w:eastAsia="Calibri" w:hAnsi="Arial Narrow"/>
                <w:b/>
                <w:bCs/>
                <w:color w:val="000000"/>
                <w:lang w:eastAsia="en-US"/>
              </w:rPr>
            </w:pPr>
            <w:r>
              <w:rPr>
                <w:rFonts w:ascii="Arial Narrow" w:eastAsia="Calibri" w:hAnsi="Arial Narrow"/>
                <w:color w:val="000000"/>
                <w:lang w:eastAsia="en-US"/>
              </w:rPr>
              <w:t> </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36F39E"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Factor por Time Spread</w:t>
            </w:r>
          </w:p>
        </w:tc>
        <w:tc>
          <w:tcPr>
            <w:tcW w:w="1519" w:type="dxa"/>
            <w:tcBorders>
              <w:top w:val="single" w:sz="4" w:space="0" w:color="auto"/>
              <w:left w:val="nil"/>
              <w:bottom w:val="single" w:sz="4" w:space="0" w:color="auto"/>
              <w:right w:val="single" w:sz="4" w:space="0" w:color="auto"/>
            </w:tcBorders>
            <w:shd w:val="clear" w:color="auto" w:fill="FFFFFF"/>
            <w:vAlign w:val="center"/>
            <w:hideMark/>
          </w:tcPr>
          <w:p w14:paraId="352CFB0C"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Valor mínimo por Spread</w:t>
            </w:r>
          </w:p>
        </w:tc>
        <w:tc>
          <w:tcPr>
            <w:tcW w:w="1540" w:type="dxa"/>
            <w:tcBorders>
              <w:top w:val="single" w:sz="4" w:space="0" w:color="auto"/>
              <w:left w:val="nil"/>
              <w:bottom w:val="single" w:sz="4" w:space="0" w:color="auto"/>
              <w:right w:val="single" w:sz="4" w:space="0" w:color="auto"/>
            </w:tcBorders>
            <w:shd w:val="clear" w:color="auto" w:fill="FFFFFF"/>
            <w:vAlign w:val="center"/>
            <w:hideMark/>
          </w:tcPr>
          <w:p w14:paraId="19A7BE93"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Fluctuación para llamado a Garantías Extraordinarias</w:t>
            </w:r>
          </w:p>
        </w:tc>
      </w:tr>
      <w:tr w:rsidR="007968EC" w14:paraId="3F749B95" w14:textId="77777777" w:rsidTr="007968EC">
        <w:trPr>
          <w:trHeight w:val="255"/>
          <w:jc w:val="center"/>
        </w:trPr>
        <w:tc>
          <w:tcPr>
            <w:tcW w:w="210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BFDADEF" w14:textId="77777777" w:rsidR="007968EC" w:rsidRDefault="007968EC" w:rsidP="007968EC">
            <w:pPr>
              <w:autoSpaceDE w:val="0"/>
              <w:autoSpaceDN w:val="0"/>
              <w:spacing w:line="256" w:lineRule="auto"/>
              <w:rPr>
                <w:rFonts w:ascii="Arial Narrow" w:eastAsia="Calibri" w:hAnsi="Arial Narrow"/>
                <w:b/>
                <w:bCs/>
                <w:color w:val="000000"/>
                <w:lang w:eastAsia="en-US"/>
              </w:rPr>
            </w:pPr>
            <w:r>
              <w:rPr>
                <w:rFonts w:ascii="Arial Narrow" w:eastAsia="Calibri" w:hAnsi="Arial Narrow"/>
                <w:color w:val="000000"/>
                <w:lang w:val="es-MX" w:eastAsia="en-US"/>
              </w:rPr>
              <w:t>Futuro de Tasa de Cambio Dólar/Peso</w:t>
            </w:r>
          </w:p>
        </w:tc>
        <w:tc>
          <w:tcPr>
            <w:tcW w:w="1440" w:type="dxa"/>
            <w:vMerge w:val="restart"/>
            <w:tcBorders>
              <w:top w:val="single" w:sz="4" w:space="0" w:color="auto"/>
              <w:left w:val="nil"/>
              <w:bottom w:val="single" w:sz="4" w:space="0" w:color="auto"/>
              <w:right w:val="single" w:sz="4" w:space="0" w:color="auto"/>
            </w:tcBorders>
            <w:shd w:val="clear" w:color="auto" w:fill="FFFFFF"/>
            <w:noWrap/>
            <w:vAlign w:val="center"/>
            <w:hideMark/>
          </w:tcPr>
          <w:p w14:paraId="2E06A05D"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1.2</w:t>
            </w:r>
          </w:p>
        </w:tc>
        <w:tc>
          <w:tcPr>
            <w:tcW w:w="1519" w:type="dxa"/>
            <w:vMerge w:val="restart"/>
            <w:tcBorders>
              <w:top w:val="single" w:sz="4" w:space="0" w:color="auto"/>
              <w:left w:val="nil"/>
              <w:bottom w:val="single" w:sz="4" w:space="0" w:color="auto"/>
              <w:right w:val="single" w:sz="4" w:space="0" w:color="auto"/>
            </w:tcBorders>
            <w:shd w:val="clear" w:color="auto" w:fill="FFFFFF"/>
            <w:noWrap/>
            <w:vAlign w:val="center"/>
            <w:hideMark/>
          </w:tcPr>
          <w:p w14:paraId="4F42D0E6"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val="es-MX" w:eastAsia="en-US"/>
              </w:rPr>
              <w:t>13</w:t>
            </w:r>
          </w:p>
        </w:tc>
        <w:tc>
          <w:tcPr>
            <w:tcW w:w="1540" w:type="dxa"/>
            <w:vMerge w:val="restart"/>
            <w:tcBorders>
              <w:top w:val="single" w:sz="4" w:space="0" w:color="auto"/>
              <w:left w:val="nil"/>
              <w:bottom w:val="single" w:sz="4" w:space="0" w:color="auto"/>
              <w:right w:val="single" w:sz="4" w:space="0" w:color="auto"/>
            </w:tcBorders>
            <w:shd w:val="clear" w:color="auto" w:fill="FFFFFF"/>
            <w:noWrap/>
            <w:vAlign w:val="center"/>
            <w:hideMark/>
          </w:tcPr>
          <w:p w14:paraId="5154DB79"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4.42%</w:t>
            </w:r>
          </w:p>
        </w:tc>
      </w:tr>
      <w:tr w:rsidR="007968EC" w14:paraId="1C9738CD" w14:textId="77777777" w:rsidTr="007968EC">
        <w:trPr>
          <w:trHeight w:val="255"/>
          <w:jc w:val="center"/>
        </w:trPr>
        <w:tc>
          <w:tcPr>
            <w:tcW w:w="210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78168CF" w14:textId="77777777" w:rsidR="007968EC" w:rsidRDefault="007968EC" w:rsidP="007968EC">
            <w:pPr>
              <w:autoSpaceDE w:val="0"/>
              <w:autoSpaceDN w:val="0"/>
              <w:spacing w:line="256" w:lineRule="auto"/>
              <w:rPr>
                <w:rFonts w:ascii="Arial Narrow" w:eastAsia="Calibri" w:hAnsi="Arial Narrow"/>
                <w:color w:val="000000"/>
                <w:lang w:val="es-MX" w:eastAsia="en-US"/>
              </w:rPr>
            </w:pPr>
            <w:r>
              <w:rPr>
                <w:rFonts w:ascii="Arial Narrow" w:eastAsia="Calibri" w:hAnsi="Arial Narrow"/>
                <w:color w:val="000000"/>
                <w:lang w:val="es-MX" w:eastAsia="en-US"/>
              </w:rPr>
              <w:t>Mini Contrato de Futuro de Tasa de Cambio Dólar/Peso</w:t>
            </w:r>
          </w:p>
        </w:tc>
        <w:tc>
          <w:tcPr>
            <w:tcW w:w="1440" w:type="dxa"/>
            <w:vMerge/>
            <w:tcBorders>
              <w:top w:val="single" w:sz="4" w:space="0" w:color="auto"/>
              <w:left w:val="nil"/>
              <w:bottom w:val="single" w:sz="4" w:space="0" w:color="auto"/>
              <w:right w:val="single" w:sz="4" w:space="0" w:color="auto"/>
            </w:tcBorders>
            <w:vAlign w:val="center"/>
            <w:hideMark/>
          </w:tcPr>
          <w:p w14:paraId="3A9ECA8E" w14:textId="77777777" w:rsidR="007968EC" w:rsidRDefault="007968EC" w:rsidP="007968EC">
            <w:pPr>
              <w:spacing w:line="256" w:lineRule="auto"/>
              <w:rPr>
                <w:rFonts w:ascii="Arial Narrow" w:eastAsia="Calibri" w:hAnsi="Arial Narrow"/>
                <w:b/>
                <w:bCs/>
                <w:color w:val="000000"/>
                <w:lang w:eastAsia="en-US"/>
              </w:rPr>
            </w:pPr>
          </w:p>
        </w:tc>
        <w:tc>
          <w:tcPr>
            <w:tcW w:w="1519" w:type="dxa"/>
            <w:vMerge/>
            <w:tcBorders>
              <w:top w:val="single" w:sz="4" w:space="0" w:color="auto"/>
              <w:left w:val="nil"/>
              <w:bottom w:val="single" w:sz="4" w:space="0" w:color="auto"/>
              <w:right w:val="single" w:sz="4" w:space="0" w:color="auto"/>
            </w:tcBorders>
            <w:vAlign w:val="center"/>
            <w:hideMark/>
          </w:tcPr>
          <w:p w14:paraId="78CD7F13" w14:textId="77777777" w:rsidR="007968EC" w:rsidRDefault="007968EC" w:rsidP="007968EC">
            <w:pPr>
              <w:spacing w:line="256" w:lineRule="auto"/>
              <w:rPr>
                <w:rFonts w:ascii="Arial Narrow" w:eastAsia="Calibri" w:hAnsi="Arial Narrow"/>
                <w:b/>
                <w:bCs/>
                <w:color w:val="000000"/>
                <w:lang w:eastAsia="en-US"/>
              </w:rPr>
            </w:pPr>
          </w:p>
        </w:tc>
        <w:tc>
          <w:tcPr>
            <w:tcW w:w="1540" w:type="dxa"/>
            <w:vMerge/>
            <w:tcBorders>
              <w:top w:val="single" w:sz="4" w:space="0" w:color="auto"/>
              <w:left w:val="nil"/>
              <w:bottom w:val="single" w:sz="4" w:space="0" w:color="auto"/>
              <w:right w:val="single" w:sz="4" w:space="0" w:color="auto"/>
            </w:tcBorders>
            <w:vAlign w:val="center"/>
            <w:hideMark/>
          </w:tcPr>
          <w:p w14:paraId="7E9105C4" w14:textId="77777777" w:rsidR="007968EC" w:rsidRDefault="007968EC" w:rsidP="007968EC">
            <w:pPr>
              <w:spacing w:line="256" w:lineRule="auto"/>
              <w:rPr>
                <w:rFonts w:ascii="Arial Narrow" w:eastAsia="Calibri" w:hAnsi="Arial Narrow"/>
                <w:b/>
                <w:bCs/>
                <w:color w:val="000000"/>
                <w:lang w:eastAsia="en-US"/>
              </w:rPr>
            </w:pPr>
          </w:p>
        </w:tc>
      </w:tr>
      <w:tr w:rsidR="007968EC" w14:paraId="3B7B15F5" w14:textId="77777777" w:rsidTr="007968EC">
        <w:trPr>
          <w:trHeight w:val="255"/>
          <w:jc w:val="center"/>
        </w:trPr>
        <w:tc>
          <w:tcPr>
            <w:tcW w:w="210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06AC90A" w14:textId="77777777" w:rsidR="007968EC" w:rsidRDefault="007968EC" w:rsidP="007968EC">
            <w:pPr>
              <w:autoSpaceDE w:val="0"/>
              <w:autoSpaceDN w:val="0"/>
              <w:spacing w:line="256" w:lineRule="auto"/>
              <w:rPr>
                <w:rFonts w:ascii="Arial Narrow" w:eastAsia="Calibri" w:hAnsi="Arial Narrow"/>
                <w:color w:val="000000"/>
                <w:lang w:val="es-MX" w:eastAsia="en-US"/>
              </w:rPr>
            </w:pPr>
            <w:r>
              <w:rPr>
                <w:rFonts w:ascii="Arial Narrow" w:eastAsia="Calibri" w:hAnsi="Arial Narrow"/>
                <w:color w:val="000000"/>
                <w:lang w:eastAsia="en-US"/>
              </w:rPr>
              <w:t>Forward NDF USD/COP</w:t>
            </w:r>
          </w:p>
        </w:tc>
        <w:tc>
          <w:tcPr>
            <w:tcW w:w="1440" w:type="dxa"/>
            <w:vMerge/>
            <w:tcBorders>
              <w:top w:val="single" w:sz="4" w:space="0" w:color="auto"/>
              <w:left w:val="nil"/>
              <w:bottom w:val="single" w:sz="4" w:space="0" w:color="auto"/>
              <w:right w:val="single" w:sz="4" w:space="0" w:color="auto"/>
            </w:tcBorders>
            <w:vAlign w:val="center"/>
            <w:hideMark/>
          </w:tcPr>
          <w:p w14:paraId="4BAF8A28" w14:textId="77777777" w:rsidR="007968EC" w:rsidRDefault="007968EC" w:rsidP="007968EC">
            <w:pPr>
              <w:spacing w:line="256" w:lineRule="auto"/>
              <w:rPr>
                <w:rFonts w:ascii="Arial Narrow" w:eastAsia="Calibri" w:hAnsi="Arial Narrow"/>
                <w:b/>
                <w:bCs/>
                <w:color w:val="000000"/>
                <w:lang w:eastAsia="en-US"/>
              </w:rPr>
            </w:pPr>
          </w:p>
        </w:tc>
        <w:tc>
          <w:tcPr>
            <w:tcW w:w="1519" w:type="dxa"/>
            <w:vMerge/>
            <w:tcBorders>
              <w:top w:val="single" w:sz="4" w:space="0" w:color="auto"/>
              <w:left w:val="nil"/>
              <w:bottom w:val="single" w:sz="4" w:space="0" w:color="auto"/>
              <w:right w:val="single" w:sz="4" w:space="0" w:color="auto"/>
            </w:tcBorders>
            <w:vAlign w:val="center"/>
            <w:hideMark/>
          </w:tcPr>
          <w:p w14:paraId="2853EE62" w14:textId="77777777" w:rsidR="007968EC" w:rsidRDefault="007968EC" w:rsidP="007968EC">
            <w:pPr>
              <w:spacing w:line="256" w:lineRule="auto"/>
              <w:rPr>
                <w:rFonts w:ascii="Arial Narrow" w:eastAsia="Calibri" w:hAnsi="Arial Narrow"/>
                <w:b/>
                <w:bCs/>
                <w:color w:val="000000"/>
                <w:lang w:eastAsia="en-US"/>
              </w:rPr>
            </w:pPr>
          </w:p>
        </w:tc>
        <w:tc>
          <w:tcPr>
            <w:tcW w:w="1540" w:type="dxa"/>
            <w:vMerge/>
            <w:tcBorders>
              <w:top w:val="single" w:sz="4" w:space="0" w:color="auto"/>
              <w:left w:val="nil"/>
              <w:bottom w:val="single" w:sz="4" w:space="0" w:color="auto"/>
              <w:right w:val="single" w:sz="4" w:space="0" w:color="auto"/>
            </w:tcBorders>
            <w:vAlign w:val="center"/>
            <w:hideMark/>
          </w:tcPr>
          <w:p w14:paraId="36ECF4E0" w14:textId="77777777" w:rsidR="007968EC" w:rsidRDefault="007968EC" w:rsidP="007968EC">
            <w:pPr>
              <w:spacing w:line="256" w:lineRule="auto"/>
              <w:rPr>
                <w:rFonts w:ascii="Arial Narrow" w:eastAsia="Calibri" w:hAnsi="Arial Narrow"/>
                <w:b/>
                <w:bCs/>
                <w:color w:val="000000"/>
                <w:lang w:eastAsia="en-US"/>
              </w:rPr>
            </w:pPr>
          </w:p>
        </w:tc>
      </w:tr>
      <w:tr w:rsidR="007968EC" w14:paraId="7E115E64" w14:textId="77777777" w:rsidTr="007968EC">
        <w:trPr>
          <w:trHeight w:val="255"/>
          <w:jc w:val="center"/>
        </w:trPr>
        <w:tc>
          <w:tcPr>
            <w:tcW w:w="210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C063702" w14:textId="77777777" w:rsidR="007968EC" w:rsidRDefault="007968EC" w:rsidP="007968EC">
            <w:pPr>
              <w:autoSpaceDE w:val="0"/>
              <w:autoSpaceDN w:val="0"/>
              <w:spacing w:line="256" w:lineRule="auto"/>
              <w:rPr>
                <w:rFonts w:ascii="Arial Narrow" w:eastAsia="Calibri" w:hAnsi="Arial Narrow"/>
                <w:color w:val="000000"/>
                <w:lang w:val="es-MX" w:eastAsia="en-US"/>
              </w:rPr>
            </w:pPr>
            <w:r>
              <w:rPr>
                <w:rFonts w:ascii="Arial Narrow" w:hAnsi="Arial Narrow"/>
                <w:color w:val="000000"/>
                <w:lang w:eastAsia="es-CO"/>
              </w:rPr>
              <w:t>Contrato de Opción sobre la TRM</w:t>
            </w:r>
          </w:p>
        </w:tc>
        <w:tc>
          <w:tcPr>
            <w:tcW w:w="1440" w:type="dxa"/>
            <w:vMerge/>
            <w:tcBorders>
              <w:top w:val="single" w:sz="4" w:space="0" w:color="auto"/>
              <w:left w:val="nil"/>
              <w:bottom w:val="single" w:sz="4" w:space="0" w:color="auto"/>
              <w:right w:val="single" w:sz="4" w:space="0" w:color="auto"/>
            </w:tcBorders>
            <w:vAlign w:val="center"/>
            <w:hideMark/>
          </w:tcPr>
          <w:p w14:paraId="15795438" w14:textId="77777777" w:rsidR="007968EC" w:rsidRDefault="007968EC" w:rsidP="007968EC">
            <w:pPr>
              <w:spacing w:line="256" w:lineRule="auto"/>
              <w:rPr>
                <w:rFonts w:ascii="Arial Narrow" w:eastAsia="Calibri" w:hAnsi="Arial Narrow"/>
                <w:b/>
                <w:bCs/>
                <w:color w:val="000000"/>
                <w:lang w:eastAsia="en-US"/>
              </w:rPr>
            </w:pPr>
          </w:p>
        </w:tc>
        <w:tc>
          <w:tcPr>
            <w:tcW w:w="1519" w:type="dxa"/>
            <w:vMerge/>
            <w:tcBorders>
              <w:top w:val="single" w:sz="4" w:space="0" w:color="auto"/>
              <w:left w:val="nil"/>
              <w:bottom w:val="single" w:sz="4" w:space="0" w:color="auto"/>
              <w:right w:val="single" w:sz="4" w:space="0" w:color="auto"/>
            </w:tcBorders>
            <w:vAlign w:val="center"/>
            <w:hideMark/>
          </w:tcPr>
          <w:p w14:paraId="6AA0B1FF" w14:textId="77777777" w:rsidR="007968EC" w:rsidRDefault="007968EC" w:rsidP="007968EC">
            <w:pPr>
              <w:spacing w:line="256" w:lineRule="auto"/>
              <w:rPr>
                <w:rFonts w:ascii="Arial Narrow" w:eastAsia="Calibri" w:hAnsi="Arial Narrow"/>
                <w:b/>
                <w:bCs/>
                <w:color w:val="000000"/>
                <w:lang w:eastAsia="en-US"/>
              </w:rPr>
            </w:pPr>
          </w:p>
        </w:tc>
        <w:tc>
          <w:tcPr>
            <w:tcW w:w="1540" w:type="dxa"/>
            <w:vMerge/>
            <w:tcBorders>
              <w:top w:val="single" w:sz="4" w:space="0" w:color="auto"/>
              <w:left w:val="nil"/>
              <w:bottom w:val="single" w:sz="4" w:space="0" w:color="auto"/>
              <w:right w:val="single" w:sz="4" w:space="0" w:color="auto"/>
            </w:tcBorders>
            <w:vAlign w:val="center"/>
            <w:hideMark/>
          </w:tcPr>
          <w:p w14:paraId="31D972AE" w14:textId="77777777" w:rsidR="007968EC" w:rsidRDefault="007968EC" w:rsidP="007968EC">
            <w:pPr>
              <w:spacing w:line="256" w:lineRule="auto"/>
              <w:rPr>
                <w:rFonts w:ascii="Arial Narrow" w:eastAsia="Calibri" w:hAnsi="Arial Narrow"/>
                <w:b/>
                <w:bCs/>
                <w:color w:val="000000"/>
                <w:lang w:eastAsia="en-US"/>
              </w:rPr>
            </w:pPr>
          </w:p>
        </w:tc>
      </w:tr>
    </w:tbl>
    <w:p w14:paraId="7B5F12B8" w14:textId="77777777" w:rsidR="007968EC" w:rsidRDefault="007968EC" w:rsidP="007968EC">
      <w:pPr>
        <w:autoSpaceDE w:val="0"/>
        <w:autoSpaceDN w:val="0"/>
        <w:jc w:val="both"/>
        <w:rPr>
          <w:rFonts w:ascii="Arial Narrow" w:eastAsia="Calibri" w:hAnsi="Arial Narrow"/>
          <w:color w:val="000000"/>
          <w:u w:val="single"/>
          <w:lang w:eastAsia="en-US"/>
        </w:rPr>
      </w:pPr>
    </w:p>
    <w:p w14:paraId="095E085F" w14:textId="77777777" w:rsidR="007968EC" w:rsidRDefault="007968EC" w:rsidP="007968EC">
      <w:pPr>
        <w:autoSpaceDE w:val="0"/>
        <w:autoSpaceDN w:val="0"/>
        <w:ind w:left="426"/>
        <w:contextualSpacing/>
        <w:jc w:val="both"/>
        <w:rPr>
          <w:rFonts w:ascii="Arial Narrow" w:eastAsia="Calibri" w:hAnsi="Arial Narrow"/>
          <w:color w:val="000000"/>
          <w:u w:val="single"/>
          <w:lang w:eastAsia="en-US"/>
        </w:rPr>
      </w:pPr>
    </w:p>
    <w:p w14:paraId="7773CACC" w14:textId="77777777" w:rsidR="007968EC" w:rsidRDefault="007968EC" w:rsidP="00DA7472">
      <w:pPr>
        <w:numPr>
          <w:ilvl w:val="0"/>
          <w:numId w:val="366"/>
        </w:numPr>
        <w:autoSpaceDE w:val="0"/>
        <w:autoSpaceDN w:val="0"/>
        <w:spacing w:after="160" w:line="256" w:lineRule="auto"/>
        <w:ind w:left="426" w:hanging="426"/>
        <w:contextualSpacing/>
        <w:jc w:val="both"/>
        <w:rPr>
          <w:rFonts w:ascii="Arial Narrow" w:eastAsia="Calibri" w:hAnsi="Arial Narrow"/>
          <w:color w:val="000000"/>
          <w:u w:val="single"/>
          <w:lang w:eastAsia="en-US"/>
        </w:rPr>
      </w:pPr>
      <w:r>
        <w:rPr>
          <w:rFonts w:ascii="Arial Narrow" w:eastAsia="Calibri" w:hAnsi="Arial Narrow"/>
          <w:color w:val="000000"/>
          <w:u w:val="single"/>
          <w:lang w:eastAsia="en-US"/>
        </w:rPr>
        <w:t xml:space="preserve">Contrato de Futuro </w:t>
      </w:r>
      <w:r>
        <w:rPr>
          <w:rFonts w:ascii="Arial Narrow" w:eastAsia="Calibri" w:hAnsi="Arial Narrow" w:cs="Arial"/>
          <w:color w:val="000000"/>
          <w:u w:val="single"/>
          <w:lang w:eastAsia="es-ES"/>
        </w:rPr>
        <w:t xml:space="preserve">sobre Acciones del Índice COLCAP con </w:t>
      </w:r>
      <w:r>
        <w:rPr>
          <w:rFonts w:ascii="Arial Narrow" w:eastAsia="Calibri" w:hAnsi="Arial Narrow"/>
          <w:bCs/>
          <w:color w:val="000000" w:themeColor="text1"/>
          <w:u w:val="single"/>
          <w:lang w:eastAsia="en-US"/>
        </w:rPr>
        <w:t>Liquidación por Entrega</w:t>
      </w:r>
      <w:r>
        <w:rPr>
          <w:rFonts w:ascii="Arial Narrow" w:eastAsia="Calibri" w:hAnsi="Arial Narrow"/>
          <w:color w:val="000000"/>
          <w:u w:val="single"/>
          <w:lang w:eastAsia="en-US"/>
        </w:rPr>
        <w:t>:</w:t>
      </w:r>
    </w:p>
    <w:p w14:paraId="3037ED58" w14:textId="77777777" w:rsidR="007968EC" w:rsidRDefault="007968EC" w:rsidP="007968EC">
      <w:pPr>
        <w:autoSpaceDE w:val="0"/>
        <w:autoSpaceDN w:val="0"/>
        <w:adjustRightInd w:val="0"/>
        <w:jc w:val="both"/>
        <w:rPr>
          <w:rFonts w:ascii="Arial Narrow" w:eastAsia="Calibri" w:hAnsi="Arial Narrow" w:cs="Arial Narrow"/>
          <w:color w:val="000000"/>
          <w:lang w:eastAsia="en-US"/>
        </w:rPr>
      </w:pPr>
    </w:p>
    <w:p w14:paraId="6C991EE9" w14:textId="77777777" w:rsidR="007968EC" w:rsidRDefault="007968EC" w:rsidP="007968EC">
      <w:pPr>
        <w:autoSpaceDE w:val="0"/>
        <w:autoSpaceDN w:val="0"/>
        <w:adjustRightInd w:val="0"/>
        <w:jc w:val="both"/>
        <w:rPr>
          <w:rFonts w:ascii="Arial Narrow" w:eastAsia="Calibri" w:hAnsi="Arial Narrow" w:cs="Arial Narrow"/>
          <w:color w:val="000000"/>
          <w:lang w:eastAsia="en-US"/>
        </w:rPr>
      </w:pPr>
      <w:r>
        <w:rPr>
          <w:rFonts w:ascii="Arial Narrow" w:eastAsia="Calibri" w:hAnsi="Arial Narrow" w:cs="Arial Narrow"/>
          <w:color w:val="000000"/>
          <w:lang w:eastAsia="en-US"/>
        </w:rPr>
        <w:t xml:space="preserve">Para el Instrumento Contrato de Futuro sobre Acciones del Índice COLCAP </w:t>
      </w:r>
      <w:r>
        <w:rPr>
          <w:rFonts w:ascii="Arial Narrow" w:eastAsia="Calibri" w:hAnsi="Arial Narrow" w:cs="Arial"/>
          <w:color w:val="000000"/>
          <w:lang w:eastAsia="es-ES"/>
        </w:rPr>
        <w:t xml:space="preserve">con </w:t>
      </w:r>
      <w:r>
        <w:rPr>
          <w:rFonts w:ascii="Arial Narrow" w:eastAsia="Calibri" w:hAnsi="Arial Narrow"/>
          <w:bCs/>
          <w:color w:val="000000" w:themeColor="text1"/>
          <w:lang w:eastAsia="en-US"/>
        </w:rPr>
        <w:t>Liquidación por Entrega</w:t>
      </w:r>
      <w:r>
        <w:rPr>
          <w:rFonts w:ascii="Arial Narrow" w:eastAsia="Calibri" w:hAnsi="Arial Narrow" w:cs="Arial Narrow"/>
          <w:color w:val="000000"/>
          <w:lang w:eastAsia="en-US"/>
        </w:rPr>
        <w:t>, se tienen los siguientes parámetros:</w:t>
      </w:r>
    </w:p>
    <w:p w14:paraId="4943B799" w14:textId="77777777" w:rsidR="007968EC" w:rsidRDefault="007968EC" w:rsidP="007968EC">
      <w:pPr>
        <w:autoSpaceDE w:val="0"/>
        <w:autoSpaceDN w:val="0"/>
        <w:adjustRightInd w:val="0"/>
        <w:jc w:val="both"/>
        <w:rPr>
          <w:rFonts w:ascii="Arial Narrow" w:eastAsia="Calibri" w:hAnsi="Arial Narrow" w:cs="Arial Narrow"/>
          <w:color w:val="000000"/>
          <w:lang w:eastAsia="en-US"/>
        </w:rPr>
      </w:pPr>
    </w:p>
    <w:tbl>
      <w:tblPr>
        <w:tblW w:w="8115" w:type="dxa"/>
        <w:jc w:val="center"/>
        <w:tblLayout w:type="fixed"/>
        <w:tblCellMar>
          <w:left w:w="70" w:type="dxa"/>
          <w:right w:w="70" w:type="dxa"/>
        </w:tblCellMar>
        <w:tblLook w:val="04A0" w:firstRow="1" w:lastRow="0" w:firstColumn="1" w:lastColumn="0" w:noHBand="0" w:noVBand="1"/>
      </w:tblPr>
      <w:tblGrid>
        <w:gridCol w:w="2218"/>
        <w:gridCol w:w="1325"/>
        <w:gridCol w:w="938"/>
        <w:gridCol w:w="1118"/>
        <w:gridCol w:w="1258"/>
        <w:gridCol w:w="1258"/>
      </w:tblGrid>
      <w:tr w:rsidR="007968EC" w14:paraId="1DFA236F" w14:textId="77777777" w:rsidTr="007968EC">
        <w:trPr>
          <w:trHeight w:val="622"/>
          <w:jc w:val="center"/>
        </w:trPr>
        <w:tc>
          <w:tcPr>
            <w:tcW w:w="2216" w:type="dxa"/>
            <w:tcBorders>
              <w:top w:val="single" w:sz="4" w:space="0" w:color="auto"/>
              <w:left w:val="single" w:sz="4" w:space="0" w:color="auto"/>
              <w:bottom w:val="nil"/>
              <w:right w:val="single" w:sz="4" w:space="0" w:color="auto"/>
            </w:tcBorders>
            <w:shd w:val="clear" w:color="auto" w:fill="FFFFFF"/>
            <w:noWrap/>
            <w:vAlign w:val="bottom"/>
            <w:hideMark/>
          </w:tcPr>
          <w:p w14:paraId="45E7323D"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t xml:space="preserve">Contrato de Futuro sobre Acciones del Índice COLCAP </w:t>
            </w:r>
            <w:r>
              <w:rPr>
                <w:rFonts w:ascii="Arial Narrow" w:eastAsia="Calibri" w:hAnsi="Arial Narrow" w:cs="Arial"/>
                <w:color w:val="000000"/>
                <w:lang w:eastAsia="es-ES"/>
              </w:rPr>
              <w:t xml:space="preserve">con </w:t>
            </w:r>
            <w:r>
              <w:rPr>
                <w:rFonts w:ascii="Arial Narrow" w:eastAsia="Calibri" w:hAnsi="Arial Narrow" w:cstheme="minorBidi"/>
                <w:bCs/>
                <w:color w:val="000000" w:themeColor="text1"/>
                <w:lang w:eastAsia="en-US"/>
              </w:rPr>
              <w:t>Liquidación por Entrega</w:t>
            </w:r>
          </w:p>
        </w:tc>
        <w:tc>
          <w:tcPr>
            <w:tcW w:w="13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7F16D7"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t>Multiplicador del contrato</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9C174A"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t>Nominal</w:t>
            </w: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363BE9" w14:textId="77777777" w:rsidR="007968EC" w:rsidRDefault="007968EC" w:rsidP="007968EC">
            <w:pPr>
              <w:spacing w:line="256" w:lineRule="auto"/>
              <w:jc w:val="center"/>
              <w:rPr>
                <w:rFonts w:ascii="Arial Narrow" w:eastAsia="Calibri" w:hAnsi="Arial Narrow" w:cstheme="minorBidi"/>
                <w:b/>
                <w:color w:val="000000"/>
                <w:lang w:eastAsia="en-US"/>
              </w:rPr>
            </w:pPr>
            <w:proofErr w:type="spellStart"/>
            <w:r>
              <w:rPr>
                <w:rFonts w:ascii="Arial Narrow" w:eastAsia="Calibri" w:hAnsi="Arial Narrow" w:cstheme="minorBidi"/>
                <w:color w:val="000000"/>
                <w:lang w:eastAsia="en-US"/>
              </w:rPr>
              <w:t>Nº</w:t>
            </w:r>
            <w:proofErr w:type="spellEnd"/>
            <w:r>
              <w:rPr>
                <w:rFonts w:ascii="Arial Narrow" w:eastAsia="Calibri" w:hAnsi="Arial Narrow" w:cstheme="minorBidi"/>
                <w:color w:val="000000"/>
                <w:lang w:eastAsia="en-US"/>
              </w:rPr>
              <w:t xml:space="preserve"> de Escenarios</w:t>
            </w:r>
          </w:p>
        </w:tc>
        <w:tc>
          <w:tcPr>
            <w:tcW w:w="125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A5452B"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t xml:space="preserve">Tipo de </w:t>
            </w:r>
            <w:r>
              <w:rPr>
                <w:rFonts w:ascii="Arial Narrow" w:eastAsia="Calibri" w:hAnsi="Arial Narrow" w:cstheme="minorBidi"/>
                <w:color w:val="000000"/>
                <w:lang w:eastAsia="en-US"/>
              </w:rPr>
              <w:br/>
              <w:t>Fluctuación</w:t>
            </w:r>
          </w:p>
        </w:tc>
        <w:tc>
          <w:tcPr>
            <w:tcW w:w="125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5B4F32"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t>Fluctuación</w:t>
            </w:r>
            <w:r>
              <w:rPr>
                <w:rFonts w:ascii="Arial Narrow" w:eastAsia="Calibri" w:hAnsi="Arial Narrow" w:cstheme="minorBidi"/>
                <w:color w:val="000000"/>
                <w:lang w:eastAsia="en-US"/>
              </w:rPr>
              <w:br/>
              <w:t>Total</w:t>
            </w:r>
          </w:p>
        </w:tc>
      </w:tr>
      <w:tr w:rsidR="007968EC" w14:paraId="384E986C" w14:textId="77777777" w:rsidTr="007968EC">
        <w:trPr>
          <w:trHeight w:val="73"/>
          <w:jc w:val="center"/>
        </w:trPr>
        <w:tc>
          <w:tcPr>
            <w:tcW w:w="22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2E0CE1"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t>ECOPETROL</w:t>
            </w:r>
          </w:p>
        </w:tc>
        <w:tc>
          <w:tcPr>
            <w:tcW w:w="1325" w:type="dxa"/>
            <w:vMerge w:val="restart"/>
            <w:tcBorders>
              <w:top w:val="single" w:sz="4" w:space="0" w:color="auto"/>
              <w:left w:val="nil"/>
              <w:bottom w:val="nil"/>
              <w:right w:val="single" w:sz="4" w:space="0" w:color="auto"/>
            </w:tcBorders>
            <w:noWrap/>
            <w:vAlign w:val="center"/>
            <w:hideMark/>
          </w:tcPr>
          <w:p w14:paraId="21B0C604"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t>1000</w:t>
            </w:r>
          </w:p>
        </w:tc>
        <w:tc>
          <w:tcPr>
            <w:tcW w:w="938" w:type="dxa"/>
            <w:vMerge w:val="restart"/>
            <w:tcBorders>
              <w:top w:val="single" w:sz="4" w:space="0" w:color="auto"/>
              <w:left w:val="nil"/>
              <w:bottom w:val="nil"/>
              <w:right w:val="single" w:sz="4" w:space="0" w:color="auto"/>
            </w:tcBorders>
            <w:noWrap/>
            <w:vAlign w:val="center"/>
            <w:hideMark/>
          </w:tcPr>
          <w:p w14:paraId="15A95CB9"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t>1000</w:t>
            </w:r>
          </w:p>
        </w:tc>
        <w:tc>
          <w:tcPr>
            <w:tcW w:w="1118" w:type="dxa"/>
            <w:vMerge w:val="restart"/>
            <w:tcBorders>
              <w:top w:val="single" w:sz="4" w:space="0" w:color="auto"/>
              <w:left w:val="nil"/>
              <w:bottom w:val="nil"/>
              <w:right w:val="single" w:sz="4" w:space="0" w:color="auto"/>
            </w:tcBorders>
            <w:noWrap/>
            <w:vAlign w:val="center"/>
            <w:hideMark/>
          </w:tcPr>
          <w:p w14:paraId="1D56F3CF"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t>11</w:t>
            </w:r>
          </w:p>
        </w:tc>
        <w:tc>
          <w:tcPr>
            <w:tcW w:w="1258" w:type="dxa"/>
            <w:vMerge w:val="restart"/>
            <w:tcBorders>
              <w:top w:val="single" w:sz="4" w:space="0" w:color="auto"/>
              <w:left w:val="nil"/>
              <w:bottom w:val="nil"/>
              <w:right w:val="single" w:sz="4" w:space="0" w:color="auto"/>
            </w:tcBorders>
            <w:noWrap/>
            <w:vAlign w:val="center"/>
            <w:hideMark/>
          </w:tcPr>
          <w:p w14:paraId="2BD4146F"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t>Porcentual</w:t>
            </w:r>
          </w:p>
        </w:tc>
        <w:tc>
          <w:tcPr>
            <w:tcW w:w="1258" w:type="dxa"/>
            <w:tcBorders>
              <w:top w:val="single" w:sz="4" w:space="0" w:color="auto"/>
              <w:left w:val="nil"/>
              <w:bottom w:val="single" w:sz="4" w:space="0" w:color="auto"/>
              <w:right w:val="single" w:sz="4" w:space="0" w:color="auto"/>
            </w:tcBorders>
            <w:shd w:val="clear" w:color="auto" w:fill="FFFFFF"/>
            <w:noWrap/>
            <w:vAlign w:val="center"/>
            <w:hideMark/>
          </w:tcPr>
          <w:p w14:paraId="02209DB3"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12.1%</w:t>
            </w:r>
          </w:p>
        </w:tc>
      </w:tr>
      <w:tr w:rsidR="007968EC" w14:paraId="5716601D" w14:textId="77777777" w:rsidTr="007968EC">
        <w:trPr>
          <w:trHeight w:val="73"/>
          <w:jc w:val="center"/>
        </w:trPr>
        <w:tc>
          <w:tcPr>
            <w:tcW w:w="22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3A2A26"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t>PREFERENCIAL DE BANCOLOMBIA</w:t>
            </w:r>
          </w:p>
        </w:tc>
        <w:tc>
          <w:tcPr>
            <w:tcW w:w="1325" w:type="dxa"/>
            <w:vMerge/>
            <w:tcBorders>
              <w:top w:val="single" w:sz="4" w:space="0" w:color="auto"/>
              <w:left w:val="nil"/>
              <w:bottom w:val="nil"/>
              <w:right w:val="single" w:sz="4" w:space="0" w:color="auto"/>
            </w:tcBorders>
            <w:vAlign w:val="center"/>
            <w:hideMark/>
          </w:tcPr>
          <w:p w14:paraId="646FC626" w14:textId="77777777" w:rsidR="007968EC" w:rsidRDefault="007968EC" w:rsidP="007968EC">
            <w:pPr>
              <w:spacing w:line="256" w:lineRule="auto"/>
              <w:rPr>
                <w:rFonts w:ascii="Arial Narrow" w:eastAsia="Calibri" w:hAnsi="Arial Narrow" w:cstheme="minorBidi"/>
                <w:b/>
                <w:color w:val="000000"/>
                <w:lang w:eastAsia="en-US"/>
              </w:rPr>
            </w:pPr>
          </w:p>
        </w:tc>
        <w:tc>
          <w:tcPr>
            <w:tcW w:w="938" w:type="dxa"/>
            <w:vMerge/>
            <w:tcBorders>
              <w:top w:val="single" w:sz="4" w:space="0" w:color="auto"/>
              <w:left w:val="nil"/>
              <w:bottom w:val="nil"/>
              <w:right w:val="single" w:sz="4" w:space="0" w:color="auto"/>
            </w:tcBorders>
            <w:vAlign w:val="center"/>
            <w:hideMark/>
          </w:tcPr>
          <w:p w14:paraId="2F11918C" w14:textId="77777777" w:rsidR="007968EC" w:rsidRDefault="007968EC" w:rsidP="007968EC">
            <w:pPr>
              <w:spacing w:line="256" w:lineRule="auto"/>
              <w:rPr>
                <w:rFonts w:ascii="Arial Narrow" w:eastAsia="Calibri" w:hAnsi="Arial Narrow" w:cstheme="minorBidi"/>
                <w:b/>
                <w:color w:val="000000"/>
                <w:lang w:eastAsia="en-US"/>
              </w:rPr>
            </w:pPr>
          </w:p>
        </w:tc>
        <w:tc>
          <w:tcPr>
            <w:tcW w:w="1118" w:type="dxa"/>
            <w:vMerge/>
            <w:tcBorders>
              <w:top w:val="single" w:sz="4" w:space="0" w:color="auto"/>
              <w:left w:val="nil"/>
              <w:bottom w:val="nil"/>
              <w:right w:val="single" w:sz="4" w:space="0" w:color="auto"/>
            </w:tcBorders>
            <w:vAlign w:val="center"/>
            <w:hideMark/>
          </w:tcPr>
          <w:p w14:paraId="5009775C" w14:textId="77777777" w:rsidR="007968EC" w:rsidRDefault="007968EC" w:rsidP="007968EC">
            <w:pPr>
              <w:spacing w:line="256" w:lineRule="auto"/>
              <w:rPr>
                <w:rFonts w:ascii="Arial Narrow" w:eastAsia="Calibri" w:hAnsi="Arial Narrow" w:cstheme="minorBidi"/>
                <w:b/>
                <w:color w:val="000000"/>
                <w:lang w:eastAsia="en-US"/>
              </w:rPr>
            </w:pPr>
          </w:p>
        </w:tc>
        <w:tc>
          <w:tcPr>
            <w:tcW w:w="1258" w:type="dxa"/>
            <w:vMerge/>
            <w:tcBorders>
              <w:top w:val="single" w:sz="4" w:space="0" w:color="auto"/>
              <w:left w:val="nil"/>
              <w:bottom w:val="nil"/>
              <w:right w:val="single" w:sz="4" w:space="0" w:color="auto"/>
            </w:tcBorders>
            <w:vAlign w:val="center"/>
            <w:hideMark/>
          </w:tcPr>
          <w:p w14:paraId="1634D38D" w14:textId="77777777" w:rsidR="007968EC" w:rsidRDefault="007968EC" w:rsidP="007968EC">
            <w:pPr>
              <w:spacing w:line="256" w:lineRule="auto"/>
              <w:rPr>
                <w:rFonts w:ascii="Arial Narrow" w:eastAsia="Calibri" w:hAnsi="Arial Narrow" w:cstheme="minorBidi"/>
                <w:b/>
                <w:color w:val="000000"/>
                <w:lang w:eastAsia="en-US"/>
              </w:rPr>
            </w:pPr>
          </w:p>
        </w:tc>
        <w:tc>
          <w:tcPr>
            <w:tcW w:w="1258" w:type="dxa"/>
            <w:tcBorders>
              <w:top w:val="single" w:sz="4" w:space="0" w:color="auto"/>
              <w:left w:val="nil"/>
              <w:bottom w:val="single" w:sz="4" w:space="0" w:color="auto"/>
              <w:right w:val="single" w:sz="4" w:space="0" w:color="auto"/>
            </w:tcBorders>
            <w:shd w:val="clear" w:color="auto" w:fill="FFFFFF"/>
            <w:noWrap/>
            <w:vAlign w:val="center"/>
            <w:hideMark/>
          </w:tcPr>
          <w:p w14:paraId="03A47482"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9.4%</w:t>
            </w:r>
          </w:p>
        </w:tc>
      </w:tr>
      <w:tr w:rsidR="007968EC" w14:paraId="0C406B69" w14:textId="77777777" w:rsidTr="007968EC">
        <w:trPr>
          <w:trHeight w:val="204"/>
          <w:jc w:val="center"/>
        </w:trPr>
        <w:tc>
          <w:tcPr>
            <w:tcW w:w="22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721DEB"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t>ORDINARIA DEL GRUPO SURA</w:t>
            </w:r>
          </w:p>
        </w:tc>
        <w:tc>
          <w:tcPr>
            <w:tcW w:w="1325" w:type="dxa"/>
            <w:vMerge/>
            <w:tcBorders>
              <w:top w:val="single" w:sz="4" w:space="0" w:color="auto"/>
              <w:left w:val="nil"/>
              <w:bottom w:val="nil"/>
              <w:right w:val="single" w:sz="4" w:space="0" w:color="auto"/>
            </w:tcBorders>
            <w:vAlign w:val="center"/>
            <w:hideMark/>
          </w:tcPr>
          <w:p w14:paraId="04F26AA2" w14:textId="77777777" w:rsidR="007968EC" w:rsidRDefault="007968EC" w:rsidP="007968EC">
            <w:pPr>
              <w:spacing w:line="256" w:lineRule="auto"/>
              <w:rPr>
                <w:rFonts w:ascii="Arial Narrow" w:eastAsia="Calibri" w:hAnsi="Arial Narrow" w:cstheme="minorBidi"/>
                <w:b/>
                <w:color w:val="000000"/>
                <w:lang w:eastAsia="en-US"/>
              </w:rPr>
            </w:pPr>
          </w:p>
        </w:tc>
        <w:tc>
          <w:tcPr>
            <w:tcW w:w="938" w:type="dxa"/>
            <w:vMerge/>
            <w:tcBorders>
              <w:top w:val="single" w:sz="4" w:space="0" w:color="auto"/>
              <w:left w:val="nil"/>
              <w:bottom w:val="nil"/>
              <w:right w:val="single" w:sz="4" w:space="0" w:color="auto"/>
            </w:tcBorders>
            <w:vAlign w:val="center"/>
            <w:hideMark/>
          </w:tcPr>
          <w:p w14:paraId="62F18D69" w14:textId="77777777" w:rsidR="007968EC" w:rsidRDefault="007968EC" w:rsidP="007968EC">
            <w:pPr>
              <w:spacing w:line="256" w:lineRule="auto"/>
              <w:rPr>
                <w:rFonts w:ascii="Arial Narrow" w:eastAsia="Calibri" w:hAnsi="Arial Narrow" w:cstheme="minorBidi"/>
                <w:b/>
                <w:color w:val="000000"/>
                <w:lang w:eastAsia="en-US"/>
              </w:rPr>
            </w:pPr>
          </w:p>
        </w:tc>
        <w:tc>
          <w:tcPr>
            <w:tcW w:w="1118" w:type="dxa"/>
            <w:vMerge/>
            <w:tcBorders>
              <w:top w:val="single" w:sz="4" w:space="0" w:color="auto"/>
              <w:left w:val="nil"/>
              <w:bottom w:val="nil"/>
              <w:right w:val="single" w:sz="4" w:space="0" w:color="auto"/>
            </w:tcBorders>
            <w:vAlign w:val="center"/>
            <w:hideMark/>
          </w:tcPr>
          <w:p w14:paraId="67CAD6B3" w14:textId="77777777" w:rsidR="007968EC" w:rsidRDefault="007968EC" w:rsidP="007968EC">
            <w:pPr>
              <w:spacing w:line="256" w:lineRule="auto"/>
              <w:rPr>
                <w:rFonts w:ascii="Arial Narrow" w:eastAsia="Calibri" w:hAnsi="Arial Narrow" w:cstheme="minorBidi"/>
                <w:b/>
                <w:color w:val="000000"/>
                <w:lang w:eastAsia="en-US"/>
              </w:rPr>
            </w:pPr>
          </w:p>
        </w:tc>
        <w:tc>
          <w:tcPr>
            <w:tcW w:w="1258" w:type="dxa"/>
            <w:vMerge/>
            <w:tcBorders>
              <w:top w:val="single" w:sz="4" w:space="0" w:color="auto"/>
              <w:left w:val="nil"/>
              <w:bottom w:val="nil"/>
              <w:right w:val="single" w:sz="4" w:space="0" w:color="auto"/>
            </w:tcBorders>
            <w:vAlign w:val="center"/>
            <w:hideMark/>
          </w:tcPr>
          <w:p w14:paraId="6B9B7DE5" w14:textId="77777777" w:rsidR="007968EC" w:rsidRDefault="007968EC" w:rsidP="007968EC">
            <w:pPr>
              <w:spacing w:line="256" w:lineRule="auto"/>
              <w:rPr>
                <w:rFonts w:ascii="Arial Narrow" w:eastAsia="Calibri" w:hAnsi="Arial Narrow" w:cstheme="minorBidi"/>
                <w:b/>
                <w:color w:val="000000"/>
                <w:lang w:eastAsia="en-US"/>
              </w:rPr>
            </w:pPr>
          </w:p>
        </w:tc>
        <w:tc>
          <w:tcPr>
            <w:tcW w:w="1258" w:type="dxa"/>
            <w:tcBorders>
              <w:top w:val="single" w:sz="4" w:space="0" w:color="auto"/>
              <w:left w:val="nil"/>
              <w:bottom w:val="single" w:sz="4" w:space="0" w:color="auto"/>
              <w:right w:val="single" w:sz="4" w:space="0" w:color="auto"/>
            </w:tcBorders>
            <w:shd w:val="clear" w:color="auto" w:fill="FFFFFF"/>
            <w:noWrap/>
            <w:vAlign w:val="center"/>
            <w:hideMark/>
          </w:tcPr>
          <w:p w14:paraId="4739B779"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8.8%</w:t>
            </w:r>
          </w:p>
        </w:tc>
      </w:tr>
      <w:tr w:rsidR="007968EC" w14:paraId="2EDAA939" w14:textId="77777777" w:rsidTr="007968EC">
        <w:trPr>
          <w:trHeight w:val="73"/>
          <w:jc w:val="center"/>
        </w:trPr>
        <w:tc>
          <w:tcPr>
            <w:tcW w:w="22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655571"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ORDINARIA DE CORFICOLOMBIANA</w:t>
            </w:r>
          </w:p>
        </w:tc>
        <w:tc>
          <w:tcPr>
            <w:tcW w:w="1325" w:type="dxa"/>
            <w:vMerge/>
            <w:tcBorders>
              <w:top w:val="single" w:sz="4" w:space="0" w:color="auto"/>
              <w:left w:val="nil"/>
              <w:bottom w:val="nil"/>
              <w:right w:val="single" w:sz="4" w:space="0" w:color="auto"/>
            </w:tcBorders>
            <w:vAlign w:val="center"/>
            <w:hideMark/>
          </w:tcPr>
          <w:p w14:paraId="308B8FAB" w14:textId="77777777" w:rsidR="007968EC" w:rsidRDefault="007968EC" w:rsidP="007968EC">
            <w:pPr>
              <w:spacing w:line="256" w:lineRule="auto"/>
              <w:rPr>
                <w:rFonts w:ascii="Arial Narrow" w:eastAsia="Calibri" w:hAnsi="Arial Narrow" w:cstheme="minorBidi"/>
                <w:b/>
                <w:color w:val="000000"/>
                <w:lang w:eastAsia="en-US"/>
              </w:rPr>
            </w:pPr>
          </w:p>
        </w:tc>
        <w:tc>
          <w:tcPr>
            <w:tcW w:w="938" w:type="dxa"/>
            <w:vMerge/>
            <w:tcBorders>
              <w:top w:val="single" w:sz="4" w:space="0" w:color="auto"/>
              <w:left w:val="nil"/>
              <w:bottom w:val="nil"/>
              <w:right w:val="single" w:sz="4" w:space="0" w:color="auto"/>
            </w:tcBorders>
            <w:vAlign w:val="center"/>
            <w:hideMark/>
          </w:tcPr>
          <w:p w14:paraId="75134EC3" w14:textId="77777777" w:rsidR="007968EC" w:rsidRDefault="007968EC" w:rsidP="007968EC">
            <w:pPr>
              <w:spacing w:line="256" w:lineRule="auto"/>
              <w:rPr>
                <w:rFonts w:ascii="Arial Narrow" w:eastAsia="Calibri" w:hAnsi="Arial Narrow" w:cstheme="minorBidi"/>
                <w:b/>
                <w:color w:val="000000"/>
                <w:lang w:eastAsia="en-US"/>
              </w:rPr>
            </w:pPr>
          </w:p>
        </w:tc>
        <w:tc>
          <w:tcPr>
            <w:tcW w:w="1118" w:type="dxa"/>
            <w:vMerge/>
            <w:tcBorders>
              <w:top w:val="single" w:sz="4" w:space="0" w:color="auto"/>
              <w:left w:val="nil"/>
              <w:bottom w:val="nil"/>
              <w:right w:val="single" w:sz="4" w:space="0" w:color="auto"/>
            </w:tcBorders>
            <w:vAlign w:val="center"/>
            <w:hideMark/>
          </w:tcPr>
          <w:p w14:paraId="00C17F29" w14:textId="77777777" w:rsidR="007968EC" w:rsidRDefault="007968EC" w:rsidP="007968EC">
            <w:pPr>
              <w:spacing w:line="256" w:lineRule="auto"/>
              <w:rPr>
                <w:rFonts w:ascii="Arial Narrow" w:eastAsia="Calibri" w:hAnsi="Arial Narrow" w:cstheme="minorBidi"/>
                <w:b/>
                <w:color w:val="000000"/>
                <w:lang w:eastAsia="en-US"/>
              </w:rPr>
            </w:pPr>
          </w:p>
        </w:tc>
        <w:tc>
          <w:tcPr>
            <w:tcW w:w="1258" w:type="dxa"/>
            <w:vMerge/>
            <w:tcBorders>
              <w:top w:val="single" w:sz="4" w:space="0" w:color="auto"/>
              <w:left w:val="nil"/>
              <w:bottom w:val="nil"/>
              <w:right w:val="single" w:sz="4" w:space="0" w:color="auto"/>
            </w:tcBorders>
            <w:vAlign w:val="center"/>
            <w:hideMark/>
          </w:tcPr>
          <w:p w14:paraId="1A38062A" w14:textId="77777777" w:rsidR="007968EC" w:rsidRDefault="007968EC" w:rsidP="007968EC">
            <w:pPr>
              <w:spacing w:line="256" w:lineRule="auto"/>
              <w:rPr>
                <w:rFonts w:ascii="Arial Narrow" w:eastAsia="Calibri" w:hAnsi="Arial Narrow" w:cstheme="minorBidi"/>
                <w:b/>
                <w:color w:val="000000"/>
                <w:lang w:eastAsia="en-US"/>
              </w:rPr>
            </w:pPr>
          </w:p>
        </w:tc>
        <w:tc>
          <w:tcPr>
            <w:tcW w:w="1258" w:type="dxa"/>
            <w:tcBorders>
              <w:top w:val="single" w:sz="4" w:space="0" w:color="auto"/>
              <w:left w:val="nil"/>
              <w:bottom w:val="single" w:sz="4" w:space="0" w:color="auto"/>
              <w:right w:val="single" w:sz="4" w:space="0" w:color="auto"/>
            </w:tcBorders>
            <w:shd w:val="clear" w:color="auto" w:fill="FFFFFF"/>
            <w:noWrap/>
            <w:vAlign w:val="center"/>
            <w:hideMark/>
          </w:tcPr>
          <w:p w14:paraId="72512A8F"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14.8%</w:t>
            </w:r>
          </w:p>
        </w:tc>
      </w:tr>
      <w:tr w:rsidR="007968EC" w14:paraId="5D83DE64" w14:textId="77777777" w:rsidTr="007968EC">
        <w:trPr>
          <w:trHeight w:val="73"/>
          <w:jc w:val="center"/>
        </w:trPr>
        <w:tc>
          <w:tcPr>
            <w:tcW w:w="22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9AB5EB"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t>PREFERENCIAL GRUPO ARGOS</w:t>
            </w:r>
          </w:p>
        </w:tc>
        <w:tc>
          <w:tcPr>
            <w:tcW w:w="1325" w:type="dxa"/>
            <w:vMerge/>
            <w:tcBorders>
              <w:top w:val="single" w:sz="4" w:space="0" w:color="auto"/>
              <w:left w:val="nil"/>
              <w:bottom w:val="nil"/>
              <w:right w:val="single" w:sz="4" w:space="0" w:color="auto"/>
            </w:tcBorders>
            <w:vAlign w:val="center"/>
            <w:hideMark/>
          </w:tcPr>
          <w:p w14:paraId="6B41B36A" w14:textId="77777777" w:rsidR="007968EC" w:rsidRDefault="007968EC" w:rsidP="007968EC">
            <w:pPr>
              <w:spacing w:line="256" w:lineRule="auto"/>
              <w:rPr>
                <w:rFonts w:ascii="Arial Narrow" w:eastAsia="Calibri" w:hAnsi="Arial Narrow" w:cstheme="minorBidi"/>
                <w:b/>
                <w:color w:val="000000"/>
                <w:lang w:eastAsia="en-US"/>
              </w:rPr>
            </w:pPr>
          </w:p>
        </w:tc>
        <w:tc>
          <w:tcPr>
            <w:tcW w:w="938" w:type="dxa"/>
            <w:vMerge/>
            <w:tcBorders>
              <w:top w:val="single" w:sz="4" w:space="0" w:color="auto"/>
              <w:left w:val="nil"/>
              <w:bottom w:val="nil"/>
              <w:right w:val="single" w:sz="4" w:space="0" w:color="auto"/>
            </w:tcBorders>
            <w:vAlign w:val="center"/>
            <w:hideMark/>
          </w:tcPr>
          <w:p w14:paraId="528CC871" w14:textId="77777777" w:rsidR="007968EC" w:rsidRDefault="007968EC" w:rsidP="007968EC">
            <w:pPr>
              <w:spacing w:line="256" w:lineRule="auto"/>
              <w:rPr>
                <w:rFonts w:ascii="Arial Narrow" w:eastAsia="Calibri" w:hAnsi="Arial Narrow" w:cstheme="minorBidi"/>
                <w:b/>
                <w:color w:val="000000"/>
                <w:lang w:eastAsia="en-US"/>
              </w:rPr>
            </w:pPr>
          </w:p>
        </w:tc>
        <w:tc>
          <w:tcPr>
            <w:tcW w:w="1118" w:type="dxa"/>
            <w:vMerge/>
            <w:tcBorders>
              <w:top w:val="single" w:sz="4" w:space="0" w:color="auto"/>
              <w:left w:val="nil"/>
              <w:bottom w:val="nil"/>
              <w:right w:val="single" w:sz="4" w:space="0" w:color="auto"/>
            </w:tcBorders>
            <w:vAlign w:val="center"/>
            <w:hideMark/>
          </w:tcPr>
          <w:p w14:paraId="7DF27648" w14:textId="77777777" w:rsidR="007968EC" w:rsidRDefault="007968EC" w:rsidP="007968EC">
            <w:pPr>
              <w:spacing w:line="256" w:lineRule="auto"/>
              <w:rPr>
                <w:rFonts w:ascii="Arial Narrow" w:eastAsia="Calibri" w:hAnsi="Arial Narrow" w:cstheme="minorBidi"/>
                <w:b/>
                <w:color w:val="000000"/>
                <w:lang w:eastAsia="en-US"/>
              </w:rPr>
            </w:pPr>
          </w:p>
        </w:tc>
        <w:tc>
          <w:tcPr>
            <w:tcW w:w="1258" w:type="dxa"/>
            <w:vMerge/>
            <w:tcBorders>
              <w:top w:val="single" w:sz="4" w:space="0" w:color="auto"/>
              <w:left w:val="nil"/>
              <w:bottom w:val="nil"/>
              <w:right w:val="single" w:sz="4" w:space="0" w:color="auto"/>
            </w:tcBorders>
            <w:vAlign w:val="center"/>
            <w:hideMark/>
          </w:tcPr>
          <w:p w14:paraId="59B0A330" w14:textId="77777777" w:rsidR="007968EC" w:rsidRDefault="007968EC" w:rsidP="007968EC">
            <w:pPr>
              <w:spacing w:line="256" w:lineRule="auto"/>
              <w:rPr>
                <w:rFonts w:ascii="Arial Narrow" w:eastAsia="Calibri" w:hAnsi="Arial Narrow" w:cstheme="minorBidi"/>
                <w:b/>
                <w:color w:val="000000"/>
                <w:lang w:eastAsia="en-US"/>
              </w:rPr>
            </w:pPr>
          </w:p>
        </w:tc>
        <w:tc>
          <w:tcPr>
            <w:tcW w:w="1258" w:type="dxa"/>
            <w:tcBorders>
              <w:top w:val="single" w:sz="4" w:space="0" w:color="auto"/>
              <w:left w:val="nil"/>
              <w:bottom w:val="single" w:sz="4" w:space="0" w:color="auto"/>
              <w:right w:val="single" w:sz="4" w:space="0" w:color="auto"/>
            </w:tcBorders>
            <w:shd w:val="clear" w:color="auto" w:fill="FFFFFF"/>
            <w:noWrap/>
            <w:vAlign w:val="center"/>
            <w:hideMark/>
          </w:tcPr>
          <w:p w14:paraId="68714C2A"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15.1%</w:t>
            </w:r>
          </w:p>
        </w:tc>
      </w:tr>
      <w:tr w:rsidR="007968EC" w14:paraId="3D53AC2C" w14:textId="77777777" w:rsidTr="007968EC">
        <w:trPr>
          <w:trHeight w:val="73"/>
          <w:jc w:val="center"/>
        </w:trPr>
        <w:tc>
          <w:tcPr>
            <w:tcW w:w="22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F79B30"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PREFERENCIAL DAVIVIENDA</w:t>
            </w:r>
          </w:p>
        </w:tc>
        <w:tc>
          <w:tcPr>
            <w:tcW w:w="1325" w:type="dxa"/>
            <w:vMerge/>
            <w:tcBorders>
              <w:top w:val="single" w:sz="4" w:space="0" w:color="auto"/>
              <w:left w:val="nil"/>
              <w:bottom w:val="nil"/>
              <w:right w:val="single" w:sz="4" w:space="0" w:color="auto"/>
            </w:tcBorders>
            <w:vAlign w:val="center"/>
            <w:hideMark/>
          </w:tcPr>
          <w:p w14:paraId="040959C2" w14:textId="77777777" w:rsidR="007968EC" w:rsidRDefault="007968EC" w:rsidP="007968EC">
            <w:pPr>
              <w:spacing w:line="256" w:lineRule="auto"/>
              <w:rPr>
                <w:rFonts w:ascii="Arial Narrow" w:eastAsia="Calibri" w:hAnsi="Arial Narrow" w:cstheme="minorBidi"/>
                <w:b/>
                <w:color w:val="000000"/>
                <w:lang w:eastAsia="en-US"/>
              </w:rPr>
            </w:pPr>
          </w:p>
        </w:tc>
        <w:tc>
          <w:tcPr>
            <w:tcW w:w="938" w:type="dxa"/>
            <w:vMerge/>
            <w:tcBorders>
              <w:top w:val="single" w:sz="4" w:space="0" w:color="auto"/>
              <w:left w:val="nil"/>
              <w:bottom w:val="nil"/>
              <w:right w:val="single" w:sz="4" w:space="0" w:color="auto"/>
            </w:tcBorders>
            <w:vAlign w:val="center"/>
            <w:hideMark/>
          </w:tcPr>
          <w:p w14:paraId="75C5085E" w14:textId="77777777" w:rsidR="007968EC" w:rsidRDefault="007968EC" w:rsidP="007968EC">
            <w:pPr>
              <w:spacing w:line="256" w:lineRule="auto"/>
              <w:rPr>
                <w:rFonts w:ascii="Arial Narrow" w:eastAsia="Calibri" w:hAnsi="Arial Narrow" w:cstheme="minorBidi"/>
                <w:b/>
                <w:color w:val="000000"/>
                <w:lang w:eastAsia="en-US"/>
              </w:rPr>
            </w:pPr>
          </w:p>
        </w:tc>
        <w:tc>
          <w:tcPr>
            <w:tcW w:w="1118" w:type="dxa"/>
            <w:vMerge/>
            <w:tcBorders>
              <w:top w:val="single" w:sz="4" w:space="0" w:color="auto"/>
              <w:left w:val="nil"/>
              <w:bottom w:val="nil"/>
              <w:right w:val="single" w:sz="4" w:space="0" w:color="auto"/>
            </w:tcBorders>
            <w:vAlign w:val="center"/>
            <w:hideMark/>
          </w:tcPr>
          <w:p w14:paraId="22DEF463" w14:textId="77777777" w:rsidR="007968EC" w:rsidRDefault="007968EC" w:rsidP="007968EC">
            <w:pPr>
              <w:spacing w:line="256" w:lineRule="auto"/>
              <w:rPr>
                <w:rFonts w:ascii="Arial Narrow" w:eastAsia="Calibri" w:hAnsi="Arial Narrow" w:cstheme="minorBidi"/>
                <w:b/>
                <w:color w:val="000000"/>
                <w:lang w:eastAsia="en-US"/>
              </w:rPr>
            </w:pPr>
          </w:p>
        </w:tc>
        <w:tc>
          <w:tcPr>
            <w:tcW w:w="1258" w:type="dxa"/>
            <w:vMerge/>
            <w:tcBorders>
              <w:top w:val="single" w:sz="4" w:space="0" w:color="auto"/>
              <w:left w:val="nil"/>
              <w:bottom w:val="nil"/>
              <w:right w:val="single" w:sz="4" w:space="0" w:color="auto"/>
            </w:tcBorders>
            <w:vAlign w:val="center"/>
            <w:hideMark/>
          </w:tcPr>
          <w:p w14:paraId="5E5245B7" w14:textId="77777777" w:rsidR="007968EC" w:rsidRDefault="007968EC" w:rsidP="007968EC">
            <w:pPr>
              <w:spacing w:line="256" w:lineRule="auto"/>
              <w:rPr>
                <w:rFonts w:ascii="Arial Narrow" w:eastAsia="Calibri" w:hAnsi="Arial Narrow" w:cstheme="minorBidi"/>
                <w:b/>
                <w:color w:val="000000"/>
                <w:lang w:eastAsia="en-US"/>
              </w:rPr>
            </w:pPr>
          </w:p>
        </w:tc>
        <w:tc>
          <w:tcPr>
            <w:tcW w:w="1258" w:type="dxa"/>
            <w:tcBorders>
              <w:top w:val="single" w:sz="4" w:space="0" w:color="auto"/>
              <w:left w:val="nil"/>
              <w:bottom w:val="single" w:sz="4" w:space="0" w:color="auto"/>
              <w:right w:val="single" w:sz="4" w:space="0" w:color="auto"/>
            </w:tcBorders>
            <w:shd w:val="clear" w:color="auto" w:fill="FFFFFF"/>
            <w:noWrap/>
            <w:vAlign w:val="center"/>
            <w:hideMark/>
          </w:tcPr>
          <w:p w14:paraId="15496FD3"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Theme="minorHAnsi" w:hAnsi="Arial Narrow" w:cstheme="minorBidi"/>
                <w:lang w:eastAsia="en-US"/>
              </w:rPr>
              <w:t>12.1%</w:t>
            </w:r>
          </w:p>
        </w:tc>
      </w:tr>
      <w:tr w:rsidR="007968EC" w14:paraId="1B0366E3" w14:textId="77777777" w:rsidTr="007968EC">
        <w:trPr>
          <w:trHeight w:val="440"/>
          <w:jc w:val="center"/>
        </w:trPr>
        <w:tc>
          <w:tcPr>
            <w:tcW w:w="22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00E881"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ORDINARIA DE CEMEX LATAM HOLDINGS</w:t>
            </w:r>
          </w:p>
        </w:tc>
        <w:tc>
          <w:tcPr>
            <w:tcW w:w="1325" w:type="dxa"/>
            <w:vMerge/>
            <w:tcBorders>
              <w:top w:val="single" w:sz="4" w:space="0" w:color="auto"/>
              <w:left w:val="nil"/>
              <w:bottom w:val="nil"/>
              <w:right w:val="single" w:sz="4" w:space="0" w:color="auto"/>
            </w:tcBorders>
            <w:vAlign w:val="center"/>
            <w:hideMark/>
          </w:tcPr>
          <w:p w14:paraId="13E47282" w14:textId="77777777" w:rsidR="007968EC" w:rsidRDefault="007968EC" w:rsidP="007968EC">
            <w:pPr>
              <w:spacing w:line="256" w:lineRule="auto"/>
              <w:rPr>
                <w:rFonts w:ascii="Arial Narrow" w:eastAsia="Calibri" w:hAnsi="Arial Narrow" w:cstheme="minorBidi"/>
                <w:b/>
                <w:color w:val="000000"/>
                <w:lang w:eastAsia="en-US"/>
              </w:rPr>
            </w:pPr>
          </w:p>
        </w:tc>
        <w:tc>
          <w:tcPr>
            <w:tcW w:w="938" w:type="dxa"/>
            <w:vMerge/>
            <w:tcBorders>
              <w:top w:val="single" w:sz="4" w:space="0" w:color="auto"/>
              <w:left w:val="nil"/>
              <w:bottom w:val="nil"/>
              <w:right w:val="single" w:sz="4" w:space="0" w:color="auto"/>
            </w:tcBorders>
            <w:vAlign w:val="center"/>
            <w:hideMark/>
          </w:tcPr>
          <w:p w14:paraId="3E09B04E" w14:textId="77777777" w:rsidR="007968EC" w:rsidRDefault="007968EC" w:rsidP="007968EC">
            <w:pPr>
              <w:spacing w:line="256" w:lineRule="auto"/>
              <w:rPr>
                <w:rFonts w:ascii="Arial Narrow" w:eastAsia="Calibri" w:hAnsi="Arial Narrow" w:cstheme="minorBidi"/>
                <w:b/>
                <w:color w:val="000000"/>
                <w:lang w:eastAsia="en-US"/>
              </w:rPr>
            </w:pPr>
          </w:p>
        </w:tc>
        <w:tc>
          <w:tcPr>
            <w:tcW w:w="1118" w:type="dxa"/>
            <w:vMerge/>
            <w:tcBorders>
              <w:top w:val="single" w:sz="4" w:space="0" w:color="auto"/>
              <w:left w:val="nil"/>
              <w:bottom w:val="nil"/>
              <w:right w:val="single" w:sz="4" w:space="0" w:color="auto"/>
            </w:tcBorders>
            <w:vAlign w:val="center"/>
            <w:hideMark/>
          </w:tcPr>
          <w:p w14:paraId="14BD7A54" w14:textId="77777777" w:rsidR="007968EC" w:rsidRDefault="007968EC" w:rsidP="007968EC">
            <w:pPr>
              <w:spacing w:line="256" w:lineRule="auto"/>
              <w:rPr>
                <w:rFonts w:ascii="Arial Narrow" w:eastAsia="Calibri" w:hAnsi="Arial Narrow" w:cstheme="minorBidi"/>
                <w:b/>
                <w:color w:val="000000"/>
                <w:lang w:eastAsia="en-US"/>
              </w:rPr>
            </w:pPr>
          </w:p>
        </w:tc>
        <w:tc>
          <w:tcPr>
            <w:tcW w:w="1258" w:type="dxa"/>
            <w:vMerge/>
            <w:tcBorders>
              <w:top w:val="single" w:sz="4" w:space="0" w:color="auto"/>
              <w:left w:val="nil"/>
              <w:bottom w:val="nil"/>
              <w:right w:val="single" w:sz="4" w:space="0" w:color="auto"/>
            </w:tcBorders>
            <w:vAlign w:val="center"/>
            <w:hideMark/>
          </w:tcPr>
          <w:p w14:paraId="440AA1C3" w14:textId="77777777" w:rsidR="007968EC" w:rsidRDefault="007968EC" w:rsidP="007968EC">
            <w:pPr>
              <w:spacing w:line="256" w:lineRule="auto"/>
              <w:rPr>
                <w:rFonts w:ascii="Arial Narrow" w:eastAsia="Calibri" w:hAnsi="Arial Narrow" w:cstheme="minorBidi"/>
                <w:b/>
                <w:color w:val="000000"/>
                <w:lang w:eastAsia="en-US"/>
              </w:rPr>
            </w:pPr>
          </w:p>
        </w:tc>
        <w:tc>
          <w:tcPr>
            <w:tcW w:w="1258" w:type="dxa"/>
            <w:tcBorders>
              <w:top w:val="single" w:sz="4" w:space="0" w:color="auto"/>
              <w:left w:val="nil"/>
              <w:bottom w:val="single" w:sz="4" w:space="0" w:color="auto"/>
              <w:right w:val="single" w:sz="4" w:space="0" w:color="auto"/>
            </w:tcBorders>
            <w:shd w:val="clear" w:color="auto" w:fill="FFFFFF"/>
            <w:noWrap/>
            <w:vAlign w:val="center"/>
            <w:hideMark/>
          </w:tcPr>
          <w:p w14:paraId="66EC86FC"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Theme="minorHAnsi" w:hAnsi="Arial Narrow" w:cstheme="minorBidi"/>
                <w:lang w:eastAsia="en-US"/>
              </w:rPr>
              <w:t>26.8%</w:t>
            </w:r>
          </w:p>
        </w:tc>
      </w:tr>
      <w:tr w:rsidR="007968EC" w14:paraId="19FEA43D" w14:textId="77777777" w:rsidTr="007968EC">
        <w:trPr>
          <w:trHeight w:val="73"/>
          <w:jc w:val="center"/>
        </w:trPr>
        <w:tc>
          <w:tcPr>
            <w:tcW w:w="22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8ED72C"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PREFERENCIAL AVIANCA</w:t>
            </w:r>
          </w:p>
        </w:tc>
        <w:tc>
          <w:tcPr>
            <w:tcW w:w="1325" w:type="dxa"/>
            <w:tcBorders>
              <w:top w:val="nil"/>
              <w:left w:val="nil"/>
              <w:bottom w:val="nil"/>
              <w:right w:val="single" w:sz="4" w:space="0" w:color="auto"/>
            </w:tcBorders>
            <w:noWrap/>
            <w:vAlign w:val="center"/>
          </w:tcPr>
          <w:p w14:paraId="3EE1A27A" w14:textId="77777777" w:rsidR="007968EC" w:rsidRDefault="007968EC" w:rsidP="007968EC">
            <w:pPr>
              <w:spacing w:line="256" w:lineRule="auto"/>
              <w:jc w:val="center"/>
              <w:rPr>
                <w:rFonts w:ascii="Arial Narrow" w:eastAsia="Calibri" w:hAnsi="Arial Narrow" w:cstheme="minorBidi"/>
                <w:b/>
                <w:color w:val="000000"/>
                <w:lang w:eastAsia="en-US"/>
              </w:rPr>
            </w:pPr>
          </w:p>
        </w:tc>
        <w:tc>
          <w:tcPr>
            <w:tcW w:w="938" w:type="dxa"/>
            <w:tcBorders>
              <w:top w:val="nil"/>
              <w:left w:val="nil"/>
              <w:bottom w:val="nil"/>
              <w:right w:val="single" w:sz="4" w:space="0" w:color="auto"/>
            </w:tcBorders>
            <w:noWrap/>
            <w:vAlign w:val="center"/>
          </w:tcPr>
          <w:p w14:paraId="712306F2" w14:textId="77777777" w:rsidR="007968EC" w:rsidRDefault="007968EC" w:rsidP="007968EC">
            <w:pPr>
              <w:spacing w:line="256" w:lineRule="auto"/>
              <w:jc w:val="center"/>
              <w:rPr>
                <w:rFonts w:ascii="Arial Narrow" w:eastAsia="Calibri" w:hAnsi="Arial Narrow" w:cstheme="minorBidi"/>
                <w:b/>
                <w:color w:val="000000"/>
                <w:lang w:eastAsia="en-US"/>
              </w:rPr>
            </w:pPr>
          </w:p>
        </w:tc>
        <w:tc>
          <w:tcPr>
            <w:tcW w:w="1118" w:type="dxa"/>
            <w:tcBorders>
              <w:top w:val="nil"/>
              <w:left w:val="nil"/>
              <w:bottom w:val="nil"/>
              <w:right w:val="single" w:sz="4" w:space="0" w:color="auto"/>
            </w:tcBorders>
            <w:noWrap/>
            <w:vAlign w:val="center"/>
          </w:tcPr>
          <w:p w14:paraId="67CE6FF1" w14:textId="77777777" w:rsidR="007968EC" w:rsidRDefault="007968EC" w:rsidP="007968EC">
            <w:pPr>
              <w:spacing w:line="256" w:lineRule="auto"/>
              <w:jc w:val="center"/>
              <w:rPr>
                <w:rFonts w:ascii="Arial Narrow" w:eastAsia="Calibri" w:hAnsi="Arial Narrow" w:cstheme="minorBidi"/>
                <w:b/>
                <w:color w:val="000000"/>
                <w:lang w:eastAsia="en-US"/>
              </w:rPr>
            </w:pPr>
          </w:p>
        </w:tc>
        <w:tc>
          <w:tcPr>
            <w:tcW w:w="1258" w:type="dxa"/>
            <w:tcBorders>
              <w:top w:val="nil"/>
              <w:left w:val="nil"/>
              <w:bottom w:val="nil"/>
              <w:right w:val="single" w:sz="4" w:space="0" w:color="auto"/>
            </w:tcBorders>
            <w:noWrap/>
            <w:vAlign w:val="center"/>
          </w:tcPr>
          <w:p w14:paraId="75A95E78" w14:textId="77777777" w:rsidR="007968EC" w:rsidRDefault="007968EC" w:rsidP="007968EC">
            <w:pPr>
              <w:spacing w:line="256" w:lineRule="auto"/>
              <w:jc w:val="center"/>
              <w:rPr>
                <w:rFonts w:ascii="Arial Narrow" w:eastAsia="Calibri" w:hAnsi="Arial Narrow" w:cstheme="minorBidi"/>
                <w:b/>
                <w:color w:val="000000"/>
                <w:lang w:eastAsia="en-US"/>
              </w:rPr>
            </w:pPr>
          </w:p>
        </w:tc>
        <w:tc>
          <w:tcPr>
            <w:tcW w:w="1258" w:type="dxa"/>
            <w:tcBorders>
              <w:top w:val="single" w:sz="4" w:space="0" w:color="auto"/>
              <w:left w:val="nil"/>
              <w:bottom w:val="single" w:sz="4" w:space="0" w:color="auto"/>
              <w:right w:val="single" w:sz="4" w:space="0" w:color="auto"/>
            </w:tcBorders>
            <w:shd w:val="clear" w:color="auto" w:fill="FFFFFF"/>
            <w:noWrap/>
            <w:vAlign w:val="center"/>
            <w:hideMark/>
          </w:tcPr>
          <w:p w14:paraId="7D9A0D56"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Theme="minorHAnsi" w:hAnsi="Arial Narrow" w:cstheme="minorBidi"/>
                <w:lang w:eastAsia="en-US"/>
              </w:rPr>
              <w:t>23.5%</w:t>
            </w:r>
          </w:p>
        </w:tc>
      </w:tr>
      <w:tr w:rsidR="007968EC" w14:paraId="05D9811F" w14:textId="77777777" w:rsidTr="007968EC">
        <w:trPr>
          <w:trHeight w:val="73"/>
          <w:jc w:val="center"/>
        </w:trPr>
        <w:tc>
          <w:tcPr>
            <w:tcW w:w="22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8EF85B6"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ORDINARIA DE CANACOL</w:t>
            </w:r>
          </w:p>
        </w:tc>
        <w:tc>
          <w:tcPr>
            <w:tcW w:w="1325" w:type="dxa"/>
            <w:tcBorders>
              <w:top w:val="nil"/>
              <w:left w:val="nil"/>
              <w:bottom w:val="nil"/>
              <w:right w:val="single" w:sz="4" w:space="0" w:color="auto"/>
            </w:tcBorders>
            <w:noWrap/>
            <w:vAlign w:val="center"/>
          </w:tcPr>
          <w:p w14:paraId="77E970E1" w14:textId="77777777" w:rsidR="007968EC" w:rsidRDefault="007968EC" w:rsidP="007968EC">
            <w:pPr>
              <w:spacing w:line="256" w:lineRule="auto"/>
              <w:jc w:val="center"/>
              <w:rPr>
                <w:rFonts w:ascii="Arial Narrow" w:eastAsia="Calibri" w:hAnsi="Arial Narrow" w:cstheme="minorBidi"/>
                <w:b/>
                <w:color w:val="000000"/>
                <w:lang w:eastAsia="en-US"/>
              </w:rPr>
            </w:pPr>
          </w:p>
        </w:tc>
        <w:tc>
          <w:tcPr>
            <w:tcW w:w="938" w:type="dxa"/>
            <w:tcBorders>
              <w:top w:val="nil"/>
              <w:left w:val="nil"/>
              <w:bottom w:val="nil"/>
              <w:right w:val="single" w:sz="4" w:space="0" w:color="auto"/>
            </w:tcBorders>
            <w:noWrap/>
            <w:vAlign w:val="center"/>
          </w:tcPr>
          <w:p w14:paraId="519C58CE" w14:textId="77777777" w:rsidR="007968EC" w:rsidRDefault="007968EC" w:rsidP="007968EC">
            <w:pPr>
              <w:spacing w:line="256" w:lineRule="auto"/>
              <w:jc w:val="center"/>
              <w:rPr>
                <w:rFonts w:ascii="Arial Narrow" w:eastAsia="Calibri" w:hAnsi="Arial Narrow" w:cstheme="minorBidi"/>
                <w:b/>
                <w:color w:val="000000"/>
                <w:lang w:eastAsia="en-US"/>
              </w:rPr>
            </w:pPr>
          </w:p>
        </w:tc>
        <w:tc>
          <w:tcPr>
            <w:tcW w:w="1118" w:type="dxa"/>
            <w:tcBorders>
              <w:top w:val="nil"/>
              <w:left w:val="nil"/>
              <w:bottom w:val="nil"/>
              <w:right w:val="single" w:sz="4" w:space="0" w:color="auto"/>
            </w:tcBorders>
            <w:noWrap/>
            <w:vAlign w:val="center"/>
          </w:tcPr>
          <w:p w14:paraId="7607B46B" w14:textId="77777777" w:rsidR="007968EC" w:rsidRDefault="007968EC" w:rsidP="007968EC">
            <w:pPr>
              <w:spacing w:line="256" w:lineRule="auto"/>
              <w:jc w:val="center"/>
              <w:rPr>
                <w:rFonts w:ascii="Arial Narrow" w:eastAsia="Calibri" w:hAnsi="Arial Narrow" w:cstheme="minorBidi"/>
                <w:b/>
                <w:color w:val="000000"/>
                <w:lang w:eastAsia="en-US"/>
              </w:rPr>
            </w:pPr>
          </w:p>
        </w:tc>
        <w:tc>
          <w:tcPr>
            <w:tcW w:w="1258" w:type="dxa"/>
            <w:tcBorders>
              <w:top w:val="nil"/>
              <w:left w:val="nil"/>
              <w:bottom w:val="nil"/>
              <w:right w:val="single" w:sz="4" w:space="0" w:color="auto"/>
            </w:tcBorders>
            <w:noWrap/>
            <w:vAlign w:val="center"/>
          </w:tcPr>
          <w:p w14:paraId="20A1680E" w14:textId="77777777" w:rsidR="007968EC" w:rsidRDefault="007968EC" w:rsidP="007968EC">
            <w:pPr>
              <w:spacing w:line="256" w:lineRule="auto"/>
              <w:jc w:val="center"/>
              <w:rPr>
                <w:rFonts w:ascii="Arial Narrow" w:eastAsia="Calibri" w:hAnsi="Arial Narrow" w:cstheme="minorBidi"/>
                <w:b/>
                <w:color w:val="000000"/>
                <w:lang w:eastAsia="en-US"/>
              </w:rPr>
            </w:pPr>
          </w:p>
        </w:tc>
        <w:tc>
          <w:tcPr>
            <w:tcW w:w="1258" w:type="dxa"/>
            <w:tcBorders>
              <w:top w:val="single" w:sz="4" w:space="0" w:color="auto"/>
              <w:left w:val="nil"/>
              <w:bottom w:val="single" w:sz="4" w:space="0" w:color="auto"/>
              <w:right w:val="single" w:sz="4" w:space="0" w:color="auto"/>
            </w:tcBorders>
            <w:shd w:val="clear" w:color="auto" w:fill="FFFFFF"/>
            <w:noWrap/>
            <w:vAlign w:val="center"/>
            <w:hideMark/>
          </w:tcPr>
          <w:p w14:paraId="6B21AC3D"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28.8%</w:t>
            </w:r>
          </w:p>
        </w:tc>
      </w:tr>
      <w:tr w:rsidR="007968EC" w14:paraId="33FA9581" w14:textId="77777777" w:rsidTr="007968EC">
        <w:trPr>
          <w:trHeight w:val="73"/>
          <w:jc w:val="center"/>
        </w:trPr>
        <w:tc>
          <w:tcPr>
            <w:tcW w:w="22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3B378A"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ORDINARIA DE BANCOLOMBIA</w:t>
            </w:r>
          </w:p>
        </w:tc>
        <w:tc>
          <w:tcPr>
            <w:tcW w:w="1325" w:type="dxa"/>
            <w:tcBorders>
              <w:top w:val="nil"/>
              <w:left w:val="nil"/>
              <w:bottom w:val="nil"/>
              <w:right w:val="single" w:sz="4" w:space="0" w:color="auto"/>
            </w:tcBorders>
            <w:noWrap/>
            <w:vAlign w:val="center"/>
          </w:tcPr>
          <w:p w14:paraId="6ECE623A" w14:textId="77777777" w:rsidR="007968EC" w:rsidRDefault="007968EC" w:rsidP="007968EC">
            <w:pPr>
              <w:spacing w:line="256" w:lineRule="auto"/>
              <w:jc w:val="center"/>
              <w:rPr>
                <w:rFonts w:ascii="Arial Narrow" w:eastAsia="Calibri" w:hAnsi="Arial Narrow" w:cstheme="minorBidi"/>
                <w:b/>
                <w:color w:val="000000"/>
                <w:lang w:eastAsia="en-US"/>
              </w:rPr>
            </w:pPr>
          </w:p>
        </w:tc>
        <w:tc>
          <w:tcPr>
            <w:tcW w:w="938" w:type="dxa"/>
            <w:tcBorders>
              <w:top w:val="nil"/>
              <w:left w:val="nil"/>
              <w:bottom w:val="nil"/>
              <w:right w:val="single" w:sz="4" w:space="0" w:color="auto"/>
            </w:tcBorders>
            <w:noWrap/>
            <w:vAlign w:val="center"/>
          </w:tcPr>
          <w:p w14:paraId="7E9B34A4" w14:textId="77777777" w:rsidR="007968EC" w:rsidRDefault="007968EC" w:rsidP="007968EC">
            <w:pPr>
              <w:spacing w:line="256" w:lineRule="auto"/>
              <w:jc w:val="center"/>
              <w:rPr>
                <w:rFonts w:ascii="Arial Narrow" w:eastAsia="Calibri" w:hAnsi="Arial Narrow" w:cstheme="minorBidi"/>
                <w:b/>
                <w:color w:val="000000"/>
                <w:lang w:eastAsia="en-US"/>
              </w:rPr>
            </w:pPr>
          </w:p>
        </w:tc>
        <w:tc>
          <w:tcPr>
            <w:tcW w:w="1118" w:type="dxa"/>
            <w:tcBorders>
              <w:top w:val="nil"/>
              <w:left w:val="nil"/>
              <w:bottom w:val="nil"/>
              <w:right w:val="single" w:sz="4" w:space="0" w:color="auto"/>
            </w:tcBorders>
            <w:noWrap/>
            <w:vAlign w:val="center"/>
          </w:tcPr>
          <w:p w14:paraId="233F753C" w14:textId="77777777" w:rsidR="007968EC" w:rsidRDefault="007968EC" w:rsidP="007968EC">
            <w:pPr>
              <w:spacing w:line="256" w:lineRule="auto"/>
              <w:jc w:val="center"/>
              <w:rPr>
                <w:rFonts w:ascii="Arial Narrow" w:eastAsia="Calibri" w:hAnsi="Arial Narrow" w:cstheme="minorBidi"/>
                <w:b/>
                <w:color w:val="000000"/>
                <w:lang w:eastAsia="en-US"/>
              </w:rPr>
            </w:pPr>
          </w:p>
        </w:tc>
        <w:tc>
          <w:tcPr>
            <w:tcW w:w="1258" w:type="dxa"/>
            <w:tcBorders>
              <w:top w:val="nil"/>
              <w:left w:val="nil"/>
              <w:bottom w:val="nil"/>
              <w:right w:val="single" w:sz="4" w:space="0" w:color="auto"/>
            </w:tcBorders>
            <w:noWrap/>
            <w:vAlign w:val="center"/>
          </w:tcPr>
          <w:p w14:paraId="548149CD" w14:textId="77777777" w:rsidR="007968EC" w:rsidRDefault="007968EC" w:rsidP="007968EC">
            <w:pPr>
              <w:spacing w:line="256" w:lineRule="auto"/>
              <w:jc w:val="center"/>
              <w:rPr>
                <w:rFonts w:ascii="Arial Narrow" w:eastAsia="Calibri" w:hAnsi="Arial Narrow" w:cstheme="minorBidi"/>
                <w:b/>
                <w:color w:val="000000"/>
                <w:lang w:eastAsia="en-US"/>
              </w:rPr>
            </w:pPr>
          </w:p>
        </w:tc>
        <w:tc>
          <w:tcPr>
            <w:tcW w:w="1258" w:type="dxa"/>
            <w:tcBorders>
              <w:top w:val="single" w:sz="4" w:space="0" w:color="auto"/>
              <w:left w:val="nil"/>
              <w:bottom w:val="single" w:sz="4" w:space="0" w:color="auto"/>
              <w:right w:val="single" w:sz="4" w:space="0" w:color="auto"/>
            </w:tcBorders>
            <w:shd w:val="clear" w:color="auto" w:fill="FFFFFF"/>
            <w:noWrap/>
            <w:vAlign w:val="center"/>
            <w:hideMark/>
          </w:tcPr>
          <w:p w14:paraId="7EF9107D"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13.7%</w:t>
            </w:r>
          </w:p>
        </w:tc>
      </w:tr>
      <w:tr w:rsidR="007968EC" w14:paraId="113CFE4B" w14:textId="77777777" w:rsidTr="007968EC">
        <w:trPr>
          <w:trHeight w:val="73"/>
          <w:jc w:val="center"/>
        </w:trPr>
        <w:tc>
          <w:tcPr>
            <w:tcW w:w="22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4646B6"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ORDINARIA DEL GRUPO DE ENERGÍA DE BOGOTÁ</w:t>
            </w:r>
          </w:p>
        </w:tc>
        <w:tc>
          <w:tcPr>
            <w:tcW w:w="1325" w:type="dxa"/>
            <w:tcBorders>
              <w:top w:val="nil"/>
              <w:left w:val="nil"/>
              <w:bottom w:val="single" w:sz="4" w:space="0" w:color="auto"/>
              <w:right w:val="single" w:sz="4" w:space="0" w:color="auto"/>
            </w:tcBorders>
            <w:noWrap/>
            <w:vAlign w:val="center"/>
          </w:tcPr>
          <w:p w14:paraId="36138D95" w14:textId="77777777" w:rsidR="007968EC" w:rsidRDefault="007968EC" w:rsidP="007968EC">
            <w:pPr>
              <w:spacing w:line="256" w:lineRule="auto"/>
              <w:jc w:val="center"/>
              <w:rPr>
                <w:rFonts w:ascii="Arial Narrow" w:eastAsia="Calibri" w:hAnsi="Arial Narrow" w:cstheme="minorBidi"/>
                <w:b/>
                <w:color w:val="000000"/>
                <w:lang w:eastAsia="en-US"/>
              </w:rPr>
            </w:pPr>
          </w:p>
        </w:tc>
        <w:tc>
          <w:tcPr>
            <w:tcW w:w="938" w:type="dxa"/>
            <w:tcBorders>
              <w:top w:val="nil"/>
              <w:left w:val="nil"/>
              <w:bottom w:val="single" w:sz="4" w:space="0" w:color="auto"/>
              <w:right w:val="single" w:sz="4" w:space="0" w:color="auto"/>
            </w:tcBorders>
            <w:noWrap/>
            <w:vAlign w:val="center"/>
          </w:tcPr>
          <w:p w14:paraId="272B6253" w14:textId="77777777" w:rsidR="007968EC" w:rsidRDefault="007968EC" w:rsidP="007968EC">
            <w:pPr>
              <w:spacing w:line="256" w:lineRule="auto"/>
              <w:jc w:val="center"/>
              <w:rPr>
                <w:rFonts w:ascii="Arial Narrow" w:eastAsia="Calibri" w:hAnsi="Arial Narrow" w:cstheme="minorBidi"/>
                <w:b/>
                <w:color w:val="000000"/>
                <w:lang w:eastAsia="en-US"/>
              </w:rPr>
            </w:pPr>
          </w:p>
        </w:tc>
        <w:tc>
          <w:tcPr>
            <w:tcW w:w="1118" w:type="dxa"/>
            <w:tcBorders>
              <w:top w:val="nil"/>
              <w:left w:val="nil"/>
              <w:bottom w:val="single" w:sz="4" w:space="0" w:color="auto"/>
              <w:right w:val="single" w:sz="4" w:space="0" w:color="auto"/>
            </w:tcBorders>
            <w:noWrap/>
            <w:vAlign w:val="center"/>
          </w:tcPr>
          <w:p w14:paraId="4667D1C9" w14:textId="77777777" w:rsidR="007968EC" w:rsidRDefault="007968EC" w:rsidP="007968EC">
            <w:pPr>
              <w:spacing w:line="256" w:lineRule="auto"/>
              <w:jc w:val="center"/>
              <w:rPr>
                <w:rFonts w:ascii="Arial Narrow" w:eastAsia="Calibri" w:hAnsi="Arial Narrow" w:cstheme="minorBidi"/>
                <w:b/>
                <w:color w:val="000000"/>
                <w:lang w:eastAsia="en-US"/>
              </w:rPr>
            </w:pPr>
          </w:p>
        </w:tc>
        <w:tc>
          <w:tcPr>
            <w:tcW w:w="1258" w:type="dxa"/>
            <w:tcBorders>
              <w:top w:val="nil"/>
              <w:left w:val="nil"/>
              <w:bottom w:val="single" w:sz="4" w:space="0" w:color="auto"/>
              <w:right w:val="single" w:sz="4" w:space="0" w:color="auto"/>
            </w:tcBorders>
            <w:noWrap/>
            <w:vAlign w:val="center"/>
          </w:tcPr>
          <w:p w14:paraId="17E7D860" w14:textId="77777777" w:rsidR="007968EC" w:rsidRDefault="007968EC" w:rsidP="007968EC">
            <w:pPr>
              <w:spacing w:line="256" w:lineRule="auto"/>
              <w:jc w:val="center"/>
              <w:rPr>
                <w:rFonts w:ascii="Arial Narrow" w:eastAsia="Calibri" w:hAnsi="Arial Narrow" w:cstheme="minorBidi"/>
                <w:b/>
                <w:color w:val="000000"/>
                <w:lang w:eastAsia="en-US"/>
              </w:rPr>
            </w:pPr>
          </w:p>
        </w:tc>
        <w:tc>
          <w:tcPr>
            <w:tcW w:w="1258" w:type="dxa"/>
            <w:tcBorders>
              <w:top w:val="single" w:sz="4" w:space="0" w:color="auto"/>
              <w:left w:val="nil"/>
              <w:bottom w:val="single" w:sz="4" w:space="0" w:color="auto"/>
              <w:right w:val="single" w:sz="4" w:space="0" w:color="auto"/>
            </w:tcBorders>
            <w:shd w:val="clear" w:color="auto" w:fill="FFFFFF"/>
            <w:noWrap/>
            <w:vAlign w:val="center"/>
            <w:hideMark/>
          </w:tcPr>
          <w:p w14:paraId="346491E0"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9.3%</w:t>
            </w:r>
          </w:p>
        </w:tc>
      </w:tr>
    </w:tbl>
    <w:p w14:paraId="6BF43466" w14:textId="77777777" w:rsidR="007968EC" w:rsidRDefault="007968EC" w:rsidP="007968EC">
      <w:pPr>
        <w:autoSpaceDE w:val="0"/>
        <w:autoSpaceDN w:val="0"/>
        <w:adjustRightInd w:val="0"/>
        <w:jc w:val="both"/>
        <w:rPr>
          <w:rFonts w:ascii="Arial Narrow" w:eastAsia="Calibri" w:hAnsi="Arial Narrow" w:cs="Arial Narrow"/>
          <w:color w:val="000000"/>
          <w:lang w:eastAsia="en-US"/>
        </w:rPr>
      </w:pPr>
    </w:p>
    <w:tbl>
      <w:tblPr>
        <w:tblW w:w="8070" w:type="dxa"/>
        <w:jc w:val="center"/>
        <w:tblLayout w:type="fixed"/>
        <w:tblCellMar>
          <w:left w:w="70" w:type="dxa"/>
          <w:right w:w="70" w:type="dxa"/>
        </w:tblCellMar>
        <w:tblLook w:val="04A0" w:firstRow="1" w:lastRow="0" w:firstColumn="1" w:lastColumn="0" w:noHBand="0" w:noVBand="1"/>
      </w:tblPr>
      <w:tblGrid>
        <w:gridCol w:w="2225"/>
        <w:gridCol w:w="1629"/>
        <w:gridCol w:w="1630"/>
        <w:gridCol w:w="2586"/>
      </w:tblGrid>
      <w:tr w:rsidR="007968EC" w14:paraId="1050701F" w14:textId="77777777" w:rsidTr="007968EC">
        <w:trPr>
          <w:trHeight w:val="574"/>
          <w:jc w:val="center"/>
        </w:trPr>
        <w:tc>
          <w:tcPr>
            <w:tcW w:w="2226" w:type="dxa"/>
            <w:tcBorders>
              <w:top w:val="single" w:sz="4" w:space="0" w:color="auto"/>
              <w:left w:val="single" w:sz="4" w:space="0" w:color="auto"/>
              <w:bottom w:val="nil"/>
              <w:right w:val="single" w:sz="4" w:space="0" w:color="auto"/>
            </w:tcBorders>
            <w:shd w:val="clear" w:color="auto" w:fill="FFFFFF"/>
            <w:noWrap/>
            <w:vAlign w:val="center"/>
            <w:hideMark/>
          </w:tcPr>
          <w:p w14:paraId="128B0CE4"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t xml:space="preserve">Contrato de Futuro sobre Acciones del Índice COLCAP </w:t>
            </w:r>
            <w:r>
              <w:rPr>
                <w:rFonts w:ascii="Arial Narrow" w:eastAsia="Calibri" w:hAnsi="Arial Narrow" w:cs="Arial"/>
                <w:color w:val="000000"/>
                <w:lang w:eastAsia="es-ES"/>
              </w:rPr>
              <w:t xml:space="preserve">con </w:t>
            </w:r>
            <w:r>
              <w:rPr>
                <w:rFonts w:ascii="Arial Narrow" w:eastAsia="Calibri" w:hAnsi="Arial Narrow" w:cstheme="minorBidi"/>
                <w:bCs/>
                <w:color w:val="000000" w:themeColor="text1"/>
                <w:lang w:eastAsia="en-US"/>
              </w:rPr>
              <w:t>Liquidación por Entrega</w:t>
            </w:r>
          </w:p>
        </w:tc>
        <w:tc>
          <w:tcPr>
            <w:tcW w:w="1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7A4697"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t xml:space="preserve">Factor de cobertura por </w:t>
            </w:r>
            <w:r>
              <w:rPr>
                <w:rFonts w:ascii="Arial Narrow" w:eastAsia="Calibri" w:hAnsi="Arial Narrow" w:cstheme="minorBidi"/>
                <w:color w:val="000000"/>
                <w:lang w:eastAsia="en-US"/>
              </w:rPr>
              <w:br/>
              <w:t>Time Spread</w:t>
            </w:r>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F2FECD"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t xml:space="preserve">Valor </w:t>
            </w:r>
            <w:r>
              <w:rPr>
                <w:rFonts w:ascii="Arial Narrow" w:eastAsia="Calibri" w:hAnsi="Arial Narrow" w:cstheme="minorBidi"/>
                <w:color w:val="000000"/>
                <w:lang w:eastAsia="en-US"/>
              </w:rPr>
              <w:br/>
              <w:t>Mínimo por</w:t>
            </w:r>
            <w:r>
              <w:rPr>
                <w:rFonts w:ascii="Arial Narrow" w:eastAsia="Calibri" w:hAnsi="Arial Narrow" w:cstheme="minorBidi"/>
                <w:color w:val="000000"/>
                <w:lang w:eastAsia="en-US"/>
              </w:rPr>
              <w:br/>
              <w:t>Spread</w:t>
            </w:r>
          </w:p>
        </w:tc>
        <w:tc>
          <w:tcPr>
            <w:tcW w:w="25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25C056"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t>Fluctuación para</w:t>
            </w:r>
            <w:r>
              <w:rPr>
                <w:rFonts w:ascii="Arial Narrow" w:eastAsia="Calibri" w:hAnsi="Arial Narrow" w:cstheme="minorBidi"/>
                <w:color w:val="000000"/>
                <w:lang w:eastAsia="en-US"/>
              </w:rPr>
              <w:br/>
              <w:t xml:space="preserve">llamados a </w:t>
            </w:r>
            <w:r>
              <w:rPr>
                <w:rFonts w:ascii="Arial Narrow" w:eastAsia="Calibri" w:hAnsi="Arial Narrow" w:cstheme="minorBidi"/>
                <w:color w:val="000000"/>
                <w:lang w:eastAsia="en-US"/>
              </w:rPr>
              <w:br/>
              <w:t>Garantías</w:t>
            </w:r>
            <w:r>
              <w:rPr>
                <w:rFonts w:ascii="Arial Narrow" w:eastAsia="Calibri" w:hAnsi="Arial Narrow" w:cstheme="minorBidi"/>
                <w:color w:val="000000"/>
                <w:lang w:eastAsia="en-US"/>
              </w:rPr>
              <w:br/>
              <w:t>Extraordinarias</w:t>
            </w:r>
          </w:p>
        </w:tc>
      </w:tr>
      <w:tr w:rsidR="007968EC" w14:paraId="7FE5F6A1" w14:textId="77777777" w:rsidTr="007968EC">
        <w:trPr>
          <w:trHeight w:val="261"/>
          <w:jc w:val="center"/>
        </w:trPr>
        <w:tc>
          <w:tcPr>
            <w:tcW w:w="22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EA16AC" w14:textId="77777777" w:rsidR="007968EC" w:rsidRDefault="007968EC" w:rsidP="007968EC">
            <w:pPr>
              <w:spacing w:line="256" w:lineRule="auto"/>
              <w:rPr>
                <w:rFonts w:ascii="Arial Narrow" w:eastAsia="Calibri" w:hAnsi="Arial Narrow" w:cstheme="minorBidi"/>
                <w:b/>
                <w:color w:val="000000"/>
                <w:lang w:eastAsia="en-US"/>
              </w:rPr>
            </w:pPr>
            <w:r>
              <w:rPr>
                <w:rFonts w:ascii="Arial Narrow" w:eastAsia="Calibri" w:hAnsi="Arial Narrow" w:cstheme="minorBidi"/>
                <w:color w:val="000000"/>
                <w:lang w:eastAsia="en-US"/>
              </w:rPr>
              <w:lastRenderedPageBreak/>
              <w:t>ECOPETROL</w:t>
            </w:r>
          </w:p>
        </w:tc>
        <w:tc>
          <w:tcPr>
            <w:tcW w:w="1630" w:type="dxa"/>
            <w:tcBorders>
              <w:top w:val="single" w:sz="4" w:space="0" w:color="auto"/>
              <w:left w:val="nil"/>
              <w:bottom w:val="single" w:sz="4" w:space="0" w:color="auto"/>
              <w:right w:val="single" w:sz="4" w:space="0" w:color="auto"/>
            </w:tcBorders>
            <w:shd w:val="clear" w:color="auto" w:fill="FFFFFF"/>
            <w:noWrap/>
            <w:vAlign w:val="center"/>
            <w:hideMark/>
          </w:tcPr>
          <w:p w14:paraId="4774B447"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s-CO"/>
              </w:rPr>
              <w:t>1.3</w:t>
            </w:r>
          </w:p>
        </w:tc>
        <w:tc>
          <w:tcPr>
            <w:tcW w:w="1631" w:type="dxa"/>
            <w:tcBorders>
              <w:top w:val="single" w:sz="4" w:space="0" w:color="auto"/>
              <w:left w:val="nil"/>
              <w:bottom w:val="single" w:sz="4" w:space="0" w:color="auto"/>
              <w:right w:val="single" w:sz="4" w:space="0" w:color="auto"/>
            </w:tcBorders>
            <w:shd w:val="clear" w:color="auto" w:fill="FFFFFF"/>
            <w:noWrap/>
            <w:vAlign w:val="center"/>
            <w:hideMark/>
          </w:tcPr>
          <w:p w14:paraId="6334E1EE"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s-CO"/>
              </w:rPr>
              <w:t>179</w:t>
            </w:r>
          </w:p>
        </w:tc>
        <w:tc>
          <w:tcPr>
            <w:tcW w:w="2588" w:type="dxa"/>
            <w:tcBorders>
              <w:top w:val="single" w:sz="4" w:space="0" w:color="auto"/>
              <w:left w:val="nil"/>
              <w:bottom w:val="single" w:sz="4" w:space="0" w:color="auto"/>
              <w:right w:val="single" w:sz="4" w:space="0" w:color="auto"/>
            </w:tcBorders>
            <w:shd w:val="clear" w:color="auto" w:fill="FFFFFF"/>
            <w:noWrap/>
            <w:vAlign w:val="center"/>
            <w:hideMark/>
          </w:tcPr>
          <w:p w14:paraId="7ECC5501"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s-CO"/>
              </w:rPr>
              <w:t>9.07%</w:t>
            </w:r>
          </w:p>
        </w:tc>
      </w:tr>
      <w:tr w:rsidR="007968EC" w14:paraId="481388F5" w14:textId="77777777" w:rsidTr="007968EC">
        <w:trPr>
          <w:trHeight w:val="261"/>
          <w:jc w:val="center"/>
        </w:trPr>
        <w:tc>
          <w:tcPr>
            <w:tcW w:w="22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3374A7" w14:textId="77777777" w:rsidR="007968EC" w:rsidRDefault="007968EC" w:rsidP="007968EC">
            <w:pPr>
              <w:spacing w:line="256" w:lineRule="auto"/>
              <w:rPr>
                <w:rFonts w:ascii="Arial Narrow" w:eastAsia="Calibri" w:hAnsi="Arial Narrow" w:cstheme="minorBidi"/>
                <w:b/>
                <w:color w:val="000000"/>
                <w:lang w:eastAsia="en-US"/>
              </w:rPr>
            </w:pPr>
            <w:r>
              <w:rPr>
                <w:rFonts w:ascii="Arial Narrow" w:eastAsia="Calibri" w:hAnsi="Arial Narrow" w:cstheme="minorBidi"/>
                <w:color w:val="000000"/>
                <w:lang w:eastAsia="en-US"/>
              </w:rPr>
              <w:t>PREFERENCIAL DE BANCOLOMBIA</w:t>
            </w:r>
          </w:p>
        </w:tc>
        <w:tc>
          <w:tcPr>
            <w:tcW w:w="1630" w:type="dxa"/>
            <w:tcBorders>
              <w:top w:val="single" w:sz="4" w:space="0" w:color="auto"/>
              <w:left w:val="nil"/>
              <w:bottom w:val="single" w:sz="4" w:space="0" w:color="auto"/>
              <w:right w:val="single" w:sz="4" w:space="0" w:color="auto"/>
            </w:tcBorders>
            <w:shd w:val="clear" w:color="auto" w:fill="FFFFFF"/>
            <w:noWrap/>
            <w:vAlign w:val="center"/>
            <w:hideMark/>
          </w:tcPr>
          <w:p w14:paraId="350EEF61"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s-CO"/>
              </w:rPr>
              <w:t>1.2</w:t>
            </w:r>
          </w:p>
        </w:tc>
        <w:tc>
          <w:tcPr>
            <w:tcW w:w="1631" w:type="dxa"/>
            <w:tcBorders>
              <w:top w:val="single" w:sz="4" w:space="0" w:color="auto"/>
              <w:left w:val="nil"/>
              <w:bottom w:val="single" w:sz="4" w:space="0" w:color="auto"/>
              <w:right w:val="single" w:sz="4" w:space="0" w:color="auto"/>
            </w:tcBorders>
            <w:shd w:val="clear" w:color="auto" w:fill="FFFFFF"/>
            <w:noWrap/>
            <w:vAlign w:val="center"/>
            <w:hideMark/>
          </w:tcPr>
          <w:p w14:paraId="1902255F"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s-CO"/>
              </w:rPr>
              <w:t>814</w:t>
            </w:r>
          </w:p>
        </w:tc>
        <w:tc>
          <w:tcPr>
            <w:tcW w:w="2588" w:type="dxa"/>
            <w:tcBorders>
              <w:top w:val="single" w:sz="4" w:space="0" w:color="auto"/>
              <w:left w:val="nil"/>
              <w:bottom w:val="single" w:sz="4" w:space="0" w:color="auto"/>
              <w:right w:val="single" w:sz="4" w:space="0" w:color="auto"/>
            </w:tcBorders>
            <w:shd w:val="clear" w:color="auto" w:fill="FFFFFF"/>
            <w:noWrap/>
            <w:vAlign w:val="center"/>
            <w:hideMark/>
          </w:tcPr>
          <w:p w14:paraId="02606BC8"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s-CO"/>
              </w:rPr>
              <w:t>7.05%</w:t>
            </w:r>
          </w:p>
        </w:tc>
      </w:tr>
      <w:tr w:rsidR="007968EC" w14:paraId="65AB5584" w14:textId="77777777" w:rsidTr="007968EC">
        <w:trPr>
          <w:trHeight w:val="261"/>
          <w:jc w:val="center"/>
        </w:trPr>
        <w:tc>
          <w:tcPr>
            <w:tcW w:w="22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7A0CC7" w14:textId="77777777" w:rsidR="007968EC" w:rsidRDefault="007968EC" w:rsidP="007968EC">
            <w:pPr>
              <w:spacing w:line="256" w:lineRule="auto"/>
              <w:rPr>
                <w:rFonts w:ascii="Arial Narrow" w:eastAsia="Calibri" w:hAnsi="Arial Narrow" w:cstheme="minorBidi"/>
                <w:b/>
                <w:color w:val="000000"/>
                <w:lang w:eastAsia="en-US"/>
              </w:rPr>
            </w:pPr>
            <w:r>
              <w:rPr>
                <w:rFonts w:ascii="Arial Narrow" w:eastAsia="Calibri" w:hAnsi="Arial Narrow" w:cstheme="minorBidi"/>
                <w:color w:val="000000"/>
                <w:lang w:eastAsia="en-US"/>
              </w:rPr>
              <w:t xml:space="preserve"> ORDINARIA DEL GRUPO SURA</w:t>
            </w:r>
          </w:p>
        </w:tc>
        <w:tc>
          <w:tcPr>
            <w:tcW w:w="1630" w:type="dxa"/>
            <w:tcBorders>
              <w:top w:val="single" w:sz="4" w:space="0" w:color="auto"/>
              <w:left w:val="nil"/>
              <w:bottom w:val="single" w:sz="4" w:space="0" w:color="auto"/>
              <w:right w:val="single" w:sz="4" w:space="0" w:color="auto"/>
            </w:tcBorders>
            <w:shd w:val="clear" w:color="auto" w:fill="FFFFFF"/>
            <w:noWrap/>
            <w:vAlign w:val="center"/>
            <w:hideMark/>
          </w:tcPr>
          <w:p w14:paraId="5548FCBE"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s-CO"/>
              </w:rPr>
              <w:t>1.5</w:t>
            </w:r>
          </w:p>
        </w:tc>
        <w:tc>
          <w:tcPr>
            <w:tcW w:w="1631" w:type="dxa"/>
            <w:tcBorders>
              <w:top w:val="single" w:sz="4" w:space="0" w:color="auto"/>
              <w:left w:val="nil"/>
              <w:bottom w:val="single" w:sz="4" w:space="0" w:color="auto"/>
              <w:right w:val="single" w:sz="4" w:space="0" w:color="auto"/>
            </w:tcBorders>
            <w:shd w:val="clear" w:color="auto" w:fill="FFFFFF"/>
            <w:noWrap/>
            <w:vAlign w:val="center"/>
            <w:hideMark/>
          </w:tcPr>
          <w:p w14:paraId="6C14E5AE"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s-CO"/>
              </w:rPr>
              <w:t>682</w:t>
            </w:r>
          </w:p>
        </w:tc>
        <w:tc>
          <w:tcPr>
            <w:tcW w:w="2588" w:type="dxa"/>
            <w:tcBorders>
              <w:top w:val="single" w:sz="4" w:space="0" w:color="auto"/>
              <w:left w:val="nil"/>
              <w:bottom w:val="single" w:sz="4" w:space="0" w:color="auto"/>
              <w:right w:val="single" w:sz="4" w:space="0" w:color="auto"/>
            </w:tcBorders>
            <w:shd w:val="clear" w:color="auto" w:fill="FFFFFF"/>
            <w:noWrap/>
            <w:vAlign w:val="center"/>
            <w:hideMark/>
          </w:tcPr>
          <w:p w14:paraId="78BC2A2F"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s-CO"/>
              </w:rPr>
              <w:t>6.60%</w:t>
            </w:r>
          </w:p>
        </w:tc>
      </w:tr>
      <w:tr w:rsidR="007968EC" w14:paraId="79863ACF" w14:textId="77777777" w:rsidTr="007968EC">
        <w:trPr>
          <w:trHeight w:val="261"/>
          <w:jc w:val="center"/>
        </w:trPr>
        <w:tc>
          <w:tcPr>
            <w:tcW w:w="22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FCA050" w14:textId="77777777" w:rsidR="007968EC" w:rsidRDefault="007968EC" w:rsidP="007968EC">
            <w:pPr>
              <w:spacing w:line="256" w:lineRule="auto"/>
              <w:rPr>
                <w:rFonts w:ascii="Arial Narrow" w:eastAsia="Calibri" w:hAnsi="Arial Narrow" w:cstheme="minorBidi"/>
                <w:b/>
                <w:color w:val="000000"/>
                <w:lang w:eastAsia="en-US"/>
              </w:rPr>
            </w:pPr>
            <w:r>
              <w:rPr>
                <w:rFonts w:ascii="Arial Narrow" w:eastAsia="Calibri" w:hAnsi="Arial Narrow" w:cstheme="minorBidi"/>
                <w:color w:val="000000"/>
                <w:lang w:eastAsia="en-US"/>
              </w:rPr>
              <w:t>ORDINARIA DE CORFICOLOMBIANA</w:t>
            </w:r>
          </w:p>
        </w:tc>
        <w:tc>
          <w:tcPr>
            <w:tcW w:w="1630" w:type="dxa"/>
            <w:tcBorders>
              <w:top w:val="single" w:sz="4" w:space="0" w:color="auto"/>
              <w:left w:val="nil"/>
              <w:bottom w:val="single" w:sz="4" w:space="0" w:color="auto"/>
              <w:right w:val="single" w:sz="4" w:space="0" w:color="auto"/>
            </w:tcBorders>
            <w:shd w:val="clear" w:color="auto" w:fill="FFFFFF"/>
            <w:noWrap/>
            <w:vAlign w:val="center"/>
            <w:hideMark/>
          </w:tcPr>
          <w:p w14:paraId="0E9F0478"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s-CO"/>
              </w:rPr>
              <w:t>1.2</w:t>
            </w:r>
          </w:p>
        </w:tc>
        <w:tc>
          <w:tcPr>
            <w:tcW w:w="1631" w:type="dxa"/>
            <w:tcBorders>
              <w:top w:val="single" w:sz="4" w:space="0" w:color="auto"/>
              <w:left w:val="nil"/>
              <w:bottom w:val="single" w:sz="4" w:space="0" w:color="auto"/>
              <w:right w:val="single" w:sz="4" w:space="0" w:color="auto"/>
            </w:tcBorders>
            <w:shd w:val="clear" w:color="auto" w:fill="FFFFFF"/>
            <w:noWrap/>
            <w:vAlign w:val="center"/>
            <w:hideMark/>
          </w:tcPr>
          <w:p w14:paraId="057B1630"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s-CO"/>
              </w:rPr>
              <w:t xml:space="preserve">1589 </w:t>
            </w:r>
          </w:p>
        </w:tc>
        <w:tc>
          <w:tcPr>
            <w:tcW w:w="2588" w:type="dxa"/>
            <w:tcBorders>
              <w:top w:val="single" w:sz="4" w:space="0" w:color="auto"/>
              <w:left w:val="nil"/>
              <w:bottom w:val="single" w:sz="4" w:space="0" w:color="auto"/>
              <w:right w:val="single" w:sz="4" w:space="0" w:color="auto"/>
            </w:tcBorders>
            <w:shd w:val="clear" w:color="auto" w:fill="FFFFFF"/>
            <w:noWrap/>
            <w:vAlign w:val="center"/>
            <w:hideMark/>
          </w:tcPr>
          <w:p w14:paraId="5E0ED174"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s-CO"/>
              </w:rPr>
              <w:t>11.10%</w:t>
            </w:r>
          </w:p>
        </w:tc>
      </w:tr>
      <w:tr w:rsidR="007968EC" w14:paraId="49546D1C" w14:textId="77777777" w:rsidTr="007968EC">
        <w:trPr>
          <w:trHeight w:val="261"/>
          <w:jc w:val="center"/>
        </w:trPr>
        <w:tc>
          <w:tcPr>
            <w:tcW w:w="22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8B1814" w14:textId="77777777" w:rsidR="007968EC" w:rsidRDefault="007968EC" w:rsidP="007968EC">
            <w:pPr>
              <w:spacing w:line="256" w:lineRule="auto"/>
              <w:rPr>
                <w:rFonts w:ascii="Arial Narrow" w:eastAsia="Calibri" w:hAnsi="Arial Narrow" w:cstheme="minorBidi"/>
                <w:b/>
                <w:color w:val="000000"/>
                <w:lang w:eastAsia="en-US"/>
              </w:rPr>
            </w:pPr>
            <w:r>
              <w:rPr>
                <w:rFonts w:ascii="Arial Narrow" w:eastAsia="Calibri" w:hAnsi="Arial Narrow" w:cstheme="minorBidi"/>
                <w:color w:val="000000"/>
                <w:lang w:eastAsia="en-US"/>
              </w:rPr>
              <w:t>PREFERENCIAL GRUPO ARGOS</w:t>
            </w:r>
          </w:p>
        </w:tc>
        <w:tc>
          <w:tcPr>
            <w:tcW w:w="1630" w:type="dxa"/>
            <w:tcBorders>
              <w:top w:val="single" w:sz="4" w:space="0" w:color="auto"/>
              <w:left w:val="nil"/>
              <w:bottom w:val="single" w:sz="4" w:space="0" w:color="auto"/>
              <w:right w:val="single" w:sz="4" w:space="0" w:color="auto"/>
            </w:tcBorders>
            <w:shd w:val="clear" w:color="auto" w:fill="FFFFFF"/>
            <w:noWrap/>
            <w:vAlign w:val="center"/>
            <w:hideMark/>
          </w:tcPr>
          <w:p w14:paraId="4C277AED"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s-CO"/>
              </w:rPr>
              <w:t>1.2</w:t>
            </w:r>
          </w:p>
        </w:tc>
        <w:tc>
          <w:tcPr>
            <w:tcW w:w="1631" w:type="dxa"/>
            <w:tcBorders>
              <w:top w:val="single" w:sz="4" w:space="0" w:color="auto"/>
              <w:left w:val="nil"/>
              <w:bottom w:val="single" w:sz="4" w:space="0" w:color="auto"/>
              <w:right w:val="single" w:sz="4" w:space="0" w:color="auto"/>
            </w:tcBorders>
            <w:shd w:val="clear" w:color="auto" w:fill="FFFFFF"/>
            <w:noWrap/>
            <w:vAlign w:val="center"/>
            <w:hideMark/>
          </w:tcPr>
          <w:p w14:paraId="21A3B0C3"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s-CO"/>
              </w:rPr>
              <w:t>438</w:t>
            </w:r>
          </w:p>
        </w:tc>
        <w:tc>
          <w:tcPr>
            <w:tcW w:w="2588" w:type="dxa"/>
            <w:tcBorders>
              <w:top w:val="single" w:sz="4" w:space="0" w:color="auto"/>
              <w:left w:val="nil"/>
              <w:bottom w:val="single" w:sz="4" w:space="0" w:color="auto"/>
              <w:right w:val="single" w:sz="4" w:space="0" w:color="auto"/>
            </w:tcBorders>
            <w:shd w:val="clear" w:color="auto" w:fill="FFFFFF"/>
            <w:noWrap/>
            <w:vAlign w:val="center"/>
            <w:hideMark/>
          </w:tcPr>
          <w:p w14:paraId="1FC0FA70"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s-CO"/>
              </w:rPr>
              <w:t>11.32%</w:t>
            </w:r>
          </w:p>
        </w:tc>
      </w:tr>
      <w:tr w:rsidR="007968EC" w14:paraId="41551A3F" w14:textId="77777777" w:rsidTr="007968EC">
        <w:trPr>
          <w:trHeight w:val="261"/>
          <w:jc w:val="center"/>
        </w:trPr>
        <w:tc>
          <w:tcPr>
            <w:tcW w:w="22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EA9D85" w14:textId="77777777" w:rsidR="007968EC" w:rsidRDefault="007968EC" w:rsidP="007968EC">
            <w:pPr>
              <w:spacing w:line="256" w:lineRule="auto"/>
              <w:rPr>
                <w:rFonts w:ascii="Arial Narrow" w:eastAsia="Calibri" w:hAnsi="Arial Narrow" w:cstheme="minorBidi"/>
                <w:b/>
                <w:color w:val="000000"/>
                <w:lang w:eastAsia="en-US"/>
              </w:rPr>
            </w:pPr>
            <w:r>
              <w:rPr>
                <w:rFonts w:ascii="Arial Narrow" w:eastAsia="Calibri" w:hAnsi="Arial Narrow" w:cstheme="minorBidi"/>
                <w:color w:val="000000"/>
                <w:lang w:eastAsia="en-US"/>
              </w:rPr>
              <w:t>PREFERENCIAL DAVIVIENDA</w:t>
            </w:r>
          </w:p>
        </w:tc>
        <w:tc>
          <w:tcPr>
            <w:tcW w:w="1630" w:type="dxa"/>
            <w:tcBorders>
              <w:top w:val="single" w:sz="4" w:space="0" w:color="auto"/>
              <w:left w:val="nil"/>
              <w:bottom w:val="single" w:sz="4" w:space="0" w:color="auto"/>
              <w:right w:val="single" w:sz="4" w:space="0" w:color="auto"/>
            </w:tcBorders>
            <w:shd w:val="clear" w:color="auto" w:fill="FFFFFF"/>
            <w:noWrap/>
            <w:vAlign w:val="center"/>
            <w:hideMark/>
          </w:tcPr>
          <w:p w14:paraId="31A9C2B2"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s-CO"/>
              </w:rPr>
              <w:t>1.2</w:t>
            </w:r>
          </w:p>
        </w:tc>
        <w:tc>
          <w:tcPr>
            <w:tcW w:w="1631" w:type="dxa"/>
            <w:tcBorders>
              <w:top w:val="single" w:sz="4" w:space="0" w:color="auto"/>
              <w:left w:val="nil"/>
              <w:bottom w:val="single" w:sz="4" w:space="0" w:color="auto"/>
              <w:right w:val="single" w:sz="4" w:space="0" w:color="auto"/>
            </w:tcBorders>
            <w:shd w:val="clear" w:color="auto" w:fill="FFFFFF"/>
            <w:noWrap/>
            <w:vAlign w:val="center"/>
            <w:hideMark/>
          </w:tcPr>
          <w:p w14:paraId="589EF629"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s-CO"/>
              </w:rPr>
              <w:t>800</w:t>
            </w:r>
          </w:p>
        </w:tc>
        <w:tc>
          <w:tcPr>
            <w:tcW w:w="2588" w:type="dxa"/>
            <w:tcBorders>
              <w:top w:val="single" w:sz="4" w:space="0" w:color="auto"/>
              <w:left w:val="nil"/>
              <w:bottom w:val="single" w:sz="4" w:space="0" w:color="auto"/>
              <w:right w:val="single" w:sz="4" w:space="0" w:color="auto"/>
            </w:tcBorders>
            <w:shd w:val="clear" w:color="auto" w:fill="FFFFFF"/>
            <w:noWrap/>
            <w:vAlign w:val="center"/>
            <w:hideMark/>
          </w:tcPr>
          <w:p w14:paraId="65567861"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s-CO"/>
              </w:rPr>
              <w:t>9.07%</w:t>
            </w:r>
          </w:p>
        </w:tc>
      </w:tr>
      <w:tr w:rsidR="007968EC" w14:paraId="1176397E" w14:textId="77777777" w:rsidTr="007968EC">
        <w:trPr>
          <w:trHeight w:val="261"/>
          <w:jc w:val="center"/>
        </w:trPr>
        <w:tc>
          <w:tcPr>
            <w:tcW w:w="22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DCCA22" w14:textId="77777777" w:rsidR="007968EC" w:rsidRDefault="007968EC" w:rsidP="007968EC">
            <w:pPr>
              <w:spacing w:line="256" w:lineRule="auto"/>
              <w:rPr>
                <w:rFonts w:ascii="Arial Narrow" w:eastAsia="Calibri" w:hAnsi="Arial Narrow" w:cstheme="minorBidi"/>
                <w:b/>
                <w:color w:val="000000"/>
                <w:lang w:eastAsia="en-US"/>
              </w:rPr>
            </w:pPr>
            <w:r>
              <w:rPr>
                <w:rFonts w:ascii="Arial Narrow" w:eastAsia="Calibri" w:hAnsi="Arial Narrow" w:cstheme="minorBidi"/>
                <w:color w:val="000000"/>
                <w:lang w:eastAsia="en-US"/>
              </w:rPr>
              <w:t>ORDINARIA DE CEMEX LATAM HOLDINGS</w:t>
            </w:r>
          </w:p>
        </w:tc>
        <w:tc>
          <w:tcPr>
            <w:tcW w:w="1630" w:type="dxa"/>
            <w:tcBorders>
              <w:top w:val="single" w:sz="4" w:space="0" w:color="auto"/>
              <w:left w:val="nil"/>
              <w:bottom w:val="single" w:sz="4" w:space="0" w:color="auto"/>
              <w:right w:val="single" w:sz="4" w:space="0" w:color="auto"/>
            </w:tcBorders>
            <w:shd w:val="clear" w:color="auto" w:fill="FFFFFF"/>
            <w:noWrap/>
            <w:vAlign w:val="center"/>
            <w:hideMark/>
          </w:tcPr>
          <w:p w14:paraId="49438618"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s-CO"/>
              </w:rPr>
              <w:t>1.2</w:t>
            </w:r>
          </w:p>
        </w:tc>
        <w:tc>
          <w:tcPr>
            <w:tcW w:w="1631" w:type="dxa"/>
            <w:tcBorders>
              <w:top w:val="single" w:sz="4" w:space="0" w:color="auto"/>
              <w:left w:val="nil"/>
              <w:bottom w:val="single" w:sz="4" w:space="0" w:color="auto"/>
              <w:right w:val="single" w:sz="4" w:space="0" w:color="auto"/>
            </w:tcBorders>
            <w:shd w:val="clear" w:color="auto" w:fill="FFFFFF"/>
            <w:noWrap/>
            <w:vAlign w:val="center"/>
            <w:hideMark/>
          </w:tcPr>
          <w:p w14:paraId="3E7C176B"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s-CO"/>
              </w:rPr>
              <w:t>155</w:t>
            </w:r>
          </w:p>
        </w:tc>
        <w:tc>
          <w:tcPr>
            <w:tcW w:w="2588" w:type="dxa"/>
            <w:tcBorders>
              <w:top w:val="single" w:sz="4" w:space="0" w:color="auto"/>
              <w:left w:val="nil"/>
              <w:bottom w:val="single" w:sz="4" w:space="0" w:color="auto"/>
              <w:right w:val="single" w:sz="4" w:space="0" w:color="auto"/>
            </w:tcBorders>
            <w:shd w:val="clear" w:color="auto" w:fill="FFFFFF"/>
            <w:noWrap/>
            <w:vAlign w:val="center"/>
            <w:hideMark/>
          </w:tcPr>
          <w:p w14:paraId="399B2F66"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s-CO"/>
              </w:rPr>
              <w:t>20.10%</w:t>
            </w:r>
          </w:p>
        </w:tc>
      </w:tr>
      <w:tr w:rsidR="007968EC" w14:paraId="1F78FB69" w14:textId="77777777" w:rsidTr="007968EC">
        <w:trPr>
          <w:trHeight w:val="261"/>
          <w:jc w:val="center"/>
        </w:trPr>
        <w:tc>
          <w:tcPr>
            <w:tcW w:w="22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885DA7" w14:textId="77777777" w:rsidR="007968EC" w:rsidRDefault="007968EC" w:rsidP="007968EC">
            <w:pPr>
              <w:spacing w:line="256" w:lineRule="auto"/>
              <w:rPr>
                <w:rFonts w:ascii="Arial Narrow" w:eastAsia="Calibri" w:hAnsi="Arial Narrow" w:cstheme="minorBidi"/>
                <w:b/>
                <w:color w:val="000000"/>
                <w:lang w:eastAsia="en-US"/>
              </w:rPr>
            </w:pPr>
            <w:r>
              <w:rPr>
                <w:rFonts w:ascii="Arial Narrow" w:eastAsia="Calibri" w:hAnsi="Arial Narrow" w:cstheme="minorBidi"/>
                <w:color w:val="000000"/>
                <w:lang w:eastAsia="en-US"/>
              </w:rPr>
              <w:t>PREFERENCIAL AVIANCA</w:t>
            </w:r>
          </w:p>
        </w:tc>
        <w:tc>
          <w:tcPr>
            <w:tcW w:w="1630" w:type="dxa"/>
            <w:tcBorders>
              <w:top w:val="single" w:sz="4" w:space="0" w:color="auto"/>
              <w:left w:val="nil"/>
              <w:bottom w:val="single" w:sz="4" w:space="0" w:color="auto"/>
              <w:right w:val="single" w:sz="4" w:space="0" w:color="auto"/>
            </w:tcBorders>
            <w:shd w:val="clear" w:color="auto" w:fill="FFFFFF"/>
            <w:noWrap/>
            <w:vAlign w:val="center"/>
            <w:hideMark/>
          </w:tcPr>
          <w:p w14:paraId="2D7DC96E"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s-CO"/>
              </w:rPr>
              <w:t>1.2</w:t>
            </w:r>
          </w:p>
        </w:tc>
        <w:tc>
          <w:tcPr>
            <w:tcW w:w="1631" w:type="dxa"/>
            <w:tcBorders>
              <w:top w:val="single" w:sz="4" w:space="0" w:color="auto"/>
              <w:left w:val="nil"/>
              <w:bottom w:val="single" w:sz="4" w:space="0" w:color="auto"/>
              <w:right w:val="single" w:sz="4" w:space="0" w:color="auto"/>
            </w:tcBorders>
            <w:shd w:val="clear" w:color="auto" w:fill="FFFFFF"/>
            <w:noWrap/>
            <w:vAlign w:val="center"/>
            <w:hideMark/>
          </w:tcPr>
          <w:p w14:paraId="4DA53AE1"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s-CO"/>
              </w:rPr>
              <w:t>93</w:t>
            </w:r>
          </w:p>
        </w:tc>
        <w:tc>
          <w:tcPr>
            <w:tcW w:w="2588" w:type="dxa"/>
            <w:tcBorders>
              <w:top w:val="single" w:sz="4" w:space="0" w:color="auto"/>
              <w:left w:val="nil"/>
              <w:bottom w:val="single" w:sz="4" w:space="0" w:color="auto"/>
              <w:right w:val="single" w:sz="4" w:space="0" w:color="auto"/>
            </w:tcBorders>
            <w:shd w:val="clear" w:color="auto" w:fill="FFFFFF"/>
            <w:noWrap/>
            <w:vAlign w:val="center"/>
            <w:hideMark/>
          </w:tcPr>
          <w:p w14:paraId="56D0B33C"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s-CO"/>
              </w:rPr>
              <w:t>17.62%</w:t>
            </w:r>
          </w:p>
        </w:tc>
      </w:tr>
      <w:tr w:rsidR="007968EC" w14:paraId="01396BD2" w14:textId="77777777" w:rsidTr="007968EC">
        <w:trPr>
          <w:trHeight w:val="261"/>
          <w:jc w:val="center"/>
        </w:trPr>
        <w:tc>
          <w:tcPr>
            <w:tcW w:w="22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51B339" w14:textId="77777777" w:rsidR="007968EC" w:rsidRDefault="007968EC" w:rsidP="007968EC">
            <w:pPr>
              <w:spacing w:line="256" w:lineRule="auto"/>
              <w:rPr>
                <w:rFonts w:ascii="Arial Narrow" w:eastAsia="Calibri" w:hAnsi="Arial Narrow" w:cstheme="minorBidi"/>
                <w:color w:val="000000"/>
                <w:lang w:eastAsia="en-US"/>
              </w:rPr>
            </w:pPr>
            <w:r>
              <w:rPr>
                <w:rFonts w:ascii="Arial Narrow" w:eastAsia="Calibri" w:hAnsi="Arial Narrow" w:cstheme="minorBidi"/>
                <w:color w:val="000000"/>
                <w:lang w:eastAsia="en-US"/>
              </w:rPr>
              <w:t>ORDINARIA DE CANACOL</w:t>
            </w:r>
          </w:p>
        </w:tc>
        <w:tc>
          <w:tcPr>
            <w:tcW w:w="1630" w:type="dxa"/>
            <w:tcBorders>
              <w:top w:val="single" w:sz="4" w:space="0" w:color="auto"/>
              <w:left w:val="nil"/>
              <w:bottom w:val="single" w:sz="4" w:space="0" w:color="auto"/>
              <w:right w:val="single" w:sz="4" w:space="0" w:color="auto"/>
            </w:tcBorders>
            <w:shd w:val="clear" w:color="auto" w:fill="FFFFFF"/>
            <w:noWrap/>
            <w:vAlign w:val="center"/>
            <w:hideMark/>
          </w:tcPr>
          <w:p w14:paraId="7C5587DE"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s-CO"/>
              </w:rPr>
              <w:t>1.2</w:t>
            </w:r>
          </w:p>
        </w:tc>
        <w:tc>
          <w:tcPr>
            <w:tcW w:w="1631" w:type="dxa"/>
            <w:tcBorders>
              <w:top w:val="single" w:sz="4" w:space="0" w:color="auto"/>
              <w:left w:val="nil"/>
              <w:bottom w:val="single" w:sz="4" w:space="0" w:color="auto"/>
              <w:right w:val="single" w:sz="4" w:space="0" w:color="auto"/>
            </w:tcBorders>
            <w:shd w:val="clear" w:color="auto" w:fill="FFFFFF"/>
            <w:noWrap/>
            <w:vAlign w:val="center"/>
            <w:hideMark/>
          </w:tcPr>
          <w:p w14:paraId="784A3AB8"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s-CO"/>
              </w:rPr>
              <w:t>216</w:t>
            </w:r>
          </w:p>
        </w:tc>
        <w:tc>
          <w:tcPr>
            <w:tcW w:w="2588" w:type="dxa"/>
            <w:tcBorders>
              <w:top w:val="single" w:sz="4" w:space="0" w:color="auto"/>
              <w:left w:val="nil"/>
              <w:bottom w:val="single" w:sz="4" w:space="0" w:color="auto"/>
              <w:right w:val="single" w:sz="4" w:space="0" w:color="auto"/>
            </w:tcBorders>
            <w:shd w:val="clear" w:color="auto" w:fill="FFFFFF"/>
            <w:noWrap/>
            <w:vAlign w:val="center"/>
            <w:hideMark/>
          </w:tcPr>
          <w:p w14:paraId="52BB9469"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s-CO"/>
              </w:rPr>
              <w:t>21.60%</w:t>
            </w:r>
          </w:p>
        </w:tc>
      </w:tr>
      <w:tr w:rsidR="007968EC" w14:paraId="311A9551" w14:textId="77777777" w:rsidTr="007968EC">
        <w:trPr>
          <w:trHeight w:val="261"/>
          <w:jc w:val="center"/>
        </w:trPr>
        <w:tc>
          <w:tcPr>
            <w:tcW w:w="22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EA0B71" w14:textId="77777777" w:rsidR="007968EC" w:rsidRDefault="007968EC" w:rsidP="007968EC">
            <w:pPr>
              <w:spacing w:line="256" w:lineRule="auto"/>
              <w:rPr>
                <w:rFonts w:ascii="Arial Narrow" w:eastAsia="Calibri" w:hAnsi="Arial Narrow" w:cstheme="minorBidi"/>
                <w:color w:val="000000"/>
                <w:lang w:eastAsia="en-US"/>
              </w:rPr>
            </w:pPr>
            <w:r>
              <w:rPr>
                <w:rFonts w:ascii="Arial Narrow" w:eastAsia="Calibri" w:hAnsi="Arial Narrow" w:cstheme="minorBidi"/>
                <w:color w:val="000000"/>
                <w:lang w:eastAsia="en-US"/>
              </w:rPr>
              <w:t>ORDINARIA DE BANCOLOMBIA</w:t>
            </w:r>
          </w:p>
        </w:tc>
        <w:tc>
          <w:tcPr>
            <w:tcW w:w="1630" w:type="dxa"/>
            <w:tcBorders>
              <w:top w:val="single" w:sz="4" w:space="0" w:color="auto"/>
              <w:left w:val="nil"/>
              <w:bottom w:val="single" w:sz="4" w:space="0" w:color="auto"/>
              <w:right w:val="single" w:sz="4" w:space="0" w:color="auto"/>
            </w:tcBorders>
            <w:shd w:val="clear" w:color="auto" w:fill="FFFFFF"/>
            <w:noWrap/>
            <w:vAlign w:val="center"/>
            <w:hideMark/>
          </w:tcPr>
          <w:p w14:paraId="37C5B1B7"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s-CO"/>
              </w:rPr>
              <w:t>1.3</w:t>
            </w:r>
          </w:p>
        </w:tc>
        <w:tc>
          <w:tcPr>
            <w:tcW w:w="1631" w:type="dxa"/>
            <w:tcBorders>
              <w:top w:val="single" w:sz="4" w:space="0" w:color="auto"/>
              <w:left w:val="nil"/>
              <w:bottom w:val="single" w:sz="4" w:space="0" w:color="auto"/>
              <w:right w:val="single" w:sz="4" w:space="0" w:color="auto"/>
            </w:tcBorders>
            <w:shd w:val="clear" w:color="auto" w:fill="FFFFFF"/>
            <w:noWrap/>
            <w:vAlign w:val="center"/>
            <w:hideMark/>
          </w:tcPr>
          <w:p w14:paraId="363F7948"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s-CO"/>
              </w:rPr>
              <w:t>773</w:t>
            </w:r>
          </w:p>
        </w:tc>
        <w:tc>
          <w:tcPr>
            <w:tcW w:w="2588" w:type="dxa"/>
            <w:tcBorders>
              <w:top w:val="single" w:sz="4" w:space="0" w:color="auto"/>
              <w:left w:val="nil"/>
              <w:bottom w:val="single" w:sz="4" w:space="0" w:color="auto"/>
              <w:right w:val="single" w:sz="4" w:space="0" w:color="auto"/>
            </w:tcBorders>
            <w:shd w:val="clear" w:color="auto" w:fill="FFFFFF"/>
            <w:noWrap/>
            <w:vAlign w:val="center"/>
            <w:hideMark/>
          </w:tcPr>
          <w:p w14:paraId="3C1C9F5D"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s-CO"/>
              </w:rPr>
              <w:t>10.27%</w:t>
            </w:r>
          </w:p>
        </w:tc>
      </w:tr>
      <w:tr w:rsidR="007968EC" w14:paraId="554C01E4" w14:textId="77777777" w:rsidTr="007968EC">
        <w:trPr>
          <w:trHeight w:val="261"/>
          <w:jc w:val="center"/>
        </w:trPr>
        <w:tc>
          <w:tcPr>
            <w:tcW w:w="22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DF18CB" w14:textId="77777777" w:rsidR="007968EC" w:rsidRDefault="007968EC" w:rsidP="007968EC">
            <w:pPr>
              <w:spacing w:line="256" w:lineRule="auto"/>
              <w:rPr>
                <w:rFonts w:ascii="Arial Narrow" w:eastAsia="Calibri" w:hAnsi="Arial Narrow" w:cstheme="minorBidi"/>
                <w:color w:val="000000"/>
                <w:lang w:eastAsia="en-US"/>
              </w:rPr>
            </w:pPr>
            <w:r>
              <w:rPr>
                <w:rFonts w:ascii="Arial Narrow" w:eastAsia="Calibri" w:hAnsi="Arial Narrow" w:cstheme="minorBidi"/>
                <w:color w:val="000000"/>
                <w:lang w:eastAsia="en-US"/>
              </w:rPr>
              <w:t>ORDINARIA DEL GRUPO DE ENERGÍA DE BOGOTÁ</w:t>
            </w:r>
          </w:p>
        </w:tc>
        <w:tc>
          <w:tcPr>
            <w:tcW w:w="1630" w:type="dxa"/>
            <w:tcBorders>
              <w:top w:val="single" w:sz="4" w:space="0" w:color="auto"/>
              <w:left w:val="nil"/>
              <w:bottom w:val="single" w:sz="4" w:space="0" w:color="auto"/>
              <w:right w:val="single" w:sz="4" w:space="0" w:color="auto"/>
            </w:tcBorders>
            <w:shd w:val="clear" w:color="auto" w:fill="FFFFFF"/>
            <w:noWrap/>
            <w:vAlign w:val="center"/>
            <w:hideMark/>
          </w:tcPr>
          <w:p w14:paraId="00C711D2"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1.2</w:t>
            </w:r>
          </w:p>
        </w:tc>
        <w:tc>
          <w:tcPr>
            <w:tcW w:w="1631" w:type="dxa"/>
            <w:tcBorders>
              <w:top w:val="single" w:sz="4" w:space="0" w:color="auto"/>
              <w:left w:val="nil"/>
              <w:bottom w:val="single" w:sz="4" w:space="0" w:color="auto"/>
              <w:right w:val="single" w:sz="4" w:space="0" w:color="auto"/>
            </w:tcBorders>
            <w:shd w:val="clear" w:color="auto" w:fill="FFFFFF"/>
            <w:noWrap/>
            <w:vAlign w:val="center"/>
            <w:hideMark/>
          </w:tcPr>
          <w:p w14:paraId="7003523E"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65</w:t>
            </w:r>
          </w:p>
        </w:tc>
        <w:tc>
          <w:tcPr>
            <w:tcW w:w="2588" w:type="dxa"/>
            <w:tcBorders>
              <w:top w:val="single" w:sz="4" w:space="0" w:color="auto"/>
              <w:left w:val="nil"/>
              <w:bottom w:val="single" w:sz="4" w:space="0" w:color="auto"/>
              <w:right w:val="single" w:sz="4" w:space="0" w:color="auto"/>
            </w:tcBorders>
            <w:shd w:val="clear" w:color="auto" w:fill="FFFFFF"/>
            <w:noWrap/>
            <w:vAlign w:val="center"/>
            <w:hideMark/>
          </w:tcPr>
          <w:p w14:paraId="4A771421"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6.97%</w:t>
            </w:r>
          </w:p>
        </w:tc>
      </w:tr>
    </w:tbl>
    <w:p w14:paraId="5FF161BE" w14:textId="77777777" w:rsidR="007968EC" w:rsidRDefault="007968EC" w:rsidP="007968EC">
      <w:pPr>
        <w:autoSpaceDE w:val="0"/>
        <w:autoSpaceDN w:val="0"/>
        <w:adjustRightInd w:val="0"/>
        <w:jc w:val="both"/>
        <w:rPr>
          <w:rFonts w:ascii="Arial Narrow" w:eastAsia="Calibri" w:hAnsi="Arial Narrow" w:cs="Arial Narrow"/>
          <w:color w:val="000000"/>
          <w:lang w:eastAsia="en-US"/>
        </w:rPr>
      </w:pPr>
    </w:p>
    <w:p w14:paraId="4A3F8EAA" w14:textId="77777777" w:rsidR="007968EC" w:rsidRDefault="007968EC" w:rsidP="00DA7472">
      <w:pPr>
        <w:numPr>
          <w:ilvl w:val="0"/>
          <w:numId w:val="366"/>
        </w:numPr>
        <w:autoSpaceDE w:val="0"/>
        <w:autoSpaceDN w:val="0"/>
        <w:spacing w:after="160" w:line="256" w:lineRule="auto"/>
        <w:ind w:left="426" w:hanging="426"/>
        <w:contextualSpacing/>
        <w:jc w:val="both"/>
        <w:rPr>
          <w:rFonts w:ascii="Arial Narrow" w:eastAsia="Calibri" w:hAnsi="Arial Narrow"/>
          <w:b/>
          <w:bCs/>
          <w:color w:val="000000"/>
          <w:u w:val="single"/>
          <w:lang w:eastAsia="en-US"/>
        </w:rPr>
      </w:pPr>
      <w:r>
        <w:rPr>
          <w:rFonts w:ascii="Arial Narrow" w:eastAsia="Calibri" w:hAnsi="Arial Narrow"/>
          <w:color w:val="000000"/>
          <w:u w:val="single"/>
          <w:lang w:eastAsia="en-US"/>
        </w:rPr>
        <w:t xml:space="preserve">Instrumentos Derivados Financieros </w:t>
      </w:r>
      <w:r>
        <w:rPr>
          <w:rFonts w:ascii="Arial Narrow" w:eastAsia="Calibri" w:hAnsi="Arial Narrow"/>
          <w:color w:val="000000"/>
          <w:u w:val="single"/>
          <w:lang w:val="es-MX" w:eastAsia="en-US"/>
        </w:rPr>
        <w:t>cuyo subyacente sea el Índice Accionario COLCAP</w:t>
      </w:r>
      <w:r>
        <w:rPr>
          <w:rFonts w:ascii="Arial Narrow" w:eastAsia="Calibri" w:hAnsi="Arial Narrow"/>
          <w:color w:val="000000"/>
          <w:u w:val="single"/>
          <w:lang w:eastAsia="en-US"/>
        </w:rPr>
        <w:t xml:space="preserve">: </w:t>
      </w:r>
    </w:p>
    <w:p w14:paraId="0350E508" w14:textId="77777777" w:rsidR="007968EC" w:rsidRDefault="007968EC" w:rsidP="007968EC">
      <w:pPr>
        <w:autoSpaceDE w:val="0"/>
        <w:autoSpaceDN w:val="0"/>
        <w:rPr>
          <w:rFonts w:ascii="Arial Narrow" w:eastAsia="Calibri" w:hAnsi="Arial Narrow"/>
          <w:b/>
          <w:bCs/>
          <w:color w:val="000000"/>
          <w:lang w:eastAsia="en-US"/>
        </w:rPr>
      </w:pPr>
    </w:p>
    <w:p w14:paraId="516F0C24" w14:textId="77777777" w:rsidR="007968EC" w:rsidRDefault="007968EC" w:rsidP="007968EC">
      <w:pPr>
        <w:autoSpaceDE w:val="0"/>
        <w:autoSpaceDN w:val="0"/>
        <w:jc w:val="both"/>
        <w:rPr>
          <w:rFonts w:ascii="Arial Narrow" w:eastAsia="Calibri" w:hAnsi="Arial Narrow"/>
          <w:b/>
          <w:bCs/>
          <w:color w:val="000000"/>
          <w:lang w:eastAsia="en-US"/>
        </w:rPr>
      </w:pPr>
      <w:r>
        <w:rPr>
          <w:rFonts w:ascii="Arial Narrow" w:eastAsia="Calibri" w:hAnsi="Arial Narrow"/>
          <w:bCs/>
          <w:color w:val="000000"/>
          <w:lang w:eastAsia="en-US"/>
        </w:rPr>
        <w:t xml:space="preserve">Para efectos de control de riesgo se agrupan los </w:t>
      </w:r>
      <w:r>
        <w:rPr>
          <w:rFonts w:ascii="Arial Narrow" w:eastAsia="Calibri" w:hAnsi="Arial Narrow"/>
          <w:color w:val="000000"/>
          <w:lang w:eastAsia="en-US"/>
        </w:rPr>
        <w:t>Contratos de Futuros Índice Accionario COLCAP</w:t>
      </w:r>
      <w:r>
        <w:rPr>
          <w:rFonts w:ascii="Arial Narrow" w:eastAsia="Calibri" w:hAnsi="Arial Narrow"/>
          <w:bCs/>
          <w:color w:val="000000"/>
          <w:lang w:eastAsia="en-US"/>
        </w:rPr>
        <w:t xml:space="preserve"> y Mini </w:t>
      </w:r>
      <w:r>
        <w:rPr>
          <w:rFonts w:ascii="Arial Narrow" w:eastAsia="Calibri" w:hAnsi="Arial Narrow"/>
          <w:color w:val="000000"/>
          <w:lang w:eastAsia="en-US"/>
        </w:rPr>
        <w:t>Contrato de Futuro Índice Accionario COLCAP. Los parámetros son los siguientes:</w:t>
      </w:r>
    </w:p>
    <w:p w14:paraId="2C31AFAD" w14:textId="77777777" w:rsidR="007968EC" w:rsidRDefault="007968EC" w:rsidP="007968EC">
      <w:pPr>
        <w:rPr>
          <w:rFonts w:ascii="Arial Narrow" w:eastAsia="Calibri" w:hAnsi="Arial Narrow"/>
          <w:b/>
          <w:color w:val="000000"/>
          <w:lang w:eastAsia="en-US"/>
        </w:rPr>
      </w:pPr>
    </w:p>
    <w:tbl>
      <w:tblPr>
        <w:tblW w:w="8805" w:type="dxa"/>
        <w:jc w:val="center"/>
        <w:tblLayout w:type="fixed"/>
        <w:tblCellMar>
          <w:left w:w="70" w:type="dxa"/>
          <w:right w:w="70" w:type="dxa"/>
        </w:tblCellMar>
        <w:tblLook w:val="04A0" w:firstRow="1" w:lastRow="0" w:firstColumn="1" w:lastColumn="0" w:noHBand="0" w:noVBand="1"/>
      </w:tblPr>
      <w:tblGrid>
        <w:gridCol w:w="1984"/>
        <w:gridCol w:w="1342"/>
        <w:gridCol w:w="1368"/>
        <w:gridCol w:w="1276"/>
        <w:gridCol w:w="1417"/>
        <w:gridCol w:w="1418"/>
      </w:tblGrid>
      <w:tr w:rsidR="007968EC" w14:paraId="216F5CD8" w14:textId="77777777" w:rsidTr="007968EC">
        <w:trPr>
          <w:trHeight w:val="555"/>
          <w:jc w:val="center"/>
        </w:trPr>
        <w:tc>
          <w:tcPr>
            <w:tcW w:w="1985" w:type="dxa"/>
            <w:tcBorders>
              <w:top w:val="nil"/>
              <w:left w:val="nil"/>
              <w:bottom w:val="nil"/>
              <w:right w:val="single" w:sz="4" w:space="0" w:color="auto"/>
            </w:tcBorders>
            <w:shd w:val="clear" w:color="auto" w:fill="FFFFFF"/>
            <w:noWrap/>
            <w:vAlign w:val="bottom"/>
            <w:hideMark/>
          </w:tcPr>
          <w:p w14:paraId="092D4E3A" w14:textId="77777777" w:rsidR="007968EC" w:rsidRDefault="007968EC" w:rsidP="007968EC">
            <w:pPr>
              <w:autoSpaceDE w:val="0"/>
              <w:autoSpaceDN w:val="0"/>
              <w:spacing w:line="256" w:lineRule="auto"/>
              <w:rPr>
                <w:rFonts w:ascii="Arial Narrow" w:eastAsia="Calibri" w:hAnsi="Arial Narrow" w:cstheme="minorBidi"/>
                <w:b/>
                <w:bCs/>
                <w:color w:val="000000"/>
                <w:lang w:eastAsia="en-US"/>
              </w:rPr>
            </w:pPr>
            <w:r>
              <w:rPr>
                <w:rFonts w:ascii="Arial Narrow" w:eastAsia="Calibri" w:hAnsi="Arial Narrow" w:cstheme="minorBidi"/>
                <w:color w:val="000000"/>
                <w:lang w:eastAsia="en-US"/>
              </w:rPr>
              <w:t> </w:t>
            </w:r>
          </w:p>
        </w:tc>
        <w:tc>
          <w:tcPr>
            <w:tcW w:w="13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1EBA66" w14:textId="77777777" w:rsidR="007968EC" w:rsidRDefault="007968EC" w:rsidP="007968EC">
            <w:pPr>
              <w:spacing w:line="256" w:lineRule="auto"/>
              <w:jc w:val="center"/>
              <w:rPr>
                <w:rFonts w:ascii="Arial Narrow" w:eastAsia="Calibri" w:hAnsi="Arial Narrow" w:cstheme="minorBidi"/>
                <w:b/>
                <w:bCs/>
                <w:color w:val="000000"/>
                <w:lang w:eastAsia="es-CO"/>
              </w:rPr>
            </w:pPr>
            <w:r>
              <w:rPr>
                <w:rFonts w:ascii="Arial Narrow" w:eastAsia="Calibri" w:hAnsi="Arial Narrow" w:cstheme="minorBidi"/>
                <w:color w:val="000000"/>
                <w:lang w:eastAsia="es-CO"/>
              </w:rPr>
              <w:t>Multiplicador del contrato</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E19EC9" w14:textId="77777777" w:rsidR="007968EC" w:rsidRDefault="007968EC" w:rsidP="007968EC">
            <w:pPr>
              <w:spacing w:line="256" w:lineRule="auto"/>
              <w:jc w:val="center"/>
              <w:rPr>
                <w:rFonts w:ascii="Arial Narrow" w:eastAsia="Calibri" w:hAnsi="Arial Narrow" w:cstheme="minorBidi"/>
                <w:b/>
                <w:bCs/>
                <w:color w:val="000000"/>
                <w:lang w:eastAsia="es-CO"/>
              </w:rPr>
            </w:pPr>
            <w:r>
              <w:rPr>
                <w:rFonts w:ascii="Arial Narrow" w:eastAsia="Calibri" w:hAnsi="Arial Narrow" w:cstheme="minorBidi"/>
                <w:color w:val="000000"/>
                <w:lang w:eastAsia="es-CO"/>
              </w:rPr>
              <w:t>Nominal</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958D04" w14:textId="77777777" w:rsidR="007968EC" w:rsidRDefault="007968EC" w:rsidP="007968EC">
            <w:pPr>
              <w:spacing w:line="256" w:lineRule="auto"/>
              <w:jc w:val="center"/>
              <w:rPr>
                <w:rFonts w:ascii="Arial Narrow" w:eastAsia="Calibri" w:hAnsi="Arial Narrow" w:cstheme="minorBidi"/>
                <w:b/>
                <w:bCs/>
                <w:color w:val="000000"/>
                <w:lang w:eastAsia="es-CO"/>
              </w:rPr>
            </w:pPr>
            <w:proofErr w:type="spellStart"/>
            <w:r>
              <w:rPr>
                <w:rFonts w:ascii="Arial Narrow" w:eastAsia="Calibri" w:hAnsi="Arial Narrow" w:cstheme="minorBidi"/>
                <w:color w:val="000000"/>
                <w:lang w:eastAsia="es-CO"/>
              </w:rPr>
              <w:t>Nº</w:t>
            </w:r>
            <w:proofErr w:type="spellEnd"/>
            <w:r>
              <w:rPr>
                <w:rFonts w:ascii="Arial Narrow" w:eastAsia="Calibri" w:hAnsi="Arial Narrow" w:cstheme="minorBidi"/>
                <w:color w:val="000000"/>
                <w:lang w:eastAsia="es-CO"/>
              </w:rPr>
              <w:t xml:space="preserve"> de Escenarios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4FA000" w14:textId="77777777" w:rsidR="007968EC" w:rsidRDefault="007968EC" w:rsidP="007968EC">
            <w:pPr>
              <w:spacing w:line="256" w:lineRule="auto"/>
              <w:jc w:val="center"/>
              <w:rPr>
                <w:rFonts w:ascii="Arial Narrow" w:eastAsia="Calibri" w:hAnsi="Arial Narrow" w:cstheme="minorBidi"/>
                <w:b/>
                <w:bCs/>
                <w:color w:val="000000"/>
                <w:lang w:eastAsia="es-CO"/>
              </w:rPr>
            </w:pPr>
            <w:r>
              <w:rPr>
                <w:rFonts w:ascii="Arial Narrow" w:eastAsia="Calibri" w:hAnsi="Arial Narrow" w:cstheme="minorBidi"/>
                <w:color w:val="000000"/>
                <w:lang w:eastAsia="es-CO"/>
              </w:rPr>
              <w:t xml:space="preserve">Tipo de </w:t>
            </w:r>
            <w:r>
              <w:rPr>
                <w:rFonts w:ascii="Arial Narrow" w:eastAsia="Calibri" w:hAnsi="Arial Narrow" w:cstheme="minorBidi"/>
                <w:color w:val="000000"/>
                <w:lang w:eastAsia="es-CO"/>
              </w:rPr>
              <w:br/>
              <w:t>Fluctuación</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BA2022" w14:textId="77777777" w:rsidR="007968EC" w:rsidRDefault="007968EC" w:rsidP="007968EC">
            <w:pPr>
              <w:spacing w:line="256" w:lineRule="auto"/>
              <w:jc w:val="center"/>
              <w:rPr>
                <w:rFonts w:ascii="Arial Narrow" w:eastAsia="Calibri" w:hAnsi="Arial Narrow" w:cstheme="minorBidi"/>
                <w:b/>
                <w:bCs/>
                <w:color w:val="000000"/>
                <w:lang w:eastAsia="es-CO"/>
              </w:rPr>
            </w:pPr>
            <w:r>
              <w:rPr>
                <w:rFonts w:ascii="Arial Narrow" w:eastAsia="Calibri" w:hAnsi="Arial Narrow" w:cstheme="minorBidi"/>
                <w:color w:val="000000"/>
                <w:lang w:eastAsia="es-CO"/>
              </w:rPr>
              <w:t>Fluctuación</w:t>
            </w:r>
            <w:r>
              <w:rPr>
                <w:rFonts w:ascii="Arial Narrow" w:eastAsia="Calibri" w:hAnsi="Arial Narrow" w:cstheme="minorBidi"/>
                <w:color w:val="000000"/>
                <w:lang w:eastAsia="es-CO"/>
              </w:rPr>
              <w:br/>
              <w:t>Total</w:t>
            </w:r>
          </w:p>
        </w:tc>
      </w:tr>
      <w:tr w:rsidR="007968EC" w14:paraId="341B592D" w14:textId="77777777" w:rsidTr="007968EC">
        <w:trPr>
          <w:trHeight w:val="255"/>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498F8D"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 xml:space="preserve">Contratos de Futuros Índice Accionario COLCAP  </w:t>
            </w:r>
          </w:p>
        </w:tc>
        <w:tc>
          <w:tcPr>
            <w:tcW w:w="1343" w:type="dxa"/>
            <w:tcBorders>
              <w:top w:val="single" w:sz="4" w:space="0" w:color="auto"/>
              <w:left w:val="nil"/>
              <w:bottom w:val="single" w:sz="4" w:space="0" w:color="auto"/>
              <w:right w:val="single" w:sz="4" w:space="0" w:color="auto"/>
            </w:tcBorders>
            <w:shd w:val="clear" w:color="auto" w:fill="FFFFFF"/>
            <w:noWrap/>
            <w:vAlign w:val="center"/>
            <w:hideMark/>
          </w:tcPr>
          <w:p w14:paraId="49150032" w14:textId="77777777" w:rsidR="007968EC" w:rsidRDefault="007968EC" w:rsidP="007968EC">
            <w:pPr>
              <w:autoSpaceDE w:val="0"/>
              <w:autoSpaceDN w:val="0"/>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25.000</w:t>
            </w:r>
          </w:p>
        </w:tc>
        <w:tc>
          <w:tcPr>
            <w:tcW w:w="1368" w:type="dxa"/>
            <w:tcBorders>
              <w:top w:val="single" w:sz="4" w:space="0" w:color="auto"/>
              <w:left w:val="nil"/>
              <w:bottom w:val="single" w:sz="4" w:space="0" w:color="auto"/>
              <w:right w:val="single" w:sz="4" w:space="0" w:color="auto"/>
            </w:tcBorders>
            <w:shd w:val="clear" w:color="auto" w:fill="FFFFFF"/>
            <w:noWrap/>
            <w:vAlign w:val="center"/>
            <w:hideMark/>
          </w:tcPr>
          <w:p w14:paraId="45B54E30" w14:textId="77777777" w:rsidR="007968EC" w:rsidRDefault="007968EC" w:rsidP="007968EC">
            <w:pPr>
              <w:autoSpaceDE w:val="0"/>
              <w:autoSpaceDN w:val="0"/>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25.000</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14:paraId="578560FA" w14:textId="77777777" w:rsidR="007968EC" w:rsidRDefault="007968EC" w:rsidP="007968EC">
            <w:pPr>
              <w:autoSpaceDE w:val="0"/>
              <w:autoSpaceDN w:val="0"/>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11</w:t>
            </w:r>
          </w:p>
        </w:tc>
        <w:tc>
          <w:tcPr>
            <w:tcW w:w="1417" w:type="dxa"/>
            <w:tcBorders>
              <w:top w:val="single" w:sz="4" w:space="0" w:color="auto"/>
              <w:left w:val="nil"/>
              <w:bottom w:val="single" w:sz="4" w:space="0" w:color="auto"/>
              <w:right w:val="single" w:sz="4" w:space="0" w:color="auto"/>
            </w:tcBorders>
            <w:shd w:val="clear" w:color="auto" w:fill="FFFFFF"/>
            <w:noWrap/>
            <w:vAlign w:val="center"/>
            <w:hideMark/>
          </w:tcPr>
          <w:p w14:paraId="32E632FC" w14:textId="77777777" w:rsidR="007968EC" w:rsidRDefault="007968EC" w:rsidP="007968EC">
            <w:pPr>
              <w:autoSpaceDE w:val="0"/>
              <w:autoSpaceDN w:val="0"/>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Porcentual</w:t>
            </w:r>
          </w:p>
        </w:tc>
        <w:tc>
          <w:tcPr>
            <w:tcW w:w="1418" w:type="dxa"/>
            <w:tcBorders>
              <w:top w:val="single" w:sz="4" w:space="0" w:color="auto"/>
              <w:left w:val="nil"/>
              <w:bottom w:val="single" w:sz="4" w:space="0" w:color="auto"/>
              <w:right w:val="single" w:sz="4" w:space="0" w:color="auto"/>
            </w:tcBorders>
            <w:shd w:val="clear" w:color="auto" w:fill="FFFFFF"/>
            <w:noWrap/>
            <w:vAlign w:val="center"/>
            <w:hideMark/>
          </w:tcPr>
          <w:p w14:paraId="443EB10F" w14:textId="77777777" w:rsidR="007968EC" w:rsidRDefault="007968EC" w:rsidP="007968EC">
            <w:pPr>
              <w:autoSpaceDE w:val="0"/>
              <w:autoSpaceDN w:val="0"/>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6.4%</w:t>
            </w:r>
          </w:p>
        </w:tc>
      </w:tr>
      <w:tr w:rsidR="007968EC" w14:paraId="440931EF" w14:textId="77777777" w:rsidTr="007968EC">
        <w:trPr>
          <w:trHeight w:val="255"/>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38ED30" w14:textId="77777777" w:rsidR="007968EC" w:rsidRDefault="007968EC" w:rsidP="007968EC">
            <w:pPr>
              <w:spacing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 xml:space="preserve">Mini Contrato de Futuro Índice Accionario COLCAP  </w:t>
            </w:r>
          </w:p>
        </w:tc>
        <w:tc>
          <w:tcPr>
            <w:tcW w:w="1343" w:type="dxa"/>
            <w:tcBorders>
              <w:top w:val="single" w:sz="4" w:space="0" w:color="auto"/>
              <w:left w:val="nil"/>
              <w:bottom w:val="single" w:sz="4" w:space="0" w:color="auto"/>
              <w:right w:val="single" w:sz="4" w:space="0" w:color="auto"/>
            </w:tcBorders>
            <w:shd w:val="clear" w:color="auto" w:fill="FFFFFF"/>
            <w:noWrap/>
            <w:vAlign w:val="center"/>
            <w:hideMark/>
          </w:tcPr>
          <w:p w14:paraId="5AF01C1C" w14:textId="77777777" w:rsidR="007968EC" w:rsidRDefault="007968EC" w:rsidP="007968EC">
            <w:pPr>
              <w:autoSpaceDE w:val="0"/>
              <w:autoSpaceDN w:val="0"/>
              <w:spacing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2.500</w:t>
            </w:r>
          </w:p>
        </w:tc>
        <w:tc>
          <w:tcPr>
            <w:tcW w:w="1368" w:type="dxa"/>
            <w:tcBorders>
              <w:top w:val="single" w:sz="4" w:space="0" w:color="auto"/>
              <w:left w:val="nil"/>
              <w:bottom w:val="single" w:sz="4" w:space="0" w:color="auto"/>
              <w:right w:val="single" w:sz="4" w:space="0" w:color="auto"/>
            </w:tcBorders>
            <w:shd w:val="clear" w:color="auto" w:fill="FFFFFF"/>
            <w:noWrap/>
            <w:vAlign w:val="center"/>
            <w:hideMark/>
          </w:tcPr>
          <w:p w14:paraId="48733790" w14:textId="77777777" w:rsidR="007968EC" w:rsidRDefault="007968EC" w:rsidP="007968EC">
            <w:pPr>
              <w:autoSpaceDE w:val="0"/>
              <w:autoSpaceDN w:val="0"/>
              <w:spacing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2.500</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14:paraId="07275D8B" w14:textId="77777777" w:rsidR="007968EC" w:rsidRDefault="007968EC" w:rsidP="007968EC">
            <w:pPr>
              <w:autoSpaceDE w:val="0"/>
              <w:autoSpaceDN w:val="0"/>
              <w:spacing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11</w:t>
            </w:r>
          </w:p>
        </w:tc>
        <w:tc>
          <w:tcPr>
            <w:tcW w:w="1417" w:type="dxa"/>
            <w:tcBorders>
              <w:top w:val="single" w:sz="4" w:space="0" w:color="auto"/>
              <w:left w:val="nil"/>
              <w:bottom w:val="single" w:sz="4" w:space="0" w:color="auto"/>
              <w:right w:val="single" w:sz="4" w:space="0" w:color="auto"/>
            </w:tcBorders>
            <w:shd w:val="clear" w:color="auto" w:fill="FFFFFF"/>
            <w:noWrap/>
            <w:vAlign w:val="center"/>
            <w:hideMark/>
          </w:tcPr>
          <w:p w14:paraId="0C3C42E4" w14:textId="77777777" w:rsidR="007968EC" w:rsidRDefault="007968EC" w:rsidP="007968EC">
            <w:pPr>
              <w:autoSpaceDE w:val="0"/>
              <w:autoSpaceDN w:val="0"/>
              <w:spacing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Porcentual</w:t>
            </w:r>
          </w:p>
        </w:tc>
        <w:tc>
          <w:tcPr>
            <w:tcW w:w="1418" w:type="dxa"/>
            <w:tcBorders>
              <w:top w:val="single" w:sz="4" w:space="0" w:color="auto"/>
              <w:left w:val="nil"/>
              <w:bottom w:val="single" w:sz="4" w:space="0" w:color="auto"/>
              <w:right w:val="single" w:sz="4" w:space="0" w:color="auto"/>
            </w:tcBorders>
            <w:shd w:val="clear" w:color="auto" w:fill="FFFFFF"/>
            <w:noWrap/>
            <w:vAlign w:val="center"/>
            <w:hideMark/>
          </w:tcPr>
          <w:p w14:paraId="7EDECA70" w14:textId="77777777" w:rsidR="007968EC" w:rsidRDefault="007968EC" w:rsidP="007968EC">
            <w:pPr>
              <w:autoSpaceDE w:val="0"/>
              <w:autoSpaceDN w:val="0"/>
              <w:spacing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6.4%</w:t>
            </w:r>
          </w:p>
        </w:tc>
      </w:tr>
    </w:tbl>
    <w:p w14:paraId="2FCD726B" w14:textId="77777777" w:rsidR="007968EC" w:rsidRDefault="007968EC" w:rsidP="007968EC">
      <w:pPr>
        <w:rPr>
          <w:rFonts w:ascii="Arial Narrow" w:eastAsia="Calibri" w:hAnsi="Arial Narrow"/>
          <w:b/>
          <w:color w:val="000000"/>
          <w:lang w:eastAsia="en-US"/>
        </w:rPr>
      </w:pPr>
    </w:p>
    <w:tbl>
      <w:tblPr>
        <w:tblW w:w="6315" w:type="dxa"/>
        <w:jc w:val="center"/>
        <w:tblLayout w:type="fixed"/>
        <w:tblCellMar>
          <w:left w:w="70" w:type="dxa"/>
          <w:right w:w="70" w:type="dxa"/>
        </w:tblCellMar>
        <w:tblLook w:val="04A0" w:firstRow="1" w:lastRow="0" w:firstColumn="1" w:lastColumn="0" w:noHBand="0" w:noVBand="1"/>
      </w:tblPr>
      <w:tblGrid>
        <w:gridCol w:w="1816"/>
        <w:gridCol w:w="1440"/>
        <w:gridCol w:w="1519"/>
        <w:gridCol w:w="1540"/>
      </w:tblGrid>
      <w:tr w:rsidR="007968EC" w14:paraId="2450CAE8" w14:textId="77777777" w:rsidTr="007968EC">
        <w:trPr>
          <w:trHeight w:val="555"/>
          <w:jc w:val="center"/>
        </w:trPr>
        <w:tc>
          <w:tcPr>
            <w:tcW w:w="1818" w:type="dxa"/>
            <w:tcBorders>
              <w:top w:val="nil"/>
              <w:left w:val="nil"/>
              <w:bottom w:val="nil"/>
              <w:right w:val="single" w:sz="4" w:space="0" w:color="auto"/>
            </w:tcBorders>
            <w:shd w:val="clear" w:color="auto" w:fill="FFFFFF"/>
            <w:noWrap/>
            <w:vAlign w:val="bottom"/>
          </w:tcPr>
          <w:p w14:paraId="77AB4F7B" w14:textId="77777777" w:rsidR="007968EC" w:rsidRDefault="007968EC" w:rsidP="007968EC">
            <w:pPr>
              <w:autoSpaceDE w:val="0"/>
              <w:autoSpaceDN w:val="0"/>
              <w:spacing w:line="256" w:lineRule="auto"/>
              <w:rPr>
                <w:rFonts w:ascii="Arial Narrow" w:eastAsia="Calibri" w:hAnsi="Arial Narrow" w:cstheme="minorBidi"/>
                <w:b/>
                <w:bCs/>
                <w:color w:val="000000"/>
                <w:lang w:eastAsia="en-US"/>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150F02" w14:textId="77777777" w:rsidR="007968EC" w:rsidRDefault="007968EC" w:rsidP="007968EC">
            <w:pPr>
              <w:spacing w:line="256" w:lineRule="auto"/>
              <w:jc w:val="center"/>
              <w:rPr>
                <w:rFonts w:ascii="Arial Narrow" w:eastAsia="Calibri" w:hAnsi="Arial Narrow" w:cstheme="minorBidi"/>
                <w:b/>
                <w:bCs/>
                <w:color w:val="000000"/>
                <w:lang w:val="pt-BR" w:eastAsia="es-CO"/>
              </w:rPr>
            </w:pPr>
            <w:r>
              <w:rPr>
                <w:rFonts w:ascii="Arial Narrow" w:eastAsia="Calibri" w:hAnsi="Arial Narrow" w:cstheme="minorBidi"/>
                <w:color w:val="000000"/>
                <w:lang w:val="pt-BR" w:eastAsia="es-CO"/>
              </w:rPr>
              <w:t xml:space="preserve">Factor de cobertura por </w:t>
            </w:r>
            <w:r>
              <w:rPr>
                <w:rFonts w:ascii="Arial Narrow" w:eastAsia="Calibri" w:hAnsi="Arial Narrow" w:cstheme="minorBidi"/>
                <w:color w:val="000000"/>
                <w:lang w:val="pt-BR" w:eastAsia="es-CO"/>
              </w:rPr>
              <w:br/>
              <w:t>Time Spread</w:t>
            </w: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ED73CC" w14:textId="77777777" w:rsidR="007968EC" w:rsidRDefault="007968EC" w:rsidP="007968EC">
            <w:pPr>
              <w:spacing w:line="256" w:lineRule="auto"/>
              <w:jc w:val="center"/>
              <w:rPr>
                <w:rFonts w:ascii="Arial Narrow" w:eastAsia="Calibri" w:hAnsi="Arial Narrow" w:cstheme="minorBidi"/>
                <w:b/>
                <w:bCs/>
                <w:color w:val="000000"/>
                <w:lang w:eastAsia="es-CO"/>
              </w:rPr>
            </w:pPr>
            <w:r>
              <w:rPr>
                <w:rFonts w:ascii="Arial Narrow" w:eastAsia="Calibri" w:hAnsi="Arial Narrow" w:cstheme="minorBidi"/>
                <w:color w:val="000000"/>
                <w:lang w:eastAsia="es-CO"/>
              </w:rPr>
              <w:t xml:space="preserve">Valor </w:t>
            </w:r>
            <w:r>
              <w:rPr>
                <w:rFonts w:ascii="Arial Narrow" w:eastAsia="Calibri" w:hAnsi="Arial Narrow" w:cstheme="minorBidi"/>
                <w:color w:val="000000"/>
                <w:lang w:eastAsia="es-CO"/>
              </w:rPr>
              <w:br/>
              <w:t>Mínimo por</w:t>
            </w:r>
            <w:r>
              <w:rPr>
                <w:rFonts w:ascii="Arial Narrow" w:eastAsia="Calibri" w:hAnsi="Arial Narrow" w:cstheme="minorBidi"/>
                <w:color w:val="000000"/>
                <w:lang w:eastAsia="es-CO"/>
              </w:rPr>
              <w:br/>
              <w:t>Spread</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806288" w14:textId="77777777" w:rsidR="007968EC" w:rsidRDefault="007968EC" w:rsidP="007968EC">
            <w:pPr>
              <w:spacing w:line="256" w:lineRule="auto"/>
              <w:jc w:val="center"/>
              <w:rPr>
                <w:rFonts w:ascii="Arial Narrow" w:eastAsia="Calibri" w:hAnsi="Arial Narrow" w:cstheme="minorBidi"/>
                <w:b/>
                <w:bCs/>
                <w:color w:val="000000"/>
                <w:lang w:eastAsia="es-CO"/>
              </w:rPr>
            </w:pPr>
            <w:r>
              <w:rPr>
                <w:rFonts w:ascii="Arial Narrow" w:eastAsia="Calibri" w:hAnsi="Arial Narrow" w:cstheme="minorBidi"/>
                <w:color w:val="000000"/>
                <w:lang w:eastAsia="es-CO"/>
              </w:rPr>
              <w:t>Fluctuación para</w:t>
            </w:r>
            <w:r>
              <w:rPr>
                <w:rFonts w:ascii="Arial Narrow" w:eastAsia="Calibri" w:hAnsi="Arial Narrow" w:cstheme="minorBidi"/>
                <w:color w:val="000000"/>
                <w:lang w:eastAsia="es-CO"/>
              </w:rPr>
              <w:br/>
              <w:t xml:space="preserve">llamados a </w:t>
            </w:r>
            <w:r>
              <w:rPr>
                <w:rFonts w:ascii="Arial Narrow" w:eastAsia="Calibri" w:hAnsi="Arial Narrow" w:cstheme="minorBidi"/>
                <w:color w:val="000000"/>
                <w:lang w:eastAsia="es-CO"/>
              </w:rPr>
              <w:br/>
              <w:t>Garantías</w:t>
            </w:r>
            <w:r>
              <w:rPr>
                <w:rFonts w:ascii="Arial Narrow" w:eastAsia="Calibri" w:hAnsi="Arial Narrow" w:cstheme="minorBidi"/>
                <w:color w:val="000000"/>
                <w:lang w:eastAsia="es-CO"/>
              </w:rPr>
              <w:br/>
              <w:t>Extraordinarias</w:t>
            </w:r>
          </w:p>
        </w:tc>
      </w:tr>
      <w:tr w:rsidR="007968EC" w14:paraId="417D933E" w14:textId="77777777" w:rsidTr="007968EC">
        <w:trPr>
          <w:trHeight w:val="255"/>
          <w:jc w:val="center"/>
        </w:trPr>
        <w:tc>
          <w:tcPr>
            <w:tcW w:w="18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A84F568" w14:textId="77777777" w:rsidR="007968EC" w:rsidRDefault="007968EC" w:rsidP="007968EC">
            <w:pPr>
              <w:autoSpaceDE w:val="0"/>
              <w:autoSpaceDN w:val="0"/>
              <w:spacing w:line="256" w:lineRule="auto"/>
              <w:jc w:val="center"/>
              <w:rPr>
                <w:rFonts w:ascii="Arial Narrow" w:eastAsia="Calibri" w:hAnsi="Arial Narrow" w:cstheme="minorBidi"/>
                <w:b/>
                <w:bCs/>
                <w:color w:val="000000"/>
                <w:lang w:eastAsia="en-US"/>
              </w:rPr>
            </w:pPr>
            <w:r>
              <w:rPr>
                <w:rFonts w:ascii="Arial Narrow" w:eastAsia="Calibri" w:hAnsi="Arial Narrow" w:cstheme="minorBidi"/>
                <w:color w:val="000000"/>
                <w:lang w:eastAsia="es-CO"/>
              </w:rPr>
              <w:t>Contratos de Futuros Índice Accionario COLCAP</w:t>
            </w:r>
          </w:p>
        </w:tc>
        <w:tc>
          <w:tcPr>
            <w:tcW w:w="1440" w:type="dxa"/>
            <w:vMerge w:val="restart"/>
            <w:tcBorders>
              <w:top w:val="single" w:sz="4" w:space="0" w:color="auto"/>
              <w:left w:val="nil"/>
              <w:bottom w:val="single" w:sz="4" w:space="0" w:color="auto"/>
              <w:right w:val="single" w:sz="4" w:space="0" w:color="auto"/>
            </w:tcBorders>
            <w:shd w:val="clear" w:color="auto" w:fill="FFFFFF"/>
            <w:noWrap/>
            <w:vAlign w:val="center"/>
            <w:hideMark/>
          </w:tcPr>
          <w:p w14:paraId="69C7696D" w14:textId="77777777" w:rsidR="007968EC" w:rsidRDefault="007968EC" w:rsidP="007968EC">
            <w:pPr>
              <w:autoSpaceDE w:val="0"/>
              <w:autoSpaceDN w:val="0"/>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1.2</w:t>
            </w:r>
          </w:p>
        </w:tc>
        <w:tc>
          <w:tcPr>
            <w:tcW w:w="1519" w:type="dxa"/>
            <w:vMerge w:val="restart"/>
            <w:tcBorders>
              <w:top w:val="single" w:sz="4" w:space="0" w:color="auto"/>
              <w:left w:val="nil"/>
              <w:bottom w:val="single" w:sz="4" w:space="0" w:color="auto"/>
              <w:right w:val="single" w:sz="4" w:space="0" w:color="auto"/>
            </w:tcBorders>
            <w:shd w:val="clear" w:color="auto" w:fill="FFFFFF"/>
            <w:noWrap/>
            <w:vAlign w:val="center"/>
            <w:hideMark/>
          </w:tcPr>
          <w:p w14:paraId="222461DA" w14:textId="77777777" w:rsidR="007968EC" w:rsidRDefault="007968EC" w:rsidP="007968EC">
            <w:pPr>
              <w:autoSpaceDE w:val="0"/>
              <w:autoSpaceDN w:val="0"/>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31</w:t>
            </w:r>
          </w:p>
        </w:tc>
        <w:tc>
          <w:tcPr>
            <w:tcW w:w="1540" w:type="dxa"/>
            <w:vMerge w:val="restart"/>
            <w:tcBorders>
              <w:top w:val="single" w:sz="4" w:space="0" w:color="auto"/>
              <w:left w:val="nil"/>
              <w:bottom w:val="single" w:sz="4" w:space="0" w:color="auto"/>
              <w:right w:val="single" w:sz="4" w:space="0" w:color="auto"/>
            </w:tcBorders>
            <w:shd w:val="clear" w:color="auto" w:fill="FFFFFF"/>
            <w:noWrap/>
            <w:vAlign w:val="center"/>
            <w:hideMark/>
          </w:tcPr>
          <w:p w14:paraId="68CAA735" w14:textId="77777777" w:rsidR="007968EC" w:rsidRDefault="007968EC" w:rsidP="007968EC">
            <w:pPr>
              <w:autoSpaceDE w:val="0"/>
              <w:autoSpaceDN w:val="0"/>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4.80%</w:t>
            </w:r>
          </w:p>
        </w:tc>
      </w:tr>
      <w:tr w:rsidR="007968EC" w14:paraId="00EF93D5" w14:textId="77777777" w:rsidTr="007968EC">
        <w:trPr>
          <w:trHeight w:val="255"/>
          <w:jc w:val="center"/>
        </w:trPr>
        <w:tc>
          <w:tcPr>
            <w:tcW w:w="18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9867616" w14:textId="77777777" w:rsidR="007968EC" w:rsidRDefault="007968EC" w:rsidP="007968EC">
            <w:pPr>
              <w:autoSpaceDE w:val="0"/>
              <w:autoSpaceDN w:val="0"/>
              <w:spacing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 xml:space="preserve">Mini Contrato de Futuro Índice Accionario COLCAP  </w:t>
            </w:r>
          </w:p>
        </w:tc>
        <w:tc>
          <w:tcPr>
            <w:tcW w:w="1440" w:type="dxa"/>
            <w:vMerge/>
            <w:tcBorders>
              <w:top w:val="single" w:sz="4" w:space="0" w:color="auto"/>
              <w:left w:val="nil"/>
              <w:bottom w:val="single" w:sz="4" w:space="0" w:color="auto"/>
              <w:right w:val="single" w:sz="4" w:space="0" w:color="auto"/>
            </w:tcBorders>
            <w:vAlign w:val="center"/>
            <w:hideMark/>
          </w:tcPr>
          <w:p w14:paraId="066CE530" w14:textId="77777777" w:rsidR="007968EC" w:rsidRDefault="007968EC" w:rsidP="007968EC">
            <w:pPr>
              <w:spacing w:line="256" w:lineRule="auto"/>
              <w:rPr>
                <w:rFonts w:ascii="Arial Narrow" w:eastAsia="Calibri" w:hAnsi="Arial Narrow" w:cstheme="minorBidi"/>
                <w:b/>
                <w:color w:val="000000"/>
                <w:lang w:eastAsia="es-CO"/>
              </w:rPr>
            </w:pPr>
          </w:p>
        </w:tc>
        <w:tc>
          <w:tcPr>
            <w:tcW w:w="1519" w:type="dxa"/>
            <w:vMerge/>
            <w:tcBorders>
              <w:top w:val="single" w:sz="4" w:space="0" w:color="auto"/>
              <w:left w:val="nil"/>
              <w:bottom w:val="single" w:sz="4" w:space="0" w:color="auto"/>
              <w:right w:val="single" w:sz="4" w:space="0" w:color="auto"/>
            </w:tcBorders>
            <w:vAlign w:val="center"/>
            <w:hideMark/>
          </w:tcPr>
          <w:p w14:paraId="1AA128F3" w14:textId="77777777" w:rsidR="007968EC" w:rsidRDefault="007968EC" w:rsidP="007968EC">
            <w:pPr>
              <w:spacing w:line="256" w:lineRule="auto"/>
              <w:rPr>
                <w:rFonts w:ascii="Arial Narrow" w:eastAsia="Calibri" w:hAnsi="Arial Narrow" w:cstheme="minorBidi"/>
                <w:b/>
                <w:color w:val="000000"/>
                <w:lang w:eastAsia="es-CO"/>
              </w:rPr>
            </w:pPr>
          </w:p>
        </w:tc>
        <w:tc>
          <w:tcPr>
            <w:tcW w:w="1540" w:type="dxa"/>
            <w:vMerge/>
            <w:tcBorders>
              <w:top w:val="single" w:sz="4" w:space="0" w:color="auto"/>
              <w:left w:val="nil"/>
              <w:bottom w:val="single" w:sz="4" w:space="0" w:color="auto"/>
              <w:right w:val="single" w:sz="4" w:space="0" w:color="auto"/>
            </w:tcBorders>
            <w:vAlign w:val="center"/>
            <w:hideMark/>
          </w:tcPr>
          <w:p w14:paraId="33ACA2D5" w14:textId="77777777" w:rsidR="007968EC" w:rsidRDefault="007968EC" w:rsidP="007968EC">
            <w:pPr>
              <w:spacing w:line="256" w:lineRule="auto"/>
              <w:rPr>
                <w:rFonts w:ascii="Arial Narrow" w:eastAsia="Calibri" w:hAnsi="Arial Narrow" w:cstheme="minorBidi"/>
                <w:b/>
                <w:color w:val="000000"/>
                <w:lang w:eastAsia="es-CO"/>
              </w:rPr>
            </w:pPr>
          </w:p>
        </w:tc>
      </w:tr>
    </w:tbl>
    <w:p w14:paraId="02070CAD" w14:textId="77777777" w:rsidR="007968EC" w:rsidRDefault="007968EC" w:rsidP="007968EC">
      <w:pPr>
        <w:rPr>
          <w:rFonts w:ascii="Arial Narrow" w:eastAsia="Calibri" w:hAnsi="Arial Narrow"/>
          <w:b/>
          <w:color w:val="000000"/>
          <w:lang w:eastAsia="en-US"/>
        </w:rPr>
      </w:pPr>
    </w:p>
    <w:p w14:paraId="637E0876" w14:textId="77777777" w:rsidR="007968EC" w:rsidRDefault="007968EC" w:rsidP="007968EC">
      <w:pPr>
        <w:rPr>
          <w:rFonts w:ascii="Arial Narrow" w:eastAsia="Calibri" w:hAnsi="Arial Narrow"/>
          <w:b/>
          <w:color w:val="000000"/>
          <w:lang w:eastAsia="en-US"/>
        </w:rPr>
      </w:pPr>
    </w:p>
    <w:p w14:paraId="7517845F" w14:textId="77777777" w:rsidR="007968EC" w:rsidRDefault="007968EC" w:rsidP="00DA7472">
      <w:pPr>
        <w:numPr>
          <w:ilvl w:val="0"/>
          <w:numId w:val="366"/>
        </w:numPr>
        <w:autoSpaceDE w:val="0"/>
        <w:autoSpaceDN w:val="0"/>
        <w:spacing w:after="160" w:line="256" w:lineRule="auto"/>
        <w:ind w:left="426" w:hanging="426"/>
        <w:contextualSpacing/>
        <w:jc w:val="both"/>
        <w:rPr>
          <w:rFonts w:ascii="Arial Narrow" w:eastAsia="Calibri" w:hAnsi="Arial Narrow"/>
          <w:color w:val="000000"/>
          <w:u w:val="single"/>
          <w:lang w:eastAsia="en-US"/>
        </w:rPr>
      </w:pPr>
      <w:r>
        <w:rPr>
          <w:rFonts w:ascii="Arial Narrow" w:eastAsia="Calibri" w:hAnsi="Arial Narrow"/>
          <w:color w:val="000000"/>
          <w:u w:val="single"/>
          <w:lang w:eastAsia="en-US"/>
        </w:rPr>
        <w:t xml:space="preserve">Contrato Futuro sobre Electricidad Mensual: </w:t>
      </w:r>
    </w:p>
    <w:p w14:paraId="223E1884" w14:textId="77777777" w:rsidR="007968EC" w:rsidRDefault="007968EC" w:rsidP="007968EC">
      <w:pPr>
        <w:autoSpaceDE w:val="0"/>
        <w:autoSpaceDN w:val="0"/>
        <w:rPr>
          <w:rFonts w:ascii="Arial Narrow" w:eastAsia="Calibri" w:hAnsi="Arial Narrow"/>
          <w:b/>
          <w:bCs/>
          <w:color w:val="000000"/>
          <w:lang w:eastAsia="en-US"/>
        </w:rPr>
      </w:pPr>
    </w:p>
    <w:p w14:paraId="433F37ED" w14:textId="77777777" w:rsidR="007968EC" w:rsidRDefault="007968EC" w:rsidP="007968EC">
      <w:pPr>
        <w:autoSpaceDE w:val="0"/>
        <w:autoSpaceDN w:val="0"/>
        <w:rPr>
          <w:rFonts w:ascii="Arial Narrow" w:eastAsia="Calibri" w:hAnsi="Arial Narrow"/>
          <w:b/>
          <w:color w:val="000000"/>
          <w:lang w:eastAsia="en-US"/>
        </w:rPr>
      </w:pPr>
      <w:r>
        <w:rPr>
          <w:rFonts w:ascii="Arial Narrow" w:eastAsia="Calibri" w:hAnsi="Arial Narrow"/>
          <w:color w:val="000000"/>
          <w:lang w:eastAsia="en-US"/>
        </w:rPr>
        <w:t>Para el Instrumento Contrato Futuro sobre Electricidad Mensual se tienen los siguientes parámetros, de conformidad con los veinticuatro (24) vencimientos disponibles en el sistema:</w:t>
      </w:r>
    </w:p>
    <w:p w14:paraId="6B514CDF" w14:textId="77777777" w:rsidR="007968EC" w:rsidRDefault="007968EC" w:rsidP="007968EC">
      <w:pPr>
        <w:autoSpaceDE w:val="0"/>
        <w:autoSpaceDN w:val="0"/>
        <w:rPr>
          <w:rFonts w:ascii="Arial Narrow" w:eastAsia="Calibri" w:hAnsi="Arial Narrow"/>
          <w:b/>
          <w:color w:val="000000"/>
          <w:lang w:eastAsia="en-US"/>
        </w:rPr>
      </w:pPr>
    </w:p>
    <w:tbl>
      <w:tblPr>
        <w:tblW w:w="9420" w:type="dxa"/>
        <w:jc w:val="center"/>
        <w:tblLayout w:type="fixed"/>
        <w:tblCellMar>
          <w:left w:w="70" w:type="dxa"/>
          <w:right w:w="70" w:type="dxa"/>
        </w:tblCellMar>
        <w:tblLook w:val="04A0" w:firstRow="1" w:lastRow="0" w:firstColumn="1" w:lastColumn="0" w:noHBand="0" w:noVBand="1"/>
      </w:tblPr>
      <w:tblGrid>
        <w:gridCol w:w="1346"/>
        <w:gridCol w:w="1342"/>
        <w:gridCol w:w="1349"/>
        <w:gridCol w:w="1133"/>
        <w:gridCol w:w="1417"/>
        <w:gridCol w:w="1275"/>
        <w:gridCol w:w="1558"/>
      </w:tblGrid>
      <w:tr w:rsidR="007968EC" w14:paraId="6766B4FC" w14:textId="77777777" w:rsidTr="007968EC">
        <w:trPr>
          <w:trHeight w:val="1327"/>
          <w:jc w:val="center"/>
        </w:trPr>
        <w:tc>
          <w:tcPr>
            <w:tcW w:w="13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FEF5AF"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Vencimientos</w:t>
            </w:r>
          </w:p>
          <w:p w14:paraId="5823F8FD"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Contrato Futuro sobre Electricidad Mensual</w:t>
            </w:r>
          </w:p>
        </w:tc>
        <w:tc>
          <w:tcPr>
            <w:tcW w:w="13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13E783"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Multiplicador del contrato</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A5721E"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Nominal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17C788" w14:textId="77777777" w:rsidR="007968EC" w:rsidRDefault="007968EC" w:rsidP="007968EC">
            <w:pPr>
              <w:spacing w:line="256" w:lineRule="auto"/>
              <w:jc w:val="center"/>
              <w:rPr>
                <w:rFonts w:ascii="Arial Narrow" w:eastAsia="Calibri" w:hAnsi="Arial Narrow"/>
                <w:b/>
                <w:bCs/>
                <w:color w:val="000000"/>
                <w:lang w:eastAsia="en-US"/>
              </w:rPr>
            </w:pPr>
            <w:proofErr w:type="spellStart"/>
            <w:r>
              <w:rPr>
                <w:rFonts w:ascii="Arial Narrow" w:eastAsia="Calibri" w:hAnsi="Arial Narrow"/>
                <w:color w:val="000000"/>
                <w:lang w:eastAsia="en-US"/>
              </w:rPr>
              <w:t>Nº</w:t>
            </w:r>
            <w:proofErr w:type="spellEnd"/>
            <w:r>
              <w:rPr>
                <w:rFonts w:ascii="Arial Narrow" w:eastAsia="Calibri" w:hAnsi="Arial Narrow"/>
                <w:color w:val="000000"/>
                <w:lang w:eastAsia="en-US"/>
              </w:rPr>
              <w:t xml:space="preserve"> de Escenarios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4E960E"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 xml:space="preserve">Tipo de </w:t>
            </w:r>
            <w:r>
              <w:rPr>
                <w:rFonts w:ascii="Arial Narrow" w:eastAsia="Calibri" w:hAnsi="Arial Narrow"/>
                <w:color w:val="000000"/>
                <w:lang w:eastAsia="en-US"/>
              </w:rPr>
              <w:br/>
              <w:t>Fluctuación</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DF7546"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Fluctuación</w:t>
            </w:r>
            <w:r>
              <w:rPr>
                <w:rFonts w:ascii="Arial Narrow" w:eastAsia="Calibri" w:hAnsi="Arial Narrow"/>
                <w:color w:val="000000"/>
                <w:lang w:eastAsia="en-US"/>
              </w:rPr>
              <w:br/>
              <w:t>Total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A2BE45"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Fluctuación para</w:t>
            </w:r>
          </w:p>
          <w:p w14:paraId="1C6A2D9E"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llamados a</w:t>
            </w:r>
          </w:p>
          <w:p w14:paraId="3064C3FE"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Garantías</w:t>
            </w:r>
          </w:p>
          <w:p w14:paraId="24BFA697"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Extraordinarias</w:t>
            </w:r>
          </w:p>
        </w:tc>
      </w:tr>
      <w:tr w:rsidR="007968EC" w14:paraId="7B77179D" w14:textId="77777777" w:rsidTr="007968EC">
        <w:trPr>
          <w:trHeight w:val="70"/>
          <w:jc w:val="center"/>
        </w:trPr>
        <w:tc>
          <w:tcPr>
            <w:tcW w:w="13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3A2859"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 al 4</w:t>
            </w:r>
          </w:p>
        </w:tc>
        <w:tc>
          <w:tcPr>
            <w:tcW w:w="1343" w:type="dxa"/>
            <w:tcBorders>
              <w:top w:val="single" w:sz="4" w:space="0" w:color="auto"/>
              <w:left w:val="nil"/>
              <w:bottom w:val="single" w:sz="4" w:space="0" w:color="auto"/>
              <w:right w:val="single" w:sz="4" w:space="0" w:color="auto"/>
            </w:tcBorders>
            <w:noWrap/>
            <w:vAlign w:val="center"/>
            <w:hideMark/>
          </w:tcPr>
          <w:p w14:paraId="542AC163" w14:textId="77777777" w:rsidR="007968EC" w:rsidRDefault="007968EC" w:rsidP="007968EC">
            <w:pPr>
              <w:spacing w:line="256" w:lineRule="auto"/>
              <w:jc w:val="center"/>
              <w:rPr>
                <w:rFonts w:ascii="Arial Narrow" w:eastAsia="Calibri" w:hAnsi="Arial Narrow"/>
                <w:b/>
                <w:color w:val="000000"/>
                <w:highlight w:val="yellow"/>
                <w:lang w:eastAsia="en-US"/>
              </w:rPr>
            </w:pPr>
            <w:r>
              <w:rPr>
                <w:rFonts w:ascii="Arial Narrow" w:eastAsia="Calibri" w:hAnsi="Arial Narrow"/>
                <w:color w:val="000000"/>
                <w:lang w:eastAsia="en-US"/>
              </w:rPr>
              <w:t>360.000</w:t>
            </w:r>
          </w:p>
        </w:tc>
        <w:tc>
          <w:tcPr>
            <w:tcW w:w="1350" w:type="dxa"/>
            <w:tcBorders>
              <w:top w:val="single" w:sz="4" w:space="0" w:color="auto"/>
              <w:left w:val="nil"/>
              <w:bottom w:val="single" w:sz="4" w:space="0" w:color="auto"/>
              <w:right w:val="single" w:sz="4" w:space="0" w:color="auto"/>
            </w:tcBorders>
            <w:noWrap/>
            <w:vAlign w:val="center"/>
            <w:hideMark/>
          </w:tcPr>
          <w:p w14:paraId="0749D1C1"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360.000 kWh</w:t>
            </w:r>
          </w:p>
        </w:tc>
        <w:tc>
          <w:tcPr>
            <w:tcW w:w="1134" w:type="dxa"/>
            <w:tcBorders>
              <w:top w:val="single" w:sz="4" w:space="0" w:color="auto"/>
              <w:left w:val="nil"/>
              <w:bottom w:val="single" w:sz="4" w:space="0" w:color="auto"/>
              <w:right w:val="single" w:sz="4" w:space="0" w:color="auto"/>
            </w:tcBorders>
            <w:noWrap/>
            <w:vAlign w:val="center"/>
            <w:hideMark/>
          </w:tcPr>
          <w:p w14:paraId="360083F9" w14:textId="77777777" w:rsidR="007968EC" w:rsidRDefault="007968EC" w:rsidP="007968EC">
            <w:pPr>
              <w:spacing w:line="256" w:lineRule="auto"/>
              <w:jc w:val="center"/>
              <w:rPr>
                <w:rFonts w:ascii="Arial Narrow" w:eastAsia="Calibri" w:hAnsi="Arial Narrow"/>
                <w:b/>
                <w:color w:val="000000"/>
                <w:highlight w:val="yellow"/>
                <w:lang w:eastAsia="en-US"/>
              </w:rPr>
            </w:pPr>
            <w:r>
              <w:rPr>
                <w:rFonts w:ascii="Arial Narrow" w:eastAsia="Calibri" w:hAnsi="Arial Narrow"/>
                <w:color w:val="000000"/>
                <w:lang w:eastAsia="en-US"/>
              </w:rPr>
              <w:t>11</w:t>
            </w:r>
          </w:p>
        </w:tc>
        <w:tc>
          <w:tcPr>
            <w:tcW w:w="1418" w:type="dxa"/>
            <w:tcBorders>
              <w:top w:val="single" w:sz="4" w:space="0" w:color="auto"/>
              <w:left w:val="nil"/>
              <w:bottom w:val="single" w:sz="4" w:space="0" w:color="auto"/>
              <w:right w:val="single" w:sz="4" w:space="0" w:color="auto"/>
            </w:tcBorders>
            <w:noWrap/>
            <w:vAlign w:val="center"/>
            <w:hideMark/>
          </w:tcPr>
          <w:p w14:paraId="4CD3BD66"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Porcentual</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14:paraId="7215D901"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24%</w:t>
            </w:r>
          </w:p>
        </w:tc>
        <w:tc>
          <w:tcPr>
            <w:tcW w:w="1559" w:type="dxa"/>
            <w:tcBorders>
              <w:top w:val="single" w:sz="4" w:space="0" w:color="auto"/>
              <w:left w:val="nil"/>
              <w:bottom w:val="single" w:sz="4" w:space="0" w:color="auto"/>
              <w:right w:val="single" w:sz="4" w:space="0" w:color="auto"/>
            </w:tcBorders>
            <w:shd w:val="clear" w:color="auto" w:fill="FFFFFF"/>
            <w:vAlign w:val="center"/>
            <w:hideMark/>
          </w:tcPr>
          <w:p w14:paraId="4B32EB3B"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18.00%</w:t>
            </w:r>
          </w:p>
        </w:tc>
      </w:tr>
      <w:tr w:rsidR="007968EC" w14:paraId="7F8D08A2" w14:textId="77777777" w:rsidTr="007968EC">
        <w:trPr>
          <w:trHeight w:val="70"/>
          <w:jc w:val="center"/>
        </w:trPr>
        <w:tc>
          <w:tcPr>
            <w:tcW w:w="13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D1D26E"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5 al 8</w:t>
            </w:r>
          </w:p>
        </w:tc>
        <w:tc>
          <w:tcPr>
            <w:tcW w:w="1343" w:type="dxa"/>
            <w:tcBorders>
              <w:top w:val="single" w:sz="4" w:space="0" w:color="auto"/>
              <w:left w:val="nil"/>
              <w:bottom w:val="single" w:sz="4" w:space="0" w:color="auto"/>
              <w:right w:val="single" w:sz="4" w:space="0" w:color="auto"/>
            </w:tcBorders>
            <w:noWrap/>
            <w:vAlign w:val="center"/>
            <w:hideMark/>
          </w:tcPr>
          <w:p w14:paraId="66828B1E" w14:textId="77777777" w:rsidR="007968EC" w:rsidRDefault="007968EC" w:rsidP="007968EC">
            <w:pPr>
              <w:spacing w:line="256" w:lineRule="auto"/>
              <w:jc w:val="center"/>
              <w:rPr>
                <w:rFonts w:ascii="Arial Narrow" w:eastAsia="Calibri" w:hAnsi="Arial Narrow"/>
                <w:b/>
                <w:color w:val="000000"/>
                <w:highlight w:val="yellow"/>
                <w:lang w:eastAsia="en-US"/>
              </w:rPr>
            </w:pPr>
            <w:r>
              <w:rPr>
                <w:rFonts w:ascii="Arial Narrow" w:eastAsia="Calibri" w:hAnsi="Arial Narrow"/>
                <w:color w:val="000000"/>
                <w:lang w:eastAsia="en-US"/>
              </w:rPr>
              <w:t>360.000</w:t>
            </w:r>
          </w:p>
        </w:tc>
        <w:tc>
          <w:tcPr>
            <w:tcW w:w="1350" w:type="dxa"/>
            <w:tcBorders>
              <w:top w:val="single" w:sz="4" w:space="0" w:color="auto"/>
              <w:left w:val="nil"/>
              <w:bottom w:val="single" w:sz="4" w:space="0" w:color="auto"/>
              <w:right w:val="single" w:sz="4" w:space="0" w:color="auto"/>
            </w:tcBorders>
            <w:noWrap/>
            <w:vAlign w:val="center"/>
            <w:hideMark/>
          </w:tcPr>
          <w:p w14:paraId="391FF0D7"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360.000 kWh</w:t>
            </w:r>
          </w:p>
        </w:tc>
        <w:tc>
          <w:tcPr>
            <w:tcW w:w="1134" w:type="dxa"/>
            <w:tcBorders>
              <w:top w:val="single" w:sz="4" w:space="0" w:color="auto"/>
              <w:left w:val="nil"/>
              <w:bottom w:val="single" w:sz="4" w:space="0" w:color="auto"/>
              <w:right w:val="single" w:sz="4" w:space="0" w:color="auto"/>
            </w:tcBorders>
            <w:noWrap/>
            <w:vAlign w:val="center"/>
            <w:hideMark/>
          </w:tcPr>
          <w:p w14:paraId="19673403" w14:textId="77777777" w:rsidR="007968EC" w:rsidRDefault="007968EC" w:rsidP="007968EC">
            <w:pPr>
              <w:spacing w:line="256" w:lineRule="auto"/>
              <w:jc w:val="center"/>
              <w:rPr>
                <w:rFonts w:ascii="Arial Narrow" w:eastAsia="Calibri" w:hAnsi="Arial Narrow"/>
                <w:b/>
                <w:color w:val="000000"/>
                <w:highlight w:val="yellow"/>
                <w:lang w:eastAsia="en-US"/>
              </w:rPr>
            </w:pPr>
            <w:r>
              <w:rPr>
                <w:rFonts w:ascii="Arial Narrow" w:eastAsia="Calibri" w:hAnsi="Arial Narrow"/>
                <w:color w:val="000000"/>
                <w:lang w:eastAsia="en-US"/>
              </w:rPr>
              <w:t>11</w:t>
            </w:r>
          </w:p>
        </w:tc>
        <w:tc>
          <w:tcPr>
            <w:tcW w:w="1418" w:type="dxa"/>
            <w:tcBorders>
              <w:top w:val="single" w:sz="4" w:space="0" w:color="auto"/>
              <w:left w:val="nil"/>
              <w:bottom w:val="single" w:sz="4" w:space="0" w:color="auto"/>
              <w:right w:val="single" w:sz="4" w:space="0" w:color="auto"/>
            </w:tcBorders>
            <w:noWrap/>
            <w:vAlign w:val="center"/>
            <w:hideMark/>
          </w:tcPr>
          <w:p w14:paraId="27430AA4"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Porcentual</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14:paraId="51FC0E38"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17%</w:t>
            </w:r>
          </w:p>
        </w:tc>
        <w:tc>
          <w:tcPr>
            <w:tcW w:w="1559" w:type="dxa"/>
            <w:tcBorders>
              <w:top w:val="single" w:sz="4" w:space="0" w:color="auto"/>
              <w:left w:val="nil"/>
              <w:bottom w:val="single" w:sz="4" w:space="0" w:color="auto"/>
              <w:right w:val="single" w:sz="4" w:space="0" w:color="auto"/>
            </w:tcBorders>
            <w:shd w:val="clear" w:color="auto" w:fill="FFFFFF"/>
            <w:vAlign w:val="center"/>
            <w:hideMark/>
          </w:tcPr>
          <w:p w14:paraId="4DBA4F9D"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12.75%</w:t>
            </w:r>
          </w:p>
        </w:tc>
      </w:tr>
      <w:tr w:rsidR="007968EC" w14:paraId="7446EEE6" w14:textId="77777777" w:rsidTr="007968EC">
        <w:trPr>
          <w:trHeight w:val="70"/>
          <w:jc w:val="center"/>
        </w:trPr>
        <w:tc>
          <w:tcPr>
            <w:tcW w:w="13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911D72"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9 al 18</w:t>
            </w:r>
          </w:p>
        </w:tc>
        <w:tc>
          <w:tcPr>
            <w:tcW w:w="1343" w:type="dxa"/>
            <w:tcBorders>
              <w:top w:val="single" w:sz="4" w:space="0" w:color="auto"/>
              <w:left w:val="nil"/>
              <w:bottom w:val="single" w:sz="4" w:space="0" w:color="auto"/>
              <w:right w:val="single" w:sz="4" w:space="0" w:color="auto"/>
            </w:tcBorders>
            <w:noWrap/>
            <w:vAlign w:val="center"/>
            <w:hideMark/>
          </w:tcPr>
          <w:p w14:paraId="3A237C26" w14:textId="77777777" w:rsidR="007968EC" w:rsidRDefault="007968EC" w:rsidP="007968EC">
            <w:pPr>
              <w:spacing w:line="256" w:lineRule="auto"/>
              <w:jc w:val="center"/>
              <w:rPr>
                <w:rFonts w:ascii="Arial Narrow" w:eastAsia="Calibri" w:hAnsi="Arial Narrow"/>
                <w:b/>
                <w:color w:val="000000"/>
                <w:highlight w:val="yellow"/>
                <w:lang w:eastAsia="en-US"/>
              </w:rPr>
            </w:pPr>
            <w:r>
              <w:rPr>
                <w:rFonts w:ascii="Arial Narrow" w:eastAsia="Calibri" w:hAnsi="Arial Narrow"/>
                <w:color w:val="000000"/>
                <w:lang w:eastAsia="en-US"/>
              </w:rPr>
              <w:t>360.000</w:t>
            </w:r>
          </w:p>
        </w:tc>
        <w:tc>
          <w:tcPr>
            <w:tcW w:w="1350" w:type="dxa"/>
            <w:tcBorders>
              <w:top w:val="single" w:sz="4" w:space="0" w:color="auto"/>
              <w:left w:val="nil"/>
              <w:bottom w:val="single" w:sz="4" w:space="0" w:color="auto"/>
              <w:right w:val="single" w:sz="4" w:space="0" w:color="auto"/>
            </w:tcBorders>
            <w:noWrap/>
            <w:vAlign w:val="center"/>
            <w:hideMark/>
          </w:tcPr>
          <w:p w14:paraId="7E5EA08F"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360.000 kWh</w:t>
            </w:r>
          </w:p>
        </w:tc>
        <w:tc>
          <w:tcPr>
            <w:tcW w:w="1134" w:type="dxa"/>
            <w:tcBorders>
              <w:top w:val="single" w:sz="4" w:space="0" w:color="auto"/>
              <w:left w:val="nil"/>
              <w:bottom w:val="single" w:sz="4" w:space="0" w:color="auto"/>
              <w:right w:val="single" w:sz="4" w:space="0" w:color="auto"/>
            </w:tcBorders>
            <w:noWrap/>
            <w:vAlign w:val="center"/>
            <w:hideMark/>
          </w:tcPr>
          <w:p w14:paraId="0F42773A" w14:textId="77777777" w:rsidR="007968EC" w:rsidRDefault="007968EC" w:rsidP="007968EC">
            <w:pPr>
              <w:spacing w:line="256" w:lineRule="auto"/>
              <w:jc w:val="center"/>
              <w:rPr>
                <w:rFonts w:ascii="Arial Narrow" w:eastAsia="Calibri" w:hAnsi="Arial Narrow"/>
                <w:b/>
                <w:color w:val="000000"/>
                <w:highlight w:val="yellow"/>
                <w:lang w:eastAsia="en-US"/>
              </w:rPr>
            </w:pPr>
            <w:r>
              <w:rPr>
                <w:rFonts w:ascii="Arial Narrow" w:eastAsia="Calibri" w:hAnsi="Arial Narrow"/>
                <w:color w:val="000000"/>
                <w:lang w:eastAsia="en-US"/>
              </w:rPr>
              <w:t>11</w:t>
            </w:r>
          </w:p>
        </w:tc>
        <w:tc>
          <w:tcPr>
            <w:tcW w:w="1418" w:type="dxa"/>
            <w:tcBorders>
              <w:top w:val="single" w:sz="4" w:space="0" w:color="auto"/>
              <w:left w:val="nil"/>
              <w:bottom w:val="single" w:sz="4" w:space="0" w:color="auto"/>
              <w:right w:val="single" w:sz="4" w:space="0" w:color="auto"/>
            </w:tcBorders>
            <w:noWrap/>
            <w:vAlign w:val="center"/>
            <w:hideMark/>
          </w:tcPr>
          <w:p w14:paraId="03E4A77E"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Porcentual</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14:paraId="75FA41D2"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16%</w:t>
            </w:r>
          </w:p>
        </w:tc>
        <w:tc>
          <w:tcPr>
            <w:tcW w:w="1559" w:type="dxa"/>
            <w:tcBorders>
              <w:top w:val="single" w:sz="4" w:space="0" w:color="auto"/>
              <w:left w:val="nil"/>
              <w:bottom w:val="single" w:sz="4" w:space="0" w:color="auto"/>
              <w:right w:val="single" w:sz="4" w:space="0" w:color="auto"/>
            </w:tcBorders>
            <w:shd w:val="clear" w:color="auto" w:fill="FFFFFF"/>
            <w:vAlign w:val="center"/>
            <w:hideMark/>
          </w:tcPr>
          <w:p w14:paraId="1CBC0635"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12.00%</w:t>
            </w:r>
          </w:p>
        </w:tc>
      </w:tr>
      <w:tr w:rsidR="007968EC" w14:paraId="77011852" w14:textId="77777777" w:rsidTr="007968EC">
        <w:trPr>
          <w:trHeight w:val="70"/>
          <w:jc w:val="center"/>
        </w:trPr>
        <w:tc>
          <w:tcPr>
            <w:tcW w:w="13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47F0FA"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19 al 24</w:t>
            </w:r>
          </w:p>
        </w:tc>
        <w:tc>
          <w:tcPr>
            <w:tcW w:w="1343" w:type="dxa"/>
            <w:tcBorders>
              <w:top w:val="single" w:sz="4" w:space="0" w:color="auto"/>
              <w:left w:val="nil"/>
              <w:bottom w:val="single" w:sz="4" w:space="0" w:color="auto"/>
              <w:right w:val="single" w:sz="4" w:space="0" w:color="auto"/>
            </w:tcBorders>
            <w:noWrap/>
            <w:vAlign w:val="center"/>
            <w:hideMark/>
          </w:tcPr>
          <w:p w14:paraId="42F497BD"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360.000</w:t>
            </w:r>
          </w:p>
        </w:tc>
        <w:tc>
          <w:tcPr>
            <w:tcW w:w="1350" w:type="dxa"/>
            <w:tcBorders>
              <w:top w:val="single" w:sz="4" w:space="0" w:color="auto"/>
              <w:left w:val="nil"/>
              <w:bottom w:val="single" w:sz="4" w:space="0" w:color="auto"/>
              <w:right w:val="single" w:sz="4" w:space="0" w:color="auto"/>
            </w:tcBorders>
            <w:noWrap/>
            <w:vAlign w:val="center"/>
            <w:hideMark/>
          </w:tcPr>
          <w:p w14:paraId="3C6DFD3C"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360.000 kWh</w:t>
            </w:r>
          </w:p>
        </w:tc>
        <w:tc>
          <w:tcPr>
            <w:tcW w:w="1134" w:type="dxa"/>
            <w:tcBorders>
              <w:top w:val="single" w:sz="4" w:space="0" w:color="auto"/>
              <w:left w:val="nil"/>
              <w:bottom w:val="single" w:sz="4" w:space="0" w:color="auto"/>
              <w:right w:val="single" w:sz="4" w:space="0" w:color="auto"/>
            </w:tcBorders>
            <w:noWrap/>
            <w:vAlign w:val="center"/>
            <w:hideMark/>
          </w:tcPr>
          <w:p w14:paraId="6298BCE3"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11</w:t>
            </w:r>
          </w:p>
        </w:tc>
        <w:tc>
          <w:tcPr>
            <w:tcW w:w="1418" w:type="dxa"/>
            <w:tcBorders>
              <w:top w:val="single" w:sz="4" w:space="0" w:color="auto"/>
              <w:left w:val="nil"/>
              <w:bottom w:val="single" w:sz="4" w:space="0" w:color="auto"/>
              <w:right w:val="single" w:sz="4" w:space="0" w:color="auto"/>
            </w:tcBorders>
            <w:noWrap/>
            <w:vAlign w:val="center"/>
            <w:hideMark/>
          </w:tcPr>
          <w:p w14:paraId="1893455B"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Porcentual</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14:paraId="64D87552"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15%</w:t>
            </w:r>
          </w:p>
        </w:tc>
        <w:tc>
          <w:tcPr>
            <w:tcW w:w="1559" w:type="dxa"/>
            <w:tcBorders>
              <w:top w:val="single" w:sz="4" w:space="0" w:color="auto"/>
              <w:left w:val="nil"/>
              <w:bottom w:val="single" w:sz="4" w:space="0" w:color="auto"/>
              <w:right w:val="single" w:sz="4" w:space="0" w:color="auto"/>
            </w:tcBorders>
            <w:shd w:val="clear" w:color="auto" w:fill="FFFFFF"/>
            <w:vAlign w:val="center"/>
            <w:hideMark/>
          </w:tcPr>
          <w:p w14:paraId="5F19ACA5"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11.25%</w:t>
            </w:r>
          </w:p>
        </w:tc>
      </w:tr>
    </w:tbl>
    <w:p w14:paraId="000EEE97" w14:textId="77777777" w:rsidR="007968EC" w:rsidRDefault="007968EC" w:rsidP="007968EC">
      <w:pPr>
        <w:autoSpaceDE w:val="0"/>
        <w:autoSpaceDN w:val="0"/>
        <w:rPr>
          <w:rFonts w:ascii="Arial Narrow" w:eastAsia="Calibri" w:hAnsi="Arial Narrow"/>
          <w:b/>
          <w:color w:val="000000"/>
          <w:lang w:eastAsia="en-US"/>
        </w:rPr>
      </w:pPr>
    </w:p>
    <w:p w14:paraId="57E3C071" w14:textId="77777777" w:rsidR="007968EC" w:rsidRDefault="007968EC" w:rsidP="007968EC">
      <w:pPr>
        <w:autoSpaceDE w:val="0"/>
        <w:autoSpaceDN w:val="0"/>
        <w:rPr>
          <w:rFonts w:ascii="Arial Narrow" w:eastAsia="Calibri" w:hAnsi="Arial Narrow"/>
          <w:b/>
          <w:color w:val="000000"/>
          <w:lang w:eastAsia="en-US"/>
        </w:rPr>
      </w:pPr>
    </w:p>
    <w:p w14:paraId="575A819F" w14:textId="77777777" w:rsidR="007968EC" w:rsidRDefault="007968EC" w:rsidP="00DA7472">
      <w:pPr>
        <w:numPr>
          <w:ilvl w:val="0"/>
          <w:numId w:val="366"/>
        </w:numPr>
        <w:autoSpaceDE w:val="0"/>
        <w:autoSpaceDN w:val="0"/>
        <w:spacing w:after="160" w:line="256" w:lineRule="auto"/>
        <w:ind w:left="426" w:hanging="426"/>
        <w:contextualSpacing/>
        <w:jc w:val="both"/>
        <w:rPr>
          <w:rFonts w:ascii="Arial Narrow" w:eastAsia="Calibri" w:hAnsi="Arial Narrow"/>
          <w:color w:val="000000"/>
          <w:u w:val="single"/>
          <w:lang w:eastAsia="en-US"/>
        </w:rPr>
      </w:pPr>
      <w:r>
        <w:rPr>
          <w:rFonts w:ascii="Arial Narrow" w:eastAsia="Calibri" w:hAnsi="Arial Narrow"/>
          <w:color w:val="000000"/>
          <w:u w:val="single"/>
          <w:lang w:eastAsia="en-US"/>
        </w:rPr>
        <w:t xml:space="preserve">Contrato Mini de Futuro sobre Electricidad Mensual: </w:t>
      </w:r>
    </w:p>
    <w:p w14:paraId="462B9EAE" w14:textId="77777777" w:rsidR="007968EC" w:rsidRDefault="007968EC" w:rsidP="007968EC">
      <w:pPr>
        <w:autoSpaceDE w:val="0"/>
        <w:autoSpaceDN w:val="0"/>
        <w:rPr>
          <w:rFonts w:ascii="Arial Narrow" w:eastAsia="Calibri" w:hAnsi="Arial Narrow"/>
          <w:b/>
          <w:bCs/>
          <w:color w:val="000000"/>
          <w:lang w:eastAsia="en-US"/>
        </w:rPr>
      </w:pPr>
    </w:p>
    <w:p w14:paraId="127364F6" w14:textId="77777777" w:rsidR="007968EC" w:rsidRDefault="007968EC" w:rsidP="007968EC">
      <w:pPr>
        <w:autoSpaceDE w:val="0"/>
        <w:autoSpaceDN w:val="0"/>
        <w:jc w:val="both"/>
        <w:rPr>
          <w:rFonts w:ascii="Arial Narrow" w:eastAsia="Calibri" w:hAnsi="Arial Narrow"/>
          <w:color w:val="000000"/>
          <w:lang w:eastAsia="en-US"/>
        </w:rPr>
      </w:pPr>
      <w:r>
        <w:rPr>
          <w:rFonts w:ascii="Arial Narrow" w:eastAsia="Calibri" w:hAnsi="Arial Narrow"/>
          <w:color w:val="000000"/>
          <w:lang w:eastAsia="en-US"/>
        </w:rPr>
        <w:t>Para el Instrumento Contrato Mini de Futuro sobre Electricidad Mensual se tienen los siguientes parámetros, de conformidad con los veinticuatro (24) vencimientos disponibles en el sistema:</w:t>
      </w:r>
    </w:p>
    <w:p w14:paraId="6FF4EC7C" w14:textId="77777777" w:rsidR="007968EC" w:rsidRDefault="007968EC" w:rsidP="007968EC">
      <w:pPr>
        <w:autoSpaceDE w:val="0"/>
        <w:autoSpaceDN w:val="0"/>
        <w:jc w:val="both"/>
        <w:rPr>
          <w:rFonts w:ascii="Arial Narrow" w:eastAsia="Calibri" w:hAnsi="Arial Narrow"/>
          <w:color w:val="000000"/>
          <w:lang w:eastAsia="en-US"/>
        </w:rPr>
      </w:pPr>
    </w:p>
    <w:tbl>
      <w:tblPr>
        <w:tblW w:w="9420" w:type="dxa"/>
        <w:jc w:val="center"/>
        <w:tblLayout w:type="fixed"/>
        <w:tblCellMar>
          <w:left w:w="70" w:type="dxa"/>
          <w:right w:w="70" w:type="dxa"/>
        </w:tblCellMar>
        <w:tblLook w:val="04A0" w:firstRow="1" w:lastRow="0" w:firstColumn="1" w:lastColumn="0" w:noHBand="0" w:noVBand="1"/>
      </w:tblPr>
      <w:tblGrid>
        <w:gridCol w:w="1346"/>
        <w:gridCol w:w="1417"/>
        <w:gridCol w:w="1274"/>
        <w:gridCol w:w="1133"/>
        <w:gridCol w:w="1417"/>
        <w:gridCol w:w="1275"/>
        <w:gridCol w:w="1558"/>
      </w:tblGrid>
      <w:tr w:rsidR="007968EC" w14:paraId="311A0DE2" w14:textId="77777777" w:rsidTr="007968EC">
        <w:trPr>
          <w:trHeight w:val="517"/>
          <w:jc w:val="center"/>
        </w:trPr>
        <w:tc>
          <w:tcPr>
            <w:tcW w:w="13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2136F4"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Vencimientos</w:t>
            </w:r>
          </w:p>
          <w:p w14:paraId="6F45E350"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 xml:space="preserve">Contrato Mini de Futuro sobre </w:t>
            </w:r>
            <w:r>
              <w:rPr>
                <w:rFonts w:ascii="Arial Narrow" w:eastAsia="Calibri" w:hAnsi="Arial Narrow"/>
                <w:color w:val="000000"/>
                <w:lang w:eastAsia="en-US"/>
              </w:rPr>
              <w:lastRenderedPageBreak/>
              <w:t>Electricidad Mensual</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2E6880"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lastRenderedPageBreak/>
              <w:t>Multiplicador del contrato</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6BDAD3"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Nominal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B6D92D" w14:textId="77777777" w:rsidR="007968EC" w:rsidRDefault="007968EC" w:rsidP="007968EC">
            <w:pPr>
              <w:spacing w:line="256" w:lineRule="auto"/>
              <w:jc w:val="center"/>
              <w:rPr>
                <w:rFonts w:ascii="Arial Narrow" w:eastAsia="Calibri" w:hAnsi="Arial Narrow"/>
                <w:b/>
                <w:bCs/>
                <w:color w:val="000000"/>
                <w:lang w:eastAsia="en-US"/>
              </w:rPr>
            </w:pPr>
            <w:proofErr w:type="spellStart"/>
            <w:r>
              <w:rPr>
                <w:rFonts w:ascii="Arial Narrow" w:eastAsia="Calibri" w:hAnsi="Arial Narrow"/>
                <w:color w:val="000000"/>
                <w:lang w:eastAsia="en-US"/>
              </w:rPr>
              <w:t>Nº</w:t>
            </w:r>
            <w:proofErr w:type="spellEnd"/>
            <w:r>
              <w:rPr>
                <w:rFonts w:ascii="Arial Narrow" w:eastAsia="Calibri" w:hAnsi="Arial Narrow"/>
                <w:color w:val="000000"/>
                <w:lang w:eastAsia="en-US"/>
              </w:rPr>
              <w:t xml:space="preserve"> de Escenarios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B64506"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 xml:space="preserve">Tipo de </w:t>
            </w:r>
            <w:r>
              <w:rPr>
                <w:rFonts w:ascii="Arial Narrow" w:eastAsia="Calibri" w:hAnsi="Arial Narrow"/>
                <w:color w:val="000000"/>
                <w:lang w:eastAsia="en-US"/>
              </w:rPr>
              <w:br/>
              <w:t>Fluctuación</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82E16E"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Fluctuación</w:t>
            </w:r>
            <w:r>
              <w:rPr>
                <w:rFonts w:ascii="Arial Narrow" w:eastAsia="Calibri" w:hAnsi="Arial Narrow"/>
                <w:color w:val="000000"/>
                <w:lang w:eastAsia="en-US"/>
              </w:rPr>
              <w:br/>
              <w:t>Total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0F0251"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Fluctuación para</w:t>
            </w:r>
          </w:p>
          <w:p w14:paraId="30D8B099"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llamados a</w:t>
            </w:r>
          </w:p>
          <w:p w14:paraId="03FBA8E4"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Garantías</w:t>
            </w:r>
          </w:p>
          <w:p w14:paraId="688AD4FE"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lastRenderedPageBreak/>
              <w:t>Extraordinarias</w:t>
            </w:r>
          </w:p>
        </w:tc>
      </w:tr>
      <w:tr w:rsidR="007968EC" w14:paraId="553676D0" w14:textId="77777777" w:rsidTr="007968EC">
        <w:trPr>
          <w:trHeight w:val="70"/>
          <w:jc w:val="center"/>
        </w:trPr>
        <w:tc>
          <w:tcPr>
            <w:tcW w:w="13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93695F"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lastRenderedPageBreak/>
              <w:t>1 al 4</w:t>
            </w:r>
          </w:p>
        </w:tc>
        <w:tc>
          <w:tcPr>
            <w:tcW w:w="1418" w:type="dxa"/>
            <w:tcBorders>
              <w:top w:val="single" w:sz="4" w:space="0" w:color="auto"/>
              <w:left w:val="nil"/>
              <w:bottom w:val="single" w:sz="4" w:space="0" w:color="auto"/>
              <w:right w:val="single" w:sz="4" w:space="0" w:color="auto"/>
            </w:tcBorders>
            <w:noWrap/>
            <w:vAlign w:val="center"/>
            <w:hideMark/>
          </w:tcPr>
          <w:p w14:paraId="653E4C48"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10.000</w:t>
            </w:r>
          </w:p>
        </w:tc>
        <w:tc>
          <w:tcPr>
            <w:tcW w:w="1275" w:type="dxa"/>
            <w:tcBorders>
              <w:top w:val="single" w:sz="4" w:space="0" w:color="auto"/>
              <w:left w:val="nil"/>
              <w:bottom w:val="single" w:sz="4" w:space="0" w:color="auto"/>
              <w:right w:val="single" w:sz="4" w:space="0" w:color="auto"/>
            </w:tcBorders>
            <w:noWrap/>
            <w:vAlign w:val="center"/>
            <w:hideMark/>
          </w:tcPr>
          <w:p w14:paraId="22016024"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10.000 kWh</w:t>
            </w:r>
          </w:p>
        </w:tc>
        <w:tc>
          <w:tcPr>
            <w:tcW w:w="1134" w:type="dxa"/>
            <w:tcBorders>
              <w:top w:val="single" w:sz="4" w:space="0" w:color="auto"/>
              <w:left w:val="nil"/>
              <w:bottom w:val="single" w:sz="4" w:space="0" w:color="auto"/>
              <w:right w:val="single" w:sz="4" w:space="0" w:color="auto"/>
            </w:tcBorders>
            <w:noWrap/>
            <w:vAlign w:val="center"/>
            <w:hideMark/>
          </w:tcPr>
          <w:p w14:paraId="29D213D4" w14:textId="77777777" w:rsidR="007968EC" w:rsidRDefault="007968EC" w:rsidP="007968EC">
            <w:pPr>
              <w:spacing w:line="256" w:lineRule="auto"/>
              <w:jc w:val="center"/>
              <w:rPr>
                <w:rFonts w:ascii="Arial Narrow" w:eastAsia="Calibri" w:hAnsi="Arial Narrow"/>
                <w:b/>
                <w:color w:val="000000"/>
                <w:highlight w:val="yellow"/>
                <w:lang w:eastAsia="en-US"/>
              </w:rPr>
            </w:pPr>
            <w:r>
              <w:rPr>
                <w:rFonts w:ascii="Arial Narrow" w:eastAsia="Calibri" w:hAnsi="Arial Narrow"/>
                <w:color w:val="000000"/>
                <w:lang w:eastAsia="en-US"/>
              </w:rPr>
              <w:t>11</w:t>
            </w:r>
          </w:p>
        </w:tc>
        <w:tc>
          <w:tcPr>
            <w:tcW w:w="1418" w:type="dxa"/>
            <w:tcBorders>
              <w:top w:val="single" w:sz="4" w:space="0" w:color="auto"/>
              <w:left w:val="nil"/>
              <w:bottom w:val="single" w:sz="4" w:space="0" w:color="auto"/>
              <w:right w:val="single" w:sz="4" w:space="0" w:color="auto"/>
            </w:tcBorders>
            <w:noWrap/>
            <w:vAlign w:val="center"/>
            <w:hideMark/>
          </w:tcPr>
          <w:p w14:paraId="7B4F822E"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Porcentual</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14:paraId="34421A92"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24%</w:t>
            </w:r>
          </w:p>
        </w:tc>
        <w:tc>
          <w:tcPr>
            <w:tcW w:w="1559" w:type="dxa"/>
            <w:tcBorders>
              <w:top w:val="single" w:sz="4" w:space="0" w:color="auto"/>
              <w:left w:val="nil"/>
              <w:bottom w:val="single" w:sz="4" w:space="0" w:color="auto"/>
              <w:right w:val="single" w:sz="4" w:space="0" w:color="auto"/>
            </w:tcBorders>
            <w:shd w:val="clear" w:color="auto" w:fill="FFFFFF"/>
            <w:vAlign w:val="center"/>
            <w:hideMark/>
          </w:tcPr>
          <w:p w14:paraId="67021041"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18.00%</w:t>
            </w:r>
          </w:p>
        </w:tc>
      </w:tr>
      <w:tr w:rsidR="007968EC" w14:paraId="608D02C4" w14:textId="77777777" w:rsidTr="007968EC">
        <w:trPr>
          <w:trHeight w:val="70"/>
          <w:jc w:val="center"/>
        </w:trPr>
        <w:tc>
          <w:tcPr>
            <w:tcW w:w="13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78E44D"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5 al 8</w:t>
            </w:r>
          </w:p>
        </w:tc>
        <w:tc>
          <w:tcPr>
            <w:tcW w:w="1418" w:type="dxa"/>
            <w:tcBorders>
              <w:top w:val="single" w:sz="4" w:space="0" w:color="auto"/>
              <w:left w:val="nil"/>
              <w:bottom w:val="single" w:sz="4" w:space="0" w:color="auto"/>
              <w:right w:val="single" w:sz="4" w:space="0" w:color="auto"/>
            </w:tcBorders>
            <w:noWrap/>
            <w:vAlign w:val="center"/>
            <w:hideMark/>
          </w:tcPr>
          <w:p w14:paraId="29DB368A"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10.000</w:t>
            </w:r>
          </w:p>
        </w:tc>
        <w:tc>
          <w:tcPr>
            <w:tcW w:w="1275" w:type="dxa"/>
            <w:tcBorders>
              <w:top w:val="single" w:sz="4" w:space="0" w:color="auto"/>
              <w:left w:val="nil"/>
              <w:bottom w:val="single" w:sz="4" w:space="0" w:color="auto"/>
              <w:right w:val="single" w:sz="4" w:space="0" w:color="auto"/>
            </w:tcBorders>
            <w:noWrap/>
            <w:vAlign w:val="center"/>
            <w:hideMark/>
          </w:tcPr>
          <w:p w14:paraId="59C81A6E"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10.000 kWh</w:t>
            </w:r>
          </w:p>
        </w:tc>
        <w:tc>
          <w:tcPr>
            <w:tcW w:w="1134" w:type="dxa"/>
            <w:tcBorders>
              <w:top w:val="single" w:sz="4" w:space="0" w:color="auto"/>
              <w:left w:val="nil"/>
              <w:bottom w:val="single" w:sz="4" w:space="0" w:color="auto"/>
              <w:right w:val="single" w:sz="4" w:space="0" w:color="auto"/>
            </w:tcBorders>
            <w:noWrap/>
            <w:vAlign w:val="center"/>
            <w:hideMark/>
          </w:tcPr>
          <w:p w14:paraId="6CAAE70B" w14:textId="77777777" w:rsidR="007968EC" w:rsidRDefault="007968EC" w:rsidP="007968EC">
            <w:pPr>
              <w:spacing w:line="256" w:lineRule="auto"/>
              <w:jc w:val="center"/>
              <w:rPr>
                <w:rFonts w:ascii="Arial Narrow" w:eastAsia="Calibri" w:hAnsi="Arial Narrow"/>
                <w:b/>
                <w:color w:val="000000"/>
                <w:highlight w:val="yellow"/>
                <w:lang w:eastAsia="en-US"/>
              </w:rPr>
            </w:pPr>
            <w:r>
              <w:rPr>
                <w:rFonts w:ascii="Arial Narrow" w:eastAsia="Calibri" w:hAnsi="Arial Narrow"/>
                <w:color w:val="000000"/>
                <w:lang w:eastAsia="en-US"/>
              </w:rPr>
              <w:t>11</w:t>
            </w:r>
          </w:p>
        </w:tc>
        <w:tc>
          <w:tcPr>
            <w:tcW w:w="1418" w:type="dxa"/>
            <w:tcBorders>
              <w:top w:val="single" w:sz="4" w:space="0" w:color="auto"/>
              <w:left w:val="nil"/>
              <w:bottom w:val="single" w:sz="4" w:space="0" w:color="auto"/>
              <w:right w:val="single" w:sz="4" w:space="0" w:color="auto"/>
            </w:tcBorders>
            <w:noWrap/>
            <w:vAlign w:val="center"/>
            <w:hideMark/>
          </w:tcPr>
          <w:p w14:paraId="736E7F36"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Porcentual</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14:paraId="7113424F"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17%</w:t>
            </w:r>
          </w:p>
        </w:tc>
        <w:tc>
          <w:tcPr>
            <w:tcW w:w="1559" w:type="dxa"/>
            <w:tcBorders>
              <w:top w:val="single" w:sz="4" w:space="0" w:color="auto"/>
              <w:left w:val="nil"/>
              <w:bottom w:val="single" w:sz="4" w:space="0" w:color="auto"/>
              <w:right w:val="single" w:sz="4" w:space="0" w:color="auto"/>
            </w:tcBorders>
            <w:shd w:val="clear" w:color="auto" w:fill="FFFFFF"/>
            <w:vAlign w:val="center"/>
            <w:hideMark/>
          </w:tcPr>
          <w:p w14:paraId="0AE3CF1B"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12.75%</w:t>
            </w:r>
          </w:p>
        </w:tc>
      </w:tr>
      <w:tr w:rsidR="007968EC" w14:paraId="155337DC" w14:textId="77777777" w:rsidTr="007968EC">
        <w:trPr>
          <w:trHeight w:val="70"/>
          <w:jc w:val="center"/>
        </w:trPr>
        <w:tc>
          <w:tcPr>
            <w:tcW w:w="13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B00FBE"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9 a 18</w:t>
            </w:r>
          </w:p>
        </w:tc>
        <w:tc>
          <w:tcPr>
            <w:tcW w:w="1418" w:type="dxa"/>
            <w:tcBorders>
              <w:top w:val="single" w:sz="4" w:space="0" w:color="auto"/>
              <w:left w:val="nil"/>
              <w:bottom w:val="single" w:sz="4" w:space="0" w:color="auto"/>
              <w:right w:val="single" w:sz="4" w:space="0" w:color="auto"/>
            </w:tcBorders>
            <w:noWrap/>
            <w:vAlign w:val="center"/>
            <w:hideMark/>
          </w:tcPr>
          <w:p w14:paraId="2958AD23"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10.000</w:t>
            </w:r>
          </w:p>
        </w:tc>
        <w:tc>
          <w:tcPr>
            <w:tcW w:w="1275" w:type="dxa"/>
            <w:tcBorders>
              <w:top w:val="single" w:sz="4" w:space="0" w:color="auto"/>
              <w:left w:val="nil"/>
              <w:bottom w:val="single" w:sz="4" w:space="0" w:color="auto"/>
              <w:right w:val="single" w:sz="4" w:space="0" w:color="auto"/>
            </w:tcBorders>
            <w:noWrap/>
            <w:vAlign w:val="center"/>
            <w:hideMark/>
          </w:tcPr>
          <w:p w14:paraId="49F6EBA2"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10.000 kWh</w:t>
            </w:r>
          </w:p>
        </w:tc>
        <w:tc>
          <w:tcPr>
            <w:tcW w:w="1134" w:type="dxa"/>
            <w:tcBorders>
              <w:top w:val="single" w:sz="4" w:space="0" w:color="auto"/>
              <w:left w:val="nil"/>
              <w:bottom w:val="single" w:sz="4" w:space="0" w:color="auto"/>
              <w:right w:val="single" w:sz="4" w:space="0" w:color="auto"/>
            </w:tcBorders>
            <w:noWrap/>
            <w:vAlign w:val="center"/>
            <w:hideMark/>
          </w:tcPr>
          <w:p w14:paraId="20BA907A" w14:textId="77777777" w:rsidR="007968EC" w:rsidRDefault="007968EC" w:rsidP="007968EC">
            <w:pPr>
              <w:spacing w:line="256" w:lineRule="auto"/>
              <w:jc w:val="center"/>
              <w:rPr>
                <w:rFonts w:ascii="Arial Narrow" w:eastAsia="Calibri" w:hAnsi="Arial Narrow"/>
                <w:b/>
                <w:color w:val="000000"/>
                <w:highlight w:val="yellow"/>
                <w:lang w:eastAsia="en-US"/>
              </w:rPr>
            </w:pPr>
            <w:r>
              <w:rPr>
                <w:rFonts w:ascii="Arial Narrow" w:eastAsia="Calibri" w:hAnsi="Arial Narrow"/>
                <w:color w:val="000000"/>
                <w:lang w:eastAsia="en-US"/>
              </w:rPr>
              <w:t>11</w:t>
            </w:r>
          </w:p>
        </w:tc>
        <w:tc>
          <w:tcPr>
            <w:tcW w:w="1418" w:type="dxa"/>
            <w:tcBorders>
              <w:top w:val="single" w:sz="4" w:space="0" w:color="auto"/>
              <w:left w:val="nil"/>
              <w:bottom w:val="single" w:sz="4" w:space="0" w:color="auto"/>
              <w:right w:val="single" w:sz="4" w:space="0" w:color="auto"/>
            </w:tcBorders>
            <w:noWrap/>
            <w:vAlign w:val="center"/>
            <w:hideMark/>
          </w:tcPr>
          <w:p w14:paraId="30455E01"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Porcentual</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14:paraId="7034235A"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16%</w:t>
            </w:r>
          </w:p>
        </w:tc>
        <w:tc>
          <w:tcPr>
            <w:tcW w:w="1559" w:type="dxa"/>
            <w:tcBorders>
              <w:top w:val="single" w:sz="4" w:space="0" w:color="auto"/>
              <w:left w:val="nil"/>
              <w:bottom w:val="single" w:sz="4" w:space="0" w:color="auto"/>
              <w:right w:val="single" w:sz="4" w:space="0" w:color="auto"/>
            </w:tcBorders>
            <w:shd w:val="clear" w:color="auto" w:fill="FFFFFF"/>
            <w:vAlign w:val="center"/>
            <w:hideMark/>
          </w:tcPr>
          <w:p w14:paraId="1B3D2F7B"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12.00%</w:t>
            </w:r>
          </w:p>
        </w:tc>
      </w:tr>
      <w:tr w:rsidR="007968EC" w14:paraId="6EDD2BF3" w14:textId="77777777" w:rsidTr="007968EC">
        <w:trPr>
          <w:trHeight w:val="70"/>
          <w:jc w:val="center"/>
        </w:trPr>
        <w:tc>
          <w:tcPr>
            <w:tcW w:w="13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92B2E9"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19 al 24</w:t>
            </w:r>
          </w:p>
        </w:tc>
        <w:tc>
          <w:tcPr>
            <w:tcW w:w="1418" w:type="dxa"/>
            <w:tcBorders>
              <w:top w:val="single" w:sz="4" w:space="0" w:color="auto"/>
              <w:left w:val="nil"/>
              <w:bottom w:val="single" w:sz="4" w:space="0" w:color="auto"/>
              <w:right w:val="single" w:sz="4" w:space="0" w:color="auto"/>
            </w:tcBorders>
            <w:noWrap/>
            <w:vAlign w:val="center"/>
            <w:hideMark/>
          </w:tcPr>
          <w:p w14:paraId="7AE67320"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10.000</w:t>
            </w:r>
          </w:p>
        </w:tc>
        <w:tc>
          <w:tcPr>
            <w:tcW w:w="1275" w:type="dxa"/>
            <w:tcBorders>
              <w:top w:val="single" w:sz="4" w:space="0" w:color="auto"/>
              <w:left w:val="nil"/>
              <w:bottom w:val="single" w:sz="4" w:space="0" w:color="auto"/>
              <w:right w:val="single" w:sz="4" w:space="0" w:color="auto"/>
            </w:tcBorders>
            <w:noWrap/>
            <w:vAlign w:val="center"/>
            <w:hideMark/>
          </w:tcPr>
          <w:p w14:paraId="75DB94B3"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10.000 kWh</w:t>
            </w:r>
          </w:p>
        </w:tc>
        <w:tc>
          <w:tcPr>
            <w:tcW w:w="1134" w:type="dxa"/>
            <w:tcBorders>
              <w:top w:val="single" w:sz="4" w:space="0" w:color="auto"/>
              <w:left w:val="nil"/>
              <w:bottom w:val="single" w:sz="4" w:space="0" w:color="auto"/>
              <w:right w:val="single" w:sz="4" w:space="0" w:color="auto"/>
            </w:tcBorders>
            <w:noWrap/>
            <w:vAlign w:val="center"/>
            <w:hideMark/>
          </w:tcPr>
          <w:p w14:paraId="03E47D75"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11</w:t>
            </w:r>
          </w:p>
        </w:tc>
        <w:tc>
          <w:tcPr>
            <w:tcW w:w="1418" w:type="dxa"/>
            <w:tcBorders>
              <w:top w:val="single" w:sz="4" w:space="0" w:color="auto"/>
              <w:left w:val="nil"/>
              <w:bottom w:val="single" w:sz="4" w:space="0" w:color="auto"/>
              <w:right w:val="single" w:sz="4" w:space="0" w:color="auto"/>
            </w:tcBorders>
            <w:noWrap/>
            <w:vAlign w:val="center"/>
            <w:hideMark/>
          </w:tcPr>
          <w:p w14:paraId="6FADB0AA"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Porcentual</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14:paraId="755F6EAD"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15%</w:t>
            </w:r>
          </w:p>
        </w:tc>
        <w:tc>
          <w:tcPr>
            <w:tcW w:w="1559" w:type="dxa"/>
            <w:tcBorders>
              <w:top w:val="single" w:sz="4" w:space="0" w:color="auto"/>
              <w:left w:val="nil"/>
              <w:bottom w:val="single" w:sz="4" w:space="0" w:color="auto"/>
              <w:right w:val="single" w:sz="4" w:space="0" w:color="auto"/>
            </w:tcBorders>
            <w:shd w:val="clear" w:color="auto" w:fill="FFFFFF"/>
            <w:vAlign w:val="center"/>
            <w:hideMark/>
          </w:tcPr>
          <w:p w14:paraId="6925EC0A"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11.25%</w:t>
            </w:r>
          </w:p>
        </w:tc>
      </w:tr>
    </w:tbl>
    <w:p w14:paraId="35EBEDD5" w14:textId="77777777" w:rsidR="007968EC" w:rsidRDefault="007968EC" w:rsidP="007968EC">
      <w:pPr>
        <w:rPr>
          <w:rFonts w:ascii="Arial Narrow" w:eastAsia="Calibri" w:hAnsi="Arial Narrow"/>
          <w:b/>
          <w:color w:val="000000"/>
          <w:lang w:eastAsia="en-US"/>
        </w:rPr>
      </w:pPr>
    </w:p>
    <w:p w14:paraId="370FD53A" w14:textId="77777777" w:rsidR="007968EC" w:rsidRDefault="007968EC" w:rsidP="007968EC">
      <w:pPr>
        <w:tabs>
          <w:tab w:val="left" w:pos="1683"/>
        </w:tabs>
        <w:autoSpaceDE w:val="0"/>
        <w:autoSpaceDN w:val="0"/>
        <w:rPr>
          <w:rFonts w:ascii="Arial Narrow" w:eastAsia="Calibri" w:hAnsi="Arial Narrow"/>
          <w:b/>
          <w:bCs/>
          <w:color w:val="000000"/>
          <w:lang w:eastAsia="en-US"/>
        </w:rPr>
      </w:pPr>
      <w:r>
        <w:rPr>
          <w:rFonts w:ascii="Arial Narrow" w:eastAsia="Calibri" w:hAnsi="Arial Narrow"/>
          <w:b/>
          <w:bCs/>
          <w:color w:val="000000"/>
          <w:lang w:eastAsia="en-US"/>
        </w:rPr>
        <w:tab/>
      </w:r>
    </w:p>
    <w:p w14:paraId="7573EB88" w14:textId="77777777" w:rsidR="007968EC" w:rsidRDefault="007968EC" w:rsidP="00DA7472">
      <w:pPr>
        <w:numPr>
          <w:ilvl w:val="0"/>
          <w:numId w:val="366"/>
        </w:numPr>
        <w:autoSpaceDE w:val="0"/>
        <w:autoSpaceDN w:val="0"/>
        <w:spacing w:after="160" w:line="256" w:lineRule="auto"/>
        <w:ind w:left="426" w:hanging="426"/>
        <w:contextualSpacing/>
        <w:jc w:val="both"/>
        <w:rPr>
          <w:rFonts w:ascii="Arial Narrow" w:eastAsia="Calibri" w:hAnsi="Arial Narrow"/>
          <w:color w:val="000000"/>
          <w:u w:val="single"/>
          <w:lang w:eastAsia="en-US"/>
        </w:rPr>
      </w:pPr>
      <w:r>
        <w:rPr>
          <w:rFonts w:ascii="Arial Narrow" w:eastAsia="Calibri" w:hAnsi="Arial Narrow"/>
          <w:color w:val="000000"/>
          <w:u w:val="single"/>
          <w:lang w:eastAsia="en-US"/>
        </w:rPr>
        <w:t xml:space="preserve">Contrato de Futuro de Inflación: </w:t>
      </w:r>
    </w:p>
    <w:p w14:paraId="7B1FBBF6" w14:textId="77777777" w:rsidR="007968EC" w:rsidRDefault="007968EC" w:rsidP="007968EC">
      <w:pPr>
        <w:autoSpaceDE w:val="0"/>
        <w:autoSpaceDN w:val="0"/>
        <w:rPr>
          <w:rFonts w:ascii="Arial Narrow" w:eastAsia="Calibri" w:hAnsi="Arial Narrow"/>
          <w:b/>
          <w:bCs/>
          <w:color w:val="000000"/>
          <w:lang w:eastAsia="en-US"/>
        </w:rPr>
      </w:pPr>
    </w:p>
    <w:p w14:paraId="0B7ABA71" w14:textId="77777777" w:rsidR="007968EC" w:rsidRDefault="007968EC" w:rsidP="007968EC">
      <w:pPr>
        <w:jc w:val="both"/>
        <w:rPr>
          <w:rFonts w:ascii="Arial Narrow" w:eastAsia="Calibri" w:hAnsi="Arial Narrow"/>
          <w:b/>
          <w:bCs/>
          <w:color w:val="000000"/>
          <w:lang w:eastAsia="en-US"/>
        </w:rPr>
      </w:pPr>
      <w:r>
        <w:rPr>
          <w:rFonts w:ascii="Arial Narrow" w:eastAsia="Calibri" w:hAnsi="Arial Narrow"/>
          <w:color w:val="000000"/>
          <w:lang w:eastAsia="en-US"/>
        </w:rPr>
        <w:t>Para el Instrumento Contrato de Futuro de Inflación, se tiene los siguientes parámetros:</w:t>
      </w:r>
    </w:p>
    <w:p w14:paraId="7E4F2E14" w14:textId="77777777" w:rsidR="007968EC" w:rsidRDefault="007968EC" w:rsidP="007968EC">
      <w:pPr>
        <w:rPr>
          <w:rFonts w:ascii="Arial Narrow" w:eastAsia="Calibri" w:hAnsi="Arial Narrow"/>
          <w:b/>
          <w:bCs/>
          <w:color w:val="000000"/>
          <w:lang w:eastAsia="en-US"/>
        </w:rPr>
      </w:pPr>
    </w:p>
    <w:tbl>
      <w:tblPr>
        <w:tblW w:w="7867" w:type="dxa"/>
        <w:jc w:val="center"/>
        <w:tblCellMar>
          <w:left w:w="70" w:type="dxa"/>
          <w:right w:w="70" w:type="dxa"/>
        </w:tblCellMar>
        <w:tblLook w:val="04A0" w:firstRow="1" w:lastRow="0" w:firstColumn="1" w:lastColumn="0" w:noHBand="0" w:noVBand="1"/>
      </w:tblPr>
      <w:tblGrid>
        <w:gridCol w:w="1346"/>
        <w:gridCol w:w="1418"/>
        <w:gridCol w:w="1275"/>
        <w:gridCol w:w="1134"/>
        <w:gridCol w:w="1418"/>
        <w:gridCol w:w="1276"/>
      </w:tblGrid>
      <w:tr w:rsidR="007968EC" w14:paraId="52E10E18" w14:textId="77777777" w:rsidTr="007968EC">
        <w:trPr>
          <w:trHeight w:val="856"/>
          <w:jc w:val="center"/>
        </w:trPr>
        <w:tc>
          <w:tcPr>
            <w:tcW w:w="1346" w:type="dxa"/>
            <w:tcBorders>
              <w:top w:val="nil"/>
              <w:left w:val="nil"/>
              <w:bottom w:val="nil"/>
              <w:right w:val="single" w:sz="4" w:space="0" w:color="auto"/>
            </w:tcBorders>
            <w:shd w:val="clear" w:color="auto" w:fill="FFFFFF"/>
            <w:noWrap/>
            <w:vAlign w:val="bottom"/>
          </w:tcPr>
          <w:p w14:paraId="3EA7BBD6" w14:textId="77777777" w:rsidR="007968EC" w:rsidRDefault="007968EC" w:rsidP="007968EC">
            <w:pPr>
              <w:spacing w:line="256" w:lineRule="auto"/>
              <w:jc w:val="center"/>
              <w:rPr>
                <w:rFonts w:ascii="Arial Narrow" w:eastAsia="Calibri" w:hAnsi="Arial Narrow"/>
                <w:b/>
                <w:bCs/>
                <w:color w:val="00000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DDE346"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Multiplicador del contrato</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64C8CD"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Nominal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78282D" w14:textId="77777777" w:rsidR="007968EC" w:rsidRDefault="007968EC" w:rsidP="007968EC">
            <w:pPr>
              <w:spacing w:line="256" w:lineRule="auto"/>
              <w:jc w:val="center"/>
              <w:rPr>
                <w:rFonts w:ascii="Arial Narrow" w:eastAsia="Calibri" w:hAnsi="Arial Narrow"/>
                <w:b/>
                <w:bCs/>
                <w:color w:val="000000"/>
                <w:lang w:eastAsia="en-US"/>
              </w:rPr>
            </w:pPr>
            <w:proofErr w:type="spellStart"/>
            <w:r>
              <w:rPr>
                <w:rFonts w:ascii="Arial Narrow" w:eastAsia="Calibri" w:hAnsi="Arial Narrow"/>
                <w:color w:val="000000"/>
                <w:lang w:eastAsia="en-US"/>
              </w:rPr>
              <w:t>Nº</w:t>
            </w:r>
            <w:proofErr w:type="spellEnd"/>
            <w:r>
              <w:rPr>
                <w:rFonts w:ascii="Arial Narrow" w:eastAsia="Calibri" w:hAnsi="Arial Narrow"/>
                <w:color w:val="000000"/>
                <w:lang w:eastAsia="en-US"/>
              </w:rPr>
              <w:t xml:space="preserve"> de Escenarios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AA4009"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 xml:space="preserve">Tipo de </w:t>
            </w:r>
            <w:r>
              <w:rPr>
                <w:rFonts w:ascii="Arial Narrow" w:eastAsia="Calibri" w:hAnsi="Arial Narrow"/>
                <w:color w:val="000000"/>
                <w:lang w:eastAsia="en-US"/>
              </w:rPr>
              <w:br/>
              <w:t>Fluctuación</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674C25"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Fluctuación</w:t>
            </w:r>
            <w:r>
              <w:rPr>
                <w:rFonts w:ascii="Arial Narrow" w:eastAsia="Calibri" w:hAnsi="Arial Narrow"/>
                <w:color w:val="000000"/>
                <w:lang w:eastAsia="en-US"/>
              </w:rPr>
              <w:br/>
              <w:t>Total</w:t>
            </w:r>
          </w:p>
        </w:tc>
      </w:tr>
      <w:tr w:rsidR="007968EC" w14:paraId="65430229" w14:textId="77777777" w:rsidTr="007968EC">
        <w:trPr>
          <w:trHeight w:val="70"/>
          <w:jc w:val="center"/>
        </w:trPr>
        <w:tc>
          <w:tcPr>
            <w:tcW w:w="13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E682B7"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Contrato de Futuro de Inflación</w:t>
            </w:r>
          </w:p>
        </w:tc>
        <w:tc>
          <w:tcPr>
            <w:tcW w:w="1418" w:type="dxa"/>
            <w:tcBorders>
              <w:top w:val="single" w:sz="4" w:space="0" w:color="auto"/>
              <w:left w:val="nil"/>
              <w:bottom w:val="single" w:sz="4" w:space="0" w:color="auto"/>
              <w:right w:val="single" w:sz="4" w:space="0" w:color="auto"/>
            </w:tcBorders>
            <w:noWrap/>
            <w:vAlign w:val="center"/>
            <w:hideMark/>
          </w:tcPr>
          <w:p w14:paraId="0C3171B6"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2.500.000</w:t>
            </w:r>
          </w:p>
        </w:tc>
        <w:tc>
          <w:tcPr>
            <w:tcW w:w="1275" w:type="dxa"/>
            <w:tcBorders>
              <w:top w:val="single" w:sz="4" w:space="0" w:color="auto"/>
              <w:left w:val="nil"/>
              <w:bottom w:val="single" w:sz="4" w:space="0" w:color="auto"/>
              <w:right w:val="single" w:sz="4" w:space="0" w:color="auto"/>
            </w:tcBorders>
            <w:noWrap/>
            <w:vAlign w:val="center"/>
            <w:hideMark/>
          </w:tcPr>
          <w:p w14:paraId="5FE414AE"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250.000.000</w:t>
            </w:r>
          </w:p>
        </w:tc>
        <w:tc>
          <w:tcPr>
            <w:tcW w:w="1134" w:type="dxa"/>
            <w:tcBorders>
              <w:top w:val="single" w:sz="4" w:space="0" w:color="auto"/>
              <w:left w:val="nil"/>
              <w:bottom w:val="single" w:sz="4" w:space="0" w:color="auto"/>
              <w:right w:val="single" w:sz="4" w:space="0" w:color="auto"/>
            </w:tcBorders>
            <w:noWrap/>
            <w:vAlign w:val="center"/>
            <w:hideMark/>
          </w:tcPr>
          <w:p w14:paraId="4BFA2E94"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11</w:t>
            </w:r>
          </w:p>
        </w:tc>
        <w:tc>
          <w:tcPr>
            <w:tcW w:w="1418" w:type="dxa"/>
            <w:tcBorders>
              <w:top w:val="single" w:sz="4" w:space="0" w:color="auto"/>
              <w:left w:val="nil"/>
              <w:bottom w:val="single" w:sz="4" w:space="0" w:color="auto"/>
              <w:right w:val="single" w:sz="4" w:space="0" w:color="auto"/>
            </w:tcBorders>
            <w:noWrap/>
            <w:vAlign w:val="center"/>
            <w:hideMark/>
          </w:tcPr>
          <w:p w14:paraId="57D9B5A9"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Porcentual</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14:paraId="561B02B0"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0.5%</w:t>
            </w:r>
          </w:p>
        </w:tc>
      </w:tr>
    </w:tbl>
    <w:p w14:paraId="56B6D222" w14:textId="77777777" w:rsidR="007968EC" w:rsidRDefault="007968EC" w:rsidP="007968EC">
      <w:pPr>
        <w:rPr>
          <w:rFonts w:ascii="Arial Narrow" w:eastAsia="Calibri" w:hAnsi="Arial Narrow"/>
          <w:b/>
          <w:bCs/>
          <w:color w:val="000000"/>
          <w:lang w:eastAsia="en-US"/>
        </w:rPr>
      </w:pPr>
    </w:p>
    <w:tbl>
      <w:tblPr>
        <w:tblW w:w="6746" w:type="dxa"/>
        <w:jc w:val="center"/>
        <w:tblCellMar>
          <w:left w:w="70" w:type="dxa"/>
          <w:right w:w="70" w:type="dxa"/>
        </w:tblCellMar>
        <w:tblLook w:val="04A0" w:firstRow="1" w:lastRow="0" w:firstColumn="1" w:lastColumn="0" w:noHBand="0" w:noVBand="1"/>
      </w:tblPr>
      <w:tblGrid>
        <w:gridCol w:w="2001"/>
        <w:gridCol w:w="1483"/>
        <w:gridCol w:w="1631"/>
        <w:gridCol w:w="1631"/>
      </w:tblGrid>
      <w:tr w:rsidR="007968EC" w14:paraId="39B155C3" w14:textId="77777777" w:rsidTr="007968EC">
        <w:trPr>
          <w:trHeight w:val="70"/>
          <w:jc w:val="center"/>
        </w:trPr>
        <w:tc>
          <w:tcPr>
            <w:tcW w:w="2001" w:type="dxa"/>
            <w:tcBorders>
              <w:top w:val="nil"/>
              <w:left w:val="nil"/>
              <w:bottom w:val="nil"/>
              <w:right w:val="single" w:sz="4" w:space="0" w:color="auto"/>
            </w:tcBorders>
            <w:shd w:val="clear" w:color="auto" w:fill="FFFFFF"/>
            <w:noWrap/>
            <w:vAlign w:val="bottom"/>
          </w:tcPr>
          <w:p w14:paraId="3EA84A21" w14:textId="77777777" w:rsidR="007968EC" w:rsidRDefault="007968EC" w:rsidP="007968EC">
            <w:pPr>
              <w:spacing w:line="256" w:lineRule="auto"/>
              <w:rPr>
                <w:rFonts w:ascii="Arial Narrow" w:eastAsia="Calibri" w:hAnsi="Arial Narrow"/>
                <w:b/>
                <w:bCs/>
                <w:color w:val="000000"/>
                <w:lang w:eastAsia="en-US"/>
              </w:rPr>
            </w:pPr>
          </w:p>
          <w:p w14:paraId="59309D6B" w14:textId="77777777" w:rsidR="007968EC" w:rsidRDefault="007968EC" w:rsidP="007968EC">
            <w:pPr>
              <w:spacing w:line="256" w:lineRule="auto"/>
              <w:rPr>
                <w:rFonts w:ascii="Arial Narrow" w:eastAsia="Calibri" w:hAnsi="Arial Narrow"/>
                <w:b/>
                <w:bCs/>
                <w:color w:val="000000"/>
                <w:lang w:eastAsia="en-US"/>
              </w:rPr>
            </w:pPr>
          </w:p>
          <w:p w14:paraId="3913EC03" w14:textId="77777777" w:rsidR="007968EC" w:rsidRDefault="007968EC" w:rsidP="007968EC">
            <w:pPr>
              <w:spacing w:line="256" w:lineRule="auto"/>
              <w:rPr>
                <w:rFonts w:ascii="Arial Narrow" w:eastAsia="Calibri" w:hAnsi="Arial Narrow"/>
                <w:b/>
                <w:bCs/>
                <w:color w:val="000000"/>
                <w:lang w:eastAsia="en-US"/>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51F645" w14:textId="77777777" w:rsidR="007968EC" w:rsidRDefault="007968EC" w:rsidP="007968EC">
            <w:pPr>
              <w:spacing w:line="256" w:lineRule="auto"/>
              <w:jc w:val="center"/>
              <w:rPr>
                <w:rFonts w:ascii="Arial Narrow" w:eastAsia="Calibri" w:hAnsi="Arial Narrow"/>
                <w:b/>
                <w:bCs/>
                <w:color w:val="000000"/>
                <w:lang w:val="pt-BR" w:eastAsia="en-US"/>
              </w:rPr>
            </w:pPr>
            <w:r>
              <w:rPr>
                <w:rFonts w:ascii="Arial Narrow" w:eastAsia="Calibri" w:hAnsi="Arial Narrow"/>
                <w:color w:val="000000"/>
                <w:lang w:val="pt-BR" w:eastAsia="en-US"/>
              </w:rPr>
              <w:t>Factor de cobertura por Time Spread</w:t>
            </w:r>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61A455"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 xml:space="preserve">Valor </w:t>
            </w:r>
            <w:r>
              <w:rPr>
                <w:rFonts w:ascii="Arial Narrow" w:eastAsia="Calibri" w:hAnsi="Arial Narrow"/>
                <w:color w:val="000000"/>
                <w:lang w:eastAsia="en-US"/>
              </w:rPr>
              <w:br/>
              <w:t>Mínimo por</w:t>
            </w:r>
            <w:r>
              <w:rPr>
                <w:rFonts w:ascii="Arial Narrow" w:eastAsia="Calibri" w:hAnsi="Arial Narrow"/>
                <w:color w:val="000000"/>
                <w:lang w:eastAsia="en-US"/>
              </w:rPr>
              <w:br/>
              <w:t>Spread</w:t>
            </w:r>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EA46F7"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Fluctuación para</w:t>
            </w:r>
            <w:r>
              <w:rPr>
                <w:rFonts w:ascii="Arial Narrow" w:eastAsia="Calibri" w:hAnsi="Arial Narrow"/>
                <w:color w:val="000000"/>
                <w:lang w:eastAsia="en-US"/>
              </w:rPr>
              <w:br/>
              <w:t xml:space="preserve">llamados a </w:t>
            </w:r>
            <w:r>
              <w:rPr>
                <w:rFonts w:ascii="Arial Narrow" w:eastAsia="Calibri" w:hAnsi="Arial Narrow"/>
                <w:color w:val="000000"/>
                <w:lang w:eastAsia="en-US"/>
              </w:rPr>
              <w:br/>
              <w:t>Garantías</w:t>
            </w:r>
            <w:r>
              <w:rPr>
                <w:rFonts w:ascii="Arial Narrow" w:eastAsia="Calibri" w:hAnsi="Arial Narrow"/>
                <w:color w:val="000000"/>
                <w:lang w:eastAsia="en-US"/>
              </w:rPr>
              <w:br/>
              <w:t>Extraordinarias</w:t>
            </w:r>
          </w:p>
        </w:tc>
      </w:tr>
      <w:tr w:rsidR="007968EC" w14:paraId="5F8DAE71" w14:textId="77777777" w:rsidTr="007968EC">
        <w:trPr>
          <w:trHeight w:val="61"/>
          <w:jc w:val="center"/>
        </w:trPr>
        <w:tc>
          <w:tcPr>
            <w:tcW w:w="200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33E01F" w14:textId="77777777" w:rsidR="007968EC" w:rsidRDefault="007968EC" w:rsidP="007968EC">
            <w:pPr>
              <w:spacing w:line="256" w:lineRule="auto"/>
              <w:rPr>
                <w:rFonts w:ascii="Arial Narrow" w:eastAsia="Calibri" w:hAnsi="Arial Narrow"/>
                <w:b/>
                <w:bCs/>
                <w:color w:val="000000"/>
                <w:lang w:eastAsia="en-US"/>
              </w:rPr>
            </w:pPr>
            <w:r>
              <w:rPr>
                <w:rFonts w:ascii="Arial Narrow" w:eastAsia="Calibri" w:hAnsi="Arial Narrow"/>
                <w:color w:val="000000"/>
                <w:lang w:eastAsia="en-US"/>
              </w:rPr>
              <w:t>Contrato de Futuro de Inflación</w:t>
            </w:r>
          </w:p>
        </w:tc>
        <w:tc>
          <w:tcPr>
            <w:tcW w:w="1483" w:type="dxa"/>
            <w:tcBorders>
              <w:top w:val="single" w:sz="4" w:space="0" w:color="auto"/>
              <w:left w:val="nil"/>
              <w:bottom w:val="single" w:sz="4" w:space="0" w:color="auto"/>
              <w:right w:val="single" w:sz="4" w:space="0" w:color="auto"/>
            </w:tcBorders>
            <w:shd w:val="clear" w:color="auto" w:fill="FFFFFF"/>
            <w:noWrap/>
            <w:vAlign w:val="center"/>
            <w:hideMark/>
          </w:tcPr>
          <w:p w14:paraId="5829EDA3"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1.2</w:t>
            </w:r>
          </w:p>
        </w:tc>
        <w:tc>
          <w:tcPr>
            <w:tcW w:w="1631" w:type="dxa"/>
            <w:tcBorders>
              <w:top w:val="single" w:sz="4" w:space="0" w:color="auto"/>
              <w:left w:val="nil"/>
              <w:bottom w:val="single" w:sz="4" w:space="0" w:color="auto"/>
              <w:right w:val="single" w:sz="4" w:space="0" w:color="auto"/>
            </w:tcBorders>
            <w:shd w:val="clear" w:color="auto" w:fill="FFFFFF"/>
            <w:noWrap/>
            <w:vAlign w:val="center"/>
            <w:hideMark/>
          </w:tcPr>
          <w:p w14:paraId="5B8E6107"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0.5%</w:t>
            </w:r>
          </w:p>
        </w:tc>
        <w:tc>
          <w:tcPr>
            <w:tcW w:w="1631" w:type="dxa"/>
            <w:tcBorders>
              <w:top w:val="single" w:sz="4" w:space="0" w:color="auto"/>
              <w:left w:val="nil"/>
              <w:bottom w:val="single" w:sz="4" w:space="0" w:color="auto"/>
              <w:right w:val="single" w:sz="4" w:space="0" w:color="auto"/>
            </w:tcBorders>
            <w:shd w:val="clear" w:color="auto" w:fill="FFFFFF"/>
            <w:noWrap/>
            <w:vAlign w:val="center"/>
            <w:hideMark/>
          </w:tcPr>
          <w:p w14:paraId="002D2915"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0.375%</w:t>
            </w:r>
          </w:p>
        </w:tc>
      </w:tr>
    </w:tbl>
    <w:p w14:paraId="596A1E83" w14:textId="77777777" w:rsidR="007968EC" w:rsidRDefault="007968EC" w:rsidP="007968EC">
      <w:pPr>
        <w:autoSpaceDE w:val="0"/>
        <w:autoSpaceDN w:val="0"/>
        <w:rPr>
          <w:rFonts w:ascii="Arial Narrow" w:eastAsia="Calibri" w:hAnsi="Arial Narrow"/>
          <w:b/>
          <w:bCs/>
          <w:color w:val="000000"/>
          <w:lang w:eastAsia="en-US"/>
        </w:rPr>
      </w:pPr>
    </w:p>
    <w:p w14:paraId="57215A4F" w14:textId="77777777" w:rsidR="007968EC" w:rsidRDefault="007968EC" w:rsidP="00DA7472">
      <w:pPr>
        <w:numPr>
          <w:ilvl w:val="0"/>
          <w:numId w:val="366"/>
        </w:numPr>
        <w:autoSpaceDE w:val="0"/>
        <w:autoSpaceDN w:val="0"/>
        <w:spacing w:after="160" w:line="256" w:lineRule="auto"/>
        <w:ind w:left="426" w:hanging="426"/>
        <w:contextualSpacing/>
        <w:jc w:val="both"/>
        <w:rPr>
          <w:rFonts w:ascii="Arial Narrow" w:eastAsia="Calibri" w:hAnsi="Arial Narrow"/>
          <w:color w:val="000000"/>
          <w:u w:val="single"/>
          <w:lang w:eastAsia="en-US"/>
        </w:rPr>
      </w:pPr>
      <w:r>
        <w:rPr>
          <w:rFonts w:ascii="Arial Narrow" w:eastAsia="Calibri" w:hAnsi="Arial Narrow"/>
          <w:color w:val="000000"/>
          <w:u w:val="single"/>
          <w:lang w:eastAsia="en-US"/>
        </w:rPr>
        <w:t xml:space="preserve">Futuro sobre Acciones del Índice COLCAP con Liquidación por Diferencias: </w:t>
      </w:r>
    </w:p>
    <w:p w14:paraId="359276EB" w14:textId="77777777" w:rsidR="007968EC" w:rsidRDefault="007968EC" w:rsidP="007968EC">
      <w:pPr>
        <w:autoSpaceDE w:val="0"/>
        <w:autoSpaceDN w:val="0"/>
        <w:rPr>
          <w:rFonts w:ascii="Arial Narrow" w:eastAsia="Calibri" w:hAnsi="Arial Narrow"/>
          <w:b/>
          <w:bCs/>
          <w:color w:val="000000"/>
          <w:lang w:eastAsia="en-US"/>
        </w:rPr>
      </w:pPr>
    </w:p>
    <w:p w14:paraId="4EE8F6A1" w14:textId="77777777" w:rsidR="007968EC" w:rsidRDefault="007968EC" w:rsidP="007968EC">
      <w:pPr>
        <w:jc w:val="both"/>
        <w:rPr>
          <w:rFonts w:ascii="Arial Narrow" w:eastAsia="Calibri" w:hAnsi="Arial Narrow" w:cs="Arial Narrow"/>
          <w:color w:val="000000"/>
          <w:lang w:eastAsia="en-US"/>
        </w:rPr>
      </w:pPr>
      <w:r>
        <w:rPr>
          <w:rFonts w:ascii="Arial Narrow" w:eastAsia="Calibri" w:hAnsi="Arial Narrow" w:cs="Arial Narrow"/>
          <w:color w:val="000000"/>
          <w:lang w:eastAsia="en-US"/>
        </w:rPr>
        <w:t>Para el Instrumento Contrato de Futuro sobre Acciones del Índice COLCAP</w:t>
      </w:r>
      <w:r>
        <w:rPr>
          <w:rFonts w:ascii="Arial Narrow" w:eastAsia="Calibri" w:hAnsi="Arial Narrow"/>
          <w:color w:val="000000"/>
          <w:lang w:eastAsia="en-US"/>
        </w:rPr>
        <w:t xml:space="preserve"> con Liquidación por Diferencias</w:t>
      </w:r>
      <w:r>
        <w:rPr>
          <w:rFonts w:ascii="Arial Narrow" w:eastAsia="Calibri" w:hAnsi="Arial Narrow" w:cs="Arial Narrow"/>
          <w:color w:val="000000"/>
          <w:lang w:eastAsia="en-US"/>
        </w:rPr>
        <w:t>, se tienen los siguientes parámetros:</w:t>
      </w:r>
    </w:p>
    <w:p w14:paraId="5A4A4F7C" w14:textId="77777777" w:rsidR="007968EC" w:rsidRDefault="007968EC" w:rsidP="007968EC">
      <w:pPr>
        <w:jc w:val="both"/>
        <w:rPr>
          <w:rFonts w:ascii="Arial Narrow" w:eastAsia="Calibri" w:hAnsi="Arial Narrow" w:cs="Arial Narrow"/>
          <w:color w:val="000000"/>
          <w:lang w:eastAsia="en-US"/>
        </w:rPr>
      </w:pPr>
    </w:p>
    <w:tbl>
      <w:tblPr>
        <w:tblW w:w="8025" w:type="dxa"/>
        <w:jc w:val="center"/>
        <w:tblLayout w:type="fixed"/>
        <w:tblCellMar>
          <w:left w:w="70" w:type="dxa"/>
          <w:right w:w="70" w:type="dxa"/>
        </w:tblCellMar>
        <w:tblLook w:val="04A0" w:firstRow="1" w:lastRow="0" w:firstColumn="1" w:lastColumn="0" w:noHBand="0" w:noVBand="1"/>
      </w:tblPr>
      <w:tblGrid>
        <w:gridCol w:w="2210"/>
        <w:gridCol w:w="1246"/>
        <w:gridCol w:w="969"/>
        <w:gridCol w:w="1108"/>
        <w:gridCol w:w="1246"/>
        <w:gridCol w:w="1246"/>
      </w:tblGrid>
      <w:tr w:rsidR="007968EC" w14:paraId="3EB27ABD" w14:textId="77777777" w:rsidTr="007968EC">
        <w:trPr>
          <w:trHeight w:val="621"/>
          <w:jc w:val="center"/>
        </w:trPr>
        <w:tc>
          <w:tcPr>
            <w:tcW w:w="2209" w:type="dxa"/>
            <w:tcBorders>
              <w:top w:val="single" w:sz="4" w:space="0" w:color="auto"/>
              <w:left w:val="single" w:sz="4" w:space="0" w:color="auto"/>
              <w:bottom w:val="nil"/>
              <w:right w:val="single" w:sz="4" w:space="0" w:color="auto"/>
            </w:tcBorders>
            <w:shd w:val="clear" w:color="auto" w:fill="FFFFFF"/>
            <w:noWrap/>
            <w:vAlign w:val="bottom"/>
            <w:hideMark/>
          </w:tcPr>
          <w:p w14:paraId="6FD82F72"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t>Contrato de Futuro sobre Acciones del Índice COLCAP con Liquidación por Diferencias</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A11BBA"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t>Multiplicador del contrato</w:t>
            </w:r>
          </w:p>
        </w:tc>
        <w:tc>
          <w:tcPr>
            <w:tcW w:w="9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B19D63"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t>Nominal</w:t>
            </w:r>
          </w:p>
        </w:tc>
        <w:tc>
          <w:tcPr>
            <w:tcW w:w="110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EFD19B" w14:textId="77777777" w:rsidR="007968EC" w:rsidRDefault="007968EC" w:rsidP="007968EC">
            <w:pPr>
              <w:spacing w:line="256" w:lineRule="auto"/>
              <w:jc w:val="center"/>
              <w:rPr>
                <w:rFonts w:ascii="Arial Narrow" w:eastAsia="Calibri" w:hAnsi="Arial Narrow" w:cstheme="minorBidi"/>
                <w:b/>
                <w:color w:val="000000"/>
                <w:lang w:eastAsia="en-US"/>
              </w:rPr>
            </w:pPr>
            <w:proofErr w:type="spellStart"/>
            <w:r>
              <w:rPr>
                <w:rFonts w:ascii="Arial Narrow" w:eastAsia="Calibri" w:hAnsi="Arial Narrow" w:cstheme="minorBidi"/>
                <w:color w:val="000000"/>
                <w:lang w:eastAsia="en-US"/>
              </w:rPr>
              <w:t>Nº</w:t>
            </w:r>
            <w:proofErr w:type="spellEnd"/>
            <w:r>
              <w:rPr>
                <w:rFonts w:ascii="Arial Narrow" w:eastAsia="Calibri" w:hAnsi="Arial Narrow" w:cstheme="minorBidi"/>
                <w:color w:val="000000"/>
                <w:lang w:eastAsia="en-US"/>
              </w:rPr>
              <w:t xml:space="preserve"> de Escenarios</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48FDB3"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t xml:space="preserve">Tipo de </w:t>
            </w:r>
            <w:r>
              <w:rPr>
                <w:rFonts w:ascii="Arial Narrow" w:eastAsia="Calibri" w:hAnsi="Arial Narrow" w:cstheme="minorBidi"/>
                <w:color w:val="000000"/>
                <w:lang w:eastAsia="en-US"/>
              </w:rPr>
              <w:br/>
              <w:t>Fluctuación</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39A66E"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t>Fluctuación</w:t>
            </w:r>
            <w:r>
              <w:rPr>
                <w:rFonts w:ascii="Arial Narrow" w:eastAsia="Calibri" w:hAnsi="Arial Narrow" w:cstheme="minorBidi"/>
                <w:color w:val="000000"/>
                <w:lang w:eastAsia="en-US"/>
              </w:rPr>
              <w:br/>
              <w:t>Total</w:t>
            </w:r>
          </w:p>
        </w:tc>
      </w:tr>
      <w:tr w:rsidR="007968EC" w14:paraId="79C7E478" w14:textId="77777777" w:rsidTr="007968EC">
        <w:trPr>
          <w:trHeight w:val="73"/>
          <w:jc w:val="center"/>
        </w:trPr>
        <w:tc>
          <w:tcPr>
            <w:tcW w:w="22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1B8804"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t>ÉXITO</w:t>
            </w:r>
          </w:p>
        </w:tc>
        <w:tc>
          <w:tcPr>
            <w:tcW w:w="1245" w:type="dxa"/>
            <w:vMerge w:val="restart"/>
            <w:tcBorders>
              <w:top w:val="single" w:sz="4" w:space="0" w:color="auto"/>
              <w:left w:val="nil"/>
              <w:bottom w:val="nil"/>
              <w:right w:val="single" w:sz="4" w:space="0" w:color="auto"/>
            </w:tcBorders>
            <w:noWrap/>
            <w:vAlign w:val="center"/>
            <w:hideMark/>
          </w:tcPr>
          <w:p w14:paraId="1B3DE423"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t>1000</w:t>
            </w:r>
          </w:p>
        </w:tc>
        <w:tc>
          <w:tcPr>
            <w:tcW w:w="968" w:type="dxa"/>
            <w:vMerge w:val="restart"/>
            <w:tcBorders>
              <w:top w:val="single" w:sz="4" w:space="0" w:color="auto"/>
              <w:left w:val="nil"/>
              <w:bottom w:val="nil"/>
              <w:right w:val="single" w:sz="4" w:space="0" w:color="auto"/>
            </w:tcBorders>
            <w:noWrap/>
            <w:vAlign w:val="center"/>
            <w:hideMark/>
          </w:tcPr>
          <w:p w14:paraId="3065CEA9"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t>1000</w:t>
            </w:r>
          </w:p>
        </w:tc>
        <w:tc>
          <w:tcPr>
            <w:tcW w:w="1107" w:type="dxa"/>
            <w:vMerge w:val="restart"/>
            <w:tcBorders>
              <w:top w:val="single" w:sz="4" w:space="0" w:color="auto"/>
              <w:left w:val="nil"/>
              <w:bottom w:val="nil"/>
              <w:right w:val="single" w:sz="4" w:space="0" w:color="auto"/>
            </w:tcBorders>
            <w:noWrap/>
            <w:vAlign w:val="center"/>
            <w:hideMark/>
          </w:tcPr>
          <w:p w14:paraId="4CB5E8DC"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t>11</w:t>
            </w:r>
          </w:p>
        </w:tc>
        <w:tc>
          <w:tcPr>
            <w:tcW w:w="1245" w:type="dxa"/>
            <w:vMerge w:val="restart"/>
            <w:tcBorders>
              <w:top w:val="single" w:sz="4" w:space="0" w:color="auto"/>
              <w:left w:val="nil"/>
              <w:bottom w:val="nil"/>
              <w:right w:val="single" w:sz="4" w:space="0" w:color="auto"/>
            </w:tcBorders>
            <w:noWrap/>
            <w:vAlign w:val="center"/>
            <w:hideMark/>
          </w:tcPr>
          <w:p w14:paraId="79B313FD"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t>Porcentual</w:t>
            </w:r>
          </w:p>
        </w:tc>
        <w:tc>
          <w:tcPr>
            <w:tcW w:w="1245" w:type="dxa"/>
            <w:tcBorders>
              <w:top w:val="single" w:sz="4" w:space="0" w:color="auto"/>
              <w:left w:val="nil"/>
              <w:bottom w:val="single" w:sz="4" w:space="0" w:color="auto"/>
              <w:right w:val="single" w:sz="4" w:space="0" w:color="auto"/>
            </w:tcBorders>
            <w:shd w:val="clear" w:color="auto" w:fill="FFFFFF"/>
            <w:noWrap/>
            <w:vAlign w:val="center"/>
            <w:hideMark/>
          </w:tcPr>
          <w:p w14:paraId="6612C978"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17.4%</w:t>
            </w:r>
          </w:p>
        </w:tc>
      </w:tr>
      <w:tr w:rsidR="007968EC" w14:paraId="4C71DD48" w14:textId="77777777" w:rsidTr="007968EC">
        <w:trPr>
          <w:trHeight w:val="73"/>
          <w:jc w:val="center"/>
        </w:trPr>
        <w:tc>
          <w:tcPr>
            <w:tcW w:w="22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94D4AC"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t>NUTRESA</w:t>
            </w:r>
          </w:p>
        </w:tc>
        <w:tc>
          <w:tcPr>
            <w:tcW w:w="1245" w:type="dxa"/>
            <w:vMerge/>
            <w:tcBorders>
              <w:top w:val="single" w:sz="4" w:space="0" w:color="auto"/>
              <w:left w:val="nil"/>
              <w:bottom w:val="nil"/>
              <w:right w:val="single" w:sz="4" w:space="0" w:color="auto"/>
            </w:tcBorders>
            <w:vAlign w:val="center"/>
            <w:hideMark/>
          </w:tcPr>
          <w:p w14:paraId="5CAF6E60" w14:textId="77777777" w:rsidR="007968EC" w:rsidRDefault="007968EC" w:rsidP="007968EC">
            <w:pPr>
              <w:spacing w:line="256" w:lineRule="auto"/>
              <w:rPr>
                <w:rFonts w:ascii="Arial Narrow" w:eastAsia="Calibri" w:hAnsi="Arial Narrow" w:cstheme="minorBidi"/>
                <w:b/>
                <w:color w:val="000000"/>
                <w:lang w:eastAsia="en-US"/>
              </w:rPr>
            </w:pPr>
          </w:p>
        </w:tc>
        <w:tc>
          <w:tcPr>
            <w:tcW w:w="968" w:type="dxa"/>
            <w:vMerge/>
            <w:tcBorders>
              <w:top w:val="single" w:sz="4" w:space="0" w:color="auto"/>
              <w:left w:val="nil"/>
              <w:bottom w:val="nil"/>
              <w:right w:val="single" w:sz="4" w:space="0" w:color="auto"/>
            </w:tcBorders>
            <w:vAlign w:val="center"/>
            <w:hideMark/>
          </w:tcPr>
          <w:p w14:paraId="512A32F0" w14:textId="77777777" w:rsidR="007968EC" w:rsidRDefault="007968EC" w:rsidP="007968EC">
            <w:pPr>
              <w:spacing w:line="256" w:lineRule="auto"/>
              <w:rPr>
                <w:rFonts w:ascii="Arial Narrow" w:eastAsia="Calibri" w:hAnsi="Arial Narrow" w:cstheme="minorBidi"/>
                <w:b/>
                <w:color w:val="000000"/>
                <w:lang w:eastAsia="en-US"/>
              </w:rPr>
            </w:pPr>
          </w:p>
        </w:tc>
        <w:tc>
          <w:tcPr>
            <w:tcW w:w="1107" w:type="dxa"/>
            <w:vMerge/>
            <w:tcBorders>
              <w:top w:val="single" w:sz="4" w:space="0" w:color="auto"/>
              <w:left w:val="nil"/>
              <w:bottom w:val="nil"/>
              <w:right w:val="single" w:sz="4" w:space="0" w:color="auto"/>
            </w:tcBorders>
            <w:vAlign w:val="center"/>
            <w:hideMark/>
          </w:tcPr>
          <w:p w14:paraId="5AF107C3" w14:textId="77777777" w:rsidR="007968EC" w:rsidRDefault="007968EC" w:rsidP="007968EC">
            <w:pPr>
              <w:spacing w:line="256" w:lineRule="auto"/>
              <w:rPr>
                <w:rFonts w:ascii="Arial Narrow" w:eastAsia="Calibri" w:hAnsi="Arial Narrow" w:cstheme="minorBidi"/>
                <w:b/>
                <w:color w:val="000000"/>
                <w:lang w:eastAsia="en-US"/>
              </w:rPr>
            </w:pPr>
          </w:p>
        </w:tc>
        <w:tc>
          <w:tcPr>
            <w:tcW w:w="1245" w:type="dxa"/>
            <w:vMerge/>
            <w:tcBorders>
              <w:top w:val="single" w:sz="4" w:space="0" w:color="auto"/>
              <w:left w:val="nil"/>
              <w:bottom w:val="nil"/>
              <w:right w:val="single" w:sz="4" w:space="0" w:color="auto"/>
            </w:tcBorders>
            <w:vAlign w:val="center"/>
            <w:hideMark/>
          </w:tcPr>
          <w:p w14:paraId="6BC3B73A" w14:textId="77777777" w:rsidR="007968EC" w:rsidRDefault="007968EC" w:rsidP="007968EC">
            <w:pPr>
              <w:spacing w:line="256" w:lineRule="auto"/>
              <w:rPr>
                <w:rFonts w:ascii="Arial Narrow" w:eastAsia="Calibri" w:hAnsi="Arial Narrow" w:cstheme="minorBidi"/>
                <w:b/>
                <w:color w:val="000000"/>
                <w:lang w:eastAsia="en-US"/>
              </w:rPr>
            </w:pPr>
          </w:p>
        </w:tc>
        <w:tc>
          <w:tcPr>
            <w:tcW w:w="1245" w:type="dxa"/>
            <w:tcBorders>
              <w:top w:val="single" w:sz="4" w:space="0" w:color="auto"/>
              <w:left w:val="nil"/>
              <w:bottom w:val="single" w:sz="4" w:space="0" w:color="auto"/>
              <w:right w:val="single" w:sz="4" w:space="0" w:color="auto"/>
            </w:tcBorders>
            <w:shd w:val="clear" w:color="auto" w:fill="FFFFFF"/>
            <w:noWrap/>
            <w:vAlign w:val="center"/>
            <w:hideMark/>
          </w:tcPr>
          <w:p w14:paraId="4E5921C8"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9.8%</w:t>
            </w:r>
          </w:p>
        </w:tc>
      </w:tr>
      <w:tr w:rsidR="007968EC" w14:paraId="4812ADAD" w14:textId="77777777" w:rsidTr="007968EC">
        <w:trPr>
          <w:trHeight w:val="206"/>
          <w:jc w:val="center"/>
        </w:trPr>
        <w:tc>
          <w:tcPr>
            <w:tcW w:w="22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42F503"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t>GRUPO ARGOS</w:t>
            </w:r>
          </w:p>
        </w:tc>
        <w:tc>
          <w:tcPr>
            <w:tcW w:w="1245" w:type="dxa"/>
            <w:vMerge/>
            <w:tcBorders>
              <w:top w:val="single" w:sz="4" w:space="0" w:color="auto"/>
              <w:left w:val="nil"/>
              <w:bottom w:val="nil"/>
              <w:right w:val="single" w:sz="4" w:space="0" w:color="auto"/>
            </w:tcBorders>
            <w:vAlign w:val="center"/>
            <w:hideMark/>
          </w:tcPr>
          <w:p w14:paraId="6EBE5678" w14:textId="77777777" w:rsidR="007968EC" w:rsidRDefault="007968EC" w:rsidP="007968EC">
            <w:pPr>
              <w:spacing w:line="256" w:lineRule="auto"/>
              <w:rPr>
                <w:rFonts w:ascii="Arial Narrow" w:eastAsia="Calibri" w:hAnsi="Arial Narrow" w:cstheme="minorBidi"/>
                <w:b/>
                <w:color w:val="000000"/>
                <w:lang w:eastAsia="en-US"/>
              </w:rPr>
            </w:pPr>
          </w:p>
        </w:tc>
        <w:tc>
          <w:tcPr>
            <w:tcW w:w="968" w:type="dxa"/>
            <w:vMerge/>
            <w:tcBorders>
              <w:top w:val="single" w:sz="4" w:space="0" w:color="auto"/>
              <w:left w:val="nil"/>
              <w:bottom w:val="nil"/>
              <w:right w:val="single" w:sz="4" w:space="0" w:color="auto"/>
            </w:tcBorders>
            <w:vAlign w:val="center"/>
            <w:hideMark/>
          </w:tcPr>
          <w:p w14:paraId="17082664" w14:textId="77777777" w:rsidR="007968EC" w:rsidRDefault="007968EC" w:rsidP="007968EC">
            <w:pPr>
              <w:spacing w:line="256" w:lineRule="auto"/>
              <w:rPr>
                <w:rFonts w:ascii="Arial Narrow" w:eastAsia="Calibri" w:hAnsi="Arial Narrow" w:cstheme="minorBidi"/>
                <w:b/>
                <w:color w:val="000000"/>
                <w:lang w:eastAsia="en-US"/>
              </w:rPr>
            </w:pPr>
          </w:p>
        </w:tc>
        <w:tc>
          <w:tcPr>
            <w:tcW w:w="1107" w:type="dxa"/>
            <w:vMerge/>
            <w:tcBorders>
              <w:top w:val="single" w:sz="4" w:space="0" w:color="auto"/>
              <w:left w:val="nil"/>
              <w:bottom w:val="nil"/>
              <w:right w:val="single" w:sz="4" w:space="0" w:color="auto"/>
            </w:tcBorders>
            <w:vAlign w:val="center"/>
            <w:hideMark/>
          </w:tcPr>
          <w:p w14:paraId="2EB59A47" w14:textId="77777777" w:rsidR="007968EC" w:rsidRDefault="007968EC" w:rsidP="007968EC">
            <w:pPr>
              <w:spacing w:line="256" w:lineRule="auto"/>
              <w:rPr>
                <w:rFonts w:ascii="Arial Narrow" w:eastAsia="Calibri" w:hAnsi="Arial Narrow" w:cstheme="minorBidi"/>
                <w:b/>
                <w:color w:val="000000"/>
                <w:lang w:eastAsia="en-US"/>
              </w:rPr>
            </w:pPr>
          </w:p>
        </w:tc>
        <w:tc>
          <w:tcPr>
            <w:tcW w:w="1245" w:type="dxa"/>
            <w:vMerge/>
            <w:tcBorders>
              <w:top w:val="single" w:sz="4" w:space="0" w:color="auto"/>
              <w:left w:val="nil"/>
              <w:bottom w:val="nil"/>
              <w:right w:val="single" w:sz="4" w:space="0" w:color="auto"/>
            </w:tcBorders>
            <w:vAlign w:val="center"/>
            <w:hideMark/>
          </w:tcPr>
          <w:p w14:paraId="07EC685E" w14:textId="77777777" w:rsidR="007968EC" w:rsidRDefault="007968EC" w:rsidP="007968EC">
            <w:pPr>
              <w:spacing w:line="256" w:lineRule="auto"/>
              <w:rPr>
                <w:rFonts w:ascii="Arial Narrow" w:eastAsia="Calibri" w:hAnsi="Arial Narrow" w:cstheme="minorBidi"/>
                <w:b/>
                <w:color w:val="000000"/>
                <w:lang w:eastAsia="en-US"/>
              </w:rPr>
            </w:pPr>
          </w:p>
        </w:tc>
        <w:tc>
          <w:tcPr>
            <w:tcW w:w="1245" w:type="dxa"/>
            <w:tcBorders>
              <w:top w:val="single" w:sz="4" w:space="0" w:color="auto"/>
              <w:left w:val="nil"/>
              <w:bottom w:val="single" w:sz="4" w:space="0" w:color="auto"/>
              <w:right w:val="single" w:sz="4" w:space="0" w:color="auto"/>
            </w:tcBorders>
            <w:shd w:val="clear" w:color="auto" w:fill="FFFFFF"/>
            <w:noWrap/>
            <w:vAlign w:val="center"/>
            <w:hideMark/>
          </w:tcPr>
          <w:p w14:paraId="136C9812"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11.4%</w:t>
            </w:r>
          </w:p>
        </w:tc>
      </w:tr>
      <w:tr w:rsidR="007968EC" w14:paraId="70069820" w14:textId="77777777" w:rsidTr="007968EC">
        <w:trPr>
          <w:trHeight w:val="73"/>
          <w:jc w:val="center"/>
        </w:trPr>
        <w:tc>
          <w:tcPr>
            <w:tcW w:w="22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9D9619"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t>ISA</w:t>
            </w:r>
          </w:p>
        </w:tc>
        <w:tc>
          <w:tcPr>
            <w:tcW w:w="1245" w:type="dxa"/>
            <w:vMerge/>
            <w:tcBorders>
              <w:top w:val="single" w:sz="4" w:space="0" w:color="auto"/>
              <w:left w:val="nil"/>
              <w:bottom w:val="nil"/>
              <w:right w:val="single" w:sz="4" w:space="0" w:color="auto"/>
            </w:tcBorders>
            <w:vAlign w:val="center"/>
            <w:hideMark/>
          </w:tcPr>
          <w:p w14:paraId="2B94052A" w14:textId="77777777" w:rsidR="007968EC" w:rsidRDefault="007968EC" w:rsidP="007968EC">
            <w:pPr>
              <w:spacing w:line="256" w:lineRule="auto"/>
              <w:rPr>
                <w:rFonts w:ascii="Arial Narrow" w:eastAsia="Calibri" w:hAnsi="Arial Narrow" w:cstheme="minorBidi"/>
                <w:b/>
                <w:color w:val="000000"/>
                <w:lang w:eastAsia="en-US"/>
              </w:rPr>
            </w:pPr>
          </w:p>
        </w:tc>
        <w:tc>
          <w:tcPr>
            <w:tcW w:w="968" w:type="dxa"/>
            <w:vMerge/>
            <w:tcBorders>
              <w:top w:val="single" w:sz="4" w:space="0" w:color="auto"/>
              <w:left w:val="nil"/>
              <w:bottom w:val="nil"/>
              <w:right w:val="single" w:sz="4" w:space="0" w:color="auto"/>
            </w:tcBorders>
            <w:vAlign w:val="center"/>
            <w:hideMark/>
          </w:tcPr>
          <w:p w14:paraId="6896EC0E" w14:textId="77777777" w:rsidR="007968EC" w:rsidRDefault="007968EC" w:rsidP="007968EC">
            <w:pPr>
              <w:spacing w:line="256" w:lineRule="auto"/>
              <w:rPr>
                <w:rFonts w:ascii="Arial Narrow" w:eastAsia="Calibri" w:hAnsi="Arial Narrow" w:cstheme="minorBidi"/>
                <w:b/>
                <w:color w:val="000000"/>
                <w:lang w:eastAsia="en-US"/>
              </w:rPr>
            </w:pPr>
          </w:p>
        </w:tc>
        <w:tc>
          <w:tcPr>
            <w:tcW w:w="1107" w:type="dxa"/>
            <w:vMerge/>
            <w:tcBorders>
              <w:top w:val="single" w:sz="4" w:space="0" w:color="auto"/>
              <w:left w:val="nil"/>
              <w:bottom w:val="nil"/>
              <w:right w:val="single" w:sz="4" w:space="0" w:color="auto"/>
            </w:tcBorders>
            <w:vAlign w:val="center"/>
            <w:hideMark/>
          </w:tcPr>
          <w:p w14:paraId="00EAC016" w14:textId="77777777" w:rsidR="007968EC" w:rsidRDefault="007968EC" w:rsidP="007968EC">
            <w:pPr>
              <w:spacing w:line="256" w:lineRule="auto"/>
              <w:rPr>
                <w:rFonts w:ascii="Arial Narrow" w:eastAsia="Calibri" w:hAnsi="Arial Narrow" w:cstheme="minorBidi"/>
                <w:b/>
                <w:color w:val="000000"/>
                <w:lang w:eastAsia="en-US"/>
              </w:rPr>
            </w:pPr>
          </w:p>
        </w:tc>
        <w:tc>
          <w:tcPr>
            <w:tcW w:w="1245" w:type="dxa"/>
            <w:vMerge/>
            <w:tcBorders>
              <w:top w:val="single" w:sz="4" w:space="0" w:color="auto"/>
              <w:left w:val="nil"/>
              <w:bottom w:val="nil"/>
              <w:right w:val="single" w:sz="4" w:space="0" w:color="auto"/>
            </w:tcBorders>
            <w:vAlign w:val="center"/>
            <w:hideMark/>
          </w:tcPr>
          <w:p w14:paraId="48D7CE27" w14:textId="77777777" w:rsidR="007968EC" w:rsidRDefault="007968EC" w:rsidP="007968EC">
            <w:pPr>
              <w:spacing w:line="256" w:lineRule="auto"/>
              <w:rPr>
                <w:rFonts w:ascii="Arial Narrow" w:eastAsia="Calibri" w:hAnsi="Arial Narrow" w:cstheme="minorBidi"/>
                <w:b/>
                <w:color w:val="000000"/>
                <w:lang w:eastAsia="en-US"/>
              </w:rPr>
            </w:pPr>
          </w:p>
        </w:tc>
        <w:tc>
          <w:tcPr>
            <w:tcW w:w="1245" w:type="dxa"/>
            <w:tcBorders>
              <w:top w:val="single" w:sz="4" w:space="0" w:color="auto"/>
              <w:left w:val="nil"/>
              <w:bottom w:val="single" w:sz="4" w:space="0" w:color="auto"/>
              <w:right w:val="single" w:sz="4" w:space="0" w:color="auto"/>
            </w:tcBorders>
            <w:shd w:val="clear" w:color="auto" w:fill="FFFFFF"/>
            <w:noWrap/>
            <w:vAlign w:val="center"/>
            <w:hideMark/>
          </w:tcPr>
          <w:p w14:paraId="1A0C96EC"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12.4%</w:t>
            </w:r>
          </w:p>
        </w:tc>
      </w:tr>
      <w:tr w:rsidR="007968EC" w14:paraId="7E5B3B96" w14:textId="77777777" w:rsidTr="007968EC">
        <w:trPr>
          <w:trHeight w:val="73"/>
          <w:jc w:val="center"/>
        </w:trPr>
        <w:tc>
          <w:tcPr>
            <w:tcW w:w="22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06ECE6"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lastRenderedPageBreak/>
              <w:t>PREFERENCIAL AVAL</w:t>
            </w:r>
          </w:p>
        </w:tc>
        <w:tc>
          <w:tcPr>
            <w:tcW w:w="1245" w:type="dxa"/>
            <w:vMerge/>
            <w:tcBorders>
              <w:top w:val="single" w:sz="4" w:space="0" w:color="auto"/>
              <w:left w:val="nil"/>
              <w:bottom w:val="nil"/>
              <w:right w:val="single" w:sz="4" w:space="0" w:color="auto"/>
            </w:tcBorders>
            <w:vAlign w:val="center"/>
            <w:hideMark/>
          </w:tcPr>
          <w:p w14:paraId="4CBB1556" w14:textId="77777777" w:rsidR="007968EC" w:rsidRDefault="007968EC" w:rsidP="007968EC">
            <w:pPr>
              <w:spacing w:line="256" w:lineRule="auto"/>
              <w:rPr>
                <w:rFonts w:ascii="Arial Narrow" w:eastAsia="Calibri" w:hAnsi="Arial Narrow" w:cstheme="minorBidi"/>
                <w:b/>
                <w:color w:val="000000"/>
                <w:lang w:eastAsia="en-US"/>
              </w:rPr>
            </w:pPr>
          </w:p>
        </w:tc>
        <w:tc>
          <w:tcPr>
            <w:tcW w:w="968" w:type="dxa"/>
            <w:vMerge/>
            <w:tcBorders>
              <w:top w:val="single" w:sz="4" w:space="0" w:color="auto"/>
              <w:left w:val="nil"/>
              <w:bottom w:val="nil"/>
              <w:right w:val="single" w:sz="4" w:space="0" w:color="auto"/>
            </w:tcBorders>
            <w:vAlign w:val="center"/>
            <w:hideMark/>
          </w:tcPr>
          <w:p w14:paraId="402E5FA8" w14:textId="77777777" w:rsidR="007968EC" w:rsidRDefault="007968EC" w:rsidP="007968EC">
            <w:pPr>
              <w:spacing w:line="256" w:lineRule="auto"/>
              <w:rPr>
                <w:rFonts w:ascii="Arial Narrow" w:eastAsia="Calibri" w:hAnsi="Arial Narrow" w:cstheme="minorBidi"/>
                <w:b/>
                <w:color w:val="000000"/>
                <w:lang w:eastAsia="en-US"/>
              </w:rPr>
            </w:pPr>
          </w:p>
        </w:tc>
        <w:tc>
          <w:tcPr>
            <w:tcW w:w="1107" w:type="dxa"/>
            <w:vMerge/>
            <w:tcBorders>
              <w:top w:val="single" w:sz="4" w:space="0" w:color="auto"/>
              <w:left w:val="nil"/>
              <w:bottom w:val="nil"/>
              <w:right w:val="single" w:sz="4" w:space="0" w:color="auto"/>
            </w:tcBorders>
            <w:vAlign w:val="center"/>
            <w:hideMark/>
          </w:tcPr>
          <w:p w14:paraId="4E187A96" w14:textId="77777777" w:rsidR="007968EC" w:rsidRDefault="007968EC" w:rsidP="007968EC">
            <w:pPr>
              <w:spacing w:line="256" w:lineRule="auto"/>
              <w:rPr>
                <w:rFonts w:ascii="Arial Narrow" w:eastAsia="Calibri" w:hAnsi="Arial Narrow" w:cstheme="minorBidi"/>
                <w:b/>
                <w:color w:val="000000"/>
                <w:lang w:eastAsia="en-US"/>
              </w:rPr>
            </w:pPr>
          </w:p>
        </w:tc>
        <w:tc>
          <w:tcPr>
            <w:tcW w:w="1245" w:type="dxa"/>
            <w:vMerge/>
            <w:tcBorders>
              <w:top w:val="single" w:sz="4" w:space="0" w:color="auto"/>
              <w:left w:val="nil"/>
              <w:bottom w:val="nil"/>
              <w:right w:val="single" w:sz="4" w:space="0" w:color="auto"/>
            </w:tcBorders>
            <w:vAlign w:val="center"/>
            <w:hideMark/>
          </w:tcPr>
          <w:p w14:paraId="1C239C12" w14:textId="77777777" w:rsidR="007968EC" w:rsidRDefault="007968EC" w:rsidP="007968EC">
            <w:pPr>
              <w:spacing w:line="256" w:lineRule="auto"/>
              <w:rPr>
                <w:rFonts w:ascii="Arial Narrow" w:eastAsia="Calibri" w:hAnsi="Arial Narrow" w:cstheme="minorBidi"/>
                <w:b/>
                <w:color w:val="000000"/>
                <w:lang w:eastAsia="en-US"/>
              </w:rPr>
            </w:pPr>
          </w:p>
        </w:tc>
        <w:tc>
          <w:tcPr>
            <w:tcW w:w="1245" w:type="dxa"/>
            <w:tcBorders>
              <w:top w:val="single" w:sz="4" w:space="0" w:color="auto"/>
              <w:left w:val="nil"/>
              <w:bottom w:val="single" w:sz="4" w:space="0" w:color="auto"/>
              <w:right w:val="single" w:sz="4" w:space="0" w:color="auto"/>
            </w:tcBorders>
            <w:shd w:val="clear" w:color="auto" w:fill="FFFFFF"/>
            <w:noWrap/>
            <w:vAlign w:val="center"/>
            <w:hideMark/>
          </w:tcPr>
          <w:p w14:paraId="1D270E45"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13.4%</w:t>
            </w:r>
          </w:p>
        </w:tc>
      </w:tr>
      <w:tr w:rsidR="007968EC" w14:paraId="6EBC43D8" w14:textId="77777777" w:rsidTr="007968EC">
        <w:trPr>
          <w:trHeight w:val="73"/>
          <w:jc w:val="center"/>
        </w:trPr>
        <w:tc>
          <w:tcPr>
            <w:tcW w:w="22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09F77C"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t>CEMENTOS ARGOS</w:t>
            </w:r>
          </w:p>
        </w:tc>
        <w:tc>
          <w:tcPr>
            <w:tcW w:w="1245" w:type="dxa"/>
            <w:vMerge/>
            <w:tcBorders>
              <w:top w:val="single" w:sz="4" w:space="0" w:color="auto"/>
              <w:left w:val="nil"/>
              <w:bottom w:val="nil"/>
              <w:right w:val="single" w:sz="4" w:space="0" w:color="auto"/>
            </w:tcBorders>
            <w:vAlign w:val="center"/>
            <w:hideMark/>
          </w:tcPr>
          <w:p w14:paraId="52680B9D" w14:textId="77777777" w:rsidR="007968EC" w:rsidRDefault="007968EC" w:rsidP="007968EC">
            <w:pPr>
              <w:spacing w:line="256" w:lineRule="auto"/>
              <w:rPr>
                <w:rFonts w:ascii="Arial Narrow" w:eastAsia="Calibri" w:hAnsi="Arial Narrow" w:cstheme="minorBidi"/>
                <w:b/>
                <w:color w:val="000000"/>
                <w:lang w:eastAsia="en-US"/>
              </w:rPr>
            </w:pPr>
          </w:p>
        </w:tc>
        <w:tc>
          <w:tcPr>
            <w:tcW w:w="968" w:type="dxa"/>
            <w:vMerge/>
            <w:tcBorders>
              <w:top w:val="single" w:sz="4" w:space="0" w:color="auto"/>
              <w:left w:val="nil"/>
              <w:bottom w:val="nil"/>
              <w:right w:val="single" w:sz="4" w:space="0" w:color="auto"/>
            </w:tcBorders>
            <w:vAlign w:val="center"/>
            <w:hideMark/>
          </w:tcPr>
          <w:p w14:paraId="7C926F62" w14:textId="77777777" w:rsidR="007968EC" w:rsidRDefault="007968EC" w:rsidP="007968EC">
            <w:pPr>
              <w:spacing w:line="256" w:lineRule="auto"/>
              <w:rPr>
                <w:rFonts w:ascii="Arial Narrow" w:eastAsia="Calibri" w:hAnsi="Arial Narrow" w:cstheme="minorBidi"/>
                <w:b/>
                <w:color w:val="000000"/>
                <w:lang w:eastAsia="en-US"/>
              </w:rPr>
            </w:pPr>
          </w:p>
        </w:tc>
        <w:tc>
          <w:tcPr>
            <w:tcW w:w="1107" w:type="dxa"/>
            <w:vMerge/>
            <w:tcBorders>
              <w:top w:val="single" w:sz="4" w:space="0" w:color="auto"/>
              <w:left w:val="nil"/>
              <w:bottom w:val="nil"/>
              <w:right w:val="single" w:sz="4" w:space="0" w:color="auto"/>
            </w:tcBorders>
            <w:vAlign w:val="center"/>
            <w:hideMark/>
          </w:tcPr>
          <w:p w14:paraId="18C7EB47" w14:textId="77777777" w:rsidR="007968EC" w:rsidRDefault="007968EC" w:rsidP="007968EC">
            <w:pPr>
              <w:spacing w:line="256" w:lineRule="auto"/>
              <w:rPr>
                <w:rFonts w:ascii="Arial Narrow" w:eastAsia="Calibri" w:hAnsi="Arial Narrow" w:cstheme="minorBidi"/>
                <w:b/>
                <w:color w:val="000000"/>
                <w:lang w:eastAsia="en-US"/>
              </w:rPr>
            </w:pPr>
          </w:p>
        </w:tc>
        <w:tc>
          <w:tcPr>
            <w:tcW w:w="1245" w:type="dxa"/>
            <w:vMerge/>
            <w:tcBorders>
              <w:top w:val="single" w:sz="4" w:space="0" w:color="auto"/>
              <w:left w:val="nil"/>
              <w:bottom w:val="nil"/>
              <w:right w:val="single" w:sz="4" w:space="0" w:color="auto"/>
            </w:tcBorders>
            <w:vAlign w:val="center"/>
            <w:hideMark/>
          </w:tcPr>
          <w:p w14:paraId="4899D331" w14:textId="77777777" w:rsidR="007968EC" w:rsidRDefault="007968EC" w:rsidP="007968EC">
            <w:pPr>
              <w:spacing w:line="256" w:lineRule="auto"/>
              <w:rPr>
                <w:rFonts w:ascii="Arial Narrow" w:eastAsia="Calibri" w:hAnsi="Arial Narrow" w:cstheme="minorBidi"/>
                <w:b/>
                <w:color w:val="000000"/>
                <w:lang w:eastAsia="en-US"/>
              </w:rPr>
            </w:pPr>
          </w:p>
        </w:tc>
        <w:tc>
          <w:tcPr>
            <w:tcW w:w="1245" w:type="dxa"/>
            <w:tcBorders>
              <w:top w:val="single" w:sz="4" w:space="0" w:color="auto"/>
              <w:left w:val="nil"/>
              <w:bottom w:val="single" w:sz="4" w:space="0" w:color="auto"/>
              <w:right w:val="single" w:sz="4" w:space="0" w:color="auto"/>
            </w:tcBorders>
            <w:shd w:val="clear" w:color="auto" w:fill="FFFFFF"/>
            <w:noWrap/>
            <w:vAlign w:val="center"/>
            <w:hideMark/>
          </w:tcPr>
          <w:p w14:paraId="5047D4D1"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11.9%</w:t>
            </w:r>
          </w:p>
        </w:tc>
      </w:tr>
      <w:tr w:rsidR="007968EC" w14:paraId="6D5321B0" w14:textId="77777777" w:rsidTr="007968EC">
        <w:trPr>
          <w:trHeight w:val="440"/>
          <w:jc w:val="center"/>
        </w:trPr>
        <w:tc>
          <w:tcPr>
            <w:tcW w:w="22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83A137"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t>PREFERENCIAL GRUPO SURA</w:t>
            </w:r>
          </w:p>
        </w:tc>
        <w:tc>
          <w:tcPr>
            <w:tcW w:w="1245" w:type="dxa"/>
            <w:vMerge/>
            <w:tcBorders>
              <w:top w:val="single" w:sz="4" w:space="0" w:color="auto"/>
              <w:left w:val="nil"/>
              <w:bottom w:val="nil"/>
              <w:right w:val="single" w:sz="4" w:space="0" w:color="auto"/>
            </w:tcBorders>
            <w:vAlign w:val="center"/>
            <w:hideMark/>
          </w:tcPr>
          <w:p w14:paraId="1FCC9C9D" w14:textId="77777777" w:rsidR="007968EC" w:rsidRDefault="007968EC" w:rsidP="007968EC">
            <w:pPr>
              <w:spacing w:line="256" w:lineRule="auto"/>
              <w:rPr>
                <w:rFonts w:ascii="Arial Narrow" w:eastAsia="Calibri" w:hAnsi="Arial Narrow" w:cstheme="minorBidi"/>
                <w:b/>
                <w:color w:val="000000"/>
                <w:lang w:eastAsia="en-US"/>
              </w:rPr>
            </w:pPr>
          </w:p>
        </w:tc>
        <w:tc>
          <w:tcPr>
            <w:tcW w:w="968" w:type="dxa"/>
            <w:vMerge/>
            <w:tcBorders>
              <w:top w:val="single" w:sz="4" w:space="0" w:color="auto"/>
              <w:left w:val="nil"/>
              <w:bottom w:val="nil"/>
              <w:right w:val="single" w:sz="4" w:space="0" w:color="auto"/>
            </w:tcBorders>
            <w:vAlign w:val="center"/>
            <w:hideMark/>
          </w:tcPr>
          <w:p w14:paraId="07A10084" w14:textId="77777777" w:rsidR="007968EC" w:rsidRDefault="007968EC" w:rsidP="007968EC">
            <w:pPr>
              <w:spacing w:line="256" w:lineRule="auto"/>
              <w:rPr>
                <w:rFonts w:ascii="Arial Narrow" w:eastAsia="Calibri" w:hAnsi="Arial Narrow" w:cstheme="minorBidi"/>
                <w:b/>
                <w:color w:val="000000"/>
                <w:lang w:eastAsia="en-US"/>
              </w:rPr>
            </w:pPr>
          </w:p>
        </w:tc>
        <w:tc>
          <w:tcPr>
            <w:tcW w:w="1107" w:type="dxa"/>
            <w:vMerge/>
            <w:tcBorders>
              <w:top w:val="single" w:sz="4" w:space="0" w:color="auto"/>
              <w:left w:val="nil"/>
              <w:bottom w:val="nil"/>
              <w:right w:val="single" w:sz="4" w:space="0" w:color="auto"/>
            </w:tcBorders>
            <w:vAlign w:val="center"/>
            <w:hideMark/>
          </w:tcPr>
          <w:p w14:paraId="469D7463" w14:textId="77777777" w:rsidR="007968EC" w:rsidRDefault="007968EC" w:rsidP="007968EC">
            <w:pPr>
              <w:spacing w:line="256" w:lineRule="auto"/>
              <w:rPr>
                <w:rFonts w:ascii="Arial Narrow" w:eastAsia="Calibri" w:hAnsi="Arial Narrow" w:cstheme="minorBidi"/>
                <w:b/>
                <w:color w:val="000000"/>
                <w:lang w:eastAsia="en-US"/>
              </w:rPr>
            </w:pPr>
          </w:p>
        </w:tc>
        <w:tc>
          <w:tcPr>
            <w:tcW w:w="1245" w:type="dxa"/>
            <w:vMerge/>
            <w:tcBorders>
              <w:top w:val="single" w:sz="4" w:space="0" w:color="auto"/>
              <w:left w:val="nil"/>
              <w:bottom w:val="nil"/>
              <w:right w:val="single" w:sz="4" w:space="0" w:color="auto"/>
            </w:tcBorders>
            <w:vAlign w:val="center"/>
            <w:hideMark/>
          </w:tcPr>
          <w:p w14:paraId="2186C8CB" w14:textId="77777777" w:rsidR="007968EC" w:rsidRDefault="007968EC" w:rsidP="007968EC">
            <w:pPr>
              <w:spacing w:line="256" w:lineRule="auto"/>
              <w:rPr>
                <w:rFonts w:ascii="Arial Narrow" w:eastAsia="Calibri" w:hAnsi="Arial Narrow" w:cstheme="minorBidi"/>
                <w:b/>
                <w:color w:val="000000"/>
                <w:lang w:eastAsia="en-US"/>
              </w:rPr>
            </w:pPr>
          </w:p>
        </w:tc>
        <w:tc>
          <w:tcPr>
            <w:tcW w:w="1245" w:type="dxa"/>
            <w:tcBorders>
              <w:top w:val="single" w:sz="4" w:space="0" w:color="auto"/>
              <w:left w:val="nil"/>
              <w:bottom w:val="single" w:sz="4" w:space="0" w:color="auto"/>
              <w:right w:val="single" w:sz="4" w:space="0" w:color="auto"/>
            </w:tcBorders>
            <w:shd w:val="clear" w:color="auto" w:fill="FFFFFF"/>
            <w:noWrap/>
            <w:vAlign w:val="center"/>
            <w:hideMark/>
          </w:tcPr>
          <w:p w14:paraId="4AD1CA85"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10.5%</w:t>
            </w:r>
          </w:p>
        </w:tc>
      </w:tr>
      <w:tr w:rsidR="007968EC" w14:paraId="1E45A907" w14:textId="77777777" w:rsidTr="007968EC">
        <w:trPr>
          <w:trHeight w:val="73"/>
          <w:jc w:val="center"/>
        </w:trPr>
        <w:tc>
          <w:tcPr>
            <w:tcW w:w="22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4040D2"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t>PREFERENCIAL CEMENTOS ARGOS</w:t>
            </w:r>
          </w:p>
        </w:tc>
        <w:tc>
          <w:tcPr>
            <w:tcW w:w="1245" w:type="dxa"/>
            <w:tcBorders>
              <w:top w:val="nil"/>
              <w:left w:val="nil"/>
              <w:bottom w:val="nil"/>
              <w:right w:val="single" w:sz="4" w:space="0" w:color="auto"/>
            </w:tcBorders>
            <w:noWrap/>
            <w:vAlign w:val="center"/>
          </w:tcPr>
          <w:p w14:paraId="210370B6" w14:textId="77777777" w:rsidR="007968EC" w:rsidRDefault="007968EC" w:rsidP="007968EC">
            <w:pPr>
              <w:spacing w:line="256" w:lineRule="auto"/>
              <w:jc w:val="center"/>
              <w:rPr>
                <w:rFonts w:ascii="Arial Narrow" w:eastAsia="Calibri" w:hAnsi="Arial Narrow" w:cstheme="minorBidi"/>
                <w:b/>
                <w:color w:val="000000"/>
                <w:lang w:eastAsia="en-US"/>
              </w:rPr>
            </w:pPr>
          </w:p>
        </w:tc>
        <w:tc>
          <w:tcPr>
            <w:tcW w:w="968" w:type="dxa"/>
            <w:tcBorders>
              <w:top w:val="nil"/>
              <w:left w:val="nil"/>
              <w:bottom w:val="nil"/>
              <w:right w:val="single" w:sz="4" w:space="0" w:color="auto"/>
            </w:tcBorders>
            <w:noWrap/>
            <w:vAlign w:val="center"/>
          </w:tcPr>
          <w:p w14:paraId="1C07C758" w14:textId="77777777" w:rsidR="007968EC" w:rsidRDefault="007968EC" w:rsidP="007968EC">
            <w:pPr>
              <w:spacing w:line="256" w:lineRule="auto"/>
              <w:jc w:val="center"/>
              <w:rPr>
                <w:rFonts w:ascii="Arial Narrow" w:eastAsia="Calibri" w:hAnsi="Arial Narrow" w:cstheme="minorBidi"/>
                <w:b/>
                <w:color w:val="000000"/>
                <w:lang w:eastAsia="en-US"/>
              </w:rPr>
            </w:pPr>
          </w:p>
        </w:tc>
        <w:tc>
          <w:tcPr>
            <w:tcW w:w="1107" w:type="dxa"/>
            <w:tcBorders>
              <w:top w:val="nil"/>
              <w:left w:val="nil"/>
              <w:bottom w:val="nil"/>
              <w:right w:val="single" w:sz="4" w:space="0" w:color="auto"/>
            </w:tcBorders>
            <w:noWrap/>
            <w:vAlign w:val="center"/>
          </w:tcPr>
          <w:p w14:paraId="71772A8C" w14:textId="77777777" w:rsidR="007968EC" w:rsidRDefault="007968EC" w:rsidP="007968EC">
            <w:pPr>
              <w:spacing w:line="256" w:lineRule="auto"/>
              <w:jc w:val="center"/>
              <w:rPr>
                <w:rFonts w:ascii="Arial Narrow" w:eastAsia="Calibri" w:hAnsi="Arial Narrow" w:cstheme="minorBidi"/>
                <w:b/>
                <w:color w:val="000000"/>
                <w:lang w:eastAsia="en-US"/>
              </w:rPr>
            </w:pPr>
          </w:p>
        </w:tc>
        <w:tc>
          <w:tcPr>
            <w:tcW w:w="1245" w:type="dxa"/>
            <w:tcBorders>
              <w:top w:val="nil"/>
              <w:left w:val="nil"/>
              <w:bottom w:val="nil"/>
              <w:right w:val="single" w:sz="4" w:space="0" w:color="auto"/>
            </w:tcBorders>
            <w:noWrap/>
            <w:vAlign w:val="center"/>
          </w:tcPr>
          <w:p w14:paraId="03A823D1" w14:textId="77777777" w:rsidR="007968EC" w:rsidRDefault="007968EC" w:rsidP="007968EC">
            <w:pPr>
              <w:spacing w:line="256" w:lineRule="auto"/>
              <w:jc w:val="center"/>
              <w:rPr>
                <w:rFonts w:ascii="Arial Narrow" w:eastAsia="Calibri" w:hAnsi="Arial Narrow" w:cstheme="minorBidi"/>
                <w:b/>
                <w:color w:val="000000"/>
                <w:lang w:eastAsia="en-US"/>
              </w:rPr>
            </w:pPr>
          </w:p>
        </w:tc>
        <w:tc>
          <w:tcPr>
            <w:tcW w:w="1245" w:type="dxa"/>
            <w:tcBorders>
              <w:top w:val="single" w:sz="4" w:space="0" w:color="auto"/>
              <w:left w:val="nil"/>
              <w:bottom w:val="single" w:sz="4" w:space="0" w:color="auto"/>
              <w:right w:val="single" w:sz="4" w:space="0" w:color="auto"/>
            </w:tcBorders>
            <w:shd w:val="clear" w:color="auto" w:fill="FFFFFF"/>
            <w:noWrap/>
            <w:vAlign w:val="center"/>
            <w:hideMark/>
          </w:tcPr>
          <w:p w14:paraId="6472AC37"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17.1%</w:t>
            </w:r>
          </w:p>
        </w:tc>
      </w:tr>
      <w:tr w:rsidR="007968EC" w14:paraId="539744DF" w14:textId="77777777" w:rsidTr="007968EC">
        <w:trPr>
          <w:trHeight w:val="73"/>
          <w:jc w:val="center"/>
        </w:trPr>
        <w:tc>
          <w:tcPr>
            <w:tcW w:w="22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722C5C"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BANCO DE BOGOTÁ</w:t>
            </w:r>
          </w:p>
        </w:tc>
        <w:tc>
          <w:tcPr>
            <w:tcW w:w="1245" w:type="dxa"/>
            <w:tcBorders>
              <w:top w:val="nil"/>
              <w:left w:val="nil"/>
              <w:bottom w:val="nil"/>
              <w:right w:val="single" w:sz="4" w:space="0" w:color="auto"/>
            </w:tcBorders>
            <w:noWrap/>
            <w:vAlign w:val="center"/>
          </w:tcPr>
          <w:p w14:paraId="441CB5D0" w14:textId="77777777" w:rsidR="007968EC" w:rsidRDefault="007968EC" w:rsidP="007968EC">
            <w:pPr>
              <w:spacing w:line="256" w:lineRule="auto"/>
              <w:jc w:val="center"/>
              <w:rPr>
                <w:rFonts w:ascii="Arial Narrow" w:eastAsia="Calibri" w:hAnsi="Arial Narrow" w:cstheme="minorBidi"/>
                <w:b/>
                <w:color w:val="000000"/>
                <w:lang w:eastAsia="en-US"/>
              </w:rPr>
            </w:pPr>
          </w:p>
        </w:tc>
        <w:tc>
          <w:tcPr>
            <w:tcW w:w="968" w:type="dxa"/>
            <w:tcBorders>
              <w:top w:val="nil"/>
              <w:left w:val="nil"/>
              <w:bottom w:val="nil"/>
              <w:right w:val="single" w:sz="4" w:space="0" w:color="auto"/>
            </w:tcBorders>
            <w:noWrap/>
            <w:vAlign w:val="center"/>
          </w:tcPr>
          <w:p w14:paraId="1C77D816" w14:textId="77777777" w:rsidR="007968EC" w:rsidRDefault="007968EC" w:rsidP="007968EC">
            <w:pPr>
              <w:spacing w:line="256" w:lineRule="auto"/>
              <w:jc w:val="center"/>
              <w:rPr>
                <w:rFonts w:ascii="Arial Narrow" w:eastAsia="Calibri" w:hAnsi="Arial Narrow" w:cstheme="minorBidi"/>
                <w:b/>
                <w:color w:val="000000"/>
                <w:lang w:eastAsia="en-US"/>
              </w:rPr>
            </w:pPr>
          </w:p>
        </w:tc>
        <w:tc>
          <w:tcPr>
            <w:tcW w:w="1107" w:type="dxa"/>
            <w:tcBorders>
              <w:top w:val="nil"/>
              <w:left w:val="nil"/>
              <w:bottom w:val="nil"/>
              <w:right w:val="single" w:sz="4" w:space="0" w:color="auto"/>
            </w:tcBorders>
            <w:noWrap/>
            <w:vAlign w:val="center"/>
          </w:tcPr>
          <w:p w14:paraId="3CA99092" w14:textId="77777777" w:rsidR="007968EC" w:rsidRDefault="007968EC" w:rsidP="007968EC">
            <w:pPr>
              <w:spacing w:line="256" w:lineRule="auto"/>
              <w:jc w:val="center"/>
              <w:rPr>
                <w:rFonts w:ascii="Arial Narrow" w:eastAsia="Calibri" w:hAnsi="Arial Narrow" w:cstheme="minorBidi"/>
                <w:b/>
                <w:color w:val="000000"/>
                <w:lang w:eastAsia="en-US"/>
              </w:rPr>
            </w:pPr>
          </w:p>
        </w:tc>
        <w:tc>
          <w:tcPr>
            <w:tcW w:w="1245" w:type="dxa"/>
            <w:tcBorders>
              <w:top w:val="nil"/>
              <w:left w:val="nil"/>
              <w:bottom w:val="nil"/>
              <w:right w:val="single" w:sz="4" w:space="0" w:color="auto"/>
            </w:tcBorders>
            <w:noWrap/>
            <w:vAlign w:val="center"/>
          </w:tcPr>
          <w:p w14:paraId="501BFCF1" w14:textId="77777777" w:rsidR="007968EC" w:rsidRDefault="007968EC" w:rsidP="007968EC">
            <w:pPr>
              <w:spacing w:line="256" w:lineRule="auto"/>
              <w:jc w:val="center"/>
              <w:rPr>
                <w:rFonts w:ascii="Arial Narrow" w:eastAsia="Calibri" w:hAnsi="Arial Narrow" w:cstheme="minorBidi"/>
                <w:b/>
                <w:color w:val="000000"/>
                <w:lang w:eastAsia="en-US"/>
              </w:rPr>
            </w:pPr>
          </w:p>
        </w:tc>
        <w:tc>
          <w:tcPr>
            <w:tcW w:w="1245" w:type="dxa"/>
            <w:tcBorders>
              <w:top w:val="single" w:sz="4" w:space="0" w:color="auto"/>
              <w:left w:val="nil"/>
              <w:bottom w:val="single" w:sz="4" w:space="0" w:color="auto"/>
              <w:right w:val="single" w:sz="4" w:space="0" w:color="auto"/>
            </w:tcBorders>
            <w:shd w:val="clear" w:color="auto" w:fill="FFFFFF"/>
            <w:noWrap/>
            <w:vAlign w:val="center"/>
            <w:hideMark/>
          </w:tcPr>
          <w:p w14:paraId="5CC38377"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11.6%</w:t>
            </w:r>
          </w:p>
        </w:tc>
      </w:tr>
      <w:tr w:rsidR="007968EC" w14:paraId="249E83A2" w14:textId="77777777" w:rsidTr="007968EC">
        <w:trPr>
          <w:trHeight w:val="73"/>
          <w:jc w:val="center"/>
        </w:trPr>
        <w:tc>
          <w:tcPr>
            <w:tcW w:w="22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39F447"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CELSIA</w:t>
            </w:r>
          </w:p>
        </w:tc>
        <w:tc>
          <w:tcPr>
            <w:tcW w:w="1245" w:type="dxa"/>
            <w:tcBorders>
              <w:top w:val="nil"/>
              <w:left w:val="nil"/>
              <w:bottom w:val="nil"/>
              <w:right w:val="single" w:sz="4" w:space="0" w:color="auto"/>
            </w:tcBorders>
            <w:noWrap/>
            <w:vAlign w:val="center"/>
          </w:tcPr>
          <w:p w14:paraId="635D3CC1" w14:textId="77777777" w:rsidR="007968EC" w:rsidRDefault="007968EC" w:rsidP="007968EC">
            <w:pPr>
              <w:spacing w:line="256" w:lineRule="auto"/>
              <w:jc w:val="center"/>
              <w:rPr>
                <w:rFonts w:ascii="Arial Narrow" w:eastAsia="Calibri" w:hAnsi="Arial Narrow" w:cstheme="minorBidi"/>
                <w:b/>
                <w:color w:val="000000"/>
                <w:lang w:eastAsia="en-US"/>
              </w:rPr>
            </w:pPr>
          </w:p>
        </w:tc>
        <w:tc>
          <w:tcPr>
            <w:tcW w:w="968" w:type="dxa"/>
            <w:tcBorders>
              <w:top w:val="nil"/>
              <w:left w:val="nil"/>
              <w:bottom w:val="nil"/>
              <w:right w:val="single" w:sz="4" w:space="0" w:color="auto"/>
            </w:tcBorders>
            <w:noWrap/>
            <w:vAlign w:val="center"/>
          </w:tcPr>
          <w:p w14:paraId="0AF0A6C9" w14:textId="77777777" w:rsidR="007968EC" w:rsidRDefault="007968EC" w:rsidP="007968EC">
            <w:pPr>
              <w:spacing w:line="256" w:lineRule="auto"/>
              <w:jc w:val="center"/>
              <w:rPr>
                <w:rFonts w:ascii="Arial Narrow" w:eastAsia="Calibri" w:hAnsi="Arial Narrow" w:cstheme="minorBidi"/>
                <w:b/>
                <w:color w:val="000000"/>
                <w:lang w:eastAsia="en-US"/>
              </w:rPr>
            </w:pPr>
          </w:p>
        </w:tc>
        <w:tc>
          <w:tcPr>
            <w:tcW w:w="1107" w:type="dxa"/>
            <w:tcBorders>
              <w:top w:val="nil"/>
              <w:left w:val="nil"/>
              <w:bottom w:val="nil"/>
              <w:right w:val="single" w:sz="4" w:space="0" w:color="auto"/>
            </w:tcBorders>
            <w:noWrap/>
            <w:vAlign w:val="center"/>
          </w:tcPr>
          <w:p w14:paraId="4D3B2B5C" w14:textId="77777777" w:rsidR="007968EC" w:rsidRDefault="007968EC" w:rsidP="007968EC">
            <w:pPr>
              <w:spacing w:line="256" w:lineRule="auto"/>
              <w:jc w:val="center"/>
              <w:rPr>
                <w:rFonts w:ascii="Arial Narrow" w:eastAsia="Calibri" w:hAnsi="Arial Narrow" w:cstheme="minorBidi"/>
                <w:b/>
                <w:color w:val="000000"/>
                <w:lang w:eastAsia="en-US"/>
              </w:rPr>
            </w:pPr>
          </w:p>
        </w:tc>
        <w:tc>
          <w:tcPr>
            <w:tcW w:w="1245" w:type="dxa"/>
            <w:tcBorders>
              <w:top w:val="nil"/>
              <w:left w:val="nil"/>
              <w:bottom w:val="nil"/>
              <w:right w:val="single" w:sz="4" w:space="0" w:color="auto"/>
            </w:tcBorders>
            <w:noWrap/>
            <w:vAlign w:val="center"/>
          </w:tcPr>
          <w:p w14:paraId="71FB470E" w14:textId="77777777" w:rsidR="007968EC" w:rsidRDefault="007968EC" w:rsidP="007968EC">
            <w:pPr>
              <w:spacing w:line="256" w:lineRule="auto"/>
              <w:jc w:val="center"/>
              <w:rPr>
                <w:rFonts w:ascii="Arial Narrow" w:eastAsia="Calibri" w:hAnsi="Arial Narrow" w:cstheme="minorBidi"/>
                <w:b/>
                <w:color w:val="000000"/>
                <w:lang w:eastAsia="en-US"/>
              </w:rPr>
            </w:pPr>
          </w:p>
        </w:tc>
        <w:tc>
          <w:tcPr>
            <w:tcW w:w="1245" w:type="dxa"/>
            <w:tcBorders>
              <w:top w:val="single" w:sz="4" w:space="0" w:color="auto"/>
              <w:left w:val="nil"/>
              <w:bottom w:val="single" w:sz="4" w:space="0" w:color="auto"/>
              <w:right w:val="single" w:sz="4" w:space="0" w:color="auto"/>
            </w:tcBorders>
            <w:shd w:val="clear" w:color="auto" w:fill="FFFFFF"/>
            <w:noWrap/>
            <w:vAlign w:val="center"/>
            <w:hideMark/>
          </w:tcPr>
          <w:p w14:paraId="4FE1CDBC"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12.6%</w:t>
            </w:r>
          </w:p>
        </w:tc>
      </w:tr>
      <w:tr w:rsidR="007968EC" w14:paraId="1246173D" w14:textId="77777777" w:rsidTr="007968EC">
        <w:trPr>
          <w:trHeight w:val="73"/>
          <w:jc w:val="center"/>
        </w:trPr>
        <w:tc>
          <w:tcPr>
            <w:tcW w:w="22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2CABA0"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GRUPO DE ENERGÍA DE BOGOTÁ</w:t>
            </w:r>
          </w:p>
        </w:tc>
        <w:tc>
          <w:tcPr>
            <w:tcW w:w="1245" w:type="dxa"/>
            <w:tcBorders>
              <w:top w:val="nil"/>
              <w:left w:val="nil"/>
              <w:bottom w:val="nil"/>
              <w:right w:val="single" w:sz="4" w:space="0" w:color="auto"/>
            </w:tcBorders>
            <w:noWrap/>
            <w:vAlign w:val="center"/>
          </w:tcPr>
          <w:p w14:paraId="7CC107CA" w14:textId="77777777" w:rsidR="007968EC" w:rsidRDefault="007968EC" w:rsidP="007968EC">
            <w:pPr>
              <w:spacing w:line="256" w:lineRule="auto"/>
              <w:jc w:val="center"/>
              <w:rPr>
                <w:rFonts w:ascii="Arial Narrow" w:eastAsia="Calibri" w:hAnsi="Arial Narrow" w:cstheme="minorBidi"/>
                <w:b/>
                <w:color w:val="000000"/>
                <w:lang w:eastAsia="en-US"/>
              </w:rPr>
            </w:pPr>
          </w:p>
        </w:tc>
        <w:tc>
          <w:tcPr>
            <w:tcW w:w="968" w:type="dxa"/>
            <w:tcBorders>
              <w:top w:val="nil"/>
              <w:left w:val="nil"/>
              <w:bottom w:val="nil"/>
              <w:right w:val="single" w:sz="4" w:space="0" w:color="auto"/>
            </w:tcBorders>
            <w:noWrap/>
            <w:vAlign w:val="center"/>
          </w:tcPr>
          <w:p w14:paraId="1454DB87" w14:textId="77777777" w:rsidR="007968EC" w:rsidRDefault="007968EC" w:rsidP="007968EC">
            <w:pPr>
              <w:spacing w:line="256" w:lineRule="auto"/>
              <w:jc w:val="center"/>
              <w:rPr>
                <w:rFonts w:ascii="Arial Narrow" w:eastAsia="Calibri" w:hAnsi="Arial Narrow" w:cstheme="minorBidi"/>
                <w:b/>
                <w:color w:val="000000"/>
                <w:lang w:eastAsia="en-US"/>
              </w:rPr>
            </w:pPr>
          </w:p>
        </w:tc>
        <w:tc>
          <w:tcPr>
            <w:tcW w:w="1107" w:type="dxa"/>
            <w:tcBorders>
              <w:top w:val="nil"/>
              <w:left w:val="nil"/>
              <w:bottom w:val="nil"/>
              <w:right w:val="single" w:sz="4" w:space="0" w:color="auto"/>
            </w:tcBorders>
            <w:noWrap/>
            <w:vAlign w:val="center"/>
          </w:tcPr>
          <w:p w14:paraId="1676895C" w14:textId="77777777" w:rsidR="007968EC" w:rsidRDefault="007968EC" w:rsidP="007968EC">
            <w:pPr>
              <w:spacing w:line="256" w:lineRule="auto"/>
              <w:jc w:val="center"/>
              <w:rPr>
                <w:rFonts w:ascii="Arial Narrow" w:eastAsia="Calibri" w:hAnsi="Arial Narrow" w:cstheme="minorBidi"/>
                <w:b/>
                <w:color w:val="000000"/>
                <w:lang w:eastAsia="en-US"/>
              </w:rPr>
            </w:pPr>
          </w:p>
        </w:tc>
        <w:tc>
          <w:tcPr>
            <w:tcW w:w="1245" w:type="dxa"/>
            <w:tcBorders>
              <w:top w:val="nil"/>
              <w:left w:val="nil"/>
              <w:bottom w:val="nil"/>
              <w:right w:val="single" w:sz="4" w:space="0" w:color="auto"/>
            </w:tcBorders>
            <w:noWrap/>
            <w:vAlign w:val="center"/>
          </w:tcPr>
          <w:p w14:paraId="5C80548E" w14:textId="77777777" w:rsidR="007968EC" w:rsidRDefault="007968EC" w:rsidP="007968EC">
            <w:pPr>
              <w:spacing w:line="256" w:lineRule="auto"/>
              <w:jc w:val="center"/>
              <w:rPr>
                <w:rFonts w:ascii="Arial Narrow" w:eastAsia="Calibri" w:hAnsi="Arial Narrow" w:cstheme="minorBidi"/>
                <w:b/>
                <w:color w:val="000000"/>
                <w:lang w:eastAsia="en-US"/>
              </w:rPr>
            </w:pPr>
          </w:p>
        </w:tc>
        <w:tc>
          <w:tcPr>
            <w:tcW w:w="1245" w:type="dxa"/>
            <w:tcBorders>
              <w:top w:val="single" w:sz="4" w:space="0" w:color="auto"/>
              <w:left w:val="nil"/>
              <w:bottom w:val="single" w:sz="4" w:space="0" w:color="auto"/>
              <w:right w:val="single" w:sz="4" w:space="0" w:color="auto"/>
            </w:tcBorders>
            <w:shd w:val="clear" w:color="auto" w:fill="FFFFFF"/>
            <w:noWrap/>
            <w:vAlign w:val="center"/>
            <w:hideMark/>
          </w:tcPr>
          <w:p w14:paraId="4238A606"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9.3%</w:t>
            </w:r>
          </w:p>
        </w:tc>
      </w:tr>
      <w:tr w:rsidR="007968EC" w14:paraId="5B57448F" w14:textId="77777777" w:rsidTr="007968EC">
        <w:trPr>
          <w:trHeight w:val="73"/>
          <w:jc w:val="center"/>
        </w:trPr>
        <w:tc>
          <w:tcPr>
            <w:tcW w:w="22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F63795"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BOLSA DE VALORES DE COLOMBIA</w:t>
            </w:r>
          </w:p>
        </w:tc>
        <w:tc>
          <w:tcPr>
            <w:tcW w:w="1245" w:type="dxa"/>
            <w:tcBorders>
              <w:top w:val="nil"/>
              <w:left w:val="nil"/>
              <w:bottom w:val="single" w:sz="4" w:space="0" w:color="auto"/>
              <w:right w:val="single" w:sz="4" w:space="0" w:color="auto"/>
            </w:tcBorders>
            <w:noWrap/>
            <w:vAlign w:val="center"/>
          </w:tcPr>
          <w:p w14:paraId="71BF2059" w14:textId="77777777" w:rsidR="007968EC" w:rsidRDefault="007968EC" w:rsidP="007968EC">
            <w:pPr>
              <w:spacing w:line="256" w:lineRule="auto"/>
              <w:jc w:val="center"/>
              <w:rPr>
                <w:rFonts w:ascii="Arial Narrow" w:eastAsia="Calibri" w:hAnsi="Arial Narrow" w:cstheme="minorBidi"/>
                <w:b/>
                <w:color w:val="000000"/>
                <w:lang w:eastAsia="en-US"/>
              </w:rPr>
            </w:pPr>
          </w:p>
        </w:tc>
        <w:tc>
          <w:tcPr>
            <w:tcW w:w="968" w:type="dxa"/>
            <w:tcBorders>
              <w:top w:val="nil"/>
              <w:left w:val="nil"/>
              <w:bottom w:val="single" w:sz="4" w:space="0" w:color="auto"/>
              <w:right w:val="single" w:sz="4" w:space="0" w:color="auto"/>
            </w:tcBorders>
            <w:noWrap/>
            <w:vAlign w:val="center"/>
          </w:tcPr>
          <w:p w14:paraId="4C48F2A3" w14:textId="77777777" w:rsidR="007968EC" w:rsidRDefault="007968EC" w:rsidP="007968EC">
            <w:pPr>
              <w:spacing w:line="256" w:lineRule="auto"/>
              <w:jc w:val="center"/>
              <w:rPr>
                <w:rFonts w:ascii="Arial Narrow" w:eastAsia="Calibri" w:hAnsi="Arial Narrow" w:cstheme="minorBidi"/>
                <w:b/>
                <w:color w:val="000000"/>
                <w:lang w:eastAsia="en-US"/>
              </w:rPr>
            </w:pPr>
          </w:p>
        </w:tc>
        <w:tc>
          <w:tcPr>
            <w:tcW w:w="1107" w:type="dxa"/>
            <w:tcBorders>
              <w:top w:val="nil"/>
              <w:left w:val="nil"/>
              <w:bottom w:val="single" w:sz="4" w:space="0" w:color="auto"/>
              <w:right w:val="single" w:sz="4" w:space="0" w:color="auto"/>
            </w:tcBorders>
            <w:noWrap/>
            <w:vAlign w:val="center"/>
          </w:tcPr>
          <w:p w14:paraId="25913E3E" w14:textId="77777777" w:rsidR="007968EC" w:rsidRDefault="007968EC" w:rsidP="007968EC">
            <w:pPr>
              <w:spacing w:line="256" w:lineRule="auto"/>
              <w:jc w:val="center"/>
              <w:rPr>
                <w:rFonts w:ascii="Arial Narrow" w:eastAsia="Calibri" w:hAnsi="Arial Narrow" w:cstheme="minorBidi"/>
                <w:b/>
                <w:color w:val="000000"/>
                <w:lang w:eastAsia="en-US"/>
              </w:rPr>
            </w:pPr>
          </w:p>
        </w:tc>
        <w:tc>
          <w:tcPr>
            <w:tcW w:w="1245" w:type="dxa"/>
            <w:tcBorders>
              <w:top w:val="nil"/>
              <w:left w:val="nil"/>
              <w:bottom w:val="single" w:sz="4" w:space="0" w:color="auto"/>
              <w:right w:val="single" w:sz="4" w:space="0" w:color="auto"/>
            </w:tcBorders>
            <w:noWrap/>
            <w:vAlign w:val="center"/>
          </w:tcPr>
          <w:p w14:paraId="500DA0FF" w14:textId="77777777" w:rsidR="007968EC" w:rsidRDefault="007968EC" w:rsidP="007968EC">
            <w:pPr>
              <w:spacing w:line="256" w:lineRule="auto"/>
              <w:jc w:val="center"/>
              <w:rPr>
                <w:rFonts w:ascii="Arial Narrow" w:eastAsia="Calibri" w:hAnsi="Arial Narrow" w:cstheme="minorBidi"/>
                <w:b/>
                <w:color w:val="000000"/>
                <w:lang w:eastAsia="en-US"/>
              </w:rPr>
            </w:pPr>
          </w:p>
        </w:tc>
        <w:tc>
          <w:tcPr>
            <w:tcW w:w="1245" w:type="dxa"/>
            <w:tcBorders>
              <w:top w:val="single" w:sz="4" w:space="0" w:color="auto"/>
              <w:left w:val="nil"/>
              <w:bottom w:val="single" w:sz="4" w:space="0" w:color="auto"/>
              <w:right w:val="single" w:sz="4" w:space="0" w:color="auto"/>
            </w:tcBorders>
            <w:shd w:val="clear" w:color="auto" w:fill="FFFFFF"/>
            <w:noWrap/>
            <w:vAlign w:val="center"/>
            <w:hideMark/>
          </w:tcPr>
          <w:p w14:paraId="35E633A0"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12.0%</w:t>
            </w:r>
          </w:p>
        </w:tc>
      </w:tr>
    </w:tbl>
    <w:p w14:paraId="3DEE0E12" w14:textId="77777777" w:rsidR="007968EC" w:rsidRDefault="007968EC" w:rsidP="007968EC">
      <w:pPr>
        <w:jc w:val="both"/>
        <w:rPr>
          <w:rFonts w:ascii="Arial Narrow" w:eastAsia="Calibri" w:hAnsi="Arial Narrow" w:cs="Arial Narrow"/>
          <w:color w:val="000000"/>
          <w:lang w:eastAsia="en-US"/>
        </w:rPr>
      </w:pPr>
    </w:p>
    <w:tbl>
      <w:tblPr>
        <w:tblW w:w="7800" w:type="dxa"/>
        <w:jc w:val="center"/>
        <w:tblLayout w:type="fixed"/>
        <w:tblCellMar>
          <w:left w:w="70" w:type="dxa"/>
          <w:right w:w="70" w:type="dxa"/>
        </w:tblCellMar>
        <w:tblLook w:val="04A0" w:firstRow="1" w:lastRow="0" w:firstColumn="1" w:lastColumn="0" w:noHBand="0" w:noVBand="1"/>
      </w:tblPr>
      <w:tblGrid>
        <w:gridCol w:w="2127"/>
        <w:gridCol w:w="1560"/>
        <w:gridCol w:w="1561"/>
        <w:gridCol w:w="2552"/>
      </w:tblGrid>
      <w:tr w:rsidR="007968EC" w14:paraId="54A09613" w14:textId="77777777" w:rsidTr="007968EC">
        <w:trPr>
          <w:trHeight w:val="555"/>
          <w:jc w:val="center"/>
        </w:trPr>
        <w:tc>
          <w:tcPr>
            <w:tcW w:w="2126" w:type="dxa"/>
            <w:tcBorders>
              <w:top w:val="single" w:sz="4" w:space="0" w:color="auto"/>
              <w:left w:val="single" w:sz="4" w:space="0" w:color="auto"/>
              <w:bottom w:val="nil"/>
              <w:right w:val="single" w:sz="4" w:space="0" w:color="auto"/>
            </w:tcBorders>
            <w:shd w:val="clear" w:color="auto" w:fill="FFFFFF"/>
            <w:noWrap/>
            <w:vAlign w:val="center"/>
            <w:hideMark/>
          </w:tcPr>
          <w:p w14:paraId="709EA67F"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t>Contrato de Futuro sobre Acciones del Índice COLCAP con Liquidación por Diferencias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664DCD"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t xml:space="preserve">Factor de cobertura por </w:t>
            </w:r>
            <w:r>
              <w:rPr>
                <w:rFonts w:ascii="Arial Narrow" w:eastAsia="Calibri" w:hAnsi="Arial Narrow" w:cstheme="minorBidi"/>
                <w:color w:val="000000"/>
                <w:lang w:eastAsia="en-US"/>
              </w:rPr>
              <w:br/>
              <w:t>Time Spread</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C36819"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t xml:space="preserve">Valor </w:t>
            </w:r>
            <w:r>
              <w:rPr>
                <w:rFonts w:ascii="Arial Narrow" w:eastAsia="Calibri" w:hAnsi="Arial Narrow" w:cstheme="minorBidi"/>
                <w:color w:val="000000"/>
                <w:lang w:eastAsia="en-US"/>
              </w:rPr>
              <w:br/>
              <w:t>Mínimo por</w:t>
            </w:r>
            <w:r>
              <w:rPr>
                <w:rFonts w:ascii="Arial Narrow" w:eastAsia="Calibri" w:hAnsi="Arial Narrow" w:cstheme="minorBidi"/>
                <w:color w:val="000000"/>
                <w:lang w:eastAsia="en-US"/>
              </w:rPr>
              <w:br/>
              <w:t>Spread</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7D4A85"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t>Fluctuación para</w:t>
            </w:r>
            <w:r>
              <w:rPr>
                <w:rFonts w:ascii="Arial Narrow" w:eastAsia="Calibri" w:hAnsi="Arial Narrow" w:cstheme="minorBidi"/>
                <w:color w:val="000000"/>
                <w:lang w:eastAsia="en-US"/>
              </w:rPr>
              <w:br/>
              <w:t xml:space="preserve">llamados a </w:t>
            </w:r>
            <w:r>
              <w:rPr>
                <w:rFonts w:ascii="Arial Narrow" w:eastAsia="Calibri" w:hAnsi="Arial Narrow" w:cstheme="minorBidi"/>
                <w:color w:val="000000"/>
                <w:lang w:eastAsia="en-US"/>
              </w:rPr>
              <w:br/>
              <w:t>Garantías</w:t>
            </w:r>
            <w:r>
              <w:rPr>
                <w:rFonts w:ascii="Arial Narrow" w:eastAsia="Calibri" w:hAnsi="Arial Narrow" w:cstheme="minorBidi"/>
                <w:color w:val="000000"/>
                <w:lang w:eastAsia="en-US"/>
              </w:rPr>
              <w:br/>
              <w:t>Extraordinarias</w:t>
            </w:r>
          </w:p>
        </w:tc>
      </w:tr>
      <w:tr w:rsidR="007968EC" w14:paraId="3730D11C" w14:textId="77777777" w:rsidTr="007968EC">
        <w:trPr>
          <w:trHeight w:val="255"/>
          <w:jc w:val="center"/>
        </w:trPr>
        <w:tc>
          <w:tcPr>
            <w:tcW w:w="21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AA34DD" w14:textId="77777777" w:rsidR="007968EC" w:rsidRDefault="007968EC" w:rsidP="007968EC">
            <w:pPr>
              <w:spacing w:line="256" w:lineRule="auto"/>
              <w:rPr>
                <w:rFonts w:ascii="Arial Narrow" w:eastAsia="Calibri" w:hAnsi="Arial Narrow" w:cstheme="minorBidi"/>
                <w:b/>
                <w:color w:val="000000"/>
                <w:lang w:eastAsia="en-US"/>
              </w:rPr>
            </w:pPr>
            <w:r>
              <w:rPr>
                <w:rFonts w:ascii="Arial Narrow" w:eastAsia="Calibri" w:hAnsi="Arial Narrow" w:cstheme="minorBidi"/>
                <w:color w:val="000000"/>
                <w:lang w:eastAsia="en-US"/>
              </w:rPr>
              <w:t>ÉXITO</w:t>
            </w:r>
          </w:p>
        </w:tc>
        <w:tc>
          <w:tcPr>
            <w:tcW w:w="1559" w:type="dxa"/>
            <w:tcBorders>
              <w:top w:val="single" w:sz="4" w:space="0" w:color="auto"/>
              <w:left w:val="nil"/>
              <w:bottom w:val="single" w:sz="4" w:space="0" w:color="auto"/>
              <w:right w:val="single" w:sz="4" w:space="0" w:color="auto"/>
            </w:tcBorders>
            <w:shd w:val="clear" w:color="auto" w:fill="FFFFFF"/>
            <w:noWrap/>
            <w:vAlign w:val="center"/>
            <w:hideMark/>
          </w:tcPr>
          <w:p w14:paraId="2FBAD395" w14:textId="77777777" w:rsidR="007968EC" w:rsidRDefault="007968EC" w:rsidP="007968EC">
            <w:pPr>
              <w:spacing w:line="256" w:lineRule="auto"/>
              <w:jc w:val="center"/>
              <w:rPr>
                <w:rFonts w:ascii="Arial Narrow" w:eastAsia="Calibri" w:hAnsi="Arial Narrow" w:cstheme="minorBidi"/>
                <w:b/>
                <w:color w:val="000000"/>
                <w:lang w:eastAsia="en-US"/>
              </w:rPr>
            </w:pPr>
            <w:r>
              <w:rPr>
                <w:rFonts w:ascii="Arial Narrow" w:eastAsia="Calibri" w:hAnsi="Arial Narrow" w:cstheme="minorBidi"/>
                <w:color w:val="000000"/>
                <w:lang w:eastAsia="en-US"/>
              </w:rPr>
              <w:t>1.6</w:t>
            </w:r>
          </w:p>
        </w:tc>
        <w:tc>
          <w:tcPr>
            <w:tcW w:w="1560" w:type="dxa"/>
            <w:tcBorders>
              <w:top w:val="single" w:sz="4" w:space="0" w:color="auto"/>
              <w:left w:val="nil"/>
              <w:bottom w:val="single" w:sz="4" w:space="0" w:color="auto"/>
              <w:right w:val="single" w:sz="4" w:space="0" w:color="auto"/>
            </w:tcBorders>
            <w:shd w:val="clear" w:color="auto" w:fill="FFFFFF"/>
            <w:noWrap/>
            <w:vAlign w:val="bottom"/>
            <w:hideMark/>
          </w:tcPr>
          <w:p w14:paraId="2D53D80B"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Theme="minorHAnsi" w:hAnsi="Arial Narrow" w:cs="Arial"/>
                <w:lang w:val="es-ES" w:eastAsia="es-ES"/>
              </w:rPr>
              <w:t>334</w:t>
            </w:r>
          </w:p>
        </w:tc>
        <w:tc>
          <w:tcPr>
            <w:tcW w:w="2551" w:type="dxa"/>
            <w:tcBorders>
              <w:top w:val="single" w:sz="4" w:space="0" w:color="auto"/>
              <w:left w:val="nil"/>
              <w:bottom w:val="single" w:sz="4" w:space="0" w:color="auto"/>
              <w:right w:val="single" w:sz="4" w:space="0" w:color="auto"/>
            </w:tcBorders>
            <w:shd w:val="clear" w:color="auto" w:fill="FFFFFF"/>
            <w:noWrap/>
            <w:vAlign w:val="center"/>
            <w:hideMark/>
          </w:tcPr>
          <w:p w14:paraId="0493DA78"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13.05%</w:t>
            </w:r>
          </w:p>
        </w:tc>
      </w:tr>
      <w:tr w:rsidR="007968EC" w14:paraId="2A0BDF99" w14:textId="77777777" w:rsidTr="007968EC">
        <w:trPr>
          <w:trHeight w:val="255"/>
          <w:jc w:val="center"/>
        </w:trPr>
        <w:tc>
          <w:tcPr>
            <w:tcW w:w="21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D2FCC1" w14:textId="77777777" w:rsidR="007968EC" w:rsidRDefault="007968EC" w:rsidP="007968EC">
            <w:pPr>
              <w:spacing w:line="256" w:lineRule="auto"/>
              <w:rPr>
                <w:rFonts w:ascii="Arial Narrow" w:eastAsia="Calibri" w:hAnsi="Arial Narrow" w:cstheme="minorBidi"/>
                <w:b/>
                <w:color w:val="000000"/>
                <w:lang w:eastAsia="en-US"/>
              </w:rPr>
            </w:pPr>
            <w:r>
              <w:rPr>
                <w:rFonts w:ascii="Arial Narrow" w:eastAsia="Calibri" w:hAnsi="Arial Narrow" w:cstheme="minorBidi"/>
                <w:color w:val="000000"/>
                <w:lang w:eastAsia="en-US"/>
              </w:rPr>
              <w:t>NUTRESA</w:t>
            </w:r>
          </w:p>
        </w:tc>
        <w:tc>
          <w:tcPr>
            <w:tcW w:w="1559" w:type="dxa"/>
            <w:tcBorders>
              <w:top w:val="single" w:sz="4" w:space="0" w:color="auto"/>
              <w:left w:val="nil"/>
              <w:bottom w:val="single" w:sz="4" w:space="0" w:color="auto"/>
              <w:right w:val="single" w:sz="4" w:space="0" w:color="auto"/>
            </w:tcBorders>
            <w:shd w:val="clear" w:color="auto" w:fill="FFFFFF"/>
            <w:noWrap/>
            <w:vAlign w:val="center"/>
            <w:hideMark/>
          </w:tcPr>
          <w:p w14:paraId="4737734C"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1.4</w:t>
            </w:r>
          </w:p>
        </w:tc>
        <w:tc>
          <w:tcPr>
            <w:tcW w:w="1560" w:type="dxa"/>
            <w:tcBorders>
              <w:top w:val="single" w:sz="4" w:space="0" w:color="auto"/>
              <w:left w:val="nil"/>
              <w:bottom w:val="single" w:sz="4" w:space="0" w:color="auto"/>
              <w:right w:val="single" w:sz="4" w:space="0" w:color="auto"/>
            </w:tcBorders>
            <w:shd w:val="clear" w:color="auto" w:fill="FFFFFF"/>
            <w:noWrap/>
            <w:vAlign w:val="bottom"/>
            <w:hideMark/>
          </w:tcPr>
          <w:p w14:paraId="354EF5C3"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Theme="minorHAnsi" w:hAnsi="Arial Narrow" w:cs="Arial"/>
                <w:lang w:val="es-ES" w:eastAsia="es-ES"/>
              </w:rPr>
              <w:t>500</w:t>
            </w:r>
          </w:p>
        </w:tc>
        <w:tc>
          <w:tcPr>
            <w:tcW w:w="2551" w:type="dxa"/>
            <w:tcBorders>
              <w:top w:val="single" w:sz="4" w:space="0" w:color="auto"/>
              <w:left w:val="nil"/>
              <w:bottom w:val="single" w:sz="4" w:space="0" w:color="auto"/>
              <w:right w:val="single" w:sz="4" w:space="0" w:color="auto"/>
            </w:tcBorders>
            <w:shd w:val="clear" w:color="auto" w:fill="FFFFFF"/>
            <w:noWrap/>
            <w:vAlign w:val="center"/>
            <w:hideMark/>
          </w:tcPr>
          <w:p w14:paraId="31371ACC"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7.35%</w:t>
            </w:r>
          </w:p>
        </w:tc>
      </w:tr>
      <w:tr w:rsidR="007968EC" w14:paraId="485062A7" w14:textId="77777777" w:rsidTr="007968EC">
        <w:trPr>
          <w:trHeight w:val="255"/>
          <w:jc w:val="center"/>
        </w:trPr>
        <w:tc>
          <w:tcPr>
            <w:tcW w:w="21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8DC21B" w14:textId="77777777" w:rsidR="007968EC" w:rsidRDefault="007968EC" w:rsidP="007968EC">
            <w:pPr>
              <w:spacing w:line="256" w:lineRule="auto"/>
              <w:rPr>
                <w:rFonts w:ascii="Arial Narrow" w:eastAsia="Calibri" w:hAnsi="Arial Narrow" w:cstheme="minorBidi"/>
                <w:b/>
                <w:color w:val="000000"/>
                <w:lang w:eastAsia="en-US"/>
              </w:rPr>
            </w:pPr>
            <w:r>
              <w:rPr>
                <w:rFonts w:ascii="Arial Narrow" w:eastAsia="Calibri" w:hAnsi="Arial Narrow" w:cstheme="minorBidi"/>
                <w:color w:val="000000"/>
                <w:lang w:eastAsia="en-US"/>
              </w:rPr>
              <w:t>GRUPO ARGOS</w:t>
            </w:r>
          </w:p>
        </w:tc>
        <w:tc>
          <w:tcPr>
            <w:tcW w:w="1559" w:type="dxa"/>
            <w:tcBorders>
              <w:top w:val="single" w:sz="4" w:space="0" w:color="auto"/>
              <w:left w:val="nil"/>
              <w:bottom w:val="single" w:sz="4" w:space="0" w:color="auto"/>
              <w:right w:val="single" w:sz="4" w:space="0" w:color="auto"/>
            </w:tcBorders>
            <w:shd w:val="clear" w:color="auto" w:fill="FFFFFF"/>
            <w:noWrap/>
            <w:vAlign w:val="center"/>
            <w:hideMark/>
          </w:tcPr>
          <w:p w14:paraId="6D5C5142"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1.3</w:t>
            </w:r>
          </w:p>
        </w:tc>
        <w:tc>
          <w:tcPr>
            <w:tcW w:w="1560" w:type="dxa"/>
            <w:tcBorders>
              <w:top w:val="single" w:sz="4" w:space="0" w:color="auto"/>
              <w:left w:val="nil"/>
              <w:bottom w:val="single" w:sz="4" w:space="0" w:color="auto"/>
              <w:right w:val="single" w:sz="4" w:space="0" w:color="auto"/>
            </w:tcBorders>
            <w:shd w:val="clear" w:color="auto" w:fill="FFFFFF"/>
            <w:noWrap/>
            <w:vAlign w:val="bottom"/>
            <w:hideMark/>
          </w:tcPr>
          <w:p w14:paraId="09A64DD0"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Theme="minorHAnsi" w:hAnsi="Arial Narrow" w:cs="Arial"/>
                <w:lang w:val="es-ES" w:eastAsia="es-ES"/>
              </w:rPr>
              <w:t xml:space="preserve">346 </w:t>
            </w:r>
          </w:p>
        </w:tc>
        <w:tc>
          <w:tcPr>
            <w:tcW w:w="2551" w:type="dxa"/>
            <w:tcBorders>
              <w:top w:val="single" w:sz="4" w:space="0" w:color="auto"/>
              <w:left w:val="nil"/>
              <w:bottom w:val="single" w:sz="4" w:space="0" w:color="auto"/>
              <w:right w:val="single" w:sz="4" w:space="0" w:color="auto"/>
            </w:tcBorders>
            <w:shd w:val="clear" w:color="auto" w:fill="FFFFFF"/>
            <w:noWrap/>
            <w:vAlign w:val="center"/>
            <w:hideMark/>
          </w:tcPr>
          <w:p w14:paraId="4C03C95A"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8.55%</w:t>
            </w:r>
          </w:p>
        </w:tc>
      </w:tr>
      <w:tr w:rsidR="007968EC" w14:paraId="310A22F3" w14:textId="77777777" w:rsidTr="007968EC">
        <w:trPr>
          <w:trHeight w:val="255"/>
          <w:jc w:val="center"/>
        </w:trPr>
        <w:tc>
          <w:tcPr>
            <w:tcW w:w="21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E57C28" w14:textId="77777777" w:rsidR="007968EC" w:rsidRDefault="007968EC" w:rsidP="007968EC">
            <w:pPr>
              <w:spacing w:line="256" w:lineRule="auto"/>
              <w:rPr>
                <w:rFonts w:ascii="Arial Narrow" w:eastAsia="Calibri" w:hAnsi="Arial Narrow" w:cstheme="minorBidi"/>
                <w:b/>
                <w:color w:val="000000"/>
                <w:lang w:eastAsia="en-US"/>
              </w:rPr>
            </w:pPr>
            <w:r>
              <w:rPr>
                <w:rFonts w:ascii="Arial Narrow" w:eastAsia="Calibri" w:hAnsi="Arial Narrow" w:cstheme="minorBidi"/>
                <w:color w:val="000000"/>
                <w:lang w:eastAsia="en-US"/>
              </w:rPr>
              <w:t>ISA</w:t>
            </w:r>
          </w:p>
        </w:tc>
        <w:tc>
          <w:tcPr>
            <w:tcW w:w="1559" w:type="dxa"/>
            <w:tcBorders>
              <w:top w:val="single" w:sz="4" w:space="0" w:color="auto"/>
              <w:left w:val="nil"/>
              <w:bottom w:val="single" w:sz="4" w:space="0" w:color="auto"/>
              <w:right w:val="single" w:sz="4" w:space="0" w:color="auto"/>
            </w:tcBorders>
            <w:shd w:val="clear" w:color="auto" w:fill="FFFFFF"/>
            <w:noWrap/>
            <w:vAlign w:val="center"/>
            <w:hideMark/>
          </w:tcPr>
          <w:p w14:paraId="54D8DC0D"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1.2</w:t>
            </w:r>
          </w:p>
        </w:tc>
        <w:tc>
          <w:tcPr>
            <w:tcW w:w="1560" w:type="dxa"/>
            <w:tcBorders>
              <w:top w:val="single" w:sz="4" w:space="0" w:color="auto"/>
              <w:left w:val="nil"/>
              <w:bottom w:val="single" w:sz="4" w:space="0" w:color="auto"/>
              <w:right w:val="single" w:sz="4" w:space="0" w:color="auto"/>
            </w:tcBorders>
            <w:shd w:val="clear" w:color="auto" w:fill="FFFFFF"/>
            <w:noWrap/>
            <w:vAlign w:val="bottom"/>
            <w:hideMark/>
          </w:tcPr>
          <w:p w14:paraId="1E7ED08B"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Theme="minorHAnsi" w:hAnsi="Arial Narrow" w:cs="Arial"/>
                <w:lang w:val="es-ES" w:eastAsia="es-ES"/>
              </w:rPr>
              <w:t xml:space="preserve">357 </w:t>
            </w:r>
          </w:p>
        </w:tc>
        <w:tc>
          <w:tcPr>
            <w:tcW w:w="2551" w:type="dxa"/>
            <w:tcBorders>
              <w:top w:val="single" w:sz="4" w:space="0" w:color="auto"/>
              <w:left w:val="nil"/>
              <w:bottom w:val="single" w:sz="4" w:space="0" w:color="auto"/>
              <w:right w:val="single" w:sz="4" w:space="0" w:color="auto"/>
            </w:tcBorders>
            <w:shd w:val="clear" w:color="auto" w:fill="FFFFFF"/>
            <w:noWrap/>
            <w:vAlign w:val="center"/>
            <w:hideMark/>
          </w:tcPr>
          <w:p w14:paraId="0213149B"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9.30%</w:t>
            </w:r>
          </w:p>
        </w:tc>
      </w:tr>
      <w:tr w:rsidR="007968EC" w14:paraId="71F2EAA4" w14:textId="77777777" w:rsidTr="007968EC">
        <w:trPr>
          <w:trHeight w:val="255"/>
          <w:jc w:val="center"/>
        </w:trPr>
        <w:tc>
          <w:tcPr>
            <w:tcW w:w="21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EB974C" w14:textId="77777777" w:rsidR="007968EC" w:rsidRDefault="007968EC" w:rsidP="007968EC">
            <w:pPr>
              <w:spacing w:line="256" w:lineRule="auto"/>
              <w:rPr>
                <w:rFonts w:ascii="Arial Narrow" w:eastAsia="Calibri" w:hAnsi="Arial Narrow" w:cstheme="minorBidi"/>
                <w:b/>
                <w:color w:val="000000"/>
                <w:lang w:eastAsia="en-US"/>
              </w:rPr>
            </w:pPr>
            <w:r>
              <w:rPr>
                <w:rFonts w:ascii="Arial Narrow" w:eastAsia="Calibri" w:hAnsi="Arial Narrow" w:cstheme="minorBidi"/>
                <w:color w:val="000000"/>
                <w:lang w:eastAsia="en-US"/>
              </w:rPr>
              <w:t>PREFERENCIAL AVAL</w:t>
            </w:r>
          </w:p>
        </w:tc>
        <w:tc>
          <w:tcPr>
            <w:tcW w:w="1559" w:type="dxa"/>
            <w:tcBorders>
              <w:top w:val="single" w:sz="4" w:space="0" w:color="auto"/>
              <w:left w:val="nil"/>
              <w:bottom w:val="single" w:sz="4" w:space="0" w:color="auto"/>
              <w:right w:val="single" w:sz="4" w:space="0" w:color="auto"/>
            </w:tcBorders>
            <w:shd w:val="clear" w:color="auto" w:fill="FFFFFF"/>
            <w:noWrap/>
            <w:vAlign w:val="center"/>
            <w:hideMark/>
          </w:tcPr>
          <w:p w14:paraId="25183958"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1.2</w:t>
            </w:r>
          </w:p>
        </w:tc>
        <w:tc>
          <w:tcPr>
            <w:tcW w:w="1560" w:type="dxa"/>
            <w:tcBorders>
              <w:top w:val="single" w:sz="4" w:space="0" w:color="auto"/>
              <w:left w:val="nil"/>
              <w:bottom w:val="single" w:sz="4" w:space="0" w:color="auto"/>
              <w:right w:val="single" w:sz="4" w:space="0" w:color="auto"/>
            </w:tcBorders>
            <w:shd w:val="clear" w:color="auto" w:fill="FFFFFF"/>
            <w:noWrap/>
            <w:vAlign w:val="bottom"/>
            <w:hideMark/>
          </w:tcPr>
          <w:p w14:paraId="2D5CACD4"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Theme="minorHAnsi" w:hAnsi="Arial Narrow" w:cs="Arial"/>
                <w:lang w:val="es-ES" w:eastAsia="es-ES"/>
              </w:rPr>
              <w:t>26</w:t>
            </w:r>
          </w:p>
        </w:tc>
        <w:tc>
          <w:tcPr>
            <w:tcW w:w="2551" w:type="dxa"/>
            <w:tcBorders>
              <w:top w:val="single" w:sz="4" w:space="0" w:color="auto"/>
              <w:left w:val="nil"/>
              <w:bottom w:val="single" w:sz="4" w:space="0" w:color="auto"/>
              <w:right w:val="single" w:sz="4" w:space="0" w:color="auto"/>
            </w:tcBorders>
            <w:shd w:val="clear" w:color="auto" w:fill="FFFFFF"/>
            <w:noWrap/>
            <w:vAlign w:val="center"/>
            <w:hideMark/>
          </w:tcPr>
          <w:p w14:paraId="575EFBE8"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10.05%</w:t>
            </w:r>
          </w:p>
        </w:tc>
      </w:tr>
      <w:tr w:rsidR="007968EC" w14:paraId="61415795" w14:textId="77777777" w:rsidTr="007968EC">
        <w:trPr>
          <w:trHeight w:val="255"/>
          <w:jc w:val="center"/>
        </w:trPr>
        <w:tc>
          <w:tcPr>
            <w:tcW w:w="21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207CFC" w14:textId="77777777" w:rsidR="007968EC" w:rsidRDefault="007968EC" w:rsidP="007968EC">
            <w:pPr>
              <w:spacing w:line="256" w:lineRule="auto"/>
              <w:rPr>
                <w:rFonts w:ascii="Arial Narrow" w:eastAsia="Calibri" w:hAnsi="Arial Narrow" w:cstheme="minorBidi"/>
                <w:b/>
                <w:color w:val="000000"/>
                <w:lang w:eastAsia="en-US"/>
              </w:rPr>
            </w:pPr>
            <w:r>
              <w:rPr>
                <w:rFonts w:ascii="Arial Narrow" w:eastAsia="Calibri" w:hAnsi="Arial Narrow" w:cstheme="minorBidi"/>
                <w:color w:val="000000"/>
                <w:lang w:eastAsia="en-US"/>
              </w:rPr>
              <w:t>CEMENTOS ARGOS</w:t>
            </w:r>
          </w:p>
        </w:tc>
        <w:tc>
          <w:tcPr>
            <w:tcW w:w="1559" w:type="dxa"/>
            <w:tcBorders>
              <w:top w:val="single" w:sz="4" w:space="0" w:color="auto"/>
              <w:left w:val="nil"/>
              <w:bottom w:val="single" w:sz="4" w:space="0" w:color="auto"/>
              <w:right w:val="single" w:sz="4" w:space="0" w:color="auto"/>
            </w:tcBorders>
            <w:shd w:val="clear" w:color="auto" w:fill="FFFFFF"/>
            <w:noWrap/>
            <w:vAlign w:val="center"/>
            <w:hideMark/>
          </w:tcPr>
          <w:p w14:paraId="6C677622"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1.2</w:t>
            </w:r>
          </w:p>
        </w:tc>
        <w:tc>
          <w:tcPr>
            <w:tcW w:w="1560" w:type="dxa"/>
            <w:tcBorders>
              <w:top w:val="single" w:sz="4" w:space="0" w:color="auto"/>
              <w:left w:val="nil"/>
              <w:bottom w:val="single" w:sz="4" w:space="0" w:color="auto"/>
              <w:right w:val="single" w:sz="4" w:space="0" w:color="auto"/>
            </w:tcBorders>
            <w:shd w:val="clear" w:color="auto" w:fill="FFFFFF"/>
            <w:noWrap/>
            <w:vAlign w:val="bottom"/>
            <w:hideMark/>
          </w:tcPr>
          <w:p w14:paraId="582BE518"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Theme="minorHAnsi" w:hAnsi="Arial Narrow" w:cs="Arial"/>
                <w:lang w:val="es-ES" w:eastAsia="es-ES"/>
              </w:rPr>
              <w:t>150</w:t>
            </w:r>
          </w:p>
        </w:tc>
        <w:tc>
          <w:tcPr>
            <w:tcW w:w="2551" w:type="dxa"/>
            <w:tcBorders>
              <w:top w:val="single" w:sz="4" w:space="0" w:color="auto"/>
              <w:left w:val="nil"/>
              <w:bottom w:val="single" w:sz="4" w:space="0" w:color="auto"/>
              <w:right w:val="single" w:sz="4" w:space="0" w:color="auto"/>
            </w:tcBorders>
            <w:shd w:val="clear" w:color="auto" w:fill="FFFFFF"/>
            <w:noWrap/>
            <w:vAlign w:val="center"/>
            <w:hideMark/>
          </w:tcPr>
          <w:p w14:paraId="2700B58B"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8.92%</w:t>
            </w:r>
          </w:p>
        </w:tc>
      </w:tr>
      <w:tr w:rsidR="007968EC" w14:paraId="50865648" w14:textId="77777777" w:rsidTr="007968EC">
        <w:trPr>
          <w:trHeight w:val="255"/>
          <w:jc w:val="center"/>
        </w:trPr>
        <w:tc>
          <w:tcPr>
            <w:tcW w:w="21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C9D0EA" w14:textId="77777777" w:rsidR="007968EC" w:rsidRDefault="007968EC" w:rsidP="007968EC">
            <w:pPr>
              <w:spacing w:line="256" w:lineRule="auto"/>
              <w:rPr>
                <w:rFonts w:ascii="Arial Narrow" w:eastAsia="Calibri" w:hAnsi="Arial Narrow" w:cstheme="minorBidi"/>
                <w:b/>
                <w:color w:val="000000"/>
                <w:lang w:eastAsia="en-US"/>
              </w:rPr>
            </w:pPr>
            <w:r>
              <w:rPr>
                <w:rFonts w:ascii="Arial Narrow" w:eastAsia="Calibri" w:hAnsi="Arial Narrow" w:cstheme="minorBidi"/>
                <w:color w:val="000000"/>
                <w:lang w:eastAsia="en-US"/>
              </w:rPr>
              <w:t>PREFERENCIAL GRUPO SURA</w:t>
            </w:r>
          </w:p>
        </w:tc>
        <w:tc>
          <w:tcPr>
            <w:tcW w:w="1559" w:type="dxa"/>
            <w:tcBorders>
              <w:top w:val="single" w:sz="4" w:space="0" w:color="auto"/>
              <w:left w:val="nil"/>
              <w:bottom w:val="single" w:sz="4" w:space="0" w:color="auto"/>
              <w:right w:val="single" w:sz="4" w:space="0" w:color="auto"/>
            </w:tcBorders>
            <w:shd w:val="clear" w:color="auto" w:fill="FFFFFF"/>
            <w:noWrap/>
            <w:vAlign w:val="center"/>
            <w:hideMark/>
          </w:tcPr>
          <w:p w14:paraId="3360560F"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1.2</w:t>
            </w:r>
          </w:p>
        </w:tc>
        <w:tc>
          <w:tcPr>
            <w:tcW w:w="1560" w:type="dxa"/>
            <w:tcBorders>
              <w:top w:val="single" w:sz="4" w:space="0" w:color="auto"/>
              <w:left w:val="nil"/>
              <w:bottom w:val="single" w:sz="4" w:space="0" w:color="auto"/>
              <w:right w:val="single" w:sz="4" w:space="0" w:color="auto"/>
            </w:tcBorders>
            <w:shd w:val="clear" w:color="auto" w:fill="FFFFFF"/>
            <w:noWrap/>
            <w:vAlign w:val="bottom"/>
            <w:hideMark/>
          </w:tcPr>
          <w:p w14:paraId="11D24802"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Theme="minorHAnsi" w:hAnsi="Arial Narrow" w:cs="Arial"/>
                <w:lang w:val="es-ES" w:eastAsia="es-ES"/>
              </w:rPr>
              <w:t>633</w:t>
            </w:r>
          </w:p>
        </w:tc>
        <w:tc>
          <w:tcPr>
            <w:tcW w:w="2551" w:type="dxa"/>
            <w:tcBorders>
              <w:top w:val="single" w:sz="4" w:space="0" w:color="auto"/>
              <w:left w:val="nil"/>
              <w:bottom w:val="single" w:sz="4" w:space="0" w:color="auto"/>
              <w:right w:val="single" w:sz="4" w:space="0" w:color="auto"/>
            </w:tcBorders>
            <w:shd w:val="clear" w:color="auto" w:fill="FFFFFF"/>
            <w:noWrap/>
            <w:vAlign w:val="center"/>
            <w:hideMark/>
          </w:tcPr>
          <w:p w14:paraId="4B211DF0"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7.87%</w:t>
            </w:r>
          </w:p>
        </w:tc>
      </w:tr>
      <w:tr w:rsidR="007968EC" w14:paraId="67A36029" w14:textId="77777777" w:rsidTr="007968EC">
        <w:trPr>
          <w:trHeight w:val="255"/>
          <w:jc w:val="center"/>
        </w:trPr>
        <w:tc>
          <w:tcPr>
            <w:tcW w:w="21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A8D6AE" w14:textId="77777777" w:rsidR="007968EC" w:rsidRDefault="007968EC" w:rsidP="007968EC">
            <w:pPr>
              <w:spacing w:line="256" w:lineRule="auto"/>
              <w:rPr>
                <w:rFonts w:ascii="Arial Narrow" w:eastAsia="Calibri" w:hAnsi="Arial Narrow" w:cstheme="minorBidi"/>
                <w:b/>
                <w:color w:val="000000"/>
                <w:lang w:eastAsia="en-US"/>
              </w:rPr>
            </w:pPr>
            <w:r>
              <w:rPr>
                <w:rFonts w:ascii="Arial Narrow" w:eastAsia="Calibri" w:hAnsi="Arial Narrow" w:cstheme="minorBidi"/>
                <w:color w:val="000000"/>
                <w:lang w:eastAsia="en-US"/>
              </w:rPr>
              <w:t>PREFERENCIAL CEMENTOS ARGOS</w:t>
            </w:r>
          </w:p>
        </w:tc>
        <w:tc>
          <w:tcPr>
            <w:tcW w:w="1559" w:type="dxa"/>
            <w:tcBorders>
              <w:top w:val="single" w:sz="4" w:space="0" w:color="auto"/>
              <w:left w:val="nil"/>
              <w:bottom w:val="single" w:sz="4" w:space="0" w:color="auto"/>
              <w:right w:val="single" w:sz="4" w:space="0" w:color="auto"/>
            </w:tcBorders>
            <w:shd w:val="clear" w:color="auto" w:fill="FFFFFF"/>
            <w:noWrap/>
            <w:vAlign w:val="center"/>
            <w:hideMark/>
          </w:tcPr>
          <w:p w14:paraId="0440B8D7"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1.2</w:t>
            </w:r>
          </w:p>
        </w:tc>
        <w:tc>
          <w:tcPr>
            <w:tcW w:w="1560" w:type="dxa"/>
            <w:tcBorders>
              <w:top w:val="single" w:sz="4" w:space="0" w:color="auto"/>
              <w:left w:val="nil"/>
              <w:bottom w:val="single" w:sz="4" w:space="0" w:color="auto"/>
              <w:right w:val="single" w:sz="4" w:space="0" w:color="auto"/>
            </w:tcBorders>
            <w:shd w:val="clear" w:color="auto" w:fill="FFFFFF"/>
            <w:noWrap/>
            <w:vAlign w:val="center"/>
            <w:hideMark/>
          </w:tcPr>
          <w:p w14:paraId="41FFCB99"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124</w:t>
            </w:r>
          </w:p>
        </w:tc>
        <w:tc>
          <w:tcPr>
            <w:tcW w:w="2551" w:type="dxa"/>
            <w:tcBorders>
              <w:top w:val="single" w:sz="4" w:space="0" w:color="auto"/>
              <w:left w:val="nil"/>
              <w:bottom w:val="single" w:sz="4" w:space="0" w:color="auto"/>
              <w:right w:val="single" w:sz="4" w:space="0" w:color="auto"/>
            </w:tcBorders>
            <w:shd w:val="clear" w:color="auto" w:fill="FFFFFF"/>
            <w:noWrap/>
            <w:vAlign w:val="center"/>
            <w:hideMark/>
          </w:tcPr>
          <w:p w14:paraId="0D328EF7"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12.82%</w:t>
            </w:r>
          </w:p>
        </w:tc>
      </w:tr>
      <w:tr w:rsidR="007968EC" w14:paraId="3BC5F2B3" w14:textId="77777777" w:rsidTr="007968EC">
        <w:trPr>
          <w:trHeight w:val="255"/>
          <w:jc w:val="center"/>
        </w:trPr>
        <w:tc>
          <w:tcPr>
            <w:tcW w:w="21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ACFB36" w14:textId="77777777" w:rsidR="007968EC" w:rsidRDefault="007968EC" w:rsidP="007968EC">
            <w:pPr>
              <w:spacing w:line="256" w:lineRule="auto"/>
              <w:rPr>
                <w:rFonts w:ascii="Arial Narrow" w:eastAsia="Calibri" w:hAnsi="Arial Narrow" w:cstheme="minorBidi"/>
                <w:color w:val="000000"/>
                <w:lang w:eastAsia="en-US"/>
              </w:rPr>
            </w:pPr>
            <w:r>
              <w:rPr>
                <w:rFonts w:ascii="Arial Narrow" w:eastAsia="Calibri" w:hAnsi="Arial Narrow" w:cstheme="minorBidi"/>
                <w:color w:val="000000"/>
                <w:lang w:eastAsia="en-US"/>
              </w:rPr>
              <w:t>BANCO DE BOGOTÁ</w:t>
            </w:r>
          </w:p>
        </w:tc>
        <w:tc>
          <w:tcPr>
            <w:tcW w:w="1559" w:type="dxa"/>
            <w:tcBorders>
              <w:top w:val="single" w:sz="4" w:space="0" w:color="auto"/>
              <w:left w:val="nil"/>
              <w:bottom w:val="single" w:sz="4" w:space="0" w:color="auto"/>
              <w:right w:val="single" w:sz="4" w:space="0" w:color="auto"/>
            </w:tcBorders>
            <w:shd w:val="clear" w:color="auto" w:fill="FFFFFF"/>
            <w:noWrap/>
            <w:vAlign w:val="center"/>
            <w:hideMark/>
          </w:tcPr>
          <w:p w14:paraId="642DF2D3"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2.1</w:t>
            </w:r>
          </w:p>
        </w:tc>
        <w:tc>
          <w:tcPr>
            <w:tcW w:w="1560" w:type="dxa"/>
            <w:tcBorders>
              <w:top w:val="single" w:sz="4" w:space="0" w:color="auto"/>
              <w:left w:val="nil"/>
              <w:bottom w:val="single" w:sz="4" w:space="0" w:color="auto"/>
              <w:right w:val="single" w:sz="4" w:space="0" w:color="auto"/>
            </w:tcBorders>
            <w:shd w:val="clear" w:color="auto" w:fill="FFFFFF"/>
            <w:noWrap/>
            <w:vAlign w:val="center"/>
            <w:hideMark/>
          </w:tcPr>
          <w:p w14:paraId="51C968F0"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1344</w:t>
            </w:r>
          </w:p>
        </w:tc>
        <w:tc>
          <w:tcPr>
            <w:tcW w:w="2551" w:type="dxa"/>
            <w:tcBorders>
              <w:top w:val="single" w:sz="4" w:space="0" w:color="auto"/>
              <w:left w:val="nil"/>
              <w:bottom w:val="single" w:sz="4" w:space="0" w:color="auto"/>
              <w:right w:val="single" w:sz="4" w:space="0" w:color="auto"/>
            </w:tcBorders>
            <w:shd w:val="clear" w:color="auto" w:fill="FFFFFF"/>
            <w:noWrap/>
            <w:vAlign w:val="center"/>
            <w:hideMark/>
          </w:tcPr>
          <w:p w14:paraId="36CB9954"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8.70%</w:t>
            </w:r>
          </w:p>
        </w:tc>
      </w:tr>
      <w:tr w:rsidR="007968EC" w14:paraId="73038A6A" w14:textId="77777777" w:rsidTr="007968EC">
        <w:trPr>
          <w:trHeight w:val="255"/>
          <w:jc w:val="center"/>
        </w:trPr>
        <w:tc>
          <w:tcPr>
            <w:tcW w:w="21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FC85EF" w14:textId="77777777" w:rsidR="007968EC" w:rsidRDefault="007968EC" w:rsidP="007968EC">
            <w:pPr>
              <w:spacing w:line="256" w:lineRule="auto"/>
              <w:rPr>
                <w:rFonts w:ascii="Arial Narrow" w:eastAsia="Calibri" w:hAnsi="Arial Narrow" w:cstheme="minorBidi"/>
                <w:color w:val="000000"/>
                <w:lang w:eastAsia="en-US"/>
              </w:rPr>
            </w:pPr>
            <w:r>
              <w:rPr>
                <w:rFonts w:ascii="Arial Narrow" w:eastAsia="Calibri" w:hAnsi="Arial Narrow" w:cstheme="minorBidi"/>
                <w:color w:val="000000"/>
                <w:lang w:eastAsia="en-US"/>
              </w:rPr>
              <w:t>CELSIA</w:t>
            </w:r>
          </w:p>
        </w:tc>
        <w:tc>
          <w:tcPr>
            <w:tcW w:w="1559" w:type="dxa"/>
            <w:tcBorders>
              <w:top w:val="single" w:sz="4" w:space="0" w:color="auto"/>
              <w:left w:val="nil"/>
              <w:bottom w:val="single" w:sz="4" w:space="0" w:color="auto"/>
              <w:right w:val="single" w:sz="4" w:space="0" w:color="auto"/>
            </w:tcBorders>
            <w:shd w:val="clear" w:color="auto" w:fill="FFFFFF"/>
            <w:noWrap/>
            <w:vAlign w:val="center"/>
            <w:hideMark/>
          </w:tcPr>
          <w:p w14:paraId="79AAF18B"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1.3</w:t>
            </w:r>
          </w:p>
        </w:tc>
        <w:tc>
          <w:tcPr>
            <w:tcW w:w="1560" w:type="dxa"/>
            <w:tcBorders>
              <w:top w:val="single" w:sz="4" w:space="0" w:color="auto"/>
              <w:left w:val="nil"/>
              <w:bottom w:val="single" w:sz="4" w:space="0" w:color="auto"/>
              <w:right w:val="single" w:sz="4" w:space="0" w:color="auto"/>
            </w:tcBorders>
            <w:shd w:val="clear" w:color="auto" w:fill="FFFFFF"/>
            <w:noWrap/>
            <w:vAlign w:val="center"/>
            <w:hideMark/>
          </w:tcPr>
          <w:p w14:paraId="2E016BE4"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87</w:t>
            </w:r>
          </w:p>
        </w:tc>
        <w:tc>
          <w:tcPr>
            <w:tcW w:w="2551" w:type="dxa"/>
            <w:tcBorders>
              <w:top w:val="single" w:sz="4" w:space="0" w:color="auto"/>
              <w:left w:val="nil"/>
              <w:bottom w:val="single" w:sz="4" w:space="0" w:color="auto"/>
              <w:right w:val="single" w:sz="4" w:space="0" w:color="auto"/>
            </w:tcBorders>
            <w:shd w:val="clear" w:color="auto" w:fill="FFFFFF"/>
            <w:noWrap/>
            <w:vAlign w:val="center"/>
            <w:hideMark/>
          </w:tcPr>
          <w:p w14:paraId="0794D031"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9.45%</w:t>
            </w:r>
          </w:p>
        </w:tc>
      </w:tr>
      <w:tr w:rsidR="007968EC" w14:paraId="70685BFC" w14:textId="77777777" w:rsidTr="007968EC">
        <w:trPr>
          <w:trHeight w:val="255"/>
          <w:jc w:val="center"/>
        </w:trPr>
        <w:tc>
          <w:tcPr>
            <w:tcW w:w="21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E20190" w14:textId="77777777" w:rsidR="007968EC" w:rsidRDefault="007968EC" w:rsidP="007968EC">
            <w:pPr>
              <w:spacing w:line="256" w:lineRule="auto"/>
              <w:rPr>
                <w:rFonts w:ascii="Arial Narrow" w:eastAsia="Calibri" w:hAnsi="Arial Narrow" w:cstheme="minorBidi"/>
                <w:color w:val="000000"/>
                <w:lang w:eastAsia="en-US"/>
              </w:rPr>
            </w:pPr>
            <w:r>
              <w:rPr>
                <w:rFonts w:ascii="Arial Narrow" w:eastAsia="Calibri" w:hAnsi="Arial Narrow" w:cstheme="minorBidi"/>
                <w:color w:val="000000"/>
                <w:lang w:eastAsia="en-US"/>
              </w:rPr>
              <w:t>GRUPO DE ENERGÍA DE BOGOTÁ</w:t>
            </w:r>
          </w:p>
        </w:tc>
        <w:tc>
          <w:tcPr>
            <w:tcW w:w="1559" w:type="dxa"/>
            <w:tcBorders>
              <w:top w:val="single" w:sz="4" w:space="0" w:color="auto"/>
              <w:left w:val="nil"/>
              <w:bottom w:val="single" w:sz="4" w:space="0" w:color="auto"/>
              <w:right w:val="single" w:sz="4" w:space="0" w:color="auto"/>
            </w:tcBorders>
            <w:shd w:val="clear" w:color="auto" w:fill="FFFFFF"/>
            <w:noWrap/>
            <w:vAlign w:val="center"/>
            <w:hideMark/>
          </w:tcPr>
          <w:p w14:paraId="1E62D14C"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1.2</w:t>
            </w:r>
          </w:p>
        </w:tc>
        <w:tc>
          <w:tcPr>
            <w:tcW w:w="1560" w:type="dxa"/>
            <w:tcBorders>
              <w:top w:val="single" w:sz="4" w:space="0" w:color="auto"/>
              <w:left w:val="nil"/>
              <w:bottom w:val="single" w:sz="4" w:space="0" w:color="auto"/>
              <w:right w:val="single" w:sz="4" w:space="0" w:color="auto"/>
            </w:tcBorders>
            <w:shd w:val="clear" w:color="auto" w:fill="FFFFFF"/>
            <w:noWrap/>
            <w:vAlign w:val="center"/>
            <w:hideMark/>
          </w:tcPr>
          <w:p w14:paraId="50041E3C"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65</w:t>
            </w:r>
          </w:p>
        </w:tc>
        <w:tc>
          <w:tcPr>
            <w:tcW w:w="2551" w:type="dxa"/>
            <w:tcBorders>
              <w:top w:val="single" w:sz="4" w:space="0" w:color="auto"/>
              <w:left w:val="nil"/>
              <w:bottom w:val="single" w:sz="4" w:space="0" w:color="auto"/>
              <w:right w:val="single" w:sz="4" w:space="0" w:color="auto"/>
            </w:tcBorders>
            <w:shd w:val="clear" w:color="auto" w:fill="FFFFFF"/>
            <w:noWrap/>
            <w:vAlign w:val="center"/>
            <w:hideMark/>
          </w:tcPr>
          <w:p w14:paraId="4908C487"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6.97%</w:t>
            </w:r>
          </w:p>
        </w:tc>
      </w:tr>
      <w:tr w:rsidR="007968EC" w14:paraId="7E78C577" w14:textId="77777777" w:rsidTr="007968EC">
        <w:trPr>
          <w:trHeight w:val="255"/>
          <w:jc w:val="center"/>
        </w:trPr>
        <w:tc>
          <w:tcPr>
            <w:tcW w:w="21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9DD6CB" w14:textId="77777777" w:rsidR="007968EC" w:rsidRDefault="007968EC" w:rsidP="007968EC">
            <w:pPr>
              <w:spacing w:line="256" w:lineRule="auto"/>
              <w:rPr>
                <w:rFonts w:ascii="Arial Narrow" w:eastAsia="Calibri" w:hAnsi="Arial Narrow" w:cstheme="minorBidi"/>
                <w:color w:val="000000"/>
                <w:lang w:eastAsia="en-US"/>
              </w:rPr>
            </w:pPr>
            <w:r>
              <w:rPr>
                <w:rFonts w:ascii="Arial Narrow" w:eastAsia="Calibri" w:hAnsi="Arial Narrow" w:cstheme="minorBidi"/>
                <w:color w:val="000000"/>
                <w:lang w:eastAsia="en-US"/>
              </w:rPr>
              <w:t>BOLSA DE VALORES DE COLOMBIA</w:t>
            </w:r>
          </w:p>
        </w:tc>
        <w:tc>
          <w:tcPr>
            <w:tcW w:w="1559" w:type="dxa"/>
            <w:tcBorders>
              <w:top w:val="single" w:sz="4" w:space="0" w:color="auto"/>
              <w:left w:val="nil"/>
              <w:bottom w:val="single" w:sz="4" w:space="0" w:color="auto"/>
              <w:right w:val="single" w:sz="4" w:space="0" w:color="auto"/>
            </w:tcBorders>
            <w:shd w:val="clear" w:color="auto" w:fill="FFFFFF"/>
            <w:noWrap/>
            <w:vAlign w:val="center"/>
            <w:hideMark/>
          </w:tcPr>
          <w:p w14:paraId="38461A84"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1.6</w:t>
            </w:r>
          </w:p>
        </w:tc>
        <w:tc>
          <w:tcPr>
            <w:tcW w:w="1560" w:type="dxa"/>
            <w:tcBorders>
              <w:top w:val="single" w:sz="4" w:space="0" w:color="auto"/>
              <w:left w:val="nil"/>
              <w:bottom w:val="single" w:sz="4" w:space="0" w:color="auto"/>
              <w:right w:val="single" w:sz="4" w:space="0" w:color="auto"/>
            </w:tcBorders>
            <w:shd w:val="clear" w:color="auto" w:fill="FFFFFF"/>
            <w:noWrap/>
            <w:vAlign w:val="center"/>
            <w:hideMark/>
          </w:tcPr>
          <w:p w14:paraId="7473FBAA"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240</w:t>
            </w:r>
          </w:p>
        </w:tc>
        <w:tc>
          <w:tcPr>
            <w:tcW w:w="2551" w:type="dxa"/>
            <w:tcBorders>
              <w:top w:val="single" w:sz="4" w:space="0" w:color="auto"/>
              <w:left w:val="nil"/>
              <w:bottom w:val="single" w:sz="4" w:space="0" w:color="auto"/>
              <w:right w:val="single" w:sz="4" w:space="0" w:color="auto"/>
            </w:tcBorders>
            <w:shd w:val="clear" w:color="auto" w:fill="FFFFFF"/>
            <w:noWrap/>
            <w:vAlign w:val="center"/>
            <w:hideMark/>
          </w:tcPr>
          <w:p w14:paraId="208A8E10"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9.00%</w:t>
            </w:r>
          </w:p>
        </w:tc>
      </w:tr>
    </w:tbl>
    <w:p w14:paraId="7A3C5545" w14:textId="77777777" w:rsidR="007968EC" w:rsidRDefault="007968EC" w:rsidP="007968EC">
      <w:pPr>
        <w:jc w:val="both"/>
        <w:rPr>
          <w:rFonts w:ascii="Arial Narrow" w:eastAsia="Calibri" w:hAnsi="Arial Narrow" w:cs="Arial Narrow"/>
          <w:color w:val="000000"/>
          <w:lang w:eastAsia="en-US"/>
        </w:rPr>
      </w:pPr>
    </w:p>
    <w:p w14:paraId="77A03FC2" w14:textId="77777777" w:rsidR="007968EC" w:rsidRDefault="007968EC" w:rsidP="00DA7472">
      <w:pPr>
        <w:numPr>
          <w:ilvl w:val="0"/>
          <w:numId w:val="366"/>
        </w:numPr>
        <w:autoSpaceDE w:val="0"/>
        <w:autoSpaceDN w:val="0"/>
        <w:spacing w:after="160" w:line="256" w:lineRule="auto"/>
        <w:ind w:left="426" w:hanging="426"/>
        <w:contextualSpacing/>
        <w:jc w:val="both"/>
        <w:rPr>
          <w:rFonts w:ascii="Arial Narrow" w:eastAsia="Calibri" w:hAnsi="Arial Narrow"/>
          <w:color w:val="000000"/>
          <w:u w:val="single"/>
          <w:lang w:eastAsia="en-US"/>
        </w:rPr>
      </w:pPr>
      <w:r>
        <w:rPr>
          <w:rFonts w:ascii="Arial Narrow" w:eastAsia="Calibri" w:hAnsi="Arial Narrow"/>
          <w:color w:val="000000"/>
          <w:u w:val="single"/>
          <w:lang w:eastAsia="en-US"/>
        </w:rPr>
        <w:t>Opciones sobre Acciones del Índice COLCAP:</w:t>
      </w:r>
    </w:p>
    <w:p w14:paraId="59BAF3E1" w14:textId="77777777" w:rsidR="007968EC" w:rsidRDefault="007968EC" w:rsidP="007968EC">
      <w:pPr>
        <w:autoSpaceDE w:val="0"/>
        <w:autoSpaceDN w:val="0"/>
        <w:rPr>
          <w:rFonts w:ascii="Arial Narrow" w:eastAsia="Calibri" w:hAnsi="Arial Narrow"/>
          <w:bCs/>
          <w:color w:val="000000"/>
          <w:lang w:val="es-ES" w:eastAsia="es-ES"/>
        </w:rPr>
      </w:pPr>
    </w:p>
    <w:p w14:paraId="742AE90F" w14:textId="77777777" w:rsidR="007968EC" w:rsidRDefault="007968EC" w:rsidP="007968EC">
      <w:pPr>
        <w:jc w:val="both"/>
        <w:rPr>
          <w:rFonts w:ascii="Arial Narrow" w:eastAsia="Calibri" w:hAnsi="Arial Narrow" w:cs="Arial Narrow"/>
          <w:color w:val="000000"/>
          <w:lang w:val="es-ES" w:eastAsia="es-ES"/>
        </w:rPr>
      </w:pPr>
      <w:r>
        <w:rPr>
          <w:rFonts w:ascii="Arial Narrow" w:eastAsia="Calibri" w:hAnsi="Arial Narrow" w:cs="Arial Narrow"/>
          <w:color w:val="000000"/>
          <w:lang w:val="es-ES" w:eastAsia="es-ES"/>
        </w:rPr>
        <w:lastRenderedPageBreak/>
        <w:t>Para el Instrumento Contrato de Opciones sobre Acciones del Índice, se tienen los siguientes parámetros:</w:t>
      </w:r>
    </w:p>
    <w:p w14:paraId="2D3BDAFD" w14:textId="77777777" w:rsidR="007968EC" w:rsidRDefault="007968EC" w:rsidP="007968EC">
      <w:pPr>
        <w:jc w:val="both"/>
        <w:rPr>
          <w:rFonts w:ascii="Arial Narrow" w:eastAsia="Calibri" w:hAnsi="Arial Narrow" w:cs="Arial Narrow"/>
          <w:color w:val="000000"/>
          <w:lang w:val="es-ES" w:eastAsia="es-ES"/>
        </w:rPr>
      </w:pPr>
    </w:p>
    <w:p w14:paraId="6C4CDD2C" w14:textId="77777777" w:rsidR="007968EC" w:rsidRDefault="007968EC" w:rsidP="007968EC">
      <w:pPr>
        <w:jc w:val="both"/>
        <w:rPr>
          <w:rFonts w:ascii="Arial Narrow" w:eastAsia="Calibri" w:hAnsi="Arial Narrow" w:cs="Arial Narrow"/>
          <w:color w:val="000000"/>
          <w:lang w:val="es-ES" w:eastAsia="es-ES"/>
        </w:rPr>
      </w:pPr>
    </w:p>
    <w:tbl>
      <w:tblPr>
        <w:tblW w:w="8865" w:type="dxa"/>
        <w:tblLayout w:type="fixed"/>
        <w:tblCellMar>
          <w:left w:w="70" w:type="dxa"/>
          <w:right w:w="70" w:type="dxa"/>
        </w:tblCellMar>
        <w:tblLook w:val="04A0" w:firstRow="1" w:lastRow="0" w:firstColumn="1" w:lastColumn="0" w:noHBand="0" w:noVBand="1"/>
      </w:tblPr>
      <w:tblGrid>
        <w:gridCol w:w="1655"/>
        <w:gridCol w:w="1321"/>
        <w:gridCol w:w="991"/>
        <w:gridCol w:w="1249"/>
        <w:gridCol w:w="1173"/>
        <w:gridCol w:w="1173"/>
        <w:gridCol w:w="1303"/>
      </w:tblGrid>
      <w:tr w:rsidR="007968EC" w14:paraId="527CE750" w14:textId="77777777" w:rsidTr="007968EC">
        <w:trPr>
          <w:trHeight w:val="513"/>
        </w:trPr>
        <w:tc>
          <w:tcPr>
            <w:tcW w:w="1655" w:type="dxa"/>
            <w:shd w:val="clear" w:color="auto" w:fill="FFFFFF"/>
            <w:noWrap/>
            <w:vAlign w:val="bottom"/>
            <w:hideMark/>
          </w:tcPr>
          <w:p w14:paraId="5BCDC2D7" w14:textId="77777777" w:rsidR="007968EC" w:rsidRDefault="007968EC" w:rsidP="007968EC">
            <w:pPr>
              <w:autoSpaceDE w:val="0"/>
              <w:autoSpaceDN w:val="0"/>
              <w:spacing w:line="256" w:lineRule="auto"/>
              <w:rPr>
                <w:rFonts w:ascii="Arial Narrow" w:eastAsia="Calibri" w:hAnsi="Arial Narrow" w:cstheme="minorBidi"/>
                <w:bCs/>
                <w:color w:val="000000"/>
                <w:lang w:val="es-ES" w:eastAsia="es-ES"/>
              </w:rPr>
            </w:pPr>
            <w:r>
              <w:rPr>
                <w:rFonts w:ascii="Arial Narrow" w:eastAsia="Calibri" w:hAnsi="Arial Narrow" w:cstheme="minorBidi"/>
                <w:color w:val="000000"/>
                <w:lang w:val="es-ES" w:eastAsia="es-ES"/>
              </w:rPr>
              <w:t> </w:t>
            </w:r>
          </w:p>
        </w:tc>
        <w:tc>
          <w:tcPr>
            <w:tcW w:w="13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B894A2" w14:textId="77777777" w:rsidR="007968EC" w:rsidRDefault="007968EC" w:rsidP="007968EC">
            <w:pPr>
              <w:autoSpaceDE w:val="0"/>
              <w:autoSpaceDN w:val="0"/>
              <w:spacing w:line="256" w:lineRule="auto"/>
              <w:jc w:val="center"/>
              <w:rPr>
                <w:rFonts w:ascii="Arial Narrow" w:eastAsia="Calibri" w:hAnsi="Arial Narrow" w:cstheme="minorBidi"/>
                <w:bCs/>
                <w:color w:val="000000"/>
                <w:lang w:val="es-ES" w:eastAsia="es-ES"/>
              </w:rPr>
            </w:pPr>
            <w:r>
              <w:rPr>
                <w:rFonts w:ascii="Arial Narrow" w:eastAsia="Calibri" w:hAnsi="Arial Narrow" w:cstheme="minorBidi"/>
                <w:color w:val="000000"/>
                <w:lang w:val="es-ES" w:eastAsia="es-CO"/>
              </w:rPr>
              <w:t xml:space="preserve">Multiplicador </w:t>
            </w:r>
            <w:r>
              <w:rPr>
                <w:rFonts w:ascii="Arial Narrow" w:eastAsia="Calibri" w:hAnsi="Arial Narrow" w:cstheme="minorBidi"/>
                <w:color w:val="000000"/>
                <w:lang w:val="es-ES" w:eastAsia="es-ES"/>
              </w:rPr>
              <w:t>del contrato</w:t>
            </w:r>
          </w:p>
        </w:tc>
        <w:tc>
          <w:tcPr>
            <w:tcW w:w="992" w:type="dxa"/>
            <w:tcBorders>
              <w:top w:val="single" w:sz="4" w:space="0" w:color="auto"/>
              <w:left w:val="nil"/>
              <w:bottom w:val="single" w:sz="4" w:space="0" w:color="auto"/>
              <w:right w:val="single" w:sz="4" w:space="0" w:color="auto"/>
            </w:tcBorders>
            <w:shd w:val="clear" w:color="auto" w:fill="FFFFFF"/>
            <w:vAlign w:val="center"/>
            <w:hideMark/>
          </w:tcPr>
          <w:p w14:paraId="672B0595" w14:textId="77777777" w:rsidR="007968EC" w:rsidRDefault="007968EC" w:rsidP="007968EC">
            <w:pPr>
              <w:autoSpaceDE w:val="0"/>
              <w:autoSpaceDN w:val="0"/>
              <w:spacing w:line="256" w:lineRule="auto"/>
              <w:jc w:val="center"/>
              <w:rPr>
                <w:rFonts w:ascii="Arial Narrow" w:eastAsia="Calibri" w:hAnsi="Arial Narrow" w:cstheme="minorBidi"/>
                <w:bCs/>
                <w:color w:val="000000"/>
                <w:lang w:val="es-ES" w:eastAsia="es-ES"/>
              </w:rPr>
            </w:pPr>
            <w:r>
              <w:rPr>
                <w:rFonts w:ascii="Arial Narrow" w:eastAsia="Calibri" w:hAnsi="Arial Narrow" w:cstheme="minorBidi"/>
                <w:color w:val="000000"/>
                <w:lang w:val="es-ES" w:eastAsia="es-CO"/>
              </w:rPr>
              <w:t>Nominal</w:t>
            </w:r>
          </w:p>
        </w:tc>
        <w:tc>
          <w:tcPr>
            <w:tcW w:w="1250" w:type="dxa"/>
            <w:tcBorders>
              <w:top w:val="single" w:sz="4" w:space="0" w:color="auto"/>
              <w:left w:val="nil"/>
              <w:bottom w:val="single" w:sz="4" w:space="0" w:color="auto"/>
              <w:right w:val="single" w:sz="4" w:space="0" w:color="auto"/>
            </w:tcBorders>
            <w:shd w:val="clear" w:color="auto" w:fill="FFFFFF"/>
            <w:vAlign w:val="center"/>
            <w:hideMark/>
          </w:tcPr>
          <w:p w14:paraId="78821358" w14:textId="77777777" w:rsidR="007968EC" w:rsidRDefault="007968EC" w:rsidP="007968EC">
            <w:pPr>
              <w:autoSpaceDE w:val="0"/>
              <w:autoSpaceDN w:val="0"/>
              <w:spacing w:line="256" w:lineRule="auto"/>
              <w:jc w:val="center"/>
              <w:rPr>
                <w:rFonts w:ascii="Arial Narrow" w:eastAsia="Calibri" w:hAnsi="Arial Narrow" w:cstheme="minorBidi"/>
                <w:bCs/>
                <w:color w:val="000000"/>
                <w:lang w:val="es-ES" w:eastAsia="es-ES"/>
              </w:rPr>
            </w:pPr>
            <w:proofErr w:type="spellStart"/>
            <w:r>
              <w:rPr>
                <w:rFonts w:ascii="Arial Narrow" w:eastAsia="Calibri" w:hAnsi="Arial Narrow" w:cstheme="minorBidi"/>
                <w:color w:val="000000"/>
                <w:lang w:val="es-ES" w:eastAsia="es-CO"/>
              </w:rPr>
              <w:t>Nº</w:t>
            </w:r>
            <w:proofErr w:type="spellEnd"/>
            <w:r>
              <w:rPr>
                <w:rFonts w:ascii="Arial Narrow" w:eastAsia="Calibri" w:hAnsi="Arial Narrow" w:cstheme="minorBidi"/>
                <w:color w:val="000000"/>
                <w:lang w:val="es-ES" w:eastAsia="es-CO"/>
              </w:rPr>
              <w:t xml:space="preserve"> de Escenarios</w:t>
            </w:r>
          </w:p>
        </w:tc>
        <w:tc>
          <w:tcPr>
            <w:tcW w:w="1174" w:type="dxa"/>
            <w:tcBorders>
              <w:top w:val="single" w:sz="4" w:space="0" w:color="auto"/>
              <w:left w:val="nil"/>
              <w:bottom w:val="single" w:sz="4" w:space="0" w:color="auto"/>
              <w:right w:val="single" w:sz="4" w:space="0" w:color="auto"/>
            </w:tcBorders>
            <w:shd w:val="clear" w:color="auto" w:fill="FFFFFF"/>
            <w:vAlign w:val="center"/>
            <w:hideMark/>
          </w:tcPr>
          <w:p w14:paraId="312D1E97" w14:textId="77777777" w:rsidR="007968EC" w:rsidRDefault="007968EC" w:rsidP="007968EC">
            <w:pPr>
              <w:autoSpaceDE w:val="0"/>
              <w:autoSpaceDN w:val="0"/>
              <w:spacing w:line="256" w:lineRule="auto"/>
              <w:jc w:val="center"/>
              <w:rPr>
                <w:rFonts w:ascii="Arial Narrow" w:eastAsia="Calibri" w:hAnsi="Arial Narrow" w:cstheme="minorBidi"/>
                <w:bCs/>
                <w:color w:val="000000"/>
                <w:lang w:val="es-ES" w:eastAsia="es-ES"/>
              </w:rPr>
            </w:pPr>
            <w:r>
              <w:rPr>
                <w:rFonts w:ascii="Arial Narrow" w:eastAsia="Calibri" w:hAnsi="Arial Narrow" w:cstheme="minorBidi"/>
                <w:color w:val="000000"/>
                <w:lang w:val="es-ES" w:eastAsia="es-CO"/>
              </w:rPr>
              <w:t xml:space="preserve">Tipo de </w:t>
            </w:r>
            <w:r>
              <w:rPr>
                <w:rFonts w:ascii="Arial Narrow" w:eastAsia="Calibri" w:hAnsi="Arial Narrow" w:cstheme="minorBidi"/>
                <w:color w:val="000000"/>
                <w:lang w:val="es-ES" w:eastAsia="es-CO"/>
              </w:rPr>
              <w:br/>
              <w:t>Fluctuación</w:t>
            </w:r>
          </w:p>
        </w:tc>
        <w:tc>
          <w:tcPr>
            <w:tcW w:w="1174" w:type="dxa"/>
            <w:tcBorders>
              <w:top w:val="single" w:sz="4" w:space="0" w:color="auto"/>
              <w:left w:val="nil"/>
              <w:bottom w:val="single" w:sz="4" w:space="0" w:color="auto"/>
              <w:right w:val="single" w:sz="4" w:space="0" w:color="auto"/>
            </w:tcBorders>
            <w:shd w:val="clear" w:color="auto" w:fill="FFFFFF"/>
            <w:vAlign w:val="center"/>
            <w:hideMark/>
          </w:tcPr>
          <w:p w14:paraId="2AFB5801" w14:textId="77777777" w:rsidR="007968EC" w:rsidRDefault="007968EC" w:rsidP="007968EC">
            <w:pPr>
              <w:autoSpaceDE w:val="0"/>
              <w:autoSpaceDN w:val="0"/>
              <w:spacing w:line="256" w:lineRule="auto"/>
              <w:jc w:val="center"/>
              <w:rPr>
                <w:rFonts w:ascii="Arial Narrow" w:eastAsia="Calibri" w:hAnsi="Arial Narrow" w:cstheme="minorBidi"/>
                <w:bCs/>
                <w:color w:val="000000"/>
                <w:lang w:val="es-ES" w:eastAsia="es-ES"/>
              </w:rPr>
            </w:pPr>
            <w:r>
              <w:rPr>
                <w:rFonts w:ascii="Arial Narrow" w:eastAsia="Calibri" w:hAnsi="Arial Narrow" w:cstheme="minorBidi"/>
                <w:color w:val="000000"/>
                <w:lang w:val="es-ES" w:eastAsia="es-CO"/>
              </w:rPr>
              <w:t>Fluctuación</w:t>
            </w:r>
            <w:r>
              <w:rPr>
                <w:rFonts w:ascii="Arial Narrow" w:eastAsia="Calibri" w:hAnsi="Arial Narrow" w:cstheme="minorBidi"/>
                <w:color w:val="000000"/>
                <w:lang w:val="es-ES" w:eastAsia="es-CO"/>
              </w:rPr>
              <w:br/>
              <w:t>Total</w:t>
            </w:r>
          </w:p>
        </w:tc>
        <w:tc>
          <w:tcPr>
            <w:tcW w:w="1304" w:type="dxa"/>
            <w:tcBorders>
              <w:top w:val="single" w:sz="4" w:space="0" w:color="auto"/>
              <w:left w:val="nil"/>
              <w:bottom w:val="single" w:sz="4" w:space="0" w:color="auto"/>
              <w:right w:val="single" w:sz="4" w:space="0" w:color="auto"/>
            </w:tcBorders>
            <w:shd w:val="clear" w:color="auto" w:fill="FFFFFF"/>
            <w:hideMark/>
          </w:tcPr>
          <w:p w14:paraId="076BED57" w14:textId="77777777" w:rsidR="007968EC" w:rsidRDefault="007968EC" w:rsidP="007968EC">
            <w:pPr>
              <w:autoSpaceDE w:val="0"/>
              <w:autoSpaceDN w:val="0"/>
              <w:spacing w:line="256" w:lineRule="auto"/>
              <w:jc w:val="center"/>
              <w:rPr>
                <w:rFonts w:ascii="Arial Narrow" w:eastAsia="Calibri" w:hAnsi="Arial Narrow" w:cstheme="minorBidi"/>
                <w:color w:val="000000"/>
                <w:lang w:val="es-ES" w:eastAsia="es-CO"/>
              </w:rPr>
            </w:pPr>
            <w:r>
              <w:rPr>
                <w:rFonts w:ascii="Arial Narrow" w:eastAsiaTheme="minorHAnsi" w:hAnsi="Arial Narrow" w:cs="Arial"/>
                <w:color w:val="000000"/>
                <w:lang w:val="es-ES" w:eastAsia="es-ES"/>
              </w:rPr>
              <w:t>Porcentaje de Disminución e Incremento</w:t>
            </w:r>
          </w:p>
        </w:tc>
      </w:tr>
      <w:tr w:rsidR="007968EC" w14:paraId="68C117A6" w14:textId="77777777" w:rsidTr="007968EC">
        <w:trPr>
          <w:trHeight w:val="235"/>
        </w:trPr>
        <w:tc>
          <w:tcPr>
            <w:tcW w:w="165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CC2D78F" w14:textId="77777777" w:rsidR="007968EC" w:rsidRDefault="007968EC" w:rsidP="007968EC">
            <w:pPr>
              <w:autoSpaceDE w:val="0"/>
              <w:autoSpaceDN w:val="0"/>
              <w:spacing w:line="256" w:lineRule="auto"/>
              <w:rPr>
                <w:rFonts w:ascii="Arial Narrow" w:eastAsia="Calibri" w:hAnsi="Arial Narrow" w:cstheme="minorBidi"/>
                <w:color w:val="000000"/>
                <w:lang w:val="es-ES" w:eastAsia="es-CO"/>
              </w:rPr>
            </w:pPr>
            <w:r>
              <w:rPr>
                <w:rFonts w:ascii="Arial Narrow" w:eastAsia="Calibri" w:hAnsi="Arial Narrow" w:cstheme="minorBidi"/>
                <w:color w:val="000000"/>
                <w:lang w:val="es-ES" w:eastAsia="es-CO"/>
              </w:rPr>
              <w:t>Opción sobre la acción de Ecopetrol</w:t>
            </w:r>
          </w:p>
        </w:tc>
        <w:tc>
          <w:tcPr>
            <w:tcW w:w="1322" w:type="dxa"/>
            <w:tcBorders>
              <w:top w:val="single" w:sz="4" w:space="0" w:color="auto"/>
              <w:left w:val="nil"/>
              <w:bottom w:val="single" w:sz="4" w:space="0" w:color="auto"/>
              <w:right w:val="single" w:sz="4" w:space="0" w:color="auto"/>
            </w:tcBorders>
            <w:shd w:val="clear" w:color="auto" w:fill="FFFFFF"/>
            <w:noWrap/>
            <w:vAlign w:val="center"/>
            <w:hideMark/>
          </w:tcPr>
          <w:p w14:paraId="79D44736" w14:textId="77777777" w:rsidR="007968EC" w:rsidRDefault="007968EC" w:rsidP="007968EC">
            <w:pPr>
              <w:autoSpaceDE w:val="0"/>
              <w:autoSpaceDN w:val="0"/>
              <w:spacing w:line="256" w:lineRule="auto"/>
              <w:jc w:val="center"/>
              <w:rPr>
                <w:rFonts w:ascii="Arial Narrow" w:eastAsia="Calibri" w:hAnsi="Arial Narrow" w:cstheme="minorBidi"/>
                <w:color w:val="000000"/>
                <w:lang w:val="es-ES" w:eastAsia="es-CO"/>
              </w:rPr>
            </w:pPr>
            <w:r>
              <w:rPr>
                <w:rFonts w:ascii="Arial Narrow" w:eastAsia="Calibri" w:hAnsi="Arial Narrow" w:cstheme="minorBidi"/>
                <w:color w:val="000000"/>
                <w:lang w:val="es-ES" w:eastAsia="es-CO"/>
              </w:rPr>
              <w:t>1.000</w:t>
            </w: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14:paraId="5FBCE0A5" w14:textId="77777777" w:rsidR="007968EC" w:rsidRDefault="007968EC" w:rsidP="007968EC">
            <w:pPr>
              <w:autoSpaceDE w:val="0"/>
              <w:autoSpaceDN w:val="0"/>
              <w:spacing w:line="256" w:lineRule="auto"/>
              <w:jc w:val="center"/>
              <w:rPr>
                <w:rFonts w:ascii="Arial Narrow" w:eastAsia="Calibri" w:hAnsi="Arial Narrow" w:cstheme="minorBidi"/>
                <w:color w:val="000000"/>
                <w:lang w:val="es-ES" w:eastAsia="es-CO"/>
              </w:rPr>
            </w:pPr>
            <w:r>
              <w:rPr>
                <w:rFonts w:ascii="Arial Narrow" w:eastAsia="Calibri" w:hAnsi="Arial Narrow" w:cstheme="minorBidi"/>
                <w:color w:val="000000"/>
                <w:lang w:val="es-ES" w:eastAsia="es-CO"/>
              </w:rPr>
              <w:t>1.000</w:t>
            </w:r>
          </w:p>
        </w:tc>
        <w:tc>
          <w:tcPr>
            <w:tcW w:w="1250" w:type="dxa"/>
            <w:tcBorders>
              <w:top w:val="single" w:sz="4" w:space="0" w:color="auto"/>
              <w:left w:val="nil"/>
              <w:bottom w:val="single" w:sz="4" w:space="0" w:color="auto"/>
              <w:right w:val="single" w:sz="4" w:space="0" w:color="auto"/>
            </w:tcBorders>
            <w:shd w:val="clear" w:color="auto" w:fill="FFFFFF"/>
            <w:noWrap/>
            <w:vAlign w:val="center"/>
            <w:hideMark/>
          </w:tcPr>
          <w:p w14:paraId="6C0307DC" w14:textId="77777777" w:rsidR="007968EC" w:rsidRDefault="007968EC" w:rsidP="007968EC">
            <w:pPr>
              <w:autoSpaceDE w:val="0"/>
              <w:autoSpaceDN w:val="0"/>
              <w:spacing w:line="256" w:lineRule="auto"/>
              <w:jc w:val="center"/>
              <w:rPr>
                <w:rFonts w:ascii="Arial Narrow" w:eastAsia="Calibri" w:hAnsi="Arial Narrow" w:cstheme="minorBidi"/>
                <w:color w:val="000000"/>
                <w:lang w:val="es-ES" w:eastAsia="es-CO"/>
              </w:rPr>
            </w:pPr>
            <w:r>
              <w:rPr>
                <w:rFonts w:ascii="Arial Narrow" w:eastAsia="Calibri" w:hAnsi="Arial Narrow" w:cstheme="minorBidi"/>
                <w:color w:val="000000"/>
                <w:lang w:val="es-ES" w:eastAsia="es-CO"/>
              </w:rPr>
              <w:t>22</w:t>
            </w:r>
          </w:p>
        </w:tc>
        <w:tc>
          <w:tcPr>
            <w:tcW w:w="1174" w:type="dxa"/>
            <w:tcBorders>
              <w:top w:val="single" w:sz="4" w:space="0" w:color="auto"/>
              <w:left w:val="nil"/>
              <w:bottom w:val="single" w:sz="4" w:space="0" w:color="auto"/>
              <w:right w:val="single" w:sz="4" w:space="0" w:color="auto"/>
            </w:tcBorders>
            <w:shd w:val="clear" w:color="auto" w:fill="FFFFFF"/>
            <w:noWrap/>
            <w:vAlign w:val="center"/>
            <w:hideMark/>
          </w:tcPr>
          <w:p w14:paraId="4B516EAB" w14:textId="77777777" w:rsidR="007968EC" w:rsidRDefault="007968EC" w:rsidP="007968EC">
            <w:pPr>
              <w:autoSpaceDE w:val="0"/>
              <w:autoSpaceDN w:val="0"/>
              <w:spacing w:line="256" w:lineRule="auto"/>
              <w:jc w:val="center"/>
              <w:rPr>
                <w:rFonts w:ascii="Arial Narrow" w:eastAsia="Calibri" w:hAnsi="Arial Narrow" w:cstheme="minorBidi"/>
                <w:color w:val="000000"/>
                <w:lang w:val="es-ES" w:eastAsia="es-CO"/>
              </w:rPr>
            </w:pPr>
            <w:r>
              <w:rPr>
                <w:rFonts w:ascii="Arial Narrow" w:eastAsia="Calibri" w:hAnsi="Arial Narrow" w:cstheme="minorBidi"/>
                <w:color w:val="000000"/>
                <w:lang w:val="es-ES" w:eastAsia="es-CO"/>
              </w:rPr>
              <w:t>Porcentual</w:t>
            </w:r>
          </w:p>
        </w:tc>
        <w:tc>
          <w:tcPr>
            <w:tcW w:w="1174" w:type="dxa"/>
            <w:tcBorders>
              <w:top w:val="single" w:sz="4" w:space="0" w:color="auto"/>
              <w:left w:val="nil"/>
              <w:bottom w:val="single" w:sz="4" w:space="0" w:color="auto"/>
              <w:right w:val="single" w:sz="4" w:space="0" w:color="auto"/>
            </w:tcBorders>
            <w:shd w:val="clear" w:color="auto" w:fill="FFFFFF"/>
            <w:noWrap/>
            <w:vAlign w:val="center"/>
            <w:hideMark/>
          </w:tcPr>
          <w:p w14:paraId="0E0F77C2" w14:textId="77777777" w:rsidR="007968EC" w:rsidRDefault="007968EC" w:rsidP="007968EC">
            <w:pPr>
              <w:autoSpaceDE w:val="0"/>
              <w:autoSpaceDN w:val="0"/>
              <w:spacing w:line="256" w:lineRule="auto"/>
              <w:jc w:val="center"/>
              <w:rPr>
                <w:rFonts w:ascii="Arial Narrow" w:eastAsia="Calibri" w:hAnsi="Arial Narrow" w:cstheme="minorBidi"/>
                <w:color w:val="000000"/>
                <w:lang w:val="es-ES" w:eastAsia="es-CO"/>
              </w:rPr>
            </w:pPr>
            <w:r>
              <w:rPr>
                <w:rFonts w:ascii="Arial Narrow" w:eastAsia="Calibri" w:hAnsi="Arial Narrow" w:cstheme="minorBidi"/>
                <w:color w:val="000000"/>
                <w:lang w:val="es-ES" w:eastAsia="es-CO"/>
              </w:rPr>
              <w:t>12.1%</w:t>
            </w:r>
          </w:p>
        </w:tc>
        <w:tc>
          <w:tcPr>
            <w:tcW w:w="1304" w:type="dxa"/>
            <w:tcBorders>
              <w:top w:val="single" w:sz="4" w:space="0" w:color="auto"/>
              <w:left w:val="nil"/>
              <w:bottom w:val="single" w:sz="4" w:space="0" w:color="auto"/>
              <w:right w:val="single" w:sz="4" w:space="0" w:color="auto"/>
            </w:tcBorders>
            <w:shd w:val="clear" w:color="auto" w:fill="FFFFFF"/>
            <w:vAlign w:val="center"/>
            <w:hideMark/>
          </w:tcPr>
          <w:p w14:paraId="0271F498" w14:textId="77777777" w:rsidR="007968EC" w:rsidRDefault="007968EC" w:rsidP="007968EC">
            <w:pPr>
              <w:autoSpaceDE w:val="0"/>
              <w:autoSpaceDN w:val="0"/>
              <w:spacing w:line="256" w:lineRule="auto"/>
              <w:jc w:val="center"/>
              <w:rPr>
                <w:rFonts w:ascii="Arial Narrow" w:eastAsia="Calibri" w:hAnsi="Arial Narrow" w:cstheme="minorBidi"/>
                <w:color w:val="000000"/>
                <w:lang w:val="es-ES" w:eastAsia="es-CO"/>
              </w:rPr>
            </w:pPr>
            <w:r>
              <w:rPr>
                <w:rFonts w:ascii="Arial Narrow" w:eastAsia="Calibri" w:hAnsi="Arial Narrow" w:cstheme="minorBidi"/>
                <w:color w:val="000000"/>
                <w:lang w:val="es-ES" w:eastAsia="es-CO"/>
              </w:rPr>
              <w:t>78%</w:t>
            </w:r>
          </w:p>
        </w:tc>
      </w:tr>
      <w:tr w:rsidR="007968EC" w14:paraId="230D50CB" w14:textId="77777777" w:rsidTr="007968EC">
        <w:trPr>
          <w:trHeight w:val="235"/>
        </w:trPr>
        <w:tc>
          <w:tcPr>
            <w:tcW w:w="165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2B5307E" w14:textId="77777777" w:rsidR="007968EC" w:rsidRDefault="007968EC" w:rsidP="007968EC">
            <w:pPr>
              <w:autoSpaceDE w:val="0"/>
              <w:autoSpaceDN w:val="0"/>
              <w:spacing w:line="256" w:lineRule="auto"/>
              <w:rPr>
                <w:rFonts w:ascii="Arial Narrow" w:eastAsia="Calibri" w:hAnsi="Arial Narrow" w:cstheme="minorBidi"/>
                <w:color w:val="000000"/>
                <w:lang w:val="es-ES" w:eastAsia="es-CO"/>
              </w:rPr>
            </w:pPr>
            <w:r>
              <w:rPr>
                <w:rFonts w:ascii="Arial Narrow" w:eastAsia="Calibri" w:hAnsi="Arial Narrow" w:cstheme="minorBidi"/>
                <w:color w:val="000000"/>
                <w:lang w:val="es-ES" w:eastAsia="es-CO"/>
              </w:rPr>
              <w:t xml:space="preserve">Opción sobre la acción </w:t>
            </w:r>
            <w:r>
              <w:rPr>
                <w:rFonts w:ascii="Arial Narrow" w:eastAsia="Calibri" w:hAnsi="Arial Narrow" w:cstheme="minorBidi"/>
                <w:color w:val="000000"/>
                <w:lang w:val="es-ES" w:eastAsia="es-ES"/>
              </w:rPr>
              <w:t>Preferencial de Bancolombia</w:t>
            </w:r>
          </w:p>
        </w:tc>
        <w:tc>
          <w:tcPr>
            <w:tcW w:w="1322" w:type="dxa"/>
            <w:tcBorders>
              <w:top w:val="single" w:sz="4" w:space="0" w:color="auto"/>
              <w:left w:val="nil"/>
              <w:bottom w:val="single" w:sz="4" w:space="0" w:color="auto"/>
              <w:right w:val="single" w:sz="4" w:space="0" w:color="auto"/>
            </w:tcBorders>
            <w:shd w:val="clear" w:color="auto" w:fill="FFFFFF"/>
            <w:noWrap/>
            <w:vAlign w:val="center"/>
            <w:hideMark/>
          </w:tcPr>
          <w:p w14:paraId="0C1245EA" w14:textId="77777777" w:rsidR="007968EC" w:rsidRDefault="007968EC" w:rsidP="007968EC">
            <w:pPr>
              <w:autoSpaceDE w:val="0"/>
              <w:autoSpaceDN w:val="0"/>
              <w:spacing w:line="256" w:lineRule="auto"/>
              <w:jc w:val="center"/>
              <w:rPr>
                <w:rFonts w:ascii="Arial Narrow" w:eastAsia="Calibri" w:hAnsi="Arial Narrow" w:cstheme="minorBidi"/>
                <w:color w:val="000000"/>
                <w:lang w:val="es-ES" w:eastAsia="es-CO"/>
              </w:rPr>
            </w:pPr>
            <w:r>
              <w:rPr>
                <w:rFonts w:ascii="Arial Narrow" w:eastAsia="Calibri" w:hAnsi="Arial Narrow" w:cstheme="minorBidi"/>
                <w:color w:val="000000"/>
                <w:lang w:val="es-ES" w:eastAsia="es-CO"/>
              </w:rPr>
              <w:t>1.000</w:t>
            </w: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14:paraId="3410EA51" w14:textId="77777777" w:rsidR="007968EC" w:rsidRDefault="007968EC" w:rsidP="007968EC">
            <w:pPr>
              <w:autoSpaceDE w:val="0"/>
              <w:autoSpaceDN w:val="0"/>
              <w:spacing w:line="256" w:lineRule="auto"/>
              <w:jc w:val="center"/>
              <w:rPr>
                <w:rFonts w:ascii="Arial Narrow" w:eastAsia="Calibri" w:hAnsi="Arial Narrow" w:cstheme="minorBidi"/>
                <w:color w:val="000000"/>
                <w:lang w:val="es-ES" w:eastAsia="es-CO"/>
              </w:rPr>
            </w:pPr>
            <w:r>
              <w:rPr>
                <w:rFonts w:ascii="Arial Narrow" w:eastAsia="Calibri" w:hAnsi="Arial Narrow" w:cstheme="minorBidi"/>
                <w:color w:val="000000"/>
                <w:lang w:val="es-ES" w:eastAsia="es-CO"/>
              </w:rPr>
              <w:t>1.000</w:t>
            </w:r>
          </w:p>
        </w:tc>
        <w:tc>
          <w:tcPr>
            <w:tcW w:w="1250" w:type="dxa"/>
            <w:tcBorders>
              <w:top w:val="single" w:sz="4" w:space="0" w:color="auto"/>
              <w:left w:val="nil"/>
              <w:bottom w:val="single" w:sz="4" w:space="0" w:color="auto"/>
              <w:right w:val="single" w:sz="4" w:space="0" w:color="auto"/>
            </w:tcBorders>
            <w:shd w:val="clear" w:color="auto" w:fill="FFFFFF"/>
            <w:noWrap/>
            <w:vAlign w:val="center"/>
            <w:hideMark/>
          </w:tcPr>
          <w:p w14:paraId="07F9E3C5" w14:textId="77777777" w:rsidR="007968EC" w:rsidRDefault="007968EC" w:rsidP="007968EC">
            <w:pPr>
              <w:autoSpaceDE w:val="0"/>
              <w:autoSpaceDN w:val="0"/>
              <w:spacing w:line="256" w:lineRule="auto"/>
              <w:jc w:val="center"/>
              <w:rPr>
                <w:rFonts w:ascii="Arial Narrow" w:eastAsia="Calibri" w:hAnsi="Arial Narrow" w:cstheme="minorBidi"/>
                <w:color w:val="000000"/>
                <w:lang w:val="es-ES" w:eastAsia="es-CO"/>
              </w:rPr>
            </w:pPr>
            <w:r>
              <w:rPr>
                <w:rFonts w:ascii="Arial Narrow" w:eastAsia="Calibri" w:hAnsi="Arial Narrow" w:cstheme="minorBidi"/>
                <w:color w:val="000000"/>
                <w:lang w:val="es-ES" w:eastAsia="es-CO"/>
              </w:rPr>
              <w:t>22</w:t>
            </w:r>
          </w:p>
        </w:tc>
        <w:tc>
          <w:tcPr>
            <w:tcW w:w="1174" w:type="dxa"/>
            <w:tcBorders>
              <w:top w:val="single" w:sz="4" w:space="0" w:color="auto"/>
              <w:left w:val="nil"/>
              <w:bottom w:val="single" w:sz="4" w:space="0" w:color="auto"/>
              <w:right w:val="single" w:sz="4" w:space="0" w:color="auto"/>
            </w:tcBorders>
            <w:shd w:val="clear" w:color="auto" w:fill="FFFFFF"/>
            <w:noWrap/>
            <w:vAlign w:val="center"/>
            <w:hideMark/>
          </w:tcPr>
          <w:p w14:paraId="18A3B4D7" w14:textId="77777777" w:rsidR="007968EC" w:rsidRDefault="007968EC" w:rsidP="007968EC">
            <w:pPr>
              <w:autoSpaceDE w:val="0"/>
              <w:autoSpaceDN w:val="0"/>
              <w:spacing w:line="256" w:lineRule="auto"/>
              <w:jc w:val="center"/>
              <w:rPr>
                <w:rFonts w:ascii="Arial Narrow" w:eastAsia="Calibri" w:hAnsi="Arial Narrow" w:cstheme="minorBidi"/>
                <w:color w:val="000000"/>
                <w:lang w:val="es-ES" w:eastAsia="es-CO"/>
              </w:rPr>
            </w:pPr>
            <w:r>
              <w:rPr>
                <w:rFonts w:ascii="Arial Narrow" w:eastAsia="Calibri" w:hAnsi="Arial Narrow" w:cstheme="minorBidi"/>
                <w:color w:val="000000"/>
                <w:lang w:val="es-ES" w:eastAsia="es-CO"/>
              </w:rPr>
              <w:t>Porcentual</w:t>
            </w:r>
          </w:p>
        </w:tc>
        <w:tc>
          <w:tcPr>
            <w:tcW w:w="1174" w:type="dxa"/>
            <w:tcBorders>
              <w:top w:val="single" w:sz="4" w:space="0" w:color="auto"/>
              <w:left w:val="nil"/>
              <w:bottom w:val="single" w:sz="4" w:space="0" w:color="auto"/>
              <w:right w:val="single" w:sz="4" w:space="0" w:color="auto"/>
            </w:tcBorders>
            <w:shd w:val="clear" w:color="auto" w:fill="FFFFFF"/>
            <w:noWrap/>
            <w:vAlign w:val="center"/>
            <w:hideMark/>
          </w:tcPr>
          <w:p w14:paraId="5B5D5F64" w14:textId="77777777" w:rsidR="007968EC" w:rsidRDefault="007968EC" w:rsidP="007968EC">
            <w:pPr>
              <w:autoSpaceDE w:val="0"/>
              <w:autoSpaceDN w:val="0"/>
              <w:spacing w:line="256" w:lineRule="auto"/>
              <w:jc w:val="center"/>
              <w:rPr>
                <w:rFonts w:ascii="Arial Narrow" w:eastAsia="Calibri" w:hAnsi="Arial Narrow" w:cstheme="minorBidi"/>
                <w:color w:val="000000"/>
                <w:lang w:val="es-ES" w:eastAsia="es-CO"/>
              </w:rPr>
            </w:pPr>
            <w:r>
              <w:rPr>
                <w:rFonts w:ascii="Arial Narrow" w:eastAsia="Calibri" w:hAnsi="Arial Narrow" w:cstheme="minorBidi"/>
                <w:color w:val="000000"/>
                <w:lang w:val="es-ES" w:eastAsia="es-CO"/>
              </w:rPr>
              <w:t>9.4%</w:t>
            </w:r>
          </w:p>
        </w:tc>
        <w:tc>
          <w:tcPr>
            <w:tcW w:w="1304" w:type="dxa"/>
            <w:tcBorders>
              <w:top w:val="single" w:sz="4" w:space="0" w:color="auto"/>
              <w:left w:val="nil"/>
              <w:bottom w:val="single" w:sz="4" w:space="0" w:color="auto"/>
              <w:right w:val="single" w:sz="4" w:space="0" w:color="auto"/>
            </w:tcBorders>
            <w:shd w:val="clear" w:color="auto" w:fill="FFFFFF"/>
            <w:vAlign w:val="center"/>
            <w:hideMark/>
          </w:tcPr>
          <w:p w14:paraId="28215D84" w14:textId="77777777" w:rsidR="007968EC" w:rsidRDefault="007968EC" w:rsidP="007968EC">
            <w:pPr>
              <w:autoSpaceDE w:val="0"/>
              <w:autoSpaceDN w:val="0"/>
              <w:spacing w:line="256" w:lineRule="auto"/>
              <w:jc w:val="center"/>
              <w:rPr>
                <w:rFonts w:ascii="Arial Narrow" w:eastAsia="Calibri" w:hAnsi="Arial Narrow" w:cstheme="minorBidi"/>
                <w:color w:val="000000"/>
                <w:lang w:val="es-ES" w:eastAsia="es-CO"/>
              </w:rPr>
            </w:pPr>
            <w:r>
              <w:rPr>
                <w:rFonts w:ascii="Arial Narrow" w:eastAsia="Calibri" w:hAnsi="Arial Narrow" w:cstheme="minorBidi"/>
                <w:color w:val="000000"/>
                <w:lang w:val="es-ES" w:eastAsia="es-CO"/>
              </w:rPr>
              <w:t>62%</w:t>
            </w:r>
          </w:p>
        </w:tc>
      </w:tr>
      <w:tr w:rsidR="007968EC" w14:paraId="01DE919E" w14:textId="77777777" w:rsidTr="007968EC">
        <w:trPr>
          <w:trHeight w:val="235"/>
        </w:trPr>
        <w:tc>
          <w:tcPr>
            <w:tcW w:w="165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0E14C4B" w14:textId="77777777" w:rsidR="007968EC" w:rsidRDefault="007968EC" w:rsidP="007968EC">
            <w:pPr>
              <w:autoSpaceDE w:val="0"/>
              <w:autoSpaceDN w:val="0"/>
              <w:spacing w:line="256" w:lineRule="auto"/>
              <w:rPr>
                <w:rFonts w:ascii="Arial Narrow" w:eastAsia="Calibri" w:hAnsi="Arial Narrow" w:cstheme="minorBidi"/>
                <w:color w:val="000000"/>
                <w:lang w:val="es-ES" w:eastAsia="es-CO"/>
              </w:rPr>
            </w:pPr>
            <w:r>
              <w:rPr>
                <w:rFonts w:ascii="Arial Narrow" w:eastAsia="Calibri" w:hAnsi="Arial Narrow" w:cstheme="minorBidi"/>
                <w:color w:val="000000"/>
                <w:lang w:val="es-ES" w:eastAsia="es-CO"/>
              </w:rPr>
              <w:t>Opción sobre la acción Preferencial</w:t>
            </w:r>
            <w:r>
              <w:rPr>
                <w:rFonts w:ascii="Arial Narrow" w:eastAsia="Calibri" w:hAnsi="Arial Narrow" w:cstheme="minorBidi"/>
                <w:color w:val="000000"/>
                <w:lang w:val="es-ES" w:eastAsia="es-ES"/>
              </w:rPr>
              <w:t xml:space="preserve"> Aval</w:t>
            </w:r>
          </w:p>
        </w:tc>
        <w:tc>
          <w:tcPr>
            <w:tcW w:w="1322" w:type="dxa"/>
            <w:tcBorders>
              <w:top w:val="single" w:sz="4" w:space="0" w:color="auto"/>
              <w:left w:val="nil"/>
              <w:bottom w:val="single" w:sz="4" w:space="0" w:color="auto"/>
              <w:right w:val="single" w:sz="4" w:space="0" w:color="auto"/>
            </w:tcBorders>
            <w:shd w:val="clear" w:color="auto" w:fill="FFFFFF"/>
            <w:noWrap/>
            <w:vAlign w:val="center"/>
            <w:hideMark/>
          </w:tcPr>
          <w:p w14:paraId="6E38BD33" w14:textId="77777777" w:rsidR="007968EC" w:rsidRDefault="007968EC" w:rsidP="007968EC">
            <w:pPr>
              <w:autoSpaceDE w:val="0"/>
              <w:autoSpaceDN w:val="0"/>
              <w:spacing w:line="256" w:lineRule="auto"/>
              <w:jc w:val="center"/>
              <w:rPr>
                <w:rFonts w:ascii="Arial Narrow" w:eastAsia="Calibri" w:hAnsi="Arial Narrow" w:cstheme="minorBidi"/>
                <w:color w:val="000000"/>
                <w:lang w:val="es-ES" w:eastAsia="es-CO"/>
              </w:rPr>
            </w:pPr>
            <w:r>
              <w:rPr>
                <w:rFonts w:ascii="Arial Narrow" w:eastAsia="Calibri" w:hAnsi="Arial Narrow" w:cstheme="minorBidi"/>
                <w:color w:val="000000"/>
                <w:lang w:val="es-ES" w:eastAsia="es-CO"/>
              </w:rPr>
              <w:t>1.000</w:t>
            </w: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14:paraId="11BF3335" w14:textId="77777777" w:rsidR="007968EC" w:rsidRDefault="007968EC" w:rsidP="007968EC">
            <w:pPr>
              <w:autoSpaceDE w:val="0"/>
              <w:autoSpaceDN w:val="0"/>
              <w:spacing w:line="256" w:lineRule="auto"/>
              <w:jc w:val="center"/>
              <w:rPr>
                <w:rFonts w:ascii="Arial Narrow" w:eastAsia="Calibri" w:hAnsi="Arial Narrow" w:cstheme="minorBidi"/>
                <w:color w:val="000000"/>
                <w:lang w:val="es-ES" w:eastAsia="es-CO"/>
              </w:rPr>
            </w:pPr>
            <w:r>
              <w:rPr>
                <w:rFonts w:ascii="Arial Narrow" w:eastAsia="Calibri" w:hAnsi="Arial Narrow" w:cstheme="minorBidi"/>
                <w:color w:val="000000"/>
                <w:lang w:val="es-ES" w:eastAsia="es-CO"/>
              </w:rPr>
              <w:t>1.000</w:t>
            </w:r>
          </w:p>
        </w:tc>
        <w:tc>
          <w:tcPr>
            <w:tcW w:w="1250" w:type="dxa"/>
            <w:tcBorders>
              <w:top w:val="single" w:sz="4" w:space="0" w:color="auto"/>
              <w:left w:val="nil"/>
              <w:bottom w:val="single" w:sz="4" w:space="0" w:color="auto"/>
              <w:right w:val="single" w:sz="4" w:space="0" w:color="auto"/>
            </w:tcBorders>
            <w:shd w:val="clear" w:color="auto" w:fill="FFFFFF"/>
            <w:noWrap/>
            <w:vAlign w:val="center"/>
            <w:hideMark/>
          </w:tcPr>
          <w:p w14:paraId="6F1C3E76" w14:textId="77777777" w:rsidR="007968EC" w:rsidRDefault="007968EC" w:rsidP="007968EC">
            <w:pPr>
              <w:autoSpaceDE w:val="0"/>
              <w:autoSpaceDN w:val="0"/>
              <w:spacing w:line="256" w:lineRule="auto"/>
              <w:jc w:val="center"/>
              <w:rPr>
                <w:rFonts w:ascii="Arial Narrow" w:eastAsia="Calibri" w:hAnsi="Arial Narrow" w:cstheme="minorBidi"/>
                <w:color w:val="000000"/>
                <w:lang w:val="es-ES" w:eastAsia="es-CO"/>
              </w:rPr>
            </w:pPr>
            <w:r>
              <w:rPr>
                <w:rFonts w:ascii="Arial Narrow" w:eastAsia="Calibri" w:hAnsi="Arial Narrow" w:cstheme="minorBidi"/>
                <w:color w:val="000000"/>
                <w:lang w:val="es-ES" w:eastAsia="es-CO"/>
              </w:rPr>
              <w:t>22</w:t>
            </w:r>
          </w:p>
        </w:tc>
        <w:tc>
          <w:tcPr>
            <w:tcW w:w="1174" w:type="dxa"/>
            <w:tcBorders>
              <w:top w:val="single" w:sz="4" w:space="0" w:color="auto"/>
              <w:left w:val="nil"/>
              <w:bottom w:val="single" w:sz="4" w:space="0" w:color="auto"/>
              <w:right w:val="single" w:sz="4" w:space="0" w:color="auto"/>
            </w:tcBorders>
            <w:shd w:val="clear" w:color="auto" w:fill="FFFFFF"/>
            <w:noWrap/>
            <w:vAlign w:val="center"/>
            <w:hideMark/>
          </w:tcPr>
          <w:p w14:paraId="29951647" w14:textId="77777777" w:rsidR="007968EC" w:rsidRDefault="007968EC" w:rsidP="007968EC">
            <w:pPr>
              <w:autoSpaceDE w:val="0"/>
              <w:autoSpaceDN w:val="0"/>
              <w:spacing w:line="256" w:lineRule="auto"/>
              <w:jc w:val="center"/>
              <w:rPr>
                <w:rFonts w:ascii="Arial Narrow" w:eastAsia="Calibri" w:hAnsi="Arial Narrow" w:cstheme="minorBidi"/>
                <w:color w:val="000000"/>
                <w:lang w:val="es-ES" w:eastAsia="es-CO"/>
              </w:rPr>
            </w:pPr>
            <w:r>
              <w:rPr>
                <w:rFonts w:ascii="Arial Narrow" w:eastAsia="Calibri" w:hAnsi="Arial Narrow" w:cstheme="minorBidi"/>
                <w:color w:val="000000"/>
                <w:lang w:val="es-ES" w:eastAsia="es-CO"/>
              </w:rPr>
              <w:t>Porcentual</w:t>
            </w:r>
          </w:p>
        </w:tc>
        <w:tc>
          <w:tcPr>
            <w:tcW w:w="1174" w:type="dxa"/>
            <w:tcBorders>
              <w:top w:val="single" w:sz="4" w:space="0" w:color="auto"/>
              <w:left w:val="nil"/>
              <w:bottom w:val="single" w:sz="4" w:space="0" w:color="auto"/>
              <w:right w:val="single" w:sz="4" w:space="0" w:color="auto"/>
            </w:tcBorders>
            <w:shd w:val="clear" w:color="auto" w:fill="FFFFFF"/>
            <w:noWrap/>
            <w:vAlign w:val="center"/>
            <w:hideMark/>
          </w:tcPr>
          <w:p w14:paraId="57845A5D" w14:textId="77777777" w:rsidR="007968EC" w:rsidRDefault="007968EC" w:rsidP="007968EC">
            <w:pPr>
              <w:autoSpaceDE w:val="0"/>
              <w:autoSpaceDN w:val="0"/>
              <w:spacing w:line="256" w:lineRule="auto"/>
              <w:jc w:val="center"/>
              <w:rPr>
                <w:rFonts w:ascii="Arial Narrow" w:eastAsia="Calibri" w:hAnsi="Arial Narrow" w:cstheme="minorBidi"/>
                <w:color w:val="000000"/>
                <w:lang w:val="es-ES" w:eastAsia="es-CO"/>
              </w:rPr>
            </w:pPr>
            <w:r>
              <w:rPr>
                <w:rFonts w:ascii="Arial Narrow" w:eastAsia="Calibri" w:hAnsi="Arial Narrow" w:cstheme="minorBidi"/>
                <w:color w:val="000000"/>
                <w:lang w:val="es-ES" w:eastAsia="es-CO"/>
              </w:rPr>
              <w:t>13.4%</w:t>
            </w:r>
          </w:p>
        </w:tc>
        <w:tc>
          <w:tcPr>
            <w:tcW w:w="1304" w:type="dxa"/>
            <w:tcBorders>
              <w:top w:val="single" w:sz="4" w:space="0" w:color="auto"/>
              <w:left w:val="nil"/>
              <w:bottom w:val="single" w:sz="4" w:space="0" w:color="auto"/>
              <w:right w:val="single" w:sz="4" w:space="0" w:color="auto"/>
            </w:tcBorders>
            <w:shd w:val="clear" w:color="auto" w:fill="FFFFFF"/>
            <w:vAlign w:val="center"/>
            <w:hideMark/>
          </w:tcPr>
          <w:p w14:paraId="0B8B80F3" w14:textId="77777777" w:rsidR="007968EC" w:rsidRDefault="007968EC" w:rsidP="007968EC">
            <w:pPr>
              <w:autoSpaceDE w:val="0"/>
              <w:autoSpaceDN w:val="0"/>
              <w:spacing w:line="256" w:lineRule="auto"/>
              <w:jc w:val="center"/>
              <w:rPr>
                <w:rFonts w:ascii="Arial Narrow" w:eastAsia="Calibri" w:hAnsi="Arial Narrow" w:cstheme="minorBidi"/>
                <w:color w:val="000000"/>
                <w:lang w:val="es-ES" w:eastAsia="es-CO"/>
              </w:rPr>
            </w:pPr>
            <w:r>
              <w:rPr>
                <w:rFonts w:ascii="Arial Narrow" w:eastAsia="Calibri" w:hAnsi="Arial Narrow" w:cstheme="minorBidi"/>
                <w:color w:val="000000"/>
                <w:lang w:val="es-ES" w:eastAsia="es-CO"/>
              </w:rPr>
              <w:t>64%</w:t>
            </w:r>
          </w:p>
        </w:tc>
      </w:tr>
    </w:tbl>
    <w:p w14:paraId="52851BBC" w14:textId="77777777" w:rsidR="007968EC" w:rsidRDefault="007968EC" w:rsidP="007968EC">
      <w:pPr>
        <w:jc w:val="both"/>
        <w:rPr>
          <w:rFonts w:ascii="Arial Narrow" w:eastAsia="Calibri" w:hAnsi="Arial Narrow" w:cs="Arial Narrow"/>
          <w:color w:val="000000"/>
          <w:lang w:val="es-ES" w:eastAsia="es-ES"/>
        </w:rPr>
      </w:pPr>
    </w:p>
    <w:p w14:paraId="5785E41F" w14:textId="77777777" w:rsidR="007968EC" w:rsidRDefault="007968EC" w:rsidP="007968EC">
      <w:pPr>
        <w:jc w:val="both"/>
        <w:rPr>
          <w:rFonts w:ascii="Arial Narrow" w:eastAsia="Calibri" w:hAnsi="Arial Narrow" w:cs="Arial Narrow"/>
          <w:color w:val="000000"/>
          <w:lang w:val="es-ES" w:eastAsia="es-ES"/>
        </w:rPr>
      </w:pPr>
    </w:p>
    <w:tbl>
      <w:tblPr>
        <w:tblW w:w="6315" w:type="dxa"/>
        <w:jc w:val="center"/>
        <w:tblLayout w:type="fixed"/>
        <w:tblCellMar>
          <w:left w:w="70" w:type="dxa"/>
          <w:right w:w="70" w:type="dxa"/>
        </w:tblCellMar>
        <w:tblLook w:val="04A0" w:firstRow="1" w:lastRow="0" w:firstColumn="1" w:lastColumn="0" w:noHBand="0" w:noVBand="1"/>
      </w:tblPr>
      <w:tblGrid>
        <w:gridCol w:w="1816"/>
        <w:gridCol w:w="1440"/>
        <w:gridCol w:w="1519"/>
        <w:gridCol w:w="1540"/>
      </w:tblGrid>
      <w:tr w:rsidR="007968EC" w14:paraId="705885F9" w14:textId="77777777" w:rsidTr="007968EC">
        <w:trPr>
          <w:trHeight w:val="555"/>
          <w:jc w:val="center"/>
        </w:trPr>
        <w:tc>
          <w:tcPr>
            <w:tcW w:w="1818" w:type="dxa"/>
            <w:tcBorders>
              <w:top w:val="nil"/>
              <w:left w:val="nil"/>
              <w:bottom w:val="single" w:sz="4" w:space="0" w:color="auto"/>
              <w:right w:val="single" w:sz="4" w:space="0" w:color="auto"/>
            </w:tcBorders>
            <w:shd w:val="clear" w:color="auto" w:fill="FFFFFF"/>
            <w:noWrap/>
            <w:vAlign w:val="bottom"/>
          </w:tcPr>
          <w:p w14:paraId="468D6E86" w14:textId="77777777" w:rsidR="007968EC" w:rsidRDefault="007968EC" w:rsidP="007968EC">
            <w:pPr>
              <w:autoSpaceDE w:val="0"/>
              <w:autoSpaceDN w:val="0"/>
              <w:spacing w:line="256" w:lineRule="auto"/>
              <w:rPr>
                <w:rFonts w:ascii="Arial Narrow" w:eastAsia="Calibri" w:hAnsi="Arial Narrow" w:cstheme="minorBidi"/>
                <w:bCs/>
                <w:color w:val="000000"/>
                <w:lang w:val="es-ES" w:eastAsia="es-ES"/>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D5EEC9" w14:textId="77777777" w:rsidR="007968EC" w:rsidRDefault="007968EC" w:rsidP="007968EC">
            <w:pPr>
              <w:autoSpaceDE w:val="0"/>
              <w:autoSpaceDN w:val="0"/>
              <w:spacing w:line="256" w:lineRule="auto"/>
              <w:jc w:val="center"/>
              <w:rPr>
                <w:rFonts w:ascii="Arial Narrow" w:eastAsia="Calibri" w:hAnsi="Arial Narrow" w:cstheme="minorBidi"/>
                <w:bCs/>
                <w:color w:val="000000"/>
                <w:lang w:val="pt-BR" w:eastAsia="es-ES"/>
              </w:rPr>
            </w:pPr>
            <w:r>
              <w:rPr>
                <w:rFonts w:ascii="Arial Narrow" w:eastAsia="Calibri" w:hAnsi="Arial Narrow" w:cstheme="minorBidi"/>
                <w:color w:val="000000"/>
                <w:lang w:val="pt-BR" w:eastAsia="es-CO"/>
              </w:rPr>
              <w:t xml:space="preserve">Factor de cobertura por </w:t>
            </w:r>
            <w:r>
              <w:rPr>
                <w:rFonts w:ascii="Arial Narrow" w:eastAsia="Calibri" w:hAnsi="Arial Narrow" w:cstheme="minorBidi"/>
                <w:color w:val="000000"/>
                <w:lang w:val="pt-BR" w:eastAsia="es-CO"/>
              </w:rPr>
              <w:br/>
              <w:t>Time Spread</w:t>
            </w: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366245" w14:textId="77777777" w:rsidR="007968EC" w:rsidRDefault="007968EC" w:rsidP="007968EC">
            <w:pPr>
              <w:autoSpaceDE w:val="0"/>
              <w:autoSpaceDN w:val="0"/>
              <w:spacing w:line="256" w:lineRule="auto"/>
              <w:jc w:val="center"/>
              <w:rPr>
                <w:rFonts w:ascii="Arial Narrow" w:eastAsia="Calibri" w:hAnsi="Arial Narrow" w:cstheme="minorBidi"/>
                <w:bCs/>
                <w:color w:val="000000"/>
                <w:lang w:val="es-ES" w:eastAsia="es-ES"/>
              </w:rPr>
            </w:pPr>
            <w:r>
              <w:rPr>
                <w:rFonts w:ascii="Arial Narrow" w:eastAsia="Calibri" w:hAnsi="Arial Narrow" w:cstheme="minorBidi"/>
                <w:color w:val="000000"/>
                <w:lang w:val="es-ES" w:eastAsia="es-CO"/>
              </w:rPr>
              <w:t xml:space="preserve">Valor </w:t>
            </w:r>
            <w:r>
              <w:rPr>
                <w:rFonts w:ascii="Arial Narrow" w:eastAsia="Calibri" w:hAnsi="Arial Narrow" w:cstheme="minorBidi"/>
                <w:color w:val="000000"/>
                <w:lang w:val="es-ES" w:eastAsia="es-CO"/>
              </w:rPr>
              <w:br/>
              <w:t>Mínimo por</w:t>
            </w:r>
            <w:r>
              <w:rPr>
                <w:rFonts w:ascii="Arial Narrow" w:eastAsia="Calibri" w:hAnsi="Arial Narrow" w:cstheme="minorBidi"/>
                <w:color w:val="000000"/>
                <w:lang w:val="es-ES" w:eastAsia="es-CO"/>
              </w:rPr>
              <w:br/>
              <w:t>Spread</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64D553" w14:textId="77777777" w:rsidR="007968EC" w:rsidRDefault="007968EC" w:rsidP="007968EC">
            <w:pPr>
              <w:autoSpaceDE w:val="0"/>
              <w:autoSpaceDN w:val="0"/>
              <w:spacing w:line="256" w:lineRule="auto"/>
              <w:jc w:val="center"/>
              <w:rPr>
                <w:rFonts w:ascii="Arial Narrow" w:eastAsia="Calibri" w:hAnsi="Arial Narrow" w:cstheme="minorBidi"/>
                <w:bCs/>
                <w:color w:val="000000"/>
                <w:lang w:val="es-ES" w:eastAsia="es-ES"/>
              </w:rPr>
            </w:pPr>
            <w:r>
              <w:rPr>
                <w:rFonts w:ascii="Arial Narrow" w:eastAsia="Calibri" w:hAnsi="Arial Narrow" w:cstheme="minorBidi"/>
                <w:color w:val="000000"/>
                <w:lang w:val="es-ES" w:eastAsia="es-CO"/>
              </w:rPr>
              <w:t>Fluctuación para</w:t>
            </w:r>
            <w:r>
              <w:rPr>
                <w:rFonts w:ascii="Arial Narrow" w:eastAsia="Calibri" w:hAnsi="Arial Narrow" w:cstheme="minorBidi"/>
                <w:color w:val="000000"/>
                <w:lang w:val="es-ES" w:eastAsia="es-CO"/>
              </w:rPr>
              <w:br/>
              <w:t xml:space="preserve">llamados a </w:t>
            </w:r>
            <w:r>
              <w:rPr>
                <w:rFonts w:ascii="Arial Narrow" w:eastAsia="Calibri" w:hAnsi="Arial Narrow" w:cstheme="minorBidi"/>
                <w:color w:val="000000"/>
                <w:lang w:val="es-ES" w:eastAsia="es-CO"/>
              </w:rPr>
              <w:br/>
              <w:t>Garantías</w:t>
            </w:r>
            <w:r>
              <w:rPr>
                <w:rFonts w:ascii="Arial Narrow" w:eastAsia="Calibri" w:hAnsi="Arial Narrow" w:cstheme="minorBidi"/>
                <w:color w:val="000000"/>
                <w:lang w:val="es-ES" w:eastAsia="es-CO"/>
              </w:rPr>
              <w:br/>
              <w:t>Extraordinarias</w:t>
            </w:r>
          </w:p>
        </w:tc>
      </w:tr>
      <w:tr w:rsidR="007968EC" w14:paraId="7E53AE5E" w14:textId="77777777" w:rsidTr="007968EC">
        <w:trPr>
          <w:trHeight w:val="255"/>
          <w:jc w:val="center"/>
        </w:trPr>
        <w:tc>
          <w:tcPr>
            <w:tcW w:w="18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F18A3D6" w14:textId="77777777" w:rsidR="007968EC" w:rsidRDefault="007968EC" w:rsidP="007968EC">
            <w:pPr>
              <w:autoSpaceDE w:val="0"/>
              <w:autoSpaceDN w:val="0"/>
              <w:spacing w:line="256" w:lineRule="auto"/>
              <w:rPr>
                <w:rFonts w:ascii="Arial Narrow" w:eastAsia="Calibri" w:hAnsi="Arial Narrow" w:cstheme="minorBidi"/>
                <w:color w:val="000000"/>
                <w:lang w:val="es-ES" w:eastAsia="es-CO"/>
              </w:rPr>
            </w:pPr>
            <w:r>
              <w:rPr>
                <w:rFonts w:ascii="Arial Narrow" w:eastAsia="Calibri" w:hAnsi="Arial Narrow" w:cstheme="minorBidi"/>
                <w:color w:val="000000"/>
                <w:lang w:val="es-ES" w:eastAsia="es-CO"/>
              </w:rPr>
              <w:t>Opción sobre la acción de Ecopetrol</w:t>
            </w:r>
          </w:p>
        </w:tc>
        <w:tc>
          <w:tcPr>
            <w:tcW w:w="1440" w:type="dxa"/>
            <w:tcBorders>
              <w:top w:val="single" w:sz="4" w:space="0" w:color="auto"/>
              <w:left w:val="nil"/>
              <w:bottom w:val="single" w:sz="4" w:space="0" w:color="auto"/>
              <w:right w:val="single" w:sz="4" w:space="0" w:color="auto"/>
            </w:tcBorders>
            <w:shd w:val="clear" w:color="auto" w:fill="FFFFFF"/>
            <w:noWrap/>
            <w:vAlign w:val="center"/>
            <w:hideMark/>
          </w:tcPr>
          <w:p w14:paraId="3F51FE51" w14:textId="77777777" w:rsidR="007968EC" w:rsidRDefault="007968EC" w:rsidP="007968EC">
            <w:pPr>
              <w:autoSpaceDE w:val="0"/>
              <w:autoSpaceDN w:val="0"/>
              <w:spacing w:line="256" w:lineRule="auto"/>
              <w:jc w:val="center"/>
              <w:rPr>
                <w:rFonts w:ascii="Arial Narrow" w:eastAsia="Calibri" w:hAnsi="Arial Narrow" w:cstheme="minorBidi"/>
                <w:color w:val="000000"/>
                <w:lang w:val="es-ES" w:eastAsia="es-CO"/>
              </w:rPr>
            </w:pPr>
            <w:r>
              <w:rPr>
                <w:rFonts w:ascii="Arial Narrow" w:eastAsia="Calibri" w:hAnsi="Arial Narrow" w:cstheme="minorBidi"/>
                <w:color w:val="000000"/>
                <w:lang w:val="es-ES" w:eastAsia="es-CO"/>
              </w:rPr>
              <w:t>1.3</w:t>
            </w:r>
          </w:p>
        </w:tc>
        <w:tc>
          <w:tcPr>
            <w:tcW w:w="1519" w:type="dxa"/>
            <w:tcBorders>
              <w:top w:val="single" w:sz="4" w:space="0" w:color="auto"/>
              <w:left w:val="nil"/>
              <w:bottom w:val="single" w:sz="4" w:space="0" w:color="auto"/>
              <w:right w:val="single" w:sz="4" w:space="0" w:color="auto"/>
            </w:tcBorders>
            <w:shd w:val="clear" w:color="auto" w:fill="FFFFFF"/>
            <w:noWrap/>
            <w:vAlign w:val="center"/>
            <w:hideMark/>
          </w:tcPr>
          <w:p w14:paraId="47963E65" w14:textId="77777777" w:rsidR="007968EC" w:rsidRDefault="007968EC" w:rsidP="007968EC">
            <w:pPr>
              <w:autoSpaceDE w:val="0"/>
              <w:autoSpaceDN w:val="0"/>
              <w:spacing w:line="256" w:lineRule="auto"/>
              <w:jc w:val="center"/>
              <w:rPr>
                <w:rFonts w:ascii="Arial Narrow" w:eastAsia="Calibri" w:hAnsi="Arial Narrow" w:cstheme="minorBidi"/>
                <w:color w:val="000000"/>
                <w:lang w:val="es-ES" w:eastAsia="es-CO"/>
              </w:rPr>
            </w:pPr>
            <w:r>
              <w:rPr>
                <w:rFonts w:ascii="Arial Narrow" w:eastAsia="Calibri" w:hAnsi="Arial Narrow" w:cstheme="minorBidi"/>
                <w:color w:val="000000"/>
                <w:lang w:val="es-ES" w:eastAsia="es-CO"/>
              </w:rPr>
              <w:t>179</w:t>
            </w:r>
          </w:p>
        </w:tc>
        <w:tc>
          <w:tcPr>
            <w:tcW w:w="1540" w:type="dxa"/>
            <w:tcBorders>
              <w:top w:val="single" w:sz="4" w:space="0" w:color="auto"/>
              <w:left w:val="nil"/>
              <w:bottom w:val="single" w:sz="4" w:space="0" w:color="auto"/>
              <w:right w:val="single" w:sz="4" w:space="0" w:color="auto"/>
            </w:tcBorders>
            <w:shd w:val="clear" w:color="auto" w:fill="FFFFFF"/>
            <w:noWrap/>
            <w:vAlign w:val="center"/>
            <w:hideMark/>
          </w:tcPr>
          <w:p w14:paraId="69E481C7" w14:textId="77777777" w:rsidR="007968EC" w:rsidRDefault="007968EC" w:rsidP="007968EC">
            <w:pPr>
              <w:autoSpaceDE w:val="0"/>
              <w:autoSpaceDN w:val="0"/>
              <w:spacing w:line="256" w:lineRule="auto"/>
              <w:jc w:val="center"/>
              <w:rPr>
                <w:rFonts w:ascii="Arial Narrow" w:eastAsia="Calibri" w:hAnsi="Arial Narrow" w:cstheme="minorBidi"/>
                <w:color w:val="000000"/>
                <w:lang w:val="es-ES" w:eastAsia="es-CO"/>
              </w:rPr>
            </w:pPr>
            <w:r>
              <w:rPr>
                <w:rFonts w:ascii="Arial Narrow" w:eastAsia="Calibri" w:hAnsi="Arial Narrow" w:cstheme="minorBidi"/>
                <w:color w:val="000000"/>
                <w:lang w:val="es-ES" w:eastAsia="es-CO"/>
              </w:rPr>
              <w:t>9.07%</w:t>
            </w:r>
          </w:p>
        </w:tc>
      </w:tr>
      <w:tr w:rsidR="007968EC" w14:paraId="009D8014" w14:textId="77777777" w:rsidTr="007968EC">
        <w:trPr>
          <w:trHeight w:val="255"/>
          <w:jc w:val="center"/>
        </w:trPr>
        <w:tc>
          <w:tcPr>
            <w:tcW w:w="18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B554EBF" w14:textId="77777777" w:rsidR="007968EC" w:rsidRDefault="007968EC" w:rsidP="007968EC">
            <w:pPr>
              <w:autoSpaceDE w:val="0"/>
              <w:autoSpaceDN w:val="0"/>
              <w:spacing w:line="256" w:lineRule="auto"/>
              <w:rPr>
                <w:rFonts w:ascii="Arial Narrow" w:eastAsia="Calibri" w:hAnsi="Arial Narrow" w:cstheme="minorBidi"/>
                <w:color w:val="000000"/>
                <w:lang w:val="es-ES" w:eastAsia="es-CO"/>
              </w:rPr>
            </w:pPr>
            <w:r>
              <w:rPr>
                <w:rFonts w:ascii="Arial Narrow" w:eastAsia="Calibri" w:hAnsi="Arial Narrow" w:cstheme="minorBidi"/>
                <w:color w:val="000000"/>
                <w:lang w:val="es-ES" w:eastAsia="es-CO"/>
              </w:rPr>
              <w:t xml:space="preserve">Opción sobre la acción </w:t>
            </w:r>
            <w:r>
              <w:rPr>
                <w:rFonts w:ascii="Arial Narrow" w:eastAsia="Calibri" w:hAnsi="Arial Narrow" w:cstheme="minorBidi"/>
                <w:color w:val="000000"/>
                <w:lang w:val="es-ES" w:eastAsia="es-ES"/>
              </w:rPr>
              <w:t>Preferencial de Bancolombia</w:t>
            </w:r>
          </w:p>
        </w:tc>
        <w:tc>
          <w:tcPr>
            <w:tcW w:w="1440" w:type="dxa"/>
            <w:tcBorders>
              <w:top w:val="single" w:sz="4" w:space="0" w:color="auto"/>
              <w:left w:val="nil"/>
              <w:bottom w:val="single" w:sz="4" w:space="0" w:color="auto"/>
              <w:right w:val="single" w:sz="4" w:space="0" w:color="auto"/>
            </w:tcBorders>
            <w:shd w:val="clear" w:color="auto" w:fill="FFFFFF"/>
            <w:noWrap/>
            <w:vAlign w:val="center"/>
            <w:hideMark/>
          </w:tcPr>
          <w:p w14:paraId="42BAE64E" w14:textId="77777777" w:rsidR="007968EC" w:rsidRDefault="007968EC" w:rsidP="007968EC">
            <w:pPr>
              <w:autoSpaceDE w:val="0"/>
              <w:autoSpaceDN w:val="0"/>
              <w:spacing w:line="256" w:lineRule="auto"/>
              <w:jc w:val="center"/>
              <w:rPr>
                <w:rFonts w:ascii="Arial Narrow" w:eastAsia="Calibri" w:hAnsi="Arial Narrow" w:cstheme="minorBidi"/>
                <w:color w:val="000000"/>
                <w:lang w:val="es-ES" w:eastAsia="es-CO"/>
              </w:rPr>
            </w:pPr>
            <w:r>
              <w:rPr>
                <w:rFonts w:ascii="Arial Narrow" w:eastAsia="Calibri" w:hAnsi="Arial Narrow" w:cstheme="minorBidi"/>
                <w:color w:val="000000"/>
                <w:lang w:val="es-ES" w:eastAsia="es-CO"/>
              </w:rPr>
              <w:t>1.2</w:t>
            </w:r>
          </w:p>
        </w:tc>
        <w:tc>
          <w:tcPr>
            <w:tcW w:w="1519" w:type="dxa"/>
            <w:tcBorders>
              <w:top w:val="single" w:sz="4" w:space="0" w:color="auto"/>
              <w:left w:val="nil"/>
              <w:bottom w:val="single" w:sz="4" w:space="0" w:color="auto"/>
              <w:right w:val="single" w:sz="4" w:space="0" w:color="auto"/>
            </w:tcBorders>
            <w:shd w:val="clear" w:color="auto" w:fill="FFFFFF"/>
            <w:noWrap/>
            <w:vAlign w:val="center"/>
            <w:hideMark/>
          </w:tcPr>
          <w:p w14:paraId="17220DFD" w14:textId="77777777" w:rsidR="007968EC" w:rsidRDefault="007968EC" w:rsidP="007968EC">
            <w:pPr>
              <w:autoSpaceDE w:val="0"/>
              <w:autoSpaceDN w:val="0"/>
              <w:spacing w:line="256" w:lineRule="auto"/>
              <w:jc w:val="center"/>
              <w:rPr>
                <w:rFonts w:ascii="Arial Narrow" w:eastAsia="Calibri" w:hAnsi="Arial Narrow" w:cstheme="minorBidi"/>
                <w:color w:val="000000"/>
                <w:lang w:val="es-ES" w:eastAsia="es-CO"/>
              </w:rPr>
            </w:pPr>
            <w:r>
              <w:rPr>
                <w:rFonts w:ascii="Arial Narrow" w:eastAsia="Calibri" w:hAnsi="Arial Narrow" w:cstheme="minorBidi"/>
                <w:color w:val="000000"/>
                <w:lang w:val="es-ES" w:eastAsia="es-CO"/>
              </w:rPr>
              <w:t>814</w:t>
            </w:r>
          </w:p>
        </w:tc>
        <w:tc>
          <w:tcPr>
            <w:tcW w:w="1540" w:type="dxa"/>
            <w:tcBorders>
              <w:top w:val="single" w:sz="4" w:space="0" w:color="auto"/>
              <w:left w:val="nil"/>
              <w:bottom w:val="single" w:sz="4" w:space="0" w:color="auto"/>
              <w:right w:val="single" w:sz="4" w:space="0" w:color="auto"/>
            </w:tcBorders>
            <w:shd w:val="clear" w:color="auto" w:fill="FFFFFF"/>
            <w:noWrap/>
            <w:vAlign w:val="center"/>
            <w:hideMark/>
          </w:tcPr>
          <w:p w14:paraId="107F599C" w14:textId="77777777" w:rsidR="007968EC" w:rsidRDefault="007968EC" w:rsidP="007968EC">
            <w:pPr>
              <w:autoSpaceDE w:val="0"/>
              <w:autoSpaceDN w:val="0"/>
              <w:spacing w:line="256" w:lineRule="auto"/>
              <w:jc w:val="center"/>
              <w:rPr>
                <w:rFonts w:ascii="Arial Narrow" w:eastAsia="Calibri" w:hAnsi="Arial Narrow" w:cstheme="minorBidi"/>
                <w:color w:val="000000"/>
                <w:lang w:val="es-ES" w:eastAsia="es-CO"/>
              </w:rPr>
            </w:pPr>
            <w:r>
              <w:rPr>
                <w:rFonts w:ascii="Arial Narrow" w:eastAsia="Calibri" w:hAnsi="Arial Narrow" w:cstheme="minorBidi"/>
                <w:color w:val="000000"/>
                <w:lang w:val="es-ES" w:eastAsia="es-CO"/>
              </w:rPr>
              <w:t>7.05%</w:t>
            </w:r>
          </w:p>
        </w:tc>
      </w:tr>
      <w:tr w:rsidR="007968EC" w14:paraId="4F96ACCF" w14:textId="77777777" w:rsidTr="007968EC">
        <w:trPr>
          <w:trHeight w:val="255"/>
          <w:jc w:val="center"/>
        </w:trPr>
        <w:tc>
          <w:tcPr>
            <w:tcW w:w="18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54740E7" w14:textId="77777777" w:rsidR="007968EC" w:rsidRDefault="007968EC" w:rsidP="007968EC">
            <w:pPr>
              <w:autoSpaceDE w:val="0"/>
              <w:autoSpaceDN w:val="0"/>
              <w:spacing w:line="256" w:lineRule="auto"/>
              <w:rPr>
                <w:rFonts w:ascii="Arial Narrow" w:eastAsia="Calibri" w:hAnsi="Arial Narrow" w:cstheme="minorBidi"/>
                <w:color w:val="000000"/>
                <w:lang w:val="es-ES" w:eastAsia="es-CO"/>
              </w:rPr>
            </w:pPr>
            <w:r>
              <w:rPr>
                <w:rFonts w:ascii="Arial Narrow" w:eastAsia="Calibri" w:hAnsi="Arial Narrow" w:cstheme="minorBidi"/>
                <w:color w:val="000000"/>
                <w:lang w:val="es-ES" w:eastAsia="es-CO"/>
              </w:rPr>
              <w:t>Opción sobre la acción Preferencial</w:t>
            </w:r>
            <w:r>
              <w:rPr>
                <w:rFonts w:ascii="Arial Narrow" w:eastAsia="Calibri" w:hAnsi="Arial Narrow" w:cstheme="minorBidi"/>
                <w:color w:val="000000"/>
                <w:lang w:val="es-ES" w:eastAsia="es-ES"/>
              </w:rPr>
              <w:t xml:space="preserve"> Aval</w:t>
            </w:r>
          </w:p>
        </w:tc>
        <w:tc>
          <w:tcPr>
            <w:tcW w:w="1440" w:type="dxa"/>
            <w:tcBorders>
              <w:top w:val="single" w:sz="4" w:space="0" w:color="auto"/>
              <w:left w:val="nil"/>
              <w:bottom w:val="single" w:sz="4" w:space="0" w:color="auto"/>
              <w:right w:val="single" w:sz="4" w:space="0" w:color="auto"/>
            </w:tcBorders>
            <w:shd w:val="clear" w:color="auto" w:fill="FFFFFF"/>
            <w:noWrap/>
            <w:vAlign w:val="center"/>
            <w:hideMark/>
          </w:tcPr>
          <w:p w14:paraId="0991BC42" w14:textId="77777777" w:rsidR="007968EC" w:rsidRDefault="007968EC" w:rsidP="007968EC">
            <w:pPr>
              <w:autoSpaceDE w:val="0"/>
              <w:autoSpaceDN w:val="0"/>
              <w:spacing w:line="256" w:lineRule="auto"/>
              <w:jc w:val="center"/>
              <w:rPr>
                <w:rFonts w:ascii="Arial Narrow" w:eastAsia="Calibri" w:hAnsi="Arial Narrow" w:cstheme="minorBidi"/>
                <w:color w:val="000000"/>
                <w:lang w:val="es-ES" w:eastAsia="es-CO"/>
              </w:rPr>
            </w:pPr>
            <w:r>
              <w:rPr>
                <w:rFonts w:ascii="Arial Narrow" w:eastAsia="Calibri" w:hAnsi="Arial Narrow" w:cstheme="minorBidi"/>
                <w:color w:val="000000"/>
                <w:lang w:val="es-ES" w:eastAsia="es-CO"/>
              </w:rPr>
              <w:t>1.2</w:t>
            </w:r>
          </w:p>
        </w:tc>
        <w:tc>
          <w:tcPr>
            <w:tcW w:w="1519" w:type="dxa"/>
            <w:tcBorders>
              <w:top w:val="single" w:sz="4" w:space="0" w:color="auto"/>
              <w:left w:val="nil"/>
              <w:bottom w:val="single" w:sz="4" w:space="0" w:color="auto"/>
              <w:right w:val="single" w:sz="4" w:space="0" w:color="auto"/>
            </w:tcBorders>
            <w:shd w:val="clear" w:color="auto" w:fill="FFFFFF"/>
            <w:noWrap/>
            <w:vAlign w:val="center"/>
            <w:hideMark/>
          </w:tcPr>
          <w:p w14:paraId="36EFE2E4" w14:textId="77777777" w:rsidR="007968EC" w:rsidRDefault="007968EC" w:rsidP="007968EC">
            <w:pPr>
              <w:autoSpaceDE w:val="0"/>
              <w:autoSpaceDN w:val="0"/>
              <w:spacing w:line="256" w:lineRule="auto"/>
              <w:jc w:val="center"/>
              <w:rPr>
                <w:rFonts w:ascii="Arial Narrow" w:eastAsia="Calibri" w:hAnsi="Arial Narrow" w:cstheme="minorBidi"/>
                <w:color w:val="000000"/>
                <w:lang w:val="es-ES" w:eastAsia="es-CO"/>
              </w:rPr>
            </w:pPr>
            <w:r>
              <w:rPr>
                <w:rFonts w:ascii="Arial Narrow" w:eastAsia="Calibri" w:hAnsi="Arial Narrow" w:cstheme="minorBidi"/>
                <w:color w:val="000000"/>
                <w:lang w:val="es-ES" w:eastAsia="es-ES"/>
              </w:rPr>
              <w:t>26</w:t>
            </w:r>
          </w:p>
        </w:tc>
        <w:tc>
          <w:tcPr>
            <w:tcW w:w="1540" w:type="dxa"/>
            <w:tcBorders>
              <w:top w:val="single" w:sz="4" w:space="0" w:color="auto"/>
              <w:left w:val="nil"/>
              <w:bottom w:val="single" w:sz="4" w:space="0" w:color="auto"/>
              <w:right w:val="single" w:sz="4" w:space="0" w:color="auto"/>
            </w:tcBorders>
            <w:shd w:val="clear" w:color="auto" w:fill="FFFFFF"/>
            <w:noWrap/>
            <w:vAlign w:val="center"/>
            <w:hideMark/>
          </w:tcPr>
          <w:p w14:paraId="2BE01BC9" w14:textId="77777777" w:rsidR="007968EC" w:rsidRDefault="007968EC" w:rsidP="007968EC">
            <w:pPr>
              <w:autoSpaceDE w:val="0"/>
              <w:autoSpaceDN w:val="0"/>
              <w:spacing w:line="256" w:lineRule="auto"/>
              <w:jc w:val="center"/>
              <w:rPr>
                <w:rFonts w:ascii="Arial Narrow" w:eastAsia="Calibri" w:hAnsi="Arial Narrow" w:cstheme="minorBidi"/>
                <w:color w:val="000000"/>
                <w:lang w:val="es-ES" w:eastAsia="es-CO"/>
              </w:rPr>
            </w:pPr>
            <w:r>
              <w:rPr>
                <w:rFonts w:ascii="Arial Narrow" w:eastAsia="Calibri" w:hAnsi="Arial Narrow" w:cstheme="minorBidi"/>
                <w:color w:val="000000"/>
                <w:lang w:val="es-ES" w:eastAsia="es-ES"/>
              </w:rPr>
              <w:t>10.05%</w:t>
            </w:r>
          </w:p>
        </w:tc>
      </w:tr>
    </w:tbl>
    <w:p w14:paraId="62706347" w14:textId="77777777" w:rsidR="007968EC" w:rsidRDefault="007968EC" w:rsidP="007968EC">
      <w:pPr>
        <w:jc w:val="both"/>
        <w:rPr>
          <w:rFonts w:ascii="Arial Narrow" w:eastAsia="Calibri" w:hAnsi="Arial Narrow" w:cs="Arial Narrow"/>
          <w:color w:val="000000"/>
          <w:lang w:val="es-ES" w:eastAsia="es-ES"/>
        </w:rPr>
      </w:pPr>
    </w:p>
    <w:p w14:paraId="0C9D9215" w14:textId="77777777" w:rsidR="007968EC" w:rsidRDefault="007968EC" w:rsidP="007968EC">
      <w:pPr>
        <w:autoSpaceDE w:val="0"/>
        <w:autoSpaceDN w:val="0"/>
        <w:jc w:val="both"/>
        <w:rPr>
          <w:rFonts w:ascii="Arial Narrow" w:eastAsia="Calibri" w:hAnsi="Arial Narrow"/>
          <w:bCs/>
          <w:color w:val="000000"/>
          <w:lang w:val="es-ES" w:eastAsia="es-ES"/>
        </w:rPr>
      </w:pPr>
    </w:p>
    <w:p w14:paraId="13F9E9B4" w14:textId="77777777" w:rsidR="007968EC" w:rsidRDefault="007968EC" w:rsidP="007968EC">
      <w:pPr>
        <w:autoSpaceDE w:val="0"/>
        <w:autoSpaceDN w:val="0"/>
        <w:jc w:val="both"/>
        <w:rPr>
          <w:rFonts w:ascii="Arial Narrow" w:eastAsia="Calibri" w:hAnsi="Arial Narrow"/>
          <w:b/>
          <w:color w:val="000000"/>
          <w:u w:val="single"/>
          <w:lang w:eastAsia="en-US"/>
        </w:rPr>
      </w:pPr>
    </w:p>
    <w:p w14:paraId="75874919" w14:textId="77777777" w:rsidR="007968EC" w:rsidRDefault="007968EC" w:rsidP="00DA7472">
      <w:pPr>
        <w:numPr>
          <w:ilvl w:val="0"/>
          <w:numId w:val="366"/>
        </w:numPr>
        <w:autoSpaceDE w:val="0"/>
        <w:autoSpaceDN w:val="0"/>
        <w:spacing w:after="160" w:line="256" w:lineRule="auto"/>
        <w:ind w:left="426" w:hanging="426"/>
        <w:contextualSpacing/>
        <w:jc w:val="both"/>
        <w:rPr>
          <w:rFonts w:ascii="Arial Narrow" w:eastAsia="Calibri" w:hAnsi="Arial Narrow"/>
          <w:color w:val="000000"/>
          <w:u w:val="single"/>
          <w:lang w:eastAsia="en-US"/>
        </w:rPr>
      </w:pPr>
      <w:r>
        <w:rPr>
          <w:rFonts w:ascii="Arial Narrow" w:eastAsia="Calibri" w:hAnsi="Arial Narrow"/>
          <w:color w:val="000000"/>
          <w:u w:val="single"/>
          <w:lang w:eastAsia="en-US"/>
        </w:rPr>
        <w:t>Contrato de Futuro OIS:</w:t>
      </w:r>
    </w:p>
    <w:p w14:paraId="620C3273" w14:textId="77777777" w:rsidR="007968EC" w:rsidRDefault="007968EC" w:rsidP="007968EC">
      <w:pPr>
        <w:autoSpaceDE w:val="0"/>
        <w:autoSpaceDN w:val="0"/>
        <w:rPr>
          <w:rFonts w:ascii="Arial Narrow" w:eastAsia="Calibri" w:hAnsi="Arial Narrow"/>
          <w:b/>
          <w:bCs/>
          <w:color w:val="000000"/>
          <w:lang w:eastAsia="en-US"/>
        </w:rPr>
      </w:pPr>
    </w:p>
    <w:p w14:paraId="08F8550D" w14:textId="77777777" w:rsidR="007968EC" w:rsidRDefault="007968EC" w:rsidP="007968EC">
      <w:pPr>
        <w:autoSpaceDE w:val="0"/>
        <w:autoSpaceDN w:val="0"/>
        <w:adjustRightInd w:val="0"/>
        <w:jc w:val="both"/>
        <w:rPr>
          <w:rFonts w:ascii="Arial Narrow" w:eastAsia="Calibri" w:hAnsi="Arial Narrow"/>
          <w:bCs/>
          <w:color w:val="000000"/>
          <w:lang w:eastAsia="en-US"/>
        </w:rPr>
      </w:pPr>
      <w:r>
        <w:rPr>
          <w:rFonts w:ascii="Arial Narrow" w:eastAsia="Calibri" w:hAnsi="Arial Narrow" w:cs="Arial Narrow"/>
          <w:color w:val="000000"/>
          <w:lang w:eastAsia="en-US"/>
        </w:rPr>
        <w:lastRenderedPageBreak/>
        <w:t>Para el Instrumento Contrato de Futuro de OIS se tienen los siguientes parámetros, de conformidad con los siguientes vencimientos: un (</w:t>
      </w:r>
      <w:r>
        <w:rPr>
          <w:rFonts w:ascii="Arial Narrow" w:eastAsia="Calibri" w:hAnsi="Arial Narrow"/>
          <w:bCs/>
          <w:color w:val="000000"/>
          <w:lang w:eastAsia="en-US"/>
        </w:rPr>
        <w:t>1) mes, tres (3) meses, seis (6) meses, nueve (9) meses, doce (12) meses y dieciocho (18) meses.</w:t>
      </w:r>
    </w:p>
    <w:p w14:paraId="39E37D15" w14:textId="77777777" w:rsidR="007968EC" w:rsidRDefault="007968EC" w:rsidP="007968EC">
      <w:pPr>
        <w:autoSpaceDE w:val="0"/>
        <w:autoSpaceDN w:val="0"/>
        <w:adjustRightInd w:val="0"/>
        <w:jc w:val="both"/>
        <w:rPr>
          <w:rFonts w:ascii="Arial Narrow" w:eastAsia="Calibri" w:hAnsi="Arial Narrow"/>
          <w:bCs/>
          <w:color w:val="000000"/>
          <w:lang w:eastAsia="en-US"/>
        </w:rPr>
      </w:pPr>
    </w:p>
    <w:tbl>
      <w:tblPr>
        <w:tblW w:w="9360" w:type="dxa"/>
        <w:jc w:val="center"/>
        <w:tblBorders>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1585"/>
        <w:gridCol w:w="1418"/>
        <w:gridCol w:w="1146"/>
        <w:gridCol w:w="1265"/>
        <w:gridCol w:w="1277"/>
        <w:gridCol w:w="1702"/>
      </w:tblGrid>
      <w:tr w:rsidR="007968EC" w14:paraId="7A6C0F4E" w14:textId="77777777" w:rsidTr="007968EC">
        <w:trPr>
          <w:trHeight w:val="304"/>
          <w:jc w:val="center"/>
        </w:trPr>
        <w:tc>
          <w:tcPr>
            <w:tcW w:w="968" w:type="dxa"/>
            <w:tcBorders>
              <w:top w:val="nil"/>
              <w:left w:val="nil"/>
              <w:bottom w:val="single" w:sz="4" w:space="0" w:color="auto"/>
              <w:right w:val="single" w:sz="4" w:space="0" w:color="auto"/>
            </w:tcBorders>
            <w:vAlign w:val="center"/>
          </w:tcPr>
          <w:p w14:paraId="674272A8" w14:textId="77777777" w:rsidR="007968EC" w:rsidRDefault="007968EC" w:rsidP="007968EC">
            <w:pPr>
              <w:spacing w:line="256" w:lineRule="auto"/>
              <w:jc w:val="center"/>
              <w:rPr>
                <w:rFonts w:ascii="Arial Narrow" w:eastAsia="Calibri" w:hAnsi="Arial Narrow"/>
                <w:b/>
                <w:bCs/>
                <w:color w:val="000000"/>
                <w:lang w:eastAsia="en-US"/>
              </w:rPr>
            </w:pPr>
          </w:p>
          <w:p w14:paraId="7B3583AD" w14:textId="77777777" w:rsidR="007968EC" w:rsidRDefault="007968EC" w:rsidP="007968EC">
            <w:pPr>
              <w:spacing w:line="256" w:lineRule="auto"/>
              <w:jc w:val="center"/>
              <w:rPr>
                <w:rFonts w:ascii="Arial Narrow" w:eastAsia="Calibri" w:hAnsi="Arial Narrow"/>
                <w:b/>
                <w:bCs/>
                <w:color w:val="000000"/>
                <w:lang w:eastAsia="en-US"/>
              </w:rPr>
            </w:pPr>
          </w:p>
        </w:tc>
        <w:tc>
          <w:tcPr>
            <w:tcW w:w="1584" w:type="dxa"/>
            <w:tcBorders>
              <w:top w:val="single" w:sz="4" w:space="0" w:color="auto"/>
              <w:left w:val="single" w:sz="4" w:space="0" w:color="auto"/>
              <w:bottom w:val="single" w:sz="4" w:space="0" w:color="auto"/>
              <w:right w:val="single" w:sz="4" w:space="0" w:color="auto"/>
            </w:tcBorders>
            <w:vAlign w:val="center"/>
            <w:hideMark/>
          </w:tcPr>
          <w:p w14:paraId="4F096C39"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Vencimientos (No. de Meses)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789A199"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Multiplicador del Contrato</w:t>
            </w:r>
          </w:p>
        </w:tc>
        <w:tc>
          <w:tcPr>
            <w:tcW w:w="1146" w:type="dxa"/>
            <w:tcBorders>
              <w:top w:val="single" w:sz="4" w:space="0" w:color="auto"/>
              <w:left w:val="single" w:sz="4" w:space="0" w:color="auto"/>
              <w:bottom w:val="single" w:sz="4" w:space="0" w:color="auto"/>
              <w:right w:val="single" w:sz="4" w:space="0" w:color="auto"/>
            </w:tcBorders>
            <w:vAlign w:val="center"/>
            <w:hideMark/>
          </w:tcPr>
          <w:p w14:paraId="36092AB9"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 xml:space="preserve">Nominal </w:t>
            </w:r>
          </w:p>
        </w:tc>
        <w:tc>
          <w:tcPr>
            <w:tcW w:w="1264" w:type="dxa"/>
            <w:tcBorders>
              <w:top w:val="single" w:sz="4" w:space="0" w:color="auto"/>
              <w:left w:val="single" w:sz="4" w:space="0" w:color="auto"/>
              <w:bottom w:val="single" w:sz="4" w:space="0" w:color="auto"/>
              <w:right w:val="single" w:sz="4" w:space="0" w:color="auto"/>
            </w:tcBorders>
            <w:vAlign w:val="center"/>
            <w:hideMark/>
          </w:tcPr>
          <w:p w14:paraId="18B8C145"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No de Escenarios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DB212D"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 xml:space="preserve">Tipo de Fluctuación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B947C2A"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Fluctuación Total</w:t>
            </w:r>
          </w:p>
        </w:tc>
      </w:tr>
      <w:tr w:rsidR="007968EC" w14:paraId="6F082914" w14:textId="77777777" w:rsidTr="007968EC">
        <w:trPr>
          <w:trHeight w:val="28"/>
          <w:jc w:val="center"/>
        </w:trPr>
        <w:tc>
          <w:tcPr>
            <w:tcW w:w="968" w:type="dxa"/>
            <w:vMerge w:val="restart"/>
            <w:tcBorders>
              <w:top w:val="single" w:sz="4" w:space="0" w:color="auto"/>
              <w:left w:val="single" w:sz="4" w:space="0" w:color="auto"/>
              <w:bottom w:val="single" w:sz="4" w:space="0" w:color="auto"/>
              <w:right w:val="single" w:sz="4" w:space="0" w:color="auto"/>
            </w:tcBorders>
            <w:vAlign w:val="center"/>
          </w:tcPr>
          <w:p w14:paraId="1E940F16" w14:textId="77777777" w:rsidR="007968EC" w:rsidRDefault="007968EC" w:rsidP="007968EC">
            <w:pPr>
              <w:autoSpaceDE w:val="0"/>
              <w:autoSpaceDN w:val="0"/>
              <w:adjustRightInd w:val="0"/>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Contrato de</w:t>
            </w:r>
          </w:p>
          <w:p w14:paraId="31137A43" w14:textId="77777777" w:rsidR="007968EC" w:rsidRDefault="007968EC" w:rsidP="007968EC">
            <w:pPr>
              <w:autoSpaceDE w:val="0"/>
              <w:autoSpaceDN w:val="0"/>
              <w:adjustRightInd w:val="0"/>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Futuro OIS</w:t>
            </w:r>
          </w:p>
          <w:p w14:paraId="534629D1" w14:textId="77777777" w:rsidR="007968EC" w:rsidRDefault="007968EC" w:rsidP="007968EC">
            <w:pPr>
              <w:spacing w:line="256" w:lineRule="auto"/>
              <w:jc w:val="center"/>
              <w:rPr>
                <w:rFonts w:ascii="Arial Narrow" w:eastAsia="Calibri" w:hAnsi="Arial Narrow"/>
                <w:b/>
                <w:bCs/>
                <w:color w:val="000000"/>
                <w:lang w:eastAsia="en-US"/>
              </w:rPr>
            </w:pPr>
          </w:p>
        </w:tc>
        <w:tc>
          <w:tcPr>
            <w:tcW w:w="1584" w:type="dxa"/>
            <w:tcBorders>
              <w:top w:val="single" w:sz="4" w:space="0" w:color="auto"/>
              <w:left w:val="single" w:sz="4" w:space="0" w:color="auto"/>
              <w:bottom w:val="single" w:sz="4" w:space="0" w:color="auto"/>
              <w:right w:val="single" w:sz="4" w:space="0" w:color="auto"/>
            </w:tcBorders>
            <w:vAlign w:val="center"/>
            <w:hideMark/>
          </w:tcPr>
          <w:p w14:paraId="45BF09B9"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 xml:space="preserve">1 </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4CE4CD08"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500.000.000</w:t>
            </w:r>
          </w:p>
        </w:tc>
        <w:tc>
          <w:tcPr>
            <w:tcW w:w="1146" w:type="dxa"/>
            <w:vMerge w:val="restart"/>
            <w:tcBorders>
              <w:top w:val="single" w:sz="4" w:space="0" w:color="auto"/>
              <w:left w:val="single" w:sz="4" w:space="0" w:color="auto"/>
              <w:bottom w:val="single" w:sz="4" w:space="0" w:color="auto"/>
              <w:right w:val="single" w:sz="4" w:space="0" w:color="auto"/>
            </w:tcBorders>
            <w:vAlign w:val="center"/>
            <w:hideMark/>
          </w:tcPr>
          <w:p w14:paraId="009A890C"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500.000.000</w:t>
            </w:r>
          </w:p>
        </w:tc>
        <w:tc>
          <w:tcPr>
            <w:tcW w:w="1264" w:type="dxa"/>
            <w:vMerge w:val="restart"/>
            <w:tcBorders>
              <w:top w:val="single" w:sz="4" w:space="0" w:color="auto"/>
              <w:left w:val="single" w:sz="4" w:space="0" w:color="auto"/>
              <w:bottom w:val="single" w:sz="4" w:space="0" w:color="auto"/>
              <w:right w:val="single" w:sz="4" w:space="0" w:color="auto"/>
            </w:tcBorders>
            <w:vAlign w:val="center"/>
            <w:hideMark/>
          </w:tcPr>
          <w:p w14:paraId="43883C5E"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11</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5C80C607"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Porcentual</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339E4B7"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0.09%</w:t>
            </w:r>
          </w:p>
        </w:tc>
      </w:tr>
      <w:tr w:rsidR="007968EC" w14:paraId="676C1852" w14:textId="77777777" w:rsidTr="007968EC">
        <w:trPr>
          <w:trHeight w:val="304"/>
          <w:jc w:val="center"/>
        </w:trPr>
        <w:tc>
          <w:tcPr>
            <w:tcW w:w="968" w:type="dxa"/>
            <w:vMerge/>
            <w:tcBorders>
              <w:top w:val="single" w:sz="4" w:space="0" w:color="auto"/>
              <w:left w:val="single" w:sz="4" w:space="0" w:color="auto"/>
              <w:bottom w:val="single" w:sz="4" w:space="0" w:color="auto"/>
              <w:right w:val="single" w:sz="4" w:space="0" w:color="auto"/>
            </w:tcBorders>
            <w:vAlign w:val="center"/>
            <w:hideMark/>
          </w:tcPr>
          <w:p w14:paraId="271CD3FC" w14:textId="77777777" w:rsidR="007968EC" w:rsidRDefault="007968EC" w:rsidP="007968EC">
            <w:pPr>
              <w:spacing w:line="256" w:lineRule="auto"/>
              <w:rPr>
                <w:rFonts w:ascii="Arial Narrow" w:eastAsia="Calibri" w:hAnsi="Arial Narrow"/>
                <w:b/>
                <w:bCs/>
                <w:color w:val="000000"/>
                <w:lang w:eastAsia="en-US"/>
              </w:rPr>
            </w:pPr>
          </w:p>
        </w:tc>
        <w:tc>
          <w:tcPr>
            <w:tcW w:w="1584" w:type="dxa"/>
            <w:tcBorders>
              <w:top w:val="single" w:sz="4" w:space="0" w:color="auto"/>
              <w:left w:val="single" w:sz="4" w:space="0" w:color="auto"/>
              <w:bottom w:val="single" w:sz="4" w:space="0" w:color="auto"/>
              <w:right w:val="single" w:sz="4" w:space="0" w:color="auto"/>
            </w:tcBorders>
            <w:vAlign w:val="center"/>
            <w:hideMark/>
          </w:tcPr>
          <w:p w14:paraId="17FD3DCC"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 xml:space="preserve">3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9386704" w14:textId="77777777" w:rsidR="007968EC" w:rsidRDefault="007968EC" w:rsidP="007968EC">
            <w:pPr>
              <w:spacing w:line="256" w:lineRule="auto"/>
              <w:rPr>
                <w:rFonts w:ascii="Arial Narrow" w:eastAsia="Calibri" w:hAnsi="Arial Narrow"/>
                <w:b/>
                <w:bCs/>
                <w:color w:val="000000"/>
                <w:lang w:eastAsia="en-US"/>
              </w:rPr>
            </w:pPr>
          </w:p>
        </w:tc>
        <w:tc>
          <w:tcPr>
            <w:tcW w:w="1146" w:type="dxa"/>
            <w:vMerge/>
            <w:tcBorders>
              <w:top w:val="single" w:sz="4" w:space="0" w:color="auto"/>
              <w:left w:val="single" w:sz="4" w:space="0" w:color="auto"/>
              <w:bottom w:val="single" w:sz="4" w:space="0" w:color="auto"/>
              <w:right w:val="single" w:sz="4" w:space="0" w:color="auto"/>
            </w:tcBorders>
            <w:vAlign w:val="center"/>
            <w:hideMark/>
          </w:tcPr>
          <w:p w14:paraId="33D4EF3A" w14:textId="77777777" w:rsidR="007968EC" w:rsidRDefault="007968EC" w:rsidP="007968EC">
            <w:pPr>
              <w:spacing w:line="256" w:lineRule="auto"/>
              <w:rPr>
                <w:rFonts w:ascii="Arial Narrow" w:eastAsia="Calibri" w:hAnsi="Arial Narrow"/>
                <w:b/>
                <w:bCs/>
                <w:color w:val="000000"/>
                <w:lang w:eastAsia="en-US"/>
              </w:rPr>
            </w:pPr>
          </w:p>
        </w:tc>
        <w:tc>
          <w:tcPr>
            <w:tcW w:w="1264" w:type="dxa"/>
            <w:vMerge/>
            <w:tcBorders>
              <w:top w:val="single" w:sz="4" w:space="0" w:color="auto"/>
              <w:left w:val="single" w:sz="4" w:space="0" w:color="auto"/>
              <w:bottom w:val="single" w:sz="4" w:space="0" w:color="auto"/>
              <w:right w:val="single" w:sz="4" w:space="0" w:color="auto"/>
            </w:tcBorders>
            <w:vAlign w:val="center"/>
            <w:hideMark/>
          </w:tcPr>
          <w:p w14:paraId="0AEA57B2" w14:textId="77777777" w:rsidR="007968EC" w:rsidRDefault="007968EC" w:rsidP="007968EC">
            <w:pPr>
              <w:spacing w:line="256" w:lineRule="auto"/>
              <w:rPr>
                <w:rFonts w:ascii="Arial Narrow" w:eastAsia="Calibri" w:hAnsi="Arial Narrow"/>
                <w:b/>
                <w:bCs/>
                <w:color w:val="000000"/>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B32F00D" w14:textId="77777777" w:rsidR="007968EC" w:rsidRDefault="007968EC" w:rsidP="007968EC">
            <w:pPr>
              <w:spacing w:line="256" w:lineRule="auto"/>
              <w:rPr>
                <w:rFonts w:ascii="Arial Narrow" w:eastAsia="Calibri" w:hAnsi="Arial Narrow"/>
                <w:b/>
                <w:bCs/>
                <w:color w:val="000000"/>
                <w:lang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4C2FF8E4"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0.09%</w:t>
            </w:r>
          </w:p>
        </w:tc>
      </w:tr>
      <w:tr w:rsidR="007968EC" w14:paraId="5A5928E0" w14:textId="77777777" w:rsidTr="007968EC">
        <w:trPr>
          <w:trHeight w:val="28"/>
          <w:jc w:val="center"/>
        </w:trPr>
        <w:tc>
          <w:tcPr>
            <w:tcW w:w="968" w:type="dxa"/>
            <w:vMerge/>
            <w:tcBorders>
              <w:top w:val="single" w:sz="4" w:space="0" w:color="auto"/>
              <w:left w:val="single" w:sz="4" w:space="0" w:color="auto"/>
              <w:bottom w:val="single" w:sz="4" w:space="0" w:color="auto"/>
              <w:right w:val="single" w:sz="4" w:space="0" w:color="auto"/>
            </w:tcBorders>
            <w:vAlign w:val="center"/>
            <w:hideMark/>
          </w:tcPr>
          <w:p w14:paraId="38EDE54B" w14:textId="77777777" w:rsidR="007968EC" w:rsidRDefault="007968EC" w:rsidP="007968EC">
            <w:pPr>
              <w:spacing w:line="256" w:lineRule="auto"/>
              <w:rPr>
                <w:rFonts w:ascii="Arial Narrow" w:eastAsia="Calibri" w:hAnsi="Arial Narrow"/>
                <w:b/>
                <w:bCs/>
                <w:color w:val="000000"/>
                <w:lang w:eastAsia="en-US"/>
              </w:rPr>
            </w:pPr>
          </w:p>
        </w:tc>
        <w:tc>
          <w:tcPr>
            <w:tcW w:w="1584" w:type="dxa"/>
            <w:tcBorders>
              <w:top w:val="single" w:sz="4" w:space="0" w:color="auto"/>
              <w:left w:val="single" w:sz="4" w:space="0" w:color="auto"/>
              <w:bottom w:val="single" w:sz="4" w:space="0" w:color="auto"/>
              <w:right w:val="single" w:sz="4" w:space="0" w:color="auto"/>
            </w:tcBorders>
            <w:vAlign w:val="center"/>
            <w:hideMark/>
          </w:tcPr>
          <w:p w14:paraId="1982507B"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 xml:space="preserve">6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756372E" w14:textId="77777777" w:rsidR="007968EC" w:rsidRDefault="007968EC" w:rsidP="007968EC">
            <w:pPr>
              <w:spacing w:line="256" w:lineRule="auto"/>
              <w:rPr>
                <w:rFonts w:ascii="Arial Narrow" w:eastAsia="Calibri" w:hAnsi="Arial Narrow"/>
                <w:b/>
                <w:bCs/>
                <w:color w:val="000000"/>
                <w:lang w:eastAsia="en-US"/>
              </w:rPr>
            </w:pPr>
          </w:p>
        </w:tc>
        <w:tc>
          <w:tcPr>
            <w:tcW w:w="1146" w:type="dxa"/>
            <w:vMerge/>
            <w:tcBorders>
              <w:top w:val="single" w:sz="4" w:space="0" w:color="auto"/>
              <w:left w:val="single" w:sz="4" w:space="0" w:color="auto"/>
              <w:bottom w:val="single" w:sz="4" w:space="0" w:color="auto"/>
              <w:right w:val="single" w:sz="4" w:space="0" w:color="auto"/>
            </w:tcBorders>
            <w:vAlign w:val="center"/>
            <w:hideMark/>
          </w:tcPr>
          <w:p w14:paraId="018FB7E8" w14:textId="77777777" w:rsidR="007968EC" w:rsidRDefault="007968EC" w:rsidP="007968EC">
            <w:pPr>
              <w:spacing w:line="256" w:lineRule="auto"/>
              <w:rPr>
                <w:rFonts w:ascii="Arial Narrow" w:eastAsia="Calibri" w:hAnsi="Arial Narrow"/>
                <w:b/>
                <w:bCs/>
                <w:color w:val="000000"/>
                <w:lang w:eastAsia="en-US"/>
              </w:rPr>
            </w:pPr>
          </w:p>
        </w:tc>
        <w:tc>
          <w:tcPr>
            <w:tcW w:w="1264" w:type="dxa"/>
            <w:vMerge/>
            <w:tcBorders>
              <w:top w:val="single" w:sz="4" w:space="0" w:color="auto"/>
              <w:left w:val="single" w:sz="4" w:space="0" w:color="auto"/>
              <w:bottom w:val="single" w:sz="4" w:space="0" w:color="auto"/>
              <w:right w:val="single" w:sz="4" w:space="0" w:color="auto"/>
            </w:tcBorders>
            <w:vAlign w:val="center"/>
            <w:hideMark/>
          </w:tcPr>
          <w:p w14:paraId="018EEABE" w14:textId="77777777" w:rsidR="007968EC" w:rsidRDefault="007968EC" w:rsidP="007968EC">
            <w:pPr>
              <w:spacing w:line="256" w:lineRule="auto"/>
              <w:rPr>
                <w:rFonts w:ascii="Arial Narrow" w:eastAsia="Calibri" w:hAnsi="Arial Narrow"/>
                <w:b/>
                <w:bCs/>
                <w:color w:val="000000"/>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2D03BFC" w14:textId="77777777" w:rsidR="007968EC" w:rsidRDefault="007968EC" w:rsidP="007968EC">
            <w:pPr>
              <w:spacing w:line="256" w:lineRule="auto"/>
              <w:rPr>
                <w:rFonts w:ascii="Arial Narrow" w:eastAsia="Calibri" w:hAnsi="Arial Narrow"/>
                <w:b/>
                <w:bCs/>
                <w:color w:val="000000"/>
                <w:lang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699A2A64"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0.24%</w:t>
            </w:r>
          </w:p>
        </w:tc>
      </w:tr>
      <w:tr w:rsidR="007968EC" w14:paraId="47F743C0" w14:textId="77777777" w:rsidTr="007968EC">
        <w:trPr>
          <w:trHeight w:val="304"/>
          <w:jc w:val="center"/>
        </w:trPr>
        <w:tc>
          <w:tcPr>
            <w:tcW w:w="968" w:type="dxa"/>
            <w:vMerge/>
            <w:tcBorders>
              <w:top w:val="single" w:sz="4" w:space="0" w:color="auto"/>
              <w:left w:val="single" w:sz="4" w:space="0" w:color="auto"/>
              <w:bottom w:val="single" w:sz="4" w:space="0" w:color="auto"/>
              <w:right w:val="single" w:sz="4" w:space="0" w:color="auto"/>
            </w:tcBorders>
            <w:vAlign w:val="center"/>
            <w:hideMark/>
          </w:tcPr>
          <w:p w14:paraId="2981FE74" w14:textId="77777777" w:rsidR="007968EC" w:rsidRDefault="007968EC" w:rsidP="007968EC">
            <w:pPr>
              <w:spacing w:line="256" w:lineRule="auto"/>
              <w:rPr>
                <w:rFonts w:ascii="Arial Narrow" w:eastAsia="Calibri" w:hAnsi="Arial Narrow"/>
                <w:b/>
                <w:bCs/>
                <w:color w:val="000000"/>
                <w:lang w:eastAsia="en-US"/>
              </w:rPr>
            </w:pPr>
          </w:p>
        </w:tc>
        <w:tc>
          <w:tcPr>
            <w:tcW w:w="1584" w:type="dxa"/>
            <w:tcBorders>
              <w:top w:val="single" w:sz="4" w:space="0" w:color="auto"/>
              <w:left w:val="single" w:sz="4" w:space="0" w:color="auto"/>
              <w:bottom w:val="single" w:sz="4" w:space="0" w:color="auto"/>
              <w:right w:val="single" w:sz="4" w:space="0" w:color="auto"/>
            </w:tcBorders>
            <w:vAlign w:val="center"/>
            <w:hideMark/>
          </w:tcPr>
          <w:p w14:paraId="7B0B8340"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 xml:space="preserve">9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3B729A9" w14:textId="77777777" w:rsidR="007968EC" w:rsidRDefault="007968EC" w:rsidP="007968EC">
            <w:pPr>
              <w:spacing w:line="256" w:lineRule="auto"/>
              <w:rPr>
                <w:rFonts w:ascii="Arial Narrow" w:eastAsia="Calibri" w:hAnsi="Arial Narrow"/>
                <w:b/>
                <w:bCs/>
                <w:color w:val="000000"/>
                <w:lang w:eastAsia="en-US"/>
              </w:rPr>
            </w:pPr>
          </w:p>
        </w:tc>
        <w:tc>
          <w:tcPr>
            <w:tcW w:w="1146" w:type="dxa"/>
            <w:vMerge/>
            <w:tcBorders>
              <w:top w:val="single" w:sz="4" w:space="0" w:color="auto"/>
              <w:left w:val="single" w:sz="4" w:space="0" w:color="auto"/>
              <w:bottom w:val="single" w:sz="4" w:space="0" w:color="auto"/>
              <w:right w:val="single" w:sz="4" w:space="0" w:color="auto"/>
            </w:tcBorders>
            <w:vAlign w:val="center"/>
            <w:hideMark/>
          </w:tcPr>
          <w:p w14:paraId="24C5F22B" w14:textId="77777777" w:rsidR="007968EC" w:rsidRDefault="007968EC" w:rsidP="007968EC">
            <w:pPr>
              <w:spacing w:line="256" w:lineRule="auto"/>
              <w:rPr>
                <w:rFonts w:ascii="Arial Narrow" w:eastAsia="Calibri" w:hAnsi="Arial Narrow"/>
                <w:b/>
                <w:bCs/>
                <w:color w:val="000000"/>
                <w:lang w:eastAsia="en-US"/>
              </w:rPr>
            </w:pPr>
          </w:p>
        </w:tc>
        <w:tc>
          <w:tcPr>
            <w:tcW w:w="1264" w:type="dxa"/>
            <w:vMerge/>
            <w:tcBorders>
              <w:top w:val="single" w:sz="4" w:space="0" w:color="auto"/>
              <w:left w:val="single" w:sz="4" w:space="0" w:color="auto"/>
              <w:bottom w:val="single" w:sz="4" w:space="0" w:color="auto"/>
              <w:right w:val="single" w:sz="4" w:space="0" w:color="auto"/>
            </w:tcBorders>
            <w:vAlign w:val="center"/>
            <w:hideMark/>
          </w:tcPr>
          <w:p w14:paraId="58E810D2" w14:textId="77777777" w:rsidR="007968EC" w:rsidRDefault="007968EC" w:rsidP="007968EC">
            <w:pPr>
              <w:spacing w:line="256" w:lineRule="auto"/>
              <w:rPr>
                <w:rFonts w:ascii="Arial Narrow" w:eastAsia="Calibri" w:hAnsi="Arial Narrow"/>
                <w:b/>
                <w:bCs/>
                <w:color w:val="000000"/>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9DA20C7" w14:textId="77777777" w:rsidR="007968EC" w:rsidRDefault="007968EC" w:rsidP="007968EC">
            <w:pPr>
              <w:spacing w:line="256" w:lineRule="auto"/>
              <w:rPr>
                <w:rFonts w:ascii="Arial Narrow" w:eastAsia="Calibri" w:hAnsi="Arial Narrow"/>
                <w:b/>
                <w:bCs/>
                <w:color w:val="000000"/>
                <w:lang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20285FFE"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0.38%</w:t>
            </w:r>
          </w:p>
        </w:tc>
      </w:tr>
      <w:tr w:rsidR="007968EC" w14:paraId="26E29E2B" w14:textId="77777777" w:rsidTr="007968EC">
        <w:trPr>
          <w:trHeight w:val="304"/>
          <w:jc w:val="center"/>
        </w:trPr>
        <w:tc>
          <w:tcPr>
            <w:tcW w:w="968" w:type="dxa"/>
            <w:vMerge/>
            <w:tcBorders>
              <w:top w:val="single" w:sz="4" w:space="0" w:color="auto"/>
              <w:left w:val="single" w:sz="4" w:space="0" w:color="auto"/>
              <w:bottom w:val="single" w:sz="4" w:space="0" w:color="auto"/>
              <w:right w:val="single" w:sz="4" w:space="0" w:color="auto"/>
            </w:tcBorders>
            <w:vAlign w:val="center"/>
            <w:hideMark/>
          </w:tcPr>
          <w:p w14:paraId="73EF0A98" w14:textId="77777777" w:rsidR="007968EC" w:rsidRDefault="007968EC" w:rsidP="007968EC">
            <w:pPr>
              <w:spacing w:line="256" w:lineRule="auto"/>
              <w:rPr>
                <w:rFonts w:ascii="Arial Narrow" w:eastAsia="Calibri" w:hAnsi="Arial Narrow"/>
                <w:b/>
                <w:bCs/>
                <w:color w:val="000000"/>
                <w:lang w:eastAsia="en-US"/>
              </w:rPr>
            </w:pPr>
          </w:p>
        </w:tc>
        <w:tc>
          <w:tcPr>
            <w:tcW w:w="1584" w:type="dxa"/>
            <w:tcBorders>
              <w:top w:val="single" w:sz="4" w:space="0" w:color="auto"/>
              <w:left w:val="single" w:sz="4" w:space="0" w:color="auto"/>
              <w:bottom w:val="single" w:sz="4" w:space="0" w:color="auto"/>
              <w:right w:val="single" w:sz="4" w:space="0" w:color="auto"/>
            </w:tcBorders>
            <w:vAlign w:val="center"/>
            <w:hideMark/>
          </w:tcPr>
          <w:p w14:paraId="34764E00"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 xml:space="preserve">12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99B1551" w14:textId="77777777" w:rsidR="007968EC" w:rsidRDefault="007968EC" w:rsidP="007968EC">
            <w:pPr>
              <w:spacing w:line="256" w:lineRule="auto"/>
              <w:rPr>
                <w:rFonts w:ascii="Arial Narrow" w:eastAsia="Calibri" w:hAnsi="Arial Narrow"/>
                <w:b/>
                <w:bCs/>
                <w:color w:val="000000"/>
                <w:lang w:eastAsia="en-US"/>
              </w:rPr>
            </w:pPr>
          </w:p>
        </w:tc>
        <w:tc>
          <w:tcPr>
            <w:tcW w:w="1146" w:type="dxa"/>
            <w:vMerge/>
            <w:tcBorders>
              <w:top w:val="single" w:sz="4" w:space="0" w:color="auto"/>
              <w:left w:val="single" w:sz="4" w:space="0" w:color="auto"/>
              <w:bottom w:val="single" w:sz="4" w:space="0" w:color="auto"/>
              <w:right w:val="single" w:sz="4" w:space="0" w:color="auto"/>
            </w:tcBorders>
            <w:vAlign w:val="center"/>
            <w:hideMark/>
          </w:tcPr>
          <w:p w14:paraId="0D8D8A90" w14:textId="77777777" w:rsidR="007968EC" w:rsidRDefault="007968EC" w:rsidP="007968EC">
            <w:pPr>
              <w:spacing w:line="256" w:lineRule="auto"/>
              <w:rPr>
                <w:rFonts w:ascii="Arial Narrow" w:eastAsia="Calibri" w:hAnsi="Arial Narrow"/>
                <w:b/>
                <w:bCs/>
                <w:color w:val="000000"/>
                <w:lang w:eastAsia="en-US"/>
              </w:rPr>
            </w:pPr>
          </w:p>
        </w:tc>
        <w:tc>
          <w:tcPr>
            <w:tcW w:w="1264" w:type="dxa"/>
            <w:vMerge/>
            <w:tcBorders>
              <w:top w:val="single" w:sz="4" w:space="0" w:color="auto"/>
              <w:left w:val="single" w:sz="4" w:space="0" w:color="auto"/>
              <w:bottom w:val="single" w:sz="4" w:space="0" w:color="auto"/>
              <w:right w:val="single" w:sz="4" w:space="0" w:color="auto"/>
            </w:tcBorders>
            <w:vAlign w:val="center"/>
            <w:hideMark/>
          </w:tcPr>
          <w:p w14:paraId="0A096A64" w14:textId="77777777" w:rsidR="007968EC" w:rsidRDefault="007968EC" w:rsidP="007968EC">
            <w:pPr>
              <w:spacing w:line="256" w:lineRule="auto"/>
              <w:rPr>
                <w:rFonts w:ascii="Arial Narrow" w:eastAsia="Calibri" w:hAnsi="Arial Narrow"/>
                <w:b/>
                <w:bCs/>
                <w:color w:val="000000"/>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6433B06" w14:textId="77777777" w:rsidR="007968EC" w:rsidRDefault="007968EC" w:rsidP="007968EC">
            <w:pPr>
              <w:spacing w:line="256" w:lineRule="auto"/>
              <w:rPr>
                <w:rFonts w:ascii="Arial Narrow" w:eastAsia="Calibri" w:hAnsi="Arial Narrow"/>
                <w:b/>
                <w:bCs/>
                <w:color w:val="000000"/>
                <w:lang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7C3C0D99"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0.53 %</w:t>
            </w:r>
          </w:p>
        </w:tc>
      </w:tr>
      <w:tr w:rsidR="007968EC" w14:paraId="00750617" w14:textId="77777777" w:rsidTr="007968EC">
        <w:trPr>
          <w:trHeight w:val="304"/>
          <w:jc w:val="center"/>
        </w:trPr>
        <w:tc>
          <w:tcPr>
            <w:tcW w:w="968" w:type="dxa"/>
            <w:vMerge/>
            <w:tcBorders>
              <w:top w:val="single" w:sz="4" w:space="0" w:color="auto"/>
              <w:left w:val="single" w:sz="4" w:space="0" w:color="auto"/>
              <w:bottom w:val="single" w:sz="4" w:space="0" w:color="auto"/>
              <w:right w:val="single" w:sz="4" w:space="0" w:color="auto"/>
            </w:tcBorders>
            <w:vAlign w:val="center"/>
            <w:hideMark/>
          </w:tcPr>
          <w:p w14:paraId="5EDAAD90" w14:textId="77777777" w:rsidR="007968EC" w:rsidRDefault="007968EC" w:rsidP="007968EC">
            <w:pPr>
              <w:spacing w:line="256" w:lineRule="auto"/>
              <w:rPr>
                <w:rFonts w:ascii="Arial Narrow" w:eastAsia="Calibri" w:hAnsi="Arial Narrow"/>
                <w:b/>
                <w:bCs/>
                <w:color w:val="000000"/>
                <w:lang w:eastAsia="en-US"/>
              </w:rPr>
            </w:pPr>
          </w:p>
        </w:tc>
        <w:tc>
          <w:tcPr>
            <w:tcW w:w="1584" w:type="dxa"/>
            <w:tcBorders>
              <w:top w:val="single" w:sz="4" w:space="0" w:color="auto"/>
              <w:left w:val="single" w:sz="4" w:space="0" w:color="auto"/>
              <w:bottom w:val="single" w:sz="4" w:space="0" w:color="auto"/>
              <w:right w:val="single" w:sz="4" w:space="0" w:color="auto"/>
            </w:tcBorders>
            <w:vAlign w:val="center"/>
            <w:hideMark/>
          </w:tcPr>
          <w:p w14:paraId="06415445"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 xml:space="preserve">18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34A7E36" w14:textId="77777777" w:rsidR="007968EC" w:rsidRDefault="007968EC" w:rsidP="007968EC">
            <w:pPr>
              <w:spacing w:line="256" w:lineRule="auto"/>
              <w:rPr>
                <w:rFonts w:ascii="Arial Narrow" w:eastAsia="Calibri" w:hAnsi="Arial Narrow"/>
                <w:b/>
                <w:bCs/>
                <w:color w:val="000000"/>
                <w:lang w:eastAsia="en-US"/>
              </w:rPr>
            </w:pPr>
          </w:p>
        </w:tc>
        <w:tc>
          <w:tcPr>
            <w:tcW w:w="1146" w:type="dxa"/>
            <w:vMerge/>
            <w:tcBorders>
              <w:top w:val="single" w:sz="4" w:space="0" w:color="auto"/>
              <w:left w:val="single" w:sz="4" w:space="0" w:color="auto"/>
              <w:bottom w:val="single" w:sz="4" w:space="0" w:color="auto"/>
              <w:right w:val="single" w:sz="4" w:space="0" w:color="auto"/>
            </w:tcBorders>
            <w:vAlign w:val="center"/>
            <w:hideMark/>
          </w:tcPr>
          <w:p w14:paraId="2BD8985D" w14:textId="77777777" w:rsidR="007968EC" w:rsidRDefault="007968EC" w:rsidP="007968EC">
            <w:pPr>
              <w:spacing w:line="256" w:lineRule="auto"/>
              <w:rPr>
                <w:rFonts w:ascii="Arial Narrow" w:eastAsia="Calibri" w:hAnsi="Arial Narrow"/>
                <w:b/>
                <w:bCs/>
                <w:color w:val="000000"/>
                <w:lang w:eastAsia="en-US"/>
              </w:rPr>
            </w:pPr>
          </w:p>
        </w:tc>
        <w:tc>
          <w:tcPr>
            <w:tcW w:w="1264" w:type="dxa"/>
            <w:vMerge/>
            <w:tcBorders>
              <w:top w:val="single" w:sz="4" w:space="0" w:color="auto"/>
              <w:left w:val="single" w:sz="4" w:space="0" w:color="auto"/>
              <w:bottom w:val="single" w:sz="4" w:space="0" w:color="auto"/>
              <w:right w:val="single" w:sz="4" w:space="0" w:color="auto"/>
            </w:tcBorders>
            <w:vAlign w:val="center"/>
            <w:hideMark/>
          </w:tcPr>
          <w:p w14:paraId="2F59EAD9" w14:textId="77777777" w:rsidR="007968EC" w:rsidRDefault="007968EC" w:rsidP="007968EC">
            <w:pPr>
              <w:spacing w:line="256" w:lineRule="auto"/>
              <w:rPr>
                <w:rFonts w:ascii="Arial Narrow" w:eastAsia="Calibri" w:hAnsi="Arial Narrow"/>
                <w:b/>
                <w:bCs/>
                <w:color w:val="000000"/>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793501D" w14:textId="77777777" w:rsidR="007968EC" w:rsidRDefault="007968EC" w:rsidP="007968EC">
            <w:pPr>
              <w:spacing w:line="256" w:lineRule="auto"/>
              <w:rPr>
                <w:rFonts w:ascii="Arial Narrow" w:eastAsia="Calibri" w:hAnsi="Arial Narrow"/>
                <w:b/>
                <w:bCs/>
                <w:color w:val="000000"/>
                <w:lang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597534BC"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0.63 %</w:t>
            </w:r>
          </w:p>
        </w:tc>
      </w:tr>
    </w:tbl>
    <w:p w14:paraId="24774226" w14:textId="77777777" w:rsidR="007968EC" w:rsidRDefault="007968EC" w:rsidP="007968EC">
      <w:pPr>
        <w:autoSpaceDE w:val="0"/>
        <w:autoSpaceDN w:val="0"/>
        <w:adjustRightInd w:val="0"/>
        <w:rPr>
          <w:rFonts w:ascii="Arial Narrow" w:eastAsia="Calibri" w:hAnsi="Arial Narrow"/>
          <w:b/>
          <w:bCs/>
          <w:color w:val="000000"/>
          <w:u w:val="single"/>
          <w:lang w:eastAsia="en-US"/>
        </w:rPr>
      </w:pPr>
    </w:p>
    <w:tbl>
      <w:tblPr>
        <w:tblW w:w="0" w:type="auto"/>
        <w:jc w:val="center"/>
        <w:tblBorders>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1567"/>
        <w:gridCol w:w="1701"/>
        <w:gridCol w:w="1275"/>
        <w:gridCol w:w="1985"/>
      </w:tblGrid>
      <w:tr w:rsidR="007968EC" w14:paraId="122704F3" w14:textId="77777777" w:rsidTr="007968EC">
        <w:trPr>
          <w:trHeight w:val="708"/>
          <w:jc w:val="center"/>
        </w:trPr>
        <w:tc>
          <w:tcPr>
            <w:tcW w:w="1127" w:type="dxa"/>
            <w:tcBorders>
              <w:top w:val="nil"/>
              <w:left w:val="nil"/>
              <w:bottom w:val="single" w:sz="4" w:space="0" w:color="auto"/>
              <w:right w:val="single" w:sz="4" w:space="0" w:color="auto"/>
            </w:tcBorders>
          </w:tcPr>
          <w:p w14:paraId="0E318294" w14:textId="77777777" w:rsidR="007968EC" w:rsidRDefault="007968EC" w:rsidP="007968EC">
            <w:pPr>
              <w:spacing w:line="256" w:lineRule="auto"/>
              <w:jc w:val="center"/>
              <w:rPr>
                <w:rFonts w:ascii="Arial Narrow" w:eastAsia="Calibri" w:hAnsi="Arial Narrow"/>
                <w:b/>
                <w:bCs/>
                <w:color w:val="000000"/>
                <w:lang w:eastAsia="en-US"/>
              </w:rPr>
            </w:pPr>
          </w:p>
        </w:tc>
        <w:tc>
          <w:tcPr>
            <w:tcW w:w="1567" w:type="dxa"/>
            <w:tcBorders>
              <w:top w:val="single" w:sz="4" w:space="0" w:color="auto"/>
              <w:left w:val="single" w:sz="4" w:space="0" w:color="auto"/>
              <w:bottom w:val="single" w:sz="4" w:space="0" w:color="auto"/>
              <w:right w:val="single" w:sz="4" w:space="0" w:color="auto"/>
            </w:tcBorders>
            <w:hideMark/>
          </w:tcPr>
          <w:p w14:paraId="1C6B0D6B"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Plazos</w:t>
            </w:r>
          </w:p>
          <w:p w14:paraId="51EE930E" w14:textId="77777777" w:rsidR="007968EC" w:rsidRDefault="007968EC" w:rsidP="007968EC">
            <w:pPr>
              <w:spacing w:line="256" w:lineRule="auto"/>
              <w:jc w:val="center"/>
              <w:rPr>
                <w:rFonts w:ascii="Arial Narrow" w:eastAsia="Calibri" w:hAnsi="Arial Narrow"/>
                <w:bCs/>
                <w:color w:val="000000"/>
                <w:lang w:eastAsia="en-US"/>
              </w:rPr>
            </w:pPr>
            <w:r>
              <w:rPr>
                <w:rFonts w:ascii="Arial Narrow" w:eastAsia="Calibri" w:hAnsi="Arial Narrow"/>
                <w:bCs/>
                <w:color w:val="000000"/>
                <w:lang w:eastAsia="en-US"/>
              </w:rPr>
              <w:t xml:space="preserve">Meses </w:t>
            </w:r>
          </w:p>
          <w:p w14:paraId="488C65BA"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(No. de Meses)</w:t>
            </w:r>
          </w:p>
        </w:tc>
        <w:tc>
          <w:tcPr>
            <w:tcW w:w="1701" w:type="dxa"/>
            <w:tcBorders>
              <w:top w:val="single" w:sz="4" w:space="0" w:color="auto"/>
              <w:left w:val="single" w:sz="4" w:space="0" w:color="auto"/>
              <w:bottom w:val="single" w:sz="4" w:space="0" w:color="auto"/>
              <w:right w:val="single" w:sz="4" w:space="0" w:color="auto"/>
            </w:tcBorders>
            <w:hideMark/>
          </w:tcPr>
          <w:p w14:paraId="4D276670"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Factor de</w:t>
            </w:r>
          </w:p>
          <w:p w14:paraId="7B91B6AB"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cobertura por</w:t>
            </w:r>
          </w:p>
          <w:p w14:paraId="2019B21D"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Time Spread</w:t>
            </w:r>
          </w:p>
        </w:tc>
        <w:tc>
          <w:tcPr>
            <w:tcW w:w="1275" w:type="dxa"/>
            <w:tcBorders>
              <w:top w:val="single" w:sz="4" w:space="0" w:color="auto"/>
              <w:left w:val="single" w:sz="4" w:space="0" w:color="auto"/>
              <w:bottom w:val="single" w:sz="4" w:space="0" w:color="auto"/>
              <w:right w:val="single" w:sz="4" w:space="0" w:color="auto"/>
            </w:tcBorders>
            <w:hideMark/>
          </w:tcPr>
          <w:p w14:paraId="14D2BCE8"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Valor</w:t>
            </w:r>
          </w:p>
          <w:p w14:paraId="73A5D6DC"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Mínimo por</w:t>
            </w:r>
          </w:p>
          <w:p w14:paraId="3C30BA2C"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Spread</w:t>
            </w:r>
          </w:p>
        </w:tc>
        <w:tc>
          <w:tcPr>
            <w:tcW w:w="1985" w:type="dxa"/>
            <w:tcBorders>
              <w:top w:val="single" w:sz="4" w:space="0" w:color="auto"/>
              <w:left w:val="single" w:sz="4" w:space="0" w:color="auto"/>
              <w:bottom w:val="single" w:sz="4" w:space="0" w:color="auto"/>
              <w:right w:val="single" w:sz="4" w:space="0" w:color="auto"/>
            </w:tcBorders>
            <w:hideMark/>
          </w:tcPr>
          <w:p w14:paraId="3462F464"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Fluctuación</w:t>
            </w:r>
          </w:p>
          <w:p w14:paraId="534661F7"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Para llamados a</w:t>
            </w:r>
          </w:p>
          <w:p w14:paraId="4E291F11"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Garantías</w:t>
            </w:r>
          </w:p>
          <w:p w14:paraId="1A999CF4"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Extraordinarias</w:t>
            </w:r>
          </w:p>
        </w:tc>
      </w:tr>
      <w:tr w:rsidR="007968EC" w14:paraId="1FC65DE5" w14:textId="77777777" w:rsidTr="007968EC">
        <w:trPr>
          <w:trHeight w:val="125"/>
          <w:jc w:val="center"/>
        </w:trPr>
        <w:tc>
          <w:tcPr>
            <w:tcW w:w="1127" w:type="dxa"/>
            <w:vMerge w:val="restart"/>
            <w:tcBorders>
              <w:top w:val="single" w:sz="4" w:space="0" w:color="auto"/>
              <w:left w:val="single" w:sz="4" w:space="0" w:color="auto"/>
              <w:bottom w:val="single" w:sz="4" w:space="0" w:color="auto"/>
              <w:right w:val="single" w:sz="4" w:space="0" w:color="auto"/>
            </w:tcBorders>
          </w:tcPr>
          <w:p w14:paraId="7DF59C9D" w14:textId="77777777" w:rsidR="007968EC" w:rsidRDefault="007968EC" w:rsidP="007968EC">
            <w:pPr>
              <w:autoSpaceDE w:val="0"/>
              <w:autoSpaceDN w:val="0"/>
              <w:adjustRightInd w:val="0"/>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Contrato de</w:t>
            </w:r>
          </w:p>
          <w:p w14:paraId="52863808" w14:textId="77777777" w:rsidR="007968EC" w:rsidRDefault="007968EC" w:rsidP="007968EC">
            <w:pPr>
              <w:autoSpaceDE w:val="0"/>
              <w:autoSpaceDN w:val="0"/>
              <w:adjustRightInd w:val="0"/>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 xml:space="preserve">Futuro </w:t>
            </w:r>
          </w:p>
          <w:p w14:paraId="022074A2"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OIS</w:t>
            </w:r>
          </w:p>
          <w:p w14:paraId="322729A5" w14:textId="77777777" w:rsidR="007968EC" w:rsidRDefault="007968EC" w:rsidP="007968EC">
            <w:pPr>
              <w:spacing w:line="256" w:lineRule="auto"/>
              <w:jc w:val="center"/>
              <w:rPr>
                <w:rFonts w:ascii="Arial Narrow" w:eastAsia="Calibri" w:hAnsi="Arial Narrow"/>
                <w:b/>
                <w:bCs/>
                <w:color w:val="000000"/>
                <w:lang w:eastAsia="en-US"/>
              </w:rPr>
            </w:pPr>
          </w:p>
        </w:tc>
        <w:tc>
          <w:tcPr>
            <w:tcW w:w="1567" w:type="dxa"/>
            <w:tcBorders>
              <w:top w:val="single" w:sz="4" w:space="0" w:color="auto"/>
              <w:left w:val="single" w:sz="4" w:space="0" w:color="auto"/>
              <w:bottom w:val="single" w:sz="4" w:space="0" w:color="auto"/>
              <w:right w:val="single" w:sz="4" w:space="0" w:color="auto"/>
            </w:tcBorders>
            <w:hideMark/>
          </w:tcPr>
          <w:p w14:paraId="23755AAA"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 xml:space="preserve">1 </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6823ED51"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0.0</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45543A28"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0.0</w:t>
            </w:r>
          </w:p>
        </w:tc>
        <w:tc>
          <w:tcPr>
            <w:tcW w:w="1985" w:type="dxa"/>
            <w:tcBorders>
              <w:top w:val="single" w:sz="4" w:space="0" w:color="auto"/>
              <w:left w:val="single" w:sz="4" w:space="0" w:color="auto"/>
              <w:bottom w:val="single" w:sz="4" w:space="0" w:color="auto"/>
              <w:right w:val="single" w:sz="4" w:space="0" w:color="auto"/>
            </w:tcBorders>
            <w:hideMark/>
          </w:tcPr>
          <w:p w14:paraId="4B47E26D"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0.06%</w:t>
            </w:r>
          </w:p>
        </w:tc>
      </w:tr>
      <w:tr w:rsidR="007968EC" w14:paraId="0A2C1E5A" w14:textId="77777777" w:rsidTr="007968EC">
        <w:trPr>
          <w:trHeight w:val="122"/>
          <w:jc w:val="center"/>
        </w:trPr>
        <w:tc>
          <w:tcPr>
            <w:tcW w:w="1127" w:type="dxa"/>
            <w:vMerge/>
            <w:tcBorders>
              <w:top w:val="single" w:sz="4" w:space="0" w:color="auto"/>
              <w:left w:val="single" w:sz="4" w:space="0" w:color="auto"/>
              <w:bottom w:val="single" w:sz="4" w:space="0" w:color="auto"/>
              <w:right w:val="single" w:sz="4" w:space="0" w:color="auto"/>
            </w:tcBorders>
            <w:vAlign w:val="center"/>
            <w:hideMark/>
          </w:tcPr>
          <w:p w14:paraId="180CDC0E" w14:textId="77777777" w:rsidR="007968EC" w:rsidRDefault="007968EC" w:rsidP="007968EC">
            <w:pPr>
              <w:spacing w:line="256" w:lineRule="auto"/>
              <w:rPr>
                <w:rFonts w:ascii="Arial Narrow" w:eastAsia="Calibri" w:hAnsi="Arial Narrow"/>
                <w:b/>
                <w:bCs/>
                <w:color w:val="000000"/>
                <w:lang w:eastAsia="en-US"/>
              </w:rPr>
            </w:pPr>
          </w:p>
        </w:tc>
        <w:tc>
          <w:tcPr>
            <w:tcW w:w="1567" w:type="dxa"/>
            <w:tcBorders>
              <w:top w:val="single" w:sz="4" w:space="0" w:color="auto"/>
              <w:left w:val="single" w:sz="4" w:space="0" w:color="auto"/>
              <w:bottom w:val="single" w:sz="4" w:space="0" w:color="auto"/>
              <w:right w:val="single" w:sz="4" w:space="0" w:color="auto"/>
            </w:tcBorders>
            <w:hideMark/>
          </w:tcPr>
          <w:p w14:paraId="4062D1F6"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 xml:space="preserve">3 </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A1DB225" w14:textId="77777777" w:rsidR="007968EC" w:rsidRDefault="007968EC" w:rsidP="007968EC">
            <w:pPr>
              <w:spacing w:line="256" w:lineRule="auto"/>
              <w:rPr>
                <w:rFonts w:ascii="Arial Narrow" w:eastAsia="Calibri" w:hAnsi="Arial Narrow"/>
                <w:b/>
                <w:bCs/>
                <w:color w:val="000000"/>
                <w:lang w:eastAsia="en-U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047FEDF" w14:textId="77777777" w:rsidR="007968EC" w:rsidRDefault="007968EC" w:rsidP="007968EC">
            <w:pPr>
              <w:spacing w:line="256" w:lineRule="auto"/>
              <w:rPr>
                <w:rFonts w:ascii="Arial Narrow" w:eastAsia="Calibri" w:hAnsi="Arial Narrow"/>
                <w:b/>
                <w:bCs/>
                <w:color w:val="000000"/>
                <w:lang w:eastAsia="en-US"/>
              </w:rPr>
            </w:pPr>
          </w:p>
        </w:tc>
        <w:tc>
          <w:tcPr>
            <w:tcW w:w="1985" w:type="dxa"/>
            <w:tcBorders>
              <w:top w:val="single" w:sz="4" w:space="0" w:color="auto"/>
              <w:left w:val="single" w:sz="4" w:space="0" w:color="auto"/>
              <w:bottom w:val="single" w:sz="4" w:space="0" w:color="auto"/>
              <w:right w:val="single" w:sz="4" w:space="0" w:color="auto"/>
            </w:tcBorders>
            <w:hideMark/>
          </w:tcPr>
          <w:p w14:paraId="75098B26"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0.06%</w:t>
            </w:r>
          </w:p>
        </w:tc>
      </w:tr>
      <w:tr w:rsidR="007968EC" w14:paraId="799D10CA" w14:textId="77777777" w:rsidTr="007968EC">
        <w:trPr>
          <w:trHeight w:val="122"/>
          <w:jc w:val="center"/>
        </w:trPr>
        <w:tc>
          <w:tcPr>
            <w:tcW w:w="1127" w:type="dxa"/>
            <w:vMerge/>
            <w:tcBorders>
              <w:top w:val="single" w:sz="4" w:space="0" w:color="auto"/>
              <w:left w:val="single" w:sz="4" w:space="0" w:color="auto"/>
              <w:bottom w:val="single" w:sz="4" w:space="0" w:color="auto"/>
              <w:right w:val="single" w:sz="4" w:space="0" w:color="auto"/>
            </w:tcBorders>
            <w:vAlign w:val="center"/>
            <w:hideMark/>
          </w:tcPr>
          <w:p w14:paraId="59952BC0" w14:textId="77777777" w:rsidR="007968EC" w:rsidRDefault="007968EC" w:rsidP="007968EC">
            <w:pPr>
              <w:spacing w:line="256" w:lineRule="auto"/>
              <w:rPr>
                <w:rFonts w:ascii="Arial Narrow" w:eastAsia="Calibri" w:hAnsi="Arial Narrow"/>
                <w:b/>
                <w:bCs/>
                <w:color w:val="000000"/>
                <w:lang w:eastAsia="en-US"/>
              </w:rPr>
            </w:pPr>
          </w:p>
        </w:tc>
        <w:tc>
          <w:tcPr>
            <w:tcW w:w="1567" w:type="dxa"/>
            <w:tcBorders>
              <w:top w:val="single" w:sz="4" w:space="0" w:color="auto"/>
              <w:left w:val="single" w:sz="4" w:space="0" w:color="auto"/>
              <w:bottom w:val="single" w:sz="4" w:space="0" w:color="auto"/>
              <w:right w:val="single" w:sz="4" w:space="0" w:color="auto"/>
            </w:tcBorders>
            <w:hideMark/>
          </w:tcPr>
          <w:p w14:paraId="4ABC4269"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 xml:space="preserve">6 </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34C91EF" w14:textId="77777777" w:rsidR="007968EC" w:rsidRDefault="007968EC" w:rsidP="007968EC">
            <w:pPr>
              <w:spacing w:line="256" w:lineRule="auto"/>
              <w:rPr>
                <w:rFonts w:ascii="Arial Narrow" w:eastAsia="Calibri" w:hAnsi="Arial Narrow"/>
                <w:b/>
                <w:bCs/>
                <w:color w:val="000000"/>
                <w:lang w:eastAsia="en-U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B8744DC" w14:textId="77777777" w:rsidR="007968EC" w:rsidRDefault="007968EC" w:rsidP="007968EC">
            <w:pPr>
              <w:spacing w:line="256" w:lineRule="auto"/>
              <w:rPr>
                <w:rFonts w:ascii="Arial Narrow" w:eastAsia="Calibri" w:hAnsi="Arial Narrow"/>
                <w:b/>
                <w:bCs/>
                <w:color w:val="000000"/>
                <w:lang w:eastAsia="en-US"/>
              </w:rPr>
            </w:pPr>
          </w:p>
        </w:tc>
        <w:tc>
          <w:tcPr>
            <w:tcW w:w="1985" w:type="dxa"/>
            <w:tcBorders>
              <w:top w:val="single" w:sz="4" w:space="0" w:color="auto"/>
              <w:left w:val="single" w:sz="4" w:space="0" w:color="auto"/>
              <w:bottom w:val="single" w:sz="4" w:space="0" w:color="auto"/>
              <w:right w:val="single" w:sz="4" w:space="0" w:color="auto"/>
            </w:tcBorders>
            <w:hideMark/>
          </w:tcPr>
          <w:p w14:paraId="2F6966E4"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0.18%</w:t>
            </w:r>
          </w:p>
        </w:tc>
      </w:tr>
      <w:tr w:rsidR="007968EC" w14:paraId="23C5E9F5" w14:textId="77777777" w:rsidTr="007968EC">
        <w:trPr>
          <w:trHeight w:val="122"/>
          <w:jc w:val="center"/>
        </w:trPr>
        <w:tc>
          <w:tcPr>
            <w:tcW w:w="1127" w:type="dxa"/>
            <w:vMerge/>
            <w:tcBorders>
              <w:top w:val="single" w:sz="4" w:space="0" w:color="auto"/>
              <w:left w:val="single" w:sz="4" w:space="0" w:color="auto"/>
              <w:bottom w:val="single" w:sz="4" w:space="0" w:color="auto"/>
              <w:right w:val="single" w:sz="4" w:space="0" w:color="auto"/>
            </w:tcBorders>
            <w:vAlign w:val="center"/>
            <w:hideMark/>
          </w:tcPr>
          <w:p w14:paraId="199A1F07" w14:textId="77777777" w:rsidR="007968EC" w:rsidRDefault="007968EC" w:rsidP="007968EC">
            <w:pPr>
              <w:spacing w:line="256" w:lineRule="auto"/>
              <w:rPr>
                <w:rFonts w:ascii="Arial Narrow" w:eastAsia="Calibri" w:hAnsi="Arial Narrow"/>
                <w:b/>
                <w:bCs/>
                <w:color w:val="000000"/>
                <w:lang w:eastAsia="en-US"/>
              </w:rPr>
            </w:pPr>
          </w:p>
        </w:tc>
        <w:tc>
          <w:tcPr>
            <w:tcW w:w="1567" w:type="dxa"/>
            <w:tcBorders>
              <w:top w:val="single" w:sz="4" w:space="0" w:color="auto"/>
              <w:left w:val="single" w:sz="4" w:space="0" w:color="auto"/>
              <w:bottom w:val="single" w:sz="4" w:space="0" w:color="auto"/>
              <w:right w:val="single" w:sz="4" w:space="0" w:color="auto"/>
            </w:tcBorders>
            <w:hideMark/>
          </w:tcPr>
          <w:p w14:paraId="48A51CF2"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 xml:space="preserve">9 </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1543BBF" w14:textId="77777777" w:rsidR="007968EC" w:rsidRDefault="007968EC" w:rsidP="007968EC">
            <w:pPr>
              <w:spacing w:line="256" w:lineRule="auto"/>
              <w:rPr>
                <w:rFonts w:ascii="Arial Narrow" w:eastAsia="Calibri" w:hAnsi="Arial Narrow"/>
                <w:b/>
                <w:bCs/>
                <w:color w:val="000000"/>
                <w:lang w:eastAsia="en-U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784BAF9" w14:textId="77777777" w:rsidR="007968EC" w:rsidRDefault="007968EC" w:rsidP="007968EC">
            <w:pPr>
              <w:spacing w:line="256" w:lineRule="auto"/>
              <w:rPr>
                <w:rFonts w:ascii="Arial Narrow" w:eastAsia="Calibri" w:hAnsi="Arial Narrow"/>
                <w:b/>
                <w:bCs/>
                <w:color w:val="000000"/>
                <w:lang w:eastAsia="en-US"/>
              </w:rPr>
            </w:pPr>
          </w:p>
        </w:tc>
        <w:tc>
          <w:tcPr>
            <w:tcW w:w="1985" w:type="dxa"/>
            <w:tcBorders>
              <w:top w:val="single" w:sz="4" w:space="0" w:color="auto"/>
              <w:left w:val="single" w:sz="4" w:space="0" w:color="auto"/>
              <w:bottom w:val="single" w:sz="4" w:space="0" w:color="auto"/>
              <w:right w:val="single" w:sz="4" w:space="0" w:color="auto"/>
            </w:tcBorders>
            <w:hideMark/>
          </w:tcPr>
          <w:p w14:paraId="5A0598DB"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0.28%</w:t>
            </w:r>
          </w:p>
        </w:tc>
      </w:tr>
      <w:tr w:rsidR="007968EC" w14:paraId="1803FC1F" w14:textId="77777777" w:rsidTr="007968EC">
        <w:trPr>
          <w:trHeight w:val="122"/>
          <w:jc w:val="center"/>
        </w:trPr>
        <w:tc>
          <w:tcPr>
            <w:tcW w:w="1127" w:type="dxa"/>
            <w:vMerge/>
            <w:tcBorders>
              <w:top w:val="single" w:sz="4" w:space="0" w:color="auto"/>
              <w:left w:val="single" w:sz="4" w:space="0" w:color="auto"/>
              <w:bottom w:val="single" w:sz="4" w:space="0" w:color="auto"/>
              <w:right w:val="single" w:sz="4" w:space="0" w:color="auto"/>
            </w:tcBorders>
            <w:vAlign w:val="center"/>
            <w:hideMark/>
          </w:tcPr>
          <w:p w14:paraId="7AAD1672" w14:textId="77777777" w:rsidR="007968EC" w:rsidRDefault="007968EC" w:rsidP="007968EC">
            <w:pPr>
              <w:spacing w:line="256" w:lineRule="auto"/>
              <w:rPr>
                <w:rFonts w:ascii="Arial Narrow" w:eastAsia="Calibri" w:hAnsi="Arial Narrow"/>
                <w:b/>
                <w:bCs/>
                <w:color w:val="000000"/>
                <w:lang w:eastAsia="en-US"/>
              </w:rPr>
            </w:pPr>
          </w:p>
        </w:tc>
        <w:tc>
          <w:tcPr>
            <w:tcW w:w="1567" w:type="dxa"/>
            <w:tcBorders>
              <w:top w:val="single" w:sz="4" w:space="0" w:color="auto"/>
              <w:left w:val="single" w:sz="4" w:space="0" w:color="auto"/>
              <w:bottom w:val="single" w:sz="4" w:space="0" w:color="auto"/>
              <w:right w:val="single" w:sz="4" w:space="0" w:color="auto"/>
            </w:tcBorders>
            <w:hideMark/>
          </w:tcPr>
          <w:p w14:paraId="5D430754"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 xml:space="preserve">12 </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F7CFB5A" w14:textId="77777777" w:rsidR="007968EC" w:rsidRDefault="007968EC" w:rsidP="007968EC">
            <w:pPr>
              <w:spacing w:line="256" w:lineRule="auto"/>
              <w:rPr>
                <w:rFonts w:ascii="Arial Narrow" w:eastAsia="Calibri" w:hAnsi="Arial Narrow"/>
                <w:b/>
                <w:bCs/>
                <w:color w:val="000000"/>
                <w:lang w:eastAsia="en-U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8C3A3BB" w14:textId="77777777" w:rsidR="007968EC" w:rsidRDefault="007968EC" w:rsidP="007968EC">
            <w:pPr>
              <w:spacing w:line="256" w:lineRule="auto"/>
              <w:rPr>
                <w:rFonts w:ascii="Arial Narrow" w:eastAsia="Calibri" w:hAnsi="Arial Narrow"/>
                <w:b/>
                <w:bCs/>
                <w:color w:val="000000"/>
                <w:lang w:eastAsia="en-US"/>
              </w:rPr>
            </w:pPr>
          </w:p>
        </w:tc>
        <w:tc>
          <w:tcPr>
            <w:tcW w:w="1985" w:type="dxa"/>
            <w:tcBorders>
              <w:top w:val="single" w:sz="4" w:space="0" w:color="auto"/>
              <w:left w:val="single" w:sz="4" w:space="0" w:color="auto"/>
              <w:bottom w:val="single" w:sz="4" w:space="0" w:color="auto"/>
              <w:right w:val="single" w:sz="4" w:space="0" w:color="auto"/>
            </w:tcBorders>
            <w:hideMark/>
          </w:tcPr>
          <w:p w14:paraId="746D1678"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0.39%</w:t>
            </w:r>
          </w:p>
        </w:tc>
      </w:tr>
      <w:tr w:rsidR="007968EC" w14:paraId="1510982D" w14:textId="77777777" w:rsidTr="007968EC">
        <w:trPr>
          <w:trHeight w:val="122"/>
          <w:jc w:val="center"/>
        </w:trPr>
        <w:tc>
          <w:tcPr>
            <w:tcW w:w="1127" w:type="dxa"/>
            <w:vMerge/>
            <w:tcBorders>
              <w:top w:val="single" w:sz="4" w:space="0" w:color="auto"/>
              <w:left w:val="single" w:sz="4" w:space="0" w:color="auto"/>
              <w:bottom w:val="single" w:sz="4" w:space="0" w:color="auto"/>
              <w:right w:val="single" w:sz="4" w:space="0" w:color="auto"/>
            </w:tcBorders>
            <w:vAlign w:val="center"/>
            <w:hideMark/>
          </w:tcPr>
          <w:p w14:paraId="6BEBF4EB" w14:textId="77777777" w:rsidR="007968EC" w:rsidRDefault="007968EC" w:rsidP="007968EC">
            <w:pPr>
              <w:spacing w:line="256" w:lineRule="auto"/>
              <w:rPr>
                <w:rFonts w:ascii="Arial Narrow" w:eastAsia="Calibri" w:hAnsi="Arial Narrow"/>
                <w:b/>
                <w:bCs/>
                <w:color w:val="000000"/>
                <w:lang w:eastAsia="en-US"/>
              </w:rPr>
            </w:pPr>
          </w:p>
        </w:tc>
        <w:tc>
          <w:tcPr>
            <w:tcW w:w="1567" w:type="dxa"/>
            <w:tcBorders>
              <w:top w:val="single" w:sz="4" w:space="0" w:color="auto"/>
              <w:left w:val="single" w:sz="4" w:space="0" w:color="auto"/>
              <w:bottom w:val="single" w:sz="4" w:space="0" w:color="auto"/>
              <w:right w:val="single" w:sz="4" w:space="0" w:color="auto"/>
            </w:tcBorders>
            <w:hideMark/>
          </w:tcPr>
          <w:p w14:paraId="561FDC66"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 xml:space="preserve">18 </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F5706CE" w14:textId="77777777" w:rsidR="007968EC" w:rsidRDefault="007968EC" w:rsidP="007968EC">
            <w:pPr>
              <w:spacing w:line="256" w:lineRule="auto"/>
              <w:rPr>
                <w:rFonts w:ascii="Arial Narrow" w:eastAsia="Calibri" w:hAnsi="Arial Narrow"/>
                <w:b/>
                <w:bCs/>
                <w:color w:val="000000"/>
                <w:lang w:eastAsia="en-U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8ACC6D4" w14:textId="77777777" w:rsidR="007968EC" w:rsidRDefault="007968EC" w:rsidP="007968EC">
            <w:pPr>
              <w:spacing w:line="256" w:lineRule="auto"/>
              <w:rPr>
                <w:rFonts w:ascii="Arial Narrow" w:eastAsia="Calibri" w:hAnsi="Arial Narrow"/>
                <w:b/>
                <w:bCs/>
                <w:color w:val="000000"/>
                <w:lang w:eastAsia="en-US"/>
              </w:rPr>
            </w:pPr>
          </w:p>
        </w:tc>
        <w:tc>
          <w:tcPr>
            <w:tcW w:w="1985" w:type="dxa"/>
            <w:tcBorders>
              <w:top w:val="single" w:sz="4" w:space="0" w:color="auto"/>
              <w:left w:val="single" w:sz="4" w:space="0" w:color="auto"/>
              <w:bottom w:val="single" w:sz="4" w:space="0" w:color="auto"/>
              <w:right w:val="single" w:sz="4" w:space="0" w:color="auto"/>
            </w:tcBorders>
            <w:hideMark/>
          </w:tcPr>
          <w:p w14:paraId="4754A37C"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0.47%</w:t>
            </w:r>
          </w:p>
        </w:tc>
      </w:tr>
    </w:tbl>
    <w:p w14:paraId="38AABECE" w14:textId="77777777" w:rsidR="007968EC" w:rsidRDefault="007968EC" w:rsidP="007968EC">
      <w:pPr>
        <w:autoSpaceDE w:val="0"/>
        <w:autoSpaceDN w:val="0"/>
        <w:adjustRightInd w:val="0"/>
        <w:jc w:val="both"/>
        <w:rPr>
          <w:rFonts w:ascii="Arial Narrow" w:eastAsia="Calibri" w:hAnsi="Arial Narrow"/>
          <w:bCs/>
          <w:color w:val="000000"/>
          <w:lang w:eastAsia="en-US"/>
        </w:rPr>
      </w:pPr>
    </w:p>
    <w:p w14:paraId="0966B11E" w14:textId="77777777" w:rsidR="007968EC" w:rsidRDefault="007968EC" w:rsidP="007968EC">
      <w:pPr>
        <w:jc w:val="both"/>
        <w:rPr>
          <w:rFonts w:ascii="Arial Narrow" w:eastAsia="Calibri" w:hAnsi="Arial Narrow"/>
          <w:b/>
          <w:color w:val="000000"/>
          <w:lang w:val="es-MX" w:eastAsia="en-US"/>
        </w:rPr>
      </w:pPr>
    </w:p>
    <w:p w14:paraId="43A57BED" w14:textId="77777777" w:rsidR="007968EC" w:rsidRDefault="007968EC" w:rsidP="00DA7472">
      <w:pPr>
        <w:numPr>
          <w:ilvl w:val="0"/>
          <w:numId w:val="366"/>
        </w:numPr>
        <w:autoSpaceDE w:val="0"/>
        <w:autoSpaceDN w:val="0"/>
        <w:spacing w:after="160" w:line="256" w:lineRule="auto"/>
        <w:ind w:left="426" w:hanging="426"/>
        <w:contextualSpacing/>
        <w:jc w:val="both"/>
        <w:rPr>
          <w:rFonts w:ascii="Arial Narrow" w:eastAsia="Calibri" w:hAnsi="Arial Narrow"/>
          <w:color w:val="000000"/>
          <w:u w:val="single"/>
          <w:lang w:eastAsia="en-US"/>
        </w:rPr>
      </w:pPr>
      <w:r>
        <w:rPr>
          <w:rFonts w:ascii="Arial Narrow" w:eastAsia="Calibri" w:hAnsi="Arial Narrow"/>
          <w:color w:val="000000"/>
          <w:u w:val="single"/>
          <w:lang w:eastAsia="en-US"/>
        </w:rPr>
        <w:t xml:space="preserve">OIS IBR Formación: </w:t>
      </w:r>
    </w:p>
    <w:p w14:paraId="3E901D7F" w14:textId="77777777" w:rsidR="007968EC" w:rsidRDefault="007968EC" w:rsidP="007968EC">
      <w:pPr>
        <w:autoSpaceDE w:val="0"/>
        <w:autoSpaceDN w:val="0"/>
        <w:ind w:left="426"/>
        <w:contextualSpacing/>
        <w:rPr>
          <w:rFonts w:ascii="Arial Narrow" w:eastAsia="Calibri" w:hAnsi="Arial Narrow" w:cs="Arial Narrow"/>
          <w:color w:val="000000"/>
          <w:u w:val="single"/>
          <w:lang w:eastAsia="en-US"/>
        </w:rPr>
      </w:pPr>
    </w:p>
    <w:p w14:paraId="39C86847" w14:textId="77777777" w:rsidR="007968EC" w:rsidRDefault="007968EC" w:rsidP="007968EC">
      <w:pPr>
        <w:autoSpaceDE w:val="0"/>
        <w:autoSpaceDN w:val="0"/>
        <w:adjustRightInd w:val="0"/>
        <w:rPr>
          <w:rFonts w:ascii="Arial Narrow" w:eastAsia="Calibri" w:hAnsi="Arial Narrow" w:cs="Arial Narrow"/>
          <w:color w:val="000000"/>
          <w:lang w:eastAsia="es-CO"/>
        </w:rPr>
      </w:pPr>
      <w:r>
        <w:rPr>
          <w:rFonts w:ascii="Arial Narrow" w:eastAsia="Calibri" w:hAnsi="Arial Narrow" w:cs="Arial Narrow"/>
          <w:color w:val="000000"/>
          <w:lang w:eastAsia="en-US"/>
        </w:rPr>
        <w:t xml:space="preserve">Para el Instrumento Financiero Derivado No Estandarizado OIS IBR Formación, se </w:t>
      </w:r>
      <w:r>
        <w:rPr>
          <w:rFonts w:ascii="Arial Narrow" w:eastAsia="Calibri" w:hAnsi="Arial Narrow" w:cs="Arial Narrow"/>
          <w:color w:val="000000"/>
          <w:lang w:eastAsia="es-CO"/>
        </w:rPr>
        <w:t>tienen los siguientes parámetros:</w:t>
      </w:r>
    </w:p>
    <w:p w14:paraId="58554F26" w14:textId="77777777" w:rsidR="007968EC" w:rsidRDefault="007968EC" w:rsidP="007968EC">
      <w:pPr>
        <w:autoSpaceDE w:val="0"/>
        <w:autoSpaceDN w:val="0"/>
        <w:adjustRightInd w:val="0"/>
        <w:rPr>
          <w:rFonts w:ascii="Arial Narrow" w:eastAsia="Calibri" w:hAnsi="Arial Narrow" w:cs="Arial Narrow"/>
          <w:color w:val="000000"/>
          <w:lang w:eastAsia="es-CO"/>
        </w:rPr>
      </w:pPr>
    </w:p>
    <w:tbl>
      <w:tblPr>
        <w:tblW w:w="9045" w:type="dxa"/>
        <w:jc w:val="center"/>
        <w:tblBorders>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991"/>
        <w:gridCol w:w="1418"/>
        <w:gridCol w:w="1417"/>
        <w:gridCol w:w="1276"/>
        <w:gridCol w:w="1417"/>
        <w:gridCol w:w="1109"/>
      </w:tblGrid>
      <w:tr w:rsidR="007968EC" w14:paraId="5E751700" w14:textId="77777777" w:rsidTr="007968EC">
        <w:trPr>
          <w:trHeight w:val="395"/>
          <w:jc w:val="center"/>
        </w:trPr>
        <w:tc>
          <w:tcPr>
            <w:tcW w:w="1418" w:type="dxa"/>
            <w:tcBorders>
              <w:top w:val="nil"/>
              <w:left w:val="nil"/>
              <w:bottom w:val="single" w:sz="4" w:space="0" w:color="auto"/>
              <w:right w:val="single" w:sz="4" w:space="0" w:color="auto"/>
            </w:tcBorders>
            <w:vAlign w:val="center"/>
          </w:tcPr>
          <w:p w14:paraId="5BCA3919" w14:textId="77777777" w:rsidR="007968EC" w:rsidRDefault="007968EC" w:rsidP="007968EC">
            <w:pPr>
              <w:spacing w:line="256" w:lineRule="auto"/>
              <w:jc w:val="center"/>
              <w:rPr>
                <w:rFonts w:ascii="Arial Narrow" w:eastAsia="Calibri" w:hAnsi="Arial Narrow"/>
                <w:b/>
                <w:bCs/>
                <w:color w:val="000000"/>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7FD5B2E"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Vencimientos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D9FF184"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Multiplicador del contrato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C012DE6"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 xml:space="preserve">Nominal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4A74F9"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No de Escenarios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7763292"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 xml:space="preserve">Tipo de Fluctuación </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C7EFB21"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Fluctuación Total</w:t>
            </w:r>
          </w:p>
        </w:tc>
      </w:tr>
      <w:tr w:rsidR="007968EC" w14:paraId="55DBEEA6" w14:textId="77777777" w:rsidTr="007968EC">
        <w:trPr>
          <w:trHeight w:val="253"/>
          <w:jc w:val="center"/>
        </w:trPr>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4D003823" w14:textId="77777777" w:rsidR="007968EC" w:rsidRDefault="007968EC" w:rsidP="007968EC">
            <w:pPr>
              <w:autoSpaceDE w:val="0"/>
              <w:autoSpaceDN w:val="0"/>
              <w:adjustRightInd w:val="0"/>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OIS</w:t>
            </w:r>
          </w:p>
          <w:p w14:paraId="1C766817"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IBR</w:t>
            </w:r>
          </w:p>
          <w:p w14:paraId="0583F7E0"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Formación</w:t>
            </w:r>
          </w:p>
        </w:tc>
        <w:tc>
          <w:tcPr>
            <w:tcW w:w="992" w:type="dxa"/>
            <w:tcBorders>
              <w:top w:val="single" w:sz="4" w:space="0" w:color="auto"/>
              <w:left w:val="single" w:sz="4" w:space="0" w:color="auto"/>
              <w:bottom w:val="single" w:sz="4" w:space="0" w:color="auto"/>
              <w:right w:val="single" w:sz="4" w:space="0" w:color="auto"/>
            </w:tcBorders>
            <w:vAlign w:val="center"/>
            <w:hideMark/>
          </w:tcPr>
          <w:p w14:paraId="32C904B9"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1 Mes</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64C6F776"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500.000.000</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401043EE"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 xml:space="preserve">500.000.000 </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4B0AE80A"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11</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7C7494A8"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Porcentual</w:t>
            </w:r>
          </w:p>
        </w:tc>
        <w:tc>
          <w:tcPr>
            <w:tcW w:w="1109" w:type="dxa"/>
            <w:tcBorders>
              <w:top w:val="single" w:sz="4" w:space="0" w:color="auto"/>
              <w:left w:val="single" w:sz="4" w:space="0" w:color="auto"/>
              <w:bottom w:val="single" w:sz="4" w:space="0" w:color="auto"/>
              <w:right w:val="single" w:sz="4" w:space="0" w:color="auto"/>
            </w:tcBorders>
            <w:vAlign w:val="center"/>
            <w:hideMark/>
          </w:tcPr>
          <w:p w14:paraId="1F77E6BF"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0.09%</w:t>
            </w:r>
          </w:p>
        </w:tc>
      </w:tr>
      <w:tr w:rsidR="007968EC" w14:paraId="34AEEC7D" w14:textId="77777777" w:rsidTr="007968EC">
        <w:trPr>
          <w:trHeight w:val="231"/>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715F3829" w14:textId="77777777" w:rsidR="007968EC" w:rsidRDefault="007968EC" w:rsidP="007968EC">
            <w:pPr>
              <w:spacing w:line="256" w:lineRule="auto"/>
              <w:rPr>
                <w:rFonts w:ascii="Arial Narrow" w:eastAsia="Calibri" w:hAnsi="Arial Narrow"/>
                <w:b/>
                <w:bCs/>
                <w:color w:val="000000"/>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CFA5F46"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3 Meses</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C25ED4D" w14:textId="77777777" w:rsidR="007968EC" w:rsidRDefault="007968EC" w:rsidP="007968EC">
            <w:pPr>
              <w:spacing w:line="256" w:lineRule="auto"/>
              <w:rPr>
                <w:rFonts w:ascii="Arial Narrow" w:eastAsia="Calibri" w:hAnsi="Arial Narrow"/>
                <w:b/>
                <w:bCs/>
                <w:color w:val="000000"/>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60D79F7" w14:textId="77777777" w:rsidR="007968EC" w:rsidRDefault="007968EC" w:rsidP="007968EC">
            <w:pPr>
              <w:spacing w:line="256" w:lineRule="auto"/>
              <w:rPr>
                <w:rFonts w:ascii="Arial Narrow" w:eastAsia="Calibri" w:hAnsi="Arial Narrow"/>
                <w:b/>
                <w:bCs/>
                <w:color w:val="000000"/>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E0CCE26" w14:textId="77777777" w:rsidR="007968EC" w:rsidRDefault="007968EC" w:rsidP="007968EC">
            <w:pPr>
              <w:spacing w:line="256" w:lineRule="auto"/>
              <w:rPr>
                <w:rFonts w:ascii="Arial Narrow" w:eastAsia="Calibri" w:hAnsi="Arial Narrow"/>
                <w:b/>
                <w:bCs/>
                <w:color w:val="000000"/>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C4D6458" w14:textId="77777777" w:rsidR="007968EC" w:rsidRDefault="007968EC" w:rsidP="007968EC">
            <w:pPr>
              <w:spacing w:line="256" w:lineRule="auto"/>
              <w:rPr>
                <w:rFonts w:ascii="Arial Narrow" w:eastAsia="Calibri" w:hAnsi="Arial Narrow"/>
                <w:b/>
                <w:bCs/>
                <w:color w:val="000000"/>
                <w:lang w:eastAsia="en-US"/>
              </w:rPr>
            </w:pPr>
          </w:p>
        </w:tc>
        <w:tc>
          <w:tcPr>
            <w:tcW w:w="1109" w:type="dxa"/>
            <w:tcBorders>
              <w:top w:val="single" w:sz="4" w:space="0" w:color="auto"/>
              <w:left w:val="single" w:sz="4" w:space="0" w:color="auto"/>
              <w:bottom w:val="single" w:sz="4" w:space="0" w:color="auto"/>
              <w:right w:val="single" w:sz="4" w:space="0" w:color="auto"/>
            </w:tcBorders>
            <w:vAlign w:val="center"/>
            <w:hideMark/>
          </w:tcPr>
          <w:p w14:paraId="100F43F6" w14:textId="77777777" w:rsidR="007968EC" w:rsidRDefault="007968EC" w:rsidP="007968EC">
            <w:pPr>
              <w:spacing w:line="256" w:lineRule="auto"/>
              <w:jc w:val="center"/>
              <w:rPr>
                <w:rFonts w:ascii="Arial Narrow" w:eastAsia="Calibri" w:hAnsi="Arial Narrow"/>
                <w:bCs/>
                <w:color w:val="000000"/>
                <w:lang w:eastAsia="en-US"/>
              </w:rPr>
            </w:pPr>
            <w:r>
              <w:rPr>
                <w:rFonts w:ascii="Arial Narrow" w:eastAsia="Calibri" w:hAnsi="Arial Narrow"/>
                <w:bCs/>
                <w:color w:val="000000"/>
                <w:lang w:eastAsia="en-US"/>
              </w:rPr>
              <w:t>0.09%</w:t>
            </w:r>
          </w:p>
        </w:tc>
      </w:tr>
      <w:tr w:rsidR="007968EC" w14:paraId="4C407ABC" w14:textId="77777777" w:rsidTr="007968EC">
        <w:trPr>
          <w:trHeight w:val="231"/>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35B35320" w14:textId="77777777" w:rsidR="007968EC" w:rsidRDefault="007968EC" w:rsidP="007968EC">
            <w:pPr>
              <w:spacing w:line="256" w:lineRule="auto"/>
              <w:rPr>
                <w:rFonts w:ascii="Arial Narrow" w:eastAsia="Calibri" w:hAnsi="Arial Narrow"/>
                <w:b/>
                <w:bCs/>
                <w:color w:val="000000"/>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B88B2B0"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6 Meses</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63BEF65" w14:textId="77777777" w:rsidR="007968EC" w:rsidRDefault="007968EC" w:rsidP="007968EC">
            <w:pPr>
              <w:spacing w:line="256" w:lineRule="auto"/>
              <w:rPr>
                <w:rFonts w:ascii="Arial Narrow" w:eastAsia="Calibri" w:hAnsi="Arial Narrow"/>
                <w:b/>
                <w:bCs/>
                <w:color w:val="000000"/>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45BA6EB" w14:textId="77777777" w:rsidR="007968EC" w:rsidRDefault="007968EC" w:rsidP="007968EC">
            <w:pPr>
              <w:spacing w:line="256" w:lineRule="auto"/>
              <w:rPr>
                <w:rFonts w:ascii="Arial Narrow" w:eastAsia="Calibri" w:hAnsi="Arial Narrow"/>
                <w:b/>
                <w:bCs/>
                <w:color w:val="000000"/>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B1F6C2D" w14:textId="77777777" w:rsidR="007968EC" w:rsidRDefault="007968EC" w:rsidP="007968EC">
            <w:pPr>
              <w:spacing w:line="256" w:lineRule="auto"/>
              <w:rPr>
                <w:rFonts w:ascii="Arial Narrow" w:eastAsia="Calibri" w:hAnsi="Arial Narrow"/>
                <w:b/>
                <w:bCs/>
                <w:color w:val="000000"/>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F85B5EA" w14:textId="77777777" w:rsidR="007968EC" w:rsidRDefault="007968EC" w:rsidP="007968EC">
            <w:pPr>
              <w:spacing w:line="256" w:lineRule="auto"/>
              <w:rPr>
                <w:rFonts w:ascii="Arial Narrow" w:eastAsia="Calibri" w:hAnsi="Arial Narrow"/>
                <w:b/>
                <w:bCs/>
                <w:color w:val="000000"/>
                <w:lang w:eastAsia="en-US"/>
              </w:rPr>
            </w:pPr>
          </w:p>
        </w:tc>
        <w:tc>
          <w:tcPr>
            <w:tcW w:w="1109" w:type="dxa"/>
            <w:tcBorders>
              <w:top w:val="single" w:sz="4" w:space="0" w:color="auto"/>
              <w:left w:val="single" w:sz="4" w:space="0" w:color="auto"/>
              <w:bottom w:val="single" w:sz="4" w:space="0" w:color="auto"/>
              <w:right w:val="single" w:sz="4" w:space="0" w:color="auto"/>
            </w:tcBorders>
            <w:vAlign w:val="center"/>
            <w:hideMark/>
          </w:tcPr>
          <w:p w14:paraId="57A0BB5B"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0.24%</w:t>
            </w:r>
          </w:p>
        </w:tc>
      </w:tr>
    </w:tbl>
    <w:p w14:paraId="60B14E9E" w14:textId="77777777" w:rsidR="007968EC" w:rsidRDefault="007968EC" w:rsidP="007968EC">
      <w:pPr>
        <w:autoSpaceDE w:val="0"/>
        <w:autoSpaceDN w:val="0"/>
        <w:adjustRightInd w:val="0"/>
        <w:jc w:val="both"/>
        <w:rPr>
          <w:rFonts w:ascii="Arial Narrow" w:eastAsia="Calibri" w:hAnsi="Arial Narrow"/>
          <w:b/>
          <w:bCs/>
          <w:color w:val="000000"/>
          <w:lang w:eastAsia="en-US"/>
        </w:rPr>
      </w:pPr>
    </w:p>
    <w:p w14:paraId="0D21F8D1" w14:textId="77777777" w:rsidR="007968EC" w:rsidRDefault="007968EC" w:rsidP="007968EC">
      <w:pPr>
        <w:autoSpaceDE w:val="0"/>
        <w:autoSpaceDN w:val="0"/>
        <w:adjustRightInd w:val="0"/>
        <w:jc w:val="both"/>
        <w:rPr>
          <w:rFonts w:ascii="Arial Narrow" w:eastAsia="Calibri" w:hAnsi="Arial Narrow"/>
          <w:b/>
          <w:bCs/>
          <w:color w:val="000000"/>
          <w:lang w:eastAsia="en-US"/>
        </w:rPr>
      </w:pPr>
      <w:r>
        <w:rPr>
          <w:rFonts w:ascii="Arial Narrow" w:eastAsia="Calibri" w:hAnsi="Arial Narrow"/>
          <w:bCs/>
          <w:color w:val="000000"/>
          <w:lang w:eastAsia="en-US"/>
        </w:rPr>
        <w:t>Para efectos operativos el OIS IBR Formación se operará en múltiplos de COP500 millones.</w:t>
      </w:r>
    </w:p>
    <w:p w14:paraId="6B530F3D" w14:textId="77777777" w:rsidR="007968EC" w:rsidRDefault="007968EC" w:rsidP="007968EC">
      <w:pPr>
        <w:autoSpaceDE w:val="0"/>
        <w:autoSpaceDN w:val="0"/>
        <w:adjustRightInd w:val="0"/>
        <w:rPr>
          <w:rFonts w:ascii="Arial Narrow" w:eastAsia="Calibri" w:hAnsi="Arial Narrow"/>
          <w:b/>
          <w:bCs/>
          <w:color w:val="000000"/>
          <w:lang w:eastAsia="en-US"/>
        </w:rPr>
      </w:pPr>
    </w:p>
    <w:tbl>
      <w:tblPr>
        <w:tblW w:w="0" w:type="auto"/>
        <w:jc w:val="center"/>
        <w:tblBorders>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1701"/>
        <w:gridCol w:w="1559"/>
        <w:gridCol w:w="1559"/>
        <w:gridCol w:w="1701"/>
      </w:tblGrid>
      <w:tr w:rsidR="007968EC" w14:paraId="1B793770" w14:textId="77777777" w:rsidTr="007968EC">
        <w:trPr>
          <w:trHeight w:val="708"/>
          <w:jc w:val="center"/>
        </w:trPr>
        <w:tc>
          <w:tcPr>
            <w:tcW w:w="1545" w:type="dxa"/>
            <w:tcBorders>
              <w:top w:val="nil"/>
              <w:left w:val="nil"/>
              <w:bottom w:val="single" w:sz="4" w:space="0" w:color="auto"/>
              <w:right w:val="single" w:sz="4" w:space="0" w:color="auto"/>
            </w:tcBorders>
            <w:vAlign w:val="center"/>
          </w:tcPr>
          <w:p w14:paraId="6C7C8288" w14:textId="77777777" w:rsidR="007968EC" w:rsidRDefault="007968EC" w:rsidP="007968EC">
            <w:pPr>
              <w:spacing w:line="256" w:lineRule="auto"/>
              <w:jc w:val="center"/>
              <w:rPr>
                <w:rFonts w:ascii="Arial Narrow" w:eastAsia="Calibri" w:hAnsi="Arial Narrow"/>
                <w:b/>
                <w:bCs/>
                <w:color w:val="000000"/>
                <w:lang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7FA8807B"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Plazos</w:t>
            </w:r>
          </w:p>
          <w:p w14:paraId="7E55F03B"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(No. de Meses)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1EE09E2"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Factor de</w:t>
            </w:r>
          </w:p>
          <w:p w14:paraId="63FE0614"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cobertura por</w:t>
            </w:r>
          </w:p>
          <w:p w14:paraId="233C2B72"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Time Spread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65B89C2"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Valor</w:t>
            </w:r>
          </w:p>
          <w:p w14:paraId="10C0AD0C"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Mínimo por</w:t>
            </w:r>
          </w:p>
          <w:p w14:paraId="4ABB6978"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Spread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C9FEB5"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Fluctuación</w:t>
            </w:r>
          </w:p>
          <w:p w14:paraId="6A3D1E9F"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para</w:t>
            </w:r>
          </w:p>
          <w:p w14:paraId="45CCB4CB"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llamados a</w:t>
            </w:r>
          </w:p>
          <w:p w14:paraId="5940B353"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Garantías</w:t>
            </w:r>
          </w:p>
          <w:p w14:paraId="222C605B"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Extraordinarias</w:t>
            </w:r>
          </w:p>
        </w:tc>
      </w:tr>
      <w:tr w:rsidR="007968EC" w14:paraId="2C456E29" w14:textId="77777777" w:rsidTr="007968EC">
        <w:trPr>
          <w:trHeight w:val="125"/>
          <w:jc w:val="center"/>
        </w:trPr>
        <w:tc>
          <w:tcPr>
            <w:tcW w:w="1545" w:type="dxa"/>
            <w:vMerge w:val="restart"/>
            <w:tcBorders>
              <w:top w:val="single" w:sz="4" w:space="0" w:color="auto"/>
              <w:left w:val="single" w:sz="4" w:space="0" w:color="auto"/>
              <w:bottom w:val="single" w:sz="4" w:space="0" w:color="auto"/>
              <w:right w:val="single" w:sz="4" w:space="0" w:color="auto"/>
            </w:tcBorders>
            <w:vAlign w:val="center"/>
          </w:tcPr>
          <w:p w14:paraId="145075E4"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OIS IBR</w:t>
            </w:r>
          </w:p>
          <w:p w14:paraId="6DC77A20"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Formación</w:t>
            </w:r>
          </w:p>
          <w:p w14:paraId="18A516B6" w14:textId="77777777" w:rsidR="007968EC" w:rsidRDefault="007968EC" w:rsidP="007968EC">
            <w:pPr>
              <w:spacing w:line="256" w:lineRule="auto"/>
              <w:jc w:val="center"/>
              <w:rPr>
                <w:rFonts w:ascii="Arial Narrow" w:eastAsia="Calibri" w:hAnsi="Arial Narrow"/>
                <w:b/>
                <w:bCs/>
                <w:color w:val="000000"/>
                <w:lang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10650BFA"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 xml:space="preserve">1 </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0F8930B8"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0.0</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1D1EAD7B"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CF208B9"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0.06%</w:t>
            </w:r>
          </w:p>
        </w:tc>
      </w:tr>
      <w:tr w:rsidR="007968EC" w14:paraId="412D020E" w14:textId="77777777" w:rsidTr="007968EC">
        <w:trPr>
          <w:trHeight w:val="122"/>
          <w:jc w:val="center"/>
        </w:trPr>
        <w:tc>
          <w:tcPr>
            <w:tcW w:w="1545" w:type="dxa"/>
            <w:vMerge/>
            <w:tcBorders>
              <w:top w:val="single" w:sz="4" w:space="0" w:color="auto"/>
              <w:left w:val="single" w:sz="4" w:space="0" w:color="auto"/>
              <w:bottom w:val="single" w:sz="4" w:space="0" w:color="auto"/>
              <w:right w:val="single" w:sz="4" w:space="0" w:color="auto"/>
            </w:tcBorders>
            <w:vAlign w:val="center"/>
            <w:hideMark/>
          </w:tcPr>
          <w:p w14:paraId="7E9FE346" w14:textId="77777777" w:rsidR="007968EC" w:rsidRDefault="007968EC" w:rsidP="007968EC">
            <w:pPr>
              <w:spacing w:line="256" w:lineRule="auto"/>
              <w:rPr>
                <w:rFonts w:ascii="Arial Narrow" w:eastAsia="Calibri" w:hAnsi="Arial Narrow"/>
                <w:b/>
                <w:bCs/>
                <w:color w:val="000000"/>
                <w:lang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56DEE01A"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 xml:space="preserve">3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F482009" w14:textId="77777777" w:rsidR="007968EC" w:rsidRDefault="007968EC" w:rsidP="007968EC">
            <w:pPr>
              <w:spacing w:line="256" w:lineRule="auto"/>
              <w:rPr>
                <w:rFonts w:ascii="Arial Narrow" w:eastAsia="Calibri" w:hAnsi="Arial Narrow"/>
                <w:b/>
                <w:bCs/>
                <w:color w:val="00000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D01C3E6" w14:textId="77777777" w:rsidR="007968EC" w:rsidRDefault="007968EC" w:rsidP="007968EC">
            <w:pPr>
              <w:spacing w:line="256" w:lineRule="auto"/>
              <w:rPr>
                <w:rFonts w:ascii="Arial Narrow" w:eastAsia="Calibri" w:hAnsi="Arial Narrow"/>
                <w:b/>
                <w:bCs/>
                <w:color w:val="000000"/>
                <w:lang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57C52519"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0.06%</w:t>
            </w:r>
          </w:p>
        </w:tc>
      </w:tr>
      <w:tr w:rsidR="007968EC" w14:paraId="5D61F013" w14:textId="77777777" w:rsidTr="007968EC">
        <w:trPr>
          <w:trHeight w:val="122"/>
          <w:jc w:val="center"/>
        </w:trPr>
        <w:tc>
          <w:tcPr>
            <w:tcW w:w="1545" w:type="dxa"/>
            <w:vMerge/>
            <w:tcBorders>
              <w:top w:val="single" w:sz="4" w:space="0" w:color="auto"/>
              <w:left w:val="single" w:sz="4" w:space="0" w:color="auto"/>
              <w:bottom w:val="single" w:sz="4" w:space="0" w:color="auto"/>
              <w:right w:val="single" w:sz="4" w:space="0" w:color="auto"/>
            </w:tcBorders>
            <w:vAlign w:val="center"/>
            <w:hideMark/>
          </w:tcPr>
          <w:p w14:paraId="76B4A1FB" w14:textId="77777777" w:rsidR="007968EC" w:rsidRDefault="007968EC" w:rsidP="007968EC">
            <w:pPr>
              <w:spacing w:line="256" w:lineRule="auto"/>
              <w:rPr>
                <w:rFonts w:ascii="Arial Narrow" w:eastAsia="Calibri" w:hAnsi="Arial Narrow"/>
                <w:b/>
                <w:bCs/>
                <w:color w:val="000000"/>
                <w:lang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0AB724A8"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 xml:space="preserve">6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F05E7EC" w14:textId="77777777" w:rsidR="007968EC" w:rsidRDefault="007968EC" w:rsidP="007968EC">
            <w:pPr>
              <w:spacing w:line="256" w:lineRule="auto"/>
              <w:rPr>
                <w:rFonts w:ascii="Arial Narrow" w:eastAsia="Calibri" w:hAnsi="Arial Narrow"/>
                <w:b/>
                <w:bCs/>
                <w:color w:val="00000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09F06A1" w14:textId="77777777" w:rsidR="007968EC" w:rsidRDefault="007968EC" w:rsidP="007968EC">
            <w:pPr>
              <w:spacing w:line="256" w:lineRule="auto"/>
              <w:rPr>
                <w:rFonts w:ascii="Arial Narrow" w:eastAsia="Calibri" w:hAnsi="Arial Narrow"/>
                <w:b/>
                <w:bCs/>
                <w:color w:val="000000"/>
                <w:lang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FCE0350"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bCs/>
                <w:color w:val="000000"/>
                <w:lang w:eastAsia="en-US"/>
              </w:rPr>
              <w:t>0.18%</w:t>
            </w:r>
          </w:p>
        </w:tc>
      </w:tr>
    </w:tbl>
    <w:p w14:paraId="1143E4D8" w14:textId="77777777" w:rsidR="007968EC" w:rsidRDefault="007968EC" w:rsidP="007968EC">
      <w:pPr>
        <w:autoSpaceDE w:val="0"/>
        <w:autoSpaceDN w:val="0"/>
        <w:adjustRightInd w:val="0"/>
        <w:rPr>
          <w:rFonts w:ascii="Arial Narrow" w:eastAsia="Calibri" w:hAnsi="Arial Narrow" w:cs="Arial Narrow"/>
          <w:color w:val="000000"/>
          <w:lang w:eastAsia="es-CO"/>
        </w:rPr>
      </w:pPr>
    </w:p>
    <w:p w14:paraId="74AEE112" w14:textId="77777777" w:rsidR="007968EC" w:rsidRDefault="007968EC" w:rsidP="007968EC">
      <w:pPr>
        <w:autoSpaceDE w:val="0"/>
        <w:autoSpaceDN w:val="0"/>
        <w:adjustRightInd w:val="0"/>
        <w:rPr>
          <w:rFonts w:ascii="Arial Narrow" w:eastAsia="Calibri" w:hAnsi="Arial Narrow" w:cs="Arial Narrow"/>
          <w:color w:val="000000"/>
          <w:lang w:eastAsia="es-CO"/>
        </w:rPr>
      </w:pPr>
    </w:p>
    <w:p w14:paraId="73FD6EFD" w14:textId="77777777" w:rsidR="007968EC" w:rsidRDefault="007968EC" w:rsidP="00DA7472">
      <w:pPr>
        <w:numPr>
          <w:ilvl w:val="0"/>
          <w:numId w:val="366"/>
        </w:numPr>
        <w:autoSpaceDE w:val="0"/>
        <w:autoSpaceDN w:val="0"/>
        <w:spacing w:after="160" w:line="256" w:lineRule="auto"/>
        <w:ind w:left="426" w:hanging="426"/>
        <w:contextualSpacing/>
        <w:jc w:val="both"/>
        <w:rPr>
          <w:rFonts w:ascii="Arial Narrow" w:eastAsia="Calibri" w:hAnsi="Arial Narrow"/>
          <w:color w:val="000000"/>
          <w:u w:val="single"/>
          <w:lang w:eastAsia="en-US"/>
        </w:rPr>
      </w:pPr>
      <w:r>
        <w:rPr>
          <w:rFonts w:ascii="Arial Narrow" w:eastAsia="Calibri" w:hAnsi="Arial Narrow"/>
          <w:color w:val="000000"/>
          <w:u w:val="single"/>
          <w:lang w:eastAsia="en-US"/>
        </w:rPr>
        <w:t>OIS IBR:</w:t>
      </w:r>
    </w:p>
    <w:p w14:paraId="5C97DF10" w14:textId="77777777" w:rsidR="007968EC" w:rsidRDefault="007968EC" w:rsidP="007968EC">
      <w:pPr>
        <w:autoSpaceDE w:val="0"/>
        <w:autoSpaceDN w:val="0"/>
        <w:adjustRightInd w:val="0"/>
        <w:rPr>
          <w:rFonts w:ascii="Arial Narrow" w:eastAsia="Calibri" w:hAnsi="Arial Narrow"/>
          <w:b/>
          <w:color w:val="000000"/>
          <w:lang w:eastAsia="en-US"/>
        </w:rPr>
      </w:pPr>
    </w:p>
    <w:p w14:paraId="49554C18" w14:textId="77777777" w:rsidR="007968EC" w:rsidRDefault="007968EC" w:rsidP="007968EC">
      <w:pPr>
        <w:autoSpaceDE w:val="0"/>
        <w:autoSpaceDN w:val="0"/>
        <w:adjustRightInd w:val="0"/>
        <w:rPr>
          <w:rFonts w:ascii="Arial Narrow" w:eastAsia="Calibri" w:hAnsi="Arial Narrow"/>
          <w:color w:val="000000"/>
          <w:lang w:eastAsia="en-US"/>
        </w:rPr>
      </w:pPr>
      <w:r>
        <w:rPr>
          <w:rFonts w:ascii="Arial Narrow" w:eastAsia="Calibri" w:hAnsi="Arial Narrow"/>
          <w:color w:val="000000"/>
          <w:lang w:eastAsia="en-US"/>
        </w:rPr>
        <w:t>Para el Instrumento Financiero Derivado No Estandarizado OIS IBR, se tienen los siguientes parámetros:</w:t>
      </w:r>
    </w:p>
    <w:p w14:paraId="6855020B" w14:textId="77777777" w:rsidR="007968EC" w:rsidRDefault="007968EC" w:rsidP="007968EC">
      <w:pPr>
        <w:autoSpaceDE w:val="0"/>
        <w:autoSpaceDN w:val="0"/>
        <w:adjustRightInd w:val="0"/>
        <w:rPr>
          <w:rFonts w:ascii="Arial Narrow" w:eastAsia="Calibri" w:hAnsi="Arial Narrow"/>
          <w:color w:val="000000"/>
          <w:lang w:eastAsia="en-US"/>
        </w:rPr>
      </w:pPr>
    </w:p>
    <w:tbl>
      <w:tblPr>
        <w:tblStyle w:val="Tablaconcuadrcula71122"/>
        <w:tblW w:w="8790" w:type="dxa"/>
        <w:jc w:val="center"/>
        <w:tblLayout w:type="fixed"/>
        <w:tblLook w:val="04A0" w:firstRow="1" w:lastRow="0" w:firstColumn="1" w:lastColumn="0" w:noHBand="0" w:noVBand="1"/>
      </w:tblPr>
      <w:tblGrid>
        <w:gridCol w:w="568"/>
        <w:gridCol w:w="1129"/>
        <w:gridCol w:w="1419"/>
        <w:gridCol w:w="1418"/>
        <w:gridCol w:w="1561"/>
        <w:gridCol w:w="1418"/>
        <w:gridCol w:w="1277"/>
      </w:tblGrid>
      <w:tr w:rsidR="007968EC" w14:paraId="007462E4" w14:textId="77777777" w:rsidTr="007968EC">
        <w:trPr>
          <w:trHeight w:val="801"/>
          <w:jc w:val="center"/>
        </w:trPr>
        <w:tc>
          <w:tcPr>
            <w:tcW w:w="568" w:type="dxa"/>
            <w:tcBorders>
              <w:top w:val="single" w:sz="4" w:space="0" w:color="auto"/>
              <w:left w:val="single" w:sz="4" w:space="0" w:color="auto"/>
              <w:bottom w:val="single" w:sz="4" w:space="0" w:color="auto"/>
              <w:right w:val="single" w:sz="4" w:space="0" w:color="auto"/>
            </w:tcBorders>
          </w:tcPr>
          <w:p w14:paraId="203C4B39" w14:textId="77777777" w:rsidR="007968EC" w:rsidRDefault="007968EC" w:rsidP="007968EC">
            <w:pPr>
              <w:rPr>
                <w:rFonts w:ascii="Arial Narrow" w:eastAsia="Calibri" w:hAnsi="Arial Narrow"/>
                <w:color w:val="000000"/>
                <w:lang w:eastAsia="en-US"/>
              </w:rPr>
            </w:pPr>
          </w:p>
        </w:tc>
        <w:tc>
          <w:tcPr>
            <w:tcW w:w="1128" w:type="dxa"/>
            <w:tcBorders>
              <w:top w:val="single" w:sz="4" w:space="0" w:color="auto"/>
              <w:left w:val="single" w:sz="4" w:space="0" w:color="auto"/>
              <w:bottom w:val="single" w:sz="4" w:space="0" w:color="auto"/>
              <w:right w:val="single" w:sz="4" w:space="0" w:color="auto"/>
            </w:tcBorders>
            <w:vAlign w:val="center"/>
            <w:hideMark/>
          </w:tcPr>
          <w:p w14:paraId="441E7A69" w14:textId="77777777" w:rsidR="007968EC" w:rsidRDefault="007968EC" w:rsidP="007968EC">
            <w:pPr>
              <w:jc w:val="center"/>
              <w:rPr>
                <w:rFonts w:ascii="Arial Narrow" w:eastAsia="Calibri" w:hAnsi="Arial Narrow"/>
                <w:color w:val="000000"/>
                <w:lang w:eastAsia="en-US"/>
              </w:rPr>
            </w:pPr>
            <w:r>
              <w:rPr>
                <w:rFonts w:ascii="Arial Narrow" w:eastAsia="Calibri" w:hAnsi="Arial Narrow"/>
                <w:color w:val="000000"/>
                <w:lang w:eastAsia="en-US"/>
              </w:rPr>
              <w:t>Vencimientos</w:t>
            </w:r>
          </w:p>
          <w:p w14:paraId="604AEA88" w14:textId="77777777" w:rsidR="007968EC" w:rsidRDefault="007968EC" w:rsidP="007968EC">
            <w:pPr>
              <w:jc w:val="center"/>
              <w:rPr>
                <w:rFonts w:ascii="Arial Narrow" w:eastAsia="Calibri" w:hAnsi="Arial Narrow"/>
                <w:color w:val="000000"/>
                <w:lang w:eastAsia="en-US"/>
              </w:rPr>
            </w:pPr>
            <w:r>
              <w:rPr>
                <w:rFonts w:ascii="Arial Narrow" w:eastAsia="Calibri" w:hAnsi="Arial Narrow"/>
                <w:color w:val="000000"/>
                <w:lang w:eastAsia="en-US"/>
              </w:rPr>
              <w:t>(No. De Meses)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5143BD3" w14:textId="77777777" w:rsidR="007968EC" w:rsidRDefault="007968EC" w:rsidP="007968EC">
            <w:pPr>
              <w:jc w:val="center"/>
              <w:rPr>
                <w:rFonts w:ascii="Arial Narrow" w:eastAsia="Calibri" w:hAnsi="Arial Narrow"/>
                <w:color w:val="000000"/>
                <w:lang w:eastAsia="en-US"/>
              </w:rPr>
            </w:pPr>
            <w:r>
              <w:rPr>
                <w:rFonts w:ascii="Arial Narrow" w:eastAsia="Calibri" w:hAnsi="Arial Narrow"/>
                <w:color w:val="000000"/>
                <w:lang w:eastAsia="en-US"/>
              </w:rPr>
              <w:t>Multiplicador del contrato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447CE04" w14:textId="77777777" w:rsidR="007968EC" w:rsidRDefault="007968EC" w:rsidP="007968EC">
            <w:pPr>
              <w:jc w:val="center"/>
              <w:rPr>
                <w:rFonts w:ascii="Arial Narrow" w:eastAsia="Calibri" w:hAnsi="Arial Narrow"/>
                <w:color w:val="000000"/>
                <w:lang w:eastAsia="en-US"/>
              </w:rPr>
            </w:pPr>
            <w:r>
              <w:rPr>
                <w:rFonts w:ascii="Arial Narrow" w:eastAsia="Calibri" w:hAnsi="Arial Narrow"/>
                <w:color w:val="000000"/>
                <w:lang w:eastAsia="en-US"/>
              </w:rPr>
              <w:t>Nominal</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1B74A6B" w14:textId="77777777" w:rsidR="007968EC" w:rsidRDefault="007968EC" w:rsidP="007968EC">
            <w:pPr>
              <w:autoSpaceDE w:val="0"/>
              <w:autoSpaceDN w:val="0"/>
              <w:adjustRightInd w:val="0"/>
              <w:jc w:val="center"/>
              <w:rPr>
                <w:rFonts w:ascii="Arial Narrow" w:eastAsia="Calibri" w:hAnsi="Arial Narrow"/>
                <w:color w:val="000000"/>
                <w:lang w:eastAsia="en-US"/>
              </w:rPr>
            </w:pPr>
            <w:r>
              <w:rPr>
                <w:rFonts w:ascii="Arial Narrow" w:eastAsia="Calibri" w:hAnsi="Arial Narrow"/>
                <w:color w:val="000000"/>
                <w:lang w:eastAsia="en-US"/>
              </w:rPr>
              <w:t>No. de</w:t>
            </w:r>
          </w:p>
          <w:p w14:paraId="5FAEB1FA" w14:textId="77777777" w:rsidR="007968EC" w:rsidRDefault="007968EC" w:rsidP="007968EC">
            <w:pPr>
              <w:autoSpaceDE w:val="0"/>
              <w:autoSpaceDN w:val="0"/>
              <w:adjustRightInd w:val="0"/>
              <w:jc w:val="center"/>
              <w:rPr>
                <w:rFonts w:ascii="Arial Narrow" w:eastAsia="Calibri" w:hAnsi="Arial Narrow"/>
                <w:color w:val="000000"/>
                <w:lang w:eastAsia="en-US"/>
              </w:rPr>
            </w:pPr>
            <w:r>
              <w:rPr>
                <w:rFonts w:ascii="Arial Narrow" w:eastAsia="Calibri" w:hAnsi="Arial Narrow"/>
                <w:color w:val="000000"/>
                <w:lang w:eastAsia="en-US"/>
              </w:rPr>
              <w:t>Escenarios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EEAC1F" w14:textId="77777777" w:rsidR="007968EC" w:rsidRDefault="007968EC" w:rsidP="007968EC">
            <w:pPr>
              <w:autoSpaceDE w:val="0"/>
              <w:autoSpaceDN w:val="0"/>
              <w:adjustRightInd w:val="0"/>
              <w:jc w:val="center"/>
              <w:rPr>
                <w:rFonts w:ascii="Arial Narrow" w:eastAsia="Calibri" w:hAnsi="Arial Narrow"/>
                <w:color w:val="000000"/>
                <w:lang w:eastAsia="en-US"/>
              </w:rPr>
            </w:pPr>
            <w:r>
              <w:rPr>
                <w:rFonts w:ascii="Arial Narrow" w:eastAsia="Calibri" w:hAnsi="Arial Narrow"/>
                <w:color w:val="000000"/>
                <w:lang w:eastAsia="en-US"/>
              </w:rPr>
              <w:t>Tipo de</w:t>
            </w:r>
          </w:p>
          <w:p w14:paraId="1E4DF51C" w14:textId="77777777" w:rsidR="007968EC" w:rsidRDefault="007968EC" w:rsidP="007968EC">
            <w:pPr>
              <w:jc w:val="center"/>
              <w:rPr>
                <w:rFonts w:ascii="Arial Narrow" w:eastAsia="Calibri" w:hAnsi="Arial Narrow"/>
                <w:color w:val="000000"/>
                <w:lang w:eastAsia="en-US"/>
              </w:rPr>
            </w:pPr>
            <w:r>
              <w:rPr>
                <w:rFonts w:ascii="Arial Narrow" w:eastAsia="Calibri" w:hAnsi="Arial Narrow"/>
                <w:color w:val="000000"/>
                <w:lang w:eastAsia="en-US"/>
              </w:rPr>
              <w:t>Fluctuación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C0F077" w14:textId="77777777" w:rsidR="007968EC" w:rsidRDefault="007968EC" w:rsidP="007968EC">
            <w:pPr>
              <w:autoSpaceDE w:val="0"/>
              <w:autoSpaceDN w:val="0"/>
              <w:adjustRightInd w:val="0"/>
              <w:jc w:val="center"/>
              <w:rPr>
                <w:rFonts w:ascii="Arial Narrow" w:eastAsia="Calibri" w:hAnsi="Arial Narrow"/>
                <w:color w:val="000000"/>
                <w:lang w:eastAsia="en-US"/>
              </w:rPr>
            </w:pPr>
            <w:r>
              <w:rPr>
                <w:rFonts w:ascii="Arial Narrow" w:eastAsia="Calibri" w:hAnsi="Arial Narrow"/>
                <w:color w:val="000000"/>
                <w:lang w:eastAsia="en-US"/>
              </w:rPr>
              <w:t>Fluctuación</w:t>
            </w:r>
          </w:p>
          <w:p w14:paraId="17D5CF0A" w14:textId="77777777" w:rsidR="007968EC" w:rsidRDefault="007968EC" w:rsidP="007968EC">
            <w:pPr>
              <w:jc w:val="center"/>
              <w:rPr>
                <w:rFonts w:ascii="Arial Narrow" w:eastAsia="Calibri" w:hAnsi="Arial Narrow"/>
                <w:color w:val="000000"/>
                <w:lang w:eastAsia="en-US"/>
              </w:rPr>
            </w:pPr>
            <w:r>
              <w:rPr>
                <w:rFonts w:ascii="Arial Narrow" w:eastAsia="Calibri" w:hAnsi="Arial Narrow"/>
                <w:color w:val="000000"/>
                <w:lang w:eastAsia="en-US"/>
              </w:rPr>
              <w:t>Total</w:t>
            </w:r>
          </w:p>
        </w:tc>
      </w:tr>
      <w:tr w:rsidR="007968EC" w14:paraId="26298CA1" w14:textId="77777777" w:rsidTr="007968EC">
        <w:trPr>
          <w:trHeight w:val="250"/>
          <w:jc w:val="center"/>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14:paraId="0C027769" w14:textId="77777777" w:rsidR="007968EC" w:rsidRDefault="007968EC" w:rsidP="007968EC">
            <w:pPr>
              <w:jc w:val="center"/>
              <w:rPr>
                <w:rFonts w:ascii="Arial Narrow" w:eastAsia="Calibri" w:hAnsi="Arial Narrow"/>
                <w:color w:val="000000"/>
                <w:lang w:eastAsia="en-US"/>
              </w:rPr>
            </w:pPr>
            <w:r>
              <w:rPr>
                <w:rFonts w:ascii="Arial Narrow" w:eastAsia="Calibri" w:hAnsi="Arial Narrow"/>
                <w:color w:val="000000"/>
                <w:lang w:eastAsia="en-US"/>
              </w:rPr>
              <w:t>OIS IBR</w:t>
            </w:r>
          </w:p>
        </w:tc>
        <w:tc>
          <w:tcPr>
            <w:tcW w:w="1128" w:type="dxa"/>
            <w:tcBorders>
              <w:top w:val="single" w:sz="4" w:space="0" w:color="auto"/>
              <w:left w:val="single" w:sz="4" w:space="0" w:color="auto"/>
              <w:bottom w:val="single" w:sz="4" w:space="0" w:color="auto"/>
              <w:right w:val="single" w:sz="4" w:space="0" w:color="auto"/>
            </w:tcBorders>
            <w:hideMark/>
          </w:tcPr>
          <w:p w14:paraId="55AB9B8F" w14:textId="77777777" w:rsidR="007968EC" w:rsidRDefault="007968EC" w:rsidP="007968EC">
            <w:pPr>
              <w:jc w:val="center"/>
              <w:rPr>
                <w:rFonts w:ascii="Arial Narrow" w:eastAsia="Calibri" w:hAnsi="Arial Narrow"/>
                <w:color w:val="000000"/>
                <w:kern w:val="24"/>
                <w:lang w:eastAsia="en-US"/>
              </w:rPr>
            </w:pPr>
            <w:r>
              <w:rPr>
                <w:rFonts w:ascii="Arial Narrow" w:eastAsia="Calibri" w:hAnsi="Arial Narrow"/>
                <w:color w:val="000000"/>
                <w:kern w:val="24"/>
                <w:lang w:eastAsia="en-US"/>
              </w:rPr>
              <w:t>1</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337BACEE" w14:textId="77777777" w:rsidR="007968EC" w:rsidRDefault="007968EC" w:rsidP="007968EC">
            <w:pPr>
              <w:rPr>
                <w:rFonts w:ascii="Arial Narrow" w:eastAsia="Calibri" w:hAnsi="Arial Narrow"/>
                <w:color w:val="000000"/>
                <w:kern w:val="24"/>
                <w:lang w:eastAsia="en-US"/>
              </w:rPr>
            </w:pPr>
            <w:r>
              <w:rPr>
                <w:rFonts w:ascii="Arial Narrow" w:eastAsia="Calibri" w:hAnsi="Arial Narrow"/>
                <w:color w:val="000000"/>
                <w:kern w:val="24"/>
                <w:lang w:eastAsia="en-US"/>
              </w:rPr>
              <w:t>500.000.000</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2AA5FEE1" w14:textId="77777777" w:rsidR="007968EC" w:rsidRDefault="007968EC" w:rsidP="007968EC">
            <w:pPr>
              <w:rPr>
                <w:rFonts w:ascii="Arial Narrow" w:eastAsia="Calibri" w:hAnsi="Arial Narrow"/>
                <w:color w:val="000000"/>
                <w:kern w:val="24"/>
                <w:lang w:eastAsia="en-US"/>
              </w:rPr>
            </w:pPr>
            <w:r>
              <w:rPr>
                <w:rFonts w:ascii="Arial Narrow" w:eastAsia="Calibri" w:hAnsi="Arial Narrow"/>
                <w:color w:val="000000"/>
                <w:kern w:val="24"/>
                <w:lang w:eastAsia="en-US"/>
              </w:rPr>
              <w:t>500.000.000</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3D2FBE1A" w14:textId="77777777" w:rsidR="007968EC" w:rsidRDefault="007968EC" w:rsidP="007968EC">
            <w:pPr>
              <w:jc w:val="center"/>
              <w:rPr>
                <w:rFonts w:ascii="Arial Narrow" w:eastAsia="Calibri" w:hAnsi="Arial Narrow"/>
                <w:color w:val="000000"/>
                <w:kern w:val="24"/>
                <w:lang w:eastAsia="en-US"/>
              </w:rPr>
            </w:pPr>
            <w:r>
              <w:rPr>
                <w:rFonts w:ascii="Arial Narrow" w:eastAsia="Calibri" w:hAnsi="Arial Narrow"/>
                <w:color w:val="000000"/>
                <w:kern w:val="24"/>
                <w:lang w:eastAsia="en-US"/>
              </w:rPr>
              <w:t>11</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6B9CC668" w14:textId="77777777" w:rsidR="007968EC" w:rsidRDefault="007968EC" w:rsidP="007968EC">
            <w:pPr>
              <w:jc w:val="center"/>
              <w:rPr>
                <w:rFonts w:ascii="Arial Narrow" w:eastAsia="Calibri" w:hAnsi="Arial Narrow"/>
                <w:color w:val="000000"/>
                <w:kern w:val="24"/>
                <w:lang w:eastAsia="en-US"/>
              </w:rPr>
            </w:pPr>
            <w:r>
              <w:rPr>
                <w:rFonts w:ascii="Arial Narrow" w:eastAsia="Calibri" w:hAnsi="Arial Narrow"/>
                <w:color w:val="000000"/>
                <w:kern w:val="24"/>
                <w:lang w:eastAsia="en-US"/>
              </w:rPr>
              <w:t>Porcentual</w:t>
            </w:r>
          </w:p>
        </w:tc>
        <w:tc>
          <w:tcPr>
            <w:tcW w:w="1276" w:type="dxa"/>
            <w:tcBorders>
              <w:top w:val="single" w:sz="4" w:space="0" w:color="auto"/>
              <w:left w:val="single" w:sz="4" w:space="0" w:color="auto"/>
              <w:bottom w:val="single" w:sz="4" w:space="0" w:color="auto"/>
              <w:right w:val="single" w:sz="4" w:space="0" w:color="auto"/>
            </w:tcBorders>
            <w:hideMark/>
          </w:tcPr>
          <w:p w14:paraId="78747140" w14:textId="77777777" w:rsidR="007968EC" w:rsidRDefault="007968EC" w:rsidP="007968EC">
            <w:pPr>
              <w:jc w:val="center"/>
              <w:rPr>
                <w:rFonts w:ascii="Arial Narrow" w:eastAsia="Calibri" w:hAnsi="Arial Narrow"/>
                <w:color w:val="000000"/>
                <w:kern w:val="24"/>
                <w:lang w:eastAsia="en-US"/>
              </w:rPr>
            </w:pPr>
            <w:r>
              <w:rPr>
                <w:rFonts w:ascii="Arial Narrow" w:eastAsia="Calibri" w:hAnsi="Arial Narrow"/>
                <w:color w:val="000000"/>
                <w:kern w:val="24"/>
                <w:lang w:eastAsia="en-US"/>
              </w:rPr>
              <w:t>0.09%</w:t>
            </w:r>
          </w:p>
        </w:tc>
      </w:tr>
      <w:tr w:rsidR="007968EC" w14:paraId="45DA54E3" w14:textId="77777777" w:rsidTr="007968EC">
        <w:trPr>
          <w:trHeight w:val="283"/>
          <w:jc w:val="center"/>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304B104" w14:textId="77777777" w:rsidR="007968EC" w:rsidRDefault="007968EC" w:rsidP="007968EC">
            <w:pPr>
              <w:rPr>
                <w:rFonts w:ascii="Arial Narrow" w:eastAsia="Calibri" w:hAnsi="Arial Narrow"/>
                <w:color w:val="000000"/>
                <w:lang w:eastAsia="en-US"/>
              </w:rPr>
            </w:pPr>
          </w:p>
        </w:tc>
        <w:tc>
          <w:tcPr>
            <w:tcW w:w="1128" w:type="dxa"/>
            <w:tcBorders>
              <w:top w:val="single" w:sz="4" w:space="0" w:color="auto"/>
              <w:left w:val="single" w:sz="4" w:space="0" w:color="auto"/>
              <w:bottom w:val="single" w:sz="4" w:space="0" w:color="auto"/>
              <w:right w:val="single" w:sz="4" w:space="0" w:color="auto"/>
            </w:tcBorders>
            <w:hideMark/>
          </w:tcPr>
          <w:p w14:paraId="0607A698" w14:textId="77777777" w:rsidR="007968EC" w:rsidRDefault="007968EC" w:rsidP="007968EC">
            <w:pPr>
              <w:jc w:val="center"/>
              <w:rPr>
                <w:rFonts w:ascii="Arial Narrow" w:eastAsia="Calibri" w:hAnsi="Arial Narrow"/>
                <w:color w:val="000000"/>
                <w:kern w:val="24"/>
                <w:lang w:eastAsia="en-US"/>
              </w:rPr>
            </w:pPr>
            <w:r>
              <w:rPr>
                <w:rFonts w:ascii="Arial Narrow" w:eastAsia="Calibri" w:hAnsi="Arial Narrow"/>
                <w:color w:val="000000"/>
                <w:kern w:val="24"/>
                <w:lang w:eastAsia="en-US"/>
              </w:rPr>
              <w:t>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E8EDB46" w14:textId="77777777" w:rsidR="007968EC" w:rsidRDefault="007968EC" w:rsidP="007968EC">
            <w:pPr>
              <w:rPr>
                <w:rFonts w:ascii="Arial Narrow" w:eastAsia="Calibri" w:hAnsi="Arial Narrow"/>
                <w:color w:val="000000"/>
                <w:kern w:val="24"/>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97F0643" w14:textId="77777777" w:rsidR="007968EC" w:rsidRDefault="007968EC" w:rsidP="007968EC">
            <w:pPr>
              <w:rPr>
                <w:rFonts w:ascii="Arial Narrow" w:eastAsia="Calibri" w:hAnsi="Arial Narrow"/>
                <w:color w:val="000000"/>
                <w:kern w:val="24"/>
                <w:lang w:eastAsia="en-US"/>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9201FAB" w14:textId="77777777" w:rsidR="007968EC" w:rsidRDefault="007968EC" w:rsidP="007968EC">
            <w:pPr>
              <w:rPr>
                <w:rFonts w:ascii="Arial Narrow" w:eastAsia="Calibri" w:hAnsi="Arial Narrow"/>
                <w:color w:val="000000"/>
                <w:kern w:val="24"/>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06BA92F" w14:textId="77777777" w:rsidR="007968EC" w:rsidRDefault="007968EC" w:rsidP="007968EC">
            <w:pPr>
              <w:rPr>
                <w:rFonts w:ascii="Arial Narrow" w:eastAsia="Calibri" w:hAnsi="Arial Narrow"/>
                <w:color w:val="000000"/>
                <w:kern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3D461D2E" w14:textId="77777777" w:rsidR="007968EC" w:rsidRDefault="007968EC" w:rsidP="007968EC">
            <w:pPr>
              <w:jc w:val="center"/>
              <w:rPr>
                <w:rFonts w:ascii="Arial Narrow" w:eastAsia="Calibri" w:hAnsi="Arial Narrow"/>
                <w:color w:val="000000"/>
                <w:kern w:val="24"/>
                <w:lang w:eastAsia="en-US"/>
              </w:rPr>
            </w:pPr>
            <w:r>
              <w:rPr>
                <w:rFonts w:ascii="Arial Narrow" w:eastAsia="Calibri" w:hAnsi="Arial Narrow"/>
                <w:color w:val="000000"/>
                <w:kern w:val="24"/>
                <w:lang w:eastAsia="en-US"/>
              </w:rPr>
              <w:t>0.09%</w:t>
            </w:r>
          </w:p>
        </w:tc>
      </w:tr>
      <w:tr w:rsidR="007968EC" w14:paraId="36F2473D" w14:textId="77777777" w:rsidTr="007968EC">
        <w:trPr>
          <w:trHeight w:val="283"/>
          <w:jc w:val="center"/>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3F77256" w14:textId="77777777" w:rsidR="007968EC" w:rsidRDefault="007968EC" w:rsidP="007968EC">
            <w:pPr>
              <w:rPr>
                <w:rFonts w:ascii="Arial Narrow" w:eastAsia="Calibri" w:hAnsi="Arial Narrow"/>
                <w:color w:val="000000"/>
                <w:lang w:eastAsia="en-US"/>
              </w:rPr>
            </w:pPr>
          </w:p>
        </w:tc>
        <w:tc>
          <w:tcPr>
            <w:tcW w:w="1128" w:type="dxa"/>
            <w:tcBorders>
              <w:top w:val="single" w:sz="4" w:space="0" w:color="auto"/>
              <w:left w:val="single" w:sz="4" w:space="0" w:color="auto"/>
              <w:bottom w:val="single" w:sz="4" w:space="0" w:color="auto"/>
              <w:right w:val="single" w:sz="4" w:space="0" w:color="auto"/>
            </w:tcBorders>
            <w:hideMark/>
          </w:tcPr>
          <w:p w14:paraId="26EA4055" w14:textId="77777777" w:rsidR="007968EC" w:rsidRDefault="007968EC" w:rsidP="007968EC">
            <w:pPr>
              <w:jc w:val="center"/>
              <w:rPr>
                <w:rFonts w:ascii="Arial Narrow" w:eastAsia="Calibri" w:hAnsi="Arial Narrow"/>
                <w:color w:val="000000"/>
                <w:kern w:val="24"/>
                <w:lang w:eastAsia="en-US"/>
              </w:rPr>
            </w:pPr>
            <w:r>
              <w:rPr>
                <w:rFonts w:ascii="Arial Narrow" w:eastAsia="Calibri" w:hAnsi="Arial Narrow"/>
                <w:color w:val="000000"/>
                <w:kern w:val="24"/>
                <w:lang w:eastAsia="en-US"/>
              </w:rPr>
              <w:t>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3B2D6B9" w14:textId="77777777" w:rsidR="007968EC" w:rsidRDefault="007968EC" w:rsidP="007968EC">
            <w:pPr>
              <w:rPr>
                <w:rFonts w:ascii="Arial Narrow" w:eastAsia="Calibri" w:hAnsi="Arial Narrow"/>
                <w:color w:val="000000"/>
                <w:kern w:val="24"/>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EE42283" w14:textId="77777777" w:rsidR="007968EC" w:rsidRDefault="007968EC" w:rsidP="007968EC">
            <w:pPr>
              <w:rPr>
                <w:rFonts w:ascii="Arial Narrow" w:eastAsia="Calibri" w:hAnsi="Arial Narrow"/>
                <w:color w:val="000000"/>
                <w:kern w:val="24"/>
                <w:lang w:eastAsia="en-US"/>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10CFB59" w14:textId="77777777" w:rsidR="007968EC" w:rsidRDefault="007968EC" w:rsidP="007968EC">
            <w:pPr>
              <w:rPr>
                <w:rFonts w:ascii="Arial Narrow" w:eastAsia="Calibri" w:hAnsi="Arial Narrow"/>
                <w:color w:val="000000"/>
                <w:kern w:val="24"/>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A132D45" w14:textId="77777777" w:rsidR="007968EC" w:rsidRDefault="007968EC" w:rsidP="007968EC">
            <w:pPr>
              <w:rPr>
                <w:rFonts w:ascii="Arial Narrow" w:eastAsia="Calibri" w:hAnsi="Arial Narrow"/>
                <w:color w:val="000000"/>
                <w:kern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0CBC82CA" w14:textId="77777777" w:rsidR="007968EC" w:rsidRDefault="007968EC" w:rsidP="007968EC">
            <w:pPr>
              <w:jc w:val="center"/>
              <w:rPr>
                <w:rFonts w:ascii="Arial Narrow" w:eastAsia="Calibri" w:hAnsi="Arial Narrow"/>
                <w:color w:val="000000"/>
                <w:kern w:val="24"/>
                <w:lang w:eastAsia="en-US"/>
              </w:rPr>
            </w:pPr>
            <w:r>
              <w:rPr>
                <w:rFonts w:ascii="Arial Narrow" w:eastAsia="Calibri" w:hAnsi="Arial Narrow"/>
                <w:color w:val="000000"/>
                <w:kern w:val="24"/>
                <w:lang w:eastAsia="en-US"/>
              </w:rPr>
              <w:t>0.24%</w:t>
            </w:r>
          </w:p>
        </w:tc>
      </w:tr>
      <w:tr w:rsidR="007968EC" w14:paraId="0C7969AB" w14:textId="77777777" w:rsidTr="007968EC">
        <w:trPr>
          <w:trHeight w:val="283"/>
          <w:jc w:val="center"/>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7A3D06C" w14:textId="77777777" w:rsidR="007968EC" w:rsidRDefault="007968EC" w:rsidP="007968EC">
            <w:pPr>
              <w:rPr>
                <w:rFonts w:ascii="Arial Narrow" w:eastAsia="Calibri" w:hAnsi="Arial Narrow"/>
                <w:color w:val="000000"/>
                <w:lang w:eastAsia="en-US"/>
              </w:rPr>
            </w:pPr>
          </w:p>
        </w:tc>
        <w:tc>
          <w:tcPr>
            <w:tcW w:w="1128" w:type="dxa"/>
            <w:tcBorders>
              <w:top w:val="single" w:sz="4" w:space="0" w:color="auto"/>
              <w:left w:val="single" w:sz="4" w:space="0" w:color="auto"/>
              <w:bottom w:val="single" w:sz="4" w:space="0" w:color="auto"/>
              <w:right w:val="single" w:sz="4" w:space="0" w:color="auto"/>
            </w:tcBorders>
            <w:hideMark/>
          </w:tcPr>
          <w:p w14:paraId="327F69DF" w14:textId="77777777" w:rsidR="007968EC" w:rsidRDefault="007968EC" w:rsidP="007968EC">
            <w:pPr>
              <w:jc w:val="center"/>
              <w:rPr>
                <w:rFonts w:ascii="Arial Narrow" w:eastAsia="Calibri" w:hAnsi="Arial Narrow"/>
                <w:color w:val="000000"/>
                <w:kern w:val="24"/>
                <w:lang w:eastAsia="en-US"/>
              </w:rPr>
            </w:pPr>
            <w:r>
              <w:rPr>
                <w:rFonts w:ascii="Arial Narrow" w:eastAsia="Calibri" w:hAnsi="Arial Narrow"/>
                <w:color w:val="000000"/>
                <w:kern w:val="24"/>
                <w:lang w:eastAsia="en-US"/>
              </w:rPr>
              <w:t>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D0D510C" w14:textId="77777777" w:rsidR="007968EC" w:rsidRDefault="007968EC" w:rsidP="007968EC">
            <w:pPr>
              <w:rPr>
                <w:rFonts w:ascii="Arial Narrow" w:eastAsia="Calibri" w:hAnsi="Arial Narrow"/>
                <w:color w:val="000000"/>
                <w:kern w:val="24"/>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2EB2CAC" w14:textId="77777777" w:rsidR="007968EC" w:rsidRDefault="007968EC" w:rsidP="007968EC">
            <w:pPr>
              <w:rPr>
                <w:rFonts w:ascii="Arial Narrow" w:eastAsia="Calibri" w:hAnsi="Arial Narrow"/>
                <w:color w:val="000000"/>
                <w:kern w:val="24"/>
                <w:lang w:eastAsia="en-US"/>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31DB13A" w14:textId="77777777" w:rsidR="007968EC" w:rsidRDefault="007968EC" w:rsidP="007968EC">
            <w:pPr>
              <w:rPr>
                <w:rFonts w:ascii="Arial Narrow" w:eastAsia="Calibri" w:hAnsi="Arial Narrow"/>
                <w:color w:val="000000"/>
                <w:kern w:val="24"/>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524E9BE" w14:textId="77777777" w:rsidR="007968EC" w:rsidRDefault="007968EC" w:rsidP="007968EC">
            <w:pPr>
              <w:rPr>
                <w:rFonts w:ascii="Arial Narrow" w:eastAsia="Calibri" w:hAnsi="Arial Narrow"/>
                <w:color w:val="000000"/>
                <w:kern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0427F89E" w14:textId="77777777" w:rsidR="007968EC" w:rsidRDefault="007968EC" w:rsidP="007968EC">
            <w:pPr>
              <w:jc w:val="center"/>
              <w:rPr>
                <w:rFonts w:ascii="Arial Narrow" w:eastAsia="Calibri" w:hAnsi="Arial Narrow"/>
                <w:color w:val="000000"/>
                <w:kern w:val="24"/>
                <w:lang w:eastAsia="en-US"/>
              </w:rPr>
            </w:pPr>
            <w:r>
              <w:rPr>
                <w:rFonts w:ascii="Arial Narrow" w:eastAsia="Calibri" w:hAnsi="Arial Narrow"/>
                <w:color w:val="000000"/>
                <w:kern w:val="24"/>
                <w:lang w:eastAsia="en-US"/>
              </w:rPr>
              <w:t>0.38%</w:t>
            </w:r>
          </w:p>
        </w:tc>
      </w:tr>
      <w:tr w:rsidR="007968EC" w14:paraId="10D621CE" w14:textId="77777777" w:rsidTr="007968EC">
        <w:trPr>
          <w:trHeight w:val="266"/>
          <w:jc w:val="center"/>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8D7754D" w14:textId="77777777" w:rsidR="007968EC" w:rsidRDefault="007968EC" w:rsidP="007968EC">
            <w:pPr>
              <w:rPr>
                <w:rFonts w:ascii="Arial Narrow" w:eastAsia="Calibri" w:hAnsi="Arial Narrow"/>
                <w:color w:val="000000"/>
                <w:lang w:eastAsia="en-US"/>
              </w:rPr>
            </w:pPr>
          </w:p>
        </w:tc>
        <w:tc>
          <w:tcPr>
            <w:tcW w:w="1128" w:type="dxa"/>
            <w:tcBorders>
              <w:top w:val="single" w:sz="4" w:space="0" w:color="auto"/>
              <w:left w:val="single" w:sz="4" w:space="0" w:color="auto"/>
              <w:bottom w:val="single" w:sz="4" w:space="0" w:color="auto"/>
              <w:right w:val="single" w:sz="4" w:space="0" w:color="auto"/>
            </w:tcBorders>
            <w:hideMark/>
          </w:tcPr>
          <w:p w14:paraId="6CBBDCF1" w14:textId="77777777" w:rsidR="007968EC" w:rsidRDefault="007968EC" w:rsidP="007968EC">
            <w:pPr>
              <w:jc w:val="center"/>
              <w:rPr>
                <w:rFonts w:ascii="Arial Narrow" w:eastAsia="Calibri" w:hAnsi="Arial Narrow"/>
                <w:color w:val="000000"/>
                <w:kern w:val="24"/>
                <w:lang w:eastAsia="en-US"/>
              </w:rPr>
            </w:pPr>
            <w:r>
              <w:rPr>
                <w:rFonts w:ascii="Arial Narrow" w:eastAsia="Calibri" w:hAnsi="Arial Narrow"/>
                <w:color w:val="000000"/>
                <w:kern w:val="24"/>
                <w:lang w:eastAsia="en-US"/>
              </w:rPr>
              <w:t>12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E17FECF" w14:textId="77777777" w:rsidR="007968EC" w:rsidRDefault="007968EC" w:rsidP="007968EC">
            <w:pPr>
              <w:rPr>
                <w:rFonts w:ascii="Arial Narrow" w:eastAsia="Calibri" w:hAnsi="Arial Narrow"/>
                <w:color w:val="000000"/>
                <w:kern w:val="24"/>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99755BD" w14:textId="77777777" w:rsidR="007968EC" w:rsidRDefault="007968EC" w:rsidP="007968EC">
            <w:pPr>
              <w:rPr>
                <w:rFonts w:ascii="Arial Narrow" w:eastAsia="Calibri" w:hAnsi="Arial Narrow"/>
                <w:color w:val="000000"/>
                <w:kern w:val="24"/>
                <w:lang w:eastAsia="en-US"/>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3DC12E51" w14:textId="77777777" w:rsidR="007968EC" w:rsidRDefault="007968EC" w:rsidP="007968EC">
            <w:pPr>
              <w:rPr>
                <w:rFonts w:ascii="Arial Narrow" w:eastAsia="Calibri" w:hAnsi="Arial Narrow"/>
                <w:color w:val="000000"/>
                <w:kern w:val="24"/>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71AC09A" w14:textId="77777777" w:rsidR="007968EC" w:rsidRDefault="007968EC" w:rsidP="007968EC">
            <w:pPr>
              <w:rPr>
                <w:rFonts w:ascii="Arial Narrow" w:eastAsia="Calibri" w:hAnsi="Arial Narrow"/>
                <w:color w:val="000000"/>
                <w:kern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185BB25C" w14:textId="77777777" w:rsidR="007968EC" w:rsidRDefault="007968EC" w:rsidP="007968EC">
            <w:pPr>
              <w:jc w:val="center"/>
              <w:rPr>
                <w:rFonts w:ascii="Arial Narrow" w:eastAsia="Calibri" w:hAnsi="Arial Narrow"/>
                <w:color w:val="000000"/>
                <w:kern w:val="24"/>
                <w:lang w:eastAsia="en-US"/>
              </w:rPr>
            </w:pPr>
            <w:r>
              <w:rPr>
                <w:rFonts w:ascii="Arial Narrow" w:eastAsia="Calibri" w:hAnsi="Arial Narrow"/>
                <w:color w:val="000000"/>
                <w:kern w:val="24"/>
                <w:lang w:eastAsia="en-US"/>
              </w:rPr>
              <w:t>0.53%</w:t>
            </w:r>
          </w:p>
        </w:tc>
      </w:tr>
      <w:tr w:rsidR="007968EC" w14:paraId="164F2783" w14:textId="77777777" w:rsidTr="007968EC">
        <w:trPr>
          <w:trHeight w:val="283"/>
          <w:jc w:val="center"/>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1DBA006" w14:textId="77777777" w:rsidR="007968EC" w:rsidRDefault="007968EC" w:rsidP="007968EC">
            <w:pPr>
              <w:rPr>
                <w:rFonts w:ascii="Arial Narrow" w:eastAsia="Calibri" w:hAnsi="Arial Narrow"/>
                <w:color w:val="000000"/>
                <w:lang w:eastAsia="en-US"/>
              </w:rPr>
            </w:pPr>
          </w:p>
        </w:tc>
        <w:tc>
          <w:tcPr>
            <w:tcW w:w="1128" w:type="dxa"/>
            <w:tcBorders>
              <w:top w:val="single" w:sz="4" w:space="0" w:color="auto"/>
              <w:left w:val="single" w:sz="4" w:space="0" w:color="auto"/>
              <w:bottom w:val="single" w:sz="4" w:space="0" w:color="auto"/>
              <w:right w:val="single" w:sz="4" w:space="0" w:color="auto"/>
            </w:tcBorders>
            <w:hideMark/>
          </w:tcPr>
          <w:p w14:paraId="6196C4E5" w14:textId="77777777" w:rsidR="007968EC" w:rsidRDefault="007968EC" w:rsidP="007968EC">
            <w:pPr>
              <w:jc w:val="center"/>
              <w:rPr>
                <w:rFonts w:ascii="Arial Narrow" w:eastAsia="Calibri" w:hAnsi="Arial Narrow"/>
                <w:color w:val="000000"/>
                <w:kern w:val="24"/>
                <w:lang w:eastAsia="en-US"/>
              </w:rPr>
            </w:pPr>
            <w:r>
              <w:rPr>
                <w:rFonts w:ascii="Arial Narrow" w:eastAsia="Calibri" w:hAnsi="Arial Narrow"/>
                <w:color w:val="000000"/>
                <w:kern w:val="24"/>
                <w:lang w:eastAsia="en-US"/>
              </w:rPr>
              <w:t>18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00C604E" w14:textId="77777777" w:rsidR="007968EC" w:rsidRDefault="007968EC" w:rsidP="007968EC">
            <w:pPr>
              <w:rPr>
                <w:rFonts w:ascii="Arial Narrow" w:eastAsia="Calibri" w:hAnsi="Arial Narrow"/>
                <w:color w:val="000000"/>
                <w:kern w:val="24"/>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5D77C62" w14:textId="77777777" w:rsidR="007968EC" w:rsidRDefault="007968EC" w:rsidP="007968EC">
            <w:pPr>
              <w:rPr>
                <w:rFonts w:ascii="Arial Narrow" w:eastAsia="Calibri" w:hAnsi="Arial Narrow"/>
                <w:color w:val="000000"/>
                <w:kern w:val="24"/>
                <w:lang w:eastAsia="en-US"/>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6CB92BE" w14:textId="77777777" w:rsidR="007968EC" w:rsidRDefault="007968EC" w:rsidP="007968EC">
            <w:pPr>
              <w:rPr>
                <w:rFonts w:ascii="Arial Narrow" w:eastAsia="Calibri" w:hAnsi="Arial Narrow"/>
                <w:color w:val="000000"/>
                <w:kern w:val="24"/>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AC96661" w14:textId="77777777" w:rsidR="007968EC" w:rsidRDefault="007968EC" w:rsidP="007968EC">
            <w:pPr>
              <w:rPr>
                <w:rFonts w:ascii="Arial Narrow" w:eastAsia="Calibri" w:hAnsi="Arial Narrow"/>
                <w:color w:val="000000"/>
                <w:kern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7B696B88" w14:textId="77777777" w:rsidR="007968EC" w:rsidRDefault="007968EC" w:rsidP="007968EC">
            <w:pPr>
              <w:jc w:val="center"/>
              <w:rPr>
                <w:rFonts w:ascii="Arial Narrow" w:eastAsia="Calibri" w:hAnsi="Arial Narrow"/>
                <w:color w:val="000000"/>
                <w:kern w:val="24"/>
                <w:lang w:eastAsia="en-US"/>
              </w:rPr>
            </w:pPr>
            <w:r>
              <w:rPr>
                <w:rFonts w:ascii="Arial Narrow" w:eastAsia="Calibri" w:hAnsi="Arial Narrow"/>
                <w:color w:val="000000"/>
                <w:kern w:val="24"/>
                <w:lang w:eastAsia="en-US"/>
              </w:rPr>
              <w:t>0.63%</w:t>
            </w:r>
          </w:p>
        </w:tc>
      </w:tr>
    </w:tbl>
    <w:p w14:paraId="75AB7DAA" w14:textId="77777777" w:rsidR="007968EC" w:rsidRDefault="007968EC" w:rsidP="007968EC">
      <w:pPr>
        <w:autoSpaceDE w:val="0"/>
        <w:autoSpaceDN w:val="0"/>
        <w:adjustRightInd w:val="0"/>
        <w:rPr>
          <w:rFonts w:ascii="Arial Narrow" w:eastAsia="Calibri" w:hAnsi="Arial Narrow"/>
          <w:color w:val="000000"/>
          <w:lang w:eastAsia="en-US"/>
        </w:rPr>
      </w:pPr>
    </w:p>
    <w:p w14:paraId="4F00E1FC" w14:textId="77777777" w:rsidR="007968EC" w:rsidRDefault="007968EC" w:rsidP="007968EC">
      <w:pPr>
        <w:autoSpaceDE w:val="0"/>
        <w:autoSpaceDN w:val="0"/>
        <w:adjustRightInd w:val="0"/>
        <w:jc w:val="both"/>
        <w:rPr>
          <w:rFonts w:ascii="Arial Narrow" w:eastAsia="Calibri" w:hAnsi="Arial Narrow"/>
          <w:color w:val="000000"/>
          <w:lang w:eastAsia="en-US"/>
        </w:rPr>
      </w:pPr>
      <w:r>
        <w:rPr>
          <w:rFonts w:ascii="Arial Narrow" w:eastAsia="Calibri" w:hAnsi="Arial Narrow"/>
          <w:color w:val="000000"/>
          <w:lang w:eastAsia="en-US"/>
        </w:rPr>
        <w:t>Para efectos operativos el OIS IBR se operará en múltiplos de COP500 millones.</w:t>
      </w:r>
    </w:p>
    <w:p w14:paraId="6FEA6ADE" w14:textId="77777777" w:rsidR="007968EC" w:rsidRDefault="007968EC" w:rsidP="007968EC">
      <w:pPr>
        <w:autoSpaceDE w:val="0"/>
        <w:autoSpaceDN w:val="0"/>
        <w:adjustRightInd w:val="0"/>
        <w:jc w:val="both"/>
        <w:rPr>
          <w:rFonts w:ascii="Arial Narrow" w:eastAsia="Calibri" w:hAnsi="Arial Narrow"/>
          <w:color w:val="000000"/>
          <w:lang w:eastAsia="en-US"/>
        </w:rPr>
      </w:pPr>
    </w:p>
    <w:tbl>
      <w:tblPr>
        <w:tblStyle w:val="Tablaconcuadrcula71122"/>
        <w:tblW w:w="0" w:type="auto"/>
        <w:jc w:val="center"/>
        <w:tblLayout w:type="fixed"/>
        <w:tblLook w:val="04A0" w:firstRow="1" w:lastRow="0" w:firstColumn="1" w:lastColumn="0" w:noHBand="0" w:noVBand="1"/>
      </w:tblPr>
      <w:tblGrid>
        <w:gridCol w:w="988"/>
        <w:gridCol w:w="1701"/>
        <w:gridCol w:w="1417"/>
        <w:gridCol w:w="1418"/>
        <w:gridCol w:w="2268"/>
      </w:tblGrid>
      <w:tr w:rsidR="007968EC" w14:paraId="00E5D44C" w14:textId="77777777" w:rsidTr="007968EC">
        <w:trPr>
          <w:trHeight w:val="725"/>
          <w:jc w:val="center"/>
        </w:trPr>
        <w:tc>
          <w:tcPr>
            <w:tcW w:w="988" w:type="dxa"/>
            <w:tcBorders>
              <w:top w:val="single" w:sz="4" w:space="0" w:color="auto"/>
              <w:left w:val="single" w:sz="4" w:space="0" w:color="auto"/>
              <w:bottom w:val="single" w:sz="4" w:space="0" w:color="auto"/>
              <w:right w:val="single" w:sz="4" w:space="0" w:color="auto"/>
            </w:tcBorders>
          </w:tcPr>
          <w:p w14:paraId="0F12BD30" w14:textId="77777777" w:rsidR="007968EC" w:rsidRDefault="007968EC" w:rsidP="007968EC">
            <w:pPr>
              <w:jc w:val="center"/>
              <w:rPr>
                <w:rFonts w:ascii="Arial Narrow" w:eastAsia="Calibri" w:hAnsi="Arial Narrow"/>
                <w:color w:val="000000"/>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5CF09BB3" w14:textId="77777777" w:rsidR="007968EC" w:rsidRDefault="007968EC" w:rsidP="007968EC">
            <w:pPr>
              <w:autoSpaceDE w:val="0"/>
              <w:autoSpaceDN w:val="0"/>
              <w:adjustRightInd w:val="0"/>
              <w:jc w:val="center"/>
              <w:rPr>
                <w:rFonts w:ascii="Arial Narrow" w:eastAsia="Calibri" w:hAnsi="Arial Narrow"/>
                <w:color w:val="000000"/>
                <w:lang w:eastAsia="en-US"/>
              </w:rPr>
            </w:pPr>
            <w:r>
              <w:rPr>
                <w:rFonts w:ascii="Arial Narrow" w:eastAsia="Calibri" w:hAnsi="Arial Narrow"/>
                <w:color w:val="000000"/>
                <w:lang w:eastAsia="en-US"/>
              </w:rPr>
              <w:t>Plazos</w:t>
            </w:r>
          </w:p>
          <w:p w14:paraId="159203E3" w14:textId="77777777" w:rsidR="007968EC" w:rsidRDefault="007968EC" w:rsidP="007968EC">
            <w:pPr>
              <w:autoSpaceDE w:val="0"/>
              <w:autoSpaceDN w:val="0"/>
              <w:adjustRightInd w:val="0"/>
              <w:jc w:val="center"/>
              <w:rPr>
                <w:rFonts w:ascii="Arial Narrow" w:eastAsia="Calibri" w:hAnsi="Arial Narrow"/>
                <w:color w:val="000000"/>
                <w:lang w:eastAsia="en-US"/>
              </w:rPr>
            </w:pPr>
            <w:r>
              <w:rPr>
                <w:rFonts w:ascii="Arial Narrow" w:eastAsia="Calibri" w:hAnsi="Arial Narrow"/>
                <w:color w:val="000000"/>
                <w:lang w:eastAsia="en-US"/>
              </w:rPr>
              <w:t>Meses</w:t>
            </w:r>
          </w:p>
          <w:p w14:paraId="1DABD77C" w14:textId="77777777" w:rsidR="007968EC" w:rsidRDefault="007968EC" w:rsidP="007968EC">
            <w:pPr>
              <w:jc w:val="center"/>
              <w:rPr>
                <w:rFonts w:ascii="Arial Narrow" w:eastAsia="Calibri" w:hAnsi="Arial Narrow"/>
                <w:color w:val="000000"/>
                <w:lang w:eastAsia="en-US"/>
              </w:rPr>
            </w:pPr>
            <w:r>
              <w:rPr>
                <w:rFonts w:ascii="Arial Narrow" w:eastAsia="Calibri" w:hAnsi="Arial Narrow"/>
                <w:color w:val="000000"/>
                <w:lang w:eastAsia="en-US"/>
              </w:rPr>
              <w:t>(No. de Meses)</w:t>
            </w:r>
          </w:p>
        </w:tc>
        <w:tc>
          <w:tcPr>
            <w:tcW w:w="1417" w:type="dxa"/>
            <w:tcBorders>
              <w:top w:val="single" w:sz="4" w:space="0" w:color="auto"/>
              <w:left w:val="single" w:sz="4" w:space="0" w:color="auto"/>
              <w:bottom w:val="single" w:sz="4" w:space="0" w:color="auto"/>
              <w:right w:val="single" w:sz="4" w:space="0" w:color="auto"/>
            </w:tcBorders>
            <w:hideMark/>
          </w:tcPr>
          <w:p w14:paraId="6476767A" w14:textId="77777777" w:rsidR="007968EC" w:rsidRDefault="007968EC" w:rsidP="007968EC">
            <w:pPr>
              <w:autoSpaceDE w:val="0"/>
              <w:autoSpaceDN w:val="0"/>
              <w:adjustRightInd w:val="0"/>
              <w:jc w:val="center"/>
              <w:rPr>
                <w:rFonts w:ascii="Arial Narrow" w:eastAsia="Calibri" w:hAnsi="Arial Narrow"/>
                <w:color w:val="000000"/>
                <w:lang w:eastAsia="en-US"/>
              </w:rPr>
            </w:pPr>
            <w:r>
              <w:rPr>
                <w:rFonts w:ascii="Arial Narrow" w:eastAsia="Calibri" w:hAnsi="Arial Narrow"/>
                <w:color w:val="000000"/>
                <w:lang w:eastAsia="en-US"/>
              </w:rPr>
              <w:t>Factor de</w:t>
            </w:r>
          </w:p>
          <w:p w14:paraId="2FAC1CA2" w14:textId="77777777" w:rsidR="007968EC" w:rsidRDefault="007968EC" w:rsidP="007968EC">
            <w:pPr>
              <w:autoSpaceDE w:val="0"/>
              <w:autoSpaceDN w:val="0"/>
              <w:adjustRightInd w:val="0"/>
              <w:jc w:val="center"/>
              <w:rPr>
                <w:rFonts w:ascii="Arial Narrow" w:eastAsia="Calibri" w:hAnsi="Arial Narrow"/>
                <w:color w:val="000000"/>
                <w:lang w:eastAsia="en-US"/>
              </w:rPr>
            </w:pPr>
            <w:r>
              <w:rPr>
                <w:rFonts w:ascii="Arial Narrow" w:eastAsia="Calibri" w:hAnsi="Arial Narrow"/>
                <w:color w:val="000000"/>
                <w:lang w:eastAsia="en-US"/>
              </w:rPr>
              <w:t>cobertura por</w:t>
            </w:r>
          </w:p>
          <w:p w14:paraId="78D3456B" w14:textId="77777777" w:rsidR="007968EC" w:rsidRDefault="007968EC" w:rsidP="007968EC">
            <w:pPr>
              <w:jc w:val="center"/>
              <w:rPr>
                <w:rFonts w:ascii="Arial Narrow" w:eastAsia="Calibri" w:hAnsi="Arial Narrow"/>
                <w:color w:val="000000"/>
                <w:lang w:eastAsia="en-US"/>
              </w:rPr>
            </w:pPr>
            <w:r>
              <w:rPr>
                <w:rFonts w:ascii="Arial Narrow" w:eastAsia="Calibri" w:hAnsi="Arial Narrow"/>
                <w:color w:val="000000"/>
                <w:lang w:eastAsia="en-US"/>
              </w:rPr>
              <w:t>Time Spread</w:t>
            </w:r>
          </w:p>
        </w:tc>
        <w:tc>
          <w:tcPr>
            <w:tcW w:w="1418" w:type="dxa"/>
            <w:tcBorders>
              <w:top w:val="single" w:sz="4" w:space="0" w:color="auto"/>
              <w:left w:val="single" w:sz="4" w:space="0" w:color="auto"/>
              <w:bottom w:val="single" w:sz="4" w:space="0" w:color="auto"/>
              <w:right w:val="single" w:sz="4" w:space="0" w:color="auto"/>
            </w:tcBorders>
            <w:hideMark/>
          </w:tcPr>
          <w:p w14:paraId="5C1B2084" w14:textId="77777777" w:rsidR="007968EC" w:rsidRDefault="007968EC" w:rsidP="007968EC">
            <w:pPr>
              <w:autoSpaceDE w:val="0"/>
              <w:autoSpaceDN w:val="0"/>
              <w:adjustRightInd w:val="0"/>
              <w:jc w:val="center"/>
              <w:rPr>
                <w:rFonts w:ascii="Arial Narrow" w:eastAsia="Calibri" w:hAnsi="Arial Narrow"/>
                <w:color w:val="000000"/>
                <w:lang w:eastAsia="en-US"/>
              </w:rPr>
            </w:pPr>
            <w:r>
              <w:rPr>
                <w:rFonts w:ascii="Arial Narrow" w:eastAsia="Calibri" w:hAnsi="Arial Narrow"/>
                <w:color w:val="000000"/>
                <w:lang w:eastAsia="en-US"/>
              </w:rPr>
              <w:t>Valor</w:t>
            </w:r>
          </w:p>
          <w:p w14:paraId="17BB5188" w14:textId="77777777" w:rsidR="007968EC" w:rsidRDefault="007968EC" w:rsidP="007968EC">
            <w:pPr>
              <w:autoSpaceDE w:val="0"/>
              <w:autoSpaceDN w:val="0"/>
              <w:adjustRightInd w:val="0"/>
              <w:jc w:val="center"/>
              <w:rPr>
                <w:rFonts w:ascii="Arial Narrow" w:eastAsia="Calibri" w:hAnsi="Arial Narrow"/>
                <w:color w:val="000000"/>
                <w:lang w:eastAsia="en-US"/>
              </w:rPr>
            </w:pPr>
            <w:r>
              <w:rPr>
                <w:rFonts w:ascii="Arial Narrow" w:eastAsia="Calibri" w:hAnsi="Arial Narrow"/>
                <w:color w:val="000000"/>
                <w:lang w:eastAsia="en-US"/>
              </w:rPr>
              <w:t>Mínimo por</w:t>
            </w:r>
          </w:p>
          <w:p w14:paraId="08337F43" w14:textId="77777777" w:rsidR="007968EC" w:rsidRDefault="007968EC" w:rsidP="007968EC">
            <w:pPr>
              <w:jc w:val="center"/>
              <w:rPr>
                <w:rFonts w:ascii="Arial Narrow" w:eastAsia="Calibri" w:hAnsi="Arial Narrow"/>
                <w:color w:val="000000"/>
                <w:lang w:eastAsia="en-US"/>
              </w:rPr>
            </w:pPr>
            <w:r>
              <w:rPr>
                <w:rFonts w:ascii="Arial Narrow" w:eastAsia="Calibri" w:hAnsi="Arial Narrow"/>
                <w:color w:val="000000"/>
                <w:lang w:eastAsia="en-US"/>
              </w:rPr>
              <w:t>Spread</w:t>
            </w:r>
          </w:p>
        </w:tc>
        <w:tc>
          <w:tcPr>
            <w:tcW w:w="2268" w:type="dxa"/>
            <w:tcBorders>
              <w:top w:val="single" w:sz="4" w:space="0" w:color="auto"/>
              <w:left w:val="single" w:sz="4" w:space="0" w:color="auto"/>
              <w:bottom w:val="single" w:sz="4" w:space="0" w:color="auto"/>
              <w:right w:val="single" w:sz="4" w:space="0" w:color="auto"/>
            </w:tcBorders>
            <w:hideMark/>
          </w:tcPr>
          <w:p w14:paraId="3AA5F14D" w14:textId="77777777" w:rsidR="007968EC" w:rsidRDefault="007968EC" w:rsidP="007968EC">
            <w:pPr>
              <w:autoSpaceDE w:val="0"/>
              <w:autoSpaceDN w:val="0"/>
              <w:adjustRightInd w:val="0"/>
              <w:jc w:val="center"/>
              <w:rPr>
                <w:rFonts w:ascii="Arial Narrow" w:eastAsia="Calibri" w:hAnsi="Arial Narrow"/>
                <w:color w:val="000000"/>
                <w:lang w:eastAsia="en-US"/>
              </w:rPr>
            </w:pPr>
            <w:r>
              <w:rPr>
                <w:rFonts w:ascii="Arial Narrow" w:eastAsia="Calibri" w:hAnsi="Arial Narrow"/>
                <w:color w:val="000000"/>
                <w:lang w:eastAsia="en-US"/>
              </w:rPr>
              <w:t>Fluctuación</w:t>
            </w:r>
          </w:p>
          <w:p w14:paraId="0B26E726" w14:textId="77777777" w:rsidR="007968EC" w:rsidRDefault="007968EC" w:rsidP="007968EC">
            <w:pPr>
              <w:autoSpaceDE w:val="0"/>
              <w:autoSpaceDN w:val="0"/>
              <w:adjustRightInd w:val="0"/>
              <w:jc w:val="center"/>
              <w:rPr>
                <w:rFonts w:ascii="Arial Narrow" w:eastAsia="Calibri" w:hAnsi="Arial Narrow"/>
                <w:color w:val="000000"/>
                <w:lang w:eastAsia="en-US"/>
              </w:rPr>
            </w:pPr>
            <w:r>
              <w:rPr>
                <w:rFonts w:ascii="Arial Narrow" w:eastAsia="Calibri" w:hAnsi="Arial Narrow"/>
                <w:color w:val="000000"/>
                <w:lang w:eastAsia="en-US"/>
              </w:rPr>
              <w:t>Para llamados a</w:t>
            </w:r>
          </w:p>
          <w:p w14:paraId="6E7E5DEA" w14:textId="77777777" w:rsidR="007968EC" w:rsidRDefault="007968EC" w:rsidP="007968EC">
            <w:pPr>
              <w:autoSpaceDE w:val="0"/>
              <w:autoSpaceDN w:val="0"/>
              <w:adjustRightInd w:val="0"/>
              <w:jc w:val="center"/>
              <w:rPr>
                <w:rFonts w:ascii="Arial Narrow" w:eastAsia="Calibri" w:hAnsi="Arial Narrow"/>
                <w:color w:val="000000"/>
                <w:lang w:eastAsia="en-US"/>
              </w:rPr>
            </w:pPr>
            <w:r>
              <w:rPr>
                <w:rFonts w:ascii="Arial Narrow" w:eastAsia="Calibri" w:hAnsi="Arial Narrow"/>
                <w:color w:val="000000"/>
                <w:lang w:eastAsia="en-US"/>
              </w:rPr>
              <w:t>Garantías Extraordinarias</w:t>
            </w:r>
          </w:p>
        </w:tc>
      </w:tr>
      <w:tr w:rsidR="007968EC" w14:paraId="28789282" w14:textId="77777777" w:rsidTr="007968EC">
        <w:trPr>
          <w:trHeight w:val="241"/>
          <w:jc w:val="center"/>
        </w:trPr>
        <w:tc>
          <w:tcPr>
            <w:tcW w:w="988" w:type="dxa"/>
            <w:vMerge w:val="restart"/>
            <w:tcBorders>
              <w:top w:val="single" w:sz="4" w:space="0" w:color="auto"/>
              <w:left w:val="single" w:sz="4" w:space="0" w:color="auto"/>
              <w:bottom w:val="single" w:sz="4" w:space="0" w:color="auto"/>
              <w:right w:val="single" w:sz="4" w:space="0" w:color="auto"/>
            </w:tcBorders>
            <w:vAlign w:val="center"/>
            <w:hideMark/>
          </w:tcPr>
          <w:p w14:paraId="0C0E0582" w14:textId="77777777" w:rsidR="007968EC" w:rsidRDefault="007968EC" w:rsidP="007968EC">
            <w:pPr>
              <w:rPr>
                <w:rFonts w:ascii="Arial Narrow" w:eastAsia="Calibri" w:hAnsi="Arial Narrow"/>
                <w:color w:val="000000"/>
                <w:lang w:eastAsia="en-US"/>
              </w:rPr>
            </w:pPr>
            <w:r>
              <w:rPr>
                <w:rFonts w:ascii="Arial Narrow" w:eastAsia="Calibri" w:hAnsi="Arial Narrow"/>
                <w:color w:val="000000"/>
                <w:lang w:eastAsia="en-US"/>
              </w:rPr>
              <w:t>OIS IBR</w:t>
            </w:r>
          </w:p>
        </w:tc>
        <w:tc>
          <w:tcPr>
            <w:tcW w:w="1701" w:type="dxa"/>
            <w:tcBorders>
              <w:top w:val="single" w:sz="4" w:space="0" w:color="auto"/>
              <w:left w:val="single" w:sz="4" w:space="0" w:color="auto"/>
              <w:bottom w:val="single" w:sz="4" w:space="0" w:color="auto"/>
              <w:right w:val="single" w:sz="4" w:space="0" w:color="auto"/>
            </w:tcBorders>
            <w:hideMark/>
          </w:tcPr>
          <w:p w14:paraId="10F611EA" w14:textId="77777777" w:rsidR="007968EC" w:rsidRDefault="007968EC" w:rsidP="007968EC">
            <w:pPr>
              <w:jc w:val="center"/>
              <w:rPr>
                <w:rFonts w:ascii="Arial Narrow" w:eastAsia="Calibri" w:hAnsi="Arial Narrow"/>
                <w:color w:val="000000"/>
                <w:kern w:val="24"/>
                <w:lang w:eastAsia="en-US"/>
              </w:rPr>
            </w:pPr>
            <w:r>
              <w:rPr>
                <w:rFonts w:ascii="Arial Narrow" w:eastAsia="Calibri" w:hAnsi="Arial Narrow"/>
                <w:color w:val="000000"/>
                <w:kern w:val="24"/>
                <w:lang w:eastAsia="en-US"/>
              </w:rPr>
              <w:t>1</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4B19FA23" w14:textId="77777777" w:rsidR="007968EC" w:rsidRDefault="007968EC" w:rsidP="007968EC">
            <w:pPr>
              <w:jc w:val="center"/>
              <w:rPr>
                <w:rFonts w:ascii="Arial Narrow" w:eastAsia="Calibri" w:hAnsi="Arial Narrow"/>
                <w:color w:val="000000"/>
                <w:lang w:eastAsia="en-US"/>
              </w:rPr>
            </w:pPr>
            <w:r>
              <w:rPr>
                <w:rFonts w:ascii="Arial Narrow" w:eastAsia="Calibri" w:hAnsi="Arial Narrow"/>
                <w:color w:val="000000"/>
                <w:lang w:eastAsia="en-US"/>
              </w:rPr>
              <w:t>0.0</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3E9DF4C8" w14:textId="77777777" w:rsidR="007968EC" w:rsidRDefault="007968EC" w:rsidP="007968EC">
            <w:pPr>
              <w:jc w:val="center"/>
              <w:rPr>
                <w:rFonts w:ascii="Arial Narrow" w:eastAsia="Calibri" w:hAnsi="Arial Narrow"/>
                <w:color w:val="000000"/>
                <w:lang w:eastAsia="en-US"/>
              </w:rPr>
            </w:pPr>
            <w:r>
              <w:rPr>
                <w:rFonts w:ascii="Arial Narrow" w:eastAsia="Calibri" w:hAnsi="Arial Narrow"/>
                <w:color w:val="000000"/>
                <w:lang w:eastAsia="en-US"/>
              </w:rPr>
              <w:t>0.0</w:t>
            </w:r>
          </w:p>
        </w:tc>
        <w:tc>
          <w:tcPr>
            <w:tcW w:w="2268" w:type="dxa"/>
            <w:tcBorders>
              <w:top w:val="single" w:sz="4" w:space="0" w:color="auto"/>
              <w:left w:val="single" w:sz="4" w:space="0" w:color="auto"/>
              <w:bottom w:val="single" w:sz="4" w:space="0" w:color="auto"/>
              <w:right w:val="single" w:sz="4" w:space="0" w:color="auto"/>
            </w:tcBorders>
            <w:hideMark/>
          </w:tcPr>
          <w:p w14:paraId="4CC47991" w14:textId="77777777" w:rsidR="007968EC" w:rsidRDefault="007968EC" w:rsidP="007968EC">
            <w:pPr>
              <w:jc w:val="center"/>
              <w:rPr>
                <w:rFonts w:ascii="Arial Narrow" w:eastAsia="Calibri" w:hAnsi="Arial Narrow"/>
                <w:color w:val="000000"/>
                <w:lang w:eastAsia="en-US"/>
              </w:rPr>
            </w:pPr>
            <w:r>
              <w:rPr>
                <w:rFonts w:ascii="Arial Narrow" w:eastAsia="Calibri" w:hAnsi="Arial Narrow"/>
                <w:color w:val="000000"/>
                <w:lang w:eastAsia="en-US"/>
              </w:rPr>
              <w:t>0.06%</w:t>
            </w:r>
          </w:p>
        </w:tc>
      </w:tr>
      <w:tr w:rsidR="007968EC" w14:paraId="62A1C8AB" w14:textId="77777777" w:rsidTr="007968EC">
        <w:trPr>
          <w:trHeight w:val="254"/>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34994F1B" w14:textId="77777777" w:rsidR="007968EC" w:rsidRDefault="007968EC" w:rsidP="007968EC">
            <w:pPr>
              <w:rPr>
                <w:rFonts w:ascii="Arial Narrow" w:eastAsia="Calibri" w:hAnsi="Arial Narrow"/>
                <w:color w:val="000000"/>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787C9C64" w14:textId="77777777" w:rsidR="007968EC" w:rsidRDefault="007968EC" w:rsidP="007968EC">
            <w:pPr>
              <w:jc w:val="center"/>
              <w:rPr>
                <w:rFonts w:ascii="Arial Narrow" w:eastAsia="Calibri" w:hAnsi="Arial Narrow"/>
                <w:color w:val="000000"/>
                <w:kern w:val="24"/>
                <w:lang w:eastAsia="en-US"/>
              </w:rPr>
            </w:pPr>
            <w:r>
              <w:rPr>
                <w:rFonts w:ascii="Arial Narrow" w:eastAsia="Calibri" w:hAnsi="Arial Narrow"/>
                <w:color w:val="000000"/>
                <w:kern w:val="24"/>
                <w:lang w:eastAsia="en-US"/>
              </w:rPr>
              <w:t>3</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F88A382" w14:textId="77777777" w:rsidR="007968EC" w:rsidRDefault="007968EC" w:rsidP="007968EC">
            <w:pPr>
              <w:rPr>
                <w:rFonts w:ascii="Arial Narrow" w:eastAsia="Calibri" w:hAnsi="Arial Narrow"/>
                <w:color w:val="000000"/>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7F5A3BF" w14:textId="77777777" w:rsidR="007968EC" w:rsidRDefault="007968EC" w:rsidP="007968EC">
            <w:pPr>
              <w:rPr>
                <w:rFonts w:ascii="Arial Narrow" w:eastAsia="Calibri" w:hAnsi="Arial Narrow"/>
                <w:color w:val="000000"/>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459790FB" w14:textId="77777777" w:rsidR="007968EC" w:rsidRDefault="007968EC" w:rsidP="007968EC">
            <w:pPr>
              <w:jc w:val="center"/>
              <w:rPr>
                <w:rFonts w:ascii="Arial Narrow" w:eastAsia="Calibri" w:hAnsi="Arial Narrow"/>
                <w:color w:val="000000"/>
                <w:lang w:eastAsia="en-US"/>
              </w:rPr>
            </w:pPr>
            <w:r>
              <w:rPr>
                <w:rFonts w:ascii="Arial Narrow" w:eastAsia="Calibri" w:hAnsi="Arial Narrow"/>
                <w:color w:val="000000"/>
                <w:lang w:eastAsia="en-US"/>
              </w:rPr>
              <w:t>0.06%</w:t>
            </w:r>
          </w:p>
        </w:tc>
      </w:tr>
      <w:tr w:rsidR="007968EC" w14:paraId="04872B70" w14:textId="77777777" w:rsidTr="007968EC">
        <w:trPr>
          <w:trHeight w:val="254"/>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739C4001" w14:textId="77777777" w:rsidR="007968EC" w:rsidRDefault="007968EC" w:rsidP="007968EC">
            <w:pPr>
              <w:rPr>
                <w:rFonts w:ascii="Arial Narrow" w:eastAsia="Calibri" w:hAnsi="Arial Narrow"/>
                <w:color w:val="000000"/>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4C50582E" w14:textId="77777777" w:rsidR="007968EC" w:rsidRDefault="007968EC" w:rsidP="007968EC">
            <w:pPr>
              <w:jc w:val="center"/>
              <w:rPr>
                <w:rFonts w:ascii="Arial Narrow" w:eastAsia="Calibri" w:hAnsi="Arial Narrow"/>
                <w:color w:val="000000"/>
                <w:kern w:val="24"/>
                <w:lang w:eastAsia="en-US"/>
              </w:rPr>
            </w:pPr>
            <w:r>
              <w:rPr>
                <w:rFonts w:ascii="Arial Narrow" w:eastAsia="Calibri" w:hAnsi="Arial Narrow"/>
                <w:color w:val="000000"/>
                <w:kern w:val="24"/>
                <w:lang w:eastAsia="en-US"/>
              </w:rPr>
              <w:t>6</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153B341" w14:textId="77777777" w:rsidR="007968EC" w:rsidRDefault="007968EC" w:rsidP="007968EC">
            <w:pPr>
              <w:rPr>
                <w:rFonts w:ascii="Arial Narrow" w:eastAsia="Calibri" w:hAnsi="Arial Narrow"/>
                <w:color w:val="000000"/>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3109696" w14:textId="77777777" w:rsidR="007968EC" w:rsidRDefault="007968EC" w:rsidP="007968EC">
            <w:pPr>
              <w:rPr>
                <w:rFonts w:ascii="Arial Narrow" w:eastAsia="Calibri" w:hAnsi="Arial Narrow"/>
                <w:color w:val="000000"/>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6E6DC764" w14:textId="77777777" w:rsidR="007968EC" w:rsidRDefault="007968EC" w:rsidP="007968EC">
            <w:pPr>
              <w:jc w:val="center"/>
              <w:rPr>
                <w:rFonts w:ascii="Arial Narrow" w:eastAsia="Calibri" w:hAnsi="Arial Narrow"/>
                <w:color w:val="000000"/>
                <w:lang w:eastAsia="en-US"/>
              </w:rPr>
            </w:pPr>
            <w:r>
              <w:rPr>
                <w:rFonts w:ascii="Arial Narrow" w:eastAsia="Calibri" w:hAnsi="Arial Narrow"/>
                <w:color w:val="000000"/>
                <w:lang w:eastAsia="en-US"/>
              </w:rPr>
              <w:t>0.18%</w:t>
            </w:r>
          </w:p>
        </w:tc>
      </w:tr>
      <w:tr w:rsidR="007968EC" w14:paraId="456A0AAE" w14:textId="77777777" w:rsidTr="007968EC">
        <w:trPr>
          <w:trHeight w:val="254"/>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509A0E93" w14:textId="77777777" w:rsidR="007968EC" w:rsidRDefault="007968EC" w:rsidP="007968EC">
            <w:pPr>
              <w:rPr>
                <w:rFonts w:ascii="Arial Narrow" w:eastAsia="Calibri" w:hAnsi="Arial Narrow"/>
                <w:color w:val="000000"/>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412E01A8" w14:textId="77777777" w:rsidR="007968EC" w:rsidRDefault="007968EC" w:rsidP="007968EC">
            <w:pPr>
              <w:jc w:val="center"/>
              <w:rPr>
                <w:rFonts w:ascii="Arial Narrow" w:eastAsia="Calibri" w:hAnsi="Arial Narrow"/>
                <w:color w:val="000000"/>
                <w:kern w:val="24"/>
                <w:lang w:eastAsia="en-US"/>
              </w:rPr>
            </w:pPr>
            <w:r>
              <w:rPr>
                <w:rFonts w:ascii="Arial Narrow" w:eastAsia="Calibri" w:hAnsi="Arial Narrow"/>
                <w:color w:val="000000"/>
                <w:kern w:val="24"/>
                <w:lang w:eastAsia="en-US"/>
              </w:rPr>
              <w:t>9</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D026539" w14:textId="77777777" w:rsidR="007968EC" w:rsidRDefault="007968EC" w:rsidP="007968EC">
            <w:pPr>
              <w:rPr>
                <w:rFonts w:ascii="Arial Narrow" w:eastAsia="Calibri" w:hAnsi="Arial Narrow"/>
                <w:color w:val="000000"/>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FF1F15A" w14:textId="77777777" w:rsidR="007968EC" w:rsidRDefault="007968EC" w:rsidP="007968EC">
            <w:pPr>
              <w:rPr>
                <w:rFonts w:ascii="Arial Narrow" w:eastAsia="Calibri" w:hAnsi="Arial Narrow"/>
                <w:color w:val="000000"/>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7FC50BFE" w14:textId="77777777" w:rsidR="007968EC" w:rsidRDefault="007968EC" w:rsidP="007968EC">
            <w:pPr>
              <w:jc w:val="center"/>
              <w:rPr>
                <w:rFonts w:ascii="Arial Narrow" w:eastAsia="Calibri" w:hAnsi="Arial Narrow"/>
                <w:color w:val="000000"/>
                <w:lang w:eastAsia="en-US"/>
              </w:rPr>
            </w:pPr>
            <w:r>
              <w:rPr>
                <w:rFonts w:ascii="Arial Narrow" w:eastAsia="Calibri" w:hAnsi="Arial Narrow"/>
                <w:color w:val="000000"/>
                <w:lang w:eastAsia="en-US"/>
              </w:rPr>
              <w:t>0.28%</w:t>
            </w:r>
          </w:p>
        </w:tc>
      </w:tr>
      <w:tr w:rsidR="007968EC" w14:paraId="53A04E12" w14:textId="77777777" w:rsidTr="007968EC">
        <w:trPr>
          <w:trHeight w:val="254"/>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10289559" w14:textId="77777777" w:rsidR="007968EC" w:rsidRDefault="007968EC" w:rsidP="007968EC">
            <w:pPr>
              <w:rPr>
                <w:rFonts w:ascii="Arial Narrow" w:eastAsia="Calibri" w:hAnsi="Arial Narrow"/>
                <w:color w:val="000000"/>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7FF62C87" w14:textId="77777777" w:rsidR="007968EC" w:rsidRDefault="007968EC" w:rsidP="007968EC">
            <w:pPr>
              <w:jc w:val="center"/>
              <w:rPr>
                <w:rFonts w:ascii="Arial Narrow" w:eastAsia="Calibri" w:hAnsi="Arial Narrow"/>
                <w:color w:val="000000"/>
                <w:kern w:val="24"/>
                <w:lang w:eastAsia="en-US"/>
              </w:rPr>
            </w:pPr>
            <w:r>
              <w:rPr>
                <w:rFonts w:ascii="Arial Narrow" w:eastAsia="Calibri" w:hAnsi="Arial Narrow"/>
                <w:color w:val="000000"/>
                <w:kern w:val="24"/>
                <w:lang w:eastAsia="en-US"/>
              </w:rPr>
              <w:t>12</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21735E6" w14:textId="77777777" w:rsidR="007968EC" w:rsidRDefault="007968EC" w:rsidP="007968EC">
            <w:pPr>
              <w:rPr>
                <w:rFonts w:ascii="Arial Narrow" w:eastAsia="Calibri" w:hAnsi="Arial Narrow"/>
                <w:color w:val="000000"/>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F7B7FF5" w14:textId="77777777" w:rsidR="007968EC" w:rsidRDefault="007968EC" w:rsidP="007968EC">
            <w:pPr>
              <w:rPr>
                <w:rFonts w:ascii="Arial Narrow" w:eastAsia="Calibri" w:hAnsi="Arial Narrow"/>
                <w:color w:val="000000"/>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6FE8DE2D" w14:textId="77777777" w:rsidR="007968EC" w:rsidRDefault="007968EC" w:rsidP="007968EC">
            <w:pPr>
              <w:jc w:val="center"/>
              <w:rPr>
                <w:rFonts w:ascii="Arial Narrow" w:eastAsia="Calibri" w:hAnsi="Arial Narrow"/>
                <w:color w:val="000000"/>
                <w:lang w:eastAsia="en-US"/>
              </w:rPr>
            </w:pPr>
            <w:r>
              <w:rPr>
                <w:rFonts w:ascii="Arial Narrow" w:eastAsia="Calibri" w:hAnsi="Arial Narrow"/>
                <w:color w:val="000000"/>
                <w:lang w:eastAsia="en-US"/>
              </w:rPr>
              <w:t>0.39%</w:t>
            </w:r>
          </w:p>
        </w:tc>
      </w:tr>
      <w:tr w:rsidR="007968EC" w14:paraId="3BCBE87A" w14:textId="77777777" w:rsidTr="007968EC">
        <w:trPr>
          <w:trHeight w:val="254"/>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47DFEDC4" w14:textId="77777777" w:rsidR="007968EC" w:rsidRDefault="007968EC" w:rsidP="007968EC">
            <w:pPr>
              <w:rPr>
                <w:rFonts w:ascii="Arial Narrow" w:eastAsia="Calibri" w:hAnsi="Arial Narrow"/>
                <w:color w:val="000000"/>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74B16140" w14:textId="77777777" w:rsidR="007968EC" w:rsidRDefault="007968EC" w:rsidP="007968EC">
            <w:pPr>
              <w:jc w:val="center"/>
              <w:rPr>
                <w:rFonts w:ascii="Arial Narrow" w:eastAsia="Calibri" w:hAnsi="Arial Narrow"/>
                <w:color w:val="000000"/>
                <w:kern w:val="24"/>
                <w:lang w:eastAsia="en-US"/>
              </w:rPr>
            </w:pPr>
            <w:r>
              <w:rPr>
                <w:rFonts w:ascii="Arial Narrow" w:eastAsia="Calibri" w:hAnsi="Arial Narrow"/>
                <w:color w:val="000000"/>
                <w:kern w:val="24"/>
                <w:lang w:eastAsia="en-US"/>
              </w:rPr>
              <w:t>18</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3ECC76A" w14:textId="77777777" w:rsidR="007968EC" w:rsidRDefault="007968EC" w:rsidP="007968EC">
            <w:pPr>
              <w:rPr>
                <w:rFonts w:ascii="Arial Narrow" w:eastAsia="Calibri" w:hAnsi="Arial Narrow"/>
                <w:color w:val="000000"/>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DAB0E64" w14:textId="77777777" w:rsidR="007968EC" w:rsidRDefault="007968EC" w:rsidP="007968EC">
            <w:pPr>
              <w:rPr>
                <w:rFonts w:ascii="Arial Narrow" w:eastAsia="Calibri" w:hAnsi="Arial Narrow"/>
                <w:color w:val="000000"/>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6653E6D8" w14:textId="77777777" w:rsidR="007968EC" w:rsidRDefault="007968EC" w:rsidP="007968EC">
            <w:pPr>
              <w:jc w:val="center"/>
              <w:rPr>
                <w:rFonts w:ascii="Arial Narrow" w:eastAsia="Calibri" w:hAnsi="Arial Narrow"/>
                <w:color w:val="000000"/>
                <w:lang w:eastAsia="en-US"/>
              </w:rPr>
            </w:pPr>
            <w:r>
              <w:rPr>
                <w:rFonts w:ascii="Arial Narrow" w:eastAsia="Calibri" w:hAnsi="Arial Narrow"/>
                <w:color w:val="000000"/>
                <w:lang w:eastAsia="en-US"/>
              </w:rPr>
              <w:t>0.47%</w:t>
            </w:r>
          </w:p>
        </w:tc>
      </w:tr>
    </w:tbl>
    <w:p w14:paraId="18A25B67" w14:textId="77777777" w:rsidR="007968EC" w:rsidRDefault="007968EC" w:rsidP="007968EC">
      <w:pPr>
        <w:autoSpaceDE w:val="0"/>
        <w:autoSpaceDN w:val="0"/>
        <w:adjustRightInd w:val="0"/>
        <w:jc w:val="both"/>
        <w:rPr>
          <w:rFonts w:ascii="Arial Narrow" w:eastAsia="Calibri" w:hAnsi="Arial Narrow"/>
          <w:color w:val="000000"/>
          <w:lang w:eastAsia="en-US"/>
        </w:rPr>
      </w:pPr>
    </w:p>
    <w:p w14:paraId="2799320C" w14:textId="77777777" w:rsidR="007968EC" w:rsidRDefault="007968EC" w:rsidP="007968EC">
      <w:pPr>
        <w:jc w:val="both"/>
        <w:rPr>
          <w:rFonts w:ascii="Arial Narrow" w:eastAsia="Calibri" w:hAnsi="Arial Narrow"/>
          <w:color w:val="000000"/>
          <w:u w:val="single"/>
          <w:lang w:val="es-MX" w:eastAsia="en-US"/>
        </w:rPr>
      </w:pPr>
    </w:p>
    <w:p w14:paraId="3B21AF9B" w14:textId="77777777" w:rsidR="007968EC" w:rsidRDefault="007968EC" w:rsidP="007968EC">
      <w:pPr>
        <w:jc w:val="both"/>
        <w:rPr>
          <w:rFonts w:ascii="Arial Narrow" w:eastAsia="Calibri" w:hAnsi="Arial Narrow"/>
          <w:b/>
          <w:color w:val="000000"/>
          <w:u w:val="single"/>
          <w:lang w:val="es-MX" w:eastAsia="en-US"/>
        </w:rPr>
      </w:pPr>
      <w:r>
        <w:rPr>
          <w:rFonts w:ascii="Arial Narrow" w:eastAsia="Calibri" w:hAnsi="Arial Narrow"/>
          <w:color w:val="000000"/>
          <w:u w:val="single"/>
          <w:lang w:val="es-MX" w:eastAsia="en-US"/>
        </w:rPr>
        <w:t>Los parámetros que se tienen en cuenta para la compensación entre grupos son:</w:t>
      </w:r>
    </w:p>
    <w:p w14:paraId="165A9E75" w14:textId="77777777" w:rsidR="007968EC" w:rsidRDefault="007968EC" w:rsidP="007968EC">
      <w:pPr>
        <w:jc w:val="both"/>
        <w:rPr>
          <w:rFonts w:ascii="Arial Narrow" w:eastAsia="Calibri" w:hAnsi="Arial Narrow"/>
          <w:b/>
          <w:color w:val="000000"/>
          <w:lang w:val="es-MX" w:eastAsia="en-US"/>
        </w:rPr>
      </w:pPr>
    </w:p>
    <w:p w14:paraId="2D7DBD7B" w14:textId="77777777" w:rsidR="007968EC" w:rsidRDefault="007968EC" w:rsidP="00DA7472">
      <w:pPr>
        <w:numPr>
          <w:ilvl w:val="0"/>
          <w:numId w:val="367"/>
        </w:numPr>
        <w:spacing w:after="160" w:line="256" w:lineRule="auto"/>
        <w:ind w:left="284"/>
        <w:jc w:val="both"/>
        <w:rPr>
          <w:rFonts w:ascii="Arial Narrow" w:eastAsia="Calibri" w:hAnsi="Arial Narrow"/>
          <w:b/>
          <w:color w:val="000000"/>
          <w:lang w:eastAsia="en-US"/>
        </w:rPr>
      </w:pPr>
      <w:r>
        <w:rPr>
          <w:rFonts w:ascii="Arial Narrow" w:eastAsia="Calibri" w:hAnsi="Arial Narrow"/>
          <w:color w:val="000000"/>
          <w:lang w:eastAsia="en-US"/>
        </w:rPr>
        <w:lastRenderedPageBreak/>
        <w:t>Orden para la compensación entre los grupos del Futuro TES Corto Plazo, Futuro TES Mediano Plazo y el Futuro TES Largo Plazo:</w:t>
      </w:r>
    </w:p>
    <w:tbl>
      <w:tblPr>
        <w:tblW w:w="8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3784"/>
        <w:gridCol w:w="1513"/>
        <w:gridCol w:w="1400"/>
      </w:tblGrid>
      <w:tr w:rsidR="007968EC" w14:paraId="5BD3290A" w14:textId="77777777" w:rsidTr="007968EC">
        <w:trPr>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4BDADC64"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Orden de Compensación</w:t>
            </w:r>
          </w:p>
        </w:tc>
        <w:tc>
          <w:tcPr>
            <w:tcW w:w="3784" w:type="dxa"/>
            <w:tcBorders>
              <w:top w:val="single" w:sz="4" w:space="0" w:color="auto"/>
              <w:left w:val="single" w:sz="4" w:space="0" w:color="auto"/>
              <w:bottom w:val="single" w:sz="4" w:space="0" w:color="auto"/>
              <w:right w:val="single" w:sz="4" w:space="0" w:color="auto"/>
            </w:tcBorders>
            <w:vAlign w:val="center"/>
            <w:hideMark/>
          </w:tcPr>
          <w:p w14:paraId="2645D7D3"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proofErr w:type="gramStart"/>
            <w:r>
              <w:rPr>
                <w:rFonts w:ascii="Arial Narrow" w:eastAsia="Calibri" w:hAnsi="Arial Narrow"/>
                <w:color w:val="000000"/>
                <w:lang w:eastAsia="en-US"/>
              </w:rPr>
              <w:t>Grupos a Compensar</w:t>
            </w:r>
            <w:proofErr w:type="gramEnd"/>
          </w:p>
        </w:tc>
        <w:tc>
          <w:tcPr>
            <w:tcW w:w="1513" w:type="dxa"/>
            <w:tcBorders>
              <w:top w:val="single" w:sz="4" w:space="0" w:color="auto"/>
              <w:left w:val="single" w:sz="4" w:space="0" w:color="auto"/>
              <w:bottom w:val="single" w:sz="4" w:space="0" w:color="auto"/>
              <w:right w:val="single" w:sz="4" w:space="0" w:color="auto"/>
            </w:tcBorders>
            <w:vAlign w:val="center"/>
            <w:hideMark/>
          </w:tcPr>
          <w:p w14:paraId="607577EB"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Delta para formar Un (1) Spread</w:t>
            </w:r>
          </w:p>
        </w:tc>
        <w:tc>
          <w:tcPr>
            <w:tcW w:w="1400" w:type="dxa"/>
            <w:tcBorders>
              <w:top w:val="single" w:sz="4" w:space="0" w:color="auto"/>
              <w:left w:val="single" w:sz="4" w:space="0" w:color="auto"/>
              <w:bottom w:val="single" w:sz="4" w:space="0" w:color="auto"/>
              <w:right w:val="single" w:sz="4" w:space="0" w:color="auto"/>
            </w:tcBorders>
            <w:vAlign w:val="center"/>
            <w:hideMark/>
          </w:tcPr>
          <w:p w14:paraId="15864A0A"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Crédito sobre Garantías</w:t>
            </w:r>
          </w:p>
        </w:tc>
      </w:tr>
      <w:tr w:rsidR="007968EC" w14:paraId="1290950B" w14:textId="77777777" w:rsidTr="007968EC">
        <w:trPr>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4EDA4271"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1</w:t>
            </w:r>
          </w:p>
        </w:tc>
        <w:tc>
          <w:tcPr>
            <w:tcW w:w="3784" w:type="dxa"/>
            <w:tcBorders>
              <w:top w:val="single" w:sz="4" w:space="0" w:color="auto"/>
              <w:left w:val="single" w:sz="4" w:space="0" w:color="auto"/>
              <w:bottom w:val="single" w:sz="4" w:space="0" w:color="auto"/>
              <w:right w:val="single" w:sz="4" w:space="0" w:color="auto"/>
            </w:tcBorders>
            <w:hideMark/>
          </w:tcPr>
          <w:p w14:paraId="2633D2C7" w14:textId="77777777" w:rsidR="007968EC" w:rsidRDefault="007968EC" w:rsidP="007968EC">
            <w:pPr>
              <w:autoSpaceDE w:val="0"/>
              <w:autoSpaceDN w:val="0"/>
              <w:spacing w:line="256" w:lineRule="auto"/>
              <w:rPr>
                <w:rFonts w:ascii="Arial Narrow" w:eastAsia="Calibri" w:hAnsi="Arial Narrow"/>
                <w:b/>
                <w:bCs/>
                <w:color w:val="000000"/>
                <w:lang w:eastAsia="en-US"/>
              </w:rPr>
            </w:pPr>
            <w:r>
              <w:rPr>
                <w:rFonts w:ascii="Arial Narrow" w:eastAsia="Calibri" w:hAnsi="Arial Narrow"/>
                <w:color w:val="000000"/>
                <w:lang w:eastAsia="en-US"/>
              </w:rPr>
              <w:t>Futuro TES Mediano Plazo/ Futuro TES Largo Plazo</w:t>
            </w:r>
          </w:p>
        </w:tc>
        <w:tc>
          <w:tcPr>
            <w:tcW w:w="1513" w:type="dxa"/>
            <w:tcBorders>
              <w:top w:val="single" w:sz="4" w:space="0" w:color="auto"/>
              <w:left w:val="single" w:sz="4" w:space="0" w:color="auto"/>
              <w:bottom w:val="single" w:sz="4" w:space="0" w:color="auto"/>
              <w:right w:val="single" w:sz="4" w:space="0" w:color="auto"/>
            </w:tcBorders>
            <w:vAlign w:val="center"/>
            <w:hideMark/>
          </w:tcPr>
          <w:p w14:paraId="2D29DB16" w14:textId="77777777" w:rsidR="007968EC" w:rsidRDefault="007968EC" w:rsidP="007968EC">
            <w:pPr>
              <w:autoSpaceDE w:val="0"/>
              <w:autoSpaceDN w:val="0"/>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100/46</w:t>
            </w:r>
          </w:p>
        </w:tc>
        <w:tc>
          <w:tcPr>
            <w:tcW w:w="1400" w:type="dxa"/>
            <w:tcBorders>
              <w:top w:val="single" w:sz="4" w:space="0" w:color="auto"/>
              <w:left w:val="single" w:sz="4" w:space="0" w:color="auto"/>
              <w:bottom w:val="single" w:sz="4" w:space="0" w:color="auto"/>
              <w:right w:val="single" w:sz="4" w:space="0" w:color="auto"/>
            </w:tcBorders>
            <w:vAlign w:val="center"/>
            <w:hideMark/>
          </w:tcPr>
          <w:p w14:paraId="39C696B6" w14:textId="77777777" w:rsidR="007968EC" w:rsidRDefault="007968EC" w:rsidP="007968EC">
            <w:pPr>
              <w:autoSpaceDE w:val="0"/>
              <w:autoSpaceDN w:val="0"/>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70%</w:t>
            </w:r>
          </w:p>
        </w:tc>
      </w:tr>
      <w:tr w:rsidR="007968EC" w14:paraId="2B3B02F5" w14:textId="77777777" w:rsidTr="007968EC">
        <w:trPr>
          <w:trHeight w:val="286"/>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4FB28111"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2</w:t>
            </w:r>
          </w:p>
        </w:tc>
        <w:tc>
          <w:tcPr>
            <w:tcW w:w="3784" w:type="dxa"/>
            <w:tcBorders>
              <w:top w:val="single" w:sz="4" w:space="0" w:color="auto"/>
              <w:left w:val="single" w:sz="4" w:space="0" w:color="auto"/>
              <w:bottom w:val="single" w:sz="4" w:space="0" w:color="auto"/>
              <w:right w:val="single" w:sz="4" w:space="0" w:color="auto"/>
            </w:tcBorders>
            <w:hideMark/>
          </w:tcPr>
          <w:p w14:paraId="0E0E3A40" w14:textId="77777777" w:rsidR="007968EC" w:rsidRDefault="007968EC" w:rsidP="007968EC">
            <w:pPr>
              <w:autoSpaceDE w:val="0"/>
              <w:autoSpaceDN w:val="0"/>
              <w:spacing w:line="256" w:lineRule="auto"/>
              <w:rPr>
                <w:rFonts w:ascii="Arial Narrow" w:eastAsia="Calibri" w:hAnsi="Arial Narrow"/>
                <w:b/>
                <w:bCs/>
                <w:color w:val="000000"/>
                <w:lang w:eastAsia="en-US"/>
              </w:rPr>
            </w:pPr>
            <w:r>
              <w:rPr>
                <w:rFonts w:ascii="Arial Narrow" w:eastAsia="Calibri" w:hAnsi="Arial Narrow"/>
                <w:color w:val="000000"/>
                <w:lang w:eastAsia="en-US"/>
              </w:rPr>
              <w:t>Futuro TES Corto Plazo/ Futuro TES Mediano Plazo</w:t>
            </w:r>
          </w:p>
        </w:tc>
        <w:tc>
          <w:tcPr>
            <w:tcW w:w="1513" w:type="dxa"/>
            <w:tcBorders>
              <w:top w:val="single" w:sz="4" w:space="0" w:color="auto"/>
              <w:left w:val="single" w:sz="4" w:space="0" w:color="auto"/>
              <w:bottom w:val="single" w:sz="4" w:space="0" w:color="auto"/>
              <w:right w:val="single" w:sz="4" w:space="0" w:color="auto"/>
            </w:tcBorders>
            <w:vAlign w:val="center"/>
            <w:hideMark/>
          </w:tcPr>
          <w:p w14:paraId="52DD7141" w14:textId="77777777" w:rsidR="007968EC" w:rsidRDefault="007968EC" w:rsidP="007968EC">
            <w:pPr>
              <w:autoSpaceDE w:val="0"/>
              <w:autoSpaceDN w:val="0"/>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100/17</w:t>
            </w:r>
          </w:p>
        </w:tc>
        <w:tc>
          <w:tcPr>
            <w:tcW w:w="1400" w:type="dxa"/>
            <w:tcBorders>
              <w:top w:val="single" w:sz="4" w:space="0" w:color="auto"/>
              <w:left w:val="single" w:sz="4" w:space="0" w:color="auto"/>
              <w:bottom w:val="single" w:sz="4" w:space="0" w:color="auto"/>
              <w:right w:val="single" w:sz="4" w:space="0" w:color="auto"/>
            </w:tcBorders>
            <w:vAlign w:val="center"/>
            <w:hideMark/>
          </w:tcPr>
          <w:p w14:paraId="144EB9CF" w14:textId="77777777" w:rsidR="007968EC" w:rsidRDefault="007968EC" w:rsidP="007968EC">
            <w:pPr>
              <w:autoSpaceDE w:val="0"/>
              <w:autoSpaceDN w:val="0"/>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45%</w:t>
            </w:r>
          </w:p>
        </w:tc>
      </w:tr>
      <w:tr w:rsidR="007968EC" w14:paraId="737D4397" w14:textId="77777777" w:rsidTr="007968EC">
        <w:trPr>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11ED32CB" w14:textId="77777777" w:rsidR="007968EC" w:rsidRDefault="007968EC" w:rsidP="007968EC">
            <w:pPr>
              <w:autoSpaceDE w:val="0"/>
              <w:autoSpaceDN w:val="0"/>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3</w:t>
            </w:r>
          </w:p>
        </w:tc>
        <w:tc>
          <w:tcPr>
            <w:tcW w:w="3784" w:type="dxa"/>
            <w:tcBorders>
              <w:top w:val="single" w:sz="4" w:space="0" w:color="auto"/>
              <w:left w:val="single" w:sz="4" w:space="0" w:color="auto"/>
              <w:bottom w:val="single" w:sz="4" w:space="0" w:color="auto"/>
              <w:right w:val="single" w:sz="4" w:space="0" w:color="auto"/>
            </w:tcBorders>
            <w:hideMark/>
          </w:tcPr>
          <w:p w14:paraId="53C25BA7" w14:textId="77777777" w:rsidR="007968EC" w:rsidRDefault="007968EC" w:rsidP="007968EC">
            <w:pPr>
              <w:autoSpaceDE w:val="0"/>
              <w:autoSpaceDN w:val="0"/>
              <w:spacing w:line="256" w:lineRule="auto"/>
              <w:rPr>
                <w:rFonts w:ascii="Arial Narrow" w:eastAsia="Calibri" w:hAnsi="Arial Narrow"/>
                <w:b/>
                <w:bCs/>
                <w:color w:val="000000"/>
                <w:lang w:eastAsia="en-US"/>
              </w:rPr>
            </w:pPr>
            <w:r>
              <w:rPr>
                <w:rFonts w:ascii="Arial Narrow" w:eastAsia="Calibri" w:hAnsi="Arial Narrow"/>
                <w:color w:val="000000"/>
                <w:lang w:eastAsia="en-US"/>
              </w:rPr>
              <w:t>Futuro TES Corto Plazo/ Futuro TES Largo Plazo</w:t>
            </w:r>
          </w:p>
        </w:tc>
        <w:tc>
          <w:tcPr>
            <w:tcW w:w="1513" w:type="dxa"/>
            <w:tcBorders>
              <w:top w:val="single" w:sz="4" w:space="0" w:color="auto"/>
              <w:left w:val="single" w:sz="4" w:space="0" w:color="auto"/>
              <w:bottom w:val="single" w:sz="4" w:space="0" w:color="auto"/>
              <w:right w:val="single" w:sz="4" w:space="0" w:color="auto"/>
            </w:tcBorders>
            <w:vAlign w:val="center"/>
            <w:hideMark/>
          </w:tcPr>
          <w:p w14:paraId="62430190" w14:textId="77777777" w:rsidR="007968EC" w:rsidRDefault="007968EC" w:rsidP="007968EC">
            <w:pPr>
              <w:autoSpaceDE w:val="0"/>
              <w:autoSpaceDN w:val="0"/>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100/13</w:t>
            </w:r>
          </w:p>
        </w:tc>
        <w:tc>
          <w:tcPr>
            <w:tcW w:w="1400" w:type="dxa"/>
            <w:tcBorders>
              <w:top w:val="single" w:sz="4" w:space="0" w:color="auto"/>
              <w:left w:val="single" w:sz="4" w:space="0" w:color="auto"/>
              <w:bottom w:val="single" w:sz="4" w:space="0" w:color="auto"/>
              <w:right w:val="single" w:sz="4" w:space="0" w:color="auto"/>
            </w:tcBorders>
            <w:vAlign w:val="center"/>
            <w:hideMark/>
          </w:tcPr>
          <w:p w14:paraId="3F9FE0BB" w14:textId="77777777" w:rsidR="007968EC" w:rsidRDefault="007968EC" w:rsidP="007968EC">
            <w:pPr>
              <w:autoSpaceDE w:val="0"/>
              <w:autoSpaceDN w:val="0"/>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15%</w:t>
            </w:r>
          </w:p>
        </w:tc>
      </w:tr>
    </w:tbl>
    <w:p w14:paraId="2796FA02" w14:textId="77777777" w:rsidR="007968EC" w:rsidRDefault="007968EC" w:rsidP="007968EC">
      <w:pPr>
        <w:spacing w:after="160" w:line="256" w:lineRule="auto"/>
        <w:jc w:val="both"/>
        <w:rPr>
          <w:rFonts w:ascii="Arial Narrow" w:eastAsia="Calibri" w:hAnsi="Arial Narrow"/>
          <w:color w:val="000000"/>
          <w:lang w:eastAsia="en-US"/>
        </w:rPr>
      </w:pPr>
    </w:p>
    <w:p w14:paraId="6601E5D5" w14:textId="77777777" w:rsidR="007968EC" w:rsidRDefault="007968EC" w:rsidP="00DA7472">
      <w:pPr>
        <w:numPr>
          <w:ilvl w:val="0"/>
          <w:numId w:val="367"/>
        </w:numPr>
        <w:spacing w:after="160" w:line="256" w:lineRule="auto"/>
        <w:ind w:left="284"/>
        <w:jc w:val="both"/>
        <w:rPr>
          <w:rFonts w:ascii="Arial Narrow" w:eastAsia="Calibri" w:hAnsi="Arial Narrow"/>
          <w:b/>
          <w:color w:val="000000"/>
          <w:lang w:eastAsia="en-US"/>
        </w:rPr>
      </w:pPr>
      <w:r>
        <w:rPr>
          <w:rFonts w:ascii="Arial Narrow" w:eastAsia="Calibri" w:hAnsi="Arial Narrow"/>
          <w:color w:val="000000"/>
          <w:lang w:eastAsia="en-US"/>
        </w:rPr>
        <w:t>Orden para la compensación entre los grupos de los Futuros sobre Títulos TES de Referencias Específicas:</w:t>
      </w:r>
    </w:p>
    <w:p w14:paraId="71DB04AD" w14:textId="77777777" w:rsidR="007968EC" w:rsidRDefault="007968EC" w:rsidP="007968EC">
      <w:pPr>
        <w:spacing w:line="256" w:lineRule="auto"/>
        <w:ind w:left="284"/>
        <w:jc w:val="both"/>
        <w:rPr>
          <w:rFonts w:ascii="Arial Narrow" w:eastAsia="Calibri" w:hAnsi="Arial Narrow"/>
          <w:b/>
          <w:color w:val="000000"/>
          <w:lang w:eastAsia="en-US"/>
        </w:rPr>
      </w:pPr>
    </w:p>
    <w:p w14:paraId="7A4F5B0D" w14:textId="77777777" w:rsidR="007968EC" w:rsidRDefault="007968EC" w:rsidP="007968EC">
      <w:pPr>
        <w:autoSpaceDE w:val="0"/>
        <w:autoSpaceDN w:val="0"/>
        <w:ind w:left="284"/>
        <w:jc w:val="both"/>
        <w:rPr>
          <w:rFonts w:ascii="Arial Narrow" w:eastAsia="Calibri" w:hAnsi="Arial Narrow"/>
          <w:bCs/>
          <w:color w:val="000000"/>
          <w:lang w:eastAsia="en-US"/>
        </w:rPr>
      </w:pPr>
      <w:r>
        <w:rPr>
          <w:rFonts w:ascii="Arial Narrow" w:eastAsia="Calibri" w:hAnsi="Arial Narrow"/>
          <w:bCs/>
          <w:color w:val="000000"/>
          <w:lang w:eastAsia="en-US"/>
        </w:rPr>
        <w:t xml:space="preserve">El crédito sobre garantías, esto es </w:t>
      </w:r>
      <w:proofErr w:type="gramStart"/>
      <w:r>
        <w:rPr>
          <w:rFonts w:ascii="Arial Narrow" w:eastAsia="Calibri" w:hAnsi="Arial Narrow"/>
          <w:bCs/>
          <w:color w:val="000000"/>
          <w:lang w:eastAsia="en-US"/>
        </w:rPr>
        <w:t>el valor porcentual a aplicar</w:t>
      </w:r>
      <w:proofErr w:type="gramEnd"/>
      <w:r>
        <w:rPr>
          <w:rFonts w:ascii="Arial Narrow" w:eastAsia="Calibri" w:hAnsi="Arial Narrow"/>
          <w:bCs/>
          <w:color w:val="000000"/>
          <w:lang w:eastAsia="en-US"/>
        </w:rPr>
        <w:t xml:space="preserve"> sobre la Garantía de cada posición compensada de las posiciones contrarias de una misma Cuenta para los Futuros de TES de Referencias Específicas, se compensarán de acuerdo a la siguiente tabla:</w:t>
      </w:r>
    </w:p>
    <w:p w14:paraId="51650BD1" w14:textId="77777777" w:rsidR="007968EC" w:rsidRDefault="007968EC" w:rsidP="007968EC">
      <w:pPr>
        <w:autoSpaceDE w:val="0"/>
        <w:autoSpaceDN w:val="0"/>
        <w:ind w:left="284"/>
        <w:jc w:val="both"/>
        <w:rPr>
          <w:rFonts w:ascii="Arial Narrow" w:eastAsia="Calibri" w:hAnsi="Arial Narrow"/>
          <w:bCs/>
          <w:color w:val="000000"/>
          <w:lang w:eastAsia="en-US"/>
        </w:rPr>
      </w:pPr>
    </w:p>
    <w:tbl>
      <w:tblPr>
        <w:tblW w:w="8370" w:type="dxa"/>
        <w:jc w:val="center"/>
        <w:tblLayout w:type="fixed"/>
        <w:tblCellMar>
          <w:left w:w="70" w:type="dxa"/>
          <w:right w:w="70" w:type="dxa"/>
        </w:tblCellMar>
        <w:tblLook w:val="04A0" w:firstRow="1" w:lastRow="0" w:firstColumn="1" w:lastColumn="0" w:noHBand="0" w:noVBand="1"/>
      </w:tblPr>
      <w:tblGrid>
        <w:gridCol w:w="1531"/>
        <w:gridCol w:w="854"/>
        <w:gridCol w:w="855"/>
        <w:gridCol w:w="855"/>
        <w:gridCol w:w="855"/>
        <w:gridCol w:w="855"/>
        <w:gridCol w:w="855"/>
        <w:gridCol w:w="855"/>
        <w:gridCol w:w="855"/>
      </w:tblGrid>
      <w:tr w:rsidR="007968EC" w14:paraId="09F2BD55" w14:textId="77777777" w:rsidTr="007968EC">
        <w:trPr>
          <w:trHeight w:val="162"/>
          <w:jc w:val="center"/>
        </w:trPr>
        <w:tc>
          <w:tcPr>
            <w:tcW w:w="1271" w:type="dxa"/>
            <w:tcBorders>
              <w:top w:val="single" w:sz="4" w:space="0" w:color="auto"/>
              <w:left w:val="single" w:sz="4" w:space="0" w:color="auto"/>
              <w:bottom w:val="single" w:sz="4" w:space="0" w:color="auto"/>
              <w:right w:val="single" w:sz="4" w:space="0" w:color="auto"/>
            </w:tcBorders>
            <w:noWrap/>
            <w:vAlign w:val="center"/>
            <w:hideMark/>
          </w:tcPr>
          <w:p w14:paraId="2C8321C6"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n-US"/>
              </w:rPr>
              <w:t>Crédito sobre Garantías</w:t>
            </w:r>
          </w:p>
        </w:tc>
        <w:tc>
          <w:tcPr>
            <w:tcW w:w="709" w:type="dxa"/>
            <w:tcBorders>
              <w:top w:val="single" w:sz="4" w:space="0" w:color="auto"/>
              <w:left w:val="nil"/>
              <w:bottom w:val="single" w:sz="4" w:space="0" w:color="auto"/>
              <w:right w:val="single" w:sz="4" w:space="0" w:color="auto"/>
            </w:tcBorders>
            <w:noWrap/>
            <w:vAlign w:val="center"/>
            <w:hideMark/>
          </w:tcPr>
          <w:p w14:paraId="3DB38265"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H1</w:t>
            </w:r>
          </w:p>
        </w:tc>
        <w:tc>
          <w:tcPr>
            <w:tcW w:w="709" w:type="dxa"/>
            <w:tcBorders>
              <w:top w:val="single" w:sz="4" w:space="0" w:color="auto"/>
              <w:left w:val="nil"/>
              <w:bottom w:val="single" w:sz="4" w:space="0" w:color="auto"/>
              <w:right w:val="single" w:sz="4" w:space="0" w:color="auto"/>
            </w:tcBorders>
            <w:noWrap/>
            <w:vAlign w:val="center"/>
            <w:hideMark/>
          </w:tcPr>
          <w:p w14:paraId="2A9E31E3"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H2</w:t>
            </w:r>
          </w:p>
        </w:tc>
        <w:tc>
          <w:tcPr>
            <w:tcW w:w="709" w:type="dxa"/>
            <w:tcBorders>
              <w:top w:val="single" w:sz="4" w:space="0" w:color="auto"/>
              <w:left w:val="nil"/>
              <w:bottom w:val="single" w:sz="4" w:space="0" w:color="auto"/>
              <w:right w:val="single" w:sz="4" w:space="0" w:color="auto"/>
            </w:tcBorders>
            <w:noWrap/>
            <w:vAlign w:val="center"/>
            <w:hideMark/>
          </w:tcPr>
          <w:p w14:paraId="11EC9919"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H3</w:t>
            </w:r>
          </w:p>
        </w:tc>
        <w:tc>
          <w:tcPr>
            <w:tcW w:w="709" w:type="dxa"/>
            <w:tcBorders>
              <w:top w:val="single" w:sz="4" w:space="0" w:color="auto"/>
              <w:left w:val="nil"/>
              <w:bottom w:val="single" w:sz="4" w:space="0" w:color="auto"/>
              <w:right w:val="single" w:sz="4" w:space="0" w:color="auto"/>
            </w:tcBorders>
            <w:noWrap/>
            <w:vAlign w:val="center"/>
            <w:hideMark/>
          </w:tcPr>
          <w:p w14:paraId="3CBA206F"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H4</w:t>
            </w:r>
          </w:p>
        </w:tc>
        <w:tc>
          <w:tcPr>
            <w:tcW w:w="709" w:type="dxa"/>
            <w:tcBorders>
              <w:top w:val="single" w:sz="4" w:space="0" w:color="auto"/>
              <w:left w:val="nil"/>
              <w:bottom w:val="single" w:sz="4" w:space="0" w:color="auto"/>
              <w:right w:val="single" w:sz="4" w:space="0" w:color="auto"/>
            </w:tcBorders>
            <w:noWrap/>
            <w:vAlign w:val="center"/>
            <w:hideMark/>
          </w:tcPr>
          <w:p w14:paraId="4B7B1FAF"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H5</w:t>
            </w:r>
          </w:p>
        </w:tc>
        <w:tc>
          <w:tcPr>
            <w:tcW w:w="709" w:type="dxa"/>
            <w:tcBorders>
              <w:top w:val="single" w:sz="4" w:space="0" w:color="auto"/>
              <w:left w:val="nil"/>
              <w:bottom w:val="single" w:sz="4" w:space="0" w:color="auto"/>
              <w:right w:val="single" w:sz="4" w:space="0" w:color="auto"/>
            </w:tcBorders>
            <w:noWrap/>
            <w:vAlign w:val="center"/>
            <w:hideMark/>
          </w:tcPr>
          <w:p w14:paraId="4D7B62DA"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H6</w:t>
            </w:r>
          </w:p>
        </w:tc>
        <w:tc>
          <w:tcPr>
            <w:tcW w:w="709" w:type="dxa"/>
            <w:tcBorders>
              <w:top w:val="single" w:sz="4" w:space="0" w:color="auto"/>
              <w:left w:val="nil"/>
              <w:bottom w:val="single" w:sz="4" w:space="0" w:color="auto"/>
              <w:right w:val="single" w:sz="4" w:space="0" w:color="auto"/>
            </w:tcBorders>
            <w:noWrap/>
            <w:vAlign w:val="center"/>
            <w:hideMark/>
          </w:tcPr>
          <w:p w14:paraId="118C1CB7"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H7</w:t>
            </w:r>
          </w:p>
        </w:tc>
        <w:tc>
          <w:tcPr>
            <w:tcW w:w="709" w:type="dxa"/>
            <w:tcBorders>
              <w:top w:val="single" w:sz="4" w:space="0" w:color="auto"/>
              <w:left w:val="nil"/>
              <w:bottom w:val="single" w:sz="4" w:space="0" w:color="auto"/>
              <w:right w:val="single" w:sz="4" w:space="0" w:color="auto"/>
            </w:tcBorders>
            <w:vAlign w:val="center"/>
            <w:hideMark/>
          </w:tcPr>
          <w:p w14:paraId="473651F3" w14:textId="77777777" w:rsidR="007968EC" w:rsidRDefault="007968EC" w:rsidP="007968EC">
            <w:pPr>
              <w:spacing w:line="256" w:lineRule="auto"/>
              <w:jc w:val="center"/>
              <w:rPr>
                <w:rFonts w:ascii="Arial Narrow" w:eastAsia="Calibri" w:hAnsi="Arial Narrow"/>
                <w:color w:val="000000"/>
                <w:lang w:eastAsia="es-CO"/>
              </w:rPr>
            </w:pPr>
            <w:r>
              <w:rPr>
                <w:rFonts w:ascii="Arial Narrow" w:eastAsia="Calibri" w:hAnsi="Arial Narrow"/>
                <w:color w:val="000000"/>
                <w:lang w:eastAsia="es-CO"/>
              </w:rPr>
              <w:t>H8</w:t>
            </w:r>
          </w:p>
        </w:tc>
      </w:tr>
      <w:tr w:rsidR="007968EC" w14:paraId="60CF1624" w14:textId="77777777" w:rsidTr="007968EC">
        <w:trPr>
          <w:trHeight w:val="162"/>
          <w:jc w:val="center"/>
        </w:trPr>
        <w:tc>
          <w:tcPr>
            <w:tcW w:w="1271" w:type="dxa"/>
            <w:tcBorders>
              <w:top w:val="nil"/>
              <w:left w:val="single" w:sz="4" w:space="0" w:color="auto"/>
              <w:bottom w:val="single" w:sz="4" w:space="0" w:color="auto"/>
              <w:right w:val="single" w:sz="4" w:space="0" w:color="auto"/>
            </w:tcBorders>
            <w:noWrap/>
            <w:vAlign w:val="center"/>
            <w:hideMark/>
          </w:tcPr>
          <w:p w14:paraId="4056287E"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H1</w:t>
            </w:r>
          </w:p>
        </w:tc>
        <w:tc>
          <w:tcPr>
            <w:tcW w:w="709" w:type="dxa"/>
            <w:tcBorders>
              <w:top w:val="nil"/>
              <w:left w:val="nil"/>
              <w:bottom w:val="single" w:sz="4" w:space="0" w:color="auto"/>
              <w:right w:val="single" w:sz="4" w:space="0" w:color="auto"/>
            </w:tcBorders>
            <w:noWrap/>
            <w:vAlign w:val="center"/>
            <w:hideMark/>
          </w:tcPr>
          <w:p w14:paraId="445C2F9B"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75%</w:t>
            </w:r>
          </w:p>
        </w:tc>
        <w:tc>
          <w:tcPr>
            <w:tcW w:w="709" w:type="dxa"/>
            <w:tcBorders>
              <w:top w:val="nil"/>
              <w:left w:val="nil"/>
              <w:bottom w:val="single" w:sz="4" w:space="0" w:color="auto"/>
              <w:right w:val="single" w:sz="4" w:space="0" w:color="auto"/>
            </w:tcBorders>
            <w:noWrap/>
            <w:vAlign w:val="center"/>
            <w:hideMark/>
          </w:tcPr>
          <w:p w14:paraId="1F9B323D"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35%</w:t>
            </w:r>
          </w:p>
        </w:tc>
        <w:tc>
          <w:tcPr>
            <w:tcW w:w="709" w:type="dxa"/>
            <w:tcBorders>
              <w:top w:val="nil"/>
              <w:left w:val="nil"/>
              <w:bottom w:val="single" w:sz="4" w:space="0" w:color="auto"/>
              <w:right w:val="single" w:sz="4" w:space="0" w:color="auto"/>
            </w:tcBorders>
            <w:noWrap/>
            <w:vAlign w:val="center"/>
            <w:hideMark/>
          </w:tcPr>
          <w:p w14:paraId="1FE31B57"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0%</w:t>
            </w:r>
          </w:p>
        </w:tc>
        <w:tc>
          <w:tcPr>
            <w:tcW w:w="709" w:type="dxa"/>
            <w:tcBorders>
              <w:top w:val="nil"/>
              <w:left w:val="nil"/>
              <w:bottom w:val="single" w:sz="4" w:space="0" w:color="auto"/>
              <w:right w:val="single" w:sz="4" w:space="0" w:color="auto"/>
            </w:tcBorders>
            <w:noWrap/>
            <w:vAlign w:val="center"/>
            <w:hideMark/>
          </w:tcPr>
          <w:p w14:paraId="669C8F87"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0%</w:t>
            </w:r>
          </w:p>
        </w:tc>
        <w:tc>
          <w:tcPr>
            <w:tcW w:w="709" w:type="dxa"/>
            <w:tcBorders>
              <w:top w:val="nil"/>
              <w:left w:val="nil"/>
              <w:bottom w:val="single" w:sz="4" w:space="0" w:color="auto"/>
              <w:right w:val="single" w:sz="4" w:space="0" w:color="auto"/>
            </w:tcBorders>
            <w:noWrap/>
            <w:vAlign w:val="center"/>
            <w:hideMark/>
          </w:tcPr>
          <w:p w14:paraId="1F3B0D5B"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0%</w:t>
            </w:r>
          </w:p>
        </w:tc>
        <w:tc>
          <w:tcPr>
            <w:tcW w:w="709" w:type="dxa"/>
            <w:tcBorders>
              <w:top w:val="nil"/>
              <w:left w:val="nil"/>
              <w:bottom w:val="single" w:sz="4" w:space="0" w:color="auto"/>
              <w:right w:val="single" w:sz="4" w:space="0" w:color="auto"/>
            </w:tcBorders>
            <w:noWrap/>
            <w:vAlign w:val="center"/>
            <w:hideMark/>
          </w:tcPr>
          <w:p w14:paraId="377C1155"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0%</w:t>
            </w:r>
          </w:p>
        </w:tc>
        <w:tc>
          <w:tcPr>
            <w:tcW w:w="709" w:type="dxa"/>
            <w:tcBorders>
              <w:top w:val="nil"/>
              <w:left w:val="nil"/>
              <w:bottom w:val="single" w:sz="4" w:space="0" w:color="auto"/>
              <w:right w:val="single" w:sz="4" w:space="0" w:color="auto"/>
            </w:tcBorders>
            <w:noWrap/>
            <w:vAlign w:val="center"/>
            <w:hideMark/>
          </w:tcPr>
          <w:p w14:paraId="2DB1C957"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0%</w:t>
            </w:r>
          </w:p>
        </w:tc>
        <w:tc>
          <w:tcPr>
            <w:tcW w:w="709" w:type="dxa"/>
            <w:tcBorders>
              <w:top w:val="nil"/>
              <w:left w:val="nil"/>
              <w:bottom w:val="single" w:sz="4" w:space="0" w:color="auto"/>
              <w:right w:val="single" w:sz="4" w:space="0" w:color="auto"/>
            </w:tcBorders>
            <w:hideMark/>
          </w:tcPr>
          <w:p w14:paraId="1885D1D2" w14:textId="77777777" w:rsidR="007968EC" w:rsidRDefault="007968EC" w:rsidP="007968EC">
            <w:pPr>
              <w:spacing w:line="256" w:lineRule="auto"/>
              <w:jc w:val="center"/>
              <w:rPr>
                <w:rFonts w:ascii="Arial Narrow" w:eastAsia="Calibri" w:hAnsi="Arial Narrow"/>
                <w:color w:val="000000"/>
                <w:lang w:eastAsia="es-CO"/>
              </w:rPr>
            </w:pPr>
            <w:r>
              <w:rPr>
                <w:rFonts w:ascii="Arial Narrow" w:eastAsia="Calibri" w:hAnsi="Arial Narrow"/>
                <w:color w:val="000000"/>
                <w:lang w:eastAsia="es-CO"/>
              </w:rPr>
              <w:t>0%</w:t>
            </w:r>
          </w:p>
        </w:tc>
      </w:tr>
      <w:tr w:rsidR="007968EC" w14:paraId="1586142B" w14:textId="77777777" w:rsidTr="007968EC">
        <w:trPr>
          <w:trHeight w:val="162"/>
          <w:jc w:val="center"/>
        </w:trPr>
        <w:tc>
          <w:tcPr>
            <w:tcW w:w="1271" w:type="dxa"/>
            <w:tcBorders>
              <w:top w:val="nil"/>
              <w:left w:val="single" w:sz="4" w:space="0" w:color="auto"/>
              <w:bottom w:val="single" w:sz="4" w:space="0" w:color="auto"/>
              <w:right w:val="single" w:sz="4" w:space="0" w:color="auto"/>
            </w:tcBorders>
            <w:noWrap/>
            <w:vAlign w:val="center"/>
            <w:hideMark/>
          </w:tcPr>
          <w:p w14:paraId="03914D68"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H2</w:t>
            </w:r>
          </w:p>
        </w:tc>
        <w:tc>
          <w:tcPr>
            <w:tcW w:w="709" w:type="dxa"/>
            <w:shd w:val="clear" w:color="auto" w:fill="BFBFBF"/>
            <w:noWrap/>
            <w:vAlign w:val="center"/>
            <w:hideMark/>
          </w:tcPr>
          <w:p w14:paraId="78533897" w14:textId="77777777" w:rsidR="007968EC" w:rsidRDefault="007968EC" w:rsidP="007968EC">
            <w:pPr>
              <w:rPr>
                <w:rFonts w:ascii="Arial Narrow" w:eastAsia="Calibri" w:hAnsi="Arial Narrow"/>
                <w:b/>
                <w:color w:val="000000"/>
                <w:lang w:eastAsia="es-CO"/>
              </w:rPr>
            </w:pPr>
          </w:p>
        </w:tc>
        <w:tc>
          <w:tcPr>
            <w:tcW w:w="709" w:type="dxa"/>
            <w:tcBorders>
              <w:top w:val="nil"/>
              <w:left w:val="single" w:sz="4" w:space="0" w:color="auto"/>
              <w:bottom w:val="single" w:sz="4" w:space="0" w:color="auto"/>
              <w:right w:val="single" w:sz="4" w:space="0" w:color="auto"/>
            </w:tcBorders>
            <w:noWrap/>
            <w:vAlign w:val="center"/>
            <w:hideMark/>
          </w:tcPr>
          <w:p w14:paraId="2BAEE055"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60%</w:t>
            </w:r>
          </w:p>
        </w:tc>
        <w:tc>
          <w:tcPr>
            <w:tcW w:w="709" w:type="dxa"/>
            <w:tcBorders>
              <w:top w:val="nil"/>
              <w:left w:val="nil"/>
              <w:bottom w:val="single" w:sz="4" w:space="0" w:color="auto"/>
              <w:right w:val="single" w:sz="4" w:space="0" w:color="auto"/>
            </w:tcBorders>
            <w:noWrap/>
            <w:vAlign w:val="center"/>
            <w:hideMark/>
          </w:tcPr>
          <w:p w14:paraId="6EE0F0DF"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0%</w:t>
            </w:r>
          </w:p>
        </w:tc>
        <w:tc>
          <w:tcPr>
            <w:tcW w:w="709" w:type="dxa"/>
            <w:tcBorders>
              <w:top w:val="nil"/>
              <w:left w:val="nil"/>
              <w:bottom w:val="single" w:sz="4" w:space="0" w:color="auto"/>
              <w:right w:val="single" w:sz="4" w:space="0" w:color="auto"/>
            </w:tcBorders>
            <w:noWrap/>
            <w:vAlign w:val="center"/>
            <w:hideMark/>
          </w:tcPr>
          <w:p w14:paraId="46858C9A"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0%</w:t>
            </w:r>
          </w:p>
        </w:tc>
        <w:tc>
          <w:tcPr>
            <w:tcW w:w="709" w:type="dxa"/>
            <w:tcBorders>
              <w:top w:val="nil"/>
              <w:left w:val="nil"/>
              <w:bottom w:val="single" w:sz="4" w:space="0" w:color="auto"/>
              <w:right w:val="single" w:sz="4" w:space="0" w:color="auto"/>
            </w:tcBorders>
            <w:noWrap/>
            <w:vAlign w:val="center"/>
            <w:hideMark/>
          </w:tcPr>
          <w:p w14:paraId="0C6FD7E0"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0%</w:t>
            </w:r>
          </w:p>
        </w:tc>
        <w:tc>
          <w:tcPr>
            <w:tcW w:w="709" w:type="dxa"/>
            <w:tcBorders>
              <w:top w:val="nil"/>
              <w:left w:val="nil"/>
              <w:bottom w:val="single" w:sz="4" w:space="0" w:color="auto"/>
              <w:right w:val="single" w:sz="4" w:space="0" w:color="auto"/>
            </w:tcBorders>
            <w:noWrap/>
            <w:vAlign w:val="center"/>
            <w:hideMark/>
          </w:tcPr>
          <w:p w14:paraId="39B95D61"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0%</w:t>
            </w:r>
          </w:p>
        </w:tc>
        <w:tc>
          <w:tcPr>
            <w:tcW w:w="709" w:type="dxa"/>
            <w:tcBorders>
              <w:top w:val="nil"/>
              <w:left w:val="nil"/>
              <w:bottom w:val="single" w:sz="4" w:space="0" w:color="auto"/>
              <w:right w:val="single" w:sz="4" w:space="0" w:color="auto"/>
            </w:tcBorders>
            <w:noWrap/>
            <w:vAlign w:val="center"/>
            <w:hideMark/>
          </w:tcPr>
          <w:p w14:paraId="17402423"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0%</w:t>
            </w:r>
          </w:p>
        </w:tc>
        <w:tc>
          <w:tcPr>
            <w:tcW w:w="709" w:type="dxa"/>
            <w:tcBorders>
              <w:top w:val="nil"/>
              <w:left w:val="nil"/>
              <w:bottom w:val="single" w:sz="4" w:space="0" w:color="auto"/>
              <w:right w:val="single" w:sz="4" w:space="0" w:color="auto"/>
            </w:tcBorders>
            <w:hideMark/>
          </w:tcPr>
          <w:p w14:paraId="12B71AA6" w14:textId="77777777" w:rsidR="007968EC" w:rsidRDefault="007968EC" w:rsidP="007968EC">
            <w:pPr>
              <w:spacing w:line="256" w:lineRule="auto"/>
              <w:jc w:val="center"/>
              <w:rPr>
                <w:rFonts w:ascii="Arial Narrow" w:eastAsia="Calibri" w:hAnsi="Arial Narrow"/>
                <w:color w:val="000000"/>
                <w:lang w:eastAsia="es-CO"/>
              </w:rPr>
            </w:pPr>
            <w:r>
              <w:rPr>
                <w:rFonts w:ascii="Arial Narrow" w:eastAsia="Calibri" w:hAnsi="Arial Narrow"/>
                <w:color w:val="000000"/>
                <w:lang w:eastAsia="es-CO"/>
              </w:rPr>
              <w:t>0%</w:t>
            </w:r>
          </w:p>
        </w:tc>
      </w:tr>
      <w:tr w:rsidR="007968EC" w14:paraId="429CF1C9" w14:textId="77777777" w:rsidTr="007968EC">
        <w:trPr>
          <w:trHeight w:val="162"/>
          <w:jc w:val="center"/>
        </w:trPr>
        <w:tc>
          <w:tcPr>
            <w:tcW w:w="1271" w:type="dxa"/>
            <w:tcBorders>
              <w:top w:val="nil"/>
              <w:left w:val="single" w:sz="4" w:space="0" w:color="auto"/>
              <w:bottom w:val="single" w:sz="4" w:space="0" w:color="auto"/>
              <w:right w:val="single" w:sz="4" w:space="0" w:color="auto"/>
            </w:tcBorders>
            <w:noWrap/>
            <w:vAlign w:val="center"/>
            <w:hideMark/>
          </w:tcPr>
          <w:p w14:paraId="53C0827F"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H3</w:t>
            </w:r>
          </w:p>
        </w:tc>
        <w:tc>
          <w:tcPr>
            <w:tcW w:w="709" w:type="dxa"/>
            <w:shd w:val="clear" w:color="auto" w:fill="BFBFBF"/>
            <w:noWrap/>
            <w:vAlign w:val="center"/>
            <w:hideMark/>
          </w:tcPr>
          <w:p w14:paraId="1B5B29EA" w14:textId="77777777" w:rsidR="007968EC" w:rsidRDefault="007968EC" w:rsidP="007968EC">
            <w:pPr>
              <w:rPr>
                <w:rFonts w:ascii="Arial Narrow" w:eastAsia="Calibri" w:hAnsi="Arial Narrow"/>
                <w:b/>
                <w:color w:val="000000"/>
                <w:lang w:eastAsia="es-CO"/>
              </w:rPr>
            </w:pPr>
          </w:p>
        </w:tc>
        <w:tc>
          <w:tcPr>
            <w:tcW w:w="709" w:type="dxa"/>
            <w:shd w:val="clear" w:color="auto" w:fill="BFBFBF"/>
            <w:noWrap/>
            <w:vAlign w:val="center"/>
            <w:hideMark/>
          </w:tcPr>
          <w:p w14:paraId="1363BF71" w14:textId="77777777" w:rsidR="007968EC" w:rsidRDefault="007968EC" w:rsidP="007968EC">
            <w:pPr>
              <w:spacing w:line="256" w:lineRule="auto"/>
              <w:rPr>
                <w:rFonts w:asciiTheme="minorHAnsi" w:eastAsiaTheme="minorHAnsi" w:hAnsiTheme="minorHAnsi" w:cstheme="minorBidi"/>
                <w:sz w:val="20"/>
                <w:szCs w:val="20"/>
                <w:lang w:eastAsia="es-CO"/>
              </w:rPr>
            </w:pPr>
          </w:p>
        </w:tc>
        <w:tc>
          <w:tcPr>
            <w:tcW w:w="709" w:type="dxa"/>
            <w:tcBorders>
              <w:top w:val="nil"/>
              <w:left w:val="single" w:sz="4" w:space="0" w:color="auto"/>
              <w:bottom w:val="single" w:sz="4" w:space="0" w:color="auto"/>
              <w:right w:val="single" w:sz="4" w:space="0" w:color="auto"/>
            </w:tcBorders>
            <w:noWrap/>
            <w:vAlign w:val="center"/>
            <w:hideMark/>
          </w:tcPr>
          <w:p w14:paraId="74B405D3"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60%</w:t>
            </w:r>
          </w:p>
        </w:tc>
        <w:tc>
          <w:tcPr>
            <w:tcW w:w="709" w:type="dxa"/>
            <w:tcBorders>
              <w:top w:val="nil"/>
              <w:left w:val="nil"/>
              <w:bottom w:val="single" w:sz="4" w:space="0" w:color="auto"/>
              <w:right w:val="single" w:sz="4" w:space="0" w:color="auto"/>
            </w:tcBorders>
            <w:noWrap/>
            <w:vAlign w:val="center"/>
            <w:hideMark/>
          </w:tcPr>
          <w:p w14:paraId="39505D33"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45%</w:t>
            </w:r>
          </w:p>
        </w:tc>
        <w:tc>
          <w:tcPr>
            <w:tcW w:w="709" w:type="dxa"/>
            <w:tcBorders>
              <w:top w:val="nil"/>
              <w:left w:val="nil"/>
              <w:bottom w:val="single" w:sz="4" w:space="0" w:color="auto"/>
              <w:right w:val="single" w:sz="4" w:space="0" w:color="auto"/>
            </w:tcBorders>
            <w:noWrap/>
            <w:vAlign w:val="center"/>
            <w:hideMark/>
          </w:tcPr>
          <w:p w14:paraId="5B143695"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35%</w:t>
            </w:r>
          </w:p>
        </w:tc>
        <w:tc>
          <w:tcPr>
            <w:tcW w:w="709" w:type="dxa"/>
            <w:tcBorders>
              <w:top w:val="nil"/>
              <w:left w:val="nil"/>
              <w:bottom w:val="single" w:sz="4" w:space="0" w:color="auto"/>
              <w:right w:val="single" w:sz="4" w:space="0" w:color="auto"/>
            </w:tcBorders>
            <w:noWrap/>
            <w:vAlign w:val="center"/>
            <w:hideMark/>
          </w:tcPr>
          <w:p w14:paraId="317ECFCA"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15%</w:t>
            </w:r>
          </w:p>
        </w:tc>
        <w:tc>
          <w:tcPr>
            <w:tcW w:w="709" w:type="dxa"/>
            <w:tcBorders>
              <w:top w:val="nil"/>
              <w:left w:val="nil"/>
              <w:bottom w:val="single" w:sz="4" w:space="0" w:color="auto"/>
              <w:right w:val="single" w:sz="4" w:space="0" w:color="auto"/>
            </w:tcBorders>
            <w:noWrap/>
            <w:vAlign w:val="center"/>
            <w:hideMark/>
          </w:tcPr>
          <w:p w14:paraId="68F6542B"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0%</w:t>
            </w:r>
          </w:p>
        </w:tc>
        <w:tc>
          <w:tcPr>
            <w:tcW w:w="709" w:type="dxa"/>
            <w:tcBorders>
              <w:top w:val="nil"/>
              <w:left w:val="nil"/>
              <w:bottom w:val="single" w:sz="4" w:space="0" w:color="auto"/>
              <w:right w:val="single" w:sz="4" w:space="0" w:color="auto"/>
            </w:tcBorders>
            <w:hideMark/>
          </w:tcPr>
          <w:p w14:paraId="4D07E304" w14:textId="77777777" w:rsidR="007968EC" w:rsidRDefault="007968EC" w:rsidP="007968EC">
            <w:pPr>
              <w:spacing w:line="256" w:lineRule="auto"/>
              <w:jc w:val="center"/>
              <w:rPr>
                <w:rFonts w:ascii="Arial Narrow" w:eastAsia="Calibri" w:hAnsi="Arial Narrow"/>
                <w:color w:val="000000"/>
                <w:lang w:eastAsia="es-CO"/>
              </w:rPr>
            </w:pPr>
            <w:r>
              <w:rPr>
                <w:rFonts w:ascii="Arial Narrow" w:eastAsia="Calibri" w:hAnsi="Arial Narrow"/>
                <w:color w:val="000000"/>
                <w:lang w:eastAsia="es-CO"/>
              </w:rPr>
              <w:t>0%</w:t>
            </w:r>
          </w:p>
        </w:tc>
      </w:tr>
      <w:tr w:rsidR="007968EC" w14:paraId="2AFB5937" w14:textId="77777777" w:rsidTr="007968EC">
        <w:trPr>
          <w:trHeight w:val="162"/>
          <w:jc w:val="center"/>
        </w:trPr>
        <w:tc>
          <w:tcPr>
            <w:tcW w:w="1271" w:type="dxa"/>
            <w:tcBorders>
              <w:top w:val="nil"/>
              <w:left w:val="single" w:sz="4" w:space="0" w:color="auto"/>
              <w:bottom w:val="single" w:sz="4" w:space="0" w:color="auto"/>
              <w:right w:val="single" w:sz="4" w:space="0" w:color="auto"/>
            </w:tcBorders>
            <w:noWrap/>
            <w:vAlign w:val="center"/>
            <w:hideMark/>
          </w:tcPr>
          <w:p w14:paraId="19F483FD"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H4</w:t>
            </w:r>
          </w:p>
        </w:tc>
        <w:tc>
          <w:tcPr>
            <w:tcW w:w="709" w:type="dxa"/>
            <w:shd w:val="clear" w:color="auto" w:fill="BFBFBF"/>
            <w:noWrap/>
            <w:vAlign w:val="center"/>
            <w:hideMark/>
          </w:tcPr>
          <w:p w14:paraId="54783DD3" w14:textId="77777777" w:rsidR="007968EC" w:rsidRDefault="007968EC" w:rsidP="007968EC">
            <w:pPr>
              <w:rPr>
                <w:rFonts w:ascii="Arial Narrow" w:eastAsia="Calibri" w:hAnsi="Arial Narrow"/>
                <w:b/>
                <w:color w:val="000000"/>
                <w:lang w:eastAsia="es-CO"/>
              </w:rPr>
            </w:pPr>
          </w:p>
        </w:tc>
        <w:tc>
          <w:tcPr>
            <w:tcW w:w="709" w:type="dxa"/>
            <w:shd w:val="clear" w:color="auto" w:fill="BFBFBF"/>
            <w:noWrap/>
            <w:vAlign w:val="center"/>
            <w:hideMark/>
          </w:tcPr>
          <w:p w14:paraId="23E8BB58" w14:textId="77777777" w:rsidR="007968EC" w:rsidRDefault="007968EC" w:rsidP="007968EC">
            <w:pPr>
              <w:spacing w:line="256" w:lineRule="auto"/>
              <w:rPr>
                <w:rFonts w:asciiTheme="minorHAnsi" w:eastAsiaTheme="minorHAnsi" w:hAnsiTheme="minorHAnsi" w:cstheme="minorBidi"/>
                <w:sz w:val="20"/>
                <w:szCs w:val="20"/>
                <w:lang w:eastAsia="es-CO"/>
              </w:rPr>
            </w:pPr>
          </w:p>
        </w:tc>
        <w:tc>
          <w:tcPr>
            <w:tcW w:w="709" w:type="dxa"/>
            <w:shd w:val="clear" w:color="auto" w:fill="BFBFBF"/>
            <w:noWrap/>
            <w:vAlign w:val="center"/>
            <w:hideMark/>
          </w:tcPr>
          <w:p w14:paraId="3267E3D4" w14:textId="77777777" w:rsidR="007968EC" w:rsidRDefault="007968EC" w:rsidP="007968EC">
            <w:pPr>
              <w:spacing w:line="256" w:lineRule="auto"/>
              <w:rPr>
                <w:rFonts w:asciiTheme="minorHAnsi" w:eastAsiaTheme="minorHAnsi" w:hAnsiTheme="minorHAnsi" w:cstheme="minorBidi"/>
                <w:sz w:val="20"/>
                <w:szCs w:val="20"/>
                <w:lang w:eastAsia="es-CO"/>
              </w:rPr>
            </w:pPr>
          </w:p>
        </w:tc>
        <w:tc>
          <w:tcPr>
            <w:tcW w:w="709" w:type="dxa"/>
            <w:tcBorders>
              <w:top w:val="nil"/>
              <w:left w:val="single" w:sz="4" w:space="0" w:color="auto"/>
              <w:bottom w:val="single" w:sz="4" w:space="0" w:color="auto"/>
              <w:right w:val="single" w:sz="4" w:space="0" w:color="auto"/>
            </w:tcBorders>
            <w:noWrap/>
            <w:vAlign w:val="center"/>
            <w:hideMark/>
          </w:tcPr>
          <w:p w14:paraId="569C1315"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75%</w:t>
            </w:r>
          </w:p>
        </w:tc>
        <w:tc>
          <w:tcPr>
            <w:tcW w:w="709" w:type="dxa"/>
            <w:tcBorders>
              <w:top w:val="nil"/>
              <w:left w:val="nil"/>
              <w:bottom w:val="single" w:sz="4" w:space="0" w:color="auto"/>
              <w:right w:val="single" w:sz="4" w:space="0" w:color="auto"/>
            </w:tcBorders>
            <w:noWrap/>
            <w:vAlign w:val="center"/>
            <w:hideMark/>
          </w:tcPr>
          <w:p w14:paraId="3C94E904"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75%</w:t>
            </w:r>
          </w:p>
        </w:tc>
        <w:tc>
          <w:tcPr>
            <w:tcW w:w="709" w:type="dxa"/>
            <w:tcBorders>
              <w:top w:val="nil"/>
              <w:left w:val="nil"/>
              <w:bottom w:val="single" w:sz="4" w:space="0" w:color="auto"/>
              <w:right w:val="single" w:sz="4" w:space="0" w:color="auto"/>
            </w:tcBorders>
            <w:noWrap/>
            <w:vAlign w:val="center"/>
            <w:hideMark/>
          </w:tcPr>
          <w:p w14:paraId="37BC16DF"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70%</w:t>
            </w:r>
          </w:p>
        </w:tc>
        <w:tc>
          <w:tcPr>
            <w:tcW w:w="709" w:type="dxa"/>
            <w:tcBorders>
              <w:top w:val="nil"/>
              <w:left w:val="nil"/>
              <w:bottom w:val="single" w:sz="4" w:space="0" w:color="auto"/>
              <w:right w:val="single" w:sz="4" w:space="0" w:color="auto"/>
            </w:tcBorders>
            <w:noWrap/>
            <w:vAlign w:val="center"/>
            <w:hideMark/>
          </w:tcPr>
          <w:p w14:paraId="45C62960"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60%</w:t>
            </w:r>
          </w:p>
        </w:tc>
        <w:tc>
          <w:tcPr>
            <w:tcW w:w="709" w:type="dxa"/>
            <w:tcBorders>
              <w:top w:val="nil"/>
              <w:left w:val="nil"/>
              <w:bottom w:val="single" w:sz="4" w:space="0" w:color="auto"/>
              <w:right w:val="single" w:sz="4" w:space="0" w:color="auto"/>
            </w:tcBorders>
            <w:hideMark/>
          </w:tcPr>
          <w:p w14:paraId="5E2E22D6" w14:textId="77777777" w:rsidR="007968EC" w:rsidRDefault="007968EC" w:rsidP="007968EC">
            <w:pPr>
              <w:spacing w:line="256" w:lineRule="auto"/>
              <w:jc w:val="center"/>
              <w:rPr>
                <w:rFonts w:ascii="Arial Narrow" w:eastAsia="Calibri" w:hAnsi="Arial Narrow"/>
                <w:color w:val="000000"/>
                <w:lang w:eastAsia="es-CO"/>
              </w:rPr>
            </w:pPr>
            <w:r>
              <w:rPr>
                <w:rFonts w:ascii="Arial Narrow" w:eastAsia="Calibri" w:hAnsi="Arial Narrow"/>
                <w:color w:val="000000"/>
                <w:lang w:eastAsia="es-CO"/>
              </w:rPr>
              <w:t>50%</w:t>
            </w:r>
          </w:p>
        </w:tc>
      </w:tr>
      <w:tr w:rsidR="007968EC" w14:paraId="72C45B8E" w14:textId="77777777" w:rsidTr="007968EC">
        <w:trPr>
          <w:trHeight w:val="162"/>
          <w:jc w:val="center"/>
        </w:trPr>
        <w:tc>
          <w:tcPr>
            <w:tcW w:w="1271" w:type="dxa"/>
            <w:tcBorders>
              <w:top w:val="nil"/>
              <w:left w:val="single" w:sz="4" w:space="0" w:color="auto"/>
              <w:bottom w:val="single" w:sz="4" w:space="0" w:color="auto"/>
              <w:right w:val="single" w:sz="4" w:space="0" w:color="auto"/>
            </w:tcBorders>
            <w:noWrap/>
            <w:vAlign w:val="center"/>
            <w:hideMark/>
          </w:tcPr>
          <w:p w14:paraId="079A54EC"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H5</w:t>
            </w:r>
          </w:p>
        </w:tc>
        <w:tc>
          <w:tcPr>
            <w:tcW w:w="709" w:type="dxa"/>
            <w:shd w:val="clear" w:color="auto" w:fill="BFBFBF"/>
            <w:noWrap/>
            <w:vAlign w:val="center"/>
            <w:hideMark/>
          </w:tcPr>
          <w:p w14:paraId="46B88F37" w14:textId="77777777" w:rsidR="007968EC" w:rsidRDefault="007968EC" w:rsidP="007968EC">
            <w:pPr>
              <w:rPr>
                <w:rFonts w:ascii="Arial Narrow" w:eastAsia="Calibri" w:hAnsi="Arial Narrow"/>
                <w:b/>
                <w:color w:val="000000"/>
                <w:lang w:eastAsia="es-CO"/>
              </w:rPr>
            </w:pPr>
          </w:p>
        </w:tc>
        <w:tc>
          <w:tcPr>
            <w:tcW w:w="709" w:type="dxa"/>
            <w:shd w:val="clear" w:color="auto" w:fill="BFBFBF"/>
            <w:noWrap/>
            <w:vAlign w:val="center"/>
            <w:hideMark/>
          </w:tcPr>
          <w:p w14:paraId="315B14A3" w14:textId="77777777" w:rsidR="007968EC" w:rsidRDefault="007968EC" w:rsidP="007968EC">
            <w:pPr>
              <w:spacing w:line="256" w:lineRule="auto"/>
              <w:rPr>
                <w:rFonts w:asciiTheme="minorHAnsi" w:eastAsiaTheme="minorHAnsi" w:hAnsiTheme="minorHAnsi" w:cstheme="minorBidi"/>
                <w:sz w:val="20"/>
                <w:szCs w:val="20"/>
                <w:lang w:eastAsia="es-CO"/>
              </w:rPr>
            </w:pPr>
          </w:p>
        </w:tc>
        <w:tc>
          <w:tcPr>
            <w:tcW w:w="709" w:type="dxa"/>
            <w:shd w:val="clear" w:color="auto" w:fill="BFBFBF"/>
            <w:noWrap/>
            <w:vAlign w:val="center"/>
            <w:hideMark/>
          </w:tcPr>
          <w:p w14:paraId="0E337B06" w14:textId="77777777" w:rsidR="007968EC" w:rsidRDefault="007968EC" w:rsidP="007968EC">
            <w:pPr>
              <w:spacing w:line="256" w:lineRule="auto"/>
              <w:rPr>
                <w:rFonts w:asciiTheme="minorHAnsi" w:eastAsiaTheme="minorHAnsi" w:hAnsiTheme="minorHAnsi" w:cstheme="minorBidi"/>
                <w:sz w:val="20"/>
                <w:szCs w:val="20"/>
                <w:lang w:eastAsia="es-CO"/>
              </w:rPr>
            </w:pPr>
          </w:p>
        </w:tc>
        <w:tc>
          <w:tcPr>
            <w:tcW w:w="709" w:type="dxa"/>
            <w:shd w:val="clear" w:color="auto" w:fill="BFBFBF"/>
            <w:noWrap/>
            <w:vAlign w:val="center"/>
            <w:hideMark/>
          </w:tcPr>
          <w:p w14:paraId="6803456E" w14:textId="77777777" w:rsidR="007968EC" w:rsidRDefault="007968EC" w:rsidP="007968EC">
            <w:pPr>
              <w:spacing w:line="256" w:lineRule="auto"/>
              <w:rPr>
                <w:rFonts w:asciiTheme="minorHAnsi" w:eastAsiaTheme="minorHAnsi" w:hAnsiTheme="minorHAnsi" w:cstheme="minorBidi"/>
                <w:sz w:val="20"/>
                <w:szCs w:val="20"/>
                <w:lang w:eastAsia="es-CO"/>
              </w:rPr>
            </w:pPr>
          </w:p>
        </w:tc>
        <w:tc>
          <w:tcPr>
            <w:tcW w:w="709" w:type="dxa"/>
            <w:tcBorders>
              <w:top w:val="nil"/>
              <w:left w:val="single" w:sz="4" w:space="0" w:color="auto"/>
              <w:bottom w:val="single" w:sz="4" w:space="0" w:color="auto"/>
              <w:right w:val="single" w:sz="4" w:space="0" w:color="auto"/>
            </w:tcBorders>
            <w:noWrap/>
            <w:vAlign w:val="center"/>
            <w:hideMark/>
          </w:tcPr>
          <w:p w14:paraId="608B8C43"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80%</w:t>
            </w:r>
          </w:p>
        </w:tc>
        <w:tc>
          <w:tcPr>
            <w:tcW w:w="709" w:type="dxa"/>
            <w:tcBorders>
              <w:top w:val="nil"/>
              <w:left w:val="nil"/>
              <w:bottom w:val="single" w:sz="4" w:space="0" w:color="auto"/>
              <w:right w:val="single" w:sz="4" w:space="0" w:color="auto"/>
            </w:tcBorders>
            <w:noWrap/>
            <w:vAlign w:val="center"/>
            <w:hideMark/>
          </w:tcPr>
          <w:p w14:paraId="6490D77B"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75%</w:t>
            </w:r>
          </w:p>
        </w:tc>
        <w:tc>
          <w:tcPr>
            <w:tcW w:w="709" w:type="dxa"/>
            <w:tcBorders>
              <w:top w:val="nil"/>
              <w:left w:val="nil"/>
              <w:bottom w:val="single" w:sz="4" w:space="0" w:color="auto"/>
              <w:right w:val="single" w:sz="4" w:space="0" w:color="auto"/>
            </w:tcBorders>
            <w:noWrap/>
            <w:vAlign w:val="center"/>
            <w:hideMark/>
          </w:tcPr>
          <w:p w14:paraId="23A76E2A"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70%</w:t>
            </w:r>
          </w:p>
        </w:tc>
        <w:tc>
          <w:tcPr>
            <w:tcW w:w="709" w:type="dxa"/>
            <w:tcBorders>
              <w:top w:val="nil"/>
              <w:left w:val="nil"/>
              <w:bottom w:val="single" w:sz="4" w:space="0" w:color="auto"/>
              <w:right w:val="single" w:sz="4" w:space="0" w:color="auto"/>
            </w:tcBorders>
            <w:hideMark/>
          </w:tcPr>
          <w:p w14:paraId="693A0AFC" w14:textId="77777777" w:rsidR="007968EC" w:rsidRDefault="007968EC" w:rsidP="007968EC">
            <w:pPr>
              <w:spacing w:line="256" w:lineRule="auto"/>
              <w:jc w:val="center"/>
              <w:rPr>
                <w:rFonts w:ascii="Arial Narrow" w:eastAsia="Calibri" w:hAnsi="Arial Narrow"/>
                <w:color w:val="000000"/>
                <w:lang w:eastAsia="es-CO"/>
              </w:rPr>
            </w:pPr>
            <w:r>
              <w:rPr>
                <w:rFonts w:ascii="Arial Narrow" w:eastAsia="Calibri" w:hAnsi="Arial Narrow"/>
                <w:color w:val="000000"/>
                <w:lang w:eastAsia="es-CO"/>
              </w:rPr>
              <w:t>65%</w:t>
            </w:r>
          </w:p>
        </w:tc>
      </w:tr>
      <w:tr w:rsidR="007968EC" w14:paraId="1C8EE02A" w14:textId="77777777" w:rsidTr="007968EC">
        <w:trPr>
          <w:trHeight w:val="162"/>
          <w:jc w:val="center"/>
        </w:trPr>
        <w:tc>
          <w:tcPr>
            <w:tcW w:w="1271" w:type="dxa"/>
            <w:tcBorders>
              <w:top w:val="nil"/>
              <w:left w:val="single" w:sz="4" w:space="0" w:color="auto"/>
              <w:bottom w:val="single" w:sz="4" w:space="0" w:color="auto"/>
              <w:right w:val="single" w:sz="4" w:space="0" w:color="auto"/>
            </w:tcBorders>
            <w:noWrap/>
            <w:vAlign w:val="center"/>
            <w:hideMark/>
          </w:tcPr>
          <w:p w14:paraId="71F95A02"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H6</w:t>
            </w:r>
          </w:p>
        </w:tc>
        <w:tc>
          <w:tcPr>
            <w:tcW w:w="709" w:type="dxa"/>
            <w:shd w:val="clear" w:color="auto" w:fill="BFBFBF"/>
            <w:noWrap/>
            <w:vAlign w:val="center"/>
            <w:hideMark/>
          </w:tcPr>
          <w:p w14:paraId="05FEEFA6" w14:textId="77777777" w:rsidR="007968EC" w:rsidRDefault="007968EC" w:rsidP="007968EC">
            <w:pPr>
              <w:rPr>
                <w:rFonts w:ascii="Arial Narrow" w:eastAsia="Calibri" w:hAnsi="Arial Narrow"/>
                <w:b/>
                <w:color w:val="000000"/>
                <w:lang w:eastAsia="es-CO"/>
              </w:rPr>
            </w:pPr>
          </w:p>
        </w:tc>
        <w:tc>
          <w:tcPr>
            <w:tcW w:w="709" w:type="dxa"/>
            <w:shd w:val="clear" w:color="auto" w:fill="BFBFBF"/>
            <w:noWrap/>
            <w:vAlign w:val="center"/>
            <w:hideMark/>
          </w:tcPr>
          <w:p w14:paraId="203C5C98" w14:textId="77777777" w:rsidR="007968EC" w:rsidRDefault="007968EC" w:rsidP="007968EC">
            <w:pPr>
              <w:spacing w:line="256" w:lineRule="auto"/>
              <w:rPr>
                <w:rFonts w:asciiTheme="minorHAnsi" w:eastAsiaTheme="minorHAnsi" w:hAnsiTheme="minorHAnsi" w:cstheme="minorBidi"/>
                <w:sz w:val="20"/>
                <w:szCs w:val="20"/>
                <w:lang w:eastAsia="es-CO"/>
              </w:rPr>
            </w:pPr>
          </w:p>
        </w:tc>
        <w:tc>
          <w:tcPr>
            <w:tcW w:w="709" w:type="dxa"/>
            <w:shd w:val="clear" w:color="auto" w:fill="BFBFBF"/>
            <w:noWrap/>
            <w:vAlign w:val="center"/>
            <w:hideMark/>
          </w:tcPr>
          <w:p w14:paraId="46B8E9EB" w14:textId="77777777" w:rsidR="007968EC" w:rsidRDefault="007968EC" w:rsidP="007968EC">
            <w:pPr>
              <w:spacing w:line="256" w:lineRule="auto"/>
              <w:rPr>
                <w:rFonts w:asciiTheme="minorHAnsi" w:eastAsiaTheme="minorHAnsi" w:hAnsiTheme="minorHAnsi" w:cstheme="minorBidi"/>
                <w:sz w:val="20"/>
                <w:szCs w:val="20"/>
                <w:lang w:eastAsia="es-CO"/>
              </w:rPr>
            </w:pPr>
          </w:p>
        </w:tc>
        <w:tc>
          <w:tcPr>
            <w:tcW w:w="709" w:type="dxa"/>
            <w:shd w:val="clear" w:color="auto" w:fill="BFBFBF"/>
            <w:noWrap/>
            <w:vAlign w:val="center"/>
            <w:hideMark/>
          </w:tcPr>
          <w:p w14:paraId="3EF2A6C6" w14:textId="77777777" w:rsidR="007968EC" w:rsidRDefault="007968EC" w:rsidP="007968EC">
            <w:pPr>
              <w:spacing w:line="256" w:lineRule="auto"/>
              <w:rPr>
                <w:rFonts w:asciiTheme="minorHAnsi" w:eastAsiaTheme="minorHAnsi" w:hAnsiTheme="minorHAnsi" w:cstheme="minorBidi"/>
                <w:sz w:val="20"/>
                <w:szCs w:val="20"/>
                <w:lang w:eastAsia="es-CO"/>
              </w:rPr>
            </w:pPr>
          </w:p>
        </w:tc>
        <w:tc>
          <w:tcPr>
            <w:tcW w:w="709" w:type="dxa"/>
            <w:shd w:val="clear" w:color="auto" w:fill="BFBFBF"/>
            <w:noWrap/>
            <w:vAlign w:val="center"/>
            <w:hideMark/>
          </w:tcPr>
          <w:p w14:paraId="7DF4E1ED" w14:textId="77777777" w:rsidR="007968EC" w:rsidRDefault="007968EC" w:rsidP="007968EC">
            <w:pPr>
              <w:spacing w:line="256" w:lineRule="auto"/>
              <w:rPr>
                <w:rFonts w:asciiTheme="minorHAnsi" w:eastAsiaTheme="minorHAnsi" w:hAnsiTheme="minorHAnsi" w:cstheme="minorBidi"/>
                <w:sz w:val="20"/>
                <w:szCs w:val="20"/>
                <w:lang w:eastAsia="es-CO"/>
              </w:rPr>
            </w:pPr>
          </w:p>
        </w:tc>
        <w:tc>
          <w:tcPr>
            <w:tcW w:w="709" w:type="dxa"/>
            <w:tcBorders>
              <w:top w:val="nil"/>
              <w:left w:val="single" w:sz="4" w:space="0" w:color="auto"/>
              <w:bottom w:val="single" w:sz="4" w:space="0" w:color="auto"/>
              <w:right w:val="single" w:sz="4" w:space="0" w:color="auto"/>
            </w:tcBorders>
            <w:noWrap/>
            <w:vAlign w:val="center"/>
            <w:hideMark/>
          </w:tcPr>
          <w:p w14:paraId="368C45CC"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80%</w:t>
            </w:r>
          </w:p>
        </w:tc>
        <w:tc>
          <w:tcPr>
            <w:tcW w:w="709" w:type="dxa"/>
            <w:tcBorders>
              <w:top w:val="nil"/>
              <w:left w:val="nil"/>
              <w:bottom w:val="single" w:sz="4" w:space="0" w:color="auto"/>
              <w:right w:val="single" w:sz="4" w:space="0" w:color="auto"/>
            </w:tcBorders>
            <w:noWrap/>
            <w:vAlign w:val="center"/>
            <w:hideMark/>
          </w:tcPr>
          <w:p w14:paraId="3E5E70F6"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75%</w:t>
            </w:r>
          </w:p>
        </w:tc>
        <w:tc>
          <w:tcPr>
            <w:tcW w:w="709" w:type="dxa"/>
            <w:tcBorders>
              <w:top w:val="nil"/>
              <w:left w:val="nil"/>
              <w:bottom w:val="single" w:sz="4" w:space="0" w:color="auto"/>
              <w:right w:val="single" w:sz="4" w:space="0" w:color="auto"/>
            </w:tcBorders>
            <w:hideMark/>
          </w:tcPr>
          <w:p w14:paraId="48205CA4" w14:textId="77777777" w:rsidR="007968EC" w:rsidRDefault="007968EC" w:rsidP="007968EC">
            <w:pPr>
              <w:spacing w:line="256" w:lineRule="auto"/>
              <w:jc w:val="center"/>
              <w:rPr>
                <w:rFonts w:ascii="Arial Narrow" w:eastAsia="Calibri" w:hAnsi="Arial Narrow"/>
                <w:color w:val="000000"/>
                <w:lang w:eastAsia="es-CO"/>
              </w:rPr>
            </w:pPr>
            <w:r>
              <w:rPr>
                <w:rFonts w:ascii="Arial Narrow" w:eastAsia="Calibri" w:hAnsi="Arial Narrow"/>
                <w:color w:val="000000"/>
                <w:lang w:eastAsia="es-CO"/>
              </w:rPr>
              <w:t>75%</w:t>
            </w:r>
          </w:p>
        </w:tc>
      </w:tr>
      <w:tr w:rsidR="007968EC" w14:paraId="08306A46" w14:textId="77777777" w:rsidTr="007968EC">
        <w:trPr>
          <w:trHeight w:val="162"/>
          <w:jc w:val="center"/>
        </w:trPr>
        <w:tc>
          <w:tcPr>
            <w:tcW w:w="1271" w:type="dxa"/>
            <w:tcBorders>
              <w:top w:val="single" w:sz="4" w:space="0" w:color="auto"/>
              <w:left w:val="single" w:sz="4" w:space="0" w:color="auto"/>
              <w:bottom w:val="single" w:sz="4" w:space="0" w:color="auto"/>
              <w:right w:val="single" w:sz="4" w:space="0" w:color="auto"/>
            </w:tcBorders>
            <w:noWrap/>
            <w:vAlign w:val="center"/>
            <w:hideMark/>
          </w:tcPr>
          <w:p w14:paraId="303A63E8"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H7</w:t>
            </w:r>
          </w:p>
        </w:tc>
        <w:tc>
          <w:tcPr>
            <w:tcW w:w="709" w:type="dxa"/>
            <w:shd w:val="clear" w:color="auto" w:fill="BFBFBF"/>
            <w:noWrap/>
            <w:vAlign w:val="center"/>
            <w:hideMark/>
          </w:tcPr>
          <w:p w14:paraId="4B177B0B" w14:textId="77777777" w:rsidR="007968EC" w:rsidRDefault="007968EC" w:rsidP="007968EC">
            <w:pPr>
              <w:rPr>
                <w:rFonts w:ascii="Arial Narrow" w:eastAsia="Calibri" w:hAnsi="Arial Narrow"/>
                <w:b/>
                <w:color w:val="000000"/>
                <w:lang w:eastAsia="es-CO"/>
              </w:rPr>
            </w:pPr>
          </w:p>
        </w:tc>
        <w:tc>
          <w:tcPr>
            <w:tcW w:w="709" w:type="dxa"/>
            <w:shd w:val="clear" w:color="auto" w:fill="BFBFBF"/>
            <w:noWrap/>
            <w:vAlign w:val="center"/>
            <w:hideMark/>
          </w:tcPr>
          <w:p w14:paraId="5ED844F0" w14:textId="77777777" w:rsidR="007968EC" w:rsidRDefault="007968EC" w:rsidP="007968EC">
            <w:pPr>
              <w:spacing w:line="256" w:lineRule="auto"/>
              <w:rPr>
                <w:rFonts w:asciiTheme="minorHAnsi" w:eastAsiaTheme="minorHAnsi" w:hAnsiTheme="minorHAnsi" w:cstheme="minorBidi"/>
                <w:sz w:val="20"/>
                <w:szCs w:val="20"/>
                <w:lang w:eastAsia="es-CO"/>
              </w:rPr>
            </w:pPr>
          </w:p>
        </w:tc>
        <w:tc>
          <w:tcPr>
            <w:tcW w:w="709" w:type="dxa"/>
            <w:shd w:val="clear" w:color="auto" w:fill="BFBFBF"/>
            <w:noWrap/>
            <w:vAlign w:val="center"/>
            <w:hideMark/>
          </w:tcPr>
          <w:p w14:paraId="29D99344" w14:textId="77777777" w:rsidR="007968EC" w:rsidRDefault="007968EC" w:rsidP="007968EC">
            <w:pPr>
              <w:spacing w:line="256" w:lineRule="auto"/>
              <w:rPr>
                <w:rFonts w:asciiTheme="minorHAnsi" w:eastAsiaTheme="minorHAnsi" w:hAnsiTheme="minorHAnsi" w:cstheme="minorBidi"/>
                <w:sz w:val="20"/>
                <w:szCs w:val="20"/>
                <w:lang w:eastAsia="es-CO"/>
              </w:rPr>
            </w:pPr>
          </w:p>
        </w:tc>
        <w:tc>
          <w:tcPr>
            <w:tcW w:w="709" w:type="dxa"/>
            <w:shd w:val="clear" w:color="auto" w:fill="BFBFBF"/>
            <w:noWrap/>
            <w:vAlign w:val="center"/>
            <w:hideMark/>
          </w:tcPr>
          <w:p w14:paraId="1AF356A5" w14:textId="77777777" w:rsidR="007968EC" w:rsidRDefault="007968EC" w:rsidP="007968EC">
            <w:pPr>
              <w:spacing w:line="256" w:lineRule="auto"/>
              <w:rPr>
                <w:rFonts w:asciiTheme="minorHAnsi" w:eastAsiaTheme="minorHAnsi" w:hAnsiTheme="minorHAnsi" w:cstheme="minorBidi"/>
                <w:sz w:val="20"/>
                <w:szCs w:val="20"/>
                <w:lang w:eastAsia="es-CO"/>
              </w:rPr>
            </w:pPr>
          </w:p>
        </w:tc>
        <w:tc>
          <w:tcPr>
            <w:tcW w:w="709" w:type="dxa"/>
            <w:shd w:val="clear" w:color="auto" w:fill="BFBFBF"/>
            <w:noWrap/>
            <w:vAlign w:val="center"/>
            <w:hideMark/>
          </w:tcPr>
          <w:p w14:paraId="044FC19A" w14:textId="77777777" w:rsidR="007968EC" w:rsidRDefault="007968EC" w:rsidP="007968EC">
            <w:pPr>
              <w:spacing w:line="256" w:lineRule="auto"/>
              <w:rPr>
                <w:rFonts w:asciiTheme="minorHAnsi" w:eastAsiaTheme="minorHAnsi" w:hAnsiTheme="minorHAnsi" w:cstheme="minorBidi"/>
                <w:sz w:val="20"/>
                <w:szCs w:val="20"/>
                <w:lang w:eastAsia="es-CO"/>
              </w:rPr>
            </w:pPr>
          </w:p>
        </w:tc>
        <w:tc>
          <w:tcPr>
            <w:tcW w:w="709" w:type="dxa"/>
            <w:tcBorders>
              <w:top w:val="nil"/>
              <w:left w:val="nil"/>
              <w:bottom w:val="nil"/>
              <w:right w:val="single" w:sz="4" w:space="0" w:color="auto"/>
            </w:tcBorders>
            <w:shd w:val="clear" w:color="auto" w:fill="BFBFBF"/>
            <w:noWrap/>
            <w:vAlign w:val="center"/>
            <w:hideMark/>
          </w:tcPr>
          <w:p w14:paraId="02C2D344" w14:textId="77777777" w:rsidR="007968EC" w:rsidRDefault="007968EC" w:rsidP="007968EC">
            <w:pPr>
              <w:spacing w:line="256" w:lineRule="auto"/>
              <w:rPr>
                <w:rFonts w:asciiTheme="minorHAnsi" w:eastAsiaTheme="minorHAnsi" w:hAnsiTheme="minorHAnsi" w:cstheme="minorBidi"/>
                <w:sz w:val="20"/>
                <w:szCs w:val="20"/>
                <w:lang w:eastAsia="es-CO"/>
              </w:rPr>
            </w:pPr>
          </w:p>
        </w:tc>
        <w:tc>
          <w:tcPr>
            <w:tcW w:w="709" w:type="dxa"/>
            <w:tcBorders>
              <w:top w:val="single" w:sz="4" w:space="0" w:color="auto"/>
              <w:left w:val="nil"/>
              <w:bottom w:val="single" w:sz="4" w:space="0" w:color="auto"/>
              <w:right w:val="single" w:sz="4" w:space="0" w:color="auto"/>
            </w:tcBorders>
            <w:noWrap/>
            <w:vAlign w:val="center"/>
            <w:hideMark/>
          </w:tcPr>
          <w:p w14:paraId="072F9287"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80%</w:t>
            </w:r>
          </w:p>
        </w:tc>
        <w:tc>
          <w:tcPr>
            <w:tcW w:w="709" w:type="dxa"/>
            <w:tcBorders>
              <w:top w:val="single" w:sz="4" w:space="0" w:color="auto"/>
              <w:left w:val="nil"/>
              <w:bottom w:val="single" w:sz="4" w:space="0" w:color="auto"/>
              <w:right w:val="single" w:sz="4" w:space="0" w:color="auto"/>
            </w:tcBorders>
            <w:hideMark/>
          </w:tcPr>
          <w:p w14:paraId="4714E8B6" w14:textId="77777777" w:rsidR="007968EC" w:rsidRDefault="007968EC" w:rsidP="007968EC">
            <w:pPr>
              <w:spacing w:line="256" w:lineRule="auto"/>
              <w:jc w:val="center"/>
              <w:rPr>
                <w:rFonts w:ascii="Arial Narrow" w:eastAsia="Calibri" w:hAnsi="Arial Narrow"/>
                <w:color w:val="000000"/>
                <w:lang w:eastAsia="es-CO"/>
              </w:rPr>
            </w:pPr>
            <w:r>
              <w:rPr>
                <w:rFonts w:ascii="Arial Narrow" w:eastAsia="Calibri" w:hAnsi="Arial Narrow"/>
                <w:color w:val="000000"/>
                <w:lang w:eastAsia="es-CO"/>
              </w:rPr>
              <w:t>80%</w:t>
            </w:r>
          </w:p>
        </w:tc>
      </w:tr>
      <w:tr w:rsidR="007968EC" w14:paraId="44826CB6" w14:textId="77777777" w:rsidTr="007968EC">
        <w:trPr>
          <w:trHeight w:val="162"/>
          <w:jc w:val="center"/>
        </w:trPr>
        <w:tc>
          <w:tcPr>
            <w:tcW w:w="1271" w:type="dxa"/>
            <w:tcBorders>
              <w:top w:val="single" w:sz="4" w:space="0" w:color="auto"/>
              <w:left w:val="single" w:sz="4" w:space="0" w:color="auto"/>
              <w:bottom w:val="single" w:sz="4" w:space="0" w:color="auto"/>
              <w:right w:val="single" w:sz="4" w:space="0" w:color="auto"/>
            </w:tcBorders>
            <w:noWrap/>
            <w:vAlign w:val="center"/>
            <w:hideMark/>
          </w:tcPr>
          <w:p w14:paraId="4469B3A8" w14:textId="77777777" w:rsidR="007968EC" w:rsidRDefault="007968EC" w:rsidP="007968EC">
            <w:pPr>
              <w:spacing w:line="256" w:lineRule="auto"/>
              <w:jc w:val="center"/>
              <w:rPr>
                <w:rFonts w:ascii="Arial Narrow" w:eastAsia="Calibri" w:hAnsi="Arial Narrow"/>
                <w:color w:val="000000"/>
                <w:lang w:eastAsia="es-CO"/>
              </w:rPr>
            </w:pPr>
            <w:r>
              <w:rPr>
                <w:rFonts w:ascii="Arial Narrow" w:eastAsia="Calibri" w:hAnsi="Arial Narrow"/>
                <w:color w:val="000000"/>
                <w:lang w:eastAsia="es-CO"/>
              </w:rPr>
              <w:t>H8</w:t>
            </w:r>
          </w:p>
        </w:tc>
        <w:tc>
          <w:tcPr>
            <w:tcW w:w="709" w:type="dxa"/>
            <w:tcBorders>
              <w:top w:val="nil"/>
              <w:left w:val="nil"/>
              <w:bottom w:val="single" w:sz="4" w:space="0" w:color="auto"/>
              <w:right w:val="nil"/>
            </w:tcBorders>
            <w:shd w:val="clear" w:color="auto" w:fill="BFBFBF" w:themeFill="background1" w:themeFillShade="BF"/>
            <w:noWrap/>
            <w:vAlign w:val="center"/>
          </w:tcPr>
          <w:p w14:paraId="261DFEA9" w14:textId="77777777" w:rsidR="007968EC" w:rsidRDefault="007968EC" w:rsidP="007968EC">
            <w:pPr>
              <w:spacing w:line="256" w:lineRule="auto"/>
              <w:jc w:val="center"/>
              <w:rPr>
                <w:rFonts w:ascii="Arial Narrow" w:eastAsia="Calibri" w:hAnsi="Arial Narrow"/>
                <w:b/>
                <w:color w:val="000000"/>
                <w:lang w:eastAsia="es-CO"/>
              </w:rPr>
            </w:pPr>
          </w:p>
        </w:tc>
        <w:tc>
          <w:tcPr>
            <w:tcW w:w="709" w:type="dxa"/>
            <w:tcBorders>
              <w:top w:val="nil"/>
              <w:left w:val="nil"/>
              <w:bottom w:val="single" w:sz="4" w:space="0" w:color="auto"/>
              <w:right w:val="nil"/>
            </w:tcBorders>
            <w:shd w:val="clear" w:color="auto" w:fill="BFBFBF" w:themeFill="background1" w:themeFillShade="BF"/>
            <w:noWrap/>
            <w:vAlign w:val="center"/>
          </w:tcPr>
          <w:p w14:paraId="67BF6FEF" w14:textId="77777777" w:rsidR="007968EC" w:rsidRDefault="007968EC" w:rsidP="007968EC">
            <w:pPr>
              <w:spacing w:line="256" w:lineRule="auto"/>
              <w:jc w:val="center"/>
              <w:rPr>
                <w:rFonts w:ascii="Arial Narrow" w:eastAsia="Calibri" w:hAnsi="Arial Narrow"/>
                <w:b/>
                <w:color w:val="000000"/>
                <w:lang w:eastAsia="es-CO"/>
              </w:rPr>
            </w:pPr>
          </w:p>
        </w:tc>
        <w:tc>
          <w:tcPr>
            <w:tcW w:w="709" w:type="dxa"/>
            <w:tcBorders>
              <w:top w:val="nil"/>
              <w:left w:val="nil"/>
              <w:bottom w:val="single" w:sz="4" w:space="0" w:color="auto"/>
              <w:right w:val="nil"/>
            </w:tcBorders>
            <w:shd w:val="clear" w:color="auto" w:fill="BFBFBF" w:themeFill="background1" w:themeFillShade="BF"/>
            <w:noWrap/>
            <w:vAlign w:val="center"/>
          </w:tcPr>
          <w:p w14:paraId="36361C29" w14:textId="77777777" w:rsidR="007968EC" w:rsidRDefault="007968EC" w:rsidP="007968EC">
            <w:pPr>
              <w:spacing w:line="256" w:lineRule="auto"/>
              <w:jc w:val="center"/>
              <w:rPr>
                <w:rFonts w:ascii="Arial Narrow" w:eastAsia="Calibri" w:hAnsi="Arial Narrow"/>
                <w:b/>
                <w:color w:val="000000"/>
                <w:lang w:eastAsia="es-CO"/>
              </w:rPr>
            </w:pPr>
          </w:p>
        </w:tc>
        <w:tc>
          <w:tcPr>
            <w:tcW w:w="709" w:type="dxa"/>
            <w:tcBorders>
              <w:top w:val="nil"/>
              <w:left w:val="nil"/>
              <w:bottom w:val="single" w:sz="4" w:space="0" w:color="auto"/>
              <w:right w:val="nil"/>
            </w:tcBorders>
            <w:shd w:val="clear" w:color="auto" w:fill="BFBFBF" w:themeFill="background1" w:themeFillShade="BF"/>
            <w:noWrap/>
            <w:vAlign w:val="center"/>
          </w:tcPr>
          <w:p w14:paraId="54E31FCB" w14:textId="77777777" w:rsidR="007968EC" w:rsidRDefault="007968EC" w:rsidP="007968EC">
            <w:pPr>
              <w:spacing w:line="256" w:lineRule="auto"/>
              <w:jc w:val="center"/>
              <w:rPr>
                <w:rFonts w:ascii="Arial Narrow" w:eastAsia="Calibri" w:hAnsi="Arial Narrow"/>
                <w:b/>
                <w:color w:val="000000"/>
                <w:lang w:eastAsia="es-CO"/>
              </w:rPr>
            </w:pPr>
          </w:p>
        </w:tc>
        <w:tc>
          <w:tcPr>
            <w:tcW w:w="709" w:type="dxa"/>
            <w:tcBorders>
              <w:top w:val="nil"/>
              <w:left w:val="nil"/>
              <w:bottom w:val="single" w:sz="4" w:space="0" w:color="auto"/>
              <w:right w:val="nil"/>
            </w:tcBorders>
            <w:shd w:val="clear" w:color="auto" w:fill="BFBFBF" w:themeFill="background1" w:themeFillShade="BF"/>
            <w:noWrap/>
            <w:vAlign w:val="center"/>
          </w:tcPr>
          <w:p w14:paraId="284792DA" w14:textId="77777777" w:rsidR="007968EC" w:rsidRDefault="007968EC" w:rsidP="007968EC">
            <w:pPr>
              <w:spacing w:line="256" w:lineRule="auto"/>
              <w:jc w:val="center"/>
              <w:rPr>
                <w:rFonts w:ascii="Arial Narrow" w:eastAsia="Calibri" w:hAnsi="Arial Narrow"/>
                <w:b/>
                <w:color w:val="000000"/>
                <w:lang w:eastAsia="es-CO"/>
              </w:rPr>
            </w:pPr>
          </w:p>
        </w:tc>
        <w:tc>
          <w:tcPr>
            <w:tcW w:w="709" w:type="dxa"/>
            <w:tcBorders>
              <w:top w:val="nil"/>
              <w:left w:val="nil"/>
              <w:bottom w:val="single" w:sz="4" w:space="0" w:color="auto"/>
              <w:right w:val="nil"/>
            </w:tcBorders>
            <w:shd w:val="clear" w:color="auto" w:fill="BFBFBF" w:themeFill="background1" w:themeFillShade="BF"/>
            <w:noWrap/>
            <w:vAlign w:val="center"/>
          </w:tcPr>
          <w:p w14:paraId="5CD98272" w14:textId="77777777" w:rsidR="007968EC" w:rsidRDefault="007968EC" w:rsidP="007968EC">
            <w:pPr>
              <w:spacing w:line="256" w:lineRule="auto"/>
              <w:jc w:val="center"/>
              <w:rPr>
                <w:rFonts w:ascii="Arial Narrow" w:eastAsia="Calibri" w:hAnsi="Arial Narrow"/>
                <w:b/>
                <w:color w:val="000000"/>
                <w:lang w:eastAsia="es-CO"/>
              </w:rPr>
            </w:pPr>
          </w:p>
        </w:tc>
        <w:tc>
          <w:tcPr>
            <w:tcW w:w="70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F6E33AC" w14:textId="77777777" w:rsidR="007968EC" w:rsidRDefault="007968EC" w:rsidP="007968EC">
            <w:pPr>
              <w:spacing w:line="256" w:lineRule="auto"/>
              <w:jc w:val="center"/>
              <w:rPr>
                <w:rFonts w:ascii="Arial Narrow" w:eastAsia="Calibri" w:hAnsi="Arial Narrow"/>
                <w:color w:val="000000"/>
                <w:lang w:eastAsia="es-CO"/>
              </w:rPr>
            </w:pPr>
          </w:p>
        </w:tc>
        <w:tc>
          <w:tcPr>
            <w:tcW w:w="709" w:type="dxa"/>
            <w:tcBorders>
              <w:top w:val="single" w:sz="4" w:space="0" w:color="auto"/>
              <w:left w:val="nil"/>
              <w:bottom w:val="single" w:sz="4" w:space="0" w:color="auto"/>
              <w:right w:val="single" w:sz="4" w:space="0" w:color="auto"/>
            </w:tcBorders>
            <w:hideMark/>
          </w:tcPr>
          <w:p w14:paraId="61C1024F" w14:textId="77777777" w:rsidR="007968EC" w:rsidRDefault="007968EC" w:rsidP="007968EC">
            <w:pPr>
              <w:spacing w:line="256" w:lineRule="auto"/>
              <w:jc w:val="center"/>
              <w:rPr>
                <w:rFonts w:ascii="Arial Narrow" w:eastAsia="Calibri" w:hAnsi="Arial Narrow"/>
                <w:color w:val="000000"/>
                <w:lang w:eastAsia="es-CO"/>
              </w:rPr>
            </w:pPr>
            <w:r>
              <w:rPr>
                <w:rFonts w:ascii="Arial Narrow" w:eastAsia="Calibri" w:hAnsi="Arial Narrow"/>
                <w:color w:val="000000"/>
                <w:lang w:eastAsia="es-CO"/>
              </w:rPr>
              <w:t>80%</w:t>
            </w:r>
          </w:p>
        </w:tc>
      </w:tr>
    </w:tbl>
    <w:p w14:paraId="5A915E0E" w14:textId="77777777" w:rsidR="007968EC" w:rsidRDefault="007968EC" w:rsidP="007968EC">
      <w:pPr>
        <w:autoSpaceDE w:val="0"/>
        <w:autoSpaceDN w:val="0"/>
        <w:ind w:left="284"/>
        <w:jc w:val="both"/>
        <w:rPr>
          <w:rFonts w:ascii="Arial Narrow" w:eastAsia="Calibri" w:hAnsi="Arial Narrow"/>
          <w:bCs/>
          <w:color w:val="000000"/>
          <w:lang w:eastAsia="en-US"/>
        </w:rPr>
      </w:pPr>
    </w:p>
    <w:p w14:paraId="15D2140F" w14:textId="77777777" w:rsidR="007968EC" w:rsidRDefault="007968EC" w:rsidP="007968EC">
      <w:pPr>
        <w:autoSpaceDE w:val="0"/>
        <w:autoSpaceDN w:val="0"/>
        <w:jc w:val="both"/>
        <w:rPr>
          <w:rFonts w:ascii="Arial Narrow" w:eastAsia="Calibri" w:hAnsi="Arial Narrow"/>
          <w:bCs/>
          <w:color w:val="000000"/>
          <w:lang w:eastAsia="en-US"/>
        </w:rPr>
      </w:pPr>
      <w:r>
        <w:rPr>
          <w:rFonts w:ascii="Arial Narrow" w:eastAsia="Calibri" w:hAnsi="Arial Narrow"/>
          <w:bCs/>
          <w:color w:val="000000"/>
          <w:lang w:eastAsia="en-US"/>
        </w:rPr>
        <w:t>En consecuencia, el orden para la compensación entre los Grupos de los Futuros sobre Títulos TES de Referencias Específicas, es el siguiente:</w:t>
      </w:r>
    </w:p>
    <w:p w14:paraId="3758362D" w14:textId="77777777" w:rsidR="007968EC" w:rsidRDefault="007968EC" w:rsidP="007968EC">
      <w:pPr>
        <w:autoSpaceDE w:val="0"/>
        <w:autoSpaceDN w:val="0"/>
        <w:jc w:val="both"/>
        <w:rPr>
          <w:rFonts w:ascii="Arial Narrow" w:eastAsia="Calibri" w:hAnsi="Arial Narrow"/>
          <w:bCs/>
          <w:color w:val="000000"/>
          <w:lang w:eastAsia="en-US"/>
        </w:rPr>
      </w:pPr>
    </w:p>
    <w:tbl>
      <w:tblPr>
        <w:tblW w:w="6120" w:type="dxa"/>
        <w:jc w:val="center"/>
        <w:tblLayout w:type="fixed"/>
        <w:tblCellMar>
          <w:left w:w="70" w:type="dxa"/>
          <w:right w:w="70" w:type="dxa"/>
        </w:tblCellMar>
        <w:tblLook w:val="04A0" w:firstRow="1" w:lastRow="0" w:firstColumn="1" w:lastColumn="0" w:noHBand="0" w:noVBand="1"/>
      </w:tblPr>
      <w:tblGrid>
        <w:gridCol w:w="1482"/>
        <w:gridCol w:w="579"/>
        <w:gridCol w:w="579"/>
        <w:gridCol w:w="580"/>
        <w:gridCol w:w="580"/>
        <w:gridCol w:w="580"/>
        <w:gridCol w:w="580"/>
        <w:gridCol w:w="575"/>
        <w:gridCol w:w="585"/>
      </w:tblGrid>
      <w:tr w:rsidR="007968EC" w14:paraId="4BAB4EFC" w14:textId="77777777" w:rsidTr="007968EC">
        <w:trPr>
          <w:trHeight w:val="260"/>
          <w:jc w:val="center"/>
        </w:trPr>
        <w:tc>
          <w:tcPr>
            <w:tcW w:w="1481" w:type="dxa"/>
            <w:tcBorders>
              <w:top w:val="single" w:sz="4" w:space="0" w:color="auto"/>
              <w:left w:val="single" w:sz="4" w:space="0" w:color="auto"/>
              <w:bottom w:val="single" w:sz="4" w:space="0" w:color="auto"/>
              <w:right w:val="single" w:sz="4" w:space="0" w:color="auto"/>
            </w:tcBorders>
            <w:noWrap/>
            <w:vAlign w:val="center"/>
            <w:hideMark/>
          </w:tcPr>
          <w:p w14:paraId="4E233510"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Orden de Compensación</w:t>
            </w:r>
          </w:p>
        </w:tc>
        <w:tc>
          <w:tcPr>
            <w:tcW w:w="579" w:type="dxa"/>
            <w:tcBorders>
              <w:top w:val="single" w:sz="4" w:space="0" w:color="auto"/>
              <w:left w:val="nil"/>
              <w:bottom w:val="single" w:sz="4" w:space="0" w:color="auto"/>
              <w:right w:val="single" w:sz="4" w:space="0" w:color="auto"/>
            </w:tcBorders>
            <w:noWrap/>
            <w:vAlign w:val="center"/>
            <w:hideMark/>
          </w:tcPr>
          <w:p w14:paraId="37B7830D"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H1</w:t>
            </w:r>
          </w:p>
        </w:tc>
        <w:tc>
          <w:tcPr>
            <w:tcW w:w="579" w:type="dxa"/>
            <w:tcBorders>
              <w:top w:val="single" w:sz="4" w:space="0" w:color="auto"/>
              <w:left w:val="nil"/>
              <w:bottom w:val="single" w:sz="4" w:space="0" w:color="auto"/>
              <w:right w:val="single" w:sz="4" w:space="0" w:color="auto"/>
            </w:tcBorders>
            <w:noWrap/>
            <w:vAlign w:val="center"/>
            <w:hideMark/>
          </w:tcPr>
          <w:p w14:paraId="162B5434"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H2</w:t>
            </w:r>
          </w:p>
        </w:tc>
        <w:tc>
          <w:tcPr>
            <w:tcW w:w="579" w:type="dxa"/>
            <w:tcBorders>
              <w:top w:val="single" w:sz="4" w:space="0" w:color="auto"/>
              <w:left w:val="nil"/>
              <w:bottom w:val="single" w:sz="4" w:space="0" w:color="auto"/>
              <w:right w:val="single" w:sz="4" w:space="0" w:color="auto"/>
            </w:tcBorders>
            <w:noWrap/>
            <w:vAlign w:val="center"/>
            <w:hideMark/>
          </w:tcPr>
          <w:p w14:paraId="174A1780"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H3</w:t>
            </w:r>
          </w:p>
        </w:tc>
        <w:tc>
          <w:tcPr>
            <w:tcW w:w="579" w:type="dxa"/>
            <w:tcBorders>
              <w:top w:val="single" w:sz="4" w:space="0" w:color="auto"/>
              <w:left w:val="nil"/>
              <w:bottom w:val="single" w:sz="4" w:space="0" w:color="auto"/>
              <w:right w:val="single" w:sz="4" w:space="0" w:color="auto"/>
            </w:tcBorders>
            <w:noWrap/>
            <w:vAlign w:val="center"/>
            <w:hideMark/>
          </w:tcPr>
          <w:p w14:paraId="10743D5B"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H4</w:t>
            </w:r>
          </w:p>
        </w:tc>
        <w:tc>
          <w:tcPr>
            <w:tcW w:w="579" w:type="dxa"/>
            <w:tcBorders>
              <w:top w:val="single" w:sz="4" w:space="0" w:color="auto"/>
              <w:left w:val="nil"/>
              <w:bottom w:val="single" w:sz="4" w:space="0" w:color="auto"/>
              <w:right w:val="single" w:sz="4" w:space="0" w:color="auto"/>
            </w:tcBorders>
            <w:noWrap/>
            <w:vAlign w:val="center"/>
            <w:hideMark/>
          </w:tcPr>
          <w:p w14:paraId="566273D8"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H5</w:t>
            </w:r>
          </w:p>
        </w:tc>
        <w:tc>
          <w:tcPr>
            <w:tcW w:w="579" w:type="dxa"/>
            <w:tcBorders>
              <w:top w:val="single" w:sz="4" w:space="0" w:color="auto"/>
              <w:left w:val="nil"/>
              <w:bottom w:val="single" w:sz="4" w:space="0" w:color="auto"/>
              <w:right w:val="single" w:sz="4" w:space="0" w:color="auto"/>
            </w:tcBorders>
            <w:noWrap/>
            <w:vAlign w:val="center"/>
            <w:hideMark/>
          </w:tcPr>
          <w:p w14:paraId="1A03109E"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H6</w:t>
            </w:r>
          </w:p>
        </w:tc>
        <w:tc>
          <w:tcPr>
            <w:tcW w:w="574" w:type="dxa"/>
            <w:tcBorders>
              <w:top w:val="single" w:sz="4" w:space="0" w:color="auto"/>
              <w:left w:val="nil"/>
              <w:bottom w:val="single" w:sz="4" w:space="0" w:color="auto"/>
              <w:right w:val="single" w:sz="4" w:space="0" w:color="auto"/>
            </w:tcBorders>
            <w:noWrap/>
            <w:vAlign w:val="center"/>
            <w:hideMark/>
          </w:tcPr>
          <w:p w14:paraId="02A14D80"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H7</w:t>
            </w:r>
          </w:p>
        </w:tc>
        <w:tc>
          <w:tcPr>
            <w:tcW w:w="584" w:type="dxa"/>
            <w:tcBorders>
              <w:top w:val="single" w:sz="4" w:space="0" w:color="auto"/>
              <w:left w:val="nil"/>
              <w:bottom w:val="single" w:sz="4" w:space="0" w:color="auto"/>
              <w:right w:val="single" w:sz="4" w:space="0" w:color="auto"/>
            </w:tcBorders>
            <w:vAlign w:val="center"/>
            <w:hideMark/>
          </w:tcPr>
          <w:p w14:paraId="0126E1A6" w14:textId="77777777" w:rsidR="007968EC" w:rsidRDefault="007968EC" w:rsidP="007968EC">
            <w:pPr>
              <w:spacing w:line="256" w:lineRule="auto"/>
              <w:jc w:val="center"/>
              <w:rPr>
                <w:rFonts w:ascii="Arial Narrow" w:eastAsia="Calibri" w:hAnsi="Arial Narrow"/>
                <w:color w:val="000000"/>
                <w:lang w:eastAsia="es-CO"/>
              </w:rPr>
            </w:pPr>
            <w:r>
              <w:rPr>
                <w:rFonts w:ascii="Arial Narrow" w:eastAsia="Calibri" w:hAnsi="Arial Narrow"/>
                <w:color w:val="000000"/>
                <w:lang w:eastAsia="es-CO"/>
              </w:rPr>
              <w:t>H8</w:t>
            </w:r>
          </w:p>
        </w:tc>
      </w:tr>
      <w:tr w:rsidR="007968EC" w14:paraId="51A0A486" w14:textId="77777777" w:rsidTr="007968EC">
        <w:trPr>
          <w:trHeight w:val="260"/>
          <w:jc w:val="center"/>
        </w:trPr>
        <w:tc>
          <w:tcPr>
            <w:tcW w:w="1481" w:type="dxa"/>
            <w:tcBorders>
              <w:top w:val="nil"/>
              <w:left w:val="single" w:sz="4" w:space="0" w:color="auto"/>
              <w:bottom w:val="single" w:sz="4" w:space="0" w:color="auto"/>
              <w:right w:val="single" w:sz="4" w:space="0" w:color="auto"/>
            </w:tcBorders>
            <w:noWrap/>
            <w:vAlign w:val="center"/>
            <w:hideMark/>
          </w:tcPr>
          <w:p w14:paraId="0601F46F"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H1</w:t>
            </w:r>
          </w:p>
        </w:tc>
        <w:tc>
          <w:tcPr>
            <w:tcW w:w="579" w:type="dxa"/>
            <w:tcBorders>
              <w:top w:val="nil"/>
              <w:left w:val="nil"/>
              <w:bottom w:val="single" w:sz="4" w:space="0" w:color="auto"/>
              <w:right w:val="single" w:sz="4" w:space="0" w:color="auto"/>
            </w:tcBorders>
            <w:noWrap/>
            <w:vAlign w:val="center"/>
            <w:hideMark/>
          </w:tcPr>
          <w:p w14:paraId="140AF35C"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1</w:t>
            </w:r>
          </w:p>
        </w:tc>
        <w:tc>
          <w:tcPr>
            <w:tcW w:w="579" w:type="dxa"/>
            <w:tcBorders>
              <w:top w:val="nil"/>
              <w:left w:val="nil"/>
              <w:bottom w:val="single" w:sz="4" w:space="0" w:color="auto"/>
              <w:right w:val="single" w:sz="4" w:space="0" w:color="auto"/>
            </w:tcBorders>
            <w:noWrap/>
            <w:vAlign w:val="center"/>
            <w:hideMark/>
          </w:tcPr>
          <w:p w14:paraId="0326CA45"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21</w:t>
            </w:r>
          </w:p>
        </w:tc>
        <w:tc>
          <w:tcPr>
            <w:tcW w:w="579" w:type="dxa"/>
            <w:tcBorders>
              <w:top w:val="nil"/>
              <w:left w:val="nil"/>
              <w:bottom w:val="single" w:sz="4" w:space="0" w:color="auto"/>
              <w:right w:val="single" w:sz="4" w:space="0" w:color="auto"/>
            </w:tcBorders>
            <w:noWrap/>
            <w:vAlign w:val="center"/>
            <w:hideMark/>
          </w:tcPr>
          <w:p w14:paraId="022A753D"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w:t>
            </w:r>
          </w:p>
        </w:tc>
        <w:tc>
          <w:tcPr>
            <w:tcW w:w="579" w:type="dxa"/>
            <w:tcBorders>
              <w:top w:val="nil"/>
              <w:left w:val="nil"/>
              <w:bottom w:val="single" w:sz="4" w:space="0" w:color="auto"/>
              <w:right w:val="single" w:sz="4" w:space="0" w:color="auto"/>
            </w:tcBorders>
            <w:noWrap/>
            <w:vAlign w:val="center"/>
            <w:hideMark/>
          </w:tcPr>
          <w:p w14:paraId="31E0532B"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w:t>
            </w:r>
          </w:p>
        </w:tc>
        <w:tc>
          <w:tcPr>
            <w:tcW w:w="579" w:type="dxa"/>
            <w:tcBorders>
              <w:top w:val="nil"/>
              <w:left w:val="nil"/>
              <w:bottom w:val="single" w:sz="4" w:space="0" w:color="auto"/>
              <w:right w:val="single" w:sz="4" w:space="0" w:color="auto"/>
            </w:tcBorders>
            <w:noWrap/>
            <w:vAlign w:val="center"/>
            <w:hideMark/>
          </w:tcPr>
          <w:p w14:paraId="05E37754"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w:t>
            </w:r>
          </w:p>
        </w:tc>
        <w:tc>
          <w:tcPr>
            <w:tcW w:w="579" w:type="dxa"/>
            <w:tcBorders>
              <w:top w:val="nil"/>
              <w:left w:val="nil"/>
              <w:bottom w:val="single" w:sz="4" w:space="0" w:color="auto"/>
              <w:right w:val="single" w:sz="4" w:space="0" w:color="auto"/>
            </w:tcBorders>
            <w:noWrap/>
            <w:vAlign w:val="center"/>
            <w:hideMark/>
          </w:tcPr>
          <w:p w14:paraId="02659422"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w:t>
            </w:r>
          </w:p>
        </w:tc>
        <w:tc>
          <w:tcPr>
            <w:tcW w:w="574" w:type="dxa"/>
            <w:tcBorders>
              <w:top w:val="nil"/>
              <w:left w:val="nil"/>
              <w:bottom w:val="single" w:sz="4" w:space="0" w:color="auto"/>
              <w:right w:val="single" w:sz="4" w:space="0" w:color="auto"/>
            </w:tcBorders>
            <w:noWrap/>
            <w:vAlign w:val="center"/>
            <w:hideMark/>
          </w:tcPr>
          <w:p w14:paraId="0DF07BD3"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w:t>
            </w:r>
          </w:p>
        </w:tc>
        <w:tc>
          <w:tcPr>
            <w:tcW w:w="584" w:type="dxa"/>
            <w:tcBorders>
              <w:top w:val="nil"/>
              <w:left w:val="nil"/>
              <w:bottom w:val="single" w:sz="4" w:space="0" w:color="auto"/>
              <w:right w:val="single" w:sz="4" w:space="0" w:color="auto"/>
            </w:tcBorders>
            <w:hideMark/>
          </w:tcPr>
          <w:p w14:paraId="5DCB0C38" w14:textId="77777777" w:rsidR="007968EC" w:rsidRDefault="007968EC" w:rsidP="007968EC">
            <w:pPr>
              <w:spacing w:line="256" w:lineRule="auto"/>
              <w:jc w:val="center"/>
              <w:rPr>
                <w:rFonts w:ascii="Arial Narrow" w:eastAsia="Calibri" w:hAnsi="Arial Narrow"/>
                <w:color w:val="000000"/>
                <w:lang w:eastAsia="es-CO"/>
              </w:rPr>
            </w:pPr>
            <w:r>
              <w:rPr>
                <w:rFonts w:ascii="Arial Narrow" w:eastAsia="Calibri" w:hAnsi="Arial Narrow"/>
                <w:color w:val="000000"/>
                <w:lang w:eastAsia="es-CO"/>
              </w:rPr>
              <w:t>-</w:t>
            </w:r>
          </w:p>
        </w:tc>
      </w:tr>
      <w:tr w:rsidR="007968EC" w14:paraId="58D962DE" w14:textId="77777777" w:rsidTr="007968EC">
        <w:trPr>
          <w:trHeight w:val="260"/>
          <w:jc w:val="center"/>
        </w:trPr>
        <w:tc>
          <w:tcPr>
            <w:tcW w:w="1481" w:type="dxa"/>
            <w:tcBorders>
              <w:top w:val="nil"/>
              <w:left w:val="single" w:sz="4" w:space="0" w:color="auto"/>
              <w:bottom w:val="single" w:sz="4" w:space="0" w:color="auto"/>
              <w:right w:val="single" w:sz="4" w:space="0" w:color="auto"/>
            </w:tcBorders>
            <w:noWrap/>
            <w:vAlign w:val="center"/>
            <w:hideMark/>
          </w:tcPr>
          <w:p w14:paraId="1AD47CE7"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H2</w:t>
            </w:r>
          </w:p>
        </w:tc>
        <w:tc>
          <w:tcPr>
            <w:tcW w:w="579" w:type="dxa"/>
            <w:shd w:val="clear" w:color="auto" w:fill="BFBFBF"/>
            <w:noWrap/>
            <w:vAlign w:val="center"/>
            <w:hideMark/>
          </w:tcPr>
          <w:p w14:paraId="64C863B0" w14:textId="77777777" w:rsidR="007968EC" w:rsidRDefault="007968EC" w:rsidP="007968EC">
            <w:pPr>
              <w:rPr>
                <w:rFonts w:ascii="Arial Narrow" w:eastAsia="Calibri" w:hAnsi="Arial Narrow"/>
                <w:b/>
                <w:color w:val="000000"/>
                <w:lang w:eastAsia="es-CO"/>
              </w:rPr>
            </w:pPr>
          </w:p>
        </w:tc>
        <w:tc>
          <w:tcPr>
            <w:tcW w:w="579" w:type="dxa"/>
            <w:tcBorders>
              <w:top w:val="nil"/>
              <w:left w:val="single" w:sz="4" w:space="0" w:color="auto"/>
              <w:bottom w:val="single" w:sz="4" w:space="0" w:color="auto"/>
              <w:right w:val="single" w:sz="4" w:space="0" w:color="auto"/>
            </w:tcBorders>
            <w:noWrap/>
            <w:vAlign w:val="center"/>
            <w:hideMark/>
          </w:tcPr>
          <w:p w14:paraId="76A5327F"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2</w:t>
            </w:r>
          </w:p>
        </w:tc>
        <w:tc>
          <w:tcPr>
            <w:tcW w:w="579" w:type="dxa"/>
            <w:tcBorders>
              <w:top w:val="nil"/>
              <w:left w:val="nil"/>
              <w:bottom w:val="single" w:sz="4" w:space="0" w:color="auto"/>
              <w:right w:val="single" w:sz="4" w:space="0" w:color="auto"/>
            </w:tcBorders>
            <w:noWrap/>
            <w:vAlign w:val="center"/>
            <w:hideMark/>
          </w:tcPr>
          <w:p w14:paraId="3A8F30FE"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w:t>
            </w:r>
          </w:p>
        </w:tc>
        <w:tc>
          <w:tcPr>
            <w:tcW w:w="579" w:type="dxa"/>
            <w:tcBorders>
              <w:top w:val="nil"/>
              <w:left w:val="nil"/>
              <w:bottom w:val="single" w:sz="4" w:space="0" w:color="auto"/>
              <w:right w:val="single" w:sz="4" w:space="0" w:color="auto"/>
            </w:tcBorders>
            <w:noWrap/>
            <w:vAlign w:val="center"/>
            <w:hideMark/>
          </w:tcPr>
          <w:p w14:paraId="225747AF"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w:t>
            </w:r>
          </w:p>
        </w:tc>
        <w:tc>
          <w:tcPr>
            <w:tcW w:w="579" w:type="dxa"/>
            <w:tcBorders>
              <w:top w:val="nil"/>
              <w:left w:val="nil"/>
              <w:bottom w:val="single" w:sz="4" w:space="0" w:color="auto"/>
              <w:right w:val="single" w:sz="4" w:space="0" w:color="auto"/>
            </w:tcBorders>
            <w:noWrap/>
            <w:vAlign w:val="center"/>
            <w:hideMark/>
          </w:tcPr>
          <w:p w14:paraId="0965BC06"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w:t>
            </w:r>
          </w:p>
        </w:tc>
        <w:tc>
          <w:tcPr>
            <w:tcW w:w="579" w:type="dxa"/>
            <w:tcBorders>
              <w:top w:val="nil"/>
              <w:left w:val="nil"/>
              <w:bottom w:val="single" w:sz="4" w:space="0" w:color="auto"/>
              <w:right w:val="single" w:sz="4" w:space="0" w:color="auto"/>
            </w:tcBorders>
            <w:noWrap/>
            <w:vAlign w:val="center"/>
            <w:hideMark/>
          </w:tcPr>
          <w:p w14:paraId="1EEAF58B"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w:t>
            </w:r>
          </w:p>
        </w:tc>
        <w:tc>
          <w:tcPr>
            <w:tcW w:w="574" w:type="dxa"/>
            <w:tcBorders>
              <w:top w:val="nil"/>
              <w:left w:val="nil"/>
              <w:bottom w:val="single" w:sz="4" w:space="0" w:color="auto"/>
              <w:right w:val="single" w:sz="4" w:space="0" w:color="auto"/>
            </w:tcBorders>
            <w:noWrap/>
            <w:vAlign w:val="center"/>
            <w:hideMark/>
          </w:tcPr>
          <w:p w14:paraId="36DA9449"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w:t>
            </w:r>
          </w:p>
        </w:tc>
        <w:tc>
          <w:tcPr>
            <w:tcW w:w="584" w:type="dxa"/>
            <w:tcBorders>
              <w:top w:val="nil"/>
              <w:left w:val="nil"/>
              <w:bottom w:val="single" w:sz="4" w:space="0" w:color="auto"/>
              <w:right w:val="single" w:sz="4" w:space="0" w:color="auto"/>
            </w:tcBorders>
            <w:hideMark/>
          </w:tcPr>
          <w:p w14:paraId="7A779699" w14:textId="77777777" w:rsidR="007968EC" w:rsidRDefault="007968EC" w:rsidP="007968EC">
            <w:pPr>
              <w:spacing w:line="256" w:lineRule="auto"/>
              <w:jc w:val="center"/>
              <w:rPr>
                <w:rFonts w:ascii="Arial Narrow" w:eastAsia="Calibri" w:hAnsi="Arial Narrow"/>
                <w:color w:val="000000"/>
                <w:lang w:eastAsia="es-CO"/>
              </w:rPr>
            </w:pPr>
            <w:r>
              <w:rPr>
                <w:rFonts w:ascii="Arial Narrow" w:eastAsia="Calibri" w:hAnsi="Arial Narrow"/>
                <w:color w:val="000000"/>
                <w:lang w:eastAsia="es-CO"/>
              </w:rPr>
              <w:t>-</w:t>
            </w:r>
          </w:p>
        </w:tc>
      </w:tr>
      <w:tr w:rsidR="007968EC" w14:paraId="197BD5B7" w14:textId="77777777" w:rsidTr="007968EC">
        <w:trPr>
          <w:trHeight w:val="260"/>
          <w:jc w:val="center"/>
        </w:trPr>
        <w:tc>
          <w:tcPr>
            <w:tcW w:w="1481" w:type="dxa"/>
            <w:tcBorders>
              <w:top w:val="nil"/>
              <w:left w:val="single" w:sz="4" w:space="0" w:color="auto"/>
              <w:bottom w:val="single" w:sz="4" w:space="0" w:color="auto"/>
              <w:right w:val="single" w:sz="4" w:space="0" w:color="auto"/>
            </w:tcBorders>
            <w:noWrap/>
            <w:vAlign w:val="center"/>
            <w:hideMark/>
          </w:tcPr>
          <w:p w14:paraId="26B2BF15"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H3</w:t>
            </w:r>
          </w:p>
        </w:tc>
        <w:tc>
          <w:tcPr>
            <w:tcW w:w="579" w:type="dxa"/>
            <w:shd w:val="clear" w:color="auto" w:fill="BFBFBF"/>
            <w:noWrap/>
            <w:vAlign w:val="center"/>
          </w:tcPr>
          <w:p w14:paraId="325959B4" w14:textId="77777777" w:rsidR="007968EC" w:rsidRDefault="007968EC" w:rsidP="007968EC">
            <w:pPr>
              <w:spacing w:line="256" w:lineRule="auto"/>
              <w:jc w:val="center"/>
              <w:rPr>
                <w:rFonts w:ascii="Arial Narrow" w:eastAsia="Calibri" w:hAnsi="Arial Narrow"/>
                <w:b/>
                <w:color w:val="000000"/>
                <w:lang w:eastAsia="es-CO"/>
              </w:rPr>
            </w:pPr>
          </w:p>
        </w:tc>
        <w:tc>
          <w:tcPr>
            <w:tcW w:w="579" w:type="dxa"/>
            <w:shd w:val="clear" w:color="auto" w:fill="BFBFBF"/>
            <w:noWrap/>
            <w:vAlign w:val="center"/>
          </w:tcPr>
          <w:p w14:paraId="28D31666" w14:textId="77777777" w:rsidR="007968EC" w:rsidRDefault="007968EC" w:rsidP="007968EC">
            <w:pPr>
              <w:spacing w:line="256" w:lineRule="auto"/>
              <w:jc w:val="center"/>
              <w:rPr>
                <w:rFonts w:ascii="Arial Narrow" w:eastAsia="Calibri" w:hAnsi="Arial Narrow"/>
                <w:b/>
                <w:color w:val="000000"/>
                <w:lang w:eastAsia="es-CO"/>
              </w:rPr>
            </w:pPr>
          </w:p>
        </w:tc>
        <w:tc>
          <w:tcPr>
            <w:tcW w:w="579" w:type="dxa"/>
            <w:tcBorders>
              <w:top w:val="nil"/>
              <w:left w:val="single" w:sz="4" w:space="0" w:color="auto"/>
              <w:bottom w:val="single" w:sz="4" w:space="0" w:color="auto"/>
              <w:right w:val="single" w:sz="4" w:space="0" w:color="auto"/>
            </w:tcBorders>
            <w:noWrap/>
            <w:vAlign w:val="center"/>
            <w:hideMark/>
          </w:tcPr>
          <w:p w14:paraId="450F0FE3"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3</w:t>
            </w:r>
          </w:p>
        </w:tc>
        <w:tc>
          <w:tcPr>
            <w:tcW w:w="579" w:type="dxa"/>
            <w:tcBorders>
              <w:top w:val="nil"/>
              <w:left w:val="nil"/>
              <w:bottom w:val="single" w:sz="4" w:space="0" w:color="auto"/>
              <w:right w:val="single" w:sz="4" w:space="0" w:color="auto"/>
            </w:tcBorders>
            <w:noWrap/>
            <w:vAlign w:val="center"/>
            <w:hideMark/>
          </w:tcPr>
          <w:p w14:paraId="6DE14038"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19</w:t>
            </w:r>
          </w:p>
        </w:tc>
        <w:tc>
          <w:tcPr>
            <w:tcW w:w="579" w:type="dxa"/>
            <w:tcBorders>
              <w:top w:val="nil"/>
              <w:left w:val="nil"/>
              <w:bottom w:val="single" w:sz="4" w:space="0" w:color="auto"/>
              <w:right w:val="single" w:sz="4" w:space="0" w:color="auto"/>
            </w:tcBorders>
            <w:noWrap/>
            <w:vAlign w:val="center"/>
            <w:hideMark/>
          </w:tcPr>
          <w:p w14:paraId="75698C7E"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20</w:t>
            </w:r>
          </w:p>
        </w:tc>
        <w:tc>
          <w:tcPr>
            <w:tcW w:w="579" w:type="dxa"/>
            <w:tcBorders>
              <w:top w:val="nil"/>
              <w:left w:val="nil"/>
              <w:bottom w:val="single" w:sz="4" w:space="0" w:color="auto"/>
              <w:right w:val="single" w:sz="4" w:space="0" w:color="auto"/>
            </w:tcBorders>
            <w:noWrap/>
            <w:vAlign w:val="center"/>
            <w:hideMark/>
          </w:tcPr>
          <w:p w14:paraId="6D3FAA31"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22</w:t>
            </w:r>
          </w:p>
        </w:tc>
        <w:tc>
          <w:tcPr>
            <w:tcW w:w="574" w:type="dxa"/>
            <w:tcBorders>
              <w:top w:val="nil"/>
              <w:left w:val="nil"/>
              <w:bottom w:val="single" w:sz="4" w:space="0" w:color="auto"/>
              <w:right w:val="single" w:sz="4" w:space="0" w:color="auto"/>
            </w:tcBorders>
            <w:noWrap/>
            <w:vAlign w:val="center"/>
            <w:hideMark/>
          </w:tcPr>
          <w:p w14:paraId="3E7113B6"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w:t>
            </w:r>
          </w:p>
        </w:tc>
        <w:tc>
          <w:tcPr>
            <w:tcW w:w="584" w:type="dxa"/>
            <w:tcBorders>
              <w:top w:val="nil"/>
              <w:left w:val="nil"/>
              <w:bottom w:val="single" w:sz="4" w:space="0" w:color="auto"/>
              <w:right w:val="single" w:sz="4" w:space="0" w:color="auto"/>
            </w:tcBorders>
            <w:hideMark/>
          </w:tcPr>
          <w:p w14:paraId="130DF4FA" w14:textId="77777777" w:rsidR="007968EC" w:rsidRDefault="007968EC" w:rsidP="007968EC">
            <w:pPr>
              <w:spacing w:line="256" w:lineRule="auto"/>
              <w:jc w:val="center"/>
              <w:rPr>
                <w:rFonts w:ascii="Arial Narrow" w:eastAsia="Calibri" w:hAnsi="Arial Narrow"/>
                <w:color w:val="000000"/>
                <w:lang w:eastAsia="es-CO"/>
              </w:rPr>
            </w:pPr>
            <w:r>
              <w:rPr>
                <w:rFonts w:ascii="Arial Narrow" w:eastAsia="Calibri" w:hAnsi="Arial Narrow"/>
                <w:color w:val="000000"/>
                <w:lang w:eastAsia="es-CO"/>
              </w:rPr>
              <w:t>-</w:t>
            </w:r>
          </w:p>
        </w:tc>
      </w:tr>
      <w:tr w:rsidR="007968EC" w14:paraId="6004FD6D" w14:textId="77777777" w:rsidTr="007968EC">
        <w:trPr>
          <w:trHeight w:val="260"/>
          <w:jc w:val="center"/>
        </w:trPr>
        <w:tc>
          <w:tcPr>
            <w:tcW w:w="1481" w:type="dxa"/>
            <w:tcBorders>
              <w:top w:val="nil"/>
              <w:left w:val="single" w:sz="4" w:space="0" w:color="auto"/>
              <w:bottom w:val="single" w:sz="4" w:space="0" w:color="auto"/>
              <w:right w:val="single" w:sz="4" w:space="0" w:color="auto"/>
            </w:tcBorders>
            <w:noWrap/>
            <w:vAlign w:val="center"/>
            <w:hideMark/>
          </w:tcPr>
          <w:p w14:paraId="3EC29E7A"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lastRenderedPageBreak/>
              <w:t>H4</w:t>
            </w:r>
          </w:p>
        </w:tc>
        <w:tc>
          <w:tcPr>
            <w:tcW w:w="579" w:type="dxa"/>
            <w:shd w:val="clear" w:color="auto" w:fill="BFBFBF"/>
            <w:noWrap/>
            <w:vAlign w:val="center"/>
          </w:tcPr>
          <w:p w14:paraId="4B4695B9" w14:textId="77777777" w:rsidR="007968EC" w:rsidRDefault="007968EC" w:rsidP="007968EC">
            <w:pPr>
              <w:spacing w:line="256" w:lineRule="auto"/>
              <w:jc w:val="center"/>
              <w:rPr>
                <w:rFonts w:ascii="Arial Narrow" w:eastAsia="Calibri" w:hAnsi="Arial Narrow"/>
                <w:b/>
                <w:color w:val="000000"/>
                <w:lang w:eastAsia="es-CO"/>
              </w:rPr>
            </w:pPr>
          </w:p>
        </w:tc>
        <w:tc>
          <w:tcPr>
            <w:tcW w:w="579" w:type="dxa"/>
            <w:shd w:val="clear" w:color="auto" w:fill="BFBFBF"/>
            <w:noWrap/>
            <w:vAlign w:val="center"/>
          </w:tcPr>
          <w:p w14:paraId="6DEAA728" w14:textId="77777777" w:rsidR="007968EC" w:rsidRDefault="007968EC" w:rsidP="007968EC">
            <w:pPr>
              <w:spacing w:line="256" w:lineRule="auto"/>
              <w:jc w:val="center"/>
              <w:rPr>
                <w:rFonts w:ascii="Arial Narrow" w:eastAsia="Calibri" w:hAnsi="Arial Narrow"/>
                <w:b/>
                <w:color w:val="000000"/>
                <w:lang w:eastAsia="es-CO"/>
              </w:rPr>
            </w:pPr>
          </w:p>
        </w:tc>
        <w:tc>
          <w:tcPr>
            <w:tcW w:w="579" w:type="dxa"/>
            <w:shd w:val="clear" w:color="auto" w:fill="BFBFBF"/>
            <w:noWrap/>
            <w:vAlign w:val="center"/>
          </w:tcPr>
          <w:p w14:paraId="5E1B9846" w14:textId="77777777" w:rsidR="007968EC" w:rsidRDefault="007968EC" w:rsidP="007968EC">
            <w:pPr>
              <w:spacing w:line="256" w:lineRule="auto"/>
              <w:jc w:val="center"/>
              <w:rPr>
                <w:rFonts w:ascii="Arial Narrow" w:eastAsia="Calibri" w:hAnsi="Arial Narrow"/>
                <w:b/>
                <w:color w:val="000000"/>
                <w:lang w:eastAsia="es-CO"/>
              </w:rPr>
            </w:pPr>
          </w:p>
        </w:tc>
        <w:tc>
          <w:tcPr>
            <w:tcW w:w="579" w:type="dxa"/>
            <w:tcBorders>
              <w:top w:val="nil"/>
              <w:left w:val="single" w:sz="4" w:space="0" w:color="auto"/>
              <w:bottom w:val="single" w:sz="4" w:space="0" w:color="auto"/>
              <w:right w:val="single" w:sz="4" w:space="0" w:color="auto"/>
            </w:tcBorders>
            <w:noWrap/>
            <w:vAlign w:val="center"/>
            <w:hideMark/>
          </w:tcPr>
          <w:p w14:paraId="63ADA140"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4</w:t>
            </w:r>
          </w:p>
        </w:tc>
        <w:tc>
          <w:tcPr>
            <w:tcW w:w="579" w:type="dxa"/>
            <w:tcBorders>
              <w:top w:val="nil"/>
              <w:left w:val="nil"/>
              <w:bottom w:val="single" w:sz="4" w:space="0" w:color="auto"/>
              <w:right w:val="single" w:sz="4" w:space="0" w:color="auto"/>
            </w:tcBorders>
            <w:noWrap/>
            <w:vAlign w:val="center"/>
            <w:hideMark/>
          </w:tcPr>
          <w:p w14:paraId="170FFCB4"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13</w:t>
            </w:r>
          </w:p>
        </w:tc>
        <w:tc>
          <w:tcPr>
            <w:tcW w:w="579" w:type="dxa"/>
            <w:tcBorders>
              <w:top w:val="nil"/>
              <w:left w:val="nil"/>
              <w:bottom w:val="single" w:sz="4" w:space="0" w:color="auto"/>
              <w:right w:val="single" w:sz="4" w:space="0" w:color="auto"/>
            </w:tcBorders>
            <w:noWrap/>
            <w:vAlign w:val="center"/>
            <w:hideMark/>
          </w:tcPr>
          <w:p w14:paraId="5B5E40CF"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15</w:t>
            </w:r>
          </w:p>
        </w:tc>
        <w:tc>
          <w:tcPr>
            <w:tcW w:w="574" w:type="dxa"/>
            <w:tcBorders>
              <w:top w:val="nil"/>
              <w:left w:val="nil"/>
              <w:bottom w:val="single" w:sz="4" w:space="0" w:color="auto"/>
              <w:right w:val="single" w:sz="4" w:space="0" w:color="auto"/>
            </w:tcBorders>
            <w:noWrap/>
            <w:vAlign w:val="center"/>
            <w:hideMark/>
          </w:tcPr>
          <w:p w14:paraId="49E9209D"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17</w:t>
            </w:r>
          </w:p>
        </w:tc>
        <w:tc>
          <w:tcPr>
            <w:tcW w:w="584" w:type="dxa"/>
            <w:tcBorders>
              <w:top w:val="nil"/>
              <w:left w:val="nil"/>
              <w:bottom w:val="single" w:sz="4" w:space="0" w:color="auto"/>
              <w:right w:val="single" w:sz="4" w:space="0" w:color="auto"/>
            </w:tcBorders>
            <w:hideMark/>
          </w:tcPr>
          <w:p w14:paraId="0F94F198" w14:textId="77777777" w:rsidR="007968EC" w:rsidRDefault="007968EC" w:rsidP="007968EC">
            <w:pPr>
              <w:spacing w:line="256" w:lineRule="auto"/>
              <w:jc w:val="center"/>
              <w:rPr>
                <w:rFonts w:ascii="Arial Narrow" w:eastAsia="Calibri" w:hAnsi="Arial Narrow"/>
                <w:color w:val="000000"/>
                <w:lang w:eastAsia="es-CO"/>
              </w:rPr>
            </w:pPr>
            <w:r>
              <w:rPr>
                <w:rFonts w:ascii="Arial Narrow" w:eastAsia="Calibri" w:hAnsi="Arial Narrow"/>
                <w:color w:val="000000"/>
                <w:lang w:eastAsia="es-CO"/>
              </w:rPr>
              <w:t>18</w:t>
            </w:r>
          </w:p>
        </w:tc>
      </w:tr>
      <w:tr w:rsidR="007968EC" w14:paraId="60DA7E3E" w14:textId="77777777" w:rsidTr="007968EC">
        <w:trPr>
          <w:trHeight w:val="260"/>
          <w:jc w:val="center"/>
        </w:trPr>
        <w:tc>
          <w:tcPr>
            <w:tcW w:w="1481" w:type="dxa"/>
            <w:tcBorders>
              <w:top w:val="nil"/>
              <w:left w:val="single" w:sz="4" w:space="0" w:color="auto"/>
              <w:bottom w:val="single" w:sz="4" w:space="0" w:color="auto"/>
              <w:right w:val="single" w:sz="4" w:space="0" w:color="auto"/>
            </w:tcBorders>
            <w:noWrap/>
            <w:vAlign w:val="center"/>
            <w:hideMark/>
          </w:tcPr>
          <w:p w14:paraId="3A7B3B0E"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H5</w:t>
            </w:r>
          </w:p>
        </w:tc>
        <w:tc>
          <w:tcPr>
            <w:tcW w:w="579" w:type="dxa"/>
            <w:shd w:val="clear" w:color="auto" w:fill="BFBFBF"/>
            <w:noWrap/>
            <w:vAlign w:val="center"/>
          </w:tcPr>
          <w:p w14:paraId="2495569D" w14:textId="77777777" w:rsidR="007968EC" w:rsidRDefault="007968EC" w:rsidP="007968EC">
            <w:pPr>
              <w:spacing w:line="256" w:lineRule="auto"/>
              <w:jc w:val="center"/>
              <w:rPr>
                <w:rFonts w:ascii="Arial Narrow" w:eastAsia="Calibri" w:hAnsi="Arial Narrow"/>
                <w:b/>
                <w:color w:val="000000"/>
                <w:lang w:eastAsia="es-CO"/>
              </w:rPr>
            </w:pPr>
          </w:p>
        </w:tc>
        <w:tc>
          <w:tcPr>
            <w:tcW w:w="579" w:type="dxa"/>
            <w:shd w:val="clear" w:color="auto" w:fill="BFBFBF"/>
            <w:noWrap/>
            <w:vAlign w:val="center"/>
          </w:tcPr>
          <w:p w14:paraId="1028864D" w14:textId="77777777" w:rsidR="007968EC" w:rsidRDefault="007968EC" w:rsidP="007968EC">
            <w:pPr>
              <w:spacing w:line="256" w:lineRule="auto"/>
              <w:jc w:val="center"/>
              <w:rPr>
                <w:rFonts w:ascii="Arial Narrow" w:eastAsia="Calibri" w:hAnsi="Arial Narrow"/>
                <w:b/>
                <w:color w:val="000000"/>
                <w:lang w:eastAsia="es-CO"/>
              </w:rPr>
            </w:pPr>
          </w:p>
        </w:tc>
        <w:tc>
          <w:tcPr>
            <w:tcW w:w="579" w:type="dxa"/>
            <w:shd w:val="clear" w:color="auto" w:fill="BFBFBF"/>
            <w:noWrap/>
            <w:vAlign w:val="center"/>
          </w:tcPr>
          <w:p w14:paraId="7DB4F376" w14:textId="77777777" w:rsidR="007968EC" w:rsidRDefault="007968EC" w:rsidP="007968EC">
            <w:pPr>
              <w:spacing w:line="256" w:lineRule="auto"/>
              <w:jc w:val="center"/>
              <w:rPr>
                <w:rFonts w:ascii="Arial Narrow" w:eastAsia="Calibri" w:hAnsi="Arial Narrow"/>
                <w:b/>
                <w:color w:val="000000"/>
                <w:lang w:eastAsia="es-CO"/>
              </w:rPr>
            </w:pPr>
          </w:p>
        </w:tc>
        <w:tc>
          <w:tcPr>
            <w:tcW w:w="579" w:type="dxa"/>
            <w:shd w:val="clear" w:color="auto" w:fill="BFBFBF"/>
            <w:noWrap/>
            <w:vAlign w:val="center"/>
          </w:tcPr>
          <w:p w14:paraId="21ECFE9D" w14:textId="77777777" w:rsidR="007968EC" w:rsidRDefault="007968EC" w:rsidP="007968EC">
            <w:pPr>
              <w:spacing w:line="256" w:lineRule="auto"/>
              <w:jc w:val="center"/>
              <w:rPr>
                <w:rFonts w:ascii="Arial Narrow" w:eastAsia="Calibri" w:hAnsi="Arial Narrow"/>
                <w:b/>
                <w:color w:val="000000"/>
                <w:lang w:eastAsia="es-CO"/>
              </w:rPr>
            </w:pPr>
          </w:p>
        </w:tc>
        <w:tc>
          <w:tcPr>
            <w:tcW w:w="579" w:type="dxa"/>
            <w:tcBorders>
              <w:top w:val="nil"/>
              <w:left w:val="single" w:sz="4" w:space="0" w:color="auto"/>
              <w:bottom w:val="single" w:sz="4" w:space="0" w:color="auto"/>
              <w:right w:val="single" w:sz="4" w:space="0" w:color="auto"/>
            </w:tcBorders>
            <w:noWrap/>
            <w:vAlign w:val="center"/>
            <w:hideMark/>
          </w:tcPr>
          <w:p w14:paraId="1BF0938C"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5</w:t>
            </w:r>
          </w:p>
        </w:tc>
        <w:tc>
          <w:tcPr>
            <w:tcW w:w="579" w:type="dxa"/>
            <w:tcBorders>
              <w:top w:val="nil"/>
              <w:left w:val="nil"/>
              <w:bottom w:val="single" w:sz="4" w:space="0" w:color="auto"/>
              <w:right w:val="single" w:sz="4" w:space="0" w:color="auto"/>
            </w:tcBorders>
            <w:noWrap/>
            <w:vAlign w:val="center"/>
            <w:hideMark/>
          </w:tcPr>
          <w:p w14:paraId="77591269"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12</w:t>
            </w:r>
          </w:p>
        </w:tc>
        <w:tc>
          <w:tcPr>
            <w:tcW w:w="574" w:type="dxa"/>
            <w:tcBorders>
              <w:top w:val="nil"/>
              <w:left w:val="nil"/>
              <w:bottom w:val="single" w:sz="4" w:space="0" w:color="auto"/>
              <w:right w:val="single" w:sz="4" w:space="0" w:color="auto"/>
            </w:tcBorders>
            <w:noWrap/>
            <w:vAlign w:val="center"/>
            <w:hideMark/>
          </w:tcPr>
          <w:p w14:paraId="2F243AF6"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14</w:t>
            </w:r>
          </w:p>
        </w:tc>
        <w:tc>
          <w:tcPr>
            <w:tcW w:w="584" w:type="dxa"/>
            <w:tcBorders>
              <w:top w:val="nil"/>
              <w:left w:val="nil"/>
              <w:bottom w:val="single" w:sz="4" w:space="0" w:color="auto"/>
              <w:right w:val="single" w:sz="4" w:space="0" w:color="auto"/>
            </w:tcBorders>
            <w:hideMark/>
          </w:tcPr>
          <w:p w14:paraId="1BF6A9BD" w14:textId="77777777" w:rsidR="007968EC" w:rsidRDefault="007968EC" w:rsidP="007968EC">
            <w:pPr>
              <w:spacing w:line="256" w:lineRule="auto"/>
              <w:jc w:val="center"/>
              <w:rPr>
                <w:rFonts w:ascii="Arial Narrow" w:eastAsia="Calibri" w:hAnsi="Arial Narrow"/>
                <w:color w:val="000000"/>
                <w:lang w:eastAsia="es-CO"/>
              </w:rPr>
            </w:pPr>
            <w:r>
              <w:rPr>
                <w:rFonts w:ascii="Arial Narrow" w:eastAsia="Calibri" w:hAnsi="Arial Narrow"/>
                <w:color w:val="000000"/>
                <w:lang w:eastAsia="es-CO"/>
              </w:rPr>
              <w:t>16</w:t>
            </w:r>
          </w:p>
        </w:tc>
      </w:tr>
      <w:tr w:rsidR="007968EC" w14:paraId="1E79F521" w14:textId="77777777" w:rsidTr="007968EC">
        <w:trPr>
          <w:trHeight w:val="260"/>
          <w:jc w:val="center"/>
        </w:trPr>
        <w:tc>
          <w:tcPr>
            <w:tcW w:w="1481" w:type="dxa"/>
            <w:tcBorders>
              <w:top w:val="nil"/>
              <w:left w:val="single" w:sz="4" w:space="0" w:color="auto"/>
              <w:bottom w:val="single" w:sz="4" w:space="0" w:color="auto"/>
              <w:right w:val="single" w:sz="4" w:space="0" w:color="auto"/>
            </w:tcBorders>
            <w:noWrap/>
            <w:vAlign w:val="center"/>
            <w:hideMark/>
          </w:tcPr>
          <w:p w14:paraId="3929EE69"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H6</w:t>
            </w:r>
          </w:p>
        </w:tc>
        <w:tc>
          <w:tcPr>
            <w:tcW w:w="579" w:type="dxa"/>
            <w:shd w:val="clear" w:color="auto" w:fill="BFBFBF"/>
            <w:noWrap/>
            <w:vAlign w:val="center"/>
          </w:tcPr>
          <w:p w14:paraId="18ABFC7A" w14:textId="77777777" w:rsidR="007968EC" w:rsidRDefault="007968EC" w:rsidP="007968EC">
            <w:pPr>
              <w:spacing w:line="256" w:lineRule="auto"/>
              <w:jc w:val="center"/>
              <w:rPr>
                <w:rFonts w:ascii="Arial Narrow" w:eastAsia="Calibri" w:hAnsi="Arial Narrow"/>
                <w:b/>
                <w:color w:val="000000"/>
                <w:lang w:eastAsia="es-CO"/>
              </w:rPr>
            </w:pPr>
          </w:p>
        </w:tc>
        <w:tc>
          <w:tcPr>
            <w:tcW w:w="579" w:type="dxa"/>
            <w:shd w:val="clear" w:color="auto" w:fill="BFBFBF"/>
            <w:noWrap/>
            <w:vAlign w:val="center"/>
          </w:tcPr>
          <w:p w14:paraId="19018EFE" w14:textId="77777777" w:rsidR="007968EC" w:rsidRDefault="007968EC" w:rsidP="007968EC">
            <w:pPr>
              <w:spacing w:line="256" w:lineRule="auto"/>
              <w:jc w:val="center"/>
              <w:rPr>
                <w:rFonts w:ascii="Arial Narrow" w:eastAsia="Calibri" w:hAnsi="Arial Narrow"/>
                <w:b/>
                <w:color w:val="000000"/>
                <w:lang w:eastAsia="es-CO"/>
              </w:rPr>
            </w:pPr>
          </w:p>
        </w:tc>
        <w:tc>
          <w:tcPr>
            <w:tcW w:w="579" w:type="dxa"/>
            <w:shd w:val="clear" w:color="auto" w:fill="BFBFBF"/>
            <w:noWrap/>
            <w:vAlign w:val="center"/>
          </w:tcPr>
          <w:p w14:paraId="6BD7625D" w14:textId="77777777" w:rsidR="007968EC" w:rsidRDefault="007968EC" w:rsidP="007968EC">
            <w:pPr>
              <w:spacing w:line="256" w:lineRule="auto"/>
              <w:jc w:val="center"/>
              <w:rPr>
                <w:rFonts w:ascii="Arial Narrow" w:eastAsia="Calibri" w:hAnsi="Arial Narrow"/>
                <w:b/>
                <w:color w:val="000000"/>
                <w:lang w:eastAsia="es-CO"/>
              </w:rPr>
            </w:pPr>
          </w:p>
        </w:tc>
        <w:tc>
          <w:tcPr>
            <w:tcW w:w="579" w:type="dxa"/>
            <w:shd w:val="clear" w:color="auto" w:fill="BFBFBF"/>
            <w:noWrap/>
            <w:vAlign w:val="center"/>
          </w:tcPr>
          <w:p w14:paraId="40E57D8D" w14:textId="77777777" w:rsidR="007968EC" w:rsidRDefault="007968EC" w:rsidP="007968EC">
            <w:pPr>
              <w:spacing w:line="256" w:lineRule="auto"/>
              <w:jc w:val="center"/>
              <w:rPr>
                <w:rFonts w:ascii="Arial Narrow" w:eastAsia="Calibri" w:hAnsi="Arial Narrow"/>
                <w:b/>
                <w:color w:val="000000"/>
                <w:lang w:eastAsia="es-CO"/>
              </w:rPr>
            </w:pPr>
          </w:p>
        </w:tc>
        <w:tc>
          <w:tcPr>
            <w:tcW w:w="579" w:type="dxa"/>
            <w:shd w:val="clear" w:color="auto" w:fill="BFBFBF"/>
            <w:noWrap/>
            <w:vAlign w:val="center"/>
          </w:tcPr>
          <w:p w14:paraId="3F0E5620" w14:textId="77777777" w:rsidR="007968EC" w:rsidRDefault="007968EC" w:rsidP="007968EC">
            <w:pPr>
              <w:spacing w:line="256" w:lineRule="auto"/>
              <w:jc w:val="center"/>
              <w:rPr>
                <w:rFonts w:ascii="Arial Narrow" w:eastAsia="Calibri" w:hAnsi="Arial Narrow"/>
                <w:b/>
                <w:color w:val="000000"/>
                <w:lang w:eastAsia="es-CO"/>
              </w:rPr>
            </w:pPr>
          </w:p>
        </w:tc>
        <w:tc>
          <w:tcPr>
            <w:tcW w:w="579" w:type="dxa"/>
            <w:tcBorders>
              <w:top w:val="nil"/>
              <w:left w:val="single" w:sz="4" w:space="0" w:color="auto"/>
              <w:bottom w:val="single" w:sz="4" w:space="0" w:color="auto"/>
              <w:right w:val="single" w:sz="4" w:space="0" w:color="auto"/>
            </w:tcBorders>
            <w:noWrap/>
            <w:vAlign w:val="center"/>
            <w:hideMark/>
          </w:tcPr>
          <w:p w14:paraId="240AE38A"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6</w:t>
            </w:r>
          </w:p>
        </w:tc>
        <w:tc>
          <w:tcPr>
            <w:tcW w:w="574" w:type="dxa"/>
            <w:tcBorders>
              <w:top w:val="nil"/>
              <w:left w:val="nil"/>
              <w:bottom w:val="single" w:sz="4" w:space="0" w:color="auto"/>
              <w:right w:val="single" w:sz="4" w:space="0" w:color="auto"/>
            </w:tcBorders>
            <w:noWrap/>
            <w:vAlign w:val="center"/>
            <w:hideMark/>
          </w:tcPr>
          <w:p w14:paraId="50C7FDC6"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11</w:t>
            </w:r>
          </w:p>
        </w:tc>
        <w:tc>
          <w:tcPr>
            <w:tcW w:w="584" w:type="dxa"/>
            <w:tcBorders>
              <w:top w:val="nil"/>
              <w:left w:val="nil"/>
              <w:bottom w:val="single" w:sz="4" w:space="0" w:color="auto"/>
              <w:right w:val="single" w:sz="4" w:space="0" w:color="auto"/>
            </w:tcBorders>
            <w:hideMark/>
          </w:tcPr>
          <w:p w14:paraId="235F6A33" w14:textId="77777777" w:rsidR="007968EC" w:rsidRDefault="007968EC" w:rsidP="007968EC">
            <w:pPr>
              <w:spacing w:line="256" w:lineRule="auto"/>
              <w:jc w:val="center"/>
              <w:rPr>
                <w:rFonts w:ascii="Arial Narrow" w:eastAsia="Calibri" w:hAnsi="Arial Narrow"/>
                <w:color w:val="000000"/>
                <w:lang w:eastAsia="es-CO"/>
              </w:rPr>
            </w:pPr>
            <w:r>
              <w:rPr>
                <w:rFonts w:ascii="Arial Narrow" w:eastAsia="Calibri" w:hAnsi="Arial Narrow"/>
                <w:color w:val="000000"/>
                <w:lang w:eastAsia="es-CO"/>
              </w:rPr>
              <w:t>10</w:t>
            </w:r>
          </w:p>
        </w:tc>
      </w:tr>
      <w:tr w:rsidR="007968EC" w14:paraId="1CC08479" w14:textId="77777777" w:rsidTr="007968EC">
        <w:trPr>
          <w:trHeight w:val="260"/>
          <w:jc w:val="center"/>
        </w:trPr>
        <w:tc>
          <w:tcPr>
            <w:tcW w:w="1481" w:type="dxa"/>
            <w:tcBorders>
              <w:top w:val="single" w:sz="4" w:space="0" w:color="auto"/>
              <w:left w:val="single" w:sz="4" w:space="0" w:color="auto"/>
              <w:bottom w:val="single" w:sz="4" w:space="0" w:color="auto"/>
              <w:right w:val="single" w:sz="4" w:space="0" w:color="auto"/>
            </w:tcBorders>
            <w:noWrap/>
            <w:vAlign w:val="center"/>
            <w:hideMark/>
          </w:tcPr>
          <w:p w14:paraId="47BDBB38"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H7</w:t>
            </w:r>
          </w:p>
        </w:tc>
        <w:tc>
          <w:tcPr>
            <w:tcW w:w="579" w:type="dxa"/>
            <w:shd w:val="clear" w:color="auto" w:fill="BFBFBF"/>
            <w:noWrap/>
            <w:vAlign w:val="center"/>
          </w:tcPr>
          <w:p w14:paraId="54C43114" w14:textId="77777777" w:rsidR="007968EC" w:rsidRDefault="007968EC" w:rsidP="007968EC">
            <w:pPr>
              <w:spacing w:line="256" w:lineRule="auto"/>
              <w:jc w:val="center"/>
              <w:rPr>
                <w:rFonts w:ascii="Arial Narrow" w:eastAsia="Calibri" w:hAnsi="Arial Narrow"/>
                <w:b/>
                <w:color w:val="000000"/>
                <w:lang w:eastAsia="es-CO"/>
              </w:rPr>
            </w:pPr>
          </w:p>
        </w:tc>
        <w:tc>
          <w:tcPr>
            <w:tcW w:w="579" w:type="dxa"/>
            <w:shd w:val="clear" w:color="auto" w:fill="BFBFBF"/>
            <w:noWrap/>
            <w:vAlign w:val="center"/>
          </w:tcPr>
          <w:p w14:paraId="059BAF06" w14:textId="77777777" w:rsidR="007968EC" w:rsidRDefault="007968EC" w:rsidP="007968EC">
            <w:pPr>
              <w:spacing w:line="256" w:lineRule="auto"/>
              <w:jc w:val="center"/>
              <w:rPr>
                <w:rFonts w:ascii="Arial Narrow" w:eastAsia="Calibri" w:hAnsi="Arial Narrow"/>
                <w:b/>
                <w:color w:val="000000"/>
                <w:lang w:eastAsia="es-CO"/>
              </w:rPr>
            </w:pPr>
          </w:p>
        </w:tc>
        <w:tc>
          <w:tcPr>
            <w:tcW w:w="579" w:type="dxa"/>
            <w:shd w:val="clear" w:color="auto" w:fill="BFBFBF"/>
            <w:noWrap/>
            <w:vAlign w:val="center"/>
          </w:tcPr>
          <w:p w14:paraId="40963C17" w14:textId="77777777" w:rsidR="007968EC" w:rsidRDefault="007968EC" w:rsidP="007968EC">
            <w:pPr>
              <w:spacing w:line="256" w:lineRule="auto"/>
              <w:jc w:val="center"/>
              <w:rPr>
                <w:rFonts w:ascii="Arial Narrow" w:eastAsia="Calibri" w:hAnsi="Arial Narrow"/>
                <w:b/>
                <w:color w:val="000000"/>
                <w:lang w:eastAsia="es-CO"/>
              </w:rPr>
            </w:pPr>
          </w:p>
        </w:tc>
        <w:tc>
          <w:tcPr>
            <w:tcW w:w="579" w:type="dxa"/>
            <w:shd w:val="clear" w:color="auto" w:fill="BFBFBF"/>
            <w:noWrap/>
            <w:vAlign w:val="center"/>
          </w:tcPr>
          <w:p w14:paraId="5E8C200F" w14:textId="77777777" w:rsidR="007968EC" w:rsidRDefault="007968EC" w:rsidP="007968EC">
            <w:pPr>
              <w:spacing w:line="256" w:lineRule="auto"/>
              <w:jc w:val="center"/>
              <w:rPr>
                <w:rFonts w:ascii="Arial Narrow" w:eastAsia="Calibri" w:hAnsi="Arial Narrow"/>
                <w:b/>
                <w:color w:val="000000"/>
                <w:lang w:eastAsia="es-CO"/>
              </w:rPr>
            </w:pPr>
          </w:p>
        </w:tc>
        <w:tc>
          <w:tcPr>
            <w:tcW w:w="579" w:type="dxa"/>
            <w:shd w:val="clear" w:color="auto" w:fill="BFBFBF"/>
            <w:noWrap/>
            <w:vAlign w:val="center"/>
          </w:tcPr>
          <w:p w14:paraId="40B6DA42" w14:textId="77777777" w:rsidR="007968EC" w:rsidRDefault="007968EC" w:rsidP="007968EC">
            <w:pPr>
              <w:spacing w:line="256" w:lineRule="auto"/>
              <w:jc w:val="center"/>
              <w:rPr>
                <w:rFonts w:ascii="Arial Narrow" w:eastAsia="Calibri" w:hAnsi="Arial Narrow"/>
                <w:b/>
                <w:color w:val="000000"/>
                <w:lang w:eastAsia="es-CO"/>
              </w:rPr>
            </w:pPr>
          </w:p>
        </w:tc>
        <w:tc>
          <w:tcPr>
            <w:tcW w:w="579" w:type="dxa"/>
            <w:tcBorders>
              <w:top w:val="nil"/>
              <w:left w:val="nil"/>
              <w:bottom w:val="nil"/>
              <w:right w:val="single" w:sz="4" w:space="0" w:color="auto"/>
            </w:tcBorders>
            <w:shd w:val="clear" w:color="auto" w:fill="BFBFBF"/>
            <w:noWrap/>
            <w:vAlign w:val="center"/>
          </w:tcPr>
          <w:p w14:paraId="41DFE4A7" w14:textId="77777777" w:rsidR="007968EC" w:rsidRDefault="007968EC" w:rsidP="007968EC">
            <w:pPr>
              <w:spacing w:line="256" w:lineRule="auto"/>
              <w:jc w:val="center"/>
              <w:rPr>
                <w:rFonts w:ascii="Arial Narrow" w:eastAsia="Calibri" w:hAnsi="Arial Narrow"/>
                <w:b/>
                <w:color w:val="000000"/>
                <w:lang w:eastAsia="es-CO"/>
              </w:rPr>
            </w:pPr>
          </w:p>
        </w:tc>
        <w:tc>
          <w:tcPr>
            <w:tcW w:w="574" w:type="dxa"/>
            <w:tcBorders>
              <w:top w:val="single" w:sz="4" w:space="0" w:color="auto"/>
              <w:left w:val="nil"/>
              <w:bottom w:val="single" w:sz="4" w:space="0" w:color="auto"/>
              <w:right w:val="single" w:sz="4" w:space="0" w:color="auto"/>
            </w:tcBorders>
            <w:noWrap/>
            <w:vAlign w:val="center"/>
            <w:hideMark/>
          </w:tcPr>
          <w:p w14:paraId="4553A9DE"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7</w:t>
            </w:r>
          </w:p>
        </w:tc>
        <w:tc>
          <w:tcPr>
            <w:tcW w:w="584" w:type="dxa"/>
            <w:tcBorders>
              <w:top w:val="single" w:sz="4" w:space="0" w:color="auto"/>
              <w:left w:val="nil"/>
              <w:bottom w:val="single" w:sz="4" w:space="0" w:color="auto"/>
              <w:right w:val="single" w:sz="4" w:space="0" w:color="auto"/>
            </w:tcBorders>
            <w:hideMark/>
          </w:tcPr>
          <w:p w14:paraId="35A88343" w14:textId="77777777" w:rsidR="007968EC" w:rsidRDefault="007968EC" w:rsidP="007968EC">
            <w:pPr>
              <w:spacing w:line="256" w:lineRule="auto"/>
              <w:jc w:val="center"/>
              <w:rPr>
                <w:rFonts w:ascii="Arial Narrow" w:eastAsia="Calibri" w:hAnsi="Arial Narrow"/>
                <w:color w:val="000000"/>
                <w:lang w:eastAsia="es-CO"/>
              </w:rPr>
            </w:pPr>
            <w:r>
              <w:rPr>
                <w:rFonts w:ascii="Arial Narrow" w:eastAsia="Calibri" w:hAnsi="Arial Narrow"/>
                <w:color w:val="000000"/>
                <w:lang w:eastAsia="es-CO"/>
              </w:rPr>
              <w:t>9</w:t>
            </w:r>
          </w:p>
        </w:tc>
      </w:tr>
      <w:tr w:rsidR="007968EC" w14:paraId="5EB47756" w14:textId="77777777" w:rsidTr="007968EC">
        <w:trPr>
          <w:trHeight w:val="260"/>
          <w:jc w:val="center"/>
        </w:trPr>
        <w:tc>
          <w:tcPr>
            <w:tcW w:w="1481" w:type="dxa"/>
            <w:tcBorders>
              <w:top w:val="single" w:sz="4" w:space="0" w:color="auto"/>
              <w:left w:val="single" w:sz="4" w:space="0" w:color="auto"/>
              <w:bottom w:val="single" w:sz="4" w:space="0" w:color="auto"/>
              <w:right w:val="single" w:sz="4" w:space="0" w:color="auto"/>
            </w:tcBorders>
            <w:noWrap/>
            <w:vAlign w:val="center"/>
            <w:hideMark/>
          </w:tcPr>
          <w:p w14:paraId="20A6D559" w14:textId="77777777" w:rsidR="007968EC" w:rsidRDefault="007968EC" w:rsidP="007968EC">
            <w:pPr>
              <w:spacing w:line="256" w:lineRule="auto"/>
              <w:jc w:val="center"/>
              <w:rPr>
                <w:rFonts w:ascii="Arial Narrow" w:eastAsia="Calibri" w:hAnsi="Arial Narrow"/>
                <w:color w:val="000000"/>
                <w:lang w:eastAsia="es-CO"/>
              </w:rPr>
            </w:pPr>
            <w:r>
              <w:rPr>
                <w:rFonts w:ascii="Arial Narrow" w:eastAsia="Calibri" w:hAnsi="Arial Narrow"/>
                <w:color w:val="000000"/>
                <w:lang w:eastAsia="es-CO"/>
              </w:rPr>
              <w:t>H8</w:t>
            </w:r>
          </w:p>
        </w:tc>
        <w:tc>
          <w:tcPr>
            <w:tcW w:w="579" w:type="dxa"/>
            <w:tcBorders>
              <w:top w:val="nil"/>
              <w:left w:val="nil"/>
              <w:bottom w:val="single" w:sz="4" w:space="0" w:color="auto"/>
              <w:right w:val="nil"/>
            </w:tcBorders>
            <w:shd w:val="clear" w:color="auto" w:fill="BFBFBF" w:themeFill="background1" w:themeFillShade="BF"/>
            <w:noWrap/>
            <w:vAlign w:val="center"/>
          </w:tcPr>
          <w:p w14:paraId="3B53846F" w14:textId="77777777" w:rsidR="007968EC" w:rsidRDefault="007968EC" w:rsidP="007968EC">
            <w:pPr>
              <w:spacing w:line="256" w:lineRule="auto"/>
              <w:jc w:val="center"/>
              <w:rPr>
                <w:rFonts w:ascii="Arial Narrow" w:eastAsia="Calibri" w:hAnsi="Arial Narrow"/>
                <w:b/>
                <w:color w:val="000000"/>
                <w:lang w:eastAsia="es-CO"/>
              </w:rPr>
            </w:pPr>
          </w:p>
        </w:tc>
        <w:tc>
          <w:tcPr>
            <w:tcW w:w="579" w:type="dxa"/>
            <w:tcBorders>
              <w:top w:val="nil"/>
              <w:left w:val="nil"/>
              <w:bottom w:val="single" w:sz="4" w:space="0" w:color="auto"/>
              <w:right w:val="nil"/>
            </w:tcBorders>
            <w:shd w:val="clear" w:color="auto" w:fill="BFBFBF" w:themeFill="background1" w:themeFillShade="BF"/>
            <w:noWrap/>
            <w:vAlign w:val="center"/>
          </w:tcPr>
          <w:p w14:paraId="0E0C6CA5" w14:textId="77777777" w:rsidR="007968EC" w:rsidRDefault="007968EC" w:rsidP="007968EC">
            <w:pPr>
              <w:spacing w:line="256" w:lineRule="auto"/>
              <w:jc w:val="center"/>
              <w:rPr>
                <w:rFonts w:ascii="Arial Narrow" w:eastAsia="Calibri" w:hAnsi="Arial Narrow"/>
                <w:b/>
                <w:color w:val="000000"/>
                <w:lang w:eastAsia="es-CO"/>
              </w:rPr>
            </w:pPr>
          </w:p>
        </w:tc>
        <w:tc>
          <w:tcPr>
            <w:tcW w:w="579" w:type="dxa"/>
            <w:tcBorders>
              <w:top w:val="nil"/>
              <w:left w:val="nil"/>
              <w:bottom w:val="single" w:sz="4" w:space="0" w:color="auto"/>
              <w:right w:val="nil"/>
            </w:tcBorders>
            <w:shd w:val="clear" w:color="auto" w:fill="BFBFBF" w:themeFill="background1" w:themeFillShade="BF"/>
            <w:noWrap/>
            <w:vAlign w:val="center"/>
          </w:tcPr>
          <w:p w14:paraId="0DB0B303" w14:textId="77777777" w:rsidR="007968EC" w:rsidRDefault="007968EC" w:rsidP="007968EC">
            <w:pPr>
              <w:spacing w:line="256" w:lineRule="auto"/>
              <w:jc w:val="center"/>
              <w:rPr>
                <w:rFonts w:ascii="Arial Narrow" w:eastAsia="Calibri" w:hAnsi="Arial Narrow"/>
                <w:b/>
                <w:color w:val="000000"/>
                <w:lang w:eastAsia="es-CO"/>
              </w:rPr>
            </w:pPr>
          </w:p>
        </w:tc>
        <w:tc>
          <w:tcPr>
            <w:tcW w:w="579" w:type="dxa"/>
            <w:tcBorders>
              <w:top w:val="nil"/>
              <w:left w:val="nil"/>
              <w:bottom w:val="single" w:sz="4" w:space="0" w:color="auto"/>
              <w:right w:val="nil"/>
            </w:tcBorders>
            <w:shd w:val="clear" w:color="auto" w:fill="BFBFBF" w:themeFill="background1" w:themeFillShade="BF"/>
            <w:noWrap/>
            <w:vAlign w:val="center"/>
          </w:tcPr>
          <w:p w14:paraId="4ED02EFD" w14:textId="77777777" w:rsidR="007968EC" w:rsidRDefault="007968EC" w:rsidP="007968EC">
            <w:pPr>
              <w:spacing w:line="256" w:lineRule="auto"/>
              <w:jc w:val="center"/>
              <w:rPr>
                <w:rFonts w:ascii="Arial Narrow" w:eastAsia="Calibri" w:hAnsi="Arial Narrow"/>
                <w:b/>
                <w:color w:val="000000"/>
                <w:lang w:eastAsia="es-CO"/>
              </w:rPr>
            </w:pPr>
          </w:p>
        </w:tc>
        <w:tc>
          <w:tcPr>
            <w:tcW w:w="579" w:type="dxa"/>
            <w:tcBorders>
              <w:top w:val="nil"/>
              <w:left w:val="nil"/>
              <w:bottom w:val="single" w:sz="4" w:space="0" w:color="auto"/>
              <w:right w:val="nil"/>
            </w:tcBorders>
            <w:shd w:val="clear" w:color="auto" w:fill="BFBFBF" w:themeFill="background1" w:themeFillShade="BF"/>
            <w:noWrap/>
            <w:vAlign w:val="center"/>
          </w:tcPr>
          <w:p w14:paraId="23A782E4" w14:textId="77777777" w:rsidR="007968EC" w:rsidRDefault="007968EC" w:rsidP="007968EC">
            <w:pPr>
              <w:spacing w:line="256" w:lineRule="auto"/>
              <w:jc w:val="center"/>
              <w:rPr>
                <w:rFonts w:ascii="Arial Narrow" w:eastAsia="Calibri" w:hAnsi="Arial Narrow"/>
                <w:b/>
                <w:color w:val="000000"/>
                <w:lang w:eastAsia="es-CO"/>
              </w:rPr>
            </w:pPr>
          </w:p>
        </w:tc>
        <w:tc>
          <w:tcPr>
            <w:tcW w:w="579" w:type="dxa"/>
            <w:tcBorders>
              <w:top w:val="nil"/>
              <w:left w:val="nil"/>
              <w:bottom w:val="single" w:sz="4" w:space="0" w:color="auto"/>
              <w:right w:val="nil"/>
            </w:tcBorders>
            <w:shd w:val="clear" w:color="auto" w:fill="BFBFBF" w:themeFill="background1" w:themeFillShade="BF"/>
            <w:noWrap/>
            <w:vAlign w:val="center"/>
          </w:tcPr>
          <w:p w14:paraId="6C553CA4" w14:textId="77777777" w:rsidR="007968EC" w:rsidRDefault="007968EC" w:rsidP="007968EC">
            <w:pPr>
              <w:spacing w:line="256" w:lineRule="auto"/>
              <w:jc w:val="center"/>
              <w:rPr>
                <w:rFonts w:ascii="Arial Narrow" w:eastAsia="Calibri" w:hAnsi="Arial Narrow"/>
                <w:b/>
                <w:color w:val="000000"/>
                <w:lang w:eastAsia="es-CO"/>
              </w:rPr>
            </w:pPr>
          </w:p>
        </w:tc>
        <w:tc>
          <w:tcPr>
            <w:tcW w:w="574"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D045B4A" w14:textId="77777777" w:rsidR="007968EC" w:rsidRDefault="007968EC" w:rsidP="007968EC">
            <w:pPr>
              <w:spacing w:line="256" w:lineRule="auto"/>
              <w:jc w:val="center"/>
              <w:rPr>
                <w:rFonts w:ascii="Arial Narrow" w:eastAsia="Calibri" w:hAnsi="Arial Narrow"/>
                <w:color w:val="000000"/>
                <w:lang w:eastAsia="es-CO"/>
              </w:rPr>
            </w:pPr>
          </w:p>
        </w:tc>
        <w:tc>
          <w:tcPr>
            <w:tcW w:w="584" w:type="dxa"/>
            <w:tcBorders>
              <w:top w:val="single" w:sz="4" w:space="0" w:color="auto"/>
              <w:left w:val="single" w:sz="4" w:space="0" w:color="auto"/>
              <w:bottom w:val="single" w:sz="4" w:space="0" w:color="auto"/>
              <w:right w:val="single" w:sz="4" w:space="0" w:color="auto"/>
            </w:tcBorders>
            <w:hideMark/>
          </w:tcPr>
          <w:p w14:paraId="4B2ED52A" w14:textId="77777777" w:rsidR="007968EC" w:rsidRDefault="007968EC" w:rsidP="007968EC">
            <w:pPr>
              <w:spacing w:line="256" w:lineRule="auto"/>
              <w:jc w:val="center"/>
              <w:rPr>
                <w:rFonts w:ascii="Arial Narrow" w:eastAsia="Calibri" w:hAnsi="Arial Narrow"/>
                <w:color w:val="000000"/>
                <w:lang w:eastAsia="es-CO"/>
              </w:rPr>
            </w:pPr>
            <w:r>
              <w:rPr>
                <w:rFonts w:ascii="Arial Narrow" w:eastAsia="Calibri" w:hAnsi="Arial Narrow"/>
                <w:color w:val="000000"/>
                <w:lang w:eastAsia="es-CO"/>
              </w:rPr>
              <w:t>8</w:t>
            </w:r>
          </w:p>
        </w:tc>
      </w:tr>
    </w:tbl>
    <w:p w14:paraId="4C52F83B" w14:textId="77777777" w:rsidR="007968EC" w:rsidRDefault="007968EC" w:rsidP="007968EC">
      <w:pPr>
        <w:autoSpaceDE w:val="0"/>
        <w:autoSpaceDN w:val="0"/>
        <w:jc w:val="both"/>
        <w:rPr>
          <w:rFonts w:ascii="Arial Narrow" w:eastAsia="Calibri" w:hAnsi="Arial Narrow"/>
          <w:bCs/>
          <w:color w:val="000000"/>
          <w:lang w:eastAsia="en-US"/>
        </w:rPr>
      </w:pPr>
    </w:p>
    <w:p w14:paraId="2609CF0B" w14:textId="77777777" w:rsidR="007968EC" w:rsidRDefault="007968EC" w:rsidP="007968EC">
      <w:pPr>
        <w:jc w:val="both"/>
        <w:rPr>
          <w:rFonts w:ascii="Arial Narrow" w:eastAsia="Calibri" w:hAnsi="Arial Narrow"/>
          <w:color w:val="000000"/>
          <w:lang w:eastAsia="en-US"/>
        </w:rPr>
      </w:pPr>
      <w:r>
        <w:rPr>
          <w:rFonts w:ascii="Arial Narrow" w:eastAsia="Calibri" w:hAnsi="Arial Narrow"/>
          <w:color w:val="000000"/>
          <w:lang w:eastAsia="en-US"/>
        </w:rPr>
        <w:t>El Delta para formar un Spread para los Futuros de TES de Referencias Específicas es el siguiente:</w:t>
      </w:r>
    </w:p>
    <w:p w14:paraId="6158AA24" w14:textId="77777777" w:rsidR="007968EC" w:rsidRDefault="007968EC" w:rsidP="007968EC">
      <w:pPr>
        <w:jc w:val="both"/>
        <w:rPr>
          <w:rFonts w:ascii="Arial Narrow" w:eastAsia="Calibri" w:hAnsi="Arial Narrow"/>
          <w:color w:val="000000"/>
          <w:lang w:eastAsia="en-US"/>
        </w:rPr>
      </w:pPr>
    </w:p>
    <w:tbl>
      <w:tblPr>
        <w:tblW w:w="4140" w:type="dxa"/>
        <w:jc w:val="center"/>
        <w:tblLayout w:type="fixed"/>
        <w:tblCellMar>
          <w:left w:w="70" w:type="dxa"/>
          <w:right w:w="70" w:type="dxa"/>
        </w:tblCellMar>
        <w:tblLook w:val="04A0" w:firstRow="1" w:lastRow="0" w:firstColumn="1" w:lastColumn="0" w:noHBand="0" w:noVBand="1"/>
      </w:tblPr>
      <w:tblGrid>
        <w:gridCol w:w="2583"/>
        <w:gridCol w:w="1557"/>
      </w:tblGrid>
      <w:tr w:rsidR="007968EC" w14:paraId="786D9241" w14:textId="77777777" w:rsidTr="007968EC">
        <w:trPr>
          <w:trHeight w:val="900"/>
          <w:jc w:val="center"/>
        </w:trPr>
        <w:tc>
          <w:tcPr>
            <w:tcW w:w="2586" w:type="dxa"/>
            <w:tcBorders>
              <w:top w:val="single" w:sz="4" w:space="0" w:color="auto"/>
              <w:left w:val="single" w:sz="4" w:space="0" w:color="auto"/>
              <w:bottom w:val="single" w:sz="4" w:space="0" w:color="auto"/>
              <w:right w:val="single" w:sz="4" w:space="0" w:color="auto"/>
            </w:tcBorders>
            <w:vAlign w:val="center"/>
            <w:hideMark/>
          </w:tcPr>
          <w:p w14:paraId="21841C6B" w14:textId="77777777" w:rsidR="007968EC" w:rsidRDefault="007968EC" w:rsidP="007968EC">
            <w:pPr>
              <w:spacing w:line="256" w:lineRule="auto"/>
              <w:jc w:val="center"/>
              <w:rPr>
                <w:rFonts w:ascii="Arial Narrow" w:eastAsia="Calibri" w:hAnsi="Arial Narrow"/>
                <w:b/>
                <w:color w:val="000000"/>
                <w:lang w:eastAsia="es-CO"/>
              </w:rPr>
            </w:pPr>
            <w:bookmarkStart w:id="4920" w:name="_Hlk533665348"/>
            <w:r>
              <w:rPr>
                <w:rFonts w:ascii="Arial Narrow" w:eastAsia="Calibri" w:hAnsi="Arial Narrow"/>
                <w:color w:val="000000"/>
                <w:lang w:eastAsia="es-CO"/>
              </w:rPr>
              <w:t>Parejas de Grupos de Compensación</w:t>
            </w:r>
          </w:p>
        </w:tc>
        <w:tc>
          <w:tcPr>
            <w:tcW w:w="1559" w:type="dxa"/>
            <w:tcBorders>
              <w:top w:val="single" w:sz="4" w:space="0" w:color="auto"/>
              <w:left w:val="nil"/>
              <w:bottom w:val="single" w:sz="4" w:space="0" w:color="auto"/>
              <w:right w:val="single" w:sz="4" w:space="0" w:color="auto"/>
            </w:tcBorders>
            <w:vAlign w:val="center"/>
            <w:hideMark/>
          </w:tcPr>
          <w:p w14:paraId="6442F994"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Delta para formar (1) un Spread</w:t>
            </w:r>
          </w:p>
        </w:tc>
      </w:tr>
      <w:tr w:rsidR="007968EC" w14:paraId="6A942D18" w14:textId="77777777" w:rsidTr="007968EC">
        <w:trPr>
          <w:trHeight w:val="300"/>
          <w:jc w:val="center"/>
        </w:trPr>
        <w:tc>
          <w:tcPr>
            <w:tcW w:w="2586" w:type="dxa"/>
            <w:tcBorders>
              <w:top w:val="nil"/>
              <w:left w:val="single" w:sz="4" w:space="0" w:color="auto"/>
              <w:bottom w:val="single" w:sz="4" w:space="0" w:color="auto"/>
              <w:right w:val="single" w:sz="4" w:space="0" w:color="auto"/>
            </w:tcBorders>
            <w:noWrap/>
            <w:vAlign w:val="center"/>
            <w:hideMark/>
          </w:tcPr>
          <w:p w14:paraId="1E90D29C"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H1/H2</w:t>
            </w:r>
          </w:p>
        </w:tc>
        <w:tc>
          <w:tcPr>
            <w:tcW w:w="1559" w:type="dxa"/>
            <w:tcBorders>
              <w:top w:val="nil"/>
              <w:left w:val="nil"/>
              <w:bottom w:val="single" w:sz="4" w:space="0" w:color="auto"/>
              <w:right w:val="single" w:sz="4" w:space="0" w:color="auto"/>
            </w:tcBorders>
            <w:noWrap/>
            <w:vAlign w:val="bottom"/>
            <w:hideMark/>
          </w:tcPr>
          <w:p w14:paraId="34EC5C0D" w14:textId="77777777" w:rsidR="007968EC" w:rsidRDefault="007968EC" w:rsidP="007968EC">
            <w:pPr>
              <w:spacing w:line="256" w:lineRule="auto"/>
              <w:jc w:val="center"/>
              <w:rPr>
                <w:rFonts w:ascii="Arial Narrow" w:eastAsia="Calibri" w:hAnsi="Arial Narrow"/>
                <w:color w:val="000000"/>
                <w:lang w:eastAsia="es-CO"/>
              </w:rPr>
            </w:pPr>
            <w:r>
              <w:rPr>
                <w:rFonts w:ascii="Arial Narrow" w:hAnsi="Arial Narrow" w:cs="Arial"/>
                <w:color w:val="000000"/>
                <w:lang w:val="es-ES" w:eastAsia="es-CO"/>
              </w:rPr>
              <w:t>100/23</w:t>
            </w:r>
          </w:p>
        </w:tc>
      </w:tr>
      <w:tr w:rsidR="007968EC" w14:paraId="1D56E764" w14:textId="77777777" w:rsidTr="007968EC">
        <w:trPr>
          <w:trHeight w:val="300"/>
          <w:jc w:val="center"/>
        </w:trPr>
        <w:tc>
          <w:tcPr>
            <w:tcW w:w="2586" w:type="dxa"/>
            <w:tcBorders>
              <w:top w:val="nil"/>
              <w:left w:val="single" w:sz="4" w:space="0" w:color="auto"/>
              <w:bottom w:val="single" w:sz="4" w:space="0" w:color="auto"/>
              <w:right w:val="single" w:sz="4" w:space="0" w:color="auto"/>
            </w:tcBorders>
            <w:noWrap/>
            <w:vAlign w:val="center"/>
            <w:hideMark/>
          </w:tcPr>
          <w:p w14:paraId="5192F1C5"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H1/H3</w:t>
            </w:r>
          </w:p>
        </w:tc>
        <w:tc>
          <w:tcPr>
            <w:tcW w:w="1559" w:type="dxa"/>
            <w:tcBorders>
              <w:top w:val="nil"/>
              <w:left w:val="nil"/>
              <w:bottom w:val="single" w:sz="4" w:space="0" w:color="auto"/>
              <w:right w:val="single" w:sz="4" w:space="0" w:color="auto"/>
            </w:tcBorders>
            <w:noWrap/>
            <w:vAlign w:val="bottom"/>
            <w:hideMark/>
          </w:tcPr>
          <w:p w14:paraId="0D51FCAB" w14:textId="77777777" w:rsidR="007968EC" w:rsidRDefault="007968EC" w:rsidP="007968EC">
            <w:pPr>
              <w:spacing w:line="256" w:lineRule="auto"/>
              <w:jc w:val="center"/>
              <w:rPr>
                <w:rFonts w:ascii="Arial Narrow" w:eastAsia="Calibri" w:hAnsi="Arial Narrow"/>
                <w:color w:val="000000"/>
                <w:lang w:eastAsia="es-CO"/>
              </w:rPr>
            </w:pPr>
            <w:r>
              <w:rPr>
                <w:rFonts w:ascii="Arial Narrow" w:hAnsi="Arial Narrow" w:cs="Arial"/>
                <w:color w:val="000000"/>
                <w:lang w:val="es-ES" w:eastAsia="es-CO"/>
              </w:rPr>
              <w:t>100/12</w:t>
            </w:r>
          </w:p>
        </w:tc>
      </w:tr>
      <w:tr w:rsidR="007968EC" w14:paraId="15AAB6AE" w14:textId="77777777" w:rsidTr="007968EC">
        <w:trPr>
          <w:trHeight w:val="300"/>
          <w:jc w:val="center"/>
        </w:trPr>
        <w:tc>
          <w:tcPr>
            <w:tcW w:w="2586" w:type="dxa"/>
            <w:tcBorders>
              <w:top w:val="nil"/>
              <w:left w:val="single" w:sz="4" w:space="0" w:color="auto"/>
              <w:bottom w:val="single" w:sz="4" w:space="0" w:color="auto"/>
              <w:right w:val="single" w:sz="4" w:space="0" w:color="auto"/>
            </w:tcBorders>
            <w:noWrap/>
            <w:vAlign w:val="center"/>
            <w:hideMark/>
          </w:tcPr>
          <w:p w14:paraId="29F7B4CE"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H1/H4</w:t>
            </w:r>
          </w:p>
        </w:tc>
        <w:tc>
          <w:tcPr>
            <w:tcW w:w="1559" w:type="dxa"/>
            <w:tcBorders>
              <w:top w:val="nil"/>
              <w:left w:val="nil"/>
              <w:bottom w:val="single" w:sz="4" w:space="0" w:color="auto"/>
              <w:right w:val="single" w:sz="4" w:space="0" w:color="auto"/>
            </w:tcBorders>
            <w:noWrap/>
            <w:vAlign w:val="bottom"/>
            <w:hideMark/>
          </w:tcPr>
          <w:p w14:paraId="1EE015A2" w14:textId="77777777" w:rsidR="007968EC" w:rsidRDefault="007968EC" w:rsidP="007968EC">
            <w:pPr>
              <w:spacing w:line="256" w:lineRule="auto"/>
              <w:jc w:val="center"/>
              <w:rPr>
                <w:rFonts w:ascii="Arial Narrow" w:eastAsia="Calibri" w:hAnsi="Arial Narrow"/>
                <w:color w:val="000000"/>
                <w:lang w:eastAsia="es-CO"/>
              </w:rPr>
            </w:pPr>
            <w:r>
              <w:rPr>
                <w:rFonts w:ascii="Arial Narrow" w:hAnsi="Arial Narrow" w:cs="Arial"/>
                <w:color w:val="000000"/>
                <w:lang w:val="es-ES" w:eastAsia="es-CO"/>
              </w:rPr>
              <w:t>100/8</w:t>
            </w:r>
          </w:p>
        </w:tc>
      </w:tr>
      <w:tr w:rsidR="007968EC" w14:paraId="35E63E40" w14:textId="77777777" w:rsidTr="007968EC">
        <w:trPr>
          <w:trHeight w:val="300"/>
          <w:jc w:val="center"/>
        </w:trPr>
        <w:tc>
          <w:tcPr>
            <w:tcW w:w="2586" w:type="dxa"/>
            <w:tcBorders>
              <w:top w:val="nil"/>
              <w:left w:val="single" w:sz="4" w:space="0" w:color="auto"/>
              <w:bottom w:val="single" w:sz="4" w:space="0" w:color="auto"/>
              <w:right w:val="single" w:sz="4" w:space="0" w:color="auto"/>
            </w:tcBorders>
            <w:noWrap/>
            <w:vAlign w:val="center"/>
            <w:hideMark/>
          </w:tcPr>
          <w:p w14:paraId="512EE7FC"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H1/H5</w:t>
            </w:r>
          </w:p>
        </w:tc>
        <w:tc>
          <w:tcPr>
            <w:tcW w:w="1559" w:type="dxa"/>
            <w:tcBorders>
              <w:top w:val="nil"/>
              <w:left w:val="nil"/>
              <w:bottom w:val="single" w:sz="4" w:space="0" w:color="auto"/>
              <w:right w:val="single" w:sz="4" w:space="0" w:color="auto"/>
            </w:tcBorders>
            <w:noWrap/>
            <w:vAlign w:val="bottom"/>
            <w:hideMark/>
          </w:tcPr>
          <w:p w14:paraId="0F867FEC" w14:textId="77777777" w:rsidR="007968EC" w:rsidRDefault="007968EC" w:rsidP="007968EC">
            <w:pPr>
              <w:spacing w:line="256" w:lineRule="auto"/>
              <w:jc w:val="center"/>
              <w:rPr>
                <w:rFonts w:ascii="Arial Narrow" w:eastAsia="Calibri" w:hAnsi="Arial Narrow"/>
                <w:color w:val="000000"/>
                <w:lang w:eastAsia="es-CO"/>
              </w:rPr>
            </w:pPr>
            <w:r>
              <w:rPr>
                <w:rFonts w:ascii="Arial Narrow" w:hAnsi="Arial Narrow" w:cs="Arial"/>
                <w:color w:val="000000"/>
                <w:lang w:val="es-ES" w:eastAsia="es-CO"/>
              </w:rPr>
              <w:t>100/6</w:t>
            </w:r>
          </w:p>
        </w:tc>
      </w:tr>
      <w:tr w:rsidR="007968EC" w14:paraId="06EA6BD4" w14:textId="77777777" w:rsidTr="007968EC">
        <w:trPr>
          <w:trHeight w:val="300"/>
          <w:jc w:val="center"/>
        </w:trPr>
        <w:tc>
          <w:tcPr>
            <w:tcW w:w="2586" w:type="dxa"/>
            <w:tcBorders>
              <w:top w:val="nil"/>
              <w:left w:val="single" w:sz="4" w:space="0" w:color="auto"/>
              <w:bottom w:val="single" w:sz="4" w:space="0" w:color="auto"/>
              <w:right w:val="single" w:sz="4" w:space="0" w:color="auto"/>
            </w:tcBorders>
            <w:noWrap/>
            <w:vAlign w:val="center"/>
            <w:hideMark/>
          </w:tcPr>
          <w:p w14:paraId="5CEEFBF5"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H1/H6</w:t>
            </w:r>
          </w:p>
        </w:tc>
        <w:tc>
          <w:tcPr>
            <w:tcW w:w="1559" w:type="dxa"/>
            <w:tcBorders>
              <w:top w:val="nil"/>
              <w:left w:val="nil"/>
              <w:bottom w:val="single" w:sz="4" w:space="0" w:color="auto"/>
              <w:right w:val="single" w:sz="4" w:space="0" w:color="auto"/>
            </w:tcBorders>
            <w:noWrap/>
            <w:vAlign w:val="bottom"/>
            <w:hideMark/>
          </w:tcPr>
          <w:p w14:paraId="5744D69F" w14:textId="77777777" w:rsidR="007968EC" w:rsidRDefault="007968EC" w:rsidP="007968EC">
            <w:pPr>
              <w:spacing w:line="256" w:lineRule="auto"/>
              <w:jc w:val="center"/>
              <w:rPr>
                <w:rFonts w:ascii="Arial Narrow" w:eastAsia="Calibri" w:hAnsi="Arial Narrow"/>
                <w:color w:val="000000"/>
                <w:lang w:eastAsia="es-CO"/>
              </w:rPr>
            </w:pPr>
            <w:r>
              <w:rPr>
                <w:rFonts w:ascii="Arial Narrow" w:hAnsi="Arial Narrow" w:cs="Arial"/>
                <w:color w:val="000000"/>
                <w:lang w:val="es-ES" w:eastAsia="es-CO"/>
              </w:rPr>
              <w:t>100/5</w:t>
            </w:r>
          </w:p>
        </w:tc>
      </w:tr>
      <w:tr w:rsidR="007968EC" w14:paraId="0EA49638" w14:textId="77777777" w:rsidTr="007968EC">
        <w:trPr>
          <w:trHeight w:val="300"/>
          <w:jc w:val="center"/>
        </w:trPr>
        <w:tc>
          <w:tcPr>
            <w:tcW w:w="2586" w:type="dxa"/>
            <w:tcBorders>
              <w:top w:val="nil"/>
              <w:left w:val="single" w:sz="4" w:space="0" w:color="auto"/>
              <w:bottom w:val="single" w:sz="4" w:space="0" w:color="auto"/>
              <w:right w:val="single" w:sz="4" w:space="0" w:color="auto"/>
            </w:tcBorders>
            <w:noWrap/>
            <w:vAlign w:val="center"/>
            <w:hideMark/>
          </w:tcPr>
          <w:p w14:paraId="6A37643A"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H1/H7</w:t>
            </w:r>
          </w:p>
        </w:tc>
        <w:tc>
          <w:tcPr>
            <w:tcW w:w="1559" w:type="dxa"/>
            <w:tcBorders>
              <w:top w:val="nil"/>
              <w:left w:val="nil"/>
              <w:bottom w:val="single" w:sz="4" w:space="0" w:color="auto"/>
              <w:right w:val="single" w:sz="4" w:space="0" w:color="auto"/>
            </w:tcBorders>
            <w:noWrap/>
            <w:vAlign w:val="bottom"/>
            <w:hideMark/>
          </w:tcPr>
          <w:p w14:paraId="6A0CF875" w14:textId="77777777" w:rsidR="007968EC" w:rsidRDefault="007968EC" w:rsidP="007968EC">
            <w:pPr>
              <w:spacing w:line="256" w:lineRule="auto"/>
              <w:jc w:val="center"/>
              <w:rPr>
                <w:rFonts w:ascii="Arial Narrow" w:eastAsia="Calibri" w:hAnsi="Arial Narrow"/>
                <w:color w:val="000000"/>
                <w:lang w:eastAsia="es-CO"/>
              </w:rPr>
            </w:pPr>
            <w:r>
              <w:rPr>
                <w:rFonts w:ascii="Arial Narrow" w:hAnsi="Arial Narrow" w:cs="Arial"/>
                <w:color w:val="000000"/>
                <w:lang w:val="es-ES" w:eastAsia="es-CO"/>
              </w:rPr>
              <w:t>100/4</w:t>
            </w:r>
          </w:p>
        </w:tc>
      </w:tr>
      <w:tr w:rsidR="007968EC" w14:paraId="6064EABF" w14:textId="77777777" w:rsidTr="007968EC">
        <w:trPr>
          <w:trHeight w:val="300"/>
          <w:jc w:val="center"/>
        </w:trPr>
        <w:tc>
          <w:tcPr>
            <w:tcW w:w="2586" w:type="dxa"/>
            <w:tcBorders>
              <w:top w:val="nil"/>
              <w:left w:val="single" w:sz="4" w:space="0" w:color="auto"/>
              <w:bottom w:val="single" w:sz="4" w:space="0" w:color="auto"/>
              <w:right w:val="single" w:sz="4" w:space="0" w:color="auto"/>
            </w:tcBorders>
            <w:noWrap/>
            <w:vAlign w:val="center"/>
            <w:hideMark/>
          </w:tcPr>
          <w:p w14:paraId="5B23A388" w14:textId="77777777" w:rsidR="007968EC" w:rsidRDefault="007968EC" w:rsidP="007968EC">
            <w:pPr>
              <w:spacing w:line="256" w:lineRule="auto"/>
              <w:jc w:val="center"/>
              <w:rPr>
                <w:rFonts w:ascii="Arial Narrow" w:eastAsia="Calibri" w:hAnsi="Arial Narrow"/>
                <w:color w:val="000000"/>
                <w:lang w:eastAsia="es-CO"/>
              </w:rPr>
            </w:pPr>
            <w:r>
              <w:rPr>
                <w:rFonts w:ascii="Arial Narrow" w:eastAsia="Calibri" w:hAnsi="Arial Narrow"/>
                <w:color w:val="000000"/>
                <w:lang w:eastAsia="es-CO"/>
              </w:rPr>
              <w:t>H1/H8</w:t>
            </w:r>
          </w:p>
        </w:tc>
        <w:tc>
          <w:tcPr>
            <w:tcW w:w="1559" w:type="dxa"/>
            <w:tcBorders>
              <w:top w:val="nil"/>
              <w:left w:val="nil"/>
              <w:bottom w:val="single" w:sz="4" w:space="0" w:color="auto"/>
              <w:right w:val="single" w:sz="4" w:space="0" w:color="auto"/>
            </w:tcBorders>
            <w:noWrap/>
            <w:vAlign w:val="bottom"/>
            <w:hideMark/>
          </w:tcPr>
          <w:p w14:paraId="0145734C" w14:textId="77777777" w:rsidR="007968EC" w:rsidRDefault="007968EC" w:rsidP="007968EC">
            <w:pPr>
              <w:spacing w:line="256" w:lineRule="auto"/>
              <w:jc w:val="center"/>
              <w:rPr>
                <w:rFonts w:ascii="Arial Narrow" w:hAnsi="Arial Narrow" w:cs="Arial"/>
                <w:color w:val="000000"/>
                <w:lang w:val="es-ES" w:eastAsia="es-CO"/>
              </w:rPr>
            </w:pPr>
            <w:r>
              <w:rPr>
                <w:rFonts w:ascii="Arial Narrow" w:hAnsi="Arial Narrow" w:cs="Arial"/>
                <w:color w:val="000000"/>
                <w:lang w:val="es-ES" w:eastAsia="es-CO"/>
              </w:rPr>
              <w:t>100/4</w:t>
            </w:r>
          </w:p>
        </w:tc>
      </w:tr>
      <w:tr w:rsidR="007968EC" w14:paraId="48E18083" w14:textId="77777777" w:rsidTr="007968EC">
        <w:trPr>
          <w:trHeight w:val="300"/>
          <w:jc w:val="center"/>
        </w:trPr>
        <w:tc>
          <w:tcPr>
            <w:tcW w:w="2586" w:type="dxa"/>
            <w:tcBorders>
              <w:top w:val="nil"/>
              <w:left w:val="single" w:sz="4" w:space="0" w:color="auto"/>
              <w:bottom w:val="single" w:sz="4" w:space="0" w:color="auto"/>
              <w:right w:val="single" w:sz="4" w:space="0" w:color="auto"/>
            </w:tcBorders>
            <w:noWrap/>
            <w:vAlign w:val="center"/>
            <w:hideMark/>
          </w:tcPr>
          <w:p w14:paraId="1A8E8DD0"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H2/H3</w:t>
            </w:r>
          </w:p>
        </w:tc>
        <w:tc>
          <w:tcPr>
            <w:tcW w:w="1559" w:type="dxa"/>
            <w:tcBorders>
              <w:top w:val="nil"/>
              <w:left w:val="nil"/>
              <w:bottom w:val="single" w:sz="4" w:space="0" w:color="auto"/>
              <w:right w:val="single" w:sz="4" w:space="0" w:color="auto"/>
            </w:tcBorders>
            <w:noWrap/>
            <w:vAlign w:val="bottom"/>
            <w:hideMark/>
          </w:tcPr>
          <w:p w14:paraId="69E31D22" w14:textId="77777777" w:rsidR="007968EC" w:rsidRDefault="007968EC" w:rsidP="007968EC">
            <w:pPr>
              <w:spacing w:line="256" w:lineRule="auto"/>
              <w:jc w:val="center"/>
              <w:rPr>
                <w:rFonts w:ascii="Arial Narrow" w:eastAsia="Calibri" w:hAnsi="Arial Narrow"/>
                <w:color w:val="000000"/>
                <w:lang w:eastAsia="es-CO"/>
              </w:rPr>
            </w:pPr>
            <w:r>
              <w:rPr>
                <w:rFonts w:ascii="Arial Narrow" w:hAnsi="Arial Narrow" w:cs="Arial"/>
                <w:color w:val="000000"/>
                <w:lang w:val="es-ES" w:eastAsia="es-CO"/>
              </w:rPr>
              <w:t>100/26</w:t>
            </w:r>
          </w:p>
        </w:tc>
      </w:tr>
      <w:tr w:rsidR="007968EC" w14:paraId="2A6029F5" w14:textId="77777777" w:rsidTr="007968EC">
        <w:trPr>
          <w:trHeight w:val="300"/>
          <w:jc w:val="center"/>
        </w:trPr>
        <w:tc>
          <w:tcPr>
            <w:tcW w:w="2586" w:type="dxa"/>
            <w:tcBorders>
              <w:top w:val="nil"/>
              <w:left w:val="single" w:sz="4" w:space="0" w:color="auto"/>
              <w:bottom w:val="single" w:sz="4" w:space="0" w:color="auto"/>
              <w:right w:val="single" w:sz="4" w:space="0" w:color="auto"/>
            </w:tcBorders>
            <w:noWrap/>
            <w:vAlign w:val="center"/>
            <w:hideMark/>
          </w:tcPr>
          <w:p w14:paraId="0E0BEF4B"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H2/H4</w:t>
            </w:r>
          </w:p>
        </w:tc>
        <w:tc>
          <w:tcPr>
            <w:tcW w:w="1559" w:type="dxa"/>
            <w:tcBorders>
              <w:top w:val="nil"/>
              <w:left w:val="nil"/>
              <w:bottom w:val="single" w:sz="4" w:space="0" w:color="auto"/>
              <w:right w:val="single" w:sz="4" w:space="0" w:color="auto"/>
            </w:tcBorders>
            <w:noWrap/>
            <w:vAlign w:val="bottom"/>
            <w:hideMark/>
          </w:tcPr>
          <w:p w14:paraId="7AE7D195" w14:textId="77777777" w:rsidR="007968EC" w:rsidRDefault="007968EC" w:rsidP="007968EC">
            <w:pPr>
              <w:spacing w:line="256" w:lineRule="auto"/>
              <w:jc w:val="center"/>
              <w:rPr>
                <w:rFonts w:ascii="Arial Narrow" w:eastAsia="Calibri" w:hAnsi="Arial Narrow"/>
                <w:color w:val="000000"/>
                <w:lang w:eastAsia="es-CO"/>
              </w:rPr>
            </w:pPr>
            <w:r>
              <w:rPr>
                <w:rFonts w:ascii="Arial Narrow" w:hAnsi="Arial Narrow" w:cs="Arial"/>
                <w:color w:val="000000"/>
                <w:lang w:val="es-ES" w:eastAsia="es-CO"/>
              </w:rPr>
              <w:t>100/17</w:t>
            </w:r>
          </w:p>
        </w:tc>
      </w:tr>
      <w:tr w:rsidR="007968EC" w14:paraId="1B6C94E4" w14:textId="77777777" w:rsidTr="007968EC">
        <w:trPr>
          <w:trHeight w:val="300"/>
          <w:jc w:val="center"/>
        </w:trPr>
        <w:tc>
          <w:tcPr>
            <w:tcW w:w="2586" w:type="dxa"/>
            <w:tcBorders>
              <w:top w:val="nil"/>
              <w:left w:val="single" w:sz="4" w:space="0" w:color="auto"/>
              <w:bottom w:val="single" w:sz="4" w:space="0" w:color="auto"/>
              <w:right w:val="single" w:sz="4" w:space="0" w:color="auto"/>
            </w:tcBorders>
            <w:noWrap/>
            <w:vAlign w:val="center"/>
            <w:hideMark/>
          </w:tcPr>
          <w:p w14:paraId="463653FA"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H2/H5</w:t>
            </w:r>
          </w:p>
        </w:tc>
        <w:tc>
          <w:tcPr>
            <w:tcW w:w="1559" w:type="dxa"/>
            <w:tcBorders>
              <w:top w:val="nil"/>
              <w:left w:val="nil"/>
              <w:bottom w:val="single" w:sz="4" w:space="0" w:color="auto"/>
              <w:right w:val="single" w:sz="4" w:space="0" w:color="auto"/>
            </w:tcBorders>
            <w:noWrap/>
            <w:vAlign w:val="bottom"/>
            <w:hideMark/>
          </w:tcPr>
          <w:p w14:paraId="2D406B99" w14:textId="77777777" w:rsidR="007968EC" w:rsidRDefault="007968EC" w:rsidP="007968EC">
            <w:pPr>
              <w:spacing w:line="256" w:lineRule="auto"/>
              <w:jc w:val="center"/>
              <w:rPr>
                <w:rFonts w:ascii="Arial Narrow" w:eastAsia="Calibri" w:hAnsi="Arial Narrow"/>
                <w:color w:val="000000"/>
                <w:lang w:eastAsia="es-CO"/>
              </w:rPr>
            </w:pPr>
            <w:r>
              <w:rPr>
                <w:rFonts w:ascii="Arial Narrow" w:hAnsi="Arial Narrow" w:cs="Arial"/>
                <w:color w:val="000000"/>
                <w:lang w:val="es-ES" w:eastAsia="es-CO"/>
              </w:rPr>
              <w:t>100/13</w:t>
            </w:r>
          </w:p>
        </w:tc>
      </w:tr>
      <w:tr w:rsidR="007968EC" w14:paraId="78938C42" w14:textId="77777777" w:rsidTr="007968EC">
        <w:trPr>
          <w:trHeight w:val="300"/>
          <w:jc w:val="center"/>
        </w:trPr>
        <w:tc>
          <w:tcPr>
            <w:tcW w:w="2586" w:type="dxa"/>
            <w:tcBorders>
              <w:top w:val="nil"/>
              <w:left w:val="single" w:sz="4" w:space="0" w:color="auto"/>
              <w:bottom w:val="single" w:sz="4" w:space="0" w:color="auto"/>
              <w:right w:val="single" w:sz="4" w:space="0" w:color="auto"/>
            </w:tcBorders>
            <w:noWrap/>
            <w:vAlign w:val="center"/>
            <w:hideMark/>
          </w:tcPr>
          <w:p w14:paraId="2F98AD2B"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H2/H6</w:t>
            </w:r>
          </w:p>
        </w:tc>
        <w:tc>
          <w:tcPr>
            <w:tcW w:w="1559" w:type="dxa"/>
            <w:tcBorders>
              <w:top w:val="nil"/>
              <w:left w:val="nil"/>
              <w:bottom w:val="single" w:sz="4" w:space="0" w:color="auto"/>
              <w:right w:val="single" w:sz="4" w:space="0" w:color="auto"/>
            </w:tcBorders>
            <w:noWrap/>
            <w:vAlign w:val="bottom"/>
            <w:hideMark/>
          </w:tcPr>
          <w:p w14:paraId="0F382942" w14:textId="77777777" w:rsidR="007968EC" w:rsidRDefault="007968EC" w:rsidP="007968EC">
            <w:pPr>
              <w:spacing w:line="256" w:lineRule="auto"/>
              <w:jc w:val="center"/>
              <w:rPr>
                <w:rFonts w:ascii="Arial Narrow" w:eastAsia="Calibri" w:hAnsi="Arial Narrow"/>
                <w:color w:val="000000"/>
                <w:lang w:eastAsia="es-CO"/>
              </w:rPr>
            </w:pPr>
            <w:r>
              <w:rPr>
                <w:rFonts w:ascii="Arial Narrow" w:hAnsi="Arial Narrow" w:cs="Arial"/>
                <w:color w:val="000000"/>
                <w:lang w:val="es-ES" w:eastAsia="es-CO"/>
              </w:rPr>
              <w:t>100/10</w:t>
            </w:r>
          </w:p>
        </w:tc>
      </w:tr>
      <w:tr w:rsidR="007968EC" w14:paraId="25CE4486" w14:textId="77777777" w:rsidTr="007968EC">
        <w:trPr>
          <w:trHeight w:val="300"/>
          <w:jc w:val="center"/>
        </w:trPr>
        <w:tc>
          <w:tcPr>
            <w:tcW w:w="2586" w:type="dxa"/>
            <w:tcBorders>
              <w:top w:val="nil"/>
              <w:left w:val="single" w:sz="4" w:space="0" w:color="auto"/>
              <w:bottom w:val="single" w:sz="4" w:space="0" w:color="auto"/>
              <w:right w:val="single" w:sz="4" w:space="0" w:color="auto"/>
            </w:tcBorders>
            <w:noWrap/>
            <w:vAlign w:val="center"/>
            <w:hideMark/>
          </w:tcPr>
          <w:p w14:paraId="4F78C486"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H2/H7</w:t>
            </w:r>
          </w:p>
        </w:tc>
        <w:tc>
          <w:tcPr>
            <w:tcW w:w="1559" w:type="dxa"/>
            <w:tcBorders>
              <w:top w:val="nil"/>
              <w:left w:val="nil"/>
              <w:bottom w:val="single" w:sz="4" w:space="0" w:color="auto"/>
              <w:right w:val="single" w:sz="4" w:space="0" w:color="auto"/>
            </w:tcBorders>
            <w:noWrap/>
            <w:vAlign w:val="bottom"/>
            <w:hideMark/>
          </w:tcPr>
          <w:p w14:paraId="67182EF4" w14:textId="77777777" w:rsidR="007968EC" w:rsidRDefault="007968EC" w:rsidP="007968EC">
            <w:pPr>
              <w:spacing w:line="256" w:lineRule="auto"/>
              <w:jc w:val="center"/>
              <w:rPr>
                <w:rFonts w:ascii="Arial Narrow" w:eastAsia="Calibri" w:hAnsi="Arial Narrow"/>
                <w:color w:val="000000"/>
                <w:lang w:eastAsia="es-CO"/>
              </w:rPr>
            </w:pPr>
            <w:r>
              <w:rPr>
                <w:rFonts w:ascii="Arial Narrow" w:hAnsi="Arial Narrow" w:cs="Arial"/>
                <w:color w:val="000000"/>
                <w:lang w:val="es-ES" w:eastAsia="es-CO"/>
              </w:rPr>
              <w:t>100/9</w:t>
            </w:r>
          </w:p>
        </w:tc>
      </w:tr>
      <w:tr w:rsidR="007968EC" w14:paraId="5857A7AF" w14:textId="77777777" w:rsidTr="007968EC">
        <w:trPr>
          <w:trHeight w:val="300"/>
          <w:jc w:val="center"/>
        </w:trPr>
        <w:tc>
          <w:tcPr>
            <w:tcW w:w="2586" w:type="dxa"/>
            <w:tcBorders>
              <w:top w:val="nil"/>
              <w:left w:val="single" w:sz="4" w:space="0" w:color="auto"/>
              <w:bottom w:val="single" w:sz="4" w:space="0" w:color="auto"/>
              <w:right w:val="single" w:sz="4" w:space="0" w:color="auto"/>
            </w:tcBorders>
            <w:noWrap/>
            <w:vAlign w:val="center"/>
            <w:hideMark/>
          </w:tcPr>
          <w:p w14:paraId="75278226" w14:textId="77777777" w:rsidR="007968EC" w:rsidRDefault="007968EC" w:rsidP="007968EC">
            <w:pPr>
              <w:spacing w:line="256" w:lineRule="auto"/>
              <w:jc w:val="center"/>
              <w:rPr>
                <w:rFonts w:ascii="Arial Narrow" w:eastAsia="Calibri" w:hAnsi="Arial Narrow"/>
                <w:color w:val="000000"/>
                <w:lang w:eastAsia="es-CO"/>
              </w:rPr>
            </w:pPr>
            <w:r>
              <w:rPr>
                <w:rFonts w:ascii="Arial Narrow" w:eastAsia="Calibri" w:hAnsi="Arial Narrow"/>
                <w:color w:val="000000"/>
                <w:lang w:eastAsia="es-CO"/>
              </w:rPr>
              <w:t>H2/H8</w:t>
            </w:r>
          </w:p>
        </w:tc>
        <w:tc>
          <w:tcPr>
            <w:tcW w:w="1559" w:type="dxa"/>
            <w:tcBorders>
              <w:top w:val="nil"/>
              <w:left w:val="nil"/>
              <w:bottom w:val="single" w:sz="4" w:space="0" w:color="auto"/>
              <w:right w:val="single" w:sz="4" w:space="0" w:color="auto"/>
            </w:tcBorders>
            <w:noWrap/>
            <w:vAlign w:val="bottom"/>
            <w:hideMark/>
          </w:tcPr>
          <w:p w14:paraId="07B8D1DC" w14:textId="77777777" w:rsidR="007968EC" w:rsidRDefault="007968EC" w:rsidP="007968EC">
            <w:pPr>
              <w:spacing w:line="256" w:lineRule="auto"/>
              <w:jc w:val="center"/>
              <w:rPr>
                <w:rFonts w:ascii="Arial Narrow" w:hAnsi="Arial Narrow" w:cs="Arial"/>
                <w:color w:val="000000"/>
                <w:lang w:val="es-ES" w:eastAsia="es-CO"/>
              </w:rPr>
            </w:pPr>
            <w:r>
              <w:rPr>
                <w:rFonts w:ascii="Arial Narrow" w:hAnsi="Arial Narrow" w:cs="Arial"/>
                <w:color w:val="000000"/>
                <w:lang w:val="es-ES" w:eastAsia="es-CO"/>
              </w:rPr>
              <w:t>100/8</w:t>
            </w:r>
          </w:p>
        </w:tc>
      </w:tr>
      <w:tr w:rsidR="007968EC" w14:paraId="03D4CEF6" w14:textId="77777777" w:rsidTr="007968EC">
        <w:trPr>
          <w:trHeight w:val="300"/>
          <w:jc w:val="center"/>
        </w:trPr>
        <w:tc>
          <w:tcPr>
            <w:tcW w:w="2586" w:type="dxa"/>
            <w:tcBorders>
              <w:top w:val="nil"/>
              <w:left w:val="single" w:sz="4" w:space="0" w:color="auto"/>
              <w:bottom w:val="single" w:sz="4" w:space="0" w:color="auto"/>
              <w:right w:val="single" w:sz="4" w:space="0" w:color="auto"/>
            </w:tcBorders>
            <w:noWrap/>
            <w:vAlign w:val="center"/>
            <w:hideMark/>
          </w:tcPr>
          <w:p w14:paraId="35C8B858"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H3/H4</w:t>
            </w:r>
          </w:p>
        </w:tc>
        <w:tc>
          <w:tcPr>
            <w:tcW w:w="1559" w:type="dxa"/>
            <w:tcBorders>
              <w:top w:val="nil"/>
              <w:left w:val="nil"/>
              <w:bottom w:val="single" w:sz="4" w:space="0" w:color="auto"/>
              <w:right w:val="single" w:sz="4" w:space="0" w:color="auto"/>
            </w:tcBorders>
            <w:noWrap/>
            <w:vAlign w:val="bottom"/>
            <w:hideMark/>
          </w:tcPr>
          <w:p w14:paraId="7054E4A7" w14:textId="77777777" w:rsidR="007968EC" w:rsidRDefault="007968EC" w:rsidP="007968EC">
            <w:pPr>
              <w:spacing w:line="256" w:lineRule="auto"/>
              <w:jc w:val="center"/>
              <w:rPr>
                <w:rFonts w:ascii="Arial Narrow" w:eastAsia="Calibri" w:hAnsi="Arial Narrow"/>
                <w:color w:val="000000"/>
                <w:lang w:eastAsia="es-CO"/>
              </w:rPr>
            </w:pPr>
            <w:r>
              <w:rPr>
                <w:rFonts w:ascii="Arial Narrow" w:hAnsi="Arial Narrow" w:cs="Arial"/>
                <w:color w:val="000000"/>
                <w:lang w:val="es-ES" w:eastAsia="es-CO"/>
              </w:rPr>
              <w:t>100/34</w:t>
            </w:r>
          </w:p>
        </w:tc>
      </w:tr>
      <w:tr w:rsidR="007968EC" w14:paraId="01BAE9B8" w14:textId="77777777" w:rsidTr="007968EC">
        <w:trPr>
          <w:trHeight w:val="300"/>
          <w:jc w:val="center"/>
        </w:trPr>
        <w:tc>
          <w:tcPr>
            <w:tcW w:w="2586" w:type="dxa"/>
            <w:tcBorders>
              <w:top w:val="nil"/>
              <w:left w:val="single" w:sz="4" w:space="0" w:color="auto"/>
              <w:bottom w:val="single" w:sz="4" w:space="0" w:color="auto"/>
              <w:right w:val="single" w:sz="4" w:space="0" w:color="auto"/>
            </w:tcBorders>
            <w:noWrap/>
            <w:vAlign w:val="center"/>
            <w:hideMark/>
          </w:tcPr>
          <w:p w14:paraId="16146340"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H3/H5</w:t>
            </w:r>
          </w:p>
        </w:tc>
        <w:tc>
          <w:tcPr>
            <w:tcW w:w="1559" w:type="dxa"/>
            <w:tcBorders>
              <w:top w:val="nil"/>
              <w:left w:val="nil"/>
              <w:bottom w:val="single" w:sz="4" w:space="0" w:color="auto"/>
              <w:right w:val="single" w:sz="4" w:space="0" w:color="auto"/>
            </w:tcBorders>
            <w:noWrap/>
            <w:vAlign w:val="bottom"/>
            <w:hideMark/>
          </w:tcPr>
          <w:p w14:paraId="2730445A" w14:textId="77777777" w:rsidR="007968EC" w:rsidRDefault="007968EC" w:rsidP="007968EC">
            <w:pPr>
              <w:spacing w:line="256" w:lineRule="auto"/>
              <w:jc w:val="center"/>
              <w:rPr>
                <w:rFonts w:ascii="Arial Narrow" w:eastAsia="Calibri" w:hAnsi="Arial Narrow"/>
                <w:color w:val="000000"/>
                <w:lang w:eastAsia="es-CO"/>
              </w:rPr>
            </w:pPr>
            <w:r>
              <w:rPr>
                <w:rFonts w:ascii="Arial Narrow" w:hAnsi="Arial Narrow" w:cs="Arial"/>
                <w:color w:val="000000"/>
                <w:lang w:val="es-ES" w:eastAsia="es-CO"/>
              </w:rPr>
              <w:t>100/24</w:t>
            </w:r>
          </w:p>
        </w:tc>
      </w:tr>
      <w:tr w:rsidR="007968EC" w14:paraId="75695677" w14:textId="77777777" w:rsidTr="007968EC">
        <w:trPr>
          <w:trHeight w:val="300"/>
          <w:jc w:val="center"/>
        </w:trPr>
        <w:tc>
          <w:tcPr>
            <w:tcW w:w="2586" w:type="dxa"/>
            <w:tcBorders>
              <w:top w:val="nil"/>
              <w:left w:val="single" w:sz="4" w:space="0" w:color="auto"/>
              <w:bottom w:val="single" w:sz="4" w:space="0" w:color="auto"/>
              <w:right w:val="single" w:sz="4" w:space="0" w:color="auto"/>
            </w:tcBorders>
            <w:noWrap/>
            <w:vAlign w:val="center"/>
            <w:hideMark/>
          </w:tcPr>
          <w:p w14:paraId="7AA4F415"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H3/H6</w:t>
            </w:r>
          </w:p>
        </w:tc>
        <w:tc>
          <w:tcPr>
            <w:tcW w:w="1559" w:type="dxa"/>
            <w:tcBorders>
              <w:top w:val="nil"/>
              <w:left w:val="nil"/>
              <w:bottom w:val="single" w:sz="4" w:space="0" w:color="auto"/>
              <w:right w:val="single" w:sz="4" w:space="0" w:color="auto"/>
            </w:tcBorders>
            <w:noWrap/>
            <w:vAlign w:val="bottom"/>
            <w:hideMark/>
          </w:tcPr>
          <w:p w14:paraId="2534CB56" w14:textId="77777777" w:rsidR="007968EC" w:rsidRDefault="007968EC" w:rsidP="007968EC">
            <w:pPr>
              <w:spacing w:line="256" w:lineRule="auto"/>
              <w:jc w:val="center"/>
              <w:rPr>
                <w:rFonts w:ascii="Arial Narrow" w:eastAsia="Calibri" w:hAnsi="Arial Narrow"/>
                <w:color w:val="000000"/>
                <w:lang w:eastAsia="es-CO"/>
              </w:rPr>
            </w:pPr>
            <w:r>
              <w:rPr>
                <w:rFonts w:ascii="Arial Narrow" w:hAnsi="Arial Narrow" w:cs="Arial"/>
                <w:color w:val="000000"/>
                <w:lang w:val="es-ES" w:eastAsia="es-CO"/>
              </w:rPr>
              <w:t>100/19</w:t>
            </w:r>
          </w:p>
        </w:tc>
      </w:tr>
      <w:tr w:rsidR="007968EC" w14:paraId="53D6CA38" w14:textId="77777777" w:rsidTr="007968EC">
        <w:trPr>
          <w:trHeight w:val="300"/>
          <w:jc w:val="center"/>
        </w:trPr>
        <w:tc>
          <w:tcPr>
            <w:tcW w:w="2586" w:type="dxa"/>
            <w:tcBorders>
              <w:top w:val="nil"/>
              <w:left w:val="single" w:sz="4" w:space="0" w:color="auto"/>
              <w:bottom w:val="single" w:sz="4" w:space="0" w:color="auto"/>
              <w:right w:val="single" w:sz="4" w:space="0" w:color="auto"/>
            </w:tcBorders>
            <w:noWrap/>
            <w:vAlign w:val="center"/>
            <w:hideMark/>
          </w:tcPr>
          <w:p w14:paraId="65270438"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H3/H7</w:t>
            </w:r>
          </w:p>
        </w:tc>
        <w:tc>
          <w:tcPr>
            <w:tcW w:w="1559" w:type="dxa"/>
            <w:tcBorders>
              <w:top w:val="nil"/>
              <w:left w:val="nil"/>
              <w:bottom w:val="single" w:sz="4" w:space="0" w:color="auto"/>
              <w:right w:val="single" w:sz="4" w:space="0" w:color="auto"/>
            </w:tcBorders>
            <w:noWrap/>
            <w:vAlign w:val="bottom"/>
            <w:hideMark/>
          </w:tcPr>
          <w:p w14:paraId="24D9D540" w14:textId="77777777" w:rsidR="007968EC" w:rsidRDefault="007968EC" w:rsidP="007968EC">
            <w:pPr>
              <w:spacing w:line="256" w:lineRule="auto"/>
              <w:jc w:val="center"/>
              <w:rPr>
                <w:rFonts w:ascii="Arial Narrow" w:eastAsia="Calibri" w:hAnsi="Arial Narrow"/>
                <w:color w:val="000000"/>
                <w:lang w:eastAsia="es-CO"/>
              </w:rPr>
            </w:pPr>
            <w:r>
              <w:rPr>
                <w:rFonts w:ascii="Arial Narrow" w:hAnsi="Arial Narrow" w:cs="Arial"/>
                <w:color w:val="000000"/>
                <w:lang w:val="es-ES" w:eastAsia="es-CO"/>
              </w:rPr>
              <w:t>100/15</w:t>
            </w:r>
          </w:p>
        </w:tc>
      </w:tr>
      <w:tr w:rsidR="007968EC" w14:paraId="302968C3" w14:textId="77777777" w:rsidTr="007968EC">
        <w:trPr>
          <w:trHeight w:val="300"/>
          <w:jc w:val="center"/>
        </w:trPr>
        <w:tc>
          <w:tcPr>
            <w:tcW w:w="2586" w:type="dxa"/>
            <w:tcBorders>
              <w:top w:val="nil"/>
              <w:left w:val="single" w:sz="4" w:space="0" w:color="auto"/>
              <w:bottom w:val="single" w:sz="4" w:space="0" w:color="auto"/>
              <w:right w:val="single" w:sz="4" w:space="0" w:color="auto"/>
            </w:tcBorders>
            <w:noWrap/>
            <w:vAlign w:val="center"/>
            <w:hideMark/>
          </w:tcPr>
          <w:p w14:paraId="7218BB9B" w14:textId="77777777" w:rsidR="007968EC" w:rsidRDefault="007968EC" w:rsidP="007968EC">
            <w:pPr>
              <w:spacing w:line="256" w:lineRule="auto"/>
              <w:jc w:val="center"/>
              <w:rPr>
                <w:rFonts w:ascii="Arial Narrow" w:eastAsia="Calibri" w:hAnsi="Arial Narrow"/>
                <w:color w:val="000000"/>
                <w:lang w:eastAsia="es-CO"/>
              </w:rPr>
            </w:pPr>
            <w:r>
              <w:rPr>
                <w:rFonts w:ascii="Arial Narrow" w:eastAsia="Calibri" w:hAnsi="Arial Narrow"/>
                <w:color w:val="000000"/>
                <w:lang w:eastAsia="es-CO"/>
              </w:rPr>
              <w:t>H3/H8</w:t>
            </w:r>
          </w:p>
        </w:tc>
        <w:tc>
          <w:tcPr>
            <w:tcW w:w="1559" w:type="dxa"/>
            <w:tcBorders>
              <w:top w:val="nil"/>
              <w:left w:val="nil"/>
              <w:bottom w:val="single" w:sz="4" w:space="0" w:color="auto"/>
              <w:right w:val="single" w:sz="4" w:space="0" w:color="auto"/>
            </w:tcBorders>
            <w:noWrap/>
            <w:vAlign w:val="bottom"/>
            <w:hideMark/>
          </w:tcPr>
          <w:p w14:paraId="39E20D6A" w14:textId="77777777" w:rsidR="007968EC" w:rsidRDefault="007968EC" w:rsidP="007968EC">
            <w:pPr>
              <w:spacing w:line="256" w:lineRule="auto"/>
              <w:jc w:val="center"/>
              <w:rPr>
                <w:rFonts w:ascii="Arial Narrow" w:hAnsi="Arial Narrow" w:cs="Arial"/>
                <w:color w:val="000000"/>
                <w:lang w:val="es-ES" w:eastAsia="es-CO"/>
              </w:rPr>
            </w:pPr>
            <w:r>
              <w:rPr>
                <w:rFonts w:ascii="Arial Narrow" w:hAnsi="Arial Narrow" w:cs="Arial"/>
                <w:color w:val="000000"/>
                <w:lang w:val="es-ES" w:eastAsia="es-CO"/>
              </w:rPr>
              <w:t>100/13</w:t>
            </w:r>
          </w:p>
        </w:tc>
      </w:tr>
      <w:tr w:rsidR="007968EC" w14:paraId="64F06C46" w14:textId="77777777" w:rsidTr="007968EC">
        <w:trPr>
          <w:trHeight w:val="300"/>
          <w:jc w:val="center"/>
        </w:trPr>
        <w:tc>
          <w:tcPr>
            <w:tcW w:w="2586" w:type="dxa"/>
            <w:tcBorders>
              <w:top w:val="nil"/>
              <w:left w:val="single" w:sz="4" w:space="0" w:color="auto"/>
              <w:bottom w:val="single" w:sz="4" w:space="0" w:color="auto"/>
              <w:right w:val="single" w:sz="4" w:space="0" w:color="auto"/>
            </w:tcBorders>
            <w:noWrap/>
            <w:vAlign w:val="center"/>
            <w:hideMark/>
          </w:tcPr>
          <w:p w14:paraId="3FA4BEBB"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H4/H5</w:t>
            </w:r>
          </w:p>
        </w:tc>
        <w:tc>
          <w:tcPr>
            <w:tcW w:w="1559" w:type="dxa"/>
            <w:tcBorders>
              <w:top w:val="nil"/>
              <w:left w:val="nil"/>
              <w:bottom w:val="single" w:sz="4" w:space="0" w:color="auto"/>
              <w:right w:val="single" w:sz="4" w:space="0" w:color="auto"/>
            </w:tcBorders>
            <w:noWrap/>
            <w:vAlign w:val="bottom"/>
            <w:hideMark/>
          </w:tcPr>
          <w:p w14:paraId="2E35E71F" w14:textId="77777777" w:rsidR="007968EC" w:rsidRDefault="007968EC" w:rsidP="007968EC">
            <w:pPr>
              <w:spacing w:line="256" w:lineRule="auto"/>
              <w:jc w:val="center"/>
              <w:rPr>
                <w:rFonts w:ascii="Arial Narrow" w:eastAsia="Calibri" w:hAnsi="Arial Narrow"/>
                <w:color w:val="000000"/>
                <w:lang w:eastAsia="es-CO"/>
              </w:rPr>
            </w:pPr>
            <w:r>
              <w:rPr>
                <w:rFonts w:ascii="Arial Narrow" w:hAnsi="Arial Narrow" w:cs="Arial"/>
                <w:color w:val="000000"/>
                <w:lang w:val="es-ES" w:eastAsia="es-CO"/>
              </w:rPr>
              <w:t>100/46</w:t>
            </w:r>
          </w:p>
        </w:tc>
      </w:tr>
      <w:tr w:rsidR="007968EC" w14:paraId="2CD6B424" w14:textId="77777777" w:rsidTr="007968EC">
        <w:trPr>
          <w:trHeight w:val="300"/>
          <w:jc w:val="center"/>
        </w:trPr>
        <w:tc>
          <w:tcPr>
            <w:tcW w:w="2586" w:type="dxa"/>
            <w:tcBorders>
              <w:top w:val="nil"/>
              <w:left w:val="single" w:sz="4" w:space="0" w:color="auto"/>
              <w:bottom w:val="single" w:sz="4" w:space="0" w:color="auto"/>
              <w:right w:val="single" w:sz="4" w:space="0" w:color="auto"/>
            </w:tcBorders>
            <w:noWrap/>
            <w:vAlign w:val="center"/>
            <w:hideMark/>
          </w:tcPr>
          <w:p w14:paraId="7676955D"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H4/H6</w:t>
            </w:r>
          </w:p>
        </w:tc>
        <w:tc>
          <w:tcPr>
            <w:tcW w:w="1559" w:type="dxa"/>
            <w:tcBorders>
              <w:top w:val="nil"/>
              <w:left w:val="nil"/>
              <w:bottom w:val="single" w:sz="4" w:space="0" w:color="auto"/>
              <w:right w:val="single" w:sz="4" w:space="0" w:color="auto"/>
            </w:tcBorders>
            <w:noWrap/>
            <w:vAlign w:val="bottom"/>
            <w:hideMark/>
          </w:tcPr>
          <w:p w14:paraId="3E4D0C1E" w14:textId="77777777" w:rsidR="007968EC" w:rsidRDefault="007968EC" w:rsidP="007968EC">
            <w:pPr>
              <w:spacing w:line="256" w:lineRule="auto"/>
              <w:jc w:val="center"/>
              <w:rPr>
                <w:rFonts w:ascii="Arial Narrow" w:eastAsia="Calibri" w:hAnsi="Arial Narrow"/>
                <w:color w:val="000000"/>
                <w:lang w:eastAsia="es-CO"/>
              </w:rPr>
            </w:pPr>
            <w:r>
              <w:rPr>
                <w:rFonts w:ascii="Arial Narrow" w:hAnsi="Arial Narrow" w:cs="Arial"/>
                <w:color w:val="000000"/>
                <w:lang w:val="es-ES" w:eastAsia="es-CO"/>
              </w:rPr>
              <w:t>100/36</w:t>
            </w:r>
          </w:p>
        </w:tc>
      </w:tr>
      <w:tr w:rsidR="007968EC" w14:paraId="2CF6E9AC" w14:textId="77777777" w:rsidTr="007968EC">
        <w:trPr>
          <w:trHeight w:val="300"/>
          <w:jc w:val="center"/>
        </w:trPr>
        <w:tc>
          <w:tcPr>
            <w:tcW w:w="2586" w:type="dxa"/>
            <w:tcBorders>
              <w:top w:val="nil"/>
              <w:left w:val="single" w:sz="4" w:space="0" w:color="auto"/>
              <w:bottom w:val="single" w:sz="4" w:space="0" w:color="auto"/>
              <w:right w:val="single" w:sz="4" w:space="0" w:color="auto"/>
            </w:tcBorders>
            <w:noWrap/>
            <w:vAlign w:val="center"/>
            <w:hideMark/>
          </w:tcPr>
          <w:p w14:paraId="43C9895E"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H4/H7</w:t>
            </w:r>
          </w:p>
        </w:tc>
        <w:tc>
          <w:tcPr>
            <w:tcW w:w="1559" w:type="dxa"/>
            <w:tcBorders>
              <w:top w:val="nil"/>
              <w:left w:val="nil"/>
              <w:bottom w:val="single" w:sz="4" w:space="0" w:color="auto"/>
              <w:right w:val="single" w:sz="4" w:space="0" w:color="auto"/>
            </w:tcBorders>
            <w:noWrap/>
            <w:vAlign w:val="bottom"/>
            <w:hideMark/>
          </w:tcPr>
          <w:p w14:paraId="25A7AF25" w14:textId="77777777" w:rsidR="007968EC" w:rsidRDefault="007968EC" w:rsidP="007968EC">
            <w:pPr>
              <w:spacing w:line="256" w:lineRule="auto"/>
              <w:jc w:val="center"/>
              <w:rPr>
                <w:rFonts w:ascii="Arial Narrow" w:eastAsia="Calibri" w:hAnsi="Arial Narrow"/>
                <w:color w:val="000000"/>
                <w:lang w:eastAsia="es-CO"/>
              </w:rPr>
            </w:pPr>
            <w:r>
              <w:rPr>
                <w:rFonts w:ascii="Arial Narrow" w:hAnsi="Arial Narrow" w:cs="Arial"/>
                <w:color w:val="000000"/>
                <w:lang w:val="es-ES" w:eastAsia="es-CO"/>
              </w:rPr>
              <w:t>100/29</w:t>
            </w:r>
          </w:p>
        </w:tc>
      </w:tr>
      <w:tr w:rsidR="007968EC" w14:paraId="292F3D78" w14:textId="77777777" w:rsidTr="007968EC">
        <w:trPr>
          <w:trHeight w:val="300"/>
          <w:jc w:val="center"/>
        </w:trPr>
        <w:tc>
          <w:tcPr>
            <w:tcW w:w="2586" w:type="dxa"/>
            <w:tcBorders>
              <w:top w:val="nil"/>
              <w:left w:val="single" w:sz="4" w:space="0" w:color="auto"/>
              <w:bottom w:val="single" w:sz="4" w:space="0" w:color="auto"/>
              <w:right w:val="single" w:sz="4" w:space="0" w:color="auto"/>
            </w:tcBorders>
            <w:noWrap/>
            <w:vAlign w:val="center"/>
            <w:hideMark/>
          </w:tcPr>
          <w:p w14:paraId="176F2D0D" w14:textId="77777777" w:rsidR="007968EC" w:rsidRDefault="007968EC" w:rsidP="007968EC">
            <w:pPr>
              <w:spacing w:line="256" w:lineRule="auto"/>
              <w:jc w:val="center"/>
              <w:rPr>
                <w:rFonts w:ascii="Arial Narrow" w:eastAsia="Calibri" w:hAnsi="Arial Narrow"/>
                <w:color w:val="000000"/>
                <w:lang w:eastAsia="es-CO"/>
              </w:rPr>
            </w:pPr>
            <w:r>
              <w:rPr>
                <w:rFonts w:ascii="Arial Narrow" w:eastAsia="Calibri" w:hAnsi="Arial Narrow"/>
                <w:color w:val="000000"/>
                <w:lang w:eastAsia="es-CO"/>
              </w:rPr>
              <w:t>H4/H8</w:t>
            </w:r>
          </w:p>
        </w:tc>
        <w:tc>
          <w:tcPr>
            <w:tcW w:w="1559" w:type="dxa"/>
            <w:tcBorders>
              <w:top w:val="nil"/>
              <w:left w:val="nil"/>
              <w:bottom w:val="single" w:sz="4" w:space="0" w:color="auto"/>
              <w:right w:val="single" w:sz="4" w:space="0" w:color="auto"/>
            </w:tcBorders>
            <w:noWrap/>
            <w:vAlign w:val="bottom"/>
            <w:hideMark/>
          </w:tcPr>
          <w:p w14:paraId="1F1FFCBA" w14:textId="77BB68A1" w:rsidR="007968EC" w:rsidRDefault="007968EC" w:rsidP="007968EC">
            <w:pPr>
              <w:spacing w:line="256" w:lineRule="auto"/>
              <w:jc w:val="center"/>
              <w:rPr>
                <w:rFonts w:ascii="Arial Narrow" w:hAnsi="Arial Narrow" w:cs="Arial"/>
                <w:color w:val="000000"/>
                <w:lang w:val="es-ES" w:eastAsia="es-CO"/>
              </w:rPr>
            </w:pPr>
            <w:r>
              <w:rPr>
                <w:rFonts w:ascii="Arial Narrow" w:hAnsi="Arial Narrow" w:cs="Arial"/>
                <w:color w:val="000000"/>
                <w:lang w:val="es-ES" w:eastAsia="es-CO"/>
              </w:rPr>
              <w:t>100/2</w:t>
            </w:r>
            <w:r w:rsidR="00B93F48">
              <w:rPr>
                <w:rFonts w:ascii="Arial Narrow" w:hAnsi="Arial Narrow" w:cs="Arial"/>
                <w:color w:val="000000"/>
                <w:lang w:val="es-ES" w:eastAsia="es-CO"/>
              </w:rPr>
              <w:t>5</w:t>
            </w:r>
          </w:p>
        </w:tc>
      </w:tr>
      <w:tr w:rsidR="007968EC" w14:paraId="56456928" w14:textId="77777777" w:rsidTr="007968EC">
        <w:trPr>
          <w:trHeight w:val="300"/>
          <w:jc w:val="center"/>
        </w:trPr>
        <w:tc>
          <w:tcPr>
            <w:tcW w:w="2586" w:type="dxa"/>
            <w:tcBorders>
              <w:top w:val="nil"/>
              <w:left w:val="single" w:sz="4" w:space="0" w:color="auto"/>
              <w:bottom w:val="single" w:sz="4" w:space="0" w:color="auto"/>
              <w:right w:val="single" w:sz="4" w:space="0" w:color="auto"/>
            </w:tcBorders>
            <w:noWrap/>
            <w:vAlign w:val="center"/>
            <w:hideMark/>
          </w:tcPr>
          <w:p w14:paraId="1455EC87"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H5/H6</w:t>
            </w:r>
          </w:p>
        </w:tc>
        <w:tc>
          <w:tcPr>
            <w:tcW w:w="1559" w:type="dxa"/>
            <w:tcBorders>
              <w:top w:val="nil"/>
              <w:left w:val="nil"/>
              <w:bottom w:val="single" w:sz="4" w:space="0" w:color="auto"/>
              <w:right w:val="single" w:sz="4" w:space="0" w:color="auto"/>
            </w:tcBorders>
            <w:noWrap/>
            <w:vAlign w:val="bottom"/>
            <w:hideMark/>
          </w:tcPr>
          <w:p w14:paraId="3F5FB8E8" w14:textId="77777777" w:rsidR="007968EC" w:rsidRDefault="007968EC" w:rsidP="007968EC">
            <w:pPr>
              <w:spacing w:line="256" w:lineRule="auto"/>
              <w:jc w:val="center"/>
              <w:rPr>
                <w:rFonts w:ascii="Arial Narrow" w:eastAsia="Calibri" w:hAnsi="Arial Narrow"/>
                <w:color w:val="000000"/>
                <w:lang w:eastAsia="es-CO"/>
              </w:rPr>
            </w:pPr>
            <w:r>
              <w:rPr>
                <w:rFonts w:ascii="Arial Narrow" w:hAnsi="Arial Narrow" w:cs="Arial"/>
                <w:color w:val="000000"/>
                <w:lang w:val="es-ES" w:eastAsia="es-CO"/>
              </w:rPr>
              <w:t>100/58</w:t>
            </w:r>
          </w:p>
        </w:tc>
      </w:tr>
      <w:tr w:rsidR="007968EC" w14:paraId="5ECB8F20" w14:textId="77777777" w:rsidTr="007968EC">
        <w:trPr>
          <w:trHeight w:val="300"/>
          <w:jc w:val="center"/>
        </w:trPr>
        <w:tc>
          <w:tcPr>
            <w:tcW w:w="2586" w:type="dxa"/>
            <w:tcBorders>
              <w:top w:val="nil"/>
              <w:left w:val="single" w:sz="4" w:space="0" w:color="auto"/>
              <w:bottom w:val="single" w:sz="4" w:space="0" w:color="auto"/>
              <w:right w:val="single" w:sz="4" w:space="0" w:color="auto"/>
            </w:tcBorders>
            <w:noWrap/>
            <w:vAlign w:val="center"/>
            <w:hideMark/>
          </w:tcPr>
          <w:p w14:paraId="3FE00B4F"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H5/H7</w:t>
            </w:r>
          </w:p>
        </w:tc>
        <w:tc>
          <w:tcPr>
            <w:tcW w:w="1559" w:type="dxa"/>
            <w:tcBorders>
              <w:top w:val="nil"/>
              <w:left w:val="nil"/>
              <w:bottom w:val="single" w:sz="4" w:space="0" w:color="auto"/>
              <w:right w:val="single" w:sz="4" w:space="0" w:color="auto"/>
            </w:tcBorders>
            <w:noWrap/>
            <w:vAlign w:val="bottom"/>
            <w:hideMark/>
          </w:tcPr>
          <w:p w14:paraId="111E9F22" w14:textId="0F28FA9F" w:rsidR="007968EC" w:rsidRDefault="007968EC" w:rsidP="007968EC">
            <w:pPr>
              <w:spacing w:line="256" w:lineRule="auto"/>
              <w:jc w:val="center"/>
              <w:rPr>
                <w:rFonts w:ascii="Arial Narrow" w:eastAsia="Calibri" w:hAnsi="Arial Narrow"/>
                <w:color w:val="000000"/>
                <w:lang w:eastAsia="es-CO"/>
              </w:rPr>
            </w:pPr>
            <w:r>
              <w:rPr>
                <w:rFonts w:ascii="Arial Narrow" w:hAnsi="Arial Narrow" w:cs="Arial"/>
                <w:color w:val="000000"/>
                <w:lang w:val="es-ES" w:eastAsia="es-CO"/>
              </w:rPr>
              <w:t>100/</w:t>
            </w:r>
            <w:r w:rsidR="00B93F48">
              <w:rPr>
                <w:rFonts w:ascii="Arial Narrow" w:hAnsi="Arial Narrow" w:cs="Arial"/>
                <w:color w:val="000000"/>
                <w:lang w:val="es-ES" w:eastAsia="es-CO"/>
              </w:rPr>
              <w:t>46</w:t>
            </w:r>
          </w:p>
        </w:tc>
      </w:tr>
      <w:tr w:rsidR="007968EC" w14:paraId="6DA9E68D" w14:textId="77777777" w:rsidTr="007968EC">
        <w:trPr>
          <w:trHeight w:val="300"/>
          <w:jc w:val="center"/>
        </w:trPr>
        <w:tc>
          <w:tcPr>
            <w:tcW w:w="2586" w:type="dxa"/>
            <w:tcBorders>
              <w:top w:val="nil"/>
              <w:left w:val="single" w:sz="4" w:space="0" w:color="auto"/>
              <w:bottom w:val="single" w:sz="4" w:space="0" w:color="auto"/>
              <w:right w:val="single" w:sz="4" w:space="0" w:color="auto"/>
            </w:tcBorders>
            <w:noWrap/>
            <w:vAlign w:val="center"/>
            <w:hideMark/>
          </w:tcPr>
          <w:p w14:paraId="423EAC2C" w14:textId="77777777" w:rsidR="007968EC" w:rsidRDefault="007968EC" w:rsidP="007968EC">
            <w:pPr>
              <w:spacing w:line="256" w:lineRule="auto"/>
              <w:jc w:val="center"/>
              <w:rPr>
                <w:rFonts w:ascii="Arial Narrow" w:eastAsia="Calibri" w:hAnsi="Arial Narrow"/>
                <w:color w:val="000000"/>
                <w:lang w:eastAsia="es-CO"/>
              </w:rPr>
            </w:pPr>
            <w:r>
              <w:rPr>
                <w:rFonts w:ascii="Arial Narrow" w:eastAsia="Calibri" w:hAnsi="Arial Narrow"/>
                <w:color w:val="000000"/>
                <w:lang w:eastAsia="es-CO"/>
              </w:rPr>
              <w:t>H5/H8</w:t>
            </w:r>
          </w:p>
        </w:tc>
        <w:tc>
          <w:tcPr>
            <w:tcW w:w="1559" w:type="dxa"/>
            <w:tcBorders>
              <w:top w:val="nil"/>
              <w:left w:val="nil"/>
              <w:bottom w:val="single" w:sz="4" w:space="0" w:color="auto"/>
              <w:right w:val="single" w:sz="4" w:space="0" w:color="auto"/>
            </w:tcBorders>
            <w:noWrap/>
            <w:vAlign w:val="bottom"/>
            <w:hideMark/>
          </w:tcPr>
          <w:p w14:paraId="795FDCE3" w14:textId="1206609E" w:rsidR="007968EC" w:rsidRDefault="007968EC" w:rsidP="007968EC">
            <w:pPr>
              <w:spacing w:line="256" w:lineRule="auto"/>
              <w:jc w:val="center"/>
              <w:rPr>
                <w:rFonts w:ascii="Arial Narrow" w:hAnsi="Arial Narrow" w:cs="Arial"/>
                <w:color w:val="000000"/>
                <w:lang w:val="es-ES" w:eastAsia="es-CO"/>
              </w:rPr>
            </w:pPr>
            <w:r>
              <w:rPr>
                <w:rFonts w:ascii="Arial Narrow" w:hAnsi="Arial Narrow" w:cs="Arial"/>
                <w:color w:val="000000"/>
                <w:lang w:val="es-ES" w:eastAsia="es-CO"/>
              </w:rPr>
              <w:t>100/4</w:t>
            </w:r>
            <w:r w:rsidR="00B93F48">
              <w:rPr>
                <w:rFonts w:ascii="Arial Narrow" w:hAnsi="Arial Narrow" w:cs="Arial"/>
                <w:color w:val="000000"/>
                <w:lang w:val="es-ES" w:eastAsia="es-CO"/>
              </w:rPr>
              <w:t>1</w:t>
            </w:r>
          </w:p>
        </w:tc>
      </w:tr>
      <w:tr w:rsidR="007968EC" w14:paraId="623A1B6F" w14:textId="77777777" w:rsidTr="007968EC">
        <w:trPr>
          <w:trHeight w:val="300"/>
          <w:jc w:val="center"/>
        </w:trPr>
        <w:tc>
          <w:tcPr>
            <w:tcW w:w="2586" w:type="dxa"/>
            <w:tcBorders>
              <w:top w:val="single" w:sz="4" w:space="0" w:color="auto"/>
              <w:left w:val="single" w:sz="4" w:space="0" w:color="auto"/>
              <w:bottom w:val="single" w:sz="4" w:space="0" w:color="auto"/>
              <w:right w:val="single" w:sz="4" w:space="0" w:color="auto"/>
            </w:tcBorders>
            <w:noWrap/>
            <w:vAlign w:val="center"/>
            <w:hideMark/>
          </w:tcPr>
          <w:p w14:paraId="29FE9341" w14:textId="77777777" w:rsidR="007968EC" w:rsidRDefault="007968EC" w:rsidP="007968EC">
            <w:pPr>
              <w:spacing w:line="256" w:lineRule="auto"/>
              <w:jc w:val="center"/>
              <w:rPr>
                <w:rFonts w:ascii="Arial Narrow" w:eastAsia="Calibri" w:hAnsi="Arial Narrow"/>
                <w:b/>
                <w:color w:val="000000"/>
                <w:lang w:eastAsia="es-CO"/>
              </w:rPr>
            </w:pPr>
            <w:r>
              <w:rPr>
                <w:rFonts w:ascii="Arial Narrow" w:eastAsia="Calibri" w:hAnsi="Arial Narrow"/>
                <w:color w:val="000000"/>
                <w:lang w:eastAsia="es-CO"/>
              </w:rPr>
              <w:t>H6/H7</w:t>
            </w:r>
          </w:p>
        </w:tc>
        <w:tc>
          <w:tcPr>
            <w:tcW w:w="1559" w:type="dxa"/>
            <w:tcBorders>
              <w:top w:val="single" w:sz="4" w:space="0" w:color="auto"/>
              <w:left w:val="nil"/>
              <w:bottom w:val="single" w:sz="4" w:space="0" w:color="auto"/>
              <w:right w:val="single" w:sz="4" w:space="0" w:color="auto"/>
            </w:tcBorders>
            <w:noWrap/>
            <w:vAlign w:val="bottom"/>
            <w:hideMark/>
          </w:tcPr>
          <w:p w14:paraId="2663EAF9" w14:textId="5C6961CF" w:rsidR="007968EC" w:rsidRDefault="007968EC" w:rsidP="007968EC">
            <w:pPr>
              <w:spacing w:line="256" w:lineRule="auto"/>
              <w:jc w:val="center"/>
              <w:rPr>
                <w:rFonts w:ascii="Arial Narrow" w:eastAsia="Calibri" w:hAnsi="Arial Narrow"/>
                <w:color w:val="000000"/>
                <w:lang w:eastAsia="es-CO"/>
              </w:rPr>
            </w:pPr>
            <w:r>
              <w:rPr>
                <w:rFonts w:ascii="Arial Narrow" w:hAnsi="Arial Narrow" w:cs="Arial"/>
                <w:color w:val="000000"/>
                <w:lang w:val="es-ES" w:eastAsia="es-CO"/>
              </w:rPr>
              <w:t>100/6</w:t>
            </w:r>
            <w:r w:rsidR="00B93F48">
              <w:rPr>
                <w:rFonts w:ascii="Arial Narrow" w:hAnsi="Arial Narrow" w:cs="Arial"/>
                <w:color w:val="000000"/>
                <w:lang w:val="es-ES" w:eastAsia="es-CO"/>
              </w:rPr>
              <w:t>1</w:t>
            </w:r>
          </w:p>
        </w:tc>
      </w:tr>
      <w:tr w:rsidR="007968EC" w14:paraId="607CFB76" w14:textId="77777777" w:rsidTr="007968EC">
        <w:trPr>
          <w:trHeight w:val="300"/>
          <w:jc w:val="center"/>
        </w:trPr>
        <w:tc>
          <w:tcPr>
            <w:tcW w:w="2586" w:type="dxa"/>
            <w:tcBorders>
              <w:top w:val="single" w:sz="4" w:space="0" w:color="auto"/>
              <w:left w:val="single" w:sz="4" w:space="0" w:color="auto"/>
              <w:bottom w:val="single" w:sz="4" w:space="0" w:color="auto"/>
              <w:right w:val="single" w:sz="4" w:space="0" w:color="auto"/>
            </w:tcBorders>
            <w:noWrap/>
            <w:vAlign w:val="center"/>
            <w:hideMark/>
          </w:tcPr>
          <w:p w14:paraId="6A3B6E61" w14:textId="77777777" w:rsidR="007968EC" w:rsidRDefault="007968EC" w:rsidP="007968EC">
            <w:pPr>
              <w:spacing w:line="256" w:lineRule="auto"/>
              <w:jc w:val="center"/>
              <w:rPr>
                <w:rFonts w:ascii="Arial Narrow" w:eastAsia="Calibri" w:hAnsi="Arial Narrow"/>
                <w:color w:val="000000"/>
                <w:lang w:eastAsia="es-CO"/>
              </w:rPr>
            </w:pPr>
            <w:r>
              <w:rPr>
                <w:rFonts w:ascii="Arial Narrow" w:eastAsia="Calibri" w:hAnsi="Arial Narrow"/>
                <w:color w:val="000000"/>
                <w:lang w:eastAsia="es-CO"/>
              </w:rPr>
              <w:t>H6/H8</w:t>
            </w:r>
          </w:p>
        </w:tc>
        <w:tc>
          <w:tcPr>
            <w:tcW w:w="1559" w:type="dxa"/>
            <w:tcBorders>
              <w:top w:val="single" w:sz="4" w:space="0" w:color="auto"/>
              <w:left w:val="nil"/>
              <w:bottom w:val="single" w:sz="4" w:space="0" w:color="auto"/>
              <w:right w:val="single" w:sz="4" w:space="0" w:color="auto"/>
            </w:tcBorders>
            <w:noWrap/>
            <w:vAlign w:val="bottom"/>
            <w:hideMark/>
          </w:tcPr>
          <w:p w14:paraId="05065F27" w14:textId="79E06500" w:rsidR="007968EC" w:rsidRDefault="007968EC" w:rsidP="007968EC">
            <w:pPr>
              <w:spacing w:line="256" w:lineRule="auto"/>
              <w:jc w:val="center"/>
              <w:rPr>
                <w:rFonts w:ascii="Arial Narrow" w:hAnsi="Arial Narrow" w:cs="Arial"/>
                <w:color w:val="000000"/>
                <w:lang w:val="es-ES" w:eastAsia="es-CO"/>
              </w:rPr>
            </w:pPr>
            <w:r>
              <w:rPr>
                <w:rFonts w:ascii="Arial Narrow" w:hAnsi="Arial Narrow" w:cs="Arial"/>
                <w:color w:val="000000"/>
                <w:lang w:val="es-ES" w:eastAsia="es-CO"/>
              </w:rPr>
              <w:t>100/</w:t>
            </w:r>
            <w:r w:rsidR="00B93F48">
              <w:rPr>
                <w:rFonts w:ascii="Arial Narrow" w:hAnsi="Arial Narrow" w:cs="Arial"/>
                <w:color w:val="000000"/>
                <w:lang w:val="es-ES" w:eastAsia="es-CO"/>
              </w:rPr>
              <w:t>55</w:t>
            </w:r>
          </w:p>
        </w:tc>
      </w:tr>
      <w:tr w:rsidR="007968EC" w14:paraId="6DBE38EA" w14:textId="77777777" w:rsidTr="007968EC">
        <w:trPr>
          <w:trHeight w:val="300"/>
          <w:jc w:val="center"/>
        </w:trPr>
        <w:tc>
          <w:tcPr>
            <w:tcW w:w="2586" w:type="dxa"/>
            <w:tcBorders>
              <w:top w:val="single" w:sz="4" w:space="0" w:color="auto"/>
              <w:left w:val="single" w:sz="4" w:space="0" w:color="auto"/>
              <w:bottom w:val="single" w:sz="4" w:space="0" w:color="auto"/>
              <w:right w:val="single" w:sz="4" w:space="0" w:color="auto"/>
            </w:tcBorders>
            <w:noWrap/>
            <w:vAlign w:val="center"/>
            <w:hideMark/>
          </w:tcPr>
          <w:p w14:paraId="35C7C2B9" w14:textId="77777777" w:rsidR="007968EC" w:rsidRDefault="007968EC" w:rsidP="007968EC">
            <w:pPr>
              <w:spacing w:line="256" w:lineRule="auto"/>
              <w:jc w:val="center"/>
              <w:rPr>
                <w:rFonts w:ascii="Arial Narrow" w:eastAsia="Calibri" w:hAnsi="Arial Narrow"/>
                <w:color w:val="000000"/>
                <w:lang w:eastAsia="es-CO"/>
              </w:rPr>
            </w:pPr>
            <w:r>
              <w:rPr>
                <w:rFonts w:ascii="Arial Narrow" w:eastAsia="Calibri" w:hAnsi="Arial Narrow"/>
                <w:color w:val="000000"/>
                <w:lang w:eastAsia="es-CO"/>
              </w:rPr>
              <w:lastRenderedPageBreak/>
              <w:t>H7/H8</w:t>
            </w:r>
          </w:p>
        </w:tc>
        <w:tc>
          <w:tcPr>
            <w:tcW w:w="1559" w:type="dxa"/>
            <w:tcBorders>
              <w:top w:val="single" w:sz="4" w:space="0" w:color="auto"/>
              <w:left w:val="nil"/>
              <w:bottom w:val="single" w:sz="4" w:space="0" w:color="auto"/>
              <w:right w:val="single" w:sz="4" w:space="0" w:color="auto"/>
            </w:tcBorders>
            <w:noWrap/>
            <w:vAlign w:val="bottom"/>
            <w:hideMark/>
          </w:tcPr>
          <w:p w14:paraId="4B85F96A" w14:textId="0F90392C" w:rsidR="007968EC" w:rsidRDefault="007968EC" w:rsidP="007968EC">
            <w:pPr>
              <w:spacing w:line="256" w:lineRule="auto"/>
              <w:jc w:val="center"/>
              <w:rPr>
                <w:rFonts w:ascii="Arial Narrow" w:hAnsi="Arial Narrow" w:cs="Arial"/>
                <w:color w:val="000000"/>
                <w:lang w:val="es-ES" w:eastAsia="es-CO"/>
              </w:rPr>
            </w:pPr>
            <w:r>
              <w:rPr>
                <w:rFonts w:ascii="Arial Narrow" w:hAnsi="Arial Narrow" w:cs="Arial"/>
                <w:color w:val="000000"/>
                <w:lang w:val="es-ES" w:eastAsia="es-CO"/>
              </w:rPr>
              <w:t>100/7</w:t>
            </w:r>
            <w:r w:rsidR="00B93F48">
              <w:rPr>
                <w:rFonts w:ascii="Arial Narrow" w:hAnsi="Arial Narrow" w:cs="Arial"/>
                <w:color w:val="000000"/>
                <w:lang w:val="es-ES" w:eastAsia="es-CO"/>
              </w:rPr>
              <w:t>1</w:t>
            </w:r>
          </w:p>
        </w:tc>
      </w:tr>
      <w:bookmarkEnd w:id="4920"/>
    </w:tbl>
    <w:p w14:paraId="359A47F1" w14:textId="77777777" w:rsidR="007968EC" w:rsidRDefault="007968EC" w:rsidP="007968EC">
      <w:pPr>
        <w:jc w:val="both"/>
        <w:rPr>
          <w:rFonts w:ascii="Arial Narrow" w:eastAsia="Calibri" w:hAnsi="Arial Narrow"/>
          <w:color w:val="000000"/>
          <w:lang w:eastAsia="en-US"/>
        </w:rPr>
      </w:pPr>
    </w:p>
    <w:p w14:paraId="7AC6C7C8" w14:textId="77777777" w:rsidR="007968EC" w:rsidRDefault="007968EC" w:rsidP="00DA7472">
      <w:pPr>
        <w:numPr>
          <w:ilvl w:val="0"/>
          <w:numId w:val="367"/>
        </w:numPr>
        <w:spacing w:after="160" w:line="256" w:lineRule="auto"/>
        <w:ind w:left="284"/>
        <w:jc w:val="both"/>
        <w:rPr>
          <w:rFonts w:ascii="Arial Narrow" w:eastAsia="Calibri" w:hAnsi="Arial Narrow"/>
          <w:b/>
          <w:color w:val="000000"/>
          <w:lang w:eastAsia="en-US"/>
        </w:rPr>
      </w:pPr>
      <w:r>
        <w:rPr>
          <w:rFonts w:ascii="Arial Narrow" w:eastAsia="Calibri" w:hAnsi="Arial Narrow"/>
          <w:color w:val="000000"/>
          <w:lang w:eastAsia="en-US"/>
        </w:rPr>
        <w:t>Orden para la compensación entre los grupos del Futuro TES Corto Plazo, Futuro TES Mediano Plazo, el Futuro TES Largo Plazo y Contratos de los Futuros sobre Títulos TES de Referencias Específicas:</w:t>
      </w:r>
    </w:p>
    <w:p w14:paraId="36EB3EB0" w14:textId="77777777" w:rsidR="007968EC" w:rsidRDefault="007968EC" w:rsidP="007968EC">
      <w:pPr>
        <w:ind w:left="284"/>
        <w:jc w:val="both"/>
        <w:rPr>
          <w:rFonts w:ascii="Arial Narrow" w:eastAsia="Calibri" w:hAnsi="Arial Narrow"/>
          <w:color w:val="000000"/>
          <w:lang w:eastAsia="en-US"/>
        </w:rPr>
      </w:pPr>
    </w:p>
    <w:p w14:paraId="79D0C9AA" w14:textId="77777777" w:rsidR="007968EC" w:rsidRDefault="007968EC" w:rsidP="007968EC">
      <w:pPr>
        <w:ind w:left="284"/>
        <w:jc w:val="both"/>
        <w:rPr>
          <w:rFonts w:ascii="Arial Narrow" w:eastAsia="Calibri" w:hAnsi="Arial Narrow"/>
          <w:color w:val="000000"/>
          <w:lang w:eastAsia="en-US"/>
        </w:rPr>
      </w:pPr>
      <w:r>
        <w:rPr>
          <w:rFonts w:ascii="Arial Narrow" w:eastAsia="Calibri" w:hAnsi="Arial Narrow" w:cstheme="minorBidi"/>
          <w:color w:val="000000"/>
          <w:lang w:eastAsia="en-US"/>
        </w:rPr>
        <w:t>El crédito sobre garantías, esto es, el valor porcentual a aplicar sobre la Garantía de cada posición compensada de las posiciones contrarias de una misma Cuenta para Futuro TES Corto Plazo, Futuro TES Mediano Plazo, el Futuro TES Largo Plazo y Futuros de TES de Referencias Específicas, es el siguiente:</w:t>
      </w:r>
    </w:p>
    <w:p w14:paraId="59D575E4" w14:textId="77777777" w:rsidR="007968EC" w:rsidRDefault="007968EC" w:rsidP="007968EC">
      <w:pPr>
        <w:ind w:left="284"/>
        <w:jc w:val="both"/>
        <w:rPr>
          <w:rFonts w:ascii="Arial Narrow" w:eastAsia="Calibri" w:hAnsi="Arial Narrow"/>
          <w:color w:val="000000"/>
          <w:lang w:eastAsia="en-US"/>
        </w:rPr>
      </w:pPr>
    </w:p>
    <w:tbl>
      <w:tblPr>
        <w:tblW w:w="5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567"/>
        <w:gridCol w:w="567"/>
        <w:gridCol w:w="568"/>
        <w:gridCol w:w="568"/>
        <w:gridCol w:w="568"/>
        <w:gridCol w:w="568"/>
        <w:gridCol w:w="568"/>
        <w:gridCol w:w="568"/>
      </w:tblGrid>
      <w:tr w:rsidR="007968EC" w14:paraId="6F59C0C9" w14:textId="77777777" w:rsidTr="007968EC">
        <w:trPr>
          <w:trHeight w:val="260"/>
          <w:jc w:val="center"/>
        </w:trPr>
        <w:tc>
          <w:tcPr>
            <w:tcW w:w="1413" w:type="dxa"/>
            <w:tcBorders>
              <w:top w:val="single" w:sz="4" w:space="0" w:color="auto"/>
              <w:left w:val="single" w:sz="4" w:space="0" w:color="auto"/>
              <w:bottom w:val="single" w:sz="4" w:space="0" w:color="auto"/>
              <w:right w:val="single" w:sz="4" w:space="0" w:color="auto"/>
            </w:tcBorders>
            <w:noWrap/>
            <w:vAlign w:val="center"/>
            <w:hideMark/>
          </w:tcPr>
          <w:p w14:paraId="6D18A4D6" w14:textId="77777777" w:rsidR="007968EC" w:rsidRDefault="007968EC" w:rsidP="007968EC">
            <w:pPr>
              <w:spacing w:after="160"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Crédito sobre Garantías</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5788CFE" w14:textId="77777777" w:rsidR="007968EC" w:rsidRDefault="007968EC" w:rsidP="007968EC">
            <w:pPr>
              <w:spacing w:after="160"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H1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CC5D1CD" w14:textId="77777777" w:rsidR="007968EC" w:rsidRDefault="007968EC" w:rsidP="007968EC">
            <w:pPr>
              <w:spacing w:after="160"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H2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C0E8409" w14:textId="77777777" w:rsidR="007968EC" w:rsidRDefault="007968EC" w:rsidP="007968EC">
            <w:pPr>
              <w:spacing w:after="160"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H3</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3EC0996" w14:textId="77777777" w:rsidR="007968EC" w:rsidRDefault="007968EC" w:rsidP="007968EC">
            <w:pPr>
              <w:spacing w:after="160"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H4</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138A1CC" w14:textId="77777777" w:rsidR="007968EC" w:rsidRDefault="007968EC" w:rsidP="007968EC">
            <w:pPr>
              <w:spacing w:after="160"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H5</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4A3F4F1" w14:textId="77777777" w:rsidR="007968EC" w:rsidRDefault="007968EC" w:rsidP="007968EC">
            <w:pPr>
              <w:spacing w:after="160"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H6</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0F86F42" w14:textId="77777777" w:rsidR="007968EC" w:rsidRDefault="007968EC" w:rsidP="007968EC">
            <w:pPr>
              <w:spacing w:after="160"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H7</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D1092C" w14:textId="77777777" w:rsidR="007968EC" w:rsidRDefault="007968EC" w:rsidP="007968EC">
            <w:pPr>
              <w:spacing w:after="160"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H8</w:t>
            </w:r>
          </w:p>
        </w:tc>
      </w:tr>
      <w:tr w:rsidR="007968EC" w14:paraId="094BB3FF" w14:textId="77777777" w:rsidTr="007968EC">
        <w:trPr>
          <w:trHeight w:val="260"/>
          <w:jc w:val="center"/>
        </w:trPr>
        <w:tc>
          <w:tcPr>
            <w:tcW w:w="1413" w:type="dxa"/>
            <w:tcBorders>
              <w:top w:val="single" w:sz="4" w:space="0" w:color="auto"/>
              <w:left w:val="single" w:sz="4" w:space="0" w:color="auto"/>
              <w:bottom w:val="single" w:sz="4" w:space="0" w:color="auto"/>
              <w:right w:val="single" w:sz="4" w:space="0" w:color="auto"/>
            </w:tcBorders>
            <w:noWrap/>
            <w:vAlign w:val="center"/>
            <w:hideMark/>
          </w:tcPr>
          <w:p w14:paraId="6145DD1F" w14:textId="77777777" w:rsidR="007968EC" w:rsidRDefault="007968EC" w:rsidP="007968EC">
            <w:pPr>
              <w:spacing w:after="160" w:line="256" w:lineRule="auto"/>
              <w:ind w:left="-217" w:firstLine="217"/>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Futuro TES Corto Plazo</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040E313" w14:textId="77777777" w:rsidR="007968EC" w:rsidRDefault="007968EC" w:rsidP="007968EC">
            <w:pPr>
              <w:spacing w:after="160" w:line="256" w:lineRule="auto"/>
              <w:jc w:val="center"/>
              <w:rPr>
                <w:rFonts w:ascii="Arial Narrow" w:eastAsia="Calibri" w:hAnsi="Arial Narrow" w:cstheme="minorBidi"/>
                <w:color w:val="000000"/>
                <w:lang w:eastAsia="es-CO"/>
              </w:rPr>
            </w:pP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454308F" w14:textId="77777777" w:rsidR="007968EC" w:rsidRDefault="007968EC" w:rsidP="007968EC">
            <w:pPr>
              <w:spacing w:after="160" w:line="256" w:lineRule="auto"/>
              <w:jc w:val="center"/>
              <w:rPr>
                <w:rFonts w:ascii="Arial Narrow" w:eastAsia="Calibri" w:hAnsi="Arial Narrow" w:cstheme="minorBidi"/>
                <w:color w:val="000000"/>
                <w:lang w:eastAsia="es-CO"/>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CD7C3EE" w14:textId="77777777" w:rsidR="007968EC" w:rsidRDefault="007968EC" w:rsidP="007968EC">
            <w:pPr>
              <w:spacing w:after="160"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60%</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C843D1A" w14:textId="77777777" w:rsidR="007968EC" w:rsidRDefault="007968EC" w:rsidP="007968EC">
            <w:pPr>
              <w:spacing w:after="160"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45%</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828FEC4" w14:textId="77777777" w:rsidR="007968EC" w:rsidRDefault="007968EC" w:rsidP="007968EC">
            <w:pPr>
              <w:spacing w:after="160"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35%</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7C26365" w14:textId="77777777" w:rsidR="007968EC" w:rsidRDefault="007968EC" w:rsidP="007968EC">
            <w:pPr>
              <w:spacing w:after="160"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15%</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76BEA63" w14:textId="77777777" w:rsidR="007968EC" w:rsidRDefault="007968EC" w:rsidP="007968EC">
            <w:pPr>
              <w:spacing w:after="160"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0BC9DB" w14:textId="77777777" w:rsidR="007968EC" w:rsidRDefault="007968EC" w:rsidP="007968EC">
            <w:pPr>
              <w:spacing w:after="160"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w:t>
            </w:r>
          </w:p>
        </w:tc>
      </w:tr>
      <w:tr w:rsidR="007968EC" w14:paraId="544F2148" w14:textId="77777777" w:rsidTr="007968EC">
        <w:trPr>
          <w:trHeight w:val="260"/>
          <w:jc w:val="center"/>
        </w:trPr>
        <w:tc>
          <w:tcPr>
            <w:tcW w:w="1413" w:type="dxa"/>
            <w:tcBorders>
              <w:top w:val="single" w:sz="4" w:space="0" w:color="auto"/>
              <w:left w:val="single" w:sz="4" w:space="0" w:color="auto"/>
              <w:bottom w:val="single" w:sz="4" w:space="0" w:color="auto"/>
              <w:right w:val="single" w:sz="4" w:space="0" w:color="auto"/>
            </w:tcBorders>
            <w:noWrap/>
            <w:vAlign w:val="center"/>
            <w:hideMark/>
          </w:tcPr>
          <w:p w14:paraId="38450485" w14:textId="77777777" w:rsidR="007968EC" w:rsidRDefault="007968EC" w:rsidP="007968EC">
            <w:pPr>
              <w:spacing w:after="160"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Futuro TES Mediano Plazo</w:t>
            </w:r>
          </w:p>
        </w:tc>
        <w:tc>
          <w:tcPr>
            <w:tcW w:w="567"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4ACB35B6" w14:textId="77777777" w:rsidR="007968EC" w:rsidRDefault="007968EC" w:rsidP="007968EC">
            <w:pPr>
              <w:spacing w:after="160" w:line="256" w:lineRule="auto"/>
              <w:jc w:val="center"/>
              <w:rPr>
                <w:rFonts w:ascii="Arial Narrow" w:eastAsia="Calibri" w:hAnsi="Arial Narrow" w:cstheme="minorBidi"/>
                <w:color w:val="000000"/>
                <w:lang w:eastAsia="es-CO"/>
              </w:rPr>
            </w:pP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0D86753" w14:textId="77777777" w:rsidR="007968EC" w:rsidRDefault="007968EC" w:rsidP="007968EC">
            <w:pPr>
              <w:spacing w:after="160" w:line="256" w:lineRule="auto"/>
              <w:jc w:val="center"/>
              <w:rPr>
                <w:rFonts w:ascii="Arial Narrow" w:eastAsia="Calibri" w:hAnsi="Arial Narrow" w:cstheme="minorBidi"/>
                <w:color w:val="000000"/>
                <w:lang w:eastAsia="es-CO"/>
              </w:rPr>
            </w:pP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900BDAF" w14:textId="77777777" w:rsidR="007968EC" w:rsidRDefault="007968EC" w:rsidP="007968EC">
            <w:pPr>
              <w:spacing w:after="160" w:line="256" w:lineRule="auto"/>
              <w:rPr>
                <w:rFonts w:ascii="Arial Narrow" w:eastAsia="Calibri" w:hAnsi="Arial Narrow" w:cstheme="minorBidi"/>
                <w:color w:val="000000"/>
                <w:lang w:eastAsia="es-CO"/>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C79B704" w14:textId="77777777" w:rsidR="007968EC" w:rsidRDefault="007968EC" w:rsidP="007968EC">
            <w:pPr>
              <w:spacing w:after="160"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75%</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46F097E" w14:textId="77777777" w:rsidR="007968EC" w:rsidRDefault="007968EC" w:rsidP="007968EC">
            <w:pPr>
              <w:spacing w:after="160"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75%</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2CBF620" w14:textId="77777777" w:rsidR="007968EC" w:rsidRDefault="007968EC" w:rsidP="007968EC">
            <w:pPr>
              <w:spacing w:after="160"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70%</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5ADEAD0" w14:textId="77777777" w:rsidR="007968EC" w:rsidRDefault="007968EC" w:rsidP="007968EC">
            <w:pPr>
              <w:spacing w:after="160"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60%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160874" w14:textId="77777777" w:rsidR="007968EC" w:rsidRDefault="007968EC" w:rsidP="007968EC">
            <w:pPr>
              <w:spacing w:after="160"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50%</w:t>
            </w:r>
          </w:p>
        </w:tc>
      </w:tr>
      <w:tr w:rsidR="007968EC" w14:paraId="28B816F8" w14:textId="77777777" w:rsidTr="007968EC">
        <w:trPr>
          <w:trHeight w:val="260"/>
          <w:jc w:val="center"/>
        </w:trPr>
        <w:tc>
          <w:tcPr>
            <w:tcW w:w="1413" w:type="dxa"/>
            <w:tcBorders>
              <w:top w:val="single" w:sz="4" w:space="0" w:color="auto"/>
              <w:left w:val="single" w:sz="4" w:space="0" w:color="auto"/>
              <w:bottom w:val="single" w:sz="4" w:space="0" w:color="auto"/>
              <w:right w:val="single" w:sz="4" w:space="0" w:color="auto"/>
            </w:tcBorders>
            <w:noWrap/>
            <w:vAlign w:val="center"/>
            <w:hideMark/>
          </w:tcPr>
          <w:p w14:paraId="7ABCAA82" w14:textId="77777777" w:rsidR="007968EC" w:rsidRDefault="007968EC" w:rsidP="007968EC">
            <w:pPr>
              <w:spacing w:after="160"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Futuro TES Largo Plazo</w:t>
            </w:r>
          </w:p>
        </w:tc>
        <w:tc>
          <w:tcPr>
            <w:tcW w:w="567"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32E637E3" w14:textId="77777777" w:rsidR="007968EC" w:rsidRDefault="007968EC" w:rsidP="007968EC">
            <w:pPr>
              <w:spacing w:after="160" w:line="256" w:lineRule="auto"/>
              <w:jc w:val="center"/>
              <w:rPr>
                <w:rFonts w:ascii="Arial Narrow" w:eastAsia="Calibri" w:hAnsi="Arial Narrow" w:cstheme="minorBidi"/>
                <w:color w:val="000000"/>
                <w:lang w:eastAsia="es-CO"/>
              </w:rPr>
            </w:pPr>
          </w:p>
        </w:tc>
        <w:tc>
          <w:tcPr>
            <w:tcW w:w="567"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44FAC047" w14:textId="77777777" w:rsidR="007968EC" w:rsidRDefault="007968EC" w:rsidP="007968EC">
            <w:pPr>
              <w:spacing w:after="160" w:line="256" w:lineRule="auto"/>
              <w:jc w:val="center"/>
              <w:rPr>
                <w:rFonts w:ascii="Arial Narrow" w:eastAsia="Calibri" w:hAnsi="Arial Narrow" w:cstheme="minorBidi"/>
                <w:color w:val="000000"/>
                <w:lang w:eastAsia="es-CO"/>
              </w:rPr>
            </w:pPr>
          </w:p>
        </w:tc>
        <w:tc>
          <w:tcPr>
            <w:tcW w:w="567"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2AF4233" w14:textId="77777777" w:rsidR="007968EC" w:rsidRDefault="007968EC" w:rsidP="007968EC">
            <w:pPr>
              <w:spacing w:after="160" w:line="256" w:lineRule="auto"/>
              <w:jc w:val="center"/>
              <w:rPr>
                <w:rFonts w:ascii="Arial Narrow" w:eastAsia="Calibri" w:hAnsi="Arial Narrow" w:cstheme="minorBidi"/>
                <w:color w:val="000000"/>
                <w:lang w:eastAsia="es-CO"/>
              </w:rPr>
            </w:pP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88B99A2" w14:textId="77777777" w:rsidR="007968EC" w:rsidRDefault="007968EC" w:rsidP="007968EC">
            <w:pPr>
              <w:spacing w:after="160" w:line="256" w:lineRule="auto"/>
              <w:jc w:val="center"/>
              <w:rPr>
                <w:rFonts w:ascii="Arial Narrow" w:eastAsia="Calibri" w:hAnsi="Arial Narrow" w:cstheme="minorBidi"/>
                <w:color w:val="000000"/>
                <w:lang w:eastAsia="es-CO"/>
              </w:rPr>
            </w:pP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E91C667" w14:textId="77777777" w:rsidR="007968EC" w:rsidRDefault="007968EC" w:rsidP="007968EC">
            <w:pPr>
              <w:spacing w:after="160" w:line="256" w:lineRule="auto"/>
              <w:jc w:val="center"/>
              <w:rPr>
                <w:rFonts w:ascii="Arial Narrow" w:eastAsia="Calibri" w:hAnsi="Arial Narrow" w:cstheme="minorBidi"/>
                <w:color w:val="000000"/>
                <w:lang w:eastAsia="es-CO"/>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9751C48" w14:textId="77777777" w:rsidR="007968EC" w:rsidRDefault="007968EC" w:rsidP="007968EC">
            <w:pPr>
              <w:spacing w:after="160"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80%</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CCADF34" w14:textId="77777777" w:rsidR="007968EC" w:rsidRDefault="007968EC" w:rsidP="007968EC">
            <w:pPr>
              <w:spacing w:after="160"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75%</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E1C10F" w14:textId="77777777" w:rsidR="007968EC" w:rsidRDefault="007968EC" w:rsidP="007968EC">
            <w:pPr>
              <w:spacing w:after="160"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75%</w:t>
            </w:r>
          </w:p>
        </w:tc>
      </w:tr>
    </w:tbl>
    <w:p w14:paraId="3955FC9D" w14:textId="77777777" w:rsidR="007968EC" w:rsidRDefault="007968EC" w:rsidP="007968EC">
      <w:pPr>
        <w:ind w:left="284"/>
        <w:jc w:val="both"/>
        <w:rPr>
          <w:rFonts w:ascii="Arial Narrow" w:eastAsia="Calibri" w:hAnsi="Arial Narrow"/>
          <w:color w:val="000000"/>
          <w:lang w:eastAsia="en-US"/>
        </w:rPr>
      </w:pPr>
    </w:p>
    <w:p w14:paraId="32C8E8AE" w14:textId="77777777" w:rsidR="007968EC" w:rsidRDefault="007968EC" w:rsidP="007968EC">
      <w:pPr>
        <w:jc w:val="both"/>
        <w:rPr>
          <w:rFonts w:ascii="Arial Narrow" w:eastAsia="Calibri" w:hAnsi="Arial Narrow" w:cstheme="minorBidi"/>
          <w:color w:val="000000"/>
          <w:lang w:eastAsia="en-US"/>
        </w:rPr>
      </w:pPr>
      <w:r>
        <w:rPr>
          <w:rFonts w:ascii="Arial Narrow" w:eastAsia="Calibri" w:hAnsi="Arial Narrow" w:cstheme="minorBidi"/>
          <w:color w:val="000000"/>
          <w:lang w:eastAsia="en-US"/>
        </w:rPr>
        <w:t>En consecuencia, el orden para la compensación entre los Grupos de Futuro TES Corto Plazo, Futuro TES Mediano Plazo, el Futuro TES Largo Plazo y Futuros sobre Títulos TES de Referencias Específicas, es el siguiente:</w:t>
      </w:r>
    </w:p>
    <w:p w14:paraId="6093264A" w14:textId="77777777" w:rsidR="007968EC" w:rsidRDefault="007968EC" w:rsidP="007968EC">
      <w:pPr>
        <w:ind w:left="284"/>
        <w:jc w:val="both"/>
        <w:rPr>
          <w:rFonts w:ascii="Arial Narrow" w:eastAsia="Calibri" w:hAnsi="Arial Narrow" w:cstheme="minorBidi"/>
          <w:b/>
          <w:color w:val="000000"/>
          <w:lang w:eastAsia="en-US"/>
        </w:rPr>
      </w:pPr>
    </w:p>
    <w:tbl>
      <w:tblPr>
        <w:tblW w:w="6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3"/>
        <w:gridCol w:w="561"/>
        <w:gridCol w:w="567"/>
        <w:gridCol w:w="644"/>
        <w:gridCol w:w="568"/>
        <w:gridCol w:w="568"/>
        <w:gridCol w:w="568"/>
        <w:gridCol w:w="568"/>
        <w:gridCol w:w="568"/>
      </w:tblGrid>
      <w:tr w:rsidR="007968EC" w14:paraId="5B34BD54" w14:textId="77777777" w:rsidTr="007968EC">
        <w:trPr>
          <w:trHeight w:val="260"/>
          <w:jc w:val="center"/>
        </w:trPr>
        <w:tc>
          <w:tcPr>
            <w:tcW w:w="1702" w:type="dxa"/>
            <w:tcBorders>
              <w:top w:val="single" w:sz="4" w:space="0" w:color="auto"/>
              <w:left w:val="single" w:sz="4" w:space="0" w:color="auto"/>
              <w:bottom w:val="single" w:sz="4" w:space="0" w:color="auto"/>
              <w:right w:val="single" w:sz="4" w:space="0" w:color="auto"/>
            </w:tcBorders>
            <w:noWrap/>
            <w:vAlign w:val="center"/>
            <w:hideMark/>
          </w:tcPr>
          <w:p w14:paraId="0830BEE0" w14:textId="77777777" w:rsidR="007968EC" w:rsidRDefault="007968EC" w:rsidP="007968EC">
            <w:pPr>
              <w:spacing w:after="160"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Orden de Compensación</w:t>
            </w:r>
          </w:p>
        </w:tc>
        <w:tc>
          <w:tcPr>
            <w:tcW w:w="561" w:type="dxa"/>
            <w:tcBorders>
              <w:top w:val="single" w:sz="4" w:space="0" w:color="auto"/>
              <w:left w:val="single" w:sz="4" w:space="0" w:color="auto"/>
              <w:bottom w:val="single" w:sz="4" w:space="0" w:color="auto"/>
              <w:right w:val="single" w:sz="4" w:space="0" w:color="auto"/>
            </w:tcBorders>
            <w:noWrap/>
            <w:vAlign w:val="center"/>
            <w:hideMark/>
          </w:tcPr>
          <w:p w14:paraId="5117509F" w14:textId="77777777" w:rsidR="007968EC" w:rsidRDefault="007968EC" w:rsidP="007968EC">
            <w:pPr>
              <w:spacing w:after="160"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H1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67CB4EA" w14:textId="77777777" w:rsidR="007968EC" w:rsidRDefault="007968EC" w:rsidP="007968EC">
            <w:pPr>
              <w:spacing w:after="160"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H2</w:t>
            </w:r>
          </w:p>
        </w:tc>
        <w:tc>
          <w:tcPr>
            <w:tcW w:w="644" w:type="dxa"/>
            <w:tcBorders>
              <w:top w:val="single" w:sz="4" w:space="0" w:color="auto"/>
              <w:left w:val="single" w:sz="4" w:space="0" w:color="auto"/>
              <w:bottom w:val="single" w:sz="4" w:space="0" w:color="auto"/>
              <w:right w:val="single" w:sz="4" w:space="0" w:color="auto"/>
            </w:tcBorders>
            <w:noWrap/>
            <w:vAlign w:val="center"/>
            <w:hideMark/>
          </w:tcPr>
          <w:p w14:paraId="79351D9E" w14:textId="77777777" w:rsidR="007968EC" w:rsidRDefault="007968EC" w:rsidP="007968EC">
            <w:pPr>
              <w:spacing w:after="160"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H3</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5BE217A" w14:textId="77777777" w:rsidR="007968EC" w:rsidRDefault="007968EC" w:rsidP="007968EC">
            <w:pPr>
              <w:spacing w:after="160"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H4</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A16E829" w14:textId="77777777" w:rsidR="007968EC" w:rsidRDefault="007968EC" w:rsidP="007968EC">
            <w:pPr>
              <w:spacing w:after="160"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H5</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BD5587F" w14:textId="77777777" w:rsidR="007968EC" w:rsidRDefault="007968EC" w:rsidP="007968EC">
            <w:pPr>
              <w:spacing w:after="160"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H6</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2B0AD52" w14:textId="77777777" w:rsidR="007968EC" w:rsidRDefault="007968EC" w:rsidP="007968EC">
            <w:pPr>
              <w:spacing w:after="160"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H7</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F5EA93" w14:textId="77777777" w:rsidR="007968EC" w:rsidRDefault="007968EC" w:rsidP="007968EC">
            <w:pPr>
              <w:spacing w:after="160"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H8</w:t>
            </w:r>
          </w:p>
        </w:tc>
      </w:tr>
      <w:tr w:rsidR="007968EC" w14:paraId="3C5A6C29" w14:textId="77777777" w:rsidTr="007968EC">
        <w:trPr>
          <w:trHeight w:val="260"/>
          <w:jc w:val="center"/>
        </w:trPr>
        <w:tc>
          <w:tcPr>
            <w:tcW w:w="1702" w:type="dxa"/>
            <w:tcBorders>
              <w:top w:val="single" w:sz="4" w:space="0" w:color="auto"/>
              <w:left w:val="single" w:sz="4" w:space="0" w:color="auto"/>
              <w:bottom w:val="single" w:sz="4" w:space="0" w:color="auto"/>
              <w:right w:val="single" w:sz="4" w:space="0" w:color="auto"/>
            </w:tcBorders>
            <w:noWrap/>
            <w:vAlign w:val="center"/>
            <w:hideMark/>
          </w:tcPr>
          <w:p w14:paraId="115014A3" w14:textId="77777777" w:rsidR="007968EC" w:rsidRDefault="007968EC" w:rsidP="007968EC">
            <w:pPr>
              <w:spacing w:after="160"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Futuro TES Corto Plazo</w:t>
            </w:r>
          </w:p>
        </w:tc>
        <w:tc>
          <w:tcPr>
            <w:tcW w:w="56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83471E1" w14:textId="77777777" w:rsidR="007968EC" w:rsidRDefault="007968EC" w:rsidP="007968EC">
            <w:pPr>
              <w:spacing w:after="160" w:line="256" w:lineRule="auto"/>
              <w:jc w:val="center"/>
              <w:rPr>
                <w:rFonts w:ascii="Arial Narrow" w:eastAsia="Calibri" w:hAnsi="Arial Narrow" w:cstheme="minorBidi"/>
                <w:b/>
                <w:color w:val="000000"/>
                <w:lang w:eastAsia="es-CO"/>
              </w:rPr>
            </w:pP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F019537" w14:textId="77777777" w:rsidR="007968EC" w:rsidRDefault="007968EC" w:rsidP="007968EC">
            <w:pPr>
              <w:spacing w:after="160" w:line="256" w:lineRule="auto"/>
              <w:jc w:val="center"/>
              <w:rPr>
                <w:rFonts w:ascii="Arial Narrow" w:eastAsia="Calibri" w:hAnsi="Arial Narrow" w:cstheme="minorBidi"/>
                <w:b/>
                <w:color w:val="000000"/>
                <w:lang w:eastAsia="es-CO"/>
              </w:rPr>
            </w:pPr>
          </w:p>
        </w:tc>
        <w:tc>
          <w:tcPr>
            <w:tcW w:w="644" w:type="dxa"/>
            <w:tcBorders>
              <w:top w:val="single" w:sz="4" w:space="0" w:color="auto"/>
              <w:left w:val="single" w:sz="4" w:space="0" w:color="auto"/>
              <w:bottom w:val="single" w:sz="4" w:space="0" w:color="auto"/>
              <w:right w:val="single" w:sz="4" w:space="0" w:color="auto"/>
            </w:tcBorders>
            <w:noWrap/>
            <w:vAlign w:val="center"/>
            <w:hideMark/>
          </w:tcPr>
          <w:p w14:paraId="1AC6159B" w14:textId="77777777" w:rsidR="007968EC" w:rsidRDefault="007968EC" w:rsidP="007968EC">
            <w:pPr>
              <w:spacing w:after="160"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C379EBF" w14:textId="77777777" w:rsidR="007968EC" w:rsidRDefault="007968EC" w:rsidP="007968EC">
            <w:pPr>
              <w:spacing w:after="160"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10</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CD1CB25" w14:textId="77777777" w:rsidR="007968EC" w:rsidRDefault="007968EC" w:rsidP="007968EC">
            <w:pPr>
              <w:spacing w:after="160"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11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76B2866" w14:textId="77777777" w:rsidR="007968EC" w:rsidRDefault="007968EC" w:rsidP="007968EC">
            <w:pPr>
              <w:spacing w:after="160"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4F9C8B7" w14:textId="77777777" w:rsidR="007968EC" w:rsidRDefault="007968EC" w:rsidP="007968EC">
            <w:pPr>
              <w:spacing w:after="160"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95F164" w14:textId="77777777" w:rsidR="007968EC" w:rsidRDefault="007968EC" w:rsidP="007968EC">
            <w:pPr>
              <w:spacing w:after="160"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w:t>
            </w:r>
          </w:p>
        </w:tc>
      </w:tr>
      <w:tr w:rsidR="007968EC" w14:paraId="65429B15" w14:textId="77777777" w:rsidTr="007968EC">
        <w:trPr>
          <w:trHeight w:val="260"/>
          <w:jc w:val="center"/>
        </w:trPr>
        <w:tc>
          <w:tcPr>
            <w:tcW w:w="1702" w:type="dxa"/>
            <w:tcBorders>
              <w:top w:val="single" w:sz="4" w:space="0" w:color="auto"/>
              <w:left w:val="single" w:sz="4" w:space="0" w:color="auto"/>
              <w:bottom w:val="single" w:sz="4" w:space="0" w:color="auto"/>
              <w:right w:val="single" w:sz="4" w:space="0" w:color="auto"/>
            </w:tcBorders>
            <w:noWrap/>
            <w:vAlign w:val="center"/>
            <w:hideMark/>
          </w:tcPr>
          <w:p w14:paraId="73F42AC5" w14:textId="77777777" w:rsidR="007968EC" w:rsidRDefault="007968EC" w:rsidP="007968EC">
            <w:pPr>
              <w:spacing w:after="160"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Futuro TES Mediano Plazo</w:t>
            </w:r>
          </w:p>
        </w:tc>
        <w:tc>
          <w:tcPr>
            <w:tcW w:w="561"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7919CB83" w14:textId="77777777" w:rsidR="007968EC" w:rsidRDefault="007968EC" w:rsidP="007968EC">
            <w:pPr>
              <w:spacing w:after="160" w:line="256" w:lineRule="auto"/>
              <w:jc w:val="center"/>
              <w:rPr>
                <w:rFonts w:ascii="Arial Narrow" w:eastAsia="Calibri" w:hAnsi="Arial Narrow" w:cstheme="minorBidi"/>
                <w:b/>
                <w:color w:val="000000"/>
                <w:lang w:eastAsia="es-CO"/>
              </w:rPr>
            </w:pPr>
          </w:p>
        </w:tc>
        <w:tc>
          <w:tcPr>
            <w:tcW w:w="567"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DA15BD8" w14:textId="77777777" w:rsidR="007968EC" w:rsidRDefault="007968EC" w:rsidP="007968EC">
            <w:pPr>
              <w:spacing w:after="160" w:line="256" w:lineRule="auto"/>
              <w:jc w:val="center"/>
              <w:rPr>
                <w:rFonts w:ascii="Arial Narrow" w:eastAsia="Calibri" w:hAnsi="Arial Narrow" w:cstheme="minorBidi"/>
                <w:b/>
                <w:color w:val="000000"/>
                <w:lang w:eastAsia="es-CO"/>
              </w:rPr>
            </w:pPr>
          </w:p>
        </w:tc>
        <w:tc>
          <w:tcPr>
            <w:tcW w:w="64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24D6607" w14:textId="77777777" w:rsidR="007968EC" w:rsidRDefault="007968EC" w:rsidP="007968EC">
            <w:pPr>
              <w:spacing w:after="160" w:line="256" w:lineRule="auto"/>
              <w:jc w:val="center"/>
              <w:rPr>
                <w:rFonts w:ascii="Arial Narrow" w:eastAsia="Calibri" w:hAnsi="Arial Narrow" w:cstheme="minorBidi"/>
                <w:color w:val="000000"/>
                <w:lang w:eastAsia="es-CO"/>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E4FFE6C" w14:textId="77777777" w:rsidR="007968EC" w:rsidRDefault="007968EC" w:rsidP="007968EC">
            <w:pPr>
              <w:spacing w:after="160"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4</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DE053F1" w14:textId="77777777" w:rsidR="007968EC" w:rsidRDefault="007968EC" w:rsidP="007968EC">
            <w:pPr>
              <w:spacing w:after="160"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5</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201352B" w14:textId="77777777" w:rsidR="007968EC" w:rsidRDefault="007968EC" w:rsidP="007968EC">
            <w:pPr>
              <w:spacing w:after="160"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6</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3618CC3" w14:textId="77777777" w:rsidR="007968EC" w:rsidRDefault="007968EC" w:rsidP="007968EC">
            <w:pPr>
              <w:spacing w:after="160"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7</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61DC06" w14:textId="77777777" w:rsidR="007968EC" w:rsidRDefault="007968EC" w:rsidP="007968EC">
            <w:pPr>
              <w:spacing w:after="160"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9</w:t>
            </w:r>
          </w:p>
        </w:tc>
      </w:tr>
      <w:tr w:rsidR="007968EC" w14:paraId="2D4F25D9" w14:textId="77777777" w:rsidTr="007968EC">
        <w:trPr>
          <w:trHeight w:val="260"/>
          <w:jc w:val="center"/>
        </w:trPr>
        <w:tc>
          <w:tcPr>
            <w:tcW w:w="1702" w:type="dxa"/>
            <w:tcBorders>
              <w:top w:val="single" w:sz="4" w:space="0" w:color="auto"/>
              <w:left w:val="single" w:sz="4" w:space="0" w:color="auto"/>
              <w:bottom w:val="single" w:sz="4" w:space="0" w:color="auto"/>
              <w:right w:val="single" w:sz="4" w:space="0" w:color="auto"/>
            </w:tcBorders>
            <w:noWrap/>
            <w:vAlign w:val="center"/>
            <w:hideMark/>
          </w:tcPr>
          <w:p w14:paraId="47446AB7" w14:textId="77777777" w:rsidR="007968EC" w:rsidRDefault="007968EC" w:rsidP="007968EC">
            <w:pPr>
              <w:spacing w:after="160"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Futuro TES Largo Plazo</w:t>
            </w:r>
          </w:p>
        </w:tc>
        <w:tc>
          <w:tcPr>
            <w:tcW w:w="561"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26BED283" w14:textId="77777777" w:rsidR="007968EC" w:rsidRDefault="007968EC" w:rsidP="007968EC">
            <w:pPr>
              <w:spacing w:after="160" w:line="256" w:lineRule="auto"/>
              <w:jc w:val="center"/>
              <w:rPr>
                <w:rFonts w:ascii="Arial Narrow" w:eastAsia="Calibri" w:hAnsi="Arial Narrow" w:cstheme="minorBidi"/>
                <w:b/>
                <w:color w:val="000000"/>
                <w:lang w:eastAsia="es-CO"/>
              </w:rPr>
            </w:pPr>
          </w:p>
        </w:tc>
        <w:tc>
          <w:tcPr>
            <w:tcW w:w="567"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019EB1E0" w14:textId="77777777" w:rsidR="007968EC" w:rsidRDefault="007968EC" w:rsidP="007968EC">
            <w:pPr>
              <w:spacing w:after="160" w:line="256" w:lineRule="auto"/>
              <w:jc w:val="center"/>
              <w:rPr>
                <w:rFonts w:ascii="Arial Narrow" w:eastAsia="Calibri" w:hAnsi="Arial Narrow" w:cstheme="minorBidi"/>
                <w:b/>
                <w:color w:val="000000"/>
                <w:lang w:eastAsia="es-CO"/>
              </w:rPr>
            </w:pPr>
          </w:p>
        </w:tc>
        <w:tc>
          <w:tcPr>
            <w:tcW w:w="644"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401AA063" w14:textId="77777777" w:rsidR="007968EC" w:rsidRDefault="007968EC" w:rsidP="007968EC">
            <w:pPr>
              <w:spacing w:after="160" w:line="256" w:lineRule="auto"/>
              <w:jc w:val="center"/>
              <w:rPr>
                <w:rFonts w:ascii="Arial Narrow" w:eastAsia="Calibri" w:hAnsi="Arial Narrow" w:cstheme="minorBidi"/>
                <w:b/>
                <w:color w:val="000000"/>
                <w:lang w:eastAsia="es-CO"/>
              </w:rPr>
            </w:pP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887D0C7" w14:textId="77777777" w:rsidR="007968EC" w:rsidRDefault="007968EC" w:rsidP="007968EC">
            <w:pPr>
              <w:spacing w:after="160" w:line="256" w:lineRule="auto"/>
              <w:jc w:val="center"/>
              <w:rPr>
                <w:rFonts w:ascii="Arial Narrow" w:eastAsia="Calibri" w:hAnsi="Arial Narrow" w:cstheme="minorBidi"/>
                <w:color w:val="000000"/>
                <w:lang w:eastAsia="es-CO"/>
              </w:rPr>
            </w:pP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D614D4A" w14:textId="77777777" w:rsidR="007968EC" w:rsidRDefault="007968EC" w:rsidP="007968EC">
            <w:pPr>
              <w:spacing w:after="160" w:line="256" w:lineRule="auto"/>
              <w:jc w:val="center"/>
              <w:rPr>
                <w:rFonts w:ascii="Arial Narrow" w:eastAsia="Calibri" w:hAnsi="Arial Narrow" w:cstheme="minorBidi"/>
                <w:color w:val="000000"/>
                <w:lang w:eastAsia="es-CO"/>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8DEF868" w14:textId="77777777" w:rsidR="007968EC" w:rsidRDefault="007968EC" w:rsidP="007968EC">
            <w:pPr>
              <w:spacing w:after="160"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CEC969B" w14:textId="77777777" w:rsidR="007968EC" w:rsidRDefault="007968EC" w:rsidP="007968EC">
            <w:pPr>
              <w:spacing w:after="160"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5A9692" w14:textId="77777777" w:rsidR="007968EC" w:rsidRDefault="007968EC" w:rsidP="007968EC">
            <w:pPr>
              <w:spacing w:after="160"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3</w:t>
            </w:r>
          </w:p>
        </w:tc>
      </w:tr>
    </w:tbl>
    <w:p w14:paraId="506BC242" w14:textId="77777777" w:rsidR="007968EC" w:rsidRDefault="007968EC" w:rsidP="007968EC">
      <w:pPr>
        <w:ind w:left="284"/>
        <w:jc w:val="both"/>
        <w:rPr>
          <w:rFonts w:ascii="Arial Narrow" w:eastAsia="Calibri" w:hAnsi="Arial Narrow" w:cstheme="minorBidi"/>
          <w:b/>
          <w:color w:val="000000"/>
          <w:lang w:eastAsia="en-US"/>
        </w:rPr>
      </w:pPr>
    </w:p>
    <w:p w14:paraId="5108424E" w14:textId="77777777" w:rsidR="007968EC" w:rsidRDefault="007968EC" w:rsidP="007968EC">
      <w:pPr>
        <w:jc w:val="both"/>
        <w:rPr>
          <w:rFonts w:ascii="Arial Narrow" w:eastAsia="Calibri" w:hAnsi="Arial Narrow" w:cstheme="minorBidi"/>
          <w:b/>
          <w:color w:val="000000"/>
          <w:lang w:val="es-MX" w:eastAsia="en-US"/>
        </w:rPr>
      </w:pPr>
      <w:r>
        <w:rPr>
          <w:rFonts w:ascii="Arial Narrow" w:eastAsia="Calibri" w:hAnsi="Arial Narrow" w:cstheme="minorBidi"/>
          <w:color w:val="000000"/>
          <w:lang w:eastAsia="en-US"/>
        </w:rPr>
        <w:t>El Delta para formar un Spread para la compensación entre los grupos de Futuro TES Corto Plazo, Futuro TES Mediano Plazo, el Futuro TES Largo Plazo y Futuros sobre Títulos TES de Referencias Específicas, es el siguiente:</w:t>
      </w:r>
    </w:p>
    <w:p w14:paraId="44E48C7E" w14:textId="77777777" w:rsidR="007968EC" w:rsidRDefault="007968EC" w:rsidP="007968EC">
      <w:pPr>
        <w:jc w:val="both"/>
        <w:rPr>
          <w:rFonts w:ascii="Arial Narrow" w:eastAsia="Calibri" w:hAnsi="Arial Narrow" w:cstheme="minorBidi"/>
          <w:color w:val="000000"/>
          <w:lang w:val="es-MX"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559"/>
      </w:tblGrid>
      <w:tr w:rsidR="007968EC" w14:paraId="3114BEFD" w14:textId="77777777" w:rsidTr="007968EC">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0EEE95AB" w14:textId="77777777" w:rsidR="007968EC" w:rsidRDefault="007968EC" w:rsidP="007968EC">
            <w:pPr>
              <w:spacing w:line="256" w:lineRule="auto"/>
              <w:jc w:val="center"/>
              <w:rPr>
                <w:rFonts w:ascii="Arial Narrow" w:eastAsia="Calibri" w:hAnsi="Arial Narrow" w:cstheme="minorBidi"/>
                <w:b/>
                <w:color w:val="000000"/>
                <w:lang w:val="es-MX" w:eastAsia="en-US"/>
              </w:rPr>
            </w:pPr>
            <w:r>
              <w:rPr>
                <w:rFonts w:ascii="Arial Narrow" w:eastAsia="Calibri" w:hAnsi="Arial Narrow" w:cstheme="minorBidi"/>
                <w:color w:val="000000"/>
                <w:lang w:eastAsia="es-CO"/>
              </w:rPr>
              <w:t>Parejas de Grupos de Compensación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1F07711" w14:textId="77777777" w:rsidR="007968EC" w:rsidRDefault="007968EC" w:rsidP="007968EC">
            <w:pPr>
              <w:spacing w:line="256" w:lineRule="auto"/>
              <w:jc w:val="center"/>
              <w:rPr>
                <w:rFonts w:ascii="Arial Narrow" w:eastAsia="Calibri" w:hAnsi="Arial Narrow" w:cstheme="minorBidi"/>
                <w:b/>
                <w:color w:val="000000"/>
                <w:lang w:val="es-MX" w:eastAsia="en-US"/>
              </w:rPr>
            </w:pPr>
            <w:r>
              <w:rPr>
                <w:rFonts w:ascii="Arial Narrow" w:eastAsia="Calibri" w:hAnsi="Arial Narrow" w:cstheme="minorBidi"/>
                <w:color w:val="000000"/>
                <w:lang w:val="es-MX" w:eastAsia="en-US"/>
              </w:rPr>
              <w:t>Delta para formar un Spread</w:t>
            </w:r>
          </w:p>
        </w:tc>
      </w:tr>
      <w:tr w:rsidR="007968EC" w14:paraId="652F3BAC" w14:textId="77777777" w:rsidTr="007968EC">
        <w:trPr>
          <w:trHeight w:val="70"/>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03EFB479" w14:textId="77777777" w:rsidR="007968EC" w:rsidRDefault="007968EC" w:rsidP="007968EC">
            <w:pPr>
              <w:spacing w:line="256" w:lineRule="auto"/>
              <w:jc w:val="both"/>
              <w:rPr>
                <w:rFonts w:ascii="Arial Narrow" w:eastAsia="Calibri" w:hAnsi="Arial Narrow" w:cstheme="minorBidi"/>
                <w:b/>
                <w:lang w:eastAsia="es-CO"/>
              </w:rPr>
            </w:pPr>
            <w:r>
              <w:rPr>
                <w:rFonts w:ascii="Arial Narrow" w:eastAsia="Calibri" w:hAnsi="Arial Narrow" w:cstheme="minorBidi"/>
                <w:lang w:eastAsia="es-CO"/>
              </w:rPr>
              <w:t>H3 / Futuro TES Corto Plazo</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DEB4127" w14:textId="77777777" w:rsidR="007968EC" w:rsidRDefault="007968EC" w:rsidP="007968EC">
            <w:pPr>
              <w:spacing w:line="256" w:lineRule="auto"/>
              <w:jc w:val="center"/>
              <w:rPr>
                <w:rFonts w:ascii="Arial Narrow" w:eastAsia="Calibri" w:hAnsi="Arial Narrow" w:cstheme="minorBidi"/>
                <w:color w:val="000000"/>
                <w:lang w:val="es-MX" w:eastAsia="en-US"/>
              </w:rPr>
            </w:pPr>
            <w:r>
              <w:rPr>
                <w:rFonts w:ascii="Arial Narrow" w:eastAsiaTheme="minorHAnsi" w:hAnsi="Arial Narrow" w:cs="Arial"/>
                <w:color w:val="000000"/>
                <w:lang w:val="es-ES" w:eastAsia="es-CO"/>
              </w:rPr>
              <w:t>100/34</w:t>
            </w:r>
          </w:p>
        </w:tc>
      </w:tr>
      <w:tr w:rsidR="007968EC" w14:paraId="29908254" w14:textId="77777777" w:rsidTr="007968EC">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601132C3" w14:textId="77777777" w:rsidR="007968EC" w:rsidRDefault="007968EC" w:rsidP="007968EC">
            <w:pPr>
              <w:spacing w:line="256" w:lineRule="auto"/>
              <w:jc w:val="both"/>
              <w:rPr>
                <w:rFonts w:ascii="Arial Narrow" w:eastAsia="Calibri" w:hAnsi="Arial Narrow" w:cstheme="minorBidi"/>
                <w:lang w:eastAsia="es-CO"/>
              </w:rPr>
            </w:pPr>
            <w:r>
              <w:rPr>
                <w:rFonts w:ascii="Arial Narrow" w:eastAsia="Calibri" w:hAnsi="Arial Narrow" w:cstheme="minorBidi"/>
                <w:lang w:eastAsia="es-CO"/>
              </w:rPr>
              <w:t>Futuro TES Corto Plazo / H4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ED557A8" w14:textId="77777777" w:rsidR="007968EC" w:rsidRDefault="007968EC" w:rsidP="007968EC">
            <w:pPr>
              <w:spacing w:line="256" w:lineRule="auto"/>
              <w:jc w:val="center"/>
              <w:rPr>
                <w:rFonts w:ascii="Arial Narrow" w:eastAsiaTheme="minorHAnsi" w:hAnsi="Arial Narrow" w:cs="Arial"/>
                <w:color w:val="000000"/>
                <w:lang w:val="es-ES" w:eastAsia="es-CO"/>
              </w:rPr>
            </w:pPr>
            <w:r>
              <w:rPr>
                <w:rFonts w:ascii="Arial Narrow" w:eastAsiaTheme="minorHAnsi" w:hAnsi="Arial Narrow" w:cs="Arial"/>
                <w:color w:val="000000"/>
                <w:lang w:val="es-ES" w:eastAsia="es-CO"/>
              </w:rPr>
              <w:t>100/17</w:t>
            </w:r>
          </w:p>
        </w:tc>
      </w:tr>
      <w:tr w:rsidR="007968EC" w14:paraId="16C3B798" w14:textId="77777777" w:rsidTr="007968EC">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27E49022" w14:textId="77777777" w:rsidR="007968EC" w:rsidRDefault="007968EC" w:rsidP="007968EC">
            <w:pPr>
              <w:spacing w:line="256" w:lineRule="auto"/>
              <w:jc w:val="both"/>
              <w:rPr>
                <w:rFonts w:ascii="Arial Narrow" w:eastAsia="Calibri" w:hAnsi="Arial Narrow" w:cstheme="minorBidi"/>
                <w:lang w:eastAsia="es-CO"/>
              </w:rPr>
            </w:pPr>
            <w:r>
              <w:rPr>
                <w:rFonts w:ascii="Arial Narrow" w:eastAsia="Calibri" w:hAnsi="Arial Narrow" w:cstheme="minorBidi"/>
                <w:lang w:eastAsia="es-CO"/>
              </w:rPr>
              <w:t>Futuro TES Corto Plazo / H5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67A2400" w14:textId="77777777" w:rsidR="007968EC" w:rsidRDefault="007968EC" w:rsidP="007968EC">
            <w:pPr>
              <w:spacing w:line="256" w:lineRule="auto"/>
              <w:jc w:val="center"/>
              <w:rPr>
                <w:rFonts w:ascii="Arial Narrow" w:eastAsiaTheme="minorHAnsi" w:hAnsi="Arial Narrow" w:cs="Arial"/>
                <w:color w:val="000000"/>
                <w:lang w:val="es-ES" w:eastAsia="es-CO"/>
              </w:rPr>
            </w:pPr>
            <w:r>
              <w:rPr>
                <w:rFonts w:ascii="Arial Narrow" w:eastAsiaTheme="minorHAnsi" w:hAnsi="Arial Narrow" w:cs="Arial"/>
                <w:color w:val="000000"/>
                <w:lang w:val="es-ES" w:eastAsia="es-CO"/>
              </w:rPr>
              <w:t>100/13</w:t>
            </w:r>
          </w:p>
        </w:tc>
      </w:tr>
      <w:tr w:rsidR="007968EC" w14:paraId="22330613" w14:textId="77777777" w:rsidTr="007968EC">
        <w:trPr>
          <w:jc w:val="center"/>
        </w:trPr>
        <w:tc>
          <w:tcPr>
            <w:tcW w:w="3256" w:type="dxa"/>
            <w:tcBorders>
              <w:top w:val="single" w:sz="4" w:space="0" w:color="auto"/>
              <w:left w:val="single" w:sz="4" w:space="0" w:color="auto"/>
              <w:bottom w:val="single" w:sz="4" w:space="0" w:color="auto"/>
              <w:right w:val="single" w:sz="4" w:space="0" w:color="auto"/>
            </w:tcBorders>
            <w:vAlign w:val="bottom"/>
            <w:hideMark/>
          </w:tcPr>
          <w:p w14:paraId="6D670068" w14:textId="77777777" w:rsidR="007968EC" w:rsidRDefault="007968EC" w:rsidP="007968EC">
            <w:pPr>
              <w:spacing w:line="256" w:lineRule="auto"/>
              <w:jc w:val="both"/>
              <w:rPr>
                <w:rFonts w:ascii="Arial Narrow" w:eastAsia="Calibri" w:hAnsi="Arial Narrow" w:cstheme="minorBidi"/>
                <w:lang w:eastAsia="es-CO"/>
              </w:rPr>
            </w:pPr>
            <w:r>
              <w:rPr>
                <w:rFonts w:ascii="Arial Narrow" w:eastAsia="Calibri" w:hAnsi="Arial Narrow" w:cstheme="minorBidi"/>
                <w:lang w:eastAsia="es-CO"/>
              </w:rPr>
              <w:t>Futuro TES Mediano Plazo/H4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3878CD8" w14:textId="77777777" w:rsidR="007968EC" w:rsidRDefault="007968EC" w:rsidP="007968EC">
            <w:pPr>
              <w:spacing w:line="256" w:lineRule="auto"/>
              <w:jc w:val="center"/>
              <w:rPr>
                <w:rFonts w:ascii="Arial Narrow" w:eastAsiaTheme="minorHAnsi" w:hAnsi="Arial Narrow" w:cs="Arial"/>
                <w:color w:val="000000"/>
                <w:lang w:val="es-ES" w:eastAsia="es-CO"/>
              </w:rPr>
            </w:pPr>
            <w:r>
              <w:rPr>
                <w:rFonts w:ascii="Arial Narrow" w:eastAsia="Calibri" w:hAnsi="Arial Narrow" w:cstheme="minorBidi"/>
                <w:lang w:eastAsia="es-CO"/>
              </w:rPr>
              <w:t>100/34</w:t>
            </w:r>
          </w:p>
        </w:tc>
      </w:tr>
      <w:tr w:rsidR="007968EC" w14:paraId="6783D29E" w14:textId="77777777" w:rsidTr="007968EC">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1A7CC4F2" w14:textId="77777777" w:rsidR="007968EC" w:rsidRDefault="007968EC" w:rsidP="007968EC">
            <w:pPr>
              <w:spacing w:line="256" w:lineRule="auto"/>
              <w:jc w:val="both"/>
              <w:rPr>
                <w:rFonts w:ascii="Arial Narrow" w:eastAsia="Calibri" w:hAnsi="Arial Narrow" w:cstheme="minorBidi"/>
                <w:lang w:eastAsia="es-CO"/>
              </w:rPr>
            </w:pPr>
            <w:r>
              <w:rPr>
                <w:rFonts w:ascii="Arial Narrow" w:eastAsia="Calibri" w:hAnsi="Arial Narrow" w:cstheme="minorBidi"/>
                <w:lang w:eastAsia="es-CO"/>
              </w:rPr>
              <w:t>Futuro TES Corto Plazo / H6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F9C3AAD" w14:textId="77777777" w:rsidR="007968EC" w:rsidRDefault="007968EC" w:rsidP="007968EC">
            <w:pPr>
              <w:spacing w:line="256" w:lineRule="auto"/>
              <w:jc w:val="center"/>
              <w:rPr>
                <w:rFonts w:ascii="Arial Narrow" w:eastAsiaTheme="minorHAnsi" w:hAnsi="Arial Narrow" w:cs="Arial"/>
                <w:color w:val="000000"/>
                <w:lang w:val="es-ES" w:eastAsia="es-CO"/>
              </w:rPr>
            </w:pPr>
            <w:r>
              <w:rPr>
                <w:rFonts w:ascii="Arial Narrow" w:eastAsiaTheme="minorHAnsi" w:hAnsi="Arial Narrow" w:cs="Arial"/>
                <w:color w:val="000000"/>
                <w:lang w:eastAsia="es-CO"/>
              </w:rPr>
              <w:t>100/10</w:t>
            </w:r>
          </w:p>
        </w:tc>
      </w:tr>
      <w:tr w:rsidR="007968EC" w14:paraId="2AF4969D" w14:textId="77777777" w:rsidTr="007968EC">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4733D416" w14:textId="77777777" w:rsidR="007968EC" w:rsidRDefault="007968EC" w:rsidP="007968EC">
            <w:pPr>
              <w:spacing w:line="256" w:lineRule="auto"/>
              <w:jc w:val="both"/>
              <w:rPr>
                <w:rFonts w:ascii="Arial Narrow" w:eastAsia="Calibri" w:hAnsi="Arial Narrow" w:cstheme="minorBidi"/>
                <w:b/>
                <w:lang w:eastAsia="es-CO"/>
              </w:rPr>
            </w:pPr>
            <w:r>
              <w:rPr>
                <w:rFonts w:ascii="Arial Narrow" w:eastAsia="Calibri" w:hAnsi="Arial Narrow" w:cstheme="minorBidi"/>
                <w:lang w:eastAsia="es-CO"/>
              </w:rPr>
              <w:t>Futuro TES Mediano Plazo / H5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A5C1DEB" w14:textId="77777777" w:rsidR="007968EC" w:rsidRDefault="007968EC" w:rsidP="007968EC">
            <w:pPr>
              <w:spacing w:line="256" w:lineRule="auto"/>
              <w:jc w:val="center"/>
              <w:rPr>
                <w:rFonts w:ascii="Arial Narrow" w:eastAsia="Calibri" w:hAnsi="Arial Narrow" w:cstheme="minorBidi"/>
                <w:color w:val="000000"/>
                <w:lang w:val="es-MX" w:eastAsia="en-US"/>
              </w:rPr>
            </w:pPr>
            <w:r>
              <w:rPr>
                <w:rFonts w:ascii="Arial Narrow" w:eastAsiaTheme="minorHAnsi" w:hAnsi="Arial Narrow" w:cs="Arial"/>
                <w:color w:val="000000"/>
                <w:lang w:val="es-ES" w:eastAsia="es-CO"/>
              </w:rPr>
              <w:t>100/46</w:t>
            </w:r>
          </w:p>
        </w:tc>
      </w:tr>
      <w:tr w:rsidR="007968EC" w14:paraId="49A164EC" w14:textId="77777777" w:rsidTr="007968EC">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0442E180" w14:textId="77777777" w:rsidR="007968EC" w:rsidRDefault="007968EC" w:rsidP="007968EC">
            <w:pPr>
              <w:spacing w:line="256" w:lineRule="auto"/>
              <w:jc w:val="both"/>
              <w:rPr>
                <w:rFonts w:ascii="Arial Narrow" w:eastAsia="Calibri" w:hAnsi="Arial Narrow" w:cstheme="minorBidi"/>
                <w:b/>
                <w:lang w:eastAsia="es-CO"/>
              </w:rPr>
            </w:pPr>
            <w:r>
              <w:rPr>
                <w:rFonts w:ascii="Arial Narrow" w:eastAsia="Calibri" w:hAnsi="Arial Narrow" w:cstheme="minorBidi"/>
                <w:lang w:eastAsia="es-CO"/>
              </w:rPr>
              <w:t>Futuro TES Mediano Plazo / H6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4D1A486" w14:textId="77777777" w:rsidR="007968EC" w:rsidRDefault="007968EC" w:rsidP="007968EC">
            <w:pPr>
              <w:spacing w:line="256" w:lineRule="auto"/>
              <w:jc w:val="center"/>
              <w:rPr>
                <w:rFonts w:ascii="Arial Narrow" w:eastAsia="Calibri" w:hAnsi="Arial Narrow" w:cstheme="minorBidi"/>
                <w:color w:val="000000"/>
                <w:lang w:val="es-MX" w:eastAsia="en-US"/>
              </w:rPr>
            </w:pPr>
            <w:r>
              <w:rPr>
                <w:rFonts w:ascii="Arial Narrow" w:eastAsiaTheme="minorHAnsi" w:hAnsi="Arial Narrow" w:cs="Arial"/>
                <w:color w:val="000000"/>
                <w:lang w:val="es-ES" w:eastAsia="es-CO"/>
              </w:rPr>
              <w:t>100/36</w:t>
            </w:r>
          </w:p>
        </w:tc>
      </w:tr>
      <w:tr w:rsidR="007968EC" w14:paraId="2D2BF01B" w14:textId="77777777" w:rsidTr="007968EC">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4FA98D12" w14:textId="77777777" w:rsidR="007968EC" w:rsidRDefault="007968EC" w:rsidP="007968EC">
            <w:pPr>
              <w:spacing w:line="256" w:lineRule="auto"/>
              <w:jc w:val="both"/>
              <w:rPr>
                <w:rFonts w:ascii="Arial Narrow" w:eastAsia="Calibri" w:hAnsi="Arial Narrow" w:cstheme="minorBidi"/>
                <w:b/>
                <w:lang w:eastAsia="es-CO"/>
              </w:rPr>
            </w:pPr>
            <w:r>
              <w:rPr>
                <w:rFonts w:ascii="Arial Narrow" w:eastAsia="Calibri" w:hAnsi="Arial Narrow" w:cstheme="minorBidi"/>
                <w:lang w:eastAsia="es-CO"/>
              </w:rPr>
              <w:t>Futuro TES Mediano Plazo / H7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695D57D" w14:textId="77777777" w:rsidR="007968EC" w:rsidRDefault="007968EC" w:rsidP="007968EC">
            <w:pPr>
              <w:spacing w:line="256" w:lineRule="auto"/>
              <w:jc w:val="center"/>
              <w:rPr>
                <w:rFonts w:ascii="Arial Narrow" w:eastAsia="Calibri" w:hAnsi="Arial Narrow" w:cstheme="minorBidi"/>
                <w:color w:val="000000"/>
                <w:lang w:val="es-MX" w:eastAsia="en-US"/>
              </w:rPr>
            </w:pPr>
            <w:r>
              <w:rPr>
                <w:rFonts w:ascii="Arial Narrow" w:eastAsiaTheme="minorHAnsi" w:hAnsi="Arial Narrow" w:cs="Arial"/>
                <w:color w:val="000000"/>
                <w:lang w:val="es-ES" w:eastAsia="es-CO"/>
              </w:rPr>
              <w:t>100/29</w:t>
            </w:r>
          </w:p>
        </w:tc>
      </w:tr>
      <w:tr w:rsidR="007968EC" w14:paraId="78B95A38" w14:textId="77777777" w:rsidTr="007968EC">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09A71188" w14:textId="77777777" w:rsidR="007968EC" w:rsidRDefault="007968EC" w:rsidP="007968EC">
            <w:pPr>
              <w:spacing w:line="256" w:lineRule="auto"/>
              <w:jc w:val="both"/>
              <w:rPr>
                <w:rFonts w:ascii="Arial Narrow" w:eastAsia="Calibri" w:hAnsi="Arial Narrow" w:cstheme="minorBidi"/>
                <w:lang w:eastAsia="es-CO"/>
              </w:rPr>
            </w:pPr>
            <w:r>
              <w:rPr>
                <w:rFonts w:ascii="Arial Narrow" w:eastAsia="Calibri" w:hAnsi="Arial Narrow" w:cstheme="minorBidi"/>
                <w:lang w:eastAsia="es-CO"/>
              </w:rPr>
              <w:t>Futuro TES Mediano Plazo / H8</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9583A16" w14:textId="4E40AD35" w:rsidR="007968EC" w:rsidRDefault="007968EC" w:rsidP="007968EC">
            <w:pPr>
              <w:spacing w:line="256" w:lineRule="auto"/>
              <w:jc w:val="center"/>
              <w:rPr>
                <w:rFonts w:ascii="Arial Narrow" w:eastAsiaTheme="minorHAnsi" w:hAnsi="Arial Narrow" w:cs="Arial"/>
                <w:color w:val="000000"/>
                <w:lang w:val="es-ES" w:eastAsia="es-CO"/>
              </w:rPr>
            </w:pPr>
            <w:r>
              <w:rPr>
                <w:rFonts w:ascii="Arial Narrow" w:eastAsiaTheme="minorHAnsi" w:hAnsi="Arial Narrow" w:cs="Arial"/>
                <w:color w:val="000000"/>
                <w:lang w:val="es-ES" w:eastAsia="es-CO"/>
              </w:rPr>
              <w:t>100/2</w:t>
            </w:r>
            <w:r w:rsidR="00B93F48">
              <w:rPr>
                <w:rFonts w:ascii="Arial Narrow" w:eastAsiaTheme="minorHAnsi" w:hAnsi="Arial Narrow" w:cs="Arial"/>
                <w:color w:val="000000"/>
                <w:lang w:val="es-ES" w:eastAsia="es-CO"/>
              </w:rPr>
              <w:t>5</w:t>
            </w:r>
          </w:p>
        </w:tc>
      </w:tr>
      <w:tr w:rsidR="007968EC" w14:paraId="4FCF67C6" w14:textId="77777777" w:rsidTr="007968EC">
        <w:trPr>
          <w:jc w:val="center"/>
        </w:trPr>
        <w:tc>
          <w:tcPr>
            <w:tcW w:w="3256" w:type="dxa"/>
            <w:tcBorders>
              <w:top w:val="single" w:sz="4" w:space="0" w:color="auto"/>
              <w:left w:val="single" w:sz="4" w:space="0" w:color="auto"/>
              <w:bottom w:val="single" w:sz="4" w:space="0" w:color="auto"/>
              <w:right w:val="single" w:sz="4" w:space="0" w:color="auto"/>
            </w:tcBorders>
            <w:vAlign w:val="bottom"/>
            <w:hideMark/>
          </w:tcPr>
          <w:p w14:paraId="79C71CB0" w14:textId="77777777" w:rsidR="007968EC" w:rsidRDefault="007968EC" w:rsidP="007968EC">
            <w:pPr>
              <w:spacing w:line="256" w:lineRule="auto"/>
              <w:jc w:val="both"/>
              <w:rPr>
                <w:rFonts w:ascii="Arial Narrow" w:eastAsia="Calibri" w:hAnsi="Arial Narrow" w:cstheme="minorBidi"/>
                <w:b/>
                <w:lang w:eastAsia="es-CO"/>
              </w:rPr>
            </w:pPr>
            <w:r>
              <w:rPr>
                <w:rFonts w:ascii="Arial Narrow" w:eastAsiaTheme="minorHAnsi" w:hAnsi="Arial Narrow" w:cs="Arial"/>
                <w:lang w:val="es-ES" w:eastAsia="es-CO"/>
              </w:rPr>
              <w:t>Futuro TES Largo Plazo/H6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6A48000" w14:textId="77777777"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Theme="minorHAnsi" w:hAnsi="Arial Narrow" w:cs="Arial"/>
                <w:color w:val="000000"/>
                <w:lang w:val="es-ES" w:eastAsia="es-CO"/>
              </w:rPr>
              <w:t>100/58</w:t>
            </w:r>
          </w:p>
        </w:tc>
      </w:tr>
      <w:tr w:rsidR="007968EC" w14:paraId="69113A83" w14:textId="77777777" w:rsidTr="007968EC">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62CD06B9" w14:textId="77777777" w:rsidR="007968EC" w:rsidRDefault="007968EC" w:rsidP="007968EC">
            <w:pPr>
              <w:spacing w:line="256" w:lineRule="auto"/>
              <w:jc w:val="both"/>
              <w:rPr>
                <w:rFonts w:ascii="Arial Narrow" w:eastAsia="Calibri" w:hAnsi="Arial Narrow" w:cstheme="minorBidi"/>
                <w:b/>
                <w:lang w:eastAsia="es-CO"/>
              </w:rPr>
            </w:pPr>
            <w:r>
              <w:rPr>
                <w:rFonts w:ascii="Arial Narrow" w:eastAsia="Calibri" w:hAnsi="Arial Narrow" w:cstheme="minorBidi"/>
                <w:lang w:eastAsia="es-CO"/>
              </w:rPr>
              <w:t xml:space="preserve">Futuro TES Largo Plazo / H7 </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E87C158" w14:textId="6FF33424"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Theme="minorHAnsi" w:hAnsi="Arial Narrow" w:cs="Arial"/>
                <w:color w:val="000000"/>
                <w:lang w:val="es-ES" w:eastAsia="es-CO"/>
              </w:rPr>
              <w:t>100/</w:t>
            </w:r>
            <w:r w:rsidR="00B93F48">
              <w:rPr>
                <w:rFonts w:ascii="Arial Narrow" w:eastAsiaTheme="minorHAnsi" w:hAnsi="Arial Narrow" w:cs="Arial"/>
                <w:color w:val="000000"/>
                <w:lang w:val="es-ES" w:eastAsia="es-CO"/>
              </w:rPr>
              <w:t>46</w:t>
            </w:r>
          </w:p>
        </w:tc>
      </w:tr>
      <w:tr w:rsidR="007968EC" w14:paraId="3A64EEC1" w14:textId="77777777" w:rsidTr="007968EC">
        <w:trPr>
          <w:jc w:val="center"/>
        </w:trPr>
        <w:tc>
          <w:tcPr>
            <w:tcW w:w="3256" w:type="dxa"/>
            <w:tcBorders>
              <w:top w:val="single" w:sz="4" w:space="0" w:color="auto"/>
              <w:left w:val="single" w:sz="4" w:space="0" w:color="auto"/>
              <w:bottom w:val="single" w:sz="4" w:space="0" w:color="auto"/>
              <w:right w:val="single" w:sz="4" w:space="0" w:color="auto"/>
            </w:tcBorders>
            <w:vAlign w:val="bottom"/>
            <w:hideMark/>
          </w:tcPr>
          <w:p w14:paraId="54FEA302" w14:textId="77777777" w:rsidR="007968EC" w:rsidRDefault="007968EC" w:rsidP="007968EC">
            <w:pPr>
              <w:spacing w:line="256" w:lineRule="auto"/>
              <w:jc w:val="both"/>
              <w:rPr>
                <w:rFonts w:ascii="Arial Narrow" w:eastAsia="Calibri" w:hAnsi="Arial Narrow" w:cstheme="minorBidi"/>
                <w:lang w:eastAsia="es-CO"/>
              </w:rPr>
            </w:pPr>
            <w:r>
              <w:rPr>
                <w:rFonts w:ascii="Arial Narrow" w:eastAsiaTheme="minorHAnsi" w:hAnsi="Arial Narrow" w:cs="Arial"/>
                <w:lang w:val="es-ES" w:eastAsia="es-CO"/>
              </w:rPr>
              <w:t>Futuro TES Largo Plazo / H8</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7C06163" w14:textId="687E5F1C" w:rsidR="007968EC" w:rsidRDefault="007968EC" w:rsidP="007968EC">
            <w:pPr>
              <w:spacing w:line="256" w:lineRule="auto"/>
              <w:jc w:val="center"/>
              <w:rPr>
                <w:rFonts w:ascii="Arial Narrow" w:eastAsia="Calibri" w:hAnsi="Arial Narrow" w:cstheme="minorBidi"/>
                <w:color w:val="000000"/>
                <w:lang w:eastAsia="en-US"/>
              </w:rPr>
            </w:pPr>
            <w:r>
              <w:rPr>
                <w:rFonts w:ascii="Arial Narrow" w:eastAsiaTheme="minorHAnsi" w:hAnsi="Arial Narrow" w:cs="Arial"/>
                <w:color w:val="000000"/>
                <w:lang w:val="es-ES" w:eastAsia="es-CO"/>
              </w:rPr>
              <w:t>100/4</w:t>
            </w:r>
            <w:r w:rsidR="00B93F48">
              <w:rPr>
                <w:rFonts w:ascii="Arial Narrow" w:eastAsiaTheme="minorHAnsi" w:hAnsi="Arial Narrow" w:cs="Arial"/>
                <w:color w:val="000000"/>
                <w:lang w:val="es-ES" w:eastAsia="es-CO"/>
              </w:rPr>
              <w:t>1</w:t>
            </w:r>
          </w:p>
        </w:tc>
      </w:tr>
    </w:tbl>
    <w:p w14:paraId="4D282925" w14:textId="77777777" w:rsidR="007968EC" w:rsidRDefault="007968EC" w:rsidP="007968EC">
      <w:pPr>
        <w:jc w:val="both"/>
        <w:rPr>
          <w:rFonts w:ascii="Arial Narrow" w:eastAsia="Calibri" w:hAnsi="Arial Narrow" w:cstheme="minorBidi"/>
          <w:color w:val="000000"/>
          <w:lang w:val="es-MX" w:eastAsia="en-US"/>
        </w:rPr>
      </w:pPr>
    </w:p>
    <w:p w14:paraId="18BF51C7" w14:textId="77777777" w:rsidR="007968EC" w:rsidRDefault="007968EC" w:rsidP="00DA7472">
      <w:pPr>
        <w:numPr>
          <w:ilvl w:val="0"/>
          <w:numId w:val="367"/>
        </w:numPr>
        <w:spacing w:after="160" w:line="256" w:lineRule="auto"/>
        <w:ind w:left="284"/>
        <w:jc w:val="both"/>
        <w:rPr>
          <w:rFonts w:ascii="Arial Narrow" w:eastAsia="Calibri" w:hAnsi="Arial Narrow" w:cstheme="minorBidi"/>
          <w:color w:val="000000"/>
          <w:lang w:eastAsia="en-US"/>
        </w:rPr>
      </w:pPr>
      <w:r>
        <w:rPr>
          <w:rFonts w:ascii="Arial Narrow" w:eastAsia="Calibri" w:hAnsi="Arial Narrow" w:cstheme="minorBidi"/>
          <w:color w:val="000000"/>
          <w:lang w:eastAsia="en-US"/>
        </w:rPr>
        <w:t xml:space="preserve">Orden para la compensación entre los grupos de los Contratos de Futuros Índice Accionario COLCAP y/o </w:t>
      </w:r>
      <w:r>
        <w:rPr>
          <w:rFonts w:ascii="Arial Narrow" w:eastAsia="Calibri" w:hAnsi="Arial Narrow" w:cstheme="minorBidi"/>
          <w:color w:val="000000"/>
          <w:lang w:eastAsia="es-CO"/>
        </w:rPr>
        <w:t>Mini Contrato de Futuro Índice Accionario COLCAP</w:t>
      </w:r>
      <w:r>
        <w:rPr>
          <w:rFonts w:ascii="Arial Narrow" w:eastAsia="Calibri" w:hAnsi="Arial Narrow" w:cstheme="minorBidi"/>
          <w:color w:val="000000"/>
          <w:lang w:eastAsia="en-US"/>
        </w:rPr>
        <w:t xml:space="preserve"> y Futuro de Acciones con Liquidación por Diferencias</w:t>
      </w:r>
      <w:r>
        <w:rPr>
          <w:rFonts w:ascii="Arial Narrow" w:eastAsiaTheme="minorHAnsi" w:hAnsi="Arial Narrow" w:cs="Arial"/>
          <w:b/>
          <w:lang w:val="es-ES" w:eastAsia="es-ES"/>
        </w:rPr>
        <w:t xml:space="preserve"> </w:t>
      </w:r>
      <w:r>
        <w:rPr>
          <w:rFonts w:ascii="Arial Narrow" w:eastAsia="Calibri" w:hAnsi="Arial Narrow" w:cstheme="minorBidi"/>
          <w:color w:val="000000"/>
          <w:lang w:eastAsia="en-US"/>
        </w:rPr>
        <w:t xml:space="preserve">o con Liquidación por Entrega (Ecopetrol, Preferencial Bancolombia, Grupo Sura, Cementos Argos, ISA, Nutresa, Grupo Argos, Éxito, Preferencial Cementos Argos, Preferencial Grupo Sura, Corficolombiana, Preferencial de Grupo Argos, Preferencial de Davivienda, Cemex </w:t>
      </w:r>
      <w:proofErr w:type="spellStart"/>
      <w:r>
        <w:rPr>
          <w:rFonts w:ascii="Arial Narrow" w:eastAsia="Calibri" w:hAnsi="Arial Narrow" w:cstheme="minorBidi"/>
          <w:color w:val="000000"/>
          <w:lang w:eastAsia="en-US"/>
        </w:rPr>
        <w:t>Latam</w:t>
      </w:r>
      <w:proofErr w:type="spellEnd"/>
      <w:r>
        <w:rPr>
          <w:rFonts w:ascii="Arial Narrow" w:eastAsia="Calibri" w:hAnsi="Arial Narrow" w:cstheme="minorBidi"/>
          <w:color w:val="000000"/>
          <w:lang w:eastAsia="en-US"/>
        </w:rPr>
        <w:t xml:space="preserve"> Holdings, Preferencial de Avianca, Canacol, Ordinaria Bancolombia, Preferencial Grupo AVAL, Grupo de Energía de Bogotá, Banco de Bogotá, Celsia, Ordinaria de la Bolsa de Valores de Colombia) y los Futuros sobre Acciones del Índice COLCAP:</w:t>
      </w:r>
    </w:p>
    <w:p w14:paraId="7EB0F0E4" w14:textId="77777777" w:rsidR="007968EC" w:rsidRDefault="007968EC" w:rsidP="007968EC">
      <w:pPr>
        <w:ind w:left="360"/>
        <w:jc w:val="both"/>
        <w:rPr>
          <w:rFonts w:ascii="Arial Narrow" w:eastAsia="Calibri" w:hAnsi="Arial Narrow" w:cs="Arial Narrow"/>
          <w:b/>
          <w:color w:val="000000"/>
          <w:lang w:eastAsia="en-US"/>
        </w:rPr>
      </w:pPr>
      <w:r>
        <w:rPr>
          <w:rFonts w:ascii="Arial Narrow" w:eastAsia="Calibri" w:hAnsi="Arial Narrow" w:cstheme="minorBidi"/>
          <w:color w:val="000000"/>
          <w:u w:val="single"/>
          <w:lang w:eastAsia="en-US"/>
        </w:rPr>
        <w:t xml:space="preserve"> </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5499"/>
        <w:gridCol w:w="1410"/>
      </w:tblGrid>
      <w:tr w:rsidR="007968EC" w14:paraId="3C292632" w14:textId="77777777" w:rsidTr="007968EC">
        <w:trPr>
          <w:trHeight w:val="373"/>
          <w:jc w:val="center"/>
        </w:trPr>
        <w:tc>
          <w:tcPr>
            <w:tcW w:w="1551" w:type="dxa"/>
            <w:tcBorders>
              <w:top w:val="single" w:sz="4" w:space="0" w:color="auto"/>
              <w:left w:val="single" w:sz="4" w:space="0" w:color="auto"/>
              <w:bottom w:val="single" w:sz="4" w:space="0" w:color="auto"/>
              <w:right w:val="single" w:sz="4" w:space="0" w:color="auto"/>
            </w:tcBorders>
            <w:vAlign w:val="center"/>
            <w:hideMark/>
          </w:tcPr>
          <w:p w14:paraId="65166478" w14:textId="77777777" w:rsidR="007968EC" w:rsidRDefault="007968EC" w:rsidP="007968EC">
            <w:pPr>
              <w:spacing w:line="256" w:lineRule="auto"/>
              <w:ind w:hanging="112"/>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Orden de Compensación</w:t>
            </w:r>
          </w:p>
        </w:tc>
        <w:tc>
          <w:tcPr>
            <w:tcW w:w="5498" w:type="dxa"/>
            <w:tcBorders>
              <w:top w:val="single" w:sz="4" w:space="0" w:color="auto"/>
              <w:left w:val="single" w:sz="4" w:space="0" w:color="auto"/>
              <w:bottom w:val="single" w:sz="4" w:space="0" w:color="auto"/>
              <w:right w:val="single" w:sz="4" w:space="0" w:color="auto"/>
            </w:tcBorders>
            <w:vAlign w:val="center"/>
            <w:hideMark/>
          </w:tcPr>
          <w:p w14:paraId="2719435C" w14:textId="77777777" w:rsidR="007968EC" w:rsidRDefault="007968EC" w:rsidP="007968EC">
            <w:pPr>
              <w:spacing w:line="256" w:lineRule="auto"/>
              <w:ind w:hanging="112"/>
              <w:jc w:val="center"/>
              <w:rPr>
                <w:rFonts w:ascii="Arial Narrow" w:eastAsia="Calibri" w:hAnsi="Arial Narrow" w:cstheme="minorBidi"/>
                <w:color w:val="000000"/>
                <w:lang w:eastAsia="en-US"/>
              </w:rPr>
            </w:pPr>
            <w:proofErr w:type="gramStart"/>
            <w:r>
              <w:rPr>
                <w:rFonts w:ascii="Arial Narrow" w:eastAsia="Calibri" w:hAnsi="Arial Narrow" w:cstheme="minorBidi"/>
                <w:color w:val="000000"/>
                <w:lang w:eastAsia="en-US"/>
              </w:rPr>
              <w:t>Grupos a Compensar</w:t>
            </w:r>
            <w:proofErr w:type="gramEnd"/>
          </w:p>
        </w:tc>
        <w:tc>
          <w:tcPr>
            <w:tcW w:w="1410" w:type="dxa"/>
            <w:tcBorders>
              <w:top w:val="single" w:sz="4" w:space="0" w:color="auto"/>
              <w:left w:val="single" w:sz="4" w:space="0" w:color="auto"/>
              <w:bottom w:val="single" w:sz="4" w:space="0" w:color="auto"/>
              <w:right w:val="single" w:sz="4" w:space="0" w:color="auto"/>
            </w:tcBorders>
            <w:vAlign w:val="center"/>
            <w:hideMark/>
          </w:tcPr>
          <w:p w14:paraId="0F39EC41" w14:textId="77777777" w:rsidR="007968EC" w:rsidRDefault="007968EC" w:rsidP="007968EC">
            <w:pPr>
              <w:spacing w:line="256" w:lineRule="auto"/>
              <w:ind w:hanging="112"/>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Crédito sobre Garantías</w:t>
            </w:r>
          </w:p>
        </w:tc>
      </w:tr>
      <w:tr w:rsidR="007968EC" w14:paraId="43A8F987" w14:textId="77777777" w:rsidTr="007968EC">
        <w:trPr>
          <w:trHeight w:val="399"/>
          <w:jc w:val="center"/>
        </w:trPr>
        <w:tc>
          <w:tcPr>
            <w:tcW w:w="1551" w:type="dxa"/>
            <w:tcBorders>
              <w:top w:val="single" w:sz="4" w:space="0" w:color="auto"/>
              <w:left w:val="single" w:sz="4" w:space="0" w:color="auto"/>
              <w:bottom w:val="single" w:sz="4" w:space="0" w:color="auto"/>
              <w:right w:val="single" w:sz="4" w:space="0" w:color="auto"/>
            </w:tcBorders>
            <w:vAlign w:val="center"/>
            <w:hideMark/>
          </w:tcPr>
          <w:p w14:paraId="11AB28EE" w14:textId="77777777" w:rsidR="007968EC" w:rsidRDefault="007968EC" w:rsidP="007968EC">
            <w:pPr>
              <w:spacing w:line="256" w:lineRule="auto"/>
              <w:ind w:hanging="112"/>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1</w:t>
            </w:r>
          </w:p>
        </w:tc>
        <w:tc>
          <w:tcPr>
            <w:tcW w:w="5498" w:type="dxa"/>
            <w:tcBorders>
              <w:top w:val="single" w:sz="4" w:space="0" w:color="auto"/>
              <w:left w:val="single" w:sz="4" w:space="0" w:color="auto"/>
              <w:bottom w:val="single" w:sz="4" w:space="0" w:color="auto"/>
              <w:right w:val="single" w:sz="4" w:space="0" w:color="auto"/>
            </w:tcBorders>
            <w:vAlign w:val="center"/>
            <w:hideMark/>
          </w:tcPr>
          <w:p w14:paraId="6E4DE0FD" w14:textId="77777777" w:rsidR="007968EC" w:rsidRDefault="007968EC" w:rsidP="007968EC">
            <w:pPr>
              <w:spacing w:line="256" w:lineRule="auto"/>
              <w:ind w:hanging="112"/>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 xml:space="preserve">Contratos de Futuros Índice Accionario COLCAP y/o </w:t>
            </w:r>
            <w:r>
              <w:rPr>
                <w:rFonts w:ascii="Arial Narrow" w:eastAsia="Calibri" w:hAnsi="Arial Narrow" w:cstheme="minorBidi"/>
                <w:color w:val="000000"/>
                <w:lang w:eastAsia="es-CO"/>
              </w:rPr>
              <w:t>Mini Contrato de Futuro Índice Accionario COLCAP</w:t>
            </w:r>
            <w:r>
              <w:rPr>
                <w:rFonts w:ascii="Arial Narrow" w:eastAsia="Calibri" w:hAnsi="Arial Narrow" w:cstheme="minorBidi"/>
                <w:color w:val="000000"/>
                <w:lang w:eastAsia="en-US"/>
              </w:rPr>
              <w:t xml:space="preserve"> / Contrato de Futuro </w:t>
            </w:r>
            <w:r>
              <w:rPr>
                <w:rFonts w:ascii="Arial Narrow" w:eastAsia="Calibri" w:hAnsi="Arial Narrow" w:cs="Arial"/>
                <w:color w:val="000000"/>
                <w:lang w:eastAsia="es-ES"/>
              </w:rPr>
              <w:t>sobre Acciones del Índice COLCAP</w:t>
            </w:r>
            <w:r>
              <w:rPr>
                <w:rFonts w:ascii="Arial Narrow" w:eastAsia="Calibri" w:hAnsi="Arial Narrow" w:cstheme="minorBidi"/>
                <w:color w:val="000000"/>
                <w:lang w:eastAsia="en-US"/>
              </w:rPr>
              <w:t xml:space="preserve"> con Liquidación por Entrega de Acción Preferencial de Bancolombia</w:t>
            </w:r>
          </w:p>
        </w:tc>
        <w:tc>
          <w:tcPr>
            <w:tcW w:w="1410" w:type="dxa"/>
            <w:tcBorders>
              <w:top w:val="single" w:sz="4" w:space="0" w:color="auto"/>
              <w:left w:val="single" w:sz="4" w:space="0" w:color="auto"/>
              <w:bottom w:val="single" w:sz="4" w:space="0" w:color="auto"/>
              <w:right w:val="single" w:sz="4" w:space="0" w:color="auto"/>
            </w:tcBorders>
            <w:vAlign w:val="center"/>
            <w:hideMark/>
          </w:tcPr>
          <w:p w14:paraId="3CBD4265" w14:textId="77777777" w:rsidR="007968EC" w:rsidRDefault="007968EC" w:rsidP="007968EC">
            <w:pPr>
              <w:spacing w:line="256" w:lineRule="auto"/>
              <w:ind w:hanging="112"/>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20%</w:t>
            </w:r>
          </w:p>
        </w:tc>
      </w:tr>
      <w:tr w:rsidR="007968EC" w14:paraId="3697F27D" w14:textId="77777777" w:rsidTr="007968EC">
        <w:trPr>
          <w:trHeight w:val="118"/>
          <w:jc w:val="center"/>
        </w:trPr>
        <w:tc>
          <w:tcPr>
            <w:tcW w:w="1551" w:type="dxa"/>
            <w:tcBorders>
              <w:top w:val="single" w:sz="4" w:space="0" w:color="auto"/>
              <w:left w:val="single" w:sz="4" w:space="0" w:color="auto"/>
              <w:bottom w:val="single" w:sz="4" w:space="0" w:color="auto"/>
              <w:right w:val="single" w:sz="4" w:space="0" w:color="auto"/>
            </w:tcBorders>
            <w:vAlign w:val="center"/>
            <w:hideMark/>
          </w:tcPr>
          <w:p w14:paraId="44798BE8" w14:textId="77777777" w:rsidR="007968EC" w:rsidRDefault="007968EC" w:rsidP="007968EC">
            <w:pPr>
              <w:spacing w:line="256" w:lineRule="auto"/>
              <w:ind w:hanging="112"/>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2</w:t>
            </w:r>
          </w:p>
        </w:tc>
        <w:tc>
          <w:tcPr>
            <w:tcW w:w="5498" w:type="dxa"/>
            <w:tcBorders>
              <w:top w:val="single" w:sz="4" w:space="0" w:color="auto"/>
              <w:left w:val="single" w:sz="4" w:space="0" w:color="auto"/>
              <w:bottom w:val="single" w:sz="4" w:space="0" w:color="auto"/>
              <w:right w:val="single" w:sz="4" w:space="0" w:color="auto"/>
            </w:tcBorders>
            <w:vAlign w:val="center"/>
            <w:hideMark/>
          </w:tcPr>
          <w:p w14:paraId="05F91149" w14:textId="77777777" w:rsidR="007968EC" w:rsidRDefault="007968EC" w:rsidP="007968EC">
            <w:pPr>
              <w:spacing w:line="256" w:lineRule="auto"/>
              <w:ind w:hanging="112"/>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 xml:space="preserve">Contratos de Futuros Índice Accionario COLCAP y/o </w:t>
            </w:r>
            <w:r>
              <w:rPr>
                <w:rFonts w:ascii="Arial Narrow" w:eastAsia="Calibri" w:hAnsi="Arial Narrow" w:cstheme="minorBidi"/>
                <w:color w:val="000000"/>
                <w:lang w:eastAsia="es-CO"/>
              </w:rPr>
              <w:t>Mini Contrato de Futuro Índice Accionario COLCAP</w:t>
            </w:r>
            <w:r>
              <w:rPr>
                <w:rFonts w:ascii="Arial Narrow" w:eastAsia="Calibri" w:hAnsi="Arial Narrow" w:cstheme="minorBidi"/>
                <w:color w:val="000000"/>
                <w:lang w:eastAsia="en-US"/>
              </w:rPr>
              <w:t xml:space="preserve"> / Contrato de Futuro </w:t>
            </w:r>
            <w:r>
              <w:rPr>
                <w:rFonts w:ascii="Arial Narrow" w:eastAsia="Calibri" w:hAnsi="Arial Narrow" w:cs="Arial"/>
                <w:color w:val="000000"/>
                <w:lang w:eastAsia="es-ES"/>
              </w:rPr>
              <w:t>sobre Acciones del Índice COLCAP</w:t>
            </w:r>
            <w:r>
              <w:rPr>
                <w:rFonts w:ascii="Arial Narrow" w:eastAsia="Calibri" w:hAnsi="Arial Narrow" w:cstheme="minorBidi"/>
                <w:color w:val="000000"/>
                <w:lang w:eastAsia="en-US"/>
              </w:rPr>
              <w:t xml:space="preserve"> con Liquidación por Entrega de la Acción de Ecopetrol</w:t>
            </w:r>
          </w:p>
        </w:tc>
        <w:tc>
          <w:tcPr>
            <w:tcW w:w="1410" w:type="dxa"/>
            <w:tcBorders>
              <w:top w:val="single" w:sz="4" w:space="0" w:color="auto"/>
              <w:left w:val="single" w:sz="4" w:space="0" w:color="auto"/>
              <w:bottom w:val="single" w:sz="4" w:space="0" w:color="auto"/>
              <w:right w:val="single" w:sz="4" w:space="0" w:color="auto"/>
            </w:tcBorders>
            <w:vAlign w:val="center"/>
            <w:hideMark/>
          </w:tcPr>
          <w:p w14:paraId="3F18D45E" w14:textId="77777777" w:rsidR="007968EC" w:rsidRDefault="007968EC" w:rsidP="007968EC">
            <w:pPr>
              <w:spacing w:line="256" w:lineRule="auto"/>
              <w:ind w:hanging="112"/>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0%</w:t>
            </w:r>
          </w:p>
        </w:tc>
      </w:tr>
      <w:tr w:rsidR="007968EC" w14:paraId="071F57BE" w14:textId="77777777" w:rsidTr="007968EC">
        <w:trPr>
          <w:trHeight w:val="381"/>
          <w:jc w:val="center"/>
        </w:trPr>
        <w:tc>
          <w:tcPr>
            <w:tcW w:w="1551" w:type="dxa"/>
            <w:tcBorders>
              <w:top w:val="single" w:sz="4" w:space="0" w:color="auto"/>
              <w:left w:val="single" w:sz="4" w:space="0" w:color="auto"/>
              <w:bottom w:val="single" w:sz="4" w:space="0" w:color="auto"/>
              <w:right w:val="single" w:sz="4" w:space="0" w:color="auto"/>
            </w:tcBorders>
            <w:vAlign w:val="center"/>
            <w:hideMark/>
          </w:tcPr>
          <w:p w14:paraId="7E3E852A" w14:textId="77777777" w:rsidR="007968EC" w:rsidRDefault="007968EC" w:rsidP="007968EC">
            <w:pPr>
              <w:spacing w:line="256" w:lineRule="auto"/>
              <w:ind w:hanging="112"/>
              <w:jc w:val="center"/>
              <w:rPr>
                <w:rFonts w:ascii="Arial Narrow" w:eastAsia="Calibri" w:hAnsi="Arial Narrow" w:cstheme="minorBidi"/>
                <w:b/>
                <w:color w:val="000000"/>
                <w:lang w:val="pt-BR" w:eastAsia="en-US"/>
              </w:rPr>
            </w:pPr>
            <w:r>
              <w:rPr>
                <w:rFonts w:ascii="Arial Narrow" w:eastAsia="Calibri" w:hAnsi="Arial Narrow" w:cstheme="minorBidi"/>
                <w:color w:val="000000"/>
                <w:lang w:val="pt-BR" w:eastAsia="en-US"/>
              </w:rPr>
              <w:t>3</w:t>
            </w:r>
          </w:p>
        </w:tc>
        <w:tc>
          <w:tcPr>
            <w:tcW w:w="5498" w:type="dxa"/>
            <w:tcBorders>
              <w:top w:val="single" w:sz="4" w:space="0" w:color="auto"/>
              <w:left w:val="single" w:sz="4" w:space="0" w:color="auto"/>
              <w:bottom w:val="single" w:sz="4" w:space="0" w:color="auto"/>
              <w:right w:val="single" w:sz="4" w:space="0" w:color="auto"/>
            </w:tcBorders>
            <w:vAlign w:val="center"/>
            <w:hideMark/>
          </w:tcPr>
          <w:p w14:paraId="3F87A1B5" w14:textId="77777777" w:rsidR="007968EC" w:rsidRDefault="007968EC" w:rsidP="007968EC">
            <w:pPr>
              <w:spacing w:line="256" w:lineRule="auto"/>
              <w:ind w:hanging="112"/>
              <w:jc w:val="center"/>
              <w:rPr>
                <w:rFonts w:ascii="Arial Narrow" w:eastAsia="Calibri" w:hAnsi="Arial Narrow" w:cstheme="minorBidi"/>
                <w:b/>
                <w:color w:val="000000"/>
                <w:lang w:val="pt-BR" w:eastAsia="en-US"/>
              </w:rPr>
            </w:pPr>
            <w:r>
              <w:rPr>
                <w:rFonts w:ascii="Arial Narrow" w:eastAsia="Calibri" w:hAnsi="Arial Narrow" w:cstheme="minorBidi"/>
                <w:color w:val="000000"/>
                <w:lang w:val="pt-BR" w:eastAsia="en-US"/>
              </w:rPr>
              <w:t xml:space="preserve">Contratos de Futuros Índice </w:t>
            </w:r>
            <w:proofErr w:type="spellStart"/>
            <w:r>
              <w:rPr>
                <w:rFonts w:ascii="Arial Narrow" w:eastAsia="Calibri" w:hAnsi="Arial Narrow" w:cstheme="minorBidi"/>
                <w:color w:val="000000"/>
                <w:lang w:val="pt-BR" w:eastAsia="en-US"/>
              </w:rPr>
              <w:t>Accionario</w:t>
            </w:r>
            <w:proofErr w:type="spellEnd"/>
            <w:r>
              <w:rPr>
                <w:rFonts w:ascii="Arial Narrow" w:eastAsia="Calibri" w:hAnsi="Arial Narrow" w:cstheme="minorBidi"/>
                <w:color w:val="000000"/>
                <w:lang w:val="pt-BR" w:eastAsia="en-US"/>
              </w:rPr>
              <w:t xml:space="preserve"> COLCAP </w:t>
            </w:r>
            <w:r>
              <w:rPr>
                <w:rFonts w:ascii="Arial Narrow" w:eastAsia="Calibri" w:hAnsi="Arial Narrow" w:cstheme="minorBidi"/>
                <w:color w:val="000000"/>
                <w:lang w:eastAsia="en-US"/>
              </w:rPr>
              <w:t xml:space="preserve">y/o </w:t>
            </w:r>
            <w:proofErr w:type="gramStart"/>
            <w:r>
              <w:rPr>
                <w:rFonts w:ascii="Arial Narrow" w:eastAsia="Calibri" w:hAnsi="Arial Narrow" w:cstheme="minorBidi"/>
                <w:color w:val="000000"/>
                <w:lang w:eastAsia="es-CO"/>
              </w:rPr>
              <w:t>Mini Contrato</w:t>
            </w:r>
            <w:proofErr w:type="gramEnd"/>
            <w:r>
              <w:rPr>
                <w:rFonts w:ascii="Arial Narrow" w:eastAsia="Calibri" w:hAnsi="Arial Narrow" w:cstheme="minorBidi"/>
                <w:color w:val="000000"/>
                <w:lang w:eastAsia="es-CO"/>
              </w:rPr>
              <w:t xml:space="preserve"> de Futuro Índice Accionario COLCAP</w:t>
            </w:r>
            <w:r>
              <w:rPr>
                <w:rFonts w:ascii="Arial Narrow" w:eastAsia="Calibri" w:hAnsi="Arial Narrow" w:cstheme="minorBidi"/>
                <w:color w:val="000000"/>
                <w:lang w:val="pt-BR" w:eastAsia="en-US"/>
              </w:rPr>
              <w:t xml:space="preserve"> / </w:t>
            </w:r>
            <w:r>
              <w:rPr>
                <w:rFonts w:ascii="Arial Narrow" w:eastAsia="Calibri" w:hAnsi="Arial Narrow" w:cstheme="minorBidi"/>
                <w:color w:val="000000"/>
                <w:lang w:eastAsia="en-US"/>
              </w:rPr>
              <w:t xml:space="preserve">Contrato de </w:t>
            </w:r>
            <w:r>
              <w:rPr>
                <w:rFonts w:ascii="Arial Narrow" w:eastAsia="Calibri" w:hAnsi="Arial Narrow" w:cstheme="minorBidi"/>
                <w:color w:val="000000"/>
                <w:lang w:eastAsia="en-US"/>
              </w:rPr>
              <w:lastRenderedPageBreak/>
              <w:t xml:space="preserve">Futuro </w:t>
            </w:r>
            <w:r>
              <w:rPr>
                <w:rFonts w:ascii="Arial Narrow" w:eastAsia="Calibri" w:hAnsi="Arial Narrow" w:cs="Arial"/>
                <w:color w:val="000000"/>
                <w:lang w:eastAsia="es-ES"/>
              </w:rPr>
              <w:t xml:space="preserve">sobre Acciones del Índice COLCAP </w:t>
            </w:r>
            <w:r>
              <w:rPr>
                <w:rFonts w:ascii="Arial Narrow" w:eastAsia="Calibri" w:hAnsi="Arial Narrow" w:cstheme="minorBidi"/>
                <w:color w:val="000000"/>
                <w:lang w:eastAsia="en-US"/>
              </w:rPr>
              <w:t>con Liquidación por Entrega</w:t>
            </w:r>
            <w:r>
              <w:rPr>
                <w:rFonts w:ascii="Arial Narrow" w:eastAsia="Calibri" w:hAnsi="Arial Narrow" w:cstheme="minorBidi"/>
                <w:color w:val="000000"/>
                <w:lang w:val="pt-BR" w:eastAsia="en-US"/>
              </w:rPr>
              <w:t xml:space="preserve"> de </w:t>
            </w:r>
            <w:proofErr w:type="spellStart"/>
            <w:r>
              <w:rPr>
                <w:rFonts w:ascii="Arial Narrow" w:eastAsia="Calibri" w:hAnsi="Arial Narrow" w:cstheme="minorBidi"/>
                <w:color w:val="000000"/>
                <w:lang w:val="pt-BR" w:eastAsia="en-US"/>
              </w:rPr>
              <w:t>la</w:t>
            </w:r>
            <w:proofErr w:type="spellEnd"/>
            <w:r>
              <w:rPr>
                <w:rFonts w:ascii="Arial Narrow" w:eastAsia="Calibri" w:hAnsi="Arial Narrow" w:cstheme="minorBidi"/>
                <w:color w:val="000000"/>
                <w:lang w:val="pt-BR" w:eastAsia="en-US"/>
              </w:rPr>
              <w:t xml:space="preserve"> </w:t>
            </w:r>
            <w:proofErr w:type="spellStart"/>
            <w:r>
              <w:rPr>
                <w:rFonts w:ascii="Arial Narrow" w:eastAsia="Calibri" w:hAnsi="Arial Narrow" w:cstheme="minorBidi"/>
                <w:color w:val="000000"/>
                <w:lang w:val="pt-BR" w:eastAsia="en-US"/>
              </w:rPr>
              <w:t>Acción</w:t>
            </w:r>
            <w:proofErr w:type="spellEnd"/>
            <w:r>
              <w:rPr>
                <w:rFonts w:ascii="Arial Narrow" w:eastAsia="Calibri" w:hAnsi="Arial Narrow" w:cstheme="minorBidi"/>
                <w:color w:val="000000"/>
                <w:lang w:val="pt-BR" w:eastAsia="en-US"/>
              </w:rPr>
              <w:t xml:space="preserve"> </w:t>
            </w:r>
            <w:proofErr w:type="spellStart"/>
            <w:r>
              <w:rPr>
                <w:rFonts w:ascii="Arial Narrow" w:eastAsia="Calibri" w:hAnsi="Arial Narrow" w:cstheme="minorBidi"/>
                <w:color w:val="000000"/>
                <w:lang w:val="pt-BR" w:eastAsia="en-US"/>
              </w:rPr>
              <w:t>Ordinaria</w:t>
            </w:r>
            <w:proofErr w:type="spellEnd"/>
            <w:r>
              <w:rPr>
                <w:rFonts w:ascii="Arial Narrow" w:eastAsia="Calibri" w:hAnsi="Arial Narrow" w:cstheme="minorBidi"/>
                <w:color w:val="000000"/>
                <w:lang w:val="pt-BR" w:eastAsia="en-US"/>
              </w:rPr>
              <w:t xml:space="preserve"> del Grupo Sura</w:t>
            </w:r>
          </w:p>
        </w:tc>
        <w:tc>
          <w:tcPr>
            <w:tcW w:w="1410" w:type="dxa"/>
            <w:tcBorders>
              <w:top w:val="single" w:sz="4" w:space="0" w:color="auto"/>
              <w:left w:val="single" w:sz="4" w:space="0" w:color="auto"/>
              <w:bottom w:val="single" w:sz="4" w:space="0" w:color="auto"/>
              <w:right w:val="single" w:sz="4" w:space="0" w:color="auto"/>
            </w:tcBorders>
            <w:vAlign w:val="center"/>
            <w:hideMark/>
          </w:tcPr>
          <w:p w14:paraId="5153638F" w14:textId="77777777" w:rsidR="007968EC" w:rsidRDefault="007968EC" w:rsidP="007968EC">
            <w:pPr>
              <w:spacing w:line="256" w:lineRule="auto"/>
              <w:ind w:hanging="112"/>
              <w:jc w:val="center"/>
              <w:rPr>
                <w:rFonts w:ascii="Arial Narrow" w:eastAsia="Calibri" w:hAnsi="Arial Narrow" w:cstheme="minorBidi"/>
                <w:b/>
                <w:color w:val="000000"/>
                <w:lang w:val="pt-BR" w:eastAsia="en-US"/>
              </w:rPr>
            </w:pPr>
            <w:r>
              <w:rPr>
                <w:rFonts w:ascii="Arial Narrow" w:eastAsia="Calibri" w:hAnsi="Arial Narrow" w:cstheme="minorBidi"/>
                <w:color w:val="000000"/>
                <w:lang w:val="pt-BR" w:eastAsia="en-US"/>
              </w:rPr>
              <w:lastRenderedPageBreak/>
              <w:t>0%</w:t>
            </w:r>
          </w:p>
        </w:tc>
      </w:tr>
      <w:tr w:rsidR="007968EC" w14:paraId="5091FD7D" w14:textId="77777777" w:rsidTr="007968EC">
        <w:trPr>
          <w:trHeight w:val="381"/>
          <w:jc w:val="center"/>
        </w:trPr>
        <w:tc>
          <w:tcPr>
            <w:tcW w:w="1551" w:type="dxa"/>
            <w:tcBorders>
              <w:top w:val="single" w:sz="4" w:space="0" w:color="auto"/>
              <w:left w:val="single" w:sz="4" w:space="0" w:color="auto"/>
              <w:bottom w:val="single" w:sz="4" w:space="0" w:color="auto"/>
              <w:right w:val="single" w:sz="4" w:space="0" w:color="auto"/>
            </w:tcBorders>
            <w:vAlign w:val="center"/>
            <w:hideMark/>
          </w:tcPr>
          <w:p w14:paraId="5875D1FD" w14:textId="77777777" w:rsidR="007968EC" w:rsidRDefault="007968EC" w:rsidP="007968EC">
            <w:pPr>
              <w:spacing w:line="256" w:lineRule="auto"/>
              <w:ind w:hanging="112"/>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4</w:t>
            </w:r>
          </w:p>
        </w:tc>
        <w:tc>
          <w:tcPr>
            <w:tcW w:w="5498" w:type="dxa"/>
            <w:tcBorders>
              <w:top w:val="single" w:sz="4" w:space="0" w:color="auto"/>
              <w:left w:val="single" w:sz="4" w:space="0" w:color="auto"/>
              <w:bottom w:val="single" w:sz="4" w:space="0" w:color="auto"/>
              <w:right w:val="single" w:sz="4" w:space="0" w:color="auto"/>
            </w:tcBorders>
            <w:vAlign w:val="center"/>
            <w:hideMark/>
          </w:tcPr>
          <w:p w14:paraId="3B05B911" w14:textId="77777777" w:rsidR="007968EC" w:rsidRDefault="007968EC" w:rsidP="007968EC">
            <w:pPr>
              <w:spacing w:line="256" w:lineRule="auto"/>
              <w:ind w:hanging="112"/>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 xml:space="preserve">Contratos de Futuros Índice Accionario COLCAP y/o </w:t>
            </w:r>
            <w:r>
              <w:rPr>
                <w:rFonts w:ascii="Arial Narrow" w:eastAsia="Calibri" w:hAnsi="Arial Narrow" w:cstheme="minorBidi"/>
                <w:color w:val="000000"/>
                <w:lang w:eastAsia="es-CO"/>
              </w:rPr>
              <w:t>Mini Contrato de Futuro Índice Accionario COLCAP</w:t>
            </w:r>
            <w:r>
              <w:rPr>
                <w:rFonts w:ascii="Arial Narrow" w:eastAsia="Calibri" w:hAnsi="Arial Narrow" w:cstheme="minorBidi"/>
                <w:color w:val="000000"/>
                <w:lang w:eastAsia="en-US"/>
              </w:rPr>
              <w:t xml:space="preserve"> / Contrato de Futuro </w:t>
            </w:r>
            <w:r>
              <w:rPr>
                <w:rFonts w:ascii="Arial Narrow" w:eastAsia="Calibri" w:hAnsi="Arial Narrow" w:cs="Arial"/>
                <w:color w:val="000000"/>
                <w:lang w:eastAsia="es-ES"/>
              </w:rPr>
              <w:t>sobre Acciones del Índice COLCAP</w:t>
            </w:r>
            <w:r>
              <w:rPr>
                <w:rFonts w:ascii="Arial Narrow" w:eastAsia="Calibri" w:hAnsi="Arial Narrow" w:cstheme="minorBidi"/>
                <w:color w:val="000000"/>
                <w:lang w:eastAsia="en-US"/>
              </w:rPr>
              <w:t xml:space="preserve"> con Liquidación por Diferencias</w:t>
            </w:r>
            <w:r>
              <w:rPr>
                <w:rFonts w:ascii="Arial Narrow" w:eastAsiaTheme="minorHAnsi" w:hAnsi="Arial Narrow" w:cs="Arial"/>
                <w:b/>
                <w:lang w:val="es-ES" w:eastAsia="es-ES"/>
              </w:rPr>
              <w:t xml:space="preserve"> </w:t>
            </w:r>
            <w:r>
              <w:rPr>
                <w:rFonts w:ascii="Arial Narrow" w:eastAsia="Calibri" w:hAnsi="Arial Narrow" w:cstheme="minorBidi"/>
                <w:color w:val="000000"/>
                <w:lang w:eastAsia="en-US"/>
              </w:rPr>
              <w:t>sobre la Acción del Grupo Argos</w:t>
            </w:r>
          </w:p>
        </w:tc>
        <w:tc>
          <w:tcPr>
            <w:tcW w:w="1410" w:type="dxa"/>
            <w:tcBorders>
              <w:top w:val="single" w:sz="4" w:space="0" w:color="auto"/>
              <w:left w:val="single" w:sz="4" w:space="0" w:color="auto"/>
              <w:bottom w:val="single" w:sz="4" w:space="0" w:color="auto"/>
              <w:right w:val="single" w:sz="4" w:space="0" w:color="auto"/>
            </w:tcBorders>
            <w:vAlign w:val="center"/>
            <w:hideMark/>
          </w:tcPr>
          <w:p w14:paraId="65999911" w14:textId="77777777" w:rsidR="007968EC" w:rsidRDefault="007968EC" w:rsidP="007968EC">
            <w:pPr>
              <w:spacing w:line="256" w:lineRule="auto"/>
              <w:ind w:hanging="112"/>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0%</w:t>
            </w:r>
          </w:p>
        </w:tc>
      </w:tr>
      <w:tr w:rsidR="007968EC" w14:paraId="40BC9C37" w14:textId="77777777" w:rsidTr="007968EC">
        <w:trPr>
          <w:trHeight w:val="180"/>
          <w:jc w:val="center"/>
        </w:trPr>
        <w:tc>
          <w:tcPr>
            <w:tcW w:w="1551" w:type="dxa"/>
            <w:tcBorders>
              <w:top w:val="single" w:sz="4" w:space="0" w:color="auto"/>
              <w:left w:val="single" w:sz="4" w:space="0" w:color="auto"/>
              <w:bottom w:val="single" w:sz="4" w:space="0" w:color="auto"/>
              <w:right w:val="single" w:sz="4" w:space="0" w:color="auto"/>
            </w:tcBorders>
            <w:vAlign w:val="center"/>
            <w:hideMark/>
          </w:tcPr>
          <w:p w14:paraId="0BB675DC" w14:textId="77777777" w:rsidR="007968EC" w:rsidRDefault="007968EC" w:rsidP="007968EC">
            <w:pPr>
              <w:spacing w:line="256" w:lineRule="auto"/>
              <w:ind w:hanging="112"/>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5</w:t>
            </w:r>
          </w:p>
        </w:tc>
        <w:tc>
          <w:tcPr>
            <w:tcW w:w="5498" w:type="dxa"/>
            <w:tcBorders>
              <w:top w:val="single" w:sz="4" w:space="0" w:color="auto"/>
              <w:left w:val="single" w:sz="4" w:space="0" w:color="auto"/>
              <w:bottom w:val="single" w:sz="4" w:space="0" w:color="auto"/>
              <w:right w:val="single" w:sz="4" w:space="0" w:color="auto"/>
            </w:tcBorders>
            <w:vAlign w:val="center"/>
            <w:hideMark/>
          </w:tcPr>
          <w:p w14:paraId="71D43D67" w14:textId="77777777" w:rsidR="007968EC" w:rsidRDefault="007968EC" w:rsidP="007968EC">
            <w:pPr>
              <w:spacing w:line="256" w:lineRule="auto"/>
              <w:ind w:hanging="112"/>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 xml:space="preserve">Contratos de Futuros Índice Accionario COLCAP y/o </w:t>
            </w:r>
            <w:r>
              <w:rPr>
                <w:rFonts w:ascii="Arial Narrow" w:eastAsia="Calibri" w:hAnsi="Arial Narrow" w:cstheme="minorBidi"/>
                <w:color w:val="000000"/>
                <w:lang w:eastAsia="es-CO"/>
              </w:rPr>
              <w:t>Mini Contrato de Futuro Índice Accionario COLCAP</w:t>
            </w:r>
            <w:r>
              <w:rPr>
                <w:rFonts w:ascii="Arial Narrow" w:eastAsia="Calibri" w:hAnsi="Arial Narrow" w:cstheme="minorBidi"/>
                <w:color w:val="000000"/>
                <w:lang w:eastAsia="en-US"/>
              </w:rPr>
              <w:t xml:space="preserve"> / Contrato de Futuro </w:t>
            </w:r>
            <w:r>
              <w:rPr>
                <w:rFonts w:ascii="Arial Narrow" w:eastAsia="Calibri" w:hAnsi="Arial Narrow" w:cs="Arial"/>
                <w:color w:val="000000"/>
                <w:lang w:eastAsia="es-ES"/>
              </w:rPr>
              <w:t>sobre Acciones del Índice COLCAP</w:t>
            </w:r>
            <w:r>
              <w:rPr>
                <w:rFonts w:ascii="Arial Narrow" w:eastAsia="Calibri" w:hAnsi="Arial Narrow" w:cstheme="minorBidi"/>
                <w:color w:val="000000"/>
                <w:lang w:eastAsia="en-US"/>
              </w:rPr>
              <w:t xml:space="preserve"> con Liquidación por Diferencias sobre la Acción Ordinaria de Cementos Argos</w:t>
            </w:r>
          </w:p>
        </w:tc>
        <w:tc>
          <w:tcPr>
            <w:tcW w:w="1410" w:type="dxa"/>
            <w:tcBorders>
              <w:top w:val="single" w:sz="4" w:space="0" w:color="auto"/>
              <w:left w:val="single" w:sz="4" w:space="0" w:color="auto"/>
              <w:bottom w:val="single" w:sz="4" w:space="0" w:color="auto"/>
              <w:right w:val="single" w:sz="4" w:space="0" w:color="auto"/>
            </w:tcBorders>
            <w:vAlign w:val="center"/>
            <w:hideMark/>
          </w:tcPr>
          <w:p w14:paraId="7644995E" w14:textId="77777777" w:rsidR="007968EC" w:rsidRDefault="007968EC" w:rsidP="007968EC">
            <w:pPr>
              <w:spacing w:line="256" w:lineRule="auto"/>
              <w:ind w:hanging="112"/>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0%</w:t>
            </w:r>
          </w:p>
        </w:tc>
      </w:tr>
      <w:tr w:rsidR="007968EC" w14:paraId="33EFC8D7" w14:textId="77777777" w:rsidTr="007968EC">
        <w:trPr>
          <w:trHeight w:val="312"/>
          <w:jc w:val="center"/>
        </w:trPr>
        <w:tc>
          <w:tcPr>
            <w:tcW w:w="1551" w:type="dxa"/>
            <w:tcBorders>
              <w:top w:val="single" w:sz="4" w:space="0" w:color="auto"/>
              <w:left w:val="single" w:sz="4" w:space="0" w:color="auto"/>
              <w:bottom w:val="single" w:sz="4" w:space="0" w:color="auto"/>
              <w:right w:val="single" w:sz="4" w:space="0" w:color="auto"/>
            </w:tcBorders>
            <w:vAlign w:val="center"/>
            <w:hideMark/>
          </w:tcPr>
          <w:p w14:paraId="1EC1C791" w14:textId="77777777" w:rsidR="007968EC" w:rsidRDefault="007968EC" w:rsidP="007968EC">
            <w:pPr>
              <w:spacing w:line="256" w:lineRule="auto"/>
              <w:ind w:hanging="112"/>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6</w:t>
            </w:r>
          </w:p>
        </w:tc>
        <w:tc>
          <w:tcPr>
            <w:tcW w:w="5498" w:type="dxa"/>
            <w:tcBorders>
              <w:top w:val="single" w:sz="4" w:space="0" w:color="auto"/>
              <w:left w:val="single" w:sz="4" w:space="0" w:color="auto"/>
              <w:bottom w:val="single" w:sz="4" w:space="0" w:color="auto"/>
              <w:right w:val="single" w:sz="4" w:space="0" w:color="auto"/>
            </w:tcBorders>
            <w:vAlign w:val="center"/>
            <w:hideMark/>
          </w:tcPr>
          <w:p w14:paraId="0B11DA80" w14:textId="77777777" w:rsidR="007968EC" w:rsidRDefault="007968EC" w:rsidP="007968EC">
            <w:pPr>
              <w:spacing w:line="256" w:lineRule="auto"/>
              <w:ind w:hanging="112"/>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 xml:space="preserve">Contratos de Futuros Índice Accionario COLCAP y/o </w:t>
            </w:r>
            <w:r>
              <w:rPr>
                <w:rFonts w:ascii="Arial Narrow" w:eastAsia="Calibri" w:hAnsi="Arial Narrow" w:cstheme="minorBidi"/>
                <w:color w:val="000000"/>
                <w:lang w:eastAsia="es-CO"/>
              </w:rPr>
              <w:t>Mini Contrato de Futuro Índice Accionario COLCAP</w:t>
            </w:r>
            <w:r>
              <w:rPr>
                <w:rFonts w:ascii="Arial Narrow" w:eastAsia="Calibri" w:hAnsi="Arial Narrow" w:cstheme="minorBidi"/>
                <w:color w:val="000000"/>
                <w:lang w:eastAsia="en-US"/>
              </w:rPr>
              <w:t xml:space="preserve"> / Contrato de Futuro </w:t>
            </w:r>
            <w:r>
              <w:rPr>
                <w:rFonts w:ascii="Arial Narrow" w:eastAsia="Calibri" w:hAnsi="Arial Narrow" w:cs="Arial"/>
                <w:color w:val="000000"/>
                <w:lang w:eastAsia="es-ES"/>
              </w:rPr>
              <w:t>sobre Acciones del Índice COLCAP</w:t>
            </w:r>
            <w:r>
              <w:rPr>
                <w:rFonts w:ascii="Arial Narrow" w:eastAsia="Calibri" w:hAnsi="Arial Narrow" w:cstheme="minorBidi"/>
                <w:color w:val="000000"/>
                <w:lang w:eastAsia="en-US"/>
              </w:rPr>
              <w:t xml:space="preserve"> con Liquidación por Diferencias sobre la Acción de ISA</w:t>
            </w:r>
          </w:p>
        </w:tc>
        <w:tc>
          <w:tcPr>
            <w:tcW w:w="1410" w:type="dxa"/>
            <w:tcBorders>
              <w:top w:val="single" w:sz="4" w:space="0" w:color="auto"/>
              <w:left w:val="single" w:sz="4" w:space="0" w:color="auto"/>
              <w:bottom w:val="single" w:sz="4" w:space="0" w:color="auto"/>
              <w:right w:val="single" w:sz="4" w:space="0" w:color="auto"/>
            </w:tcBorders>
            <w:vAlign w:val="center"/>
            <w:hideMark/>
          </w:tcPr>
          <w:p w14:paraId="46F8054A" w14:textId="77777777" w:rsidR="007968EC" w:rsidRDefault="007968EC" w:rsidP="007968EC">
            <w:pPr>
              <w:spacing w:line="256" w:lineRule="auto"/>
              <w:ind w:hanging="112"/>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25%</w:t>
            </w:r>
          </w:p>
        </w:tc>
      </w:tr>
      <w:tr w:rsidR="007968EC" w14:paraId="5F52D1C9" w14:textId="77777777" w:rsidTr="007968EC">
        <w:trPr>
          <w:trHeight w:val="485"/>
          <w:jc w:val="center"/>
        </w:trPr>
        <w:tc>
          <w:tcPr>
            <w:tcW w:w="1551" w:type="dxa"/>
            <w:tcBorders>
              <w:top w:val="single" w:sz="4" w:space="0" w:color="auto"/>
              <w:left w:val="single" w:sz="4" w:space="0" w:color="auto"/>
              <w:bottom w:val="single" w:sz="4" w:space="0" w:color="auto"/>
              <w:right w:val="single" w:sz="4" w:space="0" w:color="auto"/>
            </w:tcBorders>
            <w:vAlign w:val="center"/>
            <w:hideMark/>
          </w:tcPr>
          <w:p w14:paraId="10F8BB99" w14:textId="77777777" w:rsidR="007968EC" w:rsidRDefault="007968EC" w:rsidP="007968EC">
            <w:pPr>
              <w:spacing w:line="256" w:lineRule="auto"/>
              <w:ind w:hanging="112"/>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7</w:t>
            </w:r>
          </w:p>
        </w:tc>
        <w:tc>
          <w:tcPr>
            <w:tcW w:w="5498" w:type="dxa"/>
            <w:tcBorders>
              <w:top w:val="single" w:sz="4" w:space="0" w:color="auto"/>
              <w:left w:val="single" w:sz="4" w:space="0" w:color="auto"/>
              <w:bottom w:val="single" w:sz="4" w:space="0" w:color="auto"/>
              <w:right w:val="single" w:sz="4" w:space="0" w:color="auto"/>
            </w:tcBorders>
            <w:vAlign w:val="center"/>
            <w:hideMark/>
          </w:tcPr>
          <w:p w14:paraId="314187BE" w14:textId="77777777" w:rsidR="007968EC" w:rsidRDefault="007968EC" w:rsidP="007968EC">
            <w:pPr>
              <w:spacing w:line="256" w:lineRule="auto"/>
              <w:ind w:hanging="112"/>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 xml:space="preserve">Contratos de Futuros Índice Accionario COLCAP y/o </w:t>
            </w:r>
            <w:r>
              <w:rPr>
                <w:rFonts w:ascii="Arial Narrow" w:eastAsia="Calibri" w:hAnsi="Arial Narrow" w:cstheme="minorBidi"/>
                <w:color w:val="000000"/>
                <w:lang w:eastAsia="es-CO"/>
              </w:rPr>
              <w:t>Mini Contrato de Futuro Índice Accionario COLCAP</w:t>
            </w:r>
            <w:r>
              <w:rPr>
                <w:rFonts w:ascii="Arial Narrow" w:eastAsia="Calibri" w:hAnsi="Arial Narrow" w:cstheme="minorBidi"/>
                <w:color w:val="000000"/>
                <w:lang w:eastAsia="en-US"/>
              </w:rPr>
              <w:t xml:space="preserve"> / Contrato de Futuro </w:t>
            </w:r>
            <w:r>
              <w:rPr>
                <w:rFonts w:ascii="Arial Narrow" w:eastAsia="Calibri" w:hAnsi="Arial Narrow" w:cs="Arial"/>
                <w:color w:val="000000"/>
                <w:lang w:eastAsia="es-ES"/>
              </w:rPr>
              <w:t>sobre Acciones del Índice COLCAP</w:t>
            </w:r>
            <w:r>
              <w:rPr>
                <w:rFonts w:ascii="Arial Narrow" w:eastAsia="Calibri" w:hAnsi="Arial Narrow" w:cstheme="minorBidi"/>
                <w:color w:val="000000"/>
                <w:lang w:eastAsia="en-US"/>
              </w:rPr>
              <w:t xml:space="preserve"> con Liquidación por Diferencias sobre la Acción de Nutresa</w:t>
            </w:r>
          </w:p>
        </w:tc>
        <w:tc>
          <w:tcPr>
            <w:tcW w:w="1410" w:type="dxa"/>
            <w:tcBorders>
              <w:top w:val="single" w:sz="4" w:space="0" w:color="auto"/>
              <w:left w:val="single" w:sz="4" w:space="0" w:color="auto"/>
              <w:bottom w:val="single" w:sz="4" w:space="0" w:color="auto"/>
              <w:right w:val="single" w:sz="4" w:space="0" w:color="auto"/>
            </w:tcBorders>
            <w:vAlign w:val="center"/>
            <w:hideMark/>
          </w:tcPr>
          <w:p w14:paraId="3A014F7A" w14:textId="77777777" w:rsidR="007968EC" w:rsidRDefault="007968EC" w:rsidP="007968EC">
            <w:pPr>
              <w:spacing w:line="256" w:lineRule="auto"/>
              <w:ind w:hanging="112"/>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0%</w:t>
            </w:r>
          </w:p>
        </w:tc>
      </w:tr>
      <w:tr w:rsidR="007968EC" w14:paraId="2E11F891" w14:textId="77777777" w:rsidTr="007968EC">
        <w:trPr>
          <w:trHeight w:val="450"/>
          <w:jc w:val="center"/>
        </w:trPr>
        <w:tc>
          <w:tcPr>
            <w:tcW w:w="1551" w:type="dxa"/>
            <w:tcBorders>
              <w:top w:val="single" w:sz="4" w:space="0" w:color="auto"/>
              <w:left w:val="single" w:sz="4" w:space="0" w:color="auto"/>
              <w:bottom w:val="single" w:sz="4" w:space="0" w:color="auto"/>
              <w:right w:val="single" w:sz="4" w:space="0" w:color="auto"/>
            </w:tcBorders>
            <w:vAlign w:val="center"/>
            <w:hideMark/>
          </w:tcPr>
          <w:p w14:paraId="0746FD64" w14:textId="77777777" w:rsidR="007968EC" w:rsidRDefault="007968EC" w:rsidP="007968EC">
            <w:pPr>
              <w:spacing w:line="256" w:lineRule="auto"/>
              <w:ind w:hanging="112"/>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8</w:t>
            </w:r>
          </w:p>
        </w:tc>
        <w:tc>
          <w:tcPr>
            <w:tcW w:w="5498" w:type="dxa"/>
            <w:tcBorders>
              <w:top w:val="single" w:sz="4" w:space="0" w:color="auto"/>
              <w:left w:val="single" w:sz="4" w:space="0" w:color="auto"/>
              <w:bottom w:val="single" w:sz="4" w:space="0" w:color="auto"/>
              <w:right w:val="single" w:sz="4" w:space="0" w:color="auto"/>
            </w:tcBorders>
            <w:vAlign w:val="center"/>
            <w:hideMark/>
          </w:tcPr>
          <w:p w14:paraId="497391FC" w14:textId="77777777" w:rsidR="007968EC" w:rsidRDefault="007968EC" w:rsidP="007968EC">
            <w:pPr>
              <w:spacing w:line="256" w:lineRule="auto"/>
              <w:ind w:hanging="112"/>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 xml:space="preserve">Contratos de Futuros Índice Accionario COLCAP y/o </w:t>
            </w:r>
            <w:r>
              <w:rPr>
                <w:rFonts w:ascii="Arial Narrow" w:eastAsia="Calibri" w:hAnsi="Arial Narrow" w:cstheme="minorBidi"/>
                <w:color w:val="000000"/>
                <w:lang w:eastAsia="es-CO"/>
              </w:rPr>
              <w:t>Mini Contrato de Futuro Índice Accionario COLCAP</w:t>
            </w:r>
            <w:r>
              <w:rPr>
                <w:rFonts w:ascii="Arial Narrow" w:eastAsia="Calibri" w:hAnsi="Arial Narrow" w:cstheme="minorBidi"/>
                <w:color w:val="000000"/>
                <w:lang w:eastAsia="en-US"/>
              </w:rPr>
              <w:t xml:space="preserve"> / Contrato de Futuro </w:t>
            </w:r>
            <w:r>
              <w:rPr>
                <w:rFonts w:ascii="Arial Narrow" w:eastAsia="Calibri" w:hAnsi="Arial Narrow" w:cs="Arial"/>
                <w:color w:val="000000"/>
                <w:lang w:eastAsia="es-ES"/>
              </w:rPr>
              <w:t>sobre Acciones del Índice COLCAP</w:t>
            </w:r>
            <w:r>
              <w:rPr>
                <w:rFonts w:ascii="Arial Narrow" w:eastAsia="Calibri" w:hAnsi="Arial Narrow" w:cstheme="minorBidi"/>
                <w:color w:val="000000"/>
                <w:lang w:eastAsia="en-US"/>
              </w:rPr>
              <w:t xml:space="preserve"> con Liquidación por Diferencias sobre la Acción de Éxito</w:t>
            </w:r>
          </w:p>
        </w:tc>
        <w:tc>
          <w:tcPr>
            <w:tcW w:w="1410" w:type="dxa"/>
            <w:tcBorders>
              <w:top w:val="single" w:sz="4" w:space="0" w:color="auto"/>
              <w:left w:val="single" w:sz="4" w:space="0" w:color="auto"/>
              <w:bottom w:val="single" w:sz="4" w:space="0" w:color="auto"/>
              <w:right w:val="single" w:sz="4" w:space="0" w:color="auto"/>
            </w:tcBorders>
            <w:vAlign w:val="center"/>
            <w:hideMark/>
          </w:tcPr>
          <w:p w14:paraId="71B45446" w14:textId="77777777" w:rsidR="007968EC" w:rsidRDefault="007968EC" w:rsidP="007968EC">
            <w:pPr>
              <w:spacing w:line="256" w:lineRule="auto"/>
              <w:ind w:hanging="112"/>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0%</w:t>
            </w:r>
          </w:p>
        </w:tc>
      </w:tr>
      <w:tr w:rsidR="007968EC" w14:paraId="1582BDB8" w14:textId="77777777" w:rsidTr="007968EC">
        <w:trPr>
          <w:trHeight w:val="507"/>
          <w:jc w:val="center"/>
        </w:trPr>
        <w:tc>
          <w:tcPr>
            <w:tcW w:w="1551" w:type="dxa"/>
            <w:tcBorders>
              <w:top w:val="single" w:sz="4" w:space="0" w:color="auto"/>
              <w:left w:val="single" w:sz="4" w:space="0" w:color="auto"/>
              <w:bottom w:val="single" w:sz="4" w:space="0" w:color="auto"/>
              <w:right w:val="single" w:sz="4" w:space="0" w:color="auto"/>
            </w:tcBorders>
            <w:vAlign w:val="center"/>
            <w:hideMark/>
          </w:tcPr>
          <w:p w14:paraId="0279A553" w14:textId="77777777" w:rsidR="007968EC" w:rsidRDefault="007968EC" w:rsidP="007968EC">
            <w:pPr>
              <w:spacing w:line="256" w:lineRule="auto"/>
              <w:ind w:hanging="112"/>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9</w:t>
            </w:r>
          </w:p>
        </w:tc>
        <w:tc>
          <w:tcPr>
            <w:tcW w:w="5498" w:type="dxa"/>
            <w:tcBorders>
              <w:top w:val="single" w:sz="4" w:space="0" w:color="auto"/>
              <w:left w:val="single" w:sz="4" w:space="0" w:color="auto"/>
              <w:bottom w:val="single" w:sz="4" w:space="0" w:color="auto"/>
              <w:right w:val="single" w:sz="4" w:space="0" w:color="auto"/>
            </w:tcBorders>
            <w:vAlign w:val="center"/>
            <w:hideMark/>
          </w:tcPr>
          <w:p w14:paraId="0FC8220B" w14:textId="77777777" w:rsidR="007968EC" w:rsidRDefault="007968EC" w:rsidP="007968EC">
            <w:pPr>
              <w:spacing w:line="256" w:lineRule="auto"/>
              <w:ind w:hanging="112"/>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 xml:space="preserve">Contratos de Futuros Índice Accionario COLCAP y/o </w:t>
            </w:r>
            <w:r>
              <w:rPr>
                <w:rFonts w:ascii="Arial Narrow" w:eastAsia="Calibri" w:hAnsi="Arial Narrow" w:cstheme="minorBidi"/>
                <w:color w:val="000000"/>
                <w:lang w:eastAsia="es-CO"/>
              </w:rPr>
              <w:t>Mini Contrato de Futuro Índice Accionario COLCAP</w:t>
            </w:r>
            <w:r>
              <w:rPr>
                <w:rFonts w:ascii="Arial Narrow" w:eastAsia="Calibri" w:hAnsi="Arial Narrow" w:cstheme="minorBidi"/>
                <w:color w:val="000000"/>
                <w:lang w:eastAsia="en-US"/>
              </w:rPr>
              <w:t xml:space="preserve"> / Contrato de Futuro </w:t>
            </w:r>
            <w:r>
              <w:rPr>
                <w:rFonts w:ascii="Arial Narrow" w:eastAsia="Calibri" w:hAnsi="Arial Narrow" w:cs="Arial"/>
                <w:color w:val="000000"/>
                <w:lang w:eastAsia="es-ES"/>
              </w:rPr>
              <w:t>sobre Acciones del Índice COLCAP</w:t>
            </w:r>
            <w:r>
              <w:rPr>
                <w:rFonts w:ascii="Arial Narrow" w:eastAsia="Calibri" w:hAnsi="Arial Narrow" w:cstheme="minorBidi"/>
                <w:color w:val="000000"/>
                <w:lang w:eastAsia="en-US"/>
              </w:rPr>
              <w:t xml:space="preserve"> con Liquidación por Diferencias sobre la Acción Preferencial del Grupo SURA</w:t>
            </w:r>
          </w:p>
        </w:tc>
        <w:tc>
          <w:tcPr>
            <w:tcW w:w="1410" w:type="dxa"/>
            <w:tcBorders>
              <w:top w:val="single" w:sz="4" w:space="0" w:color="auto"/>
              <w:left w:val="single" w:sz="4" w:space="0" w:color="auto"/>
              <w:bottom w:val="single" w:sz="4" w:space="0" w:color="auto"/>
              <w:right w:val="single" w:sz="4" w:space="0" w:color="auto"/>
            </w:tcBorders>
            <w:vAlign w:val="center"/>
            <w:hideMark/>
          </w:tcPr>
          <w:p w14:paraId="0BCEBF04" w14:textId="77777777" w:rsidR="007968EC" w:rsidRDefault="007968EC" w:rsidP="007968EC">
            <w:pPr>
              <w:spacing w:line="256" w:lineRule="auto"/>
              <w:ind w:hanging="112"/>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0%</w:t>
            </w:r>
          </w:p>
        </w:tc>
      </w:tr>
      <w:tr w:rsidR="007968EC" w14:paraId="4D297DE6" w14:textId="77777777" w:rsidTr="007968EC">
        <w:trPr>
          <w:trHeight w:val="501"/>
          <w:jc w:val="center"/>
        </w:trPr>
        <w:tc>
          <w:tcPr>
            <w:tcW w:w="1551" w:type="dxa"/>
            <w:tcBorders>
              <w:top w:val="single" w:sz="4" w:space="0" w:color="auto"/>
              <w:left w:val="single" w:sz="4" w:space="0" w:color="auto"/>
              <w:bottom w:val="single" w:sz="4" w:space="0" w:color="auto"/>
              <w:right w:val="single" w:sz="4" w:space="0" w:color="auto"/>
            </w:tcBorders>
            <w:vAlign w:val="center"/>
            <w:hideMark/>
          </w:tcPr>
          <w:p w14:paraId="53B4F756" w14:textId="77777777" w:rsidR="007968EC" w:rsidRDefault="007968EC" w:rsidP="007968EC">
            <w:pPr>
              <w:spacing w:line="256" w:lineRule="auto"/>
              <w:ind w:hanging="112"/>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10</w:t>
            </w:r>
          </w:p>
        </w:tc>
        <w:tc>
          <w:tcPr>
            <w:tcW w:w="5498" w:type="dxa"/>
            <w:tcBorders>
              <w:top w:val="single" w:sz="4" w:space="0" w:color="auto"/>
              <w:left w:val="single" w:sz="4" w:space="0" w:color="auto"/>
              <w:bottom w:val="single" w:sz="4" w:space="0" w:color="auto"/>
              <w:right w:val="single" w:sz="4" w:space="0" w:color="auto"/>
            </w:tcBorders>
            <w:vAlign w:val="center"/>
            <w:hideMark/>
          </w:tcPr>
          <w:p w14:paraId="6081809F" w14:textId="77777777" w:rsidR="007968EC" w:rsidRDefault="007968EC" w:rsidP="007968EC">
            <w:pPr>
              <w:spacing w:line="256" w:lineRule="auto"/>
              <w:ind w:hanging="112"/>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 xml:space="preserve">Contratos de Futuros Índice Accionario COLCAP y/o </w:t>
            </w:r>
            <w:r>
              <w:rPr>
                <w:rFonts w:ascii="Arial Narrow" w:eastAsia="Calibri" w:hAnsi="Arial Narrow" w:cstheme="minorBidi"/>
                <w:color w:val="000000"/>
                <w:lang w:eastAsia="es-CO"/>
              </w:rPr>
              <w:t>Mini Contrato de Futuro Índice Accionario COLCAP</w:t>
            </w:r>
            <w:r>
              <w:rPr>
                <w:rFonts w:ascii="Arial Narrow" w:eastAsia="Calibri" w:hAnsi="Arial Narrow" w:cstheme="minorBidi"/>
                <w:color w:val="000000"/>
                <w:lang w:eastAsia="en-US"/>
              </w:rPr>
              <w:t xml:space="preserve"> / Contrato de Futuro </w:t>
            </w:r>
            <w:r>
              <w:rPr>
                <w:rFonts w:ascii="Arial Narrow" w:eastAsia="Calibri" w:hAnsi="Arial Narrow" w:cs="Arial"/>
                <w:color w:val="000000"/>
                <w:lang w:eastAsia="es-ES"/>
              </w:rPr>
              <w:t>sobre Acciones del Índice COLCAP</w:t>
            </w:r>
            <w:r>
              <w:rPr>
                <w:rFonts w:ascii="Arial Narrow" w:eastAsia="Calibri" w:hAnsi="Arial Narrow" w:cstheme="minorBidi"/>
                <w:color w:val="000000"/>
                <w:lang w:eastAsia="en-US"/>
              </w:rPr>
              <w:t xml:space="preserve"> con Liquidación por Diferencias sobre la Acción Preferencial del Grupo Aval</w:t>
            </w:r>
          </w:p>
        </w:tc>
        <w:tc>
          <w:tcPr>
            <w:tcW w:w="1410" w:type="dxa"/>
            <w:tcBorders>
              <w:top w:val="single" w:sz="4" w:space="0" w:color="auto"/>
              <w:left w:val="single" w:sz="4" w:space="0" w:color="auto"/>
              <w:bottom w:val="single" w:sz="4" w:space="0" w:color="auto"/>
              <w:right w:val="single" w:sz="4" w:space="0" w:color="auto"/>
            </w:tcBorders>
            <w:vAlign w:val="center"/>
            <w:hideMark/>
          </w:tcPr>
          <w:p w14:paraId="6330408E" w14:textId="77777777" w:rsidR="007968EC" w:rsidRDefault="007968EC" w:rsidP="007968EC">
            <w:pPr>
              <w:spacing w:line="256" w:lineRule="auto"/>
              <w:ind w:hanging="112"/>
              <w:jc w:val="center"/>
              <w:rPr>
                <w:rFonts w:ascii="Arial Narrow" w:eastAsia="Calibri" w:hAnsi="Arial Narrow" w:cstheme="minorBidi"/>
                <w:color w:val="000000"/>
                <w:lang w:eastAsia="en-US"/>
              </w:rPr>
            </w:pPr>
            <w:r>
              <w:rPr>
                <w:rFonts w:ascii="Arial Narrow" w:eastAsia="Calibri" w:hAnsi="Arial Narrow" w:cstheme="minorBidi"/>
                <w:color w:val="000000"/>
                <w:lang w:eastAsia="en-US"/>
              </w:rPr>
              <w:t>0%</w:t>
            </w:r>
          </w:p>
        </w:tc>
      </w:tr>
      <w:tr w:rsidR="007968EC" w14:paraId="382F63E8" w14:textId="77777777" w:rsidTr="007968EC">
        <w:trPr>
          <w:trHeight w:val="501"/>
          <w:jc w:val="center"/>
        </w:trPr>
        <w:tc>
          <w:tcPr>
            <w:tcW w:w="1551" w:type="dxa"/>
            <w:tcBorders>
              <w:top w:val="single" w:sz="4" w:space="0" w:color="auto"/>
              <w:left w:val="single" w:sz="4" w:space="0" w:color="auto"/>
              <w:bottom w:val="single" w:sz="4" w:space="0" w:color="auto"/>
              <w:right w:val="single" w:sz="4" w:space="0" w:color="auto"/>
            </w:tcBorders>
            <w:vAlign w:val="center"/>
            <w:hideMark/>
          </w:tcPr>
          <w:p w14:paraId="4BCFB320" w14:textId="77777777" w:rsidR="007968EC" w:rsidRDefault="007968EC" w:rsidP="007968EC">
            <w:pPr>
              <w:spacing w:line="256" w:lineRule="auto"/>
              <w:ind w:hanging="112"/>
              <w:jc w:val="center"/>
              <w:rPr>
                <w:rFonts w:ascii="Arial Narrow" w:eastAsia="Calibri" w:hAnsi="Arial Narrow" w:cstheme="minorBidi"/>
                <w:b/>
                <w:color w:val="000000"/>
                <w:lang w:val="pt-BR" w:eastAsia="en-US"/>
              </w:rPr>
            </w:pPr>
            <w:r>
              <w:rPr>
                <w:rFonts w:ascii="Arial Narrow" w:eastAsia="Calibri" w:hAnsi="Arial Narrow" w:cstheme="minorBidi"/>
                <w:color w:val="000000"/>
                <w:lang w:val="pt-BR" w:eastAsia="en-US"/>
              </w:rPr>
              <w:t>11</w:t>
            </w:r>
          </w:p>
        </w:tc>
        <w:tc>
          <w:tcPr>
            <w:tcW w:w="5498" w:type="dxa"/>
            <w:tcBorders>
              <w:top w:val="single" w:sz="4" w:space="0" w:color="auto"/>
              <w:left w:val="single" w:sz="4" w:space="0" w:color="auto"/>
              <w:bottom w:val="single" w:sz="4" w:space="0" w:color="auto"/>
              <w:right w:val="single" w:sz="4" w:space="0" w:color="auto"/>
            </w:tcBorders>
            <w:vAlign w:val="center"/>
            <w:hideMark/>
          </w:tcPr>
          <w:p w14:paraId="7A17B2E8" w14:textId="77777777" w:rsidR="007968EC" w:rsidRDefault="007968EC" w:rsidP="007968EC">
            <w:pPr>
              <w:spacing w:line="256" w:lineRule="auto"/>
              <w:ind w:hanging="112"/>
              <w:jc w:val="center"/>
              <w:rPr>
                <w:rFonts w:ascii="Arial Narrow" w:eastAsia="Calibri" w:hAnsi="Arial Narrow" w:cstheme="minorBidi"/>
                <w:b/>
                <w:color w:val="000000"/>
                <w:lang w:val="pt-BR" w:eastAsia="en-US"/>
              </w:rPr>
            </w:pPr>
            <w:r>
              <w:rPr>
                <w:rFonts w:ascii="Arial Narrow" w:eastAsia="Calibri" w:hAnsi="Arial Narrow" w:cstheme="minorBidi"/>
                <w:color w:val="000000"/>
                <w:lang w:val="pt-BR" w:eastAsia="en-US"/>
              </w:rPr>
              <w:t xml:space="preserve">Contratos de Futuros Índice </w:t>
            </w:r>
            <w:proofErr w:type="spellStart"/>
            <w:r>
              <w:rPr>
                <w:rFonts w:ascii="Arial Narrow" w:eastAsia="Calibri" w:hAnsi="Arial Narrow" w:cstheme="minorBidi"/>
                <w:color w:val="000000"/>
                <w:lang w:val="pt-BR" w:eastAsia="en-US"/>
              </w:rPr>
              <w:t>Accionario</w:t>
            </w:r>
            <w:proofErr w:type="spellEnd"/>
            <w:r>
              <w:rPr>
                <w:rFonts w:ascii="Arial Narrow" w:eastAsia="Calibri" w:hAnsi="Arial Narrow" w:cstheme="minorBidi"/>
                <w:color w:val="000000"/>
                <w:lang w:val="pt-BR" w:eastAsia="en-US"/>
              </w:rPr>
              <w:t xml:space="preserve"> COLCAP </w:t>
            </w:r>
            <w:r>
              <w:rPr>
                <w:rFonts w:ascii="Arial Narrow" w:eastAsia="Calibri" w:hAnsi="Arial Narrow" w:cstheme="minorBidi"/>
                <w:color w:val="000000"/>
                <w:lang w:eastAsia="en-US"/>
              </w:rPr>
              <w:t xml:space="preserve">y/o </w:t>
            </w:r>
            <w:proofErr w:type="gramStart"/>
            <w:r>
              <w:rPr>
                <w:rFonts w:ascii="Arial Narrow" w:eastAsia="Calibri" w:hAnsi="Arial Narrow" w:cstheme="minorBidi"/>
                <w:color w:val="000000"/>
                <w:lang w:eastAsia="es-CO"/>
              </w:rPr>
              <w:t>Mini Contrato</w:t>
            </w:r>
            <w:proofErr w:type="gramEnd"/>
            <w:r>
              <w:rPr>
                <w:rFonts w:ascii="Arial Narrow" w:eastAsia="Calibri" w:hAnsi="Arial Narrow" w:cstheme="minorBidi"/>
                <w:color w:val="000000"/>
                <w:lang w:eastAsia="es-CO"/>
              </w:rPr>
              <w:t xml:space="preserve"> de Futuro Índice Accionario COLCAP</w:t>
            </w:r>
            <w:r>
              <w:rPr>
                <w:rFonts w:ascii="Arial Narrow" w:eastAsia="Calibri" w:hAnsi="Arial Narrow" w:cstheme="minorBidi"/>
                <w:color w:val="000000"/>
                <w:lang w:val="pt-BR" w:eastAsia="en-US"/>
              </w:rPr>
              <w:t xml:space="preserve"> / </w:t>
            </w:r>
            <w:r>
              <w:rPr>
                <w:rFonts w:ascii="Arial Narrow" w:eastAsia="Calibri" w:hAnsi="Arial Narrow" w:cstheme="minorBidi"/>
                <w:color w:val="000000"/>
                <w:lang w:eastAsia="en-US"/>
              </w:rPr>
              <w:t xml:space="preserve">Contrato de Futuro </w:t>
            </w:r>
            <w:r>
              <w:rPr>
                <w:rFonts w:ascii="Arial Narrow" w:eastAsia="Calibri" w:hAnsi="Arial Narrow" w:cs="Arial"/>
                <w:color w:val="000000"/>
                <w:lang w:eastAsia="es-ES"/>
              </w:rPr>
              <w:t>sobre Acciones del Índice COLCAP</w:t>
            </w:r>
            <w:r>
              <w:rPr>
                <w:rFonts w:ascii="Arial Narrow" w:eastAsia="Calibri" w:hAnsi="Arial Narrow" w:cstheme="minorBidi"/>
                <w:color w:val="000000"/>
                <w:lang w:eastAsia="en-US"/>
              </w:rPr>
              <w:t xml:space="preserve"> con Liquidación por Diferencias</w:t>
            </w:r>
            <w:r>
              <w:rPr>
                <w:rFonts w:ascii="Arial Narrow" w:eastAsia="Calibri" w:hAnsi="Arial Narrow" w:cstheme="minorBidi"/>
                <w:color w:val="000000"/>
                <w:lang w:val="pt-BR" w:eastAsia="en-US"/>
              </w:rPr>
              <w:t xml:space="preserve"> sobre </w:t>
            </w:r>
            <w:proofErr w:type="spellStart"/>
            <w:r>
              <w:rPr>
                <w:rFonts w:ascii="Arial Narrow" w:eastAsia="Calibri" w:hAnsi="Arial Narrow" w:cstheme="minorBidi"/>
                <w:color w:val="000000"/>
                <w:lang w:val="pt-BR" w:eastAsia="en-US"/>
              </w:rPr>
              <w:t>la</w:t>
            </w:r>
            <w:proofErr w:type="spellEnd"/>
            <w:r>
              <w:rPr>
                <w:rFonts w:ascii="Arial Narrow" w:eastAsia="Calibri" w:hAnsi="Arial Narrow" w:cstheme="minorBidi"/>
                <w:color w:val="000000"/>
                <w:lang w:val="pt-BR" w:eastAsia="en-US"/>
              </w:rPr>
              <w:t xml:space="preserve"> </w:t>
            </w:r>
            <w:proofErr w:type="spellStart"/>
            <w:r>
              <w:rPr>
                <w:rFonts w:ascii="Arial Narrow" w:eastAsia="Calibri" w:hAnsi="Arial Narrow" w:cstheme="minorBidi"/>
                <w:color w:val="000000"/>
                <w:lang w:val="pt-BR" w:eastAsia="en-US"/>
              </w:rPr>
              <w:t>Acción</w:t>
            </w:r>
            <w:proofErr w:type="spellEnd"/>
            <w:r>
              <w:rPr>
                <w:rFonts w:ascii="Arial Narrow" w:eastAsia="Calibri" w:hAnsi="Arial Narrow" w:cstheme="minorBidi"/>
                <w:color w:val="000000"/>
                <w:lang w:val="pt-BR" w:eastAsia="en-US"/>
              </w:rPr>
              <w:t xml:space="preserve"> Preferencial de </w:t>
            </w:r>
            <w:proofErr w:type="spellStart"/>
            <w:r>
              <w:rPr>
                <w:rFonts w:ascii="Arial Narrow" w:eastAsia="Calibri" w:hAnsi="Arial Narrow" w:cstheme="minorBidi"/>
                <w:color w:val="000000"/>
                <w:lang w:val="pt-BR" w:eastAsia="en-US"/>
              </w:rPr>
              <w:t>Cementos</w:t>
            </w:r>
            <w:proofErr w:type="spellEnd"/>
            <w:r>
              <w:rPr>
                <w:rFonts w:ascii="Arial Narrow" w:eastAsia="Calibri" w:hAnsi="Arial Narrow" w:cstheme="minorBidi"/>
                <w:color w:val="000000"/>
                <w:lang w:val="pt-BR" w:eastAsia="en-US"/>
              </w:rPr>
              <w:t xml:space="preserve"> Argos</w:t>
            </w:r>
          </w:p>
        </w:tc>
        <w:tc>
          <w:tcPr>
            <w:tcW w:w="1410" w:type="dxa"/>
            <w:tcBorders>
              <w:top w:val="single" w:sz="4" w:space="0" w:color="auto"/>
              <w:left w:val="single" w:sz="4" w:space="0" w:color="auto"/>
              <w:bottom w:val="single" w:sz="4" w:space="0" w:color="auto"/>
              <w:right w:val="single" w:sz="4" w:space="0" w:color="auto"/>
            </w:tcBorders>
            <w:vAlign w:val="center"/>
            <w:hideMark/>
          </w:tcPr>
          <w:p w14:paraId="7A3757C7" w14:textId="77777777" w:rsidR="007968EC" w:rsidRDefault="007968EC" w:rsidP="007968EC">
            <w:pPr>
              <w:spacing w:line="256" w:lineRule="auto"/>
              <w:ind w:hanging="112"/>
              <w:jc w:val="center"/>
              <w:rPr>
                <w:rFonts w:ascii="Arial Narrow" w:eastAsia="Calibri" w:hAnsi="Arial Narrow" w:cstheme="minorBidi"/>
                <w:b/>
                <w:color w:val="000000"/>
                <w:lang w:val="pt-BR" w:eastAsia="en-US"/>
              </w:rPr>
            </w:pPr>
            <w:r>
              <w:rPr>
                <w:rFonts w:ascii="Arial Narrow" w:eastAsia="Calibri" w:hAnsi="Arial Narrow" w:cstheme="minorBidi"/>
                <w:color w:val="000000"/>
                <w:lang w:val="pt-BR" w:eastAsia="en-US"/>
              </w:rPr>
              <w:t>0%</w:t>
            </w:r>
          </w:p>
        </w:tc>
      </w:tr>
      <w:tr w:rsidR="007968EC" w14:paraId="1E5B6D5B" w14:textId="77777777" w:rsidTr="007968EC">
        <w:trPr>
          <w:trHeight w:val="501"/>
          <w:jc w:val="center"/>
        </w:trPr>
        <w:tc>
          <w:tcPr>
            <w:tcW w:w="1551" w:type="dxa"/>
            <w:tcBorders>
              <w:top w:val="single" w:sz="4" w:space="0" w:color="auto"/>
              <w:left w:val="single" w:sz="4" w:space="0" w:color="auto"/>
              <w:bottom w:val="single" w:sz="4" w:space="0" w:color="auto"/>
              <w:right w:val="single" w:sz="4" w:space="0" w:color="auto"/>
            </w:tcBorders>
            <w:vAlign w:val="center"/>
            <w:hideMark/>
          </w:tcPr>
          <w:p w14:paraId="0D188371" w14:textId="77777777" w:rsidR="007968EC" w:rsidRDefault="007968EC" w:rsidP="007968EC">
            <w:pPr>
              <w:spacing w:line="256" w:lineRule="auto"/>
              <w:ind w:hanging="112"/>
              <w:jc w:val="center"/>
              <w:rPr>
                <w:rFonts w:ascii="Arial Narrow" w:eastAsia="Calibri" w:hAnsi="Arial Narrow" w:cstheme="minorBidi"/>
                <w:color w:val="000000"/>
                <w:lang w:val="pt-BR" w:eastAsia="en-US"/>
              </w:rPr>
            </w:pPr>
            <w:r>
              <w:rPr>
                <w:rFonts w:ascii="Arial Narrow" w:eastAsia="Calibri" w:hAnsi="Arial Narrow" w:cstheme="minorBidi"/>
                <w:color w:val="000000"/>
                <w:lang w:val="pt-BR" w:eastAsia="en-US"/>
              </w:rPr>
              <w:t>12</w:t>
            </w:r>
          </w:p>
        </w:tc>
        <w:tc>
          <w:tcPr>
            <w:tcW w:w="5498" w:type="dxa"/>
            <w:tcBorders>
              <w:top w:val="single" w:sz="4" w:space="0" w:color="auto"/>
              <w:left w:val="single" w:sz="4" w:space="0" w:color="auto"/>
              <w:bottom w:val="single" w:sz="4" w:space="0" w:color="auto"/>
              <w:right w:val="single" w:sz="4" w:space="0" w:color="auto"/>
            </w:tcBorders>
            <w:vAlign w:val="center"/>
            <w:hideMark/>
          </w:tcPr>
          <w:p w14:paraId="00773675" w14:textId="77777777" w:rsidR="007968EC" w:rsidRDefault="007968EC" w:rsidP="007968EC">
            <w:pPr>
              <w:spacing w:line="256" w:lineRule="auto"/>
              <w:ind w:hanging="112"/>
              <w:jc w:val="center"/>
              <w:rPr>
                <w:rFonts w:ascii="Arial Narrow" w:eastAsia="Calibri" w:hAnsi="Arial Narrow" w:cstheme="minorBidi"/>
                <w:color w:val="000000"/>
                <w:lang w:val="pt-BR" w:eastAsia="en-US"/>
              </w:rPr>
            </w:pPr>
            <w:r>
              <w:rPr>
                <w:rFonts w:ascii="Arial Narrow" w:eastAsiaTheme="minorHAnsi" w:hAnsi="Arial Narrow" w:cs="Arial"/>
                <w:color w:val="000000"/>
                <w:lang w:val="es-ES" w:eastAsia="es-ES"/>
              </w:rPr>
              <w:t xml:space="preserve">Contratos de Futuros Índice Accionario COLCAP </w:t>
            </w:r>
            <w:r>
              <w:rPr>
                <w:rFonts w:ascii="Arial Narrow" w:eastAsia="Calibri" w:hAnsi="Arial Narrow" w:cstheme="minorBidi"/>
                <w:color w:val="000000"/>
                <w:lang w:eastAsia="en-US"/>
              </w:rPr>
              <w:t xml:space="preserve">y/o </w:t>
            </w:r>
            <w:r>
              <w:rPr>
                <w:rFonts w:ascii="Arial Narrow" w:eastAsia="Calibri" w:hAnsi="Arial Narrow" w:cstheme="minorBidi"/>
                <w:color w:val="000000"/>
                <w:lang w:eastAsia="es-CO"/>
              </w:rPr>
              <w:t>Mini Contrato de Futuro Índice Accionario COLCAP</w:t>
            </w:r>
            <w:r>
              <w:rPr>
                <w:rFonts w:ascii="Arial Narrow" w:eastAsiaTheme="minorHAnsi" w:hAnsi="Arial Narrow" w:cs="Arial"/>
                <w:color w:val="000000"/>
                <w:lang w:val="es-ES" w:eastAsia="es-ES"/>
              </w:rPr>
              <w:t xml:space="preserve"> / Opción sobre la acción Preferencial de Bancolombia</w:t>
            </w:r>
          </w:p>
        </w:tc>
        <w:tc>
          <w:tcPr>
            <w:tcW w:w="1410" w:type="dxa"/>
            <w:tcBorders>
              <w:top w:val="single" w:sz="4" w:space="0" w:color="auto"/>
              <w:left w:val="single" w:sz="4" w:space="0" w:color="auto"/>
              <w:bottom w:val="single" w:sz="4" w:space="0" w:color="auto"/>
              <w:right w:val="single" w:sz="4" w:space="0" w:color="auto"/>
            </w:tcBorders>
            <w:vAlign w:val="center"/>
            <w:hideMark/>
          </w:tcPr>
          <w:p w14:paraId="7870E704" w14:textId="77777777" w:rsidR="007968EC" w:rsidRDefault="007968EC" w:rsidP="007968EC">
            <w:pPr>
              <w:spacing w:line="256" w:lineRule="auto"/>
              <w:ind w:hanging="112"/>
              <w:jc w:val="center"/>
              <w:rPr>
                <w:rFonts w:ascii="Arial Narrow" w:eastAsia="Calibri" w:hAnsi="Arial Narrow" w:cstheme="minorBidi"/>
                <w:color w:val="000000"/>
                <w:lang w:val="pt-BR" w:eastAsia="en-US"/>
              </w:rPr>
            </w:pPr>
            <w:r>
              <w:rPr>
                <w:rFonts w:ascii="Arial Narrow" w:eastAsia="Calibri" w:hAnsi="Arial Narrow" w:cstheme="minorBidi"/>
                <w:color w:val="000000"/>
                <w:lang w:val="pt-BR" w:eastAsia="en-US"/>
              </w:rPr>
              <w:t>20%</w:t>
            </w:r>
          </w:p>
        </w:tc>
      </w:tr>
      <w:tr w:rsidR="007968EC" w14:paraId="52EDCF52" w14:textId="77777777" w:rsidTr="007968EC">
        <w:trPr>
          <w:trHeight w:val="501"/>
          <w:jc w:val="center"/>
        </w:trPr>
        <w:tc>
          <w:tcPr>
            <w:tcW w:w="1551" w:type="dxa"/>
            <w:tcBorders>
              <w:top w:val="single" w:sz="4" w:space="0" w:color="auto"/>
              <w:left w:val="single" w:sz="4" w:space="0" w:color="auto"/>
              <w:bottom w:val="single" w:sz="4" w:space="0" w:color="auto"/>
              <w:right w:val="single" w:sz="4" w:space="0" w:color="auto"/>
            </w:tcBorders>
            <w:vAlign w:val="center"/>
            <w:hideMark/>
          </w:tcPr>
          <w:p w14:paraId="347F0677" w14:textId="77777777" w:rsidR="007968EC" w:rsidRDefault="007968EC" w:rsidP="007968EC">
            <w:pPr>
              <w:spacing w:line="256" w:lineRule="auto"/>
              <w:ind w:hanging="112"/>
              <w:jc w:val="center"/>
              <w:rPr>
                <w:rFonts w:ascii="Arial Narrow" w:eastAsia="Calibri" w:hAnsi="Arial Narrow" w:cstheme="minorBidi"/>
                <w:color w:val="000000"/>
                <w:lang w:val="pt-BR" w:eastAsia="en-US"/>
              </w:rPr>
            </w:pPr>
            <w:r>
              <w:rPr>
                <w:rFonts w:ascii="Arial Narrow" w:eastAsia="Calibri" w:hAnsi="Arial Narrow" w:cstheme="minorBidi"/>
                <w:color w:val="000000"/>
                <w:lang w:val="pt-BR" w:eastAsia="en-US"/>
              </w:rPr>
              <w:lastRenderedPageBreak/>
              <w:t>13</w:t>
            </w:r>
          </w:p>
        </w:tc>
        <w:tc>
          <w:tcPr>
            <w:tcW w:w="5498" w:type="dxa"/>
            <w:tcBorders>
              <w:top w:val="single" w:sz="4" w:space="0" w:color="auto"/>
              <w:left w:val="single" w:sz="4" w:space="0" w:color="auto"/>
              <w:bottom w:val="single" w:sz="4" w:space="0" w:color="auto"/>
              <w:right w:val="single" w:sz="4" w:space="0" w:color="auto"/>
            </w:tcBorders>
            <w:vAlign w:val="center"/>
            <w:hideMark/>
          </w:tcPr>
          <w:p w14:paraId="0827C4DF" w14:textId="77777777" w:rsidR="007968EC" w:rsidRDefault="007968EC" w:rsidP="007968EC">
            <w:pPr>
              <w:spacing w:line="256" w:lineRule="auto"/>
              <w:ind w:hanging="112"/>
              <w:jc w:val="center"/>
              <w:rPr>
                <w:rFonts w:ascii="Arial Narrow" w:eastAsiaTheme="minorHAnsi" w:hAnsi="Arial Narrow" w:cs="Arial"/>
                <w:color w:val="000000"/>
                <w:lang w:val="es-ES" w:eastAsia="es-ES"/>
              </w:rPr>
            </w:pPr>
            <w:r>
              <w:rPr>
                <w:rFonts w:ascii="Arial Narrow" w:eastAsiaTheme="minorHAnsi" w:hAnsi="Arial Narrow" w:cs="Arial"/>
                <w:color w:val="000000"/>
                <w:lang w:val="es-ES" w:eastAsia="es-ES"/>
              </w:rPr>
              <w:t xml:space="preserve">Contratos de Futuros Índice Accionario COLCAP </w:t>
            </w:r>
            <w:r>
              <w:rPr>
                <w:rFonts w:ascii="Arial Narrow" w:eastAsia="Calibri" w:hAnsi="Arial Narrow" w:cstheme="minorBidi"/>
                <w:color w:val="000000"/>
                <w:lang w:eastAsia="en-US"/>
              </w:rPr>
              <w:t xml:space="preserve">y/o </w:t>
            </w:r>
            <w:r>
              <w:rPr>
                <w:rFonts w:ascii="Arial Narrow" w:eastAsia="Calibri" w:hAnsi="Arial Narrow" w:cstheme="minorBidi"/>
                <w:color w:val="000000"/>
                <w:lang w:eastAsia="es-CO"/>
              </w:rPr>
              <w:t>Mini Contrato de Futuro Índice Accionario COLCAP</w:t>
            </w:r>
            <w:r>
              <w:rPr>
                <w:rFonts w:ascii="Arial Narrow" w:eastAsiaTheme="minorHAnsi" w:hAnsi="Arial Narrow" w:cs="Arial"/>
                <w:color w:val="000000"/>
                <w:lang w:val="es-ES" w:eastAsia="es-ES"/>
              </w:rPr>
              <w:t xml:space="preserve"> / Opción sobre la acción de Ecopetrol</w:t>
            </w:r>
          </w:p>
        </w:tc>
        <w:tc>
          <w:tcPr>
            <w:tcW w:w="1410" w:type="dxa"/>
            <w:tcBorders>
              <w:top w:val="single" w:sz="4" w:space="0" w:color="auto"/>
              <w:left w:val="single" w:sz="4" w:space="0" w:color="auto"/>
              <w:bottom w:val="single" w:sz="4" w:space="0" w:color="auto"/>
              <w:right w:val="single" w:sz="4" w:space="0" w:color="auto"/>
            </w:tcBorders>
            <w:vAlign w:val="center"/>
            <w:hideMark/>
          </w:tcPr>
          <w:p w14:paraId="78B856FB" w14:textId="77777777" w:rsidR="007968EC" w:rsidRDefault="007968EC" w:rsidP="007968EC">
            <w:pPr>
              <w:spacing w:line="256" w:lineRule="auto"/>
              <w:ind w:hanging="112"/>
              <w:jc w:val="center"/>
              <w:rPr>
                <w:rFonts w:ascii="Arial Narrow" w:eastAsia="Calibri" w:hAnsi="Arial Narrow" w:cstheme="minorBidi"/>
                <w:color w:val="000000"/>
                <w:lang w:val="pt-BR" w:eastAsia="en-US"/>
              </w:rPr>
            </w:pPr>
            <w:r>
              <w:rPr>
                <w:rFonts w:ascii="Arial Narrow" w:eastAsia="Calibri" w:hAnsi="Arial Narrow" w:cstheme="minorBidi"/>
                <w:color w:val="000000"/>
                <w:lang w:val="pt-BR" w:eastAsia="en-US"/>
              </w:rPr>
              <w:t>0%</w:t>
            </w:r>
          </w:p>
        </w:tc>
      </w:tr>
      <w:tr w:rsidR="007968EC" w14:paraId="491A6D85" w14:textId="77777777" w:rsidTr="007968EC">
        <w:trPr>
          <w:trHeight w:val="501"/>
          <w:jc w:val="center"/>
        </w:trPr>
        <w:tc>
          <w:tcPr>
            <w:tcW w:w="1551" w:type="dxa"/>
            <w:tcBorders>
              <w:top w:val="single" w:sz="4" w:space="0" w:color="auto"/>
              <w:left w:val="single" w:sz="4" w:space="0" w:color="auto"/>
              <w:bottom w:val="single" w:sz="4" w:space="0" w:color="auto"/>
              <w:right w:val="single" w:sz="4" w:space="0" w:color="auto"/>
            </w:tcBorders>
            <w:vAlign w:val="center"/>
            <w:hideMark/>
          </w:tcPr>
          <w:p w14:paraId="08376B9D" w14:textId="77777777" w:rsidR="007968EC" w:rsidRDefault="007968EC" w:rsidP="007968EC">
            <w:pPr>
              <w:spacing w:line="256" w:lineRule="auto"/>
              <w:ind w:hanging="112"/>
              <w:jc w:val="center"/>
              <w:rPr>
                <w:rFonts w:ascii="Arial Narrow" w:eastAsia="Calibri" w:hAnsi="Arial Narrow" w:cstheme="minorBidi"/>
                <w:color w:val="000000"/>
                <w:lang w:val="pt-BR" w:eastAsia="en-US"/>
              </w:rPr>
            </w:pPr>
            <w:r>
              <w:rPr>
                <w:rFonts w:ascii="Arial Narrow" w:eastAsia="Calibri" w:hAnsi="Arial Narrow" w:cstheme="minorBidi"/>
                <w:color w:val="000000"/>
                <w:lang w:val="pt-BR" w:eastAsia="en-US"/>
              </w:rPr>
              <w:t>14</w:t>
            </w:r>
          </w:p>
        </w:tc>
        <w:tc>
          <w:tcPr>
            <w:tcW w:w="5498" w:type="dxa"/>
            <w:tcBorders>
              <w:top w:val="single" w:sz="4" w:space="0" w:color="auto"/>
              <w:left w:val="single" w:sz="4" w:space="0" w:color="auto"/>
              <w:bottom w:val="single" w:sz="4" w:space="0" w:color="auto"/>
              <w:right w:val="single" w:sz="4" w:space="0" w:color="auto"/>
            </w:tcBorders>
            <w:vAlign w:val="center"/>
            <w:hideMark/>
          </w:tcPr>
          <w:p w14:paraId="51280BF3" w14:textId="77777777" w:rsidR="007968EC" w:rsidRDefault="007968EC" w:rsidP="007968EC">
            <w:pPr>
              <w:spacing w:line="256" w:lineRule="auto"/>
              <w:ind w:hanging="112"/>
              <w:jc w:val="center"/>
              <w:rPr>
                <w:rFonts w:ascii="Arial Narrow" w:eastAsiaTheme="minorHAnsi" w:hAnsi="Arial Narrow" w:cs="Arial"/>
                <w:color w:val="000000"/>
                <w:lang w:val="es-ES" w:eastAsia="es-ES"/>
              </w:rPr>
            </w:pPr>
            <w:r>
              <w:rPr>
                <w:rFonts w:ascii="Arial Narrow" w:eastAsiaTheme="minorHAnsi" w:hAnsi="Arial Narrow" w:cs="Arial"/>
                <w:color w:val="000000"/>
                <w:lang w:val="es-ES" w:eastAsia="es-ES"/>
              </w:rPr>
              <w:t xml:space="preserve">Contratos de Futuros Índice Accionario COLCAP </w:t>
            </w:r>
            <w:r>
              <w:rPr>
                <w:rFonts w:ascii="Arial Narrow" w:eastAsia="Calibri" w:hAnsi="Arial Narrow" w:cstheme="minorBidi"/>
                <w:color w:val="000000"/>
                <w:lang w:eastAsia="en-US"/>
              </w:rPr>
              <w:t xml:space="preserve">y/o </w:t>
            </w:r>
            <w:r>
              <w:rPr>
                <w:rFonts w:ascii="Arial Narrow" w:eastAsia="Calibri" w:hAnsi="Arial Narrow" w:cstheme="minorBidi"/>
                <w:color w:val="000000"/>
                <w:lang w:eastAsia="es-CO"/>
              </w:rPr>
              <w:t>Mini Contrato de Futuro Índice Accionario COLCAP</w:t>
            </w:r>
            <w:r>
              <w:rPr>
                <w:rFonts w:ascii="Arial Narrow" w:eastAsiaTheme="minorHAnsi" w:hAnsi="Arial Narrow" w:cs="Arial"/>
                <w:color w:val="000000"/>
                <w:lang w:val="es-ES" w:eastAsia="es-ES"/>
              </w:rPr>
              <w:t xml:space="preserve"> / Opción sobre la acción Preferencial del Grupo Aval</w:t>
            </w:r>
          </w:p>
        </w:tc>
        <w:tc>
          <w:tcPr>
            <w:tcW w:w="1410" w:type="dxa"/>
            <w:tcBorders>
              <w:top w:val="single" w:sz="4" w:space="0" w:color="auto"/>
              <w:left w:val="single" w:sz="4" w:space="0" w:color="auto"/>
              <w:bottom w:val="single" w:sz="4" w:space="0" w:color="auto"/>
              <w:right w:val="single" w:sz="4" w:space="0" w:color="auto"/>
            </w:tcBorders>
            <w:vAlign w:val="center"/>
            <w:hideMark/>
          </w:tcPr>
          <w:p w14:paraId="085F3FAC" w14:textId="77777777" w:rsidR="007968EC" w:rsidRDefault="007968EC" w:rsidP="007968EC">
            <w:pPr>
              <w:spacing w:line="256" w:lineRule="auto"/>
              <w:ind w:hanging="112"/>
              <w:jc w:val="center"/>
              <w:rPr>
                <w:rFonts w:ascii="Arial Narrow" w:eastAsia="Calibri" w:hAnsi="Arial Narrow" w:cstheme="minorBidi"/>
                <w:color w:val="000000"/>
                <w:lang w:val="pt-BR" w:eastAsia="en-US"/>
              </w:rPr>
            </w:pPr>
            <w:r>
              <w:rPr>
                <w:rFonts w:ascii="Arial Narrow" w:eastAsia="Calibri" w:hAnsi="Arial Narrow" w:cstheme="minorBidi"/>
                <w:color w:val="000000"/>
                <w:lang w:val="pt-BR" w:eastAsia="en-US"/>
              </w:rPr>
              <w:t>0%</w:t>
            </w:r>
          </w:p>
        </w:tc>
      </w:tr>
      <w:tr w:rsidR="007968EC" w14:paraId="4CDB1A15" w14:textId="77777777" w:rsidTr="007968EC">
        <w:trPr>
          <w:trHeight w:val="501"/>
          <w:jc w:val="center"/>
        </w:trPr>
        <w:tc>
          <w:tcPr>
            <w:tcW w:w="1551" w:type="dxa"/>
            <w:tcBorders>
              <w:top w:val="single" w:sz="4" w:space="0" w:color="auto"/>
              <w:left w:val="single" w:sz="4" w:space="0" w:color="auto"/>
              <w:bottom w:val="single" w:sz="4" w:space="0" w:color="auto"/>
              <w:right w:val="single" w:sz="4" w:space="0" w:color="auto"/>
            </w:tcBorders>
            <w:vAlign w:val="center"/>
            <w:hideMark/>
          </w:tcPr>
          <w:p w14:paraId="15E85E76" w14:textId="77777777" w:rsidR="007968EC" w:rsidRDefault="007968EC" w:rsidP="007968EC">
            <w:pPr>
              <w:spacing w:line="256" w:lineRule="auto"/>
              <w:ind w:hanging="112"/>
              <w:jc w:val="center"/>
              <w:rPr>
                <w:rFonts w:ascii="Arial Narrow" w:eastAsia="Calibri" w:hAnsi="Arial Narrow" w:cstheme="minorBidi"/>
                <w:color w:val="000000"/>
                <w:lang w:val="pt-BR" w:eastAsia="en-US"/>
              </w:rPr>
            </w:pPr>
            <w:r>
              <w:rPr>
                <w:rFonts w:ascii="Arial Narrow" w:eastAsia="Calibri" w:hAnsi="Arial Narrow" w:cstheme="minorBidi"/>
                <w:color w:val="000000"/>
                <w:lang w:val="pt-BR" w:eastAsia="en-US"/>
              </w:rPr>
              <w:t>15</w:t>
            </w:r>
          </w:p>
        </w:tc>
        <w:tc>
          <w:tcPr>
            <w:tcW w:w="5498" w:type="dxa"/>
            <w:tcBorders>
              <w:top w:val="single" w:sz="4" w:space="0" w:color="auto"/>
              <w:left w:val="single" w:sz="4" w:space="0" w:color="auto"/>
              <w:bottom w:val="single" w:sz="4" w:space="0" w:color="auto"/>
              <w:right w:val="single" w:sz="4" w:space="0" w:color="auto"/>
            </w:tcBorders>
            <w:vAlign w:val="center"/>
            <w:hideMark/>
          </w:tcPr>
          <w:p w14:paraId="0E7C91DD" w14:textId="77777777" w:rsidR="007968EC" w:rsidRDefault="007968EC" w:rsidP="007968EC">
            <w:pPr>
              <w:spacing w:line="256" w:lineRule="auto"/>
              <w:ind w:hanging="112"/>
              <w:jc w:val="center"/>
              <w:rPr>
                <w:rFonts w:ascii="Arial Narrow" w:eastAsiaTheme="minorHAnsi" w:hAnsi="Arial Narrow" w:cs="Arial"/>
                <w:color w:val="000000"/>
                <w:lang w:val="es-ES" w:eastAsia="es-ES"/>
              </w:rPr>
            </w:pPr>
            <w:r>
              <w:rPr>
                <w:rFonts w:ascii="Arial Narrow" w:eastAsiaTheme="minorHAnsi" w:hAnsi="Arial Narrow" w:cs="Arial"/>
                <w:color w:val="000000"/>
                <w:lang w:val="es-ES" w:eastAsia="es-ES"/>
              </w:rPr>
              <w:t xml:space="preserve">Contratos de Futuros Índice Accionario COLCAP </w:t>
            </w:r>
            <w:r>
              <w:rPr>
                <w:rFonts w:ascii="Arial Narrow" w:eastAsia="Calibri" w:hAnsi="Arial Narrow" w:cstheme="minorBidi"/>
                <w:color w:val="000000"/>
                <w:lang w:eastAsia="en-US"/>
              </w:rPr>
              <w:t xml:space="preserve">y/o </w:t>
            </w:r>
            <w:r>
              <w:rPr>
                <w:rFonts w:ascii="Arial Narrow" w:eastAsia="Calibri" w:hAnsi="Arial Narrow" w:cstheme="minorBidi"/>
                <w:color w:val="000000"/>
                <w:lang w:eastAsia="es-CO"/>
              </w:rPr>
              <w:t>Mini Contrato de Futuro Índice Accionario COLCAP</w:t>
            </w:r>
            <w:r>
              <w:rPr>
                <w:rFonts w:ascii="Arial Narrow" w:eastAsiaTheme="minorHAnsi" w:hAnsi="Arial Narrow" w:cs="Arial"/>
                <w:color w:val="000000"/>
                <w:lang w:val="es-ES" w:eastAsia="es-ES"/>
              </w:rPr>
              <w:t xml:space="preserve"> / Contrato de Futuro sobre Acciones del Índice COLCAP con Liquidación por Diferencias sobre la Acción Ordinaria de Banco de Bogotá</w:t>
            </w:r>
          </w:p>
        </w:tc>
        <w:tc>
          <w:tcPr>
            <w:tcW w:w="1410" w:type="dxa"/>
            <w:tcBorders>
              <w:top w:val="single" w:sz="4" w:space="0" w:color="auto"/>
              <w:left w:val="single" w:sz="4" w:space="0" w:color="auto"/>
              <w:bottom w:val="single" w:sz="4" w:space="0" w:color="auto"/>
              <w:right w:val="single" w:sz="4" w:space="0" w:color="auto"/>
            </w:tcBorders>
            <w:vAlign w:val="center"/>
            <w:hideMark/>
          </w:tcPr>
          <w:p w14:paraId="5BF47937" w14:textId="77777777" w:rsidR="007968EC" w:rsidRDefault="007968EC" w:rsidP="007968EC">
            <w:pPr>
              <w:spacing w:line="256" w:lineRule="auto"/>
              <w:ind w:hanging="112"/>
              <w:jc w:val="center"/>
              <w:rPr>
                <w:rFonts w:ascii="Arial Narrow" w:eastAsia="Calibri" w:hAnsi="Arial Narrow" w:cstheme="minorBidi"/>
                <w:color w:val="000000"/>
                <w:lang w:val="pt-BR" w:eastAsia="en-US"/>
              </w:rPr>
            </w:pPr>
            <w:r>
              <w:rPr>
                <w:rFonts w:ascii="Arial Narrow" w:eastAsia="Calibri" w:hAnsi="Arial Narrow" w:cstheme="minorBidi"/>
                <w:color w:val="000000"/>
                <w:lang w:val="pt-BR" w:eastAsia="en-US"/>
              </w:rPr>
              <w:t>25%</w:t>
            </w:r>
          </w:p>
        </w:tc>
      </w:tr>
      <w:tr w:rsidR="007968EC" w14:paraId="49C72C75" w14:textId="77777777" w:rsidTr="007968EC">
        <w:trPr>
          <w:trHeight w:val="501"/>
          <w:jc w:val="center"/>
        </w:trPr>
        <w:tc>
          <w:tcPr>
            <w:tcW w:w="1551" w:type="dxa"/>
            <w:tcBorders>
              <w:top w:val="single" w:sz="4" w:space="0" w:color="auto"/>
              <w:left w:val="single" w:sz="4" w:space="0" w:color="auto"/>
              <w:bottom w:val="single" w:sz="4" w:space="0" w:color="auto"/>
              <w:right w:val="single" w:sz="4" w:space="0" w:color="auto"/>
            </w:tcBorders>
            <w:vAlign w:val="center"/>
            <w:hideMark/>
          </w:tcPr>
          <w:p w14:paraId="0C846F13" w14:textId="77777777" w:rsidR="007968EC" w:rsidRDefault="007968EC" w:rsidP="007968EC">
            <w:pPr>
              <w:spacing w:line="256" w:lineRule="auto"/>
              <w:ind w:hanging="112"/>
              <w:jc w:val="center"/>
              <w:rPr>
                <w:rFonts w:ascii="Arial Narrow" w:eastAsia="Calibri" w:hAnsi="Arial Narrow" w:cstheme="minorBidi"/>
                <w:color w:val="000000"/>
                <w:lang w:val="pt-BR" w:eastAsia="en-US"/>
              </w:rPr>
            </w:pPr>
            <w:r>
              <w:rPr>
                <w:rFonts w:ascii="Arial Narrow" w:eastAsia="Calibri" w:hAnsi="Arial Narrow" w:cstheme="minorBidi"/>
                <w:color w:val="000000"/>
                <w:lang w:val="pt-BR" w:eastAsia="en-US"/>
              </w:rPr>
              <w:t>16</w:t>
            </w:r>
          </w:p>
        </w:tc>
        <w:tc>
          <w:tcPr>
            <w:tcW w:w="5498" w:type="dxa"/>
            <w:tcBorders>
              <w:top w:val="single" w:sz="4" w:space="0" w:color="auto"/>
              <w:left w:val="single" w:sz="4" w:space="0" w:color="auto"/>
              <w:bottom w:val="single" w:sz="4" w:space="0" w:color="auto"/>
              <w:right w:val="single" w:sz="4" w:space="0" w:color="auto"/>
            </w:tcBorders>
            <w:vAlign w:val="center"/>
            <w:hideMark/>
          </w:tcPr>
          <w:p w14:paraId="4FA5DE67" w14:textId="77777777" w:rsidR="007968EC" w:rsidRDefault="007968EC" w:rsidP="007968EC">
            <w:pPr>
              <w:spacing w:line="256" w:lineRule="auto"/>
              <w:ind w:hanging="112"/>
              <w:jc w:val="center"/>
              <w:rPr>
                <w:rFonts w:ascii="Arial Narrow" w:eastAsiaTheme="minorHAnsi" w:hAnsi="Arial Narrow" w:cs="Arial"/>
                <w:color w:val="000000"/>
                <w:lang w:val="es-ES" w:eastAsia="es-ES"/>
              </w:rPr>
            </w:pPr>
            <w:r>
              <w:rPr>
                <w:rFonts w:ascii="Arial Narrow" w:eastAsiaTheme="minorHAnsi" w:hAnsi="Arial Narrow" w:cs="Arial"/>
                <w:color w:val="000000"/>
                <w:lang w:val="es-ES" w:eastAsia="es-ES"/>
              </w:rPr>
              <w:t xml:space="preserve">Contratos de Futuros Índice Accionario COLCAP </w:t>
            </w:r>
            <w:r>
              <w:rPr>
                <w:rFonts w:ascii="Arial Narrow" w:eastAsia="Calibri" w:hAnsi="Arial Narrow" w:cstheme="minorBidi"/>
                <w:color w:val="000000"/>
                <w:lang w:eastAsia="en-US"/>
              </w:rPr>
              <w:t xml:space="preserve">y/o </w:t>
            </w:r>
            <w:r>
              <w:rPr>
                <w:rFonts w:ascii="Arial Narrow" w:eastAsia="Calibri" w:hAnsi="Arial Narrow" w:cstheme="minorBidi"/>
                <w:color w:val="000000"/>
                <w:lang w:eastAsia="es-CO"/>
              </w:rPr>
              <w:t>Mini Contrato de Futuro Índice Accionario COLCAP</w:t>
            </w:r>
            <w:r>
              <w:rPr>
                <w:rFonts w:ascii="Arial Narrow" w:eastAsiaTheme="minorHAnsi" w:hAnsi="Arial Narrow" w:cs="Arial"/>
                <w:color w:val="000000"/>
                <w:lang w:val="es-ES" w:eastAsia="es-ES"/>
              </w:rPr>
              <w:t xml:space="preserve"> / Contrato de Futuro sobre Acciones del Índice COLCAP con Liquidación por Diferencias sobre la acción Ordinaria Celsia</w:t>
            </w:r>
          </w:p>
        </w:tc>
        <w:tc>
          <w:tcPr>
            <w:tcW w:w="1410" w:type="dxa"/>
            <w:tcBorders>
              <w:top w:val="single" w:sz="4" w:space="0" w:color="auto"/>
              <w:left w:val="single" w:sz="4" w:space="0" w:color="auto"/>
              <w:bottom w:val="single" w:sz="4" w:space="0" w:color="auto"/>
              <w:right w:val="single" w:sz="4" w:space="0" w:color="auto"/>
            </w:tcBorders>
            <w:vAlign w:val="center"/>
            <w:hideMark/>
          </w:tcPr>
          <w:p w14:paraId="2951FF98" w14:textId="77777777" w:rsidR="007968EC" w:rsidRDefault="007968EC" w:rsidP="007968EC">
            <w:pPr>
              <w:spacing w:line="256" w:lineRule="auto"/>
              <w:ind w:hanging="112"/>
              <w:jc w:val="center"/>
              <w:rPr>
                <w:rFonts w:ascii="Arial Narrow" w:eastAsia="Calibri" w:hAnsi="Arial Narrow" w:cstheme="minorBidi"/>
                <w:color w:val="000000"/>
                <w:lang w:val="pt-BR" w:eastAsia="en-US"/>
              </w:rPr>
            </w:pPr>
            <w:r>
              <w:rPr>
                <w:rFonts w:ascii="Arial Narrow" w:eastAsia="Calibri" w:hAnsi="Arial Narrow" w:cstheme="minorBidi"/>
                <w:color w:val="000000"/>
                <w:lang w:val="pt-BR" w:eastAsia="en-US"/>
              </w:rPr>
              <w:t>0%</w:t>
            </w:r>
          </w:p>
        </w:tc>
      </w:tr>
      <w:tr w:rsidR="007968EC" w14:paraId="51E1A673" w14:textId="77777777" w:rsidTr="007968EC">
        <w:trPr>
          <w:trHeight w:val="501"/>
          <w:jc w:val="center"/>
        </w:trPr>
        <w:tc>
          <w:tcPr>
            <w:tcW w:w="1551" w:type="dxa"/>
            <w:tcBorders>
              <w:top w:val="single" w:sz="4" w:space="0" w:color="auto"/>
              <w:left w:val="single" w:sz="4" w:space="0" w:color="auto"/>
              <w:bottom w:val="single" w:sz="4" w:space="0" w:color="auto"/>
              <w:right w:val="single" w:sz="4" w:space="0" w:color="auto"/>
            </w:tcBorders>
            <w:vAlign w:val="center"/>
            <w:hideMark/>
          </w:tcPr>
          <w:p w14:paraId="79014DDB" w14:textId="77777777" w:rsidR="007968EC" w:rsidRDefault="007968EC" w:rsidP="007968EC">
            <w:pPr>
              <w:spacing w:line="256" w:lineRule="auto"/>
              <w:ind w:hanging="112"/>
              <w:jc w:val="center"/>
              <w:rPr>
                <w:rFonts w:ascii="Arial Narrow" w:eastAsia="Calibri" w:hAnsi="Arial Narrow" w:cstheme="minorBidi"/>
                <w:color w:val="000000"/>
                <w:lang w:val="pt-BR" w:eastAsia="en-US"/>
              </w:rPr>
            </w:pPr>
            <w:r>
              <w:rPr>
                <w:rFonts w:ascii="Arial Narrow" w:eastAsia="Calibri" w:hAnsi="Arial Narrow" w:cstheme="minorBidi"/>
                <w:color w:val="000000"/>
                <w:lang w:val="pt-BR" w:eastAsia="en-US"/>
              </w:rPr>
              <w:t>17</w:t>
            </w:r>
          </w:p>
        </w:tc>
        <w:tc>
          <w:tcPr>
            <w:tcW w:w="5498" w:type="dxa"/>
            <w:tcBorders>
              <w:top w:val="single" w:sz="4" w:space="0" w:color="auto"/>
              <w:left w:val="single" w:sz="4" w:space="0" w:color="auto"/>
              <w:bottom w:val="single" w:sz="4" w:space="0" w:color="auto"/>
              <w:right w:val="single" w:sz="4" w:space="0" w:color="auto"/>
            </w:tcBorders>
            <w:vAlign w:val="center"/>
            <w:hideMark/>
          </w:tcPr>
          <w:p w14:paraId="4214C418" w14:textId="77777777" w:rsidR="007968EC" w:rsidRDefault="007968EC" w:rsidP="007968EC">
            <w:pPr>
              <w:spacing w:line="256" w:lineRule="auto"/>
              <w:ind w:hanging="112"/>
              <w:jc w:val="center"/>
              <w:rPr>
                <w:rFonts w:ascii="Arial Narrow" w:eastAsiaTheme="minorHAnsi" w:hAnsi="Arial Narrow" w:cs="Arial"/>
                <w:color w:val="000000"/>
                <w:lang w:val="es-ES" w:eastAsia="es-ES"/>
              </w:rPr>
            </w:pPr>
            <w:r>
              <w:rPr>
                <w:rFonts w:ascii="Arial Narrow" w:eastAsiaTheme="minorHAnsi" w:hAnsi="Arial Narrow" w:cs="Arial"/>
                <w:color w:val="000000"/>
                <w:lang w:val="es-ES" w:eastAsia="es-ES"/>
              </w:rPr>
              <w:t xml:space="preserve">Contratos de Futuros Índice Accionario COLCAP </w:t>
            </w:r>
            <w:r>
              <w:rPr>
                <w:rFonts w:ascii="Arial Narrow" w:eastAsia="Calibri" w:hAnsi="Arial Narrow" w:cstheme="minorBidi"/>
                <w:color w:val="000000"/>
                <w:lang w:eastAsia="en-US"/>
              </w:rPr>
              <w:t xml:space="preserve">y/o </w:t>
            </w:r>
            <w:r>
              <w:rPr>
                <w:rFonts w:ascii="Arial Narrow" w:eastAsia="Calibri" w:hAnsi="Arial Narrow" w:cstheme="minorBidi"/>
                <w:color w:val="000000"/>
                <w:lang w:eastAsia="es-CO"/>
              </w:rPr>
              <w:t>Mini Contrato de Futuro Índice Accionario COLCAP</w:t>
            </w:r>
            <w:r>
              <w:rPr>
                <w:rFonts w:ascii="Arial Narrow" w:eastAsiaTheme="minorHAnsi" w:hAnsi="Arial Narrow" w:cs="Arial"/>
                <w:color w:val="000000"/>
                <w:lang w:val="es-ES" w:eastAsia="es-ES"/>
              </w:rPr>
              <w:t xml:space="preserve"> / Contrato de Futuro sobre Acciones del Índice COLCAP con Liquidación por Diferencias sobre la acción Ordinaria del Grupo De Energía De Bogotá</w:t>
            </w:r>
          </w:p>
        </w:tc>
        <w:tc>
          <w:tcPr>
            <w:tcW w:w="1410" w:type="dxa"/>
            <w:tcBorders>
              <w:top w:val="single" w:sz="4" w:space="0" w:color="auto"/>
              <w:left w:val="single" w:sz="4" w:space="0" w:color="auto"/>
              <w:bottom w:val="single" w:sz="4" w:space="0" w:color="auto"/>
              <w:right w:val="single" w:sz="4" w:space="0" w:color="auto"/>
            </w:tcBorders>
            <w:vAlign w:val="center"/>
            <w:hideMark/>
          </w:tcPr>
          <w:p w14:paraId="31B3982C" w14:textId="77777777" w:rsidR="007968EC" w:rsidRDefault="007968EC" w:rsidP="007968EC">
            <w:pPr>
              <w:spacing w:line="256" w:lineRule="auto"/>
              <w:ind w:hanging="112"/>
              <w:jc w:val="center"/>
              <w:rPr>
                <w:rFonts w:ascii="Arial Narrow" w:eastAsia="Calibri" w:hAnsi="Arial Narrow" w:cstheme="minorBidi"/>
                <w:color w:val="000000"/>
                <w:lang w:val="pt-BR" w:eastAsia="en-US"/>
              </w:rPr>
            </w:pPr>
            <w:r>
              <w:rPr>
                <w:rFonts w:ascii="Arial Narrow" w:eastAsia="Calibri" w:hAnsi="Arial Narrow" w:cstheme="minorBidi"/>
                <w:color w:val="000000"/>
                <w:lang w:val="pt-BR" w:eastAsia="en-US"/>
              </w:rPr>
              <w:t>0%</w:t>
            </w:r>
          </w:p>
        </w:tc>
      </w:tr>
      <w:tr w:rsidR="007968EC" w14:paraId="067DFD5C" w14:textId="77777777" w:rsidTr="007968EC">
        <w:trPr>
          <w:trHeight w:val="501"/>
          <w:jc w:val="center"/>
        </w:trPr>
        <w:tc>
          <w:tcPr>
            <w:tcW w:w="1551" w:type="dxa"/>
            <w:tcBorders>
              <w:top w:val="single" w:sz="4" w:space="0" w:color="auto"/>
              <w:left w:val="single" w:sz="4" w:space="0" w:color="auto"/>
              <w:bottom w:val="single" w:sz="4" w:space="0" w:color="auto"/>
              <w:right w:val="single" w:sz="4" w:space="0" w:color="auto"/>
            </w:tcBorders>
            <w:vAlign w:val="center"/>
            <w:hideMark/>
          </w:tcPr>
          <w:p w14:paraId="58BB7B25" w14:textId="77777777" w:rsidR="007968EC" w:rsidRDefault="007968EC" w:rsidP="007968EC">
            <w:pPr>
              <w:spacing w:line="256" w:lineRule="auto"/>
              <w:ind w:hanging="112"/>
              <w:jc w:val="center"/>
              <w:rPr>
                <w:rFonts w:ascii="Arial Narrow" w:eastAsia="Calibri" w:hAnsi="Arial Narrow" w:cstheme="minorBidi"/>
                <w:color w:val="000000"/>
                <w:lang w:val="pt-BR" w:eastAsia="en-US"/>
              </w:rPr>
            </w:pPr>
            <w:r>
              <w:rPr>
                <w:rFonts w:ascii="Arial Narrow" w:eastAsia="Calibri" w:hAnsi="Arial Narrow" w:cstheme="minorBidi"/>
                <w:color w:val="000000"/>
                <w:lang w:val="pt-BR" w:eastAsia="en-US"/>
              </w:rPr>
              <w:t>18</w:t>
            </w:r>
          </w:p>
        </w:tc>
        <w:tc>
          <w:tcPr>
            <w:tcW w:w="5498" w:type="dxa"/>
            <w:tcBorders>
              <w:top w:val="single" w:sz="4" w:space="0" w:color="auto"/>
              <w:left w:val="single" w:sz="4" w:space="0" w:color="auto"/>
              <w:bottom w:val="single" w:sz="4" w:space="0" w:color="auto"/>
              <w:right w:val="single" w:sz="4" w:space="0" w:color="auto"/>
            </w:tcBorders>
            <w:vAlign w:val="center"/>
            <w:hideMark/>
          </w:tcPr>
          <w:p w14:paraId="2B700D77" w14:textId="77777777" w:rsidR="007968EC" w:rsidRDefault="007968EC" w:rsidP="007968EC">
            <w:pPr>
              <w:spacing w:line="256" w:lineRule="auto"/>
              <w:ind w:hanging="112"/>
              <w:jc w:val="center"/>
              <w:rPr>
                <w:rFonts w:ascii="Arial Narrow" w:eastAsiaTheme="minorHAnsi" w:hAnsi="Arial Narrow" w:cs="Arial"/>
                <w:color w:val="000000"/>
                <w:lang w:val="es-ES" w:eastAsia="es-ES"/>
              </w:rPr>
            </w:pPr>
            <w:r>
              <w:rPr>
                <w:rFonts w:ascii="Arial Narrow" w:eastAsiaTheme="minorHAnsi" w:hAnsi="Arial Narrow" w:cs="Arial"/>
                <w:color w:val="000000"/>
                <w:lang w:val="es-ES" w:eastAsia="es-ES"/>
              </w:rPr>
              <w:t xml:space="preserve">Contratos de Futuros Índice Accionario COLCAP </w:t>
            </w:r>
            <w:r>
              <w:rPr>
                <w:rFonts w:ascii="Arial Narrow" w:eastAsia="Calibri" w:hAnsi="Arial Narrow" w:cstheme="minorBidi"/>
                <w:color w:val="000000"/>
                <w:lang w:eastAsia="en-US"/>
              </w:rPr>
              <w:t xml:space="preserve">y/o </w:t>
            </w:r>
            <w:r>
              <w:rPr>
                <w:rFonts w:ascii="Arial Narrow" w:eastAsia="Calibri" w:hAnsi="Arial Narrow" w:cstheme="minorBidi"/>
                <w:color w:val="000000"/>
                <w:lang w:eastAsia="es-CO"/>
              </w:rPr>
              <w:t>Mini Contrato de Futuro Índice Accionario COLCAP</w:t>
            </w:r>
            <w:r>
              <w:rPr>
                <w:rFonts w:ascii="Arial Narrow" w:eastAsiaTheme="minorHAnsi" w:hAnsi="Arial Narrow" w:cs="Arial"/>
                <w:color w:val="000000"/>
                <w:lang w:val="es-ES" w:eastAsia="es-ES"/>
              </w:rPr>
              <w:t xml:space="preserve"> / Contrato de Futuro sobre Acciones del Índice COLCAP con Liquidación por Entrega de la Acción Ordinaria de Corficolombiana</w:t>
            </w:r>
          </w:p>
        </w:tc>
        <w:tc>
          <w:tcPr>
            <w:tcW w:w="1410" w:type="dxa"/>
            <w:tcBorders>
              <w:top w:val="single" w:sz="4" w:space="0" w:color="auto"/>
              <w:left w:val="single" w:sz="4" w:space="0" w:color="auto"/>
              <w:bottom w:val="single" w:sz="4" w:space="0" w:color="auto"/>
              <w:right w:val="single" w:sz="4" w:space="0" w:color="auto"/>
            </w:tcBorders>
            <w:vAlign w:val="center"/>
            <w:hideMark/>
          </w:tcPr>
          <w:p w14:paraId="04C14B9A" w14:textId="77777777" w:rsidR="007968EC" w:rsidRDefault="007968EC" w:rsidP="007968EC">
            <w:pPr>
              <w:spacing w:line="256" w:lineRule="auto"/>
              <w:ind w:hanging="112"/>
              <w:jc w:val="center"/>
              <w:rPr>
                <w:rFonts w:ascii="Arial Narrow" w:eastAsia="Calibri" w:hAnsi="Arial Narrow" w:cstheme="minorBidi"/>
                <w:color w:val="000000"/>
                <w:lang w:val="pt-BR" w:eastAsia="en-US"/>
              </w:rPr>
            </w:pPr>
            <w:r>
              <w:rPr>
                <w:rFonts w:ascii="Arial Narrow" w:eastAsia="Calibri" w:hAnsi="Arial Narrow" w:cstheme="minorBidi"/>
                <w:color w:val="000000"/>
                <w:lang w:val="pt-BR" w:eastAsia="en-US"/>
              </w:rPr>
              <w:t>0%</w:t>
            </w:r>
          </w:p>
        </w:tc>
      </w:tr>
      <w:tr w:rsidR="007968EC" w14:paraId="23473539" w14:textId="77777777" w:rsidTr="007968EC">
        <w:trPr>
          <w:trHeight w:val="501"/>
          <w:jc w:val="center"/>
        </w:trPr>
        <w:tc>
          <w:tcPr>
            <w:tcW w:w="1551" w:type="dxa"/>
            <w:tcBorders>
              <w:top w:val="single" w:sz="4" w:space="0" w:color="auto"/>
              <w:left w:val="single" w:sz="4" w:space="0" w:color="auto"/>
              <w:bottom w:val="single" w:sz="4" w:space="0" w:color="auto"/>
              <w:right w:val="single" w:sz="4" w:space="0" w:color="auto"/>
            </w:tcBorders>
            <w:vAlign w:val="center"/>
            <w:hideMark/>
          </w:tcPr>
          <w:p w14:paraId="2A6D5E8E" w14:textId="77777777" w:rsidR="007968EC" w:rsidRDefault="007968EC" w:rsidP="007968EC">
            <w:pPr>
              <w:spacing w:line="256" w:lineRule="auto"/>
              <w:ind w:hanging="112"/>
              <w:jc w:val="center"/>
              <w:rPr>
                <w:rFonts w:ascii="Arial Narrow" w:eastAsia="Calibri" w:hAnsi="Arial Narrow" w:cstheme="minorBidi"/>
                <w:color w:val="000000"/>
                <w:lang w:val="pt-BR" w:eastAsia="en-US"/>
              </w:rPr>
            </w:pPr>
            <w:r>
              <w:rPr>
                <w:rFonts w:ascii="Arial Narrow" w:eastAsia="Calibri" w:hAnsi="Arial Narrow" w:cstheme="minorBidi"/>
                <w:color w:val="000000"/>
                <w:lang w:val="pt-BR" w:eastAsia="en-US"/>
              </w:rPr>
              <w:t>19</w:t>
            </w:r>
          </w:p>
        </w:tc>
        <w:tc>
          <w:tcPr>
            <w:tcW w:w="5498" w:type="dxa"/>
            <w:tcBorders>
              <w:top w:val="single" w:sz="4" w:space="0" w:color="auto"/>
              <w:left w:val="single" w:sz="4" w:space="0" w:color="auto"/>
              <w:bottom w:val="single" w:sz="4" w:space="0" w:color="auto"/>
              <w:right w:val="single" w:sz="4" w:space="0" w:color="auto"/>
            </w:tcBorders>
            <w:vAlign w:val="center"/>
            <w:hideMark/>
          </w:tcPr>
          <w:p w14:paraId="40D146E7" w14:textId="77777777" w:rsidR="007968EC" w:rsidRDefault="007968EC" w:rsidP="007968EC">
            <w:pPr>
              <w:spacing w:line="256" w:lineRule="auto"/>
              <w:ind w:hanging="112"/>
              <w:jc w:val="center"/>
              <w:rPr>
                <w:rFonts w:ascii="Arial Narrow" w:eastAsiaTheme="minorHAnsi" w:hAnsi="Arial Narrow" w:cs="Arial"/>
                <w:color w:val="000000"/>
                <w:lang w:val="es-ES" w:eastAsia="es-ES"/>
              </w:rPr>
            </w:pPr>
            <w:r>
              <w:rPr>
                <w:rFonts w:ascii="Arial Narrow" w:eastAsiaTheme="minorHAnsi" w:hAnsi="Arial Narrow" w:cs="Arial"/>
                <w:color w:val="000000"/>
                <w:lang w:val="es-ES" w:eastAsia="es-ES"/>
              </w:rPr>
              <w:t xml:space="preserve">Contratos de Futuros Índice Accionario COLCAP </w:t>
            </w:r>
            <w:r>
              <w:rPr>
                <w:rFonts w:ascii="Arial Narrow" w:eastAsia="Calibri" w:hAnsi="Arial Narrow" w:cstheme="minorBidi"/>
                <w:color w:val="000000"/>
                <w:lang w:eastAsia="en-US"/>
              </w:rPr>
              <w:t xml:space="preserve">y/o </w:t>
            </w:r>
            <w:r>
              <w:rPr>
                <w:rFonts w:ascii="Arial Narrow" w:eastAsia="Calibri" w:hAnsi="Arial Narrow" w:cstheme="minorBidi"/>
                <w:color w:val="000000"/>
                <w:lang w:eastAsia="es-CO"/>
              </w:rPr>
              <w:t>Mini Contrato de Futuro Índice Accionario COLCAP</w:t>
            </w:r>
            <w:r>
              <w:rPr>
                <w:rFonts w:ascii="Arial Narrow" w:eastAsiaTheme="minorHAnsi" w:hAnsi="Arial Narrow" w:cs="Arial"/>
                <w:color w:val="000000"/>
                <w:lang w:val="es-ES" w:eastAsia="es-ES"/>
              </w:rPr>
              <w:t xml:space="preserve"> / Contrato de Futuro sobre Acciones del Índice COLCAP con Liquidación por Entrega de la Acción Preferencial Grupo Argos</w:t>
            </w:r>
          </w:p>
        </w:tc>
        <w:tc>
          <w:tcPr>
            <w:tcW w:w="1410" w:type="dxa"/>
            <w:tcBorders>
              <w:top w:val="single" w:sz="4" w:space="0" w:color="auto"/>
              <w:left w:val="single" w:sz="4" w:space="0" w:color="auto"/>
              <w:bottom w:val="single" w:sz="4" w:space="0" w:color="auto"/>
              <w:right w:val="single" w:sz="4" w:space="0" w:color="auto"/>
            </w:tcBorders>
            <w:vAlign w:val="center"/>
            <w:hideMark/>
          </w:tcPr>
          <w:p w14:paraId="3799D32D" w14:textId="77777777" w:rsidR="007968EC" w:rsidRDefault="007968EC" w:rsidP="007968EC">
            <w:pPr>
              <w:spacing w:line="256" w:lineRule="auto"/>
              <w:ind w:hanging="112"/>
              <w:jc w:val="center"/>
              <w:rPr>
                <w:rFonts w:ascii="Arial Narrow" w:eastAsia="Calibri" w:hAnsi="Arial Narrow" w:cstheme="minorBidi"/>
                <w:color w:val="000000"/>
                <w:lang w:val="pt-BR" w:eastAsia="en-US"/>
              </w:rPr>
            </w:pPr>
            <w:r>
              <w:rPr>
                <w:rFonts w:ascii="Arial Narrow" w:eastAsia="Calibri" w:hAnsi="Arial Narrow" w:cstheme="minorBidi"/>
                <w:color w:val="000000"/>
                <w:lang w:val="pt-BR" w:eastAsia="en-US"/>
              </w:rPr>
              <w:t>0%</w:t>
            </w:r>
          </w:p>
        </w:tc>
      </w:tr>
      <w:tr w:rsidR="007968EC" w14:paraId="245B50E3" w14:textId="77777777" w:rsidTr="007968EC">
        <w:trPr>
          <w:trHeight w:val="501"/>
          <w:jc w:val="center"/>
        </w:trPr>
        <w:tc>
          <w:tcPr>
            <w:tcW w:w="1551" w:type="dxa"/>
            <w:tcBorders>
              <w:top w:val="single" w:sz="4" w:space="0" w:color="auto"/>
              <w:left w:val="single" w:sz="4" w:space="0" w:color="auto"/>
              <w:bottom w:val="single" w:sz="4" w:space="0" w:color="auto"/>
              <w:right w:val="single" w:sz="4" w:space="0" w:color="auto"/>
            </w:tcBorders>
            <w:vAlign w:val="center"/>
            <w:hideMark/>
          </w:tcPr>
          <w:p w14:paraId="7DD1974E" w14:textId="77777777" w:rsidR="007968EC" w:rsidRDefault="007968EC" w:rsidP="007968EC">
            <w:pPr>
              <w:spacing w:line="256" w:lineRule="auto"/>
              <w:ind w:hanging="112"/>
              <w:jc w:val="center"/>
              <w:rPr>
                <w:rFonts w:ascii="Arial Narrow" w:eastAsia="Calibri" w:hAnsi="Arial Narrow" w:cstheme="minorBidi"/>
                <w:color w:val="000000"/>
                <w:lang w:val="pt-BR" w:eastAsia="en-US"/>
              </w:rPr>
            </w:pPr>
            <w:r>
              <w:rPr>
                <w:rFonts w:ascii="Arial Narrow" w:eastAsia="Calibri" w:hAnsi="Arial Narrow" w:cstheme="minorBidi"/>
                <w:color w:val="000000"/>
                <w:lang w:val="pt-BR" w:eastAsia="en-US"/>
              </w:rPr>
              <w:t>20</w:t>
            </w:r>
          </w:p>
        </w:tc>
        <w:tc>
          <w:tcPr>
            <w:tcW w:w="5498" w:type="dxa"/>
            <w:tcBorders>
              <w:top w:val="single" w:sz="4" w:space="0" w:color="auto"/>
              <w:left w:val="single" w:sz="4" w:space="0" w:color="auto"/>
              <w:bottom w:val="single" w:sz="4" w:space="0" w:color="auto"/>
              <w:right w:val="single" w:sz="4" w:space="0" w:color="auto"/>
            </w:tcBorders>
            <w:vAlign w:val="center"/>
            <w:hideMark/>
          </w:tcPr>
          <w:p w14:paraId="6CA6961A" w14:textId="77777777" w:rsidR="007968EC" w:rsidRDefault="007968EC" w:rsidP="007968EC">
            <w:pPr>
              <w:spacing w:line="256" w:lineRule="auto"/>
              <w:ind w:hanging="112"/>
              <w:jc w:val="center"/>
              <w:rPr>
                <w:rFonts w:ascii="Arial Narrow" w:eastAsiaTheme="minorHAnsi" w:hAnsi="Arial Narrow" w:cs="Arial"/>
                <w:color w:val="000000"/>
                <w:lang w:val="es-ES" w:eastAsia="es-ES"/>
              </w:rPr>
            </w:pPr>
            <w:r>
              <w:rPr>
                <w:rFonts w:ascii="Arial Narrow" w:eastAsiaTheme="minorHAnsi" w:hAnsi="Arial Narrow" w:cs="Arial"/>
                <w:color w:val="000000"/>
                <w:lang w:val="es-ES" w:eastAsia="es-ES"/>
              </w:rPr>
              <w:t xml:space="preserve">Contratos de Futuros Índice Accionario COLCAP </w:t>
            </w:r>
            <w:r>
              <w:rPr>
                <w:rFonts w:ascii="Arial Narrow" w:eastAsia="Calibri" w:hAnsi="Arial Narrow" w:cstheme="minorBidi"/>
                <w:color w:val="000000"/>
                <w:lang w:eastAsia="en-US"/>
              </w:rPr>
              <w:t xml:space="preserve">y/o </w:t>
            </w:r>
            <w:r>
              <w:rPr>
                <w:rFonts w:ascii="Arial Narrow" w:eastAsia="Calibri" w:hAnsi="Arial Narrow" w:cstheme="minorBidi"/>
                <w:color w:val="000000"/>
                <w:lang w:eastAsia="es-CO"/>
              </w:rPr>
              <w:t>Mini Contrato de Futuro Índice Accionario COLCAP</w:t>
            </w:r>
            <w:r>
              <w:rPr>
                <w:rFonts w:ascii="Arial Narrow" w:eastAsiaTheme="minorHAnsi" w:hAnsi="Arial Narrow" w:cs="Arial"/>
                <w:color w:val="000000"/>
                <w:lang w:val="es-ES" w:eastAsia="es-ES"/>
              </w:rPr>
              <w:t xml:space="preserve"> / Contrato de Futuro sobre Acciones del Índice COLCAP con Liquidación por Entrega de la Acción Preferencial Davivienda</w:t>
            </w:r>
          </w:p>
        </w:tc>
        <w:tc>
          <w:tcPr>
            <w:tcW w:w="1410" w:type="dxa"/>
            <w:tcBorders>
              <w:top w:val="single" w:sz="4" w:space="0" w:color="auto"/>
              <w:left w:val="single" w:sz="4" w:space="0" w:color="auto"/>
              <w:bottom w:val="single" w:sz="4" w:space="0" w:color="auto"/>
              <w:right w:val="single" w:sz="4" w:space="0" w:color="auto"/>
            </w:tcBorders>
            <w:vAlign w:val="center"/>
            <w:hideMark/>
          </w:tcPr>
          <w:p w14:paraId="4DD94C92" w14:textId="77777777" w:rsidR="007968EC" w:rsidRDefault="007968EC" w:rsidP="007968EC">
            <w:pPr>
              <w:spacing w:line="256" w:lineRule="auto"/>
              <w:ind w:hanging="112"/>
              <w:jc w:val="center"/>
              <w:rPr>
                <w:rFonts w:ascii="Arial Narrow" w:eastAsia="Calibri" w:hAnsi="Arial Narrow" w:cstheme="minorBidi"/>
                <w:color w:val="000000"/>
                <w:lang w:val="pt-BR" w:eastAsia="en-US"/>
              </w:rPr>
            </w:pPr>
            <w:r>
              <w:rPr>
                <w:rFonts w:ascii="Arial Narrow" w:eastAsia="Calibri" w:hAnsi="Arial Narrow" w:cstheme="minorBidi"/>
                <w:color w:val="000000"/>
                <w:lang w:val="pt-BR" w:eastAsia="en-US"/>
              </w:rPr>
              <w:t>0%</w:t>
            </w:r>
          </w:p>
        </w:tc>
      </w:tr>
      <w:tr w:rsidR="007968EC" w14:paraId="613775DE" w14:textId="77777777" w:rsidTr="007968EC">
        <w:trPr>
          <w:trHeight w:val="501"/>
          <w:jc w:val="center"/>
        </w:trPr>
        <w:tc>
          <w:tcPr>
            <w:tcW w:w="1551" w:type="dxa"/>
            <w:tcBorders>
              <w:top w:val="single" w:sz="4" w:space="0" w:color="auto"/>
              <w:left w:val="single" w:sz="4" w:space="0" w:color="auto"/>
              <w:bottom w:val="single" w:sz="4" w:space="0" w:color="auto"/>
              <w:right w:val="single" w:sz="4" w:space="0" w:color="auto"/>
            </w:tcBorders>
            <w:vAlign w:val="center"/>
            <w:hideMark/>
          </w:tcPr>
          <w:p w14:paraId="5E3AD1C1" w14:textId="77777777" w:rsidR="007968EC" w:rsidRDefault="007968EC" w:rsidP="007968EC">
            <w:pPr>
              <w:spacing w:line="256" w:lineRule="auto"/>
              <w:ind w:hanging="112"/>
              <w:jc w:val="center"/>
              <w:rPr>
                <w:rFonts w:ascii="Arial Narrow" w:eastAsia="Calibri" w:hAnsi="Arial Narrow" w:cstheme="minorBidi"/>
                <w:color w:val="000000"/>
                <w:lang w:val="pt-BR" w:eastAsia="en-US"/>
              </w:rPr>
            </w:pPr>
            <w:r>
              <w:rPr>
                <w:rFonts w:ascii="Arial Narrow" w:eastAsia="Calibri" w:hAnsi="Arial Narrow" w:cstheme="minorBidi"/>
                <w:color w:val="000000"/>
                <w:lang w:val="pt-BR" w:eastAsia="en-US"/>
              </w:rPr>
              <w:t>21</w:t>
            </w:r>
          </w:p>
        </w:tc>
        <w:tc>
          <w:tcPr>
            <w:tcW w:w="5498" w:type="dxa"/>
            <w:tcBorders>
              <w:top w:val="single" w:sz="4" w:space="0" w:color="auto"/>
              <w:left w:val="single" w:sz="4" w:space="0" w:color="auto"/>
              <w:bottom w:val="single" w:sz="4" w:space="0" w:color="auto"/>
              <w:right w:val="single" w:sz="4" w:space="0" w:color="auto"/>
            </w:tcBorders>
            <w:vAlign w:val="center"/>
            <w:hideMark/>
          </w:tcPr>
          <w:p w14:paraId="118DC949" w14:textId="77777777" w:rsidR="007968EC" w:rsidRDefault="007968EC" w:rsidP="007968EC">
            <w:pPr>
              <w:spacing w:line="256" w:lineRule="auto"/>
              <w:ind w:hanging="112"/>
              <w:jc w:val="center"/>
              <w:rPr>
                <w:rFonts w:ascii="Arial Narrow" w:eastAsiaTheme="minorHAnsi" w:hAnsi="Arial Narrow" w:cs="Arial"/>
                <w:color w:val="000000"/>
                <w:lang w:val="es-ES" w:eastAsia="es-ES"/>
              </w:rPr>
            </w:pPr>
            <w:r>
              <w:rPr>
                <w:rFonts w:ascii="Arial Narrow" w:eastAsiaTheme="minorHAnsi" w:hAnsi="Arial Narrow" w:cs="Arial"/>
                <w:color w:val="000000"/>
                <w:lang w:val="es-ES" w:eastAsia="es-ES"/>
              </w:rPr>
              <w:t xml:space="preserve">Contratos de Futuros Índice Accionario COLCAP </w:t>
            </w:r>
            <w:r>
              <w:rPr>
                <w:rFonts w:ascii="Arial Narrow" w:eastAsia="Calibri" w:hAnsi="Arial Narrow" w:cstheme="minorBidi"/>
                <w:color w:val="000000"/>
                <w:lang w:eastAsia="en-US"/>
              </w:rPr>
              <w:t xml:space="preserve">y/o </w:t>
            </w:r>
            <w:r>
              <w:rPr>
                <w:rFonts w:ascii="Arial Narrow" w:eastAsia="Calibri" w:hAnsi="Arial Narrow" w:cstheme="minorBidi"/>
                <w:color w:val="000000"/>
                <w:lang w:eastAsia="es-CO"/>
              </w:rPr>
              <w:t>Mini Contrato de Futuro Índice Accionario COLCAP</w:t>
            </w:r>
            <w:r>
              <w:rPr>
                <w:rFonts w:ascii="Arial Narrow" w:eastAsiaTheme="minorHAnsi" w:hAnsi="Arial Narrow" w:cs="Arial"/>
                <w:color w:val="000000"/>
                <w:lang w:val="es-ES" w:eastAsia="es-ES"/>
              </w:rPr>
              <w:t xml:space="preserve"> / Contrato de Futuro sobre Acciones del Índice COLCAP con Liquidación por Entrega de la Acción Ordinaria de Cemex </w:t>
            </w:r>
            <w:proofErr w:type="spellStart"/>
            <w:r>
              <w:rPr>
                <w:rFonts w:ascii="Arial Narrow" w:eastAsiaTheme="minorHAnsi" w:hAnsi="Arial Narrow" w:cs="Arial"/>
                <w:color w:val="000000"/>
                <w:lang w:val="es-ES" w:eastAsia="es-ES"/>
              </w:rPr>
              <w:t>Latam</w:t>
            </w:r>
            <w:proofErr w:type="spellEnd"/>
            <w:r>
              <w:rPr>
                <w:rFonts w:ascii="Arial Narrow" w:eastAsiaTheme="minorHAnsi" w:hAnsi="Arial Narrow" w:cs="Arial"/>
                <w:color w:val="000000"/>
                <w:lang w:val="es-ES" w:eastAsia="es-ES"/>
              </w:rPr>
              <w:t xml:space="preserve"> Holdings</w:t>
            </w:r>
          </w:p>
        </w:tc>
        <w:tc>
          <w:tcPr>
            <w:tcW w:w="1410" w:type="dxa"/>
            <w:tcBorders>
              <w:top w:val="single" w:sz="4" w:space="0" w:color="auto"/>
              <w:left w:val="single" w:sz="4" w:space="0" w:color="auto"/>
              <w:bottom w:val="single" w:sz="4" w:space="0" w:color="auto"/>
              <w:right w:val="single" w:sz="4" w:space="0" w:color="auto"/>
            </w:tcBorders>
            <w:vAlign w:val="center"/>
            <w:hideMark/>
          </w:tcPr>
          <w:p w14:paraId="076FA5C7" w14:textId="77777777" w:rsidR="007968EC" w:rsidRDefault="007968EC" w:rsidP="007968EC">
            <w:pPr>
              <w:spacing w:line="256" w:lineRule="auto"/>
              <w:ind w:hanging="112"/>
              <w:jc w:val="center"/>
              <w:rPr>
                <w:rFonts w:ascii="Arial Narrow" w:eastAsia="Calibri" w:hAnsi="Arial Narrow" w:cstheme="minorBidi"/>
                <w:color w:val="000000"/>
                <w:lang w:val="pt-BR" w:eastAsia="en-US"/>
              </w:rPr>
            </w:pPr>
            <w:r>
              <w:rPr>
                <w:rFonts w:ascii="Arial Narrow" w:eastAsia="Calibri" w:hAnsi="Arial Narrow" w:cstheme="minorBidi"/>
                <w:color w:val="000000"/>
                <w:lang w:val="pt-BR" w:eastAsia="en-US"/>
              </w:rPr>
              <w:t>0%</w:t>
            </w:r>
          </w:p>
        </w:tc>
      </w:tr>
      <w:tr w:rsidR="007968EC" w14:paraId="32FB701A" w14:textId="77777777" w:rsidTr="007968EC">
        <w:trPr>
          <w:trHeight w:val="501"/>
          <w:jc w:val="center"/>
        </w:trPr>
        <w:tc>
          <w:tcPr>
            <w:tcW w:w="1551" w:type="dxa"/>
            <w:tcBorders>
              <w:top w:val="single" w:sz="4" w:space="0" w:color="auto"/>
              <w:left w:val="single" w:sz="4" w:space="0" w:color="auto"/>
              <w:bottom w:val="single" w:sz="4" w:space="0" w:color="auto"/>
              <w:right w:val="single" w:sz="4" w:space="0" w:color="auto"/>
            </w:tcBorders>
            <w:vAlign w:val="center"/>
            <w:hideMark/>
          </w:tcPr>
          <w:p w14:paraId="27B1B6CB" w14:textId="77777777" w:rsidR="007968EC" w:rsidRDefault="007968EC" w:rsidP="007968EC">
            <w:pPr>
              <w:spacing w:line="256" w:lineRule="auto"/>
              <w:ind w:hanging="112"/>
              <w:jc w:val="center"/>
              <w:rPr>
                <w:rFonts w:ascii="Arial Narrow" w:eastAsia="Calibri" w:hAnsi="Arial Narrow" w:cstheme="minorBidi"/>
                <w:color w:val="000000"/>
                <w:lang w:val="pt-BR" w:eastAsia="en-US"/>
              </w:rPr>
            </w:pPr>
            <w:r>
              <w:rPr>
                <w:rFonts w:ascii="Arial Narrow" w:eastAsia="Calibri" w:hAnsi="Arial Narrow" w:cstheme="minorBidi"/>
                <w:color w:val="000000"/>
                <w:lang w:val="pt-BR" w:eastAsia="en-US"/>
              </w:rPr>
              <w:t>22</w:t>
            </w:r>
          </w:p>
        </w:tc>
        <w:tc>
          <w:tcPr>
            <w:tcW w:w="5498" w:type="dxa"/>
            <w:tcBorders>
              <w:top w:val="single" w:sz="4" w:space="0" w:color="auto"/>
              <w:left w:val="single" w:sz="4" w:space="0" w:color="auto"/>
              <w:bottom w:val="single" w:sz="4" w:space="0" w:color="auto"/>
              <w:right w:val="single" w:sz="4" w:space="0" w:color="auto"/>
            </w:tcBorders>
            <w:vAlign w:val="center"/>
            <w:hideMark/>
          </w:tcPr>
          <w:p w14:paraId="67BE47DC" w14:textId="77777777" w:rsidR="007968EC" w:rsidRDefault="007968EC" w:rsidP="007968EC">
            <w:pPr>
              <w:spacing w:line="256" w:lineRule="auto"/>
              <w:ind w:hanging="112"/>
              <w:jc w:val="center"/>
              <w:rPr>
                <w:rFonts w:ascii="Arial Narrow" w:eastAsiaTheme="minorHAnsi" w:hAnsi="Arial Narrow" w:cs="Arial"/>
                <w:color w:val="000000"/>
                <w:lang w:val="es-ES" w:eastAsia="es-ES"/>
              </w:rPr>
            </w:pPr>
            <w:r>
              <w:rPr>
                <w:rFonts w:ascii="Arial Narrow" w:eastAsiaTheme="minorHAnsi" w:hAnsi="Arial Narrow" w:cs="Arial"/>
                <w:color w:val="000000"/>
                <w:lang w:val="es-ES" w:eastAsia="es-ES"/>
              </w:rPr>
              <w:t xml:space="preserve">Contratos de Futuros Índice Accionario COLCAP </w:t>
            </w:r>
            <w:r>
              <w:rPr>
                <w:rFonts w:ascii="Arial Narrow" w:eastAsia="Calibri" w:hAnsi="Arial Narrow" w:cstheme="minorBidi"/>
                <w:color w:val="000000"/>
                <w:lang w:eastAsia="en-US"/>
              </w:rPr>
              <w:t xml:space="preserve">y/o </w:t>
            </w:r>
            <w:r>
              <w:rPr>
                <w:rFonts w:ascii="Arial Narrow" w:eastAsia="Calibri" w:hAnsi="Arial Narrow" w:cstheme="minorBidi"/>
                <w:color w:val="000000"/>
                <w:lang w:eastAsia="es-CO"/>
              </w:rPr>
              <w:t>Mini Contrato de Futuro Índice Accionario COLCAP</w:t>
            </w:r>
            <w:r>
              <w:rPr>
                <w:rFonts w:ascii="Arial Narrow" w:eastAsiaTheme="minorHAnsi" w:hAnsi="Arial Narrow" w:cs="Arial"/>
                <w:color w:val="000000"/>
                <w:lang w:val="es-ES" w:eastAsia="es-ES"/>
              </w:rPr>
              <w:t xml:space="preserve"> / Contrato de </w:t>
            </w:r>
            <w:r>
              <w:rPr>
                <w:rFonts w:ascii="Arial Narrow" w:eastAsiaTheme="minorHAnsi" w:hAnsi="Arial Narrow" w:cs="Arial"/>
                <w:color w:val="000000"/>
                <w:lang w:val="es-ES" w:eastAsia="es-ES"/>
              </w:rPr>
              <w:lastRenderedPageBreak/>
              <w:t>Futuro sobre Acciones del Índice COLCAP con Liquidación por Entrega de la Acción Preferencial Avianca</w:t>
            </w:r>
          </w:p>
        </w:tc>
        <w:tc>
          <w:tcPr>
            <w:tcW w:w="1410" w:type="dxa"/>
            <w:tcBorders>
              <w:top w:val="single" w:sz="4" w:space="0" w:color="auto"/>
              <w:left w:val="single" w:sz="4" w:space="0" w:color="auto"/>
              <w:bottom w:val="single" w:sz="4" w:space="0" w:color="auto"/>
              <w:right w:val="single" w:sz="4" w:space="0" w:color="auto"/>
            </w:tcBorders>
            <w:vAlign w:val="center"/>
            <w:hideMark/>
          </w:tcPr>
          <w:p w14:paraId="09D7B305" w14:textId="77777777" w:rsidR="007968EC" w:rsidRDefault="007968EC" w:rsidP="007968EC">
            <w:pPr>
              <w:spacing w:line="256" w:lineRule="auto"/>
              <w:ind w:hanging="112"/>
              <w:jc w:val="center"/>
              <w:rPr>
                <w:rFonts w:ascii="Arial Narrow" w:eastAsia="Calibri" w:hAnsi="Arial Narrow" w:cstheme="minorBidi"/>
                <w:color w:val="000000"/>
                <w:lang w:val="pt-BR" w:eastAsia="en-US"/>
              </w:rPr>
            </w:pPr>
            <w:r>
              <w:rPr>
                <w:rFonts w:ascii="Arial Narrow" w:eastAsia="Calibri" w:hAnsi="Arial Narrow" w:cstheme="minorBidi"/>
                <w:color w:val="000000"/>
                <w:lang w:val="pt-BR" w:eastAsia="en-US"/>
              </w:rPr>
              <w:lastRenderedPageBreak/>
              <w:t>0%</w:t>
            </w:r>
          </w:p>
        </w:tc>
      </w:tr>
      <w:tr w:rsidR="007968EC" w14:paraId="5F47C89D" w14:textId="77777777" w:rsidTr="007968EC">
        <w:trPr>
          <w:trHeight w:val="501"/>
          <w:jc w:val="center"/>
        </w:trPr>
        <w:tc>
          <w:tcPr>
            <w:tcW w:w="1551" w:type="dxa"/>
            <w:tcBorders>
              <w:top w:val="single" w:sz="4" w:space="0" w:color="auto"/>
              <w:left w:val="single" w:sz="4" w:space="0" w:color="auto"/>
              <w:bottom w:val="single" w:sz="4" w:space="0" w:color="auto"/>
              <w:right w:val="single" w:sz="4" w:space="0" w:color="auto"/>
            </w:tcBorders>
            <w:vAlign w:val="center"/>
            <w:hideMark/>
          </w:tcPr>
          <w:p w14:paraId="73087281" w14:textId="77777777" w:rsidR="007968EC" w:rsidRDefault="007968EC" w:rsidP="007968EC">
            <w:pPr>
              <w:spacing w:line="256" w:lineRule="auto"/>
              <w:ind w:hanging="112"/>
              <w:jc w:val="center"/>
              <w:rPr>
                <w:rFonts w:ascii="Arial Narrow" w:eastAsia="Calibri" w:hAnsi="Arial Narrow" w:cstheme="minorBidi"/>
                <w:color w:val="000000"/>
                <w:lang w:val="pt-BR" w:eastAsia="en-US"/>
              </w:rPr>
            </w:pPr>
            <w:r>
              <w:rPr>
                <w:rFonts w:ascii="Arial Narrow" w:eastAsia="Calibri" w:hAnsi="Arial Narrow" w:cstheme="minorBidi"/>
                <w:color w:val="000000"/>
                <w:lang w:val="pt-BR" w:eastAsia="en-US"/>
              </w:rPr>
              <w:t>23</w:t>
            </w:r>
          </w:p>
        </w:tc>
        <w:tc>
          <w:tcPr>
            <w:tcW w:w="5498" w:type="dxa"/>
            <w:tcBorders>
              <w:top w:val="single" w:sz="4" w:space="0" w:color="auto"/>
              <w:left w:val="single" w:sz="4" w:space="0" w:color="auto"/>
              <w:bottom w:val="single" w:sz="4" w:space="0" w:color="auto"/>
              <w:right w:val="single" w:sz="4" w:space="0" w:color="auto"/>
            </w:tcBorders>
            <w:vAlign w:val="center"/>
            <w:hideMark/>
          </w:tcPr>
          <w:p w14:paraId="261DAFA2" w14:textId="77777777" w:rsidR="007968EC" w:rsidRDefault="007968EC" w:rsidP="007968EC">
            <w:pPr>
              <w:spacing w:line="256" w:lineRule="auto"/>
              <w:ind w:hanging="112"/>
              <w:jc w:val="center"/>
              <w:rPr>
                <w:rFonts w:ascii="Arial Narrow" w:eastAsiaTheme="minorHAnsi" w:hAnsi="Arial Narrow" w:cs="Arial"/>
                <w:color w:val="000000"/>
                <w:lang w:val="es-ES" w:eastAsia="es-ES"/>
              </w:rPr>
            </w:pPr>
            <w:r>
              <w:rPr>
                <w:rFonts w:ascii="Arial Narrow" w:eastAsiaTheme="minorHAnsi" w:hAnsi="Arial Narrow" w:cs="Arial"/>
                <w:color w:val="000000"/>
                <w:lang w:val="es-ES" w:eastAsia="es-ES"/>
              </w:rPr>
              <w:t xml:space="preserve">Contratos de Futuros Índice Accionario COLCAP </w:t>
            </w:r>
            <w:r>
              <w:rPr>
                <w:rFonts w:ascii="Arial Narrow" w:eastAsia="Calibri" w:hAnsi="Arial Narrow" w:cstheme="minorBidi"/>
                <w:color w:val="000000"/>
                <w:lang w:eastAsia="en-US"/>
              </w:rPr>
              <w:t xml:space="preserve">y/o </w:t>
            </w:r>
            <w:r>
              <w:rPr>
                <w:rFonts w:ascii="Arial Narrow" w:eastAsia="Calibri" w:hAnsi="Arial Narrow" w:cstheme="minorBidi"/>
                <w:color w:val="000000"/>
                <w:lang w:eastAsia="es-CO"/>
              </w:rPr>
              <w:t>Mini Contrato de Futuro Índice Accionario COLCAP</w:t>
            </w:r>
            <w:r>
              <w:rPr>
                <w:rFonts w:ascii="Arial Narrow" w:eastAsiaTheme="minorHAnsi" w:hAnsi="Arial Narrow" w:cs="Arial"/>
                <w:color w:val="000000"/>
                <w:lang w:val="es-ES" w:eastAsia="es-ES"/>
              </w:rPr>
              <w:t xml:space="preserve"> / Contrato de Futuro sobre Acciones del Índice COLCAP con Liquidación por Entrega de la Acción Ordinaria de Canacol</w:t>
            </w:r>
          </w:p>
        </w:tc>
        <w:tc>
          <w:tcPr>
            <w:tcW w:w="1410" w:type="dxa"/>
            <w:tcBorders>
              <w:top w:val="single" w:sz="4" w:space="0" w:color="auto"/>
              <w:left w:val="single" w:sz="4" w:space="0" w:color="auto"/>
              <w:bottom w:val="single" w:sz="4" w:space="0" w:color="auto"/>
              <w:right w:val="single" w:sz="4" w:space="0" w:color="auto"/>
            </w:tcBorders>
            <w:vAlign w:val="center"/>
            <w:hideMark/>
          </w:tcPr>
          <w:p w14:paraId="5BE79B90" w14:textId="77777777" w:rsidR="007968EC" w:rsidRDefault="007968EC" w:rsidP="007968EC">
            <w:pPr>
              <w:spacing w:line="256" w:lineRule="auto"/>
              <w:ind w:hanging="112"/>
              <w:jc w:val="center"/>
              <w:rPr>
                <w:rFonts w:ascii="Arial Narrow" w:eastAsia="Calibri" w:hAnsi="Arial Narrow" w:cstheme="minorBidi"/>
                <w:color w:val="000000"/>
                <w:lang w:val="pt-BR" w:eastAsia="en-US"/>
              </w:rPr>
            </w:pPr>
            <w:r>
              <w:rPr>
                <w:rFonts w:ascii="Arial Narrow" w:eastAsia="Calibri" w:hAnsi="Arial Narrow" w:cstheme="minorBidi"/>
                <w:color w:val="000000"/>
                <w:lang w:val="pt-BR" w:eastAsia="en-US"/>
              </w:rPr>
              <w:t>0%</w:t>
            </w:r>
          </w:p>
        </w:tc>
      </w:tr>
      <w:tr w:rsidR="007968EC" w14:paraId="1D8123FF" w14:textId="77777777" w:rsidTr="007968EC">
        <w:trPr>
          <w:trHeight w:val="501"/>
          <w:jc w:val="center"/>
        </w:trPr>
        <w:tc>
          <w:tcPr>
            <w:tcW w:w="1551" w:type="dxa"/>
            <w:tcBorders>
              <w:top w:val="single" w:sz="4" w:space="0" w:color="auto"/>
              <w:left w:val="single" w:sz="4" w:space="0" w:color="auto"/>
              <w:bottom w:val="single" w:sz="4" w:space="0" w:color="auto"/>
              <w:right w:val="single" w:sz="4" w:space="0" w:color="auto"/>
            </w:tcBorders>
            <w:vAlign w:val="center"/>
            <w:hideMark/>
          </w:tcPr>
          <w:p w14:paraId="5FE81F0D" w14:textId="77777777" w:rsidR="007968EC" w:rsidRDefault="007968EC" w:rsidP="007968EC">
            <w:pPr>
              <w:spacing w:line="256" w:lineRule="auto"/>
              <w:ind w:hanging="112"/>
              <w:jc w:val="center"/>
              <w:rPr>
                <w:rFonts w:ascii="Arial Narrow" w:eastAsia="Calibri" w:hAnsi="Arial Narrow" w:cstheme="minorBidi"/>
                <w:color w:val="000000"/>
                <w:lang w:val="pt-BR" w:eastAsia="en-US"/>
              </w:rPr>
            </w:pPr>
            <w:r>
              <w:rPr>
                <w:rFonts w:ascii="Arial Narrow" w:eastAsia="Calibri" w:hAnsi="Arial Narrow" w:cstheme="minorBidi"/>
                <w:color w:val="000000"/>
                <w:lang w:val="pt-BR" w:eastAsia="en-US"/>
              </w:rPr>
              <w:t>24</w:t>
            </w:r>
          </w:p>
        </w:tc>
        <w:tc>
          <w:tcPr>
            <w:tcW w:w="5498" w:type="dxa"/>
            <w:tcBorders>
              <w:top w:val="single" w:sz="4" w:space="0" w:color="auto"/>
              <w:left w:val="single" w:sz="4" w:space="0" w:color="auto"/>
              <w:bottom w:val="single" w:sz="4" w:space="0" w:color="auto"/>
              <w:right w:val="single" w:sz="4" w:space="0" w:color="auto"/>
            </w:tcBorders>
            <w:vAlign w:val="center"/>
            <w:hideMark/>
          </w:tcPr>
          <w:p w14:paraId="66FC24C4" w14:textId="77777777" w:rsidR="007968EC" w:rsidRDefault="007968EC" w:rsidP="007968EC">
            <w:pPr>
              <w:spacing w:line="256" w:lineRule="auto"/>
              <w:ind w:hanging="112"/>
              <w:jc w:val="center"/>
              <w:rPr>
                <w:rFonts w:ascii="Arial Narrow" w:eastAsiaTheme="minorHAnsi" w:hAnsi="Arial Narrow" w:cs="Arial"/>
                <w:color w:val="000000"/>
                <w:lang w:val="es-ES" w:eastAsia="es-ES"/>
              </w:rPr>
            </w:pPr>
            <w:r>
              <w:rPr>
                <w:rFonts w:ascii="Arial Narrow" w:eastAsiaTheme="minorHAnsi" w:hAnsi="Arial Narrow" w:cs="Arial"/>
                <w:color w:val="000000"/>
                <w:lang w:val="es-ES" w:eastAsia="es-ES"/>
              </w:rPr>
              <w:t xml:space="preserve">Contratos de Futuros Índice Accionario COLCAP </w:t>
            </w:r>
            <w:r>
              <w:rPr>
                <w:rFonts w:ascii="Arial Narrow" w:eastAsia="Calibri" w:hAnsi="Arial Narrow" w:cstheme="minorBidi"/>
                <w:color w:val="000000"/>
                <w:lang w:eastAsia="en-US"/>
              </w:rPr>
              <w:t xml:space="preserve">y/o </w:t>
            </w:r>
            <w:r>
              <w:rPr>
                <w:rFonts w:ascii="Arial Narrow" w:eastAsia="Calibri" w:hAnsi="Arial Narrow" w:cstheme="minorBidi"/>
                <w:color w:val="000000"/>
                <w:lang w:eastAsia="es-CO"/>
              </w:rPr>
              <w:t>Mini Contrato de Futuro Índice Accionario COLCAP</w:t>
            </w:r>
            <w:r>
              <w:rPr>
                <w:rFonts w:ascii="Arial Narrow" w:eastAsiaTheme="minorHAnsi" w:hAnsi="Arial Narrow" w:cs="Arial"/>
                <w:color w:val="000000"/>
                <w:lang w:val="es-ES" w:eastAsia="es-ES"/>
              </w:rPr>
              <w:t xml:space="preserve"> / Contrato de Futuro sobre Acciones del Índice COLCAP con Liquidación por Entrega de la Acción Ordinaria de Bancolombia</w:t>
            </w:r>
          </w:p>
        </w:tc>
        <w:tc>
          <w:tcPr>
            <w:tcW w:w="1410" w:type="dxa"/>
            <w:tcBorders>
              <w:top w:val="single" w:sz="4" w:space="0" w:color="auto"/>
              <w:left w:val="single" w:sz="4" w:space="0" w:color="auto"/>
              <w:bottom w:val="single" w:sz="4" w:space="0" w:color="auto"/>
              <w:right w:val="single" w:sz="4" w:space="0" w:color="auto"/>
            </w:tcBorders>
            <w:vAlign w:val="center"/>
            <w:hideMark/>
          </w:tcPr>
          <w:p w14:paraId="721B5462" w14:textId="77777777" w:rsidR="007968EC" w:rsidRDefault="007968EC" w:rsidP="007968EC">
            <w:pPr>
              <w:spacing w:line="256" w:lineRule="auto"/>
              <w:ind w:hanging="112"/>
              <w:jc w:val="center"/>
              <w:rPr>
                <w:rFonts w:ascii="Arial Narrow" w:eastAsia="Calibri" w:hAnsi="Arial Narrow" w:cstheme="minorBidi"/>
                <w:color w:val="000000"/>
                <w:lang w:val="pt-BR" w:eastAsia="en-US"/>
              </w:rPr>
            </w:pPr>
            <w:r>
              <w:rPr>
                <w:rFonts w:ascii="Arial Narrow" w:eastAsia="Calibri" w:hAnsi="Arial Narrow" w:cstheme="minorBidi"/>
                <w:color w:val="000000"/>
                <w:lang w:val="pt-BR" w:eastAsia="en-US"/>
              </w:rPr>
              <w:t>20%</w:t>
            </w:r>
          </w:p>
        </w:tc>
      </w:tr>
      <w:tr w:rsidR="007968EC" w14:paraId="6CDBB8C2" w14:textId="77777777" w:rsidTr="007968EC">
        <w:trPr>
          <w:trHeight w:val="501"/>
          <w:jc w:val="center"/>
        </w:trPr>
        <w:tc>
          <w:tcPr>
            <w:tcW w:w="1551" w:type="dxa"/>
            <w:tcBorders>
              <w:top w:val="single" w:sz="4" w:space="0" w:color="auto"/>
              <w:left w:val="single" w:sz="4" w:space="0" w:color="auto"/>
              <w:bottom w:val="single" w:sz="4" w:space="0" w:color="auto"/>
              <w:right w:val="single" w:sz="4" w:space="0" w:color="auto"/>
            </w:tcBorders>
            <w:vAlign w:val="center"/>
            <w:hideMark/>
          </w:tcPr>
          <w:p w14:paraId="7E4EB2CB" w14:textId="77777777" w:rsidR="007968EC" w:rsidRDefault="007968EC" w:rsidP="007968EC">
            <w:pPr>
              <w:spacing w:line="256" w:lineRule="auto"/>
              <w:ind w:hanging="112"/>
              <w:jc w:val="center"/>
              <w:rPr>
                <w:rFonts w:ascii="Arial Narrow" w:eastAsia="Calibri" w:hAnsi="Arial Narrow" w:cstheme="minorBidi"/>
                <w:color w:val="000000"/>
                <w:lang w:val="pt-BR" w:eastAsia="en-US"/>
              </w:rPr>
            </w:pPr>
            <w:r>
              <w:rPr>
                <w:rFonts w:ascii="Arial Narrow" w:eastAsia="Calibri" w:hAnsi="Arial Narrow" w:cstheme="minorBidi"/>
                <w:color w:val="000000"/>
                <w:lang w:val="pt-BR" w:eastAsia="en-US"/>
              </w:rPr>
              <w:t>25</w:t>
            </w:r>
          </w:p>
        </w:tc>
        <w:tc>
          <w:tcPr>
            <w:tcW w:w="5498" w:type="dxa"/>
            <w:tcBorders>
              <w:top w:val="single" w:sz="4" w:space="0" w:color="auto"/>
              <w:left w:val="single" w:sz="4" w:space="0" w:color="auto"/>
              <w:bottom w:val="single" w:sz="4" w:space="0" w:color="auto"/>
              <w:right w:val="single" w:sz="4" w:space="0" w:color="auto"/>
            </w:tcBorders>
            <w:vAlign w:val="center"/>
            <w:hideMark/>
          </w:tcPr>
          <w:p w14:paraId="2C2E08B0" w14:textId="77777777" w:rsidR="007968EC" w:rsidRDefault="007968EC" w:rsidP="007968EC">
            <w:pPr>
              <w:spacing w:line="256" w:lineRule="auto"/>
              <w:ind w:hanging="112"/>
              <w:jc w:val="center"/>
              <w:rPr>
                <w:rFonts w:ascii="Arial Narrow" w:eastAsiaTheme="minorHAnsi" w:hAnsi="Arial Narrow" w:cs="Arial"/>
                <w:color w:val="000000"/>
                <w:lang w:val="es-ES" w:eastAsia="es-ES"/>
              </w:rPr>
            </w:pPr>
            <w:bookmarkStart w:id="4921" w:name="_Hlk1750497"/>
            <w:r>
              <w:rPr>
                <w:rFonts w:ascii="Arial Narrow" w:eastAsiaTheme="minorHAnsi" w:hAnsi="Arial Narrow" w:cs="Arial"/>
                <w:color w:val="000000"/>
                <w:lang w:val="es-ES" w:eastAsia="es-ES"/>
              </w:rPr>
              <w:t xml:space="preserve">Contratos de Futuros Índice Accionario COLCAP </w:t>
            </w:r>
            <w:r>
              <w:rPr>
                <w:rFonts w:ascii="Arial Narrow" w:eastAsia="Calibri" w:hAnsi="Arial Narrow" w:cstheme="minorBidi"/>
                <w:color w:val="000000"/>
                <w:lang w:eastAsia="en-US"/>
              </w:rPr>
              <w:t xml:space="preserve">y/o </w:t>
            </w:r>
            <w:r>
              <w:rPr>
                <w:rFonts w:ascii="Arial Narrow" w:eastAsia="Calibri" w:hAnsi="Arial Narrow" w:cstheme="minorBidi"/>
                <w:color w:val="000000"/>
                <w:lang w:eastAsia="es-CO"/>
              </w:rPr>
              <w:t>Mini Contrato de Futuro Índice Accionario COLCAP</w:t>
            </w:r>
            <w:r>
              <w:rPr>
                <w:rFonts w:ascii="Arial Narrow" w:eastAsiaTheme="minorHAnsi" w:hAnsi="Arial Narrow" w:cs="Arial"/>
                <w:color w:val="000000"/>
                <w:lang w:val="es-ES" w:eastAsia="es-ES"/>
              </w:rPr>
              <w:t xml:space="preserve"> / Contrato de Futuro sobre Acciones del Índice COLCAP con Liquidación por </w:t>
            </w:r>
            <w:bookmarkEnd w:id="4921"/>
            <w:r>
              <w:rPr>
                <w:rFonts w:ascii="Arial Narrow" w:eastAsiaTheme="minorHAnsi" w:hAnsi="Arial Narrow" w:cs="Arial"/>
                <w:color w:val="000000"/>
                <w:lang w:val="es-ES" w:eastAsia="es-ES"/>
              </w:rPr>
              <w:t>Entrega de la Acción Ordinaria del Grupo de Energía de Bogotá</w:t>
            </w:r>
          </w:p>
        </w:tc>
        <w:tc>
          <w:tcPr>
            <w:tcW w:w="1410" w:type="dxa"/>
            <w:tcBorders>
              <w:top w:val="single" w:sz="4" w:space="0" w:color="auto"/>
              <w:left w:val="single" w:sz="4" w:space="0" w:color="auto"/>
              <w:bottom w:val="single" w:sz="4" w:space="0" w:color="auto"/>
              <w:right w:val="single" w:sz="4" w:space="0" w:color="auto"/>
            </w:tcBorders>
            <w:vAlign w:val="center"/>
            <w:hideMark/>
          </w:tcPr>
          <w:p w14:paraId="7D1013FC" w14:textId="77777777" w:rsidR="007968EC" w:rsidRDefault="007968EC" w:rsidP="007968EC">
            <w:pPr>
              <w:spacing w:line="256" w:lineRule="auto"/>
              <w:ind w:hanging="112"/>
              <w:jc w:val="center"/>
              <w:rPr>
                <w:rFonts w:ascii="Arial Narrow" w:eastAsia="Calibri" w:hAnsi="Arial Narrow" w:cstheme="minorBidi"/>
                <w:color w:val="000000"/>
                <w:lang w:val="pt-BR" w:eastAsia="en-US"/>
              </w:rPr>
            </w:pPr>
            <w:r>
              <w:rPr>
                <w:rFonts w:ascii="Arial Narrow" w:eastAsia="Calibri" w:hAnsi="Arial Narrow" w:cstheme="minorBidi"/>
                <w:color w:val="000000"/>
                <w:lang w:val="pt-BR" w:eastAsia="en-US"/>
              </w:rPr>
              <w:t>0%</w:t>
            </w:r>
          </w:p>
        </w:tc>
      </w:tr>
      <w:tr w:rsidR="007968EC" w14:paraId="65BA51BF" w14:textId="77777777" w:rsidTr="007968EC">
        <w:trPr>
          <w:trHeight w:val="501"/>
          <w:jc w:val="center"/>
        </w:trPr>
        <w:tc>
          <w:tcPr>
            <w:tcW w:w="1551" w:type="dxa"/>
            <w:tcBorders>
              <w:top w:val="single" w:sz="4" w:space="0" w:color="auto"/>
              <w:left w:val="single" w:sz="4" w:space="0" w:color="auto"/>
              <w:bottom w:val="single" w:sz="4" w:space="0" w:color="auto"/>
              <w:right w:val="single" w:sz="4" w:space="0" w:color="auto"/>
            </w:tcBorders>
            <w:vAlign w:val="center"/>
            <w:hideMark/>
          </w:tcPr>
          <w:p w14:paraId="444BE163" w14:textId="77777777" w:rsidR="007968EC" w:rsidRDefault="007968EC" w:rsidP="007968EC">
            <w:pPr>
              <w:spacing w:line="256" w:lineRule="auto"/>
              <w:ind w:hanging="112"/>
              <w:jc w:val="center"/>
              <w:rPr>
                <w:rFonts w:ascii="Arial Narrow" w:eastAsia="Calibri" w:hAnsi="Arial Narrow" w:cstheme="minorBidi"/>
                <w:color w:val="000000"/>
                <w:lang w:val="pt-BR" w:eastAsia="en-US"/>
              </w:rPr>
            </w:pPr>
            <w:r>
              <w:rPr>
                <w:rFonts w:ascii="Arial Narrow" w:eastAsia="Calibri" w:hAnsi="Arial Narrow" w:cstheme="minorBidi"/>
                <w:color w:val="000000"/>
                <w:lang w:val="pt-BR" w:eastAsia="en-US"/>
              </w:rPr>
              <w:t>26</w:t>
            </w:r>
          </w:p>
        </w:tc>
        <w:tc>
          <w:tcPr>
            <w:tcW w:w="5498" w:type="dxa"/>
            <w:tcBorders>
              <w:top w:val="single" w:sz="4" w:space="0" w:color="auto"/>
              <w:left w:val="single" w:sz="4" w:space="0" w:color="auto"/>
              <w:bottom w:val="single" w:sz="4" w:space="0" w:color="auto"/>
              <w:right w:val="single" w:sz="4" w:space="0" w:color="auto"/>
            </w:tcBorders>
            <w:vAlign w:val="center"/>
            <w:hideMark/>
          </w:tcPr>
          <w:p w14:paraId="2E1276FF" w14:textId="77777777" w:rsidR="007968EC" w:rsidRDefault="007968EC" w:rsidP="007968EC">
            <w:pPr>
              <w:spacing w:line="256" w:lineRule="auto"/>
              <w:ind w:hanging="112"/>
              <w:jc w:val="center"/>
              <w:rPr>
                <w:rFonts w:ascii="Arial Narrow" w:eastAsiaTheme="minorHAnsi" w:hAnsi="Arial Narrow" w:cs="Arial"/>
                <w:color w:val="000000"/>
                <w:lang w:val="es-ES" w:eastAsia="es-ES"/>
              </w:rPr>
            </w:pPr>
            <w:r>
              <w:rPr>
                <w:rFonts w:ascii="Arial Narrow" w:eastAsiaTheme="minorHAnsi" w:hAnsi="Arial Narrow" w:cs="Arial"/>
                <w:color w:val="000000"/>
                <w:lang w:val="es-ES" w:eastAsia="es-ES"/>
              </w:rPr>
              <w:t xml:space="preserve">Contratos de Futuros Índice Accionario COLCAP </w:t>
            </w:r>
            <w:r>
              <w:rPr>
                <w:rFonts w:ascii="Arial Narrow" w:eastAsia="Calibri" w:hAnsi="Arial Narrow" w:cstheme="minorBidi"/>
                <w:color w:val="000000"/>
                <w:lang w:eastAsia="en-US"/>
              </w:rPr>
              <w:t xml:space="preserve">y/o </w:t>
            </w:r>
            <w:r>
              <w:rPr>
                <w:rFonts w:ascii="Arial Narrow" w:eastAsia="Calibri" w:hAnsi="Arial Narrow" w:cstheme="minorBidi"/>
                <w:color w:val="000000"/>
                <w:lang w:eastAsia="es-CO"/>
              </w:rPr>
              <w:t>Mini Contrato de Futuro Índice Accionario COLCAP</w:t>
            </w:r>
            <w:r>
              <w:rPr>
                <w:rFonts w:ascii="Arial Narrow" w:eastAsiaTheme="minorHAnsi" w:hAnsi="Arial Narrow" w:cs="Arial"/>
                <w:color w:val="000000"/>
                <w:lang w:val="es-ES" w:eastAsia="es-ES"/>
              </w:rPr>
              <w:t xml:space="preserve"> / Contrato de Futuro sobre Acciones del Índice COLCAP con Liquidación por Diferencias sobre la Acción Ordinaria de la Bolsa de Valores de Colombia </w:t>
            </w:r>
          </w:p>
        </w:tc>
        <w:tc>
          <w:tcPr>
            <w:tcW w:w="1410" w:type="dxa"/>
            <w:tcBorders>
              <w:top w:val="single" w:sz="4" w:space="0" w:color="auto"/>
              <w:left w:val="single" w:sz="4" w:space="0" w:color="auto"/>
              <w:bottom w:val="single" w:sz="4" w:space="0" w:color="auto"/>
              <w:right w:val="single" w:sz="4" w:space="0" w:color="auto"/>
            </w:tcBorders>
            <w:vAlign w:val="center"/>
            <w:hideMark/>
          </w:tcPr>
          <w:p w14:paraId="156BDAEC" w14:textId="77777777" w:rsidR="007968EC" w:rsidRDefault="007968EC" w:rsidP="007968EC">
            <w:pPr>
              <w:spacing w:line="256" w:lineRule="auto"/>
              <w:ind w:hanging="112"/>
              <w:jc w:val="center"/>
              <w:rPr>
                <w:rFonts w:ascii="Arial Narrow" w:eastAsia="Calibri" w:hAnsi="Arial Narrow" w:cstheme="minorBidi"/>
                <w:color w:val="000000"/>
                <w:lang w:val="es-ES" w:eastAsia="en-US"/>
              </w:rPr>
            </w:pPr>
            <w:r>
              <w:rPr>
                <w:rFonts w:ascii="Arial Narrow" w:eastAsia="Calibri" w:hAnsi="Arial Narrow" w:cstheme="minorBidi"/>
                <w:color w:val="000000"/>
                <w:lang w:val="es-ES" w:eastAsia="en-US"/>
              </w:rPr>
              <w:t>0%</w:t>
            </w:r>
          </w:p>
        </w:tc>
      </w:tr>
    </w:tbl>
    <w:p w14:paraId="37DEE733" w14:textId="77777777" w:rsidR="007968EC" w:rsidRDefault="007968EC" w:rsidP="007968EC">
      <w:pPr>
        <w:rPr>
          <w:rFonts w:ascii="Arial Narrow" w:eastAsia="Calibri" w:hAnsi="Arial Narrow" w:cs="Arial Narrow"/>
          <w:b/>
          <w:color w:val="000000"/>
          <w:lang w:eastAsia="en-US"/>
        </w:rPr>
      </w:pPr>
    </w:p>
    <w:p w14:paraId="7D586F0F" w14:textId="77777777" w:rsidR="007968EC" w:rsidRDefault="007968EC" w:rsidP="007968EC">
      <w:pPr>
        <w:ind w:left="142"/>
        <w:jc w:val="both"/>
        <w:rPr>
          <w:rFonts w:ascii="Arial Narrow" w:eastAsia="Calibri" w:hAnsi="Arial Narrow" w:cs="Arial Narrow"/>
          <w:color w:val="000000"/>
          <w:lang w:eastAsia="en-US"/>
        </w:rPr>
      </w:pPr>
      <w:r>
        <w:rPr>
          <w:rFonts w:ascii="Arial Narrow" w:eastAsia="Calibri" w:hAnsi="Arial Narrow" w:cstheme="minorBidi"/>
          <w:color w:val="000000"/>
          <w:lang w:eastAsia="en-US"/>
        </w:rPr>
        <w:t xml:space="preserve">La estimación del delta para formar un (1) Spread para la compensación entre Futuro de Índice COLCAP y/o </w:t>
      </w:r>
      <w:r>
        <w:rPr>
          <w:rFonts w:ascii="Arial Narrow" w:eastAsia="Calibri" w:hAnsi="Arial Narrow" w:cstheme="minorBidi"/>
          <w:color w:val="000000"/>
          <w:lang w:eastAsia="es-CO"/>
        </w:rPr>
        <w:t>Mini Contrato de Futuro Índice Accionario COLCAP</w:t>
      </w:r>
      <w:r>
        <w:rPr>
          <w:rFonts w:ascii="Arial Narrow" w:eastAsia="Calibri" w:hAnsi="Arial Narrow" w:cstheme="minorBidi"/>
          <w:color w:val="000000"/>
          <w:lang w:eastAsia="en-US"/>
        </w:rPr>
        <w:t xml:space="preserve"> y Futuro de Acciones (Ecopetrol, Preferencial Bancolombia, Grupo Sura, Cementos Argos, ISA, Nutresa, Grupo Argos, Éxito, Preferencial Cementos Argos, Preferencial Grupo Sura</w:t>
      </w:r>
      <w:r>
        <w:rPr>
          <w:rFonts w:ascii="Arial Narrow" w:eastAsia="Calibri" w:hAnsi="Arial Narrow" w:cstheme="minorBidi"/>
          <w:b/>
          <w:color w:val="000000"/>
          <w:lang w:eastAsia="en-US"/>
        </w:rPr>
        <w:t>,</w:t>
      </w:r>
      <w:r>
        <w:rPr>
          <w:rFonts w:ascii="Arial Narrow" w:eastAsia="Calibri" w:hAnsi="Arial Narrow" w:cstheme="minorBidi"/>
          <w:color w:val="000000"/>
          <w:lang w:eastAsia="en-US"/>
        </w:rPr>
        <w:t xml:space="preserve"> Preferencial Aval</w:t>
      </w:r>
      <w:r>
        <w:rPr>
          <w:rFonts w:ascii="Arial Narrow" w:eastAsia="Calibri" w:hAnsi="Arial Narrow" w:cstheme="minorBidi"/>
          <w:b/>
          <w:color w:val="000000"/>
          <w:lang w:eastAsia="en-US"/>
        </w:rPr>
        <w:t xml:space="preserve"> </w:t>
      </w:r>
      <w:r>
        <w:rPr>
          <w:rFonts w:ascii="Arial Narrow" w:eastAsia="Calibri" w:hAnsi="Arial Narrow" w:cstheme="minorBidi"/>
          <w:color w:val="000000"/>
          <w:lang w:eastAsia="en-US"/>
        </w:rPr>
        <w:t xml:space="preserve">y Banco de Bogotá, Celsia, Grupo de Energía de Bogotá, </w:t>
      </w:r>
      <w:r>
        <w:rPr>
          <w:rFonts w:ascii="Arial Narrow" w:eastAsia="Calibri" w:hAnsi="Arial Narrow" w:cs="Arial"/>
          <w:color w:val="000000"/>
          <w:lang w:eastAsia="es-ES"/>
        </w:rPr>
        <w:t xml:space="preserve">Corficolombiana, Preferencial de Grupo Argos, Preferencial de Davivienda, Cemex </w:t>
      </w:r>
      <w:proofErr w:type="spellStart"/>
      <w:r>
        <w:rPr>
          <w:rFonts w:ascii="Arial Narrow" w:eastAsia="Calibri" w:hAnsi="Arial Narrow" w:cs="Arial"/>
          <w:color w:val="000000"/>
          <w:lang w:eastAsia="es-ES"/>
        </w:rPr>
        <w:t>Latam</w:t>
      </w:r>
      <w:proofErr w:type="spellEnd"/>
      <w:r>
        <w:rPr>
          <w:rFonts w:ascii="Arial Narrow" w:eastAsia="Calibri" w:hAnsi="Arial Narrow" w:cs="Arial"/>
          <w:color w:val="000000"/>
          <w:lang w:eastAsia="es-ES"/>
        </w:rPr>
        <w:t xml:space="preserve"> Holdings, Preferencial de Avianca, Canacol, Ordinaria Bancolombia</w:t>
      </w:r>
      <w:r>
        <w:rPr>
          <w:rFonts w:ascii="Arial Narrow" w:eastAsia="Calibri" w:hAnsi="Arial Narrow" w:cstheme="minorBidi"/>
          <w:color w:val="000000"/>
          <w:lang w:eastAsia="en-US"/>
        </w:rPr>
        <w:t xml:space="preserve">) busca determinar el número de contratos de índice para formar un (1) Spread, tomando como criterio el número de contratos proporcionado por el ratio de cobertura de la mínima varianza. </w:t>
      </w:r>
      <w:r>
        <w:rPr>
          <w:rFonts w:ascii="Arial Narrow" w:eastAsia="Calibri" w:hAnsi="Arial Narrow" w:cs="Arial Narrow"/>
          <w:color w:val="000000"/>
          <w:lang w:eastAsia="en-US"/>
        </w:rPr>
        <w:t>Este ratio se calcula con las siguientes fórmulas:</w:t>
      </w:r>
    </w:p>
    <w:p w14:paraId="44A982FE" w14:textId="77777777" w:rsidR="007968EC" w:rsidRDefault="007968EC" w:rsidP="007968EC">
      <w:pPr>
        <w:ind w:left="142"/>
        <w:rPr>
          <w:rFonts w:ascii="Arial Narrow" w:eastAsia="Calibri" w:hAnsi="Arial Narrow" w:cs="Arial Narrow"/>
          <w:b/>
          <w:color w:val="000000"/>
          <w:lang w:eastAsia="en-US"/>
        </w:rPr>
      </w:pPr>
    </w:p>
    <w:p w14:paraId="41E54F70" w14:textId="77777777" w:rsidR="00B93F48" w:rsidRPr="007C14BA" w:rsidRDefault="00B93F48" w:rsidP="00B93F48">
      <w:pPr>
        <w:ind w:left="142"/>
        <w:rPr>
          <w:rFonts w:ascii="Arial Narrow" w:eastAsia="Calibri" w:hAnsi="Arial Narrow" w:cs="Arial Narrow"/>
          <w:b/>
          <w:color w:val="000000"/>
        </w:rPr>
      </w:pPr>
      <m:oMathPara>
        <m:oMath>
          <m:r>
            <m:rPr>
              <m:sty m:val="bi"/>
            </m:rPr>
            <w:rPr>
              <w:rFonts w:ascii="Cambria Math" w:eastAsia="Calibri" w:hAnsi="Cambria Math"/>
              <w:color w:val="000000"/>
            </w:rPr>
            <m:t xml:space="preserve">RatioCobertura= </m:t>
          </m:r>
          <m:nary>
            <m:naryPr>
              <m:chr m:val="∑"/>
              <m:limLoc m:val="undOvr"/>
              <m:ctrlPr>
                <w:rPr>
                  <w:rFonts w:ascii="Cambria Math" w:eastAsia="Calibri" w:hAnsi="Cambria Math"/>
                  <w:i/>
                  <w:color w:val="000000"/>
                </w:rPr>
              </m:ctrlPr>
            </m:naryPr>
            <m:sub>
              <m:r>
                <m:rPr>
                  <m:sty m:val="bi"/>
                </m:rPr>
                <w:rPr>
                  <w:rFonts w:ascii="Cambria Math" w:eastAsia="Calibri" w:hAnsi="Cambria Math"/>
                  <w:color w:val="000000"/>
                </w:rPr>
                <m:t>i=1</m:t>
              </m:r>
            </m:sub>
            <m:sup>
              <m:r>
                <m:rPr>
                  <m:sty m:val="bi"/>
                </m:rPr>
                <w:rPr>
                  <w:rFonts w:ascii="Cambria Math" w:eastAsia="Calibri" w:hAnsi="Cambria Math"/>
                  <w:color w:val="000000"/>
                </w:rPr>
                <m:t>252</m:t>
              </m:r>
            </m:sup>
            <m:e>
              <m:f>
                <m:fPr>
                  <m:type m:val="lin"/>
                  <m:ctrlPr>
                    <w:rPr>
                      <w:rFonts w:ascii="Cambria Math" w:eastAsia="Calibri" w:hAnsi="Cambria Math"/>
                      <w:i/>
                      <w:color w:val="000000"/>
                    </w:rPr>
                  </m:ctrlPr>
                </m:fPr>
                <m:num>
                  <m:sSub>
                    <m:sSubPr>
                      <m:ctrlPr>
                        <w:rPr>
                          <w:rFonts w:ascii="Cambria Math" w:eastAsia="Calibri" w:hAnsi="Cambria Math"/>
                          <w:i/>
                          <w:color w:val="000000"/>
                        </w:rPr>
                      </m:ctrlPr>
                    </m:sSubPr>
                    <m:e>
                      <m:r>
                        <m:rPr>
                          <m:sty m:val="bi"/>
                        </m:rPr>
                        <w:rPr>
                          <w:rFonts w:ascii="Cambria Math" w:eastAsia="Calibri" w:hAnsi="Cambria Math"/>
                          <w:color w:val="000000"/>
                        </w:rPr>
                        <m:t>N</m:t>
                      </m:r>
                    </m:e>
                    <m:sub>
                      <m:r>
                        <m:rPr>
                          <m:sty m:val="bi"/>
                        </m:rPr>
                        <w:rPr>
                          <w:rFonts w:ascii="Cambria Math" w:eastAsia="Calibri" w:hAnsi="Cambria Math"/>
                          <w:color w:val="000000"/>
                        </w:rPr>
                        <m:t>i</m:t>
                      </m:r>
                    </m:sub>
                  </m:sSub>
                </m:num>
                <m:den>
                  <m:r>
                    <m:rPr>
                      <m:sty m:val="bi"/>
                    </m:rPr>
                    <w:rPr>
                      <w:rFonts w:ascii="Cambria Math" w:eastAsia="Calibri" w:hAnsi="Cambria Math"/>
                      <w:color w:val="000000"/>
                    </w:rPr>
                    <m:t>n</m:t>
                  </m:r>
                </m:den>
              </m:f>
            </m:e>
          </m:nary>
        </m:oMath>
      </m:oMathPara>
    </w:p>
    <w:p w14:paraId="15254FAF" w14:textId="77777777" w:rsidR="00B93F48" w:rsidRPr="007C14BA" w:rsidRDefault="00B93F48" w:rsidP="00B93F48">
      <w:pPr>
        <w:autoSpaceDE w:val="0"/>
        <w:autoSpaceDN w:val="0"/>
        <w:adjustRightInd w:val="0"/>
        <w:ind w:left="142"/>
        <w:jc w:val="both"/>
        <w:rPr>
          <w:rFonts w:ascii="Arial Narrow" w:hAnsi="Arial Narrow" w:cs="Arial"/>
          <w:color w:val="000000"/>
          <w:lang w:val="es-ES" w:eastAsia="es-ES"/>
        </w:rPr>
      </w:pPr>
      <w:r w:rsidRPr="007C14BA">
        <w:rPr>
          <w:rFonts w:ascii="Arial Narrow" w:hAnsi="Arial Narrow" w:cs="Arial"/>
          <w:color w:val="000000"/>
          <w:lang w:val="es-ES" w:eastAsia="es-ES"/>
        </w:rPr>
        <w:t>Donde:</w:t>
      </w:r>
    </w:p>
    <w:p w14:paraId="536EB7CD" w14:textId="77777777" w:rsidR="00B93F48" w:rsidRPr="007C14BA" w:rsidRDefault="00B93F48" w:rsidP="00B93F48">
      <w:pPr>
        <w:autoSpaceDE w:val="0"/>
        <w:autoSpaceDN w:val="0"/>
        <w:adjustRightInd w:val="0"/>
        <w:ind w:left="142"/>
        <w:jc w:val="both"/>
        <w:rPr>
          <w:rFonts w:ascii="Arial Narrow" w:hAnsi="Arial Narrow" w:cs="Arial"/>
          <w:color w:val="000000"/>
          <w:lang w:val="es-ES" w:eastAsia="es-ES"/>
        </w:rPr>
      </w:pPr>
    </w:p>
    <w:p w14:paraId="598E1B66" w14:textId="77777777" w:rsidR="00B93F48" w:rsidRPr="007C14BA" w:rsidRDefault="00B93F48" w:rsidP="00B93F48">
      <w:pPr>
        <w:autoSpaceDE w:val="0"/>
        <w:autoSpaceDN w:val="0"/>
        <w:adjustRightInd w:val="0"/>
        <w:ind w:left="142"/>
        <w:jc w:val="both"/>
        <w:rPr>
          <w:rFonts w:ascii="Arial Narrow" w:hAnsi="Arial Narrow" w:cs="Arial"/>
          <w:color w:val="000000"/>
          <w:lang w:val="es-ES" w:eastAsia="es-ES"/>
        </w:rPr>
      </w:pPr>
      <m:oMathPara>
        <m:oMath>
          <m:sSub>
            <m:sSubPr>
              <m:ctrlPr>
                <w:rPr>
                  <w:rFonts w:ascii="Cambria Math" w:hAnsi="Cambria Math"/>
                  <w:i/>
                  <w:color w:val="000000"/>
                  <w:lang w:val="es-ES" w:eastAsia="es-ES"/>
                </w:rPr>
              </m:ctrlPr>
            </m:sSubPr>
            <m:e>
              <m:r>
                <m:rPr>
                  <m:sty m:val="bi"/>
                </m:rPr>
                <w:rPr>
                  <w:rFonts w:ascii="Cambria Math" w:hAnsi="Cambria Math" w:cs="Arial"/>
                  <w:color w:val="000000"/>
                  <w:lang w:val="es-ES" w:eastAsia="es-ES"/>
                </w:rPr>
                <m:t>N</m:t>
              </m:r>
            </m:e>
            <m:sub>
              <m:r>
                <m:rPr>
                  <m:sty m:val="bi"/>
                </m:rPr>
                <w:rPr>
                  <w:rFonts w:ascii="Cambria Math" w:hAnsi="Cambria Math" w:cs="Arial"/>
                  <w:color w:val="000000"/>
                  <w:lang w:val="es-ES" w:eastAsia="es-ES"/>
                </w:rPr>
                <m:t>i</m:t>
              </m:r>
            </m:sub>
          </m:sSub>
          <m:r>
            <m:rPr>
              <m:sty m:val="bi"/>
            </m:rPr>
            <w:rPr>
              <w:rFonts w:ascii="Cambria Math" w:hAnsi="Cambria Math" w:cs="Arial"/>
              <w:color w:val="000000"/>
              <w:lang w:val="es-ES" w:eastAsia="es-ES"/>
            </w:rPr>
            <m:t xml:space="preserve">= </m:t>
          </m:r>
          <m:sSub>
            <m:sSubPr>
              <m:ctrlPr>
                <w:rPr>
                  <w:rFonts w:ascii="Cambria Math" w:hAnsi="Cambria Math"/>
                  <w:i/>
                  <w:color w:val="000000"/>
                  <w:lang w:val="es-ES" w:eastAsia="es-ES"/>
                </w:rPr>
              </m:ctrlPr>
            </m:sSubPr>
            <m:e>
              <m:r>
                <m:rPr>
                  <m:sty m:val="bi"/>
                </m:rPr>
                <w:rPr>
                  <w:rFonts w:ascii="Cambria Math" w:hAnsi="Cambria Math" w:cs="Arial"/>
                  <w:color w:val="000000"/>
                  <w:lang w:val="es-ES" w:eastAsia="es-ES"/>
                </w:rPr>
                <m:t>-β</m:t>
              </m:r>
            </m:e>
            <m:sub>
              <m:r>
                <m:rPr>
                  <m:sty m:val="bi"/>
                </m:rPr>
                <w:rPr>
                  <w:rFonts w:ascii="Cambria Math" w:hAnsi="Cambria Math" w:cs="Arial"/>
                  <w:color w:val="000000"/>
                  <w:lang w:val="es-ES" w:eastAsia="es-ES"/>
                </w:rPr>
                <m:t>Acción</m:t>
              </m:r>
            </m:sub>
          </m:sSub>
          <m:r>
            <m:rPr>
              <m:sty m:val="bi"/>
            </m:rPr>
            <w:rPr>
              <w:rFonts w:ascii="Cambria Math" w:hAnsi="Cambria Math" w:cs="Arial"/>
              <w:color w:val="000000"/>
              <w:lang w:val="es-ES" w:eastAsia="es-ES"/>
            </w:rPr>
            <m:t>*(</m:t>
          </m:r>
          <m:f>
            <m:fPr>
              <m:type m:val="lin"/>
              <m:ctrlPr>
                <w:rPr>
                  <w:rFonts w:ascii="Cambria Math" w:hAnsi="Cambria Math"/>
                  <w:i/>
                  <w:color w:val="000000"/>
                  <w:lang w:val="es-ES" w:eastAsia="es-ES"/>
                </w:rPr>
              </m:ctrlPr>
            </m:fPr>
            <m:num>
              <m:sSub>
                <m:sSubPr>
                  <m:ctrlPr>
                    <w:rPr>
                      <w:rFonts w:ascii="Cambria Math" w:hAnsi="Cambria Math"/>
                      <w:i/>
                      <w:color w:val="000000"/>
                      <w:lang w:val="es-ES" w:eastAsia="es-ES"/>
                    </w:rPr>
                  </m:ctrlPr>
                </m:sSubPr>
                <m:e>
                  <m:r>
                    <m:rPr>
                      <m:sty m:val="bi"/>
                    </m:rPr>
                    <w:rPr>
                      <w:rFonts w:ascii="Cambria Math" w:hAnsi="Cambria Math" w:cs="Arial"/>
                      <w:color w:val="000000"/>
                      <w:lang w:val="es-ES" w:eastAsia="es-ES"/>
                    </w:rPr>
                    <m:t>PrecioAcción</m:t>
                  </m:r>
                </m:e>
                <m:sub>
                  <m:r>
                    <m:rPr>
                      <m:sty m:val="bi"/>
                    </m:rPr>
                    <w:rPr>
                      <w:rFonts w:ascii="Cambria Math" w:hAnsi="Cambria Math" w:cs="Arial"/>
                      <w:color w:val="000000"/>
                      <w:lang w:val="es-ES" w:eastAsia="es-ES"/>
                    </w:rPr>
                    <m:t>i</m:t>
                  </m:r>
                </m:sub>
              </m:sSub>
            </m:num>
            <m:den>
              <m:sSub>
                <m:sSubPr>
                  <m:ctrlPr>
                    <w:rPr>
                      <w:rFonts w:ascii="Cambria Math" w:hAnsi="Cambria Math"/>
                      <w:i/>
                      <w:color w:val="000000"/>
                      <w:lang w:val="es-ES" w:eastAsia="es-ES"/>
                    </w:rPr>
                  </m:ctrlPr>
                </m:sSubPr>
                <m:e>
                  <m:r>
                    <m:rPr>
                      <m:sty m:val="bi"/>
                    </m:rPr>
                    <w:rPr>
                      <w:rFonts w:ascii="Cambria Math" w:hAnsi="Cambria Math" w:cs="Arial"/>
                      <w:color w:val="000000"/>
                      <w:lang w:val="es-ES" w:eastAsia="es-ES"/>
                    </w:rPr>
                    <m:t>PrecioÍndice</m:t>
                  </m:r>
                </m:e>
                <m:sub>
                  <m:r>
                    <m:rPr>
                      <m:sty m:val="bi"/>
                    </m:rPr>
                    <w:rPr>
                      <w:rFonts w:ascii="Cambria Math" w:hAnsi="Cambria Math" w:cs="Arial"/>
                      <w:color w:val="000000"/>
                      <w:lang w:val="es-ES" w:eastAsia="es-ES"/>
                    </w:rPr>
                    <m:t>i</m:t>
                  </m:r>
                </m:sub>
              </m:sSub>
              <m:r>
                <m:rPr>
                  <m:sty m:val="bi"/>
                </m:rPr>
                <w:rPr>
                  <w:rFonts w:ascii="Cambria Math" w:hAnsi="Cambria Math" w:cs="Arial"/>
                  <w:color w:val="000000"/>
                  <w:lang w:val="es-ES" w:eastAsia="es-ES"/>
                </w:rPr>
                <m:t>)</m:t>
              </m:r>
            </m:den>
          </m:f>
        </m:oMath>
      </m:oMathPara>
    </w:p>
    <w:p w14:paraId="3BBDEF6C" w14:textId="77777777" w:rsidR="00B93F48" w:rsidRPr="007C14BA" w:rsidRDefault="00B93F48" w:rsidP="00B93F48">
      <w:pPr>
        <w:autoSpaceDE w:val="0"/>
        <w:autoSpaceDN w:val="0"/>
        <w:adjustRightInd w:val="0"/>
        <w:ind w:left="142"/>
        <w:jc w:val="both"/>
        <w:rPr>
          <w:rFonts w:ascii="Arial Narrow" w:hAnsi="Arial Narrow" w:cs="Arial"/>
          <w:color w:val="000000"/>
          <w:lang w:val="es-ES" w:eastAsia="es-ES"/>
        </w:rPr>
      </w:pPr>
    </w:p>
    <w:p w14:paraId="0096D423" w14:textId="77777777" w:rsidR="00B93F48" w:rsidRPr="007C14BA" w:rsidRDefault="00B93F48" w:rsidP="00B93F48">
      <w:pPr>
        <w:autoSpaceDE w:val="0"/>
        <w:autoSpaceDN w:val="0"/>
        <w:adjustRightInd w:val="0"/>
        <w:ind w:left="142"/>
        <w:jc w:val="both"/>
        <w:rPr>
          <w:rFonts w:ascii="Arial Narrow" w:hAnsi="Arial Narrow" w:cs="Arial"/>
          <w:color w:val="000000"/>
          <w:lang w:val="es-ES" w:eastAsia="es-ES"/>
        </w:rPr>
      </w:pPr>
    </w:p>
    <w:p w14:paraId="3554E449" w14:textId="77777777" w:rsidR="00B93F48" w:rsidRPr="007C14BA" w:rsidRDefault="00B93F48" w:rsidP="00B93F48">
      <w:pPr>
        <w:autoSpaceDE w:val="0"/>
        <w:autoSpaceDN w:val="0"/>
        <w:adjustRightInd w:val="0"/>
        <w:ind w:left="142"/>
        <w:jc w:val="both"/>
        <w:rPr>
          <w:rFonts w:ascii="Arial Narrow" w:hAnsi="Arial Narrow" w:cs="Arial"/>
          <w:color w:val="000000"/>
          <w:lang w:val="es-ES" w:eastAsia="es-ES"/>
        </w:rPr>
      </w:pPr>
      <m:oMathPara>
        <m:oMath>
          <m:sSub>
            <m:sSubPr>
              <m:ctrlPr>
                <w:rPr>
                  <w:rFonts w:ascii="Cambria Math" w:hAnsi="Cambria Math" w:cs="Arial"/>
                  <w:i/>
                  <w:color w:val="000000"/>
                  <w:lang w:val="es-ES" w:eastAsia="es-ES"/>
                </w:rPr>
              </m:ctrlPr>
            </m:sSubPr>
            <m:e>
              <m:r>
                <m:rPr>
                  <m:sty m:val="bi"/>
                </m:rPr>
                <w:rPr>
                  <w:rFonts w:ascii="Cambria Math" w:hAnsi="Cambria Math" w:cs="Arial"/>
                  <w:color w:val="000000"/>
                  <w:lang w:val="es-ES" w:eastAsia="es-ES"/>
                </w:rPr>
                <m:t>N</m:t>
              </m:r>
            </m:e>
            <m:sub>
              <m:r>
                <m:rPr>
                  <m:sty m:val="bi"/>
                </m:rPr>
                <w:rPr>
                  <w:rFonts w:ascii="Cambria Math" w:hAnsi="Cambria Math" w:cs="Arial"/>
                  <w:color w:val="000000"/>
                  <w:lang w:val="es-ES" w:eastAsia="es-ES"/>
                </w:rPr>
                <m:t>i</m:t>
              </m:r>
            </m:sub>
          </m:sSub>
          <m:r>
            <m:rPr>
              <m:sty m:val="bi"/>
            </m:rPr>
            <w:rPr>
              <w:rFonts w:ascii="Cambria Math" w:hAnsi="Cambria Math" w:cs="Arial"/>
              <w:color w:val="000000"/>
              <w:lang w:val="es-ES" w:eastAsia="es-ES"/>
            </w:rPr>
            <m:t>= número de contratos de Índice para formar un spread</m:t>
          </m:r>
          <m:r>
            <m:rPr>
              <m:sty m:val="b"/>
            </m:rPr>
            <w:rPr>
              <w:rFonts w:ascii="Cambria Math" w:hAnsi="Cambria Math" w:cs="Arial"/>
              <w:color w:val="000000"/>
              <w:lang w:val="es-ES" w:eastAsia="es-ES"/>
            </w:rPr>
            <m:t xml:space="preserve"> </m:t>
          </m:r>
        </m:oMath>
      </m:oMathPara>
    </w:p>
    <w:p w14:paraId="14C68663" w14:textId="77777777" w:rsidR="00B93F48" w:rsidRPr="007C14BA" w:rsidRDefault="00B93F48" w:rsidP="00B93F48">
      <w:pPr>
        <w:autoSpaceDE w:val="0"/>
        <w:autoSpaceDN w:val="0"/>
        <w:adjustRightInd w:val="0"/>
        <w:ind w:left="142"/>
        <w:jc w:val="both"/>
        <w:rPr>
          <w:rFonts w:ascii="Arial Narrow" w:hAnsi="Arial Narrow" w:cs="Arial"/>
          <w:color w:val="000000"/>
          <w:lang w:val="es-ES" w:eastAsia="es-ES"/>
        </w:rPr>
      </w:pPr>
    </w:p>
    <w:p w14:paraId="1F1E35FB" w14:textId="77777777" w:rsidR="00B93F48" w:rsidRPr="007C14BA" w:rsidRDefault="00B93F48" w:rsidP="00B93F48">
      <w:pPr>
        <w:autoSpaceDE w:val="0"/>
        <w:autoSpaceDN w:val="0"/>
        <w:adjustRightInd w:val="0"/>
        <w:ind w:left="142"/>
        <w:jc w:val="both"/>
        <w:rPr>
          <w:rFonts w:ascii="Arial Narrow" w:hAnsi="Arial Narrow" w:cs="Arial"/>
          <w:color w:val="000000"/>
          <w:lang w:val="es-ES" w:eastAsia="es-ES"/>
        </w:rPr>
      </w:pPr>
    </w:p>
    <w:p w14:paraId="6509AE3E" w14:textId="77777777" w:rsidR="00B93F48" w:rsidRPr="007C14BA" w:rsidRDefault="00B93F48" w:rsidP="00B93F48">
      <w:pPr>
        <w:autoSpaceDE w:val="0"/>
        <w:autoSpaceDN w:val="0"/>
        <w:adjustRightInd w:val="0"/>
        <w:ind w:left="142"/>
        <w:jc w:val="both"/>
        <w:rPr>
          <w:rFonts w:ascii="Arial Narrow" w:hAnsi="Arial Narrow" w:cs="Arial"/>
          <w:color w:val="000000"/>
          <w:lang w:val="es-ES" w:eastAsia="es-ES"/>
        </w:rPr>
      </w:pPr>
      <m:oMathPara>
        <m:oMathParaPr>
          <m:jc m:val="left"/>
        </m:oMathParaPr>
        <m:oMath>
          <m:sSub>
            <m:sSubPr>
              <m:ctrlPr>
                <w:rPr>
                  <w:rFonts w:ascii="Cambria Math" w:hAnsi="Cambria Math"/>
                  <w:i/>
                  <w:color w:val="000000"/>
                  <w:lang w:val="es-ES" w:eastAsia="es-ES"/>
                </w:rPr>
              </m:ctrlPr>
            </m:sSubPr>
            <m:e>
              <m:r>
                <m:rPr>
                  <m:sty m:val="bi"/>
                </m:rPr>
                <w:rPr>
                  <w:rFonts w:ascii="Cambria Math" w:hAnsi="Cambria Math" w:cs="Arial"/>
                  <w:color w:val="000000"/>
                  <w:lang w:val="es-ES" w:eastAsia="es-ES"/>
                </w:rPr>
                <m:t>β</m:t>
              </m:r>
              <m:ctrlPr>
                <w:rPr>
                  <w:rFonts w:ascii="Cambria Math" w:hAnsi="Cambria Math" w:cs="Arial"/>
                  <w:i/>
                  <w:color w:val="000000"/>
                  <w:lang w:val="es-ES" w:eastAsia="es-ES"/>
                </w:rPr>
              </m:ctrlPr>
            </m:e>
            <m:sub>
              <m:r>
                <m:rPr>
                  <m:sty m:val="bi"/>
                </m:rPr>
                <w:rPr>
                  <w:rFonts w:ascii="Cambria Math" w:hAnsi="Cambria Math" w:cs="Arial"/>
                  <w:color w:val="000000"/>
                  <w:lang w:val="es-ES" w:eastAsia="es-ES"/>
                </w:rPr>
                <m:t>Acción</m:t>
              </m:r>
              <m:ctrlPr>
                <w:rPr>
                  <w:rFonts w:ascii="Cambria Math" w:hAnsi="Cambria Math" w:cs="Arial"/>
                  <w:i/>
                  <w:color w:val="000000"/>
                  <w:lang w:val="es-ES" w:eastAsia="es-ES"/>
                </w:rPr>
              </m:ctrlPr>
            </m:sub>
          </m:sSub>
          <m:r>
            <m:rPr>
              <m:sty m:val="bi"/>
            </m:rPr>
            <w:rPr>
              <w:rFonts w:ascii="Cambria Math" w:hAnsi="Cambria Math" w:cs="Arial"/>
              <w:color w:val="000000"/>
              <w:lang w:val="es-ES" w:eastAsia="es-ES"/>
            </w:rPr>
            <m:t>=</m:t>
          </m:r>
          <m:sSub>
            <m:sSubPr>
              <m:ctrlPr>
                <w:rPr>
                  <w:rFonts w:ascii="Cambria Math" w:hAnsi="Cambria Math"/>
                  <w:i/>
                  <w:color w:val="000000"/>
                  <w:lang w:val="es-ES" w:eastAsia="es-ES"/>
                </w:rPr>
              </m:ctrlPr>
            </m:sSubPr>
            <m:e>
              <m:r>
                <m:rPr>
                  <m:sty m:val="bi"/>
                </m:rPr>
                <w:rPr>
                  <w:rFonts w:ascii="Cambria Math" w:hAnsi="Cambria Math" w:cs="Arial"/>
                  <w:color w:val="000000"/>
                  <w:lang w:val="es-ES" w:eastAsia="es-ES"/>
                </w:rPr>
                <m:t>Crédito sobre garantías</m:t>
              </m:r>
              <m:ctrlPr>
                <w:rPr>
                  <w:rFonts w:ascii="Cambria Math" w:hAnsi="Cambria Math" w:cs="Arial"/>
                  <w:i/>
                  <w:color w:val="000000"/>
                  <w:lang w:val="es-ES" w:eastAsia="es-ES"/>
                </w:rPr>
              </m:ctrlPr>
            </m:e>
            <m:sub>
              <m:f>
                <m:fPr>
                  <m:ctrlPr>
                    <w:rPr>
                      <w:rFonts w:ascii="Cambria Math" w:hAnsi="Cambria Math" w:cs="Arial"/>
                      <w:i/>
                      <w:color w:val="000000"/>
                      <w:lang w:val="es-ES" w:eastAsia="es-ES"/>
                    </w:rPr>
                  </m:ctrlPr>
                </m:fPr>
                <m:num>
                  <m:r>
                    <m:rPr>
                      <m:sty m:val="bi"/>
                    </m:rPr>
                    <w:rPr>
                      <w:rFonts w:ascii="Cambria Math" w:hAnsi="Cambria Math" w:cs="Arial"/>
                      <w:color w:val="000000"/>
                      <w:lang w:val="es-ES" w:eastAsia="es-ES"/>
                    </w:rPr>
                    <m:t>Índice</m:t>
                  </m:r>
                </m:num>
                <m:den>
                  <m:r>
                    <m:rPr>
                      <m:sty m:val="bi"/>
                    </m:rPr>
                    <w:rPr>
                      <w:rFonts w:ascii="Cambria Math" w:hAnsi="Cambria Math" w:cs="Arial"/>
                      <w:color w:val="000000"/>
                      <w:lang w:val="es-ES" w:eastAsia="es-ES"/>
                    </w:rPr>
                    <m:t>Acción</m:t>
                  </m:r>
                </m:den>
              </m:f>
              <m:ctrlPr>
                <w:rPr>
                  <w:rFonts w:ascii="Cambria Math" w:hAnsi="Cambria Math" w:cs="Arial"/>
                  <w:i/>
                  <w:color w:val="000000"/>
                  <w:lang w:val="es-ES" w:eastAsia="es-ES"/>
                </w:rPr>
              </m:ctrlPr>
            </m:sub>
          </m:sSub>
          <m:r>
            <m:rPr>
              <m:sty m:val="bi"/>
            </m:rPr>
            <w:rPr>
              <w:rFonts w:ascii="Cambria Math" w:hAnsi="Cambria Math" w:cs="Arial"/>
              <w:color w:val="000000"/>
              <w:lang w:val="es-ES" w:eastAsia="es-ES"/>
            </w:rPr>
            <m:t>*</m:t>
          </m:r>
          <m:d>
            <m:dPr>
              <m:ctrlPr>
                <w:rPr>
                  <w:rFonts w:ascii="Cambria Math" w:hAnsi="Cambria Math" w:cs="Arial"/>
                  <w:i/>
                  <w:color w:val="000000"/>
                  <w:lang w:val="es-ES" w:eastAsia="es-ES"/>
                </w:rPr>
              </m:ctrlPr>
            </m:dPr>
            <m:e>
              <m:f>
                <m:fPr>
                  <m:type m:val="lin"/>
                  <m:ctrlPr>
                    <w:rPr>
                      <w:rFonts w:ascii="Cambria Math" w:hAnsi="Cambria Math"/>
                      <w:i/>
                      <w:color w:val="000000"/>
                      <w:lang w:val="es-ES" w:eastAsia="es-ES"/>
                    </w:rPr>
                  </m:ctrlPr>
                </m:fPr>
                <m:num>
                  <m:sSub>
                    <m:sSubPr>
                      <m:ctrlPr>
                        <w:rPr>
                          <w:rFonts w:ascii="Cambria Math" w:hAnsi="Cambria Math"/>
                          <w:i/>
                          <w:color w:val="000000"/>
                          <w:lang w:val="es-ES" w:eastAsia="es-ES"/>
                        </w:rPr>
                      </m:ctrlPr>
                    </m:sSubPr>
                    <m:e>
                      <m:r>
                        <m:rPr>
                          <m:sty m:val="bi"/>
                        </m:rPr>
                        <w:rPr>
                          <w:rFonts w:ascii="Cambria Math" w:hAnsi="Cambria Math" w:cs="Arial"/>
                          <w:color w:val="000000"/>
                          <w:lang w:val="es-ES" w:eastAsia="es-ES"/>
                        </w:rPr>
                        <m:t>Fluctu</m:t>
                      </m:r>
                      <m:r>
                        <m:rPr>
                          <m:sty m:val="bi"/>
                        </m:rPr>
                        <w:rPr>
                          <w:rFonts w:ascii="Cambria Math" w:hAnsi="Cambria Math" w:cs="Cambria Math"/>
                          <w:color w:val="000000"/>
                          <w:lang w:val="es-ES" w:eastAsia="es-ES"/>
                        </w:rPr>
                        <m:t>a</m:t>
                      </m:r>
                      <m:r>
                        <m:rPr>
                          <m:sty m:val="bi"/>
                        </m:rPr>
                        <w:rPr>
                          <w:rFonts w:ascii="Cambria Math" w:hAnsi="Cambria Math" w:cs="Arial"/>
                          <w:color w:val="000000"/>
                          <w:lang w:val="es-ES" w:eastAsia="es-ES"/>
                        </w:rPr>
                        <m:t>ciónTotal</m:t>
                      </m:r>
                      <m:ctrlPr>
                        <w:rPr>
                          <w:rFonts w:ascii="Cambria Math" w:hAnsi="Cambria Math" w:cs="Arial"/>
                          <w:i/>
                          <w:color w:val="000000"/>
                          <w:lang w:val="es-ES" w:eastAsia="es-ES"/>
                        </w:rPr>
                      </m:ctrlPr>
                    </m:e>
                    <m:sub>
                      <m:r>
                        <m:rPr>
                          <m:sty m:val="bi"/>
                        </m:rPr>
                        <w:rPr>
                          <w:rFonts w:ascii="Cambria Math" w:hAnsi="Cambria Math" w:cs="Arial"/>
                          <w:color w:val="000000"/>
                          <w:lang w:val="es-ES" w:eastAsia="es-ES"/>
                        </w:rPr>
                        <m:t>FuturoAcc</m:t>
                      </m:r>
                      <m:r>
                        <m:rPr>
                          <m:sty m:val="bi"/>
                        </m:rPr>
                        <w:rPr>
                          <w:rFonts w:ascii="Cambria Math" w:hAnsi="Cambria Math" w:cs="Cambria Math"/>
                          <w:color w:val="000000"/>
                          <w:lang w:val="es-ES" w:eastAsia="es-ES"/>
                        </w:rPr>
                        <m:t>i</m:t>
                      </m:r>
                      <m:r>
                        <m:rPr>
                          <m:sty m:val="bi"/>
                        </m:rPr>
                        <w:rPr>
                          <w:rFonts w:ascii="Cambria Math" w:hAnsi="Cambria Math" w:cs="Arial"/>
                          <w:color w:val="000000"/>
                          <w:lang w:val="es-ES" w:eastAsia="es-ES"/>
                        </w:rPr>
                        <m:t>ón</m:t>
                      </m:r>
                      <m:ctrlPr>
                        <w:rPr>
                          <w:rFonts w:ascii="Cambria Math" w:hAnsi="Cambria Math" w:cs="Arial"/>
                          <w:i/>
                          <w:color w:val="000000"/>
                          <w:lang w:val="es-ES" w:eastAsia="es-ES"/>
                        </w:rPr>
                      </m:ctrlPr>
                    </m:sub>
                  </m:sSub>
                  <m:ctrlPr>
                    <w:rPr>
                      <w:rFonts w:ascii="Cambria Math" w:hAnsi="Cambria Math" w:cs="Arial"/>
                      <w:i/>
                      <w:color w:val="000000"/>
                      <w:lang w:val="es-ES" w:eastAsia="es-ES"/>
                    </w:rPr>
                  </m:ctrlPr>
                </m:num>
                <m:den>
                  <m:sSub>
                    <m:sSubPr>
                      <m:ctrlPr>
                        <w:rPr>
                          <w:rFonts w:ascii="Cambria Math" w:hAnsi="Cambria Math"/>
                          <w:i/>
                          <w:color w:val="000000"/>
                          <w:lang w:val="es-ES" w:eastAsia="es-ES"/>
                        </w:rPr>
                      </m:ctrlPr>
                    </m:sSubPr>
                    <m:e>
                      <m:r>
                        <m:rPr>
                          <m:sty m:val="bi"/>
                        </m:rPr>
                        <w:rPr>
                          <w:rFonts w:ascii="Cambria Math" w:hAnsi="Cambria Math" w:cs="Arial"/>
                          <w:color w:val="000000"/>
                          <w:lang w:val="es-ES" w:eastAsia="es-ES"/>
                        </w:rPr>
                        <m:t>FluctuaciónTotal</m:t>
                      </m:r>
                      <m:ctrlPr>
                        <w:rPr>
                          <w:rFonts w:ascii="Cambria Math" w:hAnsi="Cambria Math" w:cs="Arial"/>
                          <w:i/>
                          <w:color w:val="000000"/>
                          <w:lang w:val="es-ES" w:eastAsia="es-ES"/>
                        </w:rPr>
                      </m:ctrlPr>
                    </m:e>
                    <m:sub>
                      <m:r>
                        <m:rPr>
                          <m:sty m:val="bi"/>
                        </m:rPr>
                        <w:rPr>
                          <w:rFonts w:ascii="Cambria Math" w:hAnsi="Cambria Math" w:cs="Arial"/>
                          <w:color w:val="000000"/>
                          <w:lang w:val="es-ES" w:eastAsia="es-ES"/>
                        </w:rPr>
                        <m:t>FuturoÍndice</m:t>
                      </m:r>
                      <m:ctrlPr>
                        <w:rPr>
                          <w:rFonts w:ascii="Cambria Math" w:hAnsi="Cambria Math" w:cs="Arial"/>
                          <w:i/>
                          <w:color w:val="000000"/>
                          <w:lang w:val="es-ES" w:eastAsia="es-ES"/>
                        </w:rPr>
                      </m:ctrlPr>
                    </m:sub>
                  </m:sSub>
                  <m:ctrlPr>
                    <w:rPr>
                      <w:rFonts w:ascii="Cambria Math" w:hAnsi="Cambria Math" w:cs="Arial"/>
                      <w:i/>
                      <w:color w:val="000000"/>
                      <w:lang w:val="es-ES" w:eastAsia="es-ES"/>
                    </w:rPr>
                  </m:ctrlPr>
                </m:den>
              </m:f>
            </m:e>
          </m:d>
        </m:oMath>
      </m:oMathPara>
    </w:p>
    <w:p w14:paraId="3F6E70BB" w14:textId="77777777" w:rsidR="00B93F48" w:rsidRPr="007C14BA" w:rsidRDefault="00B93F48" w:rsidP="00B93F48">
      <w:pPr>
        <w:autoSpaceDE w:val="0"/>
        <w:autoSpaceDN w:val="0"/>
        <w:adjustRightInd w:val="0"/>
        <w:ind w:left="142"/>
        <w:jc w:val="both"/>
        <w:rPr>
          <w:rFonts w:ascii="Arial Narrow" w:hAnsi="Arial Narrow" w:cs="Arial"/>
          <w:color w:val="000000"/>
          <w:lang w:val="es-ES" w:eastAsia="es-ES"/>
        </w:rPr>
      </w:pPr>
    </w:p>
    <w:p w14:paraId="0AE77CD2" w14:textId="77777777" w:rsidR="00B93F48" w:rsidRPr="007C14BA" w:rsidRDefault="00B93F48" w:rsidP="00B93F48">
      <w:pPr>
        <w:autoSpaceDE w:val="0"/>
        <w:autoSpaceDN w:val="0"/>
        <w:adjustRightInd w:val="0"/>
        <w:ind w:left="142"/>
        <w:jc w:val="both"/>
        <w:rPr>
          <w:rFonts w:ascii="Arial Narrow" w:hAnsi="Arial Narrow" w:cs="Arial"/>
          <w:color w:val="000000"/>
          <w:lang w:val="es-ES" w:eastAsia="es-ES"/>
        </w:rPr>
      </w:pPr>
      <m:oMathPara>
        <m:oMath>
          <m:sSub>
            <m:sSubPr>
              <m:ctrlPr>
                <w:rPr>
                  <w:rFonts w:ascii="Cambria Math" w:hAnsi="Cambria Math" w:cs="Arial"/>
                  <w:i/>
                  <w:color w:val="000000"/>
                  <w:lang w:val="es-ES" w:eastAsia="es-ES"/>
                </w:rPr>
              </m:ctrlPr>
            </m:sSubPr>
            <m:e>
              <m:r>
                <m:rPr>
                  <m:sty m:val="bi"/>
                </m:rPr>
                <w:rPr>
                  <w:rFonts w:ascii="Cambria Math" w:hAnsi="Cambria Math" w:cs="Arial"/>
                  <w:color w:val="000000"/>
                  <w:lang w:val="es-ES" w:eastAsia="es-ES"/>
                </w:rPr>
                <m:t>PrecioAcción</m:t>
              </m:r>
            </m:e>
            <m:sub>
              <m:r>
                <m:rPr>
                  <m:sty m:val="bi"/>
                </m:rPr>
                <w:rPr>
                  <w:rFonts w:ascii="Cambria Math" w:hAnsi="Cambria Math" w:cs="Arial"/>
                  <w:color w:val="000000"/>
                  <w:lang w:val="es-ES" w:eastAsia="es-ES"/>
                </w:rPr>
                <m:t>i</m:t>
              </m:r>
            </m:sub>
          </m:sSub>
          <m:r>
            <m:rPr>
              <m:sty m:val="bi"/>
            </m:rPr>
            <w:rPr>
              <w:rFonts w:ascii="Cambria Math" w:hAnsi="Cambria Math" w:cs="Arial"/>
              <w:color w:val="000000"/>
              <w:lang w:val="es-ES" w:eastAsia="es-ES"/>
            </w:rPr>
            <m:t>=  Precio de cierre de l</m:t>
          </m:r>
          <m:r>
            <m:rPr>
              <m:sty m:val="bi"/>
            </m:rPr>
            <w:rPr>
              <w:rFonts w:ascii="Cambria Math" w:hAnsi="Cambria Math" w:cs="Cambria Math"/>
              <w:color w:val="000000"/>
              <w:lang w:val="es-ES" w:eastAsia="es-ES"/>
            </w:rPr>
            <m:t>a</m:t>
          </m:r>
          <m:r>
            <m:rPr>
              <m:sty m:val="bi"/>
            </m:rPr>
            <w:rPr>
              <w:rFonts w:ascii="Cambria Math" w:hAnsi="Cambria Math" w:cs="Arial"/>
              <w:color w:val="000000"/>
              <w:lang w:val="es-ES" w:eastAsia="es-ES"/>
            </w:rPr>
            <m:t xml:space="preserve"> acción para el día i, publicado por la BVC</m:t>
          </m:r>
        </m:oMath>
      </m:oMathPara>
    </w:p>
    <w:p w14:paraId="6DAC3152" w14:textId="77777777" w:rsidR="00B93F48" w:rsidRPr="007C14BA" w:rsidRDefault="00B93F48" w:rsidP="00B93F48">
      <w:pPr>
        <w:autoSpaceDE w:val="0"/>
        <w:autoSpaceDN w:val="0"/>
        <w:adjustRightInd w:val="0"/>
        <w:ind w:left="142"/>
        <w:jc w:val="both"/>
        <w:rPr>
          <w:rFonts w:ascii="Arial Narrow" w:hAnsi="Arial Narrow" w:cs="Arial"/>
          <w:color w:val="000000"/>
          <w:lang w:val="es-ES" w:eastAsia="es-ES"/>
        </w:rPr>
      </w:pPr>
    </w:p>
    <w:p w14:paraId="01ECF700" w14:textId="77777777" w:rsidR="00B93F48" w:rsidRPr="007C14BA" w:rsidRDefault="00B93F48" w:rsidP="00B93F48">
      <w:pPr>
        <w:autoSpaceDE w:val="0"/>
        <w:autoSpaceDN w:val="0"/>
        <w:adjustRightInd w:val="0"/>
        <w:ind w:left="142"/>
        <w:jc w:val="both"/>
        <w:rPr>
          <w:rFonts w:ascii="Arial Narrow" w:hAnsi="Arial Narrow" w:cs="Arial"/>
          <w:color w:val="000000"/>
          <w:lang w:val="es-ES" w:eastAsia="es-ES"/>
        </w:rPr>
      </w:pPr>
      <m:oMathPara>
        <m:oMath>
          <m:sSub>
            <m:sSubPr>
              <m:ctrlPr>
                <w:rPr>
                  <w:rFonts w:ascii="Cambria Math" w:hAnsi="Cambria Math" w:cs="Arial"/>
                  <w:i/>
                  <w:color w:val="000000"/>
                  <w:lang w:val="es-ES" w:eastAsia="es-ES"/>
                </w:rPr>
              </m:ctrlPr>
            </m:sSubPr>
            <m:e>
              <m:r>
                <m:rPr>
                  <m:sty m:val="bi"/>
                </m:rPr>
                <w:rPr>
                  <w:rFonts w:ascii="Cambria Math" w:hAnsi="Cambria Math" w:cs="Arial"/>
                  <w:color w:val="000000"/>
                  <w:lang w:val="es-ES" w:eastAsia="es-ES"/>
                </w:rPr>
                <m:t>P</m:t>
              </m:r>
              <m:r>
                <m:rPr>
                  <m:sty m:val="bi"/>
                </m:rPr>
                <w:rPr>
                  <w:rFonts w:ascii="Cambria Math" w:hAnsi="Cambria Math" w:cs="Cambria Math"/>
                  <w:color w:val="000000"/>
                  <w:lang w:val="es-ES" w:eastAsia="es-ES"/>
                </w:rPr>
                <m:t>r</m:t>
              </m:r>
              <m:r>
                <m:rPr>
                  <m:sty m:val="bi"/>
                </m:rPr>
                <w:rPr>
                  <w:rFonts w:ascii="Cambria Math" w:hAnsi="Cambria Math" w:cs="Arial"/>
                  <w:color w:val="000000"/>
                  <w:lang w:val="es-ES" w:eastAsia="es-ES"/>
                </w:rPr>
                <m:t>ecioín</m:t>
              </m:r>
              <m:r>
                <m:rPr>
                  <m:sty m:val="bi"/>
                </m:rPr>
                <w:rPr>
                  <w:rFonts w:ascii="Cambria Math" w:hAnsi="Cambria Math" w:cs="Cambria Math"/>
                  <w:color w:val="000000"/>
                  <w:lang w:val="es-ES" w:eastAsia="es-ES"/>
                </w:rPr>
                <m:t>d</m:t>
              </m:r>
              <m:r>
                <m:rPr>
                  <m:sty m:val="bi"/>
                </m:rPr>
                <w:rPr>
                  <w:rFonts w:ascii="Cambria Math" w:hAnsi="Cambria Math" w:cs="Arial"/>
                  <w:color w:val="000000"/>
                  <w:lang w:val="es-ES" w:eastAsia="es-ES"/>
                </w:rPr>
                <m:t>ice</m:t>
              </m:r>
            </m:e>
            <m:sub>
              <m:r>
                <m:rPr>
                  <m:sty m:val="bi"/>
                </m:rPr>
                <w:rPr>
                  <w:rFonts w:ascii="Cambria Math" w:hAnsi="Cambria Math" w:cs="Arial"/>
                  <w:color w:val="000000"/>
                  <w:lang w:val="es-ES" w:eastAsia="es-ES"/>
                </w:rPr>
                <m:t>i</m:t>
              </m:r>
            </m:sub>
          </m:sSub>
          <m:r>
            <m:rPr>
              <m:sty m:val="bi"/>
            </m:rPr>
            <w:rPr>
              <w:rFonts w:ascii="Cambria Math" w:hAnsi="Cambria Math" w:cs="Arial"/>
              <w:color w:val="000000"/>
              <w:lang w:val="es-ES" w:eastAsia="es-ES"/>
            </w:rPr>
            <m:t>= Precio de cierre del índice para el día i, publicado por la BVC</m:t>
          </m:r>
        </m:oMath>
      </m:oMathPara>
    </w:p>
    <w:p w14:paraId="7ACC772A" w14:textId="77777777" w:rsidR="00B93F48" w:rsidRPr="007C14BA" w:rsidRDefault="00B93F48" w:rsidP="00B93F48">
      <w:pPr>
        <w:autoSpaceDE w:val="0"/>
        <w:autoSpaceDN w:val="0"/>
        <w:adjustRightInd w:val="0"/>
        <w:ind w:left="142"/>
        <w:jc w:val="both"/>
        <w:rPr>
          <w:rFonts w:ascii="Arial Narrow" w:hAnsi="Arial Narrow" w:cs="Arial"/>
          <w:color w:val="000000"/>
          <w:lang w:val="es-ES" w:eastAsia="es-ES"/>
        </w:rPr>
      </w:pPr>
    </w:p>
    <w:p w14:paraId="110480FF" w14:textId="77777777" w:rsidR="00B93F48" w:rsidRPr="007C14BA" w:rsidRDefault="00B93F48" w:rsidP="00B93F48">
      <w:pPr>
        <w:autoSpaceDE w:val="0"/>
        <w:autoSpaceDN w:val="0"/>
        <w:adjustRightInd w:val="0"/>
        <w:ind w:left="142"/>
        <w:jc w:val="both"/>
        <w:rPr>
          <w:rFonts w:ascii="Arial Narrow" w:hAnsi="Arial Narrow" w:cs="Arial"/>
          <w:color w:val="000000"/>
          <w:lang w:val="es-ES" w:eastAsia="es-ES"/>
        </w:rPr>
      </w:pPr>
      <m:oMathPara>
        <m:oMath>
          <m:r>
            <m:rPr>
              <m:sty m:val="bi"/>
            </m:rPr>
            <w:rPr>
              <w:rFonts w:ascii="Cambria Math" w:hAnsi="Cambria Math" w:cs="Arial"/>
              <w:color w:val="000000"/>
              <w:lang w:val="es-ES" w:eastAsia="es-ES"/>
            </w:rPr>
            <m:t xml:space="preserve">i=día sobre el que </m:t>
          </m:r>
          <m:r>
            <m:rPr>
              <m:sty m:val="bi"/>
            </m:rPr>
            <w:rPr>
              <w:rFonts w:ascii="Cambria Math" w:hAnsi="Cambria Math" w:cs="Cambria Math"/>
              <w:color w:val="000000"/>
              <w:lang w:val="es-ES" w:eastAsia="es-ES"/>
            </w:rPr>
            <m:t>s</m:t>
          </m:r>
          <m:r>
            <m:rPr>
              <m:sty m:val="bi"/>
            </m:rPr>
            <w:rPr>
              <w:rFonts w:ascii="Cambria Math" w:hAnsi="Cambria Math" w:cs="Arial"/>
              <w:color w:val="000000"/>
              <w:lang w:val="es-ES" w:eastAsia="es-ES"/>
            </w:rPr>
            <m:t>e está realizando el cálculo</m:t>
          </m:r>
        </m:oMath>
      </m:oMathPara>
    </w:p>
    <w:p w14:paraId="74D56F0E" w14:textId="77777777" w:rsidR="00B93F48" w:rsidRPr="007C14BA" w:rsidRDefault="00B93F48" w:rsidP="00B93F48">
      <w:pPr>
        <w:autoSpaceDE w:val="0"/>
        <w:autoSpaceDN w:val="0"/>
        <w:adjustRightInd w:val="0"/>
        <w:ind w:left="142"/>
        <w:jc w:val="both"/>
        <w:rPr>
          <w:rFonts w:ascii="Arial Narrow" w:hAnsi="Arial Narrow" w:cs="Arial"/>
          <w:color w:val="000000"/>
          <w:lang w:val="es-ES" w:eastAsia="es-ES"/>
        </w:rPr>
      </w:pPr>
    </w:p>
    <w:p w14:paraId="3B1263AC" w14:textId="77777777" w:rsidR="00B93F48" w:rsidRPr="007C14BA" w:rsidRDefault="00B93F48" w:rsidP="00B93F48">
      <w:pPr>
        <w:autoSpaceDE w:val="0"/>
        <w:autoSpaceDN w:val="0"/>
        <w:adjustRightInd w:val="0"/>
        <w:ind w:left="142"/>
        <w:jc w:val="both"/>
        <w:rPr>
          <w:rFonts w:ascii="Arial Narrow" w:hAnsi="Arial Narrow" w:cs="Arial"/>
          <w:color w:val="000000"/>
          <w:lang w:val="es-ES" w:eastAsia="es-ES"/>
        </w:rPr>
      </w:pPr>
      <m:oMathPara>
        <m:oMath>
          <m:r>
            <m:rPr>
              <m:sty m:val="bi"/>
            </m:rPr>
            <w:rPr>
              <w:rFonts w:ascii="Cambria Math" w:hAnsi="Cambria Math" w:cs="Arial"/>
              <w:color w:val="000000"/>
              <w:lang w:val="es-ES" w:eastAsia="es-ES"/>
            </w:rPr>
            <m:t xml:space="preserve">n=ventana de los últimos  </m:t>
          </m:r>
          <m:r>
            <m:rPr>
              <m:sty m:val="bi"/>
            </m:rPr>
            <w:rPr>
              <w:rFonts w:ascii="Cambria Math" w:hAnsi="Cambria Math" w:cs="Cambria Math"/>
              <w:color w:val="000000"/>
              <w:lang w:val="es-ES" w:eastAsia="es-ES"/>
            </w:rPr>
            <m:t>2</m:t>
          </m:r>
          <m:r>
            <m:rPr>
              <m:sty m:val="bi"/>
            </m:rPr>
            <w:rPr>
              <w:rFonts w:ascii="Cambria Math" w:hAnsi="Cambria Math" w:cs="Arial"/>
              <w:color w:val="000000"/>
              <w:lang w:val="es-ES" w:eastAsia="es-ES"/>
            </w:rPr>
            <m:t>52 días hábiles</m:t>
          </m:r>
        </m:oMath>
      </m:oMathPara>
    </w:p>
    <w:p w14:paraId="020484A7" w14:textId="77777777" w:rsidR="007968EC" w:rsidRDefault="007968EC" w:rsidP="007968EC">
      <w:pPr>
        <w:autoSpaceDE w:val="0"/>
        <w:autoSpaceDN w:val="0"/>
        <w:adjustRightInd w:val="0"/>
        <w:ind w:left="142"/>
        <w:jc w:val="both"/>
        <w:rPr>
          <w:rFonts w:ascii="Arial Narrow" w:hAnsi="Arial Narrow" w:cs="Arial Narrow"/>
          <w:color w:val="000000"/>
          <w:lang w:val="es-ES" w:eastAsia="es-ES"/>
        </w:rPr>
      </w:pPr>
    </w:p>
    <w:p w14:paraId="0261A229" w14:textId="77777777" w:rsidR="007968EC" w:rsidRDefault="007968EC" w:rsidP="007968EC">
      <w:pPr>
        <w:autoSpaceDE w:val="0"/>
        <w:autoSpaceDN w:val="0"/>
        <w:adjustRightInd w:val="0"/>
        <w:ind w:left="142"/>
        <w:jc w:val="both"/>
        <w:rPr>
          <w:rFonts w:ascii="Arial Narrow" w:hAnsi="Arial Narrow" w:cs="Arial Narrow"/>
          <w:color w:val="000000"/>
          <w:lang w:val="es-ES" w:eastAsia="es-ES"/>
        </w:rPr>
      </w:pPr>
      <w:r>
        <w:rPr>
          <w:rFonts w:ascii="Arial Narrow" w:hAnsi="Arial Narrow" w:cs="Arial Narrow"/>
          <w:color w:val="000000"/>
          <w:lang w:val="es-ES" w:eastAsia="es-ES"/>
        </w:rPr>
        <w:t>Nota: Este cálculo se realiza mensualmente, tomando como período de estimación los 252 días hábiles hasta el último día del mes anterior y aplica para todo el siguiente mes.</w:t>
      </w:r>
    </w:p>
    <w:p w14:paraId="7696A7CE" w14:textId="77777777" w:rsidR="007968EC" w:rsidRDefault="007968EC" w:rsidP="007968EC">
      <w:pPr>
        <w:autoSpaceDE w:val="0"/>
        <w:autoSpaceDN w:val="0"/>
        <w:adjustRightInd w:val="0"/>
        <w:ind w:left="142"/>
        <w:jc w:val="both"/>
        <w:rPr>
          <w:rFonts w:ascii="Arial Narrow" w:hAnsi="Arial Narrow" w:cs="Arial Narrow"/>
          <w:color w:val="000000"/>
          <w:lang w:val="es-ES" w:eastAsia="es-ES"/>
        </w:rPr>
      </w:pPr>
    </w:p>
    <w:p w14:paraId="0CB0816C" w14:textId="77777777" w:rsidR="007968EC" w:rsidRDefault="007968EC" w:rsidP="007968EC">
      <w:pPr>
        <w:autoSpaceDE w:val="0"/>
        <w:autoSpaceDN w:val="0"/>
        <w:adjustRightInd w:val="0"/>
        <w:ind w:left="142"/>
        <w:jc w:val="both"/>
        <w:rPr>
          <w:rFonts w:ascii="Arial Narrow" w:hAnsi="Arial Narrow" w:cs="Arial Narrow"/>
          <w:color w:val="000000"/>
          <w:lang w:val="es-ES" w:eastAsia="es-ES"/>
        </w:rPr>
      </w:pPr>
      <w:r>
        <w:rPr>
          <w:rFonts w:ascii="Arial Narrow" w:hAnsi="Arial Narrow" w:cs="Arial Narrow"/>
          <w:color w:val="000000"/>
          <w:lang w:val="es-ES" w:eastAsia="es-ES"/>
        </w:rPr>
        <w:t>En caso de que se presente un evento corporativo que afecte el precio de alguna de las acciones, se tomará para la estimación la información disponible después de este.</w:t>
      </w:r>
    </w:p>
    <w:p w14:paraId="6A61B452" w14:textId="77777777" w:rsidR="007968EC" w:rsidRDefault="007968EC" w:rsidP="007968EC">
      <w:pPr>
        <w:autoSpaceDE w:val="0"/>
        <w:autoSpaceDN w:val="0"/>
        <w:adjustRightInd w:val="0"/>
        <w:ind w:left="142"/>
        <w:jc w:val="both"/>
        <w:rPr>
          <w:rFonts w:ascii="Arial Narrow" w:hAnsi="Arial Narrow" w:cs="Arial Narrow"/>
          <w:color w:val="000000"/>
          <w:lang w:val="es-ES" w:eastAsia="es-ES"/>
        </w:rPr>
      </w:pPr>
    </w:p>
    <w:p w14:paraId="414F8E72" w14:textId="77777777" w:rsidR="007968EC" w:rsidRDefault="007968EC" w:rsidP="007968EC">
      <w:pPr>
        <w:ind w:left="142"/>
        <w:jc w:val="both"/>
        <w:rPr>
          <w:rFonts w:ascii="Arial Narrow" w:hAnsi="Arial Narrow" w:cs="Arial"/>
          <w:color w:val="000000"/>
          <w:lang w:val="es-ES" w:eastAsia="es-ES"/>
        </w:rPr>
      </w:pPr>
      <w:r>
        <w:rPr>
          <w:rFonts w:ascii="Arial Narrow" w:hAnsi="Arial Narrow" w:cs="Arial"/>
          <w:color w:val="000000"/>
          <w:lang w:val="es-ES" w:eastAsia="es-ES"/>
        </w:rPr>
        <w:t>Así mismo, se utilizará el mismo delta para formar un (1) Spread calculado para los Futuros sobre Acciones (Ecopetrol, Preferencial Bancolombia, Preferencial Aval) para la compensación entre las Opciones sobre Acciones (Ecopetrol, Preferencial Bancolombia, Preferencial Aval).</w:t>
      </w:r>
    </w:p>
    <w:p w14:paraId="24189165" w14:textId="77777777" w:rsidR="007968EC" w:rsidRDefault="007968EC" w:rsidP="007968EC">
      <w:pPr>
        <w:autoSpaceDE w:val="0"/>
        <w:autoSpaceDN w:val="0"/>
        <w:rPr>
          <w:rFonts w:ascii="Arial Narrow" w:eastAsia="Calibri" w:hAnsi="Arial Narrow"/>
          <w:b/>
          <w:bCs/>
          <w:color w:val="000000"/>
          <w:lang w:eastAsia="en-US"/>
        </w:rPr>
      </w:pPr>
    </w:p>
    <w:p w14:paraId="5D8E8B55" w14:textId="77777777" w:rsidR="007968EC" w:rsidRDefault="007968EC" w:rsidP="00DA7472">
      <w:pPr>
        <w:numPr>
          <w:ilvl w:val="0"/>
          <w:numId w:val="367"/>
        </w:numPr>
        <w:spacing w:after="160" w:line="256" w:lineRule="auto"/>
        <w:ind w:left="284"/>
        <w:jc w:val="both"/>
        <w:rPr>
          <w:rFonts w:ascii="Arial Narrow" w:eastAsia="Calibri" w:hAnsi="Arial Narrow"/>
          <w:color w:val="000000"/>
          <w:lang w:eastAsia="en-US"/>
        </w:rPr>
      </w:pPr>
      <w:r>
        <w:rPr>
          <w:rFonts w:ascii="Arial Narrow" w:eastAsia="Calibri" w:hAnsi="Arial Narrow"/>
          <w:color w:val="000000"/>
          <w:lang w:eastAsia="en-US"/>
        </w:rPr>
        <w:t>Orden para la compensación entre grupos del Contrato Futuro sobre Electricidad Mensual y los grupos del Contrato Mini de Futuro sobre Electricidad Mensual:</w:t>
      </w:r>
    </w:p>
    <w:tbl>
      <w:tblPr>
        <w:tblW w:w="43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0"/>
        <w:gridCol w:w="1902"/>
        <w:gridCol w:w="1755"/>
        <w:gridCol w:w="1755"/>
        <w:gridCol w:w="1219"/>
      </w:tblGrid>
      <w:tr w:rsidR="007968EC" w14:paraId="6A7D9847" w14:textId="77777777" w:rsidTr="007968EC">
        <w:trPr>
          <w:trHeight w:val="1037"/>
          <w:jc w:val="center"/>
        </w:trPr>
        <w:tc>
          <w:tcPr>
            <w:tcW w:w="897" w:type="pct"/>
            <w:tcBorders>
              <w:top w:val="single" w:sz="4" w:space="0" w:color="auto"/>
              <w:left w:val="single" w:sz="4" w:space="0" w:color="auto"/>
              <w:bottom w:val="single" w:sz="4" w:space="0" w:color="auto"/>
              <w:right w:val="single" w:sz="4" w:space="0" w:color="auto"/>
            </w:tcBorders>
            <w:vAlign w:val="center"/>
            <w:hideMark/>
          </w:tcPr>
          <w:p w14:paraId="40842C32"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Grupos de Vencimientos</w:t>
            </w:r>
          </w:p>
        </w:tc>
        <w:tc>
          <w:tcPr>
            <w:tcW w:w="1177" w:type="pct"/>
            <w:tcBorders>
              <w:top w:val="single" w:sz="4" w:space="0" w:color="auto"/>
              <w:left w:val="single" w:sz="4" w:space="0" w:color="auto"/>
              <w:bottom w:val="single" w:sz="4" w:space="0" w:color="auto"/>
              <w:right w:val="single" w:sz="4" w:space="0" w:color="auto"/>
            </w:tcBorders>
            <w:vAlign w:val="center"/>
            <w:hideMark/>
          </w:tcPr>
          <w:p w14:paraId="29A05EB8"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Orden de Compensación</w:t>
            </w:r>
          </w:p>
        </w:tc>
        <w:tc>
          <w:tcPr>
            <w:tcW w:w="1086" w:type="pct"/>
            <w:tcBorders>
              <w:top w:val="single" w:sz="4" w:space="0" w:color="auto"/>
              <w:left w:val="single" w:sz="4" w:space="0" w:color="auto"/>
              <w:bottom w:val="single" w:sz="4" w:space="0" w:color="auto"/>
              <w:right w:val="single" w:sz="4" w:space="0" w:color="auto"/>
            </w:tcBorders>
            <w:vAlign w:val="center"/>
            <w:hideMark/>
          </w:tcPr>
          <w:p w14:paraId="085E898C"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Vencimientos Contrato Futuro sobre Electricidad Mensual</w:t>
            </w:r>
          </w:p>
        </w:tc>
        <w:tc>
          <w:tcPr>
            <w:tcW w:w="1086" w:type="pct"/>
            <w:tcBorders>
              <w:top w:val="single" w:sz="4" w:space="0" w:color="auto"/>
              <w:left w:val="single" w:sz="4" w:space="0" w:color="auto"/>
              <w:bottom w:val="single" w:sz="4" w:space="0" w:color="auto"/>
              <w:right w:val="single" w:sz="4" w:space="0" w:color="auto"/>
            </w:tcBorders>
            <w:vAlign w:val="center"/>
            <w:hideMark/>
          </w:tcPr>
          <w:p w14:paraId="2DCF6506"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Vencimientos Contrato Mini de Futuro sobre Electricidad Mensual</w:t>
            </w:r>
          </w:p>
        </w:tc>
        <w:tc>
          <w:tcPr>
            <w:tcW w:w="754" w:type="pct"/>
            <w:tcBorders>
              <w:top w:val="single" w:sz="4" w:space="0" w:color="auto"/>
              <w:left w:val="single" w:sz="4" w:space="0" w:color="auto"/>
              <w:bottom w:val="single" w:sz="4" w:space="0" w:color="auto"/>
              <w:right w:val="single" w:sz="4" w:space="0" w:color="auto"/>
            </w:tcBorders>
            <w:vAlign w:val="center"/>
            <w:hideMark/>
          </w:tcPr>
          <w:p w14:paraId="0863749E"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Crédito sobre Garantías</w:t>
            </w:r>
          </w:p>
        </w:tc>
      </w:tr>
      <w:tr w:rsidR="007968EC" w14:paraId="1C696A21" w14:textId="77777777" w:rsidTr="007968EC">
        <w:trPr>
          <w:trHeight w:val="265"/>
          <w:jc w:val="center"/>
        </w:trPr>
        <w:tc>
          <w:tcPr>
            <w:tcW w:w="897" w:type="pct"/>
            <w:vMerge w:val="restart"/>
            <w:tcBorders>
              <w:top w:val="single" w:sz="4" w:space="0" w:color="auto"/>
              <w:left w:val="single" w:sz="4" w:space="0" w:color="auto"/>
              <w:bottom w:val="single" w:sz="4" w:space="0" w:color="auto"/>
              <w:right w:val="single" w:sz="4" w:space="0" w:color="auto"/>
            </w:tcBorders>
            <w:vAlign w:val="center"/>
            <w:hideMark/>
          </w:tcPr>
          <w:p w14:paraId="6F47D58D"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Grupo 1</w:t>
            </w:r>
          </w:p>
        </w:tc>
        <w:tc>
          <w:tcPr>
            <w:tcW w:w="1177" w:type="pct"/>
            <w:tcBorders>
              <w:top w:val="single" w:sz="4" w:space="0" w:color="auto"/>
              <w:left w:val="single" w:sz="4" w:space="0" w:color="auto"/>
              <w:bottom w:val="single" w:sz="4" w:space="0" w:color="auto"/>
              <w:right w:val="single" w:sz="4" w:space="0" w:color="auto"/>
            </w:tcBorders>
            <w:noWrap/>
            <w:vAlign w:val="center"/>
            <w:hideMark/>
          </w:tcPr>
          <w:p w14:paraId="31D8626F"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1</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5544F87E"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51FDCE24"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w:t>
            </w:r>
          </w:p>
        </w:tc>
        <w:tc>
          <w:tcPr>
            <w:tcW w:w="754" w:type="pct"/>
            <w:tcBorders>
              <w:top w:val="single" w:sz="4" w:space="0" w:color="auto"/>
              <w:left w:val="single" w:sz="4" w:space="0" w:color="auto"/>
              <w:bottom w:val="single" w:sz="4" w:space="0" w:color="auto"/>
              <w:right w:val="single" w:sz="4" w:space="0" w:color="auto"/>
            </w:tcBorders>
            <w:vAlign w:val="center"/>
            <w:hideMark/>
          </w:tcPr>
          <w:p w14:paraId="10DA2927"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90%</w:t>
            </w:r>
          </w:p>
        </w:tc>
      </w:tr>
      <w:tr w:rsidR="007968EC" w14:paraId="4B50CAEC" w14:textId="77777777" w:rsidTr="007968EC">
        <w:trPr>
          <w:trHeight w:val="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1926DE" w14:textId="77777777" w:rsidR="007968EC" w:rsidRDefault="007968EC" w:rsidP="007968EC">
            <w:pPr>
              <w:spacing w:line="256" w:lineRule="auto"/>
              <w:rPr>
                <w:rFonts w:ascii="Arial Narrow" w:eastAsia="Calibri" w:hAnsi="Arial Narrow"/>
                <w:b/>
                <w:bCs/>
                <w:color w:val="000000"/>
                <w:lang w:eastAsia="en-US"/>
              </w:rPr>
            </w:pPr>
          </w:p>
        </w:tc>
        <w:tc>
          <w:tcPr>
            <w:tcW w:w="1177" w:type="pct"/>
            <w:tcBorders>
              <w:top w:val="single" w:sz="4" w:space="0" w:color="auto"/>
              <w:left w:val="single" w:sz="4" w:space="0" w:color="auto"/>
              <w:bottom w:val="single" w:sz="4" w:space="0" w:color="auto"/>
              <w:right w:val="single" w:sz="4" w:space="0" w:color="auto"/>
            </w:tcBorders>
            <w:noWrap/>
            <w:vAlign w:val="center"/>
            <w:hideMark/>
          </w:tcPr>
          <w:p w14:paraId="46F4D2F0"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2</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394D152F"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2</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5D32774D"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2</w:t>
            </w:r>
          </w:p>
        </w:tc>
        <w:tc>
          <w:tcPr>
            <w:tcW w:w="754" w:type="pct"/>
            <w:tcBorders>
              <w:top w:val="single" w:sz="4" w:space="0" w:color="auto"/>
              <w:left w:val="single" w:sz="4" w:space="0" w:color="auto"/>
              <w:bottom w:val="single" w:sz="4" w:space="0" w:color="auto"/>
              <w:right w:val="single" w:sz="4" w:space="0" w:color="auto"/>
            </w:tcBorders>
            <w:vAlign w:val="center"/>
            <w:hideMark/>
          </w:tcPr>
          <w:p w14:paraId="7417ACE5"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90%</w:t>
            </w:r>
          </w:p>
        </w:tc>
      </w:tr>
      <w:tr w:rsidR="007968EC" w14:paraId="18CA883C" w14:textId="77777777" w:rsidTr="007968EC">
        <w:trPr>
          <w:trHeight w:val="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8591C7" w14:textId="77777777" w:rsidR="007968EC" w:rsidRDefault="007968EC" w:rsidP="007968EC">
            <w:pPr>
              <w:spacing w:line="256" w:lineRule="auto"/>
              <w:rPr>
                <w:rFonts w:ascii="Arial Narrow" w:eastAsia="Calibri" w:hAnsi="Arial Narrow"/>
                <w:b/>
                <w:bCs/>
                <w:color w:val="000000"/>
                <w:lang w:eastAsia="en-US"/>
              </w:rPr>
            </w:pPr>
          </w:p>
        </w:tc>
        <w:tc>
          <w:tcPr>
            <w:tcW w:w="1177" w:type="pct"/>
            <w:tcBorders>
              <w:top w:val="single" w:sz="4" w:space="0" w:color="auto"/>
              <w:left w:val="single" w:sz="4" w:space="0" w:color="auto"/>
              <w:bottom w:val="single" w:sz="4" w:space="0" w:color="auto"/>
              <w:right w:val="single" w:sz="4" w:space="0" w:color="auto"/>
            </w:tcBorders>
            <w:noWrap/>
            <w:vAlign w:val="center"/>
            <w:hideMark/>
          </w:tcPr>
          <w:p w14:paraId="20367B87"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3</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652DA3D0"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3</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22F23E21"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3</w:t>
            </w:r>
          </w:p>
        </w:tc>
        <w:tc>
          <w:tcPr>
            <w:tcW w:w="754" w:type="pct"/>
            <w:tcBorders>
              <w:top w:val="single" w:sz="4" w:space="0" w:color="auto"/>
              <w:left w:val="single" w:sz="4" w:space="0" w:color="auto"/>
              <w:bottom w:val="single" w:sz="4" w:space="0" w:color="auto"/>
              <w:right w:val="single" w:sz="4" w:space="0" w:color="auto"/>
            </w:tcBorders>
            <w:vAlign w:val="center"/>
            <w:hideMark/>
          </w:tcPr>
          <w:p w14:paraId="42462A1E"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90%</w:t>
            </w:r>
          </w:p>
        </w:tc>
      </w:tr>
      <w:tr w:rsidR="007968EC" w14:paraId="74814EA0" w14:textId="77777777" w:rsidTr="007968EC">
        <w:trPr>
          <w:trHeight w:val="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D91647" w14:textId="77777777" w:rsidR="007968EC" w:rsidRDefault="007968EC" w:rsidP="007968EC">
            <w:pPr>
              <w:spacing w:line="256" w:lineRule="auto"/>
              <w:rPr>
                <w:rFonts w:ascii="Arial Narrow" w:eastAsia="Calibri" w:hAnsi="Arial Narrow"/>
                <w:b/>
                <w:bCs/>
                <w:color w:val="000000"/>
                <w:lang w:eastAsia="en-US"/>
              </w:rPr>
            </w:pPr>
          </w:p>
        </w:tc>
        <w:tc>
          <w:tcPr>
            <w:tcW w:w="1177" w:type="pct"/>
            <w:tcBorders>
              <w:top w:val="single" w:sz="4" w:space="0" w:color="auto"/>
              <w:left w:val="single" w:sz="4" w:space="0" w:color="auto"/>
              <w:bottom w:val="single" w:sz="4" w:space="0" w:color="auto"/>
              <w:right w:val="single" w:sz="4" w:space="0" w:color="auto"/>
            </w:tcBorders>
            <w:noWrap/>
            <w:vAlign w:val="center"/>
            <w:hideMark/>
          </w:tcPr>
          <w:p w14:paraId="1F386947"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4</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522B8735"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4</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6AEEE1DB"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4</w:t>
            </w:r>
          </w:p>
        </w:tc>
        <w:tc>
          <w:tcPr>
            <w:tcW w:w="754" w:type="pct"/>
            <w:tcBorders>
              <w:top w:val="single" w:sz="4" w:space="0" w:color="auto"/>
              <w:left w:val="single" w:sz="4" w:space="0" w:color="auto"/>
              <w:bottom w:val="single" w:sz="4" w:space="0" w:color="auto"/>
              <w:right w:val="single" w:sz="4" w:space="0" w:color="auto"/>
            </w:tcBorders>
            <w:vAlign w:val="center"/>
            <w:hideMark/>
          </w:tcPr>
          <w:p w14:paraId="695B7416"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90%</w:t>
            </w:r>
          </w:p>
        </w:tc>
      </w:tr>
      <w:tr w:rsidR="007968EC" w14:paraId="028B06AC" w14:textId="77777777" w:rsidTr="007968EC">
        <w:trPr>
          <w:trHeight w:val="265"/>
          <w:jc w:val="center"/>
        </w:trPr>
        <w:tc>
          <w:tcPr>
            <w:tcW w:w="897" w:type="pct"/>
            <w:vMerge w:val="restart"/>
            <w:tcBorders>
              <w:top w:val="single" w:sz="4" w:space="0" w:color="auto"/>
              <w:left w:val="single" w:sz="4" w:space="0" w:color="auto"/>
              <w:bottom w:val="single" w:sz="4" w:space="0" w:color="auto"/>
              <w:right w:val="single" w:sz="4" w:space="0" w:color="auto"/>
            </w:tcBorders>
            <w:vAlign w:val="center"/>
            <w:hideMark/>
          </w:tcPr>
          <w:p w14:paraId="1FB239C7"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Grupo 2</w:t>
            </w:r>
          </w:p>
        </w:tc>
        <w:tc>
          <w:tcPr>
            <w:tcW w:w="1177" w:type="pct"/>
            <w:tcBorders>
              <w:top w:val="single" w:sz="4" w:space="0" w:color="auto"/>
              <w:left w:val="single" w:sz="4" w:space="0" w:color="auto"/>
              <w:bottom w:val="single" w:sz="4" w:space="0" w:color="auto"/>
              <w:right w:val="single" w:sz="4" w:space="0" w:color="auto"/>
            </w:tcBorders>
            <w:noWrap/>
            <w:vAlign w:val="center"/>
            <w:hideMark/>
          </w:tcPr>
          <w:p w14:paraId="135F3F44"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1</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480AE17B"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5</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6478F3FD"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5</w:t>
            </w:r>
          </w:p>
        </w:tc>
        <w:tc>
          <w:tcPr>
            <w:tcW w:w="754" w:type="pct"/>
            <w:tcBorders>
              <w:top w:val="single" w:sz="4" w:space="0" w:color="auto"/>
              <w:left w:val="single" w:sz="4" w:space="0" w:color="auto"/>
              <w:bottom w:val="single" w:sz="4" w:space="0" w:color="auto"/>
              <w:right w:val="single" w:sz="4" w:space="0" w:color="auto"/>
            </w:tcBorders>
            <w:vAlign w:val="center"/>
            <w:hideMark/>
          </w:tcPr>
          <w:p w14:paraId="0F35159E"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90%</w:t>
            </w:r>
          </w:p>
        </w:tc>
      </w:tr>
      <w:tr w:rsidR="007968EC" w14:paraId="10006F55" w14:textId="77777777" w:rsidTr="007968EC">
        <w:trPr>
          <w:trHeight w:val="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BB7C6" w14:textId="77777777" w:rsidR="007968EC" w:rsidRDefault="007968EC" w:rsidP="007968EC">
            <w:pPr>
              <w:spacing w:line="256" w:lineRule="auto"/>
              <w:rPr>
                <w:rFonts w:ascii="Arial Narrow" w:eastAsia="Calibri" w:hAnsi="Arial Narrow"/>
                <w:b/>
                <w:bCs/>
                <w:color w:val="000000"/>
                <w:lang w:eastAsia="en-US"/>
              </w:rPr>
            </w:pPr>
          </w:p>
        </w:tc>
        <w:tc>
          <w:tcPr>
            <w:tcW w:w="1177" w:type="pct"/>
            <w:tcBorders>
              <w:top w:val="single" w:sz="4" w:space="0" w:color="auto"/>
              <w:left w:val="single" w:sz="4" w:space="0" w:color="auto"/>
              <w:bottom w:val="single" w:sz="4" w:space="0" w:color="auto"/>
              <w:right w:val="single" w:sz="4" w:space="0" w:color="auto"/>
            </w:tcBorders>
            <w:noWrap/>
            <w:vAlign w:val="center"/>
            <w:hideMark/>
          </w:tcPr>
          <w:p w14:paraId="4D15DEC1"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2</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5B0F68F4"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6</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793A467B"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6</w:t>
            </w:r>
          </w:p>
        </w:tc>
        <w:tc>
          <w:tcPr>
            <w:tcW w:w="754" w:type="pct"/>
            <w:tcBorders>
              <w:top w:val="single" w:sz="4" w:space="0" w:color="auto"/>
              <w:left w:val="single" w:sz="4" w:space="0" w:color="auto"/>
              <w:bottom w:val="single" w:sz="4" w:space="0" w:color="auto"/>
              <w:right w:val="single" w:sz="4" w:space="0" w:color="auto"/>
            </w:tcBorders>
            <w:vAlign w:val="center"/>
            <w:hideMark/>
          </w:tcPr>
          <w:p w14:paraId="4BAEE7D3"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90%</w:t>
            </w:r>
          </w:p>
        </w:tc>
      </w:tr>
      <w:tr w:rsidR="007968EC" w14:paraId="0D8A7233" w14:textId="77777777" w:rsidTr="007968EC">
        <w:trPr>
          <w:trHeight w:val="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BD602" w14:textId="77777777" w:rsidR="007968EC" w:rsidRDefault="007968EC" w:rsidP="007968EC">
            <w:pPr>
              <w:spacing w:line="256" w:lineRule="auto"/>
              <w:rPr>
                <w:rFonts w:ascii="Arial Narrow" w:eastAsia="Calibri" w:hAnsi="Arial Narrow"/>
                <w:b/>
                <w:bCs/>
                <w:color w:val="000000"/>
                <w:lang w:eastAsia="en-US"/>
              </w:rPr>
            </w:pPr>
          </w:p>
        </w:tc>
        <w:tc>
          <w:tcPr>
            <w:tcW w:w="1177" w:type="pct"/>
            <w:tcBorders>
              <w:top w:val="single" w:sz="4" w:space="0" w:color="auto"/>
              <w:left w:val="single" w:sz="4" w:space="0" w:color="auto"/>
              <w:bottom w:val="single" w:sz="4" w:space="0" w:color="auto"/>
              <w:right w:val="single" w:sz="4" w:space="0" w:color="auto"/>
            </w:tcBorders>
            <w:noWrap/>
            <w:vAlign w:val="center"/>
            <w:hideMark/>
          </w:tcPr>
          <w:p w14:paraId="700E0B87"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3</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65DD1D2C"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7</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6EB506CF"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7</w:t>
            </w:r>
          </w:p>
        </w:tc>
        <w:tc>
          <w:tcPr>
            <w:tcW w:w="754" w:type="pct"/>
            <w:tcBorders>
              <w:top w:val="single" w:sz="4" w:space="0" w:color="auto"/>
              <w:left w:val="single" w:sz="4" w:space="0" w:color="auto"/>
              <w:bottom w:val="single" w:sz="4" w:space="0" w:color="auto"/>
              <w:right w:val="single" w:sz="4" w:space="0" w:color="auto"/>
            </w:tcBorders>
            <w:vAlign w:val="center"/>
            <w:hideMark/>
          </w:tcPr>
          <w:p w14:paraId="31D32DA2"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90%</w:t>
            </w:r>
          </w:p>
        </w:tc>
      </w:tr>
      <w:tr w:rsidR="007968EC" w14:paraId="3212AB3C" w14:textId="77777777" w:rsidTr="007968EC">
        <w:trPr>
          <w:trHeight w:val="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4BD9E9" w14:textId="77777777" w:rsidR="007968EC" w:rsidRDefault="007968EC" w:rsidP="007968EC">
            <w:pPr>
              <w:spacing w:line="256" w:lineRule="auto"/>
              <w:rPr>
                <w:rFonts w:ascii="Arial Narrow" w:eastAsia="Calibri" w:hAnsi="Arial Narrow"/>
                <w:b/>
                <w:bCs/>
                <w:color w:val="000000"/>
                <w:lang w:eastAsia="en-US"/>
              </w:rPr>
            </w:pPr>
          </w:p>
        </w:tc>
        <w:tc>
          <w:tcPr>
            <w:tcW w:w="1177" w:type="pct"/>
            <w:tcBorders>
              <w:top w:val="single" w:sz="4" w:space="0" w:color="auto"/>
              <w:left w:val="single" w:sz="4" w:space="0" w:color="auto"/>
              <w:bottom w:val="single" w:sz="4" w:space="0" w:color="auto"/>
              <w:right w:val="single" w:sz="4" w:space="0" w:color="auto"/>
            </w:tcBorders>
            <w:noWrap/>
            <w:vAlign w:val="center"/>
            <w:hideMark/>
          </w:tcPr>
          <w:p w14:paraId="5FF368C7"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4</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18078FC9"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8</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7523BE4D"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8</w:t>
            </w:r>
          </w:p>
        </w:tc>
        <w:tc>
          <w:tcPr>
            <w:tcW w:w="754" w:type="pct"/>
            <w:tcBorders>
              <w:top w:val="single" w:sz="4" w:space="0" w:color="auto"/>
              <w:left w:val="single" w:sz="4" w:space="0" w:color="auto"/>
              <w:bottom w:val="single" w:sz="4" w:space="0" w:color="auto"/>
              <w:right w:val="single" w:sz="4" w:space="0" w:color="auto"/>
            </w:tcBorders>
            <w:vAlign w:val="center"/>
            <w:hideMark/>
          </w:tcPr>
          <w:p w14:paraId="77487739"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90%</w:t>
            </w:r>
          </w:p>
        </w:tc>
      </w:tr>
      <w:tr w:rsidR="007968EC" w14:paraId="6E0DB7EB" w14:textId="77777777" w:rsidTr="007968EC">
        <w:trPr>
          <w:trHeight w:val="265"/>
          <w:jc w:val="center"/>
        </w:trPr>
        <w:tc>
          <w:tcPr>
            <w:tcW w:w="897" w:type="pct"/>
            <w:vMerge w:val="restart"/>
            <w:tcBorders>
              <w:top w:val="single" w:sz="4" w:space="0" w:color="auto"/>
              <w:left w:val="single" w:sz="4" w:space="0" w:color="auto"/>
              <w:bottom w:val="single" w:sz="4" w:space="0" w:color="auto"/>
              <w:right w:val="single" w:sz="4" w:space="0" w:color="auto"/>
            </w:tcBorders>
            <w:vAlign w:val="center"/>
            <w:hideMark/>
          </w:tcPr>
          <w:p w14:paraId="113FFB6F"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Grupo 3</w:t>
            </w:r>
          </w:p>
        </w:tc>
        <w:tc>
          <w:tcPr>
            <w:tcW w:w="1177" w:type="pct"/>
            <w:tcBorders>
              <w:top w:val="single" w:sz="4" w:space="0" w:color="auto"/>
              <w:left w:val="single" w:sz="4" w:space="0" w:color="auto"/>
              <w:bottom w:val="single" w:sz="4" w:space="0" w:color="auto"/>
              <w:right w:val="single" w:sz="4" w:space="0" w:color="auto"/>
            </w:tcBorders>
            <w:noWrap/>
            <w:vAlign w:val="center"/>
            <w:hideMark/>
          </w:tcPr>
          <w:p w14:paraId="5E9D949C"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1</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5E5B02DB"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9</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648971C2"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9</w:t>
            </w:r>
          </w:p>
        </w:tc>
        <w:tc>
          <w:tcPr>
            <w:tcW w:w="754" w:type="pct"/>
            <w:tcBorders>
              <w:top w:val="single" w:sz="4" w:space="0" w:color="auto"/>
              <w:left w:val="single" w:sz="4" w:space="0" w:color="auto"/>
              <w:bottom w:val="single" w:sz="4" w:space="0" w:color="auto"/>
              <w:right w:val="single" w:sz="4" w:space="0" w:color="auto"/>
            </w:tcBorders>
            <w:vAlign w:val="center"/>
            <w:hideMark/>
          </w:tcPr>
          <w:p w14:paraId="07DE1664"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90%</w:t>
            </w:r>
          </w:p>
        </w:tc>
      </w:tr>
      <w:tr w:rsidR="007968EC" w14:paraId="6AF88D95" w14:textId="77777777" w:rsidTr="007968EC">
        <w:trPr>
          <w:trHeight w:val="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55980D" w14:textId="77777777" w:rsidR="007968EC" w:rsidRDefault="007968EC" w:rsidP="007968EC">
            <w:pPr>
              <w:spacing w:line="256" w:lineRule="auto"/>
              <w:rPr>
                <w:rFonts w:ascii="Arial Narrow" w:eastAsia="Calibri" w:hAnsi="Arial Narrow"/>
                <w:b/>
                <w:bCs/>
                <w:color w:val="000000"/>
                <w:lang w:eastAsia="en-US"/>
              </w:rPr>
            </w:pPr>
          </w:p>
        </w:tc>
        <w:tc>
          <w:tcPr>
            <w:tcW w:w="1177" w:type="pct"/>
            <w:tcBorders>
              <w:top w:val="single" w:sz="4" w:space="0" w:color="auto"/>
              <w:left w:val="single" w:sz="4" w:space="0" w:color="auto"/>
              <w:bottom w:val="single" w:sz="4" w:space="0" w:color="auto"/>
              <w:right w:val="single" w:sz="4" w:space="0" w:color="auto"/>
            </w:tcBorders>
            <w:noWrap/>
            <w:vAlign w:val="center"/>
            <w:hideMark/>
          </w:tcPr>
          <w:p w14:paraId="31B6F0EF"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2</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5245BBDE"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10</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58451295"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10</w:t>
            </w:r>
          </w:p>
        </w:tc>
        <w:tc>
          <w:tcPr>
            <w:tcW w:w="754" w:type="pct"/>
            <w:tcBorders>
              <w:top w:val="single" w:sz="4" w:space="0" w:color="auto"/>
              <w:left w:val="single" w:sz="4" w:space="0" w:color="auto"/>
              <w:bottom w:val="single" w:sz="4" w:space="0" w:color="auto"/>
              <w:right w:val="single" w:sz="4" w:space="0" w:color="auto"/>
            </w:tcBorders>
            <w:vAlign w:val="center"/>
            <w:hideMark/>
          </w:tcPr>
          <w:p w14:paraId="6CE6BD49"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90%</w:t>
            </w:r>
          </w:p>
        </w:tc>
      </w:tr>
      <w:tr w:rsidR="007968EC" w14:paraId="5002DC91" w14:textId="77777777" w:rsidTr="007968EC">
        <w:trPr>
          <w:trHeight w:val="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5C74E7" w14:textId="77777777" w:rsidR="007968EC" w:rsidRDefault="007968EC" w:rsidP="007968EC">
            <w:pPr>
              <w:spacing w:line="256" w:lineRule="auto"/>
              <w:rPr>
                <w:rFonts w:ascii="Arial Narrow" w:eastAsia="Calibri" w:hAnsi="Arial Narrow"/>
                <w:b/>
                <w:bCs/>
                <w:color w:val="000000"/>
                <w:lang w:eastAsia="en-US"/>
              </w:rPr>
            </w:pPr>
          </w:p>
        </w:tc>
        <w:tc>
          <w:tcPr>
            <w:tcW w:w="1177" w:type="pct"/>
            <w:tcBorders>
              <w:top w:val="single" w:sz="4" w:space="0" w:color="auto"/>
              <w:left w:val="single" w:sz="4" w:space="0" w:color="auto"/>
              <w:bottom w:val="single" w:sz="4" w:space="0" w:color="auto"/>
              <w:right w:val="single" w:sz="4" w:space="0" w:color="auto"/>
            </w:tcBorders>
            <w:noWrap/>
            <w:vAlign w:val="center"/>
            <w:hideMark/>
          </w:tcPr>
          <w:p w14:paraId="61FDB1C9"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3</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5C9A4D20"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11</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268DAE0D"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11</w:t>
            </w:r>
          </w:p>
        </w:tc>
        <w:tc>
          <w:tcPr>
            <w:tcW w:w="754" w:type="pct"/>
            <w:tcBorders>
              <w:top w:val="single" w:sz="4" w:space="0" w:color="auto"/>
              <w:left w:val="single" w:sz="4" w:space="0" w:color="auto"/>
              <w:bottom w:val="single" w:sz="4" w:space="0" w:color="auto"/>
              <w:right w:val="single" w:sz="4" w:space="0" w:color="auto"/>
            </w:tcBorders>
            <w:vAlign w:val="center"/>
            <w:hideMark/>
          </w:tcPr>
          <w:p w14:paraId="245AF201"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90%</w:t>
            </w:r>
          </w:p>
        </w:tc>
      </w:tr>
      <w:tr w:rsidR="007968EC" w14:paraId="76A98B36" w14:textId="77777777" w:rsidTr="007968EC">
        <w:trPr>
          <w:trHeight w:val="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D4761A" w14:textId="77777777" w:rsidR="007968EC" w:rsidRDefault="007968EC" w:rsidP="007968EC">
            <w:pPr>
              <w:spacing w:line="256" w:lineRule="auto"/>
              <w:rPr>
                <w:rFonts w:ascii="Arial Narrow" w:eastAsia="Calibri" w:hAnsi="Arial Narrow"/>
                <w:b/>
                <w:bCs/>
                <w:color w:val="000000"/>
                <w:lang w:eastAsia="en-US"/>
              </w:rPr>
            </w:pPr>
          </w:p>
        </w:tc>
        <w:tc>
          <w:tcPr>
            <w:tcW w:w="1177" w:type="pct"/>
            <w:tcBorders>
              <w:top w:val="single" w:sz="4" w:space="0" w:color="auto"/>
              <w:left w:val="single" w:sz="4" w:space="0" w:color="auto"/>
              <w:bottom w:val="single" w:sz="4" w:space="0" w:color="auto"/>
              <w:right w:val="single" w:sz="4" w:space="0" w:color="auto"/>
            </w:tcBorders>
            <w:noWrap/>
            <w:vAlign w:val="center"/>
            <w:hideMark/>
          </w:tcPr>
          <w:p w14:paraId="29C38B9A"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4</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4DCF69B6"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12</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291751FF"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12</w:t>
            </w:r>
          </w:p>
        </w:tc>
        <w:tc>
          <w:tcPr>
            <w:tcW w:w="754" w:type="pct"/>
            <w:tcBorders>
              <w:top w:val="single" w:sz="4" w:space="0" w:color="auto"/>
              <w:left w:val="single" w:sz="4" w:space="0" w:color="auto"/>
              <w:bottom w:val="single" w:sz="4" w:space="0" w:color="auto"/>
              <w:right w:val="single" w:sz="4" w:space="0" w:color="auto"/>
            </w:tcBorders>
            <w:vAlign w:val="center"/>
            <w:hideMark/>
          </w:tcPr>
          <w:p w14:paraId="7EB1662B"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90%</w:t>
            </w:r>
          </w:p>
        </w:tc>
      </w:tr>
      <w:tr w:rsidR="007968EC" w14:paraId="6A34259A" w14:textId="77777777" w:rsidTr="007968EC">
        <w:trPr>
          <w:trHeight w:val="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4E7FBD" w14:textId="77777777" w:rsidR="007968EC" w:rsidRDefault="007968EC" w:rsidP="007968EC">
            <w:pPr>
              <w:spacing w:line="256" w:lineRule="auto"/>
              <w:rPr>
                <w:rFonts w:ascii="Arial Narrow" w:eastAsia="Calibri" w:hAnsi="Arial Narrow"/>
                <w:b/>
                <w:bCs/>
                <w:color w:val="000000"/>
                <w:lang w:eastAsia="en-US"/>
              </w:rPr>
            </w:pPr>
          </w:p>
        </w:tc>
        <w:tc>
          <w:tcPr>
            <w:tcW w:w="1177" w:type="pct"/>
            <w:tcBorders>
              <w:top w:val="single" w:sz="4" w:space="0" w:color="auto"/>
              <w:left w:val="single" w:sz="4" w:space="0" w:color="auto"/>
              <w:bottom w:val="single" w:sz="4" w:space="0" w:color="auto"/>
              <w:right w:val="single" w:sz="4" w:space="0" w:color="auto"/>
            </w:tcBorders>
            <w:noWrap/>
            <w:vAlign w:val="center"/>
            <w:hideMark/>
          </w:tcPr>
          <w:p w14:paraId="1B876FDF"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5</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35DB7B4E"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13</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40162924"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13</w:t>
            </w:r>
          </w:p>
        </w:tc>
        <w:tc>
          <w:tcPr>
            <w:tcW w:w="754" w:type="pct"/>
            <w:tcBorders>
              <w:top w:val="single" w:sz="4" w:space="0" w:color="auto"/>
              <w:left w:val="single" w:sz="4" w:space="0" w:color="auto"/>
              <w:bottom w:val="single" w:sz="4" w:space="0" w:color="auto"/>
              <w:right w:val="single" w:sz="4" w:space="0" w:color="auto"/>
            </w:tcBorders>
            <w:vAlign w:val="center"/>
            <w:hideMark/>
          </w:tcPr>
          <w:p w14:paraId="2D3520B2"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90%</w:t>
            </w:r>
          </w:p>
        </w:tc>
      </w:tr>
      <w:tr w:rsidR="007968EC" w14:paraId="758BE931" w14:textId="77777777" w:rsidTr="007968EC">
        <w:trPr>
          <w:trHeight w:val="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937616" w14:textId="77777777" w:rsidR="007968EC" w:rsidRDefault="007968EC" w:rsidP="007968EC">
            <w:pPr>
              <w:spacing w:line="256" w:lineRule="auto"/>
              <w:rPr>
                <w:rFonts w:ascii="Arial Narrow" w:eastAsia="Calibri" w:hAnsi="Arial Narrow"/>
                <w:b/>
                <w:bCs/>
                <w:color w:val="000000"/>
                <w:lang w:eastAsia="en-US"/>
              </w:rPr>
            </w:pPr>
          </w:p>
        </w:tc>
        <w:tc>
          <w:tcPr>
            <w:tcW w:w="1177" w:type="pct"/>
            <w:tcBorders>
              <w:top w:val="single" w:sz="4" w:space="0" w:color="auto"/>
              <w:left w:val="single" w:sz="4" w:space="0" w:color="auto"/>
              <w:bottom w:val="single" w:sz="4" w:space="0" w:color="auto"/>
              <w:right w:val="single" w:sz="4" w:space="0" w:color="auto"/>
            </w:tcBorders>
            <w:noWrap/>
            <w:vAlign w:val="center"/>
            <w:hideMark/>
          </w:tcPr>
          <w:p w14:paraId="4D260E78"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6</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480601C3"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14</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297E6C75"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14</w:t>
            </w:r>
          </w:p>
        </w:tc>
        <w:tc>
          <w:tcPr>
            <w:tcW w:w="754" w:type="pct"/>
            <w:tcBorders>
              <w:top w:val="single" w:sz="4" w:space="0" w:color="auto"/>
              <w:left w:val="single" w:sz="4" w:space="0" w:color="auto"/>
              <w:bottom w:val="single" w:sz="4" w:space="0" w:color="auto"/>
              <w:right w:val="single" w:sz="4" w:space="0" w:color="auto"/>
            </w:tcBorders>
            <w:vAlign w:val="center"/>
            <w:hideMark/>
          </w:tcPr>
          <w:p w14:paraId="72139D71"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90%</w:t>
            </w:r>
          </w:p>
        </w:tc>
      </w:tr>
      <w:tr w:rsidR="007968EC" w14:paraId="1A1D749A" w14:textId="77777777" w:rsidTr="007968EC">
        <w:trPr>
          <w:trHeight w:val="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7DE16F" w14:textId="77777777" w:rsidR="007968EC" w:rsidRDefault="007968EC" w:rsidP="007968EC">
            <w:pPr>
              <w:spacing w:line="256" w:lineRule="auto"/>
              <w:rPr>
                <w:rFonts w:ascii="Arial Narrow" w:eastAsia="Calibri" w:hAnsi="Arial Narrow"/>
                <w:b/>
                <w:bCs/>
                <w:color w:val="000000"/>
                <w:lang w:eastAsia="en-US"/>
              </w:rPr>
            </w:pPr>
          </w:p>
        </w:tc>
        <w:tc>
          <w:tcPr>
            <w:tcW w:w="1177" w:type="pct"/>
            <w:tcBorders>
              <w:top w:val="single" w:sz="4" w:space="0" w:color="auto"/>
              <w:left w:val="single" w:sz="4" w:space="0" w:color="auto"/>
              <w:bottom w:val="single" w:sz="4" w:space="0" w:color="auto"/>
              <w:right w:val="single" w:sz="4" w:space="0" w:color="auto"/>
            </w:tcBorders>
            <w:noWrap/>
            <w:vAlign w:val="center"/>
            <w:hideMark/>
          </w:tcPr>
          <w:p w14:paraId="5F3E10B3"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7</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6B1397C3"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15</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69B213E4"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15</w:t>
            </w:r>
          </w:p>
        </w:tc>
        <w:tc>
          <w:tcPr>
            <w:tcW w:w="754" w:type="pct"/>
            <w:tcBorders>
              <w:top w:val="single" w:sz="4" w:space="0" w:color="auto"/>
              <w:left w:val="single" w:sz="4" w:space="0" w:color="auto"/>
              <w:bottom w:val="single" w:sz="4" w:space="0" w:color="auto"/>
              <w:right w:val="single" w:sz="4" w:space="0" w:color="auto"/>
            </w:tcBorders>
            <w:hideMark/>
          </w:tcPr>
          <w:p w14:paraId="6FB1FC00"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90%</w:t>
            </w:r>
          </w:p>
        </w:tc>
      </w:tr>
      <w:tr w:rsidR="007968EC" w14:paraId="15B42914" w14:textId="77777777" w:rsidTr="007968EC">
        <w:trPr>
          <w:trHeight w:val="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0F014C" w14:textId="77777777" w:rsidR="007968EC" w:rsidRDefault="007968EC" w:rsidP="007968EC">
            <w:pPr>
              <w:spacing w:line="256" w:lineRule="auto"/>
              <w:rPr>
                <w:rFonts w:ascii="Arial Narrow" w:eastAsia="Calibri" w:hAnsi="Arial Narrow"/>
                <w:b/>
                <w:bCs/>
                <w:color w:val="000000"/>
                <w:lang w:eastAsia="en-US"/>
              </w:rPr>
            </w:pPr>
          </w:p>
        </w:tc>
        <w:tc>
          <w:tcPr>
            <w:tcW w:w="1177" w:type="pct"/>
            <w:tcBorders>
              <w:top w:val="single" w:sz="4" w:space="0" w:color="auto"/>
              <w:left w:val="single" w:sz="4" w:space="0" w:color="auto"/>
              <w:bottom w:val="single" w:sz="4" w:space="0" w:color="auto"/>
              <w:right w:val="single" w:sz="4" w:space="0" w:color="auto"/>
            </w:tcBorders>
            <w:noWrap/>
            <w:vAlign w:val="center"/>
            <w:hideMark/>
          </w:tcPr>
          <w:p w14:paraId="15B1BA25"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8</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5E3EE8E5"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16</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2E796FA9"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16</w:t>
            </w:r>
          </w:p>
        </w:tc>
        <w:tc>
          <w:tcPr>
            <w:tcW w:w="754" w:type="pct"/>
            <w:tcBorders>
              <w:top w:val="single" w:sz="4" w:space="0" w:color="auto"/>
              <w:left w:val="single" w:sz="4" w:space="0" w:color="auto"/>
              <w:bottom w:val="single" w:sz="4" w:space="0" w:color="auto"/>
              <w:right w:val="single" w:sz="4" w:space="0" w:color="auto"/>
            </w:tcBorders>
            <w:hideMark/>
          </w:tcPr>
          <w:p w14:paraId="03BD7167"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90%</w:t>
            </w:r>
          </w:p>
        </w:tc>
      </w:tr>
      <w:tr w:rsidR="007968EC" w14:paraId="4EEE778D" w14:textId="77777777" w:rsidTr="007968EC">
        <w:trPr>
          <w:trHeight w:val="265"/>
          <w:jc w:val="center"/>
        </w:trPr>
        <w:tc>
          <w:tcPr>
            <w:tcW w:w="897" w:type="pct"/>
            <w:vMerge w:val="restart"/>
            <w:tcBorders>
              <w:top w:val="single" w:sz="4" w:space="0" w:color="auto"/>
              <w:left w:val="single" w:sz="4" w:space="0" w:color="auto"/>
              <w:bottom w:val="single" w:sz="4" w:space="0" w:color="auto"/>
              <w:right w:val="single" w:sz="4" w:space="0" w:color="auto"/>
            </w:tcBorders>
            <w:vAlign w:val="center"/>
            <w:hideMark/>
          </w:tcPr>
          <w:p w14:paraId="3B98A1A2" w14:textId="77777777" w:rsidR="007968EC" w:rsidRDefault="007968EC" w:rsidP="007968EC">
            <w:pPr>
              <w:spacing w:line="256" w:lineRule="auto"/>
              <w:jc w:val="center"/>
              <w:rPr>
                <w:rFonts w:ascii="Arial Narrow" w:eastAsia="Calibri" w:hAnsi="Arial Narrow"/>
                <w:b/>
                <w:bCs/>
                <w:color w:val="000000"/>
                <w:lang w:eastAsia="en-US"/>
              </w:rPr>
            </w:pPr>
            <w:r>
              <w:rPr>
                <w:rFonts w:ascii="Arial Narrow" w:eastAsia="Calibri" w:hAnsi="Arial Narrow"/>
                <w:color w:val="000000"/>
                <w:lang w:eastAsia="en-US"/>
              </w:rPr>
              <w:t>Grupo 4</w:t>
            </w:r>
          </w:p>
        </w:tc>
        <w:tc>
          <w:tcPr>
            <w:tcW w:w="1177" w:type="pct"/>
            <w:tcBorders>
              <w:top w:val="single" w:sz="4" w:space="0" w:color="auto"/>
              <w:left w:val="single" w:sz="4" w:space="0" w:color="auto"/>
              <w:bottom w:val="single" w:sz="4" w:space="0" w:color="auto"/>
              <w:right w:val="single" w:sz="4" w:space="0" w:color="auto"/>
            </w:tcBorders>
            <w:noWrap/>
            <w:vAlign w:val="center"/>
            <w:hideMark/>
          </w:tcPr>
          <w:p w14:paraId="697D949F"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11BB90A0"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17</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63A7FD13"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17</w:t>
            </w:r>
          </w:p>
        </w:tc>
        <w:tc>
          <w:tcPr>
            <w:tcW w:w="754" w:type="pct"/>
            <w:tcBorders>
              <w:top w:val="single" w:sz="4" w:space="0" w:color="auto"/>
              <w:left w:val="single" w:sz="4" w:space="0" w:color="auto"/>
              <w:bottom w:val="single" w:sz="4" w:space="0" w:color="auto"/>
              <w:right w:val="single" w:sz="4" w:space="0" w:color="auto"/>
            </w:tcBorders>
            <w:hideMark/>
          </w:tcPr>
          <w:p w14:paraId="3EA4AF86"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90%</w:t>
            </w:r>
          </w:p>
        </w:tc>
      </w:tr>
      <w:tr w:rsidR="007968EC" w14:paraId="7EB0A96E" w14:textId="77777777" w:rsidTr="007968EC">
        <w:trPr>
          <w:trHeight w:val="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6D4E31" w14:textId="77777777" w:rsidR="007968EC" w:rsidRDefault="007968EC" w:rsidP="007968EC">
            <w:pPr>
              <w:spacing w:line="256" w:lineRule="auto"/>
              <w:rPr>
                <w:rFonts w:ascii="Arial Narrow" w:eastAsia="Calibri" w:hAnsi="Arial Narrow"/>
                <w:b/>
                <w:bCs/>
                <w:color w:val="000000"/>
                <w:lang w:eastAsia="en-US"/>
              </w:rPr>
            </w:pPr>
          </w:p>
        </w:tc>
        <w:tc>
          <w:tcPr>
            <w:tcW w:w="1177" w:type="pct"/>
            <w:tcBorders>
              <w:top w:val="single" w:sz="4" w:space="0" w:color="auto"/>
              <w:left w:val="single" w:sz="4" w:space="0" w:color="auto"/>
              <w:bottom w:val="single" w:sz="4" w:space="0" w:color="auto"/>
              <w:right w:val="single" w:sz="4" w:space="0" w:color="auto"/>
            </w:tcBorders>
            <w:noWrap/>
            <w:vAlign w:val="center"/>
            <w:hideMark/>
          </w:tcPr>
          <w:p w14:paraId="555D6BD7"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2</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7BFF003A"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18</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00B8AB35"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18</w:t>
            </w:r>
          </w:p>
        </w:tc>
        <w:tc>
          <w:tcPr>
            <w:tcW w:w="754" w:type="pct"/>
            <w:tcBorders>
              <w:top w:val="single" w:sz="4" w:space="0" w:color="auto"/>
              <w:left w:val="single" w:sz="4" w:space="0" w:color="auto"/>
              <w:bottom w:val="single" w:sz="4" w:space="0" w:color="auto"/>
              <w:right w:val="single" w:sz="4" w:space="0" w:color="auto"/>
            </w:tcBorders>
            <w:hideMark/>
          </w:tcPr>
          <w:p w14:paraId="478CC6BA" w14:textId="77777777" w:rsidR="007968EC" w:rsidRDefault="007968EC" w:rsidP="007968EC">
            <w:pPr>
              <w:spacing w:line="256" w:lineRule="auto"/>
              <w:jc w:val="center"/>
              <w:rPr>
                <w:rFonts w:ascii="Arial Narrow" w:eastAsia="Calibri" w:hAnsi="Arial Narrow"/>
                <w:b/>
                <w:color w:val="000000"/>
                <w:lang w:eastAsia="en-US"/>
              </w:rPr>
            </w:pPr>
            <w:r>
              <w:rPr>
                <w:rFonts w:ascii="Arial Narrow" w:eastAsia="Calibri" w:hAnsi="Arial Narrow"/>
                <w:color w:val="000000"/>
                <w:lang w:eastAsia="en-US"/>
              </w:rPr>
              <w:t>90%</w:t>
            </w:r>
          </w:p>
        </w:tc>
      </w:tr>
      <w:tr w:rsidR="007968EC" w14:paraId="063880F8" w14:textId="77777777" w:rsidTr="007968EC">
        <w:trPr>
          <w:trHeight w:val="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60E0CA" w14:textId="77777777" w:rsidR="007968EC" w:rsidRDefault="007968EC" w:rsidP="007968EC">
            <w:pPr>
              <w:spacing w:line="256" w:lineRule="auto"/>
              <w:rPr>
                <w:rFonts w:ascii="Arial Narrow" w:eastAsia="Calibri" w:hAnsi="Arial Narrow"/>
                <w:b/>
                <w:bCs/>
                <w:color w:val="000000"/>
                <w:lang w:eastAsia="en-US"/>
              </w:rPr>
            </w:pPr>
          </w:p>
        </w:tc>
        <w:tc>
          <w:tcPr>
            <w:tcW w:w="1177" w:type="pct"/>
            <w:tcBorders>
              <w:top w:val="single" w:sz="4" w:space="0" w:color="auto"/>
              <w:left w:val="single" w:sz="4" w:space="0" w:color="auto"/>
              <w:bottom w:val="single" w:sz="4" w:space="0" w:color="auto"/>
              <w:right w:val="single" w:sz="4" w:space="0" w:color="auto"/>
            </w:tcBorders>
            <w:noWrap/>
            <w:vAlign w:val="center"/>
            <w:hideMark/>
          </w:tcPr>
          <w:p w14:paraId="519C7ABA"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3</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7B1D0723"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19</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23A7B431"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19</w:t>
            </w:r>
          </w:p>
        </w:tc>
        <w:tc>
          <w:tcPr>
            <w:tcW w:w="754" w:type="pct"/>
            <w:tcBorders>
              <w:top w:val="single" w:sz="4" w:space="0" w:color="auto"/>
              <w:left w:val="single" w:sz="4" w:space="0" w:color="auto"/>
              <w:bottom w:val="single" w:sz="4" w:space="0" w:color="auto"/>
              <w:right w:val="single" w:sz="4" w:space="0" w:color="auto"/>
            </w:tcBorders>
            <w:hideMark/>
          </w:tcPr>
          <w:p w14:paraId="73B8739F"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90%</w:t>
            </w:r>
          </w:p>
        </w:tc>
      </w:tr>
      <w:tr w:rsidR="007968EC" w14:paraId="34BBCEAA" w14:textId="77777777" w:rsidTr="007968EC">
        <w:trPr>
          <w:trHeight w:val="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B85447" w14:textId="77777777" w:rsidR="007968EC" w:rsidRDefault="007968EC" w:rsidP="007968EC">
            <w:pPr>
              <w:spacing w:line="256" w:lineRule="auto"/>
              <w:rPr>
                <w:rFonts w:ascii="Arial Narrow" w:eastAsia="Calibri" w:hAnsi="Arial Narrow"/>
                <w:b/>
                <w:bCs/>
                <w:color w:val="000000"/>
                <w:lang w:eastAsia="en-US"/>
              </w:rPr>
            </w:pPr>
          </w:p>
        </w:tc>
        <w:tc>
          <w:tcPr>
            <w:tcW w:w="1177" w:type="pct"/>
            <w:tcBorders>
              <w:top w:val="single" w:sz="4" w:space="0" w:color="auto"/>
              <w:left w:val="single" w:sz="4" w:space="0" w:color="auto"/>
              <w:bottom w:val="single" w:sz="4" w:space="0" w:color="auto"/>
              <w:right w:val="single" w:sz="4" w:space="0" w:color="auto"/>
            </w:tcBorders>
            <w:noWrap/>
            <w:vAlign w:val="center"/>
            <w:hideMark/>
          </w:tcPr>
          <w:p w14:paraId="7A860BBE"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4</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037D8412"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20</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01404663"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20</w:t>
            </w:r>
          </w:p>
        </w:tc>
        <w:tc>
          <w:tcPr>
            <w:tcW w:w="754" w:type="pct"/>
            <w:tcBorders>
              <w:top w:val="single" w:sz="4" w:space="0" w:color="auto"/>
              <w:left w:val="single" w:sz="4" w:space="0" w:color="auto"/>
              <w:bottom w:val="single" w:sz="4" w:space="0" w:color="auto"/>
              <w:right w:val="single" w:sz="4" w:space="0" w:color="auto"/>
            </w:tcBorders>
            <w:hideMark/>
          </w:tcPr>
          <w:p w14:paraId="19D8FF03"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90%</w:t>
            </w:r>
          </w:p>
        </w:tc>
      </w:tr>
      <w:tr w:rsidR="007968EC" w14:paraId="0DF58692" w14:textId="77777777" w:rsidTr="007968EC">
        <w:trPr>
          <w:trHeight w:val="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F4140F" w14:textId="77777777" w:rsidR="007968EC" w:rsidRDefault="007968EC" w:rsidP="007968EC">
            <w:pPr>
              <w:spacing w:line="256" w:lineRule="auto"/>
              <w:rPr>
                <w:rFonts w:ascii="Arial Narrow" w:eastAsia="Calibri" w:hAnsi="Arial Narrow"/>
                <w:b/>
                <w:bCs/>
                <w:color w:val="000000"/>
                <w:lang w:eastAsia="en-US"/>
              </w:rPr>
            </w:pPr>
          </w:p>
        </w:tc>
        <w:tc>
          <w:tcPr>
            <w:tcW w:w="1177" w:type="pct"/>
            <w:tcBorders>
              <w:top w:val="single" w:sz="4" w:space="0" w:color="auto"/>
              <w:left w:val="single" w:sz="4" w:space="0" w:color="auto"/>
              <w:bottom w:val="single" w:sz="4" w:space="0" w:color="auto"/>
              <w:right w:val="single" w:sz="4" w:space="0" w:color="auto"/>
            </w:tcBorders>
            <w:noWrap/>
            <w:vAlign w:val="center"/>
            <w:hideMark/>
          </w:tcPr>
          <w:p w14:paraId="65B2396F"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5</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01523F71"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21</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4B588141"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21</w:t>
            </w:r>
          </w:p>
        </w:tc>
        <w:tc>
          <w:tcPr>
            <w:tcW w:w="754" w:type="pct"/>
            <w:tcBorders>
              <w:top w:val="single" w:sz="4" w:space="0" w:color="auto"/>
              <w:left w:val="single" w:sz="4" w:space="0" w:color="auto"/>
              <w:bottom w:val="single" w:sz="4" w:space="0" w:color="auto"/>
              <w:right w:val="single" w:sz="4" w:space="0" w:color="auto"/>
            </w:tcBorders>
            <w:hideMark/>
          </w:tcPr>
          <w:p w14:paraId="1D638517"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90%</w:t>
            </w:r>
          </w:p>
        </w:tc>
      </w:tr>
      <w:tr w:rsidR="007968EC" w14:paraId="69076A8F" w14:textId="77777777" w:rsidTr="007968EC">
        <w:trPr>
          <w:trHeight w:val="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383FE5" w14:textId="77777777" w:rsidR="007968EC" w:rsidRDefault="007968EC" w:rsidP="007968EC">
            <w:pPr>
              <w:spacing w:line="256" w:lineRule="auto"/>
              <w:rPr>
                <w:rFonts w:ascii="Arial Narrow" w:eastAsia="Calibri" w:hAnsi="Arial Narrow"/>
                <w:b/>
                <w:bCs/>
                <w:color w:val="000000"/>
                <w:lang w:eastAsia="en-US"/>
              </w:rPr>
            </w:pPr>
          </w:p>
        </w:tc>
        <w:tc>
          <w:tcPr>
            <w:tcW w:w="1177" w:type="pct"/>
            <w:tcBorders>
              <w:top w:val="single" w:sz="4" w:space="0" w:color="auto"/>
              <w:left w:val="single" w:sz="4" w:space="0" w:color="auto"/>
              <w:bottom w:val="single" w:sz="4" w:space="0" w:color="auto"/>
              <w:right w:val="single" w:sz="4" w:space="0" w:color="auto"/>
            </w:tcBorders>
            <w:noWrap/>
            <w:vAlign w:val="center"/>
            <w:hideMark/>
          </w:tcPr>
          <w:p w14:paraId="4BF7F827"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6</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02F7C058"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22</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759AB114"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22</w:t>
            </w:r>
          </w:p>
        </w:tc>
        <w:tc>
          <w:tcPr>
            <w:tcW w:w="754" w:type="pct"/>
            <w:tcBorders>
              <w:top w:val="single" w:sz="4" w:space="0" w:color="auto"/>
              <w:left w:val="single" w:sz="4" w:space="0" w:color="auto"/>
              <w:bottom w:val="single" w:sz="4" w:space="0" w:color="auto"/>
              <w:right w:val="single" w:sz="4" w:space="0" w:color="auto"/>
            </w:tcBorders>
            <w:hideMark/>
          </w:tcPr>
          <w:p w14:paraId="4A88468D"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90%</w:t>
            </w:r>
          </w:p>
        </w:tc>
      </w:tr>
      <w:tr w:rsidR="007968EC" w14:paraId="65D84DE5" w14:textId="77777777" w:rsidTr="007968EC">
        <w:trPr>
          <w:trHeight w:val="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8FD9E5" w14:textId="77777777" w:rsidR="007968EC" w:rsidRDefault="007968EC" w:rsidP="007968EC">
            <w:pPr>
              <w:spacing w:line="256" w:lineRule="auto"/>
              <w:rPr>
                <w:rFonts w:ascii="Arial Narrow" w:eastAsia="Calibri" w:hAnsi="Arial Narrow"/>
                <w:b/>
                <w:bCs/>
                <w:color w:val="000000"/>
                <w:lang w:eastAsia="en-US"/>
              </w:rPr>
            </w:pPr>
          </w:p>
        </w:tc>
        <w:tc>
          <w:tcPr>
            <w:tcW w:w="1177" w:type="pct"/>
            <w:tcBorders>
              <w:top w:val="single" w:sz="4" w:space="0" w:color="auto"/>
              <w:left w:val="single" w:sz="4" w:space="0" w:color="auto"/>
              <w:bottom w:val="single" w:sz="4" w:space="0" w:color="auto"/>
              <w:right w:val="single" w:sz="4" w:space="0" w:color="auto"/>
            </w:tcBorders>
            <w:noWrap/>
            <w:vAlign w:val="center"/>
            <w:hideMark/>
          </w:tcPr>
          <w:p w14:paraId="15A72041"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7</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478D0CF8"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23</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09375825"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23</w:t>
            </w:r>
          </w:p>
        </w:tc>
        <w:tc>
          <w:tcPr>
            <w:tcW w:w="754" w:type="pct"/>
            <w:tcBorders>
              <w:top w:val="single" w:sz="4" w:space="0" w:color="auto"/>
              <w:left w:val="single" w:sz="4" w:space="0" w:color="auto"/>
              <w:bottom w:val="single" w:sz="4" w:space="0" w:color="auto"/>
              <w:right w:val="single" w:sz="4" w:space="0" w:color="auto"/>
            </w:tcBorders>
            <w:hideMark/>
          </w:tcPr>
          <w:p w14:paraId="2B3D32F3"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90%</w:t>
            </w:r>
          </w:p>
        </w:tc>
      </w:tr>
      <w:tr w:rsidR="007968EC" w14:paraId="582966C2" w14:textId="77777777" w:rsidTr="007968EC">
        <w:trPr>
          <w:trHeight w:val="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313E2E" w14:textId="77777777" w:rsidR="007968EC" w:rsidRDefault="007968EC" w:rsidP="007968EC">
            <w:pPr>
              <w:spacing w:line="256" w:lineRule="auto"/>
              <w:rPr>
                <w:rFonts w:ascii="Arial Narrow" w:eastAsia="Calibri" w:hAnsi="Arial Narrow"/>
                <w:b/>
                <w:bCs/>
                <w:color w:val="000000"/>
                <w:lang w:eastAsia="en-US"/>
              </w:rPr>
            </w:pPr>
          </w:p>
        </w:tc>
        <w:tc>
          <w:tcPr>
            <w:tcW w:w="1177" w:type="pct"/>
            <w:tcBorders>
              <w:top w:val="single" w:sz="4" w:space="0" w:color="auto"/>
              <w:left w:val="single" w:sz="4" w:space="0" w:color="auto"/>
              <w:bottom w:val="single" w:sz="4" w:space="0" w:color="auto"/>
              <w:right w:val="single" w:sz="4" w:space="0" w:color="auto"/>
            </w:tcBorders>
            <w:noWrap/>
            <w:vAlign w:val="center"/>
            <w:hideMark/>
          </w:tcPr>
          <w:p w14:paraId="1A2B4B72"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8</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09FA1B00"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24</w:t>
            </w:r>
          </w:p>
        </w:tc>
        <w:tc>
          <w:tcPr>
            <w:tcW w:w="1086" w:type="pct"/>
            <w:tcBorders>
              <w:top w:val="single" w:sz="4" w:space="0" w:color="auto"/>
              <w:left w:val="single" w:sz="4" w:space="0" w:color="auto"/>
              <w:bottom w:val="single" w:sz="4" w:space="0" w:color="auto"/>
              <w:right w:val="single" w:sz="4" w:space="0" w:color="auto"/>
            </w:tcBorders>
            <w:noWrap/>
            <w:vAlign w:val="center"/>
            <w:hideMark/>
          </w:tcPr>
          <w:p w14:paraId="5AEA8685"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24</w:t>
            </w:r>
          </w:p>
        </w:tc>
        <w:tc>
          <w:tcPr>
            <w:tcW w:w="754" w:type="pct"/>
            <w:tcBorders>
              <w:top w:val="single" w:sz="4" w:space="0" w:color="auto"/>
              <w:left w:val="single" w:sz="4" w:space="0" w:color="auto"/>
              <w:bottom w:val="single" w:sz="4" w:space="0" w:color="auto"/>
              <w:right w:val="single" w:sz="4" w:space="0" w:color="auto"/>
            </w:tcBorders>
            <w:hideMark/>
          </w:tcPr>
          <w:p w14:paraId="72378D01" w14:textId="77777777" w:rsidR="007968EC" w:rsidRDefault="007968EC" w:rsidP="007968EC">
            <w:pPr>
              <w:spacing w:line="256" w:lineRule="auto"/>
              <w:jc w:val="center"/>
              <w:rPr>
                <w:rFonts w:ascii="Arial Narrow" w:eastAsia="Calibri" w:hAnsi="Arial Narrow"/>
                <w:color w:val="000000"/>
                <w:lang w:eastAsia="en-US"/>
              </w:rPr>
            </w:pPr>
            <w:r>
              <w:rPr>
                <w:rFonts w:ascii="Arial Narrow" w:eastAsia="Calibri" w:hAnsi="Arial Narrow"/>
                <w:color w:val="000000"/>
                <w:lang w:eastAsia="en-US"/>
              </w:rPr>
              <w:t>90%</w:t>
            </w:r>
          </w:p>
        </w:tc>
      </w:tr>
    </w:tbl>
    <w:p w14:paraId="47580302" w14:textId="77777777" w:rsidR="007968EC" w:rsidRDefault="007968EC" w:rsidP="007968EC">
      <w:pPr>
        <w:rPr>
          <w:rFonts w:ascii="Arial Narrow" w:eastAsia="Calibri" w:hAnsi="Arial Narrow"/>
          <w:b/>
          <w:color w:val="000000"/>
          <w:lang w:eastAsia="en-US"/>
        </w:rPr>
      </w:pPr>
    </w:p>
    <w:p w14:paraId="16783819" w14:textId="77777777" w:rsidR="007968EC" w:rsidRDefault="007968EC" w:rsidP="007968EC">
      <w:pPr>
        <w:autoSpaceDE w:val="0"/>
        <w:autoSpaceDN w:val="0"/>
        <w:rPr>
          <w:rFonts w:ascii="Arial Narrow" w:eastAsia="Calibri" w:hAnsi="Arial Narrow" w:cs="Arial"/>
          <w:b/>
          <w:color w:val="000000"/>
          <w:lang w:eastAsia="es-ES"/>
        </w:rPr>
      </w:pPr>
    </w:p>
    <w:p w14:paraId="1D0CDECA" w14:textId="77777777" w:rsidR="007968EC" w:rsidRDefault="007968EC" w:rsidP="00DA7472">
      <w:pPr>
        <w:numPr>
          <w:ilvl w:val="0"/>
          <w:numId w:val="367"/>
        </w:numPr>
        <w:spacing w:after="160" w:line="256" w:lineRule="auto"/>
        <w:ind w:left="284"/>
        <w:jc w:val="both"/>
        <w:rPr>
          <w:rFonts w:ascii="Arial Narrow" w:eastAsia="Calibri" w:hAnsi="Arial Narrow"/>
          <w:color w:val="000000"/>
          <w:lang w:eastAsia="en-US"/>
        </w:rPr>
      </w:pPr>
      <w:r>
        <w:rPr>
          <w:rFonts w:ascii="Arial Narrow" w:eastAsia="Calibri" w:hAnsi="Arial Narrow"/>
          <w:color w:val="000000"/>
          <w:lang w:eastAsia="en-US"/>
        </w:rPr>
        <w:t xml:space="preserve">Orden para la compensación entre grupos del Contrato de Futuro OIS: </w:t>
      </w:r>
    </w:p>
    <w:p w14:paraId="11CBBEB5" w14:textId="77777777" w:rsidR="007968EC" w:rsidRDefault="007968EC" w:rsidP="007968EC">
      <w:pPr>
        <w:autoSpaceDE w:val="0"/>
        <w:autoSpaceDN w:val="0"/>
        <w:jc w:val="both"/>
        <w:rPr>
          <w:rFonts w:ascii="Arial Narrow" w:eastAsia="Calibri" w:hAnsi="Arial Narrow"/>
          <w:b/>
          <w:color w:val="000000"/>
          <w:u w:val="single"/>
          <w:lang w:eastAsia="en-US"/>
        </w:rPr>
      </w:pPr>
    </w:p>
    <w:tbl>
      <w:tblPr>
        <w:tblStyle w:val="Tablaconcuadrcula221122"/>
        <w:tblW w:w="6000" w:type="dxa"/>
        <w:jc w:val="center"/>
        <w:tblLayout w:type="fixed"/>
        <w:tblLook w:val="04A0" w:firstRow="1" w:lastRow="0" w:firstColumn="1" w:lastColumn="0" w:noHBand="0" w:noVBand="1"/>
      </w:tblPr>
      <w:tblGrid>
        <w:gridCol w:w="1595"/>
        <w:gridCol w:w="1277"/>
        <w:gridCol w:w="1419"/>
        <w:gridCol w:w="1709"/>
      </w:tblGrid>
      <w:tr w:rsidR="007968EC" w14:paraId="6CB30DA4" w14:textId="77777777" w:rsidTr="007968EC">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14:paraId="505FD8A1" w14:textId="77777777" w:rsidR="007968EC" w:rsidRDefault="007968EC" w:rsidP="007968EC">
            <w:pPr>
              <w:jc w:val="both"/>
              <w:rPr>
                <w:rFonts w:ascii="Arial Narrow" w:hAnsi="Arial Narrow" w:cs="Arial Narrow"/>
                <w:b/>
                <w:color w:val="000000"/>
                <w:lang w:eastAsia="es-ES"/>
              </w:rPr>
            </w:pPr>
            <w:r>
              <w:rPr>
                <w:rFonts w:ascii="Arial Narrow" w:hAnsi="Arial Narrow" w:cs="Arial Narrow"/>
                <w:color w:val="000000"/>
                <w:lang w:eastAsia="es-ES"/>
              </w:rPr>
              <w:t xml:space="preserve">Orden de Compensación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067F25" w14:textId="77777777" w:rsidR="007968EC" w:rsidRDefault="007968EC" w:rsidP="007968EC">
            <w:pPr>
              <w:jc w:val="both"/>
              <w:rPr>
                <w:rFonts w:ascii="Arial Narrow" w:hAnsi="Arial Narrow" w:cs="Arial Narrow"/>
                <w:b/>
                <w:color w:val="000000"/>
                <w:lang w:eastAsia="es-ES"/>
              </w:rPr>
            </w:pPr>
            <w:proofErr w:type="gramStart"/>
            <w:r>
              <w:rPr>
                <w:rFonts w:ascii="Arial Narrow" w:hAnsi="Arial Narrow" w:cs="Arial Narrow"/>
                <w:color w:val="000000"/>
                <w:lang w:eastAsia="es-ES"/>
              </w:rPr>
              <w:t>Grupos a Compensar</w:t>
            </w:r>
            <w:proofErr w:type="gramEnd"/>
          </w:p>
        </w:tc>
        <w:tc>
          <w:tcPr>
            <w:tcW w:w="1418" w:type="dxa"/>
            <w:tcBorders>
              <w:top w:val="single" w:sz="4" w:space="0" w:color="auto"/>
              <w:left w:val="single" w:sz="4" w:space="0" w:color="auto"/>
              <w:bottom w:val="single" w:sz="4" w:space="0" w:color="auto"/>
              <w:right w:val="single" w:sz="4" w:space="0" w:color="auto"/>
            </w:tcBorders>
            <w:vAlign w:val="center"/>
            <w:hideMark/>
          </w:tcPr>
          <w:p w14:paraId="7C485C12" w14:textId="77777777" w:rsidR="007968EC" w:rsidRDefault="007968EC" w:rsidP="007968EC">
            <w:pPr>
              <w:jc w:val="both"/>
              <w:rPr>
                <w:rFonts w:ascii="Arial Narrow" w:hAnsi="Arial Narrow" w:cs="Arial Narrow"/>
                <w:b/>
                <w:color w:val="000000"/>
                <w:lang w:eastAsia="es-ES"/>
              </w:rPr>
            </w:pPr>
            <w:r>
              <w:rPr>
                <w:rFonts w:ascii="Arial Narrow" w:hAnsi="Arial Narrow"/>
                <w:bCs/>
                <w:color w:val="000000"/>
                <w:lang w:eastAsia="es-ES"/>
              </w:rPr>
              <w:t>Delta para formar Un (1) Spread</w:t>
            </w:r>
          </w:p>
        </w:tc>
        <w:tc>
          <w:tcPr>
            <w:tcW w:w="1707" w:type="dxa"/>
            <w:tcBorders>
              <w:top w:val="single" w:sz="4" w:space="0" w:color="auto"/>
              <w:left w:val="single" w:sz="4" w:space="0" w:color="auto"/>
              <w:bottom w:val="single" w:sz="4" w:space="0" w:color="auto"/>
              <w:right w:val="single" w:sz="4" w:space="0" w:color="auto"/>
            </w:tcBorders>
            <w:vAlign w:val="center"/>
          </w:tcPr>
          <w:p w14:paraId="7F011020" w14:textId="77777777" w:rsidR="007968EC" w:rsidRDefault="007968EC" w:rsidP="007968EC">
            <w:pPr>
              <w:jc w:val="center"/>
              <w:rPr>
                <w:rFonts w:ascii="Arial Narrow" w:hAnsi="Arial Narrow"/>
                <w:b/>
                <w:bCs/>
                <w:color w:val="000000"/>
                <w:lang w:eastAsia="es-ES"/>
              </w:rPr>
            </w:pPr>
          </w:p>
          <w:p w14:paraId="66D4A9E9" w14:textId="77777777" w:rsidR="007968EC" w:rsidRDefault="007968EC" w:rsidP="007968EC">
            <w:pPr>
              <w:jc w:val="center"/>
              <w:rPr>
                <w:rFonts w:ascii="Arial Narrow" w:hAnsi="Arial Narrow"/>
                <w:b/>
                <w:bCs/>
                <w:color w:val="000000"/>
                <w:lang w:eastAsia="es-ES"/>
              </w:rPr>
            </w:pPr>
            <w:r>
              <w:rPr>
                <w:rFonts w:ascii="Arial Narrow" w:hAnsi="Arial Narrow"/>
                <w:bCs/>
                <w:color w:val="000000"/>
                <w:lang w:eastAsia="es-ES"/>
              </w:rPr>
              <w:t xml:space="preserve">Crédito sobre Garantías </w:t>
            </w:r>
          </w:p>
          <w:p w14:paraId="07874D74" w14:textId="77777777" w:rsidR="007968EC" w:rsidRDefault="007968EC" w:rsidP="007968EC">
            <w:pPr>
              <w:jc w:val="both"/>
              <w:rPr>
                <w:rFonts w:ascii="Arial Narrow" w:hAnsi="Arial Narrow" w:cs="Arial Narrow"/>
                <w:b/>
                <w:color w:val="000000"/>
                <w:lang w:eastAsia="es-ES"/>
              </w:rPr>
            </w:pPr>
          </w:p>
        </w:tc>
      </w:tr>
      <w:tr w:rsidR="007968EC" w14:paraId="615B6FB2" w14:textId="77777777" w:rsidTr="007968EC">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14:paraId="2C1F36C1" w14:textId="77777777" w:rsidR="007968EC" w:rsidRDefault="007968EC" w:rsidP="007968EC">
            <w:pPr>
              <w:jc w:val="center"/>
              <w:rPr>
                <w:rFonts w:ascii="Arial Narrow" w:hAnsi="Arial Narrow" w:cs="Arial Narrow"/>
                <w:b/>
                <w:color w:val="000000"/>
                <w:lang w:eastAsia="es-ES"/>
              </w:rPr>
            </w:pPr>
            <w:r>
              <w:rPr>
                <w:rFonts w:ascii="Arial Narrow" w:hAnsi="Arial Narrow" w:cs="Arial Narrow"/>
                <w:color w:val="000000"/>
                <w:lang w:eastAsia="es-ES"/>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844C6D" w14:textId="77777777" w:rsidR="007968EC" w:rsidRDefault="007968EC" w:rsidP="007968EC">
            <w:pPr>
              <w:jc w:val="both"/>
              <w:rPr>
                <w:rFonts w:ascii="Arial Narrow" w:hAnsi="Arial Narrow" w:cs="Arial Narrow"/>
                <w:b/>
                <w:color w:val="000000"/>
                <w:lang w:eastAsia="es-ES"/>
              </w:rPr>
            </w:pPr>
            <w:r>
              <w:rPr>
                <w:rFonts w:ascii="Arial Narrow" w:hAnsi="Arial Narrow" w:cs="Arial Narrow"/>
                <w:color w:val="000000"/>
                <w:lang w:eastAsia="es-ES"/>
              </w:rPr>
              <w:t xml:space="preserve">1 y </w:t>
            </w:r>
            <w:proofErr w:type="gramStart"/>
            <w:r>
              <w:rPr>
                <w:rFonts w:ascii="Arial Narrow" w:hAnsi="Arial Narrow" w:cs="Arial Narrow"/>
                <w:color w:val="000000"/>
                <w:lang w:eastAsia="es-ES"/>
              </w:rPr>
              <w:t>3  Meses</w:t>
            </w:r>
            <w:proofErr w:type="gramEnd"/>
            <w:r>
              <w:rPr>
                <w:rFonts w:ascii="Arial Narrow" w:hAnsi="Arial Narrow" w:cs="Arial Narrow"/>
                <w:color w:val="000000"/>
                <w:lang w:eastAsia="es-ES"/>
              </w:rPr>
              <w:t>/18 Meses</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2274C1EC" w14:textId="77777777" w:rsidR="007968EC" w:rsidRDefault="007968EC" w:rsidP="007968EC">
            <w:pPr>
              <w:jc w:val="center"/>
              <w:rPr>
                <w:rFonts w:ascii="Arial Narrow" w:hAnsi="Arial Narrow"/>
                <w:b/>
                <w:bCs/>
                <w:color w:val="000000"/>
                <w:lang w:eastAsia="es-ES"/>
              </w:rPr>
            </w:pPr>
            <w:r>
              <w:rPr>
                <w:rFonts w:ascii="Arial Narrow" w:hAnsi="Arial Narrow"/>
                <w:bCs/>
                <w:color w:val="000000"/>
                <w:lang w:eastAsia="es-ES"/>
              </w:rPr>
              <w:t>1/1</w:t>
            </w:r>
          </w:p>
        </w:tc>
        <w:tc>
          <w:tcPr>
            <w:tcW w:w="1707" w:type="dxa"/>
            <w:vMerge w:val="restart"/>
            <w:tcBorders>
              <w:top w:val="single" w:sz="4" w:space="0" w:color="auto"/>
              <w:left w:val="single" w:sz="4" w:space="0" w:color="auto"/>
              <w:bottom w:val="single" w:sz="4" w:space="0" w:color="auto"/>
              <w:right w:val="single" w:sz="4" w:space="0" w:color="auto"/>
            </w:tcBorders>
            <w:vAlign w:val="center"/>
            <w:hideMark/>
          </w:tcPr>
          <w:p w14:paraId="744049C8" w14:textId="77777777" w:rsidR="007968EC" w:rsidRDefault="007968EC" w:rsidP="007968EC">
            <w:pPr>
              <w:jc w:val="center"/>
              <w:rPr>
                <w:rFonts w:ascii="Arial Narrow" w:hAnsi="Arial Narrow"/>
                <w:b/>
                <w:bCs/>
                <w:color w:val="000000"/>
                <w:lang w:eastAsia="es-ES"/>
              </w:rPr>
            </w:pPr>
            <w:r>
              <w:rPr>
                <w:rFonts w:ascii="Arial Narrow" w:hAnsi="Arial Narrow"/>
                <w:bCs/>
                <w:color w:val="000000"/>
                <w:lang w:eastAsia="es-ES"/>
              </w:rPr>
              <w:t>70%</w:t>
            </w:r>
          </w:p>
        </w:tc>
      </w:tr>
      <w:tr w:rsidR="007968EC" w14:paraId="30C75319" w14:textId="77777777" w:rsidTr="007968EC">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14:paraId="0BD8EB31" w14:textId="77777777" w:rsidR="007968EC" w:rsidRDefault="007968EC" w:rsidP="007968EC">
            <w:pPr>
              <w:jc w:val="center"/>
              <w:rPr>
                <w:rFonts w:ascii="Arial Narrow" w:hAnsi="Arial Narrow" w:cs="Arial Narrow"/>
                <w:b/>
                <w:color w:val="000000"/>
                <w:lang w:eastAsia="es-ES"/>
              </w:rPr>
            </w:pPr>
            <w:r>
              <w:rPr>
                <w:rFonts w:ascii="Arial Narrow" w:hAnsi="Arial Narrow" w:cs="Arial Narrow"/>
                <w:color w:val="000000"/>
                <w:lang w:eastAsia="es-ES"/>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C35D04" w14:textId="77777777" w:rsidR="007968EC" w:rsidRDefault="007968EC" w:rsidP="007968EC">
            <w:pPr>
              <w:jc w:val="both"/>
              <w:rPr>
                <w:rFonts w:ascii="Arial Narrow" w:hAnsi="Arial Narrow" w:cs="Arial Narrow"/>
                <w:b/>
                <w:color w:val="000000"/>
                <w:lang w:eastAsia="es-ES"/>
              </w:rPr>
            </w:pPr>
            <w:r>
              <w:rPr>
                <w:rFonts w:ascii="Arial Narrow" w:hAnsi="Arial Narrow" w:cs="Arial Narrow"/>
                <w:color w:val="000000"/>
                <w:lang w:eastAsia="es-ES"/>
              </w:rPr>
              <w:t xml:space="preserve">1 y </w:t>
            </w:r>
            <w:proofErr w:type="gramStart"/>
            <w:r>
              <w:rPr>
                <w:rFonts w:ascii="Arial Narrow" w:hAnsi="Arial Narrow" w:cs="Arial Narrow"/>
                <w:color w:val="000000"/>
                <w:lang w:eastAsia="es-ES"/>
              </w:rPr>
              <w:t>3  Meses</w:t>
            </w:r>
            <w:proofErr w:type="gramEnd"/>
            <w:r>
              <w:rPr>
                <w:rFonts w:ascii="Arial Narrow" w:hAnsi="Arial Narrow" w:cs="Arial Narrow"/>
                <w:color w:val="000000"/>
                <w:lang w:eastAsia="es-ES"/>
              </w:rPr>
              <w:t>/12 Meses</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0D42E5B" w14:textId="77777777" w:rsidR="007968EC" w:rsidRDefault="007968EC" w:rsidP="007968EC">
            <w:pPr>
              <w:rPr>
                <w:rFonts w:ascii="Arial Narrow" w:hAnsi="Arial Narrow"/>
                <w:b/>
                <w:bCs/>
                <w:color w:val="000000"/>
                <w:lang w:eastAsia="es-ES"/>
              </w:rPr>
            </w:pPr>
          </w:p>
        </w:tc>
        <w:tc>
          <w:tcPr>
            <w:tcW w:w="1707" w:type="dxa"/>
            <w:vMerge/>
            <w:tcBorders>
              <w:top w:val="single" w:sz="4" w:space="0" w:color="auto"/>
              <w:left w:val="single" w:sz="4" w:space="0" w:color="auto"/>
              <w:bottom w:val="single" w:sz="4" w:space="0" w:color="auto"/>
              <w:right w:val="single" w:sz="4" w:space="0" w:color="auto"/>
            </w:tcBorders>
            <w:vAlign w:val="center"/>
            <w:hideMark/>
          </w:tcPr>
          <w:p w14:paraId="570332F9" w14:textId="77777777" w:rsidR="007968EC" w:rsidRDefault="007968EC" w:rsidP="007968EC">
            <w:pPr>
              <w:rPr>
                <w:rFonts w:ascii="Arial Narrow" w:hAnsi="Arial Narrow"/>
                <w:b/>
                <w:bCs/>
                <w:color w:val="000000"/>
                <w:lang w:eastAsia="es-ES"/>
              </w:rPr>
            </w:pPr>
          </w:p>
        </w:tc>
      </w:tr>
      <w:tr w:rsidR="007968EC" w14:paraId="7910A0DC" w14:textId="77777777" w:rsidTr="007968EC">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14:paraId="69CBBB59" w14:textId="77777777" w:rsidR="007968EC" w:rsidRDefault="007968EC" w:rsidP="007968EC">
            <w:pPr>
              <w:jc w:val="center"/>
              <w:rPr>
                <w:rFonts w:ascii="Arial Narrow" w:hAnsi="Arial Narrow" w:cs="Arial Narrow"/>
                <w:b/>
                <w:color w:val="000000"/>
                <w:lang w:eastAsia="es-ES"/>
              </w:rPr>
            </w:pPr>
            <w:r>
              <w:rPr>
                <w:rFonts w:ascii="Arial Narrow" w:hAnsi="Arial Narrow" w:cs="Arial Narrow"/>
                <w:color w:val="000000"/>
                <w:lang w:eastAsia="es-ES"/>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DF3A4C" w14:textId="77777777" w:rsidR="007968EC" w:rsidRDefault="007968EC" w:rsidP="007968EC">
            <w:pPr>
              <w:jc w:val="both"/>
              <w:rPr>
                <w:rFonts w:ascii="Arial Narrow" w:hAnsi="Arial Narrow" w:cs="Arial Narrow"/>
                <w:b/>
                <w:color w:val="000000"/>
                <w:lang w:eastAsia="es-ES"/>
              </w:rPr>
            </w:pPr>
            <w:r>
              <w:rPr>
                <w:rFonts w:ascii="Arial Narrow" w:hAnsi="Arial Narrow" w:cs="Arial Narrow"/>
                <w:color w:val="000000"/>
                <w:lang w:eastAsia="es-ES"/>
              </w:rPr>
              <w:t xml:space="preserve">1 y </w:t>
            </w:r>
            <w:proofErr w:type="gramStart"/>
            <w:r>
              <w:rPr>
                <w:rFonts w:ascii="Arial Narrow" w:hAnsi="Arial Narrow" w:cs="Arial Narrow"/>
                <w:color w:val="000000"/>
                <w:lang w:eastAsia="es-ES"/>
              </w:rPr>
              <w:t>3  Meses</w:t>
            </w:r>
            <w:proofErr w:type="gramEnd"/>
            <w:r>
              <w:rPr>
                <w:rFonts w:ascii="Arial Narrow" w:hAnsi="Arial Narrow" w:cs="Arial Narrow"/>
                <w:color w:val="000000"/>
                <w:lang w:eastAsia="es-ES"/>
              </w:rPr>
              <w:t>/9 Meses</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9CC3DD7" w14:textId="77777777" w:rsidR="007968EC" w:rsidRDefault="007968EC" w:rsidP="007968EC">
            <w:pPr>
              <w:rPr>
                <w:rFonts w:ascii="Arial Narrow" w:hAnsi="Arial Narrow"/>
                <w:b/>
                <w:bCs/>
                <w:color w:val="000000"/>
                <w:lang w:eastAsia="es-ES"/>
              </w:rPr>
            </w:pPr>
          </w:p>
        </w:tc>
        <w:tc>
          <w:tcPr>
            <w:tcW w:w="1707" w:type="dxa"/>
            <w:vMerge/>
            <w:tcBorders>
              <w:top w:val="single" w:sz="4" w:space="0" w:color="auto"/>
              <w:left w:val="single" w:sz="4" w:space="0" w:color="auto"/>
              <w:bottom w:val="single" w:sz="4" w:space="0" w:color="auto"/>
              <w:right w:val="single" w:sz="4" w:space="0" w:color="auto"/>
            </w:tcBorders>
            <w:vAlign w:val="center"/>
            <w:hideMark/>
          </w:tcPr>
          <w:p w14:paraId="0B6D3ED8" w14:textId="77777777" w:rsidR="007968EC" w:rsidRDefault="007968EC" w:rsidP="007968EC">
            <w:pPr>
              <w:rPr>
                <w:rFonts w:ascii="Arial Narrow" w:hAnsi="Arial Narrow"/>
                <w:b/>
                <w:bCs/>
                <w:color w:val="000000"/>
                <w:lang w:eastAsia="es-ES"/>
              </w:rPr>
            </w:pPr>
          </w:p>
        </w:tc>
      </w:tr>
      <w:tr w:rsidR="007968EC" w14:paraId="049FC21E" w14:textId="77777777" w:rsidTr="007968EC">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14:paraId="0DF80133" w14:textId="77777777" w:rsidR="007968EC" w:rsidRDefault="007968EC" w:rsidP="007968EC">
            <w:pPr>
              <w:jc w:val="center"/>
              <w:rPr>
                <w:rFonts w:ascii="Arial Narrow" w:hAnsi="Arial Narrow" w:cs="Arial Narrow"/>
                <w:b/>
                <w:color w:val="000000"/>
                <w:lang w:eastAsia="es-ES"/>
              </w:rPr>
            </w:pPr>
            <w:r>
              <w:rPr>
                <w:rFonts w:ascii="Arial Narrow" w:hAnsi="Arial Narrow" w:cs="Arial Narrow"/>
                <w:color w:val="000000"/>
                <w:lang w:eastAsia="es-ES"/>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52BCF1" w14:textId="77777777" w:rsidR="007968EC" w:rsidRDefault="007968EC" w:rsidP="007968EC">
            <w:pPr>
              <w:jc w:val="both"/>
              <w:rPr>
                <w:rFonts w:ascii="Arial Narrow" w:hAnsi="Arial Narrow" w:cs="Arial Narrow"/>
                <w:b/>
                <w:color w:val="000000"/>
                <w:lang w:eastAsia="es-ES"/>
              </w:rPr>
            </w:pPr>
            <w:r>
              <w:rPr>
                <w:rFonts w:ascii="Arial Narrow" w:hAnsi="Arial Narrow" w:cs="Arial Narrow"/>
                <w:color w:val="000000"/>
                <w:lang w:eastAsia="es-ES"/>
              </w:rPr>
              <w:t xml:space="preserve">1 y </w:t>
            </w:r>
            <w:proofErr w:type="gramStart"/>
            <w:r>
              <w:rPr>
                <w:rFonts w:ascii="Arial Narrow" w:hAnsi="Arial Narrow" w:cs="Arial Narrow"/>
                <w:color w:val="000000"/>
                <w:lang w:eastAsia="es-ES"/>
              </w:rPr>
              <w:t>3  Meses</w:t>
            </w:r>
            <w:proofErr w:type="gramEnd"/>
            <w:r>
              <w:rPr>
                <w:rFonts w:ascii="Arial Narrow" w:hAnsi="Arial Narrow" w:cs="Arial Narrow"/>
                <w:color w:val="000000"/>
                <w:lang w:eastAsia="es-ES"/>
              </w:rPr>
              <w:t>/6 Meses</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7276B54" w14:textId="77777777" w:rsidR="007968EC" w:rsidRDefault="007968EC" w:rsidP="007968EC">
            <w:pPr>
              <w:rPr>
                <w:rFonts w:ascii="Arial Narrow" w:hAnsi="Arial Narrow"/>
                <w:b/>
                <w:bCs/>
                <w:color w:val="000000"/>
                <w:lang w:eastAsia="es-ES"/>
              </w:rPr>
            </w:pPr>
          </w:p>
        </w:tc>
        <w:tc>
          <w:tcPr>
            <w:tcW w:w="1707" w:type="dxa"/>
            <w:vMerge/>
            <w:tcBorders>
              <w:top w:val="single" w:sz="4" w:space="0" w:color="auto"/>
              <w:left w:val="single" w:sz="4" w:space="0" w:color="auto"/>
              <w:bottom w:val="single" w:sz="4" w:space="0" w:color="auto"/>
              <w:right w:val="single" w:sz="4" w:space="0" w:color="auto"/>
            </w:tcBorders>
            <w:vAlign w:val="center"/>
            <w:hideMark/>
          </w:tcPr>
          <w:p w14:paraId="4E4D4012" w14:textId="77777777" w:rsidR="007968EC" w:rsidRDefault="007968EC" w:rsidP="007968EC">
            <w:pPr>
              <w:rPr>
                <w:rFonts w:ascii="Arial Narrow" w:hAnsi="Arial Narrow"/>
                <w:b/>
                <w:bCs/>
                <w:color w:val="000000"/>
                <w:lang w:eastAsia="es-ES"/>
              </w:rPr>
            </w:pPr>
          </w:p>
        </w:tc>
      </w:tr>
      <w:tr w:rsidR="007968EC" w14:paraId="4B9798A0" w14:textId="77777777" w:rsidTr="007968EC">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14:paraId="7FE6A8A0" w14:textId="77777777" w:rsidR="007968EC" w:rsidRDefault="007968EC" w:rsidP="007968EC">
            <w:pPr>
              <w:jc w:val="center"/>
              <w:rPr>
                <w:rFonts w:ascii="Arial Narrow" w:hAnsi="Arial Narrow" w:cs="Arial Narrow"/>
                <w:b/>
                <w:color w:val="000000"/>
                <w:lang w:eastAsia="es-ES"/>
              </w:rPr>
            </w:pPr>
            <w:r>
              <w:rPr>
                <w:rFonts w:ascii="Arial Narrow" w:hAnsi="Arial Narrow" w:cs="Arial Narrow"/>
                <w:color w:val="000000"/>
                <w:lang w:eastAsia="es-ES"/>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DFF703" w14:textId="77777777" w:rsidR="007968EC" w:rsidRDefault="007968EC" w:rsidP="007968EC">
            <w:pPr>
              <w:jc w:val="both"/>
              <w:rPr>
                <w:rFonts w:ascii="Arial Narrow" w:hAnsi="Arial Narrow" w:cs="Arial Narrow"/>
                <w:b/>
                <w:color w:val="000000"/>
                <w:lang w:eastAsia="es-ES"/>
              </w:rPr>
            </w:pPr>
            <w:r>
              <w:rPr>
                <w:rFonts w:ascii="Arial Narrow" w:hAnsi="Arial Narrow" w:cs="Arial Narrow"/>
                <w:color w:val="000000"/>
                <w:lang w:eastAsia="es-ES"/>
              </w:rPr>
              <w:t>6 Meses/18 Meses</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11415B8" w14:textId="77777777" w:rsidR="007968EC" w:rsidRDefault="007968EC" w:rsidP="007968EC">
            <w:pPr>
              <w:rPr>
                <w:rFonts w:ascii="Arial Narrow" w:hAnsi="Arial Narrow"/>
                <w:b/>
                <w:bCs/>
                <w:color w:val="000000"/>
                <w:lang w:eastAsia="es-ES"/>
              </w:rPr>
            </w:pPr>
          </w:p>
        </w:tc>
        <w:tc>
          <w:tcPr>
            <w:tcW w:w="1707" w:type="dxa"/>
            <w:vMerge/>
            <w:tcBorders>
              <w:top w:val="single" w:sz="4" w:space="0" w:color="auto"/>
              <w:left w:val="single" w:sz="4" w:space="0" w:color="auto"/>
              <w:bottom w:val="single" w:sz="4" w:space="0" w:color="auto"/>
              <w:right w:val="single" w:sz="4" w:space="0" w:color="auto"/>
            </w:tcBorders>
            <w:vAlign w:val="center"/>
            <w:hideMark/>
          </w:tcPr>
          <w:p w14:paraId="7A91EF55" w14:textId="77777777" w:rsidR="007968EC" w:rsidRDefault="007968EC" w:rsidP="007968EC">
            <w:pPr>
              <w:rPr>
                <w:rFonts w:ascii="Arial Narrow" w:hAnsi="Arial Narrow"/>
                <w:b/>
                <w:bCs/>
                <w:color w:val="000000"/>
                <w:lang w:eastAsia="es-ES"/>
              </w:rPr>
            </w:pPr>
          </w:p>
        </w:tc>
      </w:tr>
      <w:tr w:rsidR="007968EC" w14:paraId="2AADF5FA" w14:textId="77777777" w:rsidTr="007968EC">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14:paraId="11C7042D" w14:textId="77777777" w:rsidR="007968EC" w:rsidRDefault="007968EC" w:rsidP="007968EC">
            <w:pPr>
              <w:jc w:val="center"/>
              <w:rPr>
                <w:rFonts w:ascii="Arial Narrow" w:hAnsi="Arial Narrow" w:cs="Arial Narrow"/>
                <w:b/>
                <w:color w:val="000000"/>
                <w:lang w:eastAsia="es-ES"/>
              </w:rPr>
            </w:pPr>
            <w:r>
              <w:rPr>
                <w:rFonts w:ascii="Arial Narrow" w:hAnsi="Arial Narrow" w:cs="Arial Narrow"/>
                <w:color w:val="000000"/>
                <w:lang w:eastAsia="es-ES"/>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F7E1DB" w14:textId="77777777" w:rsidR="007968EC" w:rsidRDefault="007968EC" w:rsidP="007968EC">
            <w:pPr>
              <w:jc w:val="both"/>
              <w:rPr>
                <w:rFonts w:ascii="Arial Narrow" w:hAnsi="Arial Narrow" w:cs="Arial Narrow"/>
                <w:b/>
                <w:color w:val="000000"/>
                <w:lang w:eastAsia="es-ES"/>
              </w:rPr>
            </w:pPr>
            <w:r>
              <w:rPr>
                <w:rFonts w:ascii="Arial Narrow" w:hAnsi="Arial Narrow" w:cs="Arial Narrow"/>
                <w:color w:val="000000"/>
                <w:lang w:eastAsia="es-ES"/>
              </w:rPr>
              <w:t>6 Meses/12 Meses</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2A0482E" w14:textId="77777777" w:rsidR="007968EC" w:rsidRDefault="007968EC" w:rsidP="007968EC">
            <w:pPr>
              <w:rPr>
                <w:rFonts w:ascii="Arial Narrow" w:hAnsi="Arial Narrow"/>
                <w:b/>
                <w:bCs/>
                <w:color w:val="000000"/>
                <w:lang w:eastAsia="es-ES"/>
              </w:rPr>
            </w:pPr>
          </w:p>
        </w:tc>
        <w:tc>
          <w:tcPr>
            <w:tcW w:w="1707" w:type="dxa"/>
            <w:vMerge/>
            <w:tcBorders>
              <w:top w:val="single" w:sz="4" w:space="0" w:color="auto"/>
              <w:left w:val="single" w:sz="4" w:space="0" w:color="auto"/>
              <w:bottom w:val="single" w:sz="4" w:space="0" w:color="auto"/>
              <w:right w:val="single" w:sz="4" w:space="0" w:color="auto"/>
            </w:tcBorders>
            <w:vAlign w:val="center"/>
            <w:hideMark/>
          </w:tcPr>
          <w:p w14:paraId="49FDDA56" w14:textId="77777777" w:rsidR="007968EC" w:rsidRDefault="007968EC" w:rsidP="007968EC">
            <w:pPr>
              <w:rPr>
                <w:rFonts w:ascii="Arial Narrow" w:hAnsi="Arial Narrow"/>
                <w:b/>
                <w:bCs/>
                <w:color w:val="000000"/>
                <w:lang w:eastAsia="es-ES"/>
              </w:rPr>
            </w:pPr>
          </w:p>
        </w:tc>
      </w:tr>
      <w:tr w:rsidR="007968EC" w14:paraId="64422CBA" w14:textId="77777777" w:rsidTr="007968EC">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14:paraId="6EC23E66" w14:textId="77777777" w:rsidR="007968EC" w:rsidRDefault="007968EC" w:rsidP="007968EC">
            <w:pPr>
              <w:jc w:val="center"/>
              <w:rPr>
                <w:rFonts w:ascii="Arial Narrow" w:hAnsi="Arial Narrow" w:cs="Arial Narrow"/>
                <w:b/>
                <w:color w:val="000000"/>
                <w:lang w:eastAsia="es-ES"/>
              </w:rPr>
            </w:pPr>
            <w:r>
              <w:rPr>
                <w:rFonts w:ascii="Arial Narrow" w:hAnsi="Arial Narrow" w:cs="Arial Narrow"/>
                <w:color w:val="000000"/>
                <w:lang w:eastAsia="es-ES"/>
              </w:rPr>
              <w:t>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E0D34E" w14:textId="77777777" w:rsidR="007968EC" w:rsidRDefault="007968EC" w:rsidP="007968EC">
            <w:pPr>
              <w:jc w:val="both"/>
              <w:rPr>
                <w:rFonts w:ascii="Arial Narrow" w:hAnsi="Arial Narrow" w:cs="Arial Narrow"/>
                <w:b/>
                <w:color w:val="000000"/>
                <w:lang w:eastAsia="es-ES"/>
              </w:rPr>
            </w:pPr>
            <w:r>
              <w:rPr>
                <w:rFonts w:ascii="Arial Narrow" w:hAnsi="Arial Narrow" w:cs="Arial Narrow"/>
                <w:color w:val="000000"/>
                <w:lang w:eastAsia="es-ES"/>
              </w:rPr>
              <w:t>6 Meses/9 Meses</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81721BD" w14:textId="77777777" w:rsidR="007968EC" w:rsidRDefault="007968EC" w:rsidP="007968EC">
            <w:pPr>
              <w:rPr>
                <w:rFonts w:ascii="Arial Narrow" w:hAnsi="Arial Narrow"/>
                <w:b/>
                <w:bCs/>
                <w:color w:val="000000"/>
                <w:lang w:eastAsia="es-ES"/>
              </w:rPr>
            </w:pPr>
          </w:p>
        </w:tc>
        <w:tc>
          <w:tcPr>
            <w:tcW w:w="1707" w:type="dxa"/>
            <w:vMerge/>
            <w:tcBorders>
              <w:top w:val="single" w:sz="4" w:space="0" w:color="auto"/>
              <w:left w:val="single" w:sz="4" w:space="0" w:color="auto"/>
              <w:bottom w:val="single" w:sz="4" w:space="0" w:color="auto"/>
              <w:right w:val="single" w:sz="4" w:space="0" w:color="auto"/>
            </w:tcBorders>
            <w:vAlign w:val="center"/>
            <w:hideMark/>
          </w:tcPr>
          <w:p w14:paraId="3A7637A9" w14:textId="77777777" w:rsidR="007968EC" w:rsidRDefault="007968EC" w:rsidP="007968EC">
            <w:pPr>
              <w:rPr>
                <w:rFonts w:ascii="Arial Narrow" w:hAnsi="Arial Narrow"/>
                <w:b/>
                <w:bCs/>
                <w:color w:val="000000"/>
                <w:lang w:eastAsia="es-ES"/>
              </w:rPr>
            </w:pPr>
          </w:p>
        </w:tc>
      </w:tr>
      <w:tr w:rsidR="007968EC" w14:paraId="50E6F2F0" w14:textId="77777777" w:rsidTr="007968EC">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14:paraId="59BACFB5" w14:textId="77777777" w:rsidR="007968EC" w:rsidRDefault="007968EC" w:rsidP="007968EC">
            <w:pPr>
              <w:jc w:val="center"/>
              <w:rPr>
                <w:rFonts w:ascii="Arial Narrow" w:hAnsi="Arial Narrow" w:cs="Arial Narrow"/>
                <w:b/>
                <w:color w:val="000000"/>
                <w:lang w:eastAsia="es-ES"/>
              </w:rPr>
            </w:pPr>
            <w:r>
              <w:rPr>
                <w:rFonts w:ascii="Arial Narrow" w:hAnsi="Arial Narrow" w:cs="Arial Narrow"/>
                <w:color w:val="000000"/>
                <w:lang w:eastAsia="es-ES"/>
              </w:rPr>
              <w:lastRenderedPageBreak/>
              <w:t>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BF416C" w14:textId="77777777" w:rsidR="007968EC" w:rsidRDefault="007968EC" w:rsidP="007968EC">
            <w:pPr>
              <w:jc w:val="both"/>
              <w:rPr>
                <w:rFonts w:ascii="Arial Narrow" w:hAnsi="Arial Narrow" w:cs="Arial Narrow"/>
                <w:b/>
                <w:color w:val="000000"/>
                <w:lang w:eastAsia="es-ES"/>
              </w:rPr>
            </w:pPr>
            <w:r>
              <w:rPr>
                <w:rFonts w:ascii="Arial Narrow" w:hAnsi="Arial Narrow" w:cs="Arial Narrow"/>
                <w:color w:val="000000"/>
                <w:lang w:eastAsia="es-ES"/>
              </w:rPr>
              <w:t>9 Meses/18 Meses</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A3DB0F0" w14:textId="77777777" w:rsidR="007968EC" w:rsidRDefault="007968EC" w:rsidP="007968EC">
            <w:pPr>
              <w:rPr>
                <w:rFonts w:ascii="Arial Narrow" w:hAnsi="Arial Narrow"/>
                <w:b/>
                <w:bCs/>
                <w:color w:val="000000"/>
                <w:lang w:eastAsia="es-ES"/>
              </w:rPr>
            </w:pPr>
          </w:p>
        </w:tc>
        <w:tc>
          <w:tcPr>
            <w:tcW w:w="1707" w:type="dxa"/>
            <w:vMerge/>
            <w:tcBorders>
              <w:top w:val="single" w:sz="4" w:space="0" w:color="auto"/>
              <w:left w:val="single" w:sz="4" w:space="0" w:color="auto"/>
              <w:bottom w:val="single" w:sz="4" w:space="0" w:color="auto"/>
              <w:right w:val="single" w:sz="4" w:space="0" w:color="auto"/>
            </w:tcBorders>
            <w:vAlign w:val="center"/>
            <w:hideMark/>
          </w:tcPr>
          <w:p w14:paraId="6BB9C5D2" w14:textId="77777777" w:rsidR="007968EC" w:rsidRDefault="007968EC" w:rsidP="007968EC">
            <w:pPr>
              <w:rPr>
                <w:rFonts w:ascii="Arial Narrow" w:hAnsi="Arial Narrow"/>
                <w:b/>
                <w:bCs/>
                <w:color w:val="000000"/>
                <w:lang w:eastAsia="es-ES"/>
              </w:rPr>
            </w:pPr>
          </w:p>
        </w:tc>
      </w:tr>
      <w:tr w:rsidR="007968EC" w14:paraId="4CE14A8D" w14:textId="77777777" w:rsidTr="007968EC">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14:paraId="4702BF86" w14:textId="77777777" w:rsidR="007968EC" w:rsidRDefault="007968EC" w:rsidP="007968EC">
            <w:pPr>
              <w:jc w:val="center"/>
              <w:rPr>
                <w:rFonts w:ascii="Arial Narrow" w:hAnsi="Arial Narrow" w:cs="Arial Narrow"/>
                <w:b/>
                <w:color w:val="000000"/>
                <w:lang w:eastAsia="es-ES"/>
              </w:rPr>
            </w:pPr>
            <w:r>
              <w:rPr>
                <w:rFonts w:ascii="Arial Narrow" w:hAnsi="Arial Narrow" w:cs="Arial Narrow"/>
                <w:color w:val="000000"/>
                <w:lang w:eastAsia="es-ES"/>
              </w:rPr>
              <w:t>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7A4574" w14:textId="77777777" w:rsidR="007968EC" w:rsidRDefault="007968EC" w:rsidP="007968EC">
            <w:pPr>
              <w:jc w:val="both"/>
              <w:rPr>
                <w:rFonts w:ascii="Arial Narrow" w:hAnsi="Arial Narrow" w:cs="Arial Narrow"/>
                <w:b/>
                <w:color w:val="000000"/>
                <w:lang w:eastAsia="es-ES"/>
              </w:rPr>
            </w:pPr>
            <w:r>
              <w:rPr>
                <w:rFonts w:ascii="Arial Narrow" w:hAnsi="Arial Narrow" w:cs="Arial Narrow"/>
                <w:color w:val="000000"/>
                <w:lang w:eastAsia="es-ES"/>
              </w:rPr>
              <w:t>9 Meses/12 Meses</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0C761D0" w14:textId="77777777" w:rsidR="007968EC" w:rsidRDefault="007968EC" w:rsidP="007968EC">
            <w:pPr>
              <w:rPr>
                <w:rFonts w:ascii="Arial Narrow" w:hAnsi="Arial Narrow"/>
                <w:b/>
                <w:bCs/>
                <w:color w:val="000000"/>
                <w:lang w:eastAsia="es-ES"/>
              </w:rPr>
            </w:pPr>
          </w:p>
        </w:tc>
        <w:tc>
          <w:tcPr>
            <w:tcW w:w="1707" w:type="dxa"/>
            <w:vMerge/>
            <w:tcBorders>
              <w:top w:val="single" w:sz="4" w:space="0" w:color="auto"/>
              <w:left w:val="single" w:sz="4" w:space="0" w:color="auto"/>
              <w:bottom w:val="single" w:sz="4" w:space="0" w:color="auto"/>
              <w:right w:val="single" w:sz="4" w:space="0" w:color="auto"/>
            </w:tcBorders>
            <w:vAlign w:val="center"/>
            <w:hideMark/>
          </w:tcPr>
          <w:p w14:paraId="1C0026E8" w14:textId="77777777" w:rsidR="007968EC" w:rsidRDefault="007968EC" w:rsidP="007968EC">
            <w:pPr>
              <w:rPr>
                <w:rFonts w:ascii="Arial Narrow" w:hAnsi="Arial Narrow"/>
                <w:b/>
                <w:bCs/>
                <w:color w:val="000000"/>
                <w:lang w:eastAsia="es-ES"/>
              </w:rPr>
            </w:pPr>
          </w:p>
        </w:tc>
      </w:tr>
      <w:tr w:rsidR="007968EC" w14:paraId="2CD72583" w14:textId="77777777" w:rsidTr="007968EC">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14:paraId="79F5ECDE" w14:textId="77777777" w:rsidR="007968EC" w:rsidRDefault="007968EC" w:rsidP="007968EC">
            <w:pPr>
              <w:jc w:val="center"/>
              <w:rPr>
                <w:rFonts w:ascii="Arial Narrow" w:hAnsi="Arial Narrow" w:cs="Arial Narrow"/>
                <w:b/>
                <w:color w:val="000000"/>
                <w:lang w:eastAsia="es-ES"/>
              </w:rPr>
            </w:pPr>
            <w:r>
              <w:rPr>
                <w:rFonts w:ascii="Arial Narrow" w:hAnsi="Arial Narrow" w:cs="Arial Narrow"/>
                <w:color w:val="000000"/>
                <w:lang w:eastAsia="es-ES"/>
              </w:rPr>
              <w:t>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8D0532" w14:textId="77777777" w:rsidR="007968EC" w:rsidRDefault="007968EC" w:rsidP="007968EC">
            <w:pPr>
              <w:jc w:val="both"/>
              <w:rPr>
                <w:rFonts w:ascii="Arial Narrow" w:hAnsi="Arial Narrow" w:cs="Arial Narrow"/>
                <w:b/>
                <w:color w:val="000000"/>
                <w:lang w:eastAsia="es-ES"/>
              </w:rPr>
            </w:pPr>
            <w:r>
              <w:rPr>
                <w:rFonts w:ascii="Arial Narrow" w:hAnsi="Arial Narrow" w:cs="Arial Narrow"/>
                <w:color w:val="000000"/>
                <w:lang w:eastAsia="es-ES"/>
              </w:rPr>
              <w:t>12 Meses/18 Meses</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F0D3571" w14:textId="77777777" w:rsidR="007968EC" w:rsidRDefault="007968EC" w:rsidP="007968EC">
            <w:pPr>
              <w:rPr>
                <w:rFonts w:ascii="Arial Narrow" w:hAnsi="Arial Narrow"/>
                <w:b/>
                <w:bCs/>
                <w:color w:val="000000"/>
                <w:lang w:eastAsia="es-ES"/>
              </w:rPr>
            </w:pPr>
          </w:p>
        </w:tc>
        <w:tc>
          <w:tcPr>
            <w:tcW w:w="1707" w:type="dxa"/>
            <w:vMerge/>
            <w:tcBorders>
              <w:top w:val="single" w:sz="4" w:space="0" w:color="auto"/>
              <w:left w:val="single" w:sz="4" w:space="0" w:color="auto"/>
              <w:bottom w:val="single" w:sz="4" w:space="0" w:color="auto"/>
              <w:right w:val="single" w:sz="4" w:space="0" w:color="auto"/>
            </w:tcBorders>
            <w:vAlign w:val="center"/>
            <w:hideMark/>
          </w:tcPr>
          <w:p w14:paraId="78C80790" w14:textId="77777777" w:rsidR="007968EC" w:rsidRDefault="007968EC" w:rsidP="007968EC">
            <w:pPr>
              <w:rPr>
                <w:rFonts w:ascii="Arial Narrow" w:hAnsi="Arial Narrow"/>
                <w:b/>
                <w:bCs/>
                <w:color w:val="000000"/>
                <w:lang w:eastAsia="es-ES"/>
              </w:rPr>
            </w:pPr>
          </w:p>
        </w:tc>
      </w:tr>
    </w:tbl>
    <w:p w14:paraId="54C6D25A" w14:textId="77777777" w:rsidR="007968EC" w:rsidRDefault="007968EC" w:rsidP="007968EC">
      <w:pPr>
        <w:autoSpaceDE w:val="0"/>
        <w:autoSpaceDN w:val="0"/>
        <w:ind w:left="708" w:hanging="708"/>
        <w:contextualSpacing/>
        <w:jc w:val="both"/>
        <w:rPr>
          <w:rFonts w:ascii="Arial Narrow" w:eastAsia="Calibri" w:hAnsi="Arial Narrow"/>
          <w:b/>
          <w:color w:val="000000"/>
          <w:lang w:eastAsia="en-US"/>
        </w:rPr>
      </w:pPr>
    </w:p>
    <w:p w14:paraId="6A80B6A3" w14:textId="77777777" w:rsidR="007968EC" w:rsidRDefault="007968EC" w:rsidP="00DA7472">
      <w:pPr>
        <w:numPr>
          <w:ilvl w:val="0"/>
          <w:numId w:val="367"/>
        </w:numPr>
        <w:spacing w:after="160" w:line="256" w:lineRule="auto"/>
        <w:ind w:left="284"/>
        <w:jc w:val="both"/>
        <w:rPr>
          <w:rFonts w:ascii="Arial Narrow" w:eastAsia="Calibri" w:hAnsi="Arial Narrow"/>
          <w:color w:val="000000"/>
          <w:lang w:eastAsia="en-US"/>
        </w:rPr>
      </w:pPr>
      <w:r>
        <w:rPr>
          <w:rFonts w:ascii="Arial Narrow" w:eastAsia="Calibri" w:hAnsi="Arial Narrow"/>
          <w:color w:val="000000"/>
          <w:lang w:eastAsia="en-US"/>
        </w:rPr>
        <w:t>Orden para la compensación entre grupos del OIS IBR Formación:</w:t>
      </w:r>
    </w:p>
    <w:p w14:paraId="66EB734A" w14:textId="77777777" w:rsidR="007968EC" w:rsidRDefault="007968EC" w:rsidP="007968EC">
      <w:pPr>
        <w:spacing w:after="160" w:line="256" w:lineRule="auto"/>
        <w:ind w:left="142"/>
        <w:jc w:val="both"/>
        <w:rPr>
          <w:rFonts w:ascii="Arial Narrow" w:eastAsia="Calibri" w:hAnsi="Arial Narrow" w:cs="Arial Narrow"/>
          <w:b/>
          <w:color w:val="000000"/>
          <w:lang w:eastAsia="en-US"/>
        </w:rPr>
      </w:pPr>
    </w:p>
    <w:tbl>
      <w:tblPr>
        <w:tblStyle w:val="Tablaconcuadrcula311222"/>
        <w:tblW w:w="6225" w:type="dxa"/>
        <w:jc w:val="center"/>
        <w:tblLayout w:type="fixed"/>
        <w:tblLook w:val="04A0" w:firstRow="1" w:lastRow="0" w:firstColumn="1" w:lastColumn="0" w:noHBand="0" w:noVBand="1"/>
      </w:tblPr>
      <w:tblGrid>
        <w:gridCol w:w="1554"/>
        <w:gridCol w:w="1415"/>
        <w:gridCol w:w="1841"/>
        <w:gridCol w:w="1415"/>
      </w:tblGrid>
      <w:tr w:rsidR="007968EC" w14:paraId="6E2A9E0D" w14:textId="77777777" w:rsidTr="007968EC">
        <w:trPr>
          <w:trHeight w:val="88"/>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71B2C32F" w14:textId="77777777" w:rsidR="007968EC" w:rsidRDefault="007968EC" w:rsidP="007968EC">
            <w:pPr>
              <w:rPr>
                <w:rFonts w:ascii="Arial Narrow" w:eastAsia="Calibri" w:hAnsi="Arial Narrow" w:cs="Arial Narrow"/>
                <w:b/>
                <w:color w:val="000000"/>
                <w:lang w:eastAsia="en-US"/>
              </w:rPr>
            </w:pPr>
            <w:r>
              <w:rPr>
                <w:rFonts w:ascii="Arial Narrow" w:eastAsia="Calibri" w:hAnsi="Arial Narrow" w:cs="Arial Narrow"/>
                <w:color w:val="000000"/>
                <w:lang w:eastAsia="en-US"/>
              </w:rPr>
              <w:t xml:space="preserve">Orden de Compensación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1F6D217" w14:textId="77777777" w:rsidR="007968EC" w:rsidRDefault="007968EC" w:rsidP="007968EC">
            <w:pPr>
              <w:jc w:val="both"/>
              <w:rPr>
                <w:rFonts w:ascii="Arial Narrow" w:eastAsia="Calibri" w:hAnsi="Arial Narrow" w:cs="Arial Narrow"/>
                <w:b/>
                <w:color w:val="000000"/>
                <w:lang w:eastAsia="en-US"/>
              </w:rPr>
            </w:pPr>
            <w:proofErr w:type="gramStart"/>
            <w:r>
              <w:rPr>
                <w:rFonts w:ascii="Arial Narrow" w:eastAsia="Calibri" w:hAnsi="Arial Narrow" w:cs="Arial Narrow"/>
                <w:color w:val="000000"/>
                <w:lang w:eastAsia="en-US"/>
              </w:rPr>
              <w:t>Grupos a Compensar</w:t>
            </w:r>
            <w:proofErr w:type="gramEnd"/>
          </w:p>
        </w:tc>
        <w:tc>
          <w:tcPr>
            <w:tcW w:w="1843" w:type="dxa"/>
            <w:tcBorders>
              <w:top w:val="single" w:sz="4" w:space="0" w:color="auto"/>
              <w:left w:val="single" w:sz="4" w:space="0" w:color="auto"/>
              <w:bottom w:val="single" w:sz="4" w:space="0" w:color="auto"/>
              <w:right w:val="single" w:sz="4" w:space="0" w:color="auto"/>
            </w:tcBorders>
            <w:vAlign w:val="center"/>
            <w:hideMark/>
          </w:tcPr>
          <w:p w14:paraId="24E6AB7A" w14:textId="77777777" w:rsidR="007968EC" w:rsidRDefault="007968EC" w:rsidP="007968EC">
            <w:pPr>
              <w:jc w:val="both"/>
              <w:rPr>
                <w:rFonts w:ascii="Arial Narrow" w:eastAsia="Calibri" w:hAnsi="Arial Narrow" w:cs="Arial Narrow"/>
                <w:b/>
                <w:color w:val="000000"/>
                <w:lang w:eastAsia="en-US"/>
              </w:rPr>
            </w:pPr>
            <w:r>
              <w:rPr>
                <w:rFonts w:ascii="Arial Narrow" w:eastAsia="Calibri" w:hAnsi="Arial Narrow"/>
                <w:bCs/>
                <w:color w:val="000000"/>
                <w:lang w:eastAsia="en-US"/>
              </w:rPr>
              <w:t>Delta para formar Un (1) Spread</w:t>
            </w:r>
          </w:p>
        </w:tc>
        <w:tc>
          <w:tcPr>
            <w:tcW w:w="1417" w:type="dxa"/>
            <w:tcBorders>
              <w:top w:val="single" w:sz="4" w:space="0" w:color="auto"/>
              <w:left w:val="single" w:sz="4" w:space="0" w:color="auto"/>
              <w:bottom w:val="single" w:sz="4" w:space="0" w:color="auto"/>
              <w:right w:val="single" w:sz="4" w:space="0" w:color="auto"/>
            </w:tcBorders>
            <w:vAlign w:val="center"/>
          </w:tcPr>
          <w:p w14:paraId="404D292F" w14:textId="77777777" w:rsidR="007968EC" w:rsidRDefault="007968EC" w:rsidP="007968EC">
            <w:pPr>
              <w:jc w:val="center"/>
              <w:rPr>
                <w:rFonts w:ascii="Arial Narrow" w:eastAsia="Calibri" w:hAnsi="Arial Narrow"/>
                <w:b/>
                <w:bCs/>
                <w:color w:val="000000"/>
                <w:lang w:eastAsia="en-US"/>
              </w:rPr>
            </w:pPr>
          </w:p>
          <w:p w14:paraId="6B31BCF3" w14:textId="77777777" w:rsidR="007968EC" w:rsidRDefault="007968EC" w:rsidP="007968EC">
            <w:pPr>
              <w:jc w:val="center"/>
              <w:rPr>
                <w:rFonts w:ascii="Arial Narrow" w:eastAsia="Calibri" w:hAnsi="Arial Narrow" w:cs="Arial Narrow"/>
                <w:b/>
                <w:color w:val="000000"/>
                <w:lang w:eastAsia="en-US"/>
              </w:rPr>
            </w:pPr>
            <w:r>
              <w:rPr>
                <w:rFonts w:ascii="Arial Narrow" w:eastAsia="Calibri" w:hAnsi="Arial Narrow"/>
                <w:bCs/>
                <w:color w:val="000000"/>
                <w:lang w:eastAsia="en-US"/>
              </w:rPr>
              <w:t xml:space="preserve">Crédito sobre Garantías </w:t>
            </w:r>
          </w:p>
        </w:tc>
      </w:tr>
      <w:tr w:rsidR="007968EC" w14:paraId="418076B6" w14:textId="77777777" w:rsidTr="007968EC">
        <w:trPr>
          <w:trHeight w:val="841"/>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73FE4896" w14:textId="77777777" w:rsidR="007968EC" w:rsidRDefault="007968EC" w:rsidP="007968EC">
            <w:pPr>
              <w:jc w:val="center"/>
              <w:rPr>
                <w:rFonts w:ascii="Arial Narrow" w:eastAsia="Calibri" w:hAnsi="Arial Narrow" w:cs="Arial Narrow"/>
                <w:b/>
                <w:color w:val="000000"/>
                <w:lang w:eastAsia="en-US"/>
              </w:rPr>
            </w:pPr>
            <w:r>
              <w:rPr>
                <w:rFonts w:ascii="Arial Narrow" w:eastAsia="Calibri" w:hAnsi="Arial Narrow" w:cs="Arial Narrow"/>
                <w:color w:val="000000"/>
                <w:lang w:eastAsia="en-US"/>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D33AA09" w14:textId="77777777" w:rsidR="007968EC" w:rsidRDefault="007968EC" w:rsidP="007968EC">
            <w:pPr>
              <w:jc w:val="both"/>
              <w:rPr>
                <w:rFonts w:ascii="Arial Narrow" w:eastAsia="Calibri" w:hAnsi="Arial Narrow" w:cs="Arial Narrow"/>
                <w:b/>
                <w:color w:val="000000"/>
                <w:lang w:eastAsia="en-US"/>
              </w:rPr>
            </w:pPr>
            <w:r>
              <w:rPr>
                <w:rFonts w:ascii="Arial Narrow" w:eastAsia="Calibri" w:hAnsi="Arial Narrow" w:cs="Arial Narrow"/>
                <w:color w:val="000000"/>
                <w:lang w:eastAsia="en-US"/>
              </w:rPr>
              <w:t>1 y 3 Meses/6 Meses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20F0BBD" w14:textId="77777777" w:rsidR="007968EC" w:rsidRDefault="007968EC" w:rsidP="007968EC">
            <w:pPr>
              <w:jc w:val="center"/>
              <w:rPr>
                <w:rFonts w:ascii="Arial Narrow" w:eastAsia="Calibri" w:hAnsi="Arial Narrow"/>
                <w:b/>
                <w:bCs/>
                <w:color w:val="000000"/>
                <w:lang w:eastAsia="en-US"/>
              </w:rPr>
            </w:pPr>
            <w:r>
              <w:rPr>
                <w:rFonts w:ascii="Arial Narrow" w:eastAsia="Calibri" w:hAnsi="Arial Narrow"/>
                <w:bCs/>
                <w:color w:val="000000"/>
                <w:lang w:eastAsia="en-US"/>
              </w:rPr>
              <w:t>1/1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6421DDC" w14:textId="77777777" w:rsidR="007968EC" w:rsidRDefault="007968EC" w:rsidP="007968EC">
            <w:pPr>
              <w:jc w:val="center"/>
              <w:rPr>
                <w:rFonts w:ascii="Arial Narrow" w:eastAsia="Calibri" w:hAnsi="Arial Narrow"/>
                <w:b/>
                <w:bCs/>
                <w:color w:val="000000"/>
                <w:lang w:eastAsia="en-US"/>
              </w:rPr>
            </w:pPr>
            <w:r>
              <w:rPr>
                <w:rFonts w:ascii="Arial Narrow" w:eastAsia="Calibri" w:hAnsi="Arial Narrow"/>
                <w:bCs/>
                <w:color w:val="000000"/>
                <w:lang w:eastAsia="en-US"/>
              </w:rPr>
              <w:t>70%</w:t>
            </w:r>
          </w:p>
        </w:tc>
      </w:tr>
    </w:tbl>
    <w:p w14:paraId="7856EC45" w14:textId="77777777" w:rsidR="007968EC" w:rsidRDefault="007968EC" w:rsidP="007968EC">
      <w:pPr>
        <w:autoSpaceDE w:val="0"/>
        <w:autoSpaceDN w:val="0"/>
        <w:rPr>
          <w:rFonts w:ascii="Arial Narrow" w:eastAsia="Calibri" w:hAnsi="Arial Narrow"/>
          <w:b/>
          <w:bCs/>
          <w:color w:val="000000"/>
          <w:lang w:eastAsia="en-US"/>
        </w:rPr>
      </w:pPr>
    </w:p>
    <w:p w14:paraId="39B31033" w14:textId="77777777" w:rsidR="007968EC" w:rsidRDefault="007968EC" w:rsidP="007968EC">
      <w:pPr>
        <w:autoSpaceDE w:val="0"/>
        <w:autoSpaceDN w:val="0"/>
        <w:rPr>
          <w:rFonts w:ascii="Arial Narrow" w:eastAsia="Calibri" w:hAnsi="Arial Narrow"/>
          <w:b/>
          <w:bCs/>
          <w:color w:val="000000"/>
          <w:lang w:eastAsia="en-US"/>
        </w:rPr>
      </w:pPr>
    </w:p>
    <w:p w14:paraId="25813531" w14:textId="77777777" w:rsidR="007968EC" w:rsidRDefault="007968EC" w:rsidP="007968EC">
      <w:pPr>
        <w:autoSpaceDE w:val="0"/>
        <w:autoSpaceDN w:val="0"/>
        <w:rPr>
          <w:rFonts w:ascii="Arial Narrow" w:eastAsia="Calibri" w:hAnsi="Arial Narrow"/>
          <w:b/>
          <w:bCs/>
          <w:color w:val="000000"/>
          <w:lang w:eastAsia="en-US"/>
        </w:rPr>
      </w:pPr>
    </w:p>
    <w:p w14:paraId="68E26946" w14:textId="77777777" w:rsidR="007968EC" w:rsidRDefault="007968EC" w:rsidP="00DA7472">
      <w:pPr>
        <w:numPr>
          <w:ilvl w:val="0"/>
          <w:numId w:val="367"/>
        </w:numPr>
        <w:spacing w:after="160" w:line="256" w:lineRule="auto"/>
        <w:ind w:left="284"/>
        <w:jc w:val="both"/>
        <w:rPr>
          <w:rFonts w:ascii="Arial Narrow" w:eastAsia="Calibri" w:hAnsi="Arial Narrow"/>
          <w:color w:val="000000"/>
          <w:lang w:eastAsia="en-US"/>
        </w:rPr>
      </w:pPr>
      <w:r>
        <w:rPr>
          <w:rFonts w:ascii="Arial Narrow" w:eastAsia="Calibri" w:hAnsi="Arial Narrow"/>
          <w:color w:val="000000"/>
          <w:lang w:eastAsia="en-US"/>
        </w:rPr>
        <w:t>Orden para la compensación entre grupos del OIS IBR:</w:t>
      </w:r>
    </w:p>
    <w:p w14:paraId="50ED7F6A" w14:textId="77777777" w:rsidR="007968EC" w:rsidRDefault="007968EC" w:rsidP="007968EC">
      <w:pPr>
        <w:rPr>
          <w:rFonts w:ascii="Arial Narrow" w:eastAsia="Calibri" w:hAnsi="Arial Narrow"/>
          <w:color w:val="000000"/>
          <w:lang w:eastAsia="en-US"/>
        </w:rPr>
      </w:pPr>
    </w:p>
    <w:tbl>
      <w:tblPr>
        <w:tblStyle w:val="Tablaconcuadrcula71122"/>
        <w:tblW w:w="0" w:type="auto"/>
        <w:jc w:val="center"/>
        <w:tblLayout w:type="fixed"/>
        <w:tblLook w:val="04A0" w:firstRow="1" w:lastRow="0" w:firstColumn="1" w:lastColumn="0" w:noHBand="0" w:noVBand="1"/>
      </w:tblPr>
      <w:tblGrid>
        <w:gridCol w:w="1585"/>
        <w:gridCol w:w="1873"/>
        <w:gridCol w:w="1297"/>
        <w:gridCol w:w="1585"/>
      </w:tblGrid>
      <w:tr w:rsidR="007968EC" w14:paraId="7DA38655" w14:textId="77777777" w:rsidTr="007968EC">
        <w:trPr>
          <w:trHeight w:val="602"/>
          <w:jc w:val="center"/>
        </w:trPr>
        <w:tc>
          <w:tcPr>
            <w:tcW w:w="1585" w:type="dxa"/>
            <w:tcBorders>
              <w:top w:val="single" w:sz="4" w:space="0" w:color="auto"/>
              <w:left w:val="single" w:sz="4" w:space="0" w:color="auto"/>
              <w:bottom w:val="single" w:sz="4" w:space="0" w:color="auto"/>
              <w:right w:val="single" w:sz="4" w:space="0" w:color="auto"/>
            </w:tcBorders>
            <w:hideMark/>
          </w:tcPr>
          <w:p w14:paraId="423DEF4F" w14:textId="77777777" w:rsidR="007968EC" w:rsidRDefault="007968EC" w:rsidP="007968EC">
            <w:pPr>
              <w:autoSpaceDE w:val="0"/>
              <w:autoSpaceDN w:val="0"/>
              <w:adjustRightInd w:val="0"/>
              <w:jc w:val="center"/>
              <w:rPr>
                <w:rFonts w:ascii="Arial Narrow" w:eastAsia="Calibri" w:hAnsi="Arial Narrow"/>
                <w:color w:val="000000"/>
                <w:lang w:eastAsia="en-US"/>
              </w:rPr>
            </w:pPr>
            <w:r>
              <w:rPr>
                <w:rFonts w:ascii="Arial Narrow" w:eastAsia="Calibri" w:hAnsi="Arial Narrow"/>
                <w:color w:val="000000"/>
                <w:lang w:eastAsia="en-US"/>
              </w:rPr>
              <w:t>Orden de Compensación</w:t>
            </w:r>
          </w:p>
        </w:tc>
        <w:tc>
          <w:tcPr>
            <w:tcW w:w="1873" w:type="dxa"/>
            <w:tcBorders>
              <w:top w:val="single" w:sz="4" w:space="0" w:color="auto"/>
              <w:left w:val="single" w:sz="4" w:space="0" w:color="auto"/>
              <w:bottom w:val="single" w:sz="4" w:space="0" w:color="auto"/>
              <w:right w:val="single" w:sz="4" w:space="0" w:color="auto"/>
            </w:tcBorders>
            <w:hideMark/>
          </w:tcPr>
          <w:p w14:paraId="5D126F75" w14:textId="77777777" w:rsidR="007968EC" w:rsidRDefault="007968EC" w:rsidP="007968EC">
            <w:pPr>
              <w:autoSpaceDE w:val="0"/>
              <w:autoSpaceDN w:val="0"/>
              <w:adjustRightInd w:val="0"/>
              <w:jc w:val="center"/>
              <w:rPr>
                <w:rFonts w:ascii="Arial Narrow" w:eastAsia="Calibri" w:hAnsi="Arial Narrow"/>
                <w:color w:val="000000"/>
                <w:lang w:eastAsia="en-US"/>
              </w:rPr>
            </w:pPr>
            <w:r>
              <w:rPr>
                <w:rFonts w:ascii="Arial Narrow" w:eastAsia="Calibri" w:hAnsi="Arial Narrow"/>
                <w:color w:val="000000"/>
                <w:lang w:eastAsia="en-US"/>
              </w:rPr>
              <w:t>Grupos a</w:t>
            </w:r>
          </w:p>
          <w:p w14:paraId="274AB977" w14:textId="77777777" w:rsidR="007968EC" w:rsidRDefault="007968EC" w:rsidP="007968EC">
            <w:pPr>
              <w:autoSpaceDE w:val="0"/>
              <w:autoSpaceDN w:val="0"/>
              <w:adjustRightInd w:val="0"/>
              <w:jc w:val="center"/>
              <w:rPr>
                <w:rFonts w:ascii="Arial Narrow" w:eastAsia="Calibri" w:hAnsi="Arial Narrow"/>
                <w:color w:val="000000"/>
                <w:lang w:eastAsia="en-US"/>
              </w:rPr>
            </w:pPr>
            <w:r>
              <w:rPr>
                <w:rFonts w:ascii="Arial Narrow" w:eastAsia="Calibri" w:hAnsi="Arial Narrow"/>
                <w:color w:val="000000"/>
                <w:lang w:eastAsia="en-US"/>
              </w:rPr>
              <w:t>Compensar</w:t>
            </w:r>
          </w:p>
        </w:tc>
        <w:tc>
          <w:tcPr>
            <w:tcW w:w="1297" w:type="dxa"/>
            <w:tcBorders>
              <w:top w:val="single" w:sz="4" w:space="0" w:color="auto"/>
              <w:left w:val="single" w:sz="4" w:space="0" w:color="auto"/>
              <w:bottom w:val="single" w:sz="4" w:space="0" w:color="auto"/>
              <w:right w:val="single" w:sz="4" w:space="0" w:color="auto"/>
            </w:tcBorders>
            <w:hideMark/>
          </w:tcPr>
          <w:p w14:paraId="78B9DB86" w14:textId="77777777" w:rsidR="007968EC" w:rsidRDefault="007968EC" w:rsidP="007968EC">
            <w:pPr>
              <w:autoSpaceDE w:val="0"/>
              <w:autoSpaceDN w:val="0"/>
              <w:adjustRightInd w:val="0"/>
              <w:jc w:val="center"/>
              <w:rPr>
                <w:rFonts w:ascii="Arial Narrow" w:eastAsia="Calibri" w:hAnsi="Arial Narrow"/>
                <w:color w:val="000000"/>
                <w:lang w:eastAsia="en-US"/>
              </w:rPr>
            </w:pPr>
            <w:r>
              <w:rPr>
                <w:rFonts w:ascii="Arial Narrow" w:eastAsia="Calibri" w:hAnsi="Arial Narrow"/>
                <w:color w:val="000000"/>
                <w:lang w:eastAsia="en-US"/>
              </w:rPr>
              <w:t>Delta para</w:t>
            </w:r>
          </w:p>
          <w:p w14:paraId="0D27A6F5" w14:textId="77777777" w:rsidR="007968EC" w:rsidRDefault="007968EC" w:rsidP="007968EC">
            <w:pPr>
              <w:autoSpaceDE w:val="0"/>
              <w:autoSpaceDN w:val="0"/>
              <w:adjustRightInd w:val="0"/>
              <w:jc w:val="center"/>
              <w:rPr>
                <w:rFonts w:ascii="Arial Narrow" w:eastAsia="Calibri" w:hAnsi="Arial Narrow"/>
                <w:color w:val="000000"/>
                <w:lang w:eastAsia="en-US"/>
              </w:rPr>
            </w:pPr>
            <w:r>
              <w:rPr>
                <w:rFonts w:ascii="Arial Narrow" w:eastAsia="Calibri" w:hAnsi="Arial Narrow"/>
                <w:color w:val="000000"/>
                <w:lang w:eastAsia="en-US"/>
              </w:rPr>
              <w:t>formar Un (1)</w:t>
            </w:r>
          </w:p>
          <w:p w14:paraId="453CC179" w14:textId="77777777" w:rsidR="007968EC" w:rsidRDefault="007968EC" w:rsidP="007968EC">
            <w:pPr>
              <w:jc w:val="center"/>
              <w:rPr>
                <w:rFonts w:ascii="Arial Narrow" w:eastAsia="Calibri" w:hAnsi="Arial Narrow"/>
                <w:color w:val="000000"/>
                <w:lang w:eastAsia="en-US"/>
              </w:rPr>
            </w:pPr>
            <w:r>
              <w:rPr>
                <w:rFonts w:ascii="Arial Narrow" w:eastAsia="Calibri" w:hAnsi="Arial Narrow"/>
                <w:color w:val="000000"/>
                <w:lang w:eastAsia="en-US"/>
              </w:rPr>
              <w:t>Spread</w:t>
            </w:r>
          </w:p>
        </w:tc>
        <w:tc>
          <w:tcPr>
            <w:tcW w:w="1585" w:type="dxa"/>
            <w:tcBorders>
              <w:top w:val="single" w:sz="4" w:space="0" w:color="auto"/>
              <w:left w:val="single" w:sz="4" w:space="0" w:color="auto"/>
              <w:bottom w:val="single" w:sz="4" w:space="0" w:color="auto"/>
              <w:right w:val="single" w:sz="4" w:space="0" w:color="auto"/>
            </w:tcBorders>
            <w:hideMark/>
          </w:tcPr>
          <w:p w14:paraId="46D708D6" w14:textId="77777777" w:rsidR="007968EC" w:rsidRDefault="007968EC" w:rsidP="007968EC">
            <w:pPr>
              <w:autoSpaceDE w:val="0"/>
              <w:autoSpaceDN w:val="0"/>
              <w:adjustRightInd w:val="0"/>
              <w:jc w:val="center"/>
              <w:rPr>
                <w:rFonts w:ascii="Arial Narrow" w:eastAsia="Calibri" w:hAnsi="Arial Narrow"/>
                <w:color w:val="000000"/>
                <w:lang w:eastAsia="en-US"/>
              </w:rPr>
            </w:pPr>
            <w:r>
              <w:rPr>
                <w:rFonts w:ascii="Arial Narrow" w:eastAsia="Calibri" w:hAnsi="Arial Narrow"/>
                <w:color w:val="000000"/>
                <w:lang w:eastAsia="en-US"/>
              </w:rPr>
              <w:t>Crédito sobre</w:t>
            </w:r>
          </w:p>
          <w:p w14:paraId="427AD754" w14:textId="77777777" w:rsidR="007968EC" w:rsidRDefault="007968EC" w:rsidP="007968EC">
            <w:pPr>
              <w:jc w:val="center"/>
              <w:rPr>
                <w:rFonts w:ascii="Arial Narrow" w:eastAsia="Calibri" w:hAnsi="Arial Narrow"/>
                <w:color w:val="000000"/>
                <w:lang w:eastAsia="en-US"/>
              </w:rPr>
            </w:pPr>
            <w:r>
              <w:rPr>
                <w:rFonts w:ascii="Arial Narrow" w:eastAsia="Calibri" w:hAnsi="Arial Narrow"/>
                <w:color w:val="000000"/>
                <w:lang w:eastAsia="en-US"/>
              </w:rPr>
              <w:t>Garantías</w:t>
            </w:r>
          </w:p>
        </w:tc>
      </w:tr>
      <w:tr w:rsidR="007968EC" w14:paraId="0427B1EF" w14:textId="77777777" w:rsidTr="007968EC">
        <w:trPr>
          <w:trHeight w:val="197"/>
          <w:jc w:val="center"/>
        </w:trPr>
        <w:tc>
          <w:tcPr>
            <w:tcW w:w="1585" w:type="dxa"/>
            <w:tcBorders>
              <w:top w:val="single" w:sz="4" w:space="0" w:color="auto"/>
              <w:left w:val="single" w:sz="4" w:space="0" w:color="auto"/>
              <w:bottom w:val="single" w:sz="4" w:space="0" w:color="auto"/>
              <w:right w:val="single" w:sz="4" w:space="0" w:color="auto"/>
            </w:tcBorders>
            <w:hideMark/>
          </w:tcPr>
          <w:p w14:paraId="05655C66" w14:textId="77777777" w:rsidR="007968EC" w:rsidRDefault="007968EC" w:rsidP="007968EC">
            <w:pPr>
              <w:jc w:val="center"/>
              <w:rPr>
                <w:rFonts w:ascii="Arial Narrow" w:eastAsia="Calibri" w:hAnsi="Arial Narrow"/>
                <w:color w:val="000000"/>
                <w:lang w:eastAsia="en-US"/>
              </w:rPr>
            </w:pPr>
            <w:r>
              <w:rPr>
                <w:rFonts w:ascii="Arial Narrow" w:eastAsia="Calibri" w:hAnsi="Arial Narrow"/>
                <w:color w:val="000000"/>
                <w:lang w:eastAsia="en-US"/>
              </w:rPr>
              <w:t>1</w:t>
            </w:r>
          </w:p>
        </w:tc>
        <w:tc>
          <w:tcPr>
            <w:tcW w:w="1873" w:type="dxa"/>
            <w:tcBorders>
              <w:top w:val="single" w:sz="4" w:space="0" w:color="auto"/>
              <w:left w:val="single" w:sz="4" w:space="0" w:color="auto"/>
              <w:bottom w:val="single" w:sz="4" w:space="0" w:color="auto"/>
              <w:right w:val="single" w:sz="4" w:space="0" w:color="auto"/>
            </w:tcBorders>
            <w:hideMark/>
          </w:tcPr>
          <w:p w14:paraId="1C966FBA" w14:textId="77777777" w:rsidR="007968EC" w:rsidRDefault="007968EC" w:rsidP="007968EC">
            <w:pPr>
              <w:autoSpaceDE w:val="0"/>
              <w:autoSpaceDN w:val="0"/>
              <w:adjustRightInd w:val="0"/>
              <w:rPr>
                <w:rFonts w:ascii="Arial Narrow" w:eastAsia="Calibri" w:hAnsi="Arial Narrow"/>
                <w:color w:val="000000"/>
                <w:kern w:val="24"/>
                <w:lang w:eastAsia="en-US"/>
              </w:rPr>
            </w:pPr>
            <w:r>
              <w:rPr>
                <w:rFonts w:ascii="Arial Narrow" w:eastAsia="Calibri" w:hAnsi="Arial Narrow"/>
                <w:color w:val="000000"/>
                <w:kern w:val="24"/>
                <w:lang w:eastAsia="en-US"/>
              </w:rPr>
              <w:t>1 y 3 Meses/18 Meses</w:t>
            </w:r>
          </w:p>
        </w:tc>
        <w:tc>
          <w:tcPr>
            <w:tcW w:w="1297" w:type="dxa"/>
            <w:vMerge w:val="restart"/>
            <w:tcBorders>
              <w:top w:val="single" w:sz="4" w:space="0" w:color="auto"/>
              <w:left w:val="single" w:sz="4" w:space="0" w:color="auto"/>
              <w:bottom w:val="single" w:sz="4" w:space="0" w:color="auto"/>
              <w:right w:val="single" w:sz="4" w:space="0" w:color="auto"/>
            </w:tcBorders>
            <w:vAlign w:val="center"/>
          </w:tcPr>
          <w:p w14:paraId="5248EEA9" w14:textId="77777777" w:rsidR="007968EC" w:rsidRDefault="007968EC" w:rsidP="007968EC">
            <w:pPr>
              <w:rPr>
                <w:rFonts w:ascii="Arial Narrow" w:eastAsia="Calibri" w:hAnsi="Arial Narrow"/>
                <w:color w:val="000000"/>
                <w:lang w:eastAsia="en-US"/>
              </w:rPr>
            </w:pPr>
          </w:p>
          <w:p w14:paraId="52F8BD28" w14:textId="77777777" w:rsidR="007968EC" w:rsidRDefault="007968EC" w:rsidP="007968EC">
            <w:pPr>
              <w:jc w:val="center"/>
              <w:rPr>
                <w:rFonts w:ascii="Arial Narrow" w:eastAsia="Calibri" w:hAnsi="Arial Narrow"/>
                <w:color w:val="000000"/>
                <w:lang w:eastAsia="en-US"/>
              </w:rPr>
            </w:pPr>
            <w:r>
              <w:rPr>
                <w:rFonts w:ascii="Arial Narrow" w:eastAsia="Calibri" w:hAnsi="Arial Narrow"/>
                <w:color w:val="000000"/>
                <w:lang w:eastAsia="en-US"/>
              </w:rPr>
              <w:t>1/1</w:t>
            </w:r>
          </w:p>
        </w:tc>
        <w:tc>
          <w:tcPr>
            <w:tcW w:w="1585" w:type="dxa"/>
            <w:vMerge w:val="restart"/>
            <w:tcBorders>
              <w:top w:val="single" w:sz="4" w:space="0" w:color="auto"/>
              <w:left w:val="single" w:sz="4" w:space="0" w:color="auto"/>
              <w:bottom w:val="single" w:sz="4" w:space="0" w:color="auto"/>
              <w:right w:val="single" w:sz="4" w:space="0" w:color="auto"/>
            </w:tcBorders>
            <w:vAlign w:val="center"/>
          </w:tcPr>
          <w:p w14:paraId="2B7D99B9" w14:textId="77777777" w:rsidR="007968EC" w:rsidRDefault="007968EC" w:rsidP="007968EC">
            <w:pPr>
              <w:rPr>
                <w:rFonts w:ascii="Arial Narrow" w:eastAsia="Calibri" w:hAnsi="Arial Narrow"/>
                <w:color w:val="000000"/>
                <w:lang w:eastAsia="en-US"/>
              </w:rPr>
            </w:pPr>
          </w:p>
          <w:p w14:paraId="0C7F2128" w14:textId="77777777" w:rsidR="007968EC" w:rsidRDefault="007968EC" w:rsidP="007968EC">
            <w:pPr>
              <w:jc w:val="center"/>
              <w:rPr>
                <w:rFonts w:ascii="Arial Narrow" w:eastAsia="Calibri" w:hAnsi="Arial Narrow"/>
                <w:color w:val="000000"/>
                <w:lang w:eastAsia="en-US"/>
              </w:rPr>
            </w:pPr>
            <w:r>
              <w:rPr>
                <w:rFonts w:ascii="Arial Narrow" w:eastAsia="Calibri" w:hAnsi="Arial Narrow"/>
                <w:color w:val="000000"/>
                <w:lang w:eastAsia="en-US"/>
              </w:rPr>
              <w:t>70%</w:t>
            </w:r>
          </w:p>
        </w:tc>
      </w:tr>
      <w:tr w:rsidR="007968EC" w14:paraId="5B011B81" w14:textId="77777777" w:rsidTr="007968EC">
        <w:trPr>
          <w:trHeight w:val="197"/>
          <w:jc w:val="center"/>
        </w:trPr>
        <w:tc>
          <w:tcPr>
            <w:tcW w:w="1585" w:type="dxa"/>
            <w:tcBorders>
              <w:top w:val="single" w:sz="4" w:space="0" w:color="auto"/>
              <w:left w:val="single" w:sz="4" w:space="0" w:color="auto"/>
              <w:bottom w:val="single" w:sz="4" w:space="0" w:color="auto"/>
              <w:right w:val="single" w:sz="4" w:space="0" w:color="auto"/>
            </w:tcBorders>
            <w:hideMark/>
          </w:tcPr>
          <w:p w14:paraId="01E1CC5C" w14:textId="77777777" w:rsidR="007968EC" w:rsidRDefault="007968EC" w:rsidP="007968EC">
            <w:pPr>
              <w:jc w:val="center"/>
              <w:rPr>
                <w:rFonts w:ascii="Arial Narrow" w:eastAsia="Calibri" w:hAnsi="Arial Narrow"/>
                <w:color w:val="000000"/>
                <w:lang w:eastAsia="en-US"/>
              </w:rPr>
            </w:pPr>
            <w:r>
              <w:rPr>
                <w:rFonts w:ascii="Arial Narrow" w:eastAsia="Calibri" w:hAnsi="Arial Narrow"/>
                <w:color w:val="000000"/>
                <w:lang w:eastAsia="en-US"/>
              </w:rPr>
              <w:t>2</w:t>
            </w:r>
          </w:p>
        </w:tc>
        <w:tc>
          <w:tcPr>
            <w:tcW w:w="1873" w:type="dxa"/>
            <w:tcBorders>
              <w:top w:val="single" w:sz="4" w:space="0" w:color="auto"/>
              <w:left w:val="single" w:sz="4" w:space="0" w:color="auto"/>
              <w:bottom w:val="single" w:sz="4" w:space="0" w:color="auto"/>
              <w:right w:val="single" w:sz="4" w:space="0" w:color="auto"/>
            </w:tcBorders>
            <w:hideMark/>
          </w:tcPr>
          <w:p w14:paraId="4E69912E" w14:textId="77777777" w:rsidR="007968EC" w:rsidRDefault="007968EC" w:rsidP="007968EC">
            <w:pPr>
              <w:autoSpaceDE w:val="0"/>
              <w:autoSpaceDN w:val="0"/>
              <w:adjustRightInd w:val="0"/>
              <w:rPr>
                <w:rFonts w:ascii="Arial Narrow" w:eastAsia="Calibri" w:hAnsi="Arial Narrow"/>
                <w:color w:val="000000"/>
                <w:kern w:val="24"/>
                <w:lang w:eastAsia="en-US"/>
              </w:rPr>
            </w:pPr>
            <w:r>
              <w:rPr>
                <w:rFonts w:ascii="Arial Narrow" w:eastAsia="Calibri" w:hAnsi="Arial Narrow"/>
                <w:color w:val="000000"/>
                <w:kern w:val="24"/>
                <w:lang w:eastAsia="en-US"/>
              </w:rPr>
              <w:t>1 y 3 Meses/12 Meses</w:t>
            </w:r>
          </w:p>
        </w:tc>
        <w:tc>
          <w:tcPr>
            <w:tcW w:w="1297" w:type="dxa"/>
            <w:vMerge/>
            <w:tcBorders>
              <w:top w:val="single" w:sz="4" w:space="0" w:color="auto"/>
              <w:left w:val="single" w:sz="4" w:space="0" w:color="auto"/>
              <w:bottom w:val="single" w:sz="4" w:space="0" w:color="auto"/>
              <w:right w:val="single" w:sz="4" w:space="0" w:color="auto"/>
            </w:tcBorders>
            <w:vAlign w:val="center"/>
            <w:hideMark/>
          </w:tcPr>
          <w:p w14:paraId="42F36E8D" w14:textId="77777777" w:rsidR="007968EC" w:rsidRDefault="007968EC" w:rsidP="007968EC">
            <w:pPr>
              <w:rPr>
                <w:rFonts w:ascii="Arial Narrow" w:eastAsia="Calibri" w:hAnsi="Arial Narrow"/>
                <w:color w:val="000000"/>
                <w:lang w:eastAsia="en-US"/>
              </w:rPr>
            </w:pPr>
          </w:p>
        </w:tc>
        <w:tc>
          <w:tcPr>
            <w:tcW w:w="1585" w:type="dxa"/>
            <w:vMerge/>
            <w:tcBorders>
              <w:top w:val="single" w:sz="4" w:space="0" w:color="auto"/>
              <w:left w:val="single" w:sz="4" w:space="0" w:color="auto"/>
              <w:bottom w:val="single" w:sz="4" w:space="0" w:color="auto"/>
              <w:right w:val="single" w:sz="4" w:space="0" w:color="auto"/>
            </w:tcBorders>
            <w:vAlign w:val="center"/>
            <w:hideMark/>
          </w:tcPr>
          <w:p w14:paraId="0FE4E3BA" w14:textId="77777777" w:rsidR="007968EC" w:rsidRDefault="007968EC" w:rsidP="007968EC">
            <w:pPr>
              <w:rPr>
                <w:rFonts w:ascii="Arial Narrow" w:eastAsia="Calibri" w:hAnsi="Arial Narrow"/>
                <w:color w:val="000000"/>
                <w:lang w:eastAsia="en-US"/>
              </w:rPr>
            </w:pPr>
          </w:p>
        </w:tc>
      </w:tr>
      <w:tr w:rsidR="007968EC" w14:paraId="25EDF751" w14:textId="77777777" w:rsidTr="007968EC">
        <w:trPr>
          <w:trHeight w:val="197"/>
          <w:jc w:val="center"/>
        </w:trPr>
        <w:tc>
          <w:tcPr>
            <w:tcW w:w="1585" w:type="dxa"/>
            <w:tcBorders>
              <w:top w:val="single" w:sz="4" w:space="0" w:color="auto"/>
              <w:left w:val="single" w:sz="4" w:space="0" w:color="auto"/>
              <w:bottom w:val="single" w:sz="4" w:space="0" w:color="auto"/>
              <w:right w:val="single" w:sz="4" w:space="0" w:color="auto"/>
            </w:tcBorders>
            <w:hideMark/>
          </w:tcPr>
          <w:p w14:paraId="548901E6" w14:textId="77777777" w:rsidR="007968EC" w:rsidRDefault="007968EC" w:rsidP="007968EC">
            <w:pPr>
              <w:jc w:val="center"/>
              <w:rPr>
                <w:rFonts w:ascii="Arial Narrow" w:eastAsia="Calibri" w:hAnsi="Arial Narrow"/>
                <w:color w:val="000000"/>
                <w:lang w:eastAsia="en-US"/>
              </w:rPr>
            </w:pPr>
            <w:r>
              <w:rPr>
                <w:rFonts w:ascii="Arial Narrow" w:eastAsia="Calibri" w:hAnsi="Arial Narrow"/>
                <w:color w:val="000000"/>
                <w:lang w:eastAsia="en-US"/>
              </w:rPr>
              <w:t>3</w:t>
            </w:r>
          </w:p>
        </w:tc>
        <w:tc>
          <w:tcPr>
            <w:tcW w:w="1873" w:type="dxa"/>
            <w:tcBorders>
              <w:top w:val="single" w:sz="4" w:space="0" w:color="auto"/>
              <w:left w:val="single" w:sz="4" w:space="0" w:color="auto"/>
              <w:bottom w:val="single" w:sz="4" w:space="0" w:color="auto"/>
              <w:right w:val="single" w:sz="4" w:space="0" w:color="auto"/>
            </w:tcBorders>
            <w:hideMark/>
          </w:tcPr>
          <w:p w14:paraId="271AACD2" w14:textId="77777777" w:rsidR="007968EC" w:rsidRDefault="007968EC" w:rsidP="007968EC">
            <w:pPr>
              <w:autoSpaceDE w:val="0"/>
              <w:autoSpaceDN w:val="0"/>
              <w:adjustRightInd w:val="0"/>
              <w:rPr>
                <w:rFonts w:ascii="Arial Narrow" w:eastAsia="Calibri" w:hAnsi="Arial Narrow"/>
                <w:color w:val="000000"/>
                <w:kern w:val="24"/>
                <w:lang w:eastAsia="en-US"/>
              </w:rPr>
            </w:pPr>
            <w:r>
              <w:rPr>
                <w:rFonts w:ascii="Arial Narrow" w:eastAsia="Calibri" w:hAnsi="Arial Narrow"/>
                <w:color w:val="000000"/>
                <w:kern w:val="24"/>
                <w:lang w:eastAsia="en-US"/>
              </w:rPr>
              <w:t>1 y 3 Meses/9 Meses</w:t>
            </w:r>
          </w:p>
        </w:tc>
        <w:tc>
          <w:tcPr>
            <w:tcW w:w="1297" w:type="dxa"/>
            <w:vMerge/>
            <w:tcBorders>
              <w:top w:val="single" w:sz="4" w:space="0" w:color="auto"/>
              <w:left w:val="single" w:sz="4" w:space="0" w:color="auto"/>
              <w:bottom w:val="single" w:sz="4" w:space="0" w:color="auto"/>
              <w:right w:val="single" w:sz="4" w:space="0" w:color="auto"/>
            </w:tcBorders>
            <w:vAlign w:val="center"/>
            <w:hideMark/>
          </w:tcPr>
          <w:p w14:paraId="4564CD14" w14:textId="77777777" w:rsidR="007968EC" w:rsidRDefault="007968EC" w:rsidP="007968EC">
            <w:pPr>
              <w:rPr>
                <w:rFonts w:ascii="Arial Narrow" w:eastAsia="Calibri" w:hAnsi="Arial Narrow"/>
                <w:color w:val="000000"/>
                <w:lang w:eastAsia="en-US"/>
              </w:rPr>
            </w:pPr>
          </w:p>
        </w:tc>
        <w:tc>
          <w:tcPr>
            <w:tcW w:w="1585" w:type="dxa"/>
            <w:vMerge/>
            <w:tcBorders>
              <w:top w:val="single" w:sz="4" w:space="0" w:color="auto"/>
              <w:left w:val="single" w:sz="4" w:space="0" w:color="auto"/>
              <w:bottom w:val="single" w:sz="4" w:space="0" w:color="auto"/>
              <w:right w:val="single" w:sz="4" w:space="0" w:color="auto"/>
            </w:tcBorders>
            <w:vAlign w:val="center"/>
            <w:hideMark/>
          </w:tcPr>
          <w:p w14:paraId="471C5B78" w14:textId="77777777" w:rsidR="007968EC" w:rsidRDefault="007968EC" w:rsidP="007968EC">
            <w:pPr>
              <w:rPr>
                <w:rFonts w:ascii="Arial Narrow" w:eastAsia="Calibri" w:hAnsi="Arial Narrow"/>
                <w:color w:val="000000"/>
                <w:lang w:eastAsia="en-US"/>
              </w:rPr>
            </w:pPr>
          </w:p>
        </w:tc>
      </w:tr>
      <w:tr w:rsidR="007968EC" w14:paraId="6575D030" w14:textId="77777777" w:rsidTr="007968EC">
        <w:trPr>
          <w:trHeight w:val="197"/>
          <w:jc w:val="center"/>
        </w:trPr>
        <w:tc>
          <w:tcPr>
            <w:tcW w:w="1585" w:type="dxa"/>
            <w:tcBorders>
              <w:top w:val="single" w:sz="4" w:space="0" w:color="auto"/>
              <w:left w:val="single" w:sz="4" w:space="0" w:color="auto"/>
              <w:bottom w:val="single" w:sz="4" w:space="0" w:color="auto"/>
              <w:right w:val="single" w:sz="4" w:space="0" w:color="auto"/>
            </w:tcBorders>
            <w:hideMark/>
          </w:tcPr>
          <w:p w14:paraId="3535A768" w14:textId="77777777" w:rsidR="007968EC" w:rsidRDefault="007968EC" w:rsidP="007968EC">
            <w:pPr>
              <w:jc w:val="center"/>
              <w:rPr>
                <w:rFonts w:ascii="Arial Narrow" w:eastAsia="Calibri" w:hAnsi="Arial Narrow"/>
                <w:color w:val="000000"/>
                <w:lang w:eastAsia="en-US"/>
              </w:rPr>
            </w:pPr>
            <w:r>
              <w:rPr>
                <w:rFonts w:ascii="Arial Narrow" w:eastAsia="Calibri" w:hAnsi="Arial Narrow"/>
                <w:color w:val="000000"/>
                <w:lang w:eastAsia="en-US"/>
              </w:rPr>
              <w:t>4</w:t>
            </w:r>
          </w:p>
        </w:tc>
        <w:tc>
          <w:tcPr>
            <w:tcW w:w="1873" w:type="dxa"/>
            <w:tcBorders>
              <w:top w:val="single" w:sz="4" w:space="0" w:color="auto"/>
              <w:left w:val="single" w:sz="4" w:space="0" w:color="auto"/>
              <w:bottom w:val="single" w:sz="4" w:space="0" w:color="auto"/>
              <w:right w:val="single" w:sz="4" w:space="0" w:color="auto"/>
            </w:tcBorders>
            <w:hideMark/>
          </w:tcPr>
          <w:p w14:paraId="66641779" w14:textId="77777777" w:rsidR="007968EC" w:rsidRDefault="007968EC" w:rsidP="007968EC">
            <w:pPr>
              <w:autoSpaceDE w:val="0"/>
              <w:autoSpaceDN w:val="0"/>
              <w:adjustRightInd w:val="0"/>
              <w:rPr>
                <w:rFonts w:ascii="Arial Narrow" w:eastAsia="Calibri" w:hAnsi="Arial Narrow"/>
                <w:color w:val="000000"/>
                <w:kern w:val="24"/>
                <w:lang w:eastAsia="en-US"/>
              </w:rPr>
            </w:pPr>
            <w:r>
              <w:rPr>
                <w:rFonts w:ascii="Arial Narrow" w:eastAsia="Calibri" w:hAnsi="Arial Narrow"/>
                <w:color w:val="000000"/>
                <w:kern w:val="24"/>
                <w:lang w:eastAsia="en-US"/>
              </w:rPr>
              <w:t>1 y 3 Meses/6 Meses</w:t>
            </w:r>
          </w:p>
        </w:tc>
        <w:tc>
          <w:tcPr>
            <w:tcW w:w="1297" w:type="dxa"/>
            <w:vMerge/>
            <w:tcBorders>
              <w:top w:val="single" w:sz="4" w:space="0" w:color="auto"/>
              <w:left w:val="single" w:sz="4" w:space="0" w:color="auto"/>
              <w:bottom w:val="single" w:sz="4" w:space="0" w:color="auto"/>
              <w:right w:val="single" w:sz="4" w:space="0" w:color="auto"/>
            </w:tcBorders>
            <w:vAlign w:val="center"/>
            <w:hideMark/>
          </w:tcPr>
          <w:p w14:paraId="28E55CDE" w14:textId="77777777" w:rsidR="007968EC" w:rsidRDefault="007968EC" w:rsidP="007968EC">
            <w:pPr>
              <w:rPr>
                <w:rFonts w:ascii="Arial Narrow" w:eastAsia="Calibri" w:hAnsi="Arial Narrow"/>
                <w:color w:val="000000"/>
                <w:lang w:eastAsia="en-US"/>
              </w:rPr>
            </w:pPr>
          </w:p>
        </w:tc>
        <w:tc>
          <w:tcPr>
            <w:tcW w:w="1585" w:type="dxa"/>
            <w:vMerge/>
            <w:tcBorders>
              <w:top w:val="single" w:sz="4" w:space="0" w:color="auto"/>
              <w:left w:val="single" w:sz="4" w:space="0" w:color="auto"/>
              <w:bottom w:val="single" w:sz="4" w:space="0" w:color="auto"/>
              <w:right w:val="single" w:sz="4" w:space="0" w:color="auto"/>
            </w:tcBorders>
            <w:vAlign w:val="center"/>
            <w:hideMark/>
          </w:tcPr>
          <w:p w14:paraId="0228774F" w14:textId="77777777" w:rsidR="007968EC" w:rsidRDefault="007968EC" w:rsidP="007968EC">
            <w:pPr>
              <w:rPr>
                <w:rFonts w:ascii="Arial Narrow" w:eastAsia="Calibri" w:hAnsi="Arial Narrow"/>
                <w:color w:val="000000"/>
                <w:lang w:eastAsia="en-US"/>
              </w:rPr>
            </w:pPr>
          </w:p>
        </w:tc>
      </w:tr>
      <w:tr w:rsidR="007968EC" w14:paraId="2F498F0E" w14:textId="77777777" w:rsidTr="007968EC">
        <w:trPr>
          <w:trHeight w:val="197"/>
          <w:jc w:val="center"/>
        </w:trPr>
        <w:tc>
          <w:tcPr>
            <w:tcW w:w="1585" w:type="dxa"/>
            <w:tcBorders>
              <w:top w:val="single" w:sz="4" w:space="0" w:color="auto"/>
              <w:left w:val="single" w:sz="4" w:space="0" w:color="auto"/>
              <w:bottom w:val="single" w:sz="4" w:space="0" w:color="auto"/>
              <w:right w:val="single" w:sz="4" w:space="0" w:color="auto"/>
            </w:tcBorders>
            <w:hideMark/>
          </w:tcPr>
          <w:p w14:paraId="73C0AE02" w14:textId="77777777" w:rsidR="007968EC" w:rsidRDefault="007968EC" w:rsidP="007968EC">
            <w:pPr>
              <w:jc w:val="center"/>
              <w:rPr>
                <w:rFonts w:ascii="Arial Narrow" w:eastAsia="Calibri" w:hAnsi="Arial Narrow"/>
                <w:color w:val="000000"/>
                <w:lang w:eastAsia="en-US"/>
              </w:rPr>
            </w:pPr>
            <w:r>
              <w:rPr>
                <w:rFonts w:ascii="Arial Narrow" w:eastAsia="Calibri" w:hAnsi="Arial Narrow"/>
                <w:color w:val="000000"/>
                <w:lang w:eastAsia="en-US"/>
              </w:rPr>
              <w:t>5</w:t>
            </w:r>
          </w:p>
        </w:tc>
        <w:tc>
          <w:tcPr>
            <w:tcW w:w="1873" w:type="dxa"/>
            <w:tcBorders>
              <w:top w:val="single" w:sz="4" w:space="0" w:color="auto"/>
              <w:left w:val="single" w:sz="4" w:space="0" w:color="auto"/>
              <w:bottom w:val="single" w:sz="4" w:space="0" w:color="auto"/>
              <w:right w:val="single" w:sz="4" w:space="0" w:color="auto"/>
            </w:tcBorders>
            <w:hideMark/>
          </w:tcPr>
          <w:p w14:paraId="41E07B23" w14:textId="77777777" w:rsidR="007968EC" w:rsidRDefault="007968EC" w:rsidP="007968EC">
            <w:pPr>
              <w:autoSpaceDE w:val="0"/>
              <w:autoSpaceDN w:val="0"/>
              <w:adjustRightInd w:val="0"/>
              <w:rPr>
                <w:rFonts w:ascii="Arial Narrow" w:eastAsia="Calibri" w:hAnsi="Arial Narrow"/>
                <w:color w:val="000000"/>
                <w:kern w:val="24"/>
                <w:lang w:eastAsia="en-US"/>
              </w:rPr>
            </w:pPr>
            <w:r>
              <w:rPr>
                <w:rFonts w:ascii="Arial Narrow" w:eastAsia="Calibri" w:hAnsi="Arial Narrow"/>
                <w:color w:val="000000"/>
                <w:kern w:val="24"/>
                <w:lang w:eastAsia="en-US"/>
              </w:rPr>
              <w:t>6 Meses/18 Meses</w:t>
            </w:r>
          </w:p>
        </w:tc>
        <w:tc>
          <w:tcPr>
            <w:tcW w:w="1297" w:type="dxa"/>
            <w:vMerge/>
            <w:tcBorders>
              <w:top w:val="single" w:sz="4" w:space="0" w:color="auto"/>
              <w:left w:val="single" w:sz="4" w:space="0" w:color="auto"/>
              <w:bottom w:val="single" w:sz="4" w:space="0" w:color="auto"/>
              <w:right w:val="single" w:sz="4" w:space="0" w:color="auto"/>
            </w:tcBorders>
            <w:vAlign w:val="center"/>
            <w:hideMark/>
          </w:tcPr>
          <w:p w14:paraId="5BE0C3A8" w14:textId="77777777" w:rsidR="007968EC" w:rsidRDefault="007968EC" w:rsidP="007968EC">
            <w:pPr>
              <w:rPr>
                <w:rFonts w:ascii="Arial Narrow" w:eastAsia="Calibri" w:hAnsi="Arial Narrow"/>
                <w:color w:val="000000"/>
                <w:lang w:eastAsia="en-US"/>
              </w:rPr>
            </w:pPr>
          </w:p>
        </w:tc>
        <w:tc>
          <w:tcPr>
            <w:tcW w:w="1585" w:type="dxa"/>
            <w:vMerge/>
            <w:tcBorders>
              <w:top w:val="single" w:sz="4" w:space="0" w:color="auto"/>
              <w:left w:val="single" w:sz="4" w:space="0" w:color="auto"/>
              <w:bottom w:val="single" w:sz="4" w:space="0" w:color="auto"/>
              <w:right w:val="single" w:sz="4" w:space="0" w:color="auto"/>
            </w:tcBorders>
            <w:vAlign w:val="center"/>
            <w:hideMark/>
          </w:tcPr>
          <w:p w14:paraId="58BEEAFB" w14:textId="77777777" w:rsidR="007968EC" w:rsidRDefault="007968EC" w:rsidP="007968EC">
            <w:pPr>
              <w:rPr>
                <w:rFonts w:ascii="Arial Narrow" w:eastAsia="Calibri" w:hAnsi="Arial Narrow"/>
                <w:color w:val="000000"/>
                <w:lang w:eastAsia="en-US"/>
              </w:rPr>
            </w:pPr>
          </w:p>
        </w:tc>
      </w:tr>
      <w:tr w:rsidR="007968EC" w14:paraId="06C63E22" w14:textId="77777777" w:rsidTr="007968EC">
        <w:trPr>
          <w:trHeight w:val="197"/>
          <w:jc w:val="center"/>
        </w:trPr>
        <w:tc>
          <w:tcPr>
            <w:tcW w:w="1585" w:type="dxa"/>
            <w:tcBorders>
              <w:top w:val="single" w:sz="4" w:space="0" w:color="auto"/>
              <w:left w:val="single" w:sz="4" w:space="0" w:color="auto"/>
              <w:bottom w:val="single" w:sz="4" w:space="0" w:color="auto"/>
              <w:right w:val="single" w:sz="4" w:space="0" w:color="auto"/>
            </w:tcBorders>
            <w:hideMark/>
          </w:tcPr>
          <w:p w14:paraId="3401C6D5" w14:textId="77777777" w:rsidR="007968EC" w:rsidRDefault="007968EC" w:rsidP="007968EC">
            <w:pPr>
              <w:jc w:val="center"/>
              <w:rPr>
                <w:rFonts w:ascii="Arial Narrow" w:eastAsia="Calibri" w:hAnsi="Arial Narrow"/>
                <w:color w:val="000000"/>
                <w:lang w:eastAsia="en-US"/>
              </w:rPr>
            </w:pPr>
            <w:r>
              <w:rPr>
                <w:rFonts w:ascii="Arial Narrow" w:eastAsia="Calibri" w:hAnsi="Arial Narrow"/>
                <w:color w:val="000000"/>
                <w:lang w:eastAsia="en-US"/>
              </w:rPr>
              <w:t>6</w:t>
            </w:r>
          </w:p>
        </w:tc>
        <w:tc>
          <w:tcPr>
            <w:tcW w:w="1873" w:type="dxa"/>
            <w:tcBorders>
              <w:top w:val="single" w:sz="4" w:space="0" w:color="auto"/>
              <w:left w:val="single" w:sz="4" w:space="0" w:color="auto"/>
              <w:bottom w:val="single" w:sz="4" w:space="0" w:color="auto"/>
              <w:right w:val="single" w:sz="4" w:space="0" w:color="auto"/>
            </w:tcBorders>
            <w:hideMark/>
          </w:tcPr>
          <w:p w14:paraId="43359C71" w14:textId="77777777" w:rsidR="007968EC" w:rsidRDefault="007968EC" w:rsidP="007968EC">
            <w:pPr>
              <w:autoSpaceDE w:val="0"/>
              <w:autoSpaceDN w:val="0"/>
              <w:adjustRightInd w:val="0"/>
              <w:rPr>
                <w:rFonts w:ascii="Arial Narrow" w:eastAsia="Calibri" w:hAnsi="Arial Narrow"/>
                <w:color w:val="000000"/>
                <w:kern w:val="24"/>
                <w:lang w:eastAsia="en-US"/>
              </w:rPr>
            </w:pPr>
            <w:r>
              <w:rPr>
                <w:rFonts w:ascii="Arial Narrow" w:eastAsia="Calibri" w:hAnsi="Arial Narrow"/>
                <w:color w:val="000000"/>
                <w:kern w:val="24"/>
                <w:lang w:eastAsia="en-US"/>
              </w:rPr>
              <w:t>6 Meses/12 Meses</w:t>
            </w:r>
          </w:p>
        </w:tc>
        <w:tc>
          <w:tcPr>
            <w:tcW w:w="1297" w:type="dxa"/>
            <w:vMerge/>
            <w:tcBorders>
              <w:top w:val="single" w:sz="4" w:space="0" w:color="auto"/>
              <w:left w:val="single" w:sz="4" w:space="0" w:color="auto"/>
              <w:bottom w:val="single" w:sz="4" w:space="0" w:color="auto"/>
              <w:right w:val="single" w:sz="4" w:space="0" w:color="auto"/>
            </w:tcBorders>
            <w:vAlign w:val="center"/>
            <w:hideMark/>
          </w:tcPr>
          <w:p w14:paraId="7ABF6454" w14:textId="77777777" w:rsidR="007968EC" w:rsidRDefault="007968EC" w:rsidP="007968EC">
            <w:pPr>
              <w:rPr>
                <w:rFonts w:ascii="Arial Narrow" w:eastAsia="Calibri" w:hAnsi="Arial Narrow"/>
                <w:color w:val="000000"/>
                <w:lang w:eastAsia="en-US"/>
              </w:rPr>
            </w:pPr>
          </w:p>
        </w:tc>
        <w:tc>
          <w:tcPr>
            <w:tcW w:w="1585" w:type="dxa"/>
            <w:vMerge/>
            <w:tcBorders>
              <w:top w:val="single" w:sz="4" w:space="0" w:color="auto"/>
              <w:left w:val="single" w:sz="4" w:space="0" w:color="auto"/>
              <w:bottom w:val="single" w:sz="4" w:space="0" w:color="auto"/>
              <w:right w:val="single" w:sz="4" w:space="0" w:color="auto"/>
            </w:tcBorders>
            <w:vAlign w:val="center"/>
            <w:hideMark/>
          </w:tcPr>
          <w:p w14:paraId="1B78DD15" w14:textId="77777777" w:rsidR="007968EC" w:rsidRDefault="007968EC" w:rsidP="007968EC">
            <w:pPr>
              <w:rPr>
                <w:rFonts w:ascii="Arial Narrow" w:eastAsia="Calibri" w:hAnsi="Arial Narrow"/>
                <w:color w:val="000000"/>
                <w:lang w:eastAsia="en-US"/>
              </w:rPr>
            </w:pPr>
          </w:p>
        </w:tc>
      </w:tr>
      <w:tr w:rsidR="007968EC" w14:paraId="60DB9BFA" w14:textId="77777777" w:rsidTr="007968EC">
        <w:trPr>
          <w:trHeight w:val="197"/>
          <w:jc w:val="center"/>
        </w:trPr>
        <w:tc>
          <w:tcPr>
            <w:tcW w:w="1585" w:type="dxa"/>
            <w:tcBorders>
              <w:top w:val="single" w:sz="4" w:space="0" w:color="auto"/>
              <w:left w:val="single" w:sz="4" w:space="0" w:color="auto"/>
              <w:bottom w:val="single" w:sz="4" w:space="0" w:color="auto"/>
              <w:right w:val="single" w:sz="4" w:space="0" w:color="auto"/>
            </w:tcBorders>
            <w:hideMark/>
          </w:tcPr>
          <w:p w14:paraId="7E4A471C" w14:textId="77777777" w:rsidR="007968EC" w:rsidRDefault="007968EC" w:rsidP="007968EC">
            <w:pPr>
              <w:jc w:val="center"/>
              <w:rPr>
                <w:rFonts w:ascii="Arial Narrow" w:eastAsia="Calibri" w:hAnsi="Arial Narrow"/>
                <w:color w:val="000000"/>
                <w:lang w:eastAsia="en-US"/>
              </w:rPr>
            </w:pPr>
            <w:r>
              <w:rPr>
                <w:rFonts w:ascii="Arial Narrow" w:eastAsia="Calibri" w:hAnsi="Arial Narrow"/>
                <w:color w:val="000000"/>
                <w:lang w:eastAsia="en-US"/>
              </w:rPr>
              <w:t>7</w:t>
            </w:r>
          </w:p>
        </w:tc>
        <w:tc>
          <w:tcPr>
            <w:tcW w:w="1873" w:type="dxa"/>
            <w:tcBorders>
              <w:top w:val="single" w:sz="4" w:space="0" w:color="auto"/>
              <w:left w:val="single" w:sz="4" w:space="0" w:color="auto"/>
              <w:bottom w:val="single" w:sz="4" w:space="0" w:color="auto"/>
              <w:right w:val="single" w:sz="4" w:space="0" w:color="auto"/>
            </w:tcBorders>
            <w:hideMark/>
          </w:tcPr>
          <w:p w14:paraId="0296F62F" w14:textId="77777777" w:rsidR="007968EC" w:rsidRDefault="007968EC" w:rsidP="007968EC">
            <w:pPr>
              <w:autoSpaceDE w:val="0"/>
              <w:autoSpaceDN w:val="0"/>
              <w:adjustRightInd w:val="0"/>
              <w:rPr>
                <w:rFonts w:ascii="Arial Narrow" w:eastAsia="Calibri" w:hAnsi="Arial Narrow"/>
                <w:color w:val="000000"/>
                <w:kern w:val="24"/>
                <w:lang w:eastAsia="en-US"/>
              </w:rPr>
            </w:pPr>
            <w:r>
              <w:rPr>
                <w:rFonts w:ascii="Arial Narrow" w:eastAsia="Calibri" w:hAnsi="Arial Narrow"/>
                <w:color w:val="000000"/>
                <w:kern w:val="24"/>
                <w:lang w:eastAsia="en-US"/>
              </w:rPr>
              <w:t>6 Meses/9 Meses</w:t>
            </w:r>
          </w:p>
        </w:tc>
        <w:tc>
          <w:tcPr>
            <w:tcW w:w="1297" w:type="dxa"/>
            <w:vMerge/>
            <w:tcBorders>
              <w:top w:val="single" w:sz="4" w:space="0" w:color="auto"/>
              <w:left w:val="single" w:sz="4" w:space="0" w:color="auto"/>
              <w:bottom w:val="single" w:sz="4" w:space="0" w:color="auto"/>
              <w:right w:val="single" w:sz="4" w:space="0" w:color="auto"/>
            </w:tcBorders>
            <w:vAlign w:val="center"/>
            <w:hideMark/>
          </w:tcPr>
          <w:p w14:paraId="746F2A09" w14:textId="77777777" w:rsidR="007968EC" w:rsidRDefault="007968EC" w:rsidP="007968EC">
            <w:pPr>
              <w:rPr>
                <w:rFonts w:ascii="Arial Narrow" w:eastAsia="Calibri" w:hAnsi="Arial Narrow"/>
                <w:color w:val="000000"/>
                <w:lang w:eastAsia="en-US"/>
              </w:rPr>
            </w:pPr>
          </w:p>
        </w:tc>
        <w:tc>
          <w:tcPr>
            <w:tcW w:w="1585" w:type="dxa"/>
            <w:vMerge/>
            <w:tcBorders>
              <w:top w:val="single" w:sz="4" w:space="0" w:color="auto"/>
              <w:left w:val="single" w:sz="4" w:space="0" w:color="auto"/>
              <w:bottom w:val="single" w:sz="4" w:space="0" w:color="auto"/>
              <w:right w:val="single" w:sz="4" w:space="0" w:color="auto"/>
            </w:tcBorders>
            <w:vAlign w:val="center"/>
            <w:hideMark/>
          </w:tcPr>
          <w:p w14:paraId="67AC879E" w14:textId="77777777" w:rsidR="007968EC" w:rsidRDefault="007968EC" w:rsidP="007968EC">
            <w:pPr>
              <w:rPr>
                <w:rFonts w:ascii="Arial Narrow" w:eastAsia="Calibri" w:hAnsi="Arial Narrow"/>
                <w:color w:val="000000"/>
                <w:lang w:eastAsia="en-US"/>
              </w:rPr>
            </w:pPr>
          </w:p>
        </w:tc>
      </w:tr>
      <w:tr w:rsidR="007968EC" w14:paraId="6E6B1D50" w14:textId="77777777" w:rsidTr="007968EC">
        <w:trPr>
          <w:trHeight w:val="197"/>
          <w:jc w:val="center"/>
        </w:trPr>
        <w:tc>
          <w:tcPr>
            <w:tcW w:w="1585" w:type="dxa"/>
            <w:tcBorders>
              <w:top w:val="single" w:sz="4" w:space="0" w:color="auto"/>
              <w:left w:val="single" w:sz="4" w:space="0" w:color="auto"/>
              <w:bottom w:val="single" w:sz="4" w:space="0" w:color="auto"/>
              <w:right w:val="single" w:sz="4" w:space="0" w:color="auto"/>
            </w:tcBorders>
            <w:hideMark/>
          </w:tcPr>
          <w:p w14:paraId="63FBAF05" w14:textId="77777777" w:rsidR="007968EC" w:rsidRDefault="007968EC" w:rsidP="007968EC">
            <w:pPr>
              <w:jc w:val="center"/>
              <w:rPr>
                <w:rFonts w:ascii="Arial Narrow" w:eastAsia="Calibri" w:hAnsi="Arial Narrow"/>
                <w:color w:val="000000"/>
                <w:lang w:eastAsia="en-US"/>
              </w:rPr>
            </w:pPr>
            <w:r>
              <w:rPr>
                <w:rFonts w:ascii="Arial Narrow" w:eastAsia="Calibri" w:hAnsi="Arial Narrow"/>
                <w:color w:val="000000"/>
                <w:lang w:eastAsia="en-US"/>
              </w:rPr>
              <w:t>8</w:t>
            </w:r>
          </w:p>
        </w:tc>
        <w:tc>
          <w:tcPr>
            <w:tcW w:w="1873" w:type="dxa"/>
            <w:tcBorders>
              <w:top w:val="single" w:sz="4" w:space="0" w:color="auto"/>
              <w:left w:val="single" w:sz="4" w:space="0" w:color="auto"/>
              <w:bottom w:val="single" w:sz="4" w:space="0" w:color="auto"/>
              <w:right w:val="single" w:sz="4" w:space="0" w:color="auto"/>
            </w:tcBorders>
            <w:hideMark/>
          </w:tcPr>
          <w:p w14:paraId="49762D8E" w14:textId="77777777" w:rsidR="007968EC" w:rsidRDefault="007968EC" w:rsidP="007968EC">
            <w:pPr>
              <w:autoSpaceDE w:val="0"/>
              <w:autoSpaceDN w:val="0"/>
              <w:adjustRightInd w:val="0"/>
              <w:rPr>
                <w:rFonts w:ascii="Arial Narrow" w:eastAsia="Calibri" w:hAnsi="Arial Narrow"/>
                <w:color w:val="000000"/>
                <w:kern w:val="24"/>
                <w:lang w:eastAsia="en-US"/>
              </w:rPr>
            </w:pPr>
            <w:r>
              <w:rPr>
                <w:rFonts w:ascii="Arial Narrow" w:eastAsia="Calibri" w:hAnsi="Arial Narrow"/>
                <w:color w:val="000000"/>
                <w:kern w:val="24"/>
                <w:lang w:eastAsia="en-US"/>
              </w:rPr>
              <w:t>9 Meses/18 Meses</w:t>
            </w:r>
          </w:p>
        </w:tc>
        <w:tc>
          <w:tcPr>
            <w:tcW w:w="1297" w:type="dxa"/>
            <w:vMerge/>
            <w:tcBorders>
              <w:top w:val="single" w:sz="4" w:space="0" w:color="auto"/>
              <w:left w:val="single" w:sz="4" w:space="0" w:color="auto"/>
              <w:bottom w:val="single" w:sz="4" w:space="0" w:color="auto"/>
              <w:right w:val="single" w:sz="4" w:space="0" w:color="auto"/>
            </w:tcBorders>
            <w:vAlign w:val="center"/>
            <w:hideMark/>
          </w:tcPr>
          <w:p w14:paraId="55BE7926" w14:textId="77777777" w:rsidR="007968EC" w:rsidRDefault="007968EC" w:rsidP="007968EC">
            <w:pPr>
              <w:rPr>
                <w:rFonts w:ascii="Arial Narrow" w:eastAsia="Calibri" w:hAnsi="Arial Narrow"/>
                <w:color w:val="000000"/>
                <w:lang w:eastAsia="en-US"/>
              </w:rPr>
            </w:pPr>
          </w:p>
        </w:tc>
        <w:tc>
          <w:tcPr>
            <w:tcW w:w="1585" w:type="dxa"/>
            <w:vMerge/>
            <w:tcBorders>
              <w:top w:val="single" w:sz="4" w:space="0" w:color="auto"/>
              <w:left w:val="single" w:sz="4" w:space="0" w:color="auto"/>
              <w:bottom w:val="single" w:sz="4" w:space="0" w:color="auto"/>
              <w:right w:val="single" w:sz="4" w:space="0" w:color="auto"/>
            </w:tcBorders>
            <w:vAlign w:val="center"/>
            <w:hideMark/>
          </w:tcPr>
          <w:p w14:paraId="073A9B79" w14:textId="77777777" w:rsidR="007968EC" w:rsidRDefault="007968EC" w:rsidP="007968EC">
            <w:pPr>
              <w:rPr>
                <w:rFonts w:ascii="Arial Narrow" w:eastAsia="Calibri" w:hAnsi="Arial Narrow"/>
                <w:color w:val="000000"/>
                <w:lang w:eastAsia="en-US"/>
              </w:rPr>
            </w:pPr>
          </w:p>
        </w:tc>
      </w:tr>
      <w:tr w:rsidR="007968EC" w14:paraId="5D19AFDB" w14:textId="77777777" w:rsidTr="007968EC">
        <w:trPr>
          <w:trHeight w:val="197"/>
          <w:jc w:val="center"/>
        </w:trPr>
        <w:tc>
          <w:tcPr>
            <w:tcW w:w="1585" w:type="dxa"/>
            <w:tcBorders>
              <w:top w:val="single" w:sz="4" w:space="0" w:color="auto"/>
              <w:left w:val="single" w:sz="4" w:space="0" w:color="auto"/>
              <w:bottom w:val="single" w:sz="4" w:space="0" w:color="auto"/>
              <w:right w:val="single" w:sz="4" w:space="0" w:color="auto"/>
            </w:tcBorders>
            <w:hideMark/>
          </w:tcPr>
          <w:p w14:paraId="1E507449" w14:textId="77777777" w:rsidR="007968EC" w:rsidRDefault="007968EC" w:rsidP="007968EC">
            <w:pPr>
              <w:jc w:val="center"/>
              <w:rPr>
                <w:rFonts w:ascii="Arial Narrow" w:eastAsia="Calibri" w:hAnsi="Arial Narrow"/>
                <w:color w:val="000000"/>
                <w:lang w:eastAsia="en-US"/>
              </w:rPr>
            </w:pPr>
            <w:r>
              <w:rPr>
                <w:rFonts w:ascii="Arial Narrow" w:eastAsia="Calibri" w:hAnsi="Arial Narrow"/>
                <w:color w:val="000000"/>
                <w:lang w:eastAsia="en-US"/>
              </w:rPr>
              <w:t>9</w:t>
            </w:r>
          </w:p>
        </w:tc>
        <w:tc>
          <w:tcPr>
            <w:tcW w:w="1873" w:type="dxa"/>
            <w:tcBorders>
              <w:top w:val="single" w:sz="4" w:space="0" w:color="auto"/>
              <w:left w:val="single" w:sz="4" w:space="0" w:color="auto"/>
              <w:bottom w:val="single" w:sz="4" w:space="0" w:color="auto"/>
              <w:right w:val="single" w:sz="4" w:space="0" w:color="auto"/>
            </w:tcBorders>
            <w:hideMark/>
          </w:tcPr>
          <w:p w14:paraId="0F89CF7E" w14:textId="77777777" w:rsidR="007968EC" w:rsidRDefault="007968EC" w:rsidP="007968EC">
            <w:pPr>
              <w:autoSpaceDE w:val="0"/>
              <w:autoSpaceDN w:val="0"/>
              <w:adjustRightInd w:val="0"/>
              <w:rPr>
                <w:rFonts w:ascii="Arial Narrow" w:eastAsia="Calibri" w:hAnsi="Arial Narrow"/>
                <w:color w:val="000000"/>
                <w:kern w:val="24"/>
                <w:lang w:eastAsia="en-US"/>
              </w:rPr>
            </w:pPr>
            <w:r>
              <w:rPr>
                <w:rFonts w:ascii="Arial Narrow" w:eastAsia="Calibri" w:hAnsi="Arial Narrow"/>
                <w:color w:val="000000"/>
                <w:kern w:val="24"/>
                <w:lang w:eastAsia="en-US"/>
              </w:rPr>
              <w:t>9 Meses/12 Meses</w:t>
            </w:r>
          </w:p>
        </w:tc>
        <w:tc>
          <w:tcPr>
            <w:tcW w:w="1297" w:type="dxa"/>
            <w:vMerge/>
            <w:tcBorders>
              <w:top w:val="single" w:sz="4" w:space="0" w:color="auto"/>
              <w:left w:val="single" w:sz="4" w:space="0" w:color="auto"/>
              <w:bottom w:val="single" w:sz="4" w:space="0" w:color="auto"/>
              <w:right w:val="single" w:sz="4" w:space="0" w:color="auto"/>
            </w:tcBorders>
            <w:vAlign w:val="center"/>
            <w:hideMark/>
          </w:tcPr>
          <w:p w14:paraId="34E9C661" w14:textId="77777777" w:rsidR="007968EC" w:rsidRDefault="007968EC" w:rsidP="007968EC">
            <w:pPr>
              <w:rPr>
                <w:rFonts w:ascii="Arial Narrow" w:eastAsia="Calibri" w:hAnsi="Arial Narrow"/>
                <w:color w:val="000000"/>
                <w:lang w:eastAsia="en-US"/>
              </w:rPr>
            </w:pPr>
          </w:p>
        </w:tc>
        <w:tc>
          <w:tcPr>
            <w:tcW w:w="1585" w:type="dxa"/>
            <w:vMerge/>
            <w:tcBorders>
              <w:top w:val="single" w:sz="4" w:space="0" w:color="auto"/>
              <w:left w:val="single" w:sz="4" w:space="0" w:color="auto"/>
              <w:bottom w:val="single" w:sz="4" w:space="0" w:color="auto"/>
              <w:right w:val="single" w:sz="4" w:space="0" w:color="auto"/>
            </w:tcBorders>
            <w:vAlign w:val="center"/>
            <w:hideMark/>
          </w:tcPr>
          <w:p w14:paraId="076C3429" w14:textId="77777777" w:rsidR="007968EC" w:rsidRDefault="007968EC" w:rsidP="007968EC">
            <w:pPr>
              <w:rPr>
                <w:rFonts w:ascii="Arial Narrow" w:eastAsia="Calibri" w:hAnsi="Arial Narrow"/>
                <w:color w:val="000000"/>
                <w:lang w:eastAsia="en-US"/>
              </w:rPr>
            </w:pPr>
          </w:p>
        </w:tc>
      </w:tr>
      <w:tr w:rsidR="007968EC" w14:paraId="61617794" w14:textId="77777777" w:rsidTr="007968EC">
        <w:trPr>
          <w:trHeight w:val="187"/>
          <w:jc w:val="center"/>
        </w:trPr>
        <w:tc>
          <w:tcPr>
            <w:tcW w:w="1585" w:type="dxa"/>
            <w:tcBorders>
              <w:top w:val="single" w:sz="4" w:space="0" w:color="auto"/>
              <w:left w:val="single" w:sz="4" w:space="0" w:color="auto"/>
              <w:bottom w:val="single" w:sz="4" w:space="0" w:color="auto"/>
              <w:right w:val="single" w:sz="4" w:space="0" w:color="auto"/>
            </w:tcBorders>
            <w:hideMark/>
          </w:tcPr>
          <w:p w14:paraId="3D7C4FC8" w14:textId="77777777" w:rsidR="007968EC" w:rsidRDefault="007968EC" w:rsidP="007968EC">
            <w:pPr>
              <w:jc w:val="center"/>
              <w:rPr>
                <w:rFonts w:ascii="Arial Narrow" w:eastAsia="Calibri" w:hAnsi="Arial Narrow"/>
                <w:color w:val="000000"/>
                <w:lang w:eastAsia="en-US"/>
              </w:rPr>
            </w:pPr>
            <w:r>
              <w:rPr>
                <w:rFonts w:ascii="Arial Narrow" w:eastAsia="Calibri" w:hAnsi="Arial Narrow"/>
                <w:color w:val="000000"/>
                <w:lang w:eastAsia="en-US"/>
              </w:rPr>
              <w:t>10</w:t>
            </w:r>
          </w:p>
        </w:tc>
        <w:tc>
          <w:tcPr>
            <w:tcW w:w="1873" w:type="dxa"/>
            <w:tcBorders>
              <w:top w:val="single" w:sz="4" w:space="0" w:color="auto"/>
              <w:left w:val="single" w:sz="4" w:space="0" w:color="auto"/>
              <w:bottom w:val="single" w:sz="4" w:space="0" w:color="auto"/>
              <w:right w:val="single" w:sz="4" w:space="0" w:color="auto"/>
            </w:tcBorders>
            <w:hideMark/>
          </w:tcPr>
          <w:p w14:paraId="650D82B9" w14:textId="77777777" w:rsidR="007968EC" w:rsidRDefault="007968EC" w:rsidP="007968EC">
            <w:pPr>
              <w:autoSpaceDE w:val="0"/>
              <w:autoSpaceDN w:val="0"/>
              <w:adjustRightInd w:val="0"/>
              <w:rPr>
                <w:rFonts w:ascii="Arial Narrow" w:eastAsia="Calibri" w:hAnsi="Arial Narrow"/>
                <w:color w:val="000000"/>
                <w:kern w:val="24"/>
                <w:lang w:eastAsia="en-US"/>
              </w:rPr>
            </w:pPr>
            <w:r>
              <w:rPr>
                <w:rFonts w:ascii="Arial Narrow" w:eastAsia="Calibri" w:hAnsi="Arial Narrow"/>
                <w:color w:val="000000"/>
                <w:kern w:val="24"/>
                <w:lang w:eastAsia="en-US"/>
              </w:rPr>
              <w:t>12 Meses/18 Meses</w:t>
            </w:r>
          </w:p>
        </w:tc>
        <w:tc>
          <w:tcPr>
            <w:tcW w:w="1297" w:type="dxa"/>
            <w:vMerge/>
            <w:tcBorders>
              <w:top w:val="single" w:sz="4" w:space="0" w:color="auto"/>
              <w:left w:val="single" w:sz="4" w:space="0" w:color="auto"/>
              <w:bottom w:val="single" w:sz="4" w:space="0" w:color="auto"/>
              <w:right w:val="single" w:sz="4" w:space="0" w:color="auto"/>
            </w:tcBorders>
            <w:vAlign w:val="center"/>
            <w:hideMark/>
          </w:tcPr>
          <w:p w14:paraId="525CCF98" w14:textId="77777777" w:rsidR="007968EC" w:rsidRDefault="007968EC" w:rsidP="007968EC">
            <w:pPr>
              <w:rPr>
                <w:rFonts w:ascii="Arial Narrow" w:eastAsia="Calibri" w:hAnsi="Arial Narrow"/>
                <w:color w:val="000000"/>
                <w:lang w:eastAsia="en-US"/>
              </w:rPr>
            </w:pPr>
          </w:p>
        </w:tc>
        <w:tc>
          <w:tcPr>
            <w:tcW w:w="1585" w:type="dxa"/>
            <w:vMerge/>
            <w:tcBorders>
              <w:top w:val="single" w:sz="4" w:space="0" w:color="auto"/>
              <w:left w:val="single" w:sz="4" w:space="0" w:color="auto"/>
              <w:bottom w:val="single" w:sz="4" w:space="0" w:color="auto"/>
              <w:right w:val="single" w:sz="4" w:space="0" w:color="auto"/>
            </w:tcBorders>
            <w:vAlign w:val="center"/>
            <w:hideMark/>
          </w:tcPr>
          <w:p w14:paraId="4D94D2A2" w14:textId="77777777" w:rsidR="007968EC" w:rsidRDefault="007968EC" w:rsidP="007968EC">
            <w:pPr>
              <w:rPr>
                <w:rFonts w:ascii="Arial Narrow" w:eastAsia="Calibri" w:hAnsi="Arial Narrow"/>
                <w:color w:val="000000"/>
                <w:lang w:eastAsia="en-US"/>
              </w:rPr>
            </w:pPr>
          </w:p>
        </w:tc>
      </w:tr>
    </w:tbl>
    <w:p w14:paraId="733543BA" w14:textId="77777777" w:rsidR="007968EC" w:rsidRPr="00601191" w:rsidRDefault="007968EC" w:rsidP="007968EC"/>
    <w:bookmarkEnd w:id="4919"/>
    <w:p w14:paraId="5D74240A" w14:textId="77777777" w:rsidR="007968EC" w:rsidRDefault="007968EC" w:rsidP="007968EC">
      <w:pPr>
        <w:rPr>
          <w:rFonts w:ascii="Arial" w:eastAsia="Calibri" w:hAnsi="Arial" w:cs="Arial"/>
          <w:b/>
          <w:lang w:eastAsia="es-ES"/>
        </w:rPr>
      </w:pPr>
    </w:p>
    <w:p w14:paraId="4B977C02" w14:textId="77777777" w:rsidR="007968EC" w:rsidRDefault="007968EC" w:rsidP="007968EC">
      <w:pPr>
        <w:pStyle w:val="ARTICULO0"/>
      </w:pPr>
      <w:bookmarkStart w:id="4922" w:name="_Toc31716193"/>
      <w:bookmarkStart w:id="4923" w:name="_Toc479057176"/>
      <w:bookmarkStart w:id="4924" w:name="_Toc490066531"/>
      <w:bookmarkStart w:id="4925" w:name="_Toc472592369"/>
      <w:bookmarkStart w:id="4926" w:name="_Toc472593388"/>
      <w:r>
        <w:t xml:space="preserve">Artículo 2.5.1.5. </w:t>
      </w:r>
      <w:r w:rsidRPr="002C0D19">
        <w:t>Procedimiento de cálculo de la Garantía Extraordinaria por variación de precios Segmento Derivados Financieros.</w:t>
      </w:r>
      <w:bookmarkEnd w:id="4922"/>
    </w:p>
    <w:p w14:paraId="0D7D338B" w14:textId="77777777" w:rsidR="007968EC" w:rsidRDefault="007968EC" w:rsidP="007968EC">
      <w:pPr>
        <w:keepNext/>
        <w:tabs>
          <w:tab w:val="left" w:pos="1701"/>
        </w:tabs>
        <w:jc w:val="both"/>
        <w:outlineLvl w:val="2"/>
        <w:rPr>
          <w:rFonts w:ascii="Arial Narrow" w:hAnsi="Arial Narrow" w:cs="Arial"/>
          <w:b/>
          <w:color w:val="000000" w:themeColor="text1"/>
          <w:u w:val="single"/>
          <w:lang w:eastAsia="es-ES"/>
        </w:rPr>
      </w:pPr>
    </w:p>
    <w:p w14:paraId="172F14AB" w14:textId="77777777" w:rsidR="007968EC" w:rsidRPr="002C0D19" w:rsidRDefault="007968EC" w:rsidP="007968EC">
      <w:pPr>
        <w:pStyle w:val="ANTECEDENTES"/>
      </w:pPr>
      <w:r w:rsidRPr="002C0D19">
        <w:t>(Este artículo fue adicionado mediante Circular 8 del 31 de marzo de 2017, publicada en el boletín No. 008 del 31 de marzo de 2017. Rige a partir del 3 de abril de 2017)</w:t>
      </w:r>
      <w:bookmarkEnd w:id="4923"/>
      <w:bookmarkEnd w:id="4924"/>
    </w:p>
    <w:p w14:paraId="0438AE4E" w14:textId="77777777" w:rsidR="007968EC" w:rsidRPr="002C0D19" w:rsidRDefault="007968EC" w:rsidP="007968EC">
      <w:pPr>
        <w:rPr>
          <w:rFonts w:ascii="Arial" w:hAnsi="Arial" w:cs="Arial"/>
          <w:b/>
          <w:lang w:eastAsia="es-ES"/>
        </w:rPr>
      </w:pPr>
    </w:p>
    <w:p w14:paraId="0D839312" w14:textId="77777777" w:rsidR="007968EC" w:rsidRPr="002C0D19" w:rsidRDefault="007968EC" w:rsidP="007968EC">
      <w:pPr>
        <w:jc w:val="both"/>
        <w:rPr>
          <w:rFonts w:ascii="Arial Narrow" w:hAnsi="Arial Narrow" w:cs="Arial"/>
          <w:bCs/>
          <w:color w:val="000000" w:themeColor="text1"/>
          <w:lang w:eastAsia="es-CO"/>
        </w:rPr>
      </w:pPr>
      <w:r w:rsidRPr="002C0D19">
        <w:rPr>
          <w:rFonts w:ascii="Arial Narrow" w:hAnsi="Arial Narrow" w:cs="Arial"/>
          <w:bCs/>
          <w:color w:val="000000" w:themeColor="text1"/>
          <w:lang w:eastAsia="es-CO"/>
        </w:rPr>
        <w:t xml:space="preserve">De conformidad con lo establecido en el </w:t>
      </w:r>
      <w:r w:rsidRPr="002C0D19">
        <w:rPr>
          <w:rFonts w:ascii="Arial Narrow" w:hAnsi="Arial Narrow" w:cs="Arial"/>
          <w:color w:val="000000" w:themeColor="text1"/>
          <w:lang w:eastAsia="es-ES"/>
        </w:rPr>
        <w:t>artículo 1.6.2.7. de la presente Circular, la</w:t>
      </w:r>
      <w:r w:rsidRPr="002C0D19">
        <w:rPr>
          <w:rFonts w:ascii="Arial Narrow" w:hAnsi="Arial Narrow" w:cs="Arial"/>
          <w:bCs/>
          <w:color w:val="000000" w:themeColor="text1"/>
          <w:lang w:eastAsia="es-CO"/>
        </w:rPr>
        <w:t xml:space="preserve"> metodología para el </w:t>
      </w:r>
      <w:r w:rsidRPr="002C0D19">
        <w:rPr>
          <w:rFonts w:ascii="Arial Narrow" w:hAnsi="Arial Narrow" w:cs="Arial"/>
          <w:color w:val="000000" w:themeColor="text1"/>
          <w:lang w:val="es-ES" w:eastAsia="es-ES"/>
        </w:rPr>
        <w:t xml:space="preserve">procedimiento de Margin Call para el Segmento Derivados Financieros </w:t>
      </w:r>
      <w:r w:rsidRPr="002C0D19">
        <w:rPr>
          <w:rFonts w:ascii="Arial Narrow" w:hAnsi="Arial Narrow" w:cs="Arial"/>
          <w:bCs/>
          <w:color w:val="000000" w:themeColor="text1"/>
          <w:lang w:eastAsia="es-CO"/>
        </w:rPr>
        <w:t>será la siguiente:</w:t>
      </w:r>
    </w:p>
    <w:p w14:paraId="0BADDDE1" w14:textId="77777777" w:rsidR="007968EC" w:rsidRPr="002C0D19" w:rsidRDefault="007968EC" w:rsidP="007968EC">
      <w:pPr>
        <w:rPr>
          <w:rFonts w:ascii="Arial" w:hAnsi="Arial" w:cs="Arial"/>
          <w:lang w:eastAsia="es-ES"/>
        </w:rPr>
      </w:pPr>
    </w:p>
    <w:p w14:paraId="2825A707" w14:textId="77777777" w:rsidR="007968EC" w:rsidRPr="002C0D19" w:rsidRDefault="007968EC" w:rsidP="00DA7472">
      <w:pPr>
        <w:numPr>
          <w:ilvl w:val="3"/>
          <w:numId w:val="165"/>
        </w:numPr>
        <w:tabs>
          <w:tab w:val="left" w:pos="284"/>
        </w:tabs>
        <w:ind w:left="426" w:hanging="426"/>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Durante el día, la Cámara verifica la volatilidad de los precios de los activos subyacentes en el mercado de contado y de los Activos Compensados y Liquidados, y activará el procedimiento de Margin Call en los siguientes casos:</w:t>
      </w:r>
    </w:p>
    <w:p w14:paraId="47858A6A" w14:textId="77777777" w:rsidR="007968EC" w:rsidRPr="002C0D19" w:rsidRDefault="007968EC" w:rsidP="007968EC">
      <w:pPr>
        <w:ind w:left="360"/>
        <w:jc w:val="both"/>
        <w:rPr>
          <w:rFonts w:ascii="Arial Narrow" w:hAnsi="Arial Narrow" w:cs="Arial"/>
          <w:color w:val="000000" w:themeColor="text1"/>
          <w:lang w:val="es-ES" w:eastAsia="es-ES"/>
        </w:rPr>
      </w:pPr>
    </w:p>
    <w:p w14:paraId="691BDA4C" w14:textId="77777777" w:rsidR="007968EC" w:rsidRPr="002C0D19" w:rsidRDefault="007968EC" w:rsidP="00DA7472">
      <w:pPr>
        <w:numPr>
          <w:ilvl w:val="1"/>
          <w:numId w:val="132"/>
        </w:numPr>
        <w:ind w:left="709"/>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Variación del precio de algún vencimiento (x</w:t>
      </w:r>
      <w:r w:rsidRPr="002C0D19">
        <w:rPr>
          <w:rFonts w:ascii="Arial Narrow" w:hAnsi="Arial Narrow" w:cs="Arial"/>
          <w:color w:val="000000" w:themeColor="text1"/>
          <w:vertAlign w:val="subscript"/>
          <w:lang w:eastAsia="es-CO"/>
        </w:rPr>
        <w:t>i</w:t>
      </w:r>
      <w:r w:rsidRPr="002C0D19">
        <w:rPr>
          <w:rFonts w:ascii="Arial Narrow" w:hAnsi="Arial Narrow" w:cs="Arial"/>
          <w:color w:val="000000" w:themeColor="text1"/>
          <w:lang w:eastAsia="es-CO"/>
        </w:rPr>
        <w:t>) del Activo objeto de una Operación: Cuando el precio de algún vencimiento (x</w:t>
      </w:r>
      <w:r w:rsidRPr="002C0D19">
        <w:rPr>
          <w:rFonts w:ascii="Arial Narrow" w:hAnsi="Arial Narrow" w:cs="Arial"/>
          <w:color w:val="000000" w:themeColor="text1"/>
          <w:vertAlign w:val="subscript"/>
          <w:lang w:eastAsia="es-CO"/>
        </w:rPr>
        <w:t>i)</w:t>
      </w:r>
      <w:r w:rsidRPr="002C0D19">
        <w:rPr>
          <w:rFonts w:ascii="Arial Narrow" w:hAnsi="Arial Narrow" w:cs="Arial"/>
          <w:color w:val="000000" w:themeColor="text1"/>
          <w:lang w:eastAsia="es-CO"/>
        </w:rPr>
        <w:t xml:space="preserve"> del Activo objeto de una Operación supera el parámetro de Fluctuación para llamados a Garantías Extraordinarias se calcula un Precio Margin Call para cada Activo. El cálculo de Precio Margin Call se basa en el siguiente procedimiento:</w:t>
      </w:r>
    </w:p>
    <w:p w14:paraId="6C9294FC" w14:textId="77777777" w:rsidR="007968EC" w:rsidRPr="002C0D19" w:rsidRDefault="007968EC" w:rsidP="007968EC">
      <w:pPr>
        <w:ind w:left="709"/>
        <w:jc w:val="both"/>
        <w:rPr>
          <w:rFonts w:ascii="Arial Narrow" w:hAnsi="Arial Narrow" w:cs="Arial"/>
          <w:color w:val="000000" w:themeColor="text1"/>
          <w:lang w:eastAsia="es-CO"/>
        </w:rPr>
      </w:pPr>
    </w:p>
    <w:p w14:paraId="4E6A7FA8" w14:textId="77777777" w:rsidR="007968EC" w:rsidRPr="002C0D19" w:rsidRDefault="007968EC" w:rsidP="00DA7472">
      <w:pPr>
        <w:numPr>
          <w:ilvl w:val="2"/>
          <w:numId w:val="164"/>
        </w:numPr>
        <w:ind w:left="1134" w:hanging="360"/>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Se establece si la variación del precio del activo supera el parámetro de "Fluctuación para llamados a Garantías Extraordinarias” de acuerdo a la siguiente desigualdad:</w:t>
      </w:r>
    </w:p>
    <w:p w14:paraId="66B03076" w14:textId="77777777" w:rsidR="007968EC" w:rsidRPr="002C0D19" w:rsidRDefault="007968EC" w:rsidP="007968EC">
      <w:pPr>
        <w:ind w:left="709"/>
        <w:jc w:val="both"/>
        <w:rPr>
          <w:rFonts w:ascii="Arial Narrow" w:hAnsi="Arial Narrow" w:cs="Arial"/>
          <w:color w:val="000000" w:themeColor="text1"/>
          <w:lang w:eastAsia="es-CO"/>
        </w:rPr>
      </w:pPr>
    </w:p>
    <w:p w14:paraId="1040164E" w14:textId="77777777" w:rsidR="007968EC" w:rsidRPr="002C0D19" w:rsidRDefault="007968EC" w:rsidP="007968EC">
      <w:pPr>
        <w:ind w:left="851"/>
        <w:jc w:val="center"/>
        <w:rPr>
          <w:rFonts w:ascii="Arial Narrow" w:hAnsi="Arial Narrow" w:cs="Arial"/>
          <w:color w:val="000000" w:themeColor="text1"/>
          <w:lang w:eastAsia="es-CO"/>
        </w:rPr>
      </w:pPr>
      <m:oMathPara>
        <m:oMath>
          <m:r>
            <m:rPr>
              <m:sty m:val="b"/>
            </m:rPr>
            <w:rPr>
              <w:rFonts w:ascii="Cambria Math" w:hAnsi="Cambria Math" w:cs="Arial"/>
              <w:color w:val="000000" w:themeColor="text1"/>
              <w:lang w:eastAsia="es-CO"/>
            </w:rPr>
            <m:t>-</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FGE</m:t>
              </m:r>
            </m:e>
            <m:sub>
              <m:r>
                <m:rPr>
                  <m:sty m:val="bi"/>
                </m:rPr>
                <w:rPr>
                  <w:rFonts w:ascii="Cambria Math" w:hAnsi="Cambria Math" w:cs="Arial"/>
                  <w:color w:val="000000" w:themeColor="text1"/>
                  <w:lang w:eastAsia="es-CO"/>
                </w:rPr>
                <m:t>X</m:t>
              </m:r>
            </m:sub>
          </m:sSub>
          <m:r>
            <m:rPr>
              <m:sty m:val="b"/>
            </m:rPr>
            <w:rPr>
              <w:rFonts w:ascii="Cambria Math" w:hAnsi="Cambria Math" w:cs="Arial"/>
              <w:color w:val="000000" w:themeColor="text1"/>
              <w:lang w:eastAsia="es-CO"/>
            </w:rPr>
            <m:t>≥</m:t>
          </m:r>
          <m:f>
            <m:fPr>
              <m:ctrlPr>
                <w:rPr>
                  <w:rFonts w:ascii="Cambria Math" w:hAnsi="Cambria Math" w:cs="Arial"/>
                  <w:color w:val="000000" w:themeColor="text1"/>
                  <w:lang w:eastAsia="es-CO"/>
                </w:rPr>
              </m:ctrlPr>
            </m:fPr>
            <m:num>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UPx</m:t>
                  </m:r>
                </m:e>
                <m:sub>
                  <m:r>
                    <m:rPr>
                      <m:sty m:val="b"/>
                    </m:rPr>
                    <w:rPr>
                      <w:rFonts w:ascii="Cambria Math" w:hAnsi="Cambria Math" w:cs="Arial"/>
                      <w:color w:val="000000" w:themeColor="text1"/>
                      <w:lang w:eastAsia="es-CO"/>
                    </w:rPr>
                    <m:t>i</m:t>
                  </m:r>
                </m:sub>
              </m:sSub>
            </m:num>
            <m:den>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PLCx</m:t>
                  </m:r>
                </m:e>
                <m:sub>
                  <m:r>
                    <m:rPr>
                      <m:sty m:val="b"/>
                    </m:rPr>
                    <w:rPr>
                      <w:rFonts w:ascii="Cambria Math" w:hAnsi="Cambria Math" w:cs="Arial"/>
                      <w:color w:val="000000" w:themeColor="text1"/>
                      <w:lang w:eastAsia="es-CO"/>
                    </w:rPr>
                    <m:t xml:space="preserve">i </m:t>
                  </m:r>
                  <m:d>
                    <m:dPr>
                      <m:ctrlPr>
                        <w:rPr>
                          <w:rFonts w:ascii="Cambria Math" w:hAnsi="Cambria Math" w:cs="Arial"/>
                          <w:color w:val="000000" w:themeColor="text1"/>
                          <w:lang w:eastAsia="es-CO"/>
                        </w:rPr>
                      </m:ctrlPr>
                    </m:dPr>
                    <m:e>
                      <m:r>
                        <m:rPr>
                          <m:sty m:val="b"/>
                        </m:rPr>
                        <w:rPr>
                          <w:rFonts w:ascii="Cambria Math" w:hAnsi="Cambria Math" w:cs="Arial"/>
                          <w:color w:val="000000" w:themeColor="text1"/>
                          <w:lang w:eastAsia="es-CO"/>
                        </w:rPr>
                        <m:t>t-1</m:t>
                      </m:r>
                    </m:e>
                  </m:d>
                </m:sub>
              </m:sSub>
              <m:r>
                <m:rPr>
                  <m:sty m:val="b"/>
                </m:rPr>
                <w:rPr>
                  <w:rFonts w:ascii="Cambria Math" w:hAnsi="Cambria Math" w:cs="Arial"/>
                  <w:color w:val="000000" w:themeColor="text1"/>
                  <w:lang w:eastAsia="es-CO"/>
                </w:rPr>
                <m:t xml:space="preserve"> </m:t>
              </m:r>
            </m:den>
          </m:f>
          <m:r>
            <m:rPr>
              <m:sty m:val="b"/>
            </m:rPr>
            <w:rPr>
              <w:rFonts w:ascii="Cambria Math" w:hAnsi="Cambria Math" w:cs="Arial"/>
              <w:color w:val="000000" w:themeColor="text1"/>
              <w:lang w:eastAsia="es-CO"/>
            </w:rPr>
            <m:t>-1≥</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FGE</m:t>
              </m:r>
            </m:e>
            <m:sub>
              <m:r>
                <m:rPr>
                  <m:sty m:val="bi"/>
                </m:rPr>
                <w:rPr>
                  <w:rFonts w:ascii="Cambria Math" w:hAnsi="Cambria Math" w:cs="Arial"/>
                  <w:color w:val="000000" w:themeColor="text1"/>
                  <w:lang w:eastAsia="es-CO"/>
                </w:rPr>
                <m:t>X</m:t>
              </m:r>
            </m:sub>
          </m:sSub>
        </m:oMath>
      </m:oMathPara>
    </w:p>
    <w:p w14:paraId="05A47659" w14:textId="77777777" w:rsidR="007968EC" w:rsidRPr="002C0D19" w:rsidRDefault="007968EC" w:rsidP="007968EC">
      <w:pPr>
        <w:ind w:left="851"/>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Donde: </w:t>
      </w:r>
    </w:p>
    <w:p w14:paraId="115CD6CD" w14:textId="77777777" w:rsidR="007968EC" w:rsidRPr="002C0D19" w:rsidRDefault="007968EC" w:rsidP="007968EC">
      <w:pPr>
        <w:ind w:left="851"/>
        <w:jc w:val="both"/>
        <w:rPr>
          <w:rFonts w:ascii="Arial Narrow" w:hAnsi="Arial Narrow" w:cs="Arial"/>
          <w:color w:val="000000" w:themeColor="text1"/>
          <w:lang w:eastAsia="es-CO"/>
        </w:rPr>
      </w:pPr>
    </w:p>
    <w:p w14:paraId="31A93F3B" w14:textId="77777777" w:rsidR="007968EC" w:rsidRPr="002C0D19" w:rsidRDefault="00682D97" w:rsidP="007968EC">
      <w:pPr>
        <w:ind w:left="851"/>
        <w:jc w:val="both"/>
        <w:rPr>
          <w:rFonts w:ascii="Arial Narrow" w:hAnsi="Arial Narrow" w:cs="Arial"/>
          <w:color w:val="000000" w:themeColor="text1"/>
          <w:lang w:eastAsia="es-CO"/>
        </w:rPr>
      </w:pP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 xml:space="preserve"> x</m:t>
            </m:r>
          </m:e>
          <m:sub>
            <m:r>
              <m:rPr>
                <m:sty m:val="b"/>
              </m:rPr>
              <w:rPr>
                <w:rFonts w:ascii="Cambria Math" w:hAnsi="Cambria Math" w:cs="Arial"/>
                <w:color w:val="000000" w:themeColor="text1"/>
                <w:lang w:eastAsia="es-CO"/>
              </w:rPr>
              <m:t>i</m:t>
            </m:r>
          </m:sub>
        </m:sSub>
      </m:oMath>
      <w:r w:rsidR="007968EC" w:rsidRPr="002C0D19">
        <w:rPr>
          <w:rFonts w:ascii="Arial Narrow" w:hAnsi="Arial Narrow" w:cs="Arial"/>
          <w:color w:val="000000" w:themeColor="text1"/>
          <w:lang w:eastAsia="es-CO"/>
        </w:rPr>
        <w:t>: Es cualquier Activo con vencimiento i</w:t>
      </w:r>
      <w:r w:rsidR="007968EC" w:rsidRPr="002C0D19" w:rsidDel="008045E0">
        <w:rPr>
          <w:rFonts w:ascii="Arial Narrow" w:hAnsi="Arial Narrow" w:cs="Arial"/>
          <w:color w:val="000000" w:themeColor="text1"/>
          <w:lang w:eastAsia="es-CO"/>
        </w:rPr>
        <w:t xml:space="preserve"> </w:t>
      </w:r>
      <w:r w:rsidR="007968EC" w:rsidRPr="002C0D19">
        <w:rPr>
          <w:rFonts w:ascii="Arial Narrow" w:hAnsi="Arial Narrow" w:cs="Arial"/>
          <w:color w:val="000000" w:themeColor="text1"/>
          <w:lang w:eastAsia="es-CO"/>
        </w:rPr>
        <w:t>objeto de una Operación compensada o liquidada por la Cámara.</w:t>
      </w:r>
    </w:p>
    <w:p w14:paraId="44EB7C38" w14:textId="77777777" w:rsidR="007968EC" w:rsidRPr="002C0D19" w:rsidRDefault="007968EC" w:rsidP="007968EC">
      <w:pPr>
        <w:ind w:left="851"/>
        <w:jc w:val="both"/>
        <w:rPr>
          <w:rFonts w:ascii="Arial Narrow" w:hAnsi="Arial Narrow" w:cs="Arial"/>
          <w:color w:val="000000" w:themeColor="text1"/>
          <w:lang w:eastAsia="es-CO"/>
        </w:rPr>
      </w:pPr>
      <m:oMath>
        <m:r>
          <m:rPr>
            <m:sty m:val="b"/>
          </m:rPr>
          <w:rPr>
            <w:rFonts w:ascii="Cambria Math" w:hAnsi="Cambria Math" w:cs="Arial"/>
            <w:color w:val="000000" w:themeColor="text1"/>
            <w:lang w:eastAsia="es-CO"/>
          </w:rPr>
          <m:t>FG</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E</m:t>
            </m:r>
          </m:e>
          <m:sub>
            <m:r>
              <m:rPr>
                <m:sty m:val="bi"/>
              </m:rPr>
              <w:rPr>
                <w:rFonts w:ascii="Cambria Math" w:hAnsi="Cambria Math" w:cs="Arial"/>
                <w:color w:val="000000" w:themeColor="text1"/>
                <w:lang w:eastAsia="es-CO"/>
              </w:rPr>
              <m:t>X</m:t>
            </m:r>
          </m:sub>
        </m:sSub>
      </m:oMath>
      <w:r w:rsidRPr="002C0D19">
        <w:rPr>
          <w:rFonts w:ascii="Arial Narrow" w:hAnsi="Arial Narrow" w:cs="Arial"/>
          <w:color w:val="000000" w:themeColor="text1"/>
          <w:lang w:eastAsia="es-CO"/>
        </w:rPr>
        <w:t>: Parámetro de Fluctuación para llamados a Garantías Extraordinarias establecido para un Activo objeto de una Operación compensada o liquidada por la Cámara.</w:t>
      </w:r>
    </w:p>
    <w:p w14:paraId="19095C9E" w14:textId="77777777" w:rsidR="007968EC" w:rsidRPr="002C0D19" w:rsidRDefault="00682D97" w:rsidP="007968EC">
      <w:pPr>
        <w:ind w:left="851"/>
        <w:jc w:val="both"/>
        <w:rPr>
          <w:rFonts w:ascii="Arial Narrow" w:hAnsi="Arial Narrow" w:cs="Arial"/>
          <w:color w:val="000000" w:themeColor="text1"/>
          <w:lang w:eastAsia="es-CO"/>
        </w:rPr>
      </w:pP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UPx</m:t>
            </m:r>
          </m:e>
          <m:sub>
            <m:r>
              <m:rPr>
                <m:sty m:val="b"/>
              </m:rPr>
              <w:rPr>
                <w:rFonts w:ascii="Cambria Math" w:hAnsi="Cambria Math" w:cs="Arial"/>
                <w:color w:val="000000" w:themeColor="text1"/>
                <w:lang w:eastAsia="es-CO"/>
              </w:rPr>
              <m:t>i</m:t>
            </m:r>
          </m:sub>
        </m:sSub>
      </m:oMath>
      <w:r w:rsidR="007968EC" w:rsidRPr="002C0D19">
        <w:rPr>
          <w:rFonts w:ascii="Arial Narrow" w:hAnsi="Arial Narrow" w:cs="Arial"/>
          <w:color w:val="000000" w:themeColor="text1"/>
          <w:lang w:eastAsia="es-CO"/>
        </w:rPr>
        <w:t>: Último precio de un Activo con vencimiento i de acuerdo con lo definido en el procedimiento de cálculo de Garantías por Posición según el Modelo MEEFCOM2</w:t>
      </w:r>
    </w:p>
    <w:p w14:paraId="1732DEEF" w14:textId="77777777" w:rsidR="007968EC" w:rsidRPr="002C0D19" w:rsidRDefault="00682D97" w:rsidP="007968EC">
      <w:pPr>
        <w:ind w:left="851"/>
        <w:jc w:val="both"/>
        <w:rPr>
          <w:rFonts w:ascii="Arial Narrow" w:hAnsi="Arial Narrow" w:cs="Arial"/>
          <w:color w:val="000000" w:themeColor="text1"/>
          <w:lang w:eastAsia="es-CO"/>
        </w:rPr>
      </w:pP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P</m:t>
            </m:r>
            <m:r>
              <m:rPr>
                <m:sty m:val="b"/>
              </m:rPr>
              <w:rPr>
                <w:rFonts w:ascii="Cambria Math" w:hAnsi="Cambria Math" w:cs="Cambria Math"/>
                <w:color w:val="000000" w:themeColor="text1"/>
                <w:lang w:eastAsia="es-CO"/>
              </w:rPr>
              <m:t>L</m:t>
            </m:r>
            <m:r>
              <m:rPr>
                <m:sty m:val="b"/>
              </m:rPr>
              <w:rPr>
                <w:rFonts w:ascii="Cambria Math" w:hAnsi="Cambria Math" w:cs="Arial"/>
                <w:color w:val="000000" w:themeColor="text1"/>
                <w:lang w:eastAsia="es-CO"/>
              </w:rPr>
              <m:t>Cx</m:t>
            </m:r>
          </m:e>
          <m:sub>
            <m:r>
              <m:rPr>
                <m:sty m:val="b"/>
              </m:rPr>
              <w:rPr>
                <w:rFonts w:ascii="Cambria Math" w:hAnsi="Cambria Math" w:cs="Arial"/>
                <w:color w:val="000000" w:themeColor="text1"/>
                <w:lang w:eastAsia="es-CO"/>
              </w:rPr>
              <m:t xml:space="preserve">i </m:t>
            </m:r>
            <m:d>
              <m:dPr>
                <m:ctrlPr>
                  <w:rPr>
                    <w:rFonts w:ascii="Cambria Math" w:hAnsi="Cambria Math" w:cs="Arial"/>
                    <w:color w:val="000000" w:themeColor="text1"/>
                    <w:lang w:eastAsia="es-CO"/>
                  </w:rPr>
                </m:ctrlPr>
              </m:dPr>
              <m:e>
                <m:r>
                  <m:rPr>
                    <m:sty m:val="b"/>
                  </m:rPr>
                  <w:rPr>
                    <w:rFonts w:ascii="Cambria Math" w:hAnsi="Cambria Math" w:cs="Arial"/>
                    <w:color w:val="000000" w:themeColor="text1"/>
                    <w:lang w:eastAsia="es-CO"/>
                  </w:rPr>
                  <m:t>t-1</m:t>
                </m:r>
              </m:e>
            </m:d>
          </m:sub>
        </m:sSub>
      </m:oMath>
      <w:r w:rsidR="007968EC" w:rsidRPr="002C0D19">
        <w:rPr>
          <w:rFonts w:ascii="Arial Narrow" w:hAnsi="Arial Narrow" w:cs="Arial"/>
          <w:color w:val="000000" w:themeColor="text1"/>
          <w:lang w:eastAsia="es-CO"/>
        </w:rPr>
        <w:t>: Precio de Liquidación de un Activo con vencimiento i según lo definido en el Artículo 1.1.1.2 de la Circular Única de Cámara</w:t>
      </w:r>
      <w:r w:rsidR="007968EC" w:rsidRPr="002C0D19" w:rsidDel="009A6CBE">
        <w:rPr>
          <w:rFonts w:ascii="Arial Narrow" w:hAnsi="Arial Narrow" w:cs="Arial"/>
          <w:color w:val="000000" w:themeColor="text1"/>
          <w:lang w:eastAsia="es-CO"/>
        </w:rPr>
        <w:t xml:space="preserve"> </w:t>
      </w:r>
      <w:r w:rsidR="007968EC" w:rsidRPr="002C0D19">
        <w:rPr>
          <w:rFonts w:ascii="Arial Narrow" w:hAnsi="Arial Narrow" w:cs="Arial"/>
          <w:color w:val="000000" w:themeColor="text1"/>
          <w:lang w:eastAsia="es-CO"/>
        </w:rPr>
        <w:t xml:space="preserve">utilizado por la Cámara en la Sesión de Cierre del día anterior. </w:t>
      </w:r>
    </w:p>
    <w:p w14:paraId="159F3FE2" w14:textId="77777777" w:rsidR="007968EC" w:rsidRPr="002C0D19" w:rsidRDefault="007968EC" w:rsidP="007968EC">
      <w:pPr>
        <w:ind w:left="851"/>
        <w:jc w:val="both"/>
        <w:rPr>
          <w:rFonts w:ascii="Arial Narrow" w:hAnsi="Arial Narrow" w:cs="Arial"/>
          <w:color w:val="000000" w:themeColor="text1"/>
          <w:lang w:eastAsia="es-CO"/>
        </w:rPr>
      </w:pPr>
    </w:p>
    <w:p w14:paraId="19627867" w14:textId="77777777" w:rsidR="007968EC" w:rsidRPr="002C0D19" w:rsidRDefault="007968EC" w:rsidP="00DA7472">
      <w:pPr>
        <w:numPr>
          <w:ilvl w:val="2"/>
          <w:numId w:val="164"/>
        </w:numPr>
        <w:ind w:left="1134" w:hanging="360"/>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Se calcula el Precio Margin Call para cada activo de acuerdo a la siguiente expresión:</w:t>
      </w:r>
    </w:p>
    <w:p w14:paraId="71B1BCD7" w14:textId="77777777" w:rsidR="007968EC" w:rsidRPr="002C0D19" w:rsidRDefault="007968EC" w:rsidP="007968EC">
      <w:pPr>
        <w:ind w:left="1134"/>
        <w:jc w:val="both"/>
        <w:rPr>
          <w:rFonts w:ascii="Arial Narrow" w:hAnsi="Arial Narrow" w:cs="Arial"/>
          <w:color w:val="000000" w:themeColor="text1"/>
          <w:lang w:eastAsia="es-CO"/>
        </w:rPr>
      </w:pPr>
    </w:p>
    <w:p w14:paraId="4AA67180" w14:textId="77777777" w:rsidR="007968EC" w:rsidRPr="002C0D19" w:rsidRDefault="007968EC" w:rsidP="00DA7472">
      <w:pPr>
        <w:numPr>
          <w:ilvl w:val="0"/>
          <w:numId w:val="257"/>
        </w:numPr>
        <w:tabs>
          <w:tab w:val="left" w:pos="1276"/>
        </w:tabs>
        <w:ind w:left="1276" w:hanging="142"/>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Cuando exista un Último precio (</w:t>
      </w:r>
      <m:oMath>
        <m:r>
          <m:rPr>
            <m:sty m:val="bi"/>
          </m:rPr>
          <w:rPr>
            <w:rFonts w:ascii="Cambria Math" w:hAnsi="Cambria Math" w:cs="Arial"/>
            <w:color w:val="000000" w:themeColor="text1"/>
            <w:lang w:eastAsia="es-CO"/>
          </w:rPr>
          <m:t>UP</m:t>
        </m:r>
      </m:oMath>
      <w:r w:rsidRPr="002C0D19">
        <w:rPr>
          <w:rFonts w:ascii="Arial Narrow" w:hAnsi="Arial Narrow" w:cs="Arial"/>
          <w:color w:val="000000" w:themeColor="text1"/>
          <w:lang w:eastAsia="es-CO"/>
        </w:rPr>
        <w:t>) en el primer vencimiento (</w:t>
      </w:r>
      <m:oMath>
        <m:sSub>
          <m:sSubPr>
            <m:ctrlPr>
              <w:rPr>
                <w:rFonts w:ascii="Cambria Math" w:hAnsi="Cambria Math" w:cs="Arial"/>
                <w:color w:val="000000" w:themeColor="text1"/>
                <w:lang w:eastAsia="es-CO"/>
              </w:rPr>
            </m:ctrlPr>
          </m:sSubPr>
          <m:e>
            <m:r>
              <m:rPr>
                <m:sty m:val="bi"/>
              </m:rPr>
              <w:rPr>
                <w:rFonts w:ascii="Cambria Math" w:hAnsi="Cambria Math" w:cs="Arial"/>
                <w:color w:val="000000" w:themeColor="text1"/>
                <w:lang w:eastAsia="es-CO"/>
              </w:rPr>
              <m:t>x</m:t>
            </m:r>
          </m:e>
          <m:sub>
            <m:r>
              <m:rPr>
                <m:sty m:val="b"/>
              </m:rPr>
              <w:rPr>
                <w:rFonts w:ascii="Cambria Math" w:hAnsi="Cambria Math" w:cs="Arial"/>
                <w:color w:val="000000" w:themeColor="text1"/>
                <w:lang w:eastAsia="es-CO"/>
              </w:rPr>
              <m:t>1</m:t>
            </m:r>
          </m:sub>
        </m:sSub>
      </m:oMath>
      <w:r w:rsidRPr="002C0D19">
        <w:rPr>
          <w:rFonts w:ascii="Arial Narrow" w:hAnsi="Arial Narrow" w:cs="Arial"/>
          <w:color w:val="000000" w:themeColor="text1"/>
          <w:lang w:eastAsia="es-CO"/>
        </w:rPr>
        <w:t>).</w:t>
      </w:r>
    </w:p>
    <w:p w14:paraId="6E5D1CD4" w14:textId="77777777" w:rsidR="007968EC" w:rsidRPr="002C0D19" w:rsidRDefault="007968EC" w:rsidP="007968EC">
      <w:pPr>
        <w:tabs>
          <w:tab w:val="left" w:pos="1276"/>
        </w:tabs>
        <w:ind w:left="993"/>
        <w:jc w:val="both"/>
        <w:rPr>
          <w:rFonts w:ascii="Arial Narrow" w:hAnsi="Arial Narrow" w:cs="Arial"/>
          <w:color w:val="000000" w:themeColor="text1"/>
          <w:lang w:eastAsia="es-CO"/>
        </w:rPr>
      </w:pPr>
    </w:p>
    <w:p w14:paraId="0527EF59" w14:textId="77777777" w:rsidR="007968EC" w:rsidRPr="002C0D19" w:rsidRDefault="007968EC" w:rsidP="00DA7472">
      <w:pPr>
        <w:numPr>
          <w:ilvl w:val="0"/>
          <w:numId w:val="259"/>
        </w:numPr>
        <w:ind w:left="1560"/>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lastRenderedPageBreak/>
        <w:t>Si solo existe un Último precio del primer vencimiento (</w:t>
      </w:r>
      <m:oMath>
        <m:r>
          <m:rPr>
            <m:sty m:val="bi"/>
          </m:rPr>
          <w:rPr>
            <w:rFonts w:ascii="Cambria Math" w:hAnsi="Cambria Math" w:cs="Arial"/>
            <w:color w:val="000000" w:themeColor="text1"/>
            <w:lang w:eastAsia="es-CO"/>
          </w:rPr>
          <m:t>U</m:t>
        </m:r>
        <m:sSub>
          <m:sSubPr>
            <m:ctrlPr>
              <w:rPr>
                <w:rFonts w:ascii="Cambria Math" w:hAnsi="Cambria Math" w:cs="Arial"/>
                <w:color w:val="000000" w:themeColor="text1"/>
                <w:lang w:eastAsia="es-CO"/>
              </w:rPr>
            </m:ctrlPr>
          </m:sSubPr>
          <m:e>
            <m:r>
              <m:rPr>
                <m:sty m:val="bi"/>
              </m:rPr>
              <w:rPr>
                <w:rFonts w:ascii="Cambria Math" w:hAnsi="Cambria Math" w:cs="Arial"/>
                <w:color w:val="000000" w:themeColor="text1"/>
                <w:lang w:eastAsia="es-CO"/>
              </w:rPr>
              <m:t>Px</m:t>
            </m:r>
          </m:e>
          <m:sub>
            <m:r>
              <m:rPr>
                <m:sty m:val="b"/>
              </m:rPr>
              <w:rPr>
                <w:rFonts w:ascii="Cambria Math" w:hAnsi="Cambria Math" w:cs="Arial"/>
                <w:color w:val="000000" w:themeColor="text1"/>
                <w:lang w:eastAsia="es-CO"/>
              </w:rPr>
              <m:t>1</m:t>
            </m:r>
          </m:sub>
        </m:sSub>
      </m:oMath>
      <w:r w:rsidRPr="002C0D19">
        <w:rPr>
          <w:rFonts w:ascii="Arial Narrow" w:hAnsi="Arial Narrow" w:cs="Arial"/>
          <w:color w:val="000000" w:themeColor="text1"/>
          <w:lang w:eastAsia="es-CO"/>
        </w:rPr>
        <w:t>) y no existe ningún otro Ultimo precio para cualquier otro vencimiento (</w:t>
      </w:r>
      <m:oMath>
        <m:sSub>
          <m:sSubPr>
            <m:ctrlPr>
              <w:rPr>
                <w:rFonts w:ascii="Cambria Math" w:hAnsi="Cambria Math" w:cs="Arial"/>
                <w:color w:val="000000" w:themeColor="text1"/>
                <w:lang w:eastAsia="es-CO"/>
              </w:rPr>
            </m:ctrlPr>
          </m:sSubPr>
          <m:e>
            <m:r>
              <m:rPr>
                <m:sty m:val="bi"/>
              </m:rPr>
              <w:rPr>
                <w:rFonts w:ascii="Cambria Math" w:hAnsi="Cambria Math" w:cs="Arial"/>
                <w:color w:val="000000" w:themeColor="text1"/>
                <w:lang w:eastAsia="es-CO"/>
              </w:rPr>
              <m:t>UPx</m:t>
            </m:r>
          </m:e>
          <m:sub>
            <m:r>
              <m:rPr>
                <m:sty m:val="bi"/>
              </m:rPr>
              <w:rPr>
                <w:rFonts w:ascii="Cambria Math" w:hAnsi="Cambria Math" w:cs="Arial"/>
                <w:color w:val="000000" w:themeColor="text1"/>
                <w:lang w:eastAsia="es-CO"/>
              </w:rPr>
              <m:t>i</m:t>
            </m:r>
            <m:r>
              <m:rPr>
                <m:sty m:val="b"/>
              </m:rPr>
              <w:rPr>
                <w:rFonts w:ascii="Cambria Math" w:hAnsi="Cambria Math" w:cs="Arial"/>
                <w:color w:val="000000" w:themeColor="text1"/>
                <w:lang w:eastAsia="es-CO"/>
              </w:rPr>
              <m:t>≠1</m:t>
            </m:r>
          </m:sub>
        </m:sSub>
      </m:oMath>
      <w:r w:rsidRPr="002C0D19">
        <w:rPr>
          <w:rFonts w:ascii="Arial Narrow" w:hAnsi="Arial Narrow" w:cs="Arial"/>
          <w:color w:val="000000" w:themeColor="text1"/>
          <w:lang w:eastAsia="es-CO"/>
        </w:rPr>
        <w:t xml:space="preserve">) del Activo o Activo objeto de la Operación compensada y liquidada por la Cámara </w:t>
      </w:r>
      <m:oMath>
        <m:r>
          <m:rPr>
            <m:sty m:val="bi"/>
          </m:rPr>
          <w:rPr>
            <w:rFonts w:ascii="Cambria Math" w:hAnsi="Cambria Math" w:cs="Arial"/>
            <w:color w:val="000000" w:themeColor="text1"/>
            <w:lang w:eastAsia="es-CO"/>
          </w:rPr>
          <m:t>X</m:t>
        </m:r>
      </m:oMath>
      <w:r w:rsidRPr="002C0D19">
        <w:rPr>
          <w:rFonts w:ascii="Arial Narrow" w:hAnsi="Arial Narrow" w:cs="Arial"/>
          <w:color w:val="000000" w:themeColor="text1"/>
          <w:lang w:eastAsia="es-CO"/>
        </w:rPr>
        <w:t xml:space="preserve"> entonces:</w:t>
      </w:r>
    </w:p>
    <w:p w14:paraId="6815E665" w14:textId="77777777" w:rsidR="007968EC" w:rsidRPr="002C0D19" w:rsidRDefault="007968EC" w:rsidP="007968EC">
      <w:pPr>
        <w:ind w:left="851"/>
        <w:jc w:val="both"/>
        <w:rPr>
          <w:rFonts w:ascii="Arial Narrow" w:hAnsi="Arial Narrow" w:cs="Arial"/>
          <w:color w:val="000000" w:themeColor="text1"/>
          <w:lang w:eastAsia="es-CO"/>
        </w:rPr>
      </w:pPr>
    </w:p>
    <w:p w14:paraId="2B34B252" w14:textId="77777777" w:rsidR="007968EC" w:rsidRPr="002C0D19" w:rsidRDefault="007968EC" w:rsidP="007968EC">
      <w:pPr>
        <w:ind w:left="1560"/>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Para el primer vencimiento </w:t>
      </w: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x</m:t>
            </m:r>
          </m:e>
          <m:sub>
            <m:r>
              <m:rPr>
                <m:sty m:val="b"/>
              </m:rPr>
              <w:rPr>
                <w:rFonts w:ascii="Cambria Math" w:hAnsi="Cambria Math" w:cs="Arial"/>
                <w:color w:val="000000" w:themeColor="text1"/>
                <w:lang w:eastAsia="es-CO"/>
              </w:rPr>
              <m:t>1</m:t>
            </m:r>
          </m:sub>
        </m:sSub>
        <m:r>
          <m:rPr>
            <m:sty m:val="b"/>
          </m:rPr>
          <w:rPr>
            <w:rFonts w:ascii="Cambria Math" w:hAnsi="Cambria Math" w:cs="Arial"/>
            <w:color w:val="000000" w:themeColor="text1"/>
            <w:lang w:eastAsia="es-CO"/>
          </w:rPr>
          <m:t>,</m:t>
        </m:r>
      </m:oMath>
      <w:r w:rsidRPr="002C0D19">
        <w:rPr>
          <w:rFonts w:ascii="Arial Narrow" w:hAnsi="Arial Narrow" w:cs="Arial"/>
          <w:color w:val="000000" w:themeColor="text1"/>
          <w:lang w:eastAsia="es-CO"/>
        </w:rPr>
        <w:t xml:space="preserve"> el Precio de Margin Call se determina con la siguiente expresión:</w:t>
      </w:r>
    </w:p>
    <w:p w14:paraId="1FA9B069" w14:textId="77777777" w:rsidR="007968EC" w:rsidRPr="002C0D19" w:rsidRDefault="007968EC" w:rsidP="007968EC">
      <w:pPr>
        <w:ind w:left="851"/>
        <w:jc w:val="both"/>
        <w:rPr>
          <w:rFonts w:ascii="Arial Narrow" w:hAnsi="Arial Narrow" w:cs="Arial"/>
          <w:color w:val="000000" w:themeColor="text1"/>
          <w:lang w:eastAsia="es-CO"/>
        </w:rPr>
      </w:pPr>
    </w:p>
    <w:p w14:paraId="4BE15D99" w14:textId="77777777" w:rsidR="007968EC" w:rsidRPr="002C0D19" w:rsidRDefault="007968EC" w:rsidP="007968EC">
      <w:pPr>
        <w:ind w:left="851"/>
        <w:jc w:val="center"/>
        <w:rPr>
          <w:rFonts w:ascii="Arial Narrow" w:hAnsi="Arial Narrow" w:cs="Arial"/>
          <w:color w:val="000000" w:themeColor="text1"/>
          <w:lang w:eastAsia="es-CO"/>
        </w:rPr>
      </w:pPr>
      <m:oMathPara>
        <m:oMath>
          <m:r>
            <m:rPr>
              <m:sty m:val="b"/>
            </m:rPr>
            <w:rPr>
              <w:rFonts w:ascii="Cambria Math" w:hAnsi="Cambria Math" w:cs="Arial"/>
              <w:color w:val="000000" w:themeColor="text1"/>
              <w:lang w:eastAsia="es-CO"/>
            </w:rPr>
            <m:t>UP</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x</m:t>
              </m:r>
            </m:e>
            <m:sub>
              <m:r>
                <m:rPr>
                  <m:sty m:val="b"/>
                </m:rPr>
                <w:rPr>
                  <w:rFonts w:ascii="Cambria Math" w:hAnsi="Cambria Math" w:cs="Arial"/>
                  <w:color w:val="000000" w:themeColor="text1"/>
                  <w:lang w:eastAsia="es-CO"/>
                </w:rPr>
                <m:t>1</m:t>
              </m:r>
            </m:sub>
          </m:sSub>
          <m:r>
            <m:rPr>
              <m:sty m:val="b"/>
            </m:rPr>
            <w:rPr>
              <w:rFonts w:ascii="Cambria Math" w:hAnsi="Cambria Math" w:cs="Arial"/>
              <w:color w:val="000000" w:themeColor="text1"/>
              <w:lang w:eastAsia="es-CO"/>
            </w:rPr>
            <m:t>=PMC</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x</m:t>
              </m:r>
            </m:e>
            <m:sub>
              <m:r>
                <m:rPr>
                  <m:sty m:val="b"/>
                </m:rPr>
                <w:rPr>
                  <w:rFonts w:ascii="Cambria Math" w:hAnsi="Cambria Math" w:cs="Arial"/>
                  <w:color w:val="000000" w:themeColor="text1"/>
                  <w:lang w:eastAsia="es-CO"/>
                </w:rPr>
                <m:t>1</m:t>
              </m:r>
            </m:sub>
          </m:sSub>
        </m:oMath>
      </m:oMathPara>
    </w:p>
    <w:p w14:paraId="1FD08BED" w14:textId="77777777" w:rsidR="007968EC" w:rsidRPr="002C0D19" w:rsidRDefault="007968EC" w:rsidP="007968EC">
      <w:pPr>
        <w:ind w:left="1418"/>
        <w:jc w:val="both"/>
        <w:rPr>
          <w:rFonts w:ascii="Arial Narrow" w:hAnsi="Arial Narrow" w:cs="Arial"/>
          <w:color w:val="000000" w:themeColor="text1"/>
          <w:lang w:eastAsia="es-CO"/>
        </w:rPr>
      </w:pPr>
    </w:p>
    <w:p w14:paraId="1E94D8AB" w14:textId="77777777" w:rsidR="007968EC" w:rsidRPr="002C0D19" w:rsidRDefault="007968EC" w:rsidP="007968EC">
      <w:pPr>
        <w:ind w:left="1560"/>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Para los demás vencimientos </w:t>
      </w: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x</m:t>
            </m:r>
          </m:e>
          <m:sub>
            <m:r>
              <m:rPr>
                <m:sty m:val="b"/>
              </m:rPr>
              <w:rPr>
                <w:rFonts w:ascii="Cambria Math" w:hAnsi="Cambria Math" w:cs="Arial"/>
                <w:color w:val="000000" w:themeColor="text1"/>
                <w:lang w:eastAsia="es-CO"/>
              </w:rPr>
              <m:t>i≠1</m:t>
            </m:r>
          </m:sub>
        </m:sSub>
      </m:oMath>
      <w:r w:rsidRPr="002C0D19">
        <w:rPr>
          <w:rFonts w:ascii="Arial Narrow" w:hAnsi="Arial Narrow" w:cs="Arial"/>
          <w:color w:val="000000" w:themeColor="text1"/>
          <w:lang w:eastAsia="es-CO"/>
        </w:rPr>
        <w:t>, el Precio de Margin Call se determina mediante la siguiente           expresión:</w:t>
      </w:r>
    </w:p>
    <w:p w14:paraId="4F48DC3B" w14:textId="77777777" w:rsidR="007968EC" w:rsidRPr="002C0D19" w:rsidRDefault="007968EC" w:rsidP="007968EC">
      <w:pPr>
        <w:ind w:left="851"/>
        <w:jc w:val="both"/>
        <w:rPr>
          <w:rFonts w:ascii="Arial Narrow" w:hAnsi="Arial Narrow" w:cs="Arial"/>
          <w:color w:val="000000" w:themeColor="text1"/>
          <w:lang w:eastAsia="es-CO"/>
        </w:rPr>
      </w:pPr>
    </w:p>
    <w:p w14:paraId="3935A18B" w14:textId="77777777" w:rsidR="007968EC" w:rsidRPr="002C0D19" w:rsidRDefault="007968EC" w:rsidP="007968EC">
      <w:pPr>
        <w:ind w:left="851"/>
        <w:jc w:val="center"/>
        <w:rPr>
          <w:rFonts w:ascii="Arial Narrow" w:hAnsi="Arial Narrow" w:cs="Arial"/>
          <w:color w:val="000000" w:themeColor="text1"/>
          <w:lang w:eastAsia="es-CO"/>
        </w:rPr>
      </w:pPr>
      <m:oMathPara>
        <m:oMath>
          <m:r>
            <m:rPr>
              <m:sty m:val="b"/>
            </m:rPr>
            <w:rPr>
              <w:rFonts w:ascii="Cambria Math" w:hAnsi="Cambria Math" w:cs="Arial"/>
              <w:color w:val="000000" w:themeColor="text1"/>
              <w:lang w:eastAsia="es-CO"/>
            </w:rPr>
            <m:t>PMC</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x</m:t>
              </m:r>
            </m:e>
            <m:sub>
              <m:r>
                <m:rPr>
                  <m:sty m:val="b"/>
                </m:rPr>
                <w:rPr>
                  <w:rFonts w:ascii="Cambria Math" w:hAnsi="Cambria Math" w:cs="Arial"/>
                  <w:color w:val="000000" w:themeColor="text1"/>
                  <w:lang w:eastAsia="es-CO"/>
                </w:rPr>
                <m:t>i≠1</m:t>
              </m:r>
            </m:sub>
          </m:sSub>
          <m:r>
            <m:rPr>
              <m:sty m:val="b"/>
            </m:rPr>
            <w:rPr>
              <w:rFonts w:ascii="Cambria Math" w:hAnsi="Cambria Math" w:cs="Arial"/>
              <w:color w:val="000000" w:themeColor="text1"/>
              <w:lang w:eastAsia="es-CO"/>
            </w:rPr>
            <m:t>=U</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Px</m:t>
              </m:r>
            </m:e>
            <m:sub>
              <m:r>
                <m:rPr>
                  <m:sty m:val="b"/>
                </m:rPr>
                <w:rPr>
                  <w:rFonts w:ascii="Cambria Math" w:hAnsi="Cambria Math" w:cs="Arial"/>
                  <w:color w:val="000000" w:themeColor="text1"/>
                  <w:lang w:eastAsia="es-CO"/>
                </w:rPr>
                <m:t>1</m:t>
              </m:r>
            </m:sub>
          </m:sSub>
          <m:r>
            <m:rPr>
              <m:sty m:val="b"/>
            </m:rPr>
            <w:rPr>
              <w:rFonts w:ascii="Cambria Math" w:hAnsi="Cambria Math" w:cs="Arial"/>
              <w:color w:val="000000" w:themeColor="text1"/>
              <w:lang w:eastAsia="es-CO"/>
            </w:rPr>
            <m:t>+</m:t>
          </m:r>
          <m:d>
            <m:dPr>
              <m:ctrlPr>
                <w:rPr>
                  <w:rFonts w:ascii="Cambria Math" w:hAnsi="Cambria Math" w:cs="Arial"/>
                  <w:color w:val="000000" w:themeColor="text1"/>
                  <w:lang w:eastAsia="es-CO"/>
                </w:rPr>
              </m:ctrlPr>
            </m:dPr>
            <m:e>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PLCx</m:t>
                  </m:r>
                </m:e>
                <m:sub>
                  <m:r>
                    <m:rPr>
                      <m:sty m:val="b"/>
                    </m:rPr>
                    <w:rPr>
                      <w:rFonts w:ascii="Cambria Math" w:hAnsi="Cambria Math" w:cs="Arial"/>
                      <w:color w:val="000000" w:themeColor="text1"/>
                      <w:lang w:eastAsia="es-CO"/>
                    </w:rPr>
                    <m:t>i≠1 (t-1)</m:t>
                  </m:r>
                </m:sub>
              </m:sSub>
              <m:r>
                <m:rPr>
                  <m:sty m:val="b"/>
                </m:rPr>
                <w:rPr>
                  <w:rFonts w:ascii="Cambria Math" w:hAnsi="Cambria Math" w:cs="Arial"/>
                  <w:color w:val="000000" w:themeColor="text1"/>
                  <w:lang w:eastAsia="es-CO"/>
                </w:rPr>
                <m:t>-</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PLCx</m:t>
                  </m:r>
                </m:e>
                <m:sub>
                  <m:r>
                    <m:rPr>
                      <m:sty m:val="b"/>
                    </m:rPr>
                    <w:rPr>
                      <w:rFonts w:ascii="Cambria Math" w:hAnsi="Cambria Math" w:cs="Arial"/>
                      <w:color w:val="000000" w:themeColor="text1"/>
                      <w:lang w:eastAsia="es-CO"/>
                    </w:rPr>
                    <m:t>1 (t-1)</m:t>
                  </m:r>
                </m:sub>
              </m:sSub>
            </m:e>
          </m:d>
        </m:oMath>
      </m:oMathPara>
    </w:p>
    <w:p w14:paraId="598330BB" w14:textId="77777777" w:rsidR="007968EC" w:rsidRPr="002C0D19" w:rsidRDefault="007968EC" w:rsidP="007968EC">
      <w:pPr>
        <w:ind w:left="851"/>
        <w:jc w:val="both"/>
        <w:rPr>
          <w:rFonts w:ascii="Arial Narrow" w:hAnsi="Arial Narrow" w:cs="Arial"/>
          <w:color w:val="000000" w:themeColor="text1"/>
          <w:lang w:eastAsia="es-CO"/>
        </w:rPr>
      </w:pPr>
    </w:p>
    <w:p w14:paraId="18F14A9B" w14:textId="77777777" w:rsidR="007968EC" w:rsidRPr="002C0D19" w:rsidRDefault="007968EC" w:rsidP="007968EC">
      <w:pPr>
        <w:ind w:left="1560"/>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Donde:</w:t>
      </w:r>
    </w:p>
    <w:p w14:paraId="7BC7D986" w14:textId="77777777" w:rsidR="007968EC" w:rsidRPr="002C0D19" w:rsidRDefault="007968EC" w:rsidP="007968EC">
      <w:pPr>
        <w:ind w:left="993"/>
        <w:jc w:val="both"/>
        <w:rPr>
          <w:rFonts w:ascii="Arial Narrow" w:hAnsi="Arial Narrow" w:cs="Arial"/>
          <w:color w:val="000000" w:themeColor="text1"/>
          <w:lang w:eastAsia="es-CO"/>
        </w:rPr>
      </w:pPr>
    </w:p>
    <w:p w14:paraId="3CF0D2E1" w14:textId="77777777" w:rsidR="007968EC" w:rsidRPr="002C0D19" w:rsidRDefault="00682D97" w:rsidP="007968EC">
      <w:pPr>
        <w:ind w:left="1560"/>
        <w:jc w:val="both"/>
        <w:rPr>
          <w:rFonts w:ascii="Arial Narrow" w:hAnsi="Arial Narrow" w:cs="Arial"/>
          <w:color w:val="000000" w:themeColor="text1"/>
          <w:lang w:eastAsia="es-CO"/>
        </w:rPr>
      </w:pP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PLCx</m:t>
            </m:r>
          </m:e>
          <m:sub>
            <m:r>
              <m:rPr>
                <m:sty m:val="b"/>
              </m:rPr>
              <w:rPr>
                <w:rFonts w:ascii="Cambria Math" w:hAnsi="Cambria Math" w:cs="Arial"/>
                <w:color w:val="000000" w:themeColor="text1"/>
                <w:lang w:eastAsia="es-CO"/>
              </w:rPr>
              <m:t>i≠1 (t-1)</m:t>
            </m:r>
          </m:sub>
        </m:sSub>
      </m:oMath>
      <w:r w:rsidR="007968EC" w:rsidRPr="002C0D19">
        <w:rPr>
          <w:rFonts w:ascii="Arial Narrow" w:hAnsi="Arial Narrow" w:cs="Arial"/>
          <w:color w:val="000000" w:themeColor="text1"/>
          <w:lang w:eastAsia="es-CO"/>
        </w:rPr>
        <w:t xml:space="preserve">: Precio de Liquidación para Contratos según el procedimiento de cálculo de Garantías por Posición según el Modelo MEFFCOM2, para cualquier vencimiento diferente al primero </w:t>
      </w: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x</m:t>
            </m:r>
          </m:e>
          <m:sub>
            <m:r>
              <m:rPr>
                <m:sty m:val="b"/>
              </m:rPr>
              <w:rPr>
                <w:rFonts w:ascii="Cambria Math" w:hAnsi="Cambria Math" w:cs="Arial"/>
                <w:color w:val="000000" w:themeColor="text1"/>
                <w:lang w:eastAsia="es-CO"/>
              </w:rPr>
              <m:t>i≠1</m:t>
            </m:r>
          </m:sub>
        </m:sSub>
      </m:oMath>
      <w:r w:rsidR="007968EC" w:rsidRPr="002C0D19">
        <w:rPr>
          <w:rFonts w:ascii="Arial Narrow" w:hAnsi="Arial Narrow" w:cs="Arial"/>
          <w:color w:val="000000" w:themeColor="text1"/>
          <w:lang w:eastAsia="es-CO"/>
        </w:rPr>
        <w:t xml:space="preserve">, utilizado por la Cámara en la Sesión de Cierre del día anterior. </w:t>
      </w:r>
    </w:p>
    <w:p w14:paraId="7DD6DC79" w14:textId="77777777" w:rsidR="007968EC" w:rsidRPr="002C0D19" w:rsidRDefault="00682D97" w:rsidP="007968EC">
      <w:pPr>
        <w:ind w:left="1560"/>
        <w:jc w:val="both"/>
        <w:rPr>
          <w:rFonts w:ascii="Arial Narrow" w:hAnsi="Arial Narrow" w:cs="Arial"/>
          <w:color w:val="000000" w:themeColor="text1"/>
          <w:lang w:eastAsia="es-CO"/>
        </w:rPr>
      </w:pP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PLCx</m:t>
            </m:r>
          </m:e>
          <m:sub>
            <m:r>
              <m:rPr>
                <m:sty m:val="b"/>
              </m:rPr>
              <w:rPr>
                <w:rFonts w:ascii="Cambria Math" w:hAnsi="Cambria Math" w:cs="Arial"/>
                <w:color w:val="000000" w:themeColor="text1"/>
                <w:lang w:eastAsia="es-CO"/>
              </w:rPr>
              <m:t>1 (t-1)</m:t>
            </m:r>
          </m:sub>
        </m:sSub>
      </m:oMath>
      <w:r w:rsidR="007968EC" w:rsidRPr="002C0D19">
        <w:rPr>
          <w:rFonts w:ascii="Arial Narrow" w:hAnsi="Arial Narrow" w:cs="Arial"/>
          <w:color w:val="000000" w:themeColor="text1"/>
          <w:lang w:eastAsia="es-CO"/>
        </w:rPr>
        <w:t xml:space="preserve">: Precio de Liquidación para Contratos según el procedimiento de cálculo de Garantías por Posición según el Modelo MEFFCOM2, para el primer vencimiento </w:t>
      </w: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x</m:t>
            </m:r>
          </m:e>
          <m:sub>
            <m:r>
              <m:rPr>
                <m:sty m:val="b"/>
              </m:rPr>
              <w:rPr>
                <w:rFonts w:ascii="Cambria Math" w:hAnsi="Cambria Math" w:cs="Arial"/>
                <w:color w:val="000000" w:themeColor="text1"/>
                <w:lang w:eastAsia="es-CO"/>
              </w:rPr>
              <m:t>1</m:t>
            </m:r>
          </m:sub>
        </m:sSub>
      </m:oMath>
      <w:r w:rsidR="007968EC" w:rsidRPr="002C0D19">
        <w:rPr>
          <w:rFonts w:ascii="Arial Narrow" w:hAnsi="Arial Narrow" w:cs="Arial"/>
          <w:color w:val="000000" w:themeColor="text1"/>
          <w:lang w:eastAsia="es-CO"/>
        </w:rPr>
        <w:t xml:space="preserve">, utilizado por la Cámara en la Sesión de Cierre del día anterior. </w:t>
      </w:r>
    </w:p>
    <w:p w14:paraId="36D50CE3" w14:textId="77777777" w:rsidR="007968EC" w:rsidRPr="002C0D19" w:rsidRDefault="007968EC" w:rsidP="007968EC">
      <w:pPr>
        <w:ind w:left="851"/>
        <w:jc w:val="both"/>
        <w:rPr>
          <w:rFonts w:ascii="Arial Narrow" w:hAnsi="Arial Narrow" w:cs="Arial"/>
          <w:color w:val="000000" w:themeColor="text1"/>
          <w:lang w:eastAsia="es-CO"/>
        </w:rPr>
      </w:pPr>
    </w:p>
    <w:p w14:paraId="265C2EEB" w14:textId="77777777" w:rsidR="007968EC" w:rsidRPr="002C0D19" w:rsidRDefault="007968EC" w:rsidP="00DA7472">
      <w:pPr>
        <w:numPr>
          <w:ilvl w:val="0"/>
          <w:numId w:val="259"/>
        </w:numPr>
        <w:ind w:left="1560"/>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Si además del </w:t>
      </w:r>
      <m:oMath>
        <m:r>
          <m:rPr>
            <m:sty m:val="b"/>
          </m:rPr>
          <w:rPr>
            <w:rFonts w:ascii="Cambria Math" w:hAnsi="Cambria Math" w:cs="Arial"/>
            <w:color w:val="000000" w:themeColor="text1"/>
            <w:lang w:eastAsia="es-CO"/>
          </w:rPr>
          <m:t>U</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Px</m:t>
            </m:r>
          </m:e>
          <m:sub>
            <m:r>
              <m:rPr>
                <m:sty m:val="b"/>
              </m:rPr>
              <w:rPr>
                <w:rFonts w:ascii="Cambria Math" w:hAnsi="Cambria Math" w:cs="Arial"/>
                <w:color w:val="000000" w:themeColor="text1"/>
                <w:lang w:eastAsia="es-CO"/>
              </w:rPr>
              <m:t>1</m:t>
            </m:r>
          </m:sub>
        </m:sSub>
      </m:oMath>
      <w:r w:rsidRPr="002C0D19">
        <w:rPr>
          <w:rFonts w:ascii="Arial Narrow" w:hAnsi="Arial Narrow" w:cs="Arial"/>
          <w:color w:val="000000" w:themeColor="text1"/>
          <w:lang w:eastAsia="es-CO"/>
        </w:rPr>
        <w:t xml:space="preserve"> existe otro </w:t>
      </w: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UPx</m:t>
            </m:r>
          </m:e>
          <m:sub>
            <m:r>
              <m:rPr>
                <m:sty m:val="b"/>
              </m:rPr>
              <w:rPr>
                <w:rFonts w:ascii="Cambria Math" w:hAnsi="Cambria Math" w:cs="Arial"/>
                <w:color w:val="000000" w:themeColor="text1"/>
                <w:lang w:eastAsia="es-CO"/>
              </w:rPr>
              <m:t>i≠1</m:t>
            </m:r>
          </m:sub>
        </m:sSub>
      </m:oMath>
      <w:r w:rsidRPr="002C0D19">
        <w:rPr>
          <w:rFonts w:ascii="Arial Narrow" w:hAnsi="Arial Narrow" w:cs="Arial"/>
          <w:color w:val="000000" w:themeColor="text1"/>
          <w:lang w:eastAsia="es-CO"/>
        </w:rPr>
        <w:t xml:space="preserve"> para otros vencimientos diferentes al primero, para el Activo o Activo objeto de la Operación compensada y liquidada por la Cámara </w:t>
      </w:r>
      <m:oMath>
        <m:r>
          <m:rPr>
            <m:sty m:val="b"/>
          </m:rPr>
          <w:rPr>
            <w:rFonts w:ascii="Cambria Math" w:hAnsi="Cambria Math" w:cs="Arial"/>
            <w:color w:val="000000" w:themeColor="text1"/>
            <w:lang w:eastAsia="es-CO"/>
          </w:rPr>
          <m:t>X</m:t>
        </m:r>
      </m:oMath>
      <w:r w:rsidRPr="002C0D19">
        <w:rPr>
          <w:rFonts w:ascii="Arial Narrow" w:hAnsi="Arial Narrow" w:cs="Arial"/>
          <w:color w:val="000000" w:themeColor="text1"/>
          <w:lang w:eastAsia="es-CO"/>
        </w:rPr>
        <w:t xml:space="preserve">, la Cámara establecerá el más reciente de todos los </w:t>
      </w: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UP</m:t>
            </m:r>
          </m:e>
          <m:sub>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x</m:t>
                </m:r>
              </m:e>
              <m:sub>
                <m:r>
                  <m:rPr>
                    <m:sty m:val="b"/>
                  </m:rPr>
                  <w:rPr>
                    <w:rFonts w:ascii="Cambria Math" w:hAnsi="Cambria Math" w:cs="Arial"/>
                    <w:color w:val="000000" w:themeColor="text1"/>
                    <w:lang w:eastAsia="es-CO"/>
                  </w:rPr>
                  <m:t>i</m:t>
                </m:r>
              </m:sub>
            </m:sSub>
          </m:sub>
        </m:sSub>
      </m:oMath>
      <w:r w:rsidRPr="002C0D19">
        <w:rPr>
          <w:rFonts w:ascii="Arial Narrow" w:hAnsi="Arial Narrow" w:cs="Arial"/>
          <w:color w:val="000000" w:themeColor="text1"/>
          <w:lang w:eastAsia="es-CO"/>
        </w:rPr>
        <w:t xml:space="preserve"> (incluyendo a</w:t>
      </w:r>
      <m:oMath>
        <m:r>
          <m:rPr>
            <m:sty m:val="b"/>
          </m:rPr>
          <w:rPr>
            <w:rFonts w:ascii="Cambria Math" w:hAnsi="Cambria Math" w:cs="Arial"/>
            <w:color w:val="000000" w:themeColor="text1"/>
            <w:lang w:eastAsia="es-CO"/>
          </w:rPr>
          <m:t xml:space="preserve"> U</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Px</m:t>
            </m:r>
          </m:e>
          <m:sub>
            <m:r>
              <m:rPr>
                <m:sty m:val="b"/>
              </m:rPr>
              <w:rPr>
                <w:rFonts w:ascii="Cambria Math" w:hAnsi="Cambria Math" w:cs="Arial"/>
                <w:color w:val="000000" w:themeColor="text1"/>
                <w:lang w:eastAsia="es-CO"/>
              </w:rPr>
              <m:t>1</m:t>
            </m:r>
          </m:sub>
        </m:sSub>
      </m:oMath>
      <w:r w:rsidRPr="002C0D19">
        <w:rPr>
          <w:rFonts w:ascii="Arial Narrow" w:hAnsi="Arial Narrow" w:cs="Arial"/>
          <w:color w:val="000000" w:themeColor="text1"/>
          <w:lang w:eastAsia="es-CO"/>
        </w:rPr>
        <w:t xml:space="preserve">) que se denomina </w:t>
      </w: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UP</m:t>
            </m:r>
          </m:e>
          <m:sub>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x</m:t>
                </m:r>
              </m:e>
              <m:sub>
                <m:r>
                  <m:rPr>
                    <m:sty m:val="b"/>
                  </m:rPr>
                  <w:rPr>
                    <w:rFonts w:ascii="Cambria Math" w:hAnsi="Cambria Math" w:cs="Arial"/>
                    <w:color w:val="000000" w:themeColor="text1"/>
                    <w:lang w:eastAsia="es-CO"/>
                  </w:rPr>
                  <m:t>r</m:t>
                </m:r>
              </m:sub>
            </m:sSub>
          </m:sub>
        </m:sSub>
        <m:r>
          <m:rPr>
            <m:sty m:val="b"/>
          </m:rPr>
          <w:rPr>
            <w:rFonts w:ascii="Cambria Math" w:hAnsi="Cambria Math" w:cs="Arial"/>
            <w:color w:val="000000" w:themeColor="text1"/>
            <w:lang w:eastAsia="es-CO"/>
          </w:rPr>
          <m:t xml:space="preserve"> </m:t>
        </m:r>
      </m:oMath>
      <w:r w:rsidRPr="002C0D19">
        <w:rPr>
          <w:rFonts w:ascii="Arial Narrow" w:hAnsi="Arial Narrow" w:cs="Arial"/>
          <w:color w:val="000000" w:themeColor="text1"/>
          <w:lang w:eastAsia="es-CO"/>
        </w:rPr>
        <w:t>para aplicar la siguiente condición:</w:t>
      </w:r>
    </w:p>
    <w:p w14:paraId="3980A7AB" w14:textId="77777777" w:rsidR="007968EC" w:rsidRPr="002C0D19" w:rsidRDefault="007968EC" w:rsidP="007968EC">
      <w:pPr>
        <w:ind w:left="851"/>
        <w:jc w:val="both"/>
        <w:rPr>
          <w:rFonts w:ascii="Arial Narrow" w:hAnsi="Arial Narrow" w:cs="Arial"/>
          <w:color w:val="000000" w:themeColor="text1"/>
          <w:lang w:eastAsia="es-CO"/>
        </w:rPr>
      </w:pPr>
    </w:p>
    <w:p w14:paraId="17AD0ABD" w14:textId="77777777" w:rsidR="007968EC" w:rsidRPr="002C0D19" w:rsidRDefault="007968EC" w:rsidP="007968EC">
      <w:pPr>
        <w:ind w:left="1560"/>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Para todo vencimiento </w:t>
      </w: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x</m:t>
            </m:r>
          </m:e>
          <m:sub>
            <m:r>
              <m:rPr>
                <m:sty m:val="b"/>
              </m:rPr>
              <w:rPr>
                <w:rFonts w:ascii="Cambria Math" w:hAnsi="Cambria Math" w:cs="Arial"/>
                <w:color w:val="000000" w:themeColor="text1"/>
                <w:lang w:eastAsia="es-CO"/>
              </w:rPr>
              <m:t>i</m:t>
            </m:r>
          </m:sub>
        </m:sSub>
      </m:oMath>
      <w:r w:rsidRPr="002C0D19">
        <w:rPr>
          <w:rFonts w:ascii="Arial Narrow" w:hAnsi="Arial Narrow" w:cs="Arial"/>
          <w:color w:val="000000" w:themeColor="text1"/>
          <w:lang w:eastAsia="es-CO"/>
        </w:rPr>
        <w:t xml:space="preserve"> (incluyendo a </w:t>
      </w: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x</m:t>
            </m:r>
          </m:e>
          <m:sub>
            <m:r>
              <m:rPr>
                <m:sty m:val="b"/>
              </m:rPr>
              <w:rPr>
                <w:rFonts w:ascii="Cambria Math" w:hAnsi="Cambria Math" w:cs="Arial"/>
                <w:color w:val="000000" w:themeColor="text1"/>
                <w:lang w:eastAsia="es-CO"/>
              </w:rPr>
              <m:t>1</m:t>
            </m:r>
          </m:sub>
        </m:sSub>
      </m:oMath>
      <w:r w:rsidRPr="002C0D19">
        <w:rPr>
          <w:rFonts w:ascii="Arial Narrow" w:hAnsi="Arial Narrow" w:cs="Arial"/>
          <w:color w:val="000000" w:themeColor="text1"/>
          <w:lang w:eastAsia="es-CO"/>
        </w:rPr>
        <w:t xml:space="preserve">), entonces, </w:t>
      </w:r>
    </w:p>
    <w:p w14:paraId="6481B04D" w14:textId="77777777" w:rsidR="007968EC" w:rsidRPr="002C0D19" w:rsidRDefault="007968EC" w:rsidP="007968EC">
      <w:pPr>
        <w:ind w:left="851"/>
        <w:jc w:val="center"/>
        <w:rPr>
          <w:rFonts w:ascii="Arial Narrow" w:hAnsi="Arial Narrow" w:cs="Arial"/>
          <w:color w:val="000000" w:themeColor="text1"/>
          <w:lang w:eastAsia="es-CO"/>
        </w:rPr>
      </w:pPr>
    </w:p>
    <w:p w14:paraId="5E556A4A" w14:textId="77777777" w:rsidR="007968EC" w:rsidRPr="002C0D19" w:rsidRDefault="007968EC" w:rsidP="007968EC">
      <w:pPr>
        <w:ind w:left="851"/>
        <w:jc w:val="center"/>
        <w:rPr>
          <w:rFonts w:ascii="Arial Narrow" w:hAnsi="Arial Narrow" w:cs="Arial"/>
          <w:color w:val="000000" w:themeColor="text1"/>
          <w:lang w:eastAsia="es-CO"/>
        </w:rPr>
      </w:pPr>
      <m:oMathPara>
        <m:oMath>
          <m:r>
            <m:rPr>
              <m:sty m:val="b"/>
            </m:rPr>
            <w:rPr>
              <w:rFonts w:ascii="Cambria Math" w:hAnsi="Cambria Math" w:cs="Arial"/>
              <w:color w:val="000000" w:themeColor="text1"/>
              <w:lang w:eastAsia="es-CO"/>
            </w:rPr>
            <m:t>PMC</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x</m:t>
              </m:r>
            </m:e>
            <m:sub>
              <m:r>
                <m:rPr>
                  <m:sty m:val="b"/>
                </m:rPr>
                <w:rPr>
                  <w:rFonts w:ascii="Cambria Math" w:hAnsi="Cambria Math" w:cs="Arial"/>
                  <w:color w:val="000000" w:themeColor="text1"/>
                  <w:lang w:eastAsia="es-CO"/>
                </w:rPr>
                <m:t>i</m:t>
              </m:r>
            </m:sub>
          </m:sSub>
          <m:r>
            <m:rPr>
              <m:sty m:val="b"/>
            </m:rPr>
            <w:rPr>
              <w:rFonts w:ascii="Cambria Math" w:hAnsi="Cambria Math" w:cs="Arial"/>
              <w:color w:val="000000" w:themeColor="text1"/>
              <w:lang w:eastAsia="es-CO"/>
            </w:rPr>
            <m:t>=PLC</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x</m:t>
              </m:r>
            </m:e>
            <m:sub>
              <m:r>
                <m:rPr>
                  <m:sty m:val="b"/>
                </m:rPr>
                <w:rPr>
                  <w:rFonts w:ascii="Cambria Math" w:hAnsi="Cambria Math" w:cs="Arial"/>
                  <w:color w:val="000000" w:themeColor="text1"/>
                  <w:lang w:eastAsia="es-CO"/>
                </w:rPr>
                <m:t>i</m:t>
              </m:r>
              <m:d>
                <m:dPr>
                  <m:ctrlPr>
                    <w:rPr>
                      <w:rFonts w:ascii="Cambria Math" w:hAnsi="Cambria Math" w:cs="Arial"/>
                      <w:color w:val="000000" w:themeColor="text1"/>
                      <w:lang w:eastAsia="es-CO"/>
                    </w:rPr>
                  </m:ctrlPr>
                </m:dPr>
                <m:e>
                  <m:r>
                    <m:rPr>
                      <m:sty m:val="b"/>
                    </m:rPr>
                    <w:rPr>
                      <w:rFonts w:ascii="Cambria Math" w:hAnsi="Cambria Math" w:cs="Arial"/>
                      <w:color w:val="000000" w:themeColor="text1"/>
                      <w:lang w:eastAsia="es-CO"/>
                    </w:rPr>
                    <m:t>t-1</m:t>
                  </m:r>
                </m:e>
              </m:d>
            </m:sub>
          </m:sSub>
          <m:r>
            <m:rPr>
              <m:sty m:val="b"/>
            </m:rPr>
            <w:rPr>
              <w:rFonts w:ascii="Cambria Math" w:hAnsi="Cambria Math" w:cs="Arial"/>
              <w:color w:val="000000" w:themeColor="text1"/>
              <w:lang w:eastAsia="es-CO"/>
            </w:rPr>
            <m:t xml:space="preserve">×  </m:t>
          </m:r>
          <m:d>
            <m:dPr>
              <m:begChr m:val="["/>
              <m:endChr m:val="]"/>
              <m:ctrlPr>
                <w:rPr>
                  <w:rFonts w:ascii="Cambria Math" w:hAnsi="Cambria Math" w:cs="Arial"/>
                  <w:color w:val="000000" w:themeColor="text1"/>
                  <w:lang w:eastAsia="es-CO"/>
                </w:rPr>
              </m:ctrlPr>
            </m:dPr>
            <m:e>
              <m:f>
                <m:fPr>
                  <m:ctrlPr>
                    <w:rPr>
                      <w:rFonts w:ascii="Cambria Math" w:hAnsi="Cambria Math" w:cs="Arial"/>
                      <w:color w:val="000000" w:themeColor="text1"/>
                      <w:lang w:eastAsia="es-CO"/>
                    </w:rPr>
                  </m:ctrlPr>
                </m:fPr>
                <m:num>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UP</m:t>
                      </m:r>
                    </m:e>
                    <m:sub>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x</m:t>
                          </m:r>
                        </m:e>
                        <m:sub>
                          <m:r>
                            <m:rPr>
                              <m:sty m:val="b"/>
                            </m:rPr>
                            <w:rPr>
                              <w:rFonts w:ascii="Cambria Math" w:hAnsi="Cambria Math" w:cs="Arial"/>
                              <w:color w:val="000000" w:themeColor="text1"/>
                              <w:lang w:eastAsia="es-CO"/>
                            </w:rPr>
                            <m:t>r</m:t>
                          </m:r>
                        </m:sub>
                      </m:sSub>
                    </m:sub>
                  </m:sSub>
                </m:num>
                <m:den>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PLC</m:t>
                      </m:r>
                    </m:e>
                    <m:sub>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x</m:t>
                          </m:r>
                        </m:e>
                        <m:sub>
                          <m:r>
                            <m:rPr>
                              <m:sty m:val="b"/>
                            </m:rPr>
                            <w:rPr>
                              <w:rFonts w:ascii="Cambria Math" w:hAnsi="Cambria Math" w:cs="Arial"/>
                              <w:color w:val="000000" w:themeColor="text1"/>
                              <w:lang w:eastAsia="es-CO"/>
                            </w:rPr>
                            <m:t>r</m:t>
                          </m:r>
                          <m:d>
                            <m:dPr>
                              <m:ctrlPr>
                                <w:rPr>
                                  <w:rFonts w:ascii="Cambria Math" w:hAnsi="Cambria Math" w:cs="Arial"/>
                                  <w:color w:val="000000" w:themeColor="text1"/>
                                  <w:lang w:eastAsia="es-CO"/>
                                </w:rPr>
                              </m:ctrlPr>
                            </m:dPr>
                            <m:e>
                              <m:r>
                                <m:rPr>
                                  <m:sty m:val="b"/>
                                </m:rPr>
                                <w:rPr>
                                  <w:rFonts w:ascii="Cambria Math" w:hAnsi="Cambria Math" w:cs="Arial"/>
                                  <w:color w:val="000000" w:themeColor="text1"/>
                                  <w:lang w:eastAsia="es-CO"/>
                                </w:rPr>
                                <m:t>t-1</m:t>
                              </m:r>
                            </m:e>
                          </m:d>
                        </m:sub>
                      </m:sSub>
                    </m:sub>
                  </m:sSub>
                </m:den>
              </m:f>
            </m:e>
          </m:d>
        </m:oMath>
      </m:oMathPara>
    </w:p>
    <w:p w14:paraId="0DDB7D71" w14:textId="77777777" w:rsidR="007968EC" w:rsidRPr="002C0D19" w:rsidRDefault="007968EC" w:rsidP="007968EC">
      <w:pPr>
        <w:ind w:left="851"/>
        <w:jc w:val="center"/>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Donde </w:t>
      </w:r>
      <m:oMath>
        <m:r>
          <m:rPr>
            <m:sty m:val="bi"/>
          </m:rPr>
          <w:rPr>
            <w:rFonts w:ascii="Cambria Math" w:hAnsi="Cambria Math" w:cs="Arial"/>
            <w:color w:val="000000" w:themeColor="text1"/>
            <w:lang w:eastAsia="es-CO"/>
          </w:rPr>
          <m:t>PL</m:t>
        </m:r>
        <m:sSub>
          <m:sSubPr>
            <m:ctrlPr>
              <w:rPr>
                <w:rFonts w:ascii="Cambria Math" w:hAnsi="Cambria Math" w:cs="Arial"/>
                <w:i/>
                <w:color w:val="000000" w:themeColor="text1"/>
                <w:lang w:eastAsia="es-CO"/>
              </w:rPr>
            </m:ctrlPr>
          </m:sSubPr>
          <m:e>
            <m:r>
              <m:rPr>
                <m:sty m:val="bi"/>
              </m:rPr>
              <w:rPr>
                <w:rFonts w:ascii="Cambria Math" w:hAnsi="Cambria Math" w:cs="Arial"/>
                <w:color w:val="000000" w:themeColor="text1"/>
                <w:lang w:eastAsia="es-CO"/>
              </w:rPr>
              <m:t>C</m:t>
            </m:r>
          </m:e>
          <m:sub>
            <m:sSub>
              <m:sSubPr>
                <m:ctrlPr>
                  <w:rPr>
                    <w:rFonts w:ascii="Cambria Math" w:hAnsi="Cambria Math" w:cs="Arial"/>
                    <w:i/>
                    <w:color w:val="000000" w:themeColor="text1"/>
                    <w:lang w:eastAsia="es-CO"/>
                  </w:rPr>
                </m:ctrlPr>
              </m:sSubPr>
              <m:e>
                <m:r>
                  <m:rPr>
                    <m:sty m:val="bi"/>
                  </m:rPr>
                  <w:rPr>
                    <w:rFonts w:ascii="Cambria Math" w:hAnsi="Cambria Math" w:cs="Arial"/>
                    <w:color w:val="000000" w:themeColor="text1"/>
                    <w:lang w:eastAsia="es-CO"/>
                  </w:rPr>
                  <m:t>X</m:t>
                </m:r>
              </m:e>
              <m:sub>
                <m:r>
                  <m:rPr>
                    <m:sty m:val="bi"/>
                  </m:rPr>
                  <w:rPr>
                    <w:rFonts w:ascii="Cambria Math" w:hAnsi="Cambria Math" w:cs="Arial"/>
                    <w:color w:val="000000" w:themeColor="text1"/>
                    <w:lang w:eastAsia="es-CO"/>
                  </w:rPr>
                  <m:t>r(t-1)</m:t>
                </m:r>
              </m:sub>
            </m:sSub>
          </m:sub>
        </m:sSub>
      </m:oMath>
      <w:r w:rsidRPr="002C0D19">
        <w:rPr>
          <w:rFonts w:ascii="Arial Narrow" w:hAnsi="Arial Narrow" w:cs="Arial"/>
          <w:color w:val="000000" w:themeColor="text1"/>
          <w:lang w:eastAsia="es-CO"/>
        </w:rPr>
        <w:t xml:space="preserve"> es el precio de liquidación del vencimiento que active el Margin Call</w:t>
      </w:r>
    </w:p>
    <w:p w14:paraId="38680263" w14:textId="77777777" w:rsidR="007968EC" w:rsidRPr="002C0D19" w:rsidRDefault="007968EC" w:rsidP="007968EC">
      <w:pPr>
        <w:ind w:left="851"/>
        <w:jc w:val="center"/>
        <w:rPr>
          <w:rFonts w:ascii="Arial Narrow" w:hAnsi="Arial Narrow" w:cs="Arial"/>
          <w:color w:val="000000" w:themeColor="text1"/>
          <w:lang w:eastAsia="es-CO"/>
        </w:rPr>
      </w:pPr>
    </w:p>
    <w:p w14:paraId="09305B7F" w14:textId="77777777" w:rsidR="007968EC" w:rsidRPr="002C0D19" w:rsidRDefault="007968EC" w:rsidP="00DA7472">
      <w:pPr>
        <w:numPr>
          <w:ilvl w:val="0"/>
          <w:numId w:val="257"/>
        </w:numPr>
        <w:tabs>
          <w:tab w:val="left" w:pos="1276"/>
        </w:tabs>
        <w:ind w:left="1276" w:hanging="142"/>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Cuando no exista un </w:t>
      </w:r>
      <m:oMath>
        <m:r>
          <m:rPr>
            <m:sty m:val="b"/>
          </m:rPr>
          <w:rPr>
            <w:rFonts w:ascii="Cambria Math" w:hAnsi="Cambria Math" w:cs="Arial"/>
            <w:color w:val="000000" w:themeColor="text1"/>
            <w:lang w:eastAsia="es-CO"/>
          </w:rPr>
          <m:t xml:space="preserve">UP </m:t>
        </m:r>
      </m:oMath>
      <w:r w:rsidRPr="002C0D19">
        <w:rPr>
          <w:rFonts w:ascii="Arial Narrow" w:hAnsi="Arial Narrow" w:cs="Arial"/>
          <w:color w:val="000000" w:themeColor="text1"/>
          <w:lang w:eastAsia="es-CO"/>
        </w:rPr>
        <w:t xml:space="preserve">en el vencimiento </w:t>
      </w: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x</m:t>
            </m:r>
          </m:e>
          <m:sub>
            <m:r>
              <m:rPr>
                <m:sty m:val="b"/>
              </m:rPr>
              <w:rPr>
                <w:rFonts w:ascii="Cambria Math" w:hAnsi="Cambria Math" w:cs="Arial"/>
                <w:color w:val="000000" w:themeColor="text1"/>
                <w:lang w:eastAsia="es-CO"/>
              </w:rPr>
              <m:t>1</m:t>
            </m:r>
          </m:sub>
        </m:sSub>
      </m:oMath>
      <w:r w:rsidRPr="002C0D19">
        <w:rPr>
          <w:rFonts w:ascii="Arial Narrow" w:hAnsi="Arial Narrow" w:cs="Arial"/>
          <w:color w:val="000000" w:themeColor="text1"/>
          <w:lang w:eastAsia="es-CO"/>
        </w:rPr>
        <w:t xml:space="preserve"> </w:t>
      </w:r>
    </w:p>
    <w:p w14:paraId="1F32CE36" w14:textId="77777777" w:rsidR="007968EC" w:rsidRPr="002C0D19" w:rsidRDefault="007968EC" w:rsidP="007968EC">
      <w:pPr>
        <w:ind w:left="851"/>
        <w:jc w:val="center"/>
        <w:rPr>
          <w:rFonts w:ascii="Arial Narrow" w:hAnsi="Arial Narrow" w:cs="Arial"/>
          <w:color w:val="000000" w:themeColor="text1"/>
          <w:lang w:eastAsia="es-CO"/>
        </w:rPr>
      </w:pPr>
    </w:p>
    <w:p w14:paraId="7B1DB47F" w14:textId="77777777" w:rsidR="007968EC" w:rsidRPr="002C0D19" w:rsidRDefault="007968EC" w:rsidP="00DA7472">
      <w:pPr>
        <w:numPr>
          <w:ilvl w:val="0"/>
          <w:numId w:val="258"/>
        </w:numPr>
        <w:ind w:left="1701" w:hanging="283"/>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Si existe algún </w:t>
      </w: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UPx</m:t>
            </m:r>
          </m:e>
          <m:sub>
            <m:r>
              <m:rPr>
                <m:sty m:val="b"/>
              </m:rPr>
              <w:rPr>
                <w:rFonts w:ascii="Cambria Math" w:hAnsi="Cambria Math" w:cs="Arial"/>
                <w:color w:val="000000" w:themeColor="text1"/>
                <w:lang w:eastAsia="es-CO"/>
              </w:rPr>
              <m:t>i≠1</m:t>
            </m:r>
          </m:sub>
        </m:sSub>
      </m:oMath>
      <w:r w:rsidRPr="002C0D19">
        <w:rPr>
          <w:rFonts w:ascii="Arial Narrow" w:hAnsi="Arial Narrow" w:cs="Arial"/>
          <w:color w:val="000000" w:themeColor="text1"/>
          <w:lang w:eastAsia="es-CO"/>
        </w:rPr>
        <w:t xml:space="preserve"> para el Activo o Activo objeto de la Operación compensada y liquidada por la Cámara . </w:t>
      </w:r>
    </w:p>
    <w:p w14:paraId="3DA265E5" w14:textId="77777777" w:rsidR="007968EC" w:rsidRPr="002C0D19" w:rsidRDefault="007968EC" w:rsidP="007968EC">
      <w:pPr>
        <w:ind w:left="1560" w:hanging="284"/>
        <w:jc w:val="both"/>
        <w:rPr>
          <w:rFonts w:ascii="Arial Narrow" w:hAnsi="Arial Narrow" w:cs="Arial"/>
          <w:color w:val="000000" w:themeColor="text1"/>
          <w:lang w:eastAsia="es-CO"/>
        </w:rPr>
      </w:pPr>
    </w:p>
    <w:p w14:paraId="1A2BE27A" w14:textId="77777777" w:rsidR="007968EC" w:rsidRPr="002C0D19" w:rsidRDefault="007968EC" w:rsidP="007968EC">
      <w:pPr>
        <w:ind w:left="1701"/>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Para todo vencimiento </w:t>
      </w: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x</m:t>
            </m:r>
          </m:e>
          <m:sub>
            <m:r>
              <m:rPr>
                <m:sty m:val="b"/>
              </m:rPr>
              <w:rPr>
                <w:rFonts w:ascii="Cambria Math" w:hAnsi="Cambria Math" w:cs="Arial"/>
                <w:color w:val="000000" w:themeColor="text1"/>
                <w:lang w:eastAsia="es-CO"/>
              </w:rPr>
              <m:t>i</m:t>
            </m:r>
          </m:sub>
        </m:sSub>
      </m:oMath>
      <w:r w:rsidRPr="002C0D19">
        <w:rPr>
          <w:rFonts w:ascii="Arial Narrow" w:hAnsi="Arial Narrow" w:cs="Arial"/>
          <w:color w:val="000000" w:themeColor="text1"/>
          <w:lang w:eastAsia="es-CO"/>
        </w:rPr>
        <w:t xml:space="preserve"> (incluyendo a </w:t>
      </w: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x</m:t>
            </m:r>
          </m:e>
          <m:sub>
            <m:r>
              <m:rPr>
                <m:sty m:val="b"/>
              </m:rPr>
              <w:rPr>
                <w:rFonts w:ascii="Cambria Math" w:hAnsi="Cambria Math" w:cs="Arial"/>
                <w:color w:val="000000" w:themeColor="text1"/>
                <w:lang w:eastAsia="es-CO"/>
              </w:rPr>
              <m:t>1</m:t>
            </m:r>
          </m:sub>
        </m:sSub>
      </m:oMath>
      <w:r w:rsidRPr="002C0D19">
        <w:rPr>
          <w:rFonts w:ascii="Arial Narrow" w:hAnsi="Arial Narrow" w:cs="Arial"/>
          <w:color w:val="000000" w:themeColor="text1"/>
          <w:lang w:eastAsia="es-CO"/>
        </w:rPr>
        <w:t xml:space="preserve">), entonces, </w:t>
      </w:r>
    </w:p>
    <w:p w14:paraId="209C2575" w14:textId="77777777" w:rsidR="007968EC" w:rsidRPr="002C0D19" w:rsidRDefault="007968EC" w:rsidP="007968EC">
      <w:pPr>
        <w:ind w:left="851"/>
        <w:jc w:val="center"/>
        <w:rPr>
          <w:rFonts w:ascii="Arial Narrow" w:hAnsi="Arial Narrow" w:cs="Arial"/>
          <w:color w:val="000000" w:themeColor="text1"/>
          <w:lang w:eastAsia="es-CO"/>
        </w:rPr>
      </w:pPr>
    </w:p>
    <w:p w14:paraId="2155C9C1" w14:textId="77777777" w:rsidR="007968EC" w:rsidRPr="002C0D19" w:rsidRDefault="007968EC" w:rsidP="007968EC">
      <w:pPr>
        <w:ind w:left="1560" w:hanging="284"/>
        <w:jc w:val="both"/>
        <w:rPr>
          <w:rFonts w:ascii="Arial Narrow" w:hAnsi="Arial Narrow" w:cs="Arial"/>
          <w:color w:val="000000" w:themeColor="text1"/>
          <w:lang w:eastAsia="es-CO"/>
        </w:rPr>
      </w:pPr>
      <m:oMathPara>
        <m:oMath>
          <m:r>
            <m:rPr>
              <m:sty m:val="b"/>
            </m:rPr>
            <w:rPr>
              <w:rFonts w:ascii="Cambria Math" w:hAnsi="Cambria Math" w:cs="Arial"/>
              <w:color w:val="000000" w:themeColor="text1"/>
              <w:lang w:eastAsia="es-CO"/>
            </w:rPr>
            <w:lastRenderedPageBreak/>
            <m:t>PMC</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x</m:t>
              </m:r>
            </m:e>
            <m:sub>
              <m:r>
                <m:rPr>
                  <m:sty m:val="b"/>
                </m:rPr>
                <w:rPr>
                  <w:rFonts w:ascii="Cambria Math" w:hAnsi="Cambria Math" w:cs="Arial"/>
                  <w:color w:val="000000" w:themeColor="text1"/>
                  <w:lang w:eastAsia="es-CO"/>
                </w:rPr>
                <m:t>i</m:t>
              </m:r>
            </m:sub>
          </m:sSub>
          <m:r>
            <m:rPr>
              <m:sty m:val="b"/>
            </m:rPr>
            <w:rPr>
              <w:rFonts w:ascii="Cambria Math" w:hAnsi="Cambria Math" w:cs="Arial"/>
              <w:color w:val="000000" w:themeColor="text1"/>
              <w:lang w:eastAsia="es-CO"/>
            </w:rPr>
            <m:t>=PLC</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x</m:t>
              </m:r>
            </m:e>
            <m:sub>
              <m:r>
                <m:rPr>
                  <m:sty m:val="b"/>
                </m:rPr>
                <w:rPr>
                  <w:rFonts w:ascii="Cambria Math" w:hAnsi="Cambria Math" w:cs="Arial"/>
                  <w:color w:val="000000" w:themeColor="text1"/>
                  <w:lang w:eastAsia="es-CO"/>
                </w:rPr>
                <m:t>i</m:t>
              </m:r>
              <m:d>
                <m:dPr>
                  <m:ctrlPr>
                    <w:rPr>
                      <w:rFonts w:ascii="Cambria Math" w:hAnsi="Cambria Math" w:cs="Arial"/>
                      <w:color w:val="000000" w:themeColor="text1"/>
                      <w:lang w:eastAsia="es-CO"/>
                    </w:rPr>
                  </m:ctrlPr>
                </m:dPr>
                <m:e>
                  <m:r>
                    <m:rPr>
                      <m:sty m:val="b"/>
                    </m:rPr>
                    <w:rPr>
                      <w:rFonts w:ascii="Cambria Math" w:hAnsi="Cambria Math" w:cs="Arial"/>
                      <w:color w:val="000000" w:themeColor="text1"/>
                      <w:lang w:eastAsia="es-CO"/>
                    </w:rPr>
                    <m:t>t-1</m:t>
                  </m:r>
                </m:e>
              </m:d>
            </m:sub>
          </m:sSub>
          <m:r>
            <m:rPr>
              <m:sty m:val="b"/>
            </m:rPr>
            <w:rPr>
              <w:rFonts w:ascii="Cambria Math" w:hAnsi="Cambria Math" w:cs="Arial"/>
              <w:color w:val="000000" w:themeColor="text1"/>
              <w:lang w:eastAsia="es-CO"/>
            </w:rPr>
            <m:t xml:space="preserve">×  </m:t>
          </m:r>
          <m:d>
            <m:dPr>
              <m:begChr m:val="["/>
              <m:endChr m:val="]"/>
              <m:ctrlPr>
                <w:rPr>
                  <w:rFonts w:ascii="Cambria Math" w:hAnsi="Cambria Math" w:cs="Arial"/>
                  <w:color w:val="000000" w:themeColor="text1"/>
                  <w:lang w:eastAsia="es-CO"/>
                </w:rPr>
              </m:ctrlPr>
            </m:dPr>
            <m:e>
              <m:f>
                <m:fPr>
                  <m:ctrlPr>
                    <w:rPr>
                      <w:rFonts w:ascii="Cambria Math" w:hAnsi="Cambria Math" w:cs="Arial"/>
                      <w:color w:val="000000" w:themeColor="text1"/>
                      <w:lang w:eastAsia="es-CO"/>
                    </w:rPr>
                  </m:ctrlPr>
                </m:fPr>
                <m:num>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UP</m:t>
                      </m:r>
                    </m:e>
                    <m:sub>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x</m:t>
                          </m:r>
                        </m:e>
                        <m:sub>
                          <m:r>
                            <m:rPr>
                              <m:sty m:val="b"/>
                            </m:rPr>
                            <w:rPr>
                              <w:rFonts w:ascii="Cambria Math" w:hAnsi="Cambria Math" w:cs="Arial"/>
                              <w:color w:val="000000" w:themeColor="text1"/>
                              <w:lang w:eastAsia="es-CO"/>
                            </w:rPr>
                            <m:t>r</m:t>
                          </m:r>
                        </m:sub>
                      </m:sSub>
                    </m:sub>
                  </m:sSub>
                </m:num>
                <m:den>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PLC</m:t>
                      </m:r>
                    </m:e>
                    <m:sub>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x</m:t>
                          </m:r>
                        </m:e>
                        <m:sub>
                          <m:r>
                            <m:rPr>
                              <m:sty m:val="bi"/>
                            </m:rPr>
                            <w:rPr>
                              <w:rFonts w:ascii="Cambria Math" w:hAnsi="Cambria Math" w:cs="Arial"/>
                              <w:color w:val="000000" w:themeColor="text1"/>
                              <w:lang w:eastAsia="es-CO"/>
                            </w:rPr>
                            <m:t>r</m:t>
                          </m:r>
                          <m:d>
                            <m:dPr>
                              <m:ctrlPr>
                                <w:rPr>
                                  <w:rFonts w:ascii="Cambria Math" w:hAnsi="Cambria Math" w:cs="Arial"/>
                                  <w:color w:val="000000" w:themeColor="text1"/>
                                  <w:lang w:eastAsia="es-CO"/>
                                </w:rPr>
                              </m:ctrlPr>
                            </m:dPr>
                            <m:e>
                              <m:r>
                                <m:rPr>
                                  <m:sty m:val="b"/>
                                </m:rPr>
                                <w:rPr>
                                  <w:rFonts w:ascii="Cambria Math" w:hAnsi="Cambria Math" w:cs="Arial"/>
                                  <w:color w:val="000000" w:themeColor="text1"/>
                                  <w:lang w:eastAsia="es-CO"/>
                                </w:rPr>
                                <m:t>t-1</m:t>
                              </m:r>
                            </m:e>
                          </m:d>
                        </m:sub>
                      </m:sSub>
                    </m:sub>
                  </m:sSub>
                </m:den>
              </m:f>
            </m:e>
          </m:d>
        </m:oMath>
      </m:oMathPara>
    </w:p>
    <w:p w14:paraId="7329B931" w14:textId="77777777" w:rsidR="007968EC" w:rsidRPr="002C0D19" w:rsidRDefault="007968EC" w:rsidP="007968EC">
      <w:pPr>
        <w:ind w:left="1560" w:hanging="284"/>
        <w:jc w:val="both"/>
        <w:rPr>
          <w:rFonts w:ascii="Arial Narrow" w:hAnsi="Arial Narrow" w:cs="Arial"/>
          <w:color w:val="000000" w:themeColor="text1"/>
          <w:lang w:eastAsia="es-CO"/>
        </w:rPr>
      </w:pPr>
    </w:p>
    <w:p w14:paraId="22B282F7" w14:textId="77777777" w:rsidR="007968EC" w:rsidRPr="002C0D19" w:rsidRDefault="007968EC" w:rsidP="00DA7472">
      <w:pPr>
        <w:numPr>
          <w:ilvl w:val="1"/>
          <w:numId w:val="132"/>
        </w:numPr>
        <w:ind w:left="709"/>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Variación del Precio Margin Call hipotético calculado para cada activo objeto de una Operación: Cuando el precio del contado de un activo objeto de una Operación supera el parámetro de Fluctuación para llamados a Garantías Extraordinarias, la Cámara procede a calcular un Precio Margin Call hipotético para cada Activo. El Cálculo de Precio Margin hipotético se basa en el siguiente procedimiento:</w:t>
      </w:r>
    </w:p>
    <w:p w14:paraId="35570271" w14:textId="77777777" w:rsidR="007968EC" w:rsidRPr="002C0D19" w:rsidRDefault="007968EC" w:rsidP="007968EC">
      <w:pPr>
        <w:ind w:left="567"/>
        <w:jc w:val="both"/>
        <w:rPr>
          <w:rFonts w:ascii="Arial Narrow" w:hAnsi="Arial Narrow" w:cs="Arial"/>
          <w:color w:val="000000" w:themeColor="text1"/>
          <w:lang w:eastAsia="es-CO"/>
        </w:rPr>
      </w:pPr>
    </w:p>
    <w:p w14:paraId="6605722E" w14:textId="77777777" w:rsidR="007968EC" w:rsidRPr="002C0D19" w:rsidRDefault="007968EC" w:rsidP="00DA7472">
      <w:pPr>
        <w:numPr>
          <w:ilvl w:val="2"/>
          <w:numId w:val="14"/>
        </w:numPr>
        <w:ind w:left="993"/>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Se establece si la variación del precio del contado del activo objeto de una operación supera el parámetro de "Fluctuación para llamados a Garantías Extraordinarias” del mismo, de acuerdo a la siguiente desigualdad:</w:t>
      </w:r>
    </w:p>
    <w:p w14:paraId="79FA3356" w14:textId="77777777" w:rsidR="007968EC" w:rsidRPr="002C0D19" w:rsidRDefault="007968EC" w:rsidP="007968EC">
      <w:pPr>
        <w:ind w:left="567"/>
        <w:jc w:val="center"/>
        <w:rPr>
          <w:rFonts w:ascii="Arial Narrow" w:hAnsi="Arial Narrow" w:cs="Arial"/>
          <w:color w:val="000000" w:themeColor="text1"/>
          <w:lang w:eastAsia="es-CO"/>
        </w:rPr>
      </w:pPr>
      <m:oMathPara>
        <m:oMath>
          <m:r>
            <m:rPr>
              <m:sty m:val="b"/>
            </m:rPr>
            <w:rPr>
              <w:rFonts w:ascii="Cambria Math" w:hAnsi="Cambria Math" w:cs="Arial"/>
              <w:color w:val="000000" w:themeColor="text1"/>
              <w:lang w:eastAsia="es-CO"/>
            </w:rPr>
            <m:t>-</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FGE</m:t>
              </m:r>
            </m:e>
            <m:sub>
              <m:r>
                <m:rPr>
                  <m:sty m:val="bi"/>
                </m:rPr>
                <w:rPr>
                  <w:rFonts w:ascii="Cambria Math" w:hAnsi="Cambria Math" w:cs="Arial"/>
                  <w:color w:val="000000" w:themeColor="text1"/>
                  <w:lang w:eastAsia="es-CO"/>
                </w:rPr>
                <m:t>i</m:t>
              </m:r>
            </m:sub>
          </m:sSub>
          <m:r>
            <m:rPr>
              <m:sty m:val="b"/>
            </m:rPr>
            <w:rPr>
              <w:rFonts w:ascii="Cambria Math" w:hAnsi="Cambria Math" w:cs="Arial"/>
              <w:color w:val="000000" w:themeColor="text1"/>
              <w:lang w:eastAsia="es-CO"/>
            </w:rPr>
            <m:t>≥</m:t>
          </m:r>
          <m:f>
            <m:fPr>
              <m:ctrlPr>
                <w:rPr>
                  <w:rFonts w:ascii="Cambria Math" w:hAnsi="Cambria Math" w:cs="Arial"/>
                  <w:color w:val="000000" w:themeColor="text1"/>
                  <w:lang w:eastAsia="es-CO"/>
                </w:rPr>
              </m:ctrlPr>
            </m:fPr>
            <m:num>
              <m:r>
                <m:rPr>
                  <m:sty m:val="b"/>
                </m:rPr>
                <w:rPr>
                  <w:rFonts w:ascii="Cambria Math" w:hAnsi="Cambria Math" w:cs="Arial"/>
                  <w:color w:val="000000" w:themeColor="text1"/>
                  <w:lang w:eastAsia="es-CO"/>
                </w:rPr>
                <m:t>UP</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C</m:t>
                  </m:r>
                </m:e>
                <m:sub>
                  <m:sSub>
                    <m:sSubPr>
                      <m:ctrlPr>
                        <w:rPr>
                          <w:rFonts w:ascii="Cambria Math" w:hAnsi="Cambria Math" w:cs="Arial"/>
                          <w:color w:val="000000" w:themeColor="text1"/>
                          <w:lang w:eastAsia="es-CO"/>
                        </w:rPr>
                      </m:ctrlPr>
                    </m:sSubPr>
                    <m:e>
                      <m:r>
                        <m:rPr>
                          <m:sty m:val="bi"/>
                        </m:rPr>
                        <w:rPr>
                          <w:rFonts w:ascii="Cambria Math" w:hAnsi="Cambria Math" w:cs="Arial"/>
                          <w:color w:val="000000" w:themeColor="text1"/>
                          <w:lang w:eastAsia="es-CO"/>
                        </w:rPr>
                        <m:t>Y</m:t>
                      </m:r>
                    </m:e>
                    <m:sub>
                      <m:r>
                        <m:rPr>
                          <m:sty m:val="bi"/>
                        </m:rPr>
                        <w:rPr>
                          <w:rFonts w:ascii="Cambria Math" w:hAnsi="Cambria Math" w:cs="Arial"/>
                          <w:color w:val="000000" w:themeColor="text1"/>
                          <w:lang w:eastAsia="es-CO"/>
                        </w:rPr>
                        <m:t>i</m:t>
                      </m:r>
                    </m:sub>
                  </m:sSub>
                </m:sub>
              </m:sSub>
            </m:num>
            <m:den>
              <m:r>
                <m:rPr>
                  <m:sty m:val="b"/>
                </m:rPr>
                <w:rPr>
                  <w:rFonts w:ascii="Cambria Math" w:hAnsi="Cambria Math" w:cs="Arial"/>
                  <w:color w:val="000000" w:themeColor="text1"/>
                  <w:lang w:eastAsia="es-CO"/>
                </w:rPr>
                <m:t>PC</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C</m:t>
                  </m:r>
                </m:e>
                <m:sub>
                  <m:sSub>
                    <m:sSubPr>
                      <m:ctrlPr>
                        <w:rPr>
                          <w:rFonts w:ascii="Cambria Math" w:hAnsi="Cambria Math" w:cs="Arial"/>
                          <w:i/>
                          <w:color w:val="000000" w:themeColor="text1"/>
                          <w:lang w:eastAsia="es-CO"/>
                        </w:rPr>
                      </m:ctrlPr>
                    </m:sSubPr>
                    <m:e>
                      <m:r>
                        <m:rPr>
                          <m:sty m:val="bi"/>
                        </m:rPr>
                        <w:rPr>
                          <w:rFonts w:ascii="Cambria Math" w:hAnsi="Cambria Math" w:cs="Arial"/>
                          <w:color w:val="000000" w:themeColor="text1"/>
                          <w:lang w:eastAsia="es-CO"/>
                        </w:rPr>
                        <m:t>Y</m:t>
                      </m:r>
                    </m:e>
                    <m:sub>
                      <m:r>
                        <m:rPr>
                          <m:sty m:val="bi"/>
                        </m:rPr>
                        <w:rPr>
                          <w:rFonts w:ascii="Cambria Math" w:hAnsi="Cambria Math" w:cs="Arial"/>
                          <w:color w:val="000000" w:themeColor="text1"/>
                          <w:lang w:eastAsia="es-CO"/>
                        </w:rPr>
                        <m:t>i</m:t>
                      </m:r>
                    </m:sub>
                  </m:sSub>
                </m:sub>
              </m:sSub>
            </m:den>
          </m:f>
          <m:r>
            <m:rPr>
              <m:sty m:val="b"/>
            </m:rPr>
            <w:rPr>
              <w:rFonts w:ascii="Cambria Math" w:hAnsi="Cambria Math" w:cs="Arial"/>
              <w:color w:val="000000" w:themeColor="text1"/>
              <w:lang w:eastAsia="es-CO"/>
            </w:rPr>
            <m:t>-1≥</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FGE</m:t>
              </m:r>
            </m:e>
            <m:sub>
              <m:r>
                <m:rPr>
                  <m:sty m:val="bi"/>
                </m:rPr>
                <w:rPr>
                  <w:rFonts w:ascii="Cambria Math" w:hAnsi="Cambria Math" w:cs="Arial"/>
                  <w:color w:val="000000" w:themeColor="text1"/>
                  <w:lang w:eastAsia="es-CO"/>
                </w:rPr>
                <m:t>i</m:t>
              </m:r>
            </m:sub>
          </m:sSub>
        </m:oMath>
      </m:oMathPara>
    </w:p>
    <w:p w14:paraId="0E906846" w14:textId="77777777" w:rsidR="007968EC" w:rsidRPr="002C0D19" w:rsidRDefault="007968EC" w:rsidP="007968EC">
      <w:pPr>
        <w:ind w:left="851"/>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Donde: </w:t>
      </w:r>
    </w:p>
    <w:p w14:paraId="54FD0CFC" w14:textId="77777777" w:rsidR="007968EC" w:rsidRPr="002C0D19" w:rsidRDefault="007968EC" w:rsidP="007968EC">
      <w:pPr>
        <w:ind w:left="851"/>
        <w:jc w:val="both"/>
        <w:rPr>
          <w:rFonts w:ascii="Arial Narrow" w:hAnsi="Arial Narrow" w:cs="Arial"/>
          <w:color w:val="000000" w:themeColor="text1"/>
          <w:lang w:eastAsia="es-CO"/>
        </w:rPr>
      </w:pPr>
    </w:p>
    <w:p w14:paraId="0AE80B4C" w14:textId="77777777" w:rsidR="007968EC" w:rsidRPr="002C0D19" w:rsidRDefault="00682D97" w:rsidP="007968EC">
      <w:pPr>
        <w:ind w:left="851"/>
        <w:jc w:val="both"/>
        <w:rPr>
          <w:rFonts w:ascii="Arial Narrow" w:hAnsi="Arial Narrow" w:cs="Arial"/>
          <w:color w:val="000000" w:themeColor="text1"/>
          <w:lang w:eastAsia="es-CO"/>
        </w:rPr>
      </w:pP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Y</m:t>
            </m:r>
          </m:e>
          <m:sub>
            <m:r>
              <m:rPr>
                <m:sty m:val="bi"/>
              </m:rPr>
              <w:rPr>
                <w:rFonts w:ascii="Cambria Math" w:hAnsi="Cambria Math" w:cs="Arial"/>
                <w:color w:val="000000" w:themeColor="text1"/>
                <w:lang w:eastAsia="es-CO"/>
              </w:rPr>
              <m:t>i</m:t>
            </m:r>
          </m:sub>
        </m:sSub>
        <m:r>
          <m:rPr>
            <m:sty m:val="b"/>
          </m:rPr>
          <w:rPr>
            <w:rFonts w:ascii="Cambria Math" w:hAnsi="Cambria Math" w:cs="Arial"/>
            <w:color w:val="000000" w:themeColor="text1"/>
            <w:lang w:eastAsia="es-CO"/>
          </w:rPr>
          <m:t xml:space="preserve">: </m:t>
        </m:r>
      </m:oMath>
      <w:r w:rsidR="007968EC" w:rsidRPr="002C0D19">
        <w:rPr>
          <w:rFonts w:ascii="Arial Narrow" w:hAnsi="Arial Narrow" w:cs="Arial"/>
          <w:color w:val="000000" w:themeColor="text1"/>
          <w:lang w:eastAsia="es-CO"/>
        </w:rPr>
        <w:t xml:space="preserve">Es cualquier contado del Activo i objeto de una Operación compensada o liquidada por la Cámara. </w:t>
      </w:r>
    </w:p>
    <w:p w14:paraId="03061DBB" w14:textId="77777777" w:rsidR="007968EC" w:rsidRPr="002C0D19" w:rsidRDefault="007968EC" w:rsidP="007968EC">
      <w:pPr>
        <w:ind w:left="851"/>
        <w:jc w:val="both"/>
        <w:rPr>
          <w:rFonts w:ascii="Arial Narrow" w:hAnsi="Arial Narrow" w:cs="Arial"/>
          <w:color w:val="000000" w:themeColor="text1"/>
          <w:lang w:eastAsia="es-CO"/>
        </w:rPr>
      </w:pPr>
      <m:oMath>
        <m:r>
          <m:rPr>
            <m:sty m:val="b"/>
          </m:rPr>
          <w:rPr>
            <w:rFonts w:ascii="Cambria Math" w:hAnsi="Cambria Math" w:cs="Arial"/>
            <w:color w:val="000000" w:themeColor="text1"/>
            <w:lang w:eastAsia="es-CO"/>
          </w:rPr>
          <m:t>i</m:t>
        </m:r>
      </m:oMath>
      <w:r w:rsidRPr="002C0D19">
        <w:rPr>
          <w:rFonts w:ascii="Arial Narrow" w:hAnsi="Arial Narrow" w:cs="Arial"/>
          <w:color w:val="000000" w:themeColor="text1"/>
          <w:lang w:eastAsia="es-CO"/>
        </w:rPr>
        <w:t>: Es cualquier Activo objeto de una Operación compensada o liquidada por la Cámara.</w:t>
      </w:r>
    </w:p>
    <w:p w14:paraId="1CAF4E7A" w14:textId="77777777" w:rsidR="007968EC" w:rsidRPr="002C0D19" w:rsidRDefault="007968EC" w:rsidP="007968EC">
      <w:pPr>
        <w:ind w:left="851"/>
        <w:jc w:val="both"/>
        <w:rPr>
          <w:rFonts w:ascii="Arial Narrow" w:hAnsi="Arial Narrow" w:cs="Arial"/>
          <w:color w:val="000000" w:themeColor="text1"/>
          <w:lang w:eastAsia="es-CO"/>
        </w:rPr>
      </w:pPr>
      <m:oMath>
        <m:r>
          <m:rPr>
            <m:sty m:val="b"/>
          </m:rPr>
          <w:rPr>
            <w:rFonts w:ascii="Cambria Math" w:hAnsi="Cambria Math" w:cs="Arial"/>
            <w:color w:val="000000" w:themeColor="text1"/>
            <w:lang w:eastAsia="es-CO"/>
          </w:rPr>
          <m:t>FG</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E</m:t>
            </m:r>
          </m:e>
          <m:sub>
            <m:r>
              <m:rPr>
                <m:sty m:val="bi"/>
              </m:rPr>
              <w:rPr>
                <w:rFonts w:ascii="Cambria Math" w:hAnsi="Cambria Math" w:cs="Arial"/>
                <w:color w:val="000000" w:themeColor="text1"/>
                <w:lang w:eastAsia="es-CO"/>
              </w:rPr>
              <m:t>i</m:t>
            </m:r>
          </m:sub>
        </m:sSub>
      </m:oMath>
      <w:r w:rsidRPr="002C0D19">
        <w:rPr>
          <w:rFonts w:ascii="Arial Narrow" w:hAnsi="Arial Narrow" w:cs="Arial"/>
          <w:color w:val="000000" w:themeColor="text1"/>
          <w:lang w:eastAsia="es-CO"/>
        </w:rPr>
        <w:t>: Parámetro de Fluctuación para llamados a Garantías Extraordinarias establecido para un Activo i objeto de una Operación compensada o liquidada por la Cámara.</w:t>
      </w:r>
    </w:p>
    <w:p w14:paraId="0C625300" w14:textId="77777777" w:rsidR="007968EC" w:rsidRPr="002C0D19" w:rsidRDefault="007968EC" w:rsidP="007968EC">
      <w:pPr>
        <w:ind w:left="851"/>
        <w:jc w:val="both"/>
        <w:rPr>
          <w:rFonts w:ascii="Arial Narrow" w:hAnsi="Arial Narrow" w:cs="Arial"/>
          <w:color w:val="000000" w:themeColor="text1"/>
          <w:lang w:eastAsia="es-CO"/>
        </w:rPr>
      </w:pPr>
      <m:oMath>
        <m:r>
          <m:rPr>
            <m:sty m:val="b"/>
          </m:rPr>
          <w:rPr>
            <w:rFonts w:ascii="Cambria Math" w:hAnsi="Cambria Math" w:cs="Arial"/>
            <w:color w:val="000000" w:themeColor="text1"/>
            <w:lang w:eastAsia="es-CO"/>
          </w:rPr>
          <m:t>UPC</m:t>
        </m:r>
      </m:oMath>
      <w:r w:rsidRPr="002C0D19">
        <w:rPr>
          <w:rFonts w:ascii="Arial Narrow" w:hAnsi="Arial Narrow" w:cs="Arial"/>
          <w:color w:val="000000" w:themeColor="text1"/>
          <w:lang w:eastAsia="es-CO"/>
        </w:rPr>
        <w:t>: Último precio del contado de un activo objeto de una Operación. Para los Activos cuyo subyacente es la TRM se tomará el último precio del contado del dólar marcado por Bloomberg.</w:t>
      </w:r>
    </w:p>
    <w:p w14:paraId="3316E5B7" w14:textId="77777777" w:rsidR="007968EC" w:rsidRPr="002C0D19" w:rsidRDefault="007968EC" w:rsidP="007968EC">
      <w:pPr>
        <w:ind w:left="851"/>
        <w:jc w:val="both"/>
        <w:rPr>
          <w:rFonts w:ascii="Arial Narrow" w:hAnsi="Arial Narrow" w:cs="Arial"/>
          <w:color w:val="000000" w:themeColor="text1"/>
          <w:lang w:eastAsia="es-CO"/>
        </w:rPr>
      </w:pPr>
      <m:oMath>
        <m:r>
          <m:rPr>
            <m:sty m:val="b"/>
          </m:rPr>
          <w:rPr>
            <w:rFonts w:ascii="Cambria Math" w:hAnsi="Cambria Math" w:cs="Arial"/>
            <w:color w:val="000000" w:themeColor="text1"/>
            <w:lang w:eastAsia="es-CO"/>
          </w:rPr>
          <m:t>PC</m:t>
        </m:r>
        <m:sSub>
          <m:sSubPr>
            <m:ctrlPr>
              <w:rPr>
                <w:rFonts w:ascii="Cambria Math" w:hAnsi="Cambria Math" w:cs="Arial"/>
                <w:i/>
                <w:color w:val="000000" w:themeColor="text1"/>
                <w:lang w:eastAsia="es-CO"/>
              </w:rPr>
            </m:ctrlPr>
          </m:sSubPr>
          <m:e>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C</m:t>
                </m:r>
              </m:e>
              <m:sub>
                <m:r>
                  <m:rPr>
                    <m:sty m:val="bi"/>
                  </m:rPr>
                  <w:rPr>
                    <w:rFonts w:ascii="Cambria Math" w:hAnsi="Cambria Math" w:cs="Arial"/>
                    <w:color w:val="000000" w:themeColor="text1"/>
                    <w:lang w:eastAsia="es-CO"/>
                  </w:rPr>
                  <m:t>Y</m:t>
                </m:r>
              </m:sub>
            </m:sSub>
          </m:e>
          <m:sub>
            <m:r>
              <m:rPr>
                <m:sty m:val="bi"/>
              </m:rPr>
              <w:rPr>
                <w:rFonts w:ascii="Cambria Math" w:hAnsi="Cambria Math" w:cs="Arial"/>
                <w:color w:val="000000" w:themeColor="text1"/>
                <w:lang w:eastAsia="es-CO"/>
              </w:rPr>
              <m:t>i</m:t>
            </m:r>
          </m:sub>
        </m:sSub>
      </m:oMath>
      <w:r w:rsidRPr="002C0D19">
        <w:rPr>
          <w:rFonts w:ascii="Arial Narrow" w:hAnsi="Arial Narrow" w:cs="Arial"/>
          <w:color w:val="000000" w:themeColor="text1"/>
          <w:lang w:eastAsia="es-CO"/>
        </w:rPr>
        <w:t>: Precio de cierre del contado de un activo i objeto de una Operación.</w:t>
      </w:r>
    </w:p>
    <w:p w14:paraId="10777899" w14:textId="77777777" w:rsidR="007968EC" w:rsidRPr="002C0D19" w:rsidRDefault="007968EC" w:rsidP="007968EC">
      <w:pPr>
        <w:ind w:left="567"/>
        <w:jc w:val="both"/>
        <w:rPr>
          <w:rFonts w:ascii="Arial Narrow" w:hAnsi="Arial Narrow" w:cs="Arial"/>
          <w:color w:val="000000" w:themeColor="text1"/>
          <w:lang w:eastAsia="es-CO"/>
        </w:rPr>
      </w:pPr>
    </w:p>
    <w:p w14:paraId="525A3443" w14:textId="77777777" w:rsidR="007968EC" w:rsidRPr="002C0D19" w:rsidRDefault="007968EC" w:rsidP="00DA7472">
      <w:pPr>
        <w:numPr>
          <w:ilvl w:val="2"/>
          <w:numId w:val="14"/>
        </w:numPr>
        <w:ind w:left="993"/>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Se calcula el Precio Margin Call hipotético para cada activo objeto de una Operación de acuerdo a la siguiente expresión:</w:t>
      </w:r>
    </w:p>
    <w:p w14:paraId="6993CE65" w14:textId="77777777" w:rsidR="007968EC" w:rsidRPr="002C0D19" w:rsidRDefault="007968EC" w:rsidP="007968EC">
      <w:pPr>
        <w:ind w:left="2160"/>
        <w:jc w:val="both"/>
        <w:rPr>
          <w:rFonts w:ascii="Arial Narrow" w:hAnsi="Arial Narrow" w:cs="Arial"/>
          <w:color w:val="000000" w:themeColor="text1"/>
          <w:lang w:eastAsia="es-CO"/>
        </w:rPr>
      </w:pPr>
    </w:p>
    <w:p w14:paraId="6661F3A6" w14:textId="77777777" w:rsidR="007968EC" w:rsidRPr="002C0D19" w:rsidRDefault="007968EC" w:rsidP="007968EC">
      <w:pPr>
        <w:ind w:left="993"/>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Se toma el último valor del contado del activo objeto de una Operación y se le adiciona el diferencial de precios resultante entre el último precio negociado y el precio de cierre (T-1) para cada activo. En caso de no tener un último precio negociado, se entenderá que el último precio es el precio de cierre del contado, de acuerdo a la siguiente expresión:</w:t>
      </w:r>
    </w:p>
    <w:p w14:paraId="56CD03EA" w14:textId="77777777" w:rsidR="007968EC" w:rsidRPr="002C0D19" w:rsidRDefault="007968EC" w:rsidP="007968EC">
      <w:pPr>
        <w:ind w:left="2160"/>
        <w:jc w:val="both"/>
        <w:rPr>
          <w:rFonts w:ascii="Arial Narrow" w:hAnsi="Arial Narrow" w:cs="Arial"/>
          <w:color w:val="000000" w:themeColor="text1"/>
          <w:lang w:eastAsia="es-CO"/>
        </w:rPr>
      </w:pPr>
    </w:p>
    <w:p w14:paraId="121C1555" w14:textId="77777777" w:rsidR="007968EC" w:rsidRPr="002C0D19" w:rsidRDefault="007968EC" w:rsidP="007968EC">
      <w:pPr>
        <w:ind w:left="1134"/>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Para el primer vencimiento del activo  </w:t>
      </w: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x</m:t>
            </m:r>
          </m:e>
          <m:sub>
            <m:r>
              <m:rPr>
                <m:sty m:val="bi"/>
              </m:rPr>
              <w:rPr>
                <w:rFonts w:ascii="Cambria Math" w:hAnsi="Cambria Math" w:cs="Arial"/>
                <w:color w:val="000000" w:themeColor="text1"/>
                <w:lang w:eastAsia="es-CO"/>
              </w:rPr>
              <m:t>1</m:t>
            </m:r>
          </m:sub>
        </m:sSub>
      </m:oMath>
      <w:r w:rsidRPr="002C0D19">
        <w:rPr>
          <w:rFonts w:ascii="Arial Narrow" w:hAnsi="Arial Narrow" w:cs="Arial"/>
          <w:color w:val="000000" w:themeColor="text1"/>
          <w:lang w:eastAsia="es-CO"/>
        </w:rPr>
        <w:t>:</w:t>
      </w:r>
    </w:p>
    <w:p w14:paraId="5A6B11E1" w14:textId="77777777" w:rsidR="007968EC" w:rsidRPr="002C0D19" w:rsidRDefault="007968EC" w:rsidP="007968EC">
      <w:pPr>
        <w:ind w:left="2160"/>
        <w:jc w:val="both"/>
        <w:rPr>
          <w:rFonts w:ascii="Arial Narrow" w:hAnsi="Arial Narrow" w:cs="Arial"/>
          <w:color w:val="000000" w:themeColor="text1"/>
          <w:lang w:eastAsia="es-CO"/>
        </w:rPr>
      </w:pPr>
    </w:p>
    <w:p w14:paraId="5899C0D3" w14:textId="77777777" w:rsidR="007968EC" w:rsidRPr="002C0D19" w:rsidRDefault="007968EC" w:rsidP="007968EC">
      <w:pPr>
        <w:ind w:left="709"/>
        <w:jc w:val="center"/>
        <w:rPr>
          <w:rFonts w:ascii="Arial Narrow" w:hAnsi="Arial Narrow" w:cs="Arial"/>
          <w:color w:val="000000" w:themeColor="text1"/>
          <w:lang w:eastAsia="es-CO"/>
        </w:rPr>
      </w:pPr>
      <m:oMathPara>
        <m:oMath>
          <m:r>
            <m:rPr>
              <m:sty m:val="b"/>
            </m:rPr>
            <w:rPr>
              <w:rFonts w:ascii="Cambria Math" w:hAnsi="Cambria Math" w:cs="Arial"/>
              <w:color w:val="000000" w:themeColor="text1"/>
              <w:lang w:eastAsia="es-CO"/>
            </w:rPr>
            <m:t>PMC</m:t>
          </m:r>
          <m:sSub>
            <m:sSubPr>
              <m:ctrlPr>
                <w:rPr>
                  <w:rFonts w:ascii="Cambria Math" w:hAnsi="Cambria Math" w:cs="Arial"/>
                  <w:color w:val="000000" w:themeColor="text1"/>
                  <w:lang w:eastAsia="es-CO"/>
                </w:rPr>
              </m:ctrlPr>
            </m:sSubPr>
            <m:e>
              <m:r>
                <m:rPr>
                  <m:sty m:val="bi"/>
                </m:rPr>
                <w:rPr>
                  <w:rFonts w:ascii="Cambria Math" w:hAnsi="Cambria Math" w:cs="Arial"/>
                  <w:color w:val="000000" w:themeColor="text1"/>
                  <w:lang w:eastAsia="es-CO"/>
                </w:rPr>
                <m:t>x</m:t>
              </m:r>
            </m:e>
            <m:sub>
              <m:r>
                <m:rPr>
                  <m:sty m:val="bi"/>
                </m:rPr>
                <w:rPr>
                  <w:rFonts w:ascii="Cambria Math" w:hAnsi="Cambria Math" w:cs="Arial"/>
                  <w:color w:val="000000" w:themeColor="text1"/>
                  <w:lang w:eastAsia="es-CO"/>
                </w:rPr>
                <m:t>1</m:t>
              </m:r>
            </m:sub>
          </m:sSub>
          <m:r>
            <m:rPr>
              <m:sty m:val="b"/>
            </m:rPr>
            <w:rPr>
              <w:rFonts w:ascii="Cambria Math" w:hAnsi="Cambria Math" w:cs="Arial"/>
              <w:color w:val="000000" w:themeColor="text1"/>
              <w:lang w:eastAsia="es-CO"/>
            </w:rPr>
            <m:t>= UP</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C</m:t>
              </m:r>
            </m:e>
            <m:sub>
              <m:r>
                <m:rPr>
                  <m:sty m:val="bi"/>
                </m:rPr>
                <w:rPr>
                  <w:rFonts w:ascii="Cambria Math" w:hAnsi="Cambria Math" w:cs="Arial"/>
                  <w:color w:val="000000" w:themeColor="text1"/>
                  <w:lang w:eastAsia="es-CO"/>
                </w:rPr>
                <m:t>x</m:t>
              </m:r>
            </m:sub>
          </m:sSub>
          <m:r>
            <m:rPr>
              <m:sty m:val="b"/>
            </m:rPr>
            <w:rPr>
              <w:rFonts w:ascii="Cambria Math" w:hAnsi="Cambria Math" w:cs="Arial"/>
              <w:color w:val="000000" w:themeColor="text1"/>
              <w:lang w:eastAsia="es-CO"/>
            </w:rPr>
            <m:t xml:space="preserve">+( </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PLCx</m:t>
              </m:r>
            </m:e>
            <m:sub>
              <m:r>
                <m:rPr>
                  <m:sty m:val="b"/>
                </m:rPr>
                <w:rPr>
                  <w:rFonts w:ascii="Cambria Math" w:hAnsi="Cambria Math" w:cs="Arial"/>
                  <w:color w:val="000000" w:themeColor="text1"/>
                  <w:lang w:eastAsia="es-CO"/>
                </w:rPr>
                <m:t xml:space="preserve">1 </m:t>
              </m:r>
              <m:d>
                <m:dPr>
                  <m:ctrlPr>
                    <w:rPr>
                      <w:rFonts w:ascii="Cambria Math" w:hAnsi="Cambria Math" w:cs="Arial"/>
                      <w:color w:val="000000" w:themeColor="text1"/>
                      <w:lang w:eastAsia="es-CO"/>
                    </w:rPr>
                  </m:ctrlPr>
                </m:dPr>
                <m:e>
                  <m:r>
                    <m:rPr>
                      <m:sty m:val="b"/>
                    </m:rPr>
                    <w:rPr>
                      <w:rFonts w:ascii="Cambria Math" w:hAnsi="Cambria Math" w:cs="Arial"/>
                      <w:color w:val="000000" w:themeColor="text1"/>
                      <w:lang w:eastAsia="es-CO"/>
                    </w:rPr>
                    <m:t>t-1</m:t>
                  </m:r>
                </m:e>
              </m:d>
            </m:sub>
          </m:sSub>
          <m:r>
            <m:rPr>
              <m:sty m:val="b"/>
            </m:rPr>
            <w:rPr>
              <w:rFonts w:ascii="Cambria Math" w:hAnsi="Cambria Math" w:cs="Arial"/>
              <w:color w:val="000000" w:themeColor="text1"/>
              <w:lang w:eastAsia="es-CO"/>
            </w:rPr>
            <m:t>-PC</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C</m:t>
              </m:r>
            </m:e>
            <m:sub>
              <m:r>
                <m:rPr>
                  <m:sty m:val="bi"/>
                </m:rPr>
                <w:rPr>
                  <w:rFonts w:ascii="Cambria Math" w:hAnsi="Cambria Math" w:cs="Arial"/>
                  <w:color w:val="000000" w:themeColor="text1"/>
                  <w:lang w:eastAsia="es-CO"/>
                </w:rPr>
                <m:t>x</m:t>
              </m:r>
            </m:sub>
          </m:sSub>
          <m:r>
            <m:rPr>
              <m:sty m:val="bi"/>
            </m:rPr>
            <w:rPr>
              <w:rFonts w:ascii="Cambria Math" w:hAnsi="Cambria Math" w:cs="Arial"/>
              <w:color w:val="000000" w:themeColor="text1"/>
              <w:lang w:eastAsia="es-CO"/>
            </w:rPr>
            <m:t xml:space="preserve"> ) </m:t>
          </m:r>
        </m:oMath>
      </m:oMathPara>
    </w:p>
    <w:p w14:paraId="1D87418F" w14:textId="77777777" w:rsidR="007968EC" w:rsidRPr="002C0D19" w:rsidRDefault="007968EC" w:rsidP="007968EC">
      <w:pPr>
        <w:ind w:left="709"/>
        <w:jc w:val="both"/>
        <w:rPr>
          <w:rFonts w:ascii="Arial Narrow" w:hAnsi="Arial Narrow" w:cs="Arial"/>
          <w:color w:val="000000" w:themeColor="text1"/>
          <w:lang w:eastAsia="es-CO"/>
        </w:rPr>
      </w:pPr>
    </w:p>
    <w:p w14:paraId="68EADBCB" w14:textId="77777777" w:rsidR="007968EC" w:rsidRPr="002C0D19" w:rsidRDefault="007968EC" w:rsidP="007968EC">
      <w:pPr>
        <w:ind w:left="993"/>
        <w:jc w:val="both"/>
        <w:rPr>
          <w:rFonts w:ascii="Arial Narrow" w:hAnsi="Arial Narrow" w:cs="Arial"/>
          <w:color w:val="000000" w:themeColor="text1"/>
          <w:lang w:eastAsia="es-CO"/>
        </w:rPr>
      </w:pPr>
      <m:oMath>
        <m:r>
          <m:rPr>
            <m:sty m:val="b"/>
          </m:rPr>
          <w:rPr>
            <w:rFonts w:ascii="Cambria Math" w:hAnsi="Cambria Math" w:cs="Arial"/>
            <w:color w:val="000000" w:themeColor="text1"/>
            <w:lang w:eastAsia="es-CO"/>
          </w:rPr>
          <m:t>PM</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Cx</m:t>
            </m:r>
          </m:e>
          <m:sub>
            <m:r>
              <m:rPr>
                <m:sty m:val="bi"/>
              </m:rPr>
              <w:rPr>
                <w:rFonts w:ascii="Cambria Math" w:hAnsi="Cambria Math" w:cs="Arial"/>
                <w:color w:val="000000" w:themeColor="text1"/>
                <w:lang w:eastAsia="es-CO"/>
              </w:rPr>
              <m:t>i</m:t>
            </m:r>
          </m:sub>
        </m:sSub>
        <m:r>
          <m:rPr>
            <m:sty m:val="b"/>
          </m:rPr>
          <w:rPr>
            <w:rFonts w:ascii="Cambria Math" w:hAnsi="Cambria Math" w:cs="Arial"/>
            <w:color w:val="000000" w:themeColor="text1"/>
            <w:lang w:eastAsia="es-CO"/>
          </w:rPr>
          <m:t xml:space="preserve">: </m:t>
        </m:r>
      </m:oMath>
      <w:r w:rsidRPr="002C0D19">
        <w:rPr>
          <w:rFonts w:ascii="Arial Narrow" w:hAnsi="Arial Narrow" w:cs="Arial"/>
          <w:color w:val="000000" w:themeColor="text1"/>
          <w:lang w:eastAsia="es-CO"/>
        </w:rPr>
        <w:t>Precio Margin hipotético Call de un activo con vencimiento i</w:t>
      </w:r>
    </w:p>
    <w:p w14:paraId="14FEFA94" w14:textId="77777777" w:rsidR="007968EC" w:rsidRPr="002C0D19" w:rsidRDefault="00682D97" w:rsidP="007968EC">
      <w:pPr>
        <w:ind w:left="993"/>
        <w:jc w:val="both"/>
        <w:rPr>
          <w:rFonts w:ascii="Arial Narrow" w:hAnsi="Arial Narrow" w:cs="Arial"/>
          <w:color w:val="000000" w:themeColor="text1"/>
          <w:lang w:eastAsia="es-CO"/>
        </w:rPr>
      </w:pP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 xml:space="preserve"> x</m:t>
            </m:r>
          </m:e>
          <m:sub>
            <m:r>
              <m:rPr>
                <m:sty m:val="b"/>
              </m:rPr>
              <w:rPr>
                <w:rFonts w:ascii="Cambria Math" w:hAnsi="Cambria Math" w:cs="Arial"/>
                <w:color w:val="000000" w:themeColor="text1"/>
                <w:lang w:eastAsia="es-CO"/>
              </w:rPr>
              <m:t>i</m:t>
            </m:r>
          </m:sub>
        </m:sSub>
      </m:oMath>
      <w:r w:rsidR="007968EC" w:rsidRPr="002C0D19">
        <w:rPr>
          <w:rFonts w:ascii="Arial Narrow" w:hAnsi="Arial Narrow" w:cs="Arial"/>
          <w:color w:val="000000" w:themeColor="text1"/>
          <w:lang w:eastAsia="es-CO"/>
        </w:rPr>
        <w:t>: Es cualquier Activo con vencimiento i</w:t>
      </w:r>
      <w:r w:rsidR="007968EC" w:rsidRPr="002C0D19" w:rsidDel="008045E0">
        <w:rPr>
          <w:rFonts w:ascii="Arial Narrow" w:hAnsi="Arial Narrow" w:cs="Arial"/>
          <w:color w:val="000000" w:themeColor="text1"/>
          <w:lang w:eastAsia="es-CO"/>
        </w:rPr>
        <w:t xml:space="preserve"> </w:t>
      </w:r>
      <w:r w:rsidR="007968EC" w:rsidRPr="002C0D19">
        <w:rPr>
          <w:rFonts w:ascii="Arial Narrow" w:hAnsi="Arial Narrow" w:cs="Arial"/>
          <w:color w:val="000000" w:themeColor="text1"/>
          <w:lang w:eastAsia="es-CO"/>
        </w:rPr>
        <w:t>objeto de una Operación compensada o liquidada por la Cámara.</w:t>
      </w:r>
    </w:p>
    <w:p w14:paraId="14DFAE99" w14:textId="77777777" w:rsidR="007968EC" w:rsidRPr="002C0D19" w:rsidRDefault="007968EC" w:rsidP="007968EC">
      <w:pPr>
        <w:ind w:left="993"/>
        <w:jc w:val="both"/>
        <w:rPr>
          <w:rFonts w:ascii="Arial Narrow" w:hAnsi="Arial Narrow" w:cs="Arial"/>
          <w:color w:val="000000" w:themeColor="text1"/>
          <w:lang w:eastAsia="es-CO"/>
        </w:rPr>
      </w:pPr>
      <m:oMath>
        <m:r>
          <m:rPr>
            <m:sty m:val="b"/>
          </m:rPr>
          <w:rPr>
            <w:rFonts w:ascii="Cambria Math" w:hAnsi="Cambria Math" w:cs="Arial"/>
            <w:color w:val="000000" w:themeColor="text1"/>
            <w:lang w:eastAsia="es-CO"/>
          </w:rPr>
          <w:lastRenderedPageBreak/>
          <m:t>UP</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C</m:t>
            </m:r>
          </m:e>
          <m:sub>
            <m:r>
              <m:rPr>
                <m:sty m:val="bi"/>
              </m:rPr>
              <w:rPr>
                <w:rFonts w:ascii="Cambria Math" w:hAnsi="Cambria Math" w:cs="Arial"/>
                <w:color w:val="000000" w:themeColor="text1"/>
                <w:lang w:eastAsia="es-CO"/>
              </w:rPr>
              <m:t>x</m:t>
            </m:r>
          </m:sub>
        </m:sSub>
      </m:oMath>
      <w:r w:rsidRPr="002C0D19">
        <w:rPr>
          <w:rFonts w:ascii="Arial Narrow" w:hAnsi="Arial Narrow" w:cs="Arial"/>
          <w:color w:val="000000" w:themeColor="text1"/>
          <w:lang w:eastAsia="es-CO"/>
        </w:rPr>
        <w:t xml:space="preserve">: Último precio del contado de un activo objeto de una Operación tomado de Bloomberg. Para los Activos cuyo subyacente es la TRM se tomará el último precio del contado del dólar marcado por Bloomberg. </w:t>
      </w:r>
    </w:p>
    <w:p w14:paraId="6439EB36" w14:textId="77777777" w:rsidR="007968EC" w:rsidRPr="002C0D19" w:rsidRDefault="007968EC" w:rsidP="007968EC">
      <w:pPr>
        <w:ind w:left="993"/>
        <w:jc w:val="both"/>
        <w:rPr>
          <w:rFonts w:ascii="Arial Narrow" w:hAnsi="Arial Narrow" w:cs="Arial"/>
          <w:color w:val="000000" w:themeColor="text1"/>
          <w:lang w:eastAsia="es-CO"/>
        </w:rPr>
      </w:pPr>
      <m:oMath>
        <m:r>
          <m:rPr>
            <m:sty m:val="b"/>
          </m:rPr>
          <w:rPr>
            <w:rFonts w:ascii="Cambria Math" w:hAnsi="Cambria Math" w:cs="Arial"/>
            <w:color w:val="000000" w:themeColor="text1"/>
            <w:lang w:eastAsia="es-CO"/>
          </w:rPr>
          <m:t>PC</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C</m:t>
            </m:r>
          </m:e>
          <m:sub>
            <m:r>
              <m:rPr>
                <m:sty m:val="bi"/>
              </m:rPr>
              <w:rPr>
                <w:rFonts w:ascii="Cambria Math" w:hAnsi="Cambria Math" w:cs="Arial"/>
                <w:color w:val="000000" w:themeColor="text1"/>
                <w:lang w:eastAsia="es-CO"/>
              </w:rPr>
              <m:t>X</m:t>
            </m:r>
          </m:sub>
        </m:sSub>
      </m:oMath>
      <w:r w:rsidRPr="002C0D19">
        <w:rPr>
          <w:rFonts w:ascii="Arial Narrow" w:hAnsi="Arial Narrow" w:cs="Arial"/>
          <w:color w:val="000000" w:themeColor="text1"/>
          <w:lang w:eastAsia="es-CO"/>
        </w:rPr>
        <w:t>: Precio de cierre (t-1) del contado del activo x objeto de una Operación.</w:t>
      </w:r>
    </w:p>
    <w:p w14:paraId="1D016956" w14:textId="77777777" w:rsidR="007968EC" w:rsidRPr="002C0D19" w:rsidRDefault="00682D97" w:rsidP="007968EC">
      <w:pPr>
        <w:ind w:left="993"/>
        <w:jc w:val="both"/>
        <w:rPr>
          <w:rFonts w:ascii="Arial Narrow" w:hAnsi="Arial Narrow" w:cs="Arial"/>
          <w:color w:val="000000" w:themeColor="text1"/>
          <w:lang w:eastAsia="es-CO"/>
        </w:rPr>
      </w:pP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PLCx</m:t>
            </m:r>
          </m:e>
          <m:sub>
            <m:r>
              <m:rPr>
                <m:sty m:val="b"/>
              </m:rPr>
              <w:rPr>
                <w:rFonts w:ascii="Cambria Math" w:hAnsi="Cambria Math" w:cs="Arial"/>
                <w:color w:val="000000" w:themeColor="text1"/>
                <w:lang w:eastAsia="es-CO"/>
              </w:rPr>
              <m:t xml:space="preserve">i </m:t>
            </m:r>
            <m:d>
              <m:dPr>
                <m:ctrlPr>
                  <w:rPr>
                    <w:rFonts w:ascii="Cambria Math" w:hAnsi="Cambria Math" w:cs="Arial"/>
                    <w:color w:val="000000" w:themeColor="text1"/>
                    <w:lang w:eastAsia="es-CO"/>
                  </w:rPr>
                </m:ctrlPr>
              </m:dPr>
              <m:e>
                <m:r>
                  <m:rPr>
                    <m:sty m:val="b"/>
                  </m:rPr>
                  <w:rPr>
                    <w:rFonts w:ascii="Cambria Math" w:hAnsi="Cambria Math" w:cs="Arial"/>
                    <w:color w:val="000000" w:themeColor="text1"/>
                    <w:lang w:eastAsia="es-CO"/>
                  </w:rPr>
                  <m:t>t-1</m:t>
                </m:r>
              </m:e>
            </m:d>
          </m:sub>
        </m:sSub>
      </m:oMath>
      <w:r w:rsidR="007968EC" w:rsidRPr="002C0D19">
        <w:rPr>
          <w:rFonts w:ascii="Arial Narrow" w:hAnsi="Arial Narrow" w:cs="Arial"/>
          <w:color w:val="000000" w:themeColor="text1"/>
          <w:lang w:eastAsia="es-CO"/>
        </w:rPr>
        <w:t>: Precio de Liquidación de un Activo con vencimiento i según lo definido en el Artículo 1.1.1.2 de la Circular Única de Cámara</w:t>
      </w:r>
      <w:r w:rsidR="007968EC" w:rsidRPr="002C0D19" w:rsidDel="009A6CBE">
        <w:rPr>
          <w:rFonts w:ascii="Arial Narrow" w:hAnsi="Arial Narrow" w:cs="Arial"/>
          <w:color w:val="000000" w:themeColor="text1"/>
          <w:lang w:eastAsia="es-CO"/>
        </w:rPr>
        <w:t xml:space="preserve"> </w:t>
      </w:r>
      <w:r w:rsidR="007968EC" w:rsidRPr="002C0D19">
        <w:rPr>
          <w:rFonts w:ascii="Arial Narrow" w:hAnsi="Arial Narrow" w:cs="Arial"/>
          <w:color w:val="000000" w:themeColor="text1"/>
          <w:lang w:eastAsia="es-CO"/>
        </w:rPr>
        <w:t xml:space="preserve">utilizado por la Cámara en la Sesión de Cierre del día anterior. </w:t>
      </w:r>
    </w:p>
    <w:p w14:paraId="5A32BF3D" w14:textId="77777777" w:rsidR="007968EC" w:rsidRPr="002C0D19" w:rsidRDefault="007968EC" w:rsidP="007968EC">
      <w:pPr>
        <w:ind w:left="2160"/>
        <w:jc w:val="both"/>
        <w:rPr>
          <w:rFonts w:ascii="Arial Narrow" w:hAnsi="Arial Narrow" w:cs="Arial"/>
          <w:color w:val="000000" w:themeColor="text1"/>
          <w:lang w:eastAsia="es-CO"/>
        </w:rPr>
      </w:pPr>
    </w:p>
    <w:p w14:paraId="67DF6D6F" w14:textId="77777777" w:rsidR="007968EC" w:rsidRPr="002C0D19" w:rsidRDefault="007968EC" w:rsidP="007968EC">
      <w:pPr>
        <w:ind w:left="1134"/>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Para vencimientos diferentes del activo </w:t>
      </w: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x</m:t>
            </m:r>
          </m:e>
          <m:sub>
            <m:r>
              <m:rPr>
                <m:sty m:val="bi"/>
              </m:rPr>
              <w:rPr>
                <w:rFonts w:ascii="Cambria Math" w:hAnsi="Cambria Math" w:cs="Arial"/>
                <w:color w:val="000000" w:themeColor="text1"/>
                <w:lang w:eastAsia="es-CO"/>
              </w:rPr>
              <m:t>i≠1</m:t>
            </m:r>
          </m:sub>
        </m:sSub>
      </m:oMath>
      <w:r w:rsidRPr="002C0D19">
        <w:rPr>
          <w:rFonts w:ascii="Arial Narrow" w:hAnsi="Arial Narrow" w:cs="Arial"/>
          <w:color w:val="000000" w:themeColor="text1"/>
          <w:lang w:eastAsia="es-CO"/>
        </w:rPr>
        <w:t xml:space="preserve"> </w:t>
      </w:r>
    </w:p>
    <w:p w14:paraId="01763935" w14:textId="77777777" w:rsidR="007968EC" w:rsidRPr="002C0D19" w:rsidRDefault="007968EC" w:rsidP="007968EC">
      <w:pPr>
        <w:ind w:left="1134"/>
        <w:jc w:val="both"/>
        <w:rPr>
          <w:rFonts w:ascii="Arial Narrow" w:hAnsi="Arial Narrow" w:cs="Arial"/>
          <w:color w:val="000000" w:themeColor="text1"/>
          <w:lang w:eastAsia="es-CO"/>
        </w:rPr>
      </w:pPr>
    </w:p>
    <w:p w14:paraId="2F7D5FBA" w14:textId="77777777" w:rsidR="007968EC" w:rsidRPr="002C0D19" w:rsidRDefault="007968EC" w:rsidP="007968EC">
      <w:pPr>
        <w:ind w:left="851"/>
        <w:jc w:val="center"/>
        <w:rPr>
          <w:rFonts w:ascii="Arial Narrow" w:hAnsi="Arial Narrow" w:cs="Arial"/>
          <w:color w:val="000000" w:themeColor="text1"/>
          <w:lang w:eastAsia="es-CO"/>
        </w:rPr>
      </w:pPr>
      <m:oMathPara>
        <m:oMath>
          <m:r>
            <m:rPr>
              <m:sty m:val="b"/>
            </m:rPr>
            <w:rPr>
              <w:rFonts w:ascii="Cambria Math" w:hAnsi="Cambria Math" w:cs="Arial"/>
              <w:color w:val="000000" w:themeColor="text1"/>
              <w:lang w:eastAsia="es-CO"/>
            </w:rPr>
            <m:t>PMC</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x</m:t>
              </m:r>
            </m:e>
            <m:sub>
              <m:r>
                <m:rPr>
                  <m:sty m:val="b"/>
                </m:rPr>
                <w:rPr>
                  <w:rFonts w:ascii="Cambria Math" w:hAnsi="Cambria Math" w:cs="Arial"/>
                  <w:color w:val="000000" w:themeColor="text1"/>
                  <w:lang w:eastAsia="es-CO"/>
                </w:rPr>
                <m:t>i≠1</m:t>
              </m:r>
            </m:sub>
          </m:sSub>
          <m:r>
            <m:rPr>
              <m:sty m:val="b"/>
            </m:rPr>
            <w:rPr>
              <w:rFonts w:ascii="Cambria Math" w:hAnsi="Cambria Math" w:cs="Arial"/>
              <w:color w:val="000000" w:themeColor="text1"/>
              <w:lang w:eastAsia="es-CO"/>
            </w:rPr>
            <m:t>=</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PMCx</m:t>
              </m:r>
            </m:e>
            <m:sub>
              <m:r>
                <m:rPr>
                  <m:sty m:val="b"/>
                </m:rPr>
                <w:rPr>
                  <w:rFonts w:ascii="Cambria Math" w:hAnsi="Cambria Math" w:cs="Arial"/>
                  <w:color w:val="000000" w:themeColor="text1"/>
                  <w:lang w:eastAsia="es-CO"/>
                </w:rPr>
                <m:t>1</m:t>
              </m:r>
            </m:sub>
          </m:sSub>
          <m:r>
            <m:rPr>
              <m:sty m:val="b"/>
            </m:rPr>
            <w:rPr>
              <w:rFonts w:ascii="Cambria Math" w:hAnsi="Cambria Math" w:cs="Arial"/>
              <w:color w:val="000000" w:themeColor="text1"/>
              <w:lang w:eastAsia="es-CO"/>
            </w:rPr>
            <m:t>+</m:t>
          </m:r>
          <m:d>
            <m:dPr>
              <m:ctrlPr>
                <w:rPr>
                  <w:rFonts w:ascii="Cambria Math" w:hAnsi="Cambria Math" w:cs="Arial"/>
                  <w:color w:val="000000" w:themeColor="text1"/>
                  <w:lang w:eastAsia="es-CO"/>
                </w:rPr>
              </m:ctrlPr>
            </m:dPr>
            <m:e>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PLCx</m:t>
                  </m:r>
                </m:e>
                <m:sub>
                  <m:r>
                    <m:rPr>
                      <m:sty m:val="b"/>
                    </m:rPr>
                    <w:rPr>
                      <w:rFonts w:ascii="Cambria Math" w:hAnsi="Cambria Math" w:cs="Arial"/>
                      <w:color w:val="000000" w:themeColor="text1"/>
                      <w:lang w:eastAsia="es-CO"/>
                    </w:rPr>
                    <m:t>i≠1 (t-1)</m:t>
                  </m:r>
                </m:sub>
              </m:sSub>
              <m:r>
                <m:rPr>
                  <m:sty m:val="b"/>
                </m:rPr>
                <w:rPr>
                  <w:rFonts w:ascii="Cambria Math" w:hAnsi="Cambria Math" w:cs="Arial"/>
                  <w:color w:val="000000" w:themeColor="text1"/>
                  <w:lang w:eastAsia="es-CO"/>
                </w:rPr>
                <m:t>-</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PLCx</m:t>
                  </m:r>
                </m:e>
                <m:sub>
                  <m:r>
                    <m:rPr>
                      <m:sty m:val="b"/>
                    </m:rPr>
                    <w:rPr>
                      <w:rFonts w:ascii="Cambria Math" w:hAnsi="Cambria Math" w:cs="Arial"/>
                      <w:color w:val="000000" w:themeColor="text1"/>
                      <w:lang w:eastAsia="es-CO"/>
                    </w:rPr>
                    <m:t>1 (t-1)</m:t>
                  </m:r>
                </m:sub>
              </m:sSub>
            </m:e>
          </m:d>
        </m:oMath>
      </m:oMathPara>
    </w:p>
    <w:p w14:paraId="77CE2242" w14:textId="77777777" w:rsidR="007968EC" w:rsidRPr="002C0D19" w:rsidRDefault="007968EC" w:rsidP="007968EC">
      <w:pPr>
        <w:ind w:left="993"/>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Donde:</w:t>
      </w:r>
    </w:p>
    <w:p w14:paraId="3A053274" w14:textId="77777777" w:rsidR="007968EC" w:rsidRPr="002C0D19" w:rsidRDefault="007968EC" w:rsidP="007968EC">
      <w:pPr>
        <w:ind w:left="993"/>
        <w:jc w:val="both"/>
        <w:rPr>
          <w:rFonts w:ascii="Arial Narrow" w:hAnsi="Arial Narrow" w:cs="Arial"/>
          <w:color w:val="000000" w:themeColor="text1"/>
          <w:lang w:eastAsia="es-CO"/>
        </w:rPr>
      </w:pPr>
    </w:p>
    <w:p w14:paraId="746D60BB" w14:textId="77777777" w:rsidR="007968EC" w:rsidRPr="002C0D19" w:rsidRDefault="007968EC" w:rsidP="007968EC">
      <w:pPr>
        <w:ind w:left="993"/>
        <w:jc w:val="both"/>
        <w:rPr>
          <w:rFonts w:ascii="Arial Narrow" w:hAnsi="Arial Narrow" w:cs="Arial"/>
          <w:color w:val="000000" w:themeColor="text1"/>
          <w:lang w:eastAsia="es-CO"/>
        </w:rPr>
      </w:pPr>
      <m:oMath>
        <m:r>
          <m:rPr>
            <m:sty m:val="b"/>
          </m:rPr>
          <w:rPr>
            <w:rFonts w:ascii="Cambria Math" w:hAnsi="Cambria Math" w:cs="Arial"/>
            <w:color w:val="000000" w:themeColor="text1"/>
            <w:lang w:eastAsia="es-CO"/>
          </w:rPr>
          <m:t>PMC</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x</m:t>
            </m:r>
          </m:e>
          <m:sub>
            <m:r>
              <m:rPr>
                <m:sty m:val="b"/>
              </m:rPr>
              <w:rPr>
                <w:rFonts w:ascii="Cambria Math" w:hAnsi="Cambria Math" w:cs="Arial"/>
                <w:color w:val="000000" w:themeColor="text1"/>
                <w:lang w:eastAsia="es-CO"/>
              </w:rPr>
              <m:t>i≠1</m:t>
            </m:r>
          </m:sub>
        </m:sSub>
      </m:oMath>
      <w:r w:rsidRPr="002C0D19">
        <w:rPr>
          <w:rFonts w:ascii="Arial Narrow" w:hAnsi="Arial Narrow" w:cs="Arial"/>
          <w:color w:val="000000" w:themeColor="text1"/>
          <w:lang w:eastAsia="es-CO"/>
        </w:rPr>
        <w:t xml:space="preserve">: Precio Margin call hipotético vencimiento </w:t>
      </w: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x</m:t>
            </m:r>
          </m:e>
          <m:sub>
            <m:r>
              <m:rPr>
                <m:sty m:val="bi"/>
              </m:rPr>
              <w:rPr>
                <w:rFonts w:ascii="Cambria Math" w:hAnsi="Cambria Math" w:cs="Arial"/>
                <w:color w:val="000000" w:themeColor="text1"/>
                <w:lang w:eastAsia="es-CO"/>
              </w:rPr>
              <m:t>i≠1</m:t>
            </m:r>
          </m:sub>
        </m:sSub>
      </m:oMath>
    </w:p>
    <w:p w14:paraId="2324E8E9" w14:textId="77777777" w:rsidR="007968EC" w:rsidRPr="002C0D19" w:rsidRDefault="00682D97" w:rsidP="007968EC">
      <w:pPr>
        <w:ind w:left="993"/>
        <w:jc w:val="both"/>
        <w:rPr>
          <w:rFonts w:ascii="Arial Narrow" w:hAnsi="Arial Narrow" w:cs="Arial"/>
          <w:color w:val="000000" w:themeColor="text1"/>
          <w:lang w:eastAsia="es-CO"/>
        </w:rPr>
      </w:pP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PMCx</m:t>
            </m:r>
          </m:e>
          <m:sub>
            <m:r>
              <m:rPr>
                <m:sty m:val="b"/>
              </m:rPr>
              <w:rPr>
                <w:rFonts w:ascii="Cambria Math" w:hAnsi="Cambria Math" w:cs="Arial"/>
                <w:color w:val="000000" w:themeColor="text1"/>
                <w:lang w:eastAsia="es-CO"/>
              </w:rPr>
              <m:t>1</m:t>
            </m:r>
          </m:sub>
        </m:sSub>
      </m:oMath>
      <w:r w:rsidR="007968EC" w:rsidRPr="002C0D19">
        <w:rPr>
          <w:rFonts w:ascii="Arial Narrow" w:hAnsi="Arial Narrow" w:cs="Arial"/>
          <w:color w:val="000000" w:themeColor="text1"/>
          <w:lang w:eastAsia="es-CO"/>
        </w:rPr>
        <w:t xml:space="preserve">: Precio Margin call hipotético del primer vencimiento </w:t>
      </w: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x</m:t>
            </m:r>
          </m:e>
          <m:sub>
            <m:r>
              <m:rPr>
                <m:sty m:val="bi"/>
              </m:rPr>
              <w:rPr>
                <w:rFonts w:ascii="Cambria Math" w:hAnsi="Cambria Math" w:cs="Arial"/>
                <w:color w:val="000000" w:themeColor="text1"/>
                <w:lang w:eastAsia="es-CO"/>
              </w:rPr>
              <m:t>1</m:t>
            </m:r>
          </m:sub>
        </m:sSub>
      </m:oMath>
    </w:p>
    <w:p w14:paraId="5A07F99A" w14:textId="77777777" w:rsidR="007968EC" w:rsidRPr="002C0D19" w:rsidRDefault="00682D97" w:rsidP="007968EC">
      <w:pPr>
        <w:ind w:left="993"/>
        <w:jc w:val="both"/>
        <w:rPr>
          <w:rFonts w:ascii="Arial Narrow" w:hAnsi="Arial Narrow" w:cs="Arial"/>
          <w:color w:val="000000" w:themeColor="text1"/>
          <w:lang w:eastAsia="es-CO"/>
        </w:rPr>
      </w:pP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PLCx</m:t>
            </m:r>
          </m:e>
          <m:sub>
            <m:r>
              <m:rPr>
                <m:sty m:val="b"/>
              </m:rPr>
              <w:rPr>
                <w:rFonts w:ascii="Cambria Math" w:hAnsi="Cambria Math" w:cs="Arial"/>
                <w:color w:val="000000" w:themeColor="text1"/>
                <w:lang w:eastAsia="es-CO"/>
              </w:rPr>
              <m:t>i≠1 (t-1)</m:t>
            </m:r>
          </m:sub>
        </m:sSub>
      </m:oMath>
      <w:r w:rsidR="007968EC" w:rsidRPr="002C0D19">
        <w:rPr>
          <w:rFonts w:ascii="Arial Narrow" w:hAnsi="Arial Narrow" w:cs="Arial"/>
          <w:color w:val="000000" w:themeColor="text1"/>
          <w:lang w:eastAsia="es-CO"/>
        </w:rPr>
        <w:t xml:space="preserve">: Precio de Liquidación para Contratos según el procedimiento de cálculo de Garantías por Posición según el Modelo MEFFCOM2, para cualquier vencimiento diferente al primero </w:t>
      </w: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x</m:t>
            </m:r>
          </m:e>
          <m:sub>
            <m:r>
              <m:rPr>
                <m:sty m:val="b"/>
              </m:rPr>
              <w:rPr>
                <w:rFonts w:ascii="Cambria Math" w:hAnsi="Cambria Math" w:cs="Arial"/>
                <w:color w:val="000000" w:themeColor="text1"/>
                <w:lang w:eastAsia="es-CO"/>
              </w:rPr>
              <m:t>i≠1</m:t>
            </m:r>
          </m:sub>
        </m:sSub>
      </m:oMath>
      <w:r w:rsidR="007968EC" w:rsidRPr="002C0D19">
        <w:rPr>
          <w:rFonts w:ascii="Arial Narrow" w:hAnsi="Arial Narrow" w:cs="Arial"/>
          <w:color w:val="000000" w:themeColor="text1"/>
          <w:lang w:eastAsia="es-CO"/>
        </w:rPr>
        <w:t xml:space="preserve">, utilizado por la Cámara en la Sesión de Cierre del día anterior. </w:t>
      </w:r>
    </w:p>
    <w:p w14:paraId="7EFF634E" w14:textId="77777777" w:rsidR="007968EC" w:rsidRPr="002C0D19" w:rsidRDefault="00682D97" w:rsidP="007968EC">
      <w:pPr>
        <w:ind w:left="993"/>
        <w:jc w:val="both"/>
        <w:rPr>
          <w:rFonts w:ascii="Arial Narrow" w:hAnsi="Arial Narrow" w:cs="Arial"/>
          <w:color w:val="000000" w:themeColor="text1"/>
          <w:lang w:eastAsia="es-CO"/>
        </w:rPr>
      </w:pPr>
      <m:oMath>
        <m:sSub>
          <m:sSubPr>
            <m:ctrlPr>
              <w:rPr>
                <w:rFonts w:ascii="Cambria Math" w:hAnsi="Cambria Math" w:cs="Arial"/>
                <w:color w:val="000000" w:themeColor="text1"/>
                <w:lang w:eastAsia="es-CO"/>
              </w:rPr>
            </m:ctrlPr>
          </m:sSubPr>
          <m:e>
            <m:r>
              <m:rPr>
                <m:sty m:val="b"/>
              </m:rPr>
              <w:rPr>
                <w:rFonts w:ascii="Cambria Math" w:hAnsi="Cambria Math" w:cs="Cambria Math"/>
                <w:color w:val="000000" w:themeColor="text1"/>
                <w:lang w:eastAsia="es-CO"/>
              </w:rPr>
              <m:t>P</m:t>
            </m:r>
            <m:r>
              <m:rPr>
                <m:sty m:val="b"/>
              </m:rPr>
              <w:rPr>
                <w:rFonts w:ascii="Cambria Math" w:hAnsi="Cambria Math" w:cs="Arial"/>
                <w:color w:val="000000" w:themeColor="text1"/>
                <w:lang w:eastAsia="es-CO"/>
              </w:rPr>
              <m:t>LCx</m:t>
            </m:r>
          </m:e>
          <m:sub>
            <m:r>
              <m:rPr>
                <m:sty m:val="b"/>
              </m:rPr>
              <w:rPr>
                <w:rFonts w:ascii="Cambria Math" w:hAnsi="Cambria Math" w:cs="Arial"/>
                <w:color w:val="000000" w:themeColor="text1"/>
                <w:lang w:eastAsia="es-CO"/>
              </w:rPr>
              <m:t>1 (t-1)</m:t>
            </m:r>
          </m:sub>
        </m:sSub>
      </m:oMath>
      <w:r w:rsidR="007968EC" w:rsidRPr="002C0D19">
        <w:rPr>
          <w:rFonts w:ascii="Arial Narrow" w:hAnsi="Arial Narrow" w:cs="Arial"/>
          <w:color w:val="000000" w:themeColor="text1"/>
          <w:lang w:eastAsia="es-CO"/>
        </w:rPr>
        <w:t xml:space="preserve">: Precio de Liquidación para Contratos según el procedimiento de cálculo de Garantías por Posición según el Modelo MEFFCOM2, para el primer vencimiento </w:t>
      </w: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x</m:t>
            </m:r>
          </m:e>
          <m:sub>
            <m:r>
              <m:rPr>
                <m:sty m:val="b"/>
              </m:rPr>
              <w:rPr>
                <w:rFonts w:ascii="Cambria Math" w:hAnsi="Cambria Math" w:cs="Arial"/>
                <w:color w:val="000000" w:themeColor="text1"/>
                <w:lang w:eastAsia="es-CO"/>
              </w:rPr>
              <m:t>1</m:t>
            </m:r>
          </m:sub>
        </m:sSub>
      </m:oMath>
      <w:r w:rsidR="007968EC" w:rsidRPr="002C0D19">
        <w:rPr>
          <w:rFonts w:ascii="Arial Narrow" w:hAnsi="Arial Narrow" w:cs="Arial"/>
          <w:color w:val="000000" w:themeColor="text1"/>
          <w:lang w:eastAsia="es-CO"/>
        </w:rPr>
        <w:t xml:space="preserve">, utilizado por la Cámara en la Sesión de Cierre del día anterior. </w:t>
      </w:r>
    </w:p>
    <w:p w14:paraId="2691A9CA" w14:textId="77777777" w:rsidR="007968EC" w:rsidRPr="002C0D19" w:rsidRDefault="007968EC" w:rsidP="007968EC">
      <w:pPr>
        <w:ind w:left="1134"/>
        <w:jc w:val="both"/>
        <w:rPr>
          <w:rFonts w:ascii="Arial Narrow" w:hAnsi="Arial Narrow" w:cs="Arial"/>
          <w:color w:val="000000" w:themeColor="text1"/>
          <w:lang w:eastAsia="es-CO"/>
        </w:rPr>
      </w:pPr>
    </w:p>
    <w:p w14:paraId="3D2B6700" w14:textId="77777777" w:rsidR="007968EC" w:rsidRPr="002C0D19" w:rsidRDefault="007968EC" w:rsidP="007968EC">
      <w:pPr>
        <w:ind w:left="2160"/>
        <w:jc w:val="both"/>
        <w:rPr>
          <w:rFonts w:ascii="Arial Narrow" w:hAnsi="Arial Narrow" w:cs="Arial"/>
          <w:color w:val="000000" w:themeColor="text1"/>
          <w:lang w:eastAsia="es-CO"/>
        </w:rPr>
      </w:pPr>
    </w:p>
    <w:p w14:paraId="451B42D1" w14:textId="77777777" w:rsidR="007968EC" w:rsidRPr="002C0D19" w:rsidRDefault="007968EC" w:rsidP="00DA7472">
      <w:pPr>
        <w:numPr>
          <w:ilvl w:val="2"/>
          <w:numId w:val="14"/>
        </w:numPr>
        <w:ind w:left="993"/>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Se establece si la variación del precio Margin Call hipotético supera el parámetro de "Fluctuación para llamados a Garantías Extraordinarias” del activo objeto de una Operación de acuerdo a la siguiente desigualdad:</w:t>
      </w:r>
    </w:p>
    <w:p w14:paraId="41DF2145" w14:textId="77777777" w:rsidR="007968EC" w:rsidRPr="002C0D19" w:rsidRDefault="007968EC" w:rsidP="007968EC">
      <w:pPr>
        <w:ind w:left="851"/>
        <w:jc w:val="both"/>
        <w:rPr>
          <w:rFonts w:ascii="Arial Narrow" w:hAnsi="Arial Narrow" w:cs="Arial"/>
          <w:color w:val="000000" w:themeColor="text1"/>
          <w:lang w:eastAsia="es-CO"/>
        </w:rPr>
      </w:pPr>
    </w:p>
    <w:p w14:paraId="280C29A3" w14:textId="77777777" w:rsidR="007968EC" w:rsidRPr="002C0D19" w:rsidRDefault="007968EC" w:rsidP="007968EC">
      <w:pPr>
        <w:ind w:left="851"/>
        <w:jc w:val="center"/>
        <w:rPr>
          <w:rFonts w:ascii="Arial Narrow" w:hAnsi="Arial Narrow" w:cs="Arial"/>
          <w:color w:val="000000" w:themeColor="text1"/>
          <w:lang w:eastAsia="es-CO"/>
        </w:rPr>
      </w:pPr>
      <m:oMathPara>
        <m:oMath>
          <m:r>
            <m:rPr>
              <m:sty m:val="b"/>
            </m:rPr>
            <w:rPr>
              <w:rFonts w:ascii="Cambria Math" w:hAnsi="Cambria Math" w:cs="Arial"/>
              <w:color w:val="000000" w:themeColor="text1"/>
              <w:lang w:eastAsia="es-CO"/>
            </w:rPr>
            <m:t>-</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FGE</m:t>
              </m:r>
            </m:e>
            <m:sub>
              <m:r>
                <m:rPr>
                  <m:sty m:val="bi"/>
                </m:rPr>
                <w:rPr>
                  <w:rFonts w:ascii="Cambria Math" w:hAnsi="Cambria Math" w:cs="Arial"/>
                  <w:color w:val="000000" w:themeColor="text1"/>
                  <w:lang w:eastAsia="es-CO"/>
                </w:rPr>
                <m:t>X</m:t>
              </m:r>
            </m:sub>
          </m:sSub>
          <m:r>
            <m:rPr>
              <m:sty m:val="b"/>
            </m:rPr>
            <w:rPr>
              <w:rFonts w:ascii="Cambria Math" w:hAnsi="Cambria Math" w:cs="Arial"/>
              <w:color w:val="000000" w:themeColor="text1"/>
              <w:lang w:eastAsia="es-CO"/>
            </w:rPr>
            <m:t>≥</m:t>
          </m:r>
          <m:f>
            <m:fPr>
              <m:ctrlPr>
                <w:rPr>
                  <w:rFonts w:ascii="Cambria Math" w:hAnsi="Cambria Math" w:cs="Arial"/>
                  <w:color w:val="000000" w:themeColor="text1"/>
                  <w:lang w:eastAsia="es-CO"/>
                </w:rPr>
              </m:ctrlPr>
            </m:fPr>
            <m:num>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PMCx</m:t>
                  </m:r>
                </m:e>
                <m:sub>
                  <m:r>
                    <m:rPr>
                      <m:sty m:val="b"/>
                    </m:rPr>
                    <w:rPr>
                      <w:rFonts w:ascii="Cambria Math" w:hAnsi="Cambria Math" w:cs="Arial"/>
                      <w:color w:val="000000" w:themeColor="text1"/>
                      <w:lang w:eastAsia="es-CO"/>
                    </w:rPr>
                    <m:t>i</m:t>
                  </m:r>
                </m:sub>
              </m:sSub>
            </m:num>
            <m:den>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PLCx</m:t>
                  </m:r>
                </m:e>
                <m:sub>
                  <m:r>
                    <m:rPr>
                      <m:sty m:val="b"/>
                    </m:rPr>
                    <w:rPr>
                      <w:rFonts w:ascii="Cambria Math" w:hAnsi="Cambria Math" w:cs="Arial"/>
                      <w:color w:val="000000" w:themeColor="text1"/>
                      <w:lang w:eastAsia="es-CO"/>
                    </w:rPr>
                    <m:t xml:space="preserve">i </m:t>
                  </m:r>
                  <m:d>
                    <m:dPr>
                      <m:ctrlPr>
                        <w:rPr>
                          <w:rFonts w:ascii="Cambria Math" w:hAnsi="Cambria Math" w:cs="Arial"/>
                          <w:color w:val="000000" w:themeColor="text1"/>
                          <w:lang w:eastAsia="es-CO"/>
                        </w:rPr>
                      </m:ctrlPr>
                    </m:dPr>
                    <m:e>
                      <m:r>
                        <m:rPr>
                          <m:sty m:val="b"/>
                        </m:rPr>
                        <w:rPr>
                          <w:rFonts w:ascii="Cambria Math" w:hAnsi="Cambria Math" w:cs="Arial"/>
                          <w:color w:val="000000" w:themeColor="text1"/>
                          <w:lang w:eastAsia="es-CO"/>
                        </w:rPr>
                        <m:t>t-1</m:t>
                      </m:r>
                    </m:e>
                  </m:d>
                </m:sub>
              </m:sSub>
              <m:r>
                <m:rPr>
                  <m:sty m:val="b"/>
                </m:rPr>
                <w:rPr>
                  <w:rFonts w:ascii="Cambria Math" w:hAnsi="Cambria Math" w:cs="Arial"/>
                  <w:color w:val="000000" w:themeColor="text1"/>
                  <w:lang w:eastAsia="es-CO"/>
                </w:rPr>
                <m:t xml:space="preserve"> </m:t>
              </m:r>
            </m:den>
          </m:f>
          <m:r>
            <m:rPr>
              <m:sty m:val="b"/>
            </m:rPr>
            <w:rPr>
              <w:rFonts w:ascii="Cambria Math" w:hAnsi="Cambria Math" w:cs="Arial"/>
              <w:color w:val="000000" w:themeColor="text1"/>
              <w:lang w:eastAsia="es-CO"/>
            </w:rPr>
            <m:t>-1≥</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FGE</m:t>
              </m:r>
            </m:e>
            <m:sub>
              <m:r>
                <m:rPr>
                  <m:sty m:val="bi"/>
                </m:rPr>
                <w:rPr>
                  <w:rFonts w:ascii="Cambria Math" w:hAnsi="Cambria Math" w:cs="Arial"/>
                  <w:color w:val="000000" w:themeColor="text1"/>
                  <w:lang w:eastAsia="es-CO"/>
                </w:rPr>
                <m:t>X</m:t>
              </m:r>
            </m:sub>
          </m:sSub>
        </m:oMath>
      </m:oMathPara>
    </w:p>
    <w:p w14:paraId="75A61652" w14:textId="77777777" w:rsidR="007968EC" w:rsidRPr="002C0D19" w:rsidRDefault="007968EC" w:rsidP="007968EC">
      <w:pPr>
        <w:ind w:left="993"/>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Donde: </w:t>
      </w:r>
    </w:p>
    <w:p w14:paraId="7FB34C42" w14:textId="77777777" w:rsidR="007968EC" w:rsidRPr="002C0D19" w:rsidRDefault="007968EC" w:rsidP="007968EC">
      <w:pPr>
        <w:ind w:left="993"/>
        <w:jc w:val="both"/>
        <w:rPr>
          <w:rFonts w:ascii="Arial Narrow" w:hAnsi="Arial Narrow" w:cs="Arial"/>
          <w:color w:val="000000" w:themeColor="text1"/>
          <w:lang w:eastAsia="es-CO"/>
        </w:rPr>
      </w:pPr>
    </w:p>
    <w:p w14:paraId="1C818594" w14:textId="77777777" w:rsidR="007968EC" w:rsidRPr="002C0D19" w:rsidRDefault="00682D97" w:rsidP="007968EC">
      <w:pPr>
        <w:ind w:left="993"/>
        <w:jc w:val="both"/>
        <w:rPr>
          <w:rFonts w:ascii="Arial Narrow" w:hAnsi="Arial Narrow" w:cs="Arial"/>
          <w:color w:val="000000" w:themeColor="text1"/>
          <w:lang w:eastAsia="es-CO"/>
        </w:rPr>
      </w:pP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 xml:space="preserve"> x</m:t>
            </m:r>
          </m:e>
          <m:sub>
            <m:r>
              <m:rPr>
                <m:sty m:val="b"/>
              </m:rPr>
              <w:rPr>
                <w:rFonts w:ascii="Cambria Math" w:hAnsi="Cambria Math" w:cs="Arial"/>
                <w:color w:val="000000" w:themeColor="text1"/>
                <w:lang w:eastAsia="es-CO"/>
              </w:rPr>
              <m:t>i</m:t>
            </m:r>
          </m:sub>
        </m:sSub>
      </m:oMath>
      <w:r w:rsidR="007968EC" w:rsidRPr="002C0D19">
        <w:rPr>
          <w:rFonts w:ascii="Arial Narrow" w:hAnsi="Arial Narrow" w:cs="Arial"/>
          <w:color w:val="000000" w:themeColor="text1"/>
          <w:lang w:eastAsia="es-CO"/>
        </w:rPr>
        <w:t>: Es cualquier Activo con vencimiento i</w:t>
      </w:r>
      <w:r w:rsidR="007968EC" w:rsidRPr="002C0D19" w:rsidDel="008045E0">
        <w:rPr>
          <w:rFonts w:ascii="Arial Narrow" w:hAnsi="Arial Narrow" w:cs="Arial"/>
          <w:color w:val="000000" w:themeColor="text1"/>
          <w:lang w:eastAsia="es-CO"/>
        </w:rPr>
        <w:t xml:space="preserve"> </w:t>
      </w:r>
      <w:r w:rsidR="007968EC" w:rsidRPr="002C0D19">
        <w:rPr>
          <w:rFonts w:ascii="Arial Narrow" w:hAnsi="Arial Narrow" w:cs="Arial"/>
          <w:color w:val="000000" w:themeColor="text1"/>
          <w:lang w:eastAsia="es-CO"/>
        </w:rPr>
        <w:t>objeto de una Operación compensada o liquidada por la Cámara.</w:t>
      </w:r>
    </w:p>
    <w:p w14:paraId="2FEE2D26" w14:textId="77777777" w:rsidR="007968EC" w:rsidRPr="002C0D19" w:rsidRDefault="007968EC" w:rsidP="007968EC">
      <w:pPr>
        <w:ind w:left="993"/>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 </w:t>
      </w:r>
      <m:oMath>
        <m:r>
          <m:rPr>
            <m:sty m:val="b"/>
          </m:rPr>
          <w:rPr>
            <w:rFonts w:ascii="Cambria Math" w:hAnsi="Cambria Math" w:cs="Arial"/>
            <w:color w:val="000000" w:themeColor="text1"/>
            <w:lang w:eastAsia="es-CO"/>
          </w:rPr>
          <m:t>FG</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E</m:t>
            </m:r>
          </m:e>
          <m:sub>
            <m:r>
              <m:rPr>
                <m:sty m:val="bi"/>
              </m:rPr>
              <w:rPr>
                <w:rFonts w:ascii="Cambria Math" w:hAnsi="Cambria Math" w:cs="Arial"/>
                <w:color w:val="000000" w:themeColor="text1"/>
                <w:lang w:eastAsia="es-CO"/>
              </w:rPr>
              <m:t>X</m:t>
            </m:r>
          </m:sub>
        </m:sSub>
      </m:oMath>
      <w:r w:rsidRPr="002C0D19">
        <w:rPr>
          <w:rFonts w:ascii="Arial Narrow" w:hAnsi="Arial Narrow" w:cs="Arial"/>
          <w:color w:val="000000" w:themeColor="text1"/>
          <w:lang w:eastAsia="es-CO"/>
        </w:rPr>
        <w:t>: Parámetro de Fluctuación para llamados a Garantías Extraordinarias establecido para un Activo objeto de una Operación compensada o liquidada por la Cámara.</w:t>
      </w:r>
    </w:p>
    <w:p w14:paraId="5F46CEFD" w14:textId="77777777" w:rsidR="007968EC" w:rsidRPr="002C0D19" w:rsidRDefault="00682D97" w:rsidP="007968EC">
      <w:pPr>
        <w:ind w:left="993"/>
        <w:jc w:val="both"/>
        <w:rPr>
          <w:rFonts w:ascii="Arial Narrow" w:hAnsi="Arial Narrow" w:cs="Arial"/>
          <w:color w:val="000000" w:themeColor="text1"/>
          <w:lang w:eastAsia="es-CO"/>
        </w:rPr>
      </w:pP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PMCx</m:t>
            </m:r>
          </m:e>
          <m:sub>
            <m:r>
              <m:rPr>
                <m:sty m:val="b"/>
              </m:rPr>
              <w:rPr>
                <w:rFonts w:ascii="Cambria Math" w:hAnsi="Cambria Math" w:cs="Arial"/>
                <w:color w:val="000000" w:themeColor="text1"/>
                <w:lang w:eastAsia="es-CO"/>
              </w:rPr>
              <m:t>i</m:t>
            </m:r>
          </m:sub>
        </m:sSub>
      </m:oMath>
      <w:r w:rsidR="007968EC" w:rsidRPr="002C0D19">
        <w:rPr>
          <w:rFonts w:ascii="Arial Narrow" w:hAnsi="Arial Narrow" w:cs="Arial"/>
          <w:color w:val="000000" w:themeColor="text1"/>
          <w:lang w:eastAsia="es-CO"/>
        </w:rPr>
        <w:t>: Precio Margin Call hipotético calculado para el Activo con vencimiento i objeto de una Operación</w:t>
      </w:r>
    </w:p>
    <w:p w14:paraId="3A7FA4FD" w14:textId="77777777" w:rsidR="007968EC" w:rsidRPr="002C0D19" w:rsidRDefault="00682D97" w:rsidP="007968EC">
      <w:pPr>
        <w:ind w:left="993"/>
        <w:jc w:val="both"/>
        <w:rPr>
          <w:rFonts w:ascii="Arial Narrow" w:hAnsi="Arial Narrow" w:cs="Arial"/>
          <w:color w:val="000000" w:themeColor="text1"/>
          <w:lang w:eastAsia="es-CO"/>
        </w:rPr>
      </w:pP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PLCx</m:t>
            </m:r>
          </m:e>
          <m:sub>
            <m:r>
              <m:rPr>
                <m:sty m:val="b"/>
              </m:rPr>
              <w:rPr>
                <w:rFonts w:ascii="Cambria Math" w:hAnsi="Cambria Math" w:cs="Arial"/>
                <w:color w:val="000000" w:themeColor="text1"/>
                <w:lang w:eastAsia="es-CO"/>
              </w:rPr>
              <m:t xml:space="preserve">i </m:t>
            </m:r>
            <m:d>
              <m:dPr>
                <m:ctrlPr>
                  <w:rPr>
                    <w:rFonts w:ascii="Cambria Math" w:hAnsi="Cambria Math" w:cs="Arial"/>
                    <w:color w:val="000000" w:themeColor="text1"/>
                    <w:lang w:eastAsia="es-CO"/>
                  </w:rPr>
                </m:ctrlPr>
              </m:dPr>
              <m:e>
                <m:r>
                  <m:rPr>
                    <m:sty m:val="b"/>
                  </m:rPr>
                  <w:rPr>
                    <w:rFonts w:ascii="Cambria Math" w:hAnsi="Cambria Math" w:cs="Arial"/>
                    <w:color w:val="000000" w:themeColor="text1"/>
                    <w:lang w:eastAsia="es-CO"/>
                  </w:rPr>
                  <m:t>t-1</m:t>
                </m:r>
              </m:e>
            </m:d>
          </m:sub>
        </m:sSub>
      </m:oMath>
      <w:r w:rsidR="007968EC" w:rsidRPr="002C0D19">
        <w:rPr>
          <w:rFonts w:ascii="Arial Narrow" w:hAnsi="Arial Narrow" w:cs="Arial"/>
          <w:color w:val="000000" w:themeColor="text1"/>
          <w:lang w:eastAsia="es-CO"/>
        </w:rPr>
        <w:t>: Precio de Liquidación de un Activo con vencimiento i según lo definido en el Artículo 1.1.1.2 de la Circular Única de Cámara</w:t>
      </w:r>
      <w:r w:rsidR="007968EC" w:rsidRPr="002C0D19" w:rsidDel="009A6CBE">
        <w:rPr>
          <w:rFonts w:ascii="Arial Narrow" w:hAnsi="Arial Narrow" w:cs="Arial"/>
          <w:color w:val="000000" w:themeColor="text1"/>
          <w:lang w:eastAsia="es-CO"/>
        </w:rPr>
        <w:t xml:space="preserve"> </w:t>
      </w:r>
      <w:r w:rsidR="007968EC" w:rsidRPr="002C0D19">
        <w:rPr>
          <w:rFonts w:ascii="Arial Narrow" w:hAnsi="Arial Narrow" w:cs="Arial"/>
          <w:color w:val="000000" w:themeColor="text1"/>
          <w:lang w:eastAsia="es-CO"/>
        </w:rPr>
        <w:t xml:space="preserve">utilizado por la Cámara en la Sesión de Cierre del día anterior. </w:t>
      </w:r>
    </w:p>
    <w:p w14:paraId="4DE95906" w14:textId="77777777" w:rsidR="007968EC" w:rsidRPr="002C0D19" w:rsidRDefault="007968EC" w:rsidP="007968EC">
      <w:pPr>
        <w:ind w:left="993"/>
        <w:jc w:val="both"/>
        <w:rPr>
          <w:rFonts w:ascii="Arial Narrow" w:hAnsi="Arial Narrow" w:cs="Arial"/>
          <w:color w:val="000000" w:themeColor="text1"/>
          <w:lang w:eastAsia="es-CO"/>
        </w:rPr>
      </w:pPr>
    </w:p>
    <w:p w14:paraId="0C09103A" w14:textId="77777777" w:rsidR="007968EC" w:rsidRPr="002C0D19" w:rsidRDefault="007968EC" w:rsidP="00DA7472">
      <w:pPr>
        <w:numPr>
          <w:ilvl w:val="3"/>
          <w:numId w:val="165"/>
        </w:numPr>
        <w:tabs>
          <w:tab w:val="left" w:pos="426"/>
        </w:tabs>
        <w:ind w:left="284"/>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lastRenderedPageBreak/>
        <w:t xml:space="preserve">Se determina el importe que deberá ser constituido como Garantía Extraordinaria por parte de los Miembros Liquidadores por concepto de Margin Call, mediante la aplicación de la siguiente fórmula: </w:t>
      </w:r>
    </w:p>
    <w:p w14:paraId="52C03AC4" w14:textId="77777777" w:rsidR="007968EC" w:rsidRPr="002C0D19" w:rsidRDefault="007968EC" w:rsidP="007968EC">
      <w:pPr>
        <w:ind w:left="284"/>
        <w:jc w:val="both"/>
        <w:rPr>
          <w:rFonts w:ascii="Arial Narrow" w:hAnsi="Arial Narrow" w:cs="Arial"/>
          <w:color w:val="000000" w:themeColor="text1"/>
          <w:lang w:eastAsia="es-CO"/>
        </w:rPr>
      </w:pPr>
    </w:p>
    <w:p w14:paraId="339B45CC" w14:textId="77777777" w:rsidR="007968EC" w:rsidRPr="002C0D19" w:rsidRDefault="007968EC" w:rsidP="007968EC">
      <w:pPr>
        <w:ind w:left="284"/>
        <w:jc w:val="center"/>
        <w:rPr>
          <w:rFonts w:ascii="Arial Narrow" w:hAnsi="Arial Narrow" w:cs="Arial"/>
          <w:color w:val="000000" w:themeColor="text1"/>
          <w:lang w:eastAsia="es-CO"/>
        </w:rPr>
      </w:pPr>
      <m:oMathPara>
        <m:oMath>
          <m:r>
            <m:rPr>
              <m:sty m:val="bi"/>
            </m:rPr>
            <w:rPr>
              <w:rFonts w:ascii="Cambria Math" w:hAnsi="Cambria Math" w:cs="Arial"/>
              <w:color w:val="000000" w:themeColor="text1"/>
              <w:lang w:eastAsia="es-CO"/>
            </w:rPr>
            <m:t>Importe de Margin Call=Excesos+</m:t>
          </m:r>
          <m:nary>
            <m:naryPr>
              <m:chr m:val="∑"/>
              <m:limLoc m:val="undOvr"/>
              <m:ctrlPr>
                <w:rPr>
                  <w:rFonts w:ascii="Cambria Math" w:hAnsi="Cambria Math" w:cs="Arial"/>
                  <w:i/>
                  <w:color w:val="000000" w:themeColor="text1"/>
                  <w:lang w:eastAsia="es-CO"/>
                </w:rPr>
              </m:ctrlPr>
            </m:naryPr>
            <m:sub>
              <m:r>
                <m:rPr>
                  <m:sty m:val="bi"/>
                </m:rPr>
                <w:rPr>
                  <w:rFonts w:ascii="Cambria Math" w:hAnsi="Cambria Math" w:cs="Arial"/>
                  <w:color w:val="000000" w:themeColor="text1"/>
                  <w:lang w:eastAsia="es-CO"/>
                </w:rPr>
                <m:t>c=1</m:t>
              </m:r>
            </m:sub>
            <m:sup>
              <m:r>
                <m:rPr>
                  <m:sty m:val="bi"/>
                </m:rPr>
                <w:rPr>
                  <w:rFonts w:ascii="Cambria Math" w:hAnsi="Cambria Math" w:cs="Arial"/>
                  <w:color w:val="000000" w:themeColor="text1"/>
                  <w:lang w:eastAsia="es-CO"/>
                </w:rPr>
                <m:t>n</m:t>
              </m:r>
            </m:sup>
            <m:e>
              <m:r>
                <m:rPr>
                  <m:sty m:val="bi"/>
                </m:rPr>
                <w:rPr>
                  <w:rFonts w:ascii="Cambria Math" w:hAnsi="Cambria Math" w:cs="Arial"/>
                  <w:color w:val="000000" w:themeColor="text1"/>
                  <w:lang w:eastAsia="es-CO"/>
                </w:rPr>
                <m:t>RS, para todo RS</m:t>
              </m:r>
            </m:e>
          </m:nary>
          <m:r>
            <m:rPr>
              <m:sty m:val="bi"/>
            </m:rPr>
            <w:rPr>
              <w:rFonts w:ascii="Cambria Math" w:hAnsi="Cambria Math" w:cs="Arial"/>
              <w:color w:val="000000" w:themeColor="text1"/>
              <w:lang w:eastAsia="es-CO"/>
            </w:rPr>
            <m:t>&lt; 0</m:t>
          </m:r>
        </m:oMath>
      </m:oMathPara>
    </w:p>
    <w:p w14:paraId="66D17FB8" w14:textId="77777777" w:rsidR="007968EC" w:rsidRPr="002C0D19" w:rsidRDefault="007968EC" w:rsidP="007968EC">
      <w:pPr>
        <w:ind w:left="284"/>
        <w:jc w:val="both"/>
        <w:rPr>
          <w:rFonts w:ascii="Arial Narrow" w:hAnsi="Arial Narrow" w:cs="Arial"/>
          <w:color w:val="000000" w:themeColor="text1"/>
          <w:lang w:eastAsia="es-CO"/>
        </w:rPr>
      </w:pPr>
    </w:p>
    <w:p w14:paraId="0E1DA32B" w14:textId="77777777" w:rsidR="007968EC" w:rsidRPr="002C0D19" w:rsidRDefault="007968EC" w:rsidP="007968EC">
      <w:pPr>
        <w:ind w:left="426"/>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Como indica la fórmula solo se tendrán en cuenta los RS con signo negativo. Cuando </w:t>
      </w:r>
      <m:oMath>
        <m:r>
          <m:rPr>
            <m:sty m:val="b"/>
          </m:rPr>
          <w:rPr>
            <w:rFonts w:ascii="Cambria Math" w:hAnsi="Cambria Math" w:cs="Arial"/>
            <w:color w:val="000000" w:themeColor="text1"/>
            <w:lang w:eastAsia="es-CO"/>
          </w:rPr>
          <m:t>Importe de Margin Call</m:t>
        </m:r>
      </m:oMath>
      <w:r w:rsidRPr="002C0D19">
        <w:rPr>
          <w:rFonts w:ascii="Arial Narrow" w:hAnsi="Arial Narrow" w:cs="Arial"/>
          <w:color w:val="000000" w:themeColor="text1"/>
          <w:lang w:eastAsia="es-CO"/>
        </w:rPr>
        <w:t>, sea mayor a cero el importe que deberá ser constituido como Garantía Extraordinaria será cero.</w:t>
      </w:r>
    </w:p>
    <w:p w14:paraId="22095CA0" w14:textId="77777777" w:rsidR="007968EC" w:rsidRPr="002C0D19" w:rsidRDefault="007968EC" w:rsidP="007968EC">
      <w:pPr>
        <w:ind w:left="284"/>
        <w:jc w:val="both"/>
        <w:rPr>
          <w:rFonts w:ascii="Arial Narrow" w:hAnsi="Arial Narrow" w:cs="Arial"/>
          <w:color w:val="000000" w:themeColor="text1"/>
          <w:lang w:eastAsia="es-CO"/>
        </w:rPr>
      </w:pPr>
    </w:p>
    <w:p w14:paraId="5C331BD9" w14:textId="77777777" w:rsidR="007968EC" w:rsidRPr="002C0D19" w:rsidRDefault="007968EC" w:rsidP="007968EC">
      <w:pPr>
        <w:ind w:left="426"/>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Donde: </w:t>
      </w:r>
    </w:p>
    <w:p w14:paraId="2FC036BD" w14:textId="77777777" w:rsidR="007968EC" w:rsidRPr="002C0D19" w:rsidRDefault="007968EC" w:rsidP="007968EC">
      <w:pPr>
        <w:ind w:left="426"/>
        <w:jc w:val="both"/>
        <w:rPr>
          <w:rFonts w:ascii="Arial Narrow" w:hAnsi="Arial Narrow" w:cs="Arial"/>
          <w:i/>
          <w:color w:val="000000" w:themeColor="text1"/>
          <w:lang w:eastAsia="es-CO"/>
        </w:rPr>
      </w:pPr>
      <w:r w:rsidRPr="002C0D19">
        <w:rPr>
          <w:rFonts w:ascii="Arial Narrow" w:hAnsi="Arial Narrow" w:cs="Arial"/>
          <w:color w:val="000000" w:themeColor="text1"/>
          <w:lang w:eastAsia="es-CO"/>
        </w:rPr>
        <w:br/>
      </w:r>
      <m:oMathPara>
        <m:oMathParaPr>
          <m:jc m:val="left"/>
        </m:oMathParaPr>
        <m:oMath>
          <m:r>
            <m:rPr>
              <m:sty m:val="bi"/>
            </m:rPr>
            <w:rPr>
              <w:rFonts w:ascii="Cambria Math" w:hAnsi="Cambria Math" w:cs="Arial"/>
              <w:color w:val="000000" w:themeColor="text1"/>
              <w:lang w:eastAsia="es-CO"/>
            </w:rPr>
            <m:t>Excesos=Garantía Extraordinaria depositada+Garantía Individual d</m:t>
          </m:r>
          <m:r>
            <m:rPr>
              <m:sty m:val="bi"/>
            </m:rPr>
            <w:rPr>
              <w:rFonts w:ascii="Cambria Math" w:hAnsi="Cambria Math" w:cs="Cambria Math"/>
              <w:color w:val="000000" w:themeColor="text1"/>
              <w:lang w:eastAsia="es-CO"/>
            </w:rPr>
            <m:t>e</m:t>
          </m:r>
          <m:r>
            <m:rPr>
              <m:sty m:val="bi"/>
            </m:rPr>
            <w:rPr>
              <w:rFonts w:ascii="Cambria Math" w:hAnsi="Cambria Math" w:cs="Arial"/>
              <w:color w:val="000000" w:themeColor="text1"/>
              <w:lang w:eastAsia="es-CO"/>
            </w:rPr>
            <m:t>positada</m:t>
          </m:r>
        </m:oMath>
      </m:oMathPara>
    </w:p>
    <w:p w14:paraId="7C00C181" w14:textId="77777777" w:rsidR="007968EC" w:rsidRPr="002C0D19" w:rsidRDefault="007968EC" w:rsidP="007968EC">
      <w:pPr>
        <w:ind w:left="426"/>
        <w:jc w:val="both"/>
        <w:rPr>
          <w:rFonts w:ascii="Arial Narrow" w:hAnsi="Arial Narrow" w:cs="Arial"/>
          <w:color w:val="000000" w:themeColor="text1"/>
          <w:lang w:eastAsia="es-CO"/>
        </w:rPr>
      </w:pPr>
    </w:p>
    <w:p w14:paraId="440C71B1" w14:textId="77777777" w:rsidR="007968EC" w:rsidRPr="002C0D19" w:rsidRDefault="007968EC" w:rsidP="007968EC">
      <w:pPr>
        <w:ind w:left="426"/>
        <w:jc w:val="both"/>
        <w:rPr>
          <w:rFonts w:ascii="Arial Narrow" w:hAnsi="Arial Narrow" w:cs="Arial"/>
          <w:color w:val="000000" w:themeColor="text1"/>
          <w:lang w:eastAsia="es-CO"/>
        </w:rPr>
      </w:pPr>
      <m:oMath>
        <m:r>
          <m:rPr>
            <m:sty m:val="b"/>
          </m:rPr>
          <w:rPr>
            <w:rFonts w:ascii="Cambria Math" w:hAnsi="Cambria Math" w:cs="Arial"/>
            <w:color w:val="000000" w:themeColor="text1"/>
            <w:lang w:eastAsia="es-CO"/>
          </w:rPr>
          <m:t>c</m:t>
        </m:r>
      </m:oMath>
      <w:r w:rsidRPr="002C0D19">
        <w:rPr>
          <w:rFonts w:ascii="Arial Narrow" w:hAnsi="Arial Narrow" w:cs="Arial"/>
          <w:color w:val="000000" w:themeColor="text1"/>
          <w:lang w:eastAsia="es-CO"/>
        </w:rPr>
        <w:t xml:space="preserve">: Cuentas del Miembro Liquidador, de sus Terceros o de sus Miembros no Liquidadores y los Terceros de éstos, que en el momento de la activación del procedimiento de Margin Call cuenten con Posición Abierta sobre cualquier vencimiento del Activo o Activo objeto de una Operación compensada o liquidada que cumplió la condición de activación del procedimiento de Margin Call.  </w:t>
      </w:r>
    </w:p>
    <w:p w14:paraId="2C7268A5" w14:textId="77777777" w:rsidR="007968EC" w:rsidRPr="002C0D19" w:rsidRDefault="007968EC" w:rsidP="007968EC">
      <w:pPr>
        <w:ind w:left="426"/>
        <w:jc w:val="both"/>
        <w:rPr>
          <w:rFonts w:ascii="Arial Narrow" w:hAnsi="Arial Narrow" w:cs="Arial"/>
          <w:color w:val="000000" w:themeColor="text1"/>
          <w:lang w:eastAsia="es-CO"/>
        </w:rPr>
      </w:pPr>
    </w:p>
    <w:p w14:paraId="3C255783" w14:textId="77777777" w:rsidR="007968EC" w:rsidRPr="002C0D19" w:rsidRDefault="007968EC" w:rsidP="007968EC">
      <w:pPr>
        <w:ind w:left="426"/>
        <w:jc w:val="both"/>
        <w:rPr>
          <w:rFonts w:ascii="Arial Narrow" w:hAnsi="Arial Narrow" w:cs="Arial"/>
          <w:color w:val="000000" w:themeColor="text1"/>
          <w:lang w:eastAsia="es-CO"/>
        </w:rPr>
      </w:pPr>
      <m:oMath>
        <m:r>
          <m:rPr>
            <m:sty m:val="b"/>
          </m:rPr>
          <w:rPr>
            <w:rFonts w:ascii="Cambria Math" w:hAnsi="Cambria Math" w:cs="Arial"/>
            <w:color w:val="000000" w:themeColor="text1"/>
            <w:lang w:eastAsia="es-CO"/>
          </w:rPr>
          <m:t>RS</m:t>
        </m:r>
      </m:oMath>
      <w:r w:rsidRPr="002C0D19">
        <w:rPr>
          <w:rFonts w:ascii="Arial Narrow" w:hAnsi="Arial Narrow" w:cs="Arial"/>
          <w:color w:val="000000" w:themeColor="text1"/>
          <w:lang w:eastAsia="es-CO"/>
        </w:rPr>
        <w:t xml:space="preserve">= Riesgo simulado para cada cuenta </w:t>
      </w:r>
      <m:oMath>
        <m:r>
          <m:rPr>
            <m:sty m:val="b"/>
          </m:rPr>
          <w:rPr>
            <w:rFonts w:ascii="Cambria Math" w:hAnsi="Cambria Math" w:cs="Arial"/>
            <w:color w:val="000000" w:themeColor="text1"/>
            <w:lang w:eastAsia="es-CO"/>
          </w:rPr>
          <m:t>c</m:t>
        </m:r>
      </m:oMath>
      <w:r w:rsidRPr="002C0D19">
        <w:rPr>
          <w:rFonts w:ascii="Arial Narrow" w:hAnsi="Arial Narrow" w:cs="Arial"/>
          <w:color w:val="000000" w:themeColor="text1"/>
          <w:lang w:eastAsia="es-CO"/>
        </w:rPr>
        <w:t>, que se calcula mediante la aplicación de la siguiente fórmula:</w:t>
      </w:r>
    </w:p>
    <w:p w14:paraId="7F9B00B2" w14:textId="77777777" w:rsidR="007968EC" w:rsidRPr="002C0D19" w:rsidRDefault="007968EC" w:rsidP="007968EC">
      <w:pPr>
        <w:ind w:left="426"/>
        <w:jc w:val="both"/>
        <w:rPr>
          <w:rFonts w:ascii="Arial Narrow" w:hAnsi="Arial Narrow" w:cs="Arial"/>
          <w:color w:val="000000" w:themeColor="text1"/>
          <w:lang w:eastAsia="es-CO"/>
        </w:rPr>
      </w:pPr>
    </w:p>
    <w:p w14:paraId="7876B122" w14:textId="77777777" w:rsidR="007968EC" w:rsidRPr="002C0D19" w:rsidRDefault="007968EC" w:rsidP="007968EC">
      <w:pPr>
        <w:ind w:left="426"/>
        <w:jc w:val="center"/>
        <w:rPr>
          <w:rFonts w:ascii="Arial Narrow" w:hAnsi="Arial Narrow" w:cs="Arial"/>
          <w:color w:val="000000" w:themeColor="text1"/>
          <w:lang w:eastAsia="es-CO"/>
        </w:rPr>
      </w:pPr>
      <m:oMathPara>
        <m:oMath>
          <m:r>
            <m:rPr>
              <m:sty m:val="b"/>
            </m:rPr>
            <w:rPr>
              <w:rFonts w:ascii="Cambria Math" w:hAnsi="Cambria Math" w:cs="Arial"/>
              <w:color w:val="000000" w:themeColor="text1"/>
              <w:lang w:eastAsia="es-CO"/>
            </w:rPr>
            <m:t>RS=GPTIT-</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GPTIT</m:t>
              </m:r>
            </m:e>
            <m:sub>
              <m:r>
                <m:rPr>
                  <m:sty m:val="b"/>
                </m:rPr>
                <w:rPr>
                  <w:rFonts w:ascii="Cambria Math" w:hAnsi="Cambria Math" w:cs="Arial"/>
                  <w:color w:val="000000" w:themeColor="text1"/>
                  <w:lang w:eastAsia="es-CO"/>
                </w:rPr>
                <m:t>PMC</m:t>
              </m:r>
            </m:sub>
          </m:sSub>
          <m:r>
            <m:rPr>
              <m:sty m:val="b"/>
            </m:rPr>
            <w:rPr>
              <w:rFonts w:ascii="Cambria Math" w:hAnsi="Cambria Math" w:cs="Arial"/>
              <w:color w:val="000000" w:themeColor="text1"/>
              <w:lang w:eastAsia="es-CO"/>
            </w:rPr>
            <m:t>+</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Liq</m:t>
              </m:r>
            </m:e>
            <m:sub>
              <m:r>
                <m:rPr>
                  <m:sty m:val="b"/>
                </m:rPr>
                <w:rPr>
                  <w:rFonts w:ascii="Cambria Math" w:hAnsi="Cambria Math" w:cs="Arial"/>
                  <w:color w:val="000000" w:themeColor="text1"/>
                  <w:lang w:eastAsia="es-CO"/>
                </w:rPr>
                <m:t>PMC</m:t>
              </m:r>
            </m:sub>
          </m:sSub>
        </m:oMath>
      </m:oMathPara>
    </w:p>
    <w:p w14:paraId="7C766AF2" w14:textId="77777777" w:rsidR="007968EC" w:rsidRPr="002C0D19" w:rsidRDefault="007968EC" w:rsidP="007968EC">
      <w:pPr>
        <w:ind w:left="426"/>
        <w:jc w:val="both"/>
        <w:rPr>
          <w:rFonts w:ascii="Arial Narrow" w:hAnsi="Arial Narrow" w:cs="Arial"/>
          <w:color w:val="000000" w:themeColor="text1"/>
          <w:lang w:eastAsia="es-CO"/>
        </w:rPr>
      </w:pPr>
    </w:p>
    <w:p w14:paraId="65F1C105" w14:textId="77777777" w:rsidR="007968EC" w:rsidRPr="002C0D19" w:rsidRDefault="007968EC" w:rsidP="007968EC">
      <w:pPr>
        <w:ind w:left="426"/>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Donde:</w:t>
      </w:r>
    </w:p>
    <w:p w14:paraId="0686C771" w14:textId="77777777" w:rsidR="007968EC" w:rsidRPr="002C0D19" w:rsidRDefault="007968EC" w:rsidP="007968EC">
      <w:pPr>
        <w:ind w:left="426"/>
        <w:jc w:val="both"/>
        <w:rPr>
          <w:rFonts w:ascii="Arial Narrow" w:hAnsi="Arial Narrow" w:cs="Arial"/>
          <w:color w:val="000000" w:themeColor="text1"/>
          <w:lang w:eastAsia="es-CO"/>
        </w:rPr>
      </w:pPr>
    </w:p>
    <w:p w14:paraId="7B9DFFBB" w14:textId="77777777" w:rsidR="007968EC" w:rsidRPr="002C0D19" w:rsidRDefault="007968EC" w:rsidP="007968EC">
      <w:pPr>
        <w:ind w:left="426"/>
        <w:jc w:val="both"/>
        <w:rPr>
          <w:rFonts w:ascii="Arial Narrow" w:hAnsi="Arial Narrow" w:cs="Arial"/>
          <w:color w:val="000000" w:themeColor="text1"/>
          <w:lang w:eastAsia="es-CO"/>
        </w:rPr>
      </w:pPr>
      <m:oMath>
        <m:r>
          <m:rPr>
            <m:sty m:val="b"/>
          </m:rPr>
          <w:rPr>
            <w:rFonts w:ascii="Cambria Math" w:hAnsi="Cambria Math" w:cs="Arial"/>
            <w:color w:val="000000" w:themeColor="text1"/>
            <w:lang w:eastAsia="es-CO"/>
          </w:rPr>
          <m:t>GPTIT</m:t>
        </m:r>
      </m:oMath>
      <w:r w:rsidRPr="002C0D19">
        <w:rPr>
          <w:rFonts w:ascii="Arial Narrow" w:hAnsi="Arial Narrow" w:cs="Arial"/>
          <w:color w:val="000000" w:themeColor="text1"/>
          <w:lang w:eastAsia="es-CO"/>
        </w:rPr>
        <w:t xml:space="preserve">: Garantías por Posición depositadas. </w:t>
      </w:r>
    </w:p>
    <w:p w14:paraId="7768A649" w14:textId="77777777" w:rsidR="007968EC" w:rsidRPr="002C0D19" w:rsidRDefault="007968EC" w:rsidP="007968EC">
      <w:pPr>
        <w:ind w:left="426"/>
        <w:jc w:val="both"/>
        <w:rPr>
          <w:rFonts w:ascii="Arial Narrow" w:hAnsi="Arial Narrow" w:cs="Arial"/>
          <w:color w:val="000000" w:themeColor="text1"/>
          <w:lang w:eastAsia="es-CO"/>
        </w:rPr>
      </w:pPr>
    </w:p>
    <w:p w14:paraId="04C03A61" w14:textId="77777777" w:rsidR="007968EC" w:rsidRPr="002C0D19" w:rsidRDefault="00682D97" w:rsidP="007968EC">
      <w:pPr>
        <w:ind w:left="426"/>
        <w:jc w:val="both"/>
        <w:rPr>
          <w:rFonts w:ascii="Arial Narrow" w:hAnsi="Arial Narrow" w:cs="Arial"/>
          <w:color w:val="000000" w:themeColor="text1"/>
          <w:lang w:eastAsia="es-CO"/>
        </w:rPr>
      </w:pP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GDPTIT</m:t>
            </m:r>
          </m:e>
          <m:sub>
            <m:r>
              <m:rPr>
                <m:sty m:val="b"/>
              </m:rPr>
              <w:rPr>
                <w:rFonts w:ascii="Cambria Math" w:hAnsi="Cambria Math" w:cs="Arial"/>
                <w:color w:val="000000" w:themeColor="text1"/>
                <w:lang w:eastAsia="es-CO"/>
              </w:rPr>
              <m:t>PMC</m:t>
            </m:r>
          </m:sub>
        </m:sSub>
        <m:r>
          <m:rPr>
            <m:sty m:val="b"/>
          </m:rPr>
          <w:rPr>
            <w:rFonts w:ascii="Cambria Math" w:hAnsi="Cambria Math" w:cs="Arial"/>
            <w:color w:val="000000" w:themeColor="text1"/>
            <w:lang w:eastAsia="es-CO"/>
          </w:rPr>
          <m:t xml:space="preserve"> </m:t>
        </m:r>
      </m:oMath>
      <w:r w:rsidR="007968EC" w:rsidRPr="002C0D19">
        <w:rPr>
          <w:rFonts w:ascii="Arial Narrow" w:hAnsi="Arial Narrow" w:cs="Arial"/>
          <w:color w:val="000000" w:themeColor="text1"/>
          <w:lang w:eastAsia="es-CO"/>
        </w:rPr>
        <w:t>(Garantía por Posición exigida a Precio de Margin Call): Valor calculado según el procedimiento de cálculo de Garantías por Posición según el Modelo MEFFCOM2, utilizando en lugar del Último precio el Precio de Margin Call (</w:t>
      </w:r>
      <m:oMath>
        <m:r>
          <m:rPr>
            <m:sty m:val="b"/>
          </m:rPr>
          <w:rPr>
            <w:rFonts w:ascii="Cambria Math" w:hAnsi="Cambria Math" w:cs="Arial"/>
            <w:color w:val="000000" w:themeColor="text1"/>
            <w:lang w:eastAsia="es-CO"/>
          </w:rPr>
          <m:t xml:space="preserve">PMC) </m:t>
        </m:r>
      </m:oMath>
      <w:r w:rsidR="007968EC" w:rsidRPr="002C0D19">
        <w:rPr>
          <w:rFonts w:ascii="Arial Narrow" w:hAnsi="Arial Narrow" w:cs="Arial"/>
          <w:color w:val="000000" w:themeColor="text1"/>
          <w:lang w:eastAsia="es-CO"/>
        </w:rPr>
        <w:t xml:space="preserve">establecido para cada vencimiento de un Activo o Activo objeto de una Operación compensada o liquidada por la Cámara </w:t>
      </w:r>
    </w:p>
    <w:p w14:paraId="5D8C5874" w14:textId="77777777" w:rsidR="007968EC" w:rsidRPr="002C0D19" w:rsidRDefault="007968EC" w:rsidP="007968EC">
      <w:pPr>
        <w:ind w:left="426"/>
        <w:jc w:val="both"/>
        <w:rPr>
          <w:rFonts w:ascii="Arial Narrow" w:hAnsi="Arial Narrow" w:cs="Arial"/>
          <w:color w:val="000000" w:themeColor="text1"/>
          <w:lang w:eastAsia="es-CO"/>
        </w:rPr>
      </w:pPr>
    </w:p>
    <w:p w14:paraId="6C2A4356" w14:textId="77777777" w:rsidR="007968EC" w:rsidRPr="002C0D19" w:rsidRDefault="00682D97" w:rsidP="007968EC">
      <w:pPr>
        <w:ind w:left="426"/>
        <w:jc w:val="both"/>
        <w:rPr>
          <w:rFonts w:ascii="Arial Narrow" w:hAnsi="Arial Narrow" w:cs="Arial"/>
          <w:color w:val="000000" w:themeColor="text1"/>
          <w:lang w:eastAsia="es-CO"/>
        </w:rPr>
      </w:pP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Liq</m:t>
            </m:r>
          </m:e>
          <m:sub>
            <m:r>
              <m:rPr>
                <m:sty m:val="b"/>
              </m:rPr>
              <w:rPr>
                <w:rFonts w:ascii="Cambria Math" w:hAnsi="Cambria Math" w:cs="Arial"/>
                <w:color w:val="000000" w:themeColor="text1"/>
                <w:lang w:eastAsia="es-CO"/>
              </w:rPr>
              <m:t>PMC</m:t>
            </m:r>
          </m:sub>
        </m:sSub>
      </m:oMath>
      <w:r w:rsidR="007968EC" w:rsidRPr="002C0D19">
        <w:rPr>
          <w:rFonts w:ascii="Arial Narrow" w:hAnsi="Arial Narrow" w:cs="Arial"/>
          <w:color w:val="000000" w:themeColor="text1"/>
          <w:lang w:eastAsia="es-CO"/>
        </w:rPr>
        <w:t xml:space="preserve"> (Liquidación por Posición a Precio de Margin Call): Valor calculado según el procedimiento de ajuste diario a precio de liquidación descrito en la presente Circular Única de Cámara, utilizando en lugar del Precio de Liquidación el Precio de Margin Call (</w:t>
      </w:r>
      <m:oMath>
        <m:r>
          <m:rPr>
            <m:sty m:val="b"/>
          </m:rPr>
          <w:rPr>
            <w:rFonts w:ascii="Cambria Math" w:hAnsi="Cambria Math" w:cs="Arial"/>
            <w:color w:val="000000" w:themeColor="text1"/>
            <w:lang w:eastAsia="es-CO"/>
          </w:rPr>
          <m:t>PMC)</m:t>
        </m:r>
      </m:oMath>
      <w:r w:rsidR="007968EC" w:rsidRPr="002C0D19">
        <w:rPr>
          <w:rFonts w:ascii="Arial Narrow" w:hAnsi="Arial Narrow" w:cs="Arial"/>
          <w:color w:val="000000" w:themeColor="text1"/>
          <w:lang w:eastAsia="es-CO"/>
        </w:rPr>
        <w:t xml:space="preserve"> establecido para cada vencimiento de un Activo o Activo objeto de la Operación compensada y liquidada por la Cámara, cuando aplique de acuerdo con su Tipo de Liquidación. </w:t>
      </w:r>
    </w:p>
    <w:p w14:paraId="2C663B58" w14:textId="77777777" w:rsidR="007968EC" w:rsidRPr="002C0D19" w:rsidRDefault="007968EC" w:rsidP="007968EC">
      <w:pPr>
        <w:ind w:left="284"/>
        <w:jc w:val="both"/>
        <w:rPr>
          <w:rFonts w:ascii="Arial Narrow" w:hAnsi="Arial Narrow" w:cs="Arial"/>
          <w:color w:val="000000" w:themeColor="text1"/>
          <w:lang w:eastAsia="es-CO"/>
        </w:rPr>
      </w:pPr>
    </w:p>
    <w:p w14:paraId="68FF779B" w14:textId="77777777" w:rsidR="007968EC" w:rsidRPr="002C0D19" w:rsidRDefault="007968EC" w:rsidP="00DA7472">
      <w:pPr>
        <w:numPr>
          <w:ilvl w:val="3"/>
          <w:numId w:val="165"/>
        </w:numPr>
        <w:tabs>
          <w:tab w:val="left" w:pos="426"/>
        </w:tabs>
        <w:ind w:left="284"/>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La Cámara comunicará al Miembro Liquidador por correo electrónico o vía telefónica el valor de la Garantía Extraordinaria que deberá constituir en un plazo no superior a una (1) hora contado a partir de la hora de envío del correo electrónico o de la hora de la comunicación telefónica, según el caso.</w:t>
      </w:r>
    </w:p>
    <w:p w14:paraId="2B9C70F1" w14:textId="77777777" w:rsidR="007968EC" w:rsidRPr="002C0D19" w:rsidRDefault="007968EC" w:rsidP="007968EC">
      <w:pPr>
        <w:rPr>
          <w:rFonts w:ascii="Arial" w:hAnsi="Arial" w:cs="Arial"/>
          <w:b/>
          <w:lang w:eastAsia="es-ES"/>
        </w:rPr>
      </w:pPr>
    </w:p>
    <w:p w14:paraId="2BA59C27" w14:textId="77777777" w:rsidR="007968EC" w:rsidRDefault="007968EC" w:rsidP="007968EC">
      <w:pPr>
        <w:pStyle w:val="ARTICULO0"/>
      </w:pPr>
      <w:bookmarkStart w:id="4927" w:name="_Toc479057177"/>
      <w:bookmarkStart w:id="4928" w:name="_Toc31716194"/>
      <w:bookmarkStart w:id="4929" w:name="_Toc490066532"/>
      <w:r w:rsidRPr="002C0D19">
        <w:t>Artículo. 2.5.1.6. Fluctuaciones de estrés para cálculo del riesgo en situación de estrés</w:t>
      </w:r>
      <w:bookmarkEnd w:id="4925"/>
      <w:bookmarkEnd w:id="4926"/>
      <w:bookmarkEnd w:id="4927"/>
      <w:r w:rsidRPr="002C0D19">
        <w:t>.</w:t>
      </w:r>
      <w:bookmarkEnd w:id="4928"/>
      <w:r w:rsidRPr="002C0D19">
        <w:t xml:space="preserve"> </w:t>
      </w:r>
    </w:p>
    <w:p w14:paraId="0B644C67" w14:textId="77777777" w:rsidR="007968EC" w:rsidRPr="009B4524" w:rsidRDefault="007968EC" w:rsidP="007968EC">
      <w:pPr>
        <w:rPr>
          <w:rFonts w:ascii="Arial Narrow" w:hAnsi="Arial Narrow" w:cs="Arial"/>
          <w:b/>
          <w:color w:val="000000" w:themeColor="text1"/>
          <w:lang w:val="es-ES" w:eastAsia="es-ES"/>
        </w:rPr>
      </w:pPr>
    </w:p>
    <w:p w14:paraId="21D3C2CB" w14:textId="77777777" w:rsidR="007968EC" w:rsidRPr="002C0D19" w:rsidRDefault="007968EC" w:rsidP="007968EC">
      <w:pPr>
        <w:pStyle w:val="ANTECEDENTES"/>
        <w:rPr>
          <w:u w:val="single"/>
        </w:rPr>
      </w:pPr>
      <w:r w:rsidRPr="002C0D19">
        <w:t>(Este artículo fue adicionado mediante Circular 2 del 11 de enero de 2017, publicada mediante Boletín Normativo No. 002 del 11 de enero de 2017, mediante Circular 5 del 8 de febrero de 2017 publicada en el Boletín Normativo No.005 del 8 de febrero de 2017, mediante Circular 6 del 14 de febrero de 2017, publicada en el Boletín Normativo No. 006 del 14 de febrero de 2017, mediante Circular 7 del 24 de marzo de 2017, publicada en el Boletín Normativo No. 007 del 24 de marzo de 2017, renumerado mediante Circular 8 del 31 de marzo de 2017, publicada en el Boletín Normativo No. 008 del 31 de marzo de 2017, modificado mediante Circular 12 del 16 de junio de 2017, publicada en el Boletín Normativo N</w:t>
      </w:r>
      <w:r>
        <w:t>o. 012 del 16 de junio de 2017,</w:t>
      </w:r>
      <w:r w:rsidRPr="002C0D19">
        <w:t xml:space="preserve"> mediante Circular 13 del 14 de julio de 2017, publicada en el Boletín Normativo No. 013 del 14 de julio de 2017</w:t>
      </w:r>
      <w:r>
        <w:t xml:space="preserve">, mediante Circular 15 del 11 de agosto de 2017, publicada en el Boletín Normativo No. 016 del 11 de agosto de 2017, mediante Circular 17 del 31 de agosto de 2017, publicada en el Boletín Normativo No. 018 del 31 de agosto de 2017, mediante Circular 24 del 11 de diciembre de 2017, publicada en el Boletín Normativo No. 031 del 11 de diciembre de 2017, </w:t>
      </w:r>
      <w:r w:rsidRPr="009B4524">
        <w:t>mediante Circular 002 del 20 de febrero de 2018, publicada en el Boletín Normativo No</w:t>
      </w:r>
      <w:r>
        <w:t xml:space="preserve">. 003 del 20 de febrero de 2018, mediante Circular 10 del 6 de julio de 2018, publicada en el Boletín Normativo No. 013 del 6 de julio de 2018, mediante Circular 12 del 17 de septiembre de 2018, publicada en el Boletín Normativo No. 022 del 17 de septiembre de 201, mediante Circular 16 del 26 de diciembre de 2018, publicada en el Boletín Normativo No. 029 del 26 de diciembre de 2018, </w:t>
      </w:r>
      <w:r w:rsidRPr="00B87EF8">
        <w:t>modificado mediante Circular 2 del 22 de febrero de 2019, publicada en el Boletín Normativo No. 007 del 22 de febrero de 2019</w:t>
      </w:r>
      <w:r>
        <w:t>, modificado mediante Circular 4 del 11 de marzo de 2019, publicada en el Boletín Normativo No. 013 del 11 de marzo de 2019</w:t>
      </w:r>
      <w:r w:rsidRPr="00780EF4">
        <w:t xml:space="preserve"> y modificado mediante Circular 5 del 18 de marzo de 2019, publicada en el Boletín Normativo No. 014 del 18 de marzo de 2019</w:t>
      </w:r>
      <w:r>
        <w:t xml:space="preserve">, mediante Circular 12 del 9 de agosto de 2019, publicada en el Boletín Normativo </w:t>
      </w:r>
      <w:r w:rsidRPr="00217A99">
        <w:t>No. 025 del 9 de agosto de 2019, y mediante Circular 13 del 2</w:t>
      </w:r>
      <w:r>
        <w:t>4</w:t>
      </w:r>
      <w:r w:rsidRPr="00217A99">
        <w:t xml:space="preserve"> de septiembre de 2019, publicada en el Boletín Normativo No. 026 del 2</w:t>
      </w:r>
      <w:r>
        <w:t>4</w:t>
      </w:r>
      <w:r w:rsidRPr="00217A99">
        <w:t xml:space="preserve"> de septiembre de 2019. Rige a partir del 2</w:t>
      </w:r>
      <w:r>
        <w:t>5</w:t>
      </w:r>
      <w:r w:rsidRPr="00217A99">
        <w:t xml:space="preserve"> de septiembre de 2019.)</w:t>
      </w:r>
      <w:r w:rsidRPr="002C0D19">
        <w:t xml:space="preserve"> </w:t>
      </w:r>
      <w:bookmarkEnd w:id="4929"/>
    </w:p>
    <w:p w14:paraId="53E4A223" w14:textId="77777777" w:rsidR="007968EC" w:rsidRDefault="007968EC" w:rsidP="007968EC">
      <w:pPr>
        <w:contextualSpacing/>
        <w:jc w:val="both"/>
        <w:rPr>
          <w:rFonts w:ascii="Arial Narrow" w:hAnsi="Arial Narrow" w:cs="Arial"/>
          <w:color w:val="000000"/>
          <w:lang w:val="es-ES" w:eastAsia="es-ES"/>
        </w:rPr>
      </w:pPr>
    </w:p>
    <w:p w14:paraId="052D01FE" w14:textId="77777777" w:rsidR="007968EC" w:rsidRPr="00EB14DE" w:rsidRDefault="007968EC" w:rsidP="007968EC">
      <w:pPr>
        <w:jc w:val="both"/>
        <w:rPr>
          <w:rFonts w:ascii="Arial Narrow" w:hAnsi="Arial Narrow" w:cs="Arial"/>
          <w:color w:val="000000"/>
          <w:lang w:val="es-ES" w:eastAsia="es-ES"/>
        </w:rPr>
      </w:pPr>
      <w:r w:rsidRPr="00EB14DE">
        <w:rPr>
          <w:rFonts w:ascii="Arial Narrow" w:hAnsi="Arial Narrow" w:cs="Arial"/>
          <w:color w:val="000000"/>
          <w:lang w:val="es-ES" w:eastAsia="es-ES"/>
        </w:rPr>
        <w:t>Para realizar el cálculo del riesgo en situación de estrés de acuerdo con lo definido en el artículo 1.6.2.9. de la presente Circular se utilizarán los siguientes parámetros para el Segmento de Derivados Financieros:</w:t>
      </w:r>
    </w:p>
    <w:p w14:paraId="2AB2289E" w14:textId="77777777" w:rsidR="007968EC" w:rsidRPr="00EB14DE" w:rsidRDefault="007968EC" w:rsidP="007968EC">
      <w:pPr>
        <w:jc w:val="both"/>
        <w:rPr>
          <w:rFonts w:ascii="Arial Narrow" w:hAnsi="Arial Narrow" w:cs="Arial"/>
          <w:color w:val="000000"/>
          <w:lang w:val="es-ES" w:eastAsia="es-ES"/>
        </w:rPr>
      </w:pPr>
    </w:p>
    <w:p w14:paraId="0FCD09D9" w14:textId="77777777" w:rsidR="007968EC" w:rsidRPr="00EB14DE" w:rsidRDefault="007968EC" w:rsidP="007968EC">
      <w:pPr>
        <w:rPr>
          <w:rFonts w:ascii="Arial Narrow" w:hAnsi="Arial Narrow" w:cs="Arial"/>
          <w:color w:val="000000"/>
          <w:lang w:val="es-ES" w:eastAsia="es-ES"/>
        </w:rPr>
      </w:pPr>
    </w:p>
    <w:p w14:paraId="47FF7225" w14:textId="77777777" w:rsidR="007968EC" w:rsidRPr="00EB14DE" w:rsidRDefault="007968EC" w:rsidP="00DA7472">
      <w:pPr>
        <w:numPr>
          <w:ilvl w:val="0"/>
          <w:numId w:val="242"/>
        </w:numPr>
        <w:autoSpaceDE w:val="0"/>
        <w:autoSpaceDN w:val="0"/>
        <w:spacing w:after="160" w:line="259" w:lineRule="auto"/>
        <w:ind w:left="567" w:hanging="425"/>
        <w:contextualSpacing/>
        <w:jc w:val="both"/>
        <w:rPr>
          <w:rFonts w:ascii="Arial Narrow" w:eastAsia="Calibri" w:hAnsi="Arial Narrow" w:cs="Arial"/>
          <w:b/>
          <w:color w:val="000000"/>
          <w:u w:val="single"/>
          <w:lang w:eastAsia="es-ES"/>
        </w:rPr>
      </w:pPr>
      <w:r w:rsidRPr="00EB14DE">
        <w:rPr>
          <w:rFonts w:ascii="Arial Narrow" w:eastAsia="Calibri" w:hAnsi="Arial Narrow" w:cs="Arial"/>
          <w:color w:val="000000"/>
          <w:u w:val="single"/>
          <w:lang w:eastAsia="es-ES"/>
        </w:rPr>
        <w:t>Futuro TES Corto Plazo:</w:t>
      </w:r>
    </w:p>
    <w:p w14:paraId="2DCAC4A4" w14:textId="77777777" w:rsidR="007968EC" w:rsidRPr="00EB14DE" w:rsidRDefault="007968EC" w:rsidP="007968EC">
      <w:pPr>
        <w:autoSpaceDE w:val="0"/>
        <w:autoSpaceDN w:val="0"/>
        <w:ind w:left="426" w:hanging="425"/>
        <w:contextualSpacing/>
        <w:jc w:val="both"/>
        <w:rPr>
          <w:rFonts w:ascii="Arial Narrow" w:eastAsia="Calibri" w:hAnsi="Arial Narrow" w:cs="Arial"/>
          <w:b/>
          <w:color w:val="000000"/>
          <w:u w:val="single"/>
          <w:lang w:eastAsia="es-ES"/>
        </w:rPr>
      </w:pPr>
    </w:p>
    <w:tbl>
      <w:tblPr>
        <w:tblW w:w="7392" w:type="dxa"/>
        <w:jc w:val="center"/>
        <w:tblCellMar>
          <w:left w:w="70" w:type="dxa"/>
          <w:right w:w="70" w:type="dxa"/>
        </w:tblCellMar>
        <w:tblLook w:val="0420" w:firstRow="1" w:lastRow="0" w:firstColumn="0" w:lastColumn="0" w:noHBand="0" w:noVBand="1"/>
      </w:tblPr>
      <w:tblGrid>
        <w:gridCol w:w="4748"/>
        <w:gridCol w:w="2644"/>
      </w:tblGrid>
      <w:tr w:rsidR="007968EC" w:rsidRPr="00EB14DE" w14:paraId="11170B37" w14:textId="77777777" w:rsidTr="007968EC">
        <w:trPr>
          <w:trHeight w:val="63"/>
          <w:jc w:val="center"/>
        </w:trPr>
        <w:tc>
          <w:tcPr>
            <w:tcW w:w="47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6A131"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ACTIVO</w:t>
            </w:r>
          </w:p>
        </w:tc>
        <w:tc>
          <w:tcPr>
            <w:tcW w:w="2644" w:type="dxa"/>
            <w:tcBorders>
              <w:top w:val="single" w:sz="4" w:space="0" w:color="auto"/>
              <w:left w:val="nil"/>
              <w:bottom w:val="single" w:sz="4" w:space="0" w:color="auto"/>
              <w:right w:val="single" w:sz="4" w:space="0" w:color="auto"/>
            </w:tcBorders>
            <w:shd w:val="clear" w:color="auto" w:fill="auto"/>
            <w:vAlign w:val="center"/>
            <w:hideMark/>
          </w:tcPr>
          <w:p w14:paraId="68C2B7EE"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Fluctuación Estrés</w:t>
            </w:r>
          </w:p>
        </w:tc>
      </w:tr>
      <w:tr w:rsidR="007968EC" w:rsidRPr="00EB14DE" w14:paraId="37F13058" w14:textId="77777777" w:rsidTr="007968EC">
        <w:trPr>
          <w:trHeight w:val="63"/>
          <w:jc w:val="center"/>
        </w:trPr>
        <w:tc>
          <w:tcPr>
            <w:tcW w:w="4748" w:type="dxa"/>
            <w:tcBorders>
              <w:top w:val="nil"/>
              <w:left w:val="single" w:sz="4" w:space="0" w:color="auto"/>
              <w:bottom w:val="single" w:sz="4" w:space="0" w:color="auto"/>
              <w:right w:val="single" w:sz="4" w:space="0" w:color="auto"/>
            </w:tcBorders>
            <w:shd w:val="clear" w:color="auto" w:fill="auto"/>
            <w:vAlign w:val="center"/>
            <w:hideMark/>
          </w:tcPr>
          <w:p w14:paraId="3C160A15"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Futuro TES Corto Plazo</w:t>
            </w:r>
          </w:p>
        </w:tc>
        <w:tc>
          <w:tcPr>
            <w:tcW w:w="2644" w:type="dxa"/>
            <w:tcBorders>
              <w:top w:val="nil"/>
              <w:left w:val="nil"/>
              <w:bottom w:val="single" w:sz="4" w:space="0" w:color="auto"/>
              <w:right w:val="single" w:sz="4" w:space="0" w:color="auto"/>
            </w:tcBorders>
            <w:shd w:val="clear" w:color="auto" w:fill="auto"/>
            <w:vAlign w:val="center"/>
            <w:hideMark/>
          </w:tcPr>
          <w:p w14:paraId="348D9DF3"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2%</w:t>
            </w:r>
          </w:p>
        </w:tc>
      </w:tr>
    </w:tbl>
    <w:p w14:paraId="3AD87B3B" w14:textId="77777777" w:rsidR="007968EC" w:rsidRPr="00EB14DE" w:rsidRDefault="007968EC" w:rsidP="007968EC">
      <w:pPr>
        <w:autoSpaceDE w:val="0"/>
        <w:autoSpaceDN w:val="0"/>
        <w:ind w:left="426" w:hanging="425"/>
        <w:rPr>
          <w:rFonts w:ascii="Arial Narrow" w:eastAsia="Calibri" w:hAnsi="Arial Narrow" w:cs="Arial"/>
          <w:b/>
          <w:color w:val="000000"/>
          <w:lang w:eastAsia="es-ES"/>
        </w:rPr>
      </w:pPr>
    </w:p>
    <w:p w14:paraId="1DFC696B" w14:textId="77777777" w:rsidR="007968EC" w:rsidRPr="00EB14DE" w:rsidRDefault="007968EC" w:rsidP="00DA7472">
      <w:pPr>
        <w:numPr>
          <w:ilvl w:val="0"/>
          <w:numId w:val="242"/>
        </w:numPr>
        <w:autoSpaceDE w:val="0"/>
        <w:autoSpaceDN w:val="0"/>
        <w:spacing w:after="160" w:line="259" w:lineRule="auto"/>
        <w:ind w:left="567" w:hanging="425"/>
        <w:contextualSpacing/>
        <w:jc w:val="both"/>
        <w:rPr>
          <w:rFonts w:ascii="Arial Narrow" w:eastAsia="Calibri" w:hAnsi="Arial Narrow" w:cs="Arial"/>
          <w:color w:val="000000"/>
          <w:u w:val="single"/>
          <w:lang w:eastAsia="es-ES"/>
        </w:rPr>
      </w:pPr>
      <w:r w:rsidRPr="00EB14DE">
        <w:rPr>
          <w:rFonts w:ascii="Arial Narrow" w:eastAsia="Calibri" w:hAnsi="Arial Narrow" w:cs="Arial"/>
          <w:color w:val="000000"/>
          <w:u w:val="single"/>
          <w:lang w:eastAsia="es-ES"/>
        </w:rPr>
        <w:t>Futuro TES Mediano Plazo:</w:t>
      </w:r>
    </w:p>
    <w:p w14:paraId="7764DF52" w14:textId="77777777" w:rsidR="007968EC" w:rsidRPr="00EB14DE" w:rsidRDefault="007968EC" w:rsidP="007968EC">
      <w:pPr>
        <w:autoSpaceDE w:val="0"/>
        <w:autoSpaceDN w:val="0"/>
        <w:ind w:left="426" w:hanging="425"/>
        <w:rPr>
          <w:rFonts w:ascii="Arial Narrow" w:eastAsia="Calibri" w:hAnsi="Arial Narrow" w:cs="Arial"/>
          <w:b/>
          <w:color w:val="000000"/>
          <w:lang w:eastAsia="es-ES"/>
        </w:rPr>
      </w:pPr>
    </w:p>
    <w:tbl>
      <w:tblPr>
        <w:tblW w:w="7392" w:type="dxa"/>
        <w:jc w:val="center"/>
        <w:tblCellMar>
          <w:left w:w="70" w:type="dxa"/>
          <w:right w:w="70" w:type="dxa"/>
        </w:tblCellMar>
        <w:tblLook w:val="0420" w:firstRow="1" w:lastRow="0" w:firstColumn="0" w:lastColumn="0" w:noHBand="0" w:noVBand="1"/>
      </w:tblPr>
      <w:tblGrid>
        <w:gridCol w:w="4748"/>
        <w:gridCol w:w="2644"/>
      </w:tblGrid>
      <w:tr w:rsidR="007968EC" w:rsidRPr="00EB14DE" w14:paraId="0A8494D0" w14:textId="77777777" w:rsidTr="007968EC">
        <w:trPr>
          <w:trHeight w:val="63"/>
          <w:jc w:val="center"/>
        </w:trPr>
        <w:tc>
          <w:tcPr>
            <w:tcW w:w="47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8487E"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ACTIVO</w:t>
            </w:r>
          </w:p>
        </w:tc>
        <w:tc>
          <w:tcPr>
            <w:tcW w:w="2644" w:type="dxa"/>
            <w:tcBorders>
              <w:top w:val="single" w:sz="4" w:space="0" w:color="auto"/>
              <w:left w:val="nil"/>
              <w:bottom w:val="single" w:sz="4" w:space="0" w:color="auto"/>
              <w:right w:val="single" w:sz="4" w:space="0" w:color="auto"/>
            </w:tcBorders>
            <w:shd w:val="clear" w:color="auto" w:fill="auto"/>
            <w:vAlign w:val="center"/>
            <w:hideMark/>
          </w:tcPr>
          <w:p w14:paraId="4B6205C8"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Fluctuación Estrés</w:t>
            </w:r>
          </w:p>
        </w:tc>
      </w:tr>
      <w:tr w:rsidR="007968EC" w:rsidRPr="00EB14DE" w14:paraId="59BF3D56" w14:textId="77777777" w:rsidTr="007968EC">
        <w:trPr>
          <w:trHeight w:val="63"/>
          <w:jc w:val="center"/>
        </w:trPr>
        <w:tc>
          <w:tcPr>
            <w:tcW w:w="4748" w:type="dxa"/>
            <w:tcBorders>
              <w:top w:val="nil"/>
              <w:left w:val="single" w:sz="4" w:space="0" w:color="auto"/>
              <w:bottom w:val="single" w:sz="4" w:space="0" w:color="auto"/>
              <w:right w:val="single" w:sz="4" w:space="0" w:color="auto"/>
            </w:tcBorders>
            <w:shd w:val="clear" w:color="auto" w:fill="auto"/>
            <w:vAlign w:val="center"/>
            <w:hideMark/>
          </w:tcPr>
          <w:p w14:paraId="1B4DAA29"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Futuro TES Mediano Plazo</w:t>
            </w:r>
          </w:p>
        </w:tc>
        <w:tc>
          <w:tcPr>
            <w:tcW w:w="2644" w:type="dxa"/>
            <w:tcBorders>
              <w:top w:val="nil"/>
              <w:left w:val="nil"/>
              <w:bottom w:val="single" w:sz="4" w:space="0" w:color="auto"/>
              <w:right w:val="single" w:sz="4" w:space="0" w:color="auto"/>
            </w:tcBorders>
            <w:shd w:val="clear" w:color="auto" w:fill="auto"/>
            <w:vAlign w:val="center"/>
            <w:hideMark/>
          </w:tcPr>
          <w:p w14:paraId="0D859C06"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4%</w:t>
            </w:r>
          </w:p>
        </w:tc>
      </w:tr>
    </w:tbl>
    <w:p w14:paraId="18A0FE10" w14:textId="77777777" w:rsidR="007968EC" w:rsidRPr="00EB14DE" w:rsidRDefault="007968EC" w:rsidP="007968EC">
      <w:pPr>
        <w:autoSpaceDE w:val="0"/>
        <w:autoSpaceDN w:val="0"/>
        <w:ind w:left="426" w:hanging="425"/>
        <w:rPr>
          <w:rFonts w:ascii="Arial Narrow" w:eastAsia="Calibri" w:hAnsi="Arial Narrow" w:cs="Arial"/>
          <w:b/>
          <w:color w:val="000000"/>
          <w:lang w:eastAsia="es-ES"/>
        </w:rPr>
      </w:pPr>
    </w:p>
    <w:p w14:paraId="733F5BEA" w14:textId="77777777" w:rsidR="007968EC" w:rsidRPr="00EB14DE" w:rsidRDefault="007968EC" w:rsidP="00DA7472">
      <w:pPr>
        <w:numPr>
          <w:ilvl w:val="0"/>
          <w:numId w:val="242"/>
        </w:numPr>
        <w:autoSpaceDE w:val="0"/>
        <w:autoSpaceDN w:val="0"/>
        <w:spacing w:after="160" w:line="259" w:lineRule="auto"/>
        <w:ind w:left="567" w:hanging="425"/>
        <w:contextualSpacing/>
        <w:jc w:val="both"/>
        <w:rPr>
          <w:rFonts w:ascii="Arial Narrow" w:eastAsia="Calibri" w:hAnsi="Arial Narrow" w:cs="Arial"/>
          <w:color w:val="000000"/>
          <w:u w:val="single"/>
          <w:lang w:eastAsia="es-ES"/>
        </w:rPr>
      </w:pPr>
      <w:r w:rsidRPr="00EB14DE">
        <w:rPr>
          <w:rFonts w:ascii="Arial Narrow" w:eastAsia="Calibri" w:hAnsi="Arial Narrow" w:cs="Arial"/>
          <w:color w:val="000000"/>
          <w:u w:val="single"/>
          <w:lang w:eastAsia="es-ES"/>
        </w:rPr>
        <w:lastRenderedPageBreak/>
        <w:t>Futuro TES Largo Plazo:</w:t>
      </w:r>
    </w:p>
    <w:p w14:paraId="60B6115F" w14:textId="77777777" w:rsidR="007968EC" w:rsidRPr="00EB14DE" w:rsidRDefault="007968EC" w:rsidP="007968EC">
      <w:pPr>
        <w:autoSpaceDE w:val="0"/>
        <w:autoSpaceDN w:val="0"/>
        <w:ind w:left="426" w:hanging="425"/>
        <w:rPr>
          <w:rFonts w:ascii="Arial Narrow" w:eastAsia="Calibri" w:hAnsi="Arial Narrow" w:cs="Arial"/>
          <w:b/>
          <w:color w:val="000000"/>
          <w:lang w:eastAsia="es-ES"/>
        </w:rPr>
      </w:pPr>
    </w:p>
    <w:tbl>
      <w:tblPr>
        <w:tblW w:w="7392" w:type="dxa"/>
        <w:jc w:val="center"/>
        <w:tblCellMar>
          <w:left w:w="70" w:type="dxa"/>
          <w:right w:w="70" w:type="dxa"/>
        </w:tblCellMar>
        <w:tblLook w:val="0420" w:firstRow="1" w:lastRow="0" w:firstColumn="0" w:lastColumn="0" w:noHBand="0" w:noVBand="1"/>
      </w:tblPr>
      <w:tblGrid>
        <w:gridCol w:w="4748"/>
        <w:gridCol w:w="2644"/>
      </w:tblGrid>
      <w:tr w:rsidR="007968EC" w:rsidRPr="00EB14DE" w14:paraId="78A86E65" w14:textId="77777777" w:rsidTr="007968EC">
        <w:trPr>
          <w:trHeight w:val="63"/>
          <w:jc w:val="center"/>
        </w:trPr>
        <w:tc>
          <w:tcPr>
            <w:tcW w:w="47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562F8"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ACTIVO</w:t>
            </w:r>
          </w:p>
        </w:tc>
        <w:tc>
          <w:tcPr>
            <w:tcW w:w="2644" w:type="dxa"/>
            <w:tcBorders>
              <w:top w:val="single" w:sz="4" w:space="0" w:color="auto"/>
              <w:left w:val="nil"/>
              <w:bottom w:val="single" w:sz="4" w:space="0" w:color="auto"/>
              <w:right w:val="single" w:sz="4" w:space="0" w:color="auto"/>
            </w:tcBorders>
            <w:shd w:val="clear" w:color="auto" w:fill="auto"/>
            <w:vAlign w:val="center"/>
            <w:hideMark/>
          </w:tcPr>
          <w:p w14:paraId="0672AECC"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Fluctuación Estrés</w:t>
            </w:r>
          </w:p>
        </w:tc>
      </w:tr>
      <w:tr w:rsidR="007968EC" w:rsidRPr="00EB14DE" w14:paraId="723571A8" w14:textId="77777777" w:rsidTr="007968EC">
        <w:trPr>
          <w:trHeight w:val="63"/>
          <w:jc w:val="center"/>
        </w:trPr>
        <w:tc>
          <w:tcPr>
            <w:tcW w:w="4748" w:type="dxa"/>
            <w:tcBorders>
              <w:top w:val="nil"/>
              <w:left w:val="single" w:sz="4" w:space="0" w:color="auto"/>
              <w:bottom w:val="single" w:sz="4" w:space="0" w:color="auto"/>
              <w:right w:val="single" w:sz="4" w:space="0" w:color="auto"/>
            </w:tcBorders>
            <w:shd w:val="clear" w:color="auto" w:fill="auto"/>
            <w:vAlign w:val="center"/>
            <w:hideMark/>
          </w:tcPr>
          <w:p w14:paraId="70A011EC"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Futuro TES Largo Plazo</w:t>
            </w:r>
          </w:p>
        </w:tc>
        <w:tc>
          <w:tcPr>
            <w:tcW w:w="2644" w:type="dxa"/>
            <w:tcBorders>
              <w:top w:val="nil"/>
              <w:left w:val="nil"/>
              <w:bottom w:val="single" w:sz="4" w:space="0" w:color="auto"/>
              <w:right w:val="single" w:sz="4" w:space="0" w:color="auto"/>
            </w:tcBorders>
            <w:shd w:val="clear" w:color="auto" w:fill="auto"/>
            <w:vAlign w:val="center"/>
            <w:hideMark/>
          </w:tcPr>
          <w:p w14:paraId="47DC870A"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12%</w:t>
            </w:r>
          </w:p>
        </w:tc>
      </w:tr>
    </w:tbl>
    <w:p w14:paraId="075630DF" w14:textId="77777777" w:rsidR="007968EC" w:rsidRPr="00EB14DE" w:rsidRDefault="007968EC" w:rsidP="007968EC">
      <w:pPr>
        <w:ind w:left="426" w:hanging="425"/>
        <w:rPr>
          <w:rFonts w:ascii="Arial Narrow" w:hAnsi="Arial Narrow" w:cs="Arial"/>
          <w:color w:val="000000"/>
          <w:lang w:val="es-ES" w:eastAsia="es-ES"/>
        </w:rPr>
      </w:pPr>
    </w:p>
    <w:p w14:paraId="109D91CA" w14:textId="77777777" w:rsidR="007968EC" w:rsidRPr="00EB14DE" w:rsidRDefault="007968EC" w:rsidP="00DA7472">
      <w:pPr>
        <w:numPr>
          <w:ilvl w:val="0"/>
          <w:numId w:val="242"/>
        </w:numPr>
        <w:autoSpaceDE w:val="0"/>
        <w:autoSpaceDN w:val="0"/>
        <w:spacing w:after="160" w:line="259" w:lineRule="auto"/>
        <w:ind w:left="567" w:hanging="425"/>
        <w:contextualSpacing/>
        <w:jc w:val="both"/>
        <w:rPr>
          <w:rFonts w:ascii="Arial Narrow" w:eastAsia="Calibri" w:hAnsi="Arial Narrow" w:cs="Arial"/>
          <w:color w:val="000000"/>
          <w:u w:val="single"/>
          <w:lang w:eastAsia="es-ES"/>
        </w:rPr>
      </w:pPr>
      <w:r w:rsidRPr="00EB14DE">
        <w:rPr>
          <w:rFonts w:ascii="Arial Narrow" w:eastAsia="Calibri" w:hAnsi="Arial Narrow" w:cs="Arial"/>
          <w:color w:val="000000"/>
          <w:u w:val="single"/>
          <w:lang w:eastAsia="es-ES"/>
        </w:rPr>
        <w:t>Futuros sobre Títulos TES de Referencias Específicas:</w:t>
      </w:r>
    </w:p>
    <w:p w14:paraId="07EE9D65" w14:textId="77777777" w:rsidR="007968EC" w:rsidRPr="00EB14DE" w:rsidRDefault="007968EC" w:rsidP="007968EC">
      <w:pPr>
        <w:rPr>
          <w:rFonts w:ascii="Arial Narrow" w:hAnsi="Arial Narrow" w:cs="Arial"/>
          <w:color w:val="000000"/>
          <w:lang w:val="es-ES" w:eastAsia="es-ES"/>
        </w:rPr>
      </w:pPr>
    </w:p>
    <w:p w14:paraId="6818E935" w14:textId="77777777" w:rsidR="007968EC" w:rsidRDefault="007968EC" w:rsidP="007968EC">
      <w:pPr>
        <w:ind w:left="142"/>
        <w:jc w:val="both"/>
        <w:rPr>
          <w:rFonts w:ascii="Arial Narrow" w:eastAsia="Calibri" w:hAnsi="Arial Narrow" w:cs="Arial"/>
          <w:color w:val="000000"/>
          <w:lang w:eastAsia="es-ES"/>
        </w:rPr>
      </w:pPr>
      <w:r w:rsidRPr="00231A2B">
        <w:rPr>
          <w:rFonts w:ascii="Arial Narrow" w:eastAsia="Calibri" w:hAnsi="Arial Narrow" w:cs="Arial"/>
          <w:color w:val="000000"/>
          <w:lang w:eastAsia="es-ES"/>
        </w:rPr>
        <w:t>Las fluctuaciones de estrés para los Futuros de TES de Referencias Específicas se agrupan por la Escala de Duración Modificada (EDM), de conformidad con la siguiente tabla:</w:t>
      </w:r>
    </w:p>
    <w:p w14:paraId="1EB774F7" w14:textId="77777777" w:rsidR="007968EC" w:rsidRDefault="007968EC" w:rsidP="007968EC">
      <w:pPr>
        <w:ind w:left="142"/>
        <w:jc w:val="both"/>
        <w:rPr>
          <w:rFonts w:ascii="Arial Narrow" w:eastAsia="Calibri" w:hAnsi="Arial Narrow" w:cs="Arial"/>
          <w:color w:val="000000"/>
          <w:lang w:eastAsia="es-ES"/>
        </w:rPr>
      </w:pPr>
    </w:p>
    <w:tbl>
      <w:tblPr>
        <w:tblW w:w="5653" w:type="dxa"/>
        <w:jc w:val="center"/>
        <w:tblCellMar>
          <w:left w:w="70" w:type="dxa"/>
          <w:right w:w="70" w:type="dxa"/>
        </w:tblCellMar>
        <w:tblLook w:val="0420" w:firstRow="1" w:lastRow="0" w:firstColumn="0" w:lastColumn="0" w:noHBand="0" w:noVBand="1"/>
      </w:tblPr>
      <w:tblGrid>
        <w:gridCol w:w="1759"/>
        <w:gridCol w:w="1278"/>
        <w:gridCol w:w="1300"/>
        <w:gridCol w:w="1316"/>
      </w:tblGrid>
      <w:tr w:rsidR="007968EC" w:rsidRPr="00231A2B" w14:paraId="000CE919" w14:textId="77777777" w:rsidTr="007968EC">
        <w:trPr>
          <w:trHeight w:val="295"/>
          <w:jc w:val="center"/>
        </w:trPr>
        <w:tc>
          <w:tcPr>
            <w:tcW w:w="3037" w:type="dxa"/>
            <w:gridSpan w:val="2"/>
            <w:tcBorders>
              <w:bottom w:val="single" w:sz="4" w:space="0" w:color="auto"/>
              <w:right w:val="single" w:sz="4" w:space="0" w:color="auto"/>
            </w:tcBorders>
          </w:tcPr>
          <w:p w14:paraId="7F0EF1FB" w14:textId="77777777" w:rsidR="007968EC" w:rsidRPr="00231A2B" w:rsidRDefault="007968EC" w:rsidP="007968EC">
            <w:pPr>
              <w:autoSpaceDE w:val="0"/>
              <w:autoSpaceDN w:val="0"/>
              <w:spacing w:after="160" w:line="259" w:lineRule="auto"/>
              <w:ind w:left="567" w:hanging="425"/>
              <w:contextualSpacing/>
              <w:jc w:val="both"/>
              <w:rPr>
                <w:rFonts w:ascii="Arial Narrow" w:hAnsi="Arial Narrow" w:cs="Arial"/>
                <w:color w:val="000000"/>
                <w:lang w:val="es-ES" w:eastAsia="es-ES"/>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62A9B" w14:textId="77777777" w:rsidR="007968EC" w:rsidRPr="00231A2B" w:rsidRDefault="007968EC" w:rsidP="007968EC">
            <w:pPr>
              <w:autoSpaceDE w:val="0"/>
              <w:autoSpaceDN w:val="0"/>
              <w:spacing w:after="160" w:line="259" w:lineRule="auto"/>
              <w:ind w:left="567" w:hanging="425"/>
              <w:contextualSpacing/>
              <w:jc w:val="both"/>
              <w:rPr>
                <w:rFonts w:ascii="Arial Narrow" w:hAnsi="Arial Narrow"/>
                <w:color w:val="000000"/>
                <w:lang w:eastAsia="es-CO"/>
              </w:rPr>
            </w:pPr>
            <w:r w:rsidRPr="00231A2B">
              <w:rPr>
                <w:rFonts w:ascii="Arial Narrow" w:hAnsi="Arial Narrow" w:cs="Arial"/>
                <w:color w:val="000000"/>
                <w:lang w:val="es-ES" w:eastAsia="es-ES"/>
              </w:rPr>
              <w:t xml:space="preserve">De </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14:paraId="197D8967" w14:textId="77777777" w:rsidR="007968EC" w:rsidRPr="00231A2B" w:rsidRDefault="007968EC" w:rsidP="007968EC">
            <w:pPr>
              <w:autoSpaceDE w:val="0"/>
              <w:autoSpaceDN w:val="0"/>
              <w:spacing w:after="160" w:line="259" w:lineRule="auto"/>
              <w:ind w:left="567" w:hanging="425"/>
              <w:contextualSpacing/>
              <w:jc w:val="both"/>
              <w:rPr>
                <w:rFonts w:ascii="Arial Narrow" w:hAnsi="Arial Narrow"/>
                <w:color w:val="000000"/>
                <w:lang w:eastAsia="es-CO"/>
              </w:rPr>
            </w:pPr>
            <w:r w:rsidRPr="00231A2B">
              <w:rPr>
                <w:rFonts w:ascii="Arial Narrow" w:hAnsi="Arial Narrow" w:cs="Arial"/>
                <w:color w:val="000000"/>
                <w:lang w:val="es-ES" w:eastAsia="es-ES"/>
              </w:rPr>
              <w:t xml:space="preserve">Hasta </w:t>
            </w:r>
          </w:p>
        </w:tc>
      </w:tr>
      <w:tr w:rsidR="007968EC" w:rsidRPr="00231A2B" w14:paraId="2E45291E" w14:textId="77777777" w:rsidTr="007968EC">
        <w:trPr>
          <w:trHeight w:val="63"/>
          <w:jc w:val="center"/>
        </w:trPr>
        <w:tc>
          <w:tcPr>
            <w:tcW w:w="1759" w:type="dxa"/>
            <w:vMerge w:val="restart"/>
            <w:tcBorders>
              <w:top w:val="single" w:sz="4" w:space="0" w:color="auto"/>
              <w:left w:val="single" w:sz="4" w:space="0" w:color="auto"/>
              <w:right w:val="single" w:sz="4" w:space="0" w:color="auto"/>
            </w:tcBorders>
            <w:vAlign w:val="center"/>
          </w:tcPr>
          <w:p w14:paraId="0A570BCC" w14:textId="77777777" w:rsidR="007968EC" w:rsidRPr="00231A2B" w:rsidRDefault="007968EC" w:rsidP="007968EC">
            <w:pPr>
              <w:autoSpaceDE w:val="0"/>
              <w:autoSpaceDN w:val="0"/>
              <w:spacing w:after="160" w:line="259" w:lineRule="auto"/>
              <w:ind w:left="567" w:hanging="425"/>
              <w:contextualSpacing/>
              <w:jc w:val="both"/>
              <w:rPr>
                <w:rFonts w:ascii="Arial Narrow" w:hAnsi="Arial Narrow" w:cs="Arial"/>
                <w:color w:val="000000"/>
                <w:lang w:val="es-ES" w:eastAsia="es-ES"/>
              </w:rPr>
            </w:pPr>
            <w:r w:rsidRPr="00231A2B">
              <w:rPr>
                <w:rFonts w:ascii="Arial Narrow" w:eastAsia="Calibri" w:hAnsi="Arial Narrow" w:cs="Arial"/>
                <w:color w:val="000000"/>
                <w:lang w:eastAsia="es-ES"/>
              </w:rPr>
              <w:t>Contratos de Futuros sobre Títulos TES de Referencias Especificas</w:t>
            </w:r>
          </w:p>
        </w:tc>
        <w:tc>
          <w:tcPr>
            <w:tcW w:w="1278" w:type="dxa"/>
            <w:tcBorders>
              <w:top w:val="single" w:sz="4" w:space="0" w:color="auto"/>
              <w:left w:val="single" w:sz="4" w:space="0" w:color="auto"/>
              <w:bottom w:val="single" w:sz="4" w:space="0" w:color="auto"/>
              <w:right w:val="single" w:sz="4" w:space="0" w:color="auto"/>
            </w:tcBorders>
          </w:tcPr>
          <w:p w14:paraId="486C4EED" w14:textId="77777777" w:rsidR="007968EC" w:rsidRPr="00231A2B" w:rsidRDefault="007968EC" w:rsidP="007968EC">
            <w:pPr>
              <w:autoSpaceDE w:val="0"/>
              <w:autoSpaceDN w:val="0"/>
              <w:spacing w:after="160" w:line="259" w:lineRule="auto"/>
              <w:ind w:left="567" w:hanging="425"/>
              <w:contextualSpacing/>
              <w:jc w:val="both"/>
              <w:rPr>
                <w:rFonts w:ascii="Arial Narrow" w:hAnsi="Arial Narrow" w:cs="Arial"/>
                <w:color w:val="000000"/>
                <w:lang w:val="es-ES" w:eastAsia="es-ES"/>
              </w:rPr>
            </w:pPr>
            <w:r w:rsidRPr="00231A2B">
              <w:rPr>
                <w:rFonts w:ascii="Arial Narrow" w:eastAsia="Calibri" w:hAnsi="Arial Narrow" w:cs="Arial"/>
                <w:color w:val="000000"/>
                <w:lang w:eastAsia="es-ES"/>
              </w:rPr>
              <w:t>H1</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7E1CBBF8" w14:textId="77777777" w:rsidR="007968EC" w:rsidRPr="00231A2B" w:rsidRDefault="007968EC" w:rsidP="007968EC">
            <w:pPr>
              <w:autoSpaceDE w:val="0"/>
              <w:autoSpaceDN w:val="0"/>
              <w:spacing w:after="160" w:line="259" w:lineRule="auto"/>
              <w:ind w:left="567" w:hanging="425"/>
              <w:contextualSpacing/>
              <w:jc w:val="both"/>
              <w:rPr>
                <w:rFonts w:ascii="Arial Narrow" w:hAnsi="Arial Narrow"/>
                <w:color w:val="000000"/>
                <w:lang w:eastAsia="es-CO"/>
              </w:rPr>
            </w:pPr>
            <w:r w:rsidRPr="00231A2B">
              <w:rPr>
                <w:rFonts w:ascii="Arial Narrow" w:hAnsi="Arial Narrow" w:cs="Arial"/>
                <w:color w:val="000000"/>
                <w:lang w:val="es-ES" w:eastAsia="es-ES"/>
              </w:rPr>
              <w:t>0</w:t>
            </w:r>
          </w:p>
        </w:tc>
        <w:tc>
          <w:tcPr>
            <w:tcW w:w="1316" w:type="dxa"/>
            <w:tcBorders>
              <w:top w:val="nil"/>
              <w:left w:val="nil"/>
              <w:bottom w:val="single" w:sz="4" w:space="0" w:color="auto"/>
              <w:right w:val="single" w:sz="4" w:space="0" w:color="auto"/>
            </w:tcBorders>
            <w:shd w:val="clear" w:color="auto" w:fill="auto"/>
            <w:vAlign w:val="center"/>
            <w:hideMark/>
          </w:tcPr>
          <w:p w14:paraId="2F6419F9" w14:textId="77777777" w:rsidR="007968EC" w:rsidRPr="00231A2B" w:rsidRDefault="007968EC" w:rsidP="007968EC">
            <w:pPr>
              <w:autoSpaceDE w:val="0"/>
              <w:autoSpaceDN w:val="0"/>
              <w:spacing w:after="160" w:line="259" w:lineRule="auto"/>
              <w:ind w:left="567" w:hanging="425"/>
              <w:contextualSpacing/>
              <w:jc w:val="both"/>
              <w:rPr>
                <w:rFonts w:ascii="Arial Narrow" w:hAnsi="Arial Narrow"/>
                <w:color w:val="000000"/>
                <w:lang w:eastAsia="es-CO"/>
              </w:rPr>
            </w:pPr>
            <w:r w:rsidRPr="00231A2B">
              <w:rPr>
                <w:rFonts w:ascii="Arial Narrow" w:hAnsi="Arial Narrow" w:cs="Arial"/>
                <w:color w:val="000000"/>
                <w:lang w:val="es-ES" w:eastAsia="es-ES"/>
              </w:rPr>
              <w:t xml:space="preserve">0.75 </w:t>
            </w:r>
          </w:p>
        </w:tc>
      </w:tr>
      <w:tr w:rsidR="007968EC" w:rsidRPr="00231A2B" w14:paraId="295E020F" w14:textId="77777777" w:rsidTr="007968EC">
        <w:trPr>
          <w:trHeight w:val="63"/>
          <w:jc w:val="center"/>
        </w:trPr>
        <w:tc>
          <w:tcPr>
            <w:tcW w:w="1759" w:type="dxa"/>
            <w:vMerge/>
            <w:tcBorders>
              <w:left w:val="single" w:sz="4" w:space="0" w:color="auto"/>
              <w:right w:val="single" w:sz="4" w:space="0" w:color="auto"/>
            </w:tcBorders>
            <w:vAlign w:val="center"/>
          </w:tcPr>
          <w:p w14:paraId="2E473E90" w14:textId="77777777" w:rsidR="007968EC" w:rsidRPr="00231A2B" w:rsidRDefault="007968EC" w:rsidP="007968EC">
            <w:pPr>
              <w:autoSpaceDE w:val="0"/>
              <w:autoSpaceDN w:val="0"/>
              <w:spacing w:after="160" w:line="259" w:lineRule="auto"/>
              <w:ind w:left="567" w:hanging="425"/>
              <w:contextualSpacing/>
              <w:jc w:val="both"/>
              <w:rPr>
                <w:rFonts w:ascii="Arial Narrow" w:hAnsi="Arial Narrow" w:cs="Arial"/>
                <w:color w:val="000000"/>
                <w:lang w:val="es-ES" w:eastAsia="es-ES"/>
              </w:rPr>
            </w:pPr>
          </w:p>
        </w:tc>
        <w:tc>
          <w:tcPr>
            <w:tcW w:w="1278" w:type="dxa"/>
            <w:tcBorders>
              <w:top w:val="single" w:sz="4" w:space="0" w:color="auto"/>
              <w:left w:val="single" w:sz="4" w:space="0" w:color="auto"/>
              <w:bottom w:val="single" w:sz="4" w:space="0" w:color="auto"/>
              <w:right w:val="single" w:sz="4" w:space="0" w:color="auto"/>
            </w:tcBorders>
          </w:tcPr>
          <w:p w14:paraId="7E37EBE8" w14:textId="77777777" w:rsidR="007968EC" w:rsidRPr="00231A2B" w:rsidRDefault="007968EC" w:rsidP="007968EC">
            <w:pPr>
              <w:autoSpaceDE w:val="0"/>
              <w:autoSpaceDN w:val="0"/>
              <w:spacing w:after="160" w:line="259" w:lineRule="auto"/>
              <w:ind w:left="567" w:hanging="425"/>
              <w:contextualSpacing/>
              <w:jc w:val="both"/>
              <w:rPr>
                <w:rFonts w:ascii="Arial Narrow" w:hAnsi="Arial Narrow" w:cs="Arial"/>
                <w:color w:val="000000"/>
                <w:lang w:val="es-ES" w:eastAsia="es-ES"/>
              </w:rPr>
            </w:pPr>
            <w:r w:rsidRPr="00231A2B">
              <w:rPr>
                <w:rFonts w:ascii="Arial Narrow" w:eastAsia="Calibri" w:hAnsi="Arial Narrow" w:cs="Arial"/>
                <w:color w:val="000000"/>
                <w:lang w:eastAsia="es-ES"/>
              </w:rPr>
              <w:t>H2</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42621C11" w14:textId="77777777" w:rsidR="007968EC" w:rsidRPr="00231A2B" w:rsidRDefault="007968EC" w:rsidP="007968EC">
            <w:pPr>
              <w:autoSpaceDE w:val="0"/>
              <w:autoSpaceDN w:val="0"/>
              <w:spacing w:after="160" w:line="259" w:lineRule="auto"/>
              <w:ind w:left="567" w:hanging="425"/>
              <w:contextualSpacing/>
              <w:jc w:val="both"/>
              <w:rPr>
                <w:rFonts w:ascii="Arial Narrow" w:hAnsi="Arial Narrow"/>
                <w:color w:val="000000"/>
                <w:lang w:eastAsia="es-CO"/>
              </w:rPr>
            </w:pPr>
            <w:r w:rsidRPr="00231A2B">
              <w:rPr>
                <w:rFonts w:ascii="Arial Narrow" w:hAnsi="Arial Narrow" w:cs="Arial"/>
                <w:color w:val="000000"/>
                <w:lang w:val="es-ES" w:eastAsia="es-ES"/>
              </w:rPr>
              <w:t>0.75</w:t>
            </w:r>
          </w:p>
        </w:tc>
        <w:tc>
          <w:tcPr>
            <w:tcW w:w="1316" w:type="dxa"/>
            <w:tcBorders>
              <w:top w:val="nil"/>
              <w:left w:val="nil"/>
              <w:bottom w:val="single" w:sz="4" w:space="0" w:color="auto"/>
              <w:right w:val="single" w:sz="4" w:space="0" w:color="auto"/>
            </w:tcBorders>
            <w:shd w:val="clear" w:color="auto" w:fill="auto"/>
            <w:vAlign w:val="center"/>
            <w:hideMark/>
          </w:tcPr>
          <w:p w14:paraId="48DB8A86" w14:textId="77777777" w:rsidR="007968EC" w:rsidRPr="00231A2B" w:rsidRDefault="007968EC" w:rsidP="007968EC">
            <w:pPr>
              <w:autoSpaceDE w:val="0"/>
              <w:autoSpaceDN w:val="0"/>
              <w:spacing w:after="160" w:line="259" w:lineRule="auto"/>
              <w:ind w:left="567" w:hanging="425"/>
              <w:contextualSpacing/>
              <w:jc w:val="both"/>
              <w:rPr>
                <w:rFonts w:ascii="Arial Narrow" w:hAnsi="Arial Narrow"/>
                <w:color w:val="000000"/>
                <w:lang w:eastAsia="es-CO"/>
              </w:rPr>
            </w:pPr>
            <w:r w:rsidRPr="00231A2B">
              <w:rPr>
                <w:rFonts w:ascii="Arial Narrow" w:hAnsi="Arial Narrow" w:cs="Arial"/>
                <w:color w:val="000000"/>
                <w:lang w:val="es-ES" w:eastAsia="es-ES"/>
              </w:rPr>
              <w:t>1.5</w:t>
            </w:r>
          </w:p>
        </w:tc>
      </w:tr>
      <w:tr w:rsidR="007968EC" w:rsidRPr="00231A2B" w14:paraId="27E07B58" w14:textId="77777777" w:rsidTr="007968EC">
        <w:trPr>
          <w:trHeight w:val="63"/>
          <w:jc w:val="center"/>
        </w:trPr>
        <w:tc>
          <w:tcPr>
            <w:tcW w:w="1759" w:type="dxa"/>
            <w:vMerge/>
            <w:tcBorders>
              <w:left w:val="single" w:sz="4" w:space="0" w:color="auto"/>
              <w:right w:val="single" w:sz="4" w:space="0" w:color="auto"/>
            </w:tcBorders>
            <w:vAlign w:val="center"/>
          </w:tcPr>
          <w:p w14:paraId="1681C8F3" w14:textId="77777777" w:rsidR="007968EC" w:rsidRPr="00231A2B" w:rsidRDefault="007968EC" w:rsidP="007968EC">
            <w:pPr>
              <w:autoSpaceDE w:val="0"/>
              <w:autoSpaceDN w:val="0"/>
              <w:spacing w:after="160" w:line="259" w:lineRule="auto"/>
              <w:ind w:left="567" w:hanging="425"/>
              <w:contextualSpacing/>
              <w:jc w:val="both"/>
              <w:rPr>
                <w:rFonts w:ascii="Arial Narrow" w:hAnsi="Arial Narrow" w:cs="Arial"/>
                <w:color w:val="000000"/>
                <w:lang w:val="es-ES" w:eastAsia="es-ES"/>
              </w:rPr>
            </w:pPr>
          </w:p>
        </w:tc>
        <w:tc>
          <w:tcPr>
            <w:tcW w:w="1278" w:type="dxa"/>
            <w:tcBorders>
              <w:top w:val="single" w:sz="4" w:space="0" w:color="auto"/>
              <w:left w:val="single" w:sz="4" w:space="0" w:color="auto"/>
              <w:bottom w:val="single" w:sz="4" w:space="0" w:color="auto"/>
              <w:right w:val="single" w:sz="4" w:space="0" w:color="auto"/>
            </w:tcBorders>
          </w:tcPr>
          <w:p w14:paraId="0C06E168" w14:textId="77777777" w:rsidR="007968EC" w:rsidRPr="00231A2B" w:rsidRDefault="007968EC" w:rsidP="007968EC">
            <w:pPr>
              <w:autoSpaceDE w:val="0"/>
              <w:autoSpaceDN w:val="0"/>
              <w:spacing w:after="160" w:line="259" w:lineRule="auto"/>
              <w:ind w:left="567" w:hanging="425"/>
              <w:contextualSpacing/>
              <w:jc w:val="both"/>
              <w:rPr>
                <w:rFonts w:ascii="Arial Narrow" w:hAnsi="Arial Narrow" w:cs="Arial"/>
                <w:color w:val="000000"/>
                <w:lang w:val="es-ES" w:eastAsia="es-ES"/>
              </w:rPr>
            </w:pPr>
            <w:r w:rsidRPr="00231A2B">
              <w:rPr>
                <w:rFonts w:ascii="Arial Narrow" w:eastAsia="Calibri" w:hAnsi="Arial Narrow" w:cs="Arial"/>
                <w:color w:val="000000"/>
                <w:lang w:eastAsia="es-ES"/>
              </w:rPr>
              <w:t>H3</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7F01FF0F" w14:textId="77777777" w:rsidR="007968EC" w:rsidRPr="00231A2B" w:rsidRDefault="007968EC" w:rsidP="007968EC">
            <w:pPr>
              <w:autoSpaceDE w:val="0"/>
              <w:autoSpaceDN w:val="0"/>
              <w:spacing w:after="160" w:line="259" w:lineRule="auto"/>
              <w:ind w:left="567" w:hanging="425"/>
              <w:contextualSpacing/>
              <w:jc w:val="both"/>
              <w:rPr>
                <w:rFonts w:ascii="Arial Narrow" w:hAnsi="Arial Narrow"/>
                <w:color w:val="000000"/>
                <w:lang w:eastAsia="es-CO"/>
              </w:rPr>
            </w:pPr>
            <w:r w:rsidRPr="00231A2B">
              <w:rPr>
                <w:rFonts w:ascii="Arial Narrow" w:hAnsi="Arial Narrow" w:cs="Arial"/>
                <w:color w:val="000000"/>
                <w:lang w:val="es-ES" w:eastAsia="es-ES"/>
              </w:rPr>
              <w:t>1.5</w:t>
            </w:r>
          </w:p>
        </w:tc>
        <w:tc>
          <w:tcPr>
            <w:tcW w:w="1316" w:type="dxa"/>
            <w:tcBorders>
              <w:top w:val="nil"/>
              <w:left w:val="nil"/>
              <w:bottom w:val="single" w:sz="4" w:space="0" w:color="auto"/>
              <w:right w:val="single" w:sz="4" w:space="0" w:color="auto"/>
            </w:tcBorders>
            <w:shd w:val="clear" w:color="auto" w:fill="auto"/>
            <w:vAlign w:val="center"/>
            <w:hideMark/>
          </w:tcPr>
          <w:p w14:paraId="0AA2F011" w14:textId="77777777" w:rsidR="007968EC" w:rsidRPr="00231A2B" w:rsidRDefault="007968EC" w:rsidP="007968EC">
            <w:pPr>
              <w:autoSpaceDE w:val="0"/>
              <w:autoSpaceDN w:val="0"/>
              <w:spacing w:after="160" w:line="259" w:lineRule="auto"/>
              <w:ind w:left="567" w:hanging="425"/>
              <w:contextualSpacing/>
              <w:jc w:val="both"/>
              <w:rPr>
                <w:rFonts w:ascii="Arial Narrow" w:hAnsi="Arial Narrow"/>
                <w:color w:val="000000"/>
                <w:lang w:eastAsia="es-CO"/>
              </w:rPr>
            </w:pPr>
            <w:r w:rsidRPr="00231A2B">
              <w:rPr>
                <w:rFonts w:ascii="Arial Narrow" w:hAnsi="Arial Narrow" w:cs="Arial"/>
                <w:color w:val="000000"/>
                <w:lang w:val="es-ES" w:eastAsia="es-ES"/>
              </w:rPr>
              <w:t>3.0</w:t>
            </w:r>
          </w:p>
        </w:tc>
      </w:tr>
      <w:tr w:rsidR="007968EC" w:rsidRPr="00231A2B" w14:paraId="02F4BC05" w14:textId="77777777" w:rsidTr="007968EC">
        <w:trPr>
          <w:trHeight w:val="63"/>
          <w:jc w:val="center"/>
        </w:trPr>
        <w:tc>
          <w:tcPr>
            <w:tcW w:w="1759" w:type="dxa"/>
            <w:vMerge/>
            <w:tcBorders>
              <w:left w:val="single" w:sz="4" w:space="0" w:color="auto"/>
              <w:right w:val="single" w:sz="4" w:space="0" w:color="auto"/>
            </w:tcBorders>
            <w:vAlign w:val="center"/>
          </w:tcPr>
          <w:p w14:paraId="69E8972A" w14:textId="77777777" w:rsidR="007968EC" w:rsidRPr="00231A2B" w:rsidRDefault="007968EC" w:rsidP="007968EC">
            <w:pPr>
              <w:autoSpaceDE w:val="0"/>
              <w:autoSpaceDN w:val="0"/>
              <w:spacing w:after="160" w:line="259" w:lineRule="auto"/>
              <w:ind w:left="567" w:hanging="425"/>
              <w:contextualSpacing/>
              <w:jc w:val="both"/>
              <w:rPr>
                <w:rFonts w:ascii="Arial Narrow" w:hAnsi="Arial Narrow" w:cs="Arial"/>
                <w:color w:val="000000"/>
                <w:lang w:val="es-ES" w:eastAsia="es-ES"/>
              </w:rPr>
            </w:pPr>
          </w:p>
        </w:tc>
        <w:tc>
          <w:tcPr>
            <w:tcW w:w="1278" w:type="dxa"/>
            <w:tcBorders>
              <w:top w:val="single" w:sz="4" w:space="0" w:color="auto"/>
              <w:left w:val="single" w:sz="4" w:space="0" w:color="auto"/>
              <w:bottom w:val="single" w:sz="4" w:space="0" w:color="auto"/>
              <w:right w:val="single" w:sz="4" w:space="0" w:color="auto"/>
            </w:tcBorders>
          </w:tcPr>
          <w:p w14:paraId="1AFC08F1" w14:textId="77777777" w:rsidR="007968EC" w:rsidRPr="00231A2B" w:rsidRDefault="007968EC" w:rsidP="007968EC">
            <w:pPr>
              <w:autoSpaceDE w:val="0"/>
              <w:autoSpaceDN w:val="0"/>
              <w:spacing w:after="160" w:line="259" w:lineRule="auto"/>
              <w:ind w:left="567" w:hanging="425"/>
              <w:contextualSpacing/>
              <w:jc w:val="both"/>
              <w:rPr>
                <w:rFonts w:ascii="Arial Narrow" w:hAnsi="Arial Narrow" w:cs="Arial"/>
                <w:color w:val="000000"/>
                <w:lang w:val="es-ES" w:eastAsia="es-ES"/>
              </w:rPr>
            </w:pPr>
            <w:r w:rsidRPr="00231A2B">
              <w:rPr>
                <w:rFonts w:ascii="Arial Narrow" w:eastAsia="Calibri" w:hAnsi="Arial Narrow" w:cs="Arial"/>
                <w:color w:val="000000"/>
                <w:lang w:eastAsia="es-ES"/>
              </w:rPr>
              <w:t>H4</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51EFC17E" w14:textId="77777777" w:rsidR="007968EC" w:rsidRPr="00231A2B" w:rsidRDefault="007968EC" w:rsidP="007968EC">
            <w:pPr>
              <w:autoSpaceDE w:val="0"/>
              <w:autoSpaceDN w:val="0"/>
              <w:spacing w:after="160" w:line="259" w:lineRule="auto"/>
              <w:ind w:left="567" w:hanging="425"/>
              <w:contextualSpacing/>
              <w:jc w:val="both"/>
              <w:rPr>
                <w:rFonts w:ascii="Arial Narrow" w:hAnsi="Arial Narrow"/>
                <w:color w:val="000000"/>
                <w:lang w:eastAsia="es-CO"/>
              </w:rPr>
            </w:pPr>
            <w:r w:rsidRPr="00231A2B">
              <w:rPr>
                <w:rFonts w:ascii="Arial Narrow" w:hAnsi="Arial Narrow" w:cs="Arial"/>
                <w:color w:val="000000"/>
                <w:lang w:val="es-ES" w:eastAsia="es-ES"/>
              </w:rPr>
              <w:t>3.0</w:t>
            </w:r>
          </w:p>
        </w:tc>
        <w:tc>
          <w:tcPr>
            <w:tcW w:w="1316" w:type="dxa"/>
            <w:tcBorders>
              <w:top w:val="nil"/>
              <w:left w:val="nil"/>
              <w:bottom w:val="single" w:sz="4" w:space="0" w:color="auto"/>
              <w:right w:val="single" w:sz="4" w:space="0" w:color="auto"/>
            </w:tcBorders>
            <w:shd w:val="clear" w:color="auto" w:fill="auto"/>
            <w:vAlign w:val="center"/>
            <w:hideMark/>
          </w:tcPr>
          <w:p w14:paraId="75DEE499" w14:textId="77777777" w:rsidR="007968EC" w:rsidRPr="00231A2B" w:rsidRDefault="007968EC" w:rsidP="007968EC">
            <w:pPr>
              <w:autoSpaceDE w:val="0"/>
              <w:autoSpaceDN w:val="0"/>
              <w:spacing w:after="160" w:line="259" w:lineRule="auto"/>
              <w:ind w:left="567" w:hanging="425"/>
              <w:contextualSpacing/>
              <w:jc w:val="both"/>
              <w:rPr>
                <w:rFonts w:ascii="Arial Narrow" w:hAnsi="Arial Narrow"/>
                <w:color w:val="000000"/>
                <w:lang w:eastAsia="es-CO"/>
              </w:rPr>
            </w:pPr>
            <w:r w:rsidRPr="00231A2B">
              <w:rPr>
                <w:rFonts w:ascii="Arial Narrow" w:hAnsi="Arial Narrow" w:cs="Arial"/>
                <w:color w:val="000000"/>
                <w:lang w:val="es-ES" w:eastAsia="es-ES"/>
              </w:rPr>
              <w:t>5.0</w:t>
            </w:r>
          </w:p>
        </w:tc>
      </w:tr>
      <w:tr w:rsidR="007968EC" w:rsidRPr="00231A2B" w14:paraId="15EC92DF" w14:textId="77777777" w:rsidTr="007968EC">
        <w:trPr>
          <w:trHeight w:val="154"/>
          <w:jc w:val="center"/>
        </w:trPr>
        <w:tc>
          <w:tcPr>
            <w:tcW w:w="1759" w:type="dxa"/>
            <w:vMerge/>
            <w:tcBorders>
              <w:left w:val="single" w:sz="4" w:space="0" w:color="auto"/>
              <w:right w:val="single" w:sz="4" w:space="0" w:color="auto"/>
            </w:tcBorders>
            <w:vAlign w:val="center"/>
          </w:tcPr>
          <w:p w14:paraId="01DDB7CE" w14:textId="77777777" w:rsidR="007968EC" w:rsidRPr="00231A2B" w:rsidRDefault="007968EC" w:rsidP="007968EC">
            <w:pPr>
              <w:autoSpaceDE w:val="0"/>
              <w:autoSpaceDN w:val="0"/>
              <w:spacing w:after="160" w:line="259" w:lineRule="auto"/>
              <w:ind w:left="567" w:hanging="425"/>
              <w:contextualSpacing/>
              <w:jc w:val="both"/>
              <w:rPr>
                <w:rFonts w:ascii="Arial Narrow" w:hAnsi="Arial Narrow" w:cs="Arial"/>
                <w:color w:val="000000"/>
                <w:lang w:val="es-ES" w:eastAsia="es-ES"/>
              </w:rPr>
            </w:pPr>
          </w:p>
        </w:tc>
        <w:tc>
          <w:tcPr>
            <w:tcW w:w="1278" w:type="dxa"/>
            <w:tcBorders>
              <w:top w:val="single" w:sz="4" w:space="0" w:color="auto"/>
              <w:left w:val="single" w:sz="4" w:space="0" w:color="auto"/>
              <w:bottom w:val="single" w:sz="4" w:space="0" w:color="auto"/>
              <w:right w:val="single" w:sz="4" w:space="0" w:color="auto"/>
            </w:tcBorders>
          </w:tcPr>
          <w:p w14:paraId="31E0FEDB" w14:textId="77777777" w:rsidR="007968EC" w:rsidRPr="00231A2B" w:rsidRDefault="007968EC" w:rsidP="007968EC">
            <w:pPr>
              <w:autoSpaceDE w:val="0"/>
              <w:autoSpaceDN w:val="0"/>
              <w:spacing w:after="160" w:line="259" w:lineRule="auto"/>
              <w:ind w:left="567" w:hanging="425"/>
              <w:contextualSpacing/>
              <w:jc w:val="both"/>
              <w:rPr>
                <w:rFonts w:ascii="Arial Narrow" w:hAnsi="Arial Narrow" w:cs="Arial"/>
                <w:color w:val="000000"/>
                <w:lang w:val="es-ES" w:eastAsia="es-ES"/>
              </w:rPr>
            </w:pPr>
            <w:r w:rsidRPr="00231A2B">
              <w:rPr>
                <w:rFonts w:ascii="Arial Narrow" w:eastAsia="Calibri" w:hAnsi="Arial Narrow" w:cs="Arial"/>
                <w:color w:val="000000"/>
                <w:lang w:eastAsia="es-ES"/>
              </w:rPr>
              <w:t>H5</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1F9DD7B2" w14:textId="77777777" w:rsidR="007968EC" w:rsidRPr="00231A2B" w:rsidRDefault="007968EC" w:rsidP="007968EC">
            <w:pPr>
              <w:autoSpaceDE w:val="0"/>
              <w:autoSpaceDN w:val="0"/>
              <w:spacing w:after="160" w:line="259" w:lineRule="auto"/>
              <w:ind w:left="567" w:hanging="425"/>
              <w:contextualSpacing/>
              <w:jc w:val="both"/>
              <w:rPr>
                <w:rFonts w:ascii="Arial Narrow" w:hAnsi="Arial Narrow"/>
                <w:color w:val="000000"/>
                <w:lang w:eastAsia="es-CO"/>
              </w:rPr>
            </w:pPr>
            <w:r w:rsidRPr="00231A2B">
              <w:rPr>
                <w:rFonts w:ascii="Arial Narrow" w:hAnsi="Arial Narrow" w:cs="Arial"/>
                <w:color w:val="000000"/>
                <w:lang w:val="es-ES" w:eastAsia="es-ES"/>
              </w:rPr>
              <w:t>5.0</w:t>
            </w:r>
          </w:p>
        </w:tc>
        <w:tc>
          <w:tcPr>
            <w:tcW w:w="1316" w:type="dxa"/>
            <w:tcBorders>
              <w:top w:val="nil"/>
              <w:left w:val="nil"/>
              <w:bottom w:val="single" w:sz="4" w:space="0" w:color="auto"/>
              <w:right w:val="single" w:sz="4" w:space="0" w:color="auto"/>
            </w:tcBorders>
            <w:shd w:val="clear" w:color="auto" w:fill="auto"/>
            <w:vAlign w:val="center"/>
            <w:hideMark/>
          </w:tcPr>
          <w:p w14:paraId="05688615" w14:textId="77777777" w:rsidR="007968EC" w:rsidRPr="00231A2B" w:rsidRDefault="007968EC" w:rsidP="007968EC">
            <w:pPr>
              <w:autoSpaceDE w:val="0"/>
              <w:autoSpaceDN w:val="0"/>
              <w:spacing w:after="160" w:line="259" w:lineRule="auto"/>
              <w:ind w:left="567" w:hanging="425"/>
              <w:contextualSpacing/>
              <w:jc w:val="both"/>
              <w:rPr>
                <w:rFonts w:ascii="Arial Narrow" w:hAnsi="Arial Narrow"/>
                <w:color w:val="000000"/>
                <w:lang w:eastAsia="es-CO"/>
              </w:rPr>
            </w:pPr>
            <w:r w:rsidRPr="00231A2B">
              <w:rPr>
                <w:rFonts w:ascii="Arial Narrow" w:hAnsi="Arial Narrow" w:cs="Arial"/>
                <w:color w:val="000000"/>
                <w:lang w:val="es-ES" w:eastAsia="es-ES"/>
              </w:rPr>
              <w:t>7.0</w:t>
            </w:r>
          </w:p>
        </w:tc>
      </w:tr>
      <w:tr w:rsidR="007968EC" w:rsidRPr="00231A2B" w14:paraId="729DE54F" w14:textId="77777777" w:rsidTr="007968EC">
        <w:trPr>
          <w:trHeight w:val="154"/>
          <w:jc w:val="center"/>
        </w:trPr>
        <w:tc>
          <w:tcPr>
            <w:tcW w:w="1759" w:type="dxa"/>
            <w:vMerge/>
            <w:tcBorders>
              <w:left w:val="single" w:sz="4" w:space="0" w:color="auto"/>
              <w:right w:val="single" w:sz="4" w:space="0" w:color="auto"/>
            </w:tcBorders>
            <w:vAlign w:val="center"/>
          </w:tcPr>
          <w:p w14:paraId="2FCB342D" w14:textId="77777777" w:rsidR="007968EC" w:rsidRPr="00231A2B" w:rsidRDefault="007968EC" w:rsidP="007968EC">
            <w:pPr>
              <w:autoSpaceDE w:val="0"/>
              <w:autoSpaceDN w:val="0"/>
              <w:spacing w:after="160" w:line="259" w:lineRule="auto"/>
              <w:ind w:left="567" w:hanging="425"/>
              <w:contextualSpacing/>
              <w:jc w:val="both"/>
              <w:rPr>
                <w:rFonts w:ascii="Arial Narrow" w:hAnsi="Arial Narrow" w:cs="Arial"/>
                <w:color w:val="000000"/>
                <w:lang w:val="es-ES" w:eastAsia="es-ES"/>
              </w:rPr>
            </w:pPr>
          </w:p>
        </w:tc>
        <w:tc>
          <w:tcPr>
            <w:tcW w:w="1278" w:type="dxa"/>
            <w:tcBorders>
              <w:top w:val="single" w:sz="4" w:space="0" w:color="auto"/>
              <w:left w:val="single" w:sz="4" w:space="0" w:color="auto"/>
              <w:bottom w:val="single" w:sz="4" w:space="0" w:color="auto"/>
              <w:right w:val="single" w:sz="4" w:space="0" w:color="auto"/>
            </w:tcBorders>
          </w:tcPr>
          <w:p w14:paraId="219D80E9" w14:textId="77777777" w:rsidR="007968EC" w:rsidRPr="00231A2B" w:rsidRDefault="007968EC" w:rsidP="007968EC">
            <w:pPr>
              <w:autoSpaceDE w:val="0"/>
              <w:autoSpaceDN w:val="0"/>
              <w:spacing w:after="160" w:line="259" w:lineRule="auto"/>
              <w:ind w:left="567" w:hanging="425"/>
              <w:contextualSpacing/>
              <w:jc w:val="both"/>
              <w:rPr>
                <w:rFonts w:ascii="Arial Narrow" w:hAnsi="Arial Narrow" w:cs="Arial"/>
                <w:color w:val="000000"/>
                <w:lang w:val="es-ES" w:eastAsia="es-ES"/>
              </w:rPr>
            </w:pPr>
            <w:r w:rsidRPr="00231A2B">
              <w:rPr>
                <w:rFonts w:ascii="Arial Narrow" w:eastAsia="Calibri" w:hAnsi="Arial Narrow" w:cs="Arial"/>
                <w:color w:val="000000"/>
                <w:lang w:eastAsia="es-ES"/>
              </w:rPr>
              <w:t>H6</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326726F7" w14:textId="77777777" w:rsidR="007968EC" w:rsidRPr="00231A2B" w:rsidRDefault="007968EC" w:rsidP="007968EC">
            <w:pPr>
              <w:autoSpaceDE w:val="0"/>
              <w:autoSpaceDN w:val="0"/>
              <w:spacing w:after="160" w:line="259" w:lineRule="auto"/>
              <w:ind w:left="567" w:hanging="425"/>
              <w:contextualSpacing/>
              <w:jc w:val="both"/>
              <w:rPr>
                <w:rFonts w:ascii="Arial Narrow" w:hAnsi="Arial Narrow"/>
                <w:color w:val="000000"/>
                <w:lang w:eastAsia="es-CO"/>
              </w:rPr>
            </w:pPr>
            <w:r w:rsidRPr="00231A2B">
              <w:rPr>
                <w:rFonts w:ascii="Arial Narrow" w:hAnsi="Arial Narrow" w:cs="Arial"/>
                <w:color w:val="000000"/>
                <w:lang w:val="es-ES" w:eastAsia="es-ES"/>
              </w:rPr>
              <w:t>7.0</w:t>
            </w:r>
          </w:p>
        </w:tc>
        <w:tc>
          <w:tcPr>
            <w:tcW w:w="1316" w:type="dxa"/>
            <w:tcBorders>
              <w:top w:val="nil"/>
              <w:left w:val="nil"/>
              <w:bottom w:val="single" w:sz="4" w:space="0" w:color="auto"/>
              <w:right w:val="single" w:sz="4" w:space="0" w:color="auto"/>
            </w:tcBorders>
            <w:shd w:val="clear" w:color="auto" w:fill="auto"/>
            <w:vAlign w:val="center"/>
            <w:hideMark/>
          </w:tcPr>
          <w:p w14:paraId="3A4E8DAC" w14:textId="77777777" w:rsidR="007968EC" w:rsidRPr="00231A2B" w:rsidRDefault="007968EC" w:rsidP="007968EC">
            <w:pPr>
              <w:autoSpaceDE w:val="0"/>
              <w:autoSpaceDN w:val="0"/>
              <w:spacing w:after="160" w:line="259" w:lineRule="auto"/>
              <w:ind w:left="567" w:hanging="425"/>
              <w:contextualSpacing/>
              <w:jc w:val="both"/>
              <w:rPr>
                <w:rFonts w:ascii="Arial Narrow" w:hAnsi="Arial Narrow"/>
                <w:color w:val="000000"/>
                <w:lang w:eastAsia="es-CO"/>
              </w:rPr>
            </w:pPr>
            <w:r w:rsidRPr="00231A2B">
              <w:rPr>
                <w:rFonts w:ascii="Arial Narrow" w:hAnsi="Arial Narrow" w:cs="Arial"/>
                <w:color w:val="000000"/>
                <w:lang w:val="es-ES" w:eastAsia="es-ES"/>
              </w:rPr>
              <w:t>10.0</w:t>
            </w:r>
          </w:p>
        </w:tc>
      </w:tr>
      <w:tr w:rsidR="007968EC" w:rsidRPr="00231A2B" w14:paraId="75038C5A" w14:textId="77777777" w:rsidTr="007968EC">
        <w:trPr>
          <w:trHeight w:val="63"/>
          <w:jc w:val="center"/>
        </w:trPr>
        <w:tc>
          <w:tcPr>
            <w:tcW w:w="1759" w:type="dxa"/>
            <w:vMerge/>
            <w:tcBorders>
              <w:left w:val="single" w:sz="4" w:space="0" w:color="auto"/>
              <w:right w:val="single" w:sz="4" w:space="0" w:color="auto"/>
            </w:tcBorders>
            <w:vAlign w:val="center"/>
          </w:tcPr>
          <w:p w14:paraId="2E730222" w14:textId="77777777" w:rsidR="007968EC" w:rsidRPr="00231A2B" w:rsidRDefault="007968EC" w:rsidP="007968EC">
            <w:pPr>
              <w:autoSpaceDE w:val="0"/>
              <w:autoSpaceDN w:val="0"/>
              <w:spacing w:after="160" w:line="259" w:lineRule="auto"/>
              <w:ind w:left="567" w:hanging="425"/>
              <w:contextualSpacing/>
              <w:jc w:val="both"/>
              <w:rPr>
                <w:rFonts w:ascii="Arial Narrow" w:hAnsi="Arial Narrow" w:cs="Arial"/>
                <w:color w:val="000000"/>
                <w:lang w:val="es-ES" w:eastAsia="es-ES"/>
              </w:rPr>
            </w:pPr>
          </w:p>
        </w:tc>
        <w:tc>
          <w:tcPr>
            <w:tcW w:w="1278" w:type="dxa"/>
            <w:tcBorders>
              <w:top w:val="single" w:sz="4" w:space="0" w:color="auto"/>
              <w:left w:val="single" w:sz="4" w:space="0" w:color="auto"/>
              <w:bottom w:val="single" w:sz="4" w:space="0" w:color="auto"/>
              <w:right w:val="single" w:sz="4" w:space="0" w:color="auto"/>
            </w:tcBorders>
          </w:tcPr>
          <w:p w14:paraId="0D25A4B4" w14:textId="77777777" w:rsidR="007968EC" w:rsidRPr="00231A2B" w:rsidRDefault="007968EC" w:rsidP="007968EC">
            <w:pPr>
              <w:autoSpaceDE w:val="0"/>
              <w:autoSpaceDN w:val="0"/>
              <w:spacing w:after="160" w:line="259" w:lineRule="auto"/>
              <w:ind w:left="567" w:hanging="425"/>
              <w:contextualSpacing/>
              <w:jc w:val="both"/>
              <w:rPr>
                <w:rFonts w:ascii="Arial Narrow" w:hAnsi="Arial Narrow" w:cs="Arial"/>
                <w:color w:val="000000"/>
                <w:lang w:val="es-ES" w:eastAsia="es-ES"/>
              </w:rPr>
            </w:pPr>
            <w:r w:rsidRPr="00231A2B">
              <w:rPr>
                <w:rFonts w:ascii="Arial Narrow" w:eastAsia="Calibri" w:hAnsi="Arial Narrow" w:cs="Arial"/>
                <w:color w:val="000000"/>
                <w:lang w:eastAsia="es-ES"/>
              </w:rPr>
              <w:t>H7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C3267" w14:textId="77777777" w:rsidR="007968EC" w:rsidRPr="00231A2B" w:rsidRDefault="007968EC" w:rsidP="007968EC">
            <w:pPr>
              <w:autoSpaceDE w:val="0"/>
              <w:autoSpaceDN w:val="0"/>
              <w:spacing w:after="160" w:line="259" w:lineRule="auto"/>
              <w:ind w:left="567" w:hanging="425"/>
              <w:contextualSpacing/>
              <w:jc w:val="both"/>
              <w:rPr>
                <w:rFonts w:ascii="Arial Narrow" w:hAnsi="Arial Narrow"/>
                <w:color w:val="000000"/>
                <w:lang w:eastAsia="es-CO"/>
              </w:rPr>
            </w:pPr>
            <w:r w:rsidRPr="00231A2B">
              <w:rPr>
                <w:rFonts w:ascii="Arial Narrow" w:hAnsi="Arial Narrow" w:cs="Arial"/>
                <w:color w:val="000000"/>
                <w:lang w:val="es-ES" w:eastAsia="es-ES"/>
              </w:rPr>
              <w:t>10.0</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14:paraId="52968F48" w14:textId="77777777" w:rsidR="007968EC" w:rsidRPr="00231A2B" w:rsidRDefault="007968EC" w:rsidP="007968EC">
            <w:pPr>
              <w:autoSpaceDE w:val="0"/>
              <w:autoSpaceDN w:val="0"/>
              <w:spacing w:after="160" w:line="259" w:lineRule="auto"/>
              <w:ind w:left="567" w:hanging="425"/>
              <w:contextualSpacing/>
              <w:jc w:val="both"/>
              <w:rPr>
                <w:rFonts w:ascii="Arial Narrow" w:hAnsi="Arial Narrow"/>
                <w:color w:val="000000"/>
                <w:lang w:eastAsia="es-CO"/>
              </w:rPr>
            </w:pPr>
            <w:r w:rsidRPr="00231A2B">
              <w:rPr>
                <w:rFonts w:ascii="Arial Narrow" w:hAnsi="Arial Narrow" w:cs="Arial"/>
                <w:color w:val="000000"/>
                <w:lang w:val="es-ES" w:eastAsia="es-ES"/>
              </w:rPr>
              <w:t>15.0</w:t>
            </w:r>
          </w:p>
        </w:tc>
      </w:tr>
      <w:tr w:rsidR="007968EC" w:rsidRPr="00231A2B" w14:paraId="0C2AE65E" w14:textId="77777777" w:rsidTr="007968EC">
        <w:trPr>
          <w:trHeight w:val="63"/>
          <w:jc w:val="center"/>
        </w:trPr>
        <w:tc>
          <w:tcPr>
            <w:tcW w:w="1759" w:type="dxa"/>
            <w:vMerge/>
            <w:tcBorders>
              <w:left w:val="single" w:sz="4" w:space="0" w:color="auto"/>
              <w:bottom w:val="single" w:sz="4" w:space="0" w:color="auto"/>
              <w:right w:val="single" w:sz="4" w:space="0" w:color="auto"/>
            </w:tcBorders>
            <w:vAlign w:val="center"/>
          </w:tcPr>
          <w:p w14:paraId="242C58AD" w14:textId="77777777" w:rsidR="007968EC" w:rsidRPr="00231A2B" w:rsidRDefault="007968EC" w:rsidP="007968EC">
            <w:pPr>
              <w:autoSpaceDE w:val="0"/>
              <w:autoSpaceDN w:val="0"/>
              <w:spacing w:after="160" w:line="259" w:lineRule="auto"/>
              <w:ind w:left="567" w:hanging="425"/>
              <w:contextualSpacing/>
              <w:jc w:val="both"/>
              <w:rPr>
                <w:rFonts w:ascii="Arial Narrow" w:hAnsi="Arial Narrow" w:cs="Arial"/>
                <w:color w:val="000000"/>
                <w:lang w:val="es-ES" w:eastAsia="es-ES"/>
              </w:rPr>
            </w:pPr>
          </w:p>
        </w:tc>
        <w:tc>
          <w:tcPr>
            <w:tcW w:w="1278" w:type="dxa"/>
            <w:tcBorders>
              <w:top w:val="single" w:sz="4" w:space="0" w:color="auto"/>
              <w:left w:val="single" w:sz="4" w:space="0" w:color="auto"/>
              <w:bottom w:val="single" w:sz="4" w:space="0" w:color="auto"/>
              <w:right w:val="single" w:sz="4" w:space="0" w:color="auto"/>
            </w:tcBorders>
          </w:tcPr>
          <w:p w14:paraId="5452A19D" w14:textId="77777777" w:rsidR="007968EC" w:rsidRPr="00231A2B" w:rsidRDefault="007968EC" w:rsidP="007968EC">
            <w:pPr>
              <w:autoSpaceDE w:val="0"/>
              <w:autoSpaceDN w:val="0"/>
              <w:spacing w:after="160" w:line="259" w:lineRule="auto"/>
              <w:ind w:left="567" w:hanging="425"/>
              <w:contextualSpacing/>
              <w:jc w:val="both"/>
              <w:rPr>
                <w:rFonts w:ascii="Arial Narrow" w:eastAsia="Calibri" w:hAnsi="Arial Narrow" w:cs="Arial"/>
                <w:color w:val="000000"/>
                <w:lang w:eastAsia="es-ES"/>
              </w:rPr>
            </w:pPr>
            <w:r w:rsidRPr="00231A2B">
              <w:rPr>
                <w:rFonts w:ascii="Arial Narrow" w:eastAsia="Calibri" w:hAnsi="Arial Narrow" w:cs="Arial"/>
                <w:color w:val="000000"/>
                <w:lang w:eastAsia="es-ES"/>
              </w:rPr>
              <w:t>H8</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010EE9CB" w14:textId="77777777" w:rsidR="007968EC" w:rsidRPr="00231A2B" w:rsidRDefault="007968EC" w:rsidP="007968EC">
            <w:pPr>
              <w:autoSpaceDE w:val="0"/>
              <w:autoSpaceDN w:val="0"/>
              <w:spacing w:after="160" w:line="259" w:lineRule="auto"/>
              <w:ind w:left="567" w:hanging="425"/>
              <w:contextualSpacing/>
              <w:jc w:val="both"/>
              <w:rPr>
                <w:rFonts w:ascii="Arial Narrow" w:hAnsi="Arial Narrow" w:cs="Arial"/>
                <w:color w:val="000000"/>
                <w:lang w:val="es-ES" w:eastAsia="es-ES"/>
              </w:rPr>
            </w:pPr>
            <w:r w:rsidRPr="00231A2B">
              <w:rPr>
                <w:rFonts w:ascii="Arial Narrow" w:hAnsi="Arial Narrow" w:cs="Arial"/>
                <w:color w:val="000000"/>
                <w:lang w:val="es-ES" w:eastAsia="es-ES"/>
              </w:rPr>
              <w:t>15.0</w:t>
            </w:r>
          </w:p>
        </w:tc>
        <w:tc>
          <w:tcPr>
            <w:tcW w:w="1316" w:type="dxa"/>
            <w:tcBorders>
              <w:top w:val="single" w:sz="4" w:space="0" w:color="auto"/>
              <w:left w:val="nil"/>
              <w:bottom w:val="single" w:sz="4" w:space="0" w:color="auto"/>
              <w:right w:val="single" w:sz="4" w:space="0" w:color="auto"/>
            </w:tcBorders>
            <w:shd w:val="clear" w:color="auto" w:fill="auto"/>
            <w:vAlign w:val="center"/>
          </w:tcPr>
          <w:p w14:paraId="342BB77C" w14:textId="77777777" w:rsidR="007968EC" w:rsidRPr="00231A2B" w:rsidRDefault="007968EC" w:rsidP="007968EC">
            <w:pPr>
              <w:autoSpaceDE w:val="0"/>
              <w:autoSpaceDN w:val="0"/>
              <w:spacing w:after="160" w:line="259" w:lineRule="auto"/>
              <w:ind w:left="567" w:hanging="425"/>
              <w:contextualSpacing/>
              <w:jc w:val="both"/>
              <w:rPr>
                <w:rFonts w:ascii="Arial Narrow" w:hAnsi="Arial Narrow" w:cs="Arial"/>
                <w:color w:val="000000"/>
                <w:lang w:val="es-ES" w:eastAsia="es-ES"/>
              </w:rPr>
            </w:pPr>
            <w:r w:rsidRPr="00231A2B">
              <w:rPr>
                <w:rFonts w:ascii="Arial Narrow" w:hAnsi="Arial Narrow" w:cs="Arial"/>
                <w:color w:val="000000"/>
                <w:lang w:val="es-ES" w:eastAsia="es-ES"/>
              </w:rPr>
              <w:t>20.0</w:t>
            </w:r>
          </w:p>
        </w:tc>
      </w:tr>
    </w:tbl>
    <w:p w14:paraId="64D46CB7" w14:textId="77777777" w:rsidR="007968EC" w:rsidRDefault="007968EC" w:rsidP="007968EC">
      <w:pPr>
        <w:ind w:left="142"/>
        <w:jc w:val="both"/>
        <w:rPr>
          <w:rFonts w:ascii="Arial Narrow" w:eastAsia="Calibri" w:hAnsi="Arial Narrow" w:cs="Arial"/>
          <w:color w:val="000000"/>
          <w:lang w:eastAsia="es-ES"/>
        </w:rPr>
      </w:pPr>
    </w:p>
    <w:p w14:paraId="445B9264" w14:textId="77777777" w:rsidR="007968EC" w:rsidRPr="00EB14DE" w:rsidRDefault="007968EC" w:rsidP="007968EC">
      <w:pPr>
        <w:ind w:left="142"/>
        <w:jc w:val="both"/>
        <w:rPr>
          <w:rFonts w:ascii="Arial Narrow" w:eastAsia="Calibri" w:hAnsi="Arial Narrow" w:cs="Arial"/>
          <w:color w:val="000000"/>
          <w:lang w:eastAsia="es-ES"/>
        </w:rPr>
      </w:pPr>
      <w:r w:rsidRPr="00EB3D3E">
        <w:rPr>
          <w:rFonts w:ascii="Arial Narrow" w:hAnsi="Arial Narrow" w:cs="Arial"/>
          <w:color w:val="000000"/>
          <w:lang w:val="es-ES" w:eastAsia="es-ES"/>
        </w:rPr>
        <w:t>Para realizar el cálculo del riesgo en situación de estrés de acuerdo con lo definido en el artículo 1.6.2.9. se utilizarán los</w:t>
      </w:r>
      <w:r>
        <w:rPr>
          <w:rFonts w:ascii="Arial Narrow" w:hAnsi="Arial Narrow" w:cs="Arial"/>
          <w:color w:val="000000"/>
          <w:lang w:val="es-ES" w:eastAsia="es-ES"/>
        </w:rPr>
        <w:t xml:space="preserve"> escenarios descritos en </w:t>
      </w:r>
      <w:r>
        <w:rPr>
          <w:rFonts w:ascii="Arial Narrow" w:hAnsi="Arial Narrow" w:cs="Arial"/>
          <w:color w:val="000000"/>
          <w:lang w:val="es-ES" w:eastAsia="es-CO"/>
        </w:rPr>
        <w:t>Artículo 2.5.1.8</w:t>
      </w:r>
      <w:r>
        <w:rPr>
          <w:rFonts w:ascii="Arial Narrow" w:hAnsi="Arial Narrow" w:cs="Arial"/>
          <w:lang w:val="es-ES" w:eastAsia="es-ES"/>
        </w:rPr>
        <w:t>.</w:t>
      </w:r>
      <w:r w:rsidRPr="00237C29">
        <w:rPr>
          <w:rFonts w:ascii="Arial Narrow" w:hAnsi="Arial Narrow" w:cs="Arial"/>
          <w:color w:val="000000"/>
          <w:lang w:val="es-ES" w:eastAsia="es-CO"/>
        </w:rPr>
        <w:t xml:space="preserve"> </w:t>
      </w:r>
      <w:r>
        <w:rPr>
          <w:rFonts w:ascii="Arial Narrow" w:hAnsi="Arial Narrow" w:cs="Arial"/>
          <w:color w:val="000000"/>
          <w:lang w:val="es-ES" w:eastAsia="es-CO"/>
        </w:rPr>
        <w:t>Las fluctuaciones de estrés para cada tramo podrán variar de acuerdo con cada escenario de estrés que diseñe la Cámara.</w:t>
      </w:r>
    </w:p>
    <w:p w14:paraId="080BE9B0" w14:textId="77777777" w:rsidR="007968EC" w:rsidRDefault="007968EC" w:rsidP="007968EC">
      <w:pPr>
        <w:ind w:left="142"/>
        <w:jc w:val="both"/>
        <w:rPr>
          <w:rFonts w:ascii="Arial Narrow" w:eastAsia="Calibri" w:hAnsi="Arial Narrow" w:cs="Arial"/>
          <w:color w:val="000000"/>
          <w:lang w:eastAsia="es-ES"/>
        </w:rPr>
      </w:pPr>
    </w:p>
    <w:p w14:paraId="4C10B2DE" w14:textId="77777777" w:rsidR="007968EC" w:rsidRDefault="007968EC" w:rsidP="007968EC">
      <w:pPr>
        <w:ind w:left="142"/>
        <w:jc w:val="both"/>
        <w:rPr>
          <w:rFonts w:ascii="Arial Narrow" w:eastAsia="Calibri" w:hAnsi="Arial Narrow" w:cs="Arial"/>
          <w:color w:val="000000"/>
          <w:lang w:eastAsia="es-ES"/>
        </w:rPr>
      </w:pPr>
    </w:p>
    <w:p w14:paraId="37AAD5C0" w14:textId="77777777" w:rsidR="007968EC" w:rsidRPr="00EB14DE" w:rsidRDefault="007968EC" w:rsidP="007968EC">
      <w:pPr>
        <w:ind w:left="142"/>
        <w:jc w:val="both"/>
        <w:rPr>
          <w:rFonts w:ascii="Arial Narrow" w:eastAsia="Calibri" w:hAnsi="Arial Narrow" w:cs="Arial"/>
          <w:color w:val="000000"/>
          <w:lang w:eastAsia="es-ES"/>
        </w:rPr>
      </w:pPr>
    </w:p>
    <w:p w14:paraId="2FD6FE31" w14:textId="77777777" w:rsidR="007968EC" w:rsidRPr="00EB14DE" w:rsidRDefault="007968EC" w:rsidP="007968EC">
      <w:pPr>
        <w:rPr>
          <w:rFonts w:ascii="Arial Narrow" w:hAnsi="Arial Narrow" w:cs="Arial"/>
          <w:color w:val="000000"/>
          <w:lang w:val="es-ES" w:eastAsia="es-ES"/>
        </w:rPr>
      </w:pPr>
    </w:p>
    <w:p w14:paraId="65E276AA" w14:textId="77777777" w:rsidR="007968EC" w:rsidRPr="00EB14DE" w:rsidRDefault="007968EC" w:rsidP="00DA7472">
      <w:pPr>
        <w:numPr>
          <w:ilvl w:val="0"/>
          <w:numId w:val="242"/>
        </w:numPr>
        <w:autoSpaceDE w:val="0"/>
        <w:autoSpaceDN w:val="0"/>
        <w:spacing w:after="160" w:line="259" w:lineRule="auto"/>
        <w:ind w:left="567" w:hanging="425"/>
        <w:contextualSpacing/>
        <w:jc w:val="both"/>
        <w:rPr>
          <w:rFonts w:ascii="Arial Narrow" w:eastAsia="Calibri" w:hAnsi="Arial Narrow" w:cs="Arial"/>
          <w:color w:val="000000"/>
          <w:u w:val="single"/>
          <w:lang w:eastAsia="es-ES"/>
        </w:rPr>
      </w:pPr>
      <w:r w:rsidRPr="00EB14DE">
        <w:rPr>
          <w:rFonts w:ascii="Arial Narrow" w:eastAsia="Calibri" w:hAnsi="Arial Narrow"/>
          <w:color w:val="000000"/>
          <w:u w:val="single"/>
          <w:lang w:val="es-MX" w:eastAsia="en-US"/>
        </w:rPr>
        <w:t xml:space="preserve"> Instrumentos Derivados Financieros cuyo subyacente sea la Tasa de Cambio Dólar/Peso:</w:t>
      </w:r>
    </w:p>
    <w:p w14:paraId="3BEF41EF" w14:textId="77777777" w:rsidR="007968EC" w:rsidRPr="00EB14DE" w:rsidRDefault="007968EC" w:rsidP="007968EC">
      <w:pPr>
        <w:autoSpaceDE w:val="0"/>
        <w:autoSpaceDN w:val="0"/>
        <w:ind w:left="426"/>
        <w:contextualSpacing/>
        <w:jc w:val="both"/>
        <w:rPr>
          <w:rFonts w:ascii="Arial Narrow" w:eastAsia="Calibri" w:hAnsi="Arial Narrow" w:cs="Arial"/>
          <w:color w:val="000000"/>
          <w:u w:val="single"/>
          <w:lang w:val="es-MX" w:eastAsia="es-ES"/>
        </w:rPr>
      </w:pPr>
    </w:p>
    <w:p w14:paraId="64C1300F" w14:textId="77777777" w:rsidR="007968EC" w:rsidRPr="00EB14DE" w:rsidRDefault="007968EC" w:rsidP="007968EC">
      <w:pPr>
        <w:jc w:val="both"/>
        <w:rPr>
          <w:rFonts w:ascii="Arial Narrow" w:eastAsia="Calibri" w:hAnsi="Arial Narrow"/>
          <w:color w:val="000000"/>
          <w:lang w:eastAsia="en-US"/>
        </w:rPr>
      </w:pPr>
      <w:r w:rsidRPr="00EB14DE">
        <w:rPr>
          <w:rFonts w:ascii="Arial Narrow" w:eastAsia="Calibri" w:hAnsi="Arial Narrow"/>
          <w:bCs/>
          <w:color w:val="000000"/>
          <w:lang w:eastAsia="en-US"/>
        </w:rPr>
        <w:t xml:space="preserve">Para efectos de control de riesgo se agrupan los Futuros de </w:t>
      </w:r>
      <w:r w:rsidRPr="00EB14DE">
        <w:rPr>
          <w:rFonts w:ascii="Arial Narrow" w:eastAsia="Calibri" w:hAnsi="Arial Narrow"/>
          <w:color w:val="000000"/>
          <w:lang w:val="es-MX" w:eastAsia="en-US"/>
        </w:rPr>
        <w:t xml:space="preserve">Tasa de Cambio Dólar/Peso, </w:t>
      </w:r>
      <w:r w:rsidRPr="00EB14DE">
        <w:rPr>
          <w:rFonts w:ascii="Arial Narrow" w:eastAsia="Calibri" w:hAnsi="Arial Narrow"/>
          <w:color w:val="000000"/>
          <w:lang w:eastAsia="en-US"/>
        </w:rPr>
        <w:t xml:space="preserve">Mini Futuro de Tasa de Cambio Dólar/Peso, </w:t>
      </w:r>
      <w:r w:rsidRPr="00EB14DE">
        <w:rPr>
          <w:rFonts w:ascii="Arial Narrow" w:hAnsi="Arial Narrow"/>
          <w:color w:val="000000"/>
          <w:lang w:eastAsia="es-CO"/>
        </w:rPr>
        <w:t>Opción sobre la TRM</w:t>
      </w:r>
      <w:r w:rsidRPr="00EB14DE">
        <w:rPr>
          <w:rFonts w:ascii="Arial Narrow" w:eastAsia="Calibri" w:hAnsi="Arial Narrow"/>
          <w:color w:val="000000"/>
          <w:lang w:eastAsia="en-US"/>
        </w:rPr>
        <w:t xml:space="preserve"> y Forward NDF USD/COP. Los parámetros son los siguientes:</w:t>
      </w:r>
    </w:p>
    <w:p w14:paraId="625D9F2A" w14:textId="77777777" w:rsidR="007968EC" w:rsidRPr="00EB14DE" w:rsidRDefault="007968EC" w:rsidP="007968EC">
      <w:pPr>
        <w:jc w:val="both"/>
        <w:rPr>
          <w:rFonts w:ascii="Arial Narrow" w:eastAsia="Calibri" w:hAnsi="Arial Narrow"/>
          <w:color w:val="000000"/>
          <w:lang w:eastAsia="en-US"/>
        </w:rPr>
      </w:pPr>
    </w:p>
    <w:p w14:paraId="3CB007CB" w14:textId="77777777" w:rsidR="007968EC" w:rsidRPr="00EB14DE" w:rsidRDefault="007968EC" w:rsidP="007968EC">
      <w:pPr>
        <w:jc w:val="both"/>
        <w:rPr>
          <w:rFonts w:ascii="Arial Narrow" w:eastAsia="Calibri" w:hAnsi="Arial Narrow"/>
          <w:b/>
          <w:bCs/>
          <w:color w:val="000000"/>
          <w:lang w:eastAsia="en-US"/>
        </w:rPr>
      </w:pPr>
    </w:p>
    <w:p w14:paraId="4827C20D" w14:textId="77777777" w:rsidR="007968EC" w:rsidRPr="00EB14DE" w:rsidRDefault="007968EC" w:rsidP="007968EC">
      <w:pPr>
        <w:autoSpaceDE w:val="0"/>
        <w:autoSpaceDN w:val="0"/>
        <w:ind w:left="426"/>
        <w:contextualSpacing/>
        <w:jc w:val="both"/>
        <w:rPr>
          <w:rFonts w:ascii="Arial Narrow" w:eastAsia="Calibri" w:hAnsi="Arial Narrow" w:cs="Arial"/>
          <w:color w:val="000000"/>
          <w:u w:val="single"/>
          <w:lang w:val="es-MX" w:eastAsia="es-ES"/>
        </w:rPr>
      </w:pPr>
    </w:p>
    <w:tbl>
      <w:tblPr>
        <w:tblW w:w="9471" w:type="dxa"/>
        <w:jc w:val="center"/>
        <w:tblCellMar>
          <w:left w:w="70" w:type="dxa"/>
          <w:right w:w="70" w:type="dxa"/>
        </w:tblCellMar>
        <w:tblLook w:val="0420" w:firstRow="1" w:lastRow="0" w:firstColumn="0" w:lastColumn="0" w:noHBand="0" w:noVBand="1"/>
      </w:tblPr>
      <w:tblGrid>
        <w:gridCol w:w="3663"/>
        <w:gridCol w:w="1870"/>
        <w:gridCol w:w="2140"/>
        <w:gridCol w:w="1798"/>
      </w:tblGrid>
      <w:tr w:rsidR="007968EC" w:rsidRPr="00EB14DE" w14:paraId="65DB8405" w14:textId="77777777" w:rsidTr="007968EC">
        <w:trPr>
          <w:trHeight w:val="63"/>
          <w:jc w:val="center"/>
        </w:trPr>
        <w:tc>
          <w:tcPr>
            <w:tcW w:w="36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4C3541"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ACTIVO</w:t>
            </w:r>
          </w:p>
        </w:tc>
        <w:tc>
          <w:tcPr>
            <w:tcW w:w="1870" w:type="dxa"/>
            <w:tcBorders>
              <w:top w:val="single" w:sz="4" w:space="0" w:color="auto"/>
              <w:left w:val="nil"/>
              <w:bottom w:val="single" w:sz="4" w:space="0" w:color="auto"/>
              <w:right w:val="single" w:sz="4" w:space="0" w:color="auto"/>
            </w:tcBorders>
            <w:shd w:val="clear" w:color="auto" w:fill="auto"/>
            <w:vAlign w:val="center"/>
            <w:hideMark/>
          </w:tcPr>
          <w:p w14:paraId="5EA3D1DB"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Fluctuación Estrés</w:t>
            </w:r>
          </w:p>
        </w:tc>
        <w:tc>
          <w:tcPr>
            <w:tcW w:w="2140" w:type="dxa"/>
            <w:tcBorders>
              <w:top w:val="single" w:sz="4" w:space="0" w:color="auto"/>
              <w:left w:val="nil"/>
              <w:bottom w:val="single" w:sz="4" w:space="0" w:color="auto"/>
              <w:right w:val="single" w:sz="4" w:space="0" w:color="auto"/>
            </w:tcBorders>
            <w:vAlign w:val="center"/>
          </w:tcPr>
          <w:p w14:paraId="4DB6B731" w14:textId="77777777" w:rsidR="007968EC" w:rsidRPr="00EB14DE" w:rsidRDefault="007968EC" w:rsidP="007968EC">
            <w:pPr>
              <w:ind w:hanging="81"/>
              <w:jc w:val="center"/>
              <w:rPr>
                <w:rFonts w:ascii="Arial Narrow" w:hAnsi="Arial Narrow"/>
                <w:color w:val="000000"/>
                <w:lang w:eastAsia="es-CO"/>
              </w:rPr>
            </w:pPr>
            <w:r w:rsidRPr="00EB14DE">
              <w:rPr>
                <w:rFonts w:ascii="Arial Narrow" w:hAnsi="Arial Narrow"/>
                <w:color w:val="000000"/>
                <w:lang w:eastAsia="es-CO"/>
              </w:rPr>
              <w:t>Variación de la Volatilidad Bajista</w:t>
            </w:r>
          </w:p>
        </w:tc>
        <w:tc>
          <w:tcPr>
            <w:tcW w:w="1798" w:type="dxa"/>
            <w:tcBorders>
              <w:top w:val="single" w:sz="4" w:space="0" w:color="auto"/>
              <w:left w:val="nil"/>
              <w:bottom w:val="single" w:sz="4" w:space="0" w:color="auto"/>
              <w:right w:val="single" w:sz="4" w:space="0" w:color="auto"/>
            </w:tcBorders>
            <w:vAlign w:val="center"/>
          </w:tcPr>
          <w:p w14:paraId="759EBD92" w14:textId="77777777" w:rsidR="007968EC" w:rsidRPr="00EB14DE" w:rsidRDefault="007968EC" w:rsidP="007968EC">
            <w:pPr>
              <w:ind w:hanging="81"/>
              <w:jc w:val="center"/>
              <w:rPr>
                <w:rFonts w:ascii="Arial Narrow" w:hAnsi="Arial Narrow"/>
                <w:color w:val="000000"/>
                <w:lang w:eastAsia="es-CO"/>
              </w:rPr>
            </w:pPr>
            <w:r w:rsidRPr="00EB14DE">
              <w:rPr>
                <w:rFonts w:ascii="Arial Narrow" w:hAnsi="Arial Narrow"/>
                <w:color w:val="000000"/>
                <w:lang w:eastAsia="es-CO"/>
              </w:rPr>
              <w:t>Variación de la Volatilidad Alcista</w:t>
            </w:r>
          </w:p>
        </w:tc>
      </w:tr>
      <w:tr w:rsidR="007968EC" w:rsidRPr="00EB14DE" w14:paraId="1E1FA70B" w14:textId="77777777" w:rsidTr="007968EC">
        <w:trPr>
          <w:trHeight w:val="303"/>
          <w:jc w:val="center"/>
        </w:trPr>
        <w:tc>
          <w:tcPr>
            <w:tcW w:w="36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4A8EE"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Futuro Tasa de Cambio Dólar/Peso</w:t>
            </w:r>
          </w:p>
        </w:tc>
        <w:tc>
          <w:tcPr>
            <w:tcW w:w="1870" w:type="dxa"/>
            <w:vMerge w:val="restart"/>
            <w:tcBorders>
              <w:top w:val="single" w:sz="4" w:space="0" w:color="auto"/>
              <w:left w:val="nil"/>
              <w:bottom w:val="single" w:sz="4" w:space="0" w:color="auto"/>
              <w:right w:val="single" w:sz="4" w:space="0" w:color="auto"/>
            </w:tcBorders>
            <w:shd w:val="clear" w:color="auto" w:fill="auto"/>
            <w:vAlign w:val="center"/>
            <w:hideMark/>
          </w:tcPr>
          <w:p w14:paraId="7DB188A0"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9.6%</w:t>
            </w:r>
          </w:p>
        </w:tc>
        <w:tc>
          <w:tcPr>
            <w:tcW w:w="2140" w:type="dxa"/>
            <w:tcBorders>
              <w:top w:val="single" w:sz="4" w:space="0" w:color="auto"/>
              <w:left w:val="nil"/>
              <w:bottom w:val="single" w:sz="4" w:space="0" w:color="auto"/>
              <w:right w:val="single" w:sz="4" w:space="0" w:color="auto"/>
            </w:tcBorders>
          </w:tcPr>
          <w:p w14:paraId="1ED35DFC"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N/A</w:t>
            </w:r>
          </w:p>
        </w:tc>
        <w:tc>
          <w:tcPr>
            <w:tcW w:w="1798" w:type="dxa"/>
            <w:tcBorders>
              <w:top w:val="single" w:sz="4" w:space="0" w:color="auto"/>
              <w:left w:val="nil"/>
              <w:bottom w:val="single" w:sz="4" w:space="0" w:color="auto"/>
              <w:right w:val="single" w:sz="4" w:space="0" w:color="auto"/>
            </w:tcBorders>
          </w:tcPr>
          <w:p w14:paraId="2DC949C4"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N/A</w:t>
            </w:r>
          </w:p>
        </w:tc>
      </w:tr>
      <w:tr w:rsidR="007968EC" w:rsidRPr="00EB14DE" w14:paraId="3426BCE9" w14:textId="77777777" w:rsidTr="007968EC">
        <w:trPr>
          <w:trHeight w:val="70"/>
          <w:jc w:val="center"/>
        </w:trPr>
        <w:tc>
          <w:tcPr>
            <w:tcW w:w="3663" w:type="dxa"/>
            <w:tcBorders>
              <w:top w:val="single" w:sz="4" w:space="0" w:color="auto"/>
              <w:left w:val="single" w:sz="4" w:space="0" w:color="auto"/>
              <w:bottom w:val="single" w:sz="4" w:space="0" w:color="auto"/>
              <w:right w:val="single" w:sz="4" w:space="0" w:color="auto"/>
            </w:tcBorders>
            <w:shd w:val="clear" w:color="auto" w:fill="auto"/>
            <w:vAlign w:val="center"/>
          </w:tcPr>
          <w:p w14:paraId="3F58055F"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 xml:space="preserve">Mini contrato de </w:t>
            </w:r>
            <w:proofErr w:type="spellStart"/>
            <w:r w:rsidRPr="00EB14DE">
              <w:rPr>
                <w:rFonts w:ascii="Arial Narrow" w:hAnsi="Arial Narrow"/>
                <w:color w:val="000000"/>
                <w:lang w:eastAsia="es-CO"/>
              </w:rPr>
              <w:t>Futu</w:t>
            </w:r>
            <w:r>
              <w:rPr>
                <w:rFonts w:ascii="Arial Narrow" w:hAnsi="Arial Narrow"/>
                <w:color w:val="000000"/>
                <w:lang w:eastAsia="es-CO"/>
              </w:rPr>
              <w:t>|</w:t>
            </w:r>
            <w:r w:rsidRPr="00EB14DE">
              <w:rPr>
                <w:rFonts w:ascii="Arial Narrow" w:hAnsi="Arial Narrow"/>
                <w:color w:val="000000"/>
                <w:lang w:eastAsia="es-CO"/>
              </w:rPr>
              <w:t>ro</w:t>
            </w:r>
            <w:proofErr w:type="spellEnd"/>
            <w:r w:rsidRPr="00EB14DE">
              <w:rPr>
                <w:rFonts w:ascii="Arial Narrow" w:hAnsi="Arial Narrow"/>
                <w:color w:val="000000"/>
                <w:lang w:eastAsia="es-CO"/>
              </w:rPr>
              <w:t xml:space="preserve"> Tasa de Cambio Dólar/Peso</w:t>
            </w:r>
          </w:p>
        </w:tc>
        <w:tc>
          <w:tcPr>
            <w:tcW w:w="1870" w:type="dxa"/>
            <w:vMerge/>
            <w:tcBorders>
              <w:top w:val="single" w:sz="4" w:space="0" w:color="auto"/>
              <w:left w:val="nil"/>
              <w:bottom w:val="single" w:sz="4" w:space="0" w:color="auto"/>
              <w:right w:val="single" w:sz="4" w:space="0" w:color="auto"/>
            </w:tcBorders>
            <w:shd w:val="clear" w:color="auto" w:fill="auto"/>
            <w:vAlign w:val="center"/>
          </w:tcPr>
          <w:p w14:paraId="2ED2E614" w14:textId="77777777" w:rsidR="007968EC" w:rsidRPr="00EB14DE" w:rsidRDefault="007968EC" w:rsidP="007968EC">
            <w:pPr>
              <w:ind w:left="426" w:hanging="425"/>
              <w:jc w:val="center"/>
              <w:rPr>
                <w:rFonts w:ascii="Arial Narrow" w:hAnsi="Arial Narrow"/>
                <w:color w:val="000000"/>
                <w:lang w:eastAsia="es-CO"/>
              </w:rPr>
            </w:pPr>
          </w:p>
        </w:tc>
        <w:tc>
          <w:tcPr>
            <w:tcW w:w="2140" w:type="dxa"/>
            <w:tcBorders>
              <w:top w:val="single" w:sz="4" w:space="0" w:color="auto"/>
              <w:left w:val="nil"/>
              <w:bottom w:val="single" w:sz="4" w:space="0" w:color="auto"/>
              <w:right w:val="single" w:sz="4" w:space="0" w:color="auto"/>
            </w:tcBorders>
          </w:tcPr>
          <w:p w14:paraId="6BD15B90"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N/A</w:t>
            </w:r>
          </w:p>
        </w:tc>
        <w:tc>
          <w:tcPr>
            <w:tcW w:w="1798" w:type="dxa"/>
            <w:tcBorders>
              <w:top w:val="single" w:sz="4" w:space="0" w:color="auto"/>
              <w:left w:val="nil"/>
              <w:bottom w:val="single" w:sz="4" w:space="0" w:color="auto"/>
              <w:right w:val="single" w:sz="4" w:space="0" w:color="auto"/>
            </w:tcBorders>
          </w:tcPr>
          <w:p w14:paraId="59B29C65"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N/A</w:t>
            </w:r>
          </w:p>
        </w:tc>
      </w:tr>
      <w:tr w:rsidR="007968EC" w:rsidRPr="00EB14DE" w14:paraId="0A00F177" w14:textId="77777777" w:rsidTr="007968EC">
        <w:trPr>
          <w:trHeight w:val="303"/>
          <w:jc w:val="center"/>
        </w:trPr>
        <w:tc>
          <w:tcPr>
            <w:tcW w:w="3663" w:type="dxa"/>
            <w:tcBorders>
              <w:top w:val="single" w:sz="4" w:space="0" w:color="auto"/>
              <w:left w:val="single" w:sz="4" w:space="0" w:color="auto"/>
              <w:bottom w:val="single" w:sz="4" w:space="0" w:color="auto"/>
              <w:right w:val="single" w:sz="4" w:space="0" w:color="auto"/>
            </w:tcBorders>
            <w:shd w:val="clear" w:color="auto" w:fill="auto"/>
            <w:vAlign w:val="center"/>
          </w:tcPr>
          <w:p w14:paraId="4D2A17E7"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Forward NDF USD/COP</w:t>
            </w:r>
          </w:p>
        </w:tc>
        <w:tc>
          <w:tcPr>
            <w:tcW w:w="1870" w:type="dxa"/>
            <w:vMerge/>
            <w:tcBorders>
              <w:top w:val="single" w:sz="4" w:space="0" w:color="auto"/>
              <w:left w:val="nil"/>
              <w:bottom w:val="single" w:sz="4" w:space="0" w:color="auto"/>
              <w:right w:val="single" w:sz="4" w:space="0" w:color="auto"/>
            </w:tcBorders>
            <w:shd w:val="clear" w:color="auto" w:fill="auto"/>
            <w:vAlign w:val="center"/>
          </w:tcPr>
          <w:p w14:paraId="62E3C9EA" w14:textId="77777777" w:rsidR="007968EC" w:rsidRPr="00EB14DE" w:rsidRDefault="007968EC" w:rsidP="007968EC">
            <w:pPr>
              <w:ind w:left="426" w:hanging="425"/>
              <w:jc w:val="center"/>
              <w:rPr>
                <w:rFonts w:ascii="Arial Narrow" w:hAnsi="Arial Narrow"/>
                <w:color w:val="000000"/>
                <w:lang w:eastAsia="es-CO"/>
              </w:rPr>
            </w:pPr>
          </w:p>
        </w:tc>
        <w:tc>
          <w:tcPr>
            <w:tcW w:w="2140" w:type="dxa"/>
            <w:tcBorders>
              <w:top w:val="single" w:sz="4" w:space="0" w:color="auto"/>
              <w:left w:val="nil"/>
              <w:bottom w:val="single" w:sz="4" w:space="0" w:color="auto"/>
              <w:right w:val="single" w:sz="4" w:space="0" w:color="auto"/>
            </w:tcBorders>
          </w:tcPr>
          <w:p w14:paraId="57C5FD68"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N/A</w:t>
            </w:r>
          </w:p>
        </w:tc>
        <w:tc>
          <w:tcPr>
            <w:tcW w:w="1798" w:type="dxa"/>
            <w:tcBorders>
              <w:top w:val="single" w:sz="4" w:space="0" w:color="auto"/>
              <w:left w:val="nil"/>
              <w:bottom w:val="single" w:sz="4" w:space="0" w:color="auto"/>
              <w:right w:val="single" w:sz="4" w:space="0" w:color="auto"/>
            </w:tcBorders>
          </w:tcPr>
          <w:p w14:paraId="61977218"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N/A</w:t>
            </w:r>
          </w:p>
        </w:tc>
      </w:tr>
      <w:tr w:rsidR="007968EC" w:rsidRPr="00EB14DE" w14:paraId="61C61449" w14:textId="77777777" w:rsidTr="007968EC">
        <w:trPr>
          <w:trHeight w:val="303"/>
          <w:jc w:val="center"/>
        </w:trPr>
        <w:tc>
          <w:tcPr>
            <w:tcW w:w="3663" w:type="dxa"/>
            <w:tcBorders>
              <w:top w:val="single" w:sz="4" w:space="0" w:color="auto"/>
              <w:left w:val="single" w:sz="4" w:space="0" w:color="auto"/>
              <w:bottom w:val="single" w:sz="4" w:space="0" w:color="auto"/>
              <w:right w:val="single" w:sz="4" w:space="0" w:color="auto"/>
            </w:tcBorders>
            <w:shd w:val="clear" w:color="auto" w:fill="auto"/>
            <w:vAlign w:val="center"/>
          </w:tcPr>
          <w:p w14:paraId="613C278A"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lastRenderedPageBreak/>
              <w:t>Contrato de Opción sobre la TRM</w:t>
            </w:r>
          </w:p>
        </w:tc>
        <w:tc>
          <w:tcPr>
            <w:tcW w:w="1870" w:type="dxa"/>
            <w:vMerge/>
            <w:tcBorders>
              <w:top w:val="single" w:sz="4" w:space="0" w:color="auto"/>
              <w:left w:val="nil"/>
              <w:bottom w:val="single" w:sz="4" w:space="0" w:color="auto"/>
              <w:right w:val="single" w:sz="4" w:space="0" w:color="auto"/>
            </w:tcBorders>
            <w:shd w:val="clear" w:color="auto" w:fill="auto"/>
            <w:vAlign w:val="center"/>
          </w:tcPr>
          <w:p w14:paraId="5BC5B3A5" w14:textId="77777777" w:rsidR="007968EC" w:rsidRPr="00EB14DE" w:rsidRDefault="007968EC" w:rsidP="007968EC">
            <w:pPr>
              <w:ind w:left="426" w:hanging="425"/>
              <w:jc w:val="center"/>
              <w:rPr>
                <w:rFonts w:ascii="Arial Narrow" w:hAnsi="Arial Narrow"/>
                <w:color w:val="000000"/>
                <w:lang w:eastAsia="es-CO"/>
              </w:rPr>
            </w:pPr>
          </w:p>
        </w:tc>
        <w:tc>
          <w:tcPr>
            <w:tcW w:w="2140" w:type="dxa"/>
            <w:tcBorders>
              <w:top w:val="single" w:sz="4" w:space="0" w:color="auto"/>
              <w:left w:val="nil"/>
              <w:bottom w:val="single" w:sz="4" w:space="0" w:color="auto"/>
              <w:right w:val="single" w:sz="4" w:space="0" w:color="auto"/>
            </w:tcBorders>
            <w:vAlign w:val="center"/>
          </w:tcPr>
          <w:p w14:paraId="4A89AAF7"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-30%</w:t>
            </w:r>
          </w:p>
        </w:tc>
        <w:tc>
          <w:tcPr>
            <w:tcW w:w="1798" w:type="dxa"/>
            <w:tcBorders>
              <w:top w:val="single" w:sz="4" w:space="0" w:color="auto"/>
              <w:left w:val="nil"/>
              <w:bottom w:val="single" w:sz="4" w:space="0" w:color="auto"/>
              <w:right w:val="single" w:sz="4" w:space="0" w:color="auto"/>
            </w:tcBorders>
            <w:vAlign w:val="center"/>
          </w:tcPr>
          <w:p w14:paraId="1E70A065"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60%</w:t>
            </w:r>
          </w:p>
        </w:tc>
      </w:tr>
    </w:tbl>
    <w:p w14:paraId="07052D4F" w14:textId="77777777" w:rsidR="007968EC" w:rsidRPr="00EB14DE" w:rsidRDefault="007968EC" w:rsidP="007968EC">
      <w:pPr>
        <w:ind w:left="426"/>
        <w:rPr>
          <w:rFonts w:ascii="Arial Narrow" w:eastAsia="Calibri" w:hAnsi="Arial Narrow" w:cs="Arial"/>
          <w:color w:val="000000"/>
          <w:lang w:eastAsia="es-ES"/>
        </w:rPr>
      </w:pPr>
    </w:p>
    <w:p w14:paraId="6CA7DBAE" w14:textId="77777777" w:rsidR="007968EC" w:rsidRPr="00EB14DE" w:rsidRDefault="007968EC" w:rsidP="00DA7472">
      <w:pPr>
        <w:numPr>
          <w:ilvl w:val="0"/>
          <w:numId w:val="242"/>
        </w:numPr>
        <w:autoSpaceDE w:val="0"/>
        <w:autoSpaceDN w:val="0"/>
        <w:spacing w:after="160" w:line="259" w:lineRule="auto"/>
        <w:ind w:left="567" w:hanging="425"/>
        <w:contextualSpacing/>
        <w:jc w:val="both"/>
        <w:rPr>
          <w:rFonts w:ascii="Arial Narrow" w:eastAsia="Calibri" w:hAnsi="Arial Narrow" w:cs="Arial"/>
          <w:color w:val="000000"/>
          <w:u w:val="single"/>
          <w:lang w:eastAsia="es-ES"/>
        </w:rPr>
      </w:pPr>
      <w:r w:rsidRPr="00EB14DE">
        <w:rPr>
          <w:rFonts w:ascii="Arial Narrow" w:eastAsia="Calibri" w:hAnsi="Arial Narrow"/>
          <w:bCs/>
          <w:color w:val="000000" w:themeColor="text1"/>
          <w:u w:val="single"/>
          <w:lang w:eastAsia="en-US"/>
        </w:rPr>
        <w:t>Contratos de Futuros sobre Acciones del Índice COLCAP</w:t>
      </w:r>
      <w:r w:rsidRPr="00EB14DE">
        <w:rPr>
          <w:rFonts w:ascii="Arial Narrow" w:eastAsia="Calibri" w:hAnsi="Arial Narrow"/>
          <w:color w:val="000000"/>
          <w:u w:val="single"/>
          <w:lang w:eastAsia="en-US"/>
        </w:rPr>
        <w:t xml:space="preserve"> con Liquidación por Diferencias</w:t>
      </w:r>
      <w:r w:rsidRPr="00EB14DE">
        <w:rPr>
          <w:rFonts w:ascii="Arial Narrow" w:eastAsia="Calibri" w:hAnsi="Arial Narrow"/>
          <w:bCs/>
          <w:color w:val="000000" w:themeColor="text1"/>
          <w:u w:val="single"/>
          <w:lang w:eastAsia="en-US"/>
        </w:rPr>
        <w:t xml:space="preserve"> y Contratos de Futuros sobre Acciones del Índice COLCAP</w:t>
      </w:r>
      <w:r w:rsidRPr="00EB14DE" w:rsidDel="00894C05">
        <w:rPr>
          <w:rFonts w:ascii="Arial Narrow" w:eastAsia="Calibri" w:hAnsi="Arial Narrow" w:cs="Arial"/>
          <w:color w:val="000000"/>
          <w:u w:val="single"/>
          <w:lang w:eastAsia="es-ES"/>
        </w:rPr>
        <w:t xml:space="preserve"> </w:t>
      </w:r>
      <w:r w:rsidRPr="00EB14DE">
        <w:rPr>
          <w:rFonts w:ascii="Arial Narrow" w:eastAsia="Calibri" w:hAnsi="Arial Narrow" w:cs="Arial"/>
          <w:color w:val="000000"/>
          <w:u w:val="single"/>
          <w:lang w:eastAsia="es-ES"/>
        </w:rPr>
        <w:t xml:space="preserve">con Liquidación por Entrega: </w:t>
      </w:r>
    </w:p>
    <w:p w14:paraId="7EA393F3" w14:textId="77777777" w:rsidR="007968EC" w:rsidRPr="00EB14DE" w:rsidRDefault="007968EC" w:rsidP="007968EC">
      <w:pPr>
        <w:autoSpaceDE w:val="0"/>
        <w:autoSpaceDN w:val="0"/>
        <w:spacing w:after="160" w:line="259" w:lineRule="auto"/>
        <w:contextualSpacing/>
        <w:jc w:val="both"/>
        <w:rPr>
          <w:rFonts w:ascii="Arial Narrow" w:eastAsia="Calibri" w:hAnsi="Arial Narrow" w:cs="Arial"/>
          <w:color w:val="000000"/>
          <w:u w:val="single"/>
          <w:lang w:eastAsia="es-ES"/>
        </w:rPr>
      </w:pPr>
    </w:p>
    <w:tbl>
      <w:tblPr>
        <w:tblW w:w="7436" w:type="dxa"/>
        <w:jc w:val="center"/>
        <w:tblCellMar>
          <w:left w:w="70" w:type="dxa"/>
          <w:right w:w="70" w:type="dxa"/>
        </w:tblCellMar>
        <w:tblLook w:val="0420" w:firstRow="1" w:lastRow="0" w:firstColumn="0" w:lastColumn="0" w:noHBand="0" w:noVBand="1"/>
      </w:tblPr>
      <w:tblGrid>
        <w:gridCol w:w="5382"/>
        <w:gridCol w:w="2054"/>
      </w:tblGrid>
      <w:tr w:rsidR="007968EC" w:rsidRPr="00EB14DE" w14:paraId="5BA77430" w14:textId="77777777" w:rsidTr="007968EC">
        <w:trPr>
          <w:trHeight w:val="258"/>
          <w:jc w:val="center"/>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FC74A" w14:textId="77777777" w:rsidR="007968EC" w:rsidRPr="00EB14DE" w:rsidRDefault="007968EC" w:rsidP="007968EC">
            <w:pPr>
              <w:ind w:left="426"/>
              <w:jc w:val="center"/>
              <w:rPr>
                <w:rFonts w:ascii="Arial Narrow" w:hAnsi="Arial Narrow"/>
                <w:color w:val="000000"/>
                <w:lang w:eastAsia="es-CO"/>
              </w:rPr>
            </w:pPr>
            <w:r w:rsidRPr="00EB14DE">
              <w:rPr>
                <w:rFonts w:ascii="Arial Narrow" w:hAnsi="Arial Narrow"/>
                <w:color w:val="000000"/>
                <w:lang w:eastAsia="es-CO"/>
              </w:rPr>
              <w:t>ACTIVO</w:t>
            </w:r>
          </w:p>
        </w:tc>
        <w:tc>
          <w:tcPr>
            <w:tcW w:w="2054" w:type="dxa"/>
            <w:tcBorders>
              <w:top w:val="single" w:sz="4" w:space="0" w:color="auto"/>
              <w:left w:val="nil"/>
              <w:bottom w:val="single" w:sz="4" w:space="0" w:color="auto"/>
              <w:right w:val="single" w:sz="4" w:space="0" w:color="auto"/>
            </w:tcBorders>
            <w:shd w:val="clear" w:color="auto" w:fill="auto"/>
            <w:vAlign w:val="center"/>
            <w:hideMark/>
          </w:tcPr>
          <w:p w14:paraId="2F3D3F05"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Fluctuación Estrés</w:t>
            </w:r>
          </w:p>
        </w:tc>
      </w:tr>
      <w:tr w:rsidR="007968EC" w:rsidRPr="00EB14DE" w14:paraId="239E83F9" w14:textId="77777777" w:rsidTr="007968EC">
        <w:trPr>
          <w:trHeight w:val="319"/>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2213951" w14:textId="77777777" w:rsidR="007968EC" w:rsidRPr="00EB14DE" w:rsidRDefault="007968EC" w:rsidP="007968EC">
            <w:pPr>
              <w:rPr>
                <w:rFonts w:ascii="Arial Narrow" w:hAnsi="Arial Narrow"/>
                <w:color w:val="000000"/>
                <w:lang w:eastAsia="es-CO"/>
              </w:rPr>
            </w:pPr>
            <w:r w:rsidRPr="00EB14DE">
              <w:rPr>
                <w:rFonts w:ascii="Arial Narrow" w:hAnsi="Arial Narrow"/>
                <w:color w:val="000000"/>
                <w:lang w:eastAsia="es-CO"/>
              </w:rPr>
              <w:t>FUTURO SOBRE LA ACCIÓN DE ECOPETROL</w:t>
            </w:r>
          </w:p>
        </w:tc>
        <w:tc>
          <w:tcPr>
            <w:tcW w:w="2054" w:type="dxa"/>
            <w:tcBorders>
              <w:top w:val="nil"/>
              <w:left w:val="nil"/>
              <w:bottom w:val="single" w:sz="4" w:space="0" w:color="auto"/>
              <w:right w:val="single" w:sz="4" w:space="0" w:color="auto"/>
            </w:tcBorders>
            <w:shd w:val="clear" w:color="auto" w:fill="auto"/>
            <w:vAlign w:val="center"/>
            <w:hideMark/>
          </w:tcPr>
          <w:p w14:paraId="0FA0B723"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19%</w:t>
            </w:r>
          </w:p>
        </w:tc>
      </w:tr>
      <w:tr w:rsidR="007968EC" w:rsidRPr="00EB14DE" w14:paraId="0395E334" w14:textId="77777777" w:rsidTr="007968EC">
        <w:trPr>
          <w:trHeight w:val="335"/>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13399B29" w14:textId="77777777" w:rsidR="007968EC" w:rsidRPr="00EB14DE" w:rsidRDefault="007968EC" w:rsidP="007968EC">
            <w:pPr>
              <w:rPr>
                <w:rFonts w:ascii="Arial Narrow" w:hAnsi="Arial Narrow"/>
                <w:color w:val="000000"/>
                <w:lang w:eastAsia="es-CO"/>
              </w:rPr>
            </w:pPr>
            <w:r w:rsidRPr="00EB14DE">
              <w:rPr>
                <w:rFonts w:ascii="Arial Narrow" w:hAnsi="Arial Narrow"/>
                <w:color w:val="000000"/>
                <w:lang w:eastAsia="es-CO"/>
              </w:rPr>
              <w:t>FUTURO SOBRE LA ACCIÓN DE PREFERENCIAL DE BANCOLOMBIA</w:t>
            </w:r>
          </w:p>
        </w:tc>
        <w:tc>
          <w:tcPr>
            <w:tcW w:w="2054" w:type="dxa"/>
            <w:tcBorders>
              <w:top w:val="nil"/>
              <w:left w:val="nil"/>
              <w:bottom w:val="single" w:sz="4" w:space="0" w:color="auto"/>
              <w:right w:val="single" w:sz="4" w:space="0" w:color="auto"/>
            </w:tcBorders>
            <w:shd w:val="clear" w:color="auto" w:fill="auto"/>
            <w:vAlign w:val="center"/>
            <w:hideMark/>
          </w:tcPr>
          <w:p w14:paraId="2402341C"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20%</w:t>
            </w:r>
          </w:p>
        </w:tc>
      </w:tr>
      <w:tr w:rsidR="007968EC" w:rsidRPr="00EB14DE" w14:paraId="4E1CB0FC" w14:textId="77777777" w:rsidTr="007968EC">
        <w:trPr>
          <w:trHeight w:val="16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839EAE1" w14:textId="77777777" w:rsidR="007968EC" w:rsidRPr="00EB14DE" w:rsidRDefault="007968EC" w:rsidP="007968EC">
            <w:pPr>
              <w:rPr>
                <w:rFonts w:ascii="Arial Narrow" w:hAnsi="Arial Narrow"/>
                <w:color w:val="000000"/>
                <w:lang w:eastAsia="es-CO"/>
              </w:rPr>
            </w:pPr>
            <w:r w:rsidRPr="00EB14DE">
              <w:rPr>
                <w:rFonts w:ascii="Arial Narrow" w:hAnsi="Arial Narrow"/>
                <w:color w:val="000000"/>
                <w:lang w:eastAsia="es-CO"/>
              </w:rPr>
              <w:t>FUTURO SOBRE LA ACCIÓN DE ISA</w:t>
            </w:r>
          </w:p>
        </w:tc>
        <w:tc>
          <w:tcPr>
            <w:tcW w:w="2054" w:type="dxa"/>
            <w:tcBorders>
              <w:top w:val="nil"/>
              <w:left w:val="nil"/>
              <w:bottom w:val="single" w:sz="4" w:space="0" w:color="auto"/>
              <w:right w:val="single" w:sz="4" w:space="0" w:color="auto"/>
            </w:tcBorders>
            <w:shd w:val="clear" w:color="auto" w:fill="auto"/>
            <w:vAlign w:val="center"/>
            <w:hideMark/>
          </w:tcPr>
          <w:p w14:paraId="50F47AED"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26%</w:t>
            </w:r>
          </w:p>
        </w:tc>
      </w:tr>
      <w:tr w:rsidR="007968EC" w:rsidRPr="00EB14DE" w14:paraId="372C8E21" w14:textId="77777777" w:rsidTr="007968EC">
        <w:trPr>
          <w:trHeight w:val="16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3DBE9A0D" w14:textId="77777777" w:rsidR="007968EC" w:rsidRPr="00EB14DE" w:rsidRDefault="007968EC" w:rsidP="007968EC">
            <w:pPr>
              <w:rPr>
                <w:rFonts w:ascii="Arial Narrow" w:hAnsi="Arial Narrow"/>
                <w:color w:val="000000"/>
                <w:lang w:eastAsia="es-CO"/>
              </w:rPr>
            </w:pPr>
            <w:r w:rsidRPr="00EB14DE">
              <w:rPr>
                <w:rFonts w:ascii="Arial Narrow" w:hAnsi="Arial Narrow"/>
                <w:color w:val="000000"/>
                <w:lang w:eastAsia="es-CO"/>
              </w:rPr>
              <w:t>FUTURO SOBRE LA ACCIÓN DE NUTRESA</w:t>
            </w:r>
          </w:p>
        </w:tc>
        <w:tc>
          <w:tcPr>
            <w:tcW w:w="2054" w:type="dxa"/>
            <w:tcBorders>
              <w:top w:val="nil"/>
              <w:left w:val="nil"/>
              <w:bottom w:val="single" w:sz="4" w:space="0" w:color="auto"/>
              <w:right w:val="single" w:sz="4" w:space="0" w:color="auto"/>
            </w:tcBorders>
            <w:shd w:val="clear" w:color="auto" w:fill="auto"/>
            <w:vAlign w:val="center"/>
            <w:hideMark/>
          </w:tcPr>
          <w:p w14:paraId="5428AAC8"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27%</w:t>
            </w:r>
          </w:p>
        </w:tc>
      </w:tr>
      <w:tr w:rsidR="007968EC" w:rsidRPr="00EB14DE" w14:paraId="7E65B8D8" w14:textId="77777777" w:rsidTr="007968EC">
        <w:trPr>
          <w:trHeight w:val="16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35548CD" w14:textId="77777777" w:rsidR="007968EC" w:rsidRPr="00EB14DE" w:rsidRDefault="007968EC" w:rsidP="007968EC">
            <w:pPr>
              <w:rPr>
                <w:rFonts w:ascii="Arial Narrow" w:hAnsi="Arial Narrow"/>
                <w:color w:val="000000"/>
                <w:lang w:eastAsia="es-CO"/>
              </w:rPr>
            </w:pPr>
            <w:r w:rsidRPr="00EB14DE">
              <w:rPr>
                <w:rFonts w:ascii="Arial Narrow" w:hAnsi="Arial Narrow"/>
                <w:color w:val="000000"/>
                <w:lang w:eastAsia="es-CO"/>
              </w:rPr>
              <w:t>FUTURO SOBRE LA ACCIÓN DE PREFERENCIAL AVAL</w:t>
            </w:r>
          </w:p>
        </w:tc>
        <w:tc>
          <w:tcPr>
            <w:tcW w:w="2054" w:type="dxa"/>
            <w:tcBorders>
              <w:top w:val="nil"/>
              <w:left w:val="nil"/>
              <w:bottom w:val="single" w:sz="4" w:space="0" w:color="auto"/>
              <w:right w:val="single" w:sz="4" w:space="0" w:color="auto"/>
            </w:tcBorders>
            <w:shd w:val="clear" w:color="auto" w:fill="auto"/>
            <w:vAlign w:val="center"/>
            <w:hideMark/>
          </w:tcPr>
          <w:p w14:paraId="39D6BEE2"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18%</w:t>
            </w:r>
          </w:p>
        </w:tc>
      </w:tr>
      <w:tr w:rsidR="007968EC" w:rsidRPr="00EB14DE" w14:paraId="43F1AB43" w14:textId="77777777" w:rsidTr="007968EC">
        <w:trPr>
          <w:trHeight w:val="16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1F712105" w14:textId="77777777" w:rsidR="007968EC" w:rsidRPr="00EB14DE" w:rsidRDefault="007968EC" w:rsidP="007968EC">
            <w:pPr>
              <w:rPr>
                <w:rFonts w:ascii="Arial Narrow" w:hAnsi="Arial Narrow"/>
                <w:color w:val="000000"/>
                <w:lang w:eastAsia="es-CO"/>
              </w:rPr>
            </w:pPr>
            <w:r w:rsidRPr="00EB14DE">
              <w:rPr>
                <w:rFonts w:ascii="Arial Narrow" w:hAnsi="Arial Narrow"/>
                <w:color w:val="000000"/>
                <w:lang w:eastAsia="es-CO"/>
              </w:rPr>
              <w:t>FUTURO SOBRE LA ACCIÓN DE ÉXITO</w:t>
            </w:r>
          </w:p>
        </w:tc>
        <w:tc>
          <w:tcPr>
            <w:tcW w:w="2054" w:type="dxa"/>
            <w:tcBorders>
              <w:top w:val="nil"/>
              <w:left w:val="nil"/>
              <w:bottom w:val="single" w:sz="4" w:space="0" w:color="auto"/>
              <w:right w:val="single" w:sz="4" w:space="0" w:color="auto"/>
            </w:tcBorders>
            <w:shd w:val="clear" w:color="auto" w:fill="auto"/>
            <w:vAlign w:val="center"/>
            <w:hideMark/>
          </w:tcPr>
          <w:p w14:paraId="520C7BAE"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24%</w:t>
            </w:r>
          </w:p>
        </w:tc>
      </w:tr>
      <w:tr w:rsidR="007968EC" w:rsidRPr="00EB14DE" w14:paraId="440A0904" w14:textId="77777777" w:rsidTr="007968EC">
        <w:trPr>
          <w:trHeight w:val="16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943F625" w14:textId="77777777" w:rsidR="007968EC" w:rsidRPr="00EB14DE" w:rsidRDefault="007968EC" w:rsidP="007968EC">
            <w:pPr>
              <w:rPr>
                <w:rFonts w:ascii="Arial Narrow" w:hAnsi="Arial Narrow"/>
                <w:color w:val="000000"/>
                <w:lang w:eastAsia="es-CO"/>
              </w:rPr>
            </w:pPr>
            <w:r w:rsidRPr="00EB14DE">
              <w:rPr>
                <w:rFonts w:ascii="Arial Narrow" w:hAnsi="Arial Narrow"/>
                <w:color w:val="000000"/>
                <w:lang w:eastAsia="es-CO"/>
              </w:rPr>
              <w:t>FUTURO SOBRE LA ACCIÓN DE GRUPO ARGOS</w:t>
            </w:r>
          </w:p>
        </w:tc>
        <w:tc>
          <w:tcPr>
            <w:tcW w:w="2054" w:type="dxa"/>
            <w:tcBorders>
              <w:top w:val="nil"/>
              <w:left w:val="nil"/>
              <w:bottom w:val="single" w:sz="4" w:space="0" w:color="auto"/>
              <w:right w:val="single" w:sz="4" w:space="0" w:color="auto"/>
            </w:tcBorders>
            <w:shd w:val="clear" w:color="auto" w:fill="auto"/>
            <w:vAlign w:val="center"/>
            <w:hideMark/>
          </w:tcPr>
          <w:p w14:paraId="2F46A3E3"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27%</w:t>
            </w:r>
          </w:p>
        </w:tc>
      </w:tr>
      <w:tr w:rsidR="007968EC" w:rsidRPr="00EB14DE" w14:paraId="256B34DF" w14:textId="77777777" w:rsidTr="007968EC">
        <w:trPr>
          <w:trHeight w:val="152"/>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008B837" w14:textId="77777777" w:rsidR="007968EC" w:rsidRPr="00EB14DE" w:rsidRDefault="007968EC" w:rsidP="007968EC">
            <w:pPr>
              <w:rPr>
                <w:rFonts w:ascii="Arial Narrow" w:hAnsi="Arial Narrow"/>
                <w:color w:val="000000"/>
                <w:lang w:eastAsia="es-CO"/>
              </w:rPr>
            </w:pPr>
            <w:r w:rsidRPr="00EB14DE">
              <w:rPr>
                <w:rFonts w:ascii="Arial Narrow" w:hAnsi="Arial Narrow"/>
                <w:color w:val="000000"/>
                <w:lang w:eastAsia="es-CO"/>
              </w:rPr>
              <w:t>FUTURO SOBRE LA ACCIÓN DE GRUPO SURA</w:t>
            </w:r>
          </w:p>
        </w:tc>
        <w:tc>
          <w:tcPr>
            <w:tcW w:w="2054" w:type="dxa"/>
            <w:tcBorders>
              <w:top w:val="nil"/>
              <w:left w:val="nil"/>
              <w:bottom w:val="single" w:sz="4" w:space="0" w:color="auto"/>
              <w:right w:val="single" w:sz="4" w:space="0" w:color="auto"/>
            </w:tcBorders>
            <w:shd w:val="clear" w:color="auto" w:fill="auto"/>
            <w:vAlign w:val="center"/>
            <w:hideMark/>
          </w:tcPr>
          <w:p w14:paraId="7990070B"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33%</w:t>
            </w:r>
          </w:p>
        </w:tc>
      </w:tr>
      <w:tr w:rsidR="007968EC" w:rsidRPr="00EB14DE" w14:paraId="62596388" w14:textId="77777777" w:rsidTr="007968EC">
        <w:trPr>
          <w:trHeight w:val="258"/>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1CD81CDD" w14:textId="77777777" w:rsidR="007968EC" w:rsidRPr="00EB14DE" w:rsidRDefault="007968EC" w:rsidP="007968EC">
            <w:pPr>
              <w:rPr>
                <w:rFonts w:ascii="Arial Narrow" w:hAnsi="Arial Narrow"/>
                <w:color w:val="000000"/>
                <w:lang w:eastAsia="es-CO"/>
              </w:rPr>
            </w:pPr>
            <w:r w:rsidRPr="00EB14DE">
              <w:rPr>
                <w:rFonts w:ascii="Arial Narrow" w:hAnsi="Arial Narrow"/>
                <w:color w:val="000000"/>
                <w:lang w:eastAsia="es-CO"/>
              </w:rPr>
              <w:t>FUTURO SOBRE LA ACCIÓN DE PREFERENCIAL GRUPO SURA</w:t>
            </w:r>
          </w:p>
        </w:tc>
        <w:tc>
          <w:tcPr>
            <w:tcW w:w="2054" w:type="dxa"/>
            <w:tcBorders>
              <w:top w:val="nil"/>
              <w:left w:val="nil"/>
              <w:bottom w:val="single" w:sz="4" w:space="0" w:color="auto"/>
              <w:right w:val="single" w:sz="4" w:space="0" w:color="auto"/>
            </w:tcBorders>
            <w:shd w:val="clear" w:color="auto" w:fill="auto"/>
            <w:vAlign w:val="center"/>
            <w:hideMark/>
          </w:tcPr>
          <w:p w14:paraId="29D81990"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33%</w:t>
            </w:r>
          </w:p>
        </w:tc>
      </w:tr>
      <w:tr w:rsidR="007968EC" w:rsidRPr="00EB14DE" w14:paraId="2DBC0DCC" w14:textId="77777777" w:rsidTr="007968EC">
        <w:trPr>
          <w:trHeight w:val="258"/>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1A4C376B" w14:textId="77777777" w:rsidR="007968EC" w:rsidRPr="00EB14DE" w:rsidRDefault="007968EC" w:rsidP="007968EC">
            <w:pPr>
              <w:rPr>
                <w:rFonts w:ascii="Arial Narrow" w:hAnsi="Arial Narrow"/>
                <w:color w:val="000000"/>
                <w:lang w:eastAsia="es-CO"/>
              </w:rPr>
            </w:pPr>
            <w:r w:rsidRPr="00EB14DE">
              <w:rPr>
                <w:rFonts w:ascii="Arial Narrow" w:hAnsi="Arial Narrow"/>
                <w:color w:val="000000"/>
                <w:lang w:eastAsia="es-CO"/>
              </w:rPr>
              <w:t>FUTURO SOBRE LA ACCIÓN DE CEMENTOS ARGOS</w:t>
            </w:r>
          </w:p>
        </w:tc>
        <w:tc>
          <w:tcPr>
            <w:tcW w:w="2054" w:type="dxa"/>
            <w:tcBorders>
              <w:top w:val="nil"/>
              <w:left w:val="nil"/>
              <w:bottom w:val="single" w:sz="4" w:space="0" w:color="auto"/>
              <w:right w:val="single" w:sz="4" w:space="0" w:color="auto"/>
            </w:tcBorders>
            <w:shd w:val="clear" w:color="auto" w:fill="auto"/>
            <w:vAlign w:val="center"/>
            <w:hideMark/>
          </w:tcPr>
          <w:p w14:paraId="78F6C3A2"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33%</w:t>
            </w:r>
          </w:p>
        </w:tc>
      </w:tr>
      <w:tr w:rsidR="007968EC" w:rsidRPr="00EB14DE" w14:paraId="30BB99A8" w14:textId="77777777" w:rsidTr="007968EC">
        <w:trPr>
          <w:trHeight w:val="388"/>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26A0CF9" w14:textId="77777777" w:rsidR="007968EC" w:rsidRPr="00EB14DE" w:rsidRDefault="007968EC" w:rsidP="007968EC">
            <w:pPr>
              <w:rPr>
                <w:rFonts w:ascii="Arial Narrow" w:hAnsi="Arial Narrow"/>
                <w:color w:val="000000"/>
                <w:lang w:eastAsia="es-CO"/>
              </w:rPr>
            </w:pPr>
            <w:r w:rsidRPr="00EB14DE">
              <w:rPr>
                <w:rFonts w:ascii="Arial Narrow" w:hAnsi="Arial Narrow"/>
                <w:color w:val="000000"/>
                <w:lang w:eastAsia="es-CO"/>
              </w:rPr>
              <w:t>FUTURO SOBRE LA ACCIÓN PREFERENCIAL CEMENTOS ARGOS</w:t>
            </w:r>
          </w:p>
        </w:tc>
        <w:tc>
          <w:tcPr>
            <w:tcW w:w="2054" w:type="dxa"/>
            <w:tcBorders>
              <w:top w:val="nil"/>
              <w:left w:val="nil"/>
              <w:bottom w:val="single" w:sz="4" w:space="0" w:color="auto"/>
              <w:right w:val="single" w:sz="4" w:space="0" w:color="auto"/>
            </w:tcBorders>
            <w:shd w:val="clear" w:color="auto" w:fill="auto"/>
            <w:vAlign w:val="center"/>
            <w:hideMark/>
          </w:tcPr>
          <w:p w14:paraId="59807955"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33%</w:t>
            </w:r>
          </w:p>
        </w:tc>
      </w:tr>
      <w:tr w:rsidR="007968EC" w:rsidRPr="00EB14DE" w14:paraId="7D18FBE8" w14:textId="77777777" w:rsidTr="007968EC">
        <w:trPr>
          <w:trHeight w:val="388"/>
          <w:jc w:val="center"/>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28028B76" w14:textId="77777777" w:rsidR="007968EC" w:rsidRPr="00EB14DE" w:rsidRDefault="007968EC" w:rsidP="007968EC">
            <w:pPr>
              <w:rPr>
                <w:rFonts w:ascii="Arial Narrow" w:hAnsi="Arial Narrow"/>
                <w:color w:val="000000"/>
                <w:lang w:eastAsia="es-CO"/>
              </w:rPr>
            </w:pPr>
            <w:r w:rsidRPr="00EB14DE">
              <w:rPr>
                <w:rFonts w:ascii="Arial Narrow" w:hAnsi="Arial Narrow" w:cs="Arial"/>
                <w:lang w:eastAsia="en-US"/>
              </w:rPr>
              <w:t>FUTURO SOBRE LA ACCIÓN ORDINARIA DE BANCO DE BOGOTÁ</w:t>
            </w:r>
          </w:p>
        </w:tc>
        <w:tc>
          <w:tcPr>
            <w:tcW w:w="2054" w:type="dxa"/>
            <w:tcBorders>
              <w:top w:val="single" w:sz="4" w:space="0" w:color="auto"/>
              <w:left w:val="nil"/>
              <w:bottom w:val="single" w:sz="4" w:space="0" w:color="auto"/>
              <w:right w:val="single" w:sz="4" w:space="0" w:color="auto"/>
            </w:tcBorders>
            <w:shd w:val="clear" w:color="auto" w:fill="auto"/>
            <w:vAlign w:val="center"/>
          </w:tcPr>
          <w:p w14:paraId="04AD0803"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20%</w:t>
            </w:r>
          </w:p>
        </w:tc>
      </w:tr>
      <w:tr w:rsidR="007968EC" w:rsidRPr="00EB14DE" w14:paraId="7357A9D0" w14:textId="77777777" w:rsidTr="007968EC">
        <w:trPr>
          <w:trHeight w:val="388"/>
          <w:jc w:val="center"/>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4284E28D" w14:textId="77777777" w:rsidR="007968EC" w:rsidRPr="00EB14DE" w:rsidRDefault="007968EC" w:rsidP="007968EC">
            <w:pPr>
              <w:rPr>
                <w:rFonts w:ascii="Arial Narrow" w:hAnsi="Arial Narrow" w:cs="Arial"/>
                <w:lang w:eastAsia="en-US"/>
              </w:rPr>
            </w:pPr>
            <w:r w:rsidRPr="00EB14DE">
              <w:rPr>
                <w:rFonts w:ascii="Arial Narrow" w:hAnsi="Arial Narrow" w:cs="Arial"/>
                <w:lang w:eastAsia="en-US"/>
              </w:rPr>
              <w:t xml:space="preserve">FUTURO SOBRE LA ACCIÓN </w:t>
            </w:r>
            <w:r w:rsidRPr="00EB14DE">
              <w:rPr>
                <w:rFonts w:ascii="Arial Narrow" w:eastAsia="Calibri" w:hAnsi="Arial Narrow"/>
                <w:color w:val="000000"/>
                <w:lang w:eastAsia="en-US"/>
              </w:rPr>
              <w:t>CELSIA</w:t>
            </w:r>
          </w:p>
        </w:tc>
        <w:tc>
          <w:tcPr>
            <w:tcW w:w="2054" w:type="dxa"/>
            <w:tcBorders>
              <w:top w:val="single" w:sz="4" w:space="0" w:color="auto"/>
              <w:left w:val="nil"/>
              <w:bottom w:val="single" w:sz="4" w:space="0" w:color="auto"/>
              <w:right w:val="single" w:sz="4" w:space="0" w:color="auto"/>
            </w:tcBorders>
            <w:shd w:val="clear" w:color="auto" w:fill="auto"/>
            <w:vAlign w:val="center"/>
          </w:tcPr>
          <w:p w14:paraId="7EF40B05"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36%</w:t>
            </w:r>
          </w:p>
        </w:tc>
      </w:tr>
      <w:tr w:rsidR="007968EC" w:rsidRPr="00EB14DE" w14:paraId="2BE51530" w14:textId="77777777" w:rsidTr="007968EC">
        <w:trPr>
          <w:trHeight w:val="388"/>
          <w:jc w:val="center"/>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051A7917" w14:textId="77777777" w:rsidR="007968EC" w:rsidRPr="00EB14DE" w:rsidRDefault="007968EC" w:rsidP="007968EC">
            <w:pPr>
              <w:rPr>
                <w:rFonts w:ascii="Arial Narrow" w:hAnsi="Arial Narrow"/>
                <w:color w:val="000000"/>
                <w:lang w:eastAsia="es-CO"/>
              </w:rPr>
            </w:pPr>
            <w:r w:rsidRPr="00EB14DE">
              <w:rPr>
                <w:rFonts w:ascii="Arial Narrow" w:hAnsi="Arial Narrow" w:cs="Arial"/>
                <w:lang w:eastAsia="en-US"/>
              </w:rPr>
              <w:t xml:space="preserve">FUTURO SOBRE LA ACCIÓN ORDINARIA </w:t>
            </w:r>
            <w:r w:rsidRPr="00EB14DE">
              <w:rPr>
                <w:rFonts w:ascii="Arial Narrow" w:eastAsia="Calibri" w:hAnsi="Arial Narrow"/>
                <w:color w:val="000000"/>
                <w:lang w:eastAsia="en-US"/>
              </w:rPr>
              <w:t xml:space="preserve">GRUPO DE </w:t>
            </w:r>
            <w:r w:rsidRPr="00EB14DE">
              <w:rPr>
                <w:rFonts w:ascii="Arial Narrow" w:hAnsi="Arial Narrow"/>
                <w:color w:val="000000"/>
                <w:lang w:eastAsia="es-CO"/>
              </w:rPr>
              <w:t>ENERGÍA</w:t>
            </w:r>
            <w:r w:rsidRPr="00EB14DE">
              <w:rPr>
                <w:rFonts w:ascii="Arial Narrow" w:eastAsia="Calibri" w:hAnsi="Arial Narrow"/>
                <w:color w:val="000000"/>
                <w:lang w:eastAsia="en-US"/>
              </w:rPr>
              <w:t xml:space="preserve"> DE BOGOTÁ</w:t>
            </w:r>
          </w:p>
        </w:tc>
        <w:tc>
          <w:tcPr>
            <w:tcW w:w="2054" w:type="dxa"/>
            <w:tcBorders>
              <w:top w:val="single" w:sz="4" w:space="0" w:color="auto"/>
              <w:left w:val="nil"/>
              <w:bottom w:val="single" w:sz="4" w:space="0" w:color="auto"/>
              <w:right w:val="single" w:sz="4" w:space="0" w:color="auto"/>
            </w:tcBorders>
            <w:shd w:val="clear" w:color="auto" w:fill="auto"/>
            <w:vAlign w:val="center"/>
          </w:tcPr>
          <w:p w14:paraId="63A429D1"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20%</w:t>
            </w:r>
          </w:p>
        </w:tc>
      </w:tr>
      <w:tr w:rsidR="007968EC" w:rsidRPr="00EB14DE" w14:paraId="6AE22B64" w14:textId="77777777" w:rsidTr="007968EC">
        <w:trPr>
          <w:trHeight w:val="388"/>
          <w:jc w:val="center"/>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0E6A9940" w14:textId="77777777" w:rsidR="007968EC" w:rsidRPr="00EB14DE" w:rsidRDefault="007968EC" w:rsidP="007968EC">
            <w:pPr>
              <w:rPr>
                <w:rFonts w:ascii="Arial Narrow" w:hAnsi="Arial Narrow"/>
                <w:color w:val="000000"/>
                <w:lang w:eastAsia="es-CO"/>
              </w:rPr>
            </w:pPr>
            <w:r w:rsidRPr="00EB14DE">
              <w:rPr>
                <w:rFonts w:ascii="Arial Narrow" w:hAnsi="Arial Narrow"/>
                <w:color w:val="000000"/>
                <w:lang w:eastAsia="es-CO"/>
              </w:rPr>
              <w:t>FUTURO SOBRE LA ACCIÓN ORDINARIA DE CORFICOLOMBIANA</w:t>
            </w:r>
          </w:p>
        </w:tc>
        <w:tc>
          <w:tcPr>
            <w:tcW w:w="2054" w:type="dxa"/>
            <w:tcBorders>
              <w:top w:val="single" w:sz="4" w:space="0" w:color="auto"/>
              <w:left w:val="nil"/>
              <w:bottom w:val="single" w:sz="4" w:space="0" w:color="auto"/>
              <w:right w:val="single" w:sz="4" w:space="0" w:color="auto"/>
            </w:tcBorders>
            <w:shd w:val="clear" w:color="auto" w:fill="auto"/>
            <w:vAlign w:val="center"/>
          </w:tcPr>
          <w:p w14:paraId="2A85D251"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35%</w:t>
            </w:r>
          </w:p>
        </w:tc>
      </w:tr>
      <w:tr w:rsidR="007968EC" w:rsidRPr="00EB14DE" w14:paraId="5672F43E" w14:textId="77777777" w:rsidTr="007968EC">
        <w:trPr>
          <w:trHeight w:val="388"/>
          <w:jc w:val="center"/>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01A77D7D" w14:textId="77777777" w:rsidR="007968EC" w:rsidRPr="00EB14DE" w:rsidRDefault="007968EC" w:rsidP="007968EC">
            <w:pPr>
              <w:rPr>
                <w:rFonts w:ascii="Arial Narrow" w:hAnsi="Arial Narrow"/>
                <w:color w:val="000000"/>
                <w:lang w:eastAsia="es-CO"/>
              </w:rPr>
            </w:pPr>
            <w:r w:rsidRPr="00EB14DE">
              <w:rPr>
                <w:rFonts w:ascii="Arial Narrow" w:hAnsi="Arial Narrow"/>
                <w:color w:val="000000"/>
                <w:lang w:eastAsia="es-CO"/>
              </w:rPr>
              <w:t>FUTURO SOBRE LA ACCIÓN PREFERENCIAL GRUPO ARGOS</w:t>
            </w:r>
          </w:p>
        </w:tc>
        <w:tc>
          <w:tcPr>
            <w:tcW w:w="2054" w:type="dxa"/>
            <w:tcBorders>
              <w:top w:val="single" w:sz="4" w:space="0" w:color="auto"/>
              <w:left w:val="nil"/>
              <w:bottom w:val="single" w:sz="4" w:space="0" w:color="auto"/>
              <w:right w:val="single" w:sz="4" w:space="0" w:color="auto"/>
            </w:tcBorders>
            <w:shd w:val="clear" w:color="auto" w:fill="auto"/>
            <w:vAlign w:val="center"/>
          </w:tcPr>
          <w:p w14:paraId="1185D617"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33%</w:t>
            </w:r>
          </w:p>
        </w:tc>
      </w:tr>
      <w:tr w:rsidR="007968EC" w:rsidRPr="00EB14DE" w14:paraId="7E7BA151" w14:textId="77777777" w:rsidTr="007968EC">
        <w:trPr>
          <w:trHeight w:val="388"/>
          <w:jc w:val="center"/>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1310C33C" w14:textId="77777777" w:rsidR="007968EC" w:rsidRPr="00EB14DE" w:rsidRDefault="007968EC" w:rsidP="007968EC">
            <w:pPr>
              <w:rPr>
                <w:rFonts w:ascii="Arial Narrow" w:hAnsi="Arial Narrow"/>
                <w:color w:val="000000"/>
                <w:lang w:eastAsia="es-CO"/>
              </w:rPr>
            </w:pPr>
            <w:r w:rsidRPr="00EB14DE">
              <w:rPr>
                <w:rFonts w:ascii="Arial Narrow" w:hAnsi="Arial Narrow"/>
                <w:color w:val="000000"/>
                <w:lang w:eastAsia="es-CO"/>
              </w:rPr>
              <w:t>FUTURO SOBRE LA ACCIÓN PREFERENCIAL DAVIVIENDA</w:t>
            </w:r>
          </w:p>
        </w:tc>
        <w:tc>
          <w:tcPr>
            <w:tcW w:w="2054" w:type="dxa"/>
            <w:tcBorders>
              <w:top w:val="single" w:sz="4" w:space="0" w:color="auto"/>
              <w:left w:val="nil"/>
              <w:bottom w:val="single" w:sz="4" w:space="0" w:color="auto"/>
              <w:right w:val="single" w:sz="4" w:space="0" w:color="auto"/>
            </w:tcBorders>
            <w:shd w:val="clear" w:color="auto" w:fill="auto"/>
            <w:vAlign w:val="center"/>
          </w:tcPr>
          <w:p w14:paraId="051E825B"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20%</w:t>
            </w:r>
          </w:p>
        </w:tc>
      </w:tr>
      <w:tr w:rsidR="007968EC" w:rsidRPr="00EB14DE" w14:paraId="47390370" w14:textId="77777777" w:rsidTr="007968EC">
        <w:trPr>
          <w:trHeight w:val="388"/>
          <w:jc w:val="center"/>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67E88C78" w14:textId="77777777" w:rsidR="007968EC" w:rsidRPr="00EB14DE" w:rsidRDefault="007968EC" w:rsidP="007968EC">
            <w:pPr>
              <w:rPr>
                <w:rFonts w:ascii="Arial Narrow" w:hAnsi="Arial Narrow"/>
                <w:color w:val="000000"/>
                <w:lang w:eastAsia="es-CO"/>
              </w:rPr>
            </w:pPr>
            <w:r w:rsidRPr="00EB14DE">
              <w:rPr>
                <w:rFonts w:ascii="Arial Narrow" w:hAnsi="Arial Narrow"/>
                <w:color w:val="000000"/>
                <w:lang w:eastAsia="es-CO"/>
              </w:rPr>
              <w:t>FUTURO SOBRE LA ACCIÓN ORDINARIA DE CEMEX LATAM HOLDINGS</w:t>
            </w:r>
          </w:p>
        </w:tc>
        <w:tc>
          <w:tcPr>
            <w:tcW w:w="2054" w:type="dxa"/>
            <w:tcBorders>
              <w:top w:val="single" w:sz="4" w:space="0" w:color="auto"/>
              <w:left w:val="nil"/>
              <w:bottom w:val="single" w:sz="4" w:space="0" w:color="auto"/>
              <w:right w:val="single" w:sz="4" w:space="0" w:color="auto"/>
            </w:tcBorders>
            <w:shd w:val="clear" w:color="auto" w:fill="auto"/>
            <w:vAlign w:val="center"/>
          </w:tcPr>
          <w:p w14:paraId="5F61D519"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36%</w:t>
            </w:r>
          </w:p>
        </w:tc>
      </w:tr>
      <w:tr w:rsidR="007968EC" w:rsidRPr="00EB14DE" w14:paraId="6DEA46F5" w14:textId="77777777" w:rsidTr="007968EC">
        <w:trPr>
          <w:trHeight w:val="388"/>
          <w:jc w:val="center"/>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7145B3FB" w14:textId="77777777" w:rsidR="007968EC" w:rsidRPr="00EB14DE" w:rsidRDefault="007968EC" w:rsidP="007968EC">
            <w:pPr>
              <w:rPr>
                <w:rFonts w:ascii="Arial Narrow" w:hAnsi="Arial Narrow"/>
                <w:color w:val="000000"/>
                <w:lang w:eastAsia="es-CO"/>
              </w:rPr>
            </w:pPr>
            <w:r w:rsidRPr="00EB14DE">
              <w:rPr>
                <w:rFonts w:ascii="Arial Narrow" w:hAnsi="Arial Narrow"/>
                <w:color w:val="000000"/>
                <w:lang w:eastAsia="es-CO"/>
              </w:rPr>
              <w:t>FUTURO SOBRE LA ACCIÓN PREFERENCIAL AVIANCA</w:t>
            </w:r>
          </w:p>
        </w:tc>
        <w:tc>
          <w:tcPr>
            <w:tcW w:w="2054" w:type="dxa"/>
            <w:tcBorders>
              <w:top w:val="single" w:sz="4" w:space="0" w:color="auto"/>
              <w:left w:val="nil"/>
              <w:bottom w:val="single" w:sz="4" w:space="0" w:color="auto"/>
              <w:right w:val="single" w:sz="4" w:space="0" w:color="auto"/>
            </w:tcBorders>
            <w:shd w:val="clear" w:color="auto" w:fill="auto"/>
            <w:vAlign w:val="center"/>
          </w:tcPr>
          <w:p w14:paraId="1A168B4A"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27%</w:t>
            </w:r>
          </w:p>
        </w:tc>
      </w:tr>
      <w:tr w:rsidR="007968EC" w:rsidRPr="00EB14DE" w14:paraId="626043A6" w14:textId="77777777" w:rsidTr="007968EC">
        <w:trPr>
          <w:trHeight w:val="388"/>
          <w:jc w:val="center"/>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4FB1243B" w14:textId="77777777" w:rsidR="007968EC" w:rsidRPr="00EB14DE" w:rsidRDefault="007968EC" w:rsidP="007968EC">
            <w:pPr>
              <w:rPr>
                <w:rFonts w:ascii="Arial Narrow" w:hAnsi="Arial Narrow"/>
                <w:color w:val="000000"/>
                <w:lang w:eastAsia="es-CO"/>
              </w:rPr>
            </w:pPr>
            <w:r w:rsidRPr="00EB14DE">
              <w:rPr>
                <w:rFonts w:ascii="Arial Narrow" w:hAnsi="Arial Narrow"/>
                <w:color w:val="000000"/>
                <w:lang w:eastAsia="es-CO"/>
              </w:rPr>
              <w:t>FUTURO SOBRE LA ACCIÓN ORDINARIA DE CANACOL</w:t>
            </w:r>
          </w:p>
        </w:tc>
        <w:tc>
          <w:tcPr>
            <w:tcW w:w="2054" w:type="dxa"/>
            <w:tcBorders>
              <w:top w:val="single" w:sz="4" w:space="0" w:color="auto"/>
              <w:left w:val="nil"/>
              <w:bottom w:val="single" w:sz="4" w:space="0" w:color="auto"/>
              <w:right w:val="single" w:sz="4" w:space="0" w:color="auto"/>
            </w:tcBorders>
            <w:shd w:val="clear" w:color="auto" w:fill="auto"/>
            <w:vAlign w:val="center"/>
          </w:tcPr>
          <w:p w14:paraId="59C7D5C1"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48%</w:t>
            </w:r>
          </w:p>
        </w:tc>
      </w:tr>
      <w:tr w:rsidR="007968EC" w:rsidRPr="00EB14DE" w14:paraId="5AC49C06" w14:textId="77777777" w:rsidTr="007968EC">
        <w:trPr>
          <w:trHeight w:val="388"/>
          <w:jc w:val="center"/>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22101EC8" w14:textId="77777777" w:rsidR="007968EC" w:rsidRPr="00EB14DE" w:rsidRDefault="007968EC" w:rsidP="007968EC">
            <w:pPr>
              <w:rPr>
                <w:rFonts w:ascii="Arial Narrow" w:hAnsi="Arial Narrow"/>
                <w:color w:val="000000"/>
                <w:lang w:eastAsia="es-CO"/>
              </w:rPr>
            </w:pPr>
            <w:r w:rsidRPr="00EB14DE">
              <w:rPr>
                <w:rFonts w:ascii="Arial Narrow" w:hAnsi="Arial Narrow"/>
                <w:color w:val="000000"/>
                <w:lang w:eastAsia="es-CO"/>
              </w:rPr>
              <w:t>FUTURO SOBRE LA ACCIÓN ORDINARIA DE BANCOLOMBIA</w:t>
            </w:r>
          </w:p>
        </w:tc>
        <w:tc>
          <w:tcPr>
            <w:tcW w:w="2054" w:type="dxa"/>
            <w:tcBorders>
              <w:top w:val="single" w:sz="4" w:space="0" w:color="auto"/>
              <w:left w:val="nil"/>
              <w:bottom w:val="single" w:sz="4" w:space="0" w:color="auto"/>
              <w:right w:val="single" w:sz="4" w:space="0" w:color="auto"/>
            </w:tcBorders>
            <w:shd w:val="clear" w:color="auto" w:fill="auto"/>
            <w:vAlign w:val="center"/>
          </w:tcPr>
          <w:p w14:paraId="5F79B293"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32%</w:t>
            </w:r>
          </w:p>
        </w:tc>
      </w:tr>
      <w:tr w:rsidR="007968EC" w:rsidRPr="00EB14DE" w14:paraId="37AC913B" w14:textId="77777777" w:rsidTr="007968EC">
        <w:trPr>
          <w:trHeight w:val="388"/>
          <w:jc w:val="center"/>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43A27E3A" w14:textId="77777777" w:rsidR="007968EC" w:rsidRPr="00EB14DE" w:rsidRDefault="007968EC" w:rsidP="007968EC">
            <w:pPr>
              <w:rPr>
                <w:rFonts w:ascii="Arial Narrow" w:hAnsi="Arial Narrow"/>
                <w:color w:val="000000"/>
                <w:lang w:eastAsia="es-CO"/>
              </w:rPr>
            </w:pPr>
            <w:r w:rsidRPr="00EB14DE">
              <w:rPr>
                <w:rFonts w:ascii="Arial Narrow" w:hAnsi="Arial Narrow"/>
                <w:color w:val="000000"/>
                <w:lang w:eastAsia="es-CO"/>
              </w:rPr>
              <w:t xml:space="preserve">FUTURO SOBRE LA ACCIÓN ORDINARIA DE LA BOLSA DE VALORES DE COLOMBIA </w:t>
            </w:r>
          </w:p>
        </w:tc>
        <w:tc>
          <w:tcPr>
            <w:tcW w:w="2054" w:type="dxa"/>
            <w:tcBorders>
              <w:top w:val="single" w:sz="4" w:space="0" w:color="auto"/>
              <w:left w:val="nil"/>
              <w:bottom w:val="single" w:sz="4" w:space="0" w:color="auto"/>
              <w:right w:val="single" w:sz="4" w:space="0" w:color="auto"/>
            </w:tcBorders>
            <w:shd w:val="clear" w:color="auto" w:fill="auto"/>
            <w:vAlign w:val="center"/>
          </w:tcPr>
          <w:p w14:paraId="4BD14E10"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19%</w:t>
            </w:r>
          </w:p>
        </w:tc>
      </w:tr>
    </w:tbl>
    <w:p w14:paraId="724C60F8" w14:textId="77777777" w:rsidR="007968EC" w:rsidRPr="00EB14DE" w:rsidRDefault="007968EC" w:rsidP="007968EC">
      <w:pPr>
        <w:ind w:left="426"/>
        <w:rPr>
          <w:rFonts w:ascii="Arial Narrow" w:eastAsia="Calibri" w:hAnsi="Arial Narrow" w:cs="Arial"/>
          <w:color w:val="000000"/>
          <w:lang w:eastAsia="es-ES"/>
        </w:rPr>
      </w:pPr>
    </w:p>
    <w:p w14:paraId="7730F071" w14:textId="77777777" w:rsidR="007968EC" w:rsidRPr="00EB14DE" w:rsidRDefault="007968EC" w:rsidP="007968EC">
      <w:pPr>
        <w:ind w:left="426"/>
        <w:rPr>
          <w:rFonts w:ascii="Arial Narrow" w:eastAsia="Calibri" w:hAnsi="Arial Narrow"/>
          <w:color w:val="000000"/>
          <w:lang w:eastAsia="en-US"/>
        </w:rPr>
      </w:pPr>
    </w:p>
    <w:p w14:paraId="2B85240D" w14:textId="77777777" w:rsidR="007968EC" w:rsidRPr="00EB14DE" w:rsidRDefault="007968EC" w:rsidP="00DA7472">
      <w:pPr>
        <w:numPr>
          <w:ilvl w:val="0"/>
          <w:numId w:val="242"/>
        </w:numPr>
        <w:autoSpaceDE w:val="0"/>
        <w:autoSpaceDN w:val="0"/>
        <w:spacing w:after="160" w:line="259" w:lineRule="auto"/>
        <w:ind w:left="426"/>
        <w:contextualSpacing/>
        <w:jc w:val="both"/>
        <w:rPr>
          <w:rFonts w:ascii="Arial Narrow" w:eastAsia="Calibri" w:hAnsi="Arial Narrow"/>
          <w:color w:val="000000"/>
          <w:u w:val="single"/>
          <w:lang w:eastAsia="en-US"/>
        </w:rPr>
      </w:pPr>
      <w:r w:rsidRPr="00EB14DE">
        <w:rPr>
          <w:rFonts w:ascii="Arial Narrow" w:eastAsia="Calibri" w:hAnsi="Arial Narrow"/>
          <w:color w:val="000000"/>
          <w:u w:val="single"/>
          <w:lang w:eastAsia="en-US"/>
        </w:rPr>
        <w:t>Contrato de Opción sobre Acciones del Índice COLCAP:</w:t>
      </w:r>
    </w:p>
    <w:p w14:paraId="2DC4CA16" w14:textId="77777777" w:rsidR="007968EC" w:rsidRPr="00EB14DE" w:rsidRDefault="007968EC" w:rsidP="007968EC">
      <w:pPr>
        <w:autoSpaceDE w:val="0"/>
        <w:autoSpaceDN w:val="0"/>
        <w:ind w:left="426"/>
        <w:contextualSpacing/>
        <w:jc w:val="both"/>
        <w:rPr>
          <w:rFonts w:ascii="Arial Narrow" w:eastAsia="Calibri" w:hAnsi="Arial Narrow" w:cs="Arial"/>
          <w:b/>
          <w:color w:val="000000"/>
          <w:u w:val="single"/>
          <w:lang w:val="es-ES" w:eastAsia="es-ES"/>
        </w:rPr>
      </w:pPr>
    </w:p>
    <w:tbl>
      <w:tblPr>
        <w:tblW w:w="7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2206"/>
        <w:gridCol w:w="2268"/>
      </w:tblGrid>
      <w:tr w:rsidR="007968EC" w:rsidRPr="00EB14DE" w14:paraId="49F0116F" w14:textId="77777777" w:rsidTr="007968EC">
        <w:trPr>
          <w:trHeight w:val="63"/>
          <w:jc w:val="center"/>
        </w:trPr>
        <w:tc>
          <w:tcPr>
            <w:tcW w:w="2689" w:type="dxa"/>
            <w:shd w:val="clear" w:color="auto" w:fill="auto"/>
            <w:noWrap/>
            <w:vAlign w:val="center"/>
            <w:hideMark/>
          </w:tcPr>
          <w:p w14:paraId="71896CC8"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Subyacente</w:t>
            </w:r>
          </w:p>
        </w:tc>
        <w:tc>
          <w:tcPr>
            <w:tcW w:w="2206" w:type="dxa"/>
            <w:shd w:val="clear" w:color="auto" w:fill="auto"/>
            <w:vAlign w:val="center"/>
            <w:hideMark/>
          </w:tcPr>
          <w:p w14:paraId="401F16BD"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Variación de la Volatilidad Bajista</w:t>
            </w:r>
          </w:p>
        </w:tc>
        <w:tc>
          <w:tcPr>
            <w:tcW w:w="2268" w:type="dxa"/>
            <w:shd w:val="clear" w:color="auto" w:fill="auto"/>
            <w:vAlign w:val="center"/>
          </w:tcPr>
          <w:p w14:paraId="03B821A9"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Variación de la Volatilidad Alcista</w:t>
            </w:r>
          </w:p>
        </w:tc>
      </w:tr>
      <w:tr w:rsidR="007968EC" w:rsidRPr="00EB14DE" w14:paraId="04469C86" w14:textId="77777777" w:rsidTr="007968EC">
        <w:trPr>
          <w:trHeight w:val="315"/>
          <w:jc w:val="center"/>
        </w:trPr>
        <w:tc>
          <w:tcPr>
            <w:tcW w:w="2689" w:type="dxa"/>
            <w:shd w:val="clear" w:color="auto" w:fill="auto"/>
            <w:noWrap/>
            <w:vAlign w:val="bottom"/>
            <w:hideMark/>
          </w:tcPr>
          <w:p w14:paraId="19D99C47"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Opción sobre la Acción</w:t>
            </w:r>
          </w:p>
          <w:p w14:paraId="4C4D182C"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PREFERENCIAL AVAL</w:t>
            </w:r>
          </w:p>
        </w:tc>
        <w:tc>
          <w:tcPr>
            <w:tcW w:w="2206" w:type="dxa"/>
            <w:shd w:val="clear" w:color="auto" w:fill="auto"/>
            <w:noWrap/>
            <w:vAlign w:val="center"/>
            <w:hideMark/>
          </w:tcPr>
          <w:p w14:paraId="44A53BA8"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-77%</w:t>
            </w:r>
          </w:p>
        </w:tc>
        <w:tc>
          <w:tcPr>
            <w:tcW w:w="2268" w:type="dxa"/>
            <w:shd w:val="clear" w:color="auto" w:fill="auto"/>
            <w:vAlign w:val="center"/>
          </w:tcPr>
          <w:p w14:paraId="11EE768C"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100%</w:t>
            </w:r>
          </w:p>
        </w:tc>
      </w:tr>
      <w:tr w:rsidR="007968EC" w:rsidRPr="00EB14DE" w14:paraId="70777C69" w14:textId="77777777" w:rsidTr="007968EC">
        <w:trPr>
          <w:trHeight w:val="63"/>
          <w:jc w:val="center"/>
        </w:trPr>
        <w:tc>
          <w:tcPr>
            <w:tcW w:w="2689" w:type="dxa"/>
            <w:shd w:val="clear" w:color="auto" w:fill="auto"/>
            <w:noWrap/>
            <w:vAlign w:val="bottom"/>
          </w:tcPr>
          <w:p w14:paraId="23EF74FB"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Opción sobre la Acción</w:t>
            </w:r>
          </w:p>
          <w:p w14:paraId="346792C8"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ECOPETROL</w:t>
            </w:r>
          </w:p>
        </w:tc>
        <w:tc>
          <w:tcPr>
            <w:tcW w:w="2206" w:type="dxa"/>
            <w:shd w:val="clear" w:color="auto" w:fill="auto"/>
            <w:noWrap/>
            <w:vAlign w:val="center"/>
          </w:tcPr>
          <w:p w14:paraId="0476D515"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-94%</w:t>
            </w:r>
          </w:p>
        </w:tc>
        <w:tc>
          <w:tcPr>
            <w:tcW w:w="2268" w:type="dxa"/>
            <w:shd w:val="clear" w:color="auto" w:fill="auto"/>
            <w:vAlign w:val="center"/>
          </w:tcPr>
          <w:p w14:paraId="5DD9329C"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100%</w:t>
            </w:r>
          </w:p>
        </w:tc>
      </w:tr>
      <w:tr w:rsidR="007968EC" w:rsidRPr="00EB14DE" w14:paraId="2AB191AE" w14:textId="77777777" w:rsidTr="007968EC">
        <w:trPr>
          <w:trHeight w:val="63"/>
          <w:jc w:val="center"/>
        </w:trPr>
        <w:tc>
          <w:tcPr>
            <w:tcW w:w="2689" w:type="dxa"/>
            <w:shd w:val="clear" w:color="auto" w:fill="auto"/>
            <w:noWrap/>
            <w:vAlign w:val="bottom"/>
          </w:tcPr>
          <w:p w14:paraId="32ECBE02"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Opción sobre la Acción</w:t>
            </w:r>
          </w:p>
          <w:p w14:paraId="3F4221ED"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PREFERENCIAL</w:t>
            </w:r>
          </w:p>
          <w:p w14:paraId="671C5AB6"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BANCOLOMBIA</w:t>
            </w:r>
          </w:p>
        </w:tc>
        <w:tc>
          <w:tcPr>
            <w:tcW w:w="2206" w:type="dxa"/>
            <w:shd w:val="clear" w:color="auto" w:fill="auto"/>
            <w:noWrap/>
            <w:vAlign w:val="center"/>
          </w:tcPr>
          <w:p w14:paraId="45D0DB3F"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-74%</w:t>
            </w:r>
          </w:p>
        </w:tc>
        <w:tc>
          <w:tcPr>
            <w:tcW w:w="2268" w:type="dxa"/>
            <w:shd w:val="clear" w:color="auto" w:fill="auto"/>
            <w:vAlign w:val="center"/>
          </w:tcPr>
          <w:p w14:paraId="7877E5A3"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100%</w:t>
            </w:r>
          </w:p>
        </w:tc>
      </w:tr>
    </w:tbl>
    <w:p w14:paraId="792E969A" w14:textId="77777777" w:rsidR="007968EC" w:rsidRPr="00EB14DE" w:rsidRDefault="007968EC" w:rsidP="007968EC">
      <w:pPr>
        <w:ind w:left="426"/>
        <w:rPr>
          <w:rFonts w:ascii="Arial Narrow" w:eastAsia="Calibri" w:hAnsi="Arial Narrow" w:cs="Arial"/>
          <w:color w:val="000000"/>
          <w:lang w:eastAsia="es-ES"/>
        </w:rPr>
      </w:pPr>
    </w:p>
    <w:p w14:paraId="0B547C59" w14:textId="77777777" w:rsidR="007968EC" w:rsidRPr="00EB14DE" w:rsidRDefault="007968EC" w:rsidP="00DA7472">
      <w:pPr>
        <w:numPr>
          <w:ilvl w:val="0"/>
          <w:numId w:val="242"/>
        </w:numPr>
        <w:autoSpaceDE w:val="0"/>
        <w:autoSpaceDN w:val="0"/>
        <w:spacing w:after="160" w:line="259" w:lineRule="auto"/>
        <w:ind w:left="426"/>
        <w:contextualSpacing/>
        <w:jc w:val="both"/>
        <w:rPr>
          <w:rFonts w:ascii="Arial Narrow" w:eastAsia="Calibri" w:hAnsi="Arial Narrow" w:cs="Arial"/>
          <w:color w:val="000000"/>
          <w:u w:val="single"/>
          <w:lang w:eastAsia="es-ES"/>
        </w:rPr>
      </w:pPr>
      <w:r w:rsidRPr="00EB14DE">
        <w:rPr>
          <w:rFonts w:ascii="Arial Narrow" w:eastAsia="Calibri" w:hAnsi="Arial Narrow"/>
          <w:color w:val="000000"/>
          <w:u w:val="single"/>
          <w:lang w:val="es-MX" w:eastAsia="en-US"/>
        </w:rPr>
        <w:t>Instrumentos Derivados Financieros cuyo subyacente sea</w:t>
      </w:r>
      <w:r w:rsidRPr="00EB14DE">
        <w:rPr>
          <w:rFonts w:ascii="Arial Narrow" w:eastAsia="Calibri" w:hAnsi="Arial Narrow" w:cs="Arial"/>
          <w:color w:val="000000"/>
          <w:u w:val="single"/>
          <w:lang w:eastAsia="es-ES"/>
        </w:rPr>
        <w:t xml:space="preserve"> el Índice Accionario COLCAP: </w:t>
      </w:r>
    </w:p>
    <w:p w14:paraId="4333131C" w14:textId="77777777" w:rsidR="007968EC" w:rsidRPr="00EB14DE" w:rsidRDefault="007968EC" w:rsidP="007968EC">
      <w:pPr>
        <w:autoSpaceDE w:val="0"/>
        <w:autoSpaceDN w:val="0"/>
        <w:ind w:left="426"/>
        <w:contextualSpacing/>
        <w:jc w:val="both"/>
        <w:rPr>
          <w:rFonts w:ascii="Arial Narrow" w:eastAsia="Calibri" w:hAnsi="Arial Narrow" w:cs="Arial"/>
          <w:b/>
          <w:color w:val="000000"/>
          <w:u w:val="single"/>
          <w:lang w:eastAsia="es-ES"/>
        </w:rPr>
      </w:pPr>
    </w:p>
    <w:tbl>
      <w:tblPr>
        <w:tblW w:w="7364" w:type="dxa"/>
        <w:jc w:val="center"/>
        <w:tblCellMar>
          <w:left w:w="70" w:type="dxa"/>
          <w:right w:w="70" w:type="dxa"/>
        </w:tblCellMar>
        <w:tblLook w:val="0420" w:firstRow="1" w:lastRow="0" w:firstColumn="0" w:lastColumn="0" w:noHBand="0" w:noVBand="1"/>
      </w:tblPr>
      <w:tblGrid>
        <w:gridCol w:w="4730"/>
        <w:gridCol w:w="2634"/>
      </w:tblGrid>
      <w:tr w:rsidR="007968EC" w:rsidRPr="00EB14DE" w14:paraId="46181958" w14:textId="77777777" w:rsidTr="007968EC">
        <w:trPr>
          <w:trHeight w:val="249"/>
          <w:jc w:val="center"/>
        </w:trPr>
        <w:tc>
          <w:tcPr>
            <w:tcW w:w="4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0FC88"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ACTIVO</w:t>
            </w:r>
          </w:p>
        </w:tc>
        <w:tc>
          <w:tcPr>
            <w:tcW w:w="2634" w:type="dxa"/>
            <w:tcBorders>
              <w:top w:val="single" w:sz="4" w:space="0" w:color="auto"/>
              <w:left w:val="nil"/>
              <w:bottom w:val="single" w:sz="4" w:space="0" w:color="auto"/>
              <w:right w:val="single" w:sz="4" w:space="0" w:color="auto"/>
            </w:tcBorders>
            <w:shd w:val="clear" w:color="auto" w:fill="auto"/>
            <w:vAlign w:val="center"/>
            <w:hideMark/>
          </w:tcPr>
          <w:p w14:paraId="1E949B57"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Fluctuación Estrés</w:t>
            </w:r>
          </w:p>
        </w:tc>
      </w:tr>
      <w:tr w:rsidR="007968EC" w:rsidRPr="00EB14DE" w14:paraId="372853E7" w14:textId="77777777" w:rsidTr="007968EC">
        <w:trPr>
          <w:trHeight w:val="262"/>
          <w:jc w:val="center"/>
        </w:trPr>
        <w:tc>
          <w:tcPr>
            <w:tcW w:w="4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911C69"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Contratos De Futuros Índice Accionario COLCAP</w:t>
            </w:r>
          </w:p>
        </w:tc>
        <w:tc>
          <w:tcPr>
            <w:tcW w:w="2634" w:type="dxa"/>
            <w:vMerge w:val="restart"/>
            <w:tcBorders>
              <w:top w:val="single" w:sz="4" w:space="0" w:color="auto"/>
              <w:left w:val="nil"/>
              <w:right w:val="single" w:sz="4" w:space="0" w:color="auto"/>
            </w:tcBorders>
            <w:shd w:val="clear" w:color="auto" w:fill="auto"/>
            <w:vAlign w:val="center"/>
            <w:hideMark/>
          </w:tcPr>
          <w:p w14:paraId="4AFBC102"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14.50%</w:t>
            </w:r>
          </w:p>
        </w:tc>
      </w:tr>
      <w:tr w:rsidR="007968EC" w:rsidRPr="00EB14DE" w14:paraId="2A3F21A3" w14:textId="77777777" w:rsidTr="007968EC">
        <w:trPr>
          <w:trHeight w:val="262"/>
          <w:jc w:val="center"/>
        </w:trPr>
        <w:tc>
          <w:tcPr>
            <w:tcW w:w="4730" w:type="dxa"/>
            <w:tcBorders>
              <w:top w:val="single" w:sz="4" w:space="0" w:color="auto"/>
              <w:left w:val="single" w:sz="4" w:space="0" w:color="auto"/>
              <w:bottom w:val="single" w:sz="4" w:space="0" w:color="auto"/>
              <w:right w:val="single" w:sz="4" w:space="0" w:color="auto"/>
            </w:tcBorders>
            <w:shd w:val="clear" w:color="auto" w:fill="auto"/>
            <w:vAlign w:val="center"/>
          </w:tcPr>
          <w:p w14:paraId="21278728"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eastAsia="Calibri" w:hAnsi="Arial Narrow" w:cstheme="minorBidi"/>
                <w:color w:val="000000"/>
                <w:lang w:eastAsia="es-CO"/>
              </w:rPr>
              <w:t>Mini Contrato de Futuro Índice Accionario COLCAP</w:t>
            </w:r>
          </w:p>
        </w:tc>
        <w:tc>
          <w:tcPr>
            <w:tcW w:w="2634" w:type="dxa"/>
            <w:vMerge/>
            <w:tcBorders>
              <w:left w:val="nil"/>
              <w:bottom w:val="single" w:sz="4" w:space="0" w:color="auto"/>
              <w:right w:val="single" w:sz="4" w:space="0" w:color="auto"/>
            </w:tcBorders>
            <w:shd w:val="clear" w:color="auto" w:fill="auto"/>
            <w:vAlign w:val="center"/>
          </w:tcPr>
          <w:p w14:paraId="0478D2E4" w14:textId="77777777" w:rsidR="007968EC" w:rsidRPr="00EB14DE" w:rsidRDefault="007968EC" w:rsidP="007968EC">
            <w:pPr>
              <w:ind w:left="426" w:hanging="425"/>
              <w:jc w:val="center"/>
              <w:rPr>
                <w:rFonts w:ascii="Arial Narrow" w:hAnsi="Arial Narrow"/>
                <w:color w:val="000000"/>
                <w:lang w:eastAsia="es-CO"/>
              </w:rPr>
            </w:pPr>
          </w:p>
        </w:tc>
      </w:tr>
    </w:tbl>
    <w:p w14:paraId="52FA3584" w14:textId="77777777" w:rsidR="007968EC" w:rsidRPr="00EB14DE" w:rsidRDefault="007968EC" w:rsidP="007968EC">
      <w:pPr>
        <w:autoSpaceDE w:val="0"/>
        <w:autoSpaceDN w:val="0"/>
        <w:ind w:left="426"/>
        <w:contextualSpacing/>
        <w:jc w:val="both"/>
        <w:rPr>
          <w:rFonts w:ascii="Arial Narrow" w:eastAsia="Calibri" w:hAnsi="Arial Narrow" w:cs="Arial"/>
          <w:b/>
          <w:color w:val="000000"/>
          <w:u w:val="single"/>
          <w:lang w:eastAsia="es-ES"/>
        </w:rPr>
      </w:pPr>
    </w:p>
    <w:p w14:paraId="63E3F7D8" w14:textId="77777777" w:rsidR="007968EC" w:rsidRPr="00EB14DE" w:rsidRDefault="007968EC" w:rsidP="00DA7472">
      <w:pPr>
        <w:numPr>
          <w:ilvl w:val="0"/>
          <w:numId w:val="242"/>
        </w:numPr>
        <w:autoSpaceDE w:val="0"/>
        <w:autoSpaceDN w:val="0"/>
        <w:spacing w:after="160" w:line="259" w:lineRule="auto"/>
        <w:ind w:left="426"/>
        <w:contextualSpacing/>
        <w:jc w:val="both"/>
        <w:rPr>
          <w:rFonts w:ascii="Arial Narrow" w:eastAsia="Calibri" w:hAnsi="Arial Narrow" w:cs="Arial"/>
          <w:color w:val="000000"/>
          <w:u w:val="single"/>
          <w:lang w:eastAsia="es-ES"/>
        </w:rPr>
      </w:pPr>
      <w:r w:rsidRPr="00EB14DE">
        <w:rPr>
          <w:rFonts w:ascii="Arial Narrow" w:eastAsia="Calibri" w:hAnsi="Arial Narrow" w:cs="Arial"/>
          <w:color w:val="000000"/>
          <w:u w:val="single"/>
          <w:lang w:eastAsia="es-ES"/>
        </w:rPr>
        <w:t xml:space="preserve">Contrato Futuro sobre Electricidad Mensual: </w:t>
      </w:r>
    </w:p>
    <w:p w14:paraId="3BA81314" w14:textId="77777777" w:rsidR="007968EC" w:rsidRPr="00EB14DE" w:rsidRDefault="007968EC" w:rsidP="007968EC">
      <w:pPr>
        <w:autoSpaceDE w:val="0"/>
        <w:autoSpaceDN w:val="0"/>
        <w:rPr>
          <w:rFonts w:ascii="Arial Narrow" w:eastAsia="Calibri" w:hAnsi="Arial Narrow" w:cs="Arial"/>
          <w:b/>
          <w:color w:val="000000"/>
          <w:lang w:eastAsia="es-ES"/>
        </w:rPr>
      </w:pPr>
    </w:p>
    <w:p w14:paraId="39F0B88A" w14:textId="77777777" w:rsidR="007968EC" w:rsidRPr="00EB14DE" w:rsidRDefault="007968EC" w:rsidP="007968EC">
      <w:pPr>
        <w:autoSpaceDE w:val="0"/>
        <w:autoSpaceDN w:val="0"/>
        <w:ind w:left="426"/>
        <w:rPr>
          <w:rFonts w:ascii="Arial Narrow" w:eastAsia="Calibri" w:hAnsi="Arial Narrow" w:cs="Arial"/>
          <w:b/>
          <w:color w:val="000000"/>
          <w:lang w:eastAsia="es-ES"/>
        </w:rPr>
      </w:pPr>
      <w:r w:rsidRPr="00EB14DE">
        <w:rPr>
          <w:rFonts w:ascii="Arial Narrow" w:eastAsia="Calibri" w:hAnsi="Arial Narrow" w:cs="Arial"/>
          <w:color w:val="000000"/>
          <w:lang w:eastAsia="es-ES"/>
        </w:rPr>
        <w:t xml:space="preserve">Para el Instrumento Contrato Futuro sobre Electricidad Mensual se tienen los siguientes parámetros, de conformidad con los </w:t>
      </w:r>
      <w:r w:rsidRPr="00EB14DE">
        <w:rPr>
          <w:rFonts w:ascii="Arial Narrow" w:eastAsia="Calibri" w:hAnsi="Arial Narrow"/>
          <w:color w:val="000000"/>
          <w:lang w:eastAsia="en-US"/>
        </w:rPr>
        <w:t>veinticuatro (24</w:t>
      </w:r>
      <w:r w:rsidRPr="00EB14DE">
        <w:rPr>
          <w:rFonts w:ascii="Arial Narrow" w:eastAsia="Calibri" w:hAnsi="Arial Narrow" w:cs="Arial"/>
          <w:color w:val="000000"/>
          <w:lang w:eastAsia="es-ES"/>
        </w:rPr>
        <w:t>) vencimientos disponibles en el sistema:</w:t>
      </w:r>
    </w:p>
    <w:p w14:paraId="62E44A8A" w14:textId="77777777" w:rsidR="007968EC" w:rsidRPr="00EB14DE" w:rsidRDefault="007968EC" w:rsidP="007968EC">
      <w:pPr>
        <w:autoSpaceDE w:val="0"/>
        <w:autoSpaceDN w:val="0"/>
        <w:rPr>
          <w:rFonts w:ascii="Arial Narrow" w:eastAsia="Calibri" w:hAnsi="Arial Narrow" w:cs="Arial"/>
          <w:b/>
          <w:color w:val="000000"/>
          <w:lang w:eastAsia="es-ES"/>
        </w:rPr>
      </w:pPr>
    </w:p>
    <w:tbl>
      <w:tblPr>
        <w:tblW w:w="7292" w:type="dxa"/>
        <w:jc w:val="center"/>
        <w:tblLayout w:type="fixed"/>
        <w:tblCellMar>
          <w:left w:w="70" w:type="dxa"/>
          <w:right w:w="70" w:type="dxa"/>
        </w:tblCellMar>
        <w:tblLook w:val="0000" w:firstRow="0" w:lastRow="0" w:firstColumn="0" w:lastColumn="0" w:noHBand="0" w:noVBand="0"/>
      </w:tblPr>
      <w:tblGrid>
        <w:gridCol w:w="3743"/>
        <w:gridCol w:w="3549"/>
      </w:tblGrid>
      <w:tr w:rsidR="007968EC" w:rsidRPr="00EB14DE" w14:paraId="2B561C53" w14:textId="77777777" w:rsidTr="007968EC">
        <w:trPr>
          <w:trHeight w:val="589"/>
          <w:jc w:val="center"/>
        </w:trPr>
        <w:tc>
          <w:tcPr>
            <w:tcW w:w="374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0C8A1D" w14:textId="77777777" w:rsidR="007968EC" w:rsidRPr="00EB14DE" w:rsidRDefault="007968EC" w:rsidP="007968EC">
            <w:pPr>
              <w:jc w:val="center"/>
              <w:rPr>
                <w:rFonts w:ascii="Arial Narrow" w:eastAsia="Calibri" w:hAnsi="Arial Narrow" w:cs="Arial"/>
                <w:b/>
                <w:color w:val="000000"/>
                <w:lang w:eastAsia="es-ES"/>
              </w:rPr>
            </w:pPr>
            <w:r w:rsidRPr="00EB14DE">
              <w:rPr>
                <w:rFonts w:ascii="Arial Narrow" w:eastAsia="Calibri" w:hAnsi="Arial Narrow" w:cs="Arial"/>
                <w:color w:val="000000"/>
                <w:lang w:eastAsia="es-ES"/>
              </w:rPr>
              <w:t>Vencimientos</w:t>
            </w:r>
          </w:p>
          <w:p w14:paraId="5B1B6FA6" w14:textId="77777777" w:rsidR="007968EC" w:rsidRPr="00EB14DE" w:rsidRDefault="007968EC" w:rsidP="007968EC">
            <w:pPr>
              <w:jc w:val="center"/>
              <w:rPr>
                <w:rFonts w:ascii="Arial Narrow" w:eastAsia="Calibri" w:hAnsi="Arial Narrow" w:cs="Arial"/>
                <w:b/>
                <w:color w:val="000000"/>
                <w:lang w:eastAsia="es-ES"/>
              </w:rPr>
            </w:pPr>
            <w:r w:rsidRPr="00EB14DE">
              <w:rPr>
                <w:rFonts w:ascii="Arial Narrow" w:eastAsia="Calibri" w:hAnsi="Arial Narrow" w:cs="Arial"/>
                <w:color w:val="000000"/>
                <w:lang w:eastAsia="es-ES"/>
              </w:rPr>
              <w:t>Contrato Futuro sobre Electricidad Mensual</w:t>
            </w:r>
          </w:p>
        </w:tc>
        <w:tc>
          <w:tcPr>
            <w:tcW w:w="3549" w:type="dxa"/>
            <w:tcBorders>
              <w:top w:val="single" w:sz="4" w:space="0" w:color="auto"/>
              <w:left w:val="single" w:sz="4" w:space="0" w:color="auto"/>
              <w:bottom w:val="single" w:sz="4" w:space="0" w:color="auto"/>
              <w:right w:val="single" w:sz="4" w:space="0" w:color="auto"/>
            </w:tcBorders>
            <w:shd w:val="clear" w:color="auto" w:fill="FFFFFF"/>
            <w:vAlign w:val="center"/>
          </w:tcPr>
          <w:p w14:paraId="4697098C" w14:textId="77777777" w:rsidR="007968EC" w:rsidRPr="00EB14DE" w:rsidRDefault="007968EC" w:rsidP="007968EC">
            <w:pPr>
              <w:jc w:val="center"/>
              <w:rPr>
                <w:rFonts w:ascii="Arial Narrow" w:eastAsia="Calibri" w:hAnsi="Arial Narrow" w:cs="Arial"/>
                <w:b/>
                <w:color w:val="000000"/>
                <w:lang w:eastAsia="es-ES"/>
              </w:rPr>
            </w:pPr>
            <w:r w:rsidRPr="00EB14DE">
              <w:rPr>
                <w:rFonts w:ascii="Arial Narrow" w:hAnsi="Arial Narrow"/>
                <w:color w:val="000000"/>
                <w:lang w:eastAsia="es-CO"/>
              </w:rPr>
              <w:t>Fluctuación Estrés</w:t>
            </w:r>
          </w:p>
        </w:tc>
      </w:tr>
      <w:tr w:rsidR="007968EC" w:rsidRPr="00EB14DE" w14:paraId="78E78B31" w14:textId="77777777" w:rsidTr="007968EC">
        <w:trPr>
          <w:trHeight w:val="185"/>
          <w:jc w:val="center"/>
        </w:trPr>
        <w:tc>
          <w:tcPr>
            <w:tcW w:w="374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89552D" w14:textId="77777777" w:rsidR="007968EC" w:rsidRPr="00EB14DE" w:rsidRDefault="007968EC" w:rsidP="007968EC">
            <w:pPr>
              <w:jc w:val="center"/>
              <w:rPr>
                <w:rFonts w:ascii="Arial Narrow" w:eastAsia="Calibri" w:hAnsi="Arial Narrow" w:cs="Arial"/>
                <w:b/>
                <w:color w:val="000000"/>
                <w:lang w:eastAsia="es-ES"/>
              </w:rPr>
            </w:pPr>
            <w:r w:rsidRPr="00EB14DE">
              <w:rPr>
                <w:rFonts w:ascii="Arial Narrow" w:eastAsia="Calibri" w:hAnsi="Arial Narrow" w:cs="Arial"/>
                <w:color w:val="000000"/>
                <w:lang w:eastAsia="es-ES"/>
              </w:rPr>
              <w:t>1 al 4</w:t>
            </w:r>
          </w:p>
        </w:tc>
        <w:tc>
          <w:tcPr>
            <w:tcW w:w="3549" w:type="dxa"/>
            <w:tcBorders>
              <w:top w:val="single" w:sz="4" w:space="0" w:color="auto"/>
              <w:left w:val="nil"/>
              <w:bottom w:val="single" w:sz="4" w:space="0" w:color="auto"/>
              <w:right w:val="single" w:sz="4" w:space="0" w:color="auto"/>
            </w:tcBorders>
            <w:shd w:val="clear" w:color="auto" w:fill="FFFFFF"/>
            <w:noWrap/>
            <w:vAlign w:val="center"/>
          </w:tcPr>
          <w:p w14:paraId="2C955B97" w14:textId="77777777" w:rsidR="007968EC" w:rsidRPr="00EB14DE" w:rsidRDefault="007968EC" w:rsidP="007968EC">
            <w:pPr>
              <w:jc w:val="center"/>
              <w:rPr>
                <w:rFonts w:ascii="Arial Narrow" w:eastAsia="Calibri" w:hAnsi="Arial Narrow" w:cs="Arial"/>
                <w:b/>
                <w:color w:val="000000"/>
                <w:lang w:eastAsia="es-ES"/>
              </w:rPr>
            </w:pPr>
            <w:r w:rsidRPr="00EB14DE">
              <w:rPr>
                <w:rFonts w:ascii="Arial Narrow" w:eastAsia="Calibri" w:hAnsi="Arial Narrow"/>
                <w:color w:val="000000"/>
                <w:lang w:eastAsia="en-US"/>
              </w:rPr>
              <w:t>48</w:t>
            </w:r>
            <w:r w:rsidRPr="00EB14DE">
              <w:rPr>
                <w:rFonts w:ascii="Arial Narrow" w:eastAsia="Calibri" w:hAnsi="Arial Narrow" w:cs="Arial"/>
                <w:color w:val="000000"/>
                <w:lang w:eastAsia="es-ES"/>
              </w:rPr>
              <w:t>%</w:t>
            </w:r>
          </w:p>
        </w:tc>
      </w:tr>
      <w:tr w:rsidR="007968EC" w:rsidRPr="00EB14DE" w14:paraId="2DF7FFE0" w14:textId="77777777" w:rsidTr="007968EC">
        <w:trPr>
          <w:trHeight w:val="185"/>
          <w:jc w:val="center"/>
        </w:trPr>
        <w:tc>
          <w:tcPr>
            <w:tcW w:w="374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D3C0BF" w14:textId="77777777" w:rsidR="007968EC" w:rsidRPr="00EB14DE" w:rsidRDefault="007968EC" w:rsidP="007968EC">
            <w:pPr>
              <w:jc w:val="center"/>
              <w:rPr>
                <w:rFonts w:ascii="Arial Narrow" w:eastAsia="Calibri" w:hAnsi="Arial Narrow" w:cs="Arial"/>
                <w:b/>
                <w:color w:val="000000"/>
                <w:lang w:eastAsia="es-ES"/>
              </w:rPr>
            </w:pPr>
            <w:r w:rsidRPr="00EB14DE">
              <w:rPr>
                <w:rFonts w:ascii="Arial Narrow" w:eastAsia="Calibri" w:hAnsi="Arial Narrow" w:cs="Arial"/>
                <w:color w:val="000000"/>
                <w:lang w:eastAsia="es-ES"/>
              </w:rPr>
              <w:t>5 al 8</w:t>
            </w:r>
          </w:p>
        </w:tc>
        <w:tc>
          <w:tcPr>
            <w:tcW w:w="3549" w:type="dxa"/>
            <w:tcBorders>
              <w:top w:val="single" w:sz="4" w:space="0" w:color="auto"/>
              <w:left w:val="nil"/>
              <w:bottom w:val="single" w:sz="4" w:space="0" w:color="auto"/>
              <w:right w:val="single" w:sz="4" w:space="0" w:color="auto"/>
            </w:tcBorders>
            <w:shd w:val="clear" w:color="auto" w:fill="FFFFFF"/>
            <w:noWrap/>
            <w:vAlign w:val="center"/>
          </w:tcPr>
          <w:p w14:paraId="07965999" w14:textId="77777777" w:rsidR="007968EC" w:rsidRPr="00EB14DE" w:rsidRDefault="007968EC" w:rsidP="007968EC">
            <w:pPr>
              <w:jc w:val="center"/>
              <w:rPr>
                <w:rFonts w:ascii="Arial Narrow" w:eastAsia="Calibri" w:hAnsi="Arial Narrow" w:cs="Arial"/>
                <w:b/>
                <w:color w:val="000000"/>
                <w:lang w:eastAsia="es-ES"/>
              </w:rPr>
            </w:pPr>
            <w:r w:rsidRPr="00EB14DE">
              <w:rPr>
                <w:rFonts w:ascii="Arial Narrow" w:eastAsia="Calibri" w:hAnsi="Arial Narrow"/>
                <w:color w:val="000000"/>
                <w:lang w:eastAsia="en-US"/>
              </w:rPr>
              <w:t>35</w:t>
            </w:r>
            <w:r w:rsidRPr="00EB14DE">
              <w:rPr>
                <w:rFonts w:ascii="Arial Narrow" w:eastAsia="Calibri" w:hAnsi="Arial Narrow" w:cs="Arial"/>
                <w:color w:val="000000"/>
                <w:lang w:eastAsia="es-ES"/>
              </w:rPr>
              <w:t>%</w:t>
            </w:r>
          </w:p>
        </w:tc>
      </w:tr>
      <w:tr w:rsidR="007968EC" w:rsidRPr="00EB14DE" w14:paraId="26AACC75" w14:textId="77777777" w:rsidTr="007968EC">
        <w:trPr>
          <w:trHeight w:val="185"/>
          <w:jc w:val="center"/>
        </w:trPr>
        <w:tc>
          <w:tcPr>
            <w:tcW w:w="374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1FFE2F" w14:textId="77777777" w:rsidR="007968EC" w:rsidRPr="00EB14DE" w:rsidRDefault="007968EC" w:rsidP="007968EC">
            <w:pPr>
              <w:jc w:val="center"/>
              <w:rPr>
                <w:rFonts w:ascii="Arial Narrow" w:eastAsia="Calibri" w:hAnsi="Arial Narrow" w:cs="Arial"/>
                <w:b/>
                <w:color w:val="000000"/>
                <w:lang w:eastAsia="es-ES"/>
              </w:rPr>
            </w:pPr>
            <w:r w:rsidRPr="00EB14DE">
              <w:rPr>
                <w:rFonts w:ascii="Arial Narrow" w:eastAsia="Calibri" w:hAnsi="Arial Narrow" w:cs="Arial"/>
                <w:color w:val="000000"/>
                <w:lang w:eastAsia="es-ES"/>
              </w:rPr>
              <w:t xml:space="preserve">9 al </w:t>
            </w:r>
            <w:r w:rsidRPr="00EB14DE">
              <w:rPr>
                <w:rFonts w:ascii="Arial Narrow" w:eastAsia="Calibri" w:hAnsi="Arial Narrow"/>
                <w:color w:val="000000"/>
                <w:lang w:eastAsia="en-US"/>
              </w:rPr>
              <w:t>16</w:t>
            </w:r>
          </w:p>
        </w:tc>
        <w:tc>
          <w:tcPr>
            <w:tcW w:w="3549" w:type="dxa"/>
            <w:tcBorders>
              <w:top w:val="single" w:sz="4" w:space="0" w:color="auto"/>
              <w:left w:val="nil"/>
              <w:bottom w:val="single" w:sz="4" w:space="0" w:color="auto"/>
              <w:right w:val="single" w:sz="4" w:space="0" w:color="auto"/>
            </w:tcBorders>
            <w:shd w:val="clear" w:color="auto" w:fill="FFFFFF"/>
            <w:noWrap/>
            <w:vAlign w:val="center"/>
          </w:tcPr>
          <w:p w14:paraId="4C670154" w14:textId="77777777" w:rsidR="007968EC" w:rsidRPr="00EB14DE" w:rsidRDefault="007968EC" w:rsidP="007968EC">
            <w:pPr>
              <w:jc w:val="center"/>
              <w:rPr>
                <w:rFonts w:ascii="Arial Narrow" w:eastAsia="Calibri" w:hAnsi="Arial Narrow" w:cs="Arial"/>
                <w:b/>
                <w:color w:val="000000"/>
                <w:lang w:eastAsia="es-ES"/>
              </w:rPr>
            </w:pPr>
            <w:r w:rsidRPr="00EB14DE">
              <w:rPr>
                <w:rFonts w:ascii="Arial Narrow" w:eastAsia="Calibri" w:hAnsi="Arial Narrow"/>
                <w:color w:val="000000"/>
                <w:lang w:eastAsia="en-US"/>
              </w:rPr>
              <w:t>26</w:t>
            </w:r>
            <w:r w:rsidRPr="00EB14DE">
              <w:rPr>
                <w:rFonts w:ascii="Arial Narrow" w:eastAsia="Calibri" w:hAnsi="Arial Narrow" w:cs="Arial"/>
                <w:color w:val="000000"/>
                <w:lang w:eastAsia="es-ES"/>
              </w:rPr>
              <w:t>%</w:t>
            </w:r>
          </w:p>
        </w:tc>
      </w:tr>
      <w:tr w:rsidR="007968EC" w:rsidRPr="00EB14DE" w14:paraId="665F93F2" w14:textId="77777777" w:rsidTr="007968EC">
        <w:trPr>
          <w:trHeight w:val="185"/>
          <w:jc w:val="center"/>
        </w:trPr>
        <w:tc>
          <w:tcPr>
            <w:tcW w:w="374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726F49"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 xml:space="preserve">17 al </w:t>
            </w:r>
            <w:r w:rsidRPr="00EB14DE">
              <w:rPr>
                <w:rFonts w:ascii="Arial Narrow" w:eastAsia="Calibri" w:hAnsi="Arial Narrow"/>
                <w:color w:val="000000"/>
                <w:lang w:eastAsia="en-US"/>
              </w:rPr>
              <w:t>24</w:t>
            </w:r>
          </w:p>
        </w:tc>
        <w:tc>
          <w:tcPr>
            <w:tcW w:w="3549" w:type="dxa"/>
            <w:tcBorders>
              <w:top w:val="single" w:sz="4" w:space="0" w:color="auto"/>
              <w:left w:val="nil"/>
              <w:bottom w:val="single" w:sz="4" w:space="0" w:color="auto"/>
              <w:right w:val="single" w:sz="4" w:space="0" w:color="auto"/>
            </w:tcBorders>
            <w:shd w:val="clear" w:color="auto" w:fill="FFFFFF"/>
            <w:noWrap/>
            <w:vAlign w:val="center"/>
          </w:tcPr>
          <w:p w14:paraId="1E2401A3" w14:textId="77777777" w:rsidR="007968EC" w:rsidRPr="00EB14DE" w:rsidRDefault="007968EC" w:rsidP="007968EC">
            <w:pPr>
              <w:jc w:val="center"/>
              <w:rPr>
                <w:rFonts w:ascii="Arial Narrow" w:eastAsia="Calibri" w:hAnsi="Arial Narrow"/>
                <w:color w:val="000000"/>
                <w:lang w:eastAsia="en-US"/>
              </w:rPr>
            </w:pPr>
            <w:r w:rsidRPr="00EB14DE">
              <w:rPr>
                <w:rFonts w:ascii="Arial Narrow" w:eastAsia="Calibri" w:hAnsi="Arial Narrow"/>
                <w:color w:val="000000"/>
                <w:lang w:eastAsia="en-US"/>
              </w:rPr>
              <w:t>26</w:t>
            </w:r>
            <w:r w:rsidRPr="00EB14DE">
              <w:rPr>
                <w:rFonts w:ascii="Arial Narrow" w:eastAsia="Calibri" w:hAnsi="Arial Narrow" w:cs="Arial"/>
                <w:color w:val="000000"/>
                <w:lang w:eastAsia="es-ES"/>
              </w:rPr>
              <w:t>%</w:t>
            </w:r>
          </w:p>
        </w:tc>
      </w:tr>
    </w:tbl>
    <w:p w14:paraId="7BBB8610" w14:textId="77777777" w:rsidR="007968EC" w:rsidRDefault="007968EC" w:rsidP="007968EC">
      <w:pPr>
        <w:autoSpaceDE w:val="0"/>
        <w:autoSpaceDN w:val="0"/>
        <w:rPr>
          <w:rFonts w:ascii="Arial Narrow" w:eastAsia="Calibri" w:hAnsi="Arial Narrow" w:cs="Arial"/>
          <w:b/>
          <w:color w:val="000000"/>
          <w:lang w:eastAsia="es-ES"/>
        </w:rPr>
      </w:pPr>
    </w:p>
    <w:p w14:paraId="6412FF8F" w14:textId="77777777" w:rsidR="007968EC" w:rsidRPr="00EB14DE" w:rsidRDefault="007968EC" w:rsidP="007968EC">
      <w:pPr>
        <w:autoSpaceDE w:val="0"/>
        <w:autoSpaceDN w:val="0"/>
        <w:rPr>
          <w:rFonts w:ascii="Arial Narrow" w:eastAsia="Calibri" w:hAnsi="Arial Narrow" w:cs="Arial"/>
          <w:b/>
          <w:color w:val="000000"/>
          <w:lang w:eastAsia="es-ES"/>
        </w:rPr>
      </w:pPr>
    </w:p>
    <w:p w14:paraId="47E2F295" w14:textId="77777777" w:rsidR="007968EC" w:rsidRPr="00EB14DE" w:rsidRDefault="007968EC" w:rsidP="00DA7472">
      <w:pPr>
        <w:numPr>
          <w:ilvl w:val="0"/>
          <w:numId w:val="242"/>
        </w:numPr>
        <w:autoSpaceDE w:val="0"/>
        <w:autoSpaceDN w:val="0"/>
        <w:spacing w:after="160" w:line="259" w:lineRule="auto"/>
        <w:ind w:left="426"/>
        <w:contextualSpacing/>
        <w:jc w:val="both"/>
        <w:rPr>
          <w:rFonts w:ascii="Arial Narrow" w:eastAsia="Calibri" w:hAnsi="Arial Narrow" w:cs="Arial"/>
          <w:color w:val="000000"/>
          <w:u w:val="single"/>
          <w:lang w:eastAsia="es-ES"/>
        </w:rPr>
      </w:pPr>
      <w:r w:rsidRPr="00EB14DE">
        <w:rPr>
          <w:rFonts w:ascii="Arial Narrow" w:eastAsia="Calibri" w:hAnsi="Arial Narrow" w:cs="Arial"/>
          <w:color w:val="000000"/>
          <w:u w:val="single"/>
          <w:lang w:eastAsia="es-ES"/>
        </w:rPr>
        <w:t xml:space="preserve">Contrato Mini de Futuro sobre Electricidad Mensual: </w:t>
      </w:r>
    </w:p>
    <w:p w14:paraId="68810B9A" w14:textId="77777777" w:rsidR="007968EC" w:rsidRPr="00EB14DE" w:rsidRDefault="007968EC" w:rsidP="007968EC">
      <w:pPr>
        <w:autoSpaceDE w:val="0"/>
        <w:autoSpaceDN w:val="0"/>
        <w:ind w:left="426"/>
        <w:rPr>
          <w:rFonts w:ascii="Arial Narrow" w:eastAsia="Calibri" w:hAnsi="Arial Narrow" w:cs="Arial"/>
          <w:b/>
          <w:color w:val="000000"/>
          <w:lang w:eastAsia="es-ES"/>
        </w:rPr>
      </w:pPr>
    </w:p>
    <w:p w14:paraId="39A70C1B" w14:textId="77777777" w:rsidR="007968EC" w:rsidRPr="00EB14DE" w:rsidRDefault="007968EC" w:rsidP="007968EC">
      <w:pPr>
        <w:autoSpaceDE w:val="0"/>
        <w:autoSpaceDN w:val="0"/>
        <w:ind w:left="426"/>
        <w:jc w:val="both"/>
        <w:rPr>
          <w:rFonts w:ascii="Arial Narrow" w:eastAsia="Calibri" w:hAnsi="Arial Narrow" w:cs="Arial"/>
          <w:b/>
          <w:color w:val="000000"/>
          <w:lang w:eastAsia="es-ES"/>
        </w:rPr>
      </w:pPr>
      <w:r w:rsidRPr="00EB14DE">
        <w:rPr>
          <w:rFonts w:ascii="Arial Narrow" w:eastAsia="Calibri" w:hAnsi="Arial Narrow" w:cs="Arial"/>
          <w:color w:val="000000"/>
          <w:lang w:eastAsia="es-ES"/>
        </w:rPr>
        <w:t xml:space="preserve">Para el Instrumento Contrato Mini de Futuro sobre Electricidad Mensual se tienen los siguientes parámetros, de conformidad con los </w:t>
      </w:r>
      <w:r w:rsidRPr="00EB14DE">
        <w:rPr>
          <w:rFonts w:ascii="Arial Narrow" w:eastAsia="Calibri" w:hAnsi="Arial Narrow"/>
          <w:color w:val="000000"/>
          <w:lang w:eastAsia="en-US"/>
        </w:rPr>
        <w:t>veinticuatro (24</w:t>
      </w:r>
      <w:r w:rsidRPr="00EB14DE">
        <w:rPr>
          <w:rFonts w:ascii="Arial Narrow" w:eastAsia="Calibri" w:hAnsi="Arial Narrow" w:cs="Arial"/>
          <w:color w:val="000000"/>
          <w:lang w:eastAsia="es-ES"/>
        </w:rPr>
        <w:t>) vencimientos disponibles en el sistema:</w:t>
      </w:r>
    </w:p>
    <w:p w14:paraId="588836A2" w14:textId="77777777" w:rsidR="007968EC" w:rsidRPr="00EB14DE" w:rsidRDefault="007968EC" w:rsidP="007968EC">
      <w:pPr>
        <w:ind w:left="426"/>
        <w:rPr>
          <w:rFonts w:ascii="Arial Narrow" w:eastAsia="Calibri" w:hAnsi="Arial Narrow" w:cs="Arial"/>
          <w:b/>
          <w:color w:val="000000"/>
          <w:lang w:eastAsia="es-ES"/>
        </w:rPr>
      </w:pPr>
    </w:p>
    <w:tbl>
      <w:tblPr>
        <w:tblW w:w="7194" w:type="dxa"/>
        <w:jc w:val="center"/>
        <w:tblLayout w:type="fixed"/>
        <w:tblCellMar>
          <w:left w:w="70" w:type="dxa"/>
          <w:right w:w="70" w:type="dxa"/>
        </w:tblCellMar>
        <w:tblLook w:val="0000" w:firstRow="0" w:lastRow="0" w:firstColumn="0" w:lastColumn="0" w:noHBand="0" w:noVBand="0"/>
      </w:tblPr>
      <w:tblGrid>
        <w:gridCol w:w="3693"/>
        <w:gridCol w:w="3501"/>
      </w:tblGrid>
      <w:tr w:rsidR="007968EC" w:rsidRPr="00EB14DE" w14:paraId="725F0C38" w14:textId="77777777" w:rsidTr="007968EC">
        <w:trPr>
          <w:trHeight w:val="70"/>
          <w:jc w:val="center"/>
        </w:trPr>
        <w:tc>
          <w:tcPr>
            <w:tcW w:w="369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A4C1FC"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Vencimientos</w:t>
            </w:r>
          </w:p>
          <w:p w14:paraId="57B2D848"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Contrato Mini de Futuro sobre</w:t>
            </w:r>
          </w:p>
          <w:p w14:paraId="03202631"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Electricidad Mensual</w:t>
            </w:r>
          </w:p>
        </w:tc>
        <w:tc>
          <w:tcPr>
            <w:tcW w:w="3501" w:type="dxa"/>
            <w:tcBorders>
              <w:top w:val="single" w:sz="4" w:space="0" w:color="auto"/>
              <w:left w:val="single" w:sz="4" w:space="0" w:color="auto"/>
              <w:bottom w:val="single" w:sz="4" w:space="0" w:color="auto"/>
              <w:right w:val="single" w:sz="4" w:space="0" w:color="auto"/>
            </w:tcBorders>
            <w:shd w:val="clear" w:color="auto" w:fill="FFFFFF"/>
            <w:vAlign w:val="center"/>
          </w:tcPr>
          <w:p w14:paraId="0365C5B9"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Fluctuación Estrés</w:t>
            </w:r>
          </w:p>
        </w:tc>
      </w:tr>
      <w:tr w:rsidR="007968EC" w:rsidRPr="00EB14DE" w14:paraId="43F4AA79" w14:textId="77777777" w:rsidTr="007968EC">
        <w:trPr>
          <w:trHeight w:val="300"/>
          <w:jc w:val="center"/>
        </w:trPr>
        <w:tc>
          <w:tcPr>
            <w:tcW w:w="369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64B227"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1 al 4</w:t>
            </w:r>
          </w:p>
        </w:tc>
        <w:tc>
          <w:tcPr>
            <w:tcW w:w="3501" w:type="dxa"/>
            <w:tcBorders>
              <w:top w:val="single" w:sz="4" w:space="0" w:color="auto"/>
              <w:left w:val="nil"/>
              <w:bottom w:val="single" w:sz="4" w:space="0" w:color="auto"/>
              <w:right w:val="single" w:sz="4" w:space="0" w:color="auto"/>
            </w:tcBorders>
            <w:shd w:val="clear" w:color="auto" w:fill="FFFFFF"/>
            <w:noWrap/>
            <w:vAlign w:val="center"/>
          </w:tcPr>
          <w:p w14:paraId="0913496E"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olor w:val="000000"/>
                <w:lang w:eastAsia="en-US"/>
              </w:rPr>
              <w:t>48</w:t>
            </w:r>
            <w:r w:rsidRPr="00EB14DE">
              <w:rPr>
                <w:rFonts w:ascii="Arial Narrow" w:eastAsia="Calibri" w:hAnsi="Arial Narrow" w:cs="Arial"/>
                <w:color w:val="000000"/>
                <w:lang w:eastAsia="es-ES"/>
              </w:rPr>
              <w:t>%</w:t>
            </w:r>
          </w:p>
        </w:tc>
      </w:tr>
      <w:tr w:rsidR="007968EC" w:rsidRPr="00EB14DE" w14:paraId="189696D3" w14:textId="77777777" w:rsidTr="007968EC">
        <w:trPr>
          <w:trHeight w:val="300"/>
          <w:jc w:val="center"/>
        </w:trPr>
        <w:tc>
          <w:tcPr>
            <w:tcW w:w="369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3CAF90"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lastRenderedPageBreak/>
              <w:t>5 al 8</w:t>
            </w:r>
          </w:p>
        </w:tc>
        <w:tc>
          <w:tcPr>
            <w:tcW w:w="3501" w:type="dxa"/>
            <w:tcBorders>
              <w:top w:val="single" w:sz="4" w:space="0" w:color="auto"/>
              <w:left w:val="nil"/>
              <w:bottom w:val="single" w:sz="4" w:space="0" w:color="auto"/>
              <w:right w:val="single" w:sz="4" w:space="0" w:color="auto"/>
            </w:tcBorders>
            <w:shd w:val="clear" w:color="auto" w:fill="FFFFFF"/>
            <w:noWrap/>
            <w:vAlign w:val="center"/>
          </w:tcPr>
          <w:p w14:paraId="5F27E55A"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olor w:val="000000"/>
                <w:lang w:eastAsia="en-US"/>
              </w:rPr>
              <w:t>35</w:t>
            </w:r>
            <w:r w:rsidRPr="00EB14DE">
              <w:rPr>
                <w:rFonts w:ascii="Arial Narrow" w:eastAsia="Calibri" w:hAnsi="Arial Narrow" w:cs="Arial"/>
                <w:color w:val="000000"/>
                <w:lang w:eastAsia="es-ES"/>
              </w:rPr>
              <w:t>%</w:t>
            </w:r>
          </w:p>
        </w:tc>
      </w:tr>
      <w:tr w:rsidR="007968EC" w:rsidRPr="00EB14DE" w14:paraId="2DBBD2A4" w14:textId="77777777" w:rsidTr="007968EC">
        <w:trPr>
          <w:trHeight w:val="300"/>
          <w:jc w:val="center"/>
        </w:trPr>
        <w:tc>
          <w:tcPr>
            <w:tcW w:w="369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24CA0F"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9 a 16</w:t>
            </w:r>
          </w:p>
        </w:tc>
        <w:tc>
          <w:tcPr>
            <w:tcW w:w="3501" w:type="dxa"/>
            <w:tcBorders>
              <w:top w:val="single" w:sz="4" w:space="0" w:color="auto"/>
              <w:left w:val="nil"/>
              <w:bottom w:val="single" w:sz="4" w:space="0" w:color="auto"/>
              <w:right w:val="single" w:sz="4" w:space="0" w:color="auto"/>
            </w:tcBorders>
            <w:shd w:val="clear" w:color="auto" w:fill="FFFFFF"/>
            <w:noWrap/>
            <w:vAlign w:val="center"/>
          </w:tcPr>
          <w:p w14:paraId="72687E22"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olor w:val="000000"/>
                <w:lang w:eastAsia="en-US"/>
              </w:rPr>
              <w:t>26</w:t>
            </w:r>
            <w:r w:rsidRPr="00EB14DE">
              <w:rPr>
                <w:rFonts w:ascii="Arial Narrow" w:eastAsia="Calibri" w:hAnsi="Arial Narrow" w:cs="Arial"/>
                <w:color w:val="000000"/>
                <w:lang w:eastAsia="es-ES"/>
              </w:rPr>
              <w:t>%</w:t>
            </w:r>
          </w:p>
        </w:tc>
      </w:tr>
      <w:tr w:rsidR="007968EC" w:rsidRPr="00EB14DE" w14:paraId="0B5BB423" w14:textId="77777777" w:rsidTr="007968EC">
        <w:trPr>
          <w:trHeight w:val="300"/>
          <w:jc w:val="center"/>
        </w:trPr>
        <w:tc>
          <w:tcPr>
            <w:tcW w:w="369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98CB3D3"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 xml:space="preserve">17 al </w:t>
            </w:r>
            <w:r w:rsidRPr="00EB14DE">
              <w:rPr>
                <w:rFonts w:ascii="Arial Narrow" w:eastAsia="Calibri" w:hAnsi="Arial Narrow"/>
                <w:color w:val="000000"/>
                <w:lang w:eastAsia="en-US"/>
              </w:rPr>
              <w:t>24</w:t>
            </w:r>
          </w:p>
        </w:tc>
        <w:tc>
          <w:tcPr>
            <w:tcW w:w="3501" w:type="dxa"/>
            <w:tcBorders>
              <w:top w:val="single" w:sz="4" w:space="0" w:color="auto"/>
              <w:left w:val="nil"/>
              <w:bottom w:val="single" w:sz="4" w:space="0" w:color="auto"/>
              <w:right w:val="single" w:sz="4" w:space="0" w:color="auto"/>
            </w:tcBorders>
            <w:shd w:val="clear" w:color="auto" w:fill="FFFFFF"/>
            <w:noWrap/>
            <w:vAlign w:val="center"/>
          </w:tcPr>
          <w:p w14:paraId="45DB5BC0" w14:textId="77777777" w:rsidR="007968EC" w:rsidRPr="00EB14DE" w:rsidRDefault="007968EC" w:rsidP="007968EC">
            <w:pPr>
              <w:jc w:val="center"/>
              <w:rPr>
                <w:rFonts w:ascii="Arial Narrow" w:eastAsia="Calibri" w:hAnsi="Arial Narrow"/>
                <w:color w:val="000000"/>
                <w:lang w:eastAsia="en-US"/>
              </w:rPr>
            </w:pPr>
            <w:r w:rsidRPr="00EB14DE">
              <w:rPr>
                <w:rFonts w:ascii="Arial Narrow" w:eastAsia="Calibri" w:hAnsi="Arial Narrow"/>
                <w:color w:val="000000"/>
                <w:lang w:eastAsia="en-US"/>
              </w:rPr>
              <w:t>26</w:t>
            </w:r>
            <w:r w:rsidRPr="00EB14DE">
              <w:rPr>
                <w:rFonts w:ascii="Arial Narrow" w:eastAsia="Calibri" w:hAnsi="Arial Narrow" w:cs="Arial"/>
                <w:color w:val="000000"/>
                <w:lang w:eastAsia="es-ES"/>
              </w:rPr>
              <w:t>%</w:t>
            </w:r>
          </w:p>
        </w:tc>
      </w:tr>
    </w:tbl>
    <w:p w14:paraId="581A5EF5" w14:textId="77777777" w:rsidR="007968EC" w:rsidRPr="00EB14DE" w:rsidRDefault="007968EC" w:rsidP="007968EC">
      <w:pPr>
        <w:ind w:left="426"/>
        <w:rPr>
          <w:rFonts w:ascii="Arial Narrow" w:eastAsia="Calibri" w:hAnsi="Arial Narrow" w:cs="Arial"/>
          <w:b/>
          <w:color w:val="000000"/>
          <w:lang w:eastAsia="es-ES"/>
        </w:rPr>
      </w:pPr>
    </w:p>
    <w:p w14:paraId="06B9B858" w14:textId="77777777" w:rsidR="007968EC" w:rsidRPr="00EB14DE" w:rsidRDefault="007968EC" w:rsidP="007968EC">
      <w:pPr>
        <w:autoSpaceDE w:val="0"/>
        <w:autoSpaceDN w:val="0"/>
        <w:ind w:left="426"/>
        <w:rPr>
          <w:rFonts w:ascii="Arial Narrow" w:eastAsia="Calibri" w:hAnsi="Arial Narrow" w:cs="Arial"/>
          <w:b/>
          <w:color w:val="000000"/>
          <w:lang w:eastAsia="es-ES"/>
        </w:rPr>
      </w:pPr>
    </w:p>
    <w:p w14:paraId="1DE1CB8E" w14:textId="77777777" w:rsidR="007968EC" w:rsidRPr="00EB14DE" w:rsidRDefault="007968EC" w:rsidP="00DA7472">
      <w:pPr>
        <w:numPr>
          <w:ilvl w:val="0"/>
          <w:numId w:val="242"/>
        </w:numPr>
        <w:autoSpaceDE w:val="0"/>
        <w:autoSpaceDN w:val="0"/>
        <w:spacing w:after="160" w:line="259" w:lineRule="auto"/>
        <w:ind w:left="426"/>
        <w:contextualSpacing/>
        <w:jc w:val="both"/>
        <w:rPr>
          <w:rFonts w:ascii="Arial Narrow" w:eastAsia="Calibri" w:hAnsi="Arial Narrow" w:cs="Arial"/>
          <w:color w:val="000000"/>
          <w:u w:val="single"/>
          <w:lang w:eastAsia="es-ES"/>
        </w:rPr>
      </w:pPr>
      <w:r w:rsidRPr="00EB14DE">
        <w:rPr>
          <w:rFonts w:ascii="Arial Narrow" w:eastAsia="Calibri" w:hAnsi="Arial Narrow" w:cs="Arial"/>
          <w:color w:val="000000"/>
          <w:u w:val="single"/>
          <w:lang w:eastAsia="es-ES"/>
        </w:rPr>
        <w:t xml:space="preserve">Contrato de Futuro de Inflación: </w:t>
      </w:r>
    </w:p>
    <w:p w14:paraId="7A4ADA47" w14:textId="77777777" w:rsidR="007968EC" w:rsidRPr="00EB14DE" w:rsidRDefault="007968EC" w:rsidP="007968EC">
      <w:pPr>
        <w:autoSpaceDE w:val="0"/>
        <w:autoSpaceDN w:val="0"/>
        <w:ind w:left="426"/>
        <w:contextualSpacing/>
        <w:jc w:val="both"/>
        <w:rPr>
          <w:rFonts w:ascii="Arial Narrow" w:eastAsia="Calibri" w:hAnsi="Arial Narrow" w:cs="Arial"/>
          <w:color w:val="000000"/>
          <w:u w:val="single"/>
          <w:lang w:eastAsia="es-ES"/>
        </w:rPr>
      </w:pPr>
    </w:p>
    <w:tbl>
      <w:tblPr>
        <w:tblW w:w="7326" w:type="dxa"/>
        <w:jc w:val="center"/>
        <w:tblCellMar>
          <w:left w:w="70" w:type="dxa"/>
          <w:right w:w="70" w:type="dxa"/>
        </w:tblCellMar>
        <w:tblLook w:val="0000" w:firstRow="0" w:lastRow="0" w:firstColumn="0" w:lastColumn="0" w:noHBand="0" w:noVBand="0"/>
      </w:tblPr>
      <w:tblGrid>
        <w:gridCol w:w="3761"/>
        <w:gridCol w:w="3565"/>
      </w:tblGrid>
      <w:tr w:rsidR="007968EC" w:rsidRPr="00EB14DE" w14:paraId="405E151A" w14:textId="77777777" w:rsidTr="007968EC">
        <w:trPr>
          <w:trHeight w:val="70"/>
          <w:jc w:val="center"/>
        </w:trPr>
        <w:tc>
          <w:tcPr>
            <w:tcW w:w="3761" w:type="dxa"/>
            <w:tcBorders>
              <w:top w:val="nil"/>
              <w:left w:val="nil"/>
              <w:bottom w:val="nil"/>
              <w:right w:val="single" w:sz="4" w:space="0" w:color="auto"/>
            </w:tcBorders>
            <w:shd w:val="clear" w:color="auto" w:fill="FFFFFF"/>
            <w:noWrap/>
            <w:vAlign w:val="bottom"/>
          </w:tcPr>
          <w:p w14:paraId="24A4D1E0" w14:textId="77777777" w:rsidR="007968EC" w:rsidRPr="00EB14DE" w:rsidRDefault="007968EC" w:rsidP="007968EC">
            <w:pPr>
              <w:jc w:val="center"/>
              <w:rPr>
                <w:rFonts w:ascii="Arial Narrow" w:eastAsia="Calibri" w:hAnsi="Arial Narrow" w:cs="Arial"/>
                <w:color w:val="000000"/>
                <w:lang w:eastAsia="es-ES"/>
              </w:rPr>
            </w:pPr>
          </w:p>
        </w:tc>
        <w:tc>
          <w:tcPr>
            <w:tcW w:w="3565" w:type="dxa"/>
            <w:tcBorders>
              <w:top w:val="single" w:sz="4" w:space="0" w:color="auto"/>
              <w:left w:val="single" w:sz="4" w:space="0" w:color="auto"/>
              <w:bottom w:val="single" w:sz="4" w:space="0" w:color="auto"/>
              <w:right w:val="single" w:sz="4" w:space="0" w:color="auto"/>
            </w:tcBorders>
            <w:shd w:val="clear" w:color="auto" w:fill="FFFFFF"/>
            <w:vAlign w:val="center"/>
          </w:tcPr>
          <w:p w14:paraId="6214506B"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Fluctuación Estrés</w:t>
            </w:r>
          </w:p>
        </w:tc>
      </w:tr>
      <w:tr w:rsidR="007968EC" w:rsidRPr="00EB14DE" w14:paraId="7B76F639" w14:textId="77777777" w:rsidTr="007968EC">
        <w:trPr>
          <w:trHeight w:val="70"/>
          <w:jc w:val="center"/>
        </w:trPr>
        <w:tc>
          <w:tcPr>
            <w:tcW w:w="376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5C666D"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Contrato de Futuro de Inflación</w:t>
            </w:r>
          </w:p>
        </w:tc>
        <w:tc>
          <w:tcPr>
            <w:tcW w:w="3565" w:type="dxa"/>
            <w:tcBorders>
              <w:top w:val="single" w:sz="4" w:space="0" w:color="auto"/>
              <w:left w:val="nil"/>
              <w:bottom w:val="single" w:sz="4" w:space="0" w:color="auto"/>
              <w:right w:val="single" w:sz="4" w:space="0" w:color="auto"/>
            </w:tcBorders>
            <w:shd w:val="clear" w:color="auto" w:fill="FFFFFF"/>
            <w:noWrap/>
            <w:vAlign w:val="center"/>
          </w:tcPr>
          <w:p w14:paraId="17D25797"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1.49%</w:t>
            </w:r>
          </w:p>
        </w:tc>
      </w:tr>
    </w:tbl>
    <w:p w14:paraId="1DD0D5A8" w14:textId="77777777" w:rsidR="007968EC" w:rsidRPr="00EB14DE" w:rsidRDefault="007968EC" w:rsidP="007968EC">
      <w:pPr>
        <w:jc w:val="center"/>
        <w:rPr>
          <w:rFonts w:ascii="Arial Narrow" w:eastAsia="Calibri" w:hAnsi="Arial Narrow" w:cs="Arial"/>
          <w:color w:val="000000"/>
          <w:lang w:eastAsia="es-ES"/>
        </w:rPr>
      </w:pPr>
    </w:p>
    <w:p w14:paraId="6FA145B3" w14:textId="77777777" w:rsidR="007968EC" w:rsidRPr="00EB14DE" w:rsidRDefault="007968EC" w:rsidP="00DA7472">
      <w:pPr>
        <w:numPr>
          <w:ilvl w:val="0"/>
          <w:numId w:val="242"/>
        </w:numPr>
        <w:autoSpaceDE w:val="0"/>
        <w:autoSpaceDN w:val="0"/>
        <w:spacing w:after="160" w:line="259" w:lineRule="auto"/>
        <w:ind w:left="426"/>
        <w:contextualSpacing/>
        <w:jc w:val="both"/>
        <w:rPr>
          <w:rFonts w:ascii="Arial Narrow" w:eastAsia="Calibri" w:hAnsi="Arial Narrow" w:cs="Arial"/>
          <w:color w:val="000000"/>
          <w:u w:val="single"/>
          <w:lang w:eastAsia="es-ES"/>
        </w:rPr>
      </w:pPr>
      <w:r w:rsidRPr="00EB14DE">
        <w:rPr>
          <w:rFonts w:ascii="Arial Narrow" w:eastAsia="Calibri" w:hAnsi="Arial Narrow" w:cs="Arial"/>
          <w:color w:val="000000"/>
          <w:u w:val="single"/>
          <w:lang w:eastAsia="es-ES"/>
        </w:rPr>
        <w:t xml:space="preserve">Contrato de Futuro OIS: </w:t>
      </w:r>
    </w:p>
    <w:p w14:paraId="18FBE2A9" w14:textId="77777777" w:rsidR="007968EC" w:rsidRPr="00EB14DE" w:rsidRDefault="007968EC" w:rsidP="007968EC">
      <w:pPr>
        <w:ind w:left="426"/>
        <w:rPr>
          <w:rFonts w:ascii="Arial Narrow" w:eastAsia="Calibri" w:hAnsi="Arial Narrow" w:cs="Arial"/>
          <w:color w:val="000000"/>
          <w:lang w:eastAsia="es-ES"/>
        </w:rPr>
      </w:pPr>
    </w:p>
    <w:tbl>
      <w:tblPr>
        <w:tblW w:w="5599" w:type="dxa"/>
        <w:jc w:val="center"/>
        <w:tblCellMar>
          <w:left w:w="70" w:type="dxa"/>
          <w:right w:w="70" w:type="dxa"/>
        </w:tblCellMar>
        <w:tblLook w:val="0420" w:firstRow="1" w:lastRow="0" w:firstColumn="0" w:lastColumn="0" w:noHBand="0" w:noVBand="1"/>
      </w:tblPr>
      <w:tblGrid>
        <w:gridCol w:w="1208"/>
        <w:gridCol w:w="1994"/>
        <w:gridCol w:w="2397"/>
      </w:tblGrid>
      <w:tr w:rsidR="007968EC" w:rsidRPr="00EB14DE" w14:paraId="07145587" w14:textId="77777777" w:rsidTr="007968EC">
        <w:trPr>
          <w:trHeight w:val="143"/>
          <w:jc w:val="center"/>
        </w:trPr>
        <w:tc>
          <w:tcPr>
            <w:tcW w:w="12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331FF9"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ACTIVO</w:t>
            </w:r>
          </w:p>
        </w:tc>
        <w:tc>
          <w:tcPr>
            <w:tcW w:w="1994" w:type="dxa"/>
            <w:tcBorders>
              <w:top w:val="single" w:sz="4" w:space="0" w:color="auto"/>
              <w:left w:val="nil"/>
              <w:bottom w:val="single" w:sz="4" w:space="0" w:color="auto"/>
              <w:right w:val="single" w:sz="4" w:space="0" w:color="auto"/>
            </w:tcBorders>
            <w:shd w:val="clear" w:color="auto" w:fill="auto"/>
            <w:vAlign w:val="center"/>
            <w:hideMark/>
          </w:tcPr>
          <w:p w14:paraId="4E5E5E3C"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Vencimientos (No Meses)</w:t>
            </w:r>
          </w:p>
        </w:tc>
        <w:tc>
          <w:tcPr>
            <w:tcW w:w="2397" w:type="dxa"/>
            <w:tcBorders>
              <w:top w:val="single" w:sz="4" w:space="0" w:color="auto"/>
              <w:left w:val="nil"/>
              <w:bottom w:val="single" w:sz="4" w:space="0" w:color="auto"/>
              <w:right w:val="single" w:sz="4" w:space="0" w:color="auto"/>
            </w:tcBorders>
            <w:shd w:val="clear" w:color="auto" w:fill="auto"/>
            <w:vAlign w:val="center"/>
            <w:hideMark/>
          </w:tcPr>
          <w:p w14:paraId="15520847"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Fluctuación Estrés</w:t>
            </w:r>
          </w:p>
        </w:tc>
      </w:tr>
      <w:tr w:rsidR="007968EC" w:rsidRPr="00EB14DE" w14:paraId="4E1AD319" w14:textId="77777777" w:rsidTr="007968EC">
        <w:trPr>
          <w:trHeight w:val="43"/>
          <w:jc w:val="center"/>
        </w:trPr>
        <w:tc>
          <w:tcPr>
            <w:tcW w:w="1208" w:type="dxa"/>
            <w:vMerge w:val="restart"/>
            <w:tcBorders>
              <w:top w:val="nil"/>
              <w:left w:val="single" w:sz="4" w:space="0" w:color="auto"/>
              <w:bottom w:val="single" w:sz="4" w:space="0" w:color="000000"/>
              <w:right w:val="single" w:sz="4" w:space="0" w:color="auto"/>
            </w:tcBorders>
            <w:shd w:val="clear" w:color="auto" w:fill="auto"/>
            <w:vAlign w:val="center"/>
            <w:hideMark/>
          </w:tcPr>
          <w:p w14:paraId="3221C554"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Contrato</w:t>
            </w:r>
          </w:p>
          <w:p w14:paraId="549C0493"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Futuro OIS</w:t>
            </w:r>
          </w:p>
        </w:tc>
        <w:tc>
          <w:tcPr>
            <w:tcW w:w="1994" w:type="dxa"/>
            <w:tcBorders>
              <w:top w:val="nil"/>
              <w:left w:val="nil"/>
              <w:bottom w:val="single" w:sz="4" w:space="0" w:color="auto"/>
              <w:right w:val="single" w:sz="4" w:space="0" w:color="auto"/>
            </w:tcBorders>
            <w:shd w:val="clear" w:color="auto" w:fill="auto"/>
            <w:vAlign w:val="center"/>
            <w:hideMark/>
          </w:tcPr>
          <w:p w14:paraId="00686C2C"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1</w:t>
            </w:r>
          </w:p>
        </w:tc>
        <w:tc>
          <w:tcPr>
            <w:tcW w:w="2397" w:type="dxa"/>
            <w:tcBorders>
              <w:top w:val="nil"/>
              <w:left w:val="nil"/>
              <w:bottom w:val="single" w:sz="4" w:space="0" w:color="auto"/>
              <w:right w:val="single" w:sz="4" w:space="0" w:color="auto"/>
            </w:tcBorders>
            <w:shd w:val="clear" w:color="auto" w:fill="auto"/>
            <w:vAlign w:val="center"/>
            <w:hideMark/>
          </w:tcPr>
          <w:p w14:paraId="410A959F"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0.33%</w:t>
            </w:r>
          </w:p>
        </w:tc>
      </w:tr>
      <w:tr w:rsidR="007968EC" w:rsidRPr="00EB14DE" w14:paraId="44887171" w14:textId="77777777" w:rsidTr="007968EC">
        <w:trPr>
          <w:trHeight w:val="223"/>
          <w:jc w:val="center"/>
        </w:trPr>
        <w:tc>
          <w:tcPr>
            <w:tcW w:w="1208" w:type="dxa"/>
            <w:vMerge/>
            <w:tcBorders>
              <w:top w:val="nil"/>
              <w:left w:val="single" w:sz="4" w:space="0" w:color="auto"/>
              <w:bottom w:val="single" w:sz="4" w:space="0" w:color="000000"/>
              <w:right w:val="single" w:sz="4" w:space="0" w:color="auto"/>
            </w:tcBorders>
            <w:vAlign w:val="center"/>
            <w:hideMark/>
          </w:tcPr>
          <w:p w14:paraId="7621423E" w14:textId="77777777" w:rsidR="007968EC" w:rsidRPr="00EB14DE" w:rsidRDefault="007968EC" w:rsidP="007968EC">
            <w:pPr>
              <w:jc w:val="center"/>
              <w:rPr>
                <w:rFonts w:ascii="Arial Narrow" w:eastAsia="Calibri" w:hAnsi="Arial Narrow" w:cs="Arial"/>
                <w:color w:val="000000"/>
                <w:lang w:eastAsia="es-ES"/>
              </w:rPr>
            </w:pPr>
          </w:p>
        </w:tc>
        <w:tc>
          <w:tcPr>
            <w:tcW w:w="1994" w:type="dxa"/>
            <w:tcBorders>
              <w:top w:val="nil"/>
              <w:left w:val="nil"/>
              <w:bottom w:val="single" w:sz="4" w:space="0" w:color="auto"/>
              <w:right w:val="single" w:sz="4" w:space="0" w:color="auto"/>
            </w:tcBorders>
            <w:shd w:val="clear" w:color="auto" w:fill="auto"/>
            <w:vAlign w:val="center"/>
            <w:hideMark/>
          </w:tcPr>
          <w:p w14:paraId="74F72E65"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3</w:t>
            </w:r>
          </w:p>
        </w:tc>
        <w:tc>
          <w:tcPr>
            <w:tcW w:w="2397" w:type="dxa"/>
            <w:tcBorders>
              <w:top w:val="nil"/>
              <w:left w:val="nil"/>
              <w:bottom w:val="single" w:sz="4" w:space="0" w:color="auto"/>
              <w:right w:val="single" w:sz="4" w:space="0" w:color="auto"/>
            </w:tcBorders>
            <w:shd w:val="clear" w:color="auto" w:fill="auto"/>
            <w:vAlign w:val="center"/>
            <w:hideMark/>
          </w:tcPr>
          <w:p w14:paraId="49BBCBDB"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0.33%</w:t>
            </w:r>
          </w:p>
        </w:tc>
      </w:tr>
      <w:tr w:rsidR="007968EC" w:rsidRPr="00EB14DE" w14:paraId="75514AA7" w14:textId="77777777" w:rsidTr="007968EC">
        <w:trPr>
          <w:trHeight w:val="223"/>
          <w:jc w:val="center"/>
        </w:trPr>
        <w:tc>
          <w:tcPr>
            <w:tcW w:w="1208" w:type="dxa"/>
            <w:vMerge/>
            <w:tcBorders>
              <w:top w:val="nil"/>
              <w:left w:val="single" w:sz="4" w:space="0" w:color="auto"/>
              <w:bottom w:val="single" w:sz="4" w:space="0" w:color="000000"/>
              <w:right w:val="single" w:sz="4" w:space="0" w:color="auto"/>
            </w:tcBorders>
            <w:vAlign w:val="center"/>
            <w:hideMark/>
          </w:tcPr>
          <w:p w14:paraId="4174D092" w14:textId="77777777" w:rsidR="007968EC" w:rsidRPr="00EB14DE" w:rsidRDefault="007968EC" w:rsidP="007968EC">
            <w:pPr>
              <w:jc w:val="center"/>
              <w:rPr>
                <w:rFonts w:ascii="Arial Narrow" w:eastAsia="Calibri" w:hAnsi="Arial Narrow" w:cs="Arial"/>
                <w:color w:val="000000"/>
                <w:lang w:eastAsia="es-ES"/>
              </w:rPr>
            </w:pPr>
          </w:p>
        </w:tc>
        <w:tc>
          <w:tcPr>
            <w:tcW w:w="1994" w:type="dxa"/>
            <w:tcBorders>
              <w:top w:val="nil"/>
              <w:left w:val="nil"/>
              <w:bottom w:val="single" w:sz="4" w:space="0" w:color="auto"/>
              <w:right w:val="single" w:sz="4" w:space="0" w:color="auto"/>
            </w:tcBorders>
            <w:shd w:val="clear" w:color="auto" w:fill="auto"/>
            <w:vAlign w:val="center"/>
            <w:hideMark/>
          </w:tcPr>
          <w:p w14:paraId="397246AF"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6</w:t>
            </w:r>
          </w:p>
        </w:tc>
        <w:tc>
          <w:tcPr>
            <w:tcW w:w="2397" w:type="dxa"/>
            <w:tcBorders>
              <w:top w:val="nil"/>
              <w:left w:val="nil"/>
              <w:bottom w:val="single" w:sz="4" w:space="0" w:color="auto"/>
              <w:right w:val="single" w:sz="4" w:space="0" w:color="auto"/>
            </w:tcBorders>
            <w:shd w:val="clear" w:color="auto" w:fill="auto"/>
            <w:vAlign w:val="center"/>
            <w:hideMark/>
          </w:tcPr>
          <w:p w14:paraId="700E72A6"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0.73%</w:t>
            </w:r>
          </w:p>
        </w:tc>
      </w:tr>
      <w:tr w:rsidR="007968EC" w:rsidRPr="00EB14DE" w14:paraId="5CC0D9A9" w14:textId="77777777" w:rsidTr="007968EC">
        <w:trPr>
          <w:trHeight w:val="223"/>
          <w:jc w:val="center"/>
        </w:trPr>
        <w:tc>
          <w:tcPr>
            <w:tcW w:w="1208" w:type="dxa"/>
            <w:vMerge/>
            <w:tcBorders>
              <w:top w:val="nil"/>
              <w:left w:val="single" w:sz="4" w:space="0" w:color="auto"/>
              <w:bottom w:val="single" w:sz="4" w:space="0" w:color="000000"/>
              <w:right w:val="single" w:sz="4" w:space="0" w:color="auto"/>
            </w:tcBorders>
            <w:vAlign w:val="center"/>
            <w:hideMark/>
          </w:tcPr>
          <w:p w14:paraId="4AA9EEB7" w14:textId="77777777" w:rsidR="007968EC" w:rsidRPr="00EB14DE" w:rsidRDefault="007968EC" w:rsidP="007968EC">
            <w:pPr>
              <w:jc w:val="center"/>
              <w:rPr>
                <w:rFonts w:ascii="Arial Narrow" w:eastAsia="Calibri" w:hAnsi="Arial Narrow" w:cs="Arial"/>
                <w:color w:val="000000"/>
                <w:lang w:eastAsia="es-ES"/>
              </w:rPr>
            </w:pPr>
          </w:p>
        </w:tc>
        <w:tc>
          <w:tcPr>
            <w:tcW w:w="1994" w:type="dxa"/>
            <w:tcBorders>
              <w:top w:val="nil"/>
              <w:left w:val="nil"/>
              <w:bottom w:val="single" w:sz="4" w:space="0" w:color="auto"/>
              <w:right w:val="single" w:sz="4" w:space="0" w:color="auto"/>
            </w:tcBorders>
            <w:shd w:val="clear" w:color="auto" w:fill="auto"/>
            <w:vAlign w:val="center"/>
            <w:hideMark/>
          </w:tcPr>
          <w:p w14:paraId="7437BAAB"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9</w:t>
            </w:r>
          </w:p>
        </w:tc>
        <w:tc>
          <w:tcPr>
            <w:tcW w:w="2397" w:type="dxa"/>
            <w:tcBorders>
              <w:top w:val="nil"/>
              <w:left w:val="nil"/>
              <w:bottom w:val="single" w:sz="4" w:space="0" w:color="auto"/>
              <w:right w:val="single" w:sz="4" w:space="0" w:color="auto"/>
            </w:tcBorders>
            <w:shd w:val="clear" w:color="auto" w:fill="auto"/>
            <w:vAlign w:val="center"/>
            <w:hideMark/>
          </w:tcPr>
          <w:p w14:paraId="19012A4F"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1.03%</w:t>
            </w:r>
          </w:p>
        </w:tc>
      </w:tr>
      <w:tr w:rsidR="007968EC" w:rsidRPr="00EB14DE" w14:paraId="691B68B9" w14:textId="77777777" w:rsidTr="007968EC">
        <w:trPr>
          <w:trHeight w:val="223"/>
          <w:jc w:val="center"/>
        </w:trPr>
        <w:tc>
          <w:tcPr>
            <w:tcW w:w="1208" w:type="dxa"/>
            <w:vMerge/>
            <w:tcBorders>
              <w:top w:val="nil"/>
              <w:left w:val="single" w:sz="4" w:space="0" w:color="auto"/>
              <w:bottom w:val="single" w:sz="4" w:space="0" w:color="000000"/>
              <w:right w:val="single" w:sz="4" w:space="0" w:color="auto"/>
            </w:tcBorders>
            <w:vAlign w:val="center"/>
            <w:hideMark/>
          </w:tcPr>
          <w:p w14:paraId="6D6B14BD" w14:textId="77777777" w:rsidR="007968EC" w:rsidRPr="00EB14DE" w:rsidRDefault="007968EC" w:rsidP="007968EC">
            <w:pPr>
              <w:jc w:val="center"/>
              <w:rPr>
                <w:rFonts w:ascii="Arial Narrow" w:eastAsia="Calibri" w:hAnsi="Arial Narrow" w:cs="Arial"/>
                <w:color w:val="000000"/>
                <w:lang w:eastAsia="es-ES"/>
              </w:rPr>
            </w:pPr>
          </w:p>
        </w:tc>
        <w:tc>
          <w:tcPr>
            <w:tcW w:w="1994" w:type="dxa"/>
            <w:tcBorders>
              <w:top w:val="nil"/>
              <w:left w:val="nil"/>
              <w:bottom w:val="single" w:sz="4" w:space="0" w:color="auto"/>
              <w:right w:val="single" w:sz="4" w:space="0" w:color="auto"/>
            </w:tcBorders>
            <w:shd w:val="clear" w:color="auto" w:fill="auto"/>
            <w:vAlign w:val="center"/>
            <w:hideMark/>
          </w:tcPr>
          <w:p w14:paraId="40078987"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12</w:t>
            </w:r>
          </w:p>
        </w:tc>
        <w:tc>
          <w:tcPr>
            <w:tcW w:w="2397" w:type="dxa"/>
            <w:tcBorders>
              <w:top w:val="nil"/>
              <w:left w:val="nil"/>
              <w:bottom w:val="single" w:sz="4" w:space="0" w:color="auto"/>
              <w:right w:val="single" w:sz="4" w:space="0" w:color="auto"/>
            </w:tcBorders>
            <w:shd w:val="clear" w:color="auto" w:fill="auto"/>
            <w:vAlign w:val="center"/>
            <w:hideMark/>
          </w:tcPr>
          <w:p w14:paraId="7C33C50C"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1.19%</w:t>
            </w:r>
          </w:p>
        </w:tc>
      </w:tr>
      <w:tr w:rsidR="007968EC" w:rsidRPr="00EB14DE" w14:paraId="47EDFB3E" w14:textId="77777777" w:rsidTr="007968EC">
        <w:trPr>
          <w:trHeight w:val="223"/>
          <w:jc w:val="center"/>
        </w:trPr>
        <w:tc>
          <w:tcPr>
            <w:tcW w:w="1208" w:type="dxa"/>
            <w:vMerge/>
            <w:tcBorders>
              <w:top w:val="nil"/>
              <w:left w:val="single" w:sz="4" w:space="0" w:color="auto"/>
              <w:bottom w:val="single" w:sz="4" w:space="0" w:color="000000"/>
              <w:right w:val="single" w:sz="4" w:space="0" w:color="auto"/>
            </w:tcBorders>
            <w:vAlign w:val="center"/>
            <w:hideMark/>
          </w:tcPr>
          <w:p w14:paraId="5B8D7BB7" w14:textId="77777777" w:rsidR="007968EC" w:rsidRPr="00EB14DE" w:rsidRDefault="007968EC" w:rsidP="007968EC">
            <w:pPr>
              <w:jc w:val="center"/>
              <w:rPr>
                <w:rFonts w:ascii="Arial Narrow" w:eastAsia="Calibri" w:hAnsi="Arial Narrow" w:cs="Arial"/>
                <w:color w:val="000000"/>
                <w:lang w:eastAsia="es-ES"/>
              </w:rPr>
            </w:pPr>
          </w:p>
        </w:tc>
        <w:tc>
          <w:tcPr>
            <w:tcW w:w="1994" w:type="dxa"/>
            <w:tcBorders>
              <w:top w:val="nil"/>
              <w:left w:val="nil"/>
              <w:bottom w:val="single" w:sz="4" w:space="0" w:color="auto"/>
              <w:right w:val="single" w:sz="4" w:space="0" w:color="auto"/>
            </w:tcBorders>
            <w:shd w:val="clear" w:color="auto" w:fill="auto"/>
            <w:vAlign w:val="center"/>
            <w:hideMark/>
          </w:tcPr>
          <w:p w14:paraId="5DCFF4A5"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18</w:t>
            </w:r>
          </w:p>
        </w:tc>
        <w:tc>
          <w:tcPr>
            <w:tcW w:w="2397" w:type="dxa"/>
            <w:tcBorders>
              <w:top w:val="nil"/>
              <w:left w:val="nil"/>
              <w:bottom w:val="single" w:sz="4" w:space="0" w:color="auto"/>
              <w:right w:val="single" w:sz="4" w:space="0" w:color="auto"/>
            </w:tcBorders>
            <w:shd w:val="clear" w:color="auto" w:fill="auto"/>
            <w:vAlign w:val="center"/>
            <w:hideMark/>
          </w:tcPr>
          <w:p w14:paraId="0DE93DA1"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1.27%</w:t>
            </w:r>
          </w:p>
        </w:tc>
      </w:tr>
    </w:tbl>
    <w:p w14:paraId="0FCC4461" w14:textId="77777777" w:rsidR="007968EC" w:rsidRPr="00EB14DE" w:rsidRDefault="007968EC" w:rsidP="007968EC">
      <w:pPr>
        <w:keepNext/>
        <w:tabs>
          <w:tab w:val="left" w:pos="1701"/>
        </w:tabs>
        <w:ind w:left="426"/>
        <w:jc w:val="both"/>
        <w:outlineLvl w:val="2"/>
        <w:rPr>
          <w:rFonts w:ascii="Arial Narrow" w:hAnsi="Arial Narrow" w:cs="Arial"/>
          <w:b/>
          <w:color w:val="000000"/>
          <w:u w:val="single"/>
          <w:lang w:eastAsia="es-ES"/>
        </w:rPr>
      </w:pPr>
    </w:p>
    <w:p w14:paraId="2A680253" w14:textId="77777777" w:rsidR="007968EC" w:rsidRPr="00EB14DE" w:rsidRDefault="007968EC" w:rsidP="00DA7472">
      <w:pPr>
        <w:numPr>
          <w:ilvl w:val="0"/>
          <w:numId w:val="242"/>
        </w:numPr>
        <w:autoSpaceDE w:val="0"/>
        <w:autoSpaceDN w:val="0"/>
        <w:spacing w:after="160" w:line="259" w:lineRule="auto"/>
        <w:ind w:left="426"/>
        <w:contextualSpacing/>
        <w:jc w:val="both"/>
        <w:rPr>
          <w:rFonts w:ascii="Arial Narrow" w:eastAsia="Calibri" w:hAnsi="Arial Narrow" w:cs="Arial"/>
          <w:color w:val="000000"/>
          <w:u w:val="single"/>
          <w:lang w:eastAsia="es-ES"/>
        </w:rPr>
      </w:pPr>
      <w:r w:rsidRPr="00EB14DE">
        <w:rPr>
          <w:rFonts w:ascii="Arial Narrow" w:eastAsia="Calibri" w:hAnsi="Arial Narrow" w:cs="Arial"/>
          <w:color w:val="000000"/>
          <w:u w:val="single"/>
          <w:lang w:eastAsia="es-ES"/>
        </w:rPr>
        <w:t xml:space="preserve">OIS IBR Formación: </w:t>
      </w:r>
    </w:p>
    <w:p w14:paraId="732DEFC2" w14:textId="77777777" w:rsidR="007968EC" w:rsidRPr="00EB14DE" w:rsidRDefault="007968EC" w:rsidP="007968EC">
      <w:pPr>
        <w:autoSpaceDE w:val="0"/>
        <w:autoSpaceDN w:val="0"/>
        <w:ind w:left="426"/>
        <w:contextualSpacing/>
        <w:jc w:val="both"/>
        <w:rPr>
          <w:rFonts w:ascii="Arial Narrow" w:eastAsia="Calibri" w:hAnsi="Arial Narrow" w:cs="Arial"/>
          <w:color w:val="000000"/>
          <w:u w:val="single"/>
          <w:lang w:eastAsia="es-ES"/>
        </w:rPr>
      </w:pPr>
    </w:p>
    <w:tbl>
      <w:tblPr>
        <w:tblW w:w="5599" w:type="dxa"/>
        <w:jc w:val="center"/>
        <w:tblCellMar>
          <w:left w:w="70" w:type="dxa"/>
          <w:right w:w="70" w:type="dxa"/>
        </w:tblCellMar>
        <w:tblLook w:val="0420" w:firstRow="1" w:lastRow="0" w:firstColumn="0" w:lastColumn="0" w:noHBand="0" w:noVBand="1"/>
      </w:tblPr>
      <w:tblGrid>
        <w:gridCol w:w="1208"/>
        <w:gridCol w:w="1994"/>
        <w:gridCol w:w="2397"/>
      </w:tblGrid>
      <w:tr w:rsidR="007968EC" w:rsidRPr="00EB14DE" w14:paraId="7D9D9D6F" w14:textId="77777777" w:rsidTr="007968EC">
        <w:trPr>
          <w:trHeight w:val="70"/>
          <w:jc w:val="center"/>
        </w:trPr>
        <w:tc>
          <w:tcPr>
            <w:tcW w:w="12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3DBDD"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ACTIVO</w:t>
            </w:r>
          </w:p>
        </w:tc>
        <w:tc>
          <w:tcPr>
            <w:tcW w:w="1994" w:type="dxa"/>
            <w:tcBorders>
              <w:top w:val="single" w:sz="4" w:space="0" w:color="auto"/>
              <w:left w:val="nil"/>
              <w:bottom w:val="single" w:sz="4" w:space="0" w:color="auto"/>
              <w:right w:val="single" w:sz="4" w:space="0" w:color="auto"/>
            </w:tcBorders>
            <w:shd w:val="clear" w:color="auto" w:fill="auto"/>
            <w:vAlign w:val="center"/>
            <w:hideMark/>
          </w:tcPr>
          <w:p w14:paraId="602686D3"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Vencimientos (No Meses)</w:t>
            </w:r>
          </w:p>
        </w:tc>
        <w:tc>
          <w:tcPr>
            <w:tcW w:w="2397" w:type="dxa"/>
            <w:tcBorders>
              <w:top w:val="single" w:sz="4" w:space="0" w:color="auto"/>
              <w:left w:val="nil"/>
              <w:bottom w:val="single" w:sz="4" w:space="0" w:color="auto"/>
              <w:right w:val="single" w:sz="4" w:space="0" w:color="auto"/>
            </w:tcBorders>
            <w:shd w:val="clear" w:color="auto" w:fill="auto"/>
            <w:vAlign w:val="center"/>
            <w:hideMark/>
          </w:tcPr>
          <w:p w14:paraId="410F28D0"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Fluctuación Estrés</w:t>
            </w:r>
          </w:p>
        </w:tc>
      </w:tr>
      <w:tr w:rsidR="007968EC" w:rsidRPr="00EB14DE" w14:paraId="24932F16" w14:textId="77777777" w:rsidTr="007968EC">
        <w:trPr>
          <w:trHeight w:val="43"/>
          <w:jc w:val="center"/>
        </w:trPr>
        <w:tc>
          <w:tcPr>
            <w:tcW w:w="1208" w:type="dxa"/>
            <w:vMerge w:val="restart"/>
            <w:tcBorders>
              <w:top w:val="nil"/>
              <w:left w:val="single" w:sz="4" w:space="0" w:color="auto"/>
              <w:bottom w:val="single" w:sz="4" w:space="0" w:color="000000"/>
              <w:right w:val="single" w:sz="4" w:space="0" w:color="auto"/>
            </w:tcBorders>
            <w:shd w:val="clear" w:color="auto" w:fill="auto"/>
            <w:vAlign w:val="center"/>
            <w:hideMark/>
          </w:tcPr>
          <w:p w14:paraId="22AD9E6B"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OIS IBR</w:t>
            </w:r>
          </w:p>
          <w:p w14:paraId="79A32258"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Formación</w:t>
            </w:r>
          </w:p>
        </w:tc>
        <w:tc>
          <w:tcPr>
            <w:tcW w:w="1994" w:type="dxa"/>
            <w:tcBorders>
              <w:top w:val="nil"/>
              <w:left w:val="nil"/>
              <w:bottom w:val="single" w:sz="4" w:space="0" w:color="auto"/>
              <w:right w:val="single" w:sz="4" w:space="0" w:color="auto"/>
            </w:tcBorders>
            <w:shd w:val="clear" w:color="auto" w:fill="auto"/>
            <w:vAlign w:val="center"/>
            <w:hideMark/>
          </w:tcPr>
          <w:p w14:paraId="02698202"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1</w:t>
            </w:r>
          </w:p>
        </w:tc>
        <w:tc>
          <w:tcPr>
            <w:tcW w:w="2397" w:type="dxa"/>
            <w:tcBorders>
              <w:top w:val="nil"/>
              <w:left w:val="nil"/>
              <w:bottom w:val="single" w:sz="4" w:space="0" w:color="auto"/>
              <w:right w:val="single" w:sz="4" w:space="0" w:color="auto"/>
            </w:tcBorders>
            <w:shd w:val="clear" w:color="auto" w:fill="auto"/>
            <w:vAlign w:val="center"/>
            <w:hideMark/>
          </w:tcPr>
          <w:p w14:paraId="24AD39E8"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0.33%</w:t>
            </w:r>
          </w:p>
        </w:tc>
      </w:tr>
      <w:tr w:rsidR="007968EC" w:rsidRPr="00EB14DE" w14:paraId="1EBC29C5" w14:textId="77777777" w:rsidTr="007968EC">
        <w:trPr>
          <w:trHeight w:val="223"/>
          <w:jc w:val="center"/>
        </w:trPr>
        <w:tc>
          <w:tcPr>
            <w:tcW w:w="1208" w:type="dxa"/>
            <w:vMerge/>
            <w:tcBorders>
              <w:top w:val="nil"/>
              <w:left w:val="single" w:sz="4" w:space="0" w:color="auto"/>
              <w:bottom w:val="single" w:sz="4" w:space="0" w:color="000000"/>
              <w:right w:val="single" w:sz="4" w:space="0" w:color="auto"/>
            </w:tcBorders>
            <w:vAlign w:val="center"/>
            <w:hideMark/>
          </w:tcPr>
          <w:p w14:paraId="3D821325" w14:textId="77777777" w:rsidR="007968EC" w:rsidRPr="00EB14DE" w:rsidRDefault="007968EC" w:rsidP="007968EC">
            <w:pPr>
              <w:jc w:val="center"/>
              <w:rPr>
                <w:rFonts w:ascii="Arial Narrow" w:eastAsia="Calibri" w:hAnsi="Arial Narrow" w:cs="Arial"/>
                <w:color w:val="000000"/>
                <w:lang w:eastAsia="es-ES"/>
              </w:rPr>
            </w:pPr>
          </w:p>
        </w:tc>
        <w:tc>
          <w:tcPr>
            <w:tcW w:w="1994" w:type="dxa"/>
            <w:tcBorders>
              <w:top w:val="nil"/>
              <w:left w:val="nil"/>
              <w:bottom w:val="single" w:sz="4" w:space="0" w:color="auto"/>
              <w:right w:val="single" w:sz="4" w:space="0" w:color="auto"/>
            </w:tcBorders>
            <w:shd w:val="clear" w:color="auto" w:fill="auto"/>
            <w:vAlign w:val="center"/>
            <w:hideMark/>
          </w:tcPr>
          <w:p w14:paraId="4225361A"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3</w:t>
            </w:r>
          </w:p>
        </w:tc>
        <w:tc>
          <w:tcPr>
            <w:tcW w:w="2397" w:type="dxa"/>
            <w:tcBorders>
              <w:top w:val="nil"/>
              <w:left w:val="nil"/>
              <w:bottom w:val="single" w:sz="4" w:space="0" w:color="auto"/>
              <w:right w:val="single" w:sz="4" w:space="0" w:color="auto"/>
            </w:tcBorders>
            <w:shd w:val="clear" w:color="auto" w:fill="auto"/>
            <w:vAlign w:val="center"/>
            <w:hideMark/>
          </w:tcPr>
          <w:p w14:paraId="28995E1C"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0.33%</w:t>
            </w:r>
          </w:p>
        </w:tc>
      </w:tr>
      <w:tr w:rsidR="007968EC" w:rsidRPr="00EB14DE" w14:paraId="20DBCD8F" w14:textId="77777777" w:rsidTr="007968EC">
        <w:trPr>
          <w:trHeight w:val="223"/>
          <w:jc w:val="center"/>
        </w:trPr>
        <w:tc>
          <w:tcPr>
            <w:tcW w:w="1208" w:type="dxa"/>
            <w:vMerge/>
            <w:tcBorders>
              <w:top w:val="nil"/>
              <w:left w:val="single" w:sz="4" w:space="0" w:color="auto"/>
              <w:bottom w:val="single" w:sz="4" w:space="0" w:color="000000"/>
              <w:right w:val="single" w:sz="4" w:space="0" w:color="auto"/>
            </w:tcBorders>
            <w:vAlign w:val="center"/>
            <w:hideMark/>
          </w:tcPr>
          <w:p w14:paraId="339B3CFD" w14:textId="77777777" w:rsidR="007968EC" w:rsidRPr="00EB14DE" w:rsidRDefault="007968EC" w:rsidP="007968EC">
            <w:pPr>
              <w:jc w:val="center"/>
              <w:rPr>
                <w:rFonts w:ascii="Arial Narrow" w:eastAsia="Calibri" w:hAnsi="Arial Narrow" w:cs="Arial"/>
                <w:color w:val="000000"/>
                <w:lang w:eastAsia="es-ES"/>
              </w:rPr>
            </w:pPr>
          </w:p>
        </w:tc>
        <w:tc>
          <w:tcPr>
            <w:tcW w:w="1994" w:type="dxa"/>
            <w:tcBorders>
              <w:top w:val="nil"/>
              <w:left w:val="nil"/>
              <w:bottom w:val="single" w:sz="4" w:space="0" w:color="auto"/>
              <w:right w:val="single" w:sz="4" w:space="0" w:color="auto"/>
            </w:tcBorders>
            <w:shd w:val="clear" w:color="auto" w:fill="auto"/>
            <w:vAlign w:val="center"/>
            <w:hideMark/>
          </w:tcPr>
          <w:p w14:paraId="657F8841"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6</w:t>
            </w:r>
          </w:p>
        </w:tc>
        <w:tc>
          <w:tcPr>
            <w:tcW w:w="2397" w:type="dxa"/>
            <w:tcBorders>
              <w:top w:val="nil"/>
              <w:left w:val="nil"/>
              <w:bottom w:val="single" w:sz="4" w:space="0" w:color="auto"/>
              <w:right w:val="single" w:sz="4" w:space="0" w:color="auto"/>
            </w:tcBorders>
            <w:shd w:val="clear" w:color="auto" w:fill="auto"/>
            <w:vAlign w:val="center"/>
            <w:hideMark/>
          </w:tcPr>
          <w:p w14:paraId="689B175A" w14:textId="77777777" w:rsidR="007968EC" w:rsidRPr="00EB14DE" w:rsidRDefault="007968EC" w:rsidP="007968EC">
            <w:pPr>
              <w:jc w:val="center"/>
              <w:rPr>
                <w:rFonts w:ascii="Arial Narrow" w:eastAsia="Calibri" w:hAnsi="Arial Narrow" w:cs="Arial"/>
                <w:color w:val="000000"/>
                <w:lang w:eastAsia="es-ES"/>
              </w:rPr>
            </w:pPr>
            <w:r w:rsidRPr="00EB14DE">
              <w:rPr>
                <w:rFonts w:ascii="Arial Narrow" w:eastAsia="Calibri" w:hAnsi="Arial Narrow" w:cs="Arial"/>
                <w:color w:val="000000"/>
                <w:lang w:eastAsia="es-ES"/>
              </w:rPr>
              <w:t>0.73%</w:t>
            </w:r>
          </w:p>
        </w:tc>
      </w:tr>
    </w:tbl>
    <w:p w14:paraId="2B69B613" w14:textId="77777777" w:rsidR="007968EC" w:rsidRPr="00EB14DE" w:rsidRDefault="007968EC" w:rsidP="007968EC">
      <w:pPr>
        <w:rPr>
          <w:rFonts w:ascii="Arial Narrow" w:hAnsi="Arial Narrow" w:cs="Arial"/>
          <w:b/>
          <w:color w:val="000000"/>
          <w:lang w:eastAsia="es-ES"/>
        </w:rPr>
      </w:pPr>
    </w:p>
    <w:p w14:paraId="117AC98D" w14:textId="77777777" w:rsidR="007968EC" w:rsidRPr="00EB14DE" w:rsidRDefault="007968EC" w:rsidP="00DA7472">
      <w:pPr>
        <w:numPr>
          <w:ilvl w:val="0"/>
          <w:numId w:val="242"/>
        </w:numPr>
        <w:autoSpaceDE w:val="0"/>
        <w:autoSpaceDN w:val="0"/>
        <w:spacing w:after="160" w:line="259" w:lineRule="auto"/>
        <w:ind w:left="426"/>
        <w:contextualSpacing/>
        <w:jc w:val="both"/>
        <w:rPr>
          <w:rFonts w:ascii="Arial Narrow" w:eastAsia="Calibri" w:hAnsi="Arial Narrow" w:cs="Arial"/>
          <w:color w:val="000000"/>
          <w:u w:val="single"/>
          <w:lang w:eastAsia="es-ES"/>
        </w:rPr>
      </w:pPr>
      <w:r w:rsidRPr="00EB14DE">
        <w:rPr>
          <w:rFonts w:ascii="Arial Narrow" w:eastAsia="Calibri" w:hAnsi="Arial Narrow" w:cs="Arial"/>
          <w:color w:val="000000"/>
          <w:u w:val="single"/>
          <w:lang w:eastAsia="es-ES"/>
        </w:rPr>
        <w:t>OIS IBR:</w:t>
      </w:r>
    </w:p>
    <w:p w14:paraId="2E92E71D" w14:textId="77777777" w:rsidR="007968EC" w:rsidRPr="00EB14DE" w:rsidRDefault="007968EC" w:rsidP="007968EC">
      <w:pPr>
        <w:autoSpaceDE w:val="0"/>
        <w:autoSpaceDN w:val="0"/>
        <w:ind w:left="426"/>
        <w:contextualSpacing/>
        <w:jc w:val="both"/>
        <w:rPr>
          <w:rFonts w:ascii="Arial Narrow" w:eastAsia="Calibri" w:hAnsi="Arial Narrow" w:cs="Arial"/>
          <w:color w:val="000000"/>
          <w:u w:val="single"/>
          <w:lang w:eastAsia="es-ES"/>
        </w:rPr>
      </w:pPr>
    </w:p>
    <w:tbl>
      <w:tblPr>
        <w:tblW w:w="5599" w:type="dxa"/>
        <w:jc w:val="center"/>
        <w:tblCellMar>
          <w:left w:w="70" w:type="dxa"/>
          <w:right w:w="70" w:type="dxa"/>
        </w:tblCellMar>
        <w:tblLook w:val="0420" w:firstRow="1" w:lastRow="0" w:firstColumn="0" w:lastColumn="0" w:noHBand="0" w:noVBand="1"/>
      </w:tblPr>
      <w:tblGrid>
        <w:gridCol w:w="1208"/>
        <w:gridCol w:w="1994"/>
        <w:gridCol w:w="2397"/>
      </w:tblGrid>
      <w:tr w:rsidR="007968EC" w:rsidRPr="00EB14DE" w14:paraId="5D59BBF9" w14:textId="77777777" w:rsidTr="007968EC">
        <w:trPr>
          <w:trHeight w:val="390"/>
          <w:jc w:val="center"/>
        </w:trPr>
        <w:tc>
          <w:tcPr>
            <w:tcW w:w="12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9028D"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ACTIVO</w:t>
            </w:r>
          </w:p>
        </w:tc>
        <w:tc>
          <w:tcPr>
            <w:tcW w:w="1994" w:type="dxa"/>
            <w:tcBorders>
              <w:top w:val="single" w:sz="4" w:space="0" w:color="auto"/>
              <w:left w:val="nil"/>
              <w:bottom w:val="single" w:sz="4" w:space="0" w:color="auto"/>
              <w:right w:val="single" w:sz="4" w:space="0" w:color="auto"/>
            </w:tcBorders>
            <w:shd w:val="clear" w:color="auto" w:fill="auto"/>
            <w:vAlign w:val="center"/>
            <w:hideMark/>
          </w:tcPr>
          <w:p w14:paraId="58A3ABD8"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Vencimientos (No</w:t>
            </w:r>
          </w:p>
          <w:p w14:paraId="1A046865"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Meses)</w:t>
            </w:r>
          </w:p>
        </w:tc>
        <w:tc>
          <w:tcPr>
            <w:tcW w:w="2397" w:type="dxa"/>
            <w:tcBorders>
              <w:top w:val="single" w:sz="4" w:space="0" w:color="auto"/>
              <w:left w:val="nil"/>
              <w:bottom w:val="single" w:sz="4" w:space="0" w:color="auto"/>
              <w:right w:val="single" w:sz="4" w:space="0" w:color="auto"/>
            </w:tcBorders>
            <w:shd w:val="clear" w:color="auto" w:fill="auto"/>
            <w:vAlign w:val="center"/>
            <w:hideMark/>
          </w:tcPr>
          <w:p w14:paraId="3625A5E3"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Fluctuación Estrés</w:t>
            </w:r>
          </w:p>
        </w:tc>
      </w:tr>
      <w:tr w:rsidR="007968EC" w:rsidRPr="00EB14DE" w14:paraId="2BB5E254" w14:textId="77777777" w:rsidTr="007968EC">
        <w:trPr>
          <w:trHeight w:val="64"/>
          <w:jc w:val="center"/>
        </w:trPr>
        <w:tc>
          <w:tcPr>
            <w:tcW w:w="1208" w:type="dxa"/>
            <w:vMerge w:val="restart"/>
            <w:tcBorders>
              <w:top w:val="nil"/>
              <w:left w:val="single" w:sz="4" w:space="0" w:color="auto"/>
              <w:bottom w:val="single" w:sz="4" w:space="0" w:color="000000"/>
              <w:right w:val="single" w:sz="4" w:space="0" w:color="auto"/>
            </w:tcBorders>
            <w:shd w:val="clear" w:color="auto" w:fill="auto"/>
            <w:vAlign w:val="center"/>
            <w:hideMark/>
          </w:tcPr>
          <w:p w14:paraId="568D165F"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OIS IBR</w:t>
            </w:r>
          </w:p>
        </w:tc>
        <w:tc>
          <w:tcPr>
            <w:tcW w:w="1994" w:type="dxa"/>
            <w:tcBorders>
              <w:top w:val="nil"/>
              <w:left w:val="nil"/>
              <w:bottom w:val="single" w:sz="4" w:space="0" w:color="auto"/>
              <w:right w:val="single" w:sz="4" w:space="0" w:color="auto"/>
            </w:tcBorders>
            <w:shd w:val="clear" w:color="auto" w:fill="auto"/>
            <w:vAlign w:val="center"/>
            <w:hideMark/>
          </w:tcPr>
          <w:p w14:paraId="7DA02F52"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1</w:t>
            </w:r>
          </w:p>
        </w:tc>
        <w:tc>
          <w:tcPr>
            <w:tcW w:w="2397" w:type="dxa"/>
            <w:tcBorders>
              <w:top w:val="nil"/>
              <w:left w:val="nil"/>
              <w:bottom w:val="single" w:sz="4" w:space="0" w:color="auto"/>
              <w:right w:val="single" w:sz="4" w:space="0" w:color="auto"/>
            </w:tcBorders>
            <w:shd w:val="clear" w:color="auto" w:fill="auto"/>
            <w:vAlign w:val="center"/>
            <w:hideMark/>
          </w:tcPr>
          <w:p w14:paraId="054463D0"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0.33%</w:t>
            </w:r>
          </w:p>
        </w:tc>
      </w:tr>
      <w:tr w:rsidR="007968EC" w:rsidRPr="00EB14DE" w14:paraId="6E32EB52" w14:textId="77777777" w:rsidTr="007968EC">
        <w:trPr>
          <w:trHeight w:val="204"/>
          <w:jc w:val="center"/>
        </w:trPr>
        <w:tc>
          <w:tcPr>
            <w:tcW w:w="1208" w:type="dxa"/>
            <w:vMerge/>
            <w:tcBorders>
              <w:top w:val="nil"/>
              <w:left w:val="single" w:sz="4" w:space="0" w:color="auto"/>
              <w:bottom w:val="single" w:sz="4" w:space="0" w:color="000000"/>
              <w:right w:val="single" w:sz="4" w:space="0" w:color="auto"/>
            </w:tcBorders>
            <w:vAlign w:val="center"/>
            <w:hideMark/>
          </w:tcPr>
          <w:p w14:paraId="7BB87A18" w14:textId="77777777" w:rsidR="007968EC" w:rsidRPr="00EB14DE" w:rsidRDefault="007968EC" w:rsidP="007968EC">
            <w:pPr>
              <w:ind w:left="426" w:hanging="425"/>
              <w:jc w:val="center"/>
              <w:rPr>
                <w:rFonts w:ascii="Arial Narrow" w:hAnsi="Arial Narrow"/>
                <w:color w:val="000000"/>
                <w:lang w:eastAsia="es-CO"/>
              </w:rPr>
            </w:pPr>
          </w:p>
        </w:tc>
        <w:tc>
          <w:tcPr>
            <w:tcW w:w="1994" w:type="dxa"/>
            <w:tcBorders>
              <w:top w:val="nil"/>
              <w:left w:val="nil"/>
              <w:bottom w:val="single" w:sz="4" w:space="0" w:color="auto"/>
              <w:right w:val="single" w:sz="4" w:space="0" w:color="auto"/>
            </w:tcBorders>
            <w:shd w:val="clear" w:color="auto" w:fill="auto"/>
            <w:vAlign w:val="center"/>
            <w:hideMark/>
          </w:tcPr>
          <w:p w14:paraId="6F30D2CB"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3</w:t>
            </w:r>
          </w:p>
        </w:tc>
        <w:tc>
          <w:tcPr>
            <w:tcW w:w="2397" w:type="dxa"/>
            <w:tcBorders>
              <w:top w:val="nil"/>
              <w:left w:val="nil"/>
              <w:bottom w:val="single" w:sz="4" w:space="0" w:color="auto"/>
              <w:right w:val="single" w:sz="4" w:space="0" w:color="auto"/>
            </w:tcBorders>
            <w:shd w:val="clear" w:color="auto" w:fill="auto"/>
            <w:vAlign w:val="center"/>
            <w:hideMark/>
          </w:tcPr>
          <w:p w14:paraId="3F139B20"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0.</w:t>
            </w:r>
            <w:r w:rsidRPr="00EB14DE" w:rsidDel="00614EE2">
              <w:rPr>
                <w:rFonts w:ascii="Arial Narrow" w:hAnsi="Arial Narrow"/>
                <w:color w:val="000000"/>
                <w:lang w:eastAsia="es-CO"/>
              </w:rPr>
              <w:t xml:space="preserve"> </w:t>
            </w:r>
            <w:r w:rsidRPr="00EB14DE">
              <w:rPr>
                <w:rFonts w:ascii="Arial Narrow" w:hAnsi="Arial Narrow"/>
                <w:color w:val="000000"/>
                <w:lang w:eastAsia="es-CO"/>
              </w:rPr>
              <w:t>33%</w:t>
            </w:r>
          </w:p>
        </w:tc>
      </w:tr>
      <w:tr w:rsidR="007968EC" w:rsidRPr="00EB14DE" w14:paraId="620321D5" w14:textId="77777777" w:rsidTr="007968EC">
        <w:trPr>
          <w:trHeight w:val="204"/>
          <w:jc w:val="center"/>
        </w:trPr>
        <w:tc>
          <w:tcPr>
            <w:tcW w:w="1208" w:type="dxa"/>
            <w:vMerge/>
            <w:tcBorders>
              <w:top w:val="nil"/>
              <w:left w:val="single" w:sz="4" w:space="0" w:color="auto"/>
              <w:bottom w:val="single" w:sz="4" w:space="0" w:color="000000"/>
              <w:right w:val="single" w:sz="4" w:space="0" w:color="auto"/>
            </w:tcBorders>
            <w:vAlign w:val="center"/>
            <w:hideMark/>
          </w:tcPr>
          <w:p w14:paraId="327A9AAE" w14:textId="77777777" w:rsidR="007968EC" w:rsidRPr="00EB14DE" w:rsidRDefault="007968EC" w:rsidP="007968EC">
            <w:pPr>
              <w:ind w:left="426" w:hanging="425"/>
              <w:jc w:val="center"/>
              <w:rPr>
                <w:rFonts w:ascii="Arial Narrow" w:hAnsi="Arial Narrow"/>
                <w:color w:val="000000"/>
                <w:lang w:eastAsia="es-CO"/>
              </w:rPr>
            </w:pPr>
          </w:p>
        </w:tc>
        <w:tc>
          <w:tcPr>
            <w:tcW w:w="1994" w:type="dxa"/>
            <w:tcBorders>
              <w:top w:val="nil"/>
              <w:left w:val="nil"/>
              <w:bottom w:val="single" w:sz="4" w:space="0" w:color="auto"/>
              <w:right w:val="single" w:sz="4" w:space="0" w:color="auto"/>
            </w:tcBorders>
            <w:shd w:val="clear" w:color="auto" w:fill="auto"/>
            <w:vAlign w:val="center"/>
            <w:hideMark/>
          </w:tcPr>
          <w:p w14:paraId="248CE2A6"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6</w:t>
            </w:r>
          </w:p>
        </w:tc>
        <w:tc>
          <w:tcPr>
            <w:tcW w:w="2397" w:type="dxa"/>
            <w:tcBorders>
              <w:top w:val="nil"/>
              <w:left w:val="nil"/>
              <w:bottom w:val="single" w:sz="4" w:space="0" w:color="auto"/>
              <w:right w:val="single" w:sz="4" w:space="0" w:color="auto"/>
            </w:tcBorders>
            <w:shd w:val="clear" w:color="auto" w:fill="auto"/>
            <w:vAlign w:val="center"/>
            <w:hideMark/>
          </w:tcPr>
          <w:p w14:paraId="4BDFC130"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0.73%</w:t>
            </w:r>
          </w:p>
        </w:tc>
      </w:tr>
      <w:tr w:rsidR="007968EC" w:rsidRPr="00EB14DE" w14:paraId="047467EF" w14:textId="77777777" w:rsidTr="007968EC">
        <w:trPr>
          <w:trHeight w:val="204"/>
          <w:jc w:val="center"/>
        </w:trPr>
        <w:tc>
          <w:tcPr>
            <w:tcW w:w="1208" w:type="dxa"/>
            <w:vMerge/>
            <w:tcBorders>
              <w:top w:val="nil"/>
              <w:left w:val="single" w:sz="4" w:space="0" w:color="auto"/>
              <w:bottom w:val="single" w:sz="4" w:space="0" w:color="000000"/>
              <w:right w:val="single" w:sz="4" w:space="0" w:color="auto"/>
            </w:tcBorders>
            <w:vAlign w:val="center"/>
            <w:hideMark/>
          </w:tcPr>
          <w:p w14:paraId="2D35C897" w14:textId="77777777" w:rsidR="007968EC" w:rsidRPr="00EB14DE" w:rsidRDefault="007968EC" w:rsidP="007968EC">
            <w:pPr>
              <w:ind w:left="426" w:hanging="425"/>
              <w:jc w:val="center"/>
              <w:rPr>
                <w:rFonts w:ascii="Arial Narrow" w:hAnsi="Arial Narrow"/>
                <w:color w:val="000000"/>
                <w:lang w:eastAsia="es-CO"/>
              </w:rPr>
            </w:pPr>
          </w:p>
        </w:tc>
        <w:tc>
          <w:tcPr>
            <w:tcW w:w="1994" w:type="dxa"/>
            <w:tcBorders>
              <w:top w:val="nil"/>
              <w:left w:val="nil"/>
              <w:bottom w:val="single" w:sz="4" w:space="0" w:color="auto"/>
              <w:right w:val="single" w:sz="4" w:space="0" w:color="auto"/>
            </w:tcBorders>
            <w:shd w:val="clear" w:color="auto" w:fill="auto"/>
            <w:vAlign w:val="center"/>
            <w:hideMark/>
          </w:tcPr>
          <w:p w14:paraId="035D0507"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9</w:t>
            </w:r>
          </w:p>
        </w:tc>
        <w:tc>
          <w:tcPr>
            <w:tcW w:w="2397" w:type="dxa"/>
            <w:tcBorders>
              <w:top w:val="nil"/>
              <w:left w:val="nil"/>
              <w:bottom w:val="single" w:sz="4" w:space="0" w:color="auto"/>
              <w:right w:val="single" w:sz="4" w:space="0" w:color="auto"/>
            </w:tcBorders>
            <w:shd w:val="clear" w:color="auto" w:fill="auto"/>
            <w:vAlign w:val="center"/>
            <w:hideMark/>
          </w:tcPr>
          <w:p w14:paraId="22968B8D"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1.03%</w:t>
            </w:r>
          </w:p>
        </w:tc>
      </w:tr>
      <w:tr w:rsidR="007968EC" w:rsidRPr="00EB14DE" w14:paraId="267CDA01" w14:textId="77777777" w:rsidTr="007968EC">
        <w:trPr>
          <w:trHeight w:val="204"/>
          <w:jc w:val="center"/>
        </w:trPr>
        <w:tc>
          <w:tcPr>
            <w:tcW w:w="1208" w:type="dxa"/>
            <w:vMerge/>
            <w:tcBorders>
              <w:top w:val="nil"/>
              <w:left w:val="single" w:sz="4" w:space="0" w:color="auto"/>
              <w:bottom w:val="single" w:sz="4" w:space="0" w:color="000000"/>
              <w:right w:val="single" w:sz="4" w:space="0" w:color="auto"/>
            </w:tcBorders>
            <w:vAlign w:val="center"/>
            <w:hideMark/>
          </w:tcPr>
          <w:p w14:paraId="00C3E8C9" w14:textId="77777777" w:rsidR="007968EC" w:rsidRPr="00EB14DE" w:rsidRDefault="007968EC" w:rsidP="007968EC">
            <w:pPr>
              <w:ind w:left="426" w:hanging="425"/>
              <w:jc w:val="center"/>
              <w:rPr>
                <w:rFonts w:ascii="Arial Narrow" w:hAnsi="Arial Narrow"/>
                <w:color w:val="000000"/>
                <w:lang w:eastAsia="es-CO"/>
              </w:rPr>
            </w:pPr>
          </w:p>
        </w:tc>
        <w:tc>
          <w:tcPr>
            <w:tcW w:w="1994" w:type="dxa"/>
            <w:tcBorders>
              <w:top w:val="nil"/>
              <w:left w:val="nil"/>
              <w:bottom w:val="single" w:sz="4" w:space="0" w:color="auto"/>
              <w:right w:val="single" w:sz="4" w:space="0" w:color="auto"/>
            </w:tcBorders>
            <w:shd w:val="clear" w:color="auto" w:fill="auto"/>
            <w:vAlign w:val="center"/>
            <w:hideMark/>
          </w:tcPr>
          <w:p w14:paraId="76C619E5"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12</w:t>
            </w:r>
          </w:p>
        </w:tc>
        <w:tc>
          <w:tcPr>
            <w:tcW w:w="2397" w:type="dxa"/>
            <w:tcBorders>
              <w:top w:val="nil"/>
              <w:left w:val="nil"/>
              <w:bottom w:val="single" w:sz="4" w:space="0" w:color="auto"/>
              <w:right w:val="single" w:sz="4" w:space="0" w:color="auto"/>
            </w:tcBorders>
            <w:shd w:val="clear" w:color="auto" w:fill="auto"/>
            <w:vAlign w:val="center"/>
            <w:hideMark/>
          </w:tcPr>
          <w:p w14:paraId="28DC4CD9"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1.19%</w:t>
            </w:r>
          </w:p>
        </w:tc>
      </w:tr>
      <w:tr w:rsidR="007968EC" w:rsidRPr="00EB14DE" w14:paraId="56C95C3D" w14:textId="77777777" w:rsidTr="007968EC">
        <w:trPr>
          <w:trHeight w:val="204"/>
          <w:jc w:val="center"/>
        </w:trPr>
        <w:tc>
          <w:tcPr>
            <w:tcW w:w="1208" w:type="dxa"/>
            <w:vMerge/>
            <w:tcBorders>
              <w:top w:val="nil"/>
              <w:left w:val="single" w:sz="4" w:space="0" w:color="auto"/>
              <w:bottom w:val="nil"/>
              <w:right w:val="single" w:sz="4" w:space="0" w:color="auto"/>
            </w:tcBorders>
            <w:vAlign w:val="center"/>
            <w:hideMark/>
          </w:tcPr>
          <w:p w14:paraId="1EC4228B" w14:textId="77777777" w:rsidR="007968EC" w:rsidRPr="00EB14DE" w:rsidRDefault="007968EC" w:rsidP="007968EC">
            <w:pPr>
              <w:ind w:left="426" w:hanging="425"/>
              <w:jc w:val="center"/>
              <w:rPr>
                <w:rFonts w:ascii="Arial Narrow" w:hAnsi="Arial Narrow"/>
                <w:color w:val="000000"/>
                <w:lang w:eastAsia="es-CO"/>
              </w:rPr>
            </w:pPr>
          </w:p>
        </w:tc>
        <w:tc>
          <w:tcPr>
            <w:tcW w:w="1994" w:type="dxa"/>
            <w:tcBorders>
              <w:top w:val="nil"/>
              <w:left w:val="nil"/>
              <w:bottom w:val="nil"/>
              <w:right w:val="single" w:sz="4" w:space="0" w:color="auto"/>
            </w:tcBorders>
            <w:shd w:val="clear" w:color="auto" w:fill="auto"/>
            <w:vAlign w:val="center"/>
            <w:hideMark/>
          </w:tcPr>
          <w:p w14:paraId="656E0197"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18</w:t>
            </w:r>
          </w:p>
        </w:tc>
        <w:tc>
          <w:tcPr>
            <w:tcW w:w="2397" w:type="dxa"/>
            <w:tcBorders>
              <w:top w:val="nil"/>
              <w:left w:val="nil"/>
              <w:bottom w:val="nil"/>
              <w:right w:val="single" w:sz="4" w:space="0" w:color="auto"/>
            </w:tcBorders>
            <w:shd w:val="clear" w:color="auto" w:fill="auto"/>
            <w:vAlign w:val="center"/>
            <w:hideMark/>
          </w:tcPr>
          <w:p w14:paraId="483FE88E" w14:textId="77777777" w:rsidR="007968EC" w:rsidRPr="00EB14DE" w:rsidRDefault="007968EC" w:rsidP="007968EC">
            <w:pPr>
              <w:ind w:left="426" w:hanging="425"/>
              <w:jc w:val="center"/>
              <w:rPr>
                <w:rFonts w:ascii="Arial Narrow" w:hAnsi="Arial Narrow"/>
                <w:color w:val="000000"/>
                <w:lang w:eastAsia="es-CO"/>
              </w:rPr>
            </w:pPr>
            <w:r w:rsidRPr="00EB14DE">
              <w:rPr>
                <w:rFonts w:ascii="Arial Narrow" w:hAnsi="Arial Narrow"/>
                <w:color w:val="000000"/>
                <w:lang w:eastAsia="es-CO"/>
              </w:rPr>
              <w:t>1.27%</w:t>
            </w:r>
          </w:p>
        </w:tc>
      </w:tr>
      <w:tr w:rsidR="007968EC" w:rsidRPr="00EB14DE" w14:paraId="11BA2ABF" w14:textId="77777777" w:rsidTr="007968EC">
        <w:trPr>
          <w:trHeight w:val="204"/>
          <w:jc w:val="center"/>
        </w:trPr>
        <w:tc>
          <w:tcPr>
            <w:tcW w:w="1208" w:type="dxa"/>
            <w:tcBorders>
              <w:top w:val="nil"/>
              <w:left w:val="single" w:sz="4" w:space="0" w:color="auto"/>
              <w:bottom w:val="single" w:sz="4" w:space="0" w:color="000000"/>
              <w:right w:val="single" w:sz="4" w:space="0" w:color="auto"/>
            </w:tcBorders>
            <w:vAlign w:val="center"/>
          </w:tcPr>
          <w:p w14:paraId="05E46309" w14:textId="77777777" w:rsidR="007968EC" w:rsidRPr="00EB14DE" w:rsidRDefault="007968EC" w:rsidP="007968EC">
            <w:pPr>
              <w:ind w:left="426" w:hanging="425"/>
              <w:rPr>
                <w:rFonts w:ascii="Arial Narrow" w:hAnsi="Arial Narrow"/>
                <w:color w:val="000000"/>
                <w:lang w:eastAsia="es-CO"/>
              </w:rPr>
            </w:pPr>
          </w:p>
        </w:tc>
        <w:tc>
          <w:tcPr>
            <w:tcW w:w="1994" w:type="dxa"/>
            <w:tcBorders>
              <w:top w:val="nil"/>
              <w:left w:val="nil"/>
              <w:bottom w:val="single" w:sz="4" w:space="0" w:color="auto"/>
              <w:right w:val="single" w:sz="4" w:space="0" w:color="auto"/>
            </w:tcBorders>
            <w:shd w:val="clear" w:color="auto" w:fill="auto"/>
            <w:vAlign w:val="center"/>
          </w:tcPr>
          <w:p w14:paraId="25B7FFB3" w14:textId="77777777" w:rsidR="007968EC" w:rsidRPr="00EB14DE" w:rsidRDefault="007968EC" w:rsidP="007968EC">
            <w:pPr>
              <w:ind w:left="426" w:hanging="425"/>
              <w:jc w:val="center"/>
              <w:rPr>
                <w:rFonts w:ascii="Arial Narrow" w:hAnsi="Arial Narrow"/>
                <w:color w:val="000000"/>
                <w:lang w:eastAsia="es-CO"/>
              </w:rPr>
            </w:pPr>
          </w:p>
        </w:tc>
        <w:tc>
          <w:tcPr>
            <w:tcW w:w="2397" w:type="dxa"/>
            <w:tcBorders>
              <w:top w:val="nil"/>
              <w:left w:val="nil"/>
              <w:bottom w:val="single" w:sz="4" w:space="0" w:color="auto"/>
              <w:right w:val="single" w:sz="4" w:space="0" w:color="auto"/>
            </w:tcBorders>
            <w:shd w:val="clear" w:color="auto" w:fill="auto"/>
            <w:vAlign w:val="center"/>
          </w:tcPr>
          <w:p w14:paraId="1ED94F0B" w14:textId="77777777" w:rsidR="007968EC" w:rsidRPr="00EB14DE" w:rsidRDefault="007968EC" w:rsidP="007968EC">
            <w:pPr>
              <w:ind w:left="426" w:hanging="425"/>
              <w:jc w:val="center"/>
              <w:rPr>
                <w:rFonts w:ascii="Arial Narrow" w:hAnsi="Arial Narrow"/>
                <w:color w:val="000000"/>
                <w:lang w:eastAsia="es-CO"/>
              </w:rPr>
            </w:pPr>
          </w:p>
        </w:tc>
      </w:tr>
    </w:tbl>
    <w:p w14:paraId="2E069B62" w14:textId="77777777" w:rsidR="007968EC" w:rsidRDefault="007968EC" w:rsidP="007968EC">
      <w:pPr>
        <w:autoSpaceDE w:val="0"/>
        <w:autoSpaceDN w:val="0"/>
        <w:contextualSpacing/>
        <w:jc w:val="both"/>
        <w:rPr>
          <w:rFonts w:ascii="Arial Narrow" w:eastAsia="Calibri" w:hAnsi="Arial Narrow" w:cs="Arial"/>
          <w:color w:val="000000"/>
          <w:u w:val="single"/>
          <w:lang w:eastAsia="es-ES"/>
        </w:rPr>
      </w:pPr>
    </w:p>
    <w:p w14:paraId="4E83C8B5" w14:textId="77777777" w:rsidR="007968EC" w:rsidRPr="00ED287A" w:rsidRDefault="007968EC" w:rsidP="007968EC">
      <w:pPr>
        <w:autoSpaceDE w:val="0"/>
        <w:autoSpaceDN w:val="0"/>
        <w:contextualSpacing/>
        <w:jc w:val="both"/>
        <w:rPr>
          <w:rFonts w:ascii="Arial Narrow" w:eastAsia="Calibri" w:hAnsi="Arial Narrow" w:cs="Arial"/>
          <w:color w:val="000000"/>
          <w:u w:val="single"/>
          <w:lang w:eastAsia="es-ES"/>
        </w:rPr>
      </w:pPr>
    </w:p>
    <w:p w14:paraId="30B793E2" w14:textId="77777777" w:rsidR="007968EC" w:rsidRPr="00D47068" w:rsidRDefault="007968EC" w:rsidP="007968EC">
      <w:pPr>
        <w:pStyle w:val="ARTICULO0"/>
        <w:rPr>
          <w:rFonts w:eastAsia="Calibri"/>
          <w:lang w:val="es-ES"/>
        </w:rPr>
      </w:pPr>
      <w:bookmarkStart w:id="4930" w:name="_Toc31716195"/>
      <w:bookmarkStart w:id="4931" w:name="_Toc470780003"/>
      <w:bookmarkStart w:id="4932" w:name="_Toc470781133"/>
      <w:bookmarkStart w:id="4933" w:name="_Toc470784694"/>
      <w:bookmarkStart w:id="4934" w:name="_Toc470785231"/>
      <w:bookmarkStart w:id="4935" w:name="_Toc470791625"/>
      <w:r w:rsidRPr="00D47068">
        <w:rPr>
          <w:rFonts w:eastAsia="Calibri"/>
          <w:lang w:val="es-ES"/>
        </w:rPr>
        <w:t>Artículo 2.5.1.7. Garantías por Grandes Posiciones.</w:t>
      </w:r>
      <w:bookmarkEnd w:id="4930"/>
      <w:r w:rsidRPr="00D47068">
        <w:rPr>
          <w:rFonts w:eastAsia="Calibri"/>
          <w:lang w:val="es-ES"/>
        </w:rPr>
        <w:t xml:space="preserve"> </w:t>
      </w:r>
    </w:p>
    <w:p w14:paraId="0DB10D90" w14:textId="77777777" w:rsidR="007968EC" w:rsidRDefault="007968EC" w:rsidP="007968EC">
      <w:pPr>
        <w:jc w:val="both"/>
        <w:rPr>
          <w:rFonts w:ascii="Arial Narrow" w:eastAsia="Calibri" w:hAnsi="Arial Narrow" w:cs="Arial"/>
          <w:lang w:eastAsia="es-ES"/>
        </w:rPr>
      </w:pPr>
    </w:p>
    <w:p w14:paraId="5C61F33A" w14:textId="77777777" w:rsidR="007968EC" w:rsidRPr="009207FD" w:rsidRDefault="007968EC" w:rsidP="007968EC">
      <w:pPr>
        <w:jc w:val="both"/>
        <w:rPr>
          <w:rFonts w:ascii="Arial Narrow" w:eastAsia="Calibri" w:hAnsi="Arial Narrow" w:cs="Arial"/>
          <w:b/>
          <w:i/>
          <w:lang w:eastAsia="es-ES"/>
        </w:rPr>
      </w:pPr>
      <w:r w:rsidRPr="009207FD">
        <w:rPr>
          <w:rFonts w:ascii="Arial Narrow" w:eastAsia="Calibri" w:hAnsi="Arial Narrow" w:cs="Arial"/>
          <w:b/>
          <w:i/>
          <w:lang w:eastAsia="es-ES"/>
        </w:rPr>
        <w:t>(Este artículo fue adicionado mediante Circular 6 del 24 de abril de 2018, publicada en el Boletín Normativo No. 009 del 24 de abril de 2018</w:t>
      </w:r>
      <w:r>
        <w:rPr>
          <w:rFonts w:ascii="Arial Narrow" w:eastAsia="Calibri" w:hAnsi="Arial Narrow" w:cs="Arial"/>
          <w:b/>
          <w:i/>
          <w:lang w:eastAsia="es-ES"/>
        </w:rPr>
        <w:t>,</w:t>
      </w:r>
      <w:r w:rsidRPr="009207FD">
        <w:rPr>
          <w:rFonts w:ascii="Arial Narrow" w:eastAsia="Calibri" w:hAnsi="Arial Narrow" w:cs="Arial"/>
          <w:b/>
          <w:i/>
          <w:lang w:eastAsia="es-ES"/>
        </w:rPr>
        <w:t xml:space="preserve"> </w:t>
      </w:r>
      <w:r w:rsidRPr="00ED287A">
        <w:rPr>
          <w:rFonts w:ascii="Arial Narrow" w:eastAsia="Calibri" w:hAnsi="Arial Narrow" w:cs="Arial"/>
          <w:b/>
          <w:i/>
          <w:lang w:eastAsia="es-ES"/>
        </w:rPr>
        <w:t xml:space="preserve">y </w:t>
      </w:r>
      <w:r>
        <w:rPr>
          <w:rFonts w:ascii="Arial Narrow" w:eastAsia="Calibri" w:hAnsi="Arial Narrow" w:cs="Arial"/>
          <w:b/>
          <w:i/>
          <w:lang w:eastAsia="es-ES"/>
        </w:rPr>
        <w:t xml:space="preserve">modificado </w:t>
      </w:r>
      <w:r w:rsidRPr="00ED287A">
        <w:rPr>
          <w:rFonts w:ascii="Arial Narrow" w:eastAsia="Calibri" w:hAnsi="Arial Narrow" w:cs="Arial"/>
          <w:b/>
          <w:i/>
          <w:lang w:eastAsia="es-ES"/>
        </w:rPr>
        <w:t>mediante Circular 12 del 17 de septiembre de 2018, publicada en el Boletín Normativo No. 022 del 17 de septiembre de 2018. Rige a partir del 18 de septiembre de 2018.)</w:t>
      </w:r>
    </w:p>
    <w:p w14:paraId="34BCCE77" w14:textId="77777777" w:rsidR="007968EC" w:rsidRPr="002F7049" w:rsidRDefault="007968EC" w:rsidP="007968EC">
      <w:pPr>
        <w:jc w:val="both"/>
        <w:rPr>
          <w:rFonts w:ascii="Arial Narrow" w:eastAsia="Calibri" w:hAnsi="Arial Narrow" w:cs="Arial"/>
          <w:lang w:eastAsia="es-ES"/>
        </w:rPr>
      </w:pPr>
    </w:p>
    <w:p w14:paraId="4A496F44" w14:textId="77777777" w:rsidR="007968EC" w:rsidRPr="00ED287A" w:rsidRDefault="007968EC" w:rsidP="007968EC">
      <w:pPr>
        <w:tabs>
          <w:tab w:val="left" w:pos="754"/>
        </w:tabs>
        <w:jc w:val="both"/>
        <w:rPr>
          <w:rFonts w:ascii="Arial Narrow" w:hAnsi="Arial Narrow" w:cs="Arial"/>
          <w:lang w:val="es-ES" w:eastAsia="es-ES"/>
        </w:rPr>
      </w:pPr>
      <w:proofErr w:type="gramStart"/>
      <w:r w:rsidRPr="00ED287A">
        <w:rPr>
          <w:rFonts w:ascii="Arial Narrow" w:hAnsi="Arial Narrow" w:cs="Arial"/>
          <w:lang w:val="es-ES" w:eastAsia="es-ES"/>
        </w:rPr>
        <w:t>En caso que</w:t>
      </w:r>
      <w:proofErr w:type="gramEnd"/>
      <w:r w:rsidRPr="00ED287A">
        <w:rPr>
          <w:rFonts w:ascii="Arial Narrow" w:hAnsi="Arial Narrow" w:cs="Arial"/>
          <w:lang w:val="es-ES" w:eastAsia="es-ES"/>
        </w:rPr>
        <w:t xml:space="preserve"> el valor de la Posición Abierta neta de una Cuenta, ya sea de Registro de la Posición Propia o de un Tercero Identificado, y en un determinado Activo perteneciente al Segmento de Derivados Financieros, supere el 100% del Volumen Medio Diario, será considerada esta como una Gran Posición, por lo tanto, se entiende que el horizonte de tiempo (días) necesario para cerrar dicha posición aumenta, según lo muestra la siguiente tabla:</w:t>
      </w:r>
    </w:p>
    <w:p w14:paraId="7E3E5AD7" w14:textId="77777777" w:rsidR="007968EC" w:rsidRPr="00ED287A" w:rsidRDefault="007968EC" w:rsidP="007968EC">
      <w:pPr>
        <w:tabs>
          <w:tab w:val="left" w:pos="754"/>
        </w:tabs>
        <w:jc w:val="both"/>
        <w:rPr>
          <w:rFonts w:ascii="Arial Narrow" w:hAnsi="Arial Narrow" w:cs="Arial"/>
          <w:lang w:val="es-ES" w:eastAsia="es-ES"/>
        </w:rPr>
      </w:pPr>
    </w:p>
    <w:tbl>
      <w:tblPr>
        <w:tblpPr w:leftFromText="141" w:rightFromText="141" w:vertAnchor="text" w:horzAnchor="margin" w:tblpXSpec="center" w:tblpY="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4247"/>
      </w:tblGrid>
      <w:tr w:rsidR="007968EC" w:rsidRPr="00ED287A" w14:paraId="2D551FC2" w14:textId="77777777" w:rsidTr="007968EC">
        <w:trPr>
          <w:trHeight w:val="70"/>
        </w:trPr>
        <w:tc>
          <w:tcPr>
            <w:tcW w:w="2740" w:type="pct"/>
          </w:tcPr>
          <w:p w14:paraId="392FF3D3" w14:textId="77777777" w:rsidR="007968EC" w:rsidRPr="00ED287A" w:rsidRDefault="007968EC" w:rsidP="007968EC">
            <w:pPr>
              <w:tabs>
                <w:tab w:val="left" w:pos="754"/>
              </w:tabs>
              <w:spacing w:after="160" w:line="259" w:lineRule="auto"/>
              <w:jc w:val="center"/>
              <w:rPr>
                <w:rFonts w:ascii="Arial Narrow" w:eastAsiaTheme="minorHAnsi" w:hAnsi="Arial Narrow" w:cs="Arial"/>
              </w:rPr>
            </w:pPr>
            <w:r w:rsidRPr="00ED287A">
              <w:rPr>
                <w:rFonts w:ascii="Arial Narrow" w:eastAsiaTheme="minorHAnsi" w:hAnsi="Arial Narrow" w:cs="Arial"/>
                <w:bCs/>
                <w:color w:val="000000"/>
              </w:rPr>
              <w:t>% Sobre el Volumen Medio Diario</w:t>
            </w:r>
          </w:p>
        </w:tc>
        <w:tc>
          <w:tcPr>
            <w:tcW w:w="2260" w:type="pct"/>
          </w:tcPr>
          <w:p w14:paraId="7FA9BA18" w14:textId="77777777" w:rsidR="007968EC" w:rsidRPr="00ED287A" w:rsidRDefault="007968EC" w:rsidP="007968EC">
            <w:pPr>
              <w:tabs>
                <w:tab w:val="left" w:pos="754"/>
              </w:tabs>
              <w:spacing w:after="160" w:line="259" w:lineRule="auto"/>
              <w:jc w:val="center"/>
              <w:rPr>
                <w:rFonts w:ascii="Arial Narrow" w:eastAsiaTheme="minorHAnsi" w:hAnsi="Arial Narrow" w:cs="Arial"/>
              </w:rPr>
            </w:pPr>
            <w:r w:rsidRPr="00ED287A">
              <w:rPr>
                <w:rFonts w:ascii="Arial Narrow" w:eastAsiaTheme="minorHAnsi" w:hAnsi="Arial Narrow" w:cs="Arial"/>
                <w:bCs/>
                <w:color w:val="000000"/>
              </w:rPr>
              <w:t>Horizonte de Tiempo (días)</w:t>
            </w:r>
          </w:p>
        </w:tc>
      </w:tr>
      <w:tr w:rsidR="007968EC" w:rsidRPr="00ED287A" w14:paraId="240597C8" w14:textId="77777777" w:rsidTr="007968EC">
        <w:trPr>
          <w:trHeight w:val="226"/>
        </w:trPr>
        <w:tc>
          <w:tcPr>
            <w:tcW w:w="2740" w:type="pct"/>
          </w:tcPr>
          <w:p w14:paraId="35B024D4" w14:textId="77777777" w:rsidR="007968EC" w:rsidRPr="00ED287A" w:rsidRDefault="007968EC" w:rsidP="007968EC">
            <w:pPr>
              <w:tabs>
                <w:tab w:val="left" w:pos="754"/>
              </w:tabs>
              <w:spacing w:after="160" w:line="259" w:lineRule="auto"/>
              <w:jc w:val="center"/>
              <w:rPr>
                <w:rFonts w:ascii="Arial Narrow" w:eastAsiaTheme="minorHAnsi" w:hAnsi="Arial Narrow" w:cs="Arial"/>
              </w:rPr>
            </w:pPr>
            <w:r w:rsidRPr="00ED287A">
              <w:rPr>
                <w:rFonts w:ascii="Arial Narrow" w:hAnsi="Arial Narrow" w:cs="Arial"/>
              </w:rPr>
              <w:t>Entre un 100% y 150%</w:t>
            </w:r>
          </w:p>
        </w:tc>
        <w:tc>
          <w:tcPr>
            <w:tcW w:w="2260" w:type="pct"/>
          </w:tcPr>
          <w:p w14:paraId="41819A34" w14:textId="77777777" w:rsidR="007968EC" w:rsidRPr="00ED287A" w:rsidRDefault="007968EC" w:rsidP="007968EC">
            <w:pPr>
              <w:tabs>
                <w:tab w:val="left" w:pos="754"/>
              </w:tabs>
              <w:spacing w:after="160" w:line="259" w:lineRule="auto"/>
              <w:jc w:val="center"/>
              <w:rPr>
                <w:rFonts w:ascii="Arial Narrow" w:eastAsiaTheme="minorHAnsi" w:hAnsi="Arial Narrow" w:cs="Arial"/>
              </w:rPr>
            </w:pPr>
            <w:r w:rsidRPr="00ED287A">
              <w:rPr>
                <w:rFonts w:ascii="Arial Narrow" w:eastAsiaTheme="minorHAnsi" w:hAnsi="Arial Narrow" w:cs="Arial"/>
              </w:rPr>
              <w:t>3</w:t>
            </w:r>
          </w:p>
        </w:tc>
      </w:tr>
      <w:tr w:rsidR="007968EC" w:rsidRPr="00ED287A" w14:paraId="1658A818" w14:textId="77777777" w:rsidTr="007968EC">
        <w:trPr>
          <w:trHeight w:val="226"/>
        </w:trPr>
        <w:tc>
          <w:tcPr>
            <w:tcW w:w="2740" w:type="pct"/>
          </w:tcPr>
          <w:p w14:paraId="059C93CC" w14:textId="77777777" w:rsidR="007968EC" w:rsidRPr="00ED287A" w:rsidRDefault="007968EC" w:rsidP="007968EC">
            <w:pPr>
              <w:tabs>
                <w:tab w:val="left" w:pos="754"/>
              </w:tabs>
              <w:spacing w:after="160" w:line="259" w:lineRule="auto"/>
              <w:jc w:val="center"/>
              <w:rPr>
                <w:rFonts w:ascii="Arial Narrow" w:eastAsiaTheme="minorHAnsi" w:hAnsi="Arial Narrow" w:cs="Arial"/>
              </w:rPr>
            </w:pPr>
            <w:r w:rsidRPr="00ED287A">
              <w:rPr>
                <w:rFonts w:ascii="Arial Narrow" w:hAnsi="Arial Narrow" w:cs="Arial"/>
              </w:rPr>
              <w:t>Entre un 150% y 200%</w:t>
            </w:r>
          </w:p>
        </w:tc>
        <w:tc>
          <w:tcPr>
            <w:tcW w:w="2260" w:type="pct"/>
          </w:tcPr>
          <w:p w14:paraId="62DEBF2A" w14:textId="77777777" w:rsidR="007968EC" w:rsidRPr="00ED287A" w:rsidRDefault="007968EC" w:rsidP="007968EC">
            <w:pPr>
              <w:tabs>
                <w:tab w:val="left" w:pos="754"/>
              </w:tabs>
              <w:spacing w:after="160" w:line="259" w:lineRule="auto"/>
              <w:jc w:val="center"/>
              <w:rPr>
                <w:rFonts w:ascii="Arial Narrow" w:eastAsiaTheme="minorHAnsi" w:hAnsi="Arial Narrow" w:cs="Arial"/>
              </w:rPr>
            </w:pPr>
            <w:r w:rsidRPr="00ED287A">
              <w:rPr>
                <w:rFonts w:ascii="Arial Narrow" w:eastAsiaTheme="minorHAnsi" w:hAnsi="Arial Narrow" w:cs="Arial"/>
              </w:rPr>
              <w:t>4</w:t>
            </w:r>
          </w:p>
        </w:tc>
      </w:tr>
      <w:tr w:rsidR="007968EC" w:rsidRPr="00ED287A" w14:paraId="492032AB" w14:textId="77777777" w:rsidTr="007968EC">
        <w:trPr>
          <w:trHeight w:val="214"/>
        </w:trPr>
        <w:tc>
          <w:tcPr>
            <w:tcW w:w="2740" w:type="pct"/>
          </w:tcPr>
          <w:p w14:paraId="62356188" w14:textId="77777777" w:rsidR="007968EC" w:rsidRPr="00ED287A" w:rsidRDefault="007968EC" w:rsidP="007968EC">
            <w:pPr>
              <w:tabs>
                <w:tab w:val="left" w:pos="754"/>
              </w:tabs>
              <w:spacing w:after="160" w:line="259" w:lineRule="auto"/>
              <w:jc w:val="center"/>
              <w:rPr>
                <w:rFonts w:ascii="Arial Narrow" w:eastAsiaTheme="minorHAnsi" w:hAnsi="Arial Narrow" w:cs="Arial"/>
              </w:rPr>
            </w:pPr>
            <w:r w:rsidRPr="00ED287A">
              <w:rPr>
                <w:rFonts w:ascii="Arial Narrow" w:hAnsi="Arial Narrow" w:cs="Arial"/>
              </w:rPr>
              <w:t>Mayor a un 200%</w:t>
            </w:r>
          </w:p>
        </w:tc>
        <w:tc>
          <w:tcPr>
            <w:tcW w:w="2260" w:type="pct"/>
          </w:tcPr>
          <w:p w14:paraId="34EB7CD1" w14:textId="77777777" w:rsidR="007968EC" w:rsidRPr="00ED287A" w:rsidRDefault="007968EC" w:rsidP="007968EC">
            <w:pPr>
              <w:tabs>
                <w:tab w:val="left" w:pos="754"/>
              </w:tabs>
              <w:spacing w:after="160" w:line="259" w:lineRule="auto"/>
              <w:jc w:val="center"/>
              <w:rPr>
                <w:rFonts w:ascii="Arial Narrow" w:eastAsiaTheme="minorHAnsi" w:hAnsi="Arial Narrow" w:cs="Arial"/>
              </w:rPr>
            </w:pPr>
            <w:r w:rsidRPr="00ED287A">
              <w:rPr>
                <w:rFonts w:ascii="Arial Narrow" w:eastAsiaTheme="minorHAnsi" w:hAnsi="Arial Narrow" w:cs="Arial"/>
              </w:rPr>
              <w:t>5</w:t>
            </w:r>
          </w:p>
        </w:tc>
      </w:tr>
    </w:tbl>
    <w:p w14:paraId="7344B4AB" w14:textId="77777777" w:rsidR="007968EC" w:rsidRPr="00ED287A" w:rsidRDefault="007968EC" w:rsidP="007968EC">
      <w:pPr>
        <w:tabs>
          <w:tab w:val="left" w:pos="754"/>
        </w:tabs>
        <w:jc w:val="both"/>
        <w:rPr>
          <w:rFonts w:ascii="Arial Narrow" w:hAnsi="Arial Narrow" w:cs="Arial"/>
          <w:lang w:val="es-ES" w:eastAsia="es-ES"/>
        </w:rPr>
      </w:pPr>
    </w:p>
    <w:p w14:paraId="2DD3E933" w14:textId="77777777" w:rsidR="007968EC" w:rsidRPr="00ED287A" w:rsidRDefault="007968EC" w:rsidP="007968EC">
      <w:pPr>
        <w:tabs>
          <w:tab w:val="left" w:pos="754"/>
        </w:tabs>
        <w:jc w:val="both"/>
        <w:rPr>
          <w:rFonts w:ascii="Arial Narrow" w:hAnsi="Arial Narrow" w:cs="Arial"/>
          <w:lang w:val="es-ES" w:eastAsia="es-ES"/>
        </w:rPr>
      </w:pPr>
      <w:r w:rsidRPr="00ED287A">
        <w:rPr>
          <w:rFonts w:ascii="Arial Narrow" w:hAnsi="Arial Narrow" w:cs="Arial"/>
          <w:lang w:val="es-ES" w:eastAsia="es-ES"/>
        </w:rPr>
        <w:t>Por tal razón, los parámetros para el cálculo de la Garantía por Posición se incrementarán de acuerdo al incremento del horizonte de tiempo (días) necesario para cerrar la posición según se muestra en la siguiente tabla:</w:t>
      </w:r>
    </w:p>
    <w:p w14:paraId="35A624B7" w14:textId="77777777" w:rsidR="007968EC" w:rsidRPr="00ED287A" w:rsidRDefault="007968EC" w:rsidP="007968EC">
      <w:pPr>
        <w:tabs>
          <w:tab w:val="left" w:pos="754"/>
        </w:tabs>
        <w:jc w:val="center"/>
        <w:rPr>
          <w:rFonts w:ascii="Arial Narrow" w:hAnsi="Arial Narrow" w:cs="Arial"/>
          <w:lang w:val="es-ES" w:eastAsia="es-ES"/>
        </w:rPr>
      </w:pPr>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3227"/>
        <w:gridCol w:w="3249"/>
      </w:tblGrid>
      <w:tr w:rsidR="007968EC" w:rsidRPr="00ED287A" w14:paraId="27412515" w14:textId="77777777" w:rsidTr="007968EC">
        <w:trPr>
          <w:trHeight w:val="520"/>
          <w:jc w:val="center"/>
        </w:trPr>
        <w:tc>
          <w:tcPr>
            <w:tcW w:w="2587" w:type="dxa"/>
          </w:tcPr>
          <w:p w14:paraId="41DB5C7E" w14:textId="77777777" w:rsidR="007968EC" w:rsidRPr="00ED287A" w:rsidRDefault="007968EC" w:rsidP="007968EC">
            <w:pPr>
              <w:tabs>
                <w:tab w:val="left" w:pos="754"/>
              </w:tabs>
              <w:jc w:val="center"/>
              <w:rPr>
                <w:rFonts w:ascii="Arial Narrow" w:hAnsi="Arial Narrow" w:cs="Arial"/>
              </w:rPr>
            </w:pPr>
            <w:r w:rsidRPr="00ED287A">
              <w:rPr>
                <w:rFonts w:ascii="Arial Narrow" w:hAnsi="Arial Narrow" w:cs="Arial"/>
                <w:bCs/>
                <w:color w:val="000000"/>
              </w:rPr>
              <w:t>% Sobre el Volumen Medio Diario</w:t>
            </w:r>
          </w:p>
        </w:tc>
        <w:tc>
          <w:tcPr>
            <w:tcW w:w="3227" w:type="dxa"/>
          </w:tcPr>
          <w:p w14:paraId="177829B7" w14:textId="77777777" w:rsidR="007968EC" w:rsidRPr="00ED287A" w:rsidRDefault="007968EC" w:rsidP="007968EC">
            <w:pPr>
              <w:tabs>
                <w:tab w:val="left" w:pos="754"/>
              </w:tabs>
              <w:jc w:val="center"/>
              <w:rPr>
                <w:rFonts w:ascii="Arial Narrow" w:hAnsi="Arial Narrow" w:cs="Arial"/>
              </w:rPr>
            </w:pPr>
            <w:r w:rsidRPr="00ED287A">
              <w:rPr>
                <w:rFonts w:ascii="Arial Narrow" w:hAnsi="Arial Narrow" w:cs="Arial"/>
                <w:bCs/>
                <w:color w:val="000000"/>
              </w:rPr>
              <w:t>Horizonte de Tiempo (días)</w:t>
            </w:r>
          </w:p>
        </w:tc>
        <w:tc>
          <w:tcPr>
            <w:tcW w:w="3249" w:type="dxa"/>
          </w:tcPr>
          <w:p w14:paraId="77E50015" w14:textId="77777777" w:rsidR="007968EC" w:rsidRPr="00ED287A" w:rsidRDefault="007968EC" w:rsidP="007968EC">
            <w:pPr>
              <w:tabs>
                <w:tab w:val="left" w:pos="754"/>
              </w:tabs>
              <w:jc w:val="center"/>
              <w:rPr>
                <w:rFonts w:ascii="Arial Narrow" w:hAnsi="Arial Narrow" w:cs="Arial"/>
              </w:rPr>
            </w:pPr>
            <w:r w:rsidRPr="00ED287A">
              <w:rPr>
                <w:rFonts w:ascii="Arial Narrow" w:hAnsi="Arial Narrow" w:cs="Arial"/>
                <w:bCs/>
                <w:color w:val="000000"/>
              </w:rPr>
              <w:t>% de incremento en la Garantía por Posición.</w:t>
            </w:r>
          </w:p>
        </w:tc>
      </w:tr>
      <w:tr w:rsidR="007968EC" w:rsidRPr="00ED287A" w14:paraId="40E0CB1B" w14:textId="77777777" w:rsidTr="007968EC">
        <w:trPr>
          <w:trHeight w:val="340"/>
          <w:jc w:val="center"/>
        </w:trPr>
        <w:tc>
          <w:tcPr>
            <w:tcW w:w="2587" w:type="dxa"/>
          </w:tcPr>
          <w:p w14:paraId="09386F6C" w14:textId="77777777" w:rsidR="007968EC" w:rsidRPr="00ED287A" w:rsidRDefault="007968EC" w:rsidP="007968EC">
            <w:pPr>
              <w:tabs>
                <w:tab w:val="left" w:pos="754"/>
              </w:tabs>
              <w:jc w:val="center"/>
              <w:rPr>
                <w:rFonts w:ascii="Arial Narrow" w:hAnsi="Arial Narrow" w:cs="Arial"/>
              </w:rPr>
            </w:pPr>
            <w:r w:rsidRPr="00ED287A">
              <w:rPr>
                <w:rFonts w:ascii="Arial Narrow" w:hAnsi="Arial Narrow" w:cs="Arial"/>
              </w:rPr>
              <w:t>Entre un 100% y 150%</w:t>
            </w:r>
          </w:p>
        </w:tc>
        <w:tc>
          <w:tcPr>
            <w:tcW w:w="3227" w:type="dxa"/>
          </w:tcPr>
          <w:p w14:paraId="55173F13" w14:textId="77777777" w:rsidR="007968EC" w:rsidRPr="00ED287A" w:rsidRDefault="007968EC" w:rsidP="007968EC">
            <w:pPr>
              <w:tabs>
                <w:tab w:val="left" w:pos="754"/>
              </w:tabs>
              <w:jc w:val="center"/>
              <w:rPr>
                <w:rFonts w:ascii="Arial Narrow" w:hAnsi="Arial Narrow" w:cs="Arial"/>
              </w:rPr>
            </w:pPr>
            <w:r w:rsidRPr="00ED287A">
              <w:rPr>
                <w:rFonts w:ascii="Arial Narrow" w:hAnsi="Arial Narrow" w:cs="Arial"/>
              </w:rPr>
              <w:t>3</w:t>
            </w:r>
          </w:p>
        </w:tc>
        <w:tc>
          <w:tcPr>
            <w:tcW w:w="3249" w:type="dxa"/>
          </w:tcPr>
          <w:p w14:paraId="77DBA89F" w14:textId="77777777" w:rsidR="007968EC" w:rsidRPr="00ED287A" w:rsidRDefault="007968EC" w:rsidP="007968EC">
            <w:pPr>
              <w:tabs>
                <w:tab w:val="left" w:pos="754"/>
              </w:tabs>
              <w:jc w:val="center"/>
              <w:rPr>
                <w:rFonts w:ascii="Arial Narrow" w:hAnsi="Arial Narrow" w:cs="Arial"/>
              </w:rPr>
            </w:pPr>
            <w:r w:rsidRPr="00ED287A">
              <w:rPr>
                <w:rFonts w:ascii="Arial Narrow" w:hAnsi="Arial Narrow" w:cs="Arial"/>
              </w:rPr>
              <w:t>22%</w:t>
            </w:r>
          </w:p>
        </w:tc>
      </w:tr>
      <w:tr w:rsidR="007968EC" w:rsidRPr="00ED287A" w14:paraId="66039ABB" w14:textId="77777777" w:rsidTr="007968EC">
        <w:trPr>
          <w:trHeight w:val="350"/>
          <w:jc w:val="center"/>
        </w:trPr>
        <w:tc>
          <w:tcPr>
            <w:tcW w:w="2587" w:type="dxa"/>
          </w:tcPr>
          <w:p w14:paraId="0ADCA1A7" w14:textId="77777777" w:rsidR="007968EC" w:rsidRPr="00ED287A" w:rsidRDefault="007968EC" w:rsidP="007968EC">
            <w:pPr>
              <w:tabs>
                <w:tab w:val="left" w:pos="754"/>
              </w:tabs>
              <w:jc w:val="center"/>
              <w:rPr>
                <w:rFonts w:ascii="Arial Narrow" w:hAnsi="Arial Narrow" w:cs="Arial"/>
              </w:rPr>
            </w:pPr>
            <w:r w:rsidRPr="00ED287A">
              <w:rPr>
                <w:rFonts w:ascii="Arial Narrow" w:hAnsi="Arial Narrow" w:cs="Arial"/>
              </w:rPr>
              <w:t>Entre un 150% y 200%</w:t>
            </w:r>
          </w:p>
        </w:tc>
        <w:tc>
          <w:tcPr>
            <w:tcW w:w="3227" w:type="dxa"/>
          </w:tcPr>
          <w:p w14:paraId="4D324B26" w14:textId="77777777" w:rsidR="007968EC" w:rsidRPr="00ED287A" w:rsidRDefault="007968EC" w:rsidP="007968EC">
            <w:pPr>
              <w:tabs>
                <w:tab w:val="left" w:pos="754"/>
              </w:tabs>
              <w:jc w:val="center"/>
              <w:rPr>
                <w:rFonts w:ascii="Arial Narrow" w:hAnsi="Arial Narrow" w:cs="Arial"/>
              </w:rPr>
            </w:pPr>
            <w:r w:rsidRPr="00ED287A">
              <w:rPr>
                <w:rFonts w:ascii="Arial Narrow" w:hAnsi="Arial Narrow" w:cs="Arial"/>
              </w:rPr>
              <w:t>4</w:t>
            </w:r>
          </w:p>
        </w:tc>
        <w:tc>
          <w:tcPr>
            <w:tcW w:w="3249" w:type="dxa"/>
          </w:tcPr>
          <w:p w14:paraId="1D79D596" w14:textId="77777777" w:rsidR="007968EC" w:rsidRPr="00ED287A" w:rsidRDefault="007968EC" w:rsidP="007968EC">
            <w:pPr>
              <w:tabs>
                <w:tab w:val="left" w:pos="754"/>
              </w:tabs>
              <w:jc w:val="center"/>
              <w:rPr>
                <w:rFonts w:ascii="Arial Narrow" w:hAnsi="Arial Narrow" w:cs="Arial"/>
              </w:rPr>
            </w:pPr>
            <w:r w:rsidRPr="00ED287A">
              <w:rPr>
                <w:rFonts w:ascii="Arial Narrow" w:hAnsi="Arial Narrow" w:cs="Arial"/>
              </w:rPr>
              <w:t>41%</w:t>
            </w:r>
          </w:p>
        </w:tc>
      </w:tr>
      <w:tr w:rsidR="007968EC" w:rsidRPr="00ED287A" w14:paraId="0365E41A" w14:textId="77777777" w:rsidTr="007968EC">
        <w:trPr>
          <w:trHeight w:val="160"/>
          <w:jc w:val="center"/>
        </w:trPr>
        <w:tc>
          <w:tcPr>
            <w:tcW w:w="2587" w:type="dxa"/>
          </w:tcPr>
          <w:p w14:paraId="3353DD76" w14:textId="77777777" w:rsidR="007968EC" w:rsidRPr="00ED287A" w:rsidRDefault="007968EC" w:rsidP="007968EC">
            <w:pPr>
              <w:tabs>
                <w:tab w:val="left" w:pos="754"/>
              </w:tabs>
              <w:jc w:val="center"/>
              <w:rPr>
                <w:rFonts w:ascii="Arial Narrow" w:hAnsi="Arial Narrow" w:cs="Arial"/>
              </w:rPr>
            </w:pPr>
            <w:r w:rsidRPr="00ED287A">
              <w:rPr>
                <w:rFonts w:ascii="Arial Narrow" w:hAnsi="Arial Narrow" w:cs="Arial"/>
              </w:rPr>
              <w:t>Mayor a un 200%</w:t>
            </w:r>
          </w:p>
        </w:tc>
        <w:tc>
          <w:tcPr>
            <w:tcW w:w="3227" w:type="dxa"/>
          </w:tcPr>
          <w:p w14:paraId="3363D66E" w14:textId="77777777" w:rsidR="007968EC" w:rsidRPr="00ED287A" w:rsidRDefault="007968EC" w:rsidP="007968EC">
            <w:pPr>
              <w:tabs>
                <w:tab w:val="left" w:pos="754"/>
              </w:tabs>
              <w:jc w:val="center"/>
              <w:rPr>
                <w:rFonts w:ascii="Arial Narrow" w:hAnsi="Arial Narrow" w:cs="Arial"/>
              </w:rPr>
            </w:pPr>
            <w:r w:rsidRPr="00ED287A">
              <w:rPr>
                <w:rFonts w:ascii="Arial Narrow" w:hAnsi="Arial Narrow" w:cs="Arial"/>
              </w:rPr>
              <w:t>5</w:t>
            </w:r>
          </w:p>
        </w:tc>
        <w:tc>
          <w:tcPr>
            <w:tcW w:w="3249" w:type="dxa"/>
          </w:tcPr>
          <w:p w14:paraId="1825F648" w14:textId="77777777" w:rsidR="007968EC" w:rsidRPr="00ED287A" w:rsidRDefault="007968EC" w:rsidP="007968EC">
            <w:pPr>
              <w:tabs>
                <w:tab w:val="left" w:pos="754"/>
              </w:tabs>
              <w:jc w:val="center"/>
              <w:rPr>
                <w:rFonts w:ascii="Arial Narrow" w:hAnsi="Arial Narrow" w:cs="Arial"/>
              </w:rPr>
            </w:pPr>
            <w:r w:rsidRPr="00ED287A">
              <w:rPr>
                <w:rFonts w:ascii="Arial Narrow" w:hAnsi="Arial Narrow" w:cs="Arial"/>
              </w:rPr>
              <w:t>58%</w:t>
            </w:r>
          </w:p>
        </w:tc>
      </w:tr>
    </w:tbl>
    <w:p w14:paraId="76EC78E8" w14:textId="77777777" w:rsidR="007968EC" w:rsidRPr="00ED287A" w:rsidRDefault="007968EC" w:rsidP="007968EC">
      <w:pPr>
        <w:jc w:val="both"/>
        <w:rPr>
          <w:rFonts w:ascii="Arial Narrow" w:eastAsia="Calibri" w:hAnsi="Arial Narrow"/>
        </w:rPr>
      </w:pPr>
    </w:p>
    <w:p w14:paraId="68E756B6" w14:textId="77777777" w:rsidR="007968EC" w:rsidRPr="00ED287A" w:rsidRDefault="007968EC" w:rsidP="007968EC">
      <w:pPr>
        <w:contextualSpacing/>
        <w:jc w:val="both"/>
        <w:rPr>
          <w:rFonts w:ascii="Arial Narrow" w:hAnsi="Arial Narrow" w:cs="Arial"/>
          <w:color w:val="000000"/>
          <w:lang w:val="es-ES" w:eastAsia="es-ES"/>
        </w:rPr>
      </w:pPr>
      <w:r w:rsidRPr="00ED287A">
        <w:rPr>
          <w:rFonts w:ascii="Arial Narrow" w:eastAsia="Calibri" w:hAnsi="Arial Narrow"/>
        </w:rPr>
        <w:t>El incremento de las fluctuaciones, en el caso de existir una Gran Posición se hará efectivo en el siguiente día hábil de registrada dicha posición. Los volúmenes medios diarios son los siguientes:</w:t>
      </w:r>
    </w:p>
    <w:p w14:paraId="0DF67CD4" w14:textId="77777777" w:rsidR="007968EC" w:rsidRPr="00ED287A" w:rsidRDefault="007968EC" w:rsidP="007968EC">
      <w:pPr>
        <w:contextualSpacing/>
        <w:jc w:val="both"/>
        <w:rPr>
          <w:rFonts w:ascii="Arial Narrow" w:hAnsi="Arial Narrow" w:cs="Arial"/>
          <w:color w:val="000000"/>
          <w:lang w:val="es-ES" w:eastAsia="es-ES"/>
        </w:rPr>
      </w:pPr>
    </w:p>
    <w:p w14:paraId="441F9C65" w14:textId="77777777" w:rsidR="007968EC" w:rsidRPr="00ED287A" w:rsidRDefault="007968EC" w:rsidP="00DA7472">
      <w:pPr>
        <w:numPr>
          <w:ilvl w:val="0"/>
          <w:numId w:val="364"/>
        </w:numPr>
        <w:spacing w:after="160" w:line="259" w:lineRule="auto"/>
        <w:contextualSpacing/>
        <w:jc w:val="both"/>
        <w:rPr>
          <w:rFonts w:ascii="Arial Narrow" w:eastAsia="Calibri" w:hAnsi="Arial Narrow" w:cs="Arial"/>
          <w:lang w:eastAsia="es-CO"/>
        </w:rPr>
      </w:pPr>
      <w:r w:rsidRPr="00ED287A">
        <w:rPr>
          <w:rFonts w:ascii="Arial Narrow" w:eastAsia="Calibri" w:hAnsi="Arial Narrow" w:cs="Arial"/>
          <w:lang w:eastAsia="es-CO"/>
        </w:rPr>
        <w:t xml:space="preserve">Volumen Medio Diario considerado para los productos cuyo subyacente sean Títulos sobre de Deuda Pública TES, </w:t>
      </w:r>
      <w:r w:rsidRPr="00ED287A">
        <w:rPr>
          <w:rFonts w:ascii="Arial Narrow" w:hAnsi="Arial Narrow" w:cs="Arial"/>
          <w:lang w:val="es-ES" w:eastAsia="es-ES"/>
        </w:rPr>
        <w:t>Acciones o el Índice Accionario COLCAP serán publicados mediante boletín informativo</w:t>
      </w:r>
      <w:r w:rsidRPr="00ED287A">
        <w:rPr>
          <w:rFonts w:ascii="Arial Narrow" w:eastAsia="Calibri" w:hAnsi="Arial Narrow" w:cs="Arial"/>
          <w:lang w:eastAsia="es-CO"/>
        </w:rPr>
        <w:t>.</w:t>
      </w:r>
    </w:p>
    <w:p w14:paraId="0BBF9E32" w14:textId="77777777" w:rsidR="007968EC" w:rsidRPr="00ED287A" w:rsidRDefault="007968EC" w:rsidP="00DA7472">
      <w:pPr>
        <w:numPr>
          <w:ilvl w:val="0"/>
          <w:numId w:val="364"/>
        </w:numPr>
        <w:spacing w:after="160" w:line="259" w:lineRule="auto"/>
        <w:contextualSpacing/>
        <w:jc w:val="both"/>
        <w:rPr>
          <w:rFonts w:ascii="Arial Narrow" w:eastAsia="Calibri" w:hAnsi="Arial Narrow" w:cs="Arial"/>
          <w:lang w:eastAsia="es-CO"/>
        </w:rPr>
      </w:pPr>
      <w:r w:rsidRPr="00ED287A">
        <w:rPr>
          <w:rFonts w:ascii="Arial Narrow" w:eastAsia="Calibri" w:hAnsi="Arial Narrow" w:cs="Arial"/>
          <w:lang w:eastAsia="es-CO"/>
        </w:rPr>
        <w:t>Volumen Medio Diario considerado para los productos cuyo subyacente sea la TRM:</w:t>
      </w:r>
    </w:p>
    <w:p w14:paraId="51248CED" w14:textId="77777777" w:rsidR="007968EC" w:rsidRPr="00ED287A" w:rsidRDefault="007968EC" w:rsidP="007968EC">
      <w:pPr>
        <w:contextualSpacing/>
        <w:jc w:val="both"/>
        <w:rPr>
          <w:rFonts w:ascii="Arial Narrow" w:eastAsia="Calibri" w:hAnsi="Arial Narrow"/>
        </w:rPr>
      </w:pPr>
    </w:p>
    <w:tbl>
      <w:tblPr>
        <w:tblW w:w="7655" w:type="dxa"/>
        <w:jc w:val="center"/>
        <w:tblLayout w:type="fixed"/>
        <w:tblCellMar>
          <w:left w:w="70" w:type="dxa"/>
          <w:right w:w="70" w:type="dxa"/>
        </w:tblCellMar>
        <w:tblLook w:val="04A0" w:firstRow="1" w:lastRow="0" w:firstColumn="1" w:lastColumn="0" w:noHBand="0" w:noVBand="1"/>
      </w:tblPr>
      <w:tblGrid>
        <w:gridCol w:w="5097"/>
        <w:gridCol w:w="2558"/>
      </w:tblGrid>
      <w:tr w:rsidR="007968EC" w:rsidRPr="00ED287A" w14:paraId="56E784CF" w14:textId="77777777" w:rsidTr="007968EC">
        <w:trPr>
          <w:trHeight w:val="237"/>
          <w:jc w:val="center"/>
        </w:trPr>
        <w:tc>
          <w:tcPr>
            <w:tcW w:w="50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F32BF" w14:textId="77777777" w:rsidR="007968EC" w:rsidRPr="00ED287A" w:rsidRDefault="007968EC" w:rsidP="007968EC">
            <w:pPr>
              <w:jc w:val="center"/>
              <w:rPr>
                <w:rFonts w:ascii="Arial Narrow" w:eastAsia="Calibri" w:hAnsi="Arial Narrow"/>
                <w:color w:val="000000" w:themeColor="text1"/>
                <w:lang w:eastAsia="es-CO"/>
              </w:rPr>
            </w:pPr>
            <w:r w:rsidRPr="00ED287A">
              <w:rPr>
                <w:rFonts w:ascii="Arial Narrow" w:eastAsia="Calibri" w:hAnsi="Arial Narrow"/>
                <w:color w:val="000000" w:themeColor="text1"/>
                <w:lang w:val="es-MX"/>
              </w:rPr>
              <w:t>Subyacente</w:t>
            </w:r>
          </w:p>
        </w:tc>
        <w:tc>
          <w:tcPr>
            <w:tcW w:w="2558" w:type="dxa"/>
            <w:tcBorders>
              <w:top w:val="single" w:sz="4" w:space="0" w:color="auto"/>
              <w:left w:val="nil"/>
              <w:bottom w:val="single" w:sz="4" w:space="0" w:color="auto"/>
              <w:right w:val="single" w:sz="4" w:space="0" w:color="auto"/>
            </w:tcBorders>
            <w:shd w:val="clear" w:color="auto" w:fill="auto"/>
            <w:noWrap/>
            <w:vAlign w:val="center"/>
            <w:hideMark/>
          </w:tcPr>
          <w:p w14:paraId="4D8A8A46" w14:textId="77777777" w:rsidR="007968EC" w:rsidRPr="00ED287A" w:rsidRDefault="007968EC" w:rsidP="007968EC">
            <w:pPr>
              <w:jc w:val="center"/>
              <w:rPr>
                <w:rFonts w:ascii="Arial Narrow" w:eastAsia="Calibri" w:hAnsi="Arial Narrow"/>
                <w:color w:val="000000" w:themeColor="text1"/>
                <w:lang w:eastAsia="es-CO"/>
              </w:rPr>
            </w:pPr>
            <w:r w:rsidRPr="00ED287A">
              <w:rPr>
                <w:rFonts w:ascii="Arial Narrow" w:eastAsia="Calibri" w:hAnsi="Arial Narrow"/>
                <w:color w:val="000000" w:themeColor="text1"/>
                <w:lang w:eastAsia="es-CO"/>
              </w:rPr>
              <w:t>VMD Efectivo</w:t>
            </w:r>
          </w:p>
        </w:tc>
      </w:tr>
      <w:tr w:rsidR="007968EC" w:rsidRPr="00ED287A" w14:paraId="49A8BD9B" w14:textId="77777777" w:rsidTr="007968EC">
        <w:trPr>
          <w:trHeight w:val="237"/>
          <w:jc w:val="center"/>
        </w:trPr>
        <w:tc>
          <w:tcPr>
            <w:tcW w:w="5097" w:type="dxa"/>
            <w:tcBorders>
              <w:top w:val="nil"/>
              <w:left w:val="single" w:sz="4" w:space="0" w:color="auto"/>
              <w:bottom w:val="single" w:sz="4" w:space="0" w:color="auto"/>
              <w:right w:val="single" w:sz="4" w:space="0" w:color="auto"/>
            </w:tcBorders>
            <w:shd w:val="clear" w:color="auto" w:fill="auto"/>
            <w:noWrap/>
            <w:vAlign w:val="center"/>
            <w:hideMark/>
          </w:tcPr>
          <w:p w14:paraId="0ADEE0D4" w14:textId="77777777" w:rsidR="007968EC" w:rsidRPr="00ED287A" w:rsidRDefault="007968EC" w:rsidP="007968EC">
            <w:pPr>
              <w:jc w:val="center"/>
              <w:rPr>
                <w:rFonts w:ascii="Arial Narrow" w:eastAsia="Calibri" w:hAnsi="Arial Narrow"/>
                <w:color w:val="000000" w:themeColor="text1"/>
                <w:lang w:eastAsia="es-CO"/>
              </w:rPr>
            </w:pPr>
            <w:r w:rsidRPr="00ED287A">
              <w:rPr>
                <w:rFonts w:ascii="Arial Narrow" w:eastAsia="Calibri" w:hAnsi="Arial Narrow"/>
                <w:color w:val="000000" w:themeColor="text1"/>
                <w:lang w:eastAsia="es-CO"/>
              </w:rPr>
              <w:lastRenderedPageBreak/>
              <w:t>Activos cuyo subyacente sea la TRM</w:t>
            </w:r>
          </w:p>
        </w:tc>
        <w:tc>
          <w:tcPr>
            <w:tcW w:w="2558" w:type="dxa"/>
            <w:tcBorders>
              <w:top w:val="nil"/>
              <w:left w:val="nil"/>
              <w:bottom w:val="single" w:sz="4" w:space="0" w:color="auto"/>
              <w:right w:val="single" w:sz="4" w:space="0" w:color="auto"/>
            </w:tcBorders>
            <w:shd w:val="clear" w:color="auto" w:fill="auto"/>
            <w:noWrap/>
            <w:vAlign w:val="center"/>
            <w:hideMark/>
          </w:tcPr>
          <w:p w14:paraId="2363E083" w14:textId="77777777" w:rsidR="007968EC" w:rsidRPr="00ED287A" w:rsidRDefault="007968EC" w:rsidP="007968EC">
            <w:pPr>
              <w:jc w:val="center"/>
              <w:rPr>
                <w:rFonts w:ascii="Arial Narrow" w:eastAsia="Calibri" w:hAnsi="Arial Narrow"/>
                <w:color w:val="000000" w:themeColor="text1"/>
                <w:lang w:eastAsia="es-CO"/>
              </w:rPr>
            </w:pPr>
            <w:r w:rsidRPr="00ED287A">
              <w:rPr>
                <w:rFonts w:ascii="Arial Narrow" w:eastAsia="Calibri" w:hAnsi="Arial Narrow"/>
                <w:color w:val="000000" w:themeColor="text1"/>
                <w:lang w:eastAsia="es-CO"/>
              </w:rPr>
              <w:t>1.600.000.000 dólares</w:t>
            </w:r>
          </w:p>
        </w:tc>
      </w:tr>
    </w:tbl>
    <w:p w14:paraId="697ED01A" w14:textId="77777777" w:rsidR="007968EC" w:rsidRPr="00ED287A" w:rsidRDefault="007968EC" w:rsidP="007968EC">
      <w:pPr>
        <w:contextualSpacing/>
        <w:jc w:val="both"/>
        <w:rPr>
          <w:rFonts w:ascii="Arial Narrow" w:eastAsia="Calibri" w:hAnsi="Arial Narrow"/>
        </w:rPr>
      </w:pPr>
    </w:p>
    <w:p w14:paraId="41026BC2" w14:textId="77777777" w:rsidR="007968EC" w:rsidRDefault="007968EC" w:rsidP="007968EC">
      <w:pPr>
        <w:contextualSpacing/>
        <w:jc w:val="both"/>
        <w:rPr>
          <w:rFonts w:ascii="Arial Narrow" w:eastAsia="Calibri" w:hAnsi="Arial Narrow"/>
        </w:rPr>
      </w:pPr>
      <w:r w:rsidRPr="00ED287A">
        <w:rPr>
          <w:rFonts w:ascii="Arial Narrow" w:eastAsia="Calibri" w:hAnsi="Arial Narrow"/>
        </w:rPr>
        <w:t>Estos valores se actualizarán por lo menos una vez al año</w:t>
      </w:r>
      <w:r>
        <w:rPr>
          <w:rFonts w:ascii="Arial Narrow" w:eastAsia="Calibri" w:hAnsi="Arial Narrow"/>
        </w:rPr>
        <w:t>.</w:t>
      </w:r>
    </w:p>
    <w:p w14:paraId="14ECC40D" w14:textId="77777777" w:rsidR="007968EC" w:rsidRPr="00F96783" w:rsidRDefault="007968EC" w:rsidP="007968EC">
      <w:pPr>
        <w:contextualSpacing/>
        <w:jc w:val="both"/>
        <w:rPr>
          <w:rFonts w:ascii="Arial Narrow" w:hAnsi="Arial Narrow" w:cs="Arial"/>
          <w:color w:val="000000"/>
          <w:lang w:val="es-ES" w:eastAsia="es-ES"/>
        </w:rPr>
      </w:pPr>
    </w:p>
    <w:p w14:paraId="5A29E0A4" w14:textId="77777777" w:rsidR="007968EC" w:rsidRDefault="007968EC" w:rsidP="007968EC">
      <w:pPr>
        <w:pStyle w:val="ARTICULO0"/>
        <w:rPr>
          <w:rFonts w:eastAsia="Calibri" w:cs="Times New Roman"/>
          <w:bCs/>
          <w:kern w:val="32"/>
          <w:lang w:val="es-ES"/>
        </w:rPr>
      </w:pPr>
      <w:bookmarkStart w:id="4936" w:name="_Toc472592370"/>
      <w:bookmarkStart w:id="4937" w:name="_Toc472593389"/>
      <w:bookmarkStart w:id="4938" w:name="_Toc479057178"/>
      <w:bookmarkStart w:id="4939" w:name="_Toc31716196"/>
      <w:r>
        <w:rPr>
          <w:rFonts w:eastAsia="Calibri"/>
          <w:lang w:val="es-ES"/>
        </w:rPr>
        <w:t>Artículo 2.5.1.8</w:t>
      </w:r>
      <w:r w:rsidRPr="002C0D19">
        <w:rPr>
          <w:rFonts w:eastAsia="Calibri"/>
          <w:lang w:val="es-ES"/>
        </w:rPr>
        <w:t xml:space="preserve">. Escenarios de variación de precio para el cálculo del riesgo en situación de estrés para el </w:t>
      </w:r>
      <w:r w:rsidRPr="002C0D19">
        <w:rPr>
          <w:lang w:val="es-ES"/>
        </w:rPr>
        <w:t>Segmento de Derivados Financieros.</w:t>
      </w:r>
      <w:bookmarkEnd w:id="4936"/>
      <w:bookmarkEnd w:id="4937"/>
      <w:bookmarkEnd w:id="4938"/>
      <w:bookmarkEnd w:id="4939"/>
      <w:r w:rsidRPr="002C0D19">
        <w:rPr>
          <w:rFonts w:eastAsia="Calibri" w:cs="Times New Roman"/>
          <w:bCs/>
          <w:kern w:val="32"/>
          <w:lang w:val="es-ES"/>
        </w:rPr>
        <w:t xml:space="preserve"> </w:t>
      </w:r>
    </w:p>
    <w:p w14:paraId="139BDD15" w14:textId="77777777" w:rsidR="007968EC" w:rsidRDefault="007968EC" w:rsidP="007968EC">
      <w:pPr>
        <w:jc w:val="both"/>
        <w:rPr>
          <w:rFonts w:ascii="Arial Narrow" w:eastAsia="Calibri" w:hAnsi="Arial Narrow"/>
          <w:b/>
          <w:bCs/>
          <w:color w:val="000000" w:themeColor="text1"/>
          <w:kern w:val="32"/>
          <w:u w:val="single"/>
          <w:lang w:val="es-ES"/>
        </w:rPr>
      </w:pPr>
    </w:p>
    <w:p w14:paraId="5D7D1883" w14:textId="77777777" w:rsidR="007968EC" w:rsidRPr="002C0D19" w:rsidRDefault="007968EC" w:rsidP="007968EC">
      <w:pPr>
        <w:pStyle w:val="ANTECEDENTES"/>
        <w:rPr>
          <w:rFonts w:eastAsia="Calibri"/>
          <w:kern w:val="32"/>
          <w:u w:val="single"/>
        </w:rPr>
      </w:pPr>
      <w:r w:rsidRPr="002C0D19">
        <w:t xml:space="preserve">(Este artículo fue adicionado mediante Circular 2 del 11 de enero de 2017, publicada mediante Boletín Normativo No. 002 del 11 de enero de 2017, modificado mediante Circular 6 del 14 de febrero de 2017, publicada en el Boletín Normativo No. 006 del 14 de febrero de 2017, renumerado mediante circular 8 del 31 de marzo de 2017, publicada en el Boletín Normativo No. 008 del 31 de marzo de 2017, modificado mediante Circular 10 del 12 de mayo de 2017, publicada en el Boletín Normativo </w:t>
      </w:r>
      <w:r>
        <w:t>No. 010 del 12 de mayo de 2017,</w:t>
      </w:r>
      <w:r w:rsidRPr="002C0D19">
        <w:t xml:space="preserve"> mediante Circular 14 del 8 de agosto de 2017, publicada en el Boletín Normativo No. 015 del 8 de agosto de 2017</w:t>
      </w:r>
      <w:r>
        <w:t xml:space="preserve">, renumerado </w:t>
      </w:r>
      <w:r w:rsidRPr="00217A99">
        <w:t xml:space="preserve">mediante Circular 6 del 24 de abril de 2018, </w:t>
      </w:r>
      <w:bookmarkStart w:id="4940" w:name="_Toc472592371"/>
      <w:bookmarkStart w:id="4941" w:name="_Toc472593390"/>
      <w:bookmarkStart w:id="4942" w:name="_Toc479057179"/>
      <w:r w:rsidRPr="00217A99">
        <w:t>y modificado mediante Circular 13 del 2</w:t>
      </w:r>
      <w:r>
        <w:t>4</w:t>
      </w:r>
      <w:r w:rsidRPr="00217A99">
        <w:t xml:space="preserve"> de septiembre de 2019, publicada en el Boletín Normativo No. 026 del 2</w:t>
      </w:r>
      <w:r>
        <w:t>4</w:t>
      </w:r>
      <w:r w:rsidRPr="00217A99">
        <w:t xml:space="preserve"> de septiembre de 2019. Rige a partir del 2</w:t>
      </w:r>
      <w:r>
        <w:t>5</w:t>
      </w:r>
      <w:r w:rsidRPr="00217A99">
        <w:t xml:space="preserve"> de septiembre de 2019.)</w:t>
      </w:r>
    </w:p>
    <w:p w14:paraId="23224809" w14:textId="77777777" w:rsidR="007968EC" w:rsidRPr="00397BCE" w:rsidRDefault="007968EC" w:rsidP="007968EC">
      <w:pPr>
        <w:autoSpaceDE w:val="0"/>
        <w:autoSpaceDN w:val="0"/>
        <w:contextualSpacing/>
        <w:jc w:val="both"/>
        <w:rPr>
          <w:rFonts w:ascii="Arial Narrow" w:eastAsia="Calibri" w:hAnsi="Arial Narrow"/>
          <w:color w:val="000000"/>
        </w:rPr>
      </w:pPr>
    </w:p>
    <w:p w14:paraId="75325111" w14:textId="77777777" w:rsidR="007968EC" w:rsidRPr="002C0D19" w:rsidRDefault="007968EC" w:rsidP="007968EC">
      <w:pPr>
        <w:contextualSpacing/>
        <w:jc w:val="both"/>
        <w:rPr>
          <w:rFonts w:ascii="Arial Narrow" w:hAnsi="Arial Narrow" w:cs="Arial"/>
          <w:color w:val="000000"/>
          <w:lang w:val="es-ES" w:eastAsia="es-ES"/>
        </w:rPr>
      </w:pPr>
      <w:r w:rsidRPr="002C0D19">
        <w:rPr>
          <w:rFonts w:ascii="Arial Narrow" w:hAnsi="Arial Narrow" w:cs="Arial"/>
          <w:color w:val="000000"/>
          <w:lang w:val="es-ES" w:eastAsia="es-ES"/>
        </w:rPr>
        <w:t>Para realizar el cálculo del riesgo en situación de estrés de acuerdo a lo definido en el Artículo 1.6.2.9. de la presente Circular, se definieron los siguientes escenarios de variación de precio para el Segmento de Derivados Financieros:</w:t>
      </w:r>
    </w:p>
    <w:p w14:paraId="265CE42D" w14:textId="77777777" w:rsidR="007968EC" w:rsidRPr="002C0D19" w:rsidRDefault="007968EC" w:rsidP="007968EC">
      <w:pPr>
        <w:ind w:left="720"/>
        <w:contextualSpacing/>
        <w:jc w:val="both"/>
        <w:rPr>
          <w:rFonts w:ascii="Arial Narrow" w:hAnsi="Arial Narrow" w:cs="Arial"/>
          <w:color w:val="000000"/>
          <w:lang w:eastAsia="es-CO"/>
        </w:rPr>
      </w:pPr>
    </w:p>
    <w:p w14:paraId="54AA5482" w14:textId="77777777" w:rsidR="007968EC" w:rsidRPr="002C0D19" w:rsidRDefault="007968EC" w:rsidP="00DA7472">
      <w:pPr>
        <w:numPr>
          <w:ilvl w:val="0"/>
          <w:numId w:val="263"/>
        </w:numPr>
        <w:ind w:left="426"/>
        <w:contextualSpacing/>
        <w:jc w:val="both"/>
        <w:rPr>
          <w:rFonts w:ascii="Arial Narrow" w:hAnsi="Arial Narrow" w:cs="Arial"/>
          <w:color w:val="000000"/>
          <w:lang w:eastAsia="es-CO"/>
        </w:rPr>
      </w:pPr>
      <w:r w:rsidRPr="002C0D19">
        <w:rPr>
          <w:rFonts w:ascii="Arial Narrow" w:hAnsi="Arial Narrow" w:cs="Arial"/>
          <w:color w:val="000000"/>
          <w:lang w:eastAsia="es-CO"/>
        </w:rPr>
        <w:t>Instrumentos cuyo subyacente sea la TRM:</w:t>
      </w:r>
      <w:r w:rsidRPr="002C0D19">
        <w:rPr>
          <w:rFonts w:ascii="Arial" w:hAnsi="Arial" w:cs="Arial"/>
          <w:b/>
          <w:lang w:eastAsia="es-CO"/>
        </w:rPr>
        <w:t xml:space="preserve"> </w:t>
      </w:r>
    </w:p>
    <w:p w14:paraId="2578E7FA" w14:textId="77777777" w:rsidR="007968EC" w:rsidRPr="002C0D19" w:rsidRDefault="007968EC" w:rsidP="007968EC">
      <w:pPr>
        <w:ind w:left="720"/>
        <w:contextualSpacing/>
        <w:jc w:val="both"/>
        <w:rPr>
          <w:rFonts w:ascii="Arial Narrow" w:hAnsi="Arial Narrow" w:cs="Arial"/>
          <w:color w:val="000000"/>
          <w:lang w:eastAsia="es-CO"/>
        </w:rPr>
      </w:pPr>
    </w:p>
    <w:tbl>
      <w:tblPr>
        <w:tblStyle w:val="Tablaconcuadrcula1"/>
        <w:tblW w:w="0" w:type="auto"/>
        <w:tblInd w:w="-5" w:type="dxa"/>
        <w:tblLook w:val="04A0" w:firstRow="1" w:lastRow="0" w:firstColumn="1" w:lastColumn="0" w:noHBand="0" w:noVBand="1"/>
      </w:tblPr>
      <w:tblGrid>
        <w:gridCol w:w="1275"/>
        <w:gridCol w:w="7939"/>
      </w:tblGrid>
      <w:tr w:rsidR="007968EC" w:rsidRPr="002C0D19" w14:paraId="7B63D876" w14:textId="77777777" w:rsidTr="007968EC">
        <w:tc>
          <w:tcPr>
            <w:tcW w:w="9214" w:type="dxa"/>
            <w:gridSpan w:val="2"/>
          </w:tcPr>
          <w:p w14:paraId="2A68391D" w14:textId="77777777" w:rsidR="007968EC" w:rsidRPr="002C0D19" w:rsidRDefault="007968EC" w:rsidP="007968EC">
            <w:pPr>
              <w:contextualSpacing/>
              <w:jc w:val="center"/>
              <w:rPr>
                <w:rFonts w:ascii="Arial Narrow" w:hAnsi="Arial Narrow" w:cs="Arial"/>
                <w:color w:val="000000"/>
                <w:lang w:eastAsia="es-CO"/>
              </w:rPr>
            </w:pPr>
            <w:r w:rsidRPr="002C0D19">
              <w:rPr>
                <w:rFonts w:ascii="Arial Narrow" w:hAnsi="Arial Narrow" w:cs="Arial"/>
                <w:color w:val="000000"/>
                <w:lang w:eastAsia="es-CO"/>
              </w:rPr>
              <w:t>Escenarios</w:t>
            </w:r>
          </w:p>
        </w:tc>
      </w:tr>
      <w:tr w:rsidR="007968EC" w:rsidRPr="002C0D19" w14:paraId="6FB447FE" w14:textId="77777777" w:rsidTr="007968EC">
        <w:tc>
          <w:tcPr>
            <w:tcW w:w="1275" w:type="dxa"/>
            <w:vAlign w:val="center"/>
          </w:tcPr>
          <w:p w14:paraId="40741948" w14:textId="77777777" w:rsidR="007968EC" w:rsidRPr="002C0D19" w:rsidRDefault="007968EC" w:rsidP="007968EC">
            <w:pPr>
              <w:contextualSpacing/>
              <w:jc w:val="center"/>
              <w:rPr>
                <w:rFonts w:ascii="Arial Narrow" w:hAnsi="Arial Narrow" w:cs="Arial"/>
                <w:color w:val="000000"/>
                <w:lang w:eastAsia="es-CO"/>
              </w:rPr>
            </w:pPr>
            <w:r w:rsidRPr="002C0D19">
              <w:rPr>
                <w:rFonts w:ascii="Arial Narrow" w:hAnsi="Arial Narrow" w:cs="Arial"/>
                <w:color w:val="000000"/>
                <w:lang w:eastAsia="es-CO"/>
              </w:rPr>
              <w:t>1</w:t>
            </w:r>
          </w:p>
        </w:tc>
        <w:tc>
          <w:tcPr>
            <w:tcW w:w="7939" w:type="dxa"/>
            <w:vAlign w:val="center"/>
          </w:tcPr>
          <w:p w14:paraId="40FAC715" w14:textId="77777777" w:rsidR="007968EC" w:rsidRPr="002C0D19" w:rsidRDefault="007968EC" w:rsidP="007968EC">
            <w:pPr>
              <w:contextualSpacing/>
              <w:jc w:val="both"/>
              <w:rPr>
                <w:rFonts w:ascii="Arial Narrow" w:hAnsi="Arial Narrow" w:cs="Arial"/>
                <w:color w:val="000000"/>
                <w:lang w:eastAsia="es-CO"/>
              </w:rPr>
            </w:pPr>
            <w:r w:rsidRPr="002C0D19">
              <w:rPr>
                <w:rFonts w:ascii="Arial Narrow" w:hAnsi="Arial Narrow"/>
                <w:color w:val="000000"/>
                <w:lang w:eastAsia="es-CO"/>
              </w:rPr>
              <w:t xml:space="preserve">Todos los precios </w:t>
            </w:r>
            <w:r w:rsidRPr="002C0D19">
              <w:rPr>
                <w:rFonts w:ascii="Arial Narrow" w:hAnsi="Arial Narrow"/>
                <w:b/>
                <w:bCs/>
                <w:color w:val="000000"/>
                <w:lang w:eastAsia="es-CO"/>
              </w:rPr>
              <w:t>incrementan</w:t>
            </w:r>
            <w:r w:rsidRPr="002C0D19">
              <w:rPr>
                <w:rFonts w:ascii="Arial Narrow" w:hAnsi="Arial Narrow"/>
                <w:color w:val="000000"/>
                <w:lang w:eastAsia="es-CO"/>
              </w:rPr>
              <w:t xml:space="preserve"> en la fluctuación de estrés correspondiente.</w:t>
            </w:r>
          </w:p>
        </w:tc>
      </w:tr>
      <w:tr w:rsidR="007968EC" w:rsidRPr="002C0D19" w14:paraId="72F4F932" w14:textId="77777777" w:rsidTr="007968EC">
        <w:tc>
          <w:tcPr>
            <w:tcW w:w="1275" w:type="dxa"/>
            <w:vAlign w:val="center"/>
          </w:tcPr>
          <w:p w14:paraId="723AD388" w14:textId="77777777" w:rsidR="007968EC" w:rsidRPr="002C0D19" w:rsidRDefault="007968EC" w:rsidP="007968EC">
            <w:pPr>
              <w:contextualSpacing/>
              <w:jc w:val="center"/>
              <w:rPr>
                <w:rFonts w:ascii="Arial Narrow" w:hAnsi="Arial Narrow" w:cs="Arial"/>
                <w:color w:val="000000"/>
                <w:lang w:eastAsia="es-CO"/>
              </w:rPr>
            </w:pPr>
            <w:r w:rsidRPr="002C0D19">
              <w:rPr>
                <w:rFonts w:ascii="Arial Narrow" w:hAnsi="Arial Narrow" w:cs="Arial"/>
                <w:color w:val="000000"/>
                <w:lang w:eastAsia="es-CO"/>
              </w:rPr>
              <w:t>2</w:t>
            </w:r>
          </w:p>
        </w:tc>
        <w:tc>
          <w:tcPr>
            <w:tcW w:w="7939" w:type="dxa"/>
            <w:vAlign w:val="center"/>
          </w:tcPr>
          <w:p w14:paraId="55D1F6C6" w14:textId="77777777" w:rsidR="007968EC" w:rsidRPr="002C0D19" w:rsidRDefault="007968EC" w:rsidP="007968EC">
            <w:pPr>
              <w:contextualSpacing/>
              <w:jc w:val="both"/>
              <w:rPr>
                <w:rFonts w:ascii="Arial Narrow" w:hAnsi="Arial Narrow" w:cs="Arial"/>
                <w:color w:val="000000"/>
                <w:lang w:eastAsia="es-CO"/>
              </w:rPr>
            </w:pPr>
            <w:r w:rsidRPr="002C0D19">
              <w:rPr>
                <w:rFonts w:ascii="Arial Narrow" w:hAnsi="Arial Narrow"/>
                <w:color w:val="000000"/>
                <w:lang w:eastAsia="es-CO"/>
              </w:rPr>
              <w:t xml:space="preserve">Todos los precios </w:t>
            </w:r>
            <w:r w:rsidRPr="002C0D19">
              <w:rPr>
                <w:rFonts w:ascii="Arial Narrow" w:hAnsi="Arial Narrow"/>
                <w:b/>
                <w:bCs/>
                <w:color w:val="000000"/>
                <w:lang w:eastAsia="es-CO"/>
              </w:rPr>
              <w:t>disminuyen</w:t>
            </w:r>
            <w:r w:rsidRPr="002C0D19">
              <w:rPr>
                <w:rFonts w:ascii="Arial Narrow" w:hAnsi="Arial Narrow"/>
                <w:color w:val="000000"/>
                <w:lang w:eastAsia="es-CO"/>
              </w:rPr>
              <w:t xml:space="preserve"> en la fluctuación de estrés correspondiente.</w:t>
            </w:r>
          </w:p>
        </w:tc>
      </w:tr>
    </w:tbl>
    <w:p w14:paraId="3B08E940" w14:textId="77777777" w:rsidR="007968EC" w:rsidRPr="002C0D19" w:rsidRDefault="007968EC" w:rsidP="007968EC">
      <w:pPr>
        <w:ind w:left="720"/>
        <w:contextualSpacing/>
        <w:jc w:val="both"/>
        <w:rPr>
          <w:rFonts w:ascii="Arial Narrow" w:hAnsi="Arial Narrow" w:cs="Arial"/>
          <w:color w:val="000000"/>
          <w:lang w:eastAsia="es-CO"/>
        </w:rPr>
      </w:pPr>
    </w:p>
    <w:p w14:paraId="5FE92047" w14:textId="77777777" w:rsidR="007968EC" w:rsidRPr="002C0D19" w:rsidRDefault="007968EC" w:rsidP="00DA7472">
      <w:pPr>
        <w:numPr>
          <w:ilvl w:val="0"/>
          <w:numId w:val="263"/>
        </w:numPr>
        <w:ind w:left="426"/>
        <w:contextualSpacing/>
        <w:jc w:val="both"/>
        <w:rPr>
          <w:rFonts w:ascii="Arial Narrow" w:hAnsi="Arial Narrow" w:cs="Arial"/>
          <w:color w:val="000000"/>
          <w:lang w:eastAsia="es-CO"/>
        </w:rPr>
      </w:pPr>
      <w:r w:rsidRPr="002C0D19">
        <w:rPr>
          <w:rFonts w:ascii="Arial Narrow" w:hAnsi="Arial Narrow" w:cs="Arial"/>
          <w:color w:val="000000"/>
          <w:lang w:eastAsia="es-CO"/>
        </w:rPr>
        <w:t xml:space="preserve">Instrumentos cuyo subyacente sean </w:t>
      </w:r>
      <w:r w:rsidRPr="002C0D19">
        <w:rPr>
          <w:rFonts w:ascii="Arial Narrow" w:hAnsi="Arial Narrow" w:cs="Arial"/>
          <w:lang w:eastAsia="es-CO"/>
        </w:rPr>
        <w:t>Títulos TES clase B tasa fija en pesos:</w:t>
      </w:r>
    </w:p>
    <w:p w14:paraId="0D883071" w14:textId="77777777" w:rsidR="007968EC" w:rsidRDefault="007968EC" w:rsidP="007968EC">
      <w:pPr>
        <w:ind w:left="720"/>
        <w:contextualSpacing/>
        <w:jc w:val="both"/>
        <w:rPr>
          <w:rFonts w:ascii="Arial Narrow" w:hAnsi="Arial Narrow" w:cs="Arial"/>
          <w:color w:val="000000"/>
          <w:lang w:eastAsia="es-CO"/>
        </w:rPr>
      </w:pPr>
    </w:p>
    <w:p w14:paraId="3CB72110" w14:textId="77777777" w:rsidR="007968EC" w:rsidRDefault="007968EC" w:rsidP="007968EC">
      <w:pPr>
        <w:contextualSpacing/>
        <w:jc w:val="both"/>
        <w:rPr>
          <w:rFonts w:ascii="Arial Narrow" w:hAnsi="Arial Narrow" w:cs="Arial"/>
          <w:color w:val="000000"/>
          <w:lang w:eastAsia="es-CO"/>
        </w:rPr>
      </w:pPr>
      <w:r w:rsidRPr="004617E8">
        <w:rPr>
          <w:rFonts w:ascii="Arial Narrow" w:hAnsi="Arial Narrow" w:cs="Arial"/>
          <w:color w:val="000000"/>
          <w:lang w:eastAsia="es-CO"/>
        </w:rPr>
        <w:t>Los escenarios hipotéticos resultantes de los movimientos en los plazos de la curva cero cupón de TES, en total 10 escenarios, recrean movimientos generalizados paralelos, de pendiente y de curvatura, tanto aislados como combinados y se relacionan a continuación</w:t>
      </w:r>
      <w:r>
        <w:rPr>
          <w:rFonts w:ascii="Arial Narrow" w:hAnsi="Arial Narrow" w:cs="Arial"/>
          <w:color w:val="000000"/>
          <w:lang w:eastAsia="es-CO"/>
        </w:rPr>
        <w:t>:</w:t>
      </w:r>
    </w:p>
    <w:p w14:paraId="587C3DA0" w14:textId="77777777" w:rsidR="007968EC" w:rsidRPr="002C0D19" w:rsidRDefault="007968EC" w:rsidP="007968EC">
      <w:pPr>
        <w:ind w:left="720"/>
        <w:contextualSpacing/>
        <w:jc w:val="both"/>
        <w:rPr>
          <w:rFonts w:ascii="Arial Narrow" w:hAnsi="Arial Narrow" w:cs="Arial"/>
          <w:color w:val="000000"/>
          <w:lang w:eastAsia="es-CO"/>
        </w:rPr>
      </w:pPr>
    </w:p>
    <w:tbl>
      <w:tblPr>
        <w:tblW w:w="84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25"/>
        <w:gridCol w:w="779"/>
        <w:gridCol w:w="780"/>
        <w:gridCol w:w="725"/>
        <w:gridCol w:w="846"/>
        <w:gridCol w:w="725"/>
        <w:gridCol w:w="725"/>
        <w:gridCol w:w="782"/>
        <w:gridCol w:w="725"/>
        <w:gridCol w:w="782"/>
        <w:gridCol w:w="782"/>
      </w:tblGrid>
      <w:tr w:rsidR="007968EC" w:rsidRPr="00231A2B" w14:paraId="6D85D633" w14:textId="77777777" w:rsidTr="007968EC">
        <w:trPr>
          <w:trHeight w:val="315"/>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502A9" w14:textId="77777777" w:rsidR="007968EC" w:rsidRPr="00231A2B" w:rsidRDefault="007968EC" w:rsidP="007968EC">
            <w:pPr>
              <w:rPr>
                <w:rFonts w:ascii="Arial Narrow" w:hAnsi="Arial Narrow"/>
                <w:sz w:val="16"/>
                <w:szCs w:val="16"/>
                <w:lang w:eastAsia="es-CO"/>
              </w:rPr>
            </w:pPr>
            <w:r w:rsidRPr="00231A2B">
              <w:rPr>
                <w:rFonts w:ascii="Arial Narrow" w:hAnsi="Arial Narrow"/>
                <w:sz w:val="16"/>
                <w:szCs w:val="16"/>
                <w:lang w:eastAsia="es-CO"/>
              </w:rPr>
              <w:t>Grupo de Compensación</w:t>
            </w:r>
          </w:p>
        </w:tc>
        <w:tc>
          <w:tcPr>
            <w:tcW w:w="779" w:type="dxa"/>
            <w:tcBorders>
              <w:top w:val="single" w:sz="8" w:space="0" w:color="auto"/>
              <w:left w:val="single" w:sz="4" w:space="0" w:color="auto"/>
              <w:bottom w:val="single" w:sz="4" w:space="0" w:color="auto"/>
              <w:right w:val="nil"/>
            </w:tcBorders>
            <w:shd w:val="clear" w:color="auto" w:fill="auto"/>
            <w:noWrap/>
            <w:vAlign w:val="bottom"/>
            <w:hideMark/>
          </w:tcPr>
          <w:p w14:paraId="2553D793" w14:textId="77777777" w:rsidR="007968EC" w:rsidRPr="00231A2B" w:rsidRDefault="007968EC" w:rsidP="007968EC">
            <w:pPr>
              <w:jc w:val="right"/>
              <w:rPr>
                <w:rFonts w:ascii="Arial Narrow" w:hAnsi="Arial Narrow"/>
                <w:color w:val="000000"/>
                <w:sz w:val="16"/>
                <w:szCs w:val="16"/>
                <w:lang w:eastAsia="es-CO"/>
              </w:rPr>
            </w:pPr>
            <w:r w:rsidRPr="00231A2B">
              <w:rPr>
                <w:rFonts w:ascii="Arial Narrow" w:hAnsi="Arial Narrow"/>
                <w:color w:val="000000"/>
                <w:sz w:val="16"/>
                <w:szCs w:val="16"/>
                <w:lang w:eastAsia="es-CO"/>
              </w:rPr>
              <w:t>Esc. 1</w:t>
            </w:r>
          </w:p>
        </w:tc>
        <w:tc>
          <w:tcPr>
            <w:tcW w:w="780" w:type="dxa"/>
            <w:tcBorders>
              <w:top w:val="single" w:sz="8" w:space="0" w:color="auto"/>
              <w:left w:val="single" w:sz="8" w:space="0" w:color="auto"/>
              <w:bottom w:val="single" w:sz="4" w:space="0" w:color="auto"/>
              <w:right w:val="nil"/>
            </w:tcBorders>
            <w:shd w:val="clear" w:color="auto" w:fill="auto"/>
            <w:noWrap/>
            <w:vAlign w:val="bottom"/>
            <w:hideMark/>
          </w:tcPr>
          <w:p w14:paraId="1C81F580" w14:textId="77777777" w:rsidR="007968EC" w:rsidRPr="00231A2B" w:rsidRDefault="007968EC" w:rsidP="007968EC">
            <w:pPr>
              <w:jc w:val="right"/>
              <w:rPr>
                <w:rFonts w:ascii="Arial Narrow" w:hAnsi="Arial Narrow"/>
                <w:color w:val="000000"/>
                <w:sz w:val="16"/>
                <w:szCs w:val="16"/>
                <w:lang w:eastAsia="es-CO"/>
              </w:rPr>
            </w:pPr>
            <w:r w:rsidRPr="00231A2B">
              <w:rPr>
                <w:rFonts w:ascii="Arial Narrow" w:hAnsi="Arial Narrow"/>
                <w:color w:val="000000"/>
                <w:sz w:val="16"/>
                <w:szCs w:val="16"/>
                <w:lang w:eastAsia="es-CO"/>
              </w:rPr>
              <w:t>Esc. 2</w:t>
            </w:r>
          </w:p>
        </w:tc>
        <w:tc>
          <w:tcPr>
            <w:tcW w:w="725" w:type="dxa"/>
            <w:tcBorders>
              <w:top w:val="single" w:sz="8" w:space="0" w:color="auto"/>
              <w:left w:val="single" w:sz="8" w:space="0" w:color="auto"/>
              <w:bottom w:val="single" w:sz="4" w:space="0" w:color="auto"/>
              <w:right w:val="nil"/>
            </w:tcBorders>
            <w:shd w:val="clear" w:color="auto" w:fill="auto"/>
            <w:noWrap/>
            <w:vAlign w:val="bottom"/>
            <w:hideMark/>
          </w:tcPr>
          <w:p w14:paraId="40B3F3D6" w14:textId="77777777" w:rsidR="007968EC" w:rsidRPr="00231A2B" w:rsidRDefault="007968EC" w:rsidP="007968EC">
            <w:pPr>
              <w:jc w:val="right"/>
              <w:rPr>
                <w:rFonts w:ascii="Arial Narrow" w:hAnsi="Arial Narrow"/>
                <w:color w:val="000000"/>
                <w:sz w:val="16"/>
                <w:szCs w:val="16"/>
                <w:lang w:eastAsia="es-CO"/>
              </w:rPr>
            </w:pPr>
            <w:r w:rsidRPr="00231A2B">
              <w:rPr>
                <w:rFonts w:ascii="Arial Narrow" w:hAnsi="Arial Narrow"/>
                <w:color w:val="000000"/>
                <w:sz w:val="16"/>
                <w:szCs w:val="16"/>
                <w:lang w:eastAsia="es-CO"/>
              </w:rPr>
              <w:t>Esc. 3</w:t>
            </w:r>
          </w:p>
        </w:tc>
        <w:tc>
          <w:tcPr>
            <w:tcW w:w="846" w:type="dxa"/>
            <w:tcBorders>
              <w:top w:val="single" w:sz="8" w:space="0" w:color="auto"/>
              <w:left w:val="single" w:sz="8" w:space="0" w:color="auto"/>
              <w:bottom w:val="single" w:sz="4" w:space="0" w:color="auto"/>
              <w:right w:val="nil"/>
            </w:tcBorders>
            <w:shd w:val="clear" w:color="auto" w:fill="auto"/>
            <w:noWrap/>
            <w:vAlign w:val="bottom"/>
            <w:hideMark/>
          </w:tcPr>
          <w:p w14:paraId="529E2565" w14:textId="77777777" w:rsidR="007968EC" w:rsidRPr="00231A2B" w:rsidRDefault="007968EC" w:rsidP="007968EC">
            <w:pPr>
              <w:jc w:val="right"/>
              <w:rPr>
                <w:rFonts w:ascii="Arial Narrow" w:hAnsi="Arial Narrow"/>
                <w:color w:val="000000"/>
                <w:sz w:val="16"/>
                <w:szCs w:val="16"/>
                <w:lang w:eastAsia="es-CO"/>
              </w:rPr>
            </w:pPr>
            <w:r w:rsidRPr="00231A2B">
              <w:rPr>
                <w:rFonts w:ascii="Arial Narrow" w:hAnsi="Arial Narrow"/>
                <w:color w:val="000000"/>
                <w:sz w:val="16"/>
                <w:szCs w:val="16"/>
                <w:lang w:eastAsia="es-CO"/>
              </w:rPr>
              <w:t>Esc. 4</w:t>
            </w:r>
          </w:p>
        </w:tc>
        <w:tc>
          <w:tcPr>
            <w:tcW w:w="725" w:type="dxa"/>
            <w:tcBorders>
              <w:top w:val="single" w:sz="8" w:space="0" w:color="auto"/>
              <w:left w:val="single" w:sz="8" w:space="0" w:color="auto"/>
              <w:bottom w:val="single" w:sz="4" w:space="0" w:color="auto"/>
              <w:right w:val="nil"/>
            </w:tcBorders>
            <w:shd w:val="clear" w:color="auto" w:fill="auto"/>
            <w:noWrap/>
            <w:vAlign w:val="bottom"/>
            <w:hideMark/>
          </w:tcPr>
          <w:p w14:paraId="180D6691" w14:textId="77777777" w:rsidR="007968EC" w:rsidRPr="00231A2B" w:rsidRDefault="007968EC" w:rsidP="007968EC">
            <w:pPr>
              <w:jc w:val="right"/>
              <w:rPr>
                <w:rFonts w:ascii="Arial Narrow" w:hAnsi="Arial Narrow"/>
                <w:color w:val="000000"/>
                <w:sz w:val="16"/>
                <w:szCs w:val="16"/>
                <w:lang w:eastAsia="es-CO"/>
              </w:rPr>
            </w:pPr>
            <w:r w:rsidRPr="00231A2B">
              <w:rPr>
                <w:rFonts w:ascii="Arial Narrow" w:hAnsi="Arial Narrow"/>
                <w:color w:val="000000"/>
                <w:sz w:val="16"/>
                <w:szCs w:val="16"/>
                <w:lang w:eastAsia="es-CO"/>
              </w:rPr>
              <w:t>Esc. 5</w:t>
            </w:r>
          </w:p>
        </w:tc>
        <w:tc>
          <w:tcPr>
            <w:tcW w:w="725" w:type="dxa"/>
            <w:tcBorders>
              <w:top w:val="single" w:sz="8" w:space="0" w:color="auto"/>
              <w:left w:val="single" w:sz="8" w:space="0" w:color="auto"/>
              <w:bottom w:val="single" w:sz="4" w:space="0" w:color="auto"/>
              <w:right w:val="nil"/>
            </w:tcBorders>
            <w:shd w:val="clear" w:color="auto" w:fill="auto"/>
            <w:noWrap/>
            <w:vAlign w:val="bottom"/>
            <w:hideMark/>
          </w:tcPr>
          <w:p w14:paraId="5524781B" w14:textId="77777777" w:rsidR="007968EC" w:rsidRPr="00231A2B" w:rsidRDefault="007968EC" w:rsidP="007968EC">
            <w:pPr>
              <w:jc w:val="right"/>
              <w:rPr>
                <w:rFonts w:ascii="Arial Narrow" w:hAnsi="Arial Narrow"/>
                <w:color w:val="000000"/>
                <w:sz w:val="16"/>
                <w:szCs w:val="16"/>
                <w:lang w:eastAsia="es-CO"/>
              </w:rPr>
            </w:pPr>
            <w:r w:rsidRPr="00231A2B">
              <w:rPr>
                <w:rFonts w:ascii="Arial Narrow" w:hAnsi="Arial Narrow"/>
                <w:color w:val="000000"/>
                <w:sz w:val="16"/>
                <w:szCs w:val="16"/>
                <w:lang w:eastAsia="es-CO"/>
              </w:rPr>
              <w:t>Esc. 6</w:t>
            </w:r>
          </w:p>
        </w:tc>
        <w:tc>
          <w:tcPr>
            <w:tcW w:w="782" w:type="dxa"/>
            <w:tcBorders>
              <w:top w:val="single" w:sz="8" w:space="0" w:color="auto"/>
              <w:left w:val="single" w:sz="8" w:space="0" w:color="auto"/>
              <w:bottom w:val="single" w:sz="4" w:space="0" w:color="auto"/>
              <w:right w:val="nil"/>
            </w:tcBorders>
            <w:shd w:val="clear" w:color="auto" w:fill="auto"/>
            <w:noWrap/>
            <w:vAlign w:val="bottom"/>
            <w:hideMark/>
          </w:tcPr>
          <w:p w14:paraId="73207CD2" w14:textId="77777777" w:rsidR="007968EC" w:rsidRPr="00231A2B" w:rsidRDefault="007968EC" w:rsidP="007968EC">
            <w:pPr>
              <w:jc w:val="right"/>
              <w:rPr>
                <w:rFonts w:ascii="Arial Narrow" w:hAnsi="Arial Narrow"/>
                <w:color w:val="000000"/>
                <w:sz w:val="16"/>
                <w:szCs w:val="16"/>
                <w:lang w:eastAsia="es-CO"/>
              </w:rPr>
            </w:pPr>
            <w:r w:rsidRPr="00231A2B">
              <w:rPr>
                <w:rFonts w:ascii="Arial Narrow" w:hAnsi="Arial Narrow"/>
                <w:color w:val="000000"/>
                <w:sz w:val="16"/>
                <w:szCs w:val="16"/>
                <w:lang w:eastAsia="es-CO"/>
              </w:rPr>
              <w:t>Esc. 7</w:t>
            </w:r>
          </w:p>
        </w:tc>
        <w:tc>
          <w:tcPr>
            <w:tcW w:w="725" w:type="dxa"/>
            <w:tcBorders>
              <w:top w:val="single" w:sz="8" w:space="0" w:color="auto"/>
              <w:left w:val="single" w:sz="8" w:space="0" w:color="auto"/>
              <w:bottom w:val="single" w:sz="4" w:space="0" w:color="auto"/>
              <w:right w:val="nil"/>
            </w:tcBorders>
            <w:shd w:val="clear" w:color="auto" w:fill="auto"/>
            <w:noWrap/>
            <w:vAlign w:val="bottom"/>
            <w:hideMark/>
          </w:tcPr>
          <w:p w14:paraId="40617C66" w14:textId="77777777" w:rsidR="007968EC" w:rsidRPr="00231A2B" w:rsidRDefault="007968EC" w:rsidP="007968EC">
            <w:pPr>
              <w:jc w:val="right"/>
              <w:rPr>
                <w:rFonts w:ascii="Arial Narrow" w:hAnsi="Arial Narrow"/>
                <w:color w:val="000000"/>
                <w:sz w:val="16"/>
                <w:szCs w:val="16"/>
                <w:lang w:eastAsia="es-CO"/>
              </w:rPr>
            </w:pPr>
            <w:r w:rsidRPr="00231A2B">
              <w:rPr>
                <w:rFonts w:ascii="Arial Narrow" w:hAnsi="Arial Narrow"/>
                <w:color w:val="000000"/>
                <w:sz w:val="16"/>
                <w:szCs w:val="16"/>
                <w:lang w:eastAsia="es-CO"/>
              </w:rPr>
              <w:t>Esc. 8</w:t>
            </w:r>
          </w:p>
        </w:tc>
        <w:tc>
          <w:tcPr>
            <w:tcW w:w="78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6EE357C" w14:textId="77777777" w:rsidR="007968EC" w:rsidRPr="00231A2B" w:rsidRDefault="007968EC" w:rsidP="007968EC">
            <w:pPr>
              <w:jc w:val="right"/>
              <w:rPr>
                <w:rFonts w:ascii="Arial Narrow" w:hAnsi="Arial Narrow"/>
                <w:color w:val="000000"/>
                <w:sz w:val="16"/>
                <w:szCs w:val="16"/>
                <w:lang w:eastAsia="es-CO"/>
              </w:rPr>
            </w:pPr>
            <w:r w:rsidRPr="00231A2B">
              <w:rPr>
                <w:rFonts w:ascii="Arial Narrow" w:hAnsi="Arial Narrow"/>
                <w:color w:val="000000"/>
                <w:sz w:val="16"/>
                <w:szCs w:val="16"/>
                <w:lang w:eastAsia="es-CO"/>
              </w:rPr>
              <w:t>Esc. 9</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6CD7C" w14:textId="77777777" w:rsidR="007968EC" w:rsidRPr="00231A2B" w:rsidRDefault="007968EC" w:rsidP="007968EC">
            <w:pPr>
              <w:jc w:val="right"/>
              <w:rPr>
                <w:rFonts w:ascii="Arial Narrow" w:hAnsi="Arial Narrow"/>
                <w:color w:val="000000"/>
                <w:sz w:val="16"/>
                <w:szCs w:val="16"/>
                <w:lang w:eastAsia="es-CO"/>
              </w:rPr>
            </w:pPr>
            <w:r w:rsidRPr="00231A2B">
              <w:rPr>
                <w:rFonts w:ascii="Arial Narrow" w:hAnsi="Arial Narrow"/>
                <w:color w:val="000000"/>
                <w:sz w:val="16"/>
                <w:szCs w:val="16"/>
                <w:lang w:eastAsia="es-CO"/>
              </w:rPr>
              <w:t>Esc. 10</w:t>
            </w:r>
          </w:p>
        </w:tc>
      </w:tr>
      <w:tr w:rsidR="007968EC" w:rsidRPr="00231A2B" w14:paraId="251B54C3" w14:textId="77777777" w:rsidTr="007968EC">
        <w:trPr>
          <w:trHeight w:val="315"/>
        </w:trPr>
        <w:tc>
          <w:tcPr>
            <w:tcW w:w="825" w:type="dxa"/>
            <w:tcBorders>
              <w:top w:val="single" w:sz="4" w:space="0" w:color="auto"/>
              <w:left w:val="single" w:sz="8" w:space="0" w:color="000000"/>
              <w:bottom w:val="double" w:sz="6" w:space="0" w:color="000000"/>
              <w:right w:val="single" w:sz="4" w:space="0" w:color="auto"/>
            </w:tcBorders>
            <w:shd w:val="clear" w:color="auto" w:fill="auto"/>
            <w:vAlign w:val="center"/>
            <w:hideMark/>
          </w:tcPr>
          <w:p w14:paraId="42775FA8" w14:textId="77777777" w:rsidR="007968EC" w:rsidRPr="00231A2B" w:rsidRDefault="007968EC" w:rsidP="007968EC">
            <w:pPr>
              <w:jc w:val="center"/>
              <w:rPr>
                <w:rFonts w:ascii="Arial Narrow" w:hAnsi="Arial Narrow"/>
                <w:color w:val="000000"/>
                <w:sz w:val="16"/>
                <w:szCs w:val="16"/>
                <w:lang w:eastAsia="es-CO"/>
              </w:rPr>
            </w:pPr>
            <w:r w:rsidRPr="00231A2B">
              <w:rPr>
                <w:rFonts w:ascii="Arial Narrow" w:hAnsi="Arial Narrow"/>
                <w:color w:val="000000"/>
                <w:sz w:val="16"/>
                <w:szCs w:val="16"/>
                <w:lang w:eastAsia="es-CO"/>
              </w:rPr>
              <w:t>H1</w:t>
            </w:r>
          </w:p>
        </w:tc>
        <w:tc>
          <w:tcPr>
            <w:tcW w:w="779" w:type="dxa"/>
            <w:tcBorders>
              <w:top w:val="single" w:sz="4" w:space="0" w:color="auto"/>
              <w:left w:val="single" w:sz="4" w:space="0" w:color="auto"/>
              <w:bottom w:val="single" w:sz="4" w:space="0" w:color="auto"/>
              <w:right w:val="single" w:sz="4" w:space="0" w:color="auto"/>
            </w:tcBorders>
            <w:shd w:val="clear" w:color="auto" w:fill="auto"/>
            <w:noWrap/>
            <w:hideMark/>
          </w:tcPr>
          <w:p w14:paraId="789D970E"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olor w:val="000000"/>
                <w:sz w:val="16"/>
                <w:szCs w:val="16"/>
                <w:lang w:eastAsia="es-CO"/>
              </w:rPr>
              <w:t>0.99%</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8EAEC"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olor w:val="000000"/>
                <w:sz w:val="16"/>
                <w:szCs w:val="16"/>
                <w:lang w:eastAsia="es-CO"/>
              </w:rPr>
              <w:t>-0.13%</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93CDE"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olor w:val="000000"/>
                <w:sz w:val="16"/>
                <w:szCs w:val="16"/>
                <w:lang w:eastAsia="es-CO"/>
              </w:rPr>
              <w:t>0.45%</w:t>
            </w:r>
          </w:p>
        </w:tc>
        <w:tc>
          <w:tcPr>
            <w:tcW w:w="846" w:type="dxa"/>
            <w:tcBorders>
              <w:top w:val="single" w:sz="4" w:space="0" w:color="auto"/>
              <w:left w:val="single" w:sz="4" w:space="0" w:color="auto"/>
              <w:bottom w:val="single" w:sz="4" w:space="0" w:color="auto"/>
              <w:right w:val="single" w:sz="4" w:space="0" w:color="auto"/>
            </w:tcBorders>
            <w:shd w:val="clear" w:color="auto" w:fill="auto"/>
            <w:noWrap/>
            <w:hideMark/>
          </w:tcPr>
          <w:p w14:paraId="20410863" w14:textId="77777777" w:rsidR="007968EC" w:rsidRPr="00B65657" w:rsidRDefault="007968EC" w:rsidP="007968EC">
            <w:pPr>
              <w:jc w:val="center"/>
              <w:rPr>
                <w:rFonts w:ascii="Arial Narrow" w:hAnsi="Arial Narrow" w:cs="Calibri"/>
                <w:color w:val="000000"/>
                <w:sz w:val="16"/>
                <w:szCs w:val="16"/>
              </w:rPr>
            </w:pPr>
            <w:r w:rsidRPr="00B65657">
              <w:rPr>
                <w:rFonts w:ascii="Arial Narrow" w:hAnsi="Arial Narrow" w:cs="Calibri"/>
                <w:color w:val="000000"/>
                <w:sz w:val="16"/>
                <w:szCs w:val="16"/>
              </w:rPr>
              <w:t>0.13%</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B7B7A"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-0.99%</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CFC64"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-0.45%</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B78F1"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0.54%</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BB5FB"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-0.54%</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11E8C"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0.06%</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DBBD2"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-0.06%</w:t>
            </w:r>
          </w:p>
        </w:tc>
      </w:tr>
      <w:tr w:rsidR="007968EC" w:rsidRPr="00231A2B" w14:paraId="666E4046" w14:textId="77777777" w:rsidTr="007968EC">
        <w:trPr>
          <w:trHeight w:val="330"/>
        </w:trPr>
        <w:tc>
          <w:tcPr>
            <w:tcW w:w="825" w:type="dxa"/>
            <w:tcBorders>
              <w:top w:val="nil"/>
              <w:left w:val="single" w:sz="8" w:space="0" w:color="000000"/>
              <w:bottom w:val="double" w:sz="6" w:space="0" w:color="000000"/>
              <w:right w:val="single" w:sz="4" w:space="0" w:color="auto"/>
            </w:tcBorders>
            <w:shd w:val="clear" w:color="auto" w:fill="auto"/>
            <w:vAlign w:val="center"/>
            <w:hideMark/>
          </w:tcPr>
          <w:p w14:paraId="248F7EC7" w14:textId="77777777" w:rsidR="007968EC" w:rsidRPr="00231A2B" w:rsidRDefault="007968EC" w:rsidP="007968EC">
            <w:pPr>
              <w:jc w:val="center"/>
              <w:rPr>
                <w:rFonts w:ascii="Arial Narrow" w:hAnsi="Arial Narrow"/>
                <w:color w:val="000000"/>
                <w:sz w:val="16"/>
                <w:szCs w:val="16"/>
                <w:lang w:eastAsia="es-CO"/>
              </w:rPr>
            </w:pPr>
            <w:r w:rsidRPr="00231A2B">
              <w:rPr>
                <w:rFonts w:ascii="Arial Narrow" w:hAnsi="Arial Narrow"/>
                <w:color w:val="000000"/>
                <w:sz w:val="16"/>
                <w:szCs w:val="16"/>
                <w:lang w:eastAsia="es-CO"/>
              </w:rPr>
              <w:t>H2</w:t>
            </w:r>
          </w:p>
        </w:tc>
        <w:tc>
          <w:tcPr>
            <w:tcW w:w="779" w:type="dxa"/>
            <w:tcBorders>
              <w:top w:val="single" w:sz="4" w:space="0" w:color="auto"/>
              <w:left w:val="single" w:sz="4" w:space="0" w:color="auto"/>
              <w:bottom w:val="single" w:sz="4" w:space="0" w:color="auto"/>
              <w:right w:val="single" w:sz="4" w:space="0" w:color="auto"/>
            </w:tcBorders>
            <w:shd w:val="clear" w:color="auto" w:fill="auto"/>
            <w:noWrap/>
            <w:hideMark/>
          </w:tcPr>
          <w:p w14:paraId="2FFF6C24"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olor w:val="000000"/>
                <w:sz w:val="16"/>
                <w:szCs w:val="16"/>
                <w:lang w:eastAsia="es-CO"/>
              </w:rPr>
              <w:t>1.94%</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45E5E"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olor w:val="000000"/>
                <w:sz w:val="16"/>
                <w:szCs w:val="16"/>
                <w:lang w:eastAsia="es-CO"/>
              </w:rPr>
              <w:t>0.67%</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52C50"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olor w:val="000000"/>
                <w:sz w:val="16"/>
                <w:szCs w:val="16"/>
                <w:lang w:eastAsia="es-CO"/>
              </w:rPr>
              <w:t>1.31%</w:t>
            </w:r>
          </w:p>
        </w:tc>
        <w:tc>
          <w:tcPr>
            <w:tcW w:w="846" w:type="dxa"/>
            <w:tcBorders>
              <w:top w:val="single" w:sz="4" w:space="0" w:color="auto"/>
              <w:left w:val="single" w:sz="4" w:space="0" w:color="auto"/>
              <w:bottom w:val="single" w:sz="4" w:space="0" w:color="auto"/>
              <w:right w:val="single" w:sz="4" w:space="0" w:color="auto"/>
            </w:tcBorders>
            <w:shd w:val="clear" w:color="auto" w:fill="auto"/>
            <w:noWrap/>
            <w:hideMark/>
          </w:tcPr>
          <w:p w14:paraId="7981F61D" w14:textId="77777777" w:rsidR="007968EC" w:rsidRPr="00B65657" w:rsidRDefault="007968EC" w:rsidP="007968EC">
            <w:pPr>
              <w:jc w:val="center"/>
              <w:rPr>
                <w:rFonts w:ascii="Arial Narrow" w:hAnsi="Arial Narrow" w:cs="Calibri"/>
                <w:color w:val="000000"/>
                <w:sz w:val="16"/>
                <w:szCs w:val="16"/>
              </w:rPr>
            </w:pPr>
            <w:r w:rsidRPr="00B65657">
              <w:rPr>
                <w:rFonts w:ascii="Arial Narrow" w:hAnsi="Arial Narrow" w:cs="Calibri"/>
                <w:color w:val="000000"/>
                <w:sz w:val="16"/>
                <w:szCs w:val="16"/>
              </w:rPr>
              <w:t>-0.67%</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BBCE3"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-1.94%</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9F7CD"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-1.31%</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45B2C"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0.67%</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A8FD0"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-0.67%</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BD676"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-0.80%</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F33AC"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0.80%</w:t>
            </w:r>
          </w:p>
        </w:tc>
      </w:tr>
      <w:tr w:rsidR="007968EC" w:rsidRPr="00231A2B" w14:paraId="039C8A77" w14:textId="77777777" w:rsidTr="007968EC">
        <w:trPr>
          <w:trHeight w:val="330"/>
        </w:trPr>
        <w:tc>
          <w:tcPr>
            <w:tcW w:w="825" w:type="dxa"/>
            <w:tcBorders>
              <w:top w:val="nil"/>
              <w:left w:val="single" w:sz="8" w:space="0" w:color="000000"/>
              <w:bottom w:val="double" w:sz="6" w:space="0" w:color="000000"/>
              <w:right w:val="single" w:sz="4" w:space="0" w:color="auto"/>
            </w:tcBorders>
            <w:shd w:val="clear" w:color="auto" w:fill="auto"/>
            <w:vAlign w:val="center"/>
            <w:hideMark/>
          </w:tcPr>
          <w:p w14:paraId="2EA4A1C3" w14:textId="77777777" w:rsidR="007968EC" w:rsidRPr="00231A2B" w:rsidRDefault="007968EC" w:rsidP="007968EC">
            <w:pPr>
              <w:jc w:val="center"/>
              <w:rPr>
                <w:rFonts w:ascii="Arial Narrow" w:hAnsi="Arial Narrow"/>
                <w:color w:val="000000"/>
                <w:sz w:val="16"/>
                <w:szCs w:val="16"/>
                <w:lang w:eastAsia="es-CO"/>
              </w:rPr>
            </w:pPr>
            <w:r w:rsidRPr="00231A2B">
              <w:rPr>
                <w:rFonts w:ascii="Arial Narrow" w:hAnsi="Arial Narrow"/>
                <w:color w:val="000000"/>
                <w:sz w:val="16"/>
                <w:szCs w:val="16"/>
                <w:lang w:eastAsia="es-CO"/>
              </w:rPr>
              <w:t>H3</w:t>
            </w:r>
          </w:p>
        </w:tc>
        <w:tc>
          <w:tcPr>
            <w:tcW w:w="779" w:type="dxa"/>
            <w:tcBorders>
              <w:top w:val="single" w:sz="4" w:space="0" w:color="auto"/>
              <w:left w:val="single" w:sz="4" w:space="0" w:color="auto"/>
              <w:bottom w:val="single" w:sz="4" w:space="0" w:color="auto"/>
              <w:right w:val="single" w:sz="4" w:space="0" w:color="auto"/>
            </w:tcBorders>
            <w:shd w:val="clear" w:color="auto" w:fill="auto"/>
            <w:noWrap/>
            <w:hideMark/>
          </w:tcPr>
          <w:p w14:paraId="7CDE71A1"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olor w:val="000000"/>
                <w:sz w:val="16"/>
                <w:szCs w:val="16"/>
                <w:lang w:eastAsia="es-CO"/>
              </w:rPr>
              <w:t>2.64%</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A2BBD"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olor w:val="000000"/>
                <w:sz w:val="16"/>
                <w:szCs w:val="16"/>
                <w:lang w:eastAsia="es-CO"/>
              </w:rPr>
              <w:t>3.10%</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CF46A"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olor w:val="000000"/>
                <w:sz w:val="16"/>
                <w:szCs w:val="16"/>
                <w:lang w:eastAsia="es-CO"/>
              </w:rPr>
              <w:t>2.82%</w:t>
            </w:r>
          </w:p>
        </w:tc>
        <w:tc>
          <w:tcPr>
            <w:tcW w:w="846" w:type="dxa"/>
            <w:tcBorders>
              <w:top w:val="single" w:sz="4" w:space="0" w:color="auto"/>
              <w:left w:val="single" w:sz="4" w:space="0" w:color="auto"/>
              <w:bottom w:val="single" w:sz="4" w:space="0" w:color="auto"/>
              <w:right w:val="single" w:sz="4" w:space="0" w:color="auto"/>
            </w:tcBorders>
            <w:shd w:val="clear" w:color="auto" w:fill="auto"/>
            <w:noWrap/>
            <w:hideMark/>
          </w:tcPr>
          <w:p w14:paraId="10A938A3" w14:textId="77777777" w:rsidR="007968EC" w:rsidRPr="00B65657" w:rsidRDefault="007968EC" w:rsidP="007968EC">
            <w:pPr>
              <w:jc w:val="center"/>
              <w:rPr>
                <w:rFonts w:ascii="Arial Narrow" w:hAnsi="Arial Narrow" w:cs="Calibri"/>
                <w:color w:val="000000"/>
                <w:sz w:val="16"/>
                <w:szCs w:val="16"/>
              </w:rPr>
            </w:pPr>
            <w:r w:rsidRPr="00B65657">
              <w:rPr>
                <w:rFonts w:ascii="Arial Narrow" w:hAnsi="Arial Narrow" w:cs="Calibri"/>
                <w:color w:val="000000"/>
                <w:sz w:val="16"/>
                <w:szCs w:val="16"/>
              </w:rPr>
              <w:t>-3.10%</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E8C8C"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-2.64%</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2ADB3"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-2.82%</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E99DF"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0.64%</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1E4CB"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-0.64%</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2FEFC"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-2.60%</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CEF14"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2.60%</w:t>
            </w:r>
          </w:p>
        </w:tc>
      </w:tr>
      <w:tr w:rsidR="007968EC" w:rsidRPr="00231A2B" w14:paraId="3BE699F3" w14:textId="77777777" w:rsidTr="007968EC">
        <w:trPr>
          <w:trHeight w:val="330"/>
        </w:trPr>
        <w:tc>
          <w:tcPr>
            <w:tcW w:w="825" w:type="dxa"/>
            <w:tcBorders>
              <w:top w:val="nil"/>
              <w:left w:val="single" w:sz="8" w:space="0" w:color="000000"/>
              <w:bottom w:val="double" w:sz="6" w:space="0" w:color="000000"/>
              <w:right w:val="single" w:sz="4" w:space="0" w:color="auto"/>
            </w:tcBorders>
            <w:shd w:val="clear" w:color="auto" w:fill="auto"/>
            <w:vAlign w:val="center"/>
            <w:hideMark/>
          </w:tcPr>
          <w:p w14:paraId="2778B38D" w14:textId="77777777" w:rsidR="007968EC" w:rsidRPr="00231A2B" w:rsidRDefault="007968EC" w:rsidP="007968EC">
            <w:pPr>
              <w:jc w:val="center"/>
              <w:rPr>
                <w:rFonts w:ascii="Arial Narrow" w:hAnsi="Arial Narrow"/>
                <w:color w:val="000000"/>
                <w:sz w:val="16"/>
                <w:szCs w:val="16"/>
                <w:lang w:eastAsia="es-CO"/>
              </w:rPr>
            </w:pPr>
            <w:r w:rsidRPr="00231A2B">
              <w:rPr>
                <w:rFonts w:ascii="Arial Narrow" w:hAnsi="Arial Narrow"/>
                <w:color w:val="000000"/>
                <w:sz w:val="16"/>
                <w:szCs w:val="16"/>
                <w:lang w:eastAsia="es-CO"/>
              </w:rPr>
              <w:t>H4</w:t>
            </w:r>
          </w:p>
        </w:tc>
        <w:tc>
          <w:tcPr>
            <w:tcW w:w="779" w:type="dxa"/>
            <w:tcBorders>
              <w:top w:val="single" w:sz="4" w:space="0" w:color="auto"/>
              <w:left w:val="single" w:sz="4" w:space="0" w:color="auto"/>
              <w:bottom w:val="single" w:sz="4" w:space="0" w:color="auto"/>
              <w:right w:val="single" w:sz="4" w:space="0" w:color="auto"/>
            </w:tcBorders>
            <w:shd w:val="clear" w:color="auto" w:fill="auto"/>
            <w:noWrap/>
            <w:hideMark/>
          </w:tcPr>
          <w:p w14:paraId="5C8CE42A"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olor w:val="000000"/>
                <w:sz w:val="16"/>
                <w:szCs w:val="16"/>
                <w:lang w:eastAsia="es-CO"/>
              </w:rPr>
              <w:t>3.25%</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A0516"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olor w:val="000000"/>
                <w:sz w:val="16"/>
                <w:szCs w:val="16"/>
                <w:lang w:eastAsia="es-CO"/>
              </w:rPr>
              <w:t>5.47%</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1F111"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olor w:val="000000"/>
                <w:sz w:val="16"/>
                <w:szCs w:val="16"/>
                <w:lang w:eastAsia="es-CO"/>
              </w:rPr>
              <w:t>4.36%</w:t>
            </w:r>
          </w:p>
        </w:tc>
        <w:tc>
          <w:tcPr>
            <w:tcW w:w="846" w:type="dxa"/>
            <w:tcBorders>
              <w:top w:val="single" w:sz="4" w:space="0" w:color="auto"/>
              <w:left w:val="single" w:sz="4" w:space="0" w:color="auto"/>
              <w:bottom w:val="single" w:sz="4" w:space="0" w:color="auto"/>
              <w:right w:val="single" w:sz="4" w:space="0" w:color="auto"/>
            </w:tcBorders>
            <w:shd w:val="clear" w:color="auto" w:fill="auto"/>
            <w:noWrap/>
            <w:hideMark/>
          </w:tcPr>
          <w:p w14:paraId="1DC9C503" w14:textId="77777777" w:rsidR="007968EC" w:rsidRPr="00B65657" w:rsidRDefault="007968EC" w:rsidP="007968EC">
            <w:pPr>
              <w:jc w:val="center"/>
              <w:rPr>
                <w:rFonts w:ascii="Arial Narrow" w:hAnsi="Arial Narrow" w:cs="Calibri"/>
                <w:color w:val="000000"/>
                <w:sz w:val="16"/>
                <w:szCs w:val="16"/>
              </w:rPr>
            </w:pPr>
            <w:r w:rsidRPr="00B65657">
              <w:rPr>
                <w:rFonts w:ascii="Arial Narrow" w:hAnsi="Arial Narrow" w:cs="Calibri"/>
                <w:color w:val="000000"/>
                <w:sz w:val="16"/>
                <w:szCs w:val="16"/>
              </w:rPr>
              <w:t>-5.47%</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7C188"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-3.25%</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85626"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-4.36%</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DBE2E"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-1.11%</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5C467"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1.11%</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C6727"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-3.15%</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E24CC"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3.15%</w:t>
            </w:r>
          </w:p>
        </w:tc>
      </w:tr>
      <w:tr w:rsidR="007968EC" w:rsidRPr="00231A2B" w14:paraId="2DA02F8D" w14:textId="77777777" w:rsidTr="007968EC">
        <w:trPr>
          <w:trHeight w:val="330"/>
        </w:trPr>
        <w:tc>
          <w:tcPr>
            <w:tcW w:w="825" w:type="dxa"/>
            <w:tcBorders>
              <w:top w:val="nil"/>
              <w:left w:val="single" w:sz="8" w:space="0" w:color="000000"/>
              <w:bottom w:val="double" w:sz="6" w:space="0" w:color="000000"/>
              <w:right w:val="single" w:sz="4" w:space="0" w:color="auto"/>
            </w:tcBorders>
            <w:shd w:val="clear" w:color="auto" w:fill="auto"/>
            <w:vAlign w:val="center"/>
            <w:hideMark/>
          </w:tcPr>
          <w:p w14:paraId="18ACD213" w14:textId="77777777" w:rsidR="007968EC" w:rsidRPr="00231A2B" w:rsidRDefault="007968EC" w:rsidP="007968EC">
            <w:pPr>
              <w:jc w:val="center"/>
              <w:rPr>
                <w:rFonts w:ascii="Arial Narrow" w:hAnsi="Arial Narrow"/>
                <w:color w:val="000000"/>
                <w:sz w:val="16"/>
                <w:szCs w:val="16"/>
                <w:lang w:eastAsia="es-CO"/>
              </w:rPr>
            </w:pPr>
            <w:r w:rsidRPr="00231A2B">
              <w:rPr>
                <w:rFonts w:ascii="Arial Narrow" w:hAnsi="Arial Narrow"/>
                <w:color w:val="000000"/>
                <w:sz w:val="16"/>
                <w:szCs w:val="16"/>
                <w:lang w:eastAsia="es-CO"/>
              </w:rPr>
              <w:t>H5</w:t>
            </w:r>
          </w:p>
        </w:tc>
        <w:tc>
          <w:tcPr>
            <w:tcW w:w="779" w:type="dxa"/>
            <w:tcBorders>
              <w:top w:val="single" w:sz="4" w:space="0" w:color="auto"/>
              <w:left w:val="single" w:sz="4" w:space="0" w:color="auto"/>
              <w:bottom w:val="single" w:sz="4" w:space="0" w:color="auto"/>
              <w:right w:val="single" w:sz="4" w:space="0" w:color="auto"/>
            </w:tcBorders>
            <w:shd w:val="clear" w:color="auto" w:fill="auto"/>
            <w:noWrap/>
            <w:hideMark/>
          </w:tcPr>
          <w:p w14:paraId="3903F1BA"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olor w:val="000000"/>
                <w:sz w:val="16"/>
                <w:szCs w:val="16"/>
                <w:lang w:eastAsia="es-CO"/>
              </w:rPr>
              <w:t>4.11%</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D49B4"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olor w:val="000000"/>
                <w:sz w:val="16"/>
                <w:szCs w:val="16"/>
                <w:lang w:eastAsia="es-CO"/>
              </w:rPr>
              <w:t>7.70%</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17621"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olor w:val="000000"/>
                <w:sz w:val="16"/>
                <w:szCs w:val="16"/>
                <w:lang w:eastAsia="es-CO"/>
              </w:rPr>
              <w:t>5.63%</w:t>
            </w:r>
          </w:p>
        </w:tc>
        <w:tc>
          <w:tcPr>
            <w:tcW w:w="846" w:type="dxa"/>
            <w:tcBorders>
              <w:top w:val="single" w:sz="4" w:space="0" w:color="auto"/>
              <w:left w:val="single" w:sz="4" w:space="0" w:color="auto"/>
              <w:bottom w:val="single" w:sz="4" w:space="0" w:color="auto"/>
              <w:right w:val="single" w:sz="4" w:space="0" w:color="auto"/>
            </w:tcBorders>
            <w:shd w:val="clear" w:color="auto" w:fill="auto"/>
            <w:noWrap/>
            <w:hideMark/>
          </w:tcPr>
          <w:p w14:paraId="647D8D81" w14:textId="77777777" w:rsidR="007968EC" w:rsidRPr="00B65657" w:rsidRDefault="007968EC" w:rsidP="007968EC">
            <w:pPr>
              <w:jc w:val="center"/>
              <w:rPr>
                <w:rFonts w:ascii="Arial Narrow" w:hAnsi="Arial Narrow" w:cs="Calibri"/>
                <w:color w:val="000000"/>
                <w:sz w:val="16"/>
                <w:szCs w:val="16"/>
              </w:rPr>
            </w:pPr>
            <w:r w:rsidRPr="00B65657">
              <w:rPr>
                <w:rFonts w:ascii="Arial Narrow" w:hAnsi="Arial Narrow" w:cs="Calibri"/>
                <w:color w:val="000000"/>
                <w:sz w:val="16"/>
                <w:szCs w:val="16"/>
              </w:rPr>
              <w:t>-7.70%</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A6C93"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-4.11%</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41920"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-5.63%</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48C50"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-1.52%</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78891"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1.52%</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F02AA"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-3.13%</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5DB04"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3.13%</w:t>
            </w:r>
          </w:p>
        </w:tc>
      </w:tr>
      <w:tr w:rsidR="007968EC" w:rsidRPr="00231A2B" w14:paraId="26E639BE" w14:textId="77777777" w:rsidTr="007968EC">
        <w:trPr>
          <w:trHeight w:val="330"/>
        </w:trPr>
        <w:tc>
          <w:tcPr>
            <w:tcW w:w="825" w:type="dxa"/>
            <w:tcBorders>
              <w:top w:val="nil"/>
              <w:left w:val="single" w:sz="8" w:space="0" w:color="000000"/>
              <w:bottom w:val="double" w:sz="6" w:space="0" w:color="000000"/>
              <w:right w:val="single" w:sz="4" w:space="0" w:color="auto"/>
            </w:tcBorders>
            <w:shd w:val="clear" w:color="auto" w:fill="auto"/>
            <w:vAlign w:val="center"/>
            <w:hideMark/>
          </w:tcPr>
          <w:p w14:paraId="754D11CE" w14:textId="77777777" w:rsidR="007968EC" w:rsidRPr="00231A2B" w:rsidRDefault="007968EC" w:rsidP="007968EC">
            <w:pPr>
              <w:jc w:val="center"/>
              <w:rPr>
                <w:rFonts w:ascii="Arial Narrow" w:hAnsi="Arial Narrow"/>
                <w:color w:val="000000"/>
                <w:sz w:val="16"/>
                <w:szCs w:val="16"/>
                <w:lang w:eastAsia="es-CO"/>
              </w:rPr>
            </w:pPr>
            <w:r w:rsidRPr="00231A2B">
              <w:rPr>
                <w:rFonts w:ascii="Arial Narrow" w:hAnsi="Arial Narrow"/>
                <w:color w:val="000000"/>
                <w:sz w:val="16"/>
                <w:szCs w:val="16"/>
                <w:lang w:eastAsia="es-CO"/>
              </w:rPr>
              <w:lastRenderedPageBreak/>
              <w:t>H6</w:t>
            </w:r>
          </w:p>
        </w:tc>
        <w:tc>
          <w:tcPr>
            <w:tcW w:w="779" w:type="dxa"/>
            <w:tcBorders>
              <w:top w:val="single" w:sz="4" w:space="0" w:color="auto"/>
              <w:left w:val="single" w:sz="4" w:space="0" w:color="auto"/>
              <w:bottom w:val="single" w:sz="4" w:space="0" w:color="auto"/>
              <w:right w:val="single" w:sz="4" w:space="0" w:color="auto"/>
            </w:tcBorders>
            <w:shd w:val="clear" w:color="auto" w:fill="auto"/>
            <w:noWrap/>
            <w:hideMark/>
          </w:tcPr>
          <w:p w14:paraId="28B10705"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olor w:val="000000"/>
                <w:sz w:val="16"/>
                <w:szCs w:val="16"/>
                <w:lang w:eastAsia="es-CO"/>
              </w:rPr>
              <w:t>5.49%</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715F9"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olor w:val="000000"/>
                <w:sz w:val="16"/>
                <w:szCs w:val="16"/>
                <w:lang w:eastAsia="es-CO"/>
              </w:rPr>
              <w:t>10.90%</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2AC0D"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olor w:val="000000"/>
                <w:sz w:val="16"/>
                <w:szCs w:val="16"/>
                <w:lang w:eastAsia="es-CO"/>
              </w:rPr>
              <w:t>6.91%</w:t>
            </w:r>
          </w:p>
        </w:tc>
        <w:tc>
          <w:tcPr>
            <w:tcW w:w="846" w:type="dxa"/>
            <w:tcBorders>
              <w:top w:val="single" w:sz="4" w:space="0" w:color="auto"/>
              <w:left w:val="single" w:sz="4" w:space="0" w:color="auto"/>
              <w:bottom w:val="single" w:sz="4" w:space="0" w:color="auto"/>
              <w:right w:val="single" w:sz="4" w:space="0" w:color="auto"/>
            </w:tcBorders>
            <w:shd w:val="clear" w:color="auto" w:fill="auto"/>
            <w:noWrap/>
            <w:hideMark/>
          </w:tcPr>
          <w:p w14:paraId="7A4F4A35" w14:textId="77777777" w:rsidR="007968EC" w:rsidRPr="00B65657" w:rsidRDefault="007968EC" w:rsidP="007968EC">
            <w:pPr>
              <w:jc w:val="center"/>
              <w:rPr>
                <w:rFonts w:ascii="Arial Narrow" w:hAnsi="Arial Narrow" w:cs="Calibri"/>
                <w:color w:val="000000"/>
                <w:sz w:val="16"/>
                <w:szCs w:val="16"/>
              </w:rPr>
            </w:pPr>
            <w:r w:rsidRPr="00B65657">
              <w:rPr>
                <w:rFonts w:ascii="Arial Narrow" w:hAnsi="Arial Narrow" w:cs="Calibri"/>
                <w:color w:val="000000"/>
                <w:sz w:val="16"/>
                <w:szCs w:val="16"/>
              </w:rPr>
              <w:t>-10.90%</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ECB23"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-5.49%</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3EF88"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-6.91%</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90AE1"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-1.56%</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2FE61"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1.56%</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5A242"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2.99%</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EAD2C"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-2.99%</w:t>
            </w:r>
          </w:p>
        </w:tc>
      </w:tr>
      <w:tr w:rsidR="007968EC" w:rsidRPr="00231A2B" w14:paraId="6247C0ED" w14:textId="77777777" w:rsidTr="007968EC">
        <w:trPr>
          <w:trHeight w:val="330"/>
        </w:trPr>
        <w:tc>
          <w:tcPr>
            <w:tcW w:w="825" w:type="dxa"/>
            <w:tcBorders>
              <w:top w:val="nil"/>
              <w:left w:val="single" w:sz="8" w:space="0" w:color="000000"/>
              <w:bottom w:val="double" w:sz="6" w:space="0" w:color="000000"/>
              <w:right w:val="single" w:sz="4" w:space="0" w:color="auto"/>
            </w:tcBorders>
            <w:shd w:val="clear" w:color="auto" w:fill="auto"/>
            <w:vAlign w:val="center"/>
            <w:hideMark/>
          </w:tcPr>
          <w:p w14:paraId="6941EFCF" w14:textId="77777777" w:rsidR="007968EC" w:rsidRPr="00231A2B" w:rsidRDefault="007968EC" w:rsidP="007968EC">
            <w:pPr>
              <w:jc w:val="center"/>
              <w:rPr>
                <w:rFonts w:ascii="Arial Narrow" w:hAnsi="Arial Narrow"/>
                <w:color w:val="000000"/>
                <w:sz w:val="16"/>
                <w:szCs w:val="16"/>
                <w:lang w:eastAsia="es-CO"/>
              </w:rPr>
            </w:pPr>
            <w:r w:rsidRPr="00231A2B">
              <w:rPr>
                <w:rFonts w:ascii="Arial Narrow" w:hAnsi="Arial Narrow"/>
                <w:color w:val="000000"/>
                <w:sz w:val="16"/>
                <w:szCs w:val="16"/>
                <w:lang w:eastAsia="es-CO"/>
              </w:rPr>
              <w:t>H7</w:t>
            </w:r>
          </w:p>
        </w:tc>
        <w:tc>
          <w:tcPr>
            <w:tcW w:w="779" w:type="dxa"/>
            <w:tcBorders>
              <w:top w:val="single" w:sz="4" w:space="0" w:color="auto"/>
              <w:left w:val="single" w:sz="4" w:space="0" w:color="auto"/>
              <w:bottom w:val="single" w:sz="4" w:space="0" w:color="auto"/>
              <w:right w:val="single" w:sz="4" w:space="0" w:color="auto"/>
            </w:tcBorders>
            <w:shd w:val="clear" w:color="auto" w:fill="auto"/>
            <w:noWrap/>
            <w:hideMark/>
          </w:tcPr>
          <w:p w14:paraId="2199C479"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olor w:val="000000"/>
                <w:sz w:val="16"/>
                <w:szCs w:val="16"/>
                <w:lang w:eastAsia="es-CO"/>
              </w:rPr>
              <w:t>6.10%</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31B7E"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olor w:val="000000"/>
                <w:sz w:val="16"/>
                <w:szCs w:val="16"/>
                <w:lang w:eastAsia="es-CO"/>
              </w:rPr>
              <w:t>8.34%</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279D4"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olor w:val="000000"/>
                <w:sz w:val="16"/>
                <w:szCs w:val="16"/>
                <w:lang w:eastAsia="es-CO"/>
              </w:rPr>
              <w:t>7.09%</w:t>
            </w:r>
          </w:p>
        </w:tc>
        <w:tc>
          <w:tcPr>
            <w:tcW w:w="846" w:type="dxa"/>
            <w:tcBorders>
              <w:top w:val="single" w:sz="4" w:space="0" w:color="auto"/>
              <w:left w:val="single" w:sz="4" w:space="0" w:color="auto"/>
              <w:bottom w:val="single" w:sz="4" w:space="0" w:color="auto"/>
              <w:right w:val="single" w:sz="4" w:space="0" w:color="auto"/>
            </w:tcBorders>
            <w:shd w:val="clear" w:color="auto" w:fill="auto"/>
            <w:noWrap/>
            <w:hideMark/>
          </w:tcPr>
          <w:p w14:paraId="72D897AC" w14:textId="77777777" w:rsidR="007968EC" w:rsidRPr="00B65657" w:rsidRDefault="007968EC" w:rsidP="007968EC">
            <w:pPr>
              <w:jc w:val="center"/>
              <w:rPr>
                <w:rFonts w:ascii="Arial Narrow" w:hAnsi="Arial Narrow" w:cs="Calibri"/>
                <w:color w:val="000000"/>
                <w:sz w:val="16"/>
                <w:szCs w:val="16"/>
              </w:rPr>
            </w:pPr>
            <w:r w:rsidRPr="00B65657">
              <w:rPr>
                <w:rFonts w:ascii="Arial Narrow" w:hAnsi="Arial Narrow" w:cs="Calibri"/>
                <w:color w:val="000000"/>
                <w:sz w:val="16"/>
                <w:szCs w:val="16"/>
              </w:rPr>
              <w:t>-8.34%</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FA3A2"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-6.10%</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56B52"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-7.09%</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3112B"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-1.43%</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65326"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1.43%</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098F2"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18.30%</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841F9"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-18.30%</w:t>
            </w:r>
          </w:p>
        </w:tc>
      </w:tr>
      <w:tr w:rsidR="007968EC" w:rsidRPr="00231A2B" w14:paraId="5145A1FE" w14:textId="77777777" w:rsidTr="007968EC">
        <w:trPr>
          <w:trHeight w:val="330"/>
        </w:trPr>
        <w:tc>
          <w:tcPr>
            <w:tcW w:w="825" w:type="dxa"/>
            <w:tcBorders>
              <w:top w:val="nil"/>
              <w:left w:val="single" w:sz="8" w:space="0" w:color="000000"/>
              <w:bottom w:val="single" w:sz="8" w:space="0" w:color="000000"/>
              <w:right w:val="single" w:sz="4" w:space="0" w:color="auto"/>
            </w:tcBorders>
            <w:shd w:val="clear" w:color="auto" w:fill="auto"/>
            <w:vAlign w:val="center"/>
            <w:hideMark/>
          </w:tcPr>
          <w:p w14:paraId="75C12B45" w14:textId="77777777" w:rsidR="007968EC" w:rsidRPr="00231A2B" w:rsidRDefault="007968EC" w:rsidP="007968EC">
            <w:pPr>
              <w:jc w:val="center"/>
              <w:rPr>
                <w:rFonts w:ascii="Arial Narrow" w:hAnsi="Arial Narrow"/>
                <w:color w:val="000000"/>
                <w:sz w:val="16"/>
                <w:szCs w:val="16"/>
                <w:lang w:eastAsia="es-CO"/>
              </w:rPr>
            </w:pPr>
            <w:r w:rsidRPr="00231A2B">
              <w:rPr>
                <w:rFonts w:ascii="Arial Narrow" w:hAnsi="Arial Narrow"/>
                <w:color w:val="000000"/>
                <w:sz w:val="16"/>
                <w:szCs w:val="16"/>
                <w:lang w:eastAsia="es-CO"/>
              </w:rPr>
              <w:t>H8</w:t>
            </w:r>
          </w:p>
        </w:tc>
        <w:tc>
          <w:tcPr>
            <w:tcW w:w="779" w:type="dxa"/>
            <w:tcBorders>
              <w:top w:val="single" w:sz="4" w:space="0" w:color="auto"/>
              <w:left w:val="single" w:sz="4" w:space="0" w:color="auto"/>
              <w:bottom w:val="single" w:sz="4" w:space="0" w:color="auto"/>
              <w:right w:val="single" w:sz="4" w:space="0" w:color="auto"/>
            </w:tcBorders>
            <w:shd w:val="clear" w:color="auto" w:fill="auto"/>
            <w:noWrap/>
            <w:hideMark/>
          </w:tcPr>
          <w:p w14:paraId="0EA5FAD8"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olor w:val="000000"/>
                <w:sz w:val="16"/>
                <w:szCs w:val="16"/>
                <w:lang w:eastAsia="es-CO"/>
              </w:rPr>
              <w:t>6.09%</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4DEDA"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olor w:val="000000"/>
                <w:sz w:val="16"/>
                <w:szCs w:val="16"/>
                <w:lang w:eastAsia="es-CO"/>
              </w:rPr>
              <w:t>7.12%</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61561"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olor w:val="000000"/>
                <w:sz w:val="16"/>
                <w:szCs w:val="16"/>
                <w:lang w:eastAsia="es-CO"/>
              </w:rPr>
              <w:t>6.61%</w:t>
            </w:r>
          </w:p>
        </w:tc>
        <w:tc>
          <w:tcPr>
            <w:tcW w:w="846" w:type="dxa"/>
            <w:tcBorders>
              <w:top w:val="single" w:sz="4" w:space="0" w:color="auto"/>
              <w:left w:val="single" w:sz="4" w:space="0" w:color="auto"/>
              <w:bottom w:val="single" w:sz="4" w:space="0" w:color="auto"/>
              <w:right w:val="single" w:sz="4" w:space="0" w:color="auto"/>
            </w:tcBorders>
            <w:shd w:val="clear" w:color="auto" w:fill="auto"/>
            <w:noWrap/>
            <w:hideMark/>
          </w:tcPr>
          <w:p w14:paraId="47DF0F51" w14:textId="77777777" w:rsidR="007968EC" w:rsidRPr="00B65657" w:rsidRDefault="007968EC" w:rsidP="007968EC">
            <w:pPr>
              <w:jc w:val="center"/>
              <w:rPr>
                <w:rFonts w:ascii="Arial Narrow" w:hAnsi="Arial Narrow" w:cs="Calibri"/>
                <w:color w:val="000000"/>
                <w:sz w:val="16"/>
                <w:szCs w:val="16"/>
              </w:rPr>
            </w:pPr>
            <w:r w:rsidRPr="00B65657">
              <w:rPr>
                <w:rFonts w:ascii="Arial Narrow" w:hAnsi="Arial Narrow" w:cs="Calibri"/>
                <w:color w:val="000000"/>
                <w:sz w:val="16"/>
                <w:szCs w:val="16"/>
              </w:rPr>
              <w:t>-7.12%</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B718A"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-6.09%</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F902C"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-6.61%</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AEE68"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-0.52%</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8E086"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0.52%</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A5F3A"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24.30%</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41925" w14:textId="77777777" w:rsidR="007968EC" w:rsidRPr="00B65657" w:rsidRDefault="007968EC" w:rsidP="007968EC">
            <w:pPr>
              <w:jc w:val="center"/>
              <w:rPr>
                <w:rFonts w:ascii="Arial Narrow" w:hAnsi="Arial Narrow"/>
                <w:color w:val="000000"/>
                <w:sz w:val="16"/>
                <w:szCs w:val="16"/>
                <w:lang w:eastAsia="es-CO"/>
              </w:rPr>
            </w:pPr>
            <w:r w:rsidRPr="00B65657">
              <w:rPr>
                <w:rFonts w:ascii="Arial Narrow" w:hAnsi="Arial Narrow" w:cs="Calibri"/>
                <w:color w:val="000000"/>
                <w:sz w:val="16"/>
                <w:szCs w:val="16"/>
              </w:rPr>
              <w:t>-24.30%</w:t>
            </w:r>
          </w:p>
        </w:tc>
      </w:tr>
    </w:tbl>
    <w:p w14:paraId="7764695B" w14:textId="77777777" w:rsidR="007968EC" w:rsidRPr="002C0D19" w:rsidRDefault="007968EC" w:rsidP="007968EC">
      <w:pPr>
        <w:ind w:left="720"/>
        <w:contextualSpacing/>
        <w:jc w:val="both"/>
        <w:rPr>
          <w:rFonts w:ascii="Arial Narrow" w:hAnsi="Arial Narrow" w:cs="Arial"/>
          <w:color w:val="000000"/>
          <w:lang w:val="es-ES" w:eastAsia="es-CO"/>
        </w:rPr>
      </w:pPr>
    </w:p>
    <w:p w14:paraId="622AD153" w14:textId="77777777" w:rsidR="007968EC" w:rsidRPr="002C0D19" w:rsidRDefault="007968EC" w:rsidP="00DA7472">
      <w:pPr>
        <w:numPr>
          <w:ilvl w:val="0"/>
          <w:numId w:val="263"/>
        </w:numPr>
        <w:ind w:left="426"/>
        <w:contextualSpacing/>
        <w:jc w:val="both"/>
        <w:rPr>
          <w:rFonts w:ascii="Arial Narrow" w:hAnsi="Arial Narrow" w:cs="Arial"/>
          <w:color w:val="000000"/>
          <w:lang w:eastAsia="es-CO"/>
        </w:rPr>
      </w:pPr>
      <w:r w:rsidRPr="002C0D19">
        <w:rPr>
          <w:rFonts w:ascii="Arial Narrow" w:hAnsi="Arial Narrow" w:cs="Arial"/>
          <w:color w:val="000000"/>
          <w:lang w:eastAsia="es-CO"/>
        </w:rPr>
        <w:t xml:space="preserve">Instrumentos cuyo subyacente sea diferente a la TRM y </w:t>
      </w:r>
      <w:r w:rsidRPr="002C0D19">
        <w:rPr>
          <w:rFonts w:ascii="Arial Narrow" w:hAnsi="Arial Narrow" w:cs="Arial"/>
          <w:lang w:eastAsia="es-CO"/>
        </w:rPr>
        <w:t>Títulos TES clase B tasa fija en pesos:</w:t>
      </w:r>
    </w:p>
    <w:p w14:paraId="1FAD545E" w14:textId="77777777" w:rsidR="007968EC" w:rsidRPr="002C0D19" w:rsidRDefault="007968EC" w:rsidP="007968EC">
      <w:pPr>
        <w:ind w:left="720"/>
        <w:contextualSpacing/>
        <w:jc w:val="both"/>
        <w:rPr>
          <w:rFonts w:ascii="Arial Narrow" w:hAnsi="Arial Narrow" w:cs="Arial"/>
          <w:color w:val="000000"/>
          <w:lang w:eastAsia="es-CO"/>
        </w:rPr>
      </w:pPr>
    </w:p>
    <w:tbl>
      <w:tblPr>
        <w:tblStyle w:val="Tablaconcuadrcula1"/>
        <w:tblW w:w="0" w:type="auto"/>
        <w:tblInd w:w="-5" w:type="dxa"/>
        <w:tblLook w:val="04A0" w:firstRow="1" w:lastRow="0" w:firstColumn="1" w:lastColumn="0" w:noHBand="0" w:noVBand="1"/>
      </w:tblPr>
      <w:tblGrid>
        <w:gridCol w:w="1276"/>
        <w:gridCol w:w="7938"/>
      </w:tblGrid>
      <w:tr w:rsidR="007968EC" w:rsidRPr="002C0D19" w14:paraId="6FC26571" w14:textId="77777777" w:rsidTr="007968EC">
        <w:tc>
          <w:tcPr>
            <w:tcW w:w="9214" w:type="dxa"/>
            <w:gridSpan w:val="2"/>
          </w:tcPr>
          <w:p w14:paraId="578A4D40" w14:textId="77777777" w:rsidR="007968EC" w:rsidRPr="002C0D19" w:rsidRDefault="007968EC" w:rsidP="007968EC">
            <w:pPr>
              <w:contextualSpacing/>
              <w:jc w:val="center"/>
              <w:rPr>
                <w:rFonts w:ascii="Arial Narrow" w:hAnsi="Arial Narrow" w:cs="Arial"/>
                <w:color w:val="000000"/>
                <w:lang w:eastAsia="es-CO"/>
              </w:rPr>
            </w:pPr>
            <w:r w:rsidRPr="002C0D19">
              <w:rPr>
                <w:rFonts w:ascii="Arial Narrow" w:hAnsi="Arial Narrow" w:cs="Arial"/>
                <w:color w:val="000000"/>
                <w:lang w:eastAsia="es-CO"/>
              </w:rPr>
              <w:t>Escenarios</w:t>
            </w:r>
          </w:p>
        </w:tc>
      </w:tr>
      <w:tr w:rsidR="007968EC" w:rsidRPr="002C0D19" w14:paraId="2054D97B" w14:textId="77777777" w:rsidTr="007968EC">
        <w:tc>
          <w:tcPr>
            <w:tcW w:w="1276" w:type="dxa"/>
            <w:vAlign w:val="center"/>
          </w:tcPr>
          <w:p w14:paraId="0FBA8E0C" w14:textId="77777777" w:rsidR="007968EC" w:rsidRPr="002C0D19" w:rsidRDefault="007968EC" w:rsidP="007968EC">
            <w:pPr>
              <w:contextualSpacing/>
              <w:jc w:val="center"/>
              <w:rPr>
                <w:rFonts w:ascii="Arial Narrow" w:hAnsi="Arial Narrow" w:cs="Arial"/>
                <w:color w:val="000000"/>
                <w:lang w:eastAsia="es-CO"/>
              </w:rPr>
            </w:pPr>
            <w:r w:rsidRPr="002C0D19">
              <w:rPr>
                <w:rFonts w:ascii="Arial Narrow" w:hAnsi="Arial Narrow" w:cs="Arial"/>
                <w:color w:val="000000"/>
                <w:lang w:eastAsia="es-CO"/>
              </w:rPr>
              <w:t>1</w:t>
            </w:r>
          </w:p>
        </w:tc>
        <w:tc>
          <w:tcPr>
            <w:tcW w:w="7938" w:type="dxa"/>
            <w:vAlign w:val="center"/>
          </w:tcPr>
          <w:p w14:paraId="02E82EB7" w14:textId="77777777" w:rsidR="007968EC" w:rsidRPr="002C0D19" w:rsidRDefault="007968EC" w:rsidP="007968EC">
            <w:pPr>
              <w:contextualSpacing/>
              <w:jc w:val="both"/>
              <w:rPr>
                <w:rFonts w:ascii="Arial Narrow" w:hAnsi="Arial Narrow" w:cs="Arial"/>
                <w:color w:val="000000"/>
                <w:lang w:eastAsia="es-CO"/>
              </w:rPr>
            </w:pPr>
            <w:r w:rsidRPr="002C0D19">
              <w:rPr>
                <w:rFonts w:ascii="Arial Narrow" w:hAnsi="Arial Narrow"/>
                <w:color w:val="000000"/>
                <w:lang w:eastAsia="es-CO"/>
              </w:rPr>
              <w:t xml:space="preserve">Todos los precios </w:t>
            </w:r>
            <w:r w:rsidRPr="002C0D19">
              <w:rPr>
                <w:rFonts w:ascii="Arial Narrow" w:hAnsi="Arial Narrow"/>
                <w:b/>
                <w:bCs/>
                <w:color w:val="000000"/>
                <w:lang w:eastAsia="es-CO"/>
              </w:rPr>
              <w:t>incrementan</w:t>
            </w:r>
            <w:r w:rsidRPr="002C0D19">
              <w:rPr>
                <w:rFonts w:ascii="Arial Narrow" w:hAnsi="Arial Narrow"/>
                <w:color w:val="000000"/>
                <w:lang w:eastAsia="es-CO"/>
              </w:rPr>
              <w:t xml:space="preserve"> en la fluctuación de estrés correspondiente.</w:t>
            </w:r>
          </w:p>
        </w:tc>
      </w:tr>
      <w:tr w:rsidR="007968EC" w:rsidRPr="002C0D19" w14:paraId="3261034A" w14:textId="77777777" w:rsidTr="007968EC">
        <w:tc>
          <w:tcPr>
            <w:tcW w:w="1276" w:type="dxa"/>
            <w:vAlign w:val="center"/>
          </w:tcPr>
          <w:p w14:paraId="72280399" w14:textId="77777777" w:rsidR="007968EC" w:rsidRPr="002C0D19" w:rsidRDefault="007968EC" w:rsidP="007968EC">
            <w:pPr>
              <w:contextualSpacing/>
              <w:jc w:val="center"/>
              <w:rPr>
                <w:rFonts w:ascii="Arial Narrow" w:hAnsi="Arial Narrow" w:cs="Arial"/>
                <w:color w:val="000000"/>
                <w:lang w:eastAsia="es-CO"/>
              </w:rPr>
            </w:pPr>
            <w:r w:rsidRPr="002C0D19">
              <w:rPr>
                <w:rFonts w:ascii="Arial Narrow" w:hAnsi="Arial Narrow" w:cs="Arial"/>
                <w:color w:val="000000"/>
                <w:lang w:eastAsia="es-CO"/>
              </w:rPr>
              <w:t>2</w:t>
            </w:r>
          </w:p>
        </w:tc>
        <w:tc>
          <w:tcPr>
            <w:tcW w:w="7938" w:type="dxa"/>
            <w:vAlign w:val="center"/>
          </w:tcPr>
          <w:p w14:paraId="041EF31B" w14:textId="77777777" w:rsidR="007968EC" w:rsidRPr="002C0D19" w:rsidRDefault="007968EC" w:rsidP="007968EC">
            <w:pPr>
              <w:contextualSpacing/>
              <w:jc w:val="both"/>
              <w:rPr>
                <w:rFonts w:ascii="Arial Narrow" w:hAnsi="Arial Narrow" w:cs="Arial"/>
                <w:color w:val="000000"/>
                <w:lang w:eastAsia="es-CO"/>
              </w:rPr>
            </w:pPr>
            <w:r w:rsidRPr="002C0D19">
              <w:rPr>
                <w:rFonts w:ascii="Arial Narrow" w:hAnsi="Arial Narrow"/>
                <w:color w:val="000000"/>
                <w:lang w:eastAsia="es-CO"/>
              </w:rPr>
              <w:t xml:space="preserve">Todos los precios </w:t>
            </w:r>
            <w:r w:rsidRPr="002C0D19">
              <w:rPr>
                <w:rFonts w:ascii="Arial Narrow" w:hAnsi="Arial Narrow"/>
                <w:b/>
                <w:bCs/>
                <w:color w:val="000000"/>
                <w:lang w:eastAsia="es-CO"/>
              </w:rPr>
              <w:t>disminuyen</w:t>
            </w:r>
            <w:r w:rsidRPr="002C0D19">
              <w:rPr>
                <w:rFonts w:ascii="Arial Narrow" w:hAnsi="Arial Narrow"/>
                <w:color w:val="000000"/>
                <w:lang w:eastAsia="es-CO"/>
              </w:rPr>
              <w:t xml:space="preserve"> en la fluctuación de estrés correspondiente.</w:t>
            </w:r>
          </w:p>
        </w:tc>
      </w:tr>
    </w:tbl>
    <w:p w14:paraId="4EC7F55D" w14:textId="77777777" w:rsidR="007968EC" w:rsidRPr="002C0D19" w:rsidRDefault="007968EC" w:rsidP="007968EC">
      <w:pPr>
        <w:contextualSpacing/>
        <w:jc w:val="both"/>
        <w:rPr>
          <w:rFonts w:ascii="Arial Narrow" w:hAnsi="Arial Narrow" w:cs="Arial"/>
          <w:color w:val="000000"/>
          <w:lang w:eastAsia="es-CO"/>
        </w:rPr>
      </w:pPr>
    </w:p>
    <w:p w14:paraId="681CD590" w14:textId="77777777" w:rsidR="007968EC" w:rsidRPr="002C0D19" w:rsidRDefault="007968EC" w:rsidP="007968EC">
      <w:pPr>
        <w:jc w:val="both"/>
        <w:rPr>
          <w:rFonts w:ascii="Arial Narrow" w:hAnsi="Arial Narrow" w:cs="Arial"/>
          <w:bCs/>
          <w:color w:val="000000"/>
          <w:lang w:val="es-ES" w:eastAsia="es-ES"/>
        </w:rPr>
      </w:pPr>
      <w:r w:rsidRPr="002C0D19">
        <w:rPr>
          <w:rFonts w:ascii="Arial Narrow" w:hAnsi="Arial Narrow" w:cs="Arial"/>
          <w:bCs/>
          <w:color w:val="000000"/>
          <w:lang w:val="es-ES" w:eastAsia="es-ES"/>
        </w:rPr>
        <w:t xml:space="preserve">Para el cálculo del Riesgo en situación de estrés se realizan todas las posibles combinaciones entre los escenarios descritos anteriormente para los instrumentos cuyo subyacente es la TRM, </w:t>
      </w:r>
      <w:r w:rsidRPr="002C0D19">
        <w:rPr>
          <w:rFonts w:ascii="Arial Narrow" w:hAnsi="Arial Narrow" w:cs="Arial"/>
          <w:lang w:val="es-ES" w:eastAsia="es-ES"/>
        </w:rPr>
        <w:t xml:space="preserve">Títulos TES clase B tasa fija en pesos e </w:t>
      </w:r>
      <w:r w:rsidRPr="002C0D19">
        <w:rPr>
          <w:rFonts w:ascii="Arial Narrow" w:hAnsi="Arial Narrow" w:cs="Arial"/>
          <w:color w:val="000000"/>
          <w:lang w:val="es-ES" w:eastAsia="es-ES"/>
        </w:rPr>
        <w:t xml:space="preserve">Instrumentos cuyo subyacente sea diferente a la TRM y </w:t>
      </w:r>
      <w:r w:rsidRPr="002C0D19">
        <w:rPr>
          <w:rFonts w:ascii="Arial Narrow" w:hAnsi="Arial Narrow" w:cs="Arial"/>
          <w:lang w:val="es-ES" w:eastAsia="es-ES"/>
        </w:rPr>
        <w:t xml:space="preserve">Títulos TES clase B tasa fija en pesos, resultando en total </w:t>
      </w:r>
      <w:r>
        <w:rPr>
          <w:rFonts w:ascii="Arial Narrow" w:hAnsi="Arial Narrow" w:cs="Arial"/>
          <w:lang w:val="es-ES" w:eastAsia="es-ES"/>
        </w:rPr>
        <w:t>cuarenta</w:t>
      </w:r>
      <w:r w:rsidRPr="002C0D19">
        <w:rPr>
          <w:rFonts w:ascii="Arial Narrow" w:hAnsi="Arial Narrow" w:cs="Arial"/>
          <w:lang w:val="es-ES" w:eastAsia="es-ES"/>
        </w:rPr>
        <w:t xml:space="preserve"> (</w:t>
      </w:r>
      <w:r>
        <w:rPr>
          <w:rFonts w:ascii="Arial Narrow" w:hAnsi="Arial Narrow" w:cs="Arial"/>
          <w:lang w:val="es-ES" w:eastAsia="es-ES"/>
        </w:rPr>
        <w:t>40</w:t>
      </w:r>
      <w:r w:rsidRPr="002C0D19">
        <w:rPr>
          <w:rFonts w:ascii="Arial Narrow" w:hAnsi="Arial Narrow" w:cs="Arial"/>
          <w:lang w:val="es-ES" w:eastAsia="es-ES"/>
        </w:rPr>
        <w:t xml:space="preserve">) escenarios. </w:t>
      </w:r>
      <w:r w:rsidRPr="002C0D19">
        <w:rPr>
          <w:rFonts w:ascii="Arial Narrow" w:hAnsi="Arial Narrow" w:cs="Arial"/>
          <w:bCs/>
          <w:color w:val="000000"/>
          <w:lang w:val="es-ES" w:eastAsia="es-ES"/>
        </w:rPr>
        <w:t xml:space="preserve"> </w:t>
      </w:r>
    </w:p>
    <w:p w14:paraId="3539DAEB" w14:textId="77777777" w:rsidR="007968EC" w:rsidRPr="002C0D19" w:rsidRDefault="007968EC" w:rsidP="007968EC">
      <w:pPr>
        <w:jc w:val="both"/>
        <w:rPr>
          <w:rFonts w:ascii="Arial Narrow" w:hAnsi="Arial Narrow" w:cs="Arial"/>
          <w:bCs/>
          <w:color w:val="000000"/>
          <w:lang w:val="es-ES" w:eastAsia="es-ES"/>
        </w:rPr>
      </w:pPr>
    </w:p>
    <w:p w14:paraId="0790288A" w14:textId="77777777" w:rsidR="007968EC" w:rsidRPr="002C0D19" w:rsidRDefault="007968EC" w:rsidP="007968EC">
      <w:pPr>
        <w:jc w:val="both"/>
        <w:rPr>
          <w:rFonts w:ascii="Arial Narrow" w:hAnsi="Arial Narrow" w:cs="Arial"/>
          <w:bCs/>
          <w:color w:val="000000"/>
          <w:lang w:val="es-ES" w:eastAsia="es-ES"/>
        </w:rPr>
      </w:pPr>
      <w:r w:rsidRPr="002C0D19">
        <w:rPr>
          <w:rFonts w:ascii="Arial Narrow" w:hAnsi="Arial Narrow" w:cs="Arial"/>
          <w:bCs/>
          <w:color w:val="000000"/>
          <w:lang w:val="es-ES" w:eastAsia="es-ES"/>
        </w:rPr>
        <w:t xml:space="preserve">Para los contratos de Opciones se combinan los </w:t>
      </w:r>
      <w:r>
        <w:rPr>
          <w:rFonts w:ascii="Arial Narrow" w:hAnsi="Arial Narrow" w:cs="Arial"/>
          <w:bCs/>
          <w:color w:val="000000"/>
          <w:lang w:val="es-ES" w:eastAsia="es-ES"/>
        </w:rPr>
        <w:t>40</w:t>
      </w:r>
      <w:r w:rsidRPr="002C0D19">
        <w:rPr>
          <w:rFonts w:ascii="Arial Narrow" w:hAnsi="Arial Narrow" w:cs="Arial"/>
          <w:bCs/>
          <w:color w:val="000000"/>
          <w:lang w:val="es-ES" w:eastAsia="es-ES"/>
        </w:rPr>
        <w:t xml:space="preserve"> escenarios resultantes con </w:t>
      </w:r>
      <w:r>
        <w:rPr>
          <w:rFonts w:ascii="Arial Narrow" w:hAnsi="Arial Narrow" w:cs="Arial"/>
          <w:bCs/>
          <w:color w:val="000000"/>
          <w:lang w:val="es-ES" w:eastAsia="es-ES"/>
        </w:rPr>
        <w:t>dos</w:t>
      </w:r>
      <w:r w:rsidRPr="002C0D19">
        <w:rPr>
          <w:rFonts w:ascii="Arial Narrow" w:hAnsi="Arial Narrow" w:cs="Arial"/>
          <w:bCs/>
          <w:color w:val="000000"/>
          <w:lang w:val="es-ES" w:eastAsia="es-ES"/>
        </w:rPr>
        <w:t xml:space="preserve"> (</w:t>
      </w:r>
      <w:r>
        <w:rPr>
          <w:rFonts w:ascii="Arial Narrow" w:hAnsi="Arial Narrow" w:cs="Arial"/>
          <w:bCs/>
          <w:color w:val="000000"/>
          <w:lang w:val="es-ES" w:eastAsia="es-ES"/>
        </w:rPr>
        <w:t>2</w:t>
      </w:r>
      <w:r w:rsidRPr="002C0D19">
        <w:rPr>
          <w:rFonts w:ascii="Arial Narrow" w:hAnsi="Arial Narrow" w:cs="Arial"/>
          <w:bCs/>
          <w:color w:val="000000"/>
          <w:lang w:val="es-ES" w:eastAsia="es-ES"/>
        </w:rPr>
        <w:t xml:space="preserve">) escenarios adicionales de volatilidad, dando como resultando </w:t>
      </w:r>
      <w:r>
        <w:rPr>
          <w:rFonts w:ascii="Arial Narrow" w:hAnsi="Arial Narrow" w:cs="Arial"/>
          <w:bCs/>
          <w:color w:val="000000"/>
          <w:lang w:val="es-ES" w:eastAsia="es-ES"/>
        </w:rPr>
        <w:t>ochenta</w:t>
      </w:r>
      <w:r w:rsidRPr="002C0D19">
        <w:rPr>
          <w:rFonts w:ascii="Arial Narrow" w:hAnsi="Arial Narrow" w:cs="Arial"/>
          <w:bCs/>
          <w:color w:val="000000"/>
          <w:lang w:val="es-ES" w:eastAsia="es-ES"/>
        </w:rPr>
        <w:t xml:space="preserve"> (</w:t>
      </w:r>
      <w:r>
        <w:rPr>
          <w:rFonts w:ascii="Arial Narrow" w:hAnsi="Arial Narrow" w:cs="Arial"/>
          <w:bCs/>
          <w:color w:val="000000"/>
          <w:lang w:val="es-ES" w:eastAsia="es-ES"/>
        </w:rPr>
        <w:t>80</w:t>
      </w:r>
      <w:r w:rsidRPr="002C0D19">
        <w:rPr>
          <w:rFonts w:ascii="Arial Narrow" w:hAnsi="Arial Narrow" w:cs="Arial"/>
          <w:bCs/>
          <w:color w:val="000000"/>
          <w:lang w:val="es-ES" w:eastAsia="es-ES"/>
        </w:rPr>
        <w:t>) escenarios:</w:t>
      </w:r>
    </w:p>
    <w:p w14:paraId="406FEE54" w14:textId="77777777" w:rsidR="007968EC" w:rsidRPr="002C0D19" w:rsidRDefault="007968EC" w:rsidP="007968EC">
      <w:pPr>
        <w:jc w:val="both"/>
        <w:rPr>
          <w:rFonts w:ascii="Arial Narrow" w:hAnsi="Arial Narrow" w:cs="Arial"/>
          <w:bCs/>
          <w:color w:val="000000"/>
          <w:lang w:val="es-ES" w:eastAsia="es-ES"/>
        </w:rPr>
      </w:pPr>
    </w:p>
    <w:tbl>
      <w:tblPr>
        <w:tblStyle w:val="Tablaconcuadrcula811"/>
        <w:tblW w:w="0" w:type="auto"/>
        <w:jc w:val="center"/>
        <w:tblLook w:val="04A0" w:firstRow="1" w:lastRow="0" w:firstColumn="1" w:lastColumn="0" w:noHBand="0" w:noVBand="1"/>
      </w:tblPr>
      <w:tblGrid>
        <w:gridCol w:w="1696"/>
        <w:gridCol w:w="2835"/>
      </w:tblGrid>
      <w:tr w:rsidR="007968EC" w:rsidRPr="002C0D19" w14:paraId="07E33379" w14:textId="77777777" w:rsidTr="007968EC">
        <w:trPr>
          <w:jc w:val="center"/>
        </w:trPr>
        <w:tc>
          <w:tcPr>
            <w:tcW w:w="4531" w:type="dxa"/>
            <w:gridSpan w:val="2"/>
            <w:vAlign w:val="center"/>
          </w:tcPr>
          <w:p w14:paraId="2116EF33" w14:textId="77777777" w:rsidR="007968EC" w:rsidRPr="002C0D19" w:rsidRDefault="007968EC" w:rsidP="007968EC">
            <w:pPr>
              <w:jc w:val="center"/>
              <w:rPr>
                <w:rFonts w:ascii="Arial Narrow" w:hAnsi="Arial Narrow" w:cs="Arial"/>
                <w:color w:val="000000"/>
              </w:rPr>
            </w:pPr>
            <w:r w:rsidRPr="002C0D19">
              <w:rPr>
                <w:rFonts w:ascii="Arial Narrow" w:hAnsi="Arial Narrow" w:cs="Arial"/>
                <w:color w:val="000000"/>
              </w:rPr>
              <w:t>Escenario</w:t>
            </w:r>
          </w:p>
        </w:tc>
      </w:tr>
      <w:tr w:rsidR="007968EC" w:rsidRPr="002C0D19" w14:paraId="69B84188" w14:textId="77777777" w:rsidTr="007968EC">
        <w:trPr>
          <w:jc w:val="center"/>
        </w:trPr>
        <w:tc>
          <w:tcPr>
            <w:tcW w:w="1696" w:type="dxa"/>
            <w:vAlign w:val="center"/>
          </w:tcPr>
          <w:p w14:paraId="323A686C" w14:textId="77777777" w:rsidR="007968EC" w:rsidRPr="002C0D19" w:rsidRDefault="007968EC" w:rsidP="007968EC">
            <w:pPr>
              <w:jc w:val="both"/>
              <w:rPr>
                <w:rFonts w:ascii="Arial Narrow" w:hAnsi="Arial Narrow" w:cs="Arial"/>
                <w:color w:val="000000"/>
              </w:rPr>
            </w:pPr>
            <w:r w:rsidRPr="002C0D19" w:rsidDel="007C5803">
              <w:rPr>
                <w:rFonts w:ascii="Arial Narrow" w:hAnsi="Arial Narrow" w:cs="Arial"/>
                <w:color w:val="000000"/>
                <w:lang w:eastAsia="es-CO"/>
              </w:rPr>
              <w:t>E</w:t>
            </w:r>
            <w:r w:rsidRPr="002C0D19">
              <w:rPr>
                <w:rFonts w:ascii="Arial Narrow" w:hAnsi="Arial Narrow" w:cs="Arial"/>
                <w:color w:val="000000"/>
                <w:lang w:eastAsia="es-CO"/>
              </w:rPr>
              <w:t>1</w:t>
            </w:r>
          </w:p>
        </w:tc>
        <w:tc>
          <w:tcPr>
            <w:tcW w:w="2835" w:type="dxa"/>
          </w:tcPr>
          <w:p w14:paraId="05C4CB4F" w14:textId="77777777" w:rsidR="007968EC" w:rsidRPr="002C0D19" w:rsidRDefault="007968EC" w:rsidP="007968EC">
            <w:pPr>
              <w:jc w:val="both"/>
              <w:rPr>
                <w:rFonts w:ascii="Arial Narrow" w:hAnsi="Arial Narrow" w:cs="Arial"/>
                <w:color w:val="000000"/>
              </w:rPr>
            </w:pPr>
            <w:r w:rsidRPr="002C0D19">
              <w:rPr>
                <w:rFonts w:ascii="Arial Narrow" w:hAnsi="Arial Narrow" w:cs="Arial"/>
                <w:color w:val="000000"/>
              </w:rPr>
              <w:t>Disminución de la volatilidad.</w:t>
            </w:r>
          </w:p>
        </w:tc>
      </w:tr>
      <w:tr w:rsidR="007968EC" w:rsidRPr="002C0D19" w14:paraId="7BA0DCCB" w14:textId="77777777" w:rsidTr="007968EC">
        <w:trPr>
          <w:jc w:val="center"/>
        </w:trPr>
        <w:tc>
          <w:tcPr>
            <w:tcW w:w="1696" w:type="dxa"/>
            <w:vAlign w:val="center"/>
          </w:tcPr>
          <w:p w14:paraId="5CB6E236" w14:textId="77777777" w:rsidR="007968EC" w:rsidRPr="002C0D19" w:rsidRDefault="007968EC" w:rsidP="007968EC">
            <w:pPr>
              <w:jc w:val="both"/>
              <w:rPr>
                <w:rFonts w:ascii="Arial Narrow" w:hAnsi="Arial Narrow" w:cs="Arial"/>
                <w:color w:val="000000"/>
              </w:rPr>
            </w:pPr>
            <w:r w:rsidRPr="002C0D19" w:rsidDel="007C5803">
              <w:rPr>
                <w:rFonts w:ascii="Arial Narrow" w:hAnsi="Arial Narrow" w:cs="Arial"/>
                <w:color w:val="000000"/>
                <w:lang w:eastAsia="es-CO"/>
              </w:rPr>
              <w:t>E</w:t>
            </w:r>
            <w:r w:rsidRPr="002C0D19">
              <w:rPr>
                <w:rFonts w:ascii="Arial Narrow" w:hAnsi="Arial Narrow" w:cs="Arial"/>
                <w:color w:val="000000"/>
                <w:lang w:eastAsia="es-CO"/>
              </w:rPr>
              <w:t>2</w:t>
            </w:r>
          </w:p>
        </w:tc>
        <w:tc>
          <w:tcPr>
            <w:tcW w:w="2835" w:type="dxa"/>
          </w:tcPr>
          <w:p w14:paraId="6F11095B" w14:textId="77777777" w:rsidR="007968EC" w:rsidRPr="002C0D19" w:rsidRDefault="007968EC" w:rsidP="007968EC">
            <w:pPr>
              <w:jc w:val="both"/>
              <w:rPr>
                <w:rFonts w:ascii="Arial Narrow" w:hAnsi="Arial Narrow" w:cs="Arial"/>
                <w:color w:val="000000"/>
              </w:rPr>
            </w:pPr>
            <w:r w:rsidRPr="002C0D19">
              <w:rPr>
                <w:rFonts w:ascii="Arial Narrow" w:hAnsi="Arial Narrow" w:cs="Arial"/>
                <w:color w:val="000000"/>
              </w:rPr>
              <w:t>Aumento de la Volatilidad.</w:t>
            </w:r>
          </w:p>
        </w:tc>
      </w:tr>
    </w:tbl>
    <w:p w14:paraId="654357F2" w14:textId="77777777" w:rsidR="007968EC" w:rsidRPr="00397BCE" w:rsidRDefault="007968EC" w:rsidP="007968EC">
      <w:pPr>
        <w:autoSpaceDE w:val="0"/>
        <w:autoSpaceDN w:val="0"/>
        <w:ind w:left="284"/>
        <w:contextualSpacing/>
        <w:jc w:val="both"/>
        <w:rPr>
          <w:rFonts w:ascii="Arial Narrow" w:eastAsia="Calibri" w:hAnsi="Arial Narrow"/>
          <w:color w:val="000000"/>
        </w:rPr>
      </w:pPr>
    </w:p>
    <w:p w14:paraId="6391D706" w14:textId="77777777" w:rsidR="007968EC" w:rsidRPr="001878C5" w:rsidRDefault="007968EC" w:rsidP="007968EC">
      <w:pPr>
        <w:jc w:val="right"/>
      </w:pPr>
    </w:p>
    <w:p w14:paraId="6CF2E189" w14:textId="77777777" w:rsidR="007968EC" w:rsidRDefault="007968EC" w:rsidP="007968EC">
      <w:pPr>
        <w:pStyle w:val="ARTICULO0"/>
      </w:pPr>
      <w:bookmarkStart w:id="4943" w:name="_Toc31716197"/>
      <w:bookmarkStart w:id="4944" w:name="_Toc490066533"/>
      <w:r>
        <w:t>Artículo 2.5.1.9</w:t>
      </w:r>
      <w:r w:rsidRPr="002C0D19">
        <w:t>.  Aportación mínima al Fondo de Garantía Colectiva de los Miembros para el Segmento de Derivados Financieros.</w:t>
      </w:r>
      <w:bookmarkEnd w:id="4931"/>
      <w:bookmarkEnd w:id="4932"/>
      <w:bookmarkEnd w:id="4933"/>
      <w:bookmarkEnd w:id="4934"/>
      <w:bookmarkEnd w:id="4935"/>
      <w:bookmarkEnd w:id="4940"/>
      <w:bookmarkEnd w:id="4941"/>
      <w:bookmarkEnd w:id="4942"/>
      <w:bookmarkEnd w:id="4943"/>
    </w:p>
    <w:p w14:paraId="3CC3353D" w14:textId="77777777" w:rsidR="007968EC" w:rsidRDefault="007968EC" w:rsidP="007968EC">
      <w:pPr>
        <w:keepNext/>
        <w:tabs>
          <w:tab w:val="left" w:pos="1701"/>
        </w:tabs>
        <w:jc w:val="both"/>
        <w:outlineLvl w:val="2"/>
        <w:rPr>
          <w:rFonts w:ascii="Arial Narrow" w:hAnsi="Arial Narrow" w:cs="Arial"/>
          <w:b/>
          <w:color w:val="000000" w:themeColor="text1"/>
          <w:u w:val="single"/>
          <w:lang w:eastAsia="es-ES"/>
        </w:rPr>
      </w:pPr>
    </w:p>
    <w:p w14:paraId="27DE315D" w14:textId="77777777" w:rsidR="007968EC" w:rsidRPr="002C0D19" w:rsidRDefault="007968EC" w:rsidP="007968EC">
      <w:pPr>
        <w:pStyle w:val="ANTECEDENTES"/>
      </w:pPr>
      <w:r w:rsidRPr="002C0D19">
        <w:t>(Este artículo fue renumerado mediante Circular 2 del 11 de enero de 2017, publicada mediante Boletín Normativo N</w:t>
      </w:r>
      <w:r>
        <w:t>o. 002 del 11 de enero de 2017,</w:t>
      </w:r>
      <w:r w:rsidRPr="002C0D19">
        <w:t xml:space="preserve"> mediante Circular 8 del 31 de marzo de 2017, publicada en el Boletín Normativo No. 008 del 31 de marzo de 2017</w:t>
      </w:r>
      <w:r>
        <w:t xml:space="preserve">, modificado mediante Circular 3 del 16 de marzo de 2018, publicada en el Boletín Normativo No. 006 del 16 de marzo de 2018, renumerado </w:t>
      </w:r>
      <w:r w:rsidRPr="009207FD">
        <w:t>mediante Circular 6 del 24 de abril de 2018, publicada en el Boletín Normativo N</w:t>
      </w:r>
      <w:r>
        <w:t xml:space="preserve">o. 009 del 24 de abril de 2018, modificado </w:t>
      </w:r>
      <w:r w:rsidRPr="009207FD">
        <w:t xml:space="preserve">mediante Circular </w:t>
      </w:r>
      <w:r>
        <w:t>1</w:t>
      </w:r>
      <w:r w:rsidRPr="009207FD">
        <w:t xml:space="preserve"> del </w:t>
      </w:r>
      <w:r>
        <w:t>15 de enero de 2019</w:t>
      </w:r>
      <w:r w:rsidRPr="009207FD">
        <w:t>, publicada en el Boletín Normativo N</w:t>
      </w:r>
      <w:r>
        <w:t xml:space="preserve">o. 001 del 15 de enero de 2019 y modificado mediante Circular 1 del 10 de enero de 2020, publicada en el Boletín Normativo No. 001 de 2020. </w:t>
      </w:r>
      <w:r w:rsidRPr="009207FD">
        <w:t xml:space="preserve">Rige a partir del </w:t>
      </w:r>
      <w:r>
        <w:t>13 de enero de 2020</w:t>
      </w:r>
      <w:r w:rsidRPr="002C0D19">
        <w:t>.)</w:t>
      </w:r>
      <w:bookmarkEnd w:id="4944"/>
    </w:p>
    <w:p w14:paraId="12188C36" w14:textId="77777777" w:rsidR="007968EC" w:rsidRPr="002C0D19" w:rsidRDefault="007968EC" w:rsidP="007968EC">
      <w:pPr>
        <w:rPr>
          <w:rFonts w:ascii="Arial Narrow" w:eastAsia="Calibri" w:hAnsi="Arial Narrow"/>
          <w:bCs/>
          <w:color w:val="000000" w:themeColor="text1"/>
          <w:kern w:val="32"/>
        </w:rPr>
      </w:pPr>
    </w:p>
    <w:p w14:paraId="52C7BBC6" w14:textId="77777777" w:rsidR="007968EC" w:rsidRPr="00FF76BB" w:rsidRDefault="007968EC" w:rsidP="007968EC">
      <w:pPr>
        <w:jc w:val="both"/>
        <w:rPr>
          <w:rFonts w:ascii="Arial Narrow" w:eastAsia="Calibri" w:hAnsi="Arial Narrow"/>
          <w:bCs/>
          <w:color w:val="000000" w:themeColor="text1"/>
          <w:kern w:val="32"/>
        </w:rPr>
      </w:pPr>
      <w:r w:rsidRPr="00FF76BB">
        <w:rPr>
          <w:rFonts w:ascii="Arial Narrow" w:eastAsia="Calibri" w:hAnsi="Arial Narrow"/>
          <w:bCs/>
          <w:color w:val="000000" w:themeColor="text1"/>
          <w:kern w:val="32"/>
        </w:rPr>
        <w:t>De conformidad con el artículo 1.6.2.10. la aportación mínima al Fondo de Garantía Colectiva según la calidad de Miembro Liquidador para participar en el presente Segmento es la siguiente:</w:t>
      </w:r>
    </w:p>
    <w:p w14:paraId="537B71B2" w14:textId="77777777" w:rsidR="007968EC" w:rsidRPr="00FF76BB" w:rsidRDefault="007968EC" w:rsidP="007968EC">
      <w:pPr>
        <w:rPr>
          <w:rFonts w:ascii="Arial Narrow" w:eastAsia="Calibri" w:hAnsi="Arial Narrow"/>
          <w:bCs/>
          <w:color w:val="000000" w:themeColor="text1"/>
          <w:kern w:val="32"/>
          <w:u w:val="single"/>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6804"/>
      </w:tblGrid>
      <w:tr w:rsidR="007968EC" w:rsidRPr="00FF76BB" w14:paraId="5DF69322" w14:textId="77777777" w:rsidTr="007968EC">
        <w:trPr>
          <w:trHeight w:val="607"/>
          <w:jc w:val="center"/>
        </w:trPr>
        <w:tc>
          <w:tcPr>
            <w:tcW w:w="2551" w:type="dxa"/>
          </w:tcPr>
          <w:p w14:paraId="41C5A08A" w14:textId="77777777" w:rsidR="007968EC" w:rsidRPr="00FF76BB" w:rsidRDefault="007968EC" w:rsidP="007968EC">
            <w:pPr>
              <w:jc w:val="center"/>
              <w:rPr>
                <w:rFonts w:ascii="Arial Narrow" w:eastAsia="Calibri" w:hAnsi="Arial Narrow"/>
                <w:b/>
                <w:bCs/>
                <w:color w:val="000000" w:themeColor="text1"/>
                <w:kern w:val="32"/>
              </w:rPr>
            </w:pPr>
            <w:r w:rsidRPr="00FF76BB">
              <w:rPr>
                <w:rFonts w:ascii="Arial Narrow" w:eastAsia="Calibri" w:hAnsi="Arial Narrow"/>
                <w:b/>
                <w:bCs/>
                <w:color w:val="000000" w:themeColor="text1"/>
                <w:kern w:val="32"/>
              </w:rPr>
              <w:t>Modalidad de Miembro Liquidador</w:t>
            </w:r>
          </w:p>
        </w:tc>
        <w:tc>
          <w:tcPr>
            <w:tcW w:w="6804" w:type="dxa"/>
          </w:tcPr>
          <w:p w14:paraId="55ACB708" w14:textId="77777777" w:rsidR="007968EC" w:rsidRPr="00FF76BB" w:rsidRDefault="007968EC" w:rsidP="007968EC">
            <w:pPr>
              <w:jc w:val="center"/>
              <w:rPr>
                <w:rFonts w:ascii="Arial Narrow" w:eastAsia="Calibri" w:hAnsi="Arial Narrow"/>
                <w:bCs/>
                <w:color w:val="000000" w:themeColor="text1"/>
                <w:kern w:val="32"/>
                <w:u w:val="single"/>
              </w:rPr>
            </w:pPr>
            <w:r w:rsidRPr="00FF76BB">
              <w:rPr>
                <w:rFonts w:ascii="Arial Narrow" w:eastAsia="Calibri" w:hAnsi="Arial Narrow"/>
                <w:b/>
                <w:bCs/>
                <w:color w:val="000000" w:themeColor="text1"/>
                <w:kern w:val="32"/>
              </w:rPr>
              <w:t>Aportación Mínima al Fondo de Garantía Colectiva</w:t>
            </w:r>
          </w:p>
        </w:tc>
      </w:tr>
      <w:tr w:rsidR="007968EC" w:rsidRPr="00FF76BB" w14:paraId="3616DAB8" w14:textId="77777777" w:rsidTr="007968EC">
        <w:trPr>
          <w:trHeight w:val="361"/>
          <w:jc w:val="center"/>
        </w:trPr>
        <w:tc>
          <w:tcPr>
            <w:tcW w:w="2551" w:type="dxa"/>
          </w:tcPr>
          <w:p w14:paraId="57776866" w14:textId="77777777" w:rsidR="007968EC" w:rsidRPr="00FF76BB" w:rsidRDefault="007968EC" w:rsidP="007968EC">
            <w:pPr>
              <w:rPr>
                <w:rFonts w:ascii="Arial Narrow" w:eastAsia="Calibri" w:hAnsi="Arial Narrow"/>
                <w:bCs/>
                <w:color w:val="000000" w:themeColor="text1"/>
                <w:kern w:val="32"/>
              </w:rPr>
            </w:pPr>
            <w:r w:rsidRPr="00FF76BB">
              <w:rPr>
                <w:rFonts w:ascii="Arial Narrow" w:eastAsia="Calibri" w:hAnsi="Arial Narrow"/>
                <w:bCs/>
                <w:color w:val="000000" w:themeColor="text1"/>
                <w:kern w:val="32"/>
              </w:rPr>
              <w:lastRenderedPageBreak/>
              <w:t>Miembro Liquidador Individual</w:t>
            </w:r>
          </w:p>
        </w:tc>
        <w:tc>
          <w:tcPr>
            <w:tcW w:w="6804" w:type="dxa"/>
          </w:tcPr>
          <w:p w14:paraId="1AED0439" w14:textId="77777777" w:rsidR="007968EC" w:rsidRPr="00FF76BB" w:rsidRDefault="007968EC" w:rsidP="007968EC">
            <w:pPr>
              <w:jc w:val="both"/>
              <w:rPr>
                <w:rFonts w:ascii="Arial Narrow" w:eastAsia="Calibri" w:hAnsi="Arial Narrow"/>
                <w:bCs/>
                <w:color w:val="000000" w:themeColor="text1"/>
                <w:kern w:val="32"/>
              </w:rPr>
            </w:pPr>
            <w:r w:rsidRPr="00FF76BB">
              <w:rPr>
                <w:rFonts w:ascii="Arial Narrow" w:eastAsia="Calibri" w:hAnsi="Arial Narrow"/>
                <w:bCs/>
                <w:color w:val="000000" w:themeColor="text1"/>
                <w:kern w:val="32"/>
              </w:rPr>
              <w:t xml:space="preserve">Doscientos </w:t>
            </w:r>
            <w:r>
              <w:rPr>
                <w:rFonts w:ascii="Arial Narrow" w:eastAsia="Calibri" w:hAnsi="Arial Narrow"/>
                <w:bCs/>
                <w:kern w:val="32"/>
              </w:rPr>
              <w:t>ochenta</w:t>
            </w:r>
            <w:r w:rsidRPr="00FF76BB">
              <w:rPr>
                <w:rFonts w:ascii="Arial Narrow" w:eastAsia="Calibri" w:hAnsi="Arial Narrow"/>
                <w:bCs/>
                <w:kern w:val="32"/>
              </w:rPr>
              <w:t xml:space="preserve"> millones de pesos ($2</w:t>
            </w:r>
            <w:r>
              <w:rPr>
                <w:rFonts w:ascii="Arial Narrow" w:eastAsia="Calibri" w:hAnsi="Arial Narrow"/>
                <w:bCs/>
                <w:kern w:val="32"/>
              </w:rPr>
              <w:t>8</w:t>
            </w:r>
            <w:r w:rsidRPr="00FF76BB">
              <w:rPr>
                <w:rFonts w:ascii="Arial Narrow" w:eastAsia="Calibri" w:hAnsi="Arial Narrow"/>
                <w:bCs/>
                <w:kern w:val="32"/>
              </w:rPr>
              <w:t xml:space="preserve">0.000.000) </w:t>
            </w:r>
            <w:r w:rsidRPr="00FF76BB">
              <w:rPr>
                <w:rFonts w:ascii="Arial Narrow" w:eastAsia="Calibri" w:hAnsi="Arial Narrow"/>
                <w:bCs/>
                <w:color w:val="000000" w:themeColor="text1"/>
                <w:kern w:val="32"/>
              </w:rPr>
              <w:t>moneda corriente.</w:t>
            </w:r>
          </w:p>
          <w:p w14:paraId="11C7B927" w14:textId="77777777" w:rsidR="007968EC" w:rsidRPr="00FF76BB" w:rsidRDefault="007968EC" w:rsidP="007968EC">
            <w:pPr>
              <w:jc w:val="both"/>
              <w:rPr>
                <w:rFonts w:ascii="Arial Narrow" w:eastAsia="Calibri" w:hAnsi="Arial Narrow"/>
                <w:bCs/>
                <w:color w:val="000000" w:themeColor="text1"/>
                <w:kern w:val="32"/>
                <w:u w:val="single"/>
              </w:rPr>
            </w:pPr>
          </w:p>
        </w:tc>
      </w:tr>
      <w:tr w:rsidR="007968EC" w:rsidRPr="00FF76BB" w14:paraId="522EBCD1" w14:textId="77777777" w:rsidTr="007968EC">
        <w:trPr>
          <w:trHeight w:val="355"/>
          <w:jc w:val="center"/>
        </w:trPr>
        <w:tc>
          <w:tcPr>
            <w:tcW w:w="2551" w:type="dxa"/>
          </w:tcPr>
          <w:p w14:paraId="25D19E9C" w14:textId="77777777" w:rsidR="007968EC" w:rsidRPr="00FF76BB" w:rsidRDefault="007968EC" w:rsidP="007968EC">
            <w:pPr>
              <w:rPr>
                <w:rFonts w:ascii="Arial Narrow" w:eastAsia="Calibri" w:hAnsi="Arial Narrow"/>
                <w:bCs/>
                <w:color w:val="000000" w:themeColor="text1"/>
                <w:kern w:val="32"/>
              </w:rPr>
            </w:pPr>
            <w:r w:rsidRPr="00FF76BB">
              <w:rPr>
                <w:rFonts w:ascii="Arial Narrow" w:eastAsia="Calibri" w:hAnsi="Arial Narrow"/>
                <w:bCs/>
                <w:color w:val="000000" w:themeColor="text1"/>
                <w:kern w:val="32"/>
              </w:rPr>
              <w:t>Miembro Liquidador General</w:t>
            </w:r>
          </w:p>
        </w:tc>
        <w:tc>
          <w:tcPr>
            <w:tcW w:w="6804" w:type="dxa"/>
          </w:tcPr>
          <w:p w14:paraId="75BE915F" w14:textId="77777777" w:rsidR="007968EC" w:rsidRPr="00FF76BB" w:rsidRDefault="007968EC" w:rsidP="007968EC">
            <w:pPr>
              <w:jc w:val="both"/>
              <w:rPr>
                <w:rFonts w:ascii="Arial Narrow" w:eastAsia="Calibri" w:hAnsi="Arial Narrow"/>
                <w:bCs/>
                <w:color w:val="000000" w:themeColor="text1"/>
                <w:kern w:val="32"/>
                <w:u w:val="single"/>
              </w:rPr>
            </w:pPr>
            <w:r w:rsidRPr="00FF76BB">
              <w:rPr>
                <w:rFonts w:ascii="Arial Narrow" w:eastAsia="Calibri" w:hAnsi="Arial Narrow"/>
                <w:bCs/>
                <w:color w:val="000000" w:themeColor="text1"/>
                <w:kern w:val="32"/>
              </w:rPr>
              <w:t xml:space="preserve">Quinientos </w:t>
            </w:r>
            <w:r>
              <w:rPr>
                <w:rFonts w:ascii="Arial Narrow" w:eastAsia="Calibri" w:hAnsi="Arial Narrow"/>
                <w:bCs/>
                <w:color w:val="000000" w:themeColor="text1"/>
                <w:kern w:val="32"/>
              </w:rPr>
              <w:t>sesenta</w:t>
            </w:r>
            <w:r w:rsidRPr="00FF76BB">
              <w:rPr>
                <w:rFonts w:ascii="Arial Narrow" w:eastAsia="Calibri" w:hAnsi="Arial Narrow"/>
                <w:bCs/>
                <w:color w:val="000000" w:themeColor="text1"/>
                <w:kern w:val="32"/>
              </w:rPr>
              <w:t xml:space="preserve"> </w:t>
            </w:r>
            <w:r w:rsidRPr="00FF76BB">
              <w:rPr>
                <w:rFonts w:ascii="Arial Narrow" w:eastAsia="Calibri" w:hAnsi="Arial Narrow"/>
                <w:bCs/>
                <w:kern w:val="32"/>
              </w:rPr>
              <w:t>millones de pesos ($5</w:t>
            </w:r>
            <w:r>
              <w:rPr>
                <w:rFonts w:ascii="Arial Narrow" w:eastAsia="Calibri" w:hAnsi="Arial Narrow"/>
                <w:bCs/>
                <w:kern w:val="32"/>
              </w:rPr>
              <w:t>6</w:t>
            </w:r>
            <w:r w:rsidRPr="00FF76BB">
              <w:rPr>
                <w:rFonts w:ascii="Arial Narrow" w:eastAsia="Calibri" w:hAnsi="Arial Narrow"/>
                <w:bCs/>
                <w:kern w:val="32"/>
              </w:rPr>
              <w:t xml:space="preserve">0.000.000) </w:t>
            </w:r>
            <w:r>
              <w:rPr>
                <w:rFonts w:ascii="Arial Narrow" w:eastAsia="Calibri" w:hAnsi="Arial Narrow"/>
                <w:bCs/>
                <w:color w:val="000000" w:themeColor="text1"/>
                <w:kern w:val="32"/>
              </w:rPr>
              <w:t>moneda corriente.</w:t>
            </w:r>
          </w:p>
          <w:p w14:paraId="2ADBED63" w14:textId="77777777" w:rsidR="007968EC" w:rsidRPr="00FF76BB" w:rsidRDefault="007968EC" w:rsidP="007968EC">
            <w:pPr>
              <w:jc w:val="both"/>
              <w:rPr>
                <w:rFonts w:ascii="Arial Narrow" w:eastAsia="Calibri" w:hAnsi="Arial Narrow"/>
                <w:bCs/>
                <w:color w:val="000000" w:themeColor="text1"/>
                <w:kern w:val="32"/>
                <w:u w:val="single"/>
              </w:rPr>
            </w:pPr>
          </w:p>
        </w:tc>
      </w:tr>
    </w:tbl>
    <w:p w14:paraId="660E6D33" w14:textId="77777777" w:rsidR="007968EC" w:rsidRPr="002C0D19" w:rsidRDefault="007968EC" w:rsidP="007968EC">
      <w:pPr>
        <w:jc w:val="both"/>
        <w:rPr>
          <w:rFonts w:ascii="Arial Narrow" w:eastAsia="Calibri" w:hAnsi="Arial Narrow"/>
          <w:bCs/>
          <w:color w:val="000000" w:themeColor="text1"/>
          <w:kern w:val="32"/>
          <w:u w:val="single"/>
        </w:rPr>
      </w:pPr>
    </w:p>
    <w:p w14:paraId="52801E1C" w14:textId="77777777" w:rsidR="007968EC" w:rsidRDefault="007968EC" w:rsidP="007968EC">
      <w:pPr>
        <w:pStyle w:val="ARTICULO0"/>
      </w:pPr>
      <w:bookmarkStart w:id="4945" w:name="_Toc470780004"/>
      <w:bookmarkStart w:id="4946" w:name="_Toc470781134"/>
      <w:bookmarkStart w:id="4947" w:name="_Toc470784695"/>
      <w:bookmarkStart w:id="4948" w:name="_Toc470785232"/>
      <w:bookmarkStart w:id="4949" w:name="_Toc470791626"/>
      <w:bookmarkStart w:id="4950" w:name="_Toc472592372"/>
      <w:bookmarkStart w:id="4951" w:name="_Toc472593391"/>
      <w:bookmarkStart w:id="4952" w:name="_Toc479057180"/>
      <w:bookmarkStart w:id="4953" w:name="_Toc31716198"/>
      <w:bookmarkStart w:id="4954" w:name="_Toc490066534"/>
      <w:r w:rsidRPr="002C0D19">
        <w:t>Artículo 2.5.1.</w:t>
      </w:r>
      <w:r>
        <w:t>10</w:t>
      </w:r>
      <w:r w:rsidRPr="002C0D19">
        <w:t xml:space="preserve">. </w:t>
      </w:r>
      <w:proofErr w:type="gramStart"/>
      <w:r w:rsidRPr="002C0D19">
        <w:t>Importe mínimo a aportar</w:t>
      </w:r>
      <w:proofErr w:type="gramEnd"/>
      <w:r w:rsidRPr="002C0D19">
        <w:t xml:space="preserve"> para la constitución del Fondo de Garantía Colectiva y tamaño mínimo del Fondo.</w:t>
      </w:r>
      <w:bookmarkEnd w:id="4945"/>
      <w:bookmarkEnd w:id="4946"/>
      <w:bookmarkEnd w:id="4947"/>
      <w:bookmarkEnd w:id="4948"/>
      <w:bookmarkEnd w:id="4949"/>
      <w:bookmarkEnd w:id="4950"/>
      <w:bookmarkEnd w:id="4951"/>
      <w:bookmarkEnd w:id="4952"/>
      <w:bookmarkEnd w:id="4953"/>
      <w:r w:rsidRPr="002C0D19">
        <w:t xml:space="preserve"> </w:t>
      </w:r>
    </w:p>
    <w:p w14:paraId="180FF72F" w14:textId="77777777" w:rsidR="007968EC" w:rsidRDefault="007968EC" w:rsidP="007968EC">
      <w:pPr>
        <w:keepNext/>
        <w:tabs>
          <w:tab w:val="left" w:pos="1701"/>
        </w:tabs>
        <w:jc w:val="both"/>
        <w:outlineLvl w:val="2"/>
        <w:rPr>
          <w:rFonts w:ascii="Arial Narrow" w:hAnsi="Arial Narrow" w:cs="Arial"/>
          <w:b/>
          <w:color w:val="000000" w:themeColor="text1"/>
          <w:u w:val="single"/>
          <w:lang w:eastAsia="es-ES"/>
        </w:rPr>
      </w:pPr>
    </w:p>
    <w:p w14:paraId="378A85D7" w14:textId="77777777" w:rsidR="007968EC" w:rsidRPr="002C0D19" w:rsidRDefault="007968EC" w:rsidP="007968EC">
      <w:pPr>
        <w:pStyle w:val="ANTECEDENTES"/>
      </w:pPr>
      <w:r w:rsidRPr="002C0D19">
        <w:t>(Este artículo fue renumerado mediante Circular 2 del 11 de enero de 2017, publicada mediante Boletín Normativo N</w:t>
      </w:r>
      <w:r>
        <w:t>o. 002 del 11 de enero de 2017,</w:t>
      </w:r>
      <w:r w:rsidRPr="002C0D19">
        <w:t xml:space="preserve"> mediante Circular 8 del 31 de marzo de 2017, publicada en el Boletín No. 008 del 31 de marzo de 2017</w:t>
      </w:r>
      <w:r>
        <w:t xml:space="preserve">, modificado mediante Circular 3 del 16 de marzo de 2018, publicada en el Boletín Normativo No. 006 del 16 de marzo de 2018, renumerado </w:t>
      </w:r>
      <w:r w:rsidRPr="009207FD">
        <w:t xml:space="preserve">mediante Circular 6 del 24 de abril de 2018, publicada en el Boletín Normativo </w:t>
      </w:r>
      <w:r>
        <w:t xml:space="preserve">No. 009 del 24 de abril de 2018, modificado </w:t>
      </w:r>
      <w:r w:rsidRPr="009207FD">
        <w:t xml:space="preserve">mediante Circular </w:t>
      </w:r>
      <w:r>
        <w:t>1</w:t>
      </w:r>
      <w:r w:rsidRPr="009207FD">
        <w:t xml:space="preserve"> del </w:t>
      </w:r>
      <w:r>
        <w:t>15 de enero de 2019</w:t>
      </w:r>
      <w:r w:rsidRPr="009207FD">
        <w:t>, publicada en el Boletín Normativo N</w:t>
      </w:r>
      <w:r>
        <w:t xml:space="preserve">o. 001 del 15 de enero de 2019 y modificado mediante Circular 1 del 10 de enero de 2020, publicada en el Boletín Normativo No. 001 de 2020. </w:t>
      </w:r>
      <w:r w:rsidRPr="009207FD">
        <w:t xml:space="preserve">Rige a partir del </w:t>
      </w:r>
      <w:r>
        <w:t>13 de enero de 2020</w:t>
      </w:r>
      <w:r w:rsidRPr="002C0D19">
        <w:t>.)</w:t>
      </w:r>
      <w:bookmarkEnd w:id="4954"/>
    </w:p>
    <w:p w14:paraId="583D52AF" w14:textId="77777777" w:rsidR="007968EC" w:rsidRPr="002C0D19" w:rsidRDefault="007968EC" w:rsidP="007968EC">
      <w:pPr>
        <w:rPr>
          <w:rFonts w:ascii="Arial Narrow" w:eastAsia="Calibri" w:hAnsi="Arial Narrow"/>
          <w:b/>
          <w:bCs/>
          <w:color w:val="000000" w:themeColor="text1"/>
          <w:kern w:val="32"/>
          <w:u w:val="single"/>
        </w:rPr>
      </w:pPr>
    </w:p>
    <w:p w14:paraId="4399EBA6" w14:textId="77777777" w:rsidR="007968EC" w:rsidRPr="00FF76BB" w:rsidRDefault="007968EC" w:rsidP="007968EC">
      <w:pPr>
        <w:jc w:val="both"/>
        <w:rPr>
          <w:rFonts w:ascii="Arial Narrow" w:eastAsia="Calibri" w:hAnsi="Arial Narrow"/>
          <w:bCs/>
          <w:color w:val="000000" w:themeColor="text1"/>
          <w:kern w:val="32"/>
        </w:rPr>
      </w:pPr>
      <w:bookmarkStart w:id="4955" w:name="_Toc470781135"/>
      <w:bookmarkStart w:id="4956" w:name="_Toc470784696"/>
      <w:bookmarkStart w:id="4957" w:name="_Toc470785233"/>
      <w:bookmarkStart w:id="4958" w:name="_Toc470791627"/>
      <w:r w:rsidRPr="00FF76BB">
        <w:rPr>
          <w:rFonts w:ascii="Arial Narrow" w:eastAsia="Calibri" w:hAnsi="Arial Narrow"/>
          <w:bCs/>
          <w:color w:val="000000" w:themeColor="text1"/>
          <w:kern w:val="32"/>
        </w:rPr>
        <w:t>A partir del ingreso al Segmento, el importe mínimo que le corresponderá aportar a cada Miembro Liquidador al Fondo de Garantía Colectiva será el mayor valor entre la aportación mínima definida para el Segmento según la calidad de Miembro Liquidador establecida en el artículo anterior y el valor que resulte de la distribución proporcional, en función de su participación en el riesgo, del importe del Fondo de Garantía Colectiva calculado según la metodología descrita en el artículo 1.6.2.9. de la presente Circular.</w:t>
      </w:r>
    </w:p>
    <w:p w14:paraId="02F2249D" w14:textId="77777777" w:rsidR="007968EC" w:rsidRPr="00FF76BB" w:rsidRDefault="007968EC" w:rsidP="007968EC">
      <w:pPr>
        <w:jc w:val="both"/>
        <w:rPr>
          <w:rFonts w:ascii="Arial Narrow" w:eastAsia="Calibri" w:hAnsi="Arial Narrow"/>
          <w:bCs/>
          <w:color w:val="000000" w:themeColor="text1"/>
          <w:kern w:val="32"/>
        </w:rPr>
      </w:pPr>
    </w:p>
    <w:p w14:paraId="1E733E54" w14:textId="77777777" w:rsidR="007968EC" w:rsidRPr="00FF76BB" w:rsidRDefault="007968EC" w:rsidP="007968EC">
      <w:pPr>
        <w:jc w:val="both"/>
        <w:rPr>
          <w:rFonts w:ascii="Arial Narrow" w:eastAsia="Calibri" w:hAnsi="Arial Narrow"/>
          <w:bCs/>
          <w:color w:val="000000" w:themeColor="text1"/>
          <w:kern w:val="32"/>
        </w:rPr>
      </w:pPr>
      <w:r w:rsidRPr="00FF76BB">
        <w:rPr>
          <w:rFonts w:ascii="Arial Narrow" w:eastAsia="Calibri" w:hAnsi="Arial Narrow"/>
          <w:bCs/>
          <w:color w:val="000000" w:themeColor="text1"/>
          <w:kern w:val="32"/>
        </w:rPr>
        <w:t>A partir del segundo año, el tamaño mínimo del F</w:t>
      </w:r>
      <w:r>
        <w:rPr>
          <w:rFonts w:ascii="Arial Narrow" w:eastAsia="Calibri" w:hAnsi="Arial Narrow"/>
          <w:bCs/>
          <w:color w:val="000000" w:themeColor="text1"/>
          <w:kern w:val="32"/>
        </w:rPr>
        <w:t xml:space="preserve">ondo de </w:t>
      </w:r>
      <w:r w:rsidRPr="00FF76BB">
        <w:rPr>
          <w:rFonts w:ascii="Arial Narrow" w:eastAsia="Calibri" w:hAnsi="Arial Narrow"/>
          <w:bCs/>
          <w:color w:val="000000" w:themeColor="text1"/>
          <w:kern w:val="32"/>
        </w:rPr>
        <w:t>G</w:t>
      </w:r>
      <w:r>
        <w:rPr>
          <w:rFonts w:ascii="Arial Narrow" w:eastAsia="Calibri" w:hAnsi="Arial Narrow"/>
          <w:bCs/>
          <w:color w:val="000000" w:themeColor="text1"/>
          <w:kern w:val="32"/>
        </w:rPr>
        <w:t xml:space="preserve">arantía </w:t>
      </w:r>
      <w:r w:rsidRPr="00FF76BB">
        <w:rPr>
          <w:rFonts w:ascii="Arial Narrow" w:eastAsia="Calibri" w:hAnsi="Arial Narrow"/>
          <w:bCs/>
          <w:color w:val="000000" w:themeColor="text1"/>
          <w:kern w:val="32"/>
        </w:rPr>
        <w:t>C</w:t>
      </w:r>
      <w:r>
        <w:rPr>
          <w:rFonts w:ascii="Arial Narrow" w:eastAsia="Calibri" w:hAnsi="Arial Narrow"/>
          <w:bCs/>
          <w:color w:val="000000" w:themeColor="text1"/>
          <w:kern w:val="32"/>
        </w:rPr>
        <w:t>olectiva</w:t>
      </w:r>
      <w:r w:rsidRPr="00FF76BB">
        <w:rPr>
          <w:rFonts w:ascii="Arial Narrow" w:eastAsia="Calibri" w:hAnsi="Arial Narrow"/>
          <w:bCs/>
          <w:color w:val="000000" w:themeColor="text1"/>
          <w:kern w:val="32"/>
        </w:rPr>
        <w:t xml:space="preserve"> para cada segmento será el máximo entre el valor promedio del fondo para el año anterior o la suma de todas las aportaciones mínimas de los Miembros Liquidadores. Este valor se revisará anualmente.</w:t>
      </w:r>
    </w:p>
    <w:p w14:paraId="462AE533" w14:textId="77777777" w:rsidR="007968EC" w:rsidRPr="005D0231" w:rsidRDefault="007968EC" w:rsidP="007968EC">
      <w:pPr>
        <w:jc w:val="both"/>
        <w:rPr>
          <w:rFonts w:ascii="Arial Narrow" w:eastAsia="Calibri" w:hAnsi="Arial Narrow"/>
          <w:bCs/>
          <w:color w:val="000000" w:themeColor="text1"/>
          <w:kern w:val="32"/>
        </w:rPr>
      </w:pPr>
      <w:r w:rsidRPr="00FF76BB">
        <w:rPr>
          <w:rFonts w:ascii="Arial Narrow" w:eastAsia="Calibri" w:hAnsi="Arial Narrow"/>
          <w:bCs/>
          <w:color w:val="000000" w:themeColor="text1"/>
          <w:kern w:val="32"/>
        </w:rPr>
        <w:t xml:space="preserve"> </w:t>
      </w:r>
    </w:p>
    <w:p w14:paraId="76A7A759" w14:textId="77777777" w:rsidR="007968EC" w:rsidRDefault="007968EC" w:rsidP="007968EC">
      <w:pPr>
        <w:autoSpaceDE w:val="0"/>
        <w:autoSpaceDN w:val="0"/>
        <w:contextualSpacing/>
        <w:jc w:val="both"/>
        <w:rPr>
          <w:rFonts w:ascii="Arial Narrow" w:eastAsia="Calibri" w:hAnsi="Arial Narrow"/>
          <w:bCs/>
          <w:color w:val="000000" w:themeColor="text1"/>
          <w:kern w:val="32"/>
        </w:rPr>
      </w:pPr>
      <w:r w:rsidRPr="005D0231">
        <w:rPr>
          <w:rFonts w:ascii="Arial Narrow" w:eastAsia="Calibri" w:hAnsi="Arial Narrow"/>
          <w:bCs/>
          <w:color w:val="000000" w:themeColor="text1"/>
          <w:kern w:val="32"/>
        </w:rPr>
        <w:t xml:space="preserve">El tamaño mínimo del Fondo de Garantía Colectiva es igual a </w:t>
      </w:r>
      <w:r w:rsidRPr="006252DD">
        <w:rPr>
          <w:rFonts w:ascii="Arial Narrow" w:eastAsia="Calibri" w:hAnsi="Arial Narrow"/>
          <w:bCs/>
          <w:color w:val="000000" w:themeColor="text1"/>
          <w:kern w:val="32"/>
        </w:rPr>
        <w:t>ochenta y cuatro mil quinientos cuarenta millones de pesos colombianos ($84.540.000.000) moneda corriente para el año 2020</w:t>
      </w:r>
      <w:r w:rsidRPr="00FF76BB">
        <w:rPr>
          <w:rFonts w:ascii="Arial Narrow" w:eastAsia="Calibri" w:hAnsi="Arial Narrow"/>
          <w:bCs/>
          <w:color w:val="000000" w:themeColor="text1"/>
          <w:kern w:val="32"/>
        </w:rPr>
        <w:t>.</w:t>
      </w:r>
    </w:p>
    <w:p w14:paraId="18CBE8A9" w14:textId="77777777" w:rsidR="007968EC" w:rsidRPr="00397BCE" w:rsidRDefault="007968EC" w:rsidP="007968EC">
      <w:pPr>
        <w:autoSpaceDE w:val="0"/>
        <w:autoSpaceDN w:val="0"/>
        <w:contextualSpacing/>
        <w:jc w:val="both"/>
        <w:rPr>
          <w:rFonts w:ascii="Arial Narrow" w:eastAsia="Calibri" w:hAnsi="Arial Narrow"/>
          <w:color w:val="000000"/>
        </w:rPr>
      </w:pPr>
    </w:p>
    <w:p w14:paraId="61A96173" w14:textId="77777777" w:rsidR="007968EC" w:rsidRDefault="007968EC" w:rsidP="007968EC">
      <w:pPr>
        <w:pStyle w:val="ARTICULO0"/>
      </w:pPr>
      <w:bookmarkStart w:id="4959" w:name="_Toc472592373"/>
      <w:bookmarkStart w:id="4960" w:name="_Toc472593392"/>
      <w:bookmarkStart w:id="4961" w:name="_Toc479057181"/>
      <w:bookmarkStart w:id="4962" w:name="_Toc31716199"/>
      <w:bookmarkStart w:id="4963" w:name="_Toc490066535"/>
      <w:r w:rsidRPr="002C0D19">
        <w:t>Artículo 2.5.1.1</w:t>
      </w:r>
      <w:r>
        <w:t>1</w:t>
      </w:r>
      <w:r w:rsidRPr="002C0D19">
        <w:t>. Constitución, actualización y reposición del Fondo de Garantía Colectiva.</w:t>
      </w:r>
      <w:bookmarkEnd w:id="4955"/>
      <w:bookmarkEnd w:id="4956"/>
      <w:bookmarkEnd w:id="4957"/>
      <w:bookmarkEnd w:id="4958"/>
      <w:bookmarkEnd w:id="4959"/>
      <w:bookmarkEnd w:id="4960"/>
      <w:bookmarkEnd w:id="4961"/>
      <w:bookmarkEnd w:id="4962"/>
      <w:r w:rsidRPr="002C0D19">
        <w:t xml:space="preserve"> </w:t>
      </w:r>
    </w:p>
    <w:p w14:paraId="3A0C729D" w14:textId="77777777" w:rsidR="007968EC" w:rsidRDefault="007968EC" w:rsidP="007968EC">
      <w:pPr>
        <w:keepNext/>
        <w:tabs>
          <w:tab w:val="left" w:pos="1701"/>
        </w:tabs>
        <w:jc w:val="both"/>
        <w:outlineLvl w:val="2"/>
        <w:rPr>
          <w:rFonts w:ascii="Arial Narrow" w:hAnsi="Arial Narrow" w:cs="Arial"/>
          <w:b/>
          <w:color w:val="000000" w:themeColor="text1"/>
          <w:u w:val="single"/>
          <w:lang w:eastAsia="es-ES"/>
        </w:rPr>
      </w:pPr>
    </w:p>
    <w:p w14:paraId="0A95B1DA" w14:textId="77777777" w:rsidR="007968EC" w:rsidRPr="002C0D19" w:rsidRDefault="007968EC" w:rsidP="007968EC">
      <w:pPr>
        <w:pStyle w:val="ANTECEDENTES"/>
      </w:pPr>
      <w:r w:rsidRPr="002C0D19">
        <w:t>(Este artículo fue renumerado mediante Circular 2 del 11 de enero de 2017, publicada mediante Boletín Normativo N</w:t>
      </w:r>
      <w:r>
        <w:t>o. 002 del 11 de enero de 2017,</w:t>
      </w:r>
      <w:r w:rsidRPr="002C0D19">
        <w:t xml:space="preserve"> mediante Circular 8 del 31 de marzo de 2017, publicada en el Boletín Normativo No. 008 del 31 de marzo de 2017</w:t>
      </w:r>
      <w:r>
        <w:t xml:space="preserve"> y </w:t>
      </w:r>
      <w:r w:rsidRPr="009207FD">
        <w:t>mediante Circular 6 del 24 de abril de 2018, publicada en el Boletín Normativo No. 009 del 24 de abril de 2018. Rige a partir del 25 de abril de 2018</w:t>
      </w:r>
      <w:r w:rsidRPr="002C0D19">
        <w:t>.)</w:t>
      </w:r>
      <w:bookmarkEnd w:id="4963"/>
    </w:p>
    <w:p w14:paraId="2BD4B03E" w14:textId="77777777" w:rsidR="007968EC" w:rsidRPr="002C0D19" w:rsidRDefault="007968EC" w:rsidP="007968EC">
      <w:pPr>
        <w:jc w:val="both"/>
        <w:rPr>
          <w:rFonts w:ascii="Arial Narrow" w:eastAsia="Calibri" w:hAnsi="Arial Narrow"/>
          <w:bCs/>
          <w:color w:val="000000" w:themeColor="text1"/>
          <w:kern w:val="32"/>
          <w:u w:val="single"/>
        </w:rPr>
      </w:pPr>
    </w:p>
    <w:p w14:paraId="197A0F45" w14:textId="77777777" w:rsidR="007968EC" w:rsidRPr="002C0D19" w:rsidRDefault="007968EC" w:rsidP="007968EC">
      <w:pPr>
        <w:jc w:val="both"/>
        <w:rPr>
          <w:rFonts w:ascii="Arial Narrow" w:eastAsia="Calibri" w:hAnsi="Arial Narrow"/>
          <w:bCs/>
          <w:color w:val="000000" w:themeColor="text1"/>
          <w:kern w:val="32"/>
        </w:rPr>
      </w:pPr>
      <w:r w:rsidRPr="002C0D19">
        <w:rPr>
          <w:rFonts w:ascii="Arial Narrow" w:eastAsia="Calibri" w:hAnsi="Arial Narrow"/>
          <w:bCs/>
          <w:color w:val="000000" w:themeColor="text1"/>
          <w:kern w:val="32"/>
        </w:rPr>
        <w:t>El procedimiento para la constitución, actualización y reposición del Fondo de Garantía Colectiva del Segmento de Derivados Financieros se sujetará a lo dispuesto en los artículos 1.6.2.12. y 1.6.2.13. de la presente Circular.</w:t>
      </w:r>
    </w:p>
    <w:p w14:paraId="7AA88E3F" w14:textId="77777777" w:rsidR="007968EC" w:rsidRPr="002C0D19" w:rsidRDefault="007968EC" w:rsidP="007968EC">
      <w:pPr>
        <w:rPr>
          <w:rFonts w:ascii="Arial Narrow" w:eastAsia="Calibri" w:hAnsi="Arial Narrow"/>
          <w:bCs/>
          <w:color w:val="000000" w:themeColor="text1"/>
          <w:kern w:val="32"/>
        </w:rPr>
      </w:pPr>
    </w:p>
    <w:p w14:paraId="2F661254" w14:textId="77777777" w:rsidR="007968EC" w:rsidRDefault="007968EC" w:rsidP="007968EC">
      <w:pPr>
        <w:pStyle w:val="ARTICULO0"/>
      </w:pPr>
      <w:bookmarkStart w:id="4964" w:name="_Toc470781136"/>
      <w:bookmarkStart w:id="4965" w:name="_Toc470784697"/>
      <w:bookmarkStart w:id="4966" w:name="_Toc470785234"/>
      <w:bookmarkStart w:id="4967" w:name="_Toc470791628"/>
      <w:bookmarkStart w:id="4968" w:name="_Toc472592374"/>
      <w:bookmarkStart w:id="4969" w:name="_Toc472593393"/>
      <w:bookmarkStart w:id="4970" w:name="_Toc479057182"/>
      <w:bookmarkStart w:id="4971" w:name="_Toc31716200"/>
      <w:bookmarkStart w:id="4972" w:name="_Toc490066536"/>
      <w:r w:rsidRPr="002C0D19">
        <w:lastRenderedPageBreak/>
        <w:t>Artículo 2.5.1.1</w:t>
      </w:r>
      <w:r>
        <w:t>2</w:t>
      </w:r>
      <w:r w:rsidRPr="002C0D19">
        <w:t>. Contribuciones para la continuidad del servicio.</w:t>
      </w:r>
      <w:bookmarkEnd w:id="4964"/>
      <w:bookmarkEnd w:id="4965"/>
      <w:bookmarkEnd w:id="4966"/>
      <w:bookmarkEnd w:id="4967"/>
      <w:bookmarkEnd w:id="4968"/>
      <w:bookmarkEnd w:id="4969"/>
      <w:bookmarkEnd w:id="4970"/>
      <w:bookmarkEnd w:id="4971"/>
      <w:r w:rsidRPr="002C0D19">
        <w:t xml:space="preserve"> </w:t>
      </w:r>
    </w:p>
    <w:p w14:paraId="79D9FBB3" w14:textId="77777777" w:rsidR="007968EC" w:rsidRDefault="007968EC" w:rsidP="007968EC">
      <w:pPr>
        <w:keepNext/>
        <w:tabs>
          <w:tab w:val="left" w:pos="1701"/>
        </w:tabs>
        <w:jc w:val="both"/>
        <w:outlineLvl w:val="2"/>
        <w:rPr>
          <w:rFonts w:ascii="Arial Narrow" w:hAnsi="Arial Narrow" w:cs="Arial"/>
          <w:b/>
          <w:color w:val="000000" w:themeColor="text1"/>
          <w:u w:val="single"/>
          <w:lang w:eastAsia="es-ES"/>
        </w:rPr>
      </w:pPr>
    </w:p>
    <w:p w14:paraId="3A9A0467" w14:textId="77777777" w:rsidR="007968EC" w:rsidRPr="002C0D19" w:rsidRDefault="007968EC" w:rsidP="007968EC">
      <w:pPr>
        <w:pStyle w:val="ANTECEDENTES"/>
      </w:pPr>
      <w:r w:rsidRPr="002C0D19">
        <w:t>(Este artículo fue renumerado mediante Circular 2 del 11 de enero de 2017, publicada mediante Boletín Normativo N</w:t>
      </w:r>
      <w:r>
        <w:t>o. 002 del 11 de enero de 2017,</w:t>
      </w:r>
      <w:r w:rsidRPr="002C0D19">
        <w:t xml:space="preserve"> mediante Circular 8 del 31 de marzo de 2017, publicada en el Boletín Normativo No. 008 del 31 de marzo de 2017</w:t>
      </w:r>
      <w:r w:rsidRPr="009207FD">
        <w:t xml:space="preserve"> </w:t>
      </w:r>
      <w:r>
        <w:t xml:space="preserve">y </w:t>
      </w:r>
      <w:r w:rsidRPr="009207FD">
        <w:t>mediante Circular 6 del 24 de abril de 2018, publicada en el Boletín Normativo No. 009 del 24 de abril de 2018. Rige a partir del 25 de abril de 2018</w:t>
      </w:r>
      <w:r w:rsidRPr="002C0D19">
        <w:t>.)</w:t>
      </w:r>
      <w:bookmarkEnd w:id="4972"/>
    </w:p>
    <w:p w14:paraId="41A7BF5B" w14:textId="77777777" w:rsidR="007968EC" w:rsidRPr="002C0D19" w:rsidRDefault="007968EC" w:rsidP="007968EC">
      <w:pPr>
        <w:rPr>
          <w:rFonts w:ascii="Arial Narrow" w:eastAsia="Calibri" w:hAnsi="Arial Narrow"/>
          <w:bCs/>
          <w:color w:val="000000" w:themeColor="text1"/>
          <w:kern w:val="32"/>
        </w:rPr>
      </w:pPr>
    </w:p>
    <w:p w14:paraId="5B64DB07" w14:textId="77777777" w:rsidR="007968EC" w:rsidRPr="002C0D19" w:rsidRDefault="007968EC" w:rsidP="007968EC">
      <w:pPr>
        <w:jc w:val="both"/>
        <w:rPr>
          <w:rFonts w:ascii="Arial Narrow" w:eastAsia="Calibri" w:hAnsi="Arial Narrow"/>
          <w:bCs/>
          <w:color w:val="000000" w:themeColor="text1"/>
          <w:kern w:val="32"/>
        </w:rPr>
      </w:pPr>
      <w:r w:rsidRPr="002C0D19">
        <w:rPr>
          <w:rFonts w:ascii="Arial Narrow" w:eastAsia="Calibri" w:hAnsi="Arial Narrow"/>
          <w:bCs/>
          <w:color w:val="000000" w:themeColor="text1"/>
          <w:kern w:val="32"/>
        </w:rPr>
        <w:t>Las Contribuciones de los Miembros para la continuidad del servicio para el Segmento de Derivados Financieros se regirán por lo dispuesto en los artículos 1.6.2.14. y siguientes de la presente Circular.</w:t>
      </w:r>
    </w:p>
    <w:p w14:paraId="473374A2" w14:textId="77777777" w:rsidR="007968EC" w:rsidRPr="002C0D19" w:rsidRDefault="007968EC" w:rsidP="007968EC">
      <w:pPr>
        <w:jc w:val="both"/>
        <w:rPr>
          <w:rFonts w:ascii="Arial Narrow" w:eastAsia="Calibri" w:hAnsi="Arial Narrow"/>
          <w:bCs/>
          <w:color w:val="000000" w:themeColor="text1"/>
          <w:kern w:val="32"/>
        </w:rPr>
      </w:pPr>
    </w:p>
    <w:p w14:paraId="1C0E4392" w14:textId="77777777" w:rsidR="007968EC" w:rsidRDefault="007968EC" w:rsidP="007968EC">
      <w:pPr>
        <w:pStyle w:val="ARTICULO0"/>
      </w:pPr>
      <w:bookmarkStart w:id="4973" w:name="_Toc470781137"/>
      <w:bookmarkStart w:id="4974" w:name="_Toc470784698"/>
      <w:bookmarkStart w:id="4975" w:name="_Toc470785235"/>
      <w:bookmarkStart w:id="4976" w:name="_Toc470791629"/>
      <w:bookmarkStart w:id="4977" w:name="_Toc472592375"/>
      <w:bookmarkStart w:id="4978" w:name="_Toc472593394"/>
      <w:bookmarkStart w:id="4979" w:name="_Toc479057183"/>
      <w:bookmarkStart w:id="4980" w:name="_Toc31716201"/>
      <w:bookmarkStart w:id="4981" w:name="_Toc490066537"/>
      <w:r w:rsidRPr="002C0D19">
        <w:t>Artículo 2.5.1.1</w:t>
      </w:r>
      <w:r>
        <w:t>3</w:t>
      </w:r>
      <w:r w:rsidRPr="002C0D19">
        <w:t>. Recursos Propios Específicos.</w:t>
      </w:r>
      <w:bookmarkEnd w:id="4973"/>
      <w:bookmarkEnd w:id="4974"/>
      <w:bookmarkEnd w:id="4975"/>
      <w:bookmarkEnd w:id="4976"/>
      <w:bookmarkEnd w:id="4977"/>
      <w:bookmarkEnd w:id="4978"/>
      <w:bookmarkEnd w:id="4979"/>
      <w:bookmarkEnd w:id="4980"/>
      <w:r w:rsidRPr="002C0D19">
        <w:t xml:space="preserve"> </w:t>
      </w:r>
    </w:p>
    <w:p w14:paraId="6A42EDE9" w14:textId="77777777" w:rsidR="007968EC" w:rsidRDefault="007968EC" w:rsidP="007968EC">
      <w:pPr>
        <w:keepNext/>
        <w:tabs>
          <w:tab w:val="left" w:pos="1701"/>
        </w:tabs>
        <w:jc w:val="both"/>
        <w:outlineLvl w:val="2"/>
        <w:rPr>
          <w:rFonts w:ascii="Arial Narrow" w:hAnsi="Arial Narrow" w:cs="Arial"/>
          <w:b/>
          <w:color w:val="000000" w:themeColor="text1"/>
          <w:u w:val="single"/>
          <w:lang w:eastAsia="es-ES"/>
        </w:rPr>
      </w:pPr>
    </w:p>
    <w:p w14:paraId="24ADF47D" w14:textId="77777777" w:rsidR="007968EC" w:rsidRDefault="007968EC" w:rsidP="007968EC">
      <w:pPr>
        <w:pStyle w:val="ANTECEDENTES"/>
      </w:pPr>
      <w:r w:rsidRPr="002C0D19">
        <w:t>(Este artículo fue renumerado mediante Circular 2 del 11 de enero de 2017, publicada mediante Boletín Normativo No. 002 del 11 de enero de 2017</w:t>
      </w:r>
      <w:r>
        <w:t>,</w:t>
      </w:r>
      <w:r w:rsidRPr="002C0D19">
        <w:t xml:space="preserve"> mediante Circular 8 del 31 de marzo de 2017, publicada en el Boletín Normativo No. 008 del 31 de marzo de 2017</w:t>
      </w:r>
      <w:r w:rsidRPr="009207FD">
        <w:t xml:space="preserve"> </w:t>
      </w:r>
      <w:r>
        <w:t xml:space="preserve">y </w:t>
      </w:r>
      <w:r w:rsidRPr="009207FD">
        <w:t>mediante Circular 6 del 24 de abril de 2018, publicada en el Boletín Normativo No. 009 del 24 de abril de 2018. Rige a partir del 25 de abril de 2018</w:t>
      </w:r>
      <w:r w:rsidRPr="002C0D19">
        <w:t>.)</w:t>
      </w:r>
      <w:bookmarkStart w:id="4982" w:name="_Toc470780007"/>
      <w:bookmarkStart w:id="4983" w:name="_Toc470781138"/>
      <w:bookmarkStart w:id="4984" w:name="_Toc470784699"/>
      <w:bookmarkStart w:id="4985" w:name="_Toc470785236"/>
      <w:bookmarkStart w:id="4986" w:name="_Toc470791630"/>
      <w:bookmarkStart w:id="4987" w:name="_Toc471831839"/>
      <w:bookmarkStart w:id="4988" w:name="_Toc490066538"/>
      <w:bookmarkStart w:id="4989" w:name="_Toc490079316"/>
      <w:bookmarkEnd w:id="4981"/>
    </w:p>
    <w:p w14:paraId="40892804" w14:textId="77777777" w:rsidR="007968EC" w:rsidRPr="00397BCE" w:rsidRDefault="007968EC" w:rsidP="007968EC">
      <w:pPr>
        <w:rPr>
          <w:rFonts w:ascii="Arial" w:eastAsia="Calibri" w:hAnsi="Arial" w:cs="Arial"/>
          <w:b/>
          <w:lang w:eastAsia="es-ES"/>
        </w:rPr>
      </w:pPr>
    </w:p>
    <w:p w14:paraId="68D0FBAA" w14:textId="77777777" w:rsidR="007968EC" w:rsidRPr="00397BCE" w:rsidRDefault="007968EC" w:rsidP="007968EC">
      <w:pPr>
        <w:keepNext/>
        <w:tabs>
          <w:tab w:val="left" w:pos="1701"/>
        </w:tabs>
        <w:jc w:val="both"/>
        <w:outlineLvl w:val="2"/>
        <w:rPr>
          <w:rFonts w:ascii="Arial Narrow" w:hAnsi="Arial Narrow" w:cs="Arial"/>
          <w:b/>
          <w:color w:val="000000" w:themeColor="text1"/>
          <w:lang w:eastAsia="es-ES"/>
        </w:rPr>
      </w:pPr>
      <w:r w:rsidRPr="002C0D19">
        <w:rPr>
          <w:rFonts w:ascii="Arial Narrow" w:eastAsia="Calibri" w:hAnsi="Arial Narrow"/>
          <w:color w:val="000000" w:themeColor="text1"/>
        </w:rPr>
        <w:t xml:space="preserve">El importe de los Recursos Propios Específicos para el Segmento de Derivados Financieros se informará </w:t>
      </w:r>
      <w:r w:rsidRPr="002C0D19">
        <w:rPr>
          <w:rFonts w:ascii="Arial Narrow" w:eastAsia="Calibri" w:hAnsi="Arial Narrow"/>
          <w:bCs/>
          <w:color w:val="000000" w:themeColor="text1"/>
          <w:kern w:val="32"/>
        </w:rPr>
        <w:t>mediante Boletín Informativo.</w:t>
      </w:r>
      <w:bookmarkEnd w:id="4982"/>
      <w:bookmarkEnd w:id="4983"/>
      <w:bookmarkEnd w:id="4984"/>
      <w:bookmarkEnd w:id="4985"/>
      <w:bookmarkEnd w:id="4986"/>
      <w:bookmarkEnd w:id="4987"/>
      <w:bookmarkEnd w:id="4988"/>
      <w:bookmarkEnd w:id="4989"/>
    </w:p>
    <w:p w14:paraId="34539D46" w14:textId="77777777" w:rsidR="007968EC" w:rsidRDefault="007968EC" w:rsidP="007968EC">
      <w:pPr>
        <w:keepNext/>
        <w:jc w:val="center"/>
        <w:outlineLvl w:val="0"/>
        <w:rPr>
          <w:rFonts w:ascii="Arial Narrow" w:eastAsia="Calibri" w:hAnsi="Arial Narrow" w:cs="Arial"/>
          <w:b/>
          <w:kern w:val="32"/>
          <w:szCs w:val="20"/>
          <w:lang w:val="es-ES"/>
        </w:rPr>
      </w:pPr>
      <w:bookmarkStart w:id="4990" w:name="_Toc470781139"/>
      <w:bookmarkStart w:id="4991" w:name="_Toc470784700"/>
      <w:bookmarkStart w:id="4992" w:name="_Toc470785237"/>
      <w:bookmarkStart w:id="4993" w:name="_Toc470791631"/>
      <w:bookmarkStart w:id="4994" w:name="_Toc472592376"/>
      <w:bookmarkStart w:id="4995" w:name="_Toc472593395"/>
      <w:bookmarkStart w:id="4996" w:name="_Toc479057184"/>
      <w:bookmarkStart w:id="4997" w:name="_Toc490066539"/>
    </w:p>
    <w:p w14:paraId="06C54B38" w14:textId="77777777" w:rsidR="007968EC" w:rsidRPr="002C0D19" w:rsidRDefault="007968EC" w:rsidP="007968EC">
      <w:pPr>
        <w:pStyle w:val="TTULO"/>
        <w:rPr>
          <w:rFonts w:eastAsia="Calibri"/>
          <w:lang w:val="es-ES"/>
        </w:rPr>
      </w:pPr>
      <w:bookmarkStart w:id="4998" w:name="_Toc31716202"/>
      <w:r w:rsidRPr="002C0D19">
        <w:rPr>
          <w:rFonts w:eastAsia="Calibri"/>
          <w:lang w:val="es-ES"/>
        </w:rPr>
        <w:t>TÍTULO SEXTO</w:t>
      </w:r>
      <w:bookmarkEnd w:id="4990"/>
      <w:bookmarkEnd w:id="4991"/>
      <w:bookmarkEnd w:id="4992"/>
      <w:bookmarkEnd w:id="4993"/>
      <w:bookmarkEnd w:id="4994"/>
      <w:bookmarkEnd w:id="4995"/>
      <w:bookmarkEnd w:id="4996"/>
      <w:bookmarkEnd w:id="4997"/>
      <w:bookmarkEnd w:id="4998"/>
    </w:p>
    <w:p w14:paraId="59E34D14" w14:textId="77777777" w:rsidR="007968EC" w:rsidRPr="002C0D19" w:rsidRDefault="007968EC" w:rsidP="007968EC">
      <w:pPr>
        <w:pStyle w:val="TTULO"/>
        <w:rPr>
          <w:rFonts w:eastAsia="Calibri"/>
          <w:lang w:val="es-ES"/>
        </w:rPr>
      </w:pPr>
    </w:p>
    <w:p w14:paraId="0010D8C7" w14:textId="77777777" w:rsidR="007968EC" w:rsidRPr="002C0D19" w:rsidRDefault="007968EC" w:rsidP="007968EC">
      <w:pPr>
        <w:pStyle w:val="TTULO"/>
        <w:rPr>
          <w:rFonts w:eastAsia="Calibri"/>
          <w:lang w:val="es-ES"/>
        </w:rPr>
      </w:pPr>
      <w:bookmarkStart w:id="4999" w:name="_Toc470781140"/>
      <w:bookmarkStart w:id="5000" w:name="_Toc470784701"/>
      <w:bookmarkStart w:id="5001" w:name="_Toc470785238"/>
      <w:bookmarkStart w:id="5002" w:name="_Toc470791632"/>
      <w:bookmarkStart w:id="5003" w:name="_Toc472592377"/>
      <w:bookmarkStart w:id="5004" w:name="_Toc472593396"/>
      <w:bookmarkStart w:id="5005" w:name="_Toc479057185"/>
      <w:bookmarkStart w:id="5006" w:name="_Toc490066540"/>
      <w:bookmarkStart w:id="5007" w:name="_Toc31716203"/>
      <w:r w:rsidRPr="002C0D19">
        <w:rPr>
          <w:rFonts w:eastAsia="Calibri"/>
          <w:lang w:val="es-ES"/>
        </w:rPr>
        <w:t>HORARIOS DE LAS SESIONES DE CÁMARA</w:t>
      </w:r>
      <w:bookmarkEnd w:id="4999"/>
      <w:bookmarkEnd w:id="5000"/>
      <w:bookmarkEnd w:id="5001"/>
      <w:bookmarkEnd w:id="5002"/>
      <w:bookmarkEnd w:id="5003"/>
      <w:bookmarkEnd w:id="5004"/>
      <w:bookmarkEnd w:id="5005"/>
      <w:bookmarkEnd w:id="5006"/>
      <w:bookmarkEnd w:id="5007"/>
    </w:p>
    <w:p w14:paraId="2158FBF9" w14:textId="77777777" w:rsidR="007968EC" w:rsidRPr="002C0D19" w:rsidRDefault="007968EC" w:rsidP="007968EC">
      <w:pPr>
        <w:pStyle w:val="TTULO"/>
        <w:rPr>
          <w:rFonts w:eastAsia="Calibri"/>
          <w:lang w:val="es-ES"/>
        </w:rPr>
      </w:pPr>
    </w:p>
    <w:p w14:paraId="6DC74357" w14:textId="77777777" w:rsidR="007968EC" w:rsidRPr="002C0D19" w:rsidRDefault="007968EC" w:rsidP="007968EC">
      <w:pPr>
        <w:pStyle w:val="TTULO"/>
        <w:rPr>
          <w:rFonts w:eastAsia="Calibri"/>
          <w:lang w:val="es-ES"/>
        </w:rPr>
      </w:pPr>
      <w:bookmarkStart w:id="5008" w:name="_Toc470781141"/>
      <w:bookmarkStart w:id="5009" w:name="_Toc470784702"/>
      <w:bookmarkStart w:id="5010" w:name="_Toc470785239"/>
      <w:bookmarkStart w:id="5011" w:name="_Toc470791633"/>
      <w:bookmarkStart w:id="5012" w:name="_Toc472592378"/>
      <w:bookmarkStart w:id="5013" w:name="_Toc472593397"/>
      <w:bookmarkStart w:id="5014" w:name="_Toc479057186"/>
      <w:bookmarkStart w:id="5015" w:name="_Toc490066541"/>
      <w:bookmarkStart w:id="5016" w:name="_Toc31716204"/>
      <w:r w:rsidRPr="002C0D19">
        <w:rPr>
          <w:rFonts w:eastAsia="Calibri"/>
          <w:lang w:val="es-ES"/>
        </w:rPr>
        <w:t>CAPITULO PRIMERO</w:t>
      </w:r>
      <w:bookmarkEnd w:id="5008"/>
      <w:bookmarkEnd w:id="5009"/>
      <w:bookmarkEnd w:id="5010"/>
      <w:bookmarkEnd w:id="5011"/>
      <w:bookmarkEnd w:id="5012"/>
      <w:bookmarkEnd w:id="5013"/>
      <w:bookmarkEnd w:id="5014"/>
      <w:bookmarkEnd w:id="5015"/>
      <w:bookmarkEnd w:id="5016"/>
    </w:p>
    <w:p w14:paraId="106F5DD0" w14:textId="77777777" w:rsidR="007968EC" w:rsidRPr="002C0D19" w:rsidRDefault="007968EC" w:rsidP="007968EC">
      <w:pPr>
        <w:outlineLvl w:val="1"/>
        <w:rPr>
          <w:rFonts w:ascii="Arial Narrow" w:eastAsia="Calibri" w:hAnsi="Arial Narrow"/>
          <w:b/>
          <w:color w:val="000000" w:themeColor="text1"/>
          <w:u w:val="single"/>
        </w:rPr>
      </w:pPr>
    </w:p>
    <w:p w14:paraId="1B6EBC1F" w14:textId="77777777" w:rsidR="007968EC" w:rsidRDefault="007968EC" w:rsidP="007968EC">
      <w:pPr>
        <w:pStyle w:val="ARTICULO0"/>
      </w:pPr>
      <w:bookmarkStart w:id="5017" w:name="_Toc470781142"/>
      <w:bookmarkStart w:id="5018" w:name="_Toc470784703"/>
      <w:bookmarkStart w:id="5019" w:name="_Toc470785240"/>
      <w:bookmarkStart w:id="5020" w:name="_Toc470791634"/>
      <w:bookmarkStart w:id="5021" w:name="_Toc472592379"/>
      <w:bookmarkStart w:id="5022" w:name="_Toc472593398"/>
      <w:bookmarkStart w:id="5023" w:name="_Toc479057187"/>
      <w:bookmarkStart w:id="5024" w:name="_Toc31716205"/>
      <w:bookmarkStart w:id="5025" w:name="_Toc490066542"/>
      <w:r w:rsidRPr="002C0D19">
        <w:t>Artículo 2.6.1.1. Horarios de Sesiones de Operación de Cámara.</w:t>
      </w:r>
      <w:bookmarkEnd w:id="5017"/>
      <w:bookmarkEnd w:id="5018"/>
      <w:bookmarkEnd w:id="5019"/>
      <w:bookmarkEnd w:id="5020"/>
      <w:bookmarkEnd w:id="5021"/>
      <w:bookmarkEnd w:id="5022"/>
      <w:bookmarkEnd w:id="5023"/>
      <w:bookmarkEnd w:id="5024"/>
      <w:r w:rsidRPr="002C0D19">
        <w:t xml:space="preserve"> </w:t>
      </w:r>
    </w:p>
    <w:p w14:paraId="0233B6A6" w14:textId="77777777" w:rsidR="007968EC" w:rsidRDefault="007968EC" w:rsidP="007968EC">
      <w:pPr>
        <w:keepNext/>
        <w:tabs>
          <w:tab w:val="left" w:pos="1701"/>
        </w:tabs>
        <w:jc w:val="both"/>
        <w:outlineLvl w:val="2"/>
        <w:rPr>
          <w:rFonts w:ascii="Arial Narrow" w:hAnsi="Arial Narrow" w:cs="Arial"/>
          <w:b/>
          <w:color w:val="000000" w:themeColor="text1"/>
          <w:u w:val="single"/>
          <w:lang w:eastAsia="es-ES"/>
        </w:rPr>
      </w:pPr>
    </w:p>
    <w:p w14:paraId="14F2B96D" w14:textId="77777777" w:rsidR="007968EC" w:rsidRDefault="007968EC" w:rsidP="007968EC">
      <w:pPr>
        <w:pStyle w:val="ANTECEDENTES"/>
      </w:pPr>
      <w:r w:rsidRPr="002C0D19">
        <w:t xml:space="preserve">(Este artículo fue modificado mediante Circular 2 del 11 de enero de 2017, publicada </w:t>
      </w:r>
      <w:r>
        <w:t>en el</w:t>
      </w:r>
      <w:r w:rsidRPr="002C0D19">
        <w:t xml:space="preserve"> Boletín Normativo N</w:t>
      </w:r>
      <w:r>
        <w:t>o. 002 del 11 de enero de 2017,</w:t>
      </w:r>
      <w:r w:rsidRPr="002C0D19">
        <w:t xml:space="preserve"> mediante Circular 6 del 14 de febrero de 2017, publicada en el Boletín Normativo No. 006 del 14 de febrero de 2017</w:t>
      </w:r>
      <w:bookmarkStart w:id="5026" w:name="_Hlk497491564"/>
      <w:r>
        <w:t xml:space="preserve">, mediante Circular 22 del 3 de noviembre de 2017, publicada mediante Boletín Normativo No. 024 del 3 de noviembre de 2017, mediante Circular 24 del 11 de diciembre de 2017, publicada en el Boletín Normativo No. 031 del 11 de diciembre de 2017, </w:t>
      </w:r>
      <w:r w:rsidRPr="00F96783">
        <w:t>mediante Circular 002 del 20 de febrero de 2018, publicada en el Boletín Normativo No.</w:t>
      </w:r>
      <w:r>
        <w:t xml:space="preserve"> 003 del 20 de febrero de 2018, mediante Circular 10 del 6 de julio de 2018, publicada en el Boletín Normativo No. 013 del 6 de julio de 2018</w:t>
      </w:r>
      <w:r w:rsidRPr="00C35DB3">
        <w:t xml:space="preserve"> y modificado mediante Circular 2 del 22 de febrero de 2019, publicada en el Boletín Normativo No. 007 del 22 de febrero de 2019</w:t>
      </w:r>
      <w:r>
        <w:t>, mediante Circular 12 del 9 de agosto de 2019, publicada en el Boletín Normativo No. 025 del 9 de agosto de 2019, mediante Circular 15 del 30 de septiembre de 2019, publicada en el Boletín Normativo No. 028 del 30 de septiembre de 2019 y mediante Circular 18 del 1 de noviembre de 2019, publicada en el Boletín Normativo No. 033 del 1 de noviembre de 2019</w:t>
      </w:r>
      <w:r w:rsidRPr="002C0D19">
        <w:t xml:space="preserve">. Rige a partir del </w:t>
      </w:r>
      <w:r>
        <w:t>5</w:t>
      </w:r>
      <w:r w:rsidRPr="002C0D19">
        <w:t xml:space="preserve"> de </w:t>
      </w:r>
      <w:r>
        <w:t>noviembre</w:t>
      </w:r>
      <w:r w:rsidRPr="002C0D19">
        <w:t xml:space="preserve"> de 201</w:t>
      </w:r>
      <w:r>
        <w:t>9</w:t>
      </w:r>
      <w:r w:rsidRPr="002C0D19">
        <w:t>.)</w:t>
      </w:r>
    </w:p>
    <w:p w14:paraId="3EC04A24" w14:textId="77777777" w:rsidR="007968EC" w:rsidRDefault="007968EC" w:rsidP="007968EC">
      <w:pPr>
        <w:pStyle w:val="ANTECEDENTES"/>
        <w:rPr>
          <w:rFonts w:eastAsia="Calibri"/>
          <w:bCs/>
          <w:color w:val="000000" w:themeColor="text1"/>
        </w:rPr>
      </w:pPr>
      <w:bookmarkStart w:id="5027" w:name="_Toc470781143"/>
      <w:bookmarkStart w:id="5028" w:name="_Toc470784704"/>
      <w:bookmarkStart w:id="5029" w:name="_Toc470785241"/>
      <w:bookmarkStart w:id="5030" w:name="_Toc470791635"/>
      <w:bookmarkStart w:id="5031" w:name="_Toc472592380"/>
      <w:bookmarkStart w:id="5032" w:name="_Toc472593399"/>
      <w:bookmarkStart w:id="5033" w:name="_Toc479057188"/>
      <w:bookmarkStart w:id="5034" w:name="_Toc490066543"/>
      <w:bookmarkEnd w:id="5025"/>
      <w:bookmarkEnd w:id="5026"/>
    </w:p>
    <w:p w14:paraId="71E912C1" w14:textId="77777777" w:rsidR="007968EC" w:rsidRPr="00EB14DE" w:rsidRDefault="007968EC" w:rsidP="007968EC">
      <w:pPr>
        <w:autoSpaceDE w:val="0"/>
        <w:autoSpaceDN w:val="0"/>
        <w:adjustRightInd w:val="0"/>
        <w:contextualSpacing/>
        <w:jc w:val="both"/>
        <w:rPr>
          <w:rFonts w:ascii="Arial Narrow" w:eastAsia="Calibri" w:hAnsi="Arial Narrow"/>
          <w:color w:val="000000" w:themeColor="text1"/>
          <w:lang w:eastAsia="en-US"/>
        </w:rPr>
      </w:pPr>
      <w:bookmarkStart w:id="5035" w:name="_Hlk506966422"/>
      <w:r w:rsidRPr="00EB14DE">
        <w:rPr>
          <w:rFonts w:ascii="Arial Narrow" w:eastAsia="Calibri" w:hAnsi="Arial Narrow"/>
          <w:color w:val="000000" w:themeColor="text1"/>
          <w:lang w:eastAsia="en-US"/>
        </w:rPr>
        <w:lastRenderedPageBreak/>
        <w:t>De conformidad con el artículo 1.3.6. del Reglamento de Funcionamiento de la Cámara y el Artículo 1.8.1.1. de la presente Circular, el horario de funcionamiento para el Segmento de Derivados Financieros tendrá las siguientes sesiones particulares:</w:t>
      </w:r>
    </w:p>
    <w:p w14:paraId="1581617D" w14:textId="77777777" w:rsidR="007968EC" w:rsidRPr="00EB14DE" w:rsidRDefault="007968EC" w:rsidP="007968EC">
      <w:pPr>
        <w:tabs>
          <w:tab w:val="num" w:pos="5040"/>
        </w:tabs>
        <w:ind w:left="426"/>
        <w:jc w:val="both"/>
        <w:rPr>
          <w:rFonts w:ascii="Arial Narrow" w:eastAsia="Calibri" w:hAnsi="Arial Narrow"/>
          <w:color w:val="000000" w:themeColor="text1"/>
          <w:u w:val="single"/>
          <w:lang w:eastAsia="en-US"/>
        </w:rPr>
      </w:pPr>
    </w:p>
    <w:p w14:paraId="1F85B721" w14:textId="77777777" w:rsidR="007968EC" w:rsidRPr="00EB14DE" w:rsidRDefault="007968EC" w:rsidP="00DA7472">
      <w:pPr>
        <w:numPr>
          <w:ilvl w:val="0"/>
          <w:numId w:val="213"/>
        </w:numPr>
        <w:spacing w:after="160" w:line="259" w:lineRule="auto"/>
        <w:ind w:left="426" w:hanging="426"/>
        <w:jc w:val="both"/>
        <w:rPr>
          <w:rFonts w:ascii="Arial Narrow" w:eastAsia="Calibri" w:hAnsi="Arial Narrow"/>
          <w:color w:val="000000" w:themeColor="text1"/>
          <w:u w:val="single"/>
          <w:lang w:eastAsia="en-US"/>
        </w:rPr>
      </w:pPr>
      <w:r w:rsidRPr="00EB14DE">
        <w:rPr>
          <w:rFonts w:ascii="Arial Narrow" w:eastAsia="Calibri" w:hAnsi="Arial Narrow"/>
          <w:color w:val="000000" w:themeColor="text1"/>
          <w:u w:val="single"/>
          <w:lang w:eastAsia="en-US"/>
        </w:rPr>
        <w:t>Sesión de Aceptación de Operaciones:</w:t>
      </w:r>
    </w:p>
    <w:p w14:paraId="67CF21BC" w14:textId="77777777" w:rsidR="007968EC" w:rsidRPr="00EB14DE" w:rsidRDefault="007968EC" w:rsidP="007968EC">
      <w:pPr>
        <w:rPr>
          <w:rFonts w:ascii="Arial Narrow" w:eastAsia="Calibri" w:hAnsi="Arial Narrow" w:cs="Arial"/>
          <w:b/>
          <w:lang w:eastAsia="es-ES"/>
        </w:rPr>
      </w:pP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78"/>
        <w:gridCol w:w="3686"/>
      </w:tblGrid>
      <w:tr w:rsidR="007968EC" w:rsidRPr="00EB14DE" w14:paraId="198BFE20" w14:textId="77777777" w:rsidTr="007968EC">
        <w:trPr>
          <w:trHeight w:val="151"/>
          <w:jc w:val="center"/>
        </w:trPr>
        <w:tc>
          <w:tcPr>
            <w:tcW w:w="467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04E24B5" w14:textId="77777777" w:rsidR="007968EC" w:rsidRPr="00EB14DE" w:rsidRDefault="007968EC" w:rsidP="007968EC">
            <w:pPr>
              <w:ind w:left="96"/>
              <w:jc w:val="center"/>
              <w:rPr>
                <w:rFonts w:ascii="Arial Narrow" w:eastAsia="Calibri" w:hAnsi="Arial Narrow"/>
                <w:bCs/>
                <w:color w:val="000000" w:themeColor="text1"/>
                <w:lang w:eastAsia="en-US"/>
              </w:rPr>
            </w:pPr>
            <w:r w:rsidRPr="00EB14DE">
              <w:rPr>
                <w:rFonts w:ascii="Arial Narrow" w:eastAsia="Calibri" w:hAnsi="Arial Narrow"/>
                <w:bCs/>
                <w:color w:val="000000" w:themeColor="text1"/>
                <w:lang w:eastAsia="en-US"/>
              </w:rPr>
              <w:t>Activo</w:t>
            </w:r>
          </w:p>
        </w:tc>
        <w:tc>
          <w:tcPr>
            <w:tcW w:w="368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0E2ED73" w14:textId="77777777" w:rsidR="007968EC" w:rsidRPr="00EB14DE" w:rsidRDefault="007968EC" w:rsidP="007968EC">
            <w:pPr>
              <w:jc w:val="center"/>
              <w:rPr>
                <w:rFonts w:ascii="Arial Narrow" w:eastAsia="Calibri" w:hAnsi="Arial Narrow"/>
                <w:bCs/>
                <w:color w:val="000000" w:themeColor="text1"/>
                <w:lang w:eastAsia="en-US"/>
              </w:rPr>
            </w:pPr>
            <w:r w:rsidRPr="00EB14DE">
              <w:rPr>
                <w:rFonts w:ascii="Arial Narrow" w:eastAsia="Calibri" w:hAnsi="Arial Narrow"/>
                <w:bCs/>
                <w:color w:val="000000" w:themeColor="text1"/>
                <w:lang w:eastAsia="en-US"/>
              </w:rPr>
              <w:t xml:space="preserve"> Sesión de Aceptación</w:t>
            </w:r>
          </w:p>
          <w:p w14:paraId="3CBC295F" w14:textId="77777777" w:rsidR="007968EC" w:rsidRPr="00EB14DE" w:rsidRDefault="007968EC" w:rsidP="007968EC">
            <w:pPr>
              <w:jc w:val="center"/>
              <w:rPr>
                <w:rFonts w:ascii="Arial Narrow" w:eastAsia="Calibri" w:hAnsi="Arial Narrow"/>
                <w:bCs/>
                <w:color w:val="000000" w:themeColor="text1"/>
                <w:lang w:eastAsia="en-US"/>
              </w:rPr>
            </w:pPr>
            <w:r w:rsidRPr="00EB14DE">
              <w:rPr>
                <w:rFonts w:ascii="Arial Narrow" w:eastAsia="Calibri" w:hAnsi="Arial Narrow"/>
                <w:bCs/>
                <w:color w:val="000000" w:themeColor="text1"/>
                <w:lang w:eastAsia="en-US"/>
              </w:rPr>
              <w:t xml:space="preserve"> de Operaciones           </w:t>
            </w:r>
          </w:p>
        </w:tc>
      </w:tr>
      <w:tr w:rsidR="007968EC" w:rsidRPr="00EB14DE" w14:paraId="4B3CD9E7" w14:textId="77777777" w:rsidTr="007968EC">
        <w:trPr>
          <w:trHeight w:val="300"/>
          <w:jc w:val="center"/>
        </w:trPr>
        <w:tc>
          <w:tcPr>
            <w:tcW w:w="4678" w:type="dxa"/>
            <w:tcBorders>
              <w:top w:val="single" w:sz="4" w:space="0" w:color="auto"/>
              <w:left w:val="single" w:sz="4" w:space="0" w:color="auto"/>
              <w:bottom w:val="single" w:sz="4" w:space="0" w:color="auto"/>
              <w:right w:val="single" w:sz="4" w:space="0" w:color="auto"/>
            </w:tcBorders>
            <w:vAlign w:val="center"/>
            <w:hideMark/>
          </w:tcPr>
          <w:p w14:paraId="2AA0D895" w14:textId="77777777" w:rsidR="007968EC" w:rsidRPr="00EB14DE" w:rsidRDefault="007968EC" w:rsidP="007968EC">
            <w:pPr>
              <w:rPr>
                <w:rFonts w:ascii="Arial Narrow" w:eastAsia="Calibri" w:hAnsi="Arial Narrow"/>
                <w:bCs/>
                <w:color w:val="000000" w:themeColor="text1"/>
                <w:lang w:eastAsia="en-US"/>
              </w:rPr>
            </w:pPr>
            <w:r w:rsidRPr="00EB14DE">
              <w:rPr>
                <w:rFonts w:ascii="Arial Narrow" w:eastAsia="Calibri" w:hAnsi="Arial Narrow"/>
                <w:bCs/>
                <w:color w:val="000000" w:themeColor="text1"/>
                <w:lang w:eastAsia="en-US"/>
              </w:rPr>
              <w:t>Futuro TES Mediano Plazo.</w:t>
            </w:r>
          </w:p>
        </w:tc>
        <w:tc>
          <w:tcPr>
            <w:tcW w:w="3686" w:type="dxa"/>
            <w:vMerge w:val="restart"/>
            <w:tcBorders>
              <w:top w:val="single" w:sz="4" w:space="0" w:color="auto"/>
              <w:left w:val="single" w:sz="4" w:space="0" w:color="auto"/>
              <w:right w:val="single" w:sz="4" w:space="0" w:color="auto"/>
            </w:tcBorders>
            <w:vAlign w:val="center"/>
            <w:hideMark/>
          </w:tcPr>
          <w:p w14:paraId="77A1A67D" w14:textId="77777777" w:rsidR="007968EC" w:rsidRPr="00EB14DE" w:rsidRDefault="007968EC" w:rsidP="007968EC">
            <w:pPr>
              <w:ind w:right="3492"/>
              <w:jc w:val="center"/>
              <w:rPr>
                <w:rFonts w:ascii="Arial Narrow" w:eastAsia="Calibri" w:hAnsi="Arial Narrow"/>
                <w:bCs/>
                <w:color w:val="000000" w:themeColor="text1"/>
                <w:lang w:eastAsia="en-US"/>
              </w:rPr>
            </w:pPr>
          </w:p>
          <w:p w14:paraId="0F7D0BDD" w14:textId="77777777" w:rsidR="007968EC" w:rsidRPr="00EB14DE" w:rsidRDefault="007968EC" w:rsidP="007968EC">
            <w:pPr>
              <w:jc w:val="center"/>
              <w:rPr>
                <w:rFonts w:ascii="Arial Narrow" w:eastAsia="Calibri" w:hAnsi="Arial Narrow"/>
                <w:bCs/>
                <w:color w:val="000000" w:themeColor="text1"/>
                <w:lang w:eastAsia="en-US"/>
              </w:rPr>
            </w:pPr>
            <w:r w:rsidRPr="00EB14DE">
              <w:rPr>
                <w:rFonts w:ascii="Arial Narrow" w:eastAsia="Calibri" w:hAnsi="Arial Narrow"/>
                <w:bCs/>
                <w:color w:val="000000" w:themeColor="text1"/>
                <w:lang w:eastAsia="en-US"/>
              </w:rPr>
              <w:t xml:space="preserve">8:00 a.m. a </w:t>
            </w:r>
            <w:r>
              <w:rPr>
                <w:rFonts w:ascii="Arial Narrow" w:eastAsia="Calibri" w:hAnsi="Arial Narrow"/>
                <w:bCs/>
                <w:color w:val="000000" w:themeColor="text1"/>
                <w:lang w:eastAsia="en-US"/>
              </w:rPr>
              <w:t>5:15</w:t>
            </w:r>
            <w:r w:rsidRPr="00EB14DE">
              <w:rPr>
                <w:rFonts w:ascii="Arial Narrow" w:eastAsia="Calibri" w:hAnsi="Arial Narrow"/>
                <w:bCs/>
                <w:color w:val="000000" w:themeColor="text1"/>
                <w:lang w:eastAsia="en-US"/>
              </w:rPr>
              <w:t xml:space="preserve"> p.m.</w:t>
            </w:r>
          </w:p>
        </w:tc>
      </w:tr>
      <w:tr w:rsidR="007968EC" w:rsidRPr="00EB14DE" w14:paraId="188CE039" w14:textId="77777777" w:rsidTr="007968EC">
        <w:trPr>
          <w:trHeight w:val="300"/>
          <w:jc w:val="center"/>
        </w:trPr>
        <w:tc>
          <w:tcPr>
            <w:tcW w:w="4678" w:type="dxa"/>
            <w:tcBorders>
              <w:top w:val="single" w:sz="4" w:space="0" w:color="auto"/>
              <w:left w:val="single" w:sz="4" w:space="0" w:color="auto"/>
              <w:bottom w:val="single" w:sz="4" w:space="0" w:color="auto"/>
              <w:right w:val="single" w:sz="4" w:space="0" w:color="auto"/>
            </w:tcBorders>
            <w:vAlign w:val="center"/>
            <w:hideMark/>
          </w:tcPr>
          <w:p w14:paraId="78804ABB" w14:textId="77777777" w:rsidR="007968EC" w:rsidRPr="00EB14DE" w:rsidRDefault="007968EC" w:rsidP="007968EC">
            <w:pPr>
              <w:rPr>
                <w:rFonts w:ascii="Arial Narrow" w:eastAsia="Calibri" w:hAnsi="Arial Narrow"/>
                <w:bCs/>
                <w:color w:val="000000" w:themeColor="text1"/>
                <w:lang w:eastAsia="en-US"/>
              </w:rPr>
            </w:pPr>
            <w:r w:rsidRPr="00EB14DE">
              <w:rPr>
                <w:rFonts w:ascii="Arial Narrow" w:eastAsia="Calibri" w:hAnsi="Arial Narrow"/>
                <w:bCs/>
                <w:color w:val="000000" w:themeColor="text1"/>
                <w:lang w:eastAsia="en-US"/>
              </w:rPr>
              <w:t>Futuro TES Corto Plazo.</w:t>
            </w:r>
          </w:p>
        </w:tc>
        <w:tc>
          <w:tcPr>
            <w:tcW w:w="3686" w:type="dxa"/>
            <w:vMerge/>
            <w:tcBorders>
              <w:left w:val="single" w:sz="4" w:space="0" w:color="auto"/>
              <w:right w:val="single" w:sz="4" w:space="0" w:color="auto"/>
            </w:tcBorders>
            <w:vAlign w:val="center"/>
            <w:hideMark/>
          </w:tcPr>
          <w:p w14:paraId="6CBFE3A3" w14:textId="77777777" w:rsidR="007968EC" w:rsidRPr="00EB14DE" w:rsidRDefault="007968EC" w:rsidP="007968EC">
            <w:pPr>
              <w:rPr>
                <w:rFonts w:ascii="Arial Narrow" w:eastAsia="Calibri" w:hAnsi="Arial Narrow"/>
                <w:bCs/>
                <w:color w:val="000000" w:themeColor="text1"/>
                <w:lang w:eastAsia="en-US"/>
              </w:rPr>
            </w:pPr>
          </w:p>
        </w:tc>
      </w:tr>
      <w:tr w:rsidR="007968EC" w:rsidRPr="00EB14DE" w14:paraId="61272860" w14:textId="77777777" w:rsidTr="007968EC">
        <w:trPr>
          <w:trHeight w:val="315"/>
          <w:jc w:val="center"/>
        </w:trPr>
        <w:tc>
          <w:tcPr>
            <w:tcW w:w="4678" w:type="dxa"/>
            <w:tcBorders>
              <w:top w:val="single" w:sz="4" w:space="0" w:color="auto"/>
              <w:left w:val="single" w:sz="4" w:space="0" w:color="auto"/>
              <w:bottom w:val="single" w:sz="4" w:space="0" w:color="auto"/>
              <w:right w:val="single" w:sz="4" w:space="0" w:color="auto"/>
            </w:tcBorders>
            <w:vAlign w:val="center"/>
            <w:hideMark/>
          </w:tcPr>
          <w:p w14:paraId="6F82B5DC" w14:textId="77777777" w:rsidR="007968EC" w:rsidRPr="00EB14DE" w:rsidRDefault="007968EC" w:rsidP="007968EC">
            <w:pPr>
              <w:rPr>
                <w:rFonts w:ascii="Arial Narrow" w:eastAsia="Calibri" w:hAnsi="Arial Narrow"/>
                <w:bCs/>
                <w:color w:val="000000" w:themeColor="text1"/>
                <w:lang w:eastAsia="en-US"/>
              </w:rPr>
            </w:pPr>
            <w:r w:rsidRPr="00EB14DE">
              <w:rPr>
                <w:rFonts w:ascii="Arial Narrow" w:eastAsia="Calibri" w:hAnsi="Arial Narrow"/>
                <w:bCs/>
                <w:color w:val="000000" w:themeColor="text1"/>
                <w:lang w:eastAsia="en-US"/>
              </w:rPr>
              <w:t>Futuro TES Largo Plazo.</w:t>
            </w:r>
          </w:p>
        </w:tc>
        <w:tc>
          <w:tcPr>
            <w:tcW w:w="3686" w:type="dxa"/>
            <w:vMerge/>
            <w:tcBorders>
              <w:left w:val="single" w:sz="4" w:space="0" w:color="auto"/>
              <w:right w:val="single" w:sz="4" w:space="0" w:color="auto"/>
            </w:tcBorders>
            <w:vAlign w:val="center"/>
            <w:hideMark/>
          </w:tcPr>
          <w:p w14:paraId="048799E2" w14:textId="77777777" w:rsidR="007968EC" w:rsidRPr="00EB14DE" w:rsidRDefault="007968EC" w:rsidP="007968EC">
            <w:pPr>
              <w:rPr>
                <w:rFonts w:ascii="Arial Narrow" w:eastAsia="Calibri" w:hAnsi="Arial Narrow"/>
                <w:bCs/>
                <w:color w:val="000000" w:themeColor="text1"/>
                <w:lang w:eastAsia="en-US"/>
              </w:rPr>
            </w:pPr>
          </w:p>
        </w:tc>
      </w:tr>
      <w:tr w:rsidR="007968EC" w:rsidRPr="00EB14DE" w14:paraId="5D38215B" w14:textId="77777777" w:rsidTr="007968EC">
        <w:trPr>
          <w:trHeight w:val="315"/>
          <w:jc w:val="center"/>
        </w:trPr>
        <w:tc>
          <w:tcPr>
            <w:tcW w:w="4678" w:type="dxa"/>
            <w:tcBorders>
              <w:top w:val="single" w:sz="4" w:space="0" w:color="auto"/>
              <w:left w:val="single" w:sz="4" w:space="0" w:color="auto"/>
              <w:bottom w:val="single" w:sz="4" w:space="0" w:color="auto"/>
              <w:right w:val="single" w:sz="4" w:space="0" w:color="auto"/>
            </w:tcBorders>
            <w:vAlign w:val="center"/>
            <w:hideMark/>
          </w:tcPr>
          <w:p w14:paraId="3644CA56" w14:textId="77777777" w:rsidR="007968EC" w:rsidRPr="00EB14DE" w:rsidRDefault="007968EC" w:rsidP="007968EC">
            <w:pPr>
              <w:rPr>
                <w:rFonts w:ascii="Arial Narrow" w:eastAsia="Calibri" w:hAnsi="Arial Narrow"/>
                <w:bCs/>
                <w:color w:val="000000" w:themeColor="text1"/>
                <w:lang w:eastAsia="en-US"/>
              </w:rPr>
            </w:pPr>
            <w:r w:rsidRPr="00EB14DE">
              <w:rPr>
                <w:rFonts w:ascii="Arial Narrow" w:eastAsia="Calibri" w:hAnsi="Arial Narrow"/>
                <w:bCs/>
                <w:color w:val="000000" w:themeColor="text1"/>
                <w:lang w:eastAsia="en-US"/>
              </w:rPr>
              <w:t>Contratos de Futuros sobre Títulos TES de Referencias Específicas.</w:t>
            </w:r>
          </w:p>
        </w:tc>
        <w:tc>
          <w:tcPr>
            <w:tcW w:w="3686" w:type="dxa"/>
            <w:vMerge/>
            <w:tcBorders>
              <w:left w:val="single" w:sz="4" w:space="0" w:color="auto"/>
              <w:bottom w:val="single" w:sz="4" w:space="0" w:color="auto"/>
              <w:right w:val="single" w:sz="4" w:space="0" w:color="auto"/>
            </w:tcBorders>
            <w:vAlign w:val="center"/>
            <w:hideMark/>
          </w:tcPr>
          <w:p w14:paraId="08130875" w14:textId="77777777" w:rsidR="007968EC" w:rsidRPr="00EB14DE" w:rsidRDefault="007968EC" w:rsidP="007968EC">
            <w:pPr>
              <w:rPr>
                <w:rFonts w:ascii="Arial Narrow" w:eastAsia="Calibri" w:hAnsi="Arial Narrow"/>
                <w:bCs/>
                <w:color w:val="000000" w:themeColor="text1"/>
                <w:lang w:eastAsia="en-US"/>
              </w:rPr>
            </w:pPr>
          </w:p>
        </w:tc>
      </w:tr>
      <w:tr w:rsidR="007968EC" w:rsidRPr="00EB14DE" w14:paraId="7CD41067" w14:textId="77777777" w:rsidTr="007968EC">
        <w:trPr>
          <w:trHeight w:val="197"/>
          <w:jc w:val="center"/>
        </w:trPr>
        <w:tc>
          <w:tcPr>
            <w:tcW w:w="4678" w:type="dxa"/>
            <w:tcBorders>
              <w:top w:val="single" w:sz="4" w:space="0" w:color="auto"/>
              <w:left w:val="single" w:sz="4" w:space="0" w:color="auto"/>
              <w:bottom w:val="single" w:sz="4" w:space="0" w:color="auto"/>
              <w:right w:val="single" w:sz="4" w:space="0" w:color="auto"/>
            </w:tcBorders>
            <w:vAlign w:val="center"/>
          </w:tcPr>
          <w:p w14:paraId="4D648A62" w14:textId="77777777" w:rsidR="007968EC" w:rsidRPr="00EB14DE" w:rsidRDefault="007968EC" w:rsidP="007968EC">
            <w:pPr>
              <w:jc w:val="both"/>
              <w:rPr>
                <w:rFonts w:ascii="Arial Narrow" w:eastAsia="Calibri" w:hAnsi="Arial Narrow"/>
                <w:bCs/>
                <w:color w:val="000000" w:themeColor="text1"/>
                <w:lang w:eastAsia="en-US"/>
              </w:rPr>
            </w:pPr>
            <w:r w:rsidRPr="00EB14DE">
              <w:rPr>
                <w:rFonts w:ascii="Arial Narrow" w:eastAsia="Calibri" w:hAnsi="Arial Narrow"/>
                <w:bCs/>
                <w:color w:val="000000" w:themeColor="text1"/>
                <w:lang w:eastAsia="en-US"/>
              </w:rPr>
              <w:t>Contrato Futuro de OIS.</w:t>
            </w:r>
          </w:p>
        </w:tc>
        <w:tc>
          <w:tcPr>
            <w:tcW w:w="3686" w:type="dxa"/>
            <w:tcBorders>
              <w:top w:val="single" w:sz="4" w:space="0" w:color="auto"/>
              <w:left w:val="single" w:sz="4" w:space="0" w:color="auto"/>
              <w:bottom w:val="single" w:sz="4" w:space="0" w:color="auto"/>
              <w:right w:val="single" w:sz="4" w:space="0" w:color="auto"/>
            </w:tcBorders>
            <w:vAlign w:val="center"/>
          </w:tcPr>
          <w:p w14:paraId="251DA1C7" w14:textId="77777777" w:rsidR="007968EC" w:rsidRPr="00EB14DE" w:rsidRDefault="007968EC" w:rsidP="007968EC">
            <w:pPr>
              <w:jc w:val="center"/>
              <w:rPr>
                <w:rFonts w:ascii="Arial Narrow" w:eastAsia="Calibri" w:hAnsi="Arial Narrow"/>
                <w:bCs/>
                <w:color w:val="000000" w:themeColor="text1"/>
                <w:lang w:eastAsia="en-US"/>
              </w:rPr>
            </w:pPr>
            <w:r w:rsidRPr="00EB14DE">
              <w:rPr>
                <w:rFonts w:ascii="Arial Narrow" w:eastAsia="Calibri" w:hAnsi="Arial Narrow"/>
                <w:bCs/>
                <w:color w:val="000000" w:themeColor="text1"/>
                <w:lang w:eastAsia="en-US"/>
              </w:rPr>
              <w:t xml:space="preserve"> 8:00 a.m. a </w:t>
            </w:r>
            <w:r>
              <w:rPr>
                <w:rFonts w:ascii="Arial Narrow" w:eastAsia="Calibri" w:hAnsi="Arial Narrow"/>
                <w:bCs/>
                <w:color w:val="000000" w:themeColor="text1"/>
                <w:lang w:eastAsia="en-US"/>
              </w:rPr>
              <w:t>5:15</w:t>
            </w:r>
            <w:r w:rsidRPr="00EB14DE">
              <w:rPr>
                <w:rFonts w:ascii="Arial Narrow" w:eastAsia="Calibri" w:hAnsi="Arial Narrow"/>
                <w:bCs/>
                <w:color w:val="000000" w:themeColor="text1"/>
                <w:lang w:eastAsia="en-US"/>
              </w:rPr>
              <w:t xml:space="preserve"> p.m.</w:t>
            </w:r>
          </w:p>
        </w:tc>
      </w:tr>
      <w:tr w:rsidR="007968EC" w:rsidRPr="00EB14DE" w14:paraId="451B366D" w14:textId="77777777" w:rsidTr="007968EC">
        <w:trPr>
          <w:trHeight w:val="303"/>
          <w:jc w:val="center"/>
        </w:trPr>
        <w:tc>
          <w:tcPr>
            <w:tcW w:w="4678" w:type="dxa"/>
            <w:tcBorders>
              <w:top w:val="single" w:sz="4" w:space="0" w:color="auto"/>
              <w:left w:val="single" w:sz="4" w:space="0" w:color="auto"/>
              <w:right w:val="single" w:sz="4" w:space="0" w:color="auto"/>
            </w:tcBorders>
            <w:vAlign w:val="center"/>
            <w:hideMark/>
          </w:tcPr>
          <w:p w14:paraId="6E8639B3" w14:textId="77777777" w:rsidR="007968EC" w:rsidRPr="00EB14DE" w:rsidRDefault="007968EC" w:rsidP="007968EC">
            <w:pPr>
              <w:rPr>
                <w:rFonts w:ascii="Arial Narrow" w:eastAsia="Calibri" w:hAnsi="Arial Narrow"/>
                <w:bCs/>
                <w:color w:val="000000" w:themeColor="text1"/>
                <w:lang w:eastAsia="en-US"/>
              </w:rPr>
            </w:pPr>
            <w:r w:rsidRPr="00EB14DE">
              <w:rPr>
                <w:rFonts w:ascii="Arial Narrow" w:eastAsia="Calibri" w:hAnsi="Arial Narrow"/>
                <w:bCs/>
                <w:color w:val="000000" w:themeColor="text1"/>
                <w:lang w:eastAsia="en-US"/>
              </w:rPr>
              <w:t>Contrato de Futuro de Inflación.</w:t>
            </w:r>
          </w:p>
        </w:tc>
        <w:tc>
          <w:tcPr>
            <w:tcW w:w="3686" w:type="dxa"/>
            <w:tcBorders>
              <w:top w:val="single" w:sz="4" w:space="0" w:color="auto"/>
              <w:left w:val="single" w:sz="4" w:space="0" w:color="auto"/>
              <w:right w:val="single" w:sz="4" w:space="0" w:color="auto"/>
            </w:tcBorders>
            <w:vAlign w:val="center"/>
            <w:hideMark/>
          </w:tcPr>
          <w:p w14:paraId="2E6072A7" w14:textId="77777777" w:rsidR="007968EC" w:rsidRPr="00EB14DE" w:rsidRDefault="007968EC" w:rsidP="007968EC">
            <w:pPr>
              <w:jc w:val="center"/>
              <w:rPr>
                <w:rFonts w:ascii="Arial Narrow" w:eastAsia="Calibri" w:hAnsi="Arial Narrow"/>
                <w:bCs/>
                <w:color w:val="000000" w:themeColor="text1"/>
                <w:lang w:eastAsia="en-US"/>
              </w:rPr>
            </w:pPr>
            <w:r w:rsidRPr="00EB14DE">
              <w:rPr>
                <w:rFonts w:ascii="Arial Narrow" w:eastAsia="Calibri" w:hAnsi="Arial Narrow"/>
                <w:bCs/>
                <w:color w:val="000000" w:themeColor="text1"/>
                <w:lang w:eastAsia="en-US"/>
              </w:rPr>
              <w:t>8:00 a.m. a 4:30 p.m.</w:t>
            </w:r>
          </w:p>
        </w:tc>
      </w:tr>
      <w:tr w:rsidR="007968EC" w:rsidRPr="00EB14DE" w14:paraId="0F2D49CD" w14:textId="77777777" w:rsidTr="007968EC">
        <w:trPr>
          <w:trHeight w:val="249"/>
          <w:jc w:val="center"/>
        </w:trPr>
        <w:tc>
          <w:tcPr>
            <w:tcW w:w="4678" w:type="dxa"/>
            <w:tcBorders>
              <w:top w:val="single" w:sz="4" w:space="0" w:color="auto"/>
              <w:left w:val="single" w:sz="4" w:space="0" w:color="auto"/>
              <w:bottom w:val="single" w:sz="4" w:space="0" w:color="auto"/>
              <w:right w:val="single" w:sz="4" w:space="0" w:color="auto"/>
            </w:tcBorders>
            <w:vAlign w:val="center"/>
            <w:hideMark/>
          </w:tcPr>
          <w:p w14:paraId="4003D18F" w14:textId="77777777" w:rsidR="007968EC" w:rsidRPr="00EB14DE" w:rsidRDefault="007968EC" w:rsidP="007968EC">
            <w:pPr>
              <w:rPr>
                <w:rFonts w:ascii="Arial Narrow" w:eastAsia="Calibri" w:hAnsi="Arial Narrow"/>
                <w:bCs/>
                <w:color w:val="000000" w:themeColor="text1"/>
                <w:lang w:eastAsia="en-US"/>
              </w:rPr>
            </w:pPr>
            <w:r w:rsidRPr="00EB14DE">
              <w:rPr>
                <w:rFonts w:ascii="Arial Narrow" w:eastAsia="Calibri" w:hAnsi="Arial Narrow"/>
                <w:bCs/>
                <w:color w:val="000000" w:themeColor="text1"/>
                <w:lang w:eastAsia="en-US"/>
              </w:rPr>
              <w:t>Futuro de Tasa de Cambio Dólar/Peso.</w:t>
            </w:r>
          </w:p>
        </w:tc>
        <w:tc>
          <w:tcPr>
            <w:tcW w:w="3686" w:type="dxa"/>
            <w:vMerge w:val="restart"/>
            <w:tcBorders>
              <w:left w:val="single" w:sz="4" w:space="0" w:color="auto"/>
              <w:right w:val="single" w:sz="4" w:space="0" w:color="auto"/>
            </w:tcBorders>
            <w:vAlign w:val="center"/>
            <w:hideMark/>
          </w:tcPr>
          <w:p w14:paraId="6D8B2C3E" w14:textId="77777777" w:rsidR="007968EC" w:rsidRPr="00EB14DE" w:rsidRDefault="007968EC" w:rsidP="007968EC">
            <w:pPr>
              <w:jc w:val="center"/>
              <w:rPr>
                <w:rFonts w:ascii="Arial Narrow" w:eastAsia="Calibri" w:hAnsi="Arial Narrow"/>
                <w:bCs/>
                <w:color w:val="000000" w:themeColor="text1"/>
                <w:lang w:eastAsia="en-US"/>
              </w:rPr>
            </w:pPr>
            <w:r w:rsidRPr="00EB14DE">
              <w:rPr>
                <w:rFonts w:ascii="Arial Narrow" w:eastAsia="Calibri" w:hAnsi="Arial Narrow"/>
                <w:bCs/>
                <w:color w:val="000000" w:themeColor="text1"/>
                <w:lang w:eastAsia="en-US"/>
              </w:rPr>
              <w:t>8:00 a.m. a 5:</w:t>
            </w:r>
            <w:r>
              <w:rPr>
                <w:rFonts w:ascii="Arial Narrow" w:eastAsia="Calibri" w:hAnsi="Arial Narrow"/>
                <w:bCs/>
                <w:color w:val="000000" w:themeColor="text1"/>
                <w:lang w:eastAsia="en-US"/>
              </w:rPr>
              <w:t>15</w:t>
            </w:r>
            <w:r w:rsidRPr="00EB14DE">
              <w:rPr>
                <w:rFonts w:ascii="Arial Narrow" w:eastAsia="Calibri" w:hAnsi="Arial Narrow"/>
                <w:bCs/>
                <w:color w:val="000000" w:themeColor="text1"/>
                <w:lang w:eastAsia="en-US"/>
              </w:rPr>
              <w:t xml:space="preserve"> p.m.</w:t>
            </w:r>
          </w:p>
        </w:tc>
      </w:tr>
      <w:tr w:rsidR="007968EC" w:rsidRPr="00EB14DE" w14:paraId="0BD7C58D" w14:textId="77777777" w:rsidTr="007968EC">
        <w:trPr>
          <w:trHeight w:val="525"/>
          <w:jc w:val="center"/>
        </w:trPr>
        <w:tc>
          <w:tcPr>
            <w:tcW w:w="4678" w:type="dxa"/>
            <w:tcBorders>
              <w:top w:val="single" w:sz="4" w:space="0" w:color="auto"/>
              <w:left w:val="single" w:sz="4" w:space="0" w:color="auto"/>
              <w:bottom w:val="single" w:sz="4" w:space="0" w:color="auto"/>
              <w:right w:val="single" w:sz="4" w:space="0" w:color="auto"/>
            </w:tcBorders>
            <w:vAlign w:val="center"/>
            <w:hideMark/>
          </w:tcPr>
          <w:p w14:paraId="5774F9F0" w14:textId="77777777" w:rsidR="007968EC" w:rsidRPr="00EB14DE" w:rsidRDefault="007968EC" w:rsidP="007968EC">
            <w:pPr>
              <w:rPr>
                <w:rFonts w:ascii="Arial Narrow" w:eastAsia="Calibri" w:hAnsi="Arial Narrow"/>
                <w:bCs/>
                <w:color w:val="000000" w:themeColor="text1"/>
                <w:lang w:eastAsia="en-US"/>
              </w:rPr>
            </w:pPr>
            <w:r w:rsidRPr="00EB14DE">
              <w:rPr>
                <w:rFonts w:ascii="Arial Narrow" w:eastAsia="Calibri" w:hAnsi="Arial Narrow"/>
                <w:bCs/>
                <w:color w:val="000000" w:themeColor="text1"/>
                <w:lang w:eastAsia="en-US"/>
              </w:rPr>
              <w:t>Mini Contrato de Futuro de Tasa de Cambio Dólar/Peso.</w:t>
            </w:r>
          </w:p>
        </w:tc>
        <w:tc>
          <w:tcPr>
            <w:tcW w:w="3686" w:type="dxa"/>
            <w:vMerge/>
            <w:tcBorders>
              <w:left w:val="single" w:sz="4" w:space="0" w:color="auto"/>
              <w:right w:val="single" w:sz="4" w:space="0" w:color="auto"/>
            </w:tcBorders>
            <w:vAlign w:val="center"/>
            <w:hideMark/>
          </w:tcPr>
          <w:p w14:paraId="3DA55C6E" w14:textId="77777777" w:rsidR="007968EC" w:rsidRPr="00EB14DE" w:rsidRDefault="007968EC" w:rsidP="007968EC">
            <w:pPr>
              <w:rPr>
                <w:rFonts w:ascii="Arial Narrow" w:eastAsia="Calibri" w:hAnsi="Arial Narrow"/>
                <w:bCs/>
                <w:color w:val="000000" w:themeColor="text1"/>
                <w:lang w:eastAsia="en-US"/>
              </w:rPr>
            </w:pPr>
          </w:p>
        </w:tc>
      </w:tr>
      <w:tr w:rsidR="007968EC" w:rsidRPr="00EB14DE" w14:paraId="1DAAD6D2" w14:textId="77777777" w:rsidTr="007968EC">
        <w:trPr>
          <w:trHeight w:val="245"/>
          <w:jc w:val="center"/>
        </w:trPr>
        <w:tc>
          <w:tcPr>
            <w:tcW w:w="4678" w:type="dxa"/>
            <w:tcBorders>
              <w:top w:val="single" w:sz="4" w:space="0" w:color="auto"/>
              <w:left w:val="single" w:sz="4" w:space="0" w:color="auto"/>
              <w:bottom w:val="single" w:sz="4" w:space="0" w:color="auto"/>
              <w:right w:val="single" w:sz="4" w:space="0" w:color="auto"/>
            </w:tcBorders>
            <w:vAlign w:val="center"/>
          </w:tcPr>
          <w:p w14:paraId="6FC260AD" w14:textId="77777777" w:rsidR="007968EC" w:rsidRPr="00EB14DE" w:rsidRDefault="007968EC" w:rsidP="007968EC">
            <w:pPr>
              <w:rPr>
                <w:rFonts w:ascii="Arial Narrow" w:eastAsia="Calibri" w:hAnsi="Arial Narrow"/>
                <w:bCs/>
                <w:color w:val="000000" w:themeColor="text1"/>
                <w:lang w:eastAsia="en-US"/>
              </w:rPr>
            </w:pPr>
            <w:r w:rsidRPr="00EB14DE">
              <w:rPr>
                <w:rFonts w:ascii="Arial Narrow" w:eastAsia="Calibri" w:hAnsi="Arial Narrow"/>
                <w:bCs/>
                <w:color w:val="000000" w:themeColor="text1"/>
                <w:lang w:eastAsia="en-US"/>
              </w:rPr>
              <w:t xml:space="preserve">Contrato de </w:t>
            </w:r>
            <w:r w:rsidRPr="00EB14DE">
              <w:rPr>
                <w:rFonts w:ascii="Arial Narrow" w:hAnsi="Arial Narrow"/>
                <w:color w:val="000000"/>
                <w:lang w:eastAsia="es-CO"/>
              </w:rPr>
              <w:t>Opción sobre la TRM</w:t>
            </w:r>
          </w:p>
        </w:tc>
        <w:tc>
          <w:tcPr>
            <w:tcW w:w="3686" w:type="dxa"/>
            <w:vMerge/>
            <w:tcBorders>
              <w:left w:val="single" w:sz="4" w:space="0" w:color="auto"/>
              <w:bottom w:val="single" w:sz="4" w:space="0" w:color="auto"/>
              <w:right w:val="single" w:sz="4" w:space="0" w:color="auto"/>
            </w:tcBorders>
            <w:vAlign w:val="center"/>
          </w:tcPr>
          <w:p w14:paraId="0F03BE5E" w14:textId="77777777" w:rsidR="007968EC" w:rsidRPr="00EB14DE" w:rsidRDefault="007968EC" w:rsidP="007968EC">
            <w:pPr>
              <w:jc w:val="center"/>
              <w:rPr>
                <w:rFonts w:ascii="Arial Narrow" w:eastAsia="Calibri" w:hAnsi="Arial Narrow"/>
                <w:bCs/>
                <w:color w:val="000000" w:themeColor="text1"/>
                <w:lang w:eastAsia="en-US"/>
              </w:rPr>
            </w:pPr>
          </w:p>
        </w:tc>
      </w:tr>
      <w:tr w:rsidR="007968EC" w:rsidRPr="00EB14DE" w14:paraId="3A365D31" w14:textId="77777777" w:rsidTr="007968EC">
        <w:trPr>
          <w:trHeight w:val="245"/>
          <w:jc w:val="center"/>
        </w:trPr>
        <w:tc>
          <w:tcPr>
            <w:tcW w:w="4678" w:type="dxa"/>
            <w:tcBorders>
              <w:top w:val="single" w:sz="4" w:space="0" w:color="auto"/>
              <w:left w:val="single" w:sz="4" w:space="0" w:color="auto"/>
              <w:bottom w:val="single" w:sz="4" w:space="0" w:color="auto"/>
              <w:right w:val="single" w:sz="4" w:space="0" w:color="auto"/>
            </w:tcBorders>
            <w:vAlign w:val="center"/>
            <w:hideMark/>
          </w:tcPr>
          <w:p w14:paraId="3DFFF262" w14:textId="77777777" w:rsidR="007968EC" w:rsidRPr="00EB14DE" w:rsidRDefault="007968EC" w:rsidP="007968EC">
            <w:pPr>
              <w:rPr>
                <w:rFonts w:ascii="Arial Narrow" w:eastAsia="Calibri" w:hAnsi="Arial Narrow"/>
                <w:bCs/>
                <w:color w:val="000000" w:themeColor="text1"/>
                <w:lang w:eastAsia="en-US"/>
              </w:rPr>
            </w:pPr>
            <w:r w:rsidRPr="00EB14DE">
              <w:rPr>
                <w:rFonts w:ascii="Arial Narrow" w:eastAsia="Calibri" w:hAnsi="Arial Narrow"/>
                <w:bCs/>
                <w:color w:val="000000" w:themeColor="text1"/>
                <w:lang w:eastAsia="en-US"/>
              </w:rPr>
              <w:t>Forward NDF USD / COP.</w:t>
            </w:r>
          </w:p>
        </w:tc>
        <w:tc>
          <w:tcPr>
            <w:tcW w:w="3686" w:type="dxa"/>
            <w:tcBorders>
              <w:left w:val="single" w:sz="4" w:space="0" w:color="auto"/>
              <w:bottom w:val="single" w:sz="4" w:space="0" w:color="auto"/>
              <w:right w:val="single" w:sz="4" w:space="0" w:color="auto"/>
            </w:tcBorders>
            <w:vAlign w:val="center"/>
            <w:hideMark/>
          </w:tcPr>
          <w:p w14:paraId="1F026701" w14:textId="77777777" w:rsidR="007968EC" w:rsidRPr="00EB14DE" w:rsidRDefault="007968EC" w:rsidP="007968EC">
            <w:pPr>
              <w:jc w:val="center"/>
              <w:rPr>
                <w:rFonts w:ascii="Arial Narrow" w:eastAsia="Calibri" w:hAnsi="Arial Narrow"/>
                <w:bCs/>
                <w:color w:val="000000" w:themeColor="text1"/>
                <w:lang w:eastAsia="en-US"/>
              </w:rPr>
            </w:pPr>
            <w:r w:rsidRPr="00EB14DE">
              <w:rPr>
                <w:rFonts w:ascii="Arial Narrow" w:eastAsia="Calibri" w:hAnsi="Arial Narrow"/>
                <w:bCs/>
                <w:color w:val="000000" w:themeColor="text1"/>
                <w:lang w:eastAsia="en-US"/>
              </w:rPr>
              <w:t>8:00 a.m. a 4:30 p.m.</w:t>
            </w:r>
          </w:p>
        </w:tc>
      </w:tr>
      <w:tr w:rsidR="007968EC" w:rsidRPr="00EB14DE" w14:paraId="601B5DB2" w14:textId="77777777" w:rsidTr="007968EC">
        <w:trPr>
          <w:trHeight w:val="245"/>
          <w:jc w:val="center"/>
        </w:trPr>
        <w:tc>
          <w:tcPr>
            <w:tcW w:w="4678" w:type="dxa"/>
            <w:tcBorders>
              <w:top w:val="single" w:sz="4" w:space="0" w:color="auto"/>
              <w:left w:val="single" w:sz="4" w:space="0" w:color="auto"/>
              <w:bottom w:val="single" w:sz="4" w:space="0" w:color="auto"/>
              <w:right w:val="single" w:sz="4" w:space="0" w:color="auto"/>
            </w:tcBorders>
            <w:vAlign w:val="center"/>
          </w:tcPr>
          <w:p w14:paraId="52A1F3BF" w14:textId="77777777" w:rsidR="007968EC" w:rsidRPr="00EB14DE" w:rsidRDefault="007968EC" w:rsidP="007968EC">
            <w:pPr>
              <w:rPr>
                <w:rFonts w:ascii="Arial Narrow" w:eastAsia="Calibri" w:hAnsi="Arial Narrow"/>
                <w:bCs/>
                <w:color w:val="000000" w:themeColor="text1"/>
                <w:lang w:eastAsia="en-US"/>
              </w:rPr>
            </w:pPr>
            <w:r w:rsidRPr="00EB14DE">
              <w:rPr>
                <w:rFonts w:ascii="Arial Narrow" w:eastAsia="Calibri" w:hAnsi="Arial Narrow"/>
                <w:bCs/>
                <w:color w:val="000000" w:themeColor="text1"/>
                <w:lang w:eastAsia="en-US"/>
              </w:rPr>
              <w:t>OIS IBR</w:t>
            </w:r>
            <w:r>
              <w:rPr>
                <w:rFonts w:ascii="Arial Narrow" w:eastAsia="Calibri" w:hAnsi="Arial Narrow"/>
                <w:bCs/>
                <w:color w:val="000000" w:themeColor="text1"/>
                <w:lang w:eastAsia="en-US"/>
              </w:rPr>
              <w:t xml:space="preserve"> Formación</w:t>
            </w:r>
          </w:p>
        </w:tc>
        <w:tc>
          <w:tcPr>
            <w:tcW w:w="3686" w:type="dxa"/>
            <w:tcBorders>
              <w:left w:val="single" w:sz="4" w:space="0" w:color="auto"/>
              <w:bottom w:val="single" w:sz="4" w:space="0" w:color="auto"/>
              <w:right w:val="single" w:sz="4" w:space="0" w:color="auto"/>
            </w:tcBorders>
            <w:vAlign w:val="center"/>
          </w:tcPr>
          <w:p w14:paraId="2A10C326" w14:textId="77777777" w:rsidR="007968EC" w:rsidRPr="00EB14DE" w:rsidRDefault="007968EC" w:rsidP="007968EC">
            <w:pPr>
              <w:jc w:val="center"/>
              <w:rPr>
                <w:rFonts w:ascii="Arial Narrow" w:eastAsia="Calibri" w:hAnsi="Arial Narrow"/>
                <w:bCs/>
                <w:color w:val="000000" w:themeColor="text1"/>
                <w:lang w:eastAsia="en-US"/>
              </w:rPr>
            </w:pPr>
            <w:r w:rsidRPr="00EB14DE">
              <w:rPr>
                <w:rFonts w:ascii="Arial Narrow" w:eastAsia="Calibri" w:hAnsi="Arial Narrow"/>
                <w:bCs/>
                <w:color w:val="000000" w:themeColor="text1"/>
                <w:lang w:eastAsia="en-US"/>
              </w:rPr>
              <w:t>11:00 a.m. a 1:30 p.m.</w:t>
            </w:r>
          </w:p>
        </w:tc>
      </w:tr>
      <w:tr w:rsidR="007968EC" w:rsidRPr="00EB14DE" w14:paraId="4C196371" w14:textId="77777777" w:rsidTr="007968EC">
        <w:trPr>
          <w:trHeight w:val="245"/>
          <w:jc w:val="center"/>
        </w:trPr>
        <w:tc>
          <w:tcPr>
            <w:tcW w:w="4678" w:type="dxa"/>
            <w:tcBorders>
              <w:top w:val="single" w:sz="4" w:space="0" w:color="auto"/>
              <w:left w:val="single" w:sz="4" w:space="0" w:color="auto"/>
              <w:bottom w:val="single" w:sz="4" w:space="0" w:color="auto"/>
              <w:right w:val="single" w:sz="4" w:space="0" w:color="auto"/>
            </w:tcBorders>
            <w:vAlign w:val="center"/>
          </w:tcPr>
          <w:p w14:paraId="14E66E27" w14:textId="77777777" w:rsidR="007968EC" w:rsidRPr="00EB14DE" w:rsidRDefault="007968EC" w:rsidP="007968EC">
            <w:pPr>
              <w:rPr>
                <w:rFonts w:ascii="Arial Narrow" w:eastAsia="Calibri" w:hAnsi="Arial Narrow"/>
                <w:bCs/>
                <w:color w:val="000000" w:themeColor="text1"/>
                <w:lang w:eastAsia="en-US"/>
              </w:rPr>
            </w:pPr>
            <w:r>
              <w:rPr>
                <w:rFonts w:ascii="Arial Narrow" w:eastAsia="Calibri" w:hAnsi="Arial Narrow"/>
                <w:bCs/>
                <w:color w:val="000000" w:themeColor="text1"/>
                <w:lang w:eastAsia="en-US"/>
              </w:rPr>
              <w:t>OIS IBR</w:t>
            </w:r>
          </w:p>
        </w:tc>
        <w:tc>
          <w:tcPr>
            <w:tcW w:w="3686" w:type="dxa"/>
            <w:tcBorders>
              <w:left w:val="single" w:sz="4" w:space="0" w:color="auto"/>
              <w:bottom w:val="single" w:sz="4" w:space="0" w:color="auto"/>
              <w:right w:val="single" w:sz="4" w:space="0" w:color="auto"/>
            </w:tcBorders>
            <w:vAlign w:val="center"/>
          </w:tcPr>
          <w:p w14:paraId="671C84A4" w14:textId="77777777" w:rsidR="007968EC" w:rsidRPr="00EB14DE" w:rsidRDefault="007968EC" w:rsidP="007968EC">
            <w:pPr>
              <w:jc w:val="center"/>
              <w:rPr>
                <w:rFonts w:ascii="Arial Narrow" w:eastAsia="Calibri" w:hAnsi="Arial Narrow"/>
                <w:bCs/>
                <w:color w:val="000000" w:themeColor="text1"/>
                <w:lang w:eastAsia="en-US"/>
              </w:rPr>
            </w:pPr>
            <w:r>
              <w:rPr>
                <w:rFonts w:ascii="Arial Narrow" w:eastAsia="Calibri" w:hAnsi="Arial Narrow"/>
                <w:bCs/>
                <w:color w:val="000000" w:themeColor="text1"/>
                <w:lang w:eastAsia="en-US"/>
              </w:rPr>
              <w:t>8:00 a.m. a 4:30 p.m.</w:t>
            </w:r>
          </w:p>
        </w:tc>
      </w:tr>
      <w:tr w:rsidR="007968EC" w:rsidRPr="00EB14DE" w14:paraId="15159B05" w14:textId="77777777" w:rsidTr="007968EC">
        <w:trPr>
          <w:trHeight w:val="572"/>
          <w:jc w:val="center"/>
        </w:trPr>
        <w:tc>
          <w:tcPr>
            <w:tcW w:w="4678" w:type="dxa"/>
            <w:tcBorders>
              <w:top w:val="single" w:sz="4" w:space="0" w:color="auto"/>
              <w:left w:val="single" w:sz="4" w:space="0" w:color="auto"/>
              <w:right w:val="single" w:sz="4" w:space="0" w:color="auto"/>
            </w:tcBorders>
            <w:vAlign w:val="center"/>
            <w:hideMark/>
          </w:tcPr>
          <w:p w14:paraId="0508B40E" w14:textId="77777777" w:rsidR="007968EC" w:rsidRPr="00EB14DE" w:rsidRDefault="007968EC" w:rsidP="007968EC">
            <w:pPr>
              <w:rPr>
                <w:rFonts w:ascii="Arial Narrow" w:hAnsi="Arial Narrow"/>
                <w:color w:val="000000"/>
                <w:lang w:eastAsia="es-CO"/>
              </w:rPr>
            </w:pPr>
            <w:r w:rsidRPr="00EB14DE">
              <w:rPr>
                <w:rFonts w:ascii="Arial Narrow" w:eastAsia="Calibri" w:hAnsi="Arial Narrow"/>
                <w:bCs/>
                <w:color w:val="000000" w:themeColor="text1"/>
                <w:lang w:eastAsia="en-US"/>
              </w:rPr>
              <w:t>Contrato de Futuro sobre Acciones del Índice COLCAP con Liquidación por Entrega</w:t>
            </w:r>
          </w:p>
        </w:tc>
        <w:tc>
          <w:tcPr>
            <w:tcW w:w="3686" w:type="dxa"/>
            <w:vMerge w:val="restart"/>
            <w:tcBorders>
              <w:top w:val="single" w:sz="4" w:space="0" w:color="auto"/>
              <w:left w:val="single" w:sz="4" w:space="0" w:color="auto"/>
              <w:right w:val="single" w:sz="4" w:space="0" w:color="auto"/>
            </w:tcBorders>
            <w:vAlign w:val="center"/>
            <w:hideMark/>
          </w:tcPr>
          <w:p w14:paraId="39F033EF" w14:textId="77777777" w:rsidR="007968EC" w:rsidRPr="00EB14DE" w:rsidRDefault="007968EC" w:rsidP="007968EC">
            <w:pPr>
              <w:jc w:val="center"/>
              <w:rPr>
                <w:rFonts w:ascii="Arial Narrow" w:eastAsia="Calibri" w:hAnsi="Arial Narrow"/>
                <w:bCs/>
                <w:color w:val="000000" w:themeColor="text1"/>
                <w:lang w:eastAsia="en-US"/>
              </w:rPr>
            </w:pPr>
            <w:r w:rsidRPr="00EB14DE">
              <w:rPr>
                <w:rFonts w:ascii="Arial Narrow" w:eastAsia="Calibri" w:hAnsi="Arial Narrow"/>
                <w:bCs/>
                <w:color w:val="000000" w:themeColor="text1"/>
                <w:lang w:eastAsia="en-US"/>
              </w:rPr>
              <w:t>8:00 a.m. hora local a 4:30 p.m. hora de Nueva York</w:t>
            </w:r>
          </w:p>
          <w:p w14:paraId="4F05302A" w14:textId="77777777" w:rsidR="007968EC" w:rsidRPr="00EB14DE" w:rsidRDefault="007968EC" w:rsidP="007968EC">
            <w:pPr>
              <w:jc w:val="center"/>
              <w:rPr>
                <w:rFonts w:ascii="Arial Narrow" w:eastAsia="Calibri" w:hAnsi="Arial Narrow"/>
                <w:bCs/>
                <w:color w:val="000000" w:themeColor="text1"/>
                <w:lang w:eastAsia="en-US"/>
              </w:rPr>
            </w:pPr>
          </w:p>
        </w:tc>
      </w:tr>
      <w:tr w:rsidR="007968EC" w:rsidRPr="00EB14DE" w14:paraId="303C6D1C" w14:textId="77777777" w:rsidTr="007968EC">
        <w:trPr>
          <w:trHeight w:val="239"/>
          <w:jc w:val="center"/>
        </w:trPr>
        <w:tc>
          <w:tcPr>
            <w:tcW w:w="4678" w:type="dxa"/>
            <w:tcBorders>
              <w:top w:val="single" w:sz="4" w:space="0" w:color="auto"/>
              <w:left w:val="single" w:sz="4" w:space="0" w:color="auto"/>
              <w:bottom w:val="single" w:sz="4" w:space="0" w:color="auto"/>
              <w:right w:val="single" w:sz="4" w:space="0" w:color="auto"/>
            </w:tcBorders>
            <w:vAlign w:val="center"/>
          </w:tcPr>
          <w:p w14:paraId="78E8C789" w14:textId="77777777" w:rsidR="007968EC" w:rsidRPr="00EB14DE" w:rsidRDefault="007968EC" w:rsidP="007968EC">
            <w:pPr>
              <w:jc w:val="both"/>
              <w:rPr>
                <w:rFonts w:ascii="Arial Narrow" w:eastAsia="Calibri" w:hAnsi="Arial Narrow"/>
                <w:bCs/>
                <w:color w:val="000000" w:themeColor="text1"/>
                <w:lang w:eastAsia="en-US"/>
              </w:rPr>
            </w:pPr>
            <w:r w:rsidRPr="00EB14DE">
              <w:rPr>
                <w:rFonts w:ascii="Arial Narrow" w:eastAsia="Calibri" w:hAnsi="Arial Narrow"/>
                <w:bCs/>
                <w:color w:val="000000" w:themeColor="text1"/>
                <w:lang w:eastAsia="en-US"/>
              </w:rPr>
              <w:t xml:space="preserve">Contratos de Futuros Índice Accionario COLCAP.  </w:t>
            </w:r>
          </w:p>
        </w:tc>
        <w:tc>
          <w:tcPr>
            <w:tcW w:w="3686" w:type="dxa"/>
            <w:vMerge/>
            <w:tcBorders>
              <w:left w:val="single" w:sz="4" w:space="0" w:color="auto"/>
              <w:right w:val="single" w:sz="4" w:space="0" w:color="auto"/>
            </w:tcBorders>
            <w:vAlign w:val="center"/>
          </w:tcPr>
          <w:p w14:paraId="153BBFDE" w14:textId="77777777" w:rsidR="007968EC" w:rsidRPr="00EB14DE" w:rsidRDefault="007968EC" w:rsidP="007968EC">
            <w:pPr>
              <w:jc w:val="both"/>
              <w:rPr>
                <w:rFonts w:ascii="Arial Narrow" w:eastAsia="Calibri" w:hAnsi="Arial Narrow"/>
                <w:bCs/>
                <w:color w:val="000000" w:themeColor="text1"/>
                <w:lang w:eastAsia="en-US"/>
              </w:rPr>
            </w:pPr>
          </w:p>
        </w:tc>
      </w:tr>
      <w:tr w:rsidR="007968EC" w:rsidRPr="00EB14DE" w14:paraId="217733E4" w14:textId="77777777" w:rsidTr="007968EC">
        <w:trPr>
          <w:trHeight w:val="239"/>
          <w:jc w:val="center"/>
        </w:trPr>
        <w:tc>
          <w:tcPr>
            <w:tcW w:w="4678" w:type="dxa"/>
            <w:tcBorders>
              <w:top w:val="single" w:sz="4" w:space="0" w:color="auto"/>
              <w:left w:val="single" w:sz="4" w:space="0" w:color="auto"/>
              <w:bottom w:val="single" w:sz="4" w:space="0" w:color="auto"/>
              <w:right w:val="single" w:sz="4" w:space="0" w:color="auto"/>
            </w:tcBorders>
            <w:vAlign w:val="center"/>
          </w:tcPr>
          <w:p w14:paraId="19328D43" w14:textId="77777777" w:rsidR="007968EC" w:rsidRPr="00EB14DE" w:rsidRDefault="007968EC" w:rsidP="007968EC">
            <w:pPr>
              <w:jc w:val="both"/>
              <w:rPr>
                <w:rFonts w:ascii="Arial Narrow" w:eastAsia="Calibri" w:hAnsi="Arial Narrow"/>
                <w:bCs/>
                <w:color w:val="000000" w:themeColor="text1"/>
                <w:lang w:eastAsia="en-US"/>
              </w:rPr>
            </w:pPr>
            <w:r w:rsidRPr="00EB14DE">
              <w:rPr>
                <w:rFonts w:ascii="Arial Narrow" w:eastAsia="Calibri" w:hAnsi="Arial Narrow" w:cstheme="minorBidi"/>
                <w:color w:val="000000"/>
                <w:lang w:eastAsia="es-CO"/>
              </w:rPr>
              <w:t>Mini Contrato de Futuro Índice Accionario COLCAP</w:t>
            </w:r>
          </w:p>
        </w:tc>
        <w:tc>
          <w:tcPr>
            <w:tcW w:w="3686" w:type="dxa"/>
            <w:vMerge/>
            <w:tcBorders>
              <w:left w:val="single" w:sz="4" w:space="0" w:color="auto"/>
              <w:bottom w:val="single" w:sz="4" w:space="0" w:color="auto"/>
              <w:right w:val="single" w:sz="4" w:space="0" w:color="auto"/>
            </w:tcBorders>
            <w:vAlign w:val="center"/>
          </w:tcPr>
          <w:p w14:paraId="4361FEC2" w14:textId="77777777" w:rsidR="007968EC" w:rsidRPr="00EB14DE" w:rsidRDefault="007968EC" w:rsidP="007968EC">
            <w:pPr>
              <w:jc w:val="both"/>
              <w:rPr>
                <w:rFonts w:ascii="Arial Narrow" w:eastAsia="Calibri" w:hAnsi="Arial Narrow"/>
                <w:bCs/>
                <w:color w:val="000000" w:themeColor="text1"/>
                <w:lang w:eastAsia="en-US"/>
              </w:rPr>
            </w:pPr>
          </w:p>
        </w:tc>
      </w:tr>
      <w:tr w:rsidR="007968EC" w:rsidRPr="00EB14DE" w14:paraId="26D61398" w14:textId="77777777" w:rsidTr="007968EC">
        <w:trPr>
          <w:trHeight w:val="239"/>
          <w:jc w:val="center"/>
        </w:trPr>
        <w:tc>
          <w:tcPr>
            <w:tcW w:w="4678" w:type="dxa"/>
            <w:tcBorders>
              <w:top w:val="single" w:sz="4" w:space="0" w:color="auto"/>
              <w:left w:val="single" w:sz="4" w:space="0" w:color="auto"/>
              <w:bottom w:val="single" w:sz="4" w:space="0" w:color="auto"/>
              <w:right w:val="single" w:sz="4" w:space="0" w:color="auto"/>
            </w:tcBorders>
            <w:vAlign w:val="center"/>
            <w:hideMark/>
          </w:tcPr>
          <w:p w14:paraId="750E7C61" w14:textId="77777777" w:rsidR="007968EC" w:rsidRPr="00EB14DE" w:rsidRDefault="007968EC" w:rsidP="007968EC">
            <w:pPr>
              <w:jc w:val="both"/>
              <w:rPr>
                <w:rFonts w:ascii="Arial Narrow" w:eastAsia="Calibri" w:hAnsi="Arial Narrow"/>
                <w:bCs/>
                <w:color w:val="000000" w:themeColor="text1"/>
                <w:lang w:eastAsia="en-US"/>
              </w:rPr>
            </w:pPr>
            <w:r w:rsidRPr="00EB14DE">
              <w:rPr>
                <w:rFonts w:ascii="Arial Narrow" w:eastAsia="Calibri" w:hAnsi="Arial Narrow"/>
                <w:bCs/>
                <w:color w:val="000000" w:themeColor="text1"/>
                <w:lang w:eastAsia="en-US"/>
              </w:rPr>
              <w:t>Contrato de Futuro sobre Acciones del Índice COLCAP</w:t>
            </w:r>
            <w:r w:rsidRPr="00EB14DE">
              <w:rPr>
                <w:rFonts w:ascii="Arial Narrow" w:eastAsia="Calibri" w:hAnsi="Arial Narrow"/>
                <w:color w:val="000000"/>
                <w:lang w:eastAsia="en-US"/>
              </w:rPr>
              <w:t xml:space="preserve"> con Liquidación por Diferencias</w:t>
            </w:r>
            <w:r w:rsidRPr="00EB14DE">
              <w:rPr>
                <w:rFonts w:ascii="Arial Narrow" w:eastAsia="Calibri" w:hAnsi="Arial Narrow"/>
                <w:bCs/>
                <w:color w:val="000000" w:themeColor="text1"/>
                <w:lang w:eastAsia="en-US"/>
              </w:rPr>
              <w:t>.</w:t>
            </w:r>
          </w:p>
        </w:tc>
        <w:tc>
          <w:tcPr>
            <w:tcW w:w="3686" w:type="dxa"/>
            <w:vMerge/>
            <w:tcBorders>
              <w:left w:val="single" w:sz="4" w:space="0" w:color="auto"/>
              <w:bottom w:val="single" w:sz="4" w:space="0" w:color="auto"/>
              <w:right w:val="single" w:sz="4" w:space="0" w:color="auto"/>
            </w:tcBorders>
            <w:vAlign w:val="center"/>
            <w:hideMark/>
          </w:tcPr>
          <w:p w14:paraId="47C68B2D" w14:textId="77777777" w:rsidR="007968EC" w:rsidRPr="00EB14DE" w:rsidRDefault="007968EC" w:rsidP="007968EC">
            <w:pPr>
              <w:jc w:val="both"/>
              <w:rPr>
                <w:rFonts w:ascii="Arial Narrow" w:eastAsia="Calibri" w:hAnsi="Arial Narrow"/>
                <w:bCs/>
                <w:color w:val="000000" w:themeColor="text1"/>
                <w:lang w:eastAsia="en-US"/>
              </w:rPr>
            </w:pPr>
          </w:p>
        </w:tc>
      </w:tr>
      <w:tr w:rsidR="007968EC" w:rsidRPr="00EB14DE" w14:paraId="18BA25E2" w14:textId="77777777" w:rsidTr="007968EC">
        <w:trPr>
          <w:trHeight w:val="199"/>
          <w:jc w:val="center"/>
        </w:trPr>
        <w:tc>
          <w:tcPr>
            <w:tcW w:w="4678" w:type="dxa"/>
            <w:tcBorders>
              <w:top w:val="single" w:sz="4" w:space="0" w:color="auto"/>
              <w:left w:val="single" w:sz="4" w:space="0" w:color="auto"/>
              <w:bottom w:val="single" w:sz="4" w:space="0" w:color="auto"/>
              <w:right w:val="single" w:sz="4" w:space="0" w:color="auto"/>
            </w:tcBorders>
            <w:vAlign w:val="center"/>
            <w:hideMark/>
          </w:tcPr>
          <w:p w14:paraId="7DBA6450" w14:textId="77777777" w:rsidR="007968EC" w:rsidRPr="00EB14DE" w:rsidRDefault="007968EC" w:rsidP="007968EC">
            <w:pPr>
              <w:jc w:val="both"/>
              <w:rPr>
                <w:rFonts w:ascii="Arial Narrow" w:eastAsia="Calibri" w:hAnsi="Arial Narrow"/>
                <w:bCs/>
                <w:color w:val="000000" w:themeColor="text1"/>
                <w:lang w:eastAsia="en-US"/>
              </w:rPr>
            </w:pPr>
            <w:r w:rsidRPr="00EB14DE">
              <w:rPr>
                <w:rFonts w:ascii="Arial Narrow" w:eastAsia="Calibri" w:hAnsi="Arial Narrow"/>
                <w:bCs/>
                <w:color w:val="000000" w:themeColor="text1"/>
                <w:lang w:eastAsia="en-US"/>
              </w:rPr>
              <w:t>Contrato Futuro sobre Electricidad Mensual.</w:t>
            </w:r>
          </w:p>
        </w:tc>
        <w:tc>
          <w:tcPr>
            <w:tcW w:w="3686" w:type="dxa"/>
            <w:vMerge w:val="restart"/>
            <w:tcBorders>
              <w:top w:val="single" w:sz="4" w:space="0" w:color="auto"/>
              <w:left w:val="single" w:sz="4" w:space="0" w:color="auto"/>
              <w:bottom w:val="single" w:sz="4" w:space="0" w:color="auto"/>
              <w:right w:val="single" w:sz="4" w:space="0" w:color="auto"/>
            </w:tcBorders>
            <w:vAlign w:val="center"/>
            <w:hideMark/>
          </w:tcPr>
          <w:p w14:paraId="72A756CF" w14:textId="77777777" w:rsidR="007968EC" w:rsidRPr="00EB14DE" w:rsidRDefault="007968EC" w:rsidP="007968EC">
            <w:pPr>
              <w:jc w:val="center"/>
              <w:rPr>
                <w:rFonts w:ascii="Arial Narrow" w:eastAsia="Calibri" w:hAnsi="Arial Narrow"/>
                <w:bCs/>
                <w:color w:val="000000" w:themeColor="text1"/>
                <w:lang w:eastAsia="en-US"/>
              </w:rPr>
            </w:pPr>
            <w:r w:rsidRPr="00EB14DE">
              <w:rPr>
                <w:rFonts w:ascii="Arial Narrow" w:eastAsia="Calibri" w:hAnsi="Arial Narrow"/>
                <w:bCs/>
                <w:color w:val="000000" w:themeColor="text1"/>
                <w:lang w:eastAsia="en-US"/>
              </w:rPr>
              <w:t>8:45 a.m. a 1:30 p.m.</w:t>
            </w:r>
          </w:p>
        </w:tc>
      </w:tr>
      <w:tr w:rsidR="007968EC" w:rsidRPr="00EB14DE" w14:paraId="1330FE9E" w14:textId="77777777" w:rsidTr="007968EC">
        <w:trPr>
          <w:trHeight w:val="199"/>
          <w:jc w:val="center"/>
        </w:trPr>
        <w:tc>
          <w:tcPr>
            <w:tcW w:w="4678" w:type="dxa"/>
            <w:tcBorders>
              <w:top w:val="single" w:sz="4" w:space="0" w:color="auto"/>
              <w:left w:val="single" w:sz="4" w:space="0" w:color="auto"/>
              <w:bottom w:val="single" w:sz="4" w:space="0" w:color="auto"/>
              <w:right w:val="single" w:sz="4" w:space="0" w:color="auto"/>
            </w:tcBorders>
            <w:vAlign w:val="center"/>
            <w:hideMark/>
          </w:tcPr>
          <w:p w14:paraId="384C0B1F" w14:textId="77777777" w:rsidR="007968EC" w:rsidRPr="00EB14DE" w:rsidRDefault="007968EC" w:rsidP="007968EC">
            <w:pPr>
              <w:jc w:val="both"/>
              <w:rPr>
                <w:rFonts w:ascii="Arial Narrow" w:eastAsia="Calibri" w:hAnsi="Arial Narrow"/>
                <w:bCs/>
                <w:color w:val="000000" w:themeColor="text1"/>
                <w:lang w:eastAsia="en-US"/>
              </w:rPr>
            </w:pPr>
            <w:r w:rsidRPr="00EB14DE">
              <w:rPr>
                <w:rFonts w:ascii="Arial Narrow" w:eastAsia="Calibri" w:hAnsi="Arial Narrow"/>
                <w:bCs/>
                <w:color w:val="000000" w:themeColor="text1"/>
                <w:lang w:eastAsia="en-US"/>
              </w:rPr>
              <w:t>Contrato Mini de Futuro sobre Electricidad Mensual.</w:t>
            </w: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58536AB1" w14:textId="77777777" w:rsidR="007968EC" w:rsidRPr="00EB14DE" w:rsidRDefault="007968EC" w:rsidP="007968EC">
            <w:pPr>
              <w:keepNext/>
              <w:jc w:val="both"/>
              <w:outlineLvl w:val="2"/>
              <w:rPr>
                <w:rFonts w:ascii="Arial Narrow" w:eastAsia="Calibri" w:hAnsi="Arial Narrow"/>
                <w:bCs/>
                <w:color w:val="000000" w:themeColor="text1"/>
                <w:lang w:eastAsia="en-US"/>
              </w:rPr>
            </w:pPr>
          </w:p>
        </w:tc>
      </w:tr>
      <w:tr w:rsidR="007968EC" w:rsidRPr="00EB14DE" w14:paraId="5FC0D35A" w14:textId="77777777" w:rsidTr="007968EC">
        <w:trPr>
          <w:trHeight w:val="199"/>
          <w:jc w:val="center"/>
        </w:trPr>
        <w:tc>
          <w:tcPr>
            <w:tcW w:w="4678" w:type="dxa"/>
            <w:tcBorders>
              <w:top w:val="single" w:sz="4" w:space="0" w:color="auto"/>
              <w:left w:val="single" w:sz="4" w:space="0" w:color="auto"/>
              <w:bottom w:val="single" w:sz="4" w:space="0" w:color="auto"/>
              <w:right w:val="single" w:sz="4" w:space="0" w:color="auto"/>
            </w:tcBorders>
            <w:vAlign w:val="center"/>
          </w:tcPr>
          <w:p w14:paraId="59A49F9B" w14:textId="77777777" w:rsidR="007968EC" w:rsidRPr="00EB14DE" w:rsidRDefault="007968EC" w:rsidP="007968EC">
            <w:pPr>
              <w:jc w:val="both"/>
              <w:rPr>
                <w:rFonts w:ascii="Arial Narrow" w:eastAsia="Calibri" w:hAnsi="Arial Narrow"/>
                <w:bCs/>
                <w:color w:val="000000" w:themeColor="text1"/>
                <w:lang w:eastAsia="en-US"/>
              </w:rPr>
            </w:pPr>
            <w:r w:rsidRPr="00EB14DE">
              <w:rPr>
                <w:rFonts w:ascii="Arial Narrow" w:eastAsia="Calibri" w:hAnsi="Arial Narrow"/>
                <w:bCs/>
                <w:color w:val="000000" w:themeColor="text1"/>
                <w:lang w:val="es-ES" w:eastAsia="es-ES"/>
              </w:rPr>
              <w:t>Contrato de Opciones sobre la acción de Ecopetrol</w:t>
            </w:r>
          </w:p>
        </w:tc>
        <w:tc>
          <w:tcPr>
            <w:tcW w:w="3686" w:type="dxa"/>
            <w:tcBorders>
              <w:top w:val="single" w:sz="4" w:space="0" w:color="auto"/>
              <w:left w:val="single" w:sz="4" w:space="0" w:color="auto"/>
              <w:bottom w:val="nil"/>
              <w:right w:val="single" w:sz="4" w:space="0" w:color="auto"/>
            </w:tcBorders>
            <w:vAlign w:val="center"/>
          </w:tcPr>
          <w:p w14:paraId="1B8BDD98" w14:textId="77777777" w:rsidR="007968EC" w:rsidRPr="00EB14DE" w:rsidRDefault="007968EC" w:rsidP="007968EC">
            <w:pPr>
              <w:keepNext/>
              <w:jc w:val="both"/>
              <w:outlineLvl w:val="2"/>
              <w:rPr>
                <w:rFonts w:ascii="Arial Narrow" w:eastAsia="Calibri" w:hAnsi="Arial Narrow"/>
                <w:bCs/>
                <w:color w:val="000000" w:themeColor="text1"/>
                <w:lang w:eastAsia="en-US"/>
              </w:rPr>
            </w:pPr>
          </w:p>
        </w:tc>
      </w:tr>
      <w:tr w:rsidR="007968EC" w:rsidRPr="00EB14DE" w14:paraId="44008523" w14:textId="77777777" w:rsidTr="007968EC">
        <w:trPr>
          <w:trHeight w:val="199"/>
          <w:jc w:val="center"/>
        </w:trPr>
        <w:tc>
          <w:tcPr>
            <w:tcW w:w="4678" w:type="dxa"/>
            <w:tcBorders>
              <w:top w:val="single" w:sz="4" w:space="0" w:color="auto"/>
              <w:left w:val="single" w:sz="4" w:space="0" w:color="auto"/>
              <w:bottom w:val="single" w:sz="4" w:space="0" w:color="auto"/>
              <w:right w:val="single" w:sz="4" w:space="0" w:color="auto"/>
            </w:tcBorders>
            <w:vAlign w:val="center"/>
          </w:tcPr>
          <w:p w14:paraId="03791A50" w14:textId="77777777" w:rsidR="007968EC" w:rsidRPr="00EB14DE" w:rsidRDefault="007968EC" w:rsidP="007968EC">
            <w:pPr>
              <w:jc w:val="both"/>
              <w:rPr>
                <w:rFonts w:ascii="Arial Narrow" w:eastAsia="Calibri" w:hAnsi="Arial Narrow"/>
                <w:bCs/>
                <w:color w:val="000000" w:themeColor="text1"/>
                <w:lang w:eastAsia="en-US"/>
              </w:rPr>
            </w:pPr>
            <w:r w:rsidRPr="00EB14DE">
              <w:rPr>
                <w:rFonts w:ascii="Arial Narrow" w:eastAsia="Calibri" w:hAnsi="Arial Narrow"/>
                <w:bCs/>
                <w:color w:val="000000" w:themeColor="text1"/>
                <w:lang w:val="es-ES" w:eastAsia="es-ES"/>
              </w:rPr>
              <w:t>Contrato de Opciones sobre la acción Preferencial Bancolombia</w:t>
            </w:r>
          </w:p>
        </w:tc>
        <w:tc>
          <w:tcPr>
            <w:tcW w:w="3686" w:type="dxa"/>
            <w:tcBorders>
              <w:top w:val="nil"/>
              <w:left w:val="single" w:sz="4" w:space="0" w:color="auto"/>
              <w:bottom w:val="nil"/>
              <w:right w:val="single" w:sz="4" w:space="0" w:color="auto"/>
            </w:tcBorders>
            <w:vAlign w:val="center"/>
          </w:tcPr>
          <w:p w14:paraId="57F310C7" w14:textId="77777777" w:rsidR="007968EC" w:rsidRPr="00EB14DE" w:rsidRDefault="007968EC" w:rsidP="007968EC">
            <w:pPr>
              <w:jc w:val="center"/>
              <w:rPr>
                <w:rFonts w:ascii="Arial Narrow" w:eastAsia="Calibri" w:hAnsi="Arial Narrow"/>
                <w:bCs/>
                <w:color w:val="000000" w:themeColor="text1"/>
                <w:lang w:val="es-ES" w:eastAsia="es-ES"/>
              </w:rPr>
            </w:pPr>
            <w:r w:rsidRPr="00EB14DE">
              <w:rPr>
                <w:rFonts w:ascii="Arial Narrow" w:eastAsia="Calibri" w:hAnsi="Arial Narrow"/>
                <w:bCs/>
                <w:color w:val="000000" w:themeColor="text1"/>
                <w:lang w:val="es-ES" w:eastAsia="es-ES"/>
              </w:rPr>
              <w:t>8:00 a.m. hora local a 4:30 p.m. hora de Nueva York</w:t>
            </w:r>
          </w:p>
          <w:p w14:paraId="22D79875" w14:textId="77777777" w:rsidR="007968EC" w:rsidRPr="00EB14DE" w:rsidRDefault="007968EC" w:rsidP="007968EC">
            <w:pPr>
              <w:keepNext/>
              <w:jc w:val="both"/>
              <w:outlineLvl w:val="2"/>
              <w:rPr>
                <w:rFonts w:ascii="Arial Narrow" w:eastAsia="Calibri" w:hAnsi="Arial Narrow"/>
                <w:bCs/>
                <w:color w:val="000000" w:themeColor="text1"/>
                <w:lang w:val="es-ES" w:eastAsia="en-US"/>
              </w:rPr>
            </w:pPr>
          </w:p>
        </w:tc>
      </w:tr>
      <w:tr w:rsidR="007968EC" w:rsidRPr="00EB14DE" w14:paraId="53F055EF" w14:textId="77777777" w:rsidTr="007968EC">
        <w:trPr>
          <w:trHeight w:val="199"/>
          <w:jc w:val="center"/>
        </w:trPr>
        <w:tc>
          <w:tcPr>
            <w:tcW w:w="4678" w:type="dxa"/>
            <w:tcBorders>
              <w:top w:val="single" w:sz="4" w:space="0" w:color="auto"/>
              <w:left w:val="single" w:sz="4" w:space="0" w:color="auto"/>
              <w:bottom w:val="single" w:sz="4" w:space="0" w:color="auto"/>
              <w:right w:val="single" w:sz="4" w:space="0" w:color="auto"/>
            </w:tcBorders>
            <w:vAlign w:val="center"/>
          </w:tcPr>
          <w:p w14:paraId="6300783D" w14:textId="77777777" w:rsidR="007968EC" w:rsidRPr="00EB14DE" w:rsidRDefault="007968EC" w:rsidP="007968EC">
            <w:pPr>
              <w:jc w:val="both"/>
              <w:rPr>
                <w:rFonts w:ascii="Arial Narrow" w:eastAsia="Calibri" w:hAnsi="Arial Narrow"/>
                <w:bCs/>
                <w:color w:val="000000" w:themeColor="text1"/>
                <w:lang w:eastAsia="en-US"/>
              </w:rPr>
            </w:pPr>
            <w:r w:rsidRPr="00EB14DE">
              <w:rPr>
                <w:rFonts w:ascii="Arial Narrow" w:eastAsia="Calibri" w:hAnsi="Arial Narrow"/>
                <w:bCs/>
                <w:color w:val="000000" w:themeColor="text1"/>
                <w:lang w:val="es-ES" w:eastAsia="es-ES"/>
              </w:rPr>
              <w:t>Contrato de Opciones sobre la acción de Preferencial Aval</w:t>
            </w:r>
          </w:p>
        </w:tc>
        <w:tc>
          <w:tcPr>
            <w:tcW w:w="3686" w:type="dxa"/>
            <w:tcBorders>
              <w:top w:val="nil"/>
              <w:left w:val="single" w:sz="4" w:space="0" w:color="auto"/>
              <w:bottom w:val="single" w:sz="4" w:space="0" w:color="auto"/>
              <w:right w:val="single" w:sz="4" w:space="0" w:color="auto"/>
            </w:tcBorders>
            <w:vAlign w:val="center"/>
          </w:tcPr>
          <w:p w14:paraId="2411A4E9" w14:textId="77777777" w:rsidR="007968EC" w:rsidRPr="00EB14DE" w:rsidRDefault="007968EC" w:rsidP="007968EC">
            <w:pPr>
              <w:keepNext/>
              <w:jc w:val="both"/>
              <w:outlineLvl w:val="2"/>
              <w:rPr>
                <w:rFonts w:ascii="Arial Narrow" w:eastAsia="Calibri" w:hAnsi="Arial Narrow"/>
                <w:bCs/>
                <w:color w:val="000000" w:themeColor="text1"/>
                <w:lang w:eastAsia="en-US"/>
              </w:rPr>
            </w:pPr>
          </w:p>
        </w:tc>
      </w:tr>
    </w:tbl>
    <w:p w14:paraId="461DA31E" w14:textId="77777777" w:rsidR="007968EC" w:rsidRPr="00EB14DE" w:rsidRDefault="007968EC" w:rsidP="007968EC">
      <w:pPr>
        <w:tabs>
          <w:tab w:val="num" w:pos="5040"/>
        </w:tabs>
        <w:ind w:left="426"/>
        <w:jc w:val="both"/>
        <w:rPr>
          <w:rFonts w:ascii="Arial Narrow" w:eastAsia="Calibri" w:hAnsi="Arial Narrow"/>
          <w:bCs/>
          <w:color w:val="000000" w:themeColor="text1"/>
          <w:lang w:eastAsia="en-US"/>
        </w:rPr>
      </w:pPr>
    </w:p>
    <w:p w14:paraId="7A0781F3" w14:textId="77777777" w:rsidR="007968EC" w:rsidRPr="00EB14DE" w:rsidRDefault="007968EC" w:rsidP="00DA7472">
      <w:pPr>
        <w:numPr>
          <w:ilvl w:val="0"/>
          <w:numId w:val="213"/>
        </w:numPr>
        <w:tabs>
          <w:tab w:val="num" w:pos="5040"/>
        </w:tabs>
        <w:spacing w:after="160" w:line="259" w:lineRule="auto"/>
        <w:contextualSpacing/>
        <w:jc w:val="both"/>
        <w:rPr>
          <w:rFonts w:ascii="Arial Narrow" w:eastAsia="Calibri" w:hAnsi="Arial Narrow"/>
          <w:bCs/>
          <w:color w:val="000000" w:themeColor="text1"/>
          <w:lang w:eastAsia="en-US"/>
        </w:rPr>
      </w:pPr>
      <w:r w:rsidRPr="00EB14DE">
        <w:rPr>
          <w:rFonts w:ascii="Arial Narrow" w:eastAsia="Calibri" w:hAnsi="Arial Narrow"/>
          <w:bCs/>
          <w:color w:val="000000" w:themeColor="text1"/>
          <w:u w:val="single"/>
          <w:lang w:eastAsia="en-US"/>
        </w:rPr>
        <w:t>Sesión de Gestión de Operaciones:</w:t>
      </w:r>
      <w:r w:rsidRPr="00EB14DE">
        <w:rPr>
          <w:rFonts w:ascii="Arial Narrow" w:eastAsia="Calibri" w:hAnsi="Arial Narrow"/>
          <w:bCs/>
          <w:color w:val="000000" w:themeColor="text1"/>
          <w:lang w:eastAsia="en-US"/>
        </w:rPr>
        <w:t xml:space="preserve"> de 8:00 a.m. a 5:</w:t>
      </w:r>
      <w:r>
        <w:rPr>
          <w:rFonts w:ascii="Arial Narrow" w:eastAsia="Calibri" w:hAnsi="Arial Narrow"/>
          <w:bCs/>
          <w:color w:val="000000" w:themeColor="text1"/>
          <w:lang w:eastAsia="en-US"/>
        </w:rPr>
        <w:t>15</w:t>
      </w:r>
      <w:r w:rsidRPr="00EB14DE">
        <w:rPr>
          <w:rFonts w:ascii="Arial Narrow" w:eastAsia="Calibri" w:hAnsi="Arial Narrow"/>
          <w:bCs/>
          <w:color w:val="000000" w:themeColor="text1"/>
          <w:lang w:eastAsia="en-US"/>
        </w:rPr>
        <w:t xml:space="preserve"> p.m. Sesión durante la cual se pueden realizar las operaciones de gestión ante la Cámara. </w:t>
      </w:r>
    </w:p>
    <w:p w14:paraId="0D112F22" w14:textId="77777777" w:rsidR="007968EC" w:rsidRPr="00EB14DE" w:rsidRDefault="007968EC" w:rsidP="007968EC">
      <w:pPr>
        <w:tabs>
          <w:tab w:val="num" w:pos="5040"/>
        </w:tabs>
        <w:ind w:left="705"/>
        <w:contextualSpacing/>
        <w:jc w:val="both"/>
        <w:rPr>
          <w:rFonts w:ascii="Arial Narrow" w:eastAsia="Calibri" w:hAnsi="Arial Narrow"/>
          <w:bCs/>
          <w:color w:val="000000" w:themeColor="text1"/>
          <w:lang w:eastAsia="en-US"/>
        </w:rPr>
      </w:pPr>
    </w:p>
    <w:p w14:paraId="6749D589" w14:textId="77777777" w:rsidR="007968EC" w:rsidRPr="00EB14DE" w:rsidRDefault="007968EC" w:rsidP="007968EC">
      <w:pPr>
        <w:tabs>
          <w:tab w:val="num" w:pos="5040"/>
        </w:tabs>
        <w:jc w:val="both"/>
        <w:rPr>
          <w:rFonts w:ascii="Arial Narrow" w:eastAsia="Calibri" w:hAnsi="Arial Narrow"/>
          <w:bCs/>
          <w:color w:val="000000" w:themeColor="text1"/>
          <w:lang w:eastAsia="en-US"/>
        </w:rPr>
      </w:pPr>
      <w:r w:rsidRPr="00EB14DE">
        <w:rPr>
          <w:rFonts w:ascii="Arial Narrow" w:eastAsia="Calibri" w:hAnsi="Arial Narrow"/>
          <w:bCs/>
          <w:color w:val="000000" w:themeColor="text1"/>
          <w:lang w:eastAsia="en-US"/>
        </w:rPr>
        <w:lastRenderedPageBreak/>
        <w:t>El día anterior a la fecha de vencimiento de un Contrato de Derivado, con método de Liquidación por Entrega se realizarán los procesos necesarios para llevar a cabo el cumplimiento de la entrega al día siguiente, de acuerdo con los siguientes horarios:</w:t>
      </w:r>
    </w:p>
    <w:p w14:paraId="1691CCBA" w14:textId="77777777" w:rsidR="007968EC" w:rsidRPr="00EB14DE" w:rsidRDefault="007968EC" w:rsidP="007968EC">
      <w:pPr>
        <w:ind w:left="720"/>
        <w:contextualSpacing/>
        <w:rPr>
          <w:rFonts w:ascii="Arial Narrow" w:eastAsia="Calibri" w:hAnsi="Arial Narrow"/>
          <w:bCs/>
          <w:color w:val="000000" w:themeColor="text1"/>
          <w:u w:val="single"/>
          <w:lang w:eastAsia="en-US"/>
        </w:rPr>
      </w:pPr>
    </w:p>
    <w:p w14:paraId="7267BAE2" w14:textId="77777777" w:rsidR="007968EC" w:rsidRPr="00EB14DE" w:rsidRDefault="007968EC" w:rsidP="00DA7472">
      <w:pPr>
        <w:numPr>
          <w:ilvl w:val="0"/>
          <w:numId w:val="213"/>
        </w:numPr>
        <w:tabs>
          <w:tab w:val="num" w:pos="5040"/>
        </w:tabs>
        <w:spacing w:after="160" w:line="259" w:lineRule="auto"/>
        <w:contextualSpacing/>
        <w:jc w:val="both"/>
        <w:rPr>
          <w:rFonts w:ascii="Arial Narrow" w:eastAsia="Calibri" w:hAnsi="Arial Narrow"/>
          <w:bCs/>
          <w:color w:val="000000" w:themeColor="text1"/>
          <w:lang w:eastAsia="en-US"/>
        </w:rPr>
      </w:pPr>
      <w:r w:rsidRPr="00EB14DE">
        <w:rPr>
          <w:rFonts w:ascii="Arial Narrow" w:eastAsia="Calibri" w:hAnsi="Arial Narrow"/>
          <w:bCs/>
          <w:color w:val="000000" w:themeColor="text1"/>
          <w:u w:val="single"/>
          <w:lang w:eastAsia="en-US"/>
        </w:rPr>
        <w:t>Sesión de Notificación para los Miembros no Liquidadores y Miembros Liquidadores</w:t>
      </w:r>
      <w:r w:rsidRPr="00EB14DE">
        <w:rPr>
          <w:rFonts w:ascii="Arial Narrow" w:eastAsia="Calibri" w:hAnsi="Arial Narrow"/>
          <w:bCs/>
          <w:color w:val="000000" w:themeColor="text1"/>
          <w:lang w:eastAsia="en-US"/>
        </w:rPr>
        <w:t xml:space="preserve">: Esta sesión estará disponible desde las 7:00 p.m. hasta las 7:59 p.m. del último día de negociación del Contrato. </w:t>
      </w:r>
    </w:p>
    <w:p w14:paraId="10795C9A" w14:textId="77777777" w:rsidR="007968EC" w:rsidRPr="00EB14DE" w:rsidRDefault="007968EC" w:rsidP="007968EC">
      <w:pPr>
        <w:ind w:left="720"/>
        <w:contextualSpacing/>
        <w:rPr>
          <w:rFonts w:ascii="Arial Narrow" w:eastAsia="Calibri" w:hAnsi="Arial Narrow"/>
          <w:bCs/>
          <w:color w:val="000000" w:themeColor="text1"/>
          <w:u w:val="single"/>
          <w:lang w:eastAsia="en-US"/>
        </w:rPr>
      </w:pPr>
    </w:p>
    <w:p w14:paraId="1AE23406" w14:textId="77777777" w:rsidR="007968EC" w:rsidRPr="00EB14DE" w:rsidRDefault="007968EC" w:rsidP="00DA7472">
      <w:pPr>
        <w:numPr>
          <w:ilvl w:val="0"/>
          <w:numId w:val="213"/>
        </w:numPr>
        <w:tabs>
          <w:tab w:val="num" w:pos="5040"/>
        </w:tabs>
        <w:spacing w:after="160" w:line="259" w:lineRule="auto"/>
        <w:contextualSpacing/>
        <w:jc w:val="both"/>
        <w:rPr>
          <w:rFonts w:ascii="Arial Narrow" w:eastAsia="Calibri" w:hAnsi="Arial Narrow"/>
          <w:bCs/>
          <w:color w:val="000000" w:themeColor="text1"/>
          <w:lang w:eastAsia="en-US"/>
        </w:rPr>
      </w:pPr>
      <w:r w:rsidRPr="00EB14DE">
        <w:rPr>
          <w:rFonts w:ascii="Arial Narrow" w:eastAsia="Calibri" w:hAnsi="Arial Narrow"/>
          <w:bCs/>
          <w:color w:val="000000" w:themeColor="text1"/>
          <w:u w:val="single"/>
          <w:lang w:eastAsia="en-US"/>
        </w:rPr>
        <w:t>Sesión de Notificación para los Miembros Liquidadores</w:t>
      </w:r>
      <w:r w:rsidRPr="00EB14DE">
        <w:rPr>
          <w:rFonts w:ascii="Arial Narrow" w:eastAsia="Calibri" w:hAnsi="Arial Narrow"/>
          <w:bCs/>
          <w:color w:val="000000" w:themeColor="text1"/>
          <w:lang w:eastAsia="en-US"/>
        </w:rPr>
        <w:t>: Esta sesión estará disponible desde las 8:00 p.m. hasta las 8:59 p.m. del último día de negociación del Contrato.</w:t>
      </w:r>
    </w:p>
    <w:p w14:paraId="72F286DE" w14:textId="77777777" w:rsidR="007968EC" w:rsidRPr="00EB14DE" w:rsidRDefault="007968EC" w:rsidP="007968EC">
      <w:pPr>
        <w:ind w:left="720"/>
        <w:contextualSpacing/>
        <w:rPr>
          <w:rFonts w:ascii="Arial Narrow" w:eastAsia="Calibri" w:hAnsi="Arial Narrow"/>
          <w:bCs/>
          <w:color w:val="000000" w:themeColor="text1"/>
          <w:u w:val="single"/>
          <w:lang w:eastAsia="en-US"/>
        </w:rPr>
      </w:pPr>
    </w:p>
    <w:p w14:paraId="5D2CF7CB" w14:textId="77777777" w:rsidR="007968EC" w:rsidRPr="00EB14DE" w:rsidRDefault="007968EC" w:rsidP="00DA7472">
      <w:pPr>
        <w:numPr>
          <w:ilvl w:val="0"/>
          <w:numId w:val="213"/>
        </w:numPr>
        <w:tabs>
          <w:tab w:val="num" w:pos="5040"/>
        </w:tabs>
        <w:spacing w:after="160" w:line="259" w:lineRule="auto"/>
        <w:contextualSpacing/>
        <w:jc w:val="both"/>
        <w:rPr>
          <w:rFonts w:ascii="Arial Narrow" w:eastAsia="Calibri" w:hAnsi="Arial Narrow"/>
          <w:bCs/>
          <w:color w:val="000000" w:themeColor="text1"/>
          <w:lang w:eastAsia="en-US"/>
        </w:rPr>
      </w:pPr>
      <w:r w:rsidRPr="00EB14DE">
        <w:rPr>
          <w:rFonts w:ascii="Arial Narrow" w:eastAsia="Calibri" w:hAnsi="Arial Narrow"/>
          <w:bCs/>
          <w:color w:val="000000" w:themeColor="text1"/>
          <w:u w:val="single"/>
          <w:lang w:eastAsia="en-US"/>
        </w:rPr>
        <w:t>Sesión de Notificación para la Cámara</w:t>
      </w:r>
      <w:r w:rsidRPr="00EB14DE">
        <w:rPr>
          <w:rFonts w:ascii="Arial Narrow" w:eastAsia="Calibri" w:hAnsi="Arial Narrow"/>
          <w:bCs/>
          <w:color w:val="000000" w:themeColor="text1"/>
          <w:lang w:eastAsia="en-US"/>
        </w:rPr>
        <w:t>: Esta sesión estará disponible desde las 9:00 p.m. y como máximo estará abierta hasta las 9:59 p.m. del último día de negociación del Contrato.</w:t>
      </w:r>
    </w:p>
    <w:p w14:paraId="212B1E69" w14:textId="77777777" w:rsidR="007968EC" w:rsidRPr="00EB14DE" w:rsidRDefault="007968EC" w:rsidP="007968EC">
      <w:pPr>
        <w:tabs>
          <w:tab w:val="num" w:pos="5040"/>
        </w:tabs>
        <w:ind w:left="426"/>
        <w:jc w:val="both"/>
        <w:rPr>
          <w:rFonts w:ascii="Arial Narrow" w:eastAsia="Calibri" w:hAnsi="Arial Narrow"/>
          <w:bCs/>
          <w:color w:val="000000" w:themeColor="text1"/>
          <w:u w:val="single"/>
          <w:lang w:eastAsia="en-US"/>
        </w:rPr>
      </w:pPr>
    </w:p>
    <w:p w14:paraId="0E3A58B2" w14:textId="77777777" w:rsidR="007968EC" w:rsidRPr="00EB14DE" w:rsidRDefault="007968EC" w:rsidP="007968EC">
      <w:pPr>
        <w:autoSpaceDE w:val="0"/>
        <w:autoSpaceDN w:val="0"/>
        <w:jc w:val="both"/>
        <w:rPr>
          <w:rFonts w:ascii="Arial Narrow" w:eastAsia="Calibri" w:hAnsi="Arial Narrow"/>
          <w:bCs/>
          <w:color w:val="000000" w:themeColor="text1"/>
          <w:lang w:eastAsia="en-US"/>
        </w:rPr>
      </w:pPr>
      <w:r w:rsidRPr="00EB14DE">
        <w:rPr>
          <w:rFonts w:ascii="Arial Narrow" w:eastAsia="Calibri" w:hAnsi="Arial Narrow"/>
          <w:bCs/>
          <w:color w:val="000000" w:themeColor="text1"/>
          <w:lang w:eastAsia="en-US"/>
        </w:rPr>
        <w:t xml:space="preserve">En la fecha de vencimiento de cada Contrato y según el método de Liquidación que corresponda se tendrán las siguientes sesiones adicionales: </w:t>
      </w:r>
    </w:p>
    <w:p w14:paraId="6F696121" w14:textId="77777777" w:rsidR="007968EC" w:rsidRPr="00EB14DE" w:rsidRDefault="007968EC" w:rsidP="007968EC">
      <w:pPr>
        <w:autoSpaceDE w:val="0"/>
        <w:autoSpaceDN w:val="0"/>
        <w:jc w:val="both"/>
        <w:rPr>
          <w:rFonts w:ascii="Arial Narrow" w:eastAsia="Calibri" w:hAnsi="Arial Narrow"/>
          <w:bCs/>
          <w:color w:val="000000" w:themeColor="text1"/>
          <w:u w:val="single"/>
          <w:lang w:eastAsia="en-US"/>
        </w:rPr>
      </w:pPr>
    </w:p>
    <w:p w14:paraId="38C01F3B" w14:textId="77777777" w:rsidR="007968EC" w:rsidRPr="00EB14DE" w:rsidRDefault="007968EC" w:rsidP="00DA7472">
      <w:pPr>
        <w:numPr>
          <w:ilvl w:val="0"/>
          <w:numId w:val="213"/>
        </w:numPr>
        <w:spacing w:after="160" w:line="259" w:lineRule="auto"/>
        <w:ind w:left="426" w:hanging="426"/>
        <w:jc w:val="both"/>
        <w:rPr>
          <w:rFonts w:ascii="Arial Narrow" w:eastAsia="Calibri" w:hAnsi="Arial Narrow"/>
          <w:color w:val="000000" w:themeColor="text1"/>
          <w:lang w:eastAsia="en-US"/>
        </w:rPr>
      </w:pPr>
      <w:r w:rsidRPr="00EB14DE">
        <w:rPr>
          <w:rFonts w:ascii="Arial Narrow" w:eastAsia="Calibri" w:hAnsi="Arial Narrow"/>
          <w:color w:val="000000" w:themeColor="text1"/>
          <w:u w:val="single"/>
          <w:lang w:eastAsia="en-US"/>
        </w:rPr>
        <w:t>Sesión de Liquidación al Vencimiento cuando las Operaciones Aceptadas deban ser cumplidas con Liquidación por Entrega:</w:t>
      </w:r>
      <w:r w:rsidRPr="00EB14DE">
        <w:rPr>
          <w:rFonts w:ascii="Arial Narrow" w:eastAsia="Calibri" w:hAnsi="Arial Narrow"/>
          <w:color w:val="000000" w:themeColor="text1"/>
          <w:lang w:eastAsia="en-US"/>
        </w:rPr>
        <w:t xml:space="preserve"> De 7:00 a.m. a 7:00 p.m. Proceso de recibo de los Activos y efectivo de los Miembros y de los titulares de Cuenta obligados a entregar hacia la Cámara y entrega de Activos y efectivo hacia los Miembros y titulares de Cuenta con derecho a recibir desde la Cámara, el cual comprende las siguientes etapas con sus correspondientes horarios, así:</w:t>
      </w:r>
    </w:p>
    <w:p w14:paraId="3D7AF82B" w14:textId="77777777" w:rsidR="007968EC" w:rsidRPr="00EB14DE" w:rsidRDefault="007968EC" w:rsidP="007968EC">
      <w:pPr>
        <w:ind w:left="426"/>
        <w:jc w:val="both"/>
        <w:rPr>
          <w:rFonts w:ascii="Arial Narrow" w:eastAsia="Calibri" w:hAnsi="Arial Narrow"/>
          <w:color w:val="000000" w:themeColor="text1"/>
          <w:u w:val="single"/>
          <w:lang w:eastAsia="en-US"/>
        </w:rPr>
      </w:pPr>
    </w:p>
    <w:p w14:paraId="318F6C61" w14:textId="77777777" w:rsidR="007968EC" w:rsidRPr="00EB14DE" w:rsidRDefault="007968EC" w:rsidP="007968EC">
      <w:pPr>
        <w:ind w:left="426"/>
        <w:jc w:val="both"/>
        <w:rPr>
          <w:rFonts w:ascii="Arial Narrow" w:eastAsia="Calibri" w:hAnsi="Arial Narrow"/>
          <w:color w:val="000000" w:themeColor="text1"/>
          <w:lang w:eastAsia="en-US"/>
        </w:rPr>
      </w:pPr>
      <w:r w:rsidRPr="00EB14DE">
        <w:rPr>
          <w:rFonts w:ascii="Arial Narrow" w:eastAsia="Calibri" w:hAnsi="Arial Narrow"/>
          <w:color w:val="000000" w:themeColor="text1"/>
          <w:lang w:eastAsia="en-US"/>
        </w:rPr>
        <w:t>Etapa 1: Solicitud de transferencia de valores y efectivo desde los Miembros a la Cámara, se gestionará el día de Vencimiento del Contrato, conforme a los siguientes procesos:</w:t>
      </w:r>
    </w:p>
    <w:p w14:paraId="663D8826" w14:textId="77777777" w:rsidR="007968EC" w:rsidRPr="00EB14DE" w:rsidRDefault="007968EC" w:rsidP="007968EC">
      <w:pPr>
        <w:autoSpaceDE w:val="0"/>
        <w:autoSpaceDN w:val="0"/>
        <w:adjustRightInd w:val="0"/>
        <w:ind w:left="360"/>
        <w:contextualSpacing/>
        <w:jc w:val="both"/>
        <w:rPr>
          <w:rFonts w:ascii="Arial Narrow" w:eastAsia="Calibri" w:hAnsi="Arial Narrow"/>
          <w:color w:val="000000" w:themeColor="text1"/>
          <w:u w:val="single"/>
          <w:lang w:eastAsia="en-US"/>
        </w:rPr>
      </w:pPr>
    </w:p>
    <w:p w14:paraId="619CFB82" w14:textId="77777777" w:rsidR="007968EC" w:rsidRPr="00EB14DE" w:rsidRDefault="007968EC" w:rsidP="00DA7472">
      <w:pPr>
        <w:numPr>
          <w:ilvl w:val="0"/>
          <w:numId w:val="216"/>
        </w:numPr>
        <w:tabs>
          <w:tab w:val="left" w:pos="34"/>
        </w:tabs>
        <w:autoSpaceDE w:val="0"/>
        <w:autoSpaceDN w:val="0"/>
        <w:adjustRightInd w:val="0"/>
        <w:spacing w:after="160" w:line="259" w:lineRule="auto"/>
        <w:ind w:hanging="294"/>
        <w:contextualSpacing/>
        <w:jc w:val="both"/>
        <w:rPr>
          <w:rFonts w:ascii="Arial Narrow" w:eastAsia="Calibri" w:hAnsi="Arial Narrow"/>
          <w:color w:val="000000" w:themeColor="text1"/>
          <w:lang w:eastAsia="es-CO"/>
        </w:rPr>
      </w:pPr>
      <w:r w:rsidRPr="00EB14DE">
        <w:rPr>
          <w:rFonts w:ascii="Arial Narrow" w:eastAsia="Calibri" w:hAnsi="Arial Narrow"/>
          <w:color w:val="000000" w:themeColor="text1"/>
          <w:u w:val="single"/>
          <w:lang w:eastAsia="es-CO"/>
        </w:rPr>
        <w:t>Entrega Total:</w:t>
      </w:r>
      <w:r w:rsidRPr="00EB14DE">
        <w:rPr>
          <w:rFonts w:ascii="Arial Narrow" w:eastAsia="Calibri" w:hAnsi="Arial Narrow"/>
          <w:color w:val="000000" w:themeColor="text1"/>
          <w:lang w:eastAsia="es-CO"/>
        </w:rPr>
        <w:t xml:space="preserve"> Solicitud de transferencia de valores en neto a nivel de titular de cada cuenta y de efectivo en neto a nivel de Miembro Liquidador desde los Miembros a la Cámara, se gestionará desde las 7:00 a.m. hasta las 11:00 a.m. del día de Vencimiento del Contrato. Si a las 11:00 a.m., los Miembros con posiciones vendedoras han entregado la totalidad de los valores pero no han entregado la totalidad del efectivo, la Cámara seguirá solicitando la transferencia del efectivo en neto a nivel de Miembro Liquidador hasta las 2:00 p.m. </w:t>
      </w:r>
    </w:p>
    <w:p w14:paraId="5E69A508" w14:textId="77777777" w:rsidR="007968EC" w:rsidRPr="00EB14DE" w:rsidRDefault="007968EC" w:rsidP="007968EC">
      <w:pPr>
        <w:ind w:hanging="294"/>
        <w:rPr>
          <w:rFonts w:ascii="Arial Narrow" w:eastAsia="Calibri" w:hAnsi="Arial Narrow" w:cs="Arial"/>
          <w:b/>
          <w:lang w:eastAsia="es-ES"/>
        </w:rPr>
      </w:pPr>
    </w:p>
    <w:p w14:paraId="15ED18F2" w14:textId="77777777" w:rsidR="007968EC" w:rsidRPr="00EB14DE" w:rsidRDefault="007968EC" w:rsidP="00DA7472">
      <w:pPr>
        <w:numPr>
          <w:ilvl w:val="0"/>
          <w:numId w:val="216"/>
        </w:numPr>
        <w:tabs>
          <w:tab w:val="left" w:pos="34"/>
        </w:tabs>
        <w:autoSpaceDE w:val="0"/>
        <w:autoSpaceDN w:val="0"/>
        <w:adjustRightInd w:val="0"/>
        <w:spacing w:after="160" w:line="259" w:lineRule="auto"/>
        <w:ind w:hanging="294"/>
        <w:contextualSpacing/>
        <w:jc w:val="both"/>
        <w:rPr>
          <w:rFonts w:ascii="Arial Narrow" w:eastAsia="Calibri" w:hAnsi="Arial Narrow"/>
          <w:color w:val="000000" w:themeColor="text1"/>
          <w:u w:val="single"/>
          <w:lang w:eastAsia="es-CO"/>
        </w:rPr>
      </w:pPr>
      <w:r w:rsidRPr="00EB14DE">
        <w:rPr>
          <w:rFonts w:ascii="Arial Narrow" w:eastAsia="Calibri" w:hAnsi="Arial Narrow"/>
          <w:color w:val="000000" w:themeColor="text1"/>
          <w:u w:val="single"/>
          <w:lang w:eastAsia="en-US"/>
        </w:rPr>
        <w:t>Entrega Parcial:</w:t>
      </w:r>
      <w:r w:rsidRPr="00EB14DE">
        <w:rPr>
          <w:rFonts w:ascii="Arial Narrow" w:eastAsia="Calibri" w:hAnsi="Arial Narrow"/>
          <w:color w:val="000000" w:themeColor="text1"/>
          <w:lang w:eastAsia="en-US"/>
        </w:rPr>
        <w:t xml:space="preserve"> </w:t>
      </w:r>
      <w:r w:rsidRPr="00EB14DE">
        <w:rPr>
          <w:rFonts w:ascii="Arial Narrow" w:eastAsia="Calibri" w:hAnsi="Arial Narrow"/>
          <w:color w:val="000000" w:themeColor="text1"/>
          <w:lang w:eastAsia="es-CO"/>
        </w:rPr>
        <w:t>Solicitud de transferencia de efectivo en neto a nivel del titular de Cuenta, desde los Miembros Liquidadores a la Cámara cuando falten valores por entregar por parte de</w:t>
      </w:r>
      <w:r w:rsidRPr="00EB14DE">
        <w:rPr>
          <w:rFonts w:ascii="Arial Narrow" w:eastAsia="Calibri" w:hAnsi="Arial Narrow"/>
          <w:color w:val="000000" w:themeColor="text1"/>
          <w:lang w:eastAsia="en-US"/>
        </w:rPr>
        <w:t xml:space="preserve"> los Miembros con posiciones vendedoras</w:t>
      </w:r>
      <w:r w:rsidRPr="00EB14DE">
        <w:rPr>
          <w:rFonts w:ascii="Arial Narrow" w:eastAsia="Calibri" w:hAnsi="Arial Narrow"/>
          <w:color w:val="000000" w:themeColor="text1"/>
          <w:lang w:eastAsia="es-CO"/>
        </w:rPr>
        <w:t>;</w:t>
      </w:r>
      <w:r w:rsidRPr="00EB14DE">
        <w:rPr>
          <w:rFonts w:ascii="Arial Narrow" w:eastAsia="Calibri" w:hAnsi="Arial Narrow"/>
          <w:color w:val="000000" w:themeColor="text1"/>
          <w:lang w:eastAsia="en-US"/>
        </w:rPr>
        <w:t xml:space="preserve"> se gestionará desde las 11:01 a.m. hasta las 4:00 p.m. para el caso del </w:t>
      </w:r>
      <w:r w:rsidRPr="00EB14DE">
        <w:rPr>
          <w:rFonts w:ascii="Arial Narrow" w:eastAsia="Calibri" w:hAnsi="Arial Narrow"/>
          <w:bCs/>
          <w:color w:val="000000" w:themeColor="text1"/>
          <w:lang w:eastAsia="en-US"/>
        </w:rPr>
        <w:t>Contrato de Futuro sobre Acciones del Índice COLCAP con Liquidación por Entrega</w:t>
      </w:r>
      <w:r w:rsidRPr="00EB14DE">
        <w:rPr>
          <w:rFonts w:ascii="Arial Narrow" w:eastAsia="Calibri" w:hAnsi="Arial Narrow"/>
          <w:color w:val="000000" w:themeColor="text1"/>
          <w:lang w:eastAsia="en-US"/>
        </w:rPr>
        <w:t>, y hasta las 5:00 p.m., para el caso del Futuro TES Corto Plazo, del Futuro TES Mediano Plazo y del Futuro TES Largo Plazo.</w:t>
      </w:r>
    </w:p>
    <w:p w14:paraId="43E2CB1D" w14:textId="77777777" w:rsidR="007968EC" w:rsidRPr="00EB14DE" w:rsidRDefault="007968EC" w:rsidP="007968EC">
      <w:pPr>
        <w:autoSpaceDE w:val="0"/>
        <w:autoSpaceDN w:val="0"/>
        <w:adjustRightInd w:val="0"/>
        <w:contextualSpacing/>
        <w:jc w:val="both"/>
        <w:rPr>
          <w:rFonts w:ascii="Arial Narrow" w:eastAsia="Calibri" w:hAnsi="Arial Narrow"/>
          <w:color w:val="000000" w:themeColor="text1"/>
          <w:u w:val="single"/>
          <w:lang w:eastAsia="en-US"/>
        </w:rPr>
      </w:pPr>
    </w:p>
    <w:p w14:paraId="6E96F126" w14:textId="77777777" w:rsidR="007968EC" w:rsidRPr="00EB14DE" w:rsidRDefault="007968EC" w:rsidP="007968EC">
      <w:pPr>
        <w:ind w:left="426"/>
        <w:jc w:val="both"/>
        <w:rPr>
          <w:rFonts w:ascii="Arial Narrow" w:eastAsia="Calibri" w:hAnsi="Arial Narrow"/>
          <w:color w:val="000000" w:themeColor="text1"/>
          <w:lang w:eastAsia="en-US"/>
        </w:rPr>
      </w:pPr>
      <w:r w:rsidRPr="00EB14DE">
        <w:rPr>
          <w:rFonts w:ascii="Arial Narrow" w:eastAsia="Calibri" w:hAnsi="Arial Narrow"/>
          <w:color w:val="000000" w:themeColor="text1"/>
          <w:lang w:eastAsia="en-US"/>
        </w:rPr>
        <w:lastRenderedPageBreak/>
        <w:t xml:space="preserve">Etapa 2: Solicitud de transferencia de valores y efectivo desde la Cámara a los Miembros, se gestionará desde 11:01 a.m. hasta las 4:00 p.m. para el caso del </w:t>
      </w:r>
      <w:r w:rsidRPr="00EB14DE">
        <w:rPr>
          <w:rFonts w:ascii="Arial Narrow" w:eastAsia="Calibri" w:hAnsi="Arial Narrow"/>
          <w:bCs/>
          <w:color w:val="000000" w:themeColor="text1"/>
          <w:lang w:eastAsia="en-US"/>
        </w:rPr>
        <w:t>Contrato de Futuro sobre Acciones del Índice COLCAP con Liquidación por Entrega</w:t>
      </w:r>
      <w:r w:rsidRPr="00EB14DE">
        <w:rPr>
          <w:rFonts w:ascii="Arial Narrow" w:eastAsia="Calibri" w:hAnsi="Arial Narrow"/>
          <w:color w:val="000000" w:themeColor="text1"/>
          <w:lang w:eastAsia="en-US"/>
        </w:rPr>
        <w:t>; y hasta las 5:00 p.m. del día de Vencimiento del Contrato, para el caso del Futuro TES Corto Plazo, del Futuro TES Mediano Plazo y del Futuro TES Largo Plazo.</w:t>
      </w:r>
    </w:p>
    <w:p w14:paraId="2FAE21F0" w14:textId="77777777" w:rsidR="007968EC" w:rsidRPr="00EB14DE" w:rsidRDefault="007968EC" w:rsidP="007968EC">
      <w:pPr>
        <w:ind w:left="426"/>
        <w:jc w:val="both"/>
        <w:rPr>
          <w:rFonts w:ascii="Arial Narrow" w:eastAsia="Calibri" w:hAnsi="Arial Narrow"/>
          <w:color w:val="000000" w:themeColor="text1"/>
          <w:lang w:eastAsia="en-US"/>
        </w:rPr>
      </w:pPr>
    </w:p>
    <w:p w14:paraId="4658B3A7" w14:textId="77777777" w:rsidR="007968EC" w:rsidRPr="00EB14DE" w:rsidRDefault="007968EC" w:rsidP="007968EC">
      <w:pPr>
        <w:ind w:left="426"/>
        <w:jc w:val="both"/>
        <w:rPr>
          <w:rFonts w:ascii="Arial Narrow" w:eastAsia="Calibri" w:hAnsi="Arial Narrow"/>
          <w:color w:val="000000" w:themeColor="text1"/>
          <w:lang w:eastAsia="en-US"/>
        </w:rPr>
      </w:pPr>
      <w:r w:rsidRPr="00EB14DE">
        <w:rPr>
          <w:rFonts w:ascii="Arial Narrow" w:eastAsia="Calibri" w:hAnsi="Arial Narrow"/>
          <w:color w:val="000000" w:themeColor="text1"/>
          <w:lang w:eastAsia="en-US"/>
        </w:rPr>
        <w:t>Etapa 3: Gestión del proceso operativo de retardos en la obligación de entrega, total o parcial de los Activos y efectivo de los Miembros obligados a entregar hacia la Cámara, de acuerdo a los procesos mencionados en la Etapa 1, que se estén gestionando:</w:t>
      </w:r>
    </w:p>
    <w:p w14:paraId="53F0E1BD" w14:textId="77777777" w:rsidR="007968EC" w:rsidRPr="00EB14DE" w:rsidRDefault="007968EC" w:rsidP="007968EC">
      <w:pPr>
        <w:ind w:left="426"/>
        <w:jc w:val="both"/>
        <w:rPr>
          <w:rFonts w:ascii="Arial Narrow" w:eastAsia="Calibri" w:hAnsi="Arial Narrow"/>
          <w:color w:val="000000" w:themeColor="text1"/>
          <w:lang w:eastAsia="en-US"/>
        </w:rPr>
      </w:pPr>
    </w:p>
    <w:p w14:paraId="5B10E1DB" w14:textId="77777777" w:rsidR="007968EC" w:rsidRPr="00EB14DE" w:rsidRDefault="007968EC" w:rsidP="00DA7472">
      <w:pPr>
        <w:numPr>
          <w:ilvl w:val="0"/>
          <w:numId w:val="214"/>
        </w:numPr>
        <w:tabs>
          <w:tab w:val="left" w:pos="34"/>
        </w:tabs>
        <w:autoSpaceDE w:val="0"/>
        <w:autoSpaceDN w:val="0"/>
        <w:adjustRightInd w:val="0"/>
        <w:spacing w:after="160" w:line="259" w:lineRule="auto"/>
        <w:ind w:hanging="294"/>
        <w:contextualSpacing/>
        <w:jc w:val="both"/>
        <w:rPr>
          <w:rFonts w:ascii="Arial Narrow" w:eastAsia="Calibri" w:hAnsi="Arial Narrow"/>
          <w:color w:val="000000" w:themeColor="text1"/>
          <w:lang w:eastAsia="es-CO"/>
        </w:rPr>
      </w:pPr>
      <w:r w:rsidRPr="00EB14DE">
        <w:rPr>
          <w:rFonts w:ascii="Arial Narrow" w:eastAsia="Calibri" w:hAnsi="Arial Narrow"/>
          <w:color w:val="000000" w:themeColor="text1"/>
          <w:lang w:eastAsia="es-CO"/>
        </w:rPr>
        <w:t xml:space="preserve">Total: </w:t>
      </w:r>
      <w:r w:rsidRPr="00EB14DE">
        <w:rPr>
          <w:rFonts w:ascii="Arial Narrow" w:eastAsia="Calibri" w:hAnsi="Arial Narrow"/>
          <w:color w:val="000000" w:themeColor="text1"/>
          <w:lang w:eastAsia="en-US"/>
        </w:rPr>
        <w:t>Si después de cumplida la hora definida para la entrega de los valores</w:t>
      </w:r>
      <w:r w:rsidRPr="00EB14DE">
        <w:rPr>
          <w:rFonts w:ascii="Arial Narrow" w:eastAsia="Calibri" w:hAnsi="Arial Narrow"/>
          <w:color w:val="000000" w:themeColor="text1"/>
          <w:lang w:eastAsia="es-CO"/>
        </w:rPr>
        <w:t xml:space="preserve"> y el efectivo, los Miembros no han entregado la totalidad del efectivo determinado en neto a nivel de Miembro Liquidador, se iniciará la gestión del proceso operativo de retardos desde la 2:01 p.m. hasta las 5:00 p.m. </w:t>
      </w:r>
    </w:p>
    <w:p w14:paraId="31B5725D" w14:textId="77777777" w:rsidR="007968EC" w:rsidRPr="00EB14DE" w:rsidRDefault="007968EC" w:rsidP="007968EC">
      <w:pPr>
        <w:ind w:hanging="294"/>
        <w:rPr>
          <w:rFonts w:ascii="Arial Narrow" w:eastAsia="Calibri" w:hAnsi="Arial Narrow" w:cs="Arial"/>
          <w:b/>
          <w:lang w:eastAsia="es-ES"/>
        </w:rPr>
      </w:pPr>
    </w:p>
    <w:p w14:paraId="18F13187" w14:textId="77777777" w:rsidR="007968EC" w:rsidRPr="00EB14DE" w:rsidRDefault="007968EC" w:rsidP="00DA7472">
      <w:pPr>
        <w:numPr>
          <w:ilvl w:val="0"/>
          <w:numId w:val="214"/>
        </w:numPr>
        <w:tabs>
          <w:tab w:val="left" w:pos="34"/>
        </w:tabs>
        <w:autoSpaceDE w:val="0"/>
        <w:autoSpaceDN w:val="0"/>
        <w:adjustRightInd w:val="0"/>
        <w:spacing w:after="160" w:line="259" w:lineRule="auto"/>
        <w:ind w:hanging="294"/>
        <w:contextualSpacing/>
        <w:jc w:val="both"/>
        <w:rPr>
          <w:rFonts w:ascii="Arial Narrow" w:eastAsia="Calibri" w:hAnsi="Arial Narrow"/>
          <w:color w:val="000000" w:themeColor="text1"/>
          <w:lang w:eastAsia="es-CO"/>
        </w:rPr>
      </w:pPr>
      <w:r w:rsidRPr="00EB14DE">
        <w:rPr>
          <w:rFonts w:ascii="Arial Narrow" w:eastAsia="Calibri" w:hAnsi="Arial Narrow"/>
          <w:color w:val="000000" w:themeColor="text1"/>
          <w:lang w:eastAsia="en-US"/>
        </w:rPr>
        <w:t xml:space="preserve">Parcial: Si después de cumplida la hora definida para la entrega de los valores, los Miembros no han entregado la totalidad de los mismos, se gestionará el proceso operativo de retardos, tanto para las entregas del efectivo como de los títulos, desde la 4:01 p.m. hasta la 5:00 p.m. para el caso del </w:t>
      </w:r>
      <w:r w:rsidRPr="00EB14DE">
        <w:rPr>
          <w:rFonts w:ascii="Arial Narrow" w:eastAsia="Calibri" w:hAnsi="Arial Narrow"/>
          <w:bCs/>
          <w:color w:val="000000" w:themeColor="text1"/>
          <w:lang w:eastAsia="en-US"/>
        </w:rPr>
        <w:t>Contrato de Futuro sobre Acciones del Índice COLCAP con Liquidación por Entrega</w:t>
      </w:r>
      <w:r w:rsidRPr="00EB14DE">
        <w:rPr>
          <w:rFonts w:ascii="Arial Narrow" w:eastAsia="Calibri" w:hAnsi="Arial Narrow"/>
          <w:color w:val="000000" w:themeColor="text1"/>
          <w:lang w:eastAsia="en-US"/>
        </w:rPr>
        <w:t>; y desde las 5:01 p.m. hasta las 6:00 p.m., para el caso del Futuro TES Corto Plazo, del Futuro TES Mediano Plazo y del Futuro TES Largo Plazo.</w:t>
      </w:r>
    </w:p>
    <w:p w14:paraId="7805D66A" w14:textId="77777777" w:rsidR="007968EC" w:rsidRPr="00EB14DE" w:rsidRDefault="007968EC" w:rsidP="007968EC">
      <w:pPr>
        <w:autoSpaceDE w:val="0"/>
        <w:autoSpaceDN w:val="0"/>
        <w:adjustRightInd w:val="0"/>
        <w:contextualSpacing/>
        <w:jc w:val="both"/>
        <w:rPr>
          <w:rFonts w:ascii="Arial Narrow" w:eastAsia="Calibri" w:hAnsi="Arial Narrow"/>
          <w:color w:val="000000" w:themeColor="text1"/>
          <w:u w:val="single"/>
          <w:lang w:eastAsia="en-US"/>
        </w:rPr>
      </w:pPr>
    </w:p>
    <w:p w14:paraId="12FFA090" w14:textId="77777777" w:rsidR="007968EC" w:rsidRPr="00EB14DE" w:rsidRDefault="007968EC" w:rsidP="00DA7472">
      <w:pPr>
        <w:numPr>
          <w:ilvl w:val="0"/>
          <w:numId w:val="213"/>
        </w:numPr>
        <w:tabs>
          <w:tab w:val="num" w:pos="426"/>
        </w:tabs>
        <w:autoSpaceDE w:val="0"/>
        <w:autoSpaceDN w:val="0"/>
        <w:adjustRightInd w:val="0"/>
        <w:spacing w:after="160" w:line="259" w:lineRule="auto"/>
        <w:ind w:left="426" w:hanging="426"/>
        <w:contextualSpacing/>
        <w:jc w:val="both"/>
        <w:rPr>
          <w:rFonts w:ascii="Arial Narrow" w:eastAsia="Calibri" w:hAnsi="Arial Narrow"/>
          <w:color w:val="000000" w:themeColor="text1"/>
          <w:lang w:eastAsia="en-US"/>
        </w:rPr>
      </w:pPr>
      <w:r w:rsidRPr="00EB14DE">
        <w:rPr>
          <w:rFonts w:ascii="Arial Narrow" w:eastAsia="Calibri" w:hAnsi="Arial Narrow"/>
          <w:color w:val="000000" w:themeColor="text1"/>
          <w:u w:val="single"/>
          <w:lang w:eastAsia="es-CO"/>
        </w:rPr>
        <w:t xml:space="preserve">Sesión de liquidación al Vencimiento por Entrega en caso de incumplimiento de un Miembro Liquidador: </w:t>
      </w:r>
      <w:r w:rsidRPr="00EB14DE">
        <w:rPr>
          <w:rFonts w:ascii="Arial Narrow" w:eastAsia="Calibri" w:hAnsi="Arial Narrow"/>
          <w:color w:val="000000" w:themeColor="text1"/>
          <w:lang w:eastAsia="es-CO"/>
        </w:rPr>
        <w:t xml:space="preserve">En el evento en que un Miembro Liquidador incurra en alguna causal de incumplimiento y el Miembro Liquidador cuyos titulares de Cuenta que tengan derecho a recibir los Activos, no hayan solicitado a la Cámara el cumplimiento por medio de la Liquidación por Diferencias por Incumplimiento en la Entrega, de acuerdo al artículo </w:t>
      </w:r>
      <w:r w:rsidRPr="00EB14DE">
        <w:rPr>
          <w:rFonts w:ascii="Arial Narrow" w:eastAsia="Calibri" w:hAnsi="Arial Narrow"/>
          <w:color w:val="000000" w:themeColor="text1"/>
          <w:lang w:eastAsia="en-US"/>
        </w:rPr>
        <w:t>2.4.4.30</w:t>
      </w:r>
      <w:r w:rsidRPr="00EB14DE">
        <w:rPr>
          <w:rFonts w:ascii="Arial Narrow" w:eastAsia="Calibri" w:hAnsi="Arial Narrow"/>
          <w:color w:val="000000" w:themeColor="text1"/>
          <w:lang w:eastAsia="es-CO"/>
        </w:rPr>
        <w:t>. Liquidación por Diferencias por Incumplimiento en la Entrega de la presente Circular, se abrirá una Sesión de Liquidación al Vencimiento por Entrega, únicamente para la Cámara, con el propósito de ejecutar la solicitud de transferencia de valores y efectivos de la Cámara hacia los Miembros y titulares de Cuenta con derecho a recibir.</w:t>
      </w:r>
    </w:p>
    <w:p w14:paraId="73BF781F" w14:textId="77777777" w:rsidR="007968EC" w:rsidRPr="00EB14DE" w:rsidRDefault="007968EC" w:rsidP="007968EC">
      <w:pPr>
        <w:rPr>
          <w:rFonts w:ascii="Arial Narrow" w:eastAsia="Calibri" w:hAnsi="Arial Narrow" w:cs="Arial"/>
          <w:b/>
          <w:lang w:eastAsia="es-ES"/>
        </w:rPr>
      </w:pPr>
    </w:p>
    <w:p w14:paraId="137025DD" w14:textId="77777777" w:rsidR="007968EC" w:rsidRPr="00EB14DE" w:rsidRDefault="007968EC" w:rsidP="007968EC">
      <w:pPr>
        <w:ind w:left="426"/>
        <w:jc w:val="both"/>
        <w:rPr>
          <w:rFonts w:ascii="Arial Narrow" w:eastAsia="Calibri" w:hAnsi="Arial Narrow"/>
          <w:color w:val="000000" w:themeColor="text1"/>
          <w:lang w:eastAsia="en-US"/>
        </w:rPr>
      </w:pPr>
      <w:r w:rsidRPr="00EB14DE">
        <w:rPr>
          <w:rFonts w:ascii="Arial Narrow" w:eastAsia="Calibri" w:hAnsi="Arial Narrow"/>
          <w:color w:val="000000" w:themeColor="text1"/>
          <w:lang w:eastAsia="en-US"/>
        </w:rPr>
        <w:t xml:space="preserve">Para el caso del </w:t>
      </w:r>
      <w:r w:rsidRPr="00EB14DE">
        <w:rPr>
          <w:rFonts w:ascii="Arial Narrow" w:eastAsia="Calibri" w:hAnsi="Arial Narrow"/>
          <w:bCs/>
          <w:color w:val="000000" w:themeColor="text1"/>
          <w:lang w:eastAsia="en-US"/>
        </w:rPr>
        <w:t>Contrato de Futuro sobre Acciones del Índice COLCAP con Liquidación por Entrega</w:t>
      </w:r>
      <w:r w:rsidRPr="00EB14DE">
        <w:rPr>
          <w:rFonts w:ascii="Arial Narrow" w:eastAsia="Calibri" w:hAnsi="Arial Narrow"/>
          <w:color w:val="000000" w:themeColor="text1"/>
          <w:lang w:eastAsia="en-US"/>
        </w:rPr>
        <w:t>, la Cámara podrá entregar el efectivo y los títulos hasta con un plazo de cuatro (4) días hábiles después del día del Vencimiento del Contrato.</w:t>
      </w:r>
    </w:p>
    <w:p w14:paraId="506958A4" w14:textId="77777777" w:rsidR="007968EC" w:rsidRPr="00EB14DE" w:rsidRDefault="007968EC" w:rsidP="007968EC">
      <w:pPr>
        <w:autoSpaceDE w:val="0"/>
        <w:autoSpaceDN w:val="0"/>
        <w:adjustRightInd w:val="0"/>
        <w:contextualSpacing/>
        <w:jc w:val="both"/>
        <w:rPr>
          <w:rFonts w:ascii="Arial Narrow" w:eastAsia="Calibri" w:hAnsi="Arial Narrow"/>
          <w:color w:val="000000" w:themeColor="text1"/>
          <w:lang w:eastAsia="en-US"/>
        </w:rPr>
      </w:pPr>
    </w:p>
    <w:p w14:paraId="747A5EBF" w14:textId="77777777" w:rsidR="007968EC" w:rsidRPr="00EB14DE" w:rsidRDefault="007968EC" w:rsidP="007968EC">
      <w:pPr>
        <w:autoSpaceDE w:val="0"/>
        <w:autoSpaceDN w:val="0"/>
        <w:adjustRightInd w:val="0"/>
        <w:ind w:left="426"/>
        <w:contextualSpacing/>
        <w:jc w:val="both"/>
        <w:rPr>
          <w:rFonts w:ascii="Arial Narrow" w:eastAsia="Calibri" w:hAnsi="Arial Narrow"/>
          <w:color w:val="000000" w:themeColor="text1"/>
          <w:lang w:eastAsia="en-US"/>
        </w:rPr>
      </w:pPr>
      <w:r w:rsidRPr="00EB14DE">
        <w:rPr>
          <w:rFonts w:ascii="Arial Narrow" w:eastAsia="Calibri" w:hAnsi="Arial Narrow"/>
          <w:color w:val="000000" w:themeColor="text1"/>
          <w:lang w:eastAsia="en-US"/>
        </w:rPr>
        <w:t>Para el caso del Futuro TES Corto Plazo, del Futuro TES Mediano Plazo y del Futuro TES Largo Plazo, la Cámara podrá entregar el efectivo y los títulos hasta con un plazo de dos (2) días hábiles después del día de Vencimiento del Contrato.</w:t>
      </w:r>
    </w:p>
    <w:p w14:paraId="1591B70E" w14:textId="77777777" w:rsidR="007968EC" w:rsidRPr="00EB14DE" w:rsidRDefault="007968EC" w:rsidP="007968EC">
      <w:pPr>
        <w:autoSpaceDE w:val="0"/>
        <w:autoSpaceDN w:val="0"/>
        <w:adjustRightInd w:val="0"/>
        <w:contextualSpacing/>
        <w:jc w:val="both"/>
        <w:rPr>
          <w:rFonts w:ascii="Arial Narrow" w:eastAsia="Calibri" w:hAnsi="Arial Narrow"/>
          <w:color w:val="000000" w:themeColor="text1"/>
          <w:lang w:eastAsia="en-US"/>
        </w:rPr>
      </w:pPr>
    </w:p>
    <w:p w14:paraId="12285CB2" w14:textId="77777777" w:rsidR="007968EC" w:rsidRPr="00EB14DE" w:rsidRDefault="007968EC" w:rsidP="007968EC">
      <w:pPr>
        <w:autoSpaceDE w:val="0"/>
        <w:autoSpaceDN w:val="0"/>
        <w:adjustRightInd w:val="0"/>
        <w:ind w:left="426"/>
        <w:contextualSpacing/>
        <w:jc w:val="both"/>
        <w:rPr>
          <w:rFonts w:ascii="Arial Narrow" w:eastAsia="Calibri" w:hAnsi="Arial Narrow"/>
          <w:color w:val="000000" w:themeColor="text1"/>
          <w:lang w:eastAsia="en-US"/>
        </w:rPr>
      </w:pPr>
      <w:r w:rsidRPr="00EB14DE">
        <w:rPr>
          <w:rFonts w:ascii="Arial Narrow" w:eastAsia="Calibri" w:hAnsi="Arial Narrow"/>
          <w:color w:val="000000" w:themeColor="text1"/>
          <w:lang w:eastAsia="en-US"/>
        </w:rPr>
        <w:t xml:space="preserve">En todo caso, el cumplimiento por parte de la Cámara estará sujeto a la disponibilidad en el mercado del Activo Subyacente. </w:t>
      </w:r>
    </w:p>
    <w:p w14:paraId="3178CC84" w14:textId="77777777" w:rsidR="007968EC" w:rsidRPr="00EB14DE" w:rsidRDefault="007968EC" w:rsidP="007968EC">
      <w:pPr>
        <w:autoSpaceDE w:val="0"/>
        <w:autoSpaceDN w:val="0"/>
        <w:adjustRightInd w:val="0"/>
        <w:contextualSpacing/>
        <w:jc w:val="both"/>
        <w:rPr>
          <w:rFonts w:ascii="Arial Narrow" w:eastAsia="Calibri" w:hAnsi="Arial Narrow"/>
          <w:color w:val="000000" w:themeColor="text1"/>
          <w:u w:val="single"/>
          <w:lang w:eastAsia="en-US"/>
        </w:rPr>
      </w:pPr>
    </w:p>
    <w:p w14:paraId="024AB21C" w14:textId="77777777" w:rsidR="007968EC" w:rsidRPr="00EB14DE" w:rsidRDefault="007968EC" w:rsidP="00DA7472">
      <w:pPr>
        <w:numPr>
          <w:ilvl w:val="0"/>
          <w:numId w:val="213"/>
        </w:numPr>
        <w:spacing w:after="160" w:line="259" w:lineRule="auto"/>
        <w:ind w:left="426" w:hanging="426"/>
        <w:jc w:val="both"/>
        <w:rPr>
          <w:rFonts w:ascii="Arial Narrow" w:eastAsia="Calibri" w:hAnsi="Arial Narrow"/>
          <w:color w:val="000000" w:themeColor="text1"/>
          <w:lang w:eastAsia="en-US"/>
        </w:rPr>
      </w:pPr>
      <w:r w:rsidRPr="00EB14DE">
        <w:rPr>
          <w:rFonts w:ascii="Arial Narrow" w:eastAsia="Calibri" w:hAnsi="Arial Narrow"/>
          <w:color w:val="000000" w:themeColor="text1"/>
          <w:u w:val="single"/>
          <w:lang w:eastAsia="en-US"/>
        </w:rPr>
        <w:lastRenderedPageBreak/>
        <w:t>Sesión de Liquidación al Vencimiento cuando las Operaciones Aceptadas deban ser cumplidas con Liquidación por Diferencias:</w:t>
      </w:r>
      <w:r w:rsidRPr="00EB14DE">
        <w:rPr>
          <w:rFonts w:ascii="Arial Narrow" w:eastAsia="Calibri" w:hAnsi="Arial Narrow"/>
          <w:color w:val="000000" w:themeColor="text1"/>
          <w:lang w:eastAsia="en-US"/>
        </w:rPr>
        <w:t xml:space="preserve"> De 7:00 a.m. a 8:</w:t>
      </w:r>
      <w:r>
        <w:rPr>
          <w:rFonts w:ascii="Arial Narrow" w:eastAsia="Calibri" w:hAnsi="Arial Narrow"/>
          <w:color w:val="000000" w:themeColor="text1"/>
          <w:lang w:eastAsia="en-US"/>
        </w:rPr>
        <w:t>3</w:t>
      </w:r>
      <w:r w:rsidRPr="00EB14DE">
        <w:rPr>
          <w:rFonts w:ascii="Arial Narrow" w:eastAsia="Calibri" w:hAnsi="Arial Narrow"/>
          <w:color w:val="000000" w:themeColor="text1"/>
          <w:lang w:eastAsia="en-US"/>
        </w:rPr>
        <w:t>0 a.m. del día de Vencimiento del contrato. Proceso de cobro y pago de la Liquidación por Diferencias por parte de la Cámara. En caso de presentarse el evento de retardo previsto en el numeral 2º del artículo 1.7.1.1 de la Circular Única, referente al no pago del efectivo correspondiente a la Liquidación al Vencimiento por Diferencias, el horario de la Sesión de Liquidación al Vencimiento cuando las Operaciones Aceptadas deban ser cumplidas con Liquidación por Diferencias se extenderá hasta las 11:00 a.m.</w:t>
      </w:r>
    </w:p>
    <w:p w14:paraId="069F7A99" w14:textId="77777777" w:rsidR="007968EC" w:rsidRPr="00EB14DE" w:rsidRDefault="007968EC" w:rsidP="007968EC">
      <w:pPr>
        <w:jc w:val="both"/>
        <w:rPr>
          <w:rFonts w:ascii="Arial Narrow" w:eastAsia="Calibri" w:hAnsi="Arial Narrow"/>
          <w:color w:val="000000" w:themeColor="text1"/>
          <w:lang w:eastAsia="en-US"/>
        </w:rPr>
      </w:pPr>
    </w:p>
    <w:p w14:paraId="2F2EE952" w14:textId="77777777" w:rsidR="007968EC" w:rsidRPr="00EB14DE" w:rsidRDefault="007968EC" w:rsidP="00DA7472">
      <w:pPr>
        <w:numPr>
          <w:ilvl w:val="0"/>
          <w:numId w:val="213"/>
        </w:numPr>
        <w:spacing w:after="160" w:line="259" w:lineRule="auto"/>
        <w:ind w:left="426" w:hanging="426"/>
        <w:jc w:val="both"/>
        <w:rPr>
          <w:rFonts w:ascii="Arial Narrow" w:eastAsia="Calibri" w:hAnsi="Arial Narrow"/>
          <w:color w:val="000000" w:themeColor="text1"/>
          <w:lang w:eastAsia="en-US"/>
        </w:rPr>
      </w:pPr>
      <w:r w:rsidRPr="00EB14DE">
        <w:rPr>
          <w:rFonts w:ascii="Arial Narrow" w:eastAsia="Calibri" w:hAnsi="Arial Narrow"/>
          <w:color w:val="000000" w:themeColor="text1"/>
          <w:u w:val="single"/>
          <w:lang w:eastAsia="en-US"/>
        </w:rPr>
        <w:t>Sesión de Liquidación por Diferencias por Incumplimiento en la Entrega:</w:t>
      </w:r>
      <w:r w:rsidRPr="00EB14DE">
        <w:rPr>
          <w:rFonts w:ascii="Arial Narrow" w:eastAsia="Calibri" w:hAnsi="Arial Narrow"/>
          <w:color w:val="000000" w:themeColor="text1"/>
          <w:lang w:eastAsia="en-US"/>
        </w:rPr>
        <w:t xml:space="preserve"> Proceso de pago de la Liquidación por Diferencias por Incumplimiento en la Entrega por parte de la Cámara, se podrá realizar hasta el día hábil después de finalizada la Sesión de Liquidación al Vencimiento cuando las Operaciones Aceptadas deban ser cumplidas con Liquidación por Entrega e incluirá las siguientes etapas, así:</w:t>
      </w:r>
    </w:p>
    <w:p w14:paraId="35B9BFEE" w14:textId="77777777" w:rsidR="007968EC" w:rsidRPr="00EB14DE" w:rsidRDefault="007968EC" w:rsidP="007968EC">
      <w:pPr>
        <w:autoSpaceDE w:val="0"/>
        <w:autoSpaceDN w:val="0"/>
        <w:adjustRightInd w:val="0"/>
        <w:contextualSpacing/>
        <w:jc w:val="both"/>
        <w:rPr>
          <w:rFonts w:ascii="Arial Narrow" w:eastAsia="Calibri" w:hAnsi="Arial Narrow"/>
          <w:color w:val="000000" w:themeColor="text1"/>
          <w:lang w:eastAsia="en-US"/>
        </w:rPr>
      </w:pPr>
    </w:p>
    <w:p w14:paraId="3204CD30" w14:textId="77777777" w:rsidR="007968EC" w:rsidRPr="00EB14DE" w:rsidRDefault="007968EC" w:rsidP="00DA7472">
      <w:pPr>
        <w:numPr>
          <w:ilvl w:val="0"/>
          <w:numId w:val="215"/>
        </w:numPr>
        <w:tabs>
          <w:tab w:val="left" w:pos="34"/>
        </w:tabs>
        <w:autoSpaceDE w:val="0"/>
        <w:autoSpaceDN w:val="0"/>
        <w:adjustRightInd w:val="0"/>
        <w:spacing w:after="160" w:line="259" w:lineRule="auto"/>
        <w:contextualSpacing/>
        <w:jc w:val="both"/>
        <w:rPr>
          <w:rFonts w:ascii="Arial Narrow" w:eastAsia="Calibri" w:hAnsi="Arial Narrow"/>
          <w:color w:val="000000" w:themeColor="text1"/>
        </w:rPr>
      </w:pPr>
      <w:r w:rsidRPr="00EB14DE">
        <w:rPr>
          <w:rFonts w:ascii="Arial Narrow" w:eastAsia="Calibri" w:hAnsi="Arial Narrow" w:cs="Arial"/>
          <w:b/>
          <w:color w:val="000000" w:themeColor="text1"/>
          <w:lang w:eastAsia="es-CO"/>
        </w:rPr>
        <w:t xml:space="preserve"> </w:t>
      </w:r>
      <w:r w:rsidRPr="00EB14DE">
        <w:rPr>
          <w:rFonts w:ascii="Arial Narrow" w:eastAsia="Calibri" w:hAnsi="Arial Narrow"/>
          <w:color w:val="000000" w:themeColor="text1"/>
        </w:rPr>
        <w:t>Transferencia de efectivo hacia la Cámara: Proceso de cobro de Liquidación por Diferencias por Incumplimiento en la Entrega, hasta las 5:00 p.m. del día hábil después de finalizada la Sesión de Liquidación al Vencimiento cuando las Operaciones Aceptadas deban ser cumplidas con Liquidación por Entrega.</w:t>
      </w:r>
    </w:p>
    <w:p w14:paraId="7D4083C0" w14:textId="77777777" w:rsidR="007968EC" w:rsidRPr="00EB14DE" w:rsidRDefault="007968EC" w:rsidP="007968EC">
      <w:pPr>
        <w:tabs>
          <w:tab w:val="left" w:pos="34"/>
        </w:tabs>
        <w:autoSpaceDE w:val="0"/>
        <w:autoSpaceDN w:val="0"/>
        <w:adjustRightInd w:val="0"/>
        <w:spacing w:after="160" w:line="259" w:lineRule="auto"/>
        <w:ind w:left="720"/>
        <w:contextualSpacing/>
        <w:jc w:val="both"/>
        <w:rPr>
          <w:rFonts w:ascii="Arial Narrow" w:eastAsia="Calibri" w:hAnsi="Arial Narrow"/>
          <w:color w:val="000000" w:themeColor="text1"/>
        </w:rPr>
      </w:pPr>
    </w:p>
    <w:p w14:paraId="2F0B4A5F" w14:textId="77777777" w:rsidR="007968EC" w:rsidRPr="00102205" w:rsidRDefault="007968EC" w:rsidP="00DA7472">
      <w:pPr>
        <w:numPr>
          <w:ilvl w:val="0"/>
          <w:numId w:val="215"/>
        </w:numPr>
        <w:tabs>
          <w:tab w:val="left" w:pos="34"/>
        </w:tabs>
        <w:autoSpaceDE w:val="0"/>
        <w:autoSpaceDN w:val="0"/>
        <w:adjustRightInd w:val="0"/>
        <w:spacing w:after="160" w:line="259" w:lineRule="auto"/>
        <w:contextualSpacing/>
        <w:jc w:val="both"/>
        <w:rPr>
          <w:rFonts w:ascii="Arial Narrow" w:eastAsia="Calibri" w:hAnsi="Arial Narrow"/>
          <w:b/>
        </w:rPr>
      </w:pPr>
      <w:r w:rsidRPr="00EB14DE">
        <w:rPr>
          <w:rFonts w:ascii="Arial Narrow" w:eastAsia="Calibri" w:hAnsi="Arial Narrow"/>
          <w:color w:val="000000" w:themeColor="text1"/>
        </w:rPr>
        <w:t>Transferencia de efectivo a los Miembros: Proceso de pago de Liquidación por Diferencias por Incumplimiento en la Entrega, hasta las 8:00 p.m. del día hábil siguiente después de finalizada la Sesión de Liquidación al Vencimiento cuando las Operaciones Aceptadas deban ser cumplidas con Liquidación por Entrega.</w:t>
      </w:r>
      <w:bookmarkEnd w:id="5035"/>
    </w:p>
    <w:p w14:paraId="5F30EE75" w14:textId="77777777" w:rsidR="007968EC" w:rsidRPr="00EB14DE" w:rsidRDefault="007968EC" w:rsidP="007968EC">
      <w:pPr>
        <w:pStyle w:val="ANTECEDENTES"/>
        <w:rPr>
          <w:rFonts w:eastAsia="Calibri"/>
        </w:rPr>
      </w:pPr>
    </w:p>
    <w:p w14:paraId="7338F76F" w14:textId="77777777" w:rsidR="007968EC" w:rsidRPr="00F96783" w:rsidRDefault="007968EC" w:rsidP="007968EC">
      <w:pPr>
        <w:jc w:val="both"/>
        <w:rPr>
          <w:rFonts w:ascii="Arial Narrow" w:eastAsia="Calibri" w:hAnsi="Arial Narrow"/>
          <w:bCs/>
          <w:color w:val="000000" w:themeColor="text1"/>
        </w:rPr>
      </w:pPr>
    </w:p>
    <w:p w14:paraId="6B7963F8" w14:textId="77777777" w:rsidR="007968EC" w:rsidRPr="002C0D19" w:rsidRDefault="007968EC" w:rsidP="007968EC">
      <w:pPr>
        <w:pStyle w:val="TTULO"/>
        <w:rPr>
          <w:rFonts w:eastAsia="Calibri"/>
          <w:lang w:val="es-ES"/>
        </w:rPr>
      </w:pPr>
      <w:bookmarkStart w:id="5036" w:name="_Toc31716206"/>
      <w:r w:rsidRPr="002C0D19">
        <w:rPr>
          <w:rFonts w:eastAsia="Calibri"/>
          <w:lang w:val="es-ES"/>
        </w:rPr>
        <w:t>TÍTULO SÉPTIMO</w:t>
      </w:r>
      <w:bookmarkEnd w:id="5027"/>
      <w:bookmarkEnd w:id="5028"/>
      <w:bookmarkEnd w:id="5029"/>
      <w:bookmarkEnd w:id="5030"/>
      <w:bookmarkEnd w:id="5031"/>
      <w:bookmarkEnd w:id="5032"/>
      <w:bookmarkEnd w:id="5033"/>
      <w:bookmarkEnd w:id="5034"/>
      <w:bookmarkEnd w:id="5036"/>
    </w:p>
    <w:p w14:paraId="2AFD0AAB" w14:textId="77777777" w:rsidR="007968EC" w:rsidRPr="002C0D19" w:rsidRDefault="007968EC" w:rsidP="007968EC">
      <w:pPr>
        <w:pStyle w:val="TTULO"/>
        <w:rPr>
          <w:rFonts w:eastAsia="Calibri"/>
          <w:lang w:val="es-ES"/>
        </w:rPr>
      </w:pPr>
    </w:p>
    <w:p w14:paraId="488F196A" w14:textId="77777777" w:rsidR="007968EC" w:rsidRPr="002C0D19" w:rsidRDefault="007968EC" w:rsidP="007968EC">
      <w:pPr>
        <w:pStyle w:val="TTULO"/>
        <w:rPr>
          <w:rFonts w:eastAsia="Calibri"/>
          <w:lang w:val="es-ES"/>
        </w:rPr>
      </w:pPr>
      <w:bookmarkStart w:id="5037" w:name="_Toc470781144"/>
      <w:bookmarkStart w:id="5038" w:name="_Toc470784705"/>
      <w:bookmarkStart w:id="5039" w:name="_Toc470785242"/>
      <w:bookmarkStart w:id="5040" w:name="_Toc470791636"/>
      <w:bookmarkStart w:id="5041" w:name="_Toc472592381"/>
      <w:bookmarkStart w:id="5042" w:name="_Toc472593400"/>
      <w:bookmarkStart w:id="5043" w:name="_Toc479057189"/>
      <w:bookmarkStart w:id="5044" w:name="_Toc490066544"/>
      <w:bookmarkStart w:id="5045" w:name="_Toc31716207"/>
      <w:r w:rsidRPr="002C0D19">
        <w:rPr>
          <w:rFonts w:eastAsia="Calibri"/>
          <w:lang w:val="es-ES"/>
        </w:rPr>
        <w:t>ACTIVOS</w:t>
      </w:r>
      <w:bookmarkEnd w:id="5037"/>
      <w:bookmarkEnd w:id="5038"/>
      <w:bookmarkEnd w:id="5039"/>
      <w:bookmarkEnd w:id="5040"/>
      <w:bookmarkEnd w:id="5041"/>
      <w:bookmarkEnd w:id="5042"/>
      <w:bookmarkEnd w:id="5043"/>
      <w:bookmarkEnd w:id="5044"/>
      <w:bookmarkEnd w:id="5045"/>
    </w:p>
    <w:p w14:paraId="34CEC270" w14:textId="77777777" w:rsidR="007968EC" w:rsidRPr="002C0D19" w:rsidRDefault="007968EC" w:rsidP="007968EC">
      <w:pPr>
        <w:pStyle w:val="TTULO"/>
        <w:rPr>
          <w:rFonts w:eastAsia="Calibri"/>
          <w:lang w:val="es-ES"/>
        </w:rPr>
      </w:pPr>
    </w:p>
    <w:p w14:paraId="7B060EBD" w14:textId="77777777" w:rsidR="007968EC" w:rsidRPr="002C0D19" w:rsidRDefault="007968EC" w:rsidP="007968EC">
      <w:pPr>
        <w:pStyle w:val="TTULO"/>
        <w:rPr>
          <w:rFonts w:eastAsia="Calibri"/>
          <w:lang w:val="es-ES"/>
        </w:rPr>
      </w:pPr>
      <w:bookmarkStart w:id="5046" w:name="_Toc470781145"/>
      <w:bookmarkStart w:id="5047" w:name="_Toc470784706"/>
      <w:bookmarkStart w:id="5048" w:name="_Toc470785243"/>
      <w:bookmarkStart w:id="5049" w:name="_Toc470791637"/>
      <w:bookmarkStart w:id="5050" w:name="_Toc472592382"/>
      <w:bookmarkStart w:id="5051" w:name="_Toc472593401"/>
      <w:bookmarkStart w:id="5052" w:name="_Toc479057190"/>
      <w:bookmarkStart w:id="5053" w:name="_Toc490066545"/>
      <w:bookmarkStart w:id="5054" w:name="_Toc31716208"/>
      <w:r w:rsidRPr="002C0D19">
        <w:rPr>
          <w:rFonts w:eastAsia="Calibri"/>
          <w:lang w:val="es-ES"/>
        </w:rPr>
        <w:t>CAPÍTULO PRIMERO</w:t>
      </w:r>
      <w:bookmarkEnd w:id="5046"/>
      <w:bookmarkEnd w:id="5047"/>
      <w:bookmarkEnd w:id="5048"/>
      <w:bookmarkEnd w:id="5049"/>
      <w:bookmarkEnd w:id="5050"/>
      <w:bookmarkEnd w:id="5051"/>
      <w:bookmarkEnd w:id="5052"/>
      <w:bookmarkEnd w:id="5053"/>
      <w:bookmarkEnd w:id="5054"/>
    </w:p>
    <w:p w14:paraId="32705083" w14:textId="77777777" w:rsidR="007968EC" w:rsidRPr="002C0D19" w:rsidRDefault="007968EC" w:rsidP="007968EC">
      <w:pPr>
        <w:pStyle w:val="TTULO"/>
        <w:rPr>
          <w:rFonts w:eastAsia="Calibri"/>
          <w:lang w:val="es-ES"/>
        </w:rPr>
      </w:pPr>
    </w:p>
    <w:p w14:paraId="19CD8224" w14:textId="77777777" w:rsidR="007968EC" w:rsidRPr="002C0D19" w:rsidRDefault="007968EC" w:rsidP="007968EC">
      <w:pPr>
        <w:pStyle w:val="TTULO"/>
        <w:rPr>
          <w:rFonts w:eastAsia="Calibri"/>
          <w:lang w:val="es-ES"/>
        </w:rPr>
      </w:pPr>
      <w:bookmarkStart w:id="5055" w:name="_Toc470781146"/>
      <w:bookmarkStart w:id="5056" w:name="_Toc470784707"/>
      <w:bookmarkStart w:id="5057" w:name="_Toc470785244"/>
      <w:bookmarkStart w:id="5058" w:name="_Toc470791638"/>
      <w:bookmarkStart w:id="5059" w:name="_Toc472592383"/>
      <w:bookmarkStart w:id="5060" w:name="_Toc472593402"/>
      <w:bookmarkStart w:id="5061" w:name="_Toc479057191"/>
      <w:bookmarkStart w:id="5062" w:name="_Toc490066546"/>
      <w:bookmarkStart w:id="5063" w:name="_Toc31716209"/>
      <w:r w:rsidRPr="002C0D19">
        <w:rPr>
          <w:rFonts w:eastAsia="Calibri"/>
          <w:lang w:val="es-ES"/>
        </w:rPr>
        <w:t>PROCESO DE AUTORIZACIÓN</w:t>
      </w:r>
      <w:bookmarkEnd w:id="5055"/>
      <w:bookmarkEnd w:id="5056"/>
      <w:bookmarkEnd w:id="5057"/>
      <w:bookmarkEnd w:id="5058"/>
      <w:bookmarkEnd w:id="5059"/>
      <w:bookmarkEnd w:id="5060"/>
      <w:bookmarkEnd w:id="5061"/>
      <w:bookmarkEnd w:id="5062"/>
      <w:bookmarkEnd w:id="5063"/>
    </w:p>
    <w:p w14:paraId="7C065CAA" w14:textId="77777777" w:rsidR="007968EC" w:rsidRPr="002C0D19" w:rsidRDefault="007968EC" w:rsidP="007968EC">
      <w:pPr>
        <w:keepNext/>
        <w:tabs>
          <w:tab w:val="left" w:pos="1701"/>
        </w:tabs>
        <w:jc w:val="both"/>
        <w:outlineLvl w:val="2"/>
        <w:rPr>
          <w:rFonts w:ascii="Arial Narrow" w:eastAsia="Calibri" w:hAnsi="Arial Narrow"/>
          <w:color w:val="000000" w:themeColor="text1"/>
          <w:u w:val="single"/>
        </w:rPr>
      </w:pPr>
    </w:p>
    <w:p w14:paraId="1B1DF1CD" w14:textId="77777777" w:rsidR="007968EC" w:rsidRPr="002C0D19" w:rsidRDefault="007968EC" w:rsidP="007968EC">
      <w:pPr>
        <w:pStyle w:val="ARTICULO0"/>
      </w:pPr>
      <w:bookmarkStart w:id="5064" w:name="_Toc470781147"/>
      <w:bookmarkStart w:id="5065" w:name="_Toc470784708"/>
      <w:bookmarkStart w:id="5066" w:name="_Toc470785245"/>
      <w:bookmarkStart w:id="5067" w:name="_Toc470791639"/>
      <w:bookmarkStart w:id="5068" w:name="_Toc472592384"/>
      <w:bookmarkStart w:id="5069" w:name="_Toc472593403"/>
      <w:bookmarkStart w:id="5070" w:name="_Toc479057192"/>
      <w:bookmarkStart w:id="5071" w:name="_Toc490066547"/>
      <w:bookmarkStart w:id="5072" w:name="_Toc31716210"/>
      <w:r w:rsidRPr="002C0D19">
        <w:t>Artículo 2.7.1.1. Autorización general de Activos por parte de la Junta Directiva de la Cámara.</w:t>
      </w:r>
      <w:bookmarkEnd w:id="5064"/>
      <w:bookmarkEnd w:id="5065"/>
      <w:bookmarkEnd w:id="5066"/>
      <w:bookmarkEnd w:id="5067"/>
      <w:bookmarkEnd w:id="5068"/>
      <w:bookmarkEnd w:id="5069"/>
      <w:bookmarkEnd w:id="5070"/>
      <w:bookmarkEnd w:id="5071"/>
      <w:bookmarkEnd w:id="5072"/>
    </w:p>
    <w:p w14:paraId="66D20BAE" w14:textId="77777777" w:rsidR="007968EC" w:rsidRPr="00397BCE" w:rsidRDefault="007968EC" w:rsidP="007968EC">
      <w:pPr>
        <w:rPr>
          <w:rFonts w:ascii="Arial" w:eastAsia="Calibri" w:hAnsi="Arial" w:cs="Arial"/>
          <w:b/>
          <w:lang w:eastAsia="es-ES"/>
        </w:rPr>
      </w:pPr>
    </w:p>
    <w:p w14:paraId="2316F39F" w14:textId="77777777" w:rsidR="007968EC" w:rsidRPr="00397BCE" w:rsidRDefault="007968EC" w:rsidP="007968EC">
      <w:pPr>
        <w:jc w:val="both"/>
        <w:rPr>
          <w:rFonts w:ascii="Arial Narrow" w:eastAsia="Calibri" w:hAnsi="Arial Narrow"/>
          <w:bCs/>
          <w:color w:val="000000" w:themeColor="text1"/>
        </w:rPr>
      </w:pPr>
      <w:bookmarkStart w:id="5073" w:name="_Toc470781148"/>
      <w:bookmarkStart w:id="5074" w:name="_Toc470784709"/>
      <w:bookmarkStart w:id="5075" w:name="_Toc470785246"/>
      <w:bookmarkStart w:id="5076" w:name="_Toc470791640"/>
      <w:bookmarkStart w:id="5077" w:name="_Toc471831849"/>
      <w:bookmarkStart w:id="5078" w:name="_Toc490066548"/>
      <w:bookmarkStart w:id="5079" w:name="_Toc490079326"/>
      <w:r w:rsidRPr="00397BCE">
        <w:rPr>
          <w:rFonts w:ascii="Arial Narrow" w:eastAsia="Calibri" w:hAnsi="Arial Narrow"/>
          <w:bCs/>
          <w:color w:val="000000" w:themeColor="text1"/>
        </w:rPr>
        <w:t>De conformidad con lo establecido en el artículo 1.3.3. del Reglamento de Funcionamiento de la Cámara, la Junta Directiva autorizó de manera general la Compensación y Liquidación actuando como Contraparte de los siguientes Activos: Futuros, opciones y otros Instrumentos financieros Derivados inscritos en el Registro Nacional de Valores y Emisores – RNVE.</w:t>
      </w:r>
      <w:bookmarkEnd w:id="5073"/>
      <w:bookmarkEnd w:id="5074"/>
      <w:bookmarkEnd w:id="5075"/>
      <w:bookmarkEnd w:id="5076"/>
      <w:bookmarkEnd w:id="5077"/>
      <w:bookmarkEnd w:id="5078"/>
      <w:bookmarkEnd w:id="5079"/>
    </w:p>
    <w:p w14:paraId="428CD355" w14:textId="77777777" w:rsidR="007968EC" w:rsidRPr="002C0D19" w:rsidRDefault="007968EC" w:rsidP="007968EC">
      <w:pPr>
        <w:ind w:left="705"/>
        <w:jc w:val="both"/>
        <w:rPr>
          <w:rFonts w:ascii="Arial Narrow" w:eastAsia="Calibri" w:hAnsi="Arial Narrow"/>
          <w:color w:val="000000" w:themeColor="text1"/>
          <w:lang w:eastAsia="es-CO"/>
        </w:rPr>
      </w:pPr>
    </w:p>
    <w:p w14:paraId="2F94430A" w14:textId="77777777" w:rsidR="007968EC" w:rsidRPr="002C0D19" w:rsidRDefault="007968EC" w:rsidP="007968EC">
      <w:pPr>
        <w:pStyle w:val="ARTICULO0"/>
      </w:pPr>
      <w:bookmarkStart w:id="5080" w:name="_Toc470781149"/>
      <w:bookmarkStart w:id="5081" w:name="_Toc470784710"/>
      <w:bookmarkStart w:id="5082" w:name="_Toc470785247"/>
      <w:bookmarkStart w:id="5083" w:name="_Toc470791641"/>
      <w:bookmarkStart w:id="5084" w:name="_Toc472592385"/>
      <w:bookmarkStart w:id="5085" w:name="_Toc472593404"/>
      <w:bookmarkStart w:id="5086" w:name="_Toc479057193"/>
      <w:bookmarkStart w:id="5087" w:name="_Toc490066549"/>
      <w:bookmarkStart w:id="5088" w:name="_Toc31716211"/>
      <w:r w:rsidRPr="002C0D19">
        <w:lastRenderedPageBreak/>
        <w:t>Artículo 2.7.1.2. Autorización nuevo Vencimiento de Contratos de Futuros.</w:t>
      </w:r>
      <w:bookmarkEnd w:id="5080"/>
      <w:bookmarkEnd w:id="5081"/>
      <w:bookmarkEnd w:id="5082"/>
      <w:bookmarkEnd w:id="5083"/>
      <w:bookmarkEnd w:id="5084"/>
      <w:bookmarkEnd w:id="5085"/>
      <w:bookmarkEnd w:id="5086"/>
      <w:bookmarkEnd w:id="5087"/>
      <w:bookmarkEnd w:id="5088"/>
      <w:r w:rsidRPr="002C0D19">
        <w:t xml:space="preserve"> </w:t>
      </w:r>
    </w:p>
    <w:p w14:paraId="65DCA455" w14:textId="77777777" w:rsidR="007968EC" w:rsidRPr="002C0D19" w:rsidRDefault="007968EC" w:rsidP="007968EC">
      <w:pPr>
        <w:jc w:val="both"/>
        <w:rPr>
          <w:rFonts w:ascii="Arial Narrow" w:eastAsia="Calibri" w:hAnsi="Arial Narrow"/>
          <w:bCs/>
          <w:color w:val="000000" w:themeColor="text1"/>
        </w:rPr>
      </w:pPr>
    </w:p>
    <w:p w14:paraId="5C993894"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bCs/>
          <w:color w:val="000000" w:themeColor="text1"/>
        </w:rPr>
        <w:t xml:space="preserve">Para la creación de </w:t>
      </w:r>
      <w:r w:rsidRPr="002C0D19">
        <w:rPr>
          <w:rFonts w:ascii="Arial Narrow" w:eastAsia="Calibri" w:hAnsi="Arial Narrow"/>
          <w:color w:val="000000" w:themeColor="text1"/>
        </w:rPr>
        <w:t>Activo</w:t>
      </w:r>
      <w:r w:rsidRPr="002C0D19">
        <w:rPr>
          <w:rFonts w:ascii="Arial Narrow" w:eastAsia="Calibri" w:hAnsi="Arial Narrow"/>
          <w:bCs/>
          <w:color w:val="000000" w:themeColor="text1"/>
        </w:rPr>
        <w:t>s</w:t>
      </w:r>
      <w:r w:rsidRPr="002C0D19">
        <w:rPr>
          <w:rFonts w:ascii="Arial Narrow" w:eastAsia="Calibri" w:hAnsi="Arial Narrow"/>
          <w:color w:val="000000" w:themeColor="text1"/>
        </w:rPr>
        <w:t xml:space="preserve"> con un nuevo Vencimiento deberá observarse lo siguiente:</w:t>
      </w:r>
    </w:p>
    <w:p w14:paraId="7D1C6E96" w14:textId="77777777" w:rsidR="007968EC" w:rsidRPr="00397BCE" w:rsidRDefault="007968EC" w:rsidP="007968EC">
      <w:pPr>
        <w:jc w:val="both"/>
        <w:rPr>
          <w:rFonts w:ascii="Arial Narrow" w:eastAsia="Calibri" w:hAnsi="Arial Narrow"/>
          <w:bCs/>
          <w:color w:val="000000" w:themeColor="text1"/>
        </w:rPr>
      </w:pPr>
    </w:p>
    <w:p w14:paraId="46CB751D" w14:textId="77777777" w:rsidR="007968EC" w:rsidRPr="002C0D19" w:rsidRDefault="007968EC" w:rsidP="00DA7472">
      <w:pPr>
        <w:numPr>
          <w:ilvl w:val="0"/>
          <w:numId w:val="217"/>
        </w:numPr>
        <w:jc w:val="both"/>
        <w:rPr>
          <w:rFonts w:ascii="Arial Narrow" w:eastAsia="Calibri" w:hAnsi="Arial Narrow"/>
          <w:color w:val="000000" w:themeColor="text1"/>
          <w:lang w:eastAsia="es-CO"/>
        </w:rPr>
      </w:pPr>
      <w:r w:rsidRPr="002C0D19">
        <w:rPr>
          <w:rFonts w:ascii="Arial Narrow" w:eastAsia="Calibri" w:hAnsi="Arial Narrow"/>
          <w:color w:val="000000" w:themeColor="text1"/>
          <w:lang w:eastAsia="es-CO"/>
        </w:rPr>
        <w:t>El administrador del sistema de negociación y registro en el que se transe o registre el Activo debe comunicar a la Cámara la necesidad de crear un Contrato para incluir un nuevo Vencimiento, mediante envío de solicitud de inscripción de nuevo Contrato, firmado por el Representante Legal.</w:t>
      </w:r>
    </w:p>
    <w:p w14:paraId="0658C6DC" w14:textId="77777777" w:rsidR="007968EC" w:rsidRPr="002C0D19" w:rsidRDefault="007968EC" w:rsidP="00DA7472">
      <w:pPr>
        <w:numPr>
          <w:ilvl w:val="0"/>
          <w:numId w:val="217"/>
        </w:numPr>
        <w:jc w:val="both"/>
        <w:rPr>
          <w:rFonts w:ascii="Arial Narrow" w:eastAsia="Calibri" w:hAnsi="Arial Narrow"/>
          <w:color w:val="000000" w:themeColor="text1"/>
          <w:lang w:eastAsia="es-CO"/>
        </w:rPr>
      </w:pPr>
      <w:r w:rsidRPr="002C0D19">
        <w:rPr>
          <w:rFonts w:ascii="Arial Narrow" w:eastAsia="Calibri" w:hAnsi="Arial Narrow"/>
          <w:color w:val="000000" w:themeColor="text1"/>
          <w:lang w:eastAsia="es-CO"/>
        </w:rPr>
        <w:t>El administrador del sistema de negociación y registro en el que se transe o registre el Activo será el responsable de solicitar oficialmente a la Cámara, el ajuste de la parametrización del Sistema, a través de carta o correo electrónico en el cual especifique las condiciones del nuevo Vencimiento.</w:t>
      </w:r>
    </w:p>
    <w:p w14:paraId="16D199ED" w14:textId="77777777" w:rsidR="007968EC" w:rsidRPr="002C0D19" w:rsidRDefault="007968EC" w:rsidP="00DA7472">
      <w:pPr>
        <w:numPr>
          <w:ilvl w:val="0"/>
          <w:numId w:val="217"/>
        </w:numPr>
        <w:jc w:val="both"/>
        <w:rPr>
          <w:rFonts w:ascii="Arial Narrow" w:eastAsia="Calibri" w:hAnsi="Arial Narrow"/>
          <w:color w:val="000000" w:themeColor="text1"/>
          <w:lang w:eastAsia="es-CO"/>
        </w:rPr>
      </w:pPr>
      <w:r w:rsidRPr="002C0D19">
        <w:rPr>
          <w:rFonts w:ascii="Arial Narrow" w:eastAsia="Calibri" w:hAnsi="Arial Narrow"/>
          <w:color w:val="000000" w:themeColor="text1"/>
          <w:lang w:eastAsia="es-CO"/>
        </w:rPr>
        <w:t>Con base en la información anterior la Cámara ejecutará la actualización del ciclo de Vencimiento y la nueva serie de precios de ejercicio en el Sistema.</w:t>
      </w:r>
    </w:p>
    <w:p w14:paraId="020ACED3" w14:textId="77777777" w:rsidR="007968EC" w:rsidRPr="002C0D19" w:rsidRDefault="007968EC" w:rsidP="00DA7472">
      <w:pPr>
        <w:numPr>
          <w:ilvl w:val="0"/>
          <w:numId w:val="217"/>
        </w:numPr>
        <w:jc w:val="both"/>
        <w:rPr>
          <w:rFonts w:ascii="Arial Narrow" w:eastAsia="Calibri" w:hAnsi="Arial Narrow"/>
          <w:color w:val="000000" w:themeColor="text1"/>
          <w:lang w:eastAsia="es-CO"/>
        </w:rPr>
      </w:pPr>
      <w:r w:rsidRPr="002C0D19">
        <w:rPr>
          <w:rFonts w:ascii="Arial Narrow" w:eastAsia="Calibri" w:hAnsi="Arial Narrow"/>
          <w:color w:val="000000" w:themeColor="text1"/>
          <w:lang w:eastAsia="es-CO"/>
        </w:rPr>
        <w:t>La Cámara coordinará con el administrador del sistema de negociación y registro en el que se transe o registre el Activo, la fecha a partir de la cual la modificación en la parametrización es coherente con la creación de dichos Activos en su Sistema.</w:t>
      </w:r>
    </w:p>
    <w:p w14:paraId="73AD3131" w14:textId="77777777" w:rsidR="007968EC" w:rsidRPr="002C0D19" w:rsidRDefault="007968EC" w:rsidP="007968EC">
      <w:pPr>
        <w:jc w:val="both"/>
        <w:rPr>
          <w:rFonts w:ascii="Arial Narrow" w:eastAsia="Calibri" w:hAnsi="Arial Narrow"/>
          <w:color w:val="000000" w:themeColor="text1"/>
          <w:lang w:eastAsia="es-CO"/>
        </w:rPr>
      </w:pPr>
    </w:p>
    <w:p w14:paraId="56451C03" w14:textId="77777777" w:rsidR="007968EC" w:rsidRPr="002C0D19" w:rsidRDefault="007968EC" w:rsidP="007968EC">
      <w:pPr>
        <w:jc w:val="both"/>
        <w:rPr>
          <w:rFonts w:ascii="Arial Narrow" w:eastAsia="Calibri" w:hAnsi="Arial Narrow"/>
          <w:color w:val="000000" w:themeColor="text1"/>
          <w:lang w:eastAsia="es-CO"/>
        </w:rPr>
      </w:pPr>
      <w:r w:rsidRPr="002C0D19">
        <w:rPr>
          <w:rFonts w:ascii="Arial Narrow" w:eastAsia="Calibri" w:hAnsi="Arial Narrow"/>
          <w:color w:val="000000" w:themeColor="text1"/>
          <w:lang w:eastAsia="es-CO"/>
        </w:rPr>
        <w:t>Una vez el administrador del sistema de negociación haya recibido la notificación de la Cámara en cuanto a la modificación en su parametrización, deberá enviar la información del Contrato con las características y condiciones de Liquidación del nuevo Activo por lo menos el día hábil anterior a su negociación.</w:t>
      </w:r>
    </w:p>
    <w:p w14:paraId="34508F8F" w14:textId="77777777" w:rsidR="007968EC" w:rsidRPr="002C0D19" w:rsidRDefault="007968EC" w:rsidP="007968EC">
      <w:pPr>
        <w:jc w:val="both"/>
        <w:rPr>
          <w:rFonts w:ascii="Arial Narrow" w:eastAsia="Calibri" w:hAnsi="Arial Narrow"/>
          <w:color w:val="000000" w:themeColor="text1"/>
          <w:lang w:eastAsia="es-CO"/>
        </w:rPr>
      </w:pPr>
    </w:p>
    <w:p w14:paraId="11A02D14" w14:textId="77777777" w:rsidR="007968EC" w:rsidRDefault="007968EC" w:rsidP="007968EC">
      <w:pPr>
        <w:pStyle w:val="ARTICULO0"/>
      </w:pPr>
      <w:bookmarkStart w:id="5089" w:name="_Toc472592386"/>
      <w:bookmarkStart w:id="5090" w:name="_Toc472593405"/>
      <w:bookmarkStart w:id="5091" w:name="_Toc479057194"/>
      <w:bookmarkStart w:id="5092" w:name="_Toc470781150"/>
      <w:bookmarkStart w:id="5093" w:name="_Toc470784711"/>
      <w:bookmarkStart w:id="5094" w:name="_Toc470785248"/>
      <w:bookmarkStart w:id="5095" w:name="_Toc470791642"/>
      <w:bookmarkStart w:id="5096" w:name="_Toc31716212"/>
      <w:bookmarkStart w:id="5097" w:name="_Toc490066550"/>
      <w:r>
        <w:t xml:space="preserve">Artículo 2.7.1.3. </w:t>
      </w:r>
      <w:r w:rsidRPr="002C0D19">
        <w:t>Activos sobre los cuales podrán versar las Operaciones Aceptadas</w:t>
      </w:r>
      <w:bookmarkEnd w:id="5089"/>
      <w:bookmarkEnd w:id="5090"/>
      <w:bookmarkEnd w:id="5091"/>
      <w:r w:rsidRPr="002C0D19">
        <w:t>.</w:t>
      </w:r>
      <w:bookmarkEnd w:id="5092"/>
      <w:bookmarkEnd w:id="5093"/>
      <w:bookmarkEnd w:id="5094"/>
      <w:bookmarkEnd w:id="5095"/>
      <w:bookmarkEnd w:id="5096"/>
      <w:r w:rsidRPr="002C0D19">
        <w:t xml:space="preserve"> </w:t>
      </w:r>
    </w:p>
    <w:p w14:paraId="48EE20B9" w14:textId="77777777" w:rsidR="007968EC" w:rsidRDefault="007968EC" w:rsidP="007968EC">
      <w:pPr>
        <w:keepNext/>
        <w:tabs>
          <w:tab w:val="left" w:pos="1701"/>
        </w:tabs>
        <w:jc w:val="both"/>
        <w:outlineLvl w:val="2"/>
        <w:rPr>
          <w:rFonts w:ascii="Arial Narrow" w:hAnsi="Arial Narrow" w:cs="Arial"/>
          <w:b/>
          <w:color w:val="000000" w:themeColor="text1"/>
          <w:u w:val="single"/>
          <w:lang w:eastAsia="es-ES"/>
        </w:rPr>
      </w:pPr>
    </w:p>
    <w:p w14:paraId="726A257B" w14:textId="77777777" w:rsidR="007968EC" w:rsidRPr="002C0D19" w:rsidRDefault="007968EC" w:rsidP="007968EC">
      <w:pPr>
        <w:pStyle w:val="ANTECEDENTES"/>
      </w:pPr>
      <w:r w:rsidRPr="002C0D19">
        <w:t xml:space="preserve">(Este artículo fue modificado mediante </w:t>
      </w:r>
      <w:r w:rsidRPr="002C0D19">
        <w:rPr>
          <w:lang w:val="es-ES"/>
        </w:rPr>
        <w:t>Circular 2 del 11 de enero de 2017, publicada en el Boletín Normativo No. 002 del 11 de enero de 2017</w:t>
      </w:r>
      <w:r>
        <w:rPr>
          <w:rFonts w:cs="Times New Roman"/>
          <w:bCs/>
        </w:rPr>
        <w:t>,</w:t>
      </w:r>
      <w:r w:rsidRPr="002C0D19">
        <w:rPr>
          <w:rFonts w:cs="Times New Roman"/>
          <w:bCs/>
        </w:rPr>
        <w:t xml:space="preserve"> mediante Circular 6 del 14 de febrero de 2017, publicada en el Boletín Normativo No. 006 del 14 de febrero de 2017</w:t>
      </w:r>
      <w:r>
        <w:rPr>
          <w:rFonts w:cs="Times New Roman"/>
          <w:bCs/>
        </w:rPr>
        <w:t xml:space="preserve">, mediante Circular 24 del 11 de diciembre de 2017, publicada en el Boletín Normativo No. 031 del 11 de diciembre de 2017, </w:t>
      </w:r>
      <w:r w:rsidRPr="00A02F15">
        <w:rPr>
          <w:rFonts w:cs="Times New Roman"/>
          <w:bCs/>
        </w:rPr>
        <w:t>mediante Circular 002 del 20 de febrero de 2018, publicada en el Boletín Normativo No</w:t>
      </w:r>
      <w:r>
        <w:rPr>
          <w:rFonts w:cs="Times New Roman"/>
          <w:bCs/>
        </w:rPr>
        <w:t xml:space="preserve">. 003 del 20 de febrero de 2018, mediante Circular 10 del 6 de julio de 2018, publicada en el Boletín Normativo No. 013 del 6 de julio de 2018, y </w:t>
      </w:r>
      <w:r>
        <w:t>mediante Circular 12 del 9 de agosto de 2019, publicada en el Boletín Normativo No. 025 del 9 de agosto de 2019. Rige a partir del 12 de agosto de 2019</w:t>
      </w:r>
      <w:r w:rsidRPr="002C0D19">
        <w:t xml:space="preserve">.) </w:t>
      </w:r>
      <w:bookmarkEnd w:id="5097"/>
    </w:p>
    <w:p w14:paraId="6D2CDC70" w14:textId="77777777" w:rsidR="007968EC" w:rsidRPr="00A02F15" w:rsidRDefault="007968EC" w:rsidP="007968EC">
      <w:pPr>
        <w:jc w:val="both"/>
        <w:rPr>
          <w:rFonts w:ascii="Arial Narrow" w:eastAsia="Calibri" w:hAnsi="Arial Narrow"/>
          <w:color w:val="000000" w:themeColor="text1"/>
        </w:rPr>
      </w:pPr>
    </w:p>
    <w:p w14:paraId="6D119F28" w14:textId="77777777" w:rsidR="007968EC" w:rsidRPr="00EB14DE" w:rsidRDefault="007968EC" w:rsidP="007968EC">
      <w:pPr>
        <w:autoSpaceDE w:val="0"/>
        <w:autoSpaceDN w:val="0"/>
        <w:adjustRightInd w:val="0"/>
        <w:jc w:val="both"/>
        <w:rPr>
          <w:rFonts w:ascii="Arial Narrow" w:eastAsia="Calibri" w:hAnsi="Arial Narrow"/>
          <w:color w:val="000000" w:themeColor="text1"/>
        </w:rPr>
      </w:pPr>
      <w:bookmarkStart w:id="5098" w:name="_Toc470781151"/>
      <w:bookmarkStart w:id="5099" w:name="_Toc470784712"/>
      <w:bookmarkStart w:id="5100" w:name="_Toc470785249"/>
      <w:bookmarkStart w:id="5101" w:name="_Toc470791643"/>
      <w:bookmarkStart w:id="5102" w:name="_Toc472592387"/>
      <w:bookmarkStart w:id="5103" w:name="_Toc472593406"/>
      <w:bookmarkStart w:id="5104" w:name="_Toc479057195"/>
      <w:bookmarkStart w:id="5105" w:name="_Toc490066551"/>
      <w:r w:rsidRPr="00EB14DE">
        <w:rPr>
          <w:rFonts w:ascii="Arial Narrow" w:eastAsia="Calibri" w:hAnsi="Arial Narrow"/>
          <w:color w:val="000000" w:themeColor="text1"/>
        </w:rPr>
        <w:t>De acuerdo con el proceso contenido en el Artículo 1.3.3. del Reglamento de Funcionamiento, para el Segmento de Derivados Financieros la Cámara está facultada para aceptar Operaciones que versen sobre los siguientes Activos, para su Compensación y Liquidación actuando como Contraparte:</w:t>
      </w:r>
    </w:p>
    <w:p w14:paraId="5813C614" w14:textId="77777777" w:rsidR="007968EC" w:rsidRPr="00EB14DE" w:rsidRDefault="007968EC" w:rsidP="007968EC">
      <w:pPr>
        <w:jc w:val="both"/>
        <w:rPr>
          <w:rFonts w:ascii="Arial Narrow" w:eastAsia="Calibri" w:hAnsi="Arial Narrow"/>
          <w:color w:val="000000" w:themeColor="text1"/>
        </w:rPr>
      </w:pPr>
    </w:p>
    <w:p w14:paraId="09A2D38C" w14:textId="77777777" w:rsidR="007968EC" w:rsidRPr="00EB14DE" w:rsidRDefault="007968EC" w:rsidP="00DA7472">
      <w:pPr>
        <w:numPr>
          <w:ilvl w:val="0"/>
          <w:numId w:val="218"/>
        </w:numPr>
        <w:ind w:left="316" w:hanging="316"/>
        <w:contextualSpacing/>
        <w:jc w:val="both"/>
        <w:rPr>
          <w:rFonts w:ascii="Arial Narrow" w:eastAsia="Calibri" w:hAnsi="Arial Narrow"/>
          <w:color w:val="000000" w:themeColor="text1"/>
        </w:rPr>
      </w:pPr>
      <w:r w:rsidRPr="00EB14DE">
        <w:rPr>
          <w:rFonts w:ascii="Arial Narrow" w:eastAsia="Calibri" w:hAnsi="Arial Narrow"/>
          <w:color w:val="000000" w:themeColor="text1"/>
        </w:rPr>
        <w:t>De conformidad con las normas y autorizaciones expedidas por la Superintendencia Financiera de Colombia:</w:t>
      </w:r>
    </w:p>
    <w:p w14:paraId="469A5303" w14:textId="77777777" w:rsidR="007968EC" w:rsidRPr="00EB14DE" w:rsidRDefault="007968EC" w:rsidP="007968EC">
      <w:pPr>
        <w:jc w:val="both"/>
        <w:rPr>
          <w:rFonts w:ascii="Arial Narrow" w:eastAsia="Calibri" w:hAnsi="Arial Narrow"/>
          <w:color w:val="000000" w:themeColor="text1"/>
        </w:rPr>
      </w:pPr>
    </w:p>
    <w:p w14:paraId="296F79ED" w14:textId="77777777" w:rsidR="007968EC" w:rsidRPr="00EB14DE" w:rsidRDefault="007968EC" w:rsidP="00DA7472">
      <w:pPr>
        <w:numPr>
          <w:ilvl w:val="0"/>
          <w:numId w:val="54"/>
        </w:numPr>
        <w:ind w:left="576" w:hanging="425"/>
        <w:jc w:val="both"/>
        <w:rPr>
          <w:rFonts w:ascii="Arial Narrow" w:eastAsia="Calibri" w:hAnsi="Arial Narrow"/>
          <w:color w:val="000000" w:themeColor="text1"/>
        </w:rPr>
      </w:pPr>
      <w:r w:rsidRPr="00EB14DE">
        <w:rPr>
          <w:rFonts w:ascii="Arial Narrow" w:eastAsia="Calibri" w:hAnsi="Arial Narrow"/>
          <w:color w:val="000000" w:themeColor="text1"/>
        </w:rPr>
        <w:t>Futuro TES Corto Plazo</w:t>
      </w:r>
    </w:p>
    <w:p w14:paraId="34A538CA" w14:textId="77777777" w:rsidR="007968EC" w:rsidRPr="00EB14DE" w:rsidRDefault="007968EC" w:rsidP="00DA7472">
      <w:pPr>
        <w:numPr>
          <w:ilvl w:val="0"/>
          <w:numId w:val="54"/>
        </w:numPr>
        <w:ind w:left="576" w:hanging="425"/>
        <w:jc w:val="both"/>
        <w:rPr>
          <w:rFonts w:ascii="Arial Narrow" w:eastAsia="Calibri" w:hAnsi="Arial Narrow"/>
          <w:color w:val="000000" w:themeColor="text1"/>
        </w:rPr>
      </w:pPr>
      <w:r w:rsidRPr="00EB14DE">
        <w:rPr>
          <w:rFonts w:ascii="Arial Narrow" w:eastAsia="Calibri" w:hAnsi="Arial Narrow"/>
          <w:color w:val="000000" w:themeColor="text1"/>
        </w:rPr>
        <w:t xml:space="preserve">Futuro TES Corto Plazo </w:t>
      </w:r>
    </w:p>
    <w:p w14:paraId="41805FFF" w14:textId="77777777" w:rsidR="007968EC" w:rsidRPr="00EB14DE" w:rsidRDefault="007968EC" w:rsidP="00DA7472">
      <w:pPr>
        <w:numPr>
          <w:ilvl w:val="0"/>
          <w:numId w:val="54"/>
        </w:numPr>
        <w:ind w:left="576" w:hanging="425"/>
        <w:jc w:val="both"/>
        <w:rPr>
          <w:rFonts w:ascii="Arial Narrow" w:eastAsia="Calibri" w:hAnsi="Arial Narrow"/>
          <w:color w:val="000000" w:themeColor="text1"/>
        </w:rPr>
      </w:pPr>
      <w:r w:rsidRPr="00EB14DE">
        <w:rPr>
          <w:rFonts w:ascii="Arial Narrow" w:eastAsia="Calibri" w:hAnsi="Arial Narrow"/>
          <w:color w:val="000000" w:themeColor="text1"/>
        </w:rPr>
        <w:t xml:space="preserve">Futuro TES Mediano Plazo </w:t>
      </w:r>
    </w:p>
    <w:p w14:paraId="74EF7F78" w14:textId="77777777" w:rsidR="007968EC" w:rsidRPr="00EB14DE" w:rsidRDefault="007968EC" w:rsidP="00DA7472">
      <w:pPr>
        <w:numPr>
          <w:ilvl w:val="0"/>
          <w:numId w:val="54"/>
        </w:numPr>
        <w:ind w:left="576" w:hanging="425"/>
        <w:jc w:val="both"/>
        <w:rPr>
          <w:rFonts w:ascii="Arial Narrow" w:eastAsia="Calibri" w:hAnsi="Arial Narrow"/>
          <w:color w:val="000000" w:themeColor="text1"/>
        </w:rPr>
      </w:pPr>
      <w:r w:rsidRPr="00EB14DE">
        <w:rPr>
          <w:rFonts w:ascii="Arial Narrow" w:eastAsia="Calibri" w:hAnsi="Arial Narrow"/>
          <w:color w:val="000000" w:themeColor="text1"/>
        </w:rPr>
        <w:t xml:space="preserve">Futuro TES Largo Plazo </w:t>
      </w:r>
    </w:p>
    <w:p w14:paraId="22FA0386" w14:textId="77777777" w:rsidR="007968EC" w:rsidRPr="00EB14DE" w:rsidRDefault="007968EC" w:rsidP="00DA7472">
      <w:pPr>
        <w:numPr>
          <w:ilvl w:val="0"/>
          <w:numId w:val="54"/>
        </w:numPr>
        <w:ind w:left="576" w:hanging="425"/>
        <w:jc w:val="both"/>
        <w:rPr>
          <w:rFonts w:ascii="Arial Narrow" w:eastAsia="Calibri" w:hAnsi="Arial Narrow"/>
          <w:color w:val="000000" w:themeColor="text1"/>
        </w:rPr>
      </w:pPr>
      <w:r w:rsidRPr="00EB14DE">
        <w:rPr>
          <w:rFonts w:ascii="Arial Narrow" w:eastAsia="Calibri" w:hAnsi="Arial Narrow"/>
          <w:color w:val="000000" w:themeColor="text1"/>
        </w:rPr>
        <w:t>Contrato de Futuro Índice Accionario COLCAP</w:t>
      </w:r>
    </w:p>
    <w:p w14:paraId="6C65F8EE" w14:textId="77777777" w:rsidR="007968EC" w:rsidRPr="00EB14DE" w:rsidRDefault="007968EC" w:rsidP="00DA7472">
      <w:pPr>
        <w:numPr>
          <w:ilvl w:val="0"/>
          <w:numId w:val="54"/>
        </w:numPr>
        <w:ind w:left="576" w:hanging="425"/>
        <w:jc w:val="both"/>
        <w:rPr>
          <w:rFonts w:ascii="Arial Narrow" w:eastAsia="Calibri" w:hAnsi="Arial Narrow"/>
          <w:color w:val="000000" w:themeColor="text1"/>
        </w:rPr>
      </w:pPr>
      <w:r w:rsidRPr="00EB14DE">
        <w:rPr>
          <w:rFonts w:ascii="Arial Narrow" w:eastAsia="Calibri" w:hAnsi="Arial Narrow"/>
          <w:color w:val="000000" w:themeColor="text1"/>
        </w:rPr>
        <w:lastRenderedPageBreak/>
        <w:t xml:space="preserve">Mini Contrato de Futuro Índice Accionario COLCAP </w:t>
      </w:r>
    </w:p>
    <w:p w14:paraId="1F0BA6B8" w14:textId="77777777" w:rsidR="007968EC" w:rsidRPr="00EB14DE" w:rsidRDefault="007968EC" w:rsidP="00DA7472">
      <w:pPr>
        <w:numPr>
          <w:ilvl w:val="0"/>
          <w:numId w:val="54"/>
        </w:numPr>
        <w:ind w:left="576" w:hanging="425"/>
        <w:jc w:val="both"/>
        <w:rPr>
          <w:rFonts w:ascii="Arial Narrow" w:eastAsia="Calibri" w:hAnsi="Arial Narrow"/>
          <w:color w:val="000000" w:themeColor="text1"/>
        </w:rPr>
      </w:pPr>
      <w:r w:rsidRPr="00EB14DE">
        <w:rPr>
          <w:rFonts w:ascii="Arial Narrow" w:eastAsia="Calibri" w:hAnsi="Arial Narrow"/>
          <w:color w:val="000000" w:themeColor="text1"/>
        </w:rPr>
        <w:t xml:space="preserve">Contrato de Futuro sobre Acciones del Índice COLCAP con Liquidación por Entrega </w:t>
      </w:r>
    </w:p>
    <w:p w14:paraId="1D0795D2" w14:textId="77777777" w:rsidR="007968EC" w:rsidRPr="00EB14DE" w:rsidRDefault="007968EC" w:rsidP="00DA7472">
      <w:pPr>
        <w:numPr>
          <w:ilvl w:val="0"/>
          <w:numId w:val="54"/>
        </w:numPr>
        <w:ind w:left="576" w:hanging="425"/>
        <w:jc w:val="both"/>
        <w:rPr>
          <w:rFonts w:ascii="Arial Narrow" w:eastAsia="Calibri" w:hAnsi="Arial Narrow"/>
          <w:color w:val="000000" w:themeColor="text1"/>
        </w:rPr>
      </w:pPr>
      <w:r w:rsidRPr="00EB14DE">
        <w:rPr>
          <w:rFonts w:ascii="Arial Narrow" w:eastAsia="Calibri" w:hAnsi="Arial Narrow"/>
          <w:color w:val="000000" w:themeColor="text1"/>
        </w:rPr>
        <w:t xml:space="preserve">Contrato Futuro sobre Electricidad Mensual </w:t>
      </w:r>
    </w:p>
    <w:p w14:paraId="470B5CE0" w14:textId="77777777" w:rsidR="007968EC" w:rsidRPr="00EB14DE" w:rsidRDefault="007968EC" w:rsidP="00DA7472">
      <w:pPr>
        <w:numPr>
          <w:ilvl w:val="0"/>
          <w:numId w:val="54"/>
        </w:numPr>
        <w:ind w:left="576" w:hanging="425"/>
        <w:jc w:val="both"/>
        <w:rPr>
          <w:rFonts w:ascii="Arial Narrow" w:eastAsia="Calibri" w:hAnsi="Arial Narrow"/>
          <w:color w:val="000000" w:themeColor="text1"/>
        </w:rPr>
      </w:pPr>
      <w:r w:rsidRPr="00EB14DE">
        <w:rPr>
          <w:rFonts w:ascii="Arial Narrow" w:eastAsia="Calibri" w:hAnsi="Arial Narrow"/>
          <w:color w:val="000000" w:themeColor="text1"/>
        </w:rPr>
        <w:t xml:space="preserve">Contrato Mini de Futuro sobre Electricidad Mensual </w:t>
      </w:r>
    </w:p>
    <w:p w14:paraId="19F6D113" w14:textId="77777777" w:rsidR="007968EC" w:rsidRPr="00EB14DE" w:rsidRDefault="007968EC" w:rsidP="00DA7472">
      <w:pPr>
        <w:numPr>
          <w:ilvl w:val="0"/>
          <w:numId w:val="54"/>
        </w:numPr>
        <w:ind w:left="576" w:hanging="425"/>
        <w:jc w:val="both"/>
        <w:rPr>
          <w:rFonts w:ascii="Arial Narrow" w:eastAsia="Calibri" w:hAnsi="Arial Narrow"/>
          <w:color w:val="000000" w:themeColor="text1"/>
        </w:rPr>
      </w:pPr>
      <w:r w:rsidRPr="00EB14DE">
        <w:rPr>
          <w:rFonts w:ascii="Arial Narrow" w:eastAsia="Calibri" w:hAnsi="Arial Narrow"/>
          <w:color w:val="000000" w:themeColor="text1"/>
        </w:rPr>
        <w:t xml:space="preserve">Contrato de Futuro OIS </w:t>
      </w:r>
    </w:p>
    <w:p w14:paraId="2CBF7542" w14:textId="77777777" w:rsidR="007968EC" w:rsidRPr="00EB14DE" w:rsidRDefault="007968EC" w:rsidP="00DA7472">
      <w:pPr>
        <w:numPr>
          <w:ilvl w:val="0"/>
          <w:numId w:val="54"/>
        </w:numPr>
        <w:ind w:left="576" w:hanging="425"/>
        <w:jc w:val="both"/>
        <w:rPr>
          <w:rFonts w:ascii="Arial Narrow" w:eastAsia="Calibri" w:hAnsi="Arial Narrow"/>
          <w:color w:val="000000" w:themeColor="text1"/>
        </w:rPr>
      </w:pPr>
      <w:r w:rsidRPr="00EB14DE">
        <w:rPr>
          <w:rFonts w:ascii="Arial Narrow" w:eastAsia="Calibri" w:hAnsi="Arial Narrow"/>
          <w:color w:val="000000" w:themeColor="text1"/>
        </w:rPr>
        <w:t xml:space="preserve">OIS IBR Formación </w:t>
      </w:r>
    </w:p>
    <w:p w14:paraId="48023706" w14:textId="77777777" w:rsidR="007968EC" w:rsidRPr="00EB14DE" w:rsidRDefault="007968EC" w:rsidP="00DA7472">
      <w:pPr>
        <w:numPr>
          <w:ilvl w:val="0"/>
          <w:numId w:val="54"/>
        </w:numPr>
        <w:ind w:left="576" w:hanging="425"/>
        <w:jc w:val="both"/>
        <w:rPr>
          <w:rFonts w:ascii="Arial Narrow" w:eastAsia="Calibri" w:hAnsi="Arial Narrow"/>
          <w:color w:val="000000" w:themeColor="text1"/>
        </w:rPr>
      </w:pPr>
      <w:r w:rsidRPr="00EB14DE">
        <w:rPr>
          <w:rFonts w:ascii="Arial Narrow" w:eastAsia="Calibri" w:hAnsi="Arial Narrow"/>
          <w:color w:val="000000" w:themeColor="text1"/>
        </w:rPr>
        <w:t xml:space="preserve">OIS IBR </w:t>
      </w:r>
    </w:p>
    <w:p w14:paraId="1805B70D" w14:textId="77777777" w:rsidR="007968EC" w:rsidRPr="00EB14DE" w:rsidRDefault="007968EC" w:rsidP="00DA7472">
      <w:pPr>
        <w:numPr>
          <w:ilvl w:val="0"/>
          <w:numId w:val="54"/>
        </w:numPr>
        <w:ind w:left="576" w:hanging="425"/>
        <w:jc w:val="both"/>
        <w:rPr>
          <w:rFonts w:ascii="Arial Narrow" w:eastAsia="Calibri" w:hAnsi="Arial Narrow"/>
          <w:color w:val="000000" w:themeColor="text1"/>
        </w:rPr>
      </w:pPr>
      <w:r w:rsidRPr="00EB14DE">
        <w:rPr>
          <w:rFonts w:ascii="Arial Narrow" w:eastAsia="Calibri" w:hAnsi="Arial Narrow"/>
          <w:color w:val="000000" w:themeColor="text1"/>
        </w:rPr>
        <w:t xml:space="preserve">Contrato de Futuro de Inflación </w:t>
      </w:r>
    </w:p>
    <w:p w14:paraId="2E4C2758" w14:textId="77777777" w:rsidR="007968EC" w:rsidRPr="00EB14DE" w:rsidRDefault="007968EC" w:rsidP="00DA7472">
      <w:pPr>
        <w:numPr>
          <w:ilvl w:val="0"/>
          <w:numId w:val="54"/>
        </w:numPr>
        <w:ind w:left="576" w:hanging="425"/>
        <w:jc w:val="both"/>
        <w:rPr>
          <w:rFonts w:ascii="Arial Narrow" w:eastAsia="Calibri" w:hAnsi="Arial Narrow"/>
          <w:color w:val="000000" w:themeColor="text1"/>
        </w:rPr>
      </w:pPr>
      <w:r w:rsidRPr="00EB14DE">
        <w:rPr>
          <w:rFonts w:ascii="Arial Narrow" w:eastAsia="Calibri" w:hAnsi="Arial Narrow"/>
          <w:color w:val="000000" w:themeColor="text1"/>
        </w:rPr>
        <w:t xml:space="preserve">Contratos de Futuros sobre Títulos TES de Referencias Específicas </w:t>
      </w:r>
    </w:p>
    <w:p w14:paraId="3A8E2898" w14:textId="77777777" w:rsidR="007968EC" w:rsidRPr="00EB14DE" w:rsidRDefault="007968EC" w:rsidP="00DA7472">
      <w:pPr>
        <w:numPr>
          <w:ilvl w:val="0"/>
          <w:numId w:val="54"/>
        </w:numPr>
        <w:ind w:left="576" w:hanging="425"/>
        <w:jc w:val="both"/>
        <w:rPr>
          <w:rFonts w:ascii="Arial Narrow" w:eastAsia="Calibri" w:hAnsi="Arial Narrow"/>
          <w:color w:val="000000" w:themeColor="text1"/>
        </w:rPr>
      </w:pPr>
      <w:r w:rsidRPr="00EB14DE">
        <w:rPr>
          <w:rFonts w:ascii="Arial Narrow" w:eastAsia="Calibri" w:hAnsi="Arial Narrow"/>
          <w:color w:val="000000" w:themeColor="text1"/>
        </w:rPr>
        <w:t xml:space="preserve">Contrato de Futuro sobre Acciones del Índice COLCAP con Liquidación por Diferencias </w:t>
      </w:r>
    </w:p>
    <w:p w14:paraId="7AB82FF3" w14:textId="77777777" w:rsidR="007968EC" w:rsidRPr="00EB14DE" w:rsidRDefault="007968EC" w:rsidP="00DA7472">
      <w:pPr>
        <w:numPr>
          <w:ilvl w:val="0"/>
          <w:numId w:val="54"/>
        </w:numPr>
        <w:ind w:left="576" w:hanging="425"/>
        <w:jc w:val="both"/>
        <w:rPr>
          <w:rFonts w:ascii="Arial Narrow" w:eastAsia="Calibri" w:hAnsi="Arial Narrow"/>
          <w:color w:val="000000" w:themeColor="text1"/>
        </w:rPr>
      </w:pPr>
      <w:r w:rsidRPr="00EB14DE">
        <w:rPr>
          <w:rFonts w:ascii="Arial Narrow" w:eastAsia="Calibri" w:hAnsi="Arial Narrow"/>
          <w:color w:val="000000" w:themeColor="text1"/>
        </w:rPr>
        <w:t xml:space="preserve">Contrato de Opciones sobre la acción de Ecopetrol </w:t>
      </w:r>
    </w:p>
    <w:p w14:paraId="07146A3A" w14:textId="77777777" w:rsidR="007968EC" w:rsidRPr="00EB14DE" w:rsidRDefault="007968EC" w:rsidP="00DA7472">
      <w:pPr>
        <w:numPr>
          <w:ilvl w:val="0"/>
          <w:numId w:val="54"/>
        </w:numPr>
        <w:ind w:left="576" w:hanging="425"/>
        <w:jc w:val="both"/>
        <w:rPr>
          <w:rFonts w:ascii="Arial Narrow" w:eastAsia="Calibri" w:hAnsi="Arial Narrow"/>
          <w:color w:val="000000" w:themeColor="text1"/>
        </w:rPr>
      </w:pPr>
      <w:r w:rsidRPr="00EB14DE">
        <w:rPr>
          <w:rFonts w:ascii="Arial Narrow" w:eastAsia="Calibri" w:hAnsi="Arial Narrow"/>
          <w:color w:val="000000" w:themeColor="text1"/>
        </w:rPr>
        <w:t xml:space="preserve">Contrato de Opciones sobre la acción Preferencial Bancolombia </w:t>
      </w:r>
    </w:p>
    <w:p w14:paraId="353BEABE" w14:textId="77777777" w:rsidR="007968EC" w:rsidRPr="00EB14DE" w:rsidRDefault="007968EC" w:rsidP="00DA7472">
      <w:pPr>
        <w:numPr>
          <w:ilvl w:val="0"/>
          <w:numId w:val="54"/>
        </w:numPr>
        <w:ind w:left="576" w:hanging="425"/>
        <w:jc w:val="both"/>
        <w:rPr>
          <w:rFonts w:ascii="Arial Narrow" w:eastAsia="Calibri" w:hAnsi="Arial Narrow"/>
          <w:color w:val="000000" w:themeColor="text1"/>
        </w:rPr>
      </w:pPr>
      <w:r w:rsidRPr="00EB14DE">
        <w:rPr>
          <w:rFonts w:ascii="Arial Narrow" w:eastAsia="Calibri" w:hAnsi="Arial Narrow"/>
          <w:color w:val="000000" w:themeColor="text1"/>
        </w:rPr>
        <w:t>Contrato de Opciones sobre la acción de Preferencial Aval</w:t>
      </w:r>
    </w:p>
    <w:p w14:paraId="56A9534A" w14:textId="77777777" w:rsidR="007968EC" w:rsidRPr="00EB14DE" w:rsidRDefault="007968EC" w:rsidP="007968EC">
      <w:pPr>
        <w:autoSpaceDE w:val="0"/>
        <w:autoSpaceDN w:val="0"/>
        <w:adjustRightInd w:val="0"/>
        <w:jc w:val="both"/>
        <w:rPr>
          <w:rFonts w:ascii="Arial Narrow" w:eastAsia="Calibri" w:hAnsi="Arial Narrow"/>
          <w:color w:val="000000" w:themeColor="text1"/>
        </w:rPr>
      </w:pPr>
    </w:p>
    <w:p w14:paraId="38ED16AC" w14:textId="77777777" w:rsidR="007968EC" w:rsidRPr="00EB14DE" w:rsidRDefault="007968EC" w:rsidP="00DA7472">
      <w:pPr>
        <w:numPr>
          <w:ilvl w:val="0"/>
          <w:numId w:val="218"/>
        </w:numPr>
        <w:ind w:left="317" w:hanging="317"/>
        <w:contextualSpacing/>
        <w:jc w:val="both"/>
        <w:rPr>
          <w:rFonts w:ascii="Arial Narrow" w:eastAsia="Calibri" w:hAnsi="Arial Narrow"/>
          <w:color w:val="000000" w:themeColor="text1"/>
        </w:rPr>
      </w:pPr>
      <w:r w:rsidRPr="00EB14DE">
        <w:rPr>
          <w:rFonts w:ascii="Arial Narrow" w:eastAsia="Calibri" w:hAnsi="Arial Narrow"/>
          <w:color w:val="000000" w:themeColor="text1"/>
        </w:rPr>
        <w:t>En concordancia con lo previsto por el artículo 2 de la Resolución Externa 12 de 2008 expedida por el Banco de la República de Colombia, y demás normas que la sustituyan o modifiquen, y siguiendo el proceso contenido en el Artículo 1.3.3. del Reglamento de Funcionamiento, la Cámara está facultada para aceptar Operaciones que versen sobre los siguientes Activos, para su Compensación y Liquidación actuando como Contraparte:</w:t>
      </w:r>
    </w:p>
    <w:p w14:paraId="7A8BA7B0" w14:textId="77777777" w:rsidR="007968EC" w:rsidRPr="00EB14DE" w:rsidRDefault="007968EC" w:rsidP="007968EC">
      <w:pPr>
        <w:ind w:left="317"/>
        <w:contextualSpacing/>
        <w:jc w:val="both"/>
        <w:rPr>
          <w:rFonts w:ascii="Arial Narrow" w:eastAsia="Calibri" w:hAnsi="Arial Narrow"/>
          <w:color w:val="000000" w:themeColor="text1"/>
        </w:rPr>
      </w:pPr>
    </w:p>
    <w:p w14:paraId="5AACF7A8" w14:textId="77777777" w:rsidR="007968EC" w:rsidRPr="00EB14DE" w:rsidRDefault="007968EC" w:rsidP="00DA7472">
      <w:pPr>
        <w:numPr>
          <w:ilvl w:val="0"/>
          <w:numId w:val="54"/>
        </w:numPr>
        <w:ind w:left="664" w:hanging="425"/>
        <w:jc w:val="both"/>
        <w:rPr>
          <w:rFonts w:ascii="Arial Narrow" w:eastAsia="Calibri" w:hAnsi="Arial Narrow"/>
          <w:color w:val="000000" w:themeColor="text1"/>
        </w:rPr>
      </w:pPr>
      <w:r w:rsidRPr="00EB14DE">
        <w:rPr>
          <w:rFonts w:ascii="Arial Narrow" w:eastAsia="Calibri" w:hAnsi="Arial Narrow"/>
          <w:color w:val="000000" w:themeColor="text1"/>
        </w:rPr>
        <w:t>Futuro de Tasa de Cambio Dólar/Peso</w:t>
      </w:r>
    </w:p>
    <w:p w14:paraId="38A5D773" w14:textId="77777777" w:rsidR="007968EC" w:rsidRPr="00EB14DE" w:rsidRDefault="007968EC" w:rsidP="00DA7472">
      <w:pPr>
        <w:numPr>
          <w:ilvl w:val="0"/>
          <w:numId w:val="54"/>
        </w:numPr>
        <w:ind w:left="664" w:hanging="425"/>
        <w:jc w:val="both"/>
        <w:rPr>
          <w:rFonts w:ascii="Arial Narrow" w:eastAsia="Calibri" w:hAnsi="Arial Narrow"/>
          <w:color w:val="000000" w:themeColor="text1"/>
        </w:rPr>
      </w:pPr>
      <w:r w:rsidRPr="00EB14DE">
        <w:rPr>
          <w:rFonts w:ascii="Arial Narrow" w:eastAsia="Calibri" w:hAnsi="Arial Narrow"/>
          <w:color w:val="000000" w:themeColor="text1"/>
        </w:rPr>
        <w:t>Mini Contrato de Futuro de Tasa de Cambio Dólar/Peso</w:t>
      </w:r>
    </w:p>
    <w:p w14:paraId="4D473470" w14:textId="77777777" w:rsidR="007968EC" w:rsidRPr="00EB14DE" w:rsidRDefault="007968EC" w:rsidP="00DA7472">
      <w:pPr>
        <w:numPr>
          <w:ilvl w:val="0"/>
          <w:numId w:val="54"/>
        </w:numPr>
        <w:ind w:left="664" w:hanging="425"/>
        <w:jc w:val="both"/>
        <w:rPr>
          <w:rFonts w:ascii="Arial Narrow" w:eastAsia="Calibri" w:hAnsi="Arial Narrow"/>
          <w:color w:val="000000" w:themeColor="text1"/>
        </w:rPr>
      </w:pPr>
      <w:r w:rsidRPr="00EB14DE">
        <w:rPr>
          <w:rFonts w:ascii="Arial Narrow" w:eastAsia="Calibri" w:hAnsi="Arial Narrow"/>
          <w:bCs/>
          <w:color w:val="000000" w:themeColor="text1"/>
        </w:rPr>
        <w:t xml:space="preserve">Contrato de </w:t>
      </w:r>
      <w:r w:rsidRPr="00EB14DE">
        <w:rPr>
          <w:rFonts w:ascii="Arial Narrow" w:hAnsi="Arial Narrow"/>
          <w:color w:val="000000"/>
          <w:lang w:eastAsia="es-CO"/>
        </w:rPr>
        <w:t>Opción sobre la TRM</w:t>
      </w:r>
    </w:p>
    <w:p w14:paraId="3FB3887A" w14:textId="77777777" w:rsidR="007968EC" w:rsidRPr="00EB14DE" w:rsidRDefault="007968EC" w:rsidP="00DA7472">
      <w:pPr>
        <w:numPr>
          <w:ilvl w:val="0"/>
          <w:numId w:val="54"/>
        </w:numPr>
        <w:ind w:left="664" w:hanging="425"/>
        <w:jc w:val="both"/>
        <w:rPr>
          <w:rFonts w:ascii="Arial Narrow" w:hAnsi="Arial Narrow"/>
        </w:rPr>
      </w:pPr>
      <w:r w:rsidRPr="00EB14DE">
        <w:rPr>
          <w:rFonts w:ascii="Arial Narrow" w:eastAsia="Calibri" w:hAnsi="Arial Narrow"/>
          <w:bCs/>
          <w:color w:val="000000" w:themeColor="text1"/>
        </w:rPr>
        <w:t>Forward NDF USD/COP</w:t>
      </w:r>
    </w:p>
    <w:p w14:paraId="6587775A" w14:textId="77777777" w:rsidR="007968EC" w:rsidRDefault="007968EC" w:rsidP="007968EC">
      <w:pPr>
        <w:jc w:val="both"/>
        <w:rPr>
          <w:rFonts w:ascii="Arial Narrow" w:eastAsia="Calibri" w:hAnsi="Arial Narrow"/>
          <w:color w:val="000000" w:themeColor="text1"/>
        </w:rPr>
      </w:pPr>
    </w:p>
    <w:p w14:paraId="18FA9908" w14:textId="77777777" w:rsidR="007968EC" w:rsidRPr="00A02F15" w:rsidRDefault="007968EC" w:rsidP="007968EC">
      <w:pPr>
        <w:jc w:val="both"/>
        <w:rPr>
          <w:rFonts w:ascii="Arial Narrow" w:eastAsia="Calibri" w:hAnsi="Arial Narrow"/>
          <w:color w:val="000000" w:themeColor="text1"/>
        </w:rPr>
      </w:pPr>
    </w:p>
    <w:p w14:paraId="60CD7982" w14:textId="77777777" w:rsidR="007968EC" w:rsidRPr="002C0D19" w:rsidRDefault="007968EC" w:rsidP="007968EC">
      <w:pPr>
        <w:pStyle w:val="TTULO"/>
        <w:rPr>
          <w:rFonts w:eastAsia="Calibri"/>
          <w:lang w:val="es-ES"/>
        </w:rPr>
      </w:pPr>
      <w:bookmarkStart w:id="5106" w:name="_Toc31716213"/>
      <w:r w:rsidRPr="002C0D19">
        <w:rPr>
          <w:rFonts w:eastAsia="Calibri"/>
          <w:lang w:val="es-ES"/>
        </w:rPr>
        <w:t>CAPÍTULO SEGUNDO</w:t>
      </w:r>
      <w:bookmarkEnd w:id="5098"/>
      <w:bookmarkEnd w:id="5099"/>
      <w:bookmarkEnd w:id="5100"/>
      <w:bookmarkEnd w:id="5101"/>
      <w:bookmarkEnd w:id="5102"/>
      <w:bookmarkEnd w:id="5103"/>
      <w:bookmarkEnd w:id="5104"/>
      <w:bookmarkEnd w:id="5105"/>
      <w:bookmarkEnd w:id="5106"/>
    </w:p>
    <w:p w14:paraId="45BB5382" w14:textId="77777777" w:rsidR="007968EC" w:rsidRPr="002C0D19" w:rsidRDefault="007968EC" w:rsidP="007968EC">
      <w:pPr>
        <w:pStyle w:val="TTULO"/>
        <w:rPr>
          <w:rFonts w:eastAsia="Calibri"/>
          <w:lang w:val="es-ES"/>
        </w:rPr>
      </w:pPr>
    </w:p>
    <w:p w14:paraId="3E7F6F8E" w14:textId="77777777" w:rsidR="007968EC" w:rsidRPr="002C0D19" w:rsidRDefault="007968EC" w:rsidP="007968EC">
      <w:pPr>
        <w:pStyle w:val="TTULO"/>
        <w:rPr>
          <w:rFonts w:eastAsia="Calibri"/>
          <w:lang w:val="es-ES"/>
        </w:rPr>
      </w:pPr>
      <w:bookmarkStart w:id="5107" w:name="_Toc470781152"/>
      <w:bookmarkStart w:id="5108" w:name="_Toc470784713"/>
      <w:bookmarkStart w:id="5109" w:name="_Toc470785250"/>
      <w:bookmarkStart w:id="5110" w:name="_Toc470791644"/>
      <w:bookmarkStart w:id="5111" w:name="_Toc472592388"/>
      <w:bookmarkStart w:id="5112" w:name="_Toc472593407"/>
      <w:bookmarkStart w:id="5113" w:name="_Toc479057196"/>
      <w:bookmarkStart w:id="5114" w:name="_Toc490066552"/>
      <w:bookmarkStart w:id="5115" w:name="_Toc31716214"/>
      <w:r w:rsidRPr="002C0D19">
        <w:rPr>
          <w:rFonts w:eastAsia="Calibri"/>
          <w:lang w:val="es-ES"/>
        </w:rPr>
        <w:t>ESPECIFICACIÓN DE LOS ACTIVOS</w:t>
      </w:r>
      <w:bookmarkEnd w:id="5107"/>
      <w:bookmarkEnd w:id="5108"/>
      <w:bookmarkEnd w:id="5109"/>
      <w:bookmarkEnd w:id="5110"/>
      <w:bookmarkEnd w:id="5111"/>
      <w:bookmarkEnd w:id="5112"/>
      <w:bookmarkEnd w:id="5113"/>
      <w:bookmarkEnd w:id="5114"/>
      <w:bookmarkEnd w:id="5115"/>
    </w:p>
    <w:p w14:paraId="39E75F72" w14:textId="77777777" w:rsidR="007968EC" w:rsidRPr="002C0D19" w:rsidRDefault="007968EC" w:rsidP="007968EC">
      <w:pPr>
        <w:outlineLvl w:val="1"/>
        <w:rPr>
          <w:rFonts w:ascii="Arial Narrow" w:eastAsia="Calibri" w:hAnsi="Arial Narrow" w:cs="Arial"/>
          <w:b/>
          <w:color w:val="000000" w:themeColor="text1"/>
          <w:lang w:eastAsia="es-ES"/>
        </w:rPr>
      </w:pPr>
    </w:p>
    <w:p w14:paraId="7C456F7A" w14:textId="77777777" w:rsidR="007968EC" w:rsidRPr="002C0D19" w:rsidRDefault="007968EC" w:rsidP="007968EC">
      <w:pPr>
        <w:pStyle w:val="ARTICULO0"/>
      </w:pPr>
      <w:bookmarkStart w:id="5116" w:name="_Toc470781153"/>
      <w:bookmarkStart w:id="5117" w:name="_Toc470784714"/>
      <w:bookmarkStart w:id="5118" w:name="_Toc470785251"/>
      <w:bookmarkStart w:id="5119" w:name="_Toc470791645"/>
      <w:bookmarkStart w:id="5120" w:name="_Toc472592389"/>
      <w:bookmarkStart w:id="5121" w:name="_Toc472593408"/>
      <w:bookmarkStart w:id="5122" w:name="_Toc479057197"/>
      <w:bookmarkStart w:id="5123" w:name="_Toc490066553"/>
      <w:bookmarkStart w:id="5124" w:name="_Toc31716215"/>
      <w:r w:rsidRPr="002C0D19">
        <w:t>Artículo 2.7.2.1. Futuro TES Corto Plazo.</w:t>
      </w:r>
      <w:bookmarkEnd w:id="5116"/>
      <w:bookmarkEnd w:id="5117"/>
      <w:bookmarkEnd w:id="5118"/>
      <w:bookmarkEnd w:id="5119"/>
      <w:bookmarkEnd w:id="5120"/>
      <w:bookmarkEnd w:id="5121"/>
      <w:bookmarkEnd w:id="5122"/>
      <w:bookmarkEnd w:id="5123"/>
      <w:bookmarkEnd w:id="5124"/>
      <w:r w:rsidRPr="002C0D19">
        <w:t xml:space="preserve"> </w:t>
      </w:r>
    </w:p>
    <w:p w14:paraId="0ED29E13" w14:textId="77777777" w:rsidR="007968EC" w:rsidRPr="002C0D19" w:rsidRDefault="007968EC" w:rsidP="007968EC">
      <w:pPr>
        <w:rPr>
          <w:rFonts w:ascii="Arial Narrow" w:eastAsia="Calibri" w:hAnsi="Arial Narrow"/>
          <w:color w:val="000000" w:themeColor="text1"/>
          <w:lang w:eastAsia="es-ES"/>
        </w:rPr>
      </w:pPr>
    </w:p>
    <w:p w14:paraId="4106F108" w14:textId="77777777" w:rsidR="007968EC" w:rsidRPr="002C0D19" w:rsidRDefault="007968EC" w:rsidP="007968EC">
      <w:pPr>
        <w:jc w:val="both"/>
        <w:rPr>
          <w:rFonts w:ascii="Arial Narrow" w:eastAsia="Calibri" w:hAnsi="Arial Narrow"/>
          <w:b/>
          <w:color w:val="000000" w:themeColor="text1"/>
        </w:rPr>
      </w:pPr>
      <w:r w:rsidRPr="002C0D19">
        <w:rPr>
          <w:rFonts w:ascii="Arial Narrow" w:eastAsia="Calibri" w:hAnsi="Arial Narrow"/>
          <w:color w:val="000000" w:themeColor="text1"/>
        </w:rPr>
        <w:t>La Cámara se interpondrá como contraparte y realizará la Compensación y Liquidación del Instrumento Futuro de TES Corto Plazo bajo las siguientes condiciones:</w:t>
      </w:r>
    </w:p>
    <w:p w14:paraId="4259873D" w14:textId="77777777" w:rsidR="007968EC" w:rsidRPr="002C0D19" w:rsidRDefault="007968EC" w:rsidP="007968EC">
      <w:pPr>
        <w:rPr>
          <w:rFonts w:ascii="Arial Narrow" w:eastAsia="Calibri" w:hAnsi="Arial Narrow"/>
          <w:color w:val="000000" w:themeColor="text1"/>
          <w:lang w:eastAsia="es-ES"/>
        </w:rPr>
      </w:pPr>
    </w:p>
    <w:p w14:paraId="7FA60600" w14:textId="77777777" w:rsidR="007968EC" w:rsidRPr="002C0D19" w:rsidRDefault="007968EC" w:rsidP="00DA7472">
      <w:pPr>
        <w:numPr>
          <w:ilvl w:val="0"/>
          <w:numId w:val="52"/>
        </w:numPr>
        <w:autoSpaceDE w:val="0"/>
        <w:autoSpaceDN w:val="0"/>
        <w:jc w:val="both"/>
        <w:rPr>
          <w:rFonts w:ascii="Arial Narrow" w:eastAsia="Calibri" w:hAnsi="Arial Narrow"/>
          <w:b/>
          <w:bCs/>
          <w:color w:val="000000" w:themeColor="text1"/>
        </w:rPr>
      </w:pPr>
      <w:r w:rsidRPr="002C0D19">
        <w:rPr>
          <w:rFonts w:ascii="Arial Narrow" w:eastAsia="Calibri" w:hAnsi="Arial Narrow"/>
          <w:bCs/>
          <w:color w:val="000000" w:themeColor="text1"/>
        </w:rPr>
        <w:t>Generalidades:</w:t>
      </w:r>
    </w:p>
    <w:p w14:paraId="1F411BD9" w14:textId="77777777" w:rsidR="007968EC" w:rsidRPr="002C0D19" w:rsidRDefault="007968EC" w:rsidP="007968EC">
      <w:pPr>
        <w:autoSpaceDE w:val="0"/>
        <w:autoSpaceDN w:val="0"/>
        <w:jc w:val="both"/>
        <w:rPr>
          <w:rFonts w:ascii="Arial Narrow" w:eastAsia="Calibri" w:hAnsi="Arial Narrow"/>
          <w:b/>
          <w:bCs/>
          <w:color w:val="000000" w:themeColor="text1"/>
        </w:rPr>
      </w:pPr>
    </w:p>
    <w:tbl>
      <w:tblPr>
        <w:tblW w:w="934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71"/>
        <w:gridCol w:w="6070"/>
      </w:tblGrid>
      <w:tr w:rsidR="007968EC" w:rsidRPr="002C0D19" w14:paraId="17EBD4B9" w14:textId="77777777" w:rsidTr="007968EC">
        <w:trPr>
          <w:trHeight w:val="384"/>
          <w:tblCellSpacing w:w="0" w:type="dxa"/>
        </w:trPr>
        <w:tc>
          <w:tcPr>
            <w:tcW w:w="3271" w:type="dxa"/>
            <w:shd w:val="clear" w:color="auto" w:fill="C0C0C0"/>
            <w:vAlign w:val="center"/>
          </w:tcPr>
          <w:p w14:paraId="1FD61266" w14:textId="77777777" w:rsidR="007968EC" w:rsidRPr="002C0D19" w:rsidRDefault="007968EC" w:rsidP="007968EC">
            <w:pPr>
              <w:rPr>
                <w:rFonts w:ascii="Arial Narrow" w:eastAsia="Calibri" w:hAnsi="Arial Narrow"/>
                <w:b/>
                <w:color w:val="000000" w:themeColor="text1"/>
              </w:rPr>
            </w:pPr>
            <w:r w:rsidRPr="002C0D19">
              <w:rPr>
                <w:rFonts w:ascii="Arial Narrow" w:eastAsia="Calibri" w:hAnsi="Arial Narrow"/>
                <w:color w:val="000000" w:themeColor="text1"/>
              </w:rPr>
              <w:t>Instrumento</w:t>
            </w:r>
          </w:p>
        </w:tc>
        <w:tc>
          <w:tcPr>
            <w:tcW w:w="6070" w:type="dxa"/>
            <w:shd w:val="clear" w:color="auto" w:fill="auto"/>
            <w:vAlign w:val="center"/>
          </w:tcPr>
          <w:p w14:paraId="728CA03A" w14:textId="77777777" w:rsidR="007968EC" w:rsidRPr="002C0D19" w:rsidRDefault="007968EC" w:rsidP="007968EC">
            <w:pPr>
              <w:autoSpaceDE w:val="0"/>
              <w:autoSpaceDN w:val="0"/>
              <w:ind w:left="131"/>
              <w:jc w:val="both"/>
              <w:rPr>
                <w:rFonts w:ascii="Arial Narrow" w:eastAsia="Calibri" w:hAnsi="Arial Narrow"/>
                <w:b/>
                <w:bCs/>
                <w:color w:val="000000" w:themeColor="text1"/>
              </w:rPr>
            </w:pPr>
            <w:r w:rsidRPr="002C0D19">
              <w:rPr>
                <w:rFonts w:ascii="Arial Narrow" w:eastAsia="Calibri" w:hAnsi="Arial Narrow"/>
                <w:bCs/>
                <w:color w:val="000000" w:themeColor="text1"/>
              </w:rPr>
              <w:t>Futuro TES a Corto Plazo.</w:t>
            </w:r>
          </w:p>
        </w:tc>
      </w:tr>
      <w:tr w:rsidR="007968EC" w:rsidRPr="002C0D19" w14:paraId="53F5D52F" w14:textId="77777777" w:rsidTr="007968EC">
        <w:trPr>
          <w:trHeight w:val="1093"/>
          <w:tblCellSpacing w:w="0" w:type="dxa"/>
        </w:trPr>
        <w:tc>
          <w:tcPr>
            <w:tcW w:w="3271" w:type="dxa"/>
            <w:shd w:val="clear" w:color="auto" w:fill="C0C0C0"/>
            <w:vAlign w:val="center"/>
          </w:tcPr>
          <w:p w14:paraId="4D4C763A" w14:textId="77777777" w:rsidR="007968EC" w:rsidRPr="002C0D19" w:rsidRDefault="007968EC" w:rsidP="007968EC">
            <w:pPr>
              <w:rPr>
                <w:rFonts w:ascii="Arial Narrow" w:eastAsia="Calibri" w:hAnsi="Arial Narrow"/>
                <w:b/>
                <w:color w:val="000000" w:themeColor="text1"/>
              </w:rPr>
            </w:pPr>
            <w:r w:rsidRPr="002C0D19">
              <w:rPr>
                <w:rFonts w:ascii="Arial Narrow" w:eastAsia="Calibri" w:hAnsi="Arial Narrow"/>
                <w:color w:val="000000" w:themeColor="text1"/>
              </w:rPr>
              <w:t>Activo Subyacente</w:t>
            </w:r>
          </w:p>
        </w:tc>
        <w:tc>
          <w:tcPr>
            <w:tcW w:w="6070" w:type="dxa"/>
            <w:shd w:val="clear" w:color="auto" w:fill="auto"/>
            <w:vAlign w:val="center"/>
          </w:tcPr>
          <w:p w14:paraId="096071AE" w14:textId="77777777" w:rsidR="007968EC" w:rsidRPr="002C0D19" w:rsidRDefault="007968EC" w:rsidP="007968EC">
            <w:pPr>
              <w:autoSpaceDE w:val="0"/>
              <w:autoSpaceDN w:val="0"/>
              <w:ind w:left="131"/>
              <w:jc w:val="both"/>
              <w:rPr>
                <w:rFonts w:ascii="Arial Narrow" w:eastAsia="Calibri" w:hAnsi="Arial Narrow"/>
                <w:b/>
                <w:bCs/>
                <w:color w:val="000000" w:themeColor="text1"/>
              </w:rPr>
            </w:pPr>
            <w:r w:rsidRPr="002C0D19">
              <w:rPr>
                <w:rFonts w:ascii="Arial Narrow" w:eastAsia="Calibri" w:hAnsi="Arial Narrow"/>
                <w:bCs/>
                <w:color w:val="000000" w:themeColor="text1"/>
              </w:rPr>
              <w:t>Bono Nocional con vencimiento 2 años de tasa fija de acuerdo a las especificaciones publicadas por BVC.</w:t>
            </w:r>
          </w:p>
        </w:tc>
      </w:tr>
      <w:tr w:rsidR="007968EC" w:rsidRPr="002C0D19" w14:paraId="03622219" w14:textId="77777777" w:rsidTr="007968EC">
        <w:trPr>
          <w:trHeight w:val="384"/>
          <w:tblCellSpacing w:w="0" w:type="dxa"/>
        </w:trPr>
        <w:tc>
          <w:tcPr>
            <w:tcW w:w="3271" w:type="dxa"/>
            <w:shd w:val="clear" w:color="auto" w:fill="C0C0C0"/>
            <w:vAlign w:val="center"/>
          </w:tcPr>
          <w:p w14:paraId="19005607" w14:textId="77777777" w:rsidR="007968EC" w:rsidRPr="002C0D19" w:rsidRDefault="007968EC" w:rsidP="007968EC">
            <w:pPr>
              <w:rPr>
                <w:rFonts w:ascii="Arial Narrow" w:eastAsia="Calibri" w:hAnsi="Arial Narrow"/>
                <w:b/>
                <w:color w:val="000000" w:themeColor="text1"/>
              </w:rPr>
            </w:pPr>
            <w:r w:rsidRPr="002C0D19">
              <w:rPr>
                <w:rFonts w:ascii="Arial Narrow" w:eastAsia="Calibri" w:hAnsi="Arial Narrow"/>
                <w:color w:val="000000" w:themeColor="text1"/>
              </w:rPr>
              <w:lastRenderedPageBreak/>
              <w:t>Canasta de entregables</w:t>
            </w:r>
          </w:p>
        </w:tc>
        <w:tc>
          <w:tcPr>
            <w:tcW w:w="6070" w:type="dxa"/>
            <w:shd w:val="clear" w:color="auto" w:fill="auto"/>
            <w:vAlign w:val="center"/>
          </w:tcPr>
          <w:p w14:paraId="3CF0F7E0" w14:textId="77777777" w:rsidR="007968EC" w:rsidRPr="002C0D19" w:rsidRDefault="007968EC" w:rsidP="007968EC">
            <w:pPr>
              <w:autoSpaceDE w:val="0"/>
              <w:autoSpaceDN w:val="0"/>
              <w:ind w:left="131"/>
              <w:jc w:val="both"/>
              <w:rPr>
                <w:rFonts w:ascii="Arial Narrow" w:eastAsia="Calibri" w:hAnsi="Arial Narrow"/>
                <w:b/>
                <w:bCs/>
                <w:color w:val="000000" w:themeColor="text1"/>
              </w:rPr>
            </w:pPr>
            <w:r w:rsidRPr="002C0D19">
              <w:rPr>
                <w:rFonts w:ascii="Arial Narrow" w:eastAsia="Calibri" w:hAnsi="Arial Narrow"/>
                <w:bCs/>
                <w:color w:val="000000" w:themeColor="text1"/>
              </w:rPr>
              <w:t xml:space="preserve">Conjunto de bonos TES B tasa fija en pesos según lo establecido por la BVC </w:t>
            </w:r>
          </w:p>
        </w:tc>
      </w:tr>
      <w:tr w:rsidR="007968EC" w:rsidRPr="002C0D19" w14:paraId="72E2B785" w14:textId="77777777" w:rsidTr="007968EC">
        <w:trPr>
          <w:trHeight w:val="384"/>
          <w:tblCellSpacing w:w="0" w:type="dxa"/>
        </w:trPr>
        <w:tc>
          <w:tcPr>
            <w:tcW w:w="3271" w:type="dxa"/>
            <w:shd w:val="clear" w:color="auto" w:fill="C0C0C0"/>
            <w:vAlign w:val="center"/>
          </w:tcPr>
          <w:p w14:paraId="66C2C4C3" w14:textId="77777777" w:rsidR="007968EC" w:rsidRPr="002C0D19" w:rsidRDefault="007968EC" w:rsidP="007968EC">
            <w:pPr>
              <w:rPr>
                <w:rFonts w:ascii="Arial Narrow" w:eastAsia="Calibri" w:hAnsi="Arial Narrow"/>
                <w:b/>
                <w:color w:val="000000" w:themeColor="text1"/>
              </w:rPr>
            </w:pPr>
            <w:r w:rsidRPr="002C0D19">
              <w:rPr>
                <w:rFonts w:ascii="Arial Narrow" w:eastAsia="Calibri" w:hAnsi="Arial Narrow"/>
                <w:color w:val="000000" w:themeColor="text1"/>
              </w:rPr>
              <w:t>Tamaño del Contrato</w:t>
            </w:r>
          </w:p>
        </w:tc>
        <w:tc>
          <w:tcPr>
            <w:tcW w:w="6070" w:type="dxa"/>
            <w:shd w:val="clear" w:color="auto" w:fill="auto"/>
            <w:vAlign w:val="center"/>
          </w:tcPr>
          <w:p w14:paraId="59036912" w14:textId="77777777" w:rsidR="007968EC" w:rsidRPr="002C0D19" w:rsidRDefault="007968EC" w:rsidP="007968EC">
            <w:pPr>
              <w:autoSpaceDE w:val="0"/>
              <w:autoSpaceDN w:val="0"/>
              <w:ind w:left="131"/>
              <w:jc w:val="both"/>
              <w:rPr>
                <w:rFonts w:ascii="Arial Narrow" w:eastAsia="Calibri" w:hAnsi="Arial Narrow"/>
                <w:b/>
                <w:bCs/>
                <w:color w:val="000000" w:themeColor="text1"/>
              </w:rPr>
            </w:pPr>
            <w:r w:rsidRPr="002C0D19">
              <w:rPr>
                <w:rFonts w:ascii="Arial Narrow" w:eastAsia="Calibri" w:hAnsi="Arial Narrow"/>
                <w:bCs/>
                <w:color w:val="000000" w:themeColor="text1"/>
              </w:rPr>
              <w:t>COP 250,000,000.</w:t>
            </w:r>
          </w:p>
        </w:tc>
      </w:tr>
      <w:tr w:rsidR="007968EC" w:rsidRPr="002C0D19" w14:paraId="7C932B31" w14:textId="77777777" w:rsidTr="007968EC">
        <w:trPr>
          <w:trHeight w:val="384"/>
          <w:tblCellSpacing w:w="0" w:type="dxa"/>
        </w:trPr>
        <w:tc>
          <w:tcPr>
            <w:tcW w:w="3271" w:type="dxa"/>
            <w:shd w:val="clear" w:color="auto" w:fill="C0C0C0"/>
            <w:vAlign w:val="center"/>
          </w:tcPr>
          <w:p w14:paraId="7EA75D4D" w14:textId="77777777" w:rsidR="007968EC" w:rsidRPr="002C0D19" w:rsidRDefault="007968EC" w:rsidP="007968EC">
            <w:pPr>
              <w:rPr>
                <w:rFonts w:ascii="Arial Narrow" w:eastAsia="Calibri" w:hAnsi="Arial Narrow"/>
                <w:b/>
                <w:color w:val="000000" w:themeColor="text1"/>
              </w:rPr>
            </w:pPr>
            <w:r w:rsidRPr="002C0D19">
              <w:rPr>
                <w:rFonts w:ascii="Arial Narrow" w:eastAsia="Calibri" w:hAnsi="Arial Narrow"/>
                <w:color w:val="000000" w:themeColor="text1"/>
              </w:rPr>
              <w:t xml:space="preserve">Vencimientos </w:t>
            </w:r>
          </w:p>
        </w:tc>
        <w:tc>
          <w:tcPr>
            <w:tcW w:w="6070" w:type="dxa"/>
            <w:shd w:val="clear" w:color="auto" w:fill="auto"/>
            <w:vAlign w:val="center"/>
          </w:tcPr>
          <w:p w14:paraId="75B35A11" w14:textId="77777777" w:rsidR="007968EC" w:rsidRPr="002C0D19" w:rsidRDefault="007968EC" w:rsidP="007968EC">
            <w:pPr>
              <w:autoSpaceDE w:val="0"/>
              <w:autoSpaceDN w:val="0"/>
              <w:ind w:left="131"/>
              <w:jc w:val="both"/>
              <w:rPr>
                <w:rFonts w:ascii="Arial Narrow" w:eastAsia="Calibri" w:hAnsi="Arial Narrow"/>
                <w:b/>
                <w:bCs/>
                <w:color w:val="000000" w:themeColor="text1"/>
              </w:rPr>
            </w:pPr>
            <w:r w:rsidRPr="002C0D19">
              <w:rPr>
                <w:rFonts w:ascii="Arial Narrow" w:eastAsia="Calibri" w:hAnsi="Arial Narrow"/>
                <w:color w:val="000000" w:themeColor="text1"/>
              </w:rPr>
              <w:t>Los vencimientos del Futuro de TES Corto plazo son mensuales y trimestrales dentro del ciclo de marzo (marzo, junio, septiembre y diciembre de cada año). En el Sistema de Cámara estarán disponibles para su compensación y liquidación los cuatro (4) Contratos listados por la BVC con vencimientos más cercanos, así: los tres (3) contratos con vencimientos mensuales más cercanos y trimestrales dentro de este ciclo hasta seis (6) meses.</w:t>
            </w:r>
          </w:p>
        </w:tc>
      </w:tr>
      <w:tr w:rsidR="007968EC" w:rsidRPr="002C0D19" w14:paraId="65B55159" w14:textId="77777777" w:rsidTr="007968EC">
        <w:trPr>
          <w:trHeight w:val="384"/>
          <w:tblCellSpacing w:w="0" w:type="dxa"/>
        </w:trPr>
        <w:tc>
          <w:tcPr>
            <w:tcW w:w="3271" w:type="dxa"/>
            <w:shd w:val="clear" w:color="auto" w:fill="C0C0C0"/>
            <w:vAlign w:val="center"/>
          </w:tcPr>
          <w:p w14:paraId="34ED0218" w14:textId="77777777" w:rsidR="007968EC" w:rsidRPr="002C0D19" w:rsidRDefault="007968EC" w:rsidP="007968EC">
            <w:pPr>
              <w:rPr>
                <w:rFonts w:ascii="Arial Narrow" w:eastAsia="Calibri" w:hAnsi="Arial Narrow"/>
                <w:b/>
                <w:color w:val="000000" w:themeColor="text1"/>
              </w:rPr>
            </w:pPr>
            <w:r w:rsidRPr="002C0D19">
              <w:rPr>
                <w:rFonts w:ascii="Arial Narrow" w:eastAsia="Calibri" w:hAnsi="Arial Narrow"/>
                <w:color w:val="000000" w:themeColor="text1"/>
              </w:rPr>
              <w:t xml:space="preserve">Método de Liquidación </w:t>
            </w:r>
          </w:p>
        </w:tc>
        <w:tc>
          <w:tcPr>
            <w:tcW w:w="6070" w:type="dxa"/>
            <w:shd w:val="clear" w:color="auto" w:fill="auto"/>
            <w:vAlign w:val="center"/>
          </w:tcPr>
          <w:p w14:paraId="03761FF9" w14:textId="77777777" w:rsidR="007968EC" w:rsidRPr="002C0D19" w:rsidRDefault="007968EC" w:rsidP="007968EC">
            <w:pPr>
              <w:autoSpaceDE w:val="0"/>
              <w:autoSpaceDN w:val="0"/>
              <w:ind w:left="131"/>
              <w:jc w:val="both"/>
              <w:rPr>
                <w:rFonts w:ascii="Arial Narrow" w:eastAsia="Calibri" w:hAnsi="Arial Narrow"/>
                <w:b/>
                <w:bCs/>
                <w:color w:val="000000" w:themeColor="text1"/>
              </w:rPr>
            </w:pPr>
            <w:r w:rsidRPr="002C0D19">
              <w:rPr>
                <w:rFonts w:ascii="Arial Narrow" w:eastAsia="Calibri" w:hAnsi="Arial Narrow"/>
                <w:bCs/>
                <w:color w:val="000000" w:themeColor="text1"/>
              </w:rPr>
              <w:t>Entrega Física.</w:t>
            </w:r>
            <w:r w:rsidRPr="002C0D19" w:rsidDel="00327454">
              <w:rPr>
                <w:rFonts w:ascii="Arial Narrow" w:eastAsia="Calibri" w:hAnsi="Arial Narrow"/>
                <w:bCs/>
                <w:color w:val="000000" w:themeColor="text1"/>
              </w:rPr>
              <w:t xml:space="preserve"> </w:t>
            </w:r>
          </w:p>
        </w:tc>
      </w:tr>
      <w:tr w:rsidR="007968EC" w:rsidRPr="002C0D19" w14:paraId="678EE273" w14:textId="77777777" w:rsidTr="007968EC">
        <w:trPr>
          <w:trHeight w:val="384"/>
          <w:tblCellSpacing w:w="0" w:type="dxa"/>
        </w:trPr>
        <w:tc>
          <w:tcPr>
            <w:tcW w:w="3271" w:type="dxa"/>
            <w:shd w:val="clear" w:color="auto" w:fill="C0C0C0"/>
            <w:vAlign w:val="center"/>
          </w:tcPr>
          <w:p w14:paraId="77FE9E84" w14:textId="77777777" w:rsidR="007968EC" w:rsidRPr="002C0D19" w:rsidRDefault="007968EC" w:rsidP="007968EC">
            <w:pPr>
              <w:rPr>
                <w:rFonts w:ascii="Arial Narrow" w:eastAsia="Calibri" w:hAnsi="Arial Narrow"/>
                <w:b/>
                <w:color w:val="000000" w:themeColor="text1"/>
              </w:rPr>
            </w:pPr>
            <w:r w:rsidRPr="002C0D19">
              <w:rPr>
                <w:rFonts w:ascii="Arial Narrow" w:eastAsia="Calibri" w:hAnsi="Arial Narrow"/>
                <w:color w:val="000000" w:themeColor="text1"/>
              </w:rPr>
              <w:t>Tipo de Liquidación</w:t>
            </w:r>
          </w:p>
        </w:tc>
        <w:tc>
          <w:tcPr>
            <w:tcW w:w="6070" w:type="dxa"/>
            <w:shd w:val="clear" w:color="auto" w:fill="auto"/>
            <w:vAlign w:val="center"/>
          </w:tcPr>
          <w:p w14:paraId="7E143053" w14:textId="77777777" w:rsidR="007968EC" w:rsidRPr="002C0D19" w:rsidRDefault="007968EC" w:rsidP="007968EC">
            <w:pPr>
              <w:autoSpaceDE w:val="0"/>
              <w:autoSpaceDN w:val="0"/>
              <w:adjustRightInd w:val="0"/>
              <w:ind w:left="136"/>
              <w:rPr>
                <w:rFonts w:ascii="Arial Narrow" w:eastAsia="Calibri" w:hAnsi="Arial Narrow"/>
                <w:b/>
                <w:color w:val="000000" w:themeColor="text1"/>
              </w:rPr>
            </w:pPr>
            <w:r w:rsidRPr="002C0D19">
              <w:rPr>
                <w:rFonts w:ascii="Arial Narrow" w:eastAsia="Calibri" w:hAnsi="Arial Narrow"/>
                <w:color w:val="000000" w:themeColor="text1"/>
              </w:rPr>
              <w:t>Liquidación Diaria y al Vencimiento.</w:t>
            </w:r>
          </w:p>
        </w:tc>
      </w:tr>
      <w:tr w:rsidR="007968EC" w:rsidRPr="002C0D19" w14:paraId="74DEE518" w14:textId="77777777" w:rsidTr="007968EC">
        <w:trPr>
          <w:trHeight w:val="384"/>
          <w:tblCellSpacing w:w="0" w:type="dxa"/>
        </w:trPr>
        <w:tc>
          <w:tcPr>
            <w:tcW w:w="3271" w:type="dxa"/>
            <w:shd w:val="clear" w:color="auto" w:fill="C0C0C0"/>
            <w:vAlign w:val="center"/>
          </w:tcPr>
          <w:p w14:paraId="6F92512F" w14:textId="77777777" w:rsidR="007968EC" w:rsidRPr="002C0D19" w:rsidRDefault="007968EC" w:rsidP="007968EC">
            <w:pPr>
              <w:rPr>
                <w:rFonts w:ascii="Arial Narrow" w:eastAsia="Calibri" w:hAnsi="Arial Narrow"/>
                <w:b/>
                <w:color w:val="000000" w:themeColor="text1"/>
              </w:rPr>
            </w:pPr>
            <w:r w:rsidRPr="002C0D19">
              <w:rPr>
                <w:rFonts w:ascii="Arial Narrow" w:eastAsia="Calibri" w:hAnsi="Arial Narrow"/>
                <w:color w:val="000000" w:themeColor="text1"/>
              </w:rPr>
              <w:t>Último día de Negociación</w:t>
            </w:r>
          </w:p>
        </w:tc>
        <w:tc>
          <w:tcPr>
            <w:tcW w:w="6070" w:type="dxa"/>
            <w:shd w:val="clear" w:color="auto" w:fill="auto"/>
            <w:vAlign w:val="center"/>
          </w:tcPr>
          <w:p w14:paraId="5B415822" w14:textId="77777777" w:rsidR="007968EC" w:rsidRPr="002C0D19" w:rsidRDefault="007968EC" w:rsidP="007968EC">
            <w:pPr>
              <w:ind w:left="131"/>
              <w:jc w:val="both"/>
              <w:rPr>
                <w:rFonts w:ascii="Arial Narrow" w:eastAsia="Calibri" w:hAnsi="Arial Narrow"/>
                <w:b/>
                <w:color w:val="000000" w:themeColor="text1"/>
              </w:rPr>
            </w:pPr>
            <w:r w:rsidRPr="002C0D19">
              <w:rPr>
                <w:rFonts w:ascii="Arial Narrow" w:eastAsia="Calibri" w:hAnsi="Arial Narrow"/>
                <w:bCs/>
                <w:color w:val="000000" w:themeColor="text1"/>
              </w:rPr>
              <w:t>Día hábil anterior al vencimiento del contrato.</w:t>
            </w:r>
          </w:p>
        </w:tc>
      </w:tr>
      <w:tr w:rsidR="007968EC" w:rsidRPr="002C0D19" w14:paraId="37A18883" w14:textId="77777777" w:rsidTr="007968EC">
        <w:trPr>
          <w:trHeight w:val="384"/>
          <w:tblCellSpacing w:w="0" w:type="dxa"/>
        </w:trPr>
        <w:tc>
          <w:tcPr>
            <w:tcW w:w="3271" w:type="dxa"/>
            <w:shd w:val="clear" w:color="auto" w:fill="C0C0C0"/>
            <w:vAlign w:val="center"/>
          </w:tcPr>
          <w:p w14:paraId="2607B445" w14:textId="77777777" w:rsidR="007968EC" w:rsidRPr="002C0D19" w:rsidRDefault="007968EC" w:rsidP="007968EC">
            <w:pPr>
              <w:rPr>
                <w:rFonts w:ascii="Arial Narrow" w:eastAsia="Calibri" w:hAnsi="Arial Narrow"/>
                <w:b/>
                <w:color w:val="000000" w:themeColor="text1"/>
              </w:rPr>
            </w:pPr>
            <w:r w:rsidRPr="002C0D19">
              <w:rPr>
                <w:rFonts w:ascii="Arial Narrow" w:eastAsia="Calibri" w:hAnsi="Arial Narrow"/>
                <w:color w:val="000000" w:themeColor="text1"/>
              </w:rPr>
              <w:t>Día de Vencimiento</w:t>
            </w:r>
          </w:p>
        </w:tc>
        <w:tc>
          <w:tcPr>
            <w:tcW w:w="6070" w:type="dxa"/>
            <w:shd w:val="clear" w:color="auto" w:fill="auto"/>
          </w:tcPr>
          <w:p w14:paraId="109B79EF" w14:textId="77777777" w:rsidR="007968EC" w:rsidRPr="002C0D19" w:rsidRDefault="007968EC" w:rsidP="007968EC">
            <w:pPr>
              <w:ind w:left="131"/>
              <w:jc w:val="both"/>
              <w:rPr>
                <w:rFonts w:ascii="Arial Narrow" w:eastAsia="Calibri" w:hAnsi="Arial Narrow"/>
                <w:b/>
                <w:color w:val="000000" w:themeColor="text1"/>
              </w:rPr>
            </w:pPr>
            <w:r w:rsidRPr="002C0D19">
              <w:rPr>
                <w:rFonts w:ascii="Arial Narrow" w:eastAsia="Calibri" w:hAnsi="Arial Narrow"/>
                <w:color w:val="000000" w:themeColor="text1"/>
              </w:rPr>
              <w:t>Primer viernes del mes de vencimiento del contrato. Cuando el primer viernes del mes de vencimiento corresponda a un día no hábil, el día del vencimiento corresponderá al día hábil siguiente.</w:t>
            </w:r>
          </w:p>
        </w:tc>
      </w:tr>
      <w:tr w:rsidR="007968EC" w:rsidRPr="002C0D19" w14:paraId="47135B44" w14:textId="77777777" w:rsidTr="007968EC">
        <w:trPr>
          <w:trHeight w:val="384"/>
          <w:tblCellSpacing w:w="0" w:type="dxa"/>
        </w:trPr>
        <w:tc>
          <w:tcPr>
            <w:tcW w:w="3271" w:type="dxa"/>
            <w:shd w:val="clear" w:color="auto" w:fill="C0C0C0"/>
            <w:vAlign w:val="center"/>
          </w:tcPr>
          <w:p w14:paraId="4AFED664" w14:textId="77777777" w:rsidR="007968EC" w:rsidRPr="002C0D19" w:rsidRDefault="007968EC" w:rsidP="007968EC">
            <w:pPr>
              <w:rPr>
                <w:rFonts w:ascii="Arial Narrow" w:eastAsia="Calibri" w:hAnsi="Arial Narrow"/>
                <w:b/>
                <w:color w:val="000000" w:themeColor="text1"/>
              </w:rPr>
            </w:pPr>
            <w:r w:rsidRPr="002C0D19">
              <w:rPr>
                <w:rFonts w:ascii="Arial Narrow" w:eastAsia="Calibri" w:hAnsi="Arial Narrow"/>
                <w:color w:val="000000" w:themeColor="text1"/>
              </w:rPr>
              <w:t>Inscripción</w:t>
            </w:r>
          </w:p>
        </w:tc>
        <w:tc>
          <w:tcPr>
            <w:tcW w:w="6070" w:type="dxa"/>
            <w:shd w:val="clear" w:color="auto" w:fill="auto"/>
            <w:vAlign w:val="center"/>
          </w:tcPr>
          <w:p w14:paraId="2D739B23" w14:textId="77777777" w:rsidR="007968EC" w:rsidRPr="002C0D19" w:rsidRDefault="007968EC" w:rsidP="007968EC">
            <w:pPr>
              <w:autoSpaceDE w:val="0"/>
              <w:autoSpaceDN w:val="0"/>
              <w:ind w:left="131"/>
              <w:jc w:val="both"/>
              <w:rPr>
                <w:rFonts w:ascii="Arial Narrow" w:eastAsia="Calibri" w:hAnsi="Arial Narrow"/>
                <w:b/>
                <w:bCs/>
                <w:color w:val="000000" w:themeColor="text1"/>
              </w:rPr>
            </w:pPr>
            <w:r w:rsidRPr="002C0D19">
              <w:rPr>
                <w:rFonts w:ascii="Arial Narrow" w:eastAsia="Calibri" w:hAnsi="Arial Narrow"/>
                <w:bCs/>
                <w:color w:val="000000" w:themeColor="text1"/>
              </w:rPr>
              <w:t>Bolsa de Valores de Colombia – BVC.</w:t>
            </w:r>
          </w:p>
        </w:tc>
      </w:tr>
    </w:tbl>
    <w:p w14:paraId="4CA11977" w14:textId="77777777" w:rsidR="007968EC" w:rsidRPr="002C0D19" w:rsidRDefault="007968EC" w:rsidP="007968EC">
      <w:pPr>
        <w:autoSpaceDE w:val="0"/>
        <w:autoSpaceDN w:val="0"/>
        <w:jc w:val="both"/>
        <w:rPr>
          <w:rFonts w:ascii="Arial Narrow" w:eastAsia="Calibri" w:hAnsi="Arial Narrow"/>
          <w:b/>
          <w:bCs/>
          <w:color w:val="000000" w:themeColor="text1"/>
        </w:rPr>
      </w:pPr>
    </w:p>
    <w:p w14:paraId="5B5ADB4C" w14:textId="77777777" w:rsidR="007968EC" w:rsidRPr="002C0D19" w:rsidRDefault="007968EC" w:rsidP="00DA7472">
      <w:pPr>
        <w:numPr>
          <w:ilvl w:val="0"/>
          <w:numId w:val="52"/>
        </w:numPr>
        <w:tabs>
          <w:tab w:val="num" w:pos="426"/>
        </w:tabs>
        <w:ind w:left="426" w:hanging="426"/>
        <w:jc w:val="both"/>
        <w:rPr>
          <w:rFonts w:ascii="Arial Narrow" w:eastAsia="Calibri" w:hAnsi="Arial Narrow"/>
          <w:b/>
          <w:bCs/>
          <w:color w:val="000000" w:themeColor="text1"/>
        </w:rPr>
      </w:pPr>
      <w:r w:rsidRPr="002C0D19">
        <w:rPr>
          <w:rFonts w:ascii="Arial Narrow" w:eastAsia="Calibri" w:hAnsi="Arial Narrow"/>
          <w:color w:val="000000" w:themeColor="text1"/>
        </w:rPr>
        <w:t>Precio de Liquidación: La Cámara tomará el precio provisto por el Proveedor Oficial de Precios para Valoración para todos los Instrumentos Financieros Derivados que la Cámara compensa y liquida.</w:t>
      </w:r>
    </w:p>
    <w:p w14:paraId="479BD01F" w14:textId="77777777" w:rsidR="007968EC" w:rsidRPr="002C0D19" w:rsidRDefault="007968EC" w:rsidP="00DA7472">
      <w:pPr>
        <w:numPr>
          <w:ilvl w:val="0"/>
          <w:numId w:val="52"/>
        </w:numPr>
        <w:tabs>
          <w:tab w:val="num" w:pos="426"/>
        </w:tabs>
        <w:ind w:left="426" w:hanging="426"/>
        <w:jc w:val="both"/>
        <w:rPr>
          <w:rFonts w:ascii="Arial Narrow" w:eastAsia="Calibri" w:hAnsi="Arial Narrow"/>
          <w:b/>
          <w:bCs/>
          <w:color w:val="000000" w:themeColor="text1"/>
        </w:rPr>
      </w:pPr>
      <w:r w:rsidRPr="002C0D19">
        <w:rPr>
          <w:rFonts w:ascii="Arial Narrow" w:eastAsia="Calibri" w:hAnsi="Arial Narrow"/>
          <w:color w:val="000000" w:themeColor="text1"/>
        </w:rPr>
        <w:t xml:space="preserve">Liquidación Diaria por diferencias al Precio de Liquidación: Diariamente las posiciones abiertas a final de día serán valoradas al Precio de Liquidación. Para esto la Cámara compensará al Cierre de Sesión de Cámara y con sus Miembros Liquidadores realizarán la Liquidación de tales obligaciones en efectivo, al inicio del día y antes del inicio de Sesión de Aceptación de Operaciones. </w:t>
      </w:r>
    </w:p>
    <w:p w14:paraId="3F8C031D" w14:textId="77777777" w:rsidR="007968EC" w:rsidRPr="002C0D19" w:rsidRDefault="007968EC" w:rsidP="007968EC">
      <w:pPr>
        <w:ind w:left="426"/>
        <w:jc w:val="both"/>
        <w:rPr>
          <w:rFonts w:ascii="Arial Narrow" w:eastAsia="Calibri" w:hAnsi="Arial Narrow"/>
          <w:b/>
          <w:bCs/>
          <w:color w:val="000000" w:themeColor="text1"/>
        </w:rPr>
      </w:pPr>
      <w:r w:rsidRPr="002C0D19">
        <w:rPr>
          <w:rFonts w:ascii="Arial Narrow" w:eastAsia="Calibri" w:hAnsi="Arial Narrow"/>
          <w:color w:val="000000" w:themeColor="text1"/>
        </w:rPr>
        <w:t>El cálculo de la liquidación por Diferencias dependerá del momento en que fue ejecutada la Operación y se realizará de acuerdo con las condiciones indicadas en el Título Quinto Capítulo Segundo de la presente Circular.</w:t>
      </w:r>
    </w:p>
    <w:p w14:paraId="79603ECE" w14:textId="77777777" w:rsidR="007968EC" w:rsidRPr="002C0D19" w:rsidRDefault="007968EC" w:rsidP="007968EC">
      <w:pPr>
        <w:ind w:left="426"/>
        <w:jc w:val="both"/>
        <w:rPr>
          <w:rFonts w:ascii="Arial Narrow" w:eastAsia="Calibri" w:hAnsi="Arial Narrow"/>
          <w:b/>
          <w:bCs/>
          <w:color w:val="000000" w:themeColor="text1"/>
        </w:rPr>
      </w:pPr>
    </w:p>
    <w:p w14:paraId="7C566BC7" w14:textId="77777777" w:rsidR="007968EC" w:rsidRPr="002C0D19" w:rsidRDefault="007968EC" w:rsidP="00DA7472">
      <w:pPr>
        <w:numPr>
          <w:ilvl w:val="0"/>
          <w:numId w:val="52"/>
        </w:numPr>
        <w:tabs>
          <w:tab w:val="num" w:pos="426"/>
        </w:tabs>
        <w:ind w:left="426" w:hanging="426"/>
        <w:contextualSpacing/>
        <w:jc w:val="both"/>
        <w:rPr>
          <w:rFonts w:ascii="Arial Narrow" w:eastAsia="Calibri" w:hAnsi="Arial Narrow"/>
          <w:b/>
          <w:bCs/>
          <w:color w:val="000000" w:themeColor="text1"/>
        </w:rPr>
      </w:pPr>
      <w:r w:rsidRPr="002C0D19">
        <w:rPr>
          <w:rFonts w:ascii="Arial Narrow" w:eastAsia="Calibri" w:hAnsi="Arial Narrow"/>
          <w:color w:val="000000" w:themeColor="text1"/>
        </w:rPr>
        <w:t xml:space="preserve">Liquidación al Vencimiento: Comprende la entrega del activo subyacente por parte del vendedor en el número de unidades nominales, y el pago por parte del comprador del número de unidades de nominal a recibir al precio de cierre del último día de negociación. </w:t>
      </w:r>
    </w:p>
    <w:p w14:paraId="1A71B6BE" w14:textId="77777777" w:rsidR="007968EC" w:rsidRPr="002C0D19" w:rsidRDefault="007968EC" w:rsidP="007968EC">
      <w:pPr>
        <w:ind w:left="426"/>
        <w:contextualSpacing/>
        <w:jc w:val="both"/>
        <w:rPr>
          <w:rFonts w:ascii="Arial Narrow" w:eastAsia="Calibri" w:hAnsi="Arial Narrow"/>
          <w:b/>
          <w:bCs/>
          <w:color w:val="000000" w:themeColor="text1"/>
        </w:rPr>
      </w:pPr>
    </w:p>
    <w:p w14:paraId="177C5DD5" w14:textId="77777777" w:rsidR="007968EC" w:rsidRPr="002C0D19" w:rsidRDefault="007968EC" w:rsidP="007968EC">
      <w:pPr>
        <w:ind w:left="426"/>
        <w:contextualSpacing/>
        <w:jc w:val="both"/>
        <w:rPr>
          <w:rFonts w:ascii="Arial Narrow" w:eastAsia="Calibri" w:hAnsi="Arial Narrow"/>
          <w:color w:val="000000" w:themeColor="text1"/>
        </w:rPr>
      </w:pPr>
      <w:r w:rsidRPr="002C0D19">
        <w:rPr>
          <w:rFonts w:ascii="Arial Narrow" w:eastAsia="Calibri" w:hAnsi="Arial Narrow"/>
          <w:color w:val="000000" w:themeColor="text1"/>
        </w:rPr>
        <w:t xml:space="preserve">A los Miembros con posiciones abiertas compradoras les serán notificados los valores a recibir, esto dado que el subyacente del Futuro corresponde a una canasta de títulos TES B tasa fija en pesos, así como el factor de conversión y los demás parámetros necesarios para liquidar el Instrumento. </w:t>
      </w:r>
    </w:p>
    <w:p w14:paraId="192880CF" w14:textId="77777777" w:rsidR="007968EC" w:rsidRPr="002C0D19" w:rsidRDefault="007968EC" w:rsidP="007968EC">
      <w:pPr>
        <w:ind w:left="426"/>
        <w:contextualSpacing/>
        <w:jc w:val="both"/>
        <w:rPr>
          <w:rFonts w:ascii="Arial Narrow" w:eastAsia="Calibri" w:hAnsi="Arial Narrow"/>
          <w:color w:val="000000" w:themeColor="text1"/>
        </w:rPr>
      </w:pPr>
    </w:p>
    <w:p w14:paraId="41E2432A" w14:textId="77777777" w:rsidR="007968EC" w:rsidRPr="002C0D19" w:rsidRDefault="007968EC" w:rsidP="007968EC">
      <w:pPr>
        <w:ind w:left="426"/>
        <w:contextualSpacing/>
        <w:jc w:val="both"/>
        <w:rPr>
          <w:rFonts w:ascii="Arial Narrow" w:eastAsia="Calibri" w:hAnsi="Arial Narrow"/>
          <w:b/>
          <w:bCs/>
          <w:color w:val="000000" w:themeColor="text1"/>
        </w:rPr>
      </w:pPr>
      <w:r w:rsidRPr="002C0D19">
        <w:rPr>
          <w:rFonts w:ascii="Arial Narrow" w:eastAsia="Calibri" w:hAnsi="Arial Narrow"/>
          <w:color w:val="000000" w:themeColor="text1"/>
        </w:rPr>
        <w:t>En este caso, la cantidad a abonar por los compradores se calculará de acuerdo con la siguiente fórmula:</w:t>
      </w:r>
    </w:p>
    <w:p w14:paraId="2037846B" w14:textId="77777777" w:rsidR="007968EC" w:rsidRPr="002C0D19" w:rsidRDefault="007968EC" w:rsidP="007968EC">
      <w:pPr>
        <w:autoSpaceDE w:val="0"/>
        <w:autoSpaceDN w:val="0"/>
        <w:adjustRightInd w:val="0"/>
        <w:jc w:val="both"/>
        <w:rPr>
          <w:rFonts w:ascii="Arial Narrow" w:eastAsia="Calibri" w:hAnsi="Arial Narrow"/>
          <w:b/>
          <w:bCs/>
          <w:color w:val="000000" w:themeColor="text1"/>
          <w:sz w:val="16"/>
          <w:szCs w:val="16"/>
        </w:rPr>
      </w:pPr>
    </w:p>
    <w:p w14:paraId="0CDFAE67" w14:textId="77777777" w:rsidR="007968EC" w:rsidRPr="002C0D19" w:rsidRDefault="007968EC" w:rsidP="007968EC">
      <w:pPr>
        <w:autoSpaceDE w:val="0"/>
        <w:autoSpaceDN w:val="0"/>
        <w:adjustRightInd w:val="0"/>
        <w:jc w:val="both"/>
        <w:rPr>
          <w:rFonts w:ascii="Arial Narrow" w:eastAsia="Calibri" w:hAnsi="Arial Narrow"/>
          <w:b/>
          <w:bCs/>
          <w:color w:val="000000" w:themeColor="text1"/>
        </w:rPr>
      </w:pPr>
      <w:r w:rsidRPr="002C0D19">
        <w:rPr>
          <w:rFonts w:ascii="Arial Narrow" w:eastAsia="Calibri" w:hAnsi="Arial Narrow"/>
          <w:bCs/>
          <w:noProof/>
          <w:color w:val="000000" w:themeColor="text1"/>
          <w:position w:val="-14"/>
          <w:sz w:val="16"/>
          <w:szCs w:val="16"/>
          <w:lang w:eastAsia="es-CO"/>
        </w:rPr>
        <w:lastRenderedPageBreak/>
        <w:drawing>
          <wp:inline distT="0" distB="0" distL="0" distR="0" wp14:anchorId="2497D472" wp14:editId="6FBDEE15">
            <wp:extent cx="5133975" cy="3810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33975" cy="381000"/>
                    </a:xfrm>
                    <a:prstGeom prst="rect">
                      <a:avLst/>
                    </a:prstGeom>
                    <a:noFill/>
                    <a:ln>
                      <a:noFill/>
                    </a:ln>
                  </pic:spPr>
                </pic:pic>
              </a:graphicData>
            </a:graphic>
          </wp:inline>
        </w:drawing>
      </w:r>
      <w:r w:rsidRPr="002C0D19">
        <w:rPr>
          <w:rFonts w:ascii="Arial Narrow" w:eastAsia="Calibri" w:hAnsi="Arial Narrow"/>
          <w:bCs/>
          <w:color w:val="000000" w:themeColor="text1"/>
          <w:sz w:val="16"/>
          <w:szCs w:val="16"/>
        </w:rPr>
        <w:tab/>
      </w:r>
      <w:r w:rsidRPr="002C0D19">
        <w:rPr>
          <w:rFonts w:ascii="Arial Narrow" w:eastAsia="Calibri" w:hAnsi="Arial Narrow"/>
          <w:bCs/>
          <w:color w:val="000000" w:themeColor="text1"/>
        </w:rPr>
        <w:tab/>
      </w:r>
    </w:p>
    <w:p w14:paraId="7C325B5D" w14:textId="77777777" w:rsidR="007968EC" w:rsidRPr="002C0D19" w:rsidRDefault="007968EC" w:rsidP="007968EC">
      <w:pPr>
        <w:autoSpaceDE w:val="0"/>
        <w:autoSpaceDN w:val="0"/>
        <w:adjustRightInd w:val="0"/>
        <w:jc w:val="both"/>
        <w:rPr>
          <w:rFonts w:ascii="Arial Narrow" w:eastAsia="Calibri" w:hAnsi="Arial Narrow"/>
          <w:b/>
          <w:bCs/>
          <w:color w:val="000000" w:themeColor="text1"/>
        </w:rPr>
      </w:pPr>
    </w:p>
    <w:p w14:paraId="32E7F699" w14:textId="77777777" w:rsidR="007968EC" w:rsidRPr="002C0D19" w:rsidRDefault="007968EC" w:rsidP="007968EC">
      <w:pPr>
        <w:autoSpaceDE w:val="0"/>
        <w:autoSpaceDN w:val="0"/>
        <w:adjustRightInd w:val="0"/>
        <w:jc w:val="both"/>
        <w:rPr>
          <w:rFonts w:ascii="Arial Narrow" w:eastAsia="Calibri" w:hAnsi="Arial Narrow"/>
          <w:b/>
          <w:bCs/>
          <w:color w:val="000000" w:themeColor="text1"/>
        </w:rPr>
      </w:pPr>
      <w:r w:rsidRPr="002C0D19">
        <w:rPr>
          <w:rFonts w:ascii="Arial Narrow" w:eastAsia="Calibri" w:hAnsi="Arial Narrow"/>
          <w:bCs/>
          <w:noProof/>
          <w:color w:val="000000" w:themeColor="text1"/>
          <w:position w:val="-12"/>
          <w:lang w:eastAsia="es-CO"/>
        </w:rPr>
        <w:drawing>
          <wp:inline distT="0" distB="0" distL="0" distR="0" wp14:anchorId="64637F35" wp14:editId="5813FD87">
            <wp:extent cx="1638300" cy="2857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8300" cy="285750"/>
                    </a:xfrm>
                    <a:prstGeom prst="rect">
                      <a:avLst/>
                    </a:prstGeom>
                    <a:noFill/>
                    <a:ln>
                      <a:noFill/>
                    </a:ln>
                  </pic:spPr>
                </pic:pic>
              </a:graphicData>
            </a:graphic>
          </wp:inline>
        </w:drawing>
      </w:r>
      <w:r w:rsidRPr="002C0D19">
        <w:rPr>
          <w:rFonts w:ascii="Arial Narrow" w:eastAsia="Calibri" w:hAnsi="Arial Narrow"/>
          <w:bCs/>
          <w:color w:val="000000" w:themeColor="text1"/>
        </w:rPr>
        <w:t xml:space="preserve"> </w:t>
      </w:r>
      <w:r w:rsidRPr="002C0D19">
        <w:rPr>
          <w:rFonts w:ascii="Arial Narrow" w:eastAsia="Calibri" w:hAnsi="Arial Narrow"/>
          <w:bCs/>
          <w:color w:val="000000" w:themeColor="text1"/>
        </w:rPr>
        <w:tab/>
        <w:t xml:space="preserve">= Valor del giro de efectivo </w:t>
      </w:r>
    </w:p>
    <w:p w14:paraId="07EC1025" w14:textId="77777777" w:rsidR="007968EC" w:rsidRPr="002C0D19" w:rsidRDefault="007968EC" w:rsidP="007968EC">
      <w:pPr>
        <w:autoSpaceDE w:val="0"/>
        <w:autoSpaceDN w:val="0"/>
        <w:adjustRightInd w:val="0"/>
        <w:ind w:left="708" w:firstLine="708"/>
        <w:jc w:val="both"/>
        <w:rPr>
          <w:rFonts w:ascii="Arial Narrow" w:eastAsia="Calibri" w:hAnsi="Arial Narrow"/>
          <w:b/>
          <w:bCs/>
          <w:color w:val="000000" w:themeColor="text1"/>
        </w:rPr>
      </w:pPr>
      <w:r w:rsidRPr="002C0D19">
        <w:rPr>
          <w:rFonts w:ascii="Arial Narrow" w:eastAsia="Calibri" w:hAnsi="Arial Narrow"/>
          <w:bCs/>
          <w:noProof/>
          <w:color w:val="000000" w:themeColor="text1"/>
          <w:position w:val="-12"/>
          <w:lang w:eastAsia="es-CO"/>
        </w:rPr>
        <w:drawing>
          <wp:inline distT="0" distB="0" distL="0" distR="0" wp14:anchorId="11F205C1" wp14:editId="0CD36B33">
            <wp:extent cx="381000" cy="2857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285750"/>
                    </a:xfrm>
                    <a:prstGeom prst="rect">
                      <a:avLst/>
                    </a:prstGeom>
                    <a:noFill/>
                    <a:ln>
                      <a:noFill/>
                    </a:ln>
                  </pic:spPr>
                </pic:pic>
              </a:graphicData>
            </a:graphic>
          </wp:inline>
        </w:drawing>
      </w:r>
      <w:r w:rsidRPr="002C0D19">
        <w:rPr>
          <w:rFonts w:ascii="Arial Narrow" w:eastAsia="Calibri" w:hAnsi="Arial Narrow"/>
          <w:bCs/>
          <w:color w:val="000000" w:themeColor="text1"/>
        </w:rPr>
        <w:t xml:space="preserve"> </w:t>
      </w:r>
      <w:r w:rsidRPr="002C0D19">
        <w:rPr>
          <w:rFonts w:ascii="Arial Narrow" w:eastAsia="Calibri" w:hAnsi="Arial Narrow"/>
          <w:bCs/>
          <w:color w:val="000000" w:themeColor="text1"/>
        </w:rPr>
        <w:tab/>
      </w:r>
      <w:r w:rsidRPr="002C0D19">
        <w:rPr>
          <w:rFonts w:ascii="Arial Narrow" w:eastAsia="Calibri" w:hAnsi="Arial Narrow"/>
          <w:bCs/>
          <w:color w:val="000000" w:themeColor="text1"/>
        </w:rPr>
        <w:tab/>
        <w:t xml:space="preserve">= </w:t>
      </w:r>
      <w:r w:rsidRPr="002C0D19">
        <w:rPr>
          <w:rFonts w:ascii="Arial Narrow" w:eastAsia="Calibri" w:hAnsi="Arial Narrow"/>
          <w:color w:val="000000" w:themeColor="text1"/>
        </w:rPr>
        <w:t>Precio de Liquidación al Vencimiento</w:t>
      </w:r>
      <w:r w:rsidRPr="002C0D19">
        <w:rPr>
          <w:rFonts w:ascii="Arial Narrow" w:eastAsia="Calibri" w:hAnsi="Arial Narrow"/>
          <w:bCs/>
          <w:color w:val="000000" w:themeColor="text1"/>
        </w:rPr>
        <w:t>.</w:t>
      </w:r>
    </w:p>
    <w:p w14:paraId="063416A3" w14:textId="77777777" w:rsidR="007968EC" w:rsidRPr="002C0D19" w:rsidRDefault="007968EC" w:rsidP="007968EC">
      <w:pPr>
        <w:autoSpaceDE w:val="0"/>
        <w:autoSpaceDN w:val="0"/>
        <w:adjustRightInd w:val="0"/>
        <w:ind w:left="708" w:firstLine="708"/>
        <w:jc w:val="both"/>
        <w:rPr>
          <w:rFonts w:ascii="Arial Narrow" w:eastAsia="Calibri" w:hAnsi="Arial Narrow"/>
          <w:b/>
          <w:bCs/>
          <w:color w:val="000000" w:themeColor="text1"/>
        </w:rPr>
      </w:pPr>
      <w:r w:rsidRPr="002C0D19">
        <w:rPr>
          <w:rFonts w:ascii="Arial Narrow" w:eastAsia="Calibri" w:hAnsi="Arial Narrow"/>
          <w:bCs/>
          <w:noProof/>
          <w:color w:val="000000" w:themeColor="text1"/>
          <w:position w:val="-6"/>
          <w:lang w:eastAsia="es-CO"/>
        </w:rPr>
        <w:drawing>
          <wp:inline distT="0" distB="0" distL="0" distR="0" wp14:anchorId="25C42BD7" wp14:editId="71D2A64D">
            <wp:extent cx="285750" cy="1809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2C0D19">
        <w:rPr>
          <w:rFonts w:ascii="Arial Narrow" w:eastAsia="Calibri" w:hAnsi="Arial Narrow"/>
          <w:bCs/>
          <w:color w:val="000000" w:themeColor="text1"/>
        </w:rPr>
        <w:tab/>
      </w:r>
      <w:r w:rsidRPr="002C0D19">
        <w:rPr>
          <w:rFonts w:ascii="Arial Narrow" w:eastAsia="Calibri" w:hAnsi="Arial Narrow"/>
          <w:bCs/>
          <w:color w:val="000000" w:themeColor="text1"/>
        </w:rPr>
        <w:tab/>
        <w:t>= Factor de Conversión</w:t>
      </w:r>
    </w:p>
    <w:p w14:paraId="175531BA" w14:textId="77777777" w:rsidR="007968EC" w:rsidRPr="002C0D19" w:rsidRDefault="007968EC" w:rsidP="007968EC">
      <w:pPr>
        <w:autoSpaceDE w:val="0"/>
        <w:autoSpaceDN w:val="0"/>
        <w:adjustRightInd w:val="0"/>
        <w:ind w:left="1416"/>
        <w:jc w:val="both"/>
        <w:rPr>
          <w:rFonts w:ascii="Arial Narrow" w:eastAsia="Calibri" w:hAnsi="Arial Narrow"/>
          <w:b/>
          <w:bCs/>
          <w:color w:val="000000" w:themeColor="text1"/>
        </w:rPr>
      </w:pPr>
      <w:r w:rsidRPr="002C0D19">
        <w:rPr>
          <w:rFonts w:ascii="Arial Narrow" w:eastAsia="Calibri" w:hAnsi="Arial Narrow"/>
          <w:bCs/>
          <w:noProof/>
          <w:color w:val="000000" w:themeColor="text1"/>
          <w:position w:val="-14"/>
          <w:lang w:eastAsia="es-CO"/>
        </w:rPr>
        <w:drawing>
          <wp:inline distT="0" distB="0" distL="0" distR="0" wp14:anchorId="3942D7F3" wp14:editId="54636868">
            <wp:extent cx="533400" cy="2857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400" cy="285750"/>
                    </a:xfrm>
                    <a:prstGeom prst="rect">
                      <a:avLst/>
                    </a:prstGeom>
                    <a:noFill/>
                    <a:ln>
                      <a:noFill/>
                    </a:ln>
                  </pic:spPr>
                </pic:pic>
              </a:graphicData>
            </a:graphic>
          </wp:inline>
        </w:drawing>
      </w:r>
      <w:r w:rsidRPr="002C0D19">
        <w:rPr>
          <w:rFonts w:ascii="Arial Narrow" w:eastAsia="Calibri" w:hAnsi="Arial Narrow"/>
          <w:bCs/>
          <w:color w:val="000000" w:themeColor="text1"/>
        </w:rPr>
        <w:tab/>
        <w:t>= Cupón corrido del Bono a entregar.</w:t>
      </w:r>
    </w:p>
    <w:p w14:paraId="3A615D20" w14:textId="77777777" w:rsidR="007968EC" w:rsidRPr="002C0D19" w:rsidRDefault="007968EC" w:rsidP="007968EC">
      <w:pPr>
        <w:autoSpaceDE w:val="0"/>
        <w:autoSpaceDN w:val="0"/>
        <w:adjustRightInd w:val="0"/>
        <w:ind w:left="2832" w:hanging="1416"/>
        <w:jc w:val="both"/>
        <w:rPr>
          <w:rFonts w:ascii="Arial Narrow" w:eastAsia="Calibri" w:hAnsi="Arial Narrow"/>
          <w:b/>
          <w:bCs/>
          <w:color w:val="000000" w:themeColor="text1"/>
        </w:rPr>
      </w:pPr>
      <w:r w:rsidRPr="002C0D19">
        <w:rPr>
          <w:rFonts w:ascii="Arial Narrow" w:eastAsia="Calibri" w:hAnsi="Arial Narrow"/>
          <w:bCs/>
          <w:noProof/>
          <w:color w:val="000000" w:themeColor="text1"/>
          <w:position w:val="-12"/>
          <w:lang w:eastAsia="es-CO"/>
        </w:rPr>
        <w:drawing>
          <wp:inline distT="0" distB="0" distL="0" distR="0" wp14:anchorId="04A9438A" wp14:editId="6C90ABDE">
            <wp:extent cx="476250" cy="2857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0" cy="285750"/>
                    </a:xfrm>
                    <a:prstGeom prst="rect">
                      <a:avLst/>
                    </a:prstGeom>
                    <a:noFill/>
                    <a:ln>
                      <a:noFill/>
                    </a:ln>
                  </pic:spPr>
                </pic:pic>
              </a:graphicData>
            </a:graphic>
          </wp:inline>
        </w:drawing>
      </w:r>
      <w:r w:rsidRPr="002C0D19">
        <w:rPr>
          <w:rFonts w:ascii="Arial Narrow" w:eastAsia="Calibri" w:hAnsi="Arial Narrow"/>
          <w:bCs/>
          <w:color w:val="000000" w:themeColor="text1"/>
        </w:rPr>
        <w:tab/>
        <w:t xml:space="preserve">= Valor nominal de la </w:t>
      </w:r>
      <w:r w:rsidRPr="002C0D19">
        <w:rPr>
          <w:rFonts w:ascii="Arial Narrow" w:eastAsia="Calibri" w:hAnsi="Arial Narrow"/>
          <w:color w:val="000000" w:themeColor="text1"/>
        </w:rPr>
        <w:t>posición abierta</w:t>
      </w:r>
      <w:r w:rsidRPr="002C0D19">
        <w:rPr>
          <w:rFonts w:ascii="Arial Narrow" w:eastAsia="Calibri" w:hAnsi="Arial Narrow"/>
          <w:bCs/>
          <w:color w:val="000000" w:themeColor="text1"/>
        </w:rPr>
        <w:t xml:space="preserve"> al vencimiento.  Es decir, el número de contratos abiertos multiplicado por el tamaño del contrato ($ 250.000.000).</w:t>
      </w:r>
    </w:p>
    <w:p w14:paraId="443E6313" w14:textId="77777777" w:rsidR="007968EC" w:rsidRPr="002C0D19" w:rsidRDefault="007968EC" w:rsidP="007968EC">
      <w:pPr>
        <w:autoSpaceDE w:val="0"/>
        <w:autoSpaceDN w:val="0"/>
        <w:adjustRightInd w:val="0"/>
        <w:ind w:left="1416" w:hanging="1410"/>
        <w:jc w:val="both"/>
        <w:rPr>
          <w:rFonts w:ascii="Arial Narrow" w:eastAsia="Calibri" w:hAnsi="Arial Narrow"/>
          <w:b/>
          <w:bCs/>
          <w:color w:val="000000" w:themeColor="text1"/>
        </w:rPr>
      </w:pPr>
    </w:p>
    <w:p w14:paraId="286BB090" w14:textId="77777777" w:rsidR="007968EC" w:rsidRPr="002C0D19" w:rsidRDefault="007968EC" w:rsidP="007968EC">
      <w:pPr>
        <w:ind w:left="708"/>
        <w:jc w:val="both"/>
        <w:rPr>
          <w:rFonts w:ascii="Arial Narrow" w:eastAsia="Calibri" w:hAnsi="Arial Narrow"/>
          <w:b/>
          <w:color w:val="000000" w:themeColor="text1"/>
        </w:rPr>
      </w:pPr>
      <w:r w:rsidRPr="002C0D19">
        <w:rPr>
          <w:rFonts w:ascii="Arial Narrow" w:eastAsia="Calibri" w:hAnsi="Arial Narrow"/>
          <w:color w:val="000000" w:themeColor="text1"/>
        </w:rPr>
        <w:t>El proceso de liquidación al vencimiento se realizará de acuerdo a las condiciones indicadas en la presente Circular.</w:t>
      </w:r>
    </w:p>
    <w:p w14:paraId="466143ED" w14:textId="77777777" w:rsidR="007968EC" w:rsidRPr="002C0D19" w:rsidRDefault="007968EC" w:rsidP="007968EC">
      <w:pPr>
        <w:autoSpaceDE w:val="0"/>
        <w:autoSpaceDN w:val="0"/>
        <w:adjustRightInd w:val="0"/>
        <w:ind w:left="1416" w:hanging="1410"/>
        <w:jc w:val="both"/>
        <w:rPr>
          <w:rFonts w:ascii="Arial Narrow" w:eastAsia="Calibri" w:hAnsi="Arial Narrow"/>
          <w:b/>
          <w:bCs/>
          <w:color w:val="000000" w:themeColor="text1"/>
        </w:rPr>
      </w:pPr>
    </w:p>
    <w:p w14:paraId="1C77BD1B" w14:textId="77777777" w:rsidR="007968EC" w:rsidRPr="002C0D19" w:rsidRDefault="007968EC" w:rsidP="007968EC">
      <w:pPr>
        <w:autoSpaceDE w:val="0"/>
        <w:autoSpaceDN w:val="0"/>
        <w:jc w:val="both"/>
        <w:rPr>
          <w:rFonts w:ascii="Arial Narrow" w:eastAsia="Calibri" w:hAnsi="Arial Narrow"/>
          <w:bCs/>
          <w:color w:val="000000" w:themeColor="text1"/>
          <w:u w:val="single"/>
        </w:rPr>
      </w:pPr>
      <w:r w:rsidRPr="002C0D19">
        <w:rPr>
          <w:rFonts w:ascii="Arial Narrow" w:eastAsia="Calibri" w:hAnsi="Arial Narrow"/>
          <w:color w:val="000000" w:themeColor="text1"/>
        </w:rPr>
        <w:t>Parámetros de cálculo de Garantía por Posición: El Instrumento Futuro TES se realizará de conformidad al artículo 2.5.1.4. de la presente Circular.</w:t>
      </w:r>
    </w:p>
    <w:p w14:paraId="389E7EC3" w14:textId="77777777" w:rsidR="007968EC" w:rsidRPr="00397BCE" w:rsidRDefault="007968EC" w:rsidP="007968EC">
      <w:pPr>
        <w:jc w:val="both"/>
        <w:rPr>
          <w:rFonts w:ascii="Arial Narrow" w:eastAsia="Calibri" w:hAnsi="Arial Narrow"/>
          <w:bCs/>
          <w:color w:val="000000" w:themeColor="text1"/>
        </w:rPr>
      </w:pPr>
    </w:p>
    <w:p w14:paraId="3371E365" w14:textId="77777777" w:rsidR="007968EC" w:rsidRPr="002C0D19" w:rsidRDefault="007968EC" w:rsidP="007968EC">
      <w:pPr>
        <w:pStyle w:val="ARTICULO0"/>
      </w:pPr>
      <w:bookmarkStart w:id="5125" w:name="_Toc470781154"/>
      <w:bookmarkStart w:id="5126" w:name="_Toc470784715"/>
      <w:bookmarkStart w:id="5127" w:name="_Toc470785252"/>
      <w:bookmarkStart w:id="5128" w:name="_Toc470791646"/>
      <w:bookmarkStart w:id="5129" w:name="_Toc472592390"/>
      <w:bookmarkStart w:id="5130" w:name="_Toc472593409"/>
      <w:bookmarkStart w:id="5131" w:name="_Toc479057198"/>
      <w:bookmarkStart w:id="5132" w:name="_Toc490066554"/>
      <w:bookmarkStart w:id="5133" w:name="_Toc31716216"/>
      <w:r w:rsidRPr="002C0D19">
        <w:t>Artículo 2.7.2.2. Futuro TES Mediano Plazo.</w:t>
      </w:r>
      <w:bookmarkEnd w:id="5125"/>
      <w:bookmarkEnd w:id="5126"/>
      <w:bookmarkEnd w:id="5127"/>
      <w:bookmarkEnd w:id="5128"/>
      <w:bookmarkEnd w:id="5129"/>
      <w:bookmarkEnd w:id="5130"/>
      <w:bookmarkEnd w:id="5131"/>
      <w:bookmarkEnd w:id="5132"/>
      <w:bookmarkEnd w:id="5133"/>
      <w:r w:rsidRPr="002C0D19">
        <w:t xml:space="preserve"> </w:t>
      </w:r>
    </w:p>
    <w:p w14:paraId="332D6A64" w14:textId="77777777" w:rsidR="007968EC" w:rsidRPr="00397BCE" w:rsidRDefault="007968EC" w:rsidP="007968EC">
      <w:pPr>
        <w:jc w:val="both"/>
        <w:rPr>
          <w:rFonts w:ascii="Arial Narrow" w:eastAsia="Calibri" w:hAnsi="Arial Narrow"/>
          <w:bCs/>
          <w:color w:val="000000" w:themeColor="text1"/>
        </w:rPr>
      </w:pPr>
    </w:p>
    <w:p w14:paraId="705749DA"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La Cámara se interpondrá como contraparte y realizará la Compensación y Liquidación del Instrumento Futuro de TES Mediano Plazo bajo las siguientes condiciones:</w:t>
      </w:r>
    </w:p>
    <w:p w14:paraId="5FB933FE" w14:textId="77777777" w:rsidR="007968EC" w:rsidRPr="002C0D19" w:rsidRDefault="007968EC" w:rsidP="007968EC">
      <w:pPr>
        <w:jc w:val="both"/>
        <w:rPr>
          <w:rFonts w:ascii="Arial Narrow" w:eastAsia="Calibri" w:hAnsi="Arial Narrow"/>
          <w:b/>
          <w:color w:val="000000" w:themeColor="text1"/>
        </w:rPr>
      </w:pPr>
    </w:p>
    <w:p w14:paraId="5F0C8498" w14:textId="77777777" w:rsidR="007968EC" w:rsidRPr="002C0D19" w:rsidRDefault="007968EC" w:rsidP="00DA7472">
      <w:pPr>
        <w:numPr>
          <w:ilvl w:val="0"/>
          <w:numId w:val="219"/>
        </w:numPr>
        <w:jc w:val="both"/>
        <w:rPr>
          <w:rFonts w:ascii="Arial Narrow" w:eastAsia="Calibri" w:hAnsi="Arial Narrow"/>
          <w:b/>
          <w:color w:val="000000" w:themeColor="text1"/>
        </w:rPr>
      </w:pPr>
      <w:r w:rsidRPr="002C0D19">
        <w:rPr>
          <w:rFonts w:ascii="Arial Narrow" w:eastAsia="Calibri" w:hAnsi="Arial Narrow"/>
          <w:color w:val="000000" w:themeColor="text1"/>
        </w:rPr>
        <w:t>Generalidades:</w:t>
      </w:r>
    </w:p>
    <w:p w14:paraId="7E479594" w14:textId="77777777" w:rsidR="007968EC" w:rsidRPr="002C0D19" w:rsidRDefault="007968EC" w:rsidP="007968EC">
      <w:pPr>
        <w:ind w:left="1065"/>
        <w:jc w:val="both"/>
        <w:rPr>
          <w:rFonts w:ascii="Arial Narrow" w:eastAsia="Calibri" w:hAnsi="Arial Narrow"/>
          <w:b/>
          <w:color w:val="000000" w:themeColor="text1"/>
        </w:rPr>
      </w:pPr>
    </w:p>
    <w:tbl>
      <w:tblPr>
        <w:tblW w:w="934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71"/>
        <w:gridCol w:w="6070"/>
      </w:tblGrid>
      <w:tr w:rsidR="007968EC" w:rsidRPr="002C0D19" w14:paraId="607CEE2E" w14:textId="77777777" w:rsidTr="007968EC">
        <w:trPr>
          <w:trHeight w:val="384"/>
          <w:tblCellSpacing w:w="0" w:type="dxa"/>
        </w:trPr>
        <w:tc>
          <w:tcPr>
            <w:tcW w:w="3271" w:type="dxa"/>
            <w:shd w:val="clear" w:color="auto" w:fill="C0C0C0"/>
            <w:vAlign w:val="center"/>
          </w:tcPr>
          <w:p w14:paraId="1B425138" w14:textId="77777777" w:rsidR="007968EC" w:rsidRPr="002C0D19" w:rsidRDefault="007968EC" w:rsidP="007968EC">
            <w:pPr>
              <w:rPr>
                <w:rFonts w:ascii="Arial Narrow" w:eastAsia="Calibri" w:hAnsi="Arial Narrow"/>
                <w:b/>
                <w:color w:val="000000" w:themeColor="text1"/>
              </w:rPr>
            </w:pPr>
            <w:r w:rsidRPr="002C0D19">
              <w:rPr>
                <w:rFonts w:ascii="Arial Narrow" w:eastAsia="Calibri" w:hAnsi="Arial Narrow"/>
                <w:color w:val="000000" w:themeColor="text1"/>
              </w:rPr>
              <w:t>Instrumento</w:t>
            </w:r>
          </w:p>
        </w:tc>
        <w:tc>
          <w:tcPr>
            <w:tcW w:w="6070" w:type="dxa"/>
            <w:shd w:val="clear" w:color="auto" w:fill="auto"/>
            <w:vAlign w:val="center"/>
          </w:tcPr>
          <w:p w14:paraId="5A328DF6" w14:textId="77777777" w:rsidR="007968EC" w:rsidRPr="002C0D19" w:rsidRDefault="007968EC" w:rsidP="007968EC">
            <w:pPr>
              <w:autoSpaceDE w:val="0"/>
              <w:autoSpaceDN w:val="0"/>
              <w:adjustRightInd w:val="0"/>
              <w:ind w:left="136"/>
              <w:rPr>
                <w:rFonts w:ascii="Arial Narrow" w:eastAsia="Calibri" w:hAnsi="Arial Narrow"/>
                <w:b/>
                <w:color w:val="000000" w:themeColor="text1"/>
              </w:rPr>
            </w:pPr>
            <w:r w:rsidRPr="002C0D19">
              <w:rPr>
                <w:rFonts w:ascii="Arial Narrow" w:eastAsia="Calibri" w:hAnsi="Arial Narrow"/>
                <w:color w:val="000000" w:themeColor="text1"/>
              </w:rPr>
              <w:t>Futuro TES a Mediano Plazo.</w:t>
            </w:r>
          </w:p>
        </w:tc>
      </w:tr>
      <w:tr w:rsidR="007968EC" w:rsidRPr="002C0D19" w14:paraId="72E9DF28" w14:textId="77777777" w:rsidTr="007968EC">
        <w:trPr>
          <w:trHeight w:val="652"/>
          <w:tblCellSpacing w:w="0" w:type="dxa"/>
        </w:trPr>
        <w:tc>
          <w:tcPr>
            <w:tcW w:w="3271" w:type="dxa"/>
            <w:shd w:val="clear" w:color="auto" w:fill="C0C0C0"/>
            <w:vAlign w:val="center"/>
          </w:tcPr>
          <w:p w14:paraId="33CA566B" w14:textId="77777777" w:rsidR="007968EC" w:rsidRPr="002C0D19" w:rsidRDefault="007968EC" w:rsidP="007968EC">
            <w:pPr>
              <w:rPr>
                <w:rFonts w:ascii="Arial Narrow" w:eastAsia="Calibri" w:hAnsi="Arial Narrow"/>
                <w:b/>
                <w:color w:val="000000" w:themeColor="text1"/>
              </w:rPr>
            </w:pPr>
            <w:r w:rsidRPr="002C0D19">
              <w:rPr>
                <w:rFonts w:ascii="Arial Narrow" w:eastAsia="Calibri" w:hAnsi="Arial Narrow"/>
                <w:color w:val="000000" w:themeColor="text1"/>
              </w:rPr>
              <w:t>Activo Subyacente</w:t>
            </w:r>
          </w:p>
        </w:tc>
        <w:tc>
          <w:tcPr>
            <w:tcW w:w="6070" w:type="dxa"/>
            <w:shd w:val="clear" w:color="auto" w:fill="auto"/>
            <w:vAlign w:val="center"/>
          </w:tcPr>
          <w:p w14:paraId="74621C70" w14:textId="77777777" w:rsidR="007968EC" w:rsidRPr="002C0D19" w:rsidRDefault="007968EC" w:rsidP="007968EC">
            <w:pPr>
              <w:autoSpaceDE w:val="0"/>
              <w:autoSpaceDN w:val="0"/>
              <w:adjustRightInd w:val="0"/>
              <w:ind w:left="136"/>
              <w:jc w:val="both"/>
              <w:rPr>
                <w:rFonts w:ascii="Arial Narrow" w:eastAsia="Calibri" w:hAnsi="Arial Narrow"/>
                <w:b/>
                <w:color w:val="000000" w:themeColor="text1"/>
              </w:rPr>
            </w:pPr>
            <w:r w:rsidRPr="002C0D19">
              <w:rPr>
                <w:rFonts w:ascii="Arial Narrow" w:eastAsia="Calibri" w:hAnsi="Arial Narrow"/>
                <w:color w:val="000000" w:themeColor="text1"/>
              </w:rPr>
              <w:t>Bono Nocional de tasa fija de acuerdo a las especificaciones publicadas por BVC</w:t>
            </w:r>
          </w:p>
        </w:tc>
      </w:tr>
      <w:tr w:rsidR="007968EC" w:rsidRPr="002C0D19" w14:paraId="15D39304" w14:textId="77777777" w:rsidTr="007968EC">
        <w:trPr>
          <w:trHeight w:val="384"/>
          <w:tblCellSpacing w:w="0" w:type="dxa"/>
        </w:trPr>
        <w:tc>
          <w:tcPr>
            <w:tcW w:w="3271" w:type="dxa"/>
            <w:shd w:val="clear" w:color="auto" w:fill="C0C0C0"/>
            <w:vAlign w:val="center"/>
          </w:tcPr>
          <w:p w14:paraId="11230615" w14:textId="77777777" w:rsidR="007968EC" w:rsidRPr="002C0D19" w:rsidRDefault="007968EC" w:rsidP="007968EC">
            <w:pPr>
              <w:rPr>
                <w:rFonts w:ascii="Arial Narrow" w:eastAsia="Calibri" w:hAnsi="Arial Narrow"/>
                <w:b/>
                <w:color w:val="000000" w:themeColor="text1"/>
              </w:rPr>
            </w:pPr>
            <w:r w:rsidRPr="002C0D19">
              <w:rPr>
                <w:rFonts w:ascii="Arial Narrow" w:eastAsia="Calibri" w:hAnsi="Arial Narrow"/>
                <w:color w:val="000000" w:themeColor="text1"/>
              </w:rPr>
              <w:t>Canasta de entregables</w:t>
            </w:r>
          </w:p>
        </w:tc>
        <w:tc>
          <w:tcPr>
            <w:tcW w:w="6070" w:type="dxa"/>
            <w:shd w:val="clear" w:color="auto" w:fill="auto"/>
            <w:vAlign w:val="center"/>
          </w:tcPr>
          <w:p w14:paraId="07AD138C" w14:textId="77777777" w:rsidR="007968EC" w:rsidRPr="002C0D19" w:rsidRDefault="007968EC" w:rsidP="007968EC">
            <w:pPr>
              <w:autoSpaceDE w:val="0"/>
              <w:autoSpaceDN w:val="0"/>
              <w:adjustRightInd w:val="0"/>
              <w:ind w:left="136"/>
              <w:jc w:val="both"/>
              <w:rPr>
                <w:rFonts w:ascii="Arial Narrow" w:eastAsia="Calibri" w:hAnsi="Arial Narrow"/>
                <w:b/>
                <w:color w:val="000000" w:themeColor="text1"/>
              </w:rPr>
            </w:pPr>
            <w:r w:rsidRPr="002C0D19">
              <w:rPr>
                <w:rFonts w:ascii="Arial Narrow" w:eastAsia="Calibri" w:hAnsi="Arial Narrow"/>
                <w:color w:val="000000" w:themeColor="text1"/>
              </w:rPr>
              <w:t xml:space="preserve">Conjunto de bonos TES B tasa fija en pesos según lo establecido por la BVC </w:t>
            </w:r>
          </w:p>
        </w:tc>
      </w:tr>
      <w:tr w:rsidR="007968EC" w:rsidRPr="002C0D19" w14:paraId="479EA025" w14:textId="77777777" w:rsidTr="007968EC">
        <w:trPr>
          <w:trHeight w:val="384"/>
          <w:tblCellSpacing w:w="0" w:type="dxa"/>
        </w:trPr>
        <w:tc>
          <w:tcPr>
            <w:tcW w:w="3271" w:type="dxa"/>
            <w:shd w:val="clear" w:color="auto" w:fill="C0C0C0"/>
            <w:vAlign w:val="center"/>
          </w:tcPr>
          <w:p w14:paraId="70BBB9EC" w14:textId="77777777" w:rsidR="007968EC" w:rsidRPr="002C0D19" w:rsidRDefault="007968EC" w:rsidP="007968EC">
            <w:pPr>
              <w:rPr>
                <w:rFonts w:ascii="Arial Narrow" w:eastAsia="Calibri" w:hAnsi="Arial Narrow"/>
                <w:b/>
                <w:color w:val="000000" w:themeColor="text1"/>
              </w:rPr>
            </w:pPr>
            <w:r w:rsidRPr="002C0D19">
              <w:rPr>
                <w:rFonts w:ascii="Arial Narrow" w:eastAsia="Calibri" w:hAnsi="Arial Narrow"/>
                <w:color w:val="000000" w:themeColor="text1"/>
              </w:rPr>
              <w:t>Tamaño del Contrato</w:t>
            </w:r>
          </w:p>
        </w:tc>
        <w:tc>
          <w:tcPr>
            <w:tcW w:w="6070" w:type="dxa"/>
            <w:shd w:val="clear" w:color="auto" w:fill="auto"/>
            <w:vAlign w:val="center"/>
          </w:tcPr>
          <w:p w14:paraId="6CD878C9" w14:textId="77777777" w:rsidR="007968EC" w:rsidRPr="002C0D19" w:rsidRDefault="007968EC" w:rsidP="007968EC">
            <w:pPr>
              <w:autoSpaceDE w:val="0"/>
              <w:autoSpaceDN w:val="0"/>
              <w:adjustRightInd w:val="0"/>
              <w:ind w:left="136"/>
              <w:rPr>
                <w:rFonts w:ascii="Arial Narrow" w:eastAsia="Calibri" w:hAnsi="Arial Narrow"/>
                <w:b/>
                <w:color w:val="000000" w:themeColor="text1"/>
              </w:rPr>
            </w:pPr>
            <w:r w:rsidRPr="002C0D19">
              <w:rPr>
                <w:rFonts w:ascii="Arial Narrow" w:eastAsia="Calibri" w:hAnsi="Arial Narrow"/>
                <w:color w:val="000000" w:themeColor="text1"/>
              </w:rPr>
              <w:t>COP 250,000,000.</w:t>
            </w:r>
          </w:p>
        </w:tc>
      </w:tr>
      <w:tr w:rsidR="007968EC" w:rsidRPr="002C0D19" w14:paraId="61DC4326" w14:textId="77777777" w:rsidTr="007968EC">
        <w:trPr>
          <w:trHeight w:val="384"/>
          <w:tblCellSpacing w:w="0" w:type="dxa"/>
        </w:trPr>
        <w:tc>
          <w:tcPr>
            <w:tcW w:w="3271" w:type="dxa"/>
            <w:shd w:val="clear" w:color="auto" w:fill="C0C0C0"/>
            <w:vAlign w:val="center"/>
          </w:tcPr>
          <w:p w14:paraId="2B727F4A" w14:textId="77777777" w:rsidR="007968EC" w:rsidRPr="002C0D19" w:rsidRDefault="007968EC" w:rsidP="007968EC">
            <w:pPr>
              <w:rPr>
                <w:rFonts w:ascii="Arial Narrow" w:eastAsia="Calibri" w:hAnsi="Arial Narrow"/>
                <w:b/>
                <w:color w:val="000000" w:themeColor="text1"/>
              </w:rPr>
            </w:pPr>
            <w:r w:rsidRPr="002C0D19">
              <w:rPr>
                <w:rFonts w:ascii="Arial Narrow" w:eastAsia="Calibri" w:hAnsi="Arial Narrow"/>
                <w:color w:val="000000" w:themeColor="text1"/>
              </w:rPr>
              <w:t xml:space="preserve">Vencimientos </w:t>
            </w:r>
          </w:p>
        </w:tc>
        <w:tc>
          <w:tcPr>
            <w:tcW w:w="6070" w:type="dxa"/>
            <w:shd w:val="clear" w:color="auto" w:fill="auto"/>
            <w:vAlign w:val="center"/>
          </w:tcPr>
          <w:p w14:paraId="6289F72C" w14:textId="77777777" w:rsidR="007968EC" w:rsidRPr="002C0D19" w:rsidRDefault="007968EC" w:rsidP="007968EC">
            <w:pPr>
              <w:autoSpaceDE w:val="0"/>
              <w:autoSpaceDN w:val="0"/>
              <w:adjustRightInd w:val="0"/>
              <w:ind w:left="136"/>
              <w:jc w:val="both"/>
              <w:rPr>
                <w:rFonts w:ascii="Arial Narrow" w:eastAsia="Calibri" w:hAnsi="Arial Narrow"/>
                <w:b/>
                <w:color w:val="000000" w:themeColor="text1"/>
              </w:rPr>
            </w:pPr>
            <w:r w:rsidRPr="002C0D19">
              <w:rPr>
                <w:rFonts w:ascii="Arial Narrow" w:eastAsia="Calibri" w:hAnsi="Arial Narrow"/>
                <w:color w:val="000000" w:themeColor="text1"/>
              </w:rPr>
              <w:t>Los vencimientos del Futuro de TES Mediano plazo son mensuales y trimestrales dentro del ciclo de marzo (marzo, junio, septiembre y diciembre de cada año). En el Sistema de Cámara estarán disponibles para su compensación y liquidación los cuatro (4) Contratos listados por la BVC con vencimientos más cercanos, así: los tres (3) contratos con vencimientos mensuales más cercanos y trimestrales dentro de este ciclo hasta seis (6) meses.</w:t>
            </w:r>
          </w:p>
        </w:tc>
      </w:tr>
      <w:tr w:rsidR="007968EC" w:rsidRPr="002C0D19" w14:paraId="6F3D5025" w14:textId="77777777" w:rsidTr="007968EC">
        <w:trPr>
          <w:trHeight w:val="384"/>
          <w:tblCellSpacing w:w="0" w:type="dxa"/>
        </w:trPr>
        <w:tc>
          <w:tcPr>
            <w:tcW w:w="3271" w:type="dxa"/>
            <w:shd w:val="clear" w:color="auto" w:fill="C0C0C0"/>
            <w:vAlign w:val="center"/>
          </w:tcPr>
          <w:p w14:paraId="5A0905C9" w14:textId="77777777" w:rsidR="007968EC" w:rsidRPr="002C0D19" w:rsidRDefault="007968EC" w:rsidP="007968EC">
            <w:pPr>
              <w:rPr>
                <w:rFonts w:ascii="Arial Narrow" w:eastAsia="Calibri" w:hAnsi="Arial Narrow"/>
                <w:b/>
                <w:color w:val="000000" w:themeColor="text1"/>
              </w:rPr>
            </w:pPr>
            <w:r w:rsidRPr="002C0D19">
              <w:rPr>
                <w:rFonts w:ascii="Arial Narrow" w:eastAsia="Calibri" w:hAnsi="Arial Narrow"/>
                <w:color w:val="000000" w:themeColor="text1"/>
              </w:rPr>
              <w:t xml:space="preserve">Método de Liquidación </w:t>
            </w:r>
          </w:p>
        </w:tc>
        <w:tc>
          <w:tcPr>
            <w:tcW w:w="6070" w:type="dxa"/>
            <w:shd w:val="clear" w:color="auto" w:fill="auto"/>
            <w:vAlign w:val="center"/>
          </w:tcPr>
          <w:p w14:paraId="272FC8F6" w14:textId="77777777" w:rsidR="007968EC" w:rsidRPr="002C0D19" w:rsidRDefault="007968EC" w:rsidP="007968EC">
            <w:pPr>
              <w:autoSpaceDE w:val="0"/>
              <w:autoSpaceDN w:val="0"/>
              <w:adjustRightInd w:val="0"/>
              <w:ind w:left="136"/>
              <w:rPr>
                <w:rFonts w:ascii="Arial Narrow" w:eastAsia="Calibri" w:hAnsi="Arial Narrow"/>
                <w:b/>
                <w:color w:val="000000" w:themeColor="text1"/>
              </w:rPr>
            </w:pPr>
            <w:r w:rsidRPr="002C0D19">
              <w:rPr>
                <w:rFonts w:ascii="Arial Narrow" w:eastAsia="Calibri" w:hAnsi="Arial Narrow"/>
                <w:color w:val="000000" w:themeColor="text1"/>
              </w:rPr>
              <w:t>Entrega Física.</w:t>
            </w:r>
            <w:r w:rsidRPr="002C0D19" w:rsidDel="00327454">
              <w:rPr>
                <w:rFonts w:ascii="Arial Narrow" w:eastAsia="Calibri" w:hAnsi="Arial Narrow"/>
                <w:color w:val="000000" w:themeColor="text1"/>
              </w:rPr>
              <w:t xml:space="preserve"> </w:t>
            </w:r>
          </w:p>
        </w:tc>
      </w:tr>
      <w:tr w:rsidR="007968EC" w:rsidRPr="002C0D19" w14:paraId="528866C0" w14:textId="77777777" w:rsidTr="007968EC">
        <w:trPr>
          <w:trHeight w:val="384"/>
          <w:tblCellSpacing w:w="0" w:type="dxa"/>
        </w:trPr>
        <w:tc>
          <w:tcPr>
            <w:tcW w:w="3271" w:type="dxa"/>
            <w:shd w:val="clear" w:color="auto" w:fill="C0C0C0"/>
            <w:vAlign w:val="center"/>
          </w:tcPr>
          <w:p w14:paraId="1E387FEC" w14:textId="77777777" w:rsidR="007968EC" w:rsidRPr="002C0D19" w:rsidRDefault="007968EC" w:rsidP="007968EC">
            <w:pPr>
              <w:rPr>
                <w:rFonts w:ascii="Arial Narrow" w:eastAsia="Calibri" w:hAnsi="Arial Narrow"/>
                <w:b/>
                <w:color w:val="000000" w:themeColor="text1"/>
              </w:rPr>
            </w:pPr>
            <w:r w:rsidRPr="002C0D19">
              <w:rPr>
                <w:rFonts w:ascii="Arial Narrow" w:eastAsia="Calibri" w:hAnsi="Arial Narrow"/>
                <w:color w:val="000000" w:themeColor="text1"/>
              </w:rPr>
              <w:lastRenderedPageBreak/>
              <w:t>Tipo de Liquidación</w:t>
            </w:r>
          </w:p>
        </w:tc>
        <w:tc>
          <w:tcPr>
            <w:tcW w:w="6070" w:type="dxa"/>
            <w:shd w:val="clear" w:color="auto" w:fill="auto"/>
            <w:vAlign w:val="center"/>
          </w:tcPr>
          <w:p w14:paraId="78904A89" w14:textId="77777777" w:rsidR="007968EC" w:rsidRPr="002C0D19" w:rsidRDefault="007968EC" w:rsidP="007968EC">
            <w:pPr>
              <w:autoSpaceDE w:val="0"/>
              <w:autoSpaceDN w:val="0"/>
              <w:adjustRightInd w:val="0"/>
              <w:ind w:left="136"/>
              <w:rPr>
                <w:rFonts w:ascii="Arial Narrow" w:eastAsia="Calibri" w:hAnsi="Arial Narrow"/>
                <w:b/>
                <w:color w:val="000000" w:themeColor="text1"/>
              </w:rPr>
            </w:pPr>
            <w:r w:rsidRPr="002C0D19">
              <w:rPr>
                <w:rFonts w:ascii="Arial Narrow" w:eastAsia="Calibri" w:hAnsi="Arial Narrow"/>
                <w:color w:val="000000" w:themeColor="text1"/>
              </w:rPr>
              <w:t>Liquidación Diaria y al Vencimiento.</w:t>
            </w:r>
          </w:p>
        </w:tc>
      </w:tr>
      <w:tr w:rsidR="007968EC" w:rsidRPr="002C0D19" w14:paraId="7C0B5CBE" w14:textId="77777777" w:rsidTr="007968EC">
        <w:trPr>
          <w:trHeight w:val="384"/>
          <w:tblCellSpacing w:w="0" w:type="dxa"/>
        </w:trPr>
        <w:tc>
          <w:tcPr>
            <w:tcW w:w="3271" w:type="dxa"/>
            <w:shd w:val="clear" w:color="auto" w:fill="C0C0C0"/>
            <w:vAlign w:val="center"/>
          </w:tcPr>
          <w:p w14:paraId="55DAACB0" w14:textId="77777777" w:rsidR="007968EC" w:rsidRPr="002C0D19" w:rsidRDefault="007968EC" w:rsidP="007968EC">
            <w:pPr>
              <w:rPr>
                <w:rFonts w:ascii="Arial Narrow" w:eastAsia="Calibri" w:hAnsi="Arial Narrow"/>
                <w:b/>
                <w:color w:val="000000" w:themeColor="text1"/>
              </w:rPr>
            </w:pPr>
            <w:r w:rsidRPr="002C0D19">
              <w:rPr>
                <w:rFonts w:ascii="Arial Narrow" w:eastAsia="Calibri" w:hAnsi="Arial Narrow"/>
                <w:color w:val="000000" w:themeColor="text1"/>
              </w:rPr>
              <w:t>Último día de Negociación</w:t>
            </w:r>
          </w:p>
        </w:tc>
        <w:tc>
          <w:tcPr>
            <w:tcW w:w="6070" w:type="dxa"/>
            <w:shd w:val="clear" w:color="auto" w:fill="auto"/>
            <w:vAlign w:val="center"/>
          </w:tcPr>
          <w:p w14:paraId="411FCD14" w14:textId="77777777" w:rsidR="007968EC" w:rsidRPr="002C0D19" w:rsidRDefault="007968EC" w:rsidP="007968EC">
            <w:pPr>
              <w:autoSpaceDE w:val="0"/>
              <w:autoSpaceDN w:val="0"/>
              <w:ind w:left="136"/>
              <w:jc w:val="both"/>
              <w:rPr>
                <w:rFonts w:ascii="Arial Narrow" w:eastAsia="Calibri" w:hAnsi="Arial Narrow"/>
                <w:b/>
                <w:bCs/>
                <w:color w:val="000000" w:themeColor="text1"/>
              </w:rPr>
            </w:pPr>
            <w:r w:rsidRPr="002C0D19">
              <w:rPr>
                <w:rFonts w:ascii="Arial Narrow" w:eastAsia="Calibri" w:hAnsi="Arial Narrow"/>
                <w:bCs/>
                <w:color w:val="000000" w:themeColor="text1"/>
              </w:rPr>
              <w:t>Día hábil anterior al vencimiento del contrato.</w:t>
            </w:r>
          </w:p>
        </w:tc>
      </w:tr>
      <w:tr w:rsidR="007968EC" w:rsidRPr="002C0D19" w14:paraId="5F206AEB" w14:textId="77777777" w:rsidTr="007968EC">
        <w:trPr>
          <w:trHeight w:val="384"/>
          <w:tblCellSpacing w:w="0" w:type="dxa"/>
        </w:trPr>
        <w:tc>
          <w:tcPr>
            <w:tcW w:w="3271" w:type="dxa"/>
            <w:shd w:val="clear" w:color="auto" w:fill="C0C0C0"/>
            <w:vAlign w:val="center"/>
          </w:tcPr>
          <w:p w14:paraId="5AF1D51D" w14:textId="77777777" w:rsidR="007968EC" w:rsidRPr="002C0D19" w:rsidRDefault="007968EC" w:rsidP="007968EC">
            <w:pPr>
              <w:rPr>
                <w:rFonts w:ascii="Arial Narrow" w:eastAsia="Calibri" w:hAnsi="Arial Narrow"/>
                <w:b/>
                <w:color w:val="000000" w:themeColor="text1"/>
              </w:rPr>
            </w:pPr>
            <w:r w:rsidRPr="002C0D19">
              <w:rPr>
                <w:rFonts w:ascii="Arial Narrow" w:eastAsia="Calibri" w:hAnsi="Arial Narrow"/>
                <w:color w:val="000000" w:themeColor="text1"/>
              </w:rPr>
              <w:t>Día de Vencimiento</w:t>
            </w:r>
          </w:p>
        </w:tc>
        <w:tc>
          <w:tcPr>
            <w:tcW w:w="6070" w:type="dxa"/>
            <w:shd w:val="clear" w:color="auto" w:fill="auto"/>
          </w:tcPr>
          <w:p w14:paraId="0A89AF8D" w14:textId="77777777" w:rsidR="007968EC" w:rsidRPr="002C0D19" w:rsidRDefault="007968EC" w:rsidP="007968EC">
            <w:pPr>
              <w:autoSpaceDE w:val="0"/>
              <w:autoSpaceDN w:val="0"/>
              <w:ind w:left="136"/>
              <w:jc w:val="both"/>
              <w:rPr>
                <w:rFonts w:ascii="Arial Narrow" w:eastAsia="Calibri" w:hAnsi="Arial Narrow"/>
                <w:b/>
                <w:bCs/>
                <w:color w:val="000000" w:themeColor="text1"/>
              </w:rPr>
            </w:pPr>
            <w:r w:rsidRPr="002C0D19">
              <w:rPr>
                <w:rFonts w:ascii="Arial Narrow" w:eastAsia="Calibri" w:hAnsi="Arial Narrow"/>
                <w:bCs/>
                <w:color w:val="000000" w:themeColor="text1"/>
              </w:rPr>
              <w:t>Primer viernes del mes de vencimiento del contrato. Cuando el primer viernes del mes de vencimiento corresponda a un día no hábil, el día del vencimiento corresponderá al día hábil siguiente.</w:t>
            </w:r>
          </w:p>
        </w:tc>
      </w:tr>
      <w:tr w:rsidR="007968EC" w:rsidRPr="002C0D19" w14:paraId="6D2D92D0" w14:textId="77777777" w:rsidTr="007968EC">
        <w:trPr>
          <w:trHeight w:val="384"/>
          <w:tblCellSpacing w:w="0" w:type="dxa"/>
        </w:trPr>
        <w:tc>
          <w:tcPr>
            <w:tcW w:w="3271" w:type="dxa"/>
            <w:shd w:val="clear" w:color="auto" w:fill="C0C0C0"/>
            <w:vAlign w:val="center"/>
          </w:tcPr>
          <w:p w14:paraId="79B2AA23" w14:textId="77777777" w:rsidR="007968EC" w:rsidRPr="002C0D19" w:rsidRDefault="007968EC" w:rsidP="007968EC">
            <w:pPr>
              <w:rPr>
                <w:rFonts w:ascii="Arial Narrow" w:eastAsia="Calibri" w:hAnsi="Arial Narrow"/>
                <w:b/>
                <w:color w:val="000000" w:themeColor="text1"/>
              </w:rPr>
            </w:pPr>
            <w:r w:rsidRPr="002C0D19">
              <w:rPr>
                <w:rFonts w:ascii="Arial Narrow" w:eastAsia="Calibri" w:hAnsi="Arial Narrow"/>
                <w:color w:val="000000" w:themeColor="text1"/>
              </w:rPr>
              <w:t>Inscripción</w:t>
            </w:r>
          </w:p>
        </w:tc>
        <w:tc>
          <w:tcPr>
            <w:tcW w:w="6070" w:type="dxa"/>
            <w:shd w:val="clear" w:color="auto" w:fill="auto"/>
            <w:vAlign w:val="center"/>
          </w:tcPr>
          <w:p w14:paraId="5635E8B7" w14:textId="77777777" w:rsidR="007968EC" w:rsidRPr="002C0D19" w:rsidRDefault="007968EC" w:rsidP="007968EC">
            <w:pPr>
              <w:autoSpaceDE w:val="0"/>
              <w:autoSpaceDN w:val="0"/>
              <w:adjustRightInd w:val="0"/>
              <w:ind w:left="136"/>
              <w:rPr>
                <w:rFonts w:ascii="Arial Narrow" w:eastAsia="Calibri" w:hAnsi="Arial Narrow"/>
                <w:b/>
                <w:color w:val="000000" w:themeColor="text1"/>
              </w:rPr>
            </w:pPr>
            <w:r w:rsidRPr="002C0D19">
              <w:rPr>
                <w:rFonts w:ascii="Arial Narrow" w:eastAsia="Calibri" w:hAnsi="Arial Narrow"/>
                <w:color w:val="000000" w:themeColor="text1"/>
              </w:rPr>
              <w:t>Bolsa de Valores de Colombia – BVC.</w:t>
            </w:r>
          </w:p>
        </w:tc>
      </w:tr>
    </w:tbl>
    <w:p w14:paraId="086629B5" w14:textId="77777777" w:rsidR="007968EC" w:rsidRPr="00397BCE" w:rsidRDefault="007968EC" w:rsidP="007968EC">
      <w:pPr>
        <w:jc w:val="both"/>
        <w:rPr>
          <w:rFonts w:ascii="Arial Narrow" w:eastAsia="Calibri" w:hAnsi="Arial Narrow"/>
          <w:bCs/>
          <w:color w:val="000000" w:themeColor="text1"/>
        </w:rPr>
      </w:pPr>
    </w:p>
    <w:p w14:paraId="525AA6D8" w14:textId="77777777" w:rsidR="007968EC" w:rsidRPr="00397BCE" w:rsidRDefault="007968EC" w:rsidP="007968EC">
      <w:pPr>
        <w:jc w:val="both"/>
        <w:rPr>
          <w:rFonts w:ascii="Arial Narrow" w:eastAsia="Calibri" w:hAnsi="Arial Narrow"/>
          <w:bCs/>
          <w:color w:val="000000" w:themeColor="text1"/>
        </w:rPr>
      </w:pPr>
      <w:bookmarkStart w:id="5134" w:name="_Toc470781155"/>
      <w:bookmarkStart w:id="5135" w:name="_Toc470784716"/>
      <w:bookmarkStart w:id="5136" w:name="_Toc470785253"/>
      <w:bookmarkStart w:id="5137" w:name="_Toc470791647"/>
      <w:bookmarkStart w:id="5138" w:name="_Toc471831856"/>
      <w:bookmarkStart w:id="5139" w:name="_Toc490066555"/>
      <w:bookmarkStart w:id="5140" w:name="_Toc490079333"/>
      <w:r w:rsidRPr="00397BCE">
        <w:rPr>
          <w:rFonts w:ascii="Arial Narrow" w:eastAsia="Calibri" w:hAnsi="Arial Narrow"/>
          <w:bCs/>
          <w:color w:val="000000" w:themeColor="text1"/>
        </w:rPr>
        <w:t>A este Instrumento Futuro TES Mediano Plazo le aplican las condiciones previstas en los numerales del 2 al 4 del artículo 2.7.2.1. de la Circular Única de la Cámara.</w:t>
      </w:r>
      <w:bookmarkEnd w:id="5134"/>
      <w:bookmarkEnd w:id="5135"/>
      <w:bookmarkEnd w:id="5136"/>
      <w:bookmarkEnd w:id="5137"/>
      <w:bookmarkEnd w:id="5138"/>
      <w:bookmarkEnd w:id="5139"/>
      <w:bookmarkEnd w:id="5140"/>
    </w:p>
    <w:p w14:paraId="7ABF9F1B" w14:textId="77777777" w:rsidR="007968EC" w:rsidRPr="00397BCE" w:rsidRDefault="007968EC" w:rsidP="007968EC">
      <w:pPr>
        <w:jc w:val="both"/>
        <w:rPr>
          <w:rFonts w:ascii="Arial Narrow" w:eastAsia="Calibri" w:hAnsi="Arial Narrow"/>
          <w:bCs/>
          <w:color w:val="000000" w:themeColor="text1"/>
        </w:rPr>
      </w:pPr>
    </w:p>
    <w:p w14:paraId="2447CB91" w14:textId="77777777" w:rsidR="007968EC" w:rsidRPr="002C0D19" w:rsidRDefault="007968EC" w:rsidP="007968EC">
      <w:pPr>
        <w:pStyle w:val="ARTICULO0"/>
        <w:rPr>
          <w:bCs/>
        </w:rPr>
      </w:pPr>
      <w:bookmarkStart w:id="5141" w:name="_Toc470781156"/>
      <w:bookmarkStart w:id="5142" w:name="_Toc470784717"/>
      <w:bookmarkStart w:id="5143" w:name="_Toc470785254"/>
      <w:bookmarkStart w:id="5144" w:name="_Toc470791648"/>
      <w:bookmarkStart w:id="5145" w:name="_Toc472592391"/>
      <w:bookmarkStart w:id="5146" w:name="_Toc472593410"/>
      <w:bookmarkStart w:id="5147" w:name="_Toc479057199"/>
      <w:bookmarkStart w:id="5148" w:name="_Toc490066556"/>
      <w:bookmarkStart w:id="5149" w:name="_Toc31716217"/>
      <w:r w:rsidRPr="002C0D19">
        <w:t>Artículo 2.7.2.3. Futuro TES Largo Plazo</w:t>
      </w:r>
      <w:r w:rsidRPr="002C0D19">
        <w:rPr>
          <w:bCs/>
        </w:rPr>
        <w:t>.</w:t>
      </w:r>
      <w:bookmarkEnd w:id="5141"/>
      <w:bookmarkEnd w:id="5142"/>
      <w:bookmarkEnd w:id="5143"/>
      <w:bookmarkEnd w:id="5144"/>
      <w:bookmarkEnd w:id="5145"/>
      <w:bookmarkEnd w:id="5146"/>
      <w:bookmarkEnd w:id="5147"/>
      <w:bookmarkEnd w:id="5148"/>
      <w:bookmarkEnd w:id="5149"/>
      <w:r w:rsidRPr="002C0D19">
        <w:rPr>
          <w:bCs/>
        </w:rPr>
        <w:t xml:space="preserve"> </w:t>
      </w:r>
    </w:p>
    <w:p w14:paraId="71593DC8" w14:textId="77777777" w:rsidR="007968EC" w:rsidRPr="00397BCE" w:rsidRDefault="007968EC" w:rsidP="007968EC">
      <w:pPr>
        <w:jc w:val="both"/>
        <w:rPr>
          <w:rFonts w:ascii="Arial Narrow" w:eastAsia="Calibri" w:hAnsi="Arial Narrow"/>
          <w:bCs/>
          <w:color w:val="000000" w:themeColor="text1"/>
        </w:rPr>
      </w:pPr>
    </w:p>
    <w:p w14:paraId="07A42622" w14:textId="77777777" w:rsidR="007968EC" w:rsidRPr="002C0D19" w:rsidRDefault="007968EC" w:rsidP="007968EC">
      <w:pPr>
        <w:autoSpaceDE w:val="0"/>
        <w:autoSpaceDN w:val="0"/>
        <w:jc w:val="both"/>
        <w:rPr>
          <w:rFonts w:ascii="Arial Narrow" w:eastAsia="Calibri" w:hAnsi="Arial Narrow"/>
          <w:bCs/>
          <w:color w:val="000000" w:themeColor="text1"/>
        </w:rPr>
      </w:pPr>
      <w:r w:rsidRPr="002C0D19">
        <w:rPr>
          <w:rFonts w:ascii="Arial Narrow" w:eastAsia="Calibri" w:hAnsi="Arial Narrow"/>
          <w:bCs/>
          <w:color w:val="000000" w:themeColor="text1"/>
        </w:rPr>
        <w:t>La Cámara se interpondrá como contraparte y realizará la Compensación y Liquidación del Instrumento Futuro TES Largo Plazo bajo las siguientes condiciones:</w:t>
      </w:r>
    </w:p>
    <w:p w14:paraId="3F579F39" w14:textId="77777777" w:rsidR="007968EC" w:rsidRPr="002C0D19" w:rsidRDefault="007968EC" w:rsidP="007968EC">
      <w:pPr>
        <w:autoSpaceDE w:val="0"/>
        <w:autoSpaceDN w:val="0"/>
        <w:jc w:val="both"/>
        <w:rPr>
          <w:rFonts w:ascii="Arial Narrow" w:eastAsia="Calibri" w:hAnsi="Arial Narrow"/>
          <w:b/>
          <w:bCs/>
          <w:color w:val="000000" w:themeColor="text1"/>
        </w:rPr>
      </w:pPr>
    </w:p>
    <w:p w14:paraId="1F842261" w14:textId="77777777" w:rsidR="007968EC" w:rsidRPr="002C0D19" w:rsidRDefault="007968EC" w:rsidP="00DA7472">
      <w:pPr>
        <w:numPr>
          <w:ilvl w:val="0"/>
          <w:numId w:val="53"/>
        </w:numPr>
        <w:autoSpaceDE w:val="0"/>
        <w:autoSpaceDN w:val="0"/>
        <w:jc w:val="both"/>
        <w:rPr>
          <w:rFonts w:ascii="Arial Narrow" w:eastAsia="Calibri" w:hAnsi="Arial Narrow"/>
          <w:b/>
          <w:bCs/>
          <w:color w:val="000000" w:themeColor="text1"/>
        </w:rPr>
      </w:pPr>
      <w:r w:rsidRPr="002C0D19">
        <w:rPr>
          <w:rFonts w:ascii="Arial Narrow" w:eastAsia="Calibri" w:hAnsi="Arial Narrow"/>
          <w:bCs/>
          <w:color w:val="000000" w:themeColor="text1"/>
        </w:rPr>
        <w:t>Generalidades:</w:t>
      </w:r>
    </w:p>
    <w:p w14:paraId="2B27A075" w14:textId="77777777" w:rsidR="007968EC" w:rsidRPr="002C0D19" w:rsidRDefault="007968EC" w:rsidP="007968EC">
      <w:pPr>
        <w:autoSpaceDE w:val="0"/>
        <w:autoSpaceDN w:val="0"/>
        <w:jc w:val="both"/>
        <w:rPr>
          <w:rFonts w:ascii="Arial Narrow" w:eastAsia="Calibri" w:hAnsi="Arial Narrow"/>
          <w:b/>
          <w:bCs/>
          <w:color w:val="000000" w:themeColor="text1"/>
        </w:rPr>
      </w:pPr>
    </w:p>
    <w:tbl>
      <w:tblPr>
        <w:tblW w:w="948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71"/>
        <w:gridCol w:w="6212"/>
      </w:tblGrid>
      <w:tr w:rsidR="007968EC" w:rsidRPr="002C0D19" w14:paraId="1547DF89" w14:textId="77777777" w:rsidTr="007968EC">
        <w:trPr>
          <w:trHeight w:val="384"/>
          <w:tblCellSpacing w:w="0" w:type="dxa"/>
        </w:trPr>
        <w:tc>
          <w:tcPr>
            <w:tcW w:w="3271" w:type="dxa"/>
            <w:shd w:val="clear" w:color="auto" w:fill="C0C0C0"/>
            <w:vAlign w:val="center"/>
          </w:tcPr>
          <w:p w14:paraId="2A436B57" w14:textId="77777777" w:rsidR="007968EC" w:rsidRPr="002C0D19" w:rsidRDefault="007968EC" w:rsidP="007968EC">
            <w:pPr>
              <w:rPr>
                <w:rFonts w:ascii="Arial Narrow" w:eastAsia="Calibri" w:hAnsi="Arial Narrow"/>
                <w:b/>
                <w:color w:val="000000" w:themeColor="text1"/>
              </w:rPr>
            </w:pPr>
            <w:r w:rsidRPr="002C0D19">
              <w:rPr>
                <w:rFonts w:ascii="Arial Narrow" w:eastAsia="Calibri" w:hAnsi="Arial Narrow"/>
                <w:color w:val="000000" w:themeColor="text1"/>
              </w:rPr>
              <w:t>Instrumento</w:t>
            </w:r>
          </w:p>
        </w:tc>
        <w:tc>
          <w:tcPr>
            <w:tcW w:w="6212" w:type="dxa"/>
            <w:shd w:val="clear" w:color="auto" w:fill="auto"/>
            <w:vAlign w:val="center"/>
          </w:tcPr>
          <w:p w14:paraId="7779C357" w14:textId="77777777" w:rsidR="007968EC" w:rsidRPr="002C0D19" w:rsidRDefault="007968EC" w:rsidP="007968EC">
            <w:pPr>
              <w:autoSpaceDE w:val="0"/>
              <w:autoSpaceDN w:val="0"/>
              <w:ind w:left="131"/>
              <w:jc w:val="both"/>
              <w:rPr>
                <w:rFonts w:ascii="Arial Narrow" w:eastAsia="Calibri" w:hAnsi="Arial Narrow"/>
                <w:b/>
                <w:bCs/>
                <w:color w:val="000000" w:themeColor="text1"/>
              </w:rPr>
            </w:pPr>
            <w:r w:rsidRPr="002C0D19">
              <w:rPr>
                <w:rFonts w:ascii="Arial Narrow" w:eastAsia="Calibri" w:hAnsi="Arial Narrow"/>
                <w:bCs/>
                <w:color w:val="000000" w:themeColor="text1"/>
              </w:rPr>
              <w:t>Futuro TES a Largo Plazo.</w:t>
            </w:r>
          </w:p>
        </w:tc>
      </w:tr>
      <w:tr w:rsidR="007968EC" w:rsidRPr="002C0D19" w14:paraId="0B4ED7FB" w14:textId="77777777" w:rsidTr="007968EC">
        <w:trPr>
          <w:trHeight w:val="1093"/>
          <w:tblCellSpacing w:w="0" w:type="dxa"/>
        </w:trPr>
        <w:tc>
          <w:tcPr>
            <w:tcW w:w="3271" w:type="dxa"/>
            <w:shd w:val="clear" w:color="auto" w:fill="C0C0C0"/>
            <w:vAlign w:val="center"/>
          </w:tcPr>
          <w:p w14:paraId="01575939" w14:textId="77777777" w:rsidR="007968EC" w:rsidRPr="002C0D19" w:rsidRDefault="007968EC" w:rsidP="007968EC">
            <w:pPr>
              <w:rPr>
                <w:rFonts w:ascii="Arial Narrow" w:eastAsia="Calibri" w:hAnsi="Arial Narrow"/>
                <w:b/>
                <w:color w:val="000000" w:themeColor="text1"/>
              </w:rPr>
            </w:pPr>
            <w:r w:rsidRPr="002C0D19">
              <w:rPr>
                <w:rFonts w:ascii="Arial Narrow" w:eastAsia="Calibri" w:hAnsi="Arial Narrow"/>
                <w:color w:val="000000" w:themeColor="text1"/>
              </w:rPr>
              <w:t>Activo Subyacente</w:t>
            </w:r>
          </w:p>
        </w:tc>
        <w:tc>
          <w:tcPr>
            <w:tcW w:w="6212" w:type="dxa"/>
            <w:shd w:val="clear" w:color="auto" w:fill="auto"/>
            <w:vAlign w:val="center"/>
          </w:tcPr>
          <w:p w14:paraId="0F069A01" w14:textId="77777777" w:rsidR="007968EC" w:rsidRPr="002C0D19" w:rsidRDefault="007968EC" w:rsidP="007968EC">
            <w:pPr>
              <w:autoSpaceDE w:val="0"/>
              <w:autoSpaceDN w:val="0"/>
              <w:ind w:left="131"/>
              <w:jc w:val="both"/>
              <w:rPr>
                <w:rFonts w:ascii="Arial Narrow" w:eastAsia="Calibri" w:hAnsi="Arial Narrow"/>
                <w:b/>
                <w:bCs/>
                <w:color w:val="000000" w:themeColor="text1"/>
              </w:rPr>
            </w:pPr>
            <w:r w:rsidRPr="002C0D19">
              <w:rPr>
                <w:rFonts w:ascii="Arial Narrow" w:eastAsia="Calibri" w:hAnsi="Arial Narrow"/>
                <w:bCs/>
                <w:color w:val="000000" w:themeColor="text1"/>
              </w:rPr>
              <w:t>Bono Nocional con vencimiento 10 años de tasa fija de acuerdo a las especificaciones publicadas por BVC</w:t>
            </w:r>
          </w:p>
        </w:tc>
      </w:tr>
      <w:tr w:rsidR="007968EC" w:rsidRPr="002C0D19" w14:paraId="69AF6DE6" w14:textId="77777777" w:rsidTr="007968EC">
        <w:trPr>
          <w:trHeight w:val="384"/>
          <w:tblCellSpacing w:w="0" w:type="dxa"/>
        </w:trPr>
        <w:tc>
          <w:tcPr>
            <w:tcW w:w="3271" w:type="dxa"/>
            <w:shd w:val="clear" w:color="auto" w:fill="C0C0C0"/>
            <w:vAlign w:val="center"/>
          </w:tcPr>
          <w:p w14:paraId="6AC07F53" w14:textId="77777777" w:rsidR="007968EC" w:rsidRPr="002C0D19" w:rsidRDefault="007968EC" w:rsidP="007968EC">
            <w:pPr>
              <w:rPr>
                <w:rFonts w:ascii="Arial Narrow" w:eastAsia="Calibri" w:hAnsi="Arial Narrow"/>
                <w:b/>
                <w:color w:val="000000" w:themeColor="text1"/>
              </w:rPr>
            </w:pPr>
            <w:r w:rsidRPr="002C0D19">
              <w:rPr>
                <w:rFonts w:ascii="Arial Narrow" w:eastAsia="Calibri" w:hAnsi="Arial Narrow"/>
                <w:color w:val="000000" w:themeColor="text1"/>
              </w:rPr>
              <w:t>Canasta de entregables</w:t>
            </w:r>
          </w:p>
        </w:tc>
        <w:tc>
          <w:tcPr>
            <w:tcW w:w="6212" w:type="dxa"/>
            <w:shd w:val="clear" w:color="auto" w:fill="auto"/>
            <w:vAlign w:val="center"/>
          </w:tcPr>
          <w:p w14:paraId="75E1921E" w14:textId="77777777" w:rsidR="007968EC" w:rsidRPr="002C0D19" w:rsidRDefault="007968EC" w:rsidP="007968EC">
            <w:pPr>
              <w:autoSpaceDE w:val="0"/>
              <w:autoSpaceDN w:val="0"/>
              <w:ind w:left="131"/>
              <w:jc w:val="both"/>
              <w:rPr>
                <w:rFonts w:ascii="Arial Narrow" w:eastAsia="Calibri" w:hAnsi="Arial Narrow"/>
                <w:b/>
                <w:bCs/>
                <w:color w:val="000000" w:themeColor="text1"/>
              </w:rPr>
            </w:pPr>
            <w:r w:rsidRPr="002C0D19">
              <w:rPr>
                <w:rFonts w:ascii="Arial Narrow" w:eastAsia="Calibri" w:hAnsi="Arial Narrow"/>
                <w:bCs/>
                <w:color w:val="000000" w:themeColor="text1"/>
              </w:rPr>
              <w:t xml:space="preserve">Conjunto de bonos TES B tasa fija en pesos según lo establecido por la BVC </w:t>
            </w:r>
          </w:p>
        </w:tc>
      </w:tr>
      <w:tr w:rsidR="007968EC" w:rsidRPr="002C0D19" w14:paraId="14EF7F82" w14:textId="77777777" w:rsidTr="007968EC">
        <w:trPr>
          <w:trHeight w:val="384"/>
          <w:tblCellSpacing w:w="0" w:type="dxa"/>
        </w:trPr>
        <w:tc>
          <w:tcPr>
            <w:tcW w:w="3271" w:type="dxa"/>
            <w:shd w:val="clear" w:color="auto" w:fill="C0C0C0"/>
            <w:vAlign w:val="center"/>
          </w:tcPr>
          <w:p w14:paraId="0A180B11" w14:textId="77777777" w:rsidR="007968EC" w:rsidRPr="002C0D19" w:rsidRDefault="007968EC" w:rsidP="007968EC">
            <w:pPr>
              <w:rPr>
                <w:rFonts w:ascii="Arial Narrow" w:eastAsia="Calibri" w:hAnsi="Arial Narrow"/>
                <w:b/>
                <w:color w:val="000000" w:themeColor="text1"/>
              </w:rPr>
            </w:pPr>
            <w:r w:rsidRPr="002C0D19">
              <w:rPr>
                <w:rFonts w:ascii="Arial Narrow" w:eastAsia="Calibri" w:hAnsi="Arial Narrow"/>
                <w:color w:val="000000" w:themeColor="text1"/>
              </w:rPr>
              <w:t>Tamaño del Contrato</w:t>
            </w:r>
          </w:p>
        </w:tc>
        <w:tc>
          <w:tcPr>
            <w:tcW w:w="6212" w:type="dxa"/>
            <w:shd w:val="clear" w:color="auto" w:fill="auto"/>
            <w:vAlign w:val="center"/>
          </w:tcPr>
          <w:p w14:paraId="576D3DFA" w14:textId="77777777" w:rsidR="007968EC" w:rsidRPr="002C0D19" w:rsidRDefault="007968EC" w:rsidP="007968EC">
            <w:pPr>
              <w:autoSpaceDE w:val="0"/>
              <w:autoSpaceDN w:val="0"/>
              <w:ind w:left="131"/>
              <w:jc w:val="both"/>
              <w:rPr>
                <w:rFonts w:ascii="Arial Narrow" w:eastAsia="Calibri" w:hAnsi="Arial Narrow"/>
                <w:b/>
                <w:bCs/>
                <w:color w:val="000000" w:themeColor="text1"/>
              </w:rPr>
            </w:pPr>
            <w:r w:rsidRPr="002C0D19">
              <w:rPr>
                <w:rFonts w:ascii="Arial Narrow" w:eastAsia="Calibri" w:hAnsi="Arial Narrow"/>
                <w:bCs/>
                <w:color w:val="000000" w:themeColor="text1"/>
              </w:rPr>
              <w:t>COP 250,000,000.</w:t>
            </w:r>
          </w:p>
        </w:tc>
      </w:tr>
      <w:tr w:rsidR="007968EC" w:rsidRPr="002C0D19" w14:paraId="097213B8" w14:textId="77777777" w:rsidTr="007968EC">
        <w:trPr>
          <w:trHeight w:val="384"/>
          <w:tblCellSpacing w:w="0" w:type="dxa"/>
        </w:trPr>
        <w:tc>
          <w:tcPr>
            <w:tcW w:w="3271" w:type="dxa"/>
            <w:shd w:val="clear" w:color="auto" w:fill="C0C0C0"/>
            <w:vAlign w:val="center"/>
          </w:tcPr>
          <w:p w14:paraId="42FB4FFB" w14:textId="77777777" w:rsidR="007968EC" w:rsidRPr="002C0D19" w:rsidRDefault="007968EC" w:rsidP="007968EC">
            <w:pPr>
              <w:rPr>
                <w:rFonts w:ascii="Arial Narrow" w:eastAsia="Calibri" w:hAnsi="Arial Narrow"/>
                <w:b/>
                <w:color w:val="000000" w:themeColor="text1"/>
              </w:rPr>
            </w:pPr>
            <w:r w:rsidRPr="002C0D19">
              <w:rPr>
                <w:rFonts w:ascii="Arial Narrow" w:eastAsia="Calibri" w:hAnsi="Arial Narrow"/>
                <w:color w:val="000000" w:themeColor="text1"/>
              </w:rPr>
              <w:t xml:space="preserve">Vencimientos </w:t>
            </w:r>
          </w:p>
        </w:tc>
        <w:tc>
          <w:tcPr>
            <w:tcW w:w="6212" w:type="dxa"/>
            <w:shd w:val="clear" w:color="auto" w:fill="auto"/>
            <w:vAlign w:val="center"/>
          </w:tcPr>
          <w:p w14:paraId="3E381B0A" w14:textId="77777777" w:rsidR="007968EC" w:rsidRPr="002C0D19" w:rsidRDefault="007968EC" w:rsidP="007968EC">
            <w:pPr>
              <w:autoSpaceDE w:val="0"/>
              <w:autoSpaceDN w:val="0"/>
              <w:ind w:left="131"/>
              <w:jc w:val="both"/>
              <w:rPr>
                <w:rFonts w:ascii="Arial Narrow" w:eastAsia="Calibri" w:hAnsi="Arial Narrow"/>
                <w:b/>
                <w:bCs/>
                <w:color w:val="000000" w:themeColor="text1"/>
              </w:rPr>
            </w:pPr>
            <w:r w:rsidRPr="002C0D19">
              <w:rPr>
                <w:rFonts w:ascii="Arial Narrow" w:eastAsia="Calibri" w:hAnsi="Arial Narrow"/>
                <w:color w:val="000000" w:themeColor="text1"/>
              </w:rPr>
              <w:t>Los vencimientos del Futuro de TES Largo plazo son mensuales y trimestrales dentro del ciclo de marzo (marzo, junio, septiembre y diciembre de cada año). En el Sistema de Cámara estarán disponibles para su compensación y liquidación los cuatro (4) Contratos listados por la BVC con vencimientos más cercanos, así: los tres (3) contratos con vencimientos mensuales más cercanos y trimestrales dentro de este ciclo hasta seis (6) meses.</w:t>
            </w:r>
          </w:p>
        </w:tc>
      </w:tr>
      <w:tr w:rsidR="007968EC" w:rsidRPr="002C0D19" w14:paraId="2B2EC5CC" w14:textId="77777777" w:rsidTr="007968EC">
        <w:trPr>
          <w:trHeight w:val="384"/>
          <w:tblCellSpacing w:w="0" w:type="dxa"/>
        </w:trPr>
        <w:tc>
          <w:tcPr>
            <w:tcW w:w="3271" w:type="dxa"/>
            <w:shd w:val="clear" w:color="auto" w:fill="C0C0C0"/>
            <w:vAlign w:val="center"/>
          </w:tcPr>
          <w:p w14:paraId="786B3F73" w14:textId="77777777" w:rsidR="007968EC" w:rsidRPr="002C0D19" w:rsidRDefault="007968EC" w:rsidP="007968EC">
            <w:pPr>
              <w:rPr>
                <w:rFonts w:ascii="Arial Narrow" w:eastAsia="Calibri" w:hAnsi="Arial Narrow"/>
                <w:b/>
                <w:color w:val="000000" w:themeColor="text1"/>
              </w:rPr>
            </w:pPr>
            <w:r w:rsidRPr="002C0D19">
              <w:rPr>
                <w:rFonts w:ascii="Arial Narrow" w:eastAsia="Calibri" w:hAnsi="Arial Narrow"/>
                <w:color w:val="000000" w:themeColor="text1"/>
              </w:rPr>
              <w:t xml:space="preserve">Método de Liquidación </w:t>
            </w:r>
          </w:p>
        </w:tc>
        <w:tc>
          <w:tcPr>
            <w:tcW w:w="6212" w:type="dxa"/>
            <w:shd w:val="clear" w:color="auto" w:fill="auto"/>
            <w:vAlign w:val="center"/>
          </w:tcPr>
          <w:p w14:paraId="456E152A" w14:textId="77777777" w:rsidR="007968EC" w:rsidRPr="002C0D19" w:rsidRDefault="007968EC" w:rsidP="007968EC">
            <w:pPr>
              <w:autoSpaceDE w:val="0"/>
              <w:autoSpaceDN w:val="0"/>
              <w:ind w:left="131"/>
              <w:jc w:val="both"/>
              <w:rPr>
                <w:rFonts w:ascii="Arial Narrow" w:eastAsia="Calibri" w:hAnsi="Arial Narrow"/>
                <w:b/>
                <w:bCs/>
                <w:color w:val="000000" w:themeColor="text1"/>
              </w:rPr>
            </w:pPr>
            <w:r w:rsidRPr="002C0D19">
              <w:rPr>
                <w:rFonts w:ascii="Arial Narrow" w:eastAsia="Calibri" w:hAnsi="Arial Narrow"/>
                <w:bCs/>
                <w:color w:val="000000" w:themeColor="text1"/>
              </w:rPr>
              <w:t>Entrega Física.</w:t>
            </w:r>
            <w:r w:rsidRPr="002C0D19" w:rsidDel="00327454">
              <w:rPr>
                <w:rFonts w:ascii="Arial Narrow" w:eastAsia="Calibri" w:hAnsi="Arial Narrow"/>
                <w:bCs/>
                <w:color w:val="000000" w:themeColor="text1"/>
              </w:rPr>
              <w:t xml:space="preserve"> </w:t>
            </w:r>
          </w:p>
        </w:tc>
      </w:tr>
      <w:tr w:rsidR="007968EC" w:rsidRPr="002C0D19" w14:paraId="1E446148" w14:textId="77777777" w:rsidTr="007968EC">
        <w:trPr>
          <w:trHeight w:val="384"/>
          <w:tblCellSpacing w:w="0" w:type="dxa"/>
        </w:trPr>
        <w:tc>
          <w:tcPr>
            <w:tcW w:w="3271" w:type="dxa"/>
            <w:shd w:val="clear" w:color="auto" w:fill="C0C0C0"/>
            <w:vAlign w:val="center"/>
          </w:tcPr>
          <w:p w14:paraId="3C66FF46" w14:textId="77777777" w:rsidR="007968EC" w:rsidRPr="002C0D19" w:rsidRDefault="007968EC" w:rsidP="007968EC">
            <w:pPr>
              <w:rPr>
                <w:rFonts w:ascii="Arial Narrow" w:eastAsia="Calibri" w:hAnsi="Arial Narrow"/>
                <w:b/>
                <w:color w:val="000000" w:themeColor="text1"/>
              </w:rPr>
            </w:pPr>
            <w:r w:rsidRPr="002C0D19">
              <w:rPr>
                <w:rFonts w:ascii="Arial Narrow" w:eastAsia="Calibri" w:hAnsi="Arial Narrow"/>
                <w:color w:val="000000" w:themeColor="text1"/>
              </w:rPr>
              <w:t>Tipo de Liquidación</w:t>
            </w:r>
          </w:p>
        </w:tc>
        <w:tc>
          <w:tcPr>
            <w:tcW w:w="6212" w:type="dxa"/>
            <w:shd w:val="clear" w:color="auto" w:fill="auto"/>
            <w:vAlign w:val="center"/>
          </w:tcPr>
          <w:p w14:paraId="565BE3F0" w14:textId="77777777" w:rsidR="007968EC" w:rsidRPr="002C0D19" w:rsidRDefault="007968EC" w:rsidP="007968EC">
            <w:pPr>
              <w:autoSpaceDE w:val="0"/>
              <w:autoSpaceDN w:val="0"/>
              <w:adjustRightInd w:val="0"/>
              <w:ind w:left="136"/>
              <w:rPr>
                <w:rFonts w:ascii="Arial Narrow" w:eastAsia="Calibri" w:hAnsi="Arial Narrow"/>
                <w:b/>
                <w:color w:val="000000" w:themeColor="text1"/>
              </w:rPr>
            </w:pPr>
            <w:r w:rsidRPr="002C0D19">
              <w:rPr>
                <w:rFonts w:ascii="Arial Narrow" w:eastAsia="Calibri" w:hAnsi="Arial Narrow"/>
                <w:color w:val="000000" w:themeColor="text1"/>
              </w:rPr>
              <w:t>Liquidación Diaria y al Vencimiento.</w:t>
            </w:r>
          </w:p>
        </w:tc>
      </w:tr>
      <w:tr w:rsidR="007968EC" w:rsidRPr="002C0D19" w14:paraId="4F02B012" w14:textId="77777777" w:rsidTr="007968EC">
        <w:trPr>
          <w:trHeight w:val="384"/>
          <w:tblCellSpacing w:w="0" w:type="dxa"/>
        </w:trPr>
        <w:tc>
          <w:tcPr>
            <w:tcW w:w="3271" w:type="dxa"/>
            <w:shd w:val="clear" w:color="auto" w:fill="C0C0C0"/>
            <w:vAlign w:val="center"/>
          </w:tcPr>
          <w:p w14:paraId="4054BAA2" w14:textId="77777777" w:rsidR="007968EC" w:rsidRPr="002C0D19" w:rsidRDefault="007968EC" w:rsidP="007968EC">
            <w:pPr>
              <w:rPr>
                <w:rFonts w:ascii="Arial Narrow" w:eastAsia="Calibri" w:hAnsi="Arial Narrow"/>
                <w:b/>
                <w:color w:val="000000" w:themeColor="text1"/>
              </w:rPr>
            </w:pPr>
            <w:r w:rsidRPr="002C0D19">
              <w:rPr>
                <w:rFonts w:ascii="Arial Narrow" w:eastAsia="Calibri" w:hAnsi="Arial Narrow"/>
                <w:color w:val="000000" w:themeColor="text1"/>
              </w:rPr>
              <w:t>Último día de Negociación</w:t>
            </w:r>
          </w:p>
        </w:tc>
        <w:tc>
          <w:tcPr>
            <w:tcW w:w="6212" w:type="dxa"/>
            <w:shd w:val="clear" w:color="auto" w:fill="auto"/>
            <w:vAlign w:val="center"/>
          </w:tcPr>
          <w:p w14:paraId="0D88AA87" w14:textId="77777777" w:rsidR="007968EC" w:rsidRPr="002C0D19" w:rsidRDefault="007968EC" w:rsidP="007968EC">
            <w:pPr>
              <w:ind w:left="131"/>
              <w:jc w:val="both"/>
              <w:rPr>
                <w:rFonts w:ascii="Arial Narrow" w:eastAsia="Calibri" w:hAnsi="Arial Narrow"/>
                <w:b/>
                <w:bCs/>
                <w:color w:val="000000" w:themeColor="text1"/>
              </w:rPr>
            </w:pPr>
            <w:r w:rsidRPr="002C0D19">
              <w:rPr>
                <w:rFonts w:ascii="Arial Narrow" w:eastAsia="Calibri" w:hAnsi="Arial Narrow"/>
                <w:bCs/>
                <w:color w:val="000000" w:themeColor="text1"/>
              </w:rPr>
              <w:t>Día hábil anterior al vencimiento del contrato.</w:t>
            </w:r>
          </w:p>
        </w:tc>
      </w:tr>
      <w:tr w:rsidR="007968EC" w:rsidRPr="002C0D19" w14:paraId="20F7B4FC" w14:textId="77777777" w:rsidTr="007968EC">
        <w:trPr>
          <w:trHeight w:val="384"/>
          <w:tblCellSpacing w:w="0" w:type="dxa"/>
        </w:trPr>
        <w:tc>
          <w:tcPr>
            <w:tcW w:w="3271" w:type="dxa"/>
            <w:shd w:val="clear" w:color="auto" w:fill="C0C0C0"/>
            <w:vAlign w:val="center"/>
          </w:tcPr>
          <w:p w14:paraId="352970C4" w14:textId="77777777" w:rsidR="007968EC" w:rsidRPr="002C0D19" w:rsidRDefault="007968EC" w:rsidP="007968EC">
            <w:pPr>
              <w:rPr>
                <w:rFonts w:ascii="Arial Narrow" w:eastAsia="Calibri" w:hAnsi="Arial Narrow"/>
                <w:b/>
                <w:color w:val="000000" w:themeColor="text1"/>
              </w:rPr>
            </w:pPr>
            <w:r w:rsidRPr="002C0D19">
              <w:rPr>
                <w:rFonts w:ascii="Arial Narrow" w:eastAsia="Calibri" w:hAnsi="Arial Narrow"/>
                <w:color w:val="000000" w:themeColor="text1"/>
              </w:rPr>
              <w:t>Día de Vencimiento</w:t>
            </w:r>
          </w:p>
        </w:tc>
        <w:tc>
          <w:tcPr>
            <w:tcW w:w="6212" w:type="dxa"/>
            <w:shd w:val="clear" w:color="auto" w:fill="auto"/>
          </w:tcPr>
          <w:p w14:paraId="11D7DAF5" w14:textId="77777777" w:rsidR="007968EC" w:rsidRPr="002C0D19" w:rsidRDefault="007968EC" w:rsidP="007968EC">
            <w:pPr>
              <w:ind w:left="131"/>
              <w:jc w:val="both"/>
              <w:rPr>
                <w:rFonts w:ascii="Arial Narrow" w:eastAsia="Calibri" w:hAnsi="Arial Narrow"/>
                <w:b/>
                <w:bCs/>
                <w:color w:val="000000" w:themeColor="text1"/>
              </w:rPr>
            </w:pPr>
            <w:r w:rsidRPr="002C0D19">
              <w:rPr>
                <w:rFonts w:ascii="Arial Narrow" w:eastAsia="Calibri" w:hAnsi="Arial Narrow"/>
                <w:bCs/>
                <w:color w:val="000000" w:themeColor="text1"/>
              </w:rPr>
              <w:t>Primer viernes del mes de vencimiento del contrato. Cuando el primer viernes del mes de vencimiento corresponda a un día no hábil, el día del vencimiento corresponderá al día hábil siguiente.</w:t>
            </w:r>
          </w:p>
        </w:tc>
      </w:tr>
      <w:tr w:rsidR="007968EC" w:rsidRPr="002C0D19" w14:paraId="611ED44E" w14:textId="77777777" w:rsidTr="007968EC">
        <w:trPr>
          <w:trHeight w:val="384"/>
          <w:tblCellSpacing w:w="0" w:type="dxa"/>
        </w:trPr>
        <w:tc>
          <w:tcPr>
            <w:tcW w:w="3271" w:type="dxa"/>
            <w:shd w:val="clear" w:color="auto" w:fill="C0C0C0"/>
            <w:vAlign w:val="center"/>
          </w:tcPr>
          <w:p w14:paraId="59E6E211" w14:textId="77777777" w:rsidR="007968EC" w:rsidRPr="002C0D19" w:rsidRDefault="007968EC" w:rsidP="007968EC">
            <w:pPr>
              <w:rPr>
                <w:rFonts w:ascii="Arial Narrow" w:eastAsia="Calibri" w:hAnsi="Arial Narrow"/>
                <w:b/>
                <w:color w:val="000000" w:themeColor="text1"/>
              </w:rPr>
            </w:pPr>
            <w:r w:rsidRPr="002C0D19">
              <w:rPr>
                <w:rFonts w:ascii="Arial Narrow" w:eastAsia="Calibri" w:hAnsi="Arial Narrow"/>
                <w:color w:val="000000" w:themeColor="text1"/>
              </w:rPr>
              <w:lastRenderedPageBreak/>
              <w:t>Inscripción</w:t>
            </w:r>
          </w:p>
        </w:tc>
        <w:tc>
          <w:tcPr>
            <w:tcW w:w="6212" w:type="dxa"/>
            <w:shd w:val="clear" w:color="auto" w:fill="auto"/>
            <w:vAlign w:val="center"/>
          </w:tcPr>
          <w:p w14:paraId="097B7AB3" w14:textId="77777777" w:rsidR="007968EC" w:rsidRPr="002C0D19" w:rsidRDefault="007968EC" w:rsidP="007968EC">
            <w:pPr>
              <w:autoSpaceDE w:val="0"/>
              <w:autoSpaceDN w:val="0"/>
              <w:ind w:left="131"/>
              <w:jc w:val="both"/>
              <w:rPr>
                <w:rFonts w:ascii="Arial Narrow" w:eastAsia="Calibri" w:hAnsi="Arial Narrow"/>
                <w:b/>
                <w:bCs/>
                <w:color w:val="000000" w:themeColor="text1"/>
              </w:rPr>
            </w:pPr>
            <w:r w:rsidRPr="002C0D19">
              <w:rPr>
                <w:rFonts w:ascii="Arial Narrow" w:eastAsia="Calibri" w:hAnsi="Arial Narrow"/>
                <w:bCs/>
                <w:color w:val="000000" w:themeColor="text1"/>
              </w:rPr>
              <w:t>Bolsa de Valores de Colombia – BVC.</w:t>
            </w:r>
          </w:p>
        </w:tc>
      </w:tr>
    </w:tbl>
    <w:p w14:paraId="76C3A5C6" w14:textId="77777777" w:rsidR="007968EC" w:rsidRPr="002C0D19" w:rsidRDefault="007968EC" w:rsidP="007968EC">
      <w:pPr>
        <w:autoSpaceDE w:val="0"/>
        <w:autoSpaceDN w:val="0"/>
        <w:jc w:val="both"/>
        <w:rPr>
          <w:rFonts w:ascii="Arial Narrow" w:eastAsia="Calibri" w:hAnsi="Arial Narrow"/>
          <w:bCs/>
          <w:color w:val="000000" w:themeColor="text1"/>
        </w:rPr>
      </w:pPr>
    </w:p>
    <w:p w14:paraId="4ABB9D48" w14:textId="77777777" w:rsidR="007968EC" w:rsidRPr="002C0D19" w:rsidRDefault="007968EC" w:rsidP="007968EC">
      <w:pPr>
        <w:jc w:val="both"/>
        <w:rPr>
          <w:rFonts w:ascii="Arial Narrow" w:eastAsia="Calibri" w:hAnsi="Arial Narrow"/>
          <w:b/>
          <w:color w:val="000000" w:themeColor="text1"/>
        </w:rPr>
      </w:pPr>
      <w:bookmarkStart w:id="5150" w:name="_Toc243475619"/>
      <w:bookmarkStart w:id="5151" w:name="_Toc243476061"/>
      <w:r w:rsidRPr="002C0D19">
        <w:rPr>
          <w:rFonts w:ascii="Arial Narrow" w:eastAsia="Calibri" w:hAnsi="Arial Narrow"/>
          <w:color w:val="000000" w:themeColor="text1"/>
        </w:rPr>
        <w:t>A este Instrumento Futuro TES Largo Plazo le aplican las condiciones previstas en los numerales del 2 al 4 del artículo 2.7.2.1. de la Circular Única de la Cámara.</w:t>
      </w:r>
      <w:bookmarkEnd w:id="5150"/>
      <w:bookmarkEnd w:id="5151"/>
    </w:p>
    <w:p w14:paraId="1A8DB2D8" w14:textId="77777777" w:rsidR="007968EC" w:rsidRPr="00397BCE" w:rsidRDefault="007968EC" w:rsidP="007968EC">
      <w:pPr>
        <w:jc w:val="both"/>
        <w:rPr>
          <w:rFonts w:ascii="Arial Narrow" w:eastAsia="Calibri" w:hAnsi="Arial Narrow"/>
          <w:bCs/>
          <w:color w:val="000000" w:themeColor="text1"/>
        </w:rPr>
      </w:pPr>
    </w:p>
    <w:p w14:paraId="4912BA39" w14:textId="77777777" w:rsidR="007968EC" w:rsidRDefault="007968EC" w:rsidP="007968EC">
      <w:pPr>
        <w:pStyle w:val="ARTICULO0"/>
        <w:rPr>
          <w:bCs/>
        </w:rPr>
      </w:pPr>
      <w:bookmarkStart w:id="5152" w:name="_Toc470781157"/>
      <w:bookmarkStart w:id="5153" w:name="_Toc470784718"/>
      <w:bookmarkStart w:id="5154" w:name="_Toc470785255"/>
      <w:bookmarkStart w:id="5155" w:name="_Toc470791649"/>
      <w:bookmarkStart w:id="5156" w:name="_Toc472592392"/>
      <w:bookmarkStart w:id="5157" w:name="_Toc472593411"/>
      <w:bookmarkStart w:id="5158" w:name="_Toc479057200"/>
      <w:bookmarkStart w:id="5159" w:name="_Toc31716218"/>
      <w:bookmarkStart w:id="5160" w:name="_Toc358359989"/>
      <w:bookmarkStart w:id="5161" w:name="_Toc490066557"/>
      <w:r w:rsidRPr="002C0D19">
        <w:t>Artículo 2.7.2.4. Contratos de Futuros sobre Títulos TES de Referencias Específicas</w:t>
      </w:r>
      <w:r w:rsidRPr="002C0D19">
        <w:rPr>
          <w:bCs/>
        </w:rPr>
        <w:t>.</w:t>
      </w:r>
      <w:bookmarkEnd w:id="5152"/>
      <w:bookmarkEnd w:id="5153"/>
      <w:bookmarkEnd w:id="5154"/>
      <w:bookmarkEnd w:id="5155"/>
      <w:bookmarkEnd w:id="5156"/>
      <w:bookmarkEnd w:id="5157"/>
      <w:bookmarkEnd w:id="5158"/>
      <w:bookmarkEnd w:id="5159"/>
      <w:r w:rsidRPr="002C0D19">
        <w:rPr>
          <w:bCs/>
        </w:rPr>
        <w:t xml:space="preserve"> </w:t>
      </w:r>
      <w:bookmarkEnd w:id="5160"/>
    </w:p>
    <w:p w14:paraId="6E7EE78F" w14:textId="77777777" w:rsidR="007968EC" w:rsidRDefault="007968EC" w:rsidP="007968EC">
      <w:pPr>
        <w:keepNext/>
        <w:tabs>
          <w:tab w:val="left" w:pos="1701"/>
        </w:tabs>
        <w:jc w:val="both"/>
        <w:outlineLvl w:val="2"/>
        <w:rPr>
          <w:rFonts w:ascii="Arial Narrow" w:hAnsi="Arial Narrow" w:cs="Arial"/>
          <w:b/>
          <w:bCs/>
          <w:color w:val="000000" w:themeColor="text1"/>
          <w:u w:val="single"/>
          <w:lang w:eastAsia="es-ES"/>
        </w:rPr>
      </w:pPr>
    </w:p>
    <w:p w14:paraId="15864466" w14:textId="77777777" w:rsidR="007968EC" w:rsidRPr="002C0D19" w:rsidRDefault="007968EC" w:rsidP="007968EC">
      <w:pPr>
        <w:pStyle w:val="ANTECEDENTES"/>
      </w:pPr>
      <w:r w:rsidRPr="002C0D19">
        <w:rPr>
          <w:bCs/>
        </w:rPr>
        <w:t>(</w:t>
      </w:r>
      <w:r w:rsidRPr="002C0D19">
        <w:t xml:space="preserve">Este artículo fue modificado mediante Circular 10 del </w:t>
      </w:r>
      <w:r>
        <w:t>12 de mayo de 2017, publicada en</w:t>
      </w:r>
      <w:r w:rsidRPr="002C0D19">
        <w:t xml:space="preserve"> el Boletín Normativo No. 010 del 12 de mayo de 2017</w:t>
      </w:r>
      <w:r>
        <w:t xml:space="preserve">, mediante Circular 21 del 3 de octubre de 2017, publicada en el Boletín Normativo No. 23 del 3 de octubre de 2017, mediante Circular 22 del 3 de noviembre de 2017, publicada en el Boletín Normativo No. 024 del 3 de noviembre de 2017, mediante Circular 25 del 15 de diciembre de 2017, publicada en el Boletín Normativo No. 032 del 15 de diciembre de 2017, mediante Circular 5 del 12 de abril de 2018, publicada en el Boletín Normativo No. 008 del 12 de abril de 2018, </w:t>
      </w:r>
      <w:r w:rsidRPr="009207FD">
        <w:t xml:space="preserve">mediante Circular </w:t>
      </w:r>
      <w:r>
        <w:t>1</w:t>
      </w:r>
      <w:r w:rsidRPr="009207FD">
        <w:t xml:space="preserve"> del </w:t>
      </w:r>
      <w:r>
        <w:t>15 de enero de 2019</w:t>
      </w:r>
      <w:r w:rsidRPr="009207FD">
        <w:t>, publicada en el Boletín Normativo N</w:t>
      </w:r>
      <w:r>
        <w:t>o. 001 del 15 de enero de 2019, mediante Circular 7 del 16 de mayo de 2019, publicada en el Boletín Normativo No. 019 del 16 de mayo de 2019 y mediante Circular 10 del 5 de julio de 2019, publicada en el Boletín Normativo No. 010 del 5 de julio de 2019. Rige a partir del 8 de julio de 2019</w:t>
      </w:r>
      <w:r w:rsidRPr="002C0D19">
        <w:t>.)</w:t>
      </w:r>
      <w:bookmarkEnd w:id="5161"/>
    </w:p>
    <w:p w14:paraId="5AFAC2D0" w14:textId="77777777" w:rsidR="007968EC" w:rsidRPr="002C0D19" w:rsidRDefault="007968EC" w:rsidP="007968EC">
      <w:pPr>
        <w:jc w:val="both"/>
        <w:rPr>
          <w:rFonts w:ascii="Arial Narrow" w:eastAsia="Calibri" w:hAnsi="Arial Narrow"/>
          <w:color w:val="000000" w:themeColor="text1"/>
        </w:rPr>
      </w:pPr>
    </w:p>
    <w:p w14:paraId="61108385" w14:textId="77777777" w:rsidR="007968EC" w:rsidRPr="00CE52A0" w:rsidRDefault="007968EC" w:rsidP="007968EC">
      <w:pPr>
        <w:jc w:val="both"/>
        <w:rPr>
          <w:rFonts w:ascii="Arial Narrow" w:eastAsia="Calibri" w:hAnsi="Arial Narrow"/>
          <w:color w:val="000000"/>
        </w:rPr>
      </w:pPr>
      <w:bookmarkStart w:id="5162" w:name="_Toc470781158"/>
      <w:bookmarkStart w:id="5163" w:name="_Toc470784719"/>
      <w:bookmarkStart w:id="5164" w:name="_Toc470785256"/>
      <w:bookmarkStart w:id="5165" w:name="_Toc470791650"/>
      <w:bookmarkStart w:id="5166" w:name="_Toc472592393"/>
      <w:bookmarkStart w:id="5167" w:name="_Toc472593412"/>
      <w:bookmarkStart w:id="5168" w:name="_Toc479057201"/>
      <w:bookmarkStart w:id="5169" w:name="_Toc490066558"/>
      <w:r w:rsidRPr="00CE52A0">
        <w:rPr>
          <w:rFonts w:ascii="Arial Narrow" w:eastAsia="Calibri" w:hAnsi="Arial Narrow"/>
          <w:color w:val="000000"/>
        </w:rPr>
        <w:t>La Cámara se interpondrá como contraparte y realizará la Compensación y Liquidación de los Instrumentos Contratos de Futuros sobre Títulos TES de Referencias Específicas que cumplan las siguientes condiciones:</w:t>
      </w:r>
    </w:p>
    <w:p w14:paraId="51927CFA" w14:textId="77777777" w:rsidR="007968EC" w:rsidRPr="00CE52A0" w:rsidRDefault="007968EC" w:rsidP="007968EC">
      <w:pPr>
        <w:jc w:val="both"/>
        <w:rPr>
          <w:rFonts w:ascii="Arial Narrow" w:eastAsia="Calibri" w:hAnsi="Arial Narrow"/>
          <w:color w:val="000000"/>
        </w:rPr>
      </w:pPr>
    </w:p>
    <w:p w14:paraId="7BD15FBA" w14:textId="77777777" w:rsidR="007968EC" w:rsidRPr="00CE52A0" w:rsidRDefault="007968EC" w:rsidP="00DA7472">
      <w:pPr>
        <w:numPr>
          <w:ilvl w:val="0"/>
          <w:numId w:val="306"/>
        </w:numPr>
        <w:contextualSpacing/>
        <w:jc w:val="both"/>
        <w:rPr>
          <w:rFonts w:ascii="Arial Narrow" w:eastAsia="Calibri" w:hAnsi="Arial Narrow"/>
          <w:color w:val="000000"/>
        </w:rPr>
      </w:pPr>
      <w:r w:rsidRPr="00CE52A0">
        <w:rPr>
          <w:rFonts w:ascii="Arial Narrow" w:eastAsia="Calibri" w:hAnsi="Arial Narrow"/>
          <w:color w:val="000000"/>
        </w:rPr>
        <w:t>Generalidades:</w:t>
      </w:r>
    </w:p>
    <w:p w14:paraId="2A526BC4" w14:textId="77777777" w:rsidR="007968EC" w:rsidRPr="00CE52A0" w:rsidRDefault="007968EC" w:rsidP="007968EC">
      <w:pPr>
        <w:jc w:val="both"/>
        <w:rPr>
          <w:rFonts w:ascii="Arial Narrow" w:eastAsia="Calibri" w:hAnsi="Arial Narrow"/>
          <w:color w:val="000000"/>
        </w:rPr>
      </w:pPr>
    </w:p>
    <w:tbl>
      <w:tblPr>
        <w:tblW w:w="9375"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23"/>
        <w:gridCol w:w="6152"/>
      </w:tblGrid>
      <w:tr w:rsidR="007968EC" w:rsidRPr="00CE52A0" w14:paraId="3231DBB1" w14:textId="77777777" w:rsidTr="007968EC">
        <w:trPr>
          <w:trHeight w:val="416"/>
        </w:trPr>
        <w:tc>
          <w:tcPr>
            <w:tcW w:w="3223" w:type="dxa"/>
            <w:shd w:val="clear" w:color="auto" w:fill="BFBFBF"/>
            <w:noWrap/>
            <w:vAlign w:val="center"/>
            <w:hideMark/>
          </w:tcPr>
          <w:p w14:paraId="36FD0829" w14:textId="77777777" w:rsidR="007968EC" w:rsidRPr="00CE52A0" w:rsidRDefault="007968EC" w:rsidP="007968EC">
            <w:pPr>
              <w:rPr>
                <w:rFonts w:ascii="Arial Narrow" w:eastAsia="Calibri" w:hAnsi="Arial Narrow"/>
                <w:b/>
                <w:bCs/>
                <w:color w:val="000000"/>
              </w:rPr>
            </w:pPr>
            <w:r w:rsidRPr="00CE52A0">
              <w:rPr>
                <w:rFonts w:ascii="Arial Narrow" w:eastAsia="Calibri" w:hAnsi="Arial Narrow"/>
                <w:bCs/>
                <w:color w:val="000000"/>
              </w:rPr>
              <w:t>Instrumento</w:t>
            </w:r>
          </w:p>
        </w:tc>
        <w:tc>
          <w:tcPr>
            <w:tcW w:w="6152" w:type="dxa"/>
            <w:vAlign w:val="center"/>
            <w:hideMark/>
          </w:tcPr>
          <w:p w14:paraId="242ECB16" w14:textId="77777777" w:rsidR="007968EC" w:rsidRPr="00CE52A0" w:rsidRDefault="007968EC" w:rsidP="007968EC">
            <w:pPr>
              <w:widowControl w:val="0"/>
              <w:jc w:val="both"/>
              <w:rPr>
                <w:rFonts w:ascii="Arial Narrow" w:eastAsia="Calibri" w:hAnsi="Arial Narrow"/>
                <w:b/>
                <w:color w:val="000000"/>
              </w:rPr>
            </w:pPr>
            <w:r w:rsidRPr="00CE52A0">
              <w:rPr>
                <w:rFonts w:ascii="Arial Narrow" w:eastAsia="Calibri" w:hAnsi="Arial Narrow"/>
                <w:color w:val="000000"/>
              </w:rPr>
              <w:t xml:space="preserve">Contratos de Futuros sobre Títulos TES de Referencias </w:t>
            </w:r>
            <w:r w:rsidRPr="00CE52A0">
              <w:rPr>
                <w:rFonts w:ascii="Arial Narrow" w:eastAsia="Calibri" w:hAnsi="Arial Narrow"/>
                <w:bCs/>
                <w:color w:val="000000"/>
              </w:rPr>
              <w:t>Específicas</w:t>
            </w:r>
            <w:r w:rsidRPr="00CE52A0">
              <w:rPr>
                <w:rFonts w:ascii="Arial Narrow" w:eastAsia="Calibri" w:hAnsi="Arial Narrow"/>
                <w:color w:val="000000"/>
              </w:rPr>
              <w:t>.</w:t>
            </w:r>
          </w:p>
        </w:tc>
      </w:tr>
      <w:tr w:rsidR="007968EC" w:rsidRPr="00CE52A0" w14:paraId="511DE306" w14:textId="77777777" w:rsidTr="007968EC">
        <w:trPr>
          <w:trHeight w:val="551"/>
        </w:trPr>
        <w:tc>
          <w:tcPr>
            <w:tcW w:w="3223" w:type="dxa"/>
            <w:shd w:val="clear" w:color="auto" w:fill="BFBFBF"/>
            <w:noWrap/>
            <w:vAlign w:val="center"/>
            <w:hideMark/>
          </w:tcPr>
          <w:p w14:paraId="3DC5E0D4" w14:textId="77777777" w:rsidR="007968EC" w:rsidRPr="00CE52A0" w:rsidRDefault="007968EC" w:rsidP="007968EC">
            <w:pPr>
              <w:rPr>
                <w:rFonts w:ascii="Arial Narrow" w:eastAsia="Calibri" w:hAnsi="Arial Narrow"/>
                <w:b/>
                <w:bCs/>
                <w:color w:val="000000"/>
              </w:rPr>
            </w:pPr>
            <w:r w:rsidRPr="00CE52A0">
              <w:rPr>
                <w:rFonts w:ascii="Arial Narrow" w:eastAsia="Calibri" w:hAnsi="Arial Narrow"/>
                <w:bCs/>
                <w:color w:val="000000"/>
              </w:rPr>
              <w:t>Activo Subyacente</w:t>
            </w:r>
          </w:p>
        </w:tc>
        <w:tc>
          <w:tcPr>
            <w:tcW w:w="6152" w:type="dxa"/>
            <w:vAlign w:val="center"/>
            <w:hideMark/>
          </w:tcPr>
          <w:p w14:paraId="6B4F0273" w14:textId="77777777" w:rsidR="007968EC" w:rsidRPr="00CE52A0" w:rsidRDefault="007968EC" w:rsidP="007968EC">
            <w:pPr>
              <w:jc w:val="both"/>
              <w:rPr>
                <w:rFonts w:ascii="Arial Narrow" w:eastAsia="Calibri" w:hAnsi="Arial Narrow"/>
                <w:b/>
                <w:bCs/>
                <w:color w:val="000000"/>
              </w:rPr>
            </w:pPr>
            <w:r w:rsidRPr="00CE52A0">
              <w:rPr>
                <w:rFonts w:ascii="Arial Narrow" w:eastAsia="Calibri" w:hAnsi="Arial Narrow"/>
                <w:bCs/>
                <w:color w:val="000000"/>
              </w:rPr>
              <w:t>Títulos TES clase B tasa fija en pesos.</w:t>
            </w:r>
          </w:p>
        </w:tc>
      </w:tr>
      <w:tr w:rsidR="007968EC" w:rsidRPr="00CE52A0" w14:paraId="6FF1B1FC" w14:textId="77777777" w:rsidTr="007968EC">
        <w:trPr>
          <w:trHeight w:val="686"/>
        </w:trPr>
        <w:tc>
          <w:tcPr>
            <w:tcW w:w="3223" w:type="dxa"/>
            <w:shd w:val="clear" w:color="auto" w:fill="BFBFBF"/>
            <w:noWrap/>
            <w:vAlign w:val="center"/>
            <w:hideMark/>
          </w:tcPr>
          <w:p w14:paraId="029B30BB" w14:textId="77777777" w:rsidR="007968EC" w:rsidRPr="00CE52A0" w:rsidRDefault="007968EC" w:rsidP="007968EC">
            <w:pPr>
              <w:rPr>
                <w:rFonts w:ascii="Arial Narrow" w:eastAsia="Calibri" w:hAnsi="Arial Narrow"/>
                <w:b/>
                <w:bCs/>
                <w:color w:val="000000"/>
              </w:rPr>
            </w:pPr>
            <w:r w:rsidRPr="00CE52A0">
              <w:rPr>
                <w:rFonts w:ascii="Arial Narrow" w:eastAsia="Calibri" w:hAnsi="Arial Narrow"/>
                <w:bCs/>
                <w:color w:val="000000"/>
              </w:rPr>
              <w:t>Tamaño del Contrato</w:t>
            </w:r>
          </w:p>
        </w:tc>
        <w:tc>
          <w:tcPr>
            <w:tcW w:w="6152" w:type="dxa"/>
            <w:vAlign w:val="center"/>
            <w:hideMark/>
          </w:tcPr>
          <w:p w14:paraId="16A9175B" w14:textId="77777777" w:rsidR="007968EC" w:rsidRPr="00CE52A0" w:rsidRDefault="007968EC" w:rsidP="007968EC">
            <w:pPr>
              <w:jc w:val="both"/>
              <w:rPr>
                <w:rFonts w:ascii="Arial Narrow" w:eastAsia="Calibri" w:hAnsi="Arial Narrow"/>
                <w:b/>
                <w:bCs/>
                <w:color w:val="000000"/>
              </w:rPr>
            </w:pPr>
            <w:r w:rsidRPr="00CE52A0">
              <w:rPr>
                <w:rFonts w:ascii="Arial Narrow" w:eastAsia="Calibri" w:hAnsi="Arial Narrow"/>
                <w:bCs/>
                <w:color w:val="000000"/>
              </w:rPr>
              <w:t>Cada Contrato de Futuro sobre Títulos TES de Referencias Específicas tiene un valor nominal de doscientos cincuenta millones de pesos colombianos (COP 250.000.000).</w:t>
            </w:r>
          </w:p>
        </w:tc>
      </w:tr>
      <w:tr w:rsidR="007968EC" w:rsidRPr="00CE52A0" w14:paraId="6AC178CB" w14:textId="77777777" w:rsidTr="007968EC">
        <w:trPr>
          <w:trHeight w:val="543"/>
        </w:trPr>
        <w:tc>
          <w:tcPr>
            <w:tcW w:w="3223" w:type="dxa"/>
            <w:shd w:val="clear" w:color="auto" w:fill="BFBFBF"/>
            <w:noWrap/>
            <w:vAlign w:val="center"/>
            <w:hideMark/>
          </w:tcPr>
          <w:p w14:paraId="2645FCAC" w14:textId="77777777" w:rsidR="007968EC" w:rsidRPr="00CE52A0" w:rsidRDefault="007968EC" w:rsidP="007968EC">
            <w:pPr>
              <w:rPr>
                <w:rFonts w:ascii="Arial Narrow" w:eastAsia="Calibri" w:hAnsi="Arial Narrow"/>
                <w:b/>
                <w:bCs/>
                <w:color w:val="000000"/>
              </w:rPr>
            </w:pPr>
            <w:r w:rsidRPr="00CE52A0">
              <w:rPr>
                <w:rFonts w:ascii="Arial Narrow" w:eastAsia="Calibri" w:hAnsi="Arial Narrow"/>
                <w:bCs/>
                <w:color w:val="000000"/>
              </w:rPr>
              <w:t>Vencimientos</w:t>
            </w:r>
          </w:p>
        </w:tc>
        <w:tc>
          <w:tcPr>
            <w:tcW w:w="6152" w:type="dxa"/>
            <w:vAlign w:val="center"/>
            <w:hideMark/>
          </w:tcPr>
          <w:p w14:paraId="65FB0A27" w14:textId="77777777" w:rsidR="007968EC" w:rsidRPr="00CE52A0" w:rsidRDefault="007968EC" w:rsidP="007968EC">
            <w:pPr>
              <w:jc w:val="both"/>
              <w:rPr>
                <w:rFonts w:ascii="Arial Narrow" w:eastAsia="Calibri" w:hAnsi="Arial Narrow"/>
                <w:b/>
                <w:bCs/>
                <w:color w:val="000000"/>
              </w:rPr>
            </w:pPr>
            <w:r w:rsidRPr="00CE52A0">
              <w:rPr>
                <w:rFonts w:ascii="Arial Narrow" w:eastAsia="Calibri" w:hAnsi="Arial Narrow"/>
                <w:bCs/>
                <w:color w:val="000000"/>
              </w:rPr>
              <w:t>Es</w:t>
            </w:r>
            <w:r>
              <w:rPr>
                <w:rFonts w:ascii="Arial Narrow" w:eastAsia="Calibri" w:hAnsi="Arial Narrow"/>
                <w:bCs/>
                <w:color w:val="000000"/>
              </w:rPr>
              <w:t>tarán disponibles en el sistema seis</w:t>
            </w:r>
            <w:r w:rsidRPr="00CE52A0">
              <w:rPr>
                <w:rFonts w:ascii="Arial Narrow" w:eastAsia="Calibri" w:hAnsi="Arial Narrow"/>
                <w:bCs/>
                <w:color w:val="000000"/>
              </w:rPr>
              <w:t xml:space="preserve"> (</w:t>
            </w:r>
            <w:r>
              <w:rPr>
                <w:rFonts w:ascii="Arial Narrow" w:eastAsia="Calibri" w:hAnsi="Arial Narrow"/>
                <w:bCs/>
                <w:color w:val="000000"/>
              </w:rPr>
              <w:t>6</w:t>
            </w:r>
            <w:r w:rsidRPr="00CE52A0">
              <w:rPr>
                <w:rFonts w:ascii="Arial Narrow" w:eastAsia="Calibri" w:hAnsi="Arial Narrow"/>
                <w:bCs/>
                <w:color w:val="000000"/>
              </w:rPr>
              <w:t xml:space="preserve">) contratos bajo la siguiente estructura: </w:t>
            </w:r>
            <w:r>
              <w:rPr>
                <w:rFonts w:ascii="Arial Narrow" w:eastAsia="Calibri" w:hAnsi="Arial Narrow"/>
                <w:bCs/>
                <w:color w:val="000000"/>
              </w:rPr>
              <w:t xml:space="preserve">los cuatro </w:t>
            </w:r>
            <w:r w:rsidRPr="00CE52A0">
              <w:rPr>
                <w:rFonts w:ascii="Arial Narrow" w:eastAsia="Calibri" w:hAnsi="Arial Narrow"/>
                <w:bCs/>
                <w:color w:val="000000"/>
              </w:rPr>
              <w:t>(</w:t>
            </w:r>
            <w:r>
              <w:rPr>
                <w:rFonts w:ascii="Arial Narrow" w:eastAsia="Calibri" w:hAnsi="Arial Narrow"/>
                <w:bCs/>
                <w:color w:val="000000"/>
              </w:rPr>
              <w:t>4</w:t>
            </w:r>
            <w:r w:rsidRPr="00CE52A0">
              <w:rPr>
                <w:rFonts w:ascii="Arial Narrow" w:eastAsia="Calibri" w:hAnsi="Arial Narrow"/>
                <w:bCs/>
                <w:color w:val="000000"/>
              </w:rPr>
              <w:t xml:space="preserve">) Contratos trimestrales </w:t>
            </w:r>
            <w:r>
              <w:rPr>
                <w:rFonts w:ascii="Arial Narrow" w:eastAsia="Calibri" w:hAnsi="Arial Narrow"/>
                <w:bCs/>
                <w:color w:val="000000"/>
              </w:rPr>
              <w:t xml:space="preserve">del ciclo de marzo más cercanos y los dos (2) contratos mensuales más cercanos. </w:t>
            </w:r>
          </w:p>
        </w:tc>
      </w:tr>
      <w:tr w:rsidR="007968EC" w:rsidRPr="00CE52A0" w14:paraId="1E994333" w14:textId="77777777" w:rsidTr="007968EC">
        <w:trPr>
          <w:trHeight w:val="416"/>
        </w:trPr>
        <w:tc>
          <w:tcPr>
            <w:tcW w:w="3223" w:type="dxa"/>
            <w:shd w:val="clear" w:color="auto" w:fill="BFBFBF"/>
            <w:noWrap/>
            <w:vAlign w:val="center"/>
            <w:hideMark/>
          </w:tcPr>
          <w:p w14:paraId="1B4402E7" w14:textId="77777777" w:rsidR="007968EC" w:rsidRPr="00CE52A0" w:rsidRDefault="007968EC" w:rsidP="007968EC">
            <w:pPr>
              <w:rPr>
                <w:rFonts w:ascii="Arial Narrow" w:eastAsia="Calibri" w:hAnsi="Arial Narrow"/>
                <w:b/>
                <w:bCs/>
                <w:color w:val="000000"/>
              </w:rPr>
            </w:pPr>
            <w:r w:rsidRPr="00CE52A0">
              <w:rPr>
                <w:rFonts w:ascii="Arial Narrow" w:eastAsia="Calibri" w:hAnsi="Arial Narrow"/>
                <w:bCs/>
                <w:color w:val="000000"/>
              </w:rPr>
              <w:t>Método de Liquidación</w:t>
            </w:r>
          </w:p>
        </w:tc>
        <w:tc>
          <w:tcPr>
            <w:tcW w:w="6152" w:type="dxa"/>
            <w:vAlign w:val="center"/>
            <w:hideMark/>
          </w:tcPr>
          <w:p w14:paraId="1B3014C3" w14:textId="77777777" w:rsidR="007968EC" w:rsidRPr="00CE52A0" w:rsidRDefault="007968EC" w:rsidP="007968EC">
            <w:pPr>
              <w:jc w:val="both"/>
              <w:rPr>
                <w:rFonts w:ascii="Arial Narrow" w:eastAsia="Calibri" w:hAnsi="Arial Narrow"/>
                <w:b/>
                <w:bCs/>
                <w:color w:val="000000"/>
              </w:rPr>
            </w:pPr>
            <w:r w:rsidRPr="00CE52A0">
              <w:rPr>
                <w:rFonts w:ascii="Arial Narrow" w:eastAsia="Calibri" w:hAnsi="Arial Narrow"/>
                <w:bCs/>
                <w:color w:val="000000"/>
              </w:rPr>
              <w:t>Liquidación por diferencias.</w:t>
            </w:r>
          </w:p>
        </w:tc>
      </w:tr>
      <w:tr w:rsidR="007968EC" w:rsidRPr="00CE52A0" w14:paraId="7ACC685A" w14:textId="77777777" w:rsidTr="007968EC">
        <w:trPr>
          <w:trHeight w:val="416"/>
        </w:trPr>
        <w:tc>
          <w:tcPr>
            <w:tcW w:w="3223" w:type="dxa"/>
            <w:shd w:val="clear" w:color="auto" w:fill="BFBFBF"/>
            <w:noWrap/>
            <w:vAlign w:val="center"/>
          </w:tcPr>
          <w:p w14:paraId="78B3C481" w14:textId="77777777" w:rsidR="007968EC" w:rsidRPr="00CE52A0" w:rsidRDefault="007968EC" w:rsidP="007968EC">
            <w:pPr>
              <w:rPr>
                <w:rFonts w:ascii="Arial Narrow" w:eastAsia="Calibri" w:hAnsi="Arial Narrow"/>
                <w:b/>
                <w:color w:val="000000"/>
              </w:rPr>
            </w:pPr>
            <w:r w:rsidRPr="00CE52A0">
              <w:rPr>
                <w:rFonts w:ascii="Arial Narrow" w:eastAsia="Calibri" w:hAnsi="Arial Narrow"/>
                <w:color w:val="000000"/>
              </w:rPr>
              <w:t>Tipo de Liquidación</w:t>
            </w:r>
          </w:p>
        </w:tc>
        <w:tc>
          <w:tcPr>
            <w:tcW w:w="6152" w:type="dxa"/>
            <w:vAlign w:val="center"/>
          </w:tcPr>
          <w:p w14:paraId="238685EC" w14:textId="77777777" w:rsidR="007968EC" w:rsidRPr="00CE52A0" w:rsidRDefault="007968EC" w:rsidP="007968EC">
            <w:pPr>
              <w:autoSpaceDE w:val="0"/>
              <w:autoSpaceDN w:val="0"/>
              <w:adjustRightInd w:val="0"/>
              <w:rPr>
                <w:rFonts w:ascii="Arial Narrow" w:eastAsia="Calibri" w:hAnsi="Arial Narrow"/>
                <w:b/>
                <w:color w:val="000000"/>
              </w:rPr>
            </w:pPr>
            <w:r w:rsidRPr="00CE52A0">
              <w:rPr>
                <w:rFonts w:ascii="Arial Narrow" w:eastAsia="Calibri" w:hAnsi="Arial Narrow"/>
                <w:color w:val="000000"/>
              </w:rPr>
              <w:t>Liquidación Diaria y al Vencimiento.</w:t>
            </w:r>
          </w:p>
        </w:tc>
      </w:tr>
      <w:tr w:rsidR="007968EC" w:rsidRPr="00CE52A0" w14:paraId="71D90747" w14:textId="77777777" w:rsidTr="007968EC">
        <w:trPr>
          <w:trHeight w:val="686"/>
        </w:trPr>
        <w:tc>
          <w:tcPr>
            <w:tcW w:w="3223" w:type="dxa"/>
            <w:shd w:val="clear" w:color="auto" w:fill="BFBFBF"/>
            <w:noWrap/>
            <w:vAlign w:val="center"/>
            <w:hideMark/>
          </w:tcPr>
          <w:p w14:paraId="0ECC38B0" w14:textId="77777777" w:rsidR="007968EC" w:rsidRPr="00CE52A0" w:rsidRDefault="007968EC" w:rsidP="007968EC">
            <w:pPr>
              <w:rPr>
                <w:rFonts w:ascii="Arial Narrow" w:eastAsia="Calibri" w:hAnsi="Arial Narrow"/>
                <w:b/>
                <w:bCs/>
                <w:color w:val="000000"/>
              </w:rPr>
            </w:pPr>
            <w:r w:rsidRPr="00CE52A0">
              <w:rPr>
                <w:rFonts w:ascii="Arial Narrow" w:eastAsia="Calibri" w:hAnsi="Arial Narrow"/>
                <w:bCs/>
                <w:color w:val="000000"/>
              </w:rPr>
              <w:t>Último día de Negociación</w:t>
            </w:r>
          </w:p>
        </w:tc>
        <w:tc>
          <w:tcPr>
            <w:tcW w:w="6152" w:type="dxa"/>
            <w:vAlign w:val="center"/>
            <w:hideMark/>
          </w:tcPr>
          <w:p w14:paraId="4BA7724E" w14:textId="77777777" w:rsidR="007968EC" w:rsidRPr="00CE52A0" w:rsidRDefault="007968EC" w:rsidP="007968EC">
            <w:pPr>
              <w:jc w:val="both"/>
              <w:rPr>
                <w:rFonts w:ascii="Arial Narrow" w:eastAsia="Calibri" w:hAnsi="Arial Narrow"/>
                <w:b/>
                <w:bCs/>
                <w:color w:val="000000"/>
              </w:rPr>
            </w:pPr>
            <w:r w:rsidRPr="00CE52A0">
              <w:rPr>
                <w:rFonts w:ascii="Arial Narrow" w:eastAsia="Calibri" w:hAnsi="Arial Narrow"/>
                <w:bCs/>
                <w:color w:val="000000"/>
              </w:rPr>
              <w:t>El último día de negociación será el mismo día de vencimiento del contrato.</w:t>
            </w:r>
          </w:p>
        </w:tc>
      </w:tr>
      <w:tr w:rsidR="007968EC" w:rsidRPr="00CE52A0" w14:paraId="344AEC0E" w14:textId="77777777" w:rsidTr="007968EC">
        <w:trPr>
          <w:trHeight w:val="686"/>
        </w:trPr>
        <w:tc>
          <w:tcPr>
            <w:tcW w:w="3223" w:type="dxa"/>
            <w:shd w:val="clear" w:color="auto" w:fill="BFBFBF"/>
            <w:noWrap/>
            <w:vAlign w:val="center"/>
            <w:hideMark/>
          </w:tcPr>
          <w:p w14:paraId="2DF9330B" w14:textId="77777777" w:rsidR="007968EC" w:rsidRPr="00CE52A0" w:rsidRDefault="007968EC" w:rsidP="007968EC">
            <w:pPr>
              <w:rPr>
                <w:rFonts w:ascii="Arial Narrow" w:eastAsia="BatangChe" w:hAnsi="Arial Narrow"/>
                <w:b/>
                <w:bCs/>
                <w:color w:val="000000"/>
              </w:rPr>
            </w:pPr>
            <w:r w:rsidRPr="00CE52A0">
              <w:rPr>
                <w:rFonts w:ascii="Arial Narrow" w:eastAsia="BatangChe" w:hAnsi="Arial Narrow"/>
                <w:bCs/>
                <w:color w:val="000000"/>
              </w:rPr>
              <w:t>Día de Vencimiento</w:t>
            </w:r>
          </w:p>
        </w:tc>
        <w:tc>
          <w:tcPr>
            <w:tcW w:w="6152" w:type="dxa"/>
            <w:vAlign w:val="center"/>
            <w:hideMark/>
          </w:tcPr>
          <w:p w14:paraId="4C27F766" w14:textId="77777777" w:rsidR="007968EC" w:rsidRPr="00CE52A0" w:rsidRDefault="007968EC" w:rsidP="007968EC">
            <w:pPr>
              <w:jc w:val="both"/>
              <w:rPr>
                <w:rFonts w:ascii="Arial Narrow" w:eastAsia="BatangChe" w:hAnsi="Arial Narrow"/>
                <w:b/>
                <w:bCs/>
                <w:color w:val="000000"/>
              </w:rPr>
            </w:pPr>
            <w:r w:rsidRPr="00CE52A0">
              <w:rPr>
                <w:rFonts w:ascii="Arial Narrow" w:eastAsia="BatangChe" w:hAnsi="Arial Narrow"/>
                <w:bCs/>
                <w:color w:val="000000"/>
              </w:rPr>
              <w:t xml:space="preserve">La fecha de vencimiento de los Contratos de Futuros Sobre Títulos TES de Referencias Específicas corresponderá al primer jueves del mes del vencimiento. Cuando el primer jueves del mes del </w:t>
            </w:r>
            <w:r w:rsidRPr="00CE52A0">
              <w:rPr>
                <w:rFonts w:ascii="Arial Narrow" w:eastAsia="BatangChe" w:hAnsi="Arial Narrow"/>
                <w:bCs/>
                <w:color w:val="000000"/>
              </w:rPr>
              <w:lastRenderedPageBreak/>
              <w:t>vencimiento corresponda a un día no hábil, el día del vencimiento corresponderá al día hábil siguiente.</w:t>
            </w:r>
          </w:p>
        </w:tc>
      </w:tr>
      <w:tr w:rsidR="007968EC" w:rsidRPr="00CE52A0" w14:paraId="6814AF65" w14:textId="77777777" w:rsidTr="007968EC">
        <w:trPr>
          <w:trHeight w:val="416"/>
        </w:trPr>
        <w:tc>
          <w:tcPr>
            <w:tcW w:w="3223" w:type="dxa"/>
            <w:shd w:val="clear" w:color="auto" w:fill="BFBFBF"/>
            <w:noWrap/>
            <w:vAlign w:val="center"/>
            <w:hideMark/>
          </w:tcPr>
          <w:p w14:paraId="394EB36C" w14:textId="77777777" w:rsidR="007968EC" w:rsidRPr="00CE52A0" w:rsidRDefault="007968EC" w:rsidP="007968EC">
            <w:pPr>
              <w:rPr>
                <w:rFonts w:ascii="Arial Narrow" w:eastAsia="Calibri" w:hAnsi="Arial Narrow"/>
                <w:b/>
                <w:bCs/>
                <w:color w:val="000000"/>
              </w:rPr>
            </w:pPr>
            <w:r w:rsidRPr="00CE52A0">
              <w:rPr>
                <w:rFonts w:ascii="Arial Narrow" w:eastAsia="Calibri" w:hAnsi="Arial Narrow"/>
                <w:bCs/>
                <w:color w:val="000000"/>
              </w:rPr>
              <w:lastRenderedPageBreak/>
              <w:t>Inscripción</w:t>
            </w:r>
          </w:p>
        </w:tc>
        <w:tc>
          <w:tcPr>
            <w:tcW w:w="6152" w:type="dxa"/>
            <w:vAlign w:val="center"/>
            <w:hideMark/>
          </w:tcPr>
          <w:p w14:paraId="1B460403" w14:textId="77777777" w:rsidR="007968EC" w:rsidRPr="00CE52A0" w:rsidRDefault="007968EC" w:rsidP="007968EC">
            <w:pPr>
              <w:jc w:val="both"/>
              <w:rPr>
                <w:rFonts w:ascii="Arial Narrow" w:eastAsia="Calibri" w:hAnsi="Arial Narrow"/>
                <w:b/>
                <w:bCs/>
                <w:color w:val="000000"/>
              </w:rPr>
            </w:pPr>
            <w:r w:rsidRPr="00CE52A0">
              <w:rPr>
                <w:rFonts w:ascii="Arial Narrow" w:eastAsia="Calibri" w:hAnsi="Arial Narrow"/>
                <w:color w:val="000000"/>
              </w:rPr>
              <w:t>Bolsa de Valores de Colombia – BVC.</w:t>
            </w:r>
          </w:p>
        </w:tc>
      </w:tr>
    </w:tbl>
    <w:p w14:paraId="7C999A64" w14:textId="77777777" w:rsidR="007968EC" w:rsidRPr="00CE52A0" w:rsidRDefault="007968EC" w:rsidP="007968EC">
      <w:pPr>
        <w:jc w:val="both"/>
        <w:rPr>
          <w:rFonts w:ascii="Arial Narrow" w:eastAsia="Calibri" w:hAnsi="Arial Narrow"/>
          <w:color w:val="000000"/>
        </w:rPr>
      </w:pPr>
    </w:p>
    <w:p w14:paraId="2BC4F354" w14:textId="77777777" w:rsidR="007968EC" w:rsidRPr="00CE52A0" w:rsidRDefault="007968EC" w:rsidP="007968EC">
      <w:pPr>
        <w:autoSpaceDE w:val="0"/>
        <w:autoSpaceDN w:val="0"/>
        <w:adjustRightInd w:val="0"/>
        <w:rPr>
          <w:rFonts w:ascii="Arial Narrow" w:hAnsi="Arial Narrow" w:cs="Arial"/>
          <w:color w:val="000000"/>
          <w:lang w:val="es-ES" w:eastAsia="es-ES"/>
        </w:rPr>
      </w:pPr>
      <w:r w:rsidRPr="00CE52A0">
        <w:rPr>
          <w:rFonts w:ascii="Arial Narrow" w:hAnsi="Arial Narrow" w:cs="Arial"/>
          <w:color w:val="000000"/>
          <w:lang w:val="es-ES" w:eastAsia="es-ES"/>
        </w:rPr>
        <w:t xml:space="preserve">La denominación detallada de los activos subyacentes de los instrumentos de Contratos de Futuros sobre Títulos TES de Referencias </w:t>
      </w:r>
      <w:r w:rsidRPr="00CE52A0">
        <w:rPr>
          <w:rFonts w:ascii="Arial Narrow" w:hAnsi="Arial Narrow" w:cs="Arial"/>
          <w:bCs/>
          <w:color w:val="000000"/>
          <w:lang w:val="es-ES" w:eastAsia="es-ES"/>
        </w:rPr>
        <w:t>Específicas</w:t>
      </w:r>
      <w:r w:rsidRPr="00CE52A0">
        <w:rPr>
          <w:rFonts w:ascii="Arial Narrow" w:hAnsi="Arial Narrow" w:cs="Arial"/>
          <w:b/>
          <w:bCs/>
          <w:color w:val="000000"/>
          <w:lang w:val="es-ES" w:eastAsia="es-ES"/>
        </w:rPr>
        <w:t xml:space="preserve"> </w:t>
      </w:r>
      <w:r w:rsidRPr="00CE52A0">
        <w:rPr>
          <w:rFonts w:ascii="Arial Narrow" w:hAnsi="Arial Narrow" w:cs="Arial"/>
          <w:color w:val="000000"/>
          <w:lang w:val="es-ES" w:eastAsia="es-ES"/>
        </w:rPr>
        <w:t>es la siguiente:</w:t>
      </w:r>
    </w:p>
    <w:p w14:paraId="3DB7A0E0" w14:textId="77777777" w:rsidR="007968EC" w:rsidRPr="00CE52A0" w:rsidRDefault="007968EC" w:rsidP="007968EC">
      <w:pPr>
        <w:jc w:val="both"/>
        <w:rPr>
          <w:rFonts w:ascii="Arial Narrow" w:eastAsia="Calibri" w:hAnsi="Arial Narrow"/>
          <w:color w:val="000000"/>
        </w:rPr>
      </w:pPr>
    </w:p>
    <w:tbl>
      <w:tblPr>
        <w:tblW w:w="949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6946"/>
        <w:gridCol w:w="2552"/>
      </w:tblGrid>
      <w:tr w:rsidR="007968EC" w:rsidRPr="00CE52A0" w14:paraId="1895EB8D" w14:textId="77777777" w:rsidTr="007968EC">
        <w:trPr>
          <w:trHeight w:val="250"/>
        </w:trPr>
        <w:tc>
          <w:tcPr>
            <w:tcW w:w="6946" w:type="dxa"/>
            <w:shd w:val="clear" w:color="auto" w:fill="BFBFBF"/>
            <w:noWrap/>
            <w:vAlign w:val="center"/>
            <w:hideMark/>
          </w:tcPr>
          <w:p w14:paraId="48A39687" w14:textId="77777777" w:rsidR="007968EC" w:rsidRPr="00CE52A0" w:rsidRDefault="007968EC" w:rsidP="007968EC">
            <w:pPr>
              <w:jc w:val="center"/>
              <w:rPr>
                <w:rFonts w:ascii="Arial Narrow" w:eastAsia="Calibri" w:hAnsi="Arial Narrow"/>
                <w:b/>
                <w:bCs/>
                <w:color w:val="000000"/>
              </w:rPr>
            </w:pPr>
            <w:r w:rsidRPr="00CE52A0">
              <w:rPr>
                <w:rFonts w:ascii="Arial Narrow" w:eastAsia="Calibri" w:hAnsi="Arial Narrow"/>
                <w:bCs/>
                <w:color w:val="000000"/>
              </w:rPr>
              <w:t>Denominación del Instrumento</w:t>
            </w:r>
          </w:p>
        </w:tc>
        <w:tc>
          <w:tcPr>
            <w:tcW w:w="2552" w:type="dxa"/>
            <w:shd w:val="clear" w:color="auto" w:fill="BFBFBF"/>
            <w:noWrap/>
            <w:vAlign w:val="center"/>
            <w:hideMark/>
          </w:tcPr>
          <w:p w14:paraId="46D29B20" w14:textId="77777777" w:rsidR="007968EC" w:rsidRPr="00CE52A0" w:rsidRDefault="007968EC" w:rsidP="007968EC">
            <w:pPr>
              <w:jc w:val="center"/>
              <w:rPr>
                <w:rFonts w:ascii="Arial Narrow" w:eastAsia="Calibri" w:hAnsi="Arial Narrow"/>
                <w:b/>
                <w:bCs/>
                <w:color w:val="000000"/>
              </w:rPr>
            </w:pPr>
            <w:r w:rsidRPr="00CE52A0">
              <w:rPr>
                <w:rFonts w:ascii="Arial Narrow" w:eastAsia="Calibri" w:hAnsi="Arial Narrow"/>
                <w:bCs/>
                <w:color w:val="000000"/>
              </w:rPr>
              <w:t>Activo Subyacente</w:t>
            </w:r>
          </w:p>
        </w:tc>
      </w:tr>
      <w:tr w:rsidR="007968EC" w:rsidRPr="00CE52A0" w14:paraId="01B3B1CD" w14:textId="77777777" w:rsidTr="007968EC">
        <w:trPr>
          <w:trHeight w:val="143"/>
        </w:trPr>
        <w:tc>
          <w:tcPr>
            <w:tcW w:w="6946" w:type="dxa"/>
            <w:shd w:val="clear" w:color="auto" w:fill="auto"/>
            <w:vAlign w:val="center"/>
          </w:tcPr>
          <w:p w14:paraId="4A7A3A4B" w14:textId="77777777" w:rsidR="007968EC" w:rsidRPr="00CE52A0" w:rsidRDefault="007968EC" w:rsidP="007968EC">
            <w:pPr>
              <w:rPr>
                <w:rFonts w:ascii="Arial Narrow" w:eastAsia="Calibri" w:hAnsi="Arial Narrow"/>
                <w:b/>
                <w:color w:val="000000"/>
              </w:rPr>
            </w:pPr>
            <w:r w:rsidRPr="00CE52A0">
              <w:rPr>
                <w:rFonts w:ascii="Arial Narrow" w:eastAsia="Calibri" w:hAnsi="Arial Narrow"/>
                <w:color w:val="000000"/>
              </w:rPr>
              <w:t>Contrato de Futuro sobre el título TES B Tasa Fija en Pesos TFIT06110919</w:t>
            </w:r>
          </w:p>
        </w:tc>
        <w:tc>
          <w:tcPr>
            <w:tcW w:w="2552" w:type="dxa"/>
            <w:shd w:val="clear" w:color="auto" w:fill="auto"/>
            <w:noWrap/>
            <w:vAlign w:val="center"/>
          </w:tcPr>
          <w:p w14:paraId="4E1B2051" w14:textId="77777777" w:rsidR="007968EC" w:rsidRPr="00CE52A0" w:rsidRDefault="007968EC" w:rsidP="007968EC">
            <w:pPr>
              <w:jc w:val="center"/>
              <w:rPr>
                <w:rFonts w:ascii="Arial Narrow" w:eastAsia="Calibri" w:hAnsi="Arial Narrow"/>
                <w:b/>
                <w:color w:val="000000"/>
              </w:rPr>
            </w:pPr>
            <w:r w:rsidRPr="00CE52A0">
              <w:rPr>
                <w:rFonts w:ascii="Arial Narrow" w:eastAsia="Calibri" w:hAnsi="Arial Narrow"/>
                <w:color w:val="000000"/>
              </w:rPr>
              <w:t>TFIT06110919</w:t>
            </w:r>
          </w:p>
        </w:tc>
      </w:tr>
      <w:tr w:rsidR="007968EC" w:rsidRPr="00CE52A0" w14:paraId="08465C7E" w14:textId="77777777" w:rsidTr="007968EC">
        <w:trPr>
          <w:trHeight w:val="143"/>
        </w:trPr>
        <w:tc>
          <w:tcPr>
            <w:tcW w:w="6946" w:type="dxa"/>
            <w:shd w:val="clear" w:color="auto" w:fill="auto"/>
            <w:vAlign w:val="center"/>
          </w:tcPr>
          <w:p w14:paraId="65B8A7F0" w14:textId="77777777" w:rsidR="007968EC" w:rsidRPr="00CE52A0" w:rsidRDefault="007968EC" w:rsidP="007968EC">
            <w:pPr>
              <w:rPr>
                <w:rFonts w:ascii="Arial Narrow" w:eastAsia="Calibri" w:hAnsi="Arial Narrow"/>
                <w:b/>
                <w:color w:val="000000"/>
              </w:rPr>
            </w:pPr>
            <w:r w:rsidRPr="00CE52A0">
              <w:rPr>
                <w:rFonts w:ascii="Arial Narrow" w:eastAsia="Calibri" w:hAnsi="Arial Narrow"/>
                <w:color w:val="000000"/>
              </w:rPr>
              <w:t>Contrato de Futuro sobre el título TES B Tasa Fija en Pesos TFIT15240720</w:t>
            </w:r>
          </w:p>
        </w:tc>
        <w:tc>
          <w:tcPr>
            <w:tcW w:w="2552" w:type="dxa"/>
            <w:shd w:val="clear" w:color="auto" w:fill="auto"/>
            <w:noWrap/>
            <w:vAlign w:val="center"/>
          </w:tcPr>
          <w:p w14:paraId="780F914E" w14:textId="77777777" w:rsidR="007968EC" w:rsidRPr="00CE52A0" w:rsidRDefault="007968EC" w:rsidP="007968EC">
            <w:pPr>
              <w:jc w:val="center"/>
              <w:rPr>
                <w:rFonts w:ascii="Arial Narrow" w:eastAsia="Calibri" w:hAnsi="Arial Narrow"/>
                <w:b/>
                <w:bCs/>
                <w:color w:val="000000"/>
              </w:rPr>
            </w:pPr>
            <w:r w:rsidRPr="00CE52A0">
              <w:rPr>
                <w:rFonts w:ascii="Arial Narrow" w:eastAsia="Calibri" w:hAnsi="Arial Narrow"/>
                <w:color w:val="000000"/>
              </w:rPr>
              <w:t>TFIT15240720</w:t>
            </w:r>
          </w:p>
        </w:tc>
      </w:tr>
      <w:tr w:rsidR="007968EC" w:rsidRPr="00CE52A0" w14:paraId="4978E659" w14:textId="77777777" w:rsidTr="007968EC">
        <w:trPr>
          <w:trHeight w:val="143"/>
        </w:trPr>
        <w:tc>
          <w:tcPr>
            <w:tcW w:w="6946" w:type="dxa"/>
            <w:shd w:val="clear" w:color="auto" w:fill="auto"/>
            <w:vAlign w:val="center"/>
          </w:tcPr>
          <w:p w14:paraId="0E570AB2" w14:textId="77777777" w:rsidR="007968EC" w:rsidRPr="00CE52A0" w:rsidRDefault="007968EC" w:rsidP="007968EC">
            <w:pPr>
              <w:rPr>
                <w:rFonts w:ascii="Arial Narrow" w:eastAsia="Calibri" w:hAnsi="Arial Narrow"/>
                <w:b/>
                <w:color w:val="000000"/>
              </w:rPr>
            </w:pPr>
            <w:r w:rsidRPr="00CE52A0">
              <w:rPr>
                <w:rFonts w:ascii="Arial Narrow" w:eastAsia="Calibri" w:hAnsi="Arial Narrow"/>
                <w:color w:val="000000"/>
              </w:rPr>
              <w:t>Contrato de Futuro sobre el título TES B Tasa Fija en Pesos TFIT10040522</w:t>
            </w:r>
          </w:p>
        </w:tc>
        <w:tc>
          <w:tcPr>
            <w:tcW w:w="2552" w:type="dxa"/>
            <w:shd w:val="clear" w:color="auto" w:fill="auto"/>
            <w:noWrap/>
            <w:vAlign w:val="center"/>
          </w:tcPr>
          <w:p w14:paraId="3C41F5A1" w14:textId="77777777" w:rsidR="007968EC" w:rsidRPr="00CE52A0" w:rsidRDefault="007968EC" w:rsidP="007968EC">
            <w:pPr>
              <w:jc w:val="center"/>
              <w:rPr>
                <w:rFonts w:ascii="Arial Narrow" w:eastAsia="Calibri" w:hAnsi="Arial Narrow"/>
                <w:b/>
                <w:bCs/>
                <w:color w:val="000000"/>
              </w:rPr>
            </w:pPr>
            <w:r w:rsidRPr="00CE52A0">
              <w:rPr>
                <w:rFonts w:ascii="Arial Narrow" w:eastAsia="Calibri" w:hAnsi="Arial Narrow"/>
                <w:color w:val="000000"/>
              </w:rPr>
              <w:t>TFIT10040522</w:t>
            </w:r>
          </w:p>
        </w:tc>
      </w:tr>
      <w:tr w:rsidR="007968EC" w:rsidRPr="00CE52A0" w14:paraId="44A80B77" w14:textId="77777777" w:rsidTr="007968EC">
        <w:trPr>
          <w:trHeight w:val="143"/>
        </w:trPr>
        <w:tc>
          <w:tcPr>
            <w:tcW w:w="6946" w:type="dxa"/>
            <w:shd w:val="clear" w:color="auto" w:fill="auto"/>
            <w:vAlign w:val="center"/>
          </w:tcPr>
          <w:p w14:paraId="3E29BB66" w14:textId="77777777" w:rsidR="007968EC" w:rsidRPr="00CE52A0" w:rsidRDefault="007968EC" w:rsidP="007968EC">
            <w:pPr>
              <w:rPr>
                <w:rFonts w:ascii="Arial Narrow" w:eastAsia="Calibri" w:hAnsi="Arial Narrow"/>
                <w:b/>
                <w:color w:val="000000"/>
              </w:rPr>
            </w:pPr>
            <w:r w:rsidRPr="00CE52A0">
              <w:rPr>
                <w:rFonts w:ascii="Arial Narrow" w:eastAsia="Calibri" w:hAnsi="Arial Narrow"/>
                <w:color w:val="000000"/>
              </w:rPr>
              <w:t>Contrato de Futuro sobre el título TES B Tasa Fija en Pesos TFIT16240724</w:t>
            </w:r>
          </w:p>
        </w:tc>
        <w:tc>
          <w:tcPr>
            <w:tcW w:w="2552" w:type="dxa"/>
            <w:shd w:val="clear" w:color="auto" w:fill="auto"/>
            <w:noWrap/>
            <w:vAlign w:val="center"/>
          </w:tcPr>
          <w:p w14:paraId="62071471" w14:textId="77777777" w:rsidR="007968EC" w:rsidRPr="00CE52A0" w:rsidRDefault="007968EC" w:rsidP="007968EC">
            <w:pPr>
              <w:jc w:val="center"/>
              <w:rPr>
                <w:rFonts w:ascii="Arial Narrow" w:eastAsia="Calibri" w:hAnsi="Arial Narrow"/>
                <w:b/>
                <w:bCs/>
                <w:color w:val="000000"/>
              </w:rPr>
            </w:pPr>
            <w:r w:rsidRPr="00CE52A0">
              <w:rPr>
                <w:rFonts w:ascii="Arial Narrow" w:eastAsia="Calibri" w:hAnsi="Arial Narrow"/>
                <w:color w:val="000000"/>
              </w:rPr>
              <w:t>TFIT16240724</w:t>
            </w:r>
          </w:p>
        </w:tc>
      </w:tr>
      <w:tr w:rsidR="007968EC" w:rsidRPr="00CE52A0" w14:paraId="08C9A85B" w14:textId="77777777" w:rsidTr="007968EC">
        <w:trPr>
          <w:trHeight w:val="143"/>
        </w:trPr>
        <w:tc>
          <w:tcPr>
            <w:tcW w:w="6946" w:type="dxa"/>
            <w:shd w:val="clear" w:color="auto" w:fill="auto"/>
            <w:vAlign w:val="center"/>
          </w:tcPr>
          <w:p w14:paraId="7DCCBAF4" w14:textId="77777777" w:rsidR="007968EC" w:rsidRPr="00501E14" w:rsidRDefault="007968EC" w:rsidP="007968EC">
            <w:pPr>
              <w:rPr>
                <w:rFonts w:ascii="Arial Narrow" w:eastAsia="Calibri" w:hAnsi="Arial Narrow"/>
                <w:b/>
                <w:color w:val="000000"/>
              </w:rPr>
            </w:pPr>
            <w:r w:rsidRPr="00501E14">
              <w:rPr>
                <w:rFonts w:ascii="Arial Narrow" w:eastAsia="Calibri" w:hAnsi="Arial Narrow"/>
                <w:color w:val="000000"/>
              </w:rPr>
              <w:t xml:space="preserve">Contrato de Futuro sobre el título TES B Tasa Fija en Pesos </w:t>
            </w:r>
            <w:bookmarkStart w:id="5170" w:name="_Hlk504567369"/>
            <w:r w:rsidRPr="00501E14">
              <w:rPr>
                <w:rFonts w:ascii="Arial Narrow" w:eastAsia="Calibri" w:hAnsi="Arial Narrow"/>
              </w:rPr>
              <w:t>TFIT08261125</w:t>
            </w:r>
            <w:bookmarkEnd w:id="5170"/>
          </w:p>
        </w:tc>
        <w:tc>
          <w:tcPr>
            <w:tcW w:w="2552" w:type="dxa"/>
            <w:shd w:val="clear" w:color="auto" w:fill="auto"/>
            <w:noWrap/>
            <w:vAlign w:val="center"/>
          </w:tcPr>
          <w:p w14:paraId="322D23F8" w14:textId="77777777" w:rsidR="007968EC" w:rsidRPr="00501E14" w:rsidRDefault="007968EC" w:rsidP="007968EC">
            <w:pPr>
              <w:jc w:val="center"/>
              <w:rPr>
                <w:rFonts w:ascii="Arial Narrow" w:eastAsia="Calibri" w:hAnsi="Arial Narrow"/>
                <w:b/>
                <w:bCs/>
                <w:color w:val="000000"/>
              </w:rPr>
            </w:pPr>
            <w:r w:rsidRPr="00501E14">
              <w:rPr>
                <w:rFonts w:ascii="Arial Narrow" w:eastAsia="Calibri" w:hAnsi="Arial Narrow"/>
              </w:rPr>
              <w:t>TFIT08261125</w:t>
            </w:r>
          </w:p>
        </w:tc>
      </w:tr>
      <w:tr w:rsidR="007968EC" w:rsidRPr="00CE52A0" w14:paraId="3137E7FC" w14:textId="77777777" w:rsidTr="007968EC">
        <w:trPr>
          <w:trHeight w:val="143"/>
        </w:trPr>
        <w:tc>
          <w:tcPr>
            <w:tcW w:w="6946" w:type="dxa"/>
            <w:shd w:val="clear" w:color="auto" w:fill="auto"/>
            <w:vAlign w:val="center"/>
          </w:tcPr>
          <w:p w14:paraId="3B4C5492" w14:textId="77777777" w:rsidR="007968EC" w:rsidRPr="00CE52A0" w:rsidRDefault="007968EC" w:rsidP="007968EC">
            <w:pPr>
              <w:rPr>
                <w:rFonts w:ascii="Arial Narrow" w:eastAsia="Calibri" w:hAnsi="Arial Narrow"/>
                <w:b/>
                <w:color w:val="000000"/>
              </w:rPr>
            </w:pPr>
            <w:r w:rsidRPr="00CE52A0">
              <w:rPr>
                <w:rFonts w:ascii="Arial Narrow" w:eastAsia="Calibri" w:hAnsi="Arial Narrow"/>
                <w:color w:val="000000"/>
              </w:rPr>
              <w:t>Contrato de Futuro sobre el título TES B Tasa Fija en Pesos TFIT15260826</w:t>
            </w:r>
          </w:p>
        </w:tc>
        <w:tc>
          <w:tcPr>
            <w:tcW w:w="2552" w:type="dxa"/>
            <w:shd w:val="clear" w:color="auto" w:fill="auto"/>
            <w:noWrap/>
            <w:vAlign w:val="center"/>
          </w:tcPr>
          <w:p w14:paraId="7A5530A3" w14:textId="77777777" w:rsidR="007968EC" w:rsidRPr="00CE52A0" w:rsidRDefault="007968EC" w:rsidP="007968EC">
            <w:pPr>
              <w:jc w:val="center"/>
              <w:rPr>
                <w:rFonts w:ascii="Arial Narrow" w:eastAsia="Calibri" w:hAnsi="Arial Narrow"/>
                <w:b/>
                <w:bCs/>
                <w:color w:val="000000"/>
              </w:rPr>
            </w:pPr>
            <w:r w:rsidRPr="00CE52A0">
              <w:rPr>
                <w:rFonts w:ascii="Arial Narrow" w:eastAsia="Calibri" w:hAnsi="Arial Narrow"/>
                <w:color w:val="000000"/>
              </w:rPr>
              <w:t>TFIT15260826</w:t>
            </w:r>
          </w:p>
        </w:tc>
      </w:tr>
      <w:tr w:rsidR="007968EC" w:rsidRPr="00CE52A0" w14:paraId="45795348" w14:textId="77777777" w:rsidTr="007968EC">
        <w:trPr>
          <w:trHeight w:val="143"/>
        </w:trPr>
        <w:tc>
          <w:tcPr>
            <w:tcW w:w="6946" w:type="dxa"/>
            <w:shd w:val="clear" w:color="auto" w:fill="auto"/>
            <w:vAlign w:val="center"/>
          </w:tcPr>
          <w:p w14:paraId="48CB714F" w14:textId="77777777" w:rsidR="007968EC" w:rsidRPr="00CE52A0" w:rsidRDefault="007968EC" w:rsidP="007968EC">
            <w:pPr>
              <w:rPr>
                <w:rFonts w:ascii="Arial Narrow" w:eastAsia="Calibri" w:hAnsi="Arial Narrow"/>
                <w:b/>
                <w:color w:val="000000"/>
              </w:rPr>
            </w:pPr>
            <w:r w:rsidRPr="00CE52A0">
              <w:rPr>
                <w:rFonts w:ascii="Arial Narrow" w:eastAsia="Calibri" w:hAnsi="Arial Narrow"/>
                <w:color w:val="000000"/>
              </w:rPr>
              <w:t>Contrato de Futuro sobre el título TES B Tasa Fija en Pesos TFIT16280428</w:t>
            </w:r>
          </w:p>
        </w:tc>
        <w:tc>
          <w:tcPr>
            <w:tcW w:w="2552" w:type="dxa"/>
            <w:shd w:val="clear" w:color="auto" w:fill="auto"/>
            <w:noWrap/>
            <w:vAlign w:val="center"/>
          </w:tcPr>
          <w:p w14:paraId="3FC6B778" w14:textId="77777777" w:rsidR="007968EC" w:rsidRPr="00CE52A0" w:rsidRDefault="007968EC" w:rsidP="007968EC">
            <w:pPr>
              <w:jc w:val="center"/>
              <w:rPr>
                <w:rFonts w:ascii="Arial Narrow" w:eastAsia="Calibri" w:hAnsi="Arial Narrow"/>
                <w:b/>
                <w:color w:val="000000"/>
              </w:rPr>
            </w:pPr>
            <w:r w:rsidRPr="00CE52A0">
              <w:rPr>
                <w:rFonts w:ascii="Arial Narrow" w:eastAsia="Calibri" w:hAnsi="Arial Narrow"/>
                <w:color w:val="000000"/>
              </w:rPr>
              <w:t>TFIT16280428</w:t>
            </w:r>
          </w:p>
        </w:tc>
      </w:tr>
      <w:tr w:rsidR="007968EC" w:rsidRPr="00CE52A0" w14:paraId="75336D78" w14:textId="77777777" w:rsidTr="007968EC">
        <w:trPr>
          <w:trHeight w:val="143"/>
        </w:trPr>
        <w:tc>
          <w:tcPr>
            <w:tcW w:w="6946" w:type="dxa"/>
            <w:shd w:val="clear" w:color="auto" w:fill="auto"/>
            <w:vAlign w:val="center"/>
          </w:tcPr>
          <w:p w14:paraId="5A7CBF15" w14:textId="77777777" w:rsidR="007968EC" w:rsidRPr="00CE52A0" w:rsidRDefault="007968EC" w:rsidP="007968EC">
            <w:pPr>
              <w:rPr>
                <w:rFonts w:ascii="Arial Narrow" w:eastAsia="Calibri" w:hAnsi="Arial Narrow"/>
                <w:b/>
                <w:color w:val="000000"/>
              </w:rPr>
            </w:pPr>
            <w:r w:rsidRPr="00CE52A0">
              <w:rPr>
                <w:rFonts w:ascii="Arial Narrow" w:eastAsia="Calibri" w:hAnsi="Arial Narrow"/>
                <w:color w:val="000000"/>
              </w:rPr>
              <w:t>Contrato de Futuro sobre el título TES B Tasa Fija en Pesos TFIT16180930</w:t>
            </w:r>
          </w:p>
        </w:tc>
        <w:tc>
          <w:tcPr>
            <w:tcW w:w="2552" w:type="dxa"/>
            <w:shd w:val="clear" w:color="auto" w:fill="auto"/>
            <w:noWrap/>
            <w:vAlign w:val="center"/>
          </w:tcPr>
          <w:p w14:paraId="7EBB5EDE" w14:textId="77777777" w:rsidR="007968EC" w:rsidRPr="00CE52A0" w:rsidRDefault="007968EC" w:rsidP="007968EC">
            <w:pPr>
              <w:jc w:val="center"/>
              <w:rPr>
                <w:rFonts w:ascii="Arial Narrow" w:eastAsia="Calibri" w:hAnsi="Arial Narrow"/>
                <w:b/>
                <w:color w:val="000000"/>
              </w:rPr>
            </w:pPr>
            <w:r w:rsidRPr="00CE52A0">
              <w:rPr>
                <w:rFonts w:ascii="Arial Narrow" w:eastAsia="Calibri" w:hAnsi="Arial Narrow"/>
                <w:color w:val="000000"/>
              </w:rPr>
              <w:t>TFIT16180930</w:t>
            </w:r>
          </w:p>
        </w:tc>
      </w:tr>
      <w:tr w:rsidR="007968EC" w:rsidRPr="00CE52A0" w14:paraId="65554C9B" w14:textId="77777777" w:rsidTr="007968EC">
        <w:trPr>
          <w:trHeight w:val="143"/>
        </w:trPr>
        <w:tc>
          <w:tcPr>
            <w:tcW w:w="6946" w:type="dxa"/>
            <w:shd w:val="clear" w:color="auto" w:fill="auto"/>
            <w:vAlign w:val="center"/>
          </w:tcPr>
          <w:p w14:paraId="50FB9A7D" w14:textId="77777777" w:rsidR="007968EC" w:rsidRPr="00CE52A0" w:rsidRDefault="007968EC" w:rsidP="007968EC">
            <w:pPr>
              <w:rPr>
                <w:rFonts w:ascii="Arial Narrow" w:eastAsia="Calibri" w:hAnsi="Arial Narrow"/>
                <w:color w:val="000000"/>
              </w:rPr>
            </w:pPr>
            <w:r w:rsidRPr="00CE52A0">
              <w:rPr>
                <w:rFonts w:ascii="Arial Narrow" w:eastAsia="Calibri" w:hAnsi="Arial Narrow"/>
                <w:color w:val="000000"/>
              </w:rPr>
              <w:t>Contrato de Futuro sobre el título TES B Tasa Fija en Pesos TFIT16300632</w:t>
            </w:r>
          </w:p>
        </w:tc>
        <w:tc>
          <w:tcPr>
            <w:tcW w:w="2552" w:type="dxa"/>
            <w:shd w:val="clear" w:color="auto" w:fill="auto"/>
            <w:noWrap/>
            <w:vAlign w:val="center"/>
          </w:tcPr>
          <w:p w14:paraId="5F629E07" w14:textId="77777777" w:rsidR="007968EC" w:rsidRPr="00CE52A0" w:rsidRDefault="007968EC" w:rsidP="007968EC">
            <w:pPr>
              <w:jc w:val="center"/>
              <w:rPr>
                <w:rFonts w:ascii="Arial Narrow" w:eastAsia="Calibri" w:hAnsi="Arial Narrow"/>
                <w:color w:val="000000"/>
              </w:rPr>
            </w:pPr>
            <w:r w:rsidRPr="00CE52A0">
              <w:rPr>
                <w:rFonts w:ascii="Arial Narrow" w:eastAsia="Calibri" w:hAnsi="Arial Narrow"/>
                <w:color w:val="000000"/>
              </w:rPr>
              <w:t>TFIT16300632</w:t>
            </w:r>
          </w:p>
        </w:tc>
      </w:tr>
      <w:tr w:rsidR="007968EC" w:rsidRPr="00CE52A0" w14:paraId="0B2F3A20" w14:textId="77777777" w:rsidTr="007968EC">
        <w:trPr>
          <w:trHeight w:val="143"/>
        </w:trPr>
        <w:tc>
          <w:tcPr>
            <w:tcW w:w="6946" w:type="dxa"/>
            <w:shd w:val="clear" w:color="auto" w:fill="auto"/>
            <w:vAlign w:val="center"/>
          </w:tcPr>
          <w:p w14:paraId="1468BCE3" w14:textId="77777777" w:rsidR="007968EC" w:rsidRPr="00CE52A0" w:rsidRDefault="007968EC" w:rsidP="007968EC">
            <w:pPr>
              <w:rPr>
                <w:rFonts w:ascii="Arial Narrow" w:eastAsia="Calibri" w:hAnsi="Arial Narrow"/>
                <w:color w:val="000000"/>
              </w:rPr>
            </w:pPr>
            <w:r w:rsidRPr="00CD23BD">
              <w:rPr>
                <w:rFonts w:ascii="Arial Narrow" w:eastAsia="Calibri" w:hAnsi="Arial Narrow"/>
                <w:color w:val="000000"/>
              </w:rPr>
              <w:t xml:space="preserve">Contrato de Futuro sobre el título TES B Tasa Fija en Pesos TFIT16181034 </w:t>
            </w:r>
          </w:p>
        </w:tc>
        <w:tc>
          <w:tcPr>
            <w:tcW w:w="2552" w:type="dxa"/>
            <w:shd w:val="clear" w:color="auto" w:fill="auto"/>
            <w:noWrap/>
            <w:vAlign w:val="center"/>
          </w:tcPr>
          <w:p w14:paraId="11231D7F" w14:textId="77777777" w:rsidR="007968EC" w:rsidRPr="00CE52A0" w:rsidRDefault="007968EC" w:rsidP="007968EC">
            <w:pPr>
              <w:jc w:val="center"/>
              <w:rPr>
                <w:rFonts w:ascii="Arial Narrow" w:eastAsia="Calibri" w:hAnsi="Arial Narrow"/>
                <w:color w:val="000000"/>
              </w:rPr>
            </w:pPr>
            <w:r w:rsidRPr="00CD23BD">
              <w:rPr>
                <w:rFonts w:ascii="Arial Narrow" w:eastAsia="Calibri" w:hAnsi="Arial Narrow"/>
                <w:color w:val="000000"/>
              </w:rPr>
              <w:t>TFIT16181034</w:t>
            </w:r>
          </w:p>
        </w:tc>
      </w:tr>
    </w:tbl>
    <w:p w14:paraId="2DD59ED0" w14:textId="77777777" w:rsidR="007968EC" w:rsidRPr="00CE52A0" w:rsidRDefault="007968EC" w:rsidP="007968EC">
      <w:pPr>
        <w:jc w:val="both"/>
        <w:rPr>
          <w:rFonts w:ascii="Arial Narrow" w:eastAsia="Calibri" w:hAnsi="Arial Narrow"/>
          <w:color w:val="000000"/>
        </w:rPr>
      </w:pPr>
    </w:p>
    <w:p w14:paraId="773A6C73" w14:textId="77777777" w:rsidR="007968EC" w:rsidRPr="00CE52A0" w:rsidRDefault="007968EC" w:rsidP="007968EC">
      <w:pPr>
        <w:keepNext/>
        <w:tabs>
          <w:tab w:val="left" w:pos="1701"/>
        </w:tabs>
        <w:jc w:val="both"/>
        <w:outlineLvl w:val="2"/>
        <w:rPr>
          <w:rFonts w:ascii="Arial Narrow" w:hAnsi="Arial Narrow" w:cs="Arial"/>
          <w:color w:val="000000"/>
          <w:lang w:eastAsia="es-ES"/>
        </w:rPr>
      </w:pPr>
      <w:r w:rsidRPr="00CE52A0">
        <w:rPr>
          <w:rFonts w:ascii="Arial Narrow" w:hAnsi="Arial Narrow" w:cs="Arial"/>
          <w:color w:val="000000"/>
          <w:lang w:eastAsia="es-ES"/>
        </w:rPr>
        <w:t xml:space="preserve">A los instrumentos de Contratos de Futuros sobre Títulos TES de Referencias </w:t>
      </w:r>
      <w:r w:rsidRPr="00CE52A0">
        <w:rPr>
          <w:rFonts w:ascii="Arial Narrow" w:hAnsi="Arial Narrow" w:cs="Arial"/>
          <w:bCs/>
          <w:color w:val="000000"/>
          <w:lang w:eastAsia="es-ES"/>
        </w:rPr>
        <w:t>Específicas</w:t>
      </w:r>
      <w:r w:rsidRPr="00CE52A0">
        <w:rPr>
          <w:rFonts w:ascii="Arial Narrow" w:hAnsi="Arial Narrow" w:cs="Arial"/>
          <w:color w:val="000000"/>
          <w:lang w:eastAsia="es-ES"/>
        </w:rPr>
        <w:t>, le aplican las condiciones previstas en los numerales del 2 al 4 del artículo 2.7.2.1. de la Circular Única de la Cámara.</w:t>
      </w:r>
    </w:p>
    <w:p w14:paraId="175F5E48" w14:textId="77777777" w:rsidR="007968EC" w:rsidRPr="002C0D19" w:rsidRDefault="007968EC" w:rsidP="007968EC">
      <w:pPr>
        <w:rPr>
          <w:rFonts w:ascii="Arial Narrow" w:eastAsia="Calibri" w:hAnsi="Arial Narrow"/>
          <w:color w:val="000000" w:themeColor="text1"/>
        </w:rPr>
      </w:pPr>
    </w:p>
    <w:p w14:paraId="40B0B637" w14:textId="77777777" w:rsidR="007968EC" w:rsidRDefault="007968EC" w:rsidP="007968EC">
      <w:pPr>
        <w:pStyle w:val="ARTICULO0"/>
      </w:pPr>
      <w:bookmarkStart w:id="5171" w:name="_Toc31716219"/>
      <w:r w:rsidRPr="002C0D19">
        <w:t>Artículo 2.7.2.5.   Futuro de Tasa de Cambio Dólar/Peso.</w:t>
      </w:r>
      <w:bookmarkEnd w:id="5162"/>
      <w:bookmarkEnd w:id="5163"/>
      <w:bookmarkEnd w:id="5164"/>
      <w:bookmarkEnd w:id="5165"/>
      <w:bookmarkEnd w:id="5166"/>
      <w:bookmarkEnd w:id="5167"/>
      <w:bookmarkEnd w:id="5168"/>
      <w:bookmarkEnd w:id="5169"/>
      <w:bookmarkEnd w:id="5171"/>
      <w:r w:rsidRPr="002C0D19">
        <w:t xml:space="preserve"> </w:t>
      </w:r>
    </w:p>
    <w:p w14:paraId="564B2F73" w14:textId="77777777" w:rsidR="007968EC" w:rsidRDefault="007968EC" w:rsidP="007968EC">
      <w:pPr>
        <w:pStyle w:val="ARTICULO0"/>
      </w:pPr>
    </w:p>
    <w:p w14:paraId="1D6835F5" w14:textId="77777777" w:rsidR="007968EC" w:rsidRPr="00432EEE" w:rsidRDefault="007968EC" w:rsidP="007968EC">
      <w:pPr>
        <w:pStyle w:val="ANTECEDENTES"/>
      </w:pPr>
      <w:r w:rsidRPr="00432EEE">
        <w:t>(Este artículo fue modificado mediante Circular 20 del 28 de septiembre de 2017, publicada en el Boletín Normativo No. 021 del 28 de septiembre de 2017. Rige a partir del 2 de octubre de 2017.)</w:t>
      </w:r>
    </w:p>
    <w:p w14:paraId="41EAB00D" w14:textId="77777777" w:rsidR="007968EC" w:rsidRPr="002C0D19" w:rsidRDefault="007968EC" w:rsidP="007968EC">
      <w:pPr>
        <w:jc w:val="both"/>
        <w:rPr>
          <w:rFonts w:ascii="Arial Narrow" w:eastAsia="Calibri" w:hAnsi="Arial Narrow"/>
          <w:b/>
          <w:color w:val="000000" w:themeColor="text1"/>
        </w:rPr>
      </w:pPr>
      <w:r w:rsidRPr="00397BCE">
        <w:rPr>
          <w:rFonts w:ascii="Arial Narrow" w:eastAsia="Calibri" w:hAnsi="Arial Narrow"/>
          <w:bCs/>
          <w:color w:val="000000" w:themeColor="text1"/>
        </w:rPr>
        <w:tab/>
      </w:r>
      <w:r w:rsidRPr="002C0D19">
        <w:rPr>
          <w:rFonts w:ascii="Arial Narrow" w:eastAsia="Calibri" w:hAnsi="Arial Narrow"/>
          <w:bCs/>
          <w:color w:val="000000" w:themeColor="text1"/>
        </w:rPr>
        <w:t xml:space="preserve"> </w:t>
      </w:r>
    </w:p>
    <w:p w14:paraId="6370B777" w14:textId="77777777" w:rsidR="007968EC" w:rsidRPr="00AF6214" w:rsidRDefault="007968EC" w:rsidP="007968EC">
      <w:pPr>
        <w:autoSpaceDE w:val="0"/>
        <w:autoSpaceDN w:val="0"/>
        <w:jc w:val="both"/>
        <w:rPr>
          <w:rFonts w:ascii="Arial Narrow" w:eastAsia="Calibri" w:hAnsi="Arial Narrow"/>
          <w:b/>
          <w:bCs/>
          <w:color w:val="000000"/>
          <w:lang w:val="es-MX"/>
        </w:rPr>
      </w:pPr>
      <w:r w:rsidRPr="00AF6214">
        <w:rPr>
          <w:rFonts w:ascii="Arial Narrow" w:eastAsia="Calibri" w:hAnsi="Arial Narrow"/>
          <w:bCs/>
          <w:color w:val="000000"/>
          <w:lang w:val="es-MX"/>
        </w:rPr>
        <w:t>La Cámara se interpondrá como contraparte y realizará la Compensación y Liquidación del Instrumento Futuro de Tasa de Cambio Dólar/Peso bajo las siguientes condiciones:</w:t>
      </w:r>
    </w:p>
    <w:p w14:paraId="763B3AC7" w14:textId="77777777" w:rsidR="007968EC" w:rsidRPr="00AF6214" w:rsidRDefault="007968EC" w:rsidP="007968EC">
      <w:pPr>
        <w:autoSpaceDE w:val="0"/>
        <w:autoSpaceDN w:val="0"/>
        <w:jc w:val="both"/>
        <w:rPr>
          <w:rFonts w:ascii="Arial Narrow" w:eastAsia="Calibri" w:hAnsi="Arial Narrow"/>
          <w:b/>
          <w:bCs/>
          <w:color w:val="000000"/>
          <w:lang w:val="es-MX"/>
        </w:rPr>
      </w:pPr>
    </w:p>
    <w:p w14:paraId="594AC95F" w14:textId="77777777" w:rsidR="007968EC" w:rsidRPr="00AF6214" w:rsidRDefault="007968EC" w:rsidP="00DA7472">
      <w:pPr>
        <w:numPr>
          <w:ilvl w:val="0"/>
          <w:numId w:val="55"/>
        </w:numPr>
        <w:autoSpaceDE w:val="0"/>
        <w:autoSpaceDN w:val="0"/>
        <w:ind w:left="426" w:hanging="426"/>
        <w:jc w:val="both"/>
        <w:rPr>
          <w:rFonts w:ascii="Arial Narrow" w:eastAsia="Calibri" w:hAnsi="Arial Narrow"/>
          <w:b/>
          <w:bCs/>
          <w:color w:val="000000"/>
          <w:lang w:val="es-MX"/>
        </w:rPr>
      </w:pPr>
      <w:r w:rsidRPr="00AF6214">
        <w:rPr>
          <w:rFonts w:ascii="Arial Narrow" w:eastAsia="Calibri" w:hAnsi="Arial Narrow"/>
          <w:bCs/>
          <w:color w:val="000000"/>
          <w:lang w:val="es-MX"/>
        </w:rPr>
        <w:t>Generalidades:</w:t>
      </w:r>
    </w:p>
    <w:p w14:paraId="251C1CB4" w14:textId="77777777" w:rsidR="007968EC" w:rsidRPr="00AF6214" w:rsidRDefault="007968EC" w:rsidP="007968EC">
      <w:pPr>
        <w:autoSpaceDE w:val="0"/>
        <w:autoSpaceDN w:val="0"/>
        <w:ind w:left="426"/>
        <w:jc w:val="both"/>
        <w:rPr>
          <w:rFonts w:ascii="Arial Narrow" w:eastAsia="Calibri" w:hAnsi="Arial Narrow"/>
          <w:b/>
          <w:bCs/>
          <w:color w:val="000000"/>
          <w:lang w:val="es-MX"/>
        </w:rPr>
      </w:pPr>
    </w:p>
    <w:tbl>
      <w:tblPr>
        <w:tblW w:w="94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3261"/>
        <w:gridCol w:w="6152"/>
      </w:tblGrid>
      <w:tr w:rsidR="007968EC" w:rsidRPr="00AF6214" w14:paraId="03A3B803" w14:textId="77777777" w:rsidTr="007968EC">
        <w:trPr>
          <w:trHeight w:val="360"/>
          <w:jc w:val="center"/>
        </w:trPr>
        <w:tc>
          <w:tcPr>
            <w:tcW w:w="3261" w:type="dxa"/>
            <w:shd w:val="clear" w:color="000000" w:fill="BFBFBF"/>
            <w:hideMark/>
          </w:tcPr>
          <w:p w14:paraId="4285DB0A" w14:textId="77777777" w:rsidR="007968EC" w:rsidRPr="00AF6214" w:rsidRDefault="007968EC" w:rsidP="007968EC">
            <w:pPr>
              <w:rPr>
                <w:rFonts w:ascii="Arial Narrow" w:eastAsia="Calibri" w:hAnsi="Arial Narrow"/>
                <w:b/>
                <w:color w:val="000000"/>
              </w:rPr>
            </w:pPr>
            <w:r w:rsidRPr="00AF6214">
              <w:rPr>
                <w:rFonts w:ascii="Arial Narrow" w:eastAsia="Calibri" w:hAnsi="Arial Narrow"/>
                <w:color w:val="000000"/>
              </w:rPr>
              <w:t>Instrumento</w:t>
            </w:r>
          </w:p>
        </w:tc>
        <w:tc>
          <w:tcPr>
            <w:tcW w:w="6152" w:type="dxa"/>
            <w:shd w:val="clear" w:color="auto" w:fill="auto"/>
            <w:hideMark/>
          </w:tcPr>
          <w:p w14:paraId="2430EA92" w14:textId="77777777" w:rsidR="007968EC" w:rsidRPr="00AF6214" w:rsidRDefault="007968EC" w:rsidP="007968EC">
            <w:pPr>
              <w:ind w:left="71"/>
              <w:jc w:val="both"/>
              <w:rPr>
                <w:rFonts w:ascii="Arial Narrow" w:eastAsia="Calibri" w:hAnsi="Arial Narrow"/>
                <w:b/>
                <w:color w:val="000000"/>
              </w:rPr>
            </w:pPr>
            <w:r w:rsidRPr="00AF6214">
              <w:rPr>
                <w:rFonts w:ascii="Arial Narrow" w:eastAsia="Calibri" w:hAnsi="Arial Narrow"/>
                <w:color w:val="000000"/>
              </w:rPr>
              <w:t>Futuro de Tasa de Cambio Dólar/Peso</w:t>
            </w:r>
            <w:r>
              <w:rPr>
                <w:rFonts w:ascii="Arial Narrow" w:eastAsia="Calibri" w:hAnsi="Arial Narrow"/>
                <w:color w:val="000000"/>
              </w:rPr>
              <w:t>.</w:t>
            </w:r>
          </w:p>
        </w:tc>
      </w:tr>
      <w:tr w:rsidR="007968EC" w:rsidRPr="00AF6214" w14:paraId="370256D1" w14:textId="77777777" w:rsidTr="007968EC">
        <w:trPr>
          <w:trHeight w:val="570"/>
          <w:jc w:val="center"/>
        </w:trPr>
        <w:tc>
          <w:tcPr>
            <w:tcW w:w="3261" w:type="dxa"/>
            <w:shd w:val="clear" w:color="000000" w:fill="BFBFBF"/>
            <w:hideMark/>
          </w:tcPr>
          <w:p w14:paraId="3AD6FDD1" w14:textId="77777777" w:rsidR="007968EC" w:rsidRPr="00AF6214" w:rsidRDefault="007968EC" w:rsidP="007968EC">
            <w:pPr>
              <w:rPr>
                <w:rFonts w:ascii="Arial Narrow" w:eastAsia="Calibri" w:hAnsi="Arial Narrow"/>
                <w:b/>
                <w:color w:val="000000"/>
              </w:rPr>
            </w:pPr>
            <w:r w:rsidRPr="00AF6214">
              <w:rPr>
                <w:rFonts w:ascii="Arial Narrow" w:eastAsia="Calibri" w:hAnsi="Arial Narrow"/>
                <w:color w:val="000000"/>
              </w:rPr>
              <w:t xml:space="preserve">Activo Subyacente </w:t>
            </w:r>
          </w:p>
        </w:tc>
        <w:tc>
          <w:tcPr>
            <w:tcW w:w="6152" w:type="dxa"/>
            <w:shd w:val="clear" w:color="auto" w:fill="auto"/>
            <w:hideMark/>
          </w:tcPr>
          <w:p w14:paraId="64D413A4" w14:textId="77777777" w:rsidR="007968EC" w:rsidRPr="00AF6214" w:rsidRDefault="007968EC" w:rsidP="007968EC">
            <w:pPr>
              <w:ind w:left="71"/>
              <w:jc w:val="both"/>
              <w:rPr>
                <w:rFonts w:ascii="Arial Narrow" w:eastAsia="Calibri" w:hAnsi="Arial Narrow"/>
                <w:b/>
                <w:color w:val="000000"/>
              </w:rPr>
            </w:pPr>
            <w:r w:rsidRPr="00AF6214">
              <w:rPr>
                <w:rFonts w:ascii="Arial Narrow" w:eastAsia="Calibri" w:hAnsi="Arial Narrow"/>
                <w:color w:val="000000"/>
              </w:rPr>
              <w:t>Tasa Representativa del Mercado de dólares americanos (TRM) del día, publicada por la Superintendencia Financiera</w:t>
            </w:r>
            <w:r>
              <w:rPr>
                <w:rFonts w:ascii="Arial Narrow" w:eastAsia="Calibri" w:hAnsi="Arial Narrow"/>
                <w:b/>
                <w:color w:val="000000"/>
              </w:rPr>
              <w:t xml:space="preserve"> </w:t>
            </w:r>
            <w:r w:rsidRPr="00AF6214">
              <w:rPr>
                <w:rFonts w:ascii="Arial Narrow" w:eastAsia="Calibri" w:hAnsi="Arial Narrow"/>
                <w:color w:val="000000"/>
              </w:rPr>
              <w:t>de Colombia</w:t>
            </w:r>
            <w:r>
              <w:rPr>
                <w:rFonts w:ascii="Arial Narrow" w:eastAsia="Calibri" w:hAnsi="Arial Narrow"/>
                <w:color w:val="000000"/>
              </w:rPr>
              <w:t>.</w:t>
            </w:r>
          </w:p>
        </w:tc>
      </w:tr>
      <w:tr w:rsidR="007968EC" w:rsidRPr="00AF6214" w14:paraId="3CE78041" w14:textId="77777777" w:rsidTr="007968EC">
        <w:trPr>
          <w:trHeight w:val="360"/>
          <w:jc w:val="center"/>
        </w:trPr>
        <w:tc>
          <w:tcPr>
            <w:tcW w:w="3261" w:type="dxa"/>
            <w:shd w:val="clear" w:color="000000" w:fill="BFBFBF"/>
            <w:hideMark/>
          </w:tcPr>
          <w:p w14:paraId="6FC95A67" w14:textId="77777777" w:rsidR="007968EC" w:rsidRPr="00AF6214" w:rsidRDefault="007968EC" w:rsidP="007968EC">
            <w:pPr>
              <w:rPr>
                <w:rFonts w:ascii="Arial Narrow" w:eastAsia="Calibri" w:hAnsi="Arial Narrow"/>
                <w:b/>
                <w:color w:val="000000"/>
              </w:rPr>
            </w:pPr>
            <w:r w:rsidRPr="00AF6214">
              <w:rPr>
                <w:rFonts w:ascii="Arial Narrow" w:eastAsia="Calibri" w:hAnsi="Arial Narrow"/>
                <w:color w:val="000000"/>
              </w:rPr>
              <w:t xml:space="preserve">Tamaño del Contrato </w:t>
            </w:r>
          </w:p>
        </w:tc>
        <w:tc>
          <w:tcPr>
            <w:tcW w:w="6152" w:type="dxa"/>
            <w:shd w:val="clear" w:color="auto" w:fill="auto"/>
            <w:hideMark/>
          </w:tcPr>
          <w:p w14:paraId="1A9E1064" w14:textId="77777777" w:rsidR="007968EC" w:rsidRPr="00AF6214" w:rsidRDefault="007968EC" w:rsidP="007968EC">
            <w:pPr>
              <w:ind w:left="71"/>
              <w:jc w:val="both"/>
              <w:rPr>
                <w:rFonts w:ascii="Arial Narrow" w:eastAsia="Calibri" w:hAnsi="Arial Narrow"/>
                <w:b/>
                <w:color w:val="000000"/>
              </w:rPr>
            </w:pPr>
            <w:r w:rsidRPr="00AF6214">
              <w:rPr>
                <w:rFonts w:ascii="Arial Narrow" w:eastAsia="Calibri" w:hAnsi="Arial Narrow"/>
                <w:color w:val="000000"/>
              </w:rPr>
              <w:t>USD$50.000 (cincuenta mil dólares americanos)</w:t>
            </w:r>
            <w:r>
              <w:rPr>
                <w:rFonts w:ascii="Arial Narrow" w:eastAsia="Calibri" w:hAnsi="Arial Narrow"/>
                <w:color w:val="000000"/>
              </w:rPr>
              <w:t>.</w:t>
            </w:r>
          </w:p>
        </w:tc>
      </w:tr>
      <w:tr w:rsidR="007968EC" w:rsidRPr="00AF6214" w14:paraId="751F8BD6" w14:textId="77777777" w:rsidTr="007968EC">
        <w:trPr>
          <w:trHeight w:val="1250"/>
          <w:jc w:val="center"/>
        </w:trPr>
        <w:tc>
          <w:tcPr>
            <w:tcW w:w="3261" w:type="dxa"/>
            <w:shd w:val="clear" w:color="000000" w:fill="BFBFBF"/>
            <w:hideMark/>
          </w:tcPr>
          <w:p w14:paraId="183012BC" w14:textId="77777777" w:rsidR="007968EC" w:rsidRPr="00AF6214" w:rsidRDefault="007968EC" w:rsidP="007968EC">
            <w:pPr>
              <w:rPr>
                <w:rFonts w:ascii="Arial Narrow" w:eastAsia="Calibri" w:hAnsi="Arial Narrow"/>
                <w:b/>
                <w:color w:val="000000"/>
              </w:rPr>
            </w:pPr>
            <w:r w:rsidRPr="00AF6214">
              <w:rPr>
                <w:rFonts w:ascii="Arial Narrow" w:eastAsia="Calibri" w:hAnsi="Arial Narrow"/>
                <w:color w:val="000000"/>
              </w:rPr>
              <w:lastRenderedPageBreak/>
              <w:t>Vencimientos</w:t>
            </w:r>
          </w:p>
        </w:tc>
        <w:tc>
          <w:tcPr>
            <w:tcW w:w="6152" w:type="dxa"/>
            <w:shd w:val="clear" w:color="auto" w:fill="auto"/>
            <w:hideMark/>
          </w:tcPr>
          <w:p w14:paraId="074B76F7" w14:textId="77777777" w:rsidR="007968EC" w:rsidRPr="00AF6214" w:rsidRDefault="007968EC" w:rsidP="007968EC">
            <w:pPr>
              <w:ind w:left="71"/>
              <w:jc w:val="both"/>
              <w:rPr>
                <w:rFonts w:ascii="Arial Narrow" w:eastAsia="Calibri" w:hAnsi="Arial Narrow"/>
                <w:b/>
                <w:color w:val="000000"/>
              </w:rPr>
            </w:pPr>
            <w:r w:rsidRPr="00AF6214">
              <w:rPr>
                <w:rFonts w:ascii="Arial Narrow" w:eastAsia="Calibri" w:hAnsi="Arial Narrow"/>
                <w:color w:val="000000"/>
              </w:rPr>
              <w:t>Se listarán vencimientos para los tres (3) meses siguientes a la negociación y adicionalmente los vencimientos trimestrales dentro del ciclo de marzo (marzo, junio, septiembre y diciembre de cada año) que sean requeridos para contar con vencimientos hasta un (1) año. En este sentido estarán listados los seis (6) vencimientos más cercanos.</w:t>
            </w:r>
          </w:p>
        </w:tc>
      </w:tr>
      <w:tr w:rsidR="007968EC" w:rsidRPr="00AF6214" w14:paraId="26CB4429" w14:textId="77777777" w:rsidTr="007968EC">
        <w:trPr>
          <w:trHeight w:val="570"/>
          <w:jc w:val="center"/>
        </w:trPr>
        <w:tc>
          <w:tcPr>
            <w:tcW w:w="3261" w:type="dxa"/>
            <w:shd w:val="clear" w:color="000000" w:fill="BFBFBF"/>
            <w:hideMark/>
          </w:tcPr>
          <w:p w14:paraId="56449417" w14:textId="77777777" w:rsidR="007968EC" w:rsidRPr="00AF6214" w:rsidRDefault="007968EC" w:rsidP="007968EC">
            <w:pPr>
              <w:rPr>
                <w:rFonts w:ascii="Arial Narrow" w:eastAsia="Calibri" w:hAnsi="Arial Narrow"/>
                <w:b/>
                <w:color w:val="000000"/>
              </w:rPr>
            </w:pPr>
            <w:r w:rsidRPr="00AF6214">
              <w:rPr>
                <w:rFonts w:ascii="Arial Narrow" w:eastAsia="Calibri" w:hAnsi="Arial Narrow"/>
                <w:color w:val="000000"/>
              </w:rPr>
              <w:t xml:space="preserve">Método de Liquidación </w:t>
            </w:r>
          </w:p>
        </w:tc>
        <w:tc>
          <w:tcPr>
            <w:tcW w:w="6152" w:type="dxa"/>
            <w:shd w:val="clear" w:color="auto" w:fill="auto"/>
            <w:hideMark/>
          </w:tcPr>
          <w:p w14:paraId="1FF2203B" w14:textId="77777777" w:rsidR="007968EC" w:rsidRPr="00AF6214" w:rsidRDefault="007968EC" w:rsidP="007968EC">
            <w:pPr>
              <w:ind w:left="71"/>
              <w:jc w:val="both"/>
              <w:rPr>
                <w:rFonts w:ascii="Arial Narrow" w:eastAsia="Calibri" w:hAnsi="Arial Narrow"/>
                <w:b/>
                <w:color w:val="000000"/>
              </w:rPr>
            </w:pPr>
            <w:r w:rsidRPr="00AF6214">
              <w:rPr>
                <w:rFonts w:ascii="Arial Narrow" w:eastAsia="Calibri" w:hAnsi="Arial Narrow"/>
                <w:color w:val="000000"/>
              </w:rPr>
              <w:t>Liquidación por Diferencias. Se realiza en pesos colombianos el día de Ultima Liquidación.</w:t>
            </w:r>
          </w:p>
        </w:tc>
      </w:tr>
      <w:tr w:rsidR="007968EC" w:rsidRPr="00AF6214" w14:paraId="732BAE7B" w14:textId="77777777" w:rsidTr="007968EC">
        <w:trPr>
          <w:trHeight w:val="303"/>
          <w:jc w:val="center"/>
        </w:trPr>
        <w:tc>
          <w:tcPr>
            <w:tcW w:w="3261" w:type="dxa"/>
            <w:shd w:val="clear" w:color="000000" w:fill="BFBFBF"/>
          </w:tcPr>
          <w:p w14:paraId="5F02B2BB" w14:textId="77777777" w:rsidR="007968EC" w:rsidRPr="00AF6214" w:rsidRDefault="007968EC" w:rsidP="007968EC">
            <w:pPr>
              <w:rPr>
                <w:rFonts w:ascii="Arial Narrow" w:eastAsia="Calibri" w:hAnsi="Arial Narrow"/>
                <w:b/>
                <w:color w:val="000000"/>
              </w:rPr>
            </w:pPr>
            <w:r w:rsidRPr="00AF6214">
              <w:rPr>
                <w:rFonts w:ascii="Arial Narrow" w:eastAsia="Calibri" w:hAnsi="Arial Narrow"/>
                <w:color w:val="000000"/>
              </w:rPr>
              <w:t>Tipo de Liquidación</w:t>
            </w:r>
          </w:p>
        </w:tc>
        <w:tc>
          <w:tcPr>
            <w:tcW w:w="6152" w:type="dxa"/>
            <w:shd w:val="clear" w:color="auto" w:fill="auto"/>
          </w:tcPr>
          <w:p w14:paraId="058FA7F9" w14:textId="77777777" w:rsidR="007968EC" w:rsidRPr="00AF6214" w:rsidRDefault="007968EC" w:rsidP="007968EC">
            <w:pPr>
              <w:autoSpaceDE w:val="0"/>
              <w:autoSpaceDN w:val="0"/>
              <w:adjustRightInd w:val="0"/>
              <w:ind w:left="57"/>
              <w:rPr>
                <w:rFonts w:ascii="Arial Narrow" w:eastAsia="Calibri" w:hAnsi="Arial Narrow"/>
                <w:b/>
                <w:color w:val="000000"/>
              </w:rPr>
            </w:pPr>
            <w:r w:rsidRPr="00AF6214">
              <w:rPr>
                <w:rFonts w:ascii="Arial Narrow" w:eastAsia="Calibri" w:hAnsi="Arial Narrow"/>
                <w:color w:val="000000"/>
              </w:rPr>
              <w:t>Liquidación Diaria y al Vencimiento.</w:t>
            </w:r>
          </w:p>
        </w:tc>
      </w:tr>
      <w:tr w:rsidR="007968EC" w:rsidRPr="00AF6214" w14:paraId="05E57D21" w14:textId="77777777" w:rsidTr="007968EC">
        <w:trPr>
          <w:trHeight w:val="840"/>
          <w:jc w:val="center"/>
        </w:trPr>
        <w:tc>
          <w:tcPr>
            <w:tcW w:w="3261" w:type="dxa"/>
            <w:shd w:val="clear" w:color="000000" w:fill="BFBFBF"/>
            <w:hideMark/>
          </w:tcPr>
          <w:p w14:paraId="6DD19945" w14:textId="77777777" w:rsidR="007968EC" w:rsidRPr="00AF6214" w:rsidRDefault="007968EC" w:rsidP="007968EC">
            <w:pPr>
              <w:rPr>
                <w:rFonts w:ascii="Arial Narrow" w:eastAsia="Calibri" w:hAnsi="Arial Narrow"/>
                <w:b/>
                <w:color w:val="000000"/>
              </w:rPr>
            </w:pPr>
            <w:r w:rsidRPr="00AF6214">
              <w:rPr>
                <w:rFonts w:ascii="Arial Narrow" w:eastAsia="Calibri" w:hAnsi="Arial Narrow"/>
                <w:color w:val="000000"/>
              </w:rPr>
              <w:t xml:space="preserve">Último día de Negociación </w:t>
            </w:r>
          </w:p>
        </w:tc>
        <w:tc>
          <w:tcPr>
            <w:tcW w:w="6152" w:type="dxa"/>
            <w:shd w:val="clear" w:color="auto" w:fill="auto"/>
            <w:hideMark/>
          </w:tcPr>
          <w:p w14:paraId="1CF1DE2F" w14:textId="77777777" w:rsidR="007968EC" w:rsidRPr="00AF6214" w:rsidRDefault="007968EC" w:rsidP="007968EC">
            <w:pPr>
              <w:ind w:left="71"/>
              <w:jc w:val="both"/>
              <w:rPr>
                <w:rFonts w:ascii="Arial Narrow" w:eastAsia="Calibri" w:hAnsi="Arial Narrow"/>
                <w:b/>
                <w:color w:val="000000"/>
              </w:rPr>
            </w:pPr>
            <w:r w:rsidRPr="00AF6214">
              <w:rPr>
                <w:rFonts w:ascii="Arial Narrow" w:eastAsia="Calibri" w:hAnsi="Arial Narrow"/>
                <w:color w:val="000000"/>
              </w:rPr>
              <w:t>Miércoles de la semana del mes de vencimiento. Cuando el miércoles de la semana del vencimiento corresponda a un día no hábil, se negociará hasta el día hábil siguiente.</w:t>
            </w:r>
          </w:p>
        </w:tc>
      </w:tr>
      <w:tr w:rsidR="007968EC" w:rsidRPr="00AF6214" w14:paraId="60341CDC" w14:textId="77777777" w:rsidTr="007968EC">
        <w:trPr>
          <w:trHeight w:val="254"/>
          <w:jc w:val="center"/>
        </w:trPr>
        <w:tc>
          <w:tcPr>
            <w:tcW w:w="3261" w:type="dxa"/>
            <w:shd w:val="clear" w:color="000000" w:fill="BFBFBF"/>
            <w:hideMark/>
          </w:tcPr>
          <w:p w14:paraId="4FFE1C7A" w14:textId="77777777" w:rsidR="007968EC" w:rsidRPr="00AF6214" w:rsidRDefault="007968EC" w:rsidP="007968EC">
            <w:pPr>
              <w:rPr>
                <w:rFonts w:ascii="Arial Narrow" w:eastAsia="Calibri" w:hAnsi="Arial Narrow"/>
                <w:b/>
                <w:color w:val="000000"/>
              </w:rPr>
            </w:pPr>
            <w:r w:rsidRPr="00AF6214">
              <w:rPr>
                <w:rFonts w:ascii="Arial Narrow" w:eastAsia="Calibri" w:hAnsi="Arial Narrow"/>
                <w:color w:val="000000"/>
              </w:rPr>
              <w:t>Día de Vencimiento</w:t>
            </w:r>
          </w:p>
        </w:tc>
        <w:tc>
          <w:tcPr>
            <w:tcW w:w="6152" w:type="dxa"/>
            <w:shd w:val="clear" w:color="auto" w:fill="auto"/>
            <w:hideMark/>
          </w:tcPr>
          <w:p w14:paraId="629744B7" w14:textId="77777777" w:rsidR="007968EC" w:rsidRPr="00AF6214" w:rsidRDefault="007968EC" w:rsidP="007968EC">
            <w:pPr>
              <w:ind w:left="71"/>
              <w:jc w:val="both"/>
              <w:rPr>
                <w:rFonts w:ascii="Arial Narrow" w:eastAsia="Calibri" w:hAnsi="Arial Narrow"/>
                <w:b/>
                <w:color w:val="000000"/>
              </w:rPr>
            </w:pPr>
            <w:r w:rsidRPr="00AF6214">
              <w:rPr>
                <w:rFonts w:ascii="Arial Narrow" w:eastAsia="Calibri" w:hAnsi="Arial Narrow"/>
                <w:color w:val="000000"/>
              </w:rPr>
              <w:t>Segundo miércoles del mes de vencimiento. Cuando el segundo miércoles del mes de vencimiento corresponda a un día no hábil, el día de vencimiento corresponderá al día hábil siguiente.</w:t>
            </w:r>
          </w:p>
        </w:tc>
      </w:tr>
      <w:tr w:rsidR="007968EC" w:rsidRPr="00AF6214" w14:paraId="6CC39CAD" w14:textId="77777777" w:rsidTr="007968EC">
        <w:trPr>
          <w:trHeight w:val="360"/>
          <w:jc w:val="center"/>
        </w:trPr>
        <w:tc>
          <w:tcPr>
            <w:tcW w:w="3261" w:type="dxa"/>
            <w:shd w:val="clear" w:color="000000" w:fill="BFBFBF"/>
            <w:hideMark/>
          </w:tcPr>
          <w:p w14:paraId="4A4411D7" w14:textId="77777777" w:rsidR="007968EC" w:rsidRPr="00AF6214" w:rsidRDefault="007968EC" w:rsidP="007968EC">
            <w:pPr>
              <w:rPr>
                <w:rFonts w:ascii="Arial Narrow" w:eastAsia="Calibri" w:hAnsi="Arial Narrow"/>
                <w:b/>
                <w:color w:val="000000"/>
              </w:rPr>
            </w:pPr>
            <w:r w:rsidRPr="00AF6214">
              <w:rPr>
                <w:rFonts w:ascii="Arial Narrow" w:eastAsia="Calibri" w:hAnsi="Arial Narrow"/>
                <w:color w:val="000000"/>
              </w:rPr>
              <w:t>Día de Última Liquidación</w:t>
            </w:r>
          </w:p>
        </w:tc>
        <w:tc>
          <w:tcPr>
            <w:tcW w:w="6152" w:type="dxa"/>
            <w:shd w:val="clear" w:color="auto" w:fill="auto"/>
            <w:hideMark/>
          </w:tcPr>
          <w:p w14:paraId="306D50DB" w14:textId="77777777" w:rsidR="007968EC" w:rsidRPr="00AF6214" w:rsidRDefault="007968EC" w:rsidP="007968EC">
            <w:pPr>
              <w:ind w:left="71"/>
              <w:jc w:val="both"/>
              <w:rPr>
                <w:rFonts w:ascii="Arial Narrow" w:eastAsia="Calibri" w:hAnsi="Arial Narrow"/>
                <w:b/>
                <w:color w:val="000000"/>
              </w:rPr>
            </w:pPr>
            <w:r w:rsidRPr="00AF6214">
              <w:rPr>
                <w:rFonts w:ascii="Arial Narrow" w:eastAsia="Calibri" w:hAnsi="Arial Narrow"/>
                <w:color w:val="000000"/>
              </w:rPr>
              <w:t>La última liquidación de cada Contrato se realizará el primer día hábil siguiente al vencimiento del Contrato.</w:t>
            </w:r>
          </w:p>
        </w:tc>
      </w:tr>
      <w:tr w:rsidR="007968EC" w:rsidRPr="00AF6214" w14:paraId="55412175" w14:textId="77777777" w:rsidTr="007968EC">
        <w:trPr>
          <w:trHeight w:val="360"/>
          <w:jc w:val="center"/>
        </w:trPr>
        <w:tc>
          <w:tcPr>
            <w:tcW w:w="3261" w:type="dxa"/>
            <w:shd w:val="clear" w:color="000000" w:fill="BFBFBF"/>
            <w:hideMark/>
          </w:tcPr>
          <w:p w14:paraId="275E7EC1" w14:textId="77777777" w:rsidR="007968EC" w:rsidRPr="00AF6214" w:rsidRDefault="007968EC" w:rsidP="007968EC">
            <w:pPr>
              <w:rPr>
                <w:rFonts w:ascii="Arial Narrow" w:eastAsia="Calibri" w:hAnsi="Arial Narrow"/>
                <w:b/>
                <w:color w:val="000000"/>
              </w:rPr>
            </w:pPr>
            <w:r w:rsidRPr="00AF6214">
              <w:rPr>
                <w:rFonts w:ascii="Arial Narrow" w:eastAsia="Calibri" w:hAnsi="Arial Narrow"/>
                <w:color w:val="000000"/>
              </w:rPr>
              <w:t>Inscripción</w:t>
            </w:r>
          </w:p>
        </w:tc>
        <w:tc>
          <w:tcPr>
            <w:tcW w:w="6152" w:type="dxa"/>
            <w:shd w:val="clear" w:color="auto" w:fill="auto"/>
            <w:hideMark/>
          </w:tcPr>
          <w:p w14:paraId="6F3166C9" w14:textId="77777777" w:rsidR="007968EC" w:rsidRPr="00AF6214" w:rsidRDefault="007968EC" w:rsidP="007968EC">
            <w:pPr>
              <w:ind w:left="71"/>
              <w:jc w:val="both"/>
              <w:rPr>
                <w:rFonts w:ascii="Arial Narrow" w:eastAsia="Calibri" w:hAnsi="Arial Narrow"/>
                <w:b/>
                <w:color w:val="000000"/>
              </w:rPr>
            </w:pPr>
            <w:r w:rsidRPr="00AF6214">
              <w:rPr>
                <w:rFonts w:ascii="Arial Narrow" w:eastAsia="Calibri" w:hAnsi="Arial Narrow"/>
                <w:color w:val="000000"/>
              </w:rPr>
              <w:t>Bolsa de Valores de Colombia – BVC.</w:t>
            </w:r>
          </w:p>
        </w:tc>
      </w:tr>
    </w:tbl>
    <w:p w14:paraId="3EAD69D5" w14:textId="77777777" w:rsidR="007968EC" w:rsidRPr="00AF6214" w:rsidRDefault="007968EC" w:rsidP="007968EC">
      <w:pPr>
        <w:autoSpaceDE w:val="0"/>
        <w:autoSpaceDN w:val="0"/>
        <w:jc w:val="both"/>
        <w:rPr>
          <w:rFonts w:ascii="Arial Narrow" w:eastAsia="Calibri" w:hAnsi="Arial Narrow"/>
          <w:b/>
          <w:bCs/>
          <w:color w:val="000000"/>
          <w:lang w:val="es-MX"/>
        </w:rPr>
      </w:pPr>
    </w:p>
    <w:p w14:paraId="1DC1F28A" w14:textId="77777777" w:rsidR="007968EC" w:rsidRPr="00AF6214" w:rsidRDefault="007968EC" w:rsidP="00DA7472">
      <w:pPr>
        <w:numPr>
          <w:ilvl w:val="0"/>
          <w:numId w:val="55"/>
        </w:numPr>
        <w:autoSpaceDE w:val="0"/>
        <w:autoSpaceDN w:val="0"/>
        <w:ind w:left="426" w:hanging="426"/>
        <w:jc w:val="both"/>
        <w:rPr>
          <w:rFonts w:ascii="Arial Narrow" w:eastAsia="Calibri" w:hAnsi="Arial Narrow"/>
          <w:b/>
          <w:bCs/>
          <w:color w:val="000000"/>
          <w:lang w:val="es-MX"/>
        </w:rPr>
      </w:pPr>
      <w:r w:rsidRPr="00AF6214">
        <w:rPr>
          <w:rFonts w:ascii="Arial Narrow" w:eastAsia="Calibri" w:hAnsi="Arial Narrow"/>
          <w:bCs/>
          <w:color w:val="000000"/>
          <w:lang w:val="es-MX"/>
        </w:rPr>
        <w:t>Calidad especial para participar como Miembro</w:t>
      </w:r>
      <w:r>
        <w:rPr>
          <w:rFonts w:ascii="Arial Narrow" w:eastAsia="Calibri" w:hAnsi="Arial Narrow"/>
          <w:bCs/>
          <w:color w:val="000000"/>
          <w:lang w:val="es-MX"/>
        </w:rPr>
        <w:t xml:space="preserve"> Liquidador</w:t>
      </w:r>
      <w:r w:rsidRPr="00AF6214">
        <w:rPr>
          <w:rFonts w:ascii="Arial Narrow" w:eastAsia="Calibri" w:hAnsi="Arial Narrow"/>
          <w:bCs/>
          <w:color w:val="000000"/>
          <w:lang w:val="es-MX"/>
        </w:rPr>
        <w:t xml:space="preserve"> en la Compensación y Liquidación del Instrumento Futuro de Tasa de Cambio Dólar/Peso: </w:t>
      </w:r>
    </w:p>
    <w:p w14:paraId="348249A9" w14:textId="77777777" w:rsidR="007968EC" w:rsidRPr="00AF6214" w:rsidRDefault="007968EC" w:rsidP="007968EC">
      <w:pPr>
        <w:autoSpaceDE w:val="0"/>
        <w:autoSpaceDN w:val="0"/>
        <w:ind w:left="426"/>
        <w:jc w:val="both"/>
        <w:rPr>
          <w:rFonts w:ascii="Arial Narrow" w:eastAsia="Calibri" w:hAnsi="Arial Narrow"/>
          <w:b/>
          <w:bCs/>
          <w:color w:val="000000"/>
          <w:lang w:val="es-MX"/>
        </w:rPr>
      </w:pPr>
    </w:p>
    <w:p w14:paraId="0550B4B6" w14:textId="77777777" w:rsidR="007968EC" w:rsidRPr="00AF6214" w:rsidRDefault="007968EC" w:rsidP="007968EC">
      <w:pPr>
        <w:autoSpaceDE w:val="0"/>
        <w:autoSpaceDN w:val="0"/>
        <w:ind w:left="426"/>
        <w:jc w:val="both"/>
        <w:rPr>
          <w:rFonts w:ascii="Arial Narrow" w:eastAsia="Calibri" w:hAnsi="Arial Narrow"/>
          <w:color w:val="000000"/>
          <w:lang w:val="es-MX"/>
        </w:rPr>
      </w:pPr>
      <w:r w:rsidRPr="00AF6214">
        <w:rPr>
          <w:rFonts w:ascii="Arial Narrow" w:eastAsia="Calibri" w:hAnsi="Arial Narrow"/>
          <w:color w:val="000000"/>
          <w:lang w:val="es-MX"/>
        </w:rPr>
        <w:t xml:space="preserve">De conformidad con lo previsto en el artículo 3º de la Resolución Externa 12 de 2008 modificado por la Resolución Externa 6 de 2017 de la Junta Directiva del Banco de la República, los Miembros Liquidadores del Segmento de Derivados Financieros que estén interesados en participar en la Compensación y Liquidación de operaciones sobre contratos de Futuro sobre Tasa de Cambio Dólar/Peso, deberán tener la calidad de Intermediarios del Mercado Cambiario (IMC) autorizados para realizar operaciones </w:t>
      </w:r>
      <w:r>
        <w:rPr>
          <w:rFonts w:ascii="Arial Narrow" w:eastAsia="Calibri" w:hAnsi="Arial Narrow"/>
          <w:color w:val="000000"/>
          <w:lang w:val="es-MX"/>
        </w:rPr>
        <w:t>de</w:t>
      </w:r>
      <w:r w:rsidRPr="00AF6214">
        <w:rPr>
          <w:rFonts w:ascii="Arial Narrow" w:eastAsia="Calibri" w:hAnsi="Arial Narrow"/>
          <w:color w:val="000000"/>
          <w:lang w:val="es-MX"/>
        </w:rPr>
        <w:t xml:space="preserve"> derivados de acuerdo con lo previsto en el artículo 59 de la Resolución Externa 8 de 2000 de la Junta Directiva del Banco de la República o las normas que lo modifiquen, adicionen o sustituyan.</w:t>
      </w:r>
    </w:p>
    <w:p w14:paraId="04315534" w14:textId="77777777" w:rsidR="007968EC" w:rsidRPr="00AF6214" w:rsidRDefault="007968EC" w:rsidP="007968EC">
      <w:pPr>
        <w:autoSpaceDE w:val="0"/>
        <w:autoSpaceDN w:val="0"/>
        <w:ind w:left="426"/>
        <w:jc w:val="both"/>
        <w:rPr>
          <w:rFonts w:ascii="Arial Narrow" w:eastAsia="Calibri" w:hAnsi="Arial Narrow"/>
          <w:color w:val="000000"/>
          <w:lang w:val="es-MX"/>
        </w:rPr>
      </w:pPr>
    </w:p>
    <w:p w14:paraId="739E705F" w14:textId="77777777" w:rsidR="007968EC" w:rsidRPr="00AF6214" w:rsidRDefault="007968EC" w:rsidP="007968EC">
      <w:pPr>
        <w:autoSpaceDE w:val="0"/>
        <w:autoSpaceDN w:val="0"/>
        <w:ind w:left="426"/>
        <w:jc w:val="both"/>
        <w:rPr>
          <w:rFonts w:ascii="Arial Narrow" w:eastAsia="Calibri" w:hAnsi="Arial Narrow"/>
          <w:b/>
          <w:bCs/>
          <w:color w:val="000000"/>
          <w:lang w:val="es-MX"/>
        </w:rPr>
      </w:pPr>
      <w:r w:rsidRPr="00AF6214">
        <w:rPr>
          <w:rFonts w:ascii="Arial Narrow" w:eastAsia="Calibri" w:hAnsi="Arial Narrow"/>
          <w:color w:val="000000"/>
          <w:lang w:val="es-MX"/>
        </w:rPr>
        <w:t xml:space="preserve">Los Miembros no Liquidadores que participen en el Segmento de Derivados Financieros que sean entidades vigiladas por la Superintendencia Financiera de Colombia podrán actuar en dicha modalidad en la Compensación y Liquidación de operaciones sobre contratos de Futuro sobre Tasa de Cambio Dólar/Peso. </w:t>
      </w:r>
    </w:p>
    <w:p w14:paraId="2049ED77" w14:textId="77777777" w:rsidR="007968EC" w:rsidRPr="00AF6214" w:rsidRDefault="007968EC" w:rsidP="007968EC">
      <w:pPr>
        <w:jc w:val="both"/>
        <w:rPr>
          <w:rFonts w:ascii="Arial Narrow" w:eastAsia="Calibri" w:hAnsi="Arial Narrow"/>
          <w:b/>
          <w:color w:val="000000"/>
        </w:rPr>
      </w:pPr>
      <w:r w:rsidRPr="00AF6214">
        <w:rPr>
          <w:rFonts w:ascii="Arial Narrow" w:eastAsia="Calibri" w:hAnsi="Arial Narrow"/>
          <w:bCs/>
          <w:color w:val="000000"/>
        </w:rPr>
        <w:t xml:space="preserve">A este Instrumento Futuro </w:t>
      </w:r>
      <w:r w:rsidRPr="00AF6214">
        <w:rPr>
          <w:rFonts w:ascii="Arial Narrow" w:eastAsia="Calibri" w:hAnsi="Arial Narrow"/>
          <w:bCs/>
          <w:color w:val="000000"/>
          <w:lang w:val="es-MX"/>
        </w:rPr>
        <w:t>de Tasa de Cambio Dólar/Peso</w:t>
      </w:r>
      <w:r w:rsidRPr="00AF6214">
        <w:rPr>
          <w:rFonts w:ascii="Arial Narrow" w:eastAsia="Calibri" w:hAnsi="Arial Narrow"/>
          <w:bCs/>
          <w:color w:val="000000"/>
        </w:rPr>
        <w:t xml:space="preserve"> le aplican las condiciones previstas en los numerales </w:t>
      </w:r>
      <w:r>
        <w:rPr>
          <w:rFonts w:ascii="Arial Narrow" w:eastAsia="Calibri" w:hAnsi="Arial Narrow"/>
          <w:bCs/>
          <w:color w:val="000000"/>
        </w:rPr>
        <w:t>2 y</w:t>
      </w:r>
      <w:r w:rsidRPr="00AF6214">
        <w:rPr>
          <w:rFonts w:ascii="Arial Narrow" w:eastAsia="Calibri" w:hAnsi="Arial Narrow"/>
          <w:bCs/>
          <w:color w:val="000000"/>
        </w:rPr>
        <w:t xml:space="preserve"> 3 del artículo 2.7.2.1. de la Circular Única de la Cámara.</w:t>
      </w:r>
    </w:p>
    <w:p w14:paraId="4F27B8EF" w14:textId="77777777" w:rsidR="007968EC" w:rsidRPr="002C0D19" w:rsidRDefault="007968EC" w:rsidP="007968EC">
      <w:pPr>
        <w:jc w:val="both"/>
        <w:rPr>
          <w:rFonts w:ascii="Arial Narrow" w:eastAsia="Calibri" w:hAnsi="Arial Narrow"/>
          <w:b/>
          <w:bCs/>
          <w:color w:val="000000" w:themeColor="text1"/>
        </w:rPr>
      </w:pPr>
    </w:p>
    <w:p w14:paraId="41EE8656" w14:textId="77777777" w:rsidR="007968EC" w:rsidRPr="0051722A" w:rsidRDefault="007968EC" w:rsidP="007968EC">
      <w:pPr>
        <w:pStyle w:val="ARTICULO0"/>
      </w:pPr>
      <w:bookmarkStart w:id="5172" w:name="_Toc470781159"/>
      <w:bookmarkStart w:id="5173" w:name="_Toc470784720"/>
      <w:bookmarkStart w:id="5174" w:name="_Toc470785257"/>
      <w:bookmarkStart w:id="5175" w:name="_Toc470791651"/>
      <w:bookmarkStart w:id="5176" w:name="_Toc472592394"/>
      <w:bookmarkStart w:id="5177" w:name="_Toc472593413"/>
      <w:bookmarkStart w:id="5178" w:name="_Toc479057202"/>
      <w:bookmarkStart w:id="5179" w:name="_Toc490066559"/>
      <w:bookmarkStart w:id="5180" w:name="_Toc31716220"/>
      <w:r w:rsidRPr="002C0D19">
        <w:t>Artículo 2.7.2.6.  Mini Contrato de Futuro de Tasa de Cambio Dólar/Peso</w:t>
      </w:r>
      <w:r w:rsidRPr="0051722A">
        <w:t>.</w:t>
      </w:r>
      <w:bookmarkEnd w:id="5172"/>
      <w:bookmarkEnd w:id="5173"/>
      <w:bookmarkEnd w:id="5174"/>
      <w:bookmarkEnd w:id="5175"/>
      <w:bookmarkEnd w:id="5176"/>
      <w:bookmarkEnd w:id="5177"/>
      <w:bookmarkEnd w:id="5178"/>
      <w:bookmarkEnd w:id="5179"/>
      <w:bookmarkEnd w:id="5180"/>
      <w:r w:rsidRPr="0051722A">
        <w:t xml:space="preserve"> </w:t>
      </w:r>
    </w:p>
    <w:p w14:paraId="76A45F17" w14:textId="77777777" w:rsidR="007968EC" w:rsidRDefault="007968EC" w:rsidP="007968EC">
      <w:pPr>
        <w:jc w:val="both"/>
        <w:rPr>
          <w:rFonts w:ascii="Arial Narrow" w:eastAsia="Calibri" w:hAnsi="Arial Narrow"/>
          <w:bCs/>
          <w:color w:val="000000" w:themeColor="text1"/>
          <w:u w:val="single"/>
        </w:rPr>
      </w:pPr>
    </w:p>
    <w:p w14:paraId="1AE0EAFF" w14:textId="77777777" w:rsidR="007968EC" w:rsidRPr="00432EEE" w:rsidRDefault="007968EC" w:rsidP="007968EC">
      <w:pPr>
        <w:pStyle w:val="ANTECEDENTES"/>
      </w:pPr>
      <w:r w:rsidRPr="00432EEE">
        <w:lastRenderedPageBreak/>
        <w:t>(Este artículo fue modificado mediante Circular 20 del 28 de septiembre de 2017, publicada en el Boletín Normativo No. 021 del 28 de septiembre de 2017. Rige a partir del 2 de octubre de 2017.)</w:t>
      </w:r>
    </w:p>
    <w:p w14:paraId="41A3F302" w14:textId="77777777" w:rsidR="007968EC" w:rsidRPr="002C0D19" w:rsidRDefault="007968EC" w:rsidP="007968EC">
      <w:pPr>
        <w:jc w:val="both"/>
        <w:rPr>
          <w:rFonts w:ascii="Arial Narrow" w:eastAsia="Calibri" w:hAnsi="Arial Narrow"/>
          <w:bCs/>
          <w:color w:val="000000" w:themeColor="text1"/>
          <w:u w:val="single"/>
        </w:rPr>
      </w:pPr>
    </w:p>
    <w:p w14:paraId="49AE5A4F" w14:textId="77777777" w:rsidR="007968EC" w:rsidRPr="00AF6214" w:rsidRDefault="007968EC" w:rsidP="007968EC">
      <w:pPr>
        <w:tabs>
          <w:tab w:val="num" w:pos="1065"/>
        </w:tabs>
        <w:autoSpaceDE w:val="0"/>
        <w:autoSpaceDN w:val="0"/>
        <w:jc w:val="both"/>
        <w:rPr>
          <w:rFonts w:ascii="Arial Narrow" w:eastAsia="Calibri" w:hAnsi="Arial Narrow"/>
          <w:b/>
          <w:bCs/>
          <w:color w:val="000000"/>
        </w:rPr>
      </w:pPr>
      <w:r w:rsidRPr="00AF6214">
        <w:rPr>
          <w:rFonts w:ascii="Arial Narrow" w:eastAsia="Calibri" w:hAnsi="Arial Narrow"/>
          <w:bCs/>
          <w:color w:val="000000"/>
        </w:rPr>
        <w:t>La Cámara se interpondrá como contraparte y realizará la Compensación y Liquidación del Instrumento Mini Contrato de Futuro de Tasa de Cambio Dólar/Peso bajo las siguientes condiciones:</w:t>
      </w:r>
    </w:p>
    <w:p w14:paraId="40CB6696" w14:textId="77777777" w:rsidR="007968EC" w:rsidRPr="00AF6214" w:rsidRDefault="007968EC" w:rsidP="007968EC">
      <w:pPr>
        <w:jc w:val="both"/>
        <w:rPr>
          <w:rFonts w:ascii="Arial Narrow" w:eastAsia="Calibri" w:hAnsi="Arial Narrow"/>
          <w:bCs/>
          <w:color w:val="000000"/>
        </w:rPr>
      </w:pPr>
    </w:p>
    <w:p w14:paraId="562B52D2" w14:textId="77777777" w:rsidR="007968EC" w:rsidRPr="00AF6214" w:rsidRDefault="007968EC" w:rsidP="00DA7472">
      <w:pPr>
        <w:numPr>
          <w:ilvl w:val="0"/>
          <w:numId w:val="62"/>
        </w:numPr>
        <w:ind w:left="284" w:hanging="302"/>
        <w:contextualSpacing/>
        <w:jc w:val="both"/>
        <w:rPr>
          <w:rFonts w:ascii="Arial Narrow" w:eastAsia="Calibri" w:hAnsi="Arial Narrow"/>
          <w:b/>
          <w:color w:val="000000"/>
        </w:rPr>
      </w:pPr>
      <w:r w:rsidRPr="00AF6214">
        <w:rPr>
          <w:rFonts w:ascii="Arial Narrow" w:eastAsia="Calibri" w:hAnsi="Arial Narrow"/>
          <w:color w:val="000000"/>
        </w:rPr>
        <w:t>Generalidades:</w:t>
      </w:r>
    </w:p>
    <w:p w14:paraId="57152352" w14:textId="77777777" w:rsidR="007968EC" w:rsidRPr="00AF6214" w:rsidRDefault="007968EC" w:rsidP="007968EC">
      <w:pPr>
        <w:ind w:left="342"/>
        <w:contextualSpacing/>
        <w:jc w:val="both"/>
        <w:rPr>
          <w:rFonts w:ascii="Arial Narrow" w:eastAsia="Calibri" w:hAnsi="Arial Narrow"/>
          <w:b/>
          <w:color w:val="000000"/>
        </w:rPr>
      </w:pPr>
    </w:p>
    <w:tbl>
      <w:tblPr>
        <w:tblW w:w="94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3402"/>
        <w:gridCol w:w="6011"/>
      </w:tblGrid>
      <w:tr w:rsidR="007968EC" w:rsidRPr="00AF6214" w14:paraId="7F61A3B5" w14:textId="77777777" w:rsidTr="007968EC">
        <w:trPr>
          <w:trHeight w:val="360"/>
          <w:jc w:val="center"/>
        </w:trPr>
        <w:tc>
          <w:tcPr>
            <w:tcW w:w="3402" w:type="dxa"/>
            <w:shd w:val="clear" w:color="000000" w:fill="BFBFBF"/>
            <w:hideMark/>
          </w:tcPr>
          <w:p w14:paraId="60F8E33E" w14:textId="77777777" w:rsidR="007968EC" w:rsidRPr="00AF6214" w:rsidRDefault="007968EC" w:rsidP="007968EC">
            <w:pPr>
              <w:rPr>
                <w:rFonts w:ascii="Arial Narrow" w:eastAsia="Calibri" w:hAnsi="Arial Narrow"/>
                <w:b/>
                <w:color w:val="000000"/>
              </w:rPr>
            </w:pPr>
            <w:r w:rsidRPr="00AF6214">
              <w:rPr>
                <w:rFonts w:ascii="Arial Narrow" w:eastAsia="Calibri" w:hAnsi="Arial Narrow"/>
                <w:color w:val="000000"/>
              </w:rPr>
              <w:t>Instrumento</w:t>
            </w:r>
          </w:p>
        </w:tc>
        <w:tc>
          <w:tcPr>
            <w:tcW w:w="6011" w:type="dxa"/>
            <w:shd w:val="clear" w:color="auto" w:fill="auto"/>
            <w:hideMark/>
          </w:tcPr>
          <w:p w14:paraId="4732B54A" w14:textId="77777777" w:rsidR="007968EC" w:rsidRPr="00AF6214" w:rsidRDefault="007968EC" w:rsidP="007968EC">
            <w:pPr>
              <w:jc w:val="both"/>
              <w:rPr>
                <w:rFonts w:ascii="Arial Narrow" w:eastAsia="Calibri" w:hAnsi="Arial Narrow"/>
                <w:b/>
                <w:color w:val="000000"/>
              </w:rPr>
            </w:pPr>
            <w:r w:rsidRPr="00AF6214">
              <w:rPr>
                <w:rFonts w:ascii="Arial Narrow" w:eastAsia="Calibri" w:hAnsi="Arial Narrow"/>
                <w:color w:val="000000"/>
              </w:rPr>
              <w:t xml:space="preserve">Mini Contrato de Futuro de Tasa de Cambio Dólar/Peso. </w:t>
            </w:r>
          </w:p>
        </w:tc>
      </w:tr>
      <w:tr w:rsidR="007968EC" w:rsidRPr="00AF6214" w14:paraId="64AD862A" w14:textId="77777777" w:rsidTr="007968EC">
        <w:trPr>
          <w:trHeight w:val="570"/>
          <w:jc w:val="center"/>
        </w:trPr>
        <w:tc>
          <w:tcPr>
            <w:tcW w:w="3402" w:type="dxa"/>
            <w:shd w:val="clear" w:color="000000" w:fill="BFBFBF"/>
            <w:hideMark/>
          </w:tcPr>
          <w:p w14:paraId="5FD25010" w14:textId="77777777" w:rsidR="007968EC" w:rsidRPr="00AF6214" w:rsidRDefault="007968EC" w:rsidP="007968EC">
            <w:pPr>
              <w:rPr>
                <w:rFonts w:ascii="Arial Narrow" w:eastAsia="Calibri" w:hAnsi="Arial Narrow"/>
                <w:b/>
                <w:color w:val="000000"/>
              </w:rPr>
            </w:pPr>
            <w:r w:rsidRPr="00AF6214">
              <w:rPr>
                <w:rFonts w:ascii="Arial Narrow" w:eastAsia="Calibri" w:hAnsi="Arial Narrow"/>
                <w:color w:val="000000"/>
              </w:rPr>
              <w:t xml:space="preserve">Activo Subyacente </w:t>
            </w:r>
          </w:p>
        </w:tc>
        <w:tc>
          <w:tcPr>
            <w:tcW w:w="6011" w:type="dxa"/>
            <w:shd w:val="clear" w:color="auto" w:fill="auto"/>
            <w:hideMark/>
          </w:tcPr>
          <w:p w14:paraId="225652A7" w14:textId="77777777" w:rsidR="007968EC" w:rsidRPr="00AF6214" w:rsidRDefault="007968EC" w:rsidP="007968EC">
            <w:pPr>
              <w:jc w:val="both"/>
              <w:rPr>
                <w:rFonts w:ascii="Arial Narrow" w:eastAsia="Calibri" w:hAnsi="Arial Narrow"/>
                <w:b/>
                <w:color w:val="000000"/>
              </w:rPr>
            </w:pPr>
            <w:r w:rsidRPr="00AF6214">
              <w:rPr>
                <w:rFonts w:ascii="Arial Narrow" w:eastAsia="Calibri" w:hAnsi="Arial Narrow"/>
                <w:color w:val="000000"/>
              </w:rPr>
              <w:t>Tasa Representativa del Mercado de dólares americanos (TRM) del día, publicada por la Superintendencia Financiera de Colombia</w:t>
            </w:r>
            <w:r>
              <w:rPr>
                <w:rFonts w:ascii="Arial Narrow" w:eastAsia="Calibri" w:hAnsi="Arial Narrow"/>
                <w:color w:val="000000"/>
              </w:rPr>
              <w:t>.</w:t>
            </w:r>
          </w:p>
        </w:tc>
      </w:tr>
      <w:tr w:rsidR="007968EC" w:rsidRPr="00AF6214" w14:paraId="5C592DCC" w14:textId="77777777" w:rsidTr="007968EC">
        <w:trPr>
          <w:trHeight w:val="360"/>
          <w:jc w:val="center"/>
        </w:trPr>
        <w:tc>
          <w:tcPr>
            <w:tcW w:w="3402" w:type="dxa"/>
            <w:shd w:val="clear" w:color="000000" w:fill="BFBFBF"/>
            <w:hideMark/>
          </w:tcPr>
          <w:p w14:paraId="7000ED9E" w14:textId="77777777" w:rsidR="007968EC" w:rsidRPr="00AF6214" w:rsidRDefault="007968EC" w:rsidP="007968EC">
            <w:pPr>
              <w:rPr>
                <w:rFonts w:ascii="Arial Narrow" w:eastAsia="Calibri" w:hAnsi="Arial Narrow"/>
                <w:b/>
                <w:color w:val="000000"/>
              </w:rPr>
            </w:pPr>
            <w:r w:rsidRPr="00AF6214">
              <w:rPr>
                <w:rFonts w:ascii="Arial Narrow" w:eastAsia="Calibri" w:hAnsi="Arial Narrow"/>
                <w:color w:val="000000"/>
              </w:rPr>
              <w:t xml:space="preserve">Tamaño del Contrato </w:t>
            </w:r>
          </w:p>
        </w:tc>
        <w:tc>
          <w:tcPr>
            <w:tcW w:w="6011" w:type="dxa"/>
            <w:shd w:val="clear" w:color="auto" w:fill="auto"/>
            <w:hideMark/>
          </w:tcPr>
          <w:p w14:paraId="6EA8C9F8" w14:textId="77777777" w:rsidR="007968EC" w:rsidRPr="00AF6214" w:rsidRDefault="007968EC" w:rsidP="007968EC">
            <w:pPr>
              <w:jc w:val="both"/>
              <w:rPr>
                <w:rFonts w:ascii="Arial Narrow" w:eastAsia="Calibri" w:hAnsi="Arial Narrow"/>
                <w:b/>
                <w:color w:val="000000"/>
              </w:rPr>
            </w:pPr>
            <w:r w:rsidRPr="00AF6214">
              <w:rPr>
                <w:rFonts w:ascii="Arial Narrow" w:eastAsia="Calibri" w:hAnsi="Arial Narrow"/>
                <w:color w:val="000000"/>
              </w:rPr>
              <w:t xml:space="preserve">USD$5.000 (cinco mil dólares americanos). </w:t>
            </w:r>
          </w:p>
        </w:tc>
      </w:tr>
      <w:tr w:rsidR="007968EC" w:rsidRPr="00AF6214" w14:paraId="08D2ADEC" w14:textId="77777777" w:rsidTr="007968EC">
        <w:trPr>
          <w:trHeight w:val="254"/>
          <w:jc w:val="center"/>
        </w:trPr>
        <w:tc>
          <w:tcPr>
            <w:tcW w:w="3402" w:type="dxa"/>
            <w:shd w:val="clear" w:color="000000" w:fill="BFBFBF"/>
            <w:hideMark/>
          </w:tcPr>
          <w:p w14:paraId="643ECAF1" w14:textId="77777777" w:rsidR="007968EC" w:rsidRPr="00AF6214" w:rsidRDefault="007968EC" w:rsidP="007968EC">
            <w:pPr>
              <w:rPr>
                <w:rFonts w:ascii="Arial Narrow" w:eastAsia="Calibri" w:hAnsi="Arial Narrow"/>
                <w:b/>
                <w:color w:val="000000"/>
              </w:rPr>
            </w:pPr>
            <w:r w:rsidRPr="00AF6214">
              <w:rPr>
                <w:rFonts w:ascii="Arial Narrow" w:eastAsia="Calibri" w:hAnsi="Arial Narrow"/>
                <w:color w:val="000000"/>
              </w:rPr>
              <w:t>Vencimientos</w:t>
            </w:r>
          </w:p>
        </w:tc>
        <w:tc>
          <w:tcPr>
            <w:tcW w:w="6011" w:type="dxa"/>
            <w:shd w:val="clear" w:color="auto" w:fill="auto"/>
            <w:hideMark/>
          </w:tcPr>
          <w:p w14:paraId="57FC659A" w14:textId="77777777" w:rsidR="007968EC" w:rsidRPr="00AF6214" w:rsidRDefault="007968EC" w:rsidP="007968EC">
            <w:pPr>
              <w:jc w:val="both"/>
              <w:rPr>
                <w:rFonts w:ascii="Arial Narrow" w:eastAsia="Calibri" w:hAnsi="Arial Narrow"/>
                <w:b/>
                <w:color w:val="000000"/>
              </w:rPr>
            </w:pPr>
            <w:r w:rsidRPr="00AF6214">
              <w:rPr>
                <w:rFonts w:ascii="Arial Narrow" w:eastAsia="Calibri" w:hAnsi="Arial Narrow"/>
                <w:color w:val="000000"/>
              </w:rPr>
              <w:t xml:space="preserve">Se listarán vencimientos para los tres (3) meses siguientes y adicionalmente los vencimientos trimestrales correspondientes al ciclo de Marzo (marzo, junio, septiembre y diciembre de cada año) que sean requeridos para contar con vencimientos hasta un (1) año. En este sentido estarán listados los seis (6) vencimientos más cercanos. </w:t>
            </w:r>
          </w:p>
        </w:tc>
      </w:tr>
      <w:tr w:rsidR="007968EC" w:rsidRPr="00AF6214" w14:paraId="7439A67B" w14:textId="77777777" w:rsidTr="007968EC">
        <w:trPr>
          <w:trHeight w:val="570"/>
          <w:jc w:val="center"/>
        </w:trPr>
        <w:tc>
          <w:tcPr>
            <w:tcW w:w="3402" w:type="dxa"/>
            <w:shd w:val="clear" w:color="000000" w:fill="BFBFBF"/>
            <w:hideMark/>
          </w:tcPr>
          <w:p w14:paraId="1566FC92" w14:textId="77777777" w:rsidR="007968EC" w:rsidRPr="00AF6214" w:rsidRDefault="007968EC" w:rsidP="007968EC">
            <w:pPr>
              <w:rPr>
                <w:rFonts w:ascii="Arial Narrow" w:eastAsia="Calibri" w:hAnsi="Arial Narrow"/>
                <w:b/>
                <w:color w:val="000000"/>
              </w:rPr>
            </w:pPr>
            <w:r w:rsidRPr="00AF6214">
              <w:rPr>
                <w:rFonts w:ascii="Arial Narrow" w:eastAsia="Calibri" w:hAnsi="Arial Narrow"/>
                <w:color w:val="000000"/>
              </w:rPr>
              <w:t xml:space="preserve">Método de Liquidación </w:t>
            </w:r>
          </w:p>
        </w:tc>
        <w:tc>
          <w:tcPr>
            <w:tcW w:w="6011" w:type="dxa"/>
            <w:shd w:val="clear" w:color="auto" w:fill="auto"/>
            <w:hideMark/>
          </w:tcPr>
          <w:p w14:paraId="2AF42B9B" w14:textId="77777777" w:rsidR="007968EC" w:rsidRPr="00AF6214" w:rsidRDefault="007968EC" w:rsidP="007968EC">
            <w:pPr>
              <w:jc w:val="both"/>
              <w:rPr>
                <w:rFonts w:ascii="Arial Narrow" w:eastAsia="Calibri" w:hAnsi="Arial Narrow"/>
                <w:b/>
                <w:color w:val="000000"/>
              </w:rPr>
            </w:pPr>
            <w:r w:rsidRPr="00AF6214">
              <w:rPr>
                <w:rFonts w:ascii="Arial Narrow" w:eastAsia="Calibri" w:hAnsi="Arial Narrow"/>
                <w:color w:val="000000"/>
              </w:rPr>
              <w:t>Liquidación por Diferencias entre el precio de cierre del último día de negociación y el subyacente (TRM). Se realiza en pesos colombianos el Día de Última liquidación.</w:t>
            </w:r>
          </w:p>
        </w:tc>
      </w:tr>
      <w:tr w:rsidR="007968EC" w:rsidRPr="00AF6214" w14:paraId="723758F1" w14:textId="77777777" w:rsidTr="007968EC">
        <w:trPr>
          <w:trHeight w:val="374"/>
          <w:jc w:val="center"/>
        </w:trPr>
        <w:tc>
          <w:tcPr>
            <w:tcW w:w="3402" w:type="dxa"/>
            <w:shd w:val="clear" w:color="000000" w:fill="BFBFBF"/>
          </w:tcPr>
          <w:p w14:paraId="62B4C055" w14:textId="77777777" w:rsidR="007968EC" w:rsidRPr="00AF6214" w:rsidRDefault="007968EC" w:rsidP="007968EC">
            <w:pPr>
              <w:rPr>
                <w:rFonts w:ascii="Arial Narrow" w:eastAsia="Calibri" w:hAnsi="Arial Narrow"/>
                <w:b/>
                <w:color w:val="000000"/>
              </w:rPr>
            </w:pPr>
            <w:r w:rsidRPr="00AF6214">
              <w:rPr>
                <w:rFonts w:ascii="Arial Narrow" w:eastAsia="Calibri" w:hAnsi="Arial Narrow"/>
                <w:color w:val="000000"/>
              </w:rPr>
              <w:t>Tipo de Liquidación</w:t>
            </w:r>
          </w:p>
        </w:tc>
        <w:tc>
          <w:tcPr>
            <w:tcW w:w="6011" w:type="dxa"/>
            <w:shd w:val="clear" w:color="auto" w:fill="auto"/>
          </w:tcPr>
          <w:p w14:paraId="4B435C43" w14:textId="77777777" w:rsidR="007968EC" w:rsidRPr="00AF6214" w:rsidRDefault="007968EC" w:rsidP="007968EC">
            <w:pPr>
              <w:autoSpaceDE w:val="0"/>
              <w:autoSpaceDN w:val="0"/>
              <w:adjustRightInd w:val="0"/>
              <w:rPr>
                <w:rFonts w:ascii="Arial Narrow" w:eastAsia="Calibri" w:hAnsi="Arial Narrow"/>
                <w:b/>
                <w:color w:val="000000"/>
              </w:rPr>
            </w:pPr>
            <w:r w:rsidRPr="00AF6214">
              <w:rPr>
                <w:rFonts w:ascii="Arial Narrow" w:eastAsia="Calibri" w:hAnsi="Arial Narrow"/>
                <w:color w:val="000000"/>
              </w:rPr>
              <w:t>Liquidación Diaria y al Vencimiento.</w:t>
            </w:r>
          </w:p>
        </w:tc>
      </w:tr>
      <w:tr w:rsidR="007968EC" w:rsidRPr="00AF6214" w14:paraId="07B34419" w14:textId="77777777" w:rsidTr="007968EC">
        <w:trPr>
          <w:trHeight w:val="840"/>
          <w:jc w:val="center"/>
        </w:trPr>
        <w:tc>
          <w:tcPr>
            <w:tcW w:w="3402" w:type="dxa"/>
            <w:shd w:val="clear" w:color="000000" w:fill="BFBFBF"/>
            <w:hideMark/>
          </w:tcPr>
          <w:p w14:paraId="505C1740" w14:textId="77777777" w:rsidR="007968EC" w:rsidRPr="00AF6214" w:rsidRDefault="007968EC" w:rsidP="007968EC">
            <w:pPr>
              <w:rPr>
                <w:rFonts w:ascii="Arial Narrow" w:eastAsia="Calibri" w:hAnsi="Arial Narrow"/>
                <w:b/>
                <w:color w:val="000000"/>
              </w:rPr>
            </w:pPr>
            <w:r w:rsidRPr="00AF6214">
              <w:rPr>
                <w:rFonts w:ascii="Arial Narrow" w:eastAsia="Calibri" w:hAnsi="Arial Narrow"/>
                <w:color w:val="000000"/>
              </w:rPr>
              <w:t xml:space="preserve">Último Día de Negociación </w:t>
            </w:r>
          </w:p>
        </w:tc>
        <w:tc>
          <w:tcPr>
            <w:tcW w:w="6011" w:type="dxa"/>
            <w:shd w:val="clear" w:color="auto" w:fill="auto"/>
            <w:hideMark/>
          </w:tcPr>
          <w:p w14:paraId="77F4DC45" w14:textId="77777777" w:rsidR="007968EC" w:rsidRPr="00AF6214" w:rsidRDefault="007968EC" w:rsidP="007968EC">
            <w:pPr>
              <w:jc w:val="both"/>
              <w:rPr>
                <w:rFonts w:ascii="Arial Narrow" w:eastAsia="Calibri" w:hAnsi="Arial Narrow"/>
                <w:b/>
                <w:color w:val="000000"/>
              </w:rPr>
            </w:pPr>
            <w:r w:rsidRPr="00AF6214">
              <w:rPr>
                <w:rFonts w:ascii="Arial Narrow" w:eastAsia="Calibri" w:hAnsi="Arial Narrow"/>
                <w:color w:val="000000"/>
              </w:rPr>
              <w:t>Miércoles de la semana del mes de vencimiento. Cuando el miércoles de la semana del vencimiento corresponda a un día no hábil, se negociará hasta el día hábil siguiente.</w:t>
            </w:r>
          </w:p>
        </w:tc>
      </w:tr>
      <w:tr w:rsidR="007968EC" w:rsidRPr="00AF6214" w14:paraId="37EEB9F6" w14:textId="77777777" w:rsidTr="007968EC">
        <w:trPr>
          <w:trHeight w:val="840"/>
          <w:jc w:val="center"/>
        </w:trPr>
        <w:tc>
          <w:tcPr>
            <w:tcW w:w="3402" w:type="dxa"/>
            <w:shd w:val="clear" w:color="000000" w:fill="BFBFBF"/>
            <w:hideMark/>
          </w:tcPr>
          <w:p w14:paraId="03481E78" w14:textId="77777777" w:rsidR="007968EC" w:rsidRPr="00AF6214" w:rsidRDefault="007968EC" w:rsidP="007968EC">
            <w:pPr>
              <w:rPr>
                <w:rFonts w:ascii="Arial Narrow" w:eastAsia="Calibri" w:hAnsi="Arial Narrow"/>
                <w:b/>
                <w:color w:val="000000"/>
              </w:rPr>
            </w:pPr>
            <w:r w:rsidRPr="00AF6214">
              <w:rPr>
                <w:rFonts w:ascii="Arial Narrow" w:eastAsia="Calibri" w:hAnsi="Arial Narrow"/>
                <w:color w:val="000000"/>
              </w:rPr>
              <w:t xml:space="preserve">Fecha de Vencimiento </w:t>
            </w:r>
          </w:p>
        </w:tc>
        <w:tc>
          <w:tcPr>
            <w:tcW w:w="6011" w:type="dxa"/>
            <w:shd w:val="clear" w:color="auto" w:fill="auto"/>
            <w:hideMark/>
          </w:tcPr>
          <w:p w14:paraId="00C59B98" w14:textId="77777777" w:rsidR="007968EC" w:rsidRPr="00AF6214" w:rsidRDefault="007968EC" w:rsidP="007968EC">
            <w:pPr>
              <w:jc w:val="both"/>
              <w:rPr>
                <w:rFonts w:ascii="Arial Narrow" w:eastAsia="Calibri" w:hAnsi="Arial Narrow"/>
                <w:b/>
                <w:color w:val="000000"/>
              </w:rPr>
            </w:pPr>
            <w:r w:rsidRPr="00AF6214">
              <w:rPr>
                <w:rFonts w:ascii="Arial Narrow" w:eastAsia="Calibri" w:hAnsi="Arial Narrow"/>
                <w:color w:val="000000"/>
              </w:rPr>
              <w:t>Segundo miércoles del mes de vencimiento. Cuando el segundo miércoles del mes de vencimiento corresponda a un día no hábil, el día de vencimiento corresponderá al día hábil siguiente.</w:t>
            </w:r>
          </w:p>
        </w:tc>
      </w:tr>
      <w:tr w:rsidR="007968EC" w:rsidRPr="00AF6214" w14:paraId="125AB120" w14:textId="77777777" w:rsidTr="007968EC">
        <w:trPr>
          <w:trHeight w:val="360"/>
          <w:jc w:val="center"/>
        </w:trPr>
        <w:tc>
          <w:tcPr>
            <w:tcW w:w="3402" w:type="dxa"/>
            <w:shd w:val="clear" w:color="000000" w:fill="BFBFBF"/>
            <w:hideMark/>
          </w:tcPr>
          <w:p w14:paraId="5C60F57D" w14:textId="77777777" w:rsidR="007968EC" w:rsidRPr="00AF6214" w:rsidRDefault="007968EC" w:rsidP="007968EC">
            <w:pPr>
              <w:rPr>
                <w:rFonts w:ascii="Arial Narrow" w:eastAsia="Calibri" w:hAnsi="Arial Narrow"/>
                <w:b/>
                <w:color w:val="000000"/>
              </w:rPr>
            </w:pPr>
            <w:r w:rsidRPr="00AF6214">
              <w:rPr>
                <w:rFonts w:ascii="Arial Narrow" w:eastAsia="Calibri" w:hAnsi="Arial Narrow"/>
                <w:color w:val="000000"/>
              </w:rPr>
              <w:t>Día de Ultima Liquidación</w:t>
            </w:r>
          </w:p>
        </w:tc>
        <w:tc>
          <w:tcPr>
            <w:tcW w:w="6011" w:type="dxa"/>
            <w:shd w:val="clear" w:color="auto" w:fill="auto"/>
            <w:hideMark/>
          </w:tcPr>
          <w:p w14:paraId="0EB6B56C" w14:textId="77777777" w:rsidR="007968EC" w:rsidRPr="00AF6214" w:rsidRDefault="007968EC" w:rsidP="007968EC">
            <w:pPr>
              <w:jc w:val="both"/>
              <w:rPr>
                <w:rFonts w:ascii="Arial Narrow" w:eastAsia="Calibri" w:hAnsi="Arial Narrow"/>
                <w:b/>
                <w:color w:val="000000"/>
              </w:rPr>
            </w:pPr>
            <w:r w:rsidRPr="00AF6214">
              <w:rPr>
                <w:rFonts w:ascii="Arial Narrow" w:eastAsia="Calibri" w:hAnsi="Arial Narrow"/>
                <w:color w:val="000000"/>
              </w:rPr>
              <w:t>La última liquidación de cada Contrato se realizará el primer día hábil siguiente al vencimiento del Contrato.</w:t>
            </w:r>
          </w:p>
        </w:tc>
      </w:tr>
      <w:tr w:rsidR="007968EC" w:rsidRPr="00AF6214" w14:paraId="4736B273" w14:textId="77777777" w:rsidTr="007968EC">
        <w:trPr>
          <w:trHeight w:val="360"/>
          <w:jc w:val="center"/>
        </w:trPr>
        <w:tc>
          <w:tcPr>
            <w:tcW w:w="3402" w:type="dxa"/>
            <w:shd w:val="clear" w:color="000000" w:fill="BFBFBF"/>
            <w:hideMark/>
          </w:tcPr>
          <w:p w14:paraId="3C49D7A4" w14:textId="77777777" w:rsidR="007968EC" w:rsidRPr="00AF6214" w:rsidRDefault="007968EC" w:rsidP="007968EC">
            <w:pPr>
              <w:rPr>
                <w:rFonts w:ascii="Arial Narrow" w:eastAsia="Calibri" w:hAnsi="Arial Narrow"/>
                <w:b/>
                <w:color w:val="000000"/>
              </w:rPr>
            </w:pPr>
            <w:r w:rsidRPr="00AF6214">
              <w:rPr>
                <w:rFonts w:ascii="Arial Narrow" w:eastAsia="Calibri" w:hAnsi="Arial Narrow"/>
                <w:color w:val="000000"/>
              </w:rPr>
              <w:t>Inscripción</w:t>
            </w:r>
          </w:p>
        </w:tc>
        <w:tc>
          <w:tcPr>
            <w:tcW w:w="6011" w:type="dxa"/>
            <w:shd w:val="clear" w:color="auto" w:fill="auto"/>
            <w:hideMark/>
          </w:tcPr>
          <w:p w14:paraId="77E27F33" w14:textId="77777777" w:rsidR="007968EC" w:rsidRPr="00AF6214" w:rsidRDefault="007968EC" w:rsidP="007968EC">
            <w:pPr>
              <w:jc w:val="both"/>
              <w:rPr>
                <w:rFonts w:ascii="Arial Narrow" w:eastAsia="Calibri" w:hAnsi="Arial Narrow"/>
                <w:b/>
                <w:color w:val="000000"/>
              </w:rPr>
            </w:pPr>
            <w:r w:rsidRPr="00AF6214">
              <w:rPr>
                <w:rFonts w:ascii="Arial Narrow" w:eastAsia="Calibri" w:hAnsi="Arial Narrow"/>
                <w:color w:val="000000"/>
              </w:rPr>
              <w:t>Bolsa de Valores de Colombia – BVC.</w:t>
            </w:r>
          </w:p>
        </w:tc>
      </w:tr>
    </w:tbl>
    <w:p w14:paraId="1868C769" w14:textId="77777777" w:rsidR="007968EC" w:rsidRPr="00AF6214" w:rsidRDefault="007968EC" w:rsidP="007968EC">
      <w:pPr>
        <w:tabs>
          <w:tab w:val="num" w:pos="1065"/>
        </w:tabs>
        <w:autoSpaceDE w:val="0"/>
        <w:autoSpaceDN w:val="0"/>
        <w:jc w:val="both"/>
        <w:rPr>
          <w:rFonts w:ascii="Arial Narrow" w:eastAsia="Calibri" w:hAnsi="Arial Narrow"/>
          <w:color w:val="000000"/>
          <w:u w:val="single"/>
        </w:rPr>
      </w:pPr>
    </w:p>
    <w:p w14:paraId="06B6D4A0" w14:textId="77777777" w:rsidR="007968EC" w:rsidRPr="00AF6214" w:rsidRDefault="007968EC" w:rsidP="00DA7472">
      <w:pPr>
        <w:numPr>
          <w:ilvl w:val="0"/>
          <w:numId w:val="62"/>
        </w:numPr>
        <w:ind w:left="284" w:hanging="304"/>
        <w:contextualSpacing/>
        <w:jc w:val="both"/>
        <w:rPr>
          <w:rFonts w:ascii="Arial Narrow" w:eastAsia="Calibri" w:hAnsi="Arial Narrow"/>
          <w:b/>
          <w:color w:val="000000"/>
        </w:rPr>
      </w:pPr>
      <w:r w:rsidRPr="00AF6214">
        <w:rPr>
          <w:rFonts w:ascii="Arial Narrow" w:eastAsia="Calibri" w:hAnsi="Arial Narrow"/>
          <w:color w:val="000000"/>
        </w:rPr>
        <w:t xml:space="preserve">Calidad especial para participar como Miembro </w:t>
      </w:r>
      <w:r>
        <w:rPr>
          <w:rFonts w:ascii="Arial Narrow" w:eastAsia="Calibri" w:hAnsi="Arial Narrow"/>
          <w:color w:val="000000"/>
        </w:rPr>
        <w:t xml:space="preserve">Liquidador </w:t>
      </w:r>
      <w:r w:rsidRPr="00AF6214">
        <w:rPr>
          <w:rFonts w:ascii="Arial Narrow" w:eastAsia="Calibri" w:hAnsi="Arial Narrow"/>
          <w:color w:val="000000"/>
        </w:rPr>
        <w:t>en la Compensación y Liquidación del Instrumento Mini Contrato de Futuro de Tasa de Cambio Dólar/Peso:</w:t>
      </w:r>
    </w:p>
    <w:p w14:paraId="2F07AA8F" w14:textId="77777777" w:rsidR="007968EC" w:rsidRPr="00AF6214" w:rsidRDefault="007968EC" w:rsidP="007968EC">
      <w:pPr>
        <w:ind w:left="340"/>
        <w:contextualSpacing/>
        <w:jc w:val="both"/>
        <w:rPr>
          <w:rFonts w:ascii="Arial Narrow" w:eastAsia="Calibri" w:hAnsi="Arial Narrow"/>
          <w:b/>
          <w:color w:val="000000"/>
        </w:rPr>
      </w:pPr>
    </w:p>
    <w:p w14:paraId="5426FEC6" w14:textId="77777777" w:rsidR="007968EC" w:rsidRPr="00AF6214" w:rsidRDefault="007968EC" w:rsidP="007968EC">
      <w:pPr>
        <w:autoSpaceDE w:val="0"/>
        <w:autoSpaceDN w:val="0"/>
        <w:ind w:left="284"/>
        <w:jc w:val="both"/>
        <w:rPr>
          <w:rFonts w:ascii="Arial Narrow" w:eastAsia="Calibri" w:hAnsi="Arial Narrow"/>
          <w:color w:val="000000"/>
          <w:lang w:val="es-MX"/>
        </w:rPr>
      </w:pPr>
      <w:r w:rsidRPr="00AF6214">
        <w:rPr>
          <w:rFonts w:ascii="Arial Narrow" w:eastAsia="Calibri" w:hAnsi="Arial Narrow"/>
          <w:color w:val="000000"/>
          <w:lang w:val="es-MX"/>
        </w:rPr>
        <w:t xml:space="preserve">De conformidad con lo previsto en el artículo 3º de la Resolución Externa 12 de 2008 modificado por la Resolución Externa 6 de 2017 de la Junta Directiva del Banco de la República, los Miembros Liquidadores del Segmento de Derivados Financieros que estén interesados en participar en la Compensación y Liquidación de operaciones sobre Mini Contratos de Futuro sobre Tasa de Cambio Dólar/Peso, deberán tener la calidad de Intermediarios del Mercado Cambiario (IMC) autorizados para realizar operaciones </w:t>
      </w:r>
      <w:r>
        <w:rPr>
          <w:rFonts w:ascii="Arial Narrow" w:eastAsia="Calibri" w:hAnsi="Arial Narrow"/>
          <w:color w:val="000000"/>
          <w:lang w:val="es-MX"/>
        </w:rPr>
        <w:t>de</w:t>
      </w:r>
      <w:r w:rsidRPr="00AF6214">
        <w:rPr>
          <w:rFonts w:ascii="Arial Narrow" w:eastAsia="Calibri" w:hAnsi="Arial Narrow"/>
          <w:color w:val="000000"/>
          <w:lang w:val="es-MX"/>
        </w:rPr>
        <w:t xml:space="preserve"> </w:t>
      </w:r>
      <w:r w:rsidRPr="00AF6214">
        <w:rPr>
          <w:rFonts w:ascii="Arial Narrow" w:eastAsia="Calibri" w:hAnsi="Arial Narrow"/>
          <w:color w:val="000000"/>
          <w:lang w:val="es-MX"/>
        </w:rPr>
        <w:lastRenderedPageBreak/>
        <w:t>derivados de acuerdo con lo previsto en el artículo 59 de la Resolución Externa 8 de 2000 de la Junta Directiva del Banco de la República o las normas que lo modifiquen, adicionen o sustituyan.</w:t>
      </w:r>
    </w:p>
    <w:p w14:paraId="7708CF10" w14:textId="77777777" w:rsidR="007968EC" w:rsidRPr="00AF6214" w:rsidRDefault="007968EC" w:rsidP="007968EC">
      <w:pPr>
        <w:autoSpaceDE w:val="0"/>
        <w:autoSpaceDN w:val="0"/>
        <w:ind w:left="284"/>
        <w:jc w:val="both"/>
        <w:rPr>
          <w:rFonts w:ascii="Arial Narrow" w:eastAsia="Calibri" w:hAnsi="Arial Narrow"/>
          <w:color w:val="000000"/>
          <w:lang w:val="es-MX"/>
        </w:rPr>
      </w:pPr>
    </w:p>
    <w:p w14:paraId="27FC908D" w14:textId="77777777" w:rsidR="007968EC" w:rsidRPr="00AF6214" w:rsidRDefault="007968EC" w:rsidP="007968EC">
      <w:pPr>
        <w:autoSpaceDE w:val="0"/>
        <w:autoSpaceDN w:val="0"/>
        <w:ind w:left="284"/>
        <w:jc w:val="both"/>
        <w:rPr>
          <w:rFonts w:ascii="Arial Narrow" w:eastAsia="Calibri" w:hAnsi="Arial Narrow"/>
          <w:color w:val="000000"/>
          <w:lang w:val="es-MX"/>
        </w:rPr>
      </w:pPr>
      <w:r w:rsidRPr="00AF6214">
        <w:rPr>
          <w:rFonts w:ascii="Arial Narrow" w:eastAsia="Calibri" w:hAnsi="Arial Narrow"/>
          <w:color w:val="000000"/>
          <w:lang w:val="es-MX"/>
        </w:rPr>
        <w:t>Los Miembros no Liquidadores que participen en el Segmento de Derivados Financieros que sean entidades vigiladas por la Superintendencia Financiera de Colombia podrán actuar en dicha modalidad en la Compensación y Liquidación de operaciones sobre Mini Contratos de Futuro sobre Tasa de Cambio Dólar/Peso.</w:t>
      </w:r>
    </w:p>
    <w:p w14:paraId="1F422EE4" w14:textId="77777777" w:rsidR="007968EC" w:rsidRDefault="007968EC" w:rsidP="007968EC">
      <w:pPr>
        <w:autoSpaceDE w:val="0"/>
        <w:autoSpaceDN w:val="0"/>
        <w:jc w:val="both"/>
        <w:rPr>
          <w:rFonts w:ascii="Arial Narrow" w:eastAsia="Calibri" w:hAnsi="Arial Narrow"/>
          <w:bCs/>
          <w:color w:val="000000" w:themeColor="text1"/>
        </w:rPr>
      </w:pPr>
      <w:r w:rsidRPr="00AF6214">
        <w:rPr>
          <w:rFonts w:ascii="Arial Narrow" w:eastAsia="Calibri" w:hAnsi="Arial Narrow"/>
          <w:color w:val="000000"/>
        </w:rPr>
        <w:t>A este Instrumento Mini Contrato de Futuro de Tasa de Cambio Dólar/Peso le aplican las condiciones previstas en los numerales 2 y 3 del artículo 2.7.2.1. de la Circular Única de la Cámara.</w:t>
      </w:r>
    </w:p>
    <w:p w14:paraId="490DA71C" w14:textId="77777777" w:rsidR="007968EC" w:rsidRPr="002C0D19" w:rsidRDefault="007968EC" w:rsidP="007968EC">
      <w:pPr>
        <w:autoSpaceDE w:val="0"/>
        <w:autoSpaceDN w:val="0"/>
        <w:jc w:val="both"/>
        <w:rPr>
          <w:rFonts w:ascii="Arial Narrow" w:eastAsia="Calibri" w:hAnsi="Arial Narrow"/>
          <w:bCs/>
          <w:color w:val="000000" w:themeColor="text1"/>
        </w:rPr>
      </w:pPr>
    </w:p>
    <w:p w14:paraId="2BD0C58C" w14:textId="77777777" w:rsidR="007968EC" w:rsidRDefault="007968EC" w:rsidP="007968EC">
      <w:pPr>
        <w:pStyle w:val="ARTICULO0"/>
      </w:pPr>
      <w:bookmarkStart w:id="5181" w:name="_Toc31716221"/>
      <w:bookmarkStart w:id="5182" w:name="_Toc470781160"/>
      <w:bookmarkStart w:id="5183" w:name="_Toc470784721"/>
      <w:bookmarkStart w:id="5184" w:name="_Toc470785258"/>
      <w:bookmarkStart w:id="5185" w:name="_Toc470791652"/>
      <w:bookmarkStart w:id="5186" w:name="_Toc472592395"/>
      <w:bookmarkStart w:id="5187" w:name="_Toc472593414"/>
      <w:bookmarkStart w:id="5188" w:name="_Toc479057203"/>
      <w:bookmarkStart w:id="5189" w:name="_Toc490066560"/>
      <w:r>
        <w:t>Artículo 2.7.2.7. Contrato de Opción sobre la TRM.</w:t>
      </w:r>
      <w:bookmarkEnd w:id="5181"/>
    </w:p>
    <w:p w14:paraId="033766AD" w14:textId="77777777" w:rsidR="007968EC" w:rsidRDefault="007968EC" w:rsidP="007968EC">
      <w:pPr>
        <w:autoSpaceDE w:val="0"/>
        <w:autoSpaceDN w:val="0"/>
        <w:jc w:val="both"/>
        <w:rPr>
          <w:rFonts w:ascii="Arial Narrow" w:eastAsia="Calibri" w:hAnsi="Arial Narrow"/>
          <w:color w:val="000000"/>
        </w:rPr>
      </w:pPr>
    </w:p>
    <w:p w14:paraId="7F6AB404" w14:textId="77777777" w:rsidR="007968EC" w:rsidRPr="00A02F15" w:rsidRDefault="007968EC" w:rsidP="007968EC">
      <w:pPr>
        <w:pStyle w:val="ANTECEDENTES"/>
      </w:pPr>
      <w:r w:rsidRPr="00A02F15">
        <w:t>(Este artículo fue adicionado mediante Circular 002 del 20 de febrero de 2018, publicada en el Boletín Normativo No. 003 del 20 de febrero de 2018. Rige a partir del 21 de febrero de 2018.)</w:t>
      </w:r>
    </w:p>
    <w:p w14:paraId="3B88EE00" w14:textId="77777777" w:rsidR="007968EC" w:rsidRDefault="007968EC" w:rsidP="007968EC">
      <w:pPr>
        <w:autoSpaceDE w:val="0"/>
        <w:autoSpaceDN w:val="0"/>
        <w:jc w:val="both"/>
        <w:rPr>
          <w:rFonts w:ascii="Arial Narrow" w:eastAsia="Calibri" w:hAnsi="Arial Narrow"/>
          <w:color w:val="000000"/>
        </w:rPr>
      </w:pPr>
    </w:p>
    <w:p w14:paraId="0F1F39D0" w14:textId="77777777" w:rsidR="007968EC" w:rsidRPr="00956EDA" w:rsidRDefault="007968EC" w:rsidP="007968EC">
      <w:pPr>
        <w:autoSpaceDE w:val="0"/>
        <w:autoSpaceDN w:val="0"/>
        <w:jc w:val="both"/>
        <w:rPr>
          <w:rFonts w:ascii="Arial Narrow" w:eastAsia="Calibri" w:hAnsi="Arial Narrow"/>
          <w:b/>
          <w:bCs/>
          <w:color w:val="000000" w:themeColor="text1"/>
          <w:lang w:val="es-MX"/>
        </w:rPr>
      </w:pPr>
      <w:r w:rsidRPr="00956EDA">
        <w:rPr>
          <w:rFonts w:ascii="Arial Narrow" w:eastAsia="Calibri" w:hAnsi="Arial Narrow"/>
          <w:bCs/>
          <w:color w:val="000000" w:themeColor="text1"/>
          <w:lang w:val="es-MX"/>
        </w:rPr>
        <w:t xml:space="preserve">La Cámara se interpondrá como contraparte y realizará la Compensación y Liquidación del Instrumento </w:t>
      </w:r>
      <w:r>
        <w:rPr>
          <w:rFonts w:ascii="Arial Narrow" w:eastAsia="Calibri" w:hAnsi="Arial Narrow"/>
          <w:bCs/>
          <w:color w:val="000000" w:themeColor="text1"/>
          <w:lang w:val="es-MX"/>
        </w:rPr>
        <w:t>Contrato de Opción sobre la TRM</w:t>
      </w:r>
      <w:r w:rsidRPr="00956EDA">
        <w:rPr>
          <w:rFonts w:ascii="Arial Narrow" w:eastAsia="Calibri" w:hAnsi="Arial Narrow"/>
          <w:bCs/>
          <w:color w:val="000000" w:themeColor="text1"/>
          <w:lang w:val="es-MX"/>
        </w:rPr>
        <w:t xml:space="preserve"> bajo las siguientes condiciones:</w:t>
      </w:r>
    </w:p>
    <w:p w14:paraId="3BF9A2CD" w14:textId="77777777" w:rsidR="007968EC" w:rsidRPr="00956EDA" w:rsidRDefault="007968EC" w:rsidP="007968EC">
      <w:pPr>
        <w:autoSpaceDE w:val="0"/>
        <w:autoSpaceDN w:val="0"/>
        <w:jc w:val="both"/>
        <w:rPr>
          <w:rFonts w:ascii="Arial Narrow" w:eastAsia="Calibri" w:hAnsi="Arial Narrow"/>
          <w:b/>
          <w:bCs/>
          <w:color w:val="000000" w:themeColor="text1"/>
          <w:lang w:val="es-MX"/>
        </w:rPr>
      </w:pPr>
    </w:p>
    <w:p w14:paraId="72E75BD3" w14:textId="77777777" w:rsidR="007968EC" w:rsidRPr="00956EDA" w:rsidRDefault="007968EC" w:rsidP="00DA7472">
      <w:pPr>
        <w:numPr>
          <w:ilvl w:val="0"/>
          <w:numId w:val="308"/>
        </w:numPr>
        <w:autoSpaceDE w:val="0"/>
        <w:autoSpaceDN w:val="0"/>
        <w:ind w:left="284" w:hanging="284"/>
        <w:jc w:val="both"/>
        <w:rPr>
          <w:rFonts w:ascii="Arial Narrow" w:eastAsia="Calibri" w:hAnsi="Arial Narrow"/>
          <w:b/>
          <w:bCs/>
          <w:color w:val="000000" w:themeColor="text1"/>
          <w:lang w:val="es-MX"/>
        </w:rPr>
      </w:pPr>
      <w:r w:rsidRPr="00B42588">
        <w:rPr>
          <w:rFonts w:ascii="Arial Narrow" w:eastAsia="Calibri" w:hAnsi="Arial Narrow"/>
          <w:color w:val="000000" w:themeColor="text1"/>
        </w:rPr>
        <w:t>Generalidades</w:t>
      </w:r>
      <w:r w:rsidRPr="00956EDA">
        <w:rPr>
          <w:rFonts w:ascii="Arial Narrow" w:eastAsia="Calibri" w:hAnsi="Arial Narrow"/>
          <w:bCs/>
          <w:color w:val="000000" w:themeColor="text1"/>
          <w:lang w:val="es-MX"/>
        </w:rPr>
        <w:t>:</w:t>
      </w:r>
    </w:p>
    <w:p w14:paraId="30BAA730" w14:textId="77777777" w:rsidR="007968EC" w:rsidRPr="00956EDA" w:rsidRDefault="007968EC" w:rsidP="007968EC">
      <w:pPr>
        <w:autoSpaceDE w:val="0"/>
        <w:autoSpaceDN w:val="0"/>
        <w:ind w:left="426"/>
        <w:jc w:val="both"/>
        <w:rPr>
          <w:rFonts w:ascii="Arial Narrow" w:eastAsia="Calibri" w:hAnsi="Arial Narrow"/>
          <w:b/>
          <w:bCs/>
          <w:color w:val="000000" w:themeColor="text1"/>
          <w:lang w:val="es-MX"/>
        </w:rPr>
      </w:pPr>
    </w:p>
    <w:tbl>
      <w:tblPr>
        <w:tblW w:w="9413"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2609"/>
        <w:gridCol w:w="6804"/>
      </w:tblGrid>
      <w:tr w:rsidR="007968EC" w:rsidRPr="00956EDA" w14:paraId="682BAA9C" w14:textId="77777777" w:rsidTr="007968EC">
        <w:trPr>
          <w:trHeight w:val="36"/>
        </w:trPr>
        <w:tc>
          <w:tcPr>
            <w:tcW w:w="2609" w:type="dxa"/>
            <w:shd w:val="clear" w:color="000000" w:fill="BFBFBF"/>
            <w:hideMark/>
          </w:tcPr>
          <w:p w14:paraId="03ACA7E5" w14:textId="77777777" w:rsidR="007968EC" w:rsidRPr="00956EDA" w:rsidRDefault="007968EC" w:rsidP="007968EC">
            <w:pPr>
              <w:rPr>
                <w:rFonts w:ascii="Arial Narrow" w:eastAsia="Calibri" w:hAnsi="Arial Narrow"/>
                <w:b/>
                <w:color w:val="000000" w:themeColor="text1"/>
              </w:rPr>
            </w:pPr>
            <w:r w:rsidRPr="00956EDA">
              <w:rPr>
                <w:rFonts w:ascii="Arial Narrow" w:eastAsia="Calibri" w:hAnsi="Arial Narrow"/>
                <w:color w:val="000000" w:themeColor="text1"/>
              </w:rPr>
              <w:t>Instrumento</w:t>
            </w:r>
          </w:p>
        </w:tc>
        <w:tc>
          <w:tcPr>
            <w:tcW w:w="6804" w:type="dxa"/>
            <w:shd w:val="clear" w:color="auto" w:fill="auto"/>
            <w:hideMark/>
          </w:tcPr>
          <w:p w14:paraId="11B1AC4C" w14:textId="77777777" w:rsidR="007968EC" w:rsidRPr="00956EDA" w:rsidRDefault="007968EC" w:rsidP="007968EC">
            <w:pPr>
              <w:ind w:left="71"/>
              <w:jc w:val="both"/>
              <w:rPr>
                <w:rFonts w:ascii="Arial Narrow" w:eastAsia="Calibri" w:hAnsi="Arial Narrow"/>
                <w:b/>
                <w:color w:val="000000" w:themeColor="text1"/>
              </w:rPr>
            </w:pPr>
            <w:r>
              <w:rPr>
                <w:rFonts w:ascii="Arial Narrow" w:eastAsia="Calibri" w:hAnsi="Arial Narrow"/>
                <w:color w:val="000000" w:themeColor="text1"/>
              </w:rPr>
              <w:t>Contrato de Opción sobre la</w:t>
            </w:r>
            <w:r w:rsidRPr="00956EDA">
              <w:rPr>
                <w:rFonts w:ascii="Arial Narrow" w:eastAsia="Calibri" w:hAnsi="Arial Narrow"/>
                <w:color w:val="000000" w:themeColor="text1"/>
              </w:rPr>
              <w:t xml:space="preserve"> T</w:t>
            </w:r>
            <w:r>
              <w:rPr>
                <w:rFonts w:ascii="Arial Narrow" w:eastAsia="Calibri" w:hAnsi="Arial Narrow"/>
                <w:color w:val="000000" w:themeColor="text1"/>
              </w:rPr>
              <w:t>RM</w:t>
            </w:r>
          </w:p>
        </w:tc>
      </w:tr>
      <w:tr w:rsidR="007968EC" w:rsidRPr="00956EDA" w14:paraId="38ACAAC6" w14:textId="77777777" w:rsidTr="007968EC">
        <w:trPr>
          <w:trHeight w:val="570"/>
        </w:trPr>
        <w:tc>
          <w:tcPr>
            <w:tcW w:w="2609" w:type="dxa"/>
            <w:shd w:val="clear" w:color="000000" w:fill="BFBFBF"/>
            <w:hideMark/>
          </w:tcPr>
          <w:p w14:paraId="6E3D1C0E" w14:textId="77777777" w:rsidR="007968EC" w:rsidRPr="00956EDA" w:rsidRDefault="007968EC" w:rsidP="007968EC">
            <w:pPr>
              <w:rPr>
                <w:rFonts w:ascii="Arial Narrow" w:eastAsia="Calibri" w:hAnsi="Arial Narrow"/>
                <w:b/>
                <w:color w:val="000000" w:themeColor="text1"/>
              </w:rPr>
            </w:pPr>
            <w:r w:rsidRPr="00956EDA">
              <w:rPr>
                <w:rFonts w:ascii="Arial Narrow" w:eastAsia="Calibri" w:hAnsi="Arial Narrow"/>
                <w:color w:val="000000" w:themeColor="text1"/>
              </w:rPr>
              <w:t xml:space="preserve">Activo Subyacente </w:t>
            </w:r>
          </w:p>
        </w:tc>
        <w:tc>
          <w:tcPr>
            <w:tcW w:w="6804" w:type="dxa"/>
            <w:shd w:val="clear" w:color="auto" w:fill="auto"/>
            <w:hideMark/>
          </w:tcPr>
          <w:p w14:paraId="396A28D1" w14:textId="77777777" w:rsidR="007968EC" w:rsidRPr="00956EDA" w:rsidRDefault="007968EC" w:rsidP="007968EC">
            <w:pPr>
              <w:ind w:left="71"/>
              <w:jc w:val="both"/>
              <w:rPr>
                <w:rFonts w:ascii="Arial Narrow" w:eastAsia="Calibri" w:hAnsi="Arial Narrow"/>
                <w:b/>
                <w:color w:val="000000" w:themeColor="text1"/>
              </w:rPr>
            </w:pPr>
            <w:r w:rsidRPr="00956EDA">
              <w:rPr>
                <w:rFonts w:ascii="Arial Narrow" w:eastAsia="Calibri" w:hAnsi="Arial Narrow"/>
                <w:color w:val="000000" w:themeColor="text1"/>
              </w:rPr>
              <w:t>Tasa Representativa del Mercado (TRM) del día, publicada por la Superintendencia Financiera</w:t>
            </w:r>
            <w:r>
              <w:rPr>
                <w:rFonts w:ascii="Arial Narrow" w:eastAsia="Calibri" w:hAnsi="Arial Narrow"/>
                <w:color w:val="000000" w:themeColor="text1"/>
              </w:rPr>
              <w:t xml:space="preserve"> </w:t>
            </w:r>
            <w:r w:rsidRPr="00956EDA">
              <w:rPr>
                <w:rFonts w:ascii="Arial Narrow" w:eastAsia="Calibri" w:hAnsi="Arial Narrow"/>
                <w:color w:val="000000" w:themeColor="text1"/>
              </w:rPr>
              <w:t>de Colombia</w:t>
            </w:r>
          </w:p>
        </w:tc>
      </w:tr>
      <w:tr w:rsidR="007968EC" w:rsidRPr="00956EDA" w14:paraId="2CC44619" w14:textId="77777777" w:rsidTr="007968EC">
        <w:trPr>
          <w:trHeight w:val="36"/>
        </w:trPr>
        <w:tc>
          <w:tcPr>
            <w:tcW w:w="2609" w:type="dxa"/>
            <w:shd w:val="clear" w:color="000000" w:fill="BFBFBF"/>
            <w:hideMark/>
          </w:tcPr>
          <w:p w14:paraId="53204765" w14:textId="77777777" w:rsidR="007968EC" w:rsidRPr="00956EDA" w:rsidRDefault="007968EC" w:rsidP="007968EC">
            <w:pPr>
              <w:rPr>
                <w:rFonts w:ascii="Arial Narrow" w:eastAsia="Calibri" w:hAnsi="Arial Narrow"/>
                <w:b/>
                <w:color w:val="000000" w:themeColor="text1"/>
              </w:rPr>
            </w:pPr>
            <w:r w:rsidRPr="00956EDA">
              <w:rPr>
                <w:rFonts w:ascii="Arial Narrow" w:eastAsia="Calibri" w:hAnsi="Arial Narrow"/>
                <w:color w:val="000000" w:themeColor="text1"/>
              </w:rPr>
              <w:t xml:space="preserve">Tamaño del Contrato </w:t>
            </w:r>
          </w:p>
        </w:tc>
        <w:tc>
          <w:tcPr>
            <w:tcW w:w="6804" w:type="dxa"/>
            <w:shd w:val="clear" w:color="auto" w:fill="auto"/>
            <w:hideMark/>
          </w:tcPr>
          <w:p w14:paraId="185FC2E3" w14:textId="77777777" w:rsidR="007968EC" w:rsidRPr="00956EDA" w:rsidRDefault="007968EC" w:rsidP="007968EC">
            <w:pPr>
              <w:ind w:left="71"/>
              <w:jc w:val="both"/>
              <w:rPr>
                <w:rFonts w:ascii="Arial Narrow" w:eastAsia="Calibri" w:hAnsi="Arial Narrow"/>
                <w:b/>
                <w:color w:val="000000" w:themeColor="text1"/>
              </w:rPr>
            </w:pPr>
            <w:r w:rsidRPr="00956EDA">
              <w:rPr>
                <w:rFonts w:ascii="Arial Narrow" w:eastAsia="Calibri" w:hAnsi="Arial Narrow"/>
                <w:color w:val="000000" w:themeColor="text1"/>
              </w:rPr>
              <w:t>USD$50.000 (cincuenta mil dólares americanos)</w:t>
            </w:r>
          </w:p>
        </w:tc>
      </w:tr>
      <w:tr w:rsidR="007968EC" w:rsidRPr="00956EDA" w14:paraId="69D9C3DA" w14:textId="77777777" w:rsidTr="007968EC">
        <w:trPr>
          <w:trHeight w:val="670"/>
        </w:trPr>
        <w:tc>
          <w:tcPr>
            <w:tcW w:w="2609" w:type="dxa"/>
            <w:shd w:val="clear" w:color="000000" w:fill="BFBFBF"/>
            <w:hideMark/>
          </w:tcPr>
          <w:p w14:paraId="00C1F970" w14:textId="77777777" w:rsidR="007968EC" w:rsidRPr="00956EDA" w:rsidRDefault="007968EC" w:rsidP="007968EC">
            <w:pPr>
              <w:rPr>
                <w:rFonts w:ascii="Arial Narrow" w:eastAsia="Calibri" w:hAnsi="Arial Narrow"/>
                <w:b/>
                <w:color w:val="000000" w:themeColor="text1"/>
              </w:rPr>
            </w:pPr>
            <w:r w:rsidRPr="00956EDA">
              <w:rPr>
                <w:rFonts w:ascii="Arial Narrow" w:eastAsia="Calibri" w:hAnsi="Arial Narrow"/>
                <w:color w:val="000000" w:themeColor="text1"/>
              </w:rPr>
              <w:t>Vencimientos</w:t>
            </w:r>
          </w:p>
        </w:tc>
        <w:tc>
          <w:tcPr>
            <w:tcW w:w="6804" w:type="dxa"/>
            <w:shd w:val="clear" w:color="auto" w:fill="auto"/>
            <w:hideMark/>
          </w:tcPr>
          <w:p w14:paraId="2C8AF4B0" w14:textId="77777777" w:rsidR="007968EC" w:rsidRPr="00956EDA" w:rsidRDefault="007968EC" w:rsidP="007968EC">
            <w:pPr>
              <w:ind w:left="71"/>
              <w:jc w:val="both"/>
              <w:rPr>
                <w:rFonts w:ascii="Arial Narrow" w:eastAsia="Calibri" w:hAnsi="Arial Narrow"/>
                <w:b/>
                <w:color w:val="000000" w:themeColor="text1"/>
              </w:rPr>
            </w:pPr>
            <w:r w:rsidRPr="00956EDA">
              <w:rPr>
                <w:rFonts w:ascii="Arial Narrow" w:eastAsia="Calibri" w:hAnsi="Arial Narrow"/>
                <w:color w:val="000000" w:themeColor="text1"/>
              </w:rPr>
              <w:t xml:space="preserve">Se listarán vencimientos </w:t>
            </w:r>
            <w:r>
              <w:rPr>
                <w:rFonts w:ascii="Arial Narrow" w:eastAsia="Calibri" w:hAnsi="Arial Narrow"/>
                <w:color w:val="000000" w:themeColor="text1"/>
              </w:rPr>
              <w:t xml:space="preserve">mensuales y </w:t>
            </w:r>
            <w:r w:rsidRPr="00956EDA">
              <w:rPr>
                <w:rFonts w:ascii="Arial Narrow" w:eastAsia="Calibri" w:hAnsi="Arial Narrow"/>
                <w:color w:val="000000" w:themeColor="text1"/>
              </w:rPr>
              <w:t>trimestrales dentro del ciclo de marzo (marzo, junio, septiembre y diciembre).</w:t>
            </w:r>
          </w:p>
        </w:tc>
      </w:tr>
      <w:tr w:rsidR="007968EC" w:rsidRPr="00956EDA" w14:paraId="65C9B09C" w14:textId="77777777" w:rsidTr="007968EC">
        <w:trPr>
          <w:trHeight w:val="570"/>
        </w:trPr>
        <w:tc>
          <w:tcPr>
            <w:tcW w:w="2609" w:type="dxa"/>
            <w:shd w:val="clear" w:color="000000" w:fill="BFBFBF"/>
            <w:hideMark/>
          </w:tcPr>
          <w:p w14:paraId="623B6536" w14:textId="77777777" w:rsidR="007968EC" w:rsidRPr="00956EDA" w:rsidRDefault="007968EC" w:rsidP="007968EC">
            <w:pPr>
              <w:rPr>
                <w:rFonts w:ascii="Arial Narrow" w:eastAsia="Calibri" w:hAnsi="Arial Narrow"/>
                <w:b/>
                <w:color w:val="000000" w:themeColor="text1"/>
              </w:rPr>
            </w:pPr>
            <w:r w:rsidRPr="00956EDA">
              <w:rPr>
                <w:rFonts w:ascii="Arial Narrow" w:eastAsia="Calibri" w:hAnsi="Arial Narrow"/>
                <w:color w:val="000000" w:themeColor="text1"/>
              </w:rPr>
              <w:t xml:space="preserve">Método de Liquidación </w:t>
            </w:r>
          </w:p>
        </w:tc>
        <w:tc>
          <w:tcPr>
            <w:tcW w:w="6804" w:type="dxa"/>
            <w:shd w:val="clear" w:color="auto" w:fill="auto"/>
            <w:hideMark/>
          </w:tcPr>
          <w:p w14:paraId="1BA6B710" w14:textId="77777777" w:rsidR="007968EC" w:rsidRPr="00956EDA" w:rsidRDefault="007968EC" w:rsidP="007968EC">
            <w:pPr>
              <w:ind w:left="71"/>
              <w:jc w:val="both"/>
              <w:rPr>
                <w:rFonts w:ascii="Arial Narrow" w:eastAsia="Calibri" w:hAnsi="Arial Narrow"/>
                <w:b/>
                <w:color w:val="000000" w:themeColor="text1"/>
              </w:rPr>
            </w:pPr>
            <w:r w:rsidRPr="00956EDA">
              <w:rPr>
                <w:rFonts w:ascii="Arial Narrow" w:eastAsia="Calibri" w:hAnsi="Arial Narrow"/>
                <w:color w:val="000000" w:themeColor="text1"/>
              </w:rPr>
              <w:t xml:space="preserve">Liquidación por Diferencias. Se realiza en pesos colombianos el día de </w:t>
            </w:r>
            <w:r>
              <w:rPr>
                <w:rFonts w:ascii="Arial Narrow" w:eastAsia="Calibri" w:hAnsi="Arial Narrow"/>
                <w:color w:val="000000" w:themeColor="text1"/>
              </w:rPr>
              <w:t>vencimiento</w:t>
            </w:r>
            <w:r w:rsidRPr="00956EDA">
              <w:rPr>
                <w:rFonts w:ascii="Arial Narrow" w:eastAsia="Calibri" w:hAnsi="Arial Narrow"/>
                <w:color w:val="000000" w:themeColor="text1"/>
              </w:rPr>
              <w:t>.</w:t>
            </w:r>
          </w:p>
        </w:tc>
      </w:tr>
      <w:tr w:rsidR="007968EC" w:rsidRPr="00956EDA" w14:paraId="5EA35DB1" w14:textId="77777777" w:rsidTr="007968EC">
        <w:trPr>
          <w:trHeight w:val="36"/>
        </w:trPr>
        <w:tc>
          <w:tcPr>
            <w:tcW w:w="2609" w:type="dxa"/>
            <w:shd w:val="clear" w:color="000000" w:fill="BFBFBF"/>
            <w:vAlign w:val="center"/>
          </w:tcPr>
          <w:p w14:paraId="05893BAC" w14:textId="77777777" w:rsidR="007968EC" w:rsidRPr="00956EDA" w:rsidRDefault="007968EC" w:rsidP="007968EC">
            <w:pPr>
              <w:rPr>
                <w:rFonts w:ascii="Arial Narrow" w:eastAsia="Calibri" w:hAnsi="Arial Narrow"/>
                <w:b/>
                <w:color w:val="000000" w:themeColor="text1"/>
              </w:rPr>
            </w:pPr>
            <w:r w:rsidRPr="00956EDA">
              <w:rPr>
                <w:rFonts w:ascii="Arial Narrow" w:eastAsia="Calibri" w:hAnsi="Arial Narrow"/>
                <w:color w:val="000000" w:themeColor="text1"/>
              </w:rPr>
              <w:t>Tipo de Liquidación</w:t>
            </w:r>
          </w:p>
        </w:tc>
        <w:tc>
          <w:tcPr>
            <w:tcW w:w="6804" w:type="dxa"/>
            <w:shd w:val="clear" w:color="auto" w:fill="auto"/>
            <w:vAlign w:val="center"/>
          </w:tcPr>
          <w:p w14:paraId="7CC2F7A5" w14:textId="77777777" w:rsidR="007968EC" w:rsidRPr="00956EDA" w:rsidRDefault="007968EC" w:rsidP="007968EC">
            <w:pPr>
              <w:autoSpaceDE w:val="0"/>
              <w:autoSpaceDN w:val="0"/>
              <w:adjustRightInd w:val="0"/>
              <w:rPr>
                <w:rFonts w:ascii="Arial Narrow" w:eastAsia="Calibri" w:hAnsi="Arial Narrow"/>
                <w:b/>
                <w:color w:val="000000" w:themeColor="text1"/>
              </w:rPr>
            </w:pPr>
            <w:r w:rsidRPr="00956EDA">
              <w:rPr>
                <w:rFonts w:ascii="Arial Narrow" w:hAnsi="Arial Narrow"/>
                <w:bCs/>
                <w:color w:val="000000" w:themeColor="text1"/>
                <w:lang w:val="es-ES" w:eastAsia="es-ES"/>
              </w:rPr>
              <w:t>Liquidación únicamente al Vencimiento</w:t>
            </w:r>
          </w:p>
        </w:tc>
      </w:tr>
      <w:tr w:rsidR="007968EC" w:rsidRPr="00956EDA" w14:paraId="00A131A4" w14:textId="77777777" w:rsidTr="007968EC">
        <w:trPr>
          <w:trHeight w:val="451"/>
        </w:trPr>
        <w:tc>
          <w:tcPr>
            <w:tcW w:w="2609" w:type="dxa"/>
            <w:shd w:val="clear" w:color="000000" w:fill="BFBFBF"/>
            <w:hideMark/>
          </w:tcPr>
          <w:p w14:paraId="3C4E26BE" w14:textId="77777777" w:rsidR="007968EC" w:rsidRPr="00956EDA" w:rsidRDefault="007968EC" w:rsidP="007968EC">
            <w:pPr>
              <w:rPr>
                <w:rFonts w:ascii="Arial Narrow" w:eastAsia="Calibri" w:hAnsi="Arial Narrow"/>
                <w:b/>
                <w:color w:val="000000" w:themeColor="text1"/>
              </w:rPr>
            </w:pPr>
            <w:r w:rsidRPr="00956EDA">
              <w:rPr>
                <w:rFonts w:ascii="Arial Narrow" w:eastAsia="Calibri" w:hAnsi="Arial Narrow"/>
                <w:color w:val="000000" w:themeColor="text1"/>
              </w:rPr>
              <w:t xml:space="preserve">Último día de Negociación </w:t>
            </w:r>
          </w:p>
        </w:tc>
        <w:tc>
          <w:tcPr>
            <w:tcW w:w="6804" w:type="dxa"/>
            <w:shd w:val="clear" w:color="auto" w:fill="auto"/>
            <w:hideMark/>
          </w:tcPr>
          <w:p w14:paraId="1D311FE4" w14:textId="77777777" w:rsidR="007968EC" w:rsidRPr="00956EDA" w:rsidRDefault="007968EC" w:rsidP="007968EC">
            <w:pPr>
              <w:ind w:left="71"/>
              <w:jc w:val="both"/>
              <w:rPr>
                <w:rFonts w:ascii="Arial Narrow" w:eastAsia="Calibri" w:hAnsi="Arial Narrow"/>
                <w:b/>
                <w:color w:val="000000" w:themeColor="text1"/>
              </w:rPr>
            </w:pPr>
            <w:r>
              <w:rPr>
                <w:rFonts w:ascii="Arial Narrow" w:eastAsia="Calibri" w:hAnsi="Arial Narrow"/>
                <w:color w:val="000000" w:themeColor="text1"/>
              </w:rPr>
              <w:t>Será igual al Día de vencimiento</w:t>
            </w:r>
          </w:p>
        </w:tc>
      </w:tr>
      <w:tr w:rsidR="007968EC" w:rsidRPr="00956EDA" w14:paraId="259E29CB" w14:textId="77777777" w:rsidTr="007968EC">
        <w:trPr>
          <w:trHeight w:val="254"/>
        </w:trPr>
        <w:tc>
          <w:tcPr>
            <w:tcW w:w="2609" w:type="dxa"/>
            <w:shd w:val="clear" w:color="000000" w:fill="BFBFBF"/>
            <w:hideMark/>
          </w:tcPr>
          <w:p w14:paraId="42FA22D1" w14:textId="77777777" w:rsidR="007968EC" w:rsidRPr="00956EDA" w:rsidRDefault="007968EC" w:rsidP="007968EC">
            <w:pPr>
              <w:rPr>
                <w:rFonts w:ascii="Arial Narrow" w:eastAsia="Calibri" w:hAnsi="Arial Narrow"/>
                <w:b/>
                <w:color w:val="000000" w:themeColor="text1"/>
              </w:rPr>
            </w:pPr>
            <w:r w:rsidRPr="00956EDA">
              <w:rPr>
                <w:rFonts w:ascii="Arial Narrow" w:eastAsia="Calibri" w:hAnsi="Arial Narrow"/>
                <w:color w:val="000000" w:themeColor="text1"/>
              </w:rPr>
              <w:t>Día de Vencimiento</w:t>
            </w:r>
          </w:p>
        </w:tc>
        <w:tc>
          <w:tcPr>
            <w:tcW w:w="6804" w:type="dxa"/>
            <w:shd w:val="clear" w:color="auto" w:fill="auto"/>
            <w:hideMark/>
          </w:tcPr>
          <w:p w14:paraId="11167549" w14:textId="77777777" w:rsidR="007968EC" w:rsidRPr="00956EDA" w:rsidRDefault="007968EC" w:rsidP="007968EC">
            <w:pPr>
              <w:ind w:left="71"/>
              <w:jc w:val="both"/>
              <w:rPr>
                <w:rFonts w:ascii="Arial Narrow" w:eastAsia="Calibri" w:hAnsi="Arial Narrow"/>
                <w:b/>
                <w:color w:val="000000" w:themeColor="text1"/>
              </w:rPr>
            </w:pPr>
            <w:r w:rsidRPr="00956EDA">
              <w:rPr>
                <w:rFonts w:ascii="Arial Narrow" w:eastAsia="Calibri" w:hAnsi="Arial Narrow"/>
                <w:color w:val="000000" w:themeColor="text1"/>
              </w:rPr>
              <w:t>Segundo miércoles del mes de vencimiento. Cuando el segundo miércoles del mes de vencimiento corresponda a un día no hábil, el día de vencimiento corresponderá al día hábil siguiente.</w:t>
            </w:r>
          </w:p>
        </w:tc>
      </w:tr>
      <w:tr w:rsidR="007968EC" w:rsidRPr="00956EDA" w14:paraId="646C398E" w14:textId="77777777" w:rsidTr="007968EC">
        <w:trPr>
          <w:trHeight w:val="36"/>
        </w:trPr>
        <w:tc>
          <w:tcPr>
            <w:tcW w:w="2609" w:type="dxa"/>
            <w:shd w:val="clear" w:color="000000" w:fill="BFBFBF"/>
            <w:hideMark/>
          </w:tcPr>
          <w:p w14:paraId="3FB61408" w14:textId="77777777" w:rsidR="007968EC" w:rsidRPr="00956EDA" w:rsidRDefault="007968EC" w:rsidP="007968EC">
            <w:pPr>
              <w:rPr>
                <w:rFonts w:ascii="Arial Narrow" w:eastAsia="Calibri" w:hAnsi="Arial Narrow"/>
                <w:b/>
                <w:color w:val="000000" w:themeColor="text1"/>
              </w:rPr>
            </w:pPr>
            <w:r w:rsidRPr="00956EDA">
              <w:rPr>
                <w:rFonts w:ascii="Arial Narrow" w:eastAsia="Calibri" w:hAnsi="Arial Narrow"/>
                <w:color w:val="000000" w:themeColor="text1"/>
              </w:rPr>
              <w:t>Inscripción</w:t>
            </w:r>
          </w:p>
        </w:tc>
        <w:tc>
          <w:tcPr>
            <w:tcW w:w="6804" w:type="dxa"/>
            <w:shd w:val="clear" w:color="auto" w:fill="auto"/>
            <w:hideMark/>
          </w:tcPr>
          <w:p w14:paraId="472B5517" w14:textId="77777777" w:rsidR="007968EC" w:rsidRPr="00956EDA" w:rsidRDefault="007968EC" w:rsidP="007968EC">
            <w:pPr>
              <w:ind w:left="71"/>
              <w:jc w:val="both"/>
              <w:rPr>
                <w:rFonts w:ascii="Arial Narrow" w:eastAsia="Calibri" w:hAnsi="Arial Narrow"/>
                <w:b/>
                <w:color w:val="000000" w:themeColor="text1"/>
              </w:rPr>
            </w:pPr>
            <w:r w:rsidRPr="00956EDA">
              <w:rPr>
                <w:rFonts w:ascii="Arial Narrow" w:eastAsia="Calibri" w:hAnsi="Arial Narrow"/>
                <w:color w:val="000000" w:themeColor="text1"/>
              </w:rPr>
              <w:t>Bolsa de Valores de Colombia – BVC.</w:t>
            </w:r>
          </w:p>
        </w:tc>
      </w:tr>
    </w:tbl>
    <w:p w14:paraId="26E8F380" w14:textId="77777777" w:rsidR="007968EC" w:rsidRDefault="007968EC" w:rsidP="007968EC">
      <w:pPr>
        <w:autoSpaceDE w:val="0"/>
        <w:autoSpaceDN w:val="0"/>
        <w:jc w:val="both"/>
        <w:rPr>
          <w:rFonts w:ascii="Arial Narrow" w:eastAsia="Calibri" w:hAnsi="Arial Narrow"/>
          <w:b/>
          <w:bCs/>
          <w:color w:val="000000" w:themeColor="text1"/>
          <w:lang w:val="es-MX"/>
        </w:rPr>
      </w:pPr>
    </w:p>
    <w:p w14:paraId="51D23317" w14:textId="77777777" w:rsidR="007968EC" w:rsidRPr="00956EDA" w:rsidRDefault="007968EC" w:rsidP="00DA7472">
      <w:pPr>
        <w:numPr>
          <w:ilvl w:val="0"/>
          <w:numId w:val="308"/>
        </w:numPr>
        <w:autoSpaceDE w:val="0"/>
        <w:autoSpaceDN w:val="0"/>
        <w:ind w:left="284" w:hanging="284"/>
        <w:jc w:val="both"/>
        <w:rPr>
          <w:rFonts w:ascii="Arial Narrow" w:hAnsi="Arial Narrow" w:cs="Arial"/>
          <w:color w:val="000000" w:themeColor="text1"/>
          <w:lang w:eastAsia="es-CO"/>
        </w:rPr>
      </w:pPr>
      <w:r w:rsidRPr="00B42588">
        <w:rPr>
          <w:rFonts w:ascii="Arial Narrow" w:eastAsia="Calibri" w:hAnsi="Arial Narrow"/>
          <w:color w:val="000000" w:themeColor="text1"/>
        </w:rPr>
        <w:t>Características</w:t>
      </w:r>
      <w:r w:rsidRPr="00956EDA">
        <w:rPr>
          <w:rFonts w:ascii="Arial Narrow" w:hAnsi="Arial Narrow" w:cs="Arial"/>
          <w:color w:val="000000" w:themeColor="text1"/>
          <w:lang w:eastAsia="es-CO"/>
        </w:rPr>
        <w:t xml:space="preserve"> Especiales: </w:t>
      </w:r>
    </w:p>
    <w:p w14:paraId="07FEDF09" w14:textId="77777777" w:rsidR="007968EC" w:rsidRPr="00956EDA" w:rsidRDefault="007968EC" w:rsidP="007968EC">
      <w:pPr>
        <w:autoSpaceDE w:val="0"/>
        <w:autoSpaceDN w:val="0"/>
        <w:adjustRightInd w:val="0"/>
        <w:rPr>
          <w:rFonts w:ascii="Arial Narrow" w:hAnsi="Arial Narrow" w:cs="Arial"/>
          <w:color w:val="000000" w:themeColor="text1"/>
          <w:lang w:val="es-ES" w:eastAsia="es-ES"/>
        </w:rPr>
      </w:pPr>
    </w:p>
    <w:tbl>
      <w:tblPr>
        <w:tblW w:w="9462" w:type="dxa"/>
        <w:tblInd w:w="2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366"/>
        <w:gridCol w:w="6096"/>
      </w:tblGrid>
      <w:tr w:rsidR="007968EC" w:rsidRPr="00956EDA" w14:paraId="0675EB9E" w14:textId="77777777" w:rsidTr="007968EC">
        <w:trPr>
          <w:trHeight w:val="36"/>
        </w:trPr>
        <w:tc>
          <w:tcPr>
            <w:tcW w:w="3366" w:type="dxa"/>
            <w:shd w:val="clear" w:color="auto" w:fill="D0CECE"/>
            <w:vAlign w:val="center"/>
          </w:tcPr>
          <w:p w14:paraId="57BF2267" w14:textId="77777777" w:rsidR="007968EC" w:rsidRPr="00956EDA" w:rsidRDefault="007968EC" w:rsidP="007968EC">
            <w:pPr>
              <w:rPr>
                <w:rFonts w:ascii="Arial Narrow" w:hAnsi="Arial Narrow" w:cs="Arial"/>
                <w:color w:val="000000" w:themeColor="text1"/>
                <w:lang w:val="es-ES" w:eastAsia="es-ES"/>
              </w:rPr>
            </w:pPr>
            <w:r w:rsidRPr="00956EDA">
              <w:rPr>
                <w:rFonts w:ascii="Arial Narrow" w:hAnsi="Arial Narrow" w:cs="Arial"/>
                <w:color w:val="000000" w:themeColor="text1"/>
                <w:lang w:val="es-ES" w:eastAsia="es-ES"/>
              </w:rPr>
              <w:t>Tipo de Opción</w:t>
            </w:r>
          </w:p>
        </w:tc>
        <w:tc>
          <w:tcPr>
            <w:tcW w:w="6096" w:type="dxa"/>
            <w:vAlign w:val="center"/>
          </w:tcPr>
          <w:p w14:paraId="5A97A3DB" w14:textId="77777777" w:rsidR="007968EC" w:rsidRPr="00956EDA" w:rsidRDefault="007968EC" w:rsidP="007968EC">
            <w:pPr>
              <w:jc w:val="both"/>
              <w:rPr>
                <w:rFonts w:ascii="Arial Narrow" w:hAnsi="Arial Narrow"/>
                <w:color w:val="000000" w:themeColor="text1"/>
                <w:lang w:val="es-ES" w:eastAsia="es-ES"/>
              </w:rPr>
            </w:pPr>
            <w:r w:rsidRPr="00956EDA">
              <w:rPr>
                <w:rFonts w:ascii="Arial Narrow" w:hAnsi="Arial Narrow"/>
                <w:color w:val="000000" w:themeColor="text1"/>
                <w:lang w:val="es-ES" w:eastAsia="es-ES"/>
              </w:rPr>
              <w:t>Europea</w:t>
            </w:r>
          </w:p>
        </w:tc>
      </w:tr>
      <w:tr w:rsidR="007968EC" w:rsidRPr="00956EDA" w14:paraId="0716E089" w14:textId="77777777" w:rsidTr="007968EC">
        <w:trPr>
          <w:trHeight w:val="36"/>
        </w:trPr>
        <w:tc>
          <w:tcPr>
            <w:tcW w:w="3366" w:type="dxa"/>
            <w:shd w:val="clear" w:color="auto" w:fill="D0CECE"/>
            <w:vAlign w:val="center"/>
          </w:tcPr>
          <w:p w14:paraId="74DCC4D1" w14:textId="77777777" w:rsidR="007968EC" w:rsidRPr="00956EDA" w:rsidRDefault="007968EC" w:rsidP="007968EC">
            <w:pPr>
              <w:rPr>
                <w:rFonts w:ascii="Arial Narrow" w:hAnsi="Arial Narrow" w:cs="Arial"/>
                <w:color w:val="000000" w:themeColor="text1"/>
                <w:lang w:val="es-ES" w:eastAsia="es-ES"/>
              </w:rPr>
            </w:pPr>
            <w:r w:rsidRPr="00956EDA">
              <w:rPr>
                <w:rFonts w:ascii="Arial Narrow" w:hAnsi="Arial Narrow" w:cs="Arial"/>
                <w:color w:val="000000" w:themeColor="text1"/>
                <w:lang w:val="es-ES" w:eastAsia="es-ES"/>
              </w:rPr>
              <w:t>Opciones disponibles</w:t>
            </w:r>
          </w:p>
        </w:tc>
        <w:tc>
          <w:tcPr>
            <w:tcW w:w="6096" w:type="dxa"/>
            <w:vAlign w:val="center"/>
          </w:tcPr>
          <w:p w14:paraId="54777D83" w14:textId="77777777" w:rsidR="007968EC" w:rsidRPr="00956EDA" w:rsidRDefault="007968EC" w:rsidP="007968EC">
            <w:pPr>
              <w:jc w:val="both"/>
              <w:rPr>
                <w:rFonts w:ascii="Arial Narrow" w:hAnsi="Arial Narrow"/>
                <w:color w:val="000000" w:themeColor="text1"/>
                <w:lang w:val="es-ES" w:eastAsia="es-ES"/>
              </w:rPr>
            </w:pPr>
            <w:r w:rsidRPr="00956EDA">
              <w:rPr>
                <w:rFonts w:ascii="Arial Narrow" w:hAnsi="Arial Narrow"/>
                <w:color w:val="000000" w:themeColor="text1"/>
                <w:lang w:val="es-ES" w:eastAsia="es-ES"/>
              </w:rPr>
              <w:t xml:space="preserve">Call y </w:t>
            </w:r>
            <w:proofErr w:type="spellStart"/>
            <w:r w:rsidRPr="00956EDA">
              <w:rPr>
                <w:rFonts w:ascii="Arial Narrow" w:hAnsi="Arial Narrow"/>
                <w:color w:val="000000" w:themeColor="text1"/>
                <w:lang w:val="es-ES" w:eastAsia="es-ES"/>
              </w:rPr>
              <w:t>Put</w:t>
            </w:r>
            <w:proofErr w:type="spellEnd"/>
          </w:p>
        </w:tc>
      </w:tr>
      <w:tr w:rsidR="007968EC" w:rsidRPr="00956EDA" w14:paraId="394C9FB5" w14:textId="77777777" w:rsidTr="007968EC">
        <w:trPr>
          <w:trHeight w:val="79"/>
        </w:trPr>
        <w:tc>
          <w:tcPr>
            <w:tcW w:w="3366" w:type="dxa"/>
            <w:shd w:val="clear" w:color="auto" w:fill="D0CECE"/>
            <w:vAlign w:val="center"/>
          </w:tcPr>
          <w:p w14:paraId="13B0A85C" w14:textId="77777777" w:rsidR="007968EC" w:rsidRPr="00956EDA" w:rsidRDefault="007968EC" w:rsidP="007968EC">
            <w:pPr>
              <w:rPr>
                <w:rFonts w:ascii="Arial Narrow" w:hAnsi="Arial Narrow" w:cs="Arial"/>
                <w:color w:val="000000" w:themeColor="text1"/>
                <w:lang w:val="es-ES" w:eastAsia="es-ES"/>
              </w:rPr>
            </w:pPr>
            <w:r w:rsidRPr="00956EDA">
              <w:rPr>
                <w:rFonts w:ascii="Arial Narrow" w:hAnsi="Arial Narrow" w:cs="Arial"/>
                <w:color w:val="000000" w:themeColor="text1"/>
                <w:lang w:val="es-ES" w:eastAsia="es-ES"/>
              </w:rPr>
              <w:t>Strikes mínimos disponibles</w:t>
            </w:r>
          </w:p>
        </w:tc>
        <w:tc>
          <w:tcPr>
            <w:tcW w:w="6096" w:type="dxa"/>
          </w:tcPr>
          <w:p w14:paraId="7B379AEC" w14:textId="77777777" w:rsidR="007968EC" w:rsidRPr="00956EDA" w:rsidRDefault="007968EC" w:rsidP="007968EC">
            <w:pPr>
              <w:jc w:val="both"/>
              <w:rPr>
                <w:rFonts w:ascii="Arial Narrow" w:hAnsi="Arial Narrow"/>
                <w:color w:val="000000" w:themeColor="text1"/>
                <w:lang w:val="es-ES" w:eastAsia="es-ES"/>
              </w:rPr>
            </w:pPr>
            <w:r w:rsidRPr="00956EDA">
              <w:rPr>
                <w:rFonts w:ascii="Arial Narrow" w:hAnsi="Arial Narrow"/>
                <w:color w:val="000000" w:themeColor="text1"/>
                <w:lang w:val="es-ES" w:eastAsia="es-ES"/>
              </w:rPr>
              <w:t>OTM: 50</w:t>
            </w:r>
          </w:p>
          <w:p w14:paraId="1F3F5735" w14:textId="77777777" w:rsidR="007968EC" w:rsidRPr="00956EDA" w:rsidRDefault="007968EC" w:rsidP="007968EC">
            <w:pPr>
              <w:jc w:val="both"/>
              <w:rPr>
                <w:rFonts w:ascii="Arial Narrow" w:hAnsi="Arial Narrow"/>
                <w:color w:val="000000" w:themeColor="text1"/>
                <w:lang w:val="es-ES" w:eastAsia="es-ES"/>
              </w:rPr>
            </w:pPr>
            <w:r w:rsidRPr="00956EDA">
              <w:rPr>
                <w:rFonts w:ascii="Arial Narrow" w:hAnsi="Arial Narrow"/>
                <w:color w:val="000000" w:themeColor="text1"/>
                <w:lang w:val="es-ES" w:eastAsia="es-ES"/>
              </w:rPr>
              <w:lastRenderedPageBreak/>
              <w:t xml:space="preserve">ITM: 50 </w:t>
            </w:r>
          </w:p>
          <w:p w14:paraId="5C014F50" w14:textId="77777777" w:rsidR="007968EC" w:rsidRPr="00956EDA" w:rsidRDefault="007968EC" w:rsidP="007968EC">
            <w:pPr>
              <w:jc w:val="both"/>
              <w:rPr>
                <w:rFonts w:ascii="Arial Narrow" w:hAnsi="Arial Narrow"/>
                <w:color w:val="000000" w:themeColor="text1"/>
                <w:lang w:val="es-ES" w:eastAsia="es-ES"/>
              </w:rPr>
            </w:pPr>
            <w:r w:rsidRPr="00956EDA">
              <w:rPr>
                <w:rFonts w:ascii="Arial Narrow" w:hAnsi="Arial Narrow"/>
                <w:color w:val="000000" w:themeColor="text1"/>
                <w:lang w:val="es-ES" w:eastAsia="es-ES"/>
              </w:rPr>
              <w:t>ATM: 1</w:t>
            </w:r>
          </w:p>
        </w:tc>
      </w:tr>
      <w:tr w:rsidR="007968EC" w:rsidRPr="00956EDA" w14:paraId="7D8C901D" w14:textId="77777777" w:rsidTr="007968EC">
        <w:tc>
          <w:tcPr>
            <w:tcW w:w="3366" w:type="dxa"/>
            <w:shd w:val="clear" w:color="auto" w:fill="D0CECE"/>
            <w:vAlign w:val="center"/>
          </w:tcPr>
          <w:p w14:paraId="4B97AEF5" w14:textId="77777777" w:rsidR="007968EC" w:rsidRPr="00956EDA" w:rsidRDefault="007968EC" w:rsidP="007968EC">
            <w:pPr>
              <w:rPr>
                <w:rFonts w:ascii="Arial Narrow" w:hAnsi="Arial Narrow" w:cs="Arial"/>
                <w:color w:val="000000" w:themeColor="text1"/>
                <w:lang w:val="es-ES" w:eastAsia="es-ES"/>
              </w:rPr>
            </w:pPr>
            <w:r w:rsidRPr="00956EDA">
              <w:rPr>
                <w:rFonts w:ascii="Arial Narrow" w:hAnsi="Arial Narrow" w:cs="Arial"/>
                <w:color w:val="000000" w:themeColor="text1"/>
                <w:lang w:val="es-ES" w:eastAsia="es-ES"/>
              </w:rPr>
              <w:lastRenderedPageBreak/>
              <w:t>Liquidación prima</w:t>
            </w:r>
          </w:p>
        </w:tc>
        <w:tc>
          <w:tcPr>
            <w:tcW w:w="6096" w:type="dxa"/>
          </w:tcPr>
          <w:p w14:paraId="151FBC6E" w14:textId="77777777" w:rsidR="007968EC" w:rsidRPr="00956EDA" w:rsidRDefault="007968EC" w:rsidP="007968EC">
            <w:pPr>
              <w:rPr>
                <w:rFonts w:ascii="Arial Narrow" w:hAnsi="Arial Narrow" w:cs="Arial"/>
                <w:color w:val="000000" w:themeColor="text1"/>
                <w:lang w:val="es-ES" w:eastAsia="es-ES"/>
              </w:rPr>
            </w:pPr>
            <w:r w:rsidRPr="00956EDA">
              <w:rPr>
                <w:rFonts w:ascii="Arial Narrow" w:hAnsi="Arial Narrow" w:cs="Arial"/>
                <w:color w:val="000000" w:themeColor="text1"/>
                <w:lang w:val="es-ES" w:eastAsia="es-ES"/>
              </w:rPr>
              <w:t>Liquidada al siguiente día hábil del día de la negociación</w:t>
            </w:r>
            <w:r>
              <w:rPr>
                <w:rFonts w:ascii="Arial Narrow" w:hAnsi="Arial Narrow" w:cs="Arial"/>
                <w:color w:val="000000" w:themeColor="text1"/>
                <w:lang w:val="es-ES" w:eastAsia="es-ES"/>
              </w:rPr>
              <w:t xml:space="preserve"> o registro</w:t>
            </w:r>
          </w:p>
        </w:tc>
      </w:tr>
    </w:tbl>
    <w:p w14:paraId="1481A5AB" w14:textId="77777777" w:rsidR="007968EC" w:rsidRPr="00956EDA" w:rsidRDefault="007968EC" w:rsidP="007968EC">
      <w:pPr>
        <w:autoSpaceDE w:val="0"/>
        <w:autoSpaceDN w:val="0"/>
        <w:adjustRightInd w:val="0"/>
        <w:ind w:left="360"/>
        <w:contextualSpacing/>
        <w:rPr>
          <w:rFonts w:ascii="Arial Narrow" w:hAnsi="Arial Narrow"/>
          <w:bCs/>
          <w:color w:val="000000" w:themeColor="text1"/>
          <w:lang w:val="es-ES" w:eastAsia="es-CO"/>
        </w:rPr>
      </w:pPr>
    </w:p>
    <w:p w14:paraId="4CBD51C9" w14:textId="77777777" w:rsidR="007968EC" w:rsidRPr="00956EDA" w:rsidRDefault="007968EC" w:rsidP="007968EC">
      <w:pPr>
        <w:jc w:val="both"/>
        <w:rPr>
          <w:rFonts w:ascii="Arial Narrow" w:hAnsi="Arial Narrow" w:cs="Arial"/>
          <w:color w:val="000000" w:themeColor="text1"/>
          <w:lang w:val="es-ES" w:eastAsia="es-ES"/>
        </w:rPr>
      </w:pPr>
      <w:r w:rsidRPr="00956EDA">
        <w:rPr>
          <w:rFonts w:ascii="Arial Narrow" w:hAnsi="Arial Narrow" w:cs="Arial"/>
          <w:color w:val="000000" w:themeColor="text1"/>
          <w:lang w:val="es-ES" w:eastAsia="es-ES"/>
        </w:rPr>
        <w:t>Para efectos de cálculos de riesgo intradía la Cámara calculará los precios teóricos (intradía y al cierre) de los Contratos de Opciones europeas con base en el modelo de Black (1973), el cual se enuncia a continuación:</w:t>
      </w:r>
    </w:p>
    <w:p w14:paraId="15F75C7F" w14:textId="77777777" w:rsidR="007968EC" w:rsidRDefault="007968EC" w:rsidP="007968EC">
      <w:pPr>
        <w:jc w:val="both"/>
        <w:rPr>
          <w:rFonts w:ascii="Arial Narrow" w:hAnsi="Arial Narrow" w:cs="Arial"/>
          <w:color w:val="000000" w:themeColor="text1"/>
          <w:lang w:val="es-ES" w:eastAsia="es-ES"/>
        </w:rPr>
      </w:pPr>
    </w:p>
    <w:p w14:paraId="4DA42AC2" w14:textId="77777777" w:rsidR="007968EC" w:rsidRPr="00956EDA" w:rsidRDefault="007968EC" w:rsidP="007968EC">
      <w:pPr>
        <w:jc w:val="both"/>
        <w:rPr>
          <w:rFonts w:ascii="Arial Narrow" w:hAnsi="Arial Narrow" w:cs="Arial"/>
          <w:color w:val="000000" w:themeColor="text1"/>
          <w:lang w:val="es-ES" w:eastAsia="es-ES"/>
        </w:rPr>
      </w:pPr>
      <w:r w:rsidRPr="00956EDA">
        <w:rPr>
          <w:rFonts w:ascii="Arial Narrow" w:hAnsi="Arial Narrow" w:cs="Arial"/>
          <w:color w:val="000000" w:themeColor="text1"/>
          <w:lang w:val="es-ES" w:eastAsia="es-ES"/>
        </w:rPr>
        <w:t>Se calcula un precio teórico para cada Contrato de Opción CALL y para cada contrato de Opción PUT.</w:t>
      </w:r>
    </w:p>
    <w:p w14:paraId="2E093E47" w14:textId="77777777" w:rsidR="007968EC" w:rsidRPr="00956EDA" w:rsidRDefault="007968EC" w:rsidP="007968EC">
      <w:pPr>
        <w:rPr>
          <w:rFonts w:ascii="Arial Narrow" w:hAnsi="Arial Narrow" w:cs="Arial"/>
          <w:color w:val="000000" w:themeColor="text1"/>
          <w:lang w:val="es-ES" w:eastAsia="es-ES"/>
        </w:rPr>
      </w:pPr>
    </w:p>
    <w:p w14:paraId="33A6EF8D" w14:textId="77777777" w:rsidR="007968EC" w:rsidRPr="00956EDA" w:rsidRDefault="007968EC" w:rsidP="007968EC">
      <w:pPr>
        <w:jc w:val="right"/>
        <w:rPr>
          <w:rFonts w:ascii="Calibri Light" w:hAnsi="Calibri Light" w:cs="Arial"/>
          <w:bCs/>
          <w:i/>
          <w:color w:val="000000" w:themeColor="text1"/>
          <w:lang w:val="es-ES" w:eastAsia="es-ES"/>
        </w:rPr>
      </w:pPr>
      <m:oMathPara>
        <m:oMath>
          <m:r>
            <m:rPr>
              <m:sty m:val="bi"/>
            </m:rPr>
            <w:rPr>
              <w:rFonts w:ascii="Cambria Math" w:hAnsi="Cambria Math" w:cs="Arial"/>
              <w:color w:val="000000" w:themeColor="text1"/>
              <w:lang w:val="es-ES" w:eastAsia="es-ES"/>
            </w:rPr>
            <m:t>C=S</m:t>
          </m:r>
          <m:sSup>
            <m:sSupPr>
              <m:ctrlPr>
                <w:rPr>
                  <w:rFonts w:ascii="Cambria Math" w:hAnsi="Cambria Math" w:cs="Arial"/>
                  <w:i/>
                  <w:color w:val="000000" w:themeColor="text1"/>
                  <w:lang w:val="es-ES" w:eastAsia="es-ES"/>
                </w:rPr>
              </m:ctrlPr>
            </m:sSupPr>
            <m:e>
              <m:r>
                <m:rPr>
                  <m:sty m:val="bi"/>
                </m:rPr>
                <w:rPr>
                  <w:rFonts w:ascii="Cambria Math" w:hAnsi="Cambria Math" w:cs="Arial"/>
                  <w:color w:val="000000" w:themeColor="text1"/>
                  <w:lang w:val="es-ES" w:eastAsia="es-ES"/>
                </w:rPr>
                <m:t>e</m:t>
              </m:r>
            </m:e>
            <m:sup>
              <m:r>
                <m:rPr>
                  <m:sty m:val="bi"/>
                </m:rPr>
                <w:rPr>
                  <w:rFonts w:ascii="Cambria Math" w:hAnsi="Cambria Math" w:cs="Arial"/>
                  <w:color w:val="000000" w:themeColor="text1"/>
                  <w:lang w:val="es-ES" w:eastAsia="es-ES"/>
                </w:rPr>
                <m:t>-</m:t>
              </m:r>
              <m:sSub>
                <m:sSubPr>
                  <m:ctrlPr>
                    <w:rPr>
                      <w:rFonts w:ascii="Cambria Math" w:hAnsi="Cambria Math" w:cs="Arial"/>
                      <w:b/>
                      <w:i/>
                      <w:color w:val="000000" w:themeColor="text1"/>
                      <w:lang w:val="es-ES" w:eastAsia="es-ES"/>
                    </w:rPr>
                  </m:ctrlPr>
                </m:sSubPr>
                <m:e>
                  <m:r>
                    <m:rPr>
                      <m:sty m:val="bi"/>
                    </m:rPr>
                    <w:rPr>
                      <w:rFonts w:ascii="Cambria Math" w:hAnsi="Cambria Math" w:cs="Arial"/>
                      <w:color w:val="000000" w:themeColor="text1"/>
                      <w:lang w:val="es-ES" w:eastAsia="es-ES"/>
                    </w:rPr>
                    <m:t>r</m:t>
                  </m:r>
                </m:e>
                <m:sub>
                  <m:r>
                    <m:rPr>
                      <m:sty m:val="bi"/>
                    </m:rPr>
                    <w:rPr>
                      <w:rFonts w:ascii="Cambria Math" w:hAnsi="Cambria Math" w:cs="Arial"/>
                      <w:color w:val="000000" w:themeColor="text1"/>
                      <w:lang w:val="es-ES" w:eastAsia="es-ES"/>
                    </w:rPr>
                    <m:t>f</m:t>
                  </m:r>
                </m:sub>
              </m:sSub>
              <m:r>
                <m:rPr>
                  <m:sty m:val="bi"/>
                </m:rPr>
                <w:rPr>
                  <w:rFonts w:ascii="Cambria Math" w:hAnsi="Cambria Math" w:cs="Arial"/>
                  <w:color w:val="000000" w:themeColor="text1"/>
                  <w:lang w:val="es-ES" w:eastAsia="es-ES"/>
                </w:rPr>
                <m:t>t</m:t>
              </m:r>
            </m:sup>
          </m:sSup>
          <m:r>
            <m:rPr>
              <m:sty m:val="bi"/>
            </m:rPr>
            <w:rPr>
              <w:rFonts w:ascii="Cambria Math" w:hAnsi="Cambria Math" w:cs="Arial"/>
              <w:color w:val="000000" w:themeColor="text1"/>
              <w:lang w:val="es-ES" w:eastAsia="es-ES"/>
            </w:rPr>
            <m:t xml:space="preserve"> N</m:t>
          </m:r>
          <m:d>
            <m:dPr>
              <m:ctrlPr>
                <w:rPr>
                  <w:rFonts w:ascii="Cambria Math" w:hAnsi="Cambria Math" w:cs="Arial"/>
                  <w:i/>
                  <w:color w:val="000000" w:themeColor="text1"/>
                  <w:lang w:val="es-ES" w:eastAsia="es-ES"/>
                </w:rPr>
              </m:ctrlPr>
            </m:dPr>
            <m:e>
              <m:r>
                <m:rPr>
                  <m:sty m:val="bi"/>
                </m:rPr>
                <w:rPr>
                  <w:rFonts w:ascii="Cambria Math" w:hAnsi="Cambria Math" w:cs="Arial"/>
                  <w:color w:val="000000" w:themeColor="text1"/>
                  <w:lang w:val="es-ES" w:eastAsia="es-ES"/>
                </w:rPr>
                <m:t>D</m:t>
              </m:r>
            </m:e>
          </m:d>
          <m:r>
            <m:rPr>
              <m:sty m:val="bi"/>
            </m:rPr>
            <w:rPr>
              <w:rFonts w:ascii="Cambria Math" w:hAnsi="Cambria Math" w:cs="Arial"/>
              <w:color w:val="000000" w:themeColor="text1"/>
              <w:lang w:val="es-ES" w:eastAsia="es-ES"/>
            </w:rPr>
            <m:t>-E</m:t>
          </m:r>
          <m:sSup>
            <m:sSupPr>
              <m:ctrlPr>
                <w:rPr>
                  <w:rFonts w:ascii="Cambria Math" w:hAnsi="Cambria Math" w:cs="Arial"/>
                  <w:i/>
                  <w:color w:val="000000" w:themeColor="text1"/>
                  <w:lang w:val="es-ES" w:eastAsia="es-ES"/>
                </w:rPr>
              </m:ctrlPr>
            </m:sSupPr>
            <m:e>
              <m:r>
                <m:rPr>
                  <m:sty m:val="bi"/>
                </m:rPr>
                <w:rPr>
                  <w:rFonts w:ascii="Cambria Math" w:hAnsi="Cambria Math" w:cs="Arial"/>
                  <w:color w:val="000000" w:themeColor="text1"/>
                  <w:lang w:val="es-ES" w:eastAsia="es-ES"/>
                </w:rPr>
                <m:t>e</m:t>
              </m:r>
            </m:e>
            <m:sup>
              <m:r>
                <m:rPr>
                  <m:sty m:val="bi"/>
                </m:rPr>
                <w:rPr>
                  <w:rFonts w:ascii="Cambria Math" w:hAnsi="Cambria Math" w:cs="Arial"/>
                  <w:color w:val="000000" w:themeColor="text1"/>
                  <w:lang w:val="es-ES" w:eastAsia="es-ES"/>
                </w:rPr>
                <m:t>-rt</m:t>
              </m:r>
            </m:sup>
          </m:sSup>
          <m:r>
            <m:rPr>
              <m:sty m:val="bi"/>
            </m:rPr>
            <w:rPr>
              <w:rFonts w:ascii="Cambria Math" w:hAnsi="Cambria Math" w:cs="Arial"/>
              <w:color w:val="000000" w:themeColor="text1"/>
              <w:lang w:val="es-ES" w:eastAsia="es-ES"/>
            </w:rPr>
            <m:t>N</m:t>
          </m:r>
          <m:d>
            <m:dPr>
              <m:ctrlPr>
                <w:rPr>
                  <w:rFonts w:ascii="Cambria Math" w:hAnsi="Cambria Math" w:cs="Arial"/>
                  <w:i/>
                  <w:color w:val="000000" w:themeColor="text1"/>
                  <w:lang w:val="es-ES" w:eastAsia="es-ES"/>
                </w:rPr>
              </m:ctrlPr>
            </m:dPr>
            <m:e>
              <m:r>
                <m:rPr>
                  <m:sty m:val="bi"/>
                </m:rPr>
                <w:rPr>
                  <w:rFonts w:ascii="Cambria Math" w:hAnsi="Cambria Math" w:cs="Arial"/>
                  <w:color w:val="000000" w:themeColor="text1"/>
                  <w:lang w:val="es-ES" w:eastAsia="es-ES"/>
                </w:rPr>
                <m:t>D-v</m:t>
              </m:r>
              <m:rad>
                <m:radPr>
                  <m:degHide m:val="1"/>
                  <m:ctrlPr>
                    <w:rPr>
                      <w:rFonts w:ascii="Cambria Math" w:hAnsi="Cambria Math" w:cs="Arial"/>
                      <w:i/>
                      <w:color w:val="000000" w:themeColor="text1"/>
                      <w:lang w:val="es-ES" w:eastAsia="es-ES"/>
                    </w:rPr>
                  </m:ctrlPr>
                </m:radPr>
                <m:deg/>
                <m:e>
                  <m:r>
                    <m:rPr>
                      <m:sty m:val="bi"/>
                    </m:rPr>
                    <w:rPr>
                      <w:rFonts w:ascii="Cambria Math" w:hAnsi="Cambria Math" w:cs="Arial"/>
                      <w:color w:val="000000" w:themeColor="text1"/>
                      <w:lang w:val="es-ES" w:eastAsia="es-ES"/>
                    </w:rPr>
                    <m:t>t</m:t>
                  </m:r>
                </m:e>
              </m:rad>
            </m:e>
          </m:d>
        </m:oMath>
      </m:oMathPara>
    </w:p>
    <w:p w14:paraId="2640D22F" w14:textId="77777777" w:rsidR="007968EC" w:rsidRPr="00956EDA" w:rsidRDefault="007968EC" w:rsidP="007968EC">
      <w:pPr>
        <w:jc w:val="both"/>
        <w:rPr>
          <w:rFonts w:ascii="Calibri Light" w:hAnsi="Calibri Light" w:cs="Arial"/>
          <w:bCs/>
          <w:color w:val="000000" w:themeColor="text1"/>
          <w:lang w:val="es-ES" w:eastAsia="es-ES"/>
        </w:rPr>
      </w:pPr>
      <m:oMathPara>
        <m:oMathParaPr>
          <m:jc m:val="center"/>
        </m:oMathParaPr>
        <m:oMath>
          <m:r>
            <m:rPr>
              <m:sty m:val="bi"/>
            </m:rPr>
            <w:rPr>
              <w:rFonts w:ascii="Cambria Math" w:hAnsi="Cambria Math" w:cs="Arial"/>
              <w:color w:val="000000" w:themeColor="text1"/>
              <w:lang w:val="es-ES" w:eastAsia="es-ES"/>
            </w:rPr>
            <m:t>P</m:t>
          </m:r>
          <m:r>
            <m:rPr>
              <m:sty m:val="b"/>
            </m:rPr>
            <w:rPr>
              <w:rFonts w:ascii="Cambria Math" w:hAnsi="Cambria Math" w:cs="Arial"/>
              <w:color w:val="000000" w:themeColor="text1"/>
              <w:lang w:val="es-ES" w:eastAsia="es-ES"/>
            </w:rPr>
            <m:t>=-</m:t>
          </m:r>
          <m:r>
            <m:rPr>
              <m:sty m:val="bi"/>
            </m:rPr>
            <w:rPr>
              <w:rFonts w:ascii="Cambria Math" w:hAnsi="Cambria Math" w:cs="Arial"/>
              <w:color w:val="000000" w:themeColor="text1"/>
              <w:lang w:val="es-ES" w:eastAsia="es-ES"/>
            </w:rPr>
            <m:t>S</m:t>
          </m:r>
          <m:sSup>
            <m:sSupPr>
              <m:ctrlPr>
                <w:rPr>
                  <w:rFonts w:ascii="Cambria Math" w:hAnsi="Cambria Math" w:cs="Arial"/>
                  <w:i/>
                  <w:color w:val="000000" w:themeColor="text1"/>
                  <w:lang w:val="es-ES" w:eastAsia="es-ES"/>
                </w:rPr>
              </m:ctrlPr>
            </m:sSupPr>
            <m:e>
              <m:r>
                <m:rPr>
                  <m:sty m:val="bi"/>
                </m:rPr>
                <w:rPr>
                  <w:rFonts w:ascii="Cambria Math" w:hAnsi="Cambria Math" w:cs="Arial"/>
                  <w:color w:val="000000" w:themeColor="text1"/>
                  <w:lang w:val="es-ES" w:eastAsia="es-ES"/>
                </w:rPr>
                <m:t>e</m:t>
              </m:r>
            </m:e>
            <m:sup>
              <m:r>
                <m:rPr>
                  <m:sty m:val="bi"/>
                </m:rPr>
                <w:rPr>
                  <w:rFonts w:ascii="Cambria Math" w:hAnsi="Cambria Math" w:cs="Arial"/>
                  <w:color w:val="000000" w:themeColor="text1"/>
                  <w:lang w:val="es-ES" w:eastAsia="es-ES"/>
                </w:rPr>
                <m:t>-</m:t>
              </m:r>
              <m:sSub>
                <m:sSubPr>
                  <m:ctrlPr>
                    <w:rPr>
                      <w:rFonts w:ascii="Cambria Math" w:hAnsi="Cambria Math" w:cs="Arial"/>
                      <w:b/>
                      <w:i/>
                      <w:color w:val="000000" w:themeColor="text1"/>
                      <w:lang w:val="es-ES" w:eastAsia="es-ES"/>
                    </w:rPr>
                  </m:ctrlPr>
                </m:sSubPr>
                <m:e>
                  <m:r>
                    <m:rPr>
                      <m:sty m:val="bi"/>
                    </m:rPr>
                    <w:rPr>
                      <w:rFonts w:ascii="Cambria Math" w:hAnsi="Cambria Math" w:cs="Arial"/>
                      <w:color w:val="000000" w:themeColor="text1"/>
                      <w:lang w:val="es-ES" w:eastAsia="es-ES"/>
                    </w:rPr>
                    <m:t>r</m:t>
                  </m:r>
                </m:e>
                <m:sub>
                  <m:r>
                    <m:rPr>
                      <m:sty m:val="bi"/>
                    </m:rPr>
                    <w:rPr>
                      <w:rFonts w:ascii="Cambria Math" w:hAnsi="Cambria Math" w:cs="Arial"/>
                      <w:color w:val="000000" w:themeColor="text1"/>
                      <w:lang w:val="es-ES" w:eastAsia="es-ES"/>
                    </w:rPr>
                    <m:t>f</m:t>
                  </m:r>
                </m:sub>
              </m:sSub>
              <m:r>
                <m:rPr>
                  <m:sty m:val="bi"/>
                </m:rPr>
                <w:rPr>
                  <w:rFonts w:ascii="Cambria Math" w:hAnsi="Cambria Math" w:cs="Arial"/>
                  <w:color w:val="000000" w:themeColor="text1"/>
                  <w:lang w:val="es-ES" w:eastAsia="es-ES"/>
                </w:rPr>
                <m:t>t</m:t>
              </m:r>
            </m:sup>
          </m:sSup>
          <m:r>
            <m:rPr>
              <m:sty m:val="bi"/>
            </m:rPr>
            <w:rPr>
              <w:rFonts w:ascii="Cambria Math" w:hAnsi="Cambria Math" w:cs="Arial"/>
              <w:color w:val="000000" w:themeColor="text1"/>
              <w:lang w:val="es-ES" w:eastAsia="es-ES"/>
            </w:rPr>
            <m:t xml:space="preserve"> N</m:t>
          </m:r>
          <m:d>
            <m:dPr>
              <m:ctrlPr>
                <w:rPr>
                  <w:rFonts w:ascii="Cambria Math" w:hAnsi="Cambria Math" w:cs="Arial"/>
                  <w:i/>
                  <w:color w:val="000000" w:themeColor="text1"/>
                  <w:lang w:val="es-ES" w:eastAsia="es-ES"/>
                </w:rPr>
              </m:ctrlPr>
            </m:dPr>
            <m:e>
              <m:r>
                <m:rPr>
                  <m:sty m:val="bi"/>
                </m:rPr>
                <w:rPr>
                  <w:rFonts w:ascii="Cambria Math" w:hAnsi="Cambria Math" w:cs="Arial"/>
                  <w:color w:val="000000" w:themeColor="text1"/>
                  <w:lang w:val="es-ES" w:eastAsia="es-ES"/>
                </w:rPr>
                <m:t>-D</m:t>
              </m:r>
            </m:e>
          </m:d>
          <m:r>
            <m:rPr>
              <m:sty m:val="bi"/>
            </m:rPr>
            <w:rPr>
              <w:rFonts w:ascii="Cambria Math" w:hAnsi="Cambria Math" w:cs="Arial"/>
              <w:color w:val="000000" w:themeColor="text1"/>
              <w:lang w:val="es-ES" w:eastAsia="es-ES"/>
            </w:rPr>
            <m:t>+E</m:t>
          </m:r>
          <m:sSup>
            <m:sSupPr>
              <m:ctrlPr>
                <w:rPr>
                  <w:rFonts w:ascii="Cambria Math" w:hAnsi="Cambria Math" w:cs="Arial"/>
                  <w:i/>
                  <w:color w:val="000000" w:themeColor="text1"/>
                  <w:lang w:val="es-ES" w:eastAsia="es-ES"/>
                </w:rPr>
              </m:ctrlPr>
            </m:sSupPr>
            <m:e>
              <m:r>
                <m:rPr>
                  <m:sty m:val="bi"/>
                </m:rPr>
                <w:rPr>
                  <w:rFonts w:ascii="Cambria Math" w:hAnsi="Cambria Math" w:cs="Arial"/>
                  <w:color w:val="000000" w:themeColor="text1"/>
                  <w:lang w:val="es-ES" w:eastAsia="es-ES"/>
                </w:rPr>
                <m:t>e</m:t>
              </m:r>
            </m:e>
            <m:sup>
              <m:r>
                <m:rPr>
                  <m:sty m:val="bi"/>
                </m:rPr>
                <w:rPr>
                  <w:rFonts w:ascii="Cambria Math" w:hAnsi="Cambria Math" w:cs="Arial"/>
                  <w:color w:val="000000" w:themeColor="text1"/>
                  <w:lang w:val="es-ES" w:eastAsia="es-ES"/>
                </w:rPr>
                <m:t>-rt</m:t>
              </m:r>
            </m:sup>
          </m:sSup>
          <m:r>
            <m:rPr>
              <m:sty m:val="bi"/>
            </m:rPr>
            <w:rPr>
              <w:rFonts w:ascii="Cambria Math" w:hAnsi="Cambria Math" w:cs="Arial"/>
              <w:color w:val="000000" w:themeColor="text1"/>
              <w:lang w:val="es-ES" w:eastAsia="es-ES"/>
            </w:rPr>
            <m:t>N</m:t>
          </m:r>
          <m:d>
            <m:dPr>
              <m:ctrlPr>
                <w:rPr>
                  <w:rFonts w:ascii="Cambria Math" w:hAnsi="Cambria Math" w:cs="Arial"/>
                  <w:i/>
                  <w:color w:val="000000" w:themeColor="text1"/>
                  <w:lang w:val="es-ES" w:eastAsia="es-ES"/>
                </w:rPr>
              </m:ctrlPr>
            </m:dPr>
            <m:e>
              <m:r>
                <m:rPr>
                  <m:sty m:val="bi"/>
                </m:rPr>
                <w:rPr>
                  <w:rFonts w:ascii="Cambria Math" w:hAnsi="Cambria Math" w:cs="Arial"/>
                  <w:color w:val="000000" w:themeColor="text1"/>
                  <w:lang w:val="es-ES" w:eastAsia="es-ES"/>
                </w:rPr>
                <m:t>v</m:t>
              </m:r>
              <m:rad>
                <m:radPr>
                  <m:degHide m:val="1"/>
                  <m:ctrlPr>
                    <w:rPr>
                      <w:rFonts w:ascii="Cambria Math" w:hAnsi="Cambria Math" w:cs="Arial"/>
                      <w:i/>
                      <w:color w:val="000000" w:themeColor="text1"/>
                      <w:lang w:val="es-ES" w:eastAsia="es-ES"/>
                    </w:rPr>
                  </m:ctrlPr>
                </m:radPr>
                <m:deg/>
                <m:e>
                  <m:r>
                    <m:rPr>
                      <m:sty m:val="bi"/>
                    </m:rPr>
                    <w:rPr>
                      <w:rFonts w:ascii="Cambria Math" w:hAnsi="Cambria Math" w:cs="Arial"/>
                      <w:color w:val="000000" w:themeColor="text1"/>
                      <w:lang w:val="es-ES" w:eastAsia="es-ES"/>
                    </w:rPr>
                    <m:t>t</m:t>
                  </m:r>
                </m:e>
              </m:rad>
              <m:r>
                <m:rPr>
                  <m:sty m:val="bi"/>
                </m:rPr>
                <w:rPr>
                  <w:rFonts w:ascii="Cambria Math" w:hAnsi="Cambria Math" w:cs="Arial"/>
                  <w:color w:val="000000" w:themeColor="text1"/>
                  <w:lang w:val="es-ES" w:eastAsia="es-ES"/>
                </w:rPr>
                <m:t>-D</m:t>
              </m:r>
            </m:e>
          </m:d>
        </m:oMath>
      </m:oMathPara>
    </w:p>
    <w:p w14:paraId="1FCC2660" w14:textId="77777777" w:rsidR="007968EC" w:rsidRPr="00956EDA" w:rsidRDefault="007968EC" w:rsidP="007968EC">
      <w:pPr>
        <w:jc w:val="both"/>
        <w:rPr>
          <w:rFonts w:ascii="Arial Narrow" w:hAnsi="Arial Narrow" w:cs="Arial"/>
          <w:bCs/>
          <w:color w:val="000000" w:themeColor="text1"/>
          <w:lang w:val="es-ES" w:eastAsia="es-ES"/>
        </w:rPr>
      </w:pPr>
      <w:r w:rsidRPr="00956EDA">
        <w:rPr>
          <w:rFonts w:ascii="Arial Narrow" w:hAnsi="Arial Narrow" w:cs="Arial"/>
          <w:bCs/>
          <w:color w:val="000000" w:themeColor="text1"/>
          <w:lang w:val="es-ES" w:eastAsia="es-ES"/>
        </w:rPr>
        <w:t>Donde:</w:t>
      </w:r>
    </w:p>
    <w:p w14:paraId="75E8E76B" w14:textId="77777777" w:rsidR="007968EC" w:rsidRPr="00956EDA" w:rsidRDefault="007968EC" w:rsidP="007968EC">
      <w:pPr>
        <w:jc w:val="both"/>
        <w:rPr>
          <w:rFonts w:ascii="Arial Narrow" w:hAnsi="Arial Narrow" w:cs="Arial"/>
          <w:bCs/>
          <w:color w:val="000000" w:themeColor="text1"/>
          <w:lang w:val="es-ES" w:eastAsia="es-ES"/>
        </w:rPr>
      </w:pPr>
    </w:p>
    <w:p w14:paraId="0302FD12" w14:textId="77777777" w:rsidR="007968EC" w:rsidRPr="00956EDA" w:rsidRDefault="007968EC" w:rsidP="007968EC">
      <w:pPr>
        <w:jc w:val="center"/>
        <w:rPr>
          <w:rFonts w:ascii="Calibri Light" w:hAnsi="Calibri Light" w:cs="Arial"/>
          <w:bCs/>
          <w:color w:val="000000" w:themeColor="text1"/>
          <w:lang w:val="es-ES" w:eastAsia="es-ES"/>
        </w:rPr>
      </w:pPr>
      <m:oMath>
        <m:r>
          <m:rPr>
            <m:sty m:val="bi"/>
          </m:rPr>
          <w:rPr>
            <w:rFonts w:ascii="Cambria Math" w:hAnsi="Cambria Math" w:cs="Arial"/>
            <w:color w:val="000000" w:themeColor="text1"/>
            <w:sz w:val="28"/>
            <w:lang w:val="es-ES" w:eastAsia="es-ES"/>
          </w:rPr>
          <m:t>D</m:t>
        </m:r>
        <m:r>
          <m:rPr>
            <m:sty m:val="b"/>
          </m:rPr>
          <w:rPr>
            <w:rFonts w:ascii="Cambria Math" w:hAnsi="Cambria Math" w:cs="Arial"/>
            <w:color w:val="000000" w:themeColor="text1"/>
            <w:sz w:val="28"/>
            <w:lang w:val="es-ES" w:eastAsia="es-ES"/>
          </w:rPr>
          <m:t>=</m:t>
        </m:r>
        <m:f>
          <m:fPr>
            <m:ctrlPr>
              <w:rPr>
                <w:rFonts w:ascii="Cambria Math" w:hAnsi="Cambria Math"/>
                <w:i/>
                <w:sz w:val="20"/>
                <w:szCs w:val="18"/>
              </w:rPr>
            </m:ctrlPr>
          </m:fPr>
          <m:num>
            <m:func>
              <m:funcPr>
                <m:ctrlPr>
                  <w:rPr>
                    <w:rFonts w:ascii="Cambria Math" w:hAnsi="Cambria Math"/>
                    <w:i/>
                    <w:sz w:val="20"/>
                    <w:szCs w:val="18"/>
                  </w:rPr>
                </m:ctrlPr>
              </m:funcPr>
              <m:fName>
                <m:r>
                  <m:rPr>
                    <m:sty m:val="p"/>
                  </m:rPr>
                  <w:rPr>
                    <w:rFonts w:ascii="Cambria Math" w:hAnsi="Cambria Math"/>
                    <w:sz w:val="20"/>
                    <w:szCs w:val="18"/>
                  </w:rPr>
                  <m:t>ln</m:t>
                </m:r>
              </m:fName>
              <m:e>
                <m:d>
                  <m:dPr>
                    <m:ctrlPr>
                      <w:rPr>
                        <w:rFonts w:ascii="Cambria Math" w:hAnsi="Cambria Math"/>
                        <w:i/>
                        <w:sz w:val="20"/>
                        <w:szCs w:val="18"/>
                      </w:rPr>
                    </m:ctrlPr>
                  </m:dPr>
                  <m:e>
                    <m:f>
                      <m:fPr>
                        <m:ctrlPr>
                          <w:rPr>
                            <w:rFonts w:ascii="Cambria Math" w:hAnsi="Cambria Math"/>
                            <w:i/>
                            <w:sz w:val="20"/>
                            <w:szCs w:val="18"/>
                          </w:rPr>
                        </m:ctrlPr>
                      </m:fPr>
                      <m:num>
                        <m:r>
                          <w:rPr>
                            <w:rFonts w:ascii="Cambria Math" w:hAnsi="Cambria Math"/>
                            <w:sz w:val="20"/>
                            <w:szCs w:val="18"/>
                          </w:rPr>
                          <m:t>s</m:t>
                        </m:r>
                      </m:num>
                      <m:den>
                        <m:r>
                          <w:rPr>
                            <w:rFonts w:ascii="Cambria Math" w:hAnsi="Cambria Math"/>
                            <w:sz w:val="20"/>
                            <w:szCs w:val="18"/>
                          </w:rPr>
                          <m:t>E</m:t>
                        </m:r>
                      </m:den>
                    </m:f>
                  </m:e>
                </m:d>
              </m:e>
            </m:func>
            <m:r>
              <w:rPr>
                <w:rFonts w:ascii="Cambria Math" w:hAnsi="Cambria Math"/>
                <w:sz w:val="20"/>
                <w:szCs w:val="18"/>
              </w:rPr>
              <m:t>+</m:t>
            </m:r>
            <m:d>
              <m:dPr>
                <m:ctrlPr>
                  <w:rPr>
                    <w:rFonts w:ascii="Cambria Math" w:hAnsi="Cambria Math"/>
                    <w:i/>
                    <w:sz w:val="20"/>
                    <w:szCs w:val="18"/>
                  </w:rPr>
                </m:ctrlPr>
              </m:dPr>
              <m:e>
                <m:r>
                  <w:rPr>
                    <w:rFonts w:ascii="Cambria Math" w:hAnsi="Cambria Math"/>
                    <w:sz w:val="20"/>
                    <w:szCs w:val="18"/>
                  </w:rPr>
                  <m:t>R-</m:t>
                </m:r>
                <m:sSub>
                  <m:sSubPr>
                    <m:ctrlPr>
                      <w:rPr>
                        <w:rFonts w:ascii="Cambria Math" w:hAnsi="Cambria Math"/>
                        <w:i/>
                        <w:sz w:val="20"/>
                        <w:szCs w:val="18"/>
                      </w:rPr>
                    </m:ctrlPr>
                  </m:sSubPr>
                  <m:e>
                    <m:r>
                      <w:rPr>
                        <w:rFonts w:ascii="Cambria Math" w:hAnsi="Cambria Math"/>
                        <w:sz w:val="20"/>
                        <w:szCs w:val="18"/>
                      </w:rPr>
                      <m:t>r</m:t>
                    </m:r>
                  </m:e>
                  <m:sub>
                    <m:r>
                      <w:rPr>
                        <w:rFonts w:ascii="Cambria Math" w:hAnsi="Cambria Math"/>
                        <w:sz w:val="20"/>
                        <w:szCs w:val="18"/>
                      </w:rPr>
                      <m:t>f</m:t>
                    </m:r>
                  </m:sub>
                </m:sSub>
                <m:r>
                  <w:rPr>
                    <w:rFonts w:ascii="Cambria Math" w:hAnsi="Cambria Math"/>
                    <w:sz w:val="20"/>
                    <w:szCs w:val="18"/>
                  </w:rPr>
                  <m:t>+</m:t>
                </m:r>
                <m:f>
                  <m:fPr>
                    <m:ctrlPr>
                      <w:rPr>
                        <w:rFonts w:ascii="Cambria Math" w:hAnsi="Cambria Math"/>
                        <w:i/>
                        <w:sz w:val="20"/>
                        <w:szCs w:val="18"/>
                      </w:rPr>
                    </m:ctrlPr>
                  </m:fPr>
                  <m:num>
                    <m:sSup>
                      <m:sSupPr>
                        <m:ctrlPr>
                          <w:rPr>
                            <w:rFonts w:ascii="Cambria Math" w:hAnsi="Cambria Math"/>
                            <w:i/>
                            <w:sz w:val="20"/>
                            <w:szCs w:val="18"/>
                          </w:rPr>
                        </m:ctrlPr>
                      </m:sSupPr>
                      <m:e>
                        <m:r>
                          <w:rPr>
                            <w:rFonts w:ascii="Cambria Math" w:hAnsi="Cambria Math"/>
                            <w:sz w:val="20"/>
                            <w:szCs w:val="18"/>
                          </w:rPr>
                          <m:t>σ</m:t>
                        </m:r>
                      </m:e>
                      <m:sup>
                        <m:r>
                          <w:rPr>
                            <w:rFonts w:ascii="Cambria Math" w:hAnsi="Cambria Math"/>
                            <w:sz w:val="20"/>
                            <w:szCs w:val="18"/>
                          </w:rPr>
                          <m:t>2</m:t>
                        </m:r>
                      </m:sup>
                    </m:sSup>
                  </m:num>
                  <m:den>
                    <m:r>
                      <w:rPr>
                        <w:rFonts w:ascii="Cambria Math" w:hAnsi="Cambria Math"/>
                        <w:sz w:val="20"/>
                        <w:szCs w:val="18"/>
                      </w:rPr>
                      <m:t>2</m:t>
                    </m:r>
                  </m:den>
                </m:f>
              </m:e>
            </m:d>
            <m:r>
              <w:rPr>
                <w:rFonts w:ascii="Cambria Math" w:hAnsi="Cambria Math"/>
                <w:sz w:val="20"/>
                <w:szCs w:val="18"/>
              </w:rPr>
              <m:t>t</m:t>
            </m:r>
          </m:num>
          <m:den>
            <m:r>
              <w:rPr>
                <w:rFonts w:ascii="Cambria Math" w:hAnsi="Cambria Math"/>
                <w:sz w:val="20"/>
                <w:szCs w:val="18"/>
              </w:rPr>
              <m:t>σ</m:t>
            </m:r>
            <m:rad>
              <m:radPr>
                <m:degHide m:val="1"/>
                <m:ctrlPr>
                  <w:rPr>
                    <w:rFonts w:ascii="Cambria Math" w:hAnsi="Cambria Math"/>
                    <w:i/>
                    <w:sz w:val="20"/>
                    <w:szCs w:val="18"/>
                  </w:rPr>
                </m:ctrlPr>
              </m:radPr>
              <m:deg/>
              <m:e>
                <m:r>
                  <w:rPr>
                    <w:rFonts w:ascii="Cambria Math" w:hAnsi="Cambria Math"/>
                    <w:sz w:val="20"/>
                    <w:szCs w:val="18"/>
                  </w:rPr>
                  <m:t>T</m:t>
                </m:r>
              </m:e>
            </m:rad>
          </m:den>
        </m:f>
        <m:r>
          <m:rPr>
            <m:sty m:val="bi"/>
          </m:rPr>
          <w:rPr>
            <w:rFonts w:ascii="Cambria Math" w:hAnsi="Cambria Math" w:cs="Arial"/>
            <w:color w:val="000000" w:themeColor="text1"/>
            <w:sz w:val="28"/>
            <w:lang w:val="es-ES" w:eastAsia="es-ES"/>
          </w:rPr>
          <m:t xml:space="preserve">                                                                                                             </m:t>
        </m:r>
      </m:oMath>
      <w:r w:rsidRPr="00956EDA">
        <w:rPr>
          <w:rFonts w:ascii="Calibri Light" w:hAnsi="Calibri Light" w:cs="Arial"/>
          <w:bCs/>
          <w:color w:val="000000" w:themeColor="text1"/>
          <w:lang w:val="es-ES" w:eastAsia="es-ES"/>
        </w:rPr>
        <w:t xml:space="preserve">         </w:t>
      </w:r>
    </w:p>
    <w:p w14:paraId="24B33F22" w14:textId="77777777" w:rsidR="007968EC" w:rsidRDefault="007968EC" w:rsidP="007968EC">
      <w:pPr>
        <w:jc w:val="both"/>
        <w:rPr>
          <w:rFonts w:ascii="Arial Narrow" w:hAnsi="Arial Narrow" w:cs="Arial"/>
          <w:bCs/>
          <w:color w:val="000000" w:themeColor="text1"/>
          <w:lang w:val="es-ES" w:eastAsia="es-ES"/>
        </w:rPr>
      </w:pPr>
    </w:p>
    <w:p w14:paraId="0B89B98C" w14:textId="77777777" w:rsidR="007968EC" w:rsidRPr="00956EDA" w:rsidRDefault="007968EC" w:rsidP="007968EC">
      <w:pPr>
        <w:jc w:val="both"/>
        <w:rPr>
          <w:rFonts w:ascii="Arial Narrow" w:hAnsi="Arial Narrow" w:cs="Arial"/>
          <w:bCs/>
          <w:color w:val="000000" w:themeColor="text1"/>
          <w:lang w:val="es-ES" w:eastAsia="es-ES"/>
        </w:rPr>
      </w:pPr>
      <w:r w:rsidRPr="00956EDA">
        <w:rPr>
          <w:rFonts w:ascii="Arial Narrow" w:hAnsi="Arial Narrow" w:cs="Arial"/>
          <w:bCs/>
          <w:color w:val="000000" w:themeColor="text1"/>
          <w:lang w:val="es-ES" w:eastAsia="es-ES"/>
        </w:rPr>
        <w:t>C=Valor teórico de una Opción CALL</w:t>
      </w:r>
    </w:p>
    <w:p w14:paraId="3D9FF133" w14:textId="77777777" w:rsidR="007968EC" w:rsidRPr="00956EDA" w:rsidRDefault="007968EC" w:rsidP="007968EC">
      <w:pPr>
        <w:jc w:val="both"/>
        <w:rPr>
          <w:rFonts w:ascii="Arial Narrow" w:hAnsi="Arial Narrow" w:cs="Arial"/>
          <w:bCs/>
          <w:color w:val="000000" w:themeColor="text1"/>
          <w:lang w:val="es-ES" w:eastAsia="es-ES"/>
        </w:rPr>
      </w:pPr>
      <w:r w:rsidRPr="00956EDA">
        <w:rPr>
          <w:rFonts w:ascii="Arial Narrow" w:hAnsi="Arial Narrow" w:cs="Arial"/>
          <w:bCs/>
          <w:color w:val="000000" w:themeColor="text1"/>
          <w:lang w:val="es-ES" w:eastAsia="es-ES"/>
        </w:rPr>
        <w:t>P=Valor teórico de una Opción PUT</w:t>
      </w:r>
    </w:p>
    <w:p w14:paraId="3BF4F3FD" w14:textId="77777777" w:rsidR="007968EC" w:rsidRDefault="007968EC" w:rsidP="007968EC">
      <w:pPr>
        <w:jc w:val="both"/>
        <w:rPr>
          <w:rFonts w:ascii="Arial Narrow" w:hAnsi="Arial Narrow" w:cs="Arial"/>
          <w:color w:val="000000" w:themeColor="text1"/>
          <w:lang w:val="es-ES" w:eastAsia="es-ES"/>
        </w:rPr>
      </w:pPr>
      <w:r w:rsidRPr="00956EDA">
        <w:rPr>
          <w:rFonts w:ascii="Arial Narrow" w:hAnsi="Arial Narrow" w:cs="Arial"/>
          <w:bCs/>
          <w:color w:val="000000" w:themeColor="text1"/>
          <w:lang w:val="es-ES" w:eastAsia="es-ES"/>
        </w:rPr>
        <w:t>S= Precio del subyacente (TRM)</w:t>
      </w:r>
    </w:p>
    <w:p w14:paraId="3F410F2C" w14:textId="77777777" w:rsidR="007968EC" w:rsidRPr="00956EDA" w:rsidRDefault="007968EC" w:rsidP="007968EC">
      <w:pPr>
        <w:jc w:val="both"/>
        <w:rPr>
          <w:rFonts w:ascii="Arial Narrow" w:hAnsi="Arial Narrow" w:cs="Arial"/>
          <w:bCs/>
          <w:color w:val="000000" w:themeColor="text1"/>
          <w:lang w:val="es-ES" w:eastAsia="es-ES"/>
        </w:rPr>
      </w:pPr>
      <w:r w:rsidRPr="00956EDA">
        <w:rPr>
          <w:rFonts w:ascii="Arial Narrow" w:hAnsi="Arial Narrow" w:cs="Arial"/>
          <w:bCs/>
          <w:color w:val="000000" w:themeColor="text1"/>
          <w:lang w:val="es-ES" w:eastAsia="es-ES"/>
        </w:rPr>
        <w:t>E= Precio de ejercicio de la Opción</w:t>
      </w:r>
    </w:p>
    <w:p w14:paraId="3DEFD1CB" w14:textId="77777777" w:rsidR="007968EC" w:rsidRPr="00715111" w:rsidRDefault="007968EC" w:rsidP="007968EC">
      <w:pPr>
        <w:jc w:val="both"/>
        <w:rPr>
          <w:rFonts w:ascii="Arial Narrow" w:hAnsi="Arial Narrow" w:cs="Arial"/>
          <w:bCs/>
          <w:color w:val="000000" w:themeColor="text1"/>
          <w:lang w:val="es-ES" w:eastAsia="es-ES"/>
        </w:rPr>
      </w:pPr>
      <w:r w:rsidRPr="00715111">
        <w:rPr>
          <w:rFonts w:ascii="Arial Narrow" w:hAnsi="Arial Narrow" w:cs="Arial"/>
          <w:bCs/>
          <w:color w:val="000000" w:themeColor="text1"/>
          <w:lang w:val="es-ES" w:eastAsia="es-ES"/>
        </w:rPr>
        <w:t>t= Días a vencimiento / Días año (365 si el periodo analizado es superior a 365 días, y 360 en caso contrario)</w:t>
      </w:r>
    </w:p>
    <w:p w14:paraId="3450252D" w14:textId="77777777" w:rsidR="007968EC" w:rsidRPr="00715111" w:rsidRDefault="007968EC" w:rsidP="007968EC">
      <w:pPr>
        <w:jc w:val="both"/>
        <w:rPr>
          <w:rFonts w:ascii="Arial Narrow" w:hAnsi="Arial Narrow" w:cs="Arial"/>
          <w:bCs/>
          <w:color w:val="000000" w:themeColor="text1"/>
          <w:lang w:val="es-ES" w:eastAsia="es-ES"/>
        </w:rPr>
      </w:pPr>
      <w:r w:rsidRPr="00715111">
        <w:rPr>
          <w:rFonts w:ascii="Arial Narrow" w:hAnsi="Arial Narrow" w:cs="Arial"/>
          <w:bCs/>
          <w:color w:val="000000" w:themeColor="text1"/>
          <w:lang w:val="es-ES" w:eastAsia="es-ES"/>
        </w:rPr>
        <w:t>V= Volatilidad anualizada (en porcentaje)</w:t>
      </w:r>
    </w:p>
    <w:p w14:paraId="01AEED51" w14:textId="77777777" w:rsidR="007968EC" w:rsidRPr="00715111" w:rsidRDefault="007968EC" w:rsidP="007968EC">
      <w:pPr>
        <w:jc w:val="both"/>
        <w:rPr>
          <w:rFonts w:ascii="Arial Narrow" w:hAnsi="Arial Narrow" w:cs="Arial"/>
          <w:bCs/>
          <w:color w:val="000000" w:themeColor="text1"/>
          <w:lang w:val="es-ES" w:eastAsia="es-ES"/>
        </w:rPr>
      </w:pPr>
      <w:r w:rsidRPr="00715111">
        <w:rPr>
          <w:rFonts w:ascii="Arial Narrow" w:hAnsi="Arial Narrow" w:cs="Arial"/>
          <w:bCs/>
          <w:color w:val="000000" w:themeColor="text1"/>
          <w:lang w:val="es-ES" w:eastAsia="es-ES"/>
        </w:rPr>
        <w:t>R= Tasa de interés (IBR)</w:t>
      </w:r>
    </w:p>
    <w:p w14:paraId="2ED2F838" w14:textId="77777777" w:rsidR="007968EC" w:rsidRPr="008B1F3A" w:rsidRDefault="00682D97" w:rsidP="007968EC">
      <w:pPr>
        <w:jc w:val="both"/>
        <w:rPr>
          <w:rFonts w:ascii="Arial Narrow" w:hAnsi="Arial Narrow" w:cs="Arial"/>
          <w:bCs/>
          <w:color w:val="000000" w:themeColor="text1"/>
          <w:lang w:val="es-ES" w:eastAsia="es-ES"/>
        </w:rPr>
      </w:pPr>
      <m:oMath>
        <m:sSub>
          <m:sSubPr>
            <m:ctrlPr>
              <w:rPr>
                <w:rFonts w:ascii="Cambria Math" w:hAnsi="Cambria Math" w:cs="Arial"/>
                <w:i/>
                <w:color w:val="000000" w:themeColor="text1"/>
                <w:lang w:val="es-ES" w:eastAsia="es-ES"/>
              </w:rPr>
            </m:ctrlPr>
          </m:sSubPr>
          <m:e>
            <m:r>
              <w:rPr>
                <w:rFonts w:ascii="Cambria Math" w:hAnsi="Cambria Math" w:cs="Arial"/>
                <w:color w:val="000000" w:themeColor="text1"/>
                <w:lang w:val="es-ES" w:eastAsia="es-ES"/>
              </w:rPr>
              <m:t>r</m:t>
            </m:r>
          </m:e>
          <m:sub>
            <m:r>
              <w:rPr>
                <w:rFonts w:ascii="Cambria Math" w:hAnsi="Cambria Math" w:cs="Arial"/>
                <w:color w:val="000000" w:themeColor="text1"/>
                <w:lang w:val="es-ES" w:eastAsia="es-ES"/>
              </w:rPr>
              <m:t>f</m:t>
            </m:r>
          </m:sub>
        </m:sSub>
        <m:r>
          <w:rPr>
            <w:rFonts w:ascii="Cambria Math" w:hAnsi="Cambria Math" w:cs="Arial"/>
            <w:color w:val="000000" w:themeColor="text1"/>
            <w:lang w:val="es-ES" w:eastAsia="es-ES"/>
          </w:rPr>
          <m:t>=</m:t>
        </m:r>
      </m:oMath>
      <w:r w:rsidR="007968EC" w:rsidRPr="00990F6F">
        <w:rPr>
          <w:rFonts w:ascii="Arial Narrow" w:hAnsi="Arial Narrow" w:cs="Arial"/>
          <w:color w:val="000000" w:themeColor="text1"/>
          <w:lang w:val="es-ES" w:eastAsia="es-ES"/>
        </w:rPr>
        <w:t xml:space="preserve"> Tasa de interés externa (IBR/LIBOR</w:t>
      </w:r>
      <w:r w:rsidR="007968EC" w:rsidRPr="00715111">
        <w:rPr>
          <w:rFonts w:ascii="Arial Narrow" w:hAnsi="Arial Narrow" w:cs="Arial"/>
          <w:b/>
          <w:color w:val="000000" w:themeColor="text1"/>
          <w:lang w:val="es-ES" w:eastAsia="es-ES"/>
        </w:rPr>
        <w:t>)</w:t>
      </w:r>
    </w:p>
    <w:p w14:paraId="6E89543C" w14:textId="77777777" w:rsidR="007968EC" w:rsidRPr="00956EDA" w:rsidRDefault="007968EC" w:rsidP="007968EC">
      <w:pPr>
        <w:autoSpaceDE w:val="0"/>
        <w:autoSpaceDN w:val="0"/>
        <w:adjustRightInd w:val="0"/>
        <w:rPr>
          <w:rFonts w:ascii="Arial Narrow" w:hAnsi="Arial Narrow" w:cs="Calibri"/>
          <w:color w:val="000000" w:themeColor="text1"/>
          <w:lang w:val="es-ES" w:eastAsia="es-ES"/>
        </w:rPr>
      </w:pPr>
      <w:r w:rsidRPr="00956EDA">
        <w:rPr>
          <w:rFonts w:ascii="Arial Narrow" w:hAnsi="Arial Narrow" w:cs="Arial"/>
          <w:bCs/>
          <w:color w:val="000000" w:themeColor="text1"/>
          <w:lang w:val="es-ES" w:eastAsia="es-ES"/>
        </w:rPr>
        <w:t xml:space="preserve">N(D)= Significa el </w:t>
      </w:r>
      <w:r w:rsidRPr="00956EDA">
        <w:rPr>
          <w:rFonts w:ascii="Arial Narrow" w:hAnsi="Arial Narrow" w:cs="Calibri"/>
          <w:color w:val="000000" w:themeColor="text1"/>
          <w:lang w:val="es-ES" w:eastAsia="es-ES"/>
        </w:rPr>
        <w:t>valor presente del beneficio de ejercer la Opción al vencimiento,</w:t>
      </w:r>
      <w:r>
        <w:rPr>
          <w:rFonts w:ascii="Arial Narrow" w:hAnsi="Arial Narrow" w:cs="Calibri"/>
          <w:color w:val="000000" w:themeColor="text1"/>
          <w:lang w:val="es-ES" w:eastAsia="es-ES"/>
        </w:rPr>
        <w:t xml:space="preserve"> </w:t>
      </w:r>
    </w:p>
    <w:p w14:paraId="2571751D" w14:textId="77777777" w:rsidR="007968EC" w:rsidRPr="00956EDA" w:rsidRDefault="007968EC" w:rsidP="007968EC">
      <w:pPr>
        <w:autoSpaceDE w:val="0"/>
        <w:autoSpaceDN w:val="0"/>
        <w:adjustRightInd w:val="0"/>
        <w:rPr>
          <w:rFonts w:ascii="Arial Narrow" w:hAnsi="Arial Narrow" w:cs="Arial"/>
          <w:color w:val="000000" w:themeColor="text1"/>
          <w:lang w:val="es-ES" w:eastAsia="es-ES"/>
        </w:rPr>
      </w:pPr>
      <m:oMath>
        <m:r>
          <m:rPr>
            <m:sty m:val="bi"/>
          </m:rPr>
          <w:rPr>
            <w:rFonts w:ascii="Cambria Math" w:hAnsi="Cambria Math" w:cs="Arial"/>
            <w:color w:val="000000" w:themeColor="text1"/>
            <w:lang w:val="es-ES" w:eastAsia="es-ES"/>
          </w:rPr>
          <m:t>N</m:t>
        </m:r>
        <m:d>
          <m:dPr>
            <m:ctrlPr>
              <w:rPr>
                <w:rFonts w:ascii="Cambria Math" w:hAnsi="Cambria Math" w:cs="Arial"/>
                <w:i/>
                <w:color w:val="000000" w:themeColor="text1"/>
                <w:lang w:val="es-ES" w:eastAsia="es-ES"/>
              </w:rPr>
            </m:ctrlPr>
          </m:dPr>
          <m:e>
            <m:r>
              <m:rPr>
                <m:sty m:val="bi"/>
              </m:rPr>
              <w:rPr>
                <w:rFonts w:ascii="Cambria Math" w:hAnsi="Cambria Math" w:cs="Arial"/>
                <w:color w:val="000000" w:themeColor="text1"/>
                <w:lang w:val="es-ES" w:eastAsia="es-ES"/>
              </w:rPr>
              <m:t>D-v</m:t>
            </m:r>
            <m:rad>
              <m:radPr>
                <m:degHide m:val="1"/>
                <m:ctrlPr>
                  <w:rPr>
                    <w:rFonts w:ascii="Cambria Math" w:hAnsi="Cambria Math" w:cs="Arial"/>
                    <w:i/>
                    <w:color w:val="000000" w:themeColor="text1"/>
                    <w:lang w:val="es-ES" w:eastAsia="es-ES"/>
                  </w:rPr>
                </m:ctrlPr>
              </m:radPr>
              <m:deg/>
              <m:e>
                <m:r>
                  <m:rPr>
                    <m:sty m:val="bi"/>
                  </m:rPr>
                  <w:rPr>
                    <w:rFonts w:ascii="Cambria Math" w:hAnsi="Cambria Math" w:cs="Arial"/>
                    <w:color w:val="000000" w:themeColor="text1"/>
                    <w:lang w:val="es-ES" w:eastAsia="es-ES"/>
                  </w:rPr>
                  <m:t>t</m:t>
                </m:r>
              </m:e>
            </m:rad>
          </m:e>
        </m:d>
        <m:r>
          <m:rPr>
            <m:sty m:val="bi"/>
          </m:rPr>
          <w:rPr>
            <w:rFonts w:ascii="Cambria Math" w:hAnsi="Cambria Math" w:cs="Arial"/>
            <w:color w:val="000000" w:themeColor="text1"/>
            <w:lang w:val="es-ES" w:eastAsia="es-ES"/>
          </w:rPr>
          <m:t>=</m:t>
        </m:r>
      </m:oMath>
      <w:r w:rsidRPr="00956EDA">
        <w:rPr>
          <w:rFonts w:ascii="Arial Narrow" w:hAnsi="Arial Narrow" w:cs="Arial"/>
          <w:color w:val="000000" w:themeColor="text1"/>
          <w:lang w:val="es-ES" w:eastAsia="es-ES"/>
        </w:rPr>
        <w:t xml:space="preserve"> El valor presente de los costos esperados de ejercer la Opción, condicionados a que la opción est</w:t>
      </w:r>
      <w:r>
        <w:rPr>
          <w:rFonts w:ascii="Arial Narrow" w:hAnsi="Arial Narrow" w:cs="Arial"/>
          <w:color w:val="000000" w:themeColor="text1"/>
          <w:lang w:val="es-ES" w:eastAsia="es-ES"/>
        </w:rPr>
        <w:t>é</w:t>
      </w:r>
      <w:r w:rsidRPr="00956EDA">
        <w:rPr>
          <w:rFonts w:ascii="Arial Narrow" w:hAnsi="Arial Narrow" w:cs="Arial"/>
          <w:color w:val="000000" w:themeColor="text1"/>
          <w:lang w:val="es-ES" w:eastAsia="es-ES"/>
        </w:rPr>
        <w:t xml:space="preserve"> ITM en el vencimiento. Es decir, la probabilidad que esto suceda.</w:t>
      </w:r>
    </w:p>
    <w:p w14:paraId="0CA6A1FF" w14:textId="77777777" w:rsidR="007968EC" w:rsidRPr="00956EDA" w:rsidRDefault="007968EC" w:rsidP="007968EC">
      <w:pPr>
        <w:jc w:val="both"/>
        <w:rPr>
          <w:rFonts w:ascii="Arial Narrow" w:hAnsi="Arial Narrow" w:cs="Arial"/>
          <w:bCs/>
          <w:color w:val="000000" w:themeColor="text1"/>
          <w:lang w:val="es-ES" w:eastAsia="es-ES"/>
        </w:rPr>
      </w:pPr>
    </w:p>
    <w:p w14:paraId="6FA1598C" w14:textId="77777777" w:rsidR="007968EC" w:rsidRPr="00956EDA" w:rsidRDefault="007968EC" w:rsidP="007968EC">
      <w:pPr>
        <w:autoSpaceDE w:val="0"/>
        <w:autoSpaceDN w:val="0"/>
        <w:jc w:val="both"/>
        <w:rPr>
          <w:rFonts w:ascii="Arial Narrow" w:hAnsi="Arial Narrow" w:cs="Verdana"/>
          <w:color w:val="000000" w:themeColor="text1"/>
          <w:lang w:val="es-ES_tradnl" w:eastAsia="es-ES"/>
        </w:rPr>
      </w:pPr>
      <w:r w:rsidRPr="00956EDA">
        <w:rPr>
          <w:rFonts w:ascii="Arial Narrow" w:hAnsi="Arial Narrow" w:cs="Arial"/>
          <w:bCs/>
          <w:color w:val="000000" w:themeColor="text1"/>
          <w:lang w:val="es-ES" w:eastAsia="es-ES"/>
        </w:rPr>
        <w:t>Para el cálculo de N(x), la función de Distribución Normal Estándar acumulada, se utiliza la aproximación polinómica de Taylor de grado 3.</w:t>
      </w:r>
    </w:p>
    <w:p w14:paraId="1BF54C9E" w14:textId="77777777" w:rsidR="007968EC" w:rsidRPr="00B42588" w:rsidRDefault="007968EC" w:rsidP="007968EC">
      <w:pPr>
        <w:autoSpaceDE w:val="0"/>
        <w:autoSpaceDN w:val="0"/>
        <w:jc w:val="both"/>
        <w:rPr>
          <w:rFonts w:ascii="Arial Narrow" w:eastAsia="Calibri" w:hAnsi="Arial Narrow"/>
          <w:b/>
          <w:bCs/>
          <w:color w:val="000000" w:themeColor="text1"/>
          <w:lang w:val="es-ES_tradnl"/>
        </w:rPr>
      </w:pPr>
    </w:p>
    <w:p w14:paraId="2C890D83" w14:textId="77777777" w:rsidR="007968EC" w:rsidRPr="00765B39" w:rsidRDefault="007968EC" w:rsidP="00DA7472">
      <w:pPr>
        <w:pStyle w:val="Prrafodelista"/>
        <w:numPr>
          <w:ilvl w:val="0"/>
          <w:numId w:val="308"/>
        </w:numPr>
        <w:ind w:left="284"/>
        <w:contextualSpacing/>
        <w:jc w:val="both"/>
        <w:rPr>
          <w:rFonts w:ascii="Arial Narrow" w:eastAsia="Calibri" w:hAnsi="Arial Narrow" w:cs="Times New Roman"/>
          <w:b w:val="0"/>
          <w:color w:val="000000" w:themeColor="text1"/>
        </w:rPr>
      </w:pPr>
      <w:r w:rsidRPr="00990F6F">
        <w:rPr>
          <w:rFonts w:ascii="Arial Narrow" w:eastAsia="Calibri" w:hAnsi="Arial Narrow" w:cs="Times New Roman"/>
          <w:b w:val="0"/>
          <w:color w:val="000000" w:themeColor="text1"/>
        </w:rPr>
        <w:t xml:space="preserve">Calidad especial para participar como Miembros en la Compensación y Liquidación del Instrumento </w:t>
      </w:r>
      <w:r>
        <w:rPr>
          <w:rFonts w:ascii="Arial Narrow" w:eastAsia="Calibri" w:hAnsi="Arial Narrow" w:cs="Times New Roman"/>
          <w:b w:val="0"/>
          <w:color w:val="000000" w:themeColor="text1"/>
        </w:rPr>
        <w:t>Contrato de Opción sobre la TRM:</w:t>
      </w:r>
    </w:p>
    <w:p w14:paraId="20D81257" w14:textId="77777777" w:rsidR="007968EC" w:rsidRDefault="007968EC" w:rsidP="007968EC">
      <w:pPr>
        <w:ind w:left="340"/>
        <w:contextualSpacing/>
        <w:jc w:val="both"/>
        <w:rPr>
          <w:rFonts w:ascii="Arial Narrow" w:eastAsia="Calibri" w:hAnsi="Arial Narrow"/>
          <w:b/>
          <w:color w:val="000000" w:themeColor="text1"/>
        </w:rPr>
      </w:pPr>
    </w:p>
    <w:p w14:paraId="1C444C7B" w14:textId="77777777" w:rsidR="007968EC" w:rsidRDefault="007968EC" w:rsidP="007968EC">
      <w:pPr>
        <w:autoSpaceDE w:val="0"/>
        <w:autoSpaceDN w:val="0"/>
        <w:ind w:left="284"/>
        <w:jc w:val="both"/>
        <w:rPr>
          <w:rFonts w:ascii="Arial Narrow" w:eastAsia="Calibri" w:hAnsi="Arial Narrow"/>
          <w:bCs/>
          <w:color w:val="000000" w:themeColor="text1"/>
          <w:lang w:val="es-MX"/>
        </w:rPr>
      </w:pPr>
      <w:r w:rsidRPr="007E57B7">
        <w:rPr>
          <w:rFonts w:ascii="Arial Narrow" w:eastAsia="Calibri" w:hAnsi="Arial Narrow"/>
          <w:bCs/>
          <w:color w:val="000000" w:themeColor="text1"/>
          <w:lang w:val="es-MX"/>
        </w:rPr>
        <w:t>De conformidad con lo previsto en el artículo 3º de la Resolución Externa 12 de 2008 modificado por la</w:t>
      </w:r>
      <w:r>
        <w:rPr>
          <w:rFonts w:ascii="Arial Narrow" w:eastAsia="Calibri" w:hAnsi="Arial Narrow"/>
          <w:bCs/>
          <w:color w:val="000000" w:themeColor="text1"/>
          <w:lang w:val="es-MX"/>
        </w:rPr>
        <w:t xml:space="preserve"> </w:t>
      </w:r>
      <w:r w:rsidRPr="007E57B7">
        <w:rPr>
          <w:rFonts w:ascii="Arial Narrow" w:eastAsia="Calibri" w:hAnsi="Arial Narrow"/>
          <w:bCs/>
          <w:color w:val="000000" w:themeColor="text1"/>
          <w:lang w:val="es-MX"/>
        </w:rPr>
        <w:t>Resolución Externa 6 de 2017 de la Junta Directiva del Banco de la República, los Miembros</w:t>
      </w:r>
      <w:r>
        <w:rPr>
          <w:rFonts w:ascii="Arial Narrow" w:eastAsia="Calibri" w:hAnsi="Arial Narrow"/>
          <w:bCs/>
          <w:color w:val="000000" w:themeColor="text1"/>
          <w:lang w:val="es-MX"/>
        </w:rPr>
        <w:t xml:space="preserve"> </w:t>
      </w:r>
      <w:r w:rsidRPr="007E57B7">
        <w:rPr>
          <w:rFonts w:ascii="Arial Narrow" w:eastAsia="Calibri" w:hAnsi="Arial Narrow"/>
          <w:bCs/>
          <w:color w:val="000000" w:themeColor="text1"/>
          <w:lang w:val="es-MX"/>
        </w:rPr>
        <w:t>Liquidadores del Segmento de Derivados Financieros que estén interesados en participar en la</w:t>
      </w:r>
      <w:r>
        <w:rPr>
          <w:rFonts w:ascii="Arial Narrow" w:eastAsia="Calibri" w:hAnsi="Arial Narrow"/>
          <w:bCs/>
          <w:color w:val="000000" w:themeColor="text1"/>
          <w:lang w:val="es-MX"/>
        </w:rPr>
        <w:t xml:space="preserve"> </w:t>
      </w:r>
      <w:r w:rsidRPr="007E57B7">
        <w:rPr>
          <w:rFonts w:ascii="Arial Narrow" w:eastAsia="Calibri" w:hAnsi="Arial Narrow"/>
          <w:bCs/>
          <w:color w:val="000000" w:themeColor="text1"/>
          <w:lang w:val="es-MX"/>
        </w:rPr>
        <w:t xml:space="preserve">Compensación y Liquidación de operaciones sobre contratos de </w:t>
      </w:r>
      <w:r>
        <w:rPr>
          <w:rFonts w:ascii="Arial Narrow" w:eastAsia="Calibri" w:hAnsi="Arial Narrow"/>
          <w:color w:val="000000" w:themeColor="text1"/>
        </w:rPr>
        <w:t>Opciones sobre la</w:t>
      </w:r>
      <w:r w:rsidRPr="00956EDA">
        <w:rPr>
          <w:rFonts w:ascii="Arial Narrow" w:eastAsia="Calibri" w:hAnsi="Arial Narrow"/>
          <w:color w:val="000000" w:themeColor="text1"/>
        </w:rPr>
        <w:t xml:space="preserve"> T</w:t>
      </w:r>
      <w:r>
        <w:rPr>
          <w:rFonts w:ascii="Arial Narrow" w:eastAsia="Calibri" w:hAnsi="Arial Narrow"/>
          <w:color w:val="000000" w:themeColor="text1"/>
        </w:rPr>
        <w:t>RM</w:t>
      </w:r>
      <w:r w:rsidRPr="007E57B7">
        <w:rPr>
          <w:rFonts w:ascii="Arial Narrow" w:eastAsia="Calibri" w:hAnsi="Arial Narrow"/>
          <w:bCs/>
          <w:color w:val="000000" w:themeColor="text1"/>
          <w:lang w:val="es-MX"/>
        </w:rPr>
        <w:t>, deberán tener la calidad de Intermediarios del Mercado Cambiario (IMC) autorizados para</w:t>
      </w:r>
      <w:r>
        <w:rPr>
          <w:rFonts w:ascii="Arial Narrow" w:eastAsia="Calibri" w:hAnsi="Arial Narrow"/>
          <w:bCs/>
          <w:color w:val="000000" w:themeColor="text1"/>
          <w:lang w:val="es-MX"/>
        </w:rPr>
        <w:t xml:space="preserve"> </w:t>
      </w:r>
      <w:r w:rsidRPr="007E57B7">
        <w:rPr>
          <w:rFonts w:ascii="Arial Narrow" w:eastAsia="Calibri" w:hAnsi="Arial Narrow"/>
          <w:bCs/>
          <w:color w:val="000000" w:themeColor="text1"/>
          <w:lang w:val="es-MX"/>
        </w:rPr>
        <w:t xml:space="preserve">realizar operaciones de derivados de </w:t>
      </w:r>
      <w:r w:rsidRPr="007E57B7">
        <w:rPr>
          <w:rFonts w:ascii="Arial Narrow" w:eastAsia="Calibri" w:hAnsi="Arial Narrow"/>
          <w:bCs/>
          <w:color w:val="000000" w:themeColor="text1"/>
          <w:lang w:val="es-MX"/>
        </w:rPr>
        <w:lastRenderedPageBreak/>
        <w:t>acuerdo con lo previsto en el artículo 59 de la Resolución Externa</w:t>
      </w:r>
      <w:r>
        <w:rPr>
          <w:rFonts w:ascii="Arial Narrow" w:eastAsia="Calibri" w:hAnsi="Arial Narrow"/>
          <w:bCs/>
          <w:color w:val="000000" w:themeColor="text1"/>
          <w:lang w:val="es-MX"/>
        </w:rPr>
        <w:t xml:space="preserve"> </w:t>
      </w:r>
      <w:r w:rsidRPr="007E57B7">
        <w:rPr>
          <w:rFonts w:ascii="Arial Narrow" w:eastAsia="Calibri" w:hAnsi="Arial Narrow"/>
          <w:bCs/>
          <w:color w:val="000000" w:themeColor="text1"/>
          <w:lang w:val="es-MX"/>
        </w:rPr>
        <w:t>8 de 2000 de la Junta Directiva del Banco de la República o las normas que lo modifiquen, adicionen o</w:t>
      </w:r>
      <w:r>
        <w:rPr>
          <w:rFonts w:ascii="Arial Narrow" w:eastAsia="Calibri" w:hAnsi="Arial Narrow"/>
          <w:bCs/>
          <w:color w:val="000000" w:themeColor="text1"/>
          <w:lang w:val="es-MX"/>
        </w:rPr>
        <w:t xml:space="preserve"> </w:t>
      </w:r>
      <w:r w:rsidRPr="007E57B7">
        <w:rPr>
          <w:rFonts w:ascii="Arial Narrow" w:eastAsia="Calibri" w:hAnsi="Arial Narrow"/>
          <w:bCs/>
          <w:color w:val="000000" w:themeColor="text1"/>
          <w:lang w:val="es-MX"/>
        </w:rPr>
        <w:t>sustituyan.</w:t>
      </w:r>
    </w:p>
    <w:p w14:paraId="0336B8FE" w14:textId="77777777" w:rsidR="007968EC" w:rsidRPr="007E57B7" w:rsidRDefault="007968EC" w:rsidP="007968EC">
      <w:pPr>
        <w:autoSpaceDE w:val="0"/>
        <w:autoSpaceDN w:val="0"/>
        <w:ind w:left="284"/>
        <w:jc w:val="both"/>
        <w:rPr>
          <w:rFonts w:ascii="Arial Narrow" w:eastAsia="Calibri" w:hAnsi="Arial Narrow"/>
          <w:bCs/>
          <w:color w:val="000000" w:themeColor="text1"/>
          <w:lang w:val="es-MX"/>
        </w:rPr>
      </w:pPr>
    </w:p>
    <w:p w14:paraId="6563A57D" w14:textId="77777777" w:rsidR="007968EC" w:rsidRDefault="007968EC" w:rsidP="007968EC">
      <w:pPr>
        <w:autoSpaceDE w:val="0"/>
        <w:autoSpaceDN w:val="0"/>
        <w:ind w:left="284"/>
        <w:jc w:val="both"/>
        <w:rPr>
          <w:rFonts w:ascii="Arial Narrow" w:eastAsia="Calibri" w:hAnsi="Arial Narrow"/>
          <w:bCs/>
          <w:color w:val="000000" w:themeColor="text1"/>
          <w:lang w:val="es-MX"/>
        </w:rPr>
      </w:pPr>
      <w:r w:rsidRPr="007E57B7">
        <w:rPr>
          <w:rFonts w:ascii="Arial Narrow" w:eastAsia="Calibri" w:hAnsi="Arial Narrow"/>
          <w:bCs/>
          <w:color w:val="000000" w:themeColor="text1"/>
          <w:lang w:val="es-MX"/>
        </w:rPr>
        <w:t>Los Miembros no Liquidadores que participen en el Segmento de Derivados Financieros que sean</w:t>
      </w:r>
      <w:r>
        <w:rPr>
          <w:rFonts w:ascii="Arial Narrow" w:eastAsia="Calibri" w:hAnsi="Arial Narrow"/>
          <w:bCs/>
          <w:color w:val="000000" w:themeColor="text1"/>
          <w:lang w:val="es-MX"/>
        </w:rPr>
        <w:t xml:space="preserve"> </w:t>
      </w:r>
      <w:r w:rsidRPr="007E57B7">
        <w:rPr>
          <w:rFonts w:ascii="Arial Narrow" w:eastAsia="Calibri" w:hAnsi="Arial Narrow"/>
          <w:bCs/>
          <w:color w:val="000000" w:themeColor="text1"/>
          <w:lang w:val="es-MX"/>
        </w:rPr>
        <w:t>entidades vigiladas por la Superintendencia Financiera de Colombia podrán actuar en dicha modalidad</w:t>
      </w:r>
      <w:r>
        <w:rPr>
          <w:rFonts w:ascii="Arial Narrow" w:eastAsia="Calibri" w:hAnsi="Arial Narrow"/>
          <w:bCs/>
          <w:color w:val="000000" w:themeColor="text1"/>
          <w:lang w:val="es-MX"/>
        </w:rPr>
        <w:t xml:space="preserve"> </w:t>
      </w:r>
      <w:r w:rsidRPr="007E57B7">
        <w:rPr>
          <w:rFonts w:ascii="Arial Narrow" w:eastAsia="Calibri" w:hAnsi="Arial Narrow"/>
          <w:bCs/>
          <w:color w:val="000000" w:themeColor="text1"/>
          <w:lang w:val="es-MX"/>
        </w:rPr>
        <w:t xml:space="preserve">en la Compensación y Liquidación de operaciones sobre contratos de </w:t>
      </w:r>
      <w:r>
        <w:rPr>
          <w:rFonts w:ascii="Arial Narrow" w:eastAsia="Calibri" w:hAnsi="Arial Narrow"/>
          <w:color w:val="000000" w:themeColor="text1"/>
        </w:rPr>
        <w:t>Opciones sobre la</w:t>
      </w:r>
      <w:r w:rsidRPr="00956EDA">
        <w:rPr>
          <w:rFonts w:ascii="Arial Narrow" w:eastAsia="Calibri" w:hAnsi="Arial Narrow"/>
          <w:color w:val="000000" w:themeColor="text1"/>
        </w:rPr>
        <w:t xml:space="preserve"> T</w:t>
      </w:r>
      <w:r>
        <w:rPr>
          <w:rFonts w:ascii="Arial Narrow" w:eastAsia="Calibri" w:hAnsi="Arial Narrow"/>
          <w:color w:val="000000" w:themeColor="text1"/>
        </w:rPr>
        <w:t>RM</w:t>
      </w:r>
      <w:r>
        <w:rPr>
          <w:rFonts w:ascii="Arial Narrow" w:eastAsia="Calibri" w:hAnsi="Arial Narrow"/>
          <w:bCs/>
          <w:color w:val="000000" w:themeColor="text1"/>
          <w:lang w:val="es-MX"/>
        </w:rPr>
        <w:t>.</w:t>
      </w:r>
    </w:p>
    <w:p w14:paraId="3AD0959D" w14:textId="77777777" w:rsidR="007968EC" w:rsidRPr="00956EDA" w:rsidRDefault="007968EC" w:rsidP="007968EC">
      <w:pPr>
        <w:autoSpaceDE w:val="0"/>
        <w:autoSpaceDN w:val="0"/>
        <w:ind w:left="426"/>
        <w:jc w:val="both"/>
        <w:rPr>
          <w:rFonts w:ascii="Arial Narrow" w:eastAsia="Calibri" w:hAnsi="Arial Narrow"/>
          <w:b/>
          <w:bCs/>
          <w:color w:val="000000" w:themeColor="text1"/>
          <w:lang w:val="es-MX"/>
        </w:rPr>
      </w:pPr>
    </w:p>
    <w:p w14:paraId="6F087369" w14:textId="77777777" w:rsidR="007968EC" w:rsidRDefault="007968EC" w:rsidP="007968EC">
      <w:pPr>
        <w:autoSpaceDE w:val="0"/>
        <w:autoSpaceDN w:val="0"/>
        <w:jc w:val="both"/>
        <w:rPr>
          <w:rFonts w:ascii="Arial Narrow" w:eastAsia="Calibri" w:hAnsi="Arial Narrow"/>
          <w:color w:val="000000"/>
        </w:rPr>
      </w:pPr>
      <w:r w:rsidRPr="00333F40">
        <w:rPr>
          <w:rFonts w:ascii="Arial Narrow" w:eastAsia="Calibri" w:hAnsi="Arial Narrow"/>
          <w:bCs/>
          <w:color w:val="000000" w:themeColor="text1"/>
        </w:rPr>
        <w:t xml:space="preserve">A este Instrumento </w:t>
      </w:r>
      <w:r>
        <w:rPr>
          <w:rFonts w:ascii="Arial Narrow" w:eastAsia="Calibri" w:hAnsi="Arial Narrow"/>
          <w:color w:val="000000" w:themeColor="text1"/>
        </w:rPr>
        <w:t>Contrato de Opción sobre la TRM</w:t>
      </w:r>
      <w:r w:rsidRPr="00333F40">
        <w:rPr>
          <w:rFonts w:ascii="Arial Narrow" w:eastAsia="Calibri" w:hAnsi="Arial Narrow"/>
          <w:bCs/>
          <w:color w:val="000000" w:themeColor="text1"/>
        </w:rPr>
        <w:t xml:space="preserve"> le aplican las condiciones previstas en </w:t>
      </w:r>
      <w:r>
        <w:rPr>
          <w:rFonts w:ascii="Arial Narrow" w:eastAsia="Calibri" w:hAnsi="Arial Narrow"/>
          <w:bCs/>
          <w:color w:val="000000" w:themeColor="text1"/>
        </w:rPr>
        <w:t xml:space="preserve">el </w:t>
      </w:r>
      <w:r w:rsidRPr="00333F40">
        <w:rPr>
          <w:rFonts w:ascii="Arial Narrow" w:eastAsia="Calibri" w:hAnsi="Arial Narrow"/>
          <w:bCs/>
          <w:color w:val="000000" w:themeColor="text1"/>
        </w:rPr>
        <w:t>numeral 2 del artículo 2.7.2.1. de la Circular Única de la Cámara</w:t>
      </w:r>
      <w:r w:rsidRPr="002C0D19">
        <w:rPr>
          <w:rFonts w:ascii="Arial Narrow" w:eastAsia="Calibri" w:hAnsi="Arial Narrow"/>
          <w:bCs/>
          <w:color w:val="000000" w:themeColor="text1"/>
        </w:rPr>
        <w:t>.</w:t>
      </w:r>
    </w:p>
    <w:p w14:paraId="32407902" w14:textId="77777777" w:rsidR="007968EC" w:rsidRPr="00A02F15" w:rsidRDefault="007968EC" w:rsidP="007968EC">
      <w:pPr>
        <w:autoSpaceDE w:val="0"/>
        <w:autoSpaceDN w:val="0"/>
        <w:jc w:val="both"/>
        <w:rPr>
          <w:rFonts w:ascii="Arial Narrow" w:eastAsia="Calibri" w:hAnsi="Arial Narrow"/>
          <w:color w:val="000000"/>
        </w:rPr>
      </w:pPr>
    </w:p>
    <w:p w14:paraId="6E6F10EC" w14:textId="77777777" w:rsidR="007968EC" w:rsidRPr="000310B6" w:rsidRDefault="007968EC" w:rsidP="007968EC">
      <w:pPr>
        <w:pStyle w:val="ARTICULO0"/>
      </w:pPr>
      <w:bookmarkStart w:id="5190" w:name="_Toc31716222"/>
      <w:r w:rsidRPr="000310B6">
        <w:t xml:space="preserve">Artículo 2.7.2.8. </w:t>
      </w:r>
      <w:r w:rsidRPr="005248DD">
        <w:t>Contrato de Futuro sobre Acciones del Índice COLCAP con Liquidación por Entrega</w:t>
      </w:r>
      <w:r w:rsidRPr="000310B6">
        <w:t>.</w:t>
      </w:r>
      <w:bookmarkEnd w:id="5182"/>
      <w:bookmarkEnd w:id="5183"/>
      <w:bookmarkEnd w:id="5184"/>
      <w:bookmarkEnd w:id="5185"/>
      <w:bookmarkEnd w:id="5186"/>
      <w:bookmarkEnd w:id="5187"/>
      <w:bookmarkEnd w:id="5188"/>
      <w:bookmarkEnd w:id="5189"/>
      <w:bookmarkEnd w:id="5190"/>
      <w:r w:rsidRPr="000310B6">
        <w:t xml:space="preserve"> </w:t>
      </w:r>
    </w:p>
    <w:p w14:paraId="35E92DB6" w14:textId="77777777" w:rsidR="007968EC" w:rsidRPr="000310B6" w:rsidRDefault="007968EC" w:rsidP="007968EC">
      <w:pPr>
        <w:jc w:val="both"/>
        <w:rPr>
          <w:rFonts w:ascii="Arial Narrow" w:hAnsi="Arial Narrow" w:cs="Arial"/>
          <w:b/>
          <w:i/>
          <w:lang w:val="es-MX" w:eastAsia="es-ES"/>
        </w:rPr>
      </w:pPr>
    </w:p>
    <w:p w14:paraId="4D8B823F" w14:textId="77777777" w:rsidR="007968EC" w:rsidRDefault="007968EC" w:rsidP="007968EC">
      <w:pPr>
        <w:pStyle w:val="ANTECEDENTES"/>
      </w:pPr>
      <w:r w:rsidRPr="000310B6">
        <w:t>(Este artículo fue modificado mediante Circular 22 del 3 de noviembre de 2017, publicada mediante Boletín Normativo No. 024 del 3 de noviembre de 2017, renumerado mediante Circular 002 del 20 de febrero de 2018, publicada en el Boletín Normativo No. 003 del 20 de febrero de 2018 y modificado mediante Circular 10 del 6 de julio de 2018, publicada en el Boletín Normativo No. 013 del 6 de julio de 2018</w:t>
      </w:r>
      <w:r>
        <w:t>, y mediante Circular 12 del 9 de agosto de 2019, publicada en el Boletín Normativo No. 025 del 9 de agosto de 2019. Rige a partir del 12 de agosto de 2019</w:t>
      </w:r>
      <w:r w:rsidRPr="002C0D19">
        <w:t xml:space="preserve">.) </w:t>
      </w:r>
    </w:p>
    <w:p w14:paraId="7C1090A3" w14:textId="77777777" w:rsidR="007968EC" w:rsidRPr="000310B6" w:rsidRDefault="007968EC" w:rsidP="007968EC">
      <w:pPr>
        <w:jc w:val="both"/>
        <w:rPr>
          <w:rFonts w:ascii="Arial Narrow" w:eastAsia="Calibri" w:hAnsi="Arial Narrow"/>
          <w:bCs/>
          <w:color w:val="000000" w:themeColor="text1"/>
          <w:lang w:eastAsia="en-US"/>
        </w:rPr>
      </w:pPr>
    </w:p>
    <w:p w14:paraId="2289B0AE" w14:textId="77777777" w:rsidR="007968EC" w:rsidRPr="00EB14DE" w:rsidRDefault="007968EC" w:rsidP="00DA7472">
      <w:pPr>
        <w:numPr>
          <w:ilvl w:val="0"/>
          <w:numId w:val="79"/>
        </w:numPr>
        <w:autoSpaceDE w:val="0"/>
        <w:autoSpaceDN w:val="0"/>
        <w:spacing w:after="160" w:line="259" w:lineRule="auto"/>
        <w:ind w:left="426" w:hanging="426"/>
        <w:contextualSpacing/>
        <w:jc w:val="both"/>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Generalidades:</w:t>
      </w:r>
    </w:p>
    <w:p w14:paraId="174BD99B" w14:textId="77777777" w:rsidR="007968EC" w:rsidRPr="00EB14DE" w:rsidRDefault="007968EC" w:rsidP="007968EC">
      <w:pPr>
        <w:ind w:left="426" w:hanging="426"/>
        <w:contextualSpacing/>
        <w:jc w:val="both"/>
        <w:rPr>
          <w:rFonts w:ascii="Arial Narrow" w:eastAsia="Calibri" w:hAnsi="Arial Narrow"/>
          <w:b/>
          <w:color w:val="000000" w:themeColor="text1"/>
          <w:lang w:eastAsia="en-US"/>
        </w:rPr>
      </w:pPr>
    </w:p>
    <w:tbl>
      <w:tblPr>
        <w:tblW w:w="9428" w:type="dxa"/>
        <w:tblInd w:w="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3337"/>
        <w:gridCol w:w="6091"/>
      </w:tblGrid>
      <w:tr w:rsidR="007968EC" w:rsidRPr="00EB14DE" w14:paraId="455B4B87" w14:textId="77777777" w:rsidTr="007968EC">
        <w:trPr>
          <w:trHeight w:val="347"/>
        </w:trPr>
        <w:tc>
          <w:tcPr>
            <w:tcW w:w="3337" w:type="dxa"/>
            <w:shd w:val="clear" w:color="auto" w:fill="BFBFBF"/>
            <w:noWrap/>
            <w:vAlign w:val="center"/>
            <w:hideMark/>
          </w:tcPr>
          <w:p w14:paraId="53E7D358" w14:textId="77777777" w:rsidR="007968EC" w:rsidRPr="00EB14DE" w:rsidRDefault="007968EC" w:rsidP="007968EC">
            <w:pPr>
              <w:jc w:val="both"/>
              <w:rPr>
                <w:rFonts w:ascii="Arial Narrow" w:eastAsia="Calibri" w:hAnsi="Arial Narrow"/>
                <w:b/>
                <w:bCs/>
                <w:color w:val="000000" w:themeColor="text1"/>
                <w:lang w:eastAsia="en-US"/>
              </w:rPr>
            </w:pPr>
            <w:r w:rsidRPr="00EB14DE">
              <w:rPr>
                <w:rFonts w:ascii="Arial Narrow" w:eastAsia="Calibri" w:hAnsi="Arial Narrow"/>
                <w:bCs/>
                <w:color w:val="000000" w:themeColor="text1"/>
                <w:lang w:eastAsia="en-US"/>
              </w:rPr>
              <w:t>Instrumento</w:t>
            </w:r>
          </w:p>
        </w:tc>
        <w:tc>
          <w:tcPr>
            <w:tcW w:w="6091" w:type="dxa"/>
            <w:shd w:val="clear" w:color="auto" w:fill="auto"/>
            <w:noWrap/>
            <w:vAlign w:val="center"/>
            <w:hideMark/>
          </w:tcPr>
          <w:p w14:paraId="7FA3AE1B" w14:textId="77777777" w:rsidR="007968EC" w:rsidRPr="00EB14DE" w:rsidRDefault="007968EC" w:rsidP="007968EC">
            <w:pPr>
              <w:ind w:left="72"/>
              <w:jc w:val="both"/>
              <w:rPr>
                <w:rFonts w:ascii="Arial Narrow" w:eastAsia="Calibri" w:hAnsi="Arial Narrow"/>
                <w:b/>
                <w:color w:val="000000" w:themeColor="text1"/>
                <w:lang w:eastAsia="en-US"/>
              </w:rPr>
            </w:pPr>
            <w:r w:rsidRPr="00EB14DE">
              <w:rPr>
                <w:rFonts w:ascii="Arial Narrow" w:eastAsia="Calibri" w:hAnsi="Arial Narrow"/>
                <w:color w:val="000000" w:themeColor="text1"/>
                <w:lang w:eastAsia="en-US"/>
              </w:rPr>
              <w:t>Contrato de Futuro sobre Acciones del Índice COLCAP</w:t>
            </w:r>
          </w:p>
        </w:tc>
      </w:tr>
      <w:tr w:rsidR="007968EC" w:rsidRPr="00EB14DE" w14:paraId="08697B32" w14:textId="77777777" w:rsidTr="007968EC">
        <w:trPr>
          <w:trHeight w:val="441"/>
        </w:trPr>
        <w:tc>
          <w:tcPr>
            <w:tcW w:w="3337" w:type="dxa"/>
            <w:shd w:val="clear" w:color="auto" w:fill="BFBFBF"/>
            <w:noWrap/>
            <w:vAlign w:val="center"/>
            <w:hideMark/>
          </w:tcPr>
          <w:p w14:paraId="5A6D4E7C" w14:textId="77777777" w:rsidR="007968EC" w:rsidRPr="00EB14DE" w:rsidRDefault="007968EC" w:rsidP="007968EC">
            <w:pPr>
              <w:jc w:val="both"/>
              <w:rPr>
                <w:rFonts w:ascii="Arial Narrow" w:eastAsia="Calibri" w:hAnsi="Arial Narrow"/>
                <w:b/>
                <w:bCs/>
                <w:color w:val="000000" w:themeColor="text1"/>
                <w:lang w:eastAsia="en-US"/>
              </w:rPr>
            </w:pPr>
            <w:r w:rsidRPr="00EB14DE">
              <w:rPr>
                <w:rFonts w:ascii="Arial Narrow" w:eastAsia="Calibri" w:hAnsi="Arial Narrow"/>
                <w:bCs/>
                <w:color w:val="000000" w:themeColor="text1"/>
                <w:lang w:eastAsia="en-US"/>
              </w:rPr>
              <w:t>Activo Subyacente</w:t>
            </w:r>
          </w:p>
        </w:tc>
        <w:tc>
          <w:tcPr>
            <w:tcW w:w="6091" w:type="dxa"/>
            <w:shd w:val="clear" w:color="auto" w:fill="auto"/>
            <w:vAlign w:val="center"/>
            <w:hideMark/>
          </w:tcPr>
          <w:p w14:paraId="2E68E016" w14:textId="77777777" w:rsidR="007968EC" w:rsidRPr="00EB14DE" w:rsidRDefault="007968EC" w:rsidP="007968EC">
            <w:pPr>
              <w:ind w:left="72"/>
              <w:jc w:val="both"/>
              <w:rPr>
                <w:rFonts w:ascii="Arial Narrow" w:eastAsia="Calibri" w:hAnsi="Arial Narrow"/>
                <w:b/>
                <w:color w:val="000000" w:themeColor="text1"/>
                <w:lang w:eastAsia="en-US"/>
              </w:rPr>
            </w:pPr>
            <w:r w:rsidRPr="00EB14DE">
              <w:rPr>
                <w:rFonts w:ascii="Arial Narrow" w:eastAsia="Calibri" w:hAnsi="Arial Narrow"/>
                <w:bCs/>
                <w:color w:val="000000" w:themeColor="text1"/>
                <w:lang w:eastAsia="en-US"/>
              </w:rPr>
              <w:t>Acciones del índice accionario COLCAP</w:t>
            </w:r>
          </w:p>
        </w:tc>
      </w:tr>
      <w:tr w:rsidR="007968EC" w:rsidRPr="00EB14DE" w14:paraId="6705C3F7" w14:textId="77777777" w:rsidTr="007968EC">
        <w:trPr>
          <w:trHeight w:val="407"/>
        </w:trPr>
        <w:tc>
          <w:tcPr>
            <w:tcW w:w="3337" w:type="dxa"/>
            <w:shd w:val="clear" w:color="auto" w:fill="BFBFBF"/>
            <w:noWrap/>
            <w:vAlign w:val="center"/>
            <w:hideMark/>
          </w:tcPr>
          <w:p w14:paraId="51A7E06A" w14:textId="77777777" w:rsidR="007968EC" w:rsidRPr="00EB14DE" w:rsidRDefault="007968EC" w:rsidP="007968EC">
            <w:pPr>
              <w:jc w:val="both"/>
              <w:rPr>
                <w:rFonts w:ascii="Arial Narrow" w:eastAsia="Calibri" w:hAnsi="Arial Narrow"/>
                <w:b/>
                <w:bCs/>
                <w:color w:val="000000" w:themeColor="text1"/>
                <w:lang w:eastAsia="en-US"/>
              </w:rPr>
            </w:pPr>
            <w:r w:rsidRPr="00EB14DE">
              <w:rPr>
                <w:rFonts w:ascii="Arial Narrow" w:eastAsia="Calibri" w:hAnsi="Arial Narrow"/>
                <w:bCs/>
                <w:color w:val="000000" w:themeColor="text1"/>
                <w:lang w:eastAsia="en-US"/>
              </w:rPr>
              <w:t>Tamaño del Contrato</w:t>
            </w:r>
          </w:p>
        </w:tc>
        <w:tc>
          <w:tcPr>
            <w:tcW w:w="6091" w:type="dxa"/>
            <w:shd w:val="clear" w:color="auto" w:fill="auto"/>
            <w:vAlign w:val="center"/>
            <w:hideMark/>
          </w:tcPr>
          <w:p w14:paraId="305925A4" w14:textId="77777777" w:rsidR="007968EC" w:rsidRPr="00EB14DE" w:rsidRDefault="007968EC" w:rsidP="007968EC">
            <w:pPr>
              <w:ind w:left="72"/>
              <w:jc w:val="both"/>
              <w:rPr>
                <w:rFonts w:ascii="Arial Narrow" w:eastAsia="Calibri" w:hAnsi="Arial Narrow"/>
                <w:b/>
                <w:color w:val="000000" w:themeColor="text1"/>
                <w:lang w:eastAsia="en-US"/>
              </w:rPr>
            </w:pPr>
            <w:r w:rsidRPr="00EB14DE">
              <w:rPr>
                <w:rFonts w:ascii="Arial Narrow" w:eastAsia="Calibri" w:hAnsi="Arial Narrow"/>
                <w:color w:val="000000" w:themeColor="text1"/>
                <w:lang w:eastAsia="en-US"/>
              </w:rPr>
              <w:t>Cada Contrato de Futuro tendrá un valor nominal de 1.000 acciones.</w:t>
            </w:r>
          </w:p>
        </w:tc>
      </w:tr>
      <w:tr w:rsidR="007968EC" w:rsidRPr="00EB14DE" w14:paraId="3904941D" w14:textId="77777777" w:rsidTr="007968EC">
        <w:trPr>
          <w:trHeight w:val="515"/>
        </w:trPr>
        <w:tc>
          <w:tcPr>
            <w:tcW w:w="3337" w:type="dxa"/>
            <w:shd w:val="clear" w:color="auto" w:fill="BFBFBF"/>
            <w:noWrap/>
            <w:vAlign w:val="center"/>
            <w:hideMark/>
          </w:tcPr>
          <w:p w14:paraId="633BCE31" w14:textId="77777777" w:rsidR="007968EC" w:rsidRPr="00EB14DE" w:rsidRDefault="007968EC" w:rsidP="007968EC">
            <w:pPr>
              <w:jc w:val="both"/>
              <w:rPr>
                <w:rFonts w:ascii="Arial Narrow" w:eastAsia="Calibri" w:hAnsi="Arial Narrow"/>
                <w:b/>
                <w:bCs/>
                <w:color w:val="000000" w:themeColor="text1"/>
                <w:lang w:eastAsia="en-US"/>
              </w:rPr>
            </w:pPr>
            <w:r w:rsidRPr="00EB14DE">
              <w:rPr>
                <w:rFonts w:ascii="Arial Narrow" w:eastAsia="Calibri" w:hAnsi="Arial Narrow"/>
                <w:bCs/>
                <w:color w:val="000000" w:themeColor="text1"/>
                <w:lang w:eastAsia="en-US"/>
              </w:rPr>
              <w:t>Contratos Listados</w:t>
            </w:r>
          </w:p>
        </w:tc>
        <w:tc>
          <w:tcPr>
            <w:tcW w:w="6091" w:type="dxa"/>
            <w:shd w:val="clear" w:color="auto" w:fill="auto"/>
            <w:vAlign w:val="center"/>
            <w:hideMark/>
          </w:tcPr>
          <w:p w14:paraId="08622A7C" w14:textId="77777777" w:rsidR="007968EC" w:rsidRPr="00EB14DE" w:rsidRDefault="007968EC" w:rsidP="007968EC">
            <w:pPr>
              <w:ind w:left="72"/>
              <w:jc w:val="both"/>
              <w:rPr>
                <w:rFonts w:ascii="Arial Narrow" w:eastAsia="Calibri" w:hAnsi="Arial Narrow"/>
                <w:b/>
                <w:color w:val="000000" w:themeColor="text1"/>
                <w:lang w:eastAsia="en-US"/>
              </w:rPr>
            </w:pPr>
            <w:r w:rsidRPr="00EB14DE">
              <w:rPr>
                <w:rFonts w:ascii="Arial Narrow" w:eastAsia="Calibri" w:hAnsi="Arial Narrow"/>
                <w:color w:val="000000" w:themeColor="text1"/>
                <w:lang w:eastAsia="en-US"/>
              </w:rPr>
              <w:t xml:space="preserve">Se listarán en el sistema vencimientos trimestrales dentro del ciclo de Marzo. Estarán listados los cuatro (4) vencimientos más cercanos. </w:t>
            </w:r>
            <w:r w:rsidRPr="00EB14DE">
              <w:rPr>
                <w:rFonts w:ascii="Arial Narrow" w:eastAsia="Calibri" w:hAnsi="Arial Narrow"/>
                <w:bCs/>
                <w:color w:val="000000" w:themeColor="text1"/>
                <w:lang w:eastAsia="en-US"/>
              </w:rPr>
              <w:t>En el caso que una acción deje de pertenecer al Índice Accionario COLCAP, no se listarán nuevos vencimientos a partir de la fecha en que la BVC comunique la nueva composición del índice COLCAP, y sólo se podrán negociar los vencimientos ya existentes.</w:t>
            </w:r>
          </w:p>
        </w:tc>
      </w:tr>
      <w:tr w:rsidR="007968EC" w:rsidRPr="00EB14DE" w14:paraId="03EA52E1" w14:textId="77777777" w:rsidTr="007968EC">
        <w:trPr>
          <w:trHeight w:val="1181"/>
        </w:trPr>
        <w:tc>
          <w:tcPr>
            <w:tcW w:w="3337" w:type="dxa"/>
            <w:shd w:val="clear" w:color="auto" w:fill="BFBFBF"/>
            <w:noWrap/>
            <w:vAlign w:val="center"/>
            <w:hideMark/>
          </w:tcPr>
          <w:p w14:paraId="7FB2F7CB" w14:textId="77777777" w:rsidR="007968EC" w:rsidRPr="00EB14DE" w:rsidRDefault="007968EC" w:rsidP="007968EC">
            <w:pPr>
              <w:jc w:val="both"/>
              <w:rPr>
                <w:rFonts w:ascii="Arial Narrow" w:eastAsia="Calibri" w:hAnsi="Arial Narrow"/>
                <w:b/>
                <w:bCs/>
                <w:color w:val="000000" w:themeColor="text1"/>
                <w:lang w:eastAsia="en-US"/>
              </w:rPr>
            </w:pPr>
            <w:r w:rsidRPr="00EB14DE">
              <w:rPr>
                <w:rFonts w:ascii="Arial Narrow" w:eastAsia="Calibri" w:hAnsi="Arial Narrow"/>
                <w:bCs/>
                <w:color w:val="000000" w:themeColor="text1"/>
                <w:lang w:eastAsia="en-US"/>
              </w:rPr>
              <w:t>Método de Liquidación</w:t>
            </w:r>
          </w:p>
          <w:p w14:paraId="0FD93018" w14:textId="77777777" w:rsidR="007968EC" w:rsidRPr="00EB14DE" w:rsidRDefault="007968EC" w:rsidP="007968EC">
            <w:pPr>
              <w:jc w:val="both"/>
              <w:rPr>
                <w:rFonts w:ascii="Arial Narrow" w:eastAsia="Calibri" w:hAnsi="Arial Narrow"/>
                <w:b/>
                <w:bCs/>
                <w:color w:val="000000" w:themeColor="text1"/>
                <w:lang w:eastAsia="en-US"/>
              </w:rPr>
            </w:pPr>
          </w:p>
        </w:tc>
        <w:tc>
          <w:tcPr>
            <w:tcW w:w="6091" w:type="dxa"/>
            <w:shd w:val="clear" w:color="auto" w:fill="auto"/>
            <w:vAlign w:val="center"/>
            <w:hideMark/>
          </w:tcPr>
          <w:p w14:paraId="1A16BA40" w14:textId="77777777" w:rsidR="007968EC" w:rsidRPr="00EB14DE" w:rsidRDefault="007968EC" w:rsidP="007968EC">
            <w:pPr>
              <w:ind w:left="72"/>
              <w:jc w:val="both"/>
              <w:rPr>
                <w:rFonts w:ascii="Arial Narrow" w:eastAsia="Calibri" w:hAnsi="Arial Narrow"/>
                <w:b/>
                <w:color w:val="000000" w:themeColor="text1"/>
                <w:lang w:eastAsia="en-US"/>
              </w:rPr>
            </w:pPr>
            <w:r w:rsidRPr="00EB14DE">
              <w:rPr>
                <w:rFonts w:ascii="Arial Narrow" w:eastAsia="Calibri" w:hAnsi="Arial Narrow"/>
                <w:color w:val="000000" w:themeColor="text1"/>
                <w:lang w:eastAsia="en-US"/>
              </w:rPr>
              <w:t>Liquidación por Entrega.</w:t>
            </w:r>
          </w:p>
          <w:p w14:paraId="74F3DF32" w14:textId="77777777" w:rsidR="007968EC" w:rsidRPr="00EB14DE" w:rsidRDefault="007968EC" w:rsidP="007968EC">
            <w:pPr>
              <w:tabs>
                <w:tab w:val="left" w:pos="50"/>
              </w:tabs>
              <w:jc w:val="both"/>
              <w:rPr>
                <w:rFonts w:ascii="Arial Narrow" w:eastAsia="Calibri" w:hAnsi="Arial Narrow"/>
                <w:b/>
                <w:color w:val="000000" w:themeColor="text1"/>
                <w:lang w:eastAsia="en-US"/>
              </w:rPr>
            </w:pPr>
          </w:p>
          <w:p w14:paraId="4AC678F9" w14:textId="77777777" w:rsidR="007968EC" w:rsidRPr="00EB14DE" w:rsidRDefault="007968EC" w:rsidP="007968EC">
            <w:pPr>
              <w:ind w:left="72"/>
              <w:jc w:val="both"/>
              <w:rPr>
                <w:rFonts w:ascii="Arial Narrow" w:eastAsia="Calibri" w:hAnsi="Arial Narrow"/>
                <w:b/>
                <w:color w:val="000000" w:themeColor="text1"/>
                <w:lang w:eastAsia="en-US"/>
              </w:rPr>
            </w:pPr>
            <w:r w:rsidRPr="00EB14DE">
              <w:rPr>
                <w:rFonts w:ascii="Arial Narrow" w:eastAsia="Calibri" w:hAnsi="Arial Narrow"/>
                <w:color w:val="000000" w:themeColor="text1"/>
                <w:lang w:eastAsia="en-US"/>
              </w:rPr>
              <w:t>Liquidación por Diferencias: En el caso en que el Activo subyacente se encuentre suspendido en el sistema de negociación el último día de negociación, la Cámara realizará la Liquidación por Diferencias de acuerdo a lo descrito en el artículo 2.4.4.1. relativo a la Liquidación por Diferencias de Contratos de Futuros de la presente Circular y de conformidad con el artículo 1.3.4. del Reglamento de Funcionamiento de la Cámara, relacionado con la Suspensión o cancelación de Activos</w:t>
            </w:r>
          </w:p>
          <w:p w14:paraId="3B1BD361" w14:textId="77777777" w:rsidR="007968EC" w:rsidRPr="00EB14DE" w:rsidRDefault="007968EC" w:rsidP="007968EC">
            <w:pPr>
              <w:tabs>
                <w:tab w:val="left" w:pos="50"/>
              </w:tabs>
              <w:jc w:val="both"/>
              <w:rPr>
                <w:rFonts w:ascii="Arial Narrow" w:eastAsia="Calibri" w:hAnsi="Arial Narrow"/>
                <w:b/>
                <w:color w:val="000000" w:themeColor="text1"/>
                <w:lang w:eastAsia="en-US"/>
              </w:rPr>
            </w:pPr>
          </w:p>
          <w:p w14:paraId="358911CC" w14:textId="77777777" w:rsidR="007968EC" w:rsidRPr="00EB14DE" w:rsidRDefault="007968EC" w:rsidP="007968EC">
            <w:pPr>
              <w:ind w:left="72"/>
              <w:jc w:val="both"/>
              <w:rPr>
                <w:rFonts w:ascii="Arial Narrow" w:eastAsia="Calibri" w:hAnsi="Arial Narrow"/>
                <w:color w:val="000000" w:themeColor="text1"/>
                <w:lang w:eastAsia="en-US"/>
              </w:rPr>
            </w:pPr>
            <w:r w:rsidRPr="00EB14DE">
              <w:rPr>
                <w:rFonts w:ascii="Arial Narrow" w:eastAsia="Calibri" w:hAnsi="Arial Narrow"/>
                <w:color w:val="000000" w:themeColor="text1"/>
                <w:lang w:eastAsia="en-US"/>
              </w:rPr>
              <w:lastRenderedPageBreak/>
              <w:t>Liquidación por Diferencias por Incumplimiento en la Entrega: En el evento en que el Miembro Liquidador incumplido no efectúe la entrega del Activo que corresponda, la Cámara cumplirá de manera alternativa entregando el Activo respectivo o al no contar con el activo subyacente, mediante una Liquidación por Diferencias por Incumplimiento en la Entrega, a través de los Miembros Liquidadores correspondientes, a los titulares de Cuenta que tengan derecho a recibir los Activos y que hayan cumplido con todas las obligaciones a su cargo.</w:t>
            </w:r>
          </w:p>
          <w:p w14:paraId="667C859D" w14:textId="77777777" w:rsidR="007968EC" w:rsidRPr="00EB14DE" w:rsidRDefault="007968EC" w:rsidP="007968EC">
            <w:pPr>
              <w:tabs>
                <w:tab w:val="left" w:pos="50"/>
              </w:tabs>
              <w:jc w:val="both"/>
              <w:rPr>
                <w:rFonts w:ascii="Arial Narrow" w:eastAsia="Calibri" w:hAnsi="Arial Narrow"/>
                <w:b/>
                <w:color w:val="000000" w:themeColor="text1"/>
                <w:lang w:eastAsia="en-US"/>
              </w:rPr>
            </w:pPr>
          </w:p>
          <w:p w14:paraId="521ED551" w14:textId="77777777" w:rsidR="007968EC" w:rsidRPr="00EB14DE" w:rsidRDefault="007968EC" w:rsidP="007968EC">
            <w:pPr>
              <w:ind w:left="72"/>
              <w:jc w:val="both"/>
              <w:rPr>
                <w:rFonts w:ascii="Arial Narrow" w:eastAsia="Calibri" w:hAnsi="Arial Narrow"/>
                <w:b/>
                <w:color w:val="000000" w:themeColor="text1"/>
                <w:lang w:eastAsia="en-US"/>
              </w:rPr>
            </w:pPr>
            <w:r w:rsidRPr="00EB14DE">
              <w:rPr>
                <w:rFonts w:ascii="Arial Narrow" w:eastAsia="Calibri" w:hAnsi="Arial Narrow"/>
                <w:color w:val="000000" w:themeColor="text1"/>
                <w:lang w:eastAsia="en-US"/>
              </w:rPr>
              <w:t>El cumplimiento de las operaciones por parte de la Cámara mediante una Liquidación por Diferencias por Incumplimiento en la Entrega no subsana el incumplimiento del Miembro Liquidador y por tanto, la Cámara procederá de conformidad con lo previsto en el Capítulo Octavo del Título Segundo del Reglamento de Funcionamiento.</w:t>
            </w:r>
          </w:p>
        </w:tc>
      </w:tr>
      <w:tr w:rsidR="007968EC" w:rsidRPr="00EB14DE" w14:paraId="7022941B" w14:textId="77777777" w:rsidTr="007968EC">
        <w:trPr>
          <w:trHeight w:val="605"/>
        </w:trPr>
        <w:tc>
          <w:tcPr>
            <w:tcW w:w="3337" w:type="dxa"/>
            <w:shd w:val="clear" w:color="auto" w:fill="BFBFBF"/>
            <w:noWrap/>
            <w:vAlign w:val="center"/>
          </w:tcPr>
          <w:p w14:paraId="4F7A3C08" w14:textId="77777777" w:rsidR="007968EC" w:rsidRPr="00EB14DE" w:rsidRDefault="007968EC" w:rsidP="007968EC">
            <w:pPr>
              <w:rPr>
                <w:rFonts w:ascii="Arial Narrow" w:eastAsia="Calibri" w:hAnsi="Arial Narrow"/>
                <w:b/>
                <w:color w:val="000000" w:themeColor="text1"/>
                <w:lang w:eastAsia="en-US"/>
              </w:rPr>
            </w:pPr>
            <w:r w:rsidRPr="00EB14DE">
              <w:rPr>
                <w:rFonts w:ascii="Arial Narrow" w:eastAsia="Calibri" w:hAnsi="Arial Narrow"/>
                <w:color w:val="000000" w:themeColor="text1"/>
                <w:lang w:eastAsia="en-US"/>
              </w:rPr>
              <w:lastRenderedPageBreak/>
              <w:t>Tipo de Liquidación</w:t>
            </w:r>
          </w:p>
        </w:tc>
        <w:tc>
          <w:tcPr>
            <w:tcW w:w="6091" w:type="dxa"/>
            <w:shd w:val="clear" w:color="auto" w:fill="auto"/>
            <w:vAlign w:val="center"/>
          </w:tcPr>
          <w:p w14:paraId="1F5DE4E3" w14:textId="77777777" w:rsidR="007968EC" w:rsidRPr="00EB14DE" w:rsidRDefault="007968EC" w:rsidP="007968EC">
            <w:pPr>
              <w:autoSpaceDE w:val="0"/>
              <w:autoSpaceDN w:val="0"/>
              <w:adjustRightInd w:val="0"/>
              <w:ind w:left="67"/>
              <w:rPr>
                <w:rFonts w:ascii="Arial Narrow" w:eastAsia="Calibri" w:hAnsi="Arial Narrow"/>
                <w:b/>
                <w:color w:val="000000" w:themeColor="text1"/>
                <w:lang w:eastAsia="en-US"/>
              </w:rPr>
            </w:pPr>
            <w:r w:rsidRPr="00EB14DE">
              <w:rPr>
                <w:rFonts w:ascii="Arial Narrow" w:eastAsia="Calibri" w:hAnsi="Arial Narrow"/>
                <w:color w:val="000000" w:themeColor="text1"/>
                <w:lang w:eastAsia="en-US"/>
              </w:rPr>
              <w:t>Liquidación Diaria y al Vencimiento.</w:t>
            </w:r>
          </w:p>
        </w:tc>
      </w:tr>
      <w:tr w:rsidR="007968EC" w:rsidRPr="00EB14DE" w14:paraId="0F52455C" w14:textId="77777777" w:rsidTr="007968EC">
        <w:trPr>
          <w:trHeight w:val="511"/>
        </w:trPr>
        <w:tc>
          <w:tcPr>
            <w:tcW w:w="3337" w:type="dxa"/>
            <w:shd w:val="clear" w:color="auto" w:fill="BFBFBF"/>
            <w:noWrap/>
            <w:vAlign w:val="center"/>
            <w:hideMark/>
          </w:tcPr>
          <w:p w14:paraId="7998C01F" w14:textId="77777777" w:rsidR="007968EC" w:rsidRPr="00EB14DE" w:rsidRDefault="007968EC" w:rsidP="007968EC">
            <w:pPr>
              <w:jc w:val="both"/>
              <w:rPr>
                <w:rFonts w:ascii="Arial Narrow" w:eastAsia="Calibri" w:hAnsi="Arial Narrow"/>
                <w:b/>
                <w:bCs/>
                <w:color w:val="000000" w:themeColor="text1"/>
                <w:lang w:eastAsia="en-US"/>
              </w:rPr>
            </w:pPr>
            <w:r w:rsidRPr="00EB14DE">
              <w:rPr>
                <w:rFonts w:ascii="Arial Narrow" w:eastAsia="Calibri" w:hAnsi="Arial Narrow"/>
                <w:bCs/>
                <w:color w:val="000000" w:themeColor="text1"/>
                <w:lang w:eastAsia="en-US"/>
              </w:rPr>
              <w:t>Último día de Negociación</w:t>
            </w:r>
          </w:p>
        </w:tc>
        <w:tc>
          <w:tcPr>
            <w:tcW w:w="6091" w:type="dxa"/>
            <w:shd w:val="clear" w:color="auto" w:fill="auto"/>
            <w:vAlign w:val="center"/>
            <w:hideMark/>
          </w:tcPr>
          <w:p w14:paraId="740F7040" w14:textId="77777777" w:rsidR="007968EC" w:rsidRPr="00EB14DE" w:rsidRDefault="007968EC" w:rsidP="007968EC">
            <w:pPr>
              <w:ind w:left="72"/>
              <w:jc w:val="both"/>
              <w:rPr>
                <w:rFonts w:ascii="Arial Narrow" w:eastAsia="Calibri" w:hAnsi="Arial Narrow"/>
                <w:b/>
                <w:color w:val="000000" w:themeColor="text1"/>
                <w:lang w:eastAsia="en-US"/>
              </w:rPr>
            </w:pPr>
            <w:r w:rsidRPr="00EB14DE">
              <w:rPr>
                <w:rFonts w:ascii="Arial Narrow" w:eastAsia="Calibri" w:hAnsi="Arial Narrow"/>
                <w:color w:val="000000" w:themeColor="text1"/>
                <w:lang w:eastAsia="en-US"/>
              </w:rPr>
              <w:t xml:space="preserve">El último día de negociación de los Contratos de Futuro será tres (3) días hábiles antes de la fecha de vencimiento. </w:t>
            </w:r>
          </w:p>
        </w:tc>
      </w:tr>
      <w:tr w:rsidR="007968EC" w:rsidRPr="00EB14DE" w14:paraId="5124E514" w14:textId="77777777" w:rsidTr="007968EC">
        <w:trPr>
          <w:trHeight w:val="843"/>
        </w:trPr>
        <w:tc>
          <w:tcPr>
            <w:tcW w:w="3337" w:type="dxa"/>
            <w:shd w:val="clear" w:color="auto" w:fill="BFBFBF"/>
            <w:noWrap/>
            <w:vAlign w:val="center"/>
            <w:hideMark/>
          </w:tcPr>
          <w:p w14:paraId="623B8282" w14:textId="77777777" w:rsidR="007968EC" w:rsidRPr="00EB14DE" w:rsidDel="00873FC1" w:rsidRDefault="007968EC" w:rsidP="007968EC">
            <w:pPr>
              <w:jc w:val="both"/>
              <w:rPr>
                <w:rFonts w:ascii="Arial Narrow" w:eastAsia="Calibri" w:hAnsi="Arial Narrow"/>
                <w:b/>
                <w:bCs/>
                <w:color w:val="000000" w:themeColor="text1"/>
                <w:lang w:eastAsia="en-US"/>
              </w:rPr>
            </w:pPr>
            <w:r w:rsidRPr="00EB14DE">
              <w:rPr>
                <w:rFonts w:ascii="Arial Narrow" w:eastAsia="Calibri" w:hAnsi="Arial Narrow"/>
                <w:bCs/>
                <w:color w:val="000000" w:themeColor="text1"/>
                <w:lang w:eastAsia="en-US"/>
              </w:rPr>
              <w:t xml:space="preserve">Día de Vencimiento </w:t>
            </w:r>
          </w:p>
        </w:tc>
        <w:tc>
          <w:tcPr>
            <w:tcW w:w="6091" w:type="dxa"/>
            <w:shd w:val="clear" w:color="auto" w:fill="auto"/>
            <w:vAlign w:val="center"/>
            <w:hideMark/>
          </w:tcPr>
          <w:p w14:paraId="200A95E3" w14:textId="77777777" w:rsidR="007968EC" w:rsidRPr="00EB14DE" w:rsidRDefault="007968EC" w:rsidP="007968EC">
            <w:pPr>
              <w:ind w:left="72"/>
              <w:jc w:val="both"/>
              <w:rPr>
                <w:rFonts w:ascii="Arial Narrow" w:eastAsia="Calibri" w:hAnsi="Arial Narrow"/>
                <w:b/>
                <w:color w:val="000000" w:themeColor="text1"/>
                <w:lang w:eastAsia="en-US"/>
              </w:rPr>
            </w:pPr>
            <w:r w:rsidRPr="00EB14DE">
              <w:rPr>
                <w:rFonts w:ascii="Arial Narrow" w:eastAsia="Calibri" w:hAnsi="Arial Narrow"/>
                <w:color w:val="000000" w:themeColor="text1"/>
                <w:lang w:eastAsia="en-US"/>
              </w:rPr>
              <w:t>El vencimiento de los contratos de Futuro es el miércoles de la cuarta semana del mes de vencimiento. Cuando el miércoles de la cuarta semana corresponda a un día no hábil, el día de vencimiento corresponderá al día hábil siguiente.</w:t>
            </w:r>
          </w:p>
        </w:tc>
      </w:tr>
      <w:tr w:rsidR="007968EC" w:rsidRPr="00EB14DE" w14:paraId="664F8127" w14:textId="77777777" w:rsidTr="007968EC">
        <w:trPr>
          <w:trHeight w:val="261"/>
        </w:trPr>
        <w:tc>
          <w:tcPr>
            <w:tcW w:w="3337" w:type="dxa"/>
            <w:shd w:val="clear" w:color="auto" w:fill="BFBFBF"/>
            <w:noWrap/>
            <w:vAlign w:val="center"/>
            <w:hideMark/>
          </w:tcPr>
          <w:p w14:paraId="0F751246" w14:textId="77777777" w:rsidR="007968EC" w:rsidRPr="00EB14DE" w:rsidRDefault="007968EC" w:rsidP="007968EC">
            <w:pPr>
              <w:jc w:val="both"/>
              <w:rPr>
                <w:rFonts w:ascii="Arial Narrow" w:eastAsia="Calibri" w:hAnsi="Arial Narrow"/>
                <w:b/>
                <w:bCs/>
                <w:color w:val="000000" w:themeColor="text1"/>
                <w:lang w:eastAsia="en-US"/>
              </w:rPr>
            </w:pPr>
            <w:r w:rsidRPr="00EB14DE">
              <w:rPr>
                <w:rFonts w:ascii="Arial Narrow" w:eastAsia="Calibri" w:hAnsi="Arial Narrow"/>
                <w:bCs/>
                <w:color w:val="000000" w:themeColor="text1"/>
                <w:lang w:eastAsia="en-US"/>
              </w:rPr>
              <w:t>Inscripción</w:t>
            </w:r>
          </w:p>
        </w:tc>
        <w:tc>
          <w:tcPr>
            <w:tcW w:w="6091" w:type="dxa"/>
            <w:shd w:val="clear" w:color="auto" w:fill="auto"/>
            <w:vAlign w:val="center"/>
            <w:hideMark/>
          </w:tcPr>
          <w:p w14:paraId="194AD163" w14:textId="77777777" w:rsidR="007968EC" w:rsidRPr="00EB14DE" w:rsidRDefault="007968EC" w:rsidP="007968EC">
            <w:pPr>
              <w:ind w:left="72"/>
              <w:jc w:val="both"/>
              <w:rPr>
                <w:rFonts w:ascii="Arial Narrow" w:eastAsia="Calibri" w:hAnsi="Arial Narrow"/>
                <w:b/>
                <w:color w:val="000000" w:themeColor="text1"/>
                <w:lang w:eastAsia="en-US"/>
              </w:rPr>
            </w:pPr>
            <w:r w:rsidRPr="00EB14DE">
              <w:rPr>
                <w:rFonts w:ascii="Arial Narrow" w:eastAsia="Calibri" w:hAnsi="Arial Narrow"/>
                <w:color w:val="000000" w:themeColor="text1"/>
                <w:lang w:eastAsia="en-US"/>
              </w:rPr>
              <w:t>Bolsa de Valores de Colombia</w:t>
            </w:r>
          </w:p>
        </w:tc>
      </w:tr>
    </w:tbl>
    <w:p w14:paraId="131AAC3B" w14:textId="77777777" w:rsidR="007968EC" w:rsidRPr="00EB14DE" w:rsidRDefault="007968EC" w:rsidP="007968EC">
      <w:pPr>
        <w:jc w:val="both"/>
        <w:rPr>
          <w:rFonts w:ascii="Arial Narrow" w:eastAsia="Calibri" w:hAnsi="Arial Narrow"/>
          <w:b/>
          <w:color w:val="000000" w:themeColor="text1"/>
          <w:lang w:eastAsia="en-US"/>
        </w:rPr>
      </w:pPr>
      <w:r w:rsidRPr="00EB14DE">
        <w:rPr>
          <w:rFonts w:ascii="Arial Narrow" w:eastAsia="Calibri" w:hAnsi="Arial Narrow"/>
          <w:color w:val="000000" w:themeColor="text1"/>
          <w:lang w:eastAsia="en-US"/>
        </w:rPr>
        <w:t xml:space="preserve">   </w:t>
      </w:r>
    </w:p>
    <w:p w14:paraId="014E1EF7" w14:textId="77777777" w:rsidR="007968EC" w:rsidRPr="00EB14DE" w:rsidRDefault="007968EC" w:rsidP="00DA7472">
      <w:pPr>
        <w:numPr>
          <w:ilvl w:val="0"/>
          <w:numId w:val="79"/>
        </w:numPr>
        <w:autoSpaceDE w:val="0"/>
        <w:autoSpaceDN w:val="0"/>
        <w:spacing w:after="160" w:line="259" w:lineRule="auto"/>
        <w:ind w:left="426" w:hanging="426"/>
        <w:contextualSpacing/>
        <w:jc w:val="both"/>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 xml:space="preserve">La denominación detallada </w:t>
      </w:r>
      <w:bookmarkStart w:id="5191" w:name="_Hlk518577463"/>
      <w:r w:rsidRPr="00EB14DE">
        <w:rPr>
          <w:rFonts w:ascii="Arial Narrow" w:hAnsi="Arial Narrow" w:cs="Arial"/>
          <w:color w:val="000000" w:themeColor="text1"/>
          <w:lang w:val="es-ES" w:eastAsia="es-ES"/>
        </w:rPr>
        <w:t xml:space="preserve">de los Contratos de Futuro sobre Acciones del Índice COLCAP </w:t>
      </w:r>
      <w:bookmarkEnd w:id="5191"/>
      <w:r w:rsidRPr="00EB14DE">
        <w:rPr>
          <w:rFonts w:ascii="Arial Narrow" w:hAnsi="Arial Narrow" w:cs="Arial"/>
          <w:color w:val="000000" w:themeColor="text1"/>
          <w:lang w:val="es-ES" w:eastAsia="es-ES"/>
        </w:rPr>
        <w:t>con Liquidación por Entrega es la siguiente:</w:t>
      </w:r>
    </w:p>
    <w:tbl>
      <w:tblPr>
        <w:tblpPr w:leftFromText="141" w:rightFromText="141" w:vertAnchor="text" w:horzAnchor="margin" w:tblpY="263"/>
        <w:tblOverlap w:val="never"/>
        <w:tblW w:w="958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5088"/>
        <w:gridCol w:w="4498"/>
      </w:tblGrid>
      <w:tr w:rsidR="007968EC" w:rsidRPr="00EB14DE" w14:paraId="12D502BE" w14:textId="77777777" w:rsidTr="007968EC">
        <w:trPr>
          <w:trHeight w:val="250"/>
        </w:trPr>
        <w:tc>
          <w:tcPr>
            <w:tcW w:w="5088" w:type="dxa"/>
            <w:shd w:val="clear" w:color="auto" w:fill="BFBFBF"/>
            <w:noWrap/>
            <w:vAlign w:val="center"/>
            <w:hideMark/>
          </w:tcPr>
          <w:p w14:paraId="2D06A0CE" w14:textId="77777777" w:rsidR="007968EC" w:rsidRPr="00EB14DE" w:rsidRDefault="007968EC" w:rsidP="007968EC">
            <w:pPr>
              <w:jc w:val="center"/>
              <w:rPr>
                <w:rFonts w:ascii="Arial Narrow" w:eastAsia="Calibri" w:hAnsi="Arial Narrow"/>
                <w:bCs/>
                <w:color w:val="000000" w:themeColor="text1"/>
                <w:lang w:eastAsia="en-US"/>
              </w:rPr>
            </w:pPr>
            <w:r w:rsidRPr="00EB14DE">
              <w:rPr>
                <w:rFonts w:ascii="Arial Narrow" w:eastAsia="Calibri" w:hAnsi="Arial Narrow"/>
                <w:bCs/>
                <w:color w:val="000000" w:themeColor="text1"/>
                <w:lang w:eastAsia="en-US"/>
              </w:rPr>
              <w:t>Denominación del Instrumento</w:t>
            </w:r>
          </w:p>
        </w:tc>
        <w:tc>
          <w:tcPr>
            <w:tcW w:w="4498" w:type="dxa"/>
            <w:shd w:val="clear" w:color="auto" w:fill="BFBFBF"/>
            <w:noWrap/>
            <w:vAlign w:val="center"/>
            <w:hideMark/>
          </w:tcPr>
          <w:p w14:paraId="7253C5B7" w14:textId="77777777" w:rsidR="007968EC" w:rsidRPr="00EB14DE" w:rsidRDefault="007968EC" w:rsidP="007968EC">
            <w:pPr>
              <w:jc w:val="center"/>
              <w:rPr>
                <w:rFonts w:ascii="Arial Narrow" w:eastAsia="Calibri" w:hAnsi="Arial Narrow"/>
                <w:bCs/>
                <w:color w:val="000000" w:themeColor="text1"/>
                <w:lang w:eastAsia="en-US"/>
              </w:rPr>
            </w:pPr>
            <w:r w:rsidRPr="00EB14DE">
              <w:rPr>
                <w:rFonts w:ascii="Arial Narrow" w:eastAsia="Calibri" w:hAnsi="Arial Narrow"/>
                <w:bCs/>
                <w:color w:val="000000" w:themeColor="text1"/>
                <w:lang w:eastAsia="en-US"/>
              </w:rPr>
              <w:t>Activo Subyacente</w:t>
            </w:r>
          </w:p>
        </w:tc>
      </w:tr>
      <w:tr w:rsidR="007968EC" w:rsidRPr="00EB14DE" w14:paraId="29CCAC8B" w14:textId="77777777" w:rsidTr="007968EC">
        <w:trPr>
          <w:trHeight w:val="143"/>
        </w:trPr>
        <w:tc>
          <w:tcPr>
            <w:tcW w:w="5088" w:type="dxa"/>
            <w:shd w:val="clear" w:color="auto" w:fill="auto"/>
            <w:vAlign w:val="center"/>
            <w:hideMark/>
          </w:tcPr>
          <w:p w14:paraId="10D6FBA2" w14:textId="77777777" w:rsidR="007968EC" w:rsidRPr="00EB14DE" w:rsidRDefault="007968EC" w:rsidP="007968EC">
            <w:pPr>
              <w:rPr>
                <w:rFonts w:ascii="Arial Narrow" w:eastAsia="Calibri" w:hAnsi="Arial Narrow"/>
                <w:b/>
                <w:color w:val="000000" w:themeColor="text1"/>
                <w:lang w:eastAsia="en-US"/>
              </w:rPr>
            </w:pPr>
            <w:r w:rsidRPr="00EB14DE">
              <w:rPr>
                <w:rFonts w:ascii="Arial Narrow" w:eastAsia="Calibri" w:hAnsi="Arial Narrow"/>
                <w:color w:val="000000" w:themeColor="text1"/>
                <w:lang w:eastAsia="en-US"/>
              </w:rPr>
              <w:t>Contrato de Futuro sobre la Acción de Ecopetrol.</w:t>
            </w:r>
          </w:p>
        </w:tc>
        <w:tc>
          <w:tcPr>
            <w:tcW w:w="4498" w:type="dxa"/>
            <w:shd w:val="clear" w:color="auto" w:fill="auto"/>
            <w:noWrap/>
            <w:vAlign w:val="center"/>
            <w:hideMark/>
          </w:tcPr>
          <w:p w14:paraId="228029B4" w14:textId="77777777" w:rsidR="007968EC" w:rsidRPr="00EB14DE" w:rsidRDefault="007968EC" w:rsidP="007968EC">
            <w:pPr>
              <w:jc w:val="center"/>
              <w:rPr>
                <w:rFonts w:ascii="Arial Narrow" w:eastAsia="Calibri" w:hAnsi="Arial Narrow"/>
                <w:b/>
                <w:bCs/>
                <w:color w:val="000000" w:themeColor="text1"/>
                <w:lang w:eastAsia="en-US"/>
              </w:rPr>
            </w:pPr>
            <w:r w:rsidRPr="00EB14DE">
              <w:rPr>
                <w:rFonts w:ascii="Arial Narrow" w:eastAsia="Calibri" w:hAnsi="Arial Narrow"/>
                <w:color w:val="000000" w:themeColor="text1"/>
                <w:lang w:eastAsia="en-US"/>
              </w:rPr>
              <w:t>Acción de Ecopetrol.</w:t>
            </w:r>
          </w:p>
        </w:tc>
      </w:tr>
      <w:tr w:rsidR="007968EC" w:rsidRPr="00EB14DE" w14:paraId="313B0D1F" w14:textId="77777777" w:rsidTr="007968EC">
        <w:trPr>
          <w:trHeight w:val="143"/>
        </w:trPr>
        <w:tc>
          <w:tcPr>
            <w:tcW w:w="5088" w:type="dxa"/>
            <w:shd w:val="clear" w:color="auto" w:fill="auto"/>
            <w:vAlign w:val="center"/>
          </w:tcPr>
          <w:p w14:paraId="2C041548" w14:textId="77777777" w:rsidR="007968EC" w:rsidRPr="00EB14DE" w:rsidRDefault="007968EC" w:rsidP="007968EC">
            <w:pPr>
              <w:rPr>
                <w:rFonts w:ascii="Arial Narrow" w:eastAsia="Calibri" w:hAnsi="Arial Narrow"/>
                <w:b/>
                <w:color w:val="000000" w:themeColor="text1"/>
                <w:lang w:eastAsia="en-US"/>
              </w:rPr>
            </w:pPr>
            <w:r w:rsidRPr="00EB14DE">
              <w:rPr>
                <w:rFonts w:ascii="Arial Narrow" w:eastAsia="Calibri" w:hAnsi="Arial Narrow"/>
                <w:color w:val="000000" w:themeColor="text1"/>
                <w:lang w:eastAsia="en-US"/>
              </w:rPr>
              <w:t>Contrato de Futuro sobre la Acción Preferencial de Bancolombia.</w:t>
            </w:r>
          </w:p>
        </w:tc>
        <w:tc>
          <w:tcPr>
            <w:tcW w:w="4498" w:type="dxa"/>
            <w:shd w:val="clear" w:color="auto" w:fill="auto"/>
            <w:noWrap/>
            <w:vAlign w:val="center"/>
          </w:tcPr>
          <w:p w14:paraId="33B13B41" w14:textId="77777777" w:rsidR="007968EC" w:rsidRPr="00EB14DE" w:rsidRDefault="007968EC" w:rsidP="007968EC">
            <w:pPr>
              <w:jc w:val="center"/>
              <w:rPr>
                <w:rFonts w:ascii="Arial Narrow" w:eastAsia="Calibri" w:hAnsi="Arial Narrow"/>
                <w:b/>
                <w:bCs/>
                <w:color w:val="000000" w:themeColor="text1"/>
                <w:lang w:eastAsia="en-US"/>
              </w:rPr>
            </w:pPr>
            <w:r w:rsidRPr="00EB14DE">
              <w:rPr>
                <w:rFonts w:ascii="Arial Narrow" w:eastAsia="Calibri" w:hAnsi="Arial Narrow"/>
                <w:color w:val="000000" w:themeColor="text1"/>
                <w:lang w:eastAsia="en-US"/>
              </w:rPr>
              <w:t>Acción Preferencial de Bancolombia</w:t>
            </w:r>
          </w:p>
        </w:tc>
      </w:tr>
      <w:tr w:rsidR="007968EC" w:rsidRPr="00EB14DE" w14:paraId="5082DDE9" w14:textId="77777777" w:rsidTr="007968EC">
        <w:trPr>
          <w:trHeight w:val="143"/>
        </w:trPr>
        <w:tc>
          <w:tcPr>
            <w:tcW w:w="5088" w:type="dxa"/>
            <w:shd w:val="clear" w:color="auto" w:fill="auto"/>
            <w:vAlign w:val="center"/>
          </w:tcPr>
          <w:p w14:paraId="4173364D" w14:textId="77777777" w:rsidR="007968EC" w:rsidRPr="00EB14DE" w:rsidRDefault="007968EC" w:rsidP="007968EC">
            <w:pPr>
              <w:rPr>
                <w:rFonts w:ascii="Arial Narrow" w:eastAsia="Calibri" w:hAnsi="Arial Narrow"/>
                <w:color w:val="000000" w:themeColor="text1"/>
                <w:lang w:eastAsia="en-US"/>
              </w:rPr>
            </w:pPr>
            <w:r w:rsidRPr="00EB14DE">
              <w:rPr>
                <w:rFonts w:ascii="Arial Narrow" w:eastAsia="Calibri" w:hAnsi="Arial Narrow"/>
                <w:color w:val="000000" w:themeColor="text1"/>
                <w:lang w:eastAsia="en-US"/>
              </w:rPr>
              <w:t>Contrato de Futuro sobre la Acción Ordinaria del Grupo Sura.</w:t>
            </w:r>
          </w:p>
        </w:tc>
        <w:tc>
          <w:tcPr>
            <w:tcW w:w="4498" w:type="dxa"/>
            <w:shd w:val="clear" w:color="auto" w:fill="auto"/>
            <w:noWrap/>
            <w:vAlign w:val="center"/>
          </w:tcPr>
          <w:p w14:paraId="7BF71238" w14:textId="77777777" w:rsidR="007968EC" w:rsidRPr="00EB14DE" w:rsidRDefault="007968EC" w:rsidP="007968EC">
            <w:pPr>
              <w:jc w:val="center"/>
              <w:rPr>
                <w:rFonts w:ascii="Arial Narrow" w:eastAsia="Calibri" w:hAnsi="Arial Narrow"/>
                <w:b/>
                <w:bCs/>
                <w:color w:val="000000" w:themeColor="text1"/>
                <w:lang w:eastAsia="en-US"/>
              </w:rPr>
            </w:pPr>
            <w:r w:rsidRPr="00EB14DE">
              <w:rPr>
                <w:rFonts w:ascii="Arial Narrow" w:eastAsia="Calibri" w:hAnsi="Arial Narrow"/>
                <w:color w:val="000000" w:themeColor="text1"/>
                <w:lang w:eastAsia="en-US"/>
              </w:rPr>
              <w:t>Acción Ordinaria del Grupo Sura.</w:t>
            </w:r>
          </w:p>
        </w:tc>
      </w:tr>
      <w:tr w:rsidR="007968EC" w:rsidRPr="00EB14DE" w14:paraId="72962135" w14:textId="77777777" w:rsidTr="007968EC">
        <w:trPr>
          <w:trHeight w:val="143"/>
        </w:trPr>
        <w:tc>
          <w:tcPr>
            <w:tcW w:w="5088" w:type="dxa"/>
            <w:shd w:val="clear" w:color="auto" w:fill="auto"/>
            <w:vAlign w:val="center"/>
          </w:tcPr>
          <w:p w14:paraId="47881F51" w14:textId="77777777" w:rsidR="007968EC" w:rsidRPr="00EB14DE" w:rsidRDefault="007968EC" w:rsidP="007968EC">
            <w:pPr>
              <w:rPr>
                <w:rFonts w:ascii="Arial Narrow" w:eastAsia="Calibri" w:hAnsi="Arial Narrow"/>
                <w:b/>
                <w:color w:val="000000" w:themeColor="text1"/>
                <w:lang w:eastAsia="en-US"/>
              </w:rPr>
            </w:pPr>
            <w:r w:rsidRPr="00EB14DE">
              <w:rPr>
                <w:rFonts w:ascii="Arial Narrow" w:eastAsia="Calibri" w:hAnsi="Arial Narrow"/>
                <w:color w:val="000000" w:themeColor="text1"/>
                <w:lang w:eastAsia="en-US"/>
              </w:rPr>
              <w:t>Contrato de Futuro sobre la Acción Ordinaria de Corficolombiana.</w:t>
            </w:r>
          </w:p>
        </w:tc>
        <w:tc>
          <w:tcPr>
            <w:tcW w:w="4498" w:type="dxa"/>
            <w:shd w:val="clear" w:color="auto" w:fill="auto"/>
            <w:noWrap/>
            <w:vAlign w:val="center"/>
          </w:tcPr>
          <w:p w14:paraId="4C2640F0" w14:textId="77777777" w:rsidR="007968EC" w:rsidRPr="00EB14DE" w:rsidRDefault="007968EC" w:rsidP="007968EC">
            <w:pPr>
              <w:jc w:val="center"/>
              <w:rPr>
                <w:rFonts w:ascii="Arial Narrow" w:eastAsia="Calibri" w:hAnsi="Arial Narrow"/>
                <w:b/>
                <w:color w:val="000000" w:themeColor="text1"/>
                <w:lang w:eastAsia="en-US"/>
              </w:rPr>
            </w:pPr>
            <w:r w:rsidRPr="00EB14DE">
              <w:rPr>
                <w:rFonts w:ascii="Arial Narrow" w:eastAsia="Calibri" w:hAnsi="Arial Narrow"/>
                <w:color w:val="000000" w:themeColor="text1"/>
                <w:lang w:eastAsia="en-US"/>
              </w:rPr>
              <w:t>Acción Ordinaria de Corficolombiana.</w:t>
            </w:r>
          </w:p>
        </w:tc>
      </w:tr>
      <w:tr w:rsidR="007968EC" w:rsidRPr="00EB14DE" w14:paraId="75977446" w14:textId="77777777" w:rsidTr="007968EC">
        <w:trPr>
          <w:trHeight w:val="143"/>
        </w:trPr>
        <w:tc>
          <w:tcPr>
            <w:tcW w:w="5088" w:type="dxa"/>
            <w:shd w:val="clear" w:color="auto" w:fill="auto"/>
            <w:vAlign w:val="center"/>
          </w:tcPr>
          <w:p w14:paraId="0484EF49" w14:textId="77777777" w:rsidR="007968EC" w:rsidRPr="00EB14DE" w:rsidRDefault="007968EC" w:rsidP="007968EC">
            <w:pPr>
              <w:rPr>
                <w:rFonts w:ascii="Arial Narrow" w:eastAsia="Calibri" w:hAnsi="Arial Narrow" w:cs="Arial"/>
                <w:color w:val="000000"/>
                <w:lang w:eastAsia="es-ES"/>
              </w:rPr>
            </w:pPr>
            <w:r w:rsidRPr="00EB14DE">
              <w:rPr>
                <w:rFonts w:ascii="Arial Narrow" w:eastAsia="Calibri" w:hAnsi="Arial Narrow"/>
                <w:color w:val="000000" w:themeColor="text1"/>
                <w:lang w:eastAsia="en-US"/>
              </w:rPr>
              <w:t>Contrato de Futuro sobre la Acción Preferencial Avianca.</w:t>
            </w:r>
          </w:p>
        </w:tc>
        <w:tc>
          <w:tcPr>
            <w:tcW w:w="4498" w:type="dxa"/>
            <w:shd w:val="clear" w:color="auto" w:fill="auto"/>
            <w:noWrap/>
            <w:vAlign w:val="center"/>
          </w:tcPr>
          <w:p w14:paraId="7ADC6EE6" w14:textId="77777777" w:rsidR="007968EC" w:rsidRPr="00EB14DE" w:rsidRDefault="007968EC" w:rsidP="007968EC">
            <w:pPr>
              <w:jc w:val="center"/>
              <w:rPr>
                <w:rFonts w:ascii="Arial Narrow" w:eastAsia="Calibri" w:hAnsi="Arial Narrow"/>
                <w:b/>
                <w:bCs/>
                <w:color w:val="000000" w:themeColor="text1"/>
                <w:lang w:eastAsia="en-US"/>
              </w:rPr>
            </w:pPr>
            <w:r w:rsidRPr="00EB14DE">
              <w:rPr>
                <w:rFonts w:ascii="Arial Narrow" w:eastAsia="Calibri" w:hAnsi="Arial Narrow"/>
                <w:color w:val="000000" w:themeColor="text1"/>
                <w:lang w:eastAsia="en-US"/>
              </w:rPr>
              <w:t>Acción Preferencial Avianca.</w:t>
            </w:r>
          </w:p>
        </w:tc>
      </w:tr>
      <w:tr w:rsidR="007968EC" w:rsidRPr="00EB14DE" w14:paraId="0CE6337C" w14:textId="77777777" w:rsidTr="007968EC">
        <w:trPr>
          <w:trHeight w:val="423"/>
        </w:trPr>
        <w:tc>
          <w:tcPr>
            <w:tcW w:w="5088" w:type="dxa"/>
            <w:shd w:val="clear" w:color="auto" w:fill="auto"/>
            <w:vAlign w:val="center"/>
          </w:tcPr>
          <w:p w14:paraId="4E54920C" w14:textId="77777777" w:rsidR="007968EC" w:rsidRPr="00EB14DE" w:rsidRDefault="007968EC" w:rsidP="007968EC">
            <w:pPr>
              <w:rPr>
                <w:rFonts w:ascii="Arial Narrow" w:eastAsia="Calibri" w:hAnsi="Arial Narrow"/>
                <w:b/>
                <w:color w:val="000000" w:themeColor="text1"/>
                <w:lang w:eastAsia="en-US"/>
              </w:rPr>
            </w:pPr>
            <w:r w:rsidRPr="00EB14DE">
              <w:rPr>
                <w:rFonts w:ascii="Arial Narrow" w:eastAsia="Calibri" w:hAnsi="Arial Narrow"/>
                <w:color w:val="000000" w:themeColor="text1"/>
                <w:lang w:eastAsia="en-US"/>
              </w:rPr>
              <w:t>Contrato de Futuro sobre la Acción Preferencial Davivienda.</w:t>
            </w:r>
          </w:p>
        </w:tc>
        <w:tc>
          <w:tcPr>
            <w:tcW w:w="4498" w:type="dxa"/>
            <w:shd w:val="clear" w:color="auto" w:fill="auto"/>
            <w:noWrap/>
            <w:vAlign w:val="center"/>
          </w:tcPr>
          <w:p w14:paraId="1D73B080" w14:textId="77777777" w:rsidR="007968EC" w:rsidRPr="00EB14DE" w:rsidRDefault="007968EC" w:rsidP="007968EC">
            <w:pPr>
              <w:jc w:val="center"/>
              <w:rPr>
                <w:rFonts w:ascii="Arial Narrow" w:eastAsia="Calibri" w:hAnsi="Arial Narrow"/>
                <w:color w:val="000000" w:themeColor="text1"/>
                <w:lang w:eastAsia="en-US"/>
              </w:rPr>
            </w:pPr>
            <w:r w:rsidRPr="00EB14DE">
              <w:rPr>
                <w:rFonts w:ascii="Arial Narrow" w:eastAsia="Calibri" w:hAnsi="Arial Narrow"/>
                <w:color w:val="000000" w:themeColor="text1"/>
                <w:lang w:eastAsia="en-US"/>
              </w:rPr>
              <w:t>Acción Preferencial Davivienda.</w:t>
            </w:r>
          </w:p>
          <w:p w14:paraId="7A46E5AE" w14:textId="77777777" w:rsidR="007968EC" w:rsidRPr="00EB14DE" w:rsidRDefault="007968EC" w:rsidP="007968EC">
            <w:pPr>
              <w:jc w:val="center"/>
              <w:rPr>
                <w:rFonts w:ascii="Arial Narrow" w:eastAsia="Calibri" w:hAnsi="Arial Narrow"/>
                <w:b/>
                <w:bCs/>
                <w:color w:val="000000" w:themeColor="text1"/>
                <w:lang w:eastAsia="en-US"/>
              </w:rPr>
            </w:pPr>
          </w:p>
        </w:tc>
      </w:tr>
      <w:tr w:rsidR="007968EC" w:rsidRPr="00EB14DE" w14:paraId="5C64FDBC" w14:textId="77777777" w:rsidTr="007968EC">
        <w:trPr>
          <w:trHeight w:val="143"/>
        </w:trPr>
        <w:tc>
          <w:tcPr>
            <w:tcW w:w="5088" w:type="dxa"/>
            <w:shd w:val="clear" w:color="auto" w:fill="auto"/>
            <w:vAlign w:val="center"/>
          </w:tcPr>
          <w:p w14:paraId="7651C57B" w14:textId="77777777" w:rsidR="007968EC" w:rsidRPr="00EB14DE" w:rsidRDefault="007968EC" w:rsidP="007968EC">
            <w:pPr>
              <w:rPr>
                <w:rFonts w:ascii="Arial Narrow" w:eastAsia="Calibri" w:hAnsi="Arial Narrow"/>
                <w:b/>
                <w:color w:val="000000" w:themeColor="text1"/>
                <w:lang w:eastAsia="en-US"/>
              </w:rPr>
            </w:pPr>
            <w:r w:rsidRPr="00EB14DE">
              <w:rPr>
                <w:rFonts w:ascii="Arial Narrow" w:eastAsia="Calibri" w:hAnsi="Arial Narrow"/>
                <w:color w:val="000000" w:themeColor="text1"/>
                <w:lang w:eastAsia="en-US"/>
              </w:rPr>
              <w:lastRenderedPageBreak/>
              <w:t>Contrato de Futuro sobre la Acción Ordinaria de Bancolombia.</w:t>
            </w:r>
          </w:p>
        </w:tc>
        <w:tc>
          <w:tcPr>
            <w:tcW w:w="4498" w:type="dxa"/>
            <w:shd w:val="clear" w:color="auto" w:fill="auto"/>
            <w:noWrap/>
            <w:vAlign w:val="center"/>
          </w:tcPr>
          <w:p w14:paraId="3A11EAAF" w14:textId="77777777" w:rsidR="007968EC" w:rsidRPr="00EB14DE" w:rsidRDefault="007968EC" w:rsidP="007968EC">
            <w:pPr>
              <w:jc w:val="center"/>
              <w:rPr>
                <w:rFonts w:ascii="Arial Narrow" w:eastAsia="Calibri" w:hAnsi="Arial Narrow"/>
                <w:b/>
                <w:bCs/>
                <w:color w:val="000000" w:themeColor="text1"/>
                <w:lang w:eastAsia="en-US"/>
              </w:rPr>
            </w:pPr>
            <w:r w:rsidRPr="00EB14DE">
              <w:rPr>
                <w:rFonts w:ascii="Arial Narrow" w:eastAsia="Calibri" w:hAnsi="Arial Narrow"/>
                <w:color w:val="000000" w:themeColor="text1"/>
                <w:lang w:eastAsia="en-US"/>
              </w:rPr>
              <w:t>Acción Ordinaria de Bancolombia.</w:t>
            </w:r>
          </w:p>
        </w:tc>
      </w:tr>
      <w:tr w:rsidR="007968EC" w:rsidRPr="00EB14DE" w14:paraId="290C7699" w14:textId="77777777" w:rsidTr="007968EC">
        <w:trPr>
          <w:trHeight w:val="143"/>
        </w:trPr>
        <w:tc>
          <w:tcPr>
            <w:tcW w:w="5088" w:type="dxa"/>
            <w:shd w:val="clear" w:color="auto" w:fill="auto"/>
          </w:tcPr>
          <w:p w14:paraId="2966FE0C" w14:textId="77777777" w:rsidR="007968EC" w:rsidRPr="00EB14DE" w:rsidRDefault="007968EC" w:rsidP="007968EC">
            <w:pPr>
              <w:rPr>
                <w:rFonts w:ascii="Arial Narrow" w:eastAsia="Calibri" w:hAnsi="Arial Narrow"/>
                <w:b/>
                <w:color w:val="000000" w:themeColor="text1"/>
                <w:lang w:eastAsia="en-US"/>
              </w:rPr>
            </w:pPr>
            <w:r w:rsidRPr="00EB14DE">
              <w:rPr>
                <w:rFonts w:ascii="Arial Narrow" w:eastAsia="Calibri" w:hAnsi="Arial Narrow"/>
                <w:color w:val="000000" w:themeColor="text1"/>
                <w:lang w:eastAsia="en-US"/>
              </w:rPr>
              <w:t xml:space="preserve">Contrato de Futuro sobre la Acción Ordinaria de Cemex </w:t>
            </w:r>
            <w:proofErr w:type="spellStart"/>
            <w:r w:rsidRPr="00EB14DE">
              <w:rPr>
                <w:rFonts w:ascii="Arial Narrow" w:eastAsia="Calibri" w:hAnsi="Arial Narrow"/>
                <w:color w:val="000000" w:themeColor="text1"/>
                <w:lang w:eastAsia="en-US"/>
              </w:rPr>
              <w:t>Latam</w:t>
            </w:r>
            <w:proofErr w:type="spellEnd"/>
            <w:r w:rsidRPr="00EB14DE">
              <w:rPr>
                <w:rFonts w:ascii="Arial Narrow" w:eastAsia="Calibri" w:hAnsi="Arial Narrow"/>
                <w:color w:val="000000" w:themeColor="text1"/>
                <w:lang w:eastAsia="en-US"/>
              </w:rPr>
              <w:t xml:space="preserve"> Holdings.</w:t>
            </w:r>
          </w:p>
        </w:tc>
        <w:tc>
          <w:tcPr>
            <w:tcW w:w="4498" w:type="dxa"/>
            <w:shd w:val="clear" w:color="auto" w:fill="auto"/>
            <w:noWrap/>
            <w:vAlign w:val="center"/>
          </w:tcPr>
          <w:p w14:paraId="6F2CE9A6" w14:textId="77777777" w:rsidR="007968EC" w:rsidRPr="00EB14DE" w:rsidRDefault="007968EC" w:rsidP="007968EC">
            <w:pPr>
              <w:jc w:val="center"/>
              <w:rPr>
                <w:rFonts w:ascii="Arial Narrow" w:eastAsia="Calibri" w:hAnsi="Arial Narrow"/>
                <w:b/>
                <w:color w:val="000000" w:themeColor="text1"/>
                <w:lang w:eastAsia="en-US"/>
              </w:rPr>
            </w:pPr>
            <w:r w:rsidRPr="00EB14DE">
              <w:rPr>
                <w:rFonts w:ascii="Arial Narrow" w:eastAsia="Calibri" w:hAnsi="Arial Narrow"/>
                <w:color w:val="000000" w:themeColor="text1"/>
                <w:lang w:eastAsia="en-US"/>
              </w:rPr>
              <w:t xml:space="preserve">Acción Ordinaria de Cemex </w:t>
            </w:r>
            <w:proofErr w:type="spellStart"/>
            <w:r w:rsidRPr="00EB14DE">
              <w:rPr>
                <w:rFonts w:ascii="Arial Narrow" w:eastAsia="Calibri" w:hAnsi="Arial Narrow"/>
                <w:color w:val="000000" w:themeColor="text1"/>
                <w:lang w:eastAsia="en-US"/>
              </w:rPr>
              <w:t>Latam</w:t>
            </w:r>
            <w:proofErr w:type="spellEnd"/>
            <w:r w:rsidRPr="00EB14DE">
              <w:rPr>
                <w:rFonts w:ascii="Arial Narrow" w:eastAsia="Calibri" w:hAnsi="Arial Narrow"/>
                <w:color w:val="000000" w:themeColor="text1"/>
                <w:lang w:eastAsia="en-US"/>
              </w:rPr>
              <w:t xml:space="preserve"> Holdings.</w:t>
            </w:r>
          </w:p>
        </w:tc>
      </w:tr>
      <w:tr w:rsidR="007968EC" w:rsidRPr="00EB14DE" w14:paraId="7D8D0EC9" w14:textId="77777777" w:rsidTr="007968EC">
        <w:trPr>
          <w:trHeight w:val="143"/>
        </w:trPr>
        <w:tc>
          <w:tcPr>
            <w:tcW w:w="5088" w:type="dxa"/>
            <w:shd w:val="clear" w:color="auto" w:fill="auto"/>
          </w:tcPr>
          <w:p w14:paraId="5E2E97A2" w14:textId="77777777" w:rsidR="007968EC" w:rsidRPr="00EB14DE" w:rsidRDefault="007968EC" w:rsidP="007968EC">
            <w:pPr>
              <w:rPr>
                <w:rFonts w:ascii="Arial Narrow" w:eastAsia="Calibri" w:hAnsi="Arial Narrow"/>
                <w:color w:val="000000" w:themeColor="text1"/>
                <w:lang w:eastAsia="en-US"/>
              </w:rPr>
            </w:pPr>
            <w:r w:rsidRPr="00EB14DE">
              <w:rPr>
                <w:rFonts w:ascii="Arial Narrow" w:eastAsia="Calibri" w:hAnsi="Arial Narrow"/>
                <w:color w:val="000000" w:themeColor="text1"/>
                <w:lang w:eastAsia="en-US"/>
              </w:rPr>
              <w:t>Contrato de Futuro sobre la Acción Preferencial Grupo Argos.</w:t>
            </w:r>
          </w:p>
        </w:tc>
        <w:tc>
          <w:tcPr>
            <w:tcW w:w="4498" w:type="dxa"/>
            <w:shd w:val="clear" w:color="auto" w:fill="auto"/>
            <w:noWrap/>
            <w:vAlign w:val="center"/>
          </w:tcPr>
          <w:p w14:paraId="3C7C09B4" w14:textId="77777777" w:rsidR="007968EC" w:rsidRPr="00EB14DE" w:rsidRDefault="007968EC" w:rsidP="007968EC">
            <w:pPr>
              <w:jc w:val="center"/>
              <w:rPr>
                <w:rFonts w:ascii="Arial Narrow" w:eastAsia="Calibri" w:hAnsi="Arial Narrow"/>
                <w:color w:val="000000" w:themeColor="text1"/>
                <w:lang w:eastAsia="en-US"/>
              </w:rPr>
            </w:pPr>
            <w:r w:rsidRPr="00EB14DE">
              <w:rPr>
                <w:rFonts w:ascii="Arial Narrow" w:eastAsia="Calibri" w:hAnsi="Arial Narrow"/>
                <w:color w:val="000000" w:themeColor="text1"/>
                <w:lang w:eastAsia="en-US"/>
              </w:rPr>
              <w:t>Acción Preferencial Grupo Argos.</w:t>
            </w:r>
          </w:p>
        </w:tc>
      </w:tr>
      <w:tr w:rsidR="007968EC" w:rsidRPr="00EB14DE" w14:paraId="21EE5335" w14:textId="77777777" w:rsidTr="007968EC">
        <w:trPr>
          <w:trHeight w:val="143"/>
        </w:trPr>
        <w:tc>
          <w:tcPr>
            <w:tcW w:w="5088" w:type="dxa"/>
            <w:shd w:val="clear" w:color="auto" w:fill="auto"/>
            <w:vAlign w:val="center"/>
          </w:tcPr>
          <w:p w14:paraId="277D3167" w14:textId="77777777" w:rsidR="007968EC" w:rsidRPr="00EB14DE" w:rsidRDefault="007968EC" w:rsidP="007968EC">
            <w:pPr>
              <w:rPr>
                <w:rFonts w:ascii="Arial Narrow" w:eastAsia="Calibri" w:hAnsi="Arial Narrow"/>
                <w:color w:val="000000" w:themeColor="text1"/>
                <w:lang w:eastAsia="en-US"/>
              </w:rPr>
            </w:pPr>
            <w:r w:rsidRPr="00EB14DE">
              <w:rPr>
                <w:rFonts w:ascii="Arial Narrow" w:eastAsia="Calibri" w:hAnsi="Arial Narrow"/>
                <w:color w:val="000000" w:themeColor="text1"/>
                <w:lang w:eastAsia="en-US"/>
              </w:rPr>
              <w:t>Contrato de Futuro sobre la Acción Ordinaria de Canacol.</w:t>
            </w:r>
          </w:p>
        </w:tc>
        <w:tc>
          <w:tcPr>
            <w:tcW w:w="4498" w:type="dxa"/>
            <w:shd w:val="clear" w:color="auto" w:fill="auto"/>
            <w:noWrap/>
            <w:vAlign w:val="center"/>
          </w:tcPr>
          <w:p w14:paraId="08DD03FA" w14:textId="77777777" w:rsidR="007968EC" w:rsidRPr="00EB14DE" w:rsidRDefault="007968EC" w:rsidP="007968EC">
            <w:pPr>
              <w:jc w:val="center"/>
              <w:rPr>
                <w:rFonts w:ascii="Arial Narrow" w:hAnsi="Arial Narrow" w:cs="Arial"/>
                <w:lang w:eastAsia="en-US"/>
              </w:rPr>
            </w:pPr>
            <w:r w:rsidRPr="00EB14DE">
              <w:rPr>
                <w:rFonts w:ascii="Arial Narrow" w:eastAsia="Calibri" w:hAnsi="Arial Narrow"/>
                <w:color w:val="000000" w:themeColor="text1"/>
                <w:lang w:eastAsia="en-US"/>
              </w:rPr>
              <w:t>Acción Ordinaria de Canacol.</w:t>
            </w:r>
          </w:p>
        </w:tc>
      </w:tr>
      <w:tr w:rsidR="007968EC" w:rsidRPr="00EB14DE" w14:paraId="18BAC28C" w14:textId="77777777" w:rsidTr="007968EC">
        <w:trPr>
          <w:trHeight w:val="143"/>
        </w:trPr>
        <w:tc>
          <w:tcPr>
            <w:tcW w:w="5088" w:type="dxa"/>
            <w:shd w:val="clear" w:color="auto" w:fill="auto"/>
            <w:vAlign w:val="center"/>
          </w:tcPr>
          <w:p w14:paraId="4EFAD35F" w14:textId="77777777" w:rsidR="007968EC" w:rsidRPr="00EB14DE" w:rsidRDefault="007968EC" w:rsidP="007968EC">
            <w:pPr>
              <w:rPr>
                <w:rFonts w:ascii="Arial Narrow" w:eastAsia="Calibri" w:hAnsi="Arial Narrow"/>
                <w:color w:val="000000" w:themeColor="text1"/>
                <w:lang w:eastAsia="en-US"/>
              </w:rPr>
            </w:pPr>
            <w:r w:rsidRPr="00EB14DE">
              <w:rPr>
                <w:rFonts w:ascii="Arial Narrow" w:eastAsia="Calibri" w:hAnsi="Arial Narrow"/>
                <w:color w:val="000000" w:themeColor="text1"/>
                <w:lang w:eastAsia="en-US"/>
              </w:rPr>
              <w:t>Contrato de Futuro sobre la Acción ordinaria del Grupo de Energía de Bogotá.</w:t>
            </w:r>
          </w:p>
        </w:tc>
        <w:tc>
          <w:tcPr>
            <w:tcW w:w="4498" w:type="dxa"/>
            <w:shd w:val="clear" w:color="auto" w:fill="auto"/>
            <w:noWrap/>
            <w:vAlign w:val="center"/>
          </w:tcPr>
          <w:p w14:paraId="078BC96B" w14:textId="77777777" w:rsidR="007968EC" w:rsidRPr="00EB14DE" w:rsidRDefault="007968EC" w:rsidP="007968EC">
            <w:pPr>
              <w:jc w:val="center"/>
              <w:rPr>
                <w:rFonts w:ascii="Arial Narrow" w:eastAsia="Calibri" w:hAnsi="Arial Narrow"/>
                <w:color w:val="000000" w:themeColor="text1"/>
                <w:lang w:eastAsia="en-US"/>
              </w:rPr>
            </w:pPr>
            <w:r w:rsidRPr="00EB14DE">
              <w:rPr>
                <w:rFonts w:ascii="Arial Narrow" w:eastAsia="Calibri" w:hAnsi="Arial Narrow"/>
                <w:color w:val="000000" w:themeColor="text1"/>
                <w:lang w:eastAsia="en-US"/>
              </w:rPr>
              <w:t>Acción ordinaria del Grupo de Energía de Bogotá.</w:t>
            </w:r>
          </w:p>
        </w:tc>
      </w:tr>
    </w:tbl>
    <w:p w14:paraId="4FC642EF" w14:textId="77777777" w:rsidR="007968EC" w:rsidRPr="00EB14DE" w:rsidRDefault="007968EC" w:rsidP="007968EC">
      <w:pPr>
        <w:autoSpaceDE w:val="0"/>
        <w:autoSpaceDN w:val="0"/>
        <w:adjustRightInd w:val="0"/>
        <w:jc w:val="both"/>
        <w:rPr>
          <w:rFonts w:ascii="Arial Narrow" w:hAnsi="Arial Narrow" w:cs="Arial"/>
          <w:color w:val="000000" w:themeColor="text1"/>
          <w:lang w:val="es-ES" w:eastAsia="es-ES"/>
        </w:rPr>
      </w:pPr>
    </w:p>
    <w:p w14:paraId="0402AF02" w14:textId="77777777" w:rsidR="007968EC" w:rsidRPr="00EB14DE" w:rsidRDefault="007968EC" w:rsidP="00DA7472">
      <w:pPr>
        <w:numPr>
          <w:ilvl w:val="0"/>
          <w:numId w:val="79"/>
        </w:numPr>
        <w:autoSpaceDE w:val="0"/>
        <w:autoSpaceDN w:val="0"/>
        <w:spacing w:after="160" w:line="259" w:lineRule="auto"/>
        <w:ind w:left="426" w:hanging="426"/>
        <w:contextualSpacing/>
        <w:jc w:val="both"/>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Reglas especiales:</w:t>
      </w:r>
    </w:p>
    <w:p w14:paraId="76008D94" w14:textId="77777777" w:rsidR="007968EC" w:rsidRPr="00EB14DE" w:rsidRDefault="007968EC" w:rsidP="007968EC">
      <w:pPr>
        <w:jc w:val="both"/>
        <w:rPr>
          <w:rFonts w:ascii="Arial Narrow" w:eastAsia="Calibri" w:hAnsi="Arial Narrow"/>
          <w:b/>
          <w:color w:val="000000" w:themeColor="text1"/>
          <w:lang w:eastAsia="en-US"/>
        </w:rPr>
      </w:pPr>
    </w:p>
    <w:tbl>
      <w:tblPr>
        <w:tblW w:w="9428" w:type="dxa"/>
        <w:tblInd w:w="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3342"/>
        <w:gridCol w:w="6086"/>
      </w:tblGrid>
      <w:tr w:rsidR="007968EC" w:rsidRPr="00EB14DE" w14:paraId="63B41C47" w14:textId="77777777" w:rsidTr="007968EC">
        <w:trPr>
          <w:trHeight w:val="985"/>
        </w:trPr>
        <w:tc>
          <w:tcPr>
            <w:tcW w:w="3342" w:type="dxa"/>
            <w:shd w:val="clear" w:color="auto" w:fill="BFBFBF"/>
            <w:noWrap/>
            <w:vAlign w:val="center"/>
            <w:hideMark/>
          </w:tcPr>
          <w:p w14:paraId="0E446D44" w14:textId="77777777" w:rsidR="007968EC" w:rsidRPr="00EB14DE" w:rsidRDefault="007968EC" w:rsidP="007968EC">
            <w:pPr>
              <w:jc w:val="both"/>
              <w:rPr>
                <w:rFonts w:ascii="Arial Narrow" w:eastAsia="Calibri" w:hAnsi="Arial Narrow"/>
                <w:b/>
                <w:bCs/>
                <w:color w:val="000000" w:themeColor="text1"/>
                <w:lang w:eastAsia="en-US"/>
              </w:rPr>
            </w:pPr>
            <w:r w:rsidRPr="00EB14DE">
              <w:rPr>
                <w:rFonts w:ascii="Arial Narrow" w:eastAsia="Calibri" w:hAnsi="Arial Narrow"/>
                <w:color w:val="000000" w:themeColor="text1"/>
                <w:lang w:eastAsia="en-US"/>
              </w:rPr>
              <w:t>Precio de Referencia de la Liquidación por Diferencias por Incumplimiento en la Entrega</w:t>
            </w:r>
          </w:p>
        </w:tc>
        <w:tc>
          <w:tcPr>
            <w:tcW w:w="6086" w:type="dxa"/>
            <w:shd w:val="clear" w:color="auto" w:fill="auto"/>
            <w:vAlign w:val="center"/>
            <w:hideMark/>
          </w:tcPr>
          <w:p w14:paraId="72207EF9" w14:textId="77777777" w:rsidR="007968EC" w:rsidRPr="00EB14DE" w:rsidRDefault="007968EC" w:rsidP="007968EC">
            <w:pPr>
              <w:jc w:val="both"/>
              <w:rPr>
                <w:rFonts w:ascii="Arial Narrow" w:eastAsia="Calibri" w:hAnsi="Arial Narrow"/>
                <w:b/>
                <w:color w:val="000000" w:themeColor="text1"/>
                <w:lang w:eastAsia="en-US"/>
              </w:rPr>
            </w:pPr>
            <w:r w:rsidRPr="00EB14DE">
              <w:rPr>
                <w:rFonts w:ascii="Arial Narrow" w:eastAsia="Calibri" w:hAnsi="Arial Narrow"/>
                <w:color w:val="000000" w:themeColor="text1"/>
                <w:lang w:eastAsia="en-US"/>
              </w:rPr>
              <w:t>El precio medio de negociación de la Acción correspondiente a la sesión de negociación del día de vencimiento del Contrato, suministrado por el Proveedor Oficial de Precios para Valoración.</w:t>
            </w:r>
          </w:p>
        </w:tc>
      </w:tr>
      <w:tr w:rsidR="007968EC" w:rsidRPr="00EB14DE" w14:paraId="7ECE542E" w14:textId="77777777" w:rsidTr="007968EC">
        <w:trPr>
          <w:trHeight w:val="1652"/>
        </w:trPr>
        <w:tc>
          <w:tcPr>
            <w:tcW w:w="3342" w:type="dxa"/>
            <w:shd w:val="clear" w:color="auto" w:fill="BFBFBF"/>
            <w:noWrap/>
            <w:vAlign w:val="center"/>
            <w:hideMark/>
          </w:tcPr>
          <w:p w14:paraId="0FADB985" w14:textId="77777777" w:rsidR="007968EC" w:rsidRPr="00EB14DE" w:rsidRDefault="007968EC" w:rsidP="007968EC">
            <w:pPr>
              <w:jc w:val="both"/>
              <w:rPr>
                <w:rFonts w:ascii="Arial Narrow" w:eastAsia="Calibri" w:hAnsi="Arial Narrow"/>
                <w:b/>
                <w:color w:val="000000" w:themeColor="text1"/>
                <w:lang w:eastAsia="en-US"/>
              </w:rPr>
            </w:pPr>
            <w:r w:rsidRPr="00EB14DE">
              <w:rPr>
                <w:rFonts w:ascii="Arial Narrow" w:eastAsia="Calibri" w:hAnsi="Arial Narrow"/>
                <w:color w:val="000000" w:themeColor="text1"/>
                <w:lang w:eastAsia="en-US"/>
              </w:rPr>
              <w:t>Parámetros para el Cálculo de la Consecuencia Pecuniaria a favor de los titulares de Cuenta con derecho a recibir Activos y que hayan sido objeto de una Liquidación por Diferencias por Incumplimiento en la Entrega según numeral 2, literal a) del artículo 2.8.9 del Reglamento de Funcionamiento.</w:t>
            </w:r>
          </w:p>
        </w:tc>
        <w:tc>
          <w:tcPr>
            <w:tcW w:w="6086" w:type="dxa"/>
            <w:shd w:val="clear" w:color="auto" w:fill="auto"/>
            <w:vAlign w:val="center"/>
            <w:hideMark/>
          </w:tcPr>
          <w:p w14:paraId="16B2E21C" w14:textId="77777777" w:rsidR="007968EC" w:rsidRPr="00EB14DE" w:rsidRDefault="007968EC" w:rsidP="00DA7472">
            <w:pPr>
              <w:numPr>
                <w:ilvl w:val="0"/>
                <w:numId w:val="64"/>
              </w:numPr>
              <w:spacing w:after="160" w:line="259" w:lineRule="auto"/>
              <w:ind w:left="289" w:hanging="142"/>
              <w:jc w:val="both"/>
              <w:rPr>
                <w:rFonts w:ascii="Arial Narrow" w:eastAsia="Calibri" w:hAnsi="Arial Narrow"/>
                <w:b/>
                <w:color w:val="000000" w:themeColor="text1"/>
                <w:lang w:eastAsia="en-US"/>
              </w:rPr>
            </w:pPr>
            <w:r w:rsidRPr="00EB14DE">
              <w:rPr>
                <w:rFonts w:ascii="Arial Narrow" w:eastAsia="Calibri" w:hAnsi="Arial Narrow"/>
                <w:color w:val="000000" w:themeColor="text1"/>
                <w:lang w:eastAsia="en-US"/>
              </w:rPr>
              <w:t>Porcentaje del valor de los Activos no entregados valorados a Precio de Liquidación al Vencimiento del Activo igual al 1% y,</w:t>
            </w:r>
          </w:p>
          <w:p w14:paraId="679907E3" w14:textId="77777777" w:rsidR="007968EC" w:rsidRPr="00EB14DE" w:rsidRDefault="007968EC" w:rsidP="007968EC">
            <w:pPr>
              <w:ind w:left="147"/>
              <w:contextualSpacing/>
              <w:jc w:val="both"/>
              <w:rPr>
                <w:rFonts w:ascii="Arial Narrow" w:eastAsia="Calibri" w:hAnsi="Arial Narrow"/>
                <w:b/>
                <w:color w:val="000000" w:themeColor="text1"/>
                <w:lang w:eastAsia="en-US"/>
              </w:rPr>
            </w:pPr>
          </w:p>
          <w:p w14:paraId="74D086BF" w14:textId="77777777" w:rsidR="007968EC" w:rsidRPr="00EB14DE" w:rsidRDefault="007968EC" w:rsidP="00DA7472">
            <w:pPr>
              <w:numPr>
                <w:ilvl w:val="0"/>
                <w:numId w:val="64"/>
              </w:numPr>
              <w:spacing w:after="160" w:line="259" w:lineRule="auto"/>
              <w:ind w:left="289" w:hanging="142"/>
              <w:jc w:val="both"/>
              <w:rPr>
                <w:rFonts w:ascii="Arial Narrow" w:eastAsia="Calibri" w:hAnsi="Arial Narrow"/>
                <w:b/>
                <w:color w:val="000000" w:themeColor="text1"/>
                <w:lang w:eastAsia="en-US"/>
              </w:rPr>
            </w:pPr>
            <w:r w:rsidRPr="00EB14DE">
              <w:rPr>
                <w:rFonts w:ascii="Arial Narrow" w:eastAsia="Calibri" w:hAnsi="Arial Narrow"/>
                <w:color w:val="000000" w:themeColor="text1"/>
                <w:lang w:eastAsia="en-US"/>
              </w:rPr>
              <w:t>Ocho (8) Salarios Mínimos Mensuales Legales Vigentes (SMMLV)</w:t>
            </w:r>
          </w:p>
        </w:tc>
      </w:tr>
      <w:tr w:rsidR="007968EC" w:rsidRPr="00EB14DE" w14:paraId="14CC9328" w14:textId="77777777" w:rsidTr="007968EC">
        <w:trPr>
          <w:trHeight w:val="500"/>
        </w:trPr>
        <w:tc>
          <w:tcPr>
            <w:tcW w:w="3342" w:type="dxa"/>
            <w:shd w:val="clear" w:color="auto" w:fill="BFBFBF"/>
            <w:noWrap/>
            <w:vAlign w:val="center"/>
            <w:hideMark/>
          </w:tcPr>
          <w:p w14:paraId="4C806039" w14:textId="77777777" w:rsidR="007968EC" w:rsidRPr="00EB14DE" w:rsidRDefault="007968EC" w:rsidP="007968EC">
            <w:pPr>
              <w:jc w:val="both"/>
              <w:rPr>
                <w:rFonts w:ascii="Arial Narrow" w:eastAsia="Calibri" w:hAnsi="Arial Narrow"/>
                <w:b/>
                <w:color w:val="000000" w:themeColor="text1"/>
                <w:lang w:eastAsia="en-US"/>
              </w:rPr>
            </w:pPr>
            <w:r w:rsidRPr="00EB14DE">
              <w:rPr>
                <w:rFonts w:ascii="Arial Narrow" w:eastAsia="Calibri" w:hAnsi="Arial Narrow"/>
                <w:color w:val="000000" w:themeColor="text1"/>
                <w:lang w:eastAsia="en-US"/>
              </w:rPr>
              <w:t>Parámetros de Cálculo de Consecuencias Pecuniarias correspondientes a la suma a favor de la Cámara según el numeral 2, literal b) del artículo 2.8.10 del Reglamento de Funcionamiento.</w:t>
            </w:r>
          </w:p>
        </w:tc>
        <w:tc>
          <w:tcPr>
            <w:tcW w:w="6086" w:type="dxa"/>
            <w:shd w:val="clear" w:color="auto" w:fill="auto"/>
            <w:vAlign w:val="center"/>
            <w:hideMark/>
          </w:tcPr>
          <w:p w14:paraId="73F839C1" w14:textId="77777777" w:rsidR="007968EC" w:rsidRPr="00EB14DE" w:rsidRDefault="007968EC" w:rsidP="007968EC">
            <w:pPr>
              <w:jc w:val="both"/>
              <w:rPr>
                <w:rFonts w:ascii="Arial Narrow" w:eastAsia="Calibri" w:hAnsi="Arial Narrow"/>
                <w:b/>
                <w:color w:val="000000" w:themeColor="text1"/>
                <w:lang w:eastAsia="en-US"/>
              </w:rPr>
            </w:pPr>
            <w:r w:rsidRPr="00EB14DE">
              <w:rPr>
                <w:rFonts w:ascii="Arial Narrow" w:eastAsia="Calibri" w:hAnsi="Arial Narrow"/>
                <w:color w:val="000000" w:themeColor="text1"/>
                <w:lang w:eastAsia="en-US"/>
              </w:rPr>
              <w:t>Suma equivalente al 0.1% del valor de las acciones no entregadas, valoradas a Precio de Liquidación al Vencimiento del Activo.</w:t>
            </w:r>
          </w:p>
        </w:tc>
      </w:tr>
    </w:tbl>
    <w:p w14:paraId="07362AB2" w14:textId="77777777" w:rsidR="007968EC" w:rsidRPr="00EB14DE" w:rsidRDefault="007968EC" w:rsidP="007968EC">
      <w:pPr>
        <w:jc w:val="both"/>
        <w:rPr>
          <w:rFonts w:ascii="Arial Narrow" w:eastAsia="Calibri" w:hAnsi="Arial Narrow"/>
          <w:b/>
          <w:color w:val="000000" w:themeColor="text1"/>
          <w:lang w:eastAsia="en-US"/>
        </w:rPr>
      </w:pPr>
    </w:p>
    <w:p w14:paraId="441094E1" w14:textId="77777777" w:rsidR="007968EC" w:rsidRPr="00EB14DE" w:rsidRDefault="007968EC" w:rsidP="00DA7472">
      <w:pPr>
        <w:numPr>
          <w:ilvl w:val="0"/>
          <w:numId w:val="79"/>
        </w:numPr>
        <w:autoSpaceDE w:val="0"/>
        <w:autoSpaceDN w:val="0"/>
        <w:spacing w:after="160" w:line="259" w:lineRule="auto"/>
        <w:ind w:hanging="502"/>
        <w:contextualSpacing/>
        <w:jc w:val="both"/>
        <w:rPr>
          <w:rFonts w:ascii="Arial Narrow" w:eastAsia="Calibri" w:hAnsi="Arial Narrow"/>
          <w:b/>
          <w:color w:val="000000" w:themeColor="text1"/>
          <w:lang w:val="es-ES_tradnl" w:eastAsia="en-US"/>
        </w:rPr>
      </w:pPr>
      <w:proofErr w:type="gramStart"/>
      <w:r w:rsidRPr="00EB14DE">
        <w:rPr>
          <w:rFonts w:ascii="Arial Narrow" w:hAnsi="Arial Narrow" w:cs="Arial"/>
          <w:color w:val="000000" w:themeColor="text1"/>
          <w:lang w:val="es-ES" w:eastAsia="es-ES"/>
        </w:rPr>
        <w:t>Procedimiento a seguir</w:t>
      </w:r>
      <w:proofErr w:type="gramEnd"/>
      <w:r w:rsidRPr="00EB14DE">
        <w:rPr>
          <w:rFonts w:ascii="Arial Narrow" w:hAnsi="Arial Narrow" w:cs="Arial"/>
          <w:color w:val="000000" w:themeColor="text1"/>
          <w:lang w:val="es-ES" w:eastAsia="es-ES"/>
        </w:rPr>
        <w:t xml:space="preserve"> ante eventos corporativos que afecten Contratos de Futuro sobre Acciones del Índice COLCAP con Liquidación por Entrega. </w:t>
      </w:r>
      <w:r w:rsidRPr="00EB14DE">
        <w:rPr>
          <w:rFonts w:ascii="Arial Narrow" w:eastAsia="Calibri" w:hAnsi="Arial Narrow"/>
          <w:color w:val="000000" w:themeColor="text1"/>
          <w:lang w:val="es-ES_tradnl" w:eastAsia="en-US"/>
        </w:rPr>
        <w:t>En el caso de cualquier evento corporativo la Cámara surtirá el siguiente procedimiento:</w:t>
      </w:r>
    </w:p>
    <w:p w14:paraId="4B2C47A4" w14:textId="77777777" w:rsidR="007968EC" w:rsidRPr="00EB14DE" w:rsidRDefault="007968EC" w:rsidP="007968EC">
      <w:pPr>
        <w:contextualSpacing/>
        <w:jc w:val="both"/>
        <w:rPr>
          <w:rFonts w:ascii="Arial Narrow" w:eastAsia="Calibri" w:hAnsi="Arial Narrow"/>
          <w:b/>
          <w:color w:val="000000" w:themeColor="text1"/>
          <w:lang w:val="es-ES_tradnl" w:eastAsia="en-US"/>
        </w:rPr>
      </w:pPr>
    </w:p>
    <w:p w14:paraId="7CC5387D" w14:textId="77777777" w:rsidR="007968EC" w:rsidRPr="00EB14DE" w:rsidRDefault="007968EC" w:rsidP="00DA7472">
      <w:pPr>
        <w:numPr>
          <w:ilvl w:val="0"/>
          <w:numId w:val="63"/>
        </w:numPr>
        <w:spacing w:after="160" w:line="259" w:lineRule="auto"/>
        <w:contextualSpacing/>
        <w:jc w:val="both"/>
        <w:rPr>
          <w:rFonts w:ascii="Arial Narrow" w:eastAsia="Calibri" w:hAnsi="Arial Narrow"/>
          <w:b/>
          <w:color w:val="000000" w:themeColor="text1"/>
          <w:lang w:eastAsia="en-US"/>
        </w:rPr>
      </w:pPr>
      <w:r w:rsidRPr="00EB14DE">
        <w:rPr>
          <w:rFonts w:ascii="Arial Narrow" w:eastAsia="Calibri" w:hAnsi="Arial Narrow"/>
          <w:color w:val="000000" w:themeColor="text1"/>
          <w:lang w:val="es-ES_tradnl" w:eastAsia="en-US"/>
        </w:rPr>
        <w:t>BVC informará al mercado y a la Cámara el evento corporativo con todas las características necesarias para hacer los ajustes respectivos en las posiciones de cada uno de los Miembros y Terceros, mínimo con dos (2) días hábiles de anticipación a la ocurrencia del evento.</w:t>
      </w:r>
    </w:p>
    <w:p w14:paraId="3515126A" w14:textId="77777777" w:rsidR="007968EC" w:rsidRPr="00EB14DE" w:rsidRDefault="007968EC" w:rsidP="007968EC">
      <w:pPr>
        <w:ind w:left="720"/>
        <w:contextualSpacing/>
        <w:jc w:val="both"/>
        <w:rPr>
          <w:rFonts w:ascii="Arial Narrow" w:eastAsia="Calibri" w:hAnsi="Arial Narrow"/>
          <w:b/>
          <w:color w:val="000000" w:themeColor="text1"/>
          <w:lang w:eastAsia="en-US"/>
        </w:rPr>
      </w:pPr>
    </w:p>
    <w:p w14:paraId="047041DB" w14:textId="77777777" w:rsidR="007968EC" w:rsidRPr="00EB14DE" w:rsidRDefault="007968EC" w:rsidP="007968EC">
      <w:pPr>
        <w:ind w:left="720"/>
        <w:contextualSpacing/>
        <w:jc w:val="both"/>
        <w:rPr>
          <w:rFonts w:ascii="Arial Narrow" w:eastAsia="Calibri" w:hAnsi="Arial Narrow"/>
          <w:b/>
          <w:color w:val="000000" w:themeColor="text1"/>
          <w:lang w:val="es-ES_tradnl" w:eastAsia="en-US"/>
        </w:rPr>
      </w:pPr>
      <w:r w:rsidRPr="00EB14DE">
        <w:rPr>
          <w:rFonts w:ascii="Arial Narrow" w:eastAsia="Calibri" w:hAnsi="Arial Narrow"/>
          <w:color w:val="000000" w:themeColor="text1"/>
          <w:lang w:val="es-ES_tradnl" w:eastAsia="en-US"/>
        </w:rPr>
        <w:lastRenderedPageBreak/>
        <w:t>Las características mínimas que informará la BVC son: la fecha de materialización del evento, factor de conversión entre la acción antes del evento y la acción después del evento, tamaño del contrato antes y después del evento, precio del contrato antes y después del evento, el número de decimales que implica el ajuste de las posiciones y cualquier otra característica necesaria para que el titular de Cuenta y la Cámara puedan evaluar su impacto.</w:t>
      </w:r>
    </w:p>
    <w:p w14:paraId="619B1DC3" w14:textId="77777777" w:rsidR="007968EC" w:rsidRPr="00EB14DE" w:rsidRDefault="007968EC" w:rsidP="007968EC">
      <w:pPr>
        <w:jc w:val="both"/>
        <w:rPr>
          <w:rFonts w:ascii="Arial Narrow" w:eastAsia="Calibri" w:hAnsi="Arial Narrow"/>
          <w:b/>
          <w:color w:val="000000" w:themeColor="text1"/>
          <w:lang w:eastAsia="en-US"/>
        </w:rPr>
      </w:pPr>
    </w:p>
    <w:p w14:paraId="16D1AC51" w14:textId="77777777" w:rsidR="007968EC" w:rsidRPr="00EB14DE" w:rsidRDefault="007968EC" w:rsidP="00DA7472">
      <w:pPr>
        <w:numPr>
          <w:ilvl w:val="0"/>
          <w:numId w:val="63"/>
        </w:numPr>
        <w:spacing w:after="160" w:line="259" w:lineRule="auto"/>
        <w:contextualSpacing/>
        <w:jc w:val="both"/>
        <w:rPr>
          <w:rFonts w:ascii="Arial Narrow" w:eastAsia="Calibri" w:hAnsi="Arial Narrow"/>
          <w:b/>
          <w:color w:val="000000" w:themeColor="text1"/>
          <w:lang w:eastAsia="en-US"/>
        </w:rPr>
      </w:pPr>
      <w:r w:rsidRPr="00EB14DE">
        <w:rPr>
          <w:rFonts w:ascii="Arial Narrow" w:eastAsia="Calibri" w:hAnsi="Arial Narrow"/>
          <w:color w:val="000000" w:themeColor="text1"/>
          <w:lang w:val="es-ES_tradnl" w:eastAsia="en-US"/>
        </w:rPr>
        <w:t xml:space="preserve">En caso de no conocerse el evento con dos (2) días hábiles de anticipación, la Cámara podrá solicitar a la BVC que la negociación del Contrato de Futuro </w:t>
      </w:r>
      <w:r w:rsidRPr="00EB14DE">
        <w:rPr>
          <w:rFonts w:ascii="Arial Narrow" w:hAnsi="Arial Narrow" w:cs="Arial"/>
          <w:color w:val="000000" w:themeColor="text1"/>
          <w:lang w:val="es-ES" w:eastAsia="es-ES"/>
        </w:rPr>
        <w:t xml:space="preserve">sobre Acciones del Índice COLCAP con Liquidación por Entrega </w:t>
      </w:r>
      <w:r w:rsidRPr="00EB14DE">
        <w:rPr>
          <w:rFonts w:ascii="Arial Narrow" w:eastAsia="Calibri" w:hAnsi="Arial Narrow"/>
          <w:color w:val="000000" w:themeColor="text1"/>
          <w:lang w:val="es-ES_tradnl" w:eastAsia="en-US"/>
        </w:rPr>
        <w:t xml:space="preserve">sea suspendida temporalmente hasta por dos (2) días hábiles con el propósito de adoptar las medidas necesarias de ajuste de las posiciones en relación con el impacto del evento corporativo. </w:t>
      </w:r>
    </w:p>
    <w:p w14:paraId="04CC572D" w14:textId="77777777" w:rsidR="007968EC" w:rsidRPr="00EB14DE" w:rsidRDefault="007968EC" w:rsidP="007968EC">
      <w:pPr>
        <w:ind w:left="720"/>
        <w:contextualSpacing/>
        <w:jc w:val="both"/>
        <w:rPr>
          <w:rFonts w:ascii="Arial Narrow" w:eastAsia="Calibri" w:hAnsi="Arial Narrow"/>
          <w:b/>
          <w:color w:val="000000" w:themeColor="text1"/>
          <w:lang w:eastAsia="en-US"/>
        </w:rPr>
      </w:pPr>
    </w:p>
    <w:p w14:paraId="2E391238" w14:textId="77777777" w:rsidR="007968EC" w:rsidRPr="00EB14DE" w:rsidRDefault="007968EC" w:rsidP="00DA7472">
      <w:pPr>
        <w:numPr>
          <w:ilvl w:val="0"/>
          <w:numId w:val="63"/>
        </w:numPr>
        <w:spacing w:after="160" w:line="259" w:lineRule="auto"/>
        <w:contextualSpacing/>
        <w:jc w:val="both"/>
        <w:rPr>
          <w:rFonts w:ascii="Arial Narrow" w:eastAsia="Calibri" w:hAnsi="Arial Narrow"/>
          <w:b/>
          <w:color w:val="000000" w:themeColor="text1"/>
          <w:lang w:val="es-ES_tradnl" w:eastAsia="en-US"/>
        </w:rPr>
      </w:pPr>
      <w:r w:rsidRPr="00EB14DE">
        <w:rPr>
          <w:rFonts w:ascii="Arial Narrow" w:eastAsia="Calibri" w:hAnsi="Arial Narrow"/>
          <w:color w:val="000000" w:themeColor="text1"/>
          <w:lang w:val="es-ES_tradnl" w:eastAsia="en-US"/>
        </w:rPr>
        <w:t>La Cámara y la BVC coordinarán las gestiones operativas que deban desarrollar para resolver los eventos corporativos incluyendo la creación de nuevos nemotécnicos, la realización de operaciones y el truncamiento o la aproximación de los parámetros de negociación resultantes del evento corporativo, entre otras medidas operativas que se estimen necesarias.</w:t>
      </w:r>
    </w:p>
    <w:p w14:paraId="5E7CC303" w14:textId="77777777" w:rsidR="007968EC" w:rsidRPr="00EB14DE" w:rsidRDefault="007968EC" w:rsidP="007968EC">
      <w:pPr>
        <w:contextualSpacing/>
        <w:jc w:val="both"/>
        <w:rPr>
          <w:rFonts w:ascii="Arial Narrow" w:eastAsia="Calibri" w:hAnsi="Arial Narrow"/>
          <w:b/>
          <w:color w:val="000000" w:themeColor="text1"/>
          <w:lang w:val="es-ES_tradnl" w:eastAsia="en-US"/>
        </w:rPr>
      </w:pPr>
    </w:p>
    <w:p w14:paraId="73522DAB" w14:textId="77777777" w:rsidR="007968EC" w:rsidRPr="00EB14DE" w:rsidRDefault="007968EC" w:rsidP="00DA7472">
      <w:pPr>
        <w:numPr>
          <w:ilvl w:val="0"/>
          <w:numId w:val="63"/>
        </w:numPr>
        <w:spacing w:after="160" w:line="259" w:lineRule="auto"/>
        <w:contextualSpacing/>
        <w:jc w:val="both"/>
        <w:rPr>
          <w:rFonts w:ascii="Arial Narrow" w:eastAsia="Calibri" w:hAnsi="Arial Narrow"/>
          <w:b/>
          <w:color w:val="000000" w:themeColor="text1"/>
          <w:lang w:eastAsia="en-US"/>
        </w:rPr>
      </w:pPr>
      <w:r w:rsidRPr="00EB14DE">
        <w:rPr>
          <w:rFonts w:ascii="Arial Narrow" w:eastAsia="Calibri" w:hAnsi="Arial Narrow"/>
          <w:color w:val="000000" w:themeColor="text1"/>
          <w:lang w:eastAsia="en-US"/>
        </w:rPr>
        <w:t>La Cámara procederá a efectuar las gestiones operativas previamente coordinadas con la BVC con el fin de ajustar la posición de l</w:t>
      </w:r>
      <w:r w:rsidRPr="00EB14DE">
        <w:rPr>
          <w:rFonts w:ascii="Arial Narrow" w:eastAsia="Calibri" w:hAnsi="Arial Narrow"/>
          <w:color w:val="000000" w:themeColor="text1"/>
          <w:lang w:val="es-ES_tradnl" w:eastAsia="en-US"/>
        </w:rPr>
        <w:t xml:space="preserve">os Contratos de Futuro </w:t>
      </w:r>
      <w:r w:rsidRPr="00EB14DE">
        <w:rPr>
          <w:rFonts w:ascii="Arial Narrow" w:hAnsi="Arial Narrow" w:cs="Arial"/>
          <w:color w:val="000000" w:themeColor="text1"/>
          <w:lang w:val="es-ES" w:eastAsia="es-ES"/>
        </w:rPr>
        <w:t xml:space="preserve">sobre Acciones del Índice COLCAP con Liquidación por Entrega </w:t>
      </w:r>
      <w:r w:rsidRPr="00EB14DE">
        <w:rPr>
          <w:rFonts w:ascii="Arial Narrow" w:eastAsia="Calibri" w:hAnsi="Arial Narrow"/>
          <w:color w:val="000000" w:themeColor="text1"/>
          <w:lang w:val="es-ES_tradnl" w:eastAsia="en-US"/>
        </w:rPr>
        <w:t>de cada uno de los Miembros y de los Terceros,</w:t>
      </w:r>
      <w:r w:rsidRPr="00EB14DE">
        <w:rPr>
          <w:rFonts w:ascii="Arial Narrow" w:eastAsia="Calibri" w:hAnsi="Arial Narrow"/>
          <w:color w:val="000000" w:themeColor="text1"/>
          <w:lang w:eastAsia="en-US"/>
        </w:rPr>
        <w:t xml:space="preserve"> </w:t>
      </w:r>
      <w:r w:rsidRPr="00EB14DE">
        <w:rPr>
          <w:rFonts w:ascii="Arial Narrow" w:eastAsia="Calibri" w:hAnsi="Arial Narrow"/>
          <w:color w:val="000000" w:themeColor="text1"/>
          <w:lang w:val="es-ES_tradnl" w:eastAsia="en-US"/>
        </w:rPr>
        <w:t>como consecuencia del evento corporativo</w:t>
      </w:r>
      <w:r w:rsidRPr="00EB14DE">
        <w:rPr>
          <w:rFonts w:ascii="Arial Narrow" w:eastAsia="Calibri" w:hAnsi="Arial Narrow"/>
          <w:color w:val="000000" w:themeColor="text1"/>
          <w:lang w:eastAsia="en-US"/>
        </w:rPr>
        <w:t>.</w:t>
      </w:r>
    </w:p>
    <w:p w14:paraId="32AEE252" w14:textId="77777777" w:rsidR="007968EC" w:rsidRPr="00EB14DE" w:rsidRDefault="007968EC" w:rsidP="007968EC">
      <w:pPr>
        <w:contextualSpacing/>
        <w:jc w:val="both"/>
        <w:rPr>
          <w:rFonts w:ascii="Arial Narrow" w:eastAsia="Calibri" w:hAnsi="Arial Narrow"/>
          <w:b/>
          <w:color w:val="000000" w:themeColor="text1"/>
          <w:lang w:eastAsia="en-US"/>
        </w:rPr>
      </w:pPr>
    </w:p>
    <w:p w14:paraId="7A2D3E86" w14:textId="77777777" w:rsidR="007968EC" w:rsidRPr="00EB14DE" w:rsidRDefault="007968EC" w:rsidP="00DA7472">
      <w:pPr>
        <w:numPr>
          <w:ilvl w:val="0"/>
          <w:numId w:val="63"/>
        </w:numPr>
        <w:spacing w:after="160" w:line="259" w:lineRule="auto"/>
        <w:contextualSpacing/>
        <w:jc w:val="both"/>
        <w:rPr>
          <w:rFonts w:ascii="Arial Narrow" w:eastAsia="Calibri" w:hAnsi="Arial Narrow"/>
          <w:color w:val="000000" w:themeColor="text1"/>
          <w:lang w:eastAsia="en-US"/>
        </w:rPr>
      </w:pPr>
      <w:r w:rsidRPr="00EB14DE">
        <w:rPr>
          <w:rFonts w:ascii="Arial Narrow" w:eastAsia="Calibri" w:hAnsi="Arial Narrow"/>
          <w:color w:val="000000" w:themeColor="text1"/>
          <w:lang w:val="es-ES_tradnl" w:eastAsia="en-US"/>
        </w:rPr>
        <w:t xml:space="preserve">La Cámara temporalmente tendrá publicado en el Sistema dos nemotécnicos, la BVC informará con suficiente anticipación al mercado el nemotécnico que será negociable, al igual que las fechas en que será suspendido el nemotécnico que dejará de ser negociado. </w:t>
      </w:r>
    </w:p>
    <w:p w14:paraId="34C4999C" w14:textId="77777777" w:rsidR="007968EC" w:rsidRPr="00EB14DE" w:rsidRDefault="007968EC" w:rsidP="007968EC">
      <w:pPr>
        <w:contextualSpacing/>
        <w:jc w:val="both"/>
        <w:rPr>
          <w:rFonts w:ascii="Arial Narrow" w:eastAsia="Calibri" w:hAnsi="Arial Narrow"/>
          <w:color w:val="000000" w:themeColor="text1"/>
          <w:lang w:eastAsia="en-US"/>
        </w:rPr>
      </w:pPr>
    </w:p>
    <w:p w14:paraId="7545C41E" w14:textId="77777777" w:rsidR="007968EC" w:rsidRPr="00EB14DE" w:rsidRDefault="007968EC" w:rsidP="00DA7472">
      <w:pPr>
        <w:numPr>
          <w:ilvl w:val="0"/>
          <w:numId w:val="63"/>
        </w:numPr>
        <w:spacing w:after="160" w:line="259" w:lineRule="auto"/>
        <w:contextualSpacing/>
        <w:jc w:val="both"/>
        <w:rPr>
          <w:rFonts w:ascii="Arial Narrow" w:eastAsia="Calibri" w:hAnsi="Arial Narrow"/>
          <w:color w:val="000000" w:themeColor="text1"/>
          <w:lang w:val="es-ES_tradnl" w:eastAsia="en-US"/>
        </w:rPr>
      </w:pPr>
      <w:r w:rsidRPr="00EB14DE">
        <w:rPr>
          <w:rFonts w:ascii="Arial Narrow" w:eastAsia="Calibri" w:hAnsi="Arial Narrow"/>
          <w:color w:val="000000" w:themeColor="text1"/>
          <w:lang w:val="es-ES_tradnl" w:eastAsia="en-US"/>
        </w:rPr>
        <w:t xml:space="preserve">La Cámara anunciará a los Miembros Liquidadores el resultado de sus posiciones y de las de sus Terceros y Miembros no Liquidadores y de las de los Terceros de éstos, después de realizar los ajustes que ocasiona el evento corporativo, previo al inicio de la negociación de los Contratos de Futuro </w:t>
      </w:r>
      <w:r w:rsidRPr="00EB14DE">
        <w:rPr>
          <w:rFonts w:ascii="Arial Narrow" w:hAnsi="Arial Narrow" w:cs="Arial"/>
          <w:color w:val="000000" w:themeColor="text1"/>
          <w:lang w:val="es-ES" w:eastAsia="es-ES"/>
        </w:rPr>
        <w:t xml:space="preserve">sobre Acciones del Índice COLCAP con Liquidación por Entrega </w:t>
      </w:r>
      <w:r w:rsidRPr="00EB14DE">
        <w:rPr>
          <w:rFonts w:ascii="Arial Narrow" w:eastAsia="Calibri" w:hAnsi="Arial Narrow"/>
          <w:color w:val="000000" w:themeColor="text1"/>
          <w:lang w:val="es-ES_tradnl" w:eastAsia="en-US"/>
        </w:rPr>
        <w:t>ajustados por el evento corporativo.</w:t>
      </w:r>
    </w:p>
    <w:p w14:paraId="1081B9EC" w14:textId="77777777" w:rsidR="007968EC" w:rsidRPr="00EB14DE" w:rsidRDefault="007968EC" w:rsidP="007968EC">
      <w:pPr>
        <w:ind w:left="720"/>
        <w:contextualSpacing/>
        <w:rPr>
          <w:rFonts w:ascii="Arial Narrow" w:eastAsia="Calibri" w:hAnsi="Arial Narrow"/>
          <w:color w:val="000000" w:themeColor="text1"/>
          <w:lang w:val="es-ES_tradnl" w:eastAsia="en-US"/>
        </w:rPr>
      </w:pPr>
    </w:p>
    <w:p w14:paraId="5BC6527F" w14:textId="77777777" w:rsidR="007968EC" w:rsidRPr="00EB14DE" w:rsidRDefault="007968EC" w:rsidP="00DA7472">
      <w:pPr>
        <w:numPr>
          <w:ilvl w:val="0"/>
          <w:numId w:val="79"/>
        </w:numPr>
        <w:autoSpaceDE w:val="0"/>
        <w:autoSpaceDN w:val="0"/>
        <w:spacing w:after="160" w:line="259" w:lineRule="auto"/>
        <w:ind w:hanging="502"/>
        <w:contextualSpacing/>
        <w:jc w:val="both"/>
        <w:rPr>
          <w:rFonts w:ascii="Arial Narrow" w:eastAsia="Calibri" w:hAnsi="Arial Narrow"/>
          <w:bCs/>
          <w:color w:val="000000" w:themeColor="text1"/>
          <w:lang w:eastAsia="en-US"/>
        </w:rPr>
      </w:pPr>
      <w:r w:rsidRPr="00EB14DE">
        <w:rPr>
          <w:rFonts w:ascii="Arial Narrow" w:eastAsia="Calibri" w:hAnsi="Arial Narrow"/>
          <w:bCs/>
          <w:color w:val="000000" w:themeColor="text1"/>
          <w:lang w:val="es-ES_tradnl" w:eastAsia="en-US"/>
        </w:rPr>
        <w:t>Activos recibidos en garantía: S</w:t>
      </w:r>
      <w:proofErr w:type="spellStart"/>
      <w:r w:rsidRPr="00EB14DE">
        <w:rPr>
          <w:rFonts w:ascii="Arial Narrow" w:eastAsia="Calibri" w:hAnsi="Arial Narrow"/>
          <w:bCs/>
          <w:color w:val="000000" w:themeColor="text1"/>
          <w:lang w:eastAsia="en-US"/>
        </w:rPr>
        <w:t>e</w:t>
      </w:r>
      <w:proofErr w:type="spellEnd"/>
      <w:r w:rsidRPr="00EB14DE">
        <w:rPr>
          <w:rFonts w:ascii="Arial Narrow" w:eastAsia="Calibri" w:hAnsi="Arial Narrow"/>
          <w:bCs/>
          <w:color w:val="000000" w:themeColor="text1"/>
          <w:lang w:eastAsia="en-US"/>
        </w:rPr>
        <w:t xml:space="preserve"> podrán constituir como Garantía por posición para garantizar Posiciones Abiertas en el Contrato de Futuros </w:t>
      </w:r>
      <w:r w:rsidRPr="00EB14DE">
        <w:rPr>
          <w:rFonts w:ascii="Arial Narrow" w:hAnsi="Arial Narrow" w:cs="Arial"/>
          <w:color w:val="000000" w:themeColor="text1"/>
          <w:lang w:val="es-ES" w:eastAsia="es-ES"/>
        </w:rPr>
        <w:t>sobre Acciones del Índice COLCAP con Liquidación por Entrega</w:t>
      </w:r>
      <w:r w:rsidRPr="00EB14DE">
        <w:rPr>
          <w:rFonts w:ascii="Arial Narrow" w:eastAsia="Calibri" w:hAnsi="Arial Narrow"/>
          <w:bCs/>
          <w:color w:val="000000" w:themeColor="text1"/>
          <w:lang w:eastAsia="en-US"/>
        </w:rPr>
        <w:t>, acciones que sean Activo Subyacente de un Contrato de Derivado cuyas operaciones sean susceptibles de ser Aceptadas por la Cámara.</w:t>
      </w:r>
    </w:p>
    <w:p w14:paraId="6257C214" w14:textId="77777777" w:rsidR="007968EC" w:rsidRPr="00EB14DE" w:rsidRDefault="007968EC" w:rsidP="007968EC">
      <w:pPr>
        <w:autoSpaceDE w:val="0"/>
        <w:autoSpaceDN w:val="0"/>
        <w:ind w:left="644"/>
        <w:contextualSpacing/>
        <w:jc w:val="both"/>
        <w:rPr>
          <w:rFonts w:ascii="Arial Narrow" w:eastAsia="Calibri" w:hAnsi="Arial Narrow"/>
          <w:bCs/>
          <w:color w:val="000000" w:themeColor="text1"/>
          <w:lang w:eastAsia="en-US"/>
        </w:rPr>
      </w:pPr>
    </w:p>
    <w:p w14:paraId="5BBD6157" w14:textId="77777777" w:rsidR="007968EC" w:rsidRPr="00EB14DE" w:rsidRDefault="007968EC" w:rsidP="007968EC">
      <w:pPr>
        <w:autoSpaceDE w:val="0"/>
        <w:autoSpaceDN w:val="0"/>
        <w:ind w:left="644"/>
        <w:jc w:val="both"/>
        <w:rPr>
          <w:rFonts w:ascii="Arial Narrow" w:eastAsia="Calibri" w:hAnsi="Arial Narrow"/>
          <w:bCs/>
          <w:color w:val="000000" w:themeColor="text1"/>
          <w:lang w:eastAsia="en-US"/>
        </w:rPr>
      </w:pPr>
      <w:r w:rsidRPr="00EB14DE">
        <w:rPr>
          <w:rFonts w:ascii="Arial Narrow" w:eastAsia="Calibri" w:hAnsi="Arial Narrow"/>
          <w:bCs/>
          <w:color w:val="000000" w:themeColor="text1"/>
          <w:lang w:eastAsia="en-US"/>
        </w:rPr>
        <w:t xml:space="preserve">Para que las acciones depositadas en la Cámara como Garantía por Posición de una Posición Abierta en Contratos de Futuros </w:t>
      </w:r>
      <w:r w:rsidRPr="00EB14DE">
        <w:rPr>
          <w:rFonts w:ascii="Arial Narrow" w:hAnsi="Arial Narrow" w:cs="Arial"/>
          <w:color w:val="000000" w:themeColor="text1"/>
          <w:lang w:val="es-ES" w:eastAsia="es-ES"/>
        </w:rPr>
        <w:t xml:space="preserve">sobre Acciones del Índice COLCAP con Liquidación por Entrega </w:t>
      </w:r>
      <w:r w:rsidRPr="00EB14DE">
        <w:rPr>
          <w:rFonts w:ascii="Arial Narrow" w:eastAsia="Calibri" w:hAnsi="Arial Narrow"/>
          <w:bCs/>
          <w:color w:val="000000" w:themeColor="text1"/>
          <w:lang w:eastAsia="en-US"/>
        </w:rPr>
        <w:t xml:space="preserve">computen </w:t>
      </w:r>
      <w:r w:rsidRPr="00EB14DE">
        <w:rPr>
          <w:rFonts w:ascii="Arial Narrow" w:eastAsia="Calibri" w:hAnsi="Arial Narrow"/>
          <w:bCs/>
          <w:color w:val="000000" w:themeColor="text1"/>
          <w:lang w:eastAsia="en-US"/>
        </w:rPr>
        <w:lastRenderedPageBreak/>
        <w:t>para el cálculo del Riesgo por Operativa Diaria Cliente/Titular, el titular de la Cuenta deberá cumplir con los siguientes requisitos:</w:t>
      </w:r>
    </w:p>
    <w:p w14:paraId="0B4C2BE9" w14:textId="77777777" w:rsidR="007968EC" w:rsidRPr="00EB14DE" w:rsidRDefault="007968EC" w:rsidP="007968EC">
      <w:pPr>
        <w:autoSpaceDE w:val="0"/>
        <w:autoSpaceDN w:val="0"/>
        <w:ind w:left="708" w:hanging="708"/>
        <w:jc w:val="both"/>
        <w:rPr>
          <w:rFonts w:ascii="Arial Narrow" w:eastAsia="Calibri" w:hAnsi="Arial Narrow"/>
          <w:bCs/>
          <w:color w:val="000000" w:themeColor="text1"/>
          <w:lang w:eastAsia="en-US"/>
        </w:rPr>
      </w:pPr>
    </w:p>
    <w:p w14:paraId="043D534E" w14:textId="77777777" w:rsidR="007968EC" w:rsidRPr="00EB14DE" w:rsidRDefault="007968EC" w:rsidP="00DA7472">
      <w:pPr>
        <w:numPr>
          <w:ilvl w:val="0"/>
          <w:numId w:val="220"/>
        </w:numPr>
        <w:autoSpaceDE w:val="0"/>
        <w:autoSpaceDN w:val="0"/>
        <w:spacing w:after="160" w:line="259" w:lineRule="auto"/>
        <w:jc w:val="both"/>
        <w:rPr>
          <w:rFonts w:ascii="Arial Narrow" w:eastAsia="Calibri" w:hAnsi="Arial Narrow"/>
          <w:bCs/>
          <w:color w:val="000000" w:themeColor="text1"/>
          <w:lang w:eastAsia="en-US"/>
        </w:rPr>
      </w:pPr>
      <w:r w:rsidRPr="00EB14DE">
        <w:rPr>
          <w:rFonts w:ascii="Arial Narrow" w:eastAsia="Calibri" w:hAnsi="Arial Narrow"/>
          <w:bCs/>
          <w:color w:val="000000" w:themeColor="text1"/>
          <w:lang w:eastAsia="en-US"/>
        </w:rPr>
        <w:t xml:space="preserve">La cuenta cuyas Posiciones Abiertas pretendan garantizarse deberá destinarse exclusivamente al registro de operaciones de contratos de Futuros sobre </w:t>
      </w:r>
      <w:r w:rsidRPr="00EB14DE">
        <w:rPr>
          <w:rFonts w:ascii="Arial Narrow" w:hAnsi="Arial Narrow" w:cs="Arial"/>
          <w:color w:val="000000" w:themeColor="text1"/>
          <w:lang w:val="es-ES" w:eastAsia="es-ES"/>
        </w:rPr>
        <w:t xml:space="preserve">Acciones del Índice COLCAP con Liquidación por Entrega, </w:t>
      </w:r>
      <w:r w:rsidRPr="00EB14DE">
        <w:rPr>
          <w:rFonts w:ascii="Arial Narrow" w:eastAsia="Calibri" w:hAnsi="Arial Narrow"/>
          <w:bCs/>
          <w:color w:val="000000" w:themeColor="text1"/>
          <w:lang w:eastAsia="en-US"/>
        </w:rPr>
        <w:t>Contratos de Futuros Índice Accionario COLCAP y Mini Contrato de Futuro Índice Accionario COLCAP.</w:t>
      </w:r>
    </w:p>
    <w:p w14:paraId="3FB179A7" w14:textId="77777777" w:rsidR="007968EC" w:rsidRPr="00EB14DE" w:rsidRDefault="007968EC" w:rsidP="007968EC">
      <w:pPr>
        <w:autoSpaceDE w:val="0"/>
        <w:autoSpaceDN w:val="0"/>
        <w:ind w:left="1065"/>
        <w:jc w:val="both"/>
        <w:rPr>
          <w:rFonts w:ascii="Arial Narrow" w:eastAsia="Calibri" w:hAnsi="Arial Narrow"/>
          <w:bCs/>
          <w:color w:val="000000" w:themeColor="text1"/>
          <w:lang w:eastAsia="en-US"/>
        </w:rPr>
      </w:pPr>
    </w:p>
    <w:p w14:paraId="1694DCDA" w14:textId="77777777" w:rsidR="007968EC" w:rsidRPr="00EB14DE" w:rsidRDefault="007968EC" w:rsidP="00DA7472">
      <w:pPr>
        <w:numPr>
          <w:ilvl w:val="0"/>
          <w:numId w:val="220"/>
        </w:numPr>
        <w:autoSpaceDE w:val="0"/>
        <w:autoSpaceDN w:val="0"/>
        <w:spacing w:after="160" w:line="259" w:lineRule="auto"/>
        <w:jc w:val="both"/>
        <w:rPr>
          <w:rFonts w:ascii="Arial Narrow" w:eastAsia="Calibri" w:hAnsi="Arial Narrow"/>
          <w:bCs/>
          <w:color w:val="000000" w:themeColor="text1"/>
          <w:lang w:eastAsia="en-US"/>
        </w:rPr>
      </w:pPr>
      <w:r w:rsidRPr="00EB14DE">
        <w:rPr>
          <w:rFonts w:ascii="Arial Narrow" w:eastAsia="Calibri" w:hAnsi="Arial Narrow"/>
          <w:bCs/>
          <w:color w:val="000000" w:themeColor="text1"/>
          <w:lang w:eastAsia="en-US"/>
        </w:rPr>
        <w:t xml:space="preserve">El Administrador del Miembro deberá informar a través del SAS que la Cuenta se destinará al registro exclusivo de Operaciones de Contratos de Futuros sobre </w:t>
      </w:r>
      <w:r w:rsidRPr="00EB14DE">
        <w:rPr>
          <w:rFonts w:ascii="Arial Narrow" w:hAnsi="Arial Narrow" w:cs="Arial"/>
          <w:color w:val="000000" w:themeColor="text1"/>
          <w:lang w:val="es-ES" w:eastAsia="es-ES"/>
        </w:rPr>
        <w:t xml:space="preserve">Acciones del Índice COLCAP con Liquidación por Entrega, </w:t>
      </w:r>
      <w:r w:rsidRPr="00EB14DE">
        <w:rPr>
          <w:rFonts w:ascii="Arial Narrow" w:eastAsia="Calibri" w:hAnsi="Arial Narrow"/>
          <w:bCs/>
          <w:color w:val="000000" w:themeColor="text1"/>
          <w:lang w:eastAsia="en-US"/>
        </w:rPr>
        <w:t>Contratos de Futuros Índice Accionario COLCAP y Mini Contrato de Futuro Índice Accionario COLCAP.</w:t>
      </w:r>
    </w:p>
    <w:p w14:paraId="67E96139" w14:textId="77777777" w:rsidR="007968EC" w:rsidRPr="00EB14DE" w:rsidRDefault="007968EC" w:rsidP="007968EC">
      <w:pPr>
        <w:ind w:left="708"/>
        <w:jc w:val="both"/>
        <w:rPr>
          <w:rFonts w:ascii="Arial Narrow" w:eastAsia="Calibri" w:hAnsi="Arial Narrow"/>
          <w:bCs/>
          <w:color w:val="000000" w:themeColor="text1"/>
          <w:lang w:eastAsia="es-CO"/>
        </w:rPr>
      </w:pPr>
    </w:p>
    <w:p w14:paraId="7F43B33A" w14:textId="77777777" w:rsidR="007968EC" w:rsidRPr="00EB14DE" w:rsidRDefault="007968EC" w:rsidP="00DA7472">
      <w:pPr>
        <w:numPr>
          <w:ilvl w:val="0"/>
          <w:numId w:val="220"/>
        </w:numPr>
        <w:autoSpaceDE w:val="0"/>
        <w:autoSpaceDN w:val="0"/>
        <w:spacing w:after="160" w:line="259" w:lineRule="auto"/>
        <w:jc w:val="both"/>
        <w:rPr>
          <w:rFonts w:ascii="Arial Narrow" w:eastAsia="Calibri" w:hAnsi="Arial Narrow"/>
          <w:bCs/>
          <w:color w:val="000000" w:themeColor="text1"/>
          <w:lang w:eastAsia="es-CO"/>
        </w:rPr>
      </w:pPr>
      <w:r w:rsidRPr="00EB14DE">
        <w:rPr>
          <w:rFonts w:ascii="Arial Narrow" w:eastAsia="Calibri" w:hAnsi="Arial Narrow"/>
          <w:bCs/>
          <w:color w:val="000000" w:themeColor="text1"/>
          <w:lang w:eastAsia="es-CO"/>
        </w:rPr>
        <w:t>El límite máximo de Garantías por Posición a constituir en acciones para cubrir los requerimientos de Garantías por Posición de la respectiva Cuenta calculado por la Cámara será aquel que represente el 30% del promedio diario del valor negociado en el mercado de contado de la acción correspondiente durante el mes inmediatamente anterior.</w:t>
      </w:r>
    </w:p>
    <w:p w14:paraId="633FAB02" w14:textId="77777777" w:rsidR="007968EC" w:rsidRPr="00EB14DE" w:rsidRDefault="007968EC" w:rsidP="007968EC">
      <w:pPr>
        <w:autoSpaceDE w:val="0"/>
        <w:autoSpaceDN w:val="0"/>
        <w:ind w:left="360"/>
        <w:jc w:val="both"/>
        <w:rPr>
          <w:rFonts w:ascii="Arial Narrow" w:eastAsia="Calibri" w:hAnsi="Arial Narrow"/>
          <w:bCs/>
          <w:color w:val="000000" w:themeColor="text1"/>
          <w:lang w:eastAsia="en-US"/>
        </w:rPr>
      </w:pPr>
    </w:p>
    <w:p w14:paraId="1C905E25" w14:textId="77777777" w:rsidR="007968EC" w:rsidRPr="00EB14DE" w:rsidRDefault="007968EC" w:rsidP="007968EC">
      <w:pPr>
        <w:autoSpaceDE w:val="0"/>
        <w:autoSpaceDN w:val="0"/>
        <w:ind w:left="1065"/>
        <w:jc w:val="both"/>
        <w:rPr>
          <w:rFonts w:ascii="Arial Narrow" w:eastAsia="Calibri" w:hAnsi="Arial Narrow"/>
          <w:bCs/>
          <w:color w:val="000000" w:themeColor="text1"/>
          <w:lang w:eastAsia="en-US"/>
        </w:rPr>
      </w:pPr>
      <w:r w:rsidRPr="00EB14DE">
        <w:rPr>
          <w:rFonts w:ascii="Arial Narrow" w:eastAsia="Calibri" w:hAnsi="Arial Narrow"/>
          <w:bCs/>
          <w:color w:val="000000" w:themeColor="text1"/>
          <w:lang w:eastAsia="en-US"/>
        </w:rPr>
        <w:t>El cálculo del límite se hará frente a la sumatoria de las acciones constituidas como Garantías por Posición de todas las Cuentas de la estructura de Cuentas de un Miembro Liquidador en el presente Segmento.</w:t>
      </w:r>
    </w:p>
    <w:p w14:paraId="697872ED" w14:textId="77777777" w:rsidR="007968EC" w:rsidRPr="00EB14DE" w:rsidRDefault="007968EC" w:rsidP="007968EC">
      <w:pPr>
        <w:autoSpaceDE w:val="0"/>
        <w:autoSpaceDN w:val="0"/>
        <w:ind w:left="284" w:hanging="284"/>
        <w:jc w:val="both"/>
        <w:rPr>
          <w:rFonts w:ascii="Arial Narrow" w:eastAsia="Calibri" w:hAnsi="Arial Narrow"/>
          <w:color w:val="000000" w:themeColor="text1"/>
          <w:lang w:eastAsia="en-US"/>
        </w:rPr>
      </w:pPr>
    </w:p>
    <w:p w14:paraId="4CDDE4DC" w14:textId="77777777" w:rsidR="007968EC" w:rsidRPr="00EB14DE" w:rsidRDefault="007968EC" w:rsidP="007968EC">
      <w:pPr>
        <w:autoSpaceDE w:val="0"/>
        <w:autoSpaceDN w:val="0"/>
        <w:ind w:left="1065"/>
        <w:jc w:val="both"/>
        <w:rPr>
          <w:rFonts w:ascii="Arial Narrow" w:eastAsia="Calibri" w:hAnsi="Arial Narrow"/>
          <w:bCs/>
          <w:color w:val="000000" w:themeColor="text1"/>
          <w:lang w:eastAsia="en-US"/>
        </w:rPr>
      </w:pPr>
      <w:r w:rsidRPr="00EB14DE">
        <w:rPr>
          <w:rFonts w:ascii="Arial Narrow" w:eastAsia="Calibri" w:hAnsi="Arial Narrow"/>
          <w:bCs/>
          <w:color w:val="000000" w:themeColor="text1"/>
          <w:lang w:eastAsia="en-US"/>
        </w:rPr>
        <w:t xml:space="preserve">En el evento en que el titular de Cuenta registre operaciones distintas a operaciones de Contratos de Futuros sobre </w:t>
      </w:r>
      <w:r w:rsidRPr="00EB14DE">
        <w:rPr>
          <w:rFonts w:ascii="Arial Narrow" w:hAnsi="Arial Narrow" w:cs="Arial"/>
          <w:color w:val="000000" w:themeColor="text1"/>
          <w:lang w:val="es-ES" w:eastAsia="es-ES"/>
        </w:rPr>
        <w:t xml:space="preserve">Acciones del Índice COLCAP con Liquidación por Entrega, </w:t>
      </w:r>
      <w:r w:rsidRPr="00EB14DE">
        <w:rPr>
          <w:rFonts w:ascii="Arial Narrow" w:eastAsia="Calibri" w:hAnsi="Arial Narrow"/>
          <w:bCs/>
          <w:color w:val="000000" w:themeColor="text1"/>
          <w:lang w:eastAsia="en-US"/>
        </w:rPr>
        <w:t xml:space="preserve">Contratos de Futuros Índice Accionario COLCAP y Mini Contrato de Futuro Índice Accionario COLCAP,  las acciones entregadas como garantía sólo computarán para el cálculo de la Garantía por Posición exigida, si antes de finalizar la Sesión de Cierre de Cámara del mismo día en que se registraron dichas Operaciones, el titular de la Cuenta realiza el cierre de tales Posiciones Abiertas, o realiza alguno de los tipos de gestión de Operaciones indicados en la presente Circular. </w:t>
      </w:r>
    </w:p>
    <w:p w14:paraId="77A1A1F0" w14:textId="77777777" w:rsidR="007968EC" w:rsidRPr="00EB14DE" w:rsidRDefault="007968EC" w:rsidP="007968EC">
      <w:pPr>
        <w:autoSpaceDE w:val="0"/>
        <w:autoSpaceDN w:val="0"/>
        <w:ind w:left="1065"/>
        <w:jc w:val="both"/>
        <w:rPr>
          <w:rFonts w:ascii="Arial Narrow" w:eastAsia="Calibri" w:hAnsi="Arial Narrow"/>
          <w:bCs/>
          <w:color w:val="000000" w:themeColor="text1"/>
          <w:lang w:eastAsia="en-US"/>
        </w:rPr>
      </w:pPr>
    </w:p>
    <w:p w14:paraId="0ECE621C" w14:textId="77777777" w:rsidR="007968EC" w:rsidRPr="00EB14DE" w:rsidRDefault="007968EC" w:rsidP="007968EC">
      <w:pPr>
        <w:autoSpaceDE w:val="0"/>
        <w:autoSpaceDN w:val="0"/>
        <w:ind w:left="1065"/>
        <w:jc w:val="both"/>
        <w:rPr>
          <w:rFonts w:ascii="Arial Narrow" w:eastAsia="Calibri" w:hAnsi="Arial Narrow"/>
          <w:bCs/>
          <w:color w:val="000000" w:themeColor="text1"/>
          <w:lang w:eastAsia="en-US"/>
        </w:rPr>
      </w:pPr>
      <w:r w:rsidRPr="00EB14DE">
        <w:rPr>
          <w:rFonts w:ascii="Arial Narrow" w:eastAsia="Calibri" w:hAnsi="Arial Narrow"/>
          <w:bCs/>
          <w:color w:val="000000" w:themeColor="text1"/>
          <w:lang w:eastAsia="en-US"/>
        </w:rPr>
        <w:t>En caso contrario, el titular de la Cuenta deberá constituir las garantías exigidas en los Activos indicados en los numerales 1 y 2 del artículo1.6.4.1. de la presenta Circular.</w:t>
      </w:r>
    </w:p>
    <w:p w14:paraId="1E9691A2" w14:textId="77777777" w:rsidR="007968EC" w:rsidRPr="00EB14DE" w:rsidRDefault="007968EC" w:rsidP="007968EC">
      <w:pPr>
        <w:autoSpaceDE w:val="0"/>
        <w:autoSpaceDN w:val="0"/>
        <w:ind w:left="1065"/>
        <w:jc w:val="both"/>
        <w:rPr>
          <w:rFonts w:ascii="Arial Narrow" w:eastAsia="Calibri" w:hAnsi="Arial Narrow"/>
          <w:bCs/>
          <w:color w:val="000000" w:themeColor="text1"/>
          <w:lang w:eastAsia="en-US"/>
        </w:rPr>
      </w:pPr>
    </w:p>
    <w:p w14:paraId="115DB5F1" w14:textId="77777777" w:rsidR="007968EC" w:rsidRPr="00EB14DE" w:rsidRDefault="007968EC" w:rsidP="007968EC">
      <w:pPr>
        <w:autoSpaceDE w:val="0"/>
        <w:autoSpaceDN w:val="0"/>
        <w:ind w:left="1065"/>
        <w:jc w:val="both"/>
        <w:rPr>
          <w:rFonts w:ascii="Arial Narrow" w:eastAsia="Calibri" w:hAnsi="Arial Narrow"/>
          <w:bCs/>
          <w:color w:val="000000" w:themeColor="text1"/>
          <w:lang w:eastAsia="en-US"/>
        </w:rPr>
      </w:pPr>
      <w:r w:rsidRPr="00EB14DE">
        <w:rPr>
          <w:rFonts w:ascii="Arial Narrow" w:eastAsia="Calibri" w:hAnsi="Arial Narrow"/>
          <w:bCs/>
          <w:color w:val="000000" w:themeColor="text1"/>
          <w:lang w:eastAsia="en-US"/>
        </w:rPr>
        <w:t>Igualmente, en el evento en que se exceda el límite máximo de Garantías por Posición a constituir en acciones de conformidad con lo dispuesto en el literal c. anterior, el Miembro Liquidador deberá proceder a la constitución de garantías exigidas en los Activos indicados en los numerales 1 y 2 del artículo 1.6.4.1. de la presente Circular, por la diferencia entre el límite máximo y el valor de la garantía exigida.</w:t>
      </w:r>
    </w:p>
    <w:p w14:paraId="531999F8" w14:textId="77777777" w:rsidR="007968EC" w:rsidRPr="00EB14DE" w:rsidRDefault="007968EC" w:rsidP="007968EC">
      <w:pPr>
        <w:autoSpaceDE w:val="0"/>
        <w:autoSpaceDN w:val="0"/>
        <w:ind w:left="1065"/>
        <w:jc w:val="both"/>
        <w:rPr>
          <w:rFonts w:ascii="Arial Narrow" w:eastAsia="Calibri" w:hAnsi="Arial Narrow"/>
          <w:bCs/>
          <w:color w:val="000000" w:themeColor="text1"/>
          <w:lang w:eastAsia="en-US"/>
        </w:rPr>
      </w:pPr>
    </w:p>
    <w:p w14:paraId="18349A82" w14:textId="77777777" w:rsidR="007968EC" w:rsidRPr="00EB14DE" w:rsidRDefault="007968EC" w:rsidP="007968EC">
      <w:pPr>
        <w:ind w:left="1065"/>
        <w:jc w:val="both"/>
        <w:rPr>
          <w:rFonts w:ascii="Arial Narrow" w:eastAsia="Calibri" w:hAnsi="Arial Narrow"/>
          <w:bCs/>
          <w:color w:val="000000" w:themeColor="text1"/>
          <w:lang w:eastAsia="en-US"/>
        </w:rPr>
      </w:pPr>
      <w:r w:rsidRPr="00EB14DE">
        <w:rPr>
          <w:rFonts w:ascii="Arial Narrow" w:eastAsia="Calibri" w:hAnsi="Arial Narrow"/>
          <w:bCs/>
          <w:color w:val="000000" w:themeColor="text1"/>
          <w:lang w:eastAsia="en-US"/>
        </w:rPr>
        <w:lastRenderedPageBreak/>
        <w:t>La constitución de las garantías deberá llevarse a cabo de conformidad con lo previsto en los artículos 1.6.4.3., 1.6.4.4. y 1.6.4.5. de la presente Circular.</w:t>
      </w:r>
    </w:p>
    <w:p w14:paraId="351837C8" w14:textId="77777777" w:rsidR="007968EC" w:rsidRPr="00F254DB" w:rsidRDefault="007968EC" w:rsidP="007968EC">
      <w:pPr>
        <w:autoSpaceDE w:val="0"/>
        <w:autoSpaceDN w:val="0"/>
        <w:jc w:val="both"/>
        <w:rPr>
          <w:rFonts w:ascii="Arial Narrow" w:eastAsia="Calibri" w:hAnsi="Arial Narrow" w:cs="Verdana"/>
          <w:b/>
          <w:color w:val="000000" w:themeColor="text1"/>
        </w:rPr>
      </w:pPr>
    </w:p>
    <w:p w14:paraId="7D20C33A" w14:textId="77777777" w:rsidR="007968EC" w:rsidRPr="00B4562A" w:rsidRDefault="007968EC" w:rsidP="007968EC">
      <w:pPr>
        <w:pStyle w:val="ARTICULO0"/>
        <w:rPr>
          <w:bCs/>
          <w:lang w:eastAsia="es-CO"/>
        </w:rPr>
      </w:pPr>
      <w:bookmarkStart w:id="5192" w:name="_Toc479057204"/>
      <w:bookmarkStart w:id="5193" w:name="_Toc490066561"/>
      <w:bookmarkStart w:id="5194" w:name="_Toc31716223"/>
      <w:bookmarkStart w:id="5195" w:name="_Toc470781161"/>
      <w:bookmarkStart w:id="5196" w:name="_Toc470784722"/>
      <w:bookmarkStart w:id="5197" w:name="_Toc470785259"/>
      <w:bookmarkStart w:id="5198" w:name="_Toc470791653"/>
      <w:bookmarkStart w:id="5199" w:name="_Toc472592396"/>
      <w:bookmarkStart w:id="5200" w:name="_Toc472593415"/>
      <w:r>
        <w:t xml:space="preserve">Artículo 2.7.2.9. </w:t>
      </w:r>
      <w:bookmarkEnd w:id="5192"/>
      <w:bookmarkEnd w:id="5193"/>
      <w:r>
        <w:t>Aplicación del LOLE de los Contratos de Futuro sobre Acciones del Índice COLCAP con Liquidación por Entrega</w:t>
      </w:r>
      <w:bookmarkEnd w:id="5194"/>
      <w:r>
        <w:t xml:space="preserve"> </w:t>
      </w:r>
    </w:p>
    <w:p w14:paraId="6CEE8486" w14:textId="77777777" w:rsidR="007968EC" w:rsidRDefault="007968EC" w:rsidP="007968EC"/>
    <w:p w14:paraId="155EFDA5" w14:textId="77777777" w:rsidR="007968EC" w:rsidRPr="00B4562A" w:rsidRDefault="007968EC" w:rsidP="007968EC">
      <w:pPr>
        <w:jc w:val="both"/>
        <w:rPr>
          <w:rFonts w:ascii="Arial Narrow" w:hAnsi="Arial Narrow" w:cs="Arial"/>
          <w:b/>
          <w:i/>
          <w:lang w:val="es-MX" w:eastAsia="es-ES"/>
        </w:rPr>
      </w:pPr>
      <w:r w:rsidRPr="00B4562A">
        <w:rPr>
          <w:rFonts w:ascii="Arial Narrow" w:hAnsi="Arial Narrow" w:cs="Arial"/>
          <w:b/>
          <w:i/>
          <w:lang w:val="es-MX" w:eastAsia="es-ES"/>
        </w:rPr>
        <w:t xml:space="preserve">(Este artículo fue adicionado mediante Circular 10 del 6 de julio de 2018, publicada en el Boletín Normativo No. </w:t>
      </w:r>
      <w:r>
        <w:rPr>
          <w:rFonts w:ascii="Arial Narrow" w:hAnsi="Arial Narrow" w:cs="Arial"/>
          <w:b/>
          <w:i/>
          <w:lang w:val="es-MX" w:eastAsia="es-ES"/>
        </w:rPr>
        <w:t>0</w:t>
      </w:r>
      <w:r w:rsidRPr="00B4562A">
        <w:rPr>
          <w:rFonts w:ascii="Arial Narrow" w:hAnsi="Arial Narrow" w:cs="Arial"/>
          <w:b/>
          <w:i/>
          <w:lang w:val="es-MX" w:eastAsia="es-ES"/>
        </w:rPr>
        <w:t>13 del 6 de julio de 2018. Rige a partir del 9 de julio de 2018.)</w:t>
      </w:r>
    </w:p>
    <w:p w14:paraId="78356B3E" w14:textId="77777777" w:rsidR="007968EC" w:rsidRDefault="007968EC" w:rsidP="007968EC">
      <w:pPr>
        <w:jc w:val="both"/>
        <w:rPr>
          <w:rFonts w:ascii="Arial Narrow" w:hAnsi="Arial Narrow" w:cs="Arial"/>
          <w:color w:val="000000" w:themeColor="text1"/>
          <w:lang w:val="es-ES" w:eastAsia="es-ES"/>
        </w:rPr>
      </w:pPr>
    </w:p>
    <w:p w14:paraId="34603497" w14:textId="77777777" w:rsidR="007968EC" w:rsidRPr="00B4562A" w:rsidRDefault="007968EC" w:rsidP="007968EC">
      <w:pPr>
        <w:jc w:val="both"/>
        <w:rPr>
          <w:rFonts w:ascii="Arial Narrow" w:hAnsi="Arial Narrow" w:cs="Arial"/>
          <w:color w:val="000000" w:themeColor="text1"/>
          <w:lang w:val="es-ES" w:eastAsia="es-ES"/>
        </w:rPr>
      </w:pPr>
      <w:r w:rsidRPr="00B4562A">
        <w:rPr>
          <w:rFonts w:ascii="Arial Narrow" w:hAnsi="Arial Narrow" w:cs="Arial"/>
          <w:color w:val="000000" w:themeColor="text1"/>
          <w:lang w:val="es-ES" w:eastAsia="es-ES"/>
        </w:rPr>
        <w:t>El valor del LOLE definido para los Contratos de Futuro sobre Acciones del Índice COLCAP con Liquidación por Entrega es del 30%, cuyo periodo de aplicación corresponde a tres (3) semanas previo al día del vencimiento del Contrato. De conformidad con el Artículo 1.6.5.8. de esta Circular, se utilizarán para el cálculo del LOLE los tres (3) meses anteriores al primer día del mes de vencimiento del contrato.</w:t>
      </w:r>
    </w:p>
    <w:p w14:paraId="69CE637D" w14:textId="77777777" w:rsidR="007968EC" w:rsidRPr="00F254DB" w:rsidRDefault="007968EC" w:rsidP="007968EC">
      <w:pPr>
        <w:autoSpaceDE w:val="0"/>
        <w:autoSpaceDN w:val="0"/>
        <w:ind w:left="709"/>
        <w:jc w:val="both"/>
        <w:rPr>
          <w:rFonts w:ascii="Arial Narrow" w:hAnsi="Arial Narrow"/>
          <w:bCs/>
          <w:color w:val="000000" w:themeColor="text1"/>
          <w:lang w:eastAsia="es-CO"/>
        </w:rPr>
      </w:pPr>
    </w:p>
    <w:p w14:paraId="2DCB9C0F" w14:textId="77777777" w:rsidR="007968EC" w:rsidRPr="00397BCE" w:rsidRDefault="007968EC" w:rsidP="007968EC">
      <w:pPr>
        <w:jc w:val="both"/>
        <w:rPr>
          <w:rFonts w:ascii="Arial Narrow" w:eastAsia="Calibri" w:hAnsi="Arial Narrow"/>
          <w:bCs/>
          <w:color w:val="000000" w:themeColor="text1"/>
        </w:rPr>
      </w:pPr>
    </w:p>
    <w:p w14:paraId="772EC9A2" w14:textId="77777777" w:rsidR="007968EC" w:rsidRDefault="007968EC" w:rsidP="007968EC">
      <w:pPr>
        <w:pStyle w:val="ARTICULO0"/>
      </w:pPr>
      <w:bookmarkStart w:id="5201" w:name="_Toc479057205"/>
      <w:bookmarkStart w:id="5202" w:name="_Toc490066562"/>
      <w:bookmarkStart w:id="5203" w:name="_Toc31716224"/>
      <w:r w:rsidRPr="002F6334">
        <w:t>Artículo 2.7.2</w:t>
      </w:r>
      <w:r>
        <w:t>.10</w:t>
      </w:r>
      <w:r w:rsidRPr="002F6334">
        <w:t xml:space="preserve">. </w:t>
      </w:r>
      <w:bookmarkEnd w:id="5195"/>
      <w:bookmarkEnd w:id="5196"/>
      <w:bookmarkEnd w:id="5197"/>
      <w:bookmarkEnd w:id="5198"/>
      <w:bookmarkEnd w:id="5199"/>
      <w:bookmarkEnd w:id="5200"/>
      <w:bookmarkEnd w:id="5201"/>
      <w:bookmarkEnd w:id="5202"/>
      <w:r w:rsidRPr="002C0D19">
        <w:t>Opción sobre la acción de Ecopetrol.</w:t>
      </w:r>
      <w:bookmarkEnd w:id="5203"/>
      <w:r w:rsidRPr="002C0D19">
        <w:t xml:space="preserve"> </w:t>
      </w:r>
    </w:p>
    <w:p w14:paraId="58FA320D" w14:textId="77777777" w:rsidR="007968EC" w:rsidRPr="00B3327D" w:rsidRDefault="007968EC" w:rsidP="007968EC">
      <w:pPr>
        <w:jc w:val="both"/>
        <w:rPr>
          <w:rFonts w:ascii="Arial Narrow" w:hAnsi="Arial Narrow" w:cs="Arial"/>
          <w:color w:val="000000" w:themeColor="text1"/>
          <w:lang w:val="es-ES" w:eastAsia="es-ES"/>
        </w:rPr>
      </w:pPr>
    </w:p>
    <w:p w14:paraId="115F13A3" w14:textId="77777777" w:rsidR="007968EC" w:rsidRPr="00481CAE" w:rsidRDefault="007968EC" w:rsidP="007968EC">
      <w:pPr>
        <w:pStyle w:val="ANTECEDENTES"/>
      </w:pPr>
      <w:r w:rsidRPr="00481CAE">
        <w:t>(Este artículo fue adicionado mediante Circular 6 del 14 de febrero de 2017, publicada mediante Boletín Normativo No. 006 del 14 de febrero de 2017</w:t>
      </w:r>
      <w:r>
        <w:t xml:space="preserve">, modificado mediante Circular 22 del 3 de noviembre de 2017, publicada mediante Boletín Normativo No. 024 del 3 de noviembre de 2017 renumerado </w:t>
      </w:r>
      <w:r w:rsidRPr="009C4B41">
        <w:rPr>
          <w:lang w:val="es-ES"/>
        </w:rPr>
        <w:t>mediante Circular 002 del 20 de febrero de 2018, publicada en el Boletín Normativo No</w:t>
      </w:r>
      <w:r>
        <w:rPr>
          <w:lang w:val="es-ES"/>
        </w:rPr>
        <w:t xml:space="preserve">. 003 del 20 de febrero de 2018, modificado y renumerado </w:t>
      </w:r>
      <w:r>
        <w:t>mediante Circular 10 del 6 de julio de 2018, publicada en el Boletín Normativo No. 013 del 6 de julio de 2018, y modificado mediante Circular 12 del 9 de agosto de 2019, publicada en el Boletín Normativo No. 025 del 9 de agosto de 2019. Rige a partir del 12 de agosto de 2019</w:t>
      </w:r>
      <w:r w:rsidRPr="002C0D19">
        <w:t xml:space="preserve">.) </w:t>
      </w:r>
    </w:p>
    <w:p w14:paraId="078111CF" w14:textId="77777777" w:rsidR="007968EC" w:rsidRPr="002C0D19" w:rsidRDefault="007968EC" w:rsidP="007968EC">
      <w:pPr>
        <w:jc w:val="both"/>
        <w:rPr>
          <w:rFonts w:ascii="Arial Narrow" w:hAnsi="Arial Narrow" w:cs="Arial"/>
          <w:color w:val="000000" w:themeColor="text1"/>
          <w:lang w:val="es-ES" w:eastAsia="es-ES"/>
        </w:rPr>
      </w:pPr>
    </w:p>
    <w:p w14:paraId="7D94F183" w14:textId="77777777" w:rsidR="007968EC" w:rsidRPr="00EB14DE" w:rsidRDefault="007968EC" w:rsidP="00DA7472">
      <w:pPr>
        <w:numPr>
          <w:ilvl w:val="0"/>
          <w:numId w:val="250"/>
        </w:numPr>
        <w:autoSpaceDE w:val="0"/>
        <w:autoSpaceDN w:val="0"/>
        <w:adjustRightInd w:val="0"/>
        <w:ind w:left="426" w:hanging="426"/>
        <w:contextualSpacing/>
        <w:rPr>
          <w:rFonts w:ascii="Arial Narrow" w:hAnsi="Arial Narrow" w:cs="Arial"/>
          <w:color w:val="000000" w:themeColor="text1"/>
          <w:lang w:eastAsia="es-CO"/>
        </w:rPr>
      </w:pPr>
      <w:r w:rsidRPr="00EB14DE">
        <w:rPr>
          <w:rFonts w:ascii="Arial Narrow" w:hAnsi="Arial Narrow" w:cs="Arial"/>
          <w:color w:val="000000" w:themeColor="text1"/>
          <w:lang w:eastAsia="es-CO"/>
        </w:rPr>
        <w:t xml:space="preserve">Generalidades: </w:t>
      </w:r>
    </w:p>
    <w:p w14:paraId="56021B16" w14:textId="77777777" w:rsidR="007968EC" w:rsidRPr="00EB14DE" w:rsidRDefault="007968EC" w:rsidP="007968EC">
      <w:pPr>
        <w:jc w:val="both"/>
        <w:rPr>
          <w:rFonts w:ascii="Arial Narrow" w:eastAsia="Calibri" w:hAnsi="Arial Narrow"/>
          <w:bCs/>
          <w:color w:val="000000" w:themeColor="text1"/>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6096"/>
      </w:tblGrid>
      <w:tr w:rsidR="007968EC" w:rsidRPr="00EB14DE" w14:paraId="6AB1583C" w14:textId="77777777" w:rsidTr="007968EC">
        <w:tc>
          <w:tcPr>
            <w:tcW w:w="3397" w:type="dxa"/>
            <w:shd w:val="clear" w:color="auto" w:fill="BFBFBF"/>
          </w:tcPr>
          <w:p w14:paraId="29D5F56F"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Instrumento</w:t>
            </w:r>
          </w:p>
        </w:tc>
        <w:tc>
          <w:tcPr>
            <w:tcW w:w="6096" w:type="dxa"/>
          </w:tcPr>
          <w:p w14:paraId="10356005"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cs="Arial"/>
                <w:bCs/>
                <w:color w:val="000000" w:themeColor="text1"/>
                <w:lang w:val="es-ES" w:eastAsia="es-ES"/>
              </w:rPr>
              <w:t>Op</w:t>
            </w:r>
            <w:r w:rsidRPr="00EB14DE">
              <w:rPr>
                <w:rFonts w:ascii="Arial Narrow" w:hAnsi="Arial Narrow"/>
                <w:color w:val="000000" w:themeColor="text1"/>
                <w:lang w:val="es-ES" w:eastAsia="es-ES"/>
              </w:rPr>
              <w:t>ción sobre la acción de Ecopetrol</w:t>
            </w:r>
          </w:p>
        </w:tc>
      </w:tr>
      <w:tr w:rsidR="007968EC" w:rsidRPr="00EB14DE" w14:paraId="79342172" w14:textId="77777777" w:rsidTr="007968EC">
        <w:tc>
          <w:tcPr>
            <w:tcW w:w="3397" w:type="dxa"/>
            <w:shd w:val="clear" w:color="auto" w:fill="BFBFBF"/>
          </w:tcPr>
          <w:p w14:paraId="3092ED62"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 xml:space="preserve">Activo Subyacente </w:t>
            </w:r>
          </w:p>
        </w:tc>
        <w:tc>
          <w:tcPr>
            <w:tcW w:w="6096" w:type="dxa"/>
          </w:tcPr>
          <w:p w14:paraId="0FA99E8C"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 xml:space="preserve">El subyacente de la Opción </w:t>
            </w:r>
            <w:r w:rsidRPr="00EB14DE">
              <w:rPr>
                <w:rFonts w:ascii="Arial Narrow" w:hAnsi="Arial Narrow"/>
                <w:color w:val="000000" w:themeColor="text1"/>
                <w:lang w:val="es-ES" w:eastAsia="es-ES"/>
              </w:rPr>
              <w:t>sobre la acción de Ecopetrol</w:t>
            </w:r>
            <w:r w:rsidRPr="00EB14DE">
              <w:rPr>
                <w:rFonts w:ascii="Arial Narrow" w:hAnsi="Arial Narrow" w:cs="Arial"/>
                <w:color w:val="000000" w:themeColor="text1"/>
                <w:lang w:val="es-ES" w:eastAsia="es-ES"/>
              </w:rPr>
              <w:t xml:space="preserve"> será la acción de Ecopetrol </w:t>
            </w:r>
          </w:p>
        </w:tc>
      </w:tr>
      <w:tr w:rsidR="007968EC" w:rsidRPr="00EB14DE" w14:paraId="702484A2" w14:textId="77777777" w:rsidTr="007968EC">
        <w:tc>
          <w:tcPr>
            <w:tcW w:w="3397" w:type="dxa"/>
            <w:shd w:val="clear" w:color="auto" w:fill="BFBFBF"/>
          </w:tcPr>
          <w:p w14:paraId="5FF40248"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 xml:space="preserve"> Tamaño del Contrato</w:t>
            </w:r>
          </w:p>
        </w:tc>
        <w:tc>
          <w:tcPr>
            <w:tcW w:w="6096" w:type="dxa"/>
          </w:tcPr>
          <w:p w14:paraId="2F086557"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 xml:space="preserve">Cada Contrato de Opción sobre </w:t>
            </w:r>
            <w:r w:rsidRPr="00EB14DE">
              <w:rPr>
                <w:rFonts w:ascii="Arial Narrow" w:hAnsi="Arial Narrow"/>
                <w:color w:val="000000" w:themeColor="text1"/>
                <w:lang w:val="es-ES" w:eastAsia="es-ES"/>
              </w:rPr>
              <w:t>la acción de Ecopetrol</w:t>
            </w:r>
            <w:r w:rsidRPr="00EB14DE">
              <w:rPr>
                <w:rFonts w:ascii="Arial Narrow" w:hAnsi="Arial Narrow" w:cs="Arial"/>
                <w:color w:val="000000" w:themeColor="text1"/>
                <w:lang w:val="es-ES" w:eastAsia="es-ES"/>
              </w:rPr>
              <w:t xml:space="preserve"> tendrá un valor nominal de 1.000 acciones.</w:t>
            </w:r>
          </w:p>
        </w:tc>
      </w:tr>
      <w:tr w:rsidR="007968EC" w:rsidRPr="00EB14DE" w14:paraId="14EFF6EB" w14:textId="77777777" w:rsidTr="007968EC">
        <w:tc>
          <w:tcPr>
            <w:tcW w:w="3397" w:type="dxa"/>
            <w:shd w:val="clear" w:color="auto" w:fill="BFBFBF"/>
          </w:tcPr>
          <w:p w14:paraId="44012660"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Contratos Listados</w:t>
            </w:r>
          </w:p>
        </w:tc>
        <w:tc>
          <w:tcPr>
            <w:tcW w:w="6096" w:type="dxa"/>
          </w:tcPr>
          <w:p w14:paraId="7B29FD86"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Estarán disponibles en el Sistema vencimientos trimestrales dentro del ciclo de marzo. Estarán disponibles en el Sistema de Cámara los cuatro (4) vencimientos más cercanos</w:t>
            </w:r>
          </w:p>
        </w:tc>
      </w:tr>
      <w:tr w:rsidR="007968EC" w:rsidRPr="00EB14DE" w14:paraId="404F71F0" w14:textId="77777777" w:rsidTr="007968EC">
        <w:tc>
          <w:tcPr>
            <w:tcW w:w="3397" w:type="dxa"/>
            <w:shd w:val="clear" w:color="auto" w:fill="BFBFBF"/>
          </w:tcPr>
          <w:p w14:paraId="54E044F3"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cs="Arial"/>
                <w:bCs/>
                <w:color w:val="000000" w:themeColor="text1"/>
                <w:lang w:val="es-ES" w:eastAsia="es-ES"/>
              </w:rPr>
              <w:t>Método de Liquidación</w:t>
            </w:r>
          </w:p>
        </w:tc>
        <w:tc>
          <w:tcPr>
            <w:tcW w:w="6096" w:type="dxa"/>
          </w:tcPr>
          <w:p w14:paraId="3AC2053B"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bCs/>
                <w:color w:val="000000" w:themeColor="text1"/>
                <w:lang w:val="es-ES" w:eastAsia="es-ES"/>
              </w:rPr>
              <w:t xml:space="preserve">Liquidación por Diferencias </w:t>
            </w:r>
          </w:p>
        </w:tc>
      </w:tr>
      <w:tr w:rsidR="007968EC" w:rsidRPr="00EB14DE" w14:paraId="0E372AC5" w14:textId="77777777" w:rsidTr="007968EC">
        <w:tc>
          <w:tcPr>
            <w:tcW w:w="3397" w:type="dxa"/>
            <w:shd w:val="clear" w:color="auto" w:fill="BFBFBF"/>
          </w:tcPr>
          <w:p w14:paraId="42D2E54B" w14:textId="77777777" w:rsidR="007968EC" w:rsidRPr="00EB14DE" w:rsidRDefault="007968EC" w:rsidP="007968EC">
            <w:pPr>
              <w:rPr>
                <w:rFonts w:ascii="Arial Narrow" w:hAnsi="Arial Narrow" w:cs="Arial"/>
                <w:bCs/>
                <w:color w:val="000000" w:themeColor="text1"/>
                <w:lang w:val="es-ES" w:eastAsia="es-ES"/>
              </w:rPr>
            </w:pPr>
            <w:r w:rsidRPr="00EB14DE">
              <w:rPr>
                <w:rFonts w:ascii="Arial Narrow" w:hAnsi="Arial Narrow" w:cs="Arial"/>
                <w:color w:val="000000" w:themeColor="text1"/>
                <w:lang w:val="es-ES" w:eastAsia="es-ES"/>
              </w:rPr>
              <w:t>Tipo de Liquidación</w:t>
            </w:r>
          </w:p>
        </w:tc>
        <w:tc>
          <w:tcPr>
            <w:tcW w:w="6096" w:type="dxa"/>
          </w:tcPr>
          <w:p w14:paraId="2FB357AC" w14:textId="77777777" w:rsidR="007968EC" w:rsidRPr="00EB14DE" w:rsidRDefault="007968EC" w:rsidP="007968EC">
            <w:pPr>
              <w:rPr>
                <w:rFonts w:ascii="Arial Narrow" w:hAnsi="Arial Narrow" w:cs="Arial"/>
                <w:bCs/>
                <w:color w:val="000000" w:themeColor="text1"/>
                <w:lang w:val="es-ES" w:eastAsia="es-ES"/>
              </w:rPr>
            </w:pPr>
            <w:r w:rsidRPr="00EB14DE">
              <w:rPr>
                <w:rFonts w:ascii="Arial Narrow" w:hAnsi="Arial Narrow"/>
                <w:bCs/>
                <w:color w:val="000000" w:themeColor="text1"/>
                <w:lang w:val="es-ES" w:eastAsia="es-ES"/>
              </w:rPr>
              <w:t>Liquidación únicamente al Vencimiento</w:t>
            </w:r>
            <w:r w:rsidRPr="00EB14DE">
              <w:rPr>
                <w:rFonts w:ascii="Arial Narrow" w:hAnsi="Arial Narrow" w:cs="Arial"/>
                <w:color w:val="000000" w:themeColor="text1"/>
                <w:lang w:val="es-ES" w:eastAsia="es-ES"/>
              </w:rPr>
              <w:t>.</w:t>
            </w:r>
          </w:p>
        </w:tc>
      </w:tr>
      <w:tr w:rsidR="007968EC" w:rsidRPr="00EB14DE" w14:paraId="3421FF69" w14:textId="77777777" w:rsidTr="007968EC">
        <w:tc>
          <w:tcPr>
            <w:tcW w:w="3397" w:type="dxa"/>
            <w:shd w:val="clear" w:color="auto" w:fill="BFBFBF"/>
            <w:vAlign w:val="center"/>
          </w:tcPr>
          <w:p w14:paraId="75706D67" w14:textId="77777777" w:rsidR="007968EC" w:rsidRPr="00EB14DE" w:rsidRDefault="007968EC" w:rsidP="007968EC">
            <w:pPr>
              <w:rPr>
                <w:rFonts w:ascii="Arial Narrow" w:hAnsi="Arial Narrow" w:cs="Arial"/>
                <w:bCs/>
                <w:color w:val="000000" w:themeColor="text1"/>
                <w:lang w:val="es-ES" w:eastAsia="es-ES"/>
              </w:rPr>
            </w:pPr>
            <w:r w:rsidRPr="00EB14DE">
              <w:rPr>
                <w:rFonts w:ascii="Arial Narrow" w:hAnsi="Arial Narrow" w:cs="Arial"/>
                <w:bCs/>
                <w:color w:val="000000" w:themeColor="text1"/>
                <w:lang w:val="es-ES" w:eastAsia="es-ES"/>
              </w:rPr>
              <w:t>Último día de Negociación</w:t>
            </w:r>
          </w:p>
        </w:tc>
        <w:tc>
          <w:tcPr>
            <w:tcW w:w="6096" w:type="dxa"/>
            <w:vAlign w:val="center"/>
          </w:tcPr>
          <w:p w14:paraId="7521FE34" w14:textId="77777777" w:rsidR="007968EC" w:rsidRPr="00EB14DE" w:rsidRDefault="007968EC" w:rsidP="007968EC">
            <w:pPr>
              <w:rPr>
                <w:rFonts w:ascii="Arial Narrow" w:hAnsi="Arial Narrow" w:cs="Arial"/>
                <w:bCs/>
                <w:color w:val="000000" w:themeColor="text1"/>
                <w:lang w:val="es-ES" w:eastAsia="es-ES"/>
              </w:rPr>
            </w:pPr>
            <w:r w:rsidRPr="00EB14DE">
              <w:rPr>
                <w:rFonts w:ascii="Arial Narrow" w:hAnsi="Arial Narrow" w:cs="Arial"/>
                <w:bCs/>
                <w:color w:val="000000" w:themeColor="text1"/>
                <w:lang w:val="es-ES" w:eastAsia="es-ES"/>
              </w:rPr>
              <w:t>Día del Vencimiento del Contrato.</w:t>
            </w:r>
          </w:p>
        </w:tc>
      </w:tr>
      <w:tr w:rsidR="007968EC" w:rsidRPr="00EB14DE" w14:paraId="12E6CB1C" w14:textId="77777777" w:rsidTr="007968EC">
        <w:tc>
          <w:tcPr>
            <w:tcW w:w="3397" w:type="dxa"/>
            <w:shd w:val="clear" w:color="auto" w:fill="BFBFBF"/>
            <w:vAlign w:val="center"/>
          </w:tcPr>
          <w:p w14:paraId="175035FD" w14:textId="77777777" w:rsidR="007968EC" w:rsidRPr="00EB14DE" w:rsidRDefault="007968EC" w:rsidP="007968EC">
            <w:pPr>
              <w:rPr>
                <w:rFonts w:ascii="Arial Narrow" w:hAnsi="Arial Narrow" w:cs="Arial"/>
                <w:bCs/>
                <w:color w:val="000000" w:themeColor="text1"/>
                <w:lang w:val="es-ES" w:eastAsia="es-ES"/>
              </w:rPr>
            </w:pPr>
            <w:r w:rsidRPr="00EB14DE">
              <w:rPr>
                <w:rFonts w:ascii="Arial Narrow" w:hAnsi="Arial Narrow" w:cs="Arial"/>
                <w:bCs/>
                <w:color w:val="000000" w:themeColor="text1"/>
                <w:lang w:val="es-ES" w:eastAsia="es-ES"/>
              </w:rPr>
              <w:t>Día de Vencimiento</w:t>
            </w:r>
          </w:p>
        </w:tc>
        <w:tc>
          <w:tcPr>
            <w:tcW w:w="6096" w:type="dxa"/>
            <w:vAlign w:val="center"/>
          </w:tcPr>
          <w:p w14:paraId="7B33F263" w14:textId="77777777" w:rsidR="007968EC" w:rsidRPr="00EB14DE" w:rsidRDefault="007968EC" w:rsidP="007968EC">
            <w:pPr>
              <w:rPr>
                <w:rFonts w:ascii="Arial Narrow" w:hAnsi="Arial Narrow" w:cs="Arial"/>
                <w:bCs/>
                <w:color w:val="000000" w:themeColor="text1"/>
                <w:lang w:val="es-ES" w:eastAsia="es-ES"/>
              </w:rPr>
            </w:pPr>
            <w:r w:rsidRPr="00EB14DE">
              <w:rPr>
                <w:rFonts w:ascii="Arial Narrow" w:hAnsi="Arial Narrow" w:cs="Arial"/>
                <w:bCs/>
                <w:color w:val="000000" w:themeColor="text1"/>
                <w:lang w:val="es-ES" w:eastAsia="es-ES"/>
              </w:rPr>
              <w:t>Sera el tercer viernes del mes de vencimiento. Cuando el tercer viernes del mes de vencimiento corresponda a un día no hábil, el día de vencimiento corresponderá al día hábil siguiente.</w:t>
            </w:r>
          </w:p>
        </w:tc>
      </w:tr>
    </w:tbl>
    <w:p w14:paraId="3B0AB07D" w14:textId="77777777" w:rsidR="007968EC" w:rsidRPr="00EB14DE" w:rsidRDefault="007968EC" w:rsidP="007968EC">
      <w:pPr>
        <w:jc w:val="both"/>
        <w:rPr>
          <w:rFonts w:ascii="Arial Narrow" w:eastAsia="Calibri" w:hAnsi="Arial Narrow"/>
          <w:bCs/>
          <w:color w:val="000000" w:themeColor="text1"/>
        </w:rPr>
      </w:pPr>
    </w:p>
    <w:p w14:paraId="2421718C" w14:textId="77777777" w:rsidR="007968EC" w:rsidRPr="00EB14DE" w:rsidRDefault="007968EC" w:rsidP="00DA7472">
      <w:pPr>
        <w:numPr>
          <w:ilvl w:val="0"/>
          <w:numId w:val="250"/>
        </w:numPr>
        <w:autoSpaceDE w:val="0"/>
        <w:autoSpaceDN w:val="0"/>
        <w:adjustRightInd w:val="0"/>
        <w:ind w:left="426" w:hanging="426"/>
        <w:contextualSpacing/>
        <w:rPr>
          <w:rFonts w:ascii="Arial Narrow" w:hAnsi="Arial Narrow" w:cs="Arial"/>
          <w:color w:val="000000" w:themeColor="text1"/>
          <w:lang w:eastAsia="es-CO"/>
        </w:rPr>
      </w:pPr>
      <w:r w:rsidRPr="00EB14DE">
        <w:rPr>
          <w:rFonts w:ascii="Arial Narrow" w:hAnsi="Arial Narrow" w:cs="Arial"/>
          <w:color w:val="000000" w:themeColor="text1"/>
          <w:lang w:eastAsia="es-CO"/>
        </w:rPr>
        <w:t xml:space="preserve">Características Especiales: </w:t>
      </w:r>
    </w:p>
    <w:p w14:paraId="320DBBF0" w14:textId="77777777" w:rsidR="007968EC" w:rsidRPr="00EB14DE" w:rsidRDefault="007968EC" w:rsidP="007968EC">
      <w:pPr>
        <w:autoSpaceDE w:val="0"/>
        <w:autoSpaceDN w:val="0"/>
        <w:adjustRightInd w:val="0"/>
        <w:rPr>
          <w:rFonts w:ascii="Arial Narrow" w:hAnsi="Arial Narrow" w:cs="Arial"/>
          <w:color w:val="000000" w:themeColor="text1"/>
          <w:lang w:val="es-ES" w:eastAsia="es-ES"/>
        </w:rPr>
      </w:pPr>
    </w:p>
    <w:tbl>
      <w:tblPr>
        <w:tblW w:w="9462" w:type="dxa"/>
        <w:tblInd w:w="2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366"/>
        <w:gridCol w:w="6096"/>
      </w:tblGrid>
      <w:tr w:rsidR="007968EC" w:rsidRPr="00EB14DE" w14:paraId="151195E8" w14:textId="77777777" w:rsidTr="007968EC">
        <w:tc>
          <w:tcPr>
            <w:tcW w:w="3366" w:type="dxa"/>
            <w:shd w:val="clear" w:color="auto" w:fill="D0CECE"/>
            <w:vAlign w:val="center"/>
          </w:tcPr>
          <w:p w14:paraId="53EFA2E1"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Tipo de Opción</w:t>
            </w:r>
          </w:p>
        </w:tc>
        <w:tc>
          <w:tcPr>
            <w:tcW w:w="6096" w:type="dxa"/>
            <w:vAlign w:val="center"/>
          </w:tcPr>
          <w:p w14:paraId="2B487086" w14:textId="77777777" w:rsidR="007968EC" w:rsidRPr="00EB14DE" w:rsidRDefault="007968EC" w:rsidP="007968EC">
            <w:pPr>
              <w:jc w:val="both"/>
              <w:rPr>
                <w:rFonts w:ascii="Arial Narrow" w:hAnsi="Arial Narrow"/>
                <w:color w:val="000000" w:themeColor="text1"/>
                <w:lang w:val="es-ES" w:eastAsia="es-ES"/>
              </w:rPr>
            </w:pPr>
            <w:r w:rsidRPr="00EB14DE">
              <w:rPr>
                <w:rFonts w:ascii="Arial Narrow" w:hAnsi="Arial Narrow"/>
                <w:color w:val="000000" w:themeColor="text1"/>
                <w:lang w:val="es-ES" w:eastAsia="es-ES"/>
              </w:rPr>
              <w:t>Europea</w:t>
            </w:r>
          </w:p>
        </w:tc>
      </w:tr>
      <w:tr w:rsidR="007968EC" w:rsidRPr="00EB14DE" w14:paraId="6BB434E1" w14:textId="77777777" w:rsidTr="007968EC">
        <w:tc>
          <w:tcPr>
            <w:tcW w:w="3366" w:type="dxa"/>
            <w:shd w:val="clear" w:color="auto" w:fill="D0CECE"/>
            <w:vAlign w:val="center"/>
          </w:tcPr>
          <w:p w14:paraId="5EB094DC"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Opciones disponibles</w:t>
            </w:r>
          </w:p>
        </w:tc>
        <w:tc>
          <w:tcPr>
            <w:tcW w:w="6096" w:type="dxa"/>
            <w:vAlign w:val="center"/>
          </w:tcPr>
          <w:p w14:paraId="374BA2E0" w14:textId="77777777" w:rsidR="007968EC" w:rsidRPr="00EB14DE" w:rsidRDefault="007968EC" w:rsidP="007968EC">
            <w:pPr>
              <w:jc w:val="both"/>
              <w:rPr>
                <w:rFonts w:ascii="Arial Narrow" w:hAnsi="Arial Narrow"/>
                <w:color w:val="000000" w:themeColor="text1"/>
                <w:lang w:val="es-ES" w:eastAsia="es-ES"/>
              </w:rPr>
            </w:pPr>
            <w:r w:rsidRPr="00EB14DE">
              <w:rPr>
                <w:rFonts w:ascii="Arial Narrow" w:hAnsi="Arial Narrow"/>
                <w:color w:val="000000" w:themeColor="text1"/>
                <w:lang w:val="es-ES" w:eastAsia="es-ES"/>
              </w:rPr>
              <w:t xml:space="preserve">Call y </w:t>
            </w:r>
            <w:proofErr w:type="spellStart"/>
            <w:r w:rsidRPr="00EB14DE">
              <w:rPr>
                <w:rFonts w:ascii="Arial Narrow" w:hAnsi="Arial Narrow"/>
                <w:color w:val="000000" w:themeColor="text1"/>
                <w:lang w:val="es-ES" w:eastAsia="es-ES"/>
              </w:rPr>
              <w:t>Put</w:t>
            </w:r>
            <w:proofErr w:type="spellEnd"/>
          </w:p>
        </w:tc>
      </w:tr>
      <w:tr w:rsidR="007968EC" w:rsidRPr="00EB14DE" w14:paraId="3FA7DD36" w14:textId="77777777" w:rsidTr="007968EC">
        <w:tc>
          <w:tcPr>
            <w:tcW w:w="3366" w:type="dxa"/>
            <w:shd w:val="clear" w:color="auto" w:fill="D0CECE"/>
            <w:vAlign w:val="center"/>
          </w:tcPr>
          <w:p w14:paraId="7B5D7CD8"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Strikes mínimos disponibles</w:t>
            </w:r>
          </w:p>
        </w:tc>
        <w:tc>
          <w:tcPr>
            <w:tcW w:w="6096" w:type="dxa"/>
          </w:tcPr>
          <w:p w14:paraId="4C8B53E4" w14:textId="77777777" w:rsidR="007968EC" w:rsidRPr="00EB14DE" w:rsidRDefault="007968EC" w:rsidP="007968EC">
            <w:pPr>
              <w:jc w:val="both"/>
              <w:rPr>
                <w:rFonts w:ascii="Arial Narrow" w:hAnsi="Arial Narrow"/>
                <w:color w:val="000000" w:themeColor="text1"/>
                <w:lang w:val="es-ES" w:eastAsia="es-ES"/>
              </w:rPr>
            </w:pPr>
            <w:r w:rsidRPr="00EB14DE">
              <w:rPr>
                <w:rFonts w:ascii="Arial Narrow" w:hAnsi="Arial Narrow"/>
                <w:color w:val="000000" w:themeColor="text1"/>
                <w:lang w:val="es-ES" w:eastAsia="es-ES"/>
              </w:rPr>
              <w:t>OTM: 50</w:t>
            </w:r>
          </w:p>
          <w:p w14:paraId="181E418D" w14:textId="77777777" w:rsidR="007968EC" w:rsidRPr="00EB14DE" w:rsidRDefault="007968EC" w:rsidP="007968EC">
            <w:pPr>
              <w:jc w:val="both"/>
              <w:rPr>
                <w:rFonts w:ascii="Arial Narrow" w:hAnsi="Arial Narrow"/>
                <w:color w:val="000000" w:themeColor="text1"/>
                <w:lang w:val="es-ES" w:eastAsia="es-ES"/>
              </w:rPr>
            </w:pPr>
            <w:r w:rsidRPr="00EB14DE">
              <w:rPr>
                <w:rFonts w:ascii="Arial Narrow" w:hAnsi="Arial Narrow"/>
                <w:color w:val="000000" w:themeColor="text1"/>
                <w:lang w:val="es-ES" w:eastAsia="es-ES"/>
              </w:rPr>
              <w:t xml:space="preserve">ITM: 50 </w:t>
            </w:r>
          </w:p>
          <w:p w14:paraId="5BC56B07" w14:textId="77777777" w:rsidR="007968EC" w:rsidRPr="00EB14DE" w:rsidRDefault="007968EC" w:rsidP="007968EC">
            <w:pPr>
              <w:jc w:val="both"/>
              <w:rPr>
                <w:rFonts w:ascii="Arial Narrow" w:hAnsi="Arial Narrow"/>
                <w:color w:val="000000" w:themeColor="text1"/>
                <w:lang w:val="es-ES" w:eastAsia="es-ES"/>
              </w:rPr>
            </w:pPr>
            <w:r w:rsidRPr="00EB14DE">
              <w:rPr>
                <w:rFonts w:ascii="Arial Narrow" w:hAnsi="Arial Narrow"/>
                <w:color w:val="000000" w:themeColor="text1"/>
                <w:lang w:val="es-ES" w:eastAsia="es-ES"/>
              </w:rPr>
              <w:t>ATM: 1</w:t>
            </w:r>
          </w:p>
        </w:tc>
      </w:tr>
      <w:tr w:rsidR="007968EC" w:rsidRPr="00EB14DE" w14:paraId="073A46FF" w14:textId="77777777" w:rsidTr="007968EC">
        <w:tc>
          <w:tcPr>
            <w:tcW w:w="3366" w:type="dxa"/>
            <w:shd w:val="clear" w:color="auto" w:fill="D0CECE"/>
            <w:vAlign w:val="center"/>
          </w:tcPr>
          <w:p w14:paraId="25DE2926"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Liquidación prima</w:t>
            </w:r>
          </w:p>
        </w:tc>
        <w:tc>
          <w:tcPr>
            <w:tcW w:w="6096" w:type="dxa"/>
          </w:tcPr>
          <w:p w14:paraId="56DD6A0D"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Liquidada al siguiente día hábil del día de la negociación</w:t>
            </w:r>
          </w:p>
        </w:tc>
      </w:tr>
    </w:tbl>
    <w:p w14:paraId="61C2690B" w14:textId="77777777" w:rsidR="007968EC" w:rsidRPr="00EB14DE" w:rsidRDefault="007968EC" w:rsidP="007968EC">
      <w:pPr>
        <w:autoSpaceDE w:val="0"/>
        <w:autoSpaceDN w:val="0"/>
        <w:adjustRightInd w:val="0"/>
        <w:ind w:left="360"/>
        <w:contextualSpacing/>
        <w:rPr>
          <w:rFonts w:ascii="Arial Narrow" w:hAnsi="Arial Narrow"/>
          <w:bCs/>
          <w:color w:val="000000" w:themeColor="text1"/>
          <w:lang w:val="es-ES" w:eastAsia="es-CO"/>
        </w:rPr>
      </w:pPr>
    </w:p>
    <w:p w14:paraId="7A44C4FA" w14:textId="77777777" w:rsidR="007968EC" w:rsidRPr="00EB14DE" w:rsidRDefault="007968EC" w:rsidP="007968EC">
      <w:pPr>
        <w:jc w:val="both"/>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Para efectos de cálculos de riesgo Intradía la Cámara calculará los precios teóricos (intradía y al cierre) de los Contratos de Opciones europeas con base en el modelo de Black (1973), el cual se enuncia a continuación:</w:t>
      </w:r>
    </w:p>
    <w:p w14:paraId="3B459FEF" w14:textId="77777777" w:rsidR="007968EC" w:rsidRPr="00EB14DE" w:rsidRDefault="007968EC" w:rsidP="007968EC">
      <w:pPr>
        <w:jc w:val="both"/>
        <w:rPr>
          <w:rFonts w:ascii="Arial Narrow" w:hAnsi="Arial Narrow" w:cs="Arial"/>
          <w:color w:val="000000" w:themeColor="text1"/>
          <w:lang w:val="es-ES" w:eastAsia="es-ES"/>
        </w:rPr>
      </w:pPr>
    </w:p>
    <w:p w14:paraId="79156A10" w14:textId="77777777" w:rsidR="007968EC" w:rsidRPr="00EB14DE" w:rsidRDefault="007968EC" w:rsidP="007968EC">
      <w:pPr>
        <w:jc w:val="both"/>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Se calcula un precio teórico para cada Contrato de Opción CALL y para cada contrato de Opción PUT.</w:t>
      </w:r>
    </w:p>
    <w:p w14:paraId="4592EAA3" w14:textId="77777777" w:rsidR="007968EC" w:rsidRPr="00EB14DE" w:rsidRDefault="007968EC" w:rsidP="007968EC">
      <w:pPr>
        <w:rPr>
          <w:rFonts w:ascii="Arial Narrow" w:hAnsi="Arial Narrow" w:cs="Arial"/>
          <w:color w:val="000000" w:themeColor="text1"/>
          <w:lang w:val="es-ES" w:eastAsia="es-ES"/>
        </w:rPr>
      </w:pPr>
    </w:p>
    <w:p w14:paraId="30404EC0" w14:textId="77777777" w:rsidR="007968EC" w:rsidRPr="00EB14DE" w:rsidRDefault="007968EC" w:rsidP="007968EC">
      <w:pPr>
        <w:jc w:val="right"/>
        <w:rPr>
          <w:rFonts w:ascii="Arial Narrow" w:hAnsi="Arial Narrow" w:cs="Arial"/>
          <w:bCs/>
          <w:i/>
          <w:color w:val="000000" w:themeColor="text1"/>
          <w:lang w:val="es-ES" w:eastAsia="es-ES"/>
        </w:rPr>
      </w:pPr>
      <m:oMathPara>
        <m:oMath>
          <m:r>
            <m:rPr>
              <m:sty m:val="bi"/>
            </m:rPr>
            <w:rPr>
              <w:rFonts w:ascii="Cambria Math" w:hAnsi="Cambria Math" w:cs="Cambria Math"/>
              <w:color w:val="000000" w:themeColor="text1"/>
              <w:lang w:val="es-ES" w:eastAsia="es-ES"/>
            </w:rPr>
            <m:t>C</m:t>
          </m:r>
          <m:r>
            <m:rPr>
              <m:sty m:val="bi"/>
            </m:rPr>
            <w:rPr>
              <w:rFonts w:ascii="Cambria Math" w:hAnsi="Cambria Math" w:cs="Arial"/>
              <w:color w:val="000000" w:themeColor="text1"/>
              <w:lang w:val="es-ES" w:eastAsia="es-ES"/>
            </w:rPr>
            <m:t>=</m:t>
          </m:r>
          <m:d>
            <m:dPr>
              <m:ctrlPr>
                <w:rPr>
                  <w:rFonts w:ascii="Cambria Math" w:hAnsi="Cambria Math" w:cs="Arial"/>
                  <w:i/>
                  <w:color w:val="000000" w:themeColor="text1"/>
                  <w:lang w:val="es-ES" w:eastAsia="es-ES"/>
                </w:rPr>
              </m:ctrlPr>
            </m:dPr>
            <m:e>
              <m:r>
                <m:rPr>
                  <m:sty m:val="bi"/>
                </m:rPr>
                <w:rPr>
                  <w:rFonts w:ascii="Cambria Math" w:hAnsi="Cambria Math" w:cs="Arial"/>
                  <w:color w:val="000000" w:themeColor="text1"/>
                  <w:lang w:val="es-ES" w:eastAsia="es-ES"/>
                </w:rPr>
                <m:t>S-I</m:t>
              </m:r>
            </m:e>
          </m:d>
          <m:r>
            <m:rPr>
              <m:sty m:val="bi"/>
            </m:rPr>
            <w:rPr>
              <w:rFonts w:ascii="Cambria Math" w:hAnsi="Cambria Math" w:cs="Arial"/>
              <w:color w:val="000000" w:themeColor="text1"/>
              <w:lang w:val="es-ES" w:eastAsia="es-ES"/>
            </w:rPr>
            <m:t xml:space="preserve"> N</m:t>
          </m:r>
          <m:d>
            <m:dPr>
              <m:ctrlPr>
                <w:rPr>
                  <w:rFonts w:ascii="Cambria Math" w:hAnsi="Cambria Math" w:cs="Arial"/>
                  <w:i/>
                  <w:color w:val="000000" w:themeColor="text1"/>
                  <w:lang w:val="es-ES" w:eastAsia="es-ES"/>
                </w:rPr>
              </m:ctrlPr>
            </m:dPr>
            <m:e>
              <m:r>
                <m:rPr>
                  <m:sty m:val="bi"/>
                </m:rPr>
                <w:rPr>
                  <w:rFonts w:ascii="Cambria Math" w:hAnsi="Cambria Math" w:cs="Arial"/>
                  <w:color w:val="000000" w:themeColor="text1"/>
                  <w:lang w:val="es-ES" w:eastAsia="es-ES"/>
                </w:rPr>
                <m:t>D</m:t>
              </m:r>
            </m:e>
          </m:d>
          <m:r>
            <m:rPr>
              <m:sty m:val="bi"/>
            </m:rPr>
            <w:rPr>
              <w:rFonts w:ascii="Cambria Math" w:hAnsi="Cambria Math" w:cs="Arial"/>
              <w:color w:val="000000" w:themeColor="text1"/>
              <w:lang w:val="es-ES" w:eastAsia="es-ES"/>
            </w:rPr>
            <m:t>-E</m:t>
          </m:r>
          <m:sSup>
            <m:sSupPr>
              <m:ctrlPr>
                <w:rPr>
                  <w:rFonts w:ascii="Cambria Math" w:hAnsi="Cambria Math" w:cs="Arial"/>
                  <w:i/>
                  <w:color w:val="000000" w:themeColor="text1"/>
                  <w:lang w:val="es-ES" w:eastAsia="es-ES"/>
                </w:rPr>
              </m:ctrlPr>
            </m:sSupPr>
            <m:e>
              <m:r>
                <m:rPr>
                  <m:sty m:val="bi"/>
                </m:rPr>
                <w:rPr>
                  <w:rFonts w:ascii="Cambria Math" w:hAnsi="Cambria Math" w:cs="Arial"/>
                  <w:color w:val="000000" w:themeColor="text1"/>
                  <w:lang w:val="es-ES" w:eastAsia="es-ES"/>
                </w:rPr>
                <m:t>e</m:t>
              </m:r>
            </m:e>
            <m:sup>
              <m:r>
                <m:rPr>
                  <m:sty m:val="bi"/>
                </m:rPr>
                <w:rPr>
                  <w:rFonts w:ascii="Cambria Math" w:hAnsi="Cambria Math" w:cs="Arial"/>
                  <w:color w:val="000000" w:themeColor="text1"/>
                  <w:lang w:val="es-ES" w:eastAsia="es-ES"/>
                </w:rPr>
                <m:t>-rt</m:t>
              </m:r>
            </m:sup>
          </m:sSup>
          <m:r>
            <m:rPr>
              <m:sty m:val="bi"/>
            </m:rPr>
            <w:rPr>
              <w:rFonts w:ascii="Cambria Math" w:hAnsi="Cambria Math" w:cs="Arial"/>
              <w:color w:val="000000" w:themeColor="text1"/>
              <w:lang w:val="es-ES" w:eastAsia="es-ES"/>
            </w:rPr>
            <m:t>N</m:t>
          </m:r>
          <m:d>
            <m:dPr>
              <m:ctrlPr>
                <w:rPr>
                  <w:rFonts w:ascii="Cambria Math" w:hAnsi="Cambria Math" w:cs="Arial"/>
                  <w:i/>
                  <w:color w:val="000000" w:themeColor="text1"/>
                  <w:lang w:val="es-ES" w:eastAsia="es-ES"/>
                </w:rPr>
              </m:ctrlPr>
            </m:dPr>
            <m:e>
              <m:r>
                <m:rPr>
                  <m:sty m:val="bi"/>
                </m:rPr>
                <w:rPr>
                  <w:rFonts w:ascii="Cambria Math" w:hAnsi="Cambria Math" w:cs="Arial"/>
                  <w:color w:val="000000" w:themeColor="text1"/>
                  <w:lang w:val="es-ES" w:eastAsia="es-ES"/>
                </w:rPr>
                <m:t>D-v</m:t>
              </m:r>
              <m:rad>
                <m:radPr>
                  <m:degHide m:val="1"/>
                  <m:ctrlPr>
                    <w:rPr>
                      <w:rFonts w:ascii="Cambria Math" w:hAnsi="Cambria Math" w:cs="Arial"/>
                      <w:i/>
                      <w:color w:val="000000" w:themeColor="text1"/>
                      <w:lang w:val="es-ES" w:eastAsia="es-ES"/>
                    </w:rPr>
                  </m:ctrlPr>
                </m:radPr>
                <m:deg/>
                <m:e>
                  <m:r>
                    <m:rPr>
                      <m:sty m:val="bi"/>
                    </m:rPr>
                    <w:rPr>
                      <w:rFonts w:ascii="Cambria Math" w:hAnsi="Cambria Math" w:cs="Arial"/>
                      <w:color w:val="000000" w:themeColor="text1"/>
                      <w:lang w:val="es-ES" w:eastAsia="es-ES"/>
                    </w:rPr>
                    <m:t>t</m:t>
                  </m:r>
                </m:e>
              </m:rad>
            </m:e>
          </m:d>
        </m:oMath>
      </m:oMathPara>
    </w:p>
    <w:p w14:paraId="2E19E5EE" w14:textId="77777777" w:rsidR="007968EC" w:rsidRPr="00EB14DE" w:rsidRDefault="007968EC" w:rsidP="007968EC">
      <w:pPr>
        <w:jc w:val="both"/>
        <w:rPr>
          <w:rFonts w:ascii="Arial Narrow" w:hAnsi="Arial Narrow" w:cs="Arial"/>
          <w:bCs/>
          <w:color w:val="000000" w:themeColor="text1"/>
          <w:lang w:val="es-ES" w:eastAsia="es-ES"/>
        </w:rPr>
      </w:pPr>
      <m:oMathPara>
        <m:oMathParaPr>
          <m:jc m:val="center"/>
        </m:oMathParaPr>
        <m:oMath>
          <m:r>
            <m:rPr>
              <m:sty m:val="bi"/>
            </m:rPr>
            <w:rPr>
              <w:rFonts w:ascii="Cambria Math" w:hAnsi="Cambria Math" w:cs="Arial"/>
              <w:color w:val="000000" w:themeColor="text1"/>
              <w:lang w:val="es-ES" w:eastAsia="es-ES"/>
            </w:rPr>
            <m:t>P</m:t>
          </m:r>
          <m:r>
            <m:rPr>
              <m:sty m:val="b"/>
            </m:rPr>
            <w:rPr>
              <w:rFonts w:ascii="Cambria Math" w:hAnsi="Cambria Math" w:cs="Arial"/>
              <w:color w:val="000000" w:themeColor="text1"/>
              <w:lang w:val="es-ES" w:eastAsia="es-ES"/>
            </w:rPr>
            <m:t>=-</m:t>
          </m:r>
          <m:d>
            <m:dPr>
              <m:ctrlPr>
                <w:rPr>
                  <w:rFonts w:ascii="Cambria Math" w:hAnsi="Cambria Math" w:cs="Arial"/>
                  <w:i/>
                  <w:color w:val="000000" w:themeColor="text1"/>
                  <w:lang w:val="es-ES" w:eastAsia="es-ES"/>
                </w:rPr>
              </m:ctrlPr>
            </m:dPr>
            <m:e>
              <m:r>
                <m:rPr>
                  <m:sty m:val="bi"/>
                </m:rPr>
                <w:rPr>
                  <w:rFonts w:ascii="Cambria Math" w:hAnsi="Cambria Math" w:cs="Arial"/>
                  <w:color w:val="000000" w:themeColor="text1"/>
                  <w:lang w:val="es-ES" w:eastAsia="es-ES"/>
                </w:rPr>
                <m:t>S-I</m:t>
              </m:r>
            </m:e>
          </m:d>
          <m:r>
            <m:rPr>
              <m:sty m:val="bi"/>
            </m:rPr>
            <w:rPr>
              <w:rFonts w:ascii="Cambria Math" w:hAnsi="Cambria Math" w:cs="Arial"/>
              <w:color w:val="000000" w:themeColor="text1"/>
              <w:lang w:val="es-ES" w:eastAsia="es-ES"/>
            </w:rPr>
            <m:t xml:space="preserve"> N</m:t>
          </m:r>
          <m:d>
            <m:dPr>
              <m:ctrlPr>
                <w:rPr>
                  <w:rFonts w:ascii="Cambria Math" w:hAnsi="Cambria Math" w:cs="Arial"/>
                  <w:i/>
                  <w:color w:val="000000" w:themeColor="text1"/>
                  <w:lang w:val="es-ES" w:eastAsia="es-ES"/>
                </w:rPr>
              </m:ctrlPr>
            </m:dPr>
            <m:e>
              <m:r>
                <m:rPr>
                  <m:sty m:val="bi"/>
                </m:rPr>
                <w:rPr>
                  <w:rFonts w:ascii="Cambria Math" w:hAnsi="Cambria Math" w:cs="Arial"/>
                  <w:color w:val="000000" w:themeColor="text1"/>
                  <w:lang w:val="es-ES" w:eastAsia="es-ES"/>
                </w:rPr>
                <m:t>-D</m:t>
              </m:r>
            </m:e>
          </m:d>
          <m:r>
            <m:rPr>
              <m:sty m:val="bi"/>
            </m:rPr>
            <w:rPr>
              <w:rFonts w:ascii="Cambria Math" w:hAnsi="Cambria Math" w:cs="Arial"/>
              <w:color w:val="000000" w:themeColor="text1"/>
              <w:lang w:val="es-ES" w:eastAsia="es-ES"/>
            </w:rPr>
            <m:t>+E</m:t>
          </m:r>
          <m:sSup>
            <m:sSupPr>
              <m:ctrlPr>
                <w:rPr>
                  <w:rFonts w:ascii="Cambria Math" w:hAnsi="Cambria Math" w:cs="Arial"/>
                  <w:i/>
                  <w:color w:val="000000" w:themeColor="text1"/>
                  <w:lang w:val="es-ES" w:eastAsia="es-ES"/>
                </w:rPr>
              </m:ctrlPr>
            </m:sSupPr>
            <m:e>
              <m:r>
                <m:rPr>
                  <m:sty m:val="bi"/>
                </m:rPr>
                <w:rPr>
                  <w:rFonts w:ascii="Cambria Math" w:hAnsi="Cambria Math" w:cs="Arial"/>
                  <w:color w:val="000000" w:themeColor="text1"/>
                  <w:lang w:val="es-ES" w:eastAsia="es-ES"/>
                </w:rPr>
                <m:t>e</m:t>
              </m:r>
            </m:e>
            <m:sup>
              <m:r>
                <m:rPr>
                  <m:sty m:val="bi"/>
                </m:rPr>
                <w:rPr>
                  <w:rFonts w:ascii="Cambria Math" w:hAnsi="Cambria Math" w:cs="Arial"/>
                  <w:color w:val="000000" w:themeColor="text1"/>
                  <w:lang w:val="es-ES" w:eastAsia="es-ES"/>
                </w:rPr>
                <m:t>-rt</m:t>
              </m:r>
            </m:sup>
          </m:sSup>
          <m:r>
            <m:rPr>
              <m:sty m:val="bi"/>
            </m:rPr>
            <w:rPr>
              <w:rFonts w:ascii="Cambria Math" w:hAnsi="Cambria Math" w:cs="Arial"/>
              <w:color w:val="000000" w:themeColor="text1"/>
              <w:lang w:val="es-ES" w:eastAsia="es-ES"/>
            </w:rPr>
            <m:t>N</m:t>
          </m:r>
          <m:d>
            <m:dPr>
              <m:ctrlPr>
                <w:rPr>
                  <w:rFonts w:ascii="Cambria Math" w:hAnsi="Cambria Math" w:cs="Arial"/>
                  <w:i/>
                  <w:color w:val="000000" w:themeColor="text1"/>
                  <w:lang w:val="es-ES" w:eastAsia="es-ES"/>
                </w:rPr>
              </m:ctrlPr>
            </m:dPr>
            <m:e>
              <m:r>
                <m:rPr>
                  <m:sty m:val="bi"/>
                </m:rPr>
                <w:rPr>
                  <w:rFonts w:ascii="Cambria Math" w:hAnsi="Cambria Math" w:cs="Arial"/>
                  <w:color w:val="000000" w:themeColor="text1"/>
                  <w:lang w:val="es-ES" w:eastAsia="es-ES"/>
                </w:rPr>
                <m:t>v</m:t>
              </m:r>
              <m:rad>
                <m:radPr>
                  <m:degHide m:val="1"/>
                  <m:ctrlPr>
                    <w:rPr>
                      <w:rFonts w:ascii="Cambria Math" w:hAnsi="Cambria Math" w:cs="Arial"/>
                      <w:i/>
                      <w:color w:val="000000" w:themeColor="text1"/>
                      <w:lang w:val="es-ES" w:eastAsia="es-ES"/>
                    </w:rPr>
                  </m:ctrlPr>
                </m:radPr>
                <m:deg/>
                <m:e>
                  <m:r>
                    <m:rPr>
                      <m:sty m:val="bi"/>
                    </m:rPr>
                    <w:rPr>
                      <w:rFonts w:ascii="Cambria Math" w:hAnsi="Cambria Math" w:cs="Arial"/>
                      <w:color w:val="000000" w:themeColor="text1"/>
                      <w:lang w:val="es-ES" w:eastAsia="es-ES"/>
                    </w:rPr>
                    <m:t>t</m:t>
                  </m:r>
                </m:e>
              </m:rad>
              <m:r>
                <m:rPr>
                  <m:sty m:val="bi"/>
                </m:rPr>
                <w:rPr>
                  <w:rFonts w:ascii="Cambria Math" w:hAnsi="Cambria Math" w:cs="Arial"/>
                  <w:color w:val="000000" w:themeColor="text1"/>
                  <w:lang w:val="es-ES" w:eastAsia="es-ES"/>
                </w:rPr>
                <m:t>-D</m:t>
              </m:r>
            </m:e>
          </m:d>
        </m:oMath>
      </m:oMathPara>
    </w:p>
    <w:p w14:paraId="3296AE8F" w14:textId="77777777" w:rsidR="007968EC" w:rsidRPr="00EB14DE" w:rsidRDefault="007968EC" w:rsidP="007968EC">
      <w:pPr>
        <w:jc w:val="both"/>
        <w:rPr>
          <w:rFonts w:ascii="Arial Narrow" w:hAnsi="Arial Narrow" w:cs="Arial"/>
          <w:bCs/>
          <w:color w:val="000000" w:themeColor="text1"/>
          <w:lang w:val="es-ES" w:eastAsia="es-ES"/>
        </w:rPr>
      </w:pPr>
      <w:r w:rsidRPr="00EB14DE">
        <w:rPr>
          <w:rFonts w:ascii="Arial Narrow" w:hAnsi="Arial Narrow" w:cs="Arial"/>
          <w:bCs/>
          <w:color w:val="000000" w:themeColor="text1"/>
          <w:lang w:val="es-ES" w:eastAsia="es-ES"/>
        </w:rPr>
        <w:t>Donde:</w:t>
      </w:r>
    </w:p>
    <w:p w14:paraId="59B36848" w14:textId="77777777" w:rsidR="007968EC" w:rsidRPr="00EB14DE" w:rsidRDefault="007968EC" w:rsidP="007968EC">
      <w:pPr>
        <w:jc w:val="both"/>
        <w:rPr>
          <w:rFonts w:ascii="Arial Narrow" w:hAnsi="Arial Narrow" w:cs="Arial"/>
          <w:bCs/>
          <w:color w:val="000000" w:themeColor="text1"/>
          <w:lang w:val="es-ES" w:eastAsia="es-ES"/>
        </w:rPr>
      </w:pPr>
    </w:p>
    <w:p w14:paraId="52B4852C" w14:textId="77777777" w:rsidR="007968EC" w:rsidRPr="00EB14DE" w:rsidRDefault="007968EC" w:rsidP="007968EC">
      <w:pPr>
        <w:jc w:val="center"/>
        <w:rPr>
          <w:rFonts w:ascii="Arial Narrow" w:hAnsi="Arial Narrow" w:cs="Arial"/>
          <w:bCs/>
          <w:color w:val="000000" w:themeColor="text1"/>
          <w:lang w:val="es-ES" w:eastAsia="es-ES"/>
        </w:rPr>
      </w:pPr>
      <m:oMath>
        <m:r>
          <m:rPr>
            <m:sty m:val="bi"/>
          </m:rPr>
          <w:rPr>
            <w:rFonts w:ascii="Cambria Math" w:hAnsi="Cambria Math" w:cs="Arial"/>
            <w:color w:val="000000" w:themeColor="text1"/>
            <w:lang w:val="es-ES" w:eastAsia="es-ES"/>
          </w:rPr>
          <m:t>D</m:t>
        </m:r>
        <m:r>
          <m:rPr>
            <m:sty m:val="b"/>
          </m:rPr>
          <w:rPr>
            <w:rFonts w:ascii="Cambria Math" w:hAnsi="Cambria Math" w:cs="Arial"/>
            <w:color w:val="000000" w:themeColor="text1"/>
            <w:lang w:val="es-ES" w:eastAsia="es-ES"/>
          </w:rPr>
          <m:t>=</m:t>
        </m:r>
        <m:f>
          <m:fPr>
            <m:ctrlPr>
              <w:rPr>
                <w:rFonts w:ascii="Cambria Math" w:hAnsi="Cambria Math" w:cs="Arial"/>
                <w:color w:val="000000" w:themeColor="text1"/>
                <w:lang w:val="es-ES" w:eastAsia="es-ES"/>
              </w:rPr>
            </m:ctrlPr>
          </m:fPr>
          <m:num>
            <m:r>
              <m:rPr>
                <m:sty m:val="bi"/>
              </m:rPr>
              <w:rPr>
                <w:rFonts w:ascii="Cambria Math" w:hAnsi="Cambria Math" w:cs="Arial"/>
                <w:color w:val="000000" w:themeColor="text1"/>
                <w:lang w:val="es-ES" w:eastAsia="es-ES"/>
              </w:rPr>
              <m:t>Ln</m:t>
            </m:r>
            <m:d>
              <m:dPr>
                <m:ctrlPr>
                  <w:rPr>
                    <w:rFonts w:ascii="Cambria Math" w:hAnsi="Cambria Math" w:cs="Arial"/>
                    <w:color w:val="000000" w:themeColor="text1"/>
                    <w:lang w:val="es-ES" w:eastAsia="es-ES"/>
                  </w:rPr>
                </m:ctrlPr>
              </m:dPr>
              <m:e>
                <m:f>
                  <m:fPr>
                    <m:ctrlPr>
                      <w:rPr>
                        <w:rFonts w:ascii="Cambria Math" w:hAnsi="Cambria Math" w:cs="Arial"/>
                        <w:color w:val="000000" w:themeColor="text1"/>
                        <w:lang w:val="es-ES" w:eastAsia="es-ES"/>
                      </w:rPr>
                    </m:ctrlPr>
                  </m:fPr>
                  <m:num>
                    <m:r>
                      <m:rPr>
                        <m:sty m:val="bi"/>
                      </m:rPr>
                      <w:rPr>
                        <w:rFonts w:ascii="Cambria Math" w:hAnsi="Cambria Math" w:cs="Arial"/>
                        <w:color w:val="000000" w:themeColor="text1"/>
                        <w:lang w:val="es-ES" w:eastAsia="es-ES"/>
                      </w:rPr>
                      <m:t>S-I</m:t>
                    </m:r>
                  </m:num>
                  <m:den>
                    <m:r>
                      <m:rPr>
                        <m:sty m:val="bi"/>
                      </m:rPr>
                      <w:rPr>
                        <w:rFonts w:ascii="Cambria Math" w:hAnsi="Cambria Math" w:cs="Arial"/>
                        <w:color w:val="000000" w:themeColor="text1"/>
                        <w:lang w:val="es-ES" w:eastAsia="es-ES"/>
                      </w:rPr>
                      <m:t>E</m:t>
                    </m:r>
                    <m:sSup>
                      <m:sSupPr>
                        <m:ctrlPr>
                          <w:rPr>
                            <w:rFonts w:ascii="Cambria Math" w:hAnsi="Cambria Math" w:cs="Arial"/>
                            <w:i/>
                            <w:color w:val="000000" w:themeColor="text1"/>
                            <w:lang w:val="es-ES" w:eastAsia="es-ES"/>
                          </w:rPr>
                        </m:ctrlPr>
                      </m:sSupPr>
                      <m:e>
                        <m:r>
                          <m:rPr>
                            <m:sty m:val="bi"/>
                          </m:rPr>
                          <w:rPr>
                            <w:rFonts w:ascii="Cambria Math" w:hAnsi="Cambria Math" w:cs="Arial"/>
                            <w:color w:val="000000" w:themeColor="text1"/>
                            <w:lang w:val="es-ES" w:eastAsia="es-ES"/>
                          </w:rPr>
                          <m:t>e</m:t>
                        </m:r>
                      </m:e>
                      <m:sup>
                        <m:r>
                          <m:rPr>
                            <m:sty m:val="bi"/>
                          </m:rPr>
                          <w:rPr>
                            <w:rFonts w:ascii="Cambria Math" w:hAnsi="Cambria Math" w:cs="Arial"/>
                            <w:color w:val="000000" w:themeColor="text1"/>
                            <w:lang w:val="es-ES" w:eastAsia="es-ES"/>
                          </w:rPr>
                          <m:t>-rt</m:t>
                        </m:r>
                      </m:sup>
                    </m:sSup>
                  </m:den>
                </m:f>
              </m:e>
            </m:d>
          </m:num>
          <m:den>
            <m:r>
              <m:rPr>
                <m:sty m:val="bi"/>
              </m:rPr>
              <w:rPr>
                <w:rFonts w:ascii="Cambria Math" w:hAnsi="Cambria Math" w:cs="Arial"/>
                <w:color w:val="000000" w:themeColor="text1"/>
                <w:lang w:val="es-ES" w:eastAsia="es-ES"/>
              </w:rPr>
              <m:t>v</m:t>
            </m:r>
            <m:rad>
              <m:radPr>
                <m:degHide m:val="1"/>
                <m:ctrlPr>
                  <w:rPr>
                    <w:rFonts w:ascii="Cambria Math" w:hAnsi="Cambria Math" w:cs="Arial"/>
                    <w:color w:val="000000" w:themeColor="text1"/>
                    <w:lang w:val="es-ES" w:eastAsia="es-ES"/>
                  </w:rPr>
                </m:ctrlPr>
              </m:radPr>
              <m:deg/>
              <m:e>
                <m:r>
                  <m:rPr>
                    <m:sty m:val="bi"/>
                  </m:rPr>
                  <w:rPr>
                    <w:rFonts w:ascii="Cambria Math" w:hAnsi="Cambria Math" w:cs="Arial"/>
                    <w:color w:val="000000" w:themeColor="text1"/>
                    <w:lang w:val="es-ES" w:eastAsia="es-ES"/>
                  </w:rPr>
                  <m:t>T</m:t>
                </m:r>
              </m:e>
            </m:rad>
          </m:den>
        </m:f>
        <m:r>
          <m:rPr>
            <m:sty m:val="bi"/>
          </m:rPr>
          <w:rPr>
            <w:rFonts w:ascii="Cambria Math" w:hAnsi="Cambria Math" w:cs="Arial"/>
            <w:color w:val="000000" w:themeColor="text1"/>
            <w:lang w:val="es-ES" w:eastAsia="es-ES"/>
          </w:rPr>
          <m:t>+</m:t>
        </m:r>
        <m:f>
          <m:fPr>
            <m:ctrlPr>
              <w:rPr>
                <w:rFonts w:ascii="Cambria Math" w:hAnsi="Cambria Math" w:cs="Arial"/>
                <w:color w:val="000000" w:themeColor="text1"/>
                <w:lang w:val="es-ES" w:eastAsia="es-ES"/>
              </w:rPr>
            </m:ctrlPr>
          </m:fPr>
          <m:num>
            <m:r>
              <m:rPr>
                <m:sty m:val="bi"/>
              </m:rPr>
              <w:rPr>
                <w:rFonts w:ascii="Cambria Math" w:hAnsi="Cambria Math" w:cs="Arial"/>
                <w:color w:val="000000" w:themeColor="text1"/>
                <w:lang w:val="es-ES" w:eastAsia="es-ES"/>
              </w:rPr>
              <m:t>v</m:t>
            </m:r>
            <m:rad>
              <m:radPr>
                <m:degHide m:val="1"/>
                <m:ctrlPr>
                  <w:rPr>
                    <w:rFonts w:ascii="Cambria Math" w:hAnsi="Cambria Math" w:cs="Arial"/>
                    <w:color w:val="000000" w:themeColor="text1"/>
                    <w:lang w:val="es-ES" w:eastAsia="es-ES"/>
                  </w:rPr>
                </m:ctrlPr>
              </m:radPr>
              <m:deg/>
              <m:e>
                <m:r>
                  <m:rPr>
                    <m:sty m:val="bi"/>
                  </m:rPr>
                  <w:rPr>
                    <w:rFonts w:ascii="Cambria Math" w:hAnsi="Cambria Math" w:cs="Arial"/>
                    <w:color w:val="000000" w:themeColor="text1"/>
                    <w:lang w:val="es-ES" w:eastAsia="es-ES"/>
                  </w:rPr>
                  <m:t>T</m:t>
                </m:r>
              </m:e>
            </m:rad>
          </m:num>
          <m:den>
            <m:r>
              <m:rPr>
                <m:sty m:val="bi"/>
              </m:rPr>
              <w:rPr>
                <w:rFonts w:ascii="Cambria Math" w:hAnsi="Cambria Math" w:cs="Arial"/>
                <w:color w:val="000000" w:themeColor="text1"/>
                <w:lang w:val="es-ES" w:eastAsia="es-ES"/>
              </w:rPr>
              <m:t>2</m:t>
            </m:r>
          </m:den>
        </m:f>
        <m:r>
          <m:rPr>
            <m:sty m:val="bi"/>
          </m:rPr>
          <w:rPr>
            <w:rFonts w:ascii="Cambria Math" w:hAnsi="Cambria Math" w:cs="Arial"/>
            <w:color w:val="000000" w:themeColor="text1"/>
            <w:lang w:val="es-ES" w:eastAsia="es-ES"/>
          </w:rPr>
          <m:t xml:space="preserve">                                                                                                               </m:t>
        </m:r>
      </m:oMath>
      <w:r w:rsidRPr="00EB14DE">
        <w:rPr>
          <w:rFonts w:ascii="Arial Narrow" w:hAnsi="Arial Narrow" w:cs="Arial"/>
          <w:bCs/>
          <w:color w:val="000000" w:themeColor="text1"/>
          <w:lang w:val="es-ES" w:eastAsia="es-ES"/>
        </w:rPr>
        <w:t xml:space="preserve">         </w:t>
      </w:r>
    </w:p>
    <w:p w14:paraId="7265BBDA" w14:textId="77777777" w:rsidR="007968EC" w:rsidRPr="00EB14DE" w:rsidRDefault="007968EC" w:rsidP="007968EC">
      <w:pPr>
        <w:jc w:val="both"/>
        <w:rPr>
          <w:rFonts w:ascii="Arial Narrow" w:hAnsi="Arial Narrow" w:cs="Arial"/>
          <w:bCs/>
          <w:color w:val="000000" w:themeColor="text1"/>
          <w:lang w:val="es-ES" w:eastAsia="es-ES"/>
        </w:rPr>
      </w:pPr>
    </w:p>
    <w:p w14:paraId="43E4965A" w14:textId="77777777" w:rsidR="007968EC" w:rsidRPr="00EB14DE" w:rsidRDefault="007968EC" w:rsidP="007968EC">
      <w:pPr>
        <w:jc w:val="both"/>
        <w:rPr>
          <w:rFonts w:ascii="Arial Narrow" w:hAnsi="Arial Narrow" w:cs="Arial"/>
          <w:bCs/>
          <w:color w:val="000000" w:themeColor="text1"/>
          <w:lang w:val="es-ES" w:eastAsia="es-ES"/>
        </w:rPr>
      </w:pPr>
      <w:r w:rsidRPr="00EB14DE">
        <w:rPr>
          <w:rFonts w:ascii="Arial Narrow" w:hAnsi="Arial Narrow" w:cs="Arial"/>
          <w:bCs/>
          <w:color w:val="000000" w:themeColor="text1"/>
          <w:lang w:val="es-ES" w:eastAsia="es-ES"/>
        </w:rPr>
        <w:t>C=Valor teórico de una Opción CALL</w:t>
      </w:r>
    </w:p>
    <w:p w14:paraId="3368D3C9" w14:textId="77777777" w:rsidR="007968EC" w:rsidRPr="00EB14DE" w:rsidRDefault="007968EC" w:rsidP="007968EC">
      <w:pPr>
        <w:jc w:val="both"/>
        <w:rPr>
          <w:rFonts w:ascii="Arial Narrow" w:hAnsi="Arial Narrow" w:cs="Arial"/>
          <w:bCs/>
          <w:color w:val="000000" w:themeColor="text1"/>
          <w:lang w:val="es-ES" w:eastAsia="es-ES"/>
        </w:rPr>
      </w:pPr>
      <w:r w:rsidRPr="00EB14DE">
        <w:rPr>
          <w:rFonts w:ascii="Arial Narrow" w:hAnsi="Arial Narrow" w:cs="Arial"/>
          <w:bCs/>
          <w:color w:val="000000" w:themeColor="text1"/>
          <w:lang w:val="es-ES" w:eastAsia="es-ES"/>
        </w:rPr>
        <w:t>P=Valor teórico de una Opción PUT</w:t>
      </w:r>
    </w:p>
    <w:p w14:paraId="57919EBC" w14:textId="77777777" w:rsidR="007968EC" w:rsidRPr="00EB14DE" w:rsidRDefault="007968EC" w:rsidP="007968EC">
      <w:pPr>
        <w:jc w:val="both"/>
        <w:rPr>
          <w:rFonts w:ascii="Arial Narrow" w:hAnsi="Arial Narrow" w:cs="Arial"/>
          <w:bCs/>
          <w:color w:val="000000" w:themeColor="text1"/>
          <w:lang w:val="es-ES" w:eastAsia="es-ES"/>
        </w:rPr>
      </w:pPr>
      <w:r w:rsidRPr="00EB14DE">
        <w:rPr>
          <w:rFonts w:ascii="Arial Narrow" w:hAnsi="Arial Narrow" w:cs="Arial"/>
          <w:bCs/>
          <w:color w:val="000000" w:themeColor="text1"/>
          <w:lang w:val="es-ES" w:eastAsia="es-ES"/>
        </w:rPr>
        <w:t>S= Precio del subyacente (Acciones, Índices y Divisas (TRM))</w:t>
      </w:r>
    </w:p>
    <w:p w14:paraId="08836E8A" w14:textId="77777777" w:rsidR="007968EC" w:rsidRPr="00EB14DE" w:rsidRDefault="007968EC" w:rsidP="007968EC">
      <w:pPr>
        <w:jc w:val="both"/>
        <w:rPr>
          <w:rFonts w:ascii="Arial Narrow" w:hAnsi="Arial Narrow" w:cs="Arial"/>
          <w:bCs/>
          <w:color w:val="000000" w:themeColor="text1"/>
          <w:lang w:val="es-ES" w:eastAsia="es-ES"/>
        </w:rPr>
      </w:pPr>
      <w:r w:rsidRPr="00EB14DE">
        <w:rPr>
          <w:rFonts w:ascii="Arial Narrow" w:hAnsi="Arial Narrow" w:cs="Arial"/>
          <w:color w:val="000000" w:themeColor="text1"/>
          <w:lang w:val="es-ES" w:eastAsia="es-ES"/>
        </w:rPr>
        <w:t>I</w:t>
      </w:r>
      <w:r w:rsidRPr="00EB14DE">
        <w:rPr>
          <w:rFonts w:ascii="Arial Narrow" w:hAnsi="Arial Narrow" w:cs="Arial"/>
          <w:bCs/>
          <w:color w:val="000000" w:themeColor="text1"/>
          <w:lang w:val="es-ES" w:eastAsia="es-ES"/>
        </w:rPr>
        <w:t xml:space="preserve">= Valor actual de los dividendos  </w:t>
      </w:r>
      <m:oMath>
        <m:r>
          <m:rPr>
            <m:sty m:val="bi"/>
          </m:rPr>
          <w:rPr>
            <w:rFonts w:ascii="Cambria Math" w:hAnsi="Cambria Math" w:cs="Arial"/>
            <w:color w:val="000000" w:themeColor="text1"/>
            <w:lang w:val="es-ES" w:eastAsia="es-ES"/>
          </w:rPr>
          <m:t xml:space="preserve">I= </m:t>
        </m:r>
        <m:nary>
          <m:naryPr>
            <m:chr m:val="∑"/>
            <m:limLoc m:val="undOvr"/>
            <m:subHide m:val="1"/>
            <m:supHide m:val="1"/>
            <m:ctrlPr>
              <w:rPr>
                <w:rFonts w:ascii="Cambria Math" w:hAnsi="Cambria Math" w:cs="Arial"/>
                <w:i/>
                <w:color w:val="000000" w:themeColor="text1"/>
                <w:lang w:val="es-ES" w:eastAsia="es-ES"/>
              </w:rPr>
            </m:ctrlPr>
          </m:naryPr>
          <m:sub/>
          <m:sup/>
          <m:e>
            <m:sSub>
              <m:sSubPr>
                <m:ctrlPr>
                  <w:rPr>
                    <w:rFonts w:ascii="Cambria Math" w:hAnsi="Cambria Math" w:cs="Arial"/>
                    <w:i/>
                    <w:color w:val="000000" w:themeColor="text1"/>
                    <w:lang w:val="es-ES" w:eastAsia="es-ES"/>
                  </w:rPr>
                </m:ctrlPr>
              </m:sSubPr>
              <m:e>
                <m:r>
                  <m:rPr>
                    <m:sty m:val="bi"/>
                  </m:rPr>
                  <w:rPr>
                    <w:rFonts w:ascii="Cambria Math" w:hAnsi="Cambria Math" w:cs="Arial"/>
                    <w:color w:val="000000" w:themeColor="text1"/>
                    <w:lang w:val="es-ES" w:eastAsia="es-ES"/>
                  </w:rPr>
                  <m:t>Div</m:t>
                </m:r>
              </m:e>
              <m:sub>
                <m:r>
                  <m:rPr>
                    <m:sty m:val="bi"/>
                  </m:rPr>
                  <w:rPr>
                    <w:rFonts w:ascii="Cambria Math" w:hAnsi="Cambria Math" w:cs="Arial"/>
                    <w:color w:val="000000" w:themeColor="text1"/>
                    <w:lang w:val="es-ES" w:eastAsia="es-ES"/>
                  </w:rPr>
                  <m:t>t</m:t>
                </m:r>
              </m:sub>
            </m:sSub>
            <m:r>
              <m:rPr>
                <m:sty m:val="bi"/>
              </m:rPr>
              <w:rPr>
                <w:rFonts w:ascii="Cambria Math" w:hAnsi="Cambria Math" w:cs="Arial"/>
                <w:color w:val="000000" w:themeColor="text1"/>
                <w:lang w:val="es-ES" w:eastAsia="es-ES"/>
              </w:rPr>
              <m:t>*</m:t>
            </m:r>
            <m:sSup>
              <m:sSupPr>
                <m:ctrlPr>
                  <w:rPr>
                    <w:rFonts w:ascii="Cambria Math" w:hAnsi="Cambria Math" w:cs="Arial"/>
                    <w:i/>
                    <w:color w:val="000000" w:themeColor="text1"/>
                    <w:lang w:val="es-ES" w:eastAsia="es-ES"/>
                  </w:rPr>
                </m:ctrlPr>
              </m:sSupPr>
              <m:e>
                <m:r>
                  <m:rPr>
                    <m:sty m:val="bi"/>
                  </m:rPr>
                  <w:rPr>
                    <w:rFonts w:ascii="Cambria Math" w:hAnsi="Cambria Math" w:cs="Arial"/>
                    <w:color w:val="000000" w:themeColor="text1"/>
                    <w:lang w:val="es-ES" w:eastAsia="es-ES"/>
                  </w:rPr>
                  <m:t>e</m:t>
                </m:r>
              </m:e>
              <m:sup>
                <m:r>
                  <m:rPr>
                    <m:sty m:val="bi"/>
                  </m:rPr>
                  <w:rPr>
                    <w:rFonts w:ascii="Cambria Math" w:hAnsi="Cambria Math" w:cs="Arial"/>
                    <w:color w:val="000000" w:themeColor="text1"/>
                    <w:lang w:val="es-ES" w:eastAsia="es-ES"/>
                  </w:rPr>
                  <m:t>-rt</m:t>
                </m:r>
              </m:sup>
            </m:sSup>
            <m:r>
              <m:rPr>
                <m:sty m:val="b"/>
              </m:rPr>
              <w:rPr>
                <w:rFonts w:ascii="Cambria Math" w:hAnsi="Cambria Math" w:cs="Arial"/>
                <w:color w:val="000000" w:themeColor="text1"/>
                <w:lang w:val="es-ES" w:eastAsia="es-ES"/>
              </w:rPr>
              <m:t xml:space="preserve">  </m:t>
            </m:r>
          </m:e>
        </m:nary>
      </m:oMath>
    </w:p>
    <w:p w14:paraId="35344840" w14:textId="77777777" w:rsidR="007968EC" w:rsidRPr="00EB14DE" w:rsidRDefault="007968EC" w:rsidP="007968EC">
      <w:pPr>
        <w:jc w:val="both"/>
        <w:rPr>
          <w:rFonts w:ascii="Arial Narrow" w:hAnsi="Arial Narrow" w:cs="Arial"/>
          <w:bCs/>
          <w:color w:val="000000" w:themeColor="text1"/>
          <w:lang w:val="es-ES" w:eastAsia="es-ES"/>
        </w:rPr>
      </w:pPr>
      <w:r w:rsidRPr="00EB14DE">
        <w:rPr>
          <w:rFonts w:ascii="Arial Narrow" w:hAnsi="Arial Narrow" w:cs="Arial"/>
          <w:bCs/>
          <w:color w:val="000000" w:themeColor="text1"/>
          <w:lang w:val="es-ES" w:eastAsia="es-ES"/>
        </w:rPr>
        <w:t>E= Precio de ejercicio de la Opción</w:t>
      </w:r>
    </w:p>
    <w:p w14:paraId="31C487DB" w14:textId="77777777" w:rsidR="007968EC" w:rsidRPr="00EB14DE" w:rsidRDefault="007968EC" w:rsidP="007968EC">
      <w:pPr>
        <w:jc w:val="both"/>
        <w:rPr>
          <w:rFonts w:ascii="Arial Narrow" w:hAnsi="Arial Narrow" w:cs="Arial"/>
          <w:bCs/>
          <w:color w:val="000000" w:themeColor="text1"/>
          <w:lang w:val="es-ES" w:eastAsia="es-ES"/>
        </w:rPr>
      </w:pPr>
      <w:r w:rsidRPr="00EB14DE">
        <w:rPr>
          <w:rFonts w:ascii="Arial Narrow" w:hAnsi="Arial Narrow" w:cs="Arial"/>
          <w:bCs/>
          <w:color w:val="000000" w:themeColor="text1"/>
          <w:lang w:val="es-ES" w:eastAsia="es-ES"/>
        </w:rPr>
        <w:t>T= Días a vencimiento / Días año (365 si el periodo analizado es superior a 365 días, y 360 en caso contrario)</w:t>
      </w:r>
    </w:p>
    <w:p w14:paraId="5B9CB6C5" w14:textId="77777777" w:rsidR="007968EC" w:rsidRPr="00EB14DE" w:rsidRDefault="007968EC" w:rsidP="007968EC">
      <w:pPr>
        <w:jc w:val="both"/>
        <w:rPr>
          <w:rFonts w:ascii="Arial Narrow" w:hAnsi="Arial Narrow" w:cs="Arial"/>
          <w:bCs/>
          <w:color w:val="000000" w:themeColor="text1"/>
          <w:lang w:val="es-ES" w:eastAsia="es-ES"/>
        </w:rPr>
      </w:pPr>
      <w:r w:rsidRPr="00EB14DE">
        <w:rPr>
          <w:rFonts w:ascii="Arial Narrow" w:hAnsi="Arial Narrow" w:cs="Arial"/>
          <w:bCs/>
          <w:color w:val="000000" w:themeColor="text1"/>
          <w:lang w:val="es-ES" w:eastAsia="es-ES"/>
        </w:rPr>
        <w:t>V= Volatilidad anualizada (en porcentaje)</w:t>
      </w:r>
    </w:p>
    <w:p w14:paraId="261C9815" w14:textId="77777777" w:rsidR="007968EC" w:rsidRPr="00EB14DE" w:rsidRDefault="007968EC" w:rsidP="007968EC">
      <w:pPr>
        <w:jc w:val="both"/>
        <w:rPr>
          <w:rFonts w:ascii="Arial Narrow" w:hAnsi="Arial Narrow" w:cs="Arial"/>
          <w:bCs/>
          <w:color w:val="000000" w:themeColor="text1"/>
          <w:lang w:val="es-ES" w:eastAsia="es-ES"/>
        </w:rPr>
      </w:pPr>
      <w:r w:rsidRPr="00EB14DE">
        <w:rPr>
          <w:rFonts w:ascii="Arial Narrow" w:hAnsi="Arial Narrow" w:cs="Arial"/>
          <w:bCs/>
          <w:color w:val="000000" w:themeColor="text1"/>
          <w:lang w:val="es-ES" w:eastAsia="es-ES"/>
        </w:rPr>
        <w:t>R= Tipo de interés (IBR)</w:t>
      </w:r>
    </w:p>
    <w:p w14:paraId="3203226A" w14:textId="77777777" w:rsidR="007968EC" w:rsidRPr="00EB14DE" w:rsidRDefault="007968EC" w:rsidP="007968EC">
      <w:pPr>
        <w:autoSpaceDE w:val="0"/>
        <w:autoSpaceDN w:val="0"/>
        <w:adjustRightInd w:val="0"/>
        <w:rPr>
          <w:rFonts w:ascii="Arial Narrow" w:hAnsi="Arial Narrow" w:cs="Calibri"/>
          <w:color w:val="000000" w:themeColor="text1"/>
          <w:lang w:val="es-ES" w:eastAsia="es-ES"/>
        </w:rPr>
      </w:pPr>
      <w:r w:rsidRPr="00EB14DE">
        <w:rPr>
          <w:rFonts w:ascii="Arial Narrow" w:hAnsi="Arial Narrow" w:cs="Arial"/>
          <w:bCs/>
          <w:color w:val="000000" w:themeColor="text1"/>
          <w:lang w:val="es-ES" w:eastAsia="es-ES"/>
        </w:rPr>
        <w:t xml:space="preserve">N(D)= Significa el </w:t>
      </w:r>
      <w:r w:rsidRPr="00EB14DE">
        <w:rPr>
          <w:rFonts w:ascii="Arial Narrow" w:hAnsi="Arial Narrow" w:cs="Calibri"/>
          <w:color w:val="000000" w:themeColor="text1"/>
          <w:lang w:val="es-ES" w:eastAsia="es-ES"/>
        </w:rPr>
        <w:t xml:space="preserve">valor presente del beneficio de ejercer la Opción al vencimiento, condicionado a  </w:t>
      </w:r>
      <m:oMath>
        <m:r>
          <m:rPr>
            <m:sty m:val="bi"/>
          </m:rPr>
          <w:rPr>
            <w:rFonts w:ascii="Cambria Math" w:hAnsi="Cambria Math" w:cs="Calibri"/>
            <w:color w:val="000000" w:themeColor="text1"/>
            <w:lang w:val="es-ES" w:eastAsia="es-ES"/>
          </w:rPr>
          <m:t>F&gt;E</m:t>
        </m:r>
      </m:oMath>
      <w:r w:rsidRPr="00EB14DE">
        <w:rPr>
          <w:rFonts w:ascii="Arial Narrow" w:hAnsi="Arial Narrow" w:cs="Calibri"/>
          <w:color w:val="000000" w:themeColor="text1"/>
          <w:lang w:val="es-ES" w:eastAsia="es-ES"/>
        </w:rPr>
        <w:t>.</w:t>
      </w:r>
    </w:p>
    <w:p w14:paraId="3D4C0C9B" w14:textId="77777777" w:rsidR="007968EC" w:rsidRPr="00EB14DE" w:rsidRDefault="007968EC" w:rsidP="007968EC">
      <w:pPr>
        <w:autoSpaceDE w:val="0"/>
        <w:autoSpaceDN w:val="0"/>
        <w:adjustRightInd w:val="0"/>
        <w:rPr>
          <w:rFonts w:ascii="Arial Narrow" w:hAnsi="Arial Narrow" w:cs="Arial"/>
          <w:color w:val="000000" w:themeColor="text1"/>
          <w:lang w:val="es-ES" w:eastAsia="es-ES"/>
        </w:rPr>
      </w:pPr>
      <m:oMath>
        <m:r>
          <m:rPr>
            <m:sty m:val="bi"/>
          </m:rPr>
          <w:rPr>
            <w:rFonts w:ascii="Cambria Math" w:hAnsi="Cambria Math" w:cs="Arial"/>
            <w:color w:val="000000" w:themeColor="text1"/>
            <w:lang w:val="es-ES" w:eastAsia="es-ES"/>
          </w:rPr>
          <m:t>N</m:t>
        </m:r>
        <m:d>
          <m:dPr>
            <m:ctrlPr>
              <w:rPr>
                <w:rFonts w:ascii="Cambria Math" w:hAnsi="Cambria Math" w:cs="Arial"/>
                <w:i/>
                <w:color w:val="000000" w:themeColor="text1"/>
                <w:lang w:val="es-ES" w:eastAsia="es-ES"/>
              </w:rPr>
            </m:ctrlPr>
          </m:dPr>
          <m:e>
            <m:r>
              <m:rPr>
                <m:sty m:val="bi"/>
              </m:rPr>
              <w:rPr>
                <w:rFonts w:ascii="Cambria Math" w:hAnsi="Cambria Math" w:cs="Arial"/>
                <w:color w:val="000000" w:themeColor="text1"/>
                <w:lang w:val="es-ES" w:eastAsia="es-ES"/>
              </w:rPr>
              <m:t>D-v</m:t>
            </m:r>
            <m:rad>
              <m:radPr>
                <m:degHide m:val="1"/>
                <m:ctrlPr>
                  <w:rPr>
                    <w:rFonts w:ascii="Cambria Math" w:hAnsi="Cambria Math" w:cs="Arial"/>
                    <w:i/>
                    <w:color w:val="000000" w:themeColor="text1"/>
                    <w:lang w:val="es-ES" w:eastAsia="es-ES"/>
                  </w:rPr>
                </m:ctrlPr>
              </m:radPr>
              <m:deg/>
              <m:e>
                <m:r>
                  <m:rPr>
                    <m:sty m:val="bi"/>
                  </m:rPr>
                  <w:rPr>
                    <w:rFonts w:ascii="Cambria Math" w:hAnsi="Cambria Math" w:cs="Arial"/>
                    <w:color w:val="000000" w:themeColor="text1"/>
                    <w:lang w:val="es-ES" w:eastAsia="es-ES"/>
                  </w:rPr>
                  <m:t>t</m:t>
                </m:r>
              </m:e>
            </m:rad>
          </m:e>
        </m:d>
        <m:r>
          <m:rPr>
            <m:sty m:val="bi"/>
          </m:rPr>
          <w:rPr>
            <w:rFonts w:ascii="Cambria Math" w:hAnsi="Cambria Math" w:cs="Arial"/>
            <w:color w:val="000000" w:themeColor="text1"/>
            <w:lang w:val="es-ES" w:eastAsia="es-ES"/>
          </w:rPr>
          <m:t>=</m:t>
        </m:r>
      </m:oMath>
      <w:r w:rsidRPr="00EB14DE">
        <w:rPr>
          <w:rFonts w:ascii="Arial Narrow" w:hAnsi="Arial Narrow" w:cs="Arial"/>
          <w:color w:val="000000" w:themeColor="text1"/>
          <w:lang w:val="es-ES" w:eastAsia="es-ES"/>
        </w:rPr>
        <w:t xml:space="preserve"> El valor presente de los costos esperados de ejercer la Opción, condicionados a que la opció n este ITM en el vencimiento. Es decir, la probabilidad que esto suceda.</w:t>
      </w:r>
    </w:p>
    <w:p w14:paraId="298C76D1" w14:textId="77777777" w:rsidR="007968EC" w:rsidRPr="00EB14DE" w:rsidRDefault="007968EC" w:rsidP="007968EC">
      <w:pPr>
        <w:jc w:val="both"/>
        <w:rPr>
          <w:rFonts w:ascii="Arial Narrow" w:hAnsi="Arial Narrow" w:cs="Arial"/>
          <w:bCs/>
          <w:color w:val="000000" w:themeColor="text1"/>
          <w:lang w:val="es-ES" w:eastAsia="es-ES"/>
        </w:rPr>
      </w:pPr>
    </w:p>
    <w:p w14:paraId="0CB707F8" w14:textId="77777777" w:rsidR="007968EC" w:rsidRPr="00EB14DE" w:rsidRDefault="007968EC" w:rsidP="007968EC">
      <w:pPr>
        <w:autoSpaceDE w:val="0"/>
        <w:autoSpaceDN w:val="0"/>
        <w:jc w:val="both"/>
        <w:rPr>
          <w:rFonts w:ascii="Arial Narrow" w:hAnsi="Arial Narrow" w:cs="Verdana"/>
          <w:color w:val="000000" w:themeColor="text1"/>
          <w:lang w:val="es-ES_tradnl" w:eastAsia="es-ES"/>
        </w:rPr>
      </w:pPr>
      <w:r w:rsidRPr="00EB14DE">
        <w:rPr>
          <w:rFonts w:ascii="Arial Narrow" w:hAnsi="Arial Narrow" w:cs="Arial"/>
          <w:bCs/>
          <w:color w:val="000000" w:themeColor="text1"/>
          <w:lang w:val="es-ES" w:eastAsia="es-ES"/>
        </w:rPr>
        <w:t>Para el cálculo de N(x), la función de Distribución Normal Estándar acumulada, se utiliza la aproximación polinómica de Taylor de grado 3.</w:t>
      </w:r>
    </w:p>
    <w:p w14:paraId="64B978FA" w14:textId="77777777" w:rsidR="007968EC" w:rsidRPr="00EB14DE" w:rsidRDefault="007968EC" w:rsidP="007968EC">
      <w:pPr>
        <w:autoSpaceDE w:val="0"/>
        <w:autoSpaceDN w:val="0"/>
        <w:jc w:val="both"/>
        <w:rPr>
          <w:rFonts w:ascii="Arial Narrow" w:hAnsi="Arial Narrow" w:cs="Verdana"/>
          <w:color w:val="000000" w:themeColor="text1"/>
          <w:lang w:val="es-ES_tradnl" w:eastAsia="es-ES"/>
        </w:rPr>
      </w:pPr>
    </w:p>
    <w:p w14:paraId="3A62FE64" w14:textId="77777777" w:rsidR="007968EC" w:rsidRPr="00EB14DE" w:rsidRDefault="007968EC" w:rsidP="00DA7472">
      <w:pPr>
        <w:numPr>
          <w:ilvl w:val="0"/>
          <w:numId w:val="250"/>
        </w:numPr>
        <w:autoSpaceDE w:val="0"/>
        <w:autoSpaceDN w:val="0"/>
        <w:adjustRightInd w:val="0"/>
        <w:ind w:left="426" w:hanging="426"/>
        <w:contextualSpacing/>
        <w:jc w:val="both"/>
        <w:rPr>
          <w:rFonts w:ascii="Arial Narrow" w:hAnsi="Arial Narrow"/>
          <w:color w:val="000000" w:themeColor="text1"/>
          <w:lang w:val="es-ES_tradnl" w:eastAsia="es-ES"/>
        </w:rPr>
      </w:pPr>
      <w:proofErr w:type="gramStart"/>
      <w:r w:rsidRPr="00EB14DE">
        <w:rPr>
          <w:rFonts w:ascii="Arial Narrow" w:hAnsi="Arial Narrow"/>
          <w:color w:val="000000" w:themeColor="text1"/>
          <w:lang w:val="es-ES" w:eastAsia="es-ES"/>
        </w:rPr>
        <w:t xml:space="preserve">Procedimiento a </w:t>
      </w:r>
      <w:r w:rsidRPr="00EB14DE">
        <w:rPr>
          <w:rFonts w:ascii="Arial Narrow" w:hAnsi="Arial Narrow" w:cs="Arial"/>
          <w:color w:val="000000" w:themeColor="text1"/>
          <w:lang w:val="es-ES" w:eastAsia="es-ES"/>
        </w:rPr>
        <w:t>seguir</w:t>
      </w:r>
      <w:proofErr w:type="gramEnd"/>
      <w:r w:rsidRPr="00EB14DE">
        <w:rPr>
          <w:rFonts w:ascii="Arial Narrow" w:hAnsi="Arial Narrow"/>
          <w:color w:val="000000" w:themeColor="text1"/>
          <w:lang w:val="es-ES" w:eastAsia="es-ES"/>
        </w:rPr>
        <w:t xml:space="preserve"> ante eventos corporativos que afecten la Opción sobre la acción de Ecopetrol.</w:t>
      </w:r>
      <w:r w:rsidRPr="00EB14DE">
        <w:rPr>
          <w:rFonts w:ascii="Arial Narrow" w:hAnsi="Arial Narrow"/>
          <w:color w:val="000000" w:themeColor="text1"/>
          <w:lang w:val="es-ES_tradnl" w:eastAsia="es-ES"/>
        </w:rPr>
        <w:t xml:space="preserve">        </w:t>
      </w:r>
    </w:p>
    <w:p w14:paraId="02C60791" w14:textId="77777777" w:rsidR="007968EC" w:rsidRPr="00EB14DE" w:rsidRDefault="007968EC" w:rsidP="007968EC">
      <w:pPr>
        <w:autoSpaceDE w:val="0"/>
        <w:autoSpaceDN w:val="0"/>
        <w:adjustRightInd w:val="0"/>
        <w:ind w:left="426"/>
        <w:contextualSpacing/>
        <w:jc w:val="both"/>
        <w:rPr>
          <w:rFonts w:ascii="Arial Narrow" w:hAnsi="Arial Narrow"/>
          <w:color w:val="000000" w:themeColor="text1"/>
          <w:lang w:val="es-ES_tradnl" w:eastAsia="es-ES"/>
        </w:rPr>
      </w:pPr>
    </w:p>
    <w:p w14:paraId="021CF2DD" w14:textId="77777777" w:rsidR="007968EC" w:rsidRPr="00EB14DE" w:rsidRDefault="007968EC" w:rsidP="007968EC">
      <w:pPr>
        <w:autoSpaceDE w:val="0"/>
        <w:autoSpaceDN w:val="0"/>
        <w:adjustRightInd w:val="0"/>
        <w:ind w:left="426"/>
        <w:contextualSpacing/>
        <w:jc w:val="both"/>
        <w:rPr>
          <w:rFonts w:ascii="Arial Narrow" w:hAnsi="Arial Narrow"/>
          <w:color w:val="000000" w:themeColor="text1"/>
          <w:lang w:val="es-ES_tradnl" w:eastAsia="es-ES"/>
        </w:rPr>
      </w:pPr>
      <w:r w:rsidRPr="00EB14DE">
        <w:rPr>
          <w:rFonts w:ascii="Arial Narrow" w:hAnsi="Arial Narrow"/>
          <w:color w:val="000000" w:themeColor="text1"/>
          <w:lang w:val="es-ES_tradnl" w:eastAsia="es-ES"/>
        </w:rPr>
        <w:t xml:space="preserve">En caso de </w:t>
      </w:r>
      <w:r w:rsidRPr="00EB14DE">
        <w:rPr>
          <w:rFonts w:ascii="Arial Narrow" w:hAnsi="Arial Narrow" w:cs="Arial"/>
          <w:color w:val="000000" w:themeColor="text1"/>
          <w:lang w:val="es-ES" w:eastAsia="es-ES"/>
        </w:rPr>
        <w:t>cualquier</w:t>
      </w:r>
      <w:r w:rsidRPr="00EB14DE">
        <w:rPr>
          <w:rFonts w:ascii="Arial Narrow" w:hAnsi="Arial Narrow"/>
          <w:color w:val="000000" w:themeColor="text1"/>
          <w:lang w:val="es-ES_tradnl" w:eastAsia="es-ES"/>
        </w:rPr>
        <w:t xml:space="preserve"> evento corporativo la Cámara surtirá el siguiente procedimiento:</w:t>
      </w:r>
    </w:p>
    <w:p w14:paraId="2B9DA9B5" w14:textId="77777777" w:rsidR="007968EC" w:rsidRPr="00EB14DE" w:rsidRDefault="007968EC" w:rsidP="007968EC">
      <w:pPr>
        <w:contextualSpacing/>
        <w:jc w:val="both"/>
        <w:rPr>
          <w:rFonts w:ascii="Arial Narrow" w:hAnsi="Arial Narrow"/>
          <w:color w:val="000000" w:themeColor="text1"/>
          <w:lang w:val="es-ES_tradnl" w:eastAsia="es-ES"/>
        </w:rPr>
      </w:pPr>
    </w:p>
    <w:p w14:paraId="5A844FAD" w14:textId="77777777" w:rsidR="007968EC" w:rsidRPr="00EB14DE" w:rsidRDefault="007968EC" w:rsidP="00DA7472">
      <w:pPr>
        <w:numPr>
          <w:ilvl w:val="0"/>
          <w:numId w:val="251"/>
        </w:numPr>
        <w:contextualSpacing/>
        <w:jc w:val="both"/>
        <w:rPr>
          <w:rFonts w:ascii="Arial Narrow" w:hAnsi="Arial Narrow"/>
          <w:color w:val="000000" w:themeColor="text1"/>
          <w:lang w:eastAsia="es-CO"/>
        </w:rPr>
      </w:pPr>
      <w:r w:rsidRPr="00EB14DE">
        <w:rPr>
          <w:rFonts w:ascii="Arial Narrow" w:hAnsi="Arial Narrow"/>
          <w:color w:val="000000" w:themeColor="text1"/>
          <w:lang w:val="es-ES_tradnl" w:eastAsia="es-CO"/>
        </w:rPr>
        <w:t>BVC informará al mercado y a la Cámara el evento corporativo con todas las características necesarias para hacer los ajustes respectivos en las posiciones de cada uno de los Miembros y Terceros, mínimo con dos (2) días hábiles de anticipación a la ocurrencia del evento.</w:t>
      </w:r>
    </w:p>
    <w:p w14:paraId="20F18A9F" w14:textId="77777777" w:rsidR="007968EC" w:rsidRPr="00EB14DE" w:rsidRDefault="007968EC" w:rsidP="007968EC">
      <w:pPr>
        <w:ind w:left="720"/>
        <w:contextualSpacing/>
        <w:jc w:val="both"/>
        <w:rPr>
          <w:rFonts w:ascii="Arial Narrow" w:hAnsi="Arial Narrow"/>
          <w:color w:val="000000" w:themeColor="text1"/>
          <w:lang w:val="es-ES" w:eastAsia="es-ES"/>
        </w:rPr>
      </w:pPr>
    </w:p>
    <w:p w14:paraId="6D5FC961" w14:textId="77777777" w:rsidR="007968EC" w:rsidRPr="00EB14DE" w:rsidRDefault="007968EC" w:rsidP="007968EC">
      <w:pPr>
        <w:ind w:left="720"/>
        <w:contextualSpacing/>
        <w:jc w:val="both"/>
        <w:rPr>
          <w:rFonts w:ascii="Arial Narrow" w:hAnsi="Arial Narrow"/>
          <w:color w:val="000000" w:themeColor="text1"/>
          <w:lang w:val="es-ES_tradnl" w:eastAsia="es-ES"/>
        </w:rPr>
      </w:pPr>
      <w:r w:rsidRPr="00EB14DE">
        <w:rPr>
          <w:rFonts w:ascii="Arial Narrow" w:hAnsi="Arial Narrow"/>
          <w:color w:val="000000" w:themeColor="text1"/>
          <w:lang w:val="es-ES_tradnl" w:eastAsia="es-ES"/>
        </w:rPr>
        <w:t>Las características mínimas que informará la BVC son: la fecha de materialización del evento, factor de conversión entre la acción antes del evento y la acción después del evento, tamaño del contrato antes y después del evento, precio del contrato antes y después del evento, el número de decimales que implica el ajuste de las posiciones y cualquier otra característica necesaria para que el titular de Cuenta y la Cámara puedan evaluar su impacto.</w:t>
      </w:r>
    </w:p>
    <w:p w14:paraId="0EBD835B" w14:textId="77777777" w:rsidR="007968EC" w:rsidRPr="00EB14DE" w:rsidRDefault="007968EC" w:rsidP="007968EC">
      <w:pPr>
        <w:jc w:val="both"/>
        <w:rPr>
          <w:rFonts w:ascii="Arial Narrow" w:hAnsi="Arial Narrow"/>
          <w:color w:val="000000" w:themeColor="text1"/>
          <w:lang w:val="es-ES" w:eastAsia="es-ES"/>
        </w:rPr>
      </w:pPr>
    </w:p>
    <w:p w14:paraId="1764E9F1" w14:textId="77777777" w:rsidR="007968EC" w:rsidRPr="00EB14DE" w:rsidRDefault="007968EC" w:rsidP="00DA7472">
      <w:pPr>
        <w:numPr>
          <w:ilvl w:val="0"/>
          <w:numId w:val="251"/>
        </w:numPr>
        <w:contextualSpacing/>
        <w:jc w:val="both"/>
        <w:rPr>
          <w:rFonts w:ascii="Arial Narrow" w:hAnsi="Arial Narrow"/>
          <w:color w:val="000000" w:themeColor="text1"/>
          <w:lang w:eastAsia="es-CO"/>
        </w:rPr>
      </w:pPr>
      <w:r w:rsidRPr="00EB14DE">
        <w:rPr>
          <w:rFonts w:ascii="Arial Narrow" w:hAnsi="Arial Narrow"/>
          <w:color w:val="000000" w:themeColor="text1"/>
          <w:lang w:val="es-ES_tradnl" w:eastAsia="es-CO"/>
        </w:rPr>
        <w:t xml:space="preserve">En caso de no conocerse el evento con dos (2) días hábiles de anticipación, la Cámara podrá solicitar a la BVC que la negociación del Contrato de Opciones sobre Acciones de Ecopetrol sea suspendida temporalmente hasta por dos (2) días hábiles con el propósito de adoptar las medidas necesarias de ajuste de las posiciones en relación con el impacto del evento corporativo. </w:t>
      </w:r>
    </w:p>
    <w:p w14:paraId="156F78A7" w14:textId="77777777" w:rsidR="007968EC" w:rsidRPr="00EB14DE" w:rsidRDefault="007968EC" w:rsidP="007968EC">
      <w:pPr>
        <w:ind w:left="720"/>
        <w:contextualSpacing/>
        <w:jc w:val="both"/>
        <w:rPr>
          <w:rFonts w:ascii="Arial Narrow" w:hAnsi="Arial Narrow"/>
          <w:color w:val="000000" w:themeColor="text1"/>
          <w:lang w:val="es-ES" w:eastAsia="es-ES"/>
        </w:rPr>
      </w:pPr>
    </w:p>
    <w:p w14:paraId="707457B0" w14:textId="77777777" w:rsidR="007968EC" w:rsidRPr="00EB14DE" w:rsidRDefault="007968EC" w:rsidP="00DA7472">
      <w:pPr>
        <w:numPr>
          <w:ilvl w:val="0"/>
          <w:numId w:val="251"/>
        </w:numPr>
        <w:contextualSpacing/>
        <w:jc w:val="both"/>
        <w:rPr>
          <w:rFonts w:ascii="Arial Narrow" w:hAnsi="Arial Narrow"/>
          <w:color w:val="000000" w:themeColor="text1"/>
          <w:lang w:val="es-ES_tradnl" w:eastAsia="es-ES"/>
        </w:rPr>
      </w:pPr>
      <w:r w:rsidRPr="00EB14DE">
        <w:rPr>
          <w:rFonts w:ascii="Arial Narrow" w:hAnsi="Arial Narrow"/>
          <w:color w:val="000000" w:themeColor="text1"/>
          <w:lang w:val="es-ES_tradnl" w:eastAsia="es-ES"/>
        </w:rPr>
        <w:t>La Cámara y la BVC coordinarán las gestiones operativas que deban desarrollar para resolver los eventos corporativos incluyendo la creación de nuevos nemotécnicos, la realización de operaciones y el truncamiento o la aproximación de los parámetros de negociación resultantes del evento corporativo, entre otras medidas operativas que se estimen necesarias.</w:t>
      </w:r>
    </w:p>
    <w:p w14:paraId="3A54DD8B" w14:textId="77777777" w:rsidR="007968EC" w:rsidRPr="00EB14DE" w:rsidRDefault="007968EC" w:rsidP="007968EC">
      <w:pPr>
        <w:contextualSpacing/>
        <w:jc w:val="both"/>
        <w:rPr>
          <w:rFonts w:ascii="Arial Narrow" w:hAnsi="Arial Narrow"/>
          <w:color w:val="000000" w:themeColor="text1"/>
          <w:lang w:val="es-ES_tradnl" w:eastAsia="es-ES"/>
        </w:rPr>
      </w:pPr>
    </w:p>
    <w:p w14:paraId="64C3F8D5" w14:textId="77777777" w:rsidR="007968EC" w:rsidRPr="00EB14DE" w:rsidRDefault="007968EC" w:rsidP="00DA7472">
      <w:pPr>
        <w:numPr>
          <w:ilvl w:val="0"/>
          <w:numId w:val="251"/>
        </w:numPr>
        <w:contextualSpacing/>
        <w:jc w:val="both"/>
        <w:rPr>
          <w:rFonts w:ascii="Arial Narrow" w:hAnsi="Arial Narrow"/>
          <w:color w:val="000000" w:themeColor="text1"/>
          <w:lang w:val="es-ES" w:eastAsia="es-ES"/>
        </w:rPr>
      </w:pPr>
      <w:r w:rsidRPr="00EB14DE">
        <w:rPr>
          <w:rFonts w:ascii="Arial Narrow" w:hAnsi="Arial Narrow"/>
          <w:color w:val="000000" w:themeColor="text1"/>
          <w:lang w:val="es-ES" w:eastAsia="es-ES"/>
        </w:rPr>
        <w:t>La Cámara procederá a efectuar las gestiones operativas previamente coordinadas con la BVC con el fin de ajustar la posición de l</w:t>
      </w:r>
      <w:r w:rsidRPr="00EB14DE">
        <w:rPr>
          <w:rFonts w:ascii="Arial Narrow" w:hAnsi="Arial Narrow"/>
          <w:color w:val="000000" w:themeColor="text1"/>
          <w:lang w:val="es-ES_tradnl" w:eastAsia="es-ES"/>
        </w:rPr>
        <w:t>os Contratos de Opciones sobre Acciones de Ecopetrol de cada uno de los Miembros y de los Terceros,</w:t>
      </w:r>
      <w:r w:rsidRPr="00EB14DE">
        <w:rPr>
          <w:rFonts w:ascii="Arial Narrow" w:hAnsi="Arial Narrow"/>
          <w:color w:val="000000" w:themeColor="text1"/>
          <w:lang w:val="es-ES" w:eastAsia="es-ES"/>
        </w:rPr>
        <w:t xml:space="preserve"> </w:t>
      </w:r>
      <w:r w:rsidRPr="00EB14DE">
        <w:rPr>
          <w:rFonts w:ascii="Arial Narrow" w:hAnsi="Arial Narrow"/>
          <w:color w:val="000000" w:themeColor="text1"/>
          <w:lang w:val="es-ES_tradnl" w:eastAsia="es-ES"/>
        </w:rPr>
        <w:t>como consecuencia del evento corporativo</w:t>
      </w:r>
      <w:r w:rsidRPr="00EB14DE">
        <w:rPr>
          <w:rFonts w:ascii="Arial Narrow" w:hAnsi="Arial Narrow"/>
          <w:color w:val="000000" w:themeColor="text1"/>
          <w:lang w:val="es-ES" w:eastAsia="es-ES"/>
        </w:rPr>
        <w:t>.</w:t>
      </w:r>
    </w:p>
    <w:p w14:paraId="4D2DED54" w14:textId="77777777" w:rsidR="007968EC" w:rsidRPr="00EB14DE" w:rsidRDefault="007968EC" w:rsidP="007968EC">
      <w:pPr>
        <w:contextualSpacing/>
        <w:jc w:val="both"/>
        <w:rPr>
          <w:rFonts w:ascii="Arial Narrow" w:hAnsi="Arial Narrow"/>
          <w:color w:val="000000" w:themeColor="text1"/>
          <w:lang w:val="es-ES" w:eastAsia="es-ES"/>
        </w:rPr>
      </w:pPr>
    </w:p>
    <w:p w14:paraId="75F68335" w14:textId="77777777" w:rsidR="007968EC" w:rsidRPr="00EB14DE" w:rsidRDefault="007968EC" w:rsidP="00DA7472">
      <w:pPr>
        <w:numPr>
          <w:ilvl w:val="0"/>
          <w:numId w:val="251"/>
        </w:numPr>
        <w:contextualSpacing/>
        <w:jc w:val="both"/>
        <w:rPr>
          <w:rFonts w:ascii="Arial Narrow" w:hAnsi="Arial Narrow"/>
          <w:color w:val="000000" w:themeColor="text1"/>
          <w:lang w:val="es-ES" w:eastAsia="es-ES"/>
        </w:rPr>
      </w:pPr>
      <w:r w:rsidRPr="00EB14DE">
        <w:rPr>
          <w:rFonts w:ascii="Arial Narrow" w:hAnsi="Arial Narrow"/>
          <w:color w:val="000000" w:themeColor="text1"/>
          <w:lang w:val="es-ES_tradnl" w:eastAsia="es-ES"/>
        </w:rPr>
        <w:t xml:space="preserve">La Cámara temporalmente tendrá publicado en el Sistema dos nemotécnicos, la BVC informará con suficiente anticipación al mercado el nemotécnico que será negociable, al igual que las fechas en que será suspendido el nemotécnico que dejará de ser negociado. </w:t>
      </w:r>
    </w:p>
    <w:p w14:paraId="0D148457" w14:textId="77777777" w:rsidR="007968EC" w:rsidRPr="00EB14DE" w:rsidRDefault="007968EC" w:rsidP="007968EC">
      <w:pPr>
        <w:contextualSpacing/>
        <w:jc w:val="both"/>
        <w:rPr>
          <w:rFonts w:ascii="Arial Narrow" w:hAnsi="Arial Narrow"/>
          <w:color w:val="000000" w:themeColor="text1"/>
          <w:lang w:val="es-ES" w:eastAsia="es-ES"/>
        </w:rPr>
      </w:pPr>
    </w:p>
    <w:p w14:paraId="6725A949" w14:textId="77777777" w:rsidR="007968EC" w:rsidRPr="00EB14DE" w:rsidRDefault="007968EC" w:rsidP="00DA7472">
      <w:pPr>
        <w:numPr>
          <w:ilvl w:val="0"/>
          <w:numId w:val="251"/>
        </w:numPr>
        <w:contextualSpacing/>
        <w:jc w:val="both"/>
        <w:rPr>
          <w:rFonts w:ascii="Arial Narrow" w:hAnsi="Arial Narrow"/>
          <w:color w:val="000000" w:themeColor="text1"/>
          <w:lang w:val="es-ES_tradnl" w:eastAsia="es-ES"/>
        </w:rPr>
      </w:pPr>
      <w:r w:rsidRPr="00EB14DE">
        <w:rPr>
          <w:rFonts w:ascii="Arial Narrow" w:hAnsi="Arial Narrow"/>
          <w:color w:val="000000" w:themeColor="text1"/>
          <w:lang w:val="es-ES_tradnl" w:eastAsia="es-ES"/>
        </w:rPr>
        <w:t>La Cámara anunciará a los Miembros Liquidadores el resultado de sus posiciones y de las de sus Terceros y Miembros no Liquidadores y de las de los Terceros de éstos, después de realizar los ajustes que ocasiona el evento corporativo, previo al inicio de la negociación de los Contratos de Opciones sobre la acción de Ecopetrol ajustados por el evento corporativo.</w:t>
      </w:r>
    </w:p>
    <w:p w14:paraId="2ADC51C1" w14:textId="77777777" w:rsidR="007968EC" w:rsidRPr="00EB14DE" w:rsidRDefault="007968EC" w:rsidP="007968EC">
      <w:pPr>
        <w:ind w:left="720"/>
        <w:contextualSpacing/>
        <w:rPr>
          <w:rFonts w:ascii="Arial Narrow" w:hAnsi="Arial Narrow"/>
          <w:color w:val="000000" w:themeColor="text1"/>
          <w:lang w:val="es-ES_tradnl" w:eastAsia="es-ES"/>
        </w:rPr>
      </w:pPr>
    </w:p>
    <w:p w14:paraId="613912BB" w14:textId="77777777" w:rsidR="007968EC" w:rsidRPr="00EB14DE" w:rsidRDefault="007968EC" w:rsidP="00DA7472">
      <w:pPr>
        <w:numPr>
          <w:ilvl w:val="0"/>
          <w:numId w:val="250"/>
        </w:numPr>
        <w:autoSpaceDE w:val="0"/>
        <w:autoSpaceDN w:val="0"/>
        <w:adjustRightInd w:val="0"/>
        <w:ind w:left="426" w:hanging="426"/>
        <w:contextualSpacing/>
        <w:jc w:val="both"/>
        <w:rPr>
          <w:rFonts w:ascii="Arial Narrow" w:hAnsi="Arial Narrow"/>
          <w:bCs/>
          <w:color w:val="000000" w:themeColor="text1"/>
          <w:lang w:eastAsia="es-CO"/>
        </w:rPr>
      </w:pPr>
      <w:r w:rsidRPr="00EB14DE">
        <w:rPr>
          <w:rFonts w:ascii="Arial Narrow" w:hAnsi="Arial Narrow"/>
          <w:bCs/>
          <w:color w:val="000000" w:themeColor="text1"/>
          <w:lang w:val="es-ES_tradnl" w:eastAsia="es-CO"/>
        </w:rPr>
        <w:t>Activos recibidos en garantía: S</w:t>
      </w:r>
      <w:proofErr w:type="spellStart"/>
      <w:r w:rsidRPr="00EB14DE">
        <w:rPr>
          <w:rFonts w:ascii="Arial Narrow" w:hAnsi="Arial Narrow"/>
          <w:bCs/>
          <w:color w:val="000000" w:themeColor="text1"/>
          <w:lang w:eastAsia="es-CO"/>
        </w:rPr>
        <w:t>e</w:t>
      </w:r>
      <w:proofErr w:type="spellEnd"/>
      <w:r w:rsidRPr="00EB14DE">
        <w:rPr>
          <w:rFonts w:ascii="Arial Narrow" w:hAnsi="Arial Narrow"/>
          <w:bCs/>
          <w:color w:val="000000" w:themeColor="text1"/>
          <w:lang w:eastAsia="es-CO"/>
        </w:rPr>
        <w:t xml:space="preserve"> podrán constituir como Garantía por posición para garantizar </w:t>
      </w:r>
      <w:r w:rsidRPr="00EB14DE">
        <w:rPr>
          <w:rFonts w:ascii="Arial Narrow" w:hAnsi="Arial Narrow"/>
          <w:color w:val="000000" w:themeColor="text1"/>
          <w:lang w:eastAsia="es-CO"/>
        </w:rPr>
        <w:t>Posiciones</w:t>
      </w:r>
      <w:r w:rsidRPr="00EB14DE">
        <w:rPr>
          <w:rFonts w:ascii="Arial Narrow" w:hAnsi="Arial Narrow"/>
          <w:bCs/>
          <w:color w:val="000000" w:themeColor="text1"/>
          <w:lang w:eastAsia="es-CO"/>
        </w:rPr>
        <w:t xml:space="preserve"> Abiertas en el Contrato de </w:t>
      </w:r>
      <w:r w:rsidRPr="00EB14DE">
        <w:rPr>
          <w:rFonts w:ascii="Arial Narrow" w:hAnsi="Arial Narrow"/>
          <w:color w:val="000000" w:themeColor="text1"/>
          <w:lang w:val="es-ES_tradnl" w:eastAsia="es-CO"/>
        </w:rPr>
        <w:t xml:space="preserve">Opciones </w:t>
      </w:r>
      <w:r w:rsidRPr="00EB14DE">
        <w:rPr>
          <w:rFonts w:ascii="Arial Narrow" w:hAnsi="Arial Narrow"/>
          <w:bCs/>
          <w:color w:val="000000" w:themeColor="text1"/>
          <w:lang w:eastAsia="es-CO"/>
        </w:rPr>
        <w:t>sobre la acción de Ecopetrol, acciones que sean Activo Subyacente de un Contrato de Derivado cuyas operaciones sean susceptibles de ser Aceptadas por la Cámara.</w:t>
      </w:r>
    </w:p>
    <w:p w14:paraId="659083EC" w14:textId="77777777" w:rsidR="007968EC" w:rsidRPr="00EB14DE" w:rsidRDefault="007968EC" w:rsidP="007968EC">
      <w:pPr>
        <w:autoSpaceDE w:val="0"/>
        <w:autoSpaceDN w:val="0"/>
        <w:adjustRightInd w:val="0"/>
        <w:ind w:left="426"/>
        <w:jc w:val="both"/>
        <w:rPr>
          <w:rFonts w:ascii="Arial Narrow" w:hAnsi="Arial Narrow"/>
          <w:bCs/>
          <w:color w:val="000000" w:themeColor="text1"/>
          <w:lang w:eastAsia="es-CO"/>
        </w:rPr>
      </w:pPr>
    </w:p>
    <w:p w14:paraId="7421D577" w14:textId="77777777" w:rsidR="007968EC" w:rsidRPr="00EB14DE" w:rsidRDefault="007968EC" w:rsidP="007968EC">
      <w:pPr>
        <w:autoSpaceDE w:val="0"/>
        <w:autoSpaceDN w:val="0"/>
        <w:adjustRightInd w:val="0"/>
        <w:ind w:left="426"/>
        <w:jc w:val="both"/>
        <w:rPr>
          <w:rFonts w:ascii="Arial Narrow" w:hAnsi="Arial Narrow"/>
          <w:bCs/>
          <w:color w:val="000000" w:themeColor="text1"/>
          <w:lang w:eastAsia="es-CO"/>
        </w:rPr>
      </w:pPr>
      <w:r w:rsidRPr="00EB14DE">
        <w:rPr>
          <w:rFonts w:ascii="Arial Narrow" w:hAnsi="Arial Narrow"/>
          <w:bCs/>
          <w:color w:val="000000" w:themeColor="text1"/>
          <w:lang w:eastAsia="es-CO"/>
        </w:rPr>
        <w:t xml:space="preserve">Para que las acciones depositadas en la Cámara como Garantía por Posición de una Posición Abierta en Contratos de </w:t>
      </w:r>
      <w:r w:rsidRPr="00EB14DE">
        <w:rPr>
          <w:rFonts w:ascii="Arial Narrow" w:hAnsi="Arial Narrow"/>
          <w:color w:val="000000" w:themeColor="text1"/>
          <w:lang w:val="es-ES_tradnl" w:eastAsia="es-CO"/>
        </w:rPr>
        <w:t xml:space="preserve">Opciones </w:t>
      </w:r>
      <w:r w:rsidRPr="00EB14DE">
        <w:rPr>
          <w:rFonts w:ascii="Arial Narrow" w:hAnsi="Arial Narrow"/>
          <w:bCs/>
          <w:color w:val="000000" w:themeColor="text1"/>
          <w:lang w:eastAsia="es-CO"/>
        </w:rPr>
        <w:t>sobre acciones de Ecopetrol computen para el cálculo del Riesgo por Operativa Diaria Cliente/Titular, el titular de la Cuenta deberá cumplir con los siguientes requisitos:</w:t>
      </w:r>
    </w:p>
    <w:p w14:paraId="5107232D" w14:textId="77777777" w:rsidR="007968EC" w:rsidRPr="00EB14DE" w:rsidRDefault="007968EC" w:rsidP="007968EC">
      <w:pPr>
        <w:autoSpaceDE w:val="0"/>
        <w:autoSpaceDN w:val="0"/>
        <w:ind w:left="708" w:hanging="708"/>
        <w:jc w:val="both"/>
        <w:rPr>
          <w:rFonts w:ascii="Arial Narrow" w:hAnsi="Arial Narrow"/>
          <w:bCs/>
          <w:color w:val="000000" w:themeColor="text1"/>
          <w:lang w:val="es-ES" w:eastAsia="es-ES"/>
        </w:rPr>
      </w:pPr>
    </w:p>
    <w:p w14:paraId="19DD5363" w14:textId="77777777" w:rsidR="007968EC" w:rsidRPr="00EB14DE" w:rsidRDefault="007968EC" w:rsidP="00DA7472">
      <w:pPr>
        <w:numPr>
          <w:ilvl w:val="0"/>
          <w:numId w:val="249"/>
        </w:numPr>
        <w:autoSpaceDE w:val="0"/>
        <w:autoSpaceDN w:val="0"/>
        <w:ind w:left="709" w:hanging="283"/>
        <w:contextualSpacing/>
        <w:jc w:val="both"/>
        <w:rPr>
          <w:rFonts w:ascii="Arial Narrow" w:hAnsi="Arial Narrow"/>
          <w:bCs/>
          <w:color w:val="000000" w:themeColor="text1"/>
          <w:lang w:eastAsia="es-CO"/>
        </w:rPr>
      </w:pPr>
      <w:r w:rsidRPr="00EB14DE">
        <w:rPr>
          <w:rFonts w:ascii="Arial Narrow" w:hAnsi="Arial Narrow"/>
          <w:bCs/>
          <w:color w:val="000000" w:themeColor="text1"/>
          <w:lang w:eastAsia="es-CO"/>
        </w:rPr>
        <w:lastRenderedPageBreak/>
        <w:t xml:space="preserve">La cuenta cuyas Posiciones Abiertas pretendan garantizarse deberá destinarse exclusivamente al registro de operaciones de Contratos de Futuros sobre </w:t>
      </w:r>
      <w:r w:rsidRPr="00EB14DE">
        <w:rPr>
          <w:rFonts w:ascii="Arial Narrow" w:eastAsia="Calibri" w:hAnsi="Arial Narrow" w:cs="Arial Narrow"/>
          <w:bCs/>
          <w:color w:val="000000" w:themeColor="text1"/>
        </w:rPr>
        <w:t>Acciones del Índice COLCAP con Liquidación por Diferencias, de Contratos de Futuro sobre Acciones del Índice COLCAP con Liquidación por Entrega</w:t>
      </w:r>
      <w:r w:rsidRPr="00EB14DE">
        <w:rPr>
          <w:rFonts w:ascii="Arial Narrow" w:hAnsi="Arial Narrow"/>
          <w:bCs/>
          <w:color w:val="000000" w:themeColor="text1"/>
          <w:lang w:eastAsia="es-CO"/>
        </w:rPr>
        <w:t>, Contratos de Opciones sobre acciones, Contratos de Futuros Índice Accionario COLCAP y/o Mini Contrato de Futuro Índice Accionario COLCAP.</w:t>
      </w:r>
    </w:p>
    <w:p w14:paraId="5AD4AEDE" w14:textId="77777777" w:rsidR="007968EC" w:rsidRPr="00EB14DE" w:rsidRDefault="007968EC" w:rsidP="007968EC">
      <w:pPr>
        <w:autoSpaceDE w:val="0"/>
        <w:autoSpaceDN w:val="0"/>
        <w:ind w:left="709"/>
        <w:jc w:val="both"/>
        <w:rPr>
          <w:rFonts w:ascii="Arial Narrow" w:hAnsi="Arial Narrow"/>
          <w:bCs/>
          <w:color w:val="000000" w:themeColor="text1"/>
          <w:lang w:eastAsia="es-CO"/>
        </w:rPr>
      </w:pPr>
    </w:p>
    <w:p w14:paraId="2C455371" w14:textId="77777777" w:rsidR="007968EC" w:rsidRPr="00EB14DE" w:rsidRDefault="007968EC" w:rsidP="00DA7472">
      <w:pPr>
        <w:numPr>
          <w:ilvl w:val="0"/>
          <w:numId w:val="249"/>
        </w:numPr>
        <w:autoSpaceDE w:val="0"/>
        <w:autoSpaceDN w:val="0"/>
        <w:ind w:left="709" w:hanging="283"/>
        <w:contextualSpacing/>
        <w:jc w:val="both"/>
        <w:rPr>
          <w:rFonts w:ascii="Arial Narrow" w:hAnsi="Arial Narrow"/>
          <w:bCs/>
          <w:color w:val="000000" w:themeColor="text1"/>
          <w:lang w:eastAsia="es-CO"/>
        </w:rPr>
      </w:pPr>
      <w:r w:rsidRPr="00EB14DE">
        <w:rPr>
          <w:rFonts w:ascii="Arial Narrow" w:hAnsi="Arial Narrow"/>
          <w:bCs/>
          <w:color w:val="000000" w:themeColor="text1"/>
          <w:lang w:eastAsia="es-CO"/>
        </w:rPr>
        <w:t xml:space="preserve">El Administrador del Miembro deberá informar a través del SAS que la Cuenta se destinará al registro exclusivo de Operaciones de Contratos de Futuros sobre </w:t>
      </w:r>
      <w:r w:rsidRPr="00EB14DE">
        <w:rPr>
          <w:rFonts w:ascii="Arial Narrow" w:eastAsia="Calibri" w:hAnsi="Arial Narrow" w:cs="Arial Narrow"/>
          <w:bCs/>
          <w:color w:val="000000" w:themeColor="text1"/>
        </w:rPr>
        <w:t>Acciones del Índice COLCAP con Liquidación por Diferencias, de Contratos de Futuro sobre Acciones del Índice COLCAP con Liquidación por Entrega</w:t>
      </w:r>
      <w:r w:rsidRPr="00EB14DE">
        <w:rPr>
          <w:rFonts w:ascii="Arial Narrow" w:hAnsi="Arial Narrow"/>
          <w:bCs/>
          <w:color w:val="000000" w:themeColor="text1"/>
          <w:lang w:eastAsia="es-CO"/>
        </w:rPr>
        <w:t>, Contratos de Opciones sobre acciones, Contratos de Futuros Índice Accionario COLCAP y/o Mini Contrato de Futuro Índice Accionario COLCAP.</w:t>
      </w:r>
    </w:p>
    <w:p w14:paraId="7A9ED2E4" w14:textId="77777777" w:rsidR="007968EC" w:rsidRPr="00EB14DE" w:rsidRDefault="007968EC" w:rsidP="007968EC">
      <w:pPr>
        <w:autoSpaceDE w:val="0"/>
        <w:autoSpaceDN w:val="0"/>
        <w:contextualSpacing/>
        <w:jc w:val="both"/>
        <w:rPr>
          <w:rFonts w:ascii="Arial Narrow" w:hAnsi="Arial Narrow"/>
          <w:bCs/>
          <w:color w:val="000000" w:themeColor="text1"/>
          <w:lang w:eastAsia="es-CO"/>
        </w:rPr>
      </w:pPr>
    </w:p>
    <w:p w14:paraId="3A0D618D" w14:textId="77777777" w:rsidR="007968EC" w:rsidRPr="00EB14DE" w:rsidRDefault="007968EC" w:rsidP="00DA7472">
      <w:pPr>
        <w:numPr>
          <w:ilvl w:val="0"/>
          <w:numId w:val="249"/>
        </w:numPr>
        <w:autoSpaceDE w:val="0"/>
        <w:autoSpaceDN w:val="0"/>
        <w:ind w:left="709" w:hanging="283"/>
        <w:contextualSpacing/>
        <w:jc w:val="both"/>
        <w:rPr>
          <w:rFonts w:ascii="Arial Narrow" w:hAnsi="Arial Narrow"/>
          <w:bCs/>
          <w:color w:val="000000" w:themeColor="text1"/>
          <w:lang w:eastAsia="es-CO"/>
        </w:rPr>
      </w:pPr>
      <w:r w:rsidRPr="00EB14DE">
        <w:rPr>
          <w:rFonts w:ascii="Arial Narrow" w:hAnsi="Arial Narrow"/>
          <w:bCs/>
          <w:color w:val="000000" w:themeColor="text1"/>
          <w:lang w:eastAsia="es-CO"/>
        </w:rPr>
        <w:t xml:space="preserve">El límite máximo de Garantías por Posición a constituir en acciones para cubrir los requerimientos de Garantías por Posición de la respectiva Cuenta calculado por la Cámara será aquel que represente el 30% del promedio diario del valor negociado en el mercado de contado de la acción correspondiente durante el mes inmediatamente anterior. </w:t>
      </w:r>
    </w:p>
    <w:p w14:paraId="2E642747" w14:textId="77777777" w:rsidR="007968EC" w:rsidRPr="00EB14DE" w:rsidRDefault="007968EC" w:rsidP="007968EC">
      <w:pPr>
        <w:ind w:left="708"/>
        <w:rPr>
          <w:rFonts w:ascii="Arial Narrow" w:hAnsi="Arial Narrow"/>
          <w:bCs/>
          <w:color w:val="000000" w:themeColor="text1"/>
          <w:lang w:eastAsia="es-CO"/>
        </w:rPr>
      </w:pPr>
    </w:p>
    <w:p w14:paraId="5343AC74" w14:textId="77777777" w:rsidR="007968EC" w:rsidRPr="00EB14DE" w:rsidRDefault="007968EC" w:rsidP="007968EC">
      <w:pPr>
        <w:autoSpaceDE w:val="0"/>
        <w:autoSpaceDN w:val="0"/>
        <w:ind w:left="709"/>
        <w:jc w:val="both"/>
        <w:rPr>
          <w:rFonts w:ascii="Arial Narrow" w:hAnsi="Arial Narrow"/>
          <w:bCs/>
          <w:color w:val="000000" w:themeColor="text1"/>
          <w:lang w:eastAsia="es-CO"/>
        </w:rPr>
      </w:pPr>
      <w:r w:rsidRPr="00EB14DE">
        <w:rPr>
          <w:rFonts w:ascii="Arial Narrow" w:hAnsi="Arial Narrow"/>
          <w:bCs/>
          <w:color w:val="000000" w:themeColor="text1"/>
          <w:lang w:eastAsia="es-CO"/>
        </w:rPr>
        <w:t xml:space="preserve">El cálculo del límite se hará frente a la sumatoria de las acciones constituidas como Garantías por Posición de todas las Cuentas de la estructura de Cuentas de un Miembro Liquidador en el presente Segmento.  </w:t>
      </w:r>
    </w:p>
    <w:p w14:paraId="663BB9ED" w14:textId="77777777" w:rsidR="007968EC" w:rsidRPr="00EB14DE" w:rsidRDefault="007968EC" w:rsidP="007968EC">
      <w:pPr>
        <w:autoSpaceDE w:val="0"/>
        <w:autoSpaceDN w:val="0"/>
        <w:ind w:left="709"/>
        <w:jc w:val="both"/>
        <w:rPr>
          <w:rFonts w:ascii="Arial Narrow" w:hAnsi="Arial Narrow"/>
          <w:bCs/>
          <w:color w:val="000000" w:themeColor="text1"/>
          <w:lang w:eastAsia="es-CO"/>
        </w:rPr>
      </w:pPr>
    </w:p>
    <w:p w14:paraId="1C58A67F" w14:textId="77777777" w:rsidR="007968EC" w:rsidRPr="00EB14DE" w:rsidRDefault="007968EC" w:rsidP="007968EC">
      <w:pPr>
        <w:autoSpaceDE w:val="0"/>
        <w:autoSpaceDN w:val="0"/>
        <w:ind w:left="709"/>
        <w:jc w:val="both"/>
        <w:rPr>
          <w:rFonts w:ascii="Arial Narrow" w:hAnsi="Arial Narrow"/>
          <w:bCs/>
          <w:color w:val="000000" w:themeColor="text1"/>
          <w:lang w:eastAsia="es-CO"/>
        </w:rPr>
      </w:pPr>
      <w:r w:rsidRPr="00EB14DE">
        <w:rPr>
          <w:rFonts w:ascii="Arial Narrow" w:hAnsi="Arial Narrow"/>
          <w:bCs/>
          <w:color w:val="000000" w:themeColor="text1"/>
          <w:lang w:eastAsia="es-CO"/>
        </w:rPr>
        <w:t xml:space="preserve">En el evento en que el titular de Cuenta registre operaciones distintas a operaciones de Contratos de Futuros sobre </w:t>
      </w:r>
      <w:r w:rsidRPr="00EB14DE">
        <w:rPr>
          <w:rFonts w:ascii="Arial Narrow" w:eastAsia="Calibri" w:hAnsi="Arial Narrow" w:cs="Arial Narrow"/>
          <w:bCs/>
          <w:color w:val="000000" w:themeColor="text1"/>
        </w:rPr>
        <w:t>Acciones del Índice COLCAP con Liquidación por Diferencias, de Contratos de Futuro sobre Acciones del Índice COLCAP con Liquidación por Entrega</w:t>
      </w:r>
      <w:r w:rsidRPr="00EB14DE">
        <w:rPr>
          <w:rFonts w:ascii="Arial Narrow" w:hAnsi="Arial Narrow"/>
          <w:bCs/>
          <w:color w:val="000000" w:themeColor="text1"/>
          <w:lang w:eastAsia="es-CO"/>
        </w:rPr>
        <w:t>, Contratos de Opciones sobre acciones,</w:t>
      </w:r>
      <w:r w:rsidRPr="00EB14DE">
        <w:rPr>
          <w:rFonts w:ascii="Arial Narrow" w:hAnsi="Arial Narrow"/>
          <w:color w:val="000000" w:themeColor="text1"/>
          <w:lang w:val="es-ES_tradnl" w:eastAsia="es-CO"/>
        </w:rPr>
        <w:t xml:space="preserve"> </w:t>
      </w:r>
      <w:r w:rsidRPr="00EB14DE">
        <w:rPr>
          <w:rFonts w:ascii="Arial Narrow" w:hAnsi="Arial Narrow"/>
          <w:bCs/>
          <w:color w:val="000000" w:themeColor="text1"/>
          <w:lang w:eastAsia="es-CO"/>
        </w:rPr>
        <w:t xml:space="preserve">Contratos de Futuros Índice Accionario COLCAP y/o Mini Contrato de Futuro Índice Accionario COLCAP, las acciones entregadas como garantía sólo computarán para el cálculo de la Garantía por Posición exigida, si antes de finalizar la Sesión de Cierre de Cámara del mismo día en que se registraron dichas Operaciones, el titular de la Cuenta realiza el cierre de tales Posiciones Abiertas, o realiza alguno de los tipos de gestión de Operaciones indicados en la presente Circular. </w:t>
      </w:r>
    </w:p>
    <w:p w14:paraId="0FF8111C" w14:textId="77777777" w:rsidR="007968EC" w:rsidRPr="00EB14DE" w:rsidRDefault="007968EC" w:rsidP="007968EC">
      <w:pPr>
        <w:autoSpaceDE w:val="0"/>
        <w:autoSpaceDN w:val="0"/>
        <w:ind w:left="709"/>
        <w:jc w:val="both"/>
        <w:rPr>
          <w:rFonts w:ascii="Arial Narrow" w:hAnsi="Arial Narrow"/>
          <w:bCs/>
          <w:color w:val="000000" w:themeColor="text1"/>
          <w:lang w:eastAsia="es-CO"/>
        </w:rPr>
      </w:pPr>
    </w:p>
    <w:p w14:paraId="3AB510C6" w14:textId="77777777" w:rsidR="007968EC" w:rsidRPr="00EB14DE" w:rsidRDefault="007968EC" w:rsidP="007968EC">
      <w:pPr>
        <w:autoSpaceDE w:val="0"/>
        <w:autoSpaceDN w:val="0"/>
        <w:ind w:left="709"/>
        <w:jc w:val="both"/>
        <w:rPr>
          <w:rFonts w:ascii="Arial Narrow" w:hAnsi="Arial Narrow"/>
          <w:bCs/>
          <w:color w:val="000000" w:themeColor="text1"/>
          <w:lang w:eastAsia="es-CO"/>
        </w:rPr>
      </w:pPr>
      <w:r w:rsidRPr="00EB14DE">
        <w:rPr>
          <w:rFonts w:ascii="Arial Narrow" w:hAnsi="Arial Narrow"/>
          <w:bCs/>
          <w:color w:val="000000" w:themeColor="text1"/>
          <w:lang w:eastAsia="es-CO"/>
        </w:rPr>
        <w:t>En caso contrario, el titular de la Cuenta deberá constituir las garantías exigidas en los Activos indicados en los numerales 1 y 2 del artículo1.6.4.1. de la presenta Circular.</w:t>
      </w:r>
    </w:p>
    <w:p w14:paraId="4F515F36" w14:textId="77777777" w:rsidR="007968EC" w:rsidRPr="00EB14DE" w:rsidRDefault="007968EC" w:rsidP="007968EC">
      <w:pPr>
        <w:autoSpaceDE w:val="0"/>
        <w:autoSpaceDN w:val="0"/>
        <w:ind w:left="709"/>
        <w:jc w:val="both"/>
        <w:rPr>
          <w:rFonts w:ascii="Arial Narrow" w:hAnsi="Arial Narrow"/>
          <w:bCs/>
          <w:color w:val="000000" w:themeColor="text1"/>
          <w:lang w:eastAsia="es-CO"/>
        </w:rPr>
      </w:pPr>
    </w:p>
    <w:p w14:paraId="7FBE67F1" w14:textId="77777777" w:rsidR="007968EC" w:rsidRPr="00EB14DE" w:rsidRDefault="007968EC" w:rsidP="007968EC">
      <w:pPr>
        <w:autoSpaceDE w:val="0"/>
        <w:autoSpaceDN w:val="0"/>
        <w:ind w:left="709"/>
        <w:jc w:val="both"/>
        <w:rPr>
          <w:rFonts w:ascii="Arial Narrow" w:hAnsi="Arial Narrow"/>
          <w:bCs/>
          <w:color w:val="000000" w:themeColor="text1"/>
          <w:lang w:eastAsia="es-CO"/>
        </w:rPr>
      </w:pPr>
      <w:r w:rsidRPr="00EB14DE">
        <w:rPr>
          <w:rFonts w:ascii="Arial Narrow" w:hAnsi="Arial Narrow"/>
          <w:bCs/>
          <w:color w:val="000000" w:themeColor="text1"/>
          <w:lang w:eastAsia="es-CO"/>
        </w:rPr>
        <w:t>Igualmente, en el evento en que se exceda el límite máximo de Garantías por Posición a constituir en acciones de conformidad con lo dispuesto en el literal c. anterior, el Miembro Liquidador deberá proceder a la constitución de garantías exigidas en los Activos indicados en los numerales 1 y 2 del artículo 1.6.4.1. de la presente Circular, por la diferencia entre el límite máximo y el valor de la garantía exigida.</w:t>
      </w:r>
    </w:p>
    <w:p w14:paraId="46A673C6" w14:textId="77777777" w:rsidR="007968EC" w:rsidRPr="00EB14DE" w:rsidRDefault="007968EC" w:rsidP="007968EC">
      <w:pPr>
        <w:autoSpaceDE w:val="0"/>
        <w:autoSpaceDN w:val="0"/>
        <w:ind w:left="709"/>
        <w:jc w:val="both"/>
        <w:rPr>
          <w:rFonts w:ascii="Arial Narrow" w:hAnsi="Arial Narrow"/>
          <w:bCs/>
          <w:color w:val="000000" w:themeColor="text1"/>
          <w:lang w:eastAsia="es-CO"/>
        </w:rPr>
      </w:pPr>
    </w:p>
    <w:p w14:paraId="7AB44A11" w14:textId="77777777" w:rsidR="007968EC" w:rsidRPr="00EB14DE" w:rsidRDefault="007968EC" w:rsidP="007968EC">
      <w:pPr>
        <w:pStyle w:val="ARTICULO0"/>
        <w:ind w:left="708"/>
        <w:rPr>
          <w:b w:val="0"/>
          <w:u w:val="none"/>
        </w:rPr>
      </w:pPr>
      <w:bookmarkStart w:id="5204" w:name="_Toc31716225"/>
      <w:r w:rsidRPr="00EB14DE">
        <w:rPr>
          <w:b w:val="0"/>
          <w:u w:val="none"/>
          <w:lang w:eastAsia="es-CO"/>
        </w:rPr>
        <w:t>La constitución de las garantías deberá llevarse a cabo de conformidad con lo previsto en los artículos 1.6.4.3., 1.6.4.4. y 1.6.4.5. de la presente Circular.</w:t>
      </w:r>
      <w:bookmarkEnd w:id="5204"/>
    </w:p>
    <w:p w14:paraId="718A77E4" w14:textId="77777777" w:rsidR="007968EC" w:rsidRPr="00476F14" w:rsidRDefault="007968EC" w:rsidP="007968EC">
      <w:pPr>
        <w:autoSpaceDE w:val="0"/>
        <w:autoSpaceDN w:val="0"/>
        <w:ind w:left="709"/>
        <w:jc w:val="both"/>
        <w:rPr>
          <w:rFonts w:ascii="Arial Narrow" w:hAnsi="Arial Narrow"/>
          <w:bCs/>
          <w:color w:val="000000" w:themeColor="text1"/>
          <w:lang w:eastAsia="es-CO"/>
        </w:rPr>
      </w:pPr>
    </w:p>
    <w:p w14:paraId="682660A2" w14:textId="77777777" w:rsidR="007968EC" w:rsidRPr="002F6334" w:rsidRDefault="007968EC" w:rsidP="007968EC">
      <w:pPr>
        <w:pStyle w:val="ARTICULO0"/>
      </w:pPr>
      <w:bookmarkStart w:id="5205" w:name="_Toc31716226"/>
      <w:bookmarkStart w:id="5206" w:name="_Toc479057206"/>
      <w:bookmarkStart w:id="5207" w:name="_Toc490066563"/>
      <w:bookmarkStart w:id="5208" w:name="_Toc470781162"/>
      <w:bookmarkStart w:id="5209" w:name="_Toc470784723"/>
      <w:bookmarkStart w:id="5210" w:name="_Toc470785260"/>
      <w:bookmarkStart w:id="5211" w:name="_Toc470791654"/>
      <w:bookmarkStart w:id="5212" w:name="_Toc472592397"/>
      <w:bookmarkStart w:id="5213" w:name="_Toc472593416"/>
      <w:r w:rsidRPr="002F6334">
        <w:lastRenderedPageBreak/>
        <w:t>Artículo 2.7</w:t>
      </w:r>
      <w:r>
        <w:t>.2.11</w:t>
      </w:r>
      <w:r w:rsidRPr="002F6334">
        <w:t>. Opción sobre la acción Preferencial Bancolombia.</w:t>
      </w:r>
      <w:bookmarkEnd w:id="5205"/>
      <w:r w:rsidRPr="002F6334">
        <w:t xml:space="preserve"> </w:t>
      </w:r>
    </w:p>
    <w:p w14:paraId="23561BF7" w14:textId="77777777" w:rsidR="007968EC" w:rsidRDefault="007968EC" w:rsidP="007968EC">
      <w:pPr>
        <w:autoSpaceDE w:val="0"/>
        <w:autoSpaceDN w:val="0"/>
        <w:ind w:left="709"/>
        <w:jc w:val="both"/>
        <w:rPr>
          <w:rFonts w:ascii="Arial Narrow" w:hAnsi="Arial Narrow" w:cs="Arial"/>
          <w:b/>
          <w:color w:val="000000" w:themeColor="text1"/>
          <w:u w:val="single"/>
          <w:lang w:eastAsia="es-ES"/>
        </w:rPr>
      </w:pPr>
    </w:p>
    <w:p w14:paraId="397BA8E6" w14:textId="77777777" w:rsidR="007968EC" w:rsidRPr="002C0D19" w:rsidRDefault="007968EC" w:rsidP="007968EC">
      <w:pPr>
        <w:pStyle w:val="ANTECEDENTES"/>
      </w:pPr>
      <w:r w:rsidRPr="002C0D19">
        <w:t>(Este artículo fue adicionado mediante Circular 6 del 14 de febrero de 2017, publicada mediante Boletín Normativo No. 006 del 14 de febrero de 2017</w:t>
      </w:r>
      <w:r>
        <w:t xml:space="preserve">, modificado mediante Circular 22 del 3 de noviembre de 2017, publicada mediante Boletín Normativo No. 024 del 3 de noviembre de 2017, renumerado </w:t>
      </w:r>
      <w:r w:rsidRPr="009C4B41">
        <w:rPr>
          <w:lang w:val="es-ES"/>
        </w:rPr>
        <w:t>mediante Circular 002 del 20 de febrero de 2018, publicada en el Boletín Normativo No</w:t>
      </w:r>
      <w:r>
        <w:rPr>
          <w:lang w:val="es-ES"/>
        </w:rPr>
        <w:t>. 003 del 20 de febrero de 2018 y</w:t>
      </w:r>
      <w:r w:rsidRPr="009C4B41">
        <w:rPr>
          <w:lang w:val="es-ES"/>
        </w:rPr>
        <w:t xml:space="preserve"> </w:t>
      </w:r>
      <w:r>
        <w:rPr>
          <w:lang w:val="es-ES"/>
        </w:rPr>
        <w:t xml:space="preserve">modificado </w:t>
      </w:r>
      <w:r>
        <w:t>mediante Circular 10 del 6 de julio de 2018, publicada en el Boletín Normativo No. 013 del 6 de julio de 2018</w:t>
      </w:r>
      <w:bookmarkEnd w:id="5206"/>
      <w:bookmarkEnd w:id="5207"/>
      <w:r>
        <w:t>, y mediante Circular 12 del 9 de agosto de 2019, publicada en el Boletín Normativo No. 025 del 9 de agosto de 2019. Rige a partir del 12 de agosto de 2019</w:t>
      </w:r>
      <w:r w:rsidRPr="002C0D19">
        <w:t>.)</w:t>
      </w:r>
      <w:r>
        <w:t xml:space="preserve"> </w:t>
      </w:r>
    </w:p>
    <w:p w14:paraId="580B550C" w14:textId="77777777" w:rsidR="007968EC" w:rsidRPr="002C0D19" w:rsidRDefault="007968EC" w:rsidP="007968EC">
      <w:pPr>
        <w:jc w:val="both"/>
        <w:rPr>
          <w:rFonts w:ascii="Arial Narrow" w:hAnsi="Arial Narrow" w:cs="Arial"/>
          <w:color w:val="000000" w:themeColor="text1"/>
          <w:lang w:val="es-ES" w:eastAsia="es-ES"/>
        </w:rPr>
      </w:pPr>
    </w:p>
    <w:p w14:paraId="45CA90DD" w14:textId="77777777" w:rsidR="007968EC" w:rsidRPr="00EB14DE" w:rsidRDefault="007968EC" w:rsidP="00DA7472">
      <w:pPr>
        <w:numPr>
          <w:ilvl w:val="0"/>
          <w:numId w:val="252"/>
        </w:numPr>
        <w:autoSpaceDE w:val="0"/>
        <w:autoSpaceDN w:val="0"/>
        <w:adjustRightInd w:val="0"/>
        <w:ind w:left="426" w:hanging="426"/>
        <w:contextualSpacing/>
        <w:rPr>
          <w:rFonts w:ascii="Arial Narrow" w:hAnsi="Arial Narrow" w:cs="Arial"/>
          <w:color w:val="000000" w:themeColor="text1"/>
          <w:lang w:eastAsia="es-CO"/>
        </w:rPr>
      </w:pPr>
      <w:r w:rsidRPr="00EB14DE">
        <w:rPr>
          <w:rFonts w:ascii="Arial Narrow" w:hAnsi="Arial Narrow" w:cs="Arial"/>
          <w:color w:val="000000" w:themeColor="text1"/>
          <w:lang w:eastAsia="es-CO"/>
        </w:rPr>
        <w:t xml:space="preserve">Generalidades: </w:t>
      </w:r>
    </w:p>
    <w:p w14:paraId="07245085" w14:textId="77777777" w:rsidR="007968EC" w:rsidRPr="00EB14DE" w:rsidRDefault="007968EC" w:rsidP="007968EC">
      <w:pPr>
        <w:jc w:val="both"/>
        <w:rPr>
          <w:rFonts w:ascii="Arial Narrow" w:eastAsia="Calibri" w:hAnsi="Arial Narrow"/>
          <w:bCs/>
          <w:color w:val="000000" w:themeColor="text1"/>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5954"/>
      </w:tblGrid>
      <w:tr w:rsidR="007968EC" w:rsidRPr="00EB14DE" w14:paraId="35FEBAF0" w14:textId="77777777" w:rsidTr="007968EC">
        <w:tc>
          <w:tcPr>
            <w:tcW w:w="3539" w:type="dxa"/>
            <w:shd w:val="clear" w:color="auto" w:fill="BFBFBF"/>
          </w:tcPr>
          <w:p w14:paraId="1731B6D1"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Instrumento</w:t>
            </w:r>
          </w:p>
        </w:tc>
        <w:tc>
          <w:tcPr>
            <w:tcW w:w="5954" w:type="dxa"/>
          </w:tcPr>
          <w:p w14:paraId="693F21C0"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cs="Arial"/>
                <w:bCs/>
                <w:color w:val="000000" w:themeColor="text1"/>
                <w:lang w:val="es-ES" w:eastAsia="es-ES"/>
              </w:rPr>
              <w:t>Op</w:t>
            </w:r>
            <w:r w:rsidRPr="00EB14DE">
              <w:rPr>
                <w:rFonts w:ascii="Arial Narrow" w:hAnsi="Arial Narrow"/>
                <w:color w:val="000000" w:themeColor="text1"/>
                <w:lang w:val="es-ES" w:eastAsia="es-ES"/>
              </w:rPr>
              <w:t>ción sobre la acción Preferencial Bancolombia</w:t>
            </w:r>
          </w:p>
        </w:tc>
      </w:tr>
      <w:tr w:rsidR="007968EC" w:rsidRPr="00EB14DE" w14:paraId="2AAC24AC" w14:textId="77777777" w:rsidTr="007968EC">
        <w:tc>
          <w:tcPr>
            <w:tcW w:w="3539" w:type="dxa"/>
            <w:shd w:val="clear" w:color="auto" w:fill="BFBFBF"/>
          </w:tcPr>
          <w:p w14:paraId="08564A27"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 xml:space="preserve">Activo Subyacente </w:t>
            </w:r>
          </w:p>
        </w:tc>
        <w:tc>
          <w:tcPr>
            <w:tcW w:w="5954" w:type="dxa"/>
          </w:tcPr>
          <w:p w14:paraId="71678026"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 xml:space="preserve">El subyacente de la Opción </w:t>
            </w:r>
            <w:r w:rsidRPr="00EB14DE">
              <w:rPr>
                <w:rFonts w:ascii="Arial Narrow" w:hAnsi="Arial Narrow"/>
                <w:color w:val="000000" w:themeColor="text1"/>
                <w:lang w:val="es-ES" w:eastAsia="es-ES"/>
              </w:rPr>
              <w:t>sobre la acción Preferencial Bancolombia</w:t>
            </w:r>
            <w:r w:rsidRPr="00EB14DE">
              <w:rPr>
                <w:rFonts w:ascii="Arial Narrow" w:hAnsi="Arial Narrow" w:cs="Arial"/>
                <w:color w:val="000000" w:themeColor="text1"/>
                <w:lang w:val="es-ES" w:eastAsia="es-ES"/>
              </w:rPr>
              <w:t xml:space="preserve"> será la </w:t>
            </w:r>
            <w:r w:rsidRPr="00EB14DE">
              <w:rPr>
                <w:rFonts w:ascii="Arial Narrow" w:hAnsi="Arial Narrow"/>
                <w:color w:val="000000" w:themeColor="text1"/>
                <w:lang w:val="es-ES" w:eastAsia="es-ES"/>
              </w:rPr>
              <w:t>acción Preferencial Bancolombia</w:t>
            </w:r>
          </w:p>
        </w:tc>
      </w:tr>
      <w:tr w:rsidR="007968EC" w:rsidRPr="00EB14DE" w14:paraId="25786B70" w14:textId="77777777" w:rsidTr="007968EC">
        <w:tc>
          <w:tcPr>
            <w:tcW w:w="3539" w:type="dxa"/>
            <w:shd w:val="clear" w:color="auto" w:fill="BFBFBF"/>
          </w:tcPr>
          <w:p w14:paraId="29079F7F"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 xml:space="preserve"> Tamaño del Contrato</w:t>
            </w:r>
          </w:p>
        </w:tc>
        <w:tc>
          <w:tcPr>
            <w:tcW w:w="5954" w:type="dxa"/>
          </w:tcPr>
          <w:p w14:paraId="247E89C7"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 xml:space="preserve">Cada Contrato de Opción sobre </w:t>
            </w:r>
            <w:r w:rsidRPr="00EB14DE">
              <w:rPr>
                <w:rFonts w:ascii="Arial Narrow" w:hAnsi="Arial Narrow"/>
                <w:color w:val="000000" w:themeColor="text1"/>
                <w:lang w:val="es-ES" w:eastAsia="es-ES"/>
              </w:rPr>
              <w:t>la acción de Preferencial Bancolombia</w:t>
            </w:r>
            <w:r w:rsidRPr="00EB14DE">
              <w:rPr>
                <w:rFonts w:ascii="Arial Narrow" w:hAnsi="Arial Narrow" w:cs="Arial"/>
                <w:color w:val="000000" w:themeColor="text1"/>
                <w:lang w:val="es-ES" w:eastAsia="es-ES"/>
              </w:rPr>
              <w:t xml:space="preserve"> tendrá un valor nominal de 1.000 acciones.</w:t>
            </w:r>
          </w:p>
        </w:tc>
      </w:tr>
      <w:tr w:rsidR="007968EC" w:rsidRPr="00EB14DE" w14:paraId="064831DC" w14:textId="77777777" w:rsidTr="007968EC">
        <w:tc>
          <w:tcPr>
            <w:tcW w:w="3539" w:type="dxa"/>
            <w:shd w:val="clear" w:color="auto" w:fill="BFBFBF"/>
          </w:tcPr>
          <w:p w14:paraId="17BE80DB"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Contratos Listados</w:t>
            </w:r>
          </w:p>
        </w:tc>
        <w:tc>
          <w:tcPr>
            <w:tcW w:w="5954" w:type="dxa"/>
          </w:tcPr>
          <w:p w14:paraId="02620AE2"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Estarán disponibles en el Sistema vencimientos trimestrales dentro del ciclo de marzo. Estarán disponibles en el Sistema de Cámara los cuatro (4) vencimientos más cercanos</w:t>
            </w:r>
          </w:p>
        </w:tc>
      </w:tr>
      <w:tr w:rsidR="007968EC" w:rsidRPr="00EB14DE" w14:paraId="0874C527" w14:textId="77777777" w:rsidTr="007968EC">
        <w:tc>
          <w:tcPr>
            <w:tcW w:w="3539" w:type="dxa"/>
            <w:shd w:val="clear" w:color="auto" w:fill="BFBFBF"/>
          </w:tcPr>
          <w:p w14:paraId="1AAD696B"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cs="Arial"/>
                <w:bCs/>
                <w:color w:val="000000" w:themeColor="text1"/>
                <w:lang w:val="es-ES" w:eastAsia="es-ES"/>
              </w:rPr>
              <w:t>Método de Liquidación</w:t>
            </w:r>
          </w:p>
        </w:tc>
        <w:tc>
          <w:tcPr>
            <w:tcW w:w="5954" w:type="dxa"/>
          </w:tcPr>
          <w:p w14:paraId="09B1E397"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bCs/>
                <w:color w:val="000000" w:themeColor="text1"/>
                <w:lang w:val="es-ES" w:eastAsia="es-ES"/>
              </w:rPr>
              <w:t xml:space="preserve">Liquidación por Diferencias </w:t>
            </w:r>
          </w:p>
        </w:tc>
      </w:tr>
      <w:tr w:rsidR="007968EC" w:rsidRPr="00EB14DE" w14:paraId="0246C38A" w14:textId="77777777" w:rsidTr="007968EC">
        <w:tc>
          <w:tcPr>
            <w:tcW w:w="3539" w:type="dxa"/>
            <w:shd w:val="clear" w:color="auto" w:fill="BFBFBF"/>
          </w:tcPr>
          <w:p w14:paraId="02BC2839" w14:textId="77777777" w:rsidR="007968EC" w:rsidRPr="00EB14DE" w:rsidRDefault="007968EC" w:rsidP="007968EC">
            <w:pPr>
              <w:rPr>
                <w:rFonts w:ascii="Arial Narrow" w:hAnsi="Arial Narrow" w:cs="Arial"/>
                <w:bCs/>
                <w:color w:val="000000" w:themeColor="text1"/>
                <w:lang w:val="es-ES" w:eastAsia="es-ES"/>
              </w:rPr>
            </w:pPr>
            <w:r w:rsidRPr="00EB14DE">
              <w:rPr>
                <w:rFonts w:ascii="Arial Narrow" w:hAnsi="Arial Narrow" w:cs="Arial"/>
                <w:color w:val="000000" w:themeColor="text1"/>
                <w:lang w:val="es-ES" w:eastAsia="es-ES"/>
              </w:rPr>
              <w:t>Tipo de Liquidación</w:t>
            </w:r>
          </w:p>
        </w:tc>
        <w:tc>
          <w:tcPr>
            <w:tcW w:w="5954" w:type="dxa"/>
          </w:tcPr>
          <w:p w14:paraId="075FD3A3" w14:textId="77777777" w:rsidR="007968EC" w:rsidRPr="00EB14DE" w:rsidRDefault="007968EC" w:rsidP="007968EC">
            <w:pPr>
              <w:rPr>
                <w:rFonts w:ascii="Arial Narrow" w:hAnsi="Arial Narrow" w:cs="Arial"/>
                <w:bCs/>
                <w:color w:val="000000" w:themeColor="text1"/>
                <w:lang w:val="es-ES" w:eastAsia="es-ES"/>
              </w:rPr>
            </w:pPr>
            <w:r w:rsidRPr="00EB14DE">
              <w:rPr>
                <w:rFonts w:ascii="Arial Narrow" w:hAnsi="Arial Narrow"/>
                <w:bCs/>
                <w:color w:val="000000" w:themeColor="text1"/>
                <w:lang w:val="es-ES" w:eastAsia="es-ES"/>
              </w:rPr>
              <w:t>Liquidación únicamente al Vencimiento</w:t>
            </w:r>
            <w:r w:rsidRPr="00EB14DE">
              <w:rPr>
                <w:rFonts w:ascii="Arial Narrow" w:hAnsi="Arial Narrow" w:cs="Arial"/>
                <w:color w:val="000000" w:themeColor="text1"/>
                <w:lang w:val="es-ES" w:eastAsia="es-ES"/>
              </w:rPr>
              <w:t>.</w:t>
            </w:r>
          </w:p>
        </w:tc>
      </w:tr>
      <w:tr w:rsidR="007968EC" w:rsidRPr="00EB14DE" w14:paraId="4A114D20" w14:textId="77777777" w:rsidTr="007968EC">
        <w:tc>
          <w:tcPr>
            <w:tcW w:w="3539" w:type="dxa"/>
            <w:shd w:val="clear" w:color="auto" w:fill="BFBFBF"/>
            <w:vAlign w:val="center"/>
          </w:tcPr>
          <w:p w14:paraId="6FC83124" w14:textId="77777777" w:rsidR="007968EC" w:rsidRPr="00EB14DE" w:rsidRDefault="007968EC" w:rsidP="007968EC">
            <w:pPr>
              <w:rPr>
                <w:rFonts w:ascii="Arial Narrow" w:hAnsi="Arial Narrow" w:cs="Arial"/>
                <w:bCs/>
                <w:color w:val="000000" w:themeColor="text1"/>
                <w:lang w:val="es-ES" w:eastAsia="es-ES"/>
              </w:rPr>
            </w:pPr>
            <w:r w:rsidRPr="00EB14DE">
              <w:rPr>
                <w:rFonts w:ascii="Arial Narrow" w:hAnsi="Arial Narrow" w:cs="Arial"/>
                <w:bCs/>
                <w:color w:val="000000" w:themeColor="text1"/>
                <w:lang w:val="es-ES" w:eastAsia="es-ES"/>
              </w:rPr>
              <w:t>Último día de Negociación</w:t>
            </w:r>
          </w:p>
        </w:tc>
        <w:tc>
          <w:tcPr>
            <w:tcW w:w="5954" w:type="dxa"/>
            <w:vAlign w:val="center"/>
          </w:tcPr>
          <w:p w14:paraId="6E122B3A" w14:textId="77777777" w:rsidR="007968EC" w:rsidRPr="00EB14DE" w:rsidRDefault="007968EC" w:rsidP="007968EC">
            <w:pPr>
              <w:rPr>
                <w:rFonts w:ascii="Arial Narrow" w:hAnsi="Arial Narrow" w:cs="Arial"/>
                <w:bCs/>
                <w:color w:val="000000" w:themeColor="text1"/>
                <w:lang w:val="es-ES" w:eastAsia="es-ES"/>
              </w:rPr>
            </w:pPr>
            <w:r w:rsidRPr="00EB14DE">
              <w:rPr>
                <w:rFonts w:ascii="Arial Narrow" w:hAnsi="Arial Narrow" w:cs="Arial"/>
                <w:bCs/>
                <w:color w:val="000000" w:themeColor="text1"/>
                <w:lang w:val="es-ES" w:eastAsia="es-ES"/>
              </w:rPr>
              <w:t>Día del Vencimiento del Contrato.</w:t>
            </w:r>
          </w:p>
        </w:tc>
      </w:tr>
      <w:tr w:rsidR="007968EC" w:rsidRPr="00EB14DE" w14:paraId="24ADBE58" w14:textId="77777777" w:rsidTr="007968EC">
        <w:tc>
          <w:tcPr>
            <w:tcW w:w="3539" w:type="dxa"/>
            <w:shd w:val="clear" w:color="auto" w:fill="BFBFBF"/>
            <w:vAlign w:val="center"/>
          </w:tcPr>
          <w:p w14:paraId="14C8A49C" w14:textId="77777777" w:rsidR="007968EC" w:rsidRPr="00EB14DE" w:rsidRDefault="007968EC" w:rsidP="007968EC">
            <w:pPr>
              <w:rPr>
                <w:rFonts w:ascii="Arial Narrow" w:hAnsi="Arial Narrow" w:cs="Arial"/>
                <w:bCs/>
                <w:color w:val="000000" w:themeColor="text1"/>
                <w:lang w:val="es-ES" w:eastAsia="es-ES"/>
              </w:rPr>
            </w:pPr>
            <w:r w:rsidRPr="00EB14DE">
              <w:rPr>
                <w:rFonts w:ascii="Arial Narrow" w:hAnsi="Arial Narrow" w:cs="Arial"/>
                <w:bCs/>
                <w:color w:val="000000" w:themeColor="text1"/>
                <w:lang w:val="es-ES" w:eastAsia="es-ES"/>
              </w:rPr>
              <w:t>Día de Vencimiento</w:t>
            </w:r>
          </w:p>
        </w:tc>
        <w:tc>
          <w:tcPr>
            <w:tcW w:w="5954" w:type="dxa"/>
            <w:vAlign w:val="center"/>
          </w:tcPr>
          <w:p w14:paraId="705FC24C" w14:textId="77777777" w:rsidR="007968EC" w:rsidRPr="00EB14DE" w:rsidRDefault="007968EC" w:rsidP="007968EC">
            <w:pPr>
              <w:rPr>
                <w:rFonts w:ascii="Arial Narrow" w:hAnsi="Arial Narrow" w:cs="Arial"/>
                <w:bCs/>
                <w:color w:val="000000" w:themeColor="text1"/>
                <w:lang w:val="es-ES" w:eastAsia="es-ES"/>
              </w:rPr>
            </w:pPr>
            <w:r w:rsidRPr="00EB14DE">
              <w:rPr>
                <w:rFonts w:ascii="Arial Narrow" w:hAnsi="Arial Narrow" w:cs="Arial"/>
                <w:bCs/>
                <w:color w:val="000000" w:themeColor="text1"/>
                <w:lang w:val="es-ES" w:eastAsia="es-ES"/>
              </w:rPr>
              <w:t>Sera el tercer viernes del mes de vencimiento. Cuando el tercer viernes del mes de vencimiento corresponda a un día no hábil, el día de vencimiento corresponderá al día hábil siguiente</w:t>
            </w:r>
          </w:p>
        </w:tc>
      </w:tr>
    </w:tbl>
    <w:p w14:paraId="386BFCA0" w14:textId="77777777" w:rsidR="007968EC" w:rsidRPr="00EB14DE" w:rsidRDefault="007968EC" w:rsidP="007968EC">
      <w:pPr>
        <w:jc w:val="both"/>
        <w:rPr>
          <w:rFonts w:ascii="Arial Narrow" w:eastAsia="Calibri" w:hAnsi="Arial Narrow"/>
          <w:bCs/>
          <w:color w:val="000000" w:themeColor="text1"/>
        </w:rPr>
      </w:pPr>
    </w:p>
    <w:p w14:paraId="21C76AFB" w14:textId="77777777" w:rsidR="007968EC" w:rsidRPr="00EB14DE" w:rsidRDefault="007968EC" w:rsidP="00DA7472">
      <w:pPr>
        <w:numPr>
          <w:ilvl w:val="0"/>
          <w:numId w:val="252"/>
        </w:numPr>
        <w:autoSpaceDE w:val="0"/>
        <w:autoSpaceDN w:val="0"/>
        <w:adjustRightInd w:val="0"/>
        <w:ind w:left="426" w:hanging="426"/>
        <w:contextualSpacing/>
        <w:rPr>
          <w:rFonts w:ascii="Arial Narrow" w:hAnsi="Arial Narrow" w:cs="Arial"/>
          <w:color w:val="000000" w:themeColor="text1"/>
          <w:lang w:eastAsia="es-CO"/>
        </w:rPr>
      </w:pPr>
      <w:r w:rsidRPr="00EB14DE">
        <w:rPr>
          <w:rFonts w:ascii="Arial Narrow" w:hAnsi="Arial Narrow" w:cs="Arial"/>
          <w:color w:val="000000" w:themeColor="text1"/>
          <w:lang w:eastAsia="es-CO"/>
        </w:rPr>
        <w:t xml:space="preserve">Características Especiales: </w:t>
      </w:r>
    </w:p>
    <w:p w14:paraId="7A5FE563" w14:textId="77777777" w:rsidR="007968EC" w:rsidRPr="00EB14DE" w:rsidRDefault="007968EC" w:rsidP="007968EC">
      <w:pPr>
        <w:autoSpaceDE w:val="0"/>
        <w:autoSpaceDN w:val="0"/>
        <w:adjustRightInd w:val="0"/>
        <w:rPr>
          <w:rFonts w:ascii="Arial Narrow" w:hAnsi="Arial Narrow" w:cs="Arial"/>
          <w:color w:val="000000" w:themeColor="text1"/>
          <w:lang w:val="es-ES" w:eastAsia="es-ES"/>
        </w:rPr>
      </w:pPr>
    </w:p>
    <w:tbl>
      <w:tblPr>
        <w:tblW w:w="9462" w:type="dxa"/>
        <w:tblInd w:w="2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508"/>
        <w:gridCol w:w="5954"/>
      </w:tblGrid>
      <w:tr w:rsidR="007968EC" w:rsidRPr="00EB14DE" w14:paraId="5C71B397" w14:textId="77777777" w:rsidTr="007968EC">
        <w:tc>
          <w:tcPr>
            <w:tcW w:w="3508" w:type="dxa"/>
            <w:shd w:val="clear" w:color="auto" w:fill="D0CECE"/>
            <w:vAlign w:val="center"/>
          </w:tcPr>
          <w:p w14:paraId="4BF00EBC"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Tipo de Opción</w:t>
            </w:r>
          </w:p>
        </w:tc>
        <w:tc>
          <w:tcPr>
            <w:tcW w:w="5954" w:type="dxa"/>
            <w:vAlign w:val="center"/>
          </w:tcPr>
          <w:p w14:paraId="5372213B" w14:textId="77777777" w:rsidR="007968EC" w:rsidRPr="00EB14DE" w:rsidRDefault="007968EC" w:rsidP="007968EC">
            <w:pPr>
              <w:jc w:val="both"/>
              <w:rPr>
                <w:rFonts w:ascii="Arial Narrow" w:hAnsi="Arial Narrow"/>
                <w:color w:val="000000" w:themeColor="text1"/>
                <w:lang w:val="es-ES" w:eastAsia="es-ES"/>
              </w:rPr>
            </w:pPr>
            <w:r w:rsidRPr="00EB14DE">
              <w:rPr>
                <w:rFonts w:ascii="Arial Narrow" w:hAnsi="Arial Narrow"/>
                <w:color w:val="000000" w:themeColor="text1"/>
                <w:lang w:val="es-ES" w:eastAsia="es-ES"/>
              </w:rPr>
              <w:t>Europea</w:t>
            </w:r>
          </w:p>
        </w:tc>
      </w:tr>
      <w:tr w:rsidR="007968EC" w:rsidRPr="00EB14DE" w14:paraId="4A68915D" w14:textId="77777777" w:rsidTr="007968EC">
        <w:tc>
          <w:tcPr>
            <w:tcW w:w="3508" w:type="dxa"/>
            <w:shd w:val="clear" w:color="auto" w:fill="D0CECE"/>
            <w:vAlign w:val="center"/>
          </w:tcPr>
          <w:p w14:paraId="11039BEC"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Opciones disponibles</w:t>
            </w:r>
          </w:p>
        </w:tc>
        <w:tc>
          <w:tcPr>
            <w:tcW w:w="5954" w:type="dxa"/>
            <w:vAlign w:val="center"/>
          </w:tcPr>
          <w:p w14:paraId="52816E12" w14:textId="77777777" w:rsidR="007968EC" w:rsidRPr="00EB14DE" w:rsidRDefault="007968EC" w:rsidP="007968EC">
            <w:pPr>
              <w:jc w:val="both"/>
              <w:rPr>
                <w:rFonts w:ascii="Arial Narrow" w:hAnsi="Arial Narrow"/>
                <w:color w:val="000000" w:themeColor="text1"/>
                <w:lang w:val="es-ES" w:eastAsia="es-ES"/>
              </w:rPr>
            </w:pPr>
            <w:r w:rsidRPr="00EB14DE">
              <w:rPr>
                <w:rFonts w:ascii="Arial Narrow" w:hAnsi="Arial Narrow"/>
                <w:color w:val="000000" w:themeColor="text1"/>
                <w:lang w:val="es-ES" w:eastAsia="es-ES"/>
              </w:rPr>
              <w:t xml:space="preserve">Call y </w:t>
            </w:r>
            <w:proofErr w:type="spellStart"/>
            <w:r w:rsidRPr="00EB14DE">
              <w:rPr>
                <w:rFonts w:ascii="Arial Narrow" w:hAnsi="Arial Narrow"/>
                <w:color w:val="000000" w:themeColor="text1"/>
                <w:lang w:val="es-ES" w:eastAsia="es-ES"/>
              </w:rPr>
              <w:t>Put</w:t>
            </w:r>
            <w:proofErr w:type="spellEnd"/>
          </w:p>
        </w:tc>
      </w:tr>
      <w:tr w:rsidR="007968EC" w:rsidRPr="00EB14DE" w14:paraId="4EAE2A18" w14:textId="77777777" w:rsidTr="007968EC">
        <w:tc>
          <w:tcPr>
            <w:tcW w:w="3508" w:type="dxa"/>
            <w:shd w:val="clear" w:color="auto" w:fill="D0CECE"/>
            <w:vAlign w:val="center"/>
          </w:tcPr>
          <w:p w14:paraId="289D7B0C"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Strikes mínimos disponibles</w:t>
            </w:r>
          </w:p>
        </w:tc>
        <w:tc>
          <w:tcPr>
            <w:tcW w:w="5954" w:type="dxa"/>
          </w:tcPr>
          <w:p w14:paraId="3C86422B" w14:textId="77777777" w:rsidR="007968EC" w:rsidRPr="00EB14DE" w:rsidRDefault="007968EC" w:rsidP="007968EC">
            <w:pPr>
              <w:jc w:val="both"/>
              <w:rPr>
                <w:rFonts w:ascii="Arial Narrow" w:hAnsi="Arial Narrow"/>
                <w:color w:val="000000" w:themeColor="text1"/>
                <w:lang w:val="es-ES" w:eastAsia="es-ES"/>
              </w:rPr>
            </w:pPr>
            <w:r w:rsidRPr="00EB14DE">
              <w:rPr>
                <w:rFonts w:ascii="Arial Narrow" w:hAnsi="Arial Narrow"/>
                <w:color w:val="000000" w:themeColor="text1"/>
                <w:lang w:val="es-ES" w:eastAsia="es-ES"/>
              </w:rPr>
              <w:t>OTM: 50</w:t>
            </w:r>
          </w:p>
          <w:p w14:paraId="05A5380D" w14:textId="77777777" w:rsidR="007968EC" w:rsidRPr="00EB14DE" w:rsidRDefault="007968EC" w:rsidP="007968EC">
            <w:pPr>
              <w:jc w:val="both"/>
              <w:rPr>
                <w:rFonts w:ascii="Arial Narrow" w:hAnsi="Arial Narrow"/>
                <w:color w:val="000000" w:themeColor="text1"/>
                <w:lang w:val="es-ES" w:eastAsia="es-ES"/>
              </w:rPr>
            </w:pPr>
            <w:r w:rsidRPr="00EB14DE">
              <w:rPr>
                <w:rFonts w:ascii="Arial Narrow" w:hAnsi="Arial Narrow"/>
                <w:color w:val="000000" w:themeColor="text1"/>
                <w:lang w:val="es-ES" w:eastAsia="es-ES"/>
              </w:rPr>
              <w:t xml:space="preserve">ITM: 50 </w:t>
            </w:r>
          </w:p>
          <w:p w14:paraId="2E6408B1" w14:textId="77777777" w:rsidR="007968EC" w:rsidRPr="00EB14DE" w:rsidRDefault="007968EC" w:rsidP="007968EC">
            <w:pPr>
              <w:jc w:val="both"/>
              <w:rPr>
                <w:rFonts w:ascii="Arial Narrow" w:hAnsi="Arial Narrow"/>
                <w:color w:val="000000" w:themeColor="text1"/>
                <w:lang w:val="es-ES" w:eastAsia="es-ES"/>
              </w:rPr>
            </w:pPr>
            <w:r w:rsidRPr="00EB14DE">
              <w:rPr>
                <w:rFonts w:ascii="Arial Narrow" w:hAnsi="Arial Narrow"/>
                <w:color w:val="000000" w:themeColor="text1"/>
                <w:lang w:val="es-ES" w:eastAsia="es-ES"/>
              </w:rPr>
              <w:t>ATM: 1</w:t>
            </w:r>
          </w:p>
        </w:tc>
      </w:tr>
      <w:tr w:rsidR="007968EC" w:rsidRPr="00EB14DE" w14:paraId="031322FF" w14:textId="77777777" w:rsidTr="007968EC">
        <w:tc>
          <w:tcPr>
            <w:tcW w:w="3508" w:type="dxa"/>
            <w:shd w:val="clear" w:color="auto" w:fill="D0CECE"/>
            <w:vAlign w:val="center"/>
          </w:tcPr>
          <w:p w14:paraId="0A91B29D"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Liquidación prima</w:t>
            </w:r>
          </w:p>
        </w:tc>
        <w:tc>
          <w:tcPr>
            <w:tcW w:w="5954" w:type="dxa"/>
          </w:tcPr>
          <w:p w14:paraId="127DE6FD"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Liquidada al siguiente día hábil del día de la negociación</w:t>
            </w:r>
          </w:p>
        </w:tc>
      </w:tr>
    </w:tbl>
    <w:p w14:paraId="10325520" w14:textId="77777777" w:rsidR="007968EC" w:rsidRPr="00EB14DE" w:rsidRDefault="007968EC" w:rsidP="007968EC">
      <w:pPr>
        <w:autoSpaceDE w:val="0"/>
        <w:autoSpaceDN w:val="0"/>
        <w:adjustRightInd w:val="0"/>
        <w:contextualSpacing/>
        <w:rPr>
          <w:rFonts w:ascii="Arial Narrow" w:hAnsi="Arial Narrow"/>
          <w:bCs/>
          <w:color w:val="000000" w:themeColor="text1"/>
          <w:lang w:val="es-ES" w:eastAsia="es-CO"/>
        </w:rPr>
      </w:pPr>
    </w:p>
    <w:p w14:paraId="75F860D9" w14:textId="77777777" w:rsidR="007968EC" w:rsidRPr="00EB14DE" w:rsidRDefault="007968EC" w:rsidP="007968EC">
      <w:pPr>
        <w:jc w:val="both"/>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Para efectos de cálculos de riesgo Intradía, la Cámara calculará los precios teóricos (intradía y al cierre) de los Contratos de Opciones europeas con base en el modelo de Black- (1973), el cual se enuncia a continuación:</w:t>
      </w:r>
    </w:p>
    <w:p w14:paraId="54A86CD3" w14:textId="77777777" w:rsidR="007968EC" w:rsidRPr="00EB14DE" w:rsidRDefault="007968EC" w:rsidP="007968EC">
      <w:pPr>
        <w:jc w:val="both"/>
        <w:rPr>
          <w:rFonts w:ascii="Arial Narrow" w:hAnsi="Arial Narrow" w:cs="Arial"/>
          <w:color w:val="000000" w:themeColor="text1"/>
          <w:lang w:val="es-ES" w:eastAsia="es-ES"/>
        </w:rPr>
      </w:pPr>
    </w:p>
    <w:p w14:paraId="5C63CE91"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Se calcula un precio teórico para cada Contrato de Opción CALL y para cada contrato de Opción PUT.</w:t>
      </w:r>
    </w:p>
    <w:p w14:paraId="7BF86A70" w14:textId="77777777" w:rsidR="007968EC" w:rsidRPr="00EB14DE" w:rsidRDefault="007968EC" w:rsidP="007968EC">
      <w:pPr>
        <w:rPr>
          <w:rFonts w:ascii="Arial Narrow" w:hAnsi="Arial Narrow" w:cs="Arial"/>
          <w:color w:val="000000" w:themeColor="text1"/>
          <w:lang w:val="es-ES" w:eastAsia="es-ES"/>
        </w:rPr>
      </w:pPr>
    </w:p>
    <w:p w14:paraId="04183BC2" w14:textId="77777777" w:rsidR="007968EC" w:rsidRPr="00EB14DE" w:rsidRDefault="007968EC" w:rsidP="007968EC">
      <w:pPr>
        <w:jc w:val="right"/>
        <w:rPr>
          <w:rFonts w:ascii="Arial Narrow" w:hAnsi="Arial Narrow" w:cs="Arial"/>
          <w:bCs/>
          <w:i/>
          <w:color w:val="000000" w:themeColor="text1"/>
          <w:lang w:val="es-ES" w:eastAsia="es-ES"/>
        </w:rPr>
      </w:pPr>
      <m:oMathPara>
        <m:oMath>
          <m:r>
            <m:rPr>
              <m:sty m:val="bi"/>
            </m:rPr>
            <w:rPr>
              <w:rFonts w:ascii="Cambria Math" w:hAnsi="Cambria Math" w:cs="Arial"/>
              <w:color w:val="000000" w:themeColor="text1"/>
              <w:lang w:val="es-ES" w:eastAsia="es-ES"/>
            </w:rPr>
            <m:t>C=</m:t>
          </m:r>
          <m:d>
            <m:dPr>
              <m:ctrlPr>
                <w:rPr>
                  <w:rFonts w:ascii="Cambria Math" w:hAnsi="Cambria Math" w:cs="Arial"/>
                  <w:i/>
                  <w:color w:val="000000" w:themeColor="text1"/>
                  <w:lang w:val="es-ES" w:eastAsia="es-ES"/>
                </w:rPr>
              </m:ctrlPr>
            </m:dPr>
            <m:e>
              <m:r>
                <m:rPr>
                  <m:sty m:val="bi"/>
                </m:rPr>
                <w:rPr>
                  <w:rFonts w:ascii="Cambria Math" w:hAnsi="Cambria Math" w:cs="Arial"/>
                  <w:color w:val="000000" w:themeColor="text1"/>
                  <w:lang w:val="es-ES" w:eastAsia="es-ES"/>
                </w:rPr>
                <m:t>S-I</m:t>
              </m:r>
            </m:e>
          </m:d>
          <m:r>
            <m:rPr>
              <m:sty m:val="bi"/>
            </m:rPr>
            <w:rPr>
              <w:rFonts w:ascii="Cambria Math" w:hAnsi="Cambria Math" w:cs="Arial"/>
              <w:color w:val="000000" w:themeColor="text1"/>
              <w:lang w:val="es-ES" w:eastAsia="es-ES"/>
            </w:rPr>
            <m:t xml:space="preserve"> N</m:t>
          </m:r>
          <m:d>
            <m:dPr>
              <m:ctrlPr>
                <w:rPr>
                  <w:rFonts w:ascii="Cambria Math" w:hAnsi="Cambria Math" w:cs="Arial"/>
                  <w:i/>
                  <w:color w:val="000000" w:themeColor="text1"/>
                  <w:lang w:val="es-ES" w:eastAsia="es-ES"/>
                </w:rPr>
              </m:ctrlPr>
            </m:dPr>
            <m:e>
              <m:r>
                <m:rPr>
                  <m:sty m:val="bi"/>
                </m:rPr>
                <w:rPr>
                  <w:rFonts w:ascii="Cambria Math" w:hAnsi="Cambria Math" w:cs="Arial"/>
                  <w:color w:val="000000" w:themeColor="text1"/>
                  <w:lang w:val="es-ES" w:eastAsia="es-ES"/>
                </w:rPr>
                <m:t>D</m:t>
              </m:r>
            </m:e>
          </m:d>
          <m:r>
            <m:rPr>
              <m:sty m:val="bi"/>
            </m:rPr>
            <w:rPr>
              <w:rFonts w:ascii="Cambria Math" w:hAnsi="Cambria Math" w:cs="Arial"/>
              <w:color w:val="000000" w:themeColor="text1"/>
              <w:lang w:val="es-ES" w:eastAsia="es-ES"/>
            </w:rPr>
            <m:t>-</m:t>
          </m:r>
          <m:r>
            <m:rPr>
              <m:sty m:val="bi"/>
            </m:rPr>
            <w:rPr>
              <w:rFonts w:ascii="Cambria Math" w:hAnsi="Cambria Math" w:cs="Cambria Math"/>
              <w:color w:val="000000" w:themeColor="text1"/>
              <w:lang w:val="es-ES" w:eastAsia="es-ES"/>
            </w:rPr>
            <m:t>E</m:t>
          </m:r>
          <m:sSup>
            <m:sSupPr>
              <m:ctrlPr>
                <w:rPr>
                  <w:rFonts w:ascii="Cambria Math" w:hAnsi="Cambria Math" w:cs="Arial"/>
                  <w:i/>
                  <w:color w:val="000000" w:themeColor="text1"/>
                  <w:lang w:val="es-ES" w:eastAsia="es-ES"/>
                </w:rPr>
              </m:ctrlPr>
            </m:sSupPr>
            <m:e>
              <m:r>
                <m:rPr>
                  <m:sty m:val="bi"/>
                </m:rPr>
                <w:rPr>
                  <w:rFonts w:ascii="Cambria Math" w:hAnsi="Cambria Math" w:cs="Arial"/>
                  <w:color w:val="000000" w:themeColor="text1"/>
                  <w:lang w:val="es-ES" w:eastAsia="es-ES"/>
                </w:rPr>
                <m:t>e</m:t>
              </m:r>
            </m:e>
            <m:sup>
              <m:r>
                <m:rPr>
                  <m:sty m:val="bi"/>
                </m:rPr>
                <w:rPr>
                  <w:rFonts w:ascii="Cambria Math" w:hAnsi="Cambria Math" w:cs="Arial"/>
                  <w:color w:val="000000" w:themeColor="text1"/>
                  <w:lang w:val="es-ES" w:eastAsia="es-ES"/>
                </w:rPr>
                <m:t>-rt</m:t>
              </m:r>
            </m:sup>
          </m:sSup>
          <m:r>
            <m:rPr>
              <m:sty m:val="bi"/>
            </m:rPr>
            <w:rPr>
              <w:rFonts w:ascii="Cambria Math" w:hAnsi="Cambria Math" w:cs="Arial"/>
              <w:color w:val="000000" w:themeColor="text1"/>
              <w:lang w:val="es-ES" w:eastAsia="es-ES"/>
            </w:rPr>
            <m:t>N</m:t>
          </m:r>
          <m:d>
            <m:dPr>
              <m:ctrlPr>
                <w:rPr>
                  <w:rFonts w:ascii="Cambria Math" w:hAnsi="Cambria Math" w:cs="Arial"/>
                  <w:i/>
                  <w:color w:val="000000" w:themeColor="text1"/>
                  <w:lang w:val="es-ES" w:eastAsia="es-ES"/>
                </w:rPr>
              </m:ctrlPr>
            </m:dPr>
            <m:e>
              <m:r>
                <m:rPr>
                  <m:sty m:val="bi"/>
                </m:rPr>
                <w:rPr>
                  <w:rFonts w:ascii="Cambria Math" w:hAnsi="Cambria Math" w:cs="Arial"/>
                  <w:color w:val="000000" w:themeColor="text1"/>
                  <w:lang w:val="es-ES" w:eastAsia="es-ES"/>
                </w:rPr>
                <m:t>D-v</m:t>
              </m:r>
              <m:rad>
                <m:radPr>
                  <m:degHide m:val="1"/>
                  <m:ctrlPr>
                    <w:rPr>
                      <w:rFonts w:ascii="Cambria Math" w:hAnsi="Cambria Math" w:cs="Arial"/>
                      <w:i/>
                      <w:color w:val="000000" w:themeColor="text1"/>
                      <w:lang w:val="es-ES" w:eastAsia="es-ES"/>
                    </w:rPr>
                  </m:ctrlPr>
                </m:radPr>
                <m:deg/>
                <m:e>
                  <m:r>
                    <m:rPr>
                      <m:sty m:val="bi"/>
                    </m:rPr>
                    <w:rPr>
                      <w:rFonts w:ascii="Cambria Math" w:hAnsi="Cambria Math" w:cs="Arial"/>
                      <w:color w:val="000000" w:themeColor="text1"/>
                      <w:lang w:val="es-ES" w:eastAsia="es-ES"/>
                    </w:rPr>
                    <m:t>t</m:t>
                  </m:r>
                </m:e>
              </m:rad>
            </m:e>
          </m:d>
        </m:oMath>
      </m:oMathPara>
    </w:p>
    <w:p w14:paraId="30B938B3" w14:textId="77777777" w:rsidR="007968EC" w:rsidRPr="00EB14DE" w:rsidRDefault="007968EC" w:rsidP="007968EC">
      <w:pPr>
        <w:jc w:val="both"/>
        <w:rPr>
          <w:rFonts w:ascii="Arial Narrow" w:hAnsi="Arial Narrow" w:cs="Arial"/>
          <w:bCs/>
          <w:color w:val="000000" w:themeColor="text1"/>
          <w:lang w:val="es-ES" w:eastAsia="es-ES"/>
        </w:rPr>
      </w:pPr>
      <m:oMathPara>
        <m:oMathParaPr>
          <m:jc m:val="center"/>
        </m:oMathParaPr>
        <m:oMath>
          <m:r>
            <m:rPr>
              <m:sty m:val="bi"/>
            </m:rPr>
            <w:rPr>
              <w:rFonts w:ascii="Cambria Math" w:hAnsi="Cambria Math" w:cs="Arial"/>
              <w:color w:val="000000" w:themeColor="text1"/>
              <w:lang w:val="es-ES" w:eastAsia="es-ES"/>
            </w:rPr>
            <m:t>P</m:t>
          </m:r>
          <m:r>
            <m:rPr>
              <m:sty m:val="b"/>
            </m:rPr>
            <w:rPr>
              <w:rFonts w:ascii="Cambria Math" w:hAnsi="Cambria Math" w:cs="Arial"/>
              <w:color w:val="000000" w:themeColor="text1"/>
              <w:lang w:val="es-ES" w:eastAsia="es-ES"/>
            </w:rPr>
            <m:t>=-</m:t>
          </m:r>
          <m:d>
            <m:dPr>
              <m:ctrlPr>
                <w:rPr>
                  <w:rFonts w:ascii="Cambria Math" w:hAnsi="Cambria Math" w:cs="Arial"/>
                  <w:i/>
                  <w:color w:val="000000" w:themeColor="text1"/>
                  <w:lang w:val="es-ES" w:eastAsia="es-ES"/>
                </w:rPr>
              </m:ctrlPr>
            </m:dPr>
            <m:e>
              <m:r>
                <m:rPr>
                  <m:sty m:val="bi"/>
                </m:rPr>
                <w:rPr>
                  <w:rFonts w:ascii="Cambria Math" w:hAnsi="Cambria Math" w:cs="Arial"/>
                  <w:color w:val="000000" w:themeColor="text1"/>
                  <w:lang w:val="es-ES" w:eastAsia="es-ES"/>
                </w:rPr>
                <m:t>S-I</m:t>
              </m:r>
            </m:e>
          </m:d>
          <m:r>
            <m:rPr>
              <m:sty m:val="bi"/>
            </m:rPr>
            <w:rPr>
              <w:rFonts w:ascii="Cambria Math" w:hAnsi="Cambria Math" w:cs="Arial"/>
              <w:color w:val="000000" w:themeColor="text1"/>
              <w:lang w:val="es-ES" w:eastAsia="es-ES"/>
            </w:rPr>
            <m:t xml:space="preserve"> N</m:t>
          </m:r>
          <m:d>
            <m:dPr>
              <m:ctrlPr>
                <w:rPr>
                  <w:rFonts w:ascii="Cambria Math" w:hAnsi="Cambria Math" w:cs="Arial"/>
                  <w:i/>
                  <w:color w:val="000000" w:themeColor="text1"/>
                  <w:lang w:val="es-ES" w:eastAsia="es-ES"/>
                </w:rPr>
              </m:ctrlPr>
            </m:dPr>
            <m:e>
              <m:r>
                <m:rPr>
                  <m:sty m:val="bi"/>
                </m:rPr>
                <w:rPr>
                  <w:rFonts w:ascii="Cambria Math" w:hAnsi="Cambria Math" w:cs="Arial"/>
                  <w:color w:val="000000" w:themeColor="text1"/>
                  <w:lang w:val="es-ES" w:eastAsia="es-ES"/>
                </w:rPr>
                <m:t>-D</m:t>
              </m:r>
            </m:e>
          </m:d>
          <m:r>
            <m:rPr>
              <m:sty m:val="bi"/>
            </m:rPr>
            <w:rPr>
              <w:rFonts w:ascii="Cambria Math" w:hAnsi="Cambria Math" w:cs="Arial"/>
              <w:color w:val="000000" w:themeColor="text1"/>
              <w:lang w:val="es-ES" w:eastAsia="es-ES"/>
            </w:rPr>
            <m:t>+E</m:t>
          </m:r>
          <m:sSup>
            <m:sSupPr>
              <m:ctrlPr>
                <w:rPr>
                  <w:rFonts w:ascii="Cambria Math" w:hAnsi="Cambria Math" w:cs="Arial"/>
                  <w:i/>
                  <w:color w:val="000000" w:themeColor="text1"/>
                  <w:lang w:val="es-ES" w:eastAsia="es-ES"/>
                </w:rPr>
              </m:ctrlPr>
            </m:sSupPr>
            <m:e>
              <m:r>
                <m:rPr>
                  <m:sty m:val="bi"/>
                </m:rPr>
                <w:rPr>
                  <w:rFonts w:ascii="Cambria Math" w:hAnsi="Cambria Math" w:cs="Arial"/>
                  <w:color w:val="000000" w:themeColor="text1"/>
                  <w:lang w:val="es-ES" w:eastAsia="es-ES"/>
                </w:rPr>
                <m:t>e</m:t>
              </m:r>
            </m:e>
            <m:sup>
              <m:r>
                <m:rPr>
                  <m:sty m:val="bi"/>
                </m:rPr>
                <w:rPr>
                  <w:rFonts w:ascii="Cambria Math" w:hAnsi="Cambria Math" w:cs="Arial"/>
                  <w:color w:val="000000" w:themeColor="text1"/>
                  <w:lang w:val="es-ES" w:eastAsia="es-ES"/>
                </w:rPr>
                <m:t>-rt</m:t>
              </m:r>
            </m:sup>
          </m:sSup>
          <m:r>
            <m:rPr>
              <m:sty m:val="bi"/>
            </m:rPr>
            <w:rPr>
              <w:rFonts w:ascii="Cambria Math" w:hAnsi="Cambria Math" w:cs="Arial"/>
              <w:color w:val="000000" w:themeColor="text1"/>
              <w:lang w:val="es-ES" w:eastAsia="es-ES"/>
            </w:rPr>
            <m:t>N</m:t>
          </m:r>
          <m:d>
            <m:dPr>
              <m:ctrlPr>
                <w:rPr>
                  <w:rFonts w:ascii="Cambria Math" w:hAnsi="Cambria Math" w:cs="Arial"/>
                  <w:i/>
                  <w:color w:val="000000" w:themeColor="text1"/>
                  <w:lang w:val="es-ES" w:eastAsia="es-ES"/>
                </w:rPr>
              </m:ctrlPr>
            </m:dPr>
            <m:e>
              <m:r>
                <m:rPr>
                  <m:sty m:val="bi"/>
                </m:rPr>
                <w:rPr>
                  <w:rFonts w:ascii="Cambria Math" w:hAnsi="Cambria Math" w:cs="Arial"/>
                  <w:color w:val="000000" w:themeColor="text1"/>
                  <w:lang w:val="es-ES" w:eastAsia="es-ES"/>
                </w:rPr>
                <m:t>v</m:t>
              </m:r>
              <m:rad>
                <m:radPr>
                  <m:degHide m:val="1"/>
                  <m:ctrlPr>
                    <w:rPr>
                      <w:rFonts w:ascii="Cambria Math" w:hAnsi="Cambria Math" w:cs="Arial"/>
                      <w:i/>
                      <w:color w:val="000000" w:themeColor="text1"/>
                      <w:lang w:val="es-ES" w:eastAsia="es-ES"/>
                    </w:rPr>
                  </m:ctrlPr>
                </m:radPr>
                <m:deg/>
                <m:e>
                  <m:r>
                    <m:rPr>
                      <m:sty m:val="bi"/>
                    </m:rPr>
                    <w:rPr>
                      <w:rFonts w:ascii="Cambria Math" w:hAnsi="Cambria Math" w:cs="Arial"/>
                      <w:color w:val="000000" w:themeColor="text1"/>
                      <w:lang w:val="es-ES" w:eastAsia="es-ES"/>
                    </w:rPr>
                    <m:t>t</m:t>
                  </m:r>
                </m:e>
              </m:rad>
              <m:r>
                <m:rPr>
                  <m:sty m:val="bi"/>
                </m:rPr>
                <w:rPr>
                  <w:rFonts w:ascii="Cambria Math" w:hAnsi="Cambria Math" w:cs="Arial"/>
                  <w:color w:val="000000" w:themeColor="text1"/>
                  <w:lang w:val="es-ES" w:eastAsia="es-ES"/>
                </w:rPr>
                <m:t>-D</m:t>
              </m:r>
            </m:e>
          </m:d>
        </m:oMath>
      </m:oMathPara>
    </w:p>
    <w:p w14:paraId="4CC0FFD9" w14:textId="77777777" w:rsidR="007968EC" w:rsidRPr="00EB14DE" w:rsidRDefault="007968EC" w:rsidP="007968EC">
      <w:pPr>
        <w:jc w:val="both"/>
        <w:rPr>
          <w:rFonts w:ascii="Arial Narrow" w:hAnsi="Arial Narrow" w:cs="Arial"/>
          <w:bCs/>
          <w:color w:val="000000" w:themeColor="text1"/>
          <w:lang w:val="es-ES" w:eastAsia="es-ES"/>
        </w:rPr>
      </w:pPr>
      <w:r w:rsidRPr="00EB14DE">
        <w:rPr>
          <w:rFonts w:ascii="Arial Narrow" w:hAnsi="Arial Narrow" w:cs="Arial"/>
          <w:bCs/>
          <w:color w:val="000000" w:themeColor="text1"/>
          <w:lang w:val="es-ES" w:eastAsia="es-ES"/>
        </w:rPr>
        <w:t>Donde:</w:t>
      </w:r>
    </w:p>
    <w:p w14:paraId="2323F2FD" w14:textId="77777777" w:rsidR="007968EC" w:rsidRPr="00EB14DE" w:rsidRDefault="007968EC" w:rsidP="007968EC">
      <w:pPr>
        <w:jc w:val="both"/>
        <w:rPr>
          <w:rFonts w:ascii="Arial Narrow" w:hAnsi="Arial Narrow" w:cs="Arial"/>
          <w:bCs/>
          <w:color w:val="000000" w:themeColor="text1"/>
          <w:lang w:val="es-ES" w:eastAsia="es-ES"/>
        </w:rPr>
      </w:pPr>
    </w:p>
    <w:p w14:paraId="352D8E81" w14:textId="77777777" w:rsidR="007968EC" w:rsidRPr="00EB14DE" w:rsidRDefault="007968EC" w:rsidP="007968EC">
      <w:pPr>
        <w:jc w:val="center"/>
        <w:rPr>
          <w:rFonts w:ascii="Arial Narrow" w:hAnsi="Arial Narrow" w:cs="Arial"/>
          <w:bCs/>
          <w:color w:val="000000" w:themeColor="text1"/>
          <w:lang w:val="es-ES" w:eastAsia="es-ES"/>
        </w:rPr>
      </w:pPr>
      <m:oMath>
        <m:r>
          <m:rPr>
            <m:sty m:val="bi"/>
          </m:rPr>
          <w:rPr>
            <w:rFonts w:ascii="Cambria Math" w:hAnsi="Cambria Math" w:cs="Arial"/>
            <w:color w:val="000000" w:themeColor="text1"/>
            <w:lang w:val="es-ES" w:eastAsia="es-ES"/>
          </w:rPr>
          <m:t>D</m:t>
        </m:r>
        <m:r>
          <m:rPr>
            <m:sty m:val="b"/>
          </m:rPr>
          <w:rPr>
            <w:rFonts w:ascii="Cambria Math" w:hAnsi="Cambria Math" w:cs="Arial"/>
            <w:color w:val="000000" w:themeColor="text1"/>
            <w:lang w:val="es-ES" w:eastAsia="es-ES"/>
          </w:rPr>
          <m:t>=</m:t>
        </m:r>
        <m:f>
          <m:fPr>
            <m:ctrlPr>
              <w:rPr>
                <w:rFonts w:ascii="Cambria Math" w:hAnsi="Cambria Math" w:cs="Arial"/>
                <w:color w:val="000000" w:themeColor="text1"/>
                <w:lang w:val="es-ES" w:eastAsia="es-ES"/>
              </w:rPr>
            </m:ctrlPr>
          </m:fPr>
          <m:num>
            <m:r>
              <m:rPr>
                <m:sty m:val="bi"/>
              </m:rPr>
              <w:rPr>
                <w:rFonts w:ascii="Cambria Math" w:hAnsi="Cambria Math" w:cs="Arial"/>
                <w:color w:val="000000" w:themeColor="text1"/>
                <w:lang w:val="es-ES" w:eastAsia="es-ES"/>
              </w:rPr>
              <m:t>Ln</m:t>
            </m:r>
            <m:d>
              <m:dPr>
                <m:ctrlPr>
                  <w:rPr>
                    <w:rFonts w:ascii="Cambria Math" w:hAnsi="Cambria Math" w:cs="Arial"/>
                    <w:color w:val="000000" w:themeColor="text1"/>
                    <w:lang w:val="es-ES" w:eastAsia="es-ES"/>
                  </w:rPr>
                </m:ctrlPr>
              </m:dPr>
              <m:e>
                <m:f>
                  <m:fPr>
                    <m:ctrlPr>
                      <w:rPr>
                        <w:rFonts w:ascii="Cambria Math" w:hAnsi="Cambria Math" w:cs="Arial"/>
                        <w:color w:val="000000" w:themeColor="text1"/>
                        <w:lang w:val="es-ES" w:eastAsia="es-ES"/>
                      </w:rPr>
                    </m:ctrlPr>
                  </m:fPr>
                  <m:num>
                    <m:r>
                      <m:rPr>
                        <m:sty m:val="bi"/>
                      </m:rPr>
                      <w:rPr>
                        <w:rFonts w:ascii="Cambria Math" w:hAnsi="Cambria Math" w:cs="Arial"/>
                        <w:color w:val="000000" w:themeColor="text1"/>
                        <w:lang w:val="es-ES" w:eastAsia="es-ES"/>
                      </w:rPr>
                      <m:t>S-I</m:t>
                    </m:r>
                  </m:num>
                  <m:den>
                    <m:r>
                      <m:rPr>
                        <m:sty m:val="bi"/>
                      </m:rPr>
                      <w:rPr>
                        <w:rFonts w:ascii="Cambria Math" w:hAnsi="Cambria Math" w:cs="Arial"/>
                        <w:color w:val="000000" w:themeColor="text1"/>
                        <w:lang w:val="es-ES" w:eastAsia="es-ES"/>
                      </w:rPr>
                      <m:t>E</m:t>
                    </m:r>
                    <m:sSup>
                      <m:sSupPr>
                        <m:ctrlPr>
                          <w:rPr>
                            <w:rFonts w:ascii="Cambria Math" w:hAnsi="Cambria Math" w:cs="Arial"/>
                            <w:i/>
                            <w:color w:val="000000" w:themeColor="text1"/>
                            <w:lang w:val="es-ES" w:eastAsia="es-ES"/>
                          </w:rPr>
                        </m:ctrlPr>
                      </m:sSupPr>
                      <m:e>
                        <m:r>
                          <m:rPr>
                            <m:sty m:val="bi"/>
                          </m:rPr>
                          <w:rPr>
                            <w:rFonts w:ascii="Cambria Math" w:hAnsi="Cambria Math" w:cs="Arial"/>
                            <w:color w:val="000000" w:themeColor="text1"/>
                            <w:lang w:val="es-ES" w:eastAsia="es-ES"/>
                          </w:rPr>
                          <m:t>e</m:t>
                        </m:r>
                      </m:e>
                      <m:sup>
                        <m:r>
                          <m:rPr>
                            <m:sty m:val="bi"/>
                          </m:rPr>
                          <w:rPr>
                            <w:rFonts w:ascii="Cambria Math" w:hAnsi="Cambria Math" w:cs="Arial"/>
                            <w:color w:val="000000" w:themeColor="text1"/>
                            <w:lang w:val="es-ES" w:eastAsia="es-ES"/>
                          </w:rPr>
                          <m:t>-rt</m:t>
                        </m:r>
                      </m:sup>
                    </m:sSup>
                  </m:den>
                </m:f>
              </m:e>
            </m:d>
          </m:num>
          <m:den>
            <m:r>
              <m:rPr>
                <m:sty m:val="bi"/>
              </m:rPr>
              <w:rPr>
                <w:rFonts w:ascii="Cambria Math" w:hAnsi="Cambria Math" w:cs="Arial"/>
                <w:color w:val="000000" w:themeColor="text1"/>
                <w:lang w:val="es-ES" w:eastAsia="es-ES"/>
              </w:rPr>
              <m:t>v</m:t>
            </m:r>
            <m:rad>
              <m:radPr>
                <m:degHide m:val="1"/>
                <m:ctrlPr>
                  <w:rPr>
                    <w:rFonts w:ascii="Cambria Math" w:hAnsi="Cambria Math" w:cs="Arial"/>
                    <w:color w:val="000000" w:themeColor="text1"/>
                    <w:lang w:val="es-ES" w:eastAsia="es-ES"/>
                  </w:rPr>
                </m:ctrlPr>
              </m:radPr>
              <m:deg/>
              <m:e>
                <m:r>
                  <m:rPr>
                    <m:sty m:val="bi"/>
                  </m:rPr>
                  <w:rPr>
                    <w:rFonts w:ascii="Cambria Math" w:hAnsi="Cambria Math" w:cs="Arial"/>
                    <w:color w:val="000000" w:themeColor="text1"/>
                    <w:lang w:val="es-ES" w:eastAsia="es-ES"/>
                  </w:rPr>
                  <m:t>T</m:t>
                </m:r>
              </m:e>
            </m:rad>
          </m:den>
        </m:f>
        <m:r>
          <m:rPr>
            <m:sty m:val="bi"/>
          </m:rPr>
          <w:rPr>
            <w:rFonts w:ascii="Cambria Math" w:hAnsi="Cambria Math" w:cs="Arial"/>
            <w:color w:val="000000" w:themeColor="text1"/>
            <w:lang w:val="es-ES" w:eastAsia="es-ES"/>
          </w:rPr>
          <m:t>+</m:t>
        </m:r>
        <m:f>
          <m:fPr>
            <m:ctrlPr>
              <w:rPr>
                <w:rFonts w:ascii="Cambria Math" w:hAnsi="Cambria Math" w:cs="Arial"/>
                <w:color w:val="000000" w:themeColor="text1"/>
                <w:lang w:val="es-ES" w:eastAsia="es-ES"/>
              </w:rPr>
            </m:ctrlPr>
          </m:fPr>
          <m:num>
            <m:r>
              <m:rPr>
                <m:sty m:val="bi"/>
              </m:rPr>
              <w:rPr>
                <w:rFonts w:ascii="Cambria Math" w:hAnsi="Cambria Math" w:cs="Arial"/>
                <w:color w:val="000000" w:themeColor="text1"/>
                <w:lang w:val="es-ES" w:eastAsia="es-ES"/>
              </w:rPr>
              <m:t>v</m:t>
            </m:r>
            <m:rad>
              <m:radPr>
                <m:degHide m:val="1"/>
                <m:ctrlPr>
                  <w:rPr>
                    <w:rFonts w:ascii="Cambria Math" w:hAnsi="Cambria Math" w:cs="Arial"/>
                    <w:color w:val="000000" w:themeColor="text1"/>
                    <w:lang w:val="es-ES" w:eastAsia="es-ES"/>
                  </w:rPr>
                </m:ctrlPr>
              </m:radPr>
              <m:deg/>
              <m:e>
                <m:r>
                  <m:rPr>
                    <m:sty m:val="bi"/>
                  </m:rPr>
                  <w:rPr>
                    <w:rFonts w:ascii="Cambria Math" w:hAnsi="Cambria Math" w:cs="Arial"/>
                    <w:color w:val="000000" w:themeColor="text1"/>
                    <w:lang w:val="es-ES" w:eastAsia="es-ES"/>
                  </w:rPr>
                  <m:t>T</m:t>
                </m:r>
              </m:e>
            </m:rad>
          </m:num>
          <m:den>
            <m:r>
              <m:rPr>
                <m:sty m:val="bi"/>
              </m:rPr>
              <w:rPr>
                <w:rFonts w:ascii="Cambria Math" w:hAnsi="Cambria Math" w:cs="Arial"/>
                <w:color w:val="000000" w:themeColor="text1"/>
                <w:lang w:val="es-ES" w:eastAsia="es-ES"/>
              </w:rPr>
              <m:t>2</m:t>
            </m:r>
          </m:den>
        </m:f>
        <m:r>
          <m:rPr>
            <m:sty m:val="bi"/>
          </m:rPr>
          <w:rPr>
            <w:rFonts w:ascii="Cambria Math" w:hAnsi="Cambria Math" w:cs="Arial"/>
            <w:color w:val="000000" w:themeColor="text1"/>
            <w:lang w:val="es-ES" w:eastAsia="es-ES"/>
          </w:rPr>
          <m:t xml:space="preserve">                                                                                                               </m:t>
        </m:r>
      </m:oMath>
      <w:r w:rsidRPr="00EB14DE">
        <w:rPr>
          <w:rFonts w:ascii="Arial Narrow" w:hAnsi="Arial Narrow" w:cs="Arial"/>
          <w:bCs/>
          <w:color w:val="000000" w:themeColor="text1"/>
          <w:lang w:val="es-ES" w:eastAsia="es-ES"/>
        </w:rPr>
        <w:t xml:space="preserve">         </w:t>
      </w:r>
    </w:p>
    <w:p w14:paraId="2FC0C65A" w14:textId="77777777" w:rsidR="007968EC" w:rsidRPr="00EB14DE" w:rsidRDefault="007968EC" w:rsidP="007968EC">
      <w:pPr>
        <w:jc w:val="both"/>
        <w:rPr>
          <w:rFonts w:ascii="Arial Narrow" w:hAnsi="Arial Narrow" w:cs="Arial"/>
          <w:bCs/>
          <w:color w:val="000000" w:themeColor="text1"/>
          <w:lang w:val="es-ES" w:eastAsia="es-ES"/>
        </w:rPr>
      </w:pPr>
    </w:p>
    <w:p w14:paraId="11863C38" w14:textId="77777777" w:rsidR="007968EC" w:rsidRPr="00EB14DE" w:rsidRDefault="007968EC" w:rsidP="007968EC">
      <w:pPr>
        <w:jc w:val="both"/>
        <w:rPr>
          <w:rFonts w:ascii="Arial Narrow" w:hAnsi="Arial Narrow" w:cs="Arial"/>
          <w:bCs/>
          <w:color w:val="000000" w:themeColor="text1"/>
          <w:lang w:val="es-ES" w:eastAsia="es-ES"/>
        </w:rPr>
      </w:pPr>
      <w:r w:rsidRPr="00EB14DE">
        <w:rPr>
          <w:rFonts w:ascii="Arial Narrow" w:hAnsi="Arial Narrow" w:cs="Arial"/>
          <w:bCs/>
          <w:color w:val="000000" w:themeColor="text1"/>
          <w:lang w:val="es-ES" w:eastAsia="es-ES"/>
        </w:rPr>
        <w:t>C=Valor teórico de una Opción CALL</w:t>
      </w:r>
    </w:p>
    <w:p w14:paraId="65C0FBCB" w14:textId="77777777" w:rsidR="007968EC" w:rsidRPr="00EB14DE" w:rsidRDefault="007968EC" w:rsidP="007968EC">
      <w:pPr>
        <w:jc w:val="both"/>
        <w:rPr>
          <w:rFonts w:ascii="Arial Narrow" w:hAnsi="Arial Narrow" w:cs="Arial"/>
          <w:bCs/>
          <w:color w:val="000000" w:themeColor="text1"/>
          <w:lang w:val="es-ES" w:eastAsia="es-ES"/>
        </w:rPr>
      </w:pPr>
      <w:r w:rsidRPr="00EB14DE">
        <w:rPr>
          <w:rFonts w:ascii="Arial Narrow" w:hAnsi="Arial Narrow" w:cs="Arial"/>
          <w:bCs/>
          <w:color w:val="000000" w:themeColor="text1"/>
          <w:lang w:val="es-ES" w:eastAsia="es-ES"/>
        </w:rPr>
        <w:t>P=Valor teórico de una Opción PUT</w:t>
      </w:r>
    </w:p>
    <w:p w14:paraId="37889794" w14:textId="77777777" w:rsidR="007968EC" w:rsidRPr="00EB14DE" w:rsidRDefault="007968EC" w:rsidP="007968EC">
      <w:pPr>
        <w:jc w:val="both"/>
        <w:rPr>
          <w:rFonts w:ascii="Arial Narrow" w:hAnsi="Arial Narrow" w:cs="Arial"/>
          <w:bCs/>
          <w:color w:val="000000" w:themeColor="text1"/>
          <w:lang w:val="es-ES" w:eastAsia="es-ES"/>
        </w:rPr>
      </w:pPr>
      <w:r w:rsidRPr="00EB14DE">
        <w:rPr>
          <w:rFonts w:ascii="Arial Narrow" w:hAnsi="Arial Narrow" w:cs="Arial"/>
          <w:bCs/>
          <w:color w:val="000000" w:themeColor="text1"/>
          <w:lang w:val="es-ES" w:eastAsia="es-ES"/>
        </w:rPr>
        <w:t>S= Precio del subyacente (Acciones, Índices y Divisas (TRM))</w:t>
      </w:r>
    </w:p>
    <w:p w14:paraId="0E2BD3C6" w14:textId="77777777" w:rsidR="007968EC" w:rsidRPr="00EB14DE" w:rsidRDefault="007968EC" w:rsidP="007968EC">
      <w:pPr>
        <w:jc w:val="both"/>
        <w:rPr>
          <w:rFonts w:ascii="Arial Narrow" w:hAnsi="Arial Narrow" w:cs="Arial"/>
          <w:bCs/>
          <w:color w:val="000000" w:themeColor="text1"/>
          <w:lang w:val="es-ES" w:eastAsia="es-ES"/>
        </w:rPr>
      </w:pPr>
      <w:r w:rsidRPr="00EB14DE">
        <w:rPr>
          <w:rFonts w:ascii="Arial Narrow" w:hAnsi="Arial Narrow" w:cs="Arial"/>
          <w:color w:val="000000" w:themeColor="text1"/>
          <w:lang w:val="es-ES" w:eastAsia="es-ES"/>
        </w:rPr>
        <w:t>I</w:t>
      </w:r>
      <w:r w:rsidRPr="00EB14DE">
        <w:rPr>
          <w:rFonts w:ascii="Arial Narrow" w:hAnsi="Arial Narrow" w:cs="Arial"/>
          <w:bCs/>
          <w:color w:val="000000" w:themeColor="text1"/>
          <w:lang w:val="es-ES" w:eastAsia="es-ES"/>
        </w:rPr>
        <w:t xml:space="preserve">= Valor actual de los dividendos  </w:t>
      </w:r>
      <m:oMath>
        <m:r>
          <m:rPr>
            <m:sty m:val="bi"/>
          </m:rPr>
          <w:rPr>
            <w:rFonts w:ascii="Cambria Math" w:hAnsi="Cambria Math" w:cs="Arial"/>
            <w:color w:val="000000" w:themeColor="text1"/>
            <w:lang w:val="es-ES" w:eastAsia="es-ES"/>
          </w:rPr>
          <m:t xml:space="preserve">I= </m:t>
        </m:r>
        <m:nary>
          <m:naryPr>
            <m:chr m:val="∑"/>
            <m:limLoc m:val="undOvr"/>
            <m:subHide m:val="1"/>
            <m:supHide m:val="1"/>
            <m:ctrlPr>
              <w:rPr>
                <w:rFonts w:ascii="Cambria Math" w:hAnsi="Cambria Math" w:cs="Arial"/>
                <w:i/>
                <w:color w:val="000000" w:themeColor="text1"/>
                <w:lang w:val="es-ES" w:eastAsia="es-ES"/>
              </w:rPr>
            </m:ctrlPr>
          </m:naryPr>
          <m:sub/>
          <m:sup/>
          <m:e>
            <m:sSub>
              <m:sSubPr>
                <m:ctrlPr>
                  <w:rPr>
                    <w:rFonts w:ascii="Cambria Math" w:hAnsi="Cambria Math" w:cs="Arial"/>
                    <w:i/>
                    <w:color w:val="000000" w:themeColor="text1"/>
                    <w:lang w:val="es-ES" w:eastAsia="es-ES"/>
                  </w:rPr>
                </m:ctrlPr>
              </m:sSubPr>
              <m:e>
                <m:r>
                  <m:rPr>
                    <m:sty m:val="bi"/>
                  </m:rPr>
                  <w:rPr>
                    <w:rFonts w:ascii="Cambria Math" w:hAnsi="Cambria Math" w:cs="Arial"/>
                    <w:color w:val="000000" w:themeColor="text1"/>
                    <w:lang w:val="es-ES" w:eastAsia="es-ES"/>
                  </w:rPr>
                  <m:t>Div</m:t>
                </m:r>
              </m:e>
              <m:sub>
                <m:r>
                  <m:rPr>
                    <m:sty m:val="bi"/>
                  </m:rPr>
                  <w:rPr>
                    <w:rFonts w:ascii="Cambria Math" w:hAnsi="Cambria Math" w:cs="Arial"/>
                    <w:color w:val="000000" w:themeColor="text1"/>
                    <w:lang w:val="es-ES" w:eastAsia="es-ES"/>
                  </w:rPr>
                  <m:t>t</m:t>
                </m:r>
              </m:sub>
            </m:sSub>
            <m:r>
              <m:rPr>
                <m:sty m:val="bi"/>
              </m:rPr>
              <w:rPr>
                <w:rFonts w:ascii="Cambria Math" w:hAnsi="Cambria Math" w:cs="Arial"/>
                <w:color w:val="000000" w:themeColor="text1"/>
                <w:lang w:val="es-ES" w:eastAsia="es-ES"/>
              </w:rPr>
              <m:t>*</m:t>
            </m:r>
            <m:sSup>
              <m:sSupPr>
                <m:ctrlPr>
                  <w:rPr>
                    <w:rFonts w:ascii="Cambria Math" w:hAnsi="Cambria Math" w:cs="Arial"/>
                    <w:i/>
                    <w:color w:val="000000" w:themeColor="text1"/>
                    <w:lang w:val="es-ES" w:eastAsia="es-ES"/>
                  </w:rPr>
                </m:ctrlPr>
              </m:sSupPr>
              <m:e>
                <m:r>
                  <m:rPr>
                    <m:sty m:val="bi"/>
                  </m:rPr>
                  <w:rPr>
                    <w:rFonts w:ascii="Cambria Math" w:hAnsi="Cambria Math" w:cs="Arial"/>
                    <w:color w:val="000000" w:themeColor="text1"/>
                    <w:lang w:val="es-ES" w:eastAsia="es-ES"/>
                  </w:rPr>
                  <m:t>e</m:t>
                </m:r>
              </m:e>
              <m:sup>
                <m:r>
                  <m:rPr>
                    <m:sty m:val="bi"/>
                  </m:rPr>
                  <w:rPr>
                    <w:rFonts w:ascii="Cambria Math" w:hAnsi="Cambria Math" w:cs="Arial"/>
                    <w:color w:val="000000" w:themeColor="text1"/>
                    <w:lang w:val="es-ES" w:eastAsia="es-ES"/>
                  </w:rPr>
                  <m:t>-rt</m:t>
                </m:r>
              </m:sup>
            </m:sSup>
            <m:r>
              <m:rPr>
                <m:sty m:val="b"/>
              </m:rPr>
              <w:rPr>
                <w:rFonts w:ascii="Cambria Math" w:hAnsi="Cambria Math" w:cs="Arial"/>
                <w:color w:val="000000" w:themeColor="text1"/>
                <w:lang w:val="es-ES" w:eastAsia="es-ES"/>
              </w:rPr>
              <m:t xml:space="preserve">  </m:t>
            </m:r>
          </m:e>
        </m:nary>
      </m:oMath>
    </w:p>
    <w:p w14:paraId="4267FF96" w14:textId="77777777" w:rsidR="007968EC" w:rsidRPr="00EB14DE" w:rsidRDefault="007968EC" w:rsidP="007968EC">
      <w:pPr>
        <w:jc w:val="both"/>
        <w:rPr>
          <w:rFonts w:ascii="Arial Narrow" w:hAnsi="Arial Narrow" w:cs="Arial"/>
          <w:bCs/>
          <w:color w:val="000000" w:themeColor="text1"/>
          <w:lang w:val="es-ES" w:eastAsia="es-ES"/>
        </w:rPr>
      </w:pPr>
      <w:r w:rsidRPr="00EB14DE">
        <w:rPr>
          <w:rFonts w:ascii="Arial Narrow" w:hAnsi="Arial Narrow" w:cs="Arial"/>
          <w:bCs/>
          <w:color w:val="000000" w:themeColor="text1"/>
          <w:lang w:val="es-ES" w:eastAsia="es-ES"/>
        </w:rPr>
        <w:t>E= Precio de ejercicio de la Opción</w:t>
      </w:r>
    </w:p>
    <w:p w14:paraId="2AC50139" w14:textId="77777777" w:rsidR="007968EC" w:rsidRPr="00EB14DE" w:rsidRDefault="007968EC" w:rsidP="007968EC">
      <w:pPr>
        <w:jc w:val="both"/>
        <w:rPr>
          <w:rFonts w:ascii="Arial Narrow" w:hAnsi="Arial Narrow" w:cs="Arial"/>
          <w:bCs/>
          <w:color w:val="000000" w:themeColor="text1"/>
          <w:lang w:val="es-ES" w:eastAsia="es-ES"/>
        </w:rPr>
      </w:pPr>
      <w:r w:rsidRPr="00EB14DE">
        <w:rPr>
          <w:rFonts w:ascii="Arial Narrow" w:hAnsi="Arial Narrow" w:cs="Arial"/>
          <w:bCs/>
          <w:color w:val="000000" w:themeColor="text1"/>
          <w:lang w:val="es-ES" w:eastAsia="es-ES"/>
        </w:rPr>
        <w:t>T= Días a vencimiento / Días año (365 si el periodo analizado es superior a 365 días, y 360 en caso contrario)</w:t>
      </w:r>
    </w:p>
    <w:p w14:paraId="62CCB87A" w14:textId="77777777" w:rsidR="007968EC" w:rsidRPr="00EB14DE" w:rsidRDefault="007968EC" w:rsidP="007968EC">
      <w:pPr>
        <w:jc w:val="both"/>
        <w:rPr>
          <w:rFonts w:ascii="Arial Narrow" w:hAnsi="Arial Narrow" w:cs="Arial"/>
          <w:bCs/>
          <w:color w:val="000000" w:themeColor="text1"/>
          <w:lang w:val="es-ES" w:eastAsia="es-ES"/>
        </w:rPr>
      </w:pPr>
      <w:r w:rsidRPr="00EB14DE">
        <w:rPr>
          <w:rFonts w:ascii="Arial Narrow" w:hAnsi="Arial Narrow" w:cs="Arial"/>
          <w:bCs/>
          <w:color w:val="000000" w:themeColor="text1"/>
          <w:lang w:val="es-ES" w:eastAsia="es-ES"/>
        </w:rPr>
        <w:t>V= Volatilidad anualizada (en porcentaje)</w:t>
      </w:r>
    </w:p>
    <w:p w14:paraId="62CE192E" w14:textId="77777777" w:rsidR="007968EC" w:rsidRPr="00EB14DE" w:rsidRDefault="007968EC" w:rsidP="007968EC">
      <w:pPr>
        <w:jc w:val="both"/>
        <w:rPr>
          <w:rFonts w:ascii="Arial Narrow" w:hAnsi="Arial Narrow" w:cs="Arial"/>
          <w:bCs/>
          <w:color w:val="000000" w:themeColor="text1"/>
          <w:lang w:val="es-ES" w:eastAsia="es-ES"/>
        </w:rPr>
      </w:pPr>
      <w:r w:rsidRPr="00EB14DE">
        <w:rPr>
          <w:rFonts w:ascii="Arial Narrow" w:hAnsi="Arial Narrow" w:cs="Arial"/>
          <w:bCs/>
          <w:color w:val="000000" w:themeColor="text1"/>
          <w:lang w:val="es-ES" w:eastAsia="es-ES"/>
        </w:rPr>
        <w:t>R= Tipo de interés (IBR)</w:t>
      </w:r>
    </w:p>
    <w:p w14:paraId="17A8D307" w14:textId="77777777" w:rsidR="007968EC" w:rsidRPr="00EB14DE" w:rsidRDefault="007968EC" w:rsidP="007968EC">
      <w:pPr>
        <w:autoSpaceDE w:val="0"/>
        <w:autoSpaceDN w:val="0"/>
        <w:adjustRightInd w:val="0"/>
        <w:rPr>
          <w:rFonts w:ascii="Arial Narrow" w:hAnsi="Arial Narrow" w:cs="Calibri"/>
          <w:color w:val="000000" w:themeColor="text1"/>
          <w:lang w:val="es-ES" w:eastAsia="es-ES"/>
        </w:rPr>
      </w:pPr>
      <w:r w:rsidRPr="00EB14DE">
        <w:rPr>
          <w:rFonts w:ascii="Arial Narrow" w:hAnsi="Arial Narrow" w:cs="Arial"/>
          <w:bCs/>
          <w:color w:val="000000" w:themeColor="text1"/>
          <w:lang w:val="es-ES" w:eastAsia="es-ES"/>
        </w:rPr>
        <w:t xml:space="preserve">N(D)= Significa el </w:t>
      </w:r>
      <w:r w:rsidRPr="00EB14DE">
        <w:rPr>
          <w:rFonts w:ascii="Arial Narrow" w:hAnsi="Arial Narrow" w:cs="Calibri"/>
          <w:color w:val="000000" w:themeColor="text1"/>
          <w:lang w:val="es-ES" w:eastAsia="es-ES"/>
        </w:rPr>
        <w:t xml:space="preserve">valor presente del beneficio de ejercer la Opción al vencimiento, condicionado a  </w:t>
      </w:r>
      <m:oMath>
        <m:r>
          <m:rPr>
            <m:sty m:val="bi"/>
          </m:rPr>
          <w:rPr>
            <w:rFonts w:ascii="Cambria Math" w:hAnsi="Cambria Math" w:cs="Cambria Math"/>
            <w:color w:val="000000" w:themeColor="text1"/>
            <w:lang w:val="es-ES" w:eastAsia="es-ES"/>
          </w:rPr>
          <m:t>F</m:t>
        </m:r>
        <m:r>
          <m:rPr>
            <m:sty m:val="bi"/>
          </m:rPr>
          <w:rPr>
            <w:rFonts w:ascii="Cambria Math" w:hAnsi="Cambria Math" w:cs="Calibri"/>
            <w:color w:val="000000" w:themeColor="text1"/>
            <w:lang w:val="es-ES" w:eastAsia="es-ES"/>
          </w:rPr>
          <m:t>&gt;E</m:t>
        </m:r>
      </m:oMath>
      <w:r w:rsidRPr="00EB14DE">
        <w:rPr>
          <w:rFonts w:ascii="Arial Narrow" w:hAnsi="Arial Narrow" w:cs="Calibri"/>
          <w:color w:val="000000" w:themeColor="text1"/>
          <w:lang w:val="es-ES" w:eastAsia="es-ES"/>
        </w:rPr>
        <w:t>.</w:t>
      </w:r>
    </w:p>
    <w:p w14:paraId="42B47ACD" w14:textId="77777777" w:rsidR="007968EC" w:rsidRPr="00EB14DE" w:rsidRDefault="007968EC" w:rsidP="007968EC">
      <w:pPr>
        <w:autoSpaceDE w:val="0"/>
        <w:autoSpaceDN w:val="0"/>
        <w:adjustRightInd w:val="0"/>
        <w:rPr>
          <w:rFonts w:ascii="Arial Narrow" w:hAnsi="Arial Narrow" w:cs="Arial"/>
          <w:color w:val="000000" w:themeColor="text1"/>
          <w:lang w:val="es-ES" w:eastAsia="es-ES"/>
        </w:rPr>
      </w:pPr>
      <m:oMath>
        <m:r>
          <m:rPr>
            <m:sty m:val="bi"/>
          </m:rPr>
          <w:rPr>
            <w:rFonts w:ascii="Cambria Math" w:hAnsi="Cambria Math" w:cs="Arial"/>
            <w:color w:val="000000" w:themeColor="text1"/>
            <w:lang w:val="es-ES" w:eastAsia="es-ES"/>
          </w:rPr>
          <m:t>N</m:t>
        </m:r>
        <m:d>
          <m:dPr>
            <m:ctrlPr>
              <w:rPr>
                <w:rFonts w:ascii="Cambria Math" w:hAnsi="Cambria Math" w:cs="Arial"/>
                <w:i/>
                <w:color w:val="000000" w:themeColor="text1"/>
                <w:lang w:val="es-ES" w:eastAsia="es-ES"/>
              </w:rPr>
            </m:ctrlPr>
          </m:dPr>
          <m:e>
            <m:r>
              <m:rPr>
                <m:sty m:val="bi"/>
              </m:rPr>
              <w:rPr>
                <w:rFonts w:ascii="Cambria Math" w:hAnsi="Cambria Math" w:cs="Arial"/>
                <w:color w:val="000000" w:themeColor="text1"/>
                <w:lang w:val="es-ES" w:eastAsia="es-ES"/>
              </w:rPr>
              <m:t>D-v</m:t>
            </m:r>
            <m:rad>
              <m:radPr>
                <m:degHide m:val="1"/>
                <m:ctrlPr>
                  <w:rPr>
                    <w:rFonts w:ascii="Cambria Math" w:hAnsi="Cambria Math" w:cs="Arial"/>
                    <w:i/>
                    <w:color w:val="000000" w:themeColor="text1"/>
                    <w:lang w:val="es-ES" w:eastAsia="es-ES"/>
                  </w:rPr>
                </m:ctrlPr>
              </m:radPr>
              <m:deg/>
              <m:e>
                <m:r>
                  <m:rPr>
                    <m:sty m:val="bi"/>
                  </m:rPr>
                  <w:rPr>
                    <w:rFonts w:ascii="Cambria Math" w:hAnsi="Cambria Math" w:cs="Arial"/>
                    <w:color w:val="000000" w:themeColor="text1"/>
                    <w:lang w:val="es-ES" w:eastAsia="es-ES"/>
                  </w:rPr>
                  <m:t>t</m:t>
                </m:r>
              </m:e>
            </m:rad>
          </m:e>
        </m:d>
        <m:r>
          <m:rPr>
            <m:sty m:val="bi"/>
          </m:rPr>
          <w:rPr>
            <w:rFonts w:ascii="Cambria Math" w:hAnsi="Cambria Math" w:cs="Arial"/>
            <w:color w:val="000000" w:themeColor="text1"/>
            <w:lang w:val="es-ES" w:eastAsia="es-ES"/>
          </w:rPr>
          <m:t>=</m:t>
        </m:r>
      </m:oMath>
      <w:r w:rsidRPr="00EB14DE">
        <w:rPr>
          <w:rFonts w:ascii="Arial Narrow" w:hAnsi="Arial Narrow" w:cs="Arial"/>
          <w:color w:val="000000" w:themeColor="text1"/>
          <w:lang w:val="es-ES" w:eastAsia="es-ES"/>
        </w:rPr>
        <w:t xml:space="preserve"> El valor presente de los costos esperados de ejercer la Opción, condicionados a que la </w:t>
      </w:r>
      <w:proofErr w:type="spellStart"/>
      <w:r w:rsidRPr="00EB14DE">
        <w:rPr>
          <w:rFonts w:ascii="Arial Narrow" w:hAnsi="Arial Narrow" w:cs="Arial"/>
          <w:color w:val="000000" w:themeColor="text1"/>
          <w:lang w:val="es-ES" w:eastAsia="es-ES"/>
        </w:rPr>
        <w:t>opció</w:t>
      </w:r>
      <w:proofErr w:type="spellEnd"/>
      <w:r w:rsidRPr="00EB14DE">
        <w:rPr>
          <w:rFonts w:ascii="Arial Narrow" w:hAnsi="Arial Narrow" w:cs="Arial"/>
          <w:color w:val="000000" w:themeColor="text1"/>
          <w:lang w:val="es-ES" w:eastAsia="es-ES"/>
        </w:rPr>
        <w:t xml:space="preserve"> n este ITM en el vencimiento. Es decir, la probabilidad que esto suceda.</w:t>
      </w:r>
    </w:p>
    <w:p w14:paraId="20D7DA59" w14:textId="77777777" w:rsidR="007968EC" w:rsidRPr="00EB14DE" w:rsidRDefault="007968EC" w:rsidP="007968EC">
      <w:pPr>
        <w:jc w:val="both"/>
        <w:rPr>
          <w:rFonts w:ascii="Arial Narrow" w:hAnsi="Arial Narrow" w:cs="Arial"/>
          <w:bCs/>
          <w:color w:val="000000" w:themeColor="text1"/>
          <w:lang w:val="es-ES" w:eastAsia="es-ES"/>
        </w:rPr>
      </w:pPr>
    </w:p>
    <w:p w14:paraId="13E053F0" w14:textId="77777777" w:rsidR="007968EC" w:rsidRPr="00EB14DE" w:rsidRDefault="007968EC" w:rsidP="007968EC">
      <w:pPr>
        <w:jc w:val="both"/>
        <w:rPr>
          <w:rFonts w:ascii="Arial Narrow" w:eastAsia="Calibri" w:hAnsi="Arial Narrow"/>
          <w:bCs/>
          <w:color w:val="000000" w:themeColor="text1"/>
        </w:rPr>
      </w:pPr>
      <w:bookmarkStart w:id="5214" w:name="_Toc490066564"/>
      <w:bookmarkStart w:id="5215" w:name="_Toc490079342"/>
      <w:r w:rsidRPr="00EB14DE">
        <w:rPr>
          <w:rFonts w:ascii="Arial Narrow" w:eastAsia="Calibri" w:hAnsi="Arial Narrow"/>
          <w:bCs/>
          <w:color w:val="000000" w:themeColor="text1"/>
        </w:rPr>
        <w:t>Para el cálculo de N(x), la función de Distribución Normal Estándar acumulada, se utiliza la aproximación polinómica de Taylor de grado 3.</w:t>
      </w:r>
      <w:bookmarkEnd w:id="5214"/>
      <w:bookmarkEnd w:id="5215"/>
    </w:p>
    <w:p w14:paraId="2000DC3B" w14:textId="77777777" w:rsidR="007968EC" w:rsidRPr="00EB14DE" w:rsidRDefault="007968EC" w:rsidP="007968EC">
      <w:pPr>
        <w:jc w:val="both"/>
        <w:rPr>
          <w:rFonts w:ascii="Arial Narrow" w:eastAsia="Calibri" w:hAnsi="Arial Narrow"/>
          <w:bCs/>
          <w:color w:val="000000" w:themeColor="text1"/>
        </w:rPr>
      </w:pPr>
    </w:p>
    <w:p w14:paraId="5C0D8631" w14:textId="77777777" w:rsidR="007968EC" w:rsidRPr="00EB14DE" w:rsidRDefault="007968EC" w:rsidP="00DA7472">
      <w:pPr>
        <w:numPr>
          <w:ilvl w:val="0"/>
          <w:numId w:val="252"/>
        </w:numPr>
        <w:autoSpaceDE w:val="0"/>
        <w:autoSpaceDN w:val="0"/>
        <w:adjustRightInd w:val="0"/>
        <w:ind w:left="426" w:hanging="426"/>
        <w:contextualSpacing/>
        <w:jc w:val="both"/>
        <w:rPr>
          <w:rFonts w:ascii="Arial Narrow" w:hAnsi="Arial Narrow"/>
          <w:color w:val="000000" w:themeColor="text1"/>
          <w:lang w:val="es-ES_tradnl" w:eastAsia="es-CO"/>
        </w:rPr>
      </w:pPr>
      <w:proofErr w:type="gramStart"/>
      <w:r w:rsidRPr="00EB14DE">
        <w:rPr>
          <w:rFonts w:ascii="Arial Narrow" w:hAnsi="Arial Narrow" w:cs="Arial"/>
          <w:color w:val="000000" w:themeColor="text1"/>
          <w:lang w:val="es-ES" w:eastAsia="es-ES"/>
        </w:rPr>
        <w:t>Procedimiento</w:t>
      </w:r>
      <w:r w:rsidRPr="00EB14DE">
        <w:rPr>
          <w:rFonts w:ascii="Arial Narrow" w:hAnsi="Arial Narrow"/>
          <w:color w:val="000000" w:themeColor="text1"/>
          <w:lang w:eastAsia="es-CO"/>
        </w:rPr>
        <w:t xml:space="preserve"> a </w:t>
      </w:r>
      <w:r w:rsidRPr="00EB14DE">
        <w:rPr>
          <w:rFonts w:ascii="Arial Narrow" w:hAnsi="Arial Narrow" w:cs="Arial"/>
          <w:color w:val="000000" w:themeColor="text1"/>
          <w:lang w:eastAsia="es-CO"/>
        </w:rPr>
        <w:t>seguir</w:t>
      </w:r>
      <w:proofErr w:type="gramEnd"/>
      <w:r w:rsidRPr="00EB14DE">
        <w:rPr>
          <w:rFonts w:ascii="Arial Narrow" w:hAnsi="Arial Narrow"/>
          <w:color w:val="000000" w:themeColor="text1"/>
          <w:lang w:eastAsia="es-CO"/>
        </w:rPr>
        <w:t xml:space="preserve"> ante eventos corporativos que afecten la </w:t>
      </w:r>
      <w:r w:rsidRPr="00EB14DE">
        <w:rPr>
          <w:rFonts w:ascii="Arial Narrow" w:hAnsi="Arial Narrow" w:cs="Arial"/>
          <w:bCs/>
          <w:color w:val="000000" w:themeColor="text1"/>
          <w:lang w:eastAsia="es-CO"/>
        </w:rPr>
        <w:t>Op</w:t>
      </w:r>
      <w:r w:rsidRPr="00EB14DE">
        <w:rPr>
          <w:rFonts w:ascii="Arial Narrow" w:hAnsi="Arial Narrow"/>
          <w:color w:val="000000" w:themeColor="text1"/>
          <w:lang w:eastAsia="es-CO"/>
        </w:rPr>
        <w:t>ción sobre la acción Preferencial Bancolombia.</w:t>
      </w:r>
      <w:r w:rsidRPr="00EB14DE">
        <w:rPr>
          <w:rFonts w:ascii="Arial Narrow" w:hAnsi="Arial Narrow"/>
          <w:color w:val="000000" w:themeColor="text1"/>
          <w:lang w:val="es-ES_tradnl" w:eastAsia="es-CO"/>
        </w:rPr>
        <w:t xml:space="preserve">        </w:t>
      </w:r>
    </w:p>
    <w:p w14:paraId="0DE1FFF0" w14:textId="77777777" w:rsidR="007968EC" w:rsidRPr="00EB14DE" w:rsidRDefault="007968EC" w:rsidP="007968EC">
      <w:pPr>
        <w:autoSpaceDE w:val="0"/>
        <w:autoSpaceDN w:val="0"/>
        <w:adjustRightInd w:val="0"/>
        <w:ind w:left="360"/>
        <w:contextualSpacing/>
        <w:rPr>
          <w:rFonts w:ascii="Arial Narrow" w:hAnsi="Arial Narrow"/>
          <w:color w:val="000000" w:themeColor="text1"/>
          <w:lang w:val="es-ES_tradnl" w:eastAsia="es-ES"/>
        </w:rPr>
      </w:pPr>
    </w:p>
    <w:p w14:paraId="32245083" w14:textId="77777777" w:rsidR="007968EC" w:rsidRPr="00EB14DE" w:rsidRDefault="007968EC" w:rsidP="007968EC">
      <w:pPr>
        <w:autoSpaceDE w:val="0"/>
        <w:autoSpaceDN w:val="0"/>
        <w:adjustRightInd w:val="0"/>
        <w:ind w:left="360"/>
        <w:contextualSpacing/>
        <w:rPr>
          <w:rFonts w:ascii="Arial Narrow" w:hAnsi="Arial Narrow"/>
          <w:color w:val="000000" w:themeColor="text1"/>
          <w:lang w:val="es-ES_tradnl" w:eastAsia="es-ES"/>
        </w:rPr>
      </w:pPr>
      <w:r w:rsidRPr="00EB14DE">
        <w:rPr>
          <w:rFonts w:ascii="Arial Narrow" w:hAnsi="Arial Narrow"/>
          <w:color w:val="000000" w:themeColor="text1"/>
          <w:lang w:val="es-ES_tradnl" w:eastAsia="es-ES"/>
        </w:rPr>
        <w:t xml:space="preserve">En el caso de </w:t>
      </w:r>
      <w:r w:rsidRPr="00EB14DE">
        <w:rPr>
          <w:rFonts w:ascii="Arial Narrow" w:hAnsi="Arial Narrow" w:cs="Arial"/>
          <w:color w:val="000000" w:themeColor="text1"/>
          <w:lang w:val="es-ES" w:eastAsia="es-ES"/>
        </w:rPr>
        <w:t>cualquier</w:t>
      </w:r>
      <w:r w:rsidRPr="00EB14DE">
        <w:rPr>
          <w:rFonts w:ascii="Arial Narrow" w:hAnsi="Arial Narrow"/>
          <w:color w:val="000000" w:themeColor="text1"/>
          <w:lang w:val="es-ES_tradnl" w:eastAsia="es-ES"/>
        </w:rPr>
        <w:t xml:space="preserve"> evento corporativo la Cámara surtirá el siguiente procedimiento:</w:t>
      </w:r>
    </w:p>
    <w:p w14:paraId="36317F84" w14:textId="77777777" w:rsidR="007968EC" w:rsidRPr="00EB14DE" w:rsidRDefault="007968EC" w:rsidP="007968EC">
      <w:pPr>
        <w:autoSpaceDE w:val="0"/>
        <w:autoSpaceDN w:val="0"/>
        <w:adjustRightInd w:val="0"/>
        <w:ind w:left="360"/>
        <w:contextualSpacing/>
        <w:rPr>
          <w:rFonts w:ascii="Arial Narrow" w:hAnsi="Arial Narrow"/>
          <w:color w:val="000000" w:themeColor="text1"/>
          <w:lang w:val="es-ES_tradnl" w:eastAsia="es-ES"/>
        </w:rPr>
      </w:pPr>
    </w:p>
    <w:p w14:paraId="23F5C133" w14:textId="77777777" w:rsidR="007968EC" w:rsidRPr="00EB14DE" w:rsidRDefault="007968EC" w:rsidP="00DA7472">
      <w:pPr>
        <w:numPr>
          <w:ilvl w:val="0"/>
          <w:numId w:val="253"/>
        </w:numPr>
        <w:autoSpaceDE w:val="0"/>
        <w:autoSpaceDN w:val="0"/>
        <w:adjustRightInd w:val="0"/>
        <w:contextualSpacing/>
        <w:jc w:val="both"/>
        <w:rPr>
          <w:rFonts w:ascii="Arial Narrow" w:hAnsi="Arial Narrow"/>
          <w:color w:val="000000" w:themeColor="text1"/>
          <w:lang w:val="es-ES_tradnl" w:eastAsia="es-CO"/>
        </w:rPr>
      </w:pPr>
      <w:r w:rsidRPr="00EB14DE">
        <w:rPr>
          <w:rFonts w:ascii="Arial Narrow" w:hAnsi="Arial Narrow"/>
          <w:color w:val="000000" w:themeColor="text1"/>
          <w:lang w:val="es-ES_tradnl" w:eastAsia="es-CO"/>
        </w:rPr>
        <w:t>BVC informará al mercado y a la Cámara el evento corporativo con todas las características necesarias para hacer los ajustes respectivos en las posiciones de cada uno de los Miembros y Terceros, mínimo con dos (2) días hábiles de anticipación a la ocurrencia del evento.</w:t>
      </w:r>
    </w:p>
    <w:p w14:paraId="260177A1" w14:textId="77777777" w:rsidR="007968EC" w:rsidRPr="00EB14DE" w:rsidRDefault="007968EC" w:rsidP="007968EC">
      <w:pPr>
        <w:ind w:left="720"/>
        <w:contextualSpacing/>
        <w:jc w:val="both"/>
        <w:rPr>
          <w:rFonts w:ascii="Arial Narrow" w:hAnsi="Arial Narrow"/>
          <w:color w:val="000000" w:themeColor="text1"/>
          <w:lang w:val="es-ES" w:eastAsia="es-ES"/>
        </w:rPr>
      </w:pPr>
    </w:p>
    <w:p w14:paraId="21571483" w14:textId="77777777" w:rsidR="007968EC" w:rsidRPr="00EB14DE" w:rsidRDefault="007968EC" w:rsidP="007968EC">
      <w:pPr>
        <w:ind w:left="720"/>
        <w:contextualSpacing/>
        <w:jc w:val="both"/>
        <w:rPr>
          <w:rFonts w:ascii="Arial Narrow" w:hAnsi="Arial Narrow"/>
          <w:color w:val="000000" w:themeColor="text1"/>
          <w:lang w:val="es-ES_tradnl" w:eastAsia="es-ES"/>
        </w:rPr>
      </w:pPr>
      <w:r w:rsidRPr="00EB14DE">
        <w:rPr>
          <w:rFonts w:ascii="Arial Narrow" w:hAnsi="Arial Narrow"/>
          <w:color w:val="000000" w:themeColor="text1"/>
          <w:lang w:val="es-ES_tradnl" w:eastAsia="es-ES"/>
        </w:rPr>
        <w:t>Las características mínimas que informará la BVC son: la fecha de materialización del evento, factor de conversión entre la acción antes del evento y la acción después del evento, tamaño del contrato antes y después del evento, precio del contrato antes y después del evento, el número de decimales que implica el ajuste de las posiciones y cualquier otra característica necesaria para que el titular de Cuenta y la Cámara puedan evaluar su impacto.</w:t>
      </w:r>
    </w:p>
    <w:p w14:paraId="24BAA1D6" w14:textId="77777777" w:rsidR="007968EC" w:rsidRPr="00EB14DE" w:rsidRDefault="007968EC" w:rsidP="007968EC">
      <w:pPr>
        <w:jc w:val="both"/>
        <w:rPr>
          <w:rFonts w:ascii="Arial Narrow" w:hAnsi="Arial Narrow"/>
          <w:color w:val="000000" w:themeColor="text1"/>
          <w:lang w:val="es-ES" w:eastAsia="es-ES"/>
        </w:rPr>
      </w:pPr>
    </w:p>
    <w:p w14:paraId="26DF43B8" w14:textId="77777777" w:rsidR="007968EC" w:rsidRPr="00EB14DE" w:rsidRDefault="007968EC" w:rsidP="00DA7472">
      <w:pPr>
        <w:numPr>
          <w:ilvl w:val="0"/>
          <w:numId w:val="253"/>
        </w:numPr>
        <w:contextualSpacing/>
        <w:jc w:val="both"/>
        <w:rPr>
          <w:rFonts w:ascii="Arial Narrow" w:hAnsi="Arial Narrow"/>
          <w:color w:val="000000" w:themeColor="text1"/>
          <w:lang w:eastAsia="es-CO"/>
        </w:rPr>
      </w:pPr>
      <w:r w:rsidRPr="00EB14DE">
        <w:rPr>
          <w:rFonts w:ascii="Arial Narrow" w:hAnsi="Arial Narrow"/>
          <w:color w:val="000000" w:themeColor="text1"/>
          <w:lang w:val="es-ES_tradnl" w:eastAsia="es-CO"/>
        </w:rPr>
        <w:t xml:space="preserve">En caso de no conocerse el evento con dos (2) días hábiles de anticipación, la Cámara podrá solicitar a la BVC que la negociación del Contrato de Opciones sobre Acciones de </w:t>
      </w:r>
      <w:r w:rsidRPr="00EB14DE">
        <w:rPr>
          <w:rFonts w:ascii="Arial Narrow" w:hAnsi="Arial Narrow"/>
          <w:color w:val="000000" w:themeColor="text1"/>
          <w:lang w:eastAsia="es-CO"/>
        </w:rPr>
        <w:t>Preferencial Bancolombia</w:t>
      </w:r>
      <w:r w:rsidRPr="00EB14DE">
        <w:rPr>
          <w:rFonts w:ascii="Arial Narrow" w:hAnsi="Arial Narrow"/>
          <w:color w:val="000000" w:themeColor="text1"/>
          <w:lang w:val="es-ES_tradnl" w:eastAsia="es-CO"/>
        </w:rPr>
        <w:t xml:space="preserve"> sea suspendida temporalmente hasta por dos (2) días hábiles con el propósito de adoptar las medidas necesarias de ajuste de las posiciones en relación con el impacto del evento corporativo. </w:t>
      </w:r>
    </w:p>
    <w:p w14:paraId="5E35AD6D" w14:textId="77777777" w:rsidR="007968EC" w:rsidRPr="00EB14DE" w:rsidRDefault="007968EC" w:rsidP="007968EC">
      <w:pPr>
        <w:ind w:left="720"/>
        <w:contextualSpacing/>
        <w:jc w:val="both"/>
        <w:rPr>
          <w:rFonts w:ascii="Arial Narrow" w:hAnsi="Arial Narrow"/>
          <w:color w:val="000000" w:themeColor="text1"/>
          <w:lang w:val="es-ES" w:eastAsia="es-ES"/>
        </w:rPr>
      </w:pPr>
    </w:p>
    <w:p w14:paraId="4C4B28A8" w14:textId="77777777" w:rsidR="007968EC" w:rsidRPr="00EB14DE" w:rsidRDefault="007968EC" w:rsidP="00DA7472">
      <w:pPr>
        <w:numPr>
          <w:ilvl w:val="0"/>
          <w:numId w:val="253"/>
        </w:numPr>
        <w:contextualSpacing/>
        <w:jc w:val="both"/>
        <w:rPr>
          <w:rFonts w:ascii="Arial Narrow" w:hAnsi="Arial Narrow"/>
          <w:color w:val="000000" w:themeColor="text1"/>
          <w:lang w:val="es-ES_tradnl" w:eastAsia="es-ES"/>
        </w:rPr>
      </w:pPr>
      <w:r w:rsidRPr="00EB14DE">
        <w:rPr>
          <w:rFonts w:ascii="Arial Narrow" w:hAnsi="Arial Narrow"/>
          <w:color w:val="000000" w:themeColor="text1"/>
          <w:lang w:val="es-ES_tradnl" w:eastAsia="es-ES"/>
        </w:rPr>
        <w:t>La Cámara y la BVC coordinarán las gestiones operativas que deban desarrollar para resolver los eventos corporativos incluyendo la creación de nuevos nemotécnicos, la realización de operaciones y el truncamiento o la aproximación de los parámetros de negociación resultantes del evento corporativo, entre otras medidas operativas que se estimen necesarias.</w:t>
      </w:r>
    </w:p>
    <w:p w14:paraId="7A638ABF" w14:textId="77777777" w:rsidR="007968EC" w:rsidRPr="00EB14DE" w:rsidRDefault="007968EC" w:rsidP="007968EC">
      <w:pPr>
        <w:contextualSpacing/>
        <w:jc w:val="both"/>
        <w:rPr>
          <w:rFonts w:ascii="Arial Narrow" w:hAnsi="Arial Narrow"/>
          <w:color w:val="000000" w:themeColor="text1"/>
          <w:lang w:val="es-ES_tradnl" w:eastAsia="es-ES"/>
        </w:rPr>
      </w:pPr>
    </w:p>
    <w:p w14:paraId="57CEB9CC" w14:textId="77777777" w:rsidR="007968EC" w:rsidRPr="00EB14DE" w:rsidRDefault="007968EC" w:rsidP="00DA7472">
      <w:pPr>
        <w:numPr>
          <w:ilvl w:val="0"/>
          <w:numId w:val="253"/>
        </w:numPr>
        <w:contextualSpacing/>
        <w:jc w:val="both"/>
        <w:rPr>
          <w:rFonts w:ascii="Arial Narrow" w:hAnsi="Arial Narrow"/>
          <w:color w:val="000000" w:themeColor="text1"/>
          <w:lang w:val="es-ES" w:eastAsia="es-ES"/>
        </w:rPr>
      </w:pPr>
      <w:r w:rsidRPr="00EB14DE">
        <w:rPr>
          <w:rFonts w:ascii="Arial Narrow" w:hAnsi="Arial Narrow"/>
          <w:color w:val="000000" w:themeColor="text1"/>
          <w:lang w:val="es-ES" w:eastAsia="es-ES"/>
        </w:rPr>
        <w:t>La Cámara procederá a efectuar las gestiones operativas previamente coordinadas con la BVC con el fin de ajustar la posición de l</w:t>
      </w:r>
      <w:r w:rsidRPr="00EB14DE">
        <w:rPr>
          <w:rFonts w:ascii="Arial Narrow" w:hAnsi="Arial Narrow"/>
          <w:color w:val="000000" w:themeColor="text1"/>
          <w:lang w:val="es-ES_tradnl" w:eastAsia="es-ES"/>
        </w:rPr>
        <w:t xml:space="preserve">os Contratos de Opciones sobre Acciones de </w:t>
      </w:r>
      <w:r w:rsidRPr="00EB14DE">
        <w:rPr>
          <w:rFonts w:ascii="Arial Narrow" w:hAnsi="Arial Narrow"/>
          <w:color w:val="000000" w:themeColor="text1"/>
          <w:lang w:val="es-ES" w:eastAsia="es-ES"/>
        </w:rPr>
        <w:t>Preferencial Bancolombia</w:t>
      </w:r>
      <w:r w:rsidRPr="00EB14DE">
        <w:rPr>
          <w:rFonts w:ascii="Arial Narrow" w:hAnsi="Arial Narrow"/>
          <w:color w:val="000000" w:themeColor="text1"/>
          <w:lang w:val="es-ES_tradnl" w:eastAsia="es-ES"/>
        </w:rPr>
        <w:t xml:space="preserve"> de cada uno de los Miembros y de los Terceros,</w:t>
      </w:r>
      <w:r w:rsidRPr="00EB14DE">
        <w:rPr>
          <w:rFonts w:ascii="Arial Narrow" w:hAnsi="Arial Narrow"/>
          <w:color w:val="000000" w:themeColor="text1"/>
          <w:lang w:val="es-ES" w:eastAsia="es-ES"/>
        </w:rPr>
        <w:t xml:space="preserve"> </w:t>
      </w:r>
      <w:r w:rsidRPr="00EB14DE">
        <w:rPr>
          <w:rFonts w:ascii="Arial Narrow" w:hAnsi="Arial Narrow"/>
          <w:color w:val="000000" w:themeColor="text1"/>
          <w:lang w:val="es-ES_tradnl" w:eastAsia="es-ES"/>
        </w:rPr>
        <w:t>como consecuencia del evento corporativo</w:t>
      </w:r>
      <w:r w:rsidRPr="00EB14DE">
        <w:rPr>
          <w:rFonts w:ascii="Arial Narrow" w:hAnsi="Arial Narrow"/>
          <w:color w:val="000000" w:themeColor="text1"/>
          <w:lang w:val="es-ES" w:eastAsia="es-ES"/>
        </w:rPr>
        <w:t>.</w:t>
      </w:r>
    </w:p>
    <w:p w14:paraId="30BA9D0E" w14:textId="77777777" w:rsidR="007968EC" w:rsidRPr="00EB14DE" w:rsidRDefault="007968EC" w:rsidP="007968EC">
      <w:pPr>
        <w:contextualSpacing/>
        <w:jc w:val="both"/>
        <w:rPr>
          <w:rFonts w:ascii="Arial Narrow" w:hAnsi="Arial Narrow"/>
          <w:color w:val="000000" w:themeColor="text1"/>
          <w:lang w:val="es-ES" w:eastAsia="es-ES"/>
        </w:rPr>
      </w:pPr>
    </w:p>
    <w:p w14:paraId="0227E2AE" w14:textId="77777777" w:rsidR="007968EC" w:rsidRPr="00EB14DE" w:rsidRDefault="007968EC" w:rsidP="00DA7472">
      <w:pPr>
        <w:numPr>
          <w:ilvl w:val="0"/>
          <w:numId w:val="253"/>
        </w:numPr>
        <w:contextualSpacing/>
        <w:jc w:val="both"/>
        <w:rPr>
          <w:rFonts w:ascii="Arial Narrow" w:hAnsi="Arial Narrow"/>
          <w:color w:val="000000" w:themeColor="text1"/>
          <w:lang w:val="es-ES" w:eastAsia="es-ES"/>
        </w:rPr>
      </w:pPr>
      <w:r w:rsidRPr="00EB14DE">
        <w:rPr>
          <w:rFonts w:ascii="Arial Narrow" w:hAnsi="Arial Narrow"/>
          <w:color w:val="000000" w:themeColor="text1"/>
          <w:lang w:val="es-ES_tradnl" w:eastAsia="es-ES"/>
        </w:rPr>
        <w:t xml:space="preserve">La Cámara temporalmente tendrá publicado en el Sistema dos nemotécnicos, la BVC informará con suficiente anticipación al mercado el nemotécnico que será negociable, al igual que las fechas en que será suspendido el nemotécnico que dejará de ser negociado. </w:t>
      </w:r>
    </w:p>
    <w:p w14:paraId="4F2FD05A" w14:textId="77777777" w:rsidR="007968EC" w:rsidRPr="00EB14DE" w:rsidRDefault="007968EC" w:rsidP="007968EC">
      <w:pPr>
        <w:contextualSpacing/>
        <w:jc w:val="both"/>
        <w:rPr>
          <w:rFonts w:ascii="Arial Narrow" w:hAnsi="Arial Narrow"/>
          <w:color w:val="000000" w:themeColor="text1"/>
          <w:lang w:val="es-ES" w:eastAsia="es-ES"/>
        </w:rPr>
      </w:pPr>
    </w:p>
    <w:p w14:paraId="7858EDCD" w14:textId="77777777" w:rsidR="007968EC" w:rsidRPr="00EB14DE" w:rsidRDefault="007968EC" w:rsidP="00DA7472">
      <w:pPr>
        <w:numPr>
          <w:ilvl w:val="0"/>
          <w:numId w:val="253"/>
        </w:numPr>
        <w:contextualSpacing/>
        <w:jc w:val="both"/>
        <w:rPr>
          <w:rFonts w:ascii="Arial Narrow" w:hAnsi="Arial Narrow"/>
          <w:color w:val="000000" w:themeColor="text1"/>
          <w:lang w:val="es-ES_tradnl" w:eastAsia="es-ES"/>
        </w:rPr>
      </w:pPr>
      <w:r w:rsidRPr="00EB14DE">
        <w:rPr>
          <w:rFonts w:ascii="Arial Narrow" w:hAnsi="Arial Narrow"/>
          <w:color w:val="000000" w:themeColor="text1"/>
          <w:lang w:val="es-ES_tradnl" w:eastAsia="es-ES"/>
        </w:rPr>
        <w:t xml:space="preserve">La Cámara anunciará a los Miembros Liquidadores el resultado de sus posiciones y de las de sus Terceros y Miembros no Liquidadores y de las de los Terceros de éstos, después de realizar los ajustes que ocasiona el evento corporativo, previo al inicio de la negociación de los Contratos de Opciones sobre la acción de </w:t>
      </w:r>
      <w:r w:rsidRPr="00EB14DE">
        <w:rPr>
          <w:rFonts w:ascii="Arial Narrow" w:hAnsi="Arial Narrow"/>
          <w:color w:val="000000" w:themeColor="text1"/>
          <w:lang w:val="es-ES" w:eastAsia="es-ES"/>
        </w:rPr>
        <w:t>Preferencial Bancolombia</w:t>
      </w:r>
      <w:r w:rsidRPr="00EB14DE">
        <w:rPr>
          <w:rFonts w:ascii="Arial Narrow" w:hAnsi="Arial Narrow"/>
          <w:color w:val="000000" w:themeColor="text1"/>
          <w:lang w:val="es-ES_tradnl" w:eastAsia="es-ES"/>
        </w:rPr>
        <w:t xml:space="preserve"> ajustados por el evento corporativo.</w:t>
      </w:r>
    </w:p>
    <w:p w14:paraId="06A7D1E7" w14:textId="77777777" w:rsidR="007968EC" w:rsidRPr="00EB14DE" w:rsidRDefault="007968EC" w:rsidP="007968EC">
      <w:pPr>
        <w:ind w:left="720"/>
        <w:contextualSpacing/>
        <w:rPr>
          <w:rFonts w:ascii="Arial Narrow" w:hAnsi="Arial Narrow"/>
          <w:color w:val="000000" w:themeColor="text1"/>
          <w:lang w:val="es-ES_tradnl" w:eastAsia="es-ES"/>
        </w:rPr>
      </w:pPr>
    </w:p>
    <w:p w14:paraId="6F2C4B47" w14:textId="77777777" w:rsidR="007968EC" w:rsidRPr="00EB14DE" w:rsidRDefault="007968EC" w:rsidP="00DA7472">
      <w:pPr>
        <w:numPr>
          <w:ilvl w:val="0"/>
          <w:numId w:val="252"/>
        </w:numPr>
        <w:autoSpaceDE w:val="0"/>
        <w:autoSpaceDN w:val="0"/>
        <w:adjustRightInd w:val="0"/>
        <w:ind w:left="426" w:hanging="426"/>
        <w:contextualSpacing/>
        <w:jc w:val="both"/>
        <w:rPr>
          <w:rFonts w:ascii="Arial Narrow" w:hAnsi="Arial Narrow"/>
          <w:bCs/>
          <w:color w:val="000000" w:themeColor="text1"/>
          <w:lang w:eastAsia="es-CO"/>
        </w:rPr>
      </w:pPr>
      <w:r w:rsidRPr="00EB14DE">
        <w:rPr>
          <w:rFonts w:ascii="Arial Narrow" w:hAnsi="Arial Narrow"/>
          <w:bCs/>
          <w:color w:val="000000" w:themeColor="text1"/>
          <w:lang w:val="es-ES_tradnl" w:eastAsia="es-CO"/>
        </w:rPr>
        <w:t>Activos recibidos en garantía: Se</w:t>
      </w:r>
      <w:r w:rsidRPr="00EB14DE">
        <w:rPr>
          <w:rFonts w:ascii="Arial Narrow" w:hAnsi="Arial Narrow"/>
          <w:bCs/>
          <w:color w:val="000000" w:themeColor="text1"/>
          <w:lang w:eastAsia="es-CO"/>
        </w:rPr>
        <w:t xml:space="preserve"> podrán constituir como Garantía por posición para garantizar </w:t>
      </w:r>
      <w:r w:rsidRPr="00EB14DE">
        <w:rPr>
          <w:rFonts w:ascii="Arial Narrow" w:hAnsi="Arial Narrow"/>
          <w:color w:val="000000" w:themeColor="text1"/>
          <w:lang w:eastAsia="es-CO"/>
        </w:rPr>
        <w:t>Posiciones</w:t>
      </w:r>
      <w:r w:rsidRPr="00EB14DE">
        <w:rPr>
          <w:rFonts w:ascii="Arial Narrow" w:hAnsi="Arial Narrow"/>
          <w:bCs/>
          <w:color w:val="000000" w:themeColor="text1"/>
          <w:lang w:eastAsia="es-CO"/>
        </w:rPr>
        <w:t xml:space="preserve"> Abiertas en el Contrato de </w:t>
      </w:r>
      <w:r w:rsidRPr="00EB14DE">
        <w:rPr>
          <w:rFonts w:ascii="Arial Narrow" w:hAnsi="Arial Narrow"/>
          <w:color w:val="000000" w:themeColor="text1"/>
          <w:lang w:val="es-ES_tradnl" w:eastAsia="es-CO"/>
        </w:rPr>
        <w:t xml:space="preserve">Opciones </w:t>
      </w:r>
      <w:r w:rsidRPr="00EB14DE">
        <w:rPr>
          <w:rFonts w:ascii="Arial Narrow" w:hAnsi="Arial Narrow"/>
          <w:bCs/>
          <w:color w:val="000000" w:themeColor="text1"/>
          <w:lang w:eastAsia="es-CO"/>
        </w:rPr>
        <w:t xml:space="preserve">sobre la acción de </w:t>
      </w:r>
      <w:r w:rsidRPr="00EB14DE">
        <w:rPr>
          <w:rFonts w:ascii="Arial Narrow" w:hAnsi="Arial Narrow"/>
          <w:color w:val="000000" w:themeColor="text1"/>
          <w:lang w:eastAsia="es-CO"/>
        </w:rPr>
        <w:t>Preferencial Bancolombia</w:t>
      </w:r>
      <w:r w:rsidRPr="00EB14DE">
        <w:rPr>
          <w:rFonts w:ascii="Arial Narrow" w:hAnsi="Arial Narrow"/>
          <w:bCs/>
          <w:color w:val="000000" w:themeColor="text1"/>
          <w:lang w:eastAsia="es-CO"/>
        </w:rPr>
        <w:t>, acciones que sean Activo Subyacente de un Contrato de Derivado cuyas operaciones sean susceptibles de ser Aceptadas por la Cámara.</w:t>
      </w:r>
    </w:p>
    <w:p w14:paraId="1150E41F" w14:textId="77777777" w:rsidR="007968EC" w:rsidRPr="00EB14DE" w:rsidRDefault="007968EC" w:rsidP="007968EC">
      <w:pPr>
        <w:autoSpaceDE w:val="0"/>
        <w:autoSpaceDN w:val="0"/>
        <w:adjustRightInd w:val="0"/>
        <w:ind w:left="426"/>
        <w:jc w:val="both"/>
        <w:rPr>
          <w:rFonts w:ascii="Arial Narrow" w:hAnsi="Arial Narrow"/>
          <w:bCs/>
          <w:color w:val="000000" w:themeColor="text1"/>
          <w:lang w:eastAsia="es-CO"/>
        </w:rPr>
      </w:pPr>
    </w:p>
    <w:p w14:paraId="674C4084" w14:textId="77777777" w:rsidR="007968EC" w:rsidRPr="00EB14DE" w:rsidRDefault="007968EC" w:rsidP="007968EC">
      <w:pPr>
        <w:autoSpaceDE w:val="0"/>
        <w:autoSpaceDN w:val="0"/>
        <w:adjustRightInd w:val="0"/>
        <w:ind w:left="426"/>
        <w:jc w:val="both"/>
        <w:rPr>
          <w:rFonts w:ascii="Arial Narrow" w:hAnsi="Arial Narrow"/>
          <w:bCs/>
          <w:color w:val="000000" w:themeColor="text1"/>
          <w:lang w:eastAsia="es-CO"/>
        </w:rPr>
      </w:pPr>
      <w:r w:rsidRPr="00EB14DE">
        <w:rPr>
          <w:rFonts w:ascii="Arial Narrow" w:hAnsi="Arial Narrow"/>
          <w:bCs/>
          <w:color w:val="000000" w:themeColor="text1"/>
          <w:lang w:eastAsia="es-CO"/>
        </w:rPr>
        <w:t xml:space="preserve">Para que las acciones depositadas en la Cámara como Garantía por Posición de una Posición Abierta en Contratos de </w:t>
      </w:r>
      <w:r w:rsidRPr="00EB14DE">
        <w:rPr>
          <w:rFonts w:ascii="Arial Narrow" w:hAnsi="Arial Narrow"/>
          <w:color w:val="000000" w:themeColor="text1"/>
          <w:lang w:val="es-ES_tradnl" w:eastAsia="es-CO"/>
        </w:rPr>
        <w:t xml:space="preserve">Opciones </w:t>
      </w:r>
      <w:r w:rsidRPr="00EB14DE">
        <w:rPr>
          <w:rFonts w:ascii="Arial Narrow" w:hAnsi="Arial Narrow"/>
          <w:bCs/>
          <w:color w:val="000000" w:themeColor="text1"/>
          <w:lang w:eastAsia="es-CO"/>
        </w:rPr>
        <w:t xml:space="preserve">sobre acciones de </w:t>
      </w:r>
      <w:r w:rsidRPr="00EB14DE">
        <w:rPr>
          <w:rFonts w:ascii="Arial Narrow" w:hAnsi="Arial Narrow"/>
          <w:color w:val="000000" w:themeColor="text1"/>
          <w:lang w:eastAsia="es-CO"/>
        </w:rPr>
        <w:t>Preferencial Bancolombia</w:t>
      </w:r>
      <w:r w:rsidRPr="00EB14DE">
        <w:rPr>
          <w:rFonts w:ascii="Arial Narrow" w:hAnsi="Arial Narrow"/>
          <w:bCs/>
          <w:color w:val="000000" w:themeColor="text1"/>
          <w:lang w:eastAsia="es-CO"/>
        </w:rPr>
        <w:t xml:space="preserve"> computen para el cálculo del Riesgo por Operativa Diaria Cliente/Titular, el titular de la Cuenta deberá cumplir con los siguientes requisitos:</w:t>
      </w:r>
    </w:p>
    <w:p w14:paraId="7353FE30" w14:textId="77777777" w:rsidR="007968EC" w:rsidRPr="00EB14DE" w:rsidRDefault="007968EC" w:rsidP="007968EC">
      <w:pPr>
        <w:autoSpaceDE w:val="0"/>
        <w:autoSpaceDN w:val="0"/>
        <w:ind w:left="708" w:hanging="708"/>
        <w:jc w:val="both"/>
        <w:rPr>
          <w:rFonts w:ascii="Arial Narrow" w:hAnsi="Arial Narrow"/>
          <w:bCs/>
          <w:color w:val="000000" w:themeColor="text1"/>
          <w:lang w:val="es-ES" w:eastAsia="es-ES"/>
        </w:rPr>
      </w:pPr>
    </w:p>
    <w:p w14:paraId="784B6966" w14:textId="77777777" w:rsidR="007968EC" w:rsidRPr="00EB14DE" w:rsidRDefault="007968EC" w:rsidP="00DA7472">
      <w:pPr>
        <w:numPr>
          <w:ilvl w:val="0"/>
          <w:numId w:val="254"/>
        </w:numPr>
        <w:autoSpaceDE w:val="0"/>
        <w:autoSpaceDN w:val="0"/>
        <w:contextualSpacing/>
        <w:jc w:val="both"/>
        <w:rPr>
          <w:rFonts w:ascii="Arial Narrow" w:hAnsi="Arial Narrow"/>
          <w:bCs/>
          <w:color w:val="000000" w:themeColor="text1"/>
          <w:lang w:eastAsia="es-CO"/>
        </w:rPr>
      </w:pPr>
      <w:r w:rsidRPr="00EB14DE">
        <w:rPr>
          <w:rFonts w:ascii="Arial Narrow" w:hAnsi="Arial Narrow"/>
          <w:bCs/>
          <w:color w:val="000000" w:themeColor="text1"/>
          <w:lang w:eastAsia="es-CO"/>
        </w:rPr>
        <w:t xml:space="preserve">La cuenta cuyas Posiciones Abiertas pretendan garantizarse deberá destinarse exclusivamente al registro de operaciones de Contratos de Futuros sobre </w:t>
      </w:r>
      <w:r w:rsidRPr="00EB14DE">
        <w:rPr>
          <w:rFonts w:ascii="Arial Narrow" w:eastAsia="Calibri" w:hAnsi="Arial Narrow" w:cs="Arial Narrow"/>
          <w:bCs/>
          <w:color w:val="000000" w:themeColor="text1"/>
        </w:rPr>
        <w:t xml:space="preserve">Acciones del Índice COLCAP con Liquidación por Diferencias, de Contratos de Futuro sobre Acciones del Índice COLCAP con Liquidación por Entrega, </w:t>
      </w:r>
      <w:r w:rsidRPr="00EB14DE">
        <w:rPr>
          <w:rFonts w:ascii="Arial Narrow" w:hAnsi="Arial Narrow"/>
          <w:bCs/>
          <w:color w:val="000000" w:themeColor="text1"/>
          <w:lang w:eastAsia="es-CO"/>
        </w:rPr>
        <w:t xml:space="preserve">Contratos de Opciones sobre acciones, </w:t>
      </w:r>
      <w:r w:rsidRPr="00EB14DE">
        <w:rPr>
          <w:rFonts w:ascii="Arial Narrow" w:hAnsi="Arial Narrow"/>
          <w:color w:val="000000" w:themeColor="text1"/>
          <w:lang w:val="es-ES_tradnl" w:eastAsia="es-CO"/>
        </w:rPr>
        <w:t xml:space="preserve"> </w:t>
      </w:r>
      <w:r w:rsidRPr="00EB14DE">
        <w:rPr>
          <w:rFonts w:ascii="Arial Narrow" w:hAnsi="Arial Narrow"/>
          <w:bCs/>
          <w:color w:val="000000" w:themeColor="text1"/>
          <w:lang w:eastAsia="es-CO"/>
        </w:rPr>
        <w:t>Contratos de Futuros Índice Accionario COLCAP y/o Mini Contrato de Futuro Índice Accionario COLCAP.</w:t>
      </w:r>
    </w:p>
    <w:p w14:paraId="001778E7" w14:textId="77777777" w:rsidR="007968EC" w:rsidRPr="00EB14DE" w:rsidRDefault="007968EC" w:rsidP="007968EC">
      <w:pPr>
        <w:autoSpaceDE w:val="0"/>
        <w:autoSpaceDN w:val="0"/>
        <w:ind w:left="708"/>
        <w:jc w:val="both"/>
        <w:rPr>
          <w:rFonts w:ascii="Arial Narrow" w:hAnsi="Arial Narrow"/>
          <w:bCs/>
          <w:color w:val="000000" w:themeColor="text1"/>
          <w:lang w:eastAsia="es-CO"/>
        </w:rPr>
      </w:pPr>
    </w:p>
    <w:p w14:paraId="1F85D95D" w14:textId="77777777" w:rsidR="007968EC" w:rsidRPr="00EB14DE" w:rsidRDefault="007968EC" w:rsidP="00DA7472">
      <w:pPr>
        <w:numPr>
          <w:ilvl w:val="0"/>
          <w:numId w:val="254"/>
        </w:numPr>
        <w:autoSpaceDE w:val="0"/>
        <w:autoSpaceDN w:val="0"/>
        <w:contextualSpacing/>
        <w:jc w:val="both"/>
        <w:rPr>
          <w:rFonts w:ascii="Arial Narrow" w:hAnsi="Arial Narrow"/>
          <w:bCs/>
          <w:color w:val="000000" w:themeColor="text1"/>
          <w:lang w:eastAsia="es-CO"/>
        </w:rPr>
      </w:pPr>
      <w:r w:rsidRPr="00EB14DE">
        <w:rPr>
          <w:rFonts w:ascii="Arial Narrow" w:hAnsi="Arial Narrow"/>
          <w:bCs/>
          <w:color w:val="000000" w:themeColor="text1"/>
          <w:lang w:eastAsia="es-CO"/>
        </w:rPr>
        <w:t xml:space="preserve">El Administrador del Miembro deberá informar a través del SAS que la Cuenta se destinará al registro exclusivo de Operaciones de Contratos de Futuros sobre </w:t>
      </w:r>
      <w:r w:rsidRPr="00EB14DE">
        <w:rPr>
          <w:rFonts w:ascii="Arial Narrow" w:eastAsia="Calibri" w:hAnsi="Arial Narrow" w:cs="Arial Narrow"/>
          <w:bCs/>
          <w:color w:val="000000" w:themeColor="text1"/>
        </w:rPr>
        <w:t>sobre Acciones del Índice COLCAP con Liquidación por Diferencias, de Contratos de Futuro sobre Acciones del Índice COLCAP con Liquidación por Entrega</w:t>
      </w:r>
      <w:r w:rsidRPr="00EB14DE">
        <w:rPr>
          <w:rFonts w:ascii="Arial Narrow" w:hAnsi="Arial Narrow"/>
          <w:bCs/>
          <w:color w:val="000000" w:themeColor="text1"/>
          <w:lang w:eastAsia="es-CO"/>
        </w:rPr>
        <w:t>, Contratos de Opciones sobre acciones, Contratos de Futuros Índice Accionario COLCAP y/o Mini Contrato de Futuro Índice Accionario COLCAP.</w:t>
      </w:r>
    </w:p>
    <w:p w14:paraId="6CF0750A" w14:textId="77777777" w:rsidR="007968EC" w:rsidRPr="00EB14DE" w:rsidRDefault="007968EC" w:rsidP="007968EC">
      <w:pPr>
        <w:ind w:left="708"/>
        <w:rPr>
          <w:rFonts w:ascii="Arial Narrow" w:hAnsi="Arial Narrow"/>
          <w:bCs/>
          <w:color w:val="000000" w:themeColor="text1"/>
          <w:lang w:eastAsia="es-CO"/>
        </w:rPr>
      </w:pPr>
    </w:p>
    <w:p w14:paraId="5FC6E735" w14:textId="77777777" w:rsidR="007968EC" w:rsidRPr="00EB14DE" w:rsidRDefault="007968EC" w:rsidP="00DA7472">
      <w:pPr>
        <w:numPr>
          <w:ilvl w:val="0"/>
          <w:numId w:val="254"/>
        </w:numPr>
        <w:autoSpaceDE w:val="0"/>
        <w:autoSpaceDN w:val="0"/>
        <w:contextualSpacing/>
        <w:jc w:val="both"/>
        <w:rPr>
          <w:rFonts w:ascii="Arial Narrow" w:hAnsi="Arial Narrow"/>
          <w:bCs/>
          <w:color w:val="000000" w:themeColor="text1"/>
          <w:lang w:eastAsia="es-CO"/>
        </w:rPr>
      </w:pPr>
      <w:r w:rsidRPr="00EB14DE">
        <w:rPr>
          <w:rFonts w:ascii="Arial Narrow" w:hAnsi="Arial Narrow"/>
          <w:bCs/>
          <w:color w:val="000000" w:themeColor="text1"/>
          <w:lang w:eastAsia="es-CO"/>
        </w:rPr>
        <w:lastRenderedPageBreak/>
        <w:t xml:space="preserve">El límite máximo de Garantías por Posición a constituir en acciones para cubrir los requerimientos de Garantías por Posición de la respectiva Cuenta calculado por la Cámara será aquel que represente el 30% del promedio diario del valor negociado en el mercado de contado de la acción correspondiente durante el mes inmediatamente anterior. </w:t>
      </w:r>
    </w:p>
    <w:p w14:paraId="6CA0CFB7" w14:textId="77777777" w:rsidR="007968EC" w:rsidRPr="00EB14DE" w:rsidRDefault="007968EC" w:rsidP="007968EC">
      <w:pPr>
        <w:ind w:left="708"/>
        <w:rPr>
          <w:rFonts w:ascii="Arial Narrow" w:hAnsi="Arial Narrow"/>
          <w:bCs/>
          <w:color w:val="000000" w:themeColor="text1"/>
          <w:lang w:eastAsia="es-CO"/>
        </w:rPr>
      </w:pPr>
    </w:p>
    <w:p w14:paraId="704D9C29" w14:textId="77777777" w:rsidR="007968EC" w:rsidRPr="00EB14DE" w:rsidRDefault="007968EC" w:rsidP="007968EC">
      <w:pPr>
        <w:autoSpaceDE w:val="0"/>
        <w:autoSpaceDN w:val="0"/>
        <w:ind w:left="708"/>
        <w:jc w:val="both"/>
        <w:rPr>
          <w:rFonts w:ascii="Arial Narrow" w:hAnsi="Arial Narrow"/>
          <w:bCs/>
          <w:color w:val="000000" w:themeColor="text1"/>
          <w:lang w:eastAsia="es-CO"/>
        </w:rPr>
      </w:pPr>
      <w:r w:rsidRPr="00EB14DE">
        <w:rPr>
          <w:rFonts w:ascii="Arial Narrow" w:hAnsi="Arial Narrow"/>
          <w:bCs/>
          <w:color w:val="000000" w:themeColor="text1"/>
          <w:lang w:eastAsia="es-CO"/>
        </w:rPr>
        <w:t xml:space="preserve">El cálculo del límite se hará frente a la sumatoria de las acciones constituidas como Garantías por Posición de todas las Cuentas de la estructura de Cuentas de un Miembro Liquidador </w:t>
      </w:r>
      <w:r w:rsidRPr="00EB14DE">
        <w:rPr>
          <w:rFonts w:ascii="Arial Narrow" w:eastAsia="Calibri" w:hAnsi="Arial Narrow"/>
          <w:bCs/>
          <w:color w:val="000000" w:themeColor="text1"/>
          <w:lang w:eastAsia="es-CO"/>
        </w:rPr>
        <w:t xml:space="preserve">en </w:t>
      </w:r>
      <w:r w:rsidRPr="00EB14DE">
        <w:rPr>
          <w:rFonts w:ascii="Arial Narrow" w:eastAsia="Calibri" w:hAnsi="Arial Narrow"/>
          <w:bCs/>
          <w:color w:val="000000" w:themeColor="text1"/>
        </w:rPr>
        <w:t>el presente Segmento</w:t>
      </w:r>
      <w:r w:rsidRPr="00EB14DE">
        <w:rPr>
          <w:rFonts w:ascii="Arial Narrow" w:eastAsia="Calibri" w:hAnsi="Arial Narrow"/>
          <w:bCs/>
          <w:color w:val="000000" w:themeColor="text1"/>
          <w:lang w:eastAsia="es-CO"/>
        </w:rPr>
        <w:t>.</w:t>
      </w:r>
      <w:r w:rsidRPr="00EB14DE">
        <w:rPr>
          <w:rFonts w:ascii="Arial Narrow" w:hAnsi="Arial Narrow"/>
          <w:bCs/>
          <w:color w:val="000000" w:themeColor="text1"/>
          <w:lang w:eastAsia="es-CO"/>
        </w:rPr>
        <w:t xml:space="preserve">  </w:t>
      </w:r>
    </w:p>
    <w:p w14:paraId="6C6CB452" w14:textId="77777777" w:rsidR="007968EC" w:rsidRPr="00EB14DE" w:rsidRDefault="007968EC" w:rsidP="007968EC">
      <w:pPr>
        <w:autoSpaceDE w:val="0"/>
        <w:autoSpaceDN w:val="0"/>
        <w:ind w:left="708"/>
        <w:jc w:val="both"/>
        <w:rPr>
          <w:rFonts w:ascii="Arial Narrow" w:hAnsi="Arial Narrow"/>
          <w:bCs/>
          <w:color w:val="000000" w:themeColor="text1"/>
          <w:lang w:eastAsia="es-CO"/>
        </w:rPr>
      </w:pPr>
    </w:p>
    <w:p w14:paraId="214EAF7E" w14:textId="77777777" w:rsidR="007968EC" w:rsidRPr="00EB14DE" w:rsidRDefault="007968EC" w:rsidP="007968EC">
      <w:pPr>
        <w:autoSpaceDE w:val="0"/>
        <w:autoSpaceDN w:val="0"/>
        <w:ind w:left="708"/>
        <w:jc w:val="both"/>
        <w:rPr>
          <w:rFonts w:ascii="Arial Narrow" w:hAnsi="Arial Narrow"/>
          <w:bCs/>
          <w:color w:val="000000" w:themeColor="text1"/>
          <w:lang w:eastAsia="es-CO"/>
        </w:rPr>
      </w:pPr>
      <w:r w:rsidRPr="00EB14DE">
        <w:rPr>
          <w:rFonts w:ascii="Arial Narrow" w:hAnsi="Arial Narrow"/>
          <w:bCs/>
          <w:color w:val="000000" w:themeColor="text1"/>
          <w:lang w:eastAsia="es-CO"/>
        </w:rPr>
        <w:t xml:space="preserve">En el evento en que el titular de Cuenta registre operaciones distintas a operaciones de Contratos de Futuros sobre </w:t>
      </w:r>
      <w:r w:rsidRPr="00EB14DE">
        <w:rPr>
          <w:rFonts w:ascii="Arial Narrow" w:eastAsia="Calibri" w:hAnsi="Arial Narrow" w:cs="Arial Narrow"/>
          <w:bCs/>
          <w:color w:val="000000" w:themeColor="text1"/>
        </w:rPr>
        <w:t>sobre Acciones del Índice COLCAP con Liquidación por Diferencias, de Contratos de Futuro sobre Acciones del Índice COLCAP con Liquidación por Entrega</w:t>
      </w:r>
      <w:r w:rsidRPr="00EB14DE">
        <w:rPr>
          <w:rFonts w:ascii="Arial Narrow" w:hAnsi="Arial Narrow"/>
          <w:bCs/>
          <w:color w:val="000000" w:themeColor="text1"/>
          <w:lang w:eastAsia="es-CO"/>
        </w:rPr>
        <w:t xml:space="preserve">, Contratos de Opciones sobre acciones, </w:t>
      </w:r>
      <w:r w:rsidRPr="00EB14DE">
        <w:rPr>
          <w:rFonts w:ascii="Arial Narrow" w:hAnsi="Arial Narrow"/>
          <w:color w:val="000000" w:themeColor="text1"/>
          <w:lang w:val="es-ES_tradnl" w:eastAsia="es-CO"/>
        </w:rPr>
        <w:t xml:space="preserve"> </w:t>
      </w:r>
      <w:r w:rsidRPr="00EB14DE">
        <w:rPr>
          <w:rFonts w:ascii="Arial Narrow" w:hAnsi="Arial Narrow"/>
          <w:bCs/>
          <w:color w:val="000000" w:themeColor="text1"/>
          <w:lang w:eastAsia="es-CO"/>
        </w:rPr>
        <w:t xml:space="preserve">Contratos de Futuros Índice Accionario COLCAP y/o Mini Contrato de Futuro Índice Accionario COLCAP, las acciones entregadas como garantía sólo computarán para el cálculo de la Garantía por Posición exigida, si antes de finalizar la Sesión de Cierre de Cámara del mismo día en que se registraron dichas Operaciones, el titular de la Cuenta realiza el cierre de tales Posiciones Abiertas, o realiza alguno de los tipos de gestión de Operaciones indicados en la presente Circular. </w:t>
      </w:r>
    </w:p>
    <w:p w14:paraId="62AF386F" w14:textId="77777777" w:rsidR="007968EC" w:rsidRPr="00EB14DE" w:rsidRDefault="007968EC" w:rsidP="007968EC">
      <w:pPr>
        <w:autoSpaceDE w:val="0"/>
        <w:autoSpaceDN w:val="0"/>
        <w:ind w:left="708"/>
        <w:jc w:val="both"/>
        <w:rPr>
          <w:rFonts w:ascii="Arial Narrow" w:hAnsi="Arial Narrow"/>
          <w:bCs/>
          <w:color w:val="000000" w:themeColor="text1"/>
          <w:lang w:eastAsia="es-CO"/>
        </w:rPr>
      </w:pPr>
    </w:p>
    <w:p w14:paraId="7714D4FC" w14:textId="77777777" w:rsidR="007968EC" w:rsidRPr="00EB14DE" w:rsidRDefault="007968EC" w:rsidP="007968EC">
      <w:pPr>
        <w:autoSpaceDE w:val="0"/>
        <w:autoSpaceDN w:val="0"/>
        <w:ind w:left="708"/>
        <w:jc w:val="both"/>
        <w:rPr>
          <w:rFonts w:ascii="Arial Narrow" w:hAnsi="Arial Narrow"/>
          <w:bCs/>
          <w:color w:val="000000" w:themeColor="text1"/>
          <w:lang w:eastAsia="es-CO"/>
        </w:rPr>
      </w:pPr>
      <w:r w:rsidRPr="00EB14DE">
        <w:rPr>
          <w:rFonts w:ascii="Arial Narrow" w:hAnsi="Arial Narrow"/>
          <w:bCs/>
          <w:color w:val="000000" w:themeColor="text1"/>
          <w:lang w:eastAsia="es-CO"/>
        </w:rPr>
        <w:t>En caso contrario, el titular de la Cuenta deberá constituir las garantías exigidas en los Activos indicados en los numerales 1 y 2 del artículo1.6.4.1. de la presenta Circular.</w:t>
      </w:r>
    </w:p>
    <w:p w14:paraId="753BBF81" w14:textId="77777777" w:rsidR="007968EC" w:rsidRPr="00EB14DE" w:rsidRDefault="007968EC" w:rsidP="007968EC">
      <w:pPr>
        <w:autoSpaceDE w:val="0"/>
        <w:autoSpaceDN w:val="0"/>
        <w:ind w:left="708"/>
        <w:jc w:val="both"/>
        <w:rPr>
          <w:rFonts w:ascii="Arial Narrow" w:hAnsi="Arial Narrow"/>
          <w:bCs/>
          <w:color w:val="000000" w:themeColor="text1"/>
          <w:lang w:eastAsia="es-CO"/>
        </w:rPr>
      </w:pPr>
    </w:p>
    <w:p w14:paraId="102EB0BA" w14:textId="77777777" w:rsidR="007968EC" w:rsidRPr="00EB14DE" w:rsidRDefault="007968EC" w:rsidP="007968EC">
      <w:pPr>
        <w:autoSpaceDE w:val="0"/>
        <w:autoSpaceDN w:val="0"/>
        <w:ind w:left="708"/>
        <w:jc w:val="both"/>
        <w:rPr>
          <w:rFonts w:ascii="Arial Narrow" w:hAnsi="Arial Narrow"/>
          <w:bCs/>
          <w:color w:val="000000" w:themeColor="text1"/>
          <w:lang w:eastAsia="es-CO"/>
        </w:rPr>
      </w:pPr>
      <w:r w:rsidRPr="00EB14DE">
        <w:rPr>
          <w:rFonts w:ascii="Arial Narrow" w:hAnsi="Arial Narrow"/>
          <w:bCs/>
          <w:color w:val="000000" w:themeColor="text1"/>
          <w:lang w:eastAsia="es-CO"/>
        </w:rPr>
        <w:t>Igualmente, en el evento en que se exceda el límite máximo de Garantías por Posición a constituir en acciones de conformidad con lo dispuesto en el literal c. anterior, el Miembro Liquidador deberá proceder a la constitución de garantías exigidas en los Activos indicados en los numerales 1 y 2 del artículo 1.6.4.1. de la presente Circular, por la diferencia entre el límite máximo y el valor de la garantía exigida.</w:t>
      </w:r>
    </w:p>
    <w:p w14:paraId="6A3E8298" w14:textId="77777777" w:rsidR="007968EC" w:rsidRPr="00EB14DE" w:rsidRDefault="007968EC" w:rsidP="007968EC">
      <w:pPr>
        <w:autoSpaceDE w:val="0"/>
        <w:autoSpaceDN w:val="0"/>
        <w:ind w:left="708"/>
        <w:jc w:val="both"/>
        <w:rPr>
          <w:rFonts w:ascii="Arial Narrow" w:hAnsi="Arial Narrow"/>
          <w:bCs/>
          <w:color w:val="000000" w:themeColor="text1"/>
          <w:lang w:eastAsia="es-CO"/>
        </w:rPr>
      </w:pPr>
    </w:p>
    <w:p w14:paraId="7B24F5CE" w14:textId="77777777" w:rsidR="007968EC" w:rsidRPr="00EB14DE" w:rsidRDefault="007968EC" w:rsidP="007968EC">
      <w:pPr>
        <w:pStyle w:val="ARTICULO0"/>
        <w:ind w:left="708"/>
        <w:rPr>
          <w:b w:val="0"/>
          <w:u w:val="none"/>
          <w:lang w:eastAsia="es-CO"/>
        </w:rPr>
      </w:pPr>
      <w:bookmarkStart w:id="5216" w:name="_Toc31716227"/>
      <w:r w:rsidRPr="00EB14DE">
        <w:rPr>
          <w:b w:val="0"/>
          <w:u w:val="none"/>
          <w:lang w:eastAsia="es-CO"/>
        </w:rPr>
        <w:t>La constitución de las garantías deberá llevarse a cabo de conformidad con lo previsto en los artículos 1.6.4.3., 1.6.4.4. y 1.6.4.5. de la presente Circular.</w:t>
      </w:r>
      <w:bookmarkEnd w:id="5216"/>
    </w:p>
    <w:p w14:paraId="53F6D1F3" w14:textId="77777777" w:rsidR="007968EC" w:rsidRPr="002C0D19" w:rsidRDefault="007968EC" w:rsidP="007968EC">
      <w:pPr>
        <w:autoSpaceDE w:val="0"/>
        <w:autoSpaceDN w:val="0"/>
        <w:ind w:left="708"/>
        <w:jc w:val="both"/>
        <w:rPr>
          <w:rFonts w:ascii="Arial Narrow" w:hAnsi="Arial Narrow"/>
          <w:bCs/>
          <w:color w:val="000000" w:themeColor="text1"/>
          <w:lang w:eastAsia="es-CO"/>
        </w:rPr>
      </w:pPr>
    </w:p>
    <w:p w14:paraId="3EE149B1" w14:textId="77777777" w:rsidR="007968EC" w:rsidRPr="002F6334" w:rsidRDefault="007968EC" w:rsidP="007968EC">
      <w:pPr>
        <w:pStyle w:val="ARTICULO0"/>
      </w:pPr>
      <w:bookmarkStart w:id="5217" w:name="_Toc31716228"/>
      <w:bookmarkStart w:id="5218" w:name="_Toc479057207"/>
      <w:bookmarkStart w:id="5219" w:name="_Toc490066565"/>
      <w:r>
        <w:t xml:space="preserve">Artículo 2.7.2.12. </w:t>
      </w:r>
      <w:r w:rsidRPr="002F6334">
        <w:t>Contrato Futuro sobre Electricidad Mensual.</w:t>
      </w:r>
      <w:bookmarkEnd w:id="5208"/>
      <w:bookmarkEnd w:id="5209"/>
      <w:bookmarkEnd w:id="5210"/>
      <w:bookmarkEnd w:id="5211"/>
      <w:bookmarkEnd w:id="5212"/>
      <w:bookmarkEnd w:id="5213"/>
      <w:bookmarkEnd w:id="5217"/>
      <w:r w:rsidRPr="002F6334">
        <w:t xml:space="preserve"> </w:t>
      </w:r>
    </w:p>
    <w:p w14:paraId="63D4F326" w14:textId="77777777" w:rsidR="007968EC" w:rsidRDefault="007968EC" w:rsidP="007968EC">
      <w:pPr>
        <w:keepNext/>
        <w:tabs>
          <w:tab w:val="left" w:pos="1701"/>
        </w:tabs>
        <w:jc w:val="both"/>
        <w:outlineLvl w:val="2"/>
        <w:rPr>
          <w:rFonts w:ascii="Arial Narrow" w:hAnsi="Arial Narrow" w:cs="Arial"/>
          <w:b/>
          <w:bCs/>
          <w:color w:val="000000" w:themeColor="text1"/>
          <w:u w:val="single"/>
          <w:lang w:eastAsia="es-ES"/>
        </w:rPr>
      </w:pPr>
    </w:p>
    <w:p w14:paraId="7B80EF90" w14:textId="77777777" w:rsidR="007968EC" w:rsidRPr="002C0D19" w:rsidRDefault="007968EC" w:rsidP="007968EC">
      <w:pPr>
        <w:pStyle w:val="ANTECEDENTES"/>
        <w:rPr>
          <w:u w:val="single"/>
        </w:rPr>
      </w:pPr>
      <w:r w:rsidRPr="002C0D19">
        <w:t>(Este artículo fue renumerado mediante Circular 6 del 14 de febrero de 2017, publicada mediante Boletín Normativo No.</w:t>
      </w:r>
      <w:r>
        <w:t xml:space="preserve"> 006 del 14 de febrero de 2017,</w:t>
      </w:r>
      <w:r w:rsidRPr="002C0D19">
        <w:t xml:space="preserve"> modificado mediante Circular 13 del 14 de julio de 2017, publicada en el Boletín Normativo No. 013 del 14 de julio de 2017</w:t>
      </w:r>
      <w:r>
        <w:t xml:space="preserve"> y renumerado </w:t>
      </w:r>
      <w:r w:rsidRPr="009C4B41">
        <w:rPr>
          <w:lang w:val="es-ES"/>
        </w:rPr>
        <w:t>mediante Circular 002 del 20 de febrero de 2018, publicada en el Boletín Normativo No. 003 del 20 de febrero de 2018. Rige a partir del 21 de febrero de 2018</w:t>
      </w:r>
      <w:r w:rsidRPr="002C0D19">
        <w:t>.)</w:t>
      </w:r>
      <w:bookmarkEnd w:id="5218"/>
      <w:bookmarkEnd w:id="5219"/>
    </w:p>
    <w:p w14:paraId="1C7363B2" w14:textId="77777777" w:rsidR="007968EC" w:rsidRPr="002C0D19" w:rsidRDefault="007968EC" w:rsidP="007968EC">
      <w:pPr>
        <w:rPr>
          <w:rFonts w:ascii="Arial Narrow" w:eastAsia="Calibri" w:hAnsi="Arial Narrow"/>
          <w:b/>
          <w:color w:val="000000" w:themeColor="text1"/>
        </w:rPr>
      </w:pPr>
    </w:p>
    <w:p w14:paraId="11C46B39" w14:textId="77777777" w:rsidR="007968EC" w:rsidRPr="002C0D19" w:rsidRDefault="007968EC" w:rsidP="00DA7472">
      <w:pPr>
        <w:numPr>
          <w:ilvl w:val="0"/>
          <w:numId w:val="69"/>
        </w:numPr>
        <w:ind w:hanging="294"/>
        <w:rPr>
          <w:rFonts w:ascii="Arial Narrow" w:eastAsia="Calibri" w:hAnsi="Arial Narrow"/>
          <w:b/>
          <w:color w:val="000000"/>
        </w:rPr>
      </w:pPr>
      <w:r w:rsidRPr="002C0D19">
        <w:rPr>
          <w:rFonts w:ascii="Arial Narrow" w:eastAsia="Calibri" w:hAnsi="Arial Narrow"/>
          <w:color w:val="000000"/>
        </w:rPr>
        <w:t>Generalidades:</w:t>
      </w:r>
    </w:p>
    <w:p w14:paraId="37522F17" w14:textId="77777777" w:rsidR="007968EC" w:rsidRPr="002C0D19" w:rsidRDefault="007968EC" w:rsidP="007968EC">
      <w:pPr>
        <w:ind w:left="720"/>
        <w:rPr>
          <w:rFonts w:ascii="Arial Narrow" w:eastAsia="Calibri" w:hAnsi="Arial Narrow"/>
          <w:b/>
          <w:color w:val="000000"/>
        </w:rPr>
      </w:pPr>
    </w:p>
    <w:tbl>
      <w:tblPr>
        <w:tblW w:w="9286" w:type="dxa"/>
        <w:tblInd w:w="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3843"/>
        <w:gridCol w:w="5443"/>
      </w:tblGrid>
      <w:tr w:rsidR="007968EC" w:rsidRPr="002C0D19" w14:paraId="679065FA" w14:textId="77777777" w:rsidTr="007968EC">
        <w:trPr>
          <w:trHeight w:val="363"/>
        </w:trPr>
        <w:tc>
          <w:tcPr>
            <w:tcW w:w="3843" w:type="dxa"/>
            <w:shd w:val="clear" w:color="auto" w:fill="BFBFBF"/>
            <w:noWrap/>
            <w:vAlign w:val="center"/>
            <w:hideMark/>
          </w:tcPr>
          <w:p w14:paraId="66E566D6" w14:textId="77777777" w:rsidR="007968EC" w:rsidRPr="002C0D19" w:rsidRDefault="007968EC" w:rsidP="007968EC">
            <w:pPr>
              <w:rPr>
                <w:rFonts w:ascii="Arial Narrow" w:eastAsia="Calibri" w:hAnsi="Arial Narrow"/>
                <w:b/>
                <w:color w:val="000000"/>
              </w:rPr>
            </w:pPr>
            <w:r w:rsidRPr="002C0D19">
              <w:rPr>
                <w:rFonts w:ascii="Arial Narrow" w:eastAsia="Calibri" w:hAnsi="Arial Narrow"/>
                <w:color w:val="000000"/>
              </w:rPr>
              <w:t>Instrumento</w:t>
            </w:r>
          </w:p>
        </w:tc>
        <w:tc>
          <w:tcPr>
            <w:tcW w:w="5443" w:type="dxa"/>
            <w:shd w:val="clear" w:color="auto" w:fill="auto"/>
            <w:noWrap/>
            <w:vAlign w:val="center"/>
            <w:hideMark/>
          </w:tcPr>
          <w:p w14:paraId="09A705A6" w14:textId="77777777" w:rsidR="007968EC" w:rsidRPr="002C0D19" w:rsidRDefault="007968EC" w:rsidP="007968EC">
            <w:pPr>
              <w:autoSpaceDE w:val="0"/>
              <w:autoSpaceDN w:val="0"/>
              <w:jc w:val="both"/>
              <w:rPr>
                <w:rFonts w:ascii="Arial Narrow" w:eastAsia="Calibri" w:hAnsi="Arial Narrow"/>
                <w:b/>
                <w:color w:val="000000"/>
              </w:rPr>
            </w:pPr>
            <w:r w:rsidRPr="002C0D19">
              <w:rPr>
                <w:rFonts w:ascii="Arial Narrow" w:eastAsia="Calibri" w:hAnsi="Arial Narrow"/>
                <w:color w:val="000000"/>
              </w:rPr>
              <w:t>Contrato Futuro sobre Electricidad Mensual</w:t>
            </w:r>
          </w:p>
        </w:tc>
      </w:tr>
      <w:tr w:rsidR="007968EC" w:rsidRPr="002C0D19" w14:paraId="505876C0" w14:textId="77777777" w:rsidTr="007968EC">
        <w:trPr>
          <w:trHeight w:val="823"/>
        </w:trPr>
        <w:tc>
          <w:tcPr>
            <w:tcW w:w="3843" w:type="dxa"/>
            <w:shd w:val="clear" w:color="auto" w:fill="BFBFBF"/>
            <w:noWrap/>
            <w:vAlign w:val="center"/>
            <w:hideMark/>
          </w:tcPr>
          <w:p w14:paraId="29A51C43" w14:textId="77777777" w:rsidR="007968EC" w:rsidRPr="002C0D19" w:rsidRDefault="007968EC" w:rsidP="007968EC">
            <w:pPr>
              <w:rPr>
                <w:rFonts w:ascii="Arial Narrow" w:eastAsia="Calibri" w:hAnsi="Arial Narrow"/>
                <w:b/>
                <w:color w:val="000000"/>
              </w:rPr>
            </w:pPr>
            <w:r w:rsidRPr="002C0D19">
              <w:rPr>
                <w:rFonts w:ascii="Arial Narrow" w:eastAsia="Calibri" w:hAnsi="Arial Narrow"/>
                <w:color w:val="000000"/>
              </w:rPr>
              <w:lastRenderedPageBreak/>
              <w:t>Activo Subyacente</w:t>
            </w:r>
          </w:p>
        </w:tc>
        <w:tc>
          <w:tcPr>
            <w:tcW w:w="5443" w:type="dxa"/>
            <w:shd w:val="clear" w:color="auto" w:fill="auto"/>
            <w:vAlign w:val="center"/>
            <w:hideMark/>
          </w:tcPr>
          <w:p w14:paraId="3E39F428" w14:textId="77777777" w:rsidR="007968EC" w:rsidRPr="002C0D19" w:rsidRDefault="007968EC" w:rsidP="007968EC">
            <w:pPr>
              <w:autoSpaceDE w:val="0"/>
              <w:autoSpaceDN w:val="0"/>
              <w:jc w:val="both"/>
              <w:rPr>
                <w:rFonts w:ascii="Arial Narrow" w:eastAsia="Calibri" w:hAnsi="Arial Narrow"/>
                <w:b/>
                <w:color w:val="000000"/>
              </w:rPr>
            </w:pPr>
            <w:r w:rsidRPr="002C0D19">
              <w:rPr>
                <w:rFonts w:ascii="Arial Narrow" w:eastAsia="Calibri" w:hAnsi="Arial Narrow"/>
                <w:color w:val="000000"/>
              </w:rPr>
              <w:t>Precio de la electricidad negociada en la Bolsa de Energía, las 24 horas de todos los días del mes de expiración. (TX1)</w:t>
            </w:r>
          </w:p>
        </w:tc>
      </w:tr>
      <w:tr w:rsidR="007968EC" w:rsidRPr="002C0D19" w14:paraId="08036267" w14:textId="77777777" w:rsidTr="007968EC">
        <w:trPr>
          <w:trHeight w:val="220"/>
        </w:trPr>
        <w:tc>
          <w:tcPr>
            <w:tcW w:w="3843" w:type="dxa"/>
            <w:shd w:val="clear" w:color="auto" w:fill="BFBFBF"/>
            <w:noWrap/>
            <w:vAlign w:val="center"/>
            <w:hideMark/>
          </w:tcPr>
          <w:p w14:paraId="6CD083E1" w14:textId="77777777" w:rsidR="007968EC" w:rsidRPr="002C0D19" w:rsidRDefault="007968EC" w:rsidP="007968EC">
            <w:pPr>
              <w:rPr>
                <w:rFonts w:ascii="Arial Narrow" w:eastAsia="Calibri" w:hAnsi="Arial Narrow"/>
                <w:b/>
                <w:color w:val="000000"/>
              </w:rPr>
            </w:pPr>
            <w:r w:rsidRPr="002C0D19">
              <w:rPr>
                <w:rFonts w:ascii="Arial Narrow" w:eastAsia="Calibri" w:hAnsi="Arial Narrow"/>
                <w:color w:val="000000"/>
              </w:rPr>
              <w:t>Precio de referencia del Subyacente</w:t>
            </w:r>
          </w:p>
        </w:tc>
        <w:tc>
          <w:tcPr>
            <w:tcW w:w="5443" w:type="dxa"/>
            <w:shd w:val="clear" w:color="auto" w:fill="auto"/>
            <w:vAlign w:val="center"/>
            <w:hideMark/>
          </w:tcPr>
          <w:p w14:paraId="166050AB" w14:textId="77777777" w:rsidR="007968EC" w:rsidRPr="002C0D19" w:rsidRDefault="007968EC" w:rsidP="007968EC">
            <w:pPr>
              <w:autoSpaceDE w:val="0"/>
              <w:autoSpaceDN w:val="0"/>
              <w:jc w:val="both"/>
              <w:rPr>
                <w:rFonts w:ascii="Arial Narrow" w:eastAsia="Calibri" w:hAnsi="Arial Narrow"/>
                <w:b/>
                <w:color w:val="000000"/>
              </w:rPr>
            </w:pPr>
            <w:r w:rsidRPr="002C0D19">
              <w:rPr>
                <w:rFonts w:ascii="Arial Narrow" w:eastAsia="Calibri" w:hAnsi="Arial Narrow"/>
                <w:color w:val="000000"/>
              </w:rPr>
              <w:t>Precio promedio aritmético diario de la primera versión conocida del precio de la Bolsa de Energía.</w:t>
            </w:r>
          </w:p>
        </w:tc>
      </w:tr>
      <w:tr w:rsidR="007968EC" w:rsidRPr="002C0D19" w14:paraId="3263B258" w14:textId="77777777" w:rsidTr="007968EC">
        <w:trPr>
          <w:trHeight w:val="375"/>
        </w:trPr>
        <w:tc>
          <w:tcPr>
            <w:tcW w:w="3843" w:type="dxa"/>
            <w:shd w:val="clear" w:color="auto" w:fill="BFBFBF"/>
            <w:noWrap/>
            <w:vAlign w:val="center"/>
            <w:hideMark/>
          </w:tcPr>
          <w:p w14:paraId="04E2B854" w14:textId="77777777" w:rsidR="007968EC" w:rsidRPr="002C0D19" w:rsidRDefault="007968EC" w:rsidP="007968EC">
            <w:pPr>
              <w:rPr>
                <w:rFonts w:ascii="Arial Narrow" w:eastAsia="Calibri" w:hAnsi="Arial Narrow"/>
                <w:b/>
                <w:color w:val="000000"/>
              </w:rPr>
            </w:pPr>
            <w:r w:rsidRPr="002C0D19">
              <w:rPr>
                <w:rFonts w:ascii="Arial Narrow" w:eastAsia="Calibri" w:hAnsi="Arial Narrow"/>
                <w:color w:val="000000"/>
              </w:rPr>
              <w:t>Tamaño del Contrato</w:t>
            </w:r>
          </w:p>
        </w:tc>
        <w:tc>
          <w:tcPr>
            <w:tcW w:w="5443" w:type="dxa"/>
            <w:shd w:val="clear" w:color="auto" w:fill="auto"/>
            <w:vAlign w:val="center"/>
            <w:hideMark/>
          </w:tcPr>
          <w:p w14:paraId="08C616C1" w14:textId="77777777" w:rsidR="007968EC" w:rsidRPr="002C0D19" w:rsidRDefault="007968EC" w:rsidP="007968EC">
            <w:pPr>
              <w:autoSpaceDE w:val="0"/>
              <w:autoSpaceDN w:val="0"/>
              <w:jc w:val="both"/>
              <w:rPr>
                <w:rFonts w:ascii="Arial Narrow" w:eastAsia="Calibri" w:hAnsi="Arial Narrow"/>
                <w:b/>
                <w:color w:val="000000"/>
              </w:rPr>
            </w:pPr>
            <w:r w:rsidRPr="002C0D19">
              <w:rPr>
                <w:rFonts w:ascii="Arial Narrow" w:eastAsia="Calibri" w:hAnsi="Arial Narrow"/>
                <w:color w:val="000000"/>
              </w:rPr>
              <w:t>360.000 kWh.</w:t>
            </w:r>
          </w:p>
        </w:tc>
      </w:tr>
      <w:tr w:rsidR="007968EC" w:rsidRPr="002C0D19" w14:paraId="2E450FB8" w14:textId="77777777" w:rsidTr="007968EC">
        <w:trPr>
          <w:trHeight w:val="397"/>
        </w:trPr>
        <w:tc>
          <w:tcPr>
            <w:tcW w:w="3843" w:type="dxa"/>
            <w:shd w:val="clear" w:color="auto" w:fill="BFBFBF"/>
            <w:noWrap/>
            <w:vAlign w:val="center"/>
            <w:hideMark/>
          </w:tcPr>
          <w:p w14:paraId="35BDB7B4" w14:textId="77777777" w:rsidR="007968EC" w:rsidRPr="002C0D19" w:rsidRDefault="007968EC" w:rsidP="007968EC">
            <w:pPr>
              <w:rPr>
                <w:rFonts w:ascii="Arial Narrow" w:eastAsia="Calibri" w:hAnsi="Arial Narrow"/>
                <w:b/>
                <w:color w:val="000000"/>
              </w:rPr>
            </w:pPr>
            <w:r w:rsidRPr="002C0D19">
              <w:rPr>
                <w:rFonts w:ascii="Arial Narrow" w:eastAsia="Calibri" w:hAnsi="Arial Narrow"/>
                <w:color w:val="000000"/>
              </w:rPr>
              <w:t>Método de Liquidación</w:t>
            </w:r>
          </w:p>
        </w:tc>
        <w:tc>
          <w:tcPr>
            <w:tcW w:w="5443" w:type="dxa"/>
            <w:shd w:val="clear" w:color="auto" w:fill="auto"/>
            <w:vAlign w:val="center"/>
            <w:hideMark/>
          </w:tcPr>
          <w:p w14:paraId="4A3D5725" w14:textId="77777777" w:rsidR="007968EC" w:rsidRPr="002C0D19" w:rsidRDefault="007968EC" w:rsidP="007968EC">
            <w:pPr>
              <w:autoSpaceDE w:val="0"/>
              <w:autoSpaceDN w:val="0"/>
              <w:jc w:val="both"/>
              <w:rPr>
                <w:rFonts w:ascii="Arial Narrow" w:eastAsia="Calibri" w:hAnsi="Arial Narrow"/>
                <w:b/>
                <w:color w:val="000000"/>
              </w:rPr>
            </w:pPr>
            <w:r w:rsidRPr="002C0D19">
              <w:rPr>
                <w:rFonts w:ascii="Arial Narrow" w:eastAsia="Calibri" w:hAnsi="Arial Narrow"/>
                <w:color w:val="000000"/>
              </w:rPr>
              <w:t>Liquidación por diferencias.</w:t>
            </w:r>
          </w:p>
        </w:tc>
      </w:tr>
      <w:tr w:rsidR="007968EC" w:rsidRPr="002C0D19" w14:paraId="687F06C6" w14:textId="77777777" w:rsidTr="007968EC">
        <w:trPr>
          <w:trHeight w:val="397"/>
        </w:trPr>
        <w:tc>
          <w:tcPr>
            <w:tcW w:w="3843" w:type="dxa"/>
            <w:shd w:val="clear" w:color="auto" w:fill="BFBFBF"/>
            <w:noWrap/>
            <w:vAlign w:val="center"/>
          </w:tcPr>
          <w:p w14:paraId="2A78C130" w14:textId="77777777" w:rsidR="007968EC" w:rsidRPr="002C0D19" w:rsidRDefault="007968EC" w:rsidP="007968EC">
            <w:pPr>
              <w:rPr>
                <w:rFonts w:ascii="Arial Narrow" w:eastAsia="Calibri" w:hAnsi="Arial Narrow"/>
                <w:b/>
                <w:color w:val="000000"/>
              </w:rPr>
            </w:pPr>
            <w:r w:rsidRPr="002C0D19">
              <w:rPr>
                <w:rFonts w:ascii="Arial Narrow" w:eastAsia="Calibri" w:hAnsi="Arial Narrow"/>
                <w:color w:val="000000"/>
              </w:rPr>
              <w:t>Tipo de Liquidación</w:t>
            </w:r>
          </w:p>
        </w:tc>
        <w:tc>
          <w:tcPr>
            <w:tcW w:w="5443" w:type="dxa"/>
            <w:shd w:val="clear" w:color="auto" w:fill="auto"/>
            <w:vAlign w:val="center"/>
          </w:tcPr>
          <w:p w14:paraId="759822E1" w14:textId="77777777" w:rsidR="007968EC" w:rsidRPr="002C0D19" w:rsidRDefault="007968EC" w:rsidP="007968EC">
            <w:pPr>
              <w:autoSpaceDE w:val="0"/>
              <w:autoSpaceDN w:val="0"/>
              <w:adjustRightInd w:val="0"/>
              <w:ind w:left="-14" w:firstLine="14"/>
              <w:rPr>
                <w:rFonts w:ascii="Arial Narrow" w:eastAsia="Calibri" w:hAnsi="Arial Narrow"/>
                <w:b/>
                <w:color w:val="000000"/>
              </w:rPr>
            </w:pPr>
            <w:r w:rsidRPr="002C0D19">
              <w:rPr>
                <w:rFonts w:ascii="Arial Narrow" w:eastAsia="Calibri" w:hAnsi="Arial Narrow"/>
                <w:color w:val="000000"/>
              </w:rPr>
              <w:t>Liquidación Diaria y al Vencimiento.</w:t>
            </w:r>
          </w:p>
        </w:tc>
      </w:tr>
      <w:tr w:rsidR="007968EC" w:rsidRPr="002C0D19" w14:paraId="2D720307" w14:textId="77777777" w:rsidTr="007968EC">
        <w:trPr>
          <w:trHeight w:val="540"/>
        </w:trPr>
        <w:tc>
          <w:tcPr>
            <w:tcW w:w="3843" w:type="dxa"/>
            <w:shd w:val="clear" w:color="auto" w:fill="BFBFBF"/>
            <w:noWrap/>
            <w:vAlign w:val="center"/>
            <w:hideMark/>
          </w:tcPr>
          <w:p w14:paraId="6C33CFA4" w14:textId="77777777" w:rsidR="007968EC" w:rsidRPr="002C0D19" w:rsidRDefault="007968EC" w:rsidP="007968EC">
            <w:pPr>
              <w:rPr>
                <w:rFonts w:ascii="Arial Narrow" w:eastAsia="Calibri" w:hAnsi="Arial Narrow"/>
                <w:b/>
                <w:color w:val="000000"/>
              </w:rPr>
            </w:pPr>
            <w:r w:rsidRPr="002C0D19">
              <w:rPr>
                <w:rFonts w:ascii="Arial Narrow" w:eastAsia="Calibri" w:hAnsi="Arial Narrow"/>
                <w:color w:val="000000"/>
              </w:rPr>
              <w:t>Precio de liquidación al vencimiento</w:t>
            </w:r>
          </w:p>
        </w:tc>
        <w:tc>
          <w:tcPr>
            <w:tcW w:w="5443" w:type="dxa"/>
            <w:shd w:val="clear" w:color="auto" w:fill="auto"/>
            <w:vAlign w:val="center"/>
            <w:hideMark/>
          </w:tcPr>
          <w:p w14:paraId="1AB1AE22" w14:textId="77777777" w:rsidR="007968EC" w:rsidRPr="002C0D19" w:rsidRDefault="007968EC" w:rsidP="007968EC">
            <w:pPr>
              <w:autoSpaceDE w:val="0"/>
              <w:autoSpaceDN w:val="0"/>
              <w:jc w:val="both"/>
              <w:rPr>
                <w:rFonts w:ascii="Arial Narrow" w:eastAsia="Calibri" w:hAnsi="Arial Narrow"/>
                <w:b/>
                <w:color w:val="000000"/>
              </w:rPr>
            </w:pPr>
            <w:r w:rsidRPr="002C0D19">
              <w:rPr>
                <w:rFonts w:ascii="Arial Narrow" w:eastAsia="Calibri" w:hAnsi="Arial Narrow"/>
                <w:color w:val="000000"/>
              </w:rPr>
              <w:t>Precio promedio aritmético de los precios de referencia del Subyacente de cada uno de los días del mes de expiración.</w:t>
            </w:r>
            <w:r w:rsidRPr="002C0D19" w:rsidDel="00327454">
              <w:rPr>
                <w:rFonts w:ascii="Arial Narrow" w:eastAsia="Calibri" w:hAnsi="Arial Narrow"/>
                <w:color w:val="000000"/>
              </w:rPr>
              <w:t xml:space="preserve"> </w:t>
            </w:r>
          </w:p>
        </w:tc>
      </w:tr>
      <w:tr w:rsidR="007968EC" w:rsidRPr="002C0D19" w14:paraId="7155E7FB" w14:textId="77777777" w:rsidTr="007968EC">
        <w:trPr>
          <w:trHeight w:val="562"/>
        </w:trPr>
        <w:tc>
          <w:tcPr>
            <w:tcW w:w="3843" w:type="dxa"/>
            <w:shd w:val="clear" w:color="auto" w:fill="BFBFBF"/>
            <w:noWrap/>
            <w:vAlign w:val="center"/>
            <w:hideMark/>
          </w:tcPr>
          <w:p w14:paraId="09EAF19F" w14:textId="77777777" w:rsidR="007968EC" w:rsidRPr="002C0D19" w:rsidRDefault="007968EC" w:rsidP="007968EC">
            <w:pPr>
              <w:rPr>
                <w:rFonts w:ascii="Arial Narrow" w:eastAsia="Calibri" w:hAnsi="Arial Narrow"/>
                <w:b/>
                <w:color w:val="000000"/>
              </w:rPr>
            </w:pPr>
            <w:r w:rsidRPr="002C0D19">
              <w:rPr>
                <w:rFonts w:ascii="Arial Narrow" w:eastAsia="Calibri" w:hAnsi="Arial Narrow"/>
                <w:color w:val="000000"/>
              </w:rPr>
              <w:t>Vencimiento</w:t>
            </w:r>
          </w:p>
        </w:tc>
        <w:tc>
          <w:tcPr>
            <w:tcW w:w="5443" w:type="dxa"/>
            <w:shd w:val="clear" w:color="auto" w:fill="auto"/>
            <w:vAlign w:val="center"/>
            <w:hideMark/>
          </w:tcPr>
          <w:p w14:paraId="15441E95" w14:textId="77777777" w:rsidR="007968EC" w:rsidRPr="002C0D19" w:rsidRDefault="007968EC" w:rsidP="007968EC">
            <w:pPr>
              <w:autoSpaceDE w:val="0"/>
              <w:autoSpaceDN w:val="0"/>
              <w:jc w:val="both"/>
              <w:rPr>
                <w:rFonts w:ascii="Arial Narrow" w:eastAsia="Calibri" w:hAnsi="Arial Narrow"/>
                <w:b/>
                <w:color w:val="000000"/>
              </w:rPr>
            </w:pPr>
            <w:r w:rsidRPr="002C0D19">
              <w:rPr>
                <w:rFonts w:ascii="Arial Narrow" w:eastAsia="Calibri" w:hAnsi="Arial Narrow"/>
                <w:color w:val="000000"/>
              </w:rPr>
              <w:t>Los vencimientos serán mensuales. En el Sistema de Cámara estarán disponibles los veinticuatro (24) vencimientos más cercanos.</w:t>
            </w:r>
          </w:p>
        </w:tc>
      </w:tr>
      <w:tr w:rsidR="007968EC" w:rsidRPr="002C0D19" w14:paraId="51E4584A" w14:textId="77777777" w:rsidTr="007968EC">
        <w:trPr>
          <w:trHeight w:val="384"/>
        </w:trPr>
        <w:tc>
          <w:tcPr>
            <w:tcW w:w="3843" w:type="dxa"/>
            <w:shd w:val="clear" w:color="auto" w:fill="BFBFBF"/>
            <w:noWrap/>
            <w:vAlign w:val="center"/>
          </w:tcPr>
          <w:p w14:paraId="07B18EAF" w14:textId="77777777" w:rsidR="007968EC" w:rsidRPr="002C0D19" w:rsidRDefault="007968EC" w:rsidP="007968EC">
            <w:pPr>
              <w:rPr>
                <w:rFonts w:ascii="Arial Narrow" w:eastAsia="Calibri" w:hAnsi="Arial Narrow"/>
                <w:b/>
                <w:color w:val="000000"/>
              </w:rPr>
            </w:pPr>
            <w:r w:rsidRPr="002C0D19">
              <w:rPr>
                <w:rFonts w:ascii="Arial Narrow" w:eastAsia="Calibri" w:hAnsi="Arial Narrow"/>
                <w:color w:val="000000"/>
              </w:rPr>
              <w:t>Último día de negociación</w:t>
            </w:r>
          </w:p>
        </w:tc>
        <w:tc>
          <w:tcPr>
            <w:tcW w:w="5443" w:type="dxa"/>
            <w:shd w:val="clear" w:color="auto" w:fill="auto"/>
            <w:vAlign w:val="center"/>
          </w:tcPr>
          <w:p w14:paraId="41BB84D9" w14:textId="77777777" w:rsidR="007968EC" w:rsidRPr="002C0D19" w:rsidRDefault="007968EC" w:rsidP="007968EC">
            <w:pPr>
              <w:autoSpaceDE w:val="0"/>
              <w:autoSpaceDN w:val="0"/>
              <w:jc w:val="both"/>
              <w:rPr>
                <w:rFonts w:ascii="Arial Narrow" w:eastAsia="Calibri" w:hAnsi="Arial Narrow"/>
                <w:b/>
                <w:color w:val="000000"/>
              </w:rPr>
            </w:pPr>
            <w:r w:rsidRPr="002C0D19">
              <w:rPr>
                <w:rFonts w:ascii="Arial Narrow" w:eastAsia="Calibri" w:hAnsi="Arial Narrow"/>
                <w:color w:val="000000"/>
              </w:rPr>
              <w:t>Último día hábil del mes de expiración.</w:t>
            </w:r>
            <w:r w:rsidRPr="002C0D19" w:rsidDel="00327454">
              <w:rPr>
                <w:rFonts w:ascii="Arial Narrow" w:eastAsia="Calibri" w:hAnsi="Arial Narrow"/>
                <w:color w:val="000000"/>
              </w:rPr>
              <w:t xml:space="preserve"> </w:t>
            </w:r>
          </w:p>
        </w:tc>
      </w:tr>
      <w:tr w:rsidR="007968EC" w:rsidRPr="002C0D19" w14:paraId="7B58B82A" w14:textId="77777777" w:rsidTr="007968EC">
        <w:trPr>
          <w:trHeight w:val="562"/>
        </w:trPr>
        <w:tc>
          <w:tcPr>
            <w:tcW w:w="3843" w:type="dxa"/>
            <w:shd w:val="clear" w:color="auto" w:fill="BFBFBF"/>
            <w:noWrap/>
            <w:vAlign w:val="center"/>
          </w:tcPr>
          <w:p w14:paraId="401BF875" w14:textId="77777777" w:rsidR="007968EC" w:rsidRPr="002C0D19" w:rsidRDefault="007968EC" w:rsidP="007968EC">
            <w:pPr>
              <w:rPr>
                <w:rFonts w:ascii="Arial Narrow" w:eastAsia="Calibri" w:hAnsi="Arial Narrow"/>
                <w:b/>
                <w:color w:val="000000"/>
              </w:rPr>
            </w:pPr>
            <w:r w:rsidRPr="002C0D19">
              <w:rPr>
                <w:rFonts w:ascii="Arial Narrow" w:eastAsia="Calibri" w:hAnsi="Arial Narrow"/>
                <w:color w:val="000000"/>
              </w:rPr>
              <w:t>Día de vencimiento</w:t>
            </w:r>
          </w:p>
        </w:tc>
        <w:tc>
          <w:tcPr>
            <w:tcW w:w="5443" w:type="dxa"/>
            <w:shd w:val="clear" w:color="auto" w:fill="auto"/>
            <w:vAlign w:val="center"/>
          </w:tcPr>
          <w:p w14:paraId="0C1777B9" w14:textId="77777777" w:rsidR="007968EC" w:rsidRPr="002C0D19" w:rsidRDefault="007968EC" w:rsidP="007968EC">
            <w:pPr>
              <w:autoSpaceDE w:val="0"/>
              <w:autoSpaceDN w:val="0"/>
              <w:jc w:val="both"/>
              <w:rPr>
                <w:rFonts w:ascii="Arial Narrow" w:eastAsia="Calibri" w:hAnsi="Arial Narrow"/>
                <w:b/>
                <w:color w:val="000000"/>
              </w:rPr>
            </w:pPr>
            <w:r w:rsidRPr="002C0D19">
              <w:rPr>
                <w:rFonts w:ascii="Arial Narrow" w:eastAsia="Calibri" w:hAnsi="Arial Narrow"/>
                <w:color w:val="000000"/>
              </w:rPr>
              <w:t>Segundo día hábil del mes siguiente al mes de expiración.</w:t>
            </w:r>
          </w:p>
        </w:tc>
      </w:tr>
      <w:tr w:rsidR="007968EC" w:rsidRPr="002C0D19" w14:paraId="40C0E65E" w14:textId="77777777" w:rsidTr="007968EC">
        <w:trPr>
          <w:trHeight w:val="367"/>
        </w:trPr>
        <w:tc>
          <w:tcPr>
            <w:tcW w:w="3843" w:type="dxa"/>
            <w:shd w:val="clear" w:color="auto" w:fill="BFBFBF"/>
            <w:noWrap/>
            <w:vAlign w:val="center"/>
          </w:tcPr>
          <w:p w14:paraId="159E19CC" w14:textId="77777777" w:rsidR="007968EC" w:rsidRPr="002C0D19" w:rsidRDefault="007968EC" w:rsidP="007968EC">
            <w:pPr>
              <w:rPr>
                <w:rFonts w:ascii="Arial Narrow" w:eastAsia="Calibri" w:hAnsi="Arial Narrow"/>
                <w:b/>
                <w:color w:val="000000"/>
              </w:rPr>
            </w:pPr>
            <w:r w:rsidRPr="002C0D19">
              <w:rPr>
                <w:rFonts w:ascii="Arial Narrow" w:eastAsia="Calibri" w:hAnsi="Arial Narrow"/>
                <w:color w:val="000000"/>
              </w:rPr>
              <w:t>Inscripción</w:t>
            </w:r>
          </w:p>
        </w:tc>
        <w:tc>
          <w:tcPr>
            <w:tcW w:w="5443" w:type="dxa"/>
            <w:shd w:val="clear" w:color="auto" w:fill="auto"/>
            <w:vAlign w:val="center"/>
          </w:tcPr>
          <w:p w14:paraId="6D50685F" w14:textId="77777777" w:rsidR="007968EC" w:rsidRPr="002C0D19" w:rsidRDefault="007968EC" w:rsidP="007968EC">
            <w:pPr>
              <w:autoSpaceDE w:val="0"/>
              <w:autoSpaceDN w:val="0"/>
              <w:jc w:val="both"/>
              <w:rPr>
                <w:rFonts w:ascii="Arial Narrow" w:eastAsia="Calibri" w:hAnsi="Arial Narrow"/>
                <w:b/>
                <w:color w:val="000000"/>
              </w:rPr>
            </w:pPr>
            <w:r w:rsidRPr="002C0D19">
              <w:rPr>
                <w:rFonts w:ascii="Arial Narrow" w:eastAsia="Calibri" w:hAnsi="Arial Narrow"/>
                <w:color w:val="000000"/>
              </w:rPr>
              <w:t>Derivex S.A.</w:t>
            </w:r>
          </w:p>
        </w:tc>
      </w:tr>
    </w:tbl>
    <w:p w14:paraId="435286AE" w14:textId="77777777" w:rsidR="007968EC" w:rsidRPr="002C0D19" w:rsidRDefault="007968EC" w:rsidP="007968EC">
      <w:pPr>
        <w:autoSpaceDE w:val="0"/>
        <w:autoSpaceDN w:val="0"/>
        <w:jc w:val="both"/>
        <w:rPr>
          <w:rFonts w:ascii="Arial Narrow" w:eastAsia="Calibri" w:hAnsi="Arial Narrow"/>
          <w:bCs/>
          <w:color w:val="000000"/>
        </w:rPr>
      </w:pPr>
    </w:p>
    <w:p w14:paraId="50059594" w14:textId="77777777" w:rsidR="007968EC" w:rsidRPr="002C0D19" w:rsidRDefault="007968EC" w:rsidP="007968EC">
      <w:pPr>
        <w:autoSpaceDE w:val="0"/>
        <w:autoSpaceDN w:val="0"/>
        <w:jc w:val="both"/>
        <w:rPr>
          <w:rFonts w:ascii="Arial Narrow" w:eastAsia="Calibri" w:hAnsi="Arial Narrow"/>
          <w:bCs/>
          <w:color w:val="000000"/>
          <w:lang w:val="es-MX"/>
        </w:rPr>
      </w:pPr>
      <w:r w:rsidRPr="002C0D19">
        <w:rPr>
          <w:rFonts w:ascii="Arial Narrow" w:eastAsia="Calibri" w:hAnsi="Arial Narrow"/>
          <w:bCs/>
          <w:color w:val="000000"/>
          <w:lang w:val="es-MX"/>
        </w:rPr>
        <w:t>A este instrumento Contrato Futuro sobre Electricidad Mensual le aplican las condiciones previstas en los numerales 2 y 3 del artículo 2.7.2.1. de la Circular Única de la Cámara.</w:t>
      </w:r>
    </w:p>
    <w:p w14:paraId="01483CD7" w14:textId="77777777" w:rsidR="007968EC" w:rsidRPr="002C0D19" w:rsidRDefault="007968EC" w:rsidP="007968EC">
      <w:pPr>
        <w:rPr>
          <w:rFonts w:ascii="Arial Narrow" w:eastAsia="Calibri" w:hAnsi="Arial Narrow"/>
          <w:b/>
          <w:color w:val="000000" w:themeColor="text1"/>
          <w:lang w:val="es-MX"/>
        </w:rPr>
      </w:pPr>
    </w:p>
    <w:p w14:paraId="4B52B110" w14:textId="77777777" w:rsidR="007968EC" w:rsidRPr="002F6334" w:rsidRDefault="007968EC" w:rsidP="007968EC">
      <w:pPr>
        <w:pStyle w:val="ARTICULO0"/>
      </w:pPr>
      <w:bookmarkStart w:id="5220" w:name="_Toc470781163"/>
      <w:bookmarkStart w:id="5221" w:name="_Toc470784724"/>
      <w:bookmarkStart w:id="5222" w:name="_Toc470785261"/>
      <w:bookmarkStart w:id="5223" w:name="_Toc470791655"/>
      <w:bookmarkStart w:id="5224" w:name="_Toc472592398"/>
      <w:bookmarkStart w:id="5225" w:name="_Toc472593417"/>
      <w:bookmarkStart w:id="5226" w:name="_Toc31716229"/>
      <w:bookmarkStart w:id="5227" w:name="_Toc479057208"/>
      <w:bookmarkStart w:id="5228" w:name="_Toc490066566"/>
      <w:r>
        <w:t>Artículo 2.7.2.13</w:t>
      </w:r>
      <w:r w:rsidRPr="002F6334">
        <w:t>. Contrato Mini de Futuro sobre Electricidad Mensual.</w:t>
      </w:r>
      <w:bookmarkEnd w:id="5220"/>
      <w:bookmarkEnd w:id="5221"/>
      <w:bookmarkEnd w:id="5222"/>
      <w:bookmarkEnd w:id="5223"/>
      <w:bookmarkEnd w:id="5224"/>
      <w:bookmarkEnd w:id="5225"/>
      <w:bookmarkEnd w:id="5226"/>
      <w:r w:rsidRPr="002F6334">
        <w:t xml:space="preserve">  </w:t>
      </w:r>
    </w:p>
    <w:p w14:paraId="3E5F8C0E" w14:textId="77777777" w:rsidR="007968EC" w:rsidRDefault="007968EC" w:rsidP="007968EC">
      <w:pPr>
        <w:keepNext/>
        <w:tabs>
          <w:tab w:val="left" w:pos="1701"/>
        </w:tabs>
        <w:jc w:val="both"/>
        <w:outlineLvl w:val="2"/>
        <w:rPr>
          <w:rFonts w:ascii="Arial Narrow" w:hAnsi="Arial Narrow" w:cs="Arial"/>
          <w:b/>
          <w:color w:val="000000" w:themeColor="text1"/>
          <w:u w:val="single"/>
          <w:lang w:eastAsia="es-ES"/>
        </w:rPr>
      </w:pPr>
    </w:p>
    <w:p w14:paraId="728CC0D6" w14:textId="77777777" w:rsidR="007968EC" w:rsidRPr="002C0D19" w:rsidRDefault="007968EC" w:rsidP="007968EC">
      <w:pPr>
        <w:pStyle w:val="ANTECEDENTES"/>
        <w:rPr>
          <w:u w:val="single"/>
        </w:rPr>
      </w:pPr>
      <w:r w:rsidRPr="002C0D19">
        <w:t>(Este artículo fue renumerado mediante Circular 6 del 14 de febrero de 2017, publicada mediante Boletín Normativo No.</w:t>
      </w:r>
      <w:r>
        <w:t xml:space="preserve"> 006 del 14 de febrero de 2017,</w:t>
      </w:r>
      <w:r w:rsidRPr="002C0D19">
        <w:t xml:space="preserve"> modificado mediante Circular 13 del 14 de julio de 2017, publicada en el Boletín Normativo No. 013 del 14 de julio de 2017</w:t>
      </w:r>
      <w:r>
        <w:t xml:space="preserve"> y renumerado </w:t>
      </w:r>
      <w:r w:rsidRPr="009C4B41">
        <w:rPr>
          <w:lang w:val="es-ES"/>
        </w:rPr>
        <w:t>mediante Circular 002 del 20 de febrero de 2018, publicada en el Boletín Normativo No. 003 del 20 de febrero de 2018. Rige a partir del 21 de febrero de 2018</w:t>
      </w:r>
      <w:r w:rsidRPr="002C0D19">
        <w:t>.)</w:t>
      </w:r>
      <w:bookmarkEnd w:id="5227"/>
      <w:bookmarkEnd w:id="5228"/>
    </w:p>
    <w:p w14:paraId="1CCEC416" w14:textId="77777777" w:rsidR="007968EC" w:rsidRPr="002C0D19" w:rsidRDefault="007968EC" w:rsidP="007968EC">
      <w:pPr>
        <w:jc w:val="both"/>
        <w:rPr>
          <w:rFonts w:ascii="Arial Narrow" w:eastAsia="Calibri" w:hAnsi="Arial Narrow"/>
          <w:b/>
          <w:color w:val="000000" w:themeColor="text1"/>
        </w:rPr>
      </w:pPr>
    </w:p>
    <w:p w14:paraId="43453AA9" w14:textId="77777777" w:rsidR="007968EC" w:rsidRPr="002C0D19" w:rsidRDefault="007968EC" w:rsidP="00DA7472">
      <w:pPr>
        <w:numPr>
          <w:ilvl w:val="0"/>
          <w:numId w:val="73"/>
        </w:numPr>
        <w:ind w:hanging="642"/>
        <w:rPr>
          <w:rFonts w:ascii="Arial Narrow" w:eastAsia="Calibri" w:hAnsi="Arial Narrow"/>
          <w:b/>
          <w:color w:val="000000"/>
        </w:rPr>
      </w:pPr>
      <w:r w:rsidRPr="002C0D19">
        <w:rPr>
          <w:rFonts w:ascii="Arial Narrow" w:eastAsia="Calibri" w:hAnsi="Arial Narrow"/>
          <w:color w:val="000000"/>
        </w:rPr>
        <w:t>Generalidades:</w:t>
      </w:r>
    </w:p>
    <w:p w14:paraId="51E847D9" w14:textId="77777777" w:rsidR="007968EC" w:rsidRPr="002C0D19" w:rsidRDefault="007968EC" w:rsidP="007968EC">
      <w:pPr>
        <w:ind w:left="360"/>
        <w:rPr>
          <w:rFonts w:ascii="Arial Narrow" w:eastAsia="Calibri" w:hAnsi="Arial Narrow"/>
          <w:b/>
          <w:color w:val="000000"/>
        </w:rPr>
      </w:pPr>
    </w:p>
    <w:tbl>
      <w:tblPr>
        <w:tblW w:w="928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3843"/>
        <w:gridCol w:w="5443"/>
      </w:tblGrid>
      <w:tr w:rsidR="007968EC" w:rsidRPr="002C0D19" w14:paraId="4AD95F17" w14:textId="77777777" w:rsidTr="007968EC">
        <w:trPr>
          <w:trHeight w:val="363"/>
          <w:jc w:val="center"/>
        </w:trPr>
        <w:tc>
          <w:tcPr>
            <w:tcW w:w="3843" w:type="dxa"/>
            <w:shd w:val="clear" w:color="auto" w:fill="BFBFBF"/>
            <w:noWrap/>
            <w:vAlign w:val="center"/>
            <w:hideMark/>
          </w:tcPr>
          <w:p w14:paraId="57194398" w14:textId="77777777" w:rsidR="007968EC" w:rsidRPr="002C0D19" w:rsidRDefault="007968EC" w:rsidP="007968EC">
            <w:pPr>
              <w:rPr>
                <w:rFonts w:ascii="Arial Narrow" w:eastAsia="Calibri" w:hAnsi="Arial Narrow"/>
                <w:b/>
                <w:color w:val="000000"/>
              </w:rPr>
            </w:pPr>
            <w:r w:rsidRPr="002C0D19">
              <w:rPr>
                <w:rFonts w:ascii="Arial Narrow" w:eastAsia="Calibri" w:hAnsi="Arial Narrow"/>
                <w:color w:val="000000"/>
              </w:rPr>
              <w:t>Instrumento</w:t>
            </w:r>
          </w:p>
        </w:tc>
        <w:tc>
          <w:tcPr>
            <w:tcW w:w="5443" w:type="dxa"/>
            <w:shd w:val="clear" w:color="auto" w:fill="auto"/>
            <w:noWrap/>
            <w:vAlign w:val="center"/>
            <w:hideMark/>
          </w:tcPr>
          <w:p w14:paraId="7F431068" w14:textId="77777777" w:rsidR="007968EC" w:rsidRPr="002C0D19" w:rsidRDefault="007968EC" w:rsidP="007968EC">
            <w:pPr>
              <w:autoSpaceDE w:val="0"/>
              <w:autoSpaceDN w:val="0"/>
              <w:jc w:val="both"/>
              <w:rPr>
                <w:rFonts w:ascii="Arial Narrow" w:eastAsia="Calibri" w:hAnsi="Arial Narrow"/>
                <w:b/>
                <w:color w:val="000000"/>
              </w:rPr>
            </w:pPr>
            <w:r w:rsidRPr="002C0D19">
              <w:rPr>
                <w:rFonts w:ascii="Arial Narrow" w:eastAsia="Calibri" w:hAnsi="Arial Narrow"/>
                <w:color w:val="000000"/>
              </w:rPr>
              <w:t>Contrato Mini de Futuro sobre Electricidad Mensual</w:t>
            </w:r>
          </w:p>
        </w:tc>
      </w:tr>
      <w:tr w:rsidR="007968EC" w:rsidRPr="002C0D19" w14:paraId="41A6B0C2" w14:textId="77777777" w:rsidTr="007968EC">
        <w:trPr>
          <w:trHeight w:val="823"/>
          <w:jc w:val="center"/>
        </w:trPr>
        <w:tc>
          <w:tcPr>
            <w:tcW w:w="3843" w:type="dxa"/>
            <w:shd w:val="clear" w:color="auto" w:fill="BFBFBF"/>
            <w:noWrap/>
            <w:vAlign w:val="center"/>
            <w:hideMark/>
          </w:tcPr>
          <w:p w14:paraId="1021D232" w14:textId="77777777" w:rsidR="007968EC" w:rsidRPr="002C0D19" w:rsidRDefault="007968EC" w:rsidP="007968EC">
            <w:pPr>
              <w:rPr>
                <w:rFonts w:ascii="Arial Narrow" w:eastAsia="Calibri" w:hAnsi="Arial Narrow"/>
                <w:b/>
                <w:color w:val="000000"/>
              </w:rPr>
            </w:pPr>
            <w:r w:rsidRPr="002C0D19">
              <w:rPr>
                <w:rFonts w:ascii="Arial Narrow" w:eastAsia="Calibri" w:hAnsi="Arial Narrow"/>
                <w:color w:val="000000"/>
              </w:rPr>
              <w:t>Activo Subyacente</w:t>
            </w:r>
          </w:p>
        </w:tc>
        <w:tc>
          <w:tcPr>
            <w:tcW w:w="5443" w:type="dxa"/>
            <w:shd w:val="clear" w:color="auto" w:fill="auto"/>
            <w:vAlign w:val="center"/>
            <w:hideMark/>
          </w:tcPr>
          <w:p w14:paraId="7C897DA9" w14:textId="77777777" w:rsidR="007968EC" w:rsidRPr="002C0D19" w:rsidRDefault="007968EC" w:rsidP="007968EC">
            <w:pPr>
              <w:autoSpaceDE w:val="0"/>
              <w:autoSpaceDN w:val="0"/>
              <w:jc w:val="both"/>
              <w:rPr>
                <w:rFonts w:ascii="Arial Narrow" w:eastAsia="Calibri" w:hAnsi="Arial Narrow"/>
                <w:b/>
                <w:color w:val="000000"/>
              </w:rPr>
            </w:pPr>
            <w:r w:rsidRPr="002C0D19">
              <w:rPr>
                <w:rFonts w:ascii="Arial Narrow" w:eastAsia="Calibri" w:hAnsi="Arial Narrow"/>
                <w:color w:val="000000"/>
              </w:rPr>
              <w:t>Precio de la electricidad negociada en la Bolsa de Energía, las 24 horas de todos los días del mes de expiración.</w:t>
            </w:r>
          </w:p>
        </w:tc>
      </w:tr>
      <w:tr w:rsidR="007968EC" w:rsidRPr="002C0D19" w14:paraId="650E5C71" w14:textId="77777777" w:rsidTr="007968EC">
        <w:trPr>
          <w:trHeight w:val="220"/>
          <w:jc w:val="center"/>
        </w:trPr>
        <w:tc>
          <w:tcPr>
            <w:tcW w:w="3843" w:type="dxa"/>
            <w:shd w:val="clear" w:color="auto" w:fill="BFBFBF"/>
            <w:noWrap/>
            <w:vAlign w:val="center"/>
            <w:hideMark/>
          </w:tcPr>
          <w:p w14:paraId="32D7DFC3" w14:textId="77777777" w:rsidR="007968EC" w:rsidRPr="002C0D19" w:rsidRDefault="007968EC" w:rsidP="007968EC">
            <w:pPr>
              <w:rPr>
                <w:rFonts w:ascii="Arial Narrow" w:eastAsia="Calibri" w:hAnsi="Arial Narrow"/>
                <w:b/>
                <w:color w:val="000000"/>
              </w:rPr>
            </w:pPr>
            <w:r w:rsidRPr="002C0D19">
              <w:rPr>
                <w:rFonts w:ascii="Arial Narrow" w:eastAsia="Calibri" w:hAnsi="Arial Narrow"/>
                <w:color w:val="000000"/>
              </w:rPr>
              <w:t>Precio de referencia del Subyacente</w:t>
            </w:r>
          </w:p>
        </w:tc>
        <w:tc>
          <w:tcPr>
            <w:tcW w:w="5443" w:type="dxa"/>
            <w:shd w:val="clear" w:color="auto" w:fill="auto"/>
            <w:vAlign w:val="center"/>
            <w:hideMark/>
          </w:tcPr>
          <w:p w14:paraId="1EB01B27" w14:textId="77777777" w:rsidR="007968EC" w:rsidRPr="002C0D19" w:rsidRDefault="007968EC" w:rsidP="007968EC">
            <w:pPr>
              <w:autoSpaceDE w:val="0"/>
              <w:autoSpaceDN w:val="0"/>
              <w:jc w:val="both"/>
              <w:rPr>
                <w:rFonts w:ascii="Arial Narrow" w:eastAsia="Calibri" w:hAnsi="Arial Narrow"/>
                <w:b/>
                <w:color w:val="000000"/>
              </w:rPr>
            </w:pPr>
            <w:r w:rsidRPr="002C0D19">
              <w:rPr>
                <w:rFonts w:ascii="Arial Narrow" w:eastAsia="Calibri" w:hAnsi="Arial Narrow"/>
                <w:color w:val="000000"/>
              </w:rPr>
              <w:t>Precio promedio aritmético diario de la primera versión conocida del precio de la Bolsa de Energía.</w:t>
            </w:r>
          </w:p>
        </w:tc>
      </w:tr>
      <w:tr w:rsidR="007968EC" w:rsidRPr="002C0D19" w14:paraId="476C6DC4" w14:textId="77777777" w:rsidTr="007968EC">
        <w:trPr>
          <w:trHeight w:val="375"/>
          <w:jc w:val="center"/>
        </w:trPr>
        <w:tc>
          <w:tcPr>
            <w:tcW w:w="3843" w:type="dxa"/>
            <w:shd w:val="clear" w:color="auto" w:fill="BFBFBF"/>
            <w:noWrap/>
            <w:vAlign w:val="center"/>
            <w:hideMark/>
          </w:tcPr>
          <w:p w14:paraId="72FD3A82" w14:textId="77777777" w:rsidR="007968EC" w:rsidRPr="002C0D19" w:rsidRDefault="007968EC" w:rsidP="007968EC">
            <w:pPr>
              <w:rPr>
                <w:rFonts w:ascii="Arial Narrow" w:eastAsia="Calibri" w:hAnsi="Arial Narrow"/>
                <w:b/>
                <w:color w:val="000000"/>
              </w:rPr>
            </w:pPr>
            <w:r w:rsidRPr="002C0D19">
              <w:rPr>
                <w:rFonts w:ascii="Arial Narrow" w:eastAsia="Calibri" w:hAnsi="Arial Narrow"/>
                <w:color w:val="000000"/>
              </w:rPr>
              <w:t>Tamaño del Contrato</w:t>
            </w:r>
          </w:p>
        </w:tc>
        <w:tc>
          <w:tcPr>
            <w:tcW w:w="5443" w:type="dxa"/>
            <w:shd w:val="clear" w:color="auto" w:fill="auto"/>
            <w:vAlign w:val="center"/>
            <w:hideMark/>
          </w:tcPr>
          <w:p w14:paraId="77BA76CC" w14:textId="77777777" w:rsidR="007968EC" w:rsidRPr="002C0D19" w:rsidRDefault="007968EC" w:rsidP="007968EC">
            <w:pPr>
              <w:autoSpaceDE w:val="0"/>
              <w:autoSpaceDN w:val="0"/>
              <w:jc w:val="both"/>
              <w:rPr>
                <w:rFonts w:ascii="Arial Narrow" w:eastAsia="Calibri" w:hAnsi="Arial Narrow"/>
                <w:b/>
                <w:color w:val="000000"/>
              </w:rPr>
            </w:pPr>
            <w:r w:rsidRPr="002C0D19">
              <w:rPr>
                <w:rFonts w:ascii="Arial Narrow" w:eastAsia="Calibri" w:hAnsi="Arial Narrow"/>
                <w:color w:val="000000"/>
              </w:rPr>
              <w:t>10.000 kWh.</w:t>
            </w:r>
          </w:p>
        </w:tc>
      </w:tr>
      <w:tr w:rsidR="007968EC" w:rsidRPr="002C0D19" w14:paraId="431DB029" w14:textId="77777777" w:rsidTr="007968EC">
        <w:trPr>
          <w:trHeight w:val="397"/>
          <w:jc w:val="center"/>
        </w:trPr>
        <w:tc>
          <w:tcPr>
            <w:tcW w:w="3843" w:type="dxa"/>
            <w:shd w:val="clear" w:color="auto" w:fill="BFBFBF"/>
            <w:noWrap/>
            <w:vAlign w:val="center"/>
            <w:hideMark/>
          </w:tcPr>
          <w:p w14:paraId="25BBC335" w14:textId="77777777" w:rsidR="007968EC" w:rsidRPr="002C0D19" w:rsidRDefault="007968EC" w:rsidP="007968EC">
            <w:pPr>
              <w:rPr>
                <w:rFonts w:ascii="Arial Narrow" w:eastAsia="Calibri" w:hAnsi="Arial Narrow"/>
                <w:b/>
                <w:color w:val="000000"/>
              </w:rPr>
            </w:pPr>
            <w:r w:rsidRPr="002C0D19">
              <w:rPr>
                <w:rFonts w:ascii="Arial Narrow" w:eastAsia="Calibri" w:hAnsi="Arial Narrow"/>
                <w:color w:val="000000"/>
              </w:rPr>
              <w:lastRenderedPageBreak/>
              <w:t>Método de Liquidación</w:t>
            </w:r>
          </w:p>
        </w:tc>
        <w:tc>
          <w:tcPr>
            <w:tcW w:w="5443" w:type="dxa"/>
            <w:shd w:val="clear" w:color="auto" w:fill="auto"/>
            <w:vAlign w:val="center"/>
            <w:hideMark/>
          </w:tcPr>
          <w:p w14:paraId="2F3C9B47" w14:textId="77777777" w:rsidR="007968EC" w:rsidRPr="002C0D19" w:rsidRDefault="007968EC" w:rsidP="007968EC">
            <w:pPr>
              <w:autoSpaceDE w:val="0"/>
              <w:autoSpaceDN w:val="0"/>
              <w:jc w:val="both"/>
              <w:rPr>
                <w:rFonts w:ascii="Arial Narrow" w:eastAsia="Calibri" w:hAnsi="Arial Narrow"/>
                <w:b/>
                <w:color w:val="000000"/>
              </w:rPr>
            </w:pPr>
            <w:r w:rsidRPr="002C0D19">
              <w:rPr>
                <w:rFonts w:ascii="Arial Narrow" w:eastAsia="Calibri" w:hAnsi="Arial Narrow"/>
                <w:color w:val="000000"/>
              </w:rPr>
              <w:t>Liquidación por diferencias.</w:t>
            </w:r>
          </w:p>
        </w:tc>
      </w:tr>
      <w:tr w:rsidR="007968EC" w:rsidRPr="002C0D19" w14:paraId="49DFBDB6" w14:textId="77777777" w:rsidTr="007968EC">
        <w:trPr>
          <w:trHeight w:val="397"/>
          <w:jc w:val="center"/>
        </w:trPr>
        <w:tc>
          <w:tcPr>
            <w:tcW w:w="3843" w:type="dxa"/>
            <w:shd w:val="clear" w:color="auto" w:fill="BFBFBF"/>
            <w:noWrap/>
            <w:vAlign w:val="center"/>
          </w:tcPr>
          <w:p w14:paraId="64FBE5AA" w14:textId="77777777" w:rsidR="007968EC" w:rsidRPr="002C0D19" w:rsidRDefault="007968EC" w:rsidP="007968EC">
            <w:pPr>
              <w:rPr>
                <w:rFonts w:ascii="Arial Narrow" w:eastAsia="Calibri" w:hAnsi="Arial Narrow"/>
                <w:b/>
                <w:color w:val="000000"/>
              </w:rPr>
            </w:pPr>
            <w:r w:rsidRPr="002C0D19">
              <w:rPr>
                <w:rFonts w:ascii="Arial Narrow" w:eastAsia="Calibri" w:hAnsi="Arial Narrow"/>
                <w:color w:val="000000"/>
              </w:rPr>
              <w:t>Tipo de Liquidación</w:t>
            </w:r>
          </w:p>
        </w:tc>
        <w:tc>
          <w:tcPr>
            <w:tcW w:w="5443" w:type="dxa"/>
            <w:shd w:val="clear" w:color="auto" w:fill="auto"/>
            <w:vAlign w:val="center"/>
          </w:tcPr>
          <w:p w14:paraId="2EA6A39E" w14:textId="77777777" w:rsidR="007968EC" w:rsidRPr="002C0D19" w:rsidRDefault="007968EC" w:rsidP="007968EC">
            <w:pPr>
              <w:autoSpaceDE w:val="0"/>
              <w:autoSpaceDN w:val="0"/>
              <w:adjustRightInd w:val="0"/>
              <w:rPr>
                <w:rFonts w:ascii="Arial Narrow" w:eastAsia="Calibri" w:hAnsi="Arial Narrow"/>
                <w:b/>
                <w:color w:val="000000"/>
              </w:rPr>
            </w:pPr>
            <w:r w:rsidRPr="002C0D19">
              <w:rPr>
                <w:rFonts w:ascii="Arial Narrow" w:eastAsia="Calibri" w:hAnsi="Arial Narrow"/>
                <w:color w:val="000000"/>
              </w:rPr>
              <w:t>Liquidación Diaria y al Vencimiento.</w:t>
            </w:r>
          </w:p>
        </w:tc>
      </w:tr>
      <w:tr w:rsidR="007968EC" w:rsidRPr="002C0D19" w14:paraId="255C6960" w14:textId="77777777" w:rsidTr="007968EC">
        <w:trPr>
          <w:trHeight w:val="540"/>
          <w:jc w:val="center"/>
        </w:trPr>
        <w:tc>
          <w:tcPr>
            <w:tcW w:w="3843" w:type="dxa"/>
            <w:shd w:val="clear" w:color="auto" w:fill="BFBFBF"/>
            <w:noWrap/>
            <w:vAlign w:val="center"/>
            <w:hideMark/>
          </w:tcPr>
          <w:p w14:paraId="277DDCBD" w14:textId="77777777" w:rsidR="007968EC" w:rsidRPr="002C0D19" w:rsidRDefault="007968EC" w:rsidP="007968EC">
            <w:pPr>
              <w:rPr>
                <w:rFonts w:ascii="Arial Narrow" w:eastAsia="Calibri" w:hAnsi="Arial Narrow"/>
                <w:b/>
                <w:color w:val="000000"/>
              </w:rPr>
            </w:pPr>
            <w:r w:rsidRPr="002C0D19">
              <w:rPr>
                <w:rFonts w:ascii="Arial Narrow" w:eastAsia="Calibri" w:hAnsi="Arial Narrow"/>
                <w:color w:val="000000"/>
              </w:rPr>
              <w:t>Precio de liquidación al vencimiento</w:t>
            </w:r>
          </w:p>
        </w:tc>
        <w:tc>
          <w:tcPr>
            <w:tcW w:w="5443" w:type="dxa"/>
            <w:shd w:val="clear" w:color="auto" w:fill="auto"/>
            <w:vAlign w:val="center"/>
            <w:hideMark/>
          </w:tcPr>
          <w:p w14:paraId="228A0E89" w14:textId="77777777" w:rsidR="007968EC" w:rsidRPr="002C0D19" w:rsidRDefault="007968EC" w:rsidP="007968EC">
            <w:pPr>
              <w:autoSpaceDE w:val="0"/>
              <w:autoSpaceDN w:val="0"/>
              <w:jc w:val="both"/>
              <w:rPr>
                <w:rFonts w:ascii="Arial Narrow" w:eastAsia="Calibri" w:hAnsi="Arial Narrow"/>
                <w:b/>
                <w:color w:val="000000"/>
              </w:rPr>
            </w:pPr>
            <w:r w:rsidRPr="002C0D19">
              <w:rPr>
                <w:rFonts w:ascii="Arial Narrow" w:eastAsia="Calibri" w:hAnsi="Arial Narrow"/>
                <w:color w:val="000000"/>
              </w:rPr>
              <w:t>Precio promedio aritmético de los precios de referencia del Subyacente de cada uno de los días del mes de expiración.</w:t>
            </w:r>
            <w:r w:rsidRPr="002C0D19" w:rsidDel="00327454">
              <w:rPr>
                <w:rFonts w:ascii="Arial Narrow" w:eastAsia="Calibri" w:hAnsi="Arial Narrow"/>
                <w:color w:val="000000"/>
              </w:rPr>
              <w:t xml:space="preserve"> </w:t>
            </w:r>
          </w:p>
        </w:tc>
      </w:tr>
      <w:tr w:rsidR="007968EC" w:rsidRPr="002C0D19" w14:paraId="415DEB1F" w14:textId="77777777" w:rsidTr="007968EC">
        <w:trPr>
          <w:trHeight w:val="562"/>
          <w:jc w:val="center"/>
        </w:trPr>
        <w:tc>
          <w:tcPr>
            <w:tcW w:w="3843" w:type="dxa"/>
            <w:shd w:val="clear" w:color="auto" w:fill="BFBFBF"/>
            <w:noWrap/>
            <w:vAlign w:val="center"/>
            <w:hideMark/>
          </w:tcPr>
          <w:p w14:paraId="654345EA" w14:textId="77777777" w:rsidR="007968EC" w:rsidRPr="002C0D19" w:rsidRDefault="007968EC" w:rsidP="007968EC">
            <w:pPr>
              <w:rPr>
                <w:rFonts w:ascii="Arial Narrow" w:eastAsia="Calibri" w:hAnsi="Arial Narrow"/>
                <w:b/>
                <w:color w:val="000000"/>
              </w:rPr>
            </w:pPr>
            <w:r w:rsidRPr="002C0D19">
              <w:rPr>
                <w:rFonts w:ascii="Arial Narrow" w:eastAsia="Calibri" w:hAnsi="Arial Narrow"/>
                <w:color w:val="000000"/>
              </w:rPr>
              <w:t>Vencimiento</w:t>
            </w:r>
          </w:p>
        </w:tc>
        <w:tc>
          <w:tcPr>
            <w:tcW w:w="5443" w:type="dxa"/>
            <w:shd w:val="clear" w:color="auto" w:fill="auto"/>
            <w:vAlign w:val="center"/>
            <w:hideMark/>
          </w:tcPr>
          <w:p w14:paraId="60DE0B21" w14:textId="77777777" w:rsidR="007968EC" w:rsidRPr="002C0D19" w:rsidRDefault="007968EC" w:rsidP="007968EC">
            <w:pPr>
              <w:autoSpaceDE w:val="0"/>
              <w:autoSpaceDN w:val="0"/>
              <w:jc w:val="both"/>
              <w:rPr>
                <w:rFonts w:ascii="Arial Narrow" w:eastAsia="Calibri" w:hAnsi="Arial Narrow"/>
                <w:b/>
                <w:color w:val="000000"/>
              </w:rPr>
            </w:pPr>
            <w:r w:rsidRPr="002C0D19">
              <w:rPr>
                <w:rFonts w:ascii="Arial Narrow" w:eastAsia="Calibri" w:hAnsi="Arial Narrow"/>
                <w:color w:val="000000"/>
              </w:rPr>
              <w:t>Los vencimientos serán mensuales. En el Sistema de Cámara estarán disponibles los veinticuatro (24) vencimientos más cercanos.</w:t>
            </w:r>
          </w:p>
        </w:tc>
      </w:tr>
      <w:tr w:rsidR="007968EC" w:rsidRPr="002C0D19" w14:paraId="0DAED923" w14:textId="77777777" w:rsidTr="007968EC">
        <w:trPr>
          <w:trHeight w:val="384"/>
          <w:jc w:val="center"/>
        </w:trPr>
        <w:tc>
          <w:tcPr>
            <w:tcW w:w="3843" w:type="dxa"/>
            <w:shd w:val="clear" w:color="auto" w:fill="BFBFBF"/>
            <w:noWrap/>
            <w:vAlign w:val="center"/>
          </w:tcPr>
          <w:p w14:paraId="4B11E0F3" w14:textId="77777777" w:rsidR="007968EC" w:rsidRPr="002C0D19" w:rsidRDefault="007968EC" w:rsidP="007968EC">
            <w:pPr>
              <w:rPr>
                <w:rFonts w:ascii="Arial Narrow" w:eastAsia="Calibri" w:hAnsi="Arial Narrow"/>
                <w:b/>
                <w:color w:val="000000"/>
              </w:rPr>
            </w:pPr>
            <w:r w:rsidRPr="002C0D19">
              <w:rPr>
                <w:rFonts w:ascii="Arial Narrow" w:eastAsia="Calibri" w:hAnsi="Arial Narrow"/>
                <w:color w:val="000000"/>
              </w:rPr>
              <w:t>Último día de negociación</w:t>
            </w:r>
          </w:p>
        </w:tc>
        <w:tc>
          <w:tcPr>
            <w:tcW w:w="5443" w:type="dxa"/>
            <w:shd w:val="clear" w:color="auto" w:fill="auto"/>
            <w:vAlign w:val="center"/>
          </w:tcPr>
          <w:p w14:paraId="07EF9835" w14:textId="77777777" w:rsidR="007968EC" w:rsidRPr="002C0D19" w:rsidRDefault="007968EC" w:rsidP="007968EC">
            <w:pPr>
              <w:autoSpaceDE w:val="0"/>
              <w:autoSpaceDN w:val="0"/>
              <w:jc w:val="both"/>
              <w:rPr>
                <w:rFonts w:ascii="Arial Narrow" w:eastAsia="Calibri" w:hAnsi="Arial Narrow"/>
                <w:b/>
                <w:color w:val="000000"/>
              </w:rPr>
            </w:pPr>
            <w:r w:rsidRPr="002C0D19">
              <w:rPr>
                <w:rFonts w:ascii="Arial Narrow" w:eastAsia="Calibri" w:hAnsi="Arial Narrow"/>
                <w:color w:val="000000"/>
              </w:rPr>
              <w:t>Último día hábil del mes de expiración.</w:t>
            </w:r>
            <w:r w:rsidRPr="002C0D19" w:rsidDel="00327454">
              <w:rPr>
                <w:rFonts w:ascii="Arial Narrow" w:eastAsia="Calibri" w:hAnsi="Arial Narrow"/>
                <w:color w:val="000000"/>
              </w:rPr>
              <w:t xml:space="preserve"> </w:t>
            </w:r>
          </w:p>
        </w:tc>
      </w:tr>
      <w:tr w:rsidR="007968EC" w:rsidRPr="002C0D19" w14:paraId="4ADB9985" w14:textId="77777777" w:rsidTr="007968EC">
        <w:trPr>
          <w:trHeight w:val="562"/>
          <w:jc w:val="center"/>
        </w:trPr>
        <w:tc>
          <w:tcPr>
            <w:tcW w:w="3843" w:type="dxa"/>
            <w:shd w:val="clear" w:color="auto" w:fill="BFBFBF"/>
            <w:noWrap/>
            <w:vAlign w:val="center"/>
          </w:tcPr>
          <w:p w14:paraId="07CCC9D1" w14:textId="77777777" w:rsidR="007968EC" w:rsidRPr="002C0D19" w:rsidRDefault="007968EC" w:rsidP="007968EC">
            <w:pPr>
              <w:rPr>
                <w:rFonts w:ascii="Arial Narrow" w:eastAsia="Calibri" w:hAnsi="Arial Narrow"/>
                <w:b/>
                <w:color w:val="000000"/>
              </w:rPr>
            </w:pPr>
            <w:r w:rsidRPr="002C0D19">
              <w:rPr>
                <w:rFonts w:ascii="Arial Narrow" w:eastAsia="Calibri" w:hAnsi="Arial Narrow"/>
                <w:color w:val="000000"/>
              </w:rPr>
              <w:t>Día de vencimiento</w:t>
            </w:r>
          </w:p>
        </w:tc>
        <w:tc>
          <w:tcPr>
            <w:tcW w:w="5443" w:type="dxa"/>
            <w:shd w:val="clear" w:color="auto" w:fill="auto"/>
            <w:vAlign w:val="center"/>
          </w:tcPr>
          <w:p w14:paraId="56670FF2" w14:textId="77777777" w:rsidR="007968EC" w:rsidRPr="002C0D19" w:rsidRDefault="007968EC" w:rsidP="007968EC">
            <w:pPr>
              <w:autoSpaceDE w:val="0"/>
              <w:autoSpaceDN w:val="0"/>
              <w:jc w:val="both"/>
              <w:rPr>
                <w:rFonts w:ascii="Arial Narrow" w:eastAsia="Calibri" w:hAnsi="Arial Narrow"/>
                <w:b/>
                <w:color w:val="000000"/>
              </w:rPr>
            </w:pPr>
            <w:r w:rsidRPr="002C0D19">
              <w:rPr>
                <w:rFonts w:ascii="Arial Narrow" w:eastAsia="Calibri" w:hAnsi="Arial Narrow"/>
                <w:color w:val="000000"/>
              </w:rPr>
              <w:t>Segundo día hábil del mes siguiente al mes de expiración.</w:t>
            </w:r>
          </w:p>
        </w:tc>
      </w:tr>
      <w:tr w:rsidR="007968EC" w:rsidRPr="002C0D19" w14:paraId="32817F18" w14:textId="77777777" w:rsidTr="007968EC">
        <w:trPr>
          <w:trHeight w:val="367"/>
          <w:jc w:val="center"/>
        </w:trPr>
        <w:tc>
          <w:tcPr>
            <w:tcW w:w="3843" w:type="dxa"/>
            <w:shd w:val="clear" w:color="auto" w:fill="BFBFBF"/>
            <w:noWrap/>
            <w:vAlign w:val="center"/>
          </w:tcPr>
          <w:p w14:paraId="659D5EA7" w14:textId="77777777" w:rsidR="007968EC" w:rsidRPr="002C0D19" w:rsidRDefault="007968EC" w:rsidP="007968EC">
            <w:pPr>
              <w:rPr>
                <w:rFonts w:ascii="Arial Narrow" w:eastAsia="Calibri" w:hAnsi="Arial Narrow"/>
                <w:b/>
                <w:color w:val="000000"/>
              </w:rPr>
            </w:pPr>
            <w:r w:rsidRPr="002C0D19">
              <w:rPr>
                <w:rFonts w:ascii="Arial Narrow" w:eastAsia="Calibri" w:hAnsi="Arial Narrow"/>
                <w:color w:val="000000"/>
              </w:rPr>
              <w:t>Inscripción</w:t>
            </w:r>
          </w:p>
        </w:tc>
        <w:tc>
          <w:tcPr>
            <w:tcW w:w="5443" w:type="dxa"/>
            <w:shd w:val="clear" w:color="auto" w:fill="auto"/>
            <w:vAlign w:val="center"/>
          </w:tcPr>
          <w:p w14:paraId="6145169D" w14:textId="77777777" w:rsidR="007968EC" w:rsidRPr="002C0D19" w:rsidRDefault="007968EC" w:rsidP="007968EC">
            <w:pPr>
              <w:autoSpaceDE w:val="0"/>
              <w:autoSpaceDN w:val="0"/>
              <w:jc w:val="both"/>
              <w:rPr>
                <w:rFonts w:ascii="Arial Narrow" w:eastAsia="Calibri" w:hAnsi="Arial Narrow"/>
                <w:b/>
                <w:color w:val="000000"/>
              </w:rPr>
            </w:pPr>
            <w:r w:rsidRPr="002C0D19">
              <w:rPr>
                <w:rFonts w:ascii="Arial Narrow" w:eastAsia="Calibri" w:hAnsi="Arial Narrow"/>
                <w:color w:val="000000"/>
              </w:rPr>
              <w:t>Derivex S.A.</w:t>
            </w:r>
          </w:p>
        </w:tc>
      </w:tr>
    </w:tbl>
    <w:p w14:paraId="2CF59170" w14:textId="77777777" w:rsidR="007968EC" w:rsidRPr="002C0D19" w:rsidRDefault="007968EC" w:rsidP="007968EC">
      <w:pPr>
        <w:keepNext/>
        <w:autoSpaceDE w:val="0"/>
        <w:autoSpaceDN w:val="0"/>
        <w:contextualSpacing/>
        <w:jc w:val="both"/>
        <w:rPr>
          <w:rFonts w:ascii="Arial Narrow" w:eastAsia="Calibri" w:hAnsi="Arial Narrow"/>
          <w:bCs/>
          <w:color w:val="000000"/>
          <w:lang w:val="es-MX"/>
        </w:rPr>
      </w:pPr>
    </w:p>
    <w:p w14:paraId="63D947BB" w14:textId="77777777" w:rsidR="007968EC" w:rsidRPr="002C0D19" w:rsidRDefault="007968EC" w:rsidP="007968EC">
      <w:pPr>
        <w:keepNext/>
        <w:autoSpaceDE w:val="0"/>
        <w:autoSpaceDN w:val="0"/>
        <w:contextualSpacing/>
        <w:jc w:val="both"/>
        <w:rPr>
          <w:rFonts w:ascii="Arial Narrow" w:hAnsi="Arial Narrow" w:cs="Arial"/>
          <w:b/>
          <w:lang w:val="es-MX" w:eastAsia="es-ES"/>
        </w:rPr>
      </w:pPr>
      <w:r w:rsidRPr="002C0D19">
        <w:rPr>
          <w:rFonts w:ascii="Arial Narrow" w:eastAsia="Calibri" w:hAnsi="Arial Narrow"/>
          <w:bCs/>
          <w:color w:val="000000"/>
          <w:lang w:val="es-MX"/>
        </w:rPr>
        <w:t>A este instrumento Contrato Mini de Futuro sobre Electricidad Mensual le aplican las condiciones previstas en los numerales 2 y 3 del artículo 2.7.2.1. de la Circular Única de la Cámara.</w:t>
      </w:r>
    </w:p>
    <w:p w14:paraId="21A1CD2B" w14:textId="77777777" w:rsidR="007968EC" w:rsidRPr="002C0D19" w:rsidRDefault="007968EC" w:rsidP="007968EC">
      <w:pPr>
        <w:jc w:val="both"/>
        <w:rPr>
          <w:rFonts w:ascii="Arial Narrow" w:eastAsia="Calibri" w:hAnsi="Arial Narrow"/>
          <w:b/>
          <w:color w:val="000000" w:themeColor="text1"/>
          <w:lang w:val="es-MX"/>
        </w:rPr>
      </w:pPr>
    </w:p>
    <w:p w14:paraId="5748A43D" w14:textId="77777777" w:rsidR="007968EC" w:rsidRPr="002F6334" w:rsidRDefault="007968EC" w:rsidP="007968EC">
      <w:pPr>
        <w:pStyle w:val="ARTICULO0"/>
      </w:pPr>
      <w:bookmarkStart w:id="5229" w:name="_Toc470781164"/>
      <w:bookmarkStart w:id="5230" w:name="_Toc470784725"/>
      <w:bookmarkStart w:id="5231" w:name="_Toc470785262"/>
      <w:bookmarkStart w:id="5232" w:name="_Toc470791656"/>
      <w:bookmarkStart w:id="5233" w:name="_Toc472592399"/>
      <w:bookmarkStart w:id="5234" w:name="_Toc472593418"/>
      <w:bookmarkStart w:id="5235" w:name="_Toc31716230"/>
      <w:bookmarkStart w:id="5236" w:name="_Toc479057209"/>
      <w:bookmarkStart w:id="5237" w:name="_Toc490066567"/>
      <w:r>
        <w:t>Artículo 2.7.2.14</w:t>
      </w:r>
      <w:r w:rsidRPr="002F6334">
        <w:t>. Contratos de Futuros Índice Accionario COLCAP.</w:t>
      </w:r>
      <w:bookmarkEnd w:id="5229"/>
      <w:bookmarkEnd w:id="5230"/>
      <w:bookmarkEnd w:id="5231"/>
      <w:bookmarkEnd w:id="5232"/>
      <w:bookmarkEnd w:id="5233"/>
      <w:bookmarkEnd w:id="5234"/>
      <w:bookmarkEnd w:id="5235"/>
      <w:r w:rsidRPr="002F6334">
        <w:t xml:space="preserve">  </w:t>
      </w:r>
    </w:p>
    <w:p w14:paraId="18D1AC27" w14:textId="77777777" w:rsidR="007968EC" w:rsidRDefault="007968EC" w:rsidP="007968EC">
      <w:pPr>
        <w:keepNext/>
        <w:tabs>
          <w:tab w:val="left" w:pos="1701"/>
        </w:tabs>
        <w:jc w:val="both"/>
        <w:outlineLvl w:val="2"/>
        <w:rPr>
          <w:rFonts w:ascii="Arial Narrow" w:hAnsi="Arial Narrow" w:cs="Arial"/>
          <w:b/>
          <w:color w:val="000000" w:themeColor="text1"/>
          <w:u w:val="single"/>
          <w:lang w:eastAsia="es-ES"/>
        </w:rPr>
      </w:pPr>
    </w:p>
    <w:p w14:paraId="3EC60E8A" w14:textId="77777777" w:rsidR="007968EC" w:rsidRPr="002C0D19" w:rsidRDefault="007968EC" w:rsidP="007968EC">
      <w:pPr>
        <w:pStyle w:val="ANTECEDENTES"/>
        <w:rPr>
          <w:u w:val="single"/>
        </w:rPr>
      </w:pPr>
      <w:r w:rsidRPr="002C0D19">
        <w:t>(Este artículo fue renumerado mediante Circular 6 del 14 de febrero de 2017, publicada mediante Boletín Normativo No. 006 del 14 de febrero de 2017</w:t>
      </w:r>
      <w:r>
        <w:t xml:space="preserve">, modificado mediante Circular 22 del 3 de noviembre de 2017, publicada mediante Boletín Normativo No. 024 del 3 de noviembre de 2017, mediante Circular 24 del 11 de diciembre de 2017, publicada en el Boletín Normativo No. 031 del 11 de diciembre de 2017, renumerado </w:t>
      </w:r>
      <w:r w:rsidRPr="009C4B41">
        <w:rPr>
          <w:lang w:val="es-ES"/>
        </w:rPr>
        <w:t>mediante Circular 002 del 20 de febrero de 2018, publicada en el Boletín Normativo No</w:t>
      </w:r>
      <w:r>
        <w:rPr>
          <w:lang w:val="es-ES"/>
        </w:rPr>
        <w:t xml:space="preserve">. 003 del 20 de febrero de 2018, modificado </w:t>
      </w:r>
      <w:r>
        <w:t>mediante Circular 10 del 6 de julio de 2018, publicada en el Boletín Normativo No. 013 del 6 de julio de 2018</w:t>
      </w:r>
      <w:bookmarkEnd w:id="5236"/>
      <w:bookmarkEnd w:id="5237"/>
      <w:r w:rsidRPr="00CF5814">
        <w:t xml:space="preserve"> y modificado mediante Circular 9 del 2 de julio de 2019, publicada en el Boletín Normativo No. 021 del </w:t>
      </w:r>
      <w:r>
        <w:t xml:space="preserve">2 de julio de </w:t>
      </w:r>
      <w:r w:rsidRPr="00CF5814">
        <w:t>2019</w:t>
      </w:r>
      <w:r>
        <w:t>, mediante Circular 12 del 9 de agosto de 2019, publicada en el Boletín Normativo No. 025 del 9 de agosto de 2019, y mediante Circular 13 del 13 de agosto de 2019, publicada en el Boletín Normativo No. 026 del 13 de agosto de 2019. Rige a partir del 13 de agosto de 2019</w:t>
      </w:r>
      <w:r w:rsidRPr="002C0D19">
        <w:t xml:space="preserve">.) </w:t>
      </w:r>
    </w:p>
    <w:p w14:paraId="4F288AB7" w14:textId="77777777" w:rsidR="007968EC" w:rsidRPr="007C1238" w:rsidRDefault="007968EC" w:rsidP="007968EC">
      <w:pPr>
        <w:rPr>
          <w:rFonts w:ascii="Arial Narrow" w:eastAsia="Calibri" w:hAnsi="Arial Narrow"/>
          <w:color w:val="000000" w:themeColor="text1"/>
          <w:lang w:val="es-MX"/>
        </w:rPr>
      </w:pPr>
    </w:p>
    <w:p w14:paraId="615E6C5D" w14:textId="77777777" w:rsidR="007968EC" w:rsidRPr="00EB14DE" w:rsidRDefault="007968EC" w:rsidP="00DA7472">
      <w:pPr>
        <w:numPr>
          <w:ilvl w:val="0"/>
          <w:numId w:val="309"/>
        </w:numPr>
        <w:rPr>
          <w:rFonts w:ascii="Arial Narrow" w:eastAsia="Calibri" w:hAnsi="Arial Narrow"/>
          <w:b/>
          <w:color w:val="000000" w:themeColor="text1"/>
        </w:rPr>
      </w:pPr>
      <w:r w:rsidRPr="00EB14DE">
        <w:rPr>
          <w:rFonts w:ascii="Arial Narrow" w:eastAsia="Calibri" w:hAnsi="Arial Narrow"/>
          <w:color w:val="000000" w:themeColor="text1"/>
        </w:rPr>
        <w:t>Generalidades:</w:t>
      </w:r>
    </w:p>
    <w:p w14:paraId="7E701C79" w14:textId="77777777" w:rsidR="007968EC" w:rsidRPr="00EB14DE" w:rsidRDefault="007968EC" w:rsidP="007968EC">
      <w:pPr>
        <w:ind w:left="720"/>
        <w:rPr>
          <w:rFonts w:ascii="Arial Narrow" w:eastAsia="Calibri" w:hAnsi="Arial Narrow"/>
          <w:b/>
          <w:color w:val="000000" w:themeColor="text1"/>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28"/>
        <w:gridCol w:w="5405"/>
      </w:tblGrid>
      <w:tr w:rsidR="007968EC" w:rsidRPr="00EB14DE" w14:paraId="6390C570" w14:textId="77777777" w:rsidTr="007968EC">
        <w:tc>
          <w:tcPr>
            <w:tcW w:w="3828" w:type="dxa"/>
            <w:shd w:val="clear" w:color="auto" w:fill="BFBFBF"/>
          </w:tcPr>
          <w:p w14:paraId="2E01555B" w14:textId="77777777" w:rsidR="007968EC" w:rsidRPr="00EB14DE" w:rsidRDefault="007968EC" w:rsidP="007968EC">
            <w:pPr>
              <w:rPr>
                <w:rFonts w:ascii="Arial Narrow" w:eastAsia="Calibri" w:hAnsi="Arial Narrow"/>
                <w:b/>
                <w:color w:val="000000" w:themeColor="text1"/>
                <w:lang w:val="es-MX"/>
              </w:rPr>
            </w:pPr>
            <w:r w:rsidRPr="00EB14DE">
              <w:rPr>
                <w:rFonts w:ascii="Arial Narrow" w:eastAsia="Calibri" w:hAnsi="Arial Narrow"/>
                <w:color w:val="000000" w:themeColor="text1"/>
              </w:rPr>
              <w:t>Instrumento</w:t>
            </w:r>
          </w:p>
        </w:tc>
        <w:tc>
          <w:tcPr>
            <w:tcW w:w="5405" w:type="dxa"/>
          </w:tcPr>
          <w:p w14:paraId="0434403B" w14:textId="77777777" w:rsidR="007968EC" w:rsidRPr="00EB14DE" w:rsidRDefault="007968EC" w:rsidP="007968EC">
            <w:pPr>
              <w:autoSpaceDE w:val="0"/>
              <w:autoSpaceDN w:val="0"/>
              <w:jc w:val="both"/>
              <w:rPr>
                <w:rFonts w:ascii="Arial Narrow" w:eastAsia="Calibri" w:hAnsi="Arial Narrow"/>
                <w:b/>
                <w:bCs/>
                <w:color w:val="000000" w:themeColor="text1"/>
                <w:lang w:val="es-MX"/>
              </w:rPr>
            </w:pPr>
            <w:r w:rsidRPr="00EB14DE">
              <w:rPr>
                <w:rFonts w:ascii="Arial Narrow" w:eastAsia="Calibri" w:hAnsi="Arial Narrow"/>
                <w:bCs/>
                <w:color w:val="000000" w:themeColor="text1"/>
              </w:rPr>
              <w:t>Contratos de Futuros Índice Accionario COLCAP</w:t>
            </w:r>
          </w:p>
        </w:tc>
      </w:tr>
      <w:tr w:rsidR="007968EC" w:rsidRPr="00EB14DE" w14:paraId="1FCF5B5A" w14:textId="77777777" w:rsidTr="007968EC">
        <w:tc>
          <w:tcPr>
            <w:tcW w:w="3828" w:type="dxa"/>
            <w:shd w:val="clear" w:color="auto" w:fill="BFBFBF"/>
          </w:tcPr>
          <w:p w14:paraId="43F347C2" w14:textId="77777777" w:rsidR="007968EC" w:rsidRPr="00EB14DE" w:rsidRDefault="007968EC" w:rsidP="007968EC">
            <w:pPr>
              <w:rPr>
                <w:rFonts w:ascii="Arial Narrow" w:eastAsia="Calibri" w:hAnsi="Arial Narrow"/>
                <w:b/>
                <w:color w:val="000000" w:themeColor="text1"/>
                <w:lang w:val="es-MX"/>
              </w:rPr>
            </w:pPr>
            <w:r w:rsidRPr="00EB14DE">
              <w:rPr>
                <w:rFonts w:ascii="Arial Narrow" w:eastAsia="Calibri" w:hAnsi="Arial Narrow"/>
                <w:color w:val="000000" w:themeColor="text1"/>
                <w:lang w:val="es-MX"/>
              </w:rPr>
              <w:t>Activo Subyacente</w:t>
            </w:r>
          </w:p>
        </w:tc>
        <w:tc>
          <w:tcPr>
            <w:tcW w:w="5405" w:type="dxa"/>
          </w:tcPr>
          <w:p w14:paraId="6714B0CB" w14:textId="77777777" w:rsidR="007968EC" w:rsidRPr="00EB14DE" w:rsidRDefault="007968EC" w:rsidP="007968EC">
            <w:pPr>
              <w:autoSpaceDE w:val="0"/>
              <w:autoSpaceDN w:val="0"/>
              <w:jc w:val="both"/>
              <w:rPr>
                <w:rFonts w:ascii="Arial Narrow" w:eastAsia="Calibri" w:hAnsi="Arial Narrow"/>
                <w:b/>
                <w:bCs/>
                <w:color w:val="000000" w:themeColor="text1"/>
                <w:lang w:val="es-MX"/>
              </w:rPr>
            </w:pPr>
            <w:r w:rsidRPr="00EB14DE">
              <w:rPr>
                <w:rFonts w:ascii="Arial Narrow" w:eastAsia="Calibri" w:hAnsi="Arial Narrow"/>
                <w:bCs/>
                <w:color w:val="000000" w:themeColor="text1"/>
              </w:rPr>
              <w:t xml:space="preserve">El subyacente del contrato será el Índice Accionario COLCAP calculado y publicado diariamente por la Bolsa de Valores de Colombia S.A. </w:t>
            </w:r>
          </w:p>
        </w:tc>
      </w:tr>
      <w:tr w:rsidR="007968EC" w:rsidRPr="00EB14DE" w14:paraId="07F65DCE" w14:textId="77777777" w:rsidTr="007968EC">
        <w:tc>
          <w:tcPr>
            <w:tcW w:w="3828" w:type="dxa"/>
            <w:shd w:val="clear" w:color="auto" w:fill="BFBFBF"/>
          </w:tcPr>
          <w:p w14:paraId="70F04BFB" w14:textId="77777777" w:rsidR="007968EC" w:rsidRPr="00EB14DE" w:rsidRDefault="007968EC" w:rsidP="007968EC">
            <w:pPr>
              <w:rPr>
                <w:rFonts w:ascii="Arial Narrow" w:eastAsia="Calibri" w:hAnsi="Arial Narrow"/>
                <w:b/>
                <w:color w:val="000000" w:themeColor="text1"/>
                <w:lang w:val="es-MX"/>
              </w:rPr>
            </w:pPr>
            <w:r w:rsidRPr="00EB14DE">
              <w:rPr>
                <w:rFonts w:ascii="Arial Narrow" w:eastAsia="Calibri" w:hAnsi="Arial Narrow"/>
                <w:color w:val="000000" w:themeColor="text1"/>
                <w:lang w:val="es-MX"/>
              </w:rPr>
              <w:t>Tamaño del contrato</w:t>
            </w:r>
          </w:p>
        </w:tc>
        <w:tc>
          <w:tcPr>
            <w:tcW w:w="5405" w:type="dxa"/>
            <w:vAlign w:val="center"/>
          </w:tcPr>
          <w:p w14:paraId="4D9FD68A" w14:textId="77777777" w:rsidR="007968EC" w:rsidRPr="00EB14DE" w:rsidRDefault="007968EC" w:rsidP="007968EC">
            <w:pPr>
              <w:jc w:val="both"/>
              <w:rPr>
                <w:rFonts w:ascii="Arial Narrow" w:eastAsia="Calibri" w:hAnsi="Arial Narrow"/>
                <w:b/>
                <w:bCs/>
                <w:color w:val="000000" w:themeColor="text1"/>
              </w:rPr>
            </w:pPr>
            <w:r w:rsidRPr="00EB14DE">
              <w:rPr>
                <w:rFonts w:ascii="Arial Narrow" w:eastAsia="Calibri" w:hAnsi="Arial Narrow"/>
                <w:bCs/>
                <w:color w:val="000000" w:themeColor="text1"/>
              </w:rPr>
              <w:t>El tamaño de cada Contratos de Futuros sobre el Índice Accionario COLCAP será de $25.000 (veinticinco mil pesos colombianos) multiplicados por el valor del índice.</w:t>
            </w:r>
          </w:p>
        </w:tc>
      </w:tr>
      <w:tr w:rsidR="007968EC" w:rsidRPr="00EB14DE" w14:paraId="55ADC1F1" w14:textId="77777777" w:rsidTr="007968EC">
        <w:tc>
          <w:tcPr>
            <w:tcW w:w="3828" w:type="dxa"/>
            <w:shd w:val="clear" w:color="auto" w:fill="BFBFBF"/>
          </w:tcPr>
          <w:p w14:paraId="11794A02" w14:textId="77777777" w:rsidR="007968EC" w:rsidRPr="00EB14DE" w:rsidRDefault="007968EC" w:rsidP="007968EC">
            <w:pPr>
              <w:rPr>
                <w:rFonts w:ascii="Arial Narrow" w:eastAsia="Calibri" w:hAnsi="Arial Narrow"/>
                <w:b/>
                <w:color w:val="000000" w:themeColor="text1"/>
                <w:lang w:val="es-MX"/>
              </w:rPr>
            </w:pPr>
            <w:r w:rsidRPr="00EB14DE">
              <w:rPr>
                <w:rFonts w:ascii="Arial Narrow" w:eastAsia="Calibri" w:hAnsi="Arial Narrow"/>
                <w:color w:val="000000" w:themeColor="text1"/>
                <w:lang w:val="es-MX"/>
              </w:rPr>
              <w:t>Contratos Listados</w:t>
            </w:r>
          </w:p>
        </w:tc>
        <w:tc>
          <w:tcPr>
            <w:tcW w:w="5405" w:type="dxa"/>
            <w:vAlign w:val="center"/>
          </w:tcPr>
          <w:p w14:paraId="7518DB9B" w14:textId="77777777" w:rsidR="007968EC" w:rsidRPr="00EB14DE" w:rsidRDefault="007968EC" w:rsidP="007968EC">
            <w:pPr>
              <w:jc w:val="both"/>
              <w:rPr>
                <w:rFonts w:ascii="Arial Narrow" w:eastAsia="Calibri" w:hAnsi="Arial Narrow"/>
                <w:b/>
                <w:bCs/>
                <w:color w:val="000000" w:themeColor="text1"/>
              </w:rPr>
            </w:pPr>
            <w:r w:rsidRPr="00EB14DE">
              <w:rPr>
                <w:rFonts w:ascii="Arial Narrow" w:eastAsia="Calibri" w:hAnsi="Arial Narrow"/>
                <w:bCs/>
                <w:color w:val="000000" w:themeColor="text1"/>
              </w:rPr>
              <w:t xml:space="preserve">Estarán disponibles en el sistema los cuatro vencimientos trimestrales más cercanos del ciclo de Marzo (Marzo, Junio, </w:t>
            </w:r>
            <w:r w:rsidRPr="00EB14DE">
              <w:rPr>
                <w:rFonts w:ascii="Arial Narrow" w:eastAsia="Calibri" w:hAnsi="Arial Narrow"/>
                <w:bCs/>
                <w:color w:val="000000" w:themeColor="text1"/>
              </w:rPr>
              <w:lastRenderedPageBreak/>
              <w:t>Septiembre, Diciembre), en este sentido podrán realizarse operaciones hasta 1 año de vencimiento.</w:t>
            </w:r>
          </w:p>
        </w:tc>
      </w:tr>
      <w:tr w:rsidR="007968EC" w:rsidRPr="00EB14DE" w14:paraId="126AB277" w14:textId="77777777" w:rsidTr="007968EC">
        <w:tc>
          <w:tcPr>
            <w:tcW w:w="3828" w:type="dxa"/>
            <w:shd w:val="clear" w:color="auto" w:fill="BFBFBF"/>
          </w:tcPr>
          <w:p w14:paraId="05F6257A" w14:textId="77777777" w:rsidR="007968EC" w:rsidRPr="00EB14DE" w:rsidRDefault="007968EC" w:rsidP="007968EC">
            <w:pPr>
              <w:rPr>
                <w:rFonts w:ascii="Arial Narrow" w:eastAsia="Calibri" w:hAnsi="Arial Narrow"/>
                <w:b/>
                <w:color w:val="000000" w:themeColor="text1"/>
                <w:lang w:val="es-MX"/>
              </w:rPr>
            </w:pPr>
            <w:r w:rsidRPr="00EB14DE">
              <w:rPr>
                <w:rFonts w:ascii="Arial Narrow" w:eastAsia="Calibri" w:hAnsi="Arial Narrow"/>
                <w:color w:val="000000" w:themeColor="text1"/>
                <w:lang w:val="es-MX"/>
              </w:rPr>
              <w:lastRenderedPageBreak/>
              <w:t>Método de Liquidación</w:t>
            </w:r>
          </w:p>
        </w:tc>
        <w:tc>
          <w:tcPr>
            <w:tcW w:w="5405" w:type="dxa"/>
            <w:vAlign w:val="center"/>
          </w:tcPr>
          <w:p w14:paraId="4F087483" w14:textId="77777777" w:rsidR="007968EC" w:rsidRPr="00EB14DE" w:rsidRDefault="007968EC" w:rsidP="007968EC">
            <w:pPr>
              <w:rPr>
                <w:rFonts w:ascii="Arial Narrow" w:eastAsia="Calibri" w:hAnsi="Arial Narrow"/>
                <w:b/>
                <w:bCs/>
                <w:color w:val="000000" w:themeColor="text1"/>
              </w:rPr>
            </w:pPr>
            <w:r w:rsidRPr="00EB14DE">
              <w:rPr>
                <w:rFonts w:ascii="Arial Narrow" w:eastAsia="Calibri" w:hAnsi="Arial Narrow"/>
                <w:bCs/>
                <w:color w:val="000000" w:themeColor="text1"/>
              </w:rPr>
              <w:t>Liquidación por Diferencias.</w:t>
            </w:r>
          </w:p>
        </w:tc>
      </w:tr>
      <w:tr w:rsidR="007968EC" w:rsidRPr="00EB14DE" w14:paraId="5431DC40" w14:textId="77777777" w:rsidTr="007968EC">
        <w:tc>
          <w:tcPr>
            <w:tcW w:w="3828" w:type="dxa"/>
            <w:shd w:val="clear" w:color="auto" w:fill="BFBFBF"/>
            <w:vAlign w:val="center"/>
          </w:tcPr>
          <w:p w14:paraId="224D2FC9" w14:textId="77777777" w:rsidR="007968EC" w:rsidRPr="00EB14DE" w:rsidRDefault="007968EC" w:rsidP="007968EC">
            <w:pPr>
              <w:rPr>
                <w:rFonts w:ascii="Arial Narrow" w:eastAsia="Calibri" w:hAnsi="Arial Narrow"/>
                <w:b/>
                <w:color w:val="000000" w:themeColor="text1"/>
              </w:rPr>
            </w:pPr>
            <w:r w:rsidRPr="00EB14DE">
              <w:rPr>
                <w:rFonts w:ascii="Arial Narrow" w:eastAsia="Calibri" w:hAnsi="Arial Narrow"/>
                <w:color w:val="000000" w:themeColor="text1"/>
              </w:rPr>
              <w:t>Tipo de Liquidación</w:t>
            </w:r>
          </w:p>
        </w:tc>
        <w:tc>
          <w:tcPr>
            <w:tcW w:w="5405" w:type="dxa"/>
            <w:vAlign w:val="center"/>
          </w:tcPr>
          <w:p w14:paraId="062F0079" w14:textId="77777777" w:rsidR="007968EC" w:rsidRPr="00EB14DE" w:rsidRDefault="007968EC" w:rsidP="007968EC">
            <w:pPr>
              <w:rPr>
                <w:rFonts w:ascii="Arial Narrow" w:eastAsia="Calibri" w:hAnsi="Arial Narrow"/>
                <w:b/>
                <w:bCs/>
                <w:color w:val="000000" w:themeColor="text1"/>
              </w:rPr>
            </w:pPr>
            <w:r w:rsidRPr="00EB14DE">
              <w:rPr>
                <w:rFonts w:ascii="Arial Narrow" w:eastAsia="Calibri" w:hAnsi="Arial Narrow"/>
                <w:bCs/>
                <w:color w:val="000000" w:themeColor="text1"/>
              </w:rPr>
              <w:t>Liquidación Diaria y al Vencimiento.</w:t>
            </w:r>
          </w:p>
        </w:tc>
      </w:tr>
      <w:tr w:rsidR="007968EC" w:rsidRPr="00EB14DE" w14:paraId="3482A139" w14:textId="77777777" w:rsidTr="007968EC">
        <w:tc>
          <w:tcPr>
            <w:tcW w:w="3828" w:type="dxa"/>
            <w:shd w:val="clear" w:color="auto" w:fill="BFBFBF"/>
          </w:tcPr>
          <w:p w14:paraId="17DB693B" w14:textId="77777777" w:rsidR="007968EC" w:rsidRPr="00EB14DE" w:rsidRDefault="007968EC" w:rsidP="007968EC">
            <w:pPr>
              <w:rPr>
                <w:rFonts w:ascii="Arial Narrow" w:eastAsia="Calibri" w:hAnsi="Arial Narrow"/>
                <w:b/>
                <w:color w:val="000000" w:themeColor="text1"/>
                <w:lang w:val="es-MX"/>
              </w:rPr>
            </w:pPr>
            <w:r w:rsidRPr="00EB14DE">
              <w:rPr>
                <w:rFonts w:ascii="Arial Narrow" w:eastAsia="Calibri" w:hAnsi="Arial Narrow"/>
                <w:color w:val="000000" w:themeColor="text1"/>
                <w:lang w:val="es-MX"/>
              </w:rPr>
              <w:t>Último día de negociación</w:t>
            </w:r>
          </w:p>
        </w:tc>
        <w:tc>
          <w:tcPr>
            <w:tcW w:w="5405" w:type="dxa"/>
            <w:vAlign w:val="center"/>
          </w:tcPr>
          <w:p w14:paraId="5760B813" w14:textId="77777777" w:rsidR="007968EC" w:rsidRPr="00EB14DE" w:rsidRDefault="007968EC" w:rsidP="007968EC">
            <w:pPr>
              <w:jc w:val="both"/>
              <w:rPr>
                <w:rFonts w:ascii="Arial Narrow" w:eastAsia="Calibri" w:hAnsi="Arial Narrow"/>
                <w:b/>
                <w:bCs/>
                <w:color w:val="000000" w:themeColor="text1"/>
              </w:rPr>
            </w:pPr>
            <w:r w:rsidRPr="00EB14DE">
              <w:rPr>
                <w:rFonts w:ascii="Arial Narrow" w:eastAsia="Calibri" w:hAnsi="Arial Narrow"/>
                <w:bCs/>
                <w:color w:val="000000" w:themeColor="text1"/>
              </w:rPr>
              <w:t xml:space="preserve">Tercer viernes del mes de vencimiento. Cuando el tercer viernes del mes de vencimiento corresponda a un día no hábil, se negociará hasta el día hábil anterior. </w:t>
            </w:r>
          </w:p>
        </w:tc>
      </w:tr>
      <w:tr w:rsidR="007968EC" w:rsidRPr="00EB14DE" w14:paraId="79265E23" w14:textId="77777777" w:rsidTr="007968EC">
        <w:tc>
          <w:tcPr>
            <w:tcW w:w="3828" w:type="dxa"/>
            <w:shd w:val="clear" w:color="auto" w:fill="BFBFBF"/>
          </w:tcPr>
          <w:p w14:paraId="126FC5E7" w14:textId="77777777" w:rsidR="007968EC" w:rsidRPr="00EB14DE" w:rsidRDefault="007968EC" w:rsidP="007968EC">
            <w:pPr>
              <w:rPr>
                <w:rFonts w:ascii="Arial Narrow" w:eastAsia="Calibri" w:hAnsi="Arial Narrow"/>
                <w:b/>
                <w:color w:val="000000" w:themeColor="text1"/>
                <w:lang w:val="es-MX"/>
              </w:rPr>
            </w:pPr>
            <w:r w:rsidRPr="00EB14DE">
              <w:rPr>
                <w:rFonts w:ascii="Arial Narrow" w:eastAsia="Calibri" w:hAnsi="Arial Narrow"/>
                <w:color w:val="000000" w:themeColor="text1"/>
                <w:lang w:val="es-MX"/>
              </w:rPr>
              <w:t>Día de vencimiento</w:t>
            </w:r>
          </w:p>
        </w:tc>
        <w:tc>
          <w:tcPr>
            <w:tcW w:w="5405" w:type="dxa"/>
            <w:vAlign w:val="center"/>
          </w:tcPr>
          <w:p w14:paraId="6507D940" w14:textId="77777777" w:rsidR="007968EC" w:rsidRPr="00EB14DE" w:rsidRDefault="007968EC" w:rsidP="007968EC">
            <w:pPr>
              <w:jc w:val="both"/>
              <w:rPr>
                <w:rFonts w:ascii="Arial Narrow" w:eastAsia="Calibri" w:hAnsi="Arial Narrow"/>
                <w:b/>
                <w:bCs/>
                <w:color w:val="000000" w:themeColor="text1"/>
              </w:rPr>
            </w:pPr>
            <w:r w:rsidRPr="00EB14DE">
              <w:rPr>
                <w:rFonts w:ascii="Arial Narrow" w:eastAsia="Calibri" w:hAnsi="Arial Narrow"/>
                <w:bCs/>
                <w:color w:val="000000" w:themeColor="text1"/>
              </w:rPr>
              <w:t>Ultimo día de negociación.</w:t>
            </w:r>
          </w:p>
        </w:tc>
      </w:tr>
      <w:tr w:rsidR="007968EC" w:rsidRPr="00EB14DE" w14:paraId="16570303" w14:textId="77777777" w:rsidTr="007968EC">
        <w:tc>
          <w:tcPr>
            <w:tcW w:w="3828" w:type="dxa"/>
            <w:shd w:val="clear" w:color="auto" w:fill="BFBFBF"/>
          </w:tcPr>
          <w:p w14:paraId="4FF66883" w14:textId="77777777" w:rsidR="007968EC" w:rsidRPr="00EB14DE" w:rsidRDefault="007968EC" w:rsidP="007968EC">
            <w:pPr>
              <w:rPr>
                <w:rFonts w:ascii="Arial Narrow" w:eastAsia="Calibri" w:hAnsi="Arial Narrow"/>
                <w:b/>
                <w:color w:val="000000" w:themeColor="text1"/>
                <w:lang w:val="es-MX"/>
              </w:rPr>
            </w:pPr>
            <w:r w:rsidRPr="00EB14DE">
              <w:rPr>
                <w:rFonts w:ascii="Arial Narrow" w:eastAsia="Calibri" w:hAnsi="Arial Narrow"/>
                <w:color w:val="000000" w:themeColor="text1"/>
                <w:lang w:val="es-MX"/>
              </w:rPr>
              <w:t>Fecha de la Liquidación al Vencimiento</w:t>
            </w:r>
          </w:p>
        </w:tc>
        <w:tc>
          <w:tcPr>
            <w:tcW w:w="5405" w:type="dxa"/>
            <w:vAlign w:val="center"/>
          </w:tcPr>
          <w:p w14:paraId="3B1456E9" w14:textId="77777777" w:rsidR="007968EC" w:rsidRPr="00EB14DE" w:rsidRDefault="007968EC" w:rsidP="007968EC">
            <w:pPr>
              <w:jc w:val="both"/>
              <w:rPr>
                <w:rFonts w:ascii="Arial Narrow" w:eastAsia="Calibri" w:hAnsi="Arial Narrow"/>
                <w:b/>
                <w:bCs/>
                <w:color w:val="000000" w:themeColor="text1"/>
              </w:rPr>
            </w:pPr>
            <w:r w:rsidRPr="00EB14DE">
              <w:rPr>
                <w:rFonts w:ascii="Arial Narrow" w:eastAsia="Calibri" w:hAnsi="Arial Narrow"/>
                <w:bCs/>
                <w:color w:val="000000" w:themeColor="text1"/>
              </w:rPr>
              <w:t xml:space="preserve">La liquidación definitiva de los Contratos de Futuros Índice Accionario COLCAP será el primer día hábil siguiente al último día de negociación. </w:t>
            </w:r>
          </w:p>
        </w:tc>
      </w:tr>
      <w:tr w:rsidR="007968EC" w:rsidRPr="00EB14DE" w14:paraId="331B5971" w14:textId="77777777" w:rsidTr="007968EC">
        <w:tc>
          <w:tcPr>
            <w:tcW w:w="3828" w:type="dxa"/>
            <w:shd w:val="clear" w:color="auto" w:fill="BFBFBF"/>
          </w:tcPr>
          <w:p w14:paraId="231B3FD1" w14:textId="77777777" w:rsidR="007968EC" w:rsidRPr="00EB14DE" w:rsidRDefault="007968EC" w:rsidP="007968EC">
            <w:pPr>
              <w:rPr>
                <w:rFonts w:ascii="Arial Narrow" w:eastAsia="Calibri" w:hAnsi="Arial Narrow"/>
                <w:b/>
                <w:color w:val="000000" w:themeColor="text1"/>
              </w:rPr>
            </w:pPr>
            <w:r w:rsidRPr="00EB14DE">
              <w:rPr>
                <w:rFonts w:ascii="Arial Narrow" w:eastAsia="Calibri" w:hAnsi="Arial Narrow"/>
                <w:color w:val="000000" w:themeColor="text1"/>
              </w:rPr>
              <w:t>Inscripción</w:t>
            </w:r>
          </w:p>
        </w:tc>
        <w:tc>
          <w:tcPr>
            <w:tcW w:w="5405" w:type="dxa"/>
            <w:vAlign w:val="center"/>
          </w:tcPr>
          <w:p w14:paraId="676BF177" w14:textId="77777777" w:rsidR="007968EC" w:rsidRPr="00EB14DE" w:rsidRDefault="007968EC" w:rsidP="007968EC">
            <w:pPr>
              <w:autoSpaceDE w:val="0"/>
              <w:autoSpaceDN w:val="0"/>
              <w:jc w:val="both"/>
              <w:rPr>
                <w:rFonts w:ascii="Arial Narrow" w:eastAsia="Calibri" w:hAnsi="Arial Narrow"/>
                <w:b/>
                <w:bCs/>
                <w:color w:val="000000" w:themeColor="text1"/>
                <w:lang w:val="es-MX"/>
              </w:rPr>
            </w:pPr>
            <w:r w:rsidRPr="00EB14DE">
              <w:rPr>
                <w:rFonts w:ascii="Arial Narrow" w:eastAsia="Calibri" w:hAnsi="Arial Narrow"/>
                <w:bCs/>
                <w:color w:val="000000" w:themeColor="text1"/>
                <w:lang w:val="es-MX"/>
              </w:rPr>
              <w:t>Bolsa de Valores de Colombia – BVC.</w:t>
            </w:r>
          </w:p>
        </w:tc>
      </w:tr>
    </w:tbl>
    <w:p w14:paraId="3B431D84" w14:textId="77777777" w:rsidR="007968EC" w:rsidRPr="00EB14DE" w:rsidRDefault="007968EC" w:rsidP="007968EC">
      <w:pPr>
        <w:autoSpaceDE w:val="0"/>
        <w:autoSpaceDN w:val="0"/>
        <w:adjustRightInd w:val="0"/>
        <w:jc w:val="both"/>
        <w:rPr>
          <w:rFonts w:ascii="Arial Narrow" w:hAnsi="Arial Narrow" w:cs="Arial"/>
          <w:bCs/>
          <w:color w:val="000000" w:themeColor="text1"/>
          <w:lang w:val="es-ES" w:eastAsia="es-ES"/>
        </w:rPr>
      </w:pPr>
    </w:p>
    <w:p w14:paraId="18D02626" w14:textId="77777777" w:rsidR="007968EC" w:rsidRPr="00EB14DE" w:rsidRDefault="007968EC" w:rsidP="007968EC">
      <w:pPr>
        <w:autoSpaceDE w:val="0"/>
        <w:autoSpaceDN w:val="0"/>
        <w:adjustRightInd w:val="0"/>
        <w:jc w:val="both"/>
        <w:rPr>
          <w:rFonts w:ascii="Arial Narrow" w:hAnsi="Arial Narrow" w:cs="Arial"/>
          <w:bCs/>
          <w:color w:val="000000" w:themeColor="text1"/>
          <w:lang w:val="es-ES" w:eastAsia="es-ES"/>
        </w:rPr>
      </w:pPr>
      <w:r w:rsidRPr="00EB14DE">
        <w:rPr>
          <w:rFonts w:ascii="Arial Narrow" w:hAnsi="Arial Narrow" w:cs="Arial"/>
          <w:bCs/>
          <w:color w:val="000000" w:themeColor="text1"/>
          <w:lang w:val="es-ES" w:eastAsia="es-ES"/>
        </w:rPr>
        <w:t xml:space="preserve">A este Instrumento Contratos de Futuros Índice Accionario COLCAP le aplican las condiciones previstas en </w:t>
      </w:r>
      <w:r>
        <w:rPr>
          <w:rFonts w:ascii="Arial Narrow" w:hAnsi="Arial Narrow" w:cs="Arial"/>
          <w:bCs/>
          <w:color w:val="000000" w:themeColor="text1"/>
          <w:lang w:val="es-ES" w:eastAsia="es-ES"/>
        </w:rPr>
        <w:t>e</w:t>
      </w:r>
      <w:r w:rsidRPr="00EB14DE">
        <w:rPr>
          <w:rFonts w:ascii="Arial Narrow" w:hAnsi="Arial Narrow" w:cs="Arial"/>
          <w:bCs/>
          <w:color w:val="000000" w:themeColor="text1"/>
          <w:lang w:val="es-ES" w:eastAsia="es-ES"/>
        </w:rPr>
        <w:t>l numeral 3 del artículo 2.7.2.1. de la Circular Única de la Cámara de Riesgo Central de Contraparte de Colombia S.A.</w:t>
      </w:r>
    </w:p>
    <w:p w14:paraId="04544771" w14:textId="77777777" w:rsidR="007968EC" w:rsidRPr="00EB14DE" w:rsidRDefault="007968EC" w:rsidP="007968EC">
      <w:pPr>
        <w:jc w:val="both"/>
        <w:rPr>
          <w:rFonts w:ascii="Arial Narrow" w:eastAsia="Calibri" w:hAnsi="Arial Narrow" w:cs="Arial Narrow"/>
          <w:bCs/>
          <w:color w:val="000000" w:themeColor="text1"/>
        </w:rPr>
      </w:pPr>
    </w:p>
    <w:p w14:paraId="3045600A" w14:textId="77777777" w:rsidR="007968EC" w:rsidRPr="00EB14DE" w:rsidRDefault="007968EC" w:rsidP="00DA7472">
      <w:pPr>
        <w:numPr>
          <w:ilvl w:val="0"/>
          <w:numId w:val="309"/>
        </w:numPr>
        <w:ind w:left="426" w:hanging="426"/>
        <w:contextualSpacing/>
        <w:jc w:val="both"/>
        <w:rPr>
          <w:rFonts w:ascii="Arial Narrow" w:eastAsia="Calibri" w:hAnsi="Arial Narrow" w:cs="Arial Narrow"/>
          <w:bCs/>
          <w:color w:val="000000" w:themeColor="text1"/>
        </w:rPr>
      </w:pPr>
      <w:r w:rsidRPr="00EB14DE">
        <w:rPr>
          <w:rFonts w:ascii="Arial Narrow" w:eastAsia="Calibri" w:hAnsi="Arial Narrow" w:cs="Arial Narrow"/>
          <w:bCs/>
          <w:color w:val="000000" w:themeColor="text1"/>
        </w:rPr>
        <w:t>Activos recibidos en garantía: se podrá constituir como Garantía por Posición para garantizar Posiciones Abiertas en Contratos de Futuros Índice Accionario COLCAP acciones que sean Activo Subyacente de un Contrato de Derivado cuyas operaciones sean susceptibles de ser Aceptadas por la Cámara.</w:t>
      </w:r>
    </w:p>
    <w:p w14:paraId="70823CFE" w14:textId="77777777" w:rsidR="007968EC" w:rsidRPr="00EB14DE" w:rsidRDefault="007968EC" w:rsidP="007968EC">
      <w:pPr>
        <w:ind w:left="426"/>
        <w:contextualSpacing/>
        <w:jc w:val="both"/>
        <w:rPr>
          <w:rFonts w:ascii="Arial Narrow" w:eastAsia="Calibri" w:hAnsi="Arial Narrow" w:cs="Arial Narrow"/>
          <w:bCs/>
          <w:color w:val="000000" w:themeColor="text1"/>
        </w:rPr>
      </w:pPr>
    </w:p>
    <w:p w14:paraId="4F6AC28D" w14:textId="77777777" w:rsidR="007968EC" w:rsidRPr="00EB14DE" w:rsidRDefault="007968EC" w:rsidP="007968EC">
      <w:pPr>
        <w:ind w:left="426"/>
        <w:contextualSpacing/>
        <w:jc w:val="both"/>
        <w:rPr>
          <w:rFonts w:ascii="Arial Narrow" w:eastAsia="Calibri" w:hAnsi="Arial Narrow" w:cs="Arial Narrow"/>
          <w:bCs/>
          <w:color w:val="000000" w:themeColor="text1"/>
        </w:rPr>
      </w:pPr>
      <w:r w:rsidRPr="00EB14DE">
        <w:rPr>
          <w:rFonts w:ascii="Arial Narrow" w:eastAsia="Calibri" w:hAnsi="Arial Narrow" w:cs="Arial Narrow"/>
          <w:bCs/>
          <w:color w:val="000000" w:themeColor="text1"/>
        </w:rPr>
        <w:t>Para que las acciones depositadas en la Cámara como Garantía por Posición de una Posición Abierta en Contratos de Futuros Índice Accionario COLCAP computen para el cálculo del Riesgo por Operativa Diaria Cliente/Titular, el titular de la Cuenta deberá cumplir con los siguientes requisitos:</w:t>
      </w:r>
    </w:p>
    <w:p w14:paraId="4DB672D0" w14:textId="77777777" w:rsidR="007968EC" w:rsidRPr="00EB14DE" w:rsidRDefault="007968EC" w:rsidP="007968EC">
      <w:pPr>
        <w:jc w:val="both"/>
        <w:rPr>
          <w:rFonts w:ascii="Arial Narrow" w:eastAsia="Calibri" w:hAnsi="Arial Narrow" w:cs="Arial Narrow"/>
          <w:bCs/>
          <w:color w:val="000000" w:themeColor="text1"/>
        </w:rPr>
      </w:pPr>
    </w:p>
    <w:p w14:paraId="6B5F7C5D" w14:textId="77777777" w:rsidR="007968EC" w:rsidRPr="00EB14DE" w:rsidRDefault="007968EC" w:rsidP="00DA7472">
      <w:pPr>
        <w:numPr>
          <w:ilvl w:val="1"/>
          <w:numId w:val="214"/>
        </w:numPr>
        <w:ind w:left="851" w:hanging="425"/>
        <w:contextualSpacing/>
        <w:jc w:val="both"/>
        <w:rPr>
          <w:rFonts w:ascii="Arial Narrow" w:eastAsia="Calibri" w:hAnsi="Arial Narrow" w:cs="Arial Narrow"/>
          <w:bCs/>
          <w:color w:val="000000" w:themeColor="text1"/>
        </w:rPr>
      </w:pPr>
      <w:r w:rsidRPr="00EB14DE">
        <w:rPr>
          <w:rFonts w:ascii="Arial Narrow" w:eastAsia="Calibri" w:hAnsi="Arial Narrow" w:cs="Arial Narrow"/>
          <w:bCs/>
          <w:color w:val="000000" w:themeColor="text1"/>
        </w:rPr>
        <w:t xml:space="preserve">La cuenta cuyas Posiciones Abiertas pretendan garantizarse deberá destinarse exclusivamente al registro de operaciones de Contratos de Futuro sobre Acciones del Índice COLCAP con Liquidación por Diferencias, de Contratos de Futuro sobre Acciones del Índice COLCAP con Liquidación por Entrega,  </w:t>
      </w:r>
      <w:r w:rsidRPr="00EB14DE">
        <w:rPr>
          <w:rFonts w:ascii="Arial Narrow" w:hAnsi="Arial Narrow"/>
          <w:bCs/>
          <w:color w:val="000000" w:themeColor="text1"/>
          <w:lang w:eastAsia="es-CO"/>
        </w:rPr>
        <w:t>Contratos de Futuros Índice Accionario COLCAP y/o Mini Contrato de Futuro Índice Accionario COLCAP.</w:t>
      </w:r>
      <w:r w:rsidRPr="00EB14DE">
        <w:rPr>
          <w:rFonts w:ascii="Arial Narrow" w:hAnsi="Arial Narrow"/>
        </w:rPr>
        <w:t xml:space="preserve"> </w:t>
      </w:r>
    </w:p>
    <w:p w14:paraId="4932DDB7" w14:textId="77777777" w:rsidR="007968EC" w:rsidRPr="00EB14DE" w:rsidRDefault="007968EC" w:rsidP="007968EC">
      <w:pPr>
        <w:ind w:left="851"/>
        <w:contextualSpacing/>
        <w:jc w:val="both"/>
        <w:rPr>
          <w:rFonts w:ascii="Arial Narrow" w:eastAsia="Calibri" w:hAnsi="Arial Narrow" w:cs="Arial Narrow"/>
          <w:bCs/>
          <w:color w:val="000000" w:themeColor="text1"/>
        </w:rPr>
      </w:pPr>
    </w:p>
    <w:p w14:paraId="3F709EE8" w14:textId="77777777" w:rsidR="007968EC" w:rsidRPr="00EB14DE" w:rsidRDefault="007968EC" w:rsidP="00DA7472">
      <w:pPr>
        <w:numPr>
          <w:ilvl w:val="1"/>
          <w:numId w:val="214"/>
        </w:numPr>
        <w:ind w:left="851" w:hanging="425"/>
        <w:contextualSpacing/>
        <w:jc w:val="both"/>
        <w:rPr>
          <w:rFonts w:ascii="Arial Narrow" w:eastAsia="Calibri" w:hAnsi="Arial Narrow" w:cs="Arial Narrow"/>
          <w:bCs/>
          <w:color w:val="000000" w:themeColor="text1"/>
        </w:rPr>
      </w:pPr>
      <w:r w:rsidRPr="00EB14DE">
        <w:rPr>
          <w:rFonts w:ascii="Arial Narrow" w:eastAsia="Calibri" w:hAnsi="Arial Narrow" w:cs="Arial Narrow"/>
          <w:bCs/>
          <w:color w:val="000000" w:themeColor="text1"/>
        </w:rPr>
        <w:t xml:space="preserve">El Administrador del Miembro deberá informar a través del SAS que la Cuenta se destinará al registro exclusivo de Operaciones de Contratos de Futuros sobre Acciones del Índice COLCAP con Liquidación por Diferencias, de Contratos de Futuro sobre Acciones del Índice COLCAP con Liquidación por Entrega, </w:t>
      </w:r>
      <w:r w:rsidRPr="00EB14DE">
        <w:rPr>
          <w:rFonts w:ascii="Arial Narrow" w:hAnsi="Arial Narrow"/>
          <w:bCs/>
          <w:color w:val="000000" w:themeColor="text1"/>
          <w:lang w:eastAsia="es-CO"/>
        </w:rPr>
        <w:t>Contratos de Futuros Índice Accionario COLCAP y/o Mini Contrato de Futuro Índice Accionario COLCAP.</w:t>
      </w:r>
      <w:r w:rsidRPr="00EB14DE">
        <w:rPr>
          <w:rFonts w:ascii="Arial Narrow" w:eastAsia="Calibri" w:hAnsi="Arial Narrow" w:cs="Arial Narrow"/>
          <w:bCs/>
          <w:color w:val="000000" w:themeColor="text1"/>
        </w:rPr>
        <w:t xml:space="preserve"> </w:t>
      </w:r>
    </w:p>
    <w:p w14:paraId="5E8CF38F" w14:textId="77777777" w:rsidR="007968EC" w:rsidRPr="00EB14DE" w:rsidRDefault="007968EC" w:rsidP="007968EC">
      <w:pPr>
        <w:contextualSpacing/>
        <w:rPr>
          <w:rFonts w:ascii="Arial Narrow" w:eastAsia="Calibri" w:hAnsi="Arial Narrow" w:cs="Arial Narrow"/>
          <w:bCs/>
          <w:color w:val="000000" w:themeColor="text1"/>
        </w:rPr>
      </w:pPr>
    </w:p>
    <w:p w14:paraId="6068A783" w14:textId="77777777" w:rsidR="007968EC" w:rsidRPr="00EB14DE" w:rsidRDefault="007968EC" w:rsidP="00DA7472">
      <w:pPr>
        <w:numPr>
          <w:ilvl w:val="1"/>
          <w:numId w:val="214"/>
        </w:numPr>
        <w:ind w:left="851" w:hanging="425"/>
        <w:contextualSpacing/>
        <w:jc w:val="both"/>
        <w:rPr>
          <w:rFonts w:ascii="Arial Narrow" w:eastAsia="Calibri" w:hAnsi="Arial Narrow" w:cs="Arial Narrow"/>
          <w:bCs/>
          <w:color w:val="000000" w:themeColor="text1"/>
        </w:rPr>
      </w:pPr>
      <w:r w:rsidRPr="00EB14DE">
        <w:rPr>
          <w:rFonts w:ascii="Arial Narrow" w:eastAsia="Calibri" w:hAnsi="Arial Narrow" w:cs="Arial Narrow"/>
          <w:bCs/>
          <w:color w:val="000000" w:themeColor="text1"/>
        </w:rPr>
        <w:t xml:space="preserve">El límite máximo de Garantías por Posición a constituir en acciones para cubrir los requerimientos de Garantías por Posición de la respectiva Cuenta calculado por la Cámara será aquel que represente el 30% del promedio diario del valor negociado en el mercado de contado de la acción correspondiente durante el mes inmediatamente anterior. </w:t>
      </w:r>
    </w:p>
    <w:p w14:paraId="29EF4261" w14:textId="77777777" w:rsidR="007968EC" w:rsidRPr="00EB14DE" w:rsidRDefault="007968EC" w:rsidP="007968EC">
      <w:pPr>
        <w:jc w:val="both"/>
        <w:rPr>
          <w:rFonts w:ascii="Arial Narrow" w:eastAsia="Calibri" w:hAnsi="Arial Narrow" w:cs="Arial Narrow"/>
          <w:bCs/>
          <w:color w:val="000000" w:themeColor="text1"/>
        </w:rPr>
      </w:pPr>
    </w:p>
    <w:p w14:paraId="5AD24B65" w14:textId="77777777" w:rsidR="007968EC" w:rsidRPr="00EB14DE" w:rsidRDefault="007968EC" w:rsidP="007968EC">
      <w:pPr>
        <w:ind w:left="851"/>
        <w:jc w:val="both"/>
        <w:rPr>
          <w:rFonts w:ascii="Arial Narrow" w:eastAsia="Calibri" w:hAnsi="Arial Narrow" w:cs="Arial Narrow"/>
          <w:bCs/>
          <w:color w:val="000000" w:themeColor="text1"/>
        </w:rPr>
      </w:pPr>
      <w:r w:rsidRPr="00EB14DE">
        <w:rPr>
          <w:rFonts w:ascii="Arial Narrow" w:eastAsia="Calibri" w:hAnsi="Arial Narrow" w:cs="Arial Narrow"/>
          <w:bCs/>
          <w:color w:val="000000" w:themeColor="text1"/>
        </w:rPr>
        <w:lastRenderedPageBreak/>
        <w:t xml:space="preserve">El cálculo del límite se hará frente a la sumatoria de las acciones constituidas como Garantías por Posición de todas las Cuentas de la estructura de Cuentas de un Miembro Liquidador.  </w:t>
      </w:r>
    </w:p>
    <w:p w14:paraId="50A33875" w14:textId="77777777" w:rsidR="007968EC" w:rsidRPr="00EB14DE" w:rsidRDefault="007968EC" w:rsidP="007968EC">
      <w:pPr>
        <w:ind w:left="851"/>
        <w:jc w:val="both"/>
        <w:rPr>
          <w:rFonts w:ascii="Arial Narrow" w:eastAsia="Calibri" w:hAnsi="Arial Narrow" w:cs="Arial Narrow"/>
          <w:bCs/>
          <w:color w:val="000000" w:themeColor="text1"/>
        </w:rPr>
      </w:pPr>
    </w:p>
    <w:p w14:paraId="20B9C762" w14:textId="77777777" w:rsidR="007968EC" w:rsidRPr="00EB14DE" w:rsidRDefault="007968EC" w:rsidP="007968EC">
      <w:pPr>
        <w:ind w:left="851"/>
        <w:jc w:val="both"/>
        <w:rPr>
          <w:rFonts w:ascii="Arial Narrow" w:eastAsia="Calibri" w:hAnsi="Arial Narrow" w:cs="Arial Narrow"/>
          <w:bCs/>
          <w:color w:val="000000" w:themeColor="text1"/>
        </w:rPr>
      </w:pPr>
      <w:r w:rsidRPr="00EB14DE">
        <w:rPr>
          <w:rFonts w:ascii="Arial Narrow" w:eastAsia="Calibri" w:hAnsi="Arial Narrow" w:cs="Arial Narrow"/>
          <w:bCs/>
          <w:color w:val="000000" w:themeColor="text1"/>
        </w:rPr>
        <w:t xml:space="preserve">En el evento en que el titular de Cuenta registre operaciones distintas a operaciones de Contratos de Futuro sobre Acciones del Índice COLCAP con Liquidación por Diferencias, de Contratos de Futuro sobre Acciones del Índice COLCAP con Liquidación por Entrega,  </w:t>
      </w:r>
      <w:r w:rsidRPr="00EB14DE">
        <w:rPr>
          <w:rFonts w:ascii="Arial Narrow" w:hAnsi="Arial Narrow"/>
          <w:bCs/>
          <w:color w:val="000000" w:themeColor="text1"/>
          <w:lang w:eastAsia="es-CO"/>
        </w:rPr>
        <w:t>Contratos de Futuros Índice Accionario COLCAP y/o Mini Contrato de Futuro Índice Accionario COLCAP</w:t>
      </w:r>
      <w:r w:rsidRPr="00EB14DE">
        <w:rPr>
          <w:rFonts w:ascii="Arial Narrow" w:eastAsia="Calibri" w:hAnsi="Arial Narrow" w:cs="Arial Narrow"/>
          <w:bCs/>
          <w:color w:val="000000" w:themeColor="text1"/>
        </w:rPr>
        <w:t xml:space="preserve">, las acciones entregadas como garantía sólo computarán para el cálculo de la Garantía por Posición exigida, si antes de finalizar la Sesión de Cierre de Cámara del mismo día en que se registraron dichas Operaciones, el titular de la Cuenta realiza el cierre de tales Posiciones Abiertas, o realiza alguno de los tipos de gestión de Operaciones indicados en el Capítulo Segundo del Título Cuarto de la presente Circular. </w:t>
      </w:r>
    </w:p>
    <w:p w14:paraId="1222BD24" w14:textId="77777777" w:rsidR="007968EC" w:rsidRPr="00EB14DE" w:rsidRDefault="007968EC" w:rsidP="007968EC">
      <w:pPr>
        <w:ind w:left="851"/>
        <w:jc w:val="both"/>
        <w:rPr>
          <w:rFonts w:ascii="Arial Narrow" w:eastAsia="Calibri" w:hAnsi="Arial Narrow" w:cs="Arial Narrow"/>
          <w:bCs/>
          <w:color w:val="000000" w:themeColor="text1"/>
        </w:rPr>
      </w:pPr>
    </w:p>
    <w:p w14:paraId="59BECCF1" w14:textId="77777777" w:rsidR="007968EC" w:rsidRPr="00EB14DE" w:rsidRDefault="007968EC" w:rsidP="007968EC">
      <w:pPr>
        <w:ind w:left="851"/>
        <w:jc w:val="both"/>
        <w:rPr>
          <w:rFonts w:ascii="Arial Narrow" w:eastAsia="Calibri" w:hAnsi="Arial Narrow" w:cs="Arial Narrow"/>
          <w:bCs/>
          <w:color w:val="000000" w:themeColor="text1"/>
        </w:rPr>
      </w:pPr>
      <w:r w:rsidRPr="00EB14DE">
        <w:rPr>
          <w:rFonts w:ascii="Arial Narrow" w:eastAsia="Calibri" w:hAnsi="Arial Narrow" w:cs="Arial Narrow"/>
          <w:bCs/>
          <w:color w:val="000000" w:themeColor="text1"/>
        </w:rPr>
        <w:t>En caso contrario, el titular de la Cuenta deberá constituir las garantías exigidas en los Activos indicados en los numerales 1 y 2 del artículo 1.6.4.1. de la presenta Circular.</w:t>
      </w:r>
    </w:p>
    <w:p w14:paraId="07C9229B" w14:textId="77777777" w:rsidR="007968EC" w:rsidRPr="00EB14DE" w:rsidRDefault="007968EC" w:rsidP="007968EC">
      <w:pPr>
        <w:ind w:left="851"/>
        <w:jc w:val="both"/>
        <w:rPr>
          <w:rFonts w:ascii="Arial Narrow" w:eastAsia="Calibri" w:hAnsi="Arial Narrow" w:cs="Arial Narrow"/>
          <w:bCs/>
          <w:color w:val="000000" w:themeColor="text1"/>
        </w:rPr>
      </w:pPr>
    </w:p>
    <w:p w14:paraId="4A413ABF" w14:textId="77777777" w:rsidR="007968EC" w:rsidRPr="00EB14DE" w:rsidRDefault="007968EC" w:rsidP="007968EC">
      <w:pPr>
        <w:ind w:left="851"/>
        <w:jc w:val="both"/>
        <w:rPr>
          <w:rFonts w:ascii="Arial Narrow" w:eastAsia="Calibri" w:hAnsi="Arial Narrow" w:cs="Arial Narrow"/>
          <w:bCs/>
          <w:color w:val="000000" w:themeColor="text1"/>
        </w:rPr>
      </w:pPr>
      <w:r w:rsidRPr="00EB14DE">
        <w:rPr>
          <w:rFonts w:ascii="Arial Narrow" w:eastAsia="Calibri" w:hAnsi="Arial Narrow" w:cs="Arial Narrow"/>
          <w:bCs/>
          <w:color w:val="000000" w:themeColor="text1"/>
        </w:rPr>
        <w:t>Igualmente, en el evento en que se exceda el límite máximo de Garantías por Posición a constituir en acciones de conformidad con lo dispuesto en el literal c. anterior, el Miembro Liquidador deberá proceder a la constitución de garantías exigidas en los Activos indicados en los numerales 1 y 2 del artículo 1.6.4.1. de la presente Circular, por la diferencia entre el límite máximo y el valor de la garantía exigida.</w:t>
      </w:r>
    </w:p>
    <w:p w14:paraId="43779232" w14:textId="77777777" w:rsidR="007968EC" w:rsidRPr="00EB14DE" w:rsidRDefault="007968EC" w:rsidP="007968EC">
      <w:pPr>
        <w:ind w:left="851"/>
        <w:jc w:val="both"/>
        <w:rPr>
          <w:rFonts w:ascii="Arial Narrow" w:eastAsia="Calibri" w:hAnsi="Arial Narrow" w:cs="Arial Narrow"/>
          <w:bCs/>
          <w:color w:val="000000" w:themeColor="text1"/>
        </w:rPr>
      </w:pPr>
    </w:p>
    <w:p w14:paraId="5D3055B7" w14:textId="77777777" w:rsidR="007968EC" w:rsidRDefault="007968EC" w:rsidP="007968EC">
      <w:pPr>
        <w:pStyle w:val="ARTICULO0"/>
        <w:ind w:left="851"/>
        <w:rPr>
          <w:rFonts w:eastAsia="Calibri" w:cs="Arial Narrow"/>
          <w:b w:val="0"/>
          <w:u w:val="none"/>
        </w:rPr>
      </w:pPr>
      <w:bookmarkStart w:id="5238" w:name="_Toc31716231"/>
      <w:r w:rsidRPr="00EB14DE">
        <w:rPr>
          <w:rFonts w:eastAsia="Calibri" w:cs="Arial Narrow"/>
          <w:b w:val="0"/>
          <w:u w:val="none"/>
        </w:rPr>
        <w:t>La constitución de las garantías deberá llevarse a cabo de conformidad con lo previsto en los artículos 1.6.4.3., 1.6.4.4. y 1.6.4.5. de la presente Circular.</w:t>
      </w:r>
      <w:bookmarkEnd w:id="5238"/>
    </w:p>
    <w:p w14:paraId="2255273F" w14:textId="77777777" w:rsidR="007968EC" w:rsidRDefault="007968EC" w:rsidP="007968EC">
      <w:pPr>
        <w:rPr>
          <w:rFonts w:ascii="Arial Narrow" w:eastAsia="Calibri" w:hAnsi="Arial Narrow" w:cs="Arial Narrow"/>
          <w:bCs/>
          <w:color w:val="000000" w:themeColor="text1"/>
        </w:rPr>
      </w:pPr>
    </w:p>
    <w:p w14:paraId="37CF6697" w14:textId="77777777" w:rsidR="007968EC" w:rsidRPr="004746B2" w:rsidRDefault="007968EC" w:rsidP="007968EC">
      <w:pPr>
        <w:ind w:left="708"/>
        <w:jc w:val="both"/>
        <w:rPr>
          <w:rFonts w:ascii="Arial Narrow" w:hAnsi="Arial Narrow" w:cs="Arial"/>
          <w:bCs/>
          <w:color w:val="000000"/>
          <w:lang w:eastAsia="es-ES"/>
        </w:rPr>
      </w:pPr>
      <w:bookmarkStart w:id="5239" w:name="_Hlk16585078"/>
      <w:r w:rsidRPr="00CE52A0">
        <w:rPr>
          <w:rFonts w:ascii="Arial Narrow" w:hAnsi="Arial Narrow" w:cs="Arial"/>
          <w:b/>
          <w:color w:val="000000"/>
          <w:lang w:eastAsia="es-ES"/>
        </w:rPr>
        <w:t xml:space="preserve">Parágrafo. </w:t>
      </w:r>
      <w:r>
        <w:rPr>
          <w:rFonts w:ascii="Arial Narrow" w:hAnsi="Arial Narrow" w:cs="Arial"/>
          <w:bCs/>
          <w:color w:val="000000"/>
          <w:lang w:eastAsia="es-ES"/>
        </w:rPr>
        <w:t xml:space="preserve">La Cámara de Riesgo Central de Contraparte de Colombia S.A. suspendió la compensación y liquidación de los </w:t>
      </w:r>
      <w:r w:rsidRPr="002C0D19">
        <w:rPr>
          <w:rFonts w:ascii="Arial Narrow" w:eastAsia="Calibri" w:hAnsi="Arial Narrow"/>
          <w:bCs/>
          <w:color w:val="000000" w:themeColor="text1"/>
        </w:rPr>
        <w:t>Contratos de Futuros Índice Accionario COLCAP</w:t>
      </w:r>
      <w:r>
        <w:rPr>
          <w:rFonts w:ascii="Arial Narrow" w:eastAsia="Calibri" w:hAnsi="Arial Narrow"/>
          <w:bCs/>
          <w:color w:val="000000" w:themeColor="text1"/>
        </w:rPr>
        <w:t xml:space="preserve"> </w:t>
      </w:r>
      <w:r>
        <w:rPr>
          <w:rFonts w:ascii="Arial Narrow" w:hAnsi="Arial Narrow" w:cs="Arial"/>
          <w:bCs/>
          <w:color w:val="000000"/>
          <w:lang w:eastAsia="es-ES"/>
        </w:rPr>
        <w:t xml:space="preserve">con vencimiento trimestral del ciclo de Diciembre, Marzo y Junio a partir del doce (12) de agosto de 2019 y en consecuencia no se listarán más contratos de este Instrumento. Lo anterior, con fundamento en el Boletín Normativo No 19 del día nueve (9) de agosto de 2019 de la Bolsa de Valores de Colombia S.A, con vigencia a partir del día doce (12) de agosto de 2019, a partir del cual suspendió la negociación de los </w:t>
      </w:r>
      <w:r w:rsidRPr="002C0D19">
        <w:rPr>
          <w:rFonts w:ascii="Arial Narrow" w:eastAsia="Calibri" w:hAnsi="Arial Narrow"/>
          <w:bCs/>
          <w:color w:val="000000" w:themeColor="text1"/>
        </w:rPr>
        <w:t>Contratos de Futuros Índice Accionario COLCAP</w:t>
      </w:r>
      <w:r>
        <w:rPr>
          <w:rFonts w:ascii="Arial Narrow" w:eastAsia="Calibri" w:hAnsi="Arial Narrow"/>
          <w:bCs/>
          <w:color w:val="000000" w:themeColor="text1"/>
        </w:rPr>
        <w:t xml:space="preserve"> mencionados anteriormente.</w:t>
      </w:r>
      <w:bookmarkEnd w:id="5239"/>
    </w:p>
    <w:p w14:paraId="2A9F8C5E" w14:textId="77777777" w:rsidR="007968EC" w:rsidRDefault="007968EC" w:rsidP="007968EC">
      <w:pPr>
        <w:pStyle w:val="ARTICULO0"/>
        <w:ind w:left="851"/>
        <w:rPr>
          <w:rFonts w:eastAsia="Calibri" w:cs="Arial Narrow"/>
          <w:b w:val="0"/>
          <w:u w:val="none"/>
        </w:rPr>
      </w:pPr>
    </w:p>
    <w:p w14:paraId="45D8C000" w14:textId="77777777" w:rsidR="007968EC" w:rsidRPr="00866BAF" w:rsidRDefault="007968EC" w:rsidP="007968EC">
      <w:pPr>
        <w:rPr>
          <w:rFonts w:ascii="Arial Narrow" w:eastAsia="Calibri" w:hAnsi="Arial Narrow" w:cs="Arial Narrow"/>
          <w:color w:val="000000" w:themeColor="text1"/>
          <w:u w:val="single"/>
        </w:rPr>
      </w:pPr>
    </w:p>
    <w:p w14:paraId="274A8F47" w14:textId="77777777" w:rsidR="007968EC" w:rsidRPr="002F6334" w:rsidRDefault="007968EC" w:rsidP="007968EC">
      <w:pPr>
        <w:pStyle w:val="ARTICULO0"/>
      </w:pPr>
      <w:bookmarkStart w:id="5240" w:name="_Toc470781165"/>
      <w:bookmarkStart w:id="5241" w:name="_Toc470784726"/>
      <w:bookmarkStart w:id="5242" w:name="_Toc470785263"/>
      <w:bookmarkStart w:id="5243" w:name="_Toc470791657"/>
      <w:bookmarkStart w:id="5244" w:name="_Toc472592400"/>
      <w:bookmarkStart w:id="5245" w:name="_Toc472593419"/>
      <w:bookmarkStart w:id="5246" w:name="_Toc31716232"/>
      <w:bookmarkStart w:id="5247" w:name="_Toc479057210"/>
      <w:bookmarkStart w:id="5248" w:name="_Toc490066568"/>
      <w:r>
        <w:t xml:space="preserve">Artículo 2.7.2.15. </w:t>
      </w:r>
      <w:r w:rsidRPr="002F6334">
        <w:t>Contrato de Futuro de Inflación.</w:t>
      </w:r>
      <w:bookmarkEnd w:id="5240"/>
      <w:bookmarkEnd w:id="5241"/>
      <w:bookmarkEnd w:id="5242"/>
      <w:bookmarkEnd w:id="5243"/>
      <w:bookmarkEnd w:id="5244"/>
      <w:bookmarkEnd w:id="5245"/>
      <w:bookmarkEnd w:id="5246"/>
    </w:p>
    <w:p w14:paraId="72675102" w14:textId="77777777" w:rsidR="007968EC" w:rsidRPr="00EB3022" w:rsidRDefault="007968EC" w:rsidP="007968EC">
      <w:pPr>
        <w:jc w:val="both"/>
        <w:rPr>
          <w:rFonts w:ascii="Arial Narrow" w:eastAsia="Calibri" w:hAnsi="Arial Narrow"/>
          <w:bCs/>
          <w:color w:val="000000" w:themeColor="text1"/>
        </w:rPr>
      </w:pPr>
    </w:p>
    <w:p w14:paraId="009BBF1A" w14:textId="77777777" w:rsidR="007968EC" w:rsidRPr="002C0D19" w:rsidRDefault="007968EC" w:rsidP="007968EC">
      <w:pPr>
        <w:pStyle w:val="ANTECEDENTES"/>
        <w:rPr>
          <w:u w:val="single"/>
        </w:rPr>
      </w:pPr>
      <w:r w:rsidRPr="002C0D19">
        <w:t>(Este artículo fue renumerado mediante Circular 6 del 14 de febrero de 2017, publicada mediante Boletín Normativo No. 006 del 14 de febrero de 2017</w:t>
      </w:r>
      <w:r>
        <w:t xml:space="preserve"> y </w:t>
      </w:r>
      <w:r w:rsidRPr="009C4B41">
        <w:rPr>
          <w:lang w:val="es-ES"/>
        </w:rPr>
        <w:t>mediante Circular 002 del 20 de febrero de 2018, publicada en el Boletín Normativo No. 003 del 20 de febrero de 2018. Rige a partir del 21 de febrero de 2018</w:t>
      </w:r>
      <w:r w:rsidRPr="002C0D19">
        <w:t>.)</w:t>
      </w:r>
      <w:bookmarkEnd w:id="5247"/>
      <w:bookmarkEnd w:id="5248"/>
    </w:p>
    <w:p w14:paraId="71FF0835" w14:textId="77777777" w:rsidR="007968EC" w:rsidRPr="004D6548" w:rsidRDefault="007968EC" w:rsidP="007968EC">
      <w:pPr>
        <w:jc w:val="both"/>
        <w:rPr>
          <w:rFonts w:ascii="Arial Narrow" w:eastAsia="Calibri" w:hAnsi="Arial Narrow"/>
          <w:bCs/>
          <w:color w:val="000000" w:themeColor="text1"/>
        </w:rPr>
      </w:pPr>
    </w:p>
    <w:p w14:paraId="5FEAC932" w14:textId="77777777" w:rsidR="007968EC" w:rsidRPr="002C0D19" w:rsidRDefault="007968EC" w:rsidP="007968EC">
      <w:pPr>
        <w:jc w:val="both"/>
        <w:rPr>
          <w:rFonts w:ascii="Arial Narrow" w:eastAsia="Calibri" w:hAnsi="Arial Narrow" w:cs="Arial Narrow"/>
          <w:b/>
          <w:color w:val="000000" w:themeColor="text1"/>
        </w:rPr>
      </w:pPr>
      <w:r w:rsidRPr="002C0D19">
        <w:rPr>
          <w:rFonts w:ascii="Arial Narrow" w:eastAsia="Calibri" w:hAnsi="Arial Narrow" w:cs="Arial Narrow"/>
          <w:color w:val="000000" w:themeColor="text1"/>
        </w:rPr>
        <w:t>La Cámara se interpondrá como contraparte y realizará la Compensación y Liquidación del Contrato de Futuro de Inflación que cumpla las siguientes condiciones:</w:t>
      </w:r>
    </w:p>
    <w:p w14:paraId="4D3576C7" w14:textId="77777777" w:rsidR="007968EC" w:rsidRPr="002C0D19" w:rsidRDefault="007968EC" w:rsidP="007968EC">
      <w:pPr>
        <w:jc w:val="both"/>
        <w:rPr>
          <w:rFonts w:ascii="Arial Narrow" w:eastAsia="Calibri" w:hAnsi="Arial Narrow" w:cs="Arial Narrow"/>
          <w:b/>
          <w:color w:val="000000" w:themeColor="text1"/>
        </w:rPr>
      </w:pPr>
    </w:p>
    <w:p w14:paraId="171A948D" w14:textId="77777777" w:rsidR="007968EC" w:rsidRPr="002C0D19" w:rsidRDefault="007968EC" w:rsidP="007968EC">
      <w:pPr>
        <w:jc w:val="both"/>
        <w:rPr>
          <w:rFonts w:ascii="Arial Narrow" w:eastAsia="Calibri" w:hAnsi="Arial Narrow" w:cs="Arial Narrow"/>
          <w:b/>
          <w:color w:val="000000" w:themeColor="text1"/>
        </w:rPr>
      </w:pPr>
      <w:r w:rsidRPr="002C0D19">
        <w:rPr>
          <w:rFonts w:ascii="Arial Narrow" w:eastAsia="Calibri" w:hAnsi="Arial Narrow" w:cs="Arial Narrow"/>
          <w:color w:val="000000" w:themeColor="text1"/>
        </w:rPr>
        <w:t>1. Generalidades:</w:t>
      </w:r>
    </w:p>
    <w:p w14:paraId="71C19A0B" w14:textId="77777777" w:rsidR="007968EC" w:rsidRPr="002C0D19" w:rsidRDefault="007968EC" w:rsidP="007968EC">
      <w:pPr>
        <w:jc w:val="both"/>
        <w:rPr>
          <w:rFonts w:ascii="Arial Narrow" w:eastAsia="Calibri" w:hAnsi="Arial Narrow" w:cs="Arial Narrow"/>
          <w:b/>
          <w:color w:val="000000" w:themeColor="text1"/>
        </w:rPr>
      </w:pPr>
    </w:p>
    <w:tbl>
      <w:tblPr>
        <w:tblW w:w="9375"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214"/>
        <w:gridCol w:w="6161"/>
      </w:tblGrid>
      <w:tr w:rsidR="007968EC" w:rsidRPr="002C0D19" w14:paraId="4927B2BF" w14:textId="77777777" w:rsidTr="007968EC">
        <w:trPr>
          <w:trHeight w:val="269"/>
        </w:trPr>
        <w:tc>
          <w:tcPr>
            <w:tcW w:w="3214" w:type="dxa"/>
            <w:shd w:val="clear" w:color="auto" w:fill="BFBFBF"/>
          </w:tcPr>
          <w:p w14:paraId="2B3F9A5F" w14:textId="77777777" w:rsidR="007968EC" w:rsidRPr="002C0D19" w:rsidRDefault="007968EC" w:rsidP="007968EC">
            <w:pPr>
              <w:rPr>
                <w:rFonts w:ascii="Arial Narrow" w:eastAsia="Calibri" w:hAnsi="Arial Narrow" w:cs="Arial Narrow"/>
                <w:b/>
                <w:color w:val="000000" w:themeColor="text1"/>
              </w:rPr>
            </w:pPr>
            <w:r w:rsidRPr="002C0D19">
              <w:rPr>
                <w:rFonts w:ascii="Arial Narrow" w:eastAsia="Calibri" w:hAnsi="Arial Narrow" w:cs="Arial Narrow"/>
                <w:color w:val="000000" w:themeColor="text1"/>
              </w:rPr>
              <w:t>Instrumento</w:t>
            </w:r>
          </w:p>
        </w:tc>
        <w:tc>
          <w:tcPr>
            <w:tcW w:w="6161" w:type="dxa"/>
          </w:tcPr>
          <w:p w14:paraId="42120A73" w14:textId="77777777" w:rsidR="007968EC" w:rsidRPr="002C0D19" w:rsidRDefault="007968EC" w:rsidP="007968EC">
            <w:pPr>
              <w:autoSpaceDE w:val="0"/>
              <w:autoSpaceDN w:val="0"/>
              <w:jc w:val="both"/>
              <w:rPr>
                <w:rFonts w:ascii="Arial Narrow" w:eastAsia="Calibri" w:hAnsi="Arial Narrow" w:cs="Arial Narrow"/>
                <w:b/>
                <w:color w:val="000000" w:themeColor="text1"/>
              </w:rPr>
            </w:pPr>
            <w:r w:rsidRPr="002C0D19">
              <w:rPr>
                <w:rFonts w:ascii="Arial Narrow" w:eastAsia="Calibri" w:hAnsi="Arial Narrow" w:cs="Arial Narrow"/>
                <w:color w:val="000000" w:themeColor="text1"/>
              </w:rPr>
              <w:t>Contrato de Futuro de Inflación</w:t>
            </w:r>
          </w:p>
        </w:tc>
      </w:tr>
      <w:tr w:rsidR="007968EC" w:rsidRPr="002C0D19" w14:paraId="3440E482" w14:textId="77777777" w:rsidTr="007968EC">
        <w:trPr>
          <w:trHeight w:val="765"/>
        </w:trPr>
        <w:tc>
          <w:tcPr>
            <w:tcW w:w="3214" w:type="dxa"/>
            <w:shd w:val="clear" w:color="auto" w:fill="BFBFBF"/>
          </w:tcPr>
          <w:p w14:paraId="1301227B" w14:textId="77777777" w:rsidR="007968EC" w:rsidRPr="002C0D19" w:rsidRDefault="007968EC" w:rsidP="007968EC">
            <w:pPr>
              <w:rPr>
                <w:rFonts w:ascii="Arial Narrow" w:eastAsia="Calibri" w:hAnsi="Arial Narrow" w:cs="Arial Narrow"/>
                <w:b/>
                <w:color w:val="000000" w:themeColor="text1"/>
              </w:rPr>
            </w:pPr>
            <w:r w:rsidRPr="002C0D19">
              <w:rPr>
                <w:rFonts w:ascii="Arial Narrow" w:eastAsia="Calibri" w:hAnsi="Arial Narrow" w:cs="Arial Narrow"/>
                <w:color w:val="000000" w:themeColor="text1"/>
              </w:rPr>
              <w:t>Activo Subyacente</w:t>
            </w:r>
          </w:p>
        </w:tc>
        <w:tc>
          <w:tcPr>
            <w:tcW w:w="6161" w:type="dxa"/>
          </w:tcPr>
          <w:p w14:paraId="2D947B09" w14:textId="77777777" w:rsidR="007968EC" w:rsidRPr="002C0D19" w:rsidRDefault="007968EC" w:rsidP="007968EC">
            <w:pPr>
              <w:autoSpaceDE w:val="0"/>
              <w:autoSpaceDN w:val="0"/>
              <w:jc w:val="both"/>
              <w:rPr>
                <w:rFonts w:ascii="Arial Narrow" w:eastAsia="Calibri" w:hAnsi="Arial Narrow" w:cs="Arial Narrow"/>
                <w:b/>
                <w:color w:val="000000" w:themeColor="text1"/>
              </w:rPr>
            </w:pPr>
            <w:r w:rsidRPr="002C0D19">
              <w:rPr>
                <w:rFonts w:ascii="Arial Narrow" w:eastAsia="Calibri" w:hAnsi="Arial Narrow" w:cs="Arial Narrow"/>
                <w:color w:val="000000" w:themeColor="text1"/>
              </w:rPr>
              <w:t>El activo subyacente de los contratos es la variación mensual del Índice de Precios al Consumidor (IPC), calculados y publicados por el Departamento Administrativo Nacional de Estadística (DANE). El dato publicado por el DANE y por ende el Activo Subyacente del contrato corresponde a la variación del índice para el mes inmediatamente anterior.</w:t>
            </w:r>
          </w:p>
        </w:tc>
      </w:tr>
      <w:tr w:rsidR="007968EC" w:rsidRPr="002C0D19" w14:paraId="22B58CA3" w14:textId="77777777" w:rsidTr="007968EC">
        <w:trPr>
          <w:trHeight w:val="269"/>
        </w:trPr>
        <w:tc>
          <w:tcPr>
            <w:tcW w:w="3214" w:type="dxa"/>
            <w:shd w:val="clear" w:color="auto" w:fill="BFBFBF"/>
          </w:tcPr>
          <w:p w14:paraId="388B19B5" w14:textId="77777777" w:rsidR="007968EC" w:rsidRPr="002C0D19" w:rsidRDefault="007968EC" w:rsidP="007968EC">
            <w:pPr>
              <w:rPr>
                <w:rFonts w:ascii="Arial Narrow" w:eastAsia="Calibri" w:hAnsi="Arial Narrow" w:cs="Arial Narrow"/>
                <w:b/>
                <w:color w:val="000000" w:themeColor="text1"/>
              </w:rPr>
            </w:pPr>
            <w:r w:rsidRPr="002C0D19">
              <w:rPr>
                <w:rFonts w:ascii="Arial Narrow" w:eastAsia="Calibri" w:hAnsi="Arial Narrow" w:cs="Arial Narrow"/>
                <w:color w:val="000000" w:themeColor="text1"/>
              </w:rPr>
              <w:t>Tamaño del Contrato</w:t>
            </w:r>
          </w:p>
        </w:tc>
        <w:tc>
          <w:tcPr>
            <w:tcW w:w="6161" w:type="dxa"/>
          </w:tcPr>
          <w:p w14:paraId="4B65FD5C" w14:textId="77777777" w:rsidR="007968EC" w:rsidRPr="002C0D19" w:rsidRDefault="007968EC" w:rsidP="007968EC">
            <w:pPr>
              <w:autoSpaceDE w:val="0"/>
              <w:autoSpaceDN w:val="0"/>
              <w:jc w:val="both"/>
              <w:rPr>
                <w:rFonts w:ascii="Arial Narrow" w:eastAsia="Calibri" w:hAnsi="Arial Narrow" w:cs="Arial Narrow"/>
                <w:b/>
                <w:color w:val="000000" w:themeColor="text1"/>
              </w:rPr>
            </w:pPr>
            <w:r w:rsidRPr="002C0D19">
              <w:rPr>
                <w:rFonts w:ascii="Arial Narrow" w:eastAsia="Calibri" w:hAnsi="Arial Narrow" w:cs="Arial Narrow"/>
                <w:color w:val="000000" w:themeColor="text1"/>
              </w:rPr>
              <w:t>COP 250.000.000</w:t>
            </w:r>
          </w:p>
        </w:tc>
      </w:tr>
      <w:tr w:rsidR="007968EC" w:rsidRPr="002C0D19" w14:paraId="2903E1ED" w14:textId="77777777" w:rsidTr="007968EC">
        <w:trPr>
          <w:trHeight w:val="269"/>
        </w:trPr>
        <w:tc>
          <w:tcPr>
            <w:tcW w:w="3214" w:type="dxa"/>
            <w:shd w:val="clear" w:color="auto" w:fill="BFBFBF"/>
          </w:tcPr>
          <w:p w14:paraId="29E1175E" w14:textId="77777777" w:rsidR="007968EC" w:rsidRPr="002C0D19" w:rsidRDefault="007968EC" w:rsidP="007968EC">
            <w:pPr>
              <w:rPr>
                <w:rFonts w:ascii="Arial Narrow" w:eastAsia="Calibri" w:hAnsi="Arial Narrow" w:cs="Arial Narrow"/>
                <w:b/>
                <w:color w:val="000000" w:themeColor="text1"/>
              </w:rPr>
            </w:pPr>
            <w:r w:rsidRPr="002C0D19">
              <w:rPr>
                <w:rFonts w:ascii="Arial Narrow" w:eastAsia="Calibri" w:hAnsi="Arial Narrow" w:cs="Arial Narrow"/>
                <w:color w:val="000000" w:themeColor="text1"/>
              </w:rPr>
              <w:t>Vencimientos</w:t>
            </w:r>
          </w:p>
        </w:tc>
        <w:tc>
          <w:tcPr>
            <w:tcW w:w="6161" w:type="dxa"/>
          </w:tcPr>
          <w:p w14:paraId="3B4A35EF" w14:textId="77777777" w:rsidR="007968EC" w:rsidRPr="002C0D19" w:rsidRDefault="007968EC" w:rsidP="007968EC">
            <w:pPr>
              <w:autoSpaceDE w:val="0"/>
              <w:autoSpaceDN w:val="0"/>
              <w:jc w:val="both"/>
              <w:rPr>
                <w:rFonts w:ascii="Arial Narrow" w:eastAsia="Calibri" w:hAnsi="Arial Narrow" w:cs="Arial Narrow"/>
                <w:b/>
                <w:color w:val="000000" w:themeColor="text1"/>
              </w:rPr>
            </w:pPr>
            <w:r w:rsidRPr="002C0D19">
              <w:rPr>
                <w:rFonts w:ascii="Arial Narrow" w:eastAsia="Calibri" w:hAnsi="Arial Narrow" w:cs="Arial Narrow"/>
                <w:color w:val="000000" w:themeColor="text1"/>
              </w:rPr>
              <w:t>Estarán disponibles en el sistema los tres primeros vencimientos mensuales. Es importante aclarar, que si bien la estructura de los vencimientos implica que se tienen contratos de 1 mes, 2 meses y 3 meses, la inflación que se negocia en todos los contratos es la mensual.</w:t>
            </w:r>
          </w:p>
        </w:tc>
      </w:tr>
      <w:tr w:rsidR="007968EC" w:rsidRPr="002C0D19" w14:paraId="3BBAEB90" w14:textId="77777777" w:rsidTr="007968EC">
        <w:trPr>
          <w:trHeight w:val="269"/>
        </w:trPr>
        <w:tc>
          <w:tcPr>
            <w:tcW w:w="3214" w:type="dxa"/>
            <w:shd w:val="clear" w:color="auto" w:fill="BFBFBF"/>
          </w:tcPr>
          <w:p w14:paraId="14FEFB3F" w14:textId="77777777" w:rsidR="007968EC" w:rsidRPr="002C0D19" w:rsidRDefault="007968EC" w:rsidP="007968EC">
            <w:pPr>
              <w:rPr>
                <w:rFonts w:ascii="Arial Narrow" w:eastAsia="Calibri" w:hAnsi="Arial Narrow" w:cs="Arial Narrow"/>
                <w:b/>
                <w:color w:val="000000" w:themeColor="text1"/>
              </w:rPr>
            </w:pPr>
            <w:r w:rsidRPr="002C0D19">
              <w:rPr>
                <w:rFonts w:ascii="Arial Narrow" w:eastAsia="Calibri" w:hAnsi="Arial Narrow" w:cs="Arial Narrow"/>
                <w:color w:val="000000" w:themeColor="text1"/>
              </w:rPr>
              <w:t>Método de Liquidación</w:t>
            </w:r>
          </w:p>
        </w:tc>
        <w:tc>
          <w:tcPr>
            <w:tcW w:w="6161" w:type="dxa"/>
          </w:tcPr>
          <w:p w14:paraId="14F95191" w14:textId="77777777" w:rsidR="007968EC" w:rsidRPr="002C0D19" w:rsidRDefault="007968EC" w:rsidP="007968EC">
            <w:pPr>
              <w:autoSpaceDE w:val="0"/>
              <w:autoSpaceDN w:val="0"/>
              <w:jc w:val="both"/>
              <w:rPr>
                <w:rFonts w:ascii="Arial Narrow" w:eastAsia="Calibri" w:hAnsi="Arial Narrow" w:cs="Arial Narrow"/>
                <w:b/>
                <w:color w:val="000000" w:themeColor="text1"/>
              </w:rPr>
            </w:pPr>
            <w:r w:rsidRPr="002C0D19">
              <w:rPr>
                <w:rFonts w:ascii="Arial Narrow" w:eastAsia="Calibri" w:hAnsi="Arial Narrow" w:cs="Arial Narrow"/>
                <w:color w:val="000000" w:themeColor="text1"/>
              </w:rPr>
              <w:t xml:space="preserve">Liquidación por diferencias.  </w:t>
            </w:r>
          </w:p>
        </w:tc>
      </w:tr>
      <w:tr w:rsidR="007968EC" w:rsidRPr="002C0D19" w14:paraId="437797C5" w14:textId="77777777" w:rsidTr="007968EC">
        <w:trPr>
          <w:trHeight w:val="269"/>
        </w:trPr>
        <w:tc>
          <w:tcPr>
            <w:tcW w:w="3214" w:type="dxa"/>
            <w:shd w:val="clear" w:color="auto" w:fill="BFBFBF"/>
            <w:vAlign w:val="center"/>
          </w:tcPr>
          <w:p w14:paraId="0CEBBC85" w14:textId="77777777" w:rsidR="007968EC" w:rsidRPr="002C0D19" w:rsidRDefault="007968EC" w:rsidP="007968EC">
            <w:pPr>
              <w:rPr>
                <w:rFonts w:ascii="Arial Narrow" w:eastAsia="Calibri" w:hAnsi="Arial Narrow"/>
                <w:b/>
                <w:color w:val="000000" w:themeColor="text1"/>
              </w:rPr>
            </w:pPr>
            <w:r w:rsidRPr="002C0D19">
              <w:rPr>
                <w:rFonts w:ascii="Arial Narrow" w:eastAsia="Calibri" w:hAnsi="Arial Narrow"/>
                <w:color w:val="000000" w:themeColor="text1"/>
              </w:rPr>
              <w:t>Tipo de Liquidación</w:t>
            </w:r>
          </w:p>
        </w:tc>
        <w:tc>
          <w:tcPr>
            <w:tcW w:w="6161" w:type="dxa"/>
            <w:vAlign w:val="center"/>
          </w:tcPr>
          <w:p w14:paraId="4AABFF8D" w14:textId="77777777" w:rsidR="007968EC" w:rsidRPr="002C0D19" w:rsidRDefault="007968EC" w:rsidP="007968EC">
            <w:pPr>
              <w:autoSpaceDE w:val="0"/>
              <w:autoSpaceDN w:val="0"/>
              <w:jc w:val="both"/>
              <w:rPr>
                <w:rFonts w:ascii="Arial Narrow" w:eastAsia="Calibri" w:hAnsi="Arial Narrow"/>
                <w:b/>
                <w:color w:val="000000" w:themeColor="text1"/>
              </w:rPr>
            </w:pPr>
            <w:r w:rsidRPr="002C0D19">
              <w:rPr>
                <w:rFonts w:ascii="Arial Narrow" w:eastAsia="Calibri" w:hAnsi="Arial Narrow"/>
                <w:color w:val="000000" w:themeColor="text1"/>
              </w:rPr>
              <w:t>Liquidación Diaria y al Vencimiento.</w:t>
            </w:r>
          </w:p>
        </w:tc>
      </w:tr>
      <w:tr w:rsidR="007968EC" w:rsidRPr="002C0D19" w14:paraId="0D2580E2" w14:textId="77777777" w:rsidTr="007968EC">
        <w:trPr>
          <w:trHeight w:val="269"/>
        </w:trPr>
        <w:tc>
          <w:tcPr>
            <w:tcW w:w="3214" w:type="dxa"/>
            <w:shd w:val="clear" w:color="auto" w:fill="BFBFBF"/>
          </w:tcPr>
          <w:p w14:paraId="5E062859" w14:textId="77777777" w:rsidR="007968EC" w:rsidRPr="002C0D19" w:rsidRDefault="007968EC" w:rsidP="007968EC">
            <w:pPr>
              <w:rPr>
                <w:rFonts w:ascii="Arial Narrow" w:eastAsia="Calibri" w:hAnsi="Arial Narrow" w:cs="Arial Narrow"/>
                <w:b/>
                <w:color w:val="000000" w:themeColor="text1"/>
              </w:rPr>
            </w:pPr>
            <w:r w:rsidRPr="002C0D19">
              <w:rPr>
                <w:rFonts w:ascii="Arial Narrow" w:eastAsia="Calibri" w:hAnsi="Arial Narrow" w:cs="Arial Narrow"/>
                <w:color w:val="000000" w:themeColor="text1"/>
              </w:rPr>
              <w:t>Último día de negociación</w:t>
            </w:r>
          </w:p>
        </w:tc>
        <w:tc>
          <w:tcPr>
            <w:tcW w:w="6161" w:type="dxa"/>
          </w:tcPr>
          <w:p w14:paraId="2D46B89F" w14:textId="77777777" w:rsidR="007968EC" w:rsidRPr="002C0D19" w:rsidRDefault="007968EC" w:rsidP="007968EC">
            <w:pPr>
              <w:autoSpaceDE w:val="0"/>
              <w:autoSpaceDN w:val="0"/>
              <w:jc w:val="both"/>
              <w:rPr>
                <w:rFonts w:ascii="Arial Narrow" w:eastAsia="Calibri" w:hAnsi="Arial Narrow" w:cs="Arial Narrow"/>
                <w:b/>
                <w:color w:val="000000" w:themeColor="text1"/>
              </w:rPr>
            </w:pPr>
            <w:r w:rsidRPr="002C0D19">
              <w:rPr>
                <w:rFonts w:ascii="Arial Narrow" w:eastAsia="Calibri" w:hAnsi="Arial Narrow" w:cs="Arial Narrow"/>
                <w:color w:val="000000" w:themeColor="text1"/>
              </w:rPr>
              <w:t>El último día de negociación será el quinto (5) día del mes de vencimiento del contrato; es decir, el día en que el DANE publica el dato mensual de la variación del IPC del mes inmediatamente anterior. Cuando este día corresponda a un día no hábil, el último día de negociación corresponderá al día hábil anterior.</w:t>
            </w:r>
          </w:p>
        </w:tc>
      </w:tr>
      <w:tr w:rsidR="007968EC" w:rsidRPr="002C0D19" w14:paraId="6E6F6AFB" w14:textId="77777777" w:rsidTr="007968EC">
        <w:trPr>
          <w:trHeight w:val="269"/>
        </w:trPr>
        <w:tc>
          <w:tcPr>
            <w:tcW w:w="3214" w:type="dxa"/>
            <w:shd w:val="clear" w:color="auto" w:fill="BFBFBF"/>
          </w:tcPr>
          <w:p w14:paraId="72CE1EC3" w14:textId="77777777" w:rsidR="007968EC" w:rsidRPr="002C0D19" w:rsidRDefault="007968EC" w:rsidP="007968EC">
            <w:pPr>
              <w:rPr>
                <w:rFonts w:ascii="Arial Narrow" w:eastAsia="Calibri" w:hAnsi="Arial Narrow" w:cs="Arial Narrow"/>
                <w:b/>
                <w:color w:val="000000" w:themeColor="text1"/>
              </w:rPr>
            </w:pPr>
            <w:r w:rsidRPr="002C0D19">
              <w:rPr>
                <w:rFonts w:ascii="Arial Narrow" w:eastAsia="Calibri" w:hAnsi="Arial Narrow" w:cs="Arial Narrow"/>
                <w:color w:val="000000" w:themeColor="text1"/>
              </w:rPr>
              <w:t>Fechas de vencimiento del Contrato</w:t>
            </w:r>
          </w:p>
        </w:tc>
        <w:tc>
          <w:tcPr>
            <w:tcW w:w="6161" w:type="dxa"/>
          </w:tcPr>
          <w:p w14:paraId="687F15AD" w14:textId="77777777" w:rsidR="007968EC" w:rsidRPr="002C0D19" w:rsidRDefault="007968EC" w:rsidP="007968EC">
            <w:pPr>
              <w:autoSpaceDE w:val="0"/>
              <w:autoSpaceDN w:val="0"/>
              <w:jc w:val="both"/>
              <w:rPr>
                <w:rFonts w:ascii="Arial Narrow" w:eastAsia="Calibri" w:hAnsi="Arial Narrow" w:cs="Arial Narrow"/>
                <w:b/>
                <w:color w:val="000000" w:themeColor="text1"/>
              </w:rPr>
            </w:pPr>
            <w:r w:rsidRPr="002C0D19">
              <w:rPr>
                <w:rFonts w:ascii="Arial Narrow" w:eastAsia="Calibri" w:hAnsi="Arial Narrow" w:cs="Arial Narrow"/>
                <w:color w:val="000000" w:themeColor="text1"/>
              </w:rPr>
              <w:t>La fecha de vencimiento de los contratos corresponderá al primer día hábil siguiente al último día de negociación.</w:t>
            </w:r>
          </w:p>
        </w:tc>
      </w:tr>
      <w:tr w:rsidR="007968EC" w:rsidRPr="002C0D19" w14:paraId="4E8F4AB3" w14:textId="77777777" w:rsidTr="007968EC">
        <w:trPr>
          <w:trHeight w:val="269"/>
        </w:trPr>
        <w:tc>
          <w:tcPr>
            <w:tcW w:w="3214" w:type="dxa"/>
            <w:shd w:val="clear" w:color="auto" w:fill="BFBFBF"/>
          </w:tcPr>
          <w:p w14:paraId="436816EB" w14:textId="77777777" w:rsidR="007968EC" w:rsidRPr="002C0D19" w:rsidRDefault="007968EC" w:rsidP="007968EC">
            <w:pPr>
              <w:rPr>
                <w:rFonts w:ascii="Arial Narrow" w:eastAsia="Calibri" w:hAnsi="Arial Narrow" w:cs="Arial Narrow"/>
                <w:b/>
                <w:color w:val="000000" w:themeColor="text1"/>
              </w:rPr>
            </w:pPr>
            <w:r w:rsidRPr="002C0D19">
              <w:rPr>
                <w:rFonts w:ascii="Arial Narrow" w:eastAsia="Calibri" w:hAnsi="Arial Narrow" w:cs="Arial Narrow"/>
                <w:color w:val="000000" w:themeColor="text1"/>
              </w:rPr>
              <w:t>Fecha de última liquidación del Contrato</w:t>
            </w:r>
          </w:p>
        </w:tc>
        <w:tc>
          <w:tcPr>
            <w:tcW w:w="6161" w:type="dxa"/>
          </w:tcPr>
          <w:p w14:paraId="0B441967" w14:textId="77777777" w:rsidR="007968EC" w:rsidRPr="002C0D19" w:rsidRDefault="007968EC" w:rsidP="007968EC">
            <w:pPr>
              <w:autoSpaceDE w:val="0"/>
              <w:autoSpaceDN w:val="0"/>
              <w:jc w:val="both"/>
              <w:rPr>
                <w:rFonts w:ascii="Arial Narrow" w:eastAsia="Calibri" w:hAnsi="Arial Narrow" w:cs="Arial Narrow"/>
                <w:b/>
                <w:color w:val="000000" w:themeColor="text1"/>
              </w:rPr>
            </w:pPr>
            <w:r w:rsidRPr="002C0D19">
              <w:rPr>
                <w:rFonts w:ascii="Arial Narrow" w:eastAsia="Calibri" w:hAnsi="Arial Narrow" w:cs="Arial Narrow"/>
                <w:color w:val="000000" w:themeColor="text1"/>
              </w:rPr>
              <w:t xml:space="preserve">La fecha de la última </w:t>
            </w:r>
            <w:proofErr w:type="gramStart"/>
            <w:r w:rsidRPr="002C0D19">
              <w:rPr>
                <w:rFonts w:ascii="Arial Narrow" w:eastAsia="Calibri" w:hAnsi="Arial Narrow" w:cs="Arial Narrow"/>
                <w:color w:val="000000" w:themeColor="text1"/>
              </w:rPr>
              <w:t>liquidación,</w:t>
            </w:r>
            <w:proofErr w:type="gramEnd"/>
            <w:r w:rsidRPr="002C0D19">
              <w:rPr>
                <w:rFonts w:ascii="Arial Narrow" w:eastAsia="Calibri" w:hAnsi="Arial Narrow" w:cs="Arial Narrow"/>
                <w:color w:val="000000" w:themeColor="text1"/>
              </w:rPr>
              <w:t xml:space="preserve"> será el primer día hábil siguiente al vencimiento del contrato</w:t>
            </w:r>
          </w:p>
        </w:tc>
      </w:tr>
      <w:tr w:rsidR="007968EC" w:rsidRPr="002C0D19" w14:paraId="4C35DDF7" w14:textId="77777777" w:rsidTr="007968EC">
        <w:trPr>
          <w:trHeight w:val="269"/>
        </w:trPr>
        <w:tc>
          <w:tcPr>
            <w:tcW w:w="3214" w:type="dxa"/>
            <w:shd w:val="clear" w:color="auto" w:fill="BFBFBF"/>
          </w:tcPr>
          <w:p w14:paraId="6A319D66" w14:textId="77777777" w:rsidR="007968EC" w:rsidRPr="002C0D19" w:rsidRDefault="007968EC" w:rsidP="007968EC">
            <w:pPr>
              <w:rPr>
                <w:rFonts w:ascii="Arial Narrow" w:eastAsia="Calibri" w:hAnsi="Arial Narrow" w:cs="Arial Narrow"/>
                <w:b/>
                <w:color w:val="000000" w:themeColor="text1"/>
              </w:rPr>
            </w:pPr>
            <w:r w:rsidRPr="002C0D19">
              <w:rPr>
                <w:rFonts w:ascii="Arial Narrow" w:eastAsia="Calibri" w:hAnsi="Arial Narrow" w:cs="Arial Narrow"/>
                <w:color w:val="000000" w:themeColor="text1"/>
              </w:rPr>
              <w:t>Inscripción</w:t>
            </w:r>
          </w:p>
        </w:tc>
        <w:tc>
          <w:tcPr>
            <w:tcW w:w="6161" w:type="dxa"/>
          </w:tcPr>
          <w:p w14:paraId="0C70533C" w14:textId="77777777" w:rsidR="007968EC" w:rsidRPr="002C0D19" w:rsidRDefault="007968EC" w:rsidP="007968EC">
            <w:pPr>
              <w:autoSpaceDE w:val="0"/>
              <w:autoSpaceDN w:val="0"/>
              <w:jc w:val="both"/>
              <w:rPr>
                <w:rFonts w:ascii="Arial Narrow" w:eastAsia="Calibri" w:hAnsi="Arial Narrow" w:cs="Arial Narrow"/>
                <w:b/>
                <w:color w:val="000000" w:themeColor="text1"/>
              </w:rPr>
            </w:pPr>
            <w:r w:rsidRPr="002C0D19">
              <w:rPr>
                <w:rFonts w:ascii="Arial Narrow" w:eastAsia="Calibri" w:hAnsi="Arial Narrow" w:cs="Arial Narrow"/>
                <w:color w:val="000000" w:themeColor="text1"/>
              </w:rPr>
              <w:t>Bolsa de Valores de Colombia – BVC</w:t>
            </w:r>
          </w:p>
        </w:tc>
      </w:tr>
    </w:tbl>
    <w:p w14:paraId="49913D46" w14:textId="77777777" w:rsidR="007968EC" w:rsidRPr="002C0D19" w:rsidRDefault="007968EC" w:rsidP="007968EC">
      <w:pPr>
        <w:jc w:val="both"/>
        <w:rPr>
          <w:rFonts w:ascii="Arial Narrow" w:eastAsia="Calibri" w:hAnsi="Arial Narrow" w:cs="Arial Narrow"/>
          <w:b/>
          <w:color w:val="000000" w:themeColor="text1"/>
        </w:rPr>
      </w:pPr>
    </w:p>
    <w:p w14:paraId="63E87986" w14:textId="77777777" w:rsidR="007968EC" w:rsidRPr="002C0D19" w:rsidRDefault="007968EC" w:rsidP="007968EC">
      <w:pPr>
        <w:jc w:val="both"/>
        <w:rPr>
          <w:rFonts w:ascii="Arial Narrow" w:eastAsia="Calibri" w:hAnsi="Arial Narrow" w:cs="Arial Narrow"/>
          <w:b/>
          <w:color w:val="000000" w:themeColor="text1"/>
        </w:rPr>
      </w:pPr>
      <w:r w:rsidRPr="002C0D19">
        <w:rPr>
          <w:rFonts w:ascii="Arial Narrow" w:eastAsia="Calibri" w:hAnsi="Arial Narrow" w:cs="Arial Narrow"/>
          <w:color w:val="000000" w:themeColor="text1"/>
        </w:rPr>
        <w:t>Al instrumento Contrato de Futuro de Inflación le aplican las condiciones previstas en los numerales 2 y 3 del artículo 2.7.2.1. de la Circular Única de la Cámara.</w:t>
      </w:r>
    </w:p>
    <w:p w14:paraId="688AF460" w14:textId="77777777" w:rsidR="007968EC" w:rsidRPr="002C0D19" w:rsidRDefault="007968EC" w:rsidP="007968EC">
      <w:pPr>
        <w:rPr>
          <w:rFonts w:ascii="Arial Narrow" w:eastAsia="Calibri" w:hAnsi="Arial Narrow"/>
          <w:color w:val="000000" w:themeColor="text1"/>
        </w:rPr>
      </w:pPr>
    </w:p>
    <w:p w14:paraId="35CDF9E4" w14:textId="77777777" w:rsidR="007968EC" w:rsidRPr="002F6334" w:rsidRDefault="007968EC" w:rsidP="007968EC">
      <w:pPr>
        <w:pStyle w:val="ARTICULO0"/>
      </w:pPr>
      <w:bookmarkStart w:id="5249" w:name="_Toc470781166"/>
      <w:bookmarkStart w:id="5250" w:name="_Toc470784727"/>
      <w:bookmarkStart w:id="5251" w:name="_Toc470785264"/>
      <w:bookmarkStart w:id="5252" w:name="_Toc470791658"/>
      <w:bookmarkStart w:id="5253" w:name="_Toc472592401"/>
      <w:bookmarkStart w:id="5254" w:name="_Toc472593420"/>
      <w:bookmarkStart w:id="5255" w:name="_Toc479057211"/>
      <w:bookmarkStart w:id="5256" w:name="_Toc31716233"/>
      <w:bookmarkStart w:id="5257" w:name="_Toc490066569"/>
      <w:r>
        <w:t>Artículo 2.7.2.16</w:t>
      </w:r>
      <w:r w:rsidRPr="002F6334">
        <w:t xml:space="preserve">. Futuro sobre la Acción de </w:t>
      </w:r>
      <w:proofErr w:type="spellStart"/>
      <w:r w:rsidRPr="002F6334">
        <w:t>Pacific</w:t>
      </w:r>
      <w:proofErr w:type="spellEnd"/>
      <w:r w:rsidRPr="002F6334">
        <w:t xml:space="preserve"> Rubiales.</w:t>
      </w:r>
      <w:bookmarkEnd w:id="5249"/>
      <w:bookmarkEnd w:id="5250"/>
      <w:bookmarkEnd w:id="5251"/>
      <w:bookmarkEnd w:id="5252"/>
      <w:bookmarkEnd w:id="5253"/>
      <w:bookmarkEnd w:id="5254"/>
      <w:bookmarkEnd w:id="5255"/>
      <w:bookmarkEnd w:id="5256"/>
      <w:r w:rsidRPr="002F6334">
        <w:t xml:space="preserve">  </w:t>
      </w:r>
    </w:p>
    <w:p w14:paraId="39F872B3" w14:textId="77777777" w:rsidR="007968EC" w:rsidRDefault="007968EC" w:rsidP="007968EC">
      <w:pPr>
        <w:pStyle w:val="ANTECEDENTES"/>
      </w:pPr>
    </w:p>
    <w:p w14:paraId="0B5512D3" w14:textId="77777777" w:rsidR="007968EC" w:rsidRPr="002C0D19" w:rsidRDefault="007968EC" w:rsidP="007968EC">
      <w:pPr>
        <w:pStyle w:val="ANTECEDENTES"/>
        <w:rPr>
          <w:rFonts w:ascii="Arial" w:hAnsi="Arial"/>
        </w:rPr>
      </w:pPr>
      <w:r w:rsidRPr="002C0D19">
        <w:t>(Este artículo fue modificado mediante Circular 2 del 11 de enero de 2017, publicada en el Boletín Normativo No. 002 del 11 de enero de 2017 y renumerado mediante Circular 6 del 14 de febrero de 2017, publicada mediante Boletín Normativo No. 006 del 14 de febrero de 2017</w:t>
      </w:r>
      <w:r w:rsidRPr="00EB3022">
        <w:t xml:space="preserve"> </w:t>
      </w:r>
      <w:r>
        <w:t xml:space="preserve">y </w:t>
      </w:r>
      <w:r w:rsidRPr="009C4B41">
        <w:rPr>
          <w:lang w:val="es-ES"/>
        </w:rPr>
        <w:t>mediante Circular 002 del 20 de febrero de 2018, publicada en el Boletín Normativo No. 003 del 20 de febrero de 2018. Rige a partir del 21 de febrero de 2018</w:t>
      </w:r>
      <w:r w:rsidRPr="002C0D19">
        <w:t>.)</w:t>
      </w:r>
      <w:bookmarkEnd w:id="5257"/>
    </w:p>
    <w:p w14:paraId="59BFDB4D" w14:textId="77777777" w:rsidR="007968EC" w:rsidRPr="004D6548" w:rsidRDefault="007968EC" w:rsidP="007968EC">
      <w:pPr>
        <w:jc w:val="both"/>
        <w:rPr>
          <w:rFonts w:ascii="Arial Narrow" w:eastAsia="Calibri" w:hAnsi="Arial Narrow"/>
          <w:bCs/>
          <w:color w:val="000000" w:themeColor="text1"/>
        </w:rPr>
      </w:pPr>
    </w:p>
    <w:p w14:paraId="304D1116"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lastRenderedPageBreak/>
        <w:t xml:space="preserve">La Cámara de Riesgo Central de Contraparte de Colombia S.A., suspendió la compensación y liquidación del Contrato de Futuro sobre la Acción de </w:t>
      </w:r>
      <w:proofErr w:type="spellStart"/>
      <w:r w:rsidRPr="002C0D19">
        <w:rPr>
          <w:rFonts w:ascii="Arial Narrow" w:eastAsia="Calibri" w:hAnsi="Arial Narrow"/>
          <w:color w:val="000000" w:themeColor="text1"/>
        </w:rPr>
        <w:t>Pacific</w:t>
      </w:r>
      <w:proofErr w:type="spellEnd"/>
      <w:r w:rsidRPr="002C0D19">
        <w:rPr>
          <w:rFonts w:ascii="Arial Narrow" w:eastAsia="Calibri" w:hAnsi="Arial Narrow"/>
          <w:color w:val="000000" w:themeColor="text1"/>
        </w:rPr>
        <w:t xml:space="preserve"> Rubiales a partir del veintidós (22) de enero de 2016.</w:t>
      </w:r>
    </w:p>
    <w:p w14:paraId="179532FD" w14:textId="77777777" w:rsidR="007968EC" w:rsidRPr="002C0D19" w:rsidRDefault="007968EC" w:rsidP="007968EC">
      <w:pPr>
        <w:jc w:val="both"/>
        <w:rPr>
          <w:rFonts w:ascii="Arial Narrow" w:eastAsia="Calibri" w:hAnsi="Arial Narrow" w:cs="Arial Narrow"/>
          <w:color w:val="000000" w:themeColor="text1"/>
        </w:rPr>
      </w:pPr>
    </w:p>
    <w:p w14:paraId="51D1DE03" w14:textId="77777777" w:rsidR="007968EC" w:rsidRPr="002C0D19" w:rsidRDefault="007968EC" w:rsidP="007968EC">
      <w:pPr>
        <w:jc w:val="both"/>
        <w:rPr>
          <w:rFonts w:ascii="Arial Narrow" w:eastAsia="Calibri" w:hAnsi="Arial Narrow" w:cs="Arial Narrow"/>
          <w:color w:val="000000" w:themeColor="text1"/>
        </w:rPr>
      </w:pPr>
      <w:r w:rsidRPr="002C0D19">
        <w:rPr>
          <w:rFonts w:ascii="Arial Narrow" w:eastAsia="Calibri" w:hAnsi="Arial Narrow" w:cs="Arial Narrow"/>
          <w:color w:val="000000" w:themeColor="text1"/>
        </w:rPr>
        <w:t xml:space="preserve">La Bolsa de Valores de Colombia S.A. con fundamento en su Reglamento General procedió a cancelar de manera automática la inscripción del Contrato de Futuros sobre la Acción de </w:t>
      </w:r>
      <w:proofErr w:type="spellStart"/>
      <w:r w:rsidRPr="002C0D19">
        <w:rPr>
          <w:rFonts w:ascii="Arial Narrow" w:eastAsia="Calibri" w:hAnsi="Arial Narrow" w:cs="Arial Narrow"/>
          <w:color w:val="000000" w:themeColor="text1"/>
        </w:rPr>
        <w:t>Pacific</w:t>
      </w:r>
      <w:proofErr w:type="spellEnd"/>
      <w:r w:rsidRPr="002C0D19">
        <w:rPr>
          <w:rFonts w:ascii="Arial Narrow" w:eastAsia="Calibri" w:hAnsi="Arial Narrow" w:cs="Arial Narrow"/>
          <w:color w:val="000000" w:themeColor="text1"/>
        </w:rPr>
        <w:t xml:space="preserve"> Rubiales. La cancelación de la inscripción fue comunicada mediante Boletín Informativo número 315 del siete (7) de diciembre de 2016. </w:t>
      </w:r>
    </w:p>
    <w:p w14:paraId="7B3F0B94" w14:textId="77777777" w:rsidR="007968EC" w:rsidRPr="002C0D19" w:rsidRDefault="007968EC" w:rsidP="007968EC">
      <w:pPr>
        <w:autoSpaceDE w:val="0"/>
        <w:autoSpaceDN w:val="0"/>
        <w:adjustRightInd w:val="0"/>
        <w:jc w:val="both"/>
        <w:rPr>
          <w:rFonts w:ascii="Arial Narrow" w:hAnsi="Arial Narrow" w:cs="Arial Narrow"/>
          <w:bCs/>
          <w:color w:val="000000" w:themeColor="text1"/>
          <w:lang w:val="es-ES" w:eastAsia="es-ES"/>
        </w:rPr>
      </w:pPr>
    </w:p>
    <w:p w14:paraId="3CAC1B96"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 xml:space="preserve">De acuerdo con lo anterior, a partir del once (11) de enero de 2017, la Cámara de Riesgo Central de Contraparte de Colombia S.A. canceló el Activo Contrato de Futuro sobre la Acción de </w:t>
      </w:r>
      <w:proofErr w:type="spellStart"/>
      <w:r w:rsidRPr="002C0D19">
        <w:rPr>
          <w:rFonts w:ascii="Arial Narrow" w:eastAsia="Calibri" w:hAnsi="Arial Narrow"/>
          <w:color w:val="000000" w:themeColor="text1"/>
        </w:rPr>
        <w:t>Pacific</w:t>
      </w:r>
      <w:proofErr w:type="spellEnd"/>
      <w:r w:rsidRPr="002C0D19">
        <w:rPr>
          <w:rFonts w:ascii="Arial Narrow" w:eastAsia="Calibri" w:hAnsi="Arial Narrow"/>
          <w:color w:val="000000" w:themeColor="text1"/>
        </w:rPr>
        <w:t xml:space="preserve"> Rubiales.</w:t>
      </w:r>
    </w:p>
    <w:p w14:paraId="31AB15D8" w14:textId="77777777" w:rsidR="007968EC" w:rsidRPr="002C0D19" w:rsidRDefault="007968EC" w:rsidP="007968EC">
      <w:pPr>
        <w:rPr>
          <w:rFonts w:ascii="Arial Narrow" w:eastAsia="Calibri" w:hAnsi="Arial Narrow"/>
          <w:color w:val="000000" w:themeColor="text1"/>
        </w:rPr>
      </w:pPr>
    </w:p>
    <w:p w14:paraId="0B71DCD5" w14:textId="77777777" w:rsidR="007968EC" w:rsidRPr="002F6334" w:rsidRDefault="007968EC" w:rsidP="007968EC">
      <w:pPr>
        <w:pStyle w:val="ARTICULO0"/>
      </w:pPr>
      <w:bookmarkStart w:id="5258" w:name="_Toc470781167"/>
      <w:bookmarkStart w:id="5259" w:name="_Toc470784728"/>
      <w:bookmarkStart w:id="5260" w:name="_Toc470785265"/>
      <w:bookmarkStart w:id="5261" w:name="_Toc470791659"/>
      <w:bookmarkStart w:id="5262" w:name="_Toc472592402"/>
      <w:bookmarkStart w:id="5263" w:name="_Toc472593421"/>
      <w:bookmarkStart w:id="5264" w:name="_Toc31716234"/>
      <w:bookmarkStart w:id="5265" w:name="_Toc479057212"/>
      <w:bookmarkStart w:id="5266" w:name="_Toc490066570"/>
      <w:r>
        <w:t xml:space="preserve">Artículo 2.7.2.17. </w:t>
      </w:r>
      <w:r w:rsidRPr="002F6334">
        <w:t>Contrato de Futuro sobre Acciones del Índice COLCAP</w:t>
      </w:r>
      <w:bookmarkEnd w:id="5258"/>
      <w:bookmarkEnd w:id="5259"/>
      <w:bookmarkEnd w:id="5260"/>
      <w:bookmarkEnd w:id="5261"/>
      <w:bookmarkEnd w:id="5262"/>
      <w:bookmarkEnd w:id="5263"/>
      <w:r>
        <w:t xml:space="preserve"> con Liquidación por Diferencias.</w:t>
      </w:r>
      <w:bookmarkEnd w:id="5264"/>
      <w:r w:rsidRPr="002F6334">
        <w:t xml:space="preserve"> </w:t>
      </w:r>
    </w:p>
    <w:p w14:paraId="2A31974B" w14:textId="77777777" w:rsidR="007968EC" w:rsidRDefault="007968EC" w:rsidP="007968EC">
      <w:pPr>
        <w:pStyle w:val="ANTECEDENTES"/>
      </w:pPr>
    </w:p>
    <w:p w14:paraId="4B85EFC3" w14:textId="77777777" w:rsidR="007968EC" w:rsidRPr="002C0D19" w:rsidRDefault="007968EC" w:rsidP="007968EC">
      <w:pPr>
        <w:pStyle w:val="ANTECEDENTES"/>
        <w:rPr>
          <w:u w:val="single"/>
        </w:rPr>
      </w:pPr>
      <w:r w:rsidRPr="002C0D19">
        <w:t>(Este artículo fue renumerado mediante Circular 6 del 14 de febrero de 2017, publicada mediante Boletín Normativo No</w:t>
      </w:r>
      <w:r>
        <w:t>. 006 del 14 de febrero de 2017,</w:t>
      </w:r>
      <w:r w:rsidRPr="002C0D19">
        <w:t xml:space="preserve"> modificado mediante la Circular 12 del 16 de junio de 2017, publicada mediante el Boletín Normativo No. 012 del 16 de junio de 2017</w:t>
      </w:r>
      <w:r>
        <w:t xml:space="preserve">, mediante Circular 22 del 3 de noviembre de 2017, publicada mediante Boletín Normativo No. 024 del 3 de noviembre de 2017, mediante Circular 24 del 11 de diciembre de 2017, publicada en el Boletín Normativo No. 031 del 11 de diciembre de 2017, renumerado </w:t>
      </w:r>
      <w:r w:rsidRPr="009C4B41">
        <w:rPr>
          <w:lang w:val="es-ES"/>
        </w:rPr>
        <w:t>mediante Circular 002 del 20 de febrero de 2018, publicada en el Boletín Normativo No</w:t>
      </w:r>
      <w:r>
        <w:rPr>
          <w:lang w:val="es-ES"/>
        </w:rPr>
        <w:t xml:space="preserve">. 003 del 20 de febrero de 2018, modificado mediante Circular 9 del 14 de junio de 2018, publicada en el Boletín Normativo No. 012 del 14 de junio de 2018, </w:t>
      </w:r>
      <w:r>
        <w:t>mediante Circular 10 del 6 de julio de 2018, publicada en el Boletín Normativo No. 013 del 6 de julio de 2018</w:t>
      </w:r>
      <w:r w:rsidRPr="00D36229">
        <w:t xml:space="preserve"> y modificado mediante Circular 2 del 22 de febrero de 2019, publicada en el Boletín Normativo No. 007 del 22 de febrero de 2019</w:t>
      </w:r>
      <w:r>
        <w:t xml:space="preserve"> y mediante Circular 12 del 9 de agosto de 2019, publicada en el Boletín Normativo No. 025 del 9 de agosto de 2019. Rige a partir del 12 de agosto de 2019</w:t>
      </w:r>
      <w:r w:rsidRPr="002C0D19">
        <w:t xml:space="preserve">.) </w:t>
      </w:r>
      <w:bookmarkEnd w:id="5265"/>
      <w:bookmarkEnd w:id="5266"/>
    </w:p>
    <w:p w14:paraId="6C4BEBAC" w14:textId="77777777" w:rsidR="007968EC" w:rsidRPr="002C0D19" w:rsidRDefault="007968EC" w:rsidP="007968EC">
      <w:pPr>
        <w:rPr>
          <w:rFonts w:ascii="Arial Narrow" w:eastAsia="Calibri" w:hAnsi="Arial Narrow"/>
          <w:color w:val="000000" w:themeColor="text1"/>
          <w:lang w:eastAsia="es-ES"/>
        </w:rPr>
      </w:pPr>
    </w:p>
    <w:p w14:paraId="379D0B8A" w14:textId="77777777" w:rsidR="007968EC" w:rsidRPr="00EB14DE" w:rsidRDefault="007968EC" w:rsidP="00DA7472">
      <w:pPr>
        <w:numPr>
          <w:ilvl w:val="0"/>
          <w:numId w:val="81"/>
        </w:numPr>
        <w:autoSpaceDE w:val="0"/>
        <w:autoSpaceDN w:val="0"/>
        <w:adjustRightInd w:val="0"/>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Generalidades:</w:t>
      </w:r>
    </w:p>
    <w:tbl>
      <w:tblPr>
        <w:tblpPr w:leftFromText="141" w:rightFromText="141" w:vertAnchor="text" w:horzAnchor="margin" w:tblpXSpec="center" w:tblpY="124"/>
        <w:tblW w:w="934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3898"/>
        <w:gridCol w:w="5443"/>
      </w:tblGrid>
      <w:tr w:rsidR="007968EC" w:rsidRPr="00EB14DE" w14:paraId="5F43F50D" w14:textId="77777777" w:rsidTr="007968EC">
        <w:trPr>
          <w:trHeight w:val="416"/>
          <w:jc w:val="center"/>
        </w:trPr>
        <w:tc>
          <w:tcPr>
            <w:tcW w:w="3898" w:type="dxa"/>
            <w:shd w:val="clear" w:color="auto" w:fill="BFBFBF"/>
            <w:noWrap/>
            <w:vAlign w:val="center"/>
            <w:hideMark/>
          </w:tcPr>
          <w:p w14:paraId="1ED06FE5" w14:textId="77777777" w:rsidR="007968EC" w:rsidRPr="00EB14DE" w:rsidRDefault="007968EC" w:rsidP="007968EC">
            <w:pPr>
              <w:rPr>
                <w:rFonts w:ascii="Arial Narrow" w:eastAsia="Calibri" w:hAnsi="Arial Narrow"/>
                <w:bCs/>
                <w:color w:val="000000" w:themeColor="text1"/>
              </w:rPr>
            </w:pPr>
            <w:r w:rsidRPr="00EB14DE">
              <w:rPr>
                <w:rFonts w:ascii="Arial Narrow" w:eastAsia="Calibri" w:hAnsi="Arial Narrow"/>
                <w:bCs/>
                <w:color w:val="000000" w:themeColor="text1"/>
              </w:rPr>
              <w:t>Instrumento</w:t>
            </w:r>
          </w:p>
        </w:tc>
        <w:tc>
          <w:tcPr>
            <w:tcW w:w="5443" w:type="dxa"/>
            <w:shd w:val="clear" w:color="auto" w:fill="FFFFFF"/>
            <w:vAlign w:val="center"/>
            <w:hideMark/>
          </w:tcPr>
          <w:p w14:paraId="3D6177F6" w14:textId="77777777" w:rsidR="007968EC" w:rsidRPr="00EB14DE" w:rsidRDefault="007968EC" w:rsidP="007968EC">
            <w:pPr>
              <w:widowControl w:val="0"/>
              <w:rPr>
                <w:rFonts w:ascii="Arial Narrow" w:eastAsia="Calibri" w:hAnsi="Arial Narrow"/>
                <w:b/>
                <w:color w:val="000000" w:themeColor="text1"/>
              </w:rPr>
            </w:pPr>
            <w:r w:rsidRPr="00EB14DE">
              <w:rPr>
                <w:rFonts w:ascii="Arial Narrow" w:eastAsia="Calibri" w:hAnsi="Arial Narrow"/>
                <w:color w:val="000000" w:themeColor="text1"/>
              </w:rPr>
              <w:t>Contrato de Futuro sobre Acciones del Índice COLCAP</w:t>
            </w:r>
          </w:p>
        </w:tc>
      </w:tr>
      <w:tr w:rsidR="007968EC" w:rsidRPr="00EB14DE" w14:paraId="62BD4657" w14:textId="77777777" w:rsidTr="007968EC">
        <w:trPr>
          <w:trHeight w:val="375"/>
          <w:jc w:val="center"/>
        </w:trPr>
        <w:tc>
          <w:tcPr>
            <w:tcW w:w="3898" w:type="dxa"/>
            <w:shd w:val="clear" w:color="auto" w:fill="BFBFBF"/>
            <w:noWrap/>
            <w:vAlign w:val="center"/>
            <w:hideMark/>
          </w:tcPr>
          <w:p w14:paraId="4D1CE803" w14:textId="77777777" w:rsidR="007968EC" w:rsidRPr="00EB14DE" w:rsidRDefault="007968EC" w:rsidP="007968EC">
            <w:pPr>
              <w:rPr>
                <w:rFonts w:ascii="Arial Narrow" w:eastAsia="Calibri" w:hAnsi="Arial Narrow"/>
                <w:bCs/>
                <w:color w:val="000000" w:themeColor="text1"/>
              </w:rPr>
            </w:pPr>
            <w:r w:rsidRPr="00EB14DE">
              <w:rPr>
                <w:rFonts w:ascii="Arial Narrow" w:eastAsia="Calibri" w:hAnsi="Arial Narrow"/>
                <w:bCs/>
                <w:color w:val="000000" w:themeColor="text1"/>
              </w:rPr>
              <w:t>Activo Subyacente</w:t>
            </w:r>
          </w:p>
        </w:tc>
        <w:tc>
          <w:tcPr>
            <w:tcW w:w="5443" w:type="dxa"/>
            <w:shd w:val="clear" w:color="auto" w:fill="FFFFFF"/>
            <w:vAlign w:val="center"/>
            <w:hideMark/>
          </w:tcPr>
          <w:p w14:paraId="68FD9155" w14:textId="77777777" w:rsidR="007968EC" w:rsidRPr="00EB14DE" w:rsidRDefault="007968EC" w:rsidP="007968EC">
            <w:pPr>
              <w:rPr>
                <w:rFonts w:ascii="Arial Narrow" w:eastAsia="Calibri" w:hAnsi="Arial Narrow"/>
                <w:b/>
                <w:bCs/>
                <w:color w:val="000000" w:themeColor="text1"/>
              </w:rPr>
            </w:pPr>
            <w:r w:rsidRPr="00EB14DE">
              <w:rPr>
                <w:rFonts w:ascii="Arial Narrow" w:eastAsia="Calibri" w:hAnsi="Arial Narrow"/>
                <w:bCs/>
                <w:color w:val="000000" w:themeColor="text1"/>
              </w:rPr>
              <w:t>Acciones del índice accionario COLCAP</w:t>
            </w:r>
          </w:p>
        </w:tc>
      </w:tr>
      <w:tr w:rsidR="007968EC" w:rsidRPr="00EB14DE" w14:paraId="04DE454B" w14:textId="77777777" w:rsidTr="007968EC">
        <w:trPr>
          <w:trHeight w:val="511"/>
          <w:jc w:val="center"/>
        </w:trPr>
        <w:tc>
          <w:tcPr>
            <w:tcW w:w="3898" w:type="dxa"/>
            <w:shd w:val="clear" w:color="auto" w:fill="BFBFBF"/>
            <w:noWrap/>
            <w:vAlign w:val="center"/>
            <w:hideMark/>
          </w:tcPr>
          <w:p w14:paraId="124056FE" w14:textId="77777777" w:rsidR="007968EC" w:rsidRPr="00EB14DE" w:rsidRDefault="007968EC" w:rsidP="007968EC">
            <w:pPr>
              <w:rPr>
                <w:rFonts w:ascii="Arial Narrow" w:eastAsia="Calibri" w:hAnsi="Arial Narrow"/>
                <w:bCs/>
                <w:color w:val="000000" w:themeColor="text1"/>
              </w:rPr>
            </w:pPr>
            <w:r w:rsidRPr="00EB14DE">
              <w:rPr>
                <w:rFonts w:ascii="Arial Narrow" w:eastAsia="Calibri" w:hAnsi="Arial Narrow"/>
                <w:bCs/>
                <w:color w:val="000000" w:themeColor="text1"/>
              </w:rPr>
              <w:t>Tamaño del Contrato</w:t>
            </w:r>
          </w:p>
        </w:tc>
        <w:tc>
          <w:tcPr>
            <w:tcW w:w="5443" w:type="dxa"/>
            <w:shd w:val="clear" w:color="auto" w:fill="FFFFFF"/>
            <w:vAlign w:val="center"/>
            <w:hideMark/>
          </w:tcPr>
          <w:p w14:paraId="49560A84" w14:textId="77777777" w:rsidR="007968EC" w:rsidRPr="00EB14DE" w:rsidRDefault="007968EC" w:rsidP="007968EC">
            <w:pPr>
              <w:rPr>
                <w:rFonts w:ascii="Arial Narrow" w:eastAsia="Calibri" w:hAnsi="Arial Narrow"/>
                <w:b/>
                <w:bCs/>
                <w:color w:val="000000" w:themeColor="text1"/>
              </w:rPr>
            </w:pPr>
            <w:r w:rsidRPr="00EB14DE">
              <w:rPr>
                <w:rFonts w:ascii="Arial Narrow" w:eastAsia="Calibri" w:hAnsi="Arial Narrow"/>
                <w:bCs/>
                <w:color w:val="000000" w:themeColor="text1"/>
              </w:rPr>
              <w:t>Cada contrato tendrá un valor nominal de mil (1000) acciones</w:t>
            </w:r>
          </w:p>
        </w:tc>
      </w:tr>
      <w:tr w:rsidR="007968EC" w:rsidRPr="00EB14DE" w14:paraId="39C26A9F" w14:textId="77777777" w:rsidTr="007968EC">
        <w:trPr>
          <w:trHeight w:val="955"/>
          <w:jc w:val="center"/>
        </w:trPr>
        <w:tc>
          <w:tcPr>
            <w:tcW w:w="3898" w:type="dxa"/>
            <w:shd w:val="clear" w:color="auto" w:fill="BFBFBF"/>
            <w:noWrap/>
            <w:vAlign w:val="center"/>
            <w:hideMark/>
          </w:tcPr>
          <w:p w14:paraId="5E1511D4" w14:textId="77777777" w:rsidR="007968EC" w:rsidRPr="00EB14DE" w:rsidRDefault="007968EC" w:rsidP="007968EC">
            <w:pPr>
              <w:rPr>
                <w:rFonts w:ascii="Arial Narrow" w:eastAsia="Calibri" w:hAnsi="Arial Narrow"/>
                <w:bCs/>
                <w:color w:val="000000" w:themeColor="text1"/>
              </w:rPr>
            </w:pPr>
            <w:r w:rsidRPr="00EB14DE">
              <w:rPr>
                <w:rFonts w:ascii="Arial Narrow" w:eastAsia="Calibri" w:hAnsi="Arial Narrow"/>
                <w:bCs/>
                <w:color w:val="000000" w:themeColor="text1"/>
              </w:rPr>
              <w:t>Contratos Listados</w:t>
            </w:r>
          </w:p>
        </w:tc>
        <w:tc>
          <w:tcPr>
            <w:tcW w:w="5443" w:type="dxa"/>
            <w:shd w:val="clear" w:color="auto" w:fill="FFFFFF"/>
            <w:vAlign w:val="center"/>
            <w:hideMark/>
          </w:tcPr>
          <w:p w14:paraId="6959EC12" w14:textId="77777777" w:rsidR="007968EC" w:rsidRPr="00EB14DE" w:rsidRDefault="007968EC" w:rsidP="007968EC">
            <w:pPr>
              <w:jc w:val="both"/>
              <w:rPr>
                <w:rFonts w:ascii="Arial Narrow" w:eastAsia="Calibri" w:hAnsi="Arial Narrow"/>
                <w:b/>
                <w:bCs/>
                <w:color w:val="000000" w:themeColor="text1"/>
              </w:rPr>
            </w:pPr>
            <w:r w:rsidRPr="00EB14DE">
              <w:rPr>
                <w:rFonts w:ascii="Arial Narrow" w:eastAsia="Calibri" w:hAnsi="Arial Narrow"/>
                <w:bCs/>
                <w:color w:val="000000" w:themeColor="text1"/>
              </w:rPr>
              <w:t>Estarán disponibles en el sistema vencimientos trimestrales dentro del ciclo de marzo. Estarán disponibles en el sistema los cuatro (4) vencimientos más cercanos. En el caso que una acción deje de pertenecer al Índice Accionario COLCAP, no se listarán nuevos vencimientos a partir de la fecha en que la BVC comunique la nueva composición del índice COLCAP, y sólo se podrán negociar los vencimientos ya existentes.</w:t>
            </w:r>
          </w:p>
        </w:tc>
      </w:tr>
      <w:tr w:rsidR="007968EC" w:rsidRPr="00EB14DE" w14:paraId="56B29A4F" w14:textId="77777777" w:rsidTr="007968EC">
        <w:trPr>
          <w:trHeight w:val="378"/>
          <w:jc w:val="center"/>
        </w:trPr>
        <w:tc>
          <w:tcPr>
            <w:tcW w:w="3898" w:type="dxa"/>
            <w:shd w:val="clear" w:color="auto" w:fill="BFBFBF"/>
            <w:noWrap/>
            <w:vAlign w:val="center"/>
            <w:hideMark/>
          </w:tcPr>
          <w:p w14:paraId="728127CE" w14:textId="77777777" w:rsidR="007968EC" w:rsidRPr="00EB14DE" w:rsidRDefault="007968EC" w:rsidP="007968EC">
            <w:pPr>
              <w:rPr>
                <w:rFonts w:ascii="Arial Narrow" w:eastAsia="Calibri" w:hAnsi="Arial Narrow"/>
                <w:bCs/>
                <w:color w:val="000000" w:themeColor="text1"/>
              </w:rPr>
            </w:pPr>
            <w:r w:rsidRPr="00EB14DE">
              <w:rPr>
                <w:rFonts w:ascii="Arial Narrow" w:eastAsia="Calibri" w:hAnsi="Arial Narrow"/>
                <w:bCs/>
                <w:color w:val="000000" w:themeColor="text1"/>
              </w:rPr>
              <w:t>Método de Liquidación</w:t>
            </w:r>
          </w:p>
        </w:tc>
        <w:tc>
          <w:tcPr>
            <w:tcW w:w="5443" w:type="dxa"/>
            <w:shd w:val="clear" w:color="auto" w:fill="FFFFFF"/>
            <w:vAlign w:val="center"/>
            <w:hideMark/>
          </w:tcPr>
          <w:p w14:paraId="5FE10611" w14:textId="77777777" w:rsidR="007968EC" w:rsidRPr="00EB14DE" w:rsidRDefault="007968EC" w:rsidP="007968EC">
            <w:pPr>
              <w:rPr>
                <w:rFonts w:ascii="Arial Narrow" w:eastAsia="Calibri" w:hAnsi="Arial Narrow"/>
                <w:b/>
                <w:bCs/>
                <w:color w:val="000000" w:themeColor="text1"/>
              </w:rPr>
            </w:pPr>
            <w:r w:rsidRPr="00EB14DE">
              <w:rPr>
                <w:rFonts w:ascii="Arial Narrow" w:eastAsia="Calibri" w:hAnsi="Arial Narrow"/>
                <w:bCs/>
                <w:color w:val="000000" w:themeColor="text1"/>
              </w:rPr>
              <w:t>Liquidación por Diferencias</w:t>
            </w:r>
          </w:p>
        </w:tc>
      </w:tr>
      <w:tr w:rsidR="007968EC" w:rsidRPr="00EB14DE" w14:paraId="4FA390B6" w14:textId="77777777" w:rsidTr="007968EC">
        <w:trPr>
          <w:trHeight w:val="400"/>
          <w:jc w:val="center"/>
        </w:trPr>
        <w:tc>
          <w:tcPr>
            <w:tcW w:w="3898" w:type="dxa"/>
            <w:shd w:val="clear" w:color="auto" w:fill="BFBFBF"/>
            <w:noWrap/>
            <w:vAlign w:val="center"/>
          </w:tcPr>
          <w:p w14:paraId="1CD6A444" w14:textId="77777777" w:rsidR="007968EC" w:rsidRPr="00EB14DE" w:rsidRDefault="007968EC" w:rsidP="007968EC">
            <w:pPr>
              <w:rPr>
                <w:rFonts w:ascii="Arial Narrow" w:eastAsia="Calibri" w:hAnsi="Arial Narrow"/>
                <w:color w:val="000000" w:themeColor="text1"/>
              </w:rPr>
            </w:pPr>
            <w:r w:rsidRPr="00EB14DE">
              <w:rPr>
                <w:rFonts w:ascii="Arial Narrow" w:eastAsia="Calibri" w:hAnsi="Arial Narrow"/>
                <w:color w:val="000000" w:themeColor="text1"/>
              </w:rPr>
              <w:lastRenderedPageBreak/>
              <w:t>Tipo de Liquidación</w:t>
            </w:r>
          </w:p>
        </w:tc>
        <w:tc>
          <w:tcPr>
            <w:tcW w:w="5443" w:type="dxa"/>
            <w:shd w:val="clear" w:color="auto" w:fill="FFFFFF"/>
            <w:vAlign w:val="center"/>
          </w:tcPr>
          <w:p w14:paraId="716876D4" w14:textId="77777777" w:rsidR="007968EC" w:rsidRPr="00EB14DE" w:rsidRDefault="007968EC" w:rsidP="007968EC">
            <w:pPr>
              <w:autoSpaceDE w:val="0"/>
              <w:autoSpaceDN w:val="0"/>
              <w:jc w:val="both"/>
              <w:rPr>
                <w:rFonts w:ascii="Arial Narrow" w:eastAsia="Calibri" w:hAnsi="Arial Narrow"/>
                <w:b/>
                <w:color w:val="000000" w:themeColor="text1"/>
              </w:rPr>
            </w:pPr>
            <w:r w:rsidRPr="00EB14DE">
              <w:rPr>
                <w:rFonts w:ascii="Arial Narrow" w:eastAsia="Calibri" w:hAnsi="Arial Narrow"/>
                <w:color w:val="000000" w:themeColor="text1"/>
              </w:rPr>
              <w:t>Liquidación Diaria y al Vencimiento.</w:t>
            </w:r>
          </w:p>
        </w:tc>
      </w:tr>
      <w:tr w:rsidR="007968EC" w:rsidRPr="00EB14DE" w14:paraId="3469C99D" w14:textId="77777777" w:rsidTr="007968EC">
        <w:trPr>
          <w:trHeight w:val="379"/>
          <w:jc w:val="center"/>
        </w:trPr>
        <w:tc>
          <w:tcPr>
            <w:tcW w:w="3898" w:type="dxa"/>
            <w:shd w:val="clear" w:color="auto" w:fill="BFBFBF"/>
            <w:noWrap/>
            <w:vAlign w:val="center"/>
            <w:hideMark/>
          </w:tcPr>
          <w:p w14:paraId="50F36CF5" w14:textId="77777777" w:rsidR="007968EC" w:rsidRPr="00EB14DE" w:rsidRDefault="007968EC" w:rsidP="007968EC">
            <w:pPr>
              <w:rPr>
                <w:rFonts w:ascii="Arial Narrow" w:eastAsia="Calibri" w:hAnsi="Arial Narrow"/>
                <w:bCs/>
                <w:color w:val="000000" w:themeColor="text1"/>
              </w:rPr>
            </w:pPr>
            <w:r w:rsidRPr="00EB14DE">
              <w:rPr>
                <w:rFonts w:ascii="Arial Narrow" w:eastAsia="Calibri" w:hAnsi="Arial Narrow"/>
                <w:bCs/>
                <w:color w:val="000000" w:themeColor="text1"/>
              </w:rPr>
              <w:t>Último día de Negociación</w:t>
            </w:r>
          </w:p>
        </w:tc>
        <w:tc>
          <w:tcPr>
            <w:tcW w:w="5443" w:type="dxa"/>
            <w:shd w:val="clear" w:color="auto" w:fill="FFFFFF"/>
            <w:vAlign w:val="center"/>
            <w:hideMark/>
          </w:tcPr>
          <w:p w14:paraId="25A7E0DA" w14:textId="77777777" w:rsidR="007968EC" w:rsidRPr="00EB14DE" w:rsidRDefault="007968EC" w:rsidP="007968EC">
            <w:pPr>
              <w:rPr>
                <w:rFonts w:ascii="Arial Narrow" w:eastAsia="Calibri" w:hAnsi="Arial Narrow"/>
                <w:b/>
                <w:bCs/>
                <w:color w:val="000000" w:themeColor="text1"/>
              </w:rPr>
            </w:pPr>
            <w:r w:rsidRPr="00EB14DE">
              <w:rPr>
                <w:rFonts w:ascii="Arial Narrow" w:eastAsia="Calibri" w:hAnsi="Arial Narrow"/>
                <w:bCs/>
                <w:color w:val="000000" w:themeColor="text1"/>
              </w:rPr>
              <w:t>Día del Vencimiento del Contrato.</w:t>
            </w:r>
          </w:p>
        </w:tc>
      </w:tr>
      <w:tr w:rsidR="007968EC" w:rsidRPr="00EB14DE" w14:paraId="127E1291" w14:textId="77777777" w:rsidTr="007968EC">
        <w:trPr>
          <w:trHeight w:val="686"/>
          <w:jc w:val="center"/>
        </w:trPr>
        <w:tc>
          <w:tcPr>
            <w:tcW w:w="3898" w:type="dxa"/>
            <w:shd w:val="clear" w:color="auto" w:fill="BFBFBF"/>
            <w:noWrap/>
            <w:vAlign w:val="center"/>
            <w:hideMark/>
          </w:tcPr>
          <w:p w14:paraId="59684B46" w14:textId="77777777" w:rsidR="007968EC" w:rsidRPr="00EB14DE" w:rsidRDefault="007968EC" w:rsidP="007968EC">
            <w:pPr>
              <w:rPr>
                <w:rFonts w:ascii="Arial Narrow" w:eastAsia="Calibri" w:hAnsi="Arial Narrow"/>
                <w:bCs/>
                <w:color w:val="000000" w:themeColor="text1"/>
              </w:rPr>
            </w:pPr>
            <w:r w:rsidRPr="00EB14DE">
              <w:rPr>
                <w:rFonts w:ascii="Arial Narrow" w:eastAsia="Calibri" w:hAnsi="Arial Narrow"/>
                <w:bCs/>
                <w:color w:val="000000" w:themeColor="text1"/>
              </w:rPr>
              <w:t>Día de Vencimiento</w:t>
            </w:r>
          </w:p>
        </w:tc>
        <w:tc>
          <w:tcPr>
            <w:tcW w:w="5443" w:type="dxa"/>
            <w:shd w:val="clear" w:color="auto" w:fill="FFFFFF"/>
            <w:vAlign w:val="center"/>
            <w:hideMark/>
          </w:tcPr>
          <w:p w14:paraId="111CA1F6" w14:textId="77777777" w:rsidR="007968EC" w:rsidRPr="00EB14DE" w:rsidRDefault="007968EC" w:rsidP="007968EC">
            <w:pPr>
              <w:rPr>
                <w:rFonts w:ascii="Arial Narrow" w:eastAsia="Calibri" w:hAnsi="Arial Narrow"/>
                <w:b/>
                <w:bCs/>
                <w:color w:val="000000" w:themeColor="text1"/>
              </w:rPr>
            </w:pPr>
            <w:r w:rsidRPr="00EB14DE">
              <w:rPr>
                <w:rFonts w:ascii="Arial Narrow" w:eastAsia="Calibri" w:hAnsi="Arial Narrow"/>
                <w:bCs/>
                <w:color w:val="000000" w:themeColor="text1"/>
              </w:rPr>
              <w:t>Sera el tercer viernes del mes de vencimiento. Cuando el tercer viernes del mes de vencimiento corresponda a un día no hábil, el día de vencimiento corresponderá al día hábil siguiente</w:t>
            </w:r>
          </w:p>
        </w:tc>
      </w:tr>
      <w:tr w:rsidR="007968EC" w:rsidRPr="00EB14DE" w14:paraId="0643FD99" w14:textId="77777777" w:rsidTr="007968EC">
        <w:trPr>
          <w:trHeight w:val="416"/>
          <w:jc w:val="center"/>
        </w:trPr>
        <w:tc>
          <w:tcPr>
            <w:tcW w:w="3898" w:type="dxa"/>
            <w:shd w:val="clear" w:color="auto" w:fill="BFBFBF"/>
            <w:noWrap/>
            <w:vAlign w:val="center"/>
            <w:hideMark/>
          </w:tcPr>
          <w:p w14:paraId="099B00FF" w14:textId="77777777" w:rsidR="007968EC" w:rsidRPr="00EB14DE" w:rsidRDefault="007968EC" w:rsidP="007968EC">
            <w:pPr>
              <w:rPr>
                <w:rFonts w:ascii="Arial Narrow" w:eastAsia="Calibri" w:hAnsi="Arial Narrow"/>
                <w:bCs/>
                <w:color w:val="000000" w:themeColor="text1"/>
              </w:rPr>
            </w:pPr>
            <w:r w:rsidRPr="00EB14DE">
              <w:rPr>
                <w:rFonts w:ascii="Arial Narrow" w:eastAsia="Calibri" w:hAnsi="Arial Narrow"/>
                <w:bCs/>
                <w:color w:val="000000" w:themeColor="text1"/>
              </w:rPr>
              <w:t>Inscripción</w:t>
            </w:r>
          </w:p>
        </w:tc>
        <w:tc>
          <w:tcPr>
            <w:tcW w:w="5443" w:type="dxa"/>
            <w:shd w:val="clear" w:color="auto" w:fill="FFFFFF"/>
            <w:vAlign w:val="center"/>
            <w:hideMark/>
          </w:tcPr>
          <w:p w14:paraId="1A81F295" w14:textId="77777777" w:rsidR="007968EC" w:rsidRPr="00EB14DE" w:rsidRDefault="007968EC" w:rsidP="007968EC">
            <w:pPr>
              <w:rPr>
                <w:rFonts w:ascii="Arial Narrow" w:eastAsia="Calibri" w:hAnsi="Arial Narrow"/>
                <w:b/>
                <w:bCs/>
                <w:color w:val="000000" w:themeColor="text1"/>
              </w:rPr>
            </w:pPr>
            <w:r w:rsidRPr="00EB14DE">
              <w:rPr>
                <w:rFonts w:ascii="Arial Narrow" w:eastAsia="Calibri" w:hAnsi="Arial Narrow"/>
                <w:bCs/>
                <w:color w:val="000000" w:themeColor="text1"/>
              </w:rPr>
              <w:t>Bolsa de Valores de Colombia – BVC</w:t>
            </w:r>
          </w:p>
        </w:tc>
      </w:tr>
    </w:tbl>
    <w:p w14:paraId="79648449" w14:textId="77777777" w:rsidR="007968EC" w:rsidRPr="00EB14DE" w:rsidRDefault="007968EC" w:rsidP="007968EC">
      <w:pPr>
        <w:autoSpaceDE w:val="0"/>
        <w:autoSpaceDN w:val="0"/>
        <w:jc w:val="both"/>
        <w:rPr>
          <w:rFonts w:ascii="Arial Narrow" w:eastAsia="Calibri" w:hAnsi="Arial Narrow"/>
          <w:bCs/>
          <w:color w:val="000000" w:themeColor="text1"/>
        </w:rPr>
      </w:pPr>
    </w:p>
    <w:p w14:paraId="2033DD15" w14:textId="77777777" w:rsidR="007968EC" w:rsidRPr="00EB14DE" w:rsidRDefault="007968EC" w:rsidP="00DA7472">
      <w:pPr>
        <w:numPr>
          <w:ilvl w:val="0"/>
          <w:numId w:val="81"/>
        </w:numPr>
        <w:autoSpaceDE w:val="0"/>
        <w:autoSpaceDN w:val="0"/>
        <w:adjustRightInd w:val="0"/>
        <w:ind w:left="426" w:hanging="426"/>
        <w:jc w:val="both"/>
        <w:rPr>
          <w:rFonts w:ascii="Arial Narrow" w:eastAsia="Calibri" w:hAnsi="Arial Narrow" w:cs="Arial"/>
          <w:color w:val="000000" w:themeColor="text1"/>
          <w:lang w:eastAsia="es-ES"/>
        </w:rPr>
      </w:pPr>
      <w:r w:rsidRPr="00EB14DE">
        <w:rPr>
          <w:rFonts w:ascii="Arial Narrow" w:hAnsi="Arial Narrow" w:cs="Arial"/>
          <w:color w:val="000000" w:themeColor="text1"/>
          <w:lang w:val="es-ES" w:eastAsia="es-ES"/>
        </w:rPr>
        <w:t>La denominación detallada de los Contratos de Futuro sobre Acciones del Índice COLCAP con Liquidación por Diferencias es la siguiente:</w:t>
      </w:r>
    </w:p>
    <w:p w14:paraId="00B52C26" w14:textId="77777777" w:rsidR="007968EC" w:rsidRPr="00EB14DE" w:rsidRDefault="007968EC" w:rsidP="007968EC">
      <w:pPr>
        <w:autoSpaceDE w:val="0"/>
        <w:autoSpaceDN w:val="0"/>
        <w:adjustRightInd w:val="0"/>
        <w:ind w:left="426"/>
        <w:jc w:val="both"/>
        <w:rPr>
          <w:rFonts w:ascii="Arial Narrow" w:eastAsia="Calibri" w:hAnsi="Arial Narrow" w:cs="Arial"/>
          <w:color w:val="000000" w:themeColor="text1"/>
          <w:lang w:eastAsia="es-ES"/>
        </w:rPr>
      </w:pPr>
    </w:p>
    <w:tbl>
      <w:tblPr>
        <w:tblpPr w:leftFromText="141" w:rightFromText="141" w:vertAnchor="text" w:horzAnchor="margin" w:tblpXSpec="center" w:tblpY="37"/>
        <w:tblOverlap w:val="never"/>
        <w:tblW w:w="94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4890"/>
        <w:gridCol w:w="4536"/>
      </w:tblGrid>
      <w:tr w:rsidR="007968EC" w:rsidRPr="00EB14DE" w14:paraId="768F04C2" w14:textId="77777777" w:rsidTr="007968EC">
        <w:trPr>
          <w:trHeight w:val="250"/>
        </w:trPr>
        <w:tc>
          <w:tcPr>
            <w:tcW w:w="4890" w:type="dxa"/>
            <w:shd w:val="clear" w:color="auto" w:fill="BFBFBF"/>
            <w:noWrap/>
            <w:vAlign w:val="center"/>
            <w:hideMark/>
          </w:tcPr>
          <w:p w14:paraId="416B6627" w14:textId="77777777" w:rsidR="007968EC" w:rsidRPr="00EB14DE" w:rsidRDefault="007968EC" w:rsidP="007968EC">
            <w:pPr>
              <w:jc w:val="center"/>
              <w:rPr>
                <w:rFonts w:ascii="Arial Narrow" w:eastAsia="Calibri" w:hAnsi="Arial Narrow"/>
                <w:bCs/>
                <w:color w:val="000000" w:themeColor="text1"/>
              </w:rPr>
            </w:pPr>
            <w:r w:rsidRPr="00EB14DE">
              <w:rPr>
                <w:rFonts w:ascii="Arial Narrow" w:eastAsia="Calibri" w:hAnsi="Arial Narrow"/>
                <w:bCs/>
                <w:color w:val="000000" w:themeColor="text1"/>
              </w:rPr>
              <w:t>Denominación del Instrumento</w:t>
            </w:r>
          </w:p>
        </w:tc>
        <w:tc>
          <w:tcPr>
            <w:tcW w:w="4536" w:type="dxa"/>
            <w:shd w:val="clear" w:color="auto" w:fill="BFBFBF"/>
            <w:noWrap/>
            <w:vAlign w:val="center"/>
            <w:hideMark/>
          </w:tcPr>
          <w:p w14:paraId="503AB06C" w14:textId="77777777" w:rsidR="007968EC" w:rsidRPr="00EB14DE" w:rsidRDefault="007968EC" w:rsidP="007968EC">
            <w:pPr>
              <w:jc w:val="center"/>
              <w:rPr>
                <w:rFonts w:ascii="Arial Narrow" w:eastAsia="Calibri" w:hAnsi="Arial Narrow"/>
                <w:bCs/>
                <w:color w:val="000000" w:themeColor="text1"/>
              </w:rPr>
            </w:pPr>
            <w:r w:rsidRPr="00EB14DE">
              <w:rPr>
                <w:rFonts w:ascii="Arial Narrow" w:eastAsia="Calibri" w:hAnsi="Arial Narrow"/>
                <w:bCs/>
                <w:color w:val="000000" w:themeColor="text1"/>
              </w:rPr>
              <w:t>Activo Subyacente</w:t>
            </w:r>
          </w:p>
        </w:tc>
      </w:tr>
      <w:tr w:rsidR="007968EC" w:rsidRPr="00EB14DE" w14:paraId="0ABE9059" w14:textId="77777777" w:rsidTr="007968EC">
        <w:trPr>
          <w:trHeight w:val="143"/>
        </w:trPr>
        <w:tc>
          <w:tcPr>
            <w:tcW w:w="4890" w:type="dxa"/>
            <w:shd w:val="clear" w:color="auto" w:fill="auto"/>
            <w:vAlign w:val="center"/>
            <w:hideMark/>
          </w:tcPr>
          <w:p w14:paraId="67B68B66" w14:textId="77777777" w:rsidR="007968EC" w:rsidRPr="00EB14DE" w:rsidRDefault="007968EC" w:rsidP="007968EC">
            <w:pPr>
              <w:rPr>
                <w:rFonts w:ascii="Arial Narrow" w:eastAsia="Calibri" w:hAnsi="Arial Narrow"/>
                <w:b/>
                <w:color w:val="000000" w:themeColor="text1"/>
              </w:rPr>
            </w:pPr>
            <w:r w:rsidRPr="00EB14DE">
              <w:rPr>
                <w:rFonts w:ascii="Arial Narrow" w:eastAsia="Calibri" w:hAnsi="Arial Narrow"/>
                <w:color w:val="000000" w:themeColor="text1"/>
              </w:rPr>
              <w:t>Contrato de Futuro sobre la Acción Preferencial del Grupo SURA.</w:t>
            </w:r>
          </w:p>
        </w:tc>
        <w:tc>
          <w:tcPr>
            <w:tcW w:w="4536" w:type="dxa"/>
            <w:shd w:val="clear" w:color="auto" w:fill="auto"/>
            <w:noWrap/>
            <w:vAlign w:val="center"/>
            <w:hideMark/>
          </w:tcPr>
          <w:p w14:paraId="610EAAE2" w14:textId="77777777" w:rsidR="007968EC" w:rsidRPr="00EB14DE" w:rsidRDefault="007968EC" w:rsidP="007968EC">
            <w:pPr>
              <w:jc w:val="center"/>
              <w:rPr>
                <w:rFonts w:ascii="Arial Narrow" w:eastAsia="Calibri" w:hAnsi="Arial Narrow"/>
                <w:b/>
                <w:bCs/>
                <w:color w:val="000000" w:themeColor="text1"/>
              </w:rPr>
            </w:pPr>
            <w:r w:rsidRPr="00EB14DE">
              <w:rPr>
                <w:rFonts w:ascii="Arial Narrow" w:eastAsia="Calibri" w:hAnsi="Arial Narrow"/>
                <w:color w:val="000000" w:themeColor="text1"/>
              </w:rPr>
              <w:t>Acción Preferencial Grupo SURA</w:t>
            </w:r>
          </w:p>
        </w:tc>
      </w:tr>
      <w:tr w:rsidR="007968EC" w:rsidRPr="00EB14DE" w14:paraId="02EE91F0" w14:textId="77777777" w:rsidTr="007968EC">
        <w:trPr>
          <w:trHeight w:val="143"/>
        </w:trPr>
        <w:tc>
          <w:tcPr>
            <w:tcW w:w="4890" w:type="dxa"/>
            <w:shd w:val="clear" w:color="auto" w:fill="auto"/>
            <w:vAlign w:val="center"/>
          </w:tcPr>
          <w:p w14:paraId="4BB45D8E" w14:textId="77777777" w:rsidR="007968EC" w:rsidRPr="00EB14DE" w:rsidRDefault="007968EC" w:rsidP="007968EC">
            <w:pPr>
              <w:rPr>
                <w:rFonts w:ascii="Arial Narrow" w:eastAsia="Calibri" w:hAnsi="Arial Narrow"/>
                <w:b/>
                <w:color w:val="000000" w:themeColor="text1"/>
              </w:rPr>
            </w:pPr>
            <w:r w:rsidRPr="00EB14DE">
              <w:rPr>
                <w:rFonts w:ascii="Arial Narrow" w:eastAsia="Calibri" w:hAnsi="Arial Narrow"/>
                <w:color w:val="000000" w:themeColor="text1"/>
              </w:rPr>
              <w:t>Contrato de Futuro sobre la Acción de Éxito.</w:t>
            </w:r>
          </w:p>
        </w:tc>
        <w:tc>
          <w:tcPr>
            <w:tcW w:w="4536" w:type="dxa"/>
            <w:shd w:val="clear" w:color="auto" w:fill="auto"/>
            <w:noWrap/>
            <w:vAlign w:val="center"/>
          </w:tcPr>
          <w:p w14:paraId="6175E567" w14:textId="77777777" w:rsidR="007968EC" w:rsidRPr="00EB14DE" w:rsidRDefault="007968EC" w:rsidP="007968EC">
            <w:pPr>
              <w:jc w:val="center"/>
              <w:rPr>
                <w:rFonts w:ascii="Arial Narrow" w:eastAsia="Calibri" w:hAnsi="Arial Narrow"/>
                <w:b/>
                <w:bCs/>
                <w:color w:val="000000" w:themeColor="text1"/>
              </w:rPr>
            </w:pPr>
            <w:r w:rsidRPr="00EB14DE">
              <w:rPr>
                <w:rFonts w:ascii="Arial Narrow" w:eastAsia="Calibri" w:hAnsi="Arial Narrow"/>
                <w:bCs/>
                <w:color w:val="000000" w:themeColor="text1"/>
              </w:rPr>
              <w:t>Acción Ordinaria Éxito</w:t>
            </w:r>
          </w:p>
        </w:tc>
      </w:tr>
      <w:tr w:rsidR="007968EC" w:rsidRPr="00EB14DE" w14:paraId="22F245F8" w14:textId="77777777" w:rsidTr="007968EC">
        <w:trPr>
          <w:trHeight w:val="143"/>
        </w:trPr>
        <w:tc>
          <w:tcPr>
            <w:tcW w:w="4890" w:type="dxa"/>
            <w:shd w:val="clear" w:color="auto" w:fill="auto"/>
            <w:vAlign w:val="center"/>
          </w:tcPr>
          <w:p w14:paraId="15615EC9" w14:textId="77777777" w:rsidR="007968EC" w:rsidRPr="00EB14DE" w:rsidRDefault="007968EC" w:rsidP="007968EC">
            <w:pPr>
              <w:rPr>
                <w:rFonts w:ascii="Arial Narrow" w:eastAsia="Calibri" w:hAnsi="Arial Narrow"/>
                <w:b/>
                <w:color w:val="000000" w:themeColor="text1"/>
              </w:rPr>
            </w:pPr>
            <w:r w:rsidRPr="00EB14DE">
              <w:rPr>
                <w:rFonts w:ascii="Arial Narrow" w:eastAsia="Calibri" w:hAnsi="Arial Narrow"/>
                <w:color w:val="000000" w:themeColor="text1"/>
              </w:rPr>
              <w:t>Contrato de Futuro sobre la Acción de Nutresa.</w:t>
            </w:r>
          </w:p>
        </w:tc>
        <w:tc>
          <w:tcPr>
            <w:tcW w:w="4536" w:type="dxa"/>
            <w:shd w:val="clear" w:color="auto" w:fill="auto"/>
            <w:noWrap/>
            <w:vAlign w:val="center"/>
          </w:tcPr>
          <w:p w14:paraId="537DFA25" w14:textId="77777777" w:rsidR="007968EC" w:rsidRPr="00EB14DE" w:rsidRDefault="007968EC" w:rsidP="007968EC">
            <w:pPr>
              <w:jc w:val="center"/>
              <w:rPr>
                <w:rFonts w:ascii="Arial Narrow" w:eastAsia="Calibri" w:hAnsi="Arial Narrow"/>
                <w:b/>
                <w:bCs/>
                <w:color w:val="000000" w:themeColor="text1"/>
              </w:rPr>
            </w:pPr>
            <w:r w:rsidRPr="00EB14DE">
              <w:rPr>
                <w:rFonts w:ascii="Arial Narrow" w:eastAsia="Calibri" w:hAnsi="Arial Narrow"/>
                <w:bCs/>
                <w:color w:val="000000" w:themeColor="text1"/>
              </w:rPr>
              <w:t>Acción Ordinaria Nutresa</w:t>
            </w:r>
          </w:p>
        </w:tc>
      </w:tr>
      <w:tr w:rsidR="007968EC" w:rsidRPr="00EB14DE" w14:paraId="36DDF7C0" w14:textId="77777777" w:rsidTr="007968EC">
        <w:trPr>
          <w:trHeight w:val="143"/>
        </w:trPr>
        <w:tc>
          <w:tcPr>
            <w:tcW w:w="4890" w:type="dxa"/>
            <w:shd w:val="clear" w:color="auto" w:fill="auto"/>
            <w:vAlign w:val="center"/>
          </w:tcPr>
          <w:p w14:paraId="4372FD7B" w14:textId="77777777" w:rsidR="007968EC" w:rsidRPr="00EB14DE" w:rsidRDefault="007968EC" w:rsidP="007968EC">
            <w:pPr>
              <w:jc w:val="both"/>
              <w:rPr>
                <w:rFonts w:ascii="Arial Narrow" w:eastAsia="Calibri" w:hAnsi="Arial Narrow"/>
                <w:b/>
                <w:color w:val="000000" w:themeColor="text1"/>
              </w:rPr>
            </w:pPr>
            <w:r w:rsidRPr="00EB14DE">
              <w:rPr>
                <w:rFonts w:ascii="Arial Narrow" w:eastAsia="Calibri" w:hAnsi="Arial Narrow"/>
                <w:color w:val="000000" w:themeColor="text1"/>
              </w:rPr>
              <w:t>Contrato de Futuro sobre la Acción del Grupo Argos.</w:t>
            </w:r>
          </w:p>
        </w:tc>
        <w:tc>
          <w:tcPr>
            <w:tcW w:w="4536" w:type="dxa"/>
            <w:shd w:val="clear" w:color="auto" w:fill="auto"/>
            <w:noWrap/>
            <w:vAlign w:val="center"/>
          </w:tcPr>
          <w:p w14:paraId="2D732EFA" w14:textId="77777777" w:rsidR="007968EC" w:rsidRPr="00EB14DE" w:rsidRDefault="007968EC" w:rsidP="007968EC">
            <w:pPr>
              <w:jc w:val="center"/>
              <w:rPr>
                <w:rFonts w:ascii="Arial Narrow" w:eastAsia="Calibri" w:hAnsi="Arial Narrow"/>
                <w:b/>
                <w:color w:val="000000" w:themeColor="text1"/>
              </w:rPr>
            </w:pPr>
            <w:r w:rsidRPr="00EB14DE">
              <w:rPr>
                <w:rFonts w:ascii="Arial Narrow" w:eastAsia="Calibri" w:hAnsi="Arial Narrow"/>
                <w:bCs/>
                <w:color w:val="000000" w:themeColor="text1"/>
              </w:rPr>
              <w:t>Acción Ordinaria Grupo Argos</w:t>
            </w:r>
          </w:p>
        </w:tc>
      </w:tr>
      <w:tr w:rsidR="007968EC" w:rsidRPr="00EB14DE" w14:paraId="36B00CB3" w14:textId="77777777" w:rsidTr="007968EC">
        <w:trPr>
          <w:trHeight w:val="143"/>
        </w:trPr>
        <w:tc>
          <w:tcPr>
            <w:tcW w:w="4890" w:type="dxa"/>
            <w:shd w:val="clear" w:color="auto" w:fill="auto"/>
            <w:vAlign w:val="center"/>
          </w:tcPr>
          <w:p w14:paraId="7C764CCD" w14:textId="77777777" w:rsidR="007968EC" w:rsidRPr="00EB14DE" w:rsidRDefault="007968EC" w:rsidP="007968EC">
            <w:pPr>
              <w:rPr>
                <w:rFonts w:ascii="Arial Narrow" w:eastAsia="Calibri" w:hAnsi="Arial Narrow"/>
                <w:b/>
                <w:color w:val="000000" w:themeColor="text1"/>
              </w:rPr>
            </w:pPr>
            <w:r w:rsidRPr="00EB14DE">
              <w:rPr>
                <w:rFonts w:ascii="Arial Narrow" w:eastAsia="Calibri" w:hAnsi="Arial Narrow"/>
                <w:color w:val="000000" w:themeColor="text1"/>
              </w:rPr>
              <w:t>Contrato de Futuro sobre la Acción de ISA.</w:t>
            </w:r>
          </w:p>
        </w:tc>
        <w:tc>
          <w:tcPr>
            <w:tcW w:w="4536" w:type="dxa"/>
            <w:shd w:val="clear" w:color="auto" w:fill="auto"/>
            <w:noWrap/>
            <w:vAlign w:val="center"/>
          </w:tcPr>
          <w:p w14:paraId="616D3C52" w14:textId="77777777" w:rsidR="007968EC" w:rsidRPr="00EB14DE" w:rsidRDefault="007968EC" w:rsidP="007968EC">
            <w:pPr>
              <w:jc w:val="center"/>
              <w:rPr>
                <w:rFonts w:ascii="Arial Narrow" w:eastAsia="Calibri" w:hAnsi="Arial Narrow"/>
                <w:b/>
                <w:bCs/>
                <w:color w:val="000000" w:themeColor="text1"/>
              </w:rPr>
            </w:pPr>
            <w:r w:rsidRPr="00EB14DE">
              <w:rPr>
                <w:rFonts w:ascii="Arial Narrow" w:eastAsia="Calibri" w:hAnsi="Arial Narrow"/>
                <w:bCs/>
                <w:color w:val="000000" w:themeColor="text1"/>
              </w:rPr>
              <w:t>Acción Ordinaria ISA</w:t>
            </w:r>
          </w:p>
        </w:tc>
      </w:tr>
      <w:tr w:rsidR="007968EC" w:rsidRPr="00EB14DE" w14:paraId="682F406A" w14:textId="77777777" w:rsidTr="007968EC">
        <w:trPr>
          <w:trHeight w:val="143"/>
        </w:trPr>
        <w:tc>
          <w:tcPr>
            <w:tcW w:w="4890" w:type="dxa"/>
            <w:shd w:val="clear" w:color="auto" w:fill="auto"/>
            <w:vAlign w:val="center"/>
          </w:tcPr>
          <w:p w14:paraId="1AE412FC" w14:textId="77777777" w:rsidR="007968EC" w:rsidRPr="00EB14DE" w:rsidRDefault="007968EC" w:rsidP="007968EC">
            <w:pPr>
              <w:rPr>
                <w:rFonts w:ascii="Arial Narrow" w:eastAsia="Calibri" w:hAnsi="Arial Narrow"/>
                <w:b/>
                <w:color w:val="000000" w:themeColor="text1"/>
              </w:rPr>
            </w:pPr>
            <w:r w:rsidRPr="00EB14DE">
              <w:rPr>
                <w:rFonts w:ascii="Arial Narrow" w:eastAsia="Calibri" w:hAnsi="Arial Narrow"/>
                <w:color w:val="000000" w:themeColor="text1"/>
              </w:rPr>
              <w:t>Contrato de Futuro sobre la Acción Preferencial del Grupo Aval.</w:t>
            </w:r>
          </w:p>
        </w:tc>
        <w:tc>
          <w:tcPr>
            <w:tcW w:w="4536" w:type="dxa"/>
            <w:shd w:val="clear" w:color="auto" w:fill="auto"/>
            <w:noWrap/>
            <w:vAlign w:val="center"/>
          </w:tcPr>
          <w:p w14:paraId="3AB90CDD" w14:textId="77777777" w:rsidR="007968EC" w:rsidRPr="00EB14DE" w:rsidRDefault="007968EC" w:rsidP="007968EC">
            <w:pPr>
              <w:jc w:val="center"/>
              <w:rPr>
                <w:rFonts w:ascii="Arial Narrow" w:eastAsia="Calibri" w:hAnsi="Arial Narrow"/>
                <w:b/>
                <w:bCs/>
                <w:color w:val="000000" w:themeColor="text1"/>
              </w:rPr>
            </w:pPr>
            <w:r w:rsidRPr="00EB14DE">
              <w:rPr>
                <w:rFonts w:ascii="Arial Narrow" w:eastAsia="Calibri" w:hAnsi="Arial Narrow"/>
                <w:bCs/>
                <w:color w:val="000000" w:themeColor="text1"/>
              </w:rPr>
              <w:t>Acción Preferencial Grupo Aval</w:t>
            </w:r>
          </w:p>
        </w:tc>
      </w:tr>
      <w:tr w:rsidR="007968EC" w:rsidRPr="00EB14DE" w14:paraId="4BCC7B0C" w14:textId="77777777" w:rsidTr="007968EC">
        <w:trPr>
          <w:trHeight w:val="143"/>
        </w:trPr>
        <w:tc>
          <w:tcPr>
            <w:tcW w:w="4890" w:type="dxa"/>
            <w:shd w:val="clear" w:color="auto" w:fill="auto"/>
            <w:vAlign w:val="center"/>
          </w:tcPr>
          <w:p w14:paraId="77C7234E" w14:textId="77777777" w:rsidR="007968EC" w:rsidRPr="00EB14DE" w:rsidRDefault="007968EC" w:rsidP="007968EC">
            <w:pPr>
              <w:rPr>
                <w:rFonts w:ascii="Arial Narrow" w:eastAsia="Calibri" w:hAnsi="Arial Narrow"/>
                <w:b/>
                <w:color w:val="000000" w:themeColor="text1"/>
              </w:rPr>
            </w:pPr>
            <w:r w:rsidRPr="00EB14DE">
              <w:rPr>
                <w:rFonts w:ascii="Arial Narrow" w:eastAsia="Calibri" w:hAnsi="Arial Narrow"/>
                <w:color w:val="000000" w:themeColor="text1"/>
              </w:rPr>
              <w:t>Contrato de Futuro sobre la Acción Ordinaria de Cementos Argos.</w:t>
            </w:r>
          </w:p>
        </w:tc>
        <w:tc>
          <w:tcPr>
            <w:tcW w:w="4536" w:type="dxa"/>
            <w:shd w:val="clear" w:color="auto" w:fill="auto"/>
            <w:noWrap/>
            <w:vAlign w:val="center"/>
          </w:tcPr>
          <w:p w14:paraId="2DA270C2" w14:textId="77777777" w:rsidR="007968EC" w:rsidRPr="00EB14DE" w:rsidRDefault="007968EC" w:rsidP="007968EC">
            <w:pPr>
              <w:jc w:val="center"/>
              <w:rPr>
                <w:rFonts w:ascii="Arial Narrow" w:eastAsia="Calibri" w:hAnsi="Arial Narrow"/>
                <w:b/>
                <w:bCs/>
                <w:color w:val="000000" w:themeColor="text1"/>
              </w:rPr>
            </w:pPr>
            <w:r w:rsidRPr="00EB14DE">
              <w:rPr>
                <w:rFonts w:ascii="Arial Narrow" w:eastAsia="Calibri" w:hAnsi="Arial Narrow"/>
                <w:bCs/>
                <w:color w:val="000000" w:themeColor="text1"/>
              </w:rPr>
              <w:t>Acción Ordinaria Cementos Argos</w:t>
            </w:r>
          </w:p>
        </w:tc>
      </w:tr>
      <w:tr w:rsidR="007968EC" w:rsidRPr="00EB14DE" w14:paraId="15B3773B" w14:textId="77777777" w:rsidTr="007968EC">
        <w:trPr>
          <w:trHeight w:val="143"/>
        </w:trPr>
        <w:tc>
          <w:tcPr>
            <w:tcW w:w="4890" w:type="dxa"/>
            <w:shd w:val="clear" w:color="auto" w:fill="auto"/>
          </w:tcPr>
          <w:p w14:paraId="7E995A84" w14:textId="77777777" w:rsidR="007968EC" w:rsidRPr="00EB14DE" w:rsidRDefault="007968EC" w:rsidP="007968EC">
            <w:pPr>
              <w:rPr>
                <w:rFonts w:ascii="Arial Narrow" w:eastAsia="Calibri" w:hAnsi="Arial Narrow"/>
                <w:b/>
                <w:color w:val="000000" w:themeColor="text1"/>
              </w:rPr>
            </w:pPr>
            <w:r w:rsidRPr="00EB14DE">
              <w:rPr>
                <w:rFonts w:ascii="Arial Narrow" w:eastAsia="Calibri" w:hAnsi="Arial Narrow"/>
                <w:color w:val="000000" w:themeColor="text1"/>
              </w:rPr>
              <w:t>Contrato de Futuro sobre la Acción Preferencial de Cementos Argos</w:t>
            </w:r>
          </w:p>
        </w:tc>
        <w:tc>
          <w:tcPr>
            <w:tcW w:w="4536" w:type="dxa"/>
            <w:shd w:val="clear" w:color="auto" w:fill="auto"/>
            <w:noWrap/>
          </w:tcPr>
          <w:p w14:paraId="5C326E04" w14:textId="77777777" w:rsidR="007968EC" w:rsidRPr="00EB14DE" w:rsidRDefault="007968EC" w:rsidP="007968EC">
            <w:pPr>
              <w:jc w:val="center"/>
              <w:rPr>
                <w:rFonts w:ascii="Arial Narrow" w:eastAsia="Calibri" w:hAnsi="Arial Narrow"/>
                <w:b/>
                <w:color w:val="000000" w:themeColor="text1"/>
              </w:rPr>
            </w:pPr>
            <w:r w:rsidRPr="00EB14DE">
              <w:rPr>
                <w:rFonts w:ascii="Arial Narrow" w:eastAsia="Calibri" w:hAnsi="Arial Narrow"/>
                <w:color w:val="000000" w:themeColor="text1"/>
              </w:rPr>
              <w:t>Acción Preferencial Cementos Argos</w:t>
            </w:r>
          </w:p>
        </w:tc>
      </w:tr>
      <w:tr w:rsidR="007968EC" w:rsidRPr="00EB14DE" w14:paraId="1F3427C8" w14:textId="77777777" w:rsidTr="007968EC">
        <w:trPr>
          <w:trHeight w:val="143"/>
        </w:trPr>
        <w:tc>
          <w:tcPr>
            <w:tcW w:w="4890" w:type="dxa"/>
            <w:shd w:val="clear" w:color="auto" w:fill="auto"/>
          </w:tcPr>
          <w:p w14:paraId="20F1DBDE" w14:textId="77777777" w:rsidR="007968EC" w:rsidRPr="00EB14DE" w:rsidRDefault="007968EC" w:rsidP="007968EC">
            <w:pPr>
              <w:rPr>
                <w:rFonts w:ascii="Arial Narrow" w:eastAsia="Calibri" w:hAnsi="Arial Narrow"/>
                <w:color w:val="000000" w:themeColor="text1"/>
              </w:rPr>
            </w:pPr>
            <w:r w:rsidRPr="00EB14DE">
              <w:rPr>
                <w:rFonts w:ascii="Arial Narrow" w:eastAsia="Calibri" w:hAnsi="Arial Narrow"/>
                <w:color w:val="000000" w:themeColor="text1"/>
              </w:rPr>
              <w:t xml:space="preserve">Contrato de </w:t>
            </w:r>
            <w:r w:rsidRPr="00EB14DE">
              <w:rPr>
                <w:rFonts w:ascii="Arial Narrow" w:hAnsi="Arial Narrow" w:cs="Arial"/>
              </w:rPr>
              <w:t>Futuro sobre la Acción Ordinaria de Banco de Bogotá</w:t>
            </w:r>
          </w:p>
        </w:tc>
        <w:tc>
          <w:tcPr>
            <w:tcW w:w="4536" w:type="dxa"/>
            <w:shd w:val="clear" w:color="auto" w:fill="auto"/>
            <w:noWrap/>
          </w:tcPr>
          <w:p w14:paraId="798C876C" w14:textId="77777777" w:rsidR="007968EC" w:rsidRPr="00EB14DE" w:rsidRDefault="007968EC" w:rsidP="007968EC">
            <w:pPr>
              <w:jc w:val="center"/>
              <w:rPr>
                <w:rFonts w:ascii="Arial Narrow" w:eastAsia="Calibri" w:hAnsi="Arial Narrow"/>
                <w:color w:val="000000" w:themeColor="text1"/>
              </w:rPr>
            </w:pPr>
            <w:r w:rsidRPr="00EB14DE">
              <w:rPr>
                <w:rFonts w:ascii="Arial Narrow" w:hAnsi="Arial Narrow" w:cs="Arial"/>
              </w:rPr>
              <w:t>Acción Ordinaria Banco de Bogotá</w:t>
            </w:r>
          </w:p>
        </w:tc>
      </w:tr>
      <w:tr w:rsidR="007968EC" w:rsidRPr="00EB14DE" w14:paraId="517CB114" w14:textId="77777777" w:rsidTr="007968EC">
        <w:trPr>
          <w:trHeight w:val="143"/>
        </w:trPr>
        <w:tc>
          <w:tcPr>
            <w:tcW w:w="4890" w:type="dxa"/>
            <w:shd w:val="clear" w:color="auto" w:fill="auto"/>
            <w:vAlign w:val="center"/>
          </w:tcPr>
          <w:p w14:paraId="2EE6ECB6" w14:textId="77777777" w:rsidR="007968EC" w:rsidRPr="00EB14DE" w:rsidRDefault="007968EC" w:rsidP="007968EC">
            <w:pPr>
              <w:rPr>
                <w:rFonts w:ascii="Arial Narrow" w:eastAsia="Calibri" w:hAnsi="Arial Narrow"/>
                <w:color w:val="000000" w:themeColor="text1"/>
              </w:rPr>
            </w:pPr>
            <w:r w:rsidRPr="00EB14DE">
              <w:rPr>
                <w:rFonts w:ascii="Arial Narrow" w:eastAsia="Calibri" w:hAnsi="Arial Narrow"/>
                <w:color w:val="000000" w:themeColor="text1"/>
              </w:rPr>
              <w:t xml:space="preserve">Contrato de </w:t>
            </w:r>
            <w:r w:rsidRPr="00EB14DE">
              <w:rPr>
                <w:rFonts w:ascii="Arial Narrow" w:hAnsi="Arial Narrow" w:cs="Arial"/>
              </w:rPr>
              <w:t xml:space="preserve">Futuro sobre la Acción </w:t>
            </w:r>
            <w:r w:rsidRPr="00EB14DE">
              <w:rPr>
                <w:rFonts w:ascii="Arial Narrow" w:eastAsia="Calibri" w:hAnsi="Arial Narrow"/>
                <w:color w:val="000000"/>
              </w:rPr>
              <w:t>Celsia</w:t>
            </w:r>
          </w:p>
        </w:tc>
        <w:tc>
          <w:tcPr>
            <w:tcW w:w="4536" w:type="dxa"/>
            <w:shd w:val="clear" w:color="auto" w:fill="auto"/>
            <w:noWrap/>
            <w:vAlign w:val="center"/>
          </w:tcPr>
          <w:p w14:paraId="6C13DFC6" w14:textId="77777777" w:rsidR="007968EC" w:rsidRPr="00EB14DE" w:rsidRDefault="007968EC" w:rsidP="007968EC">
            <w:pPr>
              <w:jc w:val="center"/>
              <w:rPr>
                <w:rFonts w:ascii="Arial Narrow" w:hAnsi="Arial Narrow" w:cs="Arial"/>
              </w:rPr>
            </w:pPr>
            <w:r w:rsidRPr="00EB14DE">
              <w:rPr>
                <w:rFonts w:ascii="Arial Narrow" w:hAnsi="Arial Narrow" w:cs="Arial"/>
              </w:rPr>
              <w:t xml:space="preserve">Acción Ordinaria de </w:t>
            </w:r>
            <w:r w:rsidRPr="00EB14DE">
              <w:rPr>
                <w:rFonts w:ascii="Arial Narrow" w:eastAsia="Calibri" w:hAnsi="Arial Narrow"/>
                <w:color w:val="000000"/>
              </w:rPr>
              <w:t>Celsia</w:t>
            </w:r>
          </w:p>
        </w:tc>
      </w:tr>
      <w:tr w:rsidR="007968EC" w:rsidRPr="00EB14DE" w14:paraId="0B7BC66E" w14:textId="77777777" w:rsidTr="007968EC">
        <w:trPr>
          <w:trHeight w:val="143"/>
        </w:trPr>
        <w:tc>
          <w:tcPr>
            <w:tcW w:w="4890" w:type="dxa"/>
            <w:shd w:val="clear" w:color="auto" w:fill="auto"/>
            <w:vAlign w:val="center"/>
          </w:tcPr>
          <w:p w14:paraId="37A239BD" w14:textId="77777777" w:rsidR="007968EC" w:rsidRPr="00EB14DE" w:rsidRDefault="007968EC" w:rsidP="007968EC">
            <w:pPr>
              <w:rPr>
                <w:rFonts w:ascii="Arial Narrow" w:eastAsia="Calibri" w:hAnsi="Arial Narrow"/>
                <w:color w:val="000000" w:themeColor="text1"/>
              </w:rPr>
            </w:pPr>
            <w:r w:rsidRPr="00EB14DE">
              <w:rPr>
                <w:rFonts w:ascii="Arial Narrow" w:eastAsia="Calibri" w:hAnsi="Arial Narrow"/>
                <w:color w:val="000000" w:themeColor="text1"/>
              </w:rPr>
              <w:t xml:space="preserve">Contrato de </w:t>
            </w:r>
            <w:r w:rsidRPr="00EB14DE">
              <w:rPr>
                <w:rFonts w:ascii="Arial Narrow" w:hAnsi="Arial Narrow" w:cs="Arial"/>
              </w:rPr>
              <w:t xml:space="preserve">Futuro sobre la Acción </w:t>
            </w:r>
            <w:r w:rsidRPr="00EB14DE">
              <w:rPr>
                <w:rFonts w:ascii="Arial Narrow" w:eastAsia="Calibri" w:hAnsi="Arial Narrow"/>
                <w:color w:val="000000"/>
              </w:rPr>
              <w:t>Grupo de Energía de Bogotá</w:t>
            </w:r>
          </w:p>
        </w:tc>
        <w:tc>
          <w:tcPr>
            <w:tcW w:w="4536" w:type="dxa"/>
            <w:shd w:val="clear" w:color="auto" w:fill="auto"/>
            <w:noWrap/>
            <w:vAlign w:val="center"/>
          </w:tcPr>
          <w:p w14:paraId="658DC998" w14:textId="77777777" w:rsidR="007968EC" w:rsidRPr="00EB14DE" w:rsidRDefault="007968EC" w:rsidP="007968EC">
            <w:pPr>
              <w:jc w:val="center"/>
              <w:rPr>
                <w:rFonts w:ascii="Arial Narrow" w:hAnsi="Arial Narrow" w:cs="Arial"/>
              </w:rPr>
            </w:pPr>
            <w:r w:rsidRPr="00EB14DE">
              <w:rPr>
                <w:rFonts w:ascii="Arial Narrow" w:hAnsi="Arial Narrow" w:cs="Arial"/>
              </w:rPr>
              <w:t xml:space="preserve">Acción Ordinaria del </w:t>
            </w:r>
            <w:r w:rsidRPr="00EB14DE">
              <w:rPr>
                <w:rFonts w:ascii="Arial Narrow" w:eastAsia="Calibri" w:hAnsi="Arial Narrow"/>
                <w:color w:val="000000"/>
              </w:rPr>
              <w:t>Grupo de Energía de Bogotá</w:t>
            </w:r>
          </w:p>
        </w:tc>
      </w:tr>
      <w:tr w:rsidR="007968EC" w:rsidRPr="00EB14DE" w14:paraId="4C77897D" w14:textId="77777777" w:rsidTr="007968EC">
        <w:trPr>
          <w:trHeight w:val="143"/>
        </w:trPr>
        <w:tc>
          <w:tcPr>
            <w:tcW w:w="4890" w:type="dxa"/>
            <w:shd w:val="clear" w:color="auto" w:fill="auto"/>
            <w:vAlign w:val="center"/>
          </w:tcPr>
          <w:p w14:paraId="26782741" w14:textId="77777777" w:rsidR="007968EC" w:rsidRPr="00EB14DE" w:rsidRDefault="007968EC" w:rsidP="007968EC">
            <w:pPr>
              <w:rPr>
                <w:rFonts w:ascii="Arial Narrow" w:eastAsia="Calibri" w:hAnsi="Arial Narrow"/>
                <w:color w:val="000000" w:themeColor="text1"/>
              </w:rPr>
            </w:pPr>
            <w:r w:rsidRPr="00EB14DE">
              <w:rPr>
                <w:rFonts w:ascii="Arial Narrow" w:eastAsia="Calibri" w:hAnsi="Arial Narrow"/>
                <w:color w:val="000000" w:themeColor="text1"/>
              </w:rPr>
              <w:t xml:space="preserve">Contrato de Futuro sobre la Acción Ordinaria de la Bolsa de Valores de Colombia </w:t>
            </w:r>
          </w:p>
        </w:tc>
        <w:tc>
          <w:tcPr>
            <w:tcW w:w="4536" w:type="dxa"/>
            <w:shd w:val="clear" w:color="auto" w:fill="auto"/>
            <w:noWrap/>
            <w:vAlign w:val="center"/>
          </w:tcPr>
          <w:p w14:paraId="6A86B26A" w14:textId="77777777" w:rsidR="007968EC" w:rsidRPr="00EB14DE" w:rsidRDefault="007968EC" w:rsidP="007968EC">
            <w:pPr>
              <w:jc w:val="center"/>
              <w:rPr>
                <w:rFonts w:ascii="Arial Narrow" w:hAnsi="Arial Narrow" w:cs="Arial"/>
              </w:rPr>
            </w:pPr>
            <w:r w:rsidRPr="00EB14DE">
              <w:rPr>
                <w:rFonts w:ascii="Arial Narrow" w:eastAsia="Calibri" w:hAnsi="Arial Narrow"/>
                <w:color w:val="000000" w:themeColor="text1"/>
              </w:rPr>
              <w:t>Acción Ordinaria de la Bolsa de Valores de Colombia</w:t>
            </w:r>
          </w:p>
        </w:tc>
      </w:tr>
    </w:tbl>
    <w:p w14:paraId="20E2595A" w14:textId="77777777" w:rsidR="007968EC" w:rsidRPr="00EB14DE" w:rsidRDefault="007968EC" w:rsidP="007968EC">
      <w:pPr>
        <w:autoSpaceDE w:val="0"/>
        <w:autoSpaceDN w:val="0"/>
        <w:adjustRightInd w:val="0"/>
        <w:jc w:val="both"/>
        <w:rPr>
          <w:rFonts w:ascii="Arial Narrow" w:eastAsia="Calibri" w:hAnsi="Arial Narrow" w:cs="Arial"/>
          <w:color w:val="000000" w:themeColor="text1"/>
          <w:lang w:eastAsia="es-ES"/>
        </w:rPr>
      </w:pPr>
    </w:p>
    <w:p w14:paraId="268A9C7A" w14:textId="77777777" w:rsidR="007968EC" w:rsidRPr="00EB14DE" w:rsidRDefault="007968EC" w:rsidP="00DA7472">
      <w:pPr>
        <w:numPr>
          <w:ilvl w:val="0"/>
          <w:numId w:val="81"/>
        </w:numPr>
        <w:autoSpaceDE w:val="0"/>
        <w:autoSpaceDN w:val="0"/>
        <w:adjustRightInd w:val="0"/>
        <w:ind w:left="426" w:hanging="426"/>
        <w:jc w:val="both"/>
        <w:rPr>
          <w:rFonts w:ascii="Arial Narrow" w:hAnsi="Arial Narrow" w:cs="Arial"/>
          <w:color w:val="000000" w:themeColor="text1"/>
          <w:lang w:val="es-ES" w:eastAsia="es-ES"/>
        </w:rPr>
      </w:pPr>
      <w:proofErr w:type="gramStart"/>
      <w:r w:rsidRPr="00EB14DE">
        <w:rPr>
          <w:rFonts w:ascii="Arial Narrow" w:hAnsi="Arial Narrow" w:cs="Arial"/>
          <w:color w:val="000000" w:themeColor="text1"/>
          <w:lang w:val="es-ES" w:eastAsia="es-ES"/>
        </w:rPr>
        <w:t>Procedimiento a seguir</w:t>
      </w:r>
      <w:proofErr w:type="gramEnd"/>
      <w:r w:rsidRPr="00EB14DE">
        <w:rPr>
          <w:rFonts w:ascii="Arial Narrow" w:hAnsi="Arial Narrow" w:cs="Arial"/>
          <w:color w:val="000000" w:themeColor="text1"/>
          <w:lang w:val="es-ES" w:eastAsia="es-ES"/>
        </w:rPr>
        <w:t xml:space="preserve"> ante eventos corporativos que afecten los Contratos de Futuro sobre Acciones del Índice COLCAP con Liquidación por Diferencias:</w:t>
      </w:r>
    </w:p>
    <w:p w14:paraId="2EA1B270" w14:textId="77777777" w:rsidR="007968EC" w:rsidRPr="00EB14DE" w:rsidRDefault="007968EC" w:rsidP="007968EC">
      <w:pPr>
        <w:autoSpaceDE w:val="0"/>
        <w:autoSpaceDN w:val="0"/>
        <w:adjustRightInd w:val="0"/>
        <w:ind w:left="426"/>
        <w:jc w:val="both"/>
        <w:rPr>
          <w:rFonts w:ascii="Arial Narrow" w:hAnsi="Arial Narrow" w:cs="Arial"/>
          <w:color w:val="000000" w:themeColor="text1"/>
          <w:lang w:val="es-ES" w:eastAsia="es-ES"/>
        </w:rPr>
      </w:pPr>
    </w:p>
    <w:p w14:paraId="0C473C6C" w14:textId="77777777" w:rsidR="007968EC" w:rsidRPr="00EB14DE" w:rsidRDefault="007968EC" w:rsidP="007968EC">
      <w:pPr>
        <w:autoSpaceDE w:val="0"/>
        <w:autoSpaceDN w:val="0"/>
        <w:adjustRightInd w:val="0"/>
        <w:ind w:left="426"/>
        <w:jc w:val="both"/>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En el caso que se presente un Evento Corporativo, de conformidad con lo establecido en el artículo 1.1.1. de la Circular Única del Mercado de Derivados de la Bolsa de Valores, o cualquier norma que lo modifique o adicione la Cámara surtirá el siguiente procedimiento:</w:t>
      </w:r>
    </w:p>
    <w:p w14:paraId="23E5A486" w14:textId="77777777" w:rsidR="007968EC" w:rsidRPr="00EB14DE" w:rsidRDefault="007968EC" w:rsidP="007968EC">
      <w:pPr>
        <w:autoSpaceDE w:val="0"/>
        <w:autoSpaceDN w:val="0"/>
        <w:adjustRightInd w:val="0"/>
        <w:ind w:left="426"/>
        <w:jc w:val="both"/>
        <w:rPr>
          <w:rFonts w:ascii="Arial Narrow" w:hAnsi="Arial Narrow" w:cs="Arial"/>
          <w:color w:val="000000" w:themeColor="text1"/>
          <w:lang w:val="es-ES" w:eastAsia="es-ES"/>
        </w:rPr>
      </w:pPr>
    </w:p>
    <w:p w14:paraId="3BE55F61" w14:textId="77777777" w:rsidR="007968EC" w:rsidRPr="00EB14DE" w:rsidRDefault="007968EC" w:rsidP="007968EC">
      <w:pPr>
        <w:autoSpaceDE w:val="0"/>
        <w:autoSpaceDN w:val="0"/>
        <w:adjustRightInd w:val="0"/>
        <w:ind w:left="426"/>
        <w:jc w:val="both"/>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lastRenderedPageBreak/>
        <w:t xml:space="preserve">La BVC deberá informar a la Cámara y al mercado en general la ocurrencia del Evento Corporativo, con todas las características necesarias para hacer los ajustes respectivos en las posiciones de cada uno de los Miembros y Terceros, mínimo con dos (2) días hábiles de anticipación a la ocurrencia del Evento Corporativo. </w:t>
      </w:r>
    </w:p>
    <w:p w14:paraId="6988D6A4" w14:textId="77777777" w:rsidR="007968EC" w:rsidRPr="00EB14DE" w:rsidRDefault="007968EC" w:rsidP="007968EC">
      <w:pPr>
        <w:autoSpaceDE w:val="0"/>
        <w:autoSpaceDN w:val="0"/>
        <w:adjustRightInd w:val="0"/>
        <w:ind w:left="426"/>
        <w:jc w:val="both"/>
        <w:rPr>
          <w:rFonts w:ascii="Arial Narrow" w:hAnsi="Arial Narrow" w:cs="Arial"/>
          <w:color w:val="000000" w:themeColor="text1"/>
          <w:lang w:val="es-ES" w:eastAsia="es-ES"/>
        </w:rPr>
      </w:pPr>
    </w:p>
    <w:p w14:paraId="419F3994" w14:textId="77777777" w:rsidR="007968EC" w:rsidRPr="00EB14DE" w:rsidRDefault="007968EC" w:rsidP="007968EC">
      <w:pPr>
        <w:autoSpaceDE w:val="0"/>
        <w:autoSpaceDN w:val="0"/>
        <w:adjustRightInd w:val="0"/>
        <w:ind w:left="426"/>
        <w:jc w:val="both"/>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 xml:space="preserve">Las características mínimas sobre el Evento Corporativo que informará la BVC son: la fecha de materialización del evento, factor de conversión entre la acción antes del evento y la acción después del evento, tamaño del contrato antes y después del evento, precio del contrato antes y después del evento, el número de decimales que implica el ajuste de las posiciones y cualquier otra característica necesaria para que el Titular de Cuenta y la Cámara puedan evaluar su impacto. </w:t>
      </w:r>
    </w:p>
    <w:p w14:paraId="1470C11A" w14:textId="77777777" w:rsidR="007968EC" w:rsidRPr="00EB14DE" w:rsidRDefault="007968EC" w:rsidP="007968EC">
      <w:pPr>
        <w:autoSpaceDE w:val="0"/>
        <w:autoSpaceDN w:val="0"/>
        <w:adjustRightInd w:val="0"/>
        <w:ind w:left="426"/>
        <w:jc w:val="both"/>
        <w:rPr>
          <w:rFonts w:ascii="Arial Narrow" w:hAnsi="Arial Narrow" w:cs="Arial"/>
          <w:color w:val="000000" w:themeColor="text1"/>
          <w:lang w:val="es-ES" w:eastAsia="es-ES"/>
        </w:rPr>
      </w:pPr>
    </w:p>
    <w:p w14:paraId="44ACD039" w14:textId="77777777" w:rsidR="007968EC" w:rsidRPr="00EB14DE" w:rsidRDefault="007968EC" w:rsidP="007968EC">
      <w:pPr>
        <w:autoSpaceDE w:val="0"/>
        <w:autoSpaceDN w:val="0"/>
        <w:adjustRightInd w:val="0"/>
        <w:ind w:left="426"/>
        <w:jc w:val="both"/>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Así mismo, la BVC deberá informar con por lo menos dos (2) días hábiles de antelación a la Cámara y al mercado la fecha en la que se dará por suspendido el nemotécnico que se dejará de negociar producto de Evento Corporativo.</w:t>
      </w:r>
    </w:p>
    <w:p w14:paraId="34BCE304" w14:textId="77777777" w:rsidR="007968EC" w:rsidRPr="00EB14DE" w:rsidRDefault="007968EC" w:rsidP="007968EC">
      <w:pPr>
        <w:autoSpaceDE w:val="0"/>
        <w:autoSpaceDN w:val="0"/>
        <w:adjustRightInd w:val="0"/>
        <w:ind w:left="426"/>
        <w:jc w:val="both"/>
        <w:rPr>
          <w:rFonts w:ascii="Arial Narrow" w:hAnsi="Arial Narrow" w:cs="Arial"/>
          <w:color w:val="000000" w:themeColor="text1"/>
          <w:lang w:val="es-ES" w:eastAsia="es-ES"/>
        </w:rPr>
      </w:pPr>
    </w:p>
    <w:p w14:paraId="4D5DCECB" w14:textId="77777777" w:rsidR="007968EC" w:rsidRPr="00EB14DE" w:rsidRDefault="007968EC" w:rsidP="007968EC">
      <w:pPr>
        <w:autoSpaceDE w:val="0"/>
        <w:autoSpaceDN w:val="0"/>
        <w:adjustRightInd w:val="0"/>
        <w:ind w:left="426"/>
        <w:jc w:val="both"/>
        <w:rPr>
          <w:rFonts w:ascii="Arial Narrow" w:hAnsi="Arial Narrow" w:cs="Arial"/>
          <w:color w:val="000000" w:themeColor="text1"/>
          <w:lang w:val="es-ES" w:eastAsia="es-ES"/>
        </w:rPr>
      </w:pPr>
      <w:proofErr w:type="gramStart"/>
      <w:r w:rsidRPr="00EB14DE">
        <w:rPr>
          <w:rFonts w:ascii="Arial Narrow" w:hAnsi="Arial Narrow" w:cs="Arial"/>
          <w:color w:val="000000" w:themeColor="text1"/>
          <w:lang w:val="es-ES" w:eastAsia="es-ES"/>
        </w:rPr>
        <w:t>En caso que</w:t>
      </w:r>
      <w:proofErr w:type="gramEnd"/>
      <w:r w:rsidRPr="00EB14DE">
        <w:rPr>
          <w:rFonts w:ascii="Arial Narrow" w:hAnsi="Arial Narrow" w:cs="Arial"/>
          <w:color w:val="000000" w:themeColor="text1"/>
          <w:lang w:val="es-ES" w:eastAsia="es-ES"/>
        </w:rPr>
        <w:t xml:space="preserve"> la BVC no informe a la Cámara sobre la ocurrencia de un Evento Corporativo, con dos (2) días hábiles de anticipación, la Cámara podrá solicitar a la BVC que la negociación del Contrato de Futuro sobre la Acción del Índice COLCAP con Liquidación por Diferencias implicado, sea suspendida temporalmente hasta por dos (2) días hábiles, con el propósito de adoptar las medidas necesarias de ajuste de las posiciones en relación con el impacto del Evento Corporativo.</w:t>
      </w:r>
    </w:p>
    <w:p w14:paraId="22D32062" w14:textId="77777777" w:rsidR="007968EC" w:rsidRPr="00EB14DE" w:rsidRDefault="007968EC" w:rsidP="007968EC">
      <w:pPr>
        <w:autoSpaceDE w:val="0"/>
        <w:autoSpaceDN w:val="0"/>
        <w:adjustRightInd w:val="0"/>
        <w:ind w:left="426"/>
        <w:jc w:val="both"/>
        <w:rPr>
          <w:rFonts w:ascii="Arial Narrow" w:hAnsi="Arial Narrow" w:cs="Arial"/>
          <w:color w:val="000000" w:themeColor="text1"/>
          <w:lang w:val="es-ES" w:eastAsia="es-ES"/>
        </w:rPr>
      </w:pPr>
    </w:p>
    <w:p w14:paraId="188E12E4" w14:textId="77777777" w:rsidR="007968EC" w:rsidRPr="00EB14DE" w:rsidRDefault="007968EC" w:rsidP="007968EC">
      <w:pPr>
        <w:autoSpaceDE w:val="0"/>
        <w:autoSpaceDN w:val="0"/>
        <w:adjustRightInd w:val="0"/>
        <w:ind w:left="426"/>
        <w:jc w:val="both"/>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La Cámara y la BVC coordinarán las gestiones operativas que deban desarrollar para resolver los Eventos Corporativos, incluyendo la creación de nuevos nemotécnicos, la realización de operaciones y el truncamiento o la aproximación de los parámetros de negociación resultantes del Evento Corporativo, entre otras medidas operativas que se estimen necesarias.</w:t>
      </w:r>
    </w:p>
    <w:p w14:paraId="1D776CA7" w14:textId="77777777" w:rsidR="007968EC" w:rsidRPr="00EB14DE" w:rsidRDefault="007968EC" w:rsidP="007968EC">
      <w:pPr>
        <w:autoSpaceDE w:val="0"/>
        <w:autoSpaceDN w:val="0"/>
        <w:adjustRightInd w:val="0"/>
        <w:ind w:left="426"/>
        <w:jc w:val="both"/>
        <w:rPr>
          <w:rFonts w:ascii="Arial Narrow" w:hAnsi="Arial Narrow" w:cs="Arial"/>
          <w:color w:val="000000" w:themeColor="text1"/>
          <w:lang w:val="es-ES" w:eastAsia="es-ES"/>
        </w:rPr>
      </w:pPr>
    </w:p>
    <w:p w14:paraId="09900283" w14:textId="77777777" w:rsidR="007968EC" w:rsidRPr="00EB14DE" w:rsidRDefault="007968EC" w:rsidP="007968EC">
      <w:pPr>
        <w:autoSpaceDE w:val="0"/>
        <w:autoSpaceDN w:val="0"/>
        <w:adjustRightInd w:val="0"/>
        <w:ind w:left="426"/>
        <w:jc w:val="both"/>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 xml:space="preserve">La Cámara procederá a efectuar las gestiones operativas previamente coordinadas con la BVC, con el fin de ajustar la posición de los Contratos de Futuro sobre la Acción del Índice COLCAP implicados, de cada uno de los Miembros y de los Terceros, como consecuencia de la ocurrencia de un Evento Corporativo. </w:t>
      </w:r>
    </w:p>
    <w:p w14:paraId="74BD05C6" w14:textId="77777777" w:rsidR="007968EC" w:rsidRPr="00EB14DE" w:rsidRDefault="007968EC" w:rsidP="007968EC">
      <w:pPr>
        <w:autoSpaceDE w:val="0"/>
        <w:autoSpaceDN w:val="0"/>
        <w:adjustRightInd w:val="0"/>
        <w:ind w:left="426"/>
        <w:jc w:val="both"/>
        <w:rPr>
          <w:rFonts w:ascii="Arial Narrow" w:hAnsi="Arial Narrow" w:cs="Arial"/>
          <w:color w:val="000000" w:themeColor="text1"/>
          <w:lang w:val="es-ES" w:eastAsia="es-ES"/>
        </w:rPr>
      </w:pPr>
    </w:p>
    <w:p w14:paraId="129360E3" w14:textId="77777777" w:rsidR="007968EC" w:rsidRPr="00EB14DE" w:rsidRDefault="007968EC" w:rsidP="007968EC">
      <w:pPr>
        <w:autoSpaceDE w:val="0"/>
        <w:autoSpaceDN w:val="0"/>
        <w:adjustRightInd w:val="0"/>
        <w:ind w:left="426"/>
        <w:jc w:val="both"/>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La Cámara temporalmente tendrá publicado en el Sistema dos (2) nemotécnicos, la BVC informará con suficiente anticipación al mercado el nemotécnico que será negociable, al igual que las fechas en que será suspendido el nemotécnico que dejará de ser negociado.</w:t>
      </w:r>
    </w:p>
    <w:p w14:paraId="3AF8A3EE" w14:textId="77777777" w:rsidR="007968EC" w:rsidRPr="00EB14DE" w:rsidRDefault="007968EC" w:rsidP="007968EC">
      <w:pPr>
        <w:autoSpaceDE w:val="0"/>
        <w:autoSpaceDN w:val="0"/>
        <w:adjustRightInd w:val="0"/>
        <w:ind w:left="426"/>
        <w:jc w:val="both"/>
        <w:rPr>
          <w:rFonts w:ascii="Arial Narrow" w:hAnsi="Arial Narrow" w:cs="Arial"/>
          <w:color w:val="000000" w:themeColor="text1"/>
          <w:lang w:val="es-ES" w:eastAsia="es-ES"/>
        </w:rPr>
      </w:pPr>
    </w:p>
    <w:p w14:paraId="6FB5B587" w14:textId="77777777" w:rsidR="007968EC" w:rsidRPr="00EB14DE" w:rsidRDefault="007968EC" w:rsidP="007968EC">
      <w:pPr>
        <w:autoSpaceDE w:val="0"/>
        <w:autoSpaceDN w:val="0"/>
        <w:adjustRightInd w:val="0"/>
        <w:ind w:left="426"/>
        <w:jc w:val="both"/>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La Cámara anunciará a los Miembros Liquidadores el resultado de sus posiciones y las de sus Terceros, las de los Miembros no Liquidadores y sus Terceros, después de realizar los ajustes ocasionados por la ocurrencia del el Evento Corporativo, previo al inicio de la negociación de los Contratos de Futuro sobre la Acción del Índice COLCAP con Liquidación por Diferencias ajustados por la ocurrencia del Evento Corporativo.</w:t>
      </w:r>
    </w:p>
    <w:p w14:paraId="2901F49B" w14:textId="77777777" w:rsidR="007968EC" w:rsidRPr="00EB14DE" w:rsidRDefault="007968EC" w:rsidP="007968EC">
      <w:pPr>
        <w:autoSpaceDE w:val="0"/>
        <w:autoSpaceDN w:val="0"/>
        <w:ind w:left="284"/>
        <w:contextualSpacing/>
        <w:jc w:val="both"/>
        <w:rPr>
          <w:rFonts w:ascii="Arial Narrow" w:eastAsia="Calibri" w:hAnsi="Arial Narrow"/>
          <w:color w:val="000000" w:themeColor="text1"/>
        </w:rPr>
      </w:pPr>
    </w:p>
    <w:p w14:paraId="4B119BD3" w14:textId="77777777" w:rsidR="007968EC" w:rsidRPr="00EB14DE" w:rsidRDefault="007968EC" w:rsidP="00DA7472">
      <w:pPr>
        <w:numPr>
          <w:ilvl w:val="0"/>
          <w:numId w:val="81"/>
        </w:numPr>
        <w:autoSpaceDE w:val="0"/>
        <w:autoSpaceDN w:val="0"/>
        <w:ind w:left="426" w:hanging="426"/>
        <w:contextualSpacing/>
        <w:jc w:val="both"/>
        <w:rPr>
          <w:rFonts w:ascii="Arial Narrow" w:eastAsia="Calibri" w:hAnsi="Arial Narrow"/>
          <w:bCs/>
          <w:color w:val="000000" w:themeColor="text1"/>
        </w:rPr>
      </w:pPr>
      <w:r w:rsidRPr="00EB14DE">
        <w:rPr>
          <w:rFonts w:ascii="Arial Narrow" w:eastAsia="Calibri" w:hAnsi="Arial Narrow"/>
          <w:color w:val="000000" w:themeColor="text1"/>
        </w:rPr>
        <w:t>Activos recibidos en garantía:</w:t>
      </w:r>
      <w:r w:rsidRPr="00EB14DE">
        <w:rPr>
          <w:rFonts w:ascii="Arial Narrow" w:eastAsia="Calibri" w:hAnsi="Arial Narrow"/>
          <w:bCs/>
          <w:color w:val="000000" w:themeColor="text1"/>
        </w:rPr>
        <w:t xml:space="preserve"> Se podrá constituir como Garantía por posición para garantizar Posiciones Abiertas en el Contrato de Futuros </w:t>
      </w:r>
      <w:r w:rsidRPr="00EB14DE">
        <w:rPr>
          <w:rFonts w:ascii="Arial Narrow" w:eastAsia="Calibri" w:hAnsi="Arial Narrow"/>
          <w:color w:val="000000" w:themeColor="text1"/>
        </w:rPr>
        <w:t xml:space="preserve">sobre Acciones del Índice COLCAP </w:t>
      </w:r>
      <w:r w:rsidRPr="00EB14DE">
        <w:rPr>
          <w:rFonts w:ascii="Arial Narrow" w:hAnsi="Arial Narrow" w:cs="Arial"/>
          <w:color w:val="000000" w:themeColor="text1"/>
          <w:lang w:val="es-ES" w:eastAsia="es-ES"/>
        </w:rPr>
        <w:t xml:space="preserve">con Liquidación por Diferencias </w:t>
      </w:r>
      <w:r w:rsidRPr="00EB14DE">
        <w:rPr>
          <w:rFonts w:ascii="Arial Narrow" w:eastAsia="Calibri" w:hAnsi="Arial Narrow"/>
          <w:bCs/>
          <w:color w:val="000000" w:themeColor="text1"/>
        </w:rPr>
        <w:lastRenderedPageBreak/>
        <w:t>acciones que sean Activo Subyacente de un Contrato de Derivado cuyas operaciones sean susceptibles de ser Aceptadas por la Cámara.</w:t>
      </w:r>
    </w:p>
    <w:p w14:paraId="7D93CC5C" w14:textId="77777777" w:rsidR="007968EC" w:rsidRPr="00EB14DE" w:rsidRDefault="007968EC" w:rsidP="007968EC">
      <w:pPr>
        <w:autoSpaceDE w:val="0"/>
        <w:autoSpaceDN w:val="0"/>
        <w:ind w:left="426"/>
        <w:contextualSpacing/>
        <w:jc w:val="both"/>
        <w:rPr>
          <w:rFonts w:ascii="Arial Narrow" w:eastAsia="Calibri" w:hAnsi="Arial Narrow"/>
          <w:bCs/>
          <w:color w:val="000000" w:themeColor="text1"/>
        </w:rPr>
      </w:pPr>
    </w:p>
    <w:p w14:paraId="2A13D60A" w14:textId="77777777" w:rsidR="007968EC" w:rsidRPr="00EB14DE" w:rsidRDefault="007968EC" w:rsidP="007968EC">
      <w:pPr>
        <w:autoSpaceDE w:val="0"/>
        <w:autoSpaceDN w:val="0"/>
        <w:ind w:left="426"/>
        <w:contextualSpacing/>
        <w:jc w:val="both"/>
        <w:rPr>
          <w:rFonts w:ascii="Arial Narrow" w:eastAsia="Calibri" w:hAnsi="Arial Narrow"/>
          <w:bCs/>
          <w:color w:val="000000" w:themeColor="text1"/>
        </w:rPr>
      </w:pPr>
      <w:bookmarkStart w:id="5267" w:name="_Hlk1982790"/>
      <w:r w:rsidRPr="00EB14DE">
        <w:rPr>
          <w:rFonts w:ascii="Arial Narrow" w:eastAsia="Calibri" w:hAnsi="Arial Narrow"/>
          <w:bCs/>
          <w:color w:val="000000" w:themeColor="text1"/>
        </w:rPr>
        <w:t xml:space="preserve">Para que las acciones depositadas en la Cámara como Garantía por Posición de una Posición Abierta en Contratos de </w:t>
      </w:r>
      <w:r w:rsidRPr="00EB14DE">
        <w:rPr>
          <w:rFonts w:ascii="Arial Narrow" w:eastAsia="Calibri" w:hAnsi="Arial Narrow"/>
          <w:color w:val="000000" w:themeColor="text1"/>
        </w:rPr>
        <w:t xml:space="preserve">Futuro sobre Acciones del Índice COLCAP </w:t>
      </w:r>
      <w:r w:rsidRPr="00EB14DE">
        <w:rPr>
          <w:rFonts w:ascii="Arial Narrow" w:hAnsi="Arial Narrow" w:cs="Arial"/>
          <w:color w:val="000000" w:themeColor="text1"/>
          <w:lang w:val="es-ES" w:eastAsia="es-ES"/>
        </w:rPr>
        <w:t xml:space="preserve">con Liquidación por Diferencias </w:t>
      </w:r>
      <w:r w:rsidRPr="00EB14DE">
        <w:rPr>
          <w:rFonts w:ascii="Arial Narrow" w:eastAsia="Calibri" w:hAnsi="Arial Narrow"/>
          <w:bCs/>
          <w:color w:val="000000" w:themeColor="text1"/>
        </w:rPr>
        <w:t>computen para el cálculo del Riesgo por Operativa Diaria Cliente/Titular, el titular de la Cuenta deberá cumplir con los siguientes requisitos</w:t>
      </w:r>
      <w:bookmarkEnd w:id="5267"/>
      <w:r w:rsidRPr="00EB14DE">
        <w:rPr>
          <w:rFonts w:ascii="Arial Narrow" w:eastAsia="Calibri" w:hAnsi="Arial Narrow"/>
          <w:bCs/>
          <w:color w:val="000000" w:themeColor="text1"/>
        </w:rPr>
        <w:t>:</w:t>
      </w:r>
    </w:p>
    <w:p w14:paraId="560717C5" w14:textId="77777777" w:rsidR="007968EC" w:rsidRPr="00EB14DE" w:rsidRDefault="007968EC" w:rsidP="007968EC">
      <w:pPr>
        <w:autoSpaceDE w:val="0"/>
        <w:autoSpaceDN w:val="0"/>
        <w:ind w:left="708" w:hanging="708"/>
        <w:jc w:val="both"/>
        <w:rPr>
          <w:rFonts w:ascii="Arial Narrow" w:eastAsia="Calibri" w:hAnsi="Arial Narrow"/>
          <w:bCs/>
          <w:color w:val="000000" w:themeColor="text1"/>
        </w:rPr>
      </w:pPr>
    </w:p>
    <w:p w14:paraId="6927CE1C" w14:textId="77777777" w:rsidR="007968EC" w:rsidRPr="00EB14DE" w:rsidRDefault="007968EC" w:rsidP="00DA7472">
      <w:pPr>
        <w:numPr>
          <w:ilvl w:val="0"/>
          <w:numId w:val="221"/>
        </w:numPr>
        <w:autoSpaceDE w:val="0"/>
        <w:autoSpaceDN w:val="0"/>
        <w:ind w:left="993"/>
        <w:jc w:val="both"/>
        <w:rPr>
          <w:rFonts w:ascii="Arial Narrow" w:eastAsia="Calibri" w:hAnsi="Arial Narrow"/>
          <w:bCs/>
          <w:color w:val="000000" w:themeColor="text1"/>
        </w:rPr>
      </w:pPr>
      <w:r w:rsidRPr="00EB14DE">
        <w:rPr>
          <w:rFonts w:ascii="Arial Narrow" w:eastAsia="Calibri" w:hAnsi="Arial Narrow"/>
          <w:bCs/>
          <w:color w:val="000000" w:themeColor="text1"/>
        </w:rPr>
        <w:t xml:space="preserve">La cuenta cuyas Posiciones Abiertas pretendan garantizarse deberá destinarse exclusivamente al registro de operaciones de Contratos de Futuro sobre Acciones del Índice COLCAP con Liquidación por Diferencias, de Contratos de Futuro sobre Acciones del Índice COLCAP con Liquidación por Entrega, </w:t>
      </w:r>
      <w:r w:rsidRPr="00EB14DE">
        <w:rPr>
          <w:rFonts w:ascii="Arial Narrow" w:hAnsi="Arial Narrow"/>
          <w:bCs/>
          <w:color w:val="000000" w:themeColor="text1"/>
          <w:lang w:eastAsia="es-CO"/>
        </w:rPr>
        <w:t>Contratos de Futuros Índice Accionario COLCAP y/o Mini Contrato de Futuro Índice Accionario COLCAP.</w:t>
      </w:r>
    </w:p>
    <w:p w14:paraId="371AF771" w14:textId="77777777" w:rsidR="007968EC" w:rsidRPr="00EB14DE" w:rsidRDefault="007968EC" w:rsidP="007968EC">
      <w:pPr>
        <w:autoSpaceDE w:val="0"/>
        <w:autoSpaceDN w:val="0"/>
        <w:ind w:left="993"/>
        <w:jc w:val="both"/>
        <w:rPr>
          <w:rFonts w:ascii="Arial Narrow" w:eastAsia="Calibri" w:hAnsi="Arial Narrow"/>
          <w:bCs/>
          <w:color w:val="000000" w:themeColor="text1"/>
        </w:rPr>
      </w:pPr>
    </w:p>
    <w:p w14:paraId="209379C7" w14:textId="77777777" w:rsidR="007968EC" w:rsidRPr="00EB14DE" w:rsidRDefault="007968EC" w:rsidP="00DA7472">
      <w:pPr>
        <w:numPr>
          <w:ilvl w:val="0"/>
          <w:numId w:val="221"/>
        </w:numPr>
        <w:autoSpaceDE w:val="0"/>
        <w:autoSpaceDN w:val="0"/>
        <w:ind w:left="993"/>
        <w:jc w:val="both"/>
        <w:rPr>
          <w:rFonts w:ascii="Arial Narrow" w:eastAsia="Calibri" w:hAnsi="Arial Narrow"/>
          <w:bCs/>
          <w:color w:val="000000" w:themeColor="text1"/>
        </w:rPr>
      </w:pPr>
      <w:r w:rsidRPr="00EB14DE">
        <w:rPr>
          <w:rFonts w:ascii="Arial Narrow" w:eastAsia="Calibri" w:hAnsi="Arial Narrow"/>
          <w:bCs/>
          <w:color w:val="000000" w:themeColor="text1"/>
        </w:rPr>
        <w:t xml:space="preserve">El Administrador del Miembro deberá informar a través del SAS que la Cuenta se destinará al registro exclusivo de Operaciones de Contratos de Futuros sobre Acciones del Índice COLCAP con Liquidación por Diferencias, de Contratos de Futuro sobre Acciones del Índice COLCAP con Liquidación por Entrega, </w:t>
      </w:r>
      <w:r w:rsidRPr="00EB14DE">
        <w:rPr>
          <w:rFonts w:ascii="Arial Narrow" w:hAnsi="Arial Narrow"/>
          <w:bCs/>
          <w:color w:val="000000" w:themeColor="text1"/>
          <w:lang w:eastAsia="es-CO"/>
        </w:rPr>
        <w:t>Contratos de Futuros Índice Accionario COLCAP y/o Mini Contrato de Futuro Índice Accionario COLCAP.</w:t>
      </w:r>
    </w:p>
    <w:p w14:paraId="54B384F5" w14:textId="77777777" w:rsidR="007968EC" w:rsidRPr="00EB14DE" w:rsidRDefault="007968EC" w:rsidP="007968EC">
      <w:pPr>
        <w:autoSpaceDE w:val="0"/>
        <w:autoSpaceDN w:val="0"/>
        <w:jc w:val="both"/>
        <w:rPr>
          <w:rFonts w:ascii="Arial Narrow" w:eastAsia="Calibri" w:hAnsi="Arial Narrow"/>
          <w:bCs/>
          <w:color w:val="000000" w:themeColor="text1"/>
        </w:rPr>
      </w:pPr>
    </w:p>
    <w:p w14:paraId="060097A7" w14:textId="77777777" w:rsidR="007968EC" w:rsidRPr="00EB14DE" w:rsidRDefault="007968EC" w:rsidP="00DA7472">
      <w:pPr>
        <w:numPr>
          <w:ilvl w:val="0"/>
          <w:numId w:val="221"/>
        </w:numPr>
        <w:autoSpaceDE w:val="0"/>
        <w:autoSpaceDN w:val="0"/>
        <w:ind w:left="993"/>
        <w:jc w:val="both"/>
        <w:rPr>
          <w:rFonts w:ascii="Arial Narrow" w:eastAsia="Calibri" w:hAnsi="Arial Narrow"/>
          <w:bCs/>
          <w:color w:val="000000" w:themeColor="text1"/>
          <w:lang w:eastAsia="es-CO"/>
        </w:rPr>
      </w:pPr>
      <w:r w:rsidRPr="00EB14DE">
        <w:rPr>
          <w:rFonts w:ascii="Arial Narrow" w:eastAsia="Calibri" w:hAnsi="Arial Narrow"/>
          <w:bCs/>
          <w:color w:val="000000" w:themeColor="text1"/>
          <w:lang w:eastAsia="es-CO"/>
        </w:rPr>
        <w:t xml:space="preserve">El límite máximo de Garantías por Posición a constituir en acciones para cubrir los requerimientos de Garantías por Posición de la respectiva Cuenta calculado por la Cámara será aquel que represente el 30% del promedio diario del valor negociado en el mercado de contado de la acción correspondiente durante el mes inmediatamente anterior. </w:t>
      </w:r>
    </w:p>
    <w:p w14:paraId="5FC6A3AE" w14:textId="77777777" w:rsidR="007968EC" w:rsidRPr="00EB14DE" w:rsidRDefault="007968EC" w:rsidP="007968EC">
      <w:pPr>
        <w:autoSpaceDE w:val="0"/>
        <w:autoSpaceDN w:val="0"/>
        <w:ind w:left="993"/>
        <w:jc w:val="both"/>
        <w:rPr>
          <w:rFonts w:ascii="Arial Narrow" w:eastAsia="Calibri" w:hAnsi="Arial Narrow"/>
          <w:bCs/>
          <w:color w:val="000000" w:themeColor="text1"/>
        </w:rPr>
      </w:pPr>
    </w:p>
    <w:p w14:paraId="62822506" w14:textId="77777777" w:rsidR="007968EC" w:rsidRPr="00EB14DE" w:rsidRDefault="007968EC" w:rsidP="007968EC">
      <w:pPr>
        <w:autoSpaceDE w:val="0"/>
        <w:autoSpaceDN w:val="0"/>
        <w:ind w:left="993"/>
        <w:jc w:val="both"/>
        <w:rPr>
          <w:rFonts w:ascii="Arial Narrow" w:eastAsia="Calibri" w:hAnsi="Arial Narrow"/>
          <w:bCs/>
          <w:color w:val="000000" w:themeColor="text1"/>
        </w:rPr>
      </w:pPr>
      <w:r w:rsidRPr="00EB14DE">
        <w:rPr>
          <w:rFonts w:ascii="Arial Narrow" w:eastAsia="Calibri" w:hAnsi="Arial Narrow"/>
          <w:bCs/>
          <w:color w:val="000000" w:themeColor="text1"/>
        </w:rPr>
        <w:t xml:space="preserve">El cálculo del límite se hará frente a la sumatoria de las acciones constituidas como Garantías por Posición de todas las Cuentas de la estructura de Cuentas de un Miembro Liquidador.  </w:t>
      </w:r>
    </w:p>
    <w:p w14:paraId="35D336B7" w14:textId="77777777" w:rsidR="007968EC" w:rsidRPr="00EB14DE" w:rsidRDefault="007968EC" w:rsidP="007968EC">
      <w:pPr>
        <w:autoSpaceDE w:val="0"/>
        <w:autoSpaceDN w:val="0"/>
        <w:ind w:left="993"/>
        <w:jc w:val="both"/>
        <w:rPr>
          <w:rFonts w:ascii="Arial Narrow" w:eastAsia="Calibri" w:hAnsi="Arial Narrow"/>
          <w:bCs/>
          <w:color w:val="000000" w:themeColor="text1"/>
        </w:rPr>
      </w:pPr>
    </w:p>
    <w:p w14:paraId="02E6D4AA" w14:textId="77777777" w:rsidR="007968EC" w:rsidRPr="00EB14DE" w:rsidRDefault="007968EC" w:rsidP="007968EC">
      <w:pPr>
        <w:autoSpaceDE w:val="0"/>
        <w:autoSpaceDN w:val="0"/>
        <w:ind w:left="425"/>
        <w:jc w:val="both"/>
        <w:rPr>
          <w:rFonts w:ascii="Arial Narrow" w:eastAsia="Calibri" w:hAnsi="Arial Narrow"/>
          <w:bCs/>
          <w:color w:val="000000" w:themeColor="text1"/>
        </w:rPr>
      </w:pPr>
      <w:r w:rsidRPr="00EB14DE">
        <w:rPr>
          <w:rFonts w:ascii="Arial Narrow" w:eastAsia="Calibri" w:hAnsi="Arial Narrow"/>
          <w:bCs/>
          <w:color w:val="000000" w:themeColor="text1"/>
        </w:rPr>
        <w:t xml:space="preserve">En el evento en que el titular de Cuenta registre operaciones distintas a operaciones de Contratos de Futuros sobre sobre Acciones del Índice COLCAP con Liquidación por Diferencias, de Contratos de Futuro sobre Acciones del Índice COLCAP con Liquidación por Entrega,  </w:t>
      </w:r>
      <w:r w:rsidRPr="00EB14DE">
        <w:rPr>
          <w:rFonts w:ascii="Arial Narrow" w:hAnsi="Arial Narrow"/>
          <w:bCs/>
          <w:color w:val="000000" w:themeColor="text1"/>
          <w:lang w:eastAsia="es-CO"/>
        </w:rPr>
        <w:t>Contratos de Futuros Índice Accionario COLCAP y/o Mini Contrato de Futuro Índice Accionario COLCAP</w:t>
      </w:r>
      <w:r w:rsidRPr="00EB14DE">
        <w:rPr>
          <w:rFonts w:ascii="Arial Narrow" w:eastAsia="Calibri" w:hAnsi="Arial Narrow"/>
          <w:bCs/>
          <w:color w:val="000000" w:themeColor="text1"/>
        </w:rPr>
        <w:t xml:space="preserve">, las acciones entregadas como garantía sólo computarán para el cálculo de la Garantía por Posición exigida, si antes de finalizar la Sesión de Cierre de Cámara del mismo día en que se registraron dichas Operaciones, el titular de la Cuenta realiza el cierre de tales Posiciones Abiertas, o realiza alguno de los tipos de gestión de Operaciones indicados en el Capítulo Segundo del Título Cuarto de la presente Circular. </w:t>
      </w:r>
    </w:p>
    <w:p w14:paraId="6C792A7D" w14:textId="77777777" w:rsidR="007968EC" w:rsidRPr="00EB14DE" w:rsidRDefault="007968EC" w:rsidP="007968EC">
      <w:pPr>
        <w:autoSpaceDE w:val="0"/>
        <w:autoSpaceDN w:val="0"/>
        <w:ind w:left="425" w:hanging="284"/>
        <w:jc w:val="both"/>
        <w:rPr>
          <w:rFonts w:ascii="Arial Narrow" w:eastAsia="Calibri" w:hAnsi="Arial Narrow"/>
          <w:bCs/>
          <w:color w:val="000000" w:themeColor="text1"/>
        </w:rPr>
      </w:pPr>
    </w:p>
    <w:p w14:paraId="7F5FE81B" w14:textId="77777777" w:rsidR="007968EC" w:rsidRPr="00EB14DE" w:rsidRDefault="007968EC" w:rsidP="007968EC">
      <w:pPr>
        <w:autoSpaceDE w:val="0"/>
        <w:autoSpaceDN w:val="0"/>
        <w:ind w:left="425"/>
        <w:jc w:val="both"/>
        <w:rPr>
          <w:rFonts w:ascii="Arial Narrow" w:eastAsia="Calibri" w:hAnsi="Arial Narrow"/>
          <w:bCs/>
          <w:color w:val="000000" w:themeColor="text1"/>
        </w:rPr>
      </w:pPr>
      <w:r w:rsidRPr="00EB14DE">
        <w:rPr>
          <w:rFonts w:ascii="Arial Narrow" w:eastAsia="Calibri" w:hAnsi="Arial Narrow"/>
          <w:bCs/>
          <w:color w:val="000000" w:themeColor="text1"/>
        </w:rPr>
        <w:t>En caso contrario, el titular de la Cuenta deberá constituir las garantías exigidas en los Activos indicados en los numerales 1 y 2 del artículo 1.6.4.1. de la presenta Circular.</w:t>
      </w:r>
    </w:p>
    <w:p w14:paraId="1D585DE7" w14:textId="77777777" w:rsidR="007968EC" w:rsidRPr="00EB14DE" w:rsidRDefault="007968EC" w:rsidP="007968EC">
      <w:pPr>
        <w:autoSpaceDE w:val="0"/>
        <w:autoSpaceDN w:val="0"/>
        <w:ind w:left="425" w:hanging="284"/>
        <w:jc w:val="both"/>
        <w:rPr>
          <w:rFonts w:ascii="Arial Narrow" w:eastAsia="Calibri" w:hAnsi="Arial Narrow"/>
          <w:bCs/>
          <w:color w:val="000000" w:themeColor="text1"/>
        </w:rPr>
      </w:pPr>
    </w:p>
    <w:p w14:paraId="621737C4" w14:textId="77777777" w:rsidR="007968EC" w:rsidRPr="00EB14DE" w:rsidRDefault="007968EC" w:rsidP="007968EC">
      <w:pPr>
        <w:autoSpaceDE w:val="0"/>
        <w:autoSpaceDN w:val="0"/>
        <w:ind w:left="425"/>
        <w:jc w:val="both"/>
        <w:rPr>
          <w:rFonts w:ascii="Arial Narrow" w:eastAsia="Calibri" w:hAnsi="Arial Narrow"/>
          <w:bCs/>
          <w:color w:val="000000" w:themeColor="text1"/>
        </w:rPr>
      </w:pPr>
      <w:r w:rsidRPr="00EB14DE">
        <w:rPr>
          <w:rFonts w:ascii="Arial Narrow" w:eastAsia="Calibri" w:hAnsi="Arial Narrow"/>
          <w:bCs/>
          <w:color w:val="000000" w:themeColor="text1"/>
        </w:rPr>
        <w:t xml:space="preserve">Igualmente, en el evento en que se exceda el límite máximo de Garantías por Posición a constituir en acciones de conformidad con lo dispuesto en el literal c. anterior, el Miembro Liquidador deberá proceder </w:t>
      </w:r>
      <w:r w:rsidRPr="00EB14DE">
        <w:rPr>
          <w:rFonts w:ascii="Arial Narrow" w:eastAsia="Calibri" w:hAnsi="Arial Narrow"/>
          <w:bCs/>
          <w:color w:val="000000" w:themeColor="text1"/>
        </w:rPr>
        <w:lastRenderedPageBreak/>
        <w:t>a la constitución de garantías exigidas en los Activos indicados en los numerales 1 y 2 del artículo 1.6.4.1. de la presente Circular, por la diferencia entre el límite máximo y el valor de la garantía exigida.</w:t>
      </w:r>
    </w:p>
    <w:p w14:paraId="2FC333AB" w14:textId="77777777" w:rsidR="007968EC" w:rsidRPr="00EB14DE" w:rsidRDefault="007968EC" w:rsidP="007968EC">
      <w:pPr>
        <w:pStyle w:val="ANTECEDENTES"/>
        <w:rPr>
          <w:rFonts w:eastAsia="Calibri"/>
        </w:rPr>
      </w:pPr>
    </w:p>
    <w:p w14:paraId="6EA1FC50" w14:textId="77777777" w:rsidR="007968EC" w:rsidRPr="00EB14DE" w:rsidRDefault="007968EC" w:rsidP="007968EC">
      <w:pPr>
        <w:pStyle w:val="ARTICULO0"/>
        <w:ind w:left="425"/>
        <w:rPr>
          <w:b w:val="0"/>
          <w:u w:val="none"/>
        </w:rPr>
      </w:pPr>
      <w:bookmarkStart w:id="5268" w:name="_Toc31716235"/>
      <w:r w:rsidRPr="00EB14DE">
        <w:rPr>
          <w:rFonts w:eastAsia="Calibri"/>
          <w:b w:val="0"/>
          <w:u w:val="none"/>
        </w:rPr>
        <w:t>La constitución de las garantías deberá llevarse a cabo de conformidad con lo previsto en los artículos 1.6.4.3., 1.6.4.4. y 1.6.4.5. de la presente Circular.</w:t>
      </w:r>
      <w:bookmarkEnd w:id="5268"/>
    </w:p>
    <w:p w14:paraId="5759770E" w14:textId="77777777" w:rsidR="007968EC" w:rsidRPr="002C0D19" w:rsidRDefault="007968EC" w:rsidP="007968EC">
      <w:pPr>
        <w:rPr>
          <w:rFonts w:ascii="Arial Narrow" w:eastAsia="Calibri" w:hAnsi="Arial Narrow"/>
          <w:color w:val="000000" w:themeColor="text1"/>
        </w:rPr>
      </w:pPr>
    </w:p>
    <w:p w14:paraId="1E3946CE" w14:textId="77777777" w:rsidR="007968EC" w:rsidRPr="002F6334" w:rsidRDefault="007968EC" w:rsidP="007968EC">
      <w:pPr>
        <w:pStyle w:val="ARTICULO0"/>
      </w:pPr>
      <w:bookmarkStart w:id="5269" w:name="_Toc31716236"/>
      <w:bookmarkStart w:id="5270" w:name="_Toc479057213"/>
      <w:bookmarkStart w:id="5271" w:name="_Toc490066571"/>
      <w:bookmarkStart w:id="5272" w:name="_Toc470781168"/>
      <w:bookmarkStart w:id="5273" w:name="_Toc470784729"/>
      <w:bookmarkStart w:id="5274" w:name="_Toc470785266"/>
      <w:bookmarkStart w:id="5275" w:name="_Toc470791660"/>
      <w:bookmarkStart w:id="5276" w:name="_Toc472592403"/>
      <w:bookmarkStart w:id="5277" w:name="_Toc472593422"/>
      <w:r>
        <w:t>Artículo 2.7.2.18</w:t>
      </w:r>
      <w:r w:rsidRPr="002F6334">
        <w:t>. Opción sobre la acción Preferencial Aval.</w:t>
      </w:r>
      <w:bookmarkEnd w:id="5269"/>
      <w:r w:rsidRPr="002F6334">
        <w:t xml:space="preserve"> </w:t>
      </w:r>
    </w:p>
    <w:p w14:paraId="165E03D6" w14:textId="77777777" w:rsidR="007968EC" w:rsidRPr="00EB3022" w:rsidRDefault="007968EC" w:rsidP="007968EC">
      <w:pPr>
        <w:jc w:val="both"/>
        <w:rPr>
          <w:rFonts w:ascii="Arial Narrow" w:hAnsi="Arial Narrow" w:cs="Arial"/>
          <w:b/>
          <w:color w:val="000000" w:themeColor="text1"/>
          <w:lang w:val="es-ES" w:eastAsia="es-ES"/>
        </w:rPr>
      </w:pPr>
    </w:p>
    <w:p w14:paraId="2FC5E8A8" w14:textId="77777777" w:rsidR="007968EC" w:rsidRPr="002C0D19" w:rsidRDefault="007968EC" w:rsidP="007968EC">
      <w:pPr>
        <w:pStyle w:val="ANTECEDENTES"/>
      </w:pPr>
      <w:r>
        <w:t>(</w:t>
      </w:r>
      <w:r w:rsidRPr="002C0D19">
        <w:t>Este artículo fue adicionado mediante Circular 6 del 14 de febrero de 2017, publicada mediante Boletín Normativo No. 006 del 14 de febrero de 2017</w:t>
      </w:r>
      <w:r>
        <w:t xml:space="preserve"> y modificado mediante Circular 22 del 3 de noviembre de 2017, publicada mediante Boletín Normativo No. 024 del 3 de noviembre de 2017 y mediante Circular 24 del 11 de diciembre de 2017, publicada en el Boletín Normativo No. 031 del 11 de diciembre de 2017, renumerado </w:t>
      </w:r>
      <w:r w:rsidRPr="009C4B41">
        <w:rPr>
          <w:lang w:val="es-ES"/>
        </w:rPr>
        <w:t>mediante Circular 002 del 20 de febrero de 2018, publicada en el Boletín Normativo No</w:t>
      </w:r>
      <w:r>
        <w:rPr>
          <w:lang w:val="es-ES"/>
        </w:rPr>
        <w:t>. 003 del 20 de febrero de 2018, y</w:t>
      </w:r>
      <w:r>
        <w:t xml:space="preserve"> modificado mediante Circular 10 del 6 de julio de 2018, publicada en el Boletín Normativo No. 013 del 6 de julio de 2018, y </w:t>
      </w:r>
      <w:bookmarkEnd w:id="5270"/>
      <w:bookmarkEnd w:id="5271"/>
      <w:r>
        <w:t>mediante Circular 12 del 9 de agosto de 2019, publicada en el Boletín Normativo No. 025 del 9 de agosto de 2019. Rige a partir del 12 de agosto de 2019</w:t>
      </w:r>
      <w:r w:rsidRPr="002C0D19">
        <w:t>.)</w:t>
      </w:r>
    </w:p>
    <w:p w14:paraId="567B4C8C" w14:textId="77777777" w:rsidR="007968EC" w:rsidRPr="002C0D19" w:rsidRDefault="007968EC" w:rsidP="007968EC">
      <w:pPr>
        <w:jc w:val="both"/>
        <w:rPr>
          <w:rFonts w:ascii="Arial Narrow" w:hAnsi="Arial Narrow" w:cs="Arial"/>
          <w:b/>
          <w:color w:val="000000" w:themeColor="text1"/>
          <w:lang w:val="es-ES" w:eastAsia="es-ES"/>
        </w:rPr>
      </w:pPr>
    </w:p>
    <w:p w14:paraId="533476B1" w14:textId="77777777" w:rsidR="007968EC" w:rsidRPr="00EB14DE" w:rsidRDefault="007968EC" w:rsidP="00DA7472">
      <w:pPr>
        <w:numPr>
          <w:ilvl w:val="0"/>
          <w:numId w:val="255"/>
        </w:numPr>
        <w:autoSpaceDE w:val="0"/>
        <w:autoSpaceDN w:val="0"/>
        <w:adjustRightInd w:val="0"/>
        <w:ind w:left="426" w:firstLine="0"/>
        <w:contextualSpacing/>
        <w:rPr>
          <w:rFonts w:ascii="Arial Narrow" w:hAnsi="Arial Narrow" w:cs="Arial"/>
          <w:color w:val="000000" w:themeColor="text1"/>
          <w:lang w:eastAsia="es-CO"/>
        </w:rPr>
      </w:pPr>
      <w:bookmarkStart w:id="5278" w:name="_Toc470781169"/>
      <w:bookmarkStart w:id="5279" w:name="_Toc470784730"/>
      <w:bookmarkStart w:id="5280" w:name="_Toc470785267"/>
      <w:bookmarkStart w:id="5281" w:name="_Toc470791661"/>
      <w:bookmarkStart w:id="5282" w:name="_Toc472592404"/>
      <w:bookmarkStart w:id="5283" w:name="_Toc472593423"/>
      <w:bookmarkStart w:id="5284" w:name="_Toc479057215"/>
      <w:bookmarkStart w:id="5285" w:name="_Toc490066574"/>
      <w:bookmarkEnd w:id="5272"/>
      <w:bookmarkEnd w:id="5273"/>
      <w:bookmarkEnd w:id="5274"/>
      <w:bookmarkEnd w:id="5275"/>
      <w:bookmarkEnd w:id="5276"/>
      <w:bookmarkEnd w:id="5277"/>
      <w:r w:rsidRPr="00EB14DE">
        <w:rPr>
          <w:rFonts w:ascii="Arial Narrow" w:hAnsi="Arial Narrow" w:cs="Arial"/>
          <w:color w:val="000000" w:themeColor="text1"/>
          <w:lang w:eastAsia="es-CO"/>
        </w:rPr>
        <w:t xml:space="preserve">Generalidades: </w:t>
      </w:r>
    </w:p>
    <w:p w14:paraId="1EBA4A5B" w14:textId="77777777" w:rsidR="007968EC" w:rsidRPr="00EB14DE" w:rsidRDefault="007968EC" w:rsidP="007968EC">
      <w:pPr>
        <w:ind w:left="426"/>
        <w:jc w:val="both"/>
        <w:rPr>
          <w:rFonts w:ascii="Arial Narrow" w:eastAsia="Calibri" w:hAnsi="Arial Narrow"/>
          <w:bCs/>
          <w:color w:val="000000" w:themeColor="text1"/>
        </w:rPr>
      </w:pPr>
    </w:p>
    <w:tbl>
      <w:tblPr>
        <w:tblW w:w="893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5812"/>
      </w:tblGrid>
      <w:tr w:rsidR="007968EC" w:rsidRPr="00EB14DE" w14:paraId="719FA35A" w14:textId="77777777" w:rsidTr="007968EC">
        <w:tc>
          <w:tcPr>
            <w:tcW w:w="3118" w:type="dxa"/>
            <w:shd w:val="clear" w:color="auto" w:fill="BFBFBF"/>
          </w:tcPr>
          <w:p w14:paraId="6BC347AB"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Instrumento</w:t>
            </w:r>
          </w:p>
        </w:tc>
        <w:tc>
          <w:tcPr>
            <w:tcW w:w="5812" w:type="dxa"/>
          </w:tcPr>
          <w:p w14:paraId="3DA15751" w14:textId="77777777" w:rsidR="007968EC" w:rsidRPr="00EB14DE" w:rsidRDefault="007968EC" w:rsidP="007968EC">
            <w:pPr>
              <w:ind w:left="426"/>
              <w:rPr>
                <w:rFonts w:ascii="Arial Narrow" w:hAnsi="Arial Narrow" w:cs="Arial"/>
                <w:color w:val="000000" w:themeColor="text1"/>
                <w:lang w:val="es-ES" w:eastAsia="es-ES"/>
              </w:rPr>
            </w:pPr>
            <w:r w:rsidRPr="00EB14DE">
              <w:rPr>
                <w:rFonts w:ascii="Arial Narrow" w:hAnsi="Arial Narrow" w:cs="Arial"/>
                <w:bCs/>
                <w:color w:val="000000" w:themeColor="text1"/>
                <w:lang w:val="es-ES" w:eastAsia="es-ES"/>
              </w:rPr>
              <w:t>Op</w:t>
            </w:r>
            <w:r w:rsidRPr="00EB14DE">
              <w:rPr>
                <w:rFonts w:ascii="Arial Narrow" w:hAnsi="Arial Narrow"/>
                <w:color w:val="000000" w:themeColor="text1"/>
                <w:lang w:val="es-ES" w:eastAsia="es-ES"/>
              </w:rPr>
              <w:t>ción sobre la Acción de Preferencial Aval</w:t>
            </w:r>
          </w:p>
        </w:tc>
      </w:tr>
      <w:tr w:rsidR="007968EC" w:rsidRPr="00EB14DE" w14:paraId="557072AE" w14:textId="77777777" w:rsidTr="007968EC">
        <w:tc>
          <w:tcPr>
            <w:tcW w:w="3118" w:type="dxa"/>
            <w:shd w:val="clear" w:color="auto" w:fill="BFBFBF"/>
          </w:tcPr>
          <w:p w14:paraId="144AA73D"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 xml:space="preserve">Activo Subyacente </w:t>
            </w:r>
          </w:p>
        </w:tc>
        <w:tc>
          <w:tcPr>
            <w:tcW w:w="5812" w:type="dxa"/>
          </w:tcPr>
          <w:p w14:paraId="0EFE863C" w14:textId="77777777" w:rsidR="007968EC" w:rsidRPr="00EB14DE" w:rsidRDefault="007968EC" w:rsidP="007968EC">
            <w:pPr>
              <w:ind w:left="426"/>
              <w:jc w:val="both"/>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 xml:space="preserve">El subyacente de la Opción </w:t>
            </w:r>
            <w:r w:rsidRPr="00EB14DE">
              <w:rPr>
                <w:rFonts w:ascii="Arial Narrow" w:hAnsi="Arial Narrow"/>
                <w:color w:val="000000" w:themeColor="text1"/>
                <w:lang w:val="es-ES" w:eastAsia="es-ES"/>
              </w:rPr>
              <w:t>sobre la Acción de Preferencial Aval</w:t>
            </w:r>
            <w:r w:rsidRPr="00EB14DE">
              <w:rPr>
                <w:rFonts w:ascii="Arial Narrow" w:hAnsi="Arial Narrow" w:cs="Arial"/>
                <w:color w:val="000000" w:themeColor="text1"/>
                <w:lang w:val="es-ES" w:eastAsia="es-ES"/>
              </w:rPr>
              <w:t xml:space="preserve"> será la acción de </w:t>
            </w:r>
            <w:r w:rsidRPr="00EB14DE">
              <w:rPr>
                <w:rFonts w:ascii="Arial Narrow" w:hAnsi="Arial Narrow"/>
                <w:color w:val="000000" w:themeColor="text1"/>
                <w:lang w:val="es-ES" w:eastAsia="es-ES"/>
              </w:rPr>
              <w:t>Preferencial Aval</w:t>
            </w:r>
          </w:p>
        </w:tc>
      </w:tr>
      <w:tr w:rsidR="007968EC" w:rsidRPr="00EB14DE" w14:paraId="70B4EC7B" w14:textId="77777777" w:rsidTr="007968EC">
        <w:tc>
          <w:tcPr>
            <w:tcW w:w="3118" w:type="dxa"/>
            <w:shd w:val="clear" w:color="auto" w:fill="BFBFBF"/>
          </w:tcPr>
          <w:p w14:paraId="55EC509B"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Tamaño del Contrato</w:t>
            </w:r>
          </w:p>
        </w:tc>
        <w:tc>
          <w:tcPr>
            <w:tcW w:w="5812" w:type="dxa"/>
          </w:tcPr>
          <w:p w14:paraId="65DD2A84" w14:textId="77777777" w:rsidR="007968EC" w:rsidRPr="00EB14DE" w:rsidRDefault="007968EC" w:rsidP="007968EC">
            <w:pPr>
              <w:ind w:left="426"/>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 xml:space="preserve">Cada Contrato de Opción sobre </w:t>
            </w:r>
            <w:r w:rsidRPr="00EB14DE">
              <w:rPr>
                <w:rFonts w:ascii="Arial Narrow" w:hAnsi="Arial Narrow"/>
                <w:color w:val="000000" w:themeColor="text1"/>
                <w:lang w:val="es-ES" w:eastAsia="es-ES"/>
              </w:rPr>
              <w:t>la Acción de Preferencial Aval</w:t>
            </w:r>
            <w:r w:rsidRPr="00EB14DE" w:rsidDel="0048708A">
              <w:rPr>
                <w:rFonts w:ascii="Arial Narrow" w:hAnsi="Arial Narrow"/>
                <w:color w:val="000000" w:themeColor="text1"/>
                <w:lang w:val="es-ES" w:eastAsia="es-ES"/>
              </w:rPr>
              <w:t xml:space="preserve"> </w:t>
            </w:r>
            <w:r w:rsidRPr="00EB14DE">
              <w:rPr>
                <w:rFonts w:ascii="Arial Narrow" w:hAnsi="Arial Narrow" w:cs="Arial"/>
                <w:color w:val="000000" w:themeColor="text1"/>
                <w:lang w:val="es-ES" w:eastAsia="es-ES"/>
              </w:rPr>
              <w:t>tendrá un valor nominal de 1.000 acciones.</w:t>
            </w:r>
          </w:p>
        </w:tc>
      </w:tr>
      <w:tr w:rsidR="007968EC" w:rsidRPr="00EB14DE" w14:paraId="1E975DD4" w14:textId="77777777" w:rsidTr="007968EC">
        <w:tc>
          <w:tcPr>
            <w:tcW w:w="3118" w:type="dxa"/>
            <w:shd w:val="clear" w:color="auto" w:fill="BFBFBF"/>
          </w:tcPr>
          <w:p w14:paraId="67E1256A"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Contratos Listados</w:t>
            </w:r>
          </w:p>
        </w:tc>
        <w:tc>
          <w:tcPr>
            <w:tcW w:w="5812" w:type="dxa"/>
          </w:tcPr>
          <w:p w14:paraId="436541BA" w14:textId="77777777" w:rsidR="007968EC" w:rsidRPr="00EB14DE" w:rsidRDefault="007968EC" w:rsidP="007968EC">
            <w:pPr>
              <w:ind w:left="426"/>
              <w:jc w:val="both"/>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Estarán disponibles en el Sistema vencimientos trimestrales dentro del ciclo de marzo. Estarán disponibles en el Sistema de Cámara los cuatro (4) vencimientos más cercanos</w:t>
            </w:r>
          </w:p>
        </w:tc>
      </w:tr>
      <w:tr w:rsidR="007968EC" w:rsidRPr="00EB14DE" w14:paraId="15B1F7BA" w14:textId="77777777" w:rsidTr="007968EC">
        <w:tc>
          <w:tcPr>
            <w:tcW w:w="3118" w:type="dxa"/>
            <w:shd w:val="clear" w:color="auto" w:fill="BFBFBF"/>
          </w:tcPr>
          <w:p w14:paraId="2FF75F04"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cs="Arial"/>
                <w:bCs/>
                <w:color w:val="000000" w:themeColor="text1"/>
                <w:lang w:val="es-ES" w:eastAsia="es-ES"/>
              </w:rPr>
              <w:t>Método de Liquidación</w:t>
            </w:r>
          </w:p>
        </w:tc>
        <w:tc>
          <w:tcPr>
            <w:tcW w:w="5812" w:type="dxa"/>
          </w:tcPr>
          <w:p w14:paraId="4004DD7E" w14:textId="77777777" w:rsidR="007968EC" w:rsidRPr="00EB14DE" w:rsidRDefault="007968EC" w:rsidP="007968EC">
            <w:pPr>
              <w:ind w:left="426"/>
              <w:rPr>
                <w:rFonts w:ascii="Arial Narrow" w:hAnsi="Arial Narrow" w:cs="Arial"/>
                <w:color w:val="000000" w:themeColor="text1"/>
                <w:lang w:val="es-ES" w:eastAsia="es-ES"/>
              </w:rPr>
            </w:pPr>
            <w:r w:rsidRPr="00EB14DE">
              <w:rPr>
                <w:rFonts w:ascii="Arial Narrow" w:hAnsi="Arial Narrow"/>
                <w:bCs/>
                <w:color w:val="000000" w:themeColor="text1"/>
                <w:lang w:val="es-ES" w:eastAsia="es-ES"/>
              </w:rPr>
              <w:t xml:space="preserve">Liquidación por Diferencias </w:t>
            </w:r>
          </w:p>
        </w:tc>
      </w:tr>
      <w:tr w:rsidR="007968EC" w:rsidRPr="00EB14DE" w14:paraId="486317CA" w14:textId="77777777" w:rsidTr="007968EC">
        <w:tc>
          <w:tcPr>
            <w:tcW w:w="3118" w:type="dxa"/>
            <w:shd w:val="clear" w:color="auto" w:fill="BFBFBF"/>
          </w:tcPr>
          <w:p w14:paraId="677962F3" w14:textId="77777777" w:rsidR="007968EC" w:rsidRPr="00EB14DE" w:rsidRDefault="007968EC" w:rsidP="007968EC">
            <w:pPr>
              <w:rPr>
                <w:rFonts w:ascii="Arial Narrow" w:hAnsi="Arial Narrow" w:cs="Arial"/>
                <w:bCs/>
                <w:color w:val="000000" w:themeColor="text1"/>
                <w:lang w:val="es-ES" w:eastAsia="es-ES"/>
              </w:rPr>
            </w:pPr>
            <w:r w:rsidRPr="00EB14DE">
              <w:rPr>
                <w:rFonts w:ascii="Arial Narrow" w:hAnsi="Arial Narrow" w:cs="Arial"/>
                <w:color w:val="000000" w:themeColor="text1"/>
                <w:lang w:val="es-ES" w:eastAsia="es-ES"/>
              </w:rPr>
              <w:t>Tipo de Liquidación</w:t>
            </w:r>
          </w:p>
        </w:tc>
        <w:tc>
          <w:tcPr>
            <w:tcW w:w="5812" w:type="dxa"/>
          </w:tcPr>
          <w:p w14:paraId="36D5EFF3" w14:textId="77777777" w:rsidR="007968EC" w:rsidRPr="00EB14DE" w:rsidRDefault="007968EC" w:rsidP="007968EC">
            <w:pPr>
              <w:ind w:left="426"/>
              <w:rPr>
                <w:rFonts w:ascii="Arial Narrow" w:hAnsi="Arial Narrow" w:cs="Arial"/>
                <w:bCs/>
                <w:color w:val="000000" w:themeColor="text1"/>
                <w:lang w:val="es-ES" w:eastAsia="es-ES"/>
              </w:rPr>
            </w:pPr>
            <w:r w:rsidRPr="00EB14DE">
              <w:rPr>
                <w:rFonts w:ascii="Arial Narrow" w:hAnsi="Arial Narrow"/>
                <w:bCs/>
                <w:color w:val="000000" w:themeColor="text1"/>
                <w:lang w:val="es-ES" w:eastAsia="es-ES"/>
              </w:rPr>
              <w:t>Liquidación únicamente al Vencimiento</w:t>
            </w:r>
            <w:r w:rsidRPr="00EB14DE">
              <w:rPr>
                <w:rFonts w:ascii="Arial Narrow" w:hAnsi="Arial Narrow" w:cs="Arial"/>
                <w:color w:val="000000" w:themeColor="text1"/>
                <w:lang w:val="es-ES" w:eastAsia="es-ES"/>
              </w:rPr>
              <w:t>.</w:t>
            </w:r>
          </w:p>
        </w:tc>
      </w:tr>
      <w:tr w:rsidR="007968EC" w:rsidRPr="00EB14DE" w14:paraId="3D94F103" w14:textId="77777777" w:rsidTr="007968EC">
        <w:tc>
          <w:tcPr>
            <w:tcW w:w="3118" w:type="dxa"/>
            <w:shd w:val="clear" w:color="auto" w:fill="BFBFBF"/>
            <w:vAlign w:val="center"/>
          </w:tcPr>
          <w:p w14:paraId="1C948A69" w14:textId="77777777" w:rsidR="007968EC" w:rsidRPr="00EB14DE" w:rsidRDefault="007968EC" w:rsidP="007968EC">
            <w:pPr>
              <w:rPr>
                <w:rFonts w:ascii="Arial Narrow" w:hAnsi="Arial Narrow" w:cs="Arial"/>
                <w:bCs/>
                <w:color w:val="000000" w:themeColor="text1"/>
                <w:lang w:val="es-ES" w:eastAsia="es-ES"/>
              </w:rPr>
            </w:pPr>
            <w:r w:rsidRPr="00EB14DE">
              <w:rPr>
                <w:rFonts w:ascii="Arial Narrow" w:hAnsi="Arial Narrow" w:cs="Arial"/>
                <w:bCs/>
                <w:color w:val="000000" w:themeColor="text1"/>
                <w:lang w:val="es-ES" w:eastAsia="es-ES"/>
              </w:rPr>
              <w:t>Último día de Negociación</w:t>
            </w:r>
          </w:p>
        </w:tc>
        <w:tc>
          <w:tcPr>
            <w:tcW w:w="5812" w:type="dxa"/>
            <w:vAlign w:val="center"/>
          </w:tcPr>
          <w:p w14:paraId="098E9273" w14:textId="77777777" w:rsidR="007968EC" w:rsidRPr="00EB14DE" w:rsidRDefault="007968EC" w:rsidP="007968EC">
            <w:pPr>
              <w:ind w:left="426"/>
              <w:rPr>
                <w:rFonts w:ascii="Arial Narrow" w:hAnsi="Arial Narrow" w:cs="Arial"/>
                <w:bCs/>
                <w:color w:val="000000" w:themeColor="text1"/>
                <w:lang w:val="es-ES" w:eastAsia="es-ES"/>
              </w:rPr>
            </w:pPr>
            <w:r w:rsidRPr="00EB14DE">
              <w:rPr>
                <w:rFonts w:ascii="Arial Narrow" w:hAnsi="Arial Narrow" w:cs="Arial"/>
                <w:bCs/>
                <w:color w:val="000000" w:themeColor="text1"/>
                <w:lang w:val="es-ES" w:eastAsia="es-ES"/>
              </w:rPr>
              <w:t>Día del Vencimiento del Contrato.</w:t>
            </w:r>
          </w:p>
        </w:tc>
      </w:tr>
      <w:tr w:rsidR="007968EC" w:rsidRPr="00EB14DE" w14:paraId="7E996B90" w14:textId="77777777" w:rsidTr="007968EC">
        <w:tc>
          <w:tcPr>
            <w:tcW w:w="3118" w:type="dxa"/>
            <w:shd w:val="clear" w:color="auto" w:fill="BFBFBF"/>
            <w:vAlign w:val="center"/>
          </w:tcPr>
          <w:p w14:paraId="15EED284" w14:textId="77777777" w:rsidR="007968EC" w:rsidRPr="00EB14DE" w:rsidRDefault="007968EC" w:rsidP="007968EC">
            <w:pPr>
              <w:rPr>
                <w:rFonts w:ascii="Arial Narrow" w:hAnsi="Arial Narrow" w:cs="Arial"/>
                <w:bCs/>
                <w:color w:val="000000" w:themeColor="text1"/>
                <w:lang w:val="es-ES" w:eastAsia="es-ES"/>
              </w:rPr>
            </w:pPr>
            <w:r w:rsidRPr="00EB14DE">
              <w:rPr>
                <w:rFonts w:ascii="Arial Narrow" w:hAnsi="Arial Narrow" w:cs="Arial"/>
                <w:bCs/>
                <w:color w:val="000000" w:themeColor="text1"/>
                <w:lang w:val="es-ES" w:eastAsia="es-ES"/>
              </w:rPr>
              <w:t>Día de Vencimiento</w:t>
            </w:r>
          </w:p>
        </w:tc>
        <w:tc>
          <w:tcPr>
            <w:tcW w:w="5812" w:type="dxa"/>
            <w:vAlign w:val="center"/>
          </w:tcPr>
          <w:p w14:paraId="060EBDF1" w14:textId="77777777" w:rsidR="007968EC" w:rsidRPr="00EB14DE" w:rsidRDefault="007968EC" w:rsidP="007968EC">
            <w:pPr>
              <w:ind w:left="426"/>
              <w:rPr>
                <w:rFonts w:ascii="Arial Narrow" w:hAnsi="Arial Narrow" w:cs="Arial"/>
                <w:bCs/>
                <w:color w:val="000000" w:themeColor="text1"/>
                <w:lang w:val="es-ES" w:eastAsia="es-ES"/>
              </w:rPr>
            </w:pPr>
            <w:r w:rsidRPr="00EB14DE">
              <w:rPr>
                <w:rFonts w:ascii="Arial Narrow" w:hAnsi="Arial Narrow" w:cs="Arial"/>
                <w:bCs/>
                <w:color w:val="000000" w:themeColor="text1"/>
                <w:lang w:val="es-ES" w:eastAsia="es-ES"/>
              </w:rPr>
              <w:t>Sera el tercer viernes del mes de vencimiento. Cuando el tercer viernes del mes de vencimiento corresponda a un día no hábil, el día de vencimiento corresponderá al día hábil siguiente</w:t>
            </w:r>
          </w:p>
        </w:tc>
      </w:tr>
    </w:tbl>
    <w:p w14:paraId="5EC0692C" w14:textId="77777777" w:rsidR="007968EC" w:rsidRPr="00EB14DE" w:rsidRDefault="007968EC" w:rsidP="007968EC">
      <w:pPr>
        <w:ind w:left="426"/>
        <w:jc w:val="both"/>
        <w:rPr>
          <w:rFonts w:ascii="Arial Narrow" w:eastAsia="Calibri" w:hAnsi="Arial Narrow"/>
          <w:bCs/>
          <w:color w:val="000000" w:themeColor="text1"/>
        </w:rPr>
      </w:pPr>
    </w:p>
    <w:p w14:paraId="168FB28D" w14:textId="77777777" w:rsidR="007968EC" w:rsidRPr="00EB14DE" w:rsidRDefault="007968EC" w:rsidP="00DA7472">
      <w:pPr>
        <w:numPr>
          <w:ilvl w:val="0"/>
          <w:numId w:val="255"/>
        </w:numPr>
        <w:autoSpaceDE w:val="0"/>
        <w:autoSpaceDN w:val="0"/>
        <w:adjustRightInd w:val="0"/>
        <w:ind w:left="426" w:firstLine="0"/>
        <w:contextualSpacing/>
        <w:rPr>
          <w:rFonts w:ascii="Arial Narrow" w:hAnsi="Arial Narrow" w:cs="Arial"/>
          <w:color w:val="000000" w:themeColor="text1"/>
          <w:lang w:eastAsia="es-CO"/>
        </w:rPr>
      </w:pPr>
      <w:r w:rsidRPr="00EB14DE">
        <w:rPr>
          <w:rFonts w:ascii="Arial Narrow" w:hAnsi="Arial Narrow" w:cs="Arial"/>
          <w:color w:val="000000" w:themeColor="text1"/>
          <w:lang w:eastAsia="es-CO"/>
        </w:rPr>
        <w:t xml:space="preserve">Características Especiales: </w:t>
      </w:r>
    </w:p>
    <w:p w14:paraId="21C17E7A" w14:textId="77777777" w:rsidR="007968EC" w:rsidRPr="00EB14DE" w:rsidRDefault="007968EC" w:rsidP="007968EC">
      <w:pPr>
        <w:autoSpaceDE w:val="0"/>
        <w:autoSpaceDN w:val="0"/>
        <w:adjustRightInd w:val="0"/>
        <w:ind w:left="426"/>
        <w:rPr>
          <w:rFonts w:ascii="Arial Narrow" w:hAnsi="Arial Narrow" w:cs="Arial"/>
          <w:color w:val="000000" w:themeColor="text1"/>
          <w:lang w:val="es-ES" w:eastAsia="es-ES"/>
        </w:rPr>
      </w:pPr>
    </w:p>
    <w:tbl>
      <w:tblPr>
        <w:tblW w:w="8930" w:type="dxa"/>
        <w:tblInd w:w="4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118"/>
        <w:gridCol w:w="5812"/>
      </w:tblGrid>
      <w:tr w:rsidR="007968EC" w:rsidRPr="00EB14DE" w14:paraId="71949C7C" w14:textId="77777777" w:rsidTr="007968EC">
        <w:tc>
          <w:tcPr>
            <w:tcW w:w="3118" w:type="dxa"/>
            <w:shd w:val="clear" w:color="auto" w:fill="D0CECE"/>
            <w:vAlign w:val="center"/>
          </w:tcPr>
          <w:p w14:paraId="171DCB17"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Tipo de Opción</w:t>
            </w:r>
          </w:p>
        </w:tc>
        <w:tc>
          <w:tcPr>
            <w:tcW w:w="5812" w:type="dxa"/>
            <w:vAlign w:val="center"/>
          </w:tcPr>
          <w:p w14:paraId="6D04F0BE" w14:textId="77777777" w:rsidR="007968EC" w:rsidRPr="00EB14DE" w:rsidRDefault="007968EC" w:rsidP="007968EC">
            <w:pPr>
              <w:ind w:left="426"/>
              <w:jc w:val="both"/>
              <w:rPr>
                <w:rFonts w:ascii="Arial Narrow" w:hAnsi="Arial Narrow"/>
                <w:color w:val="000000" w:themeColor="text1"/>
                <w:lang w:val="es-ES" w:eastAsia="es-ES"/>
              </w:rPr>
            </w:pPr>
            <w:r w:rsidRPr="00EB14DE">
              <w:rPr>
                <w:rFonts w:ascii="Arial Narrow" w:hAnsi="Arial Narrow"/>
                <w:color w:val="000000" w:themeColor="text1"/>
                <w:lang w:val="es-ES" w:eastAsia="es-ES"/>
              </w:rPr>
              <w:t>Europea</w:t>
            </w:r>
          </w:p>
        </w:tc>
      </w:tr>
      <w:tr w:rsidR="007968EC" w:rsidRPr="00EB14DE" w14:paraId="22B3E11A" w14:textId="77777777" w:rsidTr="007968EC">
        <w:tc>
          <w:tcPr>
            <w:tcW w:w="3118" w:type="dxa"/>
            <w:shd w:val="clear" w:color="auto" w:fill="D0CECE"/>
            <w:vAlign w:val="center"/>
          </w:tcPr>
          <w:p w14:paraId="6D443DCD"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Opciones disponibles</w:t>
            </w:r>
          </w:p>
        </w:tc>
        <w:tc>
          <w:tcPr>
            <w:tcW w:w="5812" w:type="dxa"/>
            <w:vAlign w:val="center"/>
          </w:tcPr>
          <w:p w14:paraId="6E03CBF1" w14:textId="77777777" w:rsidR="007968EC" w:rsidRPr="00EB14DE" w:rsidRDefault="007968EC" w:rsidP="007968EC">
            <w:pPr>
              <w:ind w:left="426"/>
              <w:jc w:val="both"/>
              <w:rPr>
                <w:rFonts w:ascii="Arial Narrow" w:hAnsi="Arial Narrow"/>
                <w:color w:val="000000" w:themeColor="text1"/>
                <w:lang w:val="es-ES" w:eastAsia="es-ES"/>
              </w:rPr>
            </w:pPr>
            <w:r w:rsidRPr="00EB14DE">
              <w:rPr>
                <w:rFonts w:ascii="Arial Narrow" w:hAnsi="Arial Narrow"/>
                <w:color w:val="000000" w:themeColor="text1"/>
                <w:lang w:val="es-ES" w:eastAsia="es-ES"/>
              </w:rPr>
              <w:t xml:space="preserve">Call y </w:t>
            </w:r>
            <w:proofErr w:type="spellStart"/>
            <w:r w:rsidRPr="00EB14DE">
              <w:rPr>
                <w:rFonts w:ascii="Arial Narrow" w:hAnsi="Arial Narrow"/>
                <w:color w:val="000000" w:themeColor="text1"/>
                <w:lang w:val="es-ES" w:eastAsia="es-ES"/>
              </w:rPr>
              <w:t>Put</w:t>
            </w:r>
            <w:proofErr w:type="spellEnd"/>
          </w:p>
        </w:tc>
      </w:tr>
      <w:tr w:rsidR="007968EC" w:rsidRPr="00EB14DE" w14:paraId="0DF70FA0" w14:textId="77777777" w:rsidTr="007968EC">
        <w:tc>
          <w:tcPr>
            <w:tcW w:w="3118" w:type="dxa"/>
            <w:shd w:val="clear" w:color="auto" w:fill="D0CECE"/>
            <w:vAlign w:val="center"/>
          </w:tcPr>
          <w:p w14:paraId="69CF625B"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Strikes mínimos disponibles</w:t>
            </w:r>
          </w:p>
        </w:tc>
        <w:tc>
          <w:tcPr>
            <w:tcW w:w="5812" w:type="dxa"/>
          </w:tcPr>
          <w:p w14:paraId="53FD3AF0" w14:textId="77777777" w:rsidR="007968EC" w:rsidRPr="00EB14DE" w:rsidRDefault="007968EC" w:rsidP="007968EC">
            <w:pPr>
              <w:ind w:left="426"/>
              <w:jc w:val="both"/>
              <w:rPr>
                <w:rFonts w:ascii="Arial Narrow" w:hAnsi="Arial Narrow"/>
                <w:color w:val="000000" w:themeColor="text1"/>
                <w:lang w:val="es-ES" w:eastAsia="es-ES"/>
              </w:rPr>
            </w:pPr>
            <w:r w:rsidRPr="00EB14DE">
              <w:rPr>
                <w:rFonts w:ascii="Arial Narrow" w:hAnsi="Arial Narrow"/>
                <w:color w:val="000000" w:themeColor="text1"/>
                <w:lang w:val="es-ES" w:eastAsia="es-ES"/>
              </w:rPr>
              <w:t>OTM: 50</w:t>
            </w:r>
          </w:p>
          <w:p w14:paraId="34CAE906" w14:textId="77777777" w:rsidR="007968EC" w:rsidRPr="00EB14DE" w:rsidRDefault="007968EC" w:rsidP="007968EC">
            <w:pPr>
              <w:ind w:left="426"/>
              <w:jc w:val="both"/>
              <w:rPr>
                <w:rFonts w:ascii="Arial Narrow" w:hAnsi="Arial Narrow"/>
                <w:color w:val="000000" w:themeColor="text1"/>
                <w:lang w:val="es-ES" w:eastAsia="es-ES"/>
              </w:rPr>
            </w:pPr>
            <w:r w:rsidRPr="00EB14DE">
              <w:rPr>
                <w:rFonts w:ascii="Arial Narrow" w:hAnsi="Arial Narrow"/>
                <w:color w:val="000000" w:themeColor="text1"/>
                <w:lang w:val="es-ES" w:eastAsia="es-ES"/>
              </w:rPr>
              <w:t xml:space="preserve">ITM: 50 </w:t>
            </w:r>
          </w:p>
          <w:p w14:paraId="675A4ADE" w14:textId="77777777" w:rsidR="007968EC" w:rsidRPr="00EB14DE" w:rsidRDefault="007968EC" w:rsidP="007968EC">
            <w:pPr>
              <w:ind w:left="426"/>
              <w:jc w:val="both"/>
              <w:rPr>
                <w:rFonts w:ascii="Arial Narrow" w:hAnsi="Arial Narrow"/>
                <w:color w:val="000000" w:themeColor="text1"/>
                <w:lang w:val="es-ES" w:eastAsia="es-ES"/>
              </w:rPr>
            </w:pPr>
            <w:r w:rsidRPr="00EB14DE">
              <w:rPr>
                <w:rFonts w:ascii="Arial Narrow" w:hAnsi="Arial Narrow"/>
                <w:color w:val="000000" w:themeColor="text1"/>
                <w:lang w:val="es-ES" w:eastAsia="es-ES"/>
              </w:rPr>
              <w:lastRenderedPageBreak/>
              <w:t>ATM: 1</w:t>
            </w:r>
          </w:p>
        </w:tc>
      </w:tr>
      <w:tr w:rsidR="007968EC" w:rsidRPr="00EB14DE" w14:paraId="71A02EFF" w14:textId="77777777" w:rsidTr="007968EC">
        <w:tc>
          <w:tcPr>
            <w:tcW w:w="3118" w:type="dxa"/>
            <w:shd w:val="clear" w:color="auto" w:fill="D0CECE"/>
            <w:vAlign w:val="center"/>
          </w:tcPr>
          <w:p w14:paraId="5A1F32F5" w14:textId="77777777" w:rsidR="007968EC" w:rsidRPr="00EB14DE" w:rsidRDefault="007968EC" w:rsidP="007968EC">
            <w:pPr>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lastRenderedPageBreak/>
              <w:t>Liquidación prima</w:t>
            </w:r>
          </w:p>
        </w:tc>
        <w:tc>
          <w:tcPr>
            <w:tcW w:w="5812" w:type="dxa"/>
          </w:tcPr>
          <w:p w14:paraId="79F2C5EE" w14:textId="77777777" w:rsidR="007968EC" w:rsidRPr="00EB14DE" w:rsidRDefault="007968EC" w:rsidP="007968EC">
            <w:pPr>
              <w:ind w:left="426"/>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Liquidada al siguiente día hábil del día de la negociación</w:t>
            </w:r>
          </w:p>
        </w:tc>
      </w:tr>
    </w:tbl>
    <w:p w14:paraId="2937F070" w14:textId="77777777" w:rsidR="007968EC" w:rsidRPr="00EB14DE" w:rsidRDefault="007968EC" w:rsidP="007968EC">
      <w:pPr>
        <w:autoSpaceDE w:val="0"/>
        <w:autoSpaceDN w:val="0"/>
        <w:adjustRightInd w:val="0"/>
        <w:ind w:left="426"/>
        <w:contextualSpacing/>
        <w:rPr>
          <w:rFonts w:ascii="Arial Narrow" w:hAnsi="Arial Narrow"/>
          <w:bCs/>
          <w:color w:val="000000" w:themeColor="text1"/>
          <w:lang w:val="es-ES" w:eastAsia="es-CO"/>
        </w:rPr>
      </w:pPr>
    </w:p>
    <w:p w14:paraId="620FBFA5" w14:textId="77777777" w:rsidR="007968EC" w:rsidRPr="00EB14DE" w:rsidRDefault="007968EC" w:rsidP="007968EC">
      <w:pPr>
        <w:ind w:left="426"/>
        <w:jc w:val="both"/>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Para efectos de cálculos de riesgo Intradía la Cámara calculará los precios teóricos (intradía y al cierre) de los Contratos de Opciones europeas con base en el modelo de Black- (1973), el cual se enuncia a continuación:</w:t>
      </w:r>
    </w:p>
    <w:p w14:paraId="1137F74F" w14:textId="77777777" w:rsidR="007968EC" w:rsidRPr="00EB14DE" w:rsidRDefault="007968EC" w:rsidP="007968EC">
      <w:pPr>
        <w:ind w:left="426"/>
        <w:jc w:val="both"/>
        <w:rPr>
          <w:rFonts w:ascii="Arial Narrow" w:hAnsi="Arial Narrow" w:cs="Arial"/>
          <w:color w:val="000000" w:themeColor="text1"/>
          <w:lang w:val="es-ES" w:eastAsia="es-ES"/>
        </w:rPr>
      </w:pPr>
    </w:p>
    <w:p w14:paraId="2B17476D" w14:textId="77777777" w:rsidR="007968EC" w:rsidRPr="00EB14DE" w:rsidRDefault="007968EC" w:rsidP="007968EC">
      <w:pPr>
        <w:ind w:left="426"/>
        <w:jc w:val="both"/>
        <w:rPr>
          <w:rFonts w:ascii="Arial Narrow" w:hAnsi="Arial Narrow" w:cs="Arial"/>
          <w:color w:val="000000" w:themeColor="text1"/>
          <w:lang w:val="es-ES" w:eastAsia="es-ES"/>
        </w:rPr>
      </w:pPr>
      <w:r w:rsidRPr="00EB14DE">
        <w:rPr>
          <w:rFonts w:ascii="Arial Narrow" w:hAnsi="Arial Narrow" w:cs="Arial"/>
          <w:color w:val="000000" w:themeColor="text1"/>
          <w:lang w:val="es-ES" w:eastAsia="es-ES"/>
        </w:rPr>
        <w:t>Se calcula un precio teórico para cada Contrato de Opción CALL y para cada contrato de opción PUT.</w:t>
      </w:r>
    </w:p>
    <w:p w14:paraId="371BDD24" w14:textId="77777777" w:rsidR="007968EC" w:rsidRPr="00EB14DE" w:rsidRDefault="007968EC" w:rsidP="007968EC">
      <w:pPr>
        <w:ind w:left="426"/>
        <w:rPr>
          <w:rFonts w:ascii="Arial Narrow" w:hAnsi="Arial Narrow" w:cs="Arial"/>
          <w:color w:val="000000" w:themeColor="text1"/>
          <w:lang w:val="es-ES" w:eastAsia="es-ES"/>
        </w:rPr>
      </w:pPr>
    </w:p>
    <w:p w14:paraId="42FF7EED" w14:textId="77777777" w:rsidR="007968EC" w:rsidRPr="00EB14DE" w:rsidRDefault="007968EC" w:rsidP="007968EC">
      <w:pPr>
        <w:ind w:left="426"/>
        <w:jc w:val="right"/>
        <w:rPr>
          <w:rFonts w:ascii="Arial Narrow" w:hAnsi="Arial Narrow" w:cs="Arial"/>
          <w:bCs/>
          <w:i/>
          <w:color w:val="000000" w:themeColor="text1"/>
          <w:lang w:val="es-ES" w:eastAsia="es-ES"/>
        </w:rPr>
      </w:pPr>
      <m:oMathPara>
        <m:oMath>
          <m:r>
            <m:rPr>
              <m:sty m:val="bi"/>
            </m:rPr>
            <w:rPr>
              <w:rFonts w:ascii="Cambria Math" w:hAnsi="Cambria Math" w:cs="Arial"/>
              <w:color w:val="000000" w:themeColor="text1"/>
              <w:lang w:val="es-ES" w:eastAsia="es-ES"/>
            </w:rPr>
            <m:t>C=</m:t>
          </m:r>
          <m:d>
            <m:dPr>
              <m:ctrlPr>
                <w:rPr>
                  <w:rFonts w:ascii="Cambria Math" w:hAnsi="Cambria Math" w:cs="Arial"/>
                  <w:i/>
                  <w:color w:val="000000" w:themeColor="text1"/>
                  <w:lang w:val="es-ES" w:eastAsia="es-ES"/>
                </w:rPr>
              </m:ctrlPr>
            </m:dPr>
            <m:e>
              <m:r>
                <m:rPr>
                  <m:sty m:val="bi"/>
                </m:rPr>
                <w:rPr>
                  <w:rFonts w:ascii="Cambria Math" w:hAnsi="Cambria Math" w:cs="Arial"/>
                  <w:color w:val="000000" w:themeColor="text1"/>
                  <w:lang w:val="es-ES" w:eastAsia="es-ES"/>
                </w:rPr>
                <m:t>S-I</m:t>
              </m:r>
            </m:e>
          </m:d>
          <m:r>
            <m:rPr>
              <m:sty m:val="bi"/>
            </m:rPr>
            <w:rPr>
              <w:rFonts w:ascii="Cambria Math" w:hAnsi="Cambria Math" w:cs="Arial"/>
              <w:color w:val="000000" w:themeColor="text1"/>
              <w:lang w:val="es-ES" w:eastAsia="es-ES"/>
            </w:rPr>
            <m:t xml:space="preserve"> N</m:t>
          </m:r>
          <m:d>
            <m:dPr>
              <m:ctrlPr>
                <w:rPr>
                  <w:rFonts w:ascii="Cambria Math" w:hAnsi="Cambria Math" w:cs="Arial"/>
                  <w:i/>
                  <w:color w:val="000000" w:themeColor="text1"/>
                  <w:lang w:val="es-ES" w:eastAsia="es-ES"/>
                </w:rPr>
              </m:ctrlPr>
            </m:dPr>
            <m:e>
              <m:r>
                <m:rPr>
                  <m:sty m:val="bi"/>
                </m:rPr>
                <w:rPr>
                  <w:rFonts w:ascii="Cambria Math" w:hAnsi="Cambria Math" w:cs="Arial"/>
                  <w:color w:val="000000" w:themeColor="text1"/>
                  <w:lang w:val="es-ES" w:eastAsia="es-ES"/>
                </w:rPr>
                <m:t>D</m:t>
              </m:r>
            </m:e>
          </m:d>
          <m:r>
            <m:rPr>
              <m:sty m:val="bi"/>
            </m:rPr>
            <w:rPr>
              <w:rFonts w:ascii="Cambria Math" w:hAnsi="Cambria Math" w:cs="Arial"/>
              <w:color w:val="000000" w:themeColor="text1"/>
              <w:lang w:val="es-ES" w:eastAsia="es-ES"/>
            </w:rPr>
            <m:t>-E</m:t>
          </m:r>
          <m:sSup>
            <m:sSupPr>
              <m:ctrlPr>
                <w:rPr>
                  <w:rFonts w:ascii="Cambria Math" w:hAnsi="Cambria Math" w:cs="Arial"/>
                  <w:i/>
                  <w:color w:val="000000" w:themeColor="text1"/>
                  <w:lang w:val="es-ES" w:eastAsia="es-ES"/>
                </w:rPr>
              </m:ctrlPr>
            </m:sSupPr>
            <m:e>
              <m:r>
                <m:rPr>
                  <m:sty m:val="bi"/>
                </m:rPr>
                <w:rPr>
                  <w:rFonts w:ascii="Cambria Math" w:hAnsi="Cambria Math" w:cs="Arial"/>
                  <w:color w:val="000000" w:themeColor="text1"/>
                  <w:lang w:val="es-ES" w:eastAsia="es-ES"/>
                </w:rPr>
                <m:t>e</m:t>
              </m:r>
            </m:e>
            <m:sup>
              <m:r>
                <m:rPr>
                  <m:sty m:val="bi"/>
                </m:rPr>
                <w:rPr>
                  <w:rFonts w:ascii="Cambria Math" w:hAnsi="Cambria Math" w:cs="Arial"/>
                  <w:color w:val="000000" w:themeColor="text1"/>
                  <w:lang w:val="es-ES" w:eastAsia="es-ES"/>
                </w:rPr>
                <m:t>-rt</m:t>
              </m:r>
            </m:sup>
          </m:sSup>
          <m:r>
            <m:rPr>
              <m:sty m:val="bi"/>
            </m:rPr>
            <w:rPr>
              <w:rFonts w:ascii="Cambria Math" w:hAnsi="Cambria Math" w:cs="Arial"/>
              <w:color w:val="000000" w:themeColor="text1"/>
              <w:lang w:val="es-ES" w:eastAsia="es-ES"/>
            </w:rPr>
            <m:t>N</m:t>
          </m:r>
          <m:d>
            <m:dPr>
              <m:ctrlPr>
                <w:rPr>
                  <w:rFonts w:ascii="Cambria Math" w:hAnsi="Cambria Math" w:cs="Arial"/>
                  <w:i/>
                  <w:color w:val="000000" w:themeColor="text1"/>
                  <w:lang w:val="es-ES" w:eastAsia="es-ES"/>
                </w:rPr>
              </m:ctrlPr>
            </m:dPr>
            <m:e>
              <m:r>
                <m:rPr>
                  <m:sty m:val="bi"/>
                </m:rPr>
                <w:rPr>
                  <w:rFonts w:ascii="Cambria Math" w:hAnsi="Cambria Math" w:cs="Arial"/>
                  <w:color w:val="000000" w:themeColor="text1"/>
                  <w:lang w:val="es-ES" w:eastAsia="es-ES"/>
                </w:rPr>
                <m:t>D-v</m:t>
              </m:r>
              <m:rad>
                <m:radPr>
                  <m:degHide m:val="1"/>
                  <m:ctrlPr>
                    <w:rPr>
                      <w:rFonts w:ascii="Cambria Math" w:hAnsi="Cambria Math" w:cs="Arial"/>
                      <w:i/>
                      <w:color w:val="000000" w:themeColor="text1"/>
                      <w:lang w:val="es-ES" w:eastAsia="es-ES"/>
                    </w:rPr>
                  </m:ctrlPr>
                </m:radPr>
                <m:deg/>
                <m:e>
                  <m:r>
                    <m:rPr>
                      <m:sty m:val="bi"/>
                    </m:rPr>
                    <w:rPr>
                      <w:rFonts w:ascii="Cambria Math" w:hAnsi="Cambria Math" w:cs="Arial"/>
                      <w:color w:val="000000" w:themeColor="text1"/>
                      <w:lang w:val="es-ES" w:eastAsia="es-ES"/>
                    </w:rPr>
                    <m:t>t</m:t>
                  </m:r>
                </m:e>
              </m:rad>
            </m:e>
          </m:d>
        </m:oMath>
      </m:oMathPara>
    </w:p>
    <w:p w14:paraId="5EB5238F" w14:textId="77777777" w:rsidR="007968EC" w:rsidRPr="00EB14DE" w:rsidRDefault="007968EC" w:rsidP="007968EC">
      <w:pPr>
        <w:ind w:left="426"/>
        <w:jc w:val="both"/>
        <w:rPr>
          <w:rFonts w:ascii="Arial Narrow" w:hAnsi="Arial Narrow" w:cs="Arial"/>
          <w:bCs/>
          <w:color w:val="000000" w:themeColor="text1"/>
          <w:lang w:val="es-ES" w:eastAsia="es-ES"/>
        </w:rPr>
      </w:pPr>
      <m:oMathPara>
        <m:oMathParaPr>
          <m:jc m:val="center"/>
        </m:oMathParaPr>
        <m:oMath>
          <m:r>
            <m:rPr>
              <m:sty m:val="bi"/>
            </m:rPr>
            <w:rPr>
              <w:rFonts w:ascii="Cambria Math" w:hAnsi="Cambria Math" w:cs="Arial"/>
              <w:color w:val="000000" w:themeColor="text1"/>
              <w:lang w:val="es-ES" w:eastAsia="es-ES"/>
            </w:rPr>
            <m:t>P</m:t>
          </m:r>
          <m:r>
            <m:rPr>
              <m:sty m:val="b"/>
            </m:rPr>
            <w:rPr>
              <w:rFonts w:ascii="Cambria Math" w:hAnsi="Cambria Math" w:cs="Arial"/>
              <w:color w:val="000000" w:themeColor="text1"/>
              <w:lang w:val="es-ES" w:eastAsia="es-ES"/>
            </w:rPr>
            <m:t>=-</m:t>
          </m:r>
          <m:d>
            <m:dPr>
              <m:ctrlPr>
                <w:rPr>
                  <w:rFonts w:ascii="Cambria Math" w:hAnsi="Cambria Math" w:cs="Arial"/>
                  <w:i/>
                  <w:color w:val="000000" w:themeColor="text1"/>
                  <w:lang w:val="es-ES" w:eastAsia="es-ES"/>
                </w:rPr>
              </m:ctrlPr>
            </m:dPr>
            <m:e>
              <m:r>
                <m:rPr>
                  <m:sty m:val="bi"/>
                </m:rPr>
                <w:rPr>
                  <w:rFonts w:ascii="Cambria Math" w:hAnsi="Cambria Math" w:cs="Arial"/>
                  <w:color w:val="000000" w:themeColor="text1"/>
                  <w:lang w:val="es-ES" w:eastAsia="es-ES"/>
                </w:rPr>
                <m:t>S-I</m:t>
              </m:r>
            </m:e>
          </m:d>
          <m:r>
            <m:rPr>
              <m:sty m:val="bi"/>
            </m:rPr>
            <w:rPr>
              <w:rFonts w:ascii="Cambria Math" w:hAnsi="Cambria Math" w:cs="Arial"/>
              <w:color w:val="000000" w:themeColor="text1"/>
              <w:lang w:val="es-ES" w:eastAsia="es-ES"/>
            </w:rPr>
            <m:t xml:space="preserve"> N</m:t>
          </m:r>
          <m:d>
            <m:dPr>
              <m:ctrlPr>
                <w:rPr>
                  <w:rFonts w:ascii="Cambria Math" w:hAnsi="Cambria Math" w:cs="Arial"/>
                  <w:i/>
                  <w:color w:val="000000" w:themeColor="text1"/>
                  <w:lang w:val="es-ES" w:eastAsia="es-ES"/>
                </w:rPr>
              </m:ctrlPr>
            </m:dPr>
            <m:e>
              <m:r>
                <m:rPr>
                  <m:sty m:val="bi"/>
                </m:rPr>
                <w:rPr>
                  <w:rFonts w:ascii="Cambria Math" w:hAnsi="Cambria Math" w:cs="Arial"/>
                  <w:color w:val="000000" w:themeColor="text1"/>
                  <w:lang w:val="es-ES" w:eastAsia="es-ES"/>
                </w:rPr>
                <m:t>-D</m:t>
              </m:r>
            </m:e>
          </m:d>
          <m:r>
            <m:rPr>
              <m:sty m:val="bi"/>
            </m:rPr>
            <w:rPr>
              <w:rFonts w:ascii="Cambria Math" w:hAnsi="Cambria Math" w:cs="Arial"/>
              <w:color w:val="000000" w:themeColor="text1"/>
              <w:lang w:val="es-ES" w:eastAsia="es-ES"/>
            </w:rPr>
            <m:t>+E</m:t>
          </m:r>
          <m:sSup>
            <m:sSupPr>
              <m:ctrlPr>
                <w:rPr>
                  <w:rFonts w:ascii="Cambria Math" w:hAnsi="Cambria Math" w:cs="Arial"/>
                  <w:i/>
                  <w:color w:val="000000" w:themeColor="text1"/>
                  <w:lang w:val="es-ES" w:eastAsia="es-ES"/>
                </w:rPr>
              </m:ctrlPr>
            </m:sSupPr>
            <m:e>
              <m:r>
                <m:rPr>
                  <m:sty m:val="bi"/>
                </m:rPr>
                <w:rPr>
                  <w:rFonts w:ascii="Cambria Math" w:hAnsi="Cambria Math" w:cs="Arial"/>
                  <w:color w:val="000000" w:themeColor="text1"/>
                  <w:lang w:val="es-ES" w:eastAsia="es-ES"/>
                </w:rPr>
                <m:t>e</m:t>
              </m:r>
            </m:e>
            <m:sup>
              <m:r>
                <m:rPr>
                  <m:sty m:val="bi"/>
                </m:rPr>
                <w:rPr>
                  <w:rFonts w:ascii="Cambria Math" w:hAnsi="Cambria Math" w:cs="Arial"/>
                  <w:color w:val="000000" w:themeColor="text1"/>
                  <w:lang w:val="es-ES" w:eastAsia="es-ES"/>
                </w:rPr>
                <m:t>-rt</m:t>
              </m:r>
            </m:sup>
          </m:sSup>
          <m:r>
            <m:rPr>
              <m:sty m:val="bi"/>
            </m:rPr>
            <w:rPr>
              <w:rFonts w:ascii="Cambria Math" w:hAnsi="Cambria Math" w:cs="Arial"/>
              <w:color w:val="000000" w:themeColor="text1"/>
              <w:lang w:val="es-ES" w:eastAsia="es-ES"/>
            </w:rPr>
            <m:t>N</m:t>
          </m:r>
          <m:d>
            <m:dPr>
              <m:ctrlPr>
                <w:rPr>
                  <w:rFonts w:ascii="Cambria Math" w:hAnsi="Cambria Math" w:cs="Arial"/>
                  <w:i/>
                  <w:color w:val="000000" w:themeColor="text1"/>
                  <w:lang w:val="es-ES" w:eastAsia="es-ES"/>
                </w:rPr>
              </m:ctrlPr>
            </m:dPr>
            <m:e>
              <m:r>
                <m:rPr>
                  <m:sty m:val="bi"/>
                </m:rPr>
                <w:rPr>
                  <w:rFonts w:ascii="Cambria Math" w:hAnsi="Cambria Math" w:cs="Arial"/>
                  <w:color w:val="000000" w:themeColor="text1"/>
                  <w:lang w:val="es-ES" w:eastAsia="es-ES"/>
                </w:rPr>
                <m:t>v</m:t>
              </m:r>
              <m:rad>
                <m:radPr>
                  <m:degHide m:val="1"/>
                  <m:ctrlPr>
                    <w:rPr>
                      <w:rFonts w:ascii="Cambria Math" w:hAnsi="Cambria Math" w:cs="Arial"/>
                      <w:i/>
                      <w:color w:val="000000" w:themeColor="text1"/>
                      <w:lang w:val="es-ES" w:eastAsia="es-ES"/>
                    </w:rPr>
                  </m:ctrlPr>
                </m:radPr>
                <m:deg/>
                <m:e>
                  <m:r>
                    <m:rPr>
                      <m:sty m:val="bi"/>
                    </m:rPr>
                    <w:rPr>
                      <w:rFonts w:ascii="Cambria Math" w:hAnsi="Cambria Math" w:cs="Arial"/>
                      <w:color w:val="000000" w:themeColor="text1"/>
                      <w:lang w:val="es-ES" w:eastAsia="es-ES"/>
                    </w:rPr>
                    <m:t>t</m:t>
                  </m:r>
                </m:e>
              </m:rad>
              <m:r>
                <m:rPr>
                  <m:sty m:val="bi"/>
                </m:rPr>
                <w:rPr>
                  <w:rFonts w:ascii="Cambria Math" w:hAnsi="Cambria Math" w:cs="Arial"/>
                  <w:color w:val="000000" w:themeColor="text1"/>
                  <w:lang w:val="es-ES" w:eastAsia="es-ES"/>
                </w:rPr>
                <m:t>-D</m:t>
              </m:r>
            </m:e>
          </m:d>
        </m:oMath>
      </m:oMathPara>
    </w:p>
    <w:p w14:paraId="66222081" w14:textId="77777777" w:rsidR="007968EC" w:rsidRPr="00EB14DE" w:rsidRDefault="007968EC" w:rsidP="007968EC">
      <w:pPr>
        <w:ind w:left="426"/>
        <w:jc w:val="both"/>
        <w:rPr>
          <w:rFonts w:ascii="Arial Narrow" w:hAnsi="Arial Narrow" w:cs="Arial"/>
          <w:bCs/>
          <w:color w:val="000000" w:themeColor="text1"/>
          <w:lang w:val="es-ES" w:eastAsia="es-ES"/>
        </w:rPr>
      </w:pPr>
      <w:r w:rsidRPr="00EB14DE">
        <w:rPr>
          <w:rFonts w:ascii="Arial Narrow" w:hAnsi="Arial Narrow" w:cs="Arial"/>
          <w:bCs/>
          <w:color w:val="000000" w:themeColor="text1"/>
          <w:lang w:val="es-ES" w:eastAsia="es-ES"/>
        </w:rPr>
        <w:t>Donde:</w:t>
      </w:r>
    </w:p>
    <w:p w14:paraId="4645E2DC" w14:textId="77777777" w:rsidR="007968EC" w:rsidRPr="00EB14DE" w:rsidRDefault="007968EC" w:rsidP="007968EC">
      <w:pPr>
        <w:ind w:left="426"/>
        <w:jc w:val="both"/>
        <w:rPr>
          <w:rFonts w:ascii="Arial Narrow" w:hAnsi="Arial Narrow" w:cs="Arial"/>
          <w:bCs/>
          <w:color w:val="000000" w:themeColor="text1"/>
          <w:lang w:val="es-ES" w:eastAsia="es-ES"/>
        </w:rPr>
      </w:pPr>
    </w:p>
    <w:p w14:paraId="021CDE47" w14:textId="77777777" w:rsidR="007968EC" w:rsidRPr="00EB14DE" w:rsidRDefault="007968EC" w:rsidP="007968EC">
      <w:pPr>
        <w:ind w:left="426"/>
        <w:jc w:val="center"/>
        <w:rPr>
          <w:rFonts w:ascii="Arial Narrow" w:hAnsi="Arial Narrow" w:cs="Arial"/>
          <w:bCs/>
          <w:color w:val="000000" w:themeColor="text1"/>
          <w:lang w:val="es-ES" w:eastAsia="es-ES"/>
        </w:rPr>
      </w:pPr>
      <m:oMath>
        <m:r>
          <m:rPr>
            <m:sty m:val="bi"/>
          </m:rPr>
          <w:rPr>
            <w:rFonts w:ascii="Cambria Math" w:hAnsi="Cambria Math" w:cs="Arial"/>
            <w:color w:val="000000" w:themeColor="text1"/>
            <w:lang w:val="es-ES" w:eastAsia="es-ES"/>
          </w:rPr>
          <m:t>D</m:t>
        </m:r>
        <m:r>
          <m:rPr>
            <m:sty m:val="b"/>
          </m:rPr>
          <w:rPr>
            <w:rFonts w:ascii="Cambria Math" w:hAnsi="Cambria Math" w:cs="Arial"/>
            <w:color w:val="000000" w:themeColor="text1"/>
            <w:lang w:val="es-ES" w:eastAsia="es-ES"/>
          </w:rPr>
          <m:t>=</m:t>
        </m:r>
        <m:f>
          <m:fPr>
            <m:ctrlPr>
              <w:rPr>
                <w:rFonts w:ascii="Cambria Math" w:hAnsi="Cambria Math" w:cs="Arial"/>
                <w:color w:val="000000" w:themeColor="text1"/>
                <w:lang w:val="es-ES" w:eastAsia="es-ES"/>
              </w:rPr>
            </m:ctrlPr>
          </m:fPr>
          <m:num>
            <m:r>
              <m:rPr>
                <m:sty m:val="bi"/>
              </m:rPr>
              <w:rPr>
                <w:rFonts w:ascii="Cambria Math" w:hAnsi="Cambria Math" w:cs="Arial"/>
                <w:color w:val="000000" w:themeColor="text1"/>
                <w:lang w:val="es-ES" w:eastAsia="es-ES"/>
              </w:rPr>
              <m:t>Ln</m:t>
            </m:r>
            <m:d>
              <m:dPr>
                <m:ctrlPr>
                  <w:rPr>
                    <w:rFonts w:ascii="Cambria Math" w:hAnsi="Cambria Math" w:cs="Arial"/>
                    <w:color w:val="000000" w:themeColor="text1"/>
                    <w:lang w:val="es-ES" w:eastAsia="es-ES"/>
                  </w:rPr>
                </m:ctrlPr>
              </m:dPr>
              <m:e>
                <m:f>
                  <m:fPr>
                    <m:ctrlPr>
                      <w:rPr>
                        <w:rFonts w:ascii="Cambria Math" w:hAnsi="Cambria Math" w:cs="Arial"/>
                        <w:color w:val="000000" w:themeColor="text1"/>
                        <w:lang w:val="es-ES" w:eastAsia="es-ES"/>
                      </w:rPr>
                    </m:ctrlPr>
                  </m:fPr>
                  <m:num>
                    <m:r>
                      <m:rPr>
                        <m:sty m:val="bi"/>
                      </m:rPr>
                      <w:rPr>
                        <w:rFonts w:ascii="Cambria Math" w:hAnsi="Cambria Math" w:cs="Arial"/>
                        <w:color w:val="000000" w:themeColor="text1"/>
                        <w:lang w:val="es-ES" w:eastAsia="es-ES"/>
                      </w:rPr>
                      <m:t>S-I</m:t>
                    </m:r>
                  </m:num>
                  <m:den>
                    <m:r>
                      <m:rPr>
                        <m:sty m:val="bi"/>
                      </m:rPr>
                      <w:rPr>
                        <w:rFonts w:ascii="Cambria Math" w:hAnsi="Cambria Math" w:cs="Arial"/>
                        <w:color w:val="000000" w:themeColor="text1"/>
                        <w:lang w:val="es-ES" w:eastAsia="es-ES"/>
                      </w:rPr>
                      <m:t>E</m:t>
                    </m:r>
                    <m:sSup>
                      <m:sSupPr>
                        <m:ctrlPr>
                          <w:rPr>
                            <w:rFonts w:ascii="Cambria Math" w:hAnsi="Cambria Math" w:cs="Arial"/>
                            <w:i/>
                            <w:color w:val="000000" w:themeColor="text1"/>
                            <w:lang w:val="es-ES" w:eastAsia="es-ES"/>
                          </w:rPr>
                        </m:ctrlPr>
                      </m:sSupPr>
                      <m:e>
                        <m:r>
                          <m:rPr>
                            <m:sty m:val="bi"/>
                          </m:rPr>
                          <w:rPr>
                            <w:rFonts w:ascii="Cambria Math" w:hAnsi="Cambria Math" w:cs="Arial"/>
                            <w:color w:val="000000" w:themeColor="text1"/>
                            <w:lang w:val="es-ES" w:eastAsia="es-ES"/>
                          </w:rPr>
                          <m:t>e</m:t>
                        </m:r>
                      </m:e>
                      <m:sup>
                        <m:r>
                          <m:rPr>
                            <m:sty m:val="bi"/>
                          </m:rPr>
                          <w:rPr>
                            <w:rFonts w:ascii="Cambria Math" w:hAnsi="Cambria Math" w:cs="Arial"/>
                            <w:color w:val="000000" w:themeColor="text1"/>
                            <w:lang w:val="es-ES" w:eastAsia="es-ES"/>
                          </w:rPr>
                          <m:t>-rt</m:t>
                        </m:r>
                      </m:sup>
                    </m:sSup>
                  </m:den>
                </m:f>
              </m:e>
            </m:d>
          </m:num>
          <m:den>
            <m:r>
              <m:rPr>
                <m:sty m:val="bi"/>
              </m:rPr>
              <w:rPr>
                <w:rFonts w:ascii="Cambria Math" w:hAnsi="Cambria Math" w:cs="Arial"/>
                <w:color w:val="000000" w:themeColor="text1"/>
                <w:lang w:val="es-ES" w:eastAsia="es-ES"/>
              </w:rPr>
              <m:t>v</m:t>
            </m:r>
            <m:rad>
              <m:radPr>
                <m:degHide m:val="1"/>
                <m:ctrlPr>
                  <w:rPr>
                    <w:rFonts w:ascii="Cambria Math" w:hAnsi="Cambria Math" w:cs="Arial"/>
                    <w:color w:val="000000" w:themeColor="text1"/>
                    <w:lang w:val="es-ES" w:eastAsia="es-ES"/>
                  </w:rPr>
                </m:ctrlPr>
              </m:radPr>
              <m:deg/>
              <m:e>
                <m:r>
                  <m:rPr>
                    <m:sty m:val="bi"/>
                  </m:rPr>
                  <w:rPr>
                    <w:rFonts w:ascii="Cambria Math" w:hAnsi="Cambria Math" w:cs="Arial"/>
                    <w:color w:val="000000" w:themeColor="text1"/>
                    <w:lang w:val="es-ES" w:eastAsia="es-ES"/>
                  </w:rPr>
                  <m:t>T</m:t>
                </m:r>
              </m:e>
            </m:rad>
          </m:den>
        </m:f>
        <m:r>
          <m:rPr>
            <m:sty m:val="bi"/>
          </m:rPr>
          <w:rPr>
            <w:rFonts w:ascii="Cambria Math" w:hAnsi="Cambria Math" w:cs="Arial"/>
            <w:color w:val="000000" w:themeColor="text1"/>
            <w:lang w:val="es-ES" w:eastAsia="es-ES"/>
          </w:rPr>
          <m:t>+</m:t>
        </m:r>
        <m:f>
          <m:fPr>
            <m:ctrlPr>
              <w:rPr>
                <w:rFonts w:ascii="Cambria Math" w:hAnsi="Cambria Math" w:cs="Arial"/>
                <w:color w:val="000000" w:themeColor="text1"/>
                <w:lang w:val="es-ES" w:eastAsia="es-ES"/>
              </w:rPr>
            </m:ctrlPr>
          </m:fPr>
          <m:num>
            <m:r>
              <m:rPr>
                <m:sty m:val="bi"/>
              </m:rPr>
              <w:rPr>
                <w:rFonts w:ascii="Cambria Math" w:hAnsi="Cambria Math" w:cs="Arial"/>
                <w:color w:val="000000" w:themeColor="text1"/>
                <w:lang w:val="es-ES" w:eastAsia="es-ES"/>
              </w:rPr>
              <m:t>v</m:t>
            </m:r>
            <m:rad>
              <m:radPr>
                <m:degHide m:val="1"/>
                <m:ctrlPr>
                  <w:rPr>
                    <w:rFonts w:ascii="Cambria Math" w:hAnsi="Cambria Math" w:cs="Arial"/>
                    <w:color w:val="000000" w:themeColor="text1"/>
                    <w:lang w:val="es-ES" w:eastAsia="es-ES"/>
                  </w:rPr>
                </m:ctrlPr>
              </m:radPr>
              <m:deg/>
              <m:e>
                <m:r>
                  <m:rPr>
                    <m:sty m:val="bi"/>
                  </m:rPr>
                  <w:rPr>
                    <w:rFonts w:ascii="Cambria Math" w:hAnsi="Cambria Math" w:cs="Arial"/>
                    <w:color w:val="000000" w:themeColor="text1"/>
                    <w:lang w:val="es-ES" w:eastAsia="es-ES"/>
                  </w:rPr>
                  <m:t>T</m:t>
                </m:r>
              </m:e>
            </m:rad>
          </m:num>
          <m:den>
            <m:r>
              <m:rPr>
                <m:sty m:val="bi"/>
              </m:rPr>
              <w:rPr>
                <w:rFonts w:ascii="Cambria Math" w:hAnsi="Cambria Math" w:cs="Arial"/>
                <w:color w:val="000000" w:themeColor="text1"/>
                <w:lang w:val="es-ES" w:eastAsia="es-ES"/>
              </w:rPr>
              <m:t>2</m:t>
            </m:r>
          </m:den>
        </m:f>
        <m:r>
          <m:rPr>
            <m:sty m:val="bi"/>
          </m:rPr>
          <w:rPr>
            <w:rFonts w:ascii="Cambria Math" w:hAnsi="Cambria Math" w:cs="Arial"/>
            <w:color w:val="000000" w:themeColor="text1"/>
            <w:lang w:val="es-ES" w:eastAsia="es-ES"/>
          </w:rPr>
          <m:t xml:space="preserve">                                                                                                               </m:t>
        </m:r>
      </m:oMath>
      <w:r w:rsidRPr="00EB14DE">
        <w:rPr>
          <w:rFonts w:ascii="Arial Narrow" w:hAnsi="Arial Narrow" w:cs="Arial"/>
          <w:bCs/>
          <w:color w:val="000000" w:themeColor="text1"/>
          <w:lang w:val="es-ES" w:eastAsia="es-ES"/>
        </w:rPr>
        <w:t xml:space="preserve">         </w:t>
      </w:r>
    </w:p>
    <w:p w14:paraId="288800CB" w14:textId="77777777" w:rsidR="007968EC" w:rsidRPr="00EB14DE" w:rsidRDefault="007968EC" w:rsidP="007968EC">
      <w:pPr>
        <w:ind w:left="426"/>
        <w:jc w:val="both"/>
        <w:rPr>
          <w:rFonts w:ascii="Arial Narrow" w:hAnsi="Arial Narrow" w:cs="Arial"/>
          <w:bCs/>
          <w:color w:val="000000" w:themeColor="text1"/>
          <w:lang w:val="es-ES" w:eastAsia="es-ES"/>
        </w:rPr>
      </w:pPr>
    </w:p>
    <w:p w14:paraId="04932BAB" w14:textId="77777777" w:rsidR="007968EC" w:rsidRPr="00EB14DE" w:rsidRDefault="007968EC" w:rsidP="007968EC">
      <w:pPr>
        <w:ind w:left="426"/>
        <w:jc w:val="both"/>
        <w:rPr>
          <w:rFonts w:ascii="Arial Narrow" w:hAnsi="Arial Narrow" w:cs="Arial"/>
          <w:bCs/>
          <w:color w:val="000000" w:themeColor="text1"/>
          <w:lang w:val="es-ES" w:eastAsia="es-ES"/>
        </w:rPr>
      </w:pPr>
      <w:r w:rsidRPr="00EB14DE">
        <w:rPr>
          <w:rFonts w:ascii="Arial Narrow" w:hAnsi="Arial Narrow" w:cs="Arial"/>
          <w:bCs/>
          <w:color w:val="000000" w:themeColor="text1"/>
          <w:lang w:val="es-ES" w:eastAsia="es-ES"/>
        </w:rPr>
        <w:t>C=Valor teórico de una opción CALL</w:t>
      </w:r>
    </w:p>
    <w:p w14:paraId="1CFEE0EB" w14:textId="77777777" w:rsidR="007968EC" w:rsidRPr="00EB14DE" w:rsidRDefault="007968EC" w:rsidP="007968EC">
      <w:pPr>
        <w:ind w:left="426"/>
        <w:jc w:val="both"/>
        <w:rPr>
          <w:rFonts w:ascii="Arial Narrow" w:hAnsi="Arial Narrow" w:cs="Arial"/>
          <w:bCs/>
          <w:color w:val="000000" w:themeColor="text1"/>
          <w:lang w:val="es-ES" w:eastAsia="es-ES"/>
        </w:rPr>
      </w:pPr>
      <w:r w:rsidRPr="00EB14DE">
        <w:rPr>
          <w:rFonts w:ascii="Arial Narrow" w:hAnsi="Arial Narrow" w:cs="Arial"/>
          <w:bCs/>
          <w:color w:val="000000" w:themeColor="text1"/>
          <w:lang w:val="es-ES" w:eastAsia="es-ES"/>
        </w:rPr>
        <w:t>P=Valor teórico de una opción PUT</w:t>
      </w:r>
    </w:p>
    <w:p w14:paraId="790747C6" w14:textId="77777777" w:rsidR="007968EC" w:rsidRPr="00EB14DE" w:rsidRDefault="007968EC" w:rsidP="007968EC">
      <w:pPr>
        <w:ind w:left="426"/>
        <w:jc w:val="both"/>
        <w:rPr>
          <w:rFonts w:ascii="Arial Narrow" w:hAnsi="Arial Narrow" w:cs="Arial"/>
          <w:bCs/>
          <w:color w:val="000000" w:themeColor="text1"/>
          <w:lang w:val="es-ES" w:eastAsia="es-ES"/>
        </w:rPr>
      </w:pPr>
      <w:r w:rsidRPr="00EB14DE">
        <w:rPr>
          <w:rFonts w:ascii="Arial Narrow" w:hAnsi="Arial Narrow" w:cs="Arial"/>
          <w:bCs/>
          <w:color w:val="000000" w:themeColor="text1"/>
          <w:lang w:val="es-ES" w:eastAsia="es-ES"/>
        </w:rPr>
        <w:t>S= Precio del subyacente (Acciones, Índices y Divisas (TRM))</w:t>
      </w:r>
    </w:p>
    <w:p w14:paraId="27595DCF" w14:textId="77777777" w:rsidR="007968EC" w:rsidRPr="00EB14DE" w:rsidRDefault="007968EC" w:rsidP="007968EC">
      <w:pPr>
        <w:ind w:left="426"/>
        <w:jc w:val="both"/>
        <w:rPr>
          <w:rFonts w:ascii="Arial Narrow" w:hAnsi="Arial Narrow" w:cs="Arial"/>
          <w:bCs/>
          <w:color w:val="000000" w:themeColor="text1"/>
          <w:lang w:val="es-ES" w:eastAsia="es-ES"/>
        </w:rPr>
      </w:pPr>
      <w:r w:rsidRPr="00EB14DE">
        <w:rPr>
          <w:rFonts w:ascii="Arial Narrow" w:hAnsi="Arial Narrow" w:cs="Arial"/>
          <w:color w:val="000000" w:themeColor="text1"/>
          <w:lang w:val="es-ES" w:eastAsia="es-ES"/>
        </w:rPr>
        <w:t>I</w:t>
      </w:r>
      <w:r w:rsidRPr="00EB14DE">
        <w:rPr>
          <w:rFonts w:ascii="Arial Narrow" w:hAnsi="Arial Narrow" w:cs="Arial"/>
          <w:bCs/>
          <w:color w:val="000000" w:themeColor="text1"/>
          <w:lang w:val="es-ES" w:eastAsia="es-ES"/>
        </w:rPr>
        <w:t xml:space="preserve">= Valor actual de los dividendos  </w:t>
      </w:r>
      <m:oMath>
        <m:r>
          <m:rPr>
            <m:sty m:val="bi"/>
          </m:rPr>
          <w:rPr>
            <w:rFonts w:ascii="Cambria Math" w:hAnsi="Cambria Math" w:cs="Arial"/>
            <w:color w:val="000000" w:themeColor="text1"/>
            <w:lang w:val="es-ES" w:eastAsia="es-ES"/>
          </w:rPr>
          <m:t xml:space="preserve">I= </m:t>
        </m:r>
        <m:nary>
          <m:naryPr>
            <m:chr m:val="∑"/>
            <m:limLoc m:val="undOvr"/>
            <m:subHide m:val="1"/>
            <m:supHide m:val="1"/>
            <m:ctrlPr>
              <w:rPr>
                <w:rFonts w:ascii="Cambria Math" w:hAnsi="Cambria Math" w:cs="Arial"/>
                <w:i/>
                <w:color w:val="000000" w:themeColor="text1"/>
                <w:lang w:val="es-ES" w:eastAsia="es-ES"/>
              </w:rPr>
            </m:ctrlPr>
          </m:naryPr>
          <m:sub/>
          <m:sup/>
          <m:e>
            <m:sSub>
              <m:sSubPr>
                <m:ctrlPr>
                  <w:rPr>
                    <w:rFonts w:ascii="Cambria Math" w:hAnsi="Cambria Math" w:cs="Arial"/>
                    <w:i/>
                    <w:color w:val="000000" w:themeColor="text1"/>
                    <w:lang w:val="es-ES" w:eastAsia="es-ES"/>
                  </w:rPr>
                </m:ctrlPr>
              </m:sSubPr>
              <m:e>
                <m:r>
                  <m:rPr>
                    <m:sty m:val="bi"/>
                  </m:rPr>
                  <w:rPr>
                    <w:rFonts w:ascii="Cambria Math" w:hAnsi="Cambria Math" w:cs="Arial"/>
                    <w:color w:val="000000" w:themeColor="text1"/>
                    <w:lang w:val="es-ES" w:eastAsia="es-ES"/>
                  </w:rPr>
                  <m:t>Div</m:t>
                </m:r>
              </m:e>
              <m:sub>
                <m:r>
                  <m:rPr>
                    <m:sty m:val="bi"/>
                  </m:rPr>
                  <w:rPr>
                    <w:rFonts w:ascii="Cambria Math" w:hAnsi="Cambria Math" w:cs="Arial"/>
                    <w:color w:val="000000" w:themeColor="text1"/>
                    <w:lang w:val="es-ES" w:eastAsia="es-ES"/>
                  </w:rPr>
                  <m:t>t</m:t>
                </m:r>
              </m:sub>
            </m:sSub>
            <m:r>
              <m:rPr>
                <m:sty m:val="bi"/>
              </m:rPr>
              <w:rPr>
                <w:rFonts w:ascii="Cambria Math" w:hAnsi="Cambria Math" w:cs="Arial"/>
                <w:color w:val="000000" w:themeColor="text1"/>
                <w:lang w:val="es-ES" w:eastAsia="es-ES"/>
              </w:rPr>
              <m:t>*</m:t>
            </m:r>
            <m:sSup>
              <m:sSupPr>
                <m:ctrlPr>
                  <w:rPr>
                    <w:rFonts w:ascii="Cambria Math" w:hAnsi="Cambria Math" w:cs="Arial"/>
                    <w:i/>
                    <w:color w:val="000000" w:themeColor="text1"/>
                    <w:lang w:val="es-ES" w:eastAsia="es-ES"/>
                  </w:rPr>
                </m:ctrlPr>
              </m:sSupPr>
              <m:e>
                <m:r>
                  <m:rPr>
                    <m:sty m:val="bi"/>
                  </m:rPr>
                  <w:rPr>
                    <w:rFonts w:ascii="Cambria Math" w:hAnsi="Cambria Math" w:cs="Arial"/>
                    <w:color w:val="000000" w:themeColor="text1"/>
                    <w:lang w:val="es-ES" w:eastAsia="es-ES"/>
                  </w:rPr>
                  <m:t>e</m:t>
                </m:r>
              </m:e>
              <m:sup>
                <m:r>
                  <m:rPr>
                    <m:sty m:val="bi"/>
                  </m:rPr>
                  <w:rPr>
                    <w:rFonts w:ascii="Cambria Math" w:hAnsi="Cambria Math" w:cs="Arial"/>
                    <w:color w:val="000000" w:themeColor="text1"/>
                    <w:lang w:val="es-ES" w:eastAsia="es-ES"/>
                  </w:rPr>
                  <m:t>-rt</m:t>
                </m:r>
              </m:sup>
            </m:sSup>
            <m:r>
              <m:rPr>
                <m:sty m:val="b"/>
              </m:rPr>
              <w:rPr>
                <w:rFonts w:ascii="Cambria Math" w:hAnsi="Cambria Math" w:cs="Arial"/>
                <w:color w:val="000000" w:themeColor="text1"/>
                <w:lang w:val="es-ES" w:eastAsia="es-ES"/>
              </w:rPr>
              <m:t xml:space="preserve">  </m:t>
            </m:r>
          </m:e>
        </m:nary>
      </m:oMath>
    </w:p>
    <w:p w14:paraId="2A7090D0" w14:textId="77777777" w:rsidR="007968EC" w:rsidRPr="00EB14DE" w:rsidRDefault="007968EC" w:rsidP="007968EC">
      <w:pPr>
        <w:ind w:left="426"/>
        <w:jc w:val="both"/>
        <w:rPr>
          <w:rFonts w:ascii="Arial Narrow" w:hAnsi="Arial Narrow" w:cs="Arial"/>
          <w:bCs/>
          <w:color w:val="000000" w:themeColor="text1"/>
          <w:lang w:val="es-ES" w:eastAsia="es-ES"/>
        </w:rPr>
      </w:pPr>
      <w:r w:rsidRPr="00EB14DE">
        <w:rPr>
          <w:rFonts w:ascii="Arial Narrow" w:hAnsi="Arial Narrow" w:cs="Arial"/>
          <w:bCs/>
          <w:color w:val="000000" w:themeColor="text1"/>
          <w:lang w:val="es-ES" w:eastAsia="es-ES"/>
        </w:rPr>
        <w:t>E= Precio de ejercicio de la opción</w:t>
      </w:r>
    </w:p>
    <w:p w14:paraId="3B704165" w14:textId="77777777" w:rsidR="007968EC" w:rsidRPr="00EB14DE" w:rsidRDefault="007968EC" w:rsidP="007968EC">
      <w:pPr>
        <w:ind w:left="426"/>
        <w:jc w:val="both"/>
        <w:rPr>
          <w:rFonts w:ascii="Arial Narrow" w:hAnsi="Arial Narrow" w:cs="Arial"/>
          <w:bCs/>
          <w:color w:val="000000" w:themeColor="text1"/>
          <w:lang w:val="es-ES" w:eastAsia="es-ES"/>
        </w:rPr>
      </w:pPr>
      <w:r w:rsidRPr="00EB14DE">
        <w:rPr>
          <w:rFonts w:ascii="Arial Narrow" w:hAnsi="Arial Narrow" w:cs="Arial"/>
          <w:bCs/>
          <w:color w:val="000000" w:themeColor="text1"/>
          <w:lang w:val="es-ES" w:eastAsia="es-ES"/>
        </w:rPr>
        <w:t>T= Días a vencimiento / Días año (365 si el periodo analizado es superior a 365 días, y 360 en caso contrario)</w:t>
      </w:r>
    </w:p>
    <w:p w14:paraId="5C89A49E" w14:textId="77777777" w:rsidR="007968EC" w:rsidRPr="00EB14DE" w:rsidRDefault="007968EC" w:rsidP="007968EC">
      <w:pPr>
        <w:ind w:left="426"/>
        <w:jc w:val="both"/>
        <w:rPr>
          <w:rFonts w:ascii="Arial Narrow" w:hAnsi="Arial Narrow" w:cs="Arial"/>
          <w:bCs/>
          <w:color w:val="000000" w:themeColor="text1"/>
          <w:lang w:val="es-ES" w:eastAsia="es-ES"/>
        </w:rPr>
      </w:pPr>
      <w:r w:rsidRPr="00EB14DE">
        <w:rPr>
          <w:rFonts w:ascii="Arial Narrow" w:hAnsi="Arial Narrow" w:cs="Arial"/>
          <w:bCs/>
          <w:color w:val="000000" w:themeColor="text1"/>
          <w:lang w:val="es-ES" w:eastAsia="es-ES"/>
        </w:rPr>
        <w:t>V= Volatilidad anualizada (en porcentaje)</w:t>
      </w:r>
    </w:p>
    <w:p w14:paraId="277D34F1" w14:textId="77777777" w:rsidR="007968EC" w:rsidRPr="00EB14DE" w:rsidRDefault="007968EC" w:rsidP="007968EC">
      <w:pPr>
        <w:ind w:left="426"/>
        <w:jc w:val="both"/>
        <w:rPr>
          <w:rFonts w:ascii="Arial Narrow" w:hAnsi="Arial Narrow" w:cs="Arial"/>
          <w:bCs/>
          <w:color w:val="000000" w:themeColor="text1"/>
          <w:lang w:val="es-ES" w:eastAsia="es-ES"/>
        </w:rPr>
      </w:pPr>
      <w:r w:rsidRPr="00EB14DE">
        <w:rPr>
          <w:rFonts w:ascii="Arial Narrow" w:hAnsi="Arial Narrow" w:cs="Arial"/>
          <w:bCs/>
          <w:color w:val="000000" w:themeColor="text1"/>
          <w:lang w:val="es-ES" w:eastAsia="es-ES"/>
        </w:rPr>
        <w:t>R= Tipo de interés (IBR)</w:t>
      </w:r>
    </w:p>
    <w:p w14:paraId="0964B87A" w14:textId="77777777" w:rsidR="007968EC" w:rsidRPr="00EB14DE" w:rsidRDefault="007968EC" w:rsidP="007968EC">
      <w:pPr>
        <w:autoSpaceDE w:val="0"/>
        <w:autoSpaceDN w:val="0"/>
        <w:adjustRightInd w:val="0"/>
        <w:ind w:left="426"/>
        <w:jc w:val="both"/>
        <w:rPr>
          <w:rFonts w:ascii="Arial Narrow" w:hAnsi="Arial Narrow" w:cs="Calibri"/>
          <w:color w:val="000000" w:themeColor="text1"/>
          <w:lang w:val="es-ES" w:eastAsia="es-ES"/>
        </w:rPr>
      </w:pPr>
      <w:r w:rsidRPr="00EB14DE">
        <w:rPr>
          <w:rFonts w:ascii="Arial Narrow" w:hAnsi="Arial Narrow" w:cs="Arial"/>
          <w:bCs/>
          <w:color w:val="000000" w:themeColor="text1"/>
          <w:lang w:val="es-ES" w:eastAsia="es-ES"/>
        </w:rPr>
        <w:t xml:space="preserve">N(D)= Significa el </w:t>
      </w:r>
      <w:r w:rsidRPr="00EB14DE">
        <w:rPr>
          <w:rFonts w:ascii="Arial Narrow" w:hAnsi="Arial Narrow" w:cs="Calibri"/>
          <w:color w:val="000000" w:themeColor="text1"/>
          <w:lang w:val="es-ES" w:eastAsia="es-ES"/>
        </w:rPr>
        <w:t xml:space="preserve">valor presente del beneficio de ejercer la opción al vencimiento, condicionado a  </w:t>
      </w:r>
      <m:oMath>
        <m:r>
          <m:rPr>
            <m:sty m:val="bi"/>
          </m:rPr>
          <w:rPr>
            <w:rFonts w:ascii="Cambria Math" w:hAnsi="Cambria Math" w:cs="Calibri"/>
            <w:color w:val="000000" w:themeColor="text1"/>
            <w:lang w:val="es-ES" w:eastAsia="es-ES"/>
          </w:rPr>
          <m:t>F&gt;E</m:t>
        </m:r>
      </m:oMath>
      <w:r w:rsidRPr="00EB14DE">
        <w:rPr>
          <w:rFonts w:ascii="Arial Narrow" w:hAnsi="Arial Narrow" w:cs="Calibri"/>
          <w:color w:val="000000" w:themeColor="text1"/>
          <w:lang w:val="es-ES" w:eastAsia="es-ES"/>
        </w:rPr>
        <w:t>.</w:t>
      </w:r>
    </w:p>
    <w:p w14:paraId="7805D943" w14:textId="77777777" w:rsidR="007968EC" w:rsidRPr="00EB14DE" w:rsidRDefault="007968EC" w:rsidP="007968EC">
      <w:pPr>
        <w:autoSpaceDE w:val="0"/>
        <w:autoSpaceDN w:val="0"/>
        <w:adjustRightInd w:val="0"/>
        <w:ind w:left="426"/>
        <w:jc w:val="both"/>
        <w:rPr>
          <w:rFonts w:ascii="Arial Narrow" w:hAnsi="Arial Narrow" w:cs="Arial"/>
          <w:color w:val="000000" w:themeColor="text1"/>
          <w:lang w:val="es-ES" w:eastAsia="es-ES"/>
        </w:rPr>
      </w:pPr>
      <m:oMath>
        <m:r>
          <m:rPr>
            <m:sty m:val="bi"/>
          </m:rPr>
          <w:rPr>
            <w:rFonts w:ascii="Cambria Math" w:hAnsi="Cambria Math" w:cs="Arial"/>
            <w:color w:val="000000" w:themeColor="text1"/>
            <w:lang w:val="es-ES" w:eastAsia="es-ES"/>
          </w:rPr>
          <m:t>N</m:t>
        </m:r>
        <m:d>
          <m:dPr>
            <m:ctrlPr>
              <w:rPr>
                <w:rFonts w:ascii="Cambria Math" w:hAnsi="Cambria Math" w:cs="Arial"/>
                <w:i/>
                <w:color w:val="000000" w:themeColor="text1"/>
                <w:lang w:val="es-ES" w:eastAsia="es-ES"/>
              </w:rPr>
            </m:ctrlPr>
          </m:dPr>
          <m:e>
            <m:r>
              <m:rPr>
                <m:sty m:val="bi"/>
              </m:rPr>
              <w:rPr>
                <w:rFonts w:ascii="Cambria Math" w:hAnsi="Cambria Math" w:cs="Arial"/>
                <w:color w:val="000000" w:themeColor="text1"/>
                <w:lang w:val="es-ES" w:eastAsia="es-ES"/>
              </w:rPr>
              <m:t>D-v</m:t>
            </m:r>
            <m:rad>
              <m:radPr>
                <m:degHide m:val="1"/>
                <m:ctrlPr>
                  <w:rPr>
                    <w:rFonts w:ascii="Cambria Math" w:hAnsi="Cambria Math" w:cs="Arial"/>
                    <w:i/>
                    <w:color w:val="000000" w:themeColor="text1"/>
                    <w:lang w:val="es-ES" w:eastAsia="es-ES"/>
                  </w:rPr>
                </m:ctrlPr>
              </m:radPr>
              <m:deg/>
              <m:e>
                <m:r>
                  <m:rPr>
                    <m:sty m:val="bi"/>
                  </m:rPr>
                  <w:rPr>
                    <w:rFonts w:ascii="Cambria Math" w:hAnsi="Cambria Math" w:cs="Arial"/>
                    <w:color w:val="000000" w:themeColor="text1"/>
                    <w:lang w:val="es-ES" w:eastAsia="es-ES"/>
                  </w:rPr>
                  <m:t>t</m:t>
                </m:r>
              </m:e>
            </m:rad>
          </m:e>
        </m:d>
        <m:r>
          <m:rPr>
            <m:sty m:val="bi"/>
          </m:rPr>
          <w:rPr>
            <w:rFonts w:ascii="Cambria Math" w:hAnsi="Cambria Math" w:cs="Arial"/>
            <w:color w:val="000000" w:themeColor="text1"/>
            <w:lang w:val="es-ES" w:eastAsia="es-ES"/>
          </w:rPr>
          <m:t>=</m:t>
        </m:r>
      </m:oMath>
      <w:r w:rsidRPr="00EB14DE">
        <w:rPr>
          <w:rFonts w:ascii="Arial Narrow" w:hAnsi="Arial Narrow" w:cs="Arial"/>
          <w:color w:val="000000" w:themeColor="text1"/>
          <w:lang w:val="es-ES" w:eastAsia="es-ES"/>
        </w:rPr>
        <w:t xml:space="preserve"> El valor presente de los costos esperados de ejercer la opción, condicionados a que la opción este ITM en el vencimiento. Es decir, la probabilidad que esto suceda.</w:t>
      </w:r>
    </w:p>
    <w:p w14:paraId="136CE158" w14:textId="77777777" w:rsidR="007968EC" w:rsidRPr="00EB14DE" w:rsidRDefault="007968EC" w:rsidP="007968EC">
      <w:pPr>
        <w:ind w:left="426"/>
        <w:jc w:val="both"/>
        <w:rPr>
          <w:rFonts w:ascii="Arial Narrow" w:eastAsia="Calibri" w:hAnsi="Arial Narrow"/>
          <w:bCs/>
          <w:color w:val="000000" w:themeColor="text1"/>
        </w:rPr>
      </w:pPr>
      <w:bookmarkStart w:id="5286" w:name="_Toc490066572"/>
      <w:bookmarkStart w:id="5287" w:name="_Toc490079350"/>
    </w:p>
    <w:p w14:paraId="530DA623" w14:textId="77777777" w:rsidR="007968EC" w:rsidRPr="00EB14DE" w:rsidRDefault="007968EC" w:rsidP="007968EC">
      <w:pPr>
        <w:ind w:left="426"/>
        <w:jc w:val="both"/>
        <w:rPr>
          <w:rFonts w:ascii="Arial Narrow" w:eastAsia="Calibri" w:hAnsi="Arial Narrow"/>
          <w:bCs/>
          <w:color w:val="000000" w:themeColor="text1"/>
        </w:rPr>
      </w:pPr>
      <w:r w:rsidRPr="00EB14DE">
        <w:rPr>
          <w:rFonts w:ascii="Arial Narrow" w:eastAsia="Calibri" w:hAnsi="Arial Narrow"/>
          <w:bCs/>
          <w:color w:val="000000" w:themeColor="text1"/>
        </w:rPr>
        <w:t>Para el cálculo de N(x), la función de Distribución Normal Estándar acumulada, se utiliza la aproximación polinómica de Taylor de grado 3.</w:t>
      </w:r>
      <w:bookmarkEnd w:id="5286"/>
      <w:bookmarkEnd w:id="5287"/>
    </w:p>
    <w:p w14:paraId="4DAB7D42" w14:textId="77777777" w:rsidR="007968EC" w:rsidRPr="00EB14DE" w:rsidRDefault="007968EC" w:rsidP="007968EC">
      <w:pPr>
        <w:jc w:val="both"/>
        <w:rPr>
          <w:rFonts w:ascii="Arial Narrow" w:hAnsi="Arial Narrow" w:cs="Arial"/>
          <w:color w:val="000000" w:themeColor="text1"/>
          <w:lang w:val="es-ES" w:eastAsia="es-ES"/>
        </w:rPr>
      </w:pPr>
    </w:p>
    <w:p w14:paraId="46F12012" w14:textId="77777777" w:rsidR="007968EC" w:rsidRPr="00EB14DE" w:rsidRDefault="007968EC" w:rsidP="00DA7472">
      <w:pPr>
        <w:numPr>
          <w:ilvl w:val="0"/>
          <w:numId w:val="255"/>
        </w:numPr>
        <w:autoSpaceDE w:val="0"/>
        <w:autoSpaceDN w:val="0"/>
        <w:adjustRightInd w:val="0"/>
        <w:ind w:left="426" w:hanging="426"/>
        <w:contextualSpacing/>
        <w:rPr>
          <w:rFonts w:ascii="Arial Narrow" w:hAnsi="Arial Narrow"/>
          <w:color w:val="000000" w:themeColor="text1"/>
          <w:lang w:val="es-ES_tradnl" w:eastAsia="es-CO"/>
        </w:rPr>
      </w:pPr>
      <w:proofErr w:type="gramStart"/>
      <w:r w:rsidRPr="00EB14DE">
        <w:rPr>
          <w:rFonts w:ascii="Arial Narrow" w:hAnsi="Arial Narrow" w:cs="Arial"/>
          <w:color w:val="000000" w:themeColor="text1"/>
          <w:lang w:eastAsia="es-CO"/>
        </w:rPr>
        <w:t>Procedimiento</w:t>
      </w:r>
      <w:r w:rsidRPr="00EB14DE">
        <w:rPr>
          <w:rFonts w:ascii="Arial Narrow" w:hAnsi="Arial Narrow"/>
          <w:color w:val="000000" w:themeColor="text1"/>
          <w:lang w:eastAsia="es-CO"/>
        </w:rPr>
        <w:t xml:space="preserve"> a </w:t>
      </w:r>
      <w:r w:rsidRPr="00EB14DE">
        <w:rPr>
          <w:rFonts w:ascii="Arial Narrow" w:hAnsi="Arial Narrow" w:cs="Arial"/>
          <w:color w:val="000000" w:themeColor="text1"/>
          <w:lang w:eastAsia="es-CO"/>
        </w:rPr>
        <w:t>seguir</w:t>
      </w:r>
      <w:proofErr w:type="gramEnd"/>
      <w:r w:rsidRPr="00EB14DE">
        <w:rPr>
          <w:rFonts w:ascii="Arial Narrow" w:hAnsi="Arial Narrow"/>
          <w:color w:val="000000" w:themeColor="text1"/>
          <w:lang w:eastAsia="es-CO"/>
        </w:rPr>
        <w:t xml:space="preserve"> ante eventos corporativos que afecten la </w:t>
      </w:r>
      <w:r w:rsidRPr="00EB14DE">
        <w:rPr>
          <w:rFonts w:ascii="Arial Narrow" w:hAnsi="Arial Narrow" w:cs="Arial"/>
          <w:bCs/>
          <w:color w:val="000000" w:themeColor="text1"/>
          <w:lang w:eastAsia="es-CO"/>
        </w:rPr>
        <w:t>Op</w:t>
      </w:r>
      <w:r w:rsidRPr="00EB14DE">
        <w:rPr>
          <w:rFonts w:ascii="Arial Narrow" w:hAnsi="Arial Narrow"/>
          <w:color w:val="000000" w:themeColor="text1"/>
          <w:lang w:eastAsia="es-CO"/>
        </w:rPr>
        <w:t>ción sobre la acción Preferencial Aval</w:t>
      </w:r>
    </w:p>
    <w:p w14:paraId="2B683D3D" w14:textId="77777777" w:rsidR="007968EC" w:rsidRPr="00EB14DE" w:rsidRDefault="007968EC" w:rsidP="007968EC">
      <w:pPr>
        <w:autoSpaceDE w:val="0"/>
        <w:autoSpaceDN w:val="0"/>
        <w:adjustRightInd w:val="0"/>
        <w:ind w:left="360"/>
        <w:contextualSpacing/>
        <w:rPr>
          <w:rFonts w:ascii="Arial Narrow" w:hAnsi="Arial Narrow"/>
          <w:color w:val="000000" w:themeColor="text1"/>
          <w:lang w:val="es-ES_tradnl" w:eastAsia="es-ES"/>
        </w:rPr>
      </w:pPr>
    </w:p>
    <w:p w14:paraId="590219D0" w14:textId="77777777" w:rsidR="007968EC" w:rsidRPr="00EB14DE" w:rsidRDefault="007968EC" w:rsidP="007968EC">
      <w:pPr>
        <w:autoSpaceDE w:val="0"/>
        <w:autoSpaceDN w:val="0"/>
        <w:adjustRightInd w:val="0"/>
        <w:ind w:left="360"/>
        <w:contextualSpacing/>
        <w:rPr>
          <w:rFonts w:ascii="Arial Narrow" w:hAnsi="Arial Narrow"/>
          <w:color w:val="000000" w:themeColor="text1"/>
          <w:lang w:val="es-ES_tradnl" w:eastAsia="es-ES"/>
        </w:rPr>
      </w:pPr>
      <w:r w:rsidRPr="00EB14DE">
        <w:rPr>
          <w:rFonts w:ascii="Arial Narrow" w:hAnsi="Arial Narrow"/>
          <w:color w:val="000000" w:themeColor="text1"/>
          <w:lang w:val="es-ES_tradnl" w:eastAsia="es-ES"/>
        </w:rPr>
        <w:t xml:space="preserve">En el caso de </w:t>
      </w:r>
      <w:r w:rsidRPr="00EB14DE">
        <w:rPr>
          <w:rFonts w:ascii="Arial Narrow" w:hAnsi="Arial Narrow" w:cs="Arial"/>
          <w:color w:val="000000" w:themeColor="text1"/>
          <w:lang w:val="es-ES" w:eastAsia="es-ES"/>
        </w:rPr>
        <w:t>cualquier</w:t>
      </w:r>
      <w:r w:rsidRPr="00EB14DE">
        <w:rPr>
          <w:rFonts w:ascii="Arial Narrow" w:hAnsi="Arial Narrow"/>
          <w:color w:val="000000" w:themeColor="text1"/>
          <w:lang w:val="es-ES_tradnl" w:eastAsia="es-ES"/>
        </w:rPr>
        <w:t xml:space="preserve"> evento corporativo la Cámara surtirá el siguiente procedimiento:</w:t>
      </w:r>
    </w:p>
    <w:p w14:paraId="40A5136F" w14:textId="77777777" w:rsidR="007968EC" w:rsidRPr="00EB14DE" w:rsidRDefault="007968EC" w:rsidP="007968EC">
      <w:pPr>
        <w:contextualSpacing/>
        <w:jc w:val="both"/>
        <w:rPr>
          <w:rFonts w:ascii="Arial Narrow" w:hAnsi="Arial Narrow"/>
          <w:color w:val="000000" w:themeColor="text1"/>
          <w:lang w:val="es-ES_tradnl" w:eastAsia="es-ES"/>
        </w:rPr>
      </w:pPr>
    </w:p>
    <w:p w14:paraId="17E75F1F" w14:textId="77777777" w:rsidR="007968EC" w:rsidRPr="00EB14DE" w:rsidRDefault="007968EC" w:rsidP="00DA7472">
      <w:pPr>
        <w:numPr>
          <w:ilvl w:val="0"/>
          <w:numId w:val="256"/>
        </w:numPr>
        <w:contextualSpacing/>
        <w:jc w:val="both"/>
        <w:rPr>
          <w:rFonts w:ascii="Arial Narrow" w:hAnsi="Arial Narrow"/>
          <w:color w:val="000000" w:themeColor="text1"/>
          <w:lang w:eastAsia="es-CO"/>
        </w:rPr>
      </w:pPr>
      <w:r w:rsidRPr="00EB14DE">
        <w:rPr>
          <w:rFonts w:ascii="Arial Narrow" w:hAnsi="Arial Narrow"/>
          <w:color w:val="000000" w:themeColor="text1"/>
          <w:lang w:val="es-ES_tradnl" w:eastAsia="es-CO"/>
        </w:rPr>
        <w:t>BVC informará al mercado y a la Cámara el evento corporativo con todas las características necesarias para hacer los ajustes respectivos en las posiciones de cada uno de los Miembros y Terceros, mínimo con dos (2) días hábiles de anticipación a la ocurrencia del evento.</w:t>
      </w:r>
    </w:p>
    <w:p w14:paraId="2238DAEA" w14:textId="77777777" w:rsidR="007968EC" w:rsidRPr="00EB14DE" w:rsidRDefault="007968EC" w:rsidP="007968EC">
      <w:pPr>
        <w:ind w:left="720"/>
        <w:contextualSpacing/>
        <w:jc w:val="both"/>
        <w:rPr>
          <w:rFonts w:ascii="Arial Narrow" w:hAnsi="Arial Narrow"/>
          <w:color w:val="000000" w:themeColor="text1"/>
          <w:lang w:val="es-ES" w:eastAsia="es-ES"/>
        </w:rPr>
      </w:pPr>
    </w:p>
    <w:p w14:paraId="7A3314C0" w14:textId="77777777" w:rsidR="007968EC" w:rsidRPr="00EB14DE" w:rsidRDefault="007968EC" w:rsidP="007968EC">
      <w:pPr>
        <w:ind w:left="720"/>
        <w:contextualSpacing/>
        <w:jc w:val="both"/>
        <w:rPr>
          <w:rFonts w:ascii="Arial Narrow" w:hAnsi="Arial Narrow"/>
          <w:color w:val="000000" w:themeColor="text1"/>
          <w:lang w:val="es-ES_tradnl" w:eastAsia="es-ES"/>
        </w:rPr>
      </w:pPr>
      <w:r w:rsidRPr="00EB14DE">
        <w:rPr>
          <w:rFonts w:ascii="Arial Narrow" w:hAnsi="Arial Narrow"/>
          <w:color w:val="000000" w:themeColor="text1"/>
          <w:lang w:val="es-ES_tradnl" w:eastAsia="es-ES"/>
        </w:rPr>
        <w:lastRenderedPageBreak/>
        <w:t>Las características mínimas que informará la BVC son: la fecha de materialización del evento, factor de conversión entre la acción antes del evento y la acción después del evento, tamaño del contrato antes y después del evento, precio del contrato antes y después del evento, el número de decimales que implica el ajuste de las posiciones y cualquier otra característica necesaria para que el titular de Cuenta y la Cámara puedan evaluar su impacto.</w:t>
      </w:r>
    </w:p>
    <w:p w14:paraId="14B01079" w14:textId="77777777" w:rsidR="007968EC" w:rsidRPr="00EB14DE" w:rsidRDefault="007968EC" w:rsidP="007968EC">
      <w:pPr>
        <w:contextualSpacing/>
        <w:jc w:val="both"/>
        <w:rPr>
          <w:rFonts w:ascii="Arial Narrow" w:hAnsi="Arial Narrow"/>
          <w:color w:val="000000" w:themeColor="text1"/>
          <w:lang w:val="es-ES_tradnl" w:eastAsia="es-ES"/>
        </w:rPr>
      </w:pPr>
    </w:p>
    <w:p w14:paraId="4174BC36" w14:textId="77777777" w:rsidR="007968EC" w:rsidRPr="00EB14DE" w:rsidRDefault="007968EC" w:rsidP="00DA7472">
      <w:pPr>
        <w:numPr>
          <w:ilvl w:val="0"/>
          <w:numId w:val="256"/>
        </w:numPr>
        <w:contextualSpacing/>
        <w:jc w:val="both"/>
        <w:rPr>
          <w:rFonts w:ascii="Arial Narrow" w:hAnsi="Arial Narrow"/>
          <w:color w:val="000000" w:themeColor="text1"/>
          <w:lang w:val="es-ES_tradnl" w:eastAsia="es-CO"/>
        </w:rPr>
      </w:pPr>
      <w:r w:rsidRPr="00EB14DE">
        <w:rPr>
          <w:rFonts w:ascii="Arial Narrow" w:hAnsi="Arial Narrow"/>
          <w:color w:val="000000" w:themeColor="text1"/>
          <w:lang w:val="es-ES_tradnl" w:eastAsia="es-CO"/>
        </w:rPr>
        <w:t xml:space="preserve">En caso de no conocerse el evento con dos (2) días hábiles de anticipación, la Cámara podrá solicitar a la BVC que la negociación del Contrato de Opciones sobre Acciones de </w:t>
      </w:r>
      <w:r w:rsidRPr="00EB14DE">
        <w:rPr>
          <w:rFonts w:ascii="Arial Narrow" w:hAnsi="Arial Narrow"/>
          <w:color w:val="000000" w:themeColor="text1"/>
          <w:lang w:eastAsia="es-CO"/>
        </w:rPr>
        <w:t>Preferencial Aval</w:t>
      </w:r>
      <w:r w:rsidRPr="00EB14DE">
        <w:rPr>
          <w:rFonts w:ascii="Arial Narrow" w:hAnsi="Arial Narrow"/>
          <w:color w:val="000000" w:themeColor="text1"/>
          <w:lang w:val="es-ES_tradnl" w:eastAsia="es-CO"/>
        </w:rPr>
        <w:t xml:space="preserve"> sea suspendida temporalmente hasta por dos (2) días hábiles con el propósito de adoptar las medidas necesarias de ajuste de las posiciones en relación con el impacto del evento corporativo. </w:t>
      </w:r>
    </w:p>
    <w:p w14:paraId="36653DAF" w14:textId="77777777" w:rsidR="007968EC" w:rsidRPr="00EB14DE" w:rsidRDefault="007968EC" w:rsidP="007968EC">
      <w:pPr>
        <w:ind w:left="720"/>
        <w:contextualSpacing/>
        <w:jc w:val="both"/>
        <w:rPr>
          <w:rFonts w:ascii="Arial Narrow" w:hAnsi="Arial Narrow"/>
          <w:color w:val="000000" w:themeColor="text1"/>
          <w:lang w:val="es-ES" w:eastAsia="es-ES"/>
        </w:rPr>
      </w:pPr>
    </w:p>
    <w:p w14:paraId="64FC22C9" w14:textId="77777777" w:rsidR="007968EC" w:rsidRPr="00EB14DE" w:rsidRDefault="007968EC" w:rsidP="00DA7472">
      <w:pPr>
        <w:numPr>
          <w:ilvl w:val="0"/>
          <w:numId w:val="256"/>
        </w:numPr>
        <w:contextualSpacing/>
        <w:jc w:val="both"/>
        <w:rPr>
          <w:rFonts w:ascii="Arial Narrow" w:hAnsi="Arial Narrow"/>
          <w:color w:val="000000" w:themeColor="text1"/>
          <w:lang w:val="es-ES_tradnl" w:eastAsia="es-ES"/>
        </w:rPr>
      </w:pPr>
      <w:r w:rsidRPr="00EB14DE">
        <w:rPr>
          <w:rFonts w:ascii="Arial Narrow" w:hAnsi="Arial Narrow"/>
          <w:color w:val="000000" w:themeColor="text1"/>
          <w:lang w:val="es-ES_tradnl" w:eastAsia="es-ES"/>
        </w:rPr>
        <w:t>La Cámara y la BVC coordinarán las gestiones operativas que deban desarrollar para resolver los eventos corporativos incluyendo la creación de nuevos nemotécnicos, la realización de operaciones y el truncamiento o la aproximación de los parámetros de negociación resultantes del evento corporativo, entre otras medidas operativas que se estimen necesarias.</w:t>
      </w:r>
    </w:p>
    <w:p w14:paraId="37CF6C69" w14:textId="77777777" w:rsidR="007968EC" w:rsidRPr="00EB14DE" w:rsidRDefault="007968EC" w:rsidP="007968EC">
      <w:pPr>
        <w:contextualSpacing/>
        <w:jc w:val="both"/>
        <w:rPr>
          <w:rFonts w:ascii="Arial Narrow" w:hAnsi="Arial Narrow"/>
          <w:color w:val="000000" w:themeColor="text1"/>
          <w:lang w:val="es-ES_tradnl" w:eastAsia="es-ES"/>
        </w:rPr>
      </w:pPr>
    </w:p>
    <w:p w14:paraId="2B7EC77F" w14:textId="77777777" w:rsidR="007968EC" w:rsidRPr="00EB14DE" w:rsidRDefault="007968EC" w:rsidP="00DA7472">
      <w:pPr>
        <w:numPr>
          <w:ilvl w:val="0"/>
          <w:numId w:val="256"/>
        </w:numPr>
        <w:contextualSpacing/>
        <w:jc w:val="both"/>
        <w:rPr>
          <w:rFonts w:ascii="Arial Narrow" w:hAnsi="Arial Narrow"/>
          <w:color w:val="000000" w:themeColor="text1"/>
          <w:lang w:val="es-ES" w:eastAsia="es-ES"/>
        </w:rPr>
      </w:pPr>
      <w:r w:rsidRPr="00EB14DE">
        <w:rPr>
          <w:rFonts w:ascii="Arial Narrow" w:hAnsi="Arial Narrow"/>
          <w:color w:val="000000" w:themeColor="text1"/>
          <w:lang w:val="es-ES" w:eastAsia="es-ES"/>
        </w:rPr>
        <w:t>La Cámara procederá a efectuar las gestiones operativas previamente coordinadas con la BVC con el fin de ajustar la posición de l</w:t>
      </w:r>
      <w:r w:rsidRPr="00EB14DE">
        <w:rPr>
          <w:rFonts w:ascii="Arial Narrow" w:hAnsi="Arial Narrow"/>
          <w:color w:val="000000" w:themeColor="text1"/>
          <w:lang w:val="es-ES_tradnl" w:eastAsia="es-ES"/>
        </w:rPr>
        <w:t xml:space="preserve">os Contratos de Opciones sobre Acciones de </w:t>
      </w:r>
      <w:r w:rsidRPr="00EB14DE">
        <w:rPr>
          <w:rFonts w:ascii="Arial Narrow" w:hAnsi="Arial Narrow"/>
          <w:color w:val="000000" w:themeColor="text1"/>
          <w:lang w:val="es-ES" w:eastAsia="es-ES"/>
        </w:rPr>
        <w:t xml:space="preserve">Preferencial Aval </w:t>
      </w:r>
      <w:r w:rsidRPr="00EB14DE">
        <w:rPr>
          <w:rFonts w:ascii="Arial Narrow" w:hAnsi="Arial Narrow"/>
          <w:color w:val="000000" w:themeColor="text1"/>
          <w:lang w:val="es-ES_tradnl" w:eastAsia="es-ES"/>
        </w:rPr>
        <w:t>de cada uno de los Miembros y de los Terceros,</w:t>
      </w:r>
      <w:r w:rsidRPr="00EB14DE">
        <w:rPr>
          <w:rFonts w:ascii="Arial Narrow" w:hAnsi="Arial Narrow"/>
          <w:color w:val="000000" w:themeColor="text1"/>
          <w:lang w:val="es-ES" w:eastAsia="es-ES"/>
        </w:rPr>
        <w:t xml:space="preserve"> </w:t>
      </w:r>
      <w:r w:rsidRPr="00EB14DE">
        <w:rPr>
          <w:rFonts w:ascii="Arial Narrow" w:hAnsi="Arial Narrow"/>
          <w:color w:val="000000" w:themeColor="text1"/>
          <w:lang w:val="es-ES_tradnl" w:eastAsia="es-ES"/>
        </w:rPr>
        <w:t>como consecuencia del evento corporativo</w:t>
      </w:r>
      <w:r w:rsidRPr="00EB14DE">
        <w:rPr>
          <w:rFonts w:ascii="Arial Narrow" w:hAnsi="Arial Narrow"/>
          <w:color w:val="000000" w:themeColor="text1"/>
          <w:lang w:val="es-ES" w:eastAsia="es-ES"/>
        </w:rPr>
        <w:t>.</w:t>
      </w:r>
    </w:p>
    <w:p w14:paraId="39B81453" w14:textId="77777777" w:rsidR="007968EC" w:rsidRPr="00EB14DE" w:rsidRDefault="007968EC" w:rsidP="007968EC">
      <w:pPr>
        <w:contextualSpacing/>
        <w:jc w:val="both"/>
        <w:rPr>
          <w:rFonts w:ascii="Arial Narrow" w:hAnsi="Arial Narrow"/>
          <w:color w:val="000000" w:themeColor="text1"/>
          <w:lang w:val="es-ES" w:eastAsia="es-ES"/>
        </w:rPr>
      </w:pPr>
    </w:p>
    <w:p w14:paraId="65F08F0A" w14:textId="77777777" w:rsidR="007968EC" w:rsidRPr="00EB14DE" w:rsidRDefault="007968EC" w:rsidP="00DA7472">
      <w:pPr>
        <w:numPr>
          <w:ilvl w:val="0"/>
          <w:numId w:val="256"/>
        </w:numPr>
        <w:contextualSpacing/>
        <w:jc w:val="both"/>
        <w:rPr>
          <w:rFonts w:ascii="Arial Narrow" w:hAnsi="Arial Narrow"/>
          <w:color w:val="000000" w:themeColor="text1"/>
          <w:lang w:val="es-ES" w:eastAsia="es-ES"/>
        </w:rPr>
      </w:pPr>
      <w:r w:rsidRPr="00EB14DE">
        <w:rPr>
          <w:rFonts w:ascii="Arial Narrow" w:hAnsi="Arial Narrow"/>
          <w:color w:val="000000" w:themeColor="text1"/>
          <w:lang w:val="es-ES_tradnl" w:eastAsia="es-ES"/>
        </w:rPr>
        <w:t xml:space="preserve">La Cámara temporalmente tendrá publicado en el Sistema dos nemotécnicos, la BVC informará con suficiente anticipación al mercado el nemotécnico que será negociable, al igual que las fechas en que será suspendido el nemotécnico que dejará de ser negociado. </w:t>
      </w:r>
    </w:p>
    <w:p w14:paraId="58AC5922" w14:textId="77777777" w:rsidR="007968EC" w:rsidRPr="00EB14DE" w:rsidRDefault="007968EC" w:rsidP="007968EC">
      <w:pPr>
        <w:contextualSpacing/>
        <w:jc w:val="both"/>
        <w:rPr>
          <w:rFonts w:ascii="Arial Narrow" w:hAnsi="Arial Narrow"/>
          <w:color w:val="000000" w:themeColor="text1"/>
          <w:lang w:val="es-ES" w:eastAsia="es-ES"/>
        </w:rPr>
      </w:pPr>
    </w:p>
    <w:p w14:paraId="66E459C5" w14:textId="77777777" w:rsidR="007968EC" w:rsidRPr="00EB14DE" w:rsidRDefault="007968EC" w:rsidP="00DA7472">
      <w:pPr>
        <w:numPr>
          <w:ilvl w:val="0"/>
          <w:numId w:val="256"/>
        </w:numPr>
        <w:contextualSpacing/>
        <w:jc w:val="both"/>
        <w:rPr>
          <w:rFonts w:ascii="Arial Narrow" w:hAnsi="Arial Narrow"/>
          <w:color w:val="000000" w:themeColor="text1"/>
          <w:lang w:val="es-ES_tradnl" w:eastAsia="es-ES"/>
        </w:rPr>
      </w:pPr>
      <w:r w:rsidRPr="00EB14DE">
        <w:rPr>
          <w:rFonts w:ascii="Arial Narrow" w:hAnsi="Arial Narrow"/>
          <w:color w:val="000000" w:themeColor="text1"/>
          <w:lang w:val="es-ES_tradnl" w:eastAsia="es-ES"/>
        </w:rPr>
        <w:t xml:space="preserve">La Cámara anunciará a los Miembros Liquidadores el resultado de sus posiciones y de las de sus Terceros y Miembros no Liquidadores y de las de los Terceros de éstos, después de realizar los ajustes que ocasiona el evento corporativo, previo al inicio de la negociación de los Contratos de Opciones sobre la acción de </w:t>
      </w:r>
      <w:r w:rsidRPr="00EB14DE">
        <w:rPr>
          <w:rFonts w:ascii="Arial Narrow" w:hAnsi="Arial Narrow"/>
          <w:color w:val="000000" w:themeColor="text1"/>
          <w:lang w:val="es-ES" w:eastAsia="es-ES"/>
        </w:rPr>
        <w:t>Preferencial Aval</w:t>
      </w:r>
      <w:r w:rsidRPr="00EB14DE">
        <w:rPr>
          <w:rFonts w:ascii="Arial Narrow" w:hAnsi="Arial Narrow"/>
          <w:color w:val="000000" w:themeColor="text1"/>
          <w:lang w:val="es-ES_tradnl" w:eastAsia="es-ES"/>
        </w:rPr>
        <w:t xml:space="preserve"> ajustados por el evento corporativo.</w:t>
      </w:r>
    </w:p>
    <w:p w14:paraId="6154D466" w14:textId="77777777" w:rsidR="007968EC" w:rsidRPr="00EB14DE" w:rsidRDefault="007968EC" w:rsidP="007968EC">
      <w:pPr>
        <w:ind w:left="720"/>
        <w:contextualSpacing/>
        <w:rPr>
          <w:rFonts w:ascii="Arial Narrow" w:hAnsi="Arial Narrow"/>
          <w:color w:val="000000" w:themeColor="text1"/>
          <w:lang w:val="es-ES_tradnl" w:eastAsia="es-ES"/>
        </w:rPr>
      </w:pPr>
    </w:p>
    <w:p w14:paraId="0E65343C" w14:textId="77777777" w:rsidR="007968EC" w:rsidRPr="00EB14DE" w:rsidRDefault="007968EC" w:rsidP="00DA7472">
      <w:pPr>
        <w:numPr>
          <w:ilvl w:val="0"/>
          <w:numId w:val="255"/>
        </w:numPr>
        <w:autoSpaceDE w:val="0"/>
        <w:autoSpaceDN w:val="0"/>
        <w:adjustRightInd w:val="0"/>
        <w:ind w:left="426" w:hanging="426"/>
        <w:contextualSpacing/>
        <w:jc w:val="both"/>
        <w:rPr>
          <w:rFonts w:ascii="Arial Narrow" w:hAnsi="Arial Narrow"/>
          <w:bCs/>
          <w:color w:val="000000" w:themeColor="text1"/>
          <w:lang w:eastAsia="es-CO"/>
        </w:rPr>
      </w:pPr>
      <w:r w:rsidRPr="00EB14DE">
        <w:rPr>
          <w:rFonts w:ascii="Arial Narrow" w:hAnsi="Arial Narrow"/>
          <w:bCs/>
          <w:color w:val="000000" w:themeColor="text1"/>
          <w:lang w:val="es-ES_tradnl" w:eastAsia="es-CO"/>
        </w:rPr>
        <w:t>Activos recibidos en garantía: Se</w:t>
      </w:r>
      <w:r w:rsidRPr="00EB14DE">
        <w:rPr>
          <w:rFonts w:ascii="Arial Narrow" w:hAnsi="Arial Narrow"/>
          <w:bCs/>
          <w:color w:val="000000" w:themeColor="text1"/>
          <w:lang w:eastAsia="es-CO"/>
        </w:rPr>
        <w:t xml:space="preserve"> podrán constituir como Garantía por posición para garantizar </w:t>
      </w:r>
      <w:r w:rsidRPr="00EB14DE">
        <w:rPr>
          <w:rFonts w:ascii="Arial Narrow" w:hAnsi="Arial Narrow"/>
          <w:color w:val="000000" w:themeColor="text1"/>
          <w:lang w:eastAsia="es-CO"/>
        </w:rPr>
        <w:t>Posiciones</w:t>
      </w:r>
      <w:r w:rsidRPr="00EB14DE">
        <w:rPr>
          <w:rFonts w:ascii="Arial Narrow" w:hAnsi="Arial Narrow"/>
          <w:bCs/>
          <w:color w:val="000000" w:themeColor="text1"/>
          <w:lang w:eastAsia="es-CO"/>
        </w:rPr>
        <w:t xml:space="preserve"> Abiertas en el Contrato de </w:t>
      </w:r>
      <w:r w:rsidRPr="00EB14DE">
        <w:rPr>
          <w:rFonts w:ascii="Arial Narrow" w:hAnsi="Arial Narrow"/>
          <w:color w:val="000000" w:themeColor="text1"/>
          <w:lang w:val="es-ES_tradnl" w:eastAsia="es-CO"/>
        </w:rPr>
        <w:t xml:space="preserve">Opciones </w:t>
      </w:r>
      <w:r w:rsidRPr="00EB14DE">
        <w:rPr>
          <w:rFonts w:ascii="Arial Narrow" w:hAnsi="Arial Narrow"/>
          <w:bCs/>
          <w:color w:val="000000" w:themeColor="text1"/>
          <w:lang w:eastAsia="es-CO"/>
        </w:rPr>
        <w:t xml:space="preserve">sobre la acción de </w:t>
      </w:r>
      <w:r w:rsidRPr="00EB14DE">
        <w:rPr>
          <w:rFonts w:ascii="Arial Narrow" w:hAnsi="Arial Narrow"/>
          <w:color w:val="000000" w:themeColor="text1"/>
          <w:lang w:eastAsia="es-CO"/>
        </w:rPr>
        <w:t>Preferencial Aval</w:t>
      </w:r>
      <w:r w:rsidRPr="00EB14DE">
        <w:rPr>
          <w:rFonts w:ascii="Arial Narrow" w:hAnsi="Arial Narrow"/>
          <w:bCs/>
          <w:color w:val="000000" w:themeColor="text1"/>
          <w:lang w:eastAsia="es-CO"/>
        </w:rPr>
        <w:t>, acciones que sean Activo Subyacente de un Contrato de Derivado cuyas operaciones sean susceptibles de ser Aceptadas por la Cámara.</w:t>
      </w:r>
    </w:p>
    <w:p w14:paraId="5B9199D8" w14:textId="77777777" w:rsidR="007968EC" w:rsidRPr="00EB14DE" w:rsidRDefault="007968EC" w:rsidP="007968EC">
      <w:pPr>
        <w:autoSpaceDE w:val="0"/>
        <w:autoSpaceDN w:val="0"/>
        <w:adjustRightInd w:val="0"/>
        <w:ind w:left="426"/>
        <w:contextualSpacing/>
        <w:jc w:val="both"/>
        <w:rPr>
          <w:rFonts w:ascii="Arial Narrow" w:hAnsi="Arial Narrow"/>
          <w:bCs/>
          <w:color w:val="000000" w:themeColor="text1"/>
          <w:lang w:eastAsia="es-CO"/>
        </w:rPr>
      </w:pPr>
    </w:p>
    <w:p w14:paraId="7BC7C836" w14:textId="77777777" w:rsidR="007968EC" w:rsidRPr="00EB14DE" w:rsidRDefault="007968EC" w:rsidP="007968EC">
      <w:pPr>
        <w:autoSpaceDE w:val="0"/>
        <w:autoSpaceDN w:val="0"/>
        <w:adjustRightInd w:val="0"/>
        <w:ind w:left="426"/>
        <w:contextualSpacing/>
        <w:jc w:val="both"/>
        <w:rPr>
          <w:rFonts w:ascii="Arial Narrow" w:hAnsi="Arial Narrow"/>
          <w:bCs/>
          <w:color w:val="000000" w:themeColor="text1"/>
          <w:lang w:eastAsia="es-CO"/>
        </w:rPr>
      </w:pPr>
      <w:r w:rsidRPr="00EB14DE">
        <w:rPr>
          <w:rFonts w:ascii="Arial Narrow" w:hAnsi="Arial Narrow"/>
          <w:bCs/>
          <w:color w:val="000000" w:themeColor="text1"/>
          <w:lang w:val="es-ES" w:eastAsia="es-ES"/>
        </w:rPr>
        <w:t xml:space="preserve">Para que las acciones depositadas en la Cámara como Garantía por Posición de una Posición Abierta en Contratos de </w:t>
      </w:r>
      <w:r w:rsidRPr="00EB14DE">
        <w:rPr>
          <w:rFonts w:ascii="Arial Narrow" w:hAnsi="Arial Narrow"/>
          <w:color w:val="000000" w:themeColor="text1"/>
          <w:lang w:val="es-ES_tradnl" w:eastAsia="es-ES"/>
        </w:rPr>
        <w:t xml:space="preserve">Opciones </w:t>
      </w:r>
      <w:r w:rsidRPr="00EB14DE">
        <w:rPr>
          <w:rFonts w:ascii="Arial Narrow" w:hAnsi="Arial Narrow"/>
          <w:bCs/>
          <w:color w:val="000000" w:themeColor="text1"/>
          <w:lang w:val="es-ES" w:eastAsia="es-ES"/>
        </w:rPr>
        <w:t xml:space="preserve">sobre acciones de </w:t>
      </w:r>
      <w:r w:rsidRPr="00EB14DE">
        <w:rPr>
          <w:rFonts w:ascii="Arial Narrow" w:hAnsi="Arial Narrow"/>
          <w:color w:val="000000" w:themeColor="text1"/>
          <w:lang w:val="es-ES" w:eastAsia="es-ES"/>
        </w:rPr>
        <w:t>Preferencial Aval</w:t>
      </w:r>
      <w:r w:rsidRPr="00EB14DE">
        <w:rPr>
          <w:rFonts w:ascii="Arial Narrow" w:hAnsi="Arial Narrow"/>
          <w:bCs/>
          <w:color w:val="000000" w:themeColor="text1"/>
          <w:lang w:val="es-ES" w:eastAsia="es-ES"/>
        </w:rPr>
        <w:t xml:space="preserve"> computen para el cálculo del Riesgo por Operativa Diaria Cliente/Titular, el titular de la Cuenta deberá cumplir con los siguientes requisitos:</w:t>
      </w:r>
    </w:p>
    <w:p w14:paraId="3A58AA2A" w14:textId="77777777" w:rsidR="007968EC" w:rsidRPr="00EB14DE" w:rsidRDefault="007968EC" w:rsidP="007968EC">
      <w:pPr>
        <w:autoSpaceDE w:val="0"/>
        <w:autoSpaceDN w:val="0"/>
        <w:ind w:left="708" w:hanging="708"/>
        <w:jc w:val="both"/>
        <w:rPr>
          <w:rFonts w:ascii="Arial Narrow" w:hAnsi="Arial Narrow"/>
          <w:bCs/>
          <w:color w:val="000000" w:themeColor="text1"/>
          <w:lang w:val="es-ES" w:eastAsia="es-ES"/>
        </w:rPr>
      </w:pPr>
    </w:p>
    <w:p w14:paraId="7684F27C" w14:textId="77777777" w:rsidR="007968EC" w:rsidRPr="00EB14DE" w:rsidRDefault="007968EC" w:rsidP="00DA7472">
      <w:pPr>
        <w:numPr>
          <w:ilvl w:val="0"/>
          <w:numId w:val="307"/>
        </w:numPr>
        <w:contextualSpacing/>
        <w:jc w:val="both"/>
        <w:rPr>
          <w:rFonts w:ascii="Arial Narrow" w:hAnsi="Arial Narrow"/>
          <w:color w:val="000000" w:themeColor="text1"/>
          <w:lang w:val="es-ES_tradnl" w:eastAsia="es-ES"/>
        </w:rPr>
      </w:pPr>
      <w:r w:rsidRPr="00EB14DE">
        <w:rPr>
          <w:rFonts w:ascii="Arial Narrow" w:hAnsi="Arial Narrow"/>
          <w:color w:val="000000" w:themeColor="text1"/>
          <w:lang w:val="es-ES_tradnl" w:eastAsia="es-ES"/>
        </w:rPr>
        <w:t xml:space="preserve">La cuenta cuyas Posiciones Abiertas pretendan garantizarse deberá destinarse exclusivamente al registro de operaciones de Contratos de Futuro sobre Acciones del Índice COLCAP con Liquidación por Diferencias, de Contratos de Futuro sobre Acciones del Índice COLCAP con Liquidación por Entrega, Contratos de Opciones sobre acciones, </w:t>
      </w:r>
      <w:r w:rsidRPr="00EB14DE">
        <w:rPr>
          <w:rFonts w:ascii="Arial Narrow" w:hAnsi="Arial Narrow"/>
          <w:bCs/>
          <w:color w:val="000000" w:themeColor="text1"/>
          <w:lang w:eastAsia="es-CO"/>
        </w:rPr>
        <w:t>Contratos de Futuros Índice Accionario COLCAP y/o Mini Contrato de Futuro Índice Accionario COLCAP.</w:t>
      </w:r>
    </w:p>
    <w:p w14:paraId="65576818" w14:textId="77777777" w:rsidR="007968EC" w:rsidRPr="00EB14DE" w:rsidRDefault="007968EC" w:rsidP="007968EC">
      <w:pPr>
        <w:autoSpaceDE w:val="0"/>
        <w:autoSpaceDN w:val="0"/>
        <w:ind w:left="1065"/>
        <w:jc w:val="both"/>
        <w:rPr>
          <w:rFonts w:ascii="Arial Narrow" w:hAnsi="Arial Narrow"/>
          <w:bCs/>
          <w:color w:val="000000" w:themeColor="text1"/>
          <w:lang w:val="es-ES" w:eastAsia="es-ES"/>
        </w:rPr>
      </w:pPr>
    </w:p>
    <w:p w14:paraId="65415408" w14:textId="77777777" w:rsidR="007968EC" w:rsidRPr="00EB14DE" w:rsidRDefault="007968EC" w:rsidP="00DA7472">
      <w:pPr>
        <w:numPr>
          <w:ilvl w:val="0"/>
          <w:numId w:val="307"/>
        </w:numPr>
        <w:contextualSpacing/>
        <w:jc w:val="both"/>
        <w:rPr>
          <w:rFonts w:ascii="Arial Narrow" w:hAnsi="Arial Narrow"/>
          <w:color w:val="000000" w:themeColor="text1"/>
          <w:lang w:val="es-ES_tradnl" w:eastAsia="es-ES"/>
        </w:rPr>
      </w:pPr>
      <w:r w:rsidRPr="00EB14DE">
        <w:rPr>
          <w:rFonts w:ascii="Arial Narrow" w:hAnsi="Arial Narrow"/>
          <w:color w:val="000000" w:themeColor="text1"/>
          <w:lang w:val="es-ES_tradnl" w:eastAsia="es-ES"/>
        </w:rPr>
        <w:t xml:space="preserve">El Administrador del Miembro deberá informar a través del SAS que la Cuenta se destinará al registro exclusivo de Contratos de Futuro sobre Acciones del Índice COLCAP con Liquidación por Diferencias, de Contratos de Futuro sobre Acciones del Índice COLCAP con Liquidación por Entrega, Contratos de Opciones sobre acciones,  </w:t>
      </w:r>
      <w:r w:rsidRPr="00EB14DE">
        <w:rPr>
          <w:rFonts w:ascii="Arial Narrow" w:hAnsi="Arial Narrow"/>
          <w:bCs/>
          <w:color w:val="000000" w:themeColor="text1"/>
          <w:lang w:eastAsia="es-CO"/>
        </w:rPr>
        <w:t>Contratos de Futuros Índice Accionario COLCAP y/o Mini Contrato de Futuro Índice Accionario COLCAP.</w:t>
      </w:r>
    </w:p>
    <w:p w14:paraId="1641A5A7" w14:textId="77777777" w:rsidR="007968EC" w:rsidRPr="00EB14DE" w:rsidRDefault="007968EC" w:rsidP="007968EC">
      <w:pPr>
        <w:ind w:left="708"/>
        <w:jc w:val="both"/>
        <w:rPr>
          <w:rFonts w:ascii="Arial Narrow" w:hAnsi="Arial Narrow"/>
          <w:bCs/>
          <w:color w:val="000000" w:themeColor="text1"/>
          <w:lang w:val="es-ES" w:eastAsia="es-CO"/>
        </w:rPr>
      </w:pPr>
    </w:p>
    <w:p w14:paraId="6F7CBCF9" w14:textId="77777777" w:rsidR="007968EC" w:rsidRPr="00EB14DE" w:rsidRDefault="007968EC" w:rsidP="00DA7472">
      <w:pPr>
        <w:numPr>
          <w:ilvl w:val="0"/>
          <w:numId w:val="307"/>
        </w:numPr>
        <w:contextualSpacing/>
        <w:jc w:val="both"/>
        <w:rPr>
          <w:rFonts w:ascii="Arial Narrow" w:hAnsi="Arial Narrow"/>
          <w:color w:val="000000" w:themeColor="text1"/>
          <w:lang w:val="es-ES_tradnl" w:eastAsia="es-ES"/>
        </w:rPr>
      </w:pPr>
      <w:r w:rsidRPr="00EB14DE">
        <w:rPr>
          <w:rFonts w:ascii="Arial Narrow" w:hAnsi="Arial Narrow"/>
          <w:color w:val="000000" w:themeColor="text1"/>
          <w:lang w:val="es-ES_tradnl" w:eastAsia="es-ES"/>
        </w:rPr>
        <w:t>El límite máximo de Garantías por Posición a constituir en acciones para cubrir los requerimientos de Garantías por Posición de la respectiva Cuenta calculado por la Cámara será aquel que represente el 30% del promedio diario del valor negociado en el mercado de contado de la acción correspondiente durante el mes inmediatamente anterior.</w:t>
      </w:r>
    </w:p>
    <w:p w14:paraId="1F6A9D56" w14:textId="77777777" w:rsidR="007968EC" w:rsidRPr="00EB14DE" w:rsidRDefault="007968EC" w:rsidP="007968EC">
      <w:pPr>
        <w:ind w:left="708"/>
        <w:rPr>
          <w:rFonts w:ascii="Arial Narrow" w:hAnsi="Arial Narrow"/>
          <w:b/>
          <w:bCs/>
          <w:color w:val="000000" w:themeColor="text1"/>
          <w:lang w:val="es-ES" w:eastAsia="es-ES"/>
        </w:rPr>
      </w:pPr>
    </w:p>
    <w:p w14:paraId="5822AFE7" w14:textId="77777777" w:rsidR="007968EC" w:rsidRPr="00EB14DE" w:rsidRDefault="007968EC" w:rsidP="007968EC">
      <w:pPr>
        <w:ind w:left="720"/>
        <w:contextualSpacing/>
        <w:jc w:val="both"/>
        <w:rPr>
          <w:rFonts w:ascii="Arial Narrow" w:hAnsi="Arial Narrow"/>
          <w:color w:val="000000" w:themeColor="text1"/>
          <w:lang w:val="es-ES_tradnl" w:eastAsia="es-ES"/>
        </w:rPr>
      </w:pPr>
      <w:r w:rsidRPr="00EB14DE">
        <w:rPr>
          <w:rFonts w:ascii="Arial Narrow" w:hAnsi="Arial Narrow"/>
          <w:bCs/>
          <w:color w:val="000000" w:themeColor="text1"/>
          <w:lang w:val="es-ES" w:eastAsia="es-ES"/>
        </w:rPr>
        <w:t>El cálculo del límite se hará frente a la sumatoria de las acciones constituidas como Garantías por Posición de todas las Cuentas de la estructura de Cuentas de un Miembro Liquidador</w:t>
      </w:r>
      <w:r w:rsidRPr="00EB14DE">
        <w:rPr>
          <w:rFonts w:ascii="Arial Narrow" w:eastAsia="Calibri" w:hAnsi="Arial Narrow"/>
          <w:bCs/>
          <w:color w:val="000000" w:themeColor="text1"/>
          <w:lang w:eastAsia="es-CO"/>
        </w:rPr>
        <w:t xml:space="preserve"> en </w:t>
      </w:r>
      <w:r w:rsidRPr="00EB14DE">
        <w:rPr>
          <w:rFonts w:ascii="Arial Narrow" w:eastAsia="Calibri" w:hAnsi="Arial Narrow"/>
          <w:bCs/>
          <w:color w:val="000000" w:themeColor="text1"/>
        </w:rPr>
        <w:t>el presente Segmento.</w:t>
      </w:r>
      <w:r w:rsidRPr="00EB14DE">
        <w:rPr>
          <w:rFonts w:ascii="Arial Narrow" w:hAnsi="Arial Narrow"/>
          <w:bCs/>
          <w:color w:val="000000" w:themeColor="text1"/>
          <w:lang w:val="es-ES" w:eastAsia="es-ES"/>
        </w:rPr>
        <w:t xml:space="preserve">  </w:t>
      </w:r>
    </w:p>
    <w:p w14:paraId="45C30B95" w14:textId="77777777" w:rsidR="007968EC" w:rsidRPr="00EB14DE" w:rsidRDefault="007968EC" w:rsidP="007968EC">
      <w:pPr>
        <w:autoSpaceDE w:val="0"/>
        <w:autoSpaceDN w:val="0"/>
        <w:ind w:left="284" w:hanging="284"/>
        <w:jc w:val="both"/>
        <w:rPr>
          <w:rFonts w:ascii="Arial Narrow" w:hAnsi="Arial Narrow"/>
          <w:color w:val="000000" w:themeColor="text1"/>
          <w:lang w:val="es-ES" w:eastAsia="es-ES"/>
        </w:rPr>
      </w:pPr>
    </w:p>
    <w:p w14:paraId="66A024B9" w14:textId="77777777" w:rsidR="007968EC" w:rsidRPr="00EB14DE" w:rsidRDefault="007968EC" w:rsidP="007968EC">
      <w:pPr>
        <w:ind w:left="720"/>
        <w:contextualSpacing/>
        <w:jc w:val="both"/>
        <w:rPr>
          <w:rFonts w:ascii="Arial Narrow" w:hAnsi="Arial Narrow"/>
          <w:bCs/>
          <w:color w:val="000000" w:themeColor="text1"/>
          <w:lang w:val="es-ES" w:eastAsia="es-ES"/>
        </w:rPr>
      </w:pPr>
      <w:r w:rsidRPr="00EB14DE">
        <w:rPr>
          <w:rFonts w:ascii="Arial Narrow" w:hAnsi="Arial Narrow"/>
          <w:bCs/>
          <w:color w:val="000000" w:themeColor="text1"/>
          <w:lang w:val="es-ES" w:eastAsia="es-ES"/>
        </w:rPr>
        <w:t xml:space="preserve">En el evento en que el titular de Cuenta registre operaciones distintas a operaciones de Contratos de Futuro sobre Acciones del Índice COLCAP con Liquidación por Diferencias, de Contratos de Futuro sobre Acciones del Índice COLCAP con Liquidación por Entrega, Contratos de Opciones sobre acciones,  </w:t>
      </w:r>
      <w:r w:rsidRPr="00EB14DE">
        <w:rPr>
          <w:rFonts w:ascii="Arial Narrow" w:hAnsi="Arial Narrow"/>
          <w:bCs/>
          <w:color w:val="000000" w:themeColor="text1"/>
          <w:lang w:eastAsia="es-CO"/>
        </w:rPr>
        <w:t>Contratos de Futuros Índice Accionario COLCAP y/o Mini Contrato de Futuro Índice Accionario COLCAP</w:t>
      </w:r>
      <w:r w:rsidRPr="00EB14DE">
        <w:rPr>
          <w:rFonts w:ascii="Arial Narrow" w:hAnsi="Arial Narrow"/>
          <w:bCs/>
          <w:color w:val="000000" w:themeColor="text1"/>
          <w:lang w:val="es-ES" w:eastAsia="es-ES"/>
        </w:rPr>
        <w:t xml:space="preserve">, las acciones entregadas como garantía sólo computarán para el cálculo de la Garantía por Posición exigida, si antes de finalizar la Sesión de Cierre de Cámara del mismo día en que se registraron dichas Operaciones, el titular de la Cuenta realiza el cierre de tales Posiciones Abiertas, o realiza alguno de los tipos de gestión de Operaciones indicados en la presente Circular. </w:t>
      </w:r>
    </w:p>
    <w:p w14:paraId="28ADC5FE" w14:textId="77777777" w:rsidR="007968EC" w:rsidRPr="00EB14DE" w:rsidRDefault="007968EC" w:rsidP="007968EC">
      <w:pPr>
        <w:ind w:left="720"/>
        <w:contextualSpacing/>
        <w:jc w:val="both"/>
        <w:rPr>
          <w:rFonts w:ascii="Arial Narrow" w:hAnsi="Arial Narrow"/>
          <w:bCs/>
          <w:color w:val="000000" w:themeColor="text1"/>
          <w:lang w:val="es-ES" w:eastAsia="es-ES"/>
        </w:rPr>
      </w:pPr>
    </w:p>
    <w:p w14:paraId="2D91739F" w14:textId="77777777" w:rsidR="007968EC" w:rsidRPr="00EB14DE" w:rsidRDefault="007968EC" w:rsidP="007968EC">
      <w:pPr>
        <w:ind w:left="720"/>
        <w:contextualSpacing/>
        <w:jc w:val="both"/>
        <w:rPr>
          <w:rFonts w:ascii="Arial Narrow" w:hAnsi="Arial Narrow"/>
          <w:bCs/>
          <w:color w:val="000000" w:themeColor="text1"/>
          <w:lang w:val="es-ES" w:eastAsia="es-ES"/>
        </w:rPr>
      </w:pPr>
      <w:r w:rsidRPr="00EB14DE">
        <w:rPr>
          <w:rFonts w:ascii="Arial Narrow" w:hAnsi="Arial Narrow"/>
          <w:bCs/>
          <w:color w:val="000000" w:themeColor="text1"/>
          <w:lang w:val="es-ES" w:eastAsia="es-ES"/>
        </w:rPr>
        <w:t>En caso contrario, el titular de la Cuenta deberá constituir las garantías exigidas en los Activos indicados en los numerales 1 y 2 del artículo1.6.4.1. de la presenta Circular.</w:t>
      </w:r>
    </w:p>
    <w:p w14:paraId="400D6624" w14:textId="77777777" w:rsidR="007968EC" w:rsidRPr="00EB14DE" w:rsidRDefault="007968EC" w:rsidP="007968EC">
      <w:pPr>
        <w:ind w:left="720"/>
        <w:contextualSpacing/>
        <w:jc w:val="both"/>
        <w:rPr>
          <w:rFonts w:ascii="Arial Narrow" w:hAnsi="Arial Narrow"/>
          <w:bCs/>
          <w:color w:val="000000" w:themeColor="text1"/>
          <w:lang w:val="es-ES" w:eastAsia="es-ES"/>
        </w:rPr>
      </w:pPr>
    </w:p>
    <w:p w14:paraId="5D144293" w14:textId="77777777" w:rsidR="007968EC" w:rsidRPr="00EB14DE" w:rsidRDefault="007968EC" w:rsidP="007968EC">
      <w:pPr>
        <w:ind w:left="720"/>
        <w:contextualSpacing/>
        <w:jc w:val="both"/>
        <w:rPr>
          <w:rFonts w:ascii="Arial Narrow" w:hAnsi="Arial Narrow"/>
          <w:bCs/>
          <w:color w:val="000000" w:themeColor="text1"/>
          <w:lang w:val="es-ES" w:eastAsia="es-ES"/>
        </w:rPr>
      </w:pPr>
      <w:r w:rsidRPr="00EB14DE">
        <w:rPr>
          <w:rFonts w:ascii="Arial Narrow" w:hAnsi="Arial Narrow"/>
          <w:bCs/>
          <w:color w:val="000000" w:themeColor="text1"/>
          <w:lang w:val="es-ES" w:eastAsia="es-ES"/>
        </w:rPr>
        <w:t>Igualmente, en el evento en que se exceda el límite máximo de Garantías por Posición a constituir en acciones de conformidad con lo dispuesto en el literal c. anterior, el Miembro Liquidador deberá proceder a la constitución de garantías exigidas en los Activos indicados en los numerales 1 y 2 del artículo 1.6.4.1. de la presente Circular, por la diferencia entre el límite máximo y el valor de la garantía exigida.</w:t>
      </w:r>
    </w:p>
    <w:p w14:paraId="6D4AF6E3" w14:textId="77777777" w:rsidR="007968EC" w:rsidRPr="00EB14DE" w:rsidRDefault="007968EC" w:rsidP="007968EC">
      <w:pPr>
        <w:ind w:left="720"/>
        <w:contextualSpacing/>
        <w:jc w:val="both"/>
        <w:rPr>
          <w:rFonts w:ascii="Arial Narrow" w:hAnsi="Arial Narrow"/>
          <w:bCs/>
          <w:color w:val="000000" w:themeColor="text1"/>
          <w:lang w:val="es-ES" w:eastAsia="es-ES"/>
        </w:rPr>
      </w:pPr>
    </w:p>
    <w:p w14:paraId="6FEE5B79" w14:textId="77777777" w:rsidR="007968EC" w:rsidRPr="003A1359" w:rsidRDefault="007968EC" w:rsidP="007968EC">
      <w:pPr>
        <w:autoSpaceDE w:val="0"/>
        <w:autoSpaceDN w:val="0"/>
        <w:ind w:left="708"/>
        <w:jc w:val="both"/>
        <w:rPr>
          <w:rFonts w:ascii="Arial Narrow" w:hAnsi="Arial Narrow"/>
          <w:bCs/>
          <w:iCs/>
        </w:rPr>
      </w:pPr>
      <w:r w:rsidRPr="003A1359">
        <w:rPr>
          <w:rFonts w:ascii="Arial Narrow" w:hAnsi="Arial Narrow"/>
          <w:bCs/>
          <w:iCs/>
        </w:rPr>
        <w:t>La constitución de las garantías deberá llevarse a cabo de conformidad con lo previsto en los artículos 1.6.4.3., 1.6.4.4. y 1.6.4.5. de la presente Circular.</w:t>
      </w:r>
    </w:p>
    <w:p w14:paraId="26381849" w14:textId="77777777" w:rsidR="007968EC" w:rsidRPr="007C5A53" w:rsidRDefault="007968EC" w:rsidP="007968EC">
      <w:pPr>
        <w:autoSpaceDE w:val="0"/>
        <w:autoSpaceDN w:val="0"/>
        <w:ind w:left="851"/>
        <w:jc w:val="both"/>
        <w:rPr>
          <w:rFonts w:ascii="Arial Narrow" w:hAnsi="Arial Narrow" w:cs="Arial"/>
          <w:b/>
          <w:color w:val="000000" w:themeColor="text1"/>
          <w:u w:val="single"/>
          <w:lang w:eastAsia="es-ES"/>
        </w:rPr>
      </w:pPr>
    </w:p>
    <w:p w14:paraId="51086E94" w14:textId="77777777" w:rsidR="007968EC" w:rsidRPr="009A04C1" w:rsidRDefault="007968EC" w:rsidP="007968EC">
      <w:pPr>
        <w:pStyle w:val="ARTICULO0"/>
      </w:pPr>
      <w:bookmarkStart w:id="5288" w:name="_Toc31716237"/>
      <w:r>
        <w:t>Artículo 2.7.2.19</w:t>
      </w:r>
      <w:r w:rsidRPr="009A04C1">
        <w:t>. Contrato de Futuro OIS</w:t>
      </w:r>
      <w:bookmarkEnd w:id="5278"/>
      <w:bookmarkEnd w:id="5279"/>
      <w:bookmarkEnd w:id="5280"/>
      <w:bookmarkEnd w:id="5281"/>
      <w:bookmarkEnd w:id="5282"/>
      <w:bookmarkEnd w:id="5283"/>
      <w:r w:rsidRPr="009A04C1">
        <w:t>.</w:t>
      </w:r>
      <w:bookmarkEnd w:id="5288"/>
      <w:r w:rsidRPr="009A04C1">
        <w:t xml:space="preserve">  </w:t>
      </w:r>
    </w:p>
    <w:bookmarkEnd w:id="5284"/>
    <w:bookmarkEnd w:id="5285"/>
    <w:p w14:paraId="4B86F73C" w14:textId="77777777" w:rsidR="007968EC" w:rsidRDefault="007968EC" w:rsidP="007968EC">
      <w:pPr>
        <w:rPr>
          <w:rFonts w:ascii="Arial Narrow" w:eastAsia="Calibri" w:hAnsi="Arial Narrow"/>
          <w:color w:val="000000" w:themeColor="text1"/>
        </w:rPr>
      </w:pPr>
    </w:p>
    <w:p w14:paraId="13C79FFA" w14:textId="77777777" w:rsidR="007968EC" w:rsidRPr="009A04C1" w:rsidRDefault="007968EC" w:rsidP="007968EC">
      <w:pPr>
        <w:pStyle w:val="ANTECEDENTES"/>
      </w:pPr>
      <w:r w:rsidRPr="009A04C1">
        <w:t>(Este artículo fue renumerado mediante Circular 6 del 14 de febrero de 2017, publicada mediante Boletín Normativo No</w:t>
      </w:r>
      <w:r>
        <w:t>. 006 del 14 de febrero de 2017,</w:t>
      </w:r>
      <w:r w:rsidRPr="009A04C1">
        <w:t xml:space="preserve"> mediante Circular 24 del 11 de diciembre de 2017, publicada en el Boletín Normativo No. 031 del 11 de diciembre de 2017</w:t>
      </w:r>
      <w:r>
        <w:t xml:space="preserve">, </w:t>
      </w:r>
      <w:r w:rsidRPr="009C4B41">
        <w:rPr>
          <w:lang w:val="es-ES"/>
        </w:rPr>
        <w:t>mediante Circular 002 del 20 de febrero de 2018, publicada en el Boletín Normativo No</w:t>
      </w:r>
      <w:r>
        <w:rPr>
          <w:lang w:val="es-ES"/>
        </w:rPr>
        <w:t>. 003 del 20 de febrero de 2018</w:t>
      </w:r>
      <w:r w:rsidRPr="009C4B41">
        <w:rPr>
          <w:lang w:val="es-ES"/>
        </w:rPr>
        <w:t xml:space="preserve"> </w:t>
      </w:r>
      <w:r>
        <w:rPr>
          <w:lang w:val="es-ES"/>
        </w:rPr>
        <w:t>y</w:t>
      </w:r>
      <w:r w:rsidRPr="009C4B41">
        <w:rPr>
          <w:lang w:val="es-ES"/>
        </w:rPr>
        <w:t xml:space="preserve"> </w:t>
      </w:r>
      <w:r w:rsidRPr="00DA3D5C">
        <w:lastRenderedPageBreak/>
        <w:t xml:space="preserve">mediante Circular 10 del 6 de julio de 2018, publicada </w:t>
      </w:r>
      <w:r>
        <w:t>en el Boletín Normativo No. 0</w:t>
      </w:r>
      <w:r w:rsidRPr="00DA3D5C">
        <w:t>13 del 6 de julio de 2018. Rige a partir del 9 de julio de 2018</w:t>
      </w:r>
      <w:r w:rsidRPr="002C0D19">
        <w:t>.</w:t>
      </w:r>
      <w:r w:rsidRPr="009A04C1">
        <w:t>)</w:t>
      </w:r>
    </w:p>
    <w:p w14:paraId="6C50F1DD" w14:textId="77777777" w:rsidR="007968EC" w:rsidRPr="007C5A53" w:rsidRDefault="007968EC" w:rsidP="007968EC">
      <w:pPr>
        <w:rPr>
          <w:rFonts w:ascii="Arial Narrow" w:eastAsia="Calibri" w:hAnsi="Arial Narrow"/>
          <w:color w:val="000000" w:themeColor="text1"/>
        </w:rPr>
      </w:pPr>
    </w:p>
    <w:p w14:paraId="785BA664" w14:textId="77777777" w:rsidR="007968EC" w:rsidRPr="007C5A53" w:rsidRDefault="007968EC" w:rsidP="00DA7472">
      <w:pPr>
        <w:numPr>
          <w:ilvl w:val="0"/>
          <w:numId w:val="110"/>
        </w:numPr>
        <w:autoSpaceDE w:val="0"/>
        <w:autoSpaceDN w:val="0"/>
        <w:adjustRightInd w:val="0"/>
        <w:rPr>
          <w:rFonts w:ascii="Arial Narrow" w:eastAsia="Calibri" w:hAnsi="Arial Narrow"/>
          <w:color w:val="000000" w:themeColor="text1"/>
        </w:rPr>
      </w:pPr>
      <w:r w:rsidRPr="007C5A53">
        <w:rPr>
          <w:rFonts w:ascii="Arial Narrow" w:eastAsia="Calibri" w:hAnsi="Arial Narrow"/>
          <w:color w:val="000000" w:themeColor="text1"/>
        </w:rPr>
        <w:t>Generalidades</w:t>
      </w:r>
    </w:p>
    <w:p w14:paraId="6F0B34F3" w14:textId="77777777" w:rsidR="007968EC" w:rsidRPr="007C5A53" w:rsidRDefault="007968EC" w:rsidP="007968EC">
      <w:pPr>
        <w:autoSpaceDE w:val="0"/>
        <w:autoSpaceDN w:val="0"/>
        <w:adjustRightInd w:val="0"/>
        <w:ind w:left="720"/>
        <w:rPr>
          <w:rFonts w:ascii="Arial Narrow" w:eastAsia="Calibri" w:hAnsi="Arial Narrow"/>
          <w:b/>
          <w:color w:val="000000" w:themeColor="text1"/>
          <w:u w:val="single"/>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813"/>
        <w:gridCol w:w="5528"/>
      </w:tblGrid>
      <w:tr w:rsidR="007968EC" w:rsidRPr="007C5A53" w14:paraId="5A26FF9F" w14:textId="77777777" w:rsidTr="007968EC">
        <w:tc>
          <w:tcPr>
            <w:tcW w:w="3813" w:type="dxa"/>
            <w:shd w:val="clear" w:color="auto" w:fill="D0CECE"/>
          </w:tcPr>
          <w:p w14:paraId="1BFB3A67" w14:textId="77777777" w:rsidR="007968EC" w:rsidRPr="007C5A53" w:rsidRDefault="007968EC" w:rsidP="007968EC">
            <w:pPr>
              <w:jc w:val="both"/>
              <w:rPr>
                <w:rFonts w:ascii="Arial Narrow" w:eastAsia="Calibri" w:hAnsi="Arial Narrow"/>
                <w:bCs/>
                <w:color w:val="000000" w:themeColor="text1"/>
              </w:rPr>
            </w:pPr>
            <w:r w:rsidRPr="007C5A53">
              <w:rPr>
                <w:rFonts w:ascii="Arial Narrow" w:eastAsia="Calibri" w:hAnsi="Arial Narrow"/>
                <w:bCs/>
                <w:color w:val="000000" w:themeColor="text1"/>
              </w:rPr>
              <w:t xml:space="preserve">Instrumento </w:t>
            </w:r>
          </w:p>
        </w:tc>
        <w:tc>
          <w:tcPr>
            <w:tcW w:w="5528" w:type="dxa"/>
            <w:shd w:val="clear" w:color="auto" w:fill="auto"/>
          </w:tcPr>
          <w:p w14:paraId="0FFC3918" w14:textId="77777777" w:rsidR="007968EC" w:rsidRPr="007C5A53" w:rsidRDefault="007968EC" w:rsidP="007968EC">
            <w:pPr>
              <w:jc w:val="both"/>
              <w:rPr>
                <w:rFonts w:ascii="Arial Narrow" w:eastAsia="Calibri" w:hAnsi="Arial Narrow"/>
                <w:b/>
                <w:bCs/>
                <w:color w:val="000000" w:themeColor="text1"/>
              </w:rPr>
            </w:pPr>
            <w:r w:rsidRPr="007C5A53">
              <w:rPr>
                <w:rFonts w:ascii="Arial Narrow" w:eastAsia="Calibri" w:hAnsi="Arial Narrow"/>
                <w:bCs/>
                <w:color w:val="000000" w:themeColor="text1"/>
              </w:rPr>
              <w:t>Contrato de Futuro OIS</w:t>
            </w:r>
          </w:p>
        </w:tc>
      </w:tr>
      <w:tr w:rsidR="007968EC" w:rsidRPr="007C5A53" w14:paraId="4FB5BBC5" w14:textId="77777777" w:rsidTr="007968EC">
        <w:tc>
          <w:tcPr>
            <w:tcW w:w="3813" w:type="dxa"/>
            <w:shd w:val="clear" w:color="auto" w:fill="D0CECE"/>
          </w:tcPr>
          <w:p w14:paraId="25294F8E" w14:textId="77777777" w:rsidR="007968EC" w:rsidRPr="007C5A53" w:rsidRDefault="007968EC" w:rsidP="007968EC">
            <w:pPr>
              <w:jc w:val="both"/>
              <w:rPr>
                <w:rFonts w:ascii="Arial Narrow" w:eastAsia="Calibri" w:hAnsi="Arial Narrow"/>
                <w:bCs/>
                <w:color w:val="000000" w:themeColor="text1"/>
              </w:rPr>
            </w:pPr>
            <w:r w:rsidRPr="007C5A53">
              <w:rPr>
                <w:rFonts w:ascii="Arial Narrow" w:eastAsia="Calibri" w:hAnsi="Arial Narrow"/>
                <w:bCs/>
                <w:color w:val="000000" w:themeColor="text1"/>
              </w:rPr>
              <w:t>Activo Subyacente</w:t>
            </w:r>
          </w:p>
        </w:tc>
        <w:tc>
          <w:tcPr>
            <w:tcW w:w="5528" w:type="dxa"/>
            <w:shd w:val="clear" w:color="auto" w:fill="auto"/>
          </w:tcPr>
          <w:p w14:paraId="3CDDB76E" w14:textId="77777777" w:rsidR="007968EC" w:rsidRPr="007C5A53" w:rsidRDefault="007968EC" w:rsidP="007968EC">
            <w:pPr>
              <w:jc w:val="both"/>
              <w:rPr>
                <w:rFonts w:ascii="Arial Narrow" w:eastAsia="Calibri" w:hAnsi="Arial Narrow"/>
                <w:b/>
                <w:bCs/>
                <w:color w:val="000000" w:themeColor="text1"/>
              </w:rPr>
            </w:pPr>
            <w:r w:rsidRPr="007C5A53">
              <w:rPr>
                <w:rFonts w:ascii="Arial Narrow" w:eastAsia="Calibri" w:hAnsi="Arial Narrow"/>
                <w:bCs/>
                <w:color w:val="000000" w:themeColor="text1"/>
              </w:rPr>
              <w:t>Tasa resultante de la composición de las tasas IBR overnight publicadas, diariamente por el Banco de la República, para un periodo definido en meses de uno (1) hasta (18) meses</w:t>
            </w:r>
          </w:p>
          <w:p w14:paraId="20D2BD52" w14:textId="77777777" w:rsidR="007968EC" w:rsidRPr="007C5A53" w:rsidRDefault="007968EC" w:rsidP="007968EC">
            <w:pPr>
              <w:jc w:val="both"/>
              <w:rPr>
                <w:rFonts w:ascii="Arial Narrow" w:eastAsia="Calibri" w:hAnsi="Arial Narrow"/>
                <w:b/>
                <w:bCs/>
                <w:color w:val="000000" w:themeColor="text1"/>
              </w:rPr>
            </w:pPr>
          </w:p>
        </w:tc>
      </w:tr>
      <w:tr w:rsidR="007968EC" w:rsidRPr="007C5A53" w14:paraId="3B38851F" w14:textId="77777777" w:rsidTr="007968EC">
        <w:tc>
          <w:tcPr>
            <w:tcW w:w="3813" w:type="dxa"/>
            <w:shd w:val="clear" w:color="auto" w:fill="D0CECE"/>
          </w:tcPr>
          <w:p w14:paraId="09F14B43" w14:textId="77777777" w:rsidR="007968EC" w:rsidRPr="007C5A53" w:rsidRDefault="007968EC" w:rsidP="007968EC">
            <w:pPr>
              <w:jc w:val="both"/>
              <w:rPr>
                <w:rFonts w:ascii="Arial Narrow" w:eastAsia="Calibri" w:hAnsi="Arial Narrow"/>
                <w:bCs/>
                <w:color w:val="000000" w:themeColor="text1"/>
              </w:rPr>
            </w:pPr>
            <w:r w:rsidRPr="007C5A53">
              <w:rPr>
                <w:rFonts w:ascii="Arial Narrow" w:eastAsia="Calibri" w:hAnsi="Arial Narrow"/>
                <w:bCs/>
                <w:color w:val="000000" w:themeColor="text1"/>
              </w:rPr>
              <w:t>Tamaño del Contrato</w:t>
            </w:r>
          </w:p>
        </w:tc>
        <w:tc>
          <w:tcPr>
            <w:tcW w:w="5528" w:type="dxa"/>
            <w:shd w:val="clear" w:color="auto" w:fill="auto"/>
          </w:tcPr>
          <w:p w14:paraId="08E102E3" w14:textId="77777777" w:rsidR="007968EC" w:rsidRPr="007C5A53" w:rsidRDefault="007968EC" w:rsidP="007968EC">
            <w:pPr>
              <w:jc w:val="both"/>
              <w:rPr>
                <w:rFonts w:ascii="Arial Narrow" w:eastAsia="Calibri" w:hAnsi="Arial Narrow"/>
                <w:b/>
                <w:bCs/>
                <w:color w:val="000000" w:themeColor="text1"/>
              </w:rPr>
            </w:pPr>
            <w:r w:rsidRPr="007C5A53">
              <w:rPr>
                <w:rFonts w:ascii="Arial Narrow" w:eastAsia="Calibri" w:hAnsi="Arial Narrow"/>
                <w:bCs/>
                <w:color w:val="000000" w:themeColor="text1"/>
              </w:rPr>
              <w:t>COP 500.000.000</w:t>
            </w:r>
          </w:p>
        </w:tc>
      </w:tr>
      <w:tr w:rsidR="007968EC" w:rsidRPr="007C5A53" w14:paraId="193EF138" w14:textId="77777777" w:rsidTr="007968EC">
        <w:tc>
          <w:tcPr>
            <w:tcW w:w="3813" w:type="dxa"/>
            <w:shd w:val="clear" w:color="auto" w:fill="D0CECE"/>
          </w:tcPr>
          <w:p w14:paraId="0257DB1F" w14:textId="77777777" w:rsidR="007968EC" w:rsidRPr="007C5A53" w:rsidRDefault="007968EC" w:rsidP="007968EC">
            <w:pPr>
              <w:jc w:val="both"/>
              <w:rPr>
                <w:rFonts w:ascii="Arial Narrow" w:eastAsia="Calibri" w:hAnsi="Arial Narrow"/>
                <w:bCs/>
                <w:color w:val="000000" w:themeColor="text1"/>
              </w:rPr>
            </w:pPr>
            <w:r w:rsidRPr="007C5A53">
              <w:rPr>
                <w:rFonts w:ascii="Arial Narrow" w:eastAsia="Calibri" w:hAnsi="Arial Narrow"/>
                <w:bCs/>
                <w:color w:val="000000" w:themeColor="text1"/>
              </w:rPr>
              <w:t>Vencimientos</w:t>
            </w:r>
          </w:p>
        </w:tc>
        <w:tc>
          <w:tcPr>
            <w:tcW w:w="5528" w:type="dxa"/>
            <w:shd w:val="clear" w:color="auto" w:fill="auto"/>
          </w:tcPr>
          <w:p w14:paraId="7F7DD41A" w14:textId="77777777" w:rsidR="007968EC" w:rsidRPr="007C5A53" w:rsidRDefault="007968EC" w:rsidP="007968EC">
            <w:pPr>
              <w:jc w:val="both"/>
              <w:rPr>
                <w:rFonts w:ascii="Arial Narrow" w:eastAsia="Calibri" w:hAnsi="Arial Narrow"/>
                <w:b/>
                <w:bCs/>
                <w:color w:val="000000" w:themeColor="text1"/>
              </w:rPr>
            </w:pPr>
            <w:r w:rsidRPr="007C5A53">
              <w:rPr>
                <w:rFonts w:ascii="Arial Narrow" w:eastAsia="Calibri" w:hAnsi="Arial Narrow"/>
                <w:bCs/>
                <w:color w:val="000000" w:themeColor="text1"/>
              </w:rPr>
              <w:t>En el sistema de Cámara estarán disponibles diariamente los contratos a plazo que corresponden a los siguientes vencimientos: un (1) mes, tres (3) meses, seis (6) meses, (9) meses, doce (12) meses, y dieciocho (18) meses</w:t>
            </w:r>
          </w:p>
        </w:tc>
      </w:tr>
      <w:tr w:rsidR="007968EC" w:rsidRPr="007C5A53" w14:paraId="509686A5" w14:textId="77777777" w:rsidTr="007968EC">
        <w:tc>
          <w:tcPr>
            <w:tcW w:w="3813" w:type="dxa"/>
            <w:shd w:val="clear" w:color="auto" w:fill="D0CECE"/>
          </w:tcPr>
          <w:p w14:paraId="1EB8C0FF" w14:textId="77777777" w:rsidR="007968EC" w:rsidRPr="007C5A53" w:rsidRDefault="007968EC" w:rsidP="007968EC">
            <w:pPr>
              <w:jc w:val="both"/>
              <w:rPr>
                <w:rFonts w:ascii="Arial Narrow" w:eastAsia="Calibri" w:hAnsi="Arial Narrow"/>
                <w:bCs/>
                <w:color w:val="000000" w:themeColor="text1"/>
              </w:rPr>
            </w:pPr>
            <w:r w:rsidRPr="007C5A53">
              <w:rPr>
                <w:rFonts w:ascii="Arial Narrow" w:eastAsia="Calibri" w:hAnsi="Arial Narrow"/>
                <w:bCs/>
                <w:color w:val="000000" w:themeColor="text1"/>
              </w:rPr>
              <w:t>Cotización</w:t>
            </w:r>
          </w:p>
        </w:tc>
        <w:tc>
          <w:tcPr>
            <w:tcW w:w="5528" w:type="dxa"/>
            <w:shd w:val="clear" w:color="auto" w:fill="auto"/>
          </w:tcPr>
          <w:p w14:paraId="30D0AD56" w14:textId="77777777" w:rsidR="007968EC" w:rsidRPr="007C5A53" w:rsidRDefault="007968EC" w:rsidP="007968EC">
            <w:pPr>
              <w:jc w:val="both"/>
              <w:rPr>
                <w:rFonts w:ascii="Arial Narrow" w:eastAsia="Calibri" w:hAnsi="Arial Narrow"/>
                <w:b/>
                <w:bCs/>
                <w:color w:val="000000" w:themeColor="text1"/>
              </w:rPr>
            </w:pPr>
            <w:r w:rsidRPr="007C5A53">
              <w:rPr>
                <w:rFonts w:ascii="Arial Narrow" w:eastAsia="Calibri" w:hAnsi="Arial Narrow"/>
                <w:bCs/>
                <w:color w:val="000000" w:themeColor="text1"/>
              </w:rPr>
              <w:t>Tasa la cual será ajustada al número de días reales que corresponde para el respectivo vencimiento.</w:t>
            </w:r>
          </w:p>
        </w:tc>
      </w:tr>
      <w:tr w:rsidR="007968EC" w:rsidRPr="007C5A53" w14:paraId="1645083E" w14:textId="77777777" w:rsidTr="007968EC">
        <w:tc>
          <w:tcPr>
            <w:tcW w:w="3813" w:type="dxa"/>
            <w:shd w:val="clear" w:color="auto" w:fill="D0CECE"/>
          </w:tcPr>
          <w:p w14:paraId="39B84FF1" w14:textId="77777777" w:rsidR="007968EC" w:rsidRPr="007C5A53" w:rsidRDefault="007968EC" w:rsidP="007968EC">
            <w:pPr>
              <w:jc w:val="both"/>
              <w:rPr>
                <w:rFonts w:ascii="Arial Narrow" w:eastAsia="Calibri" w:hAnsi="Arial Narrow"/>
                <w:bCs/>
                <w:color w:val="000000" w:themeColor="text1"/>
              </w:rPr>
            </w:pPr>
            <w:r w:rsidRPr="007C5A53">
              <w:rPr>
                <w:rFonts w:ascii="Arial Narrow" w:eastAsia="Calibri" w:hAnsi="Arial Narrow"/>
                <w:bCs/>
                <w:color w:val="000000" w:themeColor="text1"/>
              </w:rPr>
              <w:t>Método de Liquidación</w:t>
            </w:r>
          </w:p>
        </w:tc>
        <w:tc>
          <w:tcPr>
            <w:tcW w:w="5528" w:type="dxa"/>
            <w:shd w:val="clear" w:color="auto" w:fill="auto"/>
          </w:tcPr>
          <w:p w14:paraId="6EDFAEE2" w14:textId="77777777" w:rsidR="007968EC" w:rsidRPr="007C5A53" w:rsidRDefault="007968EC" w:rsidP="007968EC">
            <w:pPr>
              <w:jc w:val="both"/>
              <w:rPr>
                <w:rFonts w:ascii="Arial Narrow" w:eastAsia="Calibri" w:hAnsi="Arial Narrow"/>
                <w:b/>
                <w:bCs/>
                <w:color w:val="000000" w:themeColor="text1"/>
              </w:rPr>
            </w:pPr>
            <w:r w:rsidRPr="007C5A53">
              <w:rPr>
                <w:rFonts w:ascii="Arial Narrow" w:eastAsia="Calibri" w:hAnsi="Arial Narrow"/>
                <w:bCs/>
                <w:color w:val="000000" w:themeColor="text1"/>
              </w:rPr>
              <w:t>Liquidación por Diferencias que se realizará en pesos moneda legal colombiana</w:t>
            </w:r>
          </w:p>
        </w:tc>
      </w:tr>
      <w:tr w:rsidR="007968EC" w:rsidRPr="007C5A53" w14:paraId="6B3BF468" w14:textId="77777777" w:rsidTr="007968EC">
        <w:tc>
          <w:tcPr>
            <w:tcW w:w="3813" w:type="dxa"/>
            <w:shd w:val="clear" w:color="auto" w:fill="D0CECE"/>
          </w:tcPr>
          <w:p w14:paraId="7159FAFA" w14:textId="77777777" w:rsidR="007968EC" w:rsidRPr="007C5A53" w:rsidRDefault="007968EC" w:rsidP="007968EC">
            <w:pPr>
              <w:jc w:val="both"/>
              <w:rPr>
                <w:rFonts w:ascii="Arial Narrow" w:eastAsia="Calibri" w:hAnsi="Arial Narrow"/>
                <w:bCs/>
                <w:color w:val="000000" w:themeColor="text1"/>
              </w:rPr>
            </w:pPr>
            <w:r w:rsidRPr="007C5A53">
              <w:rPr>
                <w:rFonts w:ascii="Arial Narrow" w:eastAsia="Calibri" w:hAnsi="Arial Narrow"/>
                <w:bCs/>
                <w:color w:val="000000" w:themeColor="text1"/>
              </w:rPr>
              <w:t xml:space="preserve">Tipo de Liquidación </w:t>
            </w:r>
          </w:p>
        </w:tc>
        <w:tc>
          <w:tcPr>
            <w:tcW w:w="5528" w:type="dxa"/>
            <w:shd w:val="clear" w:color="auto" w:fill="auto"/>
          </w:tcPr>
          <w:p w14:paraId="23FE3B76" w14:textId="77777777" w:rsidR="007968EC" w:rsidRPr="007C5A53" w:rsidRDefault="007968EC" w:rsidP="007968EC">
            <w:pPr>
              <w:jc w:val="both"/>
              <w:rPr>
                <w:rFonts w:ascii="Arial Narrow" w:eastAsia="Calibri" w:hAnsi="Arial Narrow"/>
                <w:b/>
                <w:bCs/>
                <w:color w:val="000000" w:themeColor="text1"/>
              </w:rPr>
            </w:pPr>
            <w:r w:rsidRPr="007C5A53">
              <w:rPr>
                <w:rFonts w:ascii="Arial Narrow" w:eastAsia="Calibri" w:hAnsi="Arial Narrow"/>
                <w:bCs/>
                <w:color w:val="000000" w:themeColor="text1"/>
              </w:rPr>
              <w:t>Liquidación únicamente al Vencimiento</w:t>
            </w:r>
          </w:p>
        </w:tc>
      </w:tr>
      <w:tr w:rsidR="007968EC" w:rsidRPr="007C5A53" w14:paraId="5CF57107" w14:textId="77777777" w:rsidTr="007968EC">
        <w:tc>
          <w:tcPr>
            <w:tcW w:w="3813" w:type="dxa"/>
            <w:shd w:val="clear" w:color="auto" w:fill="D0CECE"/>
          </w:tcPr>
          <w:p w14:paraId="761C321D" w14:textId="77777777" w:rsidR="007968EC" w:rsidRPr="007C5A53" w:rsidRDefault="007968EC" w:rsidP="007968EC">
            <w:pPr>
              <w:jc w:val="both"/>
              <w:rPr>
                <w:rFonts w:ascii="Arial Narrow" w:eastAsia="Calibri" w:hAnsi="Arial Narrow"/>
                <w:bCs/>
                <w:color w:val="000000" w:themeColor="text1"/>
              </w:rPr>
            </w:pPr>
            <w:r w:rsidRPr="007C5A53">
              <w:rPr>
                <w:rFonts w:ascii="Arial Narrow" w:eastAsia="Calibri" w:hAnsi="Arial Narrow"/>
                <w:bCs/>
                <w:color w:val="000000" w:themeColor="text1"/>
              </w:rPr>
              <w:t xml:space="preserve">Último Día de Negociación </w:t>
            </w:r>
          </w:p>
        </w:tc>
        <w:tc>
          <w:tcPr>
            <w:tcW w:w="5528" w:type="dxa"/>
            <w:shd w:val="clear" w:color="auto" w:fill="auto"/>
          </w:tcPr>
          <w:p w14:paraId="32BB77F3" w14:textId="77777777" w:rsidR="007968EC" w:rsidRPr="007C5A53" w:rsidRDefault="007968EC" w:rsidP="007968EC">
            <w:pPr>
              <w:jc w:val="both"/>
              <w:rPr>
                <w:rFonts w:ascii="Arial Narrow" w:eastAsia="Calibri" w:hAnsi="Arial Narrow"/>
                <w:b/>
                <w:bCs/>
                <w:color w:val="000000" w:themeColor="text1"/>
              </w:rPr>
            </w:pPr>
            <w:r w:rsidRPr="007C5A53">
              <w:rPr>
                <w:rFonts w:ascii="Arial Narrow" w:eastAsia="Calibri" w:hAnsi="Arial Narrow"/>
                <w:bCs/>
                <w:color w:val="000000" w:themeColor="text1"/>
              </w:rPr>
              <w:t xml:space="preserve">Día hábil anterior al día de vencimiento del Contrato </w:t>
            </w:r>
          </w:p>
        </w:tc>
      </w:tr>
      <w:tr w:rsidR="007968EC" w:rsidRPr="007C5A53" w14:paraId="33F74111" w14:textId="77777777" w:rsidTr="007968EC">
        <w:tc>
          <w:tcPr>
            <w:tcW w:w="3813" w:type="dxa"/>
            <w:shd w:val="clear" w:color="auto" w:fill="D0CECE"/>
          </w:tcPr>
          <w:p w14:paraId="4EFE0BE2" w14:textId="77777777" w:rsidR="007968EC" w:rsidRPr="007C5A53" w:rsidRDefault="007968EC" w:rsidP="007968EC">
            <w:pPr>
              <w:jc w:val="both"/>
              <w:rPr>
                <w:rFonts w:ascii="Arial Narrow" w:eastAsia="Calibri" w:hAnsi="Arial Narrow"/>
                <w:bCs/>
                <w:color w:val="000000" w:themeColor="text1"/>
              </w:rPr>
            </w:pPr>
            <w:r w:rsidRPr="007C5A53">
              <w:rPr>
                <w:rFonts w:ascii="Arial Narrow" w:eastAsia="Calibri" w:hAnsi="Arial Narrow"/>
                <w:bCs/>
                <w:color w:val="000000" w:themeColor="text1"/>
              </w:rPr>
              <w:t>Fecha de Vencimiento</w:t>
            </w:r>
          </w:p>
        </w:tc>
        <w:tc>
          <w:tcPr>
            <w:tcW w:w="5528" w:type="dxa"/>
            <w:shd w:val="clear" w:color="auto" w:fill="auto"/>
          </w:tcPr>
          <w:p w14:paraId="031ABDFD" w14:textId="77777777" w:rsidR="007968EC" w:rsidRPr="007C5A53" w:rsidRDefault="007968EC" w:rsidP="007968EC">
            <w:pPr>
              <w:jc w:val="both"/>
              <w:rPr>
                <w:rFonts w:ascii="Arial Narrow" w:eastAsia="Calibri" w:hAnsi="Arial Narrow"/>
                <w:b/>
                <w:bCs/>
                <w:color w:val="000000" w:themeColor="text1"/>
              </w:rPr>
            </w:pPr>
            <w:r w:rsidRPr="007C5A53">
              <w:rPr>
                <w:rFonts w:ascii="Arial Narrow" w:eastAsia="Calibri" w:hAnsi="Arial Narrow"/>
                <w:bCs/>
                <w:color w:val="000000" w:themeColor="text1"/>
              </w:rPr>
              <w:t xml:space="preserve">Corresponde al día hábil que cumple con la estructura de fecha-mes, a partir del día de inicio del Contrato teniendo en cuenta el periodo de negociación pactado, en caso de no ser un día hábil, se seguirá la regla de </w:t>
            </w:r>
            <w:proofErr w:type="spellStart"/>
            <w:r w:rsidRPr="007C5A53">
              <w:rPr>
                <w:rFonts w:ascii="Arial Narrow" w:eastAsia="Calibri" w:hAnsi="Arial Narrow"/>
                <w:bCs/>
                <w:color w:val="000000" w:themeColor="text1"/>
              </w:rPr>
              <w:t>Modified</w:t>
            </w:r>
            <w:proofErr w:type="spellEnd"/>
            <w:r w:rsidRPr="007C5A53">
              <w:rPr>
                <w:rFonts w:ascii="Arial Narrow" w:eastAsia="Calibri" w:hAnsi="Arial Narrow"/>
                <w:bCs/>
                <w:color w:val="000000" w:themeColor="text1"/>
              </w:rPr>
              <w:t xml:space="preserve"> Following </w:t>
            </w:r>
            <w:proofErr w:type="spellStart"/>
            <w:r w:rsidRPr="007C5A53">
              <w:rPr>
                <w:rFonts w:ascii="Arial Narrow" w:eastAsia="Calibri" w:hAnsi="Arial Narrow"/>
                <w:bCs/>
                <w:color w:val="000000" w:themeColor="text1"/>
              </w:rPr>
              <w:t>Bussiness</w:t>
            </w:r>
            <w:proofErr w:type="spellEnd"/>
            <w:r w:rsidRPr="007C5A53">
              <w:rPr>
                <w:rFonts w:ascii="Arial Narrow" w:eastAsia="Calibri" w:hAnsi="Arial Narrow"/>
                <w:bCs/>
                <w:color w:val="000000" w:themeColor="text1"/>
              </w:rPr>
              <w:t xml:space="preserve"> Day, es decir, que en caso de ser un día no hábil, el vencimiento se mueve al día hábil siguiente, siempre y cuando este se ubique dentro del mes de vencimiento, de lo contrario la fecha de vencimiento se moverá al día hábil inmediatamente anterior.</w:t>
            </w:r>
          </w:p>
        </w:tc>
      </w:tr>
      <w:tr w:rsidR="007968EC" w:rsidRPr="007C5A53" w14:paraId="49E02D6F" w14:textId="77777777" w:rsidTr="007968EC">
        <w:tc>
          <w:tcPr>
            <w:tcW w:w="3813" w:type="dxa"/>
            <w:shd w:val="clear" w:color="auto" w:fill="D0CECE"/>
          </w:tcPr>
          <w:p w14:paraId="2F87FED3" w14:textId="77777777" w:rsidR="007968EC" w:rsidRPr="007C5A53" w:rsidRDefault="007968EC" w:rsidP="007968EC">
            <w:pPr>
              <w:jc w:val="both"/>
              <w:rPr>
                <w:rFonts w:ascii="Arial Narrow" w:eastAsia="Calibri" w:hAnsi="Arial Narrow"/>
                <w:bCs/>
                <w:color w:val="000000" w:themeColor="text1"/>
              </w:rPr>
            </w:pPr>
            <w:r w:rsidRPr="007C5A53">
              <w:rPr>
                <w:rFonts w:ascii="Arial Narrow" w:eastAsia="Calibri" w:hAnsi="Arial Narrow"/>
                <w:bCs/>
                <w:color w:val="000000" w:themeColor="text1"/>
              </w:rPr>
              <w:t xml:space="preserve">Día de Última Liquidación </w:t>
            </w:r>
          </w:p>
        </w:tc>
        <w:tc>
          <w:tcPr>
            <w:tcW w:w="5528" w:type="dxa"/>
            <w:shd w:val="clear" w:color="auto" w:fill="auto"/>
          </w:tcPr>
          <w:p w14:paraId="0F47A060" w14:textId="77777777" w:rsidR="007968EC" w:rsidRPr="007C5A53" w:rsidRDefault="007968EC" w:rsidP="007968EC">
            <w:pPr>
              <w:jc w:val="both"/>
              <w:rPr>
                <w:rFonts w:ascii="Arial Narrow" w:eastAsia="Calibri" w:hAnsi="Arial Narrow"/>
                <w:b/>
                <w:bCs/>
                <w:color w:val="000000" w:themeColor="text1"/>
              </w:rPr>
            </w:pPr>
            <w:r w:rsidRPr="007C5A53">
              <w:rPr>
                <w:rFonts w:ascii="Arial Narrow" w:eastAsia="Calibri" w:hAnsi="Arial Narrow"/>
                <w:bCs/>
                <w:color w:val="000000" w:themeColor="text1"/>
              </w:rPr>
              <w:t>El día de la última liquidación será el mismo de la Fecha de Vencimiento.</w:t>
            </w:r>
          </w:p>
        </w:tc>
      </w:tr>
      <w:tr w:rsidR="007968EC" w:rsidRPr="007C5A53" w14:paraId="6DB9533A" w14:textId="77777777" w:rsidTr="007968EC">
        <w:tc>
          <w:tcPr>
            <w:tcW w:w="3813" w:type="dxa"/>
            <w:shd w:val="clear" w:color="auto" w:fill="D0CECE"/>
          </w:tcPr>
          <w:p w14:paraId="383BDBC2" w14:textId="77777777" w:rsidR="007968EC" w:rsidRPr="007C5A53" w:rsidRDefault="007968EC" w:rsidP="007968EC">
            <w:pPr>
              <w:jc w:val="both"/>
              <w:rPr>
                <w:rFonts w:ascii="Arial Narrow" w:eastAsia="Calibri" w:hAnsi="Arial Narrow"/>
                <w:bCs/>
                <w:color w:val="000000" w:themeColor="text1"/>
              </w:rPr>
            </w:pPr>
            <w:r w:rsidRPr="007C5A53">
              <w:rPr>
                <w:rFonts w:ascii="Arial Narrow" w:eastAsia="Calibri" w:hAnsi="Arial Narrow"/>
                <w:bCs/>
                <w:color w:val="000000" w:themeColor="text1"/>
              </w:rPr>
              <w:t>Inscripción</w:t>
            </w:r>
          </w:p>
        </w:tc>
        <w:tc>
          <w:tcPr>
            <w:tcW w:w="5528" w:type="dxa"/>
            <w:shd w:val="clear" w:color="auto" w:fill="auto"/>
          </w:tcPr>
          <w:p w14:paraId="6B6A728C" w14:textId="77777777" w:rsidR="007968EC" w:rsidRPr="007C5A53" w:rsidRDefault="007968EC" w:rsidP="007968EC">
            <w:pPr>
              <w:jc w:val="both"/>
              <w:rPr>
                <w:rFonts w:ascii="Arial Narrow" w:eastAsia="Calibri" w:hAnsi="Arial Narrow"/>
                <w:b/>
                <w:bCs/>
                <w:color w:val="000000" w:themeColor="text1"/>
              </w:rPr>
            </w:pPr>
            <w:r w:rsidRPr="007C5A53">
              <w:rPr>
                <w:rFonts w:ascii="Arial Narrow" w:eastAsia="Calibri" w:hAnsi="Arial Narrow"/>
                <w:bCs/>
                <w:color w:val="000000" w:themeColor="text1"/>
              </w:rPr>
              <w:t>Bolsa de Val</w:t>
            </w:r>
            <w:r>
              <w:rPr>
                <w:rFonts w:ascii="Arial Narrow" w:eastAsia="Calibri" w:hAnsi="Arial Narrow"/>
                <w:bCs/>
                <w:color w:val="000000" w:themeColor="text1"/>
              </w:rPr>
              <w:t>ores de Colombia.</w:t>
            </w:r>
          </w:p>
        </w:tc>
      </w:tr>
    </w:tbl>
    <w:p w14:paraId="79BAC756" w14:textId="77777777" w:rsidR="007968EC" w:rsidRPr="007C5A53" w:rsidRDefault="007968EC" w:rsidP="007968EC">
      <w:pPr>
        <w:autoSpaceDE w:val="0"/>
        <w:autoSpaceDN w:val="0"/>
        <w:adjustRightInd w:val="0"/>
        <w:jc w:val="both"/>
        <w:rPr>
          <w:rFonts w:ascii="Arial Narrow" w:eastAsia="Calibri" w:hAnsi="Arial Narrow"/>
          <w:b/>
          <w:bCs/>
          <w:color w:val="000000" w:themeColor="text1"/>
        </w:rPr>
      </w:pPr>
    </w:p>
    <w:p w14:paraId="0D7E2468" w14:textId="77777777" w:rsidR="007968EC" w:rsidRPr="007C5A53" w:rsidRDefault="007968EC" w:rsidP="007968EC">
      <w:pPr>
        <w:pStyle w:val="ARTICULO0"/>
      </w:pPr>
      <w:bookmarkStart w:id="5289" w:name="_Toc470781170"/>
      <w:bookmarkStart w:id="5290" w:name="_Toc470784731"/>
      <w:bookmarkStart w:id="5291" w:name="_Toc470785268"/>
      <w:bookmarkStart w:id="5292" w:name="_Toc470791662"/>
      <w:bookmarkStart w:id="5293" w:name="_Toc472592405"/>
      <w:bookmarkStart w:id="5294" w:name="_Toc472593424"/>
      <w:bookmarkStart w:id="5295" w:name="_Toc31716238"/>
      <w:bookmarkStart w:id="5296" w:name="_Toc479057216"/>
      <w:bookmarkStart w:id="5297" w:name="_Toc490066575"/>
      <w:r w:rsidRPr="007C5A53">
        <w:t>Artículo 2.7.2.2</w:t>
      </w:r>
      <w:r>
        <w:t>0</w:t>
      </w:r>
      <w:r w:rsidRPr="007C5A53">
        <w:t>. Forward NDF (USD / COP).</w:t>
      </w:r>
      <w:bookmarkEnd w:id="5289"/>
      <w:bookmarkEnd w:id="5290"/>
      <w:bookmarkEnd w:id="5291"/>
      <w:bookmarkEnd w:id="5292"/>
      <w:bookmarkEnd w:id="5293"/>
      <w:bookmarkEnd w:id="5294"/>
      <w:bookmarkEnd w:id="5295"/>
      <w:r w:rsidRPr="007C5A53">
        <w:t xml:space="preserve">  </w:t>
      </w:r>
    </w:p>
    <w:bookmarkEnd w:id="5296"/>
    <w:bookmarkEnd w:id="5297"/>
    <w:p w14:paraId="3B476E7E" w14:textId="77777777" w:rsidR="007968EC" w:rsidRDefault="007968EC" w:rsidP="007968EC">
      <w:pPr>
        <w:jc w:val="both"/>
        <w:rPr>
          <w:rFonts w:ascii="Arial Narrow" w:eastAsia="Calibri" w:hAnsi="Arial Narrow"/>
          <w:color w:val="000000" w:themeColor="text1"/>
        </w:rPr>
      </w:pPr>
    </w:p>
    <w:p w14:paraId="3E66A0E7" w14:textId="77777777" w:rsidR="007968EC" w:rsidRPr="002C0D19" w:rsidRDefault="007968EC" w:rsidP="007968EC">
      <w:pPr>
        <w:pStyle w:val="ANTECEDENTES"/>
        <w:rPr>
          <w:u w:val="single"/>
        </w:rPr>
      </w:pPr>
      <w:r>
        <w:t>(</w:t>
      </w:r>
      <w:r w:rsidRPr="002C0D19">
        <w:t>Este artículo fue renumerado mediante Circular 6 del 14 de febrero de 2017, publicada mediante Boletín Normativo No. 006 del 14 de febrero de 2017</w:t>
      </w:r>
      <w:r>
        <w:t xml:space="preserve">, modificado mediante Circular 20 del 28 de septiembre de 2017, publicada mediante Boletín Normativo No. 021 del 28 de septiembre de 2017 y renumerado mediante Circular 24 del 11 de diciembre de 2017, publicada en el Boletín Normativo No. 031 del 11 de diciembre de 2017, </w:t>
      </w:r>
      <w:r w:rsidRPr="009C4B41">
        <w:rPr>
          <w:lang w:val="es-ES"/>
        </w:rPr>
        <w:t xml:space="preserve">mediante Circular 002 del 20 de febrero de 2018, publicada en el </w:t>
      </w:r>
      <w:r w:rsidRPr="009C4B41">
        <w:rPr>
          <w:lang w:val="es-ES"/>
        </w:rPr>
        <w:lastRenderedPageBreak/>
        <w:t>Boletín Normativo No</w:t>
      </w:r>
      <w:r>
        <w:rPr>
          <w:lang w:val="es-ES"/>
        </w:rPr>
        <w:t>. 003 del 20 de febrero de 2018 y</w:t>
      </w:r>
      <w:r>
        <w:t xml:space="preserve"> </w:t>
      </w:r>
      <w:r w:rsidRPr="00DA3D5C">
        <w:t xml:space="preserve">mediante Circular 10 del 6 de julio de 2018, publicada </w:t>
      </w:r>
      <w:r>
        <w:t>en el</w:t>
      </w:r>
      <w:r w:rsidRPr="00DA3D5C">
        <w:t xml:space="preserve"> Boletín Normativo</w:t>
      </w:r>
      <w:r>
        <w:t xml:space="preserve"> No. 013 del 6 de julio de 2018</w:t>
      </w:r>
      <w:r w:rsidRPr="00DA3D5C">
        <w:t xml:space="preserve"> </w:t>
      </w:r>
      <w:r>
        <w:t xml:space="preserve">y </w:t>
      </w:r>
      <w:r w:rsidRPr="002C0D19">
        <w:t xml:space="preserve">mediante Circular </w:t>
      </w:r>
      <w:r>
        <w:t>14 del 30</w:t>
      </w:r>
      <w:r w:rsidRPr="002C0D19">
        <w:t xml:space="preserve"> de </w:t>
      </w:r>
      <w:r>
        <w:t>noviembre de 2018</w:t>
      </w:r>
      <w:r w:rsidRPr="002C0D19">
        <w:t xml:space="preserve">, publicada en el Boletín Normativo No. </w:t>
      </w:r>
      <w:r>
        <w:t>27 del 30</w:t>
      </w:r>
      <w:r w:rsidRPr="002C0D19">
        <w:t xml:space="preserve"> de </w:t>
      </w:r>
      <w:r>
        <w:t>noviembre de 2018</w:t>
      </w:r>
      <w:r w:rsidRPr="002C0D19">
        <w:t xml:space="preserve">. Rige a partir del 3 de </w:t>
      </w:r>
      <w:r>
        <w:t>diciembre de 2018</w:t>
      </w:r>
      <w:r w:rsidRPr="002C0D19">
        <w:t>.</w:t>
      </w:r>
      <w:r w:rsidRPr="009A04C1">
        <w:t>)</w:t>
      </w:r>
    </w:p>
    <w:p w14:paraId="0237A28D" w14:textId="77777777" w:rsidR="007968EC" w:rsidRPr="007C5A53" w:rsidRDefault="007968EC" w:rsidP="007968EC">
      <w:pPr>
        <w:jc w:val="both"/>
        <w:rPr>
          <w:rFonts w:ascii="Arial Narrow" w:eastAsia="Calibri" w:hAnsi="Arial Narrow"/>
          <w:color w:val="000000" w:themeColor="text1"/>
        </w:rPr>
      </w:pPr>
    </w:p>
    <w:p w14:paraId="2B63AC87" w14:textId="77777777" w:rsidR="007968EC" w:rsidRPr="007C5A53" w:rsidRDefault="007968EC" w:rsidP="007968EC">
      <w:pPr>
        <w:jc w:val="both"/>
        <w:rPr>
          <w:rFonts w:ascii="Arial Narrow" w:eastAsia="Calibri" w:hAnsi="Arial Narrow"/>
          <w:color w:val="000000"/>
        </w:rPr>
      </w:pPr>
      <w:r w:rsidRPr="007C5A53">
        <w:rPr>
          <w:rFonts w:ascii="Arial Narrow" w:eastAsia="Calibri" w:hAnsi="Arial Narrow"/>
          <w:color w:val="000000"/>
        </w:rPr>
        <w:t>La Cámara se interpondrá como contraparte y realizará la Compensación y Liquidación del Instrumento Financiero Derivado No Estandarizado Forward NDF USD/COP que cumpla las siguientes condiciones:</w:t>
      </w:r>
    </w:p>
    <w:p w14:paraId="29DE7E74" w14:textId="77777777" w:rsidR="007968EC" w:rsidRPr="007C5A53" w:rsidRDefault="007968EC" w:rsidP="007968EC">
      <w:pPr>
        <w:jc w:val="both"/>
        <w:rPr>
          <w:rFonts w:ascii="Arial Narrow" w:eastAsia="Calibri" w:hAnsi="Arial Narrow"/>
          <w:b/>
          <w:color w:val="000000"/>
        </w:rPr>
      </w:pPr>
    </w:p>
    <w:p w14:paraId="57A5F697" w14:textId="77777777" w:rsidR="007968EC" w:rsidRPr="007C5A53" w:rsidRDefault="007968EC" w:rsidP="00DA7472">
      <w:pPr>
        <w:numPr>
          <w:ilvl w:val="0"/>
          <w:numId w:val="66"/>
        </w:numPr>
        <w:autoSpaceDE w:val="0"/>
        <w:autoSpaceDN w:val="0"/>
        <w:adjustRightInd w:val="0"/>
        <w:contextualSpacing/>
        <w:jc w:val="both"/>
        <w:rPr>
          <w:rFonts w:ascii="Arial Narrow" w:eastAsia="Calibri" w:hAnsi="Arial Narrow"/>
          <w:b/>
          <w:color w:val="000000"/>
        </w:rPr>
      </w:pPr>
      <w:r w:rsidRPr="007C5A53">
        <w:rPr>
          <w:rFonts w:ascii="Arial Narrow" w:eastAsia="Calibri" w:hAnsi="Arial Narrow"/>
          <w:color w:val="000000"/>
        </w:rPr>
        <w:t>Generalidades:</w:t>
      </w:r>
    </w:p>
    <w:p w14:paraId="14F1DF84" w14:textId="77777777" w:rsidR="007968EC" w:rsidRPr="007C5A53" w:rsidRDefault="007968EC" w:rsidP="007968EC">
      <w:pPr>
        <w:autoSpaceDE w:val="0"/>
        <w:autoSpaceDN w:val="0"/>
        <w:adjustRightInd w:val="0"/>
        <w:ind w:left="644"/>
        <w:contextualSpacing/>
        <w:jc w:val="both"/>
        <w:rPr>
          <w:rFonts w:ascii="Arial Narrow" w:eastAsia="Calibri" w:hAnsi="Arial Narrow"/>
          <w:b/>
          <w:color w:val="000000"/>
        </w:rPr>
      </w:pPr>
    </w:p>
    <w:tbl>
      <w:tblPr>
        <w:tblW w:w="928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3843"/>
        <w:gridCol w:w="5443"/>
      </w:tblGrid>
      <w:tr w:rsidR="007968EC" w:rsidRPr="007C5A53" w14:paraId="4F080987" w14:textId="77777777" w:rsidTr="007968EC">
        <w:trPr>
          <w:trHeight w:val="693"/>
          <w:jc w:val="center"/>
        </w:trPr>
        <w:tc>
          <w:tcPr>
            <w:tcW w:w="3843" w:type="dxa"/>
            <w:shd w:val="clear" w:color="auto" w:fill="BFBFBF"/>
            <w:noWrap/>
            <w:vAlign w:val="center"/>
            <w:hideMark/>
          </w:tcPr>
          <w:p w14:paraId="1E188A92" w14:textId="77777777" w:rsidR="007968EC" w:rsidRPr="007C5A53" w:rsidRDefault="007968EC" w:rsidP="007968EC">
            <w:pPr>
              <w:rPr>
                <w:rFonts w:ascii="Arial Narrow" w:eastAsia="Calibri" w:hAnsi="Arial Narrow"/>
                <w:bCs/>
                <w:color w:val="000000"/>
              </w:rPr>
            </w:pPr>
            <w:r w:rsidRPr="007C5A53">
              <w:rPr>
                <w:rFonts w:ascii="Arial Narrow" w:eastAsia="Calibri" w:hAnsi="Arial Narrow"/>
                <w:bCs/>
                <w:color w:val="000000"/>
              </w:rPr>
              <w:t>Instrumento</w:t>
            </w:r>
          </w:p>
        </w:tc>
        <w:tc>
          <w:tcPr>
            <w:tcW w:w="5443" w:type="dxa"/>
            <w:shd w:val="clear" w:color="auto" w:fill="auto"/>
            <w:noWrap/>
            <w:vAlign w:val="center"/>
            <w:hideMark/>
          </w:tcPr>
          <w:p w14:paraId="2E88BEAF" w14:textId="77777777" w:rsidR="007968EC" w:rsidRPr="007C5A53" w:rsidRDefault="007968EC" w:rsidP="007968EC">
            <w:pPr>
              <w:jc w:val="both"/>
              <w:rPr>
                <w:rFonts w:ascii="Arial Narrow" w:eastAsia="Calibri" w:hAnsi="Arial Narrow"/>
                <w:b/>
                <w:color w:val="000000"/>
              </w:rPr>
            </w:pPr>
            <w:r w:rsidRPr="007C5A53">
              <w:rPr>
                <w:rFonts w:ascii="Arial Narrow" w:eastAsia="Calibri" w:hAnsi="Arial Narrow"/>
                <w:color w:val="000000"/>
              </w:rPr>
              <w:t>Forward NDF USD/COP, enviado a la Cámara para su Compensación y Liquidación por un SND o por un SRD.</w:t>
            </w:r>
          </w:p>
        </w:tc>
      </w:tr>
      <w:tr w:rsidR="007968EC" w:rsidRPr="007C5A53" w14:paraId="645C1FAF" w14:textId="77777777" w:rsidTr="007968EC">
        <w:trPr>
          <w:trHeight w:val="1119"/>
          <w:jc w:val="center"/>
        </w:trPr>
        <w:tc>
          <w:tcPr>
            <w:tcW w:w="3843" w:type="dxa"/>
            <w:shd w:val="clear" w:color="auto" w:fill="BFBFBF"/>
            <w:noWrap/>
            <w:vAlign w:val="center"/>
            <w:hideMark/>
          </w:tcPr>
          <w:p w14:paraId="0262649A" w14:textId="77777777" w:rsidR="007968EC" w:rsidRPr="007C5A53" w:rsidRDefault="007968EC" w:rsidP="007968EC">
            <w:pPr>
              <w:rPr>
                <w:rFonts w:ascii="Arial Narrow" w:eastAsia="Calibri" w:hAnsi="Arial Narrow"/>
                <w:color w:val="000000"/>
              </w:rPr>
            </w:pPr>
            <w:r w:rsidRPr="007C5A53">
              <w:rPr>
                <w:rFonts w:ascii="Arial Narrow" w:eastAsia="Calibri" w:hAnsi="Arial Narrow"/>
                <w:color w:val="000000"/>
              </w:rPr>
              <w:t>Activo Subyacente</w:t>
            </w:r>
          </w:p>
        </w:tc>
        <w:tc>
          <w:tcPr>
            <w:tcW w:w="5443" w:type="dxa"/>
            <w:shd w:val="clear" w:color="auto" w:fill="auto"/>
            <w:vAlign w:val="center"/>
            <w:hideMark/>
          </w:tcPr>
          <w:p w14:paraId="13BA1248" w14:textId="77777777" w:rsidR="007968EC" w:rsidRPr="007C5A53" w:rsidRDefault="007968EC" w:rsidP="007968EC">
            <w:pPr>
              <w:jc w:val="both"/>
              <w:rPr>
                <w:rFonts w:ascii="Arial Narrow" w:eastAsia="Calibri" w:hAnsi="Arial Narrow"/>
                <w:b/>
                <w:color w:val="000000"/>
              </w:rPr>
            </w:pPr>
            <w:r w:rsidRPr="007C5A53">
              <w:rPr>
                <w:rFonts w:ascii="Arial Narrow" w:eastAsia="Calibri" w:hAnsi="Arial Narrow"/>
                <w:color w:val="000000"/>
              </w:rPr>
              <w:t xml:space="preserve">Tasa Representativa del Mercado de dólares de los Estados Unidos de América calculada el día del vencimiento y publicada por la Superintendencia Financiera de Colombia. </w:t>
            </w:r>
          </w:p>
        </w:tc>
      </w:tr>
      <w:tr w:rsidR="007968EC" w:rsidRPr="007C5A53" w14:paraId="75977F48" w14:textId="77777777" w:rsidTr="007968EC">
        <w:trPr>
          <w:trHeight w:val="220"/>
          <w:jc w:val="center"/>
        </w:trPr>
        <w:tc>
          <w:tcPr>
            <w:tcW w:w="3843" w:type="dxa"/>
            <w:shd w:val="clear" w:color="auto" w:fill="BFBFBF"/>
            <w:noWrap/>
            <w:vAlign w:val="center"/>
            <w:hideMark/>
          </w:tcPr>
          <w:p w14:paraId="3D387103" w14:textId="77777777" w:rsidR="007968EC" w:rsidRPr="007C5A53" w:rsidRDefault="007968EC" w:rsidP="007968EC">
            <w:pPr>
              <w:rPr>
                <w:rFonts w:ascii="Arial Narrow" w:eastAsia="Calibri" w:hAnsi="Arial Narrow"/>
                <w:color w:val="000000"/>
              </w:rPr>
            </w:pPr>
            <w:r w:rsidRPr="007C5A53">
              <w:rPr>
                <w:rFonts w:ascii="Arial Narrow" w:eastAsia="Calibri" w:hAnsi="Arial Narrow"/>
                <w:color w:val="000000"/>
              </w:rPr>
              <w:t>Características de los montos</w:t>
            </w:r>
          </w:p>
        </w:tc>
        <w:tc>
          <w:tcPr>
            <w:tcW w:w="5443" w:type="dxa"/>
            <w:shd w:val="clear" w:color="auto" w:fill="auto"/>
            <w:vAlign w:val="center"/>
            <w:hideMark/>
          </w:tcPr>
          <w:p w14:paraId="39546445" w14:textId="77777777" w:rsidR="007968EC" w:rsidRPr="007C5A53" w:rsidRDefault="007968EC" w:rsidP="007968EC">
            <w:pPr>
              <w:rPr>
                <w:rFonts w:ascii="Arial Narrow" w:eastAsia="Calibri" w:hAnsi="Arial Narrow"/>
                <w:b/>
                <w:color w:val="000000"/>
              </w:rPr>
            </w:pPr>
            <w:r w:rsidRPr="007C5A53">
              <w:rPr>
                <w:rFonts w:ascii="Arial Narrow" w:eastAsia="Calibri" w:hAnsi="Arial Narrow"/>
                <w:color w:val="000000"/>
              </w:rPr>
              <w:t>Múltiplos de USD 1.</w:t>
            </w:r>
          </w:p>
        </w:tc>
      </w:tr>
      <w:tr w:rsidR="007968EC" w:rsidRPr="007C5A53" w14:paraId="75D774CB" w14:textId="77777777" w:rsidTr="007968EC">
        <w:trPr>
          <w:trHeight w:val="997"/>
          <w:jc w:val="center"/>
        </w:trPr>
        <w:tc>
          <w:tcPr>
            <w:tcW w:w="3843" w:type="dxa"/>
            <w:shd w:val="clear" w:color="auto" w:fill="BFBFBF"/>
            <w:noWrap/>
            <w:vAlign w:val="center"/>
            <w:hideMark/>
          </w:tcPr>
          <w:p w14:paraId="4FFAF3A7" w14:textId="77777777" w:rsidR="007968EC" w:rsidRPr="007C5A53" w:rsidRDefault="007968EC" w:rsidP="007968EC">
            <w:pPr>
              <w:rPr>
                <w:rFonts w:ascii="Arial Narrow" w:eastAsia="Calibri" w:hAnsi="Arial Narrow"/>
                <w:color w:val="000000"/>
              </w:rPr>
            </w:pPr>
            <w:r w:rsidRPr="007C5A53">
              <w:rPr>
                <w:rFonts w:ascii="Arial Narrow" w:eastAsia="Calibri" w:hAnsi="Arial Narrow"/>
                <w:color w:val="000000"/>
              </w:rPr>
              <w:t>Plazo Remanente</w:t>
            </w:r>
          </w:p>
        </w:tc>
        <w:tc>
          <w:tcPr>
            <w:tcW w:w="5443" w:type="dxa"/>
            <w:shd w:val="clear" w:color="auto" w:fill="auto"/>
            <w:vAlign w:val="center"/>
            <w:hideMark/>
          </w:tcPr>
          <w:p w14:paraId="6962294E" w14:textId="77777777" w:rsidR="007968EC" w:rsidRPr="007C5A53" w:rsidRDefault="007968EC" w:rsidP="007968EC">
            <w:pPr>
              <w:jc w:val="both"/>
              <w:rPr>
                <w:rFonts w:ascii="Arial Narrow" w:eastAsia="Calibri" w:hAnsi="Arial Narrow"/>
                <w:b/>
                <w:color w:val="000000"/>
              </w:rPr>
            </w:pPr>
            <w:r w:rsidRPr="007C5A53">
              <w:rPr>
                <w:rFonts w:ascii="Arial Narrow" w:eastAsia="Calibri" w:hAnsi="Arial Narrow"/>
                <w:color w:val="000000"/>
              </w:rPr>
              <w:t>Se aceptarán operaciones de máximo de quinientos cincuenta y cinco (555) días calendario previo al vencimiento de la operación.</w:t>
            </w:r>
          </w:p>
        </w:tc>
      </w:tr>
      <w:tr w:rsidR="007968EC" w:rsidRPr="007C5A53" w14:paraId="27B2EE8F" w14:textId="77777777" w:rsidTr="007968EC">
        <w:trPr>
          <w:trHeight w:val="533"/>
          <w:jc w:val="center"/>
        </w:trPr>
        <w:tc>
          <w:tcPr>
            <w:tcW w:w="3843" w:type="dxa"/>
            <w:shd w:val="clear" w:color="auto" w:fill="BFBFBF"/>
            <w:noWrap/>
            <w:vAlign w:val="center"/>
            <w:hideMark/>
          </w:tcPr>
          <w:p w14:paraId="65A87951" w14:textId="77777777" w:rsidR="007968EC" w:rsidRPr="007C5A53" w:rsidRDefault="007968EC" w:rsidP="007968EC">
            <w:pPr>
              <w:rPr>
                <w:rFonts w:ascii="Arial Narrow" w:eastAsia="Calibri" w:hAnsi="Arial Narrow"/>
                <w:color w:val="000000"/>
              </w:rPr>
            </w:pPr>
            <w:r w:rsidRPr="007C5A53">
              <w:rPr>
                <w:rFonts w:ascii="Arial Narrow" w:eastAsia="Calibri" w:hAnsi="Arial Narrow"/>
                <w:color w:val="000000"/>
              </w:rPr>
              <w:t>Método de Liquidación</w:t>
            </w:r>
          </w:p>
        </w:tc>
        <w:tc>
          <w:tcPr>
            <w:tcW w:w="5443" w:type="dxa"/>
            <w:shd w:val="clear" w:color="auto" w:fill="auto"/>
            <w:vAlign w:val="center"/>
            <w:hideMark/>
          </w:tcPr>
          <w:p w14:paraId="0B431616" w14:textId="77777777" w:rsidR="007968EC" w:rsidRPr="007C5A53" w:rsidRDefault="007968EC" w:rsidP="007968EC">
            <w:pPr>
              <w:jc w:val="both"/>
              <w:rPr>
                <w:rFonts w:ascii="Arial Narrow" w:eastAsia="Calibri" w:hAnsi="Arial Narrow"/>
                <w:b/>
                <w:color w:val="000000"/>
              </w:rPr>
            </w:pPr>
            <w:r w:rsidRPr="007C5A53">
              <w:rPr>
                <w:rFonts w:ascii="Arial Narrow" w:eastAsia="Calibri" w:hAnsi="Arial Narrow"/>
                <w:color w:val="000000"/>
              </w:rPr>
              <w:t>Liquidación por Diferencias y se realizará en pesos moneda legal colombiana.</w:t>
            </w:r>
          </w:p>
        </w:tc>
      </w:tr>
      <w:tr w:rsidR="007968EC" w:rsidRPr="007C5A53" w14:paraId="6C479697" w14:textId="77777777" w:rsidTr="007968EC">
        <w:trPr>
          <w:trHeight w:val="533"/>
          <w:jc w:val="center"/>
        </w:trPr>
        <w:tc>
          <w:tcPr>
            <w:tcW w:w="3843" w:type="dxa"/>
            <w:shd w:val="clear" w:color="auto" w:fill="BFBFBF"/>
            <w:noWrap/>
            <w:vAlign w:val="center"/>
          </w:tcPr>
          <w:p w14:paraId="1676B001" w14:textId="77777777" w:rsidR="007968EC" w:rsidRPr="007C5A53" w:rsidRDefault="007968EC" w:rsidP="007968EC">
            <w:pPr>
              <w:rPr>
                <w:rFonts w:ascii="Arial Narrow" w:eastAsia="Calibri" w:hAnsi="Arial Narrow"/>
                <w:color w:val="000000"/>
              </w:rPr>
            </w:pPr>
            <w:r w:rsidRPr="007C5A53">
              <w:rPr>
                <w:rFonts w:ascii="Arial Narrow" w:eastAsia="Calibri" w:hAnsi="Arial Narrow"/>
                <w:color w:val="000000"/>
              </w:rPr>
              <w:t>Tipo de Liquidación</w:t>
            </w:r>
          </w:p>
        </w:tc>
        <w:tc>
          <w:tcPr>
            <w:tcW w:w="5443" w:type="dxa"/>
            <w:shd w:val="clear" w:color="auto" w:fill="auto"/>
            <w:vAlign w:val="center"/>
          </w:tcPr>
          <w:p w14:paraId="624AD7D9" w14:textId="77777777" w:rsidR="007968EC" w:rsidRPr="007C5A53" w:rsidRDefault="007968EC" w:rsidP="007968EC">
            <w:pPr>
              <w:autoSpaceDE w:val="0"/>
              <w:autoSpaceDN w:val="0"/>
              <w:jc w:val="both"/>
              <w:rPr>
                <w:rFonts w:ascii="Arial Narrow" w:eastAsia="Calibri" w:hAnsi="Arial Narrow"/>
                <w:b/>
                <w:color w:val="000000"/>
              </w:rPr>
            </w:pPr>
            <w:r w:rsidRPr="007C5A53">
              <w:rPr>
                <w:rFonts w:ascii="Arial Narrow" w:eastAsia="Calibri" w:hAnsi="Arial Narrow"/>
                <w:color w:val="000000"/>
              </w:rPr>
              <w:t>Liquidación Diaria y al Vencimiento.</w:t>
            </w:r>
          </w:p>
        </w:tc>
      </w:tr>
      <w:tr w:rsidR="007968EC" w:rsidRPr="007C5A53" w14:paraId="21FACB21" w14:textId="77777777" w:rsidTr="007968EC">
        <w:trPr>
          <w:trHeight w:val="540"/>
          <w:jc w:val="center"/>
        </w:trPr>
        <w:tc>
          <w:tcPr>
            <w:tcW w:w="3843" w:type="dxa"/>
            <w:shd w:val="clear" w:color="auto" w:fill="BFBFBF"/>
            <w:noWrap/>
            <w:vAlign w:val="center"/>
            <w:hideMark/>
          </w:tcPr>
          <w:p w14:paraId="11691B3D" w14:textId="77777777" w:rsidR="007968EC" w:rsidRPr="007C5A53" w:rsidRDefault="007968EC" w:rsidP="007968EC">
            <w:pPr>
              <w:rPr>
                <w:rFonts w:ascii="Arial Narrow" w:eastAsia="Calibri" w:hAnsi="Arial Narrow"/>
                <w:color w:val="000000"/>
              </w:rPr>
            </w:pPr>
            <w:r w:rsidRPr="007C5A53">
              <w:rPr>
                <w:rFonts w:ascii="Arial Narrow" w:eastAsia="Calibri" w:hAnsi="Arial Narrow"/>
                <w:color w:val="000000"/>
              </w:rPr>
              <w:t>Fecha de Vencimiento</w:t>
            </w:r>
          </w:p>
        </w:tc>
        <w:tc>
          <w:tcPr>
            <w:tcW w:w="5443" w:type="dxa"/>
            <w:shd w:val="clear" w:color="auto" w:fill="auto"/>
            <w:vAlign w:val="center"/>
            <w:hideMark/>
          </w:tcPr>
          <w:p w14:paraId="0846BAB8" w14:textId="77777777" w:rsidR="007968EC" w:rsidRPr="007C5A53" w:rsidRDefault="007968EC" w:rsidP="007968EC">
            <w:pPr>
              <w:jc w:val="both"/>
              <w:rPr>
                <w:rFonts w:ascii="Arial Narrow" w:eastAsia="Calibri" w:hAnsi="Arial Narrow"/>
                <w:b/>
                <w:color w:val="000000"/>
              </w:rPr>
            </w:pPr>
            <w:r w:rsidRPr="007C5A53">
              <w:rPr>
                <w:rFonts w:ascii="Arial Narrow" w:eastAsia="Calibri" w:hAnsi="Arial Narrow"/>
                <w:color w:val="000000"/>
              </w:rPr>
              <w:t>Es la fecha de vencimiento de la operación Forward NDF USD/COP pactada por las partes.</w:t>
            </w:r>
          </w:p>
          <w:p w14:paraId="1C75EA3B" w14:textId="77777777" w:rsidR="007968EC" w:rsidRPr="007C5A53" w:rsidRDefault="007968EC" w:rsidP="007968EC">
            <w:pPr>
              <w:jc w:val="both"/>
              <w:rPr>
                <w:rFonts w:ascii="Arial Narrow" w:eastAsia="Calibri" w:hAnsi="Arial Narrow"/>
                <w:b/>
                <w:color w:val="000000"/>
              </w:rPr>
            </w:pPr>
          </w:p>
          <w:p w14:paraId="72A7948D" w14:textId="77777777" w:rsidR="007968EC" w:rsidRPr="007C5A53" w:rsidRDefault="007968EC" w:rsidP="007968EC">
            <w:pPr>
              <w:jc w:val="both"/>
              <w:rPr>
                <w:rFonts w:ascii="Arial Narrow" w:eastAsia="Calibri" w:hAnsi="Arial Narrow"/>
                <w:b/>
                <w:color w:val="000000"/>
              </w:rPr>
            </w:pPr>
            <w:r w:rsidRPr="007C5A53">
              <w:rPr>
                <w:rFonts w:ascii="Arial Narrow" w:eastAsia="Calibri" w:hAnsi="Arial Narrow"/>
                <w:color w:val="000000"/>
              </w:rPr>
              <w:t>Dicha fecha debe corresponder a un día hábil de operación de la Cámara en Colombia. En caso de que la fecha de vencimiento no corresponda a un día hábil de operación de la Cámara en Colombia, se tendrá como fecha de vencimiento el día hábil de la operación de la Cámara en Colombia inmediatamente siguiente.</w:t>
            </w:r>
          </w:p>
        </w:tc>
      </w:tr>
      <w:tr w:rsidR="007968EC" w:rsidRPr="007C5A53" w14:paraId="3285E78F" w14:textId="77777777" w:rsidTr="007968EC">
        <w:trPr>
          <w:trHeight w:val="562"/>
          <w:jc w:val="center"/>
        </w:trPr>
        <w:tc>
          <w:tcPr>
            <w:tcW w:w="3843" w:type="dxa"/>
            <w:shd w:val="clear" w:color="auto" w:fill="BFBFBF"/>
            <w:noWrap/>
            <w:vAlign w:val="center"/>
            <w:hideMark/>
          </w:tcPr>
          <w:p w14:paraId="2D4F65AA" w14:textId="77777777" w:rsidR="007968EC" w:rsidRPr="007C5A53" w:rsidRDefault="007968EC" w:rsidP="007968EC">
            <w:pPr>
              <w:rPr>
                <w:rFonts w:ascii="Arial Narrow" w:eastAsia="Calibri" w:hAnsi="Arial Narrow"/>
                <w:color w:val="000000"/>
              </w:rPr>
            </w:pPr>
            <w:r w:rsidRPr="007C5A53">
              <w:rPr>
                <w:rFonts w:ascii="Arial Narrow" w:eastAsia="Calibri" w:hAnsi="Arial Narrow"/>
                <w:color w:val="000000"/>
              </w:rPr>
              <w:t>Fecha de la Liquidación al Vencimiento</w:t>
            </w:r>
          </w:p>
        </w:tc>
        <w:tc>
          <w:tcPr>
            <w:tcW w:w="5443" w:type="dxa"/>
            <w:shd w:val="clear" w:color="auto" w:fill="auto"/>
            <w:vAlign w:val="center"/>
            <w:hideMark/>
          </w:tcPr>
          <w:p w14:paraId="59FBF8D5" w14:textId="77777777" w:rsidR="007968EC" w:rsidRPr="007C5A53" w:rsidRDefault="007968EC" w:rsidP="007968EC">
            <w:pPr>
              <w:jc w:val="both"/>
              <w:rPr>
                <w:rFonts w:ascii="Arial Narrow" w:eastAsia="Calibri" w:hAnsi="Arial Narrow"/>
                <w:b/>
                <w:color w:val="000000"/>
                <w:u w:val="single"/>
              </w:rPr>
            </w:pPr>
            <w:r w:rsidRPr="007C5A53">
              <w:rPr>
                <w:rFonts w:ascii="Arial Narrow" w:eastAsia="Calibri" w:hAnsi="Arial Narrow"/>
                <w:color w:val="000000"/>
              </w:rPr>
              <w:t xml:space="preserve">Corresponde a la fecha en la que se debe entregar el pago final resultante del procedimiento de Liquidación al Vencimiento y siempre corresponderá al día hábil de Cámara siguiente a la Fecha de Vencimiento. </w:t>
            </w:r>
          </w:p>
        </w:tc>
      </w:tr>
    </w:tbl>
    <w:p w14:paraId="56112D2B" w14:textId="77777777" w:rsidR="007968EC" w:rsidRPr="007C5A53" w:rsidRDefault="007968EC" w:rsidP="007968EC">
      <w:pPr>
        <w:jc w:val="both"/>
        <w:rPr>
          <w:rFonts w:ascii="Arial Narrow" w:eastAsia="Calibri" w:hAnsi="Arial Narrow"/>
          <w:color w:val="000000"/>
        </w:rPr>
      </w:pPr>
    </w:p>
    <w:p w14:paraId="6BFEAAC0" w14:textId="77777777" w:rsidR="007968EC" w:rsidRPr="007C5A53" w:rsidRDefault="007968EC" w:rsidP="00DA7472">
      <w:pPr>
        <w:numPr>
          <w:ilvl w:val="0"/>
          <w:numId w:val="66"/>
        </w:numPr>
        <w:autoSpaceDE w:val="0"/>
        <w:autoSpaceDN w:val="0"/>
        <w:adjustRightInd w:val="0"/>
        <w:ind w:left="646"/>
        <w:contextualSpacing/>
        <w:jc w:val="both"/>
        <w:rPr>
          <w:rFonts w:ascii="Arial Narrow" w:eastAsia="Calibri" w:hAnsi="Arial Narrow"/>
          <w:b/>
          <w:color w:val="000000"/>
        </w:rPr>
      </w:pPr>
      <w:r w:rsidRPr="007C5A53">
        <w:rPr>
          <w:rFonts w:ascii="Arial Narrow" w:eastAsia="Calibri" w:hAnsi="Arial Narrow"/>
          <w:color w:val="000000"/>
        </w:rPr>
        <w:t>Características Especiales:</w:t>
      </w:r>
    </w:p>
    <w:p w14:paraId="23E989AD" w14:textId="77777777" w:rsidR="007968EC" w:rsidRPr="007C5A53" w:rsidRDefault="007968EC" w:rsidP="007968EC">
      <w:pPr>
        <w:contextualSpacing/>
        <w:jc w:val="both"/>
        <w:rPr>
          <w:rFonts w:ascii="Arial Narrow" w:eastAsia="Calibri" w:hAnsi="Arial Narrow"/>
          <w:b/>
          <w:bCs/>
          <w:color w:val="000000"/>
          <w:u w:val="single"/>
        </w:rPr>
      </w:pPr>
    </w:p>
    <w:tbl>
      <w:tblPr>
        <w:tblW w:w="935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28"/>
        <w:gridCol w:w="5528"/>
      </w:tblGrid>
      <w:tr w:rsidR="007968EC" w:rsidRPr="007C5A53" w14:paraId="22778BD0" w14:textId="77777777" w:rsidTr="007968EC">
        <w:trPr>
          <w:jc w:val="center"/>
        </w:trPr>
        <w:tc>
          <w:tcPr>
            <w:tcW w:w="3828" w:type="dxa"/>
            <w:shd w:val="clear" w:color="auto" w:fill="BFBFBF"/>
            <w:vAlign w:val="center"/>
          </w:tcPr>
          <w:p w14:paraId="51538A7D" w14:textId="77777777" w:rsidR="007968EC" w:rsidRPr="007C5A53" w:rsidRDefault="007968EC" w:rsidP="007968EC">
            <w:pPr>
              <w:contextualSpacing/>
              <w:jc w:val="both"/>
              <w:rPr>
                <w:rFonts w:ascii="Arial Narrow" w:eastAsia="Calibri" w:hAnsi="Arial Narrow"/>
                <w:bCs/>
                <w:color w:val="000000"/>
                <w:u w:val="single"/>
              </w:rPr>
            </w:pPr>
            <w:r w:rsidRPr="007C5A53">
              <w:rPr>
                <w:rFonts w:ascii="Arial Narrow" w:eastAsia="Calibri" w:hAnsi="Arial Narrow"/>
                <w:bCs/>
                <w:color w:val="000000"/>
              </w:rPr>
              <w:lastRenderedPageBreak/>
              <w:t>Tasa de la Operación</w:t>
            </w:r>
          </w:p>
        </w:tc>
        <w:tc>
          <w:tcPr>
            <w:tcW w:w="5528" w:type="dxa"/>
            <w:vAlign w:val="center"/>
          </w:tcPr>
          <w:p w14:paraId="0CF4B2AF" w14:textId="77777777" w:rsidR="007968EC" w:rsidRPr="007C5A53" w:rsidRDefault="007968EC" w:rsidP="007968EC">
            <w:pPr>
              <w:jc w:val="both"/>
              <w:rPr>
                <w:rFonts w:ascii="Arial Narrow" w:eastAsia="Calibri" w:hAnsi="Arial Narrow"/>
                <w:bCs/>
                <w:color w:val="000000"/>
                <w:u w:val="single"/>
              </w:rPr>
            </w:pPr>
            <w:r w:rsidRPr="007C5A53">
              <w:rPr>
                <w:rFonts w:ascii="Arial Narrow" w:eastAsia="Calibri" w:hAnsi="Arial Narrow"/>
                <w:color w:val="000000"/>
              </w:rPr>
              <w:t>Es la tasa pactada</w:t>
            </w:r>
            <w:r w:rsidRPr="007C5A53">
              <w:rPr>
                <w:rFonts w:ascii="Arial Narrow" w:eastAsia="Calibri" w:hAnsi="Arial Narrow"/>
                <w:color w:val="000000"/>
                <w:szCs w:val="16"/>
              </w:rPr>
              <w:t xml:space="preserve"> por las partes de la </w:t>
            </w:r>
            <w:r w:rsidRPr="007C5A53">
              <w:rPr>
                <w:rFonts w:ascii="Arial Narrow" w:eastAsia="Calibri" w:hAnsi="Arial Narrow"/>
                <w:bCs/>
                <w:color w:val="000000"/>
              </w:rPr>
              <w:t>Operación Susceptible de ser Aceptada</w:t>
            </w:r>
            <w:r w:rsidRPr="007C5A53">
              <w:rPr>
                <w:rFonts w:ascii="Arial Narrow" w:eastAsia="Calibri" w:hAnsi="Arial Narrow"/>
                <w:color w:val="000000"/>
              </w:rPr>
              <w:t>.</w:t>
            </w:r>
          </w:p>
        </w:tc>
      </w:tr>
      <w:tr w:rsidR="007968EC" w:rsidRPr="007C5A53" w14:paraId="1D855871" w14:textId="77777777" w:rsidTr="007968EC">
        <w:trPr>
          <w:jc w:val="center"/>
        </w:trPr>
        <w:tc>
          <w:tcPr>
            <w:tcW w:w="3828" w:type="dxa"/>
            <w:shd w:val="clear" w:color="auto" w:fill="BFBFBF"/>
            <w:vAlign w:val="center"/>
          </w:tcPr>
          <w:p w14:paraId="5F3B72CB" w14:textId="77777777" w:rsidR="007968EC" w:rsidRPr="007C5A53" w:rsidRDefault="007968EC" w:rsidP="007968EC">
            <w:pPr>
              <w:contextualSpacing/>
              <w:jc w:val="both"/>
              <w:rPr>
                <w:rFonts w:ascii="Arial Narrow" w:eastAsia="Calibri" w:hAnsi="Arial Narrow"/>
                <w:bCs/>
                <w:color w:val="000000"/>
                <w:u w:val="single"/>
              </w:rPr>
            </w:pPr>
            <w:r w:rsidRPr="007C5A53">
              <w:rPr>
                <w:rFonts w:ascii="Arial Narrow" w:eastAsia="Calibri" w:hAnsi="Arial Narrow"/>
                <w:bCs/>
                <w:color w:val="000000"/>
              </w:rPr>
              <w:t>Precio de Valoración de Cierre</w:t>
            </w:r>
          </w:p>
        </w:tc>
        <w:tc>
          <w:tcPr>
            <w:tcW w:w="5528" w:type="dxa"/>
            <w:vAlign w:val="center"/>
          </w:tcPr>
          <w:p w14:paraId="06AFB37C" w14:textId="77777777" w:rsidR="007968EC" w:rsidRPr="007C5A53" w:rsidRDefault="007968EC" w:rsidP="007968EC">
            <w:pPr>
              <w:jc w:val="both"/>
              <w:rPr>
                <w:rFonts w:ascii="Arial Narrow" w:eastAsia="Calibri" w:hAnsi="Arial Narrow"/>
                <w:bCs/>
                <w:color w:val="000000"/>
                <w:u w:val="single"/>
              </w:rPr>
            </w:pPr>
            <w:r w:rsidRPr="007C5A53">
              <w:rPr>
                <w:rFonts w:ascii="Arial Narrow" w:eastAsia="Calibri" w:hAnsi="Arial Narrow"/>
                <w:bCs/>
                <w:color w:val="000000"/>
              </w:rPr>
              <w:t>Precio con el cual se realiza el proceso de Liquidación Diaria el cual es suministrado por el Proveedor Oficial de Precios para Valoración.</w:t>
            </w:r>
          </w:p>
        </w:tc>
      </w:tr>
      <w:tr w:rsidR="007968EC" w:rsidRPr="007C5A53" w14:paraId="6BD3C158" w14:textId="77777777" w:rsidTr="007968EC">
        <w:trPr>
          <w:jc w:val="center"/>
        </w:trPr>
        <w:tc>
          <w:tcPr>
            <w:tcW w:w="3828" w:type="dxa"/>
            <w:shd w:val="clear" w:color="auto" w:fill="BFBFBF"/>
            <w:vAlign w:val="center"/>
          </w:tcPr>
          <w:p w14:paraId="1F9EA9F7" w14:textId="77777777" w:rsidR="007968EC" w:rsidRPr="007C5A53" w:rsidRDefault="007968EC" w:rsidP="007968EC">
            <w:pPr>
              <w:contextualSpacing/>
              <w:jc w:val="both"/>
              <w:rPr>
                <w:rFonts w:ascii="Arial Narrow" w:eastAsia="Calibri" w:hAnsi="Arial Narrow"/>
                <w:bCs/>
                <w:color w:val="000000"/>
                <w:u w:val="single"/>
              </w:rPr>
            </w:pPr>
            <w:r w:rsidRPr="007C5A53">
              <w:rPr>
                <w:rFonts w:ascii="Arial Narrow" w:eastAsia="Calibri" w:hAnsi="Arial Narrow"/>
                <w:bCs/>
                <w:color w:val="000000"/>
              </w:rPr>
              <w:t>Precio de Liquidación al Vencimiento</w:t>
            </w:r>
          </w:p>
        </w:tc>
        <w:tc>
          <w:tcPr>
            <w:tcW w:w="5528" w:type="dxa"/>
            <w:vAlign w:val="center"/>
          </w:tcPr>
          <w:p w14:paraId="24EB2413" w14:textId="77777777" w:rsidR="007968EC" w:rsidRPr="007C5A53" w:rsidRDefault="007968EC" w:rsidP="007968EC">
            <w:pPr>
              <w:jc w:val="both"/>
              <w:rPr>
                <w:rFonts w:ascii="Arial Narrow" w:eastAsia="Calibri" w:hAnsi="Arial Narrow"/>
                <w:bCs/>
                <w:color w:val="000000"/>
                <w:u w:val="single"/>
              </w:rPr>
            </w:pPr>
            <w:r w:rsidRPr="007C5A53">
              <w:rPr>
                <w:rFonts w:ascii="Arial Narrow" w:eastAsia="Calibri" w:hAnsi="Arial Narrow"/>
                <w:color w:val="000000"/>
              </w:rPr>
              <w:t>Tasa Representativa del Mercado de dólares de los Estados Unidos de América calculada el día del vencimiento, publicada por la Superintendencia Financiera de Colombia y vigente para la Fecha de Liquidación al Vencimiento.</w:t>
            </w:r>
          </w:p>
        </w:tc>
      </w:tr>
      <w:tr w:rsidR="007968EC" w:rsidRPr="007C5A53" w14:paraId="2DBDBE74" w14:textId="77777777" w:rsidTr="007968EC">
        <w:trPr>
          <w:jc w:val="center"/>
        </w:trPr>
        <w:tc>
          <w:tcPr>
            <w:tcW w:w="3828" w:type="dxa"/>
            <w:shd w:val="clear" w:color="auto" w:fill="BFBFBF"/>
            <w:vAlign w:val="center"/>
          </w:tcPr>
          <w:p w14:paraId="35AD4202" w14:textId="77777777" w:rsidR="007968EC" w:rsidRPr="007C5A53" w:rsidRDefault="007968EC" w:rsidP="007968EC">
            <w:pPr>
              <w:contextualSpacing/>
              <w:jc w:val="both"/>
              <w:rPr>
                <w:rFonts w:ascii="Arial Narrow" w:eastAsia="Calibri" w:hAnsi="Arial Narrow"/>
                <w:bCs/>
                <w:color w:val="000000"/>
                <w:u w:val="single"/>
              </w:rPr>
            </w:pPr>
            <w:r w:rsidRPr="007C5A53">
              <w:rPr>
                <w:rFonts w:ascii="Arial Narrow" w:eastAsia="Calibri" w:hAnsi="Arial Narrow"/>
                <w:bCs/>
                <w:color w:val="000000"/>
              </w:rPr>
              <w:t>Valor Nominal</w:t>
            </w:r>
          </w:p>
        </w:tc>
        <w:tc>
          <w:tcPr>
            <w:tcW w:w="5528" w:type="dxa"/>
            <w:vAlign w:val="center"/>
          </w:tcPr>
          <w:p w14:paraId="52CA1613" w14:textId="77777777" w:rsidR="007968EC" w:rsidRPr="007C5A53" w:rsidRDefault="007968EC" w:rsidP="007968EC">
            <w:pPr>
              <w:jc w:val="both"/>
              <w:rPr>
                <w:rFonts w:ascii="Arial Narrow" w:eastAsia="Calibri" w:hAnsi="Arial Narrow"/>
                <w:bCs/>
                <w:color w:val="000000"/>
                <w:u w:val="single"/>
              </w:rPr>
            </w:pPr>
            <w:r w:rsidRPr="007C5A53">
              <w:rPr>
                <w:rFonts w:ascii="Arial Narrow" w:eastAsia="Calibri" w:hAnsi="Arial Narrow"/>
                <w:color w:val="000000"/>
                <w:szCs w:val="16"/>
              </w:rPr>
              <w:t xml:space="preserve">Valor en dólares de los Estados Unidos de América pactado por las partes de la </w:t>
            </w:r>
            <w:r w:rsidRPr="007C5A53">
              <w:rPr>
                <w:rFonts w:ascii="Arial Narrow" w:eastAsia="Calibri" w:hAnsi="Arial Narrow"/>
                <w:bCs/>
                <w:color w:val="000000"/>
              </w:rPr>
              <w:t>Operación Susceptible de ser Aceptada</w:t>
            </w:r>
            <w:r w:rsidRPr="007C5A53">
              <w:rPr>
                <w:rFonts w:ascii="Arial Narrow" w:eastAsia="Calibri" w:hAnsi="Arial Narrow"/>
                <w:color w:val="000000"/>
                <w:szCs w:val="16"/>
              </w:rPr>
              <w:t>.</w:t>
            </w:r>
          </w:p>
        </w:tc>
      </w:tr>
      <w:tr w:rsidR="007968EC" w:rsidRPr="007C5A53" w14:paraId="5D1D746A" w14:textId="77777777" w:rsidTr="007968EC">
        <w:trPr>
          <w:jc w:val="center"/>
        </w:trPr>
        <w:tc>
          <w:tcPr>
            <w:tcW w:w="3828" w:type="dxa"/>
            <w:shd w:val="clear" w:color="auto" w:fill="BFBFBF"/>
            <w:vAlign w:val="center"/>
          </w:tcPr>
          <w:p w14:paraId="63404307" w14:textId="77777777" w:rsidR="007968EC" w:rsidRPr="007C5A53" w:rsidRDefault="007968EC" w:rsidP="007968EC">
            <w:pPr>
              <w:contextualSpacing/>
              <w:rPr>
                <w:rFonts w:ascii="Arial Narrow" w:eastAsia="Calibri" w:hAnsi="Arial Narrow"/>
                <w:bCs/>
                <w:color w:val="000000"/>
                <w:u w:val="single"/>
              </w:rPr>
            </w:pPr>
            <w:r w:rsidRPr="007C5A53">
              <w:rPr>
                <w:rFonts w:ascii="Arial Narrow" w:eastAsia="Calibri" w:hAnsi="Arial Narrow"/>
                <w:bCs/>
                <w:color w:val="000000"/>
              </w:rPr>
              <w:t xml:space="preserve">Pagos </w:t>
            </w:r>
            <w:r w:rsidRPr="007C5A53">
              <w:rPr>
                <w:rFonts w:ascii="Arial Narrow" w:eastAsia="Calibri" w:hAnsi="Arial Narrow"/>
                <w:color w:val="000000"/>
                <w:szCs w:val="16"/>
              </w:rPr>
              <w:t>o “neteos” periódicos (</w:t>
            </w:r>
            <w:proofErr w:type="spellStart"/>
            <w:r w:rsidRPr="007C5A53">
              <w:rPr>
                <w:rFonts w:ascii="Arial Narrow" w:eastAsia="Calibri" w:hAnsi="Arial Narrow"/>
                <w:color w:val="000000"/>
                <w:szCs w:val="16"/>
              </w:rPr>
              <w:t>recouponing</w:t>
            </w:r>
            <w:proofErr w:type="spellEnd"/>
            <w:r w:rsidRPr="007C5A53">
              <w:rPr>
                <w:rFonts w:ascii="Arial Narrow" w:eastAsia="Calibri" w:hAnsi="Arial Narrow"/>
                <w:color w:val="000000"/>
                <w:szCs w:val="16"/>
              </w:rPr>
              <w:t>).</w:t>
            </w:r>
          </w:p>
        </w:tc>
        <w:tc>
          <w:tcPr>
            <w:tcW w:w="5528" w:type="dxa"/>
            <w:vAlign w:val="center"/>
          </w:tcPr>
          <w:p w14:paraId="33584A0C" w14:textId="77777777" w:rsidR="007968EC" w:rsidRPr="007C5A53" w:rsidRDefault="007968EC" w:rsidP="007968EC">
            <w:pPr>
              <w:jc w:val="both"/>
              <w:rPr>
                <w:rFonts w:ascii="Arial Narrow" w:eastAsia="Calibri" w:hAnsi="Arial Narrow"/>
                <w:bCs/>
                <w:color w:val="000000"/>
              </w:rPr>
            </w:pPr>
            <w:r w:rsidRPr="007C5A53">
              <w:rPr>
                <w:rFonts w:ascii="Arial Narrow" w:eastAsia="Calibri" w:hAnsi="Arial Narrow"/>
                <w:bCs/>
                <w:color w:val="000000"/>
                <w:szCs w:val="16"/>
              </w:rPr>
              <w:t>Sólo se aceptarán operaciones que hayan sido objeto de pagos o “neteos” periódicos (</w:t>
            </w:r>
            <w:proofErr w:type="spellStart"/>
            <w:r w:rsidRPr="007C5A53">
              <w:rPr>
                <w:rFonts w:ascii="Arial Narrow" w:eastAsia="Calibri" w:hAnsi="Arial Narrow"/>
                <w:bCs/>
                <w:color w:val="000000"/>
                <w:szCs w:val="16"/>
              </w:rPr>
              <w:t>recouponing</w:t>
            </w:r>
            <w:proofErr w:type="spellEnd"/>
            <w:r w:rsidRPr="007C5A53">
              <w:rPr>
                <w:rFonts w:ascii="Arial Narrow" w:eastAsia="Calibri" w:hAnsi="Arial Narrow"/>
                <w:bCs/>
                <w:color w:val="000000"/>
                <w:szCs w:val="16"/>
              </w:rPr>
              <w:t xml:space="preserve">), cuando los SND y/o SRD que remitan tales operaciones cumplan con lo dispuesto en el inciso 3º del numeral 2.4. de la Circular Reglamentaria Externa DODM - 317 por la cual se reglamenta la Resolución Externa 4 de 2009 de la Junta Directiva del Banco de la República, es decir, cuando los SND y/o SRD permitan a los Miembros que previo a remitir la operación a la Cámara, puedan modificar el registro de las operaciones, para remplazar la tasa pactada inicialmente en la operación, por la nueva tasa que resulta después de la operación de </w:t>
            </w:r>
            <w:proofErr w:type="spellStart"/>
            <w:r w:rsidRPr="007C5A53">
              <w:rPr>
                <w:rFonts w:ascii="Arial Narrow" w:eastAsia="Calibri" w:hAnsi="Arial Narrow"/>
                <w:bCs/>
                <w:color w:val="000000"/>
                <w:szCs w:val="16"/>
              </w:rPr>
              <w:t>recouponing</w:t>
            </w:r>
            <w:proofErr w:type="spellEnd"/>
            <w:r w:rsidRPr="007C5A53">
              <w:rPr>
                <w:rFonts w:ascii="Arial Narrow" w:eastAsia="Calibri" w:hAnsi="Arial Narrow"/>
                <w:bCs/>
                <w:color w:val="000000"/>
                <w:szCs w:val="16"/>
              </w:rPr>
              <w:t>. En tal sentido, los Miembros se obligan a modificar el registro previo a remitir la operación a la Cámara.</w:t>
            </w:r>
          </w:p>
        </w:tc>
      </w:tr>
    </w:tbl>
    <w:p w14:paraId="4E080057" w14:textId="77777777" w:rsidR="007968EC" w:rsidRPr="007C5A53" w:rsidRDefault="007968EC" w:rsidP="007968EC">
      <w:pPr>
        <w:jc w:val="both"/>
        <w:rPr>
          <w:rFonts w:ascii="Arial Narrow" w:eastAsia="Calibri" w:hAnsi="Arial Narrow"/>
          <w:bCs/>
          <w:color w:val="000000"/>
          <w:u w:val="single"/>
        </w:rPr>
      </w:pPr>
    </w:p>
    <w:p w14:paraId="2401F0C9" w14:textId="77777777" w:rsidR="007968EC" w:rsidRPr="007C5A53" w:rsidRDefault="007968EC" w:rsidP="00DA7472">
      <w:pPr>
        <w:numPr>
          <w:ilvl w:val="0"/>
          <w:numId w:val="66"/>
        </w:numPr>
        <w:ind w:left="426" w:hanging="426"/>
        <w:jc w:val="both"/>
        <w:rPr>
          <w:rFonts w:ascii="Arial Narrow" w:eastAsia="Calibri" w:hAnsi="Arial Narrow"/>
          <w:b/>
          <w:bCs/>
          <w:color w:val="000000"/>
        </w:rPr>
      </w:pPr>
      <w:r w:rsidRPr="007C5A53">
        <w:rPr>
          <w:rFonts w:ascii="Arial Narrow" w:eastAsia="Calibri" w:hAnsi="Arial Narrow"/>
          <w:bCs/>
          <w:color w:val="000000"/>
        </w:rPr>
        <w:t>Términos Económicos:</w:t>
      </w:r>
    </w:p>
    <w:p w14:paraId="797F0710" w14:textId="77777777" w:rsidR="007968EC" w:rsidRPr="007C5A53" w:rsidRDefault="007968EC" w:rsidP="007968EC">
      <w:pPr>
        <w:jc w:val="both"/>
        <w:rPr>
          <w:rFonts w:ascii="Arial Narrow" w:eastAsia="Calibri" w:hAnsi="Arial Narrow"/>
          <w:color w:val="000000"/>
        </w:rPr>
      </w:pPr>
    </w:p>
    <w:p w14:paraId="193EEBEC" w14:textId="77777777" w:rsidR="007968EC" w:rsidRPr="007C5A53" w:rsidRDefault="007968EC" w:rsidP="007968EC">
      <w:pPr>
        <w:jc w:val="both"/>
        <w:rPr>
          <w:rFonts w:ascii="Arial Narrow" w:eastAsia="Calibri" w:hAnsi="Arial Narrow"/>
          <w:b/>
          <w:color w:val="000000"/>
        </w:rPr>
      </w:pPr>
      <w:r w:rsidRPr="007C5A53">
        <w:rPr>
          <w:rFonts w:ascii="Arial Narrow" w:eastAsia="Calibri" w:hAnsi="Arial Narrow"/>
          <w:color w:val="000000"/>
        </w:rPr>
        <w:t>Se considerarán como Términos Económicos las condiciones sobre Tasa de la Operación, Fecha de Vencimiento, Valor Nominal y Activo Subyacente que hayan sido pactadas por las partes originales en las Operaciones sobre Instrumentos Financieros Derivados No Estandarizados Susceptibles de ser Aceptadas por la Cámara.</w:t>
      </w:r>
    </w:p>
    <w:p w14:paraId="1DED80FF" w14:textId="77777777" w:rsidR="007968EC" w:rsidRPr="007C5A53" w:rsidRDefault="007968EC" w:rsidP="007968EC">
      <w:pPr>
        <w:jc w:val="both"/>
        <w:rPr>
          <w:rFonts w:ascii="Arial Narrow" w:eastAsia="Calibri" w:hAnsi="Arial Narrow"/>
          <w:b/>
          <w:color w:val="000000"/>
        </w:rPr>
      </w:pPr>
    </w:p>
    <w:p w14:paraId="3B7A7C52" w14:textId="77777777" w:rsidR="007968EC" w:rsidRPr="007C5A53" w:rsidRDefault="007968EC" w:rsidP="00DA7472">
      <w:pPr>
        <w:numPr>
          <w:ilvl w:val="0"/>
          <w:numId w:val="66"/>
        </w:numPr>
        <w:ind w:left="426" w:hanging="426"/>
        <w:jc w:val="both"/>
        <w:rPr>
          <w:rFonts w:ascii="Arial Narrow" w:eastAsia="Calibri" w:hAnsi="Arial Narrow"/>
          <w:b/>
          <w:bCs/>
          <w:color w:val="000000"/>
        </w:rPr>
      </w:pPr>
      <w:r w:rsidRPr="007C5A53">
        <w:rPr>
          <w:rFonts w:ascii="Arial Narrow" w:eastAsia="Calibri" w:hAnsi="Arial Narrow"/>
          <w:bCs/>
          <w:color w:val="000000"/>
        </w:rPr>
        <w:t>Controles de Riesgo:</w:t>
      </w:r>
    </w:p>
    <w:p w14:paraId="65002CC7" w14:textId="77777777" w:rsidR="007968EC" w:rsidRPr="007C5A53" w:rsidRDefault="007968EC" w:rsidP="007968EC">
      <w:pPr>
        <w:jc w:val="both"/>
        <w:rPr>
          <w:rFonts w:ascii="Arial Narrow" w:eastAsia="Calibri" w:hAnsi="Arial Narrow"/>
          <w:color w:val="000000"/>
        </w:rPr>
      </w:pPr>
    </w:p>
    <w:p w14:paraId="52C2CA13" w14:textId="77777777" w:rsidR="007968EC" w:rsidRPr="007C5A53" w:rsidRDefault="007968EC" w:rsidP="007968EC">
      <w:pPr>
        <w:jc w:val="both"/>
        <w:rPr>
          <w:rFonts w:ascii="Arial Narrow" w:eastAsia="Calibri" w:hAnsi="Arial Narrow"/>
          <w:b/>
          <w:color w:val="000000"/>
        </w:rPr>
      </w:pPr>
      <w:r w:rsidRPr="007C5A53">
        <w:rPr>
          <w:rFonts w:ascii="Arial Narrow" w:eastAsia="Calibri" w:hAnsi="Arial Narrow"/>
          <w:color w:val="000000"/>
        </w:rPr>
        <w:t xml:space="preserve">Para la aceptación de operaciones Forward NDF USD/COP la Cámara verificará que las mismas cumplan el siguiente control de riesgo específico para cada </w:t>
      </w:r>
      <w:r w:rsidRPr="00573808">
        <w:rPr>
          <w:rFonts w:ascii="Arial Narrow" w:eastAsia="Calibri" w:hAnsi="Arial Narrow"/>
          <w:color w:val="000000"/>
        </w:rPr>
        <w:t>Cuenta de Registro de la Cuenta Propia de</w:t>
      </w:r>
      <w:r w:rsidRPr="007C5A53">
        <w:rPr>
          <w:rFonts w:ascii="Arial Narrow" w:eastAsia="Calibri" w:hAnsi="Arial Narrow"/>
          <w:color w:val="000000"/>
        </w:rPr>
        <w:t xml:space="preserve"> las partes de la Operación Susceptible de ser Aceptada:</w:t>
      </w:r>
    </w:p>
    <w:p w14:paraId="15CF1771" w14:textId="77777777" w:rsidR="007968EC" w:rsidRPr="007C5A53" w:rsidRDefault="007968EC" w:rsidP="007968EC">
      <w:pPr>
        <w:jc w:val="both"/>
        <w:rPr>
          <w:rFonts w:ascii="Arial Narrow" w:eastAsia="Calibri" w:hAnsi="Arial Narrow"/>
          <w:b/>
          <w:color w:val="000000"/>
        </w:rPr>
      </w:pPr>
    </w:p>
    <w:p w14:paraId="44C30A0A" w14:textId="77777777" w:rsidR="007968EC" w:rsidRPr="007C5A53" w:rsidRDefault="007968EC" w:rsidP="00DA7472">
      <w:pPr>
        <w:numPr>
          <w:ilvl w:val="4"/>
          <w:numId w:val="165"/>
        </w:numPr>
        <w:ind w:left="993" w:hanging="567"/>
        <w:contextualSpacing/>
        <w:jc w:val="both"/>
        <w:rPr>
          <w:rFonts w:ascii="Arial Narrow" w:eastAsia="Calibri" w:hAnsi="Arial Narrow"/>
          <w:b/>
          <w:color w:val="000000"/>
        </w:rPr>
      </w:pPr>
      <w:r w:rsidRPr="007C5A53">
        <w:rPr>
          <w:rFonts w:ascii="Arial Narrow" w:eastAsia="Calibri" w:hAnsi="Arial Narrow"/>
          <w:color w:val="000000"/>
        </w:rPr>
        <w:t xml:space="preserve">Que las Garantías por Posición de las Cuentas de la Operación Susceptible de ser Aceptada son suficientes para cubrir el riesgo según lo previsto en el Artículo 1.6.2.3. de la presente Circular. </w:t>
      </w:r>
      <w:r w:rsidRPr="007C5A53">
        <w:rPr>
          <w:rFonts w:ascii="Arial Narrow" w:eastAsia="Calibri" w:hAnsi="Arial Narrow"/>
          <w:color w:val="000000"/>
        </w:rPr>
        <w:lastRenderedPageBreak/>
        <w:t>Dicho control tiene en cuenta las posiciones que se compensan a nivel de riesgo con el Forward NDF USD/COP de conformidad con lo establecido en el Artículo 2.5.1.4. de la presente Circular.</w:t>
      </w:r>
    </w:p>
    <w:p w14:paraId="0965001F" w14:textId="77777777" w:rsidR="007968EC" w:rsidRPr="007C5A53" w:rsidRDefault="007968EC" w:rsidP="007968EC">
      <w:pPr>
        <w:ind w:left="993"/>
        <w:contextualSpacing/>
        <w:jc w:val="both"/>
        <w:rPr>
          <w:rFonts w:ascii="Arial Narrow" w:eastAsia="Calibri" w:hAnsi="Arial Narrow"/>
          <w:b/>
          <w:color w:val="000000"/>
        </w:rPr>
      </w:pPr>
    </w:p>
    <w:p w14:paraId="02C25A9D" w14:textId="77777777" w:rsidR="007968EC" w:rsidRPr="007C5A53" w:rsidRDefault="007968EC" w:rsidP="00DA7472">
      <w:pPr>
        <w:numPr>
          <w:ilvl w:val="4"/>
          <w:numId w:val="165"/>
        </w:numPr>
        <w:ind w:left="993" w:hanging="567"/>
        <w:contextualSpacing/>
        <w:jc w:val="both"/>
        <w:rPr>
          <w:rFonts w:ascii="Arial Narrow" w:eastAsia="Calibri" w:hAnsi="Arial Narrow"/>
          <w:b/>
          <w:color w:val="000000"/>
        </w:rPr>
      </w:pPr>
      <w:r w:rsidRPr="007C5A53">
        <w:rPr>
          <w:rFonts w:ascii="Arial Narrow" w:eastAsia="Calibri" w:hAnsi="Arial Narrow"/>
          <w:color w:val="000000"/>
        </w:rPr>
        <w:t>La Operación Susceptible de ser Aceptada que cumpla con el control de riesgo anterior será enviada al Sistema de Cámara para su Compensación y Liquidación. Si no lo cumple será rechazada y no será aceptada por la Cámara para su Compensación y Liquidación.</w:t>
      </w:r>
    </w:p>
    <w:p w14:paraId="751AF919" w14:textId="77777777" w:rsidR="007968EC" w:rsidRPr="007C5A53" w:rsidRDefault="007968EC" w:rsidP="007968EC">
      <w:pPr>
        <w:jc w:val="both"/>
        <w:rPr>
          <w:rFonts w:ascii="Arial Narrow" w:eastAsia="Calibri" w:hAnsi="Arial Narrow"/>
          <w:b/>
          <w:color w:val="000000"/>
        </w:rPr>
      </w:pPr>
    </w:p>
    <w:p w14:paraId="26D3198A" w14:textId="77777777" w:rsidR="007968EC" w:rsidRPr="007C5A53" w:rsidRDefault="007968EC" w:rsidP="007968EC">
      <w:pPr>
        <w:jc w:val="both"/>
        <w:rPr>
          <w:rFonts w:ascii="Arial Narrow" w:eastAsia="Calibri" w:hAnsi="Arial Narrow"/>
          <w:b/>
          <w:color w:val="000000"/>
        </w:rPr>
      </w:pPr>
      <w:r w:rsidRPr="007C5A53">
        <w:rPr>
          <w:rFonts w:ascii="Arial Narrow" w:eastAsia="Calibri" w:hAnsi="Arial Narrow"/>
          <w:color w:val="000000"/>
        </w:rPr>
        <w:t xml:space="preserve">El control de riesgo definido anteriormente debe surtirse por cada Cuenta </w:t>
      </w:r>
      <w:r w:rsidRPr="00573808">
        <w:rPr>
          <w:rFonts w:ascii="Arial Narrow" w:eastAsia="Calibri" w:hAnsi="Arial Narrow"/>
          <w:color w:val="000000"/>
        </w:rPr>
        <w:t xml:space="preserve">de Registro de la Cuenta Propia </w:t>
      </w:r>
      <w:r w:rsidRPr="007C5A53">
        <w:rPr>
          <w:rFonts w:ascii="Arial Narrow" w:eastAsia="Calibri" w:hAnsi="Arial Narrow"/>
          <w:color w:val="000000"/>
        </w:rPr>
        <w:t xml:space="preserve">de las partes de la Operación Susceptible de ser Aceptada para que dicha operación pueda ser aceptada por la Cámara para su compensación y liquidación. </w:t>
      </w:r>
      <w:proofErr w:type="gramStart"/>
      <w:r w:rsidRPr="007C5A53">
        <w:rPr>
          <w:rFonts w:ascii="Arial Narrow" w:eastAsia="Calibri" w:hAnsi="Arial Narrow"/>
          <w:color w:val="000000"/>
        </w:rPr>
        <w:t>En caso que</w:t>
      </w:r>
      <w:proofErr w:type="gramEnd"/>
      <w:r w:rsidRPr="007C5A53">
        <w:rPr>
          <w:rFonts w:ascii="Arial Narrow" w:eastAsia="Calibri" w:hAnsi="Arial Narrow"/>
          <w:color w:val="000000"/>
        </w:rPr>
        <w:t xml:space="preserve"> por lo menos una de las partes de dicha operación no cumpla con este control de riesgo, la operación no será aceptada por la Cámara para su compensación y liquidación. </w:t>
      </w:r>
    </w:p>
    <w:p w14:paraId="0B878B71" w14:textId="77777777" w:rsidR="007968EC" w:rsidRPr="007C5A53" w:rsidRDefault="007968EC" w:rsidP="007968EC">
      <w:pPr>
        <w:jc w:val="both"/>
        <w:rPr>
          <w:rFonts w:ascii="Arial Narrow" w:eastAsia="Calibri" w:hAnsi="Arial Narrow"/>
          <w:b/>
          <w:color w:val="000000"/>
        </w:rPr>
      </w:pPr>
    </w:p>
    <w:p w14:paraId="69FD2C64" w14:textId="77777777" w:rsidR="007968EC" w:rsidRPr="007C5A53" w:rsidRDefault="007968EC" w:rsidP="007968EC">
      <w:pPr>
        <w:autoSpaceDE w:val="0"/>
        <w:autoSpaceDN w:val="0"/>
        <w:jc w:val="both"/>
        <w:rPr>
          <w:rFonts w:ascii="Arial Narrow" w:eastAsia="Calibri" w:hAnsi="Arial Narrow"/>
          <w:color w:val="000000"/>
          <w:lang w:val="es-MX"/>
        </w:rPr>
      </w:pPr>
      <w:r w:rsidRPr="007C5A53">
        <w:rPr>
          <w:rFonts w:ascii="Arial Narrow" w:eastAsia="Calibri" w:hAnsi="Arial Narrow"/>
          <w:color w:val="000000"/>
          <w:lang w:val="es-MX"/>
        </w:rPr>
        <w:t xml:space="preserve">De conformidad con lo previsto en el artículo 3º de la Resolución Externa 12 de 2008 modificado por la Resolución Externa 6 de 2017 de la Junta Directiva del Banco de la República, los Miembros Liquidadores del Segmento de Derivados Financieros que estén interesados en participar en la Compensación y Liquidación de operaciones </w:t>
      </w:r>
      <w:r w:rsidRPr="007C5A53">
        <w:rPr>
          <w:rFonts w:ascii="Arial Narrow" w:eastAsia="Calibri" w:hAnsi="Arial Narrow"/>
          <w:color w:val="000000"/>
        </w:rPr>
        <w:t>Forward NDF USD/COP</w:t>
      </w:r>
      <w:r w:rsidRPr="007C5A53">
        <w:rPr>
          <w:rFonts w:ascii="Arial Narrow" w:eastAsia="Calibri" w:hAnsi="Arial Narrow"/>
          <w:color w:val="000000"/>
          <w:lang w:val="es-MX"/>
        </w:rPr>
        <w:t>, deberán tener la calidad de Intermediarios del Mercado Cambiario (IMC) autorizados para realizar operaciones de derivados de acuerdo con lo previsto en el artículo 59 de la Resolución Externa 8 de 2000 de la Junta Directiva del Banco de la República o las normas que lo modifiquen, adicionen o sustituyan.</w:t>
      </w:r>
    </w:p>
    <w:p w14:paraId="309CD6F7" w14:textId="77777777" w:rsidR="007968EC" w:rsidRPr="007C5A53" w:rsidRDefault="007968EC" w:rsidP="007968EC">
      <w:pPr>
        <w:autoSpaceDE w:val="0"/>
        <w:autoSpaceDN w:val="0"/>
        <w:jc w:val="both"/>
        <w:rPr>
          <w:rFonts w:ascii="Arial Narrow" w:eastAsia="Calibri" w:hAnsi="Arial Narrow"/>
          <w:color w:val="000000"/>
          <w:lang w:val="es-MX"/>
        </w:rPr>
      </w:pPr>
    </w:p>
    <w:p w14:paraId="0BEF8505" w14:textId="77777777" w:rsidR="007968EC" w:rsidRPr="007C5A53" w:rsidRDefault="007968EC" w:rsidP="007968EC">
      <w:pPr>
        <w:autoSpaceDE w:val="0"/>
        <w:autoSpaceDN w:val="0"/>
        <w:jc w:val="both"/>
        <w:rPr>
          <w:rFonts w:ascii="Arial Narrow" w:eastAsia="Calibri" w:hAnsi="Arial Narrow"/>
          <w:color w:val="000000"/>
          <w:lang w:val="es-MX"/>
        </w:rPr>
      </w:pPr>
      <w:r w:rsidRPr="007C5A53">
        <w:rPr>
          <w:rFonts w:ascii="Arial Narrow" w:eastAsia="Calibri" w:hAnsi="Arial Narrow"/>
          <w:color w:val="000000"/>
          <w:lang w:val="es-MX"/>
        </w:rPr>
        <w:t xml:space="preserve">Los Miembros no Liquidadores que participen en el Segmento de Derivados Financieros que sean entidades vigiladas por la Superintendencia Financiera de Colombia podrán actuar en dicha modalidad en la Compensación y Liquidación de operaciones sobre </w:t>
      </w:r>
      <w:r w:rsidRPr="007C5A53">
        <w:rPr>
          <w:rFonts w:ascii="Arial Narrow" w:eastAsia="Calibri" w:hAnsi="Arial Narrow"/>
          <w:color w:val="000000"/>
        </w:rPr>
        <w:t>Forward NDF USD/COP.</w:t>
      </w:r>
    </w:p>
    <w:p w14:paraId="7ECEC8A2" w14:textId="77777777" w:rsidR="007968EC" w:rsidRPr="007C5A53" w:rsidRDefault="007968EC" w:rsidP="007968EC">
      <w:pPr>
        <w:autoSpaceDE w:val="0"/>
        <w:autoSpaceDN w:val="0"/>
        <w:jc w:val="both"/>
        <w:rPr>
          <w:rFonts w:ascii="Arial Narrow" w:eastAsia="Calibri" w:hAnsi="Arial Narrow"/>
          <w:bCs/>
          <w:color w:val="000000"/>
          <w:u w:val="single"/>
        </w:rPr>
      </w:pPr>
    </w:p>
    <w:p w14:paraId="5DF3FB6A" w14:textId="77777777" w:rsidR="007968EC" w:rsidRPr="007C5A53" w:rsidRDefault="007968EC" w:rsidP="00DA7472">
      <w:pPr>
        <w:numPr>
          <w:ilvl w:val="0"/>
          <w:numId w:val="66"/>
        </w:numPr>
        <w:ind w:left="426" w:hanging="426"/>
        <w:jc w:val="both"/>
        <w:rPr>
          <w:rFonts w:ascii="Arial Narrow" w:eastAsia="Calibri" w:hAnsi="Arial Narrow"/>
          <w:b/>
          <w:bCs/>
          <w:color w:val="000000"/>
        </w:rPr>
      </w:pPr>
      <w:r w:rsidRPr="007C5A53">
        <w:rPr>
          <w:rFonts w:ascii="Arial Narrow" w:eastAsia="Calibri" w:hAnsi="Arial Narrow"/>
          <w:bCs/>
          <w:color w:val="000000"/>
        </w:rPr>
        <w:t xml:space="preserve">Criterio de aplicación de las reglas especiales del </w:t>
      </w:r>
      <w:r w:rsidRPr="007C5A53">
        <w:rPr>
          <w:rFonts w:ascii="Arial Narrow" w:eastAsia="Calibri" w:hAnsi="Arial Narrow"/>
          <w:color w:val="000000"/>
        </w:rPr>
        <w:t>Forward NDF USD/COP:</w:t>
      </w:r>
    </w:p>
    <w:p w14:paraId="7401086B" w14:textId="77777777" w:rsidR="007968EC" w:rsidRPr="007C5A53" w:rsidRDefault="007968EC" w:rsidP="007968EC">
      <w:pPr>
        <w:jc w:val="both"/>
        <w:rPr>
          <w:rFonts w:ascii="Arial Narrow" w:eastAsia="Calibri" w:hAnsi="Arial Narrow"/>
          <w:color w:val="000000"/>
        </w:rPr>
      </w:pPr>
    </w:p>
    <w:p w14:paraId="66ACD4D3" w14:textId="77777777" w:rsidR="007968EC" w:rsidRPr="007C5A53" w:rsidRDefault="007968EC" w:rsidP="007968EC">
      <w:pPr>
        <w:jc w:val="both"/>
        <w:rPr>
          <w:rFonts w:ascii="Arial Narrow" w:eastAsia="Calibri" w:hAnsi="Arial Narrow"/>
          <w:color w:val="000000"/>
        </w:rPr>
      </w:pPr>
      <w:r w:rsidRPr="007C5A53">
        <w:rPr>
          <w:rFonts w:ascii="Arial Narrow" w:eastAsia="Calibri" w:hAnsi="Arial Narrow"/>
          <w:color w:val="000000"/>
        </w:rPr>
        <w:t>Salvo que exista norma especial para Instrumentos Financieros Derivados No Estandarizados o para el Instrumento Forward Peso/Dólar aplicarán siempre que no sean contrarias a la naturaleza de estos Instrumentos, las demás disposi</w:t>
      </w:r>
      <w:r>
        <w:rPr>
          <w:rFonts w:ascii="Arial Narrow" w:eastAsia="Calibri" w:hAnsi="Arial Narrow"/>
          <w:color w:val="000000"/>
        </w:rPr>
        <w:t>ciones de la presente Circular.</w:t>
      </w:r>
    </w:p>
    <w:p w14:paraId="0F6D887C" w14:textId="77777777" w:rsidR="007968EC" w:rsidRPr="007C5A53" w:rsidRDefault="007968EC" w:rsidP="007968EC">
      <w:pPr>
        <w:jc w:val="both"/>
        <w:rPr>
          <w:rFonts w:ascii="Arial Narrow" w:eastAsia="Calibri" w:hAnsi="Arial Narrow"/>
          <w:b/>
          <w:color w:val="000000" w:themeColor="text1"/>
        </w:rPr>
      </w:pPr>
    </w:p>
    <w:p w14:paraId="7819AAC0" w14:textId="77777777" w:rsidR="007968EC" w:rsidRPr="007C5A53" w:rsidRDefault="007968EC" w:rsidP="007968EC">
      <w:pPr>
        <w:pStyle w:val="ARTICULO0"/>
      </w:pPr>
      <w:bookmarkStart w:id="5298" w:name="_Toc470781171"/>
      <w:bookmarkStart w:id="5299" w:name="_Toc470784732"/>
      <w:bookmarkStart w:id="5300" w:name="_Toc470785269"/>
      <w:bookmarkStart w:id="5301" w:name="_Toc470791663"/>
      <w:bookmarkStart w:id="5302" w:name="_Toc472592406"/>
      <w:bookmarkStart w:id="5303" w:name="_Toc472593425"/>
      <w:bookmarkStart w:id="5304" w:name="_Toc479057217"/>
      <w:bookmarkStart w:id="5305" w:name="_Toc31716239"/>
      <w:bookmarkStart w:id="5306" w:name="_Toc490066576"/>
      <w:r>
        <w:t>Artículo 2.7.2.21</w:t>
      </w:r>
      <w:r w:rsidRPr="007C5A53">
        <w:t>. OIS IBR Formación.</w:t>
      </w:r>
      <w:bookmarkEnd w:id="5298"/>
      <w:bookmarkEnd w:id="5299"/>
      <w:bookmarkEnd w:id="5300"/>
      <w:bookmarkEnd w:id="5301"/>
      <w:bookmarkEnd w:id="5302"/>
      <w:bookmarkEnd w:id="5303"/>
      <w:bookmarkEnd w:id="5304"/>
      <w:bookmarkEnd w:id="5305"/>
      <w:r w:rsidRPr="007C5A53">
        <w:t xml:space="preserve">  </w:t>
      </w:r>
    </w:p>
    <w:bookmarkEnd w:id="5306"/>
    <w:p w14:paraId="0BB88050" w14:textId="77777777" w:rsidR="007968EC" w:rsidRDefault="007968EC" w:rsidP="007968EC">
      <w:pPr>
        <w:rPr>
          <w:rFonts w:ascii="Arial" w:eastAsia="Calibri" w:hAnsi="Arial" w:cs="Arial"/>
          <w:b/>
          <w:lang w:eastAsia="es-ES"/>
        </w:rPr>
      </w:pPr>
    </w:p>
    <w:p w14:paraId="401F3A94" w14:textId="77777777" w:rsidR="007968EC" w:rsidRPr="002C0D19" w:rsidRDefault="007968EC" w:rsidP="007968EC">
      <w:pPr>
        <w:pStyle w:val="ANTECEDENTES"/>
        <w:rPr>
          <w:rFonts w:ascii="Arial" w:hAnsi="Arial"/>
        </w:rPr>
      </w:pPr>
      <w:r w:rsidRPr="002C0D19">
        <w:t>(Este artículo fue modificado mediante Circular 2 del 11 de enero de 2017, publicada mediante Boletín Normativo No. 002 del 11 de enero de 2017, renumerado mediante Circular 6 del 14 de febrero de 2017, publicada mediante Boletín Normativo No.</w:t>
      </w:r>
      <w:r>
        <w:t xml:space="preserve"> 006 del 14 de febrero de 2017,</w:t>
      </w:r>
      <w:r w:rsidRPr="002C0D19">
        <w:t xml:space="preserve"> modificado mediante Circular 8 del 31 de marzo de 2017, publicada en el Boletín Normativo No. 008 de 2017</w:t>
      </w:r>
      <w:r>
        <w:t xml:space="preserve"> y renumerado mediante Circular 24 del 11 de diciembre de 2017, publicada en el Boletín Normativo No. 031 del 11 de diciembre de 2017, </w:t>
      </w:r>
      <w:r w:rsidRPr="009C4B41">
        <w:rPr>
          <w:lang w:val="es-ES"/>
        </w:rPr>
        <w:t>mediante Circular 002 del 20 de febrero de 2018, publicada en el Boletín Normativo No. 003 del 20 de febrero de 2018</w:t>
      </w:r>
      <w:r>
        <w:rPr>
          <w:lang w:val="es-ES"/>
        </w:rPr>
        <w:t>, modificado mediante Circular 7 del 9 de mayo de 2018, Publicada en el Boletín Normativo No. 010 del 9 de mayo de 2018 y</w:t>
      </w:r>
      <w:r w:rsidRPr="009C4B41">
        <w:rPr>
          <w:lang w:val="es-ES"/>
        </w:rPr>
        <w:t xml:space="preserve"> </w:t>
      </w:r>
      <w:r>
        <w:t xml:space="preserve">renumerado </w:t>
      </w:r>
      <w:r w:rsidRPr="00DA3D5C">
        <w:t xml:space="preserve">mediante Circular 10 del 6 de julio de 2018, publicada </w:t>
      </w:r>
      <w:r>
        <w:t>en el</w:t>
      </w:r>
      <w:r w:rsidRPr="00DA3D5C">
        <w:t xml:space="preserve"> Boletín Normativo No. 013 del 6 de julio de 2018. Rige a partir del 9 de julio de 2018</w:t>
      </w:r>
      <w:r w:rsidRPr="002C0D19">
        <w:t>.</w:t>
      </w:r>
      <w:r w:rsidRPr="009A04C1">
        <w:t>)</w:t>
      </w:r>
    </w:p>
    <w:p w14:paraId="09171E7B" w14:textId="77777777" w:rsidR="007968EC" w:rsidRPr="007C5A53" w:rsidRDefault="007968EC" w:rsidP="007968EC">
      <w:pPr>
        <w:rPr>
          <w:rFonts w:ascii="Arial" w:eastAsia="Calibri" w:hAnsi="Arial" w:cs="Arial"/>
          <w:b/>
          <w:lang w:eastAsia="es-ES"/>
        </w:rPr>
      </w:pPr>
    </w:p>
    <w:p w14:paraId="56F8F893" w14:textId="77777777" w:rsidR="007968EC" w:rsidRPr="005B77CD" w:rsidRDefault="007968EC" w:rsidP="007968EC">
      <w:pPr>
        <w:jc w:val="both"/>
        <w:rPr>
          <w:rFonts w:ascii="Arial Narrow" w:eastAsia="Calibri" w:hAnsi="Arial Narrow"/>
          <w:b/>
          <w:color w:val="000000" w:themeColor="text1"/>
        </w:rPr>
      </w:pPr>
      <w:r w:rsidRPr="005B77CD">
        <w:rPr>
          <w:rFonts w:ascii="Arial Narrow" w:eastAsia="Calibri" w:hAnsi="Arial Narrow"/>
          <w:color w:val="000000" w:themeColor="text1"/>
        </w:rPr>
        <w:t>La Cámara se interpondrá como contraparte y realizará la Compensación y Liquidación del Instrumento Financiero Derivado No Estandarizado OIS IBR Formación que cumpla las siguientes condiciones:</w:t>
      </w:r>
    </w:p>
    <w:p w14:paraId="2864F978" w14:textId="77777777" w:rsidR="007968EC" w:rsidRPr="005B77CD" w:rsidRDefault="007968EC" w:rsidP="007968EC">
      <w:pPr>
        <w:jc w:val="both"/>
        <w:rPr>
          <w:rFonts w:ascii="Arial Narrow" w:eastAsia="Calibri" w:hAnsi="Arial Narrow"/>
          <w:color w:val="000000" w:themeColor="text1"/>
        </w:rPr>
      </w:pPr>
    </w:p>
    <w:p w14:paraId="44C330CF" w14:textId="77777777" w:rsidR="007968EC" w:rsidRPr="005B77CD" w:rsidRDefault="007968EC" w:rsidP="00DA7472">
      <w:pPr>
        <w:numPr>
          <w:ilvl w:val="0"/>
          <w:numId w:val="111"/>
        </w:numPr>
        <w:autoSpaceDE w:val="0"/>
        <w:autoSpaceDN w:val="0"/>
        <w:adjustRightInd w:val="0"/>
        <w:contextualSpacing/>
        <w:rPr>
          <w:rFonts w:ascii="Arial Narrow" w:eastAsia="Calibri" w:hAnsi="Arial Narrow"/>
          <w:b/>
          <w:color w:val="000000" w:themeColor="text1"/>
          <w:u w:val="single"/>
        </w:rPr>
      </w:pPr>
      <w:r w:rsidRPr="005B77CD">
        <w:rPr>
          <w:rFonts w:ascii="Arial Narrow" w:eastAsia="Calibri" w:hAnsi="Arial Narrow"/>
          <w:color w:val="000000" w:themeColor="text1"/>
        </w:rPr>
        <w:t>Generalidades:</w:t>
      </w:r>
      <w:r w:rsidRPr="005B77CD">
        <w:rPr>
          <w:rFonts w:ascii="Arial Narrow" w:eastAsia="Calibri" w:hAnsi="Arial Narrow"/>
          <w:color w:val="000000" w:themeColor="text1"/>
          <w:u w:val="single"/>
        </w:rPr>
        <w:t xml:space="preserve"> </w:t>
      </w:r>
    </w:p>
    <w:p w14:paraId="0F34423B" w14:textId="77777777" w:rsidR="007968EC" w:rsidRPr="005B77CD" w:rsidRDefault="007968EC" w:rsidP="007968EC">
      <w:pPr>
        <w:autoSpaceDE w:val="0"/>
        <w:autoSpaceDN w:val="0"/>
        <w:adjustRightInd w:val="0"/>
        <w:ind w:left="360"/>
        <w:contextualSpacing/>
        <w:rPr>
          <w:rFonts w:ascii="Arial Narrow" w:eastAsia="Calibri" w:hAnsi="Arial Narrow"/>
          <w:b/>
          <w:color w:val="000000" w:themeColor="text1"/>
        </w:rPr>
      </w:pPr>
    </w:p>
    <w:tbl>
      <w:tblPr>
        <w:tblW w:w="921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238"/>
        <w:gridCol w:w="4976"/>
      </w:tblGrid>
      <w:tr w:rsidR="007968EC" w:rsidRPr="005B77CD" w14:paraId="6937041F" w14:textId="77777777" w:rsidTr="007968EC">
        <w:trPr>
          <w:jc w:val="center"/>
        </w:trPr>
        <w:tc>
          <w:tcPr>
            <w:tcW w:w="4238" w:type="dxa"/>
            <w:shd w:val="clear" w:color="auto" w:fill="BFBFBF"/>
            <w:vAlign w:val="center"/>
          </w:tcPr>
          <w:p w14:paraId="62DD7A6B" w14:textId="77777777" w:rsidR="007968EC" w:rsidRPr="005B77CD" w:rsidRDefault="007968EC" w:rsidP="007968EC">
            <w:pPr>
              <w:autoSpaceDE w:val="0"/>
              <w:autoSpaceDN w:val="0"/>
              <w:adjustRightInd w:val="0"/>
              <w:jc w:val="both"/>
              <w:rPr>
                <w:rFonts w:ascii="Arial Narrow" w:eastAsia="Calibri" w:hAnsi="Arial Narrow"/>
                <w:color w:val="000000" w:themeColor="text1"/>
              </w:rPr>
            </w:pPr>
            <w:r w:rsidRPr="005B77CD">
              <w:rPr>
                <w:rFonts w:ascii="Arial Narrow" w:eastAsia="Calibri" w:hAnsi="Arial Narrow"/>
                <w:color w:val="000000" w:themeColor="text1"/>
              </w:rPr>
              <w:t>Instrumento</w:t>
            </w:r>
          </w:p>
        </w:tc>
        <w:tc>
          <w:tcPr>
            <w:tcW w:w="4976" w:type="dxa"/>
            <w:shd w:val="clear" w:color="auto" w:fill="auto"/>
            <w:vAlign w:val="center"/>
          </w:tcPr>
          <w:p w14:paraId="65AE426C" w14:textId="77777777" w:rsidR="007968EC" w:rsidRPr="005B77CD" w:rsidRDefault="007968EC" w:rsidP="007968EC">
            <w:pPr>
              <w:autoSpaceDE w:val="0"/>
              <w:autoSpaceDN w:val="0"/>
              <w:adjustRightInd w:val="0"/>
              <w:rPr>
                <w:rFonts w:ascii="Arial Narrow" w:eastAsia="Calibri" w:hAnsi="Arial Narrow"/>
                <w:b/>
                <w:color w:val="000000" w:themeColor="text1"/>
                <w:lang w:val="en-US"/>
              </w:rPr>
            </w:pPr>
            <w:r w:rsidRPr="005B77CD">
              <w:rPr>
                <w:rFonts w:ascii="Arial Narrow" w:eastAsia="Calibri" w:hAnsi="Arial Narrow"/>
                <w:color w:val="000000" w:themeColor="text1"/>
                <w:lang w:val="en-US"/>
              </w:rPr>
              <w:t xml:space="preserve">OIS IBR </w:t>
            </w:r>
            <w:proofErr w:type="spellStart"/>
            <w:r w:rsidRPr="005B77CD">
              <w:rPr>
                <w:rFonts w:ascii="Arial Narrow" w:eastAsia="Calibri" w:hAnsi="Arial Narrow"/>
                <w:color w:val="000000" w:themeColor="text1"/>
                <w:lang w:val="en-US"/>
              </w:rPr>
              <w:t>Formación</w:t>
            </w:r>
            <w:proofErr w:type="spellEnd"/>
          </w:p>
        </w:tc>
      </w:tr>
      <w:tr w:rsidR="007968EC" w:rsidRPr="005B77CD" w14:paraId="797C85E2" w14:textId="77777777" w:rsidTr="007968EC">
        <w:trPr>
          <w:jc w:val="center"/>
        </w:trPr>
        <w:tc>
          <w:tcPr>
            <w:tcW w:w="4238" w:type="dxa"/>
            <w:shd w:val="clear" w:color="auto" w:fill="BFBFBF"/>
            <w:vAlign w:val="center"/>
          </w:tcPr>
          <w:p w14:paraId="7EA5FFC3" w14:textId="77777777" w:rsidR="007968EC" w:rsidRPr="005B77CD" w:rsidRDefault="007968EC" w:rsidP="007968EC">
            <w:pPr>
              <w:autoSpaceDE w:val="0"/>
              <w:autoSpaceDN w:val="0"/>
              <w:adjustRightInd w:val="0"/>
              <w:jc w:val="both"/>
              <w:rPr>
                <w:rFonts w:ascii="Arial Narrow" w:eastAsia="Calibri" w:hAnsi="Arial Narrow"/>
                <w:color w:val="000000" w:themeColor="text1"/>
              </w:rPr>
            </w:pPr>
            <w:r w:rsidRPr="005B77CD">
              <w:rPr>
                <w:rFonts w:ascii="Arial Narrow" w:eastAsia="Calibri" w:hAnsi="Arial Narrow"/>
                <w:color w:val="000000" w:themeColor="text1"/>
              </w:rPr>
              <w:t xml:space="preserve">Activo Subyacente </w:t>
            </w:r>
          </w:p>
        </w:tc>
        <w:tc>
          <w:tcPr>
            <w:tcW w:w="4976" w:type="dxa"/>
            <w:shd w:val="clear" w:color="auto" w:fill="auto"/>
            <w:vAlign w:val="center"/>
          </w:tcPr>
          <w:p w14:paraId="4151C843" w14:textId="77777777" w:rsidR="007968EC" w:rsidRPr="005B77CD" w:rsidRDefault="007968EC" w:rsidP="007968EC">
            <w:pPr>
              <w:autoSpaceDE w:val="0"/>
              <w:autoSpaceDN w:val="0"/>
              <w:adjustRightInd w:val="0"/>
              <w:rPr>
                <w:rFonts w:ascii="Arial Narrow" w:eastAsia="Calibri" w:hAnsi="Arial Narrow"/>
                <w:b/>
                <w:color w:val="000000" w:themeColor="text1"/>
              </w:rPr>
            </w:pPr>
            <w:r w:rsidRPr="005B77CD">
              <w:rPr>
                <w:rFonts w:ascii="Arial Narrow" w:eastAsia="Calibri" w:hAnsi="Arial Narrow"/>
                <w:color w:val="000000" w:themeColor="text1"/>
              </w:rPr>
              <w:t>Tasa resultante de la composición de las tasas IBR Overnight publicadas diariamente por el Banco de la República para un periodo definido</w:t>
            </w:r>
          </w:p>
        </w:tc>
      </w:tr>
      <w:tr w:rsidR="007968EC" w:rsidRPr="005B77CD" w14:paraId="20055736" w14:textId="77777777" w:rsidTr="007968EC">
        <w:trPr>
          <w:jc w:val="center"/>
        </w:trPr>
        <w:tc>
          <w:tcPr>
            <w:tcW w:w="4238" w:type="dxa"/>
            <w:shd w:val="clear" w:color="auto" w:fill="BFBFBF"/>
            <w:vAlign w:val="center"/>
          </w:tcPr>
          <w:p w14:paraId="39291D3F" w14:textId="77777777" w:rsidR="007968EC" w:rsidRPr="005B77CD" w:rsidRDefault="007968EC" w:rsidP="007968EC">
            <w:pPr>
              <w:autoSpaceDE w:val="0"/>
              <w:autoSpaceDN w:val="0"/>
              <w:adjustRightInd w:val="0"/>
              <w:jc w:val="both"/>
              <w:rPr>
                <w:rFonts w:ascii="Arial Narrow" w:eastAsia="Calibri" w:hAnsi="Arial Narrow"/>
                <w:color w:val="000000" w:themeColor="text1"/>
              </w:rPr>
            </w:pPr>
            <w:r w:rsidRPr="005B77CD">
              <w:rPr>
                <w:rFonts w:ascii="Arial Narrow" w:eastAsia="Calibri" w:hAnsi="Arial Narrow"/>
                <w:color w:val="000000" w:themeColor="text1"/>
              </w:rPr>
              <w:t xml:space="preserve">Características de los Montos </w:t>
            </w:r>
          </w:p>
        </w:tc>
        <w:tc>
          <w:tcPr>
            <w:tcW w:w="4976" w:type="dxa"/>
            <w:shd w:val="clear" w:color="auto" w:fill="auto"/>
            <w:vAlign w:val="center"/>
          </w:tcPr>
          <w:p w14:paraId="7953D452" w14:textId="77777777" w:rsidR="007968EC" w:rsidRPr="005B77CD" w:rsidRDefault="007968EC" w:rsidP="007968EC">
            <w:pPr>
              <w:autoSpaceDE w:val="0"/>
              <w:autoSpaceDN w:val="0"/>
              <w:adjustRightInd w:val="0"/>
              <w:rPr>
                <w:rFonts w:ascii="Arial Narrow" w:eastAsia="Calibri" w:hAnsi="Arial Narrow"/>
                <w:b/>
                <w:color w:val="000000" w:themeColor="text1"/>
              </w:rPr>
            </w:pPr>
            <w:r w:rsidRPr="005B77CD">
              <w:rPr>
                <w:rFonts w:ascii="Arial Narrow" w:eastAsia="Calibri" w:hAnsi="Arial Narrow"/>
                <w:color w:val="000000" w:themeColor="text1"/>
              </w:rPr>
              <w:t>Múltiplos de COP 500.000.000</w:t>
            </w:r>
          </w:p>
        </w:tc>
      </w:tr>
      <w:tr w:rsidR="007968EC" w:rsidRPr="005B77CD" w14:paraId="3DC78E48" w14:textId="77777777" w:rsidTr="007968EC">
        <w:trPr>
          <w:jc w:val="center"/>
        </w:trPr>
        <w:tc>
          <w:tcPr>
            <w:tcW w:w="4238" w:type="dxa"/>
            <w:shd w:val="clear" w:color="auto" w:fill="BFBFBF"/>
            <w:vAlign w:val="center"/>
          </w:tcPr>
          <w:p w14:paraId="07EF6B31" w14:textId="77777777" w:rsidR="007968EC" w:rsidRPr="005B77CD" w:rsidRDefault="007968EC" w:rsidP="007968EC">
            <w:pPr>
              <w:autoSpaceDE w:val="0"/>
              <w:autoSpaceDN w:val="0"/>
              <w:adjustRightInd w:val="0"/>
              <w:jc w:val="both"/>
              <w:rPr>
                <w:rFonts w:ascii="Arial Narrow" w:eastAsia="Calibri" w:hAnsi="Arial Narrow"/>
                <w:color w:val="000000" w:themeColor="text1"/>
              </w:rPr>
            </w:pPr>
            <w:r w:rsidRPr="005B77CD">
              <w:rPr>
                <w:rFonts w:ascii="Arial Narrow" w:eastAsia="Calibri" w:hAnsi="Arial Narrow"/>
                <w:color w:val="000000" w:themeColor="text1"/>
              </w:rPr>
              <w:t>Plazo remanente</w:t>
            </w:r>
          </w:p>
        </w:tc>
        <w:tc>
          <w:tcPr>
            <w:tcW w:w="4976" w:type="dxa"/>
            <w:shd w:val="clear" w:color="auto" w:fill="auto"/>
            <w:vAlign w:val="center"/>
          </w:tcPr>
          <w:p w14:paraId="06EFEF9A" w14:textId="77777777" w:rsidR="007968EC" w:rsidRPr="005B77CD" w:rsidRDefault="007968EC" w:rsidP="007968EC">
            <w:pPr>
              <w:autoSpaceDE w:val="0"/>
              <w:autoSpaceDN w:val="0"/>
              <w:adjustRightInd w:val="0"/>
              <w:rPr>
                <w:rFonts w:ascii="Arial Narrow" w:eastAsia="Calibri" w:hAnsi="Arial Narrow"/>
                <w:b/>
                <w:color w:val="000000" w:themeColor="text1"/>
              </w:rPr>
            </w:pPr>
            <w:r w:rsidRPr="005B77CD">
              <w:rPr>
                <w:rFonts w:ascii="Arial Narrow" w:eastAsia="Calibri" w:hAnsi="Arial Narrow"/>
                <w:color w:val="000000" w:themeColor="text1"/>
              </w:rPr>
              <w:t>Se aceptarán operaciones con un plazo máximo de dieciocho meses (18) meses</w:t>
            </w:r>
          </w:p>
        </w:tc>
      </w:tr>
      <w:tr w:rsidR="007968EC" w:rsidRPr="005B77CD" w14:paraId="3C70DEDD" w14:textId="77777777" w:rsidTr="007968EC">
        <w:trPr>
          <w:jc w:val="center"/>
        </w:trPr>
        <w:tc>
          <w:tcPr>
            <w:tcW w:w="4238" w:type="dxa"/>
            <w:shd w:val="clear" w:color="auto" w:fill="BFBFBF"/>
            <w:vAlign w:val="center"/>
          </w:tcPr>
          <w:p w14:paraId="2BAA47DC" w14:textId="77777777" w:rsidR="007968EC" w:rsidRPr="005B77CD" w:rsidRDefault="007968EC" w:rsidP="007968EC">
            <w:pPr>
              <w:autoSpaceDE w:val="0"/>
              <w:autoSpaceDN w:val="0"/>
              <w:adjustRightInd w:val="0"/>
              <w:rPr>
                <w:rFonts w:ascii="Arial Narrow" w:eastAsia="Calibri" w:hAnsi="Arial Narrow"/>
                <w:color w:val="000000" w:themeColor="text1"/>
              </w:rPr>
            </w:pPr>
            <w:r w:rsidRPr="005B77CD">
              <w:rPr>
                <w:rFonts w:ascii="Arial Narrow" w:eastAsia="Calibri" w:hAnsi="Arial Narrow"/>
                <w:color w:val="000000" w:themeColor="text1"/>
              </w:rPr>
              <w:t xml:space="preserve">Método de Liquidación </w:t>
            </w:r>
          </w:p>
        </w:tc>
        <w:tc>
          <w:tcPr>
            <w:tcW w:w="4976" w:type="dxa"/>
            <w:shd w:val="clear" w:color="auto" w:fill="auto"/>
            <w:vAlign w:val="center"/>
          </w:tcPr>
          <w:p w14:paraId="3E938562" w14:textId="77777777" w:rsidR="007968EC" w:rsidRPr="005B77CD" w:rsidRDefault="007968EC" w:rsidP="007968EC">
            <w:pPr>
              <w:autoSpaceDE w:val="0"/>
              <w:autoSpaceDN w:val="0"/>
              <w:adjustRightInd w:val="0"/>
              <w:rPr>
                <w:rFonts w:ascii="Arial Narrow" w:eastAsia="Calibri" w:hAnsi="Arial Narrow"/>
                <w:b/>
                <w:color w:val="000000" w:themeColor="text1"/>
              </w:rPr>
            </w:pPr>
            <w:r w:rsidRPr="005B77CD">
              <w:rPr>
                <w:rFonts w:ascii="Arial Narrow" w:eastAsia="Calibri" w:hAnsi="Arial Narrow"/>
                <w:color w:val="000000" w:themeColor="text1"/>
              </w:rPr>
              <w:t>Liquidación por Diferencias que se realizará en pesos moneda legal colombiana.</w:t>
            </w:r>
          </w:p>
        </w:tc>
      </w:tr>
      <w:tr w:rsidR="007968EC" w:rsidRPr="005B77CD" w14:paraId="48C343C5" w14:textId="77777777" w:rsidTr="007968EC">
        <w:trPr>
          <w:trHeight w:val="600"/>
          <w:jc w:val="center"/>
        </w:trPr>
        <w:tc>
          <w:tcPr>
            <w:tcW w:w="4238" w:type="dxa"/>
            <w:shd w:val="clear" w:color="auto" w:fill="BFBFBF"/>
            <w:vAlign w:val="center"/>
          </w:tcPr>
          <w:p w14:paraId="51228B17" w14:textId="77777777" w:rsidR="007968EC" w:rsidRPr="005B77CD" w:rsidRDefault="007968EC" w:rsidP="007968EC">
            <w:pPr>
              <w:autoSpaceDE w:val="0"/>
              <w:autoSpaceDN w:val="0"/>
              <w:adjustRightInd w:val="0"/>
              <w:rPr>
                <w:rFonts w:ascii="Arial Narrow" w:eastAsia="Calibri" w:hAnsi="Arial Narrow"/>
                <w:color w:val="000000" w:themeColor="text1"/>
              </w:rPr>
            </w:pPr>
            <w:r w:rsidRPr="005B77CD">
              <w:rPr>
                <w:rFonts w:ascii="Arial Narrow" w:eastAsia="Calibri" w:hAnsi="Arial Narrow"/>
                <w:color w:val="000000" w:themeColor="text1"/>
              </w:rPr>
              <w:t>Tipo de Liquidación</w:t>
            </w:r>
          </w:p>
        </w:tc>
        <w:tc>
          <w:tcPr>
            <w:tcW w:w="4976" w:type="dxa"/>
            <w:shd w:val="clear" w:color="auto" w:fill="auto"/>
            <w:vAlign w:val="center"/>
          </w:tcPr>
          <w:p w14:paraId="353EE426" w14:textId="77777777" w:rsidR="007968EC" w:rsidRPr="005B77CD" w:rsidRDefault="007968EC" w:rsidP="007968EC">
            <w:pPr>
              <w:autoSpaceDE w:val="0"/>
              <w:autoSpaceDN w:val="0"/>
              <w:adjustRightInd w:val="0"/>
              <w:rPr>
                <w:rFonts w:ascii="Arial Narrow" w:eastAsia="Calibri" w:hAnsi="Arial Narrow"/>
                <w:b/>
                <w:color w:val="000000" w:themeColor="text1"/>
              </w:rPr>
            </w:pPr>
            <w:r w:rsidRPr="005B77CD">
              <w:rPr>
                <w:rFonts w:ascii="Arial Narrow" w:eastAsia="Calibri" w:hAnsi="Arial Narrow"/>
                <w:color w:val="000000" w:themeColor="text1"/>
              </w:rPr>
              <w:t>Liquidación Únicamente al Vencimiento</w:t>
            </w:r>
          </w:p>
        </w:tc>
      </w:tr>
      <w:tr w:rsidR="007968EC" w:rsidRPr="005B77CD" w14:paraId="2AD17665" w14:textId="77777777" w:rsidTr="007968EC">
        <w:trPr>
          <w:trHeight w:val="600"/>
          <w:jc w:val="center"/>
        </w:trPr>
        <w:tc>
          <w:tcPr>
            <w:tcW w:w="4238" w:type="dxa"/>
            <w:shd w:val="clear" w:color="auto" w:fill="BFBFBF"/>
            <w:vAlign w:val="center"/>
          </w:tcPr>
          <w:p w14:paraId="060BBEBA" w14:textId="77777777" w:rsidR="007968EC" w:rsidRPr="005B77CD" w:rsidRDefault="007968EC" w:rsidP="007968EC">
            <w:pPr>
              <w:autoSpaceDE w:val="0"/>
              <w:autoSpaceDN w:val="0"/>
              <w:adjustRightInd w:val="0"/>
              <w:rPr>
                <w:rFonts w:ascii="Arial Narrow" w:eastAsia="Calibri" w:hAnsi="Arial Narrow"/>
                <w:color w:val="000000" w:themeColor="text1"/>
              </w:rPr>
            </w:pPr>
            <w:r w:rsidRPr="005B77CD">
              <w:rPr>
                <w:rFonts w:ascii="Arial Narrow" w:eastAsia="Calibri" w:hAnsi="Arial Narrow"/>
                <w:color w:val="000000" w:themeColor="text1"/>
              </w:rPr>
              <w:t>Fecha de Vencimiento</w:t>
            </w:r>
          </w:p>
        </w:tc>
        <w:tc>
          <w:tcPr>
            <w:tcW w:w="4976" w:type="dxa"/>
            <w:shd w:val="clear" w:color="auto" w:fill="auto"/>
            <w:vAlign w:val="center"/>
          </w:tcPr>
          <w:p w14:paraId="0BA0971A" w14:textId="77777777" w:rsidR="007968EC" w:rsidRPr="005B77CD" w:rsidRDefault="007968EC" w:rsidP="007968EC">
            <w:pPr>
              <w:autoSpaceDE w:val="0"/>
              <w:autoSpaceDN w:val="0"/>
              <w:adjustRightInd w:val="0"/>
              <w:jc w:val="both"/>
              <w:rPr>
                <w:rFonts w:ascii="Arial Narrow" w:eastAsia="Calibri" w:hAnsi="Arial Narrow"/>
                <w:b/>
                <w:color w:val="000000" w:themeColor="text1"/>
              </w:rPr>
            </w:pPr>
            <w:r w:rsidRPr="005B77CD">
              <w:rPr>
                <w:rFonts w:ascii="Arial Narrow" w:eastAsia="Calibri" w:hAnsi="Arial Narrow"/>
                <w:color w:val="000000" w:themeColor="text1"/>
              </w:rPr>
              <w:t xml:space="preserve">Es la fecha de vencimiento de la operación pactada por las partes. Dicha fecha debe corresponder a un día hábil de operación de la Cámara en Colombia, </w:t>
            </w:r>
            <w:r w:rsidRPr="005B77CD">
              <w:rPr>
                <w:rFonts w:ascii="Arial Narrow" w:hAnsi="Arial Narrow"/>
                <w:color w:val="000000" w:themeColor="text1"/>
                <w:lang w:val="es-ES" w:eastAsia="es-ES"/>
              </w:rPr>
              <w:t xml:space="preserve">en caso de no ser un día hábil, se seguirá la regla de </w:t>
            </w:r>
            <w:proofErr w:type="spellStart"/>
            <w:r w:rsidRPr="005B77CD">
              <w:rPr>
                <w:rFonts w:ascii="Arial Narrow" w:hAnsi="Arial Narrow"/>
                <w:color w:val="000000" w:themeColor="text1"/>
                <w:lang w:val="es-ES" w:eastAsia="es-ES"/>
              </w:rPr>
              <w:t>Modified</w:t>
            </w:r>
            <w:proofErr w:type="spellEnd"/>
            <w:r w:rsidRPr="005B77CD">
              <w:rPr>
                <w:rFonts w:ascii="Arial Narrow" w:hAnsi="Arial Narrow"/>
                <w:color w:val="000000" w:themeColor="text1"/>
                <w:lang w:val="es-ES" w:eastAsia="es-ES"/>
              </w:rPr>
              <w:t xml:space="preserve"> Following </w:t>
            </w:r>
            <w:proofErr w:type="spellStart"/>
            <w:r w:rsidRPr="005B77CD">
              <w:rPr>
                <w:rFonts w:ascii="Arial Narrow" w:hAnsi="Arial Narrow"/>
                <w:color w:val="000000" w:themeColor="text1"/>
                <w:lang w:val="es-ES" w:eastAsia="es-ES"/>
              </w:rPr>
              <w:t>Bussiness</w:t>
            </w:r>
            <w:proofErr w:type="spellEnd"/>
            <w:r w:rsidRPr="005B77CD">
              <w:rPr>
                <w:rFonts w:ascii="Arial Narrow" w:hAnsi="Arial Narrow"/>
                <w:color w:val="000000" w:themeColor="text1"/>
                <w:lang w:val="es-ES" w:eastAsia="es-ES"/>
              </w:rPr>
              <w:t xml:space="preserve"> Day, es decir, en caso de ser un día no hábil, el vencimiento se mueve al día hábil siguiente, siempre y cuando este se ubique dentro del mes de vencimiento, de lo contrario la fecha de vencimiento se moverá al día hábil inmediatamente anterior.</w:t>
            </w:r>
          </w:p>
        </w:tc>
      </w:tr>
      <w:tr w:rsidR="007968EC" w:rsidRPr="005B77CD" w14:paraId="6EE9CE3A" w14:textId="77777777" w:rsidTr="007968EC">
        <w:trPr>
          <w:trHeight w:val="1391"/>
          <w:jc w:val="center"/>
        </w:trPr>
        <w:tc>
          <w:tcPr>
            <w:tcW w:w="4238" w:type="dxa"/>
            <w:shd w:val="clear" w:color="auto" w:fill="BFBFBF"/>
            <w:vAlign w:val="center"/>
          </w:tcPr>
          <w:p w14:paraId="40B7D224" w14:textId="77777777" w:rsidR="007968EC" w:rsidRPr="005B77CD" w:rsidRDefault="007968EC" w:rsidP="007968EC">
            <w:pPr>
              <w:autoSpaceDE w:val="0"/>
              <w:autoSpaceDN w:val="0"/>
              <w:adjustRightInd w:val="0"/>
              <w:rPr>
                <w:rFonts w:ascii="Arial Narrow" w:eastAsia="Calibri" w:hAnsi="Arial Narrow"/>
                <w:color w:val="000000" w:themeColor="text1"/>
              </w:rPr>
            </w:pPr>
          </w:p>
          <w:p w14:paraId="6705738F" w14:textId="77777777" w:rsidR="007968EC" w:rsidRPr="005B77CD" w:rsidRDefault="007968EC" w:rsidP="007968EC">
            <w:pPr>
              <w:autoSpaceDE w:val="0"/>
              <w:autoSpaceDN w:val="0"/>
              <w:adjustRightInd w:val="0"/>
              <w:rPr>
                <w:rFonts w:ascii="Arial Narrow" w:eastAsia="Calibri" w:hAnsi="Arial Narrow"/>
                <w:color w:val="000000" w:themeColor="text1"/>
              </w:rPr>
            </w:pPr>
            <w:r w:rsidRPr="005B77CD">
              <w:rPr>
                <w:rFonts w:ascii="Arial Narrow" w:eastAsia="Calibri" w:hAnsi="Arial Narrow"/>
                <w:color w:val="000000" w:themeColor="text1"/>
              </w:rPr>
              <w:t xml:space="preserve">Fecha de Liquidación al Vencimiento </w:t>
            </w:r>
          </w:p>
        </w:tc>
        <w:tc>
          <w:tcPr>
            <w:tcW w:w="4976" w:type="dxa"/>
            <w:shd w:val="clear" w:color="auto" w:fill="auto"/>
            <w:vAlign w:val="center"/>
          </w:tcPr>
          <w:tbl>
            <w:tblPr>
              <w:tblW w:w="13892" w:type="dxa"/>
              <w:tblBorders>
                <w:top w:val="nil"/>
                <w:left w:val="nil"/>
                <w:bottom w:val="nil"/>
                <w:right w:val="nil"/>
              </w:tblBorders>
              <w:tblLayout w:type="fixed"/>
              <w:tblLook w:val="0000" w:firstRow="0" w:lastRow="0" w:firstColumn="0" w:lastColumn="0" w:noHBand="0" w:noVBand="0"/>
            </w:tblPr>
            <w:tblGrid>
              <w:gridCol w:w="13892"/>
            </w:tblGrid>
            <w:tr w:rsidR="007968EC" w:rsidRPr="005B77CD" w14:paraId="5DFC3666" w14:textId="77777777" w:rsidTr="007968EC">
              <w:trPr>
                <w:trHeight w:val="1326"/>
              </w:trPr>
              <w:tc>
                <w:tcPr>
                  <w:tcW w:w="13892" w:type="dxa"/>
                </w:tcPr>
                <w:p w14:paraId="572F35E6" w14:textId="77777777" w:rsidR="007968EC" w:rsidRPr="005B77CD" w:rsidRDefault="007968EC" w:rsidP="007968EC">
                  <w:pPr>
                    <w:autoSpaceDE w:val="0"/>
                    <w:autoSpaceDN w:val="0"/>
                    <w:adjustRightInd w:val="0"/>
                    <w:ind w:hanging="69"/>
                    <w:jc w:val="both"/>
                    <w:rPr>
                      <w:rFonts w:ascii="Arial Narrow" w:eastAsia="Calibri" w:hAnsi="Arial Narrow"/>
                      <w:b/>
                      <w:color w:val="000000" w:themeColor="text1"/>
                    </w:rPr>
                  </w:pPr>
                  <w:r w:rsidRPr="005B77CD">
                    <w:rPr>
                      <w:rFonts w:ascii="Arial Narrow" w:eastAsia="Calibri" w:hAnsi="Arial Narrow"/>
                      <w:color w:val="000000" w:themeColor="text1"/>
                    </w:rPr>
                    <w:t>El Día de la última liquidación será el mismo de la</w:t>
                  </w:r>
                </w:p>
                <w:p w14:paraId="4933A98C" w14:textId="77777777" w:rsidR="007968EC" w:rsidRPr="005B77CD" w:rsidRDefault="007968EC" w:rsidP="007968EC">
                  <w:pPr>
                    <w:autoSpaceDE w:val="0"/>
                    <w:autoSpaceDN w:val="0"/>
                    <w:adjustRightInd w:val="0"/>
                    <w:ind w:hanging="69"/>
                    <w:jc w:val="both"/>
                    <w:rPr>
                      <w:rFonts w:ascii="Arial Narrow" w:eastAsia="Calibri" w:hAnsi="Arial Narrow"/>
                      <w:b/>
                      <w:color w:val="000000" w:themeColor="text1"/>
                    </w:rPr>
                  </w:pPr>
                  <w:r w:rsidRPr="005B77CD">
                    <w:rPr>
                      <w:rFonts w:ascii="Arial Narrow" w:eastAsia="Calibri" w:hAnsi="Arial Narrow"/>
                      <w:color w:val="000000" w:themeColor="text1"/>
                    </w:rPr>
                    <w:t xml:space="preserve">Fecha de Vencimiento.  </w:t>
                  </w:r>
                </w:p>
              </w:tc>
            </w:tr>
          </w:tbl>
          <w:p w14:paraId="2FBFDF64" w14:textId="77777777" w:rsidR="007968EC" w:rsidRPr="005B77CD" w:rsidRDefault="007968EC" w:rsidP="007968EC">
            <w:pPr>
              <w:autoSpaceDE w:val="0"/>
              <w:autoSpaceDN w:val="0"/>
              <w:adjustRightInd w:val="0"/>
              <w:rPr>
                <w:rFonts w:ascii="Arial Narrow" w:eastAsia="Calibri" w:hAnsi="Arial Narrow"/>
                <w:b/>
                <w:color w:val="000000" w:themeColor="text1"/>
              </w:rPr>
            </w:pPr>
          </w:p>
        </w:tc>
      </w:tr>
    </w:tbl>
    <w:p w14:paraId="1A996B2D" w14:textId="77777777" w:rsidR="007968EC" w:rsidRPr="005B77CD" w:rsidRDefault="007968EC" w:rsidP="007968EC">
      <w:pPr>
        <w:autoSpaceDE w:val="0"/>
        <w:autoSpaceDN w:val="0"/>
        <w:adjustRightInd w:val="0"/>
        <w:rPr>
          <w:rFonts w:ascii="Arial Narrow" w:eastAsia="Calibri" w:hAnsi="Arial Narrow"/>
          <w:b/>
          <w:color w:val="000000" w:themeColor="text1"/>
        </w:rPr>
      </w:pPr>
    </w:p>
    <w:p w14:paraId="0AB16A9A" w14:textId="77777777" w:rsidR="007968EC" w:rsidRPr="005B77CD" w:rsidRDefault="007968EC" w:rsidP="00DA7472">
      <w:pPr>
        <w:numPr>
          <w:ilvl w:val="0"/>
          <w:numId w:val="111"/>
        </w:numPr>
        <w:autoSpaceDE w:val="0"/>
        <w:autoSpaceDN w:val="0"/>
        <w:adjustRightInd w:val="0"/>
        <w:contextualSpacing/>
        <w:rPr>
          <w:rFonts w:ascii="Arial Narrow" w:eastAsia="Calibri" w:hAnsi="Arial Narrow"/>
          <w:b/>
          <w:color w:val="000000" w:themeColor="text1"/>
        </w:rPr>
      </w:pPr>
      <w:r w:rsidRPr="005B77CD">
        <w:rPr>
          <w:rFonts w:ascii="Arial Narrow" w:eastAsia="Calibri" w:hAnsi="Arial Narrow"/>
          <w:color w:val="000000" w:themeColor="text1"/>
        </w:rPr>
        <w:t xml:space="preserve">Características Especiales: </w:t>
      </w:r>
    </w:p>
    <w:p w14:paraId="535353D6" w14:textId="77777777" w:rsidR="007968EC" w:rsidRPr="005B77CD" w:rsidRDefault="007968EC" w:rsidP="007968EC">
      <w:pPr>
        <w:autoSpaceDE w:val="0"/>
        <w:autoSpaceDN w:val="0"/>
        <w:adjustRightInd w:val="0"/>
        <w:rPr>
          <w:rFonts w:ascii="Arial Narrow" w:eastAsia="Calibri" w:hAnsi="Arial Narrow"/>
          <w:b/>
          <w:color w:val="000000" w:themeColor="text1"/>
        </w:rPr>
      </w:pPr>
    </w:p>
    <w:tbl>
      <w:tblPr>
        <w:tblW w:w="0" w:type="auto"/>
        <w:tblInd w:w="1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253"/>
        <w:gridCol w:w="4961"/>
      </w:tblGrid>
      <w:tr w:rsidR="007968EC" w:rsidRPr="005B77CD" w14:paraId="4E50A8FD" w14:textId="77777777" w:rsidTr="007968EC">
        <w:tc>
          <w:tcPr>
            <w:tcW w:w="4253" w:type="dxa"/>
            <w:shd w:val="clear" w:color="auto" w:fill="D0CECE"/>
            <w:vAlign w:val="center"/>
          </w:tcPr>
          <w:p w14:paraId="3EC413EE" w14:textId="77777777" w:rsidR="007968EC" w:rsidRPr="005B77CD" w:rsidRDefault="007968EC" w:rsidP="007968EC">
            <w:pPr>
              <w:rPr>
                <w:rFonts w:ascii="Arial Narrow" w:eastAsia="Calibri" w:hAnsi="Arial Narrow"/>
                <w:color w:val="000000" w:themeColor="text1"/>
              </w:rPr>
            </w:pPr>
            <w:r w:rsidRPr="005B77CD">
              <w:rPr>
                <w:rFonts w:ascii="Arial Narrow" w:eastAsia="Calibri" w:hAnsi="Arial Narrow"/>
                <w:color w:val="000000" w:themeColor="text1"/>
              </w:rPr>
              <w:t xml:space="preserve">Tasa SWAP </w:t>
            </w:r>
          </w:p>
        </w:tc>
        <w:tc>
          <w:tcPr>
            <w:tcW w:w="4961" w:type="dxa"/>
            <w:shd w:val="clear" w:color="auto" w:fill="auto"/>
            <w:vAlign w:val="center"/>
          </w:tcPr>
          <w:tbl>
            <w:tblPr>
              <w:tblW w:w="0" w:type="auto"/>
              <w:tblBorders>
                <w:top w:val="nil"/>
                <w:left w:val="nil"/>
                <w:bottom w:val="nil"/>
                <w:right w:val="nil"/>
              </w:tblBorders>
              <w:tblLayout w:type="fixed"/>
              <w:tblLook w:val="0000" w:firstRow="0" w:lastRow="0" w:firstColumn="0" w:lastColumn="0" w:noHBand="0" w:noVBand="0"/>
            </w:tblPr>
            <w:tblGrid>
              <w:gridCol w:w="4598"/>
            </w:tblGrid>
            <w:tr w:rsidR="007968EC" w:rsidRPr="005B77CD" w14:paraId="669D96E4" w14:textId="77777777" w:rsidTr="007968EC">
              <w:trPr>
                <w:trHeight w:val="232"/>
              </w:trPr>
              <w:tc>
                <w:tcPr>
                  <w:tcW w:w="4598" w:type="dxa"/>
                </w:tcPr>
                <w:p w14:paraId="033D6D7A" w14:textId="77777777" w:rsidR="007968EC" w:rsidRPr="005B77CD" w:rsidRDefault="007968EC" w:rsidP="007968EC">
                  <w:pPr>
                    <w:autoSpaceDE w:val="0"/>
                    <w:autoSpaceDN w:val="0"/>
                    <w:adjustRightInd w:val="0"/>
                    <w:ind w:left="-74"/>
                    <w:jc w:val="both"/>
                    <w:rPr>
                      <w:rFonts w:ascii="Arial Narrow" w:eastAsia="Calibri" w:hAnsi="Arial Narrow"/>
                      <w:b/>
                      <w:color w:val="000000" w:themeColor="text1"/>
                    </w:rPr>
                  </w:pPr>
                  <w:r w:rsidRPr="005B77CD">
                    <w:rPr>
                      <w:rFonts w:ascii="Arial Narrow" w:eastAsia="Calibri" w:hAnsi="Arial Narrow"/>
                      <w:color w:val="000000" w:themeColor="text1"/>
                    </w:rPr>
                    <w:t>Es la tasa pactada por las partes de la Operación.</w:t>
                  </w:r>
                </w:p>
              </w:tc>
            </w:tr>
          </w:tbl>
          <w:p w14:paraId="46B2A42A" w14:textId="77777777" w:rsidR="007968EC" w:rsidRPr="005B77CD" w:rsidRDefault="007968EC" w:rsidP="007968EC">
            <w:pPr>
              <w:jc w:val="both"/>
              <w:rPr>
                <w:rFonts w:ascii="Arial Narrow" w:eastAsia="Calibri" w:hAnsi="Arial Narrow"/>
                <w:color w:val="000000" w:themeColor="text1"/>
              </w:rPr>
            </w:pPr>
          </w:p>
        </w:tc>
      </w:tr>
      <w:tr w:rsidR="007968EC" w:rsidRPr="005B77CD" w14:paraId="06923841" w14:textId="77777777" w:rsidTr="007968EC">
        <w:tc>
          <w:tcPr>
            <w:tcW w:w="4253" w:type="dxa"/>
            <w:shd w:val="clear" w:color="auto" w:fill="D0CECE"/>
            <w:vAlign w:val="center"/>
          </w:tcPr>
          <w:p w14:paraId="076FC190" w14:textId="77777777" w:rsidR="007968EC" w:rsidRPr="005B77CD" w:rsidRDefault="007968EC" w:rsidP="007968EC">
            <w:pPr>
              <w:rPr>
                <w:rFonts w:ascii="Arial Narrow" w:eastAsia="Calibri" w:hAnsi="Arial Narrow"/>
                <w:color w:val="000000" w:themeColor="text1"/>
              </w:rPr>
            </w:pPr>
            <w:r w:rsidRPr="005B77CD">
              <w:rPr>
                <w:rFonts w:ascii="Arial Narrow" w:eastAsia="Calibri" w:hAnsi="Arial Narrow"/>
                <w:color w:val="000000" w:themeColor="text1"/>
              </w:rPr>
              <w:t xml:space="preserve">Precio SWAP </w:t>
            </w:r>
          </w:p>
        </w:tc>
        <w:tc>
          <w:tcPr>
            <w:tcW w:w="4961" w:type="dxa"/>
            <w:shd w:val="clear" w:color="auto" w:fill="auto"/>
            <w:vAlign w:val="center"/>
          </w:tcPr>
          <w:p w14:paraId="65616802" w14:textId="77777777" w:rsidR="007968EC" w:rsidRPr="005B77CD" w:rsidRDefault="007968EC" w:rsidP="007968EC">
            <w:pPr>
              <w:jc w:val="both"/>
              <w:rPr>
                <w:rFonts w:ascii="Arial Narrow" w:eastAsia="Calibri" w:hAnsi="Arial Narrow"/>
                <w:b/>
                <w:color w:val="000000" w:themeColor="text1"/>
              </w:rPr>
            </w:pPr>
            <w:r w:rsidRPr="005B77CD">
              <w:rPr>
                <w:rFonts w:ascii="Arial Narrow" w:eastAsia="Calibri" w:hAnsi="Arial Narrow"/>
                <w:color w:val="000000" w:themeColor="text1"/>
              </w:rPr>
              <w:t>Precio resultante de la transformación de la Tasa SWAP pactada por las partes de la Operación, usando la siguiente expresión:</w:t>
            </w:r>
          </w:p>
          <w:p w14:paraId="64E0057E" w14:textId="77777777" w:rsidR="007968EC" w:rsidRPr="005B77CD" w:rsidRDefault="007968EC" w:rsidP="007968EC">
            <w:pPr>
              <w:jc w:val="both"/>
              <w:rPr>
                <w:rFonts w:ascii="Arial Narrow" w:eastAsia="Calibri" w:hAnsi="Arial Narrow"/>
                <w:b/>
                <w:color w:val="000000" w:themeColor="text1"/>
              </w:rPr>
            </w:pPr>
          </w:p>
          <w:p w14:paraId="013F9AC7" w14:textId="77777777" w:rsidR="007968EC" w:rsidRPr="005B77CD" w:rsidRDefault="007968EC" w:rsidP="007968EC">
            <w:pPr>
              <w:jc w:val="both"/>
              <w:rPr>
                <w:rFonts w:ascii="Arial Narrow" w:eastAsia="Calibri" w:hAnsi="Arial Narrow"/>
                <w:b/>
                <w:color w:val="000000" w:themeColor="text1"/>
              </w:rPr>
            </w:pPr>
            <w:r w:rsidRPr="005B77CD">
              <w:rPr>
                <w:rFonts w:ascii="Arial Narrow" w:eastAsia="Calibri" w:hAnsi="Arial Narrow"/>
                <w:color w:val="000000" w:themeColor="text1"/>
              </w:rPr>
              <w:t xml:space="preserve">P = (i *(n/360)) +1 </w:t>
            </w:r>
          </w:p>
          <w:p w14:paraId="00217C45" w14:textId="77777777" w:rsidR="007968EC" w:rsidRPr="005B77CD" w:rsidRDefault="007968EC" w:rsidP="007968EC">
            <w:pPr>
              <w:jc w:val="both"/>
              <w:rPr>
                <w:rFonts w:ascii="Arial Narrow" w:eastAsia="Calibri" w:hAnsi="Arial Narrow"/>
                <w:b/>
                <w:color w:val="000000" w:themeColor="text1"/>
              </w:rPr>
            </w:pPr>
          </w:p>
          <w:p w14:paraId="1FA90A7B" w14:textId="77777777" w:rsidR="007968EC" w:rsidRPr="005B77CD" w:rsidRDefault="007968EC" w:rsidP="007968EC">
            <w:pPr>
              <w:jc w:val="both"/>
              <w:rPr>
                <w:rFonts w:ascii="Arial Narrow" w:eastAsia="Calibri" w:hAnsi="Arial Narrow"/>
                <w:b/>
                <w:color w:val="000000" w:themeColor="text1"/>
              </w:rPr>
            </w:pPr>
            <w:r w:rsidRPr="005B77CD">
              <w:rPr>
                <w:rFonts w:ascii="Arial Narrow" w:eastAsia="Calibri" w:hAnsi="Arial Narrow"/>
                <w:color w:val="000000" w:themeColor="text1"/>
              </w:rPr>
              <w:t xml:space="preserve">Donde: </w:t>
            </w:r>
          </w:p>
          <w:p w14:paraId="3303E47D" w14:textId="77777777" w:rsidR="007968EC" w:rsidRPr="005B77CD" w:rsidRDefault="007968EC" w:rsidP="007968EC">
            <w:pPr>
              <w:jc w:val="both"/>
              <w:rPr>
                <w:rFonts w:ascii="Arial Narrow" w:eastAsia="Calibri" w:hAnsi="Arial Narrow"/>
                <w:b/>
                <w:color w:val="000000" w:themeColor="text1"/>
              </w:rPr>
            </w:pPr>
          </w:p>
          <w:p w14:paraId="37616EA5" w14:textId="77777777" w:rsidR="007968EC" w:rsidRPr="005B77CD" w:rsidRDefault="007968EC" w:rsidP="007968EC">
            <w:pPr>
              <w:jc w:val="both"/>
              <w:rPr>
                <w:rFonts w:ascii="Arial Narrow" w:eastAsia="Calibri" w:hAnsi="Arial Narrow"/>
                <w:b/>
                <w:color w:val="000000" w:themeColor="text1"/>
              </w:rPr>
            </w:pPr>
            <w:r w:rsidRPr="005B77CD">
              <w:rPr>
                <w:rFonts w:ascii="Arial Narrow" w:eastAsia="Calibri" w:hAnsi="Arial Narrow"/>
                <w:color w:val="000000" w:themeColor="text1"/>
              </w:rPr>
              <w:t>i = Tasa swap de negociación / cierre</w:t>
            </w:r>
          </w:p>
          <w:p w14:paraId="2FDE849D" w14:textId="77777777" w:rsidR="007968EC" w:rsidRPr="005B77CD" w:rsidRDefault="007968EC" w:rsidP="007968EC">
            <w:pPr>
              <w:jc w:val="both"/>
              <w:rPr>
                <w:rFonts w:ascii="Arial Narrow" w:eastAsia="Calibri" w:hAnsi="Arial Narrow"/>
                <w:b/>
                <w:color w:val="000000" w:themeColor="text1"/>
              </w:rPr>
            </w:pPr>
            <w:r w:rsidRPr="005B77CD">
              <w:rPr>
                <w:rFonts w:ascii="Arial Narrow" w:eastAsia="Calibri" w:hAnsi="Arial Narrow"/>
                <w:color w:val="000000" w:themeColor="text1"/>
              </w:rPr>
              <w:t>n = número de días calendario, comprendidos entre la fecha inicial y la fecha final de cada Operación.</w:t>
            </w:r>
          </w:p>
        </w:tc>
      </w:tr>
      <w:tr w:rsidR="007968EC" w:rsidRPr="005B77CD" w14:paraId="52183685" w14:textId="77777777" w:rsidTr="007968EC">
        <w:tc>
          <w:tcPr>
            <w:tcW w:w="4253" w:type="dxa"/>
            <w:shd w:val="clear" w:color="auto" w:fill="D0CECE"/>
            <w:vAlign w:val="center"/>
          </w:tcPr>
          <w:p w14:paraId="3284D873" w14:textId="77777777" w:rsidR="007968EC" w:rsidRPr="005B77CD" w:rsidRDefault="007968EC" w:rsidP="007968EC">
            <w:pPr>
              <w:rPr>
                <w:rFonts w:ascii="Arial Narrow" w:eastAsia="Calibri" w:hAnsi="Arial Narrow"/>
                <w:color w:val="000000" w:themeColor="text1"/>
              </w:rPr>
            </w:pPr>
            <w:r w:rsidRPr="005B77CD">
              <w:rPr>
                <w:rFonts w:ascii="Arial Narrow" w:eastAsia="Calibri" w:hAnsi="Arial Narrow"/>
                <w:color w:val="000000" w:themeColor="text1"/>
              </w:rPr>
              <w:lastRenderedPageBreak/>
              <w:t xml:space="preserve">Precio de Valoración de cierre </w:t>
            </w:r>
          </w:p>
        </w:tc>
        <w:tc>
          <w:tcPr>
            <w:tcW w:w="4961" w:type="dxa"/>
            <w:shd w:val="clear" w:color="auto" w:fill="auto"/>
          </w:tcPr>
          <w:p w14:paraId="2D708E84" w14:textId="77777777" w:rsidR="007968EC" w:rsidRPr="005B77CD" w:rsidRDefault="007968EC" w:rsidP="007968EC">
            <w:pPr>
              <w:jc w:val="both"/>
              <w:rPr>
                <w:rFonts w:ascii="Arial Narrow" w:eastAsia="Calibri" w:hAnsi="Arial Narrow"/>
                <w:b/>
                <w:color w:val="000000" w:themeColor="text1"/>
              </w:rPr>
            </w:pPr>
            <w:r w:rsidRPr="005B77CD">
              <w:rPr>
                <w:rFonts w:ascii="Arial Narrow" w:eastAsia="Calibri" w:hAnsi="Arial Narrow"/>
                <w:color w:val="000000" w:themeColor="text1"/>
              </w:rPr>
              <w:t>Precio con el cual se realizará el ajuste diario de garantías el cual es suministrado por el Proveedor Oficial de Precios para Valoración.</w:t>
            </w:r>
          </w:p>
        </w:tc>
      </w:tr>
      <w:tr w:rsidR="007968EC" w:rsidRPr="005B77CD" w14:paraId="6DE0B749" w14:textId="77777777" w:rsidTr="007968EC">
        <w:tc>
          <w:tcPr>
            <w:tcW w:w="4253" w:type="dxa"/>
            <w:shd w:val="clear" w:color="auto" w:fill="D0CECE"/>
            <w:vAlign w:val="center"/>
          </w:tcPr>
          <w:p w14:paraId="05F05A9F" w14:textId="77777777" w:rsidR="007968EC" w:rsidRPr="005B77CD" w:rsidRDefault="007968EC" w:rsidP="007968EC">
            <w:pPr>
              <w:rPr>
                <w:rFonts w:ascii="Arial Narrow" w:eastAsia="Calibri" w:hAnsi="Arial Narrow"/>
                <w:color w:val="000000" w:themeColor="text1"/>
              </w:rPr>
            </w:pPr>
            <w:r w:rsidRPr="005B77CD">
              <w:rPr>
                <w:rFonts w:ascii="Arial Narrow" w:eastAsia="Calibri" w:hAnsi="Arial Narrow"/>
                <w:color w:val="000000" w:themeColor="text1"/>
              </w:rPr>
              <w:t>Precio de Liquidación al Vencimiento</w:t>
            </w:r>
          </w:p>
        </w:tc>
        <w:tc>
          <w:tcPr>
            <w:tcW w:w="4961" w:type="dxa"/>
            <w:shd w:val="clear" w:color="auto" w:fill="auto"/>
          </w:tcPr>
          <w:p w14:paraId="70D1321E" w14:textId="77777777" w:rsidR="007968EC" w:rsidRPr="005B77CD" w:rsidRDefault="007968EC" w:rsidP="007968EC">
            <w:pPr>
              <w:autoSpaceDE w:val="0"/>
              <w:autoSpaceDN w:val="0"/>
              <w:adjustRightInd w:val="0"/>
              <w:jc w:val="both"/>
              <w:rPr>
                <w:rFonts w:ascii="Arial Narrow" w:eastAsia="Calibri" w:hAnsi="Arial Narrow"/>
                <w:b/>
                <w:color w:val="000000" w:themeColor="text1"/>
              </w:rPr>
            </w:pPr>
            <w:r w:rsidRPr="005B77CD">
              <w:rPr>
                <w:rFonts w:ascii="Arial Narrow" w:eastAsia="Calibri" w:hAnsi="Arial Narrow"/>
                <w:color w:val="000000" w:themeColor="text1"/>
              </w:rPr>
              <w:t>Corresponde a la tasa que resulte de la composición del IBR overnight durante el periodo de vigencia del Instrumento, usando para los días no hábiles o hábiles no bancarios la tasa overnight del día anterior, el cual es suministrado por el Proveedor Oficial de Precios para Valoración.</w:t>
            </w:r>
          </w:p>
          <w:p w14:paraId="247C971F" w14:textId="77777777" w:rsidR="007968EC" w:rsidRPr="005B77CD" w:rsidRDefault="007968EC" w:rsidP="007968EC">
            <w:pPr>
              <w:autoSpaceDE w:val="0"/>
              <w:autoSpaceDN w:val="0"/>
              <w:adjustRightInd w:val="0"/>
              <w:rPr>
                <w:rFonts w:ascii="Arial Narrow" w:eastAsia="Calibri" w:hAnsi="Arial Narrow"/>
                <w:b/>
                <w:color w:val="000000" w:themeColor="text1"/>
              </w:rPr>
            </w:pPr>
          </w:p>
          <w:p w14:paraId="5ABE3B3B" w14:textId="77777777" w:rsidR="007968EC" w:rsidRPr="005B77CD" w:rsidRDefault="007968EC" w:rsidP="007968EC">
            <w:pPr>
              <w:jc w:val="both"/>
              <w:rPr>
                <w:rFonts w:ascii="Arial Narrow" w:eastAsia="Calibri" w:hAnsi="Arial Narrow"/>
                <w:b/>
                <w:bCs/>
                <w:color w:val="000000" w:themeColor="text1"/>
              </w:rPr>
            </w:pPr>
            <w:r w:rsidRPr="005B77CD">
              <w:rPr>
                <w:rFonts w:ascii="Arial Narrow" w:eastAsia="Calibri" w:hAnsi="Arial Narrow"/>
                <w:bCs/>
                <w:color w:val="000000" w:themeColor="text1"/>
              </w:rPr>
              <w:t xml:space="preserve">La composición de la tasa IBR overnight, se realiza aplicando la siguiente expresión: </w:t>
            </w:r>
          </w:p>
          <w:p w14:paraId="4EF31E66" w14:textId="77777777" w:rsidR="007968EC" w:rsidRPr="005B77CD" w:rsidRDefault="007968EC" w:rsidP="007968EC">
            <w:pPr>
              <w:jc w:val="both"/>
              <w:rPr>
                <w:rFonts w:ascii="Arial Narrow" w:eastAsia="Calibri" w:hAnsi="Arial Narrow"/>
                <w:b/>
                <w:bCs/>
                <w:color w:val="000000" w:themeColor="text1"/>
              </w:rPr>
            </w:pPr>
          </w:p>
          <w:p w14:paraId="5FE21255" w14:textId="77777777" w:rsidR="007968EC" w:rsidRPr="005B77CD" w:rsidRDefault="007968EC" w:rsidP="007968EC">
            <w:pPr>
              <w:jc w:val="both"/>
              <w:rPr>
                <w:rFonts w:ascii="Arial Narrow" w:eastAsia="Calibri" w:hAnsi="Arial Narrow"/>
                <w:b/>
                <w:color w:val="000000" w:themeColor="text1"/>
              </w:rPr>
            </w:pPr>
            <m:oMathPara>
              <m:oMath>
                <m:r>
                  <m:rPr>
                    <m:sty m:val="bi"/>
                  </m:rPr>
                  <w:rPr>
                    <w:rFonts w:ascii="Cambria Math" w:eastAsia="Calibri" w:hAnsi="Cambria Math"/>
                    <w:color w:val="000000" w:themeColor="text1"/>
                  </w:rPr>
                  <m:t xml:space="preserve">r= </m:t>
                </m:r>
                <m:f>
                  <m:fPr>
                    <m:ctrlPr>
                      <w:rPr>
                        <w:rFonts w:ascii="Cambria Math" w:eastAsia="Calibri" w:hAnsi="Cambria Math"/>
                        <w:i/>
                        <w:color w:val="000000" w:themeColor="text1"/>
                      </w:rPr>
                    </m:ctrlPr>
                  </m:fPr>
                  <m:num>
                    <m:r>
                      <m:rPr>
                        <m:sty m:val="bi"/>
                      </m:rPr>
                      <w:rPr>
                        <w:rFonts w:ascii="Cambria Math" w:eastAsia="Calibri" w:hAnsi="Cambria Math" w:cs="Cambria Math"/>
                        <w:color w:val="000000" w:themeColor="text1"/>
                      </w:rPr>
                      <m:t>3</m:t>
                    </m:r>
                    <m:r>
                      <m:rPr>
                        <m:sty m:val="bi"/>
                      </m:rPr>
                      <w:rPr>
                        <w:rFonts w:ascii="Cambria Math" w:eastAsia="Calibri" w:hAnsi="Cambria Math"/>
                        <w:color w:val="000000" w:themeColor="text1"/>
                      </w:rPr>
                      <m:t>60</m:t>
                    </m:r>
                  </m:num>
                  <m:den>
                    <m:r>
                      <m:rPr>
                        <m:sty m:val="bi"/>
                      </m:rPr>
                      <w:rPr>
                        <w:rFonts w:ascii="Cambria Math" w:eastAsia="Calibri" w:hAnsi="Cambria Math"/>
                        <w:color w:val="000000" w:themeColor="text1"/>
                      </w:rPr>
                      <m:t xml:space="preserve">n </m:t>
                    </m:r>
                  </m:den>
                </m:f>
                <m:r>
                  <m:rPr>
                    <m:sty m:val="bi"/>
                  </m:rPr>
                  <w:rPr>
                    <w:rFonts w:ascii="Cambria Math" w:eastAsia="Calibri" w:hAnsi="Cambria Math"/>
                    <w:color w:val="000000" w:themeColor="text1"/>
                  </w:rPr>
                  <m:t xml:space="preserve"> [</m:t>
                </m:r>
                <m:nary>
                  <m:naryPr>
                    <m:chr m:val="∏"/>
                    <m:limLoc m:val="undOvr"/>
                    <m:ctrlPr>
                      <w:rPr>
                        <w:rFonts w:ascii="Cambria Math" w:eastAsia="Calibri" w:hAnsi="Cambria Math"/>
                        <w:i/>
                        <w:color w:val="000000" w:themeColor="text1"/>
                      </w:rPr>
                    </m:ctrlPr>
                  </m:naryPr>
                  <m:sub>
                    <m:r>
                      <m:rPr>
                        <m:sty m:val="bi"/>
                      </m:rPr>
                      <w:rPr>
                        <w:rFonts w:ascii="Cambria Math" w:eastAsia="Calibri" w:hAnsi="Cambria Math"/>
                        <w:color w:val="000000" w:themeColor="text1"/>
                      </w:rPr>
                      <m:t>i=ts</m:t>
                    </m:r>
                  </m:sub>
                  <m:sup>
                    <m:r>
                      <m:rPr>
                        <m:sty m:val="bi"/>
                      </m:rPr>
                      <w:rPr>
                        <w:rFonts w:ascii="Cambria Math" w:eastAsia="Calibri" w:hAnsi="Cambria Math"/>
                        <w:color w:val="000000" w:themeColor="text1"/>
                      </w:rPr>
                      <m:t>te-1</m:t>
                    </m:r>
                  </m:sup>
                  <m:e>
                    <m:r>
                      <m:rPr>
                        <m:sty m:val="bi"/>
                      </m:rPr>
                      <w:rPr>
                        <w:rFonts w:ascii="Cambria Math" w:eastAsia="Calibri" w:hAnsi="Cambria Math"/>
                        <w:color w:val="000000" w:themeColor="text1"/>
                      </w:rPr>
                      <m:t xml:space="preserve">(1+ </m:t>
                    </m:r>
                    <m:f>
                      <m:fPr>
                        <m:ctrlPr>
                          <w:rPr>
                            <w:rFonts w:ascii="Cambria Math" w:eastAsia="Calibri" w:hAnsi="Cambria Math"/>
                            <w:i/>
                            <w:color w:val="000000" w:themeColor="text1"/>
                          </w:rPr>
                        </m:ctrlPr>
                      </m:fPr>
                      <m:num>
                        <m:r>
                          <m:rPr>
                            <m:sty m:val="bi"/>
                          </m:rPr>
                          <w:rPr>
                            <w:rFonts w:ascii="Cambria Math" w:eastAsia="Calibri" w:hAnsi="Cambria Math"/>
                            <w:color w:val="000000" w:themeColor="text1"/>
                          </w:rPr>
                          <m:t>ri*di</m:t>
                        </m:r>
                      </m:num>
                      <m:den>
                        <m:r>
                          <m:rPr>
                            <m:sty m:val="bi"/>
                          </m:rPr>
                          <w:rPr>
                            <w:rFonts w:ascii="Cambria Math" w:eastAsia="Calibri" w:hAnsi="Cambria Math"/>
                            <w:color w:val="000000" w:themeColor="text1"/>
                          </w:rPr>
                          <m:t>360</m:t>
                        </m:r>
                      </m:den>
                    </m:f>
                  </m:e>
                </m:nary>
                <m:r>
                  <m:rPr>
                    <m:sty m:val="bi"/>
                  </m:rPr>
                  <w:rPr>
                    <w:rFonts w:ascii="Cambria Math" w:eastAsia="Calibri" w:hAnsi="Cambria Math"/>
                    <w:color w:val="000000" w:themeColor="text1"/>
                  </w:rPr>
                  <m:t>)   -1  ]</m:t>
                </m:r>
              </m:oMath>
            </m:oMathPara>
          </w:p>
          <w:p w14:paraId="7EE63A91" w14:textId="77777777" w:rsidR="007968EC" w:rsidRPr="005B77CD" w:rsidRDefault="007968EC" w:rsidP="007968EC">
            <w:pPr>
              <w:jc w:val="both"/>
              <w:rPr>
                <w:rFonts w:ascii="Arial Narrow" w:eastAsia="Calibri" w:hAnsi="Arial Narrow"/>
                <w:b/>
                <w:bCs/>
                <w:color w:val="000000" w:themeColor="text1"/>
              </w:rPr>
            </w:pPr>
          </w:p>
          <w:p w14:paraId="6161B7E5" w14:textId="77777777" w:rsidR="007968EC" w:rsidRPr="005B77CD" w:rsidRDefault="007968EC" w:rsidP="007968EC">
            <w:pPr>
              <w:jc w:val="both"/>
              <w:rPr>
                <w:rFonts w:ascii="Arial Narrow" w:eastAsia="Calibri" w:hAnsi="Arial Narrow"/>
                <w:b/>
                <w:bCs/>
                <w:color w:val="000000" w:themeColor="text1"/>
              </w:rPr>
            </w:pPr>
            <w:r w:rsidRPr="005B77CD">
              <w:rPr>
                <w:rFonts w:ascii="Arial Narrow" w:eastAsia="Calibri" w:hAnsi="Arial Narrow"/>
                <w:bCs/>
                <w:color w:val="000000" w:themeColor="text1"/>
              </w:rPr>
              <w:t xml:space="preserve">r = Tasa Variable (IBR compuesta), redondeando a 3 decimales en términos porcentuales. </w:t>
            </w:r>
          </w:p>
          <w:p w14:paraId="7CD8C9B1" w14:textId="77777777" w:rsidR="007968EC" w:rsidRPr="005B77CD" w:rsidRDefault="007968EC" w:rsidP="007968EC">
            <w:pPr>
              <w:jc w:val="both"/>
              <w:rPr>
                <w:rFonts w:ascii="Arial Narrow" w:eastAsia="Calibri" w:hAnsi="Arial Narrow"/>
                <w:b/>
                <w:bCs/>
                <w:color w:val="000000" w:themeColor="text1"/>
              </w:rPr>
            </w:pPr>
            <w:proofErr w:type="spellStart"/>
            <w:r w:rsidRPr="005B77CD">
              <w:rPr>
                <w:rFonts w:ascii="Arial Narrow" w:eastAsia="Calibri" w:hAnsi="Arial Narrow"/>
                <w:bCs/>
                <w:color w:val="000000" w:themeColor="text1"/>
              </w:rPr>
              <w:t>ts</w:t>
            </w:r>
            <w:proofErr w:type="spellEnd"/>
            <w:r w:rsidRPr="005B77CD">
              <w:rPr>
                <w:rFonts w:ascii="Arial Narrow" w:eastAsia="Calibri" w:hAnsi="Arial Narrow"/>
                <w:bCs/>
                <w:color w:val="000000" w:themeColor="text1"/>
              </w:rPr>
              <w:t xml:space="preserve"> = Fecha inicial, es la fecha de negociación del swap. </w:t>
            </w:r>
          </w:p>
          <w:p w14:paraId="23BE9505" w14:textId="77777777" w:rsidR="007968EC" w:rsidRPr="005B77CD" w:rsidRDefault="007968EC" w:rsidP="007968EC">
            <w:pPr>
              <w:jc w:val="both"/>
              <w:rPr>
                <w:rFonts w:ascii="Arial Narrow" w:eastAsia="Calibri" w:hAnsi="Arial Narrow"/>
                <w:b/>
                <w:bCs/>
                <w:color w:val="000000" w:themeColor="text1"/>
              </w:rPr>
            </w:pPr>
            <w:r w:rsidRPr="005B77CD">
              <w:rPr>
                <w:rFonts w:ascii="Arial Narrow" w:eastAsia="Calibri" w:hAnsi="Arial Narrow"/>
                <w:bCs/>
                <w:color w:val="000000" w:themeColor="text1"/>
              </w:rPr>
              <w:t>te= Fecha final, es la fecha de vencimiento, es decir, fecha inicial más un (1) mes o tres (3) meses dependiendo del plazo que se esté formando.</w:t>
            </w:r>
          </w:p>
          <w:p w14:paraId="6167B542" w14:textId="77777777" w:rsidR="007968EC" w:rsidRPr="005B77CD" w:rsidRDefault="007968EC" w:rsidP="007968EC">
            <w:pPr>
              <w:jc w:val="both"/>
              <w:rPr>
                <w:rFonts w:ascii="Arial Narrow" w:eastAsia="Calibri" w:hAnsi="Arial Narrow"/>
                <w:b/>
                <w:bCs/>
                <w:color w:val="000000" w:themeColor="text1"/>
              </w:rPr>
            </w:pPr>
            <w:proofErr w:type="spellStart"/>
            <w:r w:rsidRPr="005B77CD">
              <w:rPr>
                <w:rFonts w:ascii="Arial Narrow" w:eastAsia="Calibri" w:hAnsi="Arial Narrow"/>
                <w:bCs/>
                <w:color w:val="000000" w:themeColor="text1"/>
              </w:rPr>
              <w:t>ri</w:t>
            </w:r>
            <w:proofErr w:type="spellEnd"/>
            <w:r w:rsidRPr="005B77CD">
              <w:rPr>
                <w:rFonts w:ascii="Arial Narrow" w:eastAsia="Calibri" w:hAnsi="Arial Narrow"/>
                <w:bCs/>
                <w:color w:val="000000" w:themeColor="text1"/>
              </w:rPr>
              <w:t xml:space="preserve"> =Tasa IBR overnight de i-</w:t>
            </w:r>
            <w:proofErr w:type="spellStart"/>
            <w:r w:rsidRPr="005B77CD">
              <w:rPr>
                <w:rFonts w:ascii="Arial Narrow" w:eastAsia="Calibri" w:hAnsi="Arial Narrow"/>
                <w:bCs/>
                <w:color w:val="000000" w:themeColor="text1"/>
              </w:rPr>
              <w:t>ésimo</w:t>
            </w:r>
            <w:proofErr w:type="spellEnd"/>
            <w:r w:rsidRPr="005B77CD">
              <w:rPr>
                <w:rFonts w:ascii="Arial Narrow" w:eastAsia="Calibri" w:hAnsi="Arial Narrow"/>
                <w:bCs/>
                <w:color w:val="000000" w:themeColor="text1"/>
              </w:rPr>
              <w:t xml:space="preserve"> día, expresada en términos nominales. </w:t>
            </w:r>
          </w:p>
          <w:p w14:paraId="62A19A03" w14:textId="77777777" w:rsidR="007968EC" w:rsidRPr="005B77CD" w:rsidRDefault="007968EC" w:rsidP="007968EC">
            <w:pPr>
              <w:jc w:val="both"/>
              <w:rPr>
                <w:rFonts w:ascii="Arial Narrow" w:eastAsia="Calibri" w:hAnsi="Arial Narrow"/>
                <w:b/>
                <w:bCs/>
                <w:color w:val="000000" w:themeColor="text1"/>
              </w:rPr>
            </w:pPr>
            <w:r w:rsidRPr="005B77CD">
              <w:rPr>
                <w:rFonts w:ascii="Arial Narrow" w:eastAsia="Calibri" w:hAnsi="Arial Narrow"/>
                <w:bCs/>
                <w:color w:val="000000" w:themeColor="text1"/>
              </w:rPr>
              <w:t>di = Número de días calendario que la tasa es aplicada.</w:t>
            </w:r>
          </w:p>
          <w:p w14:paraId="6C9E5AA6" w14:textId="77777777" w:rsidR="007968EC" w:rsidRPr="005B77CD" w:rsidRDefault="007968EC" w:rsidP="007968EC">
            <w:pPr>
              <w:jc w:val="both"/>
              <w:rPr>
                <w:rFonts w:ascii="Arial Narrow" w:eastAsia="Calibri" w:hAnsi="Arial Narrow"/>
                <w:b/>
                <w:bCs/>
                <w:color w:val="000000" w:themeColor="text1"/>
              </w:rPr>
            </w:pPr>
            <w:r w:rsidRPr="005B77CD">
              <w:rPr>
                <w:rFonts w:ascii="Arial Narrow" w:eastAsia="Calibri" w:hAnsi="Arial Narrow"/>
                <w:bCs/>
                <w:color w:val="000000" w:themeColor="text1"/>
              </w:rPr>
              <w:t xml:space="preserve">n = Número de días calendario, comprendidos entre la fecha inicial y la fecha final de cada operación.  </w:t>
            </w:r>
          </w:p>
          <w:p w14:paraId="12089249" w14:textId="77777777" w:rsidR="007968EC" w:rsidRPr="005B77CD" w:rsidRDefault="007968EC" w:rsidP="007968EC">
            <w:pPr>
              <w:rPr>
                <w:rFonts w:ascii="Arial Narrow" w:eastAsia="Calibri" w:hAnsi="Arial Narrow"/>
                <w:b/>
                <w:color w:val="000000" w:themeColor="text1"/>
              </w:rPr>
            </w:pPr>
          </w:p>
        </w:tc>
      </w:tr>
      <w:tr w:rsidR="007968EC" w:rsidRPr="005B77CD" w14:paraId="79A97276" w14:textId="77777777" w:rsidTr="007968EC">
        <w:tc>
          <w:tcPr>
            <w:tcW w:w="4253" w:type="dxa"/>
            <w:shd w:val="clear" w:color="auto" w:fill="D0CECE"/>
            <w:vAlign w:val="center"/>
          </w:tcPr>
          <w:p w14:paraId="60E45145" w14:textId="77777777" w:rsidR="007968EC" w:rsidRPr="005B77CD" w:rsidRDefault="007968EC" w:rsidP="007968EC">
            <w:pPr>
              <w:rPr>
                <w:rFonts w:ascii="Arial Narrow" w:eastAsia="Calibri" w:hAnsi="Arial Narrow"/>
                <w:color w:val="000000" w:themeColor="text1"/>
              </w:rPr>
            </w:pPr>
            <w:r w:rsidRPr="005B77CD">
              <w:rPr>
                <w:rFonts w:ascii="Arial Narrow" w:eastAsia="Calibri" w:hAnsi="Arial Narrow"/>
                <w:color w:val="000000" w:themeColor="text1"/>
              </w:rPr>
              <w:t>Fecha Efectiva</w:t>
            </w:r>
          </w:p>
        </w:tc>
        <w:tc>
          <w:tcPr>
            <w:tcW w:w="4961" w:type="dxa"/>
            <w:shd w:val="clear" w:color="auto" w:fill="auto"/>
          </w:tcPr>
          <w:p w14:paraId="320EB7AF" w14:textId="77777777" w:rsidR="007968EC" w:rsidRPr="005B77CD" w:rsidRDefault="007968EC" w:rsidP="007968EC">
            <w:pPr>
              <w:autoSpaceDE w:val="0"/>
              <w:autoSpaceDN w:val="0"/>
              <w:adjustRightInd w:val="0"/>
              <w:jc w:val="both"/>
              <w:rPr>
                <w:rFonts w:ascii="Arial Narrow" w:eastAsia="Calibri" w:hAnsi="Arial Narrow"/>
                <w:b/>
                <w:color w:val="000000" w:themeColor="text1"/>
              </w:rPr>
            </w:pPr>
            <w:r w:rsidRPr="005B77CD">
              <w:rPr>
                <w:rFonts w:ascii="Arial Narrow" w:eastAsia="Calibri" w:hAnsi="Arial Narrow"/>
                <w:color w:val="000000" w:themeColor="text1"/>
              </w:rPr>
              <w:t>T+0</w:t>
            </w:r>
          </w:p>
        </w:tc>
      </w:tr>
      <w:tr w:rsidR="007968EC" w:rsidRPr="005B77CD" w14:paraId="38EFD7FC" w14:textId="77777777" w:rsidTr="007968EC">
        <w:tc>
          <w:tcPr>
            <w:tcW w:w="4253" w:type="dxa"/>
            <w:shd w:val="clear" w:color="auto" w:fill="D0CECE"/>
            <w:vAlign w:val="center"/>
          </w:tcPr>
          <w:p w14:paraId="74991A6A" w14:textId="77777777" w:rsidR="007968EC" w:rsidRPr="005B77CD" w:rsidRDefault="007968EC" w:rsidP="007968EC">
            <w:pPr>
              <w:rPr>
                <w:rFonts w:ascii="Arial Narrow" w:eastAsia="Calibri" w:hAnsi="Arial Narrow"/>
                <w:color w:val="000000" w:themeColor="text1"/>
              </w:rPr>
            </w:pPr>
            <w:r w:rsidRPr="005B77CD">
              <w:rPr>
                <w:rFonts w:ascii="Arial Narrow" w:eastAsia="Calibri" w:hAnsi="Arial Narrow"/>
                <w:color w:val="000000" w:themeColor="text1"/>
              </w:rPr>
              <w:t>Valor Nominal</w:t>
            </w:r>
          </w:p>
        </w:tc>
        <w:tc>
          <w:tcPr>
            <w:tcW w:w="4961" w:type="dxa"/>
            <w:shd w:val="clear" w:color="auto" w:fill="auto"/>
          </w:tcPr>
          <w:p w14:paraId="309756F6" w14:textId="77777777" w:rsidR="007968EC" w:rsidRPr="005B77CD" w:rsidRDefault="007968EC" w:rsidP="007968EC">
            <w:pPr>
              <w:autoSpaceDE w:val="0"/>
              <w:autoSpaceDN w:val="0"/>
              <w:adjustRightInd w:val="0"/>
              <w:rPr>
                <w:rFonts w:ascii="Arial Narrow" w:eastAsia="Calibri" w:hAnsi="Arial Narrow"/>
                <w:b/>
                <w:color w:val="000000" w:themeColor="text1"/>
              </w:rPr>
            </w:pPr>
            <w:r w:rsidRPr="005B77CD">
              <w:rPr>
                <w:rFonts w:ascii="Arial Narrow" w:eastAsia="Calibri" w:hAnsi="Arial Narrow"/>
                <w:color w:val="000000" w:themeColor="text1"/>
              </w:rPr>
              <w:t>Valor pactado por las partes en moneda legal colombiana</w:t>
            </w:r>
          </w:p>
        </w:tc>
      </w:tr>
    </w:tbl>
    <w:p w14:paraId="643DB65C" w14:textId="77777777" w:rsidR="007968EC" w:rsidRPr="005B77CD" w:rsidRDefault="007968EC" w:rsidP="007968EC">
      <w:pPr>
        <w:autoSpaceDE w:val="0"/>
        <w:autoSpaceDN w:val="0"/>
        <w:adjustRightInd w:val="0"/>
        <w:ind w:left="360"/>
        <w:contextualSpacing/>
        <w:rPr>
          <w:rFonts w:ascii="Arial Narrow" w:eastAsia="Calibri" w:hAnsi="Arial Narrow"/>
          <w:b/>
          <w:color w:val="000000" w:themeColor="text1"/>
        </w:rPr>
      </w:pPr>
    </w:p>
    <w:p w14:paraId="2E89E321" w14:textId="77777777" w:rsidR="007968EC" w:rsidRPr="005B77CD" w:rsidRDefault="007968EC" w:rsidP="00DA7472">
      <w:pPr>
        <w:numPr>
          <w:ilvl w:val="0"/>
          <w:numId w:val="111"/>
        </w:numPr>
        <w:autoSpaceDE w:val="0"/>
        <w:autoSpaceDN w:val="0"/>
        <w:adjustRightInd w:val="0"/>
        <w:contextualSpacing/>
        <w:rPr>
          <w:rFonts w:ascii="Arial Narrow" w:eastAsia="Calibri" w:hAnsi="Arial Narrow"/>
          <w:b/>
          <w:color w:val="000000" w:themeColor="text1"/>
        </w:rPr>
      </w:pPr>
      <w:r w:rsidRPr="005B77CD">
        <w:rPr>
          <w:rFonts w:ascii="Arial Narrow" w:eastAsia="Calibri" w:hAnsi="Arial Narrow"/>
          <w:color w:val="000000" w:themeColor="text1"/>
        </w:rPr>
        <w:t xml:space="preserve">Términos Económicos: </w:t>
      </w:r>
    </w:p>
    <w:p w14:paraId="7ADB3E8E" w14:textId="77777777" w:rsidR="007968EC" w:rsidRPr="005B77CD" w:rsidRDefault="007968EC" w:rsidP="007968EC">
      <w:pPr>
        <w:autoSpaceDE w:val="0"/>
        <w:autoSpaceDN w:val="0"/>
        <w:adjustRightInd w:val="0"/>
        <w:ind w:left="360"/>
        <w:contextualSpacing/>
        <w:rPr>
          <w:rFonts w:ascii="Arial Narrow" w:eastAsia="Calibri" w:hAnsi="Arial Narrow"/>
          <w:b/>
          <w:color w:val="000000" w:themeColor="text1"/>
        </w:rPr>
      </w:pPr>
    </w:p>
    <w:p w14:paraId="47FBB80F" w14:textId="77777777" w:rsidR="007968EC" w:rsidRPr="005B77CD" w:rsidRDefault="007968EC" w:rsidP="007968EC">
      <w:pPr>
        <w:jc w:val="both"/>
        <w:rPr>
          <w:rFonts w:ascii="Arial Narrow" w:eastAsia="Calibri" w:hAnsi="Arial Narrow"/>
          <w:b/>
          <w:color w:val="000000" w:themeColor="text1"/>
        </w:rPr>
      </w:pPr>
      <w:r w:rsidRPr="005B77CD">
        <w:rPr>
          <w:rFonts w:ascii="Arial Narrow" w:eastAsia="Calibri" w:hAnsi="Arial Narrow"/>
          <w:color w:val="000000" w:themeColor="text1"/>
        </w:rPr>
        <w:lastRenderedPageBreak/>
        <w:t>Se considerarán como Términos Económicos las condiciones sobre Tasa SWAP, Precio SWAP, Fecha de Liquidación al Vencimiento, Valor Nominal y Activo Subyacente que hayan sido pactadas por las partes originales en las Operaciones sobre Instrumentos Financieros Derivado No Estandarizados Susceptibles de ser Aceptadas por la Cámara.</w:t>
      </w:r>
    </w:p>
    <w:p w14:paraId="1ED0F5A3" w14:textId="77777777" w:rsidR="007968EC" w:rsidRPr="005B77CD" w:rsidRDefault="007968EC" w:rsidP="007968EC">
      <w:pPr>
        <w:rPr>
          <w:rFonts w:ascii="Arial Narrow" w:eastAsia="Calibri" w:hAnsi="Arial Narrow" w:cs="Arial Narrow"/>
          <w:b/>
          <w:color w:val="000000" w:themeColor="text1"/>
        </w:rPr>
      </w:pPr>
    </w:p>
    <w:p w14:paraId="516C2E0E" w14:textId="77777777" w:rsidR="007968EC" w:rsidRPr="005B77CD" w:rsidRDefault="007968EC" w:rsidP="00DA7472">
      <w:pPr>
        <w:numPr>
          <w:ilvl w:val="0"/>
          <w:numId w:val="111"/>
        </w:numPr>
        <w:jc w:val="both"/>
        <w:rPr>
          <w:rFonts w:ascii="Arial Narrow" w:eastAsia="Calibri" w:hAnsi="Arial Narrow"/>
          <w:b/>
          <w:bCs/>
          <w:color w:val="000000" w:themeColor="text1"/>
          <w:lang w:eastAsia="es-CO"/>
        </w:rPr>
      </w:pPr>
      <w:r w:rsidRPr="005B77CD">
        <w:rPr>
          <w:rFonts w:ascii="Arial Narrow" w:eastAsia="Calibri" w:hAnsi="Arial Narrow"/>
          <w:bCs/>
          <w:color w:val="000000" w:themeColor="text1"/>
          <w:lang w:eastAsia="es-CO"/>
        </w:rPr>
        <w:t>Controles de Riesgo:</w:t>
      </w:r>
    </w:p>
    <w:p w14:paraId="3E2F9FA2" w14:textId="77777777" w:rsidR="007968EC" w:rsidRPr="005B77CD" w:rsidRDefault="007968EC" w:rsidP="007968EC">
      <w:pPr>
        <w:jc w:val="both"/>
        <w:rPr>
          <w:rFonts w:ascii="Arial Narrow" w:eastAsia="Calibri" w:hAnsi="Arial Narrow"/>
          <w:color w:val="000000" w:themeColor="text1"/>
        </w:rPr>
      </w:pPr>
    </w:p>
    <w:p w14:paraId="440BEDCE" w14:textId="77777777" w:rsidR="007968EC" w:rsidRPr="005B77CD" w:rsidRDefault="007968EC" w:rsidP="007968EC">
      <w:pPr>
        <w:jc w:val="both"/>
        <w:rPr>
          <w:rFonts w:ascii="Arial Narrow" w:eastAsia="Calibri" w:hAnsi="Arial Narrow"/>
          <w:color w:val="000000" w:themeColor="text1"/>
        </w:rPr>
      </w:pPr>
      <w:r w:rsidRPr="005B77CD">
        <w:rPr>
          <w:rFonts w:ascii="Arial Narrow" w:eastAsia="Calibri" w:hAnsi="Arial Narrow"/>
          <w:color w:val="000000" w:themeColor="text1"/>
        </w:rPr>
        <w:t>Para la aceptación de operaciones OIS IBR, la Cámara verificará que las mismas cumplan el siguiente control de riesgo específico para cada una de las Cuentas de las partes de la Operación Susceptible de ser Aceptada:</w:t>
      </w:r>
    </w:p>
    <w:p w14:paraId="18AEDD84" w14:textId="77777777" w:rsidR="007968EC" w:rsidRPr="005B77CD" w:rsidRDefault="007968EC" w:rsidP="007968EC">
      <w:pPr>
        <w:jc w:val="both"/>
        <w:rPr>
          <w:rFonts w:ascii="Arial Narrow" w:eastAsia="Calibri" w:hAnsi="Arial Narrow"/>
          <w:color w:val="000000" w:themeColor="text1"/>
        </w:rPr>
      </w:pPr>
    </w:p>
    <w:p w14:paraId="0774D717" w14:textId="77777777" w:rsidR="007968EC" w:rsidRPr="005B77CD" w:rsidRDefault="007968EC" w:rsidP="00DA7472">
      <w:pPr>
        <w:numPr>
          <w:ilvl w:val="0"/>
          <w:numId w:val="112"/>
        </w:numPr>
        <w:contextualSpacing/>
        <w:jc w:val="both"/>
        <w:rPr>
          <w:rFonts w:ascii="Arial Narrow" w:eastAsia="Calibri" w:hAnsi="Arial Narrow"/>
          <w:b/>
          <w:color w:val="000000" w:themeColor="text1"/>
        </w:rPr>
      </w:pPr>
      <w:r w:rsidRPr="005B77CD">
        <w:rPr>
          <w:rFonts w:ascii="Arial Narrow" w:eastAsia="Calibri" w:hAnsi="Arial Narrow"/>
          <w:color w:val="000000" w:themeColor="text1"/>
        </w:rPr>
        <w:t xml:space="preserve">Que las Garantías por Posición de las Cuentas de la Operación Susceptible de ser Aceptada son suficientes para cubrir el riesgo según lo previsto en el artículo 1.6.2.3. de la presente Circular. </w:t>
      </w:r>
    </w:p>
    <w:p w14:paraId="286C416F" w14:textId="77777777" w:rsidR="007968EC" w:rsidRPr="005B77CD" w:rsidRDefault="007968EC" w:rsidP="007968EC">
      <w:pPr>
        <w:contextualSpacing/>
        <w:jc w:val="both"/>
        <w:rPr>
          <w:rFonts w:ascii="Arial Narrow" w:eastAsia="Calibri" w:hAnsi="Arial Narrow"/>
          <w:color w:val="000000" w:themeColor="text1"/>
        </w:rPr>
      </w:pPr>
    </w:p>
    <w:p w14:paraId="5C16FC04" w14:textId="77777777" w:rsidR="007968EC" w:rsidRPr="005B77CD" w:rsidRDefault="007968EC" w:rsidP="00DA7472">
      <w:pPr>
        <w:numPr>
          <w:ilvl w:val="0"/>
          <w:numId w:val="111"/>
        </w:numPr>
        <w:autoSpaceDE w:val="0"/>
        <w:autoSpaceDN w:val="0"/>
        <w:adjustRightInd w:val="0"/>
        <w:contextualSpacing/>
        <w:jc w:val="both"/>
        <w:rPr>
          <w:rFonts w:ascii="Arial Narrow" w:eastAsia="Calibri" w:hAnsi="Arial Narrow"/>
          <w:b/>
          <w:color w:val="000000" w:themeColor="text1"/>
          <w:lang w:eastAsia="es-CO"/>
        </w:rPr>
      </w:pPr>
      <w:r w:rsidRPr="005B77CD">
        <w:rPr>
          <w:rFonts w:ascii="Arial Narrow" w:eastAsia="Calibri" w:hAnsi="Arial Narrow" w:cs="Arial Narrow"/>
          <w:color w:val="000000" w:themeColor="text1"/>
          <w:lang w:eastAsia="es-CO"/>
        </w:rPr>
        <w:t xml:space="preserve">Criterio de aplicación de las reglas especiales </w:t>
      </w:r>
      <w:r w:rsidRPr="005B77CD">
        <w:rPr>
          <w:rFonts w:ascii="Arial Narrow" w:eastAsia="Calibri" w:hAnsi="Arial Narrow"/>
          <w:bCs/>
          <w:color w:val="000000" w:themeColor="text1"/>
          <w:lang w:eastAsia="es-CO"/>
        </w:rPr>
        <w:t>para el Instrumento Financiero Derivado No Estandarizado OIS IBR Formación</w:t>
      </w:r>
      <w:r w:rsidRPr="005B77CD">
        <w:rPr>
          <w:rFonts w:ascii="Arial Narrow" w:eastAsia="Calibri" w:hAnsi="Arial Narrow" w:cs="Arial Narrow"/>
          <w:color w:val="000000" w:themeColor="text1"/>
          <w:lang w:eastAsia="es-CO"/>
        </w:rPr>
        <w:t>:</w:t>
      </w:r>
    </w:p>
    <w:p w14:paraId="78CF043C" w14:textId="77777777" w:rsidR="007968EC" w:rsidRPr="005B77CD" w:rsidRDefault="007968EC" w:rsidP="007968EC">
      <w:pPr>
        <w:autoSpaceDE w:val="0"/>
        <w:autoSpaceDN w:val="0"/>
        <w:adjustRightInd w:val="0"/>
        <w:jc w:val="both"/>
        <w:rPr>
          <w:rFonts w:ascii="Arial Narrow" w:eastAsia="Calibri" w:hAnsi="Arial Narrow" w:cs="Arial Narrow"/>
          <w:b/>
          <w:color w:val="000000" w:themeColor="text1"/>
        </w:rPr>
      </w:pPr>
    </w:p>
    <w:p w14:paraId="38E26962" w14:textId="77777777" w:rsidR="007968EC" w:rsidRPr="007C5A53" w:rsidRDefault="007968EC" w:rsidP="007968EC">
      <w:pPr>
        <w:autoSpaceDE w:val="0"/>
        <w:autoSpaceDN w:val="0"/>
        <w:adjustRightInd w:val="0"/>
        <w:jc w:val="both"/>
        <w:rPr>
          <w:rFonts w:ascii="Arial Narrow" w:eastAsia="Calibri" w:hAnsi="Arial Narrow"/>
          <w:b/>
          <w:color w:val="000000" w:themeColor="text1"/>
        </w:rPr>
      </w:pPr>
      <w:r w:rsidRPr="005B77CD">
        <w:rPr>
          <w:rFonts w:ascii="Arial Narrow" w:eastAsia="Calibri" w:hAnsi="Arial Narrow" w:cs="Arial Narrow"/>
          <w:color w:val="000000" w:themeColor="text1"/>
        </w:rPr>
        <w:t>Salvo que exista norma especial para Instrumentos Financieros Derivados No Estandarizados, y en especial para el OIS IBR Formación aplicarán las disposiciones de la Parte I y Parte II de la presente Circular, siempre que no sean contrarias a la naturaleza de estos Instrumentos.</w:t>
      </w:r>
    </w:p>
    <w:p w14:paraId="60F1AA8B" w14:textId="77777777" w:rsidR="007968EC" w:rsidRPr="007C5A53" w:rsidRDefault="007968EC" w:rsidP="007968EC">
      <w:pPr>
        <w:jc w:val="both"/>
        <w:rPr>
          <w:rFonts w:ascii="Arial Narrow" w:eastAsia="Calibri" w:hAnsi="Arial Narrow"/>
          <w:b/>
          <w:color w:val="000000" w:themeColor="text1"/>
        </w:rPr>
      </w:pPr>
    </w:p>
    <w:p w14:paraId="32287D73" w14:textId="77777777" w:rsidR="007968EC" w:rsidRPr="007C5A53" w:rsidRDefault="007968EC" w:rsidP="007968EC">
      <w:pPr>
        <w:pStyle w:val="ARTICULO0"/>
      </w:pPr>
      <w:bookmarkStart w:id="5307" w:name="_Toc470781172"/>
      <w:bookmarkStart w:id="5308" w:name="_Toc470784733"/>
      <w:bookmarkStart w:id="5309" w:name="_Toc470785270"/>
      <w:bookmarkStart w:id="5310" w:name="_Toc470791664"/>
      <w:bookmarkStart w:id="5311" w:name="_Toc472592407"/>
      <w:bookmarkStart w:id="5312" w:name="_Toc472593426"/>
      <w:bookmarkStart w:id="5313" w:name="_Toc479057218"/>
      <w:bookmarkStart w:id="5314" w:name="_Toc31716240"/>
      <w:bookmarkStart w:id="5315" w:name="_Toc490066577"/>
      <w:r>
        <w:t>Artículo 2.7.2.22</w:t>
      </w:r>
      <w:r w:rsidRPr="007C5A53">
        <w:t>. OIS IBR.</w:t>
      </w:r>
      <w:bookmarkEnd w:id="5307"/>
      <w:bookmarkEnd w:id="5308"/>
      <w:bookmarkEnd w:id="5309"/>
      <w:bookmarkEnd w:id="5310"/>
      <w:bookmarkEnd w:id="5311"/>
      <w:bookmarkEnd w:id="5312"/>
      <w:bookmarkEnd w:id="5313"/>
      <w:bookmarkEnd w:id="5314"/>
      <w:r w:rsidRPr="007C5A53">
        <w:t xml:space="preserve">  </w:t>
      </w:r>
    </w:p>
    <w:bookmarkEnd w:id="5315"/>
    <w:p w14:paraId="56616E48" w14:textId="77777777" w:rsidR="007968EC" w:rsidRDefault="007968EC" w:rsidP="007968EC">
      <w:pPr>
        <w:rPr>
          <w:rFonts w:ascii="Arial" w:eastAsia="Calibri" w:hAnsi="Arial" w:cs="Arial"/>
          <w:b/>
          <w:lang w:eastAsia="es-ES"/>
        </w:rPr>
      </w:pPr>
    </w:p>
    <w:p w14:paraId="72D0A143" w14:textId="77777777" w:rsidR="007968EC" w:rsidRPr="009A04C1" w:rsidRDefault="007968EC" w:rsidP="007968EC">
      <w:pPr>
        <w:pStyle w:val="ANTECEDENTES"/>
      </w:pPr>
      <w:r w:rsidRPr="009A04C1">
        <w:t>(Este artículo fue modificado mediante Circular 2 del 11 de enero de 2017, publicada mediante Boletín Normativo N</w:t>
      </w:r>
      <w:r>
        <w:t>o. 002 del 11 de enero de 2017,</w:t>
      </w:r>
      <w:r w:rsidRPr="009A04C1">
        <w:t xml:space="preserve"> renumerado mediante Circular 6 del 14 de febrero de 2017, publicada mediante Boletín Normativo No. 006 del 14 de febrero de 2017</w:t>
      </w:r>
      <w:r>
        <w:t xml:space="preserve">,  mediante Circular 24 del 11 de diciembre de 2017, publicada en el boletín Normativo No. 031 del 11 de diciembre de 2017, </w:t>
      </w:r>
      <w:r w:rsidRPr="009C4B41">
        <w:rPr>
          <w:lang w:val="es-ES"/>
        </w:rPr>
        <w:t>mediante Circular 002 del 20 de febrero de 2018, publicada en el Boletín Normativo No. 003 del 20 de febrero de 2018</w:t>
      </w:r>
      <w:r>
        <w:rPr>
          <w:lang w:val="es-ES"/>
        </w:rPr>
        <w:t>, modificado mediante Circular 7 del 9 de mayo de 2018, publicada en el Boletín Normativo No. 010 del 9 de mayo de 2018 y</w:t>
      </w:r>
      <w:r w:rsidRPr="009C4B41">
        <w:rPr>
          <w:lang w:val="es-ES"/>
        </w:rPr>
        <w:t xml:space="preserve"> </w:t>
      </w:r>
      <w:r>
        <w:t xml:space="preserve">renumerado </w:t>
      </w:r>
      <w:r w:rsidRPr="00DA3D5C">
        <w:t xml:space="preserve">mediante Circular 10 del 6 de julio de 2018, publicada </w:t>
      </w:r>
      <w:r>
        <w:t>en el</w:t>
      </w:r>
      <w:r w:rsidRPr="00DA3D5C">
        <w:t xml:space="preserve"> Boletín Normativo No. 013 del 6 de julio de 2018. Rige a partir del 9 de julio de 2018</w:t>
      </w:r>
      <w:r w:rsidRPr="002C0D19">
        <w:t>.</w:t>
      </w:r>
      <w:r w:rsidRPr="009A04C1">
        <w:t>)</w:t>
      </w:r>
    </w:p>
    <w:p w14:paraId="48C770C4" w14:textId="77777777" w:rsidR="007968EC" w:rsidRPr="007C5A53" w:rsidRDefault="007968EC" w:rsidP="007968EC">
      <w:pPr>
        <w:rPr>
          <w:rFonts w:ascii="Arial" w:eastAsia="Calibri" w:hAnsi="Arial" w:cs="Arial"/>
          <w:b/>
          <w:lang w:eastAsia="es-ES"/>
        </w:rPr>
      </w:pPr>
    </w:p>
    <w:p w14:paraId="263DD88F" w14:textId="77777777" w:rsidR="007968EC" w:rsidRPr="005B77CD" w:rsidRDefault="007968EC" w:rsidP="007968EC">
      <w:pPr>
        <w:jc w:val="both"/>
        <w:rPr>
          <w:rFonts w:ascii="Arial Narrow" w:eastAsia="Calibri" w:hAnsi="Arial Narrow"/>
          <w:color w:val="000000" w:themeColor="text1"/>
        </w:rPr>
      </w:pPr>
      <w:r w:rsidRPr="005B77CD">
        <w:rPr>
          <w:rFonts w:ascii="Arial Narrow" w:eastAsia="Calibri" w:hAnsi="Arial Narrow"/>
          <w:color w:val="000000" w:themeColor="text1"/>
        </w:rPr>
        <w:t>La Cámara se interpondrá como contraparte y realizará la Compensación y Liquidación del Instrumento Financiero Derivado No Estandarizado OIS IBR que cumpla las siguientes condiciones:</w:t>
      </w:r>
    </w:p>
    <w:p w14:paraId="2DA9B91F" w14:textId="77777777" w:rsidR="007968EC" w:rsidRPr="005B77CD" w:rsidRDefault="007968EC" w:rsidP="007968EC">
      <w:pPr>
        <w:jc w:val="both"/>
        <w:rPr>
          <w:rFonts w:ascii="Arial Narrow" w:eastAsia="Calibri" w:hAnsi="Arial Narrow"/>
          <w:b/>
          <w:color w:val="000000" w:themeColor="text1"/>
        </w:rPr>
      </w:pPr>
    </w:p>
    <w:p w14:paraId="632FA590" w14:textId="77777777" w:rsidR="007968EC" w:rsidRPr="005B77CD" w:rsidRDefault="007968EC" w:rsidP="00DA7472">
      <w:pPr>
        <w:numPr>
          <w:ilvl w:val="0"/>
          <w:numId w:val="144"/>
        </w:numPr>
        <w:autoSpaceDE w:val="0"/>
        <w:autoSpaceDN w:val="0"/>
        <w:adjustRightInd w:val="0"/>
        <w:contextualSpacing/>
        <w:jc w:val="both"/>
        <w:rPr>
          <w:rFonts w:ascii="Arial Narrow" w:eastAsia="Calibri" w:hAnsi="Arial Narrow"/>
          <w:b/>
          <w:color w:val="000000" w:themeColor="text1"/>
          <w:lang w:eastAsia="es-CO"/>
        </w:rPr>
      </w:pPr>
      <w:r w:rsidRPr="005B77CD">
        <w:rPr>
          <w:rFonts w:ascii="Arial Narrow" w:eastAsia="Calibri" w:hAnsi="Arial Narrow"/>
          <w:color w:val="000000" w:themeColor="text1"/>
          <w:lang w:eastAsia="es-CO"/>
        </w:rPr>
        <w:t>Generalidades</w:t>
      </w:r>
    </w:p>
    <w:p w14:paraId="35EF7435" w14:textId="77777777" w:rsidR="007968EC" w:rsidRPr="005B77CD" w:rsidRDefault="007968EC" w:rsidP="007968EC">
      <w:pPr>
        <w:rPr>
          <w:rFonts w:ascii="Arial Narrow" w:eastAsia="Calibri" w:hAnsi="Arial Narrow"/>
          <w:b/>
          <w:color w:val="000000" w:themeColor="text1"/>
        </w:rPr>
      </w:pPr>
    </w:p>
    <w:tbl>
      <w:tblPr>
        <w:tblStyle w:val="Tablaconcuadrcula76"/>
        <w:tblW w:w="0" w:type="auto"/>
        <w:jc w:val="center"/>
        <w:tblLayout w:type="fixed"/>
        <w:tblLook w:val="04A0" w:firstRow="1" w:lastRow="0" w:firstColumn="1" w:lastColumn="0" w:noHBand="0" w:noVBand="1"/>
      </w:tblPr>
      <w:tblGrid>
        <w:gridCol w:w="2411"/>
        <w:gridCol w:w="6520"/>
      </w:tblGrid>
      <w:tr w:rsidR="007968EC" w:rsidRPr="005B77CD" w14:paraId="46199857" w14:textId="77777777" w:rsidTr="007968EC">
        <w:trPr>
          <w:jc w:val="center"/>
        </w:trPr>
        <w:tc>
          <w:tcPr>
            <w:tcW w:w="2411" w:type="dxa"/>
            <w:shd w:val="clear" w:color="auto" w:fill="BFBFBF"/>
          </w:tcPr>
          <w:p w14:paraId="3E49E880" w14:textId="77777777" w:rsidR="007968EC" w:rsidRPr="005B77CD" w:rsidRDefault="007968EC" w:rsidP="007968EC">
            <w:pPr>
              <w:jc w:val="both"/>
              <w:rPr>
                <w:rFonts w:ascii="Arial Narrow" w:hAnsi="Arial Narrow"/>
                <w:color w:val="000000" w:themeColor="text1"/>
                <w:lang w:val="es-ES" w:eastAsia="es-ES"/>
              </w:rPr>
            </w:pPr>
            <w:r w:rsidRPr="005B77CD">
              <w:rPr>
                <w:rFonts w:ascii="Arial Narrow" w:hAnsi="Arial Narrow"/>
                <w:color w:val="000000" w:themeColor="text1"/>
                <w:lang w:val="es-ES" w:eastAsia="es-ES"/>
              </w:rPr>
              <w:t>Instrumento</w:t>
            </w:r>
          </w:p>
        </w:tc>
        <w:tc>
          <w:tcPr>
            <w:tcW w:w="6520" w:type="dxa"/>
          </w:tcPr>
          <w:p w14:paraId="346948C6" w14:textId="77777777" w:rsidR="007968EC" w:rsidRPr="005B77CD" w:rsidRDefault="007968EC" w:rsidP="007968EC">
            <w:pPr>
              <w:jc w:val="both"/>
              <w:rPr>
                <w:rFonts w:ascii="Arial Narrow" w:hAnsi="Arial Narrow"/>
                <w:color w:val="000000" w:themeColor="text1"/>
                <w:lang w:val="es-ES" w:eastAsia="es-ES"/>
              </w:rPr>
            </w:pPr>
            <w:r w:rsidRPr="005B77CD">
              <w:rPr>
                <w:rFonts w:ascii="Arial Narrow" w:hAnsi="Arial Narrow"/>
                <w:color w:val="000000" w:themeColor="text1"/>
                <w:lang w:val="es-ES" w:eastAsia="es-ES"/>
              </w:rPr>
              <w:t>OIS IBR</w:t>
            </w:r>
          </w:p>
        </w:tc>
      </w:tr>
      <w:tr w:rsidR="007968EC" w:rsidRPr="005B77CD" w14:paraId="0A8CEE76" w14:textId="77777777" w:rsidTr="007968EC">
        <w:trPr>
          <w:jc w:val="center"/>
        </w:trPr>
        <w:tc>
          <w:tcPr>
            <w:tcW w:w="2411" w:type="dxa"/>
            <w:shd w:val="clear" w:color="auto" w:fill="BFBFBF"/>
          </w:tcPr>
          <w:p w14:paraId="5EF61539" w14:textId="77777777" w:rsidR="007968EC" w:rsidRPr="005B77CD" w:rsidRDefault="007968EC" w:rsidP="007968EC">
            <w:pPr>
              <w:rPr>
                <w:rFonts w:ascii="Arial Narrow" w:hAnsi="Arial Narrow"/>
                <w:color w:val="000000" w:themeColor="text1"/>
                <w:lang w:val="es-ES" w:eastAsia="es-ES"/>
              </w:rPr>
            </w:pPr>
            <w:r w:rsidRPr="005B77CD">
              <w:rPr>
                <w:rFonts w:ascii="Arial Narrow" w:hAnsi="Arial Narrow"/>
                <w:color w:val="000000" w:themeColor="text1"/>
                <w:lang w:val="es-ES" w:eastAsia="es-ES"/>
              </w:rPr>
              <w:t xml:space="preserve">Activo Subyacente </w:t>
            </w:r>
          </w:p>
        </w:tc>
        <w:tc>
          <w:tcPr>
            <w:tcW w:w="6520" w:type="dxa"/>
          </w:tcPr>
          <w:p w14:paraId="219920D2" w14:textId="77777777" w:rsidR="007968EC" w:rsidRPr="005B77CD" w:rsidRDefault="007968EC" w:rsidP="007968EC">
            <w:pPr>
              <w:jc w:val="both"/>
              <w:rPr>
                <w:rFonts w:ascii="Arial Narrow" w:hAnsi="Arial Narrow"/>
                <w:color w:val="000000" w:themeColor="text1"/>
                <w:lang w:val="es-ES" w:eastAsia="es-ES"/>
              </w:rPr>
            </w:pPr>
            <w:r w:rsidRPr="005B77CD">
              <w:rPr>
                <w:rFonts w:ascii="Arial Narrow" w:hAnsi="Arial Narrow"/>
                <w:color w:val="000000" w:themeColor="text1"/>
                <w:lang w:val="es-ES" w:eastAsia="es-ES"/>
              </w:rPr>
              <w:t>Tasa resultante de la composición de las tasas IBR Overnight publicadas diariamente por el Banco de la República para un periodo definido</w:t>
            </w:r>
          </w:p>
        </w:tc>
      </w:tr>
      <w:tr w:rsidR="007968EC" w:rsidRPr="005B77CD" w14:paraId="23AF6450" w14:textId="77777777" w:rsidTr="007968EC">
        <w:trPr>
          <w:jc w:val="center"/>
        </w:trPr>
        <w:tc>
          <w:tcPr>
            <w:tcW w:w="2411" w:type="dxa"/>
            <w:shd w:val="clear" w:color="auto" w:fill="BFBFBF"/>
          </w:tcPr>
          <w:p w14:paraId="5BA4D3FF" w14:textId="77777777" w:rsidR="007968EC" w:rsidRPr="005B77CD" w:rsidRDefault="007968EC" w:rsidP="007968EC">
            <w:pPr>
              <w:rPr>
                <w:rFonts w:ascii="Arial Narrow" w:hAnsi="Arial Narrow"/>
                <w:color w:val="000000" w:themeColor="text1"/>
                <w:lang w:val="es-ES" w:eastAsia="es-ES"/>
              </w:rPr>
            </w:pPr>
            <w:r w:rsidRPr="005B77CD">
              <w:rPr>
                <w:rFonts w:ascii="Arial Narrow" w:hAnsi="Arial Narrow"/>
                <w:color w:val="000000" w:themeColor="text1"/>
                <w:lang w:val="es-ES" w:eastAsia="es-ES"/>
              </w:rPr>
              <w:t xml:space="preserve">Características de los Montos </w:t>
            </w:r>
          </w:p>
        </w:tc>
        <w:tc>
          <w:tcPr>
            <w:tcW w:w="6520" w:type="dxa"/>
          </w:tcPr>
          <w:p w14:paraId="5D65C124" w14:textId="77777777" w:rsidR="007968EC" w:rsidRPr="005B77CD" w:rsidRDefault="007968EC" w:rsidP="007968EC">
            <w:pPr>
              <w:jc w:val="both"/>
              <w:rPr>
                <w:rFonts w:ascii="Arial Narrow" w:hAnsi="Arial Narrow"/>
                <w:color w:val="000000" w:themeColor="text1"/>
                <w:lang w:val="es-ES" w:eastAsia="es-ES"/>
              </w:rPr>
            </w:pPr>
            <w:r w:rsidRPr="005B77CD">
              <w:rPr>
                <w:rFonts w:ascii="Arial Narrow" w:hAnsi="Arial Narrow"/>
                <w:color w:val="000000" w:themeColor="text1"/>
                <w:lang w:val="es-ES" w:eastAsia="es-ES"/>
              </w:rPr>
              <w:t>Múltiplos de COP 500.000.000</w:t>
            </w:r>
          </w:p>
        </w:tc>
      </w:tr>
      <w:tr w:rsidR="007968EC" w:rsidRPr="005B77CD" w14:paraId="31B81FE2" w14:textId="77777777" w:rsidTr="007968EC">
        <w:trPr>
          <w:jc w:val="center"/>
        </w:trPr>
        <w:tc>
          <w:tcPr>
            <w:tcW w:w="2411" w:type="dxa"/>
            <w:shd w:val="clear" w:color="auto" w:fill="BFBFBF"/>
          </w:tcPr>
          <w:p w14:paraId="1AA80990" w14:textId="77777777" w:rsidR="007968EC" w:rsidRPr="005B77CD" w:rsidRDefault="007968EC" w:rsidP="007968EC">
            <w:pPr>
              <w:rPr>
                <w:rFonts w:ascii="Arial Narrow" w:hAnsi="Arial Narrow"/>
                <w:color w:val="000000" w:themeColor="text1"/>
                <w:lang w:val="es-ES" w:eastAsia="es-ES"/>
              </w:rPr>
            </w:pPr>
            <w:r w:rsidRPr="005B77CD">
              <w:rPr>
                <w:rFonts w:ascii="Arial Narrow" w:hAnsi="Arial Narrow"/>
                <w:color w:val="000000" w:themeColor="text1"/>
                <w:lang w:val="es-ES" w:eastAsia="es-ES"/>
              </w:rPr>
              <w:lastRenderedPageBreak/>
              <w:t>Plazo remanente</w:t>
            </w:r>
          </w:p>
        </w:tc>
        <w:tc>
          <w:tcPr>
            <w:tcW w:w="6520" w:type="dxa"/>
          </w:tcPr>
          <w:p w14:paraId="3B838B24" w14:textId="77777777" w:rsidR="007968EC" w:rsidRPr="005B77CD" w:rsidRDefault="007968EC" w:rsidP="007968EC">
            <w:pPr>
              <w:jc w:val="both"/>
              <w:rPr>
                <w:rFonts w:ascii="Arial Narrow" w:hAnsi="Arial Narrow"/>
                <w:color w:val="000000" w:themeColor="text1"/>
                <w:lang w:val="es-ES" w:eastAsia="es-ES"/>
              </w:rPr>
            </w:pPr>
            <w:r w:rsidRPr="005B77CD">
              <w:rPr>
                <w:rFonts w:ascii="Arial Narrow" w:hAnsi="Arial Narrow"/>
                <w:color w:val="000000" w:themeColor="text1"/>
                <w:lang w:val="es-ES" w:eastAsia="es-ES"/>
              </w:rPr>
              <w:t>Se aceptarán operaciones con un plazo máximo de dieciocho meses (18) meses. Los plazos corresponden a los siguientes vencimientos: un (1) mes, tres (3) meses, seis (6) meses, (9) meses, doce (12) meses, y dieciocho (18) meses.</w:t>
            </w:r>
          </w:p>
          <w:p w14:paraId="407DB5E6" w14:textId="77777777" w:rsidR="007968EC" w:rsidRPr="005B77CD" w:rsidRDefault="007968EC" w:rsidP="007968EC">
            <w:pPr>
              <w:jc w:val="both"/>
              <w:rPr>
                <w:rFonts w:ascii="Arial Narrow" w:hAnsi="Arial Narrow"/>
                <w:color w:val="000000" w:themeColor="text1"/>
                <w:lang w:val="es-ES" w:eastAsia="es-ES"/>
              </w:rPr>
            </w:pPr>
          </w:p>
        </w:tc>
      </w:tr>
      <w:tr w:rsidR="007968EC" w:rsidRPr="005B77CD" w14:paraId="540BE425" w14:textId="77777777" w:rsidTr="007968EC">
        <w:trPr>
          <w:jc w:val="center"/>
        </w:trPr>
        <w:tc>
          <w:tcPr>
            <w:tcW w:w="2411" w:type="dxa"/>
            <w:shd w:val="clear" w:color="auto" w:fill="BFBFBF"/>
          </w:tcPr>
          <w:p w14:paraId="7FABE715" w14:textId="77777777" w:rsidR="007968EC" w:rsidRPr="005B77CD" w:rsidRDefault="007968EC" w:rsidP="007968EC">
            <w:pPr>
              <w:rPr>
                <w:rFonts w:ascii="Arial Narrow" w:hAnsi="Arial Narrow"/>
                <w:color w:val="000000" w:themeColor="text1"/>
                <w:lang w:val="es-ES" w:eastAsia="es-ES"/>
              </w:rPr>
            </w:pPr>
            <w:r w:rsidRPr="005B77CD">
              <w:rPr>
                <w:rFonts w:ascii="Arial Narrow" w:hAnsi="Arial Narrow"/>
                <w:color w:val="000000" w:themeColor="text1"/>
                <w:lang w:val="es-ES" w:eastAsia="es-ES"/>
              </w:rPr>
              <w:t xml:space="preserve">Método de Liquidación </w:t>
            </w:r>
          </w:p>
        </w:tc>
        <w:tc>
          <w:tcPr>
            <w:tcW w:w="6520" w:type="dxa"/>
          </w:tcPr>
          <w:p w14:paraId="00CD0380" w14:textId="77777777" w:rsidR="007968EC" w:rsidRPr="005B77CD" w:rsidRDefault="007968EC" w:rsidP="007968EC">
            <w:pPr>
              <w:jc w:val="both"/>
              <w:rPr>
                <w:rFonts w:ascii="Arial Narrow" w:hAnsi="Arial Narrow"/>
                <w:color w:val="000000" w:themeColor="text1"/>
                <w:lang w:val="es-ES" w:eastAsia="es-ES"/>
              </w:rPr>
            </w:pPr>
            <w:r w:rsidRPr="005B77CD">
              <w:rPr>
                <w:rFonts w:ascii="Arial Narrow" w:hAnsi="Arial Narrow"/>
                <w:color w:val="000000" w:themeColor="text1"/>
                <w:lang w:val="es-ES" w:eastAsia="es-ES"/>
              </w:rPr>
              <w:t>Liquidación por Diferencias que se realizará en pesos moneda legal colombiana.</w:t>
            </w:r>
          </w:p>
        </w:tc>
      </w:tr>
      <w:tr w:rsidR="007968EC" w:rsidRPr="005B77CD" w14:paraId="2FD31C54" w14:textId="77777777" w:rsidTr="007968EC">
        <w:trPr>
          <w:jc w:val="center"/>
        </w:trPr>
        <w:tc>
          <w:tcPr>
            <w:tcW w:w="2411" w:type="dxa"/>
            <w:shd w:val="clear" w:color="auto" w:fill="BFBFBF"/>
          </w:tcPr>
          <w:p w14:paraId="673C4472" w14:textId="77777777" w:rsidR="007968EC" w:rsidRPr="005B77CD" w:rsidRDefault="007968EC" w:rsidP="007968EC">
            <w:pPr>
              <w:rPr>
                <w:rFonts w:ascii="Arial Narrow" w:hAnsi="Arial Narrow"/>
                <w:color w:val="000000" w:themeColor="text1"/>
                <w:lang w:val="es-ES" w:eastAsia="es-ES"/>
              </w:rPr>
            </w:pPr>
            <w:r w:rsidRPr="005B77CD">
              <w:rPr>
                <w:rFonts w:ascii="Arial Narrow" w:hAnsi="Arial Narrow"/>
                <w:color w:val="000000" w:themeColor="text1"/>
                <w:lang w:val="es-ES" w:eastAsia="es-ES"/>
              </w:rPr>
              <w:t>Tipo de Liquidación</w:t>
            </w:r>
          </w:p>
        </w:tc>
        <w:tc>
          <w:tcPr>
            <w:tcW w:w="6520" w:type="dxa"/>
          </w:tcPr>
          <w:p w14:paraId="0E1AA907" w14:textId="77777777" w:rsidR="007968EC" w:rsidRPr="005B77CD" w:rsidRDefault="007968EC" w:rsidP="007968EC">
            <w:pPr>
              <w:jc w:val="both"/>
              <w:rPr>
                <w:rFonts w:ascii="Arial Narrow" w:hAnsi="Arial Narrow"/>
                <w:color w:val="000000" w:themeColor="text1"/>
                <w:lang w:val="es-ES" w:eastAsia="es-ES"/>
              </w:rPr>
            </w:pPr>
            <w:r w:rsidRPr="005B77CD">
              <w:rPr>
                <w:rFonts w:ascii="Arial Narrow" w:hAnsi="Arial Narrow"/>
                <w:color w:val="000000" w:themeColor="text1"/>
                <w:lang w:val="es-ES" w:eastAsia="es-ES"/>
              </w:rPr>
              <w:t>Liquidación Únicamente al Vencimiento</w:t>
            </w:r>
          </w:p>
        </w:tc>
      </w:tr>
      <w:tr w:rsidR="007968EC" w:rsidRPr="005B77CD" w14:paraId="39D8F3FA" w14:textId="77777777" w:rsidTr="007968EC">
        <w:trPr>
          <w:jc w:val="center"/>
        </w:trPr>
        <w:tc>
          <w:tcPr>
            <w:tcW w:w="2411" w:type="dxa"/>
            <w:shd w:val="clear" w:color="auto" w:fill="BFBFBF"/>
          </w:tcPr>
          <w:p w14:paraId="50F2917D" w14:textId="77777777" w:rsidR="007968EC" w:rsidRPr="005B77CD" w:rsidRDefault="007968EC" w:rsidP="007968EC">
            <w:pPr>
              <w:rPr>
                <w:rFonts w:ascii="Arial Narrow" w:hAnsi="Arial Narrow"/>
                <w:color w:val="000000" w:themeColor="text1"/>
                <w:lang w:val="es-ES" w:eastAsia="es-ES"/>
              </w:rPr>
            </w:pPr>
            <w:r w:rsidRPr="005B77CD">
              <w:rPr>
                <w:rFonts w:ascii="Arial Narrow" w:hAnsi="Arial Narrow"/>
                <w:color w:val="000000" w:themeColor="text1"/>
                <w:lang w:val="es-ES" w:eastAsia="es-ES"/>
              </w:rPr>
              <w:t>Fecha de Vencimiento</w:t>
            </w:r>
          </w:p>
        </w:tc>
        <w:tc>
          <w:tcPr>
            <w:tcW w:w="6520" w:type="dxa"/>
          </w:tcPr>
          <w:p w14:paraId="04C4537D" w14:textId="77777777" w:rsidR="007968EC" w:rsidRPr="005B77CD" w:rsidRDefault="007968EC" w:rsidP="007968EC">
            <w:pPr>
              <w:jc w:val="both"/>
              <w:rPr>
                <w:rFonts w:ascii="Arial Narrow" w:hAnsi="Arial Narrow"/>
                <w:color w:val="000000" w:themeColor="text1"/>
                <w:lang w:val="es-ES" w:eastAsia="es-ES"/>
              </w:rPr>
            </w:pPr>
            <w:r w:rsidRPr="005B77CD">
              <w:rPr>
                <w:rFonts w:ascii="Arial Narrow" w:hAnsi="Arial Narrow"/>
                <w:color w:val="000000" w:themeColor="text1"/>
                <w:lang w:val="es-ES" w:eastAsia="es-ES"/>
              </w:rPr>
              <w:t xml:space="preserve">Es la fecha de vencimiento de la operación pactada por las partes. Dicha fecha debe corresponder a un día hábil de operación de la Cámara en Colombia, en caso de no ser un día hábil, se seguirá la regla de </w:t>
            </w:r>
            <w:proofErr w:type="spellStart"/>
            <w:r w:rsidRPr="005B77CD">
              <w:rPr>
                <w:rFonts w:ascii="Arial Narrow" w:hAnsi="Arial Narrow"/>
                <w:color w:val="000000" w:themeColor="text1"/>
                <w:lang w:val="es-ES" w:eastAsia="es-ES"/>
              </w:rPr>
              <w:t>Modified</w:t>
            </w:r>
            <w:proofErr w:type="spellEnd"/>
            <w:r w:rsidRPr="005B77CD">
              <w:rPr>
                <w:rFonts w:ascii="Arial Narrow" w:hAnsi="Arial Narrow"/>
                <w:color w:val="000000" w:themeColor="text1"/>
                <w:lang w:val="es-ES" w:eastAsia="es-ES"/>
              </w:rPr>
              <w:t xml:space="preserve"> Following </w:t>
            </w:r>
            <w:proofErr w:type="spellStart"/>
            <w:r w:rsidRPr="005B77CD">
              <w:rPr>
                <w:rFonts w:ascii="Arial Narrow" w:hAnsi="Arial Narrow"/>
                <w:color w:val="000000" w:themeColor="text1"/>
                <w:lang w:val="es-ES" w:eastAsia="es-ES"/>
              </w:rPr>
              <w:t>Bussiness</w:t>
            </w:r>
            <w:proofErr w:type="spellEnd"/>
            <w:r w:rsidRPr="005B77CD">
              <w:rPr>
                <w:rFonts w:ascii="Arial Narrow" w:hAnsi="Arial Narrow"/>
                <w:color w:val="000000" w:themeColor="text1"/>
                <w:lang w:val="es-ES" w:eastAsia="es-ES"/>
              </w:rPr>
              <w:t xml:space="preserve"> Day, es decir, en caso de ser un día no hábil, el vencimiento se mueve al día hábil siguiente, siempre y cuando este se ubique dentro del mes de vencimiento, de lo contrario la fecha de vencimiento se moverá al día hábil inmediatamente anterior.</w:t>
            </w:r>
          </w:p>
          <w:p w14:paraId="7AC3852C" w14:textId="77777777" w:rsidR="007968EC" w:rsidRPr="005B77CD" w:rsidRDefault="007968EC" w:rsidP="007968EC">
            <w:pPr>
              <w:jc w:val="both"/>
              <w:rPr>
                <w:rFonts w:ascii="Arial Narrow" w:hAnsi="Arial Narrow"/>
                <w:color w:val="000000" w:themeColor="text1"/>
                <w:lang w:val="es-ES" w:eastAsia="es-ES"/>
              </w:rPr>
            </w:pPr>
          </w:p>
        </w:tc>
      </w:tr>
      <w:tr w:rsidR="007968EC" w:rsidRPr="005B77CD" w14:paraId="295AD0A1" w14:textId="77777777" w:rsidTr="007968EC">
        <w:trPr>
          <w:jc w:val="center"/>
        </w:trPr>
        <w:tc>
          <w:tcPr>
            <w:tcW w:w="2411" w:type="dxa"/>
            <w:shd w:val="clear" w:color="auto" w:fill="BFBFBF"/>
          </w:tcPr>
          <w:p w14:paraId="5314958F" w14:textId="77777777" w:rsidR="007968EC" w:rsidRPr="005B77CD" w:rsidRDefault="007968EC" w:rsidP="007968EC">
            <w:pPr>
              <w:rPr>
                <w:rFonts w:ascii="Arial Narrow" w:hAnsi="Arial Narrow"/>
                <w:color w:val="000000" w:themeColor="text1"/>
                <w:lang w:val="es-ES" w:eastAsia="es-ES"/>
              </w:rPr>
            </w:pPr>
            <w:r w:rsidRPr="005B77CD">
              <w:rPr>
                <w:rFonts w:ascii="Arial Narrow" w:hAnsi="Arial Narrow"/>
                <w:color w:val="000000" w:themeColor="text1"/>
                <w:lang w:val="es-ES" w:eastAsia="es-ES"/>
              </w:rPr>
              <w:t>Fecha de Liquidación al Vencimiento</w:t>
            </w:r>
          </w:p>
        </w:tc>
        <w:tc>
          <w:tcPr>
            <w:tcW w:w="6520" w:type="dxa"/>
          </w:tcPr>
          <w:p w14:paraId="57BA83B0" w14:textId="77777777" w:rsidR="007968EC" w:rsidRPr="005B77CD" w:rsidRDefault="007968EC" w:rsidP="007968EC">
            <w:pPr>
              <w:jc w:val="both"/>
              <w:rPr>
                <w:rFonts w:ascii="Arial Narrow" w:hAnsi="Arial Narrow"/>
                <w:color w:val="000000" w:themeColor="text1"/>
                <w:lang w:val="es-ES" w:eastAsia="es-ES"/>
              </w:rPr>
            </w:pPr>
            <w:r w:rsidRPr="005B77CD">
              <w:rPr>
                <w:rFonts w:ascii="Arial Narrow" w:hAnsi="Arial Narrow"/>
                <w:color w:val="000000" w:themeColor="text1"/>
                <w:lang w:val="es-ES" w:eastAsia="es-ES"/>
              </w:rPr>
              <w:t xml:space="preserve">El día de la última liquidación será el mismo de la fecha de vencimiento. </w:t>
            </w:r>
          </w:p>
        </w:tc>
      </w:tr>
    </w:tbl>
    <w:p w14:paraId="1C02743A" w14:textId="77777777" w:rsidR="007968EC" w:rsidRPr="005B77CD" w:rsidRDefault="007968EC" w:rsidP="007968EC">
      <w:pPr>
        <w:rPr>
          <w:rFonts w:ascii="Arial Narrow" w:eastAsia="Calibri" w:hAnsi="Arial Narrow"/>
          <w:b/>
          <w:color w:val="000000" w:themeColor="text1"/>
        </w:rPr>
      </w:pPr>
    </w:p>
    <w:p w14:paraId="25319057" w14:textId="77777777" w:rsidR="007968EC" w:rsidRPr="005B77CD" w:rsidRDefault="007968EC" w:rsidP="00DA7472">
      <w:pPr>
        <w:numPr>
          <w:ilvl w:val="0"/>
          <w:numId w:val="144"/>
        </w:numPr>
        <w:autoSpaceDE w:val="0"/>
        <w:autoSpaceDN w:val="0"/>
        <w:adjustRightInd w:val="0"/>
        <w:contextualSpacing/>
        <w:jc w:val="both"/>
        <w:rPr>
          <w:rFonts w:ascii="Arial Narrow" w:eastAsia="Calibri" w:hAnsi="Arial Narrow"/>
          <w:b/>
          <w:color w:val="000000" w:themeColor="text1"/>
          <w:lang w:eastAsia="es-CO"/>
        </w:rPr>
      </w:pPr>
      <w:r w:rsidRPr="005B77CD">
        <w:rPr>
          <w:rFonts w:ascii="Arial Narrow" w:eastAsia="Calibri" w:hAnsi="Arial Narrow"/>
          <w:color w:val="000000" w:themeColor="text1"/>
          <w:lang w:eastAsia="es-CO"/>
        </w:rPr>
        <w:t>Características Especiales:</w:t>
      </w:r>
    </w:p>
    <w:p w14:paraId="797B2714" w14:textId="77777777" w:rsidR="007968EC" w:rsidRPr="005B77CD" w:rsidRDefault="007968EC" w:rsidP="007968EC">
      <w:pPr>
        <w:autoSpaceDE w:val="0"/>
        <w:autoSpaceDN w:val="0"/>
        <w:adjustRightInd w:val="0"/>
        <w:ind w:left="1785"/>
        <w:contextualSpacing/>
        <w:jc w:val="both"/>
        <w:rPr>
          <w:rFonts w:ascii="Arial Narrow" w:eastAsia="Calibri" w:hAnsi="Arial Narrow"/>
          <w:b/>
          <w:color w:val="000000" w:themeColor="text1"/>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74"/>
        <w:gridCol w:w="6374"/>
      </w:tblGrid>
      <w:tr w:rsidR="007968EC" w:rsidRPr="005B77CD" w14:paraId="148F7B3E" w14:textId="77777777" w:rsidTr="007968EC">
        <w:trPr>
          <w:jc w:val="center"/>
        </w:trPr>
        <w:tc>
          <w:tcPr>
            <w:tcW w:w="2274" w:type="dxa"/>
            <w:tcBorders>
              <w:top w:val="single" w:sz="4" w:space="0" w:color="auto"/>
              <w:left w:val="single" w:sz="4" w:space="0" w:color="auto"/>
              <w:right w:val="single" w:sz="4" w:space="0" w:color="auto"/>
            </w:tcBorders>
            <w:shd w:val="clear" w:color="auto" w:fill="D0CECE"/>
            <w:vAlign w:val="center"/>
          </w:tcPr>
          <w:p w14:paraId="0497236E" w14:textId="77777777" w:rsidR="007968EC" w:rsidRPr="005B77CD" w:rsidRDefault="007968EC" w:rsidP="007968EC">
            <w:pPr>
              <w:rPr>
                <w:rFonts w:ascii="Arial Narrow" w:eastAsia="Calibri" w:hAnsi="Arial Narrow"/>
                <w:b/>
                <w:color w:val="000000" w:themeColor="text1"/>
              </w:rPr>
            </w:pPr>
            <w:r w:rsidRPr="005B77CD">
              <w:rPr>
                <w:rFonts w:ascii="Arial Narrow" w:eastAsia="Calibri" w:hAnsi="Arial Narrow"/>
                <w:color w:val="000000" w:themeColor="text1"/>
              </w:rPr>
              <w:t xml:space="preserve">Tasa SWAP </w:t>
            </w:r>
          </w:p>
        </w:tc>
        <w:tc>
          <w:tcPr>
            <w:tcW w:w="6374" w:type="dxa"/>
            <w:tcBorders>
              <w:top w:val="single" w:sz="4" w:space="0" w:color="auto"/>
              <w:left w:val="single" w:sz="4" w:space="0" w:color="auto"/>
              <w:right w:val="single" w:sz="4" w:space="0" w:color="auto"/>
            </w:tcBorders>
            <w:shd w:val="clear" w:color="auto" w:fill="auto"/>
            <w:vAlign w:val="center"/>
          </w:tcPr>
          <w:p w14:paraId="3536DB80" w14:textId="77777777" w:rsidR="007968EC" w:rsidRPr="005B77CD" w:rsidRDefault="007968EC" w:rsidP="007968EC">
            <w:pPr>
              <w:jc w:val="both"/>
              <w:rPr>
                <w:rFonts w:ascii="Arial Narrow" w:eastAsia="Calibri" w:hAnsi="Arial Narrow"/>
                <w:b/>
                <w:color w:val="000000" w:themeColor="text1"/>
              </w:rPr>
            </w:pPr>
            <w:r w:rsidRPr="005B77CD">
              <w:rPr>
                <w:rFonts w:ascii="Arial Narrow" w:eastAsia="Calibri" w:hAnsi="Arial Narrow"/>
                <w:color w:val="000000" w:themeColor="text1"/>
              </w:rPr>
              <w:t>Es la tasa pactada por las partes de la Operación.</w:t>
            </w:r>
          </w:p>
        </w:tc>
      </w:tr>
      <w:tr w:rsidR="007968EC" w:rsidRPr="005B77CD" w14:paraId="3A5B3D60" w14:textId="77777777" w:rsidTr="007968EC">
        <w:trPr>
          <w:jc w:val="center"/>
        </w:trPr>
        <w:tc>
          <w:tcPr>
            <w:tcW w:w="2274" w:type="dxa"/>
            <w:tcBorders>
              <w:top w:val="single" w:sz="4" w:space="0" w:color="auto"/>
              <w:left w:val="single" w:sz="4" w:space="0" w:color="auto"/>
              <w:bottom w:val="single" w:sz="4" w:space="0" w:color="auto"/>
              <w:right w:val="single" w:sz="4" w:space="0" w:color="auto"/>
            </w:tcBorders>
            <w:shd w:val="clear" w:color="auto" w:fill="D0CECE"/>
            <w:vAlign w:val="center"/>
          </w:tcPr>
          <w:p w14:paraId="5F77C6C6" w14:textId="77777777" w:rsidR="007968EC" w:rsidRPr="005B77CD" w:rsidRDefault="007968EC" w:rsidP="007968EC">
            <w:pPr>
              <w:rPr>
                <w:rFonts w:ascii="Arial Narrow" w:eastAsia="Calibri" w:hAnsi="Arial Narrow"/>
                <w:b/>
                <w:color w:val="000000" w:themeColor="text1"/>
              </w:rPr>
            </w:pPr>
            <w:r w:rsidRPr="005B77CD">
              <w:rPr>
                <w:rFonts w:ascii="Arial Narrow" w:eastAsia="Calibri" w:hAnsi="Arial Narrow"/>
                <w:color w:val="000000" w:themeColor="text1"/>
              </w:rPr>
              <w:t xml:space="preserve">Precio SWAP </w:t>
            </w:r>
          </w:p>
        </w:tc>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11117E30" w14:textId="77777777" w:rsidR="007968EC" w:rsidRPr="005B77CD" w:rsidRDefault="007968EC" w:rsidP="007968EC">
            <w:pPr>
              <w:jc w:val="both"/>
              <w:rPr>
                <w:rFonts w:ascii="Arial Narrow" w:eastAsia="Calibri" w:hAnsi="Arial Narrow"/>
                <w:b/>
                <w:color w:val="000000" w:themeColor="text1"/>
              </w:rPr>
            </w:pPr>
            <w:r w:rsidRPr="005B77CD">
              <w:rPr>
                <w:rFonts w:ascii="Arial Narrow" w:eastAsia="Calibri" w:hAnsi="Arial Narrow"/>
                <w:color w:val="000000" w:themeColor="text1"/>
              </w:rPr>
              <w:t>Precio resultante de la transformación de la Tasa SWAP pactada por las partes de la Operación, usando la siguiente expresión:</w:t>
            </w:r>
          </w:p>
          <w:p w14:paraId="6722AC43" w14:textId="77777777" w:rsidR="007968EC" w:rsidRPr="005B77CD" w:rsidRDefault="007968EC" w:rsidP="007968EC">
            <w:pPr>
              <w:jc w:val="both"/>
              <w:rPr>
                <w:rFonts w:ascii="Arial Narrow" w:eastAsia="Calibri" w:hAnsi="Arial Narrow"/>
                <w:b/>
                <w:color w:val="000000" w:themeColor="text1"/>
              </w:rPr>
            </w:pPr>
          </w:p>
          <w:p w14:paraId="3837625A" w14:textId="77777777" w:rsidR="007968EC" w:rsidRPr="005B77CD" w:rsidRDefault="007968EC" w:rsidP="007968EC">
            <w:pPr>
              <w:jc w:val="both"/>
              <w:rPr>
                <w:rFonts w:ascii="Arial Narrow" w:eastAsia="Calibri" w:hAnsi="Arial Narrow"/>
                <w:b/>
                <w:color w:val="000000" w:themeColor="text1"/>
              </w:rPr>
            </w:pPr>
            <w:r w:rsidRPr="005B77CD">
              <w:rPr>
                <w:rFonts w:ascii="Arial Narrow" w:eastAsia="Calibri" w:hAnsi="Arial Narrow"/>
                <w:color w:val="000000" w:themeColor="text1"/>
              </w:rPr>
              <w:t xml:space="preserve">P = (i *(n/360)) +1 </w:t>
            </w:r>
          </w:p>
          <w:p w14:paraId="3FC4F2A2" w14:textId="77777777" w:rsidR="007968EC" w:rsidRPr="005B77CD" w:rsidRDefault="007968EC" w:rsidP="007968EC">
            <w:pPr>
              <w:jc w:val="both"/>
              <w:rPr>
                <w:rFonts w:ascii="Arial Narrow" w:eastAsia="Calibri" w:hAnsi="Arial Narrow"/>
                <w:b/>
                <w:color w:val="000000" w:themeColor="text1"/>
              </w:rPr>
            </w:pPr>
          </w:p>
          <w:p w14:paraId="019D05D3" w14:textId="77777777" w:rsidR="007968EC" w:rsidRPr="005B77CD" w:rsidRDefault="007968EC" w:rsidP="007968EC">
            <w:pPr>
              <w:jc w:val="both"/>
              <w:rPr>
                <w:rFonts w:ascii="Arial Narrow" w:eastAsia="Calibri" w:hAnsi="Arial Narrow"/>
                <w:b/>
                <w:color w:val="000000" w:themeColor="text1"/>
              </w:rPr>
            </w:pPr>
            <w:r w:rsidRPr="005B77CD">
              <w:rPr>
                <w:rFonts w:ascii="Arial Narrow" w:eastAsia="Calibri" w:hAnsi="Arial Narrow"/>
                <w:color w:val="000000" w:themeColor="text1"/>
              </w:rPr>
              <w:t xml:space="preserve">Donde: </w:t>
            </w:r>
          </w:p>
          <w:p w14:paraId="7FF52260" w14:textId="77777777" w:rsidR="007968EC" w:rsidRPr="005B77CD" w:rsidRDefault="007968EC" w:rsidP="007968EC">
            <w:pPr>
              <w:jc w:val="both"/>
              <w:rPr>
                <w:rFonts w:ascii="Arial Narrow" w:eastAsia="Calibri" w:hAnsi="Arial Narrow"/>
                <w:b/>
                <w:color w:val="000000" w:themeColor="text1"/>
              </w:rPr>
            </w:pPr>
          </w:p>
          <w:p w14:paraId="7A34BBF4" w14:textId="77777777" w:rsidR="007968EC" w:rsidRPr="005B77CD" w:rsidRDefault="007968EC" w:rsidP="007968EC">
            <w:pPr>
              <w:jc w:val="both"/>
              <w:rPr>
                <w:rFonts w:ascii="Arial Narrow" w:eastAsia="Calibri" w:hAnsi="Arial Narrow"/>
                <w:b/>
                <w:color w:val="000000" w:themeColor="text1"/>
              </w:rPr>
            </w:pPr>
            <w:r w:rsidRPr="005B77CD">
              <w:rPr>
                <w:rFonts w:ascii="Arial Narrow" w:eastAsia="Calibri" w:hAnsi="Arial Narrow"/>
                <w:color w:val="000000" w:themeColor="text1"/>
              </w:rPr>
              <w:t>i = Tasa swap de negociación / cierre</w:t>
            </w:r>
          </w:p>
          <w:p w14:paraId="541B676A" w14:textId="77777777" w:rsidR="007968EC" w:rsidRPr="005B77CD" w:rsidRDefault="007968EC" w:rsidP="007968EC">
            <w:pPr>
              <w:jc w:val="both"/>
              <w:rPr>
                <w:rFonts w:ascii="Arial Narrow" w:eastAsia="Calibri" w:hAnsi="Arial Narrow"/>
                <w:b/>
                <w:color w:val="000000" w:themeColor="text1"/>
              </w:rPr>
            </w:pPr>
            <w:r w:rsidRPr="005B77CD">
              <w:rPr>
                <w:rFonts w:ascii="Arial Narrow" w:eastAsia="Calibri" w:hAnsi="Arial Narrow"/>
                <w:color w:val="000000" w:themeColor="text1"/>
              </w:rPr>
              <w:t>n = número de días calendario, comprendidos entre la fecha inicial y la fecha final de cada Operación.</w:t>
            </w:r>
          </w:p>
        </w:tc>
      </w:tr>
      <w:tr w:rsidR="007968EC" w:rsidRPr="005B77CD" w14:paraId="14B1A3F4" w14:textId="77777777" w:rsidTr="007968EC">
        <w:trPr>
          <w:jc w:val="center"/>
        </w:trPr>
        <w:tc>
          <w:tcPr>
            <w:tcW w:w="2274" w:type="dxa"/>
            <w:tcBorders>
              <w:top w:val="single" w:sz="4" w:space="0" w:color="auto"/>
              <w:left w:val="single" w:sz="4" w:space="0" w:color="auto"/>
              <w:bottom w:val="single" w:sz="4" w:space="0" w:color="auto"/>
              <w:right w:val="single" w:sz="4" w:space="0" w:color="auto"/>
            </w:tcBorders>
            <w:shd w:val="clear" w:color="auto" w:fill="D0CECE"/>
            <w:vAlign w:val="center"/>
          </w:tcPr>
          <w:p w14:paraId="594E6CFB" w14:textId="77777777" w:rsidR="007968EC" w:rsidRPr="005B77CD" w:rsidRDefault="007968EC" w:rsidP="007968EC">
            <w:pPr>
              <w:rPr>
                <w:rFonts w:ascii="Arial Narrow" w:eastAsia="Calibri" w:hAnsi="Arial Narrow"/>
                <w:b/>
                <w:color w:val="000000" w:themeColor="text1"/>
              </w:rPr>
            </w:pPr>
            <w:r w:rsidRPr="005B77CD">
              <w:rPr>
                <w:rFonts w:ascii="Arial Narrow" w:eastAsia="Calibri" w:hAnsi="Arial Narrow"/>
                <w:color w:val="000000" w:themeColor="text1"/>
              </w:rPr>
              <w:t xml:space="preserve">Precio de Valoración de cierre </w:t>
            </w:r>
          </w:p>
        </w:tc>
        <w:tc>
          <w:tcPr>
            <w:tcW w:w="6374" w:type="dxa"/>
            <w:tcBorders>
              <w:top w:val="single" w:sz="4" w:space="0" w:color="auto"/>
              <w:left w:val="single" w:sz="4" w:space="0" w:color="auto"/>
              <w:bottom w:val="single" w:sz="4" w:space="0" w:color="auto"/>
              <w:right w:val="single" w:sz="4" w:space="0" w:color="auto"/>
            </w:tcBorders>
            <w:shd w:val="clear" w:color="auto" w:fill="auto"/>
          </w:tcPr>
          <w:p w14:paraId="30B7C29C" w14:textId="77777777" w:rsidR="007968EC" w:rsidRPr="005B77CD" w:rsidRDefault="007968EC" w:rsidP="007968EC">
            <w:pPr>
              <w:jc w:val="both"/>
              <w:rPr>
                <w:rFonts w:ascii="Arial Narrow" w:eastAsia="Calibri" w:hAnsi="Arial Narrow"/>
                <w:b/>
                <w:color w:val="000000" w:themeColor="text1"/>
              </w:rPr>
            </w:pPr>
            <w:r w:rsidRPr="005B77CD">
              <w:rPr>
                <w:rFonts w:ascii="Arial Narrow" w:eastAsia="Calibri" w:hAnsi="Arial Narrow"/>
                <w:color w:val="000000" w:themeColor="text1"/>
              </w:rPr>
              <w:t>Precio con el cual se realizará el ajuste diario de garantías el cual es suministrado por el Proveedor Oficial de Precios para Valoración.</w:t>
            </w:r>
          </w:p>
        </w:tc>
      </w:tr>
      <w:tr w:rsidR="007968EC" w:rsidRPr="005B77CD" w14:paraId="32A3A183" w14:textId="77777777" w:rsidTr="007968EC">
        <w:trPr>
          <w:jc w:val="center"/>
        </w:trPr>
        <w:tc>
          <w:tcPr>
            <w:tcW w:w="2274" w:type="dxa"/>
            <w:tcBorders>
              <w:top w:val="single" w:sz="4" w:space="0" w:color="auto"/>
              <w:left w:val="single" w:sz="4" w:space="0" w:color="auto"/>
              <w:bottom w:val="single" w:sz="4" w:space="0" w:color="auto"/>
              <w:right w:val="single" w:sz="4" w:space="0" w:color="auto"/>
            </w:tcBorders>
            <w:shd w:val="clear" w:color="auto" w:fill="D0CECE"/>
            <w:vAlign w:val="center"/>
          </w:tcPr>
          <w:p w14:paraId="7DEB93D7" w14:textId="77777777" w:rsidR="007968EC" w:rsidRPr="005B77CD" w:rsidRDefault="007968EC" w:rsidP="007968EC">
            <w:pPr>
              <w:rPr>
                <w:rFonts w:ascii="Arial Narrow" w:eastAsia="Calibri" w:hAnsi="Arial Narrow"/>
                <w:b/>
                <w:color w:val="000000" w:themeColor="text1"/>
              </w:rPr>
            </w:pPr>
            <w:r w:rsidRPr="005B77CD">
              <w:rPr>
                <w:rFonts w:ascii="Arial Narrow" w:eastAsia="Calibri" w:hAnsi="Arial Narrow"/>
                <w:color w:val="000000" w:themeColor="text1"/>
              </w:rPr>
              <w:t>Precio de Liquidación al Vencimiento</w:t>
            </w:r>
          </w:p>
        </w:tc>
        <w:tc>
          <w:tcPr>
            <w:tcW w:w="6374" w:type="dxa"/>
            <w:tcBorders>
              <w:top w:val="single" w:sz="4" w:space="0" w:color="auto"/>
              <w:left w:val="single" w:sz="4" w:space="0" w:color="auto"/>
              <w:bottom w:val="single" w:sz="4" w:space="0" w:color="auto"/>
              <w:right w:val="single" w:sz="4" w:space="0" w:color="auto"/>
            </w:tcBorders>
            <w:shd w:val="clear" w:color="auto" w:fill="auto"/>
          </w:tcPr>
          <w:p w14:paraId="519394E4" w14:textId="77777777" w:rsidR="007968EC" w:rsidRPr="005B77CD" w:rsidRDefault="007968EC" w:rsidP="007968EC">
            <w:pPr>
              <w:autoSpaceDE w:val="0"/>
              <w:autoSpaceDN w:val="0"/>
              <w:adjustRightInd w:val="0"/>
              <w:jc w:val="both"/>
              <w:rPr>
                <w:rFonts w:ascii="Arial Narrow" w:eastAsia="Calibri" w:hAnsi="Arial Narrow"/>
                <w:b/>
                <w:color w:val="000000" w:themeColor="text1"/>
              </w:rPr>
            </w:pPr>
            <w:r w:rsidRPr="005B77CD">
              <w:rPr>
                <w:rFonts w:ascii="Arial Narrow" w:eastAsia="Calibri" w:hAnsi="Arial Narrow"/>
                <w:color w:val="000000" w:themeColor="text1"/>
              </w:rPr>
              <w:t>Corresponde a la tasa que resulte de la composición del IBR overnight durante el periodo de vigencia del Instrumento, usando para los días no hábiles o hábiles no bancarios la tasa overnight del día anterior, el cual es suministrado por el Proveedor Oficial de Precios para Valoración.</w:t>
            </w:r>
          </w:p>
          <w:p w14:paraId="25C3DD59" w14:textId="77777777" w:rsidR="007968EC" w:rsidRPr="005B77CD" w:rsidRDefault="007968EC" w:rsidP="007968EC">
            <w:pPr>
              <w:autoSpaceDE w:val="0"/>
              <w:autoSpaceDN w:val="0"/>
              <w:adjustRightInd w:val="0"/>
              <w:jc w:val="both"/>
              <w:rPr>
                <w:rFonts w:ascii="Arial Narrow" w:eastAsia="Calibri" w:hAnsi="Arial Narrow"/>
                <w:b/>
                <w:color w:val="000000" w:themeColor="text1"/>
              </w:rPr>
            </w:pPr>
          </w:p>
          <w:p w14:paraId="660F7619" w14:textId="77777777" w:rsidR="007968EC" w:rsidRPr="005B77CD" w:rsidRDefault="007968EC" w:rsidP="007968EC">
            <w:pPr>
              <w:autoSpaceDE w:val="0"/>
              <w:autoSpaceDN w:val="0"/>
              <w:adjustRightInd w:val="0"/>
              <w:jc w:val="both"/>
              <w:rPr>
                <w:rFonts w:ascii="Arial Narrow" w:eastAsia="Calibri" w:hAnsi="Arial Narrow"/>
                <w:b/>
                <w:color w:val="000000" w:themeColor="text1"/>
              </w:rPr>
            </w:pPr>
            <w:r w:rsidRPr="005B77CD">
              <w:rPr>
                <w:rFonts w:ascii="Arial Narrow" w:eastAsia="Calibri" w:hAnsi="Arial Narrow"/>
                <w:color w:val="000000" w:themeColor="text1"/>
              </w:rPr>
              <w:t>La composición de la tasa IBR overnight, se realiza aplicando la siguiente expresión:</w:t>
            </w:r>
          </w:p>
          <w:p w14:paraId="7A3283F5" w14:textId="77777777" w:rsidR="007968EC" w:rsidRPr="005B77CD" w:rsidRDefault="007968EC" w:rsidP="007968EC">
            <w:pPr>
              <w:autoSpaceDE w:val="0"/>
              <w:autoSpaceDN w:val="0"/>
              <w:adjustRightInd w:val="0"/>
              <w:rPr>
                <w:rFonts w:ascii="Arial Narrow" w:eastAsia="Calibri" w:hAnsi="Arial Narrow" w:cs="ArialNarrow"/>
                <w:b/>
                <w:color w:val="000000" w:themeColor="text1"/>
              </w:rPr>
            </w:pPr>
          </w:p>
          <w:p w14:paraId="7EFD36E6" w14:textId="77777777" w:rsidR="007968EC" w:rsidRPr="005B77CD" w:rsidRDefault="007968EC" w:rsidP="007968EC">
            <w:pPr>
              <w:autoSpaceDE w:val="0"/>
              <w:autoSpaceDN w:val="0"/>
              <w:adjustRightInd w:val="0"/>
              <w:jc w:val="center"/>
              <w:rPr>
                <w:rFonts w:ascii="Arial Narrow" w:eastAsia="Calibri" w:hAnsi="Arial Narrow" w:cs="ArialNarrow"/>
                <w:b/>
                <w:color w:val="000000" w:themeColor="text1"/>
              </w:rPr>
            </w:pPr>
          </w:p>
          <w:p w14:paraId="53302125" w14:textId="77777777" w:rsidR="007968EC" w:rsidRPr="005B77CD" w:rsidRDefault="007968EC" w:rsidP="007968EC">
            <w:pPr>
              <w:autoSpaceDE w:val="0"/>
              <w:autoSpaceDN w:val="0"/>
              <w:adjustRightInd w:val="0"/>
              <w:jc w:val="center"/>
              <w:rPr>
                <w:rFonts w:ascii="Arial Narrow" w:eastAsia="Calibri" w:hAnsi="Arial Narrow" w:cs="ArialNarrow"/>
                <w:b/>
                <w:color w:val="000000" w:themeColor="text1"/>
              </w:rPr>
            </w:pPr>
            <w:r w:rsidRPr="005B77CD">
              <w:rPr>
                <w:rFonts w:ascii="Arial Narrow" w:eastAsia="Calibri" w:hAnsi="Arial Narrow"/>
                <w:noProof/>
                <w:color w:val="000000" w:themeColor="text1"/>
                <w:lang w:eastAsia="es-CO"/>
              </w:rPr>
              <w:drawing>
                <wp:inline distT="0" distB="0" distL="0" distR="0" wp14:anchorId="051E6055" wp14:editId="796259F1">
                  <wp:extent cx="2124075" cy="53340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4075" cy="533400"/>
                          </a:xfrm>
                          <a:prstGeom prst="rect">
                            <a:avLst/>
                          </a:prstGeom>
                          <a:noFill/>
                          <a:ln>
                            <a:noFill/>
                          </a:ln>
                        </pic:spPr>
                      </pic:pic>
                    </a:graphicData>
                  </a:graphic>
                </wp:inline>
              </w:drawing>
            </w:r>
          </w:p>
          <w:p w14:paraId="78747190" w14:textId="77777777" w:rsidR="007968EC" w:rsidRPr="005B77CD" w:rsidRDefault="007968EC" w:rsidP="007968EC">
            <w:pPr>
              <w:autoSpaceDE w:val="0"/>
              <w:autoSpaceDN w:val="0"/>
              <w:adjustRightInd w:val="0"/>
              <w:rPr>
                <w:rFonts w:ascii="Arial Narrow" w:eastAsia="Calibri" w:hAnsi="Arial Narrow" w:cs="ArialNarrow"/>
                <w:b/>
                <w:color w:val="000000" w:themeColor="text1"/>
              </w:rPr>
            </w:pPr>
          </w:p>
          <w:p w14:paraId="26359B73" w14:textId="77777777" w:rsidR="007968EC" w:rsidRPr="005B77CD" w:rsidRDefault="007968EC" w:rsidP="007968EC">
            <w:pPr>
              <w:autoSpaceDE w:val="0"/>
              <w:autoSpaceDN w:val="0"/>
              <w:adjustRightInd w:val="0"/>
              <w:jc w:val="both"/>
              <w:rPr>
                <w:rFonts w:ascii="Arial Narrow" w:eastAsia="Calibri" w:hAnsi="Arial Narrow"/>
                <w:b/>
                <w:color w:val="000000" w:themeColor="text1"/>
              </w:rPr>
            </w:pPr>
            <w:r w:rsidRPr="005B77CD">
              <w:rPr>
                <w:rFonts w:ascii="Arial Narrow" w:eastAsia="Calibri" w:hAnsi="Arial Narrow"/>
                <w:color w:val="000000" w:themeColor="text1"/>
              </w:rPr>
              <w:t>r = Tasa Variable (IBR compuesta), redondeando a 3 decimales en términos porcentuales.</w:t>
            </w:r>
          </w:p>
          <w:p w14:paraId="7199413F" w14:textId="77777777" w:rsidR="007968EC" w:rsidRPr="005B77CD" w:rsidRDefault="007968EC" w:rsidP="007968EC">
            <w:pPr>
              <w:autoSpaceDE w:val="0"/>
              <w:autoSpaceDN w:val="0"/>
              <w:adjustRightInd w:val="0"/>
              <w:jc w:val="both"/>
              <w:rPr>
                <w:rFonts w:ascii="Arial Narrow" w:eastAsia="Calibri" w:hAnsi="Arial Narrow"/>
                <w:b/>
                <w:color w:val="000000" w:themeColor="text1"/>
              </w:rPr>
            </w:pPr>
            <w:proofErr w:type="spellStart"/>
            <w:r w:rsidRPr="005B77CD">
              <w:rPr>
                <w:rFonts w:ascii="Arial Narrow" w:eastAsia="Calibri" w:hAnsi="Arial Narrow"/>
                <w:color w:val="000000" w:themeColor="text1"/>
              </w:rPr>
              <w:t>ts</w:t>
            </w:r>
            <w:proofErr w:type="spellEnd"/>
            <w:r w:rsidRPr="005B77CD">
              <w:rPr>
                <w:rFonts w:ascii="Arial Narrow" w:eastAsia="Calibri" w:hAnsi="Arial Narrow"/>
                <w:color w:val="000000" w:themeColor="text1"/>
              </w:rPr>
              <w:t xml:space="preserve"> = Fecha inicial, es la fecha de negociación del swap.</w:t>
            </w:r>
          </w:p>
          <w:p w14:paraId="1F69101D" w14:textId="77777777" w:rsidR="007968EC" w:rsidRPr="005B77CD" w:rsidRDefault="007968EC" w:rsidP="007968EC">
            <w:pPr>
              <w:autoSpaceDE w:val="0"/>
              <w:autoSpaceDN w:val="0"/>
              <w:adjustRightInd w:val="0"/>
              <w:jc w:val="both"/>
              <w:rPr>
                <w:rFonts w:ascii="Arial Narrow" w:eastAsia="Calibri" w:hAnsi="Arial Narrow"/>
                <w:b/>
                <w:color w:val="000000" w:themeColor="text1"/>
              </w:rPr>
            </w:pPr>
            <w:r w:rsidRPr="005B77CD">
              <w:rPr>
                <w:rFonts w:ascii="Arial Narrow" w:eastAsia="Calibri" w:hAnsi="Arial Narrow"/>
                <w:color w:val="000000" w:themeColor="text1"/>
              </w:rPr>
              <w:t>te= Fecha final, es la fecha de vencimiento.</w:t>
            </w:r>
          </w:p>
          <w:p w14:paraId="1C9BF6B0" w14:textId="77777777" w:rsidR="007968EC" w:rsidRPr="005B77CD" w:rsidRDefault="007968EC" w:rsidP="007968EC">
            <w:pPr>
              <w:autoSpaceDE w:val="0"/>
              <w:autoSpaceDN w:val="0"/>
              <w:adjustRightInd w:val="0"/>
              <w:jc w:val="both"/>
              <w:rPr>
                <w:rFonts w:ascii="Arial Narrow" w:eastAsia="Calibri" w:hAnsi="Arial Narrow"/>
                <w:b/>
                <w:color w:val="000000" w:themeColor="text1"/>
              </w:rPr>
            </w:pPr>
            <w:proofErr w:type="spellStart"/>
            <w:r w:rsidRPr="005B77CD">
              <w:rPr>
                <w:rFonts w:ascii="Arial Narrow" w:eastAsia="Calibri" w:hAnsi="Arial Narrow"/>
                <w:color w:val="000000" w:themeColor="text1"/>
              </w:rPr>
              <w:t>ri</w:t>
            </w:r>
            <w:proofErr w:type="spellEnd"/>
            <w:r w:rsidRPr="005B77CD">
              <w:rPr>
                <w:rFonts w:ascii="Arial Narrow" w:eastAsia="Calibri" w:hAnsi="Arial Narrow"/>
                <w:color w:val="000000" w:themeColor="text1"/>
              </w:rPr>
              <w:t xml:space="preserve"> =Tasa IBR overnight de i-</w:t>
            </w:r>
            <w:proofErr w:type="spellStart"/>
            <w:r w:rsidRPr="005B77CD">
              <w:rPr>
                <w:rFonts w:ascii="Arial Narrow" w:eastAsia="Calibri" w:hAnsi="Arial Narrow"/>
                <w:color w:val="000000" w:themeColor="text1"/>
              </w:rPr>
              <w:t>ésimo</w:t>
            </w:r>
            <w:proofErr w:type="spellEnd"/>
            <w:r w:rsidRPr="005B77CD">
              <w:rPr>
                <w:rFonts w:ascii="Arial Narrow" w:eastAsia="Calibri" w:hAnsi="Arial Narrow"/>
                <w:color w:val="000000" w:themeColor="text1"/>
              </w:rPr>
              <w:t xml:space="preserve"> día, expresada en términos nominales.</w:t>
            </w:r>
          </w:p>
          <w:p w14:paraId="265382B9" w14:textId="77777777" w:rsidR="007968EC" w:rsidRPr="005B77CD" w:rsidRDefault="007968EC" w:rsidP="007968EC">
            <w:pPr>
              <w:autoSpaceDE w:val="0"/>
              <w:autoSpaceDN w:val="0"/>
              <w:adjustRightInd w:val="0"/>
              <w:jc w:val="both"/>
              <w:rPr>
                <w:rFonts w:ascii="Arial Narrow" w:eastAsia="Calibri" w:hAnsi="Arial Narrow"/>
                <w:b/>
                <w:color w:val="000000" w:themeColor="text1"/>
              </w:rPr>
            </w:pPr>
            <w:r w:rsidRPr="005B77CD">
              <w:rPr>
                <w:rFonts w:ascii="Arial Narrow" w:eastAsia="Calibri" w:hAnsi="Arial Narrow"/>
                <w:color w:val="000000" w:themeColor="text1"/>
              </w:rPr>
              <w:t>di = Número de días calendario que la tasa es aplicada.</w:t>
            </w:r>
          </w:p>
          <w:p w14:paraId="6CCAC34E" w14:textId="77777777" w:rsidR="007968EC" w:rsidRPr="005B77CD" w:rsidRDefault="007968EC" w:rsidP="007968EC">
            <w:pPr>
              <w:jc w:val="both"/>
              <w:rPr>
                <w:rFonts w:ascii="Arial Narrow" w:eastAsia="Calibri" w:hAnsi="Arial Narrow"/>
                <w:b/>
                <w:color w:val="000000" w:themeColor="text1"/>
              </w:rPr>
            </w:pPr>
            <w:r w:rsidRPr="005B77CD">
              <w:rPr>
                <w:rFonts w:ascii="Arial Narrow" w:eastAsia="Calibri" w:hAnsi="Arial Narrow"/>
                <w:color w:val="000000" w:themeColor="text1"/>
              </w:rPr>
              <w:t>n = Número de días calendario, comprendidos entre la fecha inicial y la fecha final de cada operación.</w:t>
            </w:r>
          </w:p>
          <w:p w14:paraId="39B367D8" w14:textId="77777777" w:rsidR="007968EC" w:rsidRPr="005B77CD" w:rsidRDefault="007968EC" w:rsidP="007968EC">
            <w:pPr>
              <w:jc w:val="both"/>
              <w:rPr>
                <w:rFonts w:ascii="Arial Narrow" w:eastAsia="Calibri" w:hAnsi="Arial Narrow"/>
                <w:b/>
                <w:color w:val="000000" w:themeColor="text1"/>
              </w:rPr>
            </w:pPr>
          </w:p>
        </w:tc>
      </w:tr>
      <w:tr w:rsidR="007968EC" w:rsidRPr="005B77CD" w14:paraId="29EA9F47" w14:textId="77777777" w:rsidTr="007968EC">
        <w:trPr>
          <w:jc w:val="center"/>
        </w:trPr>
        <w:tc>
          <w:tcPr>
            <w:tcW w:w="2274" w:type="dxa"/>
            <w:tcBorders>
              <w:top w:val="single" w:sz="4" w:space="0" w:color="auto"/>
              <w:left w:val="single" w:sz="4" w:space="0" w:color="auto"/>
              <w:bottom w:val="single" w:sz="4" w:space="0" w:color="auto"/>
              <w:right w:val="single" w:sz="4" w:space="0" w:color="auto"/>
            </w:tcBorders>
            <w:shd w:val="clear" w:color="auto" w:fill="D0CECE"/>
            <w:vAlign w:val="center"/>
          </w:tcPr>
          <w:p w14:paraId="4A77E279" w14:textId="77777777" w:rsidR="007968EC" w:rsidRPr="005B77CD" w:rsidRDefault="007968EC" w:rsidP="007968EC">
            <w:pPr>
              <w:rPr>
                <w:rFonts w:ascii="Arial Narrow" w:eastAsia="Calibri" w:hAnsi="Arial Narrow"/>
                <w:b/>
                <w:color w:val="000000" w:themeColor="text1"/>
              </w:rPr>
            </w:pPr>
            <w:r w:rsidRPr="005B77CD">
              <w:rPr>
                <w:rFonts w:ascii="Arial Narrow" w:eastAsia="Calibri" w:hAnsi="Arial Narrow"/>
                <w:color w:val="000000" w:themeColor="text1"/>
              </w:rPr>
              <w:lastRenderedPageBreak/>
              <w:t>Fecha Efectiva</w:t>
            </w:r>
          </w:p>
        </w:tc>
        <w:tc>
          <w:tcPr>
            <w:tcW w:w="6374" w:type="dxa"/>
            <w:tcBorders>
              <w:top w:val="single" w:sz="4" w:space="0" w:color="auto"/>
              <w:left w:val="single" w:sz="4" w:space="0" w:color="auto"/>
              <w:bottom w:val="single" w:sz="4" w:space="0" w:color="auto"/>
              <w:right w:val="single" w:sz="4" w:space="0" w:color="auto"/>
            </w:tcBorders>
            <w:shd w:val="clear" w:color="auto" w:fill="auto"/>
          </w:tcPr>
          <w:p w14:paraId="74382B86" w14:textId="77777777" w:rsidR="007968EC" w:rsidRPr="005B77CD" w:rsidRDefault="007968EC" w:rsidP="007968EC">
            <w:pPr>
              <w:autoSpaceDE w:val="0"/>
              <w:autoSpaceDN w:val="0"/>
              <w:adjustRightInd w:val="0"/>
              <w:rPr>
                <w:rFonts w:ascii="Arial Narrow" w:eastAsia="Calibri" w:hAnsi="Arial Narrow"/>
                <w:b/>
                <w:color w:val="000000" w:themeColor="text1"/>
              </w:rPr>
            </w:pPr>
            <w:r w:rsidRPr="005B77CD">
              <w:rPr>
                <w:rFonts w:ascii="Arial Narrow" w:eastAsia="Calibri" w:hAnsi="Arial Narrow"/>
                <w:color w:val="000000" w:themeColor="text1"/>
              </w:rPr>
              <w:t>T+2</w:t>
            </w:r>
          </w:p>
        </w:tc>
      </w:tr>
      <w:tr w:rsidR="007968EC" w:rsidRPr="005B77CD" w14:paraId="54972741" w14:textId="77777777" w:rsidTr="007968EC">
        <w:trPr>
          <w:jc w:val="center"/>
        </w:trPr>
        <w:tc>
          <w:tcPr>
            <w:tcW w:w="2274" w:type="dxa"/>
            <w:tcBorders>
              <w:top w:val="single" w:sz="4" w:space="0" w:color="auto"/>
              <w:left w:val="single" w:sz="4" w:space="0" w:color="auto"/>
              <w:bottom w:val="single" w:sz="4" w:space="0" w:color="auto"/>
              <w:right w:val="single" w:sz="4" w:space="0" w:color="auto"/>
            </w:tcBorders>
            <w:shd w:val="clear" w:color="auto" w:fill="D0CECE"/>
            <w:vAlign w:val="center"/>
          </w:tcPr>
          <w:p w14:paraId="28ED3A57" w14:textId="77777777" w:rsidR="007968EC" w:rsidRPr="005B77CD" w:rsidRDefault="007968EC" w:rsidP="007968EC">
            <w:pPr>
              <w:rPr>
                <w:rFonts w:ascii="Arial Narrow" w:eastAsia="Calibri" w:hAnsi="Arial Narrow"/>
                <w:b/>
                <w:color w:val="000000" w:themeColor="text1"/>
              </w:rPr>
            </w:pPr>
            <w:r w:rsidRPr="005B77CD">
              <w:rPr>
                <w:rFonts w:ascii="Arial Narrow" w:eastAsia="Calibri" w:hAnsi="Arial Narrow"/>
                <w:color w:val="000000" w:themeColor="text1"/>
              </w:rPr>
              <w:t>Valor Nominal</w:t>
            </w:r>
          </w:p>
        </w:tc>
        <w:tc>
          <w:tcPr>
            <w:tcW w:w="6374" w:type="dxa"/>
            <w:tcBorders>
              <w:top w:val="single" w:sz="4" w:space="0" w:color="auto"/>
              <w:left w:val="single" w:sz="4" w:space="0" w:color="auto"/>
              <w:bottom w:val="single" w:sz="4" w:space="0" w:color="auto"/>
              <w:right w:val="single" w:sz="4" w:space="0" w:color="auto"/>
            </w:tcBorders>
            <w:shd w:val="clear" w:color="auto" w:fill="auto"/>
          </w:tcPr>
          <w:p w14:paraId="2FE3E363" w14:textId="77777777" w:rsidR="007968EC" w:rsidRPr="005B77CD" w:rsidRDefault="007968EC" w:rsidP="007968EC">
            <w:pPr>
              <w:autoSpaceDE w:val="0"/>
              <w:autoSpaceDN w:val="0"/>
              <w:adjustRightInd w:val="0"/>
              <w:rPr>
                <w:rFonts w:ascii="Arial Narrow" w:eastAsia="Calibri" w:hAnsi="Arial Narrow"/>
                <w:b/>
                <w:color w:val="000000" w:themeColor="text1"/>
              </w:rPr>
            </w:pPr>
            <w:r w:rsidRPr="005B77CD">
              <w:rPr>
                <w:rFonts w:ascii="Arial Narrow" w:eastAsia="Calibri" w:hAnsi="Arial Narrow"/>
                <w:color w:val="000000" w:themeColor="text1"/>
              </w:rPr>
              <w:t>Valor pactado por las partes en moneda legal colombiana</w:t>
            </w:r>
          </w:p>
        </w:tc>
      </w:tr>
    </w:tbl>
    <w:p w14:paraId="45C9BDBB" w14:textId="77777777" w:rsidR="007968EC" w:rsidRPr="005B77CD" w:rsidRDefault="007968EC" w:rsidP="007968EC">
      <w:pPr>
        <w:autoSpaceDE w:val="0"/>
        <w:autoSpaceDN w:val="0"/>
        <w:adjustRightInd w:val="0"/>
        <w:ind w:left="1785"/>
        <w:contextualSpacing/>
        <w:jc w:val="both"/>
        <w:rPr>
          <w:rFonts w:ascii="Arial Narrow" w:eastAsia="Calibri" w:hAnsi="Arial Narrow"/>
          <w:b/>
          <w:color w:val="000000" w:themeColor="text1"/>
          <w:lang w:val="es-ES"/>
        </w:rPr>
      </w:pPr>
    </w:p>
    <w:p w14:paraId="678095F5" w14:textId="77777777" w:rsidR="007968EC" w:rsidRPr="005B77CD" w:rsidRDefault="007968EC" w:rsidP="00DA7472">
      <w:pPr>
        <w:numPr>
          <w:ilvl w:val="0"/>
          <w:numId w:val="144"/>
        </w:numPr>
        <w:autoSpaceDE w:val="0"/>
        <w:autoSpaceDN w:val="0"/>
        <w:adjustRightInd w:val="0"/>
        <w:jc w:val="both"/>
        <w:rPr>
          <w:rFonts w:ascii="Arial Narrow" w:eastAsia="Calibri" w:hAnsi="Arial Narrow"/>
          <w:b/>
          <w:color w:val="000000" w:themeColor="text1"/>
        </w:rPr>
      </w:pPr>
      <w:r w:rsidRPr="005B77CD">
        <w:rPr>
          <w:rFonts w:ascii="Arial Narrow" w:eastAsia="Calibri" w:hAnsi="Arial Narrow"/>
          <w:color w:val="000000" w:themeColor="text1"/>
        </w:rPr>
        <w:t xml:space="preserve">Términos Económicos: </w:t>
      </w:r>
    </w:p>
    <w:p w14:paraId="4B05CED7" w14:textId="77777777" w:rsidR="007968EC" w:rsidRPr="005B77CD" w:rsidRDefault="007968EC" w:rsidP="007968EC">
      <w:pPr>
        <w:autoSpaceDE w:val="0"/>
        <w:autoSpaceDN w:val="0"/>
        <w:adjustRightInd w:val="0"/>
        <w:ind w:left="644"/>
        <w:contextualSpacing/>
        <w:jc w:val="both"/>
        <w:rPr>
          <w:rFonts w:ascii="Arial Narrow" w:eastAsia="Calibri" w:hAnsi="Arial Narrow"/>
          <w:b/>
          <w:color w:val="000000" w:themeColor="text1"/>
        </w:rPr>
      </w:pPr>
    </w:p>
    <w:p w14:paraId="38DCEB18" w14:textId="77777777" w:rsidR="007968EC" w:rsidRPr="005B77CD" w:rsidRDefault="007968EC" w:rsidP="007968EC">
      <w:pPr>
        <w:jc w:val="both"/>
        <w:rPr>
          <w:rFonts w:ascii="Arial Narrow" w:eastAsia="Calibri" w:hAnsi="Arial Narrow"/>
          <w:b/>
          <w:color w:val="000000" w:themeColor="text1"/>
        </w:rPr>
      </w:pPr>
      <w:r w:rsidRPr="005B77CD">
        <w:rPr>
          <w:rFonts w:ascii="Arial Narrow" w:eastAsia="Calibri" w:hAnsi="Arial Narrow"/>
          <w:color w:val="000000" w:themeColor="text1"/>
        </w:rPr>
        <w:t>Se considerarán como Términos Económicos las condiciones sobre Tasa SWAP, Precio SWAP, Fecha de Liquidación al Vencimiento, Valor Nominal y Activo Subyacente que hayan sido pactadas por las partes originales en las Operaciones sobre Instrumentos Financieros Derivados No Estandarizados Susceptibles de ser Aceptadas por la Cámara.</w:t>
      </w:r>
    </w:p>
    <w:p w14:paraId="0E33BB28" w14:textId="77777777" w:rsidR="007968EC" w:rsidRPr="005B77CD" w:rsidRDefault="007968EC" w:rsidP="007968EC">
      <w:pPr>
        <w:jc w:val="both"/>
        <w:rPr>
          <w:rFonts w:ascii="Arial Narrow" w:eastAsia="Calibri" w:hAnsi="Arial Narrow"/>
          <w:b/>
          <w:color w:val="000000" w:themeColor="text1"/>
        </w:rPr>
      </w:pPr>
    </w:p>
    <w:p w14:paraId="719FB349" w14:textId="77777777" w:rsidR="007968EC" w:rsidRPr="005B77CD" w:rsidRDefault="007968EC" w:rsidP="00DA7472">
      <w:pPr>
        <w:numPr>
          <w:ilvl w:val="0"/>
          <w:numId w:val="144"/>
        </w:numPr>
        <w:jc w:val="both"/>
        <w:rPr>
          <w:rFonts w:ascii="Arial Narrow" w:eastAsia="Calibri" w:hAnsi="Arial Narrow"/>
          <w:b/>
          <w:color w:val="000000" w:themeColor="text1"/>
        </w:rPr>
      </w:pPr>
      <w:r w:rsidRPr="005B77CD">
        <w:rPr>
          <w:rFonts w:ascii="Arial Narrow" w:eastAsia="Calibri" w:hAnsi="Arial Narrow"/>
          <w:color w:val="000000" w:themeColor="text1"/>
        </w:rPr>
        <w:t>Controles de Riesgo:</w:t>
      </w:r>
    </w:p>
    <w:p w14:paraId="16ADFBD9" w14:textId="77777777" w:rsidR="007968EC" w:rsidRPr="005B77CD" w:rsidRDefault="007968EC" w:rsidP="007968EC">
      <w:pPr>
        <w:ind w:left="644"/>
        <w:contextualSpacing/>
        <w:jc w:val="both"/>
        <w:rPr>
          <w:rFonts w:ascii="Arial Narrow" w:eastAsia="Calibri" w:hAnsi="Arial Narrow"/>
          <w:b/>
          <w:color w:val="000000" w:themeColor="text1"/>
        </w:rPr>
      </w:pPr>
    </w:p>
    <w:p w14:paraId="2BA35EEB" w14:textId="77777777" w:rsidR="007968EC" w:rsidRPr="005B77CD" w:rsidRDefault="007968EC" w:rsidP="007968EC">
      <w:pPr>
        <w:jc w:val="both"/>
        <w:rPr>
          <w:rFonts w:ascii="Arial Narrow" w:eastAsia="Calibri" w:hAnsi="Arial Narrow"/>
          <w:b/>
          <w:color w:val="000000" w:themeColor="text1"/>
        </w:rPr>
      </w:pPr>
      <w:r w:rsidRPr="005B77CD">
        <w:rPr>
          <w:rFonts w:ascii="Arial Narrow" w:eastAsia="Calibri" w:hAnsi="Arial Narrow"/>
          <w:color w:val="000000" w:themeColor="text1"/>
        </w:rPr>
        <w:t>Para la aceptación de operaciones OIS IBR, la Cámara verificará que las mismas cumplan el siguiente control de riesgo específico para cada una de las Cuentas de las partes de la Operación Susceptible de ser Aceptada:</w:t>
      </w:r>
    </w:p>
    <w:p w14:paraId="357D21DB" w14:textId="77777777" w:rsidR="007968EC" w:rsidRPr="005B77CD" w:rsidRDefault="007968EC" w:rsidP="007968EC">
      <w:pPr>
        <w:jc w:val="both"/>
        <w:rPr>
          <w:rFonts w:ascii="Arial Narrow" w:eastAsia="Calibri" w:hAnsi="Arial Narrow"/>
          <w:b/>
          <w:color w:val="000000" w:themeColor="text1"/>
        </w:rPr>
      </w:pPr>
    </w:p>
    <w:p w14:paraId="1C88A926" w14:textId="77777777" w:rsidR="007968EC" w:rsidRPr="005B77CD" w:rsidRDefault="007968EC" w:rsidP="00DA7472">
      <w:pPr>
        <w:numPr>
          <w:ilvl w:val="0"/>
          <w:numId w:val="145"/>
        </w:numPr>
        <w:contextualSpacing/>
        <w:jc w:val="both"/>
        <w:rPr>
          <w:rFonts w:ascii="Arial Narrow" w:eastAsia="Calibri" w:hAnsi="Arial Narrow"/>
          <w:b/>
          <w:color w:val="000000" w:themeColor="text1"/>
        </w:rPr>
      </w:pPr>
      <w:r w:rsidRPr="005B77CD">
        <w:rPr>
          <w:rFonts w:ascii="Arial Narrow" w:eastAsia="Calibri" w:hAnsi="Arial Narrow"/>
          <w:color w:val="000000" w:themeColor="text1"/>
        </w:rPr>
        <w:t xml:space="preserve">Que las Garantías por Posición de las Cuentas de la Operación Susceptible de ser Aceptada son suficientes para cubrir el riesgo según lo previsto en el artículo 1.6.2.3. de la presente Circular. </w:t>
      </w:r>
    </w:p>
    <w:p w14:paraId="41CDE16F" w14:textId="77777777" w:rsidR="007968EC" w:rsidRPr="005B77CD" w:rsidRDefault="007968EC" w:rsidP="007968EC">
      <w:pPr>
        <w:autoSpaceDE w:val="0"/>
        <w:autoSpaceDN w:val="0"/>
        <w:adjustRightInd w:val="0"/>
        <w:jc w:val="both"/>
        <w:rPr>
          <w:rFonts w:ascii="Arial Narrow" w:eastAsia="Calibri" w:hAnsi="Arial Narrow"/>
          <w:b/>
          <w:color w:val="000000" w:themeColor="text1"/>
        </w:rPr>
      </w:pPr>
    </w:p>
    <w:p w14:paraId="124E35DF" w14:textId="77777777" w:rsidR="007968EC" w:rsidRPr="005B77CD" w:rsidRDefault="007968EC" w:rsidP="00DA7472">
      <w:pPr>
        <w:numPr>
          <w:ilvl w:val="0"/>
          <w:numId w:val="144"/>
        </w:numPr>
        <w:autoSpaceDE w:val="0"/>
        <w:autoSpaceDN w:val="0"/>
        <w:adjustRightInd w:val="0"/>
        <w:contextualSpacing/>
        <w:jc w:val="both"/>
        <w:rPr>
          <w:rFonts w:ascii="Arial Narrow" w:eastAsia="Calibri" w:hAnsi="Arial Narrow"/>
          <w:b/>
          <w:color w:val="000000" w:themeColor="text1"/>
        </w:rPr>
      </w:pPr>
      <w:r w:rsidRPr="005B77CD">
        <w:rPr>
          <w:rFonts w:ascii="Arial Narrow" w:eastAsia="Calibri" w:hAnsi="Arial Narrow" w:cs="Arial Narrow"/>
          <w:color w:val="000000" w:themeColor="text1"/>
        </w:rPr>
        <w:t xml:space="preserve">Criterio de aplicación de las reglas especiales </w:t>
      </w:r>
      <w:r w:rsidRPr="005B77CD">
        <w:rPr>
          <w:rFonts w:ascii="Arial Narrow" w:eastAsia="Calibri" w:hAnsi="Arial Narrow"/>
          <w:bCs/>
          <w:color w:val="000000" w:themeColor="text1"/>
        </w:rPr>
        <w:t>para el instrumento Financiero Derivado No Estandarizado OIS IBR</w:t>
      </w:r>
      <w:r w:rsidRPr="005B77CD">
        <w:rPr>
          <w:rFonts w:ascii="Arial Narrow" w:eastAsia="Calibri" w:hAnsi="Arial Narrow" w:cs="Arial Narrow"/>
          <w:color w:val="000000" w:themeColor="text1"/>
        </w:rPr>
        <w:t>:</w:t>
      </w:r>
    </w:p>
    <w:p w14:paraId="5D75579E" w14:textId="77777777" w:rsidR="007968EC" w:rsidRPr="005B77CD" w:rsidRDefault="007968EC" w:rsidP="007968EC">
      <w:pPr>
        <w:autoSpaceDE w:val="0"/>
        <w:autoSpaceDN w:val="0"/>
        <w:adjustRightInd w:val="0"/>
        <w:jc w:val="both"/>
        <w:rPr>
          <w:rFonts w:ascii="Arial Narrow" w:eastAsia="Calibri" w:hAnsi="Arial Narrow" w:cs="Arial Narrow"/>
          <w:color w:val="000000" w:themeColor="text1"/>
        </w:rPr>
      </w:pPr>
    </w:p>
    <w:p w14:paraId="79AF3DA8" w14:textId="77777777" w:rsidR="007968EC" w:rsidRDefault="007968EC" w:rsidP="007968EC">
      <w:pPr>
        <w:autoSpaceDE w:val="0"/>
        <w:autoSpaceDN w:val="0"/>
        <w:adjustRightInd w:val="0"/>
        <w:jc w:val="both"/>
        <w:rPr>
          <w:rFonts w:ascii="Arial Narrow" w:eastAsia="Calibri" w:hAnsi="Arial Narrow" w:cs="Arial Narrow"/>
          <w:color w:val="000000" w:themeColor="text1"/>
        </w:rPr>
      </w:pPr>
      <w:r w:rsidRPr="005B77CD">
        <w:rPr>
          <w:rFonts w:ascii="Arial Narrow" w:eastAsia="Calibri" w:hAnsi="Arial Narrow" w:cs="Arial Narrow"/>
          <w:color w:val="000000" w:themeColor="text1"/>
        </w:rPr>
        <w:t>Salvo que exista norma especial para Instrumentos Financieros Derivados No Estandarizados, y en especial para el OIS IBR aplicarán las disposiciones de la Parte I y Parte II de la presente Circular, siempre que no sean contrarias a la naturaleza de estos Instrumentos.</w:t>
      </w:r>
    </w:p>
    <w:p w14:paraId="52DD607F" w14:textId="77777777" w:rsidR="007968EC" w:rsidRDefault="007968EC" w:rsidP="007968EC">
      <w:pPr>
        <w:autoSpaceDE w:val="0"/>
        <w:autoSpaceDN w:val="0"/>
        <w:adjustRightInd w:val="0"/>
        <w:jc w:val="both"/>
        <w:rPr>
          <w:rFonts w:ascii="Arial Narrow" w:eastAsia="Calibri" w:hAnsi="Arial Narrow" w:cs="Arial Narrow"/>
          <w:color w:val="000000" w:themeColor="text1"/>
        </w:rPr>
      </w:pPr>
    </w:p>
    <w:p w14:paraId="11CBDBC1" w14:textId="77777777" w:rsidR="007968EC" w:rsidRDefault="007968EC" w:rsidP="007968EC">
      <w:pPr>
        <w:pStyle w:val="ARTICULO0"/>
      </w:pPr>
      <w:bookmarkStart w:id="5316" w:name="_Toc31716241"/>
      <w:r w:rsidRPr="00EB14DE">
        <w:lastRenderedPageBreak/>
        <w:t>Artículo 2.7.2.23. Mini Contrato de Futuro de Índice Accionario COLCAP</w:t>
      </w:r>
      <w:bookmarkEnd w:id="5316"/>
    </w:p>
    <w:p w14:paraId="54BA3901" w14:textId="77777777" w:rsidR="007968EC" w:rsidRPr="008731C2" w:rsidRDefault="007968EC" w:rsidP="007968EC">
      <w:pPr>
        <w:pStyle w:val="ANTECEDENTES"/>
        <w:rPr>
          <w:i w:val="0"/>
          <w:iCs/>
        </w:rPr>
      </w:pPr>
    </w:p>
    <w:p w14:paraId="0729B68E" w14:textId="77777777" w:rsidR="007968EC" w:rsidRPr="008731C2" w:rsidRDefault="007968EC" w:rsidP="007968EC">
      <w:pPr>
        <w:pStyle w:val="ANTECEDENTES"/>
      </w:pPr>
      <w:r w:rsidRPr="008731C2">
        <w:t xml:space="preserve">(Este artículo fue adicionado </w:t>
      </w:r>
      <w:r>
        <w:t>y mediante Circular 12 del 9 de agosto de 2019, publicada en el Boletín Normativo No. 025 del 9 de agosto de 2019. Rige a partir del 12 de agosto de 2019</w:t>
      </w:r>
      <w:r w:rsidRPr="002C0D19">
        <w:t>.)</w:t>
      </w:r>
    </w:p>
    <w:p w14:paraId="664D1B3C" w14:textId="77777777" w:rsidR="007968EC" w:rsidRPr="00EB14DE" w:rsidRDefault="007968EC" w:rsidP="007968EC">
      <w:pPr>
        <w:pStyle w:val="ANTECEDENTES"/>
      </w:pPr>
    </w:p>
    <w:p w14:paraId="371AA8BC" w14:textId="77777777" w:rsidR="007968EC" w:rsidRPr="00EB14DE" w:rsidRDefault="007968EC" w:rsidP="00DA7472">
      <w:pPr>
        <w:numPr>
          <w:ilvl w:val="0"/>
          <w:numId w:val="309"/>
        </w:numPr>
        <w:rPr>
          <w:rFonts w:ascii="Arial Narrow" w:eastAsia="Calibri" w:hAnsi="Arial Narrow"/>
          <w:b/>
          <w:color w:val="000000" w:themeColor="text1"/>
        </w:rPr>
      </w:pPr>
      <w:r w:rsidRPr="00EB14DE">
        <w:rPr>
          <w:rFonts w:ascii="Arial Narrow" w:eastAsia="Calibri" w:hAnsi="Arial Narrow"/>
          <w:color w:val="000000" w:themeColor="text1"/>
        </w:rPr>
        <w:t>Generalidades:</w:t>
      </w:r>
    </w:p>
    <w:p w14:paraId="14C80945" w14:textId="77777777" w:rsidR="007968EC" w:rsidRPr="00EB14DE" w:rsidRDefault="007968EC" w:rsidP="007968EC">
      <w:pPr>
        <w:ind w:left="720"/>
        <w:rPr>
          <w:rFonts w:ascii="Arial Narrow" w:eastAsia="Calibri" w:hAnsi="Arial Narrow"/>
          <w:b/>
          <w:color w:val="000000" w:themeColor="text1"/>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22"/>
        <w:gridCol w:w="5078"/>
      </w:tblGrid>
      <w:tr w:rsidR="007968EC" w:rsidRPr="00EB14DE" w14:paraId="7D997D1A" w14:textId="77777777" w:rsidTr="007968EC">
        <w:tc>
          <w:tcPr>
            <w:tcW w:w="3622" w:type="dxa"/>
            <w:shd w:val="clear" w:color="auto" w:fill="BFBFBF" w:themeFill="background1" w:themeFillShade="BF"/>
          </w:tcPr>
          <w:p w14:paraId="59184ECB" w14:textId="77777777" w:rsidR="007968EC" w:rsidRPr="00EB14DE" w:rsidRDefault="007968EC" w:rsidP="007968EC">
            <w:pPr>
              <w:jc w:val="both"/>
              <w:rPr>
                <w:rFonts w:ascii="Arial Narrow" w:hAnsi="Arial Narrow"/>
                <w:lang w:eastAsia="es-ES"/>
              </w:rPr>
            </w:pPr>
            <w:r w:rsidRPr="00EB14DE">
              <w:rPr>
                <w:rFonts w:ascii="Arial Narrow" w:hAnsi="Arial Narrow"/>
                <w:lang w:eastAsia="es-ES"/>
              </w:rPr>
              <w:t>Instrumento</w:t>
            </w:r>
          </w:p>
        </w:tc>
        <w:tc>
          <w:tcPr>
            <w:tcW w:w="5078" w:type="dxa"/>
          </w:tcPr>
          <w:p w14:paraId="14939A77" w14:textId="77777777" w:rsidR="007968EC" w:rsidRPr="00EB14DE" w:rsidRDefault="007968EC" w:rsidP="007968EC">
            <w:pPr>
              <w:jc w:val="both"/>
              <w:rPr>
                <w:rFonts w:ascii="Arial Narrow" w:hAnsi="Arial Narrow"/>
                <w:lang w:eastAsia="es-ES"/>
              </w:rPr>
            </w:pPr>
            <w:r w:rsidRPr="00EB14DE">
              <w:rPr>
                <w:rFonts w:ascii="Arial Narrow" w:hAnsi="Arial Narrow"/>
                <w:lang w:eastAsia="es-ES"/>
              </w:rPr>
              <w:t>Mini Contrato de Futuro Índice Accionario COLCAP.</w:t>
            </w:r>
          </w:p>
        </w:tc>
      </w:tr>
      <w:tr w:rsidR="007968EC" w:rsidRPr="00EB14DE" w14:paraId="3AC8CF5E" w14:textId="77777777" w:rsidTr="007968EC">
        <w:tc>
          <w:tcPr>
            <w:tcW w:w="3622" w:type="dxa"/>
            <w:shd w:val="clear" w:color="auto" w:fill="BFBFBF" w:themeFill="background1" w:themeFillShade="BF"/>
          </w:tcPr>
          <w:p w14:paraId="04613F4B" w14:textId="77777777" w:rsidR="007968EC" w:rsidRPr="00EB14DE" w:rsidRDefault="007968EC" w:rsidP="007968EC">
            <w:pPr>
              <w:jc w:val="both"/>
              <w:rPr>
                <w:rFonts w:ascii="Arial Narrow" w:hAnsi="Arial Narrow"/>
                <w:lang w:eastAsia="es-ES"/>
              </w:rPr>
            </w:pPr>
            <w:r w:rsidRPr="00EB14DE">
              <w:rPr>
                <w:rFonts w:ascii="Arial Narrow" w:hAnsi="Arial Narrow"/>
                <w:lang w:eastAsia="es-ES"/>
              </w:rPr>
              <w:t>Activo Subyacente</w:t>
            </w:r>
          </w:p>
        </w:tc>
        <w:tc>
          <w:tcPr>
            <w:tcW w:w="5078" w:type="dxa"/>
          </w:tcPr>
          <w:p w14:paraId="21C5C2A4" w14:textId="77777777" w:rsidR="007968EC" w:rsidRPr="00EB14DE" w:rsidRDefault="007968EC" w:rsidP="007968EC">
            <w:pPr>
              <w:jc w:val="both"/>
              <w:rPr>
                <w:rFonts w:ascii="Arial Narrow" w:hAnsi="Arial Narrow"/>
                <w:lang w:eastAsia="es-ES"/>
              </w:rPr>
            </w:pPr>
            <w:r w:rsidRPr="00EB14DE">
              <w:rPr>
                <w:rFonts w:ascii="Arial Narrow" w:hAnsi="Arial Narrow"/>
              </w:rPr>
              <w:t>El subyacente del contrato será el Índice Accionario COLCAP calculado y publicado diariamente por la Bolsa de Valores de Colombia S.A.</w:t>
            </w:r>
          </w:p>
        </w:tc>
      </w:tr>
      <w:tr w:rsidR="007968EC" w:rsidRPr="00EB14DE" w14:paraId="0F65C79B" w14:textId="77777777" w:rsidTr="007968EC">
        <w:tc>
          <w:tcPr>
            <w:tcW w:w="3622" w:type="dxa"/>
            <w:shd w:val="clear" w:color="auto" w:fill="BFBFBF" w:themeFill="background1" w:themeFillShade="BF"/>
          </w:tcPr>
          <w:p w14:paraId="44C80F0E" w14:textId="77777777" w:rsidR="007968EC" w:rsidRPr="00EB14DE" w:rsidRDefault="007968EC" w:rsidP="007968EC">
            <w:pPr>
              <w:jc w:val="both"/>
              <w:rPr>
                <w:rFonts w:ascii="Arial Narrow" w:hAnsi="Arial Narrow"/>
                <w:lang w:eastAsia="es-ES"/>
              </w:rPr>
            </w:pPr>
            <w:r w:rsidRPr="00EB14DE">
              <w:rPr>
                <w:rFonts w:ascii="Arial Narrow" w:hAnsi="Arial Narrow"/>
                <w:lang w:eastAsia="es-ES"/>
              </w:rPr>
              <w:t>Tamaño del Contrato</w:t>
            </w:r>
          </w:p>
        </w:tc>
        <w:tc>
          <w:tcPr>
            <w:tcW w:w="5078" w:type="dxa"/>
          </w:tcPr>
          <w:p w14:paraId="49F677FB" w14:textId="77777777" w:rsidR="007968EC" w:rsidRPr="00EB14DE" w:rsidRDefault="007968EC" w:rsidP="007968EC">
            <w:pPr>
              <w:jc w:val="both"/>
              <w:rPr>
                <w:rFonts w:ascii="Arial Narrow" w:hAnsi="Arial Narrow"/>
              </w:rPr>
            </w:pPr>
            <w:r w:rsidRPr="00EB14DE">
              <w:rPr>
                <w:rFonts w:ascii="Arial Narrow" w:hAnsi="Arial Narrow"/>
              </w:rPr>
              <w:t>El tamaño de cada Mini Contrato de Futuros sobre el Índice Accionario COLCAP será de $2.500 (dos mil quinientos pesos colombianos) multiplicados por el valor del índice.</w:t>
            </w:r>
          </w:p>
        </w:tc>
      </w:tr>
      <w:tr w:rsidR="007968EC" w:rsidRPr="00EB14DE" w14:paraId="4F0AA01D" w14:textId="77777777" w:rsidTr="007968EC">
        <w:tc>
          <w:tcPr>
            <w:tcW w:w="3622" w:type="dxa"/>
            <w:shd w:val="clear" w:color="auto" w:fill="BFBFBF" w:themeFill="background1" w:themeFillShade="BF"/>
          </w:tcPr>
          <w:p w14:paraId="4EA73C9B" w14:textId="77777777" w:rsidR="007968EC" w:rsidRPr="00EB14DE" w:rsidRDefault="007968EC" w:rsidP="007968EC">
            <w:pPr>
              <w:jc w:val="both"/>
              <w:rPr>
                <w:rFonts w:ascii="Arial Narrow" w:hAnsi="Arial Narrow"/>
                <w:lang w:eastAsia="es-ES"/>
              </w:rPr>
            </w:pPr>
            <w:r w:rsidRPr="00EB14DE">
              <w:rPr>
                <w:rFonts w:ascii="Arial Narrow" w:hAnsi="Arial Narrow"/>
                <w:lang w:eastAsia="es-ES"/>
              </w:rPr>
              <w:t>Contratos Listados</w:t>
            </w:r>
          </w:p>
        </w:tc>
        <w:tc>
          <w:tcPr>
            <w:tcW w:w="5078" w:type="dxa"/>
          </w:tcPr>
          <w:p w14:paraId="00CCE21A" w14:textId="77777777" w:rsidR="007968EC" w:rsidRPr="00EB14DE" w:rsidRDefault="007968EC" w:rsidP="007968EC">
            <w:pPr>
              <w:jc w:val="both"/>
              <w:rPr>
                <w:rFonts w:ascii="Arial Narrow" w:hAnsi="Arial Narrow"/>
                <w:lang w:eastAsia="es-ES"/>
              </w:rPr>
            </w:pPr>
            <w:r w:rsidRPr="00EB14DE">
              <w:rPr>
                <w:rFonts w:ascii="Arial Narrow" w:hAnsi="Arial Narrow"/>
              </w:rPr>
              <w:t>Estarán disponibles en el sistema los cuatro vencimientos trimestrales más cercanos del ciclo de Marzo (Marzo, Junio, Septiembre, Diciembre), en este sentido podrán realizarse operaciones hasta 1 año de vencimiento.</w:t>
            </w:r>
          </w:p>
        </w:tc>
      </w:tr>
      <w:tr w:rsidR="007968EC" w:rsidRPr="00EB14DE" w14:paraId="0B944388" w14:textId="77777777" w:rsidTr="007968EC">
        <w:tc>
          <w:tcPr>
            <w:tcW w:w="3622" w:type="dxa"/>
            <w:shd w:val="clear" w:color="auto" w:fill="BFBFBF" w:themeFill="background1" w:themeFillShade="BF"/>
          </w:tcPr>
          <w:p w14:paraId="65AD59DE" w14:textId="77777777" w:rsidR="007968EC" w:rsidRPr="00EB14DE" w:rsidRDefault="007968EC" w:rsidP="007968EC">
            <w:pPr>
              <w:jc w:val="both"/>
              <w:rPr>
                <w:rFonts w:ascii="Arial Narrow" w:hAnsi="Arial Narrow"/>
                <w:lang w:eastAsia="es-ES"/>
              </w:rPr>
            </w:pPr>
            <w:r w:rsidRPr="00EB14DE">
              <w:rPr>
                <w:rFonts w:ascii="Arial Narrow" w:hAnsi="Arial Narrow"/>
                <w:lang w:eastAsia="es-ES"/>
              </w:rPr>
              <w:t>Método de Liquidación</w:t>
            </w:r>
          </w:p>
        </w:tc>
        <w:tc>
          <w:tcPr>
            <w:tcW w:w="5078" w:type="dxa"/>
          </w:tcPr>
          <w:p w14:paraId="465D7D14" w14:textId="77777777" w:rsidR="007968EC" w:rsidRPr="00EB14DE" w:rsidRDefault="007968EC" w:rsidP="007968EC">
            <w:pPr>
              <w:jc w:val="both"/>
              <w:rPr>
                <w:rFonts w:ascii="Arial Narrow" w:hAnsi="Arial Narrow"/>
                <w:lang w:eastAsia="es-ES"/>
              </w:rPr>
            </w:pPr>
            <w:r w:rsidRPr="00EB14DE">
              <w:rPr>
                <w:rFonts w:ascii="Arial Narrow" w:hAnsi="Arial Narrow"/>
              </w:rPr>
              <w:t>Liquidación por Diferencias.</w:t>
            </w:r>
          </w:p>
        </w:tc>
      </w:tr>
      <w:tr w:rsidR="007968EC" w:rsidRPr="00EB14DE" w14:paraId="62A291FA" w14:textId="77777777" w:rsidTr="007968EC">
        <w:tc>
          <w:tcPr>
            <w:tcW w:w="3622" w:type="dxa"/>
            <w:shd w:val="clear" w:color="auto" w:fill="BFBFBF" w:themeFill="background1" w:themeFillShade="BF"/>
          </w:tcPr>
          <w:p w14:paraId="51EF7506" w14:textId="77777777" w:rsidR="007968EC" w:rsidRPr="00EB14DE" w:rsidRDefault="007968EC" w:rsidP="007968EC">
            <w:pPr>
              <w:jc w:val="both"/>
              <w:rPr>
                <w:rFonts w:ascii="Arial Narrow" w:hAnsi="Arial Narrow"/>
                <w:lang w:eastAsia="es-ES"/>
              </w:rPr>
            </w:pPr>
            <w:r w:rsidRPr="00EB14DE">
              <w:rPr>
                <w:rFonts w:ascii="Arial Narrow" w:hAnsi="Arial Narrow"/>
                <w:lang w:eastAsia="es-ES"/>
              </w:rPr>
              <w:t>Tipo de Liquidación</w:t>
            </w:r>
          </w:p>
        </w:tc>
        <w:tc>
          <w:tcPr>
            <w:tcW w:w="5078" w:type="dxa"/>
          </w:tcPr>
          <w:p w14:paraId="6A693EFE" w14:textId="77777777" w:rsidR="007968EC" w:rsidRPr="00EB14DE" w:rsidRDefault="007968EC" w:rsidP="007968EC">
            <w:pPr>
              <w:jc w:val="both"/>
              <w:rPr>
                <w:rFonts w:ascii="Arial Narrow" w:hAnsi="Arial Narrow"/>
                <w:lang w:eastAsia="es-ES"/>
              </w:rPr>
            </w:pPr>
            <w:r w:rsidRPr="00EB14DE">
              <w:rPr>
                <w:rFonts w:ascii="Arial Narrow" w:hAnsi="Arial Narrow"/>
              </w:rPr>
              <w:t>Liquidación Diaria y al Vencimiento.</w:t>
            </w:r>
          </w:p>
        </w:tc>
      </w:tr>
      <w:tr w:rsidR="007968EC" w:rsidRPr="00EB14DE" w14:paraId="4194AFD1" w14:textId="77777777" w:rsidTr="007968EC">
        <w:tc>
          <w:tcPr>
            <w:tcW w:w="3622" w:type="dxa"/>
            <w:shd w:val="clear" w:color="auto" w:fill="BFBFBF" w:themeFill="background1" w:themeFillShade="BF"/>
          </w:tcPr>
          <w:p w14:paraId="11C71FC1" w14:textId="77777777" w:rsidR="007968EC" w:rsidRPr="00EB14DE" w:rsidRDefault="007968EC" w:rsidP="007968EC">
            <w:pPr>
              <w:jc w:val="both"/>
              <w:rPr>
                <w:rFonts w:ascii="Arial Narrow" w:hAnsi="Arial Narrow"/>
                <w:lang w:eastAsia="es-ES"/>
              </w:rPr>
            </w:pPr>
            <w:r w:rsidRPr="00EB14DE">
              <w:rPr>
                <w:rFonts w:ascii="Arial Narrow" w:hAnsi="Arial Narrow"/>
                <w:lang w:eastAsia="es-ES"/>
              </w:rPr>
              <w:t>Último día de negociación</w:t>
            </w:r>
          </w:p>
        </w:tc>
        <w:tc>
          <w:tcPr>
            <w:tcW w:w="5078" w:type="dxa"/>
          </w:tcPr>
          <w:p w14:paraId="1F19F33A" w14:textId="77777777" w:rsidR="007968EC" w:rsidRPr="00EB14DE" w:rsidRDefault="007968EC" w:rsidP="007968EC">
            <w:pPr>
              <w:jc w:val="both"/>
              <w:rPr>
                <w:rFonts w:ascii="Arial Narrow" w:hAnsi="Arial Narrow"/>
                <w:lang w:eastAsia="es-ES"/>
              </w:rPr>
            </w:pPr>
            <w:r w:rsidRPr="00EB14DE">
              <w:rPr>
                <w:rFonts w:ascii="Arial Narrow" w:hAnsi="Arial Narrow"/>
              </w:rPr>
              <w:t>Tercer viernes del mes de vencimiento. Cuando el tercer viernes del mes de vencimiento corresponda a un día no hábil, se negociará hasta el día hábil anterior.</w:t>
            </w:r>
            <w:r w:rsidRPr="00EB14DE">
              <w:rPr>
                <w:rFonts w:ascii="Arial Narrow" w:hAnsi="Arial Narrow"/>
                <w:lang w:eastAsia="es-ES"/>
              </w:rPr>
              <w:t xml:space="preserve"> </w:t>
            </w:r>
          </w:p>
        </w:tc>
      </w:tr>
      <w:tr w:rsidR="007968EC" w:rsidRPr="00EB14DE" w14:paraId="747BD0E4" w14:textId="77777777" w:rsidTr="007968EC">
        <w:tc>
          <w:tcPr>
            <w:tcW w:w="3622" w:type="dxa"/>
            <w:shd w:val="clear" w:color="auto" w:fill="BFBFBF" w:themeFill="background1" w:themeFillShade="BF"/>
          </w:tcPr>
          <w:p w14:paraId="0029C42A" w14:textId="77777777" w:rsidR="007968EC" w:rsidRPr="00EB14DE" w:rsidRDefault="007968EC" w:rsidP="007968EC">
            <w:pPr>
              <w:jc w:val="both"/>
              <w:rPr>
                <w:rFonts w:ascii="Arial Narrow" w:hAnsi="Arial Narrow"/>
                <w:lang w:eastAsia="es-ES"/>
              </w:rPr>
            </w:pPr>
            <w:r w:rsidRPr="00EB14DE">
              <w:rPr>
                <w:rFonts w:ascii="Arial Narrow" w:hAnsi="Arial Narrow"/>
                <w:lang w:eastAsia="es-ES"/>
              </w:rPr>
              <w:t>Día de vencimiento</w:t>
            </w:r>
          </w:p>
        </w:tc>
        <w:tc>
          <w:tcPr>
            <w:tcW w:w="5078" w:type="dxa"/>
          </w:tcPr>
          <w:p w14:paraId="5D572D90" w14:textId="77777777" w:rsidR="007968EC" w:rsidRPr="00EB14DE" w:rsidRDefault="007968EC" w:rsidP="007968EC">
            <w:pPr>
              <w:jc w:val="both"/>
              <w:rPr>
                <w:rFonts w:ascii="Arial Narrow" w:hAnsi="Arial Narrow"/>
                <w:lang w:eastAsia="es-ES"/>
              </w:rPr>
            </w:pPr>
            <w:r w:rsidRPr="00EB14DE">
              <w:rPr>
                <w:rFonts w:ascii="Arial Narrow" w:hAnsi="Arial Narrow"/>
              </w:rPr>
              <w:t>Último día de negociación.</w:t>
            </w:r>
          </w:p>
        </w:tc>
      </w:tr>
      <w:tr w:rsidR="007968EC" w:rsidRPr="00EB14DE" w14:paraId="2AE3BCBB" w14:textId="77777777" w:rsidTr="007968EC">
        <w:tc>
          <w:tcPr>
            <w:tcW w:w="3622" w:type="dxa"/>
            <w:shd w:val="clear" w:color="auto" w:fill="BFBFBF" w:themeFill="background1" w:themeFillShade="BF"/>
          </w:tcPr>
          <w:p w14:paraId="4D09B26A" w14:textId="77777777" w:rsidR="007968EC" w:rsidRPr="00EB14DE" w:rsidRDefault="007968EC" w:rsidP="007968EC">
            <w:pPr>
              <w:jc w:val="both"/>
              <w:rPr>
                <w:rFonts w:ascii="Arial Narrow" w:hAnsi="Arial Narrow"/>
                <w:lang w:eastAsia="es-ES"/>
              </w:rPr>
            </w:pPr>
            <w:r w:rsidRPr="00EB14DE">
              <w:rPr>
                <w:rFonts w:ascii="Arial Narrow" w:hAnsi="Arial Narrow"/>
                <w:lang w:eastAsia="es-ES"/>
              </w:rPr>
              <w:t>Fecha de la Liquidación al Vencimiento</w:t>
            </w:r>
          </w:p>
        </w:tc>
        <w:tc>
          <w:tcPr>
            <w:tcW w:w="5078" w:type="dxa"/>
          </w:tcPr>
          <w:p w14:paraId="080E6274" w14:textId="77777777" w:rsidR="007968EC" w:rsidRPr="00EB14DE" w:rsidRDefault="007968EC" w:rsidP="007968EC">
            <w:pPr>
              <w:jc w:val="both"/>
              <w:rPr>
                <w:rFonts w:ascii="Arial Narrow" w:hAnsi="Arial Narrow"/>
                <w:lang w:eastAsia="es-ES"/>
              </w:rPr>
            </w:pPr>
            <w:r w:rsidRPr="00EB14DE">
              <w:rPr>
                <w:rFonts w:ascii="Arial Narrow" w:hAnsi="Arial Narrow"/>
              </w:rPr>
              <w:t>La liquidación definitiva de los Mini Contratos de Futuros Índice Accionario COLCAP será el primer día hábil siguiente al último día de negociación.</w:t>
            </w:r>
          </w:p>
        </w:tc>
      </w:tr>
      <w:tr w:rsidR="007968EC" w:rsidRPr="00EB14DE" w14:paraId="7637ED2B" w14:textId="77777777" w:rsidTr="007968EC">
        <w:tc>
          <w:tcPr>
            <w:tcW w:w="3622" w:type="dxa"/>
            <w:shd w:val="clear" w:color="auto" w:fill="BFBFBF" w:themeFill="background1" w:themeFillShade="BF"/>
          </w:tcPr>
          <w:p w14:paraId="7DCC1B6F" w14:textId="77777777" w:rsidR="007968EC" w:rsidRPr="00EB14DE" w:rsidRDefault="007968EC" w:rsidP="007968EC">
            <w:pPr>
              <w:jc w:val="both"/>
              <w:rPr>
                <w:rFonts w:ascii="Arial Narrow" w:hAnsi="Arial Narrow"/>
                <w:lang w:eastAsia="es-ES"/>
              </w:rPr>
            </w:pPr>
            <w:r w:rsidRPr="00EB14DE">
              <w:rPr>
                <w:rFonts w:ascii="Arial Narrow" w:hAnsi="Arial Narrow"/>
                <w:lang w:eastAsia="es-ES"/>
              </w:rPr>
              <w:t>Inscripción</w:t>
            </w:r>
          </w:p>
        </w:tc>
        <w:tc>
          <w:tcPr>
            <w:tcW w:w="5078" w:type="dxa"/>
          </w:tcPr>
          <w:p w14:paraId="1A4578CC" w14:textId="77777777" w:rsidR="007968EC" w:rsidRPr="00EB14DE" w:rsidRDefault="007968EC" w:rsidP="007968EC">
            <w:pPr>
              <w:jc w:val="both"/>
              <w:rPr>
                <w:rFonts w:ascii="Arial Narrow" w:hAnsi="Arial Narrow"/>
                <w:lang w:eastAsia="es-ES"/>
              </w:rPr>
            </w:pPr>
            <w:r w:rsidRPr="00EB14DE">
              <w:rPr>
                <w:rFonts w:ascii="Arial Narrow" w:hAnsi="Arial Narrow"/>
                <w:lang w:eastAsia="es-ES"/>
              </w:rPr>
              <w:t>Bolsa de Valores de Colombia – BVC.</w:t>
            </w:r>
          </w:p>
        </w:tc>
      </w:tr>
    </w:tbl>
    <w:p w14:paraId="5A927A43" w14:textId="77777777" w:rsidR="007968EC" w:rsidRPr="00EB14DE" w:rsidRDefault="007968EC" w:rsidP="007968EC">
      <w:pPr>
        <w:autoSpaceDE w:val="0"/>
        <w:autoSpaceDN w:val="0"/>
        <w:adjustRightInd w:val="0"/>
        <w:jc w:val="both"/>
        <w:rPr>
          <w:rFonts w:ascii="Arial Narrow" w:hAnsi="Arial Narrow" w:cs="Arial"/>
          <w:bCs/>
          <w:color w:val="000000" w:themeColor="text1"/>
          <w:lang w:val="es-ES" w:eastAsia="es-ES"/>
        </w:rPr>
      </w:pPr>
    </w:p>
    <w:p w14:paraId="40694F0E" w14:textId="77777777" w:rsidR="007968EC" w:rsidRPr="00EB14DE" w:rsidRDefault="007968EC" w:rsidP="007968EC">
      <w:pPr>
        <w:autoSpaceDE w:val="0"/>
        <w:autoSpaceDN w:val="0"/>
        <w:adjustRightInd w:val="0"/>
        <w:jc w:val="both"/>
        <w:rPr>
          <w:rFonts w:ascii="Arial Narrow" w:hAnsi="Arial Narrow" w:cs="Arial"/>
          <w:bCs/>
          <w:color w:val="000000" w:themeColor="text1"/>
          <w:lang w:val="es-ES" w:eastAsia="es-ES"/>
        </w:rPr>
      </w:pPr>
      <w:r w:rsidRPr="00EB14DE">
        <w:rPr>
          <w:rFonts w:ascii="Arial Narrow" w:hAnsi="Arial Narrow" w:cs="Arial"/>
          <w:bCs/>
          <w:color w:val="000000" w:themeColor="text1"/>
          <w:lang w:val="es-ES" w:eastAsia="es-ES"/>
        </w:rPr>
        <w:t xml:space="preserve">A este Instrumento </w:t>
      </w:r>
      <w:r>
        <w:rPr>
          <w:rFonts w:ascii="Arial Narrow" w:hAnsi="Arial Narrow" w:cs="Arial"/>
          <w:bCs/>
          <w:color w:val="000000" w:themeColor="text1"/>
          <w:lang w:val="es-ES" w:eastAsia="es-ES"/>
        </w:rPr>
        <w:t xml:space="preserve">de </w:t>
      </w:r>
      <w:r w:rsidRPr="00EB14DE">
        <w:rPr>
          <w:rFonts w:ascii="Arial Narrow" w:hAnsi="Arial Narrow" w:cs="Arial"/>
          <w:bCs/>
          <w:color w:val="000000" w:themeColor="text1"/>
          <w:lang w:val="es-ES" w:eastAsia="es-ES"/>
        </w:rPr>
        <w:t xml:space="preserve">Mini Contrato de Futuro Índice Accionario COLCAP le aplican las condiciones previstas en </w:t>
      </w:r>
      <w:r>
        <w:rPr>
          <w:rFonts w:ascii="Arial Narrow" w:hAnsi="Arial Narrow" w:cs="Arial"/>
          <w:bCs/>
          <w:color w:val="000000" w:themeColor="text1"/>
          <w:lang w:val="es-ES" w:eastAsia="es-ES"/>
        </w:rPr>
        <w:t>e</w:t>
      </w:r>
      <w:r w:rsidRPr="00EB14DE">
        <w:rPr>
          <w:rFonts w:ascii="Arial Narrow" w:hAnsi="Arial Narrow" w:cs="Arial"/>
          <w:bCs/>
          <w:color w:val="000000" w:themeColor="text1"/>
          <w:lang w:val="es-ES" w:eastAsia="es-ES"/>
        </w:rPr>
        <w:t>l</w:t>
      </w:r>
      <w:r>
        <w:rPr>
          <w:rFonts w:ascii="Arial Narrow" w:hAnsi="Arial Narrow" w:cs="Arial"/>
          <w:bCs/>
          <w:color w:val="000000" w:themeColor="text1"/>
          <w:lang w:val="es-ES" w:eastAsia="es-ES"/>
        </w:rPr>
        <w:t xml:space="preserve"> </w:t>
      </w:r>
      <w:r w:rsidRPr="00EB14DE">
        <w:rPr>
          <w:rFonts w:ascii="Arial Narrow" w:hAnsi="Arial Narrow" w:cs="Arial"/>
          <w:bCs/>
          <w:color w:val="000000" w:themeColor="text1"/>
          <w:lang w:val="es-ES" w:eastAsia="es-ES"/>
        </w:rPr>
        <w:t>numeral 3 del artículo 2.7.2.1. de la Circular Única de la Cámara de Riesgo Central de Contraparte de Colombia S.A.</w:t>
      </w:r>
    </w:p>
    <w:p w14:paraId="230AA973" w14:textId="77777777" w:rsidR="007968EC" w:rsidRPr="00EB14DE" w:rsidRDefault="007968EC" w:rsidP="007968EC">
      <w:pPr>
        <w:jc w:val="both"/>
        <w:rPr>
          <w:rFonts w:ascii="Arial Narrow" w:eastAsia="Calibri" w:hAnsi="Arial Narrow" w:cs="Arial Narrow"/>
          <w:bCs/>
          <w:color w:val="000000" w:themeColor="text1"/>
        </w:rPr>
      </w:pPr>
    </w:p>
    <w:p w14:paraId="6B1360B0" w14:textId="77777777" w:rsidR="007968EC" w:rsidRPr="00EB14DE" w:rsidRDefault="007968EC" w:rsidP="00DA7472">
      <w:pPr>
        <w:numPr>
          <w:ilvl w:val="0"/>
          <w:numId w:val="309"/>
        </w:numPr>
        <w:ind w:left="426" w:hanging="426"/>
        <w:contextualSpacing/>
        <w:jc w:val="both"/>
        <w:rPr>
          <w:rFonts w:ascii="Arial Narrow" w:eastAsia="Calibri" w:hAnsi="Arial Narrow" w:cs="Arial Narrow"/>
          <w:bCs/>
          <w:color w:val="000000" w:themeColor="text1"/>
        </w:rPr>
      </w:pPr>
      <w:r w:rsidRPr="00EB14DE">
        <w:rPr>
          <w:rFonts w:ascii="Arial Narrow" w:eastAsia="Calibri" w:hAnsi="Arial Narrow" w:cs="Arial Narrow"/>
          <w:bCs/>
          <w:color w:val="000000" w:themeColor="text1"/>
        </w:rPr>
        <w:t>Activos recibidos en garantía: se podrá constituir como Garantía por Posición para garantizar Posiciones Abiertas en Mini Contrato de Futuro Índice Accionario COLCAP acciones que sean Activo Subyacente de un Contrato de Derivado cuyas operaciones sean susceptibles de ser Aceptadas por la Cámara.</w:t>
      </w:r>
    </w:p>
    <w:p w14:paraId="61713DD1" w14:textId="77777777" w:rsidR="007968EC" w:rsidRPr="00EB14DE" w:rsidRDefault="007968EC" w:rsidP="007968EC">
      <w:pPr>
        <w:ind w:left="426"/>
        <w:contextualSpacing/>
        <w:jc w:val="both"/>
        <w:rPr>
          <w:rFonts w:ascii="Arial Narrow" w:eastAsia="Calibri" w:hAnsi="Arial Narrow" w:cs="Arial Narrow"/>
          <w:bCs/>
          <w:color w:val="000000" w:themeColor="text1"/>
        </w:rPr>
      </w:pPr>
    </w:p>
    <w:p w14:paraId="505D5AC2" w14:textId="77777777" w:rsidR="007968EC" w:rsidRPr="00EB14DE" w:rsidRDefault="007968EC" w:rsidP="007968EC">
      <w:pPr>
        <w:ind w:left="426"/>
        <w:contextualSpacing/>
        <w:jc w:val="both"/>
        <w:rPr>
          <w:rFonts w:ascii="Arial Narrow" w:eastAsia="Calibri" w:hAnsi="Arial Narrow" w:cs="Arial Narrow"/>
          <w:bCs/>
          <w:color w:val="000000" w:themeColor="text1"/>
        </w:rPr>
      </w:pPr>
      <w:r w:rsidRPr="00EB14DE">
        <w:rPr>
          <w:rFonts w:ascii="Arial Narrow" w:eastAsia="Calibri" w:hAnsi="Arial Narrow" w:cs="Arial Narrow"/>
          <w:bCs/>
          <w:color w:val="000000" w:themeColor="text1"/>
        </w:rPr>
        <w:lastRenderedPageBreak/>
        <w:t>Para que las acciones depositadas en la Cámara como Garantía por Posición de una Posición Abierta en Mini Contrato de Futuros Índice Accionario COLCAP computen para el cálculo del Riesgo por Operativa Diaria Cliente/Titular, el titular de la Cuenta deberá cumplir con los siguientes requisitos:</w:t>
      </w:r>
    </w:p>
    <w:p w14:paraId="286FAA88" w14:textId="77777777" w:rsidR="007968EC" w:rsidRPr="00EB14DE" w:rsidRDefault="007968EC" w:rsidP="007968EC">
      <w:pPr>
        <w:jc w:val="both"/>
        <w:rPr>
          <w:rFonts w:ascii="Arial Narrow" w:eastAsia="Calibri" w:hAnsi="Arial Narrow" w:cs="Arial Narrow"/>
          <w:bCs/>
          <w:color w:val="000000" w:themeColor="text1"/>
        </w:rPr>
      </w:pPr>
    </w:p>
    <w:p w14:paraId="5EEDE604" w14:textId="77777777" w:rsidR="007968EC" w:rsidRPr="00EB14DE" w:rsidRDefault="007968EC" w:rsidP="00DA7472">
      <w:pPr>
        <w:numPr>
          <w:ilvl w:val="1"/>
          <w:numId w:val="214"/>
        </w:numPr>
        <w:ind w:left="851" w:hanging="425"/>
        <w:contextualSpacing/>
        <w:jc w:val="both"/>
        <w:rPr>
          <w:rFonts w:ascii="Arial Narrow" w:eastAsia="Calibri" w:hAnsi="Arial Narrow" w:cs="Arial Narrow"/>
          <w:bCs/>
          <w:color w:val="000000" w:themeColor="text1"/>
        </w:rPr>
      </w:pPr>
      <w:r w:rsidRPr="00EB14DE">
        <w:rPr>
          <w:rFonts w:ascii="Arial Narrow" w:eastAsia="Calibri" w:hAnsi="Arial Narrow" w:cs="Arial Narrow"/>
          <w:bCs/>
          <w:color w:val="000000" w:themeColor="text1"/>
        </w:rPr>
        <w:t>La cuenta cuyas Posiciones Abiertas pretendan garantizarse deberá destinarse exclusivamente al registro de operaciones de Contratos de Futuro sobre Acciones del Índice COLCAP con Liquidación por Diferencias, de Contratos de Futuro sobre Acciones del Índice COLCAP con Liquidación por Entrega, de Contratos de Futuros Índice Accionario COLCAP y/o de Mini Contrato de Futuro Índice Accionario COLCAP.</w:t>
      </w:r>
    </w:p>
    <w:p w14:paraId="679E13A6" w14:textId="77777777" w:rsidR="007968EC" w:rsidRPr="00EB14DE" w:rsidRDefault="007968EC" w:rsidP="007968EC">
      <w:pPr>
        <w:ind w:left="851"/>
        <w:contextualSpacing/>
        <w:jc w:val="both"/>
        <w:rPr>
          <w:rFonts w:ascii="Arial Narrow" w:eastAsia="Calibri" w:hAnsi="Arial Narrow" w:cs="Arial Narrow"/>
          <w:bCs/>
          <w:color w:val="000000" w:themeColor="text1"/>
        </w:rPr>
      </w:pPr>
    </w:p>
    <w:p w14:paraId="3664AC3C" w14:textId="77777777" w:rsidR="007968EC" w:rsidRPr="00EB14DE" w:rsidRDefault="007968EC" w:rsidP="00DA7472">
      <w:pPr>
        <w:numPr>
          <w:ilvl w:val="1"/>
          <w:numId w:val="214"/>
        </w:numPr>
        <w:ind w:left="851" w:hanging="425"/>
        <w:contextualSpacing/>
        <w:jc w:val="both"/>
        <w:rPr>
          <w:rFonts w:ascii="Arial Narrow" w:eastAsia="Calibri" w:hAnsi="Arial Narrow" w:cs="Arial Narrow"/>
          <w:bCs/>
          <w:color w:val="000000" w:themeColor="text1"/>
        </w:rPr>
      </w:pPr>
      <w:r w:rsidRPr="00EB14DE">
        <w:rPr>
          <w:rFonts w:ascii="Arial Narrow" w:eastAsia="Calibri" w:hAnsi="Arial Narrow" w:cs="Arial Narrow"/>
          <w:bCs/>
          <w:color w:val="000000" w:themeColor="text1"/>
        </w:rPr>
        <w:t>El Administrador del Miembro deberá informar a través del SAS que la Cuenta se destinará al registro exclusivo de Operaciones de Contratos de Futuros sobre Acciones del Índice COLCAP con Liquidación por Diferencias, de Contratos de Futuro sobre Acciones del Índice COLCAP con Liquidación por Entrega, de Contratos de Futuros Índice Accionario COLCAP y/o de Mini Contrato de Futuro Índice Accionario COLCAP.</w:t>
      </w:r>
    </w:p>
    <w:p w14:paraId="4F3046F9" w14:textId="77777777" w:rsidR="007968EC" w:rsidRPr="00EB14DE" w:rsidRDefault="007968EC" w:rsidP="007968EC">
      <w:pPr>
        <w:contextualSpacing/>
        <w:rPr>
          <w:rFonts w:ascii="Arial Narrow" w:eastAsia="Calibri" w:hAnsi="Arial Narrow" w:cs="Arial Narrow"/>
          <w:bCs/>
          <w:color w:val="000000" w:themeColor="text1"/>
        </w:rPr>
      </w:pPr>
    </w:p>
    <w:p w14:paraId="0A1F9BBF" w14:textId="77777777" w:rsidR="007968EC" w:rsidRPr="00EB14DE" w:rsidRDefault="007968EC" w:rsidP="00DA7472">
      <w:pPr>
        <w:numPr>
          <w:ilvl w:val="1"/>
          <w:numId w:val="214"/>
        </w:numPr>
        <w:ind w:left="851" w:hanging="425"/>
        <w:contextualSpacing/>
        <w:jc w:val="both"/>
        <w:rPr>
          <w:rFonts w:ascii="Arial Narrow" w:eastAsia="Calibri" w:hAnsi="Arial Narrow" w:cs="Arial Narrow"/>
          <w:bCs/>
          <w:color w:val="000000" w:themeColor="text1"/>
        </w:rPr>
      </w:pPr>
      <w:r w:rsidRPr="00EB14DE">
        <w:rPr>
          <w:rFonts w:ascii="Arial Narrow" w:eastAsia="Calibri" w:hAnsi="Arial Narrow" w:cs="Arial Narrow"/>
          <w:bCs/>
          <w:color w:val="000000" w:themeColor="text1"/>
        </w:rPr>
        <w:t xml:space="preserve">El límite máximo de Garantías por Posición a constituir en acciones para cubrir los requerimientos de Garantías por Posición de la respectiva Cuenta calculado por la Cámara será aquel que represente el 30% del promedio diario del valor negociado en el mercado de contado de la acción correspondiente durante el mes inmediatamente anterior. </w:t>
      </w:r>
    </w:p>
    <w:p w14:paraId="79A6A754" w14:textId="77777777" w:rsidR="007968EC" w:rsidRPr="00EB14DE" w:rsidRDefault="007968EC" w:rsidP="007968EC">
      <w:pPr>
        <w:jc w:val="both"/>
        <w:rPr>
          <w:rFonts w:ascii="Arial Narrow" w:eastAsia="Calibri" w:hAnsi="Arial Narrow" w:cs="Arial Narrow"/>
          <w:bCs/>
          <w:color w:val="000000" w:themeColor="text1"/>
        </w:rPr>
      </w:pPr>
    </w:p>
    <w:p w14:paraId="096E4385" w14:textId="77777777" w:rsidR="007968EC" w:rsidRPr="00EB14DE" w:rsidRDefault="007968EC" w:rsidP="007968EC">
      <w:pPr>
        <w:ind w:left="851"/>
        <w:jc w:val="both"/>
        <w:rPr>
          <w:rFonts w:ascii="Arial Narrow" w:eastAsia="Calibri" w:hAnsi="Arial Narrow" w:cs="Arial Narrow"/>
          <w:bCs/>
          <w:color w:val="000000" w:themeColor="text1"/>
        </w:rPr>
      </w:pPr>
      <w:r w:rsidRPr="00EB14DE">
        <w:rPr>
          <w:rFonts w:ascii="Arial Narrow" w:eastAsia="Calibri" w:hAnsi="Arial Narrow" w:cs="Arial Narrow"/>
          <w:bCs/>
          <w:color w:val="000000" w:themeColor="text1"/>
        </w:rPr>
        <w:t xml:space="preserve">El cálculo del límite se hará frente a la sumatoria de las acciones constituidas como Garantías por Posición de todas las Cuentas de la estructura de Cuentas de un Miembro Liquidador.  </w:t>
      </w:r>
    </w:p>
    <w:p w14:paraId="6620FE7C" w14:textId="77777777" w:rsidR="007968EC" w:rsidRPr="00EB14DE" w:rsidRDefault="007968EC" w:rsidP="007968EC">
      <w:pPr>
        <w:ind w:left="851"/>
        <w:jc w:val="both"/>
        <w:rPr>
          <w:rFonts w:ascii="Arial Narrow" w:eastAsia="Calibri" w:hAnsi="Arial Narrow" w:cs="Arial Narrow"/>
          <w:bCs/>
          <w:color w:val="000000" w:themeColor="text1"/>
        </w:rPr>
      </w:pPr>
    </w:p>
    <w:p w14:paraId="1ACFCB97" w14:textId="77777777" w:rsidR="007968EC" w:rsidRPr="00EB14DE" w:rsidRDefault="007968EC" w:rsidP="007968EC">
      <w:pPr>
        <w:ind w:left="851"/>
        <w:jc w:val="both"/>
        <w:rPr>
          <w:rFonts w:ascii="Arial Narrow" w:eastAsia="Calibri" w:hAnsi="Arial Narrow" w:cs="Arial Narrow"/>
          <w:bCs/>
          <w:color w:val="000000" w:themeColor="text1"/>
        </w:rPr>
      </w:pPr>
      <w:r w:rsidRPr="00EB14DE">
        <w:rPr>
          <w:rFonts w:ascii="Arial Narrow" w:eastAsia="Calibri" w:hAnsi="Arial Narrow" w:cs="Arial Narrow"/>
          <w:bCs/>
          <w:color w:val="000000" w:themeColor="text1"/>
        </w:rPr>
        <w:t>En el evento en que el titular de Cuenta registre operaciones distintas a operaciones de Contratos de Futuro sobre Acciones del Índice COLCAP con Liquidación por Diferencias, de Contratos de Futuro sobre Acciones del Índice COLCAP con Liquidación por Entrega, de Contratos de Futuros Índice Accionario COLCAP y/o de Mini Contrato de Futuro Índice Accionario COLCAP, las acciones entregadas como garantía sólo computarán para el cálculo de la Garantía por Posición exigida, si antes de finalizar la Sesión de Cierre de Cámara del mismo día en que se registraron dichas Operaciones, el titular de la Cuenta realiza el cierre de tales Posiciones Abiertas, o realiza alguno de los tipos de gestión de Operaciones indicados en el Capítulo Segundo del Título Cuarto de la presente Circular.</w:t>
      </w:r>
    </w:p>
    <w:p w14:paraId="30C232F4" w14:textId="77777777" w:rsidR="007968EC" w:rsidRPr="00EB14DE" w:rsidRDefault="007968EC" w:rsidP="007968EC">
      <w:pPr>
        <w:ind w:left="851"/>
        <w:jc w:val="both"/>
        <w:rPr>
          <w:rFonts w:ascii="Arial Narrow" w:eastAsia="Calibri" w:hAnsi="Arial Narrow" w:cs="Arial Narrow"/>
          <w:bCs/>
          <w:color w:val="000000" w:themeColor="text1"/>
        </w:rPr>
      </w:pPr>
    </w:p>
    <w:p w14:paraId="25297EFA" w14:textId="77777777" w:rsidR="007968EC" w:rsidRPr="00EB14DE" w:rsidRDefault="007968EC" w:rsidP="007968EC">
      <w:pPr>
        <w:ind w:left="851"/>
        <w:jc w:val="both"/>
        <w:rPr>
          <w:rFonts w:ascii="Arial Narrow" w:eastAsia="Calibri" w:hAnsi="Arial Narrow" w:cs="Arial Narrow"/>
          <w:bCs/>
          <w:color w:val="000000" w:themeColor="text1"/>
        </w:rPr>
      </w:pPr>
      <w:r w:rsidRPr="00EB14DE">
        <w:rPr>
          <w:rFonts w:ascii="Arial Narrow" w:eastAsia="Calibri" w:hAnsi="Arial Narrow" w:cs="Arial Narrow"/>
          <w:bCs/>
          <w:color w:val="000000" w:themeColor="text1"/>
        </w:rPr>
        <w:t>En caso contrario, el titular de la Cuenta deberá constituir las garantías exigidas en los Activos indicados en los numerales 1 y 2 del artículo 1.6.4.1. de la presenta Circular.</w:t>
      </w:r>
    </w:p>
    <w:p w14:paraId="43F90979" w14:textId="77777777" w:rsidR="007968EC" w:rsidRPr="00EB14DE" w:rsidRDefault="007968EC" w:rsidP="007968EC">
      <w:pPr>
        <w:ind w:left="851"/>
        <w:jc w:val="both"/>
        <w:rPr>
          <w:rFonts w:ascii="Arial Narrow" w:eastAsia="Calibri" w:hAnsi="Arial Narrow" w:cs="Arial Narrow"/>
          <w:bCs/>
          <w:color w:val="000000" w:themeColor="text1"/>
        </w:rPr>
      </w:pPr>
    </w:p>
    <w:p w14:paraId="43ED39D4" w14:textId="77777777" w:rsidR="007968EC" w:rsidRPr="00EB14DE" w:rsidRDefault="007968EC" w:rsidP="007968EC">
      <w:pPr>
        <w:ind w:left="851"/>
        <w:jc w:val="both"/>
        <w:rPr>
          <w:rFonts w:ascii="Arial Narrow" w:eastAsia="Calibri" w:hAnsi="Arial Narrow" w:cs="Arial Narrow"/>
          <w:bCs/>
          <w:color w:val="000000" w:themeColor="text1"/>
        </w:rPr>
      </w:pPr>
      <w:r w:rsidRPr="00EB14DE">
        <w:rPr>
          <w:rFonts w:ascii="Arial Narrow" w:eastAsia="Calibri" w:hAnsi="Arial Narrow" w:cs="Arial Narrow"/>
          <w:bCs/>
          <w:color w:val="000000" w:themeColor="text1"/>
        </w:rPr>
        <w:t>Igualmente, en el evento en que se exceda el límite máximo de Garantías por Posición a constituir en acciones de conformidad con lo dispuesto en el literal c. anterior, el Miembro Liquidador deberá proceder a la constitución de garantías exigidas en los Activos indicados en los numerales 1 y 2 del artículo 1.6.4.1. de la presente Circular, por la diferencia entre el límite máximo y el valor de la garantía exigida.</w:t>
      </w:r>
    </w:p>
    <w:p w14:paraId="7ED04FCE" w14:textId="77777777" w:rsidR="007968EC" w:rsidRPr="00EB14DE" w:rsidRDefault="007968EC" w:rsidP="007968EC">
      <w:pPr>
        <w:ind w:left="851"/>
        <w:jc w:val="both"/>
        <w:rPr>
          <w:rFonts w:ascii="Arial Narrow" w:eastAsia="Calibri" w:hAnsi="Arial Narrow" w:cs="Arial Narrow"/>
          <w:bCs/>
          <w:color w:val="000000" w:themeColor="text1"/>
        </w:rPr>
      </w:pPr>
    </w:p>
    <w:p w14:paraId="18929137" w14:textId="77777777" w:rsidR="007968EC" w:rsidRPr="008731C2" w:rsidRDefault="007968EC" w:rsidP="007968EC">
      <w:pPr>
        <w:keepNext/>
        <w:autoSpaceDE w:val="0"/>
        <w:autoSpaceDN w:val="0"/>
        <w:ind w:left="851"/>
        <w:contextualSpacing/>
        <w:jc w:val="both"/>
        <w:rPr>
          <w:rFonts w:ascii="Arial Narrow" w:hAnsi="Arial Narrow" w:cs="Arial"/>
          <w:bCs/>
          <w:color w:val="000000" w:themeColor="text1"/>
          <w:lang w:val="es-ES" w:eastAsia="es-ES"/>
        </w:rPr>
      </w:pPr>
      <w:r w:rsidRPr="008731C2">
        <w:rPr>
          <w:rFonts w:ascii="Arial Narrow" w:eastAsia="Calibri" w:hAnsi="Arial Narrow" w:cs="Arial Narrow"/>
        </w:rPr>
        <w:lastRenderedPageBreak/>
        <w:t>La constitución de las garantías deberá llevarse a cabo de conformidad con lo previsto en los artículos 1.6.4.3., 1.6.4.4. y 1.6.4.5. de la presente Circular</w:t>
      </w:r>
      <w:r>
        <w:rPr>
          <w:rFonts w:ascii="Arial Narrow" w:eastAsia="Calibri" w:hAnsi="Arial Narrow" w:cs="Arial Narrow"/>
        </w:rPr>
        <w:t>.</w:t>
      </w:r>
    </w:p>
    <w:p w14:paraId="49D9BCBA" w14:textId="77777777" w:rsidR="007968EC" w:rsidRPr="009A04C1" w:rsidRDefault="007968EC" w:rsidP="007968EC">
      <w:pPr>
        <w:autoSpaceDE w:val="0"/>
        <w:autoSpaceDN w:val="0"/>
        <w:adjustRightInd w:val="0"/>
        <w:jc w:val="both"/>
        <w:rPr>
          <w:rFonts w:ascii="Arial Narrow" w:eastAsia="Calibri" w:hAnsi="Arial Narrow"/>
          <w:b/>
          <w:color w:val="000000" w:themeColor="text1"/>
        </w:rPr>
      </w:pPr>
    </w:p>
    <w:p w14:paraId="412A0BEE" w14:textId="77777777" w:rsidR="007968EC" w:rsidRDefault="007968EC" w:rsidP="007968EC">
      <w:pPr>
        <w:pStyle w:val="ANTECEDENTES"/>
        <w:rPr>
          <w:rFonts w:eastAsia="Calibri"/>
        </w:rPr>
      </w:pPr>
      <w:bookmarkStart w:id="5317" w:name="_Toc470781173"/>
      <w:bookmarkStart w:id="5318" w:name="_Toc470784734"/>
      <w:bookmarkStart w:id="5319" w:name="_Toc470785271"/>
      <w:bookmarkStart w:id="5320" w:name="_Toc470791665"/>
      <w:bookmarkStart w:id="5321" w:name="_Toc479057219"/>
      <w:bookmarkStart w:id="5322" w:name="_Toc490066578"/>
    </w:p>
    <w:p w14:paraId="05187392" w14:textId="77777777" w:rsidR="007968EC" w:rsidRPr="004A6C13" w:rsidRDefault="007968EC" w:rsidP="007968EC">
      <w:pPr>
        <w:pStyle w:val="ANTECEDENTES"/>
        <w:rPr>
          <w:rFonts w:eastAsia="Calibri"/>
        </w:rPr>
      </w:pPr>
    </w:p>
    <w:p w14:paraId="16164DCE" w14:textId="77777777" w:rsidR="007968EC" w:rsidRPr="002C0D19" w:rsidRDefault="007968EC" w:rsidP="007968EC">
      <w:pPr>
        <w:pStyle w:val="TTULO"/>
        <w:rPr>
          <w:rFonts w:eastAsia="Calibri" w:cs="Times New Roman"/>
          <w:color w:val="000000" w:themeColor="text1"/>
          <w:lang w:val="es-ES"/>
        </w:rPr>
      </w:pPr>
      <w:bookmarkStart w:id="5323" w:name="_Toc31716242"/>
      <w:r w:rsidRPr="002C0D19">
        <w:rPr>
          <w:rFonts w:eastAsia="Calibri"/>
          <w:lang w:val="es-ES"/>
        </w:rPr>
        <w:t>PARTE</w:t>
      </w:r>
      <w:r w:rsidRPr="002C0D19">
        <w:rPr>
          <w:rFonts w:eastAsia="Calibri" w:cs="Times New Roman"/>
          <w:color w:val="000000" w:themeColor="text1"/>
          <w:lang w:val="es-ES"/>
        </w:rPr>
        <w:t xml:space="preserve"> III</w:t>
      </w:r>
      <w:bookmarkEnd w:id="5317"/>
      <w:bookmarkEnd w:id="5318"/>
      <w:bookmarkEnd w:id="5319"/>
      <w:bookmarkEnd w:id="5320"/>
      <w:bookmarkEnd w:id="5321"/>
      <w:bookmarkEnd w:id="5322"/>
      <w:bookmarkEnd w:id="5323"/>
    </w:p>
    <w:p w14:paraId="70B3A04A" w14:textId="77777777" w:rsidR="007968EC" w:rsidRPr="002C0D19" w:rsidRDefault="007968EC" w:rsidP="007968EC">
      <w:pPr>
        <w:pStyle w:val="ANTECEDENTES"/>
        <w:rPr>
          <w:rFonts w:eastAsia="Calibri"/>
        </w:rPr>
      </w:pPr>
    </w:p>
    <w:p w14:paraId="36192986" w14:textId="77777777" w:rsidR="007968EC" w:rsidRPr="002C0D19" w:rsidRDefault="007968EC" w:rsidP="007968EC">
      <w:pPr>
        <w:pStyle w:val="TTULO"/>
        <w:rPr>
          <w:rFonts w:eastAsia="Calibri" w:cs="Times New Roman"/>
          <w:color w:val="000000" w:themeColor="text1"/>
          <w:lang w:val="es-ES"/>
        </w:rPr>
      </w:pPr>
      <w:bookmarkStart w:id="5324" w:name="_Toc470781174"/>
      <w:bookmarkStart w:id="5325" w:name="_Toc470784735"/>
      <w:bookmarkStart w:id="5326" w:name="_Toc470785272"/>
      <w:bookmarkStart w:id="5327" w:name="_Toc470791666"/>
      <w:bookmarkStart w:id="5328" w:name="_Toc479057220"/>
      <w:bookmarkStart w:id="5329" w:name="_Toc490066579"/>
      <w:bookmarkStart w:id="5330" w:name="_Toc31716243"/>
      <w:r w:rsidRPr="002C0D19">
        <w:rPr>
          <w:rFonts w:eastAsia="Calibri" w:cs="Times New Roman"/>
          <w:color w:val="000000" w:themeColor="text1"/>
          <w:lang w:val="es-ES"/>
        </w:rPr>
        <w:t xml:space="preserve">SEGMENTO </w:t>
      </w:r>
      <w:r w:rsidRPr="002C0D19">
        <w:rPr>
          <w:rFonts w:eastAsia="Calibri"/>
          <w:lang w:val="es-ES"/>
        </w:rPr>
        <w:t>RENTA</w:t>
      </w:r>
      <w:r w:rsidRPr="002C0D19">
        <w:rPr>
          <w:rFonts w:eastAsia="Calibri" w:cs="Times New Roman"/>
          <w:color w:val="000000" w:themeColor="text1"/>
          <w:lang w:val="es-ES"/>
        </w:rPr>
        <w:t xml:space="preserve"> FIJA</w:t>
      </w:r>
      <w:bookmarkEnd w:id="5324"/>
      <w:bookmarkEnd w:id="5325"/>
      <w:bookmarkEnd w:id="5326"/>
      <w:bookmarkEnd w:id="5327"/>
      <w:bookmarkEnd w:id="5328"/>
      <w:bookmarkEnd w:id="5329"/>
      <w:bookmarkEnd w:id="5330"/>
    </w:p>
    <w:p w14:paraId="7E5AD038" w14:textId="77777777" w:rsidR="007968EC" w:rsidRPr="002C0D19" w:rsidRDefault="007968EC" w:rsidP="007968EC">
      <w:pPr>
        <w:pStyle w:val="ANTECEDENTES"/>
        <w:rPr>
          <w:rFonts w:eastAsia="Calibri"/>
        </w:rPr>
      </w:pPr>
    </w:p>
    <w:p w14:paraId="7CF2ECAD" w14:textId="77777777" w:rsidR="007968EC" w:rsidRPr="002F6334" w:rsidRDefault="007968EC" w:rsidP="007968EC">
      <w:pPr>
        <w:pStyle w:val="ANTECEDENTES"/>
        <w:jc w:val="center"/>
      </w:pPr>
      <w:r w:rsidRPr="002F6334">
        <w:t>(Esta Parte III fue adicionada mediante Circular 19 del 28 de diciembre de 2016, publicada en el Boletín Normativo No. 024 del 28 de diciembre de 2016. Rige a partir del 29 de diciembre de 2016.)</w:t>
      </w:r>
    </w:p>
    <w:p w14:paraId="0E6E9E43" w14:textId="77777777" w:rsidR="007968EC" w:rsidRPr="004A6C13" w:rsidRDefault="007968EC" w:rsidP="007968EC">
      <w:pPr>
        <w:pStyle w:val="ANTECEDENTES"/>
        <w:rPr>
          <w:rFonts w:eastAsia="Calibri"/>
        </w:rPr>
      </w:pPr>
      <w:bookmarkStart w:id="5331" w:name="_Toc470781175"/>
      <w:bookmarkStart w:id="5332" w:name="_Toc470784736"/>
      <w:bookmarkStart w:id="5333" w:name="_Toc470785273"/>
      <w:bookmarkStart w:id="5334" w:name="_Toc470791667"/>
      <w:bookmarkStart w:id="5335" w:name="_Toc472592408"/>
      <w:bookmarkStart w:id="5336" w:name="_Toc472593427"/>
      <w:bookmarkStart w:id="5337" w:name="_Toc479057221"/>
      <w:bookmarkStart w:id="5338" w:name="_Toc490066580"/>
    </w:p>
    <w:p w14:paraId="44BA3C18" w14:textId="77777777" w:rsidR="007968EC" w:rsidRPr="002C0D19" w:rsidRDefault="007968EC" w:rsidP="007968EC">
      <w:pPr>
        <w:pStyle w:val="TTULO"/>
        <w:rPr>
          <w:rFonts w:eastAsia="Calibri"/>
          <w:lang w:val="es-ES"/>
        </w:rPr>
      </w:pPr>
      <w:bookmarkStart w:id="5339" w:name="_Toc31716244"/>
      <w:r w:rsidRPr="002C0D19">
        <w:rPr>
          <w:rFonts w:eastAsia="Calibri"/>
          <w:lang w:val="es-ES"/>
        </w:rPr>
        <w:t>TÍTULO PRIMERO</w:t>
      </w:r>
      <w:bookmarkEnd w:id="5331"/>
      <w:bookmarkEnd w:id="5332"/>
      <w:bookmarkEnd w:id="5333"/>
      <w:bookmarkEnd w:id="5334"/>
      <w:bookmarkEnd w:id="5335"/>
      <w:bookmarkEnd w:id="5336"/>
      <w:bookmarkEnd w:id="5337"/>
      <w:bookmarkEnd w:id="5338"/>
      <w:bookmarkEnd w:id="5339"/>
    </w:p>
    <w:p w14:paraId="37A030B2" w14:textId="77777777" w:rsidR="007968EC" w:rsidRPr="002C0D19" w:rsidRDefault="007968EC" w:rsidP="007968EC">
      <w:pPr>
        <w:pStyle w:val="ANTECEDENTES"/>
        <w:rPr>
          <w:rFonts w:eastAsia="Calibri"/>
        </w:rPr>
      </w:pPr>
    </w:p>
    <w:p w14:paraId="1778FD8D" w14:textId="77777777" w:rsidR="007968EC" w:rsidRPr="002C0D19" w:rsidRDefault="007968EC" w:rsidP="007968EC">
      <w:pPr>
        <w:pStyle w:val="TTULO"/>
        <w:rPr>
          <w:rFonts w:eastAsia="Calibri"/>
          <w:lang w:val="es-ES"/>
        </w:rPr>
      </w:pPr>
      <w:bookmarkStart w:id="5340" w:name="_Toc470781176"/>
      <w:bookmarkStart w:id="5341" w:name="_Toc470784737"/>
      <w:bookmarkStart w:id="5342" w:name="_Toc470785274"/>
      <w:bookmarkStart w:id="5343" w:name="_Toc470791668"/>
      <w:bookmarkStart w:id="5344" w:name="_Toc472592409"/>
      <w:bookmarkStart w:id="5345" w:name="_Toc472593428"/>
      <w:bookmarkStart w:id="5346" w:name="_Toc479057222"/>
      <w:bookmarkStart w:id="5347" w:name="_Toc490066581"/>
      <w:bookmarkStart w:id="5348" w:name="_Toc31716245"/>
      <w:r w:rsidRPr="002C0D19">
        <w:rPr>
          <w:rFonts w:eastAsia="Calibri"/>
          <w:lang w:val="es-ES"/>
        </w:rPr>
        <w:t>MIEMBROS DE LA CÁMARA Y PARTICIPACIÓN EN EL SEGMENTO</w:t>
      </w:r>
      <w:bookmarkEnd w:id="5340"/>
      <w:bookmarkEnd w:id="5341"/>
      <w:bookmarkEnd w:id="5342"/>
      <w:bookmarkEnd w:id="5343"/>
      <w:bookmarkEnd w:id="5344"/>
      <w:bookmarkEnd w:id="5345"/>
      <w:bookmarkEnd w:id="5346"/>
      <w:bookmarkEnd w:id="5347"/>
      <w:bookmarkEnd w:id="5348"/>
    </w:p>
    <w:p w14:paraId="17A3B862" w14:textId="77777777" w:rsidR="007968EC" w:rsidRPr="002C0D19" w:rsidRDefault="007968EC" w:rsidP="007968EC">
      <w:pPr>
        <w:pStyle w:val="ANTECEDENTES"/>
        <w:rPr>
          <w:rFonts w:eastAsia="Calibri"/>
        </w:rPr>
      </w:pPr>
    </w:p>
    <w:p w14:paraId="7EE536E1" w14:textId="77777777" w:rsidR="007968EC" w:rsidRPr="002C0D19" w:rsidRDefault="007968EC" w:rsidP="007968EC">
      <w:pPr>
        <w:pStyle w:val="TTULO"/>
        <w:rPr>
          <w:rFonts w:eastAsia="Calibri"/>
          <w:lang w:val="es-ES"/>
        </w:rPr>
      </w:pPr>
      <w:bookmarkStart w:id="5349" w:name="_Toc470781177"/>
      <w:bookmarkStart w:id="5350" w:name="_Toc470784738"/>
      <w:bookmarkStart w:id="5351" w:name="_Toc470785275"/>
      <w:bookmarkStart w:id="5352" w:name="_Toc470791669"/>
      <w:bookmarkStart w:id="5353" w:name="_Toc472592410"/>
      <w:bookmarkStart w:id="5354" w:name="_Toc472593429"/>
      <w:bookmarkStart w:id="5355" w:name="_Toc479057223"/>
      <w:bookmarkStart w:id="5356" w:name="_Toc490066582"/>
      <w:bookmarkStart w:id="5357" w:name="_Toc31716246"/>
      <w:r w:rsidRPr="002C0D19">
        <w:rPr>
          <w:rFonts w:eastAsia="Calibri"/>
          <w:lang w:val="es-ES"/>
        </w:rPr>
        <w:t>CAPÍTULO PRIMERO</w:t>
      </w:r>
      <w:bookmarkEnd w:id="5349"/>
      <w:bookmarkEnd w:id="5350"/>
      <w:bookmarkEnd w:id="5351"/>
      <w:bookmarkEnd w:id="5352"/>
      <w:bookmarkEnd w:id="5353"/>
      <w:bookmarkEnd w:id="5354"/>
      <w:bookmarkEnd w:id="5355"/>
      <w:bookmarkEnd w:id="5356"/>
      <w:bookmarkEnd w:id="5357"/>
    </w:p>
    <w:p w14:paraId="3A77472E" w14:textId="77777777" w:rsidR="007968EC" w:rsidRPr="002C0D19" w:rsidRDefault="007968EC" w:rsidP="007968EC">
      <w:pPr>
        <w:pStyle w:val="ANTECEDENTES"/>
        <w:rPr>
          <w:rFonts w:eastAsia="Calibri"/>
        </w:rPr>
      </w:pPr>
    </w:p>
    <w:p w14:paraId="0CF289DA" w14:textId="77777777" w:rsidR="007968EC" w:rsidRPr="002C0D19" w:rsidRDefault="007968EC" w:rsidP="007968EC">
      <w:pPr>
        <w:pStyle w:val="TTULO"/>
        <w:rPr>
          <w:rFonts w:eastAsia="Calibri"/>
          <w:lang w:val="es-ES"/>
        </w:rPr>
      </w:pPr>
      <w:bookmarkStart w:id="5358" w:name="_Toc470781178"/>
      <w:bookmarkStart w:id="5359" w:name="_Toc470784739"/>
      <w:bookmarkStart w:id="5360" w:name="_Toc470785276"/>
      <w:bookmarkStart w:id="5361" w:name="_Toc470791670"/>
      <w:bookmarkStart w:id="5362" w:name="_Toc472592411"/>
      <w:bookmarkStart w:id="5363" w:name="_Toc472593430"/>
      <w:bookmarkStart w:id="5364" w:name="_Toc479057224"/>
      <w:bookmarkStart w:id="5365" w:name="_Toc490066583"/>
      <w:bookmarkStart w:id="5366" w:name="_Toc31716247"/>
      <w:r w:rsidRPr="002C0D19">
        <w:rPr>
          <w:rFonts w:eastAsia="Calibri"/>
          <w:lang w:val="es-ES"/>
        </w:rPr>
        <w:t>REQUISITOS DE PARTICIPACIÓN, MODIFICACIÓN Y PERMANENCIA DE LOS MIEMBROS</w:t>
      </w:r>
      <w:bookmarkEnd w:id="5358"/>
      <w:bookmarkEnd w:id="5359"/>
      <w:bookmarkEnd w:id="5360"/>
      <w:bookmarkEnd w:id="5361"/>
      <w:bookmarkEnd w:id="5362"/>
      <w:bookmarkEnd w:id="5363"/>
      <w:bookmarkEnd w:id="5364"/>
      <w:bookmarkEnd w:id="5365"/>
      <w:bookmarkEnd w:id="5366"/>
    </w:p>
    <w:p w14:paraId="4F9F3760" w14:textId="77777777" w:rsidR="007968EC" w:rsidRPr="002C0D19" w:rsidRDefault="007968EC" w:rsidP="007968EC">
      <w:pPr>
        <w:rPr>
          <w:rFonts w:ascii="Arial Narrow" w:eastAsia="Calibri" w:hAnsi="Arial Narrow"/>
          <w:b/>
          <w:color w:val="000000" w:themeColor="text1"/>
        </w:rPr>
      </w:pPr>
    </w:p>
    <w:p w14:paraId="2A1C4D25" w14:textId="77777777" w:rsidR="007968EC" w:rsidRPr="002C0D19" w:rsidRDefault="007968EC" w:rsidP="007968EC">
      <w:pPr>
        <w:rPr>
          <w:rFonts w:ascii="Arial Narrow" w:eastAsia="Calibri" w:hAnsi="Arial Narrow"/>
          <w:b/>
          <w:color w:val="000000" w:themeColor="text1"/>
        </w:rPr>
      </w:pPr>
    </w:p>
    <w:p w14:paraId="1AC8542B" w14:textId="77777777" w:rsidR="007968EC" w:rsidRPr="002C0D19" w:rsidRDefault="007968EC" w:rsidP="007968EC">
      <w:pPr>
        <w:pStyle w:val="ARTICULO0"/>
      </w:pPr>
      <w:bookmarkStart w:id="5367" w:name="_Toc470781179"/>
      <w:bookmarkStart w:id="5368" w:name="_Toc470784740"/>
      <w:bookmarkStart w:id="5369" w:name="_Toc470785277"/>
      <w:bookmarkStart w:id="5370" w:name="_Toc470791671"/>
      <w:bookmarkStart w:id="5371" w:name="_Toc472592412"/>
      <w:bookmarkStart w:id="5372" w:name="_Toc472593431"/>
      <w:bookmarkStart w:id="5373" w:name="_Toc479057225"/>
      <w:bookmarkStart w:id="5374" w:name="_Toc490066584"/>
      <w:bookmarkStart w:id="5375" w:name="_Toc31716248"/>
      <w:r w:rsidRPr="002C0D19">
        <w:t>Artículo 3.1.1.1. Solicitud para participar en el Segmento de Renta Fija y procedimiento operativo de ingreso.</w:t>
      </w:r>
      <w:bookmarkEnd w:id="5367"/>
      <w:bookmarkEnd w:id="5368"/>
      <w:bookmarkEnd w:id="5369"/>
      <w:bookmarkEnd w:id="5370"/>
      <w:bookmarkEnd w:id="5371"/>
      <w:bookmarkEnd w:id="5372"/>
      <w:bookmarkEnd w:id="5373"/>
      <w:bookmarkEnd w:id="5374"/>
      <w:bookmarkEnd w:id="5375"/>
    </w:p>
    <w:p w14:paraId="1251B34A" w14:textId="77777777" w:rsidR="007968EC" w:rsidRPr="002C0D19" w:rsidRDefault="007968EC" w:rsidP="007968EC">
      <w:pPr>
        <w:rPr>
          <w:rFonts w:ascii="Arial Narrow" w:eastAsia="Calibri" w:hAnsi="Arial Narrow"/>
          <w:color w:val="000000" w:themeColor="text1"/>
        </w:rPr>
      </w:pPr>
    </w:p>
    <w:p w14:paraId="6357E42A"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Para participar en la Compensación y Liquidación en el Segmento de Renta Fija, los aspirantes a Miembros de la Cámara deben manifestar su interés de participación en la solicitud de admisión como Miembro en la modalidad de la que se trate, o en cualquier tiempo, una vez hayan sido admitidos, mediante escrito remitido al Gerente de la Cámara, Anexo 1.5.</w:t>
      </w:r>
    </w:p>
    <w:p w14:paraId="3DD907A2" w14:textId="77777777" w:rsidR="007968EC" w:rsidRPr="002C0D19" w:rsidRDefault="007968EC" w:rsidP="007968EC">
      <w:pPr>
        <w:jc w:val="both"/>
        <w:rPr>
          <w:rFonts w:ascii="Arial Narrow" w:eastAsia="Calibri" w:hAnsi="Arial Narrow"/>
          <w:color w:val="000000" w:themeColor="text1"/>
        </w:rPr>
      </w:pPr>
    </w:p>
    <w:p w14:paraId="4A06ACAA"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 xml:space="preserve">El procedimiento operativo de ingreso al Segmento de Renta Fija será el siguiente: </w:t>
      </w:r>
    </w:p>
    <w:p w14:paraId="7D1AD54A" w14:textId="77777777" w:rsidR="007968EC" w:rsidRPr="002C0D19" w:rsidRDefault="007968EC" w:rsidP="007968EC">
      <w:pPr>
        <w:jc w:val="both"/>
        <w:rPr>
          <w:rFonts w:ascii="Arial Narrow" w:eastAsia="Calibri" w:hAnsi="Arial Narrow"/>
          <w:b/>
          <w:color w:val="000000" w:themeColor="text1"/>
        </w:rPr>
      </w:pPr>
    </w:p>
    <w:p w14:paraId="0975686E" w14:textId="77777777" w:rsidR="007968EC" w:rsidRPr="002C0D19" w:rsidRDefault="007968EC" w:rsidP="00DA7472">
      <w:pPr>
        <w:numPr>
          <w:ilvl w:val="0"/>
          <w:numId w:val="224"/>
        </w:numPr>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 xml:space="preserve">Presentar Carta de solicitud de ingreso al Gerente de la Cámara o quien este designe en la cual se identifique que el Miembro está interesado en participar en la Compensación y Liquidación para el Segmento de Renta Fija, según el formato establecido en el Anexo 1.5, debidamente diligenciada y suscrita por un representante legal. </w:t>
      </w:r>
    </w:p>
    <w:p w14:paraId="7833F0D7" w14:textId="77777777" w:rsidR="007968EC" w:rsidRPr="002C0D19" w:rsidRDefault="007968EC" w:rsidP="007968EC">
      <w:pPr>
        <w:ind w:left="426"/>
        <w:contextualSpacing/>
        <w:jc w:val="both"/>
        <w:rPr>
          <w:rFonts w:ascii="Arial Narrow" w:eastAsia="Calibri" w:hAnsi="Arial Narrow"/>
          <w:color w:val="000000" w:themeColor="text1"/>
        </w:rPr>
      </w:pPr>
    </w:p>
    <w:p w14:paraId="7BAB60BD" w14:textId="77777777" w:rsidR="007968EC" w:rsidRPr="002C0D19" w:rsidRDefault="007968EC" w:rsidP="007968EC">
      <w:pPr>
        <w:ind w:left="426"/>
        <w:contextualSpacing/>
        <w:jc w:val="both"/>
        <w:rPr>
          <w:rFonts w:ascii="Arial Narrow" w:eastAsia="Calibri" w:hAnsi="Arial Narrow"/>
          <w:color w:val="000000" w:themeColor="text1"/>
        </w:rPr>
      </w:pPr>
      <w:r w:rsidRPr="002C0D19">
        <w:rPr>
          <w:rFonts w:ascii="Arial Narrow" w:eastAsia="Calibri" w:hAnsi="Arial Narrow"/>
          <w:color w:val="000000" w:themeColor="text1"/>
        </w:rPr>
        <w:t>Cuando se trate de la solicitud de ingreso de un Miembro No Liquidador al Segmento de Renta Fija, será indispensable contar con la aceptación de su Miembro Liquidador General y que este último ingrese o se encuentre participando en el respectivo Segmento.</w:t>
      </w:r>
    </w:p>
    <w:p w14:paraId="78AB1D94" w14:textId="77777777" w:rsidR="007968EC" w:rsidRPr="002C0D19" w:rsidRDefault="007968EC" w:rsidP="007968EC">
      <w:pPr>
        <w:ind w:left="426"/>
        <w:contextualSpacing/>
        <w:jc w:val="both"/>
        <w:rPr>
          <w:rFonts w:ascii="Arial Narrow" w:eastAsia="Calibri" w:hAnsi="Arial Narrow"/>
          <w:color w:val="000000" w:themeColor="text1"/>
        </w:rPr>
      </w:pPr>
    </w:p>
    <w:p w14:paraId="579ABEC2" w14:textId="77777777" w:rsidR="007968EC" w:rsidRPr="002C0D19" w:rsidRDefault="007968EC" w:rsidP="00DA7472">
      <w:pPr>
        <w:numPr>
          <w:ilvl w:val="0"/>
          <w:numId w:val="224"/>
        </w:numPr>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 xml:space="preserve">El Subgerente de Riesgos y Operaciones o el Administrador de Riesgos y Operaciones de Mercado de la Cámara o el funcionario que estos designen, validará que el Miembro cumpla con los requerimientos </w:t>
      </w:r>
      <w:r w:rsidRPr="002C0D19">
        <w:rPr>
          <w:rFonts w:ascii="Arial Narrow" w:eastAsia="Calibri" w:hAnsi="Arial Narrow"/>
          <w:color w:val="000000" w:themeColor="text1"/>
        </w:rPr>
        <w:lastRenderedPageBreak/>
        <w:t>establecidos para el ingreso al Segmento de acuerdo en los establecido en los artículos 3.1.1.2. y 3.1.1.3. de la presente Circular según corresponda.</w:t>
      </w:r>
    </w:p>
    <w:p w14:paraId="66950C63" w14:textId="77777777" w:rsidR="007968EC" w:rsidRPr="002C0D19" w:rsidRDefault="007968EC" w:rsidP="007968EC">
      <w:pPr>
        <w:ind w:left="426"/>
        <w:contextualSpacing/>
        <w:jc w:val="both"/>
        <w:rPr>
          <w:rFonts w:ascii="Arial Narrow" w:eastAsia="Calibri" w:hAnsi="Arial Narrow"/>
          <w:color w:val="000000" w:themeColor="text1"/>
        </w:rPr>
      </w:pPr>
    </w:p>
    <w:p w14:paraId="7F093217" w14:textId="77777777" w:rsidR="007968EC" w:rsidRPr="002C0D19" w:rsidRDefault="007968EC" w:rsidP="00DA7472">
      <w:pPr>
        <w:numPr>
          <w:ilvl w:val="0"/>
          <w:numId w:val="224"/>
        </w:numPr>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El Subgerente de Riesgos y Operaciones/Administrador de Riesgos y Operaciones de Mercado de la Cámara o el funcionario que estos designen, notificará al Administrador registrado del Miembro, vía correo electrónico cuando esté habilitada la participación del Miembro en el Segmento solicitado.</w:t>
      </w:r>
    </w:p>
    <w:p w14:paraId="1ED38D6D" w14:textId="77777777" w:rsidR="007968EC" w:rsidRPr="002C0D19" w:rsidRDefault="007968EC" w:rsidP="007968EC">
      <w:pPr>
        <w:keepNext/>
        <w:autoSpaceDE w:val="0"/>
        <w:autoSpaceDN w:val="0"/>
        <w:contextualSpacing/>
        <w:jc w:val="both"/>
        <w:rPr>
          <w:rFonts w:ascii="Arial Narrow" w:hAnsi="Arial Narrow" w:cs="Arial"/>
          <w:bCs/>
          <w:color w:val="000000" w:themeColor="text1"/>
          <w:lang w:eastAsia="es-ES"/>
        </w:rPr>
      </w:pPr>
    </w:p>
    <w:p w14:paraId="34E545D2" w14:textId="77777777" w:rsidR="007968EC" w:rsidRDefault="007968EC" w:rsidP="007968EC">
      <w:pPr>
        <w:pStyle w:val="ARTICULO0"/>
      </w:pPr>
      <w:bookmarkStart w:id="5376" w:name="_Toc470784741"/>
      <w:bookmarkStart w:id="5377" w:name="_Toc470785278"/>
      <w:bookmarkStart w:id="5378" w:name="_Toc470791672"/>
      <w:bookmarkStart w:id="5379" w:name="_Toc472592413"/>
      <w:bookmarkStart w:id="5380" w:name="_Toc472593432"/>
      <w:bookmarkStart w:id="5381" w:name="_Toc479057226"/>
      <w:bookmarkStart w:id="5382" w:name="_Toc31716249"/>
      <w:bookmarkStart w:id="5383" w:name="_Toc490066585"/>
      <w:r>
        <w:t xml:space="preserve">Artículo 3.1.1.2. </w:t>
      </w:r>
      <w:r w:rsidRPr="002C0D19">
        <w:t>Requisito de patrimonio técnico del Miembro Liquidador General para Participar en el Segmento de Renta Fija.</w:t>
      </w:r>
      <w:bookmarkEnd w:id="5376"/>
      <w:bookmarkEnd w:id="5377"/>
      <w:bookmarkEnd w:id="5378"/>
      <w:bookmarkEnd w:id="5379"/>
      <w:bookmarkEnd w:id="5380"/>
      <w:bookmarkEnd w:id="5381"/>
      <w:bookmarkEnd w:id="5382"/>
      <w:r w:rsidRPr="002C0D19">
        <w:t xml:space="preserve"> </w:t>
      </w:r>
    </w:p>
    <w:p w14:paraId="5AB45E1B" w14:textId="77777777" w:rsidR="007968EC" w:rsidRDefault="007968EC" w:rsidP="007968EC">
      <w:pPr>
        <w:pStyle w:val="ANTECEDENTES"/>
      </w:pPr>
    </w:p>
    <w:p w14:paraId="548B2353" w14:textId="77777777" w:rsidR="007968EC" w:rsidRDefault="007968EC" w:rsidP="007968EC">
      <w:pPr>
        <w:pStyle w:val="ANTECEDENTES"/>
        <w:rPr>
          <w:rFonts w:eastAsia="Calibri"/>
          <w:color w:val="000000" w:themeColor="text1"/>
        </w:rPr>
      </w:pPr>
      <w:r w:rsidRPr="002C0D19">
        <w:t>(Este artículo fue modificado mediante Circular 4 del 18 de enero de 2017, publicada en el Boletín Normativo No. 004 del 18 de enero de 2017</w:t>
      </w:r>
      <w:bookmarkEnd w:id="5383"/>
      <w:r>
        <w:t>, mediante Circular 1 del 13 de febrero de 2018, publicada en el Boletín Normativo No. 002 del 13 de febrero de 2018.</w:t>
      </w:r>
      <w:r w:rsidRPr="005D0231">
        <w:t xml:space="preserve"> </w:t>
      </w:r>
      <w:r>
        <w:t xml:space="preserve">modificado </w:t>
      </w:r>
      <w:r w:rsidRPr="009207FD">
        <w:t xml:space="preserve">mediante Circular </w:t>
      </w:r>
      <w:r>
        <w:t>1</w:t>
      </w:r>
      <w:r w:rsidRPr="009207FD">
        <w:t xml:space="preserve"> del </w:t>
      </w:r>
      <w:r>
        <w:t>15 de enero de 2019</w:t>
      </w:r>
      <w:r w:rsidRPr="009207FD">
        <w:t>, publicada en el Boletín Normativo N</w:t>
      </w:r>
      <w:r>
        <w:t xml:space="preserve">o. 001 del 15 de enero de 2019 y modificado mediante Circular 1 del 10 de enero de 2020, publicada en el Boletín Normativo No. 001 del 10 de enero de 2020. </w:t>
      </w:r>
      <w:r w:rsidRPr="009207FD">
        <w:t xml:space="preserve">Rige a partir del </w:t>
      </w:r>
      <w:r>
        <w:t>13 de enero de 2020</w:t>
      </w:r>
      <w:r w:rsidRPr="002C0D19">
        <w:t>.)</w:t>
      </w:r>
      <w:r w:rsidRPr="005D0231">
        <w:rPr>
          <w:rFonts w:eastAsia="Calibri"/>
          <w:color w:val="000000" w:themeColor="text1"/>
        </w:rPr>
        <w:t xml:space="preserve"> </w:t>
      </w:r>
    </w:p>
    <w:p w14:paraId="78D7081B" w14:textId="77777777" w:rsidR="007968EC" w:rsidRDefault="007968EC" w:rsidP="007968EC">
      <w:pPr>
        <w:pStyle w:val="ANTECEDENTES"/>
        <w:rPr>
          <w:rFonts w:eastAsia="Calibri"/>
          <w:color w:val="000000" w:themeColor="text1"/>
        </w:rPr>
      </w:pPr>
    </w:p>
    <w:p w14:paraId="6C5EF5A8" w14:textId="77777777" w:rsidR="007968EC" w:rsidRPr="002C0D19" w:rsidRDefault="007968EC" w:rsidP="007968EC">
      <w:pPr>
        <w:pStyle w:val="ANTECEDENTES"/>
        <w:rPr>
          <w:rFonts w:eastAsia="Calibri"/>
          <w:color w:val="000000" w:themeColor="text1"/>
        </w:rPr>
      </w:pPr>
      <w:r w:rsidRPr="005D0231">
        <w:rPr>
          <w:rFonts w:eastAsia="Calibri" w:cs="Times New Roman"/>
          <w:b w:val="0"/>
          <w:i w:val="0"/>
          <w:color w:val="000000" w:themeColor="text1"/>
          <w:lang w:val="es-CO" w:eastAsia="es-ES_tradnl"/>
        </w:rPr>
        <w:t xml:space="preserve">El requisito de patrimonio técnico mínimo para los Miembros Liquidadores Generales, de acceso y permanencia, para participar en la Compensación y Liquidación en el Segmento de Renta Fija de la Cámara será el mismo que se les exige para tener la calidad de Miembros Liquidadores Generales de la Cámara en el artículo 1.2.1.2. de la presente Circular, esto es, </w:t>
      </w:r>
      <w:r w:rsidRPr="006252DD">
        <w:rPr>
          <w:rFonts w:eastAsia="Calibri" w:cs="Times New Roman"/>
          <w:b w:val="0"/>
          <w:i w:val="0"/>
          <w:color w:val="000000" w:themeColor="text1"/>
          <w:lang w:val="es-CO" w:eastAsia="es-ES_tradnl"/>
        </w:rPr>
        <w:t xml:space="preserve">para el año 2020, la suma de cien mil cuatrocientos noventa y dos millones de pesos ($100.492.000.000) </w:t>
      </w:r>
      <w:r w:rsidRPr="005D0231">
        <w:rPr>
          <w:rFonts w:eastAsia="Calibri" w:cs="Times New Roman"/>
          <w:b w:val="0"/>
          <w:i w:val="0"/>
          <w:color w:val="000000" w:themeColor="text1"/>
          <w:lang w:val="es-CO" w:eastAsia="es-ES_tradnl"/>
        </w:rPr>
        <w:t>moneda corriente, valor que se ajustará anualmente, en el mes de enero, en forma automática en el mismo sentido y porcentaje en que varíe el índice de precios al consumidor que suministre el DANE.</w:t>
      </w:r>
    </w:p>
    <w:p w14:paraId="120325FF" w14:textId="77777777" w:rsidR="007968EC" w:rsidRPr="002C0D19" w:rsidRDefault="007968EC" w:rsidP="007968EC">
      <w:pPr>
        <w:jc w:val="both"/>
        <w:rPr>
          <w:rFonts w:ascii="Arial Narrow" w:eastAsia="Calibri" w:hAnsi="Arial Narrow"/>
          <w:color w:val="000000" w:themeColor="text1"/>
        </w:rPr>
      </w:pPr>
    </w:p>
    <w:p w14:paraId="1DD553C6" w14:textId="77777777" w:rsidR="007968EC" w:rsidRPr="00F5427E" w:rsidRDefault="007968EC" w:rsidP="007968EC">
      <w:pPr>
        <w:pStyle w:val="ARTICULO0"/>
      </w:pPr>
      <w:bookmarkStart w:id="5384" w:name="_Toc470784742"/>
      <w:bookmarkStart w:id="5385" w:name="_Toc470785279"/>
      <w:bookmarkStart w:id="5386" w:name="_Toc470791673"/>
      <w:bookmarkStart w:id="5387" w:name="_Toc472592414"/>
      <w:bookmarkStart w:id="5388" w:name="_Toc472593433"/>
      <w:bookmarkStart w:id="5389" w:name="_Toc479057227"/>
      <w:bookmarkStart w:id="5390" w:name="_Toc31716250"/>
      <w:bookmarkStart w:id="5391" w:name="_Toc490066586"/>
      <w:r>
        <w:t xml:space="preserve">Artículo 3.1.1.3. </w:t>
      </w:r>
      <w:r w:rsidRPr="00F5427E">
        <w:t>Requisito de patrimonio técnico del Miembro Liquidador Individual para Participar en el Segmento de Renta Fija.</w:t>
      </w:r>
      <w:bookmarkEnd w:id="5384"/>
      <w:bookmarkEnd w:id="5385"/>
      <w:bookmarkEnd w:id="5386"/>
      <w:bookmarkEnd w:id="5387"/>
      <w:bookmarkEnd w:id="5388"/>
      <w:bookmarkEnd w:id="5389"/>
      <w:bookmarkEnd w:id="5390"/>
      <w:r w:rsidRPr="00F5427E">
        <w:t xml:space="preserve"> </w:t>
      </w:r>
    </w:p>
    <w:p w14:paraId="1BFB85E2" w14:textId="77777777" w:rsidR="007968EC" w:rsidRDefault="007968EC" w:rsidP="007968EC">
      <w:pPr>
        <w:pStyle w:val="ANTECEDENTES"/>
      </w:pPr>
    </w:p>
    <w:p w14:paraId="1B4BF65C" w14:textId="77777777" w:rsidR="007968EC" w:rsidRPr="002C0D19" w:rsidRDefault="007968EC" w:rsidP="007968EC">
      <w:pPr>
        <w:pStyle w:val="ANTECEDENTES"/>
      </w:pPr>
      <w:r w:rsidRPr="002C0D19">
        <w:t>(Este artículo fue modificado mediante Circular 4 del 18 de enero de 2017, publicada en el Boletín Normativo No. 004 del 18 de enero de 2017</w:t>
      </w:r>
      <w:bookmarkEnd w:id="5391"/>
      <w:r>
        <w:t xml:space="preserve">, mediante Circular 1 del 13 de febrero de 2018, publicada en el Boletín Normativo No. 002 del 13 de febrero de 2018 y modificado </w:t>
      </w:r>
      <w:r w:rsidRPr="009207FD">
        <w:t xml:space="preserve">mediante Circular </w:t>
      </w:r>
      <w:r>
        <w:t>1</w:t>
      </w:r>
      <w:r w:rsidRPr="009207FD">
        <w:t xml:space="preserve"> del </w:t>
      </w:r>
      <w:r>
        <w:t>15 de enero de 2019</w:t>
      </w:r>
      <w:r w:rsidRPr="009207FD">
        <w:t>, publicada en el Boletín Normativo N</w:t>
      </w:r>
      <w:r>
        <w:t xml:space="preserve">o. 001 del 15 de enero de 2019 y modificado mediante Circular 1 del 10 de enero de 2020, publicada en el Boletín Normativo No. 001 del 10 de enero de 2020. </w:t>
      </w:r>
      <w:r w:rsidRPr="009207FD">
        <w:t xml:space="preserve">Rige a partir del </w:t>
      </w:r>
      <w:r>
        <w:t>13 de enero de 2020</w:t>
      </w:r>
      <w:r w:rsidRPr="002C0D19">
        <w:t>.)</w:t>
      </w:r>
    </w:p>
    <w:p w14:paraId="4C36F74C" w14:textId="77777777" w:rsidR="007968EC" w:rsidRPr="002C0D19" w:rsidRDefault="007968EC" w:rsidP="007968EC">
      <w:pPr>
        <w:autoSpaceDE w:val="0"/>
        <w:autoSpaceDN w:val="0"/>
        <w:adjustRightInd w:val="0"/>
        <w:jc w:val="both"/>
        <w:rPr>
          <w:rFonts w:ascii="Arial Narrow" w:eastAsia="Calibri" w:hAnsi="Arial Narrow"/>
          <w:b/>
          <w:color w:val="000000" w:themeColor="text1"/>
        </w:rPr>
      </w:pPr>
    </w:p>
    <w:p w14:paraId="73B9EA36"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 xml:space="preserve">El requisito de patrimonio técnico mínimo para los Miembro Liquidadores Individuales, de acceso y permanencia, para participar en la Compensación y Liquidación en el Segmento de Renta Fija de la Cámara será el mismo que se les exige para tener la calidad de Miembros Liquidadores Individuales de la Cámara en el artículo 1.2.1.3. de la presente Circular, </w:t>
      </w:r>
      <w:r>
        <w:rPr>
          <w:rFonts w:ascii="Arial Narrow" w:eastAsia="Calibri" w:hAnsi="Arial Narrow"/>
          <w:color w:val="000000" w:themeColor="text1"/>
        </w:rPr>
        <w:t xml:space="preserve">esto es, </w:t>
      </w:r>
      <w:r w:rsidRPr="006252DD">
        <w:rPr>
          <w:rFonts w:ascii="Arial Narrow" w:eastAsia="Calibri" w:hAnsi="Arial Narrow"/>
          <w:color w:val="000000" w:themeColor="text1"/>
        </w:rPr>
        <w:t>para el año 2020, la suma de dieciséis mil catorce millones de pesos ($16.014.000.000)</w:t>
      </w:r>
      <w:r>
        <w:rPr>
          <w:rFonts w:ascii="Arial Narrow" w:hAnsi="Arial Narrow" w:cs="Arial"/>
          <w:color w:val="000000" w:themeColor="text1"/>
          <w:lang w:val="es-ES" w:eastAsia="es-ES"/>
        </w:rPr>
        <w:t xml:space="preserve"> </w:t>
      </w:r>
      <w:r w:rsidRPr="002C0D19">
        <w:rPr>
          <w:rFonts w:ascii="Arial Narrow" w:eastAsia="Calibri" w:hAnsi="Arial Narrow"/>
          <w:bCs/>
          <w:color w:val="000000" w:themeColor="text1"/>
        </w:rPr>
        <w:t>moneda corriente, valor que se ajustará anualmente, en el mes de enero, en forma automática en el mismo sentido y porcentaje en que varíe el índice de precios al consumidor que suministre el DANE</w:t>
      </w:r>
      <w:r>
        <w:rPr>
          <w:rFonts w:ascii="Arial Narrow" w:eastAsia="Calibri" w:hAnsi="Arial Narrow"/>
          <w:bCs/>
          <w:color w:val="000000" w:themeColor="text1"/>
        </w:rPr>
        <w:t>.</w:t>
      </w:r>
    </w:p>
    <w:p w14:paraId="3E5AFE06" w14:textId="77777777" w:rsidR="007968EC" w:rsidRPr="002C0D19" w:rsidRDefault="007968EC" w:rsidP="007968EC">
      <w:pPr>
        <w:rPr>
          <w:rFonts w:ascii="Arial Narrow" w:eastAsia="Calibri" w:hAnsi="Arial Narrow"/>
          <w:b/>
          <w:color w:val="000000" w:themeColor="text1"/>
        </w:rPr>
      </w:pPr>
    </w:p>
    <w:p w14:paraId="43CFEEF1" w14:textId="77777777" w:rsidR="007968EC" w:rsidRPr="002C0D19" w:rsidRDefault="007968EC" w:rsidP="007968EC">
      <w:pPr>
        <w:pStyle w:val="ARTICULO0"/>
      </w:pPr>
      <w:bookmarkStart w:id="5392" w:name="_Toc470784743"/>
      <w:bookmarkStart w:id="5393" w:name="_Toc470785280"/>
      <w:bookmarkStart w:id="5394" w:name="_Toc470791674"/>
      <w:bookmarkStart w:id="5395" w:name="_Toc472592415"/>
      <w:bookmarkStart w:id="5396" w:name="_Toc472593434"/>
      <w:bookmarkStart w:id="5397" w:name="_Toc479057228"/>
      <w:bookmarkStart w:id="5398" w:name="_Toc490066587"/>
      <w:bookmarkStart w:id="5399" w:name="_Toc31716251"/>
      <w:r w:rsidRPr="002C0D19">
        <w:lastRenderedPageBreak/>
        <w:t>Artículo 3.1.1.4. Procedimiento operativo para el retiro del Segmento de Renta Fija.</w:t>
      </w:r>
      <w:bookmarkEnd w:id="5392"/>
      <w:bookmarkEnd w:id="5393"/>
      <w:bookmarkEnd w:id="5394"/>
      <w:bookmarkEnd w:id="5395"/>
      <w:bookmarkEnd w:id="5396"/>
      <w:bookmarkEnd w:id="5397"/>
      <w:bookmarkEnd w:id="5398"/>
      <w:bookmarkEnd w:id="5399"/>
    </w:p>
    <w:p w14:paraId="1B0E6753" w14:textId="77777777" w:rsidR="007968EC" w:rsidRPr="004D6548" w:rsidRDefault="007968EC" w:rsidP="007968EC">
      <w:pPr>
        <w:jc w:val="both"/>
        <w:rPr>
          <w:rFonts w:ascii="Arial Narrow" w:eastAsia="Calibri" w:hAnsi="Arial Narrow"/>
          <w:bCs/>
          <w:color w:val="000000" w:themeColor="text1"/>
        </w:rPr>
      </w:pPr>
    </w:p>
    <w:p w14:paraId="129E917A" w14:textId="77777777" w:rsidR="007968EC" w:rsidRPr="004D6548" w:rsidRDefault="007968EC" w:rsidP="007968EC">
      <w:pPr>
        <w:jc w:val="both"/>
        <w:rPr>
          <w:rFonts w:ascii="Arial Narrow" w:eastAsia="Calibri" w:hAnsi="Arial Narrow"/>
          <w:bCs/>
          <w:color w:val="000000" w:themeColor="text1"/>
        </w:rPr>
      </w:pPr>
      <w:bookmarkStart w:id="5400" w:name="_Toc470781180"/>
      <w:bookmarkStart w:id="5401" w:name="_Toc470784744"/>
      <w:bookmarkStart w:id="5402" w:name="_Toc470785281"/>
      <w:bookmarkStart w:id="5403" w:name="_Toc470791675"/>
      <w:bookmarkStart w:id="5404" w:name="_Toc471831884"/>
      <w:bookmarkStart w:id="5405" w:name="_Toc490066588"/>
      <w:bookmarkStart w:id="5406" w:name="_Toc490079366"/>
      <w:r w:rsidRPr="004D6548">
        <w:rPr>
          <w:rFonts w:ascii="Arial Narrow" w:eastAsia="Calibri" w:hAnsi="Arial Narrow"/>
          <w:bCs/>
          <w:color w:val="000000" w:themeColor="text1"/>
        </w:rPr>
        <w:t>Para el retiro voluntario de un Miembro de la Compensación y Liquidación del Segmento de Renta Fija deberá seguir el siguiente procedimiento:</w:t>
      </w:r>
      <w:bookmarkEnd w:id="5400"/>
      <w:bookmarkEnd w:id="5401"/>
      <w:bookmarkEnd w:id="5402"/>
      <w:bookmarkEnd w:id="5403"/>
      <w:bookmarkEnd w:id="5404"/>
      <w:bookmarkEnd w:id="5405"/>
      <w:bookmarkEnd w:id="5406"/>
      <w:r w:rsidRPr="004D6548">
        <w:rPr>
          <w:rFonts w:ascii="Arial Narrow" w:eastAsia="Calibri" w:hAnsi="Arial Narrow"/>
          <w:bCs/>
          <w:color w:val="000000" w:themeColor="text1"/>
        </w:rPr>
        <w:t xml:space="preserve"> </w:t>
      </w:r>
    </w:p>
    <w:p w14:paraId="683FC33E" w14:textId="77777777" w:rsidR="007968EC" w:rsidRPr="002C0D19" w:rsidRDefault="007968EC" w:rsidP="007968EC">
      <w:pPr>
        <w:jc w:val="both"/>
        <w:rPr>
          <w:rFonts w:ascii="Arial Narrow" w:eastAsia="Calibri" w:hAnsi="Arial Narrow"/>
          <w:color w:val="000000" w:themeColor="text1"/>
        </w:rPr>
      </w:pPr>
    </w:p>
    <w:p w14:paraId="71321E20" w14:textId="77777777" w:rsidR="007968EC" w:rsidRPr="002C0D19" w:rsidRDefault="007968EC" w:rsidP="00DA7472">
      <w:pPr>
        <w:numPr>
          <w:ilvl w:val="0"/>
          <w:numId w:val="222"/>
        </w:numPr>
        <w:tabs>
          <w:tab w:val="num" w:pos="605"/>
        </w:tabs>
        <w:ind w:left="463" w:hanging="425"/>
        <w:jc w:val="both"/>
        <w:rPr>
          <w:rFonts w:ascii="Arial Narrow" w:eastAsia="Calibri" w:hAnsi="Arial Narrow"/>
          <w:color w:val="000000" w:themeColor="text1"/>
        </w:rPr>
      </w:pPr>
      <w:r w:rsidRPr="002C0D19">
        <w:rPr>
          <w:rFonts w:ascii="Arial Narrow" w:eastAsia="Calibri" w:hAnsi="Arial Narrow"/>
          <w:color w:val="000000" w:themeColor="text1"/>
        </w:rPr>
        <w:t xml:space="preserve">El Miembro deberá enviar diligenciado el Anexo 1.6 Carta de Solicitud de Retiro de Segmento junto con un plan detallado de retiro en el cual se defina el manejo de las obligaciones de cada una de las Cuentas y el cronograma de cumplimiento para el Segmento de Renta Fija. </w:t>
      </w:r>
      <w:proofErr w:type="gramStart"/>
      <w:r w:rsidRPr="002C0D19">
        <w:rPr>
          <w:rFonts w:ascii="Arial Narrow" w:eastAsia="Calibri" w:hAnsi="Arial Narrow"/>
          <w:color w:val="000000" w:themeColor="text1"/>
        </w:rPr>
        <w:t>Éste</w:t>
      </w:r>
      <w:proofErr w:type="gramEnd"/>
      <w:r w:rsidRPr="002C0D19">
        <w:rPr>
          <w:rFonts w:ascii="Arial Narrow" w:eastAsia="Calibri" w:hAnsi="Arial Narrow"/>
          <w:color w:val="000000" w:themeColor="text1"/>
        </w:rPr>
        <w:t xml:space="preserve"> plan se deberá dar a conocer y ser aprobado previamente por los titulares de cada una de las Cuentas y aceptado por el Gerente de la Cámara o quien este designe. </w:t>
      </w:r>
    </w:p>
    <w:p w14:paraId="2ABAB474" w14:textId="77777777" w:rsidR="007968EC" w:rsidRPr="002C0D19" w:rsidRDefault="007968EC" w:rsidP="00DA7472">
      <w:pPr>
        <w:numPr>
          <w:ilvl w:val="0"/>
          <w:numId w:val="222"/>
        </w:numPr>
        <w:tabs>
          <w:tab w:val="num" w:pos="605"/>
        </w:tabs>
        <w:ind w:left="463" w:hanging="425"/>
        <w:jc w:val="both"/>
        <w:rPr>
          <w:rFonts w:ascii="Arial Narrow" w:eastAsia="Calibri" w:hAnsi="Arial Narrow"/>
          <w:color w:val="000000" w:themeColor="text1"/>
        </w:rPr>
      </w:pPr>
      <w:r w:rsidRPr="002C0D19">
        <w:rPr>
          <w:rFonts w:ascii="Arial Narrow" w:eastAsia="Calibri" w:hAnsi="Arial Narrow"/>
          <w:color w:val="000000" w:themeColor="text1"/>
        </w:rPr>
        <w:t>La Cámara aceptará las operaciones del Miembro en el Segmento de Renta Fija, siempre y cuando dichas operaciones se realicen para disminuir el riesgo operativo.</w:t>
      </w:r>
    </w:p>
    <w:p w14:paraId="57A97F4F" w14:textId="77777777" w:rsidR="007968EC" w:rsidRPr="002C0D19" w:rsidRDefault="007968EC" w:rsidP="00DA7472">
      <w:pPr>
        <w:numPr>
          <w:ilvl w:val="0"/>
          <w:numId w:val="222"/>
        </w:numPr>
        <w:tabs>
          <w:tab w:val="num" w:pos="605"/>
        </w:tabs>
        <w:ind w:left="463" w:hanging="425"/>
        <w:jc w:val="both"/>
        <w:rPr>
          <w:rFonts w:ascii="Arial Narrow" w:eastAsia="Calibri" w:hAnsi="Arial Narrow"/>
          <w:color w:val="000000" w:themeColor="text1"/>
        </w:rPr>
      </w:pPr>
      <w:r w:rsidRPr="002C0D19">
        <w:rPr>
          <w:rFonts w:ascii="Arial Narrow" w:eastAsia="Calibri" w:hAnsi="Arial Narrow"/>
          <w:color w:val="000000" w:themeColor="text1"/>
        </w:rPr>
        <w:t>La Cámara le permitirá el acceso al Segmento y la gestión de operaciones siempre y cuando correspondan al plan de retiro detallado.</w:t>
      </w:r>
    </w:p>
    <w:p w14:paraId="1C85EA3E" w14:textId="77777777" w:rsidR="007968EC" w:rsidRPr="002C0D19" w:rsidRDefault="007968EC" w:rsidP="00DA7472">
      <w:pPr>
        <w:numPr>
          <w:ilvl w:val="0"/>
          <w:numId w:val="222"/>
        </w:numPr>
        <w:tabs>
          <w:tab w:val="num" w:pos="605"/>
        </w:tabs>
        <w:ind w:left="463" w:hanging="425"/>
        <w:jc w:val="both"/>
        <w:rPr>
          <w:rFonts w:ascii="Arial Narrow" w:eastAsia="Calibri" w:hAnsi="Arial Narrow"/>
          <w:color w:val="000000" w:themeColor="text1"/>
        </w:rPr>
      </w:pPr>
      <w:r w:rsidRPr="002C0D19">
        <w:rPr>
          <w:rFonts w:ascii="Arial Narrow" w:eastAsia="Calibri" w:hAnsi="Arial Narrow"/>
          <w:color w:val="000000" w:themeColor="text1"/>
        </w:rPr>
        <w:t>En ninguna forma se debe entender que el procedimiento de retiro de un Segmento limita el derecho de la Cámara de exigir y recibir el pago de las obligaciones del Miembro establecidas de acuerdo con el Reglamento.</w:t>
      </w:r>
    </w:p>
    <w:p w14:paraId="58781F9E" w14:textId="77777777" w:rsidR="007968EC" w:rsidRPr="002C0D19" w:rsidRDefault="007968EC" w:rsidP="00DA7472">
      <w:pPr>
        <w:numPr>
          <w:ilvl w:val="0"/>
          <w:numId w:val="222"/>
        </w:numPr>
        <w:tabs>
          <w:tab w:val="num" w:pos="605"/>
        </w:tabs>
        <w:ind w:left="463" w:hanging="425"/>
        <w:jc w:val="both"/>
        <w:rPr>
          <w:rFonts w:ascii="Arial Narrow" w:eastAsia="Calibri" w:hAnsi="Arial Narrow"/>
          <w:color w:val="000000" w:themeColor="text1"/>
        </w:rPr>
      </w:pPr>
      <w:r w:rsidRPr="002C0D19">
        <w:rPr>
          <w:rFonts w:ascii="Arial Narrow" w:eastAsia="Calibri" w:hAnsi="Arial Narrow"/>
          <w:color w:val="000000" w:themeColor="text1"/>
        </w:rPr>
        <w:t>El Gerente de la Cámara podrá aplazar la fecha de retiro del Segmento si el Miembro que ha solicitado su retiro o sus Terceros, tienen un retardo o Incumplimiento.</w:t>
      </w:r>
    </w:p>
    <w:p w14:paraId="1361DB19" w14:textId="77777777" w:rsidR="007968EC" w:rsidRPr="002C0D19" w:rsidRDefault="007968EC" w:rsidP="007968EC">
      <w:pPr>
        <w:jc w:val="both"/>
        <w:rPr>
          <w:rFonts w:ascii="Arial Narrow" w:eastAsia="Calibri" w:hAnsi="Arial Narrow"/>
          <w:color w:val="000000" w:themeColor="text1"/>
        </w:rPr>
      </w:pPr>
    </w:p>
    <w:p w14:paraId="2C1F1ABC" w14:textId="77777777" w:rsidR="007968EC" w:rsidRPr="004D6548" w:rsidRDefault="007968EC" w:rsidP="007968EC">
      <w:pPr>
        <w:jc w:val="both"/>
        <w:rPr>
          <w:rFonts w:ascii="Arial Narrow" w:eastAsia="Calibri" w:hAnsi="Arial Narrow"/>
          <w:bCs/>
          <w:color w:val="000000" w:themeColor="text1"/>
        </w:rPr>
      </w:pPr>
      <w:bookmarkStart w:id="5407" w:name="_Toc470781181"/>
      <w:bookmarkStart w:id="5408" w:name="_Toc470784745"/>
      <w:bookmarkStart w:id="5409" w:name="_Toc470785282"/>
      <w:bookmarkStart w:id="5410" w:name="_Toc470791676"/>
      <w:bookmarkStart w:id="5411" w:name="_Toc471831885"/>
      <w:bookmarkStart w:id="5412" w:name="_Toc490066589"/>
      <w:bookmarkStart w:id="5413" w:name="_Toc490079367"/>
      <w:r w:rsidRPr="004D6548">
        <w:rPr>
          <w:rFonts w:ascii="Arial Narrow" w:eastAsia="Calibri" w:hAnsi="Arial Narrow"/>
          <w:b/>
          <w:bCs/>
          <w:color w:val="000000" w:themeColor="text1"/>
        </w:rPr>
        <w:t>Parágrafo.</w:t>
      </w:r>
      <w:r w:rsidRPr="004D6548">
        <w:rPr>
          <w:rFonts w:ascii="Arial Narrow" w:eastAsia="Calibri" w:hAnsi="Arial Narrow"/>
          <w:bCs/>
          <w:color w:val="000000" w:themeColor="text1"/>
        </w:rPr>
        <w:t xml:space="preserve"> El Miembro No Liquidador que esté interesado en retirarse del Segmento de Renta Fija deberá presentar la solicitud respectiva con el plan detallado de retiro aprobado por su Miembro Liquidador General.</w:t>
      </w:r>
      <w:bookmarkEnd w:id="5407"/>
      <w:bookmarkEnd w:id="5408"/>
      <w:bookmarkEnd w:id="5409"/>
      <w:bookmarkEnd w:id="5410"/>
      <w:bookmarkEnd w:id="5411"/>
      <w:bookmarkEnd w:id="5412"/>
      <w:bookmarkEnd w:id="5413"/>
    </w:p>
    <w:p w14:paraId="4051712B" w14:textId="77777777" w:rsidR="007968EC" w:rsidRDefault="007968EC" w:rsidP="007968EC">
      <w:pPr>
        <w:pStyle w:val="ANTECEDENTES"/>
        <w:rPr>
          <w:rFonts w:eastAsia="Calibri"/>
        </w:rPr>
      </w:pPr>
      <w:bookmarkStart w:id="5414" w:name="_Toc470781182"/>
      <w:bookmarkStart w:id="5415" w:name="_Toc470784746"/>
      <w:bookmarkStart w:id="5416" w:name="_Toc470785283"/>
      <w:bookmarkStart w:id="5417" w:name="_Toc470791677"/>
      <w:bookmarkStart w:id="5418" w:name="_Toc472592416"/>
      <w:bookmarkStart w:id="5419" w:name="_Toc472593435"/>
      <w:bookmarkStart w:id="5420" w:name="_Toc479057229"/>
      <w:bookmarkStart w:id="5421" w:name="_Toc490066590"/>
    </w:p>
    <w:p w14:paraId="0F6F546B" w14:textId="77777777" w:rsidR="007968EC" w:rsidRPr="002C0D19" w:rsidRDefault="007968EC" w:rsidP="007968EC">
      <w:pPr>
        <w:pStyle w:val="TTULO"/>
        <w:rPr>
          <w:rFonts w:eastAsia="Calibri"/>
          <w:lang w:val="es-ES"/>
        </w:rPr>
      </w:pPr>
      <w:bookmarkStart w:id="5422" w:name="_Toc31716252"/>
      <w:r w:rsidRPr="002C0D19">
        <w:rPr>
          <w:rFonts w:eastAsia="Calibri"/>
          <w:lang w:val="es-ES"/>
        </w:rPr>
        <w:t>TÍTULO SEGUNDO</w:t>
      </w:r>
      <w:bookmarkEnd w:id="5414"/>
      <w:bookmarkEnd w:id="5415"/>
      <w:bookmarkEnd w:id="5416"/>
      <w:bookmarkEnd w:id="5417"/>
      <w:bookmarkEnd w:id="5418"/>
      <w:bookmarkEnd w:id="5419"/>
      <w:bookmarkEnd w:id="5420"/>
      <w:bookmarkEnd w:id="5421"/>
      <w:bookmarkEnd w:id="5422"/>
    </w:p>
    <w:p w14:paraId="3D063F86" w14:textId="77777777" w:rsidR="007968EC" w:rsidRPr="002C0D19" w:rsidRDefault="007968EC" w:rsidP="007968EC">
      <w:pPr>
        <w:pStyle w:val="ANTECEDENTES"/>
        <w:rPr>
          <w:rFonts w:eastAsia="Calibri"/>
        </w:rPr>
      </w:pPr>
    </w:p>
    <w:p w14:paraId="33BFC96D" w14:textId="77777777" w:rsidR="007968EC" w:rsidRPr="002C0D19" w:rsidRDefault="007968EC" w:rsidP="007968EC">
      <w:pPr>
        <w:pStyle w:val="TTULO"/>
        <w:rPr>
          <w:rFonts w:eastAsia="Calibri"/>
          <w:lang w:val="es-ES"/>
        </w:rPr>
      </w:pPr>
      <w:bookmarkStart w:id="5423" w:name="_Toc470781183"/>
      <w:bookmarkStart w:id="5424" w:name="_Toc470784747"/>
      <w:bookmarkStart w:id="5425" w:name="_Toc470785284"/>
      <w:bookmarkStart w:id="5426" w:name="_Toc470791678"/>
      <w:bookmarkStart w:id="5427" w:name="_Toc472592417"/>
      <w:bookmarkStart w:id="5428" w:name="_Toc472593436"/>
      <w:bookmarkStart w:id="5429" w:name="_Toc479057230"/>
      <w:bookmarkStart w:id="5430" w:name="_Toc490066591"/>
      <w:bookmarkStart w:id="5431" w:name="_Toc31716253"/>
      <w:r w:rsidRPr="002C0D19">
        <w:rPr>
          <w:rFonts w:eastAsia="Calibri"/>
          <w:lang w:val="es-ES"/>
        </w:rPr>
        <w:t>ACEPTACIÓN DE OPERACIONES</w:t>
      </w:r>
      <w:bookmarkEnd w:id="5423"/>
      <w:bookmarkEnd w:id="5424"/>
      <w:bookmarkEnd w:id="5425"/>
      <w:bookmarkEnd w:id="5426"/>
      <w:bookmarkEnd w:id="5427"/>
      <w:bookmarkEnd w:id="5428"/>
      <w:bookmarkEnd w:id="5429"/>
      <w:bookmarkEnd w:id="5430"/>
      <w:bookmarkEnd w:id="5431"/>
    </w:p>
    <w:p w14:paraId="5F9F3AF4" w14:textId="77777777" w:rsidR="007968EC" w:rsidRPr="002C0D19" w:rsidRDefault="007968EC" w:rsidP="007968EC">
      <w:pPr>
        <w:pStyle w:val="ANTECEDENTES"/>
        <w:rPr>
          <w:rFonts w:eastAsia="Calibri"/>
        </w:rPr>
      </w:pPr>
    </w:p>
    <w:p w14:paraId="7AA5931B" w14:textId="77777777" w:rsidR="007968EC" w:rsidRPr="002C0D19" w:rsidRDefault="007968EC" w:rsidP="007968EC">
      <w:pPr>
        <w:pStyle w:val="TTULO"/>
        <w:rPr>
          <w:rFonts w:eastAsia="Calibri"/>
          <w:lang w:val="es-ES"/>
        </w:rPr>
      </w:pPr>
      <w:bookmarkStart w:id="5432" w:name="_Toc470781184"/>
      <w:bookmarkStart w:id="5433" w:name="_Toc470784748"/>
      <w:bookmarkStart w:id="5434" w:name="_Toc470785285"/>
      <w:bookmarkStart w:id="5435" w:name="_Toc470791679"/>
      <w:bookmarkStart w:id="5436" w:name="_Toc472592418"/>
      <w:bookmarkStart w:id="5437" w:name="_Toc472593437"/>
      <w:bookmarkStart w:id="5438" w:name="_Toc479057231"/>
      <w:bookmarkStart w:id="5439" w:name="_Toc490066592"/>
      <w:bookmarkStart w:id="5440" w:name="_Toc31716254"/>
      <w:r w:rsidRPr="002C0D19">
        <w:rPr>
          <w:rFonts w:eastAsia="Calibri"/>
          <w:lang w:val="es-ES"/>
        </w:rPr>
        <w:t>CAPÍTULO PRIMERO</w:t>
      </w:r>
      <w:bookmarkEnd w:id="5432"/>
      <w:bookmarkEnd w:id="5433"/>
      <w:bookmarkEnd w:id="5434"/>
      <w:bookmarkEnd w:id="5435"/>
      <w:bookmarkEnd w:id="5436"/>
      <w:bookmarkEnd w:id="5437"/>
      <w:bookmarkEnd w:id="5438"/>
      <w:bookmarkEnd w:id="5439"/>
      <w:bookmarkEnd w:id="5440"/>
    </w:p>
    <w:p w14:paraId="3D09654D" w14:textId="77777777" w:rsidR="007968EC" w:rsidRPr="002C0D19" w:rsidRDefault="007968EC" w:rsidP="007968EC">
      <w:pPr>
        <w:pStyle w:val="ANTECEDENTES"/>
        <w:rPr>
          <w:rFonts w:eastAsia="Calibri"/>
        </w:rPr>
      </w:pPr>
    </w:p>
    <w:p w14:paraId="2C80036E" w14:textId="77777777" w:rsidR="007968EC" w:rsidRPr="002C0D19" w:rsidRDefault="007968EC" w:rsidP="007968EC">
      <w:pPr>
        <w:pStyle w:val="TTULO"/>
        <w:rPr>
          <w:rFonts w:eastAsia="Calibri"/>
          <w:lang w:val="es-ES"/>
        </w:rPr>
      </w:pPr>
      <w:bookmarkStart w:id="5441" w:name="_Toc470781185"/>
      <w:bookmarkStart w:id="5442" w:name="_Toc470784749"/>
      <w:bookmarkStart w:id="5443" w:name="_Toc470785286"/>
      <w:bookmarkStart w:id="5444" w:name="_Toc470791680"/>
      <w:bookmarkStart w:id="5445" w:name="_Toc472592419"/>
      <w:bookmarkStart w:id="5446" w:name="_Toc472593438"/>
      <w:bookmarkStart w:id="5447" w:name="_Toc479057232"/>
      <w:bookmarkStart w:id="5448" w:name="_Toc490066593"/>
      <w:bookmarkStart w:id="5449" w:name="_Toc31716255"/>
      <w:r w:rsidRPr="002C0D19">
        <w:rPr>
          <w:rFonts w:eastAsia="Calibri"/>
          <w:lang w:val="es-ES"/>
        </w:rPr>
        <w:t>CONTROL DE RIESGO Y ACEPTACIÓN DE OPERACIONES PROVENIENTES DE SISTEMAS DE NEGOCIACIÓN Y REGISTRO O MECANISMOS DE CONTRATACIÓN</w:t>
      </w:r>
      <w:bookmarkEnd w:id="5441"/>
      <w:bookmarkEnd w:id="5442"/>
      <w:bookmarkEnd w:id="5443"/>
      <w:bookmarkEnd w:id="5444"/>
      <w:bookmarkEnd w:id="5445"/>
      <w:bookmarkEnd w:id="5446"/>
      <w:bookmarkEnd w:id="5447"/>
      <w:bookmarkEnd w:id="5448"/>
      <w:bookmarkEnd w:id="5449"/>
    </w:p>
    <w:p w14:paraId="46105F3D" w14:textId="77777777" w:rsidR="007968EC" w:rsidRPr="002C0D19" w:rsidRDefault="007968EC" w:rsidP="007968EC">
      <w:pPr>
        <w:jc w:val="both"/>
        <w:rPr>
          <w:rFonts w:ascii="Arial Narrow" w:eastAsia="Calibri" w:hAnsi="Arial Narrow"/>
          <w:color w:val="000000" w:themeColor="text1"/>
        </w:rPr>
      </w:pPr>
    </w:p>
    <w:p w14:paraId="7D227D8D" w14:textId="77777777" w:rsidR="007968EC" w:rsidRDefault="007968EC" w:rsidP="007968EC">
      <w:pPr>
        <w:pStyle w:val="ARTICULO0"/>
      </w:pPr>
      <w:bookmarkStart w:id="5450" w:name="_Toc470784750"/>
      <w:bookmarkStart w:id="5451" w:name="_Toc470785287"/>
      <w:bookmarkStart w:id="5452" w:name="_Toc470791681"/>
      <w:bookmarkStart w:id="5453" w:name="_Toc472592420"/>
      <w:bookmarkStart w:id="5454" w:name="_Toc472593439"/>
      <w:bookmarkStart w:id="5455" w:name="_Toc479057233"/>
      <w:bookmarkStart w:id="5456" w:name="_Toc31716256"/>
      <w:bookmarkStart w:id="5457" w:name="_Toc490066594"/>
      <w:r w:rsidRPr="002C0D19">
        <w:t>Artículo 3.2.1.1.  Aceptación de Operaciones Simultáneas provenientes de sistemas de negociación y/o registro autorizados por la Cámara.</w:t>
      </w:r>
      <w:bookmarkEnd w:id="5450"/>
      <w:bookmarkEnd w:id="5451"/>
      <w:bookmarkEnd w:id="5452"/>
      <w:bookmarkEnd w:id="5453"/>
      <w:bookmarkEnd w:id="5454"/>
      <w:bookmarkEnd w:id="5455"/>
      <w:bookmarkEnd w:id="5456"/>
      <w:r w:rsidRPr="002C0D19">
        <w:t xml:space="preserve"> </w:t>
      </w:r>
    </w:p>
    <w:p w14:paraId="2F37749F" w14:textId="77777777" w:rsidR="007968EC" w:rsidRDefault="007968EC" w:rsidP="007968EC">
      <w:pPr>
        <w:pStyle w:val="ANTECEDENTES"/>
      </w:pPr>
    </w:p>
    <w:p w14:paraId="7D81CEE6" w14:textId="77777777" w:rsidR="007968EC" w:rsidRPr="002C0D19" w:rsidRDefault="007968EC" w:rsidP="007968EC">
      <w:pPr>
        <w:pStyle w:val="ANTECEDENTES"/>
      </w:pPr>
      <w:r w:rsidRPr="002C0D19">
        <w:t>(Este artículo fue modificado mediante Circular 14 del 8 de agosto de 2017, publicada en el Boletín Normativo No. 015 del 8 de agosto de 2017</w:t>
      </w:r>
      <w:bookmarkEnd w:id="5457"/>
      <w:r>
        <w:t>, y</w:t>
      </w:r>
      <w:r w:rsidRPr="002C0D19">
        <w:t xml:space="preserve"> mediante Circular </w:t>
      </w:r>
      <w:r>
        <w:t>20</w:t>
      </w:r>
      <w:r w:rsidRPr="002C0D19">
        <w:t xml:space="preserve"> del </w:t>
      </w:r>
      <w:r>
        <w:t>6</w:t>
      </w:r>
      <w:r w:rsidRPr="002C0D19">
        <w:t xml:space="preserve"> de diciembre de 201</w:t>
      </w:r>
      <w:r>
        <w:t>9</w:t>
      </w:r>
      <w:r w:rsidRPr="002C0D19">
        <w:t>, publicada en el Boletín Normativo No. 0</w:t>
      </w:r>
      <w:r>
        <w:t>35</w:t>
      </w:r>
      <w:r w:rsidRPr="002C0D19">
        <w:t xml:space="preserve"> del </w:t>
      </w:r>
      <w:r>
        <w:t>6</w:t>
      </w:r>
      <w:r w:rsidRPr="002C0D19">
        <w:t xml:space="preserve"> de diciembre de 201</w:t>
      </w:r>
      <w:r>
        <w:t>9</w:t>
      </w:r>
      <w:r w:rsidRPr="002C0D19">
        <w:t xml:space="preserve">. </w:t>
      </w:r>
      <w:r>
        <w:t>Rige a partir del 9 de diciembre de 2019).</w:t>
      </w:r>
    </w:p>
    <w:p w14:paraId="77EB5745" w14:textId="77777777" w:rsidR="007968EC" w:rsidRPr="002C0D19" w:rsidRDefault="007968EC" w:rsidP="007968EC">
      <w:pPr>
        <w:jc w:val="both"/>
        <w:rPr>
          <w:rFonts w:ascii="Arial Narrow" w:eastAsia="Calibri" w:hAnsi="Arial Narrow"/>
          <w:color w:val="000000" w:themeColor="text1"/>
        </w:rPr>
      </w:pPr>
    </w:p>
    <w:p w14:paraId="1A7FECE0" w14:textId="77777777" w:rsidR="007968EC" w:rsidRDefault="007968EC" w:rsidP="007968EC">
      <w:pPr>
        <w:jc w:val="both"/>
        <w:rPr>
          <w:rFonts w:ascii="Arial Narrow" w:eastAsia="Calibri" w:hAnsi="Arial Narrow"/>
        </w:rPr>
      </w:pPr>
      <w:r>
        <w:rPr>
          <w:rFonts w:ascii="Arial Narrow" w:eastAsia="Calibri" w:hAnsi="Arial Narrow"/>
        </w:rPr>
        <w:t xml:space="preserve">La Cámara recibirá y aceptará las Operaciones Simultáneas, con independencia de la modalidad de Liquidación, a partir del día de su celebración y/o registro en los sistemas de negociación y/o registro </w:t>
      </w:r>
      <w:r>
        <w:rPr>
          <w:rFonts w:ascii="Arial Narrow" w:eastAsia="Calibri" w:hAnsi="Arial Narrow"/>
        </w:rPr>
        <w:lastRenderedPageBreak/>
        <w:t xml:space="preserve">autorizados por la Cámara y la aceptación comprenderá la operación inicial o flujo de salida y la operación de regreso o de recompra o flujo de regreso. </w:t>
      </w:r>
    </w:p>
    <w:p w14:paraId="38AF1C20" w14:textId="77777777" w:rsidR="007968EC" w:rsidRDefault="007968EC" w:rsidP="007968EC">
      <w:pPr>
        <w:rPr>
          <w:rFonts w:ascii="Arial Narrow" w:eastAsia="Calibri" w:hAnsi="Arial Narrow" w:cs="Arial"/>
          <w:lang w:eastAsia="es-ES"/>
        </w:rPr>
      </w:pPr>
    </w:p>
    <w:p w14:paraId="30D6CDCB" w14:textId="77777777" w:rsidR="007968EC" w:rsidRDefault="007968EC" w:rsidP="007968EC">
      <w:pPr>
        <w:jc w:val="both"/>
        <w:rPr>
          <w:rFonts w:ascii="Arial Narrow" w:eastAsia="Calibri" w:hAnsi="Arial Narrow" w:cs="Arial"/>
          <w:lang w:eastAsia="es-ES"/>
        </w:rPr>
      </w:pPr>
      <w:r>
        <w:rPr>
          <w:rFonts w:ascii="Arial Narrow" w:eastAsia="Calibri" w:hAnsi="Arial Narrow" w:cs="Arial"/>
          <w:lang w:eastAsia="es-ES"/>
        </w:rPr>
        <w:t>De conformidad con el Reglamento de Funcionamiento, la Cámara evaluará y verificará respecto de cada Operación Simultánea Susceptible de ser Aceptada, que la misma cumple con los siguientes requisitos y controles de riesgo:</w:t>
      </w:r>
    </w:p>
    <w:p w14:paraId="3BA1BA3D" w14:textId="77777777" w:rsidR="007968EC" w:rsidRDefault="007968EC" w:rsidP="007968EC">
      <w:pPr>
        <w:ind w:left="459" w:hanging="426"/>
        <w:jc w:val="both"/>
        <w:rPr>
          <w:rFonts w:ascii="Arial Narrow" w:eastAsia="Calibri" w:hAnsi="Arial Narrow" w:cs="Arial"/>
          <w:lang w:eastAsia="es-ES"/>
        </w:rPr>
      </w:pPr>
    </w:p>
    <w:p w14:paraId="467299AA" w14:textId="77777777" w:rsidR="007968EC" w:rsidRDefault="007968EC" w:rsidP="007968EC">
      <w:pPr>
        <w:ind w:left="459" w:hanging="426"/>
        <w:jc w:val="both"/>
        <w:rPr>
          <w:rFonts w:ascii="Arial Narrow" w:eastAsia="Calibri" w:hAnsi="Arial Narrow" w:cs="Arial"/>
          <w:lang w:eastAsia="es-ES"/>
        </w:rPr>
      </w:pPr>
      <w:r>
        <w:rPr>
          <w:rFonts w:ascii="Arial Narrow" w:eastAsia="Calibri" w:hAnsi="Arial Narrow" w:cs="Arial"/>
          <w:lang w:eastAsia="es-ES"/>
        </w:rPr>
        <w:t>1.</w:t>
      </w:r>
      <w:r>
        <w:rPr>
          <w:rFonts w:ascii="Arial Narrow" w:eastAsia="Calibri" w:hAnsi="Arial Narrow" w:cs="Arial"/>
          <w:lang w:eastAsia="es-ES"/>
        </w:rPr>
        <w:tab/>
        <w:t xml:space="preserve">Que las partes que la celebran son Miembros de la Cámara y se encuentran activos. </w:t>
      </w:r>
    </w:p>
    <w:p w14:paraId="357DF0FD" w14:textId="77777777" w:rsidR="007968EC" w:rsidRDefault="007968EC" w:rsidP="007968EC">
      <w:pPr>
        <w:ind w:left="459" w:hanging="426"/>
        <w:jc w:val="both"/>
        <w:rPr>
          <w:rFonts w:ascii="Arial Narrow" w:eastAsia="Calibri" w:hAnsi="Arial Narrow" w:cs="Arial"/>
          <w:lang w:eastAsia="es-ES"/>
        </w:rPr>
      </w:pPr>
    </w:p>
    <w:p w14:paraId="3B92F8C5" w14:textId="77777777" w:rsidR="007968EC" w:rsidRDefault="007968EC" w:rsidP="007968EC">
      <w:pPr>
        <w:ind w:left="459" w:hanging="426"/>
        <w:jc w:val="both"/>
        <w:rPr>
          <w:rFonts w:ascii="Arial Narrow" w:eastAsia="Calibri" w:hAnsi="Arial Narrow" w:cs="Arial"/>
          <w:lang w:eastAsia="es-ES"/>
        </w:rPr>
      </w:pPr>
      <w:r>
        <w:rPr>
          <w:rFonts w:ascii="Arial Narrow" w:eastAsia="Calibri" w:hAnsi="Arial Narrow" w:cs="Arial"/>
          <w:lang w:eastAsia="es-ES"/>
        </w:rPr>
        <w:t>2.</w:t>
      </w:r>
      <w:r>
        <w:rPr>
          <w:rFonts w:ascii="Arial Narrow" w:eastAsia="Calibri" w:hAnsi="Arial Narrow" w:cs="Arial"/>
          <w:lang w:eastAsia="es-ES"/>
        </w:rPr>
        <w:tab/>
        <w:t xml:space="preserve">Que los Miembros que celebran la Operación Simultánea </w:t>
      </w:r>
      <w:r>
        <w:rPr>
          <w:rFonts w:ascii="Arial Narrow" w:eastAsia="Calibri" w:hAnsi="Arial Narrow"/>
        </w:rPr>
        <w:t>Susceptible</w:t>
      </w:r>
      <w:r>
        <w:rPr>
          <w:rFonts w:ascii="Arial Narrow" w:eastAsia="Calibri" w:hAnsi="Arial Narrow" w:cs="Arial"/>
          <w:lang w:eastAsia="es-ES"/>
        </w:rPr>
        <w:t xml:space="preserve"> de ser </w:t>
      </w:r>
      <w:r>
        <w:rPr>
          <w:rFonts w:ascii="Arial Narrow" w:eastAsia="Calibri" w:hAnsi="Arial Narrow"/>
        </w:rPr>
        <w:t>Aceptada</w:t>
      </w:r>
      <w:r>
        <w:rPr>
          <w:rFonts w:ascii="Arial Narrow" w:eastAsia="Calibri" w:hAnsi="Arial Narrow" w:cs="Arial"/>
          <w:lang w:eastAsia="es-ES"/>
        </w:rPr>
        <w:t xml:space="preserve"> cuentan con los límites y Garantías disponibles. En caso de que la operación provenga de un sistema de negociación y/o registro, ésta podrá solicitar la constitución de Garantías adicionales como condición para su aceptación. </w:t>
      </w:r>
    </w:p>
    <w:p w14:paraId="105E75C3" w14:textId="77777777" w:rsidR="007968EC" w:rsidRDefault="007968EC" w:rsidP="007968EC">
      <w:pPr>
        <w:ind w:left="459" w:hanging="426"/>
        <w:jc w:val="both"/>
        <w:rPr>
          <w:rFonts w:ascii="Arial Narrow" w:eastAsia="Calibri" w:hAnsi="Arial Narrow" w:cs="Arial"/>
          <w:lang w:eastAsia="es-ES"/>
        </w:rPr>
      </w:pPr>
    </w:p>
    <w:p w14:paraId="12D8654D" w14:textId="77777777" w:rsidR="007968EC" w:rsidRDefault="007968EC" w:rsidP="007968EC">
      <w:pPr>
        <w:ind w:left="459" w:hanging="426"/>
        <w:jc w:val="both"/>
        <w:rPr>
          <w:rFonts w:ascii="Arial Narrow" w:eastAsia="Calibri" w:hAnsi="Arial Narrow" w:cs="Arial"/>
          <w:lang w:eastAsia="es-ES"/>
        </w:rPr>
      </w:pPr>
      <w:r>
        <w:rPr>
          <w:rFonts w:ascii="Arial Narrow" w:eastAsia="Calibri" w:hAnsi="Arial Narrow" w:cs="Arial"/>
          <w:lang w:eastAsia="es-ES"/>
        </w:rPr>
        <w:t>3.</w:t>
      </w:r>
      <w:r>
        <w:rPr>
          <w:rFonts w:ascii="Arial Narrow" w:eastAsia="Calibri" w:hAnsi="Arial Narrow" w:cs="Arial"/>
          <w:lang w:eastAsia="es-ES"/>
        </w:rPr>
        <w:tab/>
        <w:t>Que las Operaciones provengan de un sistema de negociación y/o registro autorizado por la Cámara, según el caso, y que el mismo haya transmitido la información con las condiciones exigidas por la Cámara, incluidos los Términos Económicos, para que las mismas se entiendan aceptadas.</w:t>
      </w:r>
    </w:p>
    <w:p w14:paraId="12B2FBF0" w14:textId="77777777" w:rsidR="007968EC" w:rsidRDefault="007968EC" w:rsidP="007968EC">
      <w:pPr>
        <w:ind w:left="459" w:hanging="426"/>
        <w:jc w:val="both"/>
        <w:rPr>
          <w:rFonts w:ascii="Arial Narrow" w:eastAsia="Calibri" w:hAnsi="Arial Narrow" w:cs="Arial"/>
          <w:lang w:eastAsia="es-ES"/>
        </w:rPr>
      </w:pPr>
    </w:p>
    <w:p w14:paraId="7777EC2B" w14:textId="77777777" w:rsidR="007968EC" w:rsidRDefault="007968EC" w:rsidP="007968EC">
      <w:pPr>
        <w:ind w:left="459" w:hanging="426"/>
        <w:jc w:val="both"/>
        <w:rPr>
          <w:rFonts w:ascii="Arial Narrow" w:eastAsia="Calibri" w:hAnsi="Arial Narrow" w:cs="Arial"/>
          <w:lang w:eastAsia="es-ES"/>
        </w:rPr>
      </w:pPr>
      <w:r>
        <w:rPr>
          <w:rFonts w:ascii="Arial Narrow" w:eastAsia="Calibri" w:hAnsi="Arial Narrow" w:cs="Arial"/>
          <w:lang w:eastAsia="es-ES"/>
        </w:rPr>
        <w:t>4.</w:t>
      </w:r>
      <w:r>
        <w:rPr>
          <w:rFonts w:ascii="Arial Narrow" w:eastAsia="Calibri" w:hAnsi="Arial Narrow" w:cs="Arial"/>
          <w:lang w:eastAsia="es-ES"/>
        </w:rPr>
        <w:tab/>
        <w:t xml:space="preserve">Que el Sistema de negociación y/o registro no haya realizado la suspensión del Miembro conforme con lo definido en acuerdo suscrito entre el mencionado sistema y la Cámara para la aceptación de operaciones. </w:t>
      </w:r>
    </w:p>
    <w:p w14:paraId="4EAC207C" w14:textId="77777777" w:rsidR="007968EC" w:rsidRDefault="007968EC" w:rsidP="007968EC">
      <w:pPr>
        <w:ind w:left="459" w:hanging="426"/>
        <w:jc w:val="both"/>
        <w:rPr>
          <w:rFonts w:ascii="Arial Narrow" w:eastAsia="Calibri" w:hAnsi="Arial Narrow" w:cs="Arial"/>
          <w:lang w:eastAsia="es-ES"/>
        </w:rPr>
      </w:pPr>
    </w:p>
    <w:p w14:paraId="3C67206B" w14:textId="77777777" w:rsidR="007968EC" w:rsidRDefault="007968EC" w:rsidP="007968EC">
      <w:pPr>
        <w:ind w:left="459" w:hanging="426"/>
        <w:jc w:val="both"/>
        <w:rPr>
          <w:rFonts w:ascii="Arial Narrow" w:eastAsia="Calibri" w:hAnsi="Arial Narrow" w:cs="Arial"/>
          <w:lang w:eastAsia="es-ES"/>
        </w:rPr>
      </w:pPr>
      <w:r>
        <w:rPr>
          <w:rFonts w:ascii="Arial Narrow" w:eastAsia="Calibri" w:hAnsi="Arial Narrow" w:cs="Arial"/>
          <w:lang w:eastAsia="es-ES"/>
        </w:rPr>
        <w:t>5.</w:t>
      </w:r>
      <w:r>
        <w:rPr>
          <w:rFonts w:ascii="Arial Narrow" w:eastAsia="Calibri" w:hAnsi="Arial Narrow" w:cs="Arial"/>
          <w:lang w:eastAsia="es-ES"/>
        </w:rPr>
        <w:tab/>
        <w:t>Que la Operación y el plazo de la misma esté aceptado en la presente Circular.</w:t>
      </w:r>
    </w:p>
    <w:p w14:paraId="5B538DE0" w14:textId="77777777" w:rsidR="007968EC" w:rsidRDefault="007968EC" w:rsidP="007968EC">
      <w:pPr>
        <w:ind w:left="459" w:hanging="426"/>
        <w:jc w:val="both"/>
        <w:rPr>
          <w:rFonts w:ascii="Arial Narrow" w:eastAsia="Calibri" w:hAnsi="Arial Narrow" w:cs="Arial"/>
          <w:lang w:eastAsia="es-ES"/>
        </w:rPr>
      </w:pPr>
    </w:p>
    <w:p w14:paraId="2F769E85" w14:textId="77777777" w:rsidR="007968EC" w:rsidRDefault="007968EC" w:rsidP="007968EC">
      <w:pPr>
        <w:ind w:left="459" w:hanging="426"/>
        <w:jc w:val="both"/>
        <w:rPr>
          <w:rFonts w:ascii="Arial Narrow" w:eastAsia="Calibri" w:hAnsi="Arial Narrow" w:cs="Arial"/>
          <w:lang w:eastAsia="es-ES"/>
        </w:rPr>
      </w:pPr>
      <w:r>
        <w:rPr>
          <w:rFonts w:ascii="Arial Narrow" w:eastAsia="Calibri" w:hAnsi="Arial Narrow" w:cs="Arial"/>
          <w:lang w:eastAsia="es-ES"/>
        </w:rPr>
        <w:t>6.</w:t>
      </w:r>
      <w:r>
        <w:rPr>
          <w:rFonts w:ascii="Arial Narrow" w:eastAsia="Calibri" w:hAnsi="Arial Narrow" w:cs="Arial"/>
          <w:lang w:eastAsia="es-ES"/>
        </w:rPr>
        <w:tab/>
        <w:t>Que se cumplan con los controles de riesgo específicos que defina la Cámara para la aceptación de cada Operación Simultánea en el presente Segmento.</w:t>
      </w:r>
    </w:p>
    <w:p w14:paraId="74AC2D7A" w14:textId="77777777" w:rsidR="007968EC" w:rsidRDefault="007968EC" w:rsidP="007968EC">
      <w:pPr>
        <w:ind w:left="459" w:hanging="426"/>
        <w:jc w:val="both"/>
        <w:rPr>
          <w:rFonts w:ascii="Arial Narrow" w:eastAsia="Calibri" w:hAnsi="Arial Narrow" w:cs="Arial"/>
          <w:lang w:eastAsia="es-ES"/>
        </w:rPr>
      </w:pPr>
    </w:p>
    <w:p w14:paraId="0C59A75F" w14:textId="77777777" w:rsidR="007968EC" w:rsidRDefault="007968EC" w:rsidP="007968EC">
      <w:pPr>
        <w:ind w:left="33"/>
        <w:jc w:val="both"/>
        <w:rPr>
          <w:rFonts w:ascii="Arial Narrow" w:eastAsia="Calibri" w:hAnsi="Arial Narrow" w:cs="Arial"/>
          <w:lang w:eastAsia="es-ES"/>
        </w:rPr>
      </w:pPr>
      <w:r>
        <w:rPr>
          <w:rFonts w:ascii="Arial Narrow" w:eastAsia="Calibri" w:hAnsi="Arial Narrow" w:cs="Arial"/>
          <w:lang w:eastAsia="es-ES"/>
        </w:rPr>
        <w:t>Las Operaciones Simultáneas que hayan cumplido a satisfacción de la Cámara los requisitos y controles de riesgo antes indicados, se considerarán Operaciones Aceptadas y la Cámara enviará, en los casos que corresponda, al sistema de negociación y/o de registro, un mensaje informando la aceptación de la Operación por Cámara.</w:t>
      </w:r>
    </w:p>
    <w:p w14:paraId="66769956" w14:textId="77777777" w:rsidR="007968EC" w:rsidRDefault="007968EC" w:rsidP="007968EC">
      <w:pPr>
        <w:ind w:left="459" w:hanging="426"/>
        <w:jc w:val="both"/>
        <w:rPr>
          <w:rFonts w:ascii="Arial Narrow" w:eastAsia="Calibri" w:hAnsi="Arial Narrow" w:cs="Arial"/>
          <w:lang w:eastAsia="es-ES"/>
        </w:rPr>
      </w:pPr>
    </w:p>
    <w:p w14:paraId="6EE5706D" w14:textId="77777777" w:rsidR="007968EC" w:rsidRDefault="007968EC" w:rsidP="007968EC">
      <w:pPr>
        <w:ind w:left="33"/>
        <w:jc w:val="both"/>
        <w:rPr>
          <w:rFonts w:ascii="Arial Narrow" w:eastAsia="Calibri" w:hAnsi="Arial Narrow" w:cs="Arial"/>
          <w:lang w:eastAsia="es-ES"/>
        </w:rPr>
      </w:pPr>
      <w:r>
        <w:rPr>
          <w:rFonts w:ascii="Arial Narrow" w:eastAsia="Calibri" w:hAnsi="Arial Narrow" w:cs="Arial"/>
          <w:b/>
          <w:lang w:eastAsia="es-ES"/>
        </w:rPr>
        <w:t>Parágrafo.</w:t>
      </w:r>
      <w:r>
        <w:rPr>
          <w:rFonts w:ascii="Arial Narrow" w:eastAsia="Calibri" w:hAnsi="Arial Narrow" w:cs="Arial"/>
          <w:lang w:eastAsia="es-ES"/>
        </w:rPr>
        <w:t xml:space="preserve"> En cuanto a la Aceptación de las Operaciones Simultáneas provenientes de los siguientes sistemas de negociación y/o registro, deberá tenerse en cuenta las siguientes reglas:</w:t>
      </w:r>
    </w:p>
    <w:p w14:paraId="7316ECEC" w14:textId="77777777" w:rsidR="007968EC" w:rsidRDefault="007968EC" w:rsidP="007968EC">
      <w:pPr>
        <w:ind w:left="459" w:hanging="426"/>
        <w:jc w:val="both"/>
        <w:rPr>
          <w:rFonts w:ascii="Arial Narrow" w:eastAsia="Calibri" w:hAnsi="Arial Narrow" w:cs="Arial"/>
          <w:b/>
          <w:lang w:eastAsia="es-ES"/>
        </w:rPr>
      </w:pPr>
    </w:p>
    <w:p w14:paraId="518C0628" w14:textId="77777777" w:rsidR="007968EC" w:rsidRDefault="007968EC" w:rsidP="00DA7472">
      <w:pPr>
        <w:numPr>
          <w:ilvl w:val="0"/>
          <w:numId w:val="368"/>
        </w:numPr>
        <w:jc w:val="both"/>
        <w:rPr>
          <w:rFonts w:ascii="Arial Narrow" w:eastAsia="Calibri" w:hAnsi="Arial Narrow" w:cs="Arial"/>
          <w:lang w:eastAsia="es-ES"/>
        </w:rPr>
      </w:pPr>
      <w:r>
        <w:rPr>
          <w:rFonts w:ascii="Arial Narrow" w:eastAsia="Calibri" w:hAnsi="Arial Narrow" w:cs="Arial"/>
          <w:lang w:eastAsia="es-ES"/>
        </w:rPr>
        <w:t>Las Operaciones provenientes del Sistema Electrónico de Negociación (SEN), serán enviadas a la Cámara cada cinco (5) minutos a partir de las 8:00 a.m. para su aceptación por parte de la Cámara.</w:t>
      </w:r>
    </w:p>
    <w:p w14:paraId="03D50015" w14:textId="77777777" w:rsidR="007968EC" w:rsidRDefault="007968EC" w:rsidP="007968EC">
      <w:pPr>
        <w:ind w:left="720"/>
        <w:jc w:val="both"/>
        <w:rPr>
          <w:rFonts w:ascii="Arial Narrow" w:eastAsia="Calibri" w:hAnsi="Arial Narrow" w:cs="Arial"/>
          <w:lang w:eastAsia="es-ES"/>
        </w:rPr>
      </w:pPr>
    </w:p>
    <w:p w14:paraId="1D70C70D" w14:textId="77777777" w:rsidR="007968EC" w:rsidRDefault="007968EC" w:rsidP="00DA7472">
      <w:pPr>
        <w:numPr>
          <w:ilvl w:val="0"/>
          <w:numId w:val="368"/>
        </w:numPr>
        <w:jc w:val="both"/>
      </w:pPr>
      <w:r>
        <w:rPr>
          <w:rFonts w:ascii="Arial Narrow" w:eastAsia="Calibri" w:hAnsi="Arial Narrow" w:cs="Arial"/>
          <w:lang w:eastAsia="es-ES"/>
        </w:rPr>
        <w:t>Las Operaciones Simultáneas provenientes del Mercado Electrónico Colombiano administrado por la BVC S.A. MEC, serán enviadas en línea para su aceptación por parte de la Cámara.</w:t>
      </w:r>
    </w:p>
    <w:p w14:paraId="0A90F1A7" w14:textId="77777777" w:rsidR="007968EC" w:rsidRPr="002C0D19" w:rsidRDefault="007968EC" w:rsidP="007968EC">
      <w:pPr>
        <w:ind w:left="708"/>
        <w:rPr>
          <w:rFonts w:ascii="Arial Narrow" w:eastAsia="Calibri" w:hAnsi="Arial Narrow"/>
          <w:color w:val="000000" w:themeColor="text1"/>
        </w:rPr>
      </w:pPr>
    </w:p>
    <w:p w14:paraId="7593426C" w14:textId="77777777" w:rsidR="007968EC" w:rsidRDefault="007968EC" w:rsidP="007968EC">
      <w:pPr>
        <w:pStyle w:val="ANTECEDENTES"/>
        <w:rPr>
          <w:rFonts w:eastAsia="Calibri"/>
        </w:rPr>
      </w:pPr>
      <w:bookmarkStart w:id="5458" w:name="_Toc470781186"/>
      <w:bookmarkStart w:id="5459" w:name="_Toc470784751"/>
      <w:bookmarkStart w:id="5460" w:name="_Toc470785288"/>
      <w:bookmarkStart w:id="5461" w:name="_Toc470791682"/>
      <w:bookmarkStart w:id="5462" w:name="_Toc472592421"/>
      <w:bookmarkStart w:id="5463" w:name="_Toc472593440"/>
      <w:bookmarkStart w:id="5464" w:name="_Toc479057234"/>
      <w:bookmarkStart w:id="5465" w:name="_Toc490066595"/>
    </w:p>
    <w:p w14:paraId="2D681043" w14:textId="77777777" w:rsidR="007968EC" w:rsidRPr="002C0D19" w:rsidRDefault="007968EC" w:rsidP="007968EC">
      <w:pPr>
        <w:pStyle w:val="TTULO"/>
        <w:rPr>
          <w:rFonts w:eastAsia="Calibri"/>
          <w:lang w:val="es-ES"/>
        </w:rPr>
      </w:pPr>
      <w:bookmarkStart w:id="5466" w:name="_Toc31716257"/>
      <w:r w:rsidRPr="002C0D19">
        <w:rPr>
          <w:rFonts w:eastAsia="Calibri"/>
          <w:lang w:val="es-ES"/>
        </w:rPr>
        <w:t>CAPÍTULO SEGUNDO</w:t>
      </w:r>
      <w:bookmarkEnd w:id="5458"/>
      <w:bookmarkEnd w:id="5459"/>
      <w:bookmarkEnd w:id="5460"/>
      <w:bookmarkEnd w:id="5461"/>
      <w:bookmarkEnd w:id="5462"/>
      <w:bookmarkEnd w:id="5463"/>
      <w:bookmarkEnd w:id="5464"/>
      <w:bookmarkEnd w:id="5465"/>
      <w:bookmarkEnd w:id="5466"/>
    </w:p>
    <w:p w14:paraId="0C44AAE4" w14:textId="77777777" w:rsidR="007968EC" w:rsidRPr="002C0D19" w:rsidRDefault="007968EC" w:rsidP="007968EC">
      <w:pPr>
        <w:jc w:val="both"/>
        <w:rPr>
          <w:rFonts w:ascii="Arial Narrow" w:eastAsia="Calibri" w:hAnsi="Arial Narrow"/>
          <w:b/>
          <w:color w:val="000000" w:themeColor="text1"/>
        </w:rPr>
      </w:pPr>
    </w:p>
    <w:p w14:paraId="415CAA6B" w14:textId="77777777" w:rsidR="007968EC" w:rsidRPr="002C0D19" w:rsidRDefault="007968EC" w:rsidP="007968EC">
      <w:pPr>
        <w:pStyle w:val="ARTICULO0"/>
      </w:pPr>
      <w:bookmarkStart w:id="5467" w:name="_Toc470784752"/>
      <w:bookmarkStart w:id="5468" w:name="_Toc470785289"/>
      <w:bookmarkStart w:id="5469" w:name="_Toc470791683"/>
      <w:bookmarkStart w:id="5470" w:name="_Toc472592422"/>
      <w:bookmarkStart w:id="5471" w:name="_Toc472593441"/>
      <w:bookmarkStart w:id="5472" w:name="_Toc479057235"/>
      <w:bookmarkStart w:id="5473" w:name="_Toc490066596"/>
      <w:bookmarkStart w:id="5474" w:name="_Toc31716258"/>
      <w:r w:rsidRPr="002C0D19">
        <w:t>Artículo 3.2.2.1.   Rechazo de Operaciones Simultáneas provenientes de sistemas de negociación y/o registro autorizados por la Cámara.</w:t>
      </w:r>
      <w:bookmarkEnd w:id="5467"/>
      <w:bookmarkEnd w:id="5468"/>
      <w:bookmarkEnd w:id="5469"/>
      <w:bookmarkEnd w:id="5470"/>
      <w:bookmarkEnd w:id="5471"/>
      <w:bookmarkEnd w:id="5472"/>
      <w:bookmarkEnd w:id="5473"/>
      <w:bookmarkEnd w:id="5474"/>
    </w:p>
    <w:p w14:paraId="1B02B08D" w14:textId="77777777" w:rsidR="007968EC" w:rsidRPr="002C0D19" w:rsidRDefault="007968EC" w:rsidP="007968EC">
      <w:pPr>
        <w:jc w:val="both"/>
        <w:rPr>
          <w:rFonts w:ascii="Arial Narrow" w:eastAsia="Calibri" w:hAnsi="Arial Narrow"/>
          <w:i/>
          <w:color w:val="000000" w:themeColor="text1"/>
        </w:rPr>
      </w:pPr>
    </w:p>
    <w:p w14:paraId="513BD75B"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La Cámara rechazará las Operaciones Simultáneas que provengan de un sistema de negociación y/o registro, cuando se presente alguno de los siguientes problemas de tipo operativo, tecnológico o de riesgo:</w:t>
      </w:r>
    </w:p>
    <w:p w14:paraId="7FC1987E" w14:textId="77777777" w:rsidR="007968EC" w:rsidRPr="002C0D19" w:rsidRDefault="007968EC" w:rsidP="007968EC">
      <w:pPr>
        <w:jc w:val="both"/>
        <w:rPr>
          <w:rFonts w:ascii="Arial Narrow" w:eastAsia="Calibri" w:hAnsi="Arial Narrow"/>
          <w:color w:val="000000" w:themeColor="text1"/>
        </w:rPr>
      </w:pPr>
    </w:p>
    <w:p w14:paraId="41042331" w14:textId="77777777" w:rsidR="007968EC" w:rsidRPr="002C0D19" w:rsidRDefault="007968EC" w:rsidP="00DA7472">
      <w:pPr>
        <w:numPr>
          <w:ilvl w:val="6"/>
          <w:numId w:val="165"/>
        </w:numPr>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 xml:space="preserve">Que cualquier de las partes que celebren la Operación Simultánea no sean Miembros de la Cámara o no se encuentran en estado activo. </w:t>
      </w:r>
    </w:p>
    <w:p w14:paraId="56C6EDBC" w14:textId="77777777" w:rsidR="007968EC" w:rsidRPr="002C0D19" w:rsidRDefault="007968EC" w:rsidP="007968EC">
      <w:pPr>
        <w:ind w:left="426"/>
        <w:contextualSpacing/>
        <w:jc w:val="both"/>
        <w:rPr>
          <w:rFonts w:ascii="Arial Narrow" w:eastAsia="Calibri" w:hAnsi="Arial Narrow"/>
          <w:color w:val="000000" w:themeColor="text1"/>
        </w:rPr>
      </w:pPr>
    </w:p>
    <w:p w14:paraId="289B2475" w14:textId="77777777" w:rsidR="007968EC" w:rsidRPr="002C0D19" w:rsidRDefault="007968EC" w:rsidP="00DA7472">
      <w:pPr>
        <w:numPr>
          <w:ilvl w:val="6"/>
          <w:numId w:val="165"/>
        </w:numPr>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Que cualquiera de las partes que celebre la Operación Simultánea se encuentre bloqueada, excluida, inactivada y/o suspendida en el sistema de negociación de Operaciones en el que se celebró la respectiva Operación de acuerdo con lo establecido en sus reglamentos, circulares y/o Acuerdo suscrito con la Cámara para la compensación y liquidación de Operaciones. En el caso de las Operaciones Simultáneas registradas en el sistema MEC de registro, la Cámara procederá al rechazo de las Operaciones en el Sistema de Cámara.</w:t>
      </w:r>
    </w:p>
    <w:p w14:paraId="62D26A34" w14:textId="77777777" w:rsidR="007968EC" w:rsidRPr="002C0D19" w:rsidRDefault="007968EC" w:rsidP="007968EC">
      <w:pPr>
        <w:ind w:left="720"/>
        <w:contextualSpacing/>
        <w:rPr>
          <w:rFonts w:ascii="Arial Narrow" w:eastAsia="Calibri" w:hAnsi="Arial Narrow"/>
          <w:color w:val="000000" w:themeColor="text1"/>
        </w:rPr>
      </w:pPr>
    </w:p>
    <w:p w14:paraId="3D413498" w14:textId="77777777" w:rsidR="007968EC" w:rsidRPr="002C0D19" w:rsidRDefault="007968EC" w:rsidP="00DA7472">
      <w:pPr>
        <w:numPr>
          <w:ilvl w:val="6"/>
          <w:numId w:val="165"/>
        </w:numPr>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Que la Operación Simultánea haya sido celebrada por un Miembro de la Cámara que se encuentre suspendido o excluido del sistema de negociación y/o registro autorizado por la Cámara.</w:t>
      </w:r>
    </w:p>
    <w:p w14:paraId="098B6DAF" w14:textId="77777777" w:rsidR="007968EC" w:rsidRPr="002C0D19" w:rsidRDefault="007968EC" w:rsidP="007968EC">
      <w:pPr>
        <w:ind w:left="720"/>
        <w:contextualSpacing/>
        <w:rPr>
          <w:rFonts w:ascii="Arial Narrow" w:eastAsia="Calibri" w:hAnsi="Arial Narrow"/>
          <w:color w:val="000000" w:themeColor="text1"/>
        </w:rPr>
      </w:pPr>
    </w:p>
    <w:p w14:paraId="44FB8A79" w14:textId="77777777" w:rsidR="007968EC" w:rsidRPr="002C0D19" w:rsidRDefault="007968EC" w:rsidP="00DA7472">
      <w:pPr>
        <w:numPr>
          <w:ilvl w:val="6"/>
          <w:numId w:val="165"/>
        </w:numPr>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Que cualquiera de los Miembros que celebran la Operación no cuenten con los límites y Garantías disponibles en la Cámara.</w:t>
      </w:r>
    </w:p>
    <w:p w14:paraId="00FC0AC5" w14:textId="77777777" w:rsidR="007968EC" w:rsidRPr="002C0D19" w:rsidRDefault="007968EC" w:rsidP="007968EC">
      <w:pPr>
        <w:ind w:left="720"/>
        <w:contextualSpacing/>
        <w:rPr>
          <w:rFonts w:ascii="Arial Narrow" w:eastAsia="Calibri" w:hAnsi="Arial Narrow"/>
          <w:color w:val="000000" w:themeColor="text1"/>
        </w:rPr>
      </w:pPr>
    </w:p>
    <w:p w14:paraId="6035CDA1" w14:textId="77777777" w:rsidR="007968EC" w:rsidRPr="002C0D19" w:rsidRDefault="007968EC" w:rsidP="00DA7472">
      <w:pPr>
        <w:numPr>
          <w:ilvl w:val="6"/>
          <w:numId w:val="165"/>
        </w:numPr>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Que las Operaciones no provengan de un sistema de negociación y/o registro autorizado por la Cámara.</w:t>
      </w:r>
    </w:p>
    <w:p w14:paraId="0B1E7DD2" w14:textId="77777777" w:rsidR="007968EC" w:rsidRPr="002C0D19" w:rsidRDefault="007968EC" w:rsidP="007968EC">
      <w:pPr>
        <w:ind w:left="720"/>
        <w:contextualSpacing/>
        <w:rPr>
          <w:rFonts w:ascii="Arial Narrow" w:eastAsia="Calibri" w:hAnsi="Arial Narrow"/>
          <w:color w:val="000000" w:themeColor="text1"/>
        </w:rPr>
      </w:pPr>
    </w:p>
    <w:p w14:paraId="2BCDA88C" w14:textId="77777777" w:rsidR="007968EC" w:rsidRPr="002C0D19" w:rsidRDefault="007968EC" w:rsidP="00DA7472">
      <w:pPr>
        <w:numPr>
          <w:ilvl w:val="6"/>
          <w:numId w:val="165"/>
        </w:numPr>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Que la información enviada por los sistemas de negociación y/o registro, incluidos los Términos Económicos, no sea la exigida por la Cámara para que se entienda aceptada la Operación o éstos no identifiquen debidamente las partes de la Operación.</w:t>
      </w:r>
    </w:p>
    <w:p w14:paraId="0BC7D2BD" w14:textId="77777777" w:rsidR="007968EC" w:rsidRPr="002C0D19" w:rsidRDefault="007968EC" w:rsidP="007968EC">
      <w:pPr>
        <w:ind w:left="720"/>
        <w:contextualSpacing/>
        <w:rPr>
          <w:rFonts w:ascii="Arial Narrow" w:eastAsia="Calibri" w:hAnsi="Arial Narrow"/>
          <w:color w:val="000000" w:themeColor="text1"/>
        </w:rPr>
      </w:pPr>
    </w:p>
    <w:p w14:paraId="0BEC41E7" w14:textId="77777777" w:rsidR="007968EC" w:rsidRPr="002C0D19" w:rsidRDefault="007968EC" w:rsidP="00DA7472">
      <w:pPr>
        <w:numPr>
          <w:ilvl w:val="6"/>
          <w:numId w:val="165"/>
        </w:numPr>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Que la fecha de vencimiento de la Operación Simultánea susceptible de ser aceptada haga referencia a una fecha de vencimiento que corresponda a un día no hábil de operación en Colombia de la Cámara.</w:t>
      </w:r>
    </w:p>
    <w:p w14:paraId="01A8F8F6" w14:textId="77777777" w:rsidR="007968EC" w:rsidRPr="002C0D19" w:rsidRDefault="007968EC" w:rsidP="007968EC">
      <w:pPr>
        <w:ind w:left="720"/>
        <w:contextualSpacing/>
        <w:rPr>
          <w:rFonts w:ascii="Arial Narrow" w:eastAsia="Calibri" w:hAnsi="Arial Narrow"/>
          <w:color w:val="000000" w:themeColor="text1"/>
        </w:rPr>
      </w:pPr>
    </w:p>
    <w:p w14:paraId="4A63B821" w14:textId="77777777" w:rsidR="007968EC" w:rsidRPr="002C0D19" w:rsidRDefault="007968EC" w:rsidP="00DA7472">
      <w:pPr>
        <w:numPr>
          <w:ilvl w:val="6"/>
          <w:numId w:val="165"/>
        </w:numPr>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Que no se cumpla con los controles de riesgo específicos que defina la Cámara para las Operaciones Simultáneas en el presente Segmento.</w:t>
      </w:r>
    </w:p>
    <w:p w14:paraId="6E9B9DC2" w14:textId="77777777" w:rsidR="007968EC" w:rsidRPr="002C0D19" w:rsidRDefault="007968EC" w:rsidP="007968EC">
      <w:pPr>
        <w:ind w:left="720"/>
        <w:contextualSpacing/>
        <w:rPr>
          <w:rFonts w:ascii="Arial Narrow" w:eastAsia="Calibri" w:hAnsi="Arial Narrow"/>
          <w:color w:val="000000" w:themeColor="text1"/>
        </w:rPr>
      </w:pPr>
    </w:p>
    <w:p w14:paraId="630003A0" w14:textId="77777777" w:rsidR="007968EC" w:rsidRPr="002C0D19" w:rsidRDefault="007968EC" w:rsidP="00DA7472">
      <w:pPr>
        <w:numPr>
          <w:ilvl w:val="6"/>
          <w:numId w:val="165"/>
        </w:numPr>
        <w:ind w:left="426" w:hanging="426"/>
        <w:contextualSpacing/>
        <w:jc w:val="both"/>
        <w:rPr>
          <w:rFonts w:ascii="Arial Narrow" w:eastAsia="Calibri" w:hAnsi="Arial Narrow"/>
          <w:color w:val="000000" w:themeColor="text1"/>
        </w:rPr>
      </w:pPr>
      <w:r w:rsidRPr="002C0D19">
        <w:rPr>
          <w:rFonts w:ascii="Arial Narrow" w:eastAsia="Calibri" w:hAnsi="Arial Narrow"/>
          <w:color w:val="000000" w:themeColor="text1"/>
        </w:rPr>
        <w:t xml:space="preserve">Que exista un evento de caso fortuito y/o fuerza mayor que impida la comunicación entre el sistema de negociación y/o registro y el Sistema de Cámara. </w:t>
      </w:r>
    </w:p>
    <w:p w14:paraId="1297FD8D" w14:textId="77777777" w:rsidR="007968EC" w:rsidRPr="002C0D19" w:rsidRDefault="007968EC" w:rsidP="007968EC">
      <w:pPr>
        <w:ind w:right="-1526"/>
        <w:jc w:val="both"/>
        <w:rPr>
          <w:rFonts w:ascii="Arial Narrow" w:eastAsia="Calibri" w:hAnsi="Arial Narrow"/>
          <w:color w:val="000000" w:themeColor="text1"/>
          <w:u w:val="single"/>
        </w:rPr>
      </w:pPr>
    </w:p>
    <w:p w14:paraId="6BE6B754"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Las Operaciones rechazadas por una o más de las causales anteriores serán informadas por la Cámara, en los casos que corresponda, al sistema de negociación y/o registro.</w:t>
      </w:r>
    </w:p>
    <w:p w14:paraId="0D13F8B2" w14:textId="77777777" w:rsidR="007968EC" w:rsidRPr="002C0D19" w:rsidRDefault="007968EC" w:rsidP="007968EC">
      <w:pPr>
        <w:jc w:val="both"/>
        <w:rPr>
          <w:rFonts w:ascii="Arial Narrow" w:eastAsia="Calibri" w:hAnsi="Arial Narrow"/>
          <w:color w:val="000000" w:themeColor="text1"/>
        </w:rPr>
      </w:pPr>
    </w:p>
    <w:p w14:paraId="52387CC9" w14:textId="77777777" w:rsidR="007968EC" w:rsidRPr="004D6548" w:rsidRDefault="007968EC" w:rsidP="007968EC">
      <w:pPr>
        <w:jc w:val="both"/>
        <w:rPr>
          <w:rFonts w:ascii="Arial Narrow" w:eastAsia="Calibri" w:hAnsi="Arial Narrow"/>
          <w:bCs/>
          <w:color w:val="000000" w:themeColor="text1"/>
        </w:rPr>
      </w:pPr>
      <w:bookmarkStart w:id="5475" w:name="_Toc470781187"/>
      <w:bookmarkStart w:id="5476" w:name="_Toc470784753"/>
      <w:bookmarkStart w:id="5477" w:name="_Toc470785290"/>
      <w:bookmarkStart w:id="5478" w:name="_Toc470791684"/>
      <w:bookmarkStart w:id="5479" w:name="_Toc471831893"/>
      <w:bookmarkStart w:id="5480" w:name="_Toc490066597"/>
      <w:bookmarkStart w:id="5481" w:name="_Toc490079375"/>
      <w:r w:rsidRPr="004D6548">
        <w:rPr>
          <w:rFonts w:ascii="Arial Narrow" w:eastAsia="Calibri" w:hAnsi="Arial Narrow"/>
          <w:bCs/>
          <w:color w:val="000000" w:themeColor="text1"/>
        </w:rPr>
        <w:t>La Cámara no será responsable en ningún caso por tales Operaciones.</w:t>
      </w:r>
      <w:bookmarkEnd w:id="5475"/>
      <w:bookmarkEnd w:id="5476"/>
      <w:bookmarkEnd w:id="5477"/>
      <w:bookmarkEnd w:id="5478"/>
      <w:bookmarkEnd w:id="5479"/>
      <w:bookmarkEnd w:id="5480"/>
      <w:bookmarkEnd w:id="5481"/>
    </w:p>
    <w:p w14:paraId="5C1806BB" w14:textId="77777777" w:rsidR="007968EC" w:rsidRPr="002C0D19" w:rsidRDefault="007968EC" w:rsidP="007968EC">
      <w:pPr>
        <w:rPr>
          <w:rFonts w:ascii="Arial Narrow" w:eastAsia="Calibri" w:hAnsi="Arial Narrow"/>
          <w:color w:val="000000" w:themeColor="text1"/>
        </w:rPr>
      </w:pPr>
    </w:p>
    <w:p w14:paraId="20C71A5D" w14:textId="77777777" w:rsidR="007968EC" w:rsidRDefault="007968EC" w:rsidP="007968EC">
      <w:pPr>
        <w:pStyle w:val="ANTECEDENTES"/>
        <w:rPr>
          <w:rFonts w:eastAsia="Calibri"/>
        </w:rPr>
      </w:pPr>
      <w:bookmarkStart w:id="5482" w:name="_Toc470781188"/>
      <w:bookmarkStart w:id="5483" w:name="_Toc470784754"/>
      <w:bookmarkStart w:id="5484" w:name="_Toc470785291"/>
      <w:bookmarkStart w:id="5485" w:name="_Toc470791685"/>
      <w:bookmarkStart w:id="5486" w:name="_Toc472592423"/>
      <w:bookmarkStart w:id="5487" w:name="_Toc472593442"/>
      <w:bookmarkStart w:id="5488" w:name="_Toc479057236"/>
      <w:bookmarkStart w:id="5489" w:name="_Toc490066598"/>
    </w:p>
    <w:p w14:paraId="114B20E1" w14:textId="77777777" w:rsidR="007968EC" w:rsidRPr="002C0D19" w:rsidRDefault="007968EC" w:rsidP="007968EC">
      <w:pPr>
        <w:pStyle w:val="TTULO"/>
        <w:rPr>
          <w:rFonts w:eastAsia="Calibri"/>
          <w:lang w:val="es-ES"/>
        </w:rPr>
      </w:pPr>
      <w:bookmarkStart w:id="5490" w:name="_Toc31716259"/>
      <w:r w:rsidRPr="002C0D19">
        <w:rPr>
          <w:rFonts w:eastAsia="Calibri"/>
          <w:lang w:val="es-ES"/>
        </w:rPr>
        <w:t>CAPÍTULO TERCERO</w:t>
      </w:r>
      <w:bookmarkEnd w:id="5482"/>
      <w:bookmarkEnd w:id="5483"/>
      <w:bookmarkEnd w:id="5484"/>
      <w:bookmarkEnd w:id="5485"/>
      <w:bookmarkEnd w:id="5486"/>
      <w:bookmarkEnd w:id="5487"/>
      <w:bookmarkEnd w:id="5488"/>
      <w:bookmarkEnd w:id="5489"/>
      <w:bookmarkEnd w:id="5490"/>
    </w:p>
    <w:p w14:paraId="0A3908F8" w14:textId="77777777" w:rsidR="007968EC" w:rsidRPr="002C0D19" w:rsidRDefault="007968EC" w:rsidP="007968EC">
      <w:pPr>
        <w:pStyle w:val="ANTECEDENTES"/>
        <w:rPr>
          <w:rFonts w:eastAsia="Calibri"/>
        </w:rPr>
      </w:pPr>
    </w:p>
    <w:p w14:paraId="4919D288" w14:textId="77777777" w:rsidR="007968EC" w:rsidRPr="002C0D19" w:rsidRDefault="007968EC" w:rsidP="007968EC">
      <w:pPr>
        <w:pStyle w:val="TTULO"/>
        <w:rPr>
          <w:rFonts w:eastAsia="Calibri"/>
          <w:lang w:val="es-ES"/>
        </w:rPr>
      </w:pPr>
      <w:bookmarkStart w:id="5491" w:name="_Toc470781189"/>
      <w:bookmarkStart w:id="5492" w:name="_Toc470784755"/>
      <w:bookmarkStart w:id="5493" w:name="_Toc470785292"/>
      <w:bookmarkStart w:id="5494" w:name="_Toc470791686"/>
      <w:bookmarkStart w:id="5495" w:name="_Toc472592424"/>
      <w:bookmarkStart w:id="5496" w:name="_Toc472593443"/>
      <w:bookmarkStart w:id="5497" w:name="_Toc479057237"/>
      <w:bookmarkStart w:id="5498" w:name="_Toc490066599"/>
      <w:bookmarkStart w:id="5499" w:name="_Toc31716260"/>
      <w:r w:rsidRPr="002C0D19">
        <w:rPr>
          <w:rFonts w:eastAsia="Calibri"/>
          <w:lang w:val="es-ES"/>
        </w:rPr>
        <w:t>ANULACIÓN Y CORRECCIÓN DE OPERACIONES</w:t>
      </w:r>
      <w:bookmarkEnd w:id="5491"/>
      <w:bookmarkEnd w:id="5492"/>
      <w:bookmarkEnd w:id="5493"/>
      <w:bookmarkEnd w:id="5494"/>
      <w:bookmarkEnd w:id="5495"/>
      <w:bookmarkEnd w:id="5496"/>
      <w:bookmarkEnd w:id="5497"/>
      <w:bookmarkEnd w:id="5498"/>
      <w:bookmarkEnd w:id="5499"/>
    </w:p>
    <w:p w14:paraId="7EAE8D56" w14:textId="77777777" w:rsidR="007968EC" w:rsidRPr="002C0D19" w:rsidRDefault="007968EC" w:rsidP="007968EC">
      <w:pPr>
        <w:pStyle w:val="ANTECEDENTES"/>
        <w:rPr>
          <w:rFonts w:eastAsia="Calibri"/>
        </w:rPr>
      </w:pPr>
    </w:p>
    <w:p w14:paraId="09710598" w14:textId="77777777" w:rsidR="007968EC" w:rsidRDefault="007968EC" w:rsidP="007968EC">
      <w:pPr>
        <w:pStyle w:val="ARTICULO0"/>
      </w:pPr>
      <w:bookmarkStart w:id="5500" w:name="_Toc470781190"/>
      <w:bookmarkStart w:id="5501" w:name="_Toc470784756"/>
      <w:bookmarkStart w:id="5502" w:name="_Toc470785293"/>
      <w:bookmarkStart w:id="5503" w:name="_Toc470791687"/>
      <w:bookmarkStart w:id="5504" w:name="_Toc472592425"/>
      <w:bookmarkStart w:id="5505" w:name="_Toc472593444"/>
      <w:bookmarkStart w:id="5506" w:name="_Toc479057238"/>
      <w:bookmarkStart w:id="5507" w:name="_Toc31716261"/>
      <w:bookmarkStart w:id="5508" w:name="_Toc490066600"/>
      <w:r w:rsidRPr="002C0D19">
        <w:t>Artículo 3.2.3.1. Procedimiento de anulación de Operaciones.</w:t>
      </w:r>
      <w:bookmarkStart w:id="5509" w:name="_Toc471831897"/>
      <w:bookmarkStart w:id="5510" w:name="_Toc470781191"/>
      <w:bookmarkStart w:id="5511" w:name="_Toc470784757"/>
      <w:bookmarkStart w:id="5512" w:name="_Toc470785294"/>
      <w:bookmarkStart w:id="5513" w:name="_Toc470791688"/>
      <w:bookmarkEnd w:id="5500"/>
      <w:bookmarkEnd w:id="5501"/>
      <w:bookmarkEnd w:id="5502"/>
      <w:bookmarkEnd w:id="5503"/>
      <w:bookmarkEnd w:id="5504"/>
      <w:bookmarkEnd w:id="5505"/>
      <w:bookmarkEnd w:id="5506"/>
      <w:bookmarkEnd w:id="5507"/>
      <w:r w:rsidRPr="002C0D19">
        <w:t xml:space="preserve"> </w:t>
      </w:r>
    </w:p>
    <w:p w14:paraId="4FF05AAE" w14:textId="77777777" w:rsidR="007968EC" w:rsidRDefault="007968EC" w:rsidP="007968EC">
      <w:pPr>
        <w:keepNext/>
        <w:tabs>
          <w:tab w:val="left" w:pos="1701"/>
        </w:tabs>
        <w:jc w:val="both"/>
        <w:outlineLvl w:val="2"/>
        <w:rPr>
          <w:rFonts w:ascii="Arial Narrow" w:hAnsi="Arial Narrow" w:cs="Arial"/>
          <w:b/>
          <w:color w:val="000000" w:themeColor="text1"/>
          <w:u w:val="single"/>
          <w:lang w:eastAsia="es-ES"/>
        </w:rPr>
      </w:pPr>
    </w:p>
    <w:p w14:paraId="52D3A378" w14:textId="77777777" w:rsidR="007968EC" w:rsidRPr="002C0D19" w:rsidRDefault="007968EC" w:rsidP="007968EC">
      <w:pPr>
        <w:pStyle w:val="ANTECEDENTES"/>
      </w:pPr>
      <w:r>
        <w:t>(</w:t>
      </w:r>
      <w:r w:rsidRPr="002C0D19">
        <w:t>Este artículo fue modificado mediante Circular 2 del 11 de enero de 2017, publicada mediante Boletín Normativo No. 002 del 11 de enero de 2017. Rige a partir del 12 de enero de 2017.)</w:t>
      </w:r>
      <w:bookmarkEnd w:id="5508"/>
    </w:p>
    <w:p w14:paraId="1C331FC4" w14:textId="77777777" w:rsidR="007968EC" w:rsidRPr="004D6548" w:rsidRDefault="007968EC" w:rsidP="007968EC">
      <w:pPr>
        <w:jc w:val="both"/>
        <w:rPr>
          <w:rFonts w:ascii="Arial Narrow" w:eastAsia="Calibri" w:hAnsi="Arial Narrow"/>
          <w:bCs/>
          <w:color w:val="000000" w:themeColor="text1"/>
        </w:rPr>
      </w:pPr>
    </w:p>
    <w:p w14:paraId="70566EA1" w14:textId="77777777" w:rsidR="007968EC" w:rsidRPr="004D6548" w:rsidRDefault="007968EC" w:rsidP="007968EC">
      <w:pPr>
        <w:jc w:val="both"/>
        <w:rPr>
          <w:rFonts w:ascii="Arial Narrow" w:eastAsia="Calibri" w:hAnsi="Arial Narrow"/>
          <w:bCs/>
          <w:color w:val="000000" w:themeColor="text1"/>
        </w:rPr>
      </w:pPr>
      <w:bookmarkStart w:id="5514" w:name="_Toc490066601"/>
      <w:bookmarkStart w:id="5515" w:name="_Toc490079379"/>
      <w:r w:rsidRPr="004D6548">
        <w:rPr>
          <w:rFonts w:ascii="Arial Narrow" w:eastAsia="Calibri" w:hAnsi="Arial Narrow"/>
          <w:bCs/>
          <w:color w:val="000000" w:themeColor="text1"/>
        </w:rPr>
        <w:t>El procedimiento de anulación de Operaciones que se agrupan en este Segmento es gestionado directamente por los sistemas de negociación y/o registro, o Mecanismo de Contratación, de acuerdo con las reglas estipuladas en su reglamentación.</w:t>
      </w:r>
      <w:bookmarkEnd w:id="5509"/>
      <w:bookmarkEnd w:id="5514"/>
      <w:bookmarkEnd w:id="5515"/>
    </w:p>
    <w:p w14:paraId="3EDEFAD1" w14:textId="77777777" w:rsidR="007968EC" w:rsidRPr="004D6548" w:rsidRDefault="007968EC" w:rsidP="007968EC">
      <w:pPr>
        <w:jc w:val="both"/>
        <w:rPr>
          <w:rFonts w:ascii="Arial Narrow" w:eastAsia="Calibri" w:hAnsi="Arial Narrow"/>
          <w:bCs/>
          <w:color w:val="000000" w:themeColor="text1"/>
        </w:rPr>
      </w:pPr>
    </w:p>
    <w:p w14:paraId="0B490629" w14:textId="77777777" w:rsidR="007968EC" w:rsidRPr="004D6548" w:rsidRDefault="007968EC" w:rsidP="007968EC">
      <w:pPr>
        <w:jc w:val="both"/>
        <w:rPr>
          <w:rFonts w:ascii="Arial Narrow" w:eastAsia="Calibri" w:hAnsi="Arial Narrow"/>
          <w:bCs/>
          <w:color w:val="000000" w:themeColor="text1"/>
        </w:rPr>
      </w:pPr>
      <w:bookmarkStart w:id="5516" w:name="_Toc471831898"/>
      <w:bookmarkStart w:id="5517" w:name="_Toc490066602"/>
      <w:bookmarkStart w:id="5518" w:name="_Toc490079380"/>
      <w:r w:rsidRPr="004D6548">
        <w:rPr>
          <w:rFonts w:ascii="Arial Narrow" w:eastAsia="Calibri" w:hAnsi="Arial Narrow"/>
          <w:bCs/>
          <w:color w:val="000000" w:themeColor="text1"/>
        </w:rPr>
        <w:t>En todo caso, se tendrá en cuenta el siguiente procedimiento:</w:t>
      </w:r>
      <w:bookmarkEnd w:id="5510"/>
      <w:bookmarkEnd w:id="5511"/>
      <w:bookmarkEnd w:id="5512"/>
      <w:bookmarkEnd w:id="5513"/>
      <w:bookmarkEnd w:id="5516"/>
      <w:bookmarkEnd w:id="5517"/>
      <w:bookmarkEnd w:id="5518"/>
    </w:p>
    <w:p w14:paraId="0B7E0B65" w14:textId="77777777" w:rsidR="007968EC" w:rsidRPr="004D6548" w:rsidRDefault="007968EC" w:rsidP="007968EC">
      <w:pPr>
        <w:jc w:val="both"/>
        <w:rPr>
          <w:rFonts w:ascii="Arial Narrow" w:eastAsia="Calibri" w:hAnsi="Arial Narrow"/>
          <w:bCs/>
          <w:color w:val="000000" w:themeColor="text1"/>
        </w:rPr>
      </w:pPr>
    </w:p>
    <w:p w14:paraId="7D87D384" w14:textId="77777777" w:rsidR="007968EC" w:rsidRPr="004D6548" w:rsidRDefault="007968EC" w:rsidP="00DA7472">
      <w:pPr>
        <w:pStyle w:val="Prrafodelista"/>
        <w:numPr>
          <w:ilvl w:val="0"/>
          <w:numId w:val="301"/>
        </w:numPr>
        <w:ind w:left="709"/>
        <w:jc w:val="both"/>
        <w:rPr>
          <w:rFonts w:ascii="Arial Narrow" w:eastAsia="Calibri" w:hAnsi="Arial Narrow" w:cs="Times New Roman"/>
          <w:b w:val="0"/>
          <w:bCs/>
          <w:color w:val="000000" w:themeColor="text1"/>
        </w:rPr>
      </w:pPr>
      <w:bookmarkStart w:id="5519" w:name="_Toc470781192"/>
      <w:bookmarkStart w:id="5520" w:name="_Toc470784758"/>
      <w:bookmarkStart w:id="5521" w:name="_Toc470785295"/>
      <w:bookmarkStart w:id="5522" w:name="_Toc470791689"/>
      <w:bookmarkStart w:id="5523" w:name="_Toc471831899"/>
      <w:bookmarkStart w:id="5524" w:name="_Toc490066603"/>
      <w:bookmarkStart w:id="5525" w:name="_Toc490079381"/>
      <w:r w:rsidRPr="004D6548">
        <w:rPr>
          <w:rFonts w:ascii="Arial Narrow" w:eastAsia="Calibri" w:hAnsi="Arial Narrow" w:cs="Times New Roman"/>
          <w:b w:val="0"/>
          <w:bCs/>
          <w:color w:val="000000" w:themeColor="text1"/>
        </w:rPr>
        <w:t>Cuando se trate de una Operación Simultánea, proveniente de un sistema de negociación y/o registro, o de un Mecanismo de Contratación, el administrador de dicho sistema o Mecanismo registra una operación de tipo “X”, que permite la generación automática de todos los procesos necesarios para anular la Operación Simultánea asociada al número de registro de Cámara inicial objeto de dicha anulación. Por lo tanto, el administrador del sistema de negociación y/o registro o Mecanismo de Contratación, es responsable de la aprobación, ejecución y envío de la operación tipo “X” al Sistema de Cámara.</w:t>
      </w:r>
      <w:bookmarkEnd w:id="5519"/>
      <w:bookmarkEnd w:id="5520"/>
      <w:bookmarkEnd w:id="5521"/>
      <w:bookmarkEnd w:id="5522"/>
      <w:bookmarkEnd w:id="5523"/>
      <w:bookmarkEnd w:id="5524"/>
      <w:bookmarkEnd w:id="5525"/>
    </w:p>
    <w:p w14:paraId="5ECA6723" w14:textId="77777777" w:rsidR="007968EC" w:rsidRPr="004D6548" w:rsidRDefault="007968EC" w:rsidP="007968EC">
      <w:pPr>
        <w:ind w:left="709" w:hanging="360"/>
        <w:jc w:val="both"/>
        <w:rPr>
          <w:rFonts w:ascii="Arial Narrow" w:eastAsia="Calibri" w:hAnsi="Arial Narrow"/>
          <w:bCs/>
          <w:color w:val="000000" w:themeColor="text1"/>
        </w:rPr>
      </w:pPr>
    </w:p>
    <w:p w14:paraId="15E3910B" w14:textId="77777777" w:rsidR="007968EC" w:rsidRPr="004D6548" w:rsidRDefault="007968EC" w:rsidP="00DA7472">
      <w:pPr>
        <w:pStyle w:val="Prrafodelista"/>
        <w:numPr>
          <w:ilvl w:val="0"/>
          <w:numId w:val="301"/>
        </w:numPr>
        <w:ind w:left="709"/>
        <w:jc w:val="both"/>
        <w:rPr>
          <w:rFonts w:ascii="Arial Narrow" w:eastAsia="Calibri" w:hAnsi="Arial Narrow" w:cs="Times New Roman"/>
          <w:bCs/>
          <w:color w:val="000000" w:themeColor="text1"/>
        </w:rPr>
      </w:pPr>
      <w:bookmarkStart w:id="5526" w:name="_Toc471831900"/>
      <w:bookmarkStart w:id="5527" w:name="_Toc490066604"/>
      <w:bookmarkStart w:id="5528" w:name="_Toc490079382"/>
      <w:r w:rsidRPr="004D6548">
        <w:rPr>
          <w:rFonts w:ascii="Arial Narrow" w:eastAsia="Calibri" w:hAnsi="Arial Narrow" w:cs="Times New Roman"/>
          <w:b w:val="0"/>
          <w:bCs/>
          <w:color w:val="000000" w:themeColor="text1"/>
        </w:rPr>
        <w:t>En el evento en que la anulación de las Operaciones Simultáneas en los sistemas de negociación y/o registro, o en los Mecanismos de Contratación se produzca después de finalizada la Sesión de Gestión de Operaciones del presente Segmento de la Cámara, el administrador del sistema de negociación y/o registro o del Mecanismo de Contratación donde se produzca la anulación, deberá enviar el mensaje de anulación en los términos que se acuerden con tales sistemas o mecanismos. Por lo tanto, el administrador del sistema de negociación y/o registro o del Mecanismo de Contratación, es responsable de la aprobación, ejecución y envío de la operación tipo “X” al Sistema de Cámara. En consideración a que el mensaje de anulación únicamente lo conocerá el Sistema de la Cámara al día hábil siguiente, en ese momento la Cámara adelantará el trámite que corresponda. En consecuencia, los Miembros aceptan que en estos eventos la Cámara anulará la Operación en su Sistema el día hábil siguiente de haber recibido el mensaje de anulación. Esta anulación quedará reflejada en los sistemas de Cámara como una operación tipo “X” y las tablas de los Miembros tendrán la información reflejada a partir de ese momento.</w:t>
      </w:r>
      <w:bookmarkEnd w:id="5526"/>
      <w:bookmarkEnd w:id="5527"/>
      <w:bookmarkEnd w:id="5528"/>
    </w:p>
    <w:p w14:paraId="564018FA" w14:textId="77777777" w:rsidR="007968EC" w:rsidRPr="004D6548" w:rsidRDefault="007968EC" w:rsidP="007968EC">
      <w:pPr>
        <w:jc w:val="both"/>
        <w:rPr>
          <w:rFonts w:ascii="Arial Narrow" w:eastAsia="Calibri" w:hAnsi="Arial Narrow"/>
          <w:bCs/>
          <w:color w:val="000000" w:themeColor="text1"/>
        </w:rPr>
      </w:pPr>
    </w:p>
    <w:p w14:paraId="740B21AF" w14:textId="77777777" w:rsidR="007968EC" w:rsidRPr="004D6548" w:rsidRDefault="007968EC" w:rsidP="007968EC">
      <w:pPr>
        <w:jc w:val="both"/>
        <w:rPr>
          <w:rFonts w:ascii="Arial Narrow" w:eastAsia="Calibri" w:hAnsi="Arial Narrow"/>
          <w:bCs/>
          <w:color w:val="000000" w:themeColor="text1"/>
        </w:rPr>
      </w:pPr>
      <w:bookmarkStart w:id="5529" w:name="_Toc470781193"/>
      <w:bookmarkStart w:id="5530" w:name="_Toc470784759"/>
      <w:bookmarkStart w:id="5531" w:name="_Toc470785296"/>
      <w:bookmarkStart w:id="5532" w:name="_Toc470791690"/>
      <w:bookmarkStart w:id="5533" w:name="_Toc471831901"/>
      <w:bookmarkStart w:id="5534" w:name="_Toc490066605"/>
      <w:bookmarkStart w:id="5535" w:name="_Toc490079383"/>
      <w:r w:rsidRPr="004D6548">
        <w:rPr>
          <w:rFonts w:ascii="Arial Narrow" w:eastAsia="Calibri" w:hAnsi="Arial Narrow"/>
          <w:bCs/>
          <w:color w:val="000000" w:themeColor="text1"/>
        </w:rPr>
        <w:t>En caso de anulación de Operaciones en el presente Segmento, la Cámara deberá informar esta situación conforme lo establece el artículo 2.5.2. del Reglamento.</w:t>
      </w:r>
      <w:bookmarkEnd w:id="5529"/>
      <w:bookmarkEnd w:id="5530"/>
      <w:bookmarkEnd w:id="5531"/>
      <w:bookmarkEnd w:id="5532"/>
      <w:bookmarkEnd w:id="5533"/>
      <w:bookmarkEnd w:id="5534"/>
      <w:bookmarkEnd w:id="5535"/>
    </w:p>
    <w:p w14:paraId="6A1821DF" w14:textId="77777777" w:rsidR="007968EC" w:rsidRPr="002C0D19" w:rsidRDefault="007968EC" w:rsidP="007968EC">
      <w:pPr>
        <w:rPr>
          <w:rFonts w:ascii="Arial Narrow" w:eastAsia="Calibri" w:hAnsi="Arial Narrow"/>
          <w:color w:val="000000" w:themeColor="text1"/>
        </w:rPr>
      </w:pPr>
      <w:r w:rsidRPr="002C0D19">
        <w:rPr>
          <w:rFonts w:ascii="Arial Narrow" w:eastAsia="Calibri" w:hAnsi="Arial Narrow"/>
          <w:color w:val="000000" w:themeColor="text1"/>
        </w:rPr>
        <w:t xml:space="preserve"> </w:t>
      </w:r>
    </w:p>
    <w:p w14:paraId="3AD8460C" w14:textId="77777777" w:rsidR="007968EC" w:rsidRPr="002C0D19" w:rsidRDefault="007968EC" w:rsidP="007968EC">
      <w:pPr>
        <w:pStyle w:val="ARTICULO0"/>
      </w:pPr>
      <w:bookmarkStart w:id="5536" w:name="_Toc470784760"/>
      <w:bookmarkStart w:id="5537" w:name="_Toc470785297"/>
      <w:bookmarkStart w:id="5538" w:name="_Toc470791691"/>
      <w:bookmarkStart w:id="5539" w:name="_Toc472592426"/>
      <w:bookmarkStart w:id="5540" w:name="_Toc472593445"/>
      <w:bookmarkStart w:id="5541" w:name="_Toc479057239"/>
      <w:bookmarkStart w:id="5542" w:name="_Toc490066606"/>
      <w:bookmarkStart w:id="5543" w:name="_Toc31716262"/>
      <w:r w:rsidRPr="002C0D19">
        <w:t>Artículo 3.2.3.2. Corrección de Operaciones.</w:t>
      </w:r>
      <w:bookmarkEnd w:id="5536"/>
      <w:bookmarkEnd w:id="5537"/>
      <w:bookmarkEnd w:id="5538"/>
      <w:bookmarkEnd w:id="5539"/>
      <w:bookmarkEnd w:id="5540"/>
      <w:bookmarkEnd w:id="5541"/>
      <w:bookmarkEnd w:id="5542"/>
      <w:bookmarkEnd w:id="5543"/>
    </w:p>
    <w:p w14:paraId="160412A1" w14:textId="77777777" w:rsidR="007968EC" w:rsidRPr="002C0D19" w:rsidRDefault="007968EC" w:rsidP="007968EC">
      <w:pPr>
        <w:jc w:val="both"/>
        <w:rPr>
          <w:rFonts w:ascii="Arial Narrow" w:eastAsia="Calibri" w:hAnsi="Arial Narrow"/>
          <w:color w:val="000000" w:themeColor="text1"/>
        </w:rPr>
      </w:pPr>
    </w:p>
    <w:p w14:paraId="354B5CEA"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lastRenderedPageBreak/>
        <w:t>La corrección de Operaciones que se agrupan en este Segmento será gestionada directamente por los sistemas de negociación y/o registro, o Mecanismo de Contratación, de acuerdo con las reglas y procedimientos estipulados en su reglamentación. En todo caso, se tendrán en cuenta el siguiente procedimiento:</w:t>
      </w:r>
    </w:p>
    <w:p w14:paraId="27386037" w14:textId="77777777" w:rsidR="007968EC" w:rsidRPr="002C0D19" w:rsidRDefault="007968EC" w:rsidP="007968EC">
      <w:pPr>
        <w:ind w:left="708"/>
        <w:jc w:val="both"/>
        <w:rPr>
          <w:rFonts w:ascii="Arial Narrow" w:eastAsia="Calibri" w:hAnsi="Arial Narrow"/>
          <w:color w:val="000000" w:themeColor="text1"/>
          <w:lang w:eastAsia="es-CO"/>
        </w:rPr>
      </w:pPr>
    </w:p>
    <w:p w14:paraId="38CFE457" w14:textId="77777777" w:rsidR="007968EC" w:rsidRPr="002C0D19" w:rsidRDefault="007968EC" w:rsidP="007968EC">
      <w:pPr>
        <w:jc w:val="both"/>
        <w:rPr>
          <w:rFonts w:ascii="Arial Narrow" w:eastAsia="Calibri" w:hAnsi="Arial Narrow"/>
          <w:color w:val="000000" w:themeColor="text1"/>
          <w:lang w:eastAsia="es-CO"/>
        </w:rPr>
      </w:pPr>
      <w:r w:rsidRPr="002C0D19">
        <w:rPr>
          <w:rFonts w:ascii="Arial Narrow" w:eastAsia="Calibri" w:hAnsi="Arial Narrow"/>
          <w:color w:val="000000" w:themeColor="text1"/>
          <w:lang w:eastAsia="es-CO"/>
        </w:rPr>
        <w:t>Cuando se trate de Operaciones Simultáneas provenientes de sistemas de negociación y/o registro, en los casos que aplique, la corrección de operaciones implica que el administrador de dichos sistemas informe sobre la anulación de la operación objeto de corrección y envíe una nueva operación con la información correcta.</w:t>
      </w:r>
    </w:p>
    <w:p w14:paraId="1A77A697" w14:textId="77777777" w:rsidR="007968EC" w:rsidRPr="002C0D19" w:rsidRDefault="007968EC" w:rsidP="007968EC">
      <w:pPr>
        <w:rPr>
          <w:rFonts w:ascii="Arial Narrow" w:eastAsia="Calibri" w:hAnsi="Arial Narrow"/>
          <w:color w:val="000000" w:themeColor="text1"/>
        </w:rPr>
      </w:pPr>
    </w:p>
    <w:p w14:paraId="7B3E9F2E" w14:textId="77777777" w:rsidR="007968EC" w:rsidRPr="002C0D19" w:rsidRDefault="007968EC" w:rsidP="007968EC">
      <w:pPr>
        <w:rPr>
          <w:rFonts w:ascii="Arial Narrow" w:eastAsia="Calibri" w:hAnsi="Arial Narrow"/>
          <w:color w:val="000000" w:themeColor="text1"/>
        </w:rPr>
      </w:pPr>
      <w:r w:rsidRPr="002C0D19">
        <w:rPr>
          <w:rFonts w:ascii="Arial Narrow" w:eastAsia="Calibri" w:hAnsi="Arial Narrow"/>
          <w:color w:val="000000" w:themeColor="text1"/>
        </w:rPr>
        <w:t>La Cámara se reserva el derecho de solicitar la documentación que estime pertinente, con el fin de verificar los motivos de la corrección de cualquier Operación, previa a la autorización del registro de la misma.</w:t>
      </w:r>
    </w:p>
    <w:p w14:paraId="2C6DADFC" w14:textId="77777777" w:rsidR="007968EC" w:rsidRPr="004D6548" w:rsidRDefault="007968EC" w:rsidP="007968EC">
      <w:pPr>
        <w:jc w:val="both"/>
        <w:rPr>
          <w:rFonts w:ascii="Arial Narrow" w:eastAsia="Calibri" w:hAnsi="Arial Narrow"/>
          <w:bCs/>
          <w:color w:val="000000" w:themeColor="text1"/>
        </w:rPr>
      </w:pPr>
    </w:p>
    <w:p w14:paraId="06B86335" w14:textId="77777777" w:rsidR="007968EC" w:rsidRPr="002C0D19" w:rsidRDefault="007968EC" w:rsidP="007968EC">
      <w:pPr>
        <w:rPr>
          <w:rFonts w:ascii="Arial Narrow" w:eastAsia="Calibri" w:hAnsi="Arial Narrow"/>
          <w:color w:val="000000" w:themeColor="text1"/>
        </w:rPr>
      </w:pPr>
      <w:r w:rsidRPr="002C0D19">
        <w:rPr>
          <w:rFonts w:ascii="Arial Narrow" w:eastAsia="Calibri" w:hAnsi="Arial Narrow"/>
          <w:color w:val="000000" w:themeColor="text1"/>
        </w:rPr>
        <w:t>En caso de corrección de Operaciones que se agrupan en el presente Segmento, la Cámara deberá informar esta situación conforme lo establece el artículo 2.5.1. del Reglamento.</w:t>
      </w:r>
    </w:p>
    <w:p w14:paraId="6AC2A6BE" w14:textId="77777777" w:rsidR="007968EC" w:rsidRPr="002C0D19" w:rsidRDefault="007968EC" w:rsidP="007968EC">
      <w:pPr>
        <w:jc w:val="center"/>
        <w:rPr>
          <w:rFonts w:ascii="Arial Narrow" w:eastAsia="Calibri" w:hAnsi="Arial Narrow" w:cs="Arial"/>
          <w:b/>
          <w:color w:val="000000" w:themeColor="text1"/>
          <w:lang w:eastAsia="es-ES"/>
        </w:rPr>
      </w:pPr>
    </w:p>
    <w:p w14:paraId="4883B398" w14:textId="77777777" w:rsidR="007968EC" w:rsidRDefault="007968EC" w:rsidP="007968EC">
      <w:pPr>
        <w:keepNext/>
        <w:jc w:val="center"/>
        <w:outlineLvl w:val="0"/>
        <w:rPr>
          <w:rFonts w:ascii="Arial Narrow" w:eastAsia="Calibri" w:hAnsi="Arial Narrow" w:cs="Arial"/>
          <w:b/>
          <w:kern w:val="32"/>
          <w:szCs w:val="20"/>
          <w:lang w:val="es-ES"/>
        </w:rPr>
      </w:pPr>
      <w:bookmarkStart w:id="5544" w:name="_Toc470781194"/>
      <w:bookmarkStart w:id="5545" w:name="_Toc470784761"/>
      <w:bookmarkStart w:id="5546" w:name="_Toc470785298"/>
      <w:bookmarkStart w:id="5547" w:name="_Toc470791692"/>
      <w:bookmarkStart w:id="5548" w:name="_Toc472592427"/>
      <w:bookmarkStart w:id="5549" w:name="_Toc472593446"/>
      <w:bookmarkStart w:id="5550" w:name="_Toc479057240"/>
      <w:bookmarkStart w:id="5551" w:name="_Toc490066607"/>
    </w:p>
    <w:p w14:paraId="7F8DAF9F" w14:textId="77777777" w:rsidR="007968EC" w:rsidRPr="002C0D19" w:rsidRDefault="007968EC" w:rsidP="007968EC">
      <w:pPr>
        <w:pStyle w:val="TTULO"/>
        <w:rPr>
          <w:rFonts w:eastAsia="Calibri"/>
          <w:lang w:val="es-ES"/>
        </w:rPr>
      </w:pPr>
      <w:bookmarkStart w:id="5552" w:name="_Toc31716263"/>
      <w:r w:rsidRPr="002C0D19">
        <w:rPr>
          <w:rFonts w:eastAsia="Calibri"/>
          <w:lang w:val="es-ES"/>
        </w:rPr>
        <w:t>TÍTULO TERCERO</w:t>
      </w:r>
      <w:bookmarkEnd w:id="5544"/>
      <w:bookmarkEnd w:id="5545"/>
      <w:bookmarkEnd w:id="5546"/>
      <w:bookmarkEnd w:id="5547"/>
      <w:bookmarkEnd w:id="5548"/>
      <w:bookmarkEnd w:id="5549"/>
      <w:bookmarkEnd w:id="5550"/>
      <w:bookmarkEnd w:id="5551"/>
      <w:bookmarkEnd w:id="5552"/>
    </w:p>
    <w:p w14:paraId="79976C0E" w14:textId="77777777" w:rsidR="007968EC" w:rsidRPr="002C0D19" w:rsidRDefault="007968EC" w:rsidP="007968EC">
      <w:pPr>
        <w:pStyle w:val="TTULO"/>
        <w:rPr>
          <w:rFonts w:eastAsia="Calibri"/>
          <w:lang w:val="es-ES"/>
        </w:rPr>
      </w:pPr>
    </w:p>
    <w:p w14:paraId="41195AAF" w14:textId="77777777" w:rsidR="007968EC" w:rsidRPr="002C0D19" w:rsidRDefault="007968EC" w:rsidP="007968EC">
      <w:pPr>
        <w:pStyle w:val="TTULO"/>
        <w:rPr>
          <w:rFonts w:eastAsia="Calibri"/>
          <w:lang w:val="es-ES"/>
        </w:rPr>
      </w:pPr>
      <w:bookmarkStart w:id="5553" w:name="_Toc472592428"/>
      <w:bookmarkStart w:id="5554" w:name="_Toc472593447"/>
      <w:bookmarkStart w:id="5555" w:name="_Toc479057241"/>
      <w:bookmarkStart w:id="5556" w:name="_Toc490066608"/>
      <w:bookmarkStart w:id="5557" w:name="_Toc31716264"/>
      <w:r w:rsidRPr="002C0D19">
        <w:rPr>
          <w:rFonts w:eastAsia="Calibri"/>
          <w:lang w:val="es-ES"/>
        </w:rPr>
        <w:t>CUENTAS Y GESTIÓN DE OPERACIONES</w:t>
      </w:r>
      <w:bookmarkEnd w:id="5553"/>
      <w:bookmarkEnd w:id="5554"/>
      <w:bookmarkEnd w:id="5555"/>
      <w:bookmarkEnd w:id="5556"/>
      <w:bookmarkEnd w:id="5557"/>
    </w:p>
    <w:p w14:paraId="04B8C052" w14:textId="77777777" w:rsidR="007968EC" w:rsidRPr="002C0D19" w:rsidRDefault="007968EC" w:rsidP="007968EC">
      <w:pPr>
        <w:pStyle w:val="TTULO"/>
        <w:rPr>
          <w:rFonts w:eastAsia="Calibri"/>
          <w:lang w:val="es-ES"/>
        </w:rPr>
      </w:pPr>
    </w:p>
    <w:p w14:paraId="3EB6CDF9" w14:textId="77777777" w:rsidR="007968EC" w:rsidRPr="002C0D19" w:rsidRDefault="007968EC" w:rsidP="007968EC">
      <w:pPr>
        <w:pStyle w:val="TTULO"/>
        <w:rPr>
          <w:rFonts w:eastAsia="Calibri"/>
          <w:lang w:val="es-ES"/>
        </w:rPr>
      </w:pPr>
      <w:bookmarkStart w:id="5558" w:name="_Toc472592429"/>
      <w:bookmarkStart w:id="5559" w:name="_Toc472593448"/>
      <w:bookmarkStart w:id="5560" w:name="_Toc479057242"/>
      <w:bookmarkStart w:id="5561" w:name="_Toc490066609"/>
      <w:bookmarkStart w:id="5562" w:name="_Toc31716265"/>
      <w:r w:rsidRPr="002C0D19">
        <w:rPr>
          <w:rFonts w:eastAsia="Calibri"/>
          <w:lang w:val="es-ES"/>
        </w:rPr>
        <w:t>CAPITULO PRIMERO</w:t>
      </w:r>
      <w:bookmarkEnd w:id="5558"/>
      <w:bookmarkEnd w:id="5559"/>
      <w:bookmarkEnd w:id="5560"/>
      <w:bookmarkEnd w:id="5561"/>
      <w:bookmarkEnd w:id="5562"/>
    </w:p>
    <w:p w14:paraId="0608AE8A" w14:textId="77777777" w:rsidR="007968EC" w:rsidRPr="002C0D19" w:rsidRDefault="007968EC" w:rsidP="007968EC">
      <w:pPr>
        <w:jc w:val="center"/>
        <w:rPr>
          <w:rFonts w:ascii="Arial Narrow" w:eastAsia="Calibri" w:hAnsi="Arial Narrow"/>
          <w:b/>
          <w:color w:val="000000" w:themeColor="text1"/>
        </w:rPr>
      </w:pPr>
    </w:p>
    <w:p w14:paraId="161C98E3" w14:textId="77777777" w:rsidR="007968EC" w:rsidRPr="002C0D19" w:rsidRDefault="007968EC" w:rsidP="007968EC">
      <w:pPr>
        <w:pStyle w:val="ARTICULO0"/>
      </w:pPr>
      <w:bookmarkStart w:id="5563" w:name="_Toc470784762"/>
      <w:bookmarkStart w:id="5564" w:name="_Toc470785299"/>
      <w:bookmarkStart w:id="5565" w:name="_Toc470791693"/>
      <w:bookmarkStart w:id="5566" w:name="_Toc472592430"/>
      <w:bookmarkStart w:id="5567" w:name="_Toc472593449"/>
      <w:bookmarkStart w:id="5568" w:name="_Toc479057243"/>
      <w:bookmarkStart w:id="5569" w:name="_Toc490066610"/>
      <w:bookmarkStart w:id="5570" w:name="_Toc31716266"/>
      <w:r w:rsidRPr="002C0D19">
        <w:t>Artículo 3.3.1.1. Proceso de Creación de Cuentas en el Sistema de la Cámara.</w:t>
      </w:r>
      <w:bookmarkEnd w:id="5563"/>
      <w:bookmarkEnd w:id="5564"/>
      <w:bookmarkEnd w:id="5565"/>
      <w:bookmarkEnd w:id="5566"/>
      <w:bookmarkEnd w:id="5567"/>
      <w:bookmarkEnd w:id="5568"/>
      <w:bookmarkEnd w:id="5569"/>
      <w:bookmarkEnd w:id="5570"/>
    </w:p>
    <w:p w14:paraId="6221EB25" w14:textId="77777777" w:rsidR="007968EC" w:rsidRPr="002C0D19" w:rsidRDefault="007968EC" w:rsidP="007968EC">
      <w:pPr>
        <w:rPr>
          <w:rFonts w:ascii="Arial Narrow" w:eastAsia="Calibri" w:hAnsi="Arial Narrow"/>
          <w:color w:val="000000" w:themeColor="text1"/>
        </w:rPr>
      </w:pPr>
    </w:p>
    <w:p w14:paraId="4A46CA80" w14:textId="77777777" w:rsidR="007968EC" w:rsidRPr="002C0D19" w:rsidRDefault="007968EC" w:rsidP="007968EC">
      <w:pPr>
        <w:tabs>
          <w:tab w:val="left" w:pos="1419"/>
        </w:tabs>
        <w:jc w:val="both"/>
        <w:rPr>
          <w:rFonts w:ascii="Arial Narrow" w:eastAsia="Calibri" w:hAnsi="Arial Narrow"/>
          <w:color w:val="000000" w:themeColor="text1"/>
        </w:rPr>
      </w:pPr>
      <w:r w:rsidRPr="002C0D19">
        <w:rPr>
          <w:rFonts w:ascii="Arial Narrow" w:eastAsia="Calibri" w:hAnsi="Arial Narrow"/>
          <w:bCs/>
          <w:color w:val="000000" w:themeColor="text1"/>
          <w:lang w:eastAsia="es-CO"/>
        </w:rPr>
        <w:t>El proceso de creación de Cuentas para el presente Segmento seguirá los requisitos establecidos en el artículo 1.4.1.1. de la presente Circular en el caso que aplique.</w:t>
      </w:r>
    </w:p>
    <w:p w14:paraId="18D36519" w14:textId="77777777" w:rsidR="007968EC" w:rsidRPr="002C0D19" w:rsidRDefault="007968EC" w:rsidP="007968EC">
      <w:pPr>
        <w:tabs>
          <w:tab w:val="left" w:pos="1419"/>
        </w:tabs>
        <w:jc w:val="both"/>
        <w:rPr>
          <w:rFonts w:ascii="Arial Narrow" w:eastAsia="Calibri" w:hAnsi="Arial Narrow"/>
          <w:b/>
          <w:color w:val="000000" w:themeColor="text1"/>
          <w:u w:val="single"/>
        </w:rPr>
      </w:pPr>
    </w:p>
    <w:p w14:paraId="00DA2656" w14:textId="77777777" w:rsidR="007968EC" w:rsidRPr="002C0D19" w:rsidRDefault="007968EC" w:rsidP="007968EC">
      <w:pPr>
        <w:pStyle w:val="ARTICULO0"/>
      </w:pPr>
      <w:bookmarkStart w:id="5571" w:name="_Toc470784763"/>
      <w:bookmarkStart w:id="5572" w:name="_Toc470785300"/>
      <w:bookmarkStart w:id="5573" w:name="_Toc470791694"/>
      <w:bookmarkStart w:id="5574" w:name="_Toc472592431"/>
      <w:bookmarkStart w:id="5575" w:name="_Toc472593450"/>
      <w:bookmarkStart w:id="5576" w:name="_Toc479057244"/>
      <w:bookmarkStart w:id="5577" w:name="_Toc490066611"/>
      <w:bookmarkStart w:id="5578" w:name="_Toc31716267"/>
      <w:r w:rsidRPr="002C0D19">
        <w:t>Artículo 3.3.1.2. Traspaso de Operaciones Aceptadas.</w:t>
      </w:r>
      <w:bookmarkEnd w:id="5571"/>
      <w:bookmarkEnd w:id="5572"/>
      <w:bookmarkEnd w:id="5573"/>
      <w:bookmarkEnd w:id="5574"/>
      <w:bookmarkEnd w:id="5575"/>
      <w:bookmarkEnd w:id="5576"/>
      <w:bookmarkEnd w:id="5577"/>
      <w:bookmarkEnd w:id="5578"/>
    </w:p>
    <w:p w14:paraId="4BFD51D6" w14:textId="77777777" w:rsidR="007968EC" w:rsidRPr="002C0D19" w:rsidRDefault="007968EC" w:rsidP="007968EC">
      <w:pPr>
        <w:tabs>
          <w:tab w:val="left" w:pos="1419"/>
        </w:tabs>
        <w:rPr>
          <w:rFonts w:ascii="Arial Narrow" w:eastAsia="Calibri" w:hAnsi="Arial Narrow"/>
          <w:b/>
          <w:color w:val="000000" w:themeColor="text1"/>
        </w:rPr>
      </w:pPr>
    </w:p>
    <w:p w14:paraId="5039591B"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De acuerdo con lo establecido en el artículo 1.4.2.3. de la presente Circular para el Segmento de Renta Fija no se permite realizar Traspaso de Operaciones Aceptadas.</w:t>
      </w:r>
    </w:p>
    <w:p w14:paraId="431C485C" w14:textId="77777777" w:rsidR="007968EC" w:rsidRPr="002C0D19" w:rsidRDefault="007968EC" w:rsidP="007968EC">
      <w:pPr>
        <w:rPr>
          <w:rFonts w:ascii="Arial Narrow" w:eastAsia="Calibri" w:hAnsi="Arial Narrow"/>
          <w:b/>
          <w:color w:val="000000" w:themeColor="text1"/>
        </w:rPr>
      </w:pPr>
    </w:p>
    <w:p w14:paraId="2F10CC50" w14:textId="77777777" w:rsidR="007968EC" w:rsidRDefault="007968EC" w:rsidP="007968EC">
      <w:pPr>
        <w:pStyle w:val="ARTICULO0"/>
      </w:pPr>
      <w:bookmarkStart w:id="5579" w:name="_Toc470784764"/>
      <w:bookmarkStart w:id="5580" w:name="_Toc470785301"/>
      <w:bookmarkStart w:id="5581" w:name="_Toc470791695"/>
      <w:bookmarkStart w:id="5582" w:name="_Toc472592432"/>
      <w:bookmarkStart w:id="5583" w:name="_Toc472593451"/>
      <w:bookmarkStart w:id="5584" w:name="_Toc479057245"/>
      <w:bookmarkStart w:id="5585" w:name="_Toc31716268"/>
      <w:bookmarkStart w:id="5586" w:name="_Toc490066612"/>
      <w:r w:rsidRPr="002C0D19">
        <w:t>Artículo 3.3.1.3. Traspaso de Posición Abierta.</w:t>
      </w:r>
      <w:bookmarkEnd w:id="5579"/>
      <w:bookmarkEnd w:id="5580"/>
      <w:bookmarkEnd w:id="5581"/>
      <w:bookmarkEnd w:id="5582"/>
      <w:bookmarkEnd w:id="5583"/>
      <w:bookmarkEnd w:id="5584"/>
      <w:bookmarkEnd w:id="5585"/>
      <w:r w:rsidRPr="002C0D19">
        <w:t xml:space="preserve"> </w:t>
      </w:r>
    </w:p>
    <w:p w14:paraId="327AD934" w14:textId="77777777" w:rsidR="007968EC" w:rsidRDefault="007968EC" w:rsidP="007968EC">
      <w:pPr>
        <w:keepNext/>
        <w:tabs>
          <w:tab w:val="left" w:pos="1701"/>
        </w:tabs>
        <w:jc w:val="both"/>
        <w:outlineLvl w:val="2"/>
        <w:rPr>
          <w:rFonts w:ascii="Arial Narrow" w:hAnsi="Arial Narrow" w:cs="Arial"/>
          <w:b/>
          <w:color w:val="000000" w:themeColor="text1"/>
          <w:lang w:eastAsia="es-ES"/>
        </w:rPr>
      </w:pPr>
    </w:p>
    <w:p w14:paraId="2DEB65F3" w14:textId="77777777" w:rsidR="007968EC" w:rsidRPr="002C0D19" w:rsidRDefault="007968EC" w:rsidP="007968EC">
      <w:pPr>
        <w:pStyle w:val="ANTECEDENTES"/>
      </w:pPr>
      <w:r w:rsidRPr="002C0D19">
        <w:t>(Este artículo fue modificado mediante Circular 14 del 8 de agosto de 2017, publicada en el Boletín Normativo No. 015 del 8 de agosto de 2017. Rige a partir del 9 de agosto de 2017.)</w:t>
      </w:r>
      <w:bookmarkEnd w:id="5586"/>
    </w:p>
    <w:p w14:paraId="3AB2EEC0" w14:textId="77777777" w:rsidR="007968EC" w:rsidRPr="002C0D19" w:rsidRDefault="007968EC" w:rsidP="007968EC">
      <w:pPr>
        <w:rPr>
          <w:rFonts w:ascii="Arial Narrow" w:eastAsia="Calibri" w:hAnsi="Arial Narrow"/>
          <w:b/>
          <w:color w:val="000000" w:themeColor="text1"/>
        </w:rPr>
      </w:pPr>
    </w:p>
    <w:p w14:paraId="7D7DFC8F" w14:textId="77777777" w:rsidR="007968EC" w:rsidRPr="002C0D19" w:rsidRDefault="007968EC" w:rsidP="007968EC">
      <w:pPr>
        <w:jc w:val="both"/>
        <w:rPr>
          <w:rFonts w:ascii="Arial Narrow" w:eastAsia="Calibri" w:hAnsi="Arial Narrow" w:cs="Arial"/>
          <w:lang w:eastAsia="es-ES"/>
        </w:rPr>
      </w:pPr>
      <w:r w:rsidRPr="002C0D19">
        <w:rPr>
          <w:rFonts w:ascii="Arial Narrow" w:eastAsia="Calibri" w:hAnsi="Arial Narrow" w:cs="Arial"/>
          <w:lang w:eastAsia="es-ES"/>
        </w:rPr>
        <w:t xml:space="preserve">De acuerdo con lo establecido en el artículo 1.4.2.4. de la presente Circular, para el Segmento de Renta Fija solamente se permitirá realizar el Traspaso de Posición Abierta entre Cuentas del mismo titular en eventos de reorganización empresarial de un Miembro, tales como la adquisición, fusión, escisión o cuando medie solicitud expresa del Tercero Identificado titular de Cuenta que desee cambiar de Miembro. En este caso, el Miembro correspondiente deberá </w:t>
      </w:r>
      <w:proofErr w:type="spellStart"/>
      <w:r w:rsidRPr="002C0D19">
        <w:rPr>
          <w:rFonts w:ascii="Arial Narrow" w:eastAsia="Calibri" w:hAnsi="Arial Narrow" w:cs="Arial"/>
          <w:lang w:eastAsia="es-ES"/>
        </w:rPr>
        <w:t>allegar</w:t>
      </w:r>
      <w:proofErr w:type="spellEnd"/>
      <w:r w:rsidRPr="002C0D19">
        <w:rPr>
          <w:rFonts w:ascii="Arial Narrow" w:eastAsia="Calibri" w:hAnsi="Arial Narrow" w:cs="Arial"/>
          <w:lang w:eastAsia="es-ES"/>
        </w:rPr>
        <w:t xml:space="preserve"> a la Cámara una solicitud en tal sentido, suscrita por el </w:t>
      </w:r>
      <w:r w:rsidRPr="002C0D19">
        <w:rPr>
          <w:rFonts w:ascii="Arial Narrow" w:eastAsia="Calibri" w:hAnsi="Arial Narrow" w:cs="Arial"/>
          <w:lang w:eastAsia="es-ES"/>
        </w:rPr>
        <w:lastRenderedPageBreak/>
        <w:t xml:space="preserve">representante legal, señalando las razones para dicho Traspaso y entregando los documentos justificativos del mismo. Lo anterior sin perjuicio de los documentos que pueda solicitar la Cámara.  </w:t>
      </w:r>
    </w:p>
    <w:p w14:paraId="654EFEB8" w14:textId="77777777" w:rsidR="007968EC" w:rsidRPr="004D6548" w:rsidRDefault="007968EC" w:rsidP="007968EC">
      <w:pPr>
        <w:jc w:val="both"/>
        <w:rPr>
          <w:rFonts w:ascii="Arial Narrow" w:eastAsia="Calibri" w:hAnsi="Arial Narrow"/>
          <w:bCs/>
          <w:color w:val="000000" w:themeColor="text1"/>
        </w:rPr>
      </w:pPr>
    </w:p>
    <w:p w14:paraId="228ED3F4" w14:textId="77777777" w:rsidR="007968EC" w:rsidRPr="002C0D19" w:rsidRDefault="007968EC" w:rsidP="007968EC">
      <w:pPr>
        <w:jc w:val="both"/>
        <w:rPr>
          <w:rFonts w:ascii="Arial Narrow" w:eastAsia="Calibri" w:hAnsi="Arial Narrow" w:cs="Arial"/>
          <w:lang w:eastAsia="es-ES"/>
        </w:rPr>
      </w:pPr>
      <w:r w:rsidRPr="002C0D19">
        <w:rPr>
          <w:rFonts w:ascii="Arial Narrow" w:eastAsia="Calibri" w:hAnsi="Arial Narrow" w:cs="Arial"/>
          <w:lang w:eastAsia="es-ES"/>
        </w:rPr>
        <w:t>Acreditadas a satisfacción de la Cámara las razones del Traspaso de Posición, la Cámara realizará el Traspaso de todas las posiciones de la Cuenta origen hacia la Cuenta destino e inmediatamente dará cierre a la Cuenta de origen.</w:t>
      </w:r>
    </w:p>
    <w:p w14:paraId="5C65FBD3" w14:textId="77777777" w:rsidR="007968EC" w:rsidRPr="004D6548" w:rsidRDefault="007968EC" w:rsidP="007968EC">
      <w:pPr>
        <w:jc w:val="both"/>
        <w:rPr>
          <w:rFonts w:ascii="Arial Narrow" w:eastAsia="Calibri" w:hAnsi="Arial Narrow"/>
          <w:bCs/>
          <w:color w:val="000000" w:themeColor="text1"/>
        </w:rPr>
      </w:pPr>
    </w:p>
    <w:p w14:paraId="4F7AB2BB" w14:textId="77777777" w:rsidR="007968EC" w:rsidRPr="002C0D19" w:rsidRDefault="007968EC" w:rsidP="007968EC">
      <w:pPr>
        <w:autoSpaceDE w:val="0"/>
        <w:autoSpaceDN w:val="0"/>
        <w:adjustRightInd w:val="0"/>
        <w:jc w:val="both"/>
        <w:rPr>
          <w:rFonts w:ascii="Arial Narrow" w:eastAsia="Calibri" w:hAnsi="Arial Narrow" w:cs="Arial"/>
          <w:lang w:eastAsia="es-ES"/>
        </w:rPr>
      </w:pPr>
      <w:r w:rsidRPr="002C0D19">
        <w:rPr>
          <w:rFonts w:ascii="Arial Narrow" w:eastAsia="Calibri" w:hAnsi="Arial Narrow" w:cs="Arial"/>
          <w:lang w:eastAsia="es-ES"/>
        </w:rPr>
        <w:t xml:space="preserve">Este tipo de gestión se registrará al siguiente día hábil a la aceptación de la solicitud por parte de la Cámara. </w:t>
      </w:r>
    </w:p>
    <w:p w14:paraId="31278B0C" w14:textId="77777777" w:rsidR="007968EC" w:rsidRPr="002C0D19" w:rsidRDefault="007968EC" w:rsidP="007968EC">
      <w:pPr>
        <w:autoSpaceDE w:val="0"/>
        <w:autoSpaceDN w:val="0"/>
        <w:adjustRightInd w:val="0"/>
        <w:rPr>
          <w:rFonts w:ascii="Arial Narrow" w:eastAsia="Calibri" w:hAnsi="Arial Narrow"/>
        </w:rPr>
      </w:pPr>
    </w:p>
    <w:p w14:paraId="550E2067" w14:textId="77777777" w:rsidR="007968EC" w:rsidRPr="002C0D19" w:rsidRDefault="007968EC" w:rsidP="007968EC">
      <w:pPr>
        <w:jc w:val="both"/>
        <w:rPr>
          <w:rFonts w:ascii="Arial Narrow" w:eastAsia="Calibri" w:hAnsi="Arial Narrow" w:cs="Arial"/>
          <w:lang w:eastAsia="es-ES"/>
        </w:rPr>
      </w:pPr>
      <w:r w:rsidRPr="002C0D19">
        <w:rPr>
          <w:rFonts w:ascii="Arial Narrow" w:eastAsia="Calibri" w:hAnsi="Arial Narrow" w:cs="Arial"/>
          <w:lang w:eastAsia="es-ES"/>
        </w:rPr>
        <w:t xml:space="preserve">Las operaciones de Traspaso de Posición serán del tipo "Z" y llevarán como referencia el registro exclusivo de la Cámara. </w:t>
      </w:r>
      <w:r w:rsidRPr="002C0D19">
        <w:rPr>
          <w:rFonts w:ascii="Arial Narrow" w:eastAsia="Calibri" w:hAnsi="Arial Narrow"/>
        </w:rPr>
        <w:t>El</w:t>
      </w:r>
      <w:r w:rsidRPr="002C0D19">
        <w:rPr>
          <w:rFonts w:ascii="Arial Narrow" w:eastAsia="Calibri" w:hAnsi="Arial Narrow" w:cs="Arial"/>
          <w:lang w:eastAsia="es-ES"/>
        </w:rPr>
        <w:t xml:space="preserve"> Sistema realizará el </w:t>
      </w:r>
      <w:r w:rsidRPr="002C0D19">
        <w:rPr>
          <w:rFonts w:ascii="Arial Narrow" w:eastAsia="Calibri" w:hAnsi="Arial Narrow"/>
        </w:rPr>
        <w:t>traspaso</w:t>
      </w:r>
      <w:r w:rsidRPr="002C0D19">
        <w:rPr>
          <w:rFonts w:ascii="Arial Narrow" w:eastAsia="Calibri" w:hAnsi="Arial Narrow" w:cs="Arial"/>
          <w:lang w:eastAsia="es-ES"/>
        </w:rPr>
        <w:t xml:space="preserve"> de cada Posición </w:t>
      </w:r>
      <w:r w:rsidRPr="002C0D19">
        <w:rPr>
          <w:rFonts w:ascii="Arial Narrow" w:eastAsia="Calibri" w:hAnsi="Arial Narrow"/>
        </w:rPr>
        <w:t>a precio</w:t>
      </w:r>
      <w:r w:rsidRPr="002C0D19">
        <w:rPr>
          <w:rFonts w:ascii="Arial Narrow" w:eastAsia="Calibri" w:hAnsi="Arial Narrow" w:cs="Arial"/>
          <w:lang w:eastAsia="es-ES"/>
        </w:rPr>
        <w:t xml:space="preserve"> de </w:t>
      </w:r>
      <w:r w:rsidRPr="002C0D19">
        <w:rPr>
          <w:rFonts w:ascii="Arial Narrow" w:eastAsia="Calibri" w:hAnsi="Arial Narrow"/>
        </w:rPr>
        <w:t>registro</w:t>
      </w:r>
      <w:r w:rsidRPr="002C0D19">
        <w:rPr>
          <w:rFonts w:ascii="Arial Narrow" w:eastAsia="Calibri" w:hAnsi="Arial Narrow" w:cs="Arial"/>
          <w:lang w:eastAsia="es-ES"/>
        </w:rPr>
        <w:t xml:space="preserve"> de la </w:t>
      </w:r>
      <w:r w:rsidRPr="002C0D19">
        <w:rPr>
          <w:rFonts w:ascii="Arial Narrow" w:eastAsia="Calibri" w:hAnsi="Arial Narrow"/>
        </w:rPr>
        <w:t>Operación Simultánea</w:t>
      </w:r>
      <w:r w:rsidRPr="002C0D19">
        <w:rPr>
          <w:rFonts w:ascii="Arial Narrow" w:eastAsia="Calibri" w:hAnsi="Arial Narrow" w:cs="Arial"/>
          <w:lang w:eastAsia="es-ES"/>
        </w:rPr>
        <w:t>. Esta gestión estará sujeta a las tarifas previstas por la Cámara.</w:t>
      </w:r>
    </w:p>
    <w:p w14:paraId="19FDEF7B"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 xml:space="preserve"> </w:t>
      </w:r>
    </w:p>
    <w:p w14:paraId="3DD8EFEA" w14:textId="77777777" w:rsidR="007968EC" w:rsidRDefault="007968EC" w:rsidP="007968EC">
      <w:pPr>
        <w:pStyle w:val="ARTICULO0"/>
      </w:pPr>
      <w:bookmarkStart w:id="5587" w:name="_Toc470784765"/>
      <w:bookmarkStart w:id="5588" w:name="_Toc470785302"/>
      <w:bookmarkStart w:id="5589" w:name="_Toc470791696"/>
      <w:bookmarkStart w:id="5590" w:name="_Toc472592433"/>
      <w:bookmarkStart w:id="5591" w:name="_Toc472593452"/>
      <w:bookmarkStart w:id="5592" w:name="_Toc479057246"/>
      <w:bookmarkStart w:id="5593" w:name="_Toc31716269"/>
      <w:bookmarkStart w:id="5594" w:name="_Toc490066613"/>
      <w:r w:rsidRPr="002C0D19">
        <w:t xml:space="preserve">Artículo 3.3.1.4. </w:t>
      </w:r>
      <w:proofErr w:type="spellStart"/>
      <w:r w:rsidRPr="002C0D19">
        <w:t>Give</w:t>
      </w:r>
      <w:proofErr w:type="spellEnd"/>
      <w:r w:rsidRPr="002C0D19">
        <w:t xml:space="preserve"> Up.</w:t>
      </w:r>
      <w:bookmarkEnd w:id="5587"/>
      <w:bookmarkEnd w:id="5588"/>
      <w:bookmarkEnd w:id="5589"/>
      <w:bookmarkEnd w:id="5590"/>
      <w:bookmarkEnd w:id="5591"/>
      <w:bookmarkEnd w:id="5592"/>
      <w:bookmarkEnd w:id="5593"/>
      <w:r w:rsidRPr="002C0D19">
        <w:t xml:space="preserve"> </w:t>
      </w:r>
    </w:p>
    <w:p w14:paraId="4678C09E" w14:textId="77777777" w:rsidR="007968EC" w:rsidRDefault="007968EC" w:rsidP="007968EC">
      <w:pPr>
        <w:keepNext/>
        <w:tabs>
          <w:tab w:val="left" w:pos="1701"/>
        </w:tabs>
        <w:jc w:val="both"/>
        <w:outlineLvl w:val="2"/>
        <w:rPr>
          <w:rFonts w:ascii="Arial Narrow" w:hAnsi="Arial Narrow" w:cs="Arial"/>
          <w:b/>
          <w:color w:val="000000" w:themeColor="text1"/>
          <w:u w:val="single"/>
          <w:lang w:eastAsia="es-ES"/>
        </w:rPr>
      </w:pPr>
    </w:p>
    <w:p w14:paraId="21825AB9" w14:textId="77777777" w:rsidR="007968EC" w:rsidRPr="002C0D19" w:rsidRDefault="007968EC" w:rsidP="007968EC">
      <w:pPr>
        <w:pStyle w:val="ANTECEDENTES"/>
      </w:pPr>
      <w:r w:rsidRPr="002C0D19">
        <w:t>(Este artículo fue renumerado mediante Circular 2 del 11 de enero de 2017, publicada mediante Boletín Normativo No. 002 del 11 de enero de 2017. Rige a partir del 12 de enero de 2017.)</w:t>
      </w:r>
      <w:bookmarkEnd w:id="5594"/>
    </w:p>
    <w:p w14:paraId="20DF1F36" w14:textId="77777777" w:rsidR="007968EC" w:rsidRPr="002C0D19" w:rsidRDefault="007968EC" w:rsidP="007968EC">
      <w:pPr>
        <w:tabs>
          <w:tab w:val="left" w:pos="1010"/>
        </w:tabs>
        <w:rPr>
          <w:rFonts w:ascii="Arial Narrow" w:eastAsia="Calibri" w:hAnsi="Arial Narrow"/>
          <w:color w:val="000000" w:themeColor="text1"/>
        </w:rPr>
      </w:pPr>
    </w:p>
    <w:p w14:paraId="2ABD1058"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 xml:space="preserve">De acuerdo a lo establecido en el artículo 1.4.2.6. para el Segmento de Renta Fija no se permite realizar la Operación de </w:t>
      </w:r>
      <w:proofErr w:type="spellStart"/>
      <w:r w:rsidRPr="002C0D19">
        <w:rPr>
          <w:rFonts w:ascii="Arial Narrow" w:eastAsia="Calibri" w:hAnsi="Arial Narrow"/>
          <w:color w:val="000000" w:themeColor="text1"/>
        </w:rPr>
        <w:t>Give</w:t>
      </w:r>
      <w:proofErr w:type="spellEnd"/>
      <w:r w:rsidRPr="002C0D19">
        <w:rPr>
          <w:rFonts w:ascii="Arial Narrow" w:eastAsia="Calibri" w:hAnsi="Arial Narrow"/>
          <w:color w:val="000000" w:themeColor="text1"/>
        </w:rPr>
        <w:t xml:space="preserve"> Up.</w:t>
      </w:r>
    </w:p>
    <w:p w14:paraId="3228BC83" w14:textId="77777777" w:rsidR="007968EC" w:rsidRPr="002C0D19" w:rsidRDefault="007968EC" w:rsidP="007968EC">
      <w:pPr>
        <w:jc w:val="both"/>
        <w:rPr>
          <w:rFonts w:ascii="Arial Narrow" w:eastAsia="Calibri" w:hAnsi="Arial Narrow"/>
          <w:color w:val="000000" w:themeColor="text1"/>
        </w:rPr>
      </w:pPr>
    </w:p>
    <w:p w14:paraId="5FD4BE70" w14:textId="77777777" w:rsidR="007968EC" w:rsidRDefault="007968EC" w:rsidP="007968EC">
      <w:pPr>
        <w:keepNext/>
        <w:jc w:val="center"/>
        <w:outlineLvl w:val="0"/>
        <w:rPr>
          <w:rFonts w:ascii="Arial Narrow" w:eastAsia="Calibri" w:hAnsi="Arial Narrow" w:cs="Arial"/>
          <w:b/>
          <w:kern w:val="32"/>
          <w:szCs w:val="20"/>
          <w:lang w:val="es-ES"/>
        </w:rPr>
      </w:pPr>
      <w:bookmarkStart w:id="5595" w:name="_Toc470781195"/>
      <w:bookmarkStart w:id="5596" w:name="_Toc470784766"/>
      <w:bookmarkStart w:id="5597" w:name="_Toc470785303"/>
      <w:bookmarkStart w:id="5598" w:name="_Toc470791697"/>
      <w:bookmarkStart w:id="5599" w:name="_Toc472592434"/>
      <w:bookmarkStart w:id="5600" w:name="_Toc472593453"/>
      <w:bookmarkStart w:id="5601" w:name="_Toc479057247"/>
      <w:bookmarkStart w:id="5602" w:name="_Toc490066614"/>
    </w:p>
    <w:p w14:paraId="7F9AA826" w14:textId="77777777" w:rsidR="007968EC" w:rsidRPr="002C0D19" w:rsidRDefault="007968EC" w:rsidP="007968EC">
      <w:pPr>
        <w:pStyle w:val="TTULO"/>
        <w:rPr>
          <w:rFonts w:eastAsia="Calibri"/>
          <w:lang w:val="es-ES"/>
        </w:rPr>
      </w:pPr>
      <w:bookmarkStart w:id="5603" w:name="_Toc31716270"/>
      <w:r w:rsidRPr="002C0D19">
        <w:rPr>
          <w:rFonts w:eastAsia="Calibri"/>
          <w:lang w:val="es-ES"/>
        </w:rPr>
        <w:t>TÍTULO CUARTO</w:t>
      </w:r>
      <w:bookmarkEnd w:id="5595"/>
      <w:bookmarkEnd w:id="5596"/>
      <w:bookmarkEnd w:id="5597"/>
      <w:bookmarkEnd w:id="5598"/>
      <w:bookmarkEnd w:id="5599"/>
      <w:bookmarkEnd w:id="5600"/>
      <w:bookmarkEnd w:id="5601"/>
      <w:bookmarkEnd w:id="5602"/>
      <w:bookmarkEnd w:id="5603"/>
    </w:p>
    <w:p w14:paraId="6B31B55C" w14:textId="77777777" w:rsidR="007968EC" w:rsidRPr="002C0D19" w:rsidRDefault="007968EC" w:rsidP="007968EC">
      <w:pPr>
        <w:pStyle w:val="TTULO"/>
        <w:rPr>
          <w:rFonts w:eastAsia="Calibri"/>
          <w:lang w:val="es-ES"/>
        </w:rPr>
      </w:pPr>
    </w:p>
    <w:p w14:paraId="6D07787D" w14:textId="77777777" w:rsidR="007968EC" w:rsidRPr="002C0D19" w:rsidRDefault="007968EC" w:rsidP="007968EC">
      <w:pPr>
        <w:pStyle w:val="TTULO"/>
        <w:rPr>
          <w:rFonts w:eastAsia="Calibri"/>
          <w:lang w:val="es-ES"/>
        </w:rPr>
      </w:pPr>
      <w:bookmarkStart w:id="5604" w:name="_Toc470781196"/>
      <w:bookmarkStart w:id="5605" w:name="_Toc470784767"/>
      <w:bookmarkStart w:id="5606" w:name="_Toc470785304"/>
      <w:bookmarkStart w:id="5607" w:name="_Toc470791698"/>
      <w:bookmarkStart w:id="5608" w:name="_Toc472592435"/>
      <w:bookmarkStart w:id="5609" w:name="_Toc472593454"/>
      <w:bookmarkStart w:id="5610" w:name="_Toc479057248"/>
      <w:bookmarkStart w:id="5611" w:name="_Toc490066615"/>
      <w:bookmarkStart w:id="5612" w:name="_Toc31716271"/>
      <w:r w:rsidRPr="002C0D19">
        <w:rPr>
          <w:rFonts w:eastAsia="Calibri"/>
          <w:lang w:val="es-ES"/>
        </w:rPr>
        <w:t>COMPENSACIÓN Y LIQUIDACIÓN DE OPERACIONES</w:t>
      </w:r>
      <w:bookmarkEnd w:id="5604"/>
      <w:bookmarkEnd w:id="5605"/>
      <w:bookmarkEnd w:id="5606"/>
      <w:bookmarkEnd w:id="5607"/>
      <w:bookmarkEnd w:id="5608"/>
      <w:bookmarkEnd w:id="5609"/>
      <w:bookmarkEnd w:id="5610"/>
      <w:bookmarkEnd w:id="5611"/>
      <w:bookmarkEnd w:id="5612"/>
    </w:p>
    <w:p w14:paraId="52A64D2B" w14:textId="77777777" w:rsidR="007968EC" w:rsidRPr="002C0D19" w:rsidRDefault="007968EC" w:rsidP="007968EC">
      <w:pPr>
        <w:pStyle w:val="TTULO"/>
        <w:rPr>
          <w:rFonts w:eastAsia="Calibri"/>
          <w:lang w:val="es-ES"/>
        </w:rPr>
      </w:pPr>
    </w:p>
    <w:p w14:paraId="50EB4AE7" w14:textId="77777777" w:rsidR="007968EC" w:rsidRPr="002C0D19" w:rsidRDefault="007968EC" w:rsidP="007968EC">
      <w:pPr>
        <w:pStyle w:val="TTULO"/>
        <w:rPr>
          <w:rFonts w:eastAsia="Calibri"/>
          <w:lang w:val="es-ES"/>
        </w:rPr>
      </w:pPr>
      <w:bookmarkStart w:id="5613" w:name="_Toc470781197"/>
      <w:bookmarkStart w:id="5614" w:name="_Toc470784768"/>
      <w:bookmarkStart w:id="5615" w:name="_Toc470785305"/>
      <w:bookmarkStart w:id="5616" w:name="_Toc470791699"/>
      <w:bookmarkStart w:id="5617" w:name="_Toc472592436"/>
      <w:bookmarkStart w:id="5618" w:name="_Toc472593455"/>
      <w:bookmarkStart w:id="5619" w:name="_Toc479057249"/>
      <w:bookmarkStart w:id="5620" w:name="_Toc490066616"/>
      <w:bookmarkStart w:id="5621" w:name="_Toc31716272"/>
      <w:r w:rsidRPr="002C0D19">
        <w:rPr>
          <w:rFonts w:eastAsia="Calibri"/>
          <w:lang w:val="es-ES"/>
        </w:rPr>
        <w:t>CAPÍTULO PRIMERO</w:t>
      </w:r>
      <w:bookmarkEnd w:id="5613"/>
      <w:bookmarkEnd w:id="5614"/>
      <w:bookmarkEnd w:id="5615"/>
      <w:bookmarkEnd w:id="5616"/>
      <w:bookmarkEnd w:id="5617"/>
      <w:bookmarkEnd w:id="5618"/>
      <w:bookmarkEnd w:id="5619"/>
      <w:bookmarkEnd w:id="5620"/>
      <w:bookmarkEnd w:id="5621"/>
    </w:p>
    <w:p w14:paraId="6DA5696A" w14:textId="77777777" w:rsidR="007968EC" w:rsidRPr="002C0D19" w:rsidRDefault="007968EC" w:rsidP="007968EC">
      <w:pPr>
        <w:pStyle w:val="TTULO"/>
        <w:rPr>
          <w:rFonts w:eastAsia="Calibri"/>
          <w:lang w:val="es-ES"/>
        </w:rPr>
      </w:pPr>
    </w:p>
    <w:p w14:paraId="7DC9FE1E" w14:textId="77777777" w:rsidR="007968EC" w:rsidRPr="002C0D19" w:rsidRDefault="007968EC" w:rsidP="007968EC">
      <w:pPr>
        <w:pStyle w:val="TTULO"/>
        <w:rPr>
          <w:rFonts w:eastAsia="Calibri"/>
          <w:lang w:val="es-ES"/>
        </w:rPr>
      </w:pPr>
      <w:bookmarkStart w:id="5622" w:name="_Toc470781198"/>
      <w:bookmarkStart w:id="5623" w:name="_Toc470784769"/>
      <w:bookmarkStart w:id="5624" w:name="_Toc470785306"/>
      <w:bookmarkStart w:id="5625" w:name="_Toc470791700"/>
      <w:bookmarkStart w:id="5626" w:name="_Toc472592437"/>
      <w:bookmarkStart w:id="5627" w:name="_Toc472593456"/>
      <w:bookmarkStart w:id="5628" w:name="_Toc479057250"/>
      <w:bookmarkStart w:id="5629" w:name="_Toc490066617"/>
      <w:bookmarkStart w:id="5630" w:name="_Toc31716273"/>
      <w:r w:rsidRPr="002C0D19">
        <w:rPr>
          <w:rFonts w:eastAsia="Calibri"/>
          <w:lang w:val="es-ES"/>
        </w:rPr>
        <w:t>COMPENSACIÓN DE OPERACIONES DE OPERACIONES SIMULTÁNEAS</w:t>
      </w:r>
      <w:bookmarkEnd w:id="5622"/>
      <w:bookmarkEnd w:id="5623"/>
      <w:bookmarkEnd w:id="5624"/>
      <w:bookmarkEnd w:id="5625"/>
      <w:bookmarkEnd w:id="5626"/>
      <w:bookmarkEnd w:id="5627"/>
      <w:bookmarkEnd w:id="5628"/>
      <w:bookmarkEnd w:id="5629"/>
      <w:bookmarkEnd w:id="5630"/>
    </w:p>
    <w:p w14:paraId="4926B36B" w14:textId="77777777" w:rsidR="007968EC" w:rsidRPr="002C0D19" w:rsidRDefault="007968EC" w:rsidP="007968EC">
      <w:pPr>
        <w:jc w:val="center"/>
        <w:outlineLvl w:val="1"/>
        <w:rPr>
          <w:rFonts w:ascii="Arial Narrow" w:eastAsia="Calibri" w:hAnsi="Arial Narrow"/>
          <w:b/>
          <w:color w:val="000000" w:themeColor="text1"/>
        </w:rPr>
      </w:pPr>
    </w:p>
    <w:p w14:paraId="6CBDE6B6" w14:textId="77777777" w:rsidR="007968EC" w:rsidRPr="002C0D19" w:rsidRDefault="007968EC" w:rsidP="007968EC">
      <w:pPr>
        <w:pStyle w:val="ARTICULO0"/>
      </w:pPr>
      <w:bookmarkStart w:id="5631" w:name="_Toc470784770"/>
      <w:bookmarkStart w:id="5632" w:name="_Toc470785307"/>
      <w:bookmarkStart w:id="5633" w:name="_Toc470791701"/>
      <w:bookmarkStart w:id="5634" w:name="_Toc472592438"/>
      <w:bookmarkStart w:id="5635" w:name="_Toc472593457"/>
      <w:bookmarkStart w:id="5636" w:name="_Toc479057251"/>
      <w:bookmarkStart w:id="5637" w:name="_Toc490066618"/>
      <w:bookmarkStart w:id="5638" w:name="_Toc31716274"/>
      <w:r w:rsidRPr="002C0D19">
        <w:t>Artículo 3.4.1.1. Compensación de Efectivo en Operaciones Simultáneas.</w:t>
      </w:r>
      <w:bookmarkEnd w:id="5631"/>
      <w:bookmarkEnd w:id="5632"/>
      <w:bookmarkEnd w:id="5633"/>
      <w:bookmarkEnd w:id="5634"/>
      <w:bookmarkEnd w:id="5635"/>
      <w:bookmarkEnd w:id="5636"/>
      <w:bookmarkEnd w:id="5637"/>
      <w:bookmarkEnd w:id="5638"/>
    </w:p>
    <w:p w14:paraId="4C48C1F6" w14:textId="77777777" w:rsidR="007968EC" w:rsidRPr="002C0D19" w:rsidRDefault="007968EC" w:rsidP="007968EC">
      <w:pPr>
        <w:rPr>
          <w:rFonts w:ascii="Arial Narrow" w:eastAsia="Calibri" w:hAnsi="Arial Narrow"/>
          <w:bCs/>
          <w:color w:val="000000" w:themeColor="text1"/>
        </w:rPr>
      </w:pPr>
    </w:p>
    <w:p w14:paraId="1E45DF4C"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La Compensación de efectivo de la Cámara con los Miembros que celebran Operaciones Simultáneas será bilateral por saldos brutos a nivel de titular de Cuenta para establecer las obligaciones o derechos de entrega o recibo de efectivo por parte de los Miembros.</w:t>
      </w:r>
    </w:p>
    <w:p w14:paraId="799433C8"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p>
    <w:p w14:paraId="4593834E" w14:textId="77777777" w:rsidR="007968EC" w:rsidRPr="002C0D19" w:rsidRDefault="007968EC" w:rsidP="007968EC">
      <w:pPr>
        <w:pStyle w:val="ARTICULO0"/>
      </w:pPr>
      <w:bookmarkStart w:id="5639" w:name="_Toc470784771"/>
      <w:bookmarkStart w:id="5640" w:name="_Toc470785308"/>
      <w:bookmarkStart w:id="5641" w:name="_Toc470791702"/>
      <w:bookmarkStart w:id="5642" w:name="_Toc472592439"/>
      <w:bookmarkStart w:id="5643" w:name="_Toc472593458"/>
      <w:bookmarkStart w:id="5644" w:name="_Toc479057252"/>
      <w:bookmarkStart w:id="5645" w:name="_Toc490066619"/>
      <w:bookmarkStart w:id="5646" w:name="_Toc31716275"/>
      <w:r w:rsidRPr="002C0D19">
        <w:t>Artículo 3.4.1.2. Compensación de Activos Operaciones Simultáneas.</w:t>
      </w:r>
      <w:bookmarkEnd w:id="5639"/>
      <w:bookmarkEnd w:id="5640"/>
      <w:bookmarkEnd w:id="5641"/>
      <w:bookmarkEnd w:id="5642"/>
      <w:bookmarkEnd w:id="5643"/>
      <w:bookmarkEnd w:id="5644"/>
      <w:bookmarkEnd w:id="5645"/>
      <w:bookmarkEnd w:id="5646"/>
    </w:p>
    <w:p w14:paraId="472126B8" w14:textId="77777777" w:rsidR="007968EC" w:rsidRPr="002C0D19" w:rsidRDefault="007968EC" w:rsidP="007968EC">
      <w:pPr>
        <w:rPr>
          <w:rFonts w:ascii="Arial Narrow" w:eastAsia="Calibri" w:hAnsi="Arial Narrow"/>
          <w:bCs/>
          <w:color w:val="000000" w:themeColor="text1"/>
        </w:rPr>
      </w:pPr>
    </w:p>
    <w:p w14:paraId="5DD74373"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La Compensación de Activos de la Cámara con los Miembros que celebran Operaciones Simultáneas, será bilateral por saldos brutos a nivel de titular de Cuenta, para establecer las obligaciones o derechos de entrega o de recibo de Activos.</w:t>
      </w:r>
    </w:p>
    <w:p w14:paraId="26436E1E"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p>
    <w:p w14:paraId="03E4387D" w14:textId="77777777" w:rsidR="007968EC" w:rsidRDefault="007968EC" w:rsidP="007968EC">
      <w:pPr>
        <w:pStyle w:val="TTULO"/>
        <w:rPr>
          <w:rFonts w:eastAsia="Calibri"/>
          <w:lang w:val="es-ES"/>
        </w:rPr>
      </w:pPr>
      <w:bookmarkStart w:id="5647" w:name="_Toc470781199"/>
      <w:bookmarkStart w:id="5648" w:name="_Toc470784772"/>
      <w:bookmarkStart w:id="5649" w:name="_Toc470785309"/>
      <w:bookmarkStart w:id="5650" w:name="_Toc470791703"/>
      <w:bookmarkStart w:id="5651" w:name="_Toc472592440"/>
      <w:bookmarkStart w:id="5652" w:name="_Toc472593459"/>
      <w:bookmarkStart w:id="5653" w:name="_Toc479057253"/>
      <w:bookmarkStart w:id="5654" w:name="_Toc490066620"/>
    </w:p>
    <w:p w14:paraId="6557C0BD" w14:textId="77777777" w:rsidR="007968EC" w:rsidRPr="002C0D19" w:rsidRDefault="007968EC" w:rsidP="007968EC">
      <w:pPr>
        <w:pStyle w:val="TTULO"/>
        <w:rPr>
          <w:rFonts w:eastAsia="Calibri"/>
          <w:lang w:val="es-ES"/>
        </w:rPr>
      </w:pPr>
      <w:bookmarkStart w:id="5655" w:name="_Toc31716276"/>
      <w:r w:rsidRPr="002C0D19">
        <w:rPr>
          <w:rFonts w:eastAsia="Calibri"/>
          <w:lang w:val="es-ES"/>
        </w:rPr>
        <w:lastRenderedPageBreak/>
        <w:t>CAPÍTULO SEGUNDO</w:t>
      </w:r>
      <w:bookmarkEnd w:id="5647"/>
      <w:bookmarkEnd w:id="5648"/>
      <w:bookmarkEnd w:id="5649"/>
      <w:bookmarkEnd w:id="5650"/>
      <w:bookmarkEnd w:id="5651"/>
      <w:bookmarkEnd w:id="5652"/>
      <w:bookmarkEnd w:id="5653"/>
      <w:bookmarkEnd w:id="5654"/>
      <w:bookmarkEnd w:id="5655"/>
    </w:p>
    <w:p w14:paraId="728A0EBD" w14:textId="77777777" w:rsidR="007968EC" w:rsidRPr="002C0D19" w:rsidRDefault="007968EC" w:rsidP="007968EC">
      <w:pPr>
        <w:pStyle w:val="TTULO"/>
        <w:rPr>
          <w:rFonts w:eastAsia="Calibri"/>
          <w:lang w:val="es-ES"/>
        </w:rPr>
      </w:pPr>
    </w:p>
    <w:p w14:paraId="35646112" w14:textId="77777777" w:rsidR="007968EC" w:rsidRPr="002C0D19" w:rsidRDefault="007968EC" w:rsidP="007968EC">
      <w:pPr>
        <w:pStyle w:val="TTULO"/>
        <w:rPr>
          <w:rFonts w:eastAsia="Calibri"/>
          <w:lang w:val="es-ES"/>
        </w:rPr>
      </w:pPr>
      <w:bookmarkStart w:id="5656" w:name="_Toc470781200"/>
      <w:bookmarkStart w:id="5657" w:name="_Toc470784773"/>
      <w:bookmarkStart w:id="5658" w:name="_Toc470785310"/>
      <w:bookmarkStart w:id="5659" w:name="_Toc470791704"/>
      <w:bookmarkStart w:id="5660" w:name="_Toc472592441"/>
      <w:bookmarkStart w:id="5661" w:name="_Toc472593460"/>
      <w:bookmarkStart w:id="5662" w:name="_Toc479057254"/>
      <w:bookmarkStart w:id="5663" w:name="_Toc490066621"/>
      <w:bookmarkStart w:id="5664" w:name="_Toc31716277"/>
      <w:r w:rsidRPr="002C0D19">
        <w:rPr>
          <w:rFonts w:eastAsia="Calibri"/>
          <w:lang w:val="es-ES"/>
        </w:rPr>
        <w:t>TIPO DE LIQUIDACIÓN DE OPERACIONES SIMULTÁNEAS</w:t>
      </w:r>
      <w:bookmarkEnd w:id="5656"/>
      <w:bookmarkEnd w:id="5657"/>
      <w:bookmarkEnd w:id="5658"/>
      <w:bookmarkEnd w:id="5659"/>
      <w:bookmarkEnd w:id="5660"/>
      <w:bookmarkEnd w:id="5661"/>
      <w:bookmarkEnd w:id="5662"/>
      <w:bookmarkEnd w:id="5663"/>
      <w:bookmarkEnd w:id="5664"/>
    </w:p>
    <w:p w14:paraId="66ECC57B" w14:textId="77777777" w:rsidR="007968EC" w:rsidRPr="002C0D19" w:rsidRDefault="007968EC" w:rsidP="007968EC">
      <w:pPr>
        <w:rPr>
          <w:rFonts w:ascii="Arial Narrow" w:eastAsia="Calibri" w:hAnsi="Arial Narrow" w:cs="Arial"/>
          <w:color w:val="000000" w:themeColor="text1"/>
          <w:lang w:eastAsia="es-ES"/>
        </w:rPr>
      </w:pPr>
    </w:p>
    <w:p w14:paraId="2460E6A3" w14:textId="77777777" w:rsidR="007968EC" w:rsidRDefault="007968EC" w:rsidP="007968EC">
      <w:pPr>
        <w:pStyle w:val="ARTICULO0"/>
      </w:pPr>
      <w:bookmarkStart w:id="5665" w:name="_Toc470784774"/>
      <w:bookmarkStart w:id="5666" w:name="_Toc470785311"/>
      <w:bookmarkStart w:id="5667" w:name="_Toc470791705"/>
      <w:bookmarkStart w:id="5668" w:name="_Toc472592442"/>
      <w:bookmarkStart w:id="5669" w:name="_Toc472593461"/>
      <w:bookmarkStart w:id="5670" w:name="_Toc479057255"/>
      <w:bookmarkStart w:id="5671" w:name="_Toc31716278"/>
      <w:bookmarkStart w:id="5672" w:name="_Toc490066622"/>
      <w:r w:rsidRPr="002C0D19">
        <w:t>Artículo 3.4.2.1. Tipo de Liquidación en Operaciones Simultáneas.</w:t>
      </w:r>
      <w:bookmarkEnd w:id="5665"/>
      <w:bookmarkEnd w:id="5666"/>
      <w:bookmarkEnd w:id="5667"/>
      <w:bookmarkEnd w:id="5668"/>
      <w:bookmarkEnd w:id="5669"/>
      <w:bookmarkEnd w:id="5670"/>
      <w:bookmarkEnd w:id="5671"/>
      <w:r w:rsidRPr="002C0D19">
        <w:t xml:space="preserve"> </w:t>
      </w:r>
    </w:p>
    <w:p w14:paraId="347CC4B8" w14:textId="77777777" w:rsidR="007968EC" w:rsidRDefault="007968EC" w:rsidP="007968EC">
      <w:pPr>
        <w:keepNext/>
        <w:tabs>
          <w:tab w:val="left" w:pos="1701"/>
        </w:tabs>
        <w:jc w:val="both"/>
        <w:outlineLvl w:val="2"/>
        <w:rPr>
          <w:rFonts w:ascii="Arial Narrow" w:hAnsi="Arial Narrow" w:cs="Arial"/>
          <w:b/>
          <w:color w:val="000000" w:themeColor="text1"/>
          <w:lang w:eastAsia="es-ES"/>
        </w:rPr>
      </w:pPr>
    </w:p>
    <w:p w14:paraId="3193A7F4" w14:textId="77777777" w:rsidR="007968EC" w:rsidRPr="002C0D19" w:rsidRDefault="007968EC" w:rsidP="007968EC">
      <w:pPr>
        <w:pStyle w:val="ANTECEDENTES"/>
      </w:pPr>
      <w:r w:rsidRPr="002C0D19">
        <w:t>(Este artículo fue modificado mediante Circular 14 del 8 de agosto de 2017, publicada en el Boletín Normativo No. 015 del 8 de agosto de 2017. Rige a partir del 9 de agosto de 2017.)</w:t>
      </w:r>
      <w:bookmarkEnd w:id="5672"/>
    </w:p>
    <w:p w14:paraId="089EFEB5" w14:textId="77777777" w:rsidR="007968EC" w:rsidRPr="002C0D19" w:rsidRDefault="007968EC" w:rsidP="007968EC">
      <w:pPr>
        <w:rPr>
          <w:rFonts w:ascii="Arial Narrow" w:eastAsia="Calibri" w:hAnsi="Arial Narrow"/>
          <w:b/>
          <w:bCs/>
          <w:color w:val="000000" w:themeColor="text1"/>
        </w:rPr>
      </w:pPr>
    </w:p>
    <w:p w14:paraId="569E08AB" w14:textId="77777777" w:rsidR="007968EC" w:rsidRPr="002C0D19" w:rsidRDefault="007968EC" w:rsidP="007968EC">
      <w:pPr>
        <w:rPr>
          <w:rFonts w:ascii="Arial Narrow" w:eastAsia="Calibri" w:hAnsi="Arial Narrow"/>
          <w:b/>
          <w:bCs/>
          <w:color w:val="000000" w:themeColor="text1"/>
        </w:rPr>
      </w:pPr>
      <w:r w:rsidRPr="002C0D19">
        <w:rPr>
          <w:rFonts w:ascii="Arial Narrow" w:eastAsia="Calibri" w:hAnsi="Arial Narrow" w:cs="Arial"/>
          <w:lang w:eastAsia="es-ES"/>
        </w:rPr>
        <w:t xml:space="preserve">Sin perjuicio a lo definido en el artículo 1.5.2.1. de la presente Circular las Operaciones Aceptadas por la Cámara correspondientes a Operaciones Simultáneas </w:t>
      </w:r>
      <w:r w:rsidRPr="002C0D19">
        <w:rPr>
          <w:rFonts w:ascii="Arial Narrow" w:eastAsia="Calibri" w:hAnsi="Arial Narrow"/>
        </w:rPr>
        <w:t xml:space="preserve">(flujo de salida y flujo de regreso) </w:t>
      </w:r>
      <w:r w:rsidRPr="002C0D19">
        <w:rPr>
          <w:rFonts w:ascii="Arial Narrow" w:eastAsia="Calibri" w:hAnsi="Arial Narrow" w:cs="Arial"/>
          <w:lang w:eastAsia="es-ES"/>
        </w:rPr>
        <w:t>serán liquidadas únicamente mediante Liquidación al Vencimiento.</w:t>
      </w:r>
    </w:p>
    <w:p w14:paraId="07BF7AB1" w14:textId="77777777" w:rsidR="007968EC" w:rsidRPr="002C0D19" w:rsidRDefault="007968EC" w:rsidP="007968EC">
      <w:pPr>
        <w:autoSpaceDE w:val="0"/>
        <w:autoSpaceDN w:val="0"/>
        <w:adjustRightInd w:val="0"/>
        <w:jc w:val="center"/>
        <w:rPr>
          <w:rFonts w:ascii="Arial Narrow" w:eastAsia="Calibri" w:hAnsi="Arial Narrow"/>
          <w:b/>
          <w:color w:val="000000" w:themeColor="text1"/>
        </w:rPr>
      </w:pPr>
    </w:p>
    <w:p w14:paraId="57D2815C" w14:textId="77777777" w:rsidR="007968EC" w:rsidRDefault="007968EC" w:rsidP="007968EC">
      <w:pPr>
        <w:keepNext/>
        <w:jc w:val="center"/>
        <w:outlineLvl w:val="0"/>
        <w:rPr>
          <w:rFonts w:ascii="Arial Narrow" w:eastAsia="Calibri" w:hAnsi="Arial Narrow" w:cs="Arial"/>
          <w:b/>
          <w:kern w:val="32"/>
          <w:szCs w:val="20"/>
          <w:lang w:val="es-ES"/>
        </w:rPr>
      </w:pPr>
      <w:bookmarkStart w:id="5673" w:name="_Toc470781201"/>
      <w:bookmarkStart w:id="5674" w:name="_Toc470784775"/>
      <w:bookmarkStart w:id="5675" w:name="_Toc470785312"/>
      <w:bookmarkStart w:id="5676" w:name="_Toc470791706"/>
      <w:bookmarkStart w:id="5677" w:name="_Toc472592443"/>
      <w:bookmarkStart w:id="5678" w:name="_Toc472593462"/>
      <w:bookmarkStart w:id="5679" w:name="_Toc479057256"/>
      <w:bookmarkStart w:id="5680" w:name="_Toc490066623"/>
    </w:p>
    <w:p w14:paraId="41B994F1" w14:textId="77777777" w:rsidR="007968EC" w:rsidRPr="002C0D19" w:rsidRDefault="007968EC" w:rsidP="007968EC">
      <w:pPr>
        <w:pStyle w:val="TTULO"/>
        <w:rPr>
          <w:rFonts w:eastAsia="Calibri"/>
          <w:lang w:val="es-ES"/>
        </w:rPr>
      </w:pPr>
      <w:bookmarkStart w:id="5681" w:name="_Toc31716279"/>
      <w:r w:rsidRPr="002C0D19">
        <w:rPr>
          <w:rFonts w:eastAsia="Calibri"/>
          <w:lang w:val="es-ES"/>
        </w:rPr>
        <w:t>CAPÍTULO TERCERO</w:t>
      </w:r>
      <w:bookmarkEnd w:id="5673"/>
      <w:bookmarkEnd w:id="5674"/>
      <w:bookmarkEnd w:id="5675"/>
      <w:bookmarkEnd w:id="5676"/>
      <w:bookmarkEnd w:id="5677"/>
      <w:bookmarkEnd w:id="5678"/>
      <w:bookmarkEnd w:id="5679"/>
      <w:bookmarkEnd w:id="5680"/>
      <w:bookmarkEnd w:id="5681"/>
    </w:p>
    <w:p w14:paraId="0793B852" w14:textId="77777777" w:rsidR="007968EC" w:rsidRPr="002C0D19" w:rsidRDefault="007968EC" w:rsidP="007968EC">
      <w:pPr>
        <w:pStyle w:val="TTULO"/>
        <w:rPr>
          <w:rFonts w:eastAsia="Calibri"/>
          <w:lang w:val="es-ES"/>
        </w:rPr>
      </w:pPr>
    </w:p>
    <w:p w14:paraId="4912E24D" w14:textId="77777777" w:rsidR="007968EC" w:rsidRPr="002C0D19" w:rsidRDefault="007968EC" w:rsidP="007968EC">
      <w:pPr>
        <w:pStyle w:val="TTULO"/>
        <w:rPr>
          <w:rFonts w:eastAsia="Calibri"/>
          <w:lang w:val="es-ES"/>
        </w:rPr>
      </w:pPr>
      <w:bookmarkStart w:id="5682" w:name="_Toc470781202"/>
      <w:bookmarkStart w:id="5683" w:name="_Toc470784776"/>
      <w:bookmarkStart w:id="5684" w:name="_Toc470785313"/>
      <w:bookmarkStart w:id="5685" w:name="_Toc470791707"/>
      <w:bookmarkStart w:id="5686" w:name="_Toc472592444"/>
      <w:bookmarkStart w:id="5687" w:name="_Toc472593463"/>
      <w:bookmarkStart w:id="5688" w:name="_Toc479057257"/>
      <w:bookmarkStart w:id="5689" w:name="_Toc490066624"/>
      <w:bookmarkStart w:id="5690" w:name="_Toc31716280"/>
      <w:r w:rsidRPr="002C0D19">
        <w:rPr>
          <w:rFonts w:eastAsia="Calibri"/>
          <w:lang w:val="es-ES"/>
        </w:rPr>
        <w:t>LIQUIDACIÓN AL VENCIMIENTO DE LAS OPERACIONES SIMULTÁNEAS</w:t>
      </w:r>
      <w:bookmarkEnd w:id="5682"/>
      <w:bookmarkEnd w:id="5683"/>
      <w:bookmarkEnd w:id="5684"/>
      <w:bookmarkEnd w:id="5685"/>
      <w:bookmarkEnd w:id="5686"/>
      <w:bookmarkEnd w:id="5687"/>
      <w:bookmarkEnd w:id="5688"/>
      <w:bookmarkEnd w:id="5689"/>
      <w:bookmarkEnd w:id="5690"/>
    </w:p>
    <w:p w14:paraId="74808CDF" w14:textId="77777777" w:rsidR="007968EC" w:rsidRPr="002C0D19" w:rsidRDefault="007968EC" w:rsidP="007968EC">
      <w:pPr>
        <w:rPr>
          <w:rFonts w:ascii="Arial Narrow" w:eastAsia="Calibri" w:hAnsi="Arial Narrow"/>
          <w:b/>
          <w:bCs/>
          <w:color w:val="000000" w:themeColor="text1"/>
        </w:rPr>
      </w:pPr>
    </w:p>
    <w:p w14:paraId="02A92C3E" w14:textId="77777777" w:rsidR="007968EC" w:rsidRPr="002C0D19" w:rsidRDefault="007968EC" w:rsidP="007968EC">
      <w:pPr>
        <w:pStyle w:val="ARTICULO0"/>
      </w:pPr>
      <w:bookmarkStart w:id="5691" w:name="_Toc470784777"/>
      <w:bookmarkStart w:id="5692" w:name="_Toc470785314"/>
      <w:bookmarkStart w:id="5693" w:name="_Toc470791708"/>
      <w:bookmarkStart w:id="5694" w:name="_Toc472592445"/>
      <w:bookmarkStart w:id="5695" w:name="_Toc472593464"/>
      <w:bookmarkStart w:id="5696" w:name="_Toc479057258"/>
      <w:bookmarkStart w:id="5697" w:name="_Toc490066625"/>
      <w:bookmarkStart w:id="5698" w:name="_Toc31716281"/>
      <w:r w:rsidRPr="002C0D19">
        <w:t>Artículo 3.4.3.1. Liquidación por Entrega de Operaciones Simultáneas provenientes de sistemas de negociación y/o registro o Mecanismo de Contratación cuyo Tipo de Liquidación incluya Liquidación Únicamente al Vencimiento.</w:t>
      </w:r>
      <w:bookmarkEnd w:id="5691"/>
      <w:bookmarkEnd w:id="5692"/>
      <w:bookmarkEnd w:id="5693"/>
      <w:bookmarkEnd w:id="5694"/>
      <w:bookmarkEnd w:id="5695"/>
      <w:bookmarkEnd w:id="5696"/>
      <w:bookmarkEnd w:id="5697"/>
      <w:bookmarkEnd w:id="5698"/>
    </w:p>
    <w:p w14:paraId="2F130949" w14:textId="77777777" w:rsidR="007968EC" w:rsidRPr="002C0D19" w:rsidRDefault="007968EC" w:rsidP="007968EC">
      <w:pPr>
        <w:rPr>
          <w:rFonts w:ascii="Arial Narrow" w:eastAsia="Calibri" w:hAnsi="Arial Narrow"/>
          <w:bCs/>
          <w:color w:val="000000" w:themeColor="text1"/>
        </w:rPr>
      </w:pPr>
    </w:p>
    <w:p w14:paraId="0858094C" w14:textId="77777777" w:rsidR="007968EC" w:rsidRPr="002C0D19" w:rsidRDefault="007968EC" w:rsidP="007968EC">
      <w:pPr>
        <w:autoSpaceDE w:val="0"/>
        <w:autoSpaceDN w:val="0"/>
        <w:adjustRightInd w:val="0"/>
        <w:rPr>
          <w:rFonts w:ascii="Arial Narrow" w:eastAsia="Calibri" w:hAnsi="Arial Narrow"/>
          <w:color w:val="000000" w:themeColor="text1"/>
        </w:rPr>
      </w:pPr>
      <w:r w:rsidRPr="002C0D19">
        <w:rPr>
          <w:rFonts w:ascii="Arial Narrow" w:eastAsia="Calibri" w:hAnsi="Arial Narrow"/>
          <w:color w:val="000000" w:themeColor="text1"/>
        </w:rPr>
        <w:t>Al vencimiento de las Operaciones Simultáneas, la Cámara atenderá el siguiente procedimiento:</w:t>
      </w:r>
    </w:p>
    <w:p w14:paraId="34694F93" w14:textId="77777777" w:rsidR="007968EC" w:rsidRPr="002C0D19" w:rsidRDefault="007968EC" w:rsidP="007968EC">
      <w:pPr>
        <w:autoSpaceDE w:val="0"/>
        <w:autoSpaceDN w:val="0"/>
        <w:adjustRightInd w:val="0"/>
        <w:ind w:left="317"/>
        <w:contextualSpacing/>
        <w:rPr>
          <w:rFonts w:ascii="Arial Narrow" w:eastAsia="Calibri" w:hAnsi="Arial Narrow"/>
          <w:color w:val="000000" w:themeColor="text1"/>
        </w:rPr>
      </w:pPr>
    </w:p>
    <w:p w14:paraId="471E7F43" w14:textId="77777777" w:rsidR="007968EC" w:rsidRPr="002C0D19" w:rsidRDefault="007968EC" w:rsidP="00DA7472">
      <w:pPr>
        <w:numPr>
          <w:ilvl w:val="0"/>
          <w:numId w:val="223"/>
        </w:numPr>
        <w:autoSpaceDE w:val="0"/>
        <w:autoSpaceDN w:val="0"/>
        <w:adjustRightInd w:val="0"/>
        <w:ind w:left="426" w:hanging="426"/>
        <w:contextualSpacing/>
        <w:rPr>
          <w:rFonts w:ascii="Arial Narrow" w:eastAsia="Calibri" w:hAnsi="Arial Narrow"/>
          <w:color w:val="000000" w:themeColor="text1"/>
        </w:rPr>
      </w:pPr>
      <w:r w:rsidRPr="002C0D19">
        <w:rPr>
          <w:rFonts w:ascii="Arial Narrow" w:eastAsia="Calibri" w:hAnsi="Arial Narrow"/>
          <w:color w:val="000000" w:themeColor="text1"/>
        </w:rPr>
        <w:t>Determinación de valor de giro del efectivo a pagar que debe realizar el titular de la Cuenta con posición bruta compradora.</w:t>
      </w:r>
    </w:p>
    <w:p w14:paraId="78050467" w14:textId="77777777" w:rsidR="007968EC" w:rsidRPr="002C0D19" w:rsidRDefault="007968EC" w:rsidP="007968EC">
      <w:pPr>
        <w:autoSpaceDE w:val="0"/>
        <w:autoSpaceDN w:val="0"/>
        <w:adjustRightInd w:val="0"/>
        <w:ind w:left="426" w:hanging="426"/>
        <w:contextualSpacing/>
        <w:rPr>
          <w:rFonts w:ascii="Arial Narrow" w:eastAsia="Calibri" w:hAnsi="Arial Narrow"/>
          <w:color w:val="000000" w:themeColor="text1"/>
        </w:rPr>
      </w:pPr>
    </w:p>
    <w:p w14:paraId="7386E62A" w14:textId="77777777" w:rsidR="007968EC" w:rsidRPr="002C0D19" w:rsidRDefault="007968EC" w:rsidP="00DA7472">
      <w:pPr>
        <w:numPr>
          <w:ilvl w:val="0"/>
          <w:numId w:val="223"/>
        </w:numPr>
        <w:autoSpaceDE w:val="0"/>
        <w:autoSpaceDN w:val="0"/>
        <w:adjustRightInd w:val="0"/>
        <w:ind w:left="426" w:hanging="426"/>
        <w:contextualSpacing/>
        <w:rPr>
          <w:rFonts w:ascii="Arial Narrow" w:eastAsia="Calibri" w:hAnsi="Arial Narrow"/>
          <w:color w:val="000000" w:themeColor="text1"/>
        </w:rPr>
      </w:pPr>
      <w:proofErr w:type="gramStart"/>
      <w:r w:rsidRPr="002C0D19">
        <w:rPr>
          <w:rFonts w:ascii="Arial Narrow" w:eastAsia="Calibri" w:hAnsi="Arial Narrow"/>
          <w:color w:val="000000" w:themeColor="text1"/>
        </w:rPr>
        <w:t>Determinación del Activo a entregar</w:t>
      </w:r>
      <w:proofErr w:type="gramEnd"/>
      <w:r w:rsidRPr="002C0D19">
        <w:rPr>
          <w:rFonts w:ascii="Arial Narrow" w:eastAsia="Calibri" w:hAnsi="Arial Narrow"/>
          <w:color w:val="000000" w:themeColor="text1"/>
        </w:rPr>
        <w:t xml:space="preserve"> que debe realizar el titular de la cuenta bruta vendedora.</w:t>
      </w:r>
    </w:p>
    <w:p w14:paraId="1938D81D" w14:textId="77777777" w:rsidR="007968EC" w:rsidRPr="002C0D19" w:rsidRDefault="007968EC" w:rsidP="007968EC">
      <w:pPr>
        <w:autoSpaceDE w:val="0"/>
        <w:autoSpaceDN w:val="0"/>
        <w:adjustRightInd w:val="0"/>
        <w:ind w:left="426" w:hanging="426"/>
        <w:contextualSpacing/>
        <w:rPr>
          <w:rFonts w:ascii="Arial Narrow" w:eastAsia="Calibri" w:hAnsi="Arial Narrow"/>
          <w:color w:val="000000" w:themeColor="text1"/>
        </w:rPr>
      </w:pPr>
    </w:p>
    <w:p w14:paraId="34C797F1" w14:textId="77777777" w:rsidR="007968EC" w:rsidRPr="002C0D19" w:rsidRDefault="007968EC" w:rsidP="00DA7472">
      <w:pPr>
        <w:numPr>
          <w:ilvl w:val="0"/>
          <w:numId w:val="223"/>
        </w:numPr>
        <w:autoSpaceDE w:val="0"/>
        <w:autoSpaceDN w:val="0"/>
        <w:adjustRightInd w:val="0"/>
        <w:ind w:left="426" w:hanging="426"/>
        <w:contextualSpacing/>
        <w:rPr>
          <w:rFonts w:ascii="Arial Narrow" w:eastAsia="Calibri" w:hAnsi="Arial Narrow"/>
          <w:color w:val="000000" w:themeColor="text1"/>
        </w:rPr>
      </w:pPr>
      <w:r w:rsidRPr="002C0D19">
        <w:rPr>
          <w:rFonts w:ascii="Arial Narrow" w:eastAsia="Calibri" w:hAnsi="Arial Narrow"/>
          <w:color w:val="000000" w:themeColor="text1"/>
        </w:rPr>
        <w:t>Solución del proceso de entrega de Activos y de efectivo.</w:t>
      </w:r>
    </w:p>
    <w:p w14:paraId="681CD65C" w14:textId="77777777" w:rsidR="007968EC" w:rsidRPr="002C0D19" w:rsidRDefault="007968EC" w:rsidP="007968EC">
      <w:pPr>
        <w:ind w:left="426" w:hanging="426"/>
        <w:contextualSpacing/>
        <w:rPr>
          <w:rFonts w:ascii="Arial Narrow" w:eastAsia="Calibri" w:hAnsi="Arial Narrow"/>
          <w:color w:val="000000" w:themeColor="text1"/>
        </w:rPr>
      </w:pPr>
    </w:p>
    <w:p w14:paraId="35587126" w14:textId="77777777" w:rsidR="007968EC" w:rsidRPr="002C0D19" w:rsidRDefault="007968EC" w:rsidP="00DA7472">
      <w:pPr>
        <w:numPr>
          <w:ilvl w:val="0"/>
          <w:numId w:val="223"/>
        </w:numPr>
        <w:autoSpaceDE w:val="0"/>
        <w:autoSpaceDN w:val="0"/>
        <w:adjustRightInd w:val="0"/>
        <w:ind w:left="426" w:hanging="426"/>
        <w:contextualSpacing/>
        <w:rPr>
          <w:rFonts w:ascii="Arial Narrow" w:eastAsia="Calibri" w:hAnsi="Arial Narrow"/>
          <w:color w:val="000000" w:themeColor="text1"/>
        </w:rPr>
      </w:pPr>
      <w:r w:rsidRPr="002C0D19">
        <w:rPr>
          <w:rFonts w:ascii="Arial Narrow" w:eastAsia="Calibri" w:hAnsi="Arial Narrow"/>
          <w:color w:val="000000" w:themeColor="text1"/>
        </w:rPr>
        <w:t>Etapas del Procedimiento de Liquidación al Vencimiento.</w:t>
      </w:r>
    </w:p>
    <w:p w14:paraId="1CF97D99" w14:textId="77777777" w:rsidR="007968EC" w:rsidRPr="004D6548" w:rsidRDefault="007968EC" w:rsidP="007968EC">
      <w:pPr>
        <w:jc w:val="both"/>
        <w:rPr>
          <w:rFonts w:ascii="Arial Narrow" w:eastAsia="Calibri" w:hAnsi="Arial Narrow"/>
          <w:bCs/>
          <w:color w:val="000000" w:themeColor="text1"/>
        </w:rPr>
      </w:pPr>
    </w:p>
    <w:p w14:paraId="2A54124D" w14:textId="77777777" w:rsidR="007968EC" w:rsidRDefault="007968EC" w:rsidP="007968EC">
      <w:pPr>
        <w:pStyle w:val="ARTICULO0"/>
      </w:pPr>
      <w:bookmarkStart w:id="5699" w:name="_Toc470784778"/>
      <w:bookmarkStart w:id="5700" w:name="_Toc470785315"/>
      <w:bookmarkStart w:id="5701" w:name="_Toc470791709"/>
      <w:bookmarkStart w:id="5702" w:name="_Toc472592446"/>
      <w:bookmarkStart w:id="5703" w:name="_Toc472593465"/>
      <w:bookmarkStart w:id="5704" w:name="_Toc479057259"/>
      <w:bookmarkStart w:id="5705" w:name="_Toc31716282"/>
      <w:bookmarkStart w:id="5706" w:name="_Toc490066626"/>
      <w:r w:rsidRPr="002C0D19">
        <w:t>Artículo 3.4.3.2. Conceptos incluidos en la Liquidación por Entrega de Operaciones Simultáneas provenientes de sistemas de negociación y/o registro.</w:t>
      </w:r>
      <w:bookmarkEnd w:id="5699"/>
      <w:bookmarkEnd w:id="5700"/>
      <w:bookmarkEnd w:id="5701"/>
      <w:bookmarkEnd w:id="5702"/>
      <w:bookmarkEnd w:id="5703"/>
      <w:bookmarkEnd w:id="5704"/>
      <w:bookmarkEnd w:id="5705"/>
      <w:r w:rsidRPr="002C0D19">
        <w:t xml:space="preserve"> </w:t>
      </w:r>
    </w:p>
    <w:p w14:paraId="764EE4E4" w14:textId="77777777" w:rsidR="007968EC" w:rsidRDefault="007968EC" w:rsidP="007968EC">
      <w:pPr>
        <w:keepNext/>
        <w:tabs>
          <w:tab w:val="left" w:pos="1701"/>
        </w:tabs>
        <w:jc w:val="both"/>
        <w:outlineLvl w:val="2"/>
        <w:rPr>
          <w:rFonts w:ascii="Arial Narrow" w:hAnsi="Arial Narrow" w:cs="Arial"/>
          <w:b/>
          <w:color w:val="000000" w:themeColor="text1"/>
          <w:lang w:eastAsia="es-ES"/>
        </w:rPr>
      </w:pPr>
    </w:p>
    <w:p w14:paraId="4BB005A0" w14:textId="77777777" w:rsidR="007968EC" w:rsidRPr="002C0D19" w:rsidRDefault="007968EC" w:rsidP="007968EC">
      <w:pPr>
        <w:pStyle w:val="ANTECEDENTES"/>
      </w:pPr>
      <w:r w:rsidRPr="002C0D19">
        <w:t>(Este artículo fue modificado mediante Circular 14 del 8 de agosto de 2017, publicada en el Boletín Normativo No. 015 del 8 de agosto de 2017. Rige a partir del 9 de agosto de 2017.)</w:t>
      </w:r>
      <w:bookmarkEnd w:id="5706"/>
    </w:p>
    <w:p w14:paraId="3AD49C46" w14:textId="77777777" w:rsidR="007968EC" w:rsidRPr="002C0D19" w:rsidRDefault="007968EC" w:rsidP="007968EC">
      <w:pPr>
        <w:rPr>
          <w:rFonts w:ascii="Arial Narrow" w:eastAsia="Calibri" w:hAnsi="Arial Narrow"/>
          <w:bCs/>
          <w:color w:val="000000" w:themeColor="text1"/>
        </w:rPr>
      </w:pPr>
    </w:p>
    <w:p w14:paraId="097BF868" w14:textId="77777777" w:rsidR="007968EC" w:rsidRPr="002C0D19" w:rsidRDefault="007968EC" w:rsidP="007968EC">
      <w:pPr>
        <w:autoSpaceDE w:val="0"/>
        <w:autoSpaceDN w:val="0"/>
        <w:adjustRightInd w:val="0"/>
        <w:jc w:val="both"/>
        <w:rPr>
          <w:rFonts w:ascii="Arial Narrow" w:eastAsia="Calibri" w:hAnsi="Arial Narrow" w:cs="Arial"/>
          <w:lang w:eastAsia="es-ES"/>
        </w:rPr>
      </w:pPr>
      <w:r w:rsidRPr="002C0D19">
        <w:rPr>
          <w:rFonts w:ascii="Arial Narrow" w:eastAsia="Calibri" w:hAnsi="Arial Narrow" w:cs="Arial"/>
          <w:lang w:eastAsia="es-ES"/>
        </w:rPr>
        <w:t xml:space="preserve">Diariamente en la Sesión de Liquidación Diaria de </w:t>
      </w:r>
      <w:r w:rsidRPr="002C0D19">
        <w:rPr>
          <w:rFonts w:ascii="Arial Narrow" w:eastAsia="Calibri" w:hAnsi="Arial Narrow"/>
        </w:rPr>
        <w:t xml:space="preserve">la Cámara, en relación con </w:t>
      </w:r>
      <w:r w:rsidRPr="002C0D19">
        <w:rPr>
          <w:rFonts w:ascii="Arial Narrow" w:eastAsia="Calibri" w:hAnsi="Arial Narrow" w:cs="Arial"/>
          <w:lang w:eastAsia="es-ES"/>
        </w:rPr>
        <w:t>las Operaciones Simultáneas Aceptadas, los Miembros entregarán o recibirán, según corresponda, los fondos por los siguientes conceptos:</w:t>
      </w:r>
    </w:p>
    <w:p w14:paraId="73F5727D" w14:textId="77777777" w:rsidR="007968EC" w:rsidRPr="002C0D19" w:rsidRDefault="007968EC" w:rsidP="007968EC">
      <w:pPr>
        <w:autoSpaceDE w:val="0"/>
        <w:autoSpaceDN w:val="0"/>
        <w:adjustRightInd w:val="0"/>
        <w:rPr>
          <w:rFonts w:ascii="Arial Narrow" w:eastAsia="Calibri" w:hAnsi="Arial Narrow" w:cs="Arial"/>
          <w:lang w:eastAsia="es-ES"/>
        </w:rPr>
      </w:pPr>
    </w:p>
    <w:p w14:paraId="2A3614E8" w14:textId="77777777" w:rsidR="007968EC" w:rsidRPr="002C0D19" w:rsidRDefault="007968EC" w:rsidP="00DA7472">
      <w:pPr>
        <w:numPr>
          <w:ilvl w:val="0"/>
          <w:numId w:val="225"/>
        </w:numPr>
        <w:autoSpaceDE w:val="0"/>
        <w:autoSpaceDN w:val="0"/>
        <w:adjustRightInd w:val="0"/>
        <w:ind w:left="426" w:hanging="426"/>
        <w:contextualSpacing/>
        <w:jc w:val="both"/>
        <w:rPr>
          <w:rFonts w:ascii="Arial Narrow" w:eastAsia="Calibri" w:hAnsi="Arial Narrow" w:cs="Arial"/>
          <w:lang w:eastAsia="es-ES"/>
        </w:rPr>
      </w:pPr>
      <w:r w:rsidRPr="002C0D19">
        <w:rPr>
          <w:rFonts w:ascii="Arial Narrow" w:eastAsia="Calibri" w:hAnsi="Arial Narrow" w:cs="Arial"/>
          <w:lang w:eastAsia="es-ES"/>
        </w:rPr>
        <w:lastRenderedPageBreak/>
        <w:t>Garantías por Posición: El Sistema de Cámara calculará los ajustes de los montos requeridos en Garantías por Posición por las Posiciones Abiertas de las Operaciones Simultáneas Aceptadas en la forma en que se establece en el Reglamento y en la presente Circular</w:t>
      </w:r>
      <w:r w:rsidRPr="002C0D19">
        <w:rPr>
          <w:rFonts w:ascii="Arial Narrow" w:eastAsia="Calibri" w:hAnsi="Arial Narrow"/>
        </w:rPr>
        <w:t>.</w:t>
      </w:r>
    </w:p>
    <w:p w14:paraId="77CCC68B" w14:textId="77777777" w:rsidR="007968EC" w:rsidRPr="002C0D19" w:rsidRDefault="007968EC" w:rsidP="007968EC">
      <w:pPr>
        <w:autoSpaceDE w:val="0"/>
        <w:autoSpaceDN w:val="0"/>
        <w:adjustRightInd w:val="0"/>
        <w:ind w:left="426" w:hanging="426"/>
        <w:rPr>
          <w:rFonts w:ascii="Arial Narrow" w:eastAsia="Calibri" w:hAnsi="Arial Narrow" w:cs="Arial"/>
          <w:lang w:eastAsia="es-ES"/>
        </w:rPr>
      </w:pPr>
    </w:p>
    <w:p w14:paraId="05E9C088" w14:textId="77777777" w:rsidR="007968EC" w:rsidRPr="002C0D19" w:rsidRDefault="007968EC" w:rsidP="00DA7472">
      <w:pPr>
        <w:numPr>
          <w:ilvl w:val="0"/>
          <w:numId w:val="225"/>
        </w:numPr>
        <w:autoSpaceDE w:val="0"/>
        <w:autoSpaceDN w:val="0"/>
        <w:adjustRightInd w:val="0"/>
        <w:ind w:left="426" w:hanging="426"/>
        <w:contextualSpacing/>
        <w:jc w:val="both"/>
        <w:rPr>
          <w:rFonts w:ascii="Arial Narrow" w:eastAsia="Calibri" w:hAnsi="Arial Narrow" w:cs="Arial"/>
          <w:lang w:eastAsia="es-ES"/>
        </w:rPr>
      </w:pPr>
      <w:r w:rsidRPr="002C0D19">
        <w:rPr>
          <w:rFonts w:ascii="Arial Narrow" w:eastAsia="Calibri" w:hAnsi="Arial Narrow" w:cs="Arial"/>
          <w:lang w:eastAsia="es-ES"/>
        </w:rPr>
        <w:t>Garantías Extraordinarias: Sin perjuicio de lo previsto en la presente Circular para la constitución de Garantías Extraordinarias en el procedimiento de Margin Call, el Sistema de Cámara calculará los ajustes de los montos requeridos en Garantías Extraordinarias por las Posiciones Abiertas de las Operaciones Simultáneas Aceptadas en la forma como se establece en el Reglamento y en esta Circular.</w:t>
      </w:r>
    </w:p>
    <w:p w14:paraId="738BC299" w14:textId="77777777" w:rsidR="007968EC" w:rsidRPr="002C0D19" w:rsidRDefault="007968EC" w:rsidP="007968EC">
      <w:pPr>
        <w:ind w:left="708"/>
        <w:rPr>
          <w:rFonts w:ascii="Arial Narrow" w:eastAsia="Calibri" w:hAnsi="Arial Narrow" w:cs="Arial"/>
          <w:b/>
          <w:lang w:eastAsia="es-ES"/>
        </w:rPr>
      </w:pPr>
    </w:p>
    <w:p w14:paraId="53B55354" w14:textId="77777777" w:rsidR="007968EC" w:rsidRPr="002C0D19" w:rsidRDefault="007968EC" w:rsidP="00DA7472">
      <w:pPr>
        <w:numPr>
          <w:ilvl w:val="0"/>
          <w:numId w:val="225"/>
        </w:numPr>
        <w:autoSpaceDE w:val="0"/>
        <w:autoSpaceDN w:val="0"/>
        <w:adjustRightInd w:val="0"/>
        <w:ind w:left="426" w:hanging="426"/>
        <w:contextualSpacing/>
        <w:jc w:val="both"/>
        <w:rPr>
          <w:rFonts w:ascii="Arial Narrow" w:eastAsia="Calibri" w:hAnsi="Arial Narrow" w:cs="Arial"/>
          <w:lang w:eastAsia="es-ES"/>
        </w:rPr>
      </w:pPr>
      <w:r w:rsidRPr="002C0D19">
        <w:rPr>
          <w:rFonts w:ascii="Arial Narrow" w:eastAsia="Calibri" w:hAnsi="Arial Narrow" w:cs="Arial"/>
          <w:lang w:eastAsia="es-ES"/>
        </w:rPr>
        <w:t>Remuneración de las Garantías: La Cámara entregará la totalidad de la remuneración de las Garantías constituidas en efectivo de toda la estructura de cuentas del Miembro que haya autorizado su inversión, conforme con la metodología contenida en el numeral 2 del artículo 1.6.4.14. de la presente Circular.</w:t>
      </w:r>
    </w:p>
    <w:p w14:paraId="6E4A9F25" w14:textId="77777777" w:rsidR="007968EC" w:rsidRPr="002C0D19" w:rsidRDefault="007968EC" w:rsidP="007968EC">
      <w:pPr>
        <w:rPr>
          <w:rFonts w:ascii="Arial Narrow" w:eastAsia="Calibri" w:hAnsi="Arial Narrow"/>
          <w:color w:val="000000" w:themeColor="text1"/>
          <w:lang w:eastAsia="es-ES"/>
        </w:rPr>
      </w:pPr>
    </w:p>
    <w:p w14:paraId="3FC84248" w14:textId="77777777" w:rsidR="007968EC" w:rsidRPr="002C0D19" w:rsidRDefault="007968EC" w:rsidP="007968EC">
      <w:pPr>
        <w:pStyle w:val="ARTICULO0"/>
      </w:pPr>
      <w:bookmarkStart w:id="5707" w:name="_Toc470784779"/>
      <w:bookmarkStart w:id="5708" w:name="_Toc470785316"/>
      <w:bookmarkStart w:id="5709" w:name="_Toc470791710"/>
      <w:bookmarkStart w:id="5710" w:name="_Toc472592447"/>
      <w:bookmarkStart w:id="5711" w:name="_Toc472593466"/>
      <w:bookmarkStart w:id="5712" w:name="_Toc479057260"/>
      <w:bookmarkStart w:id="5713" w:name="_Toc490066627"/>
      <w:bookmarkStart w:id="5714" w:name="_Toc31716283"/>
      <w:r w:rsidRPr="002C0D19">
        <w:t xml:space="preserve">Artículo 3.4.3.3. </w:t>
      </w:r>
      <w:proofErr w:type="gramStart"/>
      <w:r w:rsidRPr="002C0D19">
        <w:t>Determinación del Activo a entregar</w:t>
      </w:r>
      <w:proofErr w:type="gramEnd"/>
      <w:r w:rsidRPr="002C0D19">
        <w:t xml:space="preserve"> en la Liquidación por Entrega de Operaciones Simultáneas provenientes de sistemas de negociación y/o registro.</w:t>
      </w:r>
      <w:bookmarkEnd w:id="5707"/>
      <w:bookmarkEnd w:id="5708"/>
      <w:bookmarkEnd w:id="5709"/>
      <w:bookmarkEnd w:id="5710"/>
      <w:bookmarkEnd w:id="5711"/>
      <w:bookmarkEnd w:id="5712"/>
      <w:bookmarkEnd w:id="5713"/>
      <w:bookmarkEnd w:id="5714"/>
    </w:p>
    <w:p w14:paraId="00A3971B" w14:textId="77777777" w:rsidR="007968EC" w:rsidRPr="002C0D19" w:rsidRDefault="007968EC" w:rsidP="007968EC">
      <w:pPr>
        <w:rPr>
          <w:rFonts w:ascii="Arial Narrow" w:eastAsia="Calibri" w:hAnsi="Arial Narrow"/>
          <w:bCs/>
          <w:color w:val="000000" w:themeColor="text1"/>
        </w:rPr>
      </w:pPr>
    </w:p>
    <w:p w14:paraId="1EE89D35"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 xml:space="preserve">Al vencimiento de las Operaciones Simultáneas, el Activo a entregar será el acordado en la Operación Simultánea celebrada por los Miembros en los sistemas de negociación y/o registro que tengan suscrito convenio con la Cámara. </w:t>
      </w:r>
    </w:p>
    <w:p w14:paraId="5CE3CF26" w14:textId="77777777" w:rsidR="007968EC" w:rsidRPr="002C0D19" w:rsidRDefault="007968EC" w:rsidP="007968EC">
      <w:pPr>
        <w:rPr>
          <w:rFonts w:ascii="Arial Narrow" w:eastAsia="Calibri" w:hAnsi="Arial Narrow"/>
          <w:color w:val="000000" w:themeColor="text1"/>
          <w:lang w:eastAsia="es-ES"/>
        </w:rPr>
      </w:pPr>
    </w:p>
    <w:p w14:paraId="2A8EC26E" w14:textId="77777777" w:rsidR="007968EC" w:rsidRPr="002C0D19" w:rsidRDefault="007968EC" w:rsidP="007968EC">
      <w:pPr>
        <w:pStyle w:val="ARTICULO0"/>
      </w:pPr>
      <w:bookmarkStart w:id="5715" w:name="_Toc470784780"/>
      <w:bookmarkStart w:id="5716" w:name="_Toc470785317"/>
      <w:bookmarkStart w:id="5717" w:name="_Toc470791711"/>
      <w:bookmarkStart w:id="5718" w:name="_Toc472592448"/>
      <w:bookmarkStart w:id="5719" w:name="_Toc472593467"/>
      <w:bookmarkStart w:id="5720" w:name="_Toc479057261"/>
      <w:bookmarkStart w:id="5721" w:name="_Toc490066628"/>
      <w:bookmarkStart w:id="5722" w:name="_Toc31716284"/>
      <w:r w:rsidRPr="002C0D19">
        <w:t>Artículo 3.4.3.4. Determinación del valor de giro del efectivo a pagar en la Liquidación por Entrega de Operaciones Simultáneas provenientes de sistemas de negociación y/o registro.</w:t>
      </w:r>
      <w:bookmarkEnd w:id="5715"/>
      <w:bookmarkEnd w:id="5716"/>
      <w:bookmarkEnd w:id="5717"/>
      <w:bookmarkEnd w:id="5718"/>
      <w:bookmarkEnd w:id="5719"/>
      <w:bookmarkEnd w:id="5720"/>
      <w:bookmarkEnd w:id="5721"/>
      <w:bookmarkEnd w:id="5722"/>
    </w:p>
    <w:p w14:paraId="41C5BB0C" w14:textId="77777777" w:rsidR="007968EC" w:rsidRPr="002C0D19" w:rsidRDefault="007968EC" w:rsidP="007968EC">
      <w:pPr>
        <w:rPr>
          <w:rFonts w:ascii="Arial Narrow" w:eastAsia="Calibri" w:hAnsi="Arial Narrow"/>
          <w:bCs/>
          <w:color w:val="000000" w:themeColor="text1"/>
        </w:rPr>
      </w:pPr>
    </w:p>
    <w:p w14:paraId="59A580F7"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Al vencimiento de las Operaciones Simultáneas el valor de giro del efectivo a pagar será el acordado en la Operación Simultánea celebrada por los Miembros en los sistemas de negociación y/o registro que tengan suscrito convenio con la Cámara.</w:t>
      </w:r>
    </w:p>
    <w:p w14:paraId="3D517A1E" w14:textId="77777777" w:rsidR="007968EC" w:rsidRPr="002C0D19" w:rsidRDefault="007968EC" w:rsidP="007968EC">
      <w:pPr>
        <w:rPr>
          <w:rFonts w:ascii="Arial Narrow" w:eastAsia="Calibri" w:hAnsi="Arial Narrow"/>
          <w:bCs/>
          <w:color w:val="000000" w:themeColor="text1"/>
        </w:rPr>
      </w:pPr>
    </w:p>
    <w:p w14:paraId="79C6AA6F" w14:textId="77777777" w:rsidR="007968EC" w:rsidRDefault="007968EC" w:rsidP="007968EC">
      <w:pPr>
        <w:pStyle w:val="ARTICULO0"/>
      </w:pPr>
      <w:bookmarkStart w:id="5723" w:name="_Toc470784781"/>
      <w:bookmarkStart w:id="5724" w:name="_Toc470785318"/>
      <w:bookmarkStart w:id="5725" w:name="_Toc470791712"/>
      <w:bookmarkStart w:id="5726" w:name="_Toc472592449"/>
      <w:bookmarkStart w:id="5727" w:name="_Toc472593468"/>
      <w:bookmarkStart w:id="5728" w:name="_Toc479057262"/>
      <w:bookmarkStart w:id="5729" w:name="_Toc31716285"/>
      <w:bookmarkStart w:id="5730" w:name="_Toc490066629"/>
      <w:r w:rsidRPr="002C0D19">
        <w:t>Artículo 3.4.3.5. Solución del proceso de entrega de Activos y de Efectivo en la Liquidación por Entrega de Operaciones Simultáneas provenientes de sistemas de negociación y/o registro</w:t>
      </w:r>
      <w:bookmarkEnd w:id="5723"/>
      <w:bookmarkEnd w:id="5724"/>
      <w:bookmarkEnd w:id="5725"/>
      <w:r w:rsidRPr="002C0D19">
        <w:t>.</w:t>
      </w:r>
      <w:bookmarkEnd w:id="5726"/>
      <w:bookmarkEnd w:id="5727"/>
      <w:bookmarkEnd w:id="5728"/>
      <w:bookmarkEnd w:id="5729"/>
      <w:r w:rsidRPr="002C0D19">
        <w:t xml:space="preserve"> </w:t>
      </w:r>
    </w:p>
    <w:p w14:paraId="558566D9" w14:textId="77777777" w:rsidR="007968EC" w:rsidRDefault="007968EC" w:rsidP="007968EC">
      <w:pPr>
        <w:keepNext/>
        <w:tabs>
          <w:tab w:val="left" w:pos="1701"/>
        </w:tabs>
        <w:jc w:val="both"/>
        <w:outlineLvl w:val="2"/>
        <w:rPr>
          <w:rFonts w:ascii="Arial Narrow" w:hAnsi="Arial Narrow" w:cs="Arial"/>
          <w:b/>
          <w:color w:val="000000" w:themeColor="text1"/>
          <w:lang w:eastAsia="es-ES"/>
        </w:rPr>
      </w:pPr>
    </w:p>
    <w:p w14:paraId="79C77CDA" w14:textId="77777777" w:rsidR="007968EC" w:rsidRPr="002C0D19" w:rsidRDefault="007968EC" w:rsidP="007968EC">
      <w:pPr>
        <w:pStyle w:val="ANTECEDENTES"/>
      </w:pPr>
      <w:r w:rsidRPr="002C0D19">
        <w:t>(Este artículo fue modificado mediante Circular 14 del 8 de agosto de 2017, publicada en el Boletín Normativo No. 015 del 8 de agosto de 2017. Rige a partir del 9 de agosto de 2017.)</w:t>
      </w:r>
      <w:bookmarkEnd w:id="5730"/>
    </w:p>
    <w:p w14:paraId="750DB838" w14:textId="77777777" w:rsidR="007968EC" w:rsidRPr="002C0D19" w:rsidRDefault="007968EC" w:rsidP="007968EC">
      <w:pPr>
        <w:rPr>
          <w:rFonts w:ascii="Arial Narrow" w:eastAsia="Calibri" w:hAnsi="Arial Narrow"/>
          <w:bCs/>
          <w:color w:val="000000" w:themeColor="text1"/>
        </w:rPr>
      </w:pPr>
    </w:p>
    <w:p w14:paraId="2A613475" w14:textId="77777777" w:rsidR="007968EC" w:rsidRPr="002C0D19" w:rsidRDefault="007968EC" w:rsidP="007968EC">
      <w:pPr>
        <w:jc w:val="both"/>
        <w:rPr>
          <w:rFonts w:ascii="Arial Narrow" w:eastAsia="Calibri" w:hAnsi="Arial Narrow"/>
        </w:rPr>
      </w:pPr>
      <w:r w:rsidRPr="002C0D19">
        <w:rPr>
          <w:rFonts w:ascii="Arial Narrow" w:eastAsia="Calibri" w:hAnsi="Arial Narrow" w:cs="Arial"/>
          <w:lang w:eastAsia="es-ES"/>
        </w:rPr>
        <w:t>Para solucionar el proceso de entregas de Activos y de efectivo en la Liquidación por Entrega al vencimiento de las Operaciones Simultáneas, la Cámara ha definido que las parejas titulares con Posición Abierta vendedora y titulares con Posición Abierta compradora correspondan a las mismas parejas de las Operaciones Simultáneas celebradas en los sistemas de negociación y/o registro que tengan convenio suscrito con la Cámara</w:t>
      </w:r>
      <w:r w:rsidRPr="002C0D19">
        <w:rPr>
          <w:rFonts w:ascii="Arial Narrow" w:eastAsia="Calibri" w:hAnsi="Arial Narrow"/>
        </w:rPr>
        <w:t>. Sin</w:t>
      </w:r>
      <w:r w:rsidRPr="002C0D19">
        <w:rPr>
          <w:rFonts w:ascii="Arial Narrow" w:eastAsia="Calibri" w:hAnsi="Arial Narrow" w:cs="Arial"/>
          <w:lang w:eastAsia="es-ES"/>
        </w:rPr>
        <w:t xml:space="preserve"> perjuicio de la </w:t>
      </w:r>
      <w:r w:rsidRPr="002C0D19">
        <w:rPr>
          <w:rFonts w:ascii="Arial Narrow" w:eastAsia="Calibri" w:hAnsi="Arial Narrow"/>
        </w:rPr>
        <w:t xml:space="preserve">función de </w:t>
      </w:r>
      <w:r w:rsidRPr="002C0D19">
        <w:rPr>
          <w:rFonts w:ascii="Arial Narrow" w:eastAsia="Calibri" w:hAnsi="Arial Narrow" w:cs="Arial"/>
          <w:lang w:eastAsia="es-ES"/>
        </w:rPr>
        <w:t>interposición como contrapartida central</w:t>
      </w:r>
      <w:r w:rsidRPr="002C0D19">
        <w:rPr>
          <w:rFonts w:ascii="Arial Narrow" w:eastAsia="Calibri" w:hAnsi="Arial Narrow"/>
        </w:rPr>
        <w:t xml:space="preserve"> de la Cámara, la Liquidación de las Operaciones Simultáneas puede realizarse entre las partes originales de la Operación Simultánea.</w:t>
      </w:r>
    </w:p>
    <w:p w14:paraId="6E262692" w14:textId="77777777" w:rsidR="007968EC" w:rsidRPr="002C0D19" w:rsidRDefault="007968EC" w:rsidP="007968EC">
      <w:pPr>
        <w:rPr>
          <w:rFonts w:ascii="Arial Narrow" w:eastAsia="Calibri" w:hAnsi="Arial Narrow"/>
          <w:bCs/>
          <w:color w:val="000000" w:themeColor="text1"/>
        </w:rPr>
      </w:pPr>
    </w:p>
    <w:p w14:paraId="48A2A679" w14:textId="77777777" w:rsidR="007968EC" w:rsidRPr="002C0D19" w:rsidRDefault="007968EC" w:rsidP="007968EC">
      <w:pPr>
        <w:pStyle w:val="ARTICULO0"/>
      </w:pPr>
      <w:bookmarkStart w:id="5731" w:name="_Toc470784782"/>
      <w:bookmarkStart w:id="5732" w:name="_Toc470785319"/>
      <w:bookmarkStart w:id="5733" w:name="_Toc470791713"/>
      <w:bookmarkStart w:id="5734" w:name="_Toc472592450"/>
      <w:bookmarkStart w:id="5735" w:name="_Toc472593469"/>
      <w:bookmarkStart w:id="5736" w:name="_Toc479057263"/>
      <w:bookmarkStart w:id="5737" w:name="_Toc490066630"/>
      <w:bookmarkStart w:id="5738" w:name="_Toc31716286"/>
      <w:r w:rsidRPr="002C0D19">
        <w:lastRenderedPageBreak/>
        <w:t>Artículo 3.4.3.6. Etapas del Procedimiento de la Liquidación por Entrega de Operaciones Simultáneas provenientes de sistemas de negociación y/o registro</w:t>
      </w:r>
      <w:bookmarkEnd w:id="5731"/>
      <w:bookmarkEnd w:id="5732"/>
      <w:bookmarkEnd w:id="5733"/>
      <w:r w:rsidRPr="002C0D19">
        <w:t>.</w:t>
      </w:r>
      <w:bookmarkEnd w:id="5734"/>
      <w:bookmarkEnd w:id="5735"/>
      <w:bookmarkEnd w:id="5736"/>
      <w:bookmarkEnd w:id="5737"/>
      <w:bookmarkEnd w:id="5738"/>
    </w:p>
    <w:p w14:paraId="22D95E7A" w14:textId="77777777" w:rsidR="007968EC" w:rsidRPr="002C0D19" w:rsidRDefault="007968EC" w:rsidP="007968EC">
      <w:pPr>
        <w:rPr>
          <w:rFonts w:ascii="Arial Narrow" w:eastAsia="Calibri" w:hAnsi="Arial Narrow"/>
          <w:bCs/>
          <w:color w:val="000000" w:themeColor="text1"/>
        </w:rPr>
      </w:pPr>
    </w:p>
    <w:p w14:paraId="080A4517"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 xml:space="preserve">El procedimiento de Liquidación por Entrega de Operaciones </w:t>
      </w:r>
      <w:proofErr w:type="gramStart"/>
      <w:r w:rsidRPr="002C0D19">
        <w:rPr>
          <w:rFonts w:ascii="Arial Narrow" w:eastAsia="Calibri" w:hAnsi="Arial Narrow"/>
          <w:color w:val="000000" w:themeColor="text1"/>
        </w:rPr>
        <w:t>Simultáneas,</w:t>
      </w:r>
      <w:proofErr w:type="gramEnd"/>
      <w:r w:rsidRPr="002C0D19">
        <w:rPr>
          <w:rFonts w:ascii="Arial Narrow" w:eastAsia="Calibri" w:hAnsi="Arial Narrow"/>
          <w:color w:val="000000" w:themeColor="text1"/>
        </w:rPr>
        <w:t xml:space="preserve"> se llevará a cabo en las siguientes etapas:</w:t>
      </w:r>
    </w:p>
    <w:p w14:paraId="0D0943DF" w14:textId="77777777" w:rsidR="007968EC" w:rsidRPr="002C0D19" w:rsidRDefault="007968EC" w:rsidP="007968EC">
      <w:pPr>
        <w:autoSpaceDE w:val="0"/>
        <w:autoSpaceDN w:val="0"/>
        <w:adjustRightInd w:val="0"/>
        <w:rPr>
          <w:rFonts w:ascii="Arial Narrow" w:eastAsia="Calibri" w:hAnsi="Arial Narrow"/>
          <w:color w:val="000000" w:themeColor="text1"/>
        </w:rPr>
      </w:pPr>
    </w:p>
    <w:p w14:paraId="377D848D" w14:textId="77777777" w:rsidR="007968EC" w:rsidRPr="002C0D19" w:rsidRDefault="007968EC" w:rsidP="007968EC">
      <w:pPr>
        <w:autoSpaceDE w:val="0"/>
        <w:autoSpaceDN w:val="0"/>
        <w:adjustRightInd w:val="0"/>
        <w:jc w:val="both"/>
        <w:rPr>
          <w:rFonts w:ascii="Arial Narrow" w:eastAsia="Calibri" w:hAnsi="Arial Narrow"/>
          <w:color w:val="000000" w:themeColor="text1"/>
        </w:rPr>
      </w:pPr>
      <w:r w:rsidRPr="002C0D19">
        <w:rPr>
          <w:rFonts w:ascii="Arial Narrow" w:eastAsia="Calibri" w:hAnsi="Arial Narrow"/>
          <w:color w:val="000000" w:themeColor="text1"/>
        </w:rPr>
        <w:t>Etapa 1: La Cámara entregará al Miembro Liquidador la información acerca de la Liquidación al Vencimiento de las Operaciones Simultáneas aceptadas en la Cámara antes del inicio o durante de la Sesión de Aceptación de Operaciones en la fecha de vencimiento de las Operaciones Aceptadas. La información incluirá el detalle de las obligaciones de los Miembros en saldos brutos, correspondientes a sus Posiciones Abiertas y a las de sus Terceros.</w:t>
      </w:r>
    </w:p>
    <w:p w14:paraId="6552D416" w14:textId="77777777" w:rsidR="007968EC" w:rsidRPr="002C0D19" w:rsidRDefault="007968EC" w:rsidP="007968EC">
      <w:pPr>
        <w:autoSpaceDE w:val="0"/>
        <w:autoSpaceDN w:val="0"/>
        <w:adjustRightInd w:val="0"/>
        <w:rPr>
          <w:rFonts w:ascii="Arial Narrow" w:eastAsia="Calibri" w:hAnsi="Arial Narrow"/>
          <w:color w:val="000000" w:themeColor="text1"/>
        </w:rPr>
      </w:pPr>
    </w:p>
    <w:p w14:paraId="359F390B"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Esta información será entregada, antes del inicio de la Sesión de Aceptación de Operaciones en la fecha de vencimiento de las Operaciones Aceptadas a los depósitos centralizados valores o a la Bolsa de Valores de Colombia S.A., según corresponda, entidades que realizan en nombre de la Cámara la liquidación de estas operaciones.</w:t>
      </w:r>
    </w:p>
    <w:p w14:paraId="385C27CC" w14:textId="77777777" w:rsidR="007968EC" w:rsidRPr="002C0D19" w:rsidRDefault="007968EC" w:rsidP="007968EC">
      <w:pPr>
        <w:autoSpaceDE w:val="0"/>
        <w:autoSpaceDN w:val="0"/>
        <w:adjustRightInd w:val="0"/>
        <w:rPr>
          <w:rFonts w:ascii="Arial Narrow" w:eastAsia="Calibri" w:hAnsi="Arial Narrow"/>
          <w:color w:val="000000" w:themeColor="text1"/>
        </w:rPr>
      </w:pPr>
    </w:p>
    <w:p w14:paraId="426F9DEB"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Etapa 2: Los depósitos centralizados de valores o la Bolsa de Valores de Colombia, según corresponda, notificarán a la Cámara la transferencia de los valores y/o el efectivo para la liquidación de las Operaciones Simultáneas en los horarios de cumplimiento establecidos en sus reglamentos, de acuerdo con lo establecido en el artículo 2.6.4. del Reglamento de Funcionamiento.</w:t>
      </w:r>
    </w:p>
    <w:p w14:paraId="4F0A0DEC" w14:textId="77777777" w:rsidR="007968EC" w:rsidRPr="002C0D19" w:rsidRDefault="007968EC" w:rsidP="007968EC">
      <w:pPr>
        <w:rPr>
          <w:rFonts w:ascii="Arial Narrow" w:eastAsia="Calibri" w:hAnsi="Arial Narrow"/>
          <w:bCs/>
          <w:color w:val="000000" w:themeColor="text1"/>
        </w:rPr>
      </w:pPr>
    </w:p>
    <w:p w14:paraId="4FC4F07F" w14:textId="77777777" w:rsidR="007968EC" w:rsidRPr="002C0D19" w:rsidRDefault="007968EC" w:rsidP="007968EC">
      <w:pPr>
        <w:pStyle w:val="ARTICULO0"/>
      </w:pPr>
      <w:bookmarkStart w:id="5739" w:name="_Toc470784783"/>
      <w:bookmarkStart w:id="5740" w:name="_Toc470785320"/>
      <w:bookmarkStart w:id="5741" w:name="_Toc470791714"/>
      <w:bookmarkStart w:id="5742" w:name="_Toc472592451"/>
      <w:bookmarkStart w:id="5743" w:name="_Toc472593470"/>
      <w:bookmarkStart w:id="5744" w:name="_Toc479057264"/>
      <w:bookmarkStart w:id="5745" w:name="_Toc490066631"/>
      <w:bookmarkStart w:id="5746" w:name="_Toc31716287"/>
      <w:r w:rsidRPr="002C0D19">
        <w:t>Artículo 3.4.3.7. Procedimiento de Liquidación por Entrega de Operaciones Simultáneas provenientes de sistemas de negociación y/o registro</w:t>
      </w:r>
      <w:bookmarkEnd w:id="5739"/>
      <w:bookmarkEnd w:id="5740"/>
      <w:bookmarkEnd w:id="5741"/>
      <w:r w:rsidRPr="002C0D19">
        <w:t>.</w:t>
      </w:r>
      <w:bookmarkEnd w:id="5742"/>
      <w:bookmarkEnd w:id="5743"/>
      <w:bookmarkEnd w:id="5744"/>
      <w:bookmarkEnd w:id="5745"/>
      <w:bookmarkEnd w:id="5746"/>
    </w:p>
    <w:p w14:paraId="514B2934" w14:textId="77777777" w:rsidR="007968EC" w:rsidRPr="002C0D19" w:rsidRDefault="007968EC" w:rsidP="007968EC">
      <w:pPr>
        <w:jc w:val="both"/>
        <w:rPr>
          <w:rFonts w:ascii="Arial Narrow" w:eastAsia="Calibri" w:hAnsi="Arial Narrow"/>
          <w:bCs/>
          <w:color w:val="000000" w:themeColor="text1"/>
        </w:rPr>
      </w:pPr>
    </w:p>
    <w:p w14:paraId="4B788D67"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El día de vencimiento de las Operaciones Simultáneas, se cumplen las operaciones por parte de la Cámara, de acuerdo al proceso establecido en el artículo 3.4.3.5. de la presente Circular.</w:t>
      </w:r>
    </w:p>
    <w:p w14:paraId="6AD57644" w14:textId="77777777" w:rsidR="007968EC" w:rsidRPr="002C0D19" w:rsidRDefault="007968EC" w:rsidP="007968EC">
      <w:pPr>
        <w:jc w:val="both"/>
        <w:rPr>
          <w:rFonts w:ascii="Arial Narrow" w:eastAsia="Calibri" w:hAnsi="Arial Narrow"/>
          <w:color w:val="000000" w:themeColor="text1"/>
        </w:rPr>
      </w:pPr>
    </w:p>
    <w:p w14:paraId="1A270458"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Las operaciones de transferencia desde los Miembros hacia la Cámara y desde la Cámara hacia los Miembros de valores y efectivo se realizarán mediante transferencias totales.</w:t>
      </w:r>
    </w:p>
    <w:p w14:paraId="65DE5E56" w14:textId="77777777" w:rsidR="007968EC" w:rsidRPr="002C0D19" w:rsidRDefault="007968EC" w:rsidP="007968EC">
      <w:pPr>
        <w:jc w:val="both"/>
        <w:rPr>
          <w:rFonts w:ascii="Arial Narrow" w:eastAsia="Calibri" w:hAnsi="Arial Narrow"/>
          <w:color w:val="000000" w:themeColor="text1"/>
        </w:rPr>
      </w:pPr>
    </w:p>
    <w:p w14:paraId="1ED5F631"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 xml:space="preserve">Las operaciones de transferencia de </w:t>
      </w:r>
      <w:proofErr w:type="gramStart"/>
      <w:r w:rsidRPr="002C0D19">
        <w:rPr>
          <w:rFonts w:ascii="Arial Narrow" w:eastAsia="Calibri" w:hAnsi="Arial Narrow"/>
          <w:color w:val="000000" w:themeColor="text1"/>
        </w:rPr>
        <w:t>valores,</w:t>
      </w:r>
      <w:proofErr w:type="gramEnd"/>
      <w:r w:rsidRPr="002C0D19">
        <w:rPr>
          <w:rFonts w:ascii="Arial Narrow" w:eastAsia="Calibri" w:hAnsi="Arial Narrow"/>
          <w:color w:val="000000" w:themeColor="text1"/>
        </w:rPr>
        <w:t xml:space="preserve"> se hacen a nivel de cuenta titular por saldos brutos y éstas se realizarán, según el caso, a través de los Depósitos Centralizados de Valores - DCV y/o DECEVAL. </w:t>
      </w:r>
    </w:p>
    <w:p w14:paraId="11526D53" w14:textId="77777777" w:rsidR="007968EC" w:rsidRPr="002C0D19" w:rsidRDefault="007968EC" w:rsidP="007968EC">
      <w:pPr>
        <w:jc w:val="both"/>
        <w:rPr>
          <w:rFonts w:ascii="Arial Narrow" w:eastAsia="Calibri" w:hAnsi="Arial Narrow"/>
          <w:color w:val="000000" w:themeColor="text1"/>
        </w:rPr>
      </w:pPr>
    </w:p>
    <w:p w14:paraId="2238D37C"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 xml:space="preserve">Las operaciones de transferencia de efectivo se realizarán por saldos brutos, a través de las cuentas que los Miembros Liquidadores tengan en el sistema de pagos del Banco de la República (CUD) o a través de la cuenta del Agente de Pago del Miembro Liquidador que corresponda en el sistema de pagos del Banco de la República (CUD). </w:t>
      </w:r>
    </w:p>
    <w:p w14:paraId="7915F6B6" w14:textId="77777777" w:rsidR="007968EC" w:rsidRPr="002C0D19" w:rsidRDefault="007968EC" w:rsidP="007968EC">
      <w:pPr>
        <w:jc w:val="both"/>
        <w:rPr>
          <w:rFonts w:ascii="Arial Narrow" w:eastAsia="Calibri" w:hAnsi="Arial Narrow"/>
          <w:color w:val="000000" w:themeColor="text1"/>
        </w:rPr>
      </w:pPr>
    </w:p>
    <w:p w14:paraId="5AA6ACEF"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 xml:space="preserve">Tanto la transferencia de valores como de efectivo, se realizará bajo la modalidad de Entrega contra Pago, de acuerdo con lo descrito en los reglamentos de los depósitos centralizados de valores autorizados para realizar la liquidación de las Operaciones Simultáneas o la Bolsa de Valores de Colombia S.A. según corresponda, de conformidad con lo establecido en el artículo 2.6.4. del Reglamento de Funcionamiento. </w:t>
      </w:r>
    </w:p>
    <w:p w14:paraId="474540BD" w14:textId="77777777" w:rsidR="007968EC" w:rsidRPr="002C0D19" w:rsidRDefault="007968EC" w:rsidP="007968EC">
      <w:pPr>
        <w:jc w:val="both"/>
        <w:rPr>
          <w:rFonts w:ascii="Arial Narrow" w:eastAsia="Calibri" w:hAnsi="Arial Narrow"/>
          <w:color w:val="000000" w:themeColor="text1"/>
        </w:rPr>
      </w:pPr>
    </w:p>
    <w:p w14:paraId="46D16C6D"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La Cámara recibirá la notificación de la liquidación de las Operaciones Simultáneas por parte de los depósitos centralizados de valores o de la Bolsa de Valores de Colombia S.A., según corresponda. Una vez notificada la liquidación de las Operaciones Simultáneas, el Sistema de Cámara realizará el cierre de la posición, a través de una operación tipo “B”, con lo cual el sistema de Cámara registrará el cumplimiento de la Operación Simultánea. En caso de no recibir la notificación de la transferencia de los valores y/o del efectivo de alguno de los Miembros que celebraron la Operación Simultánea y, la Cámara confirme que los valores o el efectivo no fueron entregados, la Cámara aplicará los Eventos de Retardo o Incumplimiento a que haya lugar.</w:t>
      </w:r>
    </w:p>
    <w:p w14:paraId="6B395C4D" w14:textId="77777777" w:rsidR="007968EC" w:rsidRDefault="007968EC" w:rsidP="007968EC">
      <w:pPr>
        <w:jc w:val="both"/>
        <w:rPr>
          <w:rFonts w:ascii="Arial Narrow" w:eastAsia="Calibri" w:hAnsi="Arial Narrow"/>
          <w:color w:val="000000" w:themeColor="text1"/>
        </w:rPr>
      </w:pPr>
    </w:p>
    <w:p w14:paraId="1296D37C" w14:textId="77777777" w:rsidR="007968EC" w:rsidRPr="002C0D19" w:rsidRDefault="007968EC" w:rsidP="007968EC">
      <w:pPr>
        <w:jc w:val="both"/>
        <w:rPr>
          <w:rFonts w:ascii="Arial Narrow" w:eastAsia="Calibri" w:hAnsi="Arial Narrow"/>
          <w:color w:val="000000" w:themeColor="text1"/>
        </w:rPr>
      </w:pPr>
    </w:p>
    <w:p w14:paraId="3F3C09E6" w14:textId="77777777" w:rsidR="007968EC" w:rsidRPr="002C0D19" w:rsidRDefault="007968EC" w:rsidP="007968EC">
      <w:pPr>
        <w:pStyle w:val="TTULO"/>
        <w:rPr>
          <w:rFonts w:eastAsia="Calibri"/>
          <w:lang w:val="es-ES"/>
        </w:rPr>
      </w:pPr>
      <w:bookmarkStart w:id="5747" w:name="_Toc31716288"/>
      <w:r w:rsidRPr="002C0D19">
        <w:rPr>
          <w:rFonts w:eastAsia="Calibri"/>
          <w:lang w:val="es-ES"/>
        </w:rPr>
        <w:t>CAPÍTULO CUARTO</w:t>
      </w:r>
      <w:bookmarkEnd w:id="5747"/>
    </w:p>
    <w:p w14:paraId="7D548BD3" w14:textId="77777777" w:rsidR="007968EC" w:rsidRPr="002C0D19" w:rsidRDefault="007968EC" w:rsidP="007968EC">
      <w:pPr>
        <w:pStyle w:val="TTULO"/>
        <w:rPr>
          <w:rFonts w:eastAsia="Calibri" w:cs="Times New Roman"/>
        </w:rPr>
      </w:pPr>
    </w:p>
    <w:p w14:paraId="2F852499" w14:textId="77777777" w:rsidR="007968EC" w:rsidRPr="002C0D19" w:rsidRDefault="007968EC" w:rsidP="007968EC">
      <w:pPr>
        <w:pStyle w:val="TTULO"/>
        <w:rPr>
          <w:rFonts w:eastAsia="Calibri"/>
          <w:lang w:val="es-ES"/>
        </w:rPr>
      </w:pPr>
      <w:bookmarkStart w:id="5748" w:name="_Toc31716289"/>
      <w:r w:rsidRPr="002C0D19">
        <w:rPr>
          <w:rFonts w:eastAsia="Calibri"/>
          <w:lang w:val="es-ES"/>
        </w:rPr>
        <w:t>COMPENSACIÓN Y LIQUIDACIÓN ANTICIPADA</w:t>
      </w:r>
      <w:bookmarkEnd w:id="5748"/>
    </w:p>
    <w:p w14:paraId="21D9E0AB" w14:textId="77777777" w:rsidR="007968EC" w:rsidRPr="002C0D19" w:rsidRDefault="007968EC" w:rsidP="007968EC">
      <w:pPr>
        <w:jc w:val="center"/>
        <w:rPr>
          <w:rFonts w:ascii="Arial Narrow" w:eastAsia="Calibri" w:hAnsi="Arial Narrow"/>
          <w:b/>
        </w:rPr>
      </w:pPr>
    </w:p>
    <w:p w14:paraId="3E8CC6DB" w14:textId="77777777" w:rsidR="007968EC" w:rsidRPr="002C0D19" w:rsidRDefault="007968EC" w:rsidP="007968EC">
      <w:pPr>
        <w:pStyle w:val="ANTECEDENTES"/>
        <w:jc w:val="center"/>
        <w:rPr>
          <w:rFonts w:eastAsia="Calibri"/>
        </w:rPr>
      </w:pPr>
      <w:r w:rsidRPr="002C0D19">
        <w:rPr>
          <w:rFonts w:eastAsia="Calibri"/>
        </w:rPr>
        <w:t>(El Capítulo Cuarto del Título Cuarto de la Parte III fue adicionado mediante Circular 14 del 8 de agosto de 2017, publicada en el Boletín Normativo No. 015 del 8 de agosto de 2017. Rige a partir del 9 de agosto de 2017.)</w:t>
      </w:r>
    </w:p>
    <w:p w14:paraId="39B58505" w14:textId="77777777" w:rsidR="007968EC" w:rsidRPr="002C0D19" w:rsidRDefault="007968EC" w:rsidP="007968EC">
      <w:pPr>
        <w:jc w:val="center"/>
        <w:rPr>
          <w:rFonts w:ascii="Arial Narrow" w:eastAsia="Calibri" w:hAnsi="Arial Narrow"/>
          <w:b/>
        </w:rPr>
      </w:pPr>
    </w:p>
    <w:p w14:paraId="03BCD2E8" w14:textId="77777777" w:rsidR="007968EC" w:rsidRPr="002C0D19" w:rsidRDefault="007968EC" w:rsidP="007968EC">
      <w:pPr>
        <w:pStyle w:val="ARTICULO0"/>
      </w:pPr>
      <w:bookmarkStart w:id="5749" w:name="_Toc31716290"/>
      <w:r w:rsidRPr="002C0D19">
        <w:t>Artículo 3.4.4.1. Compensación y Liquidación Anticipada</w:t>
      </w:r>
      <w:r w:rsidRPr="002C0D19">
        <w:rPr>
          <w:color w:val="FF0000"/>
        </w:rPr>
        <w:t xml:space="preserve"> </w:t>
      </w:r>
      <w:r w:rsidRPr="002C0D19">
        <w:t>por solicitud de un Miembro.</w:t>
      </w:r>
      <w:bookmarkEnd w:id="5749"/>
    </w:p>
    <w:p w14:paraId="7DF3C9B2" w14:textId="77777777" w:rsidR="007968EC" w:rsidRPr="002C0D19" w:rsidRDefault="007968EC" w:rsidP="007968EC">
      <w:pPr>
        <w:rPr>
          <w:rFonts w:ascii="Arial Narrow" w:hAnsi="Arial Narrow" w:cs="Arial"/>
          <w:b/>
          <w:lang w:eastAsia="es-ES"/>
        </w:rPr>
      </w:pPr>
    </w:p>
    <w:p w14:paraId="0C8DB371" w14:textId="77777777" w:rsidR="007968EC" w:rsidRPr="002C0D19" w:rsidRDefault="007968EC" w:rsidP="007968EC">
      <w:pPr>
        <w:jc w:val="both"/>
        <w:rPr>
          <w:rFonts w:ascii="Arial Narrow" w:eastAsia="Calibri" w:hAnsi="Arial Narrow"/>
          <w:color w:val="000000" w:themeColor="text1"/>
        </w:rPr>
      </w:pPr>
      <w:r w:rsidRPr="002C0D19">
        <w:rPr>
          <w:rFonts w:ascii="Arial Narrow" w:hAnsi="Arial Narrow" w:cs="Arial"/>
          <w:lang w:val="es-ES" w:eastAsia="es-ES"/>
        </w:rPr>
        <w:t>En el Segmento de Renta Fija no se permite la Compensación y Liquidación Anticipada por solicitud de un Miembro.</w:t>
      </w:r>
    </w:p>
    <w:p w14:paraId="3329C09B" w14:textId="77777777" w:rsidR="007968EC" w:rsidRDefault="007968EC" w:rsidP="007968EC">
      <w:pPr>
        <w:keepNext/>
        <w:jc w:val="center"/>
        <w:outlineLvl w:val="0"/>
        <w:rPr>
          <w:rFonts w:ascii="Arial Narrow" w:eastAsia="Calibri" w:hAnsi="Arial Narrow" w:cs="Arial"/>
          <w:b/>
          <w:kern w:val="32"/>
          <w:szCs w:val="20"/>
          <w:lang w:val="es-ES"/>
        </w:rPr>
      </w:pPr>
      <w:bookmarkStart w:id="5750" w:name="_Toc470781203"/>
      <w:bookmarkStart w:id="5751" w:name="_Toc470784784"/>
      <w:bookmarkStart w:id="5752" w:name="_Toc470785321"/>
      <w:bookmarkStart w:id="5753" w:name="_Toc470791715"/>
      <w:bookmarkStart w:id="5754" w:name="_Toc472592452"/>
      <w:bookmarkStart w:id="5755" w:name="_Toc472593471"/>
      <w:bookmarkStart w:id="5756" w:name="_Toc479057265"/>
      <w:bookmarkStart w:id="5757" w:name="_Toc490066632"/>
    </w:p>
    <w:p w14:paraId="63CEC9E1" w14:textId="77777777" w:rsidR="007968EC" w:rsidRPr="002C0D19" w:rsidRDefault="007968EC" w:rsidP="007968EC">
      <w:pPr>
        <w:pStyle w:val="TTULO"/>
        <w:rPr>
          <w:rFonts w:eastAsia="Calibri"/>
          <w:lang w:val="es-ES"/>
        </w:rPr>
      </w:pPr>
      <w:bookmarkStart w:id="5758" w:name="_Toc31716291"/>
      <w:r w:rsidRPr="002C0D19">
        <w:rPr>
          <w:rFonts w:eastAsia="Calibri"/>
          <w:lang w:val="es-ES"/>
        </w:rPr>
        <w:t>TÍTULO QUINTO</w:t>
      </w:r>
      <w:bookmarkEnd w:id="5750"/>
      <w:bookmarkEnd w:id="5751"/>
      <w:bookmarkEnd w:id="5752"/>
      <w:bookmarkEnd w:id="5753"/>
      <w:bookmarkEnd w:id="5754"/>
      <w:bookmarkEnd w:id="5755"/>
      <w:bookmarkEnd w:id="5756"/>
      <w:bookmarkEnd w:id="5757"/>
      <w:bookmarkEnd w:id="5758"/>
    </w:p>
    <w:p w14:paraId="0F23B933" w14:textId="77777777" w:rsidR="007968EC" w:rsidRPr="002C0D19" w:rsidRDefault="007968EC" w:rsidP="007968EC">
      <w:pPr>
        <w:pStyle w:val="TTULO"/>
        <w:rPr>
          <w:rFonts w:eastAsia="Calibri"/>
          <w:lang w:val="es-ES"/>
        </w:rPr>
      </w:pPr>
    </w:p>
    <w:p w14:paraId="688481B0" w14:textId="77777777" w:rsidR="007968EC" w:rsidRPr="002C0D19" w:rsidRDefault="007968EC" w:rsidP="007968EC">
      <w:pPr>
        <w:pStyle w:val="TTULO"/>
        <w:rPr>
          <w:rFonts w:eastAsia="Calibri"/>
          <w:lang w:val="es-ES"/>
        </w:rPr>
      </w:pPr>
      <w:bookmarkStart w:id="5759" w:name="_Toc470781204"/>
      <w:bookmarkStart w:id="5760" w:name="_Toc470784785"/>
      <w:bookmarkStart w:id="5761" w:name="_Toc470785322"/>
      <w:bookmarkStart w:id="5762" w:name="_Toc470791716"/>
      <w:bookmarkStart w:id="5763" w:name="_Toc472592453"/>
      <w:bookmarkStart w:id="5764" w:name="_Toc472593472"/>
      <w:bookmarkStart w:id="5765" w:name="_Toc479057266"/>
      <w:bookmarkStart w:id="5766" w:name="_Toc490066633"/>
      <w:bookmarkStart w:id="5767" w:name="_Toc31716292"/>
      <w:r w:rsidRPr="002C0D19">
        <w:rPr>
          <w:rFonts w:eastAsia="Calibri"/>
          <w:lang w:val="es-ES"/>
        </w:rPr>
        <w:t>MODELO DE RIESGO DE LA CÁMARA PARA EL CÁLCULO Y GESTIÓN DE GARANTÍAS Y DEFINICIÓN DE LÍMITES</w:t>
      </w:r>
      <w:bookmarkEnd w:id="5759"/>
      <w:bookmarkEnd w:id="5760"/>
      <w:bookmarkEnd w:id="5761"/>
      <w:bookmarkEnd w:id="5762"/>
      <w:bookmarkEnd w:id="5763"/>
      <w:bookmarkEnd w:id="5764"/>
      <w:bookmarkEnd w:id="5765"/>
      <w:bookmarkEnd w:id="5766"/>
      <w:bookmarkEnd w:id="5767"/>
    </w:p>
    <w:p w14:paraId="3E702490" w14:textId="77777777" w:rsidR="007968EC" w:rsidRPr="002C0D19" w:rsidRDefault="007968EC" w:rsidP="007968EC">
      <w:pPr>
        <w:pStyle w:val="TTULO"/>
        <w:rPr>
          <w:rFonts w:eastAsia="Calibri"/>
          <w:lang w:val="es-ES"/>
        </w:rPr>
      </w:pPr>
    </w:p>
    <w:p w14:paraId="6F378A2B" w14:textId="77777777" w:rsidR="007968EC" w:rsidRPr="002C0D19" w:rsidRDefault="007968EC" w:rsidP="007968EC">
      <w:pPr>
        <w:pStyle w:val="TTULO"/>
        <w:rPr>
          <w:rFonts w:eastAsia="Calibri"/>
          <w:lang w:val="es-ES"/>
        </w:rPr>
      </w:pPr>
      <w:bookmarkStart w:id="5768" w:name="_Toc470781205"/>
      <w:bookmarkStart w:id="5769" w:name="_Toc470784786"/>
      <w:bookmarkStart w:id="5770" w:name="_Toc470785323"/>
      <w:bookmarkStart w:id="5771" w:name="_Toc470791717"/>
      <w:bookmarkStart w:id="5772" w:name="_Toc472592454"/>
      <w:bookmarkStart w:id="5773" w:name="_Toc472593473"/>
      <w:bookmarkStart w:id="5774" w:name="_Toc479057267"/>
      <w:bookmarkStart w:id="5775" w:name="_Toc490066634"/>
      <w:bookmarkStart w:id="5776" w:name="_Toc31716293"/>
      <w:r w:rsidRPr="002C0D19">
        <w:rPr>
          <w:rFonts w:eastAsia="Calibri"/>
          <w:lang w:val="es-ES"/>
        </w:rPr>
        <w:t>CAPÍTULO PRIMERO</w:t>
      </w:r>
      <w:bookmarkEnd w:id="5768"/>
      <w:bookmarkEnd w:id="5769"/>
      <w:bookmarkEnd w:id="5770"/>
      <w:bookmarkEnd w:id="5771"/>
      <w:bookmarkEnd w:id="5772"/>
      <w:bookmarkEnd w:id="5773"/>
      <w:bookmarkEnd w:id="5774"/>
      <w:bookmarkEnd w:id="5775"/>
      <w:bookmarkEnd w:id="5776"/>
    </w:p>
    <w:p w14:paraId="40BC7601" w14:textId="77777777" w:rsidR="007968EC" w:rsidRPr="002C0D19" w:rsidRDefault="007968EC" w:rsidP="007968EC">
      <w:pPr>
        <w:pStyle w:val="TTULO"/>
        <w:rPr>
          <w:rFonts w:eastAsia="Calibri"/>
          <w:lang w:val="es-ES"/>
        </w:rPr>
      </w:pPr>
    </w:p>
    <w:p w14:paraId="1907CAE0" w14:textId="77777777" w:rsidR="007968EC" w:rsidRPr="002C0D19" w:rsidRDefault="007968EC" w:rsidP="007968EC">
      <w:pPr>
        <w:pStyle w:val="TTULO"/>
        <w:rPr>
          <w:rFonts w:eastAsia="Calibri"/>
          <w:lang w:val="es-ES"/>
        </w:rPr>
      </w:pPr>
      <w:bookmarkStart w:id="5777" w:name="_Toc470781206"/>
      <w:bookmarkStart w:id="5778" w:name="_Toc470784787"/>
      <w:bookmarkStart w:id="5779" w:name="_Toc470785324"/>
      <w:bookmarkStart w:id="5780" w:name="_Toc470791718"/>
      <w:bookmarkStart w:id="5781" w:name="_Toc472592455"/>
      <w:bookmarkStart w:id="5782" w:name="_Toc472593474"/>
      <w:bookmarkStart w:id="5783" w:name="_Toc479057268"/>
      <w:bookmarkStart w:id="5784" w:name="_Toc490066635"/>
      <w:bookmarkStart w:id="5785" w:name="_Toc31716294"/>
      <w:r w:rsidRPr="002C0D19">
        <w:rPr>
          <w:rFonts w:eastAsia="Calibri"/>
          <w:lang w:val="es-ES"/>
        </w:rPr>
        <w:t>GARANTÍAS Y GESTIÓN DE GARANTÍAS</w:t>
      </w:r>
      <w:bookmarkEnd w:id="5777"/>
      <w:bookmarkEnd w:id="5778"/>
      <w:bookmarkEnd w:id="5779"/>
      <w:bookmarkEnd w:id="5780"/>
      <w:bookmarkEnd w:id="5781"/>
      <w:bookmarkEnd w:id="5782"/>
      <w:bookmarkEnd w:id="5783"/>
      <w:bookmarkEnd w:id="5784"/>
      <w:bookmarkEnd w:id="5785"/>
    </w:p>
    <w:p w14:paraId="5AFEA3ED" w14:textId="77777777" w:rsidR="007968EC" w:rsidRPr="002C0D19" w:rsidRDefault="007968EC" w:rsidP="007968EC">
      <w:pPr>
        <w:jc w:val="center"/>
        <w:outlineLvl w:val="1"/>
        <w:rPr>
          <w:rFonts w:ascii="Arial Narrow" w:eastAsia="Calibri" w:hAnsi="Arial Narrow"/>
          <w:color w:val="000000" w:themeColor="text1"/>
        </w:rPr>
      </w:pPr>
    </w:p>
    <w:p w14:paraId="75E3AFE8" w14:textId="77777777" w:rsidR="007968EC" w:rsidRPr="002C0D19" w:rsidRDefault="007968EC" w:rsidP="007968EC">
      <w:pPr>
        <w:jc w:val="center"/>
        <w:outlineLvl w:val="1"/>
        <w:rPr>
          <w:rFonts w:ascii="Arial Narrow" w:eastAsia="Calibri" w:hAnsi="Arial Narrow"/>
          <w:color w:val="000000" w:themeColor="text1"/>
        </w:rPr>
      </w:pPr>
    </w:p>
    <w:p w14:paraId="3AE05E4D" w14:textId="77777777" w:rsidR="007968EC" w:rsidRPr="002C0D19" w:rsidRDefault="007968EC" w:rsidP="007968EC">
      <w:pPr>
        <w:pStyle w:val="ARTICULO0"/>
      </w:pPr>
      <w:bookmarkStart w:id="5786" w:name="_Toc479057269"/>
      <w:bookmarkStart w:id="5787" w:name="_Toc470781207"/>
      <w:bookmarkStart w:id="5788" w:name="_Toc470784788"/>
      <w:bookmarkStart w:id="5789" w:name="_Toc470785325"/>
      <w:bookmarkStart w:id="5790" w:name="_Toc470791719"/>
      <w:bookmarkStart w:id="5791" w:name="_Toc490066636"/>
      <w:bookmarkStart w:id="5792" w:name="_Toc31716295"/>
      <w:r>
        <w:t xml:space="preserve">Artículo 3.5.1.1. </w:t>
      </w:r>
      <w:r w:rsidRPr="002C0D19">
        <w:t>Valor mínimo de la Garantía Individual</w:t>
      </w:r>
      <w:bookmarkEnd w:id="5786"/>
      <w:r w:rsidRPr="002C0D19">
        <w:t>.</w:t>
      </w:r>
      <w:bookmarkEnd w:id="5787"/>
      <w:bookmarkEnd w:id="5788"/>
      <w:bookmarkEnd w:id="5789"/>
      <w:bookmarkEnd w:id="5790"/>
      <w:bookmarkEnd w:id="5791"/>
      <w:bookmarkEnd w:id="5792"/>
      <w:r w:rsidRPr="002C0D19">
        <w:t xml:space="preserve"> </w:t>
      </w:r>
    </w:p>
    <w:p w14:paraId="4C8E9619" w14:textId="77777777" w:rsidR="007968EC" w:rsidRPr="002C0D19" w:rsidRDefault="007968EC" w:rsidP="007968EC">
      <w:pPr>
        <w:rPr>
          <w:rFonts w:ascii="Arial Narrow" w:eastAsia="Calibri" w:hAnsi="Arial Narrow"/>
          <w:bCs/>
          <w:color w:val="000000" w:themeColor="text1"/>
        </w:rPr>
      </w:pPr>
    </w:p>
    <w:p w14:paraId="15212D07"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 xml:space="preserve">Los Miembros Liquidadores deberán constituir una Garantía Individual por los siguientes valores mínimos para el presente Segmento:  </w:t>
      </w:r>
    </w:p>
    <w:p w14:paraId="34C92742" w14:textId="77777777" w:rsidR="007968EC" w:rsidRPr="002C0D19" w:rsidRDefault="007968EC" w:rsidP="007968EC">
      <w:pPr>
        <w:jc w:val="both"/>
        <w:rPr>
          <w:rFonts w:ascii="Arial Narrow" w:eastAsia="Calibri" w:hAnsi="Arial Narrow"/>
          <w:color w:val="000000" w:themeColor="text1"/>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4"/>
        <w:gridCol w:w="6263"/>
      </w:tblGrid>
      <w:tr w:rsidR="007968EC" w:rsidRPr="002C0D19" w14:paraId="47692739" w14:textId="77777777" w:rsidTr="007968EC">
        <w:trPr>
          <w:trHeight w:val="333"/>
          <w:jc w:val="center"/>
        </w:trPr>
        <w:tc>
          <w:tcPr>
            <w:tcW w:w="2804" w:type="dxa"/>
          </w:tcPr>
          <w:p w14:paraId="23F3CDEB" w14:textId="77777777" w:rsidR="007968EC" w:rsidRPr="002C0D19" w:rsidRDefault="007968EC" w:rsidP="007968EC">
            <w:pPr>
              <w:autoSpaceDE w:val="0"/>
              <w:autoSpaceDN w:val="0"/>
              <w:adjustRightInd w:val="0"/>
              <w:ind w:left="151" w:right="-333"/>
              <w:jc w:val="center"/>
              <w:rPr>
                <w:rFonts w:ascii="Arial Narrow" w:eastAsia="Calibri" w:hAnsi="Arial Narrow"/>
                <w:b/>
                <w:color w:val="000000" w:themeColor="text1"/>
                <w:lang w:eastAsia="es-CO"/>
              </w:rPr>
            </w:pPr>
            <w:r w:rsidRPr="002C0D19">
              <w:rPr>
                <w:rFonts w:ascii="Arial Narrow" w:eastAsia="Calibri" w:hAnsi="Arial Narrow"/>
                <w:b/>
                <w:color w:val="000000" w:themeColor="text1"/>
                <w:lang w:eastAsia="es-CO"/>
              </w:rPr>
              <w:t>Miembro</w:t>
            </w:r>
          </w:p>
        </w:tc>
        <w:tc>
          <w:tcPr>
            <w:tcW w:w="6263" w:type="dxa"/>
          </w:tcPr>
          <w:p w14:paraId="5B2F7A06" w14:textId="77777777" w:rsidR="007968EC" w:rsidRPr="002C0D19" w:rsidRDefault="007968EC" w:rsidP="007968EC">
            <w:pPr>
              <w:autoSpaceDE w:val="0"/>
              <w:autoSpaceDN w:val="0"/>
              <w:adjustRightInd w:val="0"/>
              <w:ind w:right="-333"/>
              <w:jc w:val="center"/>
              <w:rPr>
                <w:rFonts w:ascii="Arial Narrow" w:eastAsia="Calibri" w:hAnsi="Arial Narrow"/>
                <w:b/>
                <w:color w:val="000000" w:themeColor="text1"/>
                <w:lang w:eastAsia="es-CO"/>
              </w:rPr>
            </w:pPr>
            <w:r w:rsidRPr="002C0D19">
              <w:rPr>
                <w:rFonts w:ascii="Arial Narrow" w:eastAsia="Calibri" w:hAnsi="Arial Narrow"/>
                <w:b/>
                <w:color w:val="000000" w:themeColor="text1"/>
                <w:lang w:eastAsia="es-CO"/>
              </w:rPr>
              <w:t>Valor de la Garantía mínima Individual</w:t>
            </w:r>
          </w:p>
        </w:tc>
      </w:tr>
      <w:tr w:rsidR="007968EC" w:rsidRPr="002C0D19" w14:paraId="0CCA2716" w14:textId="77777777" w:rsidTr="007968EC">
        <w:trPr>
          <w:trHeight w:val="422"/>
          <w:jc w:val="center"/>
        </w:trPr>
        <w:tc>
          <w:tcPr>
            <w:tcW w:w="2804" w:type="dxa"/>
          </w:tcPr>
          <w:p w14:paraId="281296E4" w14:textId="77777777" w:rsidR="007968EC" w:rsidRPr="002C0D19" w:rsidRDefault="007968EC" w:rsidP="007968EC">
            <w:pPr>
              <w:autoSpaceDE w:val="0"/>
              <w:autoSpaceDN w:val="0"/>
              <w:adjustRightInd w:val="0"/>
              <w:ind w:right="-333"/>
              <w:jc w:val="both"/>
              <w:rPr>
                <w:rFonts w:ascii="Arial Narrow" w:eastAsia="Calibri" w:hAnsi="Arial Narrow"/>
                <w:color w:val="000000" w:themeColor="text1"/>
                <w:lang w:eastAsia="es-CO"/>
              </w:rPr>
            </w:pPr>
            <w:r w:rsidRPr="002C0D19">
              <w:rPr>
                <w:rFonts w:ascii="Arial Narrow" w:eastAsia="Calibri" w:hAnsi="Arial Narrow"/>
                <w:color w:val="000000" w:themeColor="text1"/>
                <w:lang w:eastAsia="es-CO"/>
              </w:rPr>
              <w:t>Miembro Liquidador Individual</w:t>
            </w:r>
          </w:p>
        </w:tc>
        <w:tc>
          <w:tcPr>
            <w:tcW w:w="6263" w:type="dxa"/>
          </w:tcPr>
          <w:p w14:paraId="6C3372DB" w14:textId="77777777" w:rsidR="007968EC" w:rsidRPr="002C0D19" w:rsidRDefault="007968EC" w:rsidP="007968EC">
            <w:pPr>
              <w:autoSpaceDE w:val="0"/>
              <w:autoSpaceDN w:val="0"/>
              <w:adjustRightInd w:val="0"/>
              <w:ind w:right="-333"/>
              <w:jc w:val="both"/>
              <w:rPr>
                <w:rFonts w:ascii="Arial Narrow" w:eastAsia="Calibri" w:hAnsi="Arial Narrow"/>
                <w:color w:val="000000" w:themeColor="text1"/>
                <w:lang w:eastAsia="es-CO"/>
              </w:rPr>
            </w:pPr>
            <w:r w:rsidRPr="002C0D19">
              <w:rPr>
                <w:rFonts w:ascii="Arial Narrow" w:eastAsia="Calibri" w:hAnsi="Arial Narrow"/>
                <w:color w:val="000000" w:themeColor="text1"/>
                <w:lang w:eastAsia="es-CO"/>
              </w:rPr>
              <w:t>Quinientos millones de pesos ($500.000.000) moneda corriente.</w:t>
            </w:r>
          </w:p>
        </w:tc>
      </w:tr>
      <w:tr w:rsidR="007968EC" w:rsidRPr="002C0D19" w14:paraId="5A89B056" w14:textId="77777777" w:rsidTr="007968EC">
        <w:trPr>
          <w:trHeight w:val="401"/>
          <w:jc w:val="center"/>
        </w:trPr>
        <w:tc>
          <w:tcPr>
            <w:tcW w:w="2804" w:type="dxa"/>
          </w:tcPr>
          <w:p w14:paraId="424A1D48" w14:textId="77777777" w:rsidR="007968EC" w:rsidRPr="002C0D19" w:rsidRDefault="007968EC" w:rsidP="007968EC">
            <w:pPr>
              <w:autoSpaceDE w:val="0"/>
              <w:autoSpaceDN w:val="0"/>
              <w:adjustRightInd w:val="0"/>
              <w:ind w:right="-333"/>
              <w:jc w:val="both"/>
              <w:rPr>
                <w:rFonts w:ascii="Arial Narrow" w:eastAsia="Calibri" w:hAnsi="Arial Narrow"/>
                <w:color w:val="000000" w:themeColor="text1"/>
                <w:lang w:eastAsia="es-CO"/>
              </w:rPr>
            </w:pPr>
            <w:r w:rsidRPr="002C0D19">
              <w:rPr>
                <w:rFonts w:ascii="Arial Narrow" w:eastAsia="Calibri" w:hAnsi="Arial Narrow"/>
                <w:color w:val="000000" w:themeColor="text1"/>
                <w:lang w:eastAsia="es-CO"/>
              </w:rPr>
              <w:t>Miembro Liquidador General</w:t>
            </w:r>
          </w:p>
        </w:tc>
        <w:tc>
          <w:tcPr>
            <w:tcW w:w="6263" w:type="dxa"/>
          </w:tcPr>
          <w:p w14:paraId="30522607" w14:textId="77777777" w:rsidR="007968EC" w:rsidRPr="002C0D19" w:rsidRDefault="007968EC" w:rsidP="007968EC">
            <w:pPr>
              <w:autoSpaceDE w:val="0"/>
              <w:autoSpaceDN w:val="0"/>
              <w:adjustRightInd w:val="0"/>
              <w:ind w:right="-333"/>
              <w:jc w:val="both"/>
              <w:rPr>
                <w:rFonts w:ascii="Arial Narrow" w:eastAsia="Calibri" w:hAnsi="Arial Narrow"/>
                <w:color w:val="000000" w:themeColor="text1"/>
                <w:lang w:eastAsia="es-CO"/>
              </w:rPr>
            </w:pPr>
            <w:r w:rsidRPr="002C0D19">
              <w:rPr>
                <w:rFonts w:ascii="Arial Narrow" w:eastAsia="Calibri" w:hAnsi="Arial Narrow"/>
                <w:color w:val="000000" w:themeColor="text1"/>
                <w:lang w:eastAsia="es-CO"/>
              </w:rPr>
              <w:t>Quinientos millones de pesos ($500.000.000) moneda corriente.</w:t>
            </w:r>
          </w:p>
        </w:tc>
      </w:tr>
    </w:tbl>
    <w:p w14:paraId="6F3EAC41" w14:textId="77777777" w:rsidR="007968EC" w:rsidRPr="002C0D19" w:rsidRDefault="007968EC" w:rsidP="007968EC">
      <w:pPr>
        <w:rPr>
          <w:rFonts w:ascii="Arial Narrow" w:eastAsia="Calibri" w:hAnsi="Arial Narrow"/>
          <w:color w:val="000000" w:themeColor="text1"/>
        </w:rPr>
      </w:pPr>
    </w:p>
    <w:p w14:paraId="526331B9" w14:textId="77777777" w:rsidR="007968EC" w:rsidRPr="002C0D19" w:rsidRDefault="007968EC" w:rsidP="007968EC">
      <w:pPr>
        <w:rPr>
          <w:rFonts w:ascii="Arial Narrow" w:eastAsia="Calibri" w:hAnsi="Arial Narrow"/>
          <w:color w:val="000000" w:themeColor="text1"/>
        </w:rPr>
      </w:pPr>
    </w:p>
    <w:p w14:paraId="427766A4" w14:textId="77777777" w:rsidR="007968EC" w:rsidRPr="002C0D19" w:rsidRDefault="007968EC" w:rsidP="007968EC">
      <w:pPr>
        <w:pStyle w:val="ARTICULO0"/>
      </w:pPr>
      <w:bookmarkStart w:id="5793" w:name="_Toc470781208"/>
      <w:bookmarkStart w:id="5794" w:name="_Toc470784789"/>
      <w:bookmarkStart w:id="5795" w:name="_Toc470785326"/>
      <w:bookmarkStart w:id="5796" w:name="_Toc470791720"/>
      <w:bookmarkStart w:id="5797" w:name="_Toc479057270"/>
      <w:bookmarkStart w:id="5798" w:name="_Toc490066637"/>
      <w:bookmarkStart w:id="5799" w:name="_Toc31716296"/>
      <w:r>
        <w:t xml:space="preserve">Artículo 3.5.1.2. </w:t>
      </w:r>
      <w:r w:rsidRPr="002C0D19">
        <w:t>Garantía Individual por estrés test del Fondo de Garantía Colectiva.</w:t>
      </w:r>
      <w:bookmarkEnd w:id="5793"/>
      <w:bookmarkEnd w:id="5794"/>
      <w:bookmarkEnd w:id="5795"/>
      <w:bookmarkEnd w:id="5796"/>
      <w:bookmarkEnd w:id="5797"/>
      <w:bookmarkEnd w:id="5798"/>
      <w:bookmarkEnd w:id="5799"/>
      <w:r w:rsidRPr="002C0D19">
        <w:t xml:space="preserve"> </w:t>
      </w:r>
    </w:p>
    <w:p w14:paraId="79A972A6" w14:textId="77777777" w:rsidR="007968EC" w:rsidRPr="002C0D19" w:rsidRDefault="007968EC" w:rsidP="007968EC">
      <w:pPr>
        <w:jc w:val="both"/>
        <w:rPr>
          <w:rFonts w:ascii="Arial Narrow" w:eastAsia="Calibri" w:hAnsi="Arial Narrow"/>
          <w:bCs/>
          <w:color w:val="000000" w:themeColor="text1"/>
        </w:rPr>
      </w:pPr>
    </w:p>
    <w:p w14:paraId="74A038AC" w14:textId="77777777" w:rsidR="007968EC" w:rsidRPr="002C0D19" w:rsidRDefault="007968EC" w:rsidP="007968EC">
      <w:pPr>
        <w:rPr>
          <w:rFonts w:ascii="Arial Narrow" w:eastAsia="Calibri" w:hAnsi="Arial Narrow"/>
          <w:bCs/>
          <w:color w:val="000000" w:themeColor="text1"/>
        </w:rPr>
      </w:pPr>
      <w:r w:rsidRPr="002C0D19">
        <w:rPr>
          <w:rFonts w:ascii="Arial Narrow" w:eastAsia="Calibri" w:hAnsi="Arial Narrow"/>
          <w:bCs/>
          <w:color w:val="000000" w:themeColor="text1"/>
        </w:rPr>
        <w:t>La Garantía Individual por estrés test para el presente Segmento se calculará de conformidad con lo dispuesto en el artículo 1.6.2.2. de la presente Circular.</w:t>
      </w:r>
    </w:p>
    <w:p w14:paraId="41AB0DC1" w14:textId="77777777" w:rsidR="007968EC" w:rsidRPr="002C0D19" w:rsidRDefault="007968EC" w:rsidP="007968EC">
      <w:pPr>
        <w:jc w:val="center"/>
        <w:rPr>
          <w:rFonts w:ascii="Arial Narrow" w:eastAsia="Calibri" w:hAnsi="Arial Narrow"/>
          <w:b/>
          <w:bCs/>
          <w:color w:val="000000" w:themeColor="text1"/>
        </w:rPr>
      </w:pPr>
    </w:p>
    <w:p w14:paraId="5A3B74E9" w14:textId="77777777" w:rsidR="007968EC" w:rsidRDefault="007968EC" w:rsidP="007968EC">
      <w:pPr>
        <w:keepNext/>
        <w:jc w:val="center"/>
        <w:outlineLvl w:val="0"/>
        <w:rPr>
          <w:rFonts w:ascii="Arial Narrow" w:eastAsia="Calibri" w:hAnsi="Arial Narrow" w:cs="Arial"/>
          <w:b/>
          <w:kern w:val="32"/>
          <w:szCs w:val="20"/>
          <w:lang w:val="es-ES"/>
        </w:rPr>
      </w:pPr>
      <w:bookmarkStart w:id="5800" w:name="_Toc470781209"/>
      <w:bookmarkStart w:id="5801" w:name="_Toc470784790"/>
      <w:bookmarkStart w:id="5802" w:name="_Toc470785327"/>
      <w:bookmarkStart w:id="5803" w:name="_Toc470791721"/>
      <w:bookmarkStart w:id="5804" w:name="_Toc472592456"/>
      <w:bookmarkStart w:id="5805" w:name="_Toc472593475"/>
      <w:bookmarkStart w:id="5806" w:name="_Toc479057271"/>
      <w:bookmarkStart w:id="5807" w:name="_Toc490066638"/>
    </w:p>
    <w:p w14:paraId="3600F9A5" w14:textId="77777777" w:rsidR="007968EC" w:rsidRPr="002C0D19" w:rsidRDefault="007968EC" w:rsidP="007968EC">
      <w:pPr>
        <w:pStyle w:val="TTULO"/>
        <w:rPr>
          <w:rFonts w:eastAsia="Calibri"/>
          <w:lang w:val="es-ES"/>
        </w:rPr>
      </w:pPr>
      <w:bookmarkStart w:id="5808" w:name="_Toc31716297"/>
      <w:r w:rsidRPr="002C0D19">
        <w:rPr>
          <w:rFonts w:eastAsia="Calibri"/>
          <w:lang w:val="es-ES"/>
        </w:rPr>
        <w:t>CAPÍTULO SEGUNDO</w:t>
      </w:r>
      <w:bookmarkEnd w:id="5800"/>
      <w:bookmarkEnd w:id="5801"/>
      <w:bookmarkEnd w:id="5802"/>
      <w:bookmarkEnd w:id="5803"/>
      <w:bookmarkEnd w:id="5804"/>
      <w:bookmarkEnd w:id="5805"/>
      <w:bookmarkEnd w:id="5806"/>
      <w:bookmarkEnd w:id="5807"/>
      <w:bookmarkEnd w:id="5808"/>
    </w:p>
    <w:p w14:paraId="5E75F11A" w14:textId="77777777" w:rsidR="007968EC" w:rsidRPr="002C0D19" w:rsidRDefault="007968EC" w:rsidP="007968EC">
      <w:pPr>
        <w:pStyle w:val="TTULO"/>
        <w:rPr>
          <w:rFonts w:eastAsia="Calibri"/>
          <w:lang w:val="es-ES"/>
        </w:rPr>
      </w:pPr>
    </w:p>
    <w:p w14:paraId="6DAF5B31" w14:textId="77777777" w:rsidR="007968EC" w:rsidRPr="002C0D19" w:rsidRDefault="007968EC" w:rsidP="007968EC">
      <w:pPr>
        <w:pStyle w:val="TTULO"/>
        <w:rPr>
          <w:rFonts w:eastAsia="Calibri"/>
          <w:lang w:val="es-ES"/>
        </w:rPr>
      </w:pPr>
      <w:bookmarkStart w:id="5809" w:name="_Toc470781210"/>
      <w:bookmarkStart w:id="5810" w:name="_Toc470784791"/>
      <w:bookmarkStart w:id="5811" w:name="_Toc470785328"/>
      <w:bookmarkStart w:id="5812" w:name="_Toc470791722"/>
      <w:bookmarkStart w:id="5813" w:name="_Toc472592457"/>
      <w:bookmarkStart w:id="5814" w:name="_Toc472593476"/>
      <w:bookmarkStart w:id="5815" w:name="_Toc479057272"/>
      <w:bookmarkStart w:id="5816" w:name="_Toc490066639"/>
      <w:bookmarkStart w:id="5817" w:name="_Toc31716298"/>
      <w:r w:rsidRPr="002C0D19">
        <w:rPr>
          <w:rFonts w:eastAsia="Calibri"/>
          <w:lang w:val="es-ES"/>
        </w:rPr>
        <w:t>MODELO DE RIESGO DE LA CÁMARA PARA EL CÁLCULO Y GESTIÓN DE GARANTÍAS PARA OPERACIONES SIMULTÁNEAS</w:t>
      </w:r>
      <w:bookmarkEnd w:id="5809"/>
      <w:bookmarkEnd w:id="5810"/>
      <w:bookmarkEnd w:id="5811"/>
      <w:bookmarkEnd w:id="5812"/>
      <w:bookmarkEnd w:id="5813"/>
      <w:bookmarkEnd w:id="5814"/>
      <w:bookmarkEnd w:id="5815"/>
      <w:bookmarkEnd w:id="5816"/>
      <w:bookmarkEnd w:id="5817"/>
    </w:p>
    <w:p w14:paraId="7B4A6474" w14:textId="77777777" w:rsidR="007968EC" w:rsidRPr="002C0D19" w:rsidRDefault="007968EC" w:rsidP="007968EC">
      <w:pPr>
        <w:jc w:val="center"/>
        <w:outlineLvl w:val="1"/>
        <w:rPr>
          <w:rFonts w:ascii="Arial Narrow" w:eastAsia="Calibri" w:hAnsi="Arial Narrow"/>
          <w:b/>
          <w:bCs/>
          <w:color w:val="000000" w:themeColor="text1"/>
        </w:rPr>
      </w:pPr>
    </w:p>
    <w:p w14:paraId="6FFCA781" w14:textId="77777777" w:rsidR="007968EC" w:rsidRDefault="007968EC" w:rsidP="007968EC">
      <w:pPr>
        <w:pStyle w:val="ARTICULO0"/>
      </w:pPr>
      <w:bookmarkStart w:id="5818" w:name="_Toc470781211"/>
      <w:bookmarkStart w:id="5819" w:name="_Toc470784792"/>
      <w:bookmarkStart w:id="5820" w:name="_Toc470785329"/>
      <w:bookmarkStart w:id="5821" w:name="_Toc470791723"/>
      <w:bookmarkStart w:id="5822" w:name="_Toc479057273"/>
      <w:bookmarkStart w:id="5823" w:name="_Toc31716299"/>
      <w:bookmarkStart w:id="5824" w:name="_Toc490066640"/>
      <w:r w:rsidRPr="002C0D19">
        <w:t>Artículo 3.5.2.1. Control de Garantías por Posición para la aceptación de Operaciones Simultáneas.</w:t>
      </w:r>
      <w:bookmarkEnd w:id="5818"/>
      <w:bookmarkEnd w:id="5819"/>
      <w:bookmarkEnd w:id="5820"/>
      <w:bookmarkEnd w:id="5821"/>
      <w:bookmarkEnd w:id="5822"/>
      <w:bookmarkEnd w:id="5823"/>
      <w:r w:rsidRPr="002C0D19">
        <w:t xml:space="preserve"> </w:t>
      </w:r>
    </w:p>
    <w:p w14:paraId="4AB2F952" w14:textId="77777777" w:rsidR="007968EC" w:rsidRDefault="007968EC" w:rsidP="007968EC">
      <w:pPr>
        <w:keepNext/>
        <w:tabs>
          <w:tab w:val="left" w:pos="1701"/>
        </w:tabs>
        <w:jc w:val="both"/>
        <w:outlineLvl w:val="2"/>
        <w:rPr>
          <w:rFonts w:ascii="Arial Narrow" w:hAnsi="Arial Narrow" w:cs="Arial"/>
          <w:b/>
          <w:color w:val="000000" w:themeColor="text1"/>
          <w:u w:val="single"/>
          <w:lang w:eastAsia="es-ES"/>
        </w:rPr>
      </w:pPr>
    </w:p>
    <w:p w14:paraId="4F13A990" w14:textId="77777777" w:rsidR="007968EC" w:rsidRPr="002C0D19" w:rsidRDefault="007968EC" w:rsidP="007968EC">
      <w:pPr>
        <w:pStyle w:val="ANTECEDENTES"/>
        <w:rPr>
          <w:u w:val="single"/>
        </w:rPr>
      </w:pPr>
      <w:r w:rsidRPr="002C0D19">
        <w:t>(Este artículo fue modificado mediante Circular 2 del 11 de enero de 2017, publicada mediante Boletín Normativo No. 002 del 11 de enero de 2017</w:t>
      </w:r>
      <w:r>
        <w:t xml:space="preserve"> y mediante Circular 8 del 18 de mayo de 2018, publicada en el Boletín Normativo No. 011 del 18 de mayo de 2018. Rige a partir del 21</w:t>
      </w:r>
      <w:r w:rsidRPr="002C0D19">
        <w:t xml:space="preserve"> de </w:t>
      </w:r>
      <w:r>
        <w:t>mayo de 2018</w:t>
      </w:r>
      <w:r w:rsidRPr="002C0D19">
        <w:t>.)</w:t>
      </w:r>
      <w:bookmarkEnd w:id="5824"/>
    </w:p>
    <w:p w14:paraId="405CCCEF" w14:textId="77777777" w:rsidR="007968EC" w:rsidRPr="002C0D19" w:rsidRDefault="007968EC" w:rsidP="007968EC">
      <w:pPr>
        <w:jc w:val="both"/>
        <w:rPr>
          <w:rFonts w:ascii="Arial Narrow" w:eastAsia="Calibri" w:hAnsi="Arial Narrow"/>
          <w:bCs/>
          <w:color w:val="000000" w:themeColor="text1"/>
        </w:rPr>
      </w:pPr>
    </w:p>
    <w:p w14:paraId="432EBB93" w14:textId="77777777" w:rsidR="007968EC" w:rsidRPr="00E862D2" w:rsidRDefault="007968EC" w:rsidP="007968EC">
      <w:pPr>
        <w:jc w:val="both"/>
        <w:rPr>
          <w:rFonts w:ascii="Arial Narrow" w:eastAsia="Calibri" w:hAnsi="Arial Narrow"/>
          <w:bCs/>
          <w:color w:val="000000" w:themeColor="text1"/>
        </w:rPr>
      </w:pPr>
      <w:r w:rsidRPr="00E862D2">
        <w:rPr>
          <w:rFonts w:ascii="Arial Narrow" w:eastAsia="Calibri" w:hAnsi="Arial Narrow"/>
          <w:bCs/>
          <w:color w:val="000000" w:themeColor="text1"/>
        </w:rPr>
        <w:t>Para la aceptación de las Operaciones Simultáneas celebradas y/ registradas en los Sistema de negociación y/o registro, la Cámara verificará que los Miembros Liquidadores cumplan con el siguiente control de riesgo:</w:t>
      </w:r>
    </w:p>
    <w:p w14:paraId="72DECC91" w14:textId="77777777" w:rsidR="007968EC" w:rsidRPr="00E862D2" w:rsidRDefault="007968EC" w:rsidP="007968EC">
      <w:pPr>
        <w:ind w:left="607"/>
        <w:contextualSpacing/>
        <w:jc w:val="both"/>
        <w:rPr>
          <w:rFonts w:ascii="Arial Narrow" w:eastAsia="Calibri" w:hAnsi="Arial Narrow"/>
          <w:b/>
          <w:color w:val="000000" w:themeColor="text1"/>
        </w:rPr>
      </w:pPr>
    </w:p>
    <w:p w14:paraId="685AD288" w14:textId="77777777" w:rsidR="007968EC" w:rsidRPr="00E862D2" w:rsidRDefault="007968EC" w:rsidP="00DA7472">
      <w:pPr>
        <w:numPr>
          <w:ilvl w:val="0"/>
          <w:numId w:val="226"/>
        </w:numPr>
        <w:ind w:left="607" w:hanging="425"/>
        <w:contextualSpacing/>
        <w:jc w:val="both"/>
        <w:rPr>
          <w:rFonts w:ascii="Arial Narrow" w:eastAsia="Calibri" w:hAnsi="Arial Narrow"/>
          <w:color w:val="000000" w:themeColor="text1"/>
        </w:rPr>
      </w:pPr>
      <w:r w:rsidRPr="00E862D2">
        <w:rPr>
          <w:rFonts w:ascii="Arial Narrow" w:eastAsia="Calibri" w:hAnsi="Arial Narrow"/>
          <w:color w:val="000000" w:themeColor="text1"/>
        </w:rPr>
        <w:t xml:space="preserve">Diariamente, previo al inicio de la Sesión de Aceptación de Operaciones, los Miembros Liquidadores que celebren Operaciones Simultáneas en el Sistema de negociación y/o registro deberán constituir una Garantía por Posición (Previa), calculada a partir del siguiente procedimiento: </w:t>
      </w:r>
    </w:p>
    <w:p w14:paraId="7F4B8EFB" w14:textId="77777777" w:rsidR="007968EC" w:rsidRPr="00E862D2" w:rsidRDefault="007968EC" w:rsidP="007968EC">
      <w:pPr>
        <w:ind w:left="601"/>
        <w:contextualSpacing/>
        <w:jc w:val="both"/>
        <w:rPr>
          <w:rFonts w:ascii="Arial Narrow" w:eastAsia="Calibri" w:hAnsi="Arial Narrow"/>
          <w:color w:val="000000" w:themeColor="text1"/>
        </w:rPr>
      </w:pPr>
    </w:p>
    <w:p w14:paraId="10B942C0" w14:textId="77777777" w:rsidR="007968EC" w:rsidRPr="00E862D2" w:rsidRDefault="007968EC" w:rsidP="00DA7472">
      <w:pPr>
        <w:numPr>
          <w:ilvl w:val="0"/>
          <w:numId w:val="227"/>
        </w:numPr>
        <w:ind w:left="1032" w:hanging="465"/>
        <w:contextualSpacing/>
        <w:jc w:val="both"/>
        <w:rPr>
          <w:rFonts w:ascii="Arial Narrow" w:eastAsia="Calibri" w:hAnsi="Arial Narrow"/>
          <w:color w:val="000000" w:themeColor="text1"/>
        </w:rPr>
      </w:pPr>
      <w:r w:rsidRPr="00E862D2">
        <w:rPr>
          <w:rFonts w:ascii="Arial Narrow" w:eastAsia="Calibri" w:hAnsi="Arial Narrow"/>
          <w:color w:val="000000" w:themeColor="text1"/>
        </w:rPr>
        <w:t xml:space="preserve">Se </w:t>
      </w:r>
      <w:r w:rsidRPr="00E862D2">
        <w:rPr>
          <w:rFonts w:ascii="Arial Narrow" w:hAnsi="Arial Narrow" w:cs="Arial"/>
          <w:bCs/>
          <w:color w:val="000000" w:themeColor="text1"/>
          <w:lang w:val="es-ES" w:eastAsia="es-ES"/>
        </w:rPr>
        <w:t>consultan todas las Garantías por Posición exigidas cada hora desde las 7:00 a.m. hasta las 8:00 p.m. para todos los Miembros Liquidadores que participen en el Segmento de Renta Fija, durante el último mes.</w:t>
      </w:r>
    </w:p>
    <w:p w14:paraId="2E427420" w14:textId="77777777" w:rsidR="007968EC" w:rsidRPr="00E862D2" w:rsidRDefault="007968EC" w:rsidP="00DA7472">
      <w:pPr>
        <w:numPr>
          <w:ilvl w:val="0"/>
          <w:numId w:val="227"/>
        </w:numPr>
        <w:ind w:left="1032" w:hanging="465"/>
        <w:contextualSpacing/>
        <w:jc w:val="both"/>
        <w:rPr>
          <w:rFonts w:ascii="Arial Narrow" w:eastAsia="Calibri" w:hAnsi="Arial Narrow"/>
          <w:color w:val="000000" w:themeColor="text1"/>
        </w:rPr>
      </w:pPr>
      <w:r w:rsidRPr="00E862D2">
        <w:rPr>
          <w:rFonts w:ascii="Arial Narrow" w:hAnsi="Arial Narrow" w:cs="Arial"/>
          <w:bCs/>
          <w:color w:val="000000" w:themeColor="text1"/>
          <w:lang w:val="es-ES" w:eastAsia="es-ES"/>
        </w:rPr>
        <w:t>Se calcula el incremento de las Garantías por Posición exigidas, teniendo en cuenta solamente las diferencias con valores positivos. Se toma para cada día el mayor aumento.</w:t>
      </w:r>
    </w:p>
    <w:p w14:paraId="466DC831" w14:textId="77777777" w:rsidR="007968EC" w:rsidRPr="00E862D2" w:rsidRDefault="007968EC" w:rsidP="00DA7472">
      <w:pPr>
        <w:numPr>
          <w:ilvl w:val="0"/>
          <w:numId w:val="227"/>
        </w:numPr>
        <w:ind w:left="1032" w:hanging="465"/>
        <w:contextualSpacing/>
        <w:jc w:val="both"/>
        <w:rPr>
          <w:rFonts w:ascii="Arial Narrow" w:hAnsi="Arial Narrow" w:cs="Arial"/>
          <w:bCs/>
          <w:color w:val="000000" w:themeColor="text1"/>
          <w:lang w:val="es-ES" w:eastAsia="es-ES"/>
        </w:rPr>
      </w:pPr>
      <w:r w:rsidRPr="00E862D2">
        <w:rPr>
          <w:rFonts w:ascii="Arial Narrow" w:hAnsi="Arial Narrow" w:cs="Arial"/>
          <w:bCs/>
          <w:color w:val="000000" w:themeColor="text1"/>
          <w:lang w:val="es-ES" w:eastAsia="es-ES"/>
        </w:rPr>
        <w:t>Se toman todas las diferencias de los incrementos calculados anteriormente entre horas consecutivas y se elige para cada día el mayor aumento y se construye una matriz con los datos máximos del mes eligiendo como Garantía por Posición solicitada de forma previa el promedio de estos.</w:t>
      </w:r>
    </w:p>
    <w:p w14:paraId="7CA5CE19" w14:textId="77777777" w:rsidR="007968EC" w:rsidRPr="00E862D2" w:rsidRDefault="007968EC" w:rsidP="007968EC">
      <w:pPr>
        <w:ind w:left="567"/>
        <w:contextualSpacing/>
        <w:jc w:val="both"/>
        <w:rPr>
          <w:rFonts w:ascii="Arial Narrow" w:eastAsia="Calibri" w:hAnsi="Arial Narrow"/>
          <w:color w:val="000000" w:themeColor="text1"/>
          <w:lang w:val="es-ES"/>
        </w:rPr>
      </w:pPr>
    </w:p>
    <w:p w14:paraId="7FE08E2A" w14:textId="77777777" w:rsidR="007968EC" w:rsidRPr="00E862D2" w:rsidRDefault="007968EC" w:rsidP="007968EC">
      <w:pPr>
        <w:ind w:left="567"/>
        <w:jc w:val="both"/>
        <w:rPr>
          <w:rFonts w:ascii="Arial Narrow" w:hAnsi="Arial Narrow" w:cs="Arial"/>
          <w:color w:val="000000" w:themeColor="text1"/>
          <w:lang w:val="es-ES" w:eastAsia="es-ES"/>
        </w:rPr>
      </w:pPr>
      <w:r w:rsidRPr="00E862D2">
        <w:rPr>
          <w:rFonts w:ascii="Arial Narrow" w:hAnsi="Arial Narrow" w:cs="Arial"/>
          <w:bCs/>
          <w:color w:val="000000" w:themeColor="text1"/>
          <w:lang w:val="es-ES" w:eastAsia="es-ES"/>
        </w:rPr>
        <w:t>Sin embargo, el monto mínimo de las Garantías por Posición exigidas de forma previa para cualquier Miembro Liquidador es de dos mil millones de pesos ($ 2.000.000.000) para los participantes del SEN y de trescientos millones de pesos ($ 300.000.000) para los Miembros que únicamente participan en el MEC y no en el SEN</w:t>
      </w:r>
      <w:r w:rsidRPr="00E862D2">
        <w:rPr>
          <w:rFonts w:ascii="Arial Narrow" w:hAnsi="Arial Narrow" w:cs="Arial"/>
          <w:color w:val="000000" w:themeColor="text1"/>
          <w:lang w:val="es-ES" w:eastAsia="es-ES"/>
        </w:rPr>
        <w:t>.</w:t>
      </w:r>
    </w:p>
    <w:p w14:paraId="64BACF7A" w14:textId="77777777" w:rsidR="007968EC" w:rsidRPr="00E862D2" w:rsidRDefault="007968EC" w:rsidP="007968EC">
      <w:pPr>
        <w:contextualSpacing/>
        <w:jc w:val="both"/>
        <w:rPr>
          <w:rFonts w:ascii="Arial Narrow" w:eastAsia="Calibri" w:hAnsi="Arial Narrow" w:cs="Arial"/>
          <w:color w:val="000000" w:themeColor="text1"/>
          <w:lang w:val="es-ES" w:eastAsia="es-ES"/>
        </w:rPr>
      </w:pPr>
    </w:p>
    <w:p w14:paraId="6DB65CA6" w14:textId="77777777" w:rsidR="007968EC" w:rsidRPr="00E862D2" w:rsidRDefault="007968EC" w:rsidP="007968EC">
      <w:pPr>
        <w:ind w:left="601"/>
        <w:jc w:val="both"/>
        <w:rPr>
          <w:rFonts w:ascii="Arial Narrow" w:eastAsia="Calibri" w:hAnsi="Arial Narrow"/>
          <w:color w:val="000000" w:themeColor="text1"/>
        </w:rPr>
      </w:pPr>
      <w:r w:rsidRPr="00E862D2">
        <w:rPr>
          <w:rFonts w:ascii="Arial Narrow" w:eastAsia="Calibri" w:hAnsi="Arial Narrow"/>
          <w:color w:val="000000" w:themeColor="text1"/>
        </w:rPr>
        <w:t xml:space="preserve">La Garantía por Posición (Previa) será informada mensualmente el segundo día hábil de cada mes al usuario administrador del Miembro Liquidador. </w:t>
      </w:r>
    </w:p>
    <w:p w14:paraId="080D4AA3" w14:textId="77777777" w:rsidR="007968EC" w:rsidRPr="00E862D2" w:rsidRDefault="007968EC" w:rsidP="007968EC">
      <w:pPr>
        <w:jc w:val="both"/>
        <w:rPr>
          <w:rFonts w:ascii="Arial Narrow" w:eastAsia="Calibri" w:hAnsi="Arial Narrow"/>
          <w:b/>
          <w:color w:val="000000" w:themeColor="text1"/>
        </w:rPr>
      </w:pPr>
    </w:p>
    <w:p w14:paraId="00F50C49" w14:textId="77777777" w:rsidR="007968EC" w:rsidRPr="00E862D2" w:rsidRDefault="007968EC" w:rsidP="00DA7472">
      <w:pPr>
        <w:numPr>
          <w:ilvl w:val="0"/>
          <w:numId w:val="226"/>
        </w:numPr>
        <w:ind w:left="607" w:hanging="425"/>
        <w:contextualSpacing/>
        <w:jc w:val="both"/>
        <w:rPr>
          <w:rFonts w:ascii="Arial Narrow" w:eastAsia="Calibri" w:hAnsi="Arial Narrow"/>
          <w:color w:val="000000" w:themeColor="text1"/>
        </w:rPr>
      </w:pPr>
      <w:r w:rsidRPr="00E862D2">
        <w:rPr>
          <w:rFonts w:ascii="Arial Narrow" w:eastAsia="Calibri" w:hAnsi="Arial Narrow"/>
          <w:color w:val="000000" w:themeColor="text1"/>
        </w:rPr>
        <w:t>La Garantía por Posición (Previa) exigida para la aceptación de Operaciones Simultáneas deberá ser constituida por los Miembros Liquidadores antes de las 7:40 a.m. del día en el que se celebrarán las Operaciones Simultáneas en el Sistema de negociación y/o registro o Mecanismo de Contratación.</w:t>
      </w:r>
    </w:p>
    <w:p w14:paraId="53E5016B" w14:textId="77777777" w:rsidR="007968EC" w:rsidRPr="00E862D2" w:rsidRDefault="007968EC" w:rsidP="007968EC">
      <w:pPr>
        <w:shd w:val="clear" w:color="auto" w:fill="FFFFFF"/>
        <w:jc w:val="both"/>
        <w:rPr>
          <w:rFonts w:ascii="Arial Narrow" w:eastAsia="Calibri" w:hAnsi="Arial Narrow"/>
          <w:color w:val="000000" w:themeColor="text1"/>
        </w:rPr>
      </w:pPr>
    </w:p>
    <w:p w14:paraId="137448DB" w14:textId="77777777" w:rsidR="007968EC" w:rsidRPr="00E862D2" w:rsidRDefault="007968EC" w:rsidP="00DA7472">
      <w:pPr>
        <w:numPr>
          <w:ilvl w:val="0"/>
          <w:numId w:val="226"/>
        </w:numPr>
        <w:ind w:left="607" w:hanging="425"/>
        <w:contextualSpacing/>
        <w:jc w:val="both"/>
        <w:rPr>
          <w:rFonts w:ascii="Arial Narrow" w:eastAsia="Calibri" w:hAnsi="Arial Narrow"/>
          <w:color w:val="000000" w:themeColor="text1"/>
        </w:rPr>
      </w:pPr>
      <w:r w:rsidRPr="00E862D2">
        <w:rPr>
          <w:rFonts w:ascii="Arial Narrow" w:eastAsia="Calibri" w:hAnsi="Arial Narrow"/>
          <w:color w:val="000000" w:themeColor="text1"/>
        </w:rPr>
        <w:t>Durante la Sesión de Aceptación de Operaciones, la Cámara controlará que la relación entre la Garantía por Posición exigida por las Posiciones Abiertas en Operaciones Simultáneas y la Garantía por Posición (Previa) no supere el setenta por ciento (70%). Cuando esta relación supere el setenta por ciento (70%), la Cámara exigirá al Miembro Liquidador constituir Garantías por Posición por el valor del exceso.</w:t>
      </w:r>
    </w:p>
    <w:p w14:paraId="6F1BB679" w14:textId="77777777" w:rsidR="007968EC" w:rsidRPr="00E862D2" w:rsidRDefault="007968EC" w:rsidP="007968EC">
      <w:pPr>
        <w:shd w:val="clear" w:color="auto" w:fill="FFFFFF"/>
        <w:ind w:left="601"/>
        <w:contextualSpacing/>
        <w:jc w:val="both"/>
        <w:rPr>
          <w:rFonts w:ascii="Arial Narrow" w:eastAsia="Calibri" w:hAnsi="Arial Narrow"/>
          <w:color w:val="000000" w:themeColor="text1"/>
        </w:rPr>
      </w:pPr>
    </w:p>
    <w:p w14:paraId="153433A6" w14:textId="77777777" w:rsidR="007968EC" w:rsidRPr="00E862D2" w:rsidRDefault="007968EC" w:rsidP="007968EC">
      <w:pPr>
        <w:ind w:left="601"/>
        <w:contextualSpacing/>
        <w:jc w:val="both"/>
        <w:rPr>
          <w:rFonts w:ascii="Arial Narrow" w:eastAsia="Calibri" w:hAnsi="Arial Narrow"/>
          <w:color w:val="000000" w:themeColor="text1"/>
        </w:rPr>
      </w:pPr>
      <w:r w:rsidRPr="00E862D2">
        <w:rPr>
          <w:rFonts w:ascii="Arial Narrow" w:eastAsia="Calibri" w:hAnsi="Arial Narrow"/>
          <w:color w:val="000000" w:themeColor="text1"/>
        </w:rPr>
        <w:t>Para estos efectos, el Miembro Liquidador dispondrá de una (1) hora, a partir del envío del correo electrónico o de la comunicación telefónica, según</w:t>
      </w:r>
      <w:r w:rsidRPr="00E862D2">
        <w:rPr>
          <w:rFonts w:ascii="Arial Narrow" w:eastAsia="Calibri" w:hAnsi="Arial Narrow" w:cs="Arial Narrow"/>
          <w:color w:val="000000" w:themeColor="text1"/>
        </w:rPr>
        <w:t xml:space="preserve"> el caso, por parte de la Cámara para constituir las Garantías por Posición.</w:t>
      </w:r>
    </w:p>
    <w:p w14:paraId="0EAE2C2B" w14:textId="77777777" w:rsidR="007968EC" w:rsidRPr="00E862D2" w:rsidRDefault="007968EC" w:rsidP="007968EC">
      <w:pPr>
        <w:ind w:left="601"/>
        <w:contextualSpacing/>
        <w:jc w:val="both"/>
        <w:rPr>
          <w:rFonts w:ascii="Arial Narrow" w:eastAsia="Calibri" w:hAnsi="Arial Narrow"/>
          <w:b/>
          <w:color w:val="000000" w:themeColor="text1"/>
        </w:rPr>
      </w:pPr>
    </w:p>
    <w:p w14:paraId="4AE11E53" w14:textId="77777777" w:rsidR="007968EC" w:rsidRPr="00E862D2" w:rsidRDefault="007968EC" w:rsidP="007968EC">
      <w:pPr>
        <w:jc w:val="both"/>
        <w:rPr>
          <w:rFonts w:ascii="Arial Narrow" w:eastAsia="Calibri" w:hAnsi="Arial Narrow"/>
          <w:color w:val="000000" w:themeColor="text1"/>
        </w:rPr>
      </w:pPr>
      <w:r w:rsidRPr="00E862D2">
        <w:rPr>
          <w:rFonts w:ascii="Arial Narrow" w:eastAsia="Calibri" w:hAnsi="Arial Narrow"/>
          <w:b/>
          <w:color w:val="000000" w:themeColor="text1"/>
        </w:rPr>
        <w:t>Parágrafo Primero.</w:t>
      </w:r>
      <w:r w:rsidRPr="00E862D2">
        <w:rPr>
          <w:rFonts w:ascii="Arial Narrow" w:eastAsia="Calibri" w:hAnsi="Arial Narrow"/>
          <w:color w:val="000000" w:themeColor="text1"/>
        </w:rPr>
        <w:t xml:space="preserve"> Sin perjuicio del cálculo establecido en el presente artículo, la Cámara podrá exigir Garantía por Posición (Previa) en forma adicional, en caso de presentarse variaciones significativas en las variables del cálculo descritas en el literal a) del presente artículo.</w:t>
      </w:r>
    </w:p>
    <w:p w14:paraId="3955328A" w14:textId="77777777" w:rsidR="007968EC" w:rsidRPr="00E862D2" w:rsidRDefault="007968EC" w:rsidP="007968EC">
      <w:pPr>
        <w:jc w:val="both"/>
        <w:rPr>
          <w:rFonts w:ascii="Arial Narrow" w:eastAsia="Calibri" w:hAnsi="Arial Narrow"/>
          <w:color w:val="000000" w:themeColor="text1"/>
        </w:rPr>
      </w:pPr>
    </w:p>
    <w:p w14:paraId="1480B08D" w14:textId="77777777" w:rsidR="007968EC" w:rsidRDefault="007968EC" w:rsidP="007968EC">
      <w:pPr>
        <w:jc w:val="both"/>
        <w:rPr>
          <w:rFonts w:ascii="Arial Narrow" w:eastAsia="Calibri" w:hAnsi="Arial Narrow"/>
          <w:bCs/>
          <w:color w:val="000000" w:themeColor="text1"/>
        </w:rPr>
      </w:pPr>
      <w:r w:rsidRPr="00E862D2">
        <w:rPr>
          <w:rFonts w:ascii="Arial Narrow" w:eastAsia="Calibri" w:hAnsi="Arial Narrow"/>
          <w:b/>
          <w:color w:val="000000" w:themeColor="text1"/>
        </w:rPr>
        <w:t xml:space="preserve">Parágrafo Segundo. </w:t>
      </w:r>
      <w:r w:rsidRPr="00E862D2">
        <w:rPr>
          <w:rFonts w:ascii="Arial Narrow" w:eastAsia="Calibri" w:hAnsi="Arial Narrow"/>
          <w:color w:val="000000" w:themeColor="text1"/>
        </w:rPr>
        <w:t>El Control de Garantías por Posición (Previa) para la aceptación de Operaciones Simultáneas por parte de la Cámara de que trata el presente Artículo no aplica para la aceptación de Operaciones Simultaneas registradas en el Sistema MEC de Registro.</w:t>
      </w:r>
    </w:p>
    <w:p w14:paraId="2801D196" w14:textId="77777777" w:rsidR="007968EC" w:rsidRPr="002C0D19" w:rsidRDefault="007968EC" w:rsidP="007968EC">
      <w:pPr>
        <w:jc w:val="both"/>
        <w:rPr>
          <w:rFonts w:ascii="Arial Narrow" w:eastAsia="Calibri" w:hAnsi="Arial Narrow"/>
          <w:bCs/>
          <w:color w:val="000000" w:themeColor="text1"/>
        </w:rPr>
      </w:pPr>
    </w:p>
    <w:p w14:paraId="68D24274" w14:textId="77777777" w:rsidR="007968EC" w:rsidRPr="002C0D19" w:rsidRDefault="007968EC" w:rsidP="007968EC">
      <w:pPr>
        <w:pStyle w:val="ARTICULO0"/>
      </w:pPr>
      <w:bookmarkStart w:id="5825" w:name="_Toc470781212"/>
      <w:bookmarkStart w:id="5826" w:name="_Toc470784793"/>
      <w:bookmarkStart w:id="5827" w:name="_Toc470785330"/>
      <w:bookmarkStart w:id="5828" w:name="_Toc470791724"/>
      <w:bookmarkStart w:id="5829" w:name="_Toc479057274"/>
      <w:bookmarkStart w:id="5830" w:name="_Toc490066641"/>
      <w:bookmarkStart w:id="5831" w:name="_Toc31716300"/>
      <w:r w:rsidRPr="002C0D19">
        <w:t>Artículo 3.5.2.2. Generalidades sobre la determinación del valor de las Garantías por Posición para Operaciones Simultáneas.</w:t>
      </w:r>
      <w:bookmarkEnd w:id="5825"/>
      <w:bookmarkEnd w:id="5826"/>
      <w:bookmarkEnd w:id="5827"/>
      <w:bookmarkEnd w:id="5828"/>
      <w:bookmarkEnd w:id="5829"/>
      <w:bookmarkEnd w:id="5830"/>
      <w:bookmarkEnd w:id="5831"/>
    </w:p>
    <w:p w14:paraId="654C499C" w14:textId="77777777" w:rsidR="007968EC" w:rsidRPr="002C0D19" w:rsidRDefault="007968EC" w:rsidP="007968EC">
      <w:pPr>
        <w:jc w:val="both"/>
        <w:rPr>
          <w:rFonts w:ascii="Arial Narrow" w:eastAsia="Calibri" w:hAnsi="Arial Narrow"/>
          <w:bCs/>
          <w:color w:val="000000" w:themeColor="text1"/>
        </w:rPr>
      </w:pPr>
    </w:p>
    <w:p w14:paraId="3AB0CDF9" w14:textId="77777777" w:rsidR="007968EC" w:rsidRPr="002C0D19" w:rsidRDefault="007968EC" w:rsidP="007968EC">
      <w:pPr>
        <w:jc w:val="both"/>
        <w:rPr>
          <w:rFonts w:ascii="Arial Narrow" w:eastAsia="Calibri" w:hAnsi="Arial Narrow"/>
          <w:color w:val="000000" w:themeColor="text1"/>
        </w:rPr>
      </w:pPr>
      <w:r w:rsidRPr="002C0D19">
        <w:rPr>
          <w:rFonts w:ascii="Arial Narrow" w:eastAsia="Calibri" w:hAnsi="Arial Narrow"/>
          <w:color w:val="000000" w:themeColor="text1"/>
        </w:rPr>
        <w:t>El procedimiento de cálculo de la Garantía por Posición para Operaciones Simultáneas tiene por objeto simular el costo total de liquidar la Posición Abierta a nivel de Cuenta por la Posición Abierta en Operaciones Simultáneas que compensa y liquida la Cámara. El valor de la Garantía por Posición está determinado por el parámetro de la Fluctuación, el número de escenarios en los cuales se subdivide el análisis de dicha Fluctuación y las compensaciones entre posiciones contrarias en Contratos de Operaciones Simultáneas.</w:t>
      </w:r>
    </w:p>
    <w:p w14:paraId="2BDA9D4E" w14:textId="77777777" w:rsidR="007968EC" w:rsidRPr="002C0D19" w:rsidRDefault="007968EC" w:rsidP="007968EC">
      <w:pPr>
        <w:jc w:val="both"/>
        <w:rPr>
          <w:rFonts w:ascii="Arial Narrow" w:eastAsia="Calibri" w:hAnsi="Arial Narrow"/>
          <w:b/>
          <w:bCs/>
          <w:color w:val="000000" w:themeColor="text1"/>
        </w:rPr>
      </w:pPr>
    </w:p>
    <w:p w14:paraId="7CD176A0" w14:textId="77777777" w:rsidR="007968EC" w:rsidRDefault="007968EC" w:rsidP="007968EC">
      <w:pPr>
        <w:pStyle w:val="ARTICULO0"/>
      </w:pPr>
      <w:bookmarkStart w:id="5832" w:name="_Toc470781213"/>
      <w:bookmarkStart w:id="5833" w:name="_Toc470784794"/>
      <w:bookmarkStart w:id="5834" w:name="_Toc470785331"/>
      <w:bookmarkStart w:id="5835" w:name="_Toc470791725"/>
      <w:bookmarkStart w:id="5836" w:name="_Toc31716301"/>
      <w:bookmarkStart w:id="5837" w:name="_Toc479057275"/>
      <w:bookmarkStart w:id="5838" w:name="_Toc490066642"/>
      <w:r w:rsidRPr="002C0D19">
        <w:t>Artículo 3.5.2.3. Procedimiento de Cálculo de Garantías por Posición para Posiciones Abiertas en Contratos de Operaciones Simultáneas.</w:t>
      </w:r>
      <w:bookmarkEnd w:id="5832"/>
      <w:bookmarkEnd w:id="5833"/>
      <w:bookmarkEnd w:id="5834"/>
      <w:bookmarkEnd w:id="5835"/>
      <w:bookmarkEnd w:id="5836"/>
      <w:r w:rsidRPr="002C0D19">
        <w:t xml:space="preserve"> </w:t>
      </w:r>
    </w:p>
    <w:p w14:paraId="0AC0C84C" w14:textId="77777777" w:rsidR="007968EC" w:rsidRDefault="007968EC" w:rsidP="007968EC">
      <w:pPr>
        <w:keepNext/>
        <w:tabs>
          <w:tab w:val="left" w:pos="1701"/>
        </w:tabs>
        <w:jc w:val="both"/>
        <w:outlineLvl w:val="2"/>
        <w:rPr>
          <w:rFonts w:ascii="Arial Narrow" w:hAnsi="Arial Narrow" w:cs="Arial"/>
          <w:b/>
          <w:u w:val="single"/>
          <w:lang w:eastAsia="es-ES"/>
        </w:rPr>
      </w:pPr>
    </w:p>
    <w:p w14:paraId="20D0BBF1" w14:textId="77777777" w:rsidR="007968EC" w:rsidRPr="002C0D19" w:rsidRDefault="007968EC" w:rsidP="007968EC">
      <w:pPr>
        <w:pStyle w:val="ANTECEDENTES"/>
        <w:rPr>
          <w:color w:val="FF0000"/>
          <w:u w:val="single"/>
        </w:rPr>
      </w:pPr>
      <w:r w:rsidRPr="002C0D19">
        <w:t xml:space="preserve">(Este artículo fue modificado mediante Circular 6 del 14 de febrero de 2017, publicada en el Boletín Normativo No. </w:t>
      </w:r>
      <w:r>
        <w:t>006 del 14 de febrero de 2017,</w:t>
      </w:r>
      <w:r w:rsidRPr="002C0D19">
        <w:t xml:space="preserve"> mediante Circular 14 del 8 de agosto del 2017, publicada en el Boletín Normativo No. 015 del 8 de agosto de 2017</w:t>
      </w:r>
      <w:r>
        <w:t>, mediante Circular 23 del 24 de noviembre de 2017, publicada en el Boletín Normativo No. 029 del 24 de noviembre de 2017 y mediante Circular 24 del 11 de diciembre de 2017, publicada en el Boletín Normativo No. 031 del 11 de diciembre de 2017. Rige a partir del 12 de diciembre</w:t>
      </w:r>
      <w:r w:rsidRPr="002C0D19">
        <w:t xml:space="preserve"> de 2017.)</w:t>
      </w:r>
      <w:bookmarkEnd w:id="5837"/>
      <w:bookmarkEnd w:id="5838"/>
    </w:p>
    <w:p w14:paraId="02C6C61A" w14:textId="77777777" w:rsidR="007968EC" w:rsidRPr="002C0D19" w:rsidRDefault="007968EC" w:rsidP="007968EC">
      <w:pPr>
        <w:autoSpaceDE w:val="0"/>
        <w:autoSpaceDN w:val="0"/>
        <w:adjustRightInd w:val="0"/>
        <w:jc w:val="both"/>
        <w:rPr>
          <w:rFonts w:ascii="Arial Narrow" w:eastAsia="Calibri" w:hAnsi="Arial Narrow"/>
          <w:bCs/>
          <w:color w:val="000000" w:themeColor="text1"/>
        </w:rPr>
      </w:pPr>
    </w:p>
    <w:p w14:paraId="1EAA73BE" w14:textId="77777777" w:rsidR="007968EC" w:rsidRPr="007C5A53" w:rsidRDefault="007968EC" w:rsidP="007968EC">
      <w:pPr>
        <w:jc w:val="both"/>
        <w:rPr>
          <w:rFonts w:ascii="Arial Narrow" w:eastAsia="Calibri" w:hAnsi="Arial Narrow" w:cs="Arial"/>
          <w:lang w:eastAsia="es-ES"/>
        </w:rPr>
      </w:pPr>
      <w:r w:rsidRPr="007C5A53">
        <w:rPr>
          <w:rFonts w:ascii="Arial Narrow" w:eastAsia="Calibri" w:hAnsi="Arial Narrow" w:cs="Arial"/>
          <w:color w:val="000000"/>
          <w:lang w:eastAsia="es-ES"/>
        </w:rPr>
        <w:lastRenderedPageBreak/>
        <w:t xml:space="preserve">El procedimiento para el cálculo de la Garantía por Posición </w:t>
      </w:r>
      <w:r w:rsidRPr="007C5A53">
        <w:rPr>
          <w:rFonts w:ascii="Arial Narrow" w:eastAsia="Calibri" w:hAnsi="Arial Narrow" w:cs="Arial"/>
          <w:lang w:eastAsia="es-ES"/>
        </w:rPr>
        <w:t>para las Posiciones Abiertas en Contratos de Operaciones Simultáneas comprende las siguientes etapas:</w:t>
      </w:r>
    </w:p>
    <w:p w14:paraId="0C26FE85" w14:textId="77777777" w:rsidR="007968EC" w:rsidRPr="007C5A53" w:rsidRDefault="007968EC" w:rsidP="007968EC">
      <w:pPr>
        <w:jc w:val="both"/>
        <w:rPr>
          <w:rFonts w:ascii="Arial Narrow" w:eastAsia="Calibri" w:hAnsi="Arial Narrow" w:cs="Arial"/>
          <w:b/>
          <w:lang w:eastAsia="es-ES"/>
        </w:rPr>
      </w:pPr>
    </w:p>
    <w:p w14:paraId="4EFEEB2A" w14:textId="77777777" w:rsidR="007968EC" w:rsidRPr="007C5A53" w:rsidRDefault="007968EC" w:rsidP="00DA7472">
      <w:pPr>
        <w:widowControl w:val="0"/>
        <w:numPr>
          <w:ilvl w:val="0"/>
          <w:numId w:val="141"/>
        </w:numPr>
        <w:autoSpaceDE w:val="0"/>
        <w:autoSpaceDN w:val="0"/>
        <w:adjustRightInd w:val="0"/>
        <w:contextualSpacing/>
        <w:jc w:val="both"/>
        <w:rPr>
          <w:rFonts w:ascii="Arial Narrow" w:eastAsia="Calibri" w:hAnsi="Arial Narrow" w:cs="Arial"/>
          <w:b/>
          <w:lang w:eastAsia="es-ES"/>
        </w:rPr>
      </w:pPr>
      <w:r w:rsidRPr="007C5A53">
        <w:rPr>
          <w:rFonts w:ascii="Arial Narrow" w:eastAsia="Calibri" w:hAnsi="Arial Narrow" w:cs="Arial"/>
          <w:lang w:eastAsia="es-ES"/>
        </w:rPr>
        <w:t xml:space="preserve">Descripción del método de cálculo MEFFCOM2 para Operaciones Simultáneas. </w:t>
      </w:r>
    </w:p>
    <w:p w14:paraId="2490829A" w14:textId="77777777" w:rsidR="007968EC" w:rsidRPr="007C5A53" w:rsidRDefault="007968EC" w:rsidP="00DA7472">
      <w:pPr>
        <w:widowControl w:val="0"/>
        <w:numPr>
          <w:ilvl w:val="0"/>
          <w:numId w:val="141"/>
        </w:numPr>
        <w:autoSpaceDE w:val="0"/>
        <w:autoSpaceDN w:val="0"/>
        <w:adjustRightInd w:val="0"/>
        <w:contextualSpacing/>
        <w:jc w:val="both"/>
        <w:rPr>
          <w:rFonts w:ascii="Arial Narrow" w:eastAsia="Calibri" w:hAnsi="Arial Narrow" w:cs="Arial"/>
          <w:b/>
          <w:lang w:eastAsia="es-ES"/>
        </w:rPr>
      </w:pPr>
      <w:r w:rsidRPr="007C5A53">
        <w:rPr>
          <w:rFonts w:ascii="Arial Narrow" w:eastAsia="Calibri" w:hAnsi="Arial Narrow" w:cs="Arial"/>
          <w:lang w:eastAsia="es-ES"/>
        </w:rPr>
        <w:t>Ajuste diario de Garantías para Contratos de Operaciones Simultáneas.</w:t>
      </w:r>
    </w:p>
    <w:p w14:paraId="56EF0757" w14:textId="77777777" w:rsidR="007968EC" w:rsidRPr="007C5A53" w:rsidRDefault="007968EC" w:rsidP="00DA7472">
      <w:pPr>
        <w:widowControl w:val="0"/>
        <w:numPr>
          <w:ilvl w:val="0"/>
          <w:numId w:val="141"/>
        </w:numPr>
        <w:autoSpaceDE w:val="0"/>
        <w:autoSpaceDN w:val="0"/>
        <w:adjustRightInd w:val="0"/>
        <w:contextualSpacing/>
        <w:jc w:val="both"/>
        <w:rPr>
          <w:rFonts w:ascii="Arial Narrow" w:eastAsia="Calibri" w:hAnsi="Arial Narrow" w:cs="Arial"/>
          <w:b/>
          <w:lang w:eastAsia="es-ES"/>
        </w:rPr>
      </w:pPr>
      <w:r w:rsidRPr="007C5A53">
        <w:rPr>
          <w:rFonts w:ascii="Arial Narrow" w:eastAsia="Calibri" w:hAnsi="Arial Narrow" w:cs="Arial"/>
          <w:lang w:eastAsia="es-ES"/>
        </w:rPr>
        <w:t>Determinación de la Garantía por Posición a constituir por Cuenta.</w:t>
      </w:r>
    </w:p>
    <w:p w14:paraId="2AF973B1" w14:textId="77777777" w:rsidR="007968EC" w:rsidRPr="007C5A53" w:rsidRDefault="007968EC" w:rsidP="00DA7472">
      <w:pPr>
        <w:widowControl w:val="0"/>
        <w:numPr>
          <w:ilvl w:val="0"/>
          <w:numId w:val="141"/>
        </w:numPr>
        <w:autoSpaceDE w:val="0"/>
        <w:autoSpaceDN w:val="0"/>
        <w:adjustRightInd w:val="0"/>
        <w:contextualSpacing/>
        <w:jc w:val="both"/>
        <w:rPr>
          <w:rFonts w:ascii="Arial Narrow" w:eastAsia="Calibri" w:hAnsi="Arial Narrow" w:cs="Arial"/>
          <w:b/>
          <w:lang w:eastAsia="es-ES"/>
        </w:rPr>
      </w:pPr>
      <w:r w:rsidRPr="007C5A53">
        <w:rPr>
          <w:rFonts w:ascii="Arial Narrow" w:eastAsia="Calibri" w:hAnsi="Arial Narrow" w:cs="Arial"/>
          <w:lang w:eastAsia="es-ES"/>
        </w:rPr>
        <w:t>Cálculo de escenarios RI para el cómputo de la Garantía por Posición.</w:t>
      </w:r>
    </w:p>
    <w:p w14:paraId="3ED81409" w14:textId="77777777" w:rsidR="007968EC" w:rsidRPr="007C5A53" w:rsidRDefault="007968EC" w:rsidP="00DA7472">
      <w:pPr>
        <w:widowControl w:val="0"/>
        <w:numPr>
          <w:ilvl w:val="0"/>
          <w:numId w:val="141"/>
        </w:numPr>
        <w:autoSpaceDE w:val="0"/>
        <w:autoSpaceDN w:val="0"/>
        <w:adjustRightInd w:val="0"/>
        <w:contextualSpacing/>
        <w:jc w:val="both"/>
        <w:rPr>
          <w:rFonts w:ascii="Arial Narrow" w:eastAsia="Calibri" w:hAnsi="Arial Narrow" w:cs="Arial"/>
          <w:b/>
          <w:lang w:eastAsia="es-ES"/>
        </w:rPr>
      </w:pPr>
      <w:r w:rsidRPr="007C5A53">
        <w:rPr>
          <w:rFonts w:ascii="Arial Narrow" w:eastAsia="Calibri" w:hAnsi="Arial Narrow" w:cs="Arial"/>
          <w:lang w:eastAsia="es-ES"/>
        </w:rPr>
        <w:t>Aplicación de la Garantía por Posición al Límite de Margin Call.</w:t>
      </w:r>
    </w:p>
    <w:p w14:paraId="028562BB" w14:textId="77777777" w:rsidR="007968EC" w:rsidRPr="007C5A53" w:rsidRDefault="007968EC" w:rsidP="007968EC">
      <w:pPr>
        <w:widowControl w:val="0"/>
        <w:autoSpaceDE w:val="0"/>
        <w:autoSpaceDN w:val="0"/>
        <w:adjustRightInd w:val="0"/>
        <w:jc w:val="both"/>
        <w:rPr>
          <w:rFonts w:ascii="Arial Narrow" w:eastAsia="Calibri" w:hAnsi="Arial Narrow" w:cs="Arial"/>
          <w:b/>
          <w:lang w:eastAsia="es-ES"/>
        </w:rPr>
      </w:pPr>
    </w:p>
    <w:p w14:paraId="52296205" w14:textId="77777777" w:rsidR="007968EC" w:rsidRPr="007C5A53" w:rsidRDefault="007968EC" w:rsidP="00DA7472">
      <w:pPr>
        <w:widowControl w:val="0"/>
        <w:numPr>
          <w:ilvl w:val="1"/>
          <w:numId w:val="134"/>
        </w:numPr>
        <w:autoSpaceDE w:val="0"/>
        <w:autoSpaceDN w:val="0"/>
        <w:adjustRightInd w:val="0"/>
        <w:ind w:left="317" w:hanging="283"/>
        <w:contextualSpacing/>
        <w:jc w:val="both"/>
        <w:rPr>
          <w:rFonts w:ascii="Arial Narrow" w:eastAsia="Calibri" w:hAnsi="Arial Narrow" w:cs="Arial"/>
          <w:b/>
          <w:lang w:eastAsia="es-ES"/>
        </w:rPr>
      </w:pPr>
      <w:r w:rsidRPr="007C5A53">
        <w:rPr>
          <w:rFonts w:ascii="Arial Narrow" w:eastAsia="Calibri" w:hAnsi="Arial Narrow" w:cs="Arial"/>
          <w:b/>
          <w:lang w:eastAsia="es-ES"/>
        </w:rPr>
        <w:t xml:space="preserve">Descripción del método de cálculo MEFFCOM2 para Operaciones Simultáneas: </w:t>
      </w:r>
    </w:p>
    <w:p w14:paraId="18A23B9A" w14:textId="77777777" w:rsidR="007968EC" w:rsidRPr="007C5A53" w:rsidRDefault="007968EC" w:rsidP="007968EC">
      <w:pPr>
        <w:widowControl w:val="0"/>
        <w:autoSpaceDE w:val="0"/>
        <w:autoSpaceDN w:val="0"/>
        <w:adjustRightInd w:val="0"/>
        <w:ind w:left="317"/>
        <w:contextualSpacing/>
        <w:jc w:val="both"/>
        <w:rPr>
          <w:rFonts w:ascii="Arial Narrow" w:eastAsia="Calibri" w:hAnsi="Arial Narrow" w:cs="Arial"/>
          <w:lang w:eastAsia="es-ES"/>
        </w:rPr>
      </w:pPr>
    </w:p>
    <w:p w14:paraId="22D54F00" w14:textId="77777777" w:rsidR="007968EC" w:rsidRPr="007C5A53" w:rsidRDefault="007968EC" w:rsidP="007968EC">
      <w:pPr>
        <w:ind w:left="317"/>
        <w:jc w:val="both"/>
        <w:rPr>
          <w:rFonts w:ascii="Arial Narrow" w:eastAsia="Calibri" w:hAnsi="Arial Narrow" w:cs="Arial"/>
          <w:b/>
          <w:lang w:eastAsia="es-ES"/>
        </w:rPr>
      </w:pPr>
      <w:r w:rsidRPr="007C5A53">
        <w:rPr>
          <w:rFonts w:ascii="Arial Narrow" w:eastAsia="Calibri" w:hAnsi="Arial Narrow" w:cs="Arial"/>
          <w:lang w:eastAsia="es-ES"/>
        </w:rPr>
        <w:t>El modelo MEFFCOM2 tiene en cuenta la valoración de las Posiciones Abiertas, las compensaciones entre Contratos de Operaciones Simultáneas pertenecientes al mismo Grupo de Compensación y compensaciones entre Contratos de Operaciones Simultáneas pertenecientes a diferentes Grupos de Compensación.</w:t>
      </w:r>
    </w:p>
    <w:p w14:paraId="6C44747C" w14:textId="77777777" w:rsidR="007968EC" w:rsidRPr="007C5A53" w:rsidRDefault="007968EC" w:rsidP="007968EC">
      <w:pPr>
        <w:jc w:val="both"/>
        <w:rPr>
          <w:rFonts w:ascii="Arial Narrow" w:eastAsia="Calibri" w:hAnsi="Arial Narrow" w:cs="Arial"/>
          <w:b/>
          <w:lang w:eastAsia="es-ES"/>
        </w:rPr>
      </w:pPr>
    </w:p>
    <w:p w14:paraId="1935AFD0" w14:textId="77777777" w:rsidR="007968EC" w:rsidRPr="007C5A53" w:rsidRDefault="007968EC" w:rsidP="007968EC">
      <w:pPr>
        <w:widowControl w:val="0"/>
        <w:autoSpaceDE w:val="0"/>
        <w:autoSpaceDN w:val="0"/>
        <w:adjustRightInd w:val="0"/>
        <w:ind w:left="317"/>
        <w:contextualSpacing/>
        <w:jc w:val="both"/>
        <w:rPr>
          <w:rFonts w:ascii="Arial Narrow" w:eastAsia="Calibri" w:hAnsi="Arial Narrow" w:cs="Arial"/>
          <w:lang w:eastAsia="es-ES"/>
        </w:rPr>
      </w:pPr>
      <w:r w:rsidRPr="007C5A53">
        <w:rPr>
          <w:rFonts w:ascii="Arial Narrow" w:eastAsia="Calibri" w:hAnsi="Arial Narrow" w:cs="Arial"/>
          <w:lang w:eastAsia="es-ES"/>
        </w:rPr>
        <w:t xml:space="preserve">Para el cálculo de las Garantías por Posición para Posiciones Abiertas en Contratos de Operaciones Simultáneas, se tiene en cuenta lo siguiente: </w:t>
      </w:r>
    </w:p>
    <w:p w14:paraId="3BA66E4B" w14:textId="77777777" w:rsidR="007968EC" w:rsidRPr="007C5A53" w:rsidRDefault="007968EC" w:rsidP="007968EC">
      <w:pPr>
        <w:widowControl w:val="0"/>
        <w:autoSpaceDE w:val="0"/>
        <w:autoSpaceDN w:val="0"/>
        <w:adjustRightInd w:val="0"/>
        <w:jc w:val="both"/>
        <w:rPr>
          <w:rFonts w:ascii="Arial Narrow" w:eastAsia="Calibri" w:hAnsi="Arial Narrow" w:cs="Arial"/>
          <w:b/>
          <w:lang w:eastAsia="es-ES"/>
        </w:rPr>
      </w:pPr>
    </w:p>
    <w:p w14:paraId="7AE201C5" w14:textId="77777777" w:rsidR="007968EC" w:rsidRPr="007C5A53" w:rsidRDefault="007968EC" w:rsidP="00DA7472">
      <w:pPr>
        <w:widowControl w:val="0"/>
        <w:numPr>
          <w:ilvl w:val="0"/>
          <w:numId w:val="135"/>
        </w:numPr>
        <w:autoSpaceDE w:val="0"/>
        <w:autoSpaceDN w:val="0"/>
        <w:adjustRightInd w:val="0"/>
        <w:ind w:left="601" w:hanging="284"/>
        <w:contextualSpacing/>
        <w:jc w:val="both"/>
        <w:rPr>
          <w:rFonts w:ascii="Arial Narrow" w:eastAsia="Calibri" w:hAnsi="Arial Narrow" w:cs="Arial"/>
          <w:b/>
          <w:lang w:eastAsia="es-ES"/>
        </w:rPr>
      </w:pPr>
      <w:r w:rsidRPr="007C5A53">
        <w:rPr>
          <w:rFonts w:ascii="Arial Narrow" w:eastAsia="Calibri" w:hAnsi="Arial Narrow" w:cs="Arial"/>
          <w:lang w:eastAsia="es-ES"/>
        </w:rPr>
        <w:t>Construcción de las matrices de garantías: Se construye una matriz de garantías (precios teóricos y deltas) por cada Contrato de Operación Simultánea de acuerdo con el proceso descrito, a continuación:</w:t>
      </w:r>
    </w:p>
    <w:p w14:paraId="4B6ACA31" w14:textId="77777777" w:rsidR="007968EC" w:rsidRPr="007C5A53" w:rsidRDefault="007968EC" w:rsidP="007968EC">
      <w:pPr>
        <w:autoSpaceDE w:val="0"/>
        <w:autoSpaceDN w:val="0"/>
        <w:adjustRightInd w:val="0"/>
        <w:ind w:left="1080"/>
        <w:contextualSpacing/>
        <w:jc w:val="both"/>
        <w:rPr>
          <w:rFonts w:ascii="Arial Narrow" w:eastAsia="Calibri" w:hAnsi="Arial Narrow" w:cs="Arial"/>
          <w:b/>
          <w:lang w:eastAsia="es-ES"/>
        </w:rPr>
      </w:pPr>
    </w:p>
    <w:p w14:paraId="5ADB9BBB" w14:textId="77777777" w:rsidR="007968EC" w:rsidRPr="007C5A53" w:rsidRDefault="007968EC" w:rsidP="00DA7472">
      <w:pPr>
        <w:numPr>
          <w:ilvl w:val="0"/>
          <w:numId w:val="136"/>
        </w:numPr>
        <w:autoSpaceDE w:val="0"/>
        <w:autoSpaceDN w:val="0"/>
        <w:adjustRightInd w:val="0"/>
        <w:ind w:left="1167" w:hanging="283"/>
        <w:contextualSpacing/>
        <w:jc w:val="both"/>
        <w:rPr>
          <w:rFonts w:ascii="Arial Narrow" w:eastAsia="Calibri" w:hAnsi="Arial Narrow" w:cs="Arial"/>
          <w:b/>
          <w:lang w:eastAsia="es-ES"/>
        </w:rPr>
      </w:pPr>
      <w:r w:rsidRPr="007C5A53">
        <w:rPr>
          <w:rFonts w:ascii="Arial Narrow" w:eastAsia="Calibri" w:hAnsi="Arial Narrow" w:cs="Arial"/>
          <w:lang w:eastAsia="es-ES"/>
        </w:rPr>
        <w:t xml:space="preserve">Determinación de los precios para cada escenario: </w:t>
      </w:r>
    </w:p>
    <w:p w14:paraId="35F23E49" w14:textId="77777777" w:rsidR="007968EC" w:rsidRPr="007C5A53" w:rsidRDefault="007968EC" w:rsidP="007968EC">
      <w:pPr>
        <w:autoSpaceDE w:val="0"/>
        <w:autoSpaceDN w:val="0"/>
        <w:adjustRightInd w:val="0"/>
        <w:jc w:val="both"/>
        <w:rPr>
          <w:rFonts w:ascii="Arial Narrow" w:eastAsia="Calibri" w:hAnsi="Arial Narrow" w:cs="Arial"/>
          <w:b/>
          <w:lang w:eastAsia="es-ES"/>
        </w:rPr>
      </w:pPr>
    </w:p>
    <w:p w14:paraId="294C38D5" w14:textId="77777777" w:rsidR="007968EC" w:rsidRPr="007C5A53" w:rsidRDefault="007968EC" w:rsidP="007968EC">
      <w:pPr>
        <w:autoSpaceDE w:val="0"/>
        <w:autoSpaceDN w:val="0"/>
        <w:adjustRightInd w:val="0"/>
        <w:ind w:left="1168"/>
        <w:contextualSpacing/>
        <w:jc w:val="both"/>
        <w:rPr>
          <w:rFonts w:ascii="Arial Narrow" w:eastAsia="Calibri" w:hAnsi="Arial Narrow" w:cs="Arial"/>
          <w:b/>
          <w:lang w:eastAsia="es-ES"/>
        </w:rPr>
      </w:pPr>
      <w:r w:rsidRPr="007C5A53">
        <w:rPr>
          <w:rFonts w:ascii="Arial Narrow" w:eastAsia="Calibri" w:hAnsi="Arial Narrow" w:cs="Arial"/>
          <w:lang w:eastAsia="es-ES"/>
        </w:rPr>
        <w:t>Se definen tres escenarios; escenario al alza, escenario central y escenario a la baja. Para cada Contrato de Operación Simultánea se calcula un precio por escenario:</w:t>
      </w:r>
    </w:p>
    <w:p w14:paraId="6C2D13B3" w14:textId="77777777" w:rsidR="007968EC" w:rsidRPr="007C5A53" w:rsidRDefault="007968EC" w:rsidP="007968EC">
      <w:pPr>
        <w:autoSpaceDE w:val="0"/>
        <w:autoSpaceDN w:val="0"/>
        <w:adjustRightInd w:val="0"/>
        <w:ind w:left="708"/>
        <w:contextualSpacing/>
        <w:jc w:val="both"/>
        <w:rPr>
          <w:rFonts w:ascii="Arial Narrow" w:eastAsia="Calibri" w:hAnsi="Arial Narrow" w:cs="Arial"/>
          <w:b/>
          <w:lang w:eastAsia="es-ES"/>
        </w:rPr>
      </w:pPr>
    </w:p>
    <w:p w14:paraId="1859AF71" w14:textId="77777777" w:rsidR="007968EC" w:rsidRPr="007C5A53" w:rsidRDefault="007968EC" w:rsidP="007968EC">
      <w:pPr>
        <w:autoSpaceDE w:val="0"/>
        <w:autoSpaceDN w:val="0"/>
        <w:adjustRightInd w:val="0"/>
        <w:ind w:left="1451" w:right="1168"/>
        <w:contextualSpacing/>
        <w:jc w:val="both"/>
        <w:rPr>
          <w:rFonts w:ascii="Arial Narrow" w:eastAsia="Calibri" w:hAnsi="Arial Narrow" w:cs="Arial"/>
          <w:b/>
          <w:lang w:eastAsia="es-ES"/>
        </w:rPr>
      </w:pPr>
      <m:oMathPara>
        <m:oMathParaPr>
          <m:jc m:val="left"/>
        </m:oMathParaPr>
        <m:oMath>
          <m:r>
            <m:rPr>
              <m:sty m:val="bi"/>
            </m:rPr>
            <w:rPr>
              <w:rFonts w:ascii="Cambria Math" w:eastAsia="Calibri" w:hAnsi="Cambria Math" w:cs="Arial"/>
              <w:lang w:eastAsia="es-ES"/>
            </w:rPr>
            <m:t>Precio escenario al alza=Precio de Valoraci</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n Operaci</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n Simult</m:t>
          </m:r>
          <m:r>
            <m:rPr>
              <m:sty m:val="bi"/>
            </m:rPr>
            <w:rPr>
              <w:rFonts w:ascii="Cambria Math" w:eastAsia="Calibri" w:hAnsi="Cambria Math" w:cs="Arial" w:hint="eastAsia"/>
              <w:lang w:eastAsia="es-ES"/>
            </w:rPr>
            <m:t>á</m:t>
          </m:r>
          <m:r>
            <m:rPr>
              <m:sty m:val="bi"/>
            </m:rPr>
            <w:rPr>
              <w:rFonts w:ascii="Cambria Math" w:eastAsia="Calibri" w:hAnsi="Cambria Math" w:cs="Arial"/>
              <w:lang w:eastAsia="es-ES"/>
            </w:rPr>
            <m:t>nea +Fluctuaci</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n definida por Grupo de Compensaci</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n</m:t>
          </m:r>
        </m:oMath>
      </m:oMathPara>
    </w:p>
    <w:p w14:paraId="43AC4DCE" w14:textId="77777777" w:rsidR="007968EC" w:rsidRPr="007C5A53" w:rsidRDefault="007968EC" w:rsidP="007968EC">
      <w:pPr>
        <w:autoSpaceDE w:val="0"/>
        <w:autoSpaceDN w:val="0"/>
        <w:adjustRightInd w:val="0"/>
        <w:ind w:left="1451"/>
        <w:contextualSpacing/>
        <w:jc w:val="both"/>
        <w:rPr>
          <w:rFonts w:ascii="Arial Narrow" w:eastAsia="Calibri" w:hAnsi="Arial Narrow" w:cs="Arial"/>
          <w:b/>
          <w:lang w:eastAsia="es-ES"/>
        </w:rPr>
      </w:pPr>
    </w:p>
    <w:p w14:paraId="4431A3D0" w14:textId="77777777" w:rsidR="007968EC" w:rsidRPr="007C5A53" w:rsidRDefault="007968EC" w:rsidP="007968EC">
      <w:pPr>
        <w:autoSpaceDE w:val="0"/>
        <w:autoSpaceDN w:val="0"/>
        <w:adjustRightInd w:val="0"/>
        <w:ind w:left="1026"/>
        <w:contextualSpacing/>
        <w:jc w:val="both"/>
        <w:rPr>
          <w:rFonts w:ascii="Arial Narrow" w:eastAsia="Calibri" w:hAnsi="Arial Narrow" w:cs="Arial"/>
          <w:b/>
          <w:lang w:eastAsia="es-ES"/>
        </w:rPr>
      </w:pPr>
      <m:oMathPara>
        <m:oMath>
          <m:r>
            <m:rPr>
              <m:sty m:val="bi"/>
            </m:rPr>
            <w:rPr>
              <w:rFonts w:ascii="Cambria Math" w:eastAsia="Calibri" w:hAnsi="Cambria Math" w:cs="Arial"/>
              <w:lang w:eastAsia="es-ES"/>
            </w:rPr>
            <m:t>Precio escenario central=Precio de Valoraci</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n Operaci</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n Simult</m:t>
          </m:r>
          <m:r>
            <m:rPr>
              <m:sty m:val="bi"/>
            </m:rPr>
            <w:rPr>
              <w:rFonts w:ascii="Cambria Math" w:eastAsia="Calibri" w:hAnsi="Cambria Math" w:cs="Arial" w:hint="eastAsia"/>
              <w:lang w:eastAsia="es-ES"/>
            </w:rPr>
            <m:t>á</m:t>
          </m:r>
          <m:r>
            <m:rPr>
              <m:sty m:val="bi"/>
            </m:rPr>
            <w:rPr>
              <w:rFonts w:ascii="Cambria Math" w:eastAsia="Calibri" w:hAnsi="Cambria Math" w:cs="Arial"/>
              <w:lang w:eastAsia="es-ES"/>
            </w:rPr>
            <m:t>nea</m:t>
          </m:r>
        </m:oMath>
      </m:oMathPara>
    </w:p>
    <w:p w14:paraId="3F664372" w14:textId="77777777" w:rsidR="007968EC" w:rsidRPr="007C5A53" w:rsidRDefault="007968EC" w:rsidP="007968EC">
      <w:pPr>
        <w:autoSpaceDE w:val="0"/>
        <w:autoSpaceDN w:val="0"/>
        <w:adjustRightInd w:val="0"/>
        <w:ind w:left="1451"/>
        <w:contextualSpacing/>
        <w:jc w:val="both"/>
        <w:rPr>
          <w:rFonts w:ascii="Arial Narrow" w:eastAsia="Calibri" w:hAnsi="Arial Narrow" w:cs="Arial"/>
          <w:b/>
          <w:lang w:eastAsia="es-ES"/>
        </w:rPr>
      </w:pPr>
    </w:p>
    <w:p w14:paraId="513640EF" w14:textId="77777777" w:rsidR="007968EC" w:rsidRPr="007C5A53" w:rsidRDefault="007968EC" w:rsidP="007968EC">
      <w:pPr>
        <w:autoSpaceDE w:val="0"/>
        <w:autoSpaceDN w:val="0"/>
        <w:adjustRightInd w:val="0"/>
        <w:ind w:left="1451"/>
        <w:jc w:val="both"/>
        <w:rPr>
          <w:rFonts w:ascii="Arial Narrow" w:eastAsia="Calibri" w:hAnsi="Arial Narrow" w:cs="Arial"/>
          <w:b/>
          <w:lang w:eastAsia="es-ES"/>
        </w:rPr>
      </w:pPr>
      <m:oMath>
        <m:r>
          <m:rPr>
            <m:sty m:val="bi"/>
          </m:rPr>
          <w:rPr>
            <w:rFonts w:ascii="Cambria Math" w:eastAsia="Calibri" w:hAnsi="Cambria Math" w:cs="Arial"/>
            <w:lang w:eastAsia="es-ES"/>
          </w:rPr>
          <m:t>Precio escenario a la baja=Precio de Valoraci</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n Operaci</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n Simult</m:t>
        </m:r>
        <m:r>
          <m:rPr>
            <m:sty m:val="bi"/>
          </m:rPr>
          <w:rPr>
            <w:rFonts w:ascii="Cambria Math" w:eastAsia="Calibri" w:hAnsi="Cambria Math" w:cs="Arial" w:hint="eastAsia"/>
            <w:lang w:eastAsia="es-ES"/>
          </w:rPr>
          <m:t>á</m:t>
        </m:r>
        <m:r>
          <m:rPr>
            <m:sty m:val="bi"/>
          </m:rPr>
          <w:rPr>
            <w:rFonts w:ascii="Cambria Math" w:eastAsia="Calibri" w:hAnsi="Cambria Math" w:cs="Arial"/>
            <w:lang w:eastAsia="es-ES"/>
          </w:rPr>
          <m:t>nea</m:t>
        </m:r>
      </m:oMath>
      <w:r w:rsidRPr="007C5A53">
        <w:rPr>
          <w:rFonts w:ascii="Arial Narrow" w:eastAsia="Calibri" w:hAnsi="Arial Narrow" w:cs="Arial"/>
          <w:lang w:eastAsia="es-ES"/>
        </w:rPr>
        <w:t xml:space="preserve"> </w:t>
      </w:r>
      <m:oMath>
        <m:r>
          <m:rPr>
            <m:sty m:val="bi"/>
          </m:rPr>
          <w:rPr>
            <w:rFonts w:ascii="Cambria Math" w:eastAsia="Calibri" w:hAnsi="Cambria Math" w:cs="Arial"/>
            <w:lang w:eastAsia="es-ES"/>
          </w:rPr>
          <m:t>- Fluctuaci</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n definida por Gr</m:t>
        </m:r>
        <m:r>
          <m:rPr>
            <m:sty m:val="bi"/>
          </m:rPr>
          <w:rPr>
            <w:rFonts w:ascii="Cambria Math" w:eastAsia="Calibri" w:hAnsi="Cambria Math" w:cs="Cambria Math"/>
            <w:lang w:eastAsia="es-ES"/>
          </w:rPr>
          <m:t>u</m:t>
        </m:r>
        <m:r>
          <m:rPr>
            <m:sty m:val="bi"/>
          </m:rPr>
          <w:rPr>
            <w:rFonts w:ascii="Cambria Math" w:eastAsia="Calibri" w:hAnsi="Cambria Math" w:cs="Arial"/>
            <w:lang w:eastAsia="es-ES"/>
          </w:rPr>
          <m:t>po de Compensaci</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n</m:t>
        </m:r>
      </m:oMath>
    </w:p>
    <w:p w14:paraId="2965E678" w14:textId="77777777" w:rsidR="007968EC" w:rsidRPr="007C5A53" w:rsidRDefault="007968EC" w:rsidP="007968EC">
      <w:pPr>
        <w:autoSpaceDE w:val="0"/>
        <w:autoSpaceDN w:val="0"/>
        <w:adjustRightInd w:val="0"/>
        <w:jc w:val="both"/>
        <w:rPr>
          <w:rFonts w:ascii="Arial Narrow" w:eastAsia="Calibri" w:hAnsi="Arial Narrow" w:cs="Arial"/>
          <w:b/>
          <w:lang w:eastAsia="es-ES"/>
        </w:rPr>
      </w:pPr>
    </w:p>
    <w:p w14:paraId="454754AC" w14:textId="77777777" w:rsidR="007968EC" w:rsidRPr="007C5A53" w:rsidRDefault="007968EC" w:rsidP="00DA7472">
      <w:pPr>
        <w:numPr>
          <w:ilvl w:val="0"/>
          <w:numId w:val="136"/>
        </w:numPr>
        <w:autoSpaceDE w:val="0"/>
        <w:autoSpaceDN w:val="0"/>
        <w:adjustRightInd w:val="0"/>
        <w:ind w:left="1167" w:hanging="283"/>
        <w:contextualSpacing/>
        <w:jc w:val="both"/>
        <w:rPr>
          <w:rFonts w:ascii="Arial Narrow" w:eastAsia="Calibri" w:hAnsi="Arial Narrow" w:cs="Arial"/>
          <w:b/>
          <w:lang w:eastAsia="es-ES"/>
        </w:rPr>
      </w:pPr>
      <w:r w:rsidRPr="007C5A53">
        <w:rPr>
          <w:rFonts w:ascii="Arial Narrow" w:eastAsia="Calibri" w:hAnsi="Arial Narrow" w:cs="Arial"/>
          <w:lang w:eastAsia="es-ES"/>
        </w:rPr>
        <w:t>Cálculo de las matrices de precios teóricos:</w:t>
      </w:r>
    </w:p>
    <w:p w14:paraId="5C882479" w14:textId="77777777" w:rsidR="007968EC" w:rsidRPr="007C5A53" w:rsidRDefault="007968EC" w:rsidP="007968EC">
      <w:pPr>
        <w:autoSpaceDE w:val="0"/>
        <w:autoSpaceDN w:val="0"/>
        <w:adjustRightInd w:val="0"/>
        <w:ind w:left="1416"/>
        <w:contextualSpacing/>
        <w:jc w:val="both"/>
        <w:rPr>
          <w:rFonts w:ascii="Arial Narrow" w:eastAsia="Calibri" w:hAnsi="Arial Narrow" w:cs="Arial"/>
          <w:b/>
          <w:lang w:eastAsia="es-ES"/>
        </w:rPr>
      </w:pPr>
    </w:p>
    <w:p w14:paraId="6DEC1590" w14:textId="77777777" w:rsidR="007968EC" w:rsidRPr="007C5A53" w:rsidRDefault="007968EC" w:rsidP="007968EC">
      <w:pPr>
        <w:autoSpaceDE w:val="0"/>
        <w:autoSpaceDN w:val="0"/>
        <w:adjustRightInd w:val="0"/>
        <w:ind w:left="1168"/>
        <w:jc w:val="both"/>
        <w:rPr>
          <w:rFonts w:ascii="Arial Narrow" w:eastAsia="Calibri" w:hAnsi="Arial Narrow" w:cs="Arial"/>
          <w:b/>
          <w:lang w:eastAsia="es-ES"/>
        </w:rPr>
      </w:pPr>
      <w:r w:rsidRPr="007C5A53">
        <w:rPr>
          <w:rFonts w:ascii="Arial Narrow" w:eastAsia="Calibri" w:hAnsi="Arial Narrow" w:cs="Arial"/>
          <w:lang w:eastAsia="es-ES"/>
        </w:rPr>
        <w:lastRenderedPageBreak/>
        <w:t>Para cada Contrato de Operación Simultánea se calcula un precio teórico para cada uno de los escenarios definidos (alza, central y baja) calculado a partir del “precio escenario” obtenido en el numeral anterior, utilizando la siguiente fórmula:</w:t>
      </w:r>
    </w:p>
    <w:p w14:paraId="15042CD3" w14:textId="77777777" w:rsidR="007968EC" w:rsidRPr="007C5A53" w:rsidRDefault="007968EC" w:rsidP="007968EC">
      <w:pPr>
        <w:autoSpaceDE w:val="0"/>
        <w:autoSpaceDN w:val="0"/>
        <w:adjustRightInd w:val="0"/>
        <w:ind w:left="1168"/>
        <w:jc w:val="both"/>
        <w:rPr>
          <w:rFonts w:ascii="Arial Narrow" w:eastAsia="Calibri" w:hAnsi="Arial Narrow" w:cs="Arial"/>
          <w:b/>
          <w:lang w:eastAsia="es-ES"/>
        </w:rPr>
      </w:pPr>
    </w:p>
    <w:p w14:paraId="5C3869B3" w14:textId="77777777" w:rsidR="007968EC" w:rsidRPr="007C5A53" w:rsidRDefault="007968EC" w:rsidP="007968EC">
      <w:pPr>
        <w:autoSpaceDE w:val="0"/>
        <w:autoSpaceDN w:val="0"/>
        <w:adjustRightInd w:val="0"/>
        <w:ind w:left="459"/>
        <w:contextualSpacing/>
        <w:jc w:val="both"/>
        <w:rPr>
          <w:rFonts w:ascii="Arial Narrow" w:eastAsia="Calibri" w:hAnsi="Arial Narrow" w:cs="Arial"/>
          <w:b/>
          <w:lang w:eastAsia="es-ES"/>
        </w:rPr>
      </w:pPr>
      <m:oMathPara>
        <m:oMathParaPr>
          <m:jc m:val="center"/>
        </m:oMathParaPr>
        <m:oMath>
          <m:r>
            <m:rPr>
              <m:sty m:val="bi"/>
            </m:rPr>
            <w:rPr>
              <w:rFonts w:ascii="Cambria Math" w:eastAsia="Calibri" w:hAnsi="Cambria Math" w:cs="Arial"/>
              <w:lang w:eastAsia="es-ES"/>
            </w:rPr>
            <m:t>Precio te</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rico alza=Pce alza-PC</m:t>
          </m:r>
        </m:oMath>
      </m:oMathPara>
    </w:p>
    <w:p w14:paraId="7B3BEA11" w14:textId="77777777" w:rsidR="007968EC" w:rsidRPr="007C5A53" w:rsidRDefault="007968EC" w:rsidP="007968EC">
      <w:pPr>
        <w:autoSpaceDE w:val="0"/>
        <w:autoSpaceDN w:val="0"/>
        <w:adjustRightInd w:val="0"/>
        <w:ind w:left="459"/>
        <w:contextualSpacing/>
        <w:jc w:val="both"/>
        <w:rPr>
          <w:rFonts w:ascii="Arial Narrow" w:eastAsia="Calibri" w:hAnsi="Arial Narrow" w:cs="Arial"/>
          <w:b/>
          <w:lang w:eastAsia="es-ES"/>
        </w:rPr>
      </w:pPr>
      <m:oMathPara>
        <m:oMath>
          <m:r>
            <m:rPr>
              <m:sty m:val="bi"/>
            </m:rPr>
            <w:rPr>
              <w:rFonts w:ascii="Cambria Math" w:eastAsia="Calibri" w:hAnsi="Cambria Math" w:cs="Arial"/>
              <w:lang w:eastAsia="es-ES"/>
            </w:rPr>
            <m:t>Precio te</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rico baja=Pce baja-PC</m:t>
          </m:r>
        </m:oMath>
      </m:oMathPara>
    </w:p>
    <w:p w14:paraId="448F798C" w14:textId="77777777" w:rsidR="007968EC" w:rsidRPr="007C5A53" w:rsidRDefault="007968EC" w:rsidP="007968EC">
      <w:pPr>
        <w:autoSpaceDE w:val="0"/>
        <w:autoSpaceDN w:val="0"/>
        <w:adjustRightInd w:val="0"/>
        <w:ind w:left="459"/>
        <w:contextualSpacing/>
        <w:jc w:val="both"/>
        <w:rPr>
          <w:rFonts w:ascii="Arial Narrow" w:eastAsia="Calibri" w:hAnsi="Arial Narrow" w:cs="Arial"/>
          <w:b/>
          <w:lang w:eastAsia="es-ES"/>
        </w:rPr>
      </w:pPr>
      <m:oMathPara>
        <m:oMath>
          <m:r>
            <m:rPr>
              <m:sty m:val="bi"/>
            </m:rPr>
            <w:rPr>
              <w:rFonts w:ascii="Cambria Math" w:eastAsia="Calibri" w:hAnsi="Cambria Math" w:cs="Arial"/>
              <w:lang w:eastAsia="es-ES"/>
            </w:rPr>
            <m:t>Precio te</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rico centr</m:t>
          </m:r>
          <m:r>
            <m:rPr>
              <m:sty m:val="bi"/>
            </m:rPr>
            <w:rPr>
              <w:rFonts w:ascii="Cambria Math" w:eastAsia="Calibri" w:hAnsi="Cambria Math" w:cs="Cambria Math"/>
              <w:lang w:eastAsia="es-ES"/>
            </w:rPr>
            <m:t>a</m:t>
          </m:r>
          <m:r>
            <m:rPr>
              <m:sty m:val="bi"/>
            </m:rPr>
            <w:rPr>
              <w:rFonts w:ascii="Cambria Math" w:eastAsia="Calibri" w:hAnsi="Cambria Math" w:cs="Arial"/>
              <w:lang w:eastAsia="es-ES"/>
            </w:rPr>
            <m:t>l=Pce central-PC</m:t>
          </m:r>
        </m:oMath>
      </m:oMathPara>
    </w:p>
    <w:p w14:paraId="4F36D4F0" w14:textId="77777777" w:rsidR="007968EC" w:rsidRPr="007C5A53" w:rsidRDefault="007968EC" w:rsidP="007968EC">
      <w:pPr>
        <w:autoSpaceDE w:val="0"/>
        <w:autoSpaceDN w:val="0"/>
        <w:adjustRightInd w:val="0"/>
        <w:ind w:left="459"/>
        <w:contextualSpacing/>
        <w:jc w:val="both"/>
        <w:rPr>
          <w:rFonts w:ascii="Arial Narrow" w:eastAsia="Calibri" w:hAnsi="Arial Narrow" w:cs="Arial"/>
          <w:b/>
          <w:lang w:eastAsia="es-ES"/>
        </w:rPr>
      </w:pPr>
    </w:p>
    <w:p w14:paraId="0593D64E" w14:textId="77777777" w:rsidR="007968EC" w:rsidRPr="007C5A53" w:rsidRDefault="007968EC" w:rsidP="007968EC">
      <w:pPr>
        <w:autoSpaceDE w:val="0"/>
        <w:autoSpaceDN w:val="0"/>
        <w:adjustRightInd w:val="0"/>
        <w:ind w:left="1451"/>
        <w:contextualSpacing/>
        <w:jc w:val="both"/>
        <w:rPr>
          <w:rFonts w:ascii="Arial Narrow" w:eastAsia="Calibri" w:hAnsi="Arial Narrow" w:cs="Arial"/>
          <w:b/>
          <w:lang w:eastAsia="es-ES"/>
        </w:rPr>
      </w:pPr>
      <m:oMathPara>
        <m:oMathParaPr>
          <m:jc m:val="left"/>
        </m:oMathParaPr>
        <m:oMath>
          <m:r>
            <m:rPr>
              <m:sty m:val="bi"/>
            </m:rPr>
            <w:rPr>
              <w:rFonts w:ascii="Cambria Math" w:eastAsia="Calibri" w:hAnsi="Cambria Math" w:cs="Arial"/>
              <w:lang w:eastAsia="es-ES"/>
            </w:rPr>
            <m:t>Pce=Precio escenario</m:t>
          </m:r>
        </m:oMath>
      </m:oMathPara>
    </w:p>
    <w:p w14:paraId="13911D05" w14:textId="77777777" w:rsidR="007968EC" w:rsidRPr="007C5A53" w:rsidRDefault="007968EC" w:rsidP="007968EC">
      <w:pPr>
        <w:autoSpaceDE w:val="0"/>
        <w:autoSpaceDN w:val="0"/>
        <w:adjustRightInd w:val="0"/>
        <w:ind w:left="1451"/>
        <w:contextualSpacing/>
        <w:jc w:val="both"/>
        <w:rPr>
          <w:rFonts w:ascii="Arial Narrow" w:eastAsia="Calibri" w:hAnsi="Arial Narrow" w:cs="Arial"/>
          <w:b/>
          <w:lang w:eastAsia="es-ES"/>
        </w:rPr>
      </w:pPr>
      <m:oMathPara>
        <m:oMathParaPr>
          <m:jc m:val="left"/>
        </m:oMathParaPr>
        <m:oMath>
          <m:r>
            <m:rPr>
              <m:sty m:val="bi"/>
            </m:rPr>
            <w:rPr>
              <w:rFonts w:ascii="Cambria Math" w:eastAsia="Calibri" w:hAnsi="Cambria Math" w:cs="Arial"/>
              <w:lang w:eastAsia="es-ES"/>
            </w:rPr>
            <m:t>PC=Precio de Valoraci</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n Operaci</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n Simlt</m:t>
          </m:r>
          <m:r>
            <m:rPr>
              <m:sty m:val="bi"/>
            </m:rPr>
            <w:rPr>
              <w:rFonts w:ascii="Cambria Math" w:eastAsia="Calibri" w:hAnsi="Cambria Math" w:cs="Arial" w:hint="eastAsia"/>
              <w:lang w:eastAsia="es-ES"/>
            </w:rPr>
            <m:t>á</m:t>
          </m:r>
          <m:r>
            <m:rPr>
              <m:sty m:val="bi"/>
            </m:rPr>
            <w:rPr>
              <w:rFonts w:ascii="Cambria Math" w:eastAsia="Calibri" w:hAnsi="Cambria Math" w:cs="Arial"/>
              <w:lang w:eastAsia="es-ES"/>
            </w:rPr>
            <m:t>nea</m:t>
          </m:r>
        </m:oMath>
      </m:oMathPara>
    </w:p>
    <w:p w14:paraId="41130283" w14:textId="77777777" w:rsidR="007968EC" w:rsidRPr="007C5A53" w:rsidRDefault="007968EC" w:rsidP="007968EC">
      <w:pPr>
        <w:autoSpaceDE w:val="0"/>
        <w:autoSpaceDN w:val="0"/>
        <w:adjustRightInd w:val="0"/>
        <w:jc w:val="both"/>
        <w:rPr>
          <w:rFonts w:ascii="Arial Narrow" w:eastAsia="Calibri" w:hAnsi="Arial Narrow" w:cs="Arial"/>
          <w:b/>
          <w:lang w:eastAsia="es-ES"/>
        </w:rPr>
      </w:pPr>
    </w:p>
    <w:p w14:paraId="11543030" w14:textId="77777777" w:rsidR="007968EC" w:rsidRPr="007C5A53" w:rsidRDefault="007968EC" w:rsidP="00DA7472">
      <w:pPr>
        <w:numPr>
          <w:ilvl w:val="0"/>
          <w:numId w:val="136"/>
        </w:numPr>
        <w:autoSpaceDE w:val="0"/>
        <w:autoSpaceDN w:val="0"/>
        <w:adjustRightInd w:val="0"/>
        <w:ind w:left="1167" w:hanging="283"/>
        <w:contextualSpacing/>
        <w:jc w:val="both"/>
        <w:rPr>
          <w:rFonts w:ascii="Arial Narrow" w:eastAsia="Calibri" w:hAnsi="Arial Narrow" w:cs="Arial"/>
          <w:b/>
          <w:lang w:eastAsia="es-ES"/>
        </w:rPr>
      </w:pPr>
      <w:r w:rsidRPr="007C5A53">
        <w:rPr>
          <w:rFonts w:ascii="Arial Narrow" w:eastAsia="Calibri" w:hAnsi="Arial Narrow" w:cs="Arial"/>
          <w:lang w:eastAsia="es-ES"/>
        </w:rPr>
        <w:t>Cálculo de las matrices de deltas:</w:t>
      </w:r>
    </w:p>
    <w:p w14:paraId="65C957AF" w14:textId="77777777" w:rsidR="007968EC" w:rsidRPr="007C5A53" w:rsidRDefault="007968EC" w:rsidP="007968EC">
      <w:pPr>
        <w:autoSpaceDE w:val="0"/>
        <w:autoSpaceDN w:val="0"/>
        <w:adjustRightInd w:val="0"/>
        <w:ind w:left="1168"/>
        <w:contextualSpacing/>
        <w:jc w:val="both"/>
        <w:rPr>
          <w:rFonts w:ascii="Arial Narrow" w:eastAsia="Calibri" w:hAnsi="Arial Narrow" w:cs="Arial"/>
          <w:b/>
          <w:lang w:eastAsia="es-ES"/>
        </w:rPr>
      </w:pPr>
    </w:p>
    <w:p w14:paraId="7835C1E4" w14:textId="77777777" w:rsidR="007968EC" w:rsidRPr="007C5A53" w:rsidRDefault="007968EC" w:rsidP="007968EC">
      <w:pPr>
        <w:autoSpaceDE w:val="0"/>
        <w:autoSpaceDN w:val="0"/>
        <w:adjustRightInd w:val="0"/>
        <w:ind w:left="1168"/>
        <w:contextualSpacing/>
        <w:jc w:val="both"/>
        <w:rPr>
          <w:rFonts w:ascii="Arial Narrow" w:eastAsia="Calibri" w:hAnsi="Arial Narrow" w:cs="Arial"/>
          <w:b/>
          <w:lang w:eastAsia="es-ES"/>
        </w:rPr>
      </w:pPr>
      <w:r w:rsidRPr="007C5A53">
        <w:rPr>
          <w:rFonts w:ascii="Arial Narrow" w:eastAsia="Calibri" w:hAnsi="Arial Narrow" w:cs="Arial"/>
          <w:lang w:eastAsia="es-ES"/>
        </w:rPr>
        <w:t xml:space="preserve">Se construye a partir de cada uno de los Contratos de Operación Simultáneas y su Precio de Valoración de Operación Simultánea. </w:t>
      </w:r>
    </w:p>
    <w:p w14:paraId="415C488E" w14:textId="77777777" w:rsidR="007968EC" w:rsidRPr="007C5A53" w:rsidRDefault="007968EC" w:rsidP="007968EC">
      <w:pPr>
        <w:autoSpaceDE w:val="0"/>
        <w:autoSpaceDN w:val="0"/>
        <w:adjustRightInd w:val="0"/>
        <w:ind w:left="1168"/>
        <w:contextualSpacing/>
        <w:jc w:val="both"/>
        <w:rPr>
          <w:rFonts w:ascii="Arial Narrow" w:eastAsia="Calibri" w:hAnsi="Arial Narrow" w:cs="Arial"/>
          <w:b/>
          <w:lang w:eastAsia="es-ES"/>
        </w:rPr>
      </w:pPr>
    </w:p>
    <w:p w14:paraId="0C584BD3" w14:textId="77777777" w:rsidR="007968EC" w:rsidRPr="007C5A53" w:rsidRDefault="007968EC" w:rsidP="007968EC">
      <w:pPr>
        <w:autoSpaceDE w:val="0"/>
        <w:autoSpaceDN w:val="0"/>
        <w:adjustRightInd w:val="0"/>
        <w:ind w:left="1168"/>
        <w:contextualSpacing/>
        <w:jc w:val="both"/>
        <w:rPr>
          <w:rFonts w:ascii="Arial Narrow" w:eastAsia="Calibri" w:hAnsi="Arial Narrow" w:cs="Arial"/>
          <w:b/>
          <w:lang w:eastAsia="es-ES"/>
        </w:rPr>
      </w:pPr>
      <w:r w:rsidRPr="007C5A53">
        <w:rPr>
          <w:rFonts w:ascii="Arial Narrow" w:eastAsia="Calibri" w:hAnsi="Arial Narrow" w:cs="Arial"/>
          <w:lang w:eastAsia="es-ES"/>
        </w:rPr>
        <w:t>Esta matriz permite convertir el valor nominal de la Posición Abierta de los Contratos de Operación Simultánea (N° Contratos de Operaciones Simultáneas*Multiplicador) a valor de mercado.</w:t>
      </w:r>
    </w:p>
    <w:p w14:paraId="3261A822" w14:textId="77777777" w:rsidR="007968EC" w:rsidRPr="007C5A53" w:rsidRDefault="007968EC" w:rsidP="007968EC">
      <w:pPr>
        <w:autoSpaceDE w:val="0"/>
        <w:autoSpaceDN w:val="0"/>
        <w:adjustRightInd w:val="0"/>
        <w:ind w:left="1168"/>
        <w:contextualSpacing/>
        <w:jc w:val="both"/>
        <w:rPr>
          <w:rFonts w:ascii="Arial Narrow" w:eastAsia="Calibri" w:hAnsi="Arial Narrow" w:cs="Arial"/>
          <w:b/>
          <w:lang w:eastAsia="es-ES"/>
        </w:rPr>
      </w:pPr>
    </w:p>
    <w:p w14:paraId="677BE8F4" w14:textId="77777777" w:rsidR="007968EC" w:rsidRPr="007C5A53" w:rsidRDefault="007968EC" w:rsidP="007968EC">
      <w:pPr>
        <w:autoSpaceDE w:val="0"/>
        <w:autoSpaceDN w:val="0"/>
        <w:adjustRightInd w:val="0"/>
        <w:ind w:left="1168"/>
        <w:jc w:val="both"/>
        <w:rPr>
          <w:rFonts w:ascii="Arial Narrow" w:eastAsia="Calibri" w:hAnsi="Arial Narrow" w:cs="Arial"/>
          <w:b/>
          <w:lang w:eastAsia="es-ES"/>
        </w:rPr>
      </w:pPr>
      <w:r w:rsidRPr="007C5A53">
        <w:rPr>
          <w:rFonts w:ascii="Arial Narrow" w:eastAsia="Calibri" w:hAnsi="Arial Narrow" w:cs="Arial"/>
          <w:lang w:eastAsia="es-ES"/>
        </w:rPr>
        <w:t>La Posición Abierta a valor de mercado se utilizará para determinar el número de Posiciones Abiertas compensables pertenecientes a un mismo Grupo de Compensación como también el número de Posiciones Abiertas compensables entre diferentes Grupos de Compensación.</w:t>
      </w:r>
    </w:p>
    <w:p w14:paraId="17A4D938" w14:textId="77777777" w:rsidR="007968EC" w:rsidRPr="007C5A53" w:rsidRDefault="007968EC" w:rsidP="007968EC">
      <w:pPr>
        <w:autoSpaceDE w:val="0"/>
        <w:autoSpaceDN w:val="0"/>
        <w:adjustRightInd w:val="0"/>
        <w:jc w:val="both"/>
        <w:rPr>
          <w:rFonts w:ascii="Arial Narrow" w:eastAsia="Calibri" w:hAnsi="Arial Narrow" w:cs="Arial"/>
          <w:b/>
          <w:lang w:eastAsia="es-ES"/>
        </w:rPr>
      </w:pPr>
    </w:p>
    <w:p w14:paraId="2A2E077F" w14:textId="77777777" w:rsidR="007968EC" w:rsidRPr="007C5A53" w:rsidRDefault="007968EC" w:rsidP="00DA7472">
      <w:pPr>
        <w:widowControl w:val="0"/>
        <w:numPr>
          <w:ilvl w:val="0"/>
          <w:numId w:val="135"/>
        </w:numPr>
        <w:autoSpaceDE w:val="0"/>
        <w:autoSpaceDN w:val="0"/>
        <w:adjustRightInd w:val="0"/>
        <w:ind w:left="601" w:hanging="284"/>
        <w:contextualSpacing/>
        <w:jc w:val="both"/>
        <w:rPr>
          <w:rFonts w:ascii="Arial Narrow" w:eastAsia="Calibri" w:hAnsi="Arial Narrow" w:cs="Arial"/>
          <w:b/>
          <w:lang w:eastAsia="es-ES"/>
        </w:rPr>
      </w:pPr>
      <w:r w:rsidRPr="007C5A53">
        <w:rPr>
          <w:rFonts w:ascii="Arial Narrow" w:eastAsia="Calibri" w:hAnsi="Arial Narrow" w:cs="Arial"/>
          <w:lang w:eastAsia="es-ES"/>
        </w:rPr>
        <w:t xml:space="preserve">Aplicación de las matrices de garantías a las Posiciones Abiertas: </w:t>
      </w:r>
    </w:p>
    <w:p w14:paraId="42E257EC" w14:textId="77777777" w:rsidR="007968EC" w:rsidRPr="007C5A53" w:rsidRDefault="007968EC" w:rsidP="007968EC">
      <w:pPr>
        <w:autoSpaceDE w:val="0"/>
        <w:autoSpaceDN w:val="0"/>
        <w:adjustRightInd w:val="0"/>
        <w:ind w:left="317"/>
        <w:jc w:val="both"/>
        <w:rPr>
          <w:rFonts w:ascii="Arial Narrow" w:eastAsia="Calibri" w:hAnsi="Arial Narrow" w:cs="Arial"/>
          <w:b/>
          <w:lang w:eastAsia="es-ES"/>
        </w:rPr>
      </w:pPr>
    </w:p>
    <w:p w14:paraId="0053C8D6" w14:textId="77777777" w:rsidR="007968EC" w:rsidRPr="007C5A53" w:rsidRDefault="007968EC" w:rsidP="007968EC">
      <w:pPr>
        <w:autoSpaceDE w:val="0"/>
        <w:autoSpaceDN w:val="0"/>
        <w:adjustRightInd w:val="0"/>
        <w:ind w:left="600"/>
        <w:jc w:val="both"/>
        <w:rPr>
          <w:rFonts w:ascii="Arial Narrow" w:eastAsia="Calibri" w:hAnsi="Arial Narrow" w:cs="Arial"/>
          <w:b/>
          <w:lang w:eastAsia="es-ES"/>
        </w:rPr>
      </w:pPr>
      <w:r w:rsidRPr="007C5A53">
        <w:rPr>
          <w:rFonts w:ascii="Arial Narrow" w:eastAsia="Calibri" w:hAnsi="Arial Narrow" w:cs="Arial"/>
          <w:lang w:eastAsia="es-ES"/>
        </w:rPr>
        <w:t xml:space="preserve">Una vez construida la matriz de precios teóricos y la matriz de deltas, se aplican a las Posiciones Abiertas para cada titular de Cuenta correspondiente. </w:t>
      </w:r>
    </w:p>
    <w:p w14:paraId="294C73E3" w14:textId="77777777" w:rsidR="007968EC" w:rsidRPr="007C5A53" w:rsidRDefault="007968EC" w:rsidP="007968EC">
      <w:pPr>
        <w:autoSpaceDE w:val="0"/>
        <w:autoSpaceDN w:val="0"/>
        <w:adjustRightInd w:val="0"/>
        <w:ind w:left="317"/>
        <w:jc w:val="both"/>
        <w:rPr>
          <w:rFonts w:ascii="Arial Narrow" w:eastAsia="Calibri" w:hAnsi="Arial Narrow" w:cs="Arial"/>
          <w:b/>
          <w:lang w:eastAsia="es-ES"/>
        </w:rPr>
      </w:pPr>
    </w:p>
    <w:p w14:paraId="7506A381" w14:textId="77777777" w:rsidR="007968EC" w:rsidRPr="007C5A53" w:rsidRDefault="007968EC" w:rsidP="007968EC">
      <w:pPr>
        <w:autoSpaceDE w:val="0"/>
        <w:autoSpaceDN w:val="0"/>
        <w:adjustRightInd w:val="0"/>
        <w:ind w:left="600"/>
        <w:jc w:val="both"/>
        <w:rPr>
          <w:rFonts w:ascii="Arial Narrow" w:eastAsia="Calibri" w:hAnsi="Arial Narrow" w:cs="Arial"/>
          <w:b/>
          <w:lang w:eastAsia="es-ES"/>
        </w:rPr>
      </w:pPr>
      <w:r w:rsidRPr="007C5A53">
        <w:rPr>
          <w:rFonts w:ascii="Arial Narrow" w:eastAsia="Calibri" w:hAnsi="Arial Narrow" w:cs="Arial"/>
          <w:lang w:eastAsia="es-ES"/>
        </w:rPr>
        <w:t xml:space="preserve">El algoritmo utilizado para valorar la Posición Abierta para cada escenario (alza, central y baja) es: </w:t>
      </w:r>
    </w:p>
    <w:p w14:paraId="1ABB8480" w14:textId="77777777" w:rsidR="007968EC" w:rsidRPr="007C5A53" w:rsidRDefault="007968EC" w:rsidP="007968EC">
      <w:pPr>
        <w:autoSpaceDE w:val="0"/>
        <w:autoSpaceDN w:val="0"/>
        <w:adjustRightInd w:val="0"/>
        <w:jc w:val="both"/>
        <w:rPr>
          <w:rFonts w:ascii="Arial Narrow" w:eastAsia="Calibri" w:hAnsi="Arial Narrow" w:cs="Arial"/>
          <w:b/>
          <w:lang w:eastAsia="es-ES"/>
        </w:rPr>
      </w:pPr>
    </w:p>
    <w:p w14:paraId="26D6E710" w14:textId="77777777" w:rsidR="007968EC" w:rsidRPr="007C5A53" w:rsidRDefault="007968EC" w:rsidP="007968EC">
      <w:pPr>
        <w:autoSpaceDE w:val="0"/>
        <w:autoSpaceDN w:val="0"/>
        <w:adjustRightInd w:val="0"/>
        <w:ind w:left="1080"/>
        <w:jc w:val="both"/>
        <w:rPr>
          <w:rFonts w:ascii="Arial Narrow" w:eastAsia="Calibri" w:hAnsi="Arial Narrow" w:cs="Arial"/>
          <w:b/>
          <w:lang w:eastAsia="es-ES"/>
        </w:rPr>
      </w:pPr>
      <m:oMathPara>
        <m:oMathParaPr>
          <m:jc m:val="left"/>
        </m:oMathParaPr>
        <m:oMath>
          <m:r>
            <m:rPr>
              <m:sty m:val="bi"/>
            </m:rPr>
            <w:rPr>
              <w:rFonts w:ascii="Cambria Math" w:eastAsia="Calibri" w:hAnsi="Cambria Math" w:cs="Arial"/>
              <w:lang w:eastAsia="es-ES"/>
            </w:rPr>
            <m:t>Valor P. Abierta compradora=Valor Nominal de Operaci</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n Simult</m:t>
          </m:r>
          <m:r>
            <m:rPr>
              <m:sty m:val="bi"/>
            </m:rPr>
            <w:rPr>
              <w:rFonts w:ascii="Cambria Math" w:eastAsia="Calibri" w:hAnsi="Cambria Math" w:cs="Arial" w:hint="eastAsia"/>
              <w:lang w:eastAsia="es-ES"/>
            </w:rPr>
            <m:t>á</m:t>
          </m:r>
          <m:r>
            <m:rPr>
              <m:sty m:val="bi"/>
            </m:rPr>
            <w:rPr>
              <w:rFonts w:ascii="Cambria Math" w:eastAsia="Calibri" w:hAnsi="Cambria Math" w:cs="Cambria Math"/>
              <w:lang w:eastAsia="es-ES"/>
            </w:rPr>
            <m:t>n</m:t>
          </m:r>
          <m:r>
            <m:rPr>
              <m:sty m:val="bi"/>
            </m:rPr>
            <w:rPr>
              <w:rFonts w:ascii="Cambria Math" w:eastAsia="Calibri" w:hAnsi="Cambria Math" w:cs="Arial"/>
              <w:lang w:eastAsia="es-ES"/>
            </w:rPr>
            <m:t>ea de Compra*-1*Precio te</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rico (alza, central y baja)</m:t>
          </m:r>
        </m:oMath>
      </m:oMathPara>
    </w:p>
    <w:p w14:paraId="1D6B0C02" w14:textId="77777777" w:rsidR="007968EC" w:rsidRPr="007C5A53" w:rsidRDefault="007968EC" w:rsidP="007968EC">
      <w:pPr>
        <w:autoSpaceDE w:val="0"/>
        <w:autoSpaceDN w:val="0"/>
        <w:adjustRightInd w:val="0"/>
        <w:ind w:left="1080"/>
        <w:jc w:val="both"/>
        <w:rPr>
          <w:rFonts w:ascii="Arial Narrow" w:eastAsia="Calibri" w:hAnsi="Arial Narrow" w:cs="Arial"/>
          <w:b/>
          <w:lang w:eastAsia="es-ES"/>
        </w:rPr>
      </w:pPr>
      <m:oMathPara>
        <m:oMathParaPr>
          <m:jc m:val="left"/>
        </m:oMathParaPr>
        <m:oMath>
          <m:r>
            <m:rPr>
              <m:sty m:val="bi"/>
            </m:rPr>
            <w:rPr>
              <w:rFonts w:ascii="Cambria Math" w:eastAsia="Calibri" w:hAnsi="Cambria Math" w:cs="Arial"/>
              <w:lang w:eastAsia="es-ES"/>
            </w:rPr>
            <m:t>Valor P. Abierta vendedora=Valor Nominal de Operaci</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n Simult</m:t>
          </m:r>
          <m:r>
            <m:rPr>
              <m:sty m:val="bi"/>
            </m:rPr>
            <w:rPr>
              <w:rFonts w:ascii="Cambria Math" w:eastAsia="Calibri" w:hAnsi="Cambria Math" w:cs="Arial" w:hint="eastAsia"/>
              <w:lang w:eastAsia="es-ES"/>
            </w:rPr>
            <m:t>á</m:t>
          </m:r>
          <m:r>
            <m:rPr>
              <m:sty m:val="bi"/>
            </m:rPr>
            <w:rPr>
              <w:rFonts w:ascii="Cambria Math" w:eastAsia="Calibri" w:hAnsi="Cambria Math" w:cs="Arial"/>
              <w:lang w:eastAsia="es-ES"/>
            </w:rPr>
            <m:t>nea de Venta</m:t>
          </m:r>
        </m:oMath>
      </m:oMathPara>
    </w:p>
    <w:p w14:paraId="2EB86F3C" w14:textId="77777777" w:rsidR="007968EC" w:rsidRPr="007C5A53" w:rsidRDefault="007968EC" w:rsidP="007968EC">
      <w:pPr>
        <w:autoSpaceDE w:val="0"/>
        <w:autoSpaceDN w:val="0"/>
        <w:adjustRightInd w:val="0"/>
        <w:ind w:left="1080"/>
        <w:jc w:val="both"/>
        <w:rPr>
          <w:rFonts w:ascii="Arial Narrow" w:eastAsia="Calibri" w:hAnsi="Arial Narrow" w:cs="Arial"/>
          <w:b/>
          <w:lang w:eastAsia="es-ES"/>
        </w:rPr>
      </w:pPr>
      <m:oMathPara>
        <m:oMathParaPr>
          <m:jc m:val="left"/>
        </m:oMathParaPr>
        <m:oMath>
          <m:r>
            <m:rPr>
              <m:sty m:val="bi"/>
            </m:rPr>
            <w:rPr>
              <w:rFonts w:ascii="Cambria Math" w:eastAsia="Calibri" w:hAnsi="Cambria Math" w:cs="Arial"/>
              <w:lang w:eastAsia="es-ES"/>
            </w:rPr>
            <m:t>*1*Precio te</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rico (alza, central y baja)</m:t>
          </m:r>
        </m:oMath>
      </m:oMathPara>
    </w:p>
    <w:p w14:paraId="749027B6" w14:textId="77777777" w:rsidR="007968EC" w:rsidRPr="007C5A53" w:rsidRDefault="007968EC" w:rsidP="007968EC">
      <w:pPr>
        <w:autoSpaceDE w:val="0"/>
        <w:autoSpaceDN w:val="0"/>
        <w:adjustRightInd w:val="0"/>
        <w:ind w:left="1080"/>
        <w:jc w:val="both"/>
        <w:rPr>
          <w:rFonts w:ascii="Arial Narrow" w:eastAsia="Calibri" w:hAnsi="Arial Narrow" w:cs="Arial"/>
          <w:b/>
          <w:lang w:eastAsia="es-ES"/>
        </w:rPr>
      </w:pPr>
    </w:p>
    <w:p w14:paraId="595065EE" w14:textId="77777777" w:rsidR="007968EC" w:rsidRPr="007C5A53" w:rsidRDefault="007968EC" w:rsidP="007968EC">
      <w:pPr>
        <w:autoSpaceDE w:val="0"/>
        <w:autoSpaceDN w:val="0"/>
        <w:adjustRightInd w:val="0"/>
        <w:ind w:left="176" w:hanging="425"/>
        <w:jc w:val="both"/>
        <w:rPr>
          <w:rFonts w:ascii="Arial Narrow" w:eastAsia="Calibri" w:hAnsi="Arial Narrow" w:cs="Arial"/>
          <w:b/>
          <w:lang w:eastAsia="es-ES"/>
        </w:rPr>
      </w:pPr>
      <m:oMathPara>
        <m:oMathParaPr>
          <m:jc m:val="left"/>
        </m:oMathParaPr>
        <m:oMath>
          <m:r>
            <m:rPr>
              <m:sty m:val="bi"/>
            </m:rPr>
            <w:rPr>
              <w:rFonts w:ascii="Cambria Math" w:eastAsia="Calibri" w:hAnsi="Cambria Math" w:cs="Arial"/>
              <w:lang w:eastAsia="es-ES"/>
            </w:rPr>
            <m:t>Valor Nominal de Operaci</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n Simult</m:t>
          </m:r>
          <m:r>
            <m:rPr>
              <m:sty m:val="bi"/>
            </m:rPr>
            <w:rPr>
              <w:rFonts w:ascii="Cambria Math" w:eastAsia="Calibri" w:hAnsi="Cambria Math" w:cs="Arial" w:hint="eastAsia"/>
              <w:lang w:eastAsia="es-ES"/>
            </w:rPr>
            <m:t>á</m:t>
          </m:r>
          <m:r>
            <m:rPr>
              <m:sty m:val="bi"/>
            </m:rPr>
            <w:rPr>
              <w:rFonts w:ascii="Cambria Math" w:eastAsia="Calibri" w:hAnsi="Cambria Math" w:cs="Arial"/>
              <w:lang w:eastAsia="es-ES"/>
            </w:rPr>
            <m:t>nea  =N</m:t>
          </m:r>
          <m:r>
            <m:rPr>
              <m:sty m:val="bi"/>
            </m:rPr>
            <w:rPr>
              <w:rFonts w:ascii="Cambria Math" w:eastAsia="Calibri" w:hAnsi="Cambria Math" w:cs="Arial" w:hint="eastAsia"/>
              <w:lang w:eastAsia="es-ES"/>
            </w:rPr>
            <m:t>°</m:t>
          </m:r>
          <m:r>
            <m:rPr>
              <m:sty m:val="bi"/>
            </m:rPr>
            <w:rPr>
              <w:rFonts w:ascii="Cambria Math" w:eastAsia="Calibri" w:hAnsi="Cambria Math" w:cs="Arial"/>
              <w:lang w:eastAsia="es-ES"/>
            </w:rPr>
            <m:t xml:space="preserve"> Contratos de Operaci</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n Simult</m:t>
          </m:r>
          <m:r>
            <m:rPr>
              <m:sty m:val="bi"/>
            </m:rPr>
            <w:rPr>
              <w:rFonts w:ascii="Cambria Math" w:eastAsia="Calibri" w:hAnsi="Cambria Math" w:cs="Arial" w:hint="eastAsia"/>
              <w:lang w:eastAsia="es-ES"/>
            </w:rPr>
            <m:t>á</m:t>
          </m:r>
          <m:r>
            <m:rPr>
              <m:sty m:val="bi"/>
            </m:rPr>
            <w:rPr>
              <w:rFonts w:ascii="Cambria Math" w:eastAsia="Calibri" w:hAnsi="Cambria Math" w:cs="Arial"/>
              <w:lang w:eastAsia="es-ES"/>
            </w:rPr>
            <m:t>nea*Multiplicador</m:t>
          </m:r>
        </m:oMath>
      </m:oMathPara>
    </w:p>
    <w:p w14:paraId="7C633C31" w14:textId="77777777" w:rsidR="007968EC" w:rsidRPr="007C5A53" w:rsidRDefault="007968EC" w:rsidP="007968EC">
      <w:pPr>
        <w:autoSpaceDE w:val="0"/>
        <w:autoSpaceDN w:val="0"/>
        <w:adjustRightInd w:val="0"/>
        <w:jc w:val="both"/>
        <w:rPr>
          <w:rFonts w:ascii="Arial Narrow" w:eastAsia="Calibri" w:hAnsi="Arial Narrow" w:cs="Arial"/>
          <w:b/>
          <w:lang w:eastAsia="es-ES"/>
        </w:rPr>
      </w:pPr>
    </w:p>
    <w:p w14:paraId="060910C0" w14:textId="77777777" w:rsidR="007968EC" w:rsidRPr="007C5A53" w:rsidRDefault="007968EC" w:rsidP="007968EC">
      <w:pPr>
        <w:autoSpaceDE w:val="0"/>
        <w:autoSpaceDN w:val="0"/>
        <w:adjustRightInd w:val="0"/>
        <w:ind w:left="601"/>
        <w:jc w:val="both"/>
        <w:rPr>
          <w:rFonts w:ascii="Arial Narrow" w:eastAsia="Calibri" w:hAnsi="Arial Narrow" w:cs="Arial"/>
          <w:lang w:eastAsia="es-ES"/>
        </w:rPr>
      </w:pPr>
      <w:r w:rsidRPr="007C5A53">
        <w:rPr>
          <w:rFonts w:ascii="Arial Narrow" w:eastAsia="Calibri" w:hAnsi="Arial Narrow" w:cs="Arial"/>
          <w:lang w:eastAsia="es-ES"/>
        </w:rPr>
        <w:lastRenderedPageBreak/>
        <w:t>Para cada uno de los escenarios definidos (alza, centra y baja) se suman los valores calculados para los Contratos de Operaciones Simultáneas pertenecientes a un mismo Grupo de Compensación, compensándose totalmente los valores positivos y negativos. Al valor resultante, se la denomina “</w:t>
      </w:r>
      <w:r w:rsidRPr="007C5A53">
        <w:rPr>
          <w:rFonts w:ascii="Arial Narrow" w:eastAsia="Calibri" w:hAnsi="Arial Narrow" w:cs="Arial"/>
          <w:i/>
          <w:lang w:eastAsia="es-ES"/>
        </w:rPr>
        <w:t>Garantía Posición Neta”.</w:t>
      </w:r>
    </w:p>
    <w:p w14:paraId="24D44D6C" w14:textId="77777777" w:rsidR="007968EC" w:rsidRPr="007C5A53" w:rsidRDefault="007968EC" w:rsidP="007968EC">
      <w:pPr>
        <w:autoSpaceDE w:val="0"/>
        <w:autoSpaceDN w:val="0"/>
        <w:adjustRightInd w:val="0"/>
        <w:ind w:left="601"/>
        <w:jc w:val="both"/>
        <w:rPr>
          <w:rFonts w:ascii="Arial Narrow" w:eastAsia="Calibri" w:hAnsi="Arial Narrow" w:cs="Arial"/>
          <w:lang w:eastAsia="es-ES"/>
        </w:rPr>
      </w:pPr>
    </w:p>
    <w:p w14:paraId="7FAB007F" w14:textId="77777777" w:rsidR="007968EC" w:rsidRPr="007C5A53" w:rsidRDefault="007968EC" w:rsidP="007968EC">
      <w:pPr>
        <w:autoSpaceDE w:val="0"/>
        <w:autoSpaceDN w:val="0"/>
        <w:adjustRightInd w:val="0"/>
        <w:ind w:left="601"/>
        <w:jc w:val="both"/>
        <w:rPr>
          <w:rFonts w:ascii="Arial Narrow" w:eastAsia="Calibri" w:hAnsi="Arial Narrow" w:cs="Arial"/>
          <w:b/>
          <w:lang w:eastAsia="es-ES"/>
        </w:rPr>
      </w:pPr>
      <w:r w:rsidRPr="007C5A53">
        <w:rPr>
          <w:rFonts w:ascii="Arial Narrow" w:eastAsia="Calibri" w:hAnsi="Arial Narrow" w:cs="Arial"/>
          <w:lang w:eastAsia="es-ES"/>
        </w:rPr>
        <w:t>A continuación, para cada Contrato de Operación Simultánea se calcula el valor de mercado a partir del valor nominal y la matriz de deltas:</w:t>
      </w:r>
    </w:p>
    <w:p w14:paraId="5E3F074A" w14:textId="77777777" w:rsidR="007968EC" w:rsidRPr="007C5A53" w:rsidRDefault="007968EC" w:rsidP="007968EC">
      <w:pPr>
        <w:autoSpaceDE w:val="0"/>
        <w:autoSpaceDN w:val="0"/>
        <w:adjustRightInd w:val="0"/>
        <w:ind w:left="601"/>
        <w:jc w:val="both"/>
        <w:rPr>
          <w:rFonts w:ascii="Arial Narrow" w:eastAsia="Calibri" w:hAnsi="Arial Narrow" w:cs="Arial"/>
          <w:b/>
          <w:lang w:eastAsia="es-ES"/>
        </w:rPr>
      </w:pPr>
    </w:p>
    <w:p w14:paraId="3307852A" w14:textId="77777777" w:rsidR="007968EC" w:rsidRPr="007C5A53" w:rsidRDefault="007968EC" w:rsidP="007968EC">
      <w:pPr>
        <w:autoSpaceDE w:val="0"/>
        <w:autoSpaceDN w:val="0"/>
        <w:adjustRightInd w:val="0"/>
        <w:ind w:left="601"/>
        <w:jc w:val="both"/>
        <w:rPr>
          <w:rFonts w:ascii="Arial Narrow" w:eastAsia="Calibri" w:hAnsi="Arial Narrow" w:cs="Arial"/>
          <w:b/>
          <w:lang w:eastAsia="es-ES"/>
        </w:rPr>
      </w:pPr>
      <m:oMathPara>
        <m:oMath>
          <m:r>
            <m:rPr>
              <m:sty m:val="bi"/>
            </m:rPr>
            <w:rPr>
              <w:rFonts w:ascii="Cambria Math" w:eastAsia="Calibri" w:hAnsi="Cambria Math" w:cs="Arial"/>
              <w:lang w:eastAsia="es-ES"/>
            </w:rPr>
            <m:t xml:space="preserve">P. Abierta compradora </m:t>
          </m:r>
          <m:d>
            <m:dPr>
              <m:ctrlPr>
                <w:rPr>
                  <w:rFonts w:ascii="Cambria Math" w:hAnsi="Cambria Math" w:cs="Arial"/>
                  <w:i/>
                  <w:lang w:eastAsia="es-ES"/>
                </w:rPr>
              </m:ctrlPr>
            </m:dPr>
            <m:e>
              <m:r>
                <m:rPr>
                  <m:sty m:val="bi"/>
                </m:rPr>
                <w:rPr>
                  <w:rFonts w:ascii="Cambria Math" w:eastAsia="Calibri" w:hAnsi="Cambria Math" w:cs="Arial"/>
                  <w:lang w:eastAsia="es-ES"/>
                </w:rPr>
                <m:t>valor mercado</m:t>
              </m:r>
            </m:e>
          </m:d>
          <m:r>
            <m:rPr>
              <m:sty m:val="bi"/>
            </m:rPr>
            <w:rPr>
              <w:rFonts w:ascii="Cambria Math" w:eastAsia="Calibri" w:hAnsi="Cambria Math" w:cs="Arial"/>
              <w:lang w:eastAsia="es-ES"/>
            </w:rPr>
            <m:t xml:space="preserve">=P. Abierta compradora </m:t>
          </m:r>
          <m:d>
            <m:dPr>
              <m:ctrlPr>
                <w:rPr>
                  <w:rFonts w:ascii="Cambria Math" w:hAnsi="Cambria Math" w:cs="Arial"/>
                  <w:i/>
                  <w:lang w:eastAsia="es-ES"/>
                </w:rPr>
              </m:ctrlPr>
            </m:dPr>
            <m:e>
              <m:r>
                <m:rPr>
                  <m:sty m:val="bi"/>
                </m:rPr>
                <w:rPr>
                  <w:rFonts w:ascii="Cambria Math" w:eastAsia="Calibri" w:hAnsi="Cambria Math" w:cs="Arial"/>
                  <w:lang w:eastAsia="es-ES"/>
                </w:rPr>
                <m:t>valor nominal</m:t>
              </m:r>
            </m:e>
          </m:d>
          <m:r>
            <m:rPr>
              <m:sty m:val="bi"/>
            </m:rPr>
            <w:rPr>
              <w:rFonts w:ascii="Cambria Math" w:eastAsia="Calibri" w:hAnsi="Cambria Math" w:cs="Arial"/>
              <w:lang w:eastAsia="es-ES"/>
            </w:rPr>
            <m:t xml:space="preserve">*1*Deltas </m:t>
          </m:r>
        </m:oMath>
      </m:oMathPara>
    </w:p>
    <w:p w14:paraId="428C6995" w14:textId="77777777" w:rsidR="007968EC" w:rsidRPr="007C5A53" w:rsidRDefault="007968EC" w:rsidP="007968EC">
      <w:pPr>
        <w:autoSpaceDE w:val="0"/>
        <w:autoSpaceDN w:val="0"/>
        <w:adjustRightInd w:val="0"/>
        <w:ind w:left="601"/>
        <w:jc w:val="both"/>
        <w:rPr>
          <w:rFonts w:ascii="Arial Narrow" w:eastAsia="Calibri" w:hAnsi="Arial Narrow" w:cs="Arial"/>
          <w:b/>
          <w:lang w:eastAsia="es-ES"/>
        </w:rPr>
      </w:pPr>
    </w:p>
    <w:p w14:paraId="1FBB645B" w14:textId="77777777" w:rsidR="007968EC" w:rsidRPr="007C5A53" w:rsidRDefault="007968EC" w:rsidP="007968EC">
      <w:pPr>
        <w:autoSpaceDE w:val="0"/>
        <w:autoSpaceDN w:val="0"/>
        <w:adjustRightInd w:val="0"/>
        <w:ind w:left="601"/>
        <w:jc w:val="both"/>
        <w:rPr>
          <w:rFonts w:ascii="Arial Narrow" w:eastAsia="Calibri" w:hAnsi="Arial Narrow" w:cs="Arial"/>
          <w:b/>
          <w:lang w:eastAsia="es-ES"/>
        </w:rPr>
      </w:pPr>
      <m:oMathPara>
        <m:oMath>
          <m:r>
            <m:rPr>
              <m:sty m:val="bi"/>
            </m:rPr>
            <w:rPr>
              <w:rFonts w:ascii="Cambria Math" w:eastAsia="Calibri" w:hAnsi="Cambria Math" w:cs="Arial"/>
              <w:lang w:eastAsia="es-ES"/>
            </w:rPr>
            <m:t xml:space="preserve">P. Abierta vendedora </m:t>
          </m:r>
          <m:d>
            <m:dPr>
              <m:ctrlPr>
                <w:rPr>
                  <w:rFonts w:ascii="Cambria Math" w:hAnsi="Cambria Math" w:cs="Arial"/>
                  <w:i/>
                  <w:lang w:eastAsia="es-ES"/>
                </w:rPr>
              </m:ctrlPr>
            </m:dPr>
            <m:e>
              <m:r>
                <m:rPr>
                  <m:sty m:val="bi"/>
                </m:rPr>
                <w:rPr>
                  <w:rFonts w:ascii="Cambria Math" w:eastAsia="Calibri" w:hAnsi="Cambria Math" w:cs="Arial"/>
                  <w:lang w:eastAsia="es-ES"/>
                </w:rPr>
                <m:t>valor mercado</m:t>
              </m:r>
            </m:e>
          </m:d>
          <m:r>
            <m:rPr>
              <m:sty m:val="bi"/>
            </m:rPr>
            <w:rPr>
              <w:rFonts w:ascii="Cambria Math" w:eastAsia="Calibri" w:hAnsi="Cambria Math" w:cs="Arial"/>
              <w:lang w:eastAsia="es-ES"/>
            </w:rPr>
            <m:t>=P. Abierta vendedor</m:t>
          </m:r>
          <m:r>
            <m:rPr>
              <m:sty m:val="bi"/>
            </m:rPr>
            <w:rPr>
              <w:rFonts w:ascii="Cambria Math" w:eastAsia="Calibri" w:hAnsi="Cambria Math" w:cs="Cambria Math"/>
              <w:lang w:eastAsia="es-ES"/>
            </w:rPr>
            <m:t>a</m:t>
          </m:r>
          <m:r>
            <m:rPr>
              <m:sty m:val="bi"/>
            </m:rPr>
            <w:rPr>
              <w:rFonts w:ascii="Cambria Math" w:eastAsia="Calibri" w:hAnsi="Cambria Math" w:cs="Arial"/>
              <w:lang w:eastAsia="es-ES"/>
            </w:rPr>
            <m:t xml:space="preserve"> </m:t>
          </m:r>
          <m:d>
            <m:dPr>
              <m:ctrlPr>
                <w:rPr>
                  <w:rFonts w:ascii="Cambria Math" w:hAnsi="Cambria Math" w:cs="Arial"/>
                  <w:i/>
                  <w:lang w:eastAsia="es-ES"/>
                </w:rPr>
              </m:ctrlPr>
            </m:dPr>
            <m:e>
              <m:r>
                <m:rPr>
                  <m:sty m:val="bi"/>
                </m:rPr>
                <w:rPr>
                  <w:rFonts w:ascii="Cambria Math" w:eastAsia="Calibri" w:hAnsi="Cambria Math" w:cs="Arial"/>
                  <w:lang w:eastAsia="es-ES"/>
                </w:rPr>
                <m:t>valor nominal</m:t>
              </m:r>
            </m:e>
          </m:d>
          <m:r>
            <m:rPr>
              <m:sty m:val="bi"/>
            </m:rPr>
            <w:rPr>
              <w:rFonts w:ascii="Cambria Math" w:eastAsia="Calibri" w:hAnsi="Cambria Math" w:cs="Arial"/>
              <w:lang w:eastAsia="es-ES"/>
            </w:rPr>
            <m:t xml:space="preserve">*-1*Deltas </m:t>
          </m:r>
        </m:oMath>
      </m:oMathPara>
    </w:p>
    <w:p w14:paraId="7305A7C2" w14:textId="77777777" w:rsidR="007968EC" w:rsidRPr="007C5A53" w:rsidRDefault="007968EC" w:rsidP="007968EC">
      <w:pPr>
        <w:autoSpaceDE w:val="0"/>
        <w:autoSpaceDN w:val="0"/>
        <w:adjustRightInd w:val="0"/>
        <w:ind w:left="601"/>
        <w:jc w:val="both"/>
        <w:rPr>
          <w:rFonts w:ascii="Arial Narrow" w:eastAsia="Calibri" w:hAnsi="Arial Narrow" w:cs="Arial"/>
          <w:b/>
          <w:lang w:eastAsia="es-ES"/>
        </w:rPr>
      </w:pPr>
    </w:p>
    <w:p w14:paraId="3B01C03A" w14:textId="77777777" w:rsidR="007968EC" w:rsidRPr="007C5A53" w:rsidRDefault="007968EC" w:rsidP="007968EC">
      <w:pPr>
        <w:autoSpaceDE w:val="0"/>
        <w:autoSpaceDN w:val="0"/>
        <w:adjustRightInd w:val="0"/>
        <w:ind w:left="601"/>
        <w:jc w:val="both"/>
        <w:rPr>
          <w:rFonts w:ascii="Arial Narrow" w:eastAsia="Calibri" w:hAnsi="Arial Narrow" w:cs="Arial"/>
          <w:b/>
          <w:lang w:eastAsia="es-ES"/>
        </w:rPr>
      </w:pPr>
      <w:r w:rsidRPr="007C5A53">
        <w:rPr>
          <w:rFonts w:ascii="Arial Narrow" w:eastAsia="Calibri" w:hAnsi="Arial Narrow" w:cs="Arial"/>
          <w:lang w:eastAsia="es-ES"/>
        </w:rPr>
        <w:t xml:space="preserve">Para cada Grupo de Compensación, se suman los valores correspondientes a un mismo Contrato de Operación Simultánea. Por lo tanto, si hay posiciones compradoras o vendedoras en un mismo Contrato de Operación Simultánea se considera como la posición neta compradora o posición neta vendedora. Posteriormente, se suman los valores en los que se registra una posición neta compradora, y por otro lado, los valores en los que se registra una posición neta vendedora. Como resultado, por cada Grupo de Compensación se obtienen cómo máximo dos (2) valores: Uno con una posición neta compradora y otro con una posición neta vendedora. </w:t>
      </w:r>
    </w:p>
    <w:p w14:paraId="4D38498F" w14:textId="77777777" w:rsidR="007968EC" w:rsidRPr="007C5A53" w:rsidRDefault="007968EC" w:rsidP="007968EC">
      <w:pPr>
        <w:autoSpaceDE w:val="0"/>
        <w:autoSpaceDN w:val="0"/>
        <w:adjustRightInd w:val="0"/>
        <w:ind w:left="601"/>
        <w:jc w:val="both"/>
        <w:rPr>
          <w:rFonts w:ascii="Arial Narrow" w:eastAsia="Calibri" w:hAnsi="Arial Narrow" w:cs="Arial"/>
          <w:b/>
          <w:lang w:eastAsia="es-ES"/>
        </w:rPr>
      </w:pPr>
    </w:p>
    <w:p w14:paraId="036AE0A6" w14:textId="77777777" w:rsidR="007968EC" w:rsidRPr="007C5A53" w:rsidRDefault="007968EC" w:rsidP="00DA7472">
      <w:pPr>
        <w:widowControl w:val="0"/>
        <w:numPr>
          <w:ilvl w:val="0"/>
          <w:numId w:val="135"/>
        </w:numPr>
        <w:autoSpaceDE w:val="0"/>
        <w:autoSpaceDN w:val="0"/>
        <w:adjustRightInd w:val="0"/>
        <w:ind w:left="601" w:hanging="284"/>
        <w:contextualSpacing/>
        <w:jc w:val="both"/>
        <w:rPr>
          <w:rFonts w:ascii="Arial Narrow" w:eastAsia="Calibri" w:hAnsi="Arial Narrow" w:cs="Arial"/>
          <w:b/>
          <w:lang w:eastAsia="es-ES"/>
        </w:rPr>
      </w:pPr>
      <w:r w:rsidRPr="007C5A53">
        <w:rPr>
          <w:rFonts w:ascii="Arial Narrow" w:eastAsia="Calibri" w:hAnsi="Arial Narrow" w:cs="Arial"/>
          <w:lang w:eastAsia="es-ES"/>
        </w:rPr>
        <w:t xml:space="preserve">Garantías por Posición compensada dentro de un mismo Grupo de Compensación: Para este proceso se tendrá en cuenta lo siguiente: </w:t>
      </w:r>
    </w:p>
    <w:p w14:paraId="3638F0C9" w14:textId="77777777" w:rsidR="007968EC" w:rsidRPr="007C5A53" w:rsidRDefault="007968EC" w:rsidP="007968EC">
      <w:pPr>
        <w:autoSpaceDE w:val="0"/>
        <w:autoSpaceDN w:val="0"/>
        <w:adjustRightInd w:val="0"/>
        <w:jc w:val="both"/>
        <w:rPr>
          <w:rFonts w:ascii="Arial Narrow" w:eastAsia="Calibri" w:hAnsi="Arial Narrow" w:cs="Arial"/>
          <w:b/>
          <w:lang w:eastAsia="es-ES"/>
        </w:rPr>
      </w:pPr>
    </w:p>
    <w:p w14:paraId="417A1680" w14:textId="77777777" w:rsidR="007968EC" w:rsidRPr="007C5A53" w:rsidRDefault="007968EC" w:rsidP="007968EC">
      <w:pPr>
        <w:autoSpaceDE w:val="0"/>
        <w:autoSpaceDN w:val="0"/>
        <w:adjustRightInd w:val="0"/>
        <w:ind w:left="606"/>
        <w:contextualSpacing/>
        <w:jc w:val="both"/>
        <w:rPr>
          <w:rFonts w:ascii="Arial Narrow" w:eastAsia="Calibri" w:hAnsi="Arial Narrow" w:cs="Arial"/>
          <w:b/>
          <w:lang w:eastAsia="es-ES"/>
        </w:rPr>
      </w:pPr>
      <w:r w:rsidRPr="007C5A53">
        <w:rPr>
          <w:rFonts w:ascii="Arial Narrow" w:eastAsia="Calibri" w:hAnsi="Arial Narrow" w:cs="Arial"/>
          <w:lang w:eastAsia="es-ES"/>
        </w:rPr>
        <w:t>Selección de los Contratos de Operaciones Simultáneas a compensar: Si para un Grupo de Compensación se ha obtenido un valor con posiciones netas compradoras y otro con posiciones netas vendedoras, se procederá a computar las compensaciones para el cálculo del número de spreads.</w:t>
      </w:r>
    </w:p>
    <w:p w14:paraId="03BE1148" w14:textId="77777777" w:rsidR="007968EC" w:rsidRPr="007C5A53" w:rsidRDefault="007968EC" w:rsidP="007968EC">
      <w:pPr>
        <w:autoSpaceDE w:val="0"/>
        <w:autoSpaceDN w:val="0"/>
        <w:adjustRightInd w:val="0"/>
        <w:ind w:left="1026" w:hanging="283"/>
        <w:contextualSpacing/>
        <w:jc w:val="both"/>
        <w:rPr>
          <w:rFonts w:ascii="Arial Narrow" w:eastAsia="Calibri" w:hAnsi="Arial Narrow" w:cs="Arial"/>
          <w:b/>
          <w:lang w:eastAsia="es-ES"/>
        </w:rPr>
      </w:pPr>
    </w:p>
    <w:p w14:paraId="2DA9B666" w14:textId="77777777" w:rsidR="007968EC" w:rsidRPr="007C5A53" w:rsidRDefault="007968EC" w:rsidP="00DA7472">
      <w:pPr>
        <w:numPr>
          <w:ilvl w:val="0"/>
          <w:numId w:val="137"/>
        </w:numPr>
        <w:autoSpaceDE w:val="0"/>
        <w:autoSpaceDN w:val="0"/>
        <w:adjustRightInd w:val="0"/>
        <w:ind w:left="1026" w:hanging="283"/>
        <w:contextualSpacing/>
        <w:jc w:val="both"/>
        <w:rPr>
          <w:rFonts w:ascii="Arial Narrow" w:eastAsia="Calibri" w:hAnsi="Arial Narrow" w:cs="Arial"/>
          <w:b/>
          <w:lang w:eastAsia="es-ES"/>
        </w:rPr>
      </w:pPr>
      <w:r w:rsidRPr="007C5A53">
        <w:rPr>
          <w:rFonts w:ascii="Arial Narrow" w:eastAsia="Calibri" w:hAnsi="Arial Narrow" w:cs="Arial"/>
          <w:lang w:eastAsia="es-ES"/>
        </w:rPr>
        <w:t xml:space="preserve">Obtención del número de spreads (N° de spreads): </w:t>
      </w:r>
    </w:p>
    <w:p w14:paraId="62C72638" w14:textId="77777777" w:rsidR="007968EC" w:rsidRPr="007C5A53" w:rsidRDefault="007968EC" w:rsidP="007968EC">
      <w:pPr>
        <w:ind w:left="1026" w:hanging="283"/>
        <w:contextualSpacing/>
        <w:rPr>
          <w:rFonts w:ascii="Arial Narrow" w:eastAsia="Calibri" w:hAnsi="Arial Narrow" w:cs="Arial"/>
          <w:b/>
          <w:i/>
          <w:lang w:eastAsia="es-ES"/>
        </w:rPr>
      </w:pPr>
    </w:p>
    <w:p w14:paraId="0D1210E8" w14:textId="77777777" w:rsidR="007968EC" w:rsidRPr="007C5A53" w:rsidRDefault="007968EC" w:rsidP="007968EC">
      <w:pPr>
        <w:autoSpaceDE w:val="0"/>
        <w:autoSpaceDN w:val="0"/>
        <w:adjustRightInd w:val="0"/>
        <w:ind w:left="2160" w:firstLine="11"/>
        <w:contextualSpacing/>
        <w:jc w:val="both"/>
        <w:rPr>
          <w:rFonts w:ascii="Arial Narrow" w:eastAsia="Calibri" w:hAnsi="Arial Narrow" w:cs="Arial"/>
          <w:b/>
          <w:lang w:eastAsia="es-ES"/>
        </w:rPr>
      </w:pPr>
      <m:oMathPara>
        <m:oMath>
          <m:r>
            <m:rPr>
              <m:sty m:val="bi"/>
            </m:rPr>
            <w:rPr>
              <w:rFonts w:ascii="Cambria Math" w:eastAsia="Calibri" w:hAnsi="Cambria Math" w:cs="Arial"/>
              <w:lang w:eastAsia="es-ES"/>
            </w:rPr>
            <m:t>N</m:t>
          </m:r>
          <m:r>
            <m:rPr>
              <m:sty m:val="bi"/>
            </m:rPr>
            <w:rPr>
              <w:rFonts w:ascii="Cambria Math" w:eastAsia="Calibri" w:hAnsi="Cambria Math" w:cs="Arial" w:hint="eastAsia"/>
              <w:lang w:eastAsia="es-ES"/>
            </w:rPr>
            <m:t>°</m:t>
          </m:r>
          <m:r>
            <m:rPr>
              <m:sty m:val="bi"/>
            </m:rPr>
            <w:rPr>
              <w:rFonts w:ascii="Cambria Math" w:eastAsia="Calibri" w:hAnsi="Cambria Math" w:cs="Arial"/>
              <w:lang w:eastAsia="es-ES"/>
            </w:rPr>
            <m:t xml:space="preserve"> de spreads = M</m:t>
          </m:r>
          <m:r>
            <m:rPr>
              <m:sty m:val="bi"/>
            </m:rPr>
            <w:rPr>
              <w:rFonts w:ascii="Cambria Math" w:eastAsia="Calibri" w:hAnsi="Cambria Math" w:cs="Arial" w:hint="eastAsia"/>
              <w:lang w:eastAsia="es-ES"/>
            </w:rPr>
            <m:t>í</m:t>
          </m:r>
          <m:r>
            <m:rPr>
              <m:sty m:val="bi"/>
            </m:rPr>
            <w:rPr>
              <w:rFonts w:ascii="Cambria Math" w:eastAsia="Calibri" w:hAnsi="Cambria Math" w:cs="Arial"/>
              <w:lang w:eastAsia="es-ES"/>
            </w:rPr>
            <m:t>nimo valor absoluto {Posici</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n neta compradora; Posici</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n neta vendedora}</m:t>
          </m:r>
        </m:oMath>
      </m:oMathPara>
    </w:p>
    <w:p w14:paraId="091F509A" w14:textId="77777777" w:rsidR="007968EC" w:rsidRPr="007C5A53" w:rsidRDefault="007968EC" w:rsidP="007968EC">
      <w:pPr>
        <w:autoSpaceDE w:val="0"/>
        <w:autoSpaceDN w:val="0"/>
        <w:adjustRightInd w:val="0"/>
        <w:ind w:left="1026"/>
        <w:contextualSpacing/>
        <w:jc w:val="both"/>
        <w:rPr>
          <w:rFonts w:ascii="Arial Narrow" w:eastAsia="Calibri" w:hAnsi="Arial Narrow" w:cs="Arial"/>
          <w:b/>
          <w:lang w:eastAsia="es-ES"/>
        </w:rPr>
      </w:pPr>
    </w:p>
    <w:p w14:paraId="1163DFE4" w14:textId="77777777" w:rsidR="007968EC" w:rsidRPr="007C5A53" w:rsidRDefault="007968EC" w:rsidP="00DA7472">
      <w:pPr>
        <w:numPr>
          <w:ilvl w:val="0"/>
          <w:numId w:val="137"/>
        </w:numPr>
        <w:autoSpaceDE w:val="0"/>
        <w:autoSpaceDN w:val="0"/>
        <w:adjustRightInd w:val="0"/>
        <w:ind w:left="1026" w:hanging="283"/>
        <w:contextualSpacing/>
        <w:jc w:val="both"/>
        <w:rPr>
          <w:rFonts w:ascii="Arial Narrow" w:eastAsia="Calibri" w:hAnsi="Arial Narrow" w:cs="Arial"/>
          <w:b/>
          <w:lang w:eastAsia="es-ES"/>
        </w:rPr>
      </w:pPr>
      <w:r w:rsidRPr="007C5A53">
        <w:rPr>
          <w:rFonts w:ascii="Arial Narrow" w:eastAsia="Calibri" w:hAnsi="Arial Narrow" w:cs="Arial"/>
          <w:lang w:eastAsia="es-ES"/>
        </w:rPr>
        <w:t xml:space="preserve">Obtención de la posición no consumida en spreads: </w:t>
      </w:r>
    </w:p>
    <w:p w14:paraId="3F90ED4B" w14:textId="77777777" w:rsidR="007968EC" w:rsidRPr="007C5A53" w:rsidRDefault="007968EC" w:rsidP="007968EC">
      <w:pPr>
        <w:autoSpaceDE w:val="0"/>
        <w:autoSpaceDN w:val="0"/>
        <w:adjustRightInd w:val="0"/>
        <w:ind w:left="1440"/>
        <w:contextualSpacing/>
        <w:jc w:val="both"/>
        <w:rPr>
          <w:rFonts w:ascii="Arial Narrow" w:eastAsia="Calibri" w:hAnsi="Arial Narrow" w:cs="Arial"/>
          <w:b/>
          <w:lang w:eastAsia="es-ES"/>
        </w:rPr>
      </w:pPr>
    </w:p>
    <w:p w14:paraId="35EC2A51" w14:textId="77777777" w:rsidR="007968EC" w:rsidRPr="007C5A53" w:rsidRDefault="007968EC" w:rsidP="00DA7472">
      <w:pPr>
        <w:numPr>
          <w:ilvl w:val="0"/>
          <w:numId w:val="138"/>
        </w:numPr>
        <w:autoSpaceDE w:val="0"/>
        <w:autoSpaceDN w:val="0"/>
        <w:adjustRightInd w:val="0"/>
        <w:contextualSpacing/>
        <w:jc w:val="both"/>
        <w:rPr>
          <w:rFonts w:ascii="Arial Narrow" w:eastAsia="Calibri" w:hAnsi="Arial Narrow" w:cs="Arial"/>
          <w:b/>
          <w:lang w:eastAsia="es-ES"/>
        </w:rPr>
      </w:pPr>
      <w:r w:rsidRPr="007C5A53">
        <w:rPr>
          <w:rFonts w:ascii="Arial Narrow" w:eastAsia="Calibri" w:hAnsi="Arial Narrow" w:cs="Arial"/>
          <w:lang w:eastAsia="es-ES"/>
        </w:rPr>
        <w:t>Si la posición abierta es compradora:</w:t>
      </w:r>
    </w:p>
    <w:p w14:paraId="4020379F" w14:textId="77777777" w:rsidR="007968EC" w:rsidRPr="007C5A53" w:rsidRDefault="007968EC" w:rsidP="007968EC">
      <w:pPr>
        <w:autoSpaceDE w:val="0"/>
        <w:autoSpaceDN w:val="0"/>
        <w:adjustRightInd w:val="0"/>
        <w:ind w:left="1776"/>
        <w:contextualSpacing/>
        <w:jc w:val="both"/>
        <w:rPr>
          <w:rFonts w:ascii="Arial Narrow" w:eastAsia="Calibri" w:hAnsi="Arial Narrow" w:cs="Arial"/>
          <w:b/>
          <w:lang w:eastAsia="es-ES"/>
        </w:rPr>
      </w:pPr>
    </w:p>
    <w:p w14:paraId="2F02B291" w14:textId="77777777" w:rsidR="007968EC" w:rsidRPr="007C5A53" w:rsidRDefault="007968EC" w:rsidP="007968EC">
      <w:pPr>
        <w:autoSpaceDE w:val="0"/>
        <w:autoSpaceDN w:val="0"/>
        <w:adjustRightInd w:val="0"/>
        <w:ind w:left="1776"/>
        <w:contextualSpacing/>
        <w:jc w:val="both"/>
        <w:rPr>
          <w:rFonts w:ascii="Arial Narrow" w:eastAsia="Calibri" w:hAnsi="Arial Narrow" w:cs="Arial"/>
          <w:b/>
          <w:lang w:eastAsia="es-ES"/>
        </w:rPr>
      </w:pPr>
      <m:oMathPara>
        <m:oMath>
          <m:r>
            <m:rPr>
              <m:sty m:val="bi"/>
            </m:rPr>
            <w:rPr>
              <w:rFonts w:ascii="Cambria Math" w:eastAsia="Calibri" w:hAnsi="Cambria Math" w:cs="Arial"/>
              <w:lang w:eastAsia="es-ES"/>
            </w:rPr>
            <m:t>Po</m:t>
          </m:r>
          <m:r>
            <m:rPr>
              <m:sty m:val="bi"/>
            </m:rPr>
            <w:rPr>
              <w:rFonts w:ascii="Cambria Math" w:eastAsia="Calibri" w:hAnsi="Cambria Math" w:cs="Cambria Math"/>
              <w:lang w:eastAsia="es-ES"/>
            </w:rPr>
            <m:t>s</m:t>
          </m:r>
          <m:r>
            <m:rPr>
              <m:sty m:val="bi"/>
            </m:rPr>
            <w:rPr>
              <w:rFonts w:ascii="Cambria Math" w:eastAsia="Calibri" w:hAnsi="Cambria Math" w:cs="Arial"/>
              <w:lang w:eastAsia="es-ES"/>
            </w:rPr>
            <m:t>ici</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n no consumida en spreads=Posici</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n neta compradora-N</m:t>
          </m:r>
          <m:r>
            <m:rPr>
              <m:sty m:val="bi"/>
            </m:rPr>
            <w:rPr>
              <w:rFonts w:ascii="Cambria Math" w:eastAsia="Calibri" w:hAnsi="Cambria Math" w:cs="Arial" w:hint="eastAsia"/>
              <w:lang w:eastAsia="es-ES"/>
            </w:rPr>
            <m:t>°</m:t>
          </m:r>
          <m:r>
            <m:rPr>
              <m:sty m:val="bi"/>
            </m:rPr>
            <w:rPr>
              <w:rFonts w:ascii="Cambria Math" w:eastAsia="Calibri" w:hAnsi="Cambria Math" w:cs="Arial"/>
              <w:lang w:eastAsia="es-ES"/>
            </w:rPr>
            <m:t xml:space="preserve"> Spreads</m:t>
          </m:r>
        </m:oMath>
      </m:oMathPara>
    </w:p>
    <w:p w14:paraId="15893C6B" w14:textId="77777777" w:rsidR="007968EC" w:rsidRPr="007C5A53" w:rsidRDefault="007968EC" w:rsidP="007968EC">
      <w:pPr>
        <w:autoSpaceDE w:val="0"/>
        <w:autoSpaceDN w:val="0"/>
        <w:adjustRightInd w:val="0"/>
        <w:jc w:val="both"/>
        <w:rPr>
          <w:rFonts w:ascii="Arial Narrow" w:eastAsia="Calibri" w:hAnsi="Arial Narrow" w:cs="Arial"/>
          <w:b/>
          <w:lang w:eastAsia="es-ES"/>
        </w:rPr>
      </w:pPr>
    </w:p>
    <w:p w14:paraId="4CDFA33F" w14:textId="77777777" w:rsidR="007968EC" w:rsidRPr="007C5A53" w:rsidRDefault="007968EC" w:rsidP="00DA7472">
      <w:pPr>
        <w:numPr>
          <w:ilvl w:val="0"/>
          <w:numId w:val="138"/>
        </w:numPr>
        <w:autoSpaceDE w:val="0"/>
        <w:autoSpaceDN w:val="0"/>
        <w:adjustRightInd w:val="0"/>
        <w:contextualSpacing/>
        <w:jc w:val="both"/>
        <w:rPr>
          <w:rFonts w:ascii="Arial Narrow" w:eastAsia="Calibri" w:hAnsi="Arial Narrow" w:cs="Arial"/>
          <w:b/>
          <w:lang w:eastAsia="es-ES"/>
        </w:rPr>
      </w:pPr>
      <w:r w:rsidRPr="007C5A53">
        <w:rPr>
          <w:rFonts w:ascii="Arial Narrow" w:eastAsia="Calibri" w:hAnsi="Arial Narrow" w:cs="Arial"/>
          <w:lang w:eastAsia="es-ES"/>
        </w:rPr>
        <w:t xml:space="preserve">Si la posición abierta es vendedora: </w:t>
      </w:r>
    </w:p>
    <w:p w14:paraId="3A868194" w14:textId="77777777" w:rsidR="007968EC" w:rsidRPr="007C5A53" w:rsidRDefault="007968EC" w:rsidP="007968EC">
      <w:pPr>
        <w:autoSpaceDE w:val="0"/>
        <w:autoSpaceDN w:val="0"/>
        <w:adjustRightInd w:val="0"/>
        <w:jc w:val="both"/>
        <w:rPr>
          <w:rFonts w:ascii="Arial Narrow" w:eastAsia="Calibri" w:hAnsi="Arial Narrow" w:cs="Arial"/>
          <w:b/>
          <w:lang w:eastAsia="es-ES"/>
        </w:rPr>
      </w:pPr>
      <w:r w:rsidRPr="007C5A53">
        <w:rPr>
          <w:rFonts w:ascii="Arial Narrow" w:eastAsia="Calibri" w:hAnsi="Arial Narrow" w:cs="Arial"/>
          <w:lang w:eastAsia="es-ES"/>
        </w:rPr>
        <w:lastRenderedPageBreak/>
        <w:t xml:space="preserve"> </w:t>
      </w:r>
    </w:p>
    <w:p w14:paraId="5525CE80" w14:textId="77777777" w:rsidR="007968EC" w:rsidRPr="007C5A53" w:rsidRDefault="007968EC" w:rsidP="007968EC">
      <w:pPr>
        <w:autoSpaceDE w:val="0"/>
        <w:autoSpaceDN w:val="0"/>
        <w:adjustRightInd w:val="0"/>
        <w:ind w:left="1440"/>
        <w:contextualSpacing/>
        <w:jc w:val="both"/>
        <w:rPr>
          <w:rFonts w:ascii="Arial Narrow" w:eastAsia="Calibri" w:hAnsi="Arial Narrow" w:cs="Arial"/>
          <w:b/>
          <w:lang w:eastAsia="es-ES"/>
        </w:rPr>
      </w:pPr>
      <m:oMathPara>
        <m:oMath>
          <m:r>
            <m:rPr>
              <m:sty m:val="bi"/>
            </m:rPr>
            <w:rPr>
              <w:rFonts w:ascii="Cambria Math" w:eastAsia="Calibri" w:hAnsi="Cambria Math" w:cs="Arial"/>
              <w:lang w:eastAsia="es-ES"/>
            </w:rPr>
            <m:t>Posici</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n no consumida en spreads=Posici</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n neta vendedora+N</m:t>
          </m:r>
          <m:r>
            <m:rPr>
              <m:sty m:val="bi"/>
            </m:rPr>
            <w:rPr>
              <w:rFonts w:ascii="Cambria Math" w:eastAsia="Calibri" w:hAnsi="Cambria Math" w:cs="Arial" w:hint="eastAsia"/>
              <w:lang w:eastAsia="es-ES"/>
            </w:rPr>
            <m:t>°</m:t>
          </m:r>
          <m:r>
            <m:rPr>
              <m:sty m:val="bi"/>
            </m:rPr>
            <w:rPr>
              <w:rFonts w:ascii="Cambria Math" w:eastAsia="Calibri" w:hAnsi="Cambria Math" w:cs="Arial"/>
              <w:lang w:eastAsia="es-ES"/>
            </w:rPr>
            <m:t xml:space="preserve"> Spreads</m:t>
          </m:r>
        </m:oMath>
      </m:oMathPara>
    </w:p>
    <w:p w14:paraId="266FE622" w14:textId="77777777" w:rsidR="007968EC" w:rsidRPr="007C5A53" w:rsidRDefault="007968EC" w:rsidP="007968EC">
      <w:pPr>
        <w:autoSpaceDE w:val="0"/>
        <w:autoSpaceDN w:val="0"/>
        <w:adjustRightInd w:val="0"/>
        <w:ind w:left="1440"/>
        <w:contextualSpacing/>
        <w:jc w:val="both"/>
        <w:rPr>
          <w:rFonts w:ascii="Arial Narrow" w:eastAsia="Calibri" w:hAnsi="Arial Narrow" w:cs="Arial"/>
          <w:b/>
          <w:lang w:eastAsia="es-ES"/>
        </w:rPr>
      </w:pPr>
    </w:p>
    <w:p w14:paraId="2DDC73D4" w14:textId="77777777" w:rsidR="007968EC" w:rsidRPr="007C5A53" w:rsidRDefault="007968EC" w:rsidP="007968EC">
      <w:pPr>
        <w:autoSpaceDE w:val="0"/>
        <w:autoSpaceDN w:val="0"/>
        <w:adjustRightInd w:val="0"/>
        <w:ind w:left="1416"/>
        <w:jc w:val="both"/>
        <w:rPr>
          <w:rFonts w:ascii="Arial Narrow" w:eastAsia="Calibri" w:hAnsi="Arial Narrow" w:cs="Arial"/>
          <w:b/>
          <w:lang w:eastAsia="es-ES"/>
        </w:rPr>
      </w:pPr>
      <w:proofErr w:type="gramStart"/>
      <w:r w:rsidRPr="007C5A53">
        <w:rPr>
          <w:rFonts w:ascii="Arial Narrow" w:eastAsia="Calibri" w:hAnsi="Arial Narrow" w:cs="Arial"/>
          <w:lang w:eastAsia="es-ES"/>
        </w:rPr>
        <w:t>En caso que</w:t>
      </w:r>
      <w:proofErr w:type="gramEnd"/>
      <w:r w:rsidRPr="007C5A53">
        <w:rPr>
          <w:rFonts w:ascii="Arial Narrow" w:eastAsia="Calibri" w:hAnsi="Arial Narrow" w:cs="Arial"/>
          <w:lang w:eastAsia="es-ES"/>
        </w:rPr>
        <w:t xml:space="preserve"> queden posiciones netas (compradoras o vendedoras) compensables, se procede con la siguiente combinación de Contratos de Operación Simultánea a compensar y se repite el proceso hasta que no exista ninguna combinación de Contratos de Operación Simultánea con posiciones compensables.</w:t>
      </w:r>
    </w:p>
    <w:p w14:paraId="7D545ECF" w14:textId="77777777" w:rsidR="007968EC" w:rsidRPr="007C5A53" w:rsidRDefault="007968EC" w:rsidP="007968EC">
      <w:pPr>
        <w:autoSpaceDE w:val="0"/>
        <w:autoSpaceDN w:val="0"/>
        <w:adjustRightInd w:val="0"/>
        <w:ind w:left="1451" w:hanging="425"/>
        <w:jc w:val="both"/>
        <w:rPr>
          <w:rFonts w:ascii="Arial Narrow" w:eastAsia="Calibri" w:hAnsi="Arial Narrow" w:cs="Arial"/>
          <w:b/>
          <w:lang w:eastAsia="es-ES"/>
        </w:rPr>
      </w:pPr>
    </w:p>
    <w:p w14:paraId="28C62064" w14:textId="77777777" w:rsidR="007968EC" w:rsidRPr="007C5A53" w:rsidRDefault="007968EC" w:rsidP="00DA7472">
      <w:pPr>
        <w:numPr>
          <w:ilvl w:val="0"/>
          <w:numId w:val="137"/>
        </w:numPr>
        <w:autoSpaceDE w:val="0"/>
        <w:autoSpaceDN w:val="0"/>
        <w:adjustRightInd w:val="0"/>
        <w:ind w:left="1451" w:hanging="425"/>
        <w:contextualSpacing/>
        <w:jc w:val="both"/>
        <w:rPr>
          <w:rFonts w:ascii="Arial Narrow" w:eastAsia="Calibri" w:hAnsi="Arial Narrow" w:cs="Arial"/>
          <w:b/>
          <w:lang w:eastAsia="es-ES"/>
        </w:rPr>
      </w:pPr>
      <w:r w:rsidRPr="007C5A53">
        <w:rPr>
          <w:rFonts w:ascii="Arial Narrow" w:eastAsia="Calibri" w:hAnsi="Arial Narrow" w:cs="Arial"/>
          <w:lang w:eastAsia="es-ES"/>
        </w:rPr>
        <w:t>Obtención garantía por spread: Se multiplica cada N° de spreads por la garantía por un spread, que se obtiene en función del parámetro crédito sobre Garantías dentro del mismo Grupo de Compensación, y la Fluctuación, especificados en el artículo 3.5.3.1. de la presente Circular.</w:t>
      </w:r>
    </w:p>
    <w:p w14:paraId="53D5531A" w14:textId="77777777" w:rsidR="007968EC" w:rsidRPr="007C5A53" w:rsidRDefault="007968EC" w:rsidP="007968EC">
      <w:pPr>
        <w:autoSpaceDE w:val="0"/>
        <w:autoSpaceDN w:val="0"/>
        <w:adjustRightInd w:val="0"/>
        <w:ind w:left="1451" w:hanging="425"/>
        <w:contextualSpacing/>
        <w:jc w:val="both"/>
        <w:rPr>
          <w:rFonts w:ascii="Arial Narrow" w:eastAsia="Calibri" w:hAnsi="Arial Narrow" w:cs="Arial"/>
          <w:b/>
          <w:lang w:eastAsia="es-ES"/>
        </w:rPr>
      </w:pPr>
    </w:p>
    <w:p w14:paraId="39E1DDD1" w14:textId="77777777" w:rsidR="007968EC" w:rsidRPr="007C5A53" w:rsidRDefault="007968EC" w:rsidP="007968EC">
      <w:pPr>
        <w:autoSpaceDE w:val="0"/>
        <w:autoSpaceDN w:val="0"/>
        <w:adjustRightInd w:val="0"/>
        <w:ind w:left="1876" w:hanging="425"/>
        <w:contextualSpacing/>
        <w:jc w:val="both"/>
        <w:rPr>
          <w:rFonts w:ascii="Arial Narrow" w:eastAsia="Calibri" w:hAnsi="Arial Narrow" w:cs="Arial"/>
          <w:b/>
          <w:lang w:eastAsia="es-ES"/>
        </w:rPr>
      </w:pPr>
      <m:oMathPara>
        <m:oMath>
          <m:r>
            <m:rPr>
              <m:sty m:val="bi"/>
            </m:rPr>
            <w:rPr>
              <w:rFonts w:ascii="Cambria Math" w:eastAsia="Calibri" w:hAnsi="Cambria Math" w:cs="Arial"/>
              <w:lang w:eastAsia="es-ES"/>
            </w:rPr>
            <m:t>Garant</m:t>
          </m:r>
          <m:r>
            <m:rPr>
              <m:sty m:val="bi"/>
            </m:rPr>
            <w:rPr>
              <w:rFonts w:ascii="Cambria Math" w:eastAsia="Calibri" w:hAnsi="Cambria Math" w:cs="Arial" w:hint="eastAsia"/>
              <w:lang w:eastAsia="es-ES"/>
            </w:rPr>
            <m:t>í</m:t>
          </m:r>
          <m:r>
            <m:rPr>
              <m:sty m:val="bi"/>
            </m:rPr>
            <w:rPr>
              <w:rFonts w:ascii="Cambria Math" w:eastAsia="Calibri" w:hAnsi="Cambria Math" w:cs="Arial"/>
              <w:lang w:eastAsia="es-ES"/>
            </w:rPr>
            <m:t>a por  un spread=</m:t>
          </m:r>
          <m:d>
            <m:dPr>
              <m:ctrlPr>
                <w:rPr>
                  <w:rFonts w:ascii="Cambria Math" w:hAnsi="Cambria Math" w:cs="Arial"/>
                  <w:i/>
                  <w:lang w:eastAsia="es-ES"/>
                </w:rPr>
              </m:ctrlPr>
            </m:dPr>
            <m:e>
              <m:r>
                <m:rPr>
                  <m:sty m:val="bi"/>
                </m:rPr>
                <w:rPr>
                  <w:rFonts w:ascii="Cambria Math" w:eastAsia="Calibri" w:hAnsi="Cambria Math" w:cs="Arial"/>
                  <w:lang w:eastAsia="es-ES"/>
                </w:rPr>
                <m:t>1-Cr</m:t>
              </m:r>
              <m:r>
                <m:rPr>
                  <m:sty m:val="bi"/>
                </m:rPr>
                <w:rPr>
                  <w:rFonts w:ascii="Cambria Math" w:eastAsia="Calibri" w:hAnsi="Cambria Math" w:cs="Arial" w:hint="eastAsia"/>
                  <w:lang w:eastAsia="es-ES"/>
                </w:rPr>
                <m:t>é</m:t>
              </m:r>
              <m:r>
                <m:rPr>
                  <m:sty m:val="bi"/>
                </m:rPr>
                <w:rPr>
                  <w:rFonts w:ascii="Cambria Math" w:eastAsia="Calibri" w:hAnsi="Cambria Math" w:cs="Arial"/>
                  <w:lang w:eastAsia="es-ES"/>
                </w:rPr>
                <m:t>dito sobre Garant</m:t>
              </m:r>
              <m:r>
                <m:rPr>
                  <m:sty m:val="bi"/>
                </m:rPr>
                <w:rPr>
                  <w:rFonts w:ascii="Cambria Math" w:eastAsia="Calibri" w:hAnsi="Cambria Math" w:cs="Arial" w:hint="eastAsia"/>
                  <w:lang w:eastAsia="es-ES"/>
                </w:rPr>
                <m:t>í</m:t>
              </m:r>
              <m:r>
                <m:rPr>
                  <m:sty m:val="bi"/>
                </m:rPr>
                <w:rPr>
                  <w:rFonts w:ascii="Cambria Math" w:eastAsia="Calibri" w:hAnsi="Cambria Math" w:cs="Arial"/>
                  <w:lang w:eastAsia="es-ES"/>
                </w:rPr>
                <m:t>as</m:t>
              </m:r>
            </m:e>
          </m:d>
          <m:r>
            <m:rPr>
              <m:sty m:val="bi"/>
            </m:rPr>
            <w:rPr>
              <w:rFonts w:ascii="Cambria Math" w:eastAsia="Calibri" w:hAnsi="Cambria Math" w:cs="Arial"/>
              <w:lang w:eastAsia="es-ES"/>
            </w:rPr>
            <m:t>*Fluctuaci</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n*2</m:t>
          </m:r>
        </m:oMath>
      </m:oMathPara>
    </w:p>
    <w:p w14:paraId="29077ECF" w14:textId="77777777" w:rsidR="007968EC" w:rsidRPr="007C5A53" w:rsidRDefault="007968EC" w:rsidP="007968EC">
      <w:pPr>
        <w:autoSpaceDE w:val="0"/>
        <w:autoSpaceDN w:val="0"/>
        <w:adjustRightInd w:val="0"/>
        <w:ind w:left="1451" w:hanging="425"/>
        <w:contextualSpacing/>
        <w:jc w:val="both"/>
        <w:rPr>
          <w:rFonts w:ascii="Arial Narrow" w:eastAsia="Calibri" w:hAnsi="Arial Narrow" w:cs="Arial"/>
          <w:b/>
          <w:lang w:eastAsia="es-ES"/>
        </w:rPr>
      </w:pPr>
    </w:p>
    <w:p w14:paraId="1F98838C" w14:textId="77777777" w:rsidR="007968EC" w:rsidRPr="007C5A53" w:rsidRDefault="007968EC" w:rsidP="007968EC">
      <w:pPr>
        <w:autoSpaceDE w:val="0"/>
        <w:autoSpaceDN w:val="0"/>
        <w:adjustRightInd w:val="0"/>
        <w:ind w:left="1026"/>
        <w:contextualSpacing/>
        <w:jc w:val="both"/>
        <w:rPr>
          <w:rFonts w:ascii="Arial Narrow" w:eastAsia="Calibri" w:hAnsi="Arial Narrow" w:cs="Arial"/>
          <w:b/>
          <w:lang w:eastAsia="es-ES"/>
        </w:rPr>
      </w:pPr>
      <m:oMathPara>
        <m:oMath>
          <m:r>
            <m:rPr>
              <m:sty m:val="bi"/>
            </m:rPr>
            <w:rPr>
              <w:rFonts w:ascii="Cambria Math" w:eastAsia="Calibri" w:hAnsi="Cambria Math" w:cs="Arial"/>
              <w:lang w:eastAsia="es-ES"/>
            </w:rPr>
            <m:t>Garant</m:t>
          </m:r>
          <m:r>
            <m:rPr>
              <m:sty m:val="bi"/>
            </m:rPr>
            <w:rPr>
              <w:rFonts w:ascii="Cambria Math" w:eastAsia="Calibri" w:hAnsi="Cambria Math" w:cs="Arial" w:hint="eastAsia"/>
              <w:lang w:eastAsia="es-ES"/>
            </w:rPr>
            <m:t>í</m:t>
          </m:r>
          <m:r>
            <m:rPr>
              <m:sty m:val="bi"/>
            </m:rPr>
            <w:rPr>
              <w:rFonts w:ascii="Cambria Math" w:eastAsia="Calibri" w:hAnsi="Cambria Math" w:cs="Arial"/>
              <w:lang w:eastAsia="es-ES"/>
            </w:rPr>
            <m:t>a por spread=N</m:t>
          </m:r>
          <m:r>
            <m:rPr>
              <m:sty m:val="bi"/>
            </m:rPr>
            <w:rPr>
              <w:rFonts w:ascii="Cambria Math" w:eastAsia="Calibri" w:hAnsi="Cambria Math" w:cs="Arial" w:hint="eastAsia"/>
              <w:lang w:eastAsia="es-ES"/>
            </w:rPr>
            <m:t>°</m:t>
          </m:r>
          <m:r>
            <m:rPr>
              <m:sty m:val="bi"/>
            </m:rPr>
            <w:rPr>
              <w:rFonts w:ascii="Cambria Math" w:eastAsia="Calibri" w:hAnsi="Cambria Math" w:cs="Arial"/>
              <w:lang w:eastAsia="es-ES"/>
            </w:rPr>
            <m:t xml:space="preserve"> de Spreads*Garant</m:t>
          </m:r>
          <m:r>
            <m:rPr>
              <m:sty m:val="bi"/>
            </m:rPr>
            <w:rPr>
              <w:rFonts w:ascii="Cambria Math" w:eastAsia="Calibri" w:hAnsi="Cambria Math" w:cs="Arial" w:hint="eastAsia"/>
              <w:lang w:eastAsia="es-ES"/>
            </w:rPr>
            <m:t>í</m:t>
          </m:r>
          <m:r>
            <m:rPr>
              <m:sty m:val="bi"/>
            </m:rPr>
            <w:rPr>
              <w:rFonts w:ascii="Cambria Math" w:eastAsia="Calibri" w:hAnsi="Cambria Math" w:cs="Arial"/>
              <w:lang w:eastAsia="es-ES"/>
            </w:rPr>
            <m:t>a por un spread</m:t>
          </m:r>
        </m:oMath>
      </m:oMathPara>
    </w:p>
    <w:p w14:paraId="38FB5C1D" w14:textId="77777777" w:rsidR="007968EC" w:rsidRPr="007C5A53" w:rsidRDefault="007968EC" w:rsidP="007968EC">
      <w:pPr>
        <w:autoSpaceDE w:val="0"/>
        <w:autoSpaceDN w:val="0"/>
        <w:adjustRightInd w:val="0"/>
        <w:ind w:left="1451" w:hanging="425"/>
        <w:contextualSpacing/>
        <w:jc w:val="both"/>
        <w:rPr>
          <w:rFonts w:ascii="Arial Narrow" w:eastAsia="Calibri" w:hAnsi="Arial Narrow" w:cs="Arial"/>
          <w:b/>
          <w:lang w:eastAsia="es-ES"/>
        </w:rPr>
      </w:pPr>
    </w:p>
    <w:p w14:paraId="1E099E9A" w14:textId="77777777" w:rsidR="007968EC" w:rsidRPr="007C5A53" w:rsidRDefault="007968EC" w:rsidP="007968EC">
      <w:pPr>
        <w:autoSpaceDE w:val="0"/>
        <w:autoSpaceDN w:val="0"/>
        <w:adjustRightInd w:val="0"/>
        <w:ind w:left="1451"/>
        <w:contextualSpacing/>
        <w:jc w:val="both"/>
        <w:rPr>
          <w:rFonts w:ascii="Arial Narrow" w:eastAsia="Calibri" w:hAnsi="Arial Narrow" w:cs="Arial"/>
          <w:b/>
          <w:lang w:eastAsia="es-ES"/>
        </w:rPr>
      </w:pPr>
      <w:r w:rsidRPr="007C5A53">
        <w:rPr>
          <w:rFonts w:ascii="Arial Narrow" w:eastAsia="Calibri" w:hAnsi="Arial Narrow" w:cs="Arial"/>
          <w:lang w:eastAsia="es-ES"/>
        </w:rPr>
        <w:t xml:space="preserve">El valor resultante </w:t>
      </w:r>
      <w:r w:rsidRPr="007C5A53">
        <w:rPr>
          <w:rFonts w:ascii="Arial Narrow" w:eastAsia="Calibri" w:hAnsi="Arial Narrow" w:cs="Arial"/>
          <w:i/>
          <w:lang w:eastAsia="es-ES"/>
        </w:rPr>
        <w:t>Garantías por spreads</w:t>
      </w:r>
      <w:r w:rsidRPr="007C5A53">
        <w:rPr>
          <w:rFonts w:ascii="Arial Narrow" w:eastAsia="Calibri" w:hAnsi="Arial Narrow" w:cs="Arial"/>
          <w:lang w:eastAsia="es-ES"/>
        </w:rPr>
        <w:t>, se suma al valor de la “</w:t>
      </w:r>
      <w:r w:rsidRPr="007C5A53">
        <w:rPr>
          <w:rFonts w:ascii="Arial Narrow" w:eastAsia="Calibri" w:hAnsi="Arial Narrow" w:cs="Arial"/>
          <w:i/>
          <w:lang w:eastAsia="es-ES"/>
        </w:rPr>
        <w:t xml:space="preserve">Garantía Posición Neta” </w:t>
      </w:r>
      <w:r w:rsidRPr="007C5A53">
        <w:rPr>
          <w:rFonts w:ascii="Arial Narrow" w:eastAsia="Calibri" w:hAnsi="Arial Narrow" w:cs="Arial"/>
          <w:lang w:eastAsia="es-ES"/>
        </w:rPr>
        <w:t>obtenida en el numeral 2 del presente artículo. A esta sumatoria se denominará “</w:t>
      </w:r>
      <w:r w:rsidRPr="007C5A53">
        <w:rPr>
          <w:rFonts w:ascii="Arial Narrow" w:eastAsia="Calibri" w:hAnsi="Arial Narrow" w:cs="Arial"/>
          <w:i/>
          <w:lang w:eastAsia="es-ES"/>
        </w:rPr>
        <w:t>Total Garantías”</w:t>
      </w:r>
      <w:r w:rsidRPr="007C5A53">
        <w:rPr>
          <w:rFonts w:ascii="Arial Narrow" w:eastAsia="Calibri" w:hAnsi="Arial Narrow" w:cs="Arial"/>
          <w:lang w:eastAsia="es-ES"/>
        </w:rPr>
        <w:t xml:space="preserve"> y la misma está ajustada por la falta de correlación perfecta entre distintos Contratos de Operación Simultánea del mismo Grupo de Compensación.</w:t>
      </w:r>
    </w:p>
    <w:p w14:paraId="72163A28" w14:textId="77777777" w:rsidR="007968EC" w:rsidRPr="007C5A53" w:rsidRDefault="007968EC" w:rsidP="007968EC">
      <w:pPr>
        <w:autoSpaceDE w:val="0"/>
        <w:autoSpaceDN w:val="0"/>
        <w:adjustRightInd w:val="0"/>
        <w:ind w:left="1451" w:hanging="425"/>
        <w:contextualSpacing/>
        <w:jc w:val="both"/>
        <w:rPr>
          <w:rFonts w:ascii="Arial Narrow" w:eastAsia="Calibri" w:hAnsi="Arial Narrow" w:cs="Arial"/>
          <w:b/>
          <w:lang w:eastAsia="es-ES"/>
        </w:rPr>
      </w:pPr>
    </w:p>
    <w:p w14:paraId="59C203EB" w14:textId="77777777" w:rsidR="007968EC" w:rsidRPr="007C5A53" w:rsidRDefault="007968EC" w:rsidP="00DA7472">
      <w:pPr>
        <w:numPr>
          <w:ilvl w:val="0"/>
          <w:numId w:val="137"/>
        </w:numPr>
        <w:autoSpaceDE w:val="0"/>
        <w:autoSpaceDN w:val="0"/>
        <w:adjustRightInd w:val="0"/>
        <w:ind w:left="1451" w:hanging="425"/>
        <w:contextualSpacing/>
        <w:jc w:val="both"/>
        <w:rPr>
          <w:rFonts w:ascii="Arial Narrow" w:eastAsia="Calibri" w:hAnsi="Arial Narrow" w:cs="Arial"/>
          <w:b/>
          <w:lang w:eastAsia="es-ES"/>
        </w:rPr>
      </w:pPr>
      <w:r w:rsidRPr="007C5A53">
        <w:rPr>
          <w:rFonts w:ascii="Arial Narrow" w:eastAsia="Calibri" w:hAnsi="Arial Narrow" w:cs="Arial"/>
          <w:lang w:eastAsia="es-ES"/>
        </w:rPr>
        <w:t xml:space="preserve">Obtención de la </w:t>
      </w:r>
      <w:r w:rsidRPr="007C5A53">
        <w:rPr>
          <w:rFonts w:ascii="Arial Narrow" w:eastAsia="Calibri" w:hAnsi="Arial Narrow" w:cs="Arial"/>
          <w:i/>
          <w:lang w:eastAsia="es-ES"/>
        </w:rPr>
        <w:t>“Garantía Grupo”:</w:t>
      </w:r>
      <w:r w:rsidRPr="007C5A53">
        <w:rPr>
          <w:rFonts w:ascii="Arial Narrow" w:eastAsia="Calibri" w:hAnsi="Arial Narrow" w:cs="Arial"/>
          <w:lang w:eastAsia="es-ES"/>
        </w:rPr>
        <w:t xml:space="preserve"> </w:t>
      </w:r>
    </w:p>
    <w:p w14:paraId="031D4416" w14:textId="77777777" w:rsidR="007968EC" w:rsidRPr="007C5A53" w:rsidRDefault="007968EC" w:rsidP="007968EC">
      <w:pPr>
        <w:autoSpaceDE w:val="0"/>
        <w:autoSpaceDN w:val="0"/>
        <w:adjustRightInd w:val="0"/>
        <w:ind w:left="1451" w:hanging="425"/>
        <w:contextualSpacing/>
        <w:jc w:val="both"/>
        <w:rPr>
          <w:rFonts w:ascii="Arial Narrow" w:eastAsia="Calibri" w:hAnsi="Arial Narrow" w:cs="Arial"/>
          <w:b/>
          <w:lang w:eastAsia="es-ES"/>
        </w:rPr>
      </w:pPr>
    </w:p>
    <w:p w14:paraId="14C9C12F" w14:textId="77777777" w:rsidR="007968EC" w:rsidRPr="007C5A53" w:rsidRDefault="007968EC" w:rsidP="00DA7472">
      <w:pPr>
        <w:numPr>
          <w:ilvl w:val="0"/>
          <w:numId w:val="140"/>
        </w:numPr>
        <w:autoSpaceDE w:val="0"/>
        <w:autoSpaceDN w:val="0"/>
        <w:adjustRightInd w:val="0"/>
        <w:ind w:left="1734"/>
        <w:contextualSpacing/>
        <w:jc w:val="both"/>
        <w:rPr>
          <w:rFonts w:ascii="Arial Narrow" w:eastAsia="Calibri" w:hAnsi="Arial Narrow" w:cs="Arial"/>
          <w:b/>
          <w:lang w:eastAsia="es-ES"/>
        </w:rPr>
      </w:pPr>
      <w:r w:rsidRPr="007C5A53">
        <w:rPr>
          <w:rFonts w:ascii="Arial Narrow" w:eastAsia="Calibri" w:hAnsi="Arial Narrow" w:cs="Arial"/>
          <w:lang w:eastAsia="es-ES"/>
        </w:rPr>
        <w:t>Se selecciona el escenario (alza, central o baja) donde se registra el mayor importe del “</w:t>
      </w:r>
      <w:r w:rsidRPr="007C5A53">
        <w:rPr>
          <w:rFonts w:ascii="Arial Narrow" w:eastAsia="Calibri" w:hAnsi="Arial Narrow" w:cs="Arial"/>
          <w:i/>
          <w:lang w:eastAsia="es-ES"/>
        </w:rPr>
        <w:t>Total Garantías”</w:t>
      </w:r>
      <w:r w:rsidRPr="007C5A53">
        <w:rPr>
          <w:rFonts w:ascii="Arial Narrow" w:eastAsia="Calibri" w:hAnsi="Arial Narrow" w:cs="Arial"/>
          <w:lang w:eastAsia="es-ES"/>
        </w:rPr>
        <w:t xml:space="preserve"> que corresponde al escenario de mayor riesgo. </w:t>
      </w:r>
    </w:p>
    <w:p w14:paraId="1B04DC9B" w14:textId="77777777" w:rsidR="007968EC" w:rsidRPr="007C5A53" w:rsidRDefault="007968EC" w:rsidP="007968EC">
      <w:pPr>
        <w:autoSpaceDE w:val="0"/>
        <w:autoSpaceDN w:val="0"/>
        <w:adjustRightInd w:val="0"/>
        <w:ind w:left="1451"/>
        <w:contextualSpacing/>
        <w:jc w:val="both"/>
        <w:rPr>
          <w:rFonts w:ascii="Arial Narrow" w:eastAsia="Calibri" w:hAnsi="Arial Narrow" w:cs="Arial"/>
          <w:b/>
          <w:lang w:eastAsia="es-ES"/>
        </w:rPr>
      </w:pPr>
    </w:p>
    <w:p w14:paraId="248FD717" w14:textId="77777777" w:rsidR="007968EC" w:rsidRPr="007C5A53" w:rsidRDefault="007968EC" w:rsidP="00DA7472">
      <w:pPr>
        <w:numPr>
          <w:ilvl w:val="0"/>
          <w:numId w:val="140"/>
        </w:numPr>
        <w:autoSpaceDE w:val="0"/>
        <w:autoSpaceDN w:val="0"/>
        <w:adjustRightInd w:val="0"/>
        <w:ind w:left="1734"/>
        <w:contextualSpacing/>
        <w:jc w:val="both"/>
        <w:rPr>
          <w:rFonts w:ascii="Arial Narrow" w:eastAsia="Calibri" w:hAnsi="Arial Narrow" w:cs="Arial"/>
          <w:b/>
          <w:lang w:eastAsia="es-ES"/>
        </w:rPr>
      </w:pPr>
      <w:r w:rsidRPr="007C5A53">
        <w:rPr>
          <w:rFonts w:ascii="Arial Narrow" w:eastAsia="Calibri" w:hAnsi="Arial Narrow" w:cs="Arial"/>
          <w:lang w:eastAsia="es-ES"/>
        </w:rPr>
        <w:t xml:space="preserve">Obtención posición del escenario de mayor riesgo: Se selecciona la posición no consumida en spreads correspondiente a la Garantía Grupo y se suman las posiciones de los diferentes Contratos de Operación Simultánea, a este resultado se le denomina </w:t>
      </w:r>
      <w:r w:rsidRPr="007C5A53">
        <w:rPr>
          <w:rFonts w:ascii="Arial Narrow" w:eastAsia="Calibri" w:hAnsi="Arial Narrow" w:cs="Arial"/>
          <w:i/>
          <w:lang w:eastAsia="es-ES"/>
        </w:rPr>
        <w:t>“Posición Escenario de Mayor Riesgo”</w:t>
      </w:r>
      <w:r w:rsidRPr="007C5A53">
        <w:rPr>
          <w:rFonts w:ascii="Arial Narrow" w:eastAsia="Calibri" w:hAnsi="Arial Narrow" w:cs="Arial"/>
          <w:lang w:eastAsia="es-ES"/>
        </w:rPr>
        <w:t>.</w:t>
      </w:r>
    </w:p>
    <w:p w14:paraId="3D3B4A59" w14:textId="77777777" w:rsidR="007968EC" w:rsidRPr="007C5A53" w:rsidRDefault="007968EC" w:rsidP="007968EC">
      <w:pPr>
        <w:autoSpaceDE w:val="0"/>
        <w:autoSpaceDN w:val="0"/>
        <w:adjustRightInd w:val="0"/>
        <w:ind w:left="1440"/>
        <w:contextualSpacing/>
        <w:jc w:val="both"/>
        <w:rPr>
          <w:rFonts w:ascii="Arial Narrow" w:eastAsia="Calibri" w:hAnsi="Arial Narrow" w:cs="Arial"/>
          <w:b/>
          <w:lang w:eastAsia="es-ES"/>
        </w:rPr>
      </w:pPr>
    </w:p>
    <w:p w14:paraId="26A00CA1" w14:textId="77777777" w:rsidR="007968EC" w:rsidRPr="007C5A53" w:rsidRDefault="007968EC" w:rsidP="00DA7472">
      <w:pPr>
        <w:widowControl w:val="0"/>
        <w:numPr>
          <w:ilvl w:val="0"/>
          <w:numId w:val="135"/>
        </w:numPr>
        <w:autoSpaceDE w:val="0"/>
        <w:autoSpaceDN w:val="0"/>
        <w:adjustRightInd w:val="0"/>
        <w:ind w:left="601" w:hanging="284"/>
        <w:contextualSpacing/>
        <w:jc w:val="both"/>
        <w:rPr>
          <w:rFonts w:ascii="Arial Narrow" w:eastAsia="Calibri" w:hAnsi="Arial Narrow" w:cs="Arial"/>
          <w:b/>
          <w:lang w:eastAsia="es-ES"/>
        </w:rPr>
      </w:pPr>
      <w:r w:rsidRPr="007C5A53">
        <w:rPr>
          <w:rFonts w:ascii="Arial Narrow" w:eastAsia="Calibri" w:hAnsi="Arial Narrow" w:cs="Arial"/>
          <w:lang w:eastAsia="es-ES"/>
        </w:rPr>
        <w:t xml:space="preserve">Compensación de garantías entre distintos Grupos de Compensación: </w:t>
      </w:r>
    </w:p>
    <w:p w14:paraId="65113D39" w14:textId="77777777" w:rsidR="007968EC" w:rsidRPr="007C5A53" w:rsidRDefault="007968EC" w:rsidP="007968EC">
      <w:pPr>
        <w:autoSpaceDE w:val="0"/>
        <w:autoSpaceDN w:val="0"/>
        <w:adjustRightInd w:val="0"/>
        <w:ind w:left="720"/>
        <w:contextualSpacing/>
        <w:jc w:val="both"/>
        <w:rPr>
          <w:rFonts w:ascii="Arial Narrow" w:eastAsia="Calibri" w:hAnsi="Arial Narrow" w:cs="Arial"/>
          <w:b/>
          <w:lang w:eastAsia="es-ES"/>
        </w:rPr>
      </w:pPr>
    </w:p>
    <w:p w14:paraId="6166B183" w14:textId="77777777" w:rsidR="007968EC" w:rsidRPr="007C5A53" w:rsidRDefault="007968EC" w:rsidP="00DA7472">
      <w:pPr>
        <w:numPr>
          <w:ilvl w:val="0"/>
          <w:numId w:val="139"/>
        </w:numPr>
        <w:autoSpaceDE w:val="0"/>
        <w:autoSpaceDN w:val="0"/>
        <w:adjustRightInd w:val="0"/>
        <w:ind w:left="1451" w:hanging="425"/>
        <w:contextualSpacing/>
        <w:jc w:val="both"/>
        <w:rPr>
          <w:rFonts w:ascii="Arial Narrow" w:eastAsia="Calibri" w:hAnsi="Arial Narrow" w:cs="Arial"/>
          <w:b/>
          <w:lang w:eastAsia="es-ES"/>
        </w:rPr>
      </w:pPr>
      <w:r w:rsidRPr="007C5A53">
        <w:rPr>
          <w:rFonts w:ascii="Arial Narrow" w:eastAsia="Calibri" w:hAnsi="Arial Narrow" w:cs="Arial"/>
          <w:lang w:eastAsia="es-ES"/>
        </w:rPr>
        <w:t xml:space="preserve">Obtención de la posición a aplicar en cada Grupo de Compensación: Se parte de la posición no consumida en spreads en el numeral 3 del presente artículo. Se selecciona la posición no consumida en cada Contrato de Operación Simultánea correspondiente al escenario en la que se alcanza el valor máximo del Grupo de Compensación, es decir, la posición del escenario inicial de mayor riesgo. A este valor, se le suma la posición de los diferentes </w:t>
      </w:r>
      <w:r w:rsidRPr="007C5A53">
        <w:rPr>
          <w:rFonts w:ascii="Arial Narrow" w:eastAsia="Calibri" w:hAnsi="Arial Narrow" w:cs="Arial"/>
          <w:lang w:eastAsia="es-ES"/>
        </w:rPr>
        <w:lastRenderedPageBreak/>
        <w:t xml:space="preserve">Contratos de Operaciones Simultáneas y el resultado es </w:t>
      </w:r>
      <w:proofErr w:type="gramStart"/>
      <w:r w:rsidRPr="007C5A53">
        <w:rPr>
          <w:rFonts w:ascii="Arial Narrow" w:eastAsia="Calibri" w:hAnsi="Arial Narrow" w:cs="Arial"/>
          <w:lang w:eastAsia="es-ES"/>
        </w:rPr>
        <w:t>la posición a aplicar</w:t>
      </w:r>
      <w:proofErr w:type="gramEnd"/>
      <w:r w:rsidRPr="007C5A53">
        <w:rPr>
          <w:rFonts w:ascii="Arial Narrow" w:eastAsia="Calibri" w:hAnsi="Arial Narrow" w:cs="Arial"/>
          <w:lang w:eastAsia="es-ES"/>
        </w:rPr>
        <w:t xml:space="preserve"> en el Grupo de Compensación correspondiente. </w:t>
      </w:r>
    </w:p>
    <w:p w14:paraId="3BB4C775" w14:textId="77777777" w:rsidR="007968EC" w:rsidRPr="007C5A53" w:rsidRDefault="007968EC" w:rsidP="007968EC">
      <w:pPr>
        <w:ind w:left="1026" w:hanging="142"/>
        <w:jc w:val="both"/>
        <w:rPr>
          <w:rFonts w:ascii="Arial Narrow" w:eastAsia="Calibri" w:hAnsi="Arial Narrow" w:cs="Arial"/>
          <w:b/>
          <w:lang w:eastAsia="es-ES"/>
        </w:rPr>
      </w:pPr>
    </w:p>
    <w:p w14:paraId="21549751" w14:textId="77777777" w:rsidR="007968EC" w:rsidRPr="007C5A53" w:rsidRDefault="007968EC" w:rsidP="00DA7472">
      <w:pPr>
        <w:numPr>
          <w:ilvl w:val="0"/>
          <w:numId w:val="139"/>
        </w:numPr>
        <w:autoSpaceDE w:val="0"/>
        <w:autoSpaceDN w:val="0"/>
        <w:adjustRightInd w:val="0"/>
        <w:ind w:left="1418" w:hanging="425"/>
        <w:contextualSpacing/>
        <w:jc w:val="both"/>
        <w:rPr>
          <w:rFonts w:ascii="Arial Narrow" w:eastAsia="Calibri" w:hAnsi="Arial Narrow" w:cs="Arial"/>
          <w:b/>
          <w:lang w:eastAsia="es-ES"/>
        </w:rPr>
      </w:pPr>
      <w:r w:rsidRPr="007C5A53">
        <w:rPr>
          <w:rFonts w:ascii="Arial Narrow" w:eastAsia="Calibri" w:hAnsi="Arial Narrow" w:cs="Arial"/>
          <w:lang w:eastAsia="es-ES"/>
        </w:rPr>
        <w:t>Selección de los Contratos de Operación Simultáneas a compensar: A partir de la matriz de orden o prioridad de compensación definida en el artículo 3.5.3.1. de la presente Circular, se elige la pareja de Grupos de Compensación que tengan la posibilidad de compensar posiciones de acuerdo con la correlación existente entre ellos y el signo de esta correlación.</w:t>
      </w:r>
    </w:p>
    <w:p w14:paraId="453DC0AA" w14:textId="77777777" w:rsidR="007968EC" w:rsidRPr="007C5A53" w:rsidRDefault="007968EC" w:rsidP="007968EC">
      <w:pPr>
        <w:autoSpaceDE w:val="0"/>
        <w:autoSpaceDN w:val="0"/>
        <w:adjustRightInd w:val="0"/>
        <w:ind w:left="1560" w:hanging="392"/>
        <w:jc w:val="both"/>
        <w:rPr>
          <w:rFonts w:ascii="Arial Narrow" w:eastAsia="Calibri" w:hAnsi="Arial Narrow" w:cs="Arial"/>
          <w:b/>
          <w:lang w:eastAsia="es-ES"/>
        </w:rPr>
      </w:pPr>
    </w:p>
    <w:p w14:paraId="6D15031C" w14:textId="77777777" w:rsidR="007968EC" w:rsidRPr="007C5A53" w:rsidRDefault="007968EC" w:rsidP="00DA7472">
      <w:pPr>
        <w:numPr>
          <w:ilvl w:val="0"/>
          <w:numId w:val="139"/>
        </w:numPr>
        <w:autoSpaceDE w:val="0"/>
        <w:autoSpaceDN w:val="0"/>
        <w:adjustRightInd w:val="0"/>
        <w:ind w:left="1418" w:hanging="425"/>
        <w:contextualSpacing/>
        <w:jc w:val="both"/>
        <w:rPr>
          <w:rFonts w:ascii="Arial Narrow" w:eastAsia="Calibri" w:hAnsi="Arial Narrow" w:cs="Arial"/>
          <w:b/>
          <w:lang w:eastAsia="es-ES"/>
        </w:rPr>
      </w:pPr>
      <w:r w:rsidRPr="007C5A53">
        <w:rPr>
          <w:rFonts w:ascii="Arial Narrow" w:eastAsia="Calibri" w:hAnsi="Arial Narrow" w:cs="Arial"/>
          <w:lang w:eastAsia="es-ES"/>
        </w:rPr>
        <w:t>Cálculo del número de spreads para los Contratos de Operaciones Simultáneas a compensar: Se determinará a partir de la siguiente formula:</w:t>
      </w:r>
    </w:p>
    <w:p w14:paraId="5A2542B4" w14:textId="77777777" w:rsidR="007968EC" w:rsidRPr="007C5A53" w:rsidRDefault="007968EC" w:rsidP="007968EC">
      <w:pPr>
        <w:autoSpaceDE w:val="0"/>
        <w:autoSpaceDN w:val="0"/>
        <w:adjustRightInd w:val="0"/>
        <w:ind w:left="1593" w:hanging="425"/>
        <w:contextualSpacing/>
        <w:jc w:val="both"/>
        <w:rPr>
          <w:rFonts w:ascii="Arial Narrow" w:eastAsia="Calibri" w:hAnsi="Arial Narrow" w:cs="Arial"/>
          <w:b/>
          <w:lang w:eastAsia="es-ES"/>
        </w:rPr>
      </w:pPr>
    </w:p>
    <w:p w14:paraId="627CE534" w14:textId="77777777" w:rsidR="007968EC" w:rsidRPr="007C5A53" w:rsidRDefault="007968EC" w:rsidP="007968EC">
      <w:pPr>
        <w:autoSpaceDE w:val="0"/>
        <w:autoSpaceDN w:val="0"/>
        <w:adjustRightInd w:val="0"/>
        <w:ind w:left="1593" w:hanging="425"/>
        <w:contextualSpacing/>
        <w:jc w:val="both"/>
        <w:rPr>
          <w:rFonts w:ascii="Arial Narrow" w:eastAsia="Calibri" w:hAnsi="Arial Narrow" w:cs="Arial"/>
          <w:b/>
          <w:sz w:val="20"/>
          <w:lang w:eastAsia="es-ES"/>
        </w:rPr>
      </w:pPr>
      <m:oMathPara>
        <m:oMath>
          <m:r>
            <m:rPr>
              <m:sty m:val="bi"/>
            </m:rPr>
            <w:rPr>
              <w:rFonts w:ascii="Cambria Math" w:eastAsia="Calibri" w:hAnsi="Cambria Math" w:cs="Arial"/>
              <w:sz w:val="20"/>
              <w:lang w:eastAsia="es-ES"/>
            </w:rPr>
            <m:t>N</m:t>
          </m:r>
          <m:r>
            <m:rPr>
              <m:sty m:val="bi"/>
            </m:rPr>
            <w:rPr>
              <w:rFonts w:ascii="Cambria Math" w:eastAsia="Calibri" w:hAnsi="Cambria Math" w:cs="Arial" w:hint="eastAsia"/>
              <w:sz w:val="20"/>
              <w:lang w:eastAsia="es-ES"/>
            </w:rPr>
            <m:t>ú</m:t>
          </m:r>
          <m:r>
            <m:rPr>
              <m:sty m:val="bi"/>
            </m:rPr>
            <w:rPr>
              <w:rFonts w:ascii="Cambria Math" w:eastAsia="Calibri" w:hAnsi="Cambria Math" w:cs="Arial"/>
              <w:sz w:val="20"/>
              <w:lang w:eastAsia="es-ES"/>
            </w:rPr>
            <m:t>mero de Spread a utilizar=M</m:t>
          </m:r>
          <m:r>
            <m:rPr>
              <m:sty m:val="bi"/>
            </m:rPr>
            <w:rPr>
              <w:rFonts w:ascii="Cambria Math" w:eastAsia="Calibri" w:hAnsi="Cambria Math" w:cs="Arial" w:hint="eastAsia"/>
              <w:sz w:val="20"/>
              <w:lang w:eastAsia="es-ES"/>
            </w:rPr>
            <m:t>í</m:t>
          </m:r>
          <m:r>
            <m:rPr>
              <m:sty m:val="bi"/>
            </m:rPr>
            <w:rPr>
              <w:rFonts w:ascii="Cambria Math" w:eastAsia="Calibri" w:hAnsi="Cambria Math" w:cs="Arial"/>
              <w:sz w:val="20"/>
              <w:lang w:eastAsia="es-ES"/>
            </w:rPr>
            <m:t>n. Valor Absoluto</m:t>
          </m:r>
          <m:d>
            <m:dPr>
              <m:ctrlPr>
                <w:rPr>
                  <w:rFonts w:ascii="Cambria Math" w:hAnsi="Cambria Math" w:cs="Arial"/>
                  <w:i/>
                  <w:sz w:val="20"/>
                  <w:lang w:eastAsia="es-ES"/>
                </w:rPr>
              </m:ctrlPr>
            </m:dPr>
            <m:e>
              <m:f>
                <m:fPr>
                  <m:ctrlPr>
                    <w:rPr>
                      <w:rFonts w:ascii="Cambria Math" w:hAnsi="Cambria Math" w:cs="Arial"/>
                      <w:i/>
                      <w:sz w:val="20"/>
                      <w:lang w:eastAsia="es-ES"/>
                    </w:rPr>
                  </m:ctrlPr>
                </m:fPr>
                <m:num>
                  <m:sSub>
                    <m:sSubPr>
                      <m:ctrlPr>
                        <w:rPr>
                          <w:rFonts w:ascii="Cambria Math" w:hAnsi="Cambria Math" w:cs="Arial"/>
                          <w:i/>
                          <w:sz w:val="20"/>
                          <w:lang w:eastAsia="es-ES"/>
                        </w:rPr>
                      </m:ctrlPr>
                    </m:sSubPr>
                    <m:e>
                      <m:r>
                        <m:rPr>
                          <m:sty m:val="bi"/>
                        </m:rPr>
                        <w:rPr>
                          <w:rFonts w:ascii="Cambria Math" w:eastAsia="Calibri" w:hAnsi="Cambria Math" w:cs="Arial"/>
                          <w:sz w:val="20"/>
                          <w:lang w:eastAsia="es-ES"/>
                        </w:rPr>
                        <m:t>Posici</m:t>
                      </m:r>
                      <m:r>
                        <m:rPr>
                          <m:sty m:val="bi"/>
                        </m:rPr>
                        <w:rPr>
                          <w:rFonts w:ascii="Cambria Math" w:eastAsia="Calibri" w:hAnsi="Cambria Math" w:cs="Arial" w:hint="eastAsia"/>
                          <w:sz w:val="20"/>
                          <w:lang w:eastAsia="es-ES"/>
                        </w:rPr>
                        <m:t>ó</m:t>
                      </m:r>
                      <m:r>
                        <m:rPr>
                          <m:sty m:val="bi"/>
                        </m:rPr>
                        <w:rPr>
                          <w:rFonts w:ascii="Cambria Math" w:eastAsia="Calibri" w:hAnsi="Cambria Math" w:cs="Arial"/>
                          <w:sz w:val="20"/>
                          <w:lang w:eastAsia="es-ES"/>
                        </w:rPr>
                        <m:t xml:space="preserve">n </m:t>
                      </m:r>
                    </m:e>
                    <m:sub>
                      <m:r>
                        <m:rPr>
                          <m:sty m:val="bi"/>
                        </m:rPr>
                        <w:rPr>
                          <w:rFonts w:ascii="Cambria Math" w:eastAsia="Calibri" w:hAnsi="Cambria Math" w:cs="Arial"/>
                          <w:sz w:val="20"/>
                          <w:lang w:eastAsia="es-ES"/>
                        </w:rPr>
                        <m:t>Grupo A</m:t>
                      </m:r>
                    </m:sub>
                  </m:sSub>
                </m:num>
                <m:den>
                  <m:r>
                    <m:rPr>
                      <m:sty m:val="bi"/>
                    </m:rPr>
                    <w:rPr>
                      <w:rFonts w:ascii="Cambria Math" w:eastAsia="Calibri" w:hAnsi="Cambria Math" w:cs="Arial"/>
                      <w:sz w:val="20"/>
                      <w:lang w:eastAsia="es-ES"/>
                    </w:rPr>
                    <m:t xml:space="preserve">Delta para formar un spread </m:t>
                  </m:r>
                  <m:sSub>
                    <m:sSubPr>
                      <m:ctrlPr>
                        <w:rPr>
                          <w:rFonts w:ascii="Cambria Math" w:hAnsi="Cambria Math" w:cs="Arial"/>
                          <w:i/>
                          <w:sz w:val="20"/>
                          <w:lang w:eastAsia="es-ES"/>
                        </w:rPr>
                      </m:ctrlPr>
                    </m:sSubPr>
                    <m:e>
                      <m:r>
                        <m:rPr>
                          <m:sty m:val="bi"/>
                        </m:rPr>
                        <w:rPr>
                          <w:rFonts w:ascii="Cambria Math" w:eastAsia="Calibri" w:hAnsi="Cambria Math" w:cs="Arial"/>
                          <w:sz w:val="20"/>
                          <w:lang w:eastAsia="es-ES"/>
                        </w:rPr>
                        <m:t>Grupo</m:t>
                      </m:r>
                    </m:e>
                    <m:sub>
                      <m:r>
                        <m:rPr>
                          <m:sty m:val="bi"/>
                        </m:rPr>
                        <w:rPr>
                          <w:rFonts w:ascii="Cambria Math" w:eastAsia="Calibri" w:hAnsi="Cambria Math" w:cs="Arial"/>
                          <w:sz w:val="20"/>
                          <w:lang w:eastAsia="es-ES"/>
                        </w:rPr>
                        <m:t>A</m:t>
                      </m:r>
                    </m:sub>
                  </m:sSub>
                </m:den>
              </m:f>
              <m:r>
                <m:rPr>
                  <m:sty m:val="bi"/>
                </m:rPr>
                <w:rPr>
                  <w:rFonts w:ascii="Cambria Math" w:eastAsia="Calibri" w:hAnsi="Cambria Math" w:cs="Arial"/>
                  <w:sz w:val="20"/>
                  <w:lang w:eastAsia="es-ES"/>
                </w:rPr>
                <m:t xml:space="preserve"> ;</m:t>
              </m:r>
              <m:f>
                <m:fPr>
                  <m:ctrlPr>
                    <w:rPr>
                      <w:rFonts w:ascii="Cambria Math" w:hAnsi="Cambria Math" w:cs="Arial"/>
                      <w:i/>
                      <w:sz w:val="20"/>
                      <w:lang w:eastAsia="es-ES"/>
                    </w:rPr>
                  </m:ctrlPr>
                </m:fPr>
                <m:num>
                  <m:sSub>
                    <m:sSubPr>
                      <m:ctrlPr>
                        <w:rPr>
                          <w:rFonts w:ascii="Cambria Math" w:hAnsi="Cambria Math" w:cs="Arial"/>
                          <w:i/>
                          <w:sz w:val="20"/>
                          <w:lang w:eastAsia="es-ES"/>
                        </w:rPr>
                      </m:ctrlPr>
                    </m:sSubPr>
                    <m:e>
                      <m:r>
                        <m:rPr>
                          <m:sty m:val="bi"/>
                        </m:rPr>
                        <w:rPr>
                          <w:rFonts w:ascii="Cambria Math" w:eastAsia="Calibri" w:hAnsi="Cambria Math" w:cs="Arial"/>
                          <w:sz w:val="20"/>
                          <w:lang w:eastAsia="es-ES"/>
                        </w:rPr>
                        <m:t>Posici</m:t>
                      </m:r>
                      <m:r>
                        <m:rPr>
                          <m:sty m:val="bi"/>
                        </m:rPr>
                        <w:rPr>
                          <w:rFonts w:ascii="Cambria Math" w:eastAsia="Calibri" w:hAnsi="Cambria Math" w:cs="Arial" w:hint="eastAsia"/>
                          <w:sz w:val="20"/>
                          <w:lang w:eastAsia="es-ES"/>
                        </w:rPr>
                        <m:t>ó</m:t>
                      </m:r>
                      <m:r>
                        <m:rPr>
                          <m:sty m:val="bi"/>
                        </m:rPr>
                        <w:rPr>
                          <w:rFonts w:ascii="Cambria Math" w:eastAsia="Calibri" w:hAnsi="Cambria Math" w:cs="Arial"/>
                          <w:sz w:val="20"/>
                          <w:lang w:eastAsia="es-ES"/>
                        </w:rPr>
                        <m:t xml:space="preserve">n </m:t>
                      </m:r>
                    </m:e>
                    <m:sub>
                      <m:r>
                        <m:rPr>
                          <m:sty m:val="bi"/>
                        </m:rPr>
                        <w:rPr>
                          <w:rFonts w:ascii="Cambria Math" w:eastAsia="Calibri" w:hAnsi="Cambria Math" w:cs="Arial"/>
                          <w:sz w:val="20"/>
                          <w:lang w:eastAsia="es-ES"/>
                        </w:rPr>
                        <m:t>Grupo B</m:t>
                      </m:r>
                    </m:sub>
                  </m:sSub>
                </m:num>
                <m:den>
                  <m:r>
                    <m:rPr>
                      <m:sty m:val="bi"/>
                    </m:rPr>
                    <w:rPr>
                      <w:rFonts w:ascii="Cambria Math" w:eastAsia="Calibri" w:hAnsi="Cambria Math" w:cs="Arial"/>
                      <w:sz w:val="20"/>
                      <w:lang w:eastAsia="es-ES"/>
                    </w:rPr>
                    <m:t xml:space="preserve">Delta para formar </m:t>
                  </m:r>
                  <m:r>
                    <m:rPr>
                      <m:sty m:val="bi"/>
                    </m:rPr>
                    <w:rPr>
                      <w:rFonts w:ascii="Cambria Math" w:eastAsia="Calibri" w:hAnsi="Cambria Math" w:cs="Cambria Math"/>
                      <w:sz w:val="20"/>
                      <w:lang w:eastAsia="es-ES"/>
                    </w:rPr>
                    <m:t>u</m:t>
                  </m:r>
                  <m:r>
                    <m:rPr>
                      <m:sty m:val="bi"/>
                    </m:rPr>
                    <w:rPr>
                      <w:rFonts w:ascii="Cambria Math" w:eastAsia="Calibri" w:hAnsi="Cambria Math" w:cs="Arial"/>
                      <w:sz w:val="20"/>
                      <w:lang w:eastAsia="es-ES"/>
                    </w:rPr>
                    <m:t xml:space="preserve">n spread </m:t>
                  </m:r>
                  <m:sSub>
                    <m:sSubPr>
                      <m:ctrlPr>
                        <w:rPr>
                          <w:rFonts w:ascii="Cambria Math" w:hAnsi="Cambria Math" w:cs="Arial"/>
                          <w:i/>
                          <w:sz w:val="20"/>
                          <w:lang w:eastAsia="es-ES"/>
                        </w:rPr>
                      </m:ctrlPr>
                    </m:sSubPr>
                    <m:e>
                      <m:r>
                        <m:rPr>
                          <m:sty m:val="bi"/>
                        </m:rPr>
                        <w:rPr>
                          <w:rFonts w:ascii="Cambria Math" w:eastAsia="Calibri" w:hAnsi="Cambria Math" w:cs="Arial"/>
                          <w:sz w:val="20"/>
                          <w:lang w:eastAsia="es-ES"/>
                        </w:rPr>
                        <m:t>Grupo</m:t>
                      </m:r>
                    </m:e>
                    <m:sub>
                      <m:r>
                        <m:rPr>
                          <m:sty m:val="bi"/>
                        </m:rPr>
                        <w:rPr>
                          <w:rFonts w:ascii="Cambria Math" w:eastAsia="Calibri" w:hAnsi="Cambria Math" w:cs="Arial"/>
                          <w:sz w:val="20"/>
                          <w:lang w:eastAsia="es-ES"/>
                        </w:rPr>
                        <m:t>B</m:t>
                      </m:r>
                    </m:sub>
                  </m:sSub>
                </m:den>
              </m:f>
            </m:e>
          </m:d>
          <m:r>
            <m:rPr>
              <m:sty m:val="bi"/>
            </m:rPr>
            <w:rPr>
              <w:rFonts w:ascii="Cambria Math" w:eastAsia="Calibri" w:hAnsi="Cambria Math" w:cs="Arial"/>
              <w:sz w:val="20"/>
              <w:lang w:eastAsia="es-ES"/>
            </w:rPr>
            <m:t>*Delta para Formar un Spread del Grupo</m:t>
          </m:r>
        </m:oMath>
      </m:oMathPara>
    </w:p>
    <w:p w14:paraId="6C71F8B8" w14:textId="77777777" w:rsidR="007968EC" w:rsidRPr="007C5A53" w:rsidRDefault="007968EC" w:rsidP="007968EC">
      <w:pPr>
        <w:autoSpaceDE w:val="0"/>
        <w:autoSpaceDN w:val="0"/>
        <w:adjustRightInd w:val="0"/>
        <w:ind w:left="1593" w:hanging="425"/>
        <w:contextualSpacing/>
        <w:jc w:val="both"/>
        <w:rPr>
          <w:rFonts w:ascii="Arial Narrow" w:eastAsia="Calibri" w:hAnsi="Arial Narrow" w:cs="Arial"/>
          <w:b/>
          <w:sz w:val="20"/>
          <w:lang w:eastAsia="es-ES"/>
        </w:rPr>
      </w:pPr>
    </w:p>
    <w:p w14:paraId="6B5F9C35" w14:textId="77777777" w:rsidR="007968EC" w:rsidRPr="007C5A53" w:rsidRDefault="007968EC" w:rsidP="007968EC">
      <w:pPr>
        <w:autoSpaceDE w:val="0"/>
        <w:autoSpaceDN w:val="0"/>
        <w:adjustRightInd w:val="0"/>
        <w:ind w:left="1173"/>
        <w:contextualSpacing/>
        <w:jc w:val="both"/>
        <w:rPr>
          <w:rFonts w:ascii="Arial Narrow" w:eastAsia="Calibri" w:hAnsi="Arial Narrow" w:cs="Arial"/>
          <w:b/>
          <w:lang w:eastAsia="es-ES"/>
        </w:rPr>
      </w:pPr>
      <w:r w:rsidRPr="007C5A53">
        <w:rPr>
          <w:rFonts w:ascii="Arial Narrow" w:eastAsia="Calibri" w:hAnsi="Arial Narrow" w:cs="Arial"/>
          <w:b/>
          <w:lang w:eastAsia="es-ES"/>
        </w:rPr>
        <w:t>Parágrafo.</w:t>
      </w:r>
      <w:r w:rsidRPr="007C5A53">
        <w:rPr>
          <w:rFonts w:ascii="Arial Narrow" w:eastAsia="Calibri" w:hAnsi="Arial Narrow" w:cs="Arial"/>
          <w:lang w:eastAsia="es-ES"/>
        </w:rPr>
        <w:t xml:space="preserve"> El Delta para formar un spread se encuentra definido en el artículo 3.5.3.1. de la presente Circular. </w:t>
      </w:r>
    </w:p>
    <w:p w14:paraId="4DF896B6" w14:textId="77777777" w:rsidR="007968EC" w:rsidRPr="007C5A53" w:rsidRDefault="007968EC" w:rsidP="007968EC">
      <w:pPr>
        <w:autoSpaceDE w:val="0"/>
        <w:autoSpaceDN w:val="0"/>
        <w:adjustRightInd w:val="0"/>
        <w:ind w:left="1593" w:hanging="425"/>
        <w:contextualSpacing/>
        <w:jc w:val="both"/>
        <w:rPr>
          <w:rFonts w:ascii="Arial Narrow" w:eastAsia="Calibri" w:hAnsi="Arial Narrow" w:cs="Arial"/>
          <w:b/>
          <w:lang w:eastAsia="es-ES"/>
        </w:rPr>
      </w:pPr>
    </w:p>
    <w:p w14:paraId="54BAAEE4" w14:textId="77777777" w:rsidR="007968EC" w:rsidRPr="007C5A53" w:rsidRDefault="007968EC" w:rsidP="00DA7472">
      <w:pPr>
        <w:numPr>
          <w:ilvl w:val="0"/>
          <w:numId w:val="139"/>
        </w:numPr>
        <w:autoSpaceDE w:val="0"/>
        <w:autoSpaceDN w:val="0"/>
        <w:adjustRightInd w:val="0"/>
        <w:ind w:left="1593" w:hanging="425"/>
        <w:contextualSpacing/>
        <w:jc w:val="both"/>
        <w:rPr>
          <w:rFonts w:ascii="Arial Narrow" w:eastAsia="Calibri" w:hAnsi="Arial Narrow" w:cs="Arial"/>
          <w:b/>
          <w:lang w:eastAsia="es-ES"/>
        </w:rPr>
      </w:pPr>
      <w:r w:rsidRPr="007C5A53">
        <w:rPr>
          <w:rFonts w:ascii="Arial Narrow" w:eastAsia="Calibri" w:hAnsi="Arial Narrow" w:cs="Arial"/>
          <w:lang w:eastAsia="es-ES"/>
        </w:rPr>
        <w:t xml:space="preserve">Obtención de la posición consumida y de la posición no consumida en spreads: </w:t>
      </w:r>
    </w:p>
    <w:p w14:paraId="18D43473" w14:textId="77777777" w:rsidR="007968EC" w:rsidRPr="007C5A53" w:rsidRDefault="007968EC" w:rsidP="007968EC">
      <w:pPr>
        <w:ind w:left="1593" w:hanging="425"/>
        <w:jc w:val="both"/>
        <w:rPr>
          <w:rFonts w:ascii="Arial Narrow" w:eastAsia="Calibri" w:hAnsi="Arial Narrow" w:cs="Arial"/>
          <w:b/>
          <w:lang w:eastAsia="es-ES"/>
        </w:rPr>
      </w:pPr>
    </w:p>
    <w:p w14:paraId="1FECEE87" w14:textId="77777777" w:rsidR="007968EC" w:rsidRPr="007C5A53" w:rsidRDefault="007968EC" w:rsidP="00DA7472">
      <w:pPr>
        <w:numPr>
          <w:ilvl w:val="0"/>
          <w:numId w:val="138"/>
        </w:numPr>
        <w:ind w:left="1593" w:hanging="425"/>
        <w:contextualSpacing/>
        <w:jc w:val="both"/>
        <w:rPr>
          <w:rFonts w:ascii="Arial Narrow" w:eastAsia="Calibri" w:hAnsi="Arial Narrow" w:cs="Arial"/>
          <w:b/>
          <w:lang w:eastAsia="es-ES"/>
        </w:rPr>
      </w:pPr>
      <w:r w:rsidRPr="007C5A53">
        <w:rPr>
          <w:rFonts w:ascii="Arial Narrow" w:eastAsia="Calibri" w:hAnsi="Arial Narrow" w:cs="Arial"/>
          <w:lang w:eastAsia="es-ES"/>
        </w:rPr>
        <w:t>Si la posición es de compra.</w:t>
      </w:r>
    </w:p>
    <w:p w14:paraId="5F878735" w14:textId="77777777" w:rsidR="007968EC" w:rsidRPr="007C5A53" w:rsidRDefault="007968EC" w:rsidP="007968EC">
      <w:pPr>
        <w:ind w:left="1593" w:hanging="425"/>
        <w:contextualSpacing/>
        <w:jc w:val="both"/>
        <w:rPr>
          <w:rFonts w:ascii="Arial Narrow" w:eastAsia="Calibri" w:hAnsi="Arial Narrow" w:cs="Arial"/>
          <w:b/>
          <w:lang w:eastAsia="es-ES"/>
        </w:rPr>
      </w:pPr>
    </w:p>
    <w:p w14:paraId="6D5AF81C" w14:textId="77777777" w:rsidR="007968EC" w:rsidRPr="007C5A53" w:rsidRDefault="007968EC" w:rsidP="007968EC">
      <w:pPr>
        <w:ind w:left="1593" w:hanging="425"/>
        <w:contextualSpacing/>
        <w:jc w:val="both"/>
        <w:rPr>
          <w:rFonts w:ascii="Arial Narrow" w:eastAsia="Calibri" w:hAnsi="Arial Narrow" w:cs="Arial"/>
          <w:b/>
          <w:lang w:eastAsia="es-ES"/>
        </w:rPr>
      </w:pPr>
      <m:oMathPara>
        <m:oMath>
          <m:r>
            <m:rPr>
              <m:sty m:val="bi"/>
            </m:rPr>
            <w:rPr>
              <w:rFonts w:ascii="Cambria Math" w:eastAsia="Calibri" w:hAnsi="Cambria Math" w:cs="Arial"/>
              <w:lang w:eastAsia="es-ES"/>
            </w:rPr>
            <m:t>Posici</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n no consumida en spreads=Posici</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n neta compradora-N</m:t>
          </m:r>
          <m:r>
            <m:rPr>
              <m:sty m:val="bi"/>
            </m:rPr>
            <w:rPr>
              <w:rFonts w:ascii="Cambria Math" w:eastAsia="Calibri" w:hAnsi="Cambria Math" w:cs="Arial" w:hint="eastAsia"/>
              <w:lang w:eastAsia="es-ES"/>
            </w:rPr>
            <m:t>°</m:t>
          </m:r>
          <m:r>
            <m:rPr>
              <m:sty m:val="bi"/>
            </m:rPr>
            <w:rPr>
              <w:rFonts w:ascii="Cambria Math" w:eastAsia="Calibri" w:hAnsi="Cambria Math" w:cs="Arial"/>
              <w:lang w:eastAsia="es-ES"/>
            </w:rPr>
            <m:t xml:space="preserve"> Spreads</m:t>
          </m:r>
        </m:oMath>
      </m:oMathPara>
    </w:p>
    <w:p w14:paraId="55ED2DAD" w14:textId="77777777" w:rsidR="007968EC" w:rsidRPr="007C5A53" w:rsidRDefault="007968EC" w:rsidP="007968EC">
      <w:pPr>
        <w:ind w:left="1593" w:hanging="425"/>
        <w:contextualSpacing/>
        <w:jc w:val="both"/>
        <w:rPr>
          <w:rFonts w:ascii="Arial Narrow" w:eastAsia="Calibri" w:hAnsi="Arial Narrow" w:cs="Arial"/>
          <w:b/>
          <w:lang w:eastAsia="es-ES"/>
        </w:rPr>
      </w:pPr>
    </w:p>
    <w:p w14:paraId="06FE2815" w14:textId="77777777" w:rsidR="007968EC" w:rsidRPr="007C5A53" w:rsidRDefault="007968EC" w:rsidP="00DA7472">
      <w:pPr>
        <w:numPr>
          <w:ilvl w:val="0"/>
          <w:numId w:val="138"/>
        </w:numPr>
        <w:autoSpaceDE w:val="0"/>
        <w:autoSpaceDN w:val="0"/>
        <w:adjustRightInd w:val="0"/>
        <w:ind w:left="1593" w:hanging="425"/>
        <w:contextualSpacing/>
        <w:jc w:val="both"/>
        <w:rPr>
          <w:rFonts w:ascii="Arial Narrow" w:eastAsia="Calibri" w:hAnsi="Arial Narrow" w:cs="Arial"/>
          <w:b/>
          <w:lang w:eastAsia="es-ES"/>
        </w:rPr>
      </w:pPr>
      <w:r w:rsidRPr="007C5A53">
        <w:rPr>
          <w:rFonts w:ascii="Arial Narrow" w:eastAsia="Calibri" w:hAnsi="Arial Narrow" w:cs="Arial"/>
          <w:lang w:eastAsia="es-ES"/>
        </w:rPr>
        <w:t>Si la posición es de venta.</w:t>
      </w:r>
    </w:p>
    <w:p w14:paraId="5F546620" w14:textId="77777777" w:rsidR="007968EC" w:rsidRPr="007C5A53" w:rsidRDefault="007968EC" w:rsidP="007968EC">
      <w:pPr>
        <w:autoSpaceDE w:val="0"/>
        <w:autoSpaceDN w:val="0"/>
        <w:adjustRightInd w:val="0"/>
        <w:ind w:left="1593" w:hanging="425"/>
        <w:contextualSpacing/>
        <w:jc w:val="both"/>
        <w:rPr>
          <w:rFonts w:ascii="Arial Narrow" w:eastAsia="Calibri" w:hAnsi="Arial Narrow" w:cs="Arial"/>
          <w:b/>
          <w:lang w:eastAsia="es-ES"/>
        </w:rPr>
      </w:pPr>
    </w:p>
    <w:p w14:paraId="43DEB1D1" w14:textId="77777777" w:rsidR="007968EC" w:rsidRPr="007C5A53" w:rsidRDefault="007968EC" w:rsidP="007968EC">
      <w:pPr>
        <w:autoSpaceDE w:val="0"/>
        <w:autoSpaceDN w:val="0"/>
        <w:adjustRightInd w:val="0"/>
        <w:ind w:left="1593" w:hanging="425"/>
        <w:contextualSpacing/>
        <w:jc w:val="both"/>
        <w:rPr>
          <w:rFonts w:ascii="Arial Narrow" w:eastAsia="Calibri" w:hAnsi="Arial Narrow" w:cs="Arial"/>
          <w:b/>
          <w:lang w:eastAsia="es-ES"/>
        </w:rPr>
      </w:pPr>
      <m:oMathPara>
        <m:oMath>
          <m:r>
            <m:rPr>
              <m:sty m:val="bi"/>
            </m:rPr>
            <w:rPr>
              <w:rFonts w:ascii="Cambria Math" w:eastAsia="Calibri" w:hAnsi="Cambria Math" w:cs="Arial"/>
              <w:lang w:eastAsia="es-ES"/>
            </w:rPr>
            <m:t>Posici</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n no con</m:t>
          </m:r>
          <m:r>
            <m:rPr>
              <m:sty m:val="bi"/>
            </m:rPr>
            <w:rPr>
              <w:rFonts w:ascii="Cambria Math" w:eastAsia="Calibri" w:hAnsi="Cambria Math" w:cs="Cambria Math"/>
              <w:lang w:eastAsia="es-ES"/>
            </w:rPr>
            <m:t>s</m:t>
          </m:r>
          <m:r>
            <m:rPr>
              <m:sty m:val="bi"/>
            </m:rPr>
            <w:rPr>
              <w:rFonts w:ascii="Cambria Math" w:eastAsia="Calibri" w:hAnsi="Cambria Math" w:cs="Arial"/>
              <w:lang w:eastAsia="es-ES"/>
            </w:rPr>
            <m:t>umida en spreads=Posici</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n neta vendedora+N</m:t>
          </m:r>
          <m:r>
            <m:rPr>
              <m:sty m:val="bi"/>
            </m:rPr>
            <w:rPr>
              <w:rFonts w:ascii="Cambria Math" w:eastAsia="Calibri" w:hAnsi="Cambria Math" w:cs="Arial" w:hint="eastAsia"/>
              <w:lang w:eastAsia="es-ES"/>
            </w:rPr>
            <m:t>°</m:t>
          </m:r>
          <m:r>
            <m:rPr>
              <m:sty m:val="bi"/>
            </m:rPr>
            <w:rPr>
              <w:rFonts w:ascii="Cambria Math" w:eastAsia="Calibri" w:hAnsi="Cambria Math" w:cs="Arial"/>
              <w:lang w:eastAsia="es-ES"/>
            </w:rPr>
            <m:t xml:space="preserve"> Spreads</m:t>
          </m:r>
        </m:oMath>
      </m:oMathPara>
    </w:p>
    <w:p w14:paraId="515870BF" w14:textId="77777777" w:rsidR="007968EC" w:rsidRPr="007C5A53" w:rsidRDefault="007968EC" w:rsidP="007968EC">
      <w:pPr>
        <w:autoSpaceDE w:val="0"/>
        <w:autoSpaceDN w:val="0"/>
        <w:adjustRightInd w:val="0"/>
        <w:ind w:left="1593" w:hanging="425"/>
        <w:jc w:val="both"/>
        <w:rPr>
          <w:rFonts w:ascii="Arial Narrow" w:eastAsia="Calibri" w:hAnsi="Arial Narrow" w:cs="Arial"/>
          <w:b/>
          <w:lang w:eastAsia="es-ES"/>
        </w:rPr>
      </w:pPr>
    </w:p>
    <w:p w14:paraId="48EA36B6" w14:textId="77777777" w:rsidR="007968EC" w:rsidRPr="007C5A53" w:rsidRDefault="007968EC" w:rsidP="00DA7472">
      <w:pPr>
        <w:numPr>
          <w:ilvl w:val="0"/>
          <w:numId w:val="139"/>
        </w:numPr>
        <w:autoSpaceDE w:val="0"/>
        <w:autoSpaceDN w:val="0"/>
        <w:adjustRightInd w:val="0"/>
        <w:ind w:left="1593" w:hanging="425"/>
        <w:contextualSpacing/>
        <w:jc w:val="both"/>
        <w:rPr>
          <w:rFonts w:ascii="Arial Narrow" w:eastAsia="Calibri" w:hAnsi="Arial Narrow" w:cs="Arial"/>
          <w:b/>
          <w:lang w:eastAsia="es-ES"/>
        </w:rPr>
      </w:pPr>
      <w:r w:rsidRPr="007C5A53">
        <w:rPr>
          <w:rFonts w:ascii="Arial Narrow" w:eastAsia="Calibri" w:hAnsi="Arial Narrow" w:cs="Arial"/>
          <w:lang w:eastAsia="es-ES"/>
        </w:rPr>
        <w:t>Repetición del cálculo de los Grupos de Compensación a compensar hasta que no existan spreads: Este proceso se repite hasta que no exista ninguna combinación de Grupos de Compensación susceptibles de ser compensados.</w:t>
      </w:r>
    </w:p>
    <w:p w14:paraId="5C41D076" w14:textId="77777777" w:rsidR="007968EC" w:rsidRPr="007C5A53" w:rsidRDefault="007968EC" w:rsidP="007968EC">
      <w:pPr>
        <w:autoSpaceDE w:val="0"/>
        <w:autoSpaceDN w:val="0"/>
        <w:adjustRightInd w:val="0"/>
        <w:ind w:left="1593" w:hanging="425"/>
        <w:jc w:val="both"/>
        <w:rPr>
          <w:rFonts w:ascii="Arial Narrow" w:eastAsia="Calibri" w:hAnsi="Arial Narrow" w:cs="Arial"/>
          <w:b/>
          <w:lang w:eastAsia="es-ES"/>
        </w:rPr>
      </w:pPr>
    </w:p>
    <w:p w14:paraId="63E731BB" w14:textId="77777777" w:rsidR="007968EC" w:rsidRPr="007C5A53" w:rsidRDefault="007968EC" w:rsidP="00DA7472">
      <w:pPr>
        <w:numPr>
          <w:ilvl w:val="0"/>
          <w:numId w:val="139"/>
        </w:numPr>
        <w:autoSpaceDE w:val="0"/>
        <w:autoSpaceDN w:val="0"/>
        <w:adjustRightInd w:val="0"/>
        <w:ind w:left="1593" w:hanging="425"/>
        <w:contextualSpacing/>
        <w:jc w:val="both"/>
        <w:rPr>
          <w:rFonts w:ascii="Arial Narrow" w:eastAsia="Calibri" w:hAnsi="Arial Narrow" w:cs="Arial"/>
          <w:b/>
          <w:lang w:eastAsia="es-ES"/>
        </w:rPr>
      </w:pPr>
      <w:r w:rsidRPr="007C5A53">
        <w:rPr>
          <w:rFonts w:ascii="Arial Narrow" w:eastAsia="Calibri" w:hAnsi="Arial Narrow" w:cs="Arial"/>
          <w:lang w:eastAsia="es-ES"/>
        </w:rPr>
        <w:t>Cálculo del descuento por spreads obtenido en las compensaciones: Por cada número de spreads, se calcula el importe a descontar de la Garantía de Grupo, en función del parámetro crédito sobre garantías y la Fluctuación definida en el artículo 3.5.3.1. de la presente Circular.</w:t>
      </w:r>
    </w:p>
    <w:p w14:paraId="376BBE3B" w14:textId="77777777" w:rsidR="007968EC" w:rsidRPr="007C5A53" w:rsidRDefault="007968EC" w:rsidP="007968EC">
      <w:pPr>
        <w:ind w:left="1593" w:hanging="425"/>
        <w:jc w:val="both"/>
        <w:rPr>
          <w:rFonts w:ascii="Arial Narrow" w:eastAsia="Calibri" w:hAnsi="Arial Narrow" w:cs="Arial"/>
          <w:b/>
          <w:lang w:eastAsia="es-ES"/>
        </w:rPr>
      </w:pPr>
    </w:p>
    <w:p w14:paraId="3B6DBB78" w14:textId="77777777" w:rsidR="007968EC" w:rsidRPr="007C5A53" w:rsidRDefault="007968EC" w:rsidP="007968EC">
      <w:pPr>
        <w:ind w:left="1173"/>
        <w:jc w:val="both"/>
        <w:rPr>
          <w:rFonts w:ascii="Arial Narrow" w:eastAsia="Calibri" w:hAnsi="Arial Narrow" w:cs="Arial"/>
          <w:b/>
          <w:lang w:eastAsia="es-ES"/>
        </w:rPr>
      </w:pPr>
      <w:r w:rsidRPr="007C5A53">
        <w:rPr>
          <w:rFonts w:ascii="Arial Narrow" w:eastAsia="Calibri" w:hAnsi="Arial Narrow" w:cs="Arial"/>
          <w:lang w:eastAsia="es-ES"/>
        </w:rPr>
        <w:t xml:space="preserve">El descuento por </w:t>
      </w:r>
      <w:proofErr w:type="gramStart"/>
      <w:r w:rsidRPr="007C5A53">
        <w:rPr>
          <w:rFonts w:ascii="Arial Narrow" w:eastAsia="Calibri" w:hAnsi="Arial Narrow" w:cs="Arial"/>
          <w:lang w:eastAsia="es-ES"/>
        </w:rPr>
        <w:t>spread,</w:t>
      </w:r>
      <w:proofErr w:type="gramEnd"/>
      <w:r w:rsidRPr="007C5A53">
        <w:rPr>
          <w:rFonts w:ascii="Arial Narrow" w:eastAsia="Calibri" w:hAnsi="Arial Narrow" w:cs="Arial"/>
          <w:lang w:eastAsia="es-ES"/>
        </w:rPr>
        <w:t xml:space="preserve"> se obtendrá mediante la siguiente fórmula:</w:t>
      </w:r>
    </w:p>
    <w:p w14:paraId="7BBDC2DB" w14:textId="77777777" w:rsidR="007968EC" w:rsidRPr="007C5A53" w:rsidRDefault="007968EC" w:rsidP="007968EC">
      <w:pPr>
        <w:ind w:left="1593" w:hanging="425"/>
        <w:jc w:val="both"/>
        <w:rPr>
          <w:rFonts w:ascii="Arial Narrow" w:eastAsia="Calibri" w:hAnsi="Arial Narrow" w:cs="Arial"/>
          <w:b/>
          <w:lang w:eastAsia="es-ES"/>
        </w:rPr>
      </w:pPr>
    </w:p>
    <w:p w14:paraId="39E94AB6" w14:textId="77777777" w:rsidR="007968EC" w:rsidRPr="007C5A53" w:rsidRDefault="007968EC" w:rsidP="007968EC">
      <w:pPr>
        <w:ind w:left="1593" w:hanging="425"/>
        <w:jc w:val="both"/>
        <w:rPr>
          <w:rFonts w:ascii="Arial Narrow" w:eastAsia="Calibri" w:hAnsi="Arial Narrow" w:cs="Arial"/>
          <w:b/>
          <w:lang w:eastAsia="es-ES"/>
        </w:rPr>
      </w:pPr>
      <m:oMathPara>
        <m:oMath>
          <m:r>
            <m:rPr>
              <m:sty m:val="bi"/>
            </m:rPr>
            <w:rPr>
              <w:rFonts w:ascii="Cambria Math" w:eastAsia="Calibri" w:hAnsi="Cambria Math" w:cs="Arial"/>
              <w:lang w:eastAsia="es-ES"/>
            </w:rPr>
            <w:lastRenderedPageBreak/>
            <m:t>Descuento por spreads=N</m:t>
          </m:r>
          <m:r>
            <m:rPr>
              <m:sty m:val="bi"/>
            </m:rPr>
            <w:rPr>
              <w:rFonts w:ascii="Cambria Math" w:eastAsia="Calibri" w:hAnsi="Cambria Math" w:cs="Arial" w:hint="eastAsia"/>
              <w:lang w:eastAsia="es-ES"/>
            </w:rPr>
            <m:t>°</m:t>
          </m:r>
          <m:r>
            <m:rPr>
              <m:sty m:val="bi"/>
            </m:rPr>
            <w:rPr>
              <w:rFonts w:ascii="Cambria Math" w:eastAsia="Calibri" w:hAnsi="Cambria Math" w:cs="Arial"/>
              <w:lang w:eastAsia="es-ES"/>
            </w:rPr>
            <m:t xml:space="preserve"> de Spreads*Cr</m:t>
          </m:r>
          <m:r>
            <m:rPr>
              <m:sty m:val="bi"/>
            </m:rPr>
            <w:rPr>
              <w:rFonts w:ascii="Cambria Math" w:eastAsia="Calibri" w:hAnsi="Cambria Math" w:cs="Arial" w:hint="eastAsia"/>
              <w:lang w:eastAsia="es-ES"/>
            </w:rPr>
            <m:t>é</m:t>
          </m:r>
          <m:r>
            <m:rPr>
              <m:sty m:val="bi"/>
            </m:rPr>
            <w:rPr>
              <w:rFonts w:ascii="Cambria Math" w:eastAsia="Calibri" w:hAnsi="Cambria Math" w:cs="Arial"/>
              <w:lang w:eastAsia="es-ES"/>
            </w:rPr>
            <m:t>dito sobre garant</m:t>
          </m:r>
          <m:r>
            <m:rPr>
              <m:sty m:val="bi"/>
            </m:rPr>
            <w:rPr>
              <w:rFonts w:ascii="Cambria Math" w:eastAsia="Calibri" w:hAnsi="Cambria Math" w:cs="Arial" w:hint="eastAsia"/>
              <w:lang w:eastAsia="es-ES"/>
            </w:rPr>
            <m:t>í</m:t>
          </m:r>
          <m:r>
            <m:rPr>
              <m:sty m:val="bi"/>
            </m:rPr>
            <w:rPr>
              <w:rFonts w:ascii="Cambria Math" w:eastAsia="Calibri" w:hAnsi="Cambria Math" w:cs="Arial"/>
              <w:lang w:eastAsia="es-ES"/>
            </w:rPr>
            <m:t>as*Fluctuaci</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 xml:space="preserve">n </m:t>
          </m:r>
        </m:oMath>
      </m:oMathPara>
    </w:p>
    <w:p w14:paraId="45E40B66" w14:textId="77777777" w:rsidR="007968EC" w:rsidRPr="007C5A53" w:rsidRDefault="007968EC" w:rsidP="007968EC">
      <w:pPr>
        <w:autoSpaceDE w:val="0"/>
        <w:autoSpaceDN w:val="0"/>
        <w:adjustRightInd w:val="0"/>
        <w:ind w:left="1593" w:hanging="425"/>
        <w:jc w:val="both"/>
        <w:rPr>
          <w:rFonts w:ascii="Arial Narrow" w:eastAsia="Calibri" w:hAnsi="Arial Narrow" w:cs="Arial"/>
          <w:b/>
          <w:lang w:eastAsia="es-ES"/>
        </w:rPr>
      </w:pPr>
    </w:p>
    <w:p w14:paraId="58961561" w14:textId="77777777" w:rsidR="007968EC" w:rsidRPr="007C5A53" w:rsidRDefault="007968EC" w:rsidP="00DA7472">
      <w:pPr>
        <w:numPr>
          <w:ilvl w:val="0"/>
          <w:numId w:val="139"/>
        </w:numPr>
        <w:autoSpaceDE w:val="0"/>
        <w:autoSpaceDN w:val="0"/>
        <w:adjustRightInd w:val="0"/>
        <w:ind w:left="1593" w:hanging="425"/>
        <w:contextualSpacing/>
        <w:jc w:val="both"/>
        <w:rPr>
          <w:rFonts w:ascii="Arial Narrow" w:eastAsia="Calibri" w:hAnsi="Arial Narrow" w:cs="Arial"/>
          <w:b/>
          <w:i/>
          <w:lang w:eastAsia="es-ES"/>
        </w:rPr>
      </w:pPr>
      <w:r w:rsidRPr="007C5A53">
        <w:rPr>
          <w:rFonts w:ascii="Arial Narrow" w:eastAsia="Calibri" w:hAnsi="Arial Narrow" w:cs="Arial"/>
          <w:lang w:eastAsia="es-ES"/>
        </w:rPr>
        <w:t>Cálculo de la “</w:t>
      </w:r>
      <w:r w:rsidRPr="007C5A53">
        <w:rPr>
          <w:rFonts w:ascii="Arial Narrow" w:eastAsia="Calibri" w:hAnsi="Arial Narrow" w:cs="Arial"/>
          <w:i/>
          <w:lang w:eastAsia="es-ES"/>
        </w:rPr>
        <w:t>Garantía Final”</w:t>
      </w:r>
      <w:r w:rsidRPr="007C5A53">
        <w:rPr>
          <w:rFonts w:ascii="Arial Narrow" w:eastAsia="Calibri" w:hAnsi="Arial Narrow" w:cs="Arial"/>
          <w:lang w:eastAsia="es-ES"/>
        </w:rPr>
        <w:t xml:space="preserve"> por cada Grupo de Compensación: Los descuentos obtenidos se restan de la Garantía de Grupo, obteniéndose una “</w:t>
      </w:r>
      <w:r w:rsidRPr="007C5A53">
        <w:rPr>
          <w:rFonts w:ascii="Arial Narrow" w:eastAsia="Calibri" w:hAnsi="Arial Narrow" w:cs="Arial"/>
          <w:i/>
          <w:lang w:eastAsia="es-ES"/>
        </w:rPr>
        <w:t>Garantía Final” por cada Grupo de Compensación.</w:t>
      </w:r>
    </w:p>
    <w:p w14:paraId="10BF1577" w14:textId="77777777" w:rsidR="007968EC" w:rsidRPr="007C5A53" w:rsidRDefault="007968EC" w:rsidP="007968EC">
      <w:pPr>
        <w:autoSpaceDE w:val="0"/>
        <w:autoSpaceDN w:val="0"/>
        <w:adjustRightInd w:val="0"/>
        <w:ind w:left="720"/>
        <w:contextualSpacing/>
        <w:jc w:val="both"/>
        <w:rPr>
          <w:rFonts w:ascii="Arial Narrow" w:eastAsia="Calibri" w:hAnsi="Arial Narrow" w:cs="Arial"/>
          <w:b/>
          <w:lang w:eastAsia="es-ES"/>
        </w:rPr>
      </w:pPr>
    </w:p>
    <w:p w14:paraId="0DA726F0" w14:textId="77777777" w:rsidR="007968EC" w:rsidRPr="007C5A53" w:rsidRDefault="007968EC" w:rsidP="00DA7472">
      <w:pPr>
        <w:widowControl w:val="0"/>
        <w:numPr>
          <w:ilvl w:val="1"/>
          <w:numId w:val="134"/>
        </w:numPr>
        <w:autoSpaceDE w:val="0"/>
        <w:autoSpaceDN w:val="0"/>
        <w:adjustRightInd w:val="0"/>
        <w:ind w:left="317" w:hanging="283"/>
        <w:contextualSpacing/>
        <w:jc w:val="both"/>
        <w:rPr>
          <w:rFonts w:ascii="Arial Narrow" w:eastAsia="Calibri" w:hAnsi="Arial Narrow" w:cs="Arial"/>
          <w:b/>
          <w:lang w:eastAsia="es-ES"/>
        </w:rPr>
      </w:pPr>
      <w:r w:rsidRPr="007C5A53">
        <w:rPr>
          <w:rFonts w:ascii="Arial Narrow" w:eastAsia="Calibri" w:hAnsi="Arial Narrow" w:cs="Arial"/>
          <w:b/>
          <w:lang w:eastAsia="es-ES"/>
        </w:rPr>
        <w:t>Ajuste diario de Garantías para Contratos de Operaciones Simultáneas:</w:t>
      </w:r>
      <w:r w:rsidRPr="007C5A53" w:rsidDel="00FD1532">
        <w:rPr>
          <w:rFonts w:ascii="Arial Narrow" w:eastAsia="Calibri" w:hAnsi="Arial Narrow" w:cs="Arial"/>
          <w:b/>
          <w:lang w:eastAsia="es-ES"/>
        </w:rPr>
        <w:t xml:space="preserve"> </w:t>
      </w:r>
    </w:p>
    <w:p w14:paraId="608D7B36" w14:textId="77777777" w:rsidR="007968EC" w:rsidRPr="007C5A53" w:rsidRDefault="007968EC" w:rsidP="007968EC">
      <w:pPr>
        <w:autoSpaceDE w:val="0"/>
        <w:autoSpaceDN w:val="0"/>
        <w:adjustRightInd w:val="0"/>
        <w:ind w:left="459"/>
        <w:contextualSpacing/>
        <w:jc w:val="both"/>
        <w:rPr>
          <w:rFonts w:ascii="Arial Narrow" w:eastAsia="Calibri" w:hAnsi="Arial Narrow" w:cs="Arial"/>
          <w:b/>
          <w:lang w:eastAsia="es-ES"/>
        </w:rPr>
      </w:pPr>
    </w:p>
    <w:p w14:paraId="2EBC9F09" w14:textId="77777777" w:rsidR="007968EC" w:rsidRPr="007C5A53" w:rsidRDefault="007968EC" w:rsidP="007968EC">
      <w:pPr>
        <w:autoSpaceDE w:val="0"/>
        <w:autoSpaceDN w:val="0"/>
        <w:adjustRightInd w:val="0"/>
        <w:ind w:left="459"/>
        <w:contextualSpacing/>
        <w:jc w:val="both"/>
        <w:rPr>
          <w:rFonts w:ascii="Arial Narrow" w:eastAsia="Calibri" w:hAnsi="Arial Narrow" w:cs="Arial"/>
          <w:b/>
          <w:lang w:eastAsia="es-ES"/>
        </w:rPr>
      </w:pPr>
      <w:r w:rsidRPr="007C5A53">
        <w:rPr>
          <w:rFonts w:ascii="Arial Narrow" w:eastAsia="Calibri" w:hAnsi="Arial Narrow" w:cs="Arial"/>
          <w:lang w:eastAsia="es-ES"/>
        </w:rPr>
        <w:t>Por cada Posición Abierta en Contratos de Operación Simultánea, desde la Aceptación de la Operación hasta el día hábil antes de su vencimiento, la Cámara realiza un Ajuste Diario de Garantías a valor de mercado que se calcula con la siguiente fórmula:</w:t>
      </w:r>
    </w:p>
    <w:p w14:paraId="152DDCA3" w14:textId="77777777" w:rsidR="007968EC" w:rsidRPr="007C5A53" w:rsidRDefault="007968EC" w:rsidP="007968EC">
      <w:pPr>
        <w:autoSpaceDE w:val="0"/>
        <w:autoSpaceDN w:val="0"/>
        <w:adjustRightInd w:val="0"/>
        <w:ind w:left="504"/>
        <w:jc w:val="both"/>
        <w:rPr>
          <w:rFonts w:ascii="Arial Narrow" w:eastAsia="Calibri" w:hAnsi="Arial Narrow" w:cs="Arial"/>
          <w:b/>
          <w:lang w:eastAsia="es-ES"/>
        </w:rPr>
      </w:pPr>
    </w:p>
    <w:p w14:paraId="1B760DD1" w14:textId="77777777" w:rsidR="007968EC" w:rsidRPr="007C5A53" w:rsidRDefault="00682D97" w:rsidP="007968EC">
      <w:pPr>
        <w:autoSpaceDE w:val="0"/>
        <w:autoSpaceDN w:val="0"/>
        <w:adjustRightInd w:val="0"/>
        <w:ind w:left="504"/>
        <w:jc w:val="both"/>
        <w:rPr>
          <w:rFonts w:ascii="Arial Narrow" w:eastAsia="Calibri" w:hAnsi="Arial Narrow" w:cs="Arial"/>
          <w:b/>
          <w:lang w:eastAsia="es-ES"/>
        </w:rPr>
      </w:pPr>
      <m:oMathPara>
        <m:oMath>
          <m:d>
            <m:dPr>
              <m:begChr m:val="["/>
              <m:endChr m:val="]"/>
              <m:ctrlPr>
                <w:rPr>
                  <w:rFonts w:ascii="Cambria Math" w:hAnsi="Cambria Math" w:cs="Arial"/>
                  <w:i/>
                  <w:lang w:eastAsia="es-ES"/>
                </w:rPr>
              </m:ctrlPr>
            </m:dPr>
            <m:e>
              <m:r>
                <m:rPr>
                  <m:sty m:val="bi"/>
                </m:rPr>
                <w:rPr>
                  <w:rFonts w:ascii="Cambria Math" w:eastAsia="Calibri" w:hAnsi="Cambria Math" w:cs="Arial"/>
                  <w:lang w:eastAsia="es-ES"/>
                </w:rPr>
                <m:t>Valor actual efectivo-Valor de mercado posici</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n (al cierre)</m:t>
              </m:r>
            </m:e>
          </m:d>
          <m:r>
            <m:rPr>
              <m:sty m:val="bi"/>
            </m:rPr>
            <w:rPr>
              <w:rFonts w:ascii="Cambria Math" w:eastAsia="Calibri" w:hAnsi="Cambria Math" w:cs="Arial"/>
              <w:lang w:eastAsia="es-ES"/>
            </w:rPr>
            <m:t>*signo</m:t>
          </m:r>
        </m:oMath>
      </m:oMathPara>
    </w:p>
    <w:p w14:paraId="1AFCD209" w14:textId="77777777" w:rsidR="007968EC" w:rsidRPr="007C5A53" w:rsidRDefault="007968EC" w:rsidP="007968EC">
      <w:pPr>
        <w:autoSpaceDE w:val="0"/>
        <w:autoSpaceDN w:val="0"/>
        <w:adjustRightInd w:val="0"/>
        <w:ind w:left="504"/>
        <w:jc w:val="both"/>
        <w:rPr>
          <w:rFonts w:ascii="Arial Narrow" w:eastAsia="Calibri" w:hAnsi="Arial Narrow" w:cs="Arial"/>
          <w:b/>
          <w:lang w:eastAsia="es-ES"/>
        </w:rPr>
      </w:pPr>
    </w:p>
    <w:p w14:paraId="70126534" w14:textId="77777777" w:rsidR="007968EC" w:rsidRPr="007C5A53" w:rsidRDefault="007968EC" w:rsidP="007968EC">
      <w:pPr>
        <w:autoSpaceDE w:val="0"/>
        <w:autoSpaceDN w:val="0"/>
        <w:adjustRightInd w:val="0"/>
        <w:ind w:left="426"/>
        <w:contextualSpacing/>
        <w:jc w:val="both"/>
        <w:rPr>
          <w:rFonts w:ascii="Arial Narrow" w:eastAsia="Calibri" w:hAnsi="Arial Narrow" w:cs="Arial"/>
          <w:b/>
          <w:lang w:eastAsia="es-ES"/>
        </w:rPr>
      </w:pPr>
      <w:r w:rsidRPr="007C5A53">
        <w:rPr>
          <w:rFonts w:ascii="Arial Narrow" w:eastAsia="Calibri" w:hAnsi="Arial Narrow" w:cs="Arial"/>
          <w:lang w:eastAsia="es-ES"/>
        </w:rPr>
        <w:t>Valor actual Efectivo:</w:t>
      </w:r>
    </w:p>
    <w:p w14:paraId="0CC1761A" w14:textId="77777777" w:rsidR="007968EC" w:rsidRPr="007C5A53" w:rsidRDefault="007968EC" w:rsidP="007968EC">
      <w:pPr>
        <w:autoSpaceDE w:val="0"/>
        <w:autoSpaceDN w:val="0"/>
        <w:adjustRightInd w:val="0"/>
        <w:ind w:left="743"/>
        <w:jc w:val="both"/>
        <w:rPr>
          <w:rFonts w:ascii="Arial Narrow" w:eastAsia="Calibri" w:hAnsi="Arial Narrow" w:cs="Arial"/>
          <w:b/>
          <w:lang w:eastAsia="es-ES"/>
        </w:rPr>
      </w:pPr>
    </w:p>
    <w:p w14:paraId="74DC80CF" w14:textId="77777777" w:rsidR="007968EC" w:rsidRPr="007C5A53" w:rsidRDefault="007968EC" w:rsidP="007968EC">
      <w:pPr>
        <w:ind w:right="-660"/>
        <w:contextualSpacing/>
        <w:jc w:val="both"/>
        <w:rPr>
          <w:rFonts w:ascii="Cambria Math" w:eastAsia="Calibri" w:hAnsi="Cambria Math"/>
          <w:b/>
          <w:i/>
        </w:rPr>
      </w:pPr>
      <m:oMathPara>
        <m:oMath>
          <m:r>
            <m:rPr>
              <m:sty m:val="bi"/>
            </m:rPr>
            <w:rPr>
              <w:rFonts w:ascii="Cambria Math" w:eastAsia="Calibri" w:hAnsi="Cambria Math"/>
            </w:rPr>
            <m:t>Valor actual Efectivo=Valor Efectivo/(1+TipoInterés*días al vencimiento/365)</m:t>
          </m:r>
        </m:oMath>
      </m:oMathPara>
    </w:p>
    <w:p w14:paraId="4A467C56" w14:textId="77777777" w:rsidR="007968EC" w:rsidRPr="007C5A53" w:rsidRDefault="007968EC" w:rsidP="007968EC">
      <w:pPr>
        <w:ind w:left="-207" w:right="-660"/>
        <w:contextualSpacing/>
        <w:jc w:val="both"/>
        <w:rPr>
          <w:rFonts w:ascii="Arial Narrow" w:eastAsia="Calibri" w:hAnsi="Arial Narrow"/>
        </w:rPr>
      </w:pPr>
      <w:r w:rsidRPr="007C5A53">
        <w:rPr>
          <w:rFonts w:ascii="Arial Narrow" w:eastAsia="Calibri" w:hAnsi="Arial Narrow"/>
        </w:rPr>
        <w:t xml:space="preserve"> </w:t>
      </w:r>
    </w:p>
    <w:p w14:paraId="0D1CC1E4" w14:textId="77777777" w:rsidR="007968EC" w:rsidRPr="007C5A53" w:rsidRDefault="007968EC" w:rsidP="007968EC">
      <w:pPr>
        <w:autoSpaceDE w:val="0"/>
        <w:autoSpaceDN w:val="0"/>
        <w:adjustRightInd w:val="0"/>
        <w:ind w:left="459"/>
        <w:contextualSpacing/>
        <w:jc w:val="both"/>
        <w:rPr>
          <w:rFonts w:ascii="Arial Narrow" w:eastAsia="Calibri" w:hAnsi="Arial Narrow"/>
        </w:rPr>
      </w:pPr>
      <w:r w:rsidRPr="007C5A53">
        <w:rPr>
          <w:rFonts w:ascii="Arial Narrow" w:eastAsia="Calibri" w:hAnsi="Arial Narrow"/>
        </w:rPr>
        <w:t>En donde:</w:t>
      </w:r>
    </w:p>
    <w:p w14:paraId="234708B8" w14:textId="77777777" w:rsidR="007968EC" w:rsidRPr="007C5A53" w:rsidRDefault="007968EC" w:rsidP="007968EC">
      <w:pPr>
        <w:autoSpaceDE w:val="0"/>
        <w:autoSpaceDN w:val="0"/>
        <w:adjustRightInd w:val="0"/>
        <w:ind w:left="459"/>
        <w:contextualSpacing/>
        <w:jc w:val="both"/>
        <w:rPr>
          <w:rFonts w:ascii="Arial Narrow" w:eastAsia="Calibri" w:hAnsi="Arial Narrow"/>
        </w:rPr>
      </w:pPr>
    </w:p>
    <w:p w14:paraId="772639DB" w14:textId="77777777" w:rsidR="007968EC" w:rsidRPr="007C5A53" w:rsidRDefault="007968EC" w:rsidP="007968EC">
      <w:pPr>
        <w:autoSpaceDE w:val="0"/>
        <w:autoSpaceDN w:val="0"/>
        <w:adjustRightInd w:val="0"/>
        <w:ind w:left="-284" w:right="-660"/>
        <w:jc w:val="both"/>
        <w:rPr>
          <w:rFonts w:ascii="Arial Narrow" w:eastAsia="Calibri" w:hAnsi="Arial Narrow"/>
          <w:b/>
        </w:rPr>
      </w:pPr>
      <m:oMathPara>
        <m:oMath>
          <m:r>
            <m:rPr>
              <m:sty m:val="bi"/>
            </m:rPr>
            <w:rPr>
              <w:rFonts w:ascii="Cambria Math" w:eastAsia="Calibri" w:hAnsi="Cambria Math"/>
            </w:rPr>
            <m:t>Valor  Efectivo=  N°  Contratos d</m:t>
          </m:r>
          <m:r>
            <m:rPr>
              <m:sty m:val="bi"/>
            </m:rPr>
            <w:rPr>
              <w:rFonts w:ascii="Cambria Math" w:eastAsia="Calibri" w:hAnsi="Cambria Math" w:cs="Arial"/>
              <w:lang w:eastAsia="es-ES"/>
            </w:rPr>
            <m:t>e Operaci</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n Simult</m:t>
          </m:r>
          <m:r>
            <m:rPr>
              <m:sty m:val="bi"/>
            </m:rPr>
            <w:rPr>
              <w:rFonts w:ascii="Cambria Math" w:eastAsia="Calibri" w:hAnsi="Cambria Math" w:cs="Arial" w:hint="eastAsia"/>
              <w:lang w:eastAsia="es-ES"/>
            </w:rPr>
            <m:t>á</m:t>
          </m:r>
          <m:r>
            <m:rPr>
              <m:sty m:val="bi"/>
            </m:rPr>
            <w:rPr>
              <w:rFonts w:ascii="Cambria Math" w:eastAsia="Calibri" w:hAnsi="Cambria Math" w:cs="Arial"/>
              <w:lang w:eastAsia="es-ES"/>
            </w:rPr>
            <m:t>nea</m:t>
          </m:r>
          <m:r>
            <m:rPr>
              <m:sty m:val="bi"/>
            </m:rPr>
            <w:rPr>
              <w:rFonts w:ascii="Cambria Math" w:eastAsia="Calibri" w:hAnsi="Cambria Math"/>
            </w:rPr>
            <m:t xml:space="preserve">*Multiplicador*Precio de Negociación </m:t>
          </m:r>
        </m:oMath>
      </m:oMathPara>
    </w:p>
    <w:p w14:paraId="10867D8C" w14:textId="77777777" w:rsidR="007968EC" w:rsidRPr="007C5A53" w:rsidRDefault="007968EC" w:rsidP="007968EC">
      <w:pPr>
        <w:autoSpaceDE w:val="0"/>
        <w:autoSpaceDN w:val="0"/>
        <w:adjustRightInd w:val="0"/>
        <w:ind w:left="459"/>
        <w:contextualSpacing/>
        <w:jc w:val="both"/>
        <w:rPr>
          <w:rFonts w:ascii="Arial Narrow" w:eastAsia="Calibri" w:hAnsi="Arial Narrow"/>
        </w:rPr>
      </w:pPr>
    </w:p>
    <w:p w14:paraId="128B286C" w14:textId="77777777" w:rsidR="007968EC" w:rsidRPr="007C5A53" w:rsidRDefault="007968EC" w:rsidP="007968EC">
      <w:pPr>
        <w:autoSpaceDE w:val="0"/>
        <w:autoSpaceDN w:val="0"/>
        <w:adjustRightInd w:val="0"/>
        <w:ind w:left="459"/>
        <w:contextualSpacing/>
        <w:jc w:val="both"/>
        <w:rPr>
          <w:rFonts w:ascii="Arial Narrow" w:eastAsia="Calibri" w:hAnsi="Arial Narrow"/>
        </w:rPr>
      </w:pPr>
      <m:oMath>
        <m:r>
          <m:rPr>
            <m:sty m:val="bi"/>
          </m:rPr>
          <w:rPr>
            <w:rFonts w:ascii="Cambria Math" w:eastAsia="Calibri" w:hAnsi="Cambria Math"/>
          </w:rPr>
          <m:t>días al vencimiento</m:t>
        </m:r>
      </m:oMath>
      <w:r w:rsidRPr="007C5A53">
        <w:rPr>
          <w:rFonts w:ascii="Arial Narrow" w:eastAsia="Calibri" w:hAnsi="Arial Narrow"/>
          <w:b/>
        </w:rPr>
        <w:t>:</w:t>
      </w:r>
      <w:r w:rsidRPr="007C5A53">
        <w:rPr>
          <w:rFonts w:ascii="Arial Narrow" w:eastAsia="Calibri" w:hAnsi="Arial Narrow"/>
        </w:rPr>
        <w:t xml:space="preserve"> diferencia entre la fecha de liquidación y la siguiente sesión hábil a la actual.</w:t>
      </w:r>
    </w:p>
    <w:p w14:paraId="7F9A726D" w14:textId="77777777" w:rsidR="007968EC" w:rsidRPr="007C5A53" w:rsidRDefault="007968EC" w:rsidP="007968EC">
      <w:pPr>
        <w:autoSpaceDE w:val="0"/>
        <w:autoSpaceDN w:val="0"/>
        <w:adjustRightInd w:val="0"/>
        <w:ind w:left="459"/>
        <w:contextualSpacing/>
        <w:jc w:val="both"/>
        <w:rPr>
          <w:rFonts w:ascii="Arial Narrow" w:eastAsia="Calibri" w:hAnsi="Arial Narrow"/>
        </w:rPr>
      </w:pPr>
    </w:p>
    <w:p w14:paraId="6324AC77" w14:textId="77777777" w:rsidR="007968EC" w:rsidRPr="007C5A53" w:rsidRDefault="007968EC" w:rsidP="007968EC">
      <w:pPr>
        <w:autoSpaceDE w:val="0"/>
        <w:autoSpaceDN w:val="0"/>
        <w:adjustRightInd w:val="0"/>
        <w:ind w:left="459"/>
        <w:contextualSpacing/>
        <w:jc w:val="both"/>
        <w:rPr>
          <w:rFonts w:ascii="Arial Narrow" w:eastAsia="Calibri" w:hAnsi="Arial Narrow"/>
        </w:rPr>
      </w:pPr>
      <m:oMath>
        <m:r>
          <m:rPr>
            <m:sty m:val="bi"/>
          </m:rPr>
          <w:rPr>
            <w:rFonts w:ascii="Cambria Math" w:eastAsia="Calibri" w:hAnsi="Cambria Math"/>
          </w:rPr>
          <m:t>TipoInterés</m:t>
        </m:r>
      </m:oMath>
      <w:r w:rsidRPr="007C5A53">
        <w:rPr>
          <w:rFonts w:ascii="Arial Narrow" w:eastAsia="Calibri" w:hAnsi="Arial Narrow"/>
          <w:b/>
        </w:rPr>
        <w:t xml:space="preserve">: </w:t>
      </w:r>
      <w:r w:rsidRPr="007C5A53">
        <w:rPr>
          <w:rFonts w:ascii="Arial Narrow" w:eastAsia="Calibri" w:hAnsi="Arial Narrow"/>
        </w:rPr>
        <w:t xml:space="preserve">punto de la curva IBR </w:t>
      </w:r>
    </w:p>
    <w:p w14:paraId="10F94E97" w14:textId="77777777" w:rsidR="007968EC" w:rsidRPr="007C5A53" w:rsidRDefault="007968EC" w:rsidP="007968EC">
      <w:pPr>
        <w:autoSpaceDE w:val="0"/>
        <w:autoSpaceDN w:val="0"/>
        <w:adjustRightInd w:val="0"/>
        <w:ind w:left="504"/>
        <w:jc w:val="both"/>
        <w:rPr>
          <w:rFonts w:ascii="Arial Narrow" w:eastAsia="Calibri" w:hAnsi="Arial Narrow" w:cs="Arial"/>
          <w:b/>
          <w:lang w:eastAsia="es-ES"/>
        </w:rPr>
      </w:pPr>
    </w:p>
    <w:p w14:paraId="4748A5E9" w14:textId="77777777" w:rsidR="007968EC" w:rsidRPr="007C5A53" w:rsidRDefault="007968EC" w:rsidP="007968EC">
      <w:pPr>
        <w:autoSpaceDE w:val="0"/>
        <w:autoSpaceDN w:val="0"/>
        <w:adjustRightInd w:val="0"/>
        <w:ind w:left="504"/>
        <w:jc w:val="both"/>
        <w:rPr>
          <w:rFonts w:ascii="Arial Narrow" w:eastAsia="Calibri" w:hAnsi="Arial Narrow" w:cs="Arial"/>
          <w:b/>
          <w:lang w:eastAsia="es-ES"/>
        </w:rPr>
      </w:pPr>
      <w:r w:rsidRPr="007C5A53">
        <w:rPr>
          <w:rFonts w:ascii="Arial Narrow" w:eastAsia="Calibri" w:hAnsi="Arial Narrow" w:cs="Arial"/>
          <w:lang w:eastAsia="es-ES"/>
        </w:rPr>
        <w:t>Valor de Mercado posición (al cierre):</w:t>
      </w:r>
    </w:p>
    <w:p w14:paraId="4911B82E" w14:textId="77777777" w:rsidR="007968EC" w:rsidRPr="007C5A53" w:rsidRDefault="007968EC" w:rsidP="007968EC">
      <w:pPr>
        <w:autoSpaceDE w:val="0"/>
        <w:autoSpaceDN w:val="0"/>
        <w:adjustRightInd w:val="0"/>
        <w:ind w:left="504"/>
        <w:jc w:val="both"/>
        <w:rPr>
          <w:rFonts w:ascii="Arial Narrow" w:eastAsia="Calibri" w:hAnsi="Arial Narrow" w:cs="Arial"/>
          <w:b/>
          <w:lang w:eastAsia="es-ES"/>
        </w:rPr>
      </w:pPr>
    </w:p>
    <w:p w14:paraId="47D3A310" w14:textId="77777777" w:rsidR="007968EC" w:rsidRPr="007C5A53" w:rsidRDefault="007968EC" w:rsidP="007968EC">
      <w:pPr>
        <w:ind w:left="284"/>
        <w:rPr>
          <w:rFonts w:ascii="Arial Narrow" w:eastAsia="Calibri" w:hAnsi="Arial Narrow" w:cs="Arial"/>
          <w:b/>
          <w:lang w:eastAsia="es-ES"/>
        </w:rPr>
      </w:pPr>
      <m:oMathPara>
        <m:oMath>
          <m:r>
            <m:rPr>
              <m:sty m:val="bi"/>
            </m:rPr>
            <w:rPr>
              <w:rFonts w:ascii="Cambria Math" w:eastAsia="Calibri" w:hAnsi="Cambria Math" w:cs="Arial"/>
              <w:lang w:eastAsia="es-ES"/>
            </w:rPr>
            <m:t>Valor de mercado posici</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 xml:space="preserve">n </m:t>
          </m:r>
          <m:d>
            <m:dPr>
              <m:ctrlPr>
                <w:rPr>
                  <w:rFonts w:ascii="Cambria Math" w:hAnsi="Cambria Math" w:cs="Arial"/>
                  <w:i/>
                  <w:lang w:eastAsia="es-ES"/>
                </w:rPr>
              </m:ctrlPr>
            </m:dPr>
            <m:e>
              <m:r>
                <m:rPr>
                  <m:sty m:val="bi"/>
                </m:rPr>
                <w:rPr>
                  <w:rFonts w:ascii="Cambria Math" w:eastAsia="Calibri" w:hAnsi="Cambria Math" w:cs="Arial"/>
                  <w:lang w:eastAsia="es-ES"/>
                </w:rPr>
                <m:t xml:space="preserve"> al cierre</m:t>
              </m:r>
            </m:e>
          </m:d>
          <m:r>
            <m:rPr>
              <m:sty m:val="bi"/>
            </m:rPr>
            <w:rPr>
              <w:rFonts w:ascii="Cambria Math" w:eastAsia="Calibri" w:hAnsi="Cambria Math" w:cs="Arial"/>
              <w:lang w:eastAsia="es-ES"/>
            </w:rPr>
            <m:t>=N</m:t>
          </m:r>
          <m:r>
            <m:rPr>
              <m:sty m:val="bi"/>
            </m:rPr>
            <w:rPr>
              <w:rFonts w:ascii="Cambria Math" w:eastAsia="Calibri" w:hAnsi="Cambria Math" w:cs="Arial" w:hint="eastAsia"/>
              <w:lang w:eastAsia="es-ES"/>
            </w:rPr>
            <m:t>°</m:t>
          </m:r>
          <m:r>
            <m:rPr>
              <m:sty m:val="bi"/>
            </m:rPr>
            <w:rPr>
              <w:rFonts w:ascii="Cambria Math" w:eastAsia="Calibri" w:hAnsi="Cambria Math" w:cs="Arial"/>
              <w:lang w:eastAsia="es-ES"/>
            </w:rPr>
            <m:t xml:space="preserve"> Contr</m:t>
          </m:r>
          <m:r>
            <m:rPr>
              <m:sty m:val="bi"/>
            </m:rPr>
            <w:rPr>
              <w:rFonts w:ascii="Cambria Math" w:eastAsia="Calibri" w:hAnsi="Cambria Math" w:cs="Cambria Math"/>
              <w:lang w:eastAsia="es-ES"/>
            </w:rPr>
            <m:t>a</m:t>
          </m:r>
          <m:r>
            <m:rPr>
              <m:sty m:val="bi"/>
            </m:rPr>
            <w:rPr>
              <w:rFonts w:ascii="Cambria Math" w:eastAsia="Calibri" w:hAnsi="Cambria Math" w:cs="Arial"/>
              <w:lang w:eastAsia="es-ES"/>
            </w:rPr>
            <m:t>tos de Operaci</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n Simult</m:t>
          </m:r>
          <m:r>
            <m:rPr>
              <m:sty m:val="bi"/>
            </m:rPr>
            <w:rPr>
              <w:rFonts w:ascii="Cambria Math" w:eastAsia="Calibri" w:hAnsi="Cambria Math" w:cs="Arial" w:hint="eastAsia"/>
              <w:lang w:eastAsia="es-ES"/>
            </w:rPr>
            <m:t>á</m:t>
          </m:r>
          <m:r>
            <m:rPr>
              <m:sty m:val="bi"/>
            </m:rPr>
            <w:rPr>
              <w:rFonts w:ascii="Cambria Math" w:eastAsia="Calibri" w:hAnsi="Cambria Math" w:cs="Arial"/>
              <w:lang w:eastAsia="es-ES"/>
            </w:rPr>
            <m:t>neas*Multiplicador*Precio de Valor</m:t>
          </m:r>
          <m:r>
            <m:rPr>
              <m:sty m:val="bi"/>
            </m:rPr>
            <w:rPr>
              <w:rFonts w:ascii="Cambria Math" w:eastAsia="Calibri" w:hAnsi="Cambria Math" w:cs="Cambria Math"/>
              <w:lang w:eastAsia="es-ES"/>
            </w:rPr>
            <m:t>a</m:t>
          </m:r>
          <m:r>
            <m:rPr>
              <m:sty m:val="bi"/>
            </m:rPr>
            <w:rPr>
              <w:rFonts w:ascii="Cambria Math" w:eastAsia="Calibri" w:hAnsi="Cambria Math" w:cs="Arial"/>
              <w:lang w:eastAsia="es-ES"/>
            </w:rPr>
            <m:t>ci</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n de Operaci</m:t>
          </m:r>
          <m:r>
            <m:rPr>
              <m:sty m:val="bi"/>
            </m:rPr>
            <w:rPr>
              <w:rFonts w:ascii="Cambria Math" w:eastAsia="Calibri" w:hAnsi="Cambria Math" w:cs="Arial" w:hint="eastAsia"/>
              <w:lang w:eastAsia="es-ES"/>
            </w:rPr>
            <m:t>ó</m:t>
          </m:r>
          <m:r>
            <m:rPr>
              <m:sty m:val="bi"/>
            </m:rPr>
            <w:rPr>
              <w:rFonts w:ascii="Cambria Math" w:eastAsia="Calibri" w:hAnsi="Cambria Math" w:cs="Arial"/>
              <w:lang w:eastAsia="es-ES"/>
            </w:rPr>
            <m:t>n Simult</m:t>
          </m:r>
          <m:r>
            <m:rPr>
              <m:sty m:val="bi"/>
            </m:rPr>
            <w:rPr>
              <w:rFonts w:ascii="Cambria Math" w:eastAsia="Calibri" w:hAnsi="Cambria Math" w:cs="Arial" w:hint="eastAsia"/>
              <w:lang w:eastAsia="es-ES"/>
            </w:rPr>
            <m:t>á</m:t>
          </m:r>
          <m:r>
            <m:rPr>
              <m:sty m:val="bi"/>
            </m:rPr>
            <w:rPr>
              <w:rFonts w:ascii="Cambria Math" w:eastAsia="Calibri" w:hAnsi="Cambria Math" w:cs="Arial"/>
              <w:lang w:eastAsia="es-ES"/>
            </w:rPr>
            <m:t xml:space="preserve">nea </m:t>
          </m:r>
        </m:oMath>
      </m:oMathPara>
    </w:p>
    <w:p w14:paraId="1D237B4D" w14:textId="77777777" w:rsidR="007968EC" w:rsidRPr="007C5A53" w:rsidRDefault="007968EC" w:rsidP="007968EC">
      <w:pPr>
        <w:autoSpaceDE w:val="0"/>
        <w:autoSpaceDN w:val="0"/>
        <w:adjustRightInd w:val="0"/>
        <w:contextualSpacing/>
        <w:jc w:val="both"/>
        <w:rPr>
          <w:rFonts w:ascii="Arial Narrow" w:eastAsia="Calibri" w:hAnsi="Arial Narrow" w:cs="Arial"/>
          <w:b/>
          <w:lang w:eastAsia="es-ES"/>
        </w:rPr>
      </w:pPr>
    </w:p>
    <w:p w14:paraId="753DEE52" w14:textId="77777777" w:rsidR="007968EC" w:rsidRPr="007C5A53" w:rsidRDefault="007968EC" w:rsidP="007968EC">
      <w:pPr>
        <w:autoSpaceDE w:val="0"/>
        <w:autoSpaceDN w:val="0"/>
        <w:adjustRightInd w:val="0"/>
        <w:ind w:left="748"/>
        <w:contextualSpacing/>
        <w:jc w:val="both"/>
        <w:rPr>
          <w:rFonts w:ascii="Arial Narrow" w:eastAsia="Calibri" w:hAnsi="Arial Narrow" w:cs="Arial"/>
          <w:b/>
          <w:lang w:eastAsia="es-ES"/>
        </w:rPr>
      </w:pPr>
      <w:r w:rsidRPr="007C5A53">
        <w:rPr>
          <w:rFonts w:ascii="Arial Narrow" w:eastAsia="Calibri" w:hAnsi="Arial Narrow" w:cs="Arial"/>
          <w:lang w:eastAsia="es-ES"/>
        </w:rPr>
        <w:t>Signo: Será “1” si se trata de una compra y “-1” si se trata de una venta.</w:t>
      </w:r>
    </w:p>
    <w:p w14:paraId="63ECA637" w14:textId="77777777" w:rsidR="007968EC" w:rsidRPr="007C5A53" w:rsidRDefault="007968EC" w:rsidP="007968EC">
      <w:pPr>
        <w:autoSpaceDE w:val="0"/>
        <w:autoSpaceDN w:val="0"/>
        <w:adjustRightInd w:val="0"/>
        <w:jc w:val="both"/>
        <w:rPr>
          <w:rFonts w:ascii="Arial Narrow" w:eastAsia="Calibri" w:hAnsi="Arial Narrow" w:cs="Arial"/>
          <w:b/>
          <w:lang w:eastAsia="es-ES"/>
        </w:rPr>
      </w:pPr>
    </w:p>
    <w:p w14:paraId="08B17183" w14:textId="77777777" w:rsidR="007968EC" w:rsidRPr="007C5A53" w:rsidRDefault="007968EC" w:rsidP="007968EC">
      <w:pPr>
        <w:autoSpaceDE w:val="0"/>
        <w:autoSpaceDN w:val="0"/>
        <w:adjustRightInd w:val="0"/>
        <w:ind w:left="708"/>
        <w:jc w:val="both"/>
        <w:rPr>
          <w:rFonts w:ascii="Arial Narrow" w:eastAsia="Calibri" w:hAnsi="Arial Narrow" w:cs="Arial"/>
          <w:b/>
          <w:lang w:eastAsia="es-ES"/>
        </w:rPr>
      </w:pPr>
      <w:r w:rsidRPr="007C5A53">
        <w:rPr>
          <w:rFonts w:ascii="Arial Narrow" w:eastAsia="Calibri" w:hAnsi="Arial Narrow" w:cs="Arial"/>
          <w:lang w:eastAsia="es-ES"/>
        </w:rPr>
        <w:t xml:space="preserve">Se suma a la garantía de todos los Contratos de Operación Simultáneas de un Grupo de Compensación, y se suman a la </w:t>
      </w:r>
      <w:r w:rsidRPr="007C5A53">
        <w:rPr>
          <w:rFonts w:ascii="Arial Narrow" w:eastAsia="Calibri" w:hAnsi="Arial Narrow" w:cs="Arial"/>
          <w:i/>
          <w:lang w:eastAsia="es-ES"/>
        </w:rPr>
        <w:t>“Garantía Final”</w:t>
      </w:r>
      <w:r w:rsidRPr="007C5A53">
        <w:rPr>
          <w:rFonts w:ascii="Arial Narrow" w:eastAsia="Calibri" w:hAnsi="Arial Narrow" w:cs="Arial"/>
          <w:lang w:eastAsia="es-ES"/>
        </w:rPr>
        <w:t xml:space="preserve"> del Grupo.</w:t>
      </w:r>
    </w:p>
    <w:p w14:paraId="1A5C66CA" w14:textId="77777777" w:rsidR="007968EC" w:rsidRPr="007C5A53" w:rsidRDefault="007968EC" w:rsidP="007968EC">
      <w:pPr>
        <w:autoSpaceDE w:val="0"/>
        <w:autoSpaceDN w:val="0"/>
        <w:adjustRightInd w:val="0"/>
        <w:ind w:left="708"/>
        <w:jc w:val="both"/>
        <w:rPr>
          <w:rFonts w:ascii="Arial Narrow" w:eastAsia="Calibri" w:hAnsi="Arial Narrow" w:cs="Arial"/>
          <w:b/>
          <w:lang w:eastAsia="es-ES"/>
        </w:rPr>
      </w:pPr>
    </w:p>
    <w:p w14:paraId="65E00FB3" w14:textId="77777777" w:rsidR="007968EC" w:rsidRPr="007C5A53" w:rsidRDefault="007968EC" w:rsidP="00DA7472">
      <w:pPr>
        <w:widowControl w:val="0"/>
        <w:numPr>
          <w:ilvl w:val="1"/>
          <w:numId w:val="134"/>
        </w:numPr>
        <w:autoSpaceDE w:val="0"/>
        <w:autoSpaceDN w:val="0"/>
        <w:adjustRightInd w:val="0"/>
        <w:ind w:left="317" w:hanging="283"/>
        <w:contextualSpacing/>
        <w:jc w:val="both"/>
        <w:rPr>
          <w:rFonts w:ascii="Arial Narrow" w:eastAsia="Calibri" w:hAnsi="Arial Narrow" w:cs="Arial"/>
          <w:b/>
          <w:lang w:eastAsia="es-ES"/>
        </w:rPr>
      </w:pPr>
      <w:r w:rsidRPr="007C5A53">
        <w:rPr>
          <w:rFonts w:ascii="Arial Narrow" w:eastAsia="Calibri" w:hAnsi="Arial Narrow" w:cs="Arial"/>
          <w:b/>
          <w:lang w:eastAsia="es-ES"/>
        </w:rPr>
        <w:t xml:space="preserve">Determinación de la Garantía por Posición a constituir por Cuenta: </w:t>
      </w:r>
    </w:p>
    <w:p w14:paraId="5FC72855" w14:textId="77777777" w:rsidR="007968EC" w:rsidRPr="007C5A53" w:rsidRDefault="007968EC" w:rsidP="007968EC">
      <w:pPr>
        <w:autoSpaceDE w:val="0"/>
        <w:autoSpaceDN w:val="0"/>
        <w:adjustRightInd w:val="0"/>
        <w:ind w:left="459"/>
        <w:contextualSpacing/>
        <w:jc w:val="both"/>
        <w:rPr>
          <w:rFonts w:ascii="Arial Narrow" w:eastAsia="Calibri" w:hAnsi="Arial Narrow" w:cs="Arial"/>
          <w:b/>
          <w:lang w:eastAsia="es-ES"/>
        </w:rPr>
      </w:pPr>
    </w:p>
    <w:p w14:paraId="76632AB4" w14:textId="77777777" w:rsidR="007968EC" w:rsidRPr="007C5A53" w:rsidRDefault="007968EC" w:rsidP="007968EC">
      <w:pPr>
        <w:autoSpaceDE w:val="0"/>
        <w:autoSpaceDN w:val="0"/>
        <w:adjustRightInd w:val="0"/>
        <w:ind w:left="459"/>
        <w:contextualSpacing/>
        <w:jc w:val="both"/>
        <w:rPr>
          <w:rFonts w:ascii="Arial Narrow" w:eastAsia="Calibri" w:hAnsi="Arial Narrow" w:cs="Arial"/>
          <w:lang w:eastAsia="es-ES"/>
        </w:rPr>
      </w:pPr>
      <w:r w:rsidRPr="007C5A53">
        <w:rPr>
          <w:rFonts w:ascii="Arial Narrow" w:eastAsia="Calibri" w:hAnsi="Arial Narrow" w:cs="Arial"/>
          <w:lang w:eastAsia="es-ES"/>
        </w:rPr>
        <w:t>Se suman la “Garantía</w:t>
      </w:r>
      <w:r w:rsidRPr="007C5A53">
        <w:rPr>
          <w:rFonts w:ascii="Arial Narrow" w:eastAsia="Calibri" w:hAnsi="Arial Narrow" w:cs="Arial"/>
          <w:i/>
          <w:lang w:eastAsia="es-ES"/>
        </w:rPr>
        <w:t xml:space="preserve"> Final” </w:t>
      </w:r>
      <w:r w:rsidRPr="007C5A53">
        <w:rPr>
          <w:rFonts w:ascii="Arial Narrow" w:eastAsia="Calibri" w:hAnsi="Arial Narrow" w:cs="Arial"/>
          <w:lang w:eastAsia="es-ES"/>
        </w:rPr>
        <w:t>de los distintos Grupos de Compensación, compensándose valores positivos y negativos. El valor resultante de esta suma corresponde a la Garantía por Posición a constituir por el titular de Cuenta. En caso de que dicho resultado fuera negativo, la Garantía por Posición a constituir por titular Cuenta será cero.</w:t>
      </w:r>
    </w:p>
    <w:p w14:paraId="556A35D3" w14:textId="77777777" w:rsidR="007968EC" w:rsidRPr="007C5A53" w:rsidRDefault="007968EC" w:rsidP="007968EC">
      <w:pPr>
        <w:autoSpaceDE w:val="0"/>
        <w:autoSpaceDN w:val="0"/>
        <w:adjustRightInd w:val="0"/>
        <w:jc w:val="both"/>
        <w:rPr>
          <w:rFonts w:ascii="Arial Narrow" w:eastAsia="Calibri" w:hAnsi="Arial Narrow" w:cs="Arial"/>
          <w:b/>
          <w:lang w:eastAsia="es-ES"/>
        </w:rPr>
      </w:pPr>
    </w:p>
    <w:p w14:paraId="669FB1FF" w14:textId="77777777" w:rsidR="007968EC" w:rsidRPr="007C5A53" w:rsidRDefault="007968EC" w:rsidP="00DA7472">
      <w:pPr>
        <w:widowControl w:val="0"/>
        <w:numPr>
          <w:ilvl w:val="1"/>
          <w:numId w:val="134"/>
        </w:numPr>
        <w:autoSpaceDE w:val="0"/>
        <w:autoSpaceDN w:val="0"/>
        <w:adjustRightInd w:val="0"/>
        <w:ind w:left="317" w:hanging="283"/>
        <w:contextualSpacing/>
        <w:jc w:val="both"/>
        <w:rPr>
          <w:rFonts w:ascii="Arial Narrow" w:eastAsia="Calibri" w:hAnsi="Arial Narrow" w:cs="Arial"/>
          <w:b/>
          <w:lang w:eastAsia="es-ES"/>
        </w:rPr>
      </w:pPr>
      <w:r w:rsidRPr="007C5A53">
        <w:rPr>
          <w:rFonts w:ascii="Arial Narrow" w:eastAsia="Calibri" w:hAnsi="Arial Narrow" w:cs="Arial"/>
          <w:b/>
          <w:lang w:eastAsia="es-ES"/>
        </w:rPr>
        <w:t>Cálculo de escenarios RI para el cómputo de la Garantía por Posición:</w:t>
      </w:r>
    </w:p>
    <w:p w14:paraId="177C7561" w14:textId="77777777" w:rsidR="007968EC" w:rsidRPr="007C5A53" w:rsidRDefault="007968EC" w:rsidP="007968EC">
      <w:pPr>
        <w:autoSpaceDE w:val="0"/>
        <w:autoSpaceDN w:val="0"/>
        <w:adjustRightInd w:val="0"/>
        <w:ind w:left="317"/>
        <w:contextualSpacing/>
        <w:jc w:val="both"/>
        <w:rPr>
          <w:rFonts w:ascii="Arial Narrow" w:eastAsia="Calibri" w:hAnsi="Arial Narrow" w:cs="Arial"/>
          <w:b/>
          <w:lang w:eastAsia="es-ES"/>
        </w:rPr>
      </w:pPr>
    </w:p>
    <w:p w14:paraId="1CAFD9BD" w14:textId="77777777" w:rsidR="007968EC" w:rsidRPr="007C5A53" w:rsidRDefault="007968EC" w:rsidP="007968EC">
      <w:pPr>
        <w:autoSpaceDE w:val="0"/>
        <w:autoSpaceDN w:val="0"/>
        <w:adjustRightInd w:val="0"/>
        <w:ind w:left="317"/>
        <w:contextualSpacing/>
        <w:jc w:val="both"/>
        <w:rPr>
          <w:rFonts w:ascii="Arial Narrow" w:eastAsia="Calibri" w:hAnsi="Arial Narrow" w:cs="Arial"/>
          <w:b/>
          <w:lang w:eastAsia="es-ES"/>
        </w:rPr>
      </w:pPr>
      <w:r w:rsidRPr="007C5A53">
        <w:rPr>
          <w:rFonts w:ascii="Arial Narrow" w:eastAsia="Calibri" w:hAnsi="Arial Narrow" w:cs="Arial"/>
          <w:lang w:eastAsia="es-ES"/>
        </w:rPr>
        <w:t>Para el cómputo de la Garantía por Posición en tiempo real, considerada a efectos del consumo del Límite de Riesgo Intradía o LRI, se aplicarán los pasos descritos en los apartados A, B y C del presente artículo para cada uno de los escenarios de Riesgo Intradía (RI) definidos, a continuación:</w:t>
      </w:r>
    </w:p>
    <w:p w14:paraId="2140F6C9" w14:textId="77777777" w:rsidR="007968EC" w:rsidRPr="007C5A53" w:rsidRDefault="007968EC" w:rsidP="007968EC">
      <w:pPr>
        <w:autoSpaceDE w:val="0"/>
        <w:autoSpaceDN w:val="0"/>
        <w:adjustRightInd w:val="0"/>
        <w:ind w:left="720"/>
        <w:contextualSpacing/>
        <w:jc w:val="both"/>
        <w:rPr>
          <w:rFonts w:ascii="Arial Narrow" w:eastAsia="Calibri" w:hAnsi="Arial Narrow" w:cs="Arial"/>
          <w:b/>
          <w:lang w:eastAsia="es-ES"/>
        </w:rPr>
      </w:pPr>
    </w:p>
    <w:p w14:paraId="54484FAA" w14:textId="77777777" w:rsidR="007968EC" w:rsidRPr="007C5A53" w:rsidRDefault="007968EC" w:rsidP="007968EC">
      <w:pPr>
        <w:autoSpaceDE w:val="0"/>
        <w:autoSpaceDN w:val="0"/>
        <w:adjustRightInd w:val="0"/>
        <w:ind w:left="317"/>
        <w:jc w:val="both"/>
        <w:rPr>
          <w:rFonts w:ascii="Arial Narrow" w:eastAsia="Calibri" w:hAnsi="Arial Narrow" w:cs="Arial"/>
          <w:b/>
          <w:lang w:eastAsia="es-ES"/>
        </w:rPr>
      </w:pPr>
      <w:r w:rsidRPr="007C5A53">
        <w:rPr>
          <w:rFonts w:ascii="Arial Narrow" w:eastAsia="Calibri" w:hAnsi="Arial Narrow" w:cs="Arial"/>
          <w:lang w:eastAsia="es-ES"/>
        </w:rPr>
        <w:t>En cada escenario RI para las Operaciones Simultáneas con Posición Abierta, se calcula un supuesto de liquidación:</w:t>
      </w:r>
    </w:p>
    <w:p w14:paraId="75251402" w14:textId="77777777" w:rsidR="007968EC" w:rsidRPr="007C5A53" w:rsidRDefault="007968EC" w:rsidP="007968EC">
      <w:pPr>
        <w:autoSpaceDE w:val="0"/>
        <w:autoSpaceDN w:val="0"/>
        <w:adjustRightInd w:val="0"/>
        <w:ind w:left="720"/>
        <w:contextualSpacing/>
        <w:jc w:val="both"/>
        <w:rPr>
          <w:rFonts w:ascii="Arial Narrow" w:eastAsia="Calibri" w:hAnsi="Arial Narrow" w:cs="Arial"/>
          <w:b/>
          <w:lang w:eastAsia="es-ES"/>
        </w:rPr>
      </w:pPr>
    </w:p>
    <w:p w14:paraId="2A7D761B" w14:textId="77777777" w:rsidR="007968EC" w:rsidRPr="007C5A53" w:rsidRDefault="007968EC" w:rsidP="007968EC">
      <w:pPr>
        <w:autoSpaceDE w:val="0"/>
        <w:autoSpaceDN w:val="0"/>
        <w:adjustRightInd w:val="0"/>
        <w:ind w:left="317"/>
        <w:contextualSpacing/>
        <w:jc w:val="both"/>
        <w:rPr>
          <w:rFonts w:ascii="Arial Narrow" w:eastAsia="Calibri" w:hAnsi="Arial Narrow" w:cs="Arial"/>
          <w:b/>
          <w:lang w:eastAsia="es-ES"/>
        </w:rPr>
      </w:pPr>
      <w:r w:rsidRPr="007C5A53">
        <w:rPr>
          <w:rFonts w:ascii="Arial Narrow" w:eastAsia="Calibri" w:hAnsi="Arial Narrow" w:cs="Arial"/>
          <w:lang w:eastAsia="es-ES"/>
        </w:rPr>
        <w:t>Escenario de RI 1: Se liquidan todos los Contratos de Operaciones Simultaneas con Posición Abierta vendedora registrada en la fecha del día de cálculo y las Operaciones Simultáneas con Posición Abierta vendedora que vencen en la fecha del día de cálculo.</w:t>
      </w:r>
    </w:p>
    <w:p w14:paraId="2A28BA82" w14:textId="77777777" w:rsidR="007968EC" w:rsidRPr="007C5A53" w:rsidRDefault="007968EC" w:rsidP="007968EC">
      <w:pPr>
        <w:autoSpaceDE w:val="0"/>
        <w:autoSpaceDN w:val="0"/>
        <w:adjustRightInd w:val="0"/>
        <w:jc w:val="both"/>
        <w:rPr>
          <w:rFonts w:ascii="Arial Narrow" w:eastAsia="Calibri" w:hAnsi="Arial Narrow" w:cs="Arial"/>
          <w:b/>
          <w:lang w:eastAsia="es-ES"/>
        </w:rPr>
      </w:pPr>
    </w:p>
    <w:p w14:paraId="7787D8C0" w14:textId="77777777" w:rsidR="007968EC" w:rsidRPr="007C5A53" w:rsidRDefault="007968EC" w:rsidP="007968EC">
      <w:pPr>
        <w:autoSpaceDE w:val="0"/>
        <w:autoSpaceDN w:val="0"/>
        <w:adjustRightInd w:val="0"/>
        <w:ind w:left="317"/>
        <w:contextualSpacing/>
        <w:jc w:val="both"/>
        <w:rPr>
          <w:rFonts w:ascii="Arial Narrow" w:eastAsia="Calibri" w:hAnsi="Arial Narrow" w:cs="Arial"/>
          <w:b/>
          <w:lang w:eastAsia="es-ES"/>
        </w:rPr>
      </w:pPr>
      <w:r w:rsidRPr="007C5A53">
        <w:rPr>
          <w:rFonts w:ascii="Arial Narrow" w:eastAsia="Calibri" w:hAnsi="Arial Narrow" w:cs="Arial"/>
          <w:lang w:eastAsia="es-ES"/>
        </w:rPr>
        <w:t>Escenario de RI 2: Se liquidan todos los Contratos de Operaciones Simultaneas con Posición Abierta compradora registrada en la fecha del día de cálculo y las Operaciones Simultáneas con Posición Abierta compradora que vencen en el día hábil siguiente a la fecha del día de cálculo.</w:t>
      </w:r>
    </w:p>
    <w:p w14:paraId="3193418D" w14:textId="77777777" w:rsidR="007968EC" w:rsidRPr="007C5A53" w:rsidRDefault="007968EC" w:rsidP="007968EC">
      <w:pPr>
        <w:ind w:left="317"/>
        <w:contextualSpacing/>
        <w:rPr>
          <w:rFonts w:ascii="Arial Narrow" w:eastAsia="Calibri" w:hAnsi="Arial Narrow" w:cs="Arial"/>
          <w:b/>
          <w:lang w:eastAsia="es-ES"/>
        </w:rPr>
      </w:pPr>
    </w:p>
    <w:p w14:paraId="7946852D" w14:textId="77777777" w:rsidR="007968EC" w:rsidRPr="007C5A53" w:rsidRDefault="007968EC" w:rsidP="007968EC">
      <w:pPr>
        <w:autoSpaceDE w:val="0"/>
        <w:autoSpaceDN w:val="0"/>
        <w:adjustRightInd w:val="0"/>
        <w:ind w:left="317"/>
        <w:contextualSpacing/>
        <w:jc w:val="both"/>
        <w:rPr>
          <w:rFonts w:ascii="Arial Narrow" w:eastAsia="Calibri" w:hAnsi="Arial Narrow" w:cs="Arial"/>
          <w:b/>
          <w:lang w:eastAsia="es-ES"/>
        </w:rPr>
      </w:pPr>
      <w:r w:rsidRPr="007C5A53">
        <w:rPr>
          <w:rFonts w:ascii="Arial Narrow" w:eastAsia="Calibri" w:hAnsi="Arial Narrow" w:cs="Arial"/>
          <w:lang w:eastAsia="es-ES"/>
        </w:rPr>
        <w:t>Escenario de RI 3: Se consideran todos los Contratos de Operaciones Simultáneas con Posición Abierta.</w:t>
      </w:r>
    </w:p>
    <w:p w14:paraId="21701014" w14:textId="77777777" w:rsidR="007968EC" w:rsidRPr="007C5A53" w:rsidRDefault="007968EC" w:rsidP="007968EC">
      <w:pPr>
        <w:ind w:left="720"/>
        <w:contextualSpacing/>
        <w:rPr>
          <w:rFonts w:ascii="Arial Narrow" w:eastAsia="Calibri" w:hAnsi="Arial Narrow" w:cs="Arial"/>
          <w:b/>
          <w:lang w:eastAsia="es-ES"/>
        </w:rPr>
      </w:pPr>
    </w:p>
    <w:p w14:paraId="63258523" w14:textId="77777777" w:rsidR="007968EC" w:rsidRPr="007C5A53" w:rsidRDefault="007968EC" w:rsidP="007968EC">
      <w:pPr>
        <w:autoSpaceDE w:val="0"/>
        <w:autoSpaceDN w:val="0"/>
        <w:adjustRightInd w:val="0"/>
        <w:ind w:left="317"/>
        <w:jc w:val="both"/>
        <w:rPr>
          <w:rFonts w:ascii="Arial Narrow" w:eastAsia="Calibri" w:hAnsi="Arial Narrow" w:cs="Arial"/>
          <w:b/>
          <w:lang w:eastAsia="es-ES"/>
        </w:rPr>
      </w:pPr>
      <w:r w:rsidRPr="007C5A53">
        <w:rPr>
          <w:rFonts w:ascii="Arial Narrow" w:eastAsia="Calibri" w:hAnsi="Arial Narrow" w:cs="Arial"/>
          <w:lang w:eastAsia="es-ES"/>
        </w:rPr>
        <w:t>Escenario de RI 4: Se liquidan todos los Contratos de Operaciones Simultáneas que vencen en la fecha del día de cálculo más los Contratos de Operaciones Simultáneas con Posición Abierta vendedora que vencen en el día hábil siguiente a la fecha del día de cálculo.</w:t>
      </w:r>
    </w:p>
    <w:p w14:paraId="3171808F" w14:textId="77777777" w:rsidR="007968EC" w:rsidRPr="007C5A53" w:rsidRDefault="007968EC" w:rsidP="007968EC">
      <w:pPr>
        <w:autoSpaceDE w:val="0"/>
        <w:autoSpaceDN w:val="0"/>
        <w:adjustRightInd w:val="0"/>
        <w:ind w:left="317"/>
        <w:contextualSpacing/>
        <w:jc w:val="both"/>
        <w:rPr>
          <w:rFonts w:ascii="Arial Narrow" w:eastAsia="Calibri" w:hAnsi="Arial Narrow" w:cs="Arial"/>
          <w:b/>
          <w:lang w:eastAsia="es-ES"/>
        </w:rPr>
      </w:pPr>
    </w:p>
    <w:p w14:paraId="6A5DB68D" w14:textId="77777777" w:rsidR="007968EC" w:rsidRPr="007C5A53" w:rsidRDefault="007968EC" w:rsidP="007968EC">
      <w:pPr>
        <w:autoSpaceDE w:val="0"/>
        <w:autoSpaceDN w:val="0"/>
        <w:adjustRightInd w:val="0"/>
        <w:ind w:left="317"/>
        <w:jc w:val="both"/>
        <w:rPr>
          <w:rFonts w:ascii="Arial Narrow" w:eastAsia="Calibri" w:hAnsi="Arial Narrow" w:cs="Arial"/>
          <w:b/>
          <w:lang w:eastAsia="es-ES"/>
        </w:rPr>
      </w:pPr>
      <w:r w:rsidRPr="007C5A53">
        <w:rPr>
          <w:rFonts w:ascii="Arial Narrow" w:eastAsia="Calibri" w:hAnsi="Arial Narrow" w:cs="Arial"/>
          <w:lang w:eastAsia="es-ES"/>
        </w:rPr>
        <w:t>Escenario de RI 5: Se liquidan todos los Contratos de Operaciones Simultáneas que vencen en la fecha del día de cálculo más los Contratos de Operaciones Simultáneas con Posición Abierta compradora que vencen en la siguiente sesión.</w:t>
      </w:r>
    </w:p>
    <w:p w14:paraId="28313FCD" w14:textId="77777777" w:rsidR="007968EC" w:rsidRPr="007C5A53" w:rsidRDefault="007968EC" w:rsidP="007968EC">
      <w:pPr>
        <w:ind w:left="317" w:firstLine="708"/>
        <w:contextualSpacing/>
        <w:rPr>
          <w:rFonts w:ascii="Arial Narrow" w:eastAsia="Calibri" w:hAnsi="Arial Narrow" w:cs="Arial"/>
          <w:b/>
          <w:lang w:eastAsia="es-ES"/>
        </w:rPr>
      </w:pPr>
    </w:p>
    <w:p w14:paraId="046969A0" w14:textId="77777777" w:rsidR="007968EC" w:rsidRPr="007C5A53" w:rsidRDefault="007968EC" w:rsidP="007968EC">
      <w:pPr>
        <w:autoSpaceDE w:val="0"/>
        <w:autoSpaceDN w:val="0"/>
        <w:adjustRightInd w:val="0"/>
        <w:ind w:left="317"/>
        <w:jc w:val="both"/>
        <w:rPr>
          <w:rFonts w:ascii="Arial Narrow" w:eastAsia="Calibri" w:hAnsi="Arial Narrow" w:cs="Arial"/>
          <w:b/>
          <w:lang w:eastAsia="es-ES"/>
        </w:rPr>
      </w:pPr>
      <w:r w:rsidRPr="007C5A53">
        <w:rPr>
          <w:rFonts w:ascii="Arial Narrow" w:eastAsia="Calibri" w:hAnsi="Arial Narrow" w:cs="Arial"/>
          <w:lang w:eastAsia="es-ES"/>
        </w:rPr>
        <w:t xml:space="preserve">Escenario de RI 6: Se liquidan todos los Contratos de Operaciones Simultáneas que vencen en la sesión. </w:t>
      </w:r>
    </w:p>
    <w:p w14:paraId="5B05E3E8" w14:textId="77777777" w:rsidR="007968EC" w:rsidRPr="007C5A53" w:rsidRDefault="007968EC" w:rsidP="007968EC">
      <w:pPr>
        <w:ind w:left="720"/>
        <w:contextualSpacing/>
        <w:rPr>
          <w:rFonts w:ascii="Arial Narrow" w:eastAsia="Calibri" w:hAnsi="Arial Narrow" w:cs="Arial"/>
          <w:b/>
          <w:lang w:eastAsia="es-ES"/>
        </w:rPr>
      </w:pPr>
    </w:p>
    <w:p w14:paraId="0C0531BF" w14:textId="77777777" w:rsidR="007968EC" w:rsidRPr="007C5A53" w:rsidRDefault="007968EC" w:rsidP="007968EC">
      <w:pPr>
        <w:autoSpaceDE w:val="0"/>
        <w:autoSpaceDN w:val="0"/>
        <w:adjustRightInd w:val="0"/>
        <w:ind w:left="317"/>
        <w:jc w:val="both"/>
        <w:rPr>
          <w:rFonts w:ascii="Arial Narrow" w:eastAsia="Calibri" w:hAnsi="Arial Narrow" w:cs="Arial"/>
          <w:b/>
          <w:lang w:eastAsia="es-ES"/>
        </w:rPr>
      </w:pPr>
      <w:r w:rsidRPr="007C5A53">
        <w:rPr>
          <w:rFonts w:ascii="Arial Narrow" w:eastAsia="Calibri" w:hAnsi="Arial Narrow" w:cs="Arial"/>
          <w:lang w:eastAsia="es-ES"/>
        </w:rPr>
        <w:t>Se considerará para cada titular de Cuenta el escenario RI que genere mayor riesgo.</w:t>
      </w:r>
    </w:p>
    <w:p w14:paraId="3E522688" w14:textId="77777777" w:rsidR="007968EC" w:rsidRPr="007C5A53" w:rsidRDefault="007968EC" w:rsidP="007968EC">
      <w:pPr>
        <w:autoSpaceDE w:val="0"/>
        <w:autoSpaceDN w:val="0"/>
        <w:adjustRightInd w:val="0"/>
        <w:ind w:left="504"/>
        <w:jc w:val="both"/>
        <w:rPr>
          <w:rFonts w:ascii="Arial Narrow" w:eastAsia="Calibri" w:hAnsi="Arial Narrow" w:cs="Arial"/>
          <w:lang w:eastAsia="es-ES"/>
        </w:rPr>
      </w:pPr>
    </w:p>
    <w:p w14:paraId="709D0772" w14:textId="77777777" w:rsidR="007968EC" w:rsidRPr="007C5A53" w:rsidRDefault="007968EC" w:rsidP="00DA7472">
      <w:pPr>
        <w:widowControl w:val="0"/>
        <w:numPr>
          <w:ilvl w:val="1"/>
          <w:numId w:val="134"/>
        </w:numPr>
        <w:autoSpaceDE w:val="0"/>
        <w:autoSpaceDN w:val="0"/>
        <w:adjustRightInd w:val="0"/>
        <w:ind w:left="317" w:hanging="283"/>
        <w:contextualSpacing/>
        <w:jc w:val="both"/>
        <w:rPr>
          <w:rFonts w:ascii="Arial Narrow" w:eastAsia="Calibri" w:hAnsi="Arial Narrow" w:cs="Arial"/>
          <w:b/>
          <w:lang w:eastAsia="es-ES"/>
        </w:rPr>
      </w:pPr>
      <w:r w:rsidRPr="007C5A53">
        <w:rPr>
          <w:rFonts w:ascii="Arial Narrow" w:eastAsia="Calibri" w:hAnsi="Arial Narrow" w:cs="Arial"/>
          <w:b/>
          <w:lang w:eastAsia="es-ES"/>
        </w:rPr>
        <w:t xml:space="preserve">Aplicación al Límite de Margin Call: </w:t>
      </w:r>
    </w:p>
    <w:p w14:paraId="53338AA9" w14:textId="77777777" w:rsidR="007968EC" w:rsidRPr="007C5A53" w:rsidRDefault="007968EC" w:rsidP="007968EC">
      <w:pPr>
        <w:autoSpaceDE w:val="0"/>
        <w:autoSpaceDN w:val="0"/>
        <w:adjustRightInd w:val="0"/>
        <w:ind w:left="459"/>
        <w:contextualSpacing/>
        <w:jc w:val="both"/>
        <w:rPr>
          <w:rFonts w:ascii="Arial Narrow" w:eastAsia="Calibri" w:hAnsi="Arial Narrow" w:cs="Arial"/>
          <w:b/>
          <w:lang w:eastAsia="es-ES"/>
        </w:rPr>
      </w:pPr>
    </w:p>
    <w:p w14:paraId="7B5B651C" w14:textId="77777777" w:rsidR="007968EC" w:rsidRPr="002C0D19" w:rsidRDefault="007968EC" w:rsidP="007968EC">
      <w:pPr>
        <w:autoSpaceDE w:val="0"/>
        <w:autoSpaceDN w:val="0"/>
        <w:adjustRightInd w:val="0"/>
        <w:ind w:left="317"/>
        <w:jc w:val="both"/>
        <w:rPr>
          <w:rFonts w:ascii="Arial Narrow" w:eastAsia="Calibri" w:hAnsi="Arial Narrow"/>
          <w:b/>
          <w:color w:val="000000" w:themeColor="text1"/>
        </w:rPr>
      </w:pPr>
      <w:r w:rsidRPr="007C5A53">
        <w:rPr>
          <w:rFonts w:ascii="Arial Narrow" w:eastAsia="Calibri" w:hAnsi="Arial Narrow" w:cs="Arial"/>
          <w:lang w:eastAsia="es-ES"/>
        </w:rPr>
        <w:t>Para el cálculo del riesgo considerado a efectos del Límite de Margin Call, se aplicarán los pasos descritos en los apartados A, B y C del presente artículo para todos los Contratos de Operaciones Simultáneas con Posición Abierta a la fecha de cálculo utilizando las Fluctuaciones definidas para llamados a Garantías Extraordinarias descritas en la presente Circular</w:t>
      </w:r>
      <w:r>
        <w:rPr>
          <w:rFonts w:ascii="Arial Narrow" w:eastAsia="Calibri" w:hAnsi="Arial Narrow" w:cs="Arial"/>
          <w:lang w:eastAsia="es-ES"/>
        </w:rPr>
        <w:t>.</w:t>
      </w:r>
    </w:p>
    <w:p w14:paraId="7C42DCB4" w14:textId="77777777" w:rsidR="007968EC" w:rsidRPr="002C0D19" w:rsidRDefault="007968EC" w:rsidP="007968EC">
      <w:pPr>
        <w:autoSpaceDE w:val="0"/>
        <w:autoSpaceDN w:val="0"/>
        <w:adjustRightInd w:val="0"/>
        <w:jc w:val="both"/>
        <w:rPr>
          <w:rFonts w:ascii="Arial Narrow" w:eastAsia="Calibri" w:hAnsi="Arial Narrow"/>
          <w:b/>
          <w:color w:val="000000" w:themeColor="text1"/>
        </w:rPr>
      </w:pPr>
    </w:p>
    <w:p w14:paraId="2C19D735" w14:textId="77777777" w:rsidR="007968EC" w:rsidRDefault="007968EC" w:rsidP="007968EC">
      <w:pPr>
        <w:keepNext/>
        <w:jc w:val="center"/>
        <w:outlineLvl w:val="0"/>
        <w:rPr>
          <w:rFonts w:ascii="Arial Narrow" w:eastAsia="Calibri" w:hAnsi="Arial Narrow" w:cs="Arial"/>
          <w:b/>
          <w:kern w:val="32"/>
          <w:szCs w:val="20"/>
          <w:lang w:val="es-ES"/>
        </w:rPr>
      </w:pPr>
      <w:bookmarkStart w:id="5839" w:name="_Toc470781214"/>
      <w:bookmarkStart w:id="5840" w:name="_Toc470784795"/>
      <w:bookmarkStart w:id="5841" w:name="_Toc470785332"/>
      <w:bookmarkStart w:id="5842" w:name="_Toc470791726"/>
      <w:bookmarkStart w:id="5843" w:name="_Toc472592458"/>
      <w:bookmarkStart w:id="5844" w:name="_Toc472593477"/>
      <w:bookmarkStart w:id="5845" w:name="_Toc479057276"/>
      <w:bookmarkStart w:id="5846" w:name="_Toc490066643"/>
    </w:p>
    <w:p w14:paraId="7661E2CB" w14:textId="77777777" w:rsidR="007968EC" w:rsidRPr="002C0D19" w:rsidRDefault="007968EC" w:rsidP="007968EC">
      <w:pPr>
        <w:pStyle w:val="TTULO"/>
        <w:rPr>
          <w:rFonts w:eastAsia="Calibri"/>
          <w:lang w:val="es-ES"/>
        </w:rPr>
      </w:pPr>
      <w:bookmarkStart w:id="5847" w:name="_Toc31716302"/>
      <w:r w:rsidRPr="002C0D19">
        <w:rPr>
          <w:rFonts w:eastAsia="Calibri"/>
          <w:lang w:val="es-ES"/>
        </w:rPr>
        <w:t>CAPÍTULO TERCERO</w:t>
      </w:r>
      <w:bookmarkEnd w:id="5839"/>
      <w:bookmarkEnd w:id="5840"/>
      <w:bookmarkEnd w:id="5841"/>
      <w:bookmarkEnd w:id="5842"/>
      <w:bookmarkEnd w:id="5843"/>
      <w:bookmarkEnd w:id="5844"/>
      <w:bookmarkEnd w:id="5845"/>
      <w:bookmarkEnd w:id="5846"/>
      <w:bookmarkEnd w:id="5847"/>
    </w:p>
    <w:p w14:paraId="24467E15" w14:textId="77777777" w:rsidR="007968EC" w:rsidRPr="002C0D19" w:rsidRDefault="007968EC" w:rsidP="007968EC">
      <w:pPr>
        <w:pStyle w:val="TTULO"/>
        <w:rPr>
          <w:rFonts w:eastAsia="Calibri"/>
          <w:lang w:val="es-ES"/>
        </w:rPr>
      </w:pPr>
    </w:p>
    <w:p w14:paraId="3F5FBAAE" w14:textId="77777777" w:rsidR="007968EC" w:rsidRPr="002C0D19" w:rsidRDefault="007968EC" w:rsidP="007968EC">
      <w:pPr>
        <w:pStyle w:val="TTULO"/>
        <w:rPr>
          <w:rFonts w:eastAsia="Calibri"/>
          <w:lang w:val="es-ES"/>
        </w:rPr>
      </w:pPr>
      <w:bookmarkStart w:id="5848" w:name="_Toc470781215"/>
      <w:bookmarkStart w:id="5849" w:name="_Toc470784796"/>
      <w:bookmarkStart w:id="5850" w:name="_Toc470785333"/>
      <w:bookmarkStart w:id="5851" w:name="_Toc470791727"/>
      <w:bookmarkStart w:id="5852" w:name="_Toc472592459"/>
      <w:bookmarkStart w:id="5853" w:name="_Toc472593478"/>
      <w:bookmarkStart w:id="5854" w:name="_Toc479057277"/>
      <w:bookmarkStart w:id="5855" w:name="_Toc490066644"/>
      <w:bookmarkStart w:id="5856" w:name="_Toc31716303"/>
      <w:r w:rsidRPr="002C0D19">
        <w:rPr>
          <w:rFonts w:eastAsia="Calibri"/>
          <w:lang w:val="es-ES"/>
        </w:rPr>
        <w:t>PARÁMETROS DE DETERMINACIÓN DE LAS GARANTÍAS POR POSICIÓN APLICABLES A LAS OPERACIONES SIMULTÁNEAS</w:t>
      </w:r>
      <w:bookmarkEnd w:id="5848"/>
      <w:bookmarkEnd w:id="5849"/>
      <w:bookmarkEnd w:id="5850"/>
      <w:bookmarkEnd w:id="5851"/>
      <w:bookmarkEnd w:id="5852"/>
      <w:bookmarkEnd w:id="5853"/>
      <w:bookmarkEnd w:id="5854"/>
      <w:bookmarkEnd w:id="5855"/>
      <w:bookmarkEnd w:id="5856"/>
    </w:p>
    <w:p w14:paraId="568970E3" w14:textId="77777777" w:rsidR="007968EC" w:rsidRPr="002C0D19" w:rsidRDefault="007968EC" w:rsidP="007968EC">
      <w:pPr>
        <w:outlineLvl w:val="1"/>
        <w:rPr>
          <w:rFonts w:ascii="Arial Narrow" w:eastAsia="Calibri" w:hAnsi="Arial Narrow"/>
          <w:b/>
          <w:color w:val="000000" w:themeColor="text1"/>
        </w:rPr>
      </w:pPr>
    </w:p>
    <w:p w14:paraId="71BC9FD6" w14:textId="77777777" w:rsidR="007968EC" w:rsidRDefault="007968EC" w:rsidP="007968EC">
      <w:pPr>
        <w:pStyle w:val="ARTICULO0"/>
      </w:pPr>
      <w:bookmarkStart w:id="5857" w:name="_Toc470781216"/>
      <w:bookmarkStart w:id="5858" w:name="_Toc470784797"/>
      <w:bookmarkStart w:id="5859" w:name="_Toc470785334"/>
      <w:bookmarkStart w:id="5860" w:name="_Toc470791728"/>
      <w:bookmarkStart w:id="5861" w:name="_Toc479057278"/>
      <w:bookmarkStart w:id="5862" w:name="_Toc31716304"/>
      <w:bookmarkStart w:id="5863" w:name="_Toc490066645"/>
      <w:r w:rsidRPr="002C0D19">
        <w:t>Artículo 3.5.3.1. Parámetros para el cálculo de la Garantía por Posición.</w:t>
      </w:r>
      <w:bookmarkEnd w:id="5857"/>
      <w:bookmarkEnd w:id="5858"/>
      <w:bookmarkEnd w:id="5859"/>
      <w:bookmarkEnd w:id="5860"/>
      <w:bookmarkEnd w:id="5861"/>
      <w:bookmarkEnd w:id="5862"/>
      <w:r w:rsidRPr="002C0D19">
        <w:t xml:space="preserve"> </w:t>
      </w:r>
    </w:p>
    <w:p w14:paraId="6C4CB9BE" w14:textId="77777777" w:rsidR="007968EC" w:rsidRDefault="007968EC" w:rsidP="007968EC">
      <w:pPr>
        <w:keepNext/>
        <w:tabs>
          <w:tab w:val="left" w:pos="1701"/>
        </w:tabs>
        <w:jc w:val="both"/>
        <w:outlineLvl w:val="2"/>
        <w:rPr>
          <w:rFonts w:ascii="Arial Narrow" w:hAnsi="Arial Narrow" w:cs="Arial"/>
          <w:b/>
          <w:color w:val="000000" w:themeColor="text1"/>
          <w:u w:val="single"/>
          <w:lang w:eastAsia="es-ES"/>
        </w:rPr>
      </w:pPr>
    </w:p>
    <w:p w14:paraId="541442A5" w14:textId="21C0CA25" w:rsidR="007968EC" w:rsidRDefault="007968EC" w:rsidP="00B93F48">
      <w:pPr>
        <w:pStyle w:val="ANTECEDENTES"/>
      </w:pPr>
      <w:r w:rsidRPr="002C0D19">
        <w:t xml:space="preserve">(Este artículo fue modificado mediante Circular 2 del 11 de enero de 2017, publicada mediante Boletín Normativo No. 002 del 11 de enero de 2017, mediante Circular 3 del 12 de enero de 2017, publicada mediante Boletín Normativo No. 003 del 12 de enero de 2017, mediante Circular 11 del 19 de mayo de 2017, publicada mediante Boletín Normativo </w:t>
      </w:r>
      <w:r>
        <w:t>No. 011 del 19 de mayo de 2017,</w:t>
      </w:r>
      <w:r w:rsidRPr="002C0D19">
        <w:t xml:space="preserve"> mediante Circular 12 del 16 de junio de 2017, publicada en el Boletín Normativo No.012 del 16 de junio de 2017</w:t>
      </w:r>
      <w:r>
        <w:t xml:space="preserve">, </w:t>
      </w:r>
      <w:r w:rsidRPr="002C0D19">
        <w:t>mediante Circ</w:t>
      </w:r>
      <w:r>
        <w:t>ular 16 del 2</w:t>
      </w:r>
      <w:r w:rsidRPr="002C0D19">
        <w:t xml:space="preserve">6 de </w:t>
      </w:r>
      <w:r>
        <w:t>diciembre de 2018</w:t>
      </w:r>
      <w:r w:rsidRPr="002C0D19">
        <w:t>, publicad</w:t>
      </w:r>
      <w:r>
        <w:t>a en el Boletín Normativo No.029 del 26 de diciembre de 201</w:t>
      </w:r>
      <w:bookmarkEnd w:id="5863"/>
      <w:r>
        <w:t xml:space="preserve">8, </w:t>
      </w:r>
      <w:r w:rsidRPr="00536434">
        <w:t xml:space="preserve">modificado mediante Circular 9 del 2 de julio de 2019, publicada en el Boletín Normativo No. 021 del 2 de julio </w:t>
      </w:r>
      <w:r w:rsidRPr="00217A99">
        <w:t>de 2019, modificado mediante Circular 11 del 15 de julio de 2019, publicada en el Boletín Normativo No. 023 del 15 de julio de 2019, y mediante Circular 13 del 2</w:t>
      </w:r>
      <w:r>
        <w:t>4</w:t>
      </w:r>
      <w:r w:rsidRPr="00217A99">
        <w:t xml:space="preserve"> de septiembre de 2019, publicada en el Boletín Normativo No. 026 del 2</w:t>
      </w:r>
      <w:r>
        <w:t>4</w:t>
      </w:r>
      <w:r w:rsidRPr="00217A99">
        <w:t xml:space="preserve"> de septiembre de 2019</w:t>
      </w:r>
      <w:r>
        <w:t>,</w:t>
      </w:r>
      <w:r w:rsidRPr="002C0D19">
        <w:t xml:space="preserve"> mediante Circular </w:t>
      </w:r>
      <w:r>
        <w:t>20</w:t>
      </w:r>
      <w:r w:rsidRPr="002C0D19">
        <w:t xml:space="preserve"> del </w:t>
      </w:r>
      <w:r>
        <w:t>6</w:t>
      </w:r>
      <w:r w:rsidRPr="002C0D19">
        <w:t xml:space="preserve"> de diciembre de 201</w:t>
      </w:r>
      <w:r>
        <w:t>9</w:t>
      </w:r>
      <w:r w:rsidRPr="002C0D19">
        <w:t>, publicada en el Boletín Normativo No. 0</w:t>
      </w:r>
      <w:r>
        <w:t>35</w:t>
      </w:r>
      <w:r w:rsidRPr="002C0D19">
        <w:t xml:space="preserve"> del </w:t>
      </w:r>
      <w:r>
        <w:t>6</w:t>
      </w:r>
      <w:r w:rsidRPr="002C0D19">
        <w:t xml:space="preserve"> de diciembre de 201</w:t>
      </w:r>
      <w:r>
        <w:t>9</w:t>
      </w:r>
      <w:r w:rsidR="00B93F48" w:rsidRPr="00B93F48">
        <w:t xml:space="preserve"> </w:t>
      </w:r>
      <w:r w:rsidR="00B93F48">
        <w:t>y</w:t>
      </w:r>
      <w:r w:rsidR="00B93F48" w:rsidRPr="002C0D19">
        <w:t xml:space="preserve"> mediante Circular </w:t>
      </w:r>
      <w:r w:rsidR="00B93F48">
        <w:t>3</w:t>
      </w:r>
      <w:r w:rsidR="00B93F48" w:rsidRPr="002C0D19">
        <w:t xml:space="preserve"> del </w:t>
      </w:r>
      <w:r w:rsidR="00B93F48">
        <w:t>5</w:t>
      </w:r>
      <w:r w:rsidR="00B93F48" w:rsidRPr="002C0D19">
        <w:t xml:space="preserve"> de </w:t>
      </w:r>
      <w:r w:rsidR="00B93F48">
        <w:t>feb</w:t>
      </w:r>
      <w:r w:rsidR="00B93F48" w:rsidRPr="002C0D19">
        <w:t>re</w:t>
      </w:r>
      <w:r w:rsidR="00B93F48">
        <w:t>ro</w:t>
      </w:r>
      <w:r w:rsidR="00B93F48" w:rsidRPr="002C0D19">
        <w:t xml:space="preserve"> de 20</w:t>
      </w:r>
      <w:r w:rsidR="00B93F48">
        <w:t>20</w:t>
      </w:r>
      <w:r w:rsidR="00B93F48" w:rsidRPr="002C0D19">
        <w:t>, publicada en el Boletín Normativo No. 0</w:t>
      </w:r>
      <w:r w:rsidR="00B93F48">
        <w:t>03</w:t>
      </w:r>
      <w:r w:rsidR="00B93F48" w:rsidRPr="002C0D19">
        <w:t xml:space="preserve"> del </w:t>
      </w:r>
      <w:r w:rsidR="00B93F48">
        <w:t>5</w:t>
      </w:r>
      <w:r w:rsidR="00B93F48" w:rsidRPr="002C0D19">
        <w:t xml:space="preserve"> de </w:t>
      </w:r>
      <w:r w:rsidR="00B93F48">
        <w:t>fe</w:t>
      </w:r>
      <w:r w:rsidR="00B93F48" w:rsidRPr="002C0D19">
        <w:t>bre</w:t>
      </w:r>
      <w:r w:rsidR="00B93F48">
        <w:t>ro</w:t>
      </w:r>
      <w:r w:rsidR="00B93F48" w:rsidRPr="002C0D19">
        <w:t xml:space="preserve"> de 20</w:t>
      </w:r>
      <w:r w:rsidR="00B93F48">
        <w:t>20</w:t>
      </w:r>
      <w:r w:rsidR="00B93F48" w:rsidRPr="002C0D19">
        <w:t xml:space="preserve">. </w:t>
      </w:r>
      <w:r w:rsidR="00B93F48">
        <w:t>Rige a partir del 10 de febrero de 2020).</w:t>
      </w:r>
    </w:p>
    <w:p w14:paraId="7C17B6B8" w14:textId="77777777" w:rsidR="00B93F48" w:rsidRPr="002C0D19" w:rsidRDefault="00B93F48" w:rsidP="00B93F48">
      <w:pPr>
        <w:pStyle w:val="ANTECEDENTES"/>
        <w:rPr>
          <w:rFonts w:eastAsia="Calibri"/>
          <w:bCs/>
          <w:color w:val="000000" w:themeColor="text1"/>
        </w:rPr>
      </w:pPr>
    </w:p>
    <w:p w14:paraId="7A205E85" w14:textId="77777777" w:rsidR="00B93F48" w:rsidRPr="007C14BA" w:rsidRDefault="00B93F48" w:rsidP="00B93F48">
      <w:pPr>
        <w:jc w:val="both"/>
        <w:rPr>
          <w:rFonts w:ascii="Arial Narrow" w:eastAsia="Calibri" w:hAnsi="Arial Narrow"/>
          <w:b/>
          <w:bCs/>
          <w:color w:val="000000" w:themeColor="text1"/>
        </w:rPr>
      </w:pPr>
      <w:r w:rsidRPr="007C14BA">
        <w:rPr>
          <w:rFonts w:ascii="Arial Narrow" w:eastAsia="Calibri" w:hAnsi="Arial Narrow"/>
          <w:bCs/>
          <w:color w:val="000000" w:themeColor="text1"/>
        </w:rPr>
        <w:t xml:space="preserve">Para efectos de control de riesgo se agrupan </w:t>
      </w:r>
      <w:r w:rsidRPr="007C14BA">
        <w:rPr>
          <w:rFonts w:ascii="Arial Narrow" w:eastAsia="Calibri" w:hAnsi="Arial Narrow"/>
          <w:color w:val="000000" w:themeColor="text1"/>
        </w:rPr>
        <w:t>las Operaciones Simultáneas</w:t>
      </w:r>
      <w:r w:rsidRPr="007C14BA">
        <w:rPr>
          <w:rFonts w:ascii="Arial Narrow" w:eastAsia="Calibri" w:hAnsi="Arial Narrow"/>
          <w:bCs/>
          <w:color w:val="000000" w:themeColor="text1"/>
        </w:rPr>
        <w:t xml:space="preserve"> por la Escala de Duración Modificada (EDM) según el título objeto de la operación, de conformidad con la siguiente tabla:</w:t>
      </w:r>
    </w:p>
    <w:p w14:paraId="46D7168B" w14:textId="77777777" w:rsidR="00B93F48" w:rsidRPr="007C14BA" w:rsidRDefault="00B93F48" w:rsidP="00B93F48">
      <w:pPr>
        <w:rPr>
          <w:rFonts w:ascii="Arial Narrow" w:eastAsia="Calibri" w:hAnsi="Arial Narrow"/>
          <w:color w:val="000000" w:themeColor="text1"/>
          <w:lang w:eastAsia="es-ES"/>
        </w:rPr>
      </w:pPr>
    </w:p>
    <w:p w14:paraId="4488A0A5" w14:textId="77777777" w:rsidR="00B93F48" w:rsidRPr="007C14BA" w:rsidRDefault="00B93F48" w:rsidP="00B93F48">
      <w:pPr>
        <w:numPr>
          <w:ilvl w:val="0"/>
          <w:numId w:val="369"/>
        </w:numPr>
        <w:ind w:left="284" w:hanging="284"/>
        <w:contextualSpacing/>
        <w:jc w:val="both"/>
        <w:rPr>
          <w:rFonts w:ascii="Arial Narrow" w:eastAsia="Calibri" w:hAnsi="Arial Narrow"/>
          <w:color w:val="000000" w:themeColor="text1"/>
        </w:rPr>
      </w:pPr>
      <w:r w:rsidRPr="007C14BA">
        <w:rPr>
          <w:rFonts w:ascii="Arial Narrow" w:eastAsia="Calibri" w:hAnsi="Arial Narrow"/>
          <w:color w:val="000000" w:themeColor="text1"/>
        </w:rPr>
        <w:t xml:space="preserve">Grupos de Compensación, Fluctuación total y Fluctuación para llamados a Garantías Extraordinarias. </w:t>
      </w:r>
    </w:p>
    <w:p w14:paraId="4887C517" w14:textId="77777777" w:rsidR="00B93F48" w:rsidRPr="007C14BA" w:rsidRDefault="00B93F48" w:rsidP="00B93F48">
      <w:pPr>
        <w:rPr>
          <w:rFonts w:ascii="Arial Narrow" w:eastAsia="Calibri" w:hAnsi="Arial Narrow"/>
          <w:color w:val="000000" w:themeColor="text1"/>
          <w:u w:val="single"/>
        </w:rPr>
      </w:pPr>
    </w:p>
    <w:tbl>
      <w:tblPr>
        <w:tblW w:w="8640" w:type="dxa"/>
        <w:jc w:val="center"/>
        <w:tblLayout w:type="fixed"/>
        <w:tblCellMar>
          <w:left w:w="70" w:type="dxa"/>
          <w:right w:w="70" w:type="dxa"/>
        </w:tblCellMar>
        <w:tblLook w:val="04A0" w:firstRow="1" w:lastRow="0" w:firstColumn="1" w:lastColumn="0" w:noHBand="0" w:noVBand="1"/>
      </w:tblPr>
      <w:tblGrid>
        <w:gridCol w:w="2121"/>
        <w:gridCol w:w="708"/>
        <w:gridCol w:w="709"/>
        <w:gridCol w:w="1281"/>
        <w:gridCol w:w="2262"/>
        <w:gridCol w:w="1559"/>
      </w:tblGrid>
      <w:tr w:rsidR="00B93F48" w:rsidRPr="007C14BA" w14:paraId="1E0D5F27" w14:textId="77777777" w:rsidTr="00B211E6">
        <w:trPr>
          <w:trHeight w:val="237"/>
          <w:jc w:val="center"/>
        </w:trPr>
        <w:tc>
          <w:tcPr>
            <w:tcW w:w="2122" w:type="dxa"/>
            <w:tcBorders>
              <w:top w:val="single" w:sz="4" w:space="0" w:color="auto"/>
              <w:left w:val="single" w:sz="4" w:space="0" w:color="auto"/>
              <w:bottom w:val="single" w:sz="4" w:space="0" w:color="auto"/>
              <w:right w:val="single" w:sz="4" w:space="0" w:color="auto"/>
            </w:tcBorders>
            <w:noWrap/>
            <w:vAlign w:val="center"/>
            <w:hideMark/>
          </w:tcPr>
          <w:p w14:paraId="1BA0D375" w14:textId="77777777" w:rsidR="00B93F48" w:rsidRPr="007C14BA" w:rsidRDefault="00B93F48" w:rsidP="00B211E6">
            <w:pPr>
              <w:spacing w:line="256" w:lineRule="auto"/>
              <w:jc w:val="center"/>
              <w:rPr>
                <w:rFonts w:ascii="Arial Narrow" w:eastAsia="Calibri" w:hAnsi="Arial Narrow"/>
                <w:color w:val="000000" w:themeColor="text1"/>
              </w:rPr>
            </w:pPr>
            <w:r w:rsidRPr="007C14BA">
              <w:rPr>
                <w:rFonts w:ascii="Arial Narrow" w:eastAsia="Calibri" w:hAnsi="Arial Narrow"/>
                <w:color w:val="000000" w:themeColor="text1"/>
              </w:rPr>
              <w:t>Escala de Duración</w:t>
            </w:r>
          </w:p>
          <w:p w14:paraId="03DCE9A7" w14:textId="77777777" w:rsidR="00B93F48" w:rsidRPr="007C14BA" w:rsidRDefault="00B93F48" w:rsidP="00B211E6">
            <w:pPr>
              <w:spacing w:line="256" w:lineRule="auto"/>
              <w:jc w:val="center"/>
              <w:rPr>
                <w:rFonts w:ascii="Arial Narrow" w:eastAsia="Calibri" w:hAnsi="Arial Narrow"/>
                <w:color w:val="000000" w:themeColor="text1"/>
              </w:rPr>
            </w:pPr>
            <w:r w:rsidRPr="007C14BA">
              <w:rPr>
                <w:rFonts w:ascii="Arial Narrow" w:eastAsia="Calibri" w:hAnsi="Arial Narrow"/>
                <w:color w:val="000000" w:themeColor="text1"/>
              </w:rPr>
              <w:t>Modificada</w:t>
            </w:r>
          </w:p>
          <w:p w14:paraId="4CFC5D58"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rPr>
              <w:t>(EDM)</w:t>
            </w:r>
            <w:r w:rsidRPr="007C14BA">
              <w:rPr>
                <w:rFonts w:ascii="Arial Narrow" w:eastAsia="Calibri" w:hAnsi="Arial Narrow"/>
                <w:color w:val="000000" w:themeColor="text1"/>
                <w:lang w:val="es-MX"/>
              </w:rPr>
              <w:t xml:space="preserve"> para cada Grupo de Compensación </w:t>
            </w:r>
          </w:p>
        </w:tc>
        <w:tc>
          <w:tcPr>
            <w:tcW w:w="708" w:type="dxa"/>
            <w:tcBorders>
              <w:top w:val="single" w:sz="4" w:space="0" w:color="auto"/>
              <w:left w:val="nil"/>
              <w:bottom w:val="single" w:sz="4" w:space="0" w:color="auto"/>
              <w:right w:val="single" w:sz="4" w:space="0" w:color="auto"/>
            </w:tcBorders>
            <w:noWrap/>
            <w:vAlign w:val="center"/>
            <w:hideMark/>
          </w:tcPr>
          <w:p w14:paraId="0895E339"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 xml:space="preserve">De </w:t>
            </w:r>
          </w:p>
        </w:tc>
        <w:tc>
          <w:tcPr>
            <w:tcW w:w="709" w:type="dxa"/>
            <w:tcBorders>
              <w:top w:val="single" w:sz="4" w:space="0" w:color="auto"/>
              <w:left w:val="nil"/>
              <w:bottom w:val="single" w:sz="4" w:space="0" w:color="auto"/>
              <w:right w:val="single" w:sz="4" w:space="0" w:color="auto"/>
            </w:tcBorders>
            <w:noWrap/>
            <w:vAlign w:val="center"/>
            <w:hideMark/>
          </w:tcPr>
          <w:p w14:paraId="793AA48C"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 xml:space="preserve">Hasta </w:t>
            </w:r>
          </w:p>
        </w:tc>
        <w:tc>
          <w:tcPr>
            <w:tcW w:w="1281" w:type="dxa"/>
            <w:tcBorders>
              <w:top w:val="single" w:sz="4" w:space="0" w:color="auto"/>
              <w:left w:val="nil"/>
              <w:bottom w:val="single" w:sz="4" w:space="0" w:color="auto"/>
              <w:right w:val="single" w:sz="4" w:space="0" w:color="auto"/>
            </w:tcBorders>
            <w:noWrap/>
            <w:vAlign w:val="center"/>
            <w:hideMark/>
          </w:tcPr>
          <w:p w14:paraId="59C77A75"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Fluctuación Total</w:t>
            </w:r>
          </w:p>
        </w:tc>
        <w:tc>
          <w:tcPr>
            <w:tcW w:w="2263" w:type="dxa"/>
            <w:tcBorders>
              <w:top w:val="single" w:sz="4" w:space="0" w:color="auto"/>
              <w:left w:val="nil"/>
              <w:bottom w:val="single" w:sz="4" w:space="0" w:color="auto"/>
              <w:right w:val="single" w:sz="4" w:space="0" w:color="auto"/>
            </w:tcBorders>
            <w:noWrap/>
            <w:vAlign w:val="center"/>
            <w:hideMark/>
          </w:tcPr>
          <w:p w14:paraId="54B1AE0C"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Fluctuación para llamados a Garantías Extraordinarias</w:t>
            </w:r>
          </w:p>
        </w:tc>
        <w:tc>
          <w:tcPr>
            <w:tcW w:w="1559" w:type="dxa"/>
            <w:tcBorders>
              <w:top w:val="single" w:sz="4" w:space="0" w:color="auto"/>
              <w:left w:val="nil"/>
              <w:bottom w:val="single" w:sz="4" w:space="0" w:color="auto"/>
              <w:right w:val="single" w:sz="4" w:space="0" w:color="auto"/>
            </w:tcBorders>
            <w:vAlign w:val="center"/>
            <w:hideMark/>
          </w:tcPr>
          <w:p w14:paraId="3F6EF081"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Valor Mínimo por Spread</w:t>
            </w:r>
          </w:p>
        </w:tc>
      </w:tr>
      <w:tr w:rsidR="00B93F48" w:rsidRPr="007C14BA" w14:paraId="5624B9F5" w14:textId="77777777" w:rsidTr="00B211E6">
        <w:trPr>
          <w:trHeight w:val="237"/>
          <w:jc w:val="center"/>
        </w:trPr>
        <w:tc>
          <w:tcPr>
            <w:tcW w:w="2122" w:type="dxa"/>
            <w:tcBorders>
              <w:top w:val="nil"/>
              <w:left w:val="single" w:sz="4" w:space="0" w:color="auto"/>
              <w:bottom w:val="single" w:sz="4" w:space="0" w:color="auto"/>
              <w:right w:val="single" w:sz="4" w:space="0" w:color="auto"/>
            </w:tcBorders>
            <w:noWrap/>
            <w:vAlign w:val="center"/>
            <w:hideMark/>
          </w:tcPr>
          <w:p w14:paraId="0208304A"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G1</w:t>
            </w:r>
          </w:p>
        </w:tc>
        <w:tc>
          <w:tcPr>
            <w:tcW w:w="708" w:type="dxa"/>
            <w:tcBorders>
              <w:top w:val="nil"/>
              <w:left w:val="nil"/>
              <w:bottom w:val="single" w:sz="4" w:space="0" w:color="auto"/>
              <w:right w:val="single" w:sz="4" w:space="0" w:color="auto"/>
            </w:tcBorders>
            <w:noWrap/>
            <w:vAlign w:val="center"/>
            <w:hideMark/>
          </w:tcPr>
          <w:p w14:paraId="0F31478D"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0</w:t>
            </w:r>
          </w:p>
        </w:tc>
        <w:tc>
          <w:tcPr>
            <w:tcW w:w="709" w:type="dxa"/>
            <w:tcBorders>
              <w:top w:val="nil"/>
              <w:left w:val="nil"/>
              <w:bottom w:val="single" w:sz="4" w:space="0" w:color="auto"/>
              <w:right w:val="single" w:sz="4" w:space="0" w:color="auto"/>
            </w:tcBorders>
            <w:noWrap/>
            <w:vAlign w:val="center"/>
            <w:hideMark/>
          </w:tcPr>
          <w:p w14:paraId="70929655"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0.75</w:t>
            </w:r>
          </w:p>
        </w:tc>
        <w:tc>
          <w:tcPr>
            <w:tcW w:w="1281" w:type="dxa"/>
            <w:tcBorders>
              <w:top w:val="nil"/>
              <w:left w:val="nil"/>
              <w:bottom w:val="single" w:sz="4" w:space="0" w:color="auto"/>
              <w:right w:val="single" w:sz="4" w:space="0" w:color="auto"/>
            </w:tcBorders>
            <w:noWrap/>
            <w:vAlign w:val="bottom"/>
            <w:hideMark/>
          </w:tcPr>
          <w:p w14:paraId="429E2EDE" w14:textId="77777777" w:rsidR="00B93F48" w:rsidRPr="007C14BA" w:rsidRDefault="00B93F48" w:rsidP="00B211E6">
            <w:pPr>
              <w:spacing w:line="256" w:lineRule="auto"/>
              <w:jc w:val="center"/>
              <w:rPr>
                <w:rFonts w:ascii="Arial Narrow" w:eastAsia="Calibri" w:hAnsi="Arial Narrow"/>
                <w:color w:val="000000" w:themeColor="text1"/>
                <w:lang w:val="es-ES" w:eastAsia="es-ES"/>
              </w:rPr>
            </w:pPr>
            <w:r w:rsidRPr="007C14BA">
              <w:rPr>
                <w:rFonts w:ascii="Arial Narrow" w:eastAsia="Calibri" w:hAnsi="Arial Narrow"/>
                <w:color w:val="000000" w:themeColor="text1"/>
                <w:lang w:val="es-ES" w:eastAsia="es-ES"/>
              </w:rPr>
              <w:t>0.5%</w:t>
            </w:r>
          </w:p>
        </w:tc>
        <w:tc>
          <w:tcPr>
            <w:tcW w:w="2263" w:type="dxa"/>
            <w:tcBorders>
              <w:top w:val="nil"/>
              <w:left w:val="nil"/>
              <w:bottom w:val="single" w:sz="4" w:space="0" w:color="auto"/>
              <w:right w:val="single" w:sz="4" w:space="0" w:color="auto"/>
            </w:tcBorders>
            <w:noWrap/>
            <w:vAlign w:val="bottom"/>
            <w:hideMark/>
          </w:tcPr>
          <w:p w14:paraId="4978DB61" w14:textId="77777777" w:rsidR="00B93F48" w:rsidRPr="007C14BA" w:rsidRDefault="00B93F48" w:rsidP="00B211E6">
            <w:pPr>
              <w:spacing w:line="256" w:lineRule="auto"/>
              <w:jc w:val="center"/>
              <w:rPr>
                <w:rFonts w:ascii="Arial Narrow" w:eastAsia="Calibri" w:hAnsi="Arial Narrow"/>
                <w:color w:val="000000" w:themeColor="text1"/>
                <w:lang w:val="es-ES" w:eastAsia="es-ES"/>
              </w:rPr>
            </w:pPr>
            <w:r w:rsidRPr="007C14BA">
              <w:rPr>
                <w:rFonts w:ascii="Arial Narrow" w:eastAsia="Calibri" w:hAnsi="Arial Narrow"/>
                <w:color w:val="000000" w:themeColor="text1"/>
                <w:lang w:val="es-ES" w:eastAsia="es-ES"/>
              </w:rPr>
              <w:t>0.37%</w:t>
            </w:r>
          </w:p>
        </w:tc>
        <w:tc>
          <w:tcPr>
            <w:tcW w:w="1559" w:type="dxa"/>
            <w:tcBorders>
              <w:top w:val="nil"/>
              <w:left w:val="nil"/>
              <w:bottom w:val="single" w:sz="4" w:space="0" w:color="auto"/>
              <w:right w:val="single" w:sz="4" w:space="0" w:color="auto"/>
            </w:tcBorders>
            <w:vAlign w:val="bottom"/>
            <w:hideMark/>
          </w:tcPr>
          <w:p w14:paraId="3C85052F"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hAnsi="Arial Narrow" w:cs="Arial"/>
                <w:color w:val="000000"/>
                <w:lang w:val="es-ES" w:eastAsia="es-ES"/>
              </w:rPr>
              <w:t>0.30%</w:t>
            </w:r>
          </w:p>
        </w:tc>
      </w:tr>
      <w:tr w:rsidR="00B93F48" w:rsidRPr="007C14BA" w14:paraId="0364C974" w14:textId="77777777" w:rsidTr="00B211E6">
        <w:trPr>
          <w:trHeight w:val="237"/>
          <w:jc w:val="center"/>
        </w:trPr>
        <w:tc>
          <w:tcPr>
            <w:tcW w:w="2122" w:type="dxa"/>
            <w:tcBorders>
              <w:top w:val="nil"/>
              <w:left w:val="single" w:sz="4" w:space="0" w:color="auto"/>
              <w:bottom w:val="single" w:sz="4" w:space="0" w:color="auto"/>
              <w:right w:val="single" w:sz="4" w:space="0" w:color="auto"/>
            </w:tcBorders>
            <w:noWrap/>
            <w:vAlign w:val="center"/>
            <w:hideMark/>
          </w:tcPr>
          <w:p w14:paraId="59FEDCB2"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G2</w:t>
            </w:r>
          </w:p>
        </w:tc>
        <w:tc>
          <w:tcPr>
            <w:tcW w:w="708" w:type="dxa"/>
            <w:tcBorders>
              <w:top w:val="nil"/>
              <w:left w:val="nil"/>
              <w:bottom w:val="single" w:sz="4" w:space="0" w:color="auto"/>
              <w:right w:val="single" w:sz="4" w:space="0" w:color="auto"/>
            </w:tcBorders>
            <w:noWrap/>
            <w:vAlign w:val="center"/>
            <w:hideMark/>
          </w:tcPr>
          <w:p w14:paraId="216579B3"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0.75</w:t>
            </w:r>
          </w:p>
        </w:tc>
        <w:tc>
          <w:tcPr>
            <w:tcW w:w="709" w:type="dxa"/>
            <w:tcBorders>
              <w:top w:val="nil"/>
              <w:left w:val="nil"/>
              <w:bottom w:val="single" w:sz="4" w:space="0" w:color="auto"/>
              <w:right w:val="single" w:sz="4" w:space="0" w:color="auto"/>
            </w:tcBorders>
            <w:noWrap/>
            <w:vAlign w:val="center"/>
            <w:hideMark/>
          </w:tcPr>
          <w:p w14:paraId="4CFA841F"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1.5</w:t>
            </w:r>
          </w:p>
        </w:tc>
        <w:tc>
          <w:tcPr>
            <w:tcW w:w="1281" w:type="dxa"/>
            <w:tcBorders>
              <w:top w:val="nil"/>
              <w:left w:val="nil"/>
              <w:bottom w:val="single" w:sz="4" w:space="0" w:color="auto"/>
              <w:right w:val="single" w:sz="4" w:space="0" w:color="auto"/>
            </w:tcBorders>
            <w:noWrap/>
            <w:vAlign w:val="bottom"/>
            <w:hideMark/>
          </w:tcPr>
          <w:p w14:paraId="41AB66AA" w14:textId="77777777" w:rsidR="00B93F48" w:rsidRPr="007C14BA" w:rsidRDefault="00B93F48" w:rsidP="00B211E6">
            <w:pPr>
              <w:spacing w:line="256" w:lineRule="auto"/>
              <w:jc w:val="center"/>
              <w:rPr>
                <w:rFonts w:ascii="Arial Narrow" w:eastAsia="Calibri" w:hAnsi="Arial Narrow"/>
                <w:color w:val="000000" w:themeColor="text1"/>
                <w:lang w:val="es-ES" w:eastAsia="es-ES"/>
              </w:rPr>
            </w:pPr>
            <w:r w:rsidRPr="007C14BA">
              <w:rPr>
                <w:rFonts w:ascii="Arial Narrow" w:eastAsia="Calibri" w:hAnsi="Arial Narrow"/>
                <w:color w:val="000000" w:themeColor="text1"/>
                <w:lang w:val="es-ES" w:eastAsia="es-ES"/>
              </w:rPr>
              <w:t>0.8%</w:t>
            </w:r>
          </w:p>
        </w:tc>
        <w:tc>
          <w:tcPr>
            <w:tcW w:w="2263" w:type="dxa"/>
            <w:tcBorders>
              <w:top w:val="nil"/>
              <w:left w:val="nil"/>
              <w:bottom w:val="single" w:sz="4" w:space="0" w:color="auto"/>
              <w:right w:val="single" w:sz="4" w:space="0" w:color="auto"/>
            </w:tcBorders>
            <w:noWrap/>
            <w:vAlign w:val="bottom"/>
            <w:hideMark/>
          </w:tcPr>
          <w:p w14:paraId="678E5395" w14:textId="77777777" w:rsidR="00B93F48" w:rsidRPr="007C14BA" w:rsidRDefault="00B93F48" w:rsidP="00B211E6">
            <w:pPr>
              <w:spacing w:line="256" w:lineRule="auto"/>
              <w:jc w:val="center"/>
              <w:rPr>
                <w:rFonts w:ascii="Arial Narrow" w:eastAsia="Calibri" w:hAnsi="Arial Narrow"/>
                <w:color w:val="000000" w:themeColor="text1"/>
                <w:lang w:val="es-ES" w:eastAsia="es-ES"/>
              </w:rPr>
            </w:pPr>
            <w:r w:rsidRPr="007C14BA">
              <w:rPr>
                <w:rFonts w:ascii="Arial Narrow" w:eastAsia="Calibri" w:hAnsi="Arial Narrow"/>
                <w:color w:val="000000" w:themeColor="text1"/>
                <w:lang w:val="es-ES" w:eastAsia="es-ES"/>
              </w:rPr>
              <w:t>0.60%</w:t>
            </w:r>
          </w:p>
        </w:tc>
        <w:tc>
          <w:tcPr>
            <w:tcW w:w="1559" w:type="dxa"/>
            <w:tcBorders>
              <w:top w:val="nil"/>
              <w:left w:val="nil"/>
              <w:bottom w:val="single" w:sz="4" w:space="0" w:color="auto"/>
              <w:right w:val="single" w:sz="4" w:space="0" w:color="auto"/>
            </w:tcBorders>
            <w:vAlign w:val="bottom"/>
            <w:hideMark/>
          </w:tcPr>
          <w:p w14:paraId="5A297470"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hAnsi="Arial Narrow" w:cs="Arial"/>
                <w:color w:val="000000"/>
                <w:lang w:val="es-ES" w:eastAsia="es-ES"/>
              </w:rPr>
              <w:t>0.45%</w:t>
            </w:r>
          </w:p>
        </w:tc>
      </w:tr>
      <w:tr w:rsidR="00B93F48" w:rsidRPr="007C14BA" w14:paraId="0FA7C7B0" w14:textId="77777777" w:rsidTr="00B211E6">
        <w:trPr>
          <w:trHeight w:val="237"/>
          <w:jc w:val="center"/>
        </w:trPr>
        <w:tc>
          <w:tcPr>
            <w:tcW w:w="2122" w:type="dxa"/>
            <w:tcBorders>
              <w:top w:val="nil"/>
              <w:left w:val="single" w:sz="4" w:space="0" w:color="auto"/>
              <w:bottom w:val="single" w:sz="4" w:space="0" w:color="auto"/>
              <w:right w:val="single" w:sz="4" w:space="0" w:color="auto"/>
            </w:tcBorders>
            <w:noWrap/>
            <w:vAlign w:val="center"/>
            <w:hideMark/>
          </w:tcPr>
          <w:p w14:paraId="4C9115AC"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G3</w:t>
            </w:r>
          </w:p>
        </w:tc>
        <w:tc>
          <w:tcPr>
            <w:tcW w:w="708" w:type="dxa"/>
            <w:tcBorders>
              <w:top w:val="nil"/>
              <w:left w:val="nil"/>
              <w:bottom w:val="single" w:sz="4" w:space="0" w:color="auto"/>
              <w:right w:val="single" w:sz="4" w:space="0" w:color="auto"/>
            </w:tcBorders>
            <w:noWrap/>
            <w:vAlign w:val="center"/>
            <w:hideMark/>
          </w:tcPr>
          <w:p w14:paraId="74F9399A"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1.5</w:t>
            </w:r>
          </w:p>
        </w:tc>
        <w:tc>
          <w:tcPr>
            <w:tcW w:w="709" w:type="dxa"/>
            <w:tcBorders>
              <w:top w:val="nil"/>
              <w:left w:val="nil"/>
              <w:bottom w:val="single" w:sz="4" w:space="0" w:color="auto"/>
              <w:right w:val="single" w:sz="4" w:space="0" w:color="auto"/>
            </w:tcBorders>
            <w:noWrap/>
            <w:vAlign w:val="center"/>
            <w:hideMark/>
          </w:tcPr>
          <w:p w14:paraId="1823CC26"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3.0</w:t>
            </w:r>
          </w:p>
        </w:tc>
        <w:tc>
          <w:tcPr>
            <w:tcW w:w="1281" w:type="dxa"/>
            <w:tcBorders>
              <w:top w:val="nil"/>
              <w:left w:val="nil"/>
              <w:bottom w:val="single" w:sz="4" w:space="0" w:color="auto"/>
              <w:right w:val="single" w:sz="4" w:space="0" w:color="auto"/>
            </w:tcBorders>
            <w:noWrap/>
            <w:vAlign w:val="bottom"/>
            <w:hideMark/>
          </w:tcPr>
          <w:p w14:paraId="305B8361" w14:textId="77777777" w:rsidR="00B93F48" w:rsidRPr="007C14BA" w:rsidRDefault="00B93F48" w:rsidP="00B211E6">
            <w:pPr>
              <w:spacing w:line="256" w:lineRule="auto"/>
              <w:jc w:val="center"/>
              <w:rPr>
                <w:rFonts w:ascii="Arial Narrow" w:eastAsia="Calibri" w:hAnsi="Arial Narrow"/>
                <w:color w:val="000000" w:themeColor="text1"/>
                <w:lang w:val="es-ES" w:eastAsia="es-ES"/>
              </w:rPr>
            </w:pPr>
            <w:r w:rsidRPr="007C14BA">
              <w:rPr>
                <w:rFonts w:ascii="Arial Narrow" w:eastAsia="Calibri" w:hAnsi="Arial Narrow"/>
                <w:color w:val="000000" w:themeColor="text1"/>
                <w:lang w:val="es-ES" w:eastAsia="es-ES"/>
              </w:rPr>
              <w:t>1.3%</w:t>
            </w:r>
          </w:p>
        </w:tc>
        <w:tc>
          <w:tcPr>
            <w:tcW w:w="2263" w:type="dxa"/>
            <w:tcBorders>
              <w:top w:val="nil"/>
              <w:left w:val="nil"/>
              <w:bottom w:val="single" w:sz="4" w:space="0" w:color="auto"/>
              <w:right w:val="single" w:sz="4" w:space="0" w:color="auto"/>
            </w:tcBorders>
            <w:noWrap/>
            <w:vAlign w:val="bottom"/>
            <w:hideMark/>
          </w:tcPr>
          <w:p w14:paraId="41CBF535" w14:textId="77777777" w:rsidR="00B93F48" w:rsidRPr="007C14BA" w:rsidRDefault="00B93F48" w:rsidP="00B211E6">
            <w:pPr>
              <w:spacing w:line="256" w:lineRule="auto"/>
              <w:jc w:val="center"/>
              <w:rPr>
                <w:rFonts w:ascii="Arial Narrow" w:eastAsia="Calibri" w:hAnsi="Arial Narrow"/>
                <w:color w:val="000000" w:themeColor="text1"/>
                <w:lang w:val="es-ES" w:eastAsia="es-ES"/>
              </w:rPr>
            </w:pPr>
            <w:r w:rsidRPr="007C14BA">
              <w:rPr>
                <w:rFonts w:ascii="Arial Narrow" w:eastAsia="Calibri" w:hAnsi="Arial Narrow"/>
                <w:color w:val="000000" w:themeColor="text1"/>
                <w:lang w:val="es-ES" w:eastAsia="es-ES"/>
              </w:rPr>
              <w:t>0.97%</w:t>
            </w:r>
          </w:p>
        </w:tc>
        <w:tc>
          <w:tcPr>
            <w:tcW w:w="1559" w:type="dxa"/>
            <w:tcBorders>
              <w:top w:val="nil"/>
              <w:left w:val="nil"/>
              <w:bottom w:val="single" w:sz="4" w:space="0" w:color="auto"/>
              <w:right w:val="single" w:sz="4" w:space="0" w:color="auto"/>
            </w:tcBorders>
            <w:vAlign w:val="bottom"/>
            <w:hideMark/>
          </w:tcPr>
          <w:p w14:paraId="488ACB58"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hAnsi="Arial Narrow" w:cs="Arial"/>
                <w:color w:val="000000"/>
                <w:lang w:val="es-ES" w:eastAsia="es-ES"/>
              </w:rPr>
              <w:t>1.28%</w:t>
            </w:r>
          </w:p>
        </w:tc>
      </w:tr>
      <w:tr w:rsidR="00B93F48" w:rsidRPr="007C14BA" w14:paraId="1243456A" w14:textId="77777777" w:rsidTr="00B211E6">
        <w:trPr>
          <w:trHeight w:val="237"/>
          <w:jc w:val="center"/>
        </w:trPr>
        <w:tc>
          <w:tcPr>
            <w:tcW w:w="2122" w:type="dxa"/>
            <w:tcBorders>
              <w:top w:val="nil"/>
              <w:left w:val="single" w:sz="4" w:space="0" w:color="auto"/>
              <w:bottom w:val="single" w:sz="4" w:space="0" w:color="auto"/>
              <w:right w:val="single" w:sz="4" w:space="0" w:color="auto"/>
            </w:tcBorders>
            <w:noWrap/>
            <w:vAlign w:val="center"/>
            <w:hideMark/>
          </w:tcPr>
          <w:p w14:paraId="32A460D0"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G4</w:t>
            </w:r>
          </w:p>
        </w:tc>
        <w:tc>
          <w:tcPr>
            <w:tcW w:w="708" w:type="dxa"/>
            <w:tcBorders>
              <w:top w:val="nil"/>
              <w:left w:val="nil"/>
              <w:bottom w:val="single" w:sz="4" w:space="0" w:color="auto"/>
              <w:right w:val="single" w:sz="4" w:space="0" w:color="auto"/>
            </w:tcBorders>
            <w:noWrap/>
            <w:vAlign w:val="center"/>
            <w:hideMark/>
          </w:tcPr>
          <w:p w14:paraId="6722D60A"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3.0</w:t>
            </w:r>
          </w:p>
        </w:tc>
        <w:tc>
          <w:tcPr>
            <w:tcW w:w="709" w:type="dxa"/>
            <w:tcBorders>
              <w:top w:val="nil"/>
              <w:left w:val="nil"/>
              <w:bottom w:val="single" w:sz="4" w:space="0" w:color="auto"/>
              <w:right w:val="single" w:sz="4" w:space="0" w:color="auto"/>
            </w:tcBorders>
            <w:noWrap/>
            <w:vAlign w:val="center"/>
            <w:hideMark/>
          </w:tcPr>
          <w:p w14:paraId="3E7A2C9A"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5.0</w:t>
            </w:r>
          </w:p>
        </w:tc>
        <w:tc>
          <w:tcPr>
            <w:tcW w:w="1281" w:type="dxa"/>
            <w:tcBorders>
              <w:top w:val="nil"/>
              <w:left w:val="nil"/>
              <w:bottom w:val="single" w:sz="4" w:space="0" w:color="auto"/>
              <w:right w:val="single" w:sz="4" w:space="0" w:color="auto"/>
            </w:tcBorders>
            <w:noWrap/>
            <w:vAlign w:val="bottom"/>
            <w:hideMark/>
          </w:tcPr>
          <w:p w14:paraId="700DEA28" w14:textId="77777777" w:rsidR="00B93F48" w:rsidRPr="007C14BA" w:rsidRDefault="00B93F48" w:rsidP="00B211E6">
            <w:pPr>
              <w:spacing w:line="256" w:lineRule="auto"/>
              <w:jc w:val="center"/>
              <w:rPr>
                <w:rFonts w:ascii="Arial Narrow" w:eastAsia="Calibri" w:hAnsi="Arial Narrow"/>
                <w:color w:val="000000" w:themeColor="text1"/>
                <w:lang w:val="es-ES" w:eastAsia="es-ES"/>
              </w:rPr>
            </w:pPr>
            <w:r w:rsidRPr="007C14BA">
              <w:rPr>
                <w:rFonts w:ascii="Arial Narrow" w:eastAsia="Calibri" w:hAnsi="Arial Narrow"/>
                <w:color w:val="000000" w:themeColor="text1"/>
                <w:lang w:val="es-ES" w:eastAsia="es-ES"/>
              </w:rPr>
              <w:t>2.1%</w:t>
            </w:r>
          </w:p>
        </w:tc>
        <w:tc>
          <w:tcPr>
            <w:tcW w:w="2263" w:type="dxa"/>
            <w:tcBorders>
              <w:top w:val="nil"/>
              <w:left w:val="nil"/>
              <w:bottom w:val="single" w:sz="4" w:space="0" w:color="auto"/>
              <w:right w:val="single" w:sz="4" w:space="0" w:color="auto"/>
            </w:tcBorders>
            <w:noWrap/>
            <w:vAlign w:val="bottom"/>
            <w:hideMark/>
          </w:tcPr>
          <w:p w14:paraId="60DCF50B" w14:textId="77777777" w:rsidR="00B93F48" w:rsidRPr="007C14BA" w:rsidRDefault="00B93F48" w:rsidP="00B211E6">
            <w:pPr>
              <w:spacing w:line="256" w:lineRule="auto"/>
              <w:jc w:val="center"/>
              <w:rPr>
                <w:rFonts w:ascii="Arial Narrow" w:eastAsia="Calibri" w:hAnsi="Arial Narrow"/>
                <w:color w:val="000000" w:themeColor="text1"/>
                <w:lang w:val="es-ES" w:eastAsia="es-ES"/>
              </w:rPr>
            </w:pPr>
            <w:r w:rsidRPr="007C14BA">
              <w:rPr>
                <w:rFonts w:ascii="Arial Narrow" w:eastAsia="Calibri" w:hAnsi="Arial Narrow"/>
                <w:color w:val="000000" w:themeColor="text1"/>
                <w:lang w:val="es-ES" w:eastAsia="es-ES"/>
              </w:rPr>
              <w:t>1.57%</w:t>
            </w:r>
          </w:p>
        </w:tc>
        <w:tc>
          <w:tcPr>
            <w:tcW w:w="1559" w:type="dxa"/>
            <w:tcBorders>
              <w:top w:val="nil"/>
              <w:left w:val="nil"/>
              <w:bottom w:val="single" w:sz="4" w:space="0" w:color="auto"/>
              <w:right w:val="single" w:sz="4" w:space="0" w:color="auto"/>
            </w:tcBorders>
            <w:vAlign w:val="bottom"/>
            <w:hideMark/>
          </w:tcPr>
          <w:p w14:paraId="17B19239"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hAnsi="Arial Narrow" w:cs="Arial"/>
                <w:color w:val="000000"/>
                <w:lang w:val="es-ES" w:eastAsia="es-ES"/>
              </w:rPr>
              <w:t>1.35%</w:t>
            </w:r>
          </w:p>
        </w:tc>
      </w:tr>
      <w:tr w:rsidR="00B93F48" w:rsidRPr="007C14BA" w14:paraId="3E846FE3" w14:textId="77777777" w:rsidTr="00B211E6">
        <w:trPr>
          <w:trHeight w:val="237"/>
          <w:jc w:val="center"/>
        </w:trPr>
        <w:tc>
          <w:tcPr>
            <w:tcW w:w="2122" w:type="dxa"/>
            <w:tcBorders>
              <w:top w:val="nil"/>
              <w:left w:val="single" w:sz="4" w:space="0" w:color="auto"/>
              <w:bottom w:val="single" w:sz="4" w:space="0" w:color="auto"/>
              <w:right w:val="single" w:sz="4" w:space="0" w:color="auto"/>
            </w:tcBorders>
            <w:noWrap/>
            <w:vAlign w:val="center"/>
            <w:hideMark/>
          </w:tcPr>
          <w:p w14:paraId="39CAA988"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G5</w:t>
            </w:r>
          </w:p>
        </w:tc>
        <w:tc>
          <w:tcPr>
            <w:tcW w:w="708" w:type="dxa"/>
            <w:tcBorders>
              <w:top w:val="nil"/>
              <w:left w:val="nil"/>
              <w:bottom w:val="single" w:sz="4" w:space="0" w:color="auto"/>
              <w:right w:val="single" w:sz="4" w:space="0" w:color="auto"/>
            </w:tcBorders>
            <w:noWrap/>
            <w:vAlign w:val="center"/>
            <w:hideMark/>
          </w:tcPr>
          <w:p w14:paraId="2ED69ED3"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5.0</w:t>
            </w:r>
          </w:p>
        </w:tc>
        <w:tc>
          <w:tcPr>
            <w:tcW w:w="709" w:type="dxa"/>
            <w:tcBorders>
              <w:top w:val="nil"/>
              <w:left w:val="nil"/>
              <w:bottom w:val="single" w:sz="4" w:space="0" w:color="auto"/>
              <w:right w:val="single" w:sz="4" w:space="0" w:color="auto"/>
            </w:tcBorders>
            <w:noWrap/>
            <w:vAlign w:val="center"/>
            <w:hideMark/>
          </w:tcPr>
          <w:p w14:paraId="7A97C503"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7.0</w:t>
            </w:r>
          </w:p>
        </w:tc>
        <w:tc>
          <w:tcPr>
            <w:tcW w:w="1281" w:type="dxa"/>
            <w:tcBorders>
              <w:top w:val="nil"/>
              <w:left w:val="nil"/>
              <w:bottom w:val="single" w:sz="4" w:space="0" w:color="auto"/>
              <w:right w:val="single" w:sz="4" w:space="0" w:color="auto"/>
            </w:tcBorders>
            <w:noWrap/>
            <w:vAlign w:val="bottom"/>
            <w:hideMark/>
          </w:tcPr>
          <w:p w14:paraId="2B6E056B" w14:textId="77777777" w:rsidR="00B93F48" w:rsidRPr="007C14BA" w:rsidRDefault="00B93F48" w:rsidP="00B211E6">
            <w:pPr>
              <w:spacing w:line="256" w:lineRule="auto"/>
              <w:jc w:val="center"/>
              <w:rPr>
                <w:rFonts w:ascii="Arial Narrow" w:eastAsia="Calibri" w:hAnsi="Arial Narrow"/>
                <w:color w:val="000000" w:themeColor="text1"/>
                <w:lang w:val="es-ES" w:eastAsia="es-ES"/>
              </w:rPr>
            </w:pPr>
            <w:r w:rsidRPr="007C14BA">
              <w:rPr>
                <w:rFonts w:ascii="Arial Narrow" w:eastAsia="Calibri" w:hAnsi="Arial Narrow"/>
                <w:color w:val="000000" w:themeColor="text1"/>
                <w:lang w:val="es-ES" w:eastAsia="es-ES"/>
              </w:rPr>
              <w:t>3.4%</w:t>
            </w:r>
          </w:p>
        </w:tc>
        <w:tc>
          <w:tcPr>
            <w:tcW w:w="2263" w:type="dxa"/>
            <w:tcBorders>
              <w:top w:val="nil"/>
              <w:left w:val="nil"/>
              <w:bottom w:val="single" w:sz="4" w:space="0" w:color="auto"/>
              <w:right w:val="single" w:sz="4" w:space="0" w:color="auto"/>
            </w:tcBorders>
            <w:noWrap/>
            <w:vAlign w:val="bottom"/>
            <w:hideMark/>
          </w:tcPr>
          <w:p w14:paraId="36D2A121" w14:textId="77777777" w:rsidR="00B93F48" w:rsidRPr="007C14BA" w:rsidRDefault="00B93F48" w:rsidP="00B211E6">
            <w:pPr>
              <w:spacing w:line="256" w:lineRule="auto"/>
              <w:jc w:val="center"/>
              <w:rPr>
                <w:rFonts w:ascii="Arial Narrow" w:eastAsia="Calibri" w:hAnsi="Arial Narrow"/>
                <w:color w:val="000000" w:themeColor="text1"/>
                <w:lang w:val="es-ES" w:eastAsia="es-ES"/>
              </w:rPr>
            </w:pPr>
            <w:r w:rsidRPr="007C14BA">
              <w:rPr>
                <w:rFonts w:ascii="Arial Narrow" w:eastAsia="Calibri" w:hAnsi="Arial Narrow"/>
                <w:color w:val="000000" w:themeColor="text1"/>
                <w:lang w:val="es-ES" w:eastAsia="es-ES"/>
              </w:rPr>
              <w:t>2.55%</w:t>
            </w:r>
          </w:p>
        </w:tc>
        <w:tc>
          <w:tcPr>
            <w:tcW w:w="1559" w:type="dxa"/>
            <w:tcBorders>
              <w:top w:val="nil"/>
              <w:left w:val="nil"/>
              <w:bottom w:val="single" w:sz="4" w:space="0" w:color="auto"/>
              <w:right w:val="single" w:sz="4" w:space="0" w:color="auto"/>
            </w:tcBorders>
            <w:vAlign w:val="bottom"/>
            <w:hideMark/>
          </w:tcPr>
          <w:p w14:paraId="497C3EDD"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hAnsi="Arial Narrow" w:cs="Arial"/>
                <w:color w:val="000000"/>
                <w:lang w:val="es-ES" w:eastAsia="es-ES"/>
              </w:rPr>
              <w:t>1.44%</w:t>
            </w:r>
          </w:p>
        </w:tc>
      </w:tr>
      <w:tr w:rsidR="00B93F48" w:rsidRPr="007C14BA" w14:paraId="5EB8E602" w14:textId="77777777" w:rsidTr="00B211E6">
        <w:trPr>
          <w:trHeight w:val="237"/>
          <w:jc w:val="center"/>
        </w:trPr>
        <w:tc>
          <w:tcPr>
            <w:tcW w:w="2122" w:type="dxa"/>
            <w:tcBorders>
              <w:top w:val="nil"/>
              <w:left w:val="single" w:sz="4" w:space="0" w:color="auto"/>
              <w:bottom w:val="single" w:sz="4" w:space="0" w:color="auto"/>
              <w:right w:val="single" w:sz="4" w:space="0" w:color="auto"/>
            </w:tcBorders>
            <w:noWrap/>
            <w:vAlign w:val="center"/>
            <w:hideMark/>
          </w:tcPr>
          <w:p w14:paraId="79C53BDE"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G6</w:t>
            </w:r>
          </w:p>
        </w:tc>
        <w:tc>
          <w:tcPr>
            <w:tcW w:w="708" w:type="dxa"/>
            <w:tcBorders>
              <w:top w:val="nil"/>
              <w:left w:val="nil"/>
              <w:bottom w:val="single" w:sz="4" w:space="0" w:color="auto"/>
              <w:right w:val="single" w:sz="4" w:space="0" w:color="auto"/>
            </w:tcBorders>
            <w:noWrap/>
            <w:vAlign w:val="center"/>
            <w:hideMark/>
          </w:tcPr>
          <w:p w14:paraId="1E969CC6"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7.0</w:t>
            </w:r>
          </w:p>
        </w:tc>
        <w:tc>
          <w:tcPr>
            <w:tcW w:w="709" w:type="dxa"/>
            <w:tcBorders>
              <w:top w:val="nil"/>
              <w:left w:val="nil"/>
              <w:bottom w:val="single" w:sz="4" w:space="0" w:color="auto"/>
              <w:right w:val="single" w:sz="4" w:space="0" w:color="auto"/>
            </w:tcBorders>
            <w:noWrap/>
            <w:vAlign w:val="center"/>
            <w:hideMark/>
          </w:tcPr>
          <w:p w14:paraId="13092BC7"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10.0</w:t>
            </w:r>
          </w:p>
        </w:tc>
        <w:tc>
          <w:tcPr>
            <w:tcW w:w="1281" w:type="dxa"/>
            <w:tcBorders>
              <w:top w:val="nil"/>
              <w:left w:val="nil"/>
              <w:bottom w:val="single" w:sz="4" w:space="0" w:color="auto"/>
              <w:right w:val="single" w:sz="4" w:space="0" w:color="auto"/>
            </w:tcBorders>
            <w:noWrap/>
            <w:vAlign w:val="bottom"/>
            <w:hideMark/>
          </w:tcPr>
          <w:p w14:paraId="61E12E95" w14:textId="77777777" w:rsidR="00B93F48" w:rsidRPr="007C14BA" w:rsidRDefault="00B93F48" w:rsidP="00B211E6">
            <w:pPr>
              <w:spacing w:line="256" w:lineRule="auto"/>
              <w:jc w:val="center"/>
              <w:rPr>
                <w:rFonts w:ascii="Arial Narrow" w:eastAsia="Calibri" w:hAnsi="Arial Narrow"/>
                <w:color w:val="000000" w:themeColor="text1"/>
                <w:lang w:val="es-ES" w:eastAsia="es-ES"/>
              </w:rPr>
            </w:pPr>
            <w:r w:rsidRPr="007C14BA">
              <w:rPr>
                <w:rFonts w:ascii="Arial Narrow" w:eastAsia="Calibri" w:hAnsi="Arial Narrow"/>
                <w:color w:val="000000" w:themeColor="text1"/>
                <w:lang w:val="es-ES" w:eastAsia="es-ES"/>
              </w:rPr>
              <w:t>4.8%</w:t>
            </w:r>
          </w:p>
        </w:tc>
        <w:tc>
          <w:tcPr>
            <w:tcW w:w="2263" w:type="dxa"/>
            <w:tcBorders>
              <w:top w:val="nil"/>
              <w:left w:val="nil"/>
              <w:bottom w:val="single" w:sz="4" w:space="0" w:color="auto"/>
              <w:right w:val="single" w:sz="4" w:space="0" w:color="auto"/>
            </w:tcBorders>
            <w:noWrap/>
            <w:vAlign w:val="bottom"/>
            <w:hideMark/>
          </w:tcPr>
          <w:p w14:paraId="16C4FA4D" w14:textId="77777777" w:rsidR="00B93F48" w:rsidRPr="007C14BA" w:rsidRDefault="00B93F48" w:rsidP="00B211E6">
            <w:pPr>
              <w:spacing w:line="256" w:lineRule="auto"/>
              <w:jc w:val="center"/>
              <w:rPr>
                <w:rFonts w:ascii="Arial Narrow" w:eastAsia="Calibri" w:hAnsi="Arial Narrow"/>
                <w:color w:val="000000" w:themeColor="text1"/>
                <w:lang w:val="es-ES" w:eastAsia="es-ES"/>
              </w:rPr>
            </w:pPr>
            <w:r w:rsidRPr="007C14BA">
              <w:rPr>
                <w:rFonts w:ascii="Arial Narrow" w:eastAsia="Calibri" w:hAnsi="Arial Narrow"/>
                <w:color w:val="000000" w:themeColor="text1"/>
                <w:lang w:val="es-ES" w:eastAsia="es-ES"/>
              </w:rPr>
              <w:t>3.60%</w:t>
            </w:r>
          </w:p>
        </w:tc>
        <w:tc>
          <w:tcPr>
            <w:tcW w:w="1559" w:type="dxa"/>
            <w:tcBorders>
              <w:top w:val="nil"/>
              <w:left w:val="nil"/>
              <w:bottom w:val="single" w:sz="4" w:space="0" w:color="auto"/>
              <w:right w:val="single" w:sz="4" w:space="0" w:color="auto"/>
            </w:tcBorders>
            <w:vAlign w:val="bottom"/>
            <w:hideMark/>
          </w:tcPr>
          <w:p w14:paraId="1DC30C3B"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hAnsi="Arial Narrow" w:cs="Arial"/>
                <w:color w:val="000000"/>
                <w:lang w:val="es-ES" w:eastAsia="es-ES"/>
              </w:rPr>
              <w:t>2.04%</w:t>
            </w:r>
          </w:p>
        </w:tc>
      </w:tr>
      <w:tr w:rsidR="00B93F48" w:rsidRPr="007C14BA" w14:paraId="75C1C1F5" w14:textId="77777777" w:rsidTr="00B211E6">
        <w:trPr>
          <w:trHeight w:val="237"/>
          <w:jc w:val="center"/>
        </w:trPr>
        <w:tc>
          <w:tcPr>
            <w:tcW w:w="2122" w:type="dxa"/>
            <w:tcBorders>
              <w:top w:val="single" w:sz="4" w:space="0" w:color="auto"/>
              <w:left w:val="single" w:sz="4" w:space="0" w:color="auto"/>
              <w:bottom w:val="single" w:sz="4" w:space="0" w:color="auto"/>
              <w:right w:val="single" w:sz="4" w:space="0" w:color="auto"/>
            </w:tcBorders>
            <w:noWrap/>
            <w:vAlign w:val="center"/>
            <w:hideMark/>
          </w:tcPr>
          <w:p w14:paraId="765CCBDE"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G7</w:t>
            </w:r>
          </w:p>
        </w:tc>
        <w:tc>
          <w:tcPr>
            <w:tcW w:w="708" w:type="dxa"/>
            <w:tcBorders>
              <w:top w:val="single" w:sz="4" w:space="0" w:color="auto"/>
              <w:left w:val="nil"/>
              <w:bottom w:val="single" w:sz="4" w:space="0" w:color="auto"/>
              <w:right w:val="single" w:sz="4" w:space="0" w:color="auto"/>
            </w:tcBorders>
            <w:noWrap/>
            <w:vAlign w:val="center"/>
            <w:hideMark/>
          </w:tcPr>
          <w:p w14:paraId="6105E820"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10.0</w:t>
            </w:r>
          </w:p>
        </w:tc>
        <w:tc>
          <w:tcPr>
            <w:tcW w:w="709" w:type="dxa"/>
            <w:tcBorders>
              <w:top w:val="single" w:sz="4" w:space="0" w:color="auto"/>
              <w:left w:val="nil"/>
              <w:bottom w:val="single" w:sz="4" w:space="0" w:color="auto"/>
              <w:right w:val="single" w:sz="4" w:space="0" w:color="auto"/>
            </w:tcBorders>
            <w:noWrap/>
            <w:vAlign w:val="center"/>
            <w:hideMark/>
          </w:tcPr>
          <w:p w14:paraId="3AA703CB"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15.0</w:t>
            </w:r>
          </w:p>
        </w:tc>
        <w:tc>
          <w:tcPr>
            <w:tcW w:w="1281" w:type="dxa"/>
            <w:tcBorders>
              <w:top w:val="single" w:sz="4" w:space="0" w:color="auto"/>
              <w:left w:val="nil"/>
              <w:bottom w:val="single" w:sz="4" w:space="0" w:color="auto"/>
              <w:right w:val="single" w:sz="4" w:space="0" w:color="auto"/>
            </w:tcBorders>
            <w:noWrap/>
            <w:vAlign w:val="bottom"/>
            <w:hideMark/>
          </w:tcPr>
          <w:p w14:paraId="3449595D" w14:textId="77777777" w:rsidR="00B93F48" w:rsidRPr="007C14BA" w:rsidRDefault="00B93F48" w:rsidP="00B211E6">
            <w:pPr>
              <w:spacing w:line="256" w:lineRule="auto"/>
              <w:jc w:val="center"/>
              <w:rPr>
                <w:rFonts w:ascii="Arial Narrow" w:eastAsia="Calibri" w:hAnsi="Arial Narrow"/>
                <w:color w:val="000000" w:themeColor="text1"/>
                <w:lang w:val="es-ES" w:eastAsia="es-ES"/>
              </w:rPr>
            </w:pPr>
            <w:r w:rsidRPr="007C14BA">
              <w:rPr>
                <w:rFonts w:ascii="Arial Narrow" w:eastAsia="Calibri" w:hAnsi="Arial Narrow"/>
                <w:color w:val="000000" w:themeColor="text1"/>
                <w:lang w:val="es-ES" w:eastAsia="es-ES"/>
              </w:rPr>
              <w:t>7.9%</w:t>
            </w:r>
          </w:p>
        </w:tc>
        <w:tc>
          <w:tcPr>
            <w:tcW w:w="2263" w:type="dxa"/>
            <w:tcBorders>
              <w:top w:val="single" w:sz="4" w:space="0" w:color="auto"/>
              <w:left w:val="nil"/>
              <w:bottom w:val="single" w:sz="4" w:space="0" w:color="auto"/>
              <w:right w:val="single" w:sz="4" w:space="0" w:color="auto"/>
            </w:tcBorders>
            <w:noWrap/>
            <w:vAlign w:val="bottom"/>
            <w:hideMark/>
          </w:tcPr>
          <w:p w14:paraId="7CF61DB9" w14:textId="77777777" w:rsidR="00B93F48" w:rsidRPr="007C14BA" w:rsidRDefault="00B93F48" w:rsidP="00B211E6">
            <w:pPr>
              <w:spacing w:line="256" w:lineRule="auto"/>
              <w:jc w:val="center"/>
              <w:rPr>
                <w:rFonts w:ascii="Arial Narrow" w:eastAsia="Calibri" w:hAnsi="Arial Narrow"/>
                <w:color w:val="000000" w:themeColor="text1"/>
                <w:lang w:val="es-ES" w:eastAsia="es-ES"/>
              </w:rPr>
            </w:pPr>
            <w:r w:rsidRPr="007C14BA">
              <w:rPr>
                <w:rFonts w:ascii="Arial Narrow" w:eastAsia="Calibri" w:hAnsi="Arial Narrow"/>
                <w:color w:val="000000" w:themeColor="text1"/>
                <w:lang w:val="es-ES" w:eastAsia="es-ES"/>
              </w:rPr>
              <w:t>5.92%</w:t>
            </w:r>
          </w:p>
        </w:tc>
        <w:tc>
          <w:tcPr>
            <w:tcW w:w="1559" w:type="dxa"/>
            <w:tcBorders>
              <w:top w:val="single" w:sz="4" w:space="0" w:color="auto"/>
              <w:left w:val="nil"/>
              <w:bottom w:val="single" w:sz="4" w:space="0" w:color="auto"/>
              <w:right w:val="single" w:sz="4" w:space="0" w:color="auto"/>
            </w:tcBorders>
            <w:vAlign w:val="bottom"/>
            <w:hideMark/>
          </w:tcPr>
          <w:p w14:paraId="08DF335A"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hAnsi="Arial Narrow" w:cs="Arial"/>
                <w:color w:val="000000"/>
                <w:lang w:val="es-ES" w:eastAsia="es-ES"/>
              </w:rPr>
              <w:t>2.92%</w:t>
            </w:r>
          </w:p>
        </w:tc>
      </w:tr>
      <w:tr w:rsidR="00B93F48" w:rsidRPr="007C14BA" w14:paraId="35F892C2" w14:textId="77777777" w:rsidTr="00B211E6">
        <w:trPr>
          <w:trHeight w:val="237"/>
          <w:jc w:val="center"/>
        </w:trPr>
        <w:tc>
          <w:tcPr>
            <w:tcW w:w="2122" w:type="dxa"/>
            <w:tcBorders>
              <w:top w:val="single" w:sz="4" w:space="0" w:color="auto"/>
              <w:left w:val="single" w:sz="4" w:space="0" w:color="auto"/>
              <w:bottom w:val="single" w:sz="4" w:space="0" w:color="auto"/>
              <w:right w:val="single" w:sz="4" w:space="0" w:color="auto"/>
            </w:tcBorders>
            <w:noWrap/>
            <w:vAlign w:val="center"/>
            <w:hideMark/>
          </w:tcPr>
          <w:p w14:paraId="253AD209"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G8</w:t>
            </w:r>
          </w:p>
        </w:tc>
        <w:tc>
          <w:tcPr>
            <w:tcW w:w="708" w:type="dxa"/>
            <w:tcBorders>
              <w:top w:val="single" w:sz="4" w:space="0" w:color="auto"/>
              <w:left w:val="nil"/>
              <w:bottom w:val="single" w:sz="4" w:space="0" w:color="auto"/>
              <w:right w:val="single" w:sz="4" w:space="0" w:color="auto"/>
            </w:tcBorders>
            <w:noWrap/>
            <w:vAlign w:val="center"/>
            <w:hideMark/>
          </w:tcPr>
          <w:p w14:paraId="5C986AD3"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15.0</w:t>
            </w:r>
          </w:p>
        </w:tc>
        <w:tc>
          <w:tcPr>
            <w:tcW w:w="709" w:type="dxa"/>
            <w:tcBorders>
              <w:top w:val="single" w:sz="4" w:space="0" w:color="auto"/>
              <w:left w:val="nil"/>
              <w:bottom w:val="single" w:sz="4" w:space="0" w:color="auto"/>
              <w:right w:val="single" w:sz="4" w:space="0" w:color="auto"/>
            </w:tcBorders>
            <w:noWrap/>
            <w:vAlign w:val="center"/>
            <w:hideMark/>
          </w:tcPr>
          <w:p w14:paraId="5E470C66"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20.0</w:t>
            </w:r>
          </w:p>
        </w:tc>
        <w:tc>
          <w:tcPr>
            <w:tcW w:w="1281" w:type="dxa"/>
            <w:tcBorders>
              <w:top w:val="single" w:sz="4" w:space="0" w:color="auto"/>
              <w:left w:val="nil"/>
              <w:bottom w:val="single" w:sz="4" w:space="0" w:color="auto"/>
              <w:right w:val="single" w:sz="4" w:space="0" w:color="auto"/>
            </w:tcBorders>
            <w:noWrap/>
            <w:vAlign w:val="bottom"/>
            <w:hideMark/>
          </w:tcPr>
          <w:p w14:paraId="66B38689" w14:textId="77777777" w:rsidR="00B93F48" w:rsidRPr="007C14BA" w:rsidRDefault="00B93F48" w:rsidP="00B211E6">
            <w:pPr>
              <w:spacing w:line="256" w:lineRule="auto"/>
              <w:jc w:val="center"/>
              <w:rPr>
                <w:rFonts w:ascii="Arial Narrow" w:eastAsia="Calibri" w:hAnsi="Arial Narrow"/>
                <w:color w:val="000000" w:themeColor="text1"/>
                <w:lang w:val="es-ES" w:eastAsia="es-ES"/>
              </w:rPr>
            </w:pPr>
            <w:r w:rsidRPr="007C14BA">
              <w:rPr>
                <w:rFonts w:ascii="Arial Narrow" w:eastAsia="Calibri" w:hAnsi="Arial Narrow"/>
                <w:color w:val="000000" w:themeColor="text1"/>
                <w:lang w:val="es-ES" w:eastAsia="es-ES"/>
              </w:rPr>
              <w:t>16.8%</w:t>
            </w:r>
          </w:p>
        </w:tc>
        <w:tc>
          <w:tcPr>
            <w:tcW w:w="2263" w:type="dxa"/>
            <w:tcBorders>
              <w:top w:val="single" w:sz="4" w:space="0" w:color="auto"/>
              <w:left w:val="nil"/>
              <w:bottom w:val="single" w:sz="4" w:space="0" w:color="auto"/>
              <w:right w:val="single" w:sz="4" w:space="0" w:color="auto"/>
            </w:tcBorders>
            <w:noWrap/>
            <w:vAlign w:val="bottom"/>
            <w:hideMark/>
          </w:tcPr>
          <w:p w14:paraId="103D1BAD" w14:textId="77777777" w:rsidR="00B93F48" w:rsidRPr="007C14BA" w:rsidRDefault="00B93F48" w:rsidP="00B211E6">
            <w:pPr>
              <w:spacing w:line="256" w:lineRule="auto"/>
              <w:jc w:val="center"/>
              <w:rPr>
                <w:rFonts w:ascii="Arial Narrow" w:eastAsia="Calibri" w:hAnsi="Arial Narrow"/>
                <w:color w:val="000000" w:themeColor="text1"/>
                <w:lang w:val="es-ES" w:eastAsia="es-ES"/>
              </w:rPr>
            </w:pPr>
            <w:r w:rsidRPr="007C14BA">
              <w:rPr>
                <w:rFonts w:ascii="Arial Narrow" w:eastAsia="Calibri" w:hAnsi="Arial Narrow"/>
                <w:color w:val="000000" w:themeColor="text1"/>
                <w:lang w:val="es-ES" w:eastAsia="es-ES"/>
              </w:rPr>
              <w:t>12.60%</w:t>
            </w:r>
          </w:p>
        </w:tc>
        <w:tc>
          <w:tcPr>
            <w:tcW w:w="1559" w:type="dxa"/>
            <w:tcBorders>
              <w:top w:val="single" w:sz="4" w:space="0" w:color="auto"/>
              <w:left w:val="nil"/>
              <w:bottom w:val="single" w:sz="4" w:space="0" w:color="auto"/>
              <w:right w:val="single" w:sz="4" w:space="0" w:color="auto"/>
            </w:tcBorders>
            <w:vAlign w:val="bottom"/>
            <w:hideMark/>
          </w:tcPr>
          <w:p w14:paraId="135B7086" w14:textId="77777777" w:rsidR="00B93F48" w:rsidRPr="007C14BA" w:rsidRDefault="00B93F48" w:rsidP="00B211E6">
            <w:pPr>
              <w:spacing w:line="256" w:lineRule="auto"/>
              <w:jc w:val="center"/>
              <w:rPr>
                <w:rFonts w:ascii="Arial Narrow" w:hAnsi="Arial Narrow" w:cs="Arial"/>
                <w:color w:val="000000"/>
                <w:lang w:val="es-ES" w:eastAsia="es-ES"/>
              </w:rPr>
            </w:pPr>
            <w:r w:rsidRPr="007C14BA">
              <w:rPr>
                <w:rFonts w:ascii="Arial Narrow" w:hAnsi="Arial Narrow" w:cs="Arial"/>
                <w:color w:val="000000"/>
                <w:lang w:val="es-ES" w:eastAsia="es-ES"/>
              </w:rPr>
              <w:t>5.72%</w:t>
            </w:r>
          </w:p>
        </w:tc>
      </w:tr>
    </w:tbl>
    <w:p w14:paraId="1C22DA4B" w14:textId="77777777" w:rsidR="00B93F48" w:rsidRPr="007C14BA" w:rsidRDefault="00B93F48" w:rsidP="00B93F48">
      <w:pPr>
        <w:rPr>
          <w:rFonts w:ascii="Arial Narrow" w:eastAsia="Calibri" w:hAnsi="Arial Narrow"/>
          <w:color w:val="000000" w:themeColor="text1"/>
          <w:u w:val="single"/>
        </w:rPr>
      </w:pPr>
    </w:p>
    <w:p w14:paraId="001D4378" w14:textId="77777777" w:rsidR="00B93F48" w:rsidRPr="007C14BA" w:rsidRDefault="00B93F48" w:rsidP="00B93F48">
      <w:pPr>
        <w:rPr>
          <w:rFonts w:ascii="Arial Narrow" w:eastAsia="Calibri" w:hAnsi="Arial Narrow"/>
          <w:color w:val="000000" w:themeColor="text1"/>
          <w:u w:val="single"/>
        </w:rPr>
      </w:pPr>
    </w:p>
    <w:p w14:paraId="7DB20C5C" w14:textId="77777777" w:rsidR="00B93F48" w:rsidRPr="007C14BA" w:rsidRDefault="00B93F48" w:rsidP="00B93F48">
      <w:pPr>
        <w:numPr>
          <w:ilvl w:val="0"/>
          <w:numId w:val="369"/>
        </w:numPr>
        <w:ind w:left="317"/>
        <w:contextualSpacing/>
        <w:jc w:val="both"/>
        <w:rPr>
          <w:rFonts w:ascii="Arial Narrow" w:eastAsia="Calibri" w:hAnsi="Arial Narrow"/>
          <w:color w:val="000000" w:themeColor="text1"/>
        </w:rPr>
      </w:pPr>
      <w:r w:rsidRPr="007C14BA">
        <w:rPr>
          <w:rFonts w:ascii="Arial Narrow" w:eastAsia="Calibri" w:hAnsi="Arial Narrow"/>
          <w:color w:val="000000" w:themeColor="text1"/>
        </w:rPr>
        <w:t>Crédito sobre Garantías (valor porcentual) a aplicar sobre la garantía de cada posición compensada.</w:t>
      </w:r>
    </w:p>
    <w:p w14:paraId="3291275A" w14:textId="77777777" w:rsidR="00B93F48" w:rsidRPr="007C14BA" w:rsidRDefault="00B93F48" w:rsidP="00B93F48">
      <w:pPr>
        <w:ind w:left="720"/>
        <w:contextualSpacing/>
        <w:jc w:val="both"/>
        <w:rPr>
          <w:rFonts w:ascii="Arial Narrow" w:eastAsia="Calibri" w:hAnsi="Arial Narrow"/>
          <w:color w:val="000000" w:themeColor="text1"/>
          <w:u w:val="single"/>
        </w:rPr>
      </w:pPr>
    </w:p>
    <w:p w14:paraId="059F6836" w14:textId="77777777" w:rsidR="00B93F48" w:rsidRPr="007C14BA" w:rsidRDefault="00B93F48" w:rsidP="00B93F48">
      <w:pPr>
        <w:ind w:left="317"/>
        <w:contextualSpacing/>
        <w:jc w:val="both"/>
        <w:rPr>
          <w:rFonts w:ascii="Arial Narrow" w:eastAsia="Calibri" w:hAnsi="Arial Narrow"/>
          <w:color w:val="000000" w:themeColor="text1"/>
        </w:rPr>
      </w:pPr>
      <w:r w:rsidRPr="007C14BA">
        <w:rPr>
          <w:rFonts w:ascii="Arial Narrow" w:eastAsia="Calibri" w:hAnsi="Arial Narrow"/>
          <w:color w:val="000000" w:themeColor="text1"/>
        </w:rPr>
        <w:t xml:space="preserve">Las posiciones contrapuestas de una misma </w:t>
      </w:r>
      <w:proofErr w:type="gramStart"/>
      <w:r w:rsidRPr="007C14BA">
        <w:rPr>
          <w:rFonts w:ascii="Arial Narrow" w:eastAsia="Calibri" w:hAnsi="Arial Narrow"/>
          <w:color w:val="000000" w:themeColor="text1"/>
        </w:rPr>
        <w:t>Cuenta,</w:t>
      </w:r>
      <w:proofErr w:type="gramEnd"/>
      <w:r w:rsidRPr="007C14BA">
        <w:rPr>
          <w:rFonts w:ascii="Arial Narrow" w:eastAsia="Calibri" w:hAnsi="Arial Narrow"/>
          <w:color w:val="000000" w:themeColor="text1"/>
        </w:rPr>
        <w:t xml:space="preserve"> se compensarán de acuerdo a la siguiente tabla:</w:t>
      </w:r>
    </w:p>
    <w:p w14:paraId="4F6DA227" w14:textId="77777777" w:rsidR="00B93F48" w:rsidRPr="007C14BA" w:rsidRDefault="00B93F48" w:rsidP="00B93F48">
      <w:pPr>
        <w:ind w:left="317"/>
        <w:contextualSpacing/>
        <w:jc w:val="both"/>
        <w:rPr>
          <w:rFonts w:ascii="Arial Narrow" w:eastAsia="Calibri" w:hAnsi="Arial Narrow"/>
          <w:color w:val="000000" w:themeColor="text1"/>
        </w:rPr>
      </w:pPr>
    </w:p>
    <w:tbl>
      <w:tblPr>
        <w:tblpPr w:leftFromText="141" w:rightFromText="141" w:bottomFromText="160" w:vertAnchor="text" w:horzAnchor="page" w:tblpX="3262" w:tblpY="51"/>
        <w:tblOverlap w:val="never"/>
        <w:tblW w:w="7320" w:type="dxa"/>
        <w:tblLayout w:type="fixed"/>
        <w:tblCellMar>
          <w:left w:w="70" w:type="dxa"/>
          <w:right w:w="70" w:type="dxa"/>
        </w:tblCellMar>
        <w:tblLook w:val="04A0" w:firstRow="1" w:lastRow="0" w:firstColumn="1" w:lastColumn="0" w:noHBand="0" w:noVBand="1"/>
      </w:tblPr>
      <w:tblGrid>
        <w:gridCol w:w="1695"/>
        <w:gridCol w:w="704"/>
        <w:gridCol w:w="703"/>
        <w:gridCol w:w="703"/>
        <w:gridCol w:w="703"/>
        <w:gridCol w:w="703"/>
        <w:gridCol w:w="703"/>
        <w:gridCol w:w="703"/>
        <w:gridCol w:w="703"/>
      </w:tblGrid>
      <w:tr w:rsidR="00B93F48" w:rsidRPr="007C14BA" w14:paraId="3F662CD3" w14:textId="77777777" w:rsidTr="00B211E6">
        <w:trPr>
          <w:trHeight w:val="252"/>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3BF29766"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Grupos de Compensación</w:t>
            </w:r>
          </w:p>
        </w:tc>
        <w:tc>
          <w:tcPr>
            <w:tcW w:w="704" w:type="dxa"/>
            <w:tcBorders>
              <w:top w:val="single" w:sz="4" w:space="0" w:color="auto"/>
              <w:left w:val="nil"/>
              <w:bottom w:val="single" w:sz="4" w:space="0" w:color="auto"/>
              <w:right w:val="single" w:sz="4" w:space="0" w:color="auto"/>
            </w:tcBorders>
            <w:noWrap/>
            <w:vAlign w:val="center"/>
            <w:hideMark/>
          </w:tcPr>
          <w:p w14:paraId="64A6E6BD"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G1</w:t>
            </w:r>
          </w:p>
        </w:tc>
        <w:tc>
          <w:tcPr>
            <w:tcW w:w="703" w:type="dxa"/>
            <w:tcBorders>
              <w:top w:val="single" w:sz="4" w:space="0" w:color="auto"/>
              <w:left w:val="nil"/>
              <w:bottom w:val="single" w:sz="4" w:space="0" w:color="auto"/>
              <w:right w:val="single" w:sz="4" w:space="0" w:color="auto"/>
            </w:tcBorders>
            <w:noWrap/>
            <w:vAlign w:val="center"/>
            <w:hideMark/>
          </w:tcPr>
          <w:p w14:paraId="71EED3D2"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G2</w:t>
            </w:r>
          </w:p>
        </w:tc>
        <w:tc>
          <w:tcPr>
            <w:tcW w:w="703" w:type="dxa"/>
            <w:tcBorders>
              <w:top w:val="single" w:sz="4" w:space="0" w:color="auto"/>
              <w:left w:val="nil"/>
              <w:bottom w:val="single" w:sz="4" w:space="0" w:color="auto"/>
              <w:right w:val="single" w:sz="4" w:space="0" w:color="auto"/>
            </w:tcBorders>
            <w:noWrap/>
            <w:vAlign w:val="center"/>
            <w:hideMark/>
          </w:tcPr>
          <w:p w14:paraId="72412675"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G3</w:t>
            </w:r>
          </w:p>
        </w:tc>
        <w:tc>
          <w:tcPr>
            <w:tcW w:w="703" w:type="dxa"/>
            <w:tcBorders>
              <w:top w:val="single" w:sz="4" w:space="0" w:color="auto"/>
              <w:left w:val="nil"/>
              <w:bottom w:val="single" w:sz="4" w:space="0" w:color="auto"/>
              <w:right w:val="single" w:sz="4" w:space="0" w:color="auto"/>
            </w:tcBorders>
            <w:noWrap/>
            <w:vAlign w:val="center"/>
            <w:hideMark/>
          </w:tcPr>
          <w:p w14:paraId="486D4A6B"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G4</w:t>
            </w:r>
          </w:p>
        </w:tc>
        <w:tc>
          <w:tcPr>
            <w:tcW w:w="703" w:type="dxa"/>
            <w:tcBorders>
              <w:top w:val="single" w:sz="4" w:space="0" w:color="auto"/>
              <w:left w:val="nil"/>
              <w:bottom w:val="single" w:sz="4" w:space="0" w:color="auto"/>
              <w:right w:val="single" w:sz="4" w:space="0" w:color="auto"/>
            </w:tcBorders>
            <w:noWrap/>
            <w:vAlign w:val="center"/>
            <w:hideMark/>
          </w:tcPr>
          <w:p w14:paraId="23CCC4B6"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G5</w:t>
            </w:r>
          </w:p>
        </w:tc>
        <w:tc>
          <w:tcPr>
            <w:tcW w:w="703" w:type="dxa"/>
            <w:tcBorders>
              <w:top w:val="single" w:sz="4" w:space="0" w:color="auto"/>
              <w:left w:val="nil"/>
              <w:bottom w:val="single" w:sz="4" w:space="0" w:color="auto"/>
              <w:right w:val="single" w:sz="4" w:space="0" w:color="auto"/>
            </w:tcBorders>
            <w:noWrap/>
            <w:vAlign w:val="center"/>
            <w:hideMark/>
          </w:tcPr>
          <w:p w14:paraId="01A34BCB"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G6</w:t>
            </w:r>
          </w:p>
        </w:tc>
        <w:tc>
          <w:tcPr>
            <w:tcW w:w="703" w:type="dxa"/>
            <w:tcBorders>
              <w:top w:val="single" w:sz="4" w:space="0" w:color="auto"/>
              <w:left w:val="nil"/>
              <w:bottom w:val="single" w:sz="4" w:space="0" w:color="auto"/>
              <w:right w:val="single" w:sz="4" w:space="0" w:color="auto"/>
            </w:tcBorders>
            <w:noWrap/>
            <w:vAlign w:val="center"/>
            <w:hideMark/>
          </w:tcPr>
          <w:p w14:paraId="709F5DC5"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G7</w:t>
            </w:r>
          </w:p>
        </w:tc>
        <w:tc>
          <w:tcPr>
            <w:tcW w:w="703" w:type="dxa"/>
            <w:tcBorders>
              <w:top w:val="single" w:sz="4" w:space="0" w:color="auto"/>
              <w:left w:val="nil"/>
              <w:bottom w:val="single" w:sz="4" w:space="0" w:color="auto"/>
              <w:right w:val="single" w:sz="4" w:space="0" w:color="auto"/>
            </w:tcBorders>
            <w:vAlign w:val="center"/>
            <w:hideMark/>
          </w:tcPr>
          <w:p w14:paraId="2CDD4328"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G8</w:t>
            </w:r>
          </w:p>
        </w:tc>
      </w:tr>
      <w:tr w:rsidR="00B93F48" w:rsidRPr="007C14BA" w14:paraId="7986163D" w14:textId="77777777" w:rsidTr="00B211E6">
        <w:trPr>
          <w:trHeight w:val="252"/>
        </w:trPr>
        <w:tc>
          <w:tcPr>
            <w:tcW w:w="1696" w:type="dxa"/>
            <w:tcBorders>
              <w:top w:val="nil"/>
              <w:left w:val="single" w:sz="4" w:space="0" w:color="auto"/>
              <w:bottom w:val="single" w:sz="4" w:space="0" w:color="auto"/>
              <w:right w:val="single" w:sz="4" w:space="0" w:color="auto"/>
            </w:tcBorders>
            <w:noWrap/>
            <w:vAlign w:val="center"/>
            <w:hideMark/>
          </w:tcPr>
          <w:p w14:paraId="4DD26595"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G1</w:t>
            </w:r>
          </w:p>
        </w:tc>
        <w:tc>
          <w:tcPr>
            <w:tcW w:w="704" w:type="dxa"/>
            <w:tcBorders>
              <w:top w:val="nil"/>
              <w:left w:val="nil"/>
              <w:bottom w:val="single" w:sz="4" w:space="0" w:color="auto"/>
              <w:right w:val="single" w:sz="4" w:space="0" w:color="auto"/>
            </w:tcBorders>
            <w:noWrap/>
            <w:vAlign w:val="center"/>
            <w:hideMark/>
          </w:tcPr>
          <w:p w14:paraId="1B8FD12F"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75%</w:t>
            </w:r>
          </w:p>
        </w:tc>
        <w:tc>
          <w:tcPr>
            <w:tcW w:w="703" w:type="dxa"/>
            <w:tcBorders>
              <w:top w:val="nil"/>
              <w:left w:val="nil"/>
              <w:bottom w:val="single" w:sz="4" w:space="0" w:color="auto"/>
              <w:right w:val="single" w:sz="4" w:space="0" w:color="auto"/>
            </w:tcBorders>
            <w:noWrap/>
            <w:vAlign w:val="center"/>
            <w:hideMark/>
          </w:tcPr>
          <w:p w14:paraId="7758B98F"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35%</w:t>
            </w:r>
          </w:p>
        </w:tc>
        <w:tc>
          <w:tcPr>
            <w:tcW w:w="703" w:type="dxa"/>
            <w:tcBorders>
              <w:top w:val="nil"/>
              <w:left w:val="nil"/>
              <w:bottom w:val="single" w:sz="4" w:space="0" w:color="auto"/>
              <w:right w:val="single" w:sz="4" w:space="0" w:color="auto"/>
            </w:tcBorders>
            <w:noWrap/>
            <w:vAlign w:val="center"/>
            <w:hideMark/>
          </w:tcPr>
          <w:p w14:paraId="21D399B6"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0%</w:t>
            </w:r>
          </w:p>
        </w:tc>
        <w:tc>
          <w:tcPr>
            <w:tcW w:w="703" w:type="dxa"/>
            <w:tcBorders>
              <w:top w:val="nil"/>
              <w:left w:val="nil"/>
              <w:bottom w:val="single" w:sz="4" w:space="0" w:color="auto"/>
              <w:right w:val="single" w:sz="4" w:space="0" w:color="auto"/>
            </w:tcBorders>
            <w:noWrap/>
            <w:vAlign w:val="center"/>
            <w:hideMark/>
          </w:tcPr>
          <w:p w14:paraId="4DBCB136"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0%</w:t>
            </w:r>
          </w:p>
        </w:tc>
        <w:tc>
          <w:tcPr>
            <w:tcW w:w="703" w:type="dxa"/>
            <w:tcBorders>
              <w:top w:val="nil"/>
              <w:left w:val="nil"/>
              <w:bottom w:val="single" w:sz="4" w:space="0" w:color="auto"/>
              <w:right w:val="single" w:sz="4" w:space="0" w:color="auto"/>
            </w:tcBorders>
            <w:noWrap/>
            <w:vAlign w:val="center"/>
            <w:hideMark/>
          </w:tcPr>
          <w:p w14:paraId="5AE73324"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0%</w:t>
            </w:r>
          </w:p>
        </w:tc>
        <w:tc>
          <w:tcPr>
            <w:tcW w:w="703" w:type="dxa"/>
            <w:tcBorders>
              <w:top w:val="nil"/>
              <w:left w:val="nil"/>
              <w:bottom w:val="single" w:sz="4" w:space="0" w:color="auto"/>
              <w:right w:val="single" w:sz="4" w:space="0" w:color="auto"/>
            </w:tcBorders>
            <w:noWrap/>
            <w:vAlign w:val="center"/>
            <w:hideMark/>
          </w:tcPr>
          <w:p w14:paraId="72A1D3B4"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0%</w:t>
            </w:r>
          </w:p>
        </w:tc>
        <w:tc>
          <w:tcPr>
            <w:tcW w:w="703" w:type="dxa"/>
            <w:tcBorders>
              <w:top w:val="nil"/>
              <w:left w:val="nil"/>
              <w:bottom w:val="single" w:sz="4" w:space="0" w:color="auto"/>
              <w:right w:val="single" w:sz="4" w:space="0" w:color="auto"/>
            </w:tcBorders>
            <w:noWrap/>
            <w:vAlign w:val="center"/>
            <w:hideMark/>
          </w:tcPr>
          <w:p w14:paraId="4543823F"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0%</w:t>
            </w:r>
          </w:p>
        </w:tc>
        <w:tc>
          <w:tcPr>
            <w:tcW w:w="703" w:type="dxa"/>
            <w:tcBorders>
              <w:top w:val="nil"/>
              <w:left w:val="nil"/>
              <w:bottom w:val="single" w:sz="4" w:space="0" w:color="auto"/>
              <w:right w:val="single" w:sz="4" w:space="0" w:color="auto"/>
            </w:tcBorders>
            <w:vAlign w:val="center"/>
            <w:hideMark/>
          </w:tcPr>
          <w:p w14:paraId="49E88D6B"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0%</w:t>
            </w:r>
          </w:p>
        </w:tc>
      </w:tr>
      <w:tr w:rsidR="00B93F48" w:rsidRPr="007C14BA" w14:paraId="79BAEED5" w14:textId="77777777" w:rsidTr="00B211E6">
        <w:trPr>
          <w:trHeight w:val="252"/>
        </w:trPr>
        <w:tc>
          <w:tcPr>
            <w:tcW w:w="1696" w:type="dxa"/>
            <w:tcBorders>
              <w:top w:val="nil"/>
              <w:left w:val="single" w:sz="4" w:space="0" w:color="auto"/>
              <w:bottom w:val="single" w:sz="4" w:space="0" w:color="auto"/>
              <w:right w:val="single" w:sz="4" w:space="0" w:color="auto"/>
            </w:tcBorders>
            <w:noWrap/>
            <w:vAlign w:val="center"/>
            <w:hideMark/>
          </w:tcPr>
          <w:p w14:paraId="2810103B"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G2</w:t>
            </w:r>
          </w:p>
        </w:tc>
        <w:tc>
          <w:tcPr>
            <w:tcW w:w="704" w:type="dxa"/>
            <w:shd w:val="clear" w:color="auto" w:fill="BFBFBF"/>
            <w:noWrap/>
            <w:vAlign w:val="center"/>
            <w:hideMark/>
          </w:tcPr>
          <w:p w14:paraId="0B4B7AD5" w14:textId="77777777" w:rsidR="00B93F48" w:rsidRPr="007C14BA" w:rsidRDefault="00B93F48" w:rsidP="00B211E6">
            <w:pPr>
              <w:rPr>
                <w:rFonts w:ascii="Arial Narrow" w:eastAsia="Calibri" w:hAnsi="Arial Narrow"/>
                <w:color w:val="000000" w:themeColor="text1"/>
                <w:lang w:eastAsia="es-CO"/>
              </w:rPr>
            </w:pPr>
          </w:p>
        </w:tc>
        <w:tc>
          <w:tcPr>
            <w:tcW w:w="703" w:type="dxa"/>
            <w:tcBorders>
              <w:top w:val="nil"/>
              <w:left w:val="single" w:sz="4" w:space="0" w:color="auto"/>
              <w:bottom w:val="single" w:sz="4" w:space="0" w:color="auto"/>
              <w:right w:val="single" w:sz="4" w:space="0" w:color="auto"/>
            </w:tcBorders>
            <w:noWrap/>
            <w:vAlign w:val="center"/>
            <w:hideMark/>
          </w:tcPr>
          <w:p w14:paraId="69B3F739"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60%</w:t>
            </w:r>
          </w:p>
        </w:tc>
        <w:tc>
          <w:tcPr>
            <w:tcW w:w="703" w:type="dxa"/>
            <w:tcBorders>
              <w:top w:val="nil"/>
              <w:left w:val="nil"/>
              <w:bottom w:val="single" w:sz="4" w:space="0" w:color="auto"/>
              <w:right w:val="single" w:sz="4" w:space="0" w:color="auto"/>
            </w:tcBorders>
            <w:noWrap/>
            <w:vAlign w:val="center"/>
            <w:hideMark/>
          </w:tcPr>
          <w:p w14:paraId="3820283D"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0%</w:t>
            </w:r>
          </w:p>
        </w:tc>
        <w:tc>
          <w:tcPr>
            <w:tcW w:w="703" w:type="dxa"/>
            <w:tcBorders>
              <w:top w:val="nil"/>
              <w:left w:val="nil"/>
              <w:bottom w:val="single" w:sz="4" w:space="0" w:color="auto"/>
              <w:right w:val="single" w:sz="4" w:space="0" w:color="auto"/>
            </w:tcBorders>
            <w:noWrap/>
            <w:vAlign w:val="center"/>
            <w:hideMark/>
          </w:tcPr>
          <w:p w14:paraId="44B48088"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0%</w:t>
            </w:r>
          </w:p>
        </w:tc>
        <w:tc>
          <w:tcPr>
            <w:tcW w:w="703" w:type="dxa"/>
            <w:tcBorders>
              <w:top w:val="nil"/>
              <w:left w:val="nil"/>
              <w:bottom w:val="single" w:sz="4" w:space="0" w:color="auto"/>
              <w:right w:val="single" w:sz="4" w:space="0" w:color="auto"/>
            </w:tcBorders>
            <w:noWrap/>
            <w:vAlign w:val="center"/>
            <w:hideMark/>
          </w:tcPr>
          <w:p w14:paraId="5BB3A91C"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0%</w:t>
            </w:r>
          </w:p>
        </w:tc>
        <w:tc>
          <w:tcPr>
            <w:tcW w:w="703" w:type="dxa"/>
            <w:tcBorders>
              <w:top w:val="nil"/>
              <w:left w:val="nil"/>
              <w:bottom w:val="single" w:sz="4" w:space="0" w:color="auto"/>
              <w:right w:val="single" w:sz="4" w:space="0" w:color="auto"/>
            </w:tcBorders>
            <w:noWrap/>
            <w:vAlign w:val="center"/>
            <w:hideMark/>
          </w:tcPr>
          <w:p w14:paraId="166B90DC"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0%</w:t>
            </w:r>
          </w:p>
        </w:tc>
        <w:tc>
          <w:tcPr>
            <w:tcW w:w="703" w:type="dxa"/>
            <w:tcBorders>
              <w:top w:val="nil"/>
              <w:left w:val="nil"/>
              <w:bottom w:val="single" w:sz="4" w:space="0" w:color="auto"/>
              <w:right w:val="single" w:sz="4" w:space="0" w:color="auto"/>
            </w:tcBorders>
            <w:noWrap/>
            <w:vAlign w:val="center"/>
            <w:hideMark/>
          </w:tcPr>
          <w:p w14:paraId="37A0FACD"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0%</w:t>
            </w:r>
          </w:p>
        </w:tc>
        <w:tc>
          <w:tcPr>
            <w:tcW w:w="703" w:type="dxa"/>
            <w:tcBorders>
              <w:top w:val="nil"/>
              <w:left w:val="nil"/>
              <w:bottom w:val="single" w:sz="4" w:space="0" w:color="auto"/>
              <w:right w:val="single" w:sz="4" w:space="0" w:color="auto"/>
            </w:tcBorders>
            <w:vAlign w:val="center"/>
            <w:hideMark/>
          </w:tcPr>
          <w:p w14:paraId="35C24AC3"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0%</w:t>
            </w:r>
          </w:p>
        </w:tc>
      </w:tr>
      <w:tr w:rsidR="00B93F48" w:rsidRPr="007C14BA" w14:paraId="783DB1B9" w14:textId="77777777" w:rsidTr="00B211E6">
        <w:trPr>
          <w:trHeight w:val="252"/>
        </w:trPr>
        <w:tc>
          <w:tcPr>
            <w:tcW w:w="1696" w:type="dxa"/>
            <w:tcBorders>
              <w:top w:val="nil"/>
              <w:left w:val="single" w:sz="4" w:space="0" w:color="auto"/>
              <w:bottom w:val="single" w:sz="4" w:space="0" w:color="auto"/>
              <w:right w:val="single" w:sz="4" w:space="0" w:color="auto"/>
            </w:tcBorders>
            <w:noWrap/>
            <w:vAlign w:val="center"/>
            <w:hideMark/>
          </w:tcPr>
          <w:p w14:paraId="136952F9"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G3</w:t>
            </w:r>
          </w:p>
        </w:tc>
        <w:tc>
          <w:tcPr>
            <w:tcW w:w="704" w:type="dxa"/>
            <w:shd w:val="clear" w:color="auto" w:fill="BFBFBF"/>
            <w:noWrap/>
            <w:vAlign w:val="center"/>
            <w:hideMark/>
          </w:tcPr>
          <w:p w14:paraId="4AA0DC05" w14:textId="77777777" w:rsidR="00B93F48" w:rsidRPr="007C14BA" w:rsidRDefault="00B93F48" w:rsidP="00B211E6">
            <w:pPr>
              <w:rPr>
                <w:rFonts w:ascii="Arial Narrow" w:eastAsia="Calibri" w:hAnsi="Arial Narrow"/>
                <w:color w:val="000000" w:themeColor="text1"/>
                <w:lang w:eastAsia="es-CO"/>
              </w:rPr>
            </w:pPr>
          </w:p>
        </w:tc>
        <w:tc>
          <w:tcPr>
            <w:tcW w:w="703" w:type="dxa"/>
            <w:shd w:val="clear" w:color="auto" w:fill="BFBFBF"/>
            <w:noWrap/>
            <w:vAlign w:val="center"/>
            <w:hideMark/>
          </w:tcPr>
          <w:p w14:paraId="18258330" w14:textId="77777777" w:rsidR="00B93F48" w:rsidRPr="007C14BA" w:rsidRDefault="00B93F48" w:rsidP="00B211E6">
            <w:pPr>
              <w:spacing w:line="256" w:lineRule="auto"/>
              <w:rPr>
                <w:rFonts w:ascii="Arial Narrow" w:hAnsi="Arial Narrow"/>
                <w:lang w:eastAsia="es-CO"/>
              </w:rPr>
            </w:pPr>
          </w:p>
        </w:tc>
        <w:tc>
          <w:tcPr>
            <w:tcW w:w="703" w:type="dxa"/>
            <w:tcBorders>
              <w:top w:val="nil"/>
              <w:left w:val="single" w:sz="4" w:space="0" w:color="auto"/>
              <w:bottom w:val="single" w:sz="4" w:space="0" w:color="auto"/>
              <w:right w:val="single" w:sz="4" w:space="0" w:color="auto"/>
            </w:tcBorders>
            <w:noWrap/>
            <w:vAlign w:val="center"/>
            <w:hideMark/>
          </w:tcPr>
          <w:p w14:paraId="722673F8"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60%</w:t>
            </w:r>
          </w:p>
        </w:tc>
        <w:tc>
          <w:tcPr>
            <w:tcW w:w="703" w:type="dxa"/>
            <w:tcBorders>
              <w:top w:val="nil"/>
              <w:left w:val="nil"/>
              <w:bottom w:val="single" w:sz="4" w:space="0" w:color="auto"/>
              <w:right w:val="single" w:sz="4" w:space="0" w:color="auto"/>
            </w:tcBorders>
            <w:noWrap/>
            <w:vAlign w:val="center"/>
            <w:hideMark/>
          </w:tcPr>
          <w:p w14:paraId="483BDF63"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45%</w:t>
            </w:r>
          </w:p>
        </w:tc>
        <w:tc>
          <w:tcPr>
            <w:tcW w:w="703" w:type="dxa"/>
            <w:tcBorders>
              <w:top w:val="nil"/>
              <w:left w:val="nil"/>
              <w:bottom w:val="single" w:sz="4" w:space="0" w:color="auto"/>
              <w:right w:val="single" w:sz="4" w:space="0" w:color="auto"/>
            </w:tcBorders>
            <w:noWrap/>
            <w:vAlign w:val="center"/>
            <w:hideMark/>
          </w:tcPr>
          <w:p w14:paraId="3BF5C131"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35%</w:t>
            </w:r>
          </w:p>
        </w:tc>
        <w:tc>
          <w:tcPr>
            <w:tcW w:w="703" w:type="dxa"/>
            <w:tcBorders>
              <w:top w:val="nil"/>
              <w:left w:val="nil"/>
              <w:bottom w:val="single" w:sz="4" w:space="0" w:color="auto"/>
              <w:right w:val="single" w:sz="4" w:space="0" w:color="auto"/>
            </w:tcBorders>
            <w:noWrap/>
            <w:vAlign w:val="center"/>
            <w:hideMark/>
          </w:tcPr>
          <w:p w14:paraId="5E0141AD"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15%</w:t>
            </w:r>
          </w:p>
        </w:tc>
        <w:tc>
          <w:tcPr>
            <w:tcW w:w="703" w:type="dxa"/>
            <w:tcBorders>
              <w:top w:val="nil"/>
              <w:left w:val="nil"/>
              <w:bottom w:val="single" w:sz="4" w:space="0" w:color="auto"/>
              <w:right w:val="single" w:sz="4" w:space="0" w:color="auto"/>
            </w:tcBorders>
            <w:noWrap/>
            <w:vAlign w:val="center"/>
            <w:hideMark/>
          </w:tcPr>
          <w:p w14:paraId="7141719F"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0%</w:t>
            </w:r>
          </w:p>
        </w:tc>
        <w:tc>
          <w:tcPr>
            <w:tcW w:w="703" w:type="dxa"/>
            <w:tcBorders>
              <w:top w:val="nil"/>
              <w:left w:val="nil"/>
              <w:bottom w:val="single" w:sz="4" w:space="0" w:color="auto"/>
              <w:right w:val="single" w:sz="4" w:space="0" w:color="auto"/>
            </w:tcBorders>
            <w:vAlign w:val="center"/>
            <w:hideMark/>
          </w:tcPr>
          <w:p w14:paraId="76B0D08D"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0%</w:t>
            </w:r>
          </w:p>
        </w:tc>
      </w:tr>
      <w:tr w:rsidR="00B93F48" w:rsidRPr="007C14BA" w14:paraId="25294AD7" w14:textId="77777777" w:rsidTr="00B211E6">
        <w:trPr>
          <w:trHeight w:val="252"/>
        </w:trPr>
        <w:tc>
          <w:tcPr>
            <w:tcW w:w="1696" w:type="dxa"/>
            <w:tcBorders>
              <w:top w:val="nil"/>
              <w:left w:val="single" w:sz="4" w:space="0" w:color="auto"/>
              <w:bottom w:val="single" w:sz="4" w:space="0" w:color="auto"/>
              <w:right w:val="single" w:sz="4" w:space="0" w:color="auto"/>
            </w:tcBorders>
            <w:noWrap/>
            <w:vAlign w:val="center"/>
            <w:hideMark/>
          </w:tcPr>
          <w:p w14:paraId="71D7F3D3"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G4</w:t>
            </w:r>
          </w:p>
        </w:tc>
        <w:tc>
          <w:tcPr>
            <w:tcW w:w="704" w:type="dxa"/>
            <w:shd w:val="clear" w:color="auto" w:fill="BFBFBF"/>
            <w:noWrap/>
            <w:vAlign w:val="center"/>
            <w:hideMark/>
          </w:tcPr>
          <w:p w14:paraId="04B1DBF8" w14:textId="77777777" w:rsidR="00B93F48" w:rsidRPr="007C14BA" w:rsidRDefault="00B93F48" w:rsidP="00B211E6">
            <w:pPr>
              <w:rPr>
                <w:rFonts w:ascii="Arial Narrow" w:eastAsia="Calibri" w:hAnsi="Arial Narrow"/>
                <w:color w:val="000000" w:themeColor="text1"/>
                <w:lang w:eastAsia="es-CO"/>
              </w:rPr>
            </w:pPr>
          </w:p>
        </w:tc>
        <w:tc>
          <w:tcPr>
            <w:tcW w:w="703" w:type="dxa"/>
            <w:shd w:val="clear" w:color="auto" w:fill="BFBFBF"/>
            <w:noWrap/>
            <w:vAlign w:val="center"/>
            <w:hideMark/>
          </w:tcPr>
          <w:p w14:paraId="36506561" w14:textId="77777777" w:rsidR="00B93F48" w:rsidRPr="007C14BA" w:rsidRDefault="00B93F48" w:rsidP="00B211E6">
            <w:pPr>
              <w:spacing w:line="256" w:lineRule="auto"/>
              <w:rPr>
                <w:rFonts w:ascii="Arial Narrow" w:hAnsi="Arial Narrow"/>
                <w:lang w:eastAsia="es-CO"/>
              </w:rPr>
            </w:pPr>
          </w:p>
        </w:tc>
        <w:tc>
          <w:tcPr>
            <w:tcW w:w="703" w:type="dxa"/>
            <w:shd w:val="clear" w:color="auto" w:fill="BFBFBF"/>
            <w:noWrap/>
            <w:vAlign w:val="center"/>
            <w:hideMark/>
          </w:tcPr>
          <w:p w14:paraId="454DFB20" w14:textId="77777777" w:rsidR="00B93F48" w:rsidRPr="007C14BA" w:rsidRDefault="00B93F48" w:rsidP="00B211E6">
            <w:pPr>
              <w:spacing w:line="256" w:lineRule="auto"/>
              <w:rPr>
                <w:rFonts w:ascii="Arial Narrow" w:hAnsi="Arial Narrow"/>
                <w:lang w:eastAsia="es-CO"/>
              </w:rPr>
            </w:pPr>
          </w:p>
        </w:tc>
        <w:tc>
          <w:tcPr>
            <w:tcW w:w="703" w:type="dxa"/>
            <w:tcBorders>
              <w:top w:val="nil"/>
              <w:left w:val="single" w:sz="4" w:space="0" w:color="auto"/>
              <w:bottom w:val="single" w:sz="4" w:space="0" w:color="auto"/>
              <w:right w:val="single" w:sz="4" w:space="0" w:color="auto"/>
            </w:tcBorders>
            <w:noWrap/>
            <w:vAlign w:val="center"/>
            <w:hideMark/>
          </w:tcPr>
          <w:p w14:paraId="5BA7E000"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75%</w:t>
            </w:r>
          </w:p>
        </w:tc>
        <w:tc>
          <w:tcPr>
            <w:tcW w:w="703" w:type="dxa"/>
            <w:tcBorders>
              <w:top w:val="nil"/>
              <w:left w:val="nil"/>
              <w:bottom w:val="single" w:sz="4" w:space="0" w:color="auto"/>
              <w:right w:val="single" w:sz="4" w:space="0" w:color="auto"/>
            </w:tcBorders>
            <w:noWrap/>
            <w:vAlign w:val="center"/>
            <w:hideMark/>
          </w:tcPr>
          <w:p w14:paraId="524956FC"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75%</w:t>
            </w:r>
          </w:p>
        </w:tc>
        <w:tc>
          <w:tcPr>
            <w:tcW w:w="703" w:type="dxa"/>
            <w:tcBorders>
              <w:top w:val="nil"/>
              <w:left w:val="nil"/>
              <w:bottom w:val="single" w:sz="4" w:space="0" w:color="auto"/>
              <w:right w:val="single" w:sz="4" w:space="0" w:color="auto"/>
            </w:tcBorders>
            <w:noWrap/>
            <w:vAlign w:val="center"/>
            <w:hideMark/>
          </w:tcPr>
          <w:p w14:paraId="629AEC78"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70%</w:t>
            </w:r>
          </w:p>
        </w:tc>
        <w:tc>
          <w:tcPr>
            <w:tcW w:w="703" w:type="dxa"/>
            <w:tcBorders>
              <w:top w:val="nil"/>
              <w:left w:val="nil"/>
              <w:bottom w:val="single" w:sz="4" w:space="0" w:color="auto"/>
              <w:right w:val="single" w:sz="4" w:space="0" w:color="auto"/>
            </w:tcBorders>
            <w:noWrap/>
            <w:vAlign w:val="center"/>
            <w:hideMark/>
          </w:tcPr>
          <w:p w14:paraId="6C6E9926"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60%</w:t>
            </w:r>
          </w:p>
        </w:tc>
        <w:tc>
          <w:tcPr>
            <w:tcW w:w="703" w:type="dxa"/>
            <w:tcBorders>
              <w:top w:val="nil"/>
              <w:left w:val="nil"/>
              <w:bottom w:val="single" w:sz="4" w:space="0" w:color="auto"/>
              <w:right w:val="single" w:sz="4" w:space="0" w:color="auto"/>
            </w:tcBorders>
            <w:vAlign w:val="center"/>
            <w:hideMark/>
          </w:tcPr>
          <w:p w14:paraId="69F633AC"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50%</w:t>
            </w:r>
          </w:p>
        </w:tc>
      </w:tr>
      <w:tr w:rsidR="00B93F48" w:rsidRPr="007C14BA" w14:paraId="6E3301CA" w14:textId="77777777" w:rsidTr="00B211E6">
        <w:trPr>
          <w:trHeight w:val="70"/>
        </w:trPr>
        <w:tc>
          <w:tcPr>
            <w:tcW w:w="1696" w:type="dxa"/>
            <w:tcBorders>
              <w:top w:val="nil"/>
              <w:left w:val="single" w:sz="4" w:space="0" w:color="auto"/>
              <w:bottom w:val="single" w:sz="4" w:space="0" w:color="auto"/>
              <w:right w:val="single" w:sz="4" w:space="0" w:color="auto"/>
            </w:tcBorders>
            <w:noWrap/>
            <w:vAlign w:val="center"/>
            <w:hideMark/>
          </w:tcPr>
          <w:p w14:paraId="3C28EF86"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G5</w:t>
            </w:r>
          </w:p>
        </w:tc>
        <w:tc>
          <w:tcPr>
            <w:tcW w:w="704" w:type="dxa"/>
            <w:shd w:val="clear" w:color="auto" w:fill="BFBFBF"/>
            <w:noWrap/>
            <w:vAlign w:val="center"/>
            <w:hideMark/>
          </w:tcPr>
          <w:p w14:paraId="0979C438" w14:textId="77777777" w:rsidR="00B93F48" w:rsidRPr="007C14BA" w:rsidRDefault="00B93F48" w:rsidP="00B211E6">
            <w:pPr>
              <w:rPr>
                <w:rFonts w:ascii="Arial Narrow" w:eastAsia="Calibri" w:hAnsi="Arial Narrow"/>
                <w:color w:val="000000" w:themeColor="text1"/>
                <w:lang w:eastAsia="es-CO"/>
              </w:rPr>
            </w:pPr>
          </w:p>
        </w:tc>
        <w:tc>
          <w:tcPr>
            <w:tcW w:w="703" w:type="dxa"/>
            <w:shd w:val="clear" w:color="auto" w:fill="BFBFBF"/>
            <w:noWrap/>
            <w:vAlign w:val="center"/>
            <w:hideMark/>
          </w:tcPr>
          <w:p w14:paraId="1F695856" w14:textId="77777777" w:rsidR="00B93F48" w:rsidRPr="007C14BA" w:rsidRDefault="00B93F48" w:rsidP="00B211E6">
            <w:pPr>
              <w:spacing w:line="256" w:lineRule="auto"/>
              <w:rPr>
                <w:rFonts w:ascii="Arial Narrow" w:hAnsi="Arial Narrow"/>
                <w:lang w:eastAsia="es-CO"/>
              </w:rPr>
            </w:pPr>
          </w:p>
        </w:tc>
        <w:tc>
          <w:tcPr>
            <w:tcW w:w="703" w:type="dxa"/>
            <w:shd w:val="clear" w:color="auto" w:fill="BFBFBF"/>
            <w:noWrap/>
            <w:vAlign w:val="center"/>
            <w:hideMark/>
          </w:tcPr>
          <w:p w14:paraId="276E935E" w14:textId="77777777" w:rsidR="00B93F48" w:rsidRPr="007C14BA" w:rsidRDefault="00B93F48" w:rsidP="00B211E6">
            <w:pPr>
              <w:spacing w:line="256" w:lineRule="auto"/>
              <w:rPr>
                <w:rFonts w:ascii="Arial Narrow" w:hAnsi="Arial Narrow"/>
                <w:lang w:eastAsia="es-CO"/>
              </w:rPr>
            </w:pPr>
          </w:p>
        </w:tc>
        <w:tc>
          <w:tcPr>
            <w:tcW w:w="703" w:type="dxa"/>
            <w:shd w:val="clear" w:color="auto" w:fill="BFBFBF"/>
            <w:noWrap/>
            <w:vAlign w:val="center"/>
            <w:hideMark/>
          </w:tcPr>
          <w:p w14:paraId="5818327F" w14:textId="77777777" w:rsidR="00B93F48" w:rsidRPr="007C14BA" w:rsidRDefault="00B93F48" w:rsidP="00B211E6">
            <w:pPr>
              <w:spacing w:line="256" w:lineRule="auto"/>
              <w:rPr>
                <w:rFonts w:ascii="Arial Narrow" w:hAnsi="Arial Narrow"/>
                <w:lang w:eastAsia="es-CO"/>
              </w:rPr>
            </w:pPr>
          </w:p>
        </w:tc>
        <w:tc>
          <w:tcPr>
            <w:tcW w:w="703" w:type="dxa"/>
            <w:tcBorders>
              <w:top w:val="nil"/>
              <w:left w:val="single" w:sz="4" w:space="0" w:color="auto"/>
              <w:bottom w:val="single" w:sz="4" w:space="0" w:color="auto"/>
              <w:right w:val="single" w:sz="4" w:space="0" w:color="auto"/>
            </w:tcBorders>
            <w:noWrap/>
            <w:vAlign w:val="center"/>
            <w:hideMark/>
          </w:tcPr>
          <w:p w14:paraId="33561891"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80%</w:t>
            </w:r>
          </w:p>
        </w:tc>
        <w:tc>
          <w:tcPr>
            <w:tcW w:w="703" w:type="dxa"/>
            <w:tcBorders>
              <w:top w:val="nil"/>
              <w:left w:val="nil"/>
              <w:bottom w:val="single" w:sz="4" w:space="0" w:color="auto"/>
              <w:right w:val="single" w:sz="4" w:space="0" w:color="auto"/>
            </w:tcBorders>
            <w:noWrap/>
            <w:vAlign w:val="center"/>
            <w:hideMark/>
          </w:tcPr>
          <w:p w14:paraId="08F931C5"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75%</w:t>
            </w:r>
          </w:p>
        </w:tc>
        <w:tc>
          <w:tcPr>
            <w:tcW w:w="703" w:type="dxa"/>
            <w:tcBorders>
              <w:top w:val="nil"/>
              <w:left w:val="nil"/>
              <w:bottom w:val="single" w:sz="4" w:space="0" w:color="auto"/>
              <w:right w:val="single" w:sz="4" w:space="0" w:color="auto"/>
            </w:tcBorders>
            <w:noWrap/>
            <w:vAlign w:val="center"/>
            <w:hideMark/>
          </w:tcPr>
          <w:p w14:paraId="5AF703CB"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70%</w:t>
            </w:r>
          </w:p>
        </w:tc>
        <w:tc>
          <w:tcPr>
            <w:tcW w:w="703" w:type="dxa"/>
            <w:tcBorders>
              <w:top w:val="nil"/>
              <w:left w:val="nil"/>
              <w:bottom w:val="single" w:sz="4" w:space="0" w:color="auto"/>
              <w:right w:val="single" w:sz="4" w:space="0" w:color="auto"/>
            </w:tcBorders>
            <w:vAlign w:val="center"/>
            <w:hideMark/>
          </w:tcPr>
          <w:p w14:paraId="5159698C"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65%</w:t>
            </w:r>
          </w:p>
        </w:tc>
      </w:tr>
      <w:tr w:rsidR="00B93F48" w:rsidRPr="007C14BA" w14:paraId="643BF683" w14:textId="77777777" w:rsidTr="00B211E6">
        <w:trPr>
          <w:trHeight w:val="252"/>
        </w:trPr>
        <w:tc>
          <w:tcPr>
            <w:tcW w:w="1696" w:type="dxa"/>
            <w:tcBorders>
              <w:top w:val="nil"/>
              <w:left w:val="single" w:sz="4" w:space="0" w:color="auto"/>
              <w:bottom w:val="single" w:sz="4" w:space="0" w:color="auto"/>
              <w:right w:val="single" w:sz="4" w:space="0" w:color="auto"/>
            </w:tcBorders>
            <w:noWrap/>
            <w:vAlign w:val="center"/>
            <w:hideMark/>
          </w:tcPr>
          <w:p w14:paraId="35D88BBC"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G6</w:t>
            </w:r>
          </w:p>
        </w:tc>
        <w:tc>
          <w:tcPr>
            <w:tcW w:w="704" w:type="dxa"/>
            <w:shd w:val="clear" w:color="auto" w:fill="BFBFBF"/>
            <w:noWrap/>
            <w:vAlign w:val="center"/>
            <w:hideMark/>
          </w:tcPr>
          <w:p w14:paraId="4F756DC2" w14:textId="77777777" w:rsidR="00B93F48" w:rsidRPr="007C14BA" w:rsidRDefault="00B93F48" w:rsidP="00B211E6">
            <w:pPr>
              <w:rPr>
                <w:rFonts w:ascii="Arial Narrow" w:eastAsia="Calibri" w:hAnsi="Arial Narrow"/>
                <w:color w:val="000000" w:themeColor="text1"/>
                <w:lang w:eastAsia="es-CO"/>
              </w:rPr>
            </w:pPr>
          </w:p>
        </w:tc>
        <w:tc>
          <w:tcPr>
            <w:tcW w:w="703" w:type="dxa"/>
            <w:shd w:val="clear" w:color="auto" w:fill="BFBFBF"/>
            <w:noWrap/>
            <w:vAlign w:val="center"/>
            <w:hideMark/>
          </w:tcPr>
          <w:p w14:paraId="670089BC" w14:textId="77777777" w:rsidR="00B93F48" w:rsidRPr="007C14BA" w:rsidRDefault="00B93F48" w:rsidP="00B211E6">
            <w:pPr>
              <w:spacing w:line="256" w:lineRule="auto"/>
              <w:rPr>
                <w:rFonts w:ascii="Arial Narrow" w:hAnsi="Arial Narrow"/>
                <w:lang w:eastAsia="es-CO"/>
              </w:rPr>
            </w:pPr>
          </w:p>
        </w:tc>
        <w:tc>
          <w:tcPr>
            <w:tcW w:w="703" w:type="dxa"/>
            <w:shd w:val="clear" w:color="auto" w:fill="BFBFBF"/>
            <w:noWrap/>
            <w:vAlign w:val="center"/>
            <w:hideMark/>
          </w:tcPr>
          <w:p w14:paraId="1AB0DE78" w14:textId="77777777" w:rsidR="00B93F48" w:rsidRPr="007C14BA" w:rsidRDefault="00B93F48" w:rsidP="00B211E6">
            <w:pPr>
              <w:spacing w:line="256" w:lineRule="auto"/>
              <w:rPr>
                <w:rFonts w:ascii="Arial Narrow" w:hAnsi="Arial Narrow"/>
                <w:lang w:eastAsia="es-CO"/>
              </w:rPr>
            </w:pPr>
          </w:p>
        </w:tc>
        <w:tc>
          <w:tcPr>
            <w:tcW w:w="703" w:type="dxa"/>
            <w:shd w:val="clear" w:color="auto" w:fill="BFBFBF"/>
            <w:noWrap/>
            <w:vAlign w:val="center"/>
            <w:hideMark/>
          </w:tcPr>
          <w:p w14:paraId="0E536E06" w14:textId="77777777" w:rsidR="00B93F48" w:rsidRPr="007C14BA" w:rsidRDefault="00B93F48" w:rsidP="00B211E6">
            <w:pPr>
              <w:spacing w:line="256" w:lineRule="auto"/>
              <w:rPr>
                <w:rFonts w:ascii="Arial Narrow" w:hAnsi="Arial Narrow"/>
                <w:lang w:eastAsia="es-CO"/>
              </w:rPr>
            </w:pPr>
          </w:p>
        </w:tc>
        <w:tc>
          <w:tcPr>
            <w:tcW w:w="703" w:type="dxa"/>
            <w:shd w:val="clear" w:color="auto" w:fill="BFBFBF"/>
            <w:noWrap/>
            <w:vAlign w:val="center"/>
            <w:hideMark/>
          </w:tcPr>
          <w:p w14:paraId="31B09A26" w14:textId="77777777" w:rsidR="00B93F48" w:rsidRPr="007C14BA" w:rsidRDefault="00B93F48" w:rsidP="00B211E6">
            <w:pPr>
              <w:spacing w:line="256" w:lineRule="auto"/>
              <w:rPr>
                <w:rFonts w:ascii="Arial Narrow" w:hAnsi="Arial Narrow"/>
                <w:lang w:eastAsia="es-CO"/>
              </w:rPr>
            </w:pPr>
          </w:p>
        </w:tc>
        <w:tc>
          <w:tcPr>
            <w:tcW w:w="703" w:type="dxa"/>
            <w:tcBorders>
              <w:top w:val="nil"/>
              <w:left w:val="single" w:sz="4" w:space="0" w:color="auto"/>
              <w:bottom w:val="single" w:sz="4" w:space="0" w:color="auto"/>
              <w:right w:val="single" w:sz="4" w:space="0" w:color="auto"/>
            </w:tcBorders>
            <w:noWrap/>
            <w:vAlign w:val="center"/>
            <w:hideMark/>
          </w:tcPr>
          <w:p w14:paraId="5F165F99"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80%</w:t>
            </w:r>
          </w:p>
        </w:tc>
        <w:tc>
          <w:tcPr>
            <w:tcW w:w="703" w:type="dxa"/>
            <w:tcBorders>
              <w:top w:val="nil"/>
              <w:left w:val="nil"/>
              <w:bottom w:val="single" w:sz="4" w:space="0" w:color="auto"/>
              <w:right w:val="single" w:sz="4" w:space="0" w:color="auto"/>
            </w:tcBorders>
            <w:noWrap/>
            <w:vAlign w:val="center"/>
            <w:hideMark/>
          </w:tcPr>
          <w:p w14:paraId="785E4878"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75%</w:t>
            </w:r>
          </w:p>
        </w:tc>
        <w:tc>
          <w:tcPr>
            <w:tcW w:w="703" w:type="dxa"/>
            <w:tcBorders>
              <w:top w:val="nil"/>
              <w:left w:val="nil"/>
              <w:bottom w:val="single" w:sz="4" w:space="0" w:color="auto"/>
              <w:right w:val="single" w:sz="4" w:space="0" w:color="auto"/>
            </w:tcBorders>
            <w:vAlign w:val="center"/>
            <w:hideMark/>
          </w:tcPr>
          <w:p w14:paraId="540F2645"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75%</w:t>
            </w:r>
          </w:p>
        </w:tc>
      </w:tr>
      <w:tr w:rsidR="00B93F48" w:rsidRPr="007C14BA" w14:paraId="428DCC4E" w14:textId="77777777" w:rsidTr="00B211E6">
        <w:trPr>
          <w:trHeight w:val="252"/>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B6CEA6F"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G7</w:t>
            </w:r>
          </w:p>
        </w:tc>
        <w:tc>
          <w:tcPr>
            <w:tcW w:w="704" w:type="dxa"/>
            <w:shd w:val="clear" w:color="auto" w:fill="BFBFBF"/>
            <w:noWrap/>
            <w:vAlign w:val="center"/>
            <w:hideMark/>
          </w:tcPr>
          <w:p w14:paraId="4C6AA546" w14:textId="77777777" w:rsidR="00B93F48" w:rsidRPr="007C14BA" w:rsidRDefault="00B93F48" w:rsidP="00B211E6">
            <w:pPr>
              <w:rPr>
                <w:rFonts w:ascii="Arial Narrow" w:eastAsia="Calibri" w:hAnsi="Arial Narrow"/>
                <w:color w:val="000000" w:themeColor="text1"/>
                <w:lang w:eastAsia="es-CO"/>
              </w:rPr>
            </w:pPr>
          </w:p>
        </w:tc>
        <w:tc>
          <w:tcPr>
            <w:tcW w:w="703" w:type="dxa"/>
            <w:shd w:val="clear" w:color="auto" w:fill="BFBFBF"/>
            <w:noWrap/>
            <w:vAlign w:val="center"/>
            <w:hideMark/>
          </w:tcPr>
          <w:p w14:paraId="32535F7F" w14:textId="77777777" w:rsidR="00B93F48" w:rsidRPr="007C14BA" w:rsidRDefault="00B93F48" w:rsidP="00B211E6">
            <w:pPr>
              <w:spacing w:line="256" w:lineRule="auto"/>
              <w:rPr>
                <w:rFonts w:ascii="Arial Narrow" w:hAnsi="Arial Narrow"/>
                <w:lang w:eastAsia="es-CO"/>
              </w:rPr>
            </w:pPr>
          </w:p>
        </w:tc>
        <w:tc>
          <w:tcPr>
            <w:tcW w:w="703" w:type="dxa"/>
            <w:shd w:val="clear" w:color="auto" w:fill="BFBFBF"/>
            <w:noWrap/>
            <w:vAlign w:val="center"/>
            <w:hideMark/>
          </w:tcPr>
          <w:p w14:paraId="438368A6" w14:textId="77777777" w:rsidR="00B93F48" w:rsidRPr="007C14BA" w:rsidRDefault="00B93F48" w:rsidP="00B211E6">
            <w:pPr>
              <w:spacing w:line="256" w:lineRule="auto"/>
              <w:rPr>
                <w:rFonts w:ascii="Arial Narrow" w:hAnsi="Arial Narrow"/>
                <w:lang w:eastAsia="es-CO"/>
              </w:rPr>
            </w:pPr>
          </w:p>
        </w:tc>
        <w:tc>
          <w:tcPr>
            <w:tcW w:w="703" w:type="dxa"/>
            <w:shd w:val="clear" w:color="auto" w:fill="BFBFBF"/>
            <w:noWrap/>
            <w:vAlign w:val="center"/>
            <w:hideMark/>
          </w:tcPr>
          <w:p w14:paraId="23527628" w14:textId="77777777" w:rsidR="00B93F48" w:rsidRPr="007C14BA" w:rsidRDefault="00B93F48" w:rsidP="00B211E6">
            <w:pPr>
              <w:spacing w:line="256" w:lineRule="auto"/>
              <w:rPr>
                <w:rFonts w:ascii="Arial Narrow" w:hAnsi="Arial Narrow"/>
                <w:lang w:eastAsia="es-CO"/>
              </w:rPr>
            </w:pPr>
          </w:p>
        </w:tc>
        <w:tc>
          <w:tcPr>
            <w:tcW w:w="703" w:type="dxa"/>
            <w:shd w:val="clear" w:color="auto" w:fill="BFBFBF"/>
            <w:noWrap/>
            <w:vAlign w:val="center"/>
            <w:hideMark/>
          </w:tcPr>
          <w:p w14:paraId="2D8BABCF" w14:textId="77777777" w:rsidR="00B93F48" w:rsidRPr="007C14BA" w:rsidRDefault="00B93F48" w:rsidP="00B211E6">
            <w:pPr>
              <w:spacing w:line="256" w:lineRule="auto"/>
              <w:rPr>
                <w:rFonts w:ascii="Arial Narrow" w:hAnsi="Arial Narrow"/>
                <w:lang w:eastAsia="es-CO"/>
              </w:rPr>
            </w:pPr>
          </w:p>
        </w:tc>
        <w:tc>
          <w:tcPr>
            <w:tcW w:w="703" w:type="dxa"/>
            <w:tcBorders>
              <w:top w:val="nil"/>
              <w:left w:val="nil"/>
              <w:bottom w:val="nil"/>
              <w:right w:val="single" w:sz="4" w:space="0" w:color="auto"/>
            </w:tcBorders>
            <w:shd w:val="clear" w:color="auto" w:fill="BFBFBF"/>
            <w:noWrap/>
            <w:vAlign w:val="center"/>
            <w:hideMark/>
          </w:tcPr>
          <w:p w14:paraId="624ADE6B" w14:textId="77777777" w:rsidR="00B93F48" w:rsidRPr="007C14BA" w:rsidRDefault="00B93F48" w:rsidP="00B211E6">
            <w:pPr>
              <w:spacing w:line="256" w:lineRule="auto"/>
              <w:rPr>
                <w:rFonts w:ascii="Arial Narrow" w:hAnsi="Arial Narrow"/>
                <w:lang w:eastAsia="es-CO"/>
              </w:rPr>
            </w:pPr>
          </w:p>
        </w:tc>
        <w:tc>
          <w:tcPr>
            <w:tcW w:w="703" w:type="dxa"/>
            <w:tcBorders>
              <w:top w:val="single" w:sz="4" w:space="0" w:color="auto"/>
              <w:left w:val="nil"/>
              <w:bottom w:val="single" w:sz="4" w:space="0" w:color="auto"/>
              <w:right w:val="single" w:sz="4" w:space="0" w:color="auto"/>
            </w:tcBorders>
            <w:noWrap/>
            <w:vAlign w:val="center"/>
            <w:hideMark/>
          </w:tcPr>
          <w:p w14:paraId="6D438DE1"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80%</w:t>
            </w:r>
          </w:p>
        </w:tc>
        <w:tc>
          <w:tcPr>
            <w:tcW w:w="703" w:type="dxa"/>
            <w:tcBorders>
              <w:top w:val="single" w:sz="4" w:space="0" w:color="auto"/>
              <w:left w:val="nil"/>
              <w:bottom w:val="single" w:sz="4" w:space="0" w:color="auto"/>
              <w:right w:val="single" w:sz="4" w:space="0" w:color="auto"/>
            </w:tcBorders>
            <w:vAlign w:val="center"/>
            <w:hideMark/>
          </w:tcPr>
          <w:p w14:paraId="53A6D6DD"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80%</w:t>
            </w:r>
          </w:p>
        </w:tc>
      </w:tr>
      <w:tr w:rsidR="00B93F48" w:rsidRPr="007C14BA" w14:paraId="1043F685" w14:textId="77777777" w:rsidTr="00B211E6">
        <w:trPr>
          <w:trHeight w:val="252"/>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54E39504"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G8</w:t>
            </w:r>
          </w:p>
        </w:tc>
        <w:tc>
          <w:tcPr>
            <w:tcW w:w="704" w:type="dxa"/>
            <w:tcBorders>
              <w:top w:val="nil"/>
              <w:left w:val="nil"/>
              <w:bottom w:val="single" w:sz="4" w:space="0" w:color="auto"/>
              <w:right w:val="nil"/>
            </w:tcBorders>
            <w:shd w:val="clear" w:color="auto" w:fill="BFBFBF" w:themeFill="background1" w:themeFillShade="BF"/>
            <w:noWrap/>
            <w:vAlign w:val="center"/>
          </w:tcPr>
          <w:p w14:paraId="39D89BA3" w14:textId="77777777" w:rsidR="00B93F48" w:rsidRPr="007C14BA" w:rsidRDefault="00B93F48" w:rsidP="00B211E6">
            <w:pPr>
              <w:spacing w:line="256" w:lineRule="auto"/>
              <w:jc w:val="center"/>
              <w:rPr>
                <w:rFonts w:ascii="Arial Narrow" w:eastAsia="Calibri" w:hAnsi="Arial Narrow"/>
                <w:color w:val="000000" w:themeColor="text1"/>
                <w:lang w:eastAsia="es-CO"/>
              </w:rPr>
            </w:pPr>
          </w:p>
        </w:tc>
        <w:tc>
          <w:tcPr>
            <w:tcW w:w="703" w:type="dxa"/>
            <w:tcBorders>
              <w:top w:val="nil"/>
              <w:left w:val="nil"/>
              <w:bottom w:val="single" w:sz="4" w:space="0" w:color="auto"/>
              <w:right w:val="nil"/>
            </w:tcBorders>
            <w:shd w:val="clear" w:color="auto" w:fill="BFBFBF" w:themeFill="background1" w:themeFillShade="BF"/>
            <w:noWrap/>
            <w:vAlign w:val="center"/>
          </w:tcPr>
          <w:p w14:paraId="45D7863E" w14:textId="77777777" w:rsidR="00B93F48" w:rsidRPr="007C14BA" w:rsidRDefault="00B93F48" w:rsidP="00B211E6">
            <w:pPr>
              <w:spacing w:line="256" w:lineRule="auto"/>
              <w:jc w:val="center"/>
              <w:rPr>
                <w:rFonts w:ascii="Arial Narrow" w:eastAsia="Calibri" w:hAnsi="Arial Narrow"/>
                <w:color w:val="000000" w:themeColor="text1"/>
                <w:lang w:eastAsia="es-CO"/>
              </w:rPr>
            </w:pPr>
          </w:p>
        </w:tc>
        <w:tc>
          <w:tcPr>
            <w:tcW w:w="703" w:type="dxa"/>
            <w:tcBorders>
              <w:top w:val="nil"/>
              <w:left w:val="nil"/>
              <w:bottom w:val="single" w:sz="4" w:space="0" w:color="auto"/>
              <w:right w:val="nil"/>
            </w:tcBorders>
            <w:shd w:val="clear" w:color="auto" w:fill="BFBFBF" w:themeFill="background1" w:themeFillShade="BF"/>
            <w:noWrap/>
            <w:vAlign w:val="center"/>
          </w:tcPr>
          <w:p w14:paraId="7845E40B" w14:textId="77777777" w:rsidR="00B93F48" w:rsidRPr="007C14BA" w:rsidRDefault="00B93F48" w:rsidP="00B211E6">
            <w:pPr>
              <w:spacing w:line="256" w:lineRule="auto"/>
              <w:jc w:val="center"/>
              <w:rPr>
                <w:rFonts w:ascii="Arial Narrow" w:eastAsia="Calibri" w:hAnsi="Arial Narrow"/>
                <w:color w:val="000000" w:themeColor="text1"/>
                <w:lang w:eastAsia="es-CO"/>
              </w:rPr>
            </w:pPr>
          </w:p>
        </w:tc>
        <w:tc>
          <w:tcPr>
            <w:tcW w:w="703" w:type="dxa"/>
            <w:tcBorders>
              <w:top w:val="nil"/>
              <w:left w:val="nil"/>
              <w:bottom w:val="single" w:sz="4" w:space="0" w:color="auto"/>
              <w:right w:val="nil"/>
            </w:tcBorders>
            <w:shd w:val="clear" w:color="auto" w:fill="BFBFBF" w:themeFill="background1" w:themeFillShade="BF"/>
            <w:noWrap/>
            <w:vAlign w:val="center"/>
          </w:tcPr>
          <w:p w14:paraId="2C4A6CF0" w14:textId="77777777" w:rsidR="00B93F48" w:rsidRPr="007C14BA" w:rsidRDefault="00B93F48" w:rsidP="00B211E6">
            <w:pPr>
              <w:spacing w:line="256" w:lineRule="auto"/>
              <w:jc w:val="center"/>
              <w:rPr>
                <w:rFonts w:ascii="Arial Narrow" w:eastAsia="Calibri" w:hAnsi="Arial Narrow"/>
                <w:color w:val="000000" w:themeColor="text1"/>
                <w:lang w:eastAsia="es-CO"/>
              </w:rPr>
            </w:pPr>
          </w:p>
        </w:tc>
        <w:tc>
          <w:tcPr>
            <w:tcW w:w="703" w:type="dxa"/>
            <w:tcBorders>
              <w:top w:val="nil"/>
              <w:left w:val="nil"/>
              <w:bottom w:val="single" w:sz="4" w:space="0" w:color="auto"/>
              <w:right w:val="nil"/>
            </w:tcBorders>
            <w:shd w:val="clear" w:color="auto" w:fill="BFBFBF" w:themeFill="background1" w:themeFillShade="BF"/>
            <w:noWrap/>
            <w:vAlign w:val="center"/>
          </w:tcPr>
          <w:p w14:paraId="3E41FF3D" w14:textId="77777777" w:rsidR="00B93F48" w:rsidRPr="007C14BA" w:rsidRDefault="00B93F48" w:rsidP="00B211E6">
            <w:pPr>
              <w:spacing w:line="256" w:lineRule="auto"/>
              <w:jc w:val="center"/>
              <w:rPr>
                <w:rFonts w:ascii="Arial Narrow" w:eastAsia="Calibri" w:hAnsi="Arial Narrow"/>
                <w:color w:val="000000" w:themeColor="text1"/>
                <w:lang w:eastAsia="es-CO"/>
              </w:rPr>
            </w:pPr>
          </w:p>
        </w:tc>
        <w:tc>
          <w:tcPr>
            <w:tcW w:w="703" w:type="dxa"/>
            <w:tcBorders>
              <w:top w:val="nil"/>
              <w:left w:val="nil"/>
              <w:bottom w:val="single" w:sz="4" w:space="0" w:color="auto"/>
              <w:right w:val="nil"/>
            </w:tcBorders>
            <w:shd w:val="clear" w:color="auto" w:fill="BFBFBF" w:themeFill="background1" w:themeFillShade="BF"/>
            <w:noWrap/>
            <w:vAlign w:val="center"/>
          </w:tcPr>
          <w:p w14:paraId="04E9AF04" w14:textId="77777777" w:rsidR="00B93F48" w:rsidRPr="007C14BA" w:rsidRDefault="00B93F48" w:rsidP="00B211E6">
            <w:pPr>
              <w:spacing w:line="256" w:lineRule="auto"/>
              <w:jc w:val="center"/>
              <w:rPr>
                <w:rFonts w:ascii="Arial Narrow" w:eastAsia="Calibri" w:hAnsi="Arial Narrow"/>
                <w:color w:val="000000" w:themeColor="text1"/>
                <w:lang w:eastAsia="es-CO"/>
              </w:rPr>
            </w:pPr>
          </w:p>
        </w:tc>
        <w:tc>
          <w:tcPr>
            <w:tcW w:w="70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3EBD67E" w14:textId="77777777" w:rsidR="00B93F48" w:rsidRPr="007C14BA" w:rsidRDefault="00B93F48" w:rsidP="00B211E6">
            <w:pPr>
              <w:spacing w:line="256" w:lineRule="auto"/>
              <w:jc w:val="center"/>
              <w:rPr>
                <w:rFonts w:ascii="Arial Narrow" w:eastAsia="Calibri" w:hAnsi="Arial Narrow"/>
                <w:color w:val="000000" w:themeColor="text1"/>
                <w:lang w:eastAsia="es-CO"/>
              </w:rPr>
            </w:pPr>
          </w:p>
        </w:tc>
        <w:tc>
          <w:tcPr>
            <w:tcW w:w="703" w:type="dxa"/>
            <w:tcBorders>
              <w:top w:val="single" w:sz="4" w:space="0" w:color="auto"/>
              <w:left w:val="nil"/>
              <w:bottom w:val="single" w:sz="4" w:space="0" w:color="auto"/>
              <w:right w:val="single" w:sz="4" w:space="0" w:color="auto"/>
            </w:tcBorders>
            <w:vAlign w:val="center"/>
            <w:hideMark/>
          </w:tcPr>
          <w:p w14:paraId="59904F6D"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80%</w:t>
            </w:r>
          </w:p>
        </w:tc>
      </w:tr>
    </w:tbl>
    <w:p w14:paraId="1A5511B4" w14:textId="77777777" w:rsidR="00B93F48" w:rsidRPr="007C14BA" w:rsidRDefault="00B93F48" w:rsidP="00B93F48">
      <w:pPr>
        <w:ind w:left="317"/>
        <w:contextualSpacing/>
        <w:jc w:val="both"/>
        <w:rPr>
          <w:rFonts w:ascii="Arial Narrow" w:eastAsia="Calibri" w:hAnsi="Arial Narrow"/>
          <w:color w:val="000000" w:themeColor="text1"/>
        </w:rPr>
      </w:pPr>
    </w:p>
    <w:p w14:paraId="4C94E182" w14:textId="77777777" w:rsidR="00B93F48" w:rsidRPr="007C14BA" w:rsidRDefault="00B93F48" w:rsidP="00B93F48">
      <w:pPr>
        <w:ind w:left="317"/>
        <w:contextualSpacing/>
        <w:jc w:val="both"/>
        <w:rPr>
          <w:rFonts w:ascii="Arial Narrow" w:eastAsia="Calibri" w:hAnsi="Arial Narrow"/>
          <w:color w:val="000000" w:themeColor="text1"/>
        </w:rPr>
      </w:pPr>
    </w:p>
    <w:p w14:paraId="069C1E22" w14:textId="77777777" w:rsidR="00B93F48" w:rsidRPr="007C14BA" w:rsidRDefault="00B93F48" w:rsidP="00B93F48">
      <w:pPr>
        <w:ind w:left="317"/>
        <w:contextualSpacing/>
        <w:jc w:val="both"/>
        <w:rPr>
          <w:rFonts w:ascii="Arial Narrow" w:eastAsia="Calibri" w:hAnsi="Arial Narrow"/>
          <w:color w:val="000000" w:themeColor="text1"/>
        </w:rPr>
      </w:pPr>
    </w:p>
    <w:p w14:paraId="2E3CB307" w14:textId="77777777" w:rsidR="00B93F48" w:rsidRPr="007C14BA" w:rsidRDefault="00B93F48" w:rsidP="00B93F48">
      <w:pPr>
        <w:ind w:left="317"/>
        <w:contextualSpacing/>
        <w:jc w:val="both"/>
        <w:rPr>
          <w:rFonts w:ascii="Arial Narrow" w:eastAsia="Calibri" w:hAnsi="Arial Narrow"/>
          <w:color w:val="000000" w:themeColor="text1"/>
        </w:rPr>
      </w:pPr>
    </w:p>
    <w:p w14:paraId="69ACE19E" w14:textId="77777777" w:rsidR="00B93F48" w:rsidRPr="007C14BA" w:rsidRDefault="00B93F48" w:rsidP="00B93F48">
      <w:pPr>
        <w:jc w:val="both"/>
        <w:rPr>
          <w:rFonts w:ascii="Arial Narrow" w:eastAsia="Calibri" w:hAnsi="Arial Narrow"/>
          <w:color w:val="000000" w:themeColor="text1"/>
        </w:rPr>
      </w:pPr>
    </w:p>
    <w:p w14:paraId="28584E94" w14:textId="77777777" w:rsidR="00B93F48" w:rsidRPr="007C14BA" w:rsidRDefault="00B93F48" w:rsidP="00B93F48">
      <w:pPr>
        <w:jc w:val="both"/>
        <w:rPr>
          <w:rFonts w:ascii="Arial Narrow" w:eastAsia="Calibri" w:hAnsi="Arial Narrow"/>
          <w:color w:val="000000" w:themeColor="text1"/>
        </w:rPr>
      </w:pPr>
    </w:p>
    <w:p w14:paraId="5ECB57FC" w14:textId="77777777" w:rsidR="00B93F48" w:rsidRPr="007C14BA" w:rsidRDefault="00B93F48" w:rsidP="00B93F48">
      <w:pPr>
        <w:ind w:left="317"/>
        <w:contextualSpacing/>
        <w:jc w:val="both"/>
        <w:rPr>
          <w:rFonts w:ascii="Arial Narrow" w:eastAsia="Calibri" w:hAnsi="Arial Narrow"/>
          <w:color w:val="000000" w:themeColor="text1"/>
        </w:rPr>
      </w:pPr>
    </w:p>
    <w:p w14:paraId="39FB3EAE" w14:textId="77777777" w:rsidR="00B93F48" w:rsidRPr="007C14BA" w:rsidRDefault="00B93F48" w:rsidP="00B93F48">
      <w:pPr>
        <w:ind w:left="317"/>
        <w:contextualSpacing/>
        <w:jc w:val="both"/>
        <w:rPr>
          <w:rFonts w:ascii="Arial Narrow" w:eastAsia="Calibri" w:hAnsi="Arial Narrow"/>
          <w:color w:val="000000" w:themeColor="text1"/>
        </w:rPr>
      </w:pPr>
    </w:p>
    <w:p w14:paraId="76A074C5" w14:textId="77777777" w:rsidR="00B93F48" w:rsidRPr="007C14BA" w:rsidRDefault="00B93F48" w:rsidP="00B93F48">
      <w:pPr>
        <w:ind w:left="317"/>
        <w:contextualSpacing/>
        <w:jc w:val="both"/>
        <w:rPr>
          <w:rFonts w:ascii="Arial Narrow" w:eastAsia="Calibri" w:hAnsi="Arial Narrow"/>
          <w:color w:val="000000" w:themeColor="text1"/>
        </w:rPr>
      </w:pPr>
    </w:p>
    <w:p w14:paraId="04ACA86D" w14:textId="77777777" w:rsidR="00B93F48" w:rsidRPr="007C14BA" w:rsidRDefault="00B93F48" w:rsidP="00B93F48">
      <w:pPr>
        <w:ind w:left="317"/>
        <w:contextualSpacing/>
        <w:jc w:val="both"/>
        <w:rPr>
          <w:rFonts w:ascii="Arial Narrow" w:eastAsia="Calibri" w:hAnsi="Arial Narrow"/>
          <w:color w:val="000000" w:themeColor="text1"/>
        </w:rPr>
      </w:pPr>
    </w:p>
    <w:p w14:paraId="6EC5FEA3" w14:textId="77777777" w:rsidR="00B93F48" w:rsidRDefault="00B93F48" w:rsidP="00B93F48">
      <w:pPr>
        <w:ind w:left="317"/>
        <w:contextualSpacing/>
        <w:jc w:val="both"/>
        <w:rPr>
          <w:rFonts w:ascii="Arial Narrow" w:eastAsia="Calibri" w:hAnsi="Arial Narrow"/>
          <w:color w:val="000000" w:themeColor="text1"/>
        </w:rPr>
      </w:pPr>
    </w:p>
    <w:p w14:paraId="3CC6B764" w14:textId="77777777" w:rsidR="00B93F48" w:rsidRDefault="00B93F48" w:rsidP="00B93F48">
      <w:pPr>
        <w:ind w:left="317"/>
        <w:contextualSpacing/>
        <w:jc w:val="both"/>
        <w:rPr>
          <w:rFonts w:ascii="Arial Narrow" w:eastAsia="Calibri" w:hAnsi="Arial Narrow"/>
          <w:color w:val="000000" w:themeColor="text1"/>
        </w:rPr>
      </w:pPr>
    </w:p>
    <w:p w14:paraId="2E763AB1" w14:textId="77777777" w:rsidR="00B93F48" w:rsidRDefault="00B93F48" w:rsidP="00B93F48">
      <w:pPr>
        <w:ind w:left="317"/>
        <w:contextualSpacing/>
        <w:jc w:val="both"/>
        <w:rPr>
          <w:rFonts w:ascii="Arial Narrow" w:eastAsia="Calibri" w:hAnsi="Arial Narrow"/>
          <w:color w:val="000000" w:themeColor="text1"/>
        </w:rPr>
      </w:pPr>
    </w:p>
    <w:p w14:paraId="08B65718" w14:textId="77777777" w:rsidR="00B93F48" w:rsidRPr="007C14BA" w:rsidRDefault="00B93F48" w:rsidP="00B93F48">
      <w:pPr>
        <w:numPr>
          <w:ilvl w:val="0"/>
          <w:numId w:val="369"/>
        </w:numPr>
        <w:ind w:left="317"/>
        <w:contextualSpacing/>
        <w:jc w:val="both"/>
        <w:rPr>
          <w:rFonts w:ascii="Arial Narrow" w:eastAsia="Calibri" w:hAnsi="Arial Narrow"/>
          <w:color w:val="000000" w:themeColor="text1"/>
        </w:rPr>
      </w:pPr>
      <w:r w:rsidRPr="007C14BA">
        <w:rPr>
          <w:rFonts w:ascii="Arial Narrow" w:eastAsia="Calibri" w:hAnsi="Arial Narrow"/>
          <w:color w:val="000000" w:themeColor="text1"/>
        </w:rPr>
        <w:t>Orden o prioridad de compensación de los Grupos de Compensación.</w:t>
      </w:r>
    </w:p>
    <w:p w14:paraId="5637EF70" w14:textId="77777777" w:rsidR="00B93F48" w:rsidRPr="007C14BA" w:rsidRDefault="00B93F48" w:rsidP="00B93F48">
      <w:pPr>
        <w:autoSpaceDE w:val="0"/>
        <w:autoSpaceDN w:val="0"/>
        <w:adjustRightInd w:val="0"/>
        <w:ind w:left="720"/>
        <w:contextualSpacing/>
        <w:jc w:val="both"/>
        <w:rPr>
          <w:rFonts w:ascii="Arial Narrow" w:eastAsia="Calibri" w:hAnsi="Arial Narrow"/>
          <w:color w:val="000000" w:themeColor="text1"/>
        </w:rPr>
      </w:pPr>
    </w:p>
    <w:p w14:paraId="3AE96C9C" w14:textId="77777777" w:rsidR="00B93F48" w:rsidRPr="007C14BA" w:rsidRDefault="00B93F48" w:rsidP="00B93F48">
      <w:pPr>
        <w:ind w:left="317"/>
        <w:contextualSpacing/>
        <w:jc w:val="both"/>
        <w:rPr>
          <w:rFonts w:ascii="Arial Narrow" w:eastAsia="Calibri" w:hAnsi="Arial Narrow"/>
          <w:color w:val="000000" w:themeColor="text1"/>
        </w:rPr>
      </w:pPr>
      <w:r w:rsidRPr="007C14BA">
        <w:rPr>
          <w:rFonts w:ascii="Arial Narrow" w:eastAsia="Calibri" w:hAnsi="Arial Narrow"/>
          <w:color w:val="000000" w:themeColor="text1"/>
        </w:rPr>
        <w:t>La prioridad a la hora de compensar posiciones será la siguiente:</w:t>
      </w:r>
    </w:p>
    <w:p w14:paraId="27F87D1B" w14:textId="77777777" w:rsidR="00B93F48" w:rsidRPr="007C14BA" w:rsidRDefault="00B93F48" w:rsidP="00B93F48">
      <w:pPr>
        <w:autoSpaceDE w:val="0"/>
        <w:autoSpaceDN w:val="0"/>
        <w:adjustRightInd w:val="0"/>
        <w:ind w:left="720"/>
        <w:contextualSpacing/>
        <w:jc w:val="both"/>
        <w:rPr>
          <w:rFonts w:ascii="Arial Narrow" w:eastAsia="Calibri" w:hAnsi="Arial Narrow"/>
          <w:color w:val="000000" w:themeColor="text1"/>
        </w:rPr>
      </w:pPr>
    </w:p>
    <w:tbl>
      <w:tblPr>
        <w:tblW w:w="7020" w:type="dxa"/>
        <w:jc w:val="center"/>
        <w:tblLayout w:type="fixed"/>
        <w:tblCellMar>
          <w:left w:w="70" w:type="dxa"/>
          <w:right w:w="70" w:type="dxa"/>
        </w:tblCellMar>
        <w:tblLook w:val="04A0" w:firstRow="1" w:lastRow="0" w:firstColumn="1" w:lastColumn="0" w:noHBand="0" w:noVBand="1"/>
      </w:tblPr>
      <w:tblGrid>
        <w:gridCol w:w="1608"/>
        <w:gridCol w:w="678"/>
        <w:gridCol w:w="678"/>
        <w:gridCol w:w="676"/>
        <w:gridCol w:w="676"/>
        <w:gridCol w:w="676"/>
        <w:gridCol w:w="676"/>
        <w:gridCol w:w="676"/>
        <w:gridCol w:w="676"/>
      </w:tblGrid>
      <w:tr w:rsidR="00B93F48" w:rsidRPr="007C14BA" w14:paraId="06B50C30" w14:textId="77777777" w:rsidTr="00B211E6">
        <w:trPr>
          <w:trHeight w:val="385"/>
          <w:jc w:val="center"/>
        </w:trPr>
        <w:tc>
          <w:tcPr>
            <w:tcW w:w="1609" w:type="dxa"/>
            <w:tcBorders>
              <w:top w:val="single" w:sz="4" w:space="0" w:color="auto"/>
              <w:left w:val="single" w:sz="4" w:space="0" w:color="auto"/>
              <w:bottom w:val="single" w:sz="4" w:space="0" w:color="auto"/>
              <w:right w:val="single" w:sz="4" w:space="0" w:color="auto"/>
            </w:tcBorders>
            <w:noWrap/>
            <w:vAlign w:val="center"/>
            <w:hideMark/>
          </w:tcPr>
          <w:p w14:paraId="02E445E3"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Grupos de Compensación</w:t>
            </w:r>
          </w:p>
        </w:tc>
        <w:tc>
          <w:tcPr>
            <w:tcW w:w="678" w:type="dxa"/>
            <w:tcBorders>
              <w:top w:val="single" w:sz="4" w:space="0" w:color="auto"/>
              <w:left w:val="nil"/>
              <w:bottom w:val="single" w:sz="4" w:space="0" w:color="auto"/>
              <w:right w:val="single" w:sz="4" w:space="0" w:color="auto"/>
            </w:tcBorders>
            <w:noWrap/>
            <w:vAlign w:val="center"/>
            <w:hideMark/>
          </w:tcPr>
          <w:p w14:paraId="0A59B71C"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G1</w:t>
            </w:r>
          </w:p>
        </w:tc>
        <w:tc>
          <w:tcPr>
            <w:tcW w:w="678" w:type="dxa"/>
            <w:tcBorders>
              <w:top w:val="single" w:sz="4" w:space="0" w:color="auto"/>
              <w:left w:val="nil"/>
              <w:bottom w:val="single" w:sz="4" w:space="0" w:color="auto"/>
              <w:right w:val="single" w:sz="4" w:space="0" w:color="auto"/>
            </w:tcBorders>
            <w:noWrap/>
            <w:vAlign w:val="center"/>
            <w:hideMark/>
          </w:tcPr>
          <w:p w14:paraId="2ED27602"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G2</w:t>
            </w:r>
          </w:p>
        </w:tc>
        <w:tc>
          <w:tcPr>
            <w:tcW w:w="677" w:type="dxa"/>
            <w:tcBorders>
              <w:top w:val="single" w:sz="4" w:space="0" w:color="auto"/>
              <w:left w:val="nil"/>
              <w:bottom w:val="single" w:sz="4" w:space="0" w:color="auto"/>
              <w:right w:val="single" w:sz="4" w:space="0" w:color="auto"/>
            </w:tcBorders>
            <w:noWrap/>
            <w:vAlign w:val="center"/>
            <w:hideMark/>
          </w:tcPr>
          <w:p w14:paraId="5B05E41C"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G3</w:t>
            </w:r>
          </w:p>
        </w:tc>
        <w:tc>
          <w:tcPr>
            <w:tcW w:w="677" w:type="dxa"/>
            <w:tcBorders>
              <w:top w:val="single" w:sz="4" w:space="0" w:color="auto"/>
              <w:left w:val="nil"/>
              <w:bottom w:val="single" w:sz="4" w:space="0" w:color="auto"/>
              <w:right w:val="single" w:sz="4" w:space="0" w:color="auto"/>
            </w:tcBorders>
            <w:noWrap/>
            <w:vAlign w:val="center"/>
            <w:hideMark/>
          </w:tcPr>
          <w:p w14:paraId="0C0CFC60"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G4</w:t>
            </w:r>
          </w:p>
        </w:tc>
        <w:tc>
          <w:tcPr>
            <w:tcW w:w="677" w:type="dxa"/>
            <w:tcBorders>
              <w:top w:val="single" w:sz="4" w:space="0" w:color="auto"/>
              <w:left w:val="nil"/>
              <w:bottom w:val="single" w:sz="4" w:space="0" w:color="auto"/>
              <w:right w:val="single" w:sz="4" w:space="0" w:color="auto"/>
            </w:tcBorders>
            <w:noWrap/>
            <w:vAlign w:val="center"/>
            <w:hideMark/>
          </w:tcPr>
          <w:p w14:paraId="693AA3C6"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G5</w:t>
            </w:r>
          </w:p>
        </w:tc>
        <w:tc>
          <w:tcPr>
            <w:tcW w:w="677" w:type="dxa"/>
            <w:tcBorders>
              <w:top w:val="single" w:sz="4" w:space="0" w:color="auto"/>
              <w:left w:val="nil"/>
              <w:bottom w:val="single" w:sz="4" w:space="0" w:color="auto"/>
              <w:right w:val="single" w:sz="4" w:space="0" w:color="auto"/>
            </w:tcBorders>
            <w:noWrap/>
            <w:vAlign w:val="center"/>
            <w:hideMark/>
          </w:tcPr>
          <w:p w14:paraId="09A9C5EA"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G6</w:t>
            </w:r>
          </w:p>
        </w:tc>
        <w:tc>
          <w:tcPr>
            <w:tcW w:w="677" w:type="dxa"/>
            <w:tcBorders>
              <w:top w:val="single" w:sz="4" w:space="0" w:color="auto"/>
              <w:left w:val="nil"/>
              <w:bottom w:val="single" w:sz="4" w:space="0" w:color="auto"/>
              <w:right w:val="single" w:sz="4" w:space="0" w:color="auto"/>
            </w:tcBorders>
            <w:noWrap/>
            <w:vAlign w:val="center"/>
            <w:hideMark/>
          </w:tcPr>
          <w:p w14:paraId="511A5376"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G7</w:t>
            </w:r>
          </w:p>
        </w:tc>
        <w:tc>
          <w:tcPr>
            <w:tcW w:w="677" w:type="dxa"/>
            <w:tcBorders>
              <w:top w:val="single" w:sz="4" w:space="0" w:color="auto"/>
              <w:left w:val="nil"/>
              <w:bottom w:val="single" w:sz="4" w:space="0" w:color="auto"/>
              <w:right w:val="single" w:sz="4" w:space="0" w:color="auto"/>
            </w:tcBorders>
            <w:vAlign w:val="center"/>
            <w:hideMark/>
          </w:tcPr>
          <w:p w14:paraId="7A00AB35"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G8</w:t>
            </w:r>
          </w:p>
        </w:tc>
      </w:tr>
      <w:tr w:rsidR="00B93F48" w:rsidRPr="007C14BA" w14:paraId="7146E17F" w14:textId="77777777" w:rsidTr="00B211E6">
        <w:trPr>
          <w:trHeight w:val="55"/>
          <w:jc w:val="center"/>
        </w:trPr>
        <w:tc>
          <w:tcPr>
            <w:tcW w:w="1609" w:type="dxa"/>
            <w:tcBorders>
              <w:top w:val="single" w:sz="4" w:space="0" w:color="auto"/>
              <w:left w:val="single" w:sz="4" w:space="0" w:color="auto"/>
              <w:bottom w:val="single" w:sz="4" w:space="0" w:color="auto"/>
              <w:right w:val="single" w:sz="4" w:space="0" w:color="auto"/>
            </w:tcBorders>
            <w:noWrap/>
            <w:vAlign w:val="center"/>
            <w:hideMark/>
          </w:tcPr>
          <w:p w14:paraId="6AA151B2"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G1</w:t>
            </w:r>
          </w:p>
        </w:tc>
        <w:tc>
          <w:tcPr>
            <w:tcW w:w="678" w:type="dxa"/>
            <w:tcBorders>
              <w:top w:val="single" w:sz="4" w:space="0" w:color="auto"/>
              <w:left w:val="nil"/>
              <w:bottom w:val="single" w:sz="4" w:space="0" w:color="auto"/>
              <w:right w:val="single" w:sz="4" w:space="0" w:color="auto"/>
            </w:tcBorders>
            <w:noWrap/>
            <w:vAlign w:val="center"/>
            <w:hideMark/>
          </w:tcPr>
          <w:p w14:paraId="49C805B6"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1</w:t>
            </w:r>
          </w:p>
        </w:tc>
        <w:tc>
          <w:tcPr>
            <w:tcW w:w="678" w:type="dxa"/>
            <w:tcBorders>
              <w:top w:val="nil"/>
              <w:left w:val="nil"/>
              <w:bottom w:val="single" w:sz="4" w:space="0" w:color="auto"/>
              <w:right w:val="single" w:sz="4" w:space="0" w:color="auto"/>
            </w:tcBorders>
            <w:noWrap/>
            <w:vAlign w:val="center"/>
            <w:hideMark/>
          </w:tcPr>
          <w:p w14:paraId="198FEE1D"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21</w:t>
            </w:r>
          </w:p>
        </w:tc>
        <w:tc>
          <w:tcPr>
            <w:tcW w:w="677" w:type="dxa"/>
            <w:tcBorders>
              <w:top w:val="nil"/>
              <w:left w:val="nil"/>
              <w:bottom w:val="single" w:sz="4" w:space="0" w:color="auto"/>
              <w:right w:val="single" w:sz="4" w:space="0" w:color="auto"/>
            </w:tcBorders>
            <w:noWrap/>
            <w:vAlign w:val="center"/>
            <w:hideMark/>
          </w:tcPr>
          <w:p w14:paraId="41AE7D97"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w:t>
            </w:r>
          </w:p>
        </w:tc>
        <w:tc>
          <w:tcPr>
            <w:tcW w:w="677" w:type="dxa"/>
            <w:tcBorders>
              <w:top w:val="nil"/>
              <w:left w:val="nil"/>
              <w:bottom w:val="single" w:sz="4" w:space="0" w:color="auto"/>
              <w:right w:val="single" w:sz="4" w:space="0" w:color="auto"/>
            </w:tcBorders>
            <w:noWrap/>
            <w:vAlign w:val="center"/>
            <w:hideMark/>
          </w:tcPr>
          <w:p w14:paraId="5E14E664"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w:t>
            </w:r>
          </w:p>
        </w:tc>
        <w:tc>
          <w:tcPr>
            <w:tcW w:w="677" w:type="dxa"/>
            <w:tcBorders>
              <w:top w:val="nil"/>
              <w:left w:val="nil"/>
              <w:bottom w:val="single" w:sz="4" w:space="0" w:color="auto"/>
              <w:right w:val="single" w:sz="4" w:space="0" w:color="auto"/>
            </w:tcBorders>
            <w:noWrap/>
            <w:vAlign w:val="center"/>
            <w:hideMark/>
          </w:tcPr>
          <w:p w14:paraId="62D770AE"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w:t>
            </w:r>
          </w:p>
        </w:tc>
        <w:tc>
          <w:tcPr>
            <w:tcW w:w="677" w:type="dxa"/>
            <w:tcBorders>
              <w:top w:val="nil"/>
              <w:left w:val="nil"/>
              <w:bottom w:val="single" w:sz="4" w:space="0" w:color="auto"/>
              <w:right w:val="single" w:sz="4" w:space="0" w:color="auto"/>
            </w:tcBorders>
            <w:noWrap/>
            <w:vAlign w:val="center"/>
            <w:hideMark/>
          </w:tcPr>
          <w:p w14:paraId="7E0AA1B1"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w:t>
            </w:r>
          </w:p>
        </w:tc>
        <w:tc>
          <w:tcPr>
            <w:tcW w:w="677" w:type="dxa"/>
            <w:tcBorders>
              <w:top w:val="nil"/>
              <w:left w:val="nil"/>
              <w:bottom w:val="single" w:sz="4" w:space="0" w:color="auto"/>
              <w:right w:val="single" w:sz="4" w:space="0" w:color="auto"/>
            </w:tcBorders>
            <w:noWrap/>
            <w:vAlign w:val="center"/>
            <w:hideMark/>
          </w:tcPr>
          <w:p w14:paraId="78EA0560"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w:t>
            </w:r>
          </w:p>
        </w:tc>
        <w:tc>
          <w:tcPr>
            <w:tcW w:w="677" w:type="dxa"/>
            <w:tcBorders>
              <w:top w:val="nil"/>
              <w:left w:val="nil"/>
              <w:bottom w:val="single" w:sz="4" w:space="0" w:color="auto"/>
              <w:right w:val="single" w:sz="4" w:space="0" w:color="auto"/>
            </w:tcBorders>
            <w:hideMark/>
          </w:tcPr>
          <w:p w14:paraId="44DD1A4D"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w:t>
            </w:r>
          </w:p>
        </w:tc>
      </w:tr>
      <w:tr w:rsidR="00B93F48" w:rsidRPr="007C14BA" w14:paraId="472975B4" w14:textId="77777777" w:rsidTr="00B211E6">
        <w:trPr>
          <w:trHeight w:val="55"/>
          <w:jc w:val="center"/>
        </w:trPr>
        <w:tc>
          <w:tcPr>
            <w:tcW w:w="1609" w:type="dxa"/>
            <w:tcBorders>
              <w:top w:val="nil"/>
              <w:left w:val="single" w:sz="4" w:space="0" w:color="auto"/>
              <w:bottom w:val="single" w:sz="4" w:space="0" w:color="auto"/>
              <w:right w:val="single" w:sz="4" w:space="0" w:color="auto"/>
            </w:tcBorders>
            <w:noWrap/>
            <w:vAlign w:val="center"/>
            <w:hideMark/>
          </w:tcPr>
          <w:p w14:paraId="4745CA0F"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G2</w:t>
            </w:r>
          </w:p>
        </w:tc>
        <w:tc>
          <w:tcPr>
            <w:tcW w:w="678" w:type="dxa"/>
            <w:shd w:val="clear" w:color="auto" w:fill="BFBFBF"/>
            <w:noWrap/>
            <w:vAlign w:val="center"/>
            <w:hideMark/>
          </w:tcPr>
          <w:p w14:paraId="5B658447" w14:textId="77777777" w:rsidR="00B93F48" w:rsidRPr="007C14BA" w:rsidRDefault="00B93F48" w:rsidP="00B211E6">
            <w:pPr>
              <w:rPr>
                <w:rFonts w:ascii="Arial Narrow" w:eastAsia="Calibri" w:hAnsi="Arial Narrow"/>
                <w:color w:val="000000" w:themeColor="text1"/>
                <w:lang w:eastAsia="es-CO"/>
              </w:rPr>
            </w:pPr>
          </w:p>
        </w:tc>
        <w:tc>
          <w:tcPr>
            <w:tcW w:w="678" w:type="dxa"/>
            <w:tcBorders>
              <w:top w:val="nil"/>
              <w:left w:val="single" w:sz="4" w:space="0" w:color="auto"/>
              <w:bottom w:val="single" w:sz="4" w:space="0" w:color="auto"/>
              <w:right w:val="single" w:sz="4" w:space="0" w:color="auto"/>
            </w:tcBorders>
            <w:noWrap/>
            <w:vAlign w:val="center"/>
            <w:hideMark/>
          </w:tcPr>
          <w:p w14:paraId="60908809"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2</w:t>
            </w:r>
          </w:p>
        </w:tc>
        <w:tc>
          <w:tcPr>
            <w:tcW w:w="677" w:type="dxa"/>
            <w:tcBorders>
              <w:top w:val="nil"/>
              <w:left w:val="nil"/>
              <w:bottom w:val="single" w:sz="4" w:space="0" w:color="auto"/>
              <w:right w:val="single" w:sz="4" w:space="0" w:color="auto"/>
            </w:tcBorders>
            <w:noWrap/>
            <w:vAlign w:val="center"/>
            <w:hideMark/>
          </w:tcPr>
          <w:p w14:paraId="23BF9EDB"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w:t>
            </w:r>
          </w:p>
        </w:tc>
        <w:tc>
          <w:tcPr>
            <w:tcW w:w="677" w:type="dxa"/>
            <w:tcBorders>
              <w:top w:val="nil"/>
              <w:left w:val="nil"/>
              <w:bottom w:val="single" w:sz="4" w:space="0" w:color="auto"/>
              <w:right w:val="single" w:sz="4" w:space="0" w:color="auto"/>
            </w:tcBorders>
            <w:noWrap/>
            <w:vAlign w:val="center"/>
            <w:hideMark/>
          </w:tcPr>
          <w:p w14:paraId="093E0C62"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w:t>
            </w:r>
          </w:p>
        </w:tc>
        <w:tc>
          <w:tcPr>
            <w:tcW w:w="677" w:type="dxa"/>
            <w:tcBorders>
              <w:top w:val="nil"/>
              <w:left w:val="nil"/>
              <w:bottom w:val="single" w:sz="4" w:space="0" w:color="auto"/>
              <w:right w:val="single" w:sz="4" w:space="0" w:color="auto"/>
            </w:tcBorders>
            <w:noWrap/>
            <w:vAlign w:val="center"/>
            <w:hideMark/>
          </w:tcPr>
          <w:p w14:paraId="2C6DB065"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w:t>
            </w:r>
          </w:p>
        </w:tc>
        <w:tc>
          <w:tcPr>
            <w:tcW w:w="677" w:type="dxa"/>
            <w:tcBorders>
              <w:top w:val="nil"/>
              <w:left w:val="nil"/>
              <w:bottom w:val="single" w:sz="4" w:space="0" w:color="auto"/>
              <w:right w:val="single" w:sz="4" w:space="0" w:color="auto"/>
            </w:tcBorders>
            <w:noWrap/>
            <w:vAlign w:val="center"/>
            <w:hideMark/>
          </w:tcPr>
          <w:p w14:paraId="0714CD4A"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w:t>
            </w:r>
          </w:p>
        </w:tc>
        <w:tc>
          <w:tcPr>
            <w:tcW w:w="677" w:type="dxa"/>
            <w:tcBorders>
              <w:top w:val="nil"/>
              <w:left w:val="nil"/>
              <w:bottom w:val="single" w:sz="4" w:space="0" w:color="auto"/>
              <w:right w:val="single" w:sz="4" w:space="0" w:color="auto"/>
            </w:tcBorders>
            <w:noWrap/>
            <w:vAlign w:val="center"/>
            <w:hideMark/>
          </w:tcPr>
          <w:p w14:paraId="44144502"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w:t>
            </w:r>
          </w:p>
        </w:tc>
        <w:tc>
          <w:tcPr>
            <w:tcW w:w="677" w:type="dxa"/>
            <w:tcBorders>
              <w:top w:val="nil"/>
              <w:left w:val="nil"/>
              <w:bottom w:val="single" w:sz="4" w:space="0" w:color="auto"/>
              <w:right w:val="single" w:sz="4" w:space="0" w:color="auto"/>
            </w:tcBorders>
            <w:hideMark/>
          </w:tcPr>
          <w:p w14:paraId="58A82F3F"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w:t>
            </w:r>
          </w:p>
        </w:tc>
      </w:tr>
      <w:tr w:rsidR="00B93F48" w:rsidRPr="007C14BA" w14:paraId="6D346BF6" w14:textId="77777777" w:rsidTr="00B211E6">
        <w:trPr>
          <w:trHeight w:val="55"/>
          <w:jc w:val="center"/>
        </w:trPr>
        <w:tc>
          <w:tcPr>
            <w:tcW w:w="1609" w:type="dxa"/>
            <w:tcBorders>
              <w:top w:val="nil"/>
              <w:left w:val="single" w:sz="4" w:space="0" w:color="auto"/>
              <w:bottom w:val="single" w:sz="4" w:space="0" w:color="auto"/>
              <w:right w:val="single" w:sz="4" w:space="0" w:color="auto"/>
            </w:tcBorders>
            <w:noWrap/>
            <w:vAlign w:val="center"/>
            <w:hideMark/>
          </w:tcPr>
          <w:p w14:paraId="1C9550DC"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G3</w:t>
            </w:r>
          </w:p>
        </w:tc>
        <w:tc>
          <w:tcPr>
            <w:tcW w:w="678" w:type="dxa"/>
            <w:shd w:val="clear" w:color="auto" w:fill="BFBFBF"/>
            <w:noWrap/>
            <w:vAlign w:val="center"/>
            <w:hideMark/>
          </w:tcPr>
          <w:p w14:paraId="274BD2ED" w14:textId="77777777" w:rsidR="00B93F48" w:rsidRPr="007C14BA" w:rsidRDefault="00B93F48" w:rsidP="00B211E6">
            <w:pPr>
              <w:rPr>
                <w:rFonts w:ascii="Arial Narrow" w:eastAsia="Calibri" w:hAnsi="Arial Narrow"/>
                <w:color w:val="000000" w:themeColor="text1"/>
                <w:lang w:eastAsia="es-CO"/>
              </w:rPr>
            </w:pPr>
          </w:p>
        </w:tc>
        <w:tc>
          <w:tcPr>
            <w:tcW w:w="678" w:type="dxa"/>
            <w:shd w:val="clear" w:color="auto" w:fill="BFBFBF"/>
            <w:noWrap/>
            <w:vAlign w:val="center"/>
            <w:hideMark/>
          </w:tcPr>
          <w:p w14:paraId="22E7A11F" w14:textId="77777777" w:rsidR="00B93F48" w:rsidRPr="007C14BA" w:rsidRDefault="00B93F48" w:rsidP="00B211E6">
            <w:pPr>
              <w:spacing w:line="256" w:lineRule="auto"/>
              <w:rPr>
                <w:rFonts w:ascii="Arial Narrow" w:hAnsi="Arial Narrow"/>
                <w:lang w:eastAsia="es-CO"/>
              </w:rPr>
            </w:pPr>
          </w:p>
        </w:tc>
        <w:tc>
          <w:tcPr>
            <w:tcW w:w="677" w:type="dxa"/>
            <w:tcBorders>
              <w:top w:val="nil"/>
              <w:left w:val="single" w:sz="4" w:space="0" w:color="auto"/>
              <w:bottom w:val="single" w:sz="4" w:space="0" w:color="auto"/>
              <w:right w:val="single" w:sz="4" w:space="0" w:color="auto"/>
            </w:tcBorders>
            <w:noWrap/>
            <w:vAlign w:val="center"/>
            <w:hideMark/>
          </w:tcPr>
          <w:p w14:paraId="2B1CDFA1"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3</w:t>
            </w:r>
          </w:p>
        </w:tc>
        <w:tc>
          <w:tcPr>
            <w:tcW w:w="677" w:type="dxa"/>
            <w:tcBorders>
              <w:top w:val="nil"/>
              <w:left w:val="nil"/>
              <w:bottom w:val="single" w:sz="4" w:space="0" w:color="auto"/>
              <w:right w:val="single" w:sz="4" w:space="0" w:color="auto"/>
            </w:tcBorders>
            <w:noWrap/>
            <w:vAlign w:val="center"/>
            <w:hideMark/>
          </w:tcPr>
          <w:p w14:paraId="0DBBF444"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19</w:t>
            </w:r>
          </w:p>
        </w:tc>
        <w:tc>
          <w:tcPr>
            <w:tcW w:w="677" w:type="dxa"/>
            <w:tcBorders>
              <w:top w:val="nil"/>
              <w:left w:val="nil"/>
              <w:bottom w:val="single" w:sz="4" w:space="0" w:color="auto"/>
              <w:right w:val="single" w:sz="4" w:space="0" w:color="auto"/>
            </w:tcBorders>
            <w:noWrap/>
            <w:vAlign w:val="center"/>
            <w:hideMark/>
          </w:tcPr>
          <w:p w14:paraId="7E9680D5"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20</w:t>
            </w:r>
          </w:p>
        </w:tc>
        <w:tc>
          <w:tcPr>
            <w:tcW w:w="677" w:type="dxa"/>
            <w:tcBorders>
              <w:top w:val="nil"/>
              <w:left w:val="nil"/>
              <w:bottom w:val="single" w:sz="4" w:space="0" w:color="auto"/>
              <w:right w:val="single" w:sz="4" w:space="0" w:color="auto"/>
            </w:tcBorders>
            <w:noWrap/>
            <w:vAlign w:val="center"/>
            <w:hideMark/>
          </w:tcPr>
          <w:p w14:paraId="6ED96B0E"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22</w:t>
            </w:r>
          </w:p>
        </w:tc>
        <w:tc>
          <w:tcPr>
            <w:tcW w:w="677" w:type="dxa"/>
            <w:tcBorders>
              <w:top w:val="nil"/>
              <w:left w:val="nil"/>
              <w:bottom w:val="single" w:sz="4" w:space="0" w:color="auto"/>
              <w:right w:val="single" w:sz="4" w:space="0" w:color="auto"/>
            </w:tcBorders>
            <w:noWrap/>
            <w:vAlign w:val="center"/>
            <w:hideMark/>
          </w:tcPr>
          <w:p w14:paraId="25ECE5B5"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w:t>
            </w:r>
          </w:p>
        </w:tc>
        <w:tc>
          <w:tcPr>
            <w:tcW w:w="677" w:type="dxa"/>
            <w:tcBorders>
              <w:top w:val="nil"/>
              <w:left w:val="nil"/>
              <w:bottom w:val="single" w:sz="4" w:space="0" w:color="auto"/>
              <w:right w:val="single" w:sz="4" w:space="0" w:color="auto"/>
            </w:tcBorders>
            <w:hideMark/>
          </w:tcPr>
          <w:p w14:paraId="0C3520B5"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w:t>
            </w:r>
          </w:p>
        </w:tc>
      </w:tr>
      <w:tr w:rsidR="00B93F48" w:rsidRPr="007C14BA" w14:paraId="0EDDFE26" w14:textId="77777777" w:rsidTr="00B211E6">
        <w:trPr>
          <w:trHeight w:val="55"/>
          <w:jc w:val="center"/>
        </w:trPr>
        <w:tc>
          <w:tcPr>
            <w:tcW w:w="1609" w:type="dxa"/>
            <w:tcBorders>
              <w:top w:val="nil"/>
              <w:left w:val="single" w:sz="4" w:space="0" w:color="auto"/>
              <w:bottom w:val="single" w:sz="4" w:space="0" w:color="auto"/>
              <w:right w:val="single" w:sz="4" w:space="0" w:color="auto"/>
            </w:tcBorders>
            <w:noWrap/>
            <w:vAlign w:val="center"/>
            <w:hideMark/>
          </w:tcPr>
          <w:p w14:paraId="0F1E9CA7"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G4</w:t>
            </w:r>
          </w:p>
        </w:tc>
        <w:tc>
          <w:tcPr>
            <w:tcW w:w="678" w:type="dxa"/>
            <w:shd w:val="clear" w:color="auto" w:fill="BFBFBF"/>
            <w:noWrap/>
            <w:vAlign w:val="center"/>
            <w:hideMark/>
          </w:tcPr>
          <w:p w14:paraId="246C75E1" w14:textId="77777777" w:rsidR="00B93F48" w:rsidRPr="007C14BA" w:rsidRDefault="00B93F48" w:rsidP="00B211E6">
            <w:pPr>
              <w:rPr>
                <w:rFonts w:ascii="Arial Narrow" w:eastAsia="Calibri" w:hAnsi="Arial Narrow"/>
                <w:color w:val="000000" w:themeColor="text1"/>
                <w:lang w:eastAsia="es-CO"/>
              </w:rPr>
            </w:pPr>
          </w:p>
        </w:tc>
        <w:tc>
          <w:tcPr>
            <w:tcW w:w="678" w:type="dxa"/>
            <w:shd w:val="clear" w:color="auto" w:fill="BFBFBF"/>
            <w:noWrap/>
            <w:vAlign w:val="center"/>
            <w:hideMark/>
          </w:tcPr>
          <w:p w14:paraId="6FF30FF4" w14:textId="77777777" w:rsidR="00B93F48" w:rsidRPr="007C14BA" w:rsidRDefault="00B93F48" w:rsidP="00B211E6">
            <w:pPr>
              <w:spacing w:line="256" w:lineRule="auto"/>
              <w:rPr>
                <w:rFonts w:ascii="Arial Narrow" w:hAnsi="Arial Narrow"/>
                <w:lang w:eastAsia="es-CO"/>
              </w:rPr>
            </w:pPr>
          </w:p>
        </w:tc>
        <w:tc>
          <w:tcPr>
            <w:tcW w:w="677" w:type="dxa"/>
            <w:shd w:val="clear" w:color="auto" w:fill="BFBFBF"/>
            <w:noWrap/>
            <w:vAlign w:val="center"/>
            <w:hideMark/>
          </w:tcPr>
          <w:p w14:paraId="5AB7EDF6" w14:textId="77777777" w:rsidR="00B93F48" w:rsidRPr="007C14BA" w:rsidRDefault="00B93F48" w:rsidP="00B211E6">
            <w:pPr>
              <w:spacing w:line="256" w:lineRule="auto"/>
              <w:rPr>
                <w:rFonts w:ascii="Arial Narrow" w:hAnsi="Arial Narrow"/>
                <w:lang w:eastAsia="es-CO"/>
              </w:rPr>
            </w:pPr>
          </w:p>
        </w:tc>
        <w:tc>
          <w:tcPr>
            <w:tcW w:w="677" w:type="dxa"/>
            <w:tcBorders>
              <w:top w:val="nil"/>
              <w:left w:val="single" w:sz="4" w:space="0" w:color="auto"/>
              <w:bottom w:val="single" w:sz="4" w:space="0" w:color="auto"/>
              <w:right w:val="single" w:sz="4" w:space="0" w:color="auto"/>
            </w:tcBorders>
            <w:noWrap/>
            <w:vAlign w:val="center"/>
            <w:hideMark/>
          </w:tcPr>
          <w:p w14:paraId="5D30ECFA"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4</w:t>
            </w:r>
          </w:p>
        </w:tc>
        <w:tc>
          <w:tcPr>
            <w:tcW w:w="677" w:type="dxa"/>
            <w:tcBorders>
              <w:top w:val="nil"/>
              <w:left w:val="nil"/>
              <w:bottom w:val="single" w:sz="4" w:space="0" w:color="auto"/>
              <w:right w:val="single" w:sz="4" w:space="0" w:color="auto"/>
            </w:tcBorders>
            <w:noWrap/>
            <w:vAlign w:val="center"/>
            <w:hideMark/>
          </w:tcPr>
          <w:p w14:paraId="39002144"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13</w:t>
            </w:r>
          </w:p>
        </w:tc>
        <w:tc>
          <w:tcPr>
            <w:tcW w:w="677" w:type="dxa"/>
            <w:tcBorders>
              <w:top w:val="nil"/>
              <w:left w:val="nil"/>
              <w:bottom w:val="single" w:sz="4" w:space="0" w:color="auto"/>
              <w:right w:val="single" w:sz="4" w:space="0" w:color="auto"/>
            </w:tcBorders>
            <w:noWrap/>
            <w:vAlign w:val="center"/>
            <w:hideMark/>
          </w:tcPr>
          <w:p w14:paraId="5508FD80"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15</w:t>
            </w:r>
          </w:p>
        </w:tc>
        <w:tc>
          <w:tcPr>
            <w:tcW w:w="677" w:type="dxa"/>
            <w:tcBorders>
              <w:top w:val="nil"/>
              <w:left w:val="nil"/>
              <w:bottom w:val="single" w:sz="4" w:space="0" w:color="auto"/>
              <w:right w:val="single" w:sz="4" w:space="0" w:color="auto"/>
            </w:tcBorders>
            <w:noWrap/>
            <w:vAlign w:val="center"/>
            <w:hideMark/>
          </w:tcPr>
          <w:p w14:paraId="54F2027F"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17</w:t>
            </w:r>
          </w:p>
        </w:tc>
        <w:tc>
          <w:tcPr>
            <w:tcW w:w="677" w:type="dxa"/>
            <w:tcBorders>
              <w:top w:val="nil"/>
              <w:left w:val="nil"/>
              <w:bottom w:val="single" w:sz="4" w:space="0" w:color="auto"/>
              <w:right w:val="single" w:sz="4" w:space="0" w:color="auto"/>
            </w:tcBorders>
            <w:hideMark/>
          </w:tcPr>
          <w:p w14:paraId="6356AAA9"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18</w:t>
            </w:r>
          </w:p>
        </w:tc>
      </w:tr>
      <w:tr w:rsidR="00B93F48" w:rsidRPr="007C14BA" w14:paraId="084A8EAC" w14:textId="77777777" w:rsidTr="00B211E6">
        <w:trPr>
          <w:trHeight w:val="55"/>
          <w:jc w:val="center"/>
        </w:trPr>
        <w:tc>
          <w:tcPr>
            <w:tcW w:w="1609" w:type="dxa"/>
            <w:tcBorders>
              <w:top w:val="nil"/>
              <w:left w:val="single" w:sz="4" w:space="0" w:color="auto"/>
              <w:bottom w:val="single" w:sz="4" w:space="0" w:color="auto"/>
              <w:right w:val="single" w:sz="4" w:space="0" w:color="auto"/>
            </w:tcBorders>
            <w:noWrap/>
            <w:vAlign w:val="center"/>
            <w:hideMark/>
          </w:tcPr>
          <w:p w14:paraId="756BA8BB"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G5</w:t>
            </w:r>
          </w:p>
        </w:tc>
        <w:tc>
          <w:tcPr>
            <w:tcW w:w="678" w:type="dxa"/>
            <w:shd w:val="clear" w:color="auto" w:fill="BFBFBF"/>
            <w:noWrap/>
            <w:vAlign w:val="center"/>
            <w:hideMark/>
          </w:tcPr>
          <w:p w14:paraId="3E34FF3A" w14:textId="77777777" w:rsidR="00B93F48" w:rsidRPr="007C14BA" w:rsidRDefault="00B93F48" w:rsidP="00B211E6">
            <w:pPr>
              <w:rPr>
                <w:rFonts w:ascii="Arial Narrow" w:eastAsia="Calibri" w:hAnsi="Arial Narrow"/>
                <w:color w:val="000000" w:themeColor="text1"/>
                <w:lang w:eastAsia="es-CO"/>
              </w:rPr>
            </w:pPr>
          </w:p>
        </w:tc>
        <w:tc>
          <w:tcPr>
            <w:tcW w:w="678" w:type="dxa"/>
            <w:shd w:val="clear" w:color="auto" w:fill="BFBFBF"/>
            <w:noWrap/>
            <w:vAlign w:val="center"/>
            <w:hideMark/>
          </w:tcPr>
          <w:p w14:paraId="12302020" w14:textId="77777777" w:rsidR="00B93F48" w:rsidRPr="007C14BA" w:rsidRDefault="00B93F48" w:rsidP="00B211E6">
            <w:pPr>
              <w:spacing w:line="256" w:lineRule="auto"/>
              <w:rPr>
                <w:rFonts w:ascii="Arial Narrow" w:hAnsi="Arial Narrow"/>
                <w:lang w:eastAsia="es-CO"/>
              </w:rPr>
            </w:pPr>
          </w:p>
        </w:tc>
        <w:tc>
          <w:tcPr>
            <w:tcW w:w="677" w:type="dxa"/>
            <w:shd w:val="clear" w:color="auto" w:fill="BFBFBF"/>
            <w:noWrap/>
            <w:vAlign w:val="center"/>
            <w:hideMark/>
          </w:tcPr>
          <w:p w14:paraId="5B4D2D1C" w14:textId="77777777" w:rsidR="00B93F48" w:rsidRPr="007C14BA" w:rsidRDefault="00B93F48" w:rsidP="00B211E6">
            <w:pPr>
              <w:spacing w:line="256" w:lineRule="auto"/>
              <w:rPr>
                <w:rFonts w:ascii="Arial Narrow" w:hAnsi="Arial Narrow"/>
                <w:lang w:eastAsia="es-CO"/>
              </w:rPr>
            </w:pPr>
          </w:p>
        </w:tc>
        <w:tc>
          <w:tcPr>
            <w:tcW w:w="677" w:type="dxa"/>
            <w:shd w:val="clear" w:color="auto" w:fill="BFBFBF"/>
            <w:noWrap/>
            <w:vAlign w:val="center"/>
            <w:hideMark/>
          </w:tcPr>
          <w:p w14:paraId="3AC881EF" w14:textId="77777777" w:rsidR="00B93F48" w:rsidRPr="007C14BA" w:rsidRDefault="00B93F48" w:rsidP="00B211E6">
            <w:pPr>
              <w:spacing w:line="256" w:lineRule="auto"/>
              <w:rPr>
                <w:rFonts w:ascii="Arial Narrow" w:hAnsi="Arial Narrow"/>
                <w:lang w:eastAsia="es-CO"/>
              </w:rPr>
            </w:pPr>
          </w:p>
        </w:tc>
        <w:tc>
          <w:tcPr>
            <w:tcW w:w="677" w:type="dxa"/>
            <w:tcBorders>
              <w:top w:val="nil"/>
              <w:left w:val="single" w:sz="4" w:space="0" w:color="auto"/>
              <w:bottom w:val="single" w:sz="4" w:space="0" w:color="auto"/>
              <w:right w:val="single" w:sz="4" w:space="0" w:color="auto"/>
            </w:tcBorders>
            <w:noWrap/>
            <w:vAlign w:val="center"/>
            <w:hideMark/>
          </w:tcPr>
          <w:p w14:paraId="392D83D8"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5</w:t>
            </w:r>
          </w:p>
        </w:tc>
        <w:tc>
          <w:tcPr>
            <w:tcW w:w="677" w:type="dxa"/>
            <w:tcBorders>
              <w:top w:val="nil"/>
              <w:left w:val="nil"/>
              <w:bottom w:val="single" w:sz="4" w:space="0" w:color="auto"/>
              <w:right w:val="single" w:sz="4" w:space="0" w:color="auto"/>
            </w:tcBorders>
            <w:noWrap/>
            <w:vAlign w:val="center"/>
            <w:hideMark/>
          </w:tcPr>
          <w:p w14:paraId="2227BD07"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12</w:t>
            </w:r>
          </w:p>
        </w:tc>
        <w:tc>
          <w:tcPr>
            <w:tcW w:w="677" w:type="dxa"/>
            <w:tcBorders>
              <w:top w:val="nil"/>
              <w:left w:val="nil"/>
              <w:bottom w:val="single" w:sz="4" w:space="0" w:color="auto"/>
              <w:right w:val="single" w:sz="4" w:space="0" w:color="auto"/>
            </w:tcBorders>
            <w:noWrap/>
            <w:vAlign w:val="center"/>
            <w:hideMark/>
          </w:tcPr>
          <w:p w14:paraId="698B7AED"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14</w:t>
            </w:r>
          </w:p>
        </w:tc>
        <w:tc>
          <w:tcPr>
            <w:tcW w:w="677" w:type="dxa"/>
            <w:tcBorders>
              <w:top w:val="nil"/>
              <w:left w:val="nil"/>
              <w:bottom w:val="single" w:sz="4" w:space="0" w:color="auto"/>
              <w:right w:val="single" w:sz="4" w:space="0" w:color="auto"/>
            </w:tcBorders>
            <w:hideMark/>
          </w:tcPr>
          <w:p w14:paraId="26F7B795"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16</w:t>
            </w:r>
          </w:p>
        </w:tc>
      </w:tr>
      <w:tr w:rsidR="00B93F48" w:rsidRPr="007C14BA" w14:paraId="041797D0" w14:textId="77777777" w:rsidTr="00B211E6">
        <w:trPr>
          <w:trHeight w:val="55"/>
          <w:jc w:val="center"/>
        </w:trPr>
        <w:tc>
          <w:tcPr>
            <w:tcW w:w="1609" w:type="dxa"/>
            <w:tcBorders>
              <w:top w:val="nil"/>
              <w:left w:val="single" w:sz="4" w:space="0" w:color="auto"/>
              <w:bottom w:val="single" w:sz="4" w:space="0" w:color="auto"/>
              <w:right w:val="single" w:sz="4" w:space="0" w:color="auto"/>
            </w:tcBorders>
            <w:noWrap/>
            <w:vAlign w:val="center"/>
            <w:hideMark/>
          </w:tcPr>
          <w:p w14:paraId="2F501129"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G6</w:t>
            </w:r>
          </w:p>
        </w:tc>
        <w:tc>
          <w:tcPr>
            <w:tcW w:w="678" w:type="dxa"/>
            <w:shd w:val="clear" w:color="auto" w:fill="BFBFBF"/>
            <w:noWrap/>
            <w:vAlign w:val="center"/>
            <w:hideMark/>
          </w:tcPr>
          <w:p w14:paraId="2DAF1FF9" w14:textId="77777777" w:rsidR="00B93F48" w:rsidRPr="007C14BA" w:rsidRDefault="00B93F48" w:rsidP="00B211E6">
            <w:pPr>
              <w:rPr>
                <w:rFonts w:ascii="Arial Narrow" w:eastAsia="Calibri" w:hAnsi="Arial Narrow"/>
                <w:color w:val="000000" w:themeColor="text1"/>
                <w:lang w:eastAsia="es-CO"/>
              </w:rPr>
            </w:pPr>
          </w:p>
        </w:tc>
        <w:tc>
          <w:tcPr>
            <w:tcW w:w="678" w:type="dxa"/>
            <w:shd w:val="clear" w:color="auto" w:fill="BFBFBF"/>
            <w:noWrap/>
            <w:vAlign w:val="center"/>
            <w:hideMark/>
          </w:tcPr>
          <w:p w14:paraId="326A5146" w14:textId="77777777" w:rsidR="00B93F48" w:rsidRPr="007C14BA" w:rsidRDefault="00B93F48" w:rsidP="00B211E6">
            <w:pPr>
              <w:spacing w:line="256" w:lineRule="auto"/>
              <w:rPr>
                <w:rFonts w:ascii="Arial Narrow" w:hAnsi="Arial Narrow"/>
                <w:lang w:eastAsia="es-CO"/>
              </w:rPr>
            </w:pPr>
          </w:p>
        </w:tc>
        <w:tc>
          <w:tcPr>
            <w:tcW w:w="677" w:type="dxa"/>
            <w:shd w:val="clear" w:color="auto" w:fill="BFBFBF"/>
            <w:noWrap/>
            <w:vAlign w:val="center"/>
            <w:hideMark/>
          </w:tcPr>
          <w:p w14:paraId="33BCBEA6" w14:textId="77777777" w:rsidR="00B93F48" w:rsidRPr="007C14BA" w:rsidRDefault="00B93F48" w:rsidP="00B211E6">
            <w:pPr>
              <w:spacing w:line="256" w:lineRule="auto"/>
              <w:rPr>
                <w:rFonts w:ascii="Arial Narrow" w:hAnsi="Arial Narrow"/>
                <w:lang w:eastAsia="es-CO"/>
              </w:rPr>
            </w:pPr>
          </w:p>
        </w:tc>
        <w:tc>
          <w:tcPr>
            <w:tcW w:w="677" w:type="dxa"/>
            <w:shd w:val="clear" w:color="auto" w:fill="BFBFBF"/>
            <w:noWrap/>
            <w:vAlign w:val="center"/>
            <w:hideMark/>
          </w:tcPr>
          <w:p w14:paraId="6AEAC66F" w14:textId="77777777" w:rsidR="00B93F48" w:rsidRPr="007C14BA" w:rsidRDefault="00B93F48" w:rsidP="00B211E6">
            <w:pPr>
              <w:spacing w:line="256" w:lineRule="auto"/>
              <w:rPr>
                <w:rFonts w:ascii="Arial Narrow" w:hAnsi="Arial Narrow"/>
                <w:lang w:eastAsia="es-CO"/>
              </w:rPr>
            </w:pPr>
          </w:p>
        </w:tc>
        <w:tc>
          <w:tcPr>
            <w:tcW w:w="677" w:type="dxa"/>
            <w:shd w:val="clear" w:color="auto" w:fill="BFBFBF"/>
            <w:noWrap/>
            <w:vAlign w:val="center"/>
            <w:hideMark/>
          </w:tcPr>
          <w:p w14:paraId="4BCB9240" w14:textId="77777777" w:rsidR="00B93F48" w:rsidRPr="007C14BA" w:rsidRDefault="00B93F48" w:rsidP="00B211E6">
            <w:pPr>
              <w:spacing w:line="256" w:lineRule="auto"/>
              <w:rPr>
                <w:rFonts w:ascii="Arial Narrow" w:hAnsi="Arial Narrow"/>
                <w:lang w:eastAsia="es-CO"/>
              </w:rPr>
            </w:pPr>
          </w:p>
        </w:tc>
        <w:tc>
          <w:tcPr>
            <w:tcW w:w="677" w:type="dxa"/>
            <w:tcBorders>
              <w:top w:val="nil"/>
              <w:left w:val="single" w:sz="4" w:space="0" w:color="auto"/>
              <w:bottom w:val="single" w:sz="4" w:space="0" w:color="auto"/>
              <w:right w:val="single" w:sz="4" w:space="0" w:color="auto"/>
            </w:tcBorders>
            <w:noWrap/>
            <w:vAlign w:val="center"/>
            <w:hideMark/>
          </w:tcPr>
          <w:p w14:paraId="5BB679E4"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6</w:t>
            </w:r>
          </w:p>
        </w:tc>
        <w:tc>
          <w:tcPr>
            <w:tcW w:w="677" w:type="dxa"/>
            <w:tcBorders>
              <w:top w:val="nil"/>
              <w:left w:val="nil"/>
              <w:bottom w:val="single" w:sz="4" w:space="0" w:color="auto"/>
              <w:right w:val="single" w:sz="4" w:space="0" w:color="auto"/>
            </w:tcBorders>
            <w:noWrap/>
            <w:vAlign w:val="center"/>
            <w:hideMark/>
          </w:tcPr>
          <w:p w14:paraId="026EF51A"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11</w:t>
            </w:r>
          </w:p>
        </w:tc>
        <w:tc>
          <w:tcPr>
            <w:tcW w:w="677" w:type="dxa"/>
            <w:tcBorders>
              <w:top w:val="nil"/>
              <w:left w:val="nil"/>
              <w:bottom w:val="single" w:sz="4" w:space="0" w:color="auto"/>
              <w:right w:val="single" w:sz="4" w:space="0" w:color="auto"/>
            </w:tcBorders>
            <w:hideMark/>
          </w:tcPr>
          <w:p w14:paraId="75BD8EAE"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10</w:t>
            </w:r>
          </w:p>
        </w:tc>
      </w:tr>
      <w:tr w:rsidR="00B93F48" w:rsidRPr="007C14BA" w14:paraId="0566B34D" w14:textId="77777777" w:rsidTr="00B211E6">
        <w:trPr>
          <w:trHeight w:val="385"/>
          <w:jc w:val="center"/>
        </w:trPr>
        <w:tc>
          <w:tcPr>
            <w:tcW w:w="1609" w:type="dxa"/>
            <w:tcBorders>
              <w:top w:val="single" w:sz="4" w:space="0" w:color="auto"/>
              <w:left w:val="single" w:sz="4" w:space="0" w:color="auto"/>
              <w:bottom w:val="single" w:sz="4" w:space="0" w:color="auto"/>
              <w:right w:val="single" w:sz="4" w:space="0" w:color="auto"/>
            </w:tcBorders>
            <w:noWrap/>
            <w:vAlign w:val="center"/>
            <w:hideMark/>
          </w:tcPr>
          <w:p w14:paraId="1827AEA7"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G7</w:t>
            </w:r>
          </w:p>
        </w:tc>
        <w:tc>
          <w:tcPr>
            <w:tcW w:w="678" w:type="dxa"/>
            <w:shd w:val="clear" w:color="auto" w:fill="BFBFBF"/>
            <w:noWrap/>
            <w:vAlign w:val="center"/>
            <w:hideMark/>
          </w:tcPr>
          <w:p w14:paraId="4563F6F6" w14:textId="77777777" w:rsidR="00B93F48" w:rsidRPr="007C14BA" w:rsidRDefault="00B93F48" w:rsidP="00B211E6">
            <w:pPr>
              <w:rPr>
                <w:rFonts w:ascii="Arial Narrow" w:eastAsia="Calibri" w:hAnsi="Arial Narrow"/>
                <w:color w:val="000000" w:themeColor="text1"/>
                <w:lang w:eastAsia="es-CO"/>
              </w:rPr>
            </w:pPr>
          </w:p>
        </w:tc>
        <w:tc>
          <w:tcPr>
            <w:tcW w:w="678" w:type="dxa"/>
            <w:shd w:val="clear" w:color="auto" w:fill="BFBFBF"/>
            <w:noWrap/>
            <w:vAlign w:val="center"/>
            <w:hideMark/>
          </w:tcPr>
          <w:p w14:paraId="27062159" w14:textId="77777777" w:rsidR="00B93F48" w:rsidRPr="007C14BA" w:rsidRDefault="00B93F48" w:rsidP="00B211E6">
            <w:pPr>
              <w:spacing w:line="256" w:lineRule="auto"/>
              <w:rPr>
                <w:rFonts w:ascii="Arial Narrow" w:hAnsi="Arial Narrow"/>
                <w:lang w:eastAsia="es-CO"/>
              </w:rPr>
            </w:pPr>
          </w:p>
        </w:tc>
        <w:tc>
          <w:tcPr>
            <w:tcW w:w="677" w:type="dxa"/>
            <w:shd w:val="clear" w:color="auto" w:fill="BFBFBF"/>
            <w:noWrap/>
            <w:vAlign w:val="center"/>
            <w:hideMark/>
          </w:tcPr>
          <w:p w14:paraId="313A0EFA" w14:textId="77777777" w:rsidR="00B93F48" w:rsidRPr="007C14BA" w:rsidRDefault="00B93F48" w:rsidP="00B211E6">
            <w:pPr>
              <w:spacing w:line="256" w:lineRule="auto"/>
              <w:rPr>
                <w:rFonts w:ascii="Arial Narrow" w:hAnsi="Arial Narrow"/>
                <w:lang w:eastAsia="es-CO"/>
              </w:rPr>
            </w:pPr>
          </w:p>
        </w:tc>
        <w:tc>
          <w:tcPr>
            <w:tcW w:w="677" w:type="dxa"/>
            <w:shd w:val="clear" w:color="auto" w:fill="BFBFBF"/>
            <w:noWrap/>
            <w:vAlign w:val="center"/>
            <w:hideMark/>
          </w:tcPr>
          <w:p w14:paraId="1B5D56C7" w14:textId="77777777" w:rsidR="00B93F48" w:rsidRPr="007C14BA" w:rsidRDefault="00B93F48" w:rsidP="00B211E6">
            <w:pPr>
              <w:spacing w:line="256" w:lineRule="auto"/>
              <w:rPr>
                <w:rFonts w:ascii="Arial Narrow" w:hAnsi="Arial Narrow"/>
                <w:lang w:eastAsia="es-CO"/>
              </w:rPr>
            </w:pPr>
          </w:p>
        </w:tc>
        <w:tc>
          <w:tcPr>
            <w:tcW w:w="677" w:type="dxa"/>
            <w:shd w:val="clear" w:color="auto" w:fill="BFBFBF"/>
            <w:noWrap/>
            <w:vAlign w:val="center"/>
            <w:hideMark/>
          </w:tcPr>
          <w:p w14:paraId="66D6CE7B" w14:textId="77777777" w:rsidR="00B93F48" w:rsidRPr="007C14BA" w:rsidRDefault="00B93F48" w:rsidP="00B211E6">
            <w:pPr>
              <w:spacing w:line="256" w:lineRule="auto"/>
              <w:rPr>
                <w:rFonts w:ascii="Arial Narrow" w:hAnsi="Arial Narrow"/>
                <w:lang w:eastAsia="es-CO"/>
              </w:rPr>
            </w:pPr>
          </w:p>
        </w:tc>
        <w:tc>
          <w:tcPr>
            <w:tcW w:w="677" w:type="dxa"/>
            <w:tcBorders>
              <w:top w:val="nil"/>
              <w:left w:val="nil"/>
              <w:bottom w:val="nil"/>
              <w:right w:val="single" w:sz="4" w:space="0" w:color="auto"/>
            </w:tcBorders>
            <w:shd w:val="clear" w:color="auto" w:fill="BFBFBF"/>
            <w:noWrap/>
            <w:vAlign w:val="center"/>
            <w:hideMark/>
          </w:tcPr>
          <w:p w14:paraId="59BC3BBE" w14:textId="77777777" w:rsidR="00B93F48" w:rsidRPr="007C14BA" w:rsidRDefault="00B93F48" w:rsidP="00B211E6">
            <w:pPr>
              <w:spacing w:line="256" w:lineRule="auto"/>
              <w:rPr>
                <w:rFonts w:ascii="Arial Narrow" w:hAnsi="Arial Narrow"/>
                <w:lang w:eastAsia="es-CO"/>
              </w:rPr>
            </w:pPr>
          </w:p>
        </w:tc>
        <w:tc>
          <w:tcPr>
            <w:tcW w:w="677" w:type="dxa"/>
            <w:tcBorders>
              <w:top w:val="single" w:sz="4" w:space="0" w:color="auto"/>
              <w:left w:val="nil"/>
              <w:bottom w:val="single" w:sz="4" w:space="0" w:color="auto"/>
              <w:right w:val="single" w:sz="4" w:space="0" w:color="auto"/>
            </w:tcBorders>
            <w:noWrap/>
            <w:vAlign w:val="center"/>
            <w:hideMark/>
          </w:tcPr>
          <w:p w14:paraId="254CD9EB"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7</w:t>
            </w:r>
          </w:p>
        </w:tc>
        <w:tc>
          <w:tcPr>
            <w:tcW w:w="677" w:type="dxa"/>
            <w:tcBorders>
              <w:top w:val="single" w:sz="4" w:space="0" w:color="auto"/>
              <w:left w:val="nil"/>
              <w:bottom w:val="single" w:sz="4" w:space="0" w:color="auto"/>
              <w:right w:val="single" w:sz="4" w:space="0" w:color="auto"/>
            </w:tcBorders>
            <w:hideMark/>
          </w:tcPr>
          <w:p w14:paraId="1050C372"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9</w:t>
            </w:r>
          </w:p>
        </w:tc>
      </w:tr>
      <w:tr w:rsidR="00B93F48" w:rsidRPr="007C14BA" w14:paraId="229FDDC2" w14:textId="77777777" w:rsidTr="00B211E6">
        <w:trPr>
          <w:trHeight w:val="385"/>
          <w:jc w:val="center"/>
        </w:trPr>
        <w:tc>
          <w:tcPr>
            <w:tcW w:w="1609" w:type="dxa"/>
            <w:tcBorders>
              <w:top w:val="single" w:sz="4" w:space="0" w:color="auto"/>
              <w:left w:val="single" w:sz="4" w:space="0" w:color="auto"/>
              <w:bottom w:val="single" w:sz="4" w:space="0" w:color="auto"/>
              <w:right w:val="single" w:sz="4" w:space="0" w:color="auto"/>
            </w:tcBorders>
            <w:noWrap/>
            <w:vAlign w:val="center"/>
            <w:hideMark/>
          </w:tcPr>
          <w:p w14:paraId="4FF93E01"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G8</w:t>
            </w:r>
          </w:p>
        </w:tc>
        <w:tc>
          <w:tcPr>
            <w:tcW w:w="678" w:type="dxa"/>
            <w:tcBorders>
              <w:top w:val="nil"/>
              <w:left w:val="nil"/>
              <w:bottom w:val="single" w:sz="4" w:space="0" w:color="auto"/>
              <w:right w:val="nil"/>
            </w:tcBorders>
            <w:shd w:val="clear" w:color="auto" w:fill="BFBFBF" w:themeFill="background1" w:themeFillShade="BF"/>
            <w:noWrap/>
            <w:vAlign w:val="center"/>
          </w:tcPr>
          <w:p w14:paraId="27CC8C93" w14:textId="77777777" w:rsidR="00B93F48" w:rsidRPr="007C14BA" w:rsidRDefault="00B93F48" w:rsidP="00B211E6">
            <w:pPr>
              <w:spacing w:line="256" w:lineRule="auto"/>
              <w:rPr>
                <w:rFonts w:ascii="Arial Narrow" w:eastAsia="Calibri" w:hAnsi="Arial Narrow"/>
                <w:color w:val="000000" w:themeColor="text1"/>
                <w:lang w:eastAsia="es-CO"/>
              </w:rPr>
            </w:pPr>
          </w:p>
        </w:tc>
        <w:tc>
          <w:tcPr>
            <w:tcW w:w="678" w:type="dxa"/>
            <w:tcBorders>
              <w:top w:val="nil"/>
              <w:left w:val="nil"/>
              <w:bottom w:val="single" w:sz="4" w:space="0" w:color="auto"/>
              <w:right w:val="nil"/>
            </w:tcBorders>
            <w:shd w:val="clear" w:color="auto" w:fill="BFBFBF" w:themeFill="background1" w:themeFillShade="BF"/>
            <w:noWrap/>
            <w:vAlign w:val="center"/>
          </w:tcPr>
          <w:p w14:paraId="6D399F91" w14:textId="77777777" w:rsidR="00B93F48" w:rsidRPr="007C14BA" w:rsidRDefault="00B93F48" w:rsidP="00B211E6">
            <w:pPr>
              <w:spacing w:line="256" w:lineRule="auto"/>
              <w:rPr>
                <w:rFonts w:ascii="Arial Narrow" w:eastAsia="Calibri" w:hAnsi="Arial Narrow"/>
                <w:color w:val="000000" w:themeColor="text1"/>
                <w:lang w:eastAsia="es-CO"/>
              </w:rPr>
            </w:pPr>
          </w:p>
        </w:tc>
        <w:tc>
          <w:tcPr>
            <w:tcW w:w="677" w:type="dxa"/>
            <w:tcBorders>
              <w:top w:val="nil"/>
              <w:left w:val="nil"/>
              <w:bottom w:val="single" w:sz="4" w:space="0" w:color="auto"/>
              <w:right w:val="nil"/>
            </w:tcBorders>
            <w:shd w:val="clear" w:color="auto" w:fill="BFBFBF" w:themeFill="background1" w:themeFillShade="BF"/>
            <w:noWrap/>
            <w:vAlign w:val="center"/>
          </w:tcPr>
          <w:p w14:paraId="56AB7868" w14:textId="77777777" w:rsidR="00B93F48" w:rsidRPr="007C14BA" w:rsidRDefault="00B93F48" w:rsidP="00B211E6">
            <w:pPr>
              <w:spacing w:line="256" w:lineRule="auto"/>
              <w:rPr>
                <w:rFonts w:ascii="Arial Narrow" w:eastAsia="Calibri" w:hAnsi="Arial Narrow"/>
                <w:color w:val="000000" w:themeColor="text1"/>
                <w:lang w:eastAsia="es-CO"/>
              </w:rPr>
            </w:pPr>
          </w:p>
        </w:tc>
        <w:tc>
          <w:tcPr>
            <w:tcW w:w="677" w:type="dxa"/>
            <w:tcBorders>
              <w:top w:val="nil"/>
              <w:left w:val="nil"/>
              <w:bottom w:val="single" w:sz="4" w:space="0" w:color="auto"/>
              <w:right w:val="nil"/>
            </w:tcBorders>
            <w:shd w:val="clear" w:color="auto" w:fill="BFBFBF" w:themeFill="background1" w:themeFillShade="BF"/>
            <w:noWrap/>
            <w:vAlign w:val="center"/>
          </w:tcPr>
          <w:p w14:paraId="0B371C01" w14:textId="77777777" w:rsidR="00B93F48" w:rsidRPr="007C14BA" w:rsidRDefault="00B93F48" w:rsidP="00B211E6">
            <w:pPr>
              <w:spacing w:line="256" w:lineRule="auto"/>
              <w:rPr>
                <w:rFonts w:ascii="Arial Narrow" w:eastAsia="Calibri" w:hAnsi="Arial Narrow"/>
                <w:color w:val="000000" w:themeColor="text1"/>
                <w:lang w:eastAsia="es-CO"/>
              </w:rPr>
            </w:pPr>
          </w:p>
        </w:tc>
        <w:tc>
          <w:tcPr>
            <w:tcW w:w="677" w:type="dxa"/>
            <w:tcBorders>
              <w:top w:val="nil"/>
              <w:left w:val="nil"/>
              <w:bottom w:val="single" w:sz="4" w:space="0" w:color="auto"/>
              <w:right w:val="nil"/>
            </w:tcBorders>
            <w:shd w:val="clear" w:color="auto" w:fill="BFBFBF" w:themeFill="background1" w:themeFillShade="BF"/>
            <w:noWrap/>
            <w:vAlign w:val="center"/>
          </w:tcPr>
          <w:p w14:paraId="5C3A0D41" w14:textId="77777777" w:rsidR="00B93F48" w:rsidRPr="007C14BA" w:rsidRDefault="00B93F48" w:rsidP="00B211E6">
            <w:pPr>
              <w:spacing w:line="256" w:lineRule="auto"/>
              <w:rPr>
                <w:rFonts w:ascii="Arial Narrow" w:eastAsia="Calibri" w:hAnsi="Arial Narrow"/>
                <w:color w:val="000000" w:themeColor="text1"/>
                <w:lang w:eastAsia="es-CO"/>
              </w:rPr>
            </w:pPr>
          </w:p>
        </w:tc>
        <w:tc>
          <w:tcPr>
            <w:tcW w:w="677" w:type="dxa"/>
            <w:tcBorders>
              <w:top w:val="nil"/>
              <w:left w:val="nil"/>
              <w:bottom w:val="single" w:sz="4" w:space="0" w:color="auto"/>
              <w:right w:val="nil"/>
            </w:tcBorders>
            <w:shd w:val="clear" w:color="auto" w:fill="BFBFBF" w:themeFill="background1" w:themeFillShade="BF"/>
            <w:noWrap/>
            <w:vAlign w:val="center"/>
          </w:tcPr>
          <w:p w14:paraId="3A1B6DFA" w14:textId="77777777" w:rsidR="00B93F48" w:rsidRPr="007C14BA" w:rsidRDefault="00B93F48" w:rsidP="00B211E6">
            <w:pPr>
              <w:spacing w:line="256" w:lineRule="auto"/>
              <w:jc w:val="center"/>
              <w:rPr>
                <w:rFonts w:ascii="Arial Narrow" w:eastAsia="Calibri" w:hAnsi="Arial Narrow"/>
                <w:color w:val="000000" w:themeColor="text1"/>
                <w:lang w:eastAsia="es-CO"/>
              </w:rPr>
            </w:pPr>
          </w:p>
        </w:tc>
        <w:tc>
          <w:tcPr>
            <w:tcW w:w="677"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956D0DC" w14:textId="77777777" w:rsidR="00B93F48" w:rsidRPr="007C14BA" w:rsidRDefault="00B93F48" w:rsidP="00B211E6">
            <w:pPr>
              <w:spacing w:line="256" w:lineRule="auto"/>
              <w:jc w:val="center"/>
              <w:rPr>
                <w:rFonts w:ascii="Arial Narrow" w:eastAsia="Calibri" w:hAnsi="Arial Narrow"/>
                <w:color w:val="000000" w:themeColor="text1"/>
                <w:lang w:eastAsia="es-CO"/>
              </w:rPr>
            </w:pPr>
          </w:p>
        </w:tc>
        <w:tc>
          <w:tcPr>
            <w:tcW w:w="677" w:type="dxa"/>
            <w:tcBorders>
              <w:top w:val="single" w:sz="4" w:space="0" w:color="auto"/>
              <w:left w:val="nil"/>
              <w:bottom w:val="single" w:sz="4" w:space="0" w:color="auto"/>
              <w:right w:val="single" w:sz="4" w:space="0" w:color="auto"/>
            </w:tcBorders>
            <w:hideMark/>
          </w:tcPr>
          <w:p w14:paraId="229754E0"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8</w:t>
            </w:r>
          </w:p>
        </w:tc>
      </w:tr>
    </w:tbl>
    <w:p w14:paraId="6A0B20C8" w14:textId="77777777" w:rsidR="00B93F48" w:rsidRPr="007C14BA" w:rsidRDefault="00B93F48" w:rsidP="00B93F48">
      <w:pPr>
        <w:autoSpaceDE w:val="0"/>
        <w:autoSpaceDN w:val="0"/>
        <w:adjustRightInd w:val="0"/>
        <w:ind w:left="720"/>
        <w:contextualSpacing/>
        <w:jc w:val="both"/>
        <w:rPr>
          <w:rFonts w:ascii="Arial Narrow" w:eastAsia="Calibri" w:hAnsi="Arial Narrow"/>
          <w:color w:val="000000" w:themeColor="text1"/>
        </w:rPr>
      </w:pPr>
    </w:p>
    <w:p w14:paraId="47F59988" w14:textId="77777777" w:rsidR="00B93F48" w:rsidRPr="007C14BA" w:rsidRDefault="00B93F48" w:rsidP="00B93F48">
      <w:pPr>
        <w:autoSpaceDE w:val="0"/>
        <w:autoSpaceDN w:val="0"/>
        <w:adjustRightInd w:val="0"/>
        <w:ind w:left="720"/>
        <w:contextualSpacing/>
        <w:jc w:val="both"/>
        <w:rPr>
          <w:rFonts w:ascii="Arial Narrow" w:eastAsia="Calibri" w:hAnsi="Arial Narrow"/>
          <w:color w:val="000000" w:themeColor="text1"/>
        </w:rPr>
      </w:pPr>
    </w:p>
    <w:p w14:paraId="340FE06E" w14:textId="77777777" w:rsidR="00B93F48" w:rsidRPr="007C14BA" w:rsidRDefault="00B93F48" w:rsidP="00B93F48">
      <w:pPr>
        <w:numPr>
          <w:ilvl w:val="0"/>
          <w:numId w:val="369"/>
        </w:numPr>
        <w:ind w:left="317"/>
        <w:contextualSpacing/>
        <w:jc w:val="both"/>
        <w:rPr>
          <w:rFonts w:ascii="Arial Narrow" w:eastAsia="Calibri" w:hAnsi="Arial Narrow"/>
          <w:color w:val="000000" w:themeColor="text1"/>
        </w:rPr>
      </w:pPr>
      <w:r w:rsidRPr="007C14BA">
        <w:rPr>
          <w:rFonts w:ascii="Arial Narrow" w:eastAsia="Calibri" w:hAnsi="Arial Narrow"/>
          <w:color w:val="000000" w:themeColor="text1"/>
        </w:rPr>
        <w:t>Delta para formar un Spread.</w:t>
      </w:r>
    </w:p>
    <w:p w14:paraId="6021B69F" w14:textId="77777777" w:rsidR="00B93F48" w:rsidRPr="007C14BA" w:rsidRDefault="00B93F48" w:rsidP="00B93F48">
      <w:pPr>
        <w:autoSpaceDE w:val="0"/>
        <w:autoSpaceDN w:val="0"/>
        <w:adjustRightInd w:val="0"/>
        <w:ind w:left="720"/>
        <w:contextualSpacing/>
        <w:jc w:val="both"/>
        <w:rPr>
          <w:rFonts w:ascii="Arial Narrow" w:eastAsia="Calibri" w:hAnsi="Arial Narrow"/>
          <w:color w:val="000000" w:themeColor="text1"/>
        </w:rPr>
      </w:pPr>
    </w:p>
    <w:tbl>
      <w:tblPr>
        <w:tblW w:w="3150" w:type="dxa"/>
        <w:jc w:val="center"/>
        <w:tblLayout w:type="fixed"/>
        <w:tblCellMar>
          <w:left w:w="70" w:type="dxa"/>
          <w:right w:w="70" w:type="dxa"/>
        </w:tblCellMar>
        <w:tblLook w:val="04A0" w:firstRow="1" w:lastRow="0" w:firstColumn="1" w:lastColumn="0" w:noHBand="0" w:noVBand="1"/>
      </w:tblPr>
      <w:tblGrid>
        <w:gridCol w:w="1557"/>
        <w:gridCol w:w="1593"/>
      </w:tblGrid>
      <w:tr w:rsidR="00B93F48" w:rsidRPr="007C14BA" w14:paraId="251C62D6" w14:textId="77777777" w:rsidTr="00B211E6">
        <w:trPr>
          <w:trHeight w:val="900"/>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0867E9BA"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Parejas de Grupos de Compensación</w:t>
            </w:r>
          </w:p>
        </w:tc>
        <w:tc>
          <w:tcPr>
            <w:tcW w:w="1597" w:type="dxa"/>
            <w:tcBorders>
              <w:top w:val="single" w:sz="4" w:space="0" w:color="auto"/>
              <w:left w:val="nil"/>
              <w:bottom w:val="single" w:sz="4" w:space="0" w:color="auto"/>
              <w:right w:val="single" w:sz="4" w:space="0" w:color="auto"/>
            </w:tcBorders>
            <w:vAlign w:val="center"/>
            <w:hideMark/>
          </w:tcPr>
          <w:p w14:paraId="157E30A2"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Delta para formar un Spread</w:t>
            </w:r>
          </w:p>
        </w:tc>
      </w:tr>
      <w:tr w:rsidR="00B93F48" w:rsidRPr="007C14BA" w14:paraId="0C399AF8" w14:textId="77777777" w:rsidTr="00B211E6">
        <w:trPr>
          <w:trHeight w:val="300"/>
          <w:jc w:val="center"/>
        </w:trPr>
        <w:tc>
          <w:tcPr>
            <w:tcW w:w="1560" w:type="dxa"/>
            <w:tcBorders>
              <w:top w:val="nil"/>
              <w:left w:val="single" w:sz="4" w:space="0" w:color="auto"/>
              <w:bottom w:val="single" w:sz="4" w:space="0" w:color="auto"/>
              <w:right w:val="single" w:sz="4" w:space="0" w:color="auto"/>
            </w:tcBorders>
            <w:noWrap/>
            <w:vAlign w:val="center"/>
            <w:hideMark/>
          </w:tcPr>
          <w:p w14:paraId="4D08771F"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lastRenderedPageBreak/>
              <w:t>G1/G2</w:t>
            </w:r>
          </w:p>
        </w:tc>
        <w:tc>
          <w:tcPr>
            <w:tcW w:w="1597" w:type="dxa"/>
            <w:tcBorders>
              <w:top w:val="nil"/>
              <w:left w:val="nil"/>
              <w:bottom w:val="single" w:sz="4" w:space="0" w:color="auto"/>
              <w:right w:val="single" w:sz="4" w:space="0" w:color="auto"/>
            </w:tcBorders>
            <w:noWrap/>
            <w:vAlign w:val="bottom"/>
            <w:hideMark/>
          </w:tcPr>
          <w:p w14:paraId="58CEAFC2"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hAnsi="Arial Narrow" w:cs="Arial"/>
                <w:color w:val="000000"/>
                <w:lang w:val="es-ES" w:eastAsia="es-CO"/>
              </w:rPr>
              <w:t>100/23</w:t>
            </w:r>
          </w:p>
        </w:tc>
      </w:tr>
      <w:tr w:rsidR="00B93F48" w:rsidRPr="007C14BA" w14:paraId="7B869B00" w14:textId="77777777" w:rsidTr="00B211E6">
        <w:trPr>
          <w:trHeight w:val="300"/>
          <w:jc w:val="center"/>
        </w:trPr>
        <w:tc>
          <w:tcPr>
            <w:tcW w:w="1560" w:type="dxa"/>
            <w:tcBorders>
              <w:top w:val="nil"/>
              <w:left w:val="single" w:sz="4" w:space="0" w:color="auto"/>
              <w:bottom w:val="single" w:sz="4" w:space="0" w:color="auto"/>
              <w:right w:val="single" w:sz="4" w:space="0" w:color="auto"/>
            </w:tcBorders>
            <w:noWrap/>
            <w:vAlign w:val="center"/>
            <w:hideMark/>
          </w:tcPr>
          <w:p w14:paraId="18FAC861"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G1/G3</w:t>
            </w:r>
          </w:p>
        </w:tc>
        <w:tc>
          <w:tcPr>
            <w:tcW w:w="1597" w:type="dxa"/>
            <w:tcBorders>
              <w:top w:val="nil"/>
              <w:left w:val="nil"/>
              <w:bottom w:val="single" w:sz="4" w:space="0" w:color="auto"/>
              <w:right w:val="single" w:sz="4" w:space="0" w:color="auto"/>
            </w:tcBorders>
            <w:noWrap/>
            <w:vAlign w:val="bottom"/>
            <w:hideMark/>
          </w:tcPr>
          <w:p w14:paraId="67E5F220"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hAnsi="Arial Narrow" w:cs="Arial"/>
                <w:color w:val="000000"/>
                <w:lang w:val="es-ES" w:eastAsia="es-CO"/>
              </w:rPr>
              <w:t>100/12</w:t>
            </w:r>
          </w:p>
        </w:tc>
      </w:tr>
      <w:tr w:rsidR="00B93F48" w:rsidRPr="007C14BA" w14:paraId="2EE0403A" w14:textId="77777777" w:rsidTr="00B211E6">
        <w:trPr>
          <w:trHeight w:val="300"/>
          <w:jc w:val="center"/>
        </w:trPr>
        <w:tc>
          <w:tcPr>
            <w:tcW w:w="1560" w:type="dxa"/>
            <w:tcBorders>
              <w:top w:val="nil"/>
              <w:left w:val="single" w:sz="4" w:space="0" w:color="auto"/>
              <w:bottom w:val="single" w:sz="4" w:space="0" w:color="auto"/>
              <w:right w:val="single" w:sz="4" w:space="0" w:color="auto"/>
            </w:tcBorders>
            <w:noWrap/>
            <w:vAlign w:val="center"/>
            <w:hideMark/>
          </w:tcPr>
          <w:p w14:paraId="75F545FC"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G1/G4</w:t>
            </w:r>
          </w:p>
        </w:tc>
        <w:tc>
          <w:tcPr>
            <w:tcW w:w="1597" w:type="dxa"/>
            <w:tcBorders>
              <w:top w:val="nil"/>
              <w:left w:val="nil"/>
              <w:bottom w:val="single" w:sz="4" w:space="0" w:color="auto"/>
              <w:right w:val="single" w:sz="4" w:space="0" w:color="auto"/>
            </w:tcBorders>
            <w:noWrap/>
            <w:vAlign w:val="bottom"/>
            <w:hideMark/>
          </w:tcPr>
          <w:p w14:paraId="5D8ABF78"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hAnsi="Arial Narrow" w:cs="Arial"/>
                <w:color w:val="000000"/>
                <w:lang w:val="es-ES" w:eastAsia="es-CO"/>
              </w:rPr>
              <w:t>100/8</w:t>
            </w:r>
          </w:p>
        </w:tc>
      </w:tr>
      <w:tr w:rsidR="00B93F48" w:rsidRPr="007C14BA" w14:paraId="7B22A2ED" w14:textId="77777777" w:rsidTr="00B211E6">
        <w:trPr>
          <w:trHeight w:val="300"/>
          <w:jc w:val="center"/>
        </w:trPr>
        <w:tc>
          <w:tcPr>
            <w:tcW w:w="1560" w:type="dxa"/>
            <w:tcBorders>
              <w:top w:val="nil"/>
              <w:left w:val="single" w:sz="4" w:space="0" w:color="auto"/>
              <w:bottom w:val="single" w:sz="4" w:space="0" w:color="auto"/>
              <w:right w:val="single" w:sz="4" w:space="0" w:color="auto"/>
            </w:tcBorders>
            <w:noWrap/>
            <w:vAlign w:val="center"/>
            <w:hideMark/>
          </w:tcPr>
          <w:p w14:paraId="6C0CBE8B"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G1/G5</w:t>
            </w:r>
          </w:p>
        </w:tc>
        <w:tc>
          <w:tcPr>
            <w:tcW w:w="1597" w:type="dxa"/>
            <w:tcBorders>
              <w:top w:val="nil"/>
              <w:left w:val="nil"/>
              <w:bottom w:val="single" w:sz="4" w:space="0" w:color="auto"/>
              <w:right w:val="single" w:sz="4" w:space="0" w:color="auto"/>
            </w:tcBorders>
            <w:noWrap/>
            <w:vAlign w:val="bottom"/>
            <w:hideMark/>
          </w:tcPr>
          <w:p w14:paraId="3FF6D3A8"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hAnsi="Arial Narrow" w:cs="Arial"/>
                <w:color w:val="000000"/>
                <w:lang w:val="es-ES" w:eastAsia="es-CO"/>
              </w:rPr>
              <w:t>100/6</w:t>
            </w:r>
          </w:p>
        </w:tc>
      </w:tr>
      <w:tr w:rsidR="00B93F48" w:rsidRPr="007C14BA" w14:paraId="36F81B6D" w14:textId="77777777" w:rsidTr="00B211E6">
        <w:trPr>
          <w:trHeight w:val="300"/>
          <w:jc w:val="center"/>
        </w:trPr>
        <w:tc>
          <w:tcPr>
            <w:tcW w:w="1560" w:type="dxa"/>
            <w:tcBorders>
              <w:top w:val="nil"/>
              <w:left w:val="single" w:sz="4" w:space="0" w:color="auto"/>
              <w:bottom w:val="single" w:sz="4" w:space="0" w:color="auto"/>
              <w:right w:val="single" w:sz="4" w:space="0" w:color="auto"/>
            </w:tcBorders>
            <w:noWrap/>
            <w:vAlign w:val="center"/>
            <w:hideMark/>
          </w:tcPr>
          <w:p w14:paraId="7AD16890"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G1/G6</w:t>
            </w:r>
          </w:p>
        </w:tc>
        <w:tc>
          <w:tcPr>
            <w:tcW w:w="1597" w:type="dxa"/>
            <w:tcBorders>
              <w:top w:val="nil"/>
              <w:left w:val="nil"/>
              <w:bottom w:val="single" w:sz="4" w:space="0" w:color="auto"/>
              <w:right w:val="single" w:sz="4" w:space="0" w:color="auto"/>
            </w:tcBorders>
            <w:noWrap/>
            <w:vAlign w:val="bottom"/>
            <w:hideMark/>
          </w:tcPr>
          <w:p w14:paraId="4EA54FED"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hAnsi="Arial Narrow" w:cs="Arial"/>
                <w:color w:val="000000"/>
                <w:lang w:val="es-ES" w:eastAsia="es-CO"/>
              </w:rPr>
              <w:t>100/5</w:t>
            </w:r>
          </w:p>
        </w:tc>
      </w:tr>
      <w:tr w:rsidR="00B93F48" w:rsidRPr="007C14BA" w14:paraId="39CCECAD" w14:textId="77777777" w:rsidTr="00B211E6">
        <w:trPr>
          <w:trHeight w:val="300"/>
          <w:jc w:val="center"/>
        </w:trPr>
        <w:tc>
          <w:tcPr>
            <w:tcW w:w="1560" w:type="dxa"/>
            <w:tcBorders>
              <w:top w:val="nil"/>
              <w:left w:val="single" w:sz="4" w:space="0" w:color="auto"/>
              <w:bottom w:val="single" w:sz="4" w:space="0" w:color="auto"/>
              <w:right w:val="single" w:sz="4" w:space="0" w:color="auto"/>
            </w:tcBorders>
            <w:noWrap/>
            <w:vAlign w:val="center"/>
            <w:hideMark/>
          </w:tcPr>
          <w:p w14:paraId="674106C0"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G1/G7</w:t>
            </w:r>
          </w:p>
        </w:tc>
        <w:tc>
          <w:tcPr>
            <w:tcW w:w="1597" w:type="dxa"/>
            <w:tcBorders>
              <w:top w:val="nil"/>
              <w:left w:val="nil"/>
              <w:bottom w:val="single" w:sz="4" w:space="0" w:color="auto"/>
              <w:right w:val="single" w:sz="4" w:space="0" w:color="auto"/>
            </w:tcBorders>
            <w:noWrap/>
            <w:vAlign w:val="bottom"/>
            <w:hideMark/>
          </w:tcPr>
          <w:p w14:paraId="44ACF201"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hAnsi="Arial Narrow" w:cs="Arial"/>
                <w:color w:val="000000"/>
                <w:lang w:val="es-ES" w:eastAsia="es-CO"/>
              </w:rPr>
              <w:t>100/4</w:t>
            </w:r>
          </w:p>
        </w:tc>
      </w:tr>
      <w:tr w:rsidR="00B93F48" w:rsidRPr="007C14BA" w14:paraId="73D8C54E" w14:textId="77777777" w:rsidTr="00B211E6">
        <w:trPr>
          <w:trHeight w:val="300"/>
          <w:jc w:val="center"/>
        </w:trPr>
        <w:tc>
          <w:tcPr>
            <w:tcW w:w="1560" w:type="dxa"/>
            <w:tcBorders>
              <w:top w:val="nil"/>
              <w:left w:val="single" w:sz="4" w:space="0" w:color="auto"/>
              <w:bottom w:val="single" w:sz="4" w:space="0" w:color="auto"/>
              <w:right w:val="single" w:sz="4" w:space="0" w:color="auto"/>
            </w:tcBorders>
            <w:noWrap/>
            <w:vAlign w:val="center"/>
            <w:hideMark/>
          </w:tcPr>
          <w:p w14:paraId="05A07A4C"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G1/G8</w:t>
            </w:r>
          </w:p>
        </w:tc>
        <w:tc>
          <w:tcPr>
            <w:tcW w:w="1597" w:type="dxa"/>
            <w:tcBorders>
              <w:top w:val="nil"/>
              <w:left w:val="nil"/>
              <w:bottom w:val="single" w:sz="4" w:space="0" w:color="auto"/>
              <w:right w:val="single" w:sz="4" w:space="0" w:color="auto"/>
            </w:tcBorders>
            <w:noWrap/>
            <w:vAlign w:val="bottom"/>
            <w:hideMark/>
          </w:tcPr>
          <w:p w14:paraId="78807A17" w14:textId="77777777" w:rsidR="00B93F48" w:rsidRPr="007C14BA" w:rsidRDefault="00B93F48" w:rsidP="00B211E6">
            <w:pPr>
              <w:spacing w:line="256" w:lineRule="auto"/>
              <w:jc w:val="center"/>
              <w:rPr>
                <w:rFonts w:ascii="Arial Narrow" w:hAnsi="Arial Narrow" w:cs="Arial"/>
                <w:color w:val="000000"/>
                <w:lang w:val="es-ES" w:eastAsia="es-CO"/>
              </w:rPr>
            </w:pPr>
            <w:r w:rsidRPr="007C14BA">
              <w:rPr>
                <w:rFonts w:ascii="Arial Narrow" w:hAnsi="Arial Narrow" w:cs="Arial"/>
                <w:color w:val="000000"/>
                <w:lang w:val="es-ES" w:eastAsia="es-CO"/>
              </w:rPr>
              <w:t>100/4</w:t>
            </w:r>
          </w:p>
        </w:tc>
      </w:tr>
      <w:tr w:rsidR="00B93F48" w:rsidRPr="007C14BA" w14:paraId="381A362F" w14:textId="77777777" w:rsidTr="00B211E6">
        <w:trPr>
          <w:trHeight w:val="300"/>
          <w:jc w:val="center"/>
        </w:trPr>
        <w:tc>
          <w:tcPr>
            <w:tcW w:w="1560" w:type="dxa"/>
            <w:tcBorders>
              <w:top w:val="nil"/>
              <w:left w:val="single" w:sz="4" w:space="0" w:color="auto"/>
              <w:bottom w:val="single" w:sz="4" w:space="0" w:color="auto"/>
              <w:right w:val="single" w:sz="4" w:space="0" w:color="auto"/>
            </w:tcBorders>
            <w:noWrap/>
            <w:vAlign w:val="center"/>
            <w:hideMark/>
          </w:tcPr>
          <w:p w14:paraId="5E163267"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G2/G3</w:t>
            </w:r>
          </w:p>
        </w:tc>
        <w:tc>
          <w:tcPr>
            <w:tcW w:w="1597" w:type="dxa"/>
            <w:tcBorders>
              <w:top w:val="nil"/>
              <w:left w:val="nil"/>
              <w:bottom w:val="single" w:sz="4" w:space="0" w:color="auto"/>
              <w:right w:val="single" w:sz="4" w:space="0" w:color="auto"/>
            </w:tcBorders>
            <w:noWrap/>
            <w:vAlign w:val="bottom"/>
            <w:hideMark/>
          </w:tcPr>
          <w:p w14:paraId="14987702"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hAnsi="Arial Narrow" w:cs="Arial"/>
                <w:color w:val="000000"/>
                <w:lang w:val="es-ES" w:eastAsia="es-CO"/>
              </w:rPr>
              <w:t>100/26</w:t>
            </w:r>
          </w:p>
        </w:tc>
      </w:tr>
      <w:tr w:rsidR="00B93F48" w:rsidRPr="007C14BA" w14:paraId="4BD40608" w14:textId="77777777" w:rsidTr="00B211E6">
        <w:trPr>
          <w:trHeight w:val="300"/>
          <w:jc w:val="center"/>
        </w:trPr>
        <w:tc>
          <w:tcPr>
            <w:tcW w:w="1560" w:type="dxa"/>
            <w:tcBorders>
              <w:top w:val="nil"/>
              <w:left w:val="single" w:sz="4" w:space="0" w:color="auto"/>
              <w:bottom w:val="single" w:sz="4" w:space="0" w:color="auto"/>
              <w:right w:val="single" w:sz="4" w:space="0" w:color="auto"/>
            </w:tcBorders>
            <w:noWrap/>
            <w:vAlign w:val="center"/>
            <w:hideMark/>
          </w:tcPr>
          <w:p w14:paraId="609D743A"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G2/G4</w:t>
            </w:r>
          </w:p>
        </w:tc>
        <w:tc>
          <w:tcPr>
            <w:tcW w:w="1597" w:type="dxa"/>
            <w:tcBorders>
              <w:top w:val="nil"/>
              <w:left w:val="nil"/>
              <w:bottom w:val="single" w:sz="4" w:space="0" w:color="auto"/>
              <w:right w:val="single" w:sz="4" w:space="0" w:color="auto"/>
            </w:tcBorders>
            <w:noWrap/>
            <w:vAlign w:val="bottom"/>
            <w:hideMark/>
          </w:tcPr>
          <w:p w14:paraId="1380B608"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hAnsi="Arial Narrow" w:cs="Arial"/>
                <w:color w:val="000000"/>
                <w:lang w:val="es-ES" w:eastAsia="es-CO"/>
              </w:rPr>
              <w:t>100/17</w:t>
            </w:r>
          </w:p>
        </w:tc>
      </w:tr>
      <w:tr w:rsidR="00B93F48" w:rsidRPr="007C14BA" w14:paraId="7212C5F9" w14:textId="77777777" w:rsidTr="00B211E6">
        <w:trPr>
          <w:trHeight w:val="300"/>
          <w:jc w:val="center"/>
        </w:trPr>
        <w:tc>
          <w:tcPr>
            <w:tcW w:w="1560" w:type="dxa"/>
            <w:tcBorders>
              <w:top w:val="nil"/>
              <w:left w:val="single" w:sz="4" w:space="0" w:color="auto"/>
              <w:bottom w:val="single" w:sz="4" w:space="0" w:color="auto"/>
              <w:right w:val="single" w:sz="4" w:space="0" w:color="auto"/>
            </w:tcBorders>
            <w:noWrap/>
            <w:vAlign w:val="center"/>
            <w:hideMark/>
          </w:tcPr>
          <w:p w14:paraId="1FF8326E"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G2/G5</w:t>
            </w:r>
          </w:p>
        </w:tc>
        <w:tc>
          <w:tcPr>
            <w:tcW w:w="1597" w:type="dxa"/>
            <w:tcBorders>
              <w:top w:val="nil"/>
              <w:left w:val="nil"/>
              <w:bottom w:val="single" w:sz="4" w:space="0" w:color="auto"/>
              <w:right w:val="single" w:sz="4" w:space="0" w:color="auto"/>
            </w:tcBorders>
            <w:noWrap/>
            <w:vAlign w:val="bottom"/>
            <w:hideMark/>
          </w:tcPr>
          <w:p w14:paraId="0FB3716B"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hAnsi="Arial Narrow" w:cs="Arial"/>
                <w:color w:val="000000"/>
                <w:lang w:val="es-ES" w:eastAsia="es-CO"/>
              </w:rPr>
              <w:t>100/13</w:t>
            </w:r>
          </w:p>
        </w:tc>
      </w:tr>
      <w:tr w:rsidR="00B93F48" w:rsidRPr="007C14BA" w14:paraId="49CC7916" w14:textId="77777777" w:rsidTr="00B211E6">
        <w:trPr>
          <w:trHeight w:val="300"/>
          <w:jc w:val="center"/>
        </w:trPr>
        <w:tc>
          <w:tcPr>
            <w:tcW w:w="1560" w:type="dxa"/>
            <w:tcBorders>
              <w:top w:val="nil"/>
              <w:left w:val="single" w:sz="4" w:space="0" w:color="auto"/>
              <w:bottom w:val="single" w:sz="4" w:space="0" w:color="auto"/>
              <w:right w:val="single" w:sz="4" w:space="0" w:color="auto"/>
            </w:tcBorders>
            <w:noWrap/>
            <w:vAlign w:val="center"/>
            <w:hideMark/>
          </w:tcPr>
          <w:p w14:paraId="5541D2D3"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G2/G6</w:t>
            </w:r>
          </w:p>
        </w:tc>
        <w:tc>
          <w:tcPr>
            <w:tcW w:w="1597" w:type="dxa"/>
            <w:tcBorders>
              <w:top w:val="nil"/>
              <w:left w:val="nil"/>
              <w:bottom w:val="single" w:sz="4" w:space="0" w:color="auto"/>
              <w:right w:val="single" w:sz="4" w:space="0" w:color="auto"/>
            </w:tcBorders>
            <w:noWrap/>
            <w:vAlign w:val="bottom"/>
            <w:hideMark/>
          </w:tcPr>
          <w:p w14:paraId="5941BBBF"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hAnsi="Arial Narrow" w:cs="Arial"/>
                <w:color w:val="000000"/>
                <w:lang w:val="es-ES" w:eastAsia="es-CO"/>
              </w:rPr>
              <w:t>100/10</w:t>
            </w:r>
          </w:p>
        </w:tc>
      </w:tr>
      <w:tr w:rsidR="00B93F48" w:rsidRPr="007C14BA" w14:paraId="7E79125A" w14:textId="77777777" w:rsidTr="00B211E6">
        <w:trPr>
          <w:trHeight w:val="300"/>
          <w:jc w:val="center"/>
        </w:trPr>
        <w:tc>
          <w:tcPr>
            <w:tcW w:w="1560" w:type="dxa"/>
            <w:tcBorders>
              <w:top w:val="nil"/>
              <w:left w:val="single" w:sz="4" w:space="0" w:color="auto"/>
              <w:bottom w:val="single" w:sz="4" w:space="0" w:color="auto"/>
              <w:right w:val="single" w:sz="4" w:space="0" w:color="auto"/>
            </w:tcBorders>
            <w:noWrap/>
            <w:vAlign w:val="center"/>
            <w:hideMark/>
          </w:tcPr>
          <w:p w14:paraId="444E0DA5"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G2/G7</w:t>
            </w:r>
          </w:p>
        </w:tc>
        <w:tc>
          <w:tcPr>
            <w:tcW w:w="1597" w:type="dxa"/>
            <w:tcBorders>
              <w:top w:val="nil"/>
              <w:left w:val="nil"/>
              <w:bottom w:val="single" w:sz="4" w:space="0" w:color="auto"/>
              <w:right w:val="single" w:sz="4" w:space="0" w:color="auto"/>
            </w:tcBorders>
            <w:noWrap/>
            <w:vAlign w:val="bottom"/>
            <w:hideMark/>
          </w:tcPr>
          <w:p w14:paraId="016E45D1"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hAnsi="Arial Narrow" w:cs="Arial"/>
                <w:color w:val="000000"/>
                <w:lang w:val="es-ES" w:eastAsia="es-CO"/>
              </w:rPr>
              <w:t>100/9</w:t>
            </w:r>
          </w:p>
        </w:tc>
      </w:tr>
      <w:tr w:rsidR="00B93F48" w:rsidRPr="007C14BA" w14:paraId="0291E4C0" w14:textId="77777777" w:rsidTr="00B211E6">
        <w:trPr>
          <w:trHeight w:val="300"/>
          <w:jc w:val="center"/>
        </w:trPr>
        <w:tc>
          <w:tcPr>
            <w:tcW w:w="1560" w:type="dxa"/>
            <w:tcBorders>
              <w:top w:val="nil"/>
              <w:left w:val="single" w:sz="4" w:space="0" w:color="auto"/>
              <w:bottom w:val="single" w:sz="4" w:space="0" w:color="auto"/>
              <w:right w:val="single" w:sz="4" w:space="0" w:color="auto"/>
            </w:tcBorders>
            <w:noWrap/>
            <w:vAlign w:val="center"/>
            <w:hideMark/>
          </w:tcPr>
          <w:p w14:paraId="05C20614"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G2/G8</w:t>
            </w:r>
          </w:p>
        </w:tc>
        <w:tc>
          <w:tcPr>
            <w:tcW w:w="1597" w:type="dxa"/>
            <w:tcBorders>
              <w:top w:val="nil"/>
              <w:left w:val="nil"/>
              <w:bottom w:val="single" w:sz="4" w:space="0" w:color="auto"/>
              <w:right w:val="single" w:sz="4" w:space="0" w:color="auto"/>
            </w:tcBorders>
            <w:noWrap/>
            <w:vAlign w:val="bottom"/>
            <w:hideMark/>
          </w:tcPr>
          <w:p w14:paraId="7F6FE42F" w14:textId="77777777" w:rsidR="00B93F48" w:rsidRPr="007C14BA" w:rsidRDefault="00B93F48" w:rsidP="00B211E6">
            <w:pPr>
              <w:spacing w:line="256" w:lineRule="auto"/>
              <w:jc w:val="center"/>
              <w:rPr>
                <w:rFonts w:ascii="Arial Narrow" w:hAnsi="Arial Narrow" w:cs="Arial"/>
                <w:color w:val="000000"/>
                <w:lang w:val="es-ES" w:eastAsia="es-CO"/>
              </w:rPr>
            </w:pPr>
            <w:r w:rsidRPr="007C14BA">
              <w:rPr>
                <w:rFonts w:ascii="Arial Narrow" w:hAnsi="Arial Narrow" w:cs="Arial"/>
                <w:color w:val="000000"/>
                <w:lang w:val="es-ES" w:eastAsia="es-CO"/>
              </w:rPr>
              <w:t>100/8</w:t>
            </w:r>
          </w:p>
        </w:tc>
      </w:tr>
      <w:tr w:rsidR="00B93F48" w:rsidRPr="007C14BA" w14:paraId="25BE05CB" w14:textId="77777777" w:rsidTr="00B211E6">
        <w:trPr>
          <w:trHeight w:val="300"/>
          <w:jc w:val="center"/>
        </w:trPr>
        <w:tc>
          <w:tcPr>
            <w:tcW w:w="1560" w:type="dxa"/>
            <w:tcBorders>
              <w:top w:val="nil"/>
              <w:left w:val="single" w:sz="4" w:space="0" w:color="auto"/>
              <w:bottom w:val="single" w:sz="4" w:space="0" w:color="auto"/>
              <w:right w:val="single" w:sz="4" w:space="0" w:color="auto"/>
            </w:tcBorders>
            <w:noWrap/>
            <w:vAlign w:val="center"/>
            <w:hideMark/>
          </w:tcPr>
          <w:p w14:paraId="32014F06"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G3/G4</w:t>
            </w:r>
          </w:p>
        </w:tc>
        <w:tc>
          <w:tcPr>
            <w:tcW w:w="1597" w:type="dxa"/>
            <w:tcBorders>
              <w:top w:val="nil"/>
              <w:left w:val="nil"/>
              <w:bottom w:val="single" w:sz="4" w:space="0" w:color="auto"/>
              <w:right w:val="single" w:sz="4" w:space="0" w:color="auto"/>
            </w:tcBorders>
            <w:noWrap/>
            <w:vAlign w:val="bottom"/>
            <w:hideMark/>
          </w:tcPr>
          <w:p w14:paraId="774178A3"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hAnsi="Arial Narrow" w:cs="Arial"/>
                <w:color w:val="000000"/>
                <w:lang w:val="es-ES" w:eastAsia="es-CO"/>
              </w:rPr>
              <w:t>100/34</w:t>
            </w:r>
          </w:p>
        </w:tc>
      </w:tr>
      <w:tr w:rsidR="00B93F48" w:rsidRPr="007C14BA" w14:paraId="12CD7FB5" w14:textId="77777777" w:rsidTr="00B211E6">
        <w:trPr>
          <w:trHeight w:val="300"/>
          <w:jc w:val="center"/>
        </w:trPr>
        <w:tc>
          <w:tcPr>
            <w:tcW w:w="1560" w:type="dxa"/>
            <w:tcBorders>
              <w:top w:val="nil"/>
              <w:left w:val="single" w:sz="4" w:space="0" w:color="auto"/>
              <w:bottom w:val="single" w:sz="4" w:space="0" w:color="auto"/>
              <w:right w:val="single" w:sz="4" w:space="0" w:color="auto"/>
            </w:tcBorders>
            <w:noWrap/>
            <w:vAlign w:val="center"/>
            <w:hideMark/>
          </w:tcPr>
          <w:p w14:paraId="05F10AE6"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G3/G5</w:t>
            </w:r>
          </w:p>
        </w:tc>
        <w:tc>
          <w:tcPr>
            <w:tcW w:w="1597" w:type="dxa"/>
            <w:tcBorders>
              <w:top w:val="nil"/>
              <w:left w:val="nil"/>
              <w:bottom w:val="single" w:sz="4" w:space="0" w:color="auto"/>
              <w:right w:val="single" w:sz="4" w:space="0" w:color="auto"/>
            </w:tcBorders>
            <w:noWrap/>
            <w:vAlign w:val="bottom"/>
            <w:hideMark/>
          </w:tcPr>
          <w:p w14:paraId="0B3BDE58"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hAnsi="Arial Narrow" w:cs="Arial"/>
                <w:color w:val="000000"/>
                <w:lang w:val="es-ES" w:eastAsia="es-CO"/>
              </w:rPr>
              <w:t>100/24</w:t>
            </w:r>
          </w:p>
        </w:tc>
      </w:tr>
      <w:tr w:rsidR="00B93F48" w:rsidRPr="007C14BA" w14:paraId="3BC7408B" w14:textId="77777777" w:rsidTr="00B211E6">
        <w:trPr>
          <w:trHeight w:val="300"/>
          <w:jc w:val="center"/>
        </w:trPr>
        <w:tc>
          <w:tcPr>
            <w:tcW w:w="1560" w:type="dxa"/>
            <w:tcBorders>
              <w:top w:val="nil"/>
              <w:left w:val="single" w:sz="4" w:space="0" w:color="auto"/>
              <w:bottom w:val="single" w:sz="4" w:space="0" w:color="auto"/>
              <w:right w:val="single" w:sz="4" w:space="0" w:color="auto"/>
            </w:tcBorders>
            <w:noWrap/>
            <w:vAlign w:val="center"/>
            <w:hideMark/>
          </w:tcPr>
          <w:p w14:paraId="70A8FCE5"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G3/G6</w:t>
            </w:r>
          </w:p>
        </w:tc>
        <w:tc>
          <w:tcPr>
            <w:tcW w:w="1597" w:type="dxa"/>
            <w:tcBorders>
              <w:top w:val="nil"/>
              <w:left w:val="nil"/>
              <w:bottom w:val="single" w:sz="4" w:space="0" w:color="auto"/>
              <w:right w:val="single" w:sz="4" w:space="0" w:color="auto"/>
            </w:tcBorders>
            <w:noWrap/>
            <w:vAlign w:val="bottom"/>
            <w:hideMark/>
          </w:tcPr>
          <w:p w14:paraId="1DFADB99"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hAnsi="Arial Narrow" w:cs="Arial"/>
                <w:color w:val="000000"/>
                <w:lang w:val="es-ES" w:eastAsia="es-CO"/>
              </w:rPr>
              <w:t>100/19</w:t>
            </w:r>
          </w:p>
        </w:tc>
      </w:tr>
      <w:tr w:rsidR="00B93F48" w:rsidRPr="007C14BA" w14:paraId="448ED080" w14:textId="77777777" w:rsidTr="00B211E6">
        <w:trPr>
          <w:trHeight w:val="300"/>
          <w:jc w:val="center"/>
        </w:trPr>
        <w:tc>
          <w:tcPr>
            <w:tcW w:w="1560" w:type="dxa"/>
            <w:tcBorders>
              <w:top w:val="nil"/>
              <w:left w:val="single" w:sz="4" w:space="0" w:color="auto"/>
              <w:bottom w:val="single" w:sz="4" w:space="0" w:color="auto"/>
              <w:right w:val="single" w:sz="4" w:space="0" w:color="auto"/>
            </w:tcBorders>
            <w:noWrap/>
            <w:vAlign w:val="center"/>
            <w:hideMark/>
          </w:tcPr>
          <w:p w14:paraId="6603E4AB"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G3/G7</w:t>
            </w:r>
          </w:p>
        </w:tc>
        <w:tc>
          <w:tcPr>
            <w:tcW w:w="1597" w:type="dxa"/>
            <w:tcBorders>
              <w:top w:val="nil"/>
              <w:left w:val="nil"/>
              <w:bottom w:val="single" w:sz="4" w:space="0" w:color="auto"/>
              <w:right w:val="single" w:sz="4" w:space="0" w:color="auto"/>
            </w:tcBorders>
            <w:noWrap/>
            <w:vAlign w:val="bottom"/>
            <w:hideMark/>
          </w:tcPr>
          <w:p w14:paraId="3E685B99"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hAnsi="Arial Narrow" w:cs="Arial"/>
                <w:color w:val="000000"/>
                <w:lang w:val="es-ES" w:eastAsia="es-CO"/>
              </w:rPr>
              <w:t>100/15</w:t>
            </w:r>
          </w:p>
        </w:tc>
      </w:tr>
      <w:tr w:rsidR="00B93F48" w:rsidRPr="007C14BA" w14:paraId="0AF30BB2" w14:textId="77777777" w:rsidTr="00B211E6">
        <w:trPr>
          <w:trHeight w:val="300"/>
          <w:jc w:val="center"/>
        </w:trPr>
        <w:tc>
          <w:tcPr>
            <w:tcW w:w="1560" w:type="dxa"/>
            <w:tcBorders>
              <w:top w:val="nil"/>
              <w:left w:val="single" w:sz="4" w:space="0" w:color="auto"/>
              <w:bottom w:val="single" w:sz="4" w:space="0" w:color="auto"/>
              <w:right w:val="single" w:sz="4" w:space="0" w:color="auto"/>
            </w:tcBorders>
            <w:noWrap/>
            <w:vAlign w:val="center"/>
            <w:hideMark/>
          </w:tcPr>
          <w:p w14:paraId="35E1A920"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G3/G8</w:t>
            </w:r>
          </w:p>
        </w:tc>
        <w:tc>
          <w:tcPr>
            <w:tcW w:w="1597" w:type="dxa"/>
            <w:tcBorders>
              <w:top w:val="nil"/>
              <w:left w:val="nil"/>
              <w:bottom w:val="single" w:sz="4" w:space="0" w:color="auto"/>
              <w:right w:val="single" w:sz="4" w:space="0" w:color="auto"/>
            </w:tcBorders>
            <w:noWrap/>
            <w:vAlign w:val="bottom"/>
            <w:hideMark/>
          </w:tcPr>
          <w:p w14:paraId="2D21F64F" w14:textId="77777777" w:rsidR="00B93F48" w:rsidRPr="007C14BA" w:rsidRDefault="00B93F48" w:rsidP="00B211E6">
            <w:pPr>
              <w:spacing w:line="256" w:lineRule="auto"/>
              <w:jc w:val="center"/>
              <w:rPr>
                <w:rFonts w:ascii="Arial Narrow" w:hAnsi="Arial Narrow" w:cs="Arial"/>
                <w:color w:val="000000"/>
                <w:lang w:val="es-ES" w:eastAsia="es-CO"/>
              </w:rPr>
            </w:pPr>
            <w:r w:rsidRPr="007C14BA">
              <w:rPr>
                <w:rFonts w:ascii="Arial Narrow" w:hAnsi="Arial Narrow" w:cs="Arial"/>
                <w:color w:val="000000"/>
                <w:lang w:val="es-ES" w:eastAsia="es-CO"/>
              </w:rPr>
              <w:t>100/13</w:t>
            </w:r>
          </w:p>
        </w:tc>
      </w:tr>
      <w:tr w:rsidR="00B93F48" w:rsidRPr="007C14BA" w14:paraId="66B26C97" w14:textId="77777777" w:rsidTr="00B211E6">
        <w:trPr>
          <w:trHeight w:val="300"/>
          <w:jc w:val="center"/>
        </w:trPr>
        <w:tc>
          <w:tcPr>
            <w:tcW w:w="1560" w:type="dxa"/>
            <w:tcBorders>
              <w:top w:val="nil"/>
              <w:left w:val="single" w:sz="4" w:space="0" w:color="auto"/>
              <w:bottom w:val="single" w:sz="4" w:space="0" w:color="auto"/>
              <w:right w:val="single" w:sz="4" w:space="0" w:color="auto"/>
            </w:tcBorders>
            <w:noWrap/>
            <w:vAlign w:val="center"/>
            <w:hideMark/>
          </w:tcPr>
          <w:p w14:paraId="29145AB9"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G4/G5</w:t>
            </w:r>
          </w:p>
        </w:tc>
        <w:tc>
          <w:tcPr>
            <w:tcW w:w="1597" w:type="dxa"/>
            <w:tcBorders>
              <w:top w:val="nil"/>
              <w:left w:val="nil"/>
              <w:bottom w:val="single" w:sz="4" w:space="0" w:color="auto"/>
              <w:right w:val="single" w:sz="4" w:space="0" w:color="auto"/>
            </w:tcBorders>
            <w:noWrap/>
            <w:vAlign w:val="bottom"/>
            <w:hideMark/>
          </w:tcPr>
          <w:p w14:paraId="0CE92162"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hAnsi="Arial Narrow" w:cs="Arial"/>
                <w:color w:val="000000"/>
                <w:lang w:val="es-ES" w:eastAsia="es-CO"/>
              </w:rPr>
              <w:t>100/46</w:t>
            </w:r>
          </w:p>
        </w:tc>
      </w:tr>
      <w:tr w:rsidR="00B93F48" w:rsidRPr="007C14BA" w14:paraId="79FD0DD9" w14:textId="77777777" w:rsidTr="00B211E6">
        <w:trPr>
          <w:trHeight w:val="300"/>
          <w:jc w:val="center"/>
        </w:trPr>
        <w:tc>
          <w:tcPr>
            <w:tcW w:w="1560" w:type="dxa"/>
            <w:tcBorders>
              <w:top w:val="nil"/>
              <w:left w:val="single" w:sz="4" w:space="0" w:color="auto"/>
              <w:bottom w:val="single" w:sz="4" w:space="0" w:color="auto"/>
              <w:right w:val="single" w:sz="4" w:space="0" w:color="auto"/>
            </w:tcBorders>
            <w:noWrap/>
            <w:vAlign w:val="center"/>
            <w:hideMark/>
          </w:tcPr>
          <w:p w14:paraId="65FCBB57"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G4/G6</w:t>
            </w:r>
          </w:p>
        </w:tc>
        <w:tc>
          <w:tcPr>
            <w:tcW w:w="1597" w:type="dxa"/>
            <w:tcBorders>
              <w:top w:val="nil"/>
              <w:left w:val="nil"/>
              <w:bottom w:val="single" w:sz="4" w:space="0" w:color="auto"/>
              <w:right w:val="single" w:sz="4" w:space="0" w:color="auto"/>
            </w:tcBorders>
            <w:noWrap/>
            <w:vAlign w:val="bottom"/>
            <w:hideMark/>
          </w:tcPr>
          <w:p w14:paraId="2BABD452"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hAnsi="Arial Narrow" w:cs="Arial"/>
                <w:color w:val="000000"/>
                <w:lang w:val="es-ES" w:eastAsia="es-CO"/>
              </w:rPr>
              <w:t>100/36</w:t>
            </w:r>
          </w:p>
        </w:tc>
      </w:tr>
      <w:tr w:rsidR="00B93F48" w:rsidRPr="007C14BA" w14:paraId="4641C3CF" w14:textId="77777777" w:rsidTr="00B211E6">
        <w:trPr>
          <w:trHeight w:val="300"/>
          <w:jc w:val="center"/>
        </w:trPr>
        <w:tc>
          <w:tcPr>
            <w:tcW w:w="1560" w:type="dxa"/>
            <w:tcBorders>
              <w:top w:val="nil"/>
              <w:left w:val="single" w:sz="4" w:space="0" w:color="auto"/>
              <w:bottom w:val="single" w:sz="4" w:space="0" w:color="auto"/>
              <w:right w:val="single" w:sz="4" w:space="0" w:color="auto"/>
            </w:tcBorders>
            <w:noWrap/>
            <w:vAlign w:val="center"/>
            <w:hideMark/>
          </w:tcPr>
          <w:p w14:paraId="7C0949A5"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G4/G7</w:t>
            </w:r>
          </w:p>
        </w:tc>
        <w:tc>
          <w:tcPr>
            <w:tcW w:w="1597" w:type="dxa"/>
            <w:tcBorders>
              <w:top w:val="nil"/>
              <w:left w:val="nil"/>
              <w:bottom w:val="single" w:sz="4" w:space="0" w:color="auto"/>
              <w:right w:val="single" w:sz="4" w:space="0" w:color="auto"/>
            </w:tcBorders>
            <w:noWrap/>
            <w:vAlign w:val="bottom"/>
            <w:hideMark/>
          </w:tcPr>
          <w:p w14:paraId="0B5B3D0D"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hAnsi="Arial Narrow" w:cs="Arial"/>
                <w:color w:val="000000"/>
                <w:lang w:val="es-ES" w:eastAsia="es-CO"/>
              </w:rPr>
              <w:t>100/29</w:t>
            </w:r>
          </w:p>
        </w:tc>
      </w:tr>
      <w:tr w:rsidR="00B93F48" w:rsidRPr="007C14BA" w14:paraId="550F80C6" w14:textId="77777777" w:rsidTr="00B211E6">
        <w:trPr>
          <w:trHeight w:val="300"/>
          <w:jc w:val="center"/>
        </w:trPr>
        <w:tc>
          <w:tcPr>
            <w:tcW w:w="1560" w:type="dxa"/>
            <w:tcBorders>
              <w:top w:val="nil"/>
              <w:left w:val="single" w:sz="4" w:space="0" w:color="auto"/>
              <w:bottom w:val="single" w:sz="4" w:space="0" w:color="auto"/>
              <w:right w:val="single" w:sz="4" w:space="0" w:color="auto"/>
            </w:tcBorders>
            <w:noWrap/>
            <w:vAlign w:val="center"/>
            <w:hideMark/>
          </w:tcPr>
          <w:p w14:paraId="6401BCDB"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G4/G8</w:t>
            </w:r>
          </w:p>
        </w:tc>
        <w:tc>
          <w:tcPr>
            <w:tcW w:w="1597" w:type="dxa"/>
            <w:tcBorders>
              <w:top w:val="nil"/>
              <w:left w:val="nil"/>
              <w:bottom w:val="single" w:sz="4" w:space="0" w:color="auto"/>
              <w:right w:val="single" w:sz="4" w:space="0" w:color="auto"/>
            </w:tcBorders>
            <w:noWrap/>
            <w:vAlign w:val="bottom"/>
            <w:hideMark/>
          </w:tcPr>
          <w:p w14:paraId="31B7038A" w14:textId="12A0718E" w:rsidR="00B93F48" w:rsidRPr="007C14BA" w:rsidRDefault="00B93F48" w:rsidP="00B211E6">
            <w:pPr>
              <w:spacing w:line="256" w:lineRule="auto"/>
              <w:jc w:val="center"/>
              <w:rPr>
                <w:rFonts w:ascii="Arial Narrow" w:hAnsi="Arial Narrow" w:cs="Arial"/>
                <w:color w:val="000000"/>
                <w:lang w:val="es-ES" w:eastAsia="es-CO"/>
              </w:rPr>
            </w:pPr>
            <w:r w:rsidRPr="007C14BA">
              <w:rPr>
                <w:rFonts w:ascii="Arial Narrow" w:hAnsi="Arial Narrow" w:cs="Arial"/>
                <w:color w:val="000000"/>
                <w:lang w:val="es-ES" w:eastAsia="es-CO"/>
              </w:rPr>
              <w:t>100/25</w:t>
            </w:r>
          </w:p>
        </w:tc>
      </w:tr>
      <w:tr w:rsidR="00B93F48" w:rsidRPr="007C14BA" w14:paraId="35C69CC0" w14:textId="77777777" w:rsidTr="00B211E6">
        <w:trPr>
          <w:trHeight w:val="300"/>
          <w:jc w:val="center"/>
        </w:trPr>
        <w:tc>
          <w:tcPr>
            <w:tcW w:w="1560" w:type="dxa"/>
            <w:tcBorders>
              <w:top w:val="nil"/>
              <w:left w:val="single" w:sz="4" w:space="0" w:color="auto"/>
              <w:bottom w:val="single" w:sz="4" w:space="0" w:color="auto"/>
              <w:right w:val="single" w:sz="4" w:space="0" w:color="auto"/>
            </w:tcBorders>
            <w:noWrap/>
            <w:vAlign w:val="center"/>
            <w:hideMark/>
          </w:tcPr>
          <w:p w14:paraId="4ECC1C3F"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G5/G6</w:t>
            </w:r>
          </w:p>
        </w:tc>
        <w:tc>
          <w:tcPr>
            <w:tcW w:w="1597" w:type="dxa"/>
            <w:tcBorders>
              <w:top w:val="nil"/>
              <w:left w:val="nil"/>
              <w:bottom w:val="single" w:sz="4" w:space="0" w:color="auto"/>
              <w:right w:val="single" w:sz="4" w:space="0" w:color="auto"/>
            </w:tcBorders>
            <w:noWrap/>
            <w:vAlign w:val="bottom"/>
            <w:hideMark/>
          </w:tcPr>
          <w:p w14:paraId="07648172"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hAnsi="Arial Narrow" w:cs="Arial"/>
                <w:color w:val="000000"/>
                <w:lang w:val="es-ES" w:eastAsia="es-CO"/>
              </w:rPr>
              <w:t>100/58</w:t>
            </w:r>
          </w:p>
        </w:tc>
      </w:tr>
      <w:tr w:rsidR="00B93F48" w:rsidRPr="007C14BA" w14:paraId="6D366050" w14:textId="77777777" w:rsidTr="00B211E6">
        <w:trPr>
          <w:trHeight w:val="300"/>
          <w:jc w:val="center"/>
        </w:trPr>
        <w:tc>
          <w:tcPr>
            <w:tcW w:w="1560" w:type="dxa"/>
            <w:tcBorders>
              <w:top w:val="nil"/>
              <w:left w:val="single" w:sz="4" w:space="0" w:color="auto"/>
              <w:bottom w:val="single" w:sz="4" w:space="0" w:color="auto"/>
              <w:right w:val="single" w:sz="4" w:space="0" w:color="auto"/>
            </w:tcBorders>
            <w:noWrap/>
            <w:vAlign w:val="center"/>
            <w:hideMark/>
          </w:tcPr>
          <w:p w14:paraId="1F783D48"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G5/G7</w:t>
            </w:r>
          </w:p>
        </w:tc>
        <w:tc>
          <w:tcPr>
            <w:tcW w:w="1597" w:type="dxa"/>
            <w:tcBorders>
              <w:top w:val="nil"/>
              <w:left w:val="nil"/>
              <w:bottom w:val="single" w:sz="4" w:space="0" w:color="auto"/>
              <w:right w:val="single" w:sz="4" w:space="0" w:color="auto"/>
            </w:tcBorders>
            <w:noWrap/>
            <w:vAlign w:val="bottom"/>
            <w:hideMark/>
          </w:tcPr>
          <w:p w14:paraId="62D3AA3A" w14:textId="30310404"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hAnsi="Arial Narrow" w:cs="Arial"/>
                <w:color w:val="000000"/>
                <w:lang w:val="es-ES" w:eastAsia="es-CO"/>
              </w:rPr>
              <w:t>100/46</w:t>
            </w:r>
          </w:p>
        </w:tc>
      </w:tr>
      <w:tr w:rsidR="00B93F48" w:rsidRPr="007C14BA" w14:paraId="0A95C88B" w14:textId="77777777" w:rsidTr="00B211E6">
        <w:trPr>
          <w:trHeight w:val="300"/>
          <w:jc w:val="center"/>
        </w:trPr>
        <w:tc>
          <w:tcPr>
            <w:tcW w:w="1560" w:type="dxa"/>
            <w:tcBorders>
              <w:top w:val="nil"/>
              <w:left w:val="single" w:sz="4" w:space="0" w:color="auto"/>
              <w:bottom w:val="single" w:sz="4" w:space="0" w:color="auto"/>
              <w:right w:val="single" w:sz="4" w:space="0" w:color="auto"/>
            </w:tcBorders>
            <w:noWrap/>
            <w:vAlign w:val="center"/>
            <w:hideMark/>
          </w:tcPr>
          <w:p w14:paraId="5A19D6D2"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G5/G8</w:t>
            </w:r>
          </w:p>
        </w:tc>
        <w:tc>
          <w:tcPr>
            <w:tcW w:w="1597" w:type="dxa"/>
            <w:tcBorders>
              <w:top w:val="nil"/>
              <w:left w:val="nil"/>
              <w:bottom w:val="single" w:sz="4" w:space="0" w:color="auto"/>
              <w:right w:val="single" w:sz="4" w:space="0" w:color="auto"/>
            </w:tcBorders>
            <w:noWrap/>
            <w:vAlign w:val="bottom"/>
            <w:hideMark/>
          </w:tcPr>
          <w:p w14:paraId="2C531693" w14:textId="6373E677" w:rsidR="00B93F48" w:rsidRPr="007C14BA" w:rsidRDefault="00B93F48" w:rsidP="00B211E6">
            <w:pPr>
              <w:spacing w:line="256" w:lineRule="auto"/>
              <w:jc w:val="center"/>
              <w:rPr>
                <w:rFonts w:ascii="Arial Narrow" w:hAnsi="Arial Narrow" w:cs="Arial"/>
                <w:color w:val="000000"/>
                <w:lang w:val="es-ES" w:eastAsia="es-CO"/>
              </w:rPr>
            </w:pPr>
            <w:r w:rsidRPr="007C14BA">
              <w:rPr>
                <w:rFonts w:ascii="Arial Narrow" w:hAnsi="Arial Narrow" w:cs="Arial"/>
                <w:color w:val="000000"/>
                <w:lang w:val="es-ES" w:eastAsia="es-CO"/>
              </w:rPr>
              <w:t>100/41</w:t>
            </w:r>
          </w:p>
        </w:tc>
      </w:tr>
      <w:tr w:rsidR="00B93F48" w:rsidRPr="007C14BA" w14:paraId="224A1A60" w14:textId="77777777" w:rsidTr="00B211E6">
        <w:trPr>
          <w:trHeight w:val="300"/>
          <w:jc w:val="center"/>
        </w:trPr>
        <w:tc>
          <w:tcPr>
            <w:tcW w:w="1560" w:type="dxa"/>
            <w:tcBorders>
              <w:top w:val="nil"/>
              <w:left w:val="single" w:sz="4" w:space="0" w:color="auto"/>
              <w:bottom w:val="single" w:sz="4" w:space="0" w:color="auto"/>
              <w:right w:val="single" w:sz="4" w:space="0" w:color="auto"/>
            </w:tcBorders>
            <w:noWrap/>
            <w:vAlign w:val="center"/>
            <w:hideMark/>
          </w:tcPr>
          <w:p w14:paraId="2F3B2662"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G6/G7</w:t>
            </w:r>
          </w:p>
        </w:tc>
        <w:tc>
          <w:tcPr>
            <w:tcW w:w="1597" w:type="dxa"/>
            <w:tcBorders>
              <w:top w:val="nil"/>
              <w:left w:val="nil"/>
              <w:bottom w:val="single" w:sz="4" w:space="0" w:color="auto"/>
              <w:right w:val="single" w:sz="4" w:space="0" w:color="auto"/>
            </w:tcBorders>
            <w:noWrap/>
            <w:vAlign w:val="bottom"/>
            <w:hideMark/>
          </w:tcPr>
          <w:p w14:paraId="0B3C45B0" w14:textId="705D5B5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hAnsi="Arial Narrow" w:cs="Arial"/>
                <w:color w:val="000000"/>
                <w:lang w:val="es-ES" w:eastAsia="es-CO"/>
              </w:rPr>
              <w:t>100/61</w:t>
            </w:r>
          </w:p>
        </w:tc>
      </w:tr>
      <w:tr w:rsidR="00B93F48" w:rsidRPr="007C14BA" w14:paraId="2F7EC680" w14:textId="77777777" w:rsidTr="00B211E6">
        <w:trPr>
          <w:trHeight w:val="300"/>
          <w:jc w:val="center"/>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0FE29983"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G6/G8</w:t>
            </w:r>
          </w:p>
        </w:tc>
        <w:tc>
          <w:tcPr>
            <w:tcW w:w="1597" w:type="dxa"/>
            <w:tcBorders>
              <w:top w:val="single" w:sz="4" w:space="0" w:color="auto"/>
              <w:left w:val="nil"/>
              <w:bottom w:val="single" w:sz="4" w:space="0" w:color="auto"/>
              <w:right w:val="single" w:sz="4" w:space="0" w:color="auto"/>
            </w:tcBorders>
            <w:noWrap/>
            <w:vAlign w:val="bottom"/>
            <w:hideMark/>
          </w:tcPr>
          <w:p w14:paraId="0327F8C1" w14:textId="4885F8F7" w:rsidR="00B93F48" w:rsidRPr="007C14BA" w:rsidRDefault="00B93F48" w:rsidP="00B211E6">
            <w:pPr>
              <w:spacing w:line="256" w:lineRule="auto"/>
              <w:jc w:val="center"/>
              <w:rPr>
                <w:rFonts w:ascii="Arial Narrow" w:hAnsi="Arial Narrow" w:cs="Arial"/>
                <w:color w:val="000000"/>
                <w:lang w:val="es-ES" w:eastAsia="es-CO"/>
              </w:rPr>
            </w:pPr>
            <w:r w:rsidRPr="007C14BA">
              <w:rPr>
                <w:rFonts w:ascii="Arial Narrow" w:hAnsi="Arial Narrow" w:cs="Arial"/>
                <w:color w:val="000000"/>
                <w:lang w:val="es-ES" w:eastAsia="es-CO"/>
              </w:rPr>
              <w:t>100/55</w:t>
            </w:r>
          </w:p>
        </w:tc>
      </w:tr>
      <w:tr w:rsidR="00B93F48" w:rsidRPr="007C14BA" w14:paraId="3C4E9A33" w14:textId="77777777" w:rsidTr="00B211E6">
        <w:trPr>
          <w:trHeight w:val="300"/>
          <w:jc w:val="center"/>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2D91F3CC" w14:textId="77777777" w:rsidR="00B93F48" w:rsidRPr="007C14BA" w:rsidRDefault="00B93F48" w:rsidP="00B211E6">
            <w:pPr>
              <w:spacing w:line="256" w:lineRule="auto"/>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G7/G8</w:t>
            </w:r>
          </w:p>
        </w:tc>
        <w:tc>
          <w:tcPr>
            <w:tcW w:w="1597" w:type="dxa"/>
            <w:tcBorders>
              <w:top w:val="single" w:sz="4" w:space="0" w:color="auto"/>
              <w:left w:val="nil"/>
              <w:bottom w:val="single" w:sz="4" w:space="0" w:color="auto"/>
              <w:right w:val="single" w:sz="4" w:space="0" w:color="auto"/>
            </w:tcBorders>
            <w:noWrap/>
            <w:vAlign w:val="bottom"/>
            <w:hideMark/>
          </w:tcPr>
          <w:p w14:paraId="534294AD" w14:textId="56ACE5FC" w:rsidR="00B93F48" w:rsidRPr="007C14BA" w:rsidRDefault="00B93F48" w:rsidP="00B211E6">
            <w:pPr>
              <w:spacing w:line="256" w:lineRule="auto"/>
              <w:jc w:val="center"/>
              <w:rPr>
                <w:rFonts w:ascii="Arial Narrow" w:hAnsi="Arial Narrow" w:cs="Arial"/>
                <w:color w:val="000000"/>
                <w:lang w:val="es-ES" w:eastAsia="es-CO"/>
              </w:rPr>
            </w:pPr>
            <w:r w:rsidRPr="007C14BA">
              <w:rPr>
                <w:rFonts w:ascii="Arial Narrow" w:hAnsi="Arial Narrow" w:cs="Arial"/>
                <w:color w:val="000000"/>
                <w:lang w:val="es-ES" w:eastAsia="es-CO"/>
              </w:rPr>
              <w:t>100/71</w:t>
            </w:r>
          </w:p>
        </w:tc>
      </w:tr>
    </w:tbl>
    <w:p w14:paraId="2E7E58D7" w14:textId="77777777" w:rsidR="00B93F48" w:rsidRPr="007C14BA" w:rsidRDefault="00B93F48" w:rsidP="00B93F48">
      <w:pPr>
        <w:rPr>
          <w:rFonts w:ascii="Arial Narrow" w:eastAsia="Calibri" w:hAnsi="Arial Narrow"/>
          <w:color w:val="000000" w:themeColor="text1"/>
          <w:lang w:eastAsia="es-ES"/>
        </w:rPr>
      </w:pPr>
    </w:p>
    <w:p w14:paraId="4FD29A71" w14:textId="5E3BB393" w:rsidR="007968EC" w:rsidRDefault="00B93F48" w:rsidP="00B93F48">
      <w:pPr>
        <w:jc w:val="both"/>
        <w:rPr>
          <w:rFonts w:ascii="Arial Narrow" w:eastAsia="Calibri" w:hAnsi="Arial Narrow"/>
          <w:color w:val="000000" w:themeColor="text1"/>
        </w:rPr>
      </w:pPr>
      <w:r w:rsidRPr="007C14BA">
        <w:rPr>
          <w:rFonts w:ascii="Arial Narrow" w:eastAsia="Calibri" w:hAnsi="Arial Narrow"/>
          <w:b/>
          <w:color w:val="000000" w:themeColor="text1"/>
        </w:rPr>
        <w:t xml:space="preserve">Parágrafo. </w:t>
      </w:r>
      <w:r w:rsidRPr="007C14BA">
        <w:rPr>
          <w:rFonts w:ascii="Arial Narrow" w:eastAsia="Calibri" w:hAnsi="Arial Narrow"/>
          <w:color w:val="000000" w:themeColor="text1"/>
        </w:rPr>
        <w:t>Los Parámetros para el cálculo de la Garantía por Posición para los Contratos pertenecientes al Segmento de Renta Fija se modificarán con base en el Documento Técnico del Modelo de Riesgo de la Cámara, una vez se constituyan las aportaciones al Fondo de Garantía Colectiva de conformidad con lo establecido en la presente Circular.</w:t>
      </w:r>
    </w:p>
    <w:p w14:paraId="3364F369" w14:textId="77777777" w:rsidR="00B93F48" w:rsidRPr="002C0D19" w:rsidRDefault="00B93F48" w:rsidP="00B93F48">
      <w:pPr>
        <w:jc w:val="both"/>
        <w:rPr>
          <w:rFonts w:ascii="Arial Narrow" w:eastAsia="Calibri" w:hAnsi="Arial Narrow" w:cs="Arial"/>
          <w:color w:val="000000" w:themeColor="text1"/>
          <w:lang w:eastAsia="es-ES"/>
        </w:rPr>
      </w:pPr>
    </w:p>
    <w:p w14:paraId="5D7BC860" w14:textId="77777777" w:rsidR="007968EC" w:rsidRDefault="007968EC" w:rsidP="007968EC">
      <w:pPr>
        <w:pStyle w:val="ARTICULO0"/>
        <w:rPr>
          <w:lang w:val="es-ES"/>
        </w:rPr>
      </w:pPr>
      <w:bookmarkStart w:id="5864" w:name="_Toc31716305"/>
      <w:bookmarkStart w:id="5865" w:name="_Toc479057279"/>
      <w:r w:rsidRPr="002C0D19">
        <w:rPr>
          <w:lang w:val="es-ES"/>
        </w:rPr>
        <w:t>Artículo 3.5.3.2. Procedimiento de cálculo de la Garantía Extraordinaria por volatilidad de precios Segmento Renta Fija.</w:t>
      </w:r>
      <w:bookmarkEnd w:id="5864"/>
      <w:r w:rsidRPr="002C0D19">
        <w:rPr>
          <w:lang w:val="es-ES"/>
        </w:rPr>
        <w:t xml:space="preserve"> </w:t>
      </w:r>
    </w:p>
    <w:p w14:paraId="70C2F738" w14:textId="77777777" w:rsidR="007968EC" w:rsidRDefault="007968EC" w:rsidP="007968EC">
      <w:pPr>
        <w:jc w:val="both"/>
        <w:rPr>
          <w:rFonts w:ascii="Arial Narrow" w:hAnsi="Arial Narrow" w:cs="Arial"/>
          <w:b/>
          <w:color w:val="000000" w:themeColor="text1"/>
          <w:lang w:val="es-ES" w:eastAsia="es-ES"/>
        </w:rPr>
      </w:pPr>
    </w:p>
    <w:p w14:paraId="02931237" w14:textId="77777777" w:rsidR="007968EC" w:rsidRPr="002C0D19" w:rsidRDefault="007968EC" w:rsidP="007968EC">
      <w:pPr>
        <w:pStyle w:val="ANTECEDENTES"/>
      </w:pPr>
      <w:r w:rsidRPr="002C0D19">
        <w:t>(Este artículo fue adicionado mediante Circular 8 del 31 de marzo de 2017, publicada en el Boletín Normativo No. 008 del 31 de marzo de 2017. Rige a partir del 3 de abril de 2017).</w:t>
      </w:r>
      <w:bookmarkEnd w:id="5865"/>
    </w:p>
    <w:p w14:paraId="5F2E66A0" w14:textId="77777777" w:rsidR="007968EC" w:rsidRPr="002C0D19" w:rsidRDefault="007968EC" w:rsidP="007968EC">
      <w:pPr>
        <w:rPr>
          <w:rFonts w:ascii="Arial Narrow" w:eastAsia="Calibri" w:hAnsi="Arial Narrow"/>
          <w:color w:val="000000" w:themeColor="text1"/>
          <w:lang w:val="es-ES" w:eastAsia="es-ES"/>
        </w:rPr>
      </w:pPr>
    </w:p>
    <w:p w14:paraId="1223ED22" w14:textId="77777777" w:rsidR="007968EC" w:rsidRPr="002C0D19" w:rsidRDefault="007968EC" w:rsidP="007968EC">
      <w:pPr>
        <w:jc w:val="both"/>
        <w:rPr>
          <w:rFonts w:ascii="Arial Narrow" w:hAnsi="Arial Narrow" w:cs="Arial"/>
          <w:bCs/>
          <w:color w:val="000000" w:themeColor="text1"/>
          <w:lang w:eastAsia="es-CO"/>
        </w:rPr>
      </w:pPr>
      <w:r w:rsidRPr="002C0D19">
        <w:rPr>
          <w:rFonts w:ascii="Arial Narrow" w:hAnsi="Arial Narrow" w:cs="Arial"/>
          <w:bCs/>
          <w:color w:val="000000" w:themeColor="text1"/>
          <w:lang w:eastAsia="es-CO"/>
        </w:rPr>
        <w:t xml:space="preserve">De conformidad con lo establecido </w:t>
      </w:r>
      <w:r w:rsidRPr="002C0D19">
        <w:rPr>
          <w:rFonts w:ascii="Arial Narrow" w:hAnsi="Arial Narrow" w:cs="Arial"/>
          <w:color w:val="000000" w:themeColor="text1"/>
          <w:lang w:eastAsia="es-ES"/>
        </w:rPr>
        <w:t>Artículo 1.6.2.7. Procedimiento de cálculo de la Garantía Extraordinaria,</w:t>
      </w:r>
      <w:r w:rsidRPr="002C0D19">
        <w:rPr>
          <w:rFonts w:ascii="Arial Narrow" w:hAnsi="Arial Narrow" w:cs="Arial"/>
          <w:bCs/>
          <w:color w:val="000000" w:themeColor="text1"/>
          <w:lang w:eastAsia="es-CO"/>
        </w:rPr>
        <w:t xml:space="preserve"> la metodología para el </w:t>
      </w:r>
      <w:r w:rsidRPr="002C0D19">
        <w:rPr>
          <w:rFonts w:ascii="Arial Narrow" w:hAnsi="Arial Narrow" w:cs="Arial"/>
          <w:color w:val="000000" w:themeColor="text1"/>
          <w:lang w:val="es-ES" w:eastAsia="es-ES"/>
        </w:rPr>
        <w:t>procedimiento de Margin Call para el Segmento Renta Fija</w:t>
      </w:r>
      <w:r w:rsidRPr="002C0D19">
        <w:rPr>
          <w:rFonts w:ascii="Arial Narrow" w:hAnsi="Arial Narrow" w:cs="Arial"/>
          <w:bCs/>
          <w:color w:val="000000" w:themeColor="text1"/>
          <w:lang w:eastAsia="es-CO"/>
        </w:rPr>
        <w:t xml:space="preserve"> será la siguiente:</w:t>
      </w:r>
    </w:p>
    <w:p w14:paraId="074CF624" w14:textId="77777777" w:rsidR="007968EC" w:rsidRPr="002C0D19" w:rsidRDefault="007968EC" w:rsidP="007968EC">
      <w:pPr>
        <w:rPr>
          <w:rFonts w:ascii="Arial Narrow" w:eastAsia="Calibri" w:hAnsi="Arial Narrow"/>
          <w:color w:val="000000" w:themeColor="text1"/>
          <w:lang w:val="es-ES" w:eastAsia="es-ES"/>
        </w:rPr>
      </w:pPr>
    </w:p>
    <w:p w14:paraId="2E8B6CD1" w14:textId="77777777" w:rsidR="007968EC" w:rsidRPr="002C0D19" w:rsidRDefault="007968EC" w:rsidP="00DA7472">
      <w:pPr>
        <w:numPr>
          <w:ilvl w:val="3"/>
          <w:numId w:val="260"/>
        </w:numPr>
        <w:tabs>
          <w:tab w:val="left" w:pos="426"/>
        </w:tabs>
        <w:ind w:left="426" w:hanging="426"/>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Durante el Intradía, la Cámara verifica la volatilidad de los precios del contado de los activos objeto de una Operación y activará el procedimiento de Margin Call en el siguiente caso:</w:t>
      </w:r>
    </w:p>
    <w:p w14:paraId="35DA4812" w14:textId="77777777" w:rsidR="007968EC" w:rsidRPr="002C0D19" w:rsidRDefault="007968EC" w:rsidP="007968EC">
      <w:pPr>
        <w:rPr>
          <w:rFonts w:ascii="Arial Narrow" w:eastAsia="Calibri" w:hAnsi="Arial Narrow"/>
          <w:color w:val="000000" w:themeColor="text1"/>
          <w:lang w:val="es-ES" w:eastAsia="es-ES"/>
        </w:rPr>
      </w:pPr>
    </w:p>
    <w:p w14:paraId="120BB295" w14:textId="77777777" w:rsidR="007968EC" w:rsidRPr="002C0D19" w:rsidRDefault="007968EC" w:rsidP="00DA7472">
      <w:pPr>
        <w:numPr>
          <w:ilvl w:val="1"/>
          <w:numId w:val="73"/>
        </w:numPr>
        <w:ind w:left="851" w:hanging="425"/>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Variación del Precio Margin Call hipotético calculado para cada activo objeto de una Operación: Cuando el precio del contado un activo objeto de una Operación supera el parámetro de Fluctuación para llamados a Garantías Extraordinarias, la Cámara procede a calcular un Precio Margin Call Hipotético para cada Activo. El Cálculo de Precio Margin Hipotético se basa en el siguiente procedimiento:</w:t>
      </w:r>
    </w:p>
    <w:p w14:paraId="65CEC203" w14:textId="77777777" w:rsidR="007968EC" w:rsidRPr="002C0D19" w:rsidRDefault="007968EC" w:rsidP="007968EC">
      <w:pPr>
        <w:ind w:left="567"/>
        <w:jc w:val="both"/>
        <w:rPr>
          <w:rFonts w:ascii="Arial Narrow" w:hAnsi="Arial Narrow" w:cs="Arial"/>
          <w:color w:val="000000" w:themeColor="text1"/>
          <w:lang w:eastAsia="es-CO"/>
        </w:rPr>
      </w:pPr>
    </w:p>
    <w:p w14:paraId="47F5DCA8" w14:textId="77777777" w:rsidR="007968EC" w:rsidRPr="002C0D19" w:rsidRDefault="007968EC" w:rsidP="00DA7472">
      <w:pPr>
        <w:numPr>
          <w:ilvl w:val="0"/>
          <w:numId w:val="261"/>
        </w:numPr>
        <w:ind w:left="1276"/>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Se establece si la variación del precio del contado supera el parámetro de "Fluctuación para llamados a Garantías Extraordinarias” del activo objeto de una Operación de acuerdo a la siguiente desigualdad:</w:t>
      </w:r>
    </w:p>
    <w:p w14:paraId="3E1F04A1" w14:textId="77777777" w:rsidR="007968EC" w:rsidRPr="002C0D19" w:rsidRDefault="007968EC" w:rsidP="007968EC">
      <w:pPr>
        <w:ind w:left="567"/>
        <w:jc w:val="center"/>
        <w:rPr>
          <w:rFonts w:ascii="Arial Narrow" w:hAnsi="Arial Narrow" w:cs="Arial"/>
          <w:color w:val="000000" w:themeColor="text1"/>
          <w:lang w:eastAsia="es-CO"/>
        </w:rPr>
      </w:pPr>
      <m:oMathPara>
        <m:oMath>
          <m:r>
            <m:rPr>
              <m:sty m:val="b"/>
            </m:rPr>
            <w:rPr>
              <w:rFonts w:ascii="Cambria Math" w:hAnsi="Cambria Math" w:cs="Arial"/>
              <w:color w:val="000000" w:themeColor="text1"/>
              <w:lang w:eastAsia="es-CO"/>
            </w:rPr>
            <m:t>-</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FGE</m:t>
              </m:r>
            </m:e>
            <m:sub>
              <m:r>
                <m:rPr>
                  <m:sty m:val="bi"/>
                </m:rPr>
                <w:rPr>
                  <w:rFonts w:ascii="Cambria Math" w:hAnsi="Cambria Math" w:cs="Arial"/>
                  <w:color w:val="000000" w:themeColor="text1"/>
                  <w:lang w:eastAsia="es-CO"/>
                </w:rPr>
                <m:t>i</m:t>
              </m:r>
            </m:sub>
          </m:sSub>
          <m:r>
            <m:rPr>
              <m:sty m:val="b"/>
            </m:rPr>
            <w:rPr>
              <w:rFonts w:ascii="Cambria Math" w:hAnsi="Cambria Math" w:cs="Arial"/>
              <w:color w:val="000000" w:themeColor="text1"/>
              <w:lang w:eastAsia="es-CO"/>
            </w:rPr>
            <m:t>≥</m:t>
          </m:r>
          <m:f>
            <m:fPr>
              <m:ctrlPr>
                <w:rPr>
                  <w:rFonts w:ascii="Cambria Math" w:hAnsi="Cambria Math" w:cs="Arial"/>
                  <w:color w:val="000000" w:themeColor="text1"/>
                  <w:lang w:eastAsia="es-CO"/>
                </w:rPr>
              </m:ctrlPr>
            </m:fPr>
            <m:num>
              <m:r>
                <m:rPr>
                  <m:sty m:val="b"/>
                </m:rPr>
                <w:rPr>
                  <w:rFonts w:ascii="Cambria Math" w:hAnsi="Cambria Math" w:cs="Arial"/>
                  <w:color w:val="000000" w:themeColor="text1"/>
                  <w:lang w:eastAsia="es-CO"/>
                </w:rPr>
                <m:t>UP</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C</m:t>
                  </m:r>
                </m:e>
                <m:sub>
                  <m:sSub>
                    <m:sSubPr>
                      <m:ctrlPr>
                        <w:rPr>
                          <w:rFonts w:ascii="Cambria Math" w:hAnsi="Cambria Math" w:cs="Arial"/>
                          <w:color w:val="000000" w:themeColor="text1"/>
                          <w:lang w:eastAsia="es-CO"/>
                        </w:rPr>
                      </m:ctrlPr>
                    </m:sSubPr>
                    <m:e>
                      <m:r>
                        <m:rPr>
                          <m:sty m:val="bi"/>
                        </m:rPr>
                        <w:rPr>
                          <w:rFonts w:ascii="Cambria Math" w:hAnsi="Cambria Math" w:cs="Arial"/>
                          <w:color w:val="000000" w:themeColor="text1"/>
                          <w:lang w:eastAsia="es-CO"/>
                        </w:rPr>
                        <m:t>Y</m:t>
                      </m:r>
                    </m:e>
                    <m:sub>
                      <m:r>
                        <m:rPr>
                          <m:sty m:val="bi"/>
                        </m:rPr>
                        <w:rPr>
                          <w:rFonts w:ascii="Cambria Math" w:hAnsi="Cambria Math" w:cs="Arial"/>
                          <w:color w:val="000000" w:themeColor="text1"/>
                          <w:lang w:eastAsia="es-CO"/>
                        </w:rPr>
                        <m:t>i</m:t>
                      </m:r>
                    </m:sub>
                  </m:sSub>
                </m:sub>
              </m:sSub>
            </m:num>
            <m:den>
              <m:r>
                <m:rPr>
                  <m:sty m:val="b"/>
                </m:rPr>
                <w:rPr>
                  <w:rFonts w:ascii="Cambria Math" w:hAnsi="Cambria Math" w:cs="Arial"/>
                  <w:color w:val="000000" w:themeColor="text1"/>
                  <w:lang w:eastAsia="es-CO"/>
                </w:rPr>
                <m:t>PC</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C</m:t>
                  </m:r>
                </m:e>
                <m:sub>
                  <m:sSub>
                    <m:sSubPr>
                      <m:ctrlPr>
                        <w:rPr>
                          <w:rFonts w:ascii="Cambria Math" w:hAnsi="Cambria Math" w:cs="Arial"/>
                          <w:i/>
                          <w:color w:val="000000" w:themeColor="text1"/>
                          <w:lang w:eastAsia="es-CO"/>
                        </w:rPr>
                      </m:ctrlPr>
                    </m:sSubPr>
                    <m:e>
                      <m:r>
                        <m:rPr>
                          <m:sty m:val="bi"/>
                        </m:rPr>
                        <w:rPr>
                          <w:rFonts w:ascii="Cambria Math" w:hAnsi="Cambria Math" w:cs="Arial"/>
                          <w:color w:val="000000" w:themeColor="text1"/>
                          <w:lang w:eastAsia="es-CO"/>
                        </w:rPr>
                        <m:t>Y</m:t>
                      </m:r>
                    </m:e>
                    <m:sub>
                      <m:r>
                        <m:rPr>
                          <m:sty m:val="bi"/>
                        </m:rPr>
                        <w:rPr>
                          <w:rFonts w:ascii="Cambria Math" w:hAnsi="Cambria Math" w:cs="Arial"/>
                          <w:color w:val="000000" w:themeColor="text1"/>
                          <w:lang w:eastAsia="es-CO"/>
                        </w:rPr>
                        <m:t>i</m:t>
                      </m:r>
                    </m:sub>
                  </m:sSub>
                </m:sub>
              </m:sSub>
            </m:den>
          </m:f>
          <m:r>
            <m:rPr>
              <m:sty m:val="b"/>
            </m:rPr>
            <w:rPr>
              <w:rFonts w:ascii="Cambria Math" w:hAnsi="Cambria Math" w:cs="Arial"/>
              <w:color w:val="000000" w:themeColor="text1"/>
              <w:lang w:eastAsia="es-CO"/>
            </w:rPr>
            <m:t>-1≥</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FGE</m:t>
              </m:r>
            </m:e>
            <m:sub>
              <m:r>
                <m:rPr>
                  <m:sty m:val="bi"/>
                </m:rPr>
                <w:rPr>
                  <w:rFonts w:ascii="Cambria Math" w:hAnsi="Cambria Math" w:cs="Arial"/>
                  <w:color w:val="000000" w:themeColor="text1"/>
                  <w:lang w:eastAsia="es-CO"/>
                </w:rPr>
                <m:t>i</m:t>
              </m:r>
            </m:sub>
          </m:sSub>
        </m:oMath>
      </m:oMathPara>
    </w:p>
    <w:p w14:paraId="47016809" w14:textId="77777777" w:rsidR="007968EC" w:rsidRPr="002C0D19" w:rsidRDefault="007968EC" w:rsidP="007968EC">
      <w:pPr>
        <w:tabs>
          <w:tab w:val="left" w:pos="1276"/>
        </w:tabs>
        <w:ind w:left="1276"/>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Donde: </w:t>
      </w:r>
    </w:p>
    <w:p w14:paraId="1C00E90E" w14:textId="77777777" w:rsidR="007968EC" w:rsidRPr="002C0D19" w:rsidRDefault="00682D97" w:rsidP="007968EC">
      <w:pPr>
        <w:tabs>
          <w:tab w:val="left" w:pos="1276"/>
        </w:tabs>
        <w:ind w:left="1276"/>
        <w:jc w:val="both"/>
        <w:rPr>
          <w:rFonts w:ascii="Arial Narrow" w:hAnsi="Arial Narrow" w:cs="Arial"/>
          <w:color w:val="000000" w:themeColor="text1"/>
          <w:lang w:eastAsia="es-CO"/>
        </w:rPr>
      </w:pP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Y</m:t>
            </m:r>
          </m:e>
          <m:sub>
            <m:r>
              <m:rPr>
                <m:sty m:val="bi"/>
              </m:rPr>
              <w:rPr>
                <w:rFonts w:ascii="Cambria Math" w:hAnsi="Cambria Math" w:cs="Arial"/>
                <w:color w:val="000000" w:themeColor="text1"/>
                <w:lang w:eastAsia="es-CO"/>
              </w:rPr>
              <m:t>i</m:t>
            </m:r>
          </m:sub>
        </m:sSub>
        <m:r>
          <m:rPr>
            <m:sty m:val="b"/>
          </m:rPr>
          <w:rPr>
            <w:rFonts w:ascii="Cambria Math" w:hAnsi="Cambria Math" w:cs="Arial"/>
            <w:color w:val="000000" w:themeColor="text1"/>
            <w:lang w:eastAsia="es-CO"/>
          </w:rPr>
          <m:t xml:space="preserve">: </m:t>
        </m:r>
      </m:oMath>
      <w:r w:rsidR="007968EC" w:rsidRPr="002C0D19">
        <w:rPr>
          <w:rFonts w:ascii="Arial Narrow" w:hAnsi="Arial Narrow" w:cs="Arial"/>
          <w:color w:val="000000" w:themeColor="text1"/>
          <w:lang w:eastAsia="es-CO"/>
        </w:rPr>
        <w:t xml:space="preserve">Es cualquier contado del Activo i objeto de una Operación compensada o liquidada por la Cámara. </w:t>
      </w:r>
    </w:p>
    <w:p w14:paraId="69F97202" w14:textId="77777777" w:rsidR="007968EC" w:rsidRPr="002C0D19" w:rsidRDefault="007968EC" w:rsidP="007968EC">
      <w:pPr>
        <w:tabs>
          <w:tab w:val="left" w:pos="1276"/>
        </w:tabs>
        <w:ind w:left="1276"/>
        <w:jc w:val="both"/>
        <w:rPr>
          <w:rFonts w:ascii="Arial Narrow" w:hAnsi="Arial Narrow" w:cs="Arial"/>
          <w:color w:val="000000" w:themeColor="text1"/>
          <w:lang w:eastAsia="es-CO"/>
        </w:rPr>
      </w:pPr>
      <m:oMath>
        <m:r>
          <m:rPr>
            <m:sty m:val="b"/>
          </m:rPr>
          <w:rPr>
            <w:rFonts w:ascii="Cambria Math" w:hAnsi="Cambria Math" w:cs="Arial"/>
            <w:color w:val="000000" w:themeColor="text1"/>
            <w:lang w:eastAsia="es-CO"/>
          </w:rPr>
          <m:t>i</m:t>
        </m:r>
      </m:oMath>
      <w:r w:rsidRPr="002C0D19">
        <w:rPr>
          <w:rFonts w:ascii="Arial Narrow" w:hAnsi="Arial Narrow" w:cs="Arial"/>
          <w:color w:val="000000" w:themeColor="text1"/>
          <w:lang w:eastAsia="es-CO"/>
        </w:rPr>
        <w:t>: Es cualquier Activo objeto de una Operación compensada o liquidada por la Cámara.</w:t>
      </w:r>
    </w:p>
    <w:p w14:paraId="2197B236" w14:textId="77777777" w:rsidR="007968EC" w:rsidRPr="002C0D19" w:rsidRDefault="007968EC" w:rsidP="007968EC">
      <w:pPr>
        <w:tabs>
          <w:tab w:val="left" w:pos="1276"/>
        </w:tabs>
        <w:ind w:left="1276"/>
        <w:jc w:val="both"/>
        <w:rPr>
          <w:rFonts w:ascii="Arial Narrow" w:hAnsi="Arial Narrow" w:cs="Arial"/>
          <w:color w:val="000000" w:themeColor="text1"/>
          <w:lang w:eastAsia="es-CO"/>
        </w:rPr>
      </w:pPr>
      <m:oMath>
        <m:r>
          <m:rPr>
            <m:sty m:val="b"/>
          </m:rPr>
          <w:rPr>
            <w:rFonts w:ascii="Cambria Math" w:hAnsi="Cambria Math" w:cs="Arial"/>
            <w:color w:val="000000" w:themeColor="text1"/>
            <w:lang w:eastAsia="es-CO"/>
          </w:rPr>
          <m:t>FG</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E</m:t>
            </m:r>
          </m:e>
          <m:sub>
            <m:r>
              <m:rPr>
                <m:sty m:val="bi"/>
              </m:rPr>
              <w:rPr>
                <w:rFonts w:ascii="Cambria Math" w:hAnsi="Cambria Math" w:cs="Arial"/>
                <w:color w:val="000000" w:themeColor="text1"/>
                <w:lang w:eastAsia="es-CO"/>
              </w:rPr>
              <m:t>i</m:t>
            </m:r>
          </m:sub>
        </m:sSub>
      </m:oMath>
      <w:r w:rsidRPr="002C0D19">
        <w:rPr>
          <w:rFonts w:ascii="Arial Narrow" w:hAnsi="Arial Narrow" w:cs="Arial"/>
          <w:color w:val="000000" w:themeColor="text1"/>
          <w:lang w:eastAsia="es-CO"/>
        </w:rPr>
        <w:t>: Parámetro de Fluctuación para llamados a Garantías Extraordinarias establecido para un Activo i objeto de una Operación compensada o liquidada por la Cámara.</w:t>
      </w:r>
    </w:p>
    <w:p w14:paraId="539C8248" w14:textId="77777777" w:rsidR="007968EC" w:rsidRPr="002C0D19" w:rsidRDefault="007968EC" w:rsidP="007968EC">
      <w:pPr>
        <w:tabs>
          <w:tab w:val="left" w:pos="1276"/>
        </w:tabs>
        <w:ind w:left="1276"/>
        <w:jc w:val="both"/>
        <w:rPr>
          <w:rFonts w:ascii="Arial Narrow" w:hAnsi="Arial Narrow" w:cs="Arial"/>
          <w:color w:val="000000" w:themeColor="text1"/>
          <w:lang w:eastAsia="es-CO"/>
        </w:rPr>
      </w:pPr>
      <m:oMath>
        <m:r>
          <m:rPr>
            <m:sty m:val="b"/>
          </m:rPr>
          <w:rPr>
            <w:rFonts w:ascii="Cambria Math" w:hAnsi="Cambria Math" w:cs="Arial"/>
            <w:color w:val="000000" w:themeColor="text1"/>
            <w:lang w:eastAsia="es-CO"/>
          </w:rPr>
          <m:t>UPC</m:t>
        </m:r>
      </m:oMath>
      <w:r w:rsidRPr="002C0D19">
        <w:rPr>
          <w:rFonts w:ascii="Arial Narrow" w:hAnsi="Arial Narrow" w:cs="Arial"/>
          <w:color w:val="000000" w:themeColor="text1"/>
          <w:lang w:eastAsia="es-CO"/>
        </w:rPr>
        <w:t>: Último precio del contado de un activo objeto de una Operación tomado de Bloomberg.</w:t>
      </w:r>
    </w:p>
    <w:p w14:paraId="363ED4A1" w14:textId="77777777" w:rsidR="007968EC" w:rsidRPr="002C0D19" w:rsidRDefault="007968EC" w:rsidP="007968EC">
      <w:pPr>
        <w:tabs>
          <w:tab w:val="left" w:pos="1276"/>
        </w:tabs>
        <w:ind w:left="1276"/>
        <w:jc w:val="both"/>
        <w:rPr>
          <w:rFonts w:ascii="Arial Narrow" w:hAnsi="Arial Narrow" w:cs="Arial"/>
          <w:color w:val="000000" w:themeColor="text1"/>
          <w:lang w:eastAsia="es-CO"/>
        </w:rPr>
      </w:pPr>
      <m:oMath>
        <m:r>
          <m:rPr>
            <m:sty m:val="b"/>
          </m:rPr>
          <w:rPr>
            <w:rFonts w:ascii="Cambria Math" w:hAnsi="Cambria Math" w:cs="Arial"/>
            <w:color w:val="000000" w:themeColor="text1"/>
            <w:lang w:eastAsia="es-CO"/>
          </w:rPr>
          <m:t>PC</m:t>
        </m:r>
        <m:sSub>
          <m:sSubPr>
            <m:ctrlPr>
              <w:rPr>
                <w:rFonts w:ascii="Cambria Math" w:hAnsi="Cambria Math" w:cs="Arial"/>
                <w:i/>
                <w:color w:val="000000" w:themeColor="text1"/>
                <w:lang w:eastAsia="es-CO"/>
              </w:rPr>
            </m:ctrlPr>
          </m:sSubPr>
          <m:e>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C</m:t>
                </m:r>
              </m:e>
              <m:sub>
                <m:r>
                  <m:rPr>
                    <m:sty m:val="bi"/>
                  </m:rPr>
                  <w:rPr>
                    <w:rFonts w:ascii="Cambria Math" w:hAnsi="Cambria Math" w:cs="Arial"/>
                    <w:color w:val="000000" w:themeColor="text1"/>
                    <w:lang w:eastAsia="es-CO"/>
                  </w:rPr>
                  <m:t>Y</m:t>
                </m:r>
              </m:sub>
            </m:sSub>
          </m:e>
          <m:sub>
            <m:r>
              <m:rPr>
                <m:sty m:val="bi"/>
              </m:rPr>
              <w:rPr>
                <w:rFonts w:ascii="Cambria Math" w:hAnsi="Cambria Math" w:cs="Arial"/>
                <w:color w:val="000000" w:themeColor="text1"/>
                <w:lang w:eastAsia="es-CO"/>
              </w:rPr>
              <m:t>i</m:t>
            </m:r>
          </m:sub>
        </m:sSub>
      </m:oMath>
      <w:r w:rsidRPr="002C0D19">
        <w:rPr>
          <w:rFonts w:ascii="Arial Narrow" w:hAnsi="Arial Narrow" w:cs="Arial"/>
          <w:color w:val="000000" w:themeColor="text1"/>
          <w:lang w:eastAsia="es-CO"/>
        </w:rPr>
        <w:t>: Precio de cierre del contado de un activo i objeto de una Operación.</w:t>
      </w:r>
    </w:p>
    <w:p w14:paraId="2370017A" w14:textId="77777777" w:rsidR="007968EC" w:rsidRPr="002C0D19" w:rsidRDefault="007968EC" w:rsidP="007968EC">
      <w:pPr>
        <w:ind w:left="567"/>
        <w:jc w:val="both"/>
        <w:rPr>
          <w:rFonts w:ascii="Arial Narrow" w:hAnsi="Arial Narrow" w:cs="Arial"/>
          <w:color w:val="000000" w:themeColor="text1"/>
          <w:lang w:eastAsia="es-CO"/>
        </w:rPr>
      </w:pPr>
    </w:p>
    <w:p w14:paraId="1AF568C2" w14:textId="77777777" w:rsidR="007968EC" w:rsidRPr="002C0D19" w:rsidRDefault="007968EC" w:rsidP="00DA7472">
      <w:pPr>
        <w:numPr>
          <w:ilvl w:val="0"/>
          <w:numId w:val="261"/>
        </w:numPr>
        <w:ind w:left="1276"/>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Se calcula el Precio Margin Call hipotético para cada activo objeto de una Operación de acuerdo a la siguiente expresión:</w:t>
      </w:r>
    </w:p>
    <w:p w14:paraId="53C0A03C" w14:textId="77777777" w:rsidR="007968EC" w:rsidRPr="002C0D19" w:rsidRDefault="007968EC" w:rsidP="007968EC">
      <w:pPr>
        <w:ind w:left="2160"/>
        <w:jc w:val="both"/>
        <w:rPr>
          <w:rFonts w:ascii="Arial Narrow" w:hAnsi="Arial Narrow" w:cs="Arial"/>
          <w:color w:val="000000" w:themeColor="text1"/>
          <w:lang w:eastAsia="es-CO"/>
        </w:rPr>
      </w:pPr>
    </w:p>
    <w:p w14:paraId="1FCFFBC2" w14:textId="77777777" w:rsidR="007968EC" w:rsidRPr="002C0D19" w:rsidRDefault="007968EC" w:rsidP="007968EC">
      <w:pPr>
        <w:ind w:left="1276"/>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Se toma el último valor del contado del activo objeto de una Operación y se le adiciona el diferencial de precios resultante entre el último precio negociado y el precio de cierre (T-1) del contado para cada activo, de acuerdo a la siguiente expresión:</w:t>
      </w:r>
    </w:p>
    <w:p w14:paraId="08FA12C7" w14:textId="77777777" w:rsidR="007968EC" w:rsidRPr="002C0D19" w:rsidRDefault="007968EC" w:rsidP="007968EC">
      <w:pPr>
        <w:ind w:left="2160"/>
        <w:jc w:val="both"/>
        <w:rPr>
          <w:rFonts w:ascii="Arial Narrow" w:hAnsi="Arial Narrow" w:cs="Arial"/>
          <w:color w:val="000000" w:themeColor="text1"/>
          <w:lang w:eastAsia="es-CO"/>
        </w:rPr>
      </w:pPr>
    </w:p>
    <w:p w14:paraId="7CAF12D6" w14:textId="77777777" w:rsidR="007968EC" w:rsidRPr="002C0D19" w:rsidRDefault="007968EC" w:rsidP="007968EC">
      <w:pPr>
        <w:ind w:left="709"/>
        <w:jc w:val="center"/>
        <w:rPr>
          <w:rFonts w:ascii="Arial Narrow" w:hAnsi="Arial Narrow" w:cs="Arial"/>
          <w:color w:val="000000" w:themeColor="text1"/>
          <w:lang w:eastAsia="es-CO"/>
        </w:rPr>
      </w:pPr>
      <m:oMathPara>
        <m:oMath>
          <m:r>
            <m:rPr>
              <m:sty m:val="b"/>
            </m:rPr>
            <w:rPr>
              <w:rFonts w:ascii="Cambria Math" w:hAnsi="Cambria Math" w:cs="Arial"/>
              <w:color w:val="000000" w:themeColor="text1"/>
              <w:lang w:eastAsia="es-CO"/>
            </w:rPr>
            <m:t>PM</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C</m:t>
              </m:r>
            </m:e>
            <m:sub>
              <m:r>
                <m:rPr>
                  <m:sty m:val="bi"/>
                </m:rPr>
                <w:rPr>
                  <w:rFonts w:ascii="Cambria Math" w:hAnsi="Cambria Math" w:cs="Arial"/>
                  <w:color w:val="000000" w:themeColor="text1"/>
                  <w:lang w:eastAsia="es-CO"/>
                </w:rPr>
                <m:t>Y</m:t>
              </m:r>
            </m:sub>
          </m:sSub>
          <m:r>
            <m:rPr>
              <m:sty m:val="b"/>
            </m:rPr>
            <w:rPr>
              <w:rFonts w:ascii="Cambria Math" w:hAnsi="Cambria Math" w:cs="Arial"/>
              <w:color w:val="000000" w:themeColor="text1"/>
              <w:lang w:eastAsia="es-CO"/>
            </w:rPr>
            <m:t>= UP</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C</m:t>
              </m:r>
            </m:e>
            <m:sub>
              <m:r>
                <m:rPr>
                  <m:sty m:val="bi"/>
                </m:rPr>
                <w:rPr>
                  <w:rFonts w:ascii="Cambria Math" w:hAnsi="Cambria Math" w:cs="Arial"/>
                  <w:color w:val="000000" w:themeColor="text1"/>
                  <w:lang w:eastAsia="es-CO"/>
                </w:rPr>
                <m:t>y</m:t>
              </m:r>
            </m:sub>
          </m:sSub>
          <m:r>
            <m:rPr>
              <m:sty m:val="b"/>
            </m:rPr>
            <w:rPr>
              <w:rFonts w:ascii="Cambria Math" w:hAnsi="Cambria Math" w:cs="Arial"/>
              <w:color w:val="000000" w:themeColor="text1"/>
              <w:lang w:eastAsia="es-CO"/>
            </w:rPr>
            <m:t xml:space="preserve">+( </m:t>
          </m:r>
          <m:sSub>
            <m:sSubPr>
              <m:ctrlPr>
                <w:rPr>
                  <w:rFonts w:ascii="Cambria Math" w:hAnsi="Cambria Math" w:cs="Arial"/>
                  <w:color w:val="000000" w:themeColor="text1"/>
                  <w:lang w:eastAsia="es-CO"/>
                </w:rPr>
              </m:ctrlPr>
            </m:sSubPr>
            <m:e>
              <m:r>
                <m:rPr>
                  <m:sty m:val="b"/>
                </m:rPr>
                <w:rPr>
                  <w:rFonts w:ascii="Cambria Math" w:hAnsi="Cambria Math" w:cs="Cambria Math"/>
                  <w:color w:val="000000" w:themeColor="text1"/>
                  <w:lang w:eastAsia="es-CO"/>
                </w:rPr>
                <m:t>P</m:t>
              </m:r>
              <m:r>
                <m:rPr>
                  <m:sty m:val="b"/>
                </m:rPr>
                <w:rPr>
                  <w:rFonts w:ascii="Cambria Math" w:hAnsi="Cambria Math" w:cs="Arial"/>
                  <w:color w:val="000000" w:themeColor="text1"/>
                  <w:lang w:eastAsia="es-CO"/>
                </w:rPr>
                <m:t>LCy</m:t>
              </m:r>
            </m:e>
            <m:sub>
              <m:d>
                <m:dPr>
                  <m:ctrlPr>
                    <w:rPr>
                      <w:rFonts w:ascii="Cambria Math" w:hAnsi="Cambria Math" w:cs="Arial"/>
                      <w:color w:val="000000" w:themeColor="text1"/>
                      <w:lang w:eastAsia="es-CO"/>
                    </w:rPr>
                  </m:ctrlPr>
                </m:dPr>
                <m:e>
                  <m:r>
                    <m:rPr>
                      <m:sty m:val="b"/>
                    </m:rPr>
                    <w:rPr>
                      <w:rFonts w:ascii="Cambria Math" w:hAnsi="Cambria Math" w:cs="Arial"/>
                      <w:color w:val="000000" w:themeColor="text1"/>
                      <w:lang w:eastAsia="es-CO"/>
                    </w:rPr>
                    <m:t>t-1</m:t>
                  </m:r>
                </m:e>
              </m:d>
            </m:sub>
          </m:sSub>
          <m:r>
            <m:rPr>
              <m:sty m:val="b"/>
            </m:rPr>
            <w:rPr>
              <w:rFonts w:ascii="Cambria Math" w:hAnsi="Cambria Math" w:cs="Arial"/>
              <w:color w:val="000000" w:themeColor="text1"/>
              <w:lang w:eastAsia="es-CO"/>
            </w:rPr>
            <m:t>-PC</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C</m:t>
              </m:r>
            </m:e>
            <m:sub>
              <m:r>
                <m:rPr>
                  <m:sty m:val="bi"/>
                </m:rPr>
                <w:rPr>
                  <w:rFonts w:ascii="Cambria Math" w:hAnsi="Cambria Math" w:cs="Arial"/>
                  <w:color w:val="000000" w:themeColor="text1"/>
                  <w:lang w:eastAsia="es-CO"/>
                </w:rPr>
                <m:t>y</m:t>
              </m:r>
            </m:sub>
          </m:sSub>
          <m:r>
            <m:rPr>
              <m:sty m:val="bi"/>
            </m:rPr>
            <w:rPr>
              <w:rFonts w:ascii="Cambria Math" w:hAnsi="Cambria Math" w:cs="Arial"/>
              <w:color w:val="000000" w:themeColor="text1"/>
              <w:lang w:eastAsia="es-CO"/>
            </w:rPr>
            <m:t xml:space="preserve"> ) </m:t>
          </m:r>
        </m:oMath>
      </m:oMathPara>
    </w:p>
    <w:p w14:paraId="6372A4EF" w14:textId="77777777" w:rsidR="007968EC" w:rsidRPr="002C0D19" w:rsidRDefault="007968EC" w:rsidP="007968EC">
      <w:pPr>
        <w:ind w:left="709"/>
        <w:jc w:val="both"/>
        <w:rPr>
          <w:rFonts w:ascii="Arial Narrow" w:hAnsi="Arial Narrow" w:cs="Arial"/>
          <w:color w:val="000000" w:themeColor="text1"/>
          <w:lang w:eastAsia="es-CO"/>
        </w:rPr>
      </w:pPr>
    </w:p>
    <w:p w14:paraId="402E5524" w14:textId="77777777" w:rsidR="007968EC" w:rsidRPr="002C0D19" w:rsidRDefault="007968EC" w:rsidP="007968EC">
      <w:pPr>
        <w:ind w:left="1134"/>
        <w:jc w:val="both"/>
        <w:rPr>
          <w:rFonts w:ascii="Arial Narrow" w:hAnsi="Arial Narrow" w:cs="Arial"/>
          <w:color w:val="000000" w:themeColor="text1"/>
          <w:lang w:eastAsia="es-CO"/>
        </w:rPr>
      </w:pPr>
      <m:oMath>
        <m:r>
          <m:rPr>
            <m:sty m:val="b"/>
          </m:rPr>
          <w:rPr>
            <w:rFonts w:ascii="Cambria Math" w:hAnsi="Cambria Math" w:cs="Arial"/>
            <w:color w:val="000000" w:themeColor="text1"/>
            <w:lang w:eastAsia="es-CO"/>
          </w:rPr>
          <m:t xml:space="preserve">PMCy: </m:t>
        </m:r>
      </m:oMath>
      <w:r w:rsidRPr="002C0D19">
        <w:rPr>
          <w:rFonts w:ascii="Arial Narrow" w:hAnsi="Arial Narrow" w:cs="Arial"/>
          <w:color w:val="000000" w:themeColor="text1"/>
          <w:lang w:eastAsia="es-CO"/>
        </w:rPr>
        <w:t xml:space="preserve">Precio Margin Call hipotético de un activo </w:t>
      </w:r>
    </w:p>
    <w:p w14:paraId="4C852AA2" w14:textId="77777777" w:rsidR="007968EC" w:rsidRPr="002C0D19" w:rsidRDefault="007968EC" w:rsidP="007968EC">
      <w:pPr>
        <w:ind w:left="1134"/>
        <w:jc w:val="both"/>
        <w:rPr>
          <w:rFonts w:ascii="Arial Narrow" w:hAnsi="Arial Narrow" w:cs="Arial"/>
          <w:color w:val="000000" w:themeColor="text1"/>
          <w:lang w:eastAsia="es-CO"/>
        </w:rPr>
      </w:pPr>
      <m:oMath>
        <m:r>
          <m:rPr>
            <m:sty m:val="bi"/>
          </m:rPr>
          <w:rPr>
            <w:rFonts w:ascii="Cambria Math" w:hAnsi="Cambria Math" w:cs="Arial"/>
            <w:color w:val="000000" w:themeColor="text1"/>
            <w:lang w:eastAsia="es-CO"/>
          </w:rPr>
          <m:t>y</m:t>
        </m:r>
      </m:oMath>
      <w:r w:rsidRPr="002C0D19">
        <w:rPr>
          <w:rFonts w:ascii="Arial Narrow" w:hAnsi="Arial Narrow" w:cs="Arial"/>
          <w:color w:val="000000" w:themeColor="text1"/>
          <w:lang w:eastAsia="es-CO"/>
        </w:rPr>
        <w:t>: Es cualquier Activo objeto de una Operación compensada o liquidada por la Cámara.</w:t>
      </w:r>
    </w:p>
    <w:p w14:paraId="2BC1598D" w14:textId="77777777" w:rsidR="007968EC" w:rsidRPr="002C0D19" w:rsidRDefault="007968EC" w:rsidP="007968EC">
      <w:pPr>
        <w:ind w:left="1134"/>
        <w:jc w:val="both"/>
        <w:rPr>
          <w:rFonts w:ascii="Arial Narrow" w:hAnsi="Arial Narrow" w:cs="Arial"/>
          <w:color w:val="000000" w:themeColor="text1"/>
          <w:lang w:eastAsia="es-CO"/>
        </w:rPr>
      </w:pPr>
      <m:oMath>
        <m:r>
          <m:rPr>
            <m:sty m:val="b"/>
          </m:rPr>
          <w:rPr>
            <w:rFonts w:ascii="Cambria Math" w:hAnsi="Cambria Math" w:cs="Arial"/>
            <w:color w:val="000000" w:themeColor="text1"/>
            <w:lang w:eastAsia="es-CO"/>
          </w:rPr>
          <m:t>UP</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C</m:t>
            </m:r>
          </m:e>
          <m:sub>
            <m:r>
              <m:rPr>
                <m:sty m:val="bi"/>
              </m:rPr>
              <w:rPr>
                <w:rFonts w:ascii="Cambria Math" w:hAnsi="Cambria Math" w:cs="Arial"/>
                <w:color w:val="000000" w:themeColor="text1"/>
                <w:lang w:eastAsia="es-CO"/>
              </w:rPr>
              <m:t>y</m:t>
            </m:r>
          </m:sub>
        </m:sSub>
      </m:oMath>
      <w:r w:rsidRPr="002C0D19">
        <w:rPr>
          <w:rFonts w:ascii="Arial Narrow" w:hAnsi="Arial Narrow" w:cs="Arial"/>
          <w:color w:val="000000" w:themeColor="text1"/>
          <w:lang w:eastAsia="es-CO"/>
        </w:rPr>
        <w:t>: Último precio del contado de un activo objeto de una Operación tomado de Bloomberg.</w:t>
      </w:r>
    </w:p>
    <w:p w14:paraId="339541C0" w14:textId="77777777" w:rsidR="007968EC" w:rsidRPr="002C0D19" w:rsidRDefault="007968EC" w:rsidP="007968EC">
      <w:pPr>
        <w:ind w:left="1134"/>
        <w:jc w:val="both"/>
        <w:rPr>
          <w:rFonts w:ascii="Arial Narrow" w:hAnsi="Arial Narrow" w:cs="Arial"/>
          <w:color w:val="000000" w:themeColor="text1"/>
          <w:lang w:eastAsia="es-CO"/>
        </w:rPr>
      </w:pPr>
      <m:oMath>
        <m:r>
          <m:rPr>
            <m:sty m:val="b"/>
          </m:rPr>
          <w:rPr>
            <w:rFonts w:ascii="Cambria Math" w:hAnsi="Cambria Math" w:cs="Arial"/>
            <w:color w:val="000000" w:themeColor="text1"/>
            <w:lang w:eastAsia="es-CO"/>
          </w:rPr>
          <m:t>PC</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C</m:t>
            </m:r>
          </m:e>
          <m:sub>
            <m:r>
              <m:rPr>
                <m:sty m:val="bi"/>
              </m:rPr>
              <w:rPr>
                <w:rFonts w:ascii="Cambria Math" w:hAnsi="Cambria Math" w:cs="Arial"/>
                <w:color w:val="000000" w:themeColor="text1"/>
                <w:lang w:eastAsia="es-CO"/>
              </w:rPr>
              <m:t>y</m:t>
            </m:r>
          </m:sub>
        </m:sSub>
      </m:oMath>
      <w:r w:rsidRPr="002C0D19">
        <w:rPr>
          <w:rFonts w:ascii="Arial Narrow" w:hAnsi="Arial Narrow" w:cs="Arial"/>
          <w:color w:val="000000" w:themeColor="text1"/>
          <w:lang w:eastAsia="es-CO"/>
        </w:rPr>
        <w:t>: Precio de cierre (t-1) del contado del activo objeto de una Operación.</w:t>
      </w:r>
    </w:p>
    <w:p w14:paraId="00084031" w14:textId="77777777" w:rsidR="007968EC" w:rsidRPr="002C0D19" w:rsidRDefault="00682D97" w:rsidP="007968EC">
      <w:pPr>
        <w:ind w:left="1134"/>
        <w:jc w:val="both"/>
        <w:rPr>
          <w:rFonts w:ascii="Arial Narrow" w:hAnsi="Arial Narrow" w:cs="Arial"/>
          <w:color w:val="000000" w:themeColor="text1"/>
          <w:lang w:eastAsia="es-CO"/>
        </w:rPr>
      </w:pP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PLCy</m:t>
            </m:r>
          </m:e>
          <m:sub>
            <m:d>
              <m:dPr>
                <m:ctrlPr>
                  <w:rPr>
                    <w:rFonts w:ascii="Cambria Math" w:hAnsi="Cambria Math" w:cs="Arial"/>
                    <w:color w:val="000000" w:themeColor="text1"/>
                    <w:lang w:eastAsia="es-CO"/>
                  </w:rPr>
                </m:ctrlPr>
              </m:dPr>
              <m:e>
                <m:r>
                  <m:rPr>
                    <m:sty m:val="b"/>
                  </m:rPr>
                  <w:rPr>
                    <w:rFonts w:ascii="Cambria Math" w:hAnsi="Cambria Math" w:cs="Arial"/>
                    <w:color w:val="000000" w:themeColor="text1"/>
                    <w:lang w:eastAsia="es-CO"/>
                  </w:rPr>
                  <m:t>t-1</m:t>
                </m:r>
              </m:e>
            </m:d>
          </m:sub>
        </m:sSub>
      </m:oMath>
      <w:r w:rsidR="007968EC" w:rsidRPr="002C0D19">
        <w:rPr>
          <w:rFonts w:ascii="Arial Narrow" w:hAnsi="Arial Narrow" w:cs="Arial"/>
          <w:color w:val="000000" w:themeColor="text1"/>
          <w:lang w:eastAsia="es-CO"/>
        </w:rPr>
        <w:t>: Precio de Liquidación de un Activo según lo definido en el Artículo 1.1.1.2 de la Circular Única de Cámara</w:t>
      </w:r>
      <w:r w:rsidR="007968EC" w:rsidRPr="002C0D19" w:rsidDel="009A6CBE">
        <w:rPr>
          <w:rFonts w:ascii="Arial Narrow" w:hAnsi="Arial Narrow" w:cs="Arial"/>
          <w:color w:val="000000" w:themeColor="text1"/>
          <w:lang w:eastAsia="es-CO"/>
        </w:rPr>
        <w:t xml:space="preserve"> </w:t>
      </w:r>
      <w:r w:rsidR="007968EC" w:rsidRPr="002C0D19">
        <w:rPr>
          <w:rFonts w:ascii="Arial Narrow" w:hAnsi="Arial Narrow" w:cs="Arial"/>
          <w:color w:val="000000" w:themeColor="text1"/>
          <w:lang w:eastAsia="es-CO"/>
        </w:rPr>
        <w:t xml:space="preserve">utilizado por la Cámara en la Sesión de Cierre del día anterior. </w:t>
      </w:r>
    </w:p>
    <w:p w14:paraId="57933852" w14:textId="77777777" w:rsidR="007968EC" w:rsidRPr="002C0D19" w:rsidRDefault="007968EC" w:rsidP="007968EC">
      <w:pPr>
        <w:ind w:left="2160"/>
        <w:jc w:val="both"/>
        <w:rPr>
          <w:rFonts w:ascii="Arial Narrow" w:hAnsi="Arial Narrow" w:cs="Arial"/>
          <w:color w:val="000000" w:themeColor="text1"/>
          <w:lang w:eastAsia="es-CO"/>
        </w:rPr>
      </w:pPr>
    </w:p>
    <w:p w14:paraId="45E47530" w14:textId="77777777" w:rsidR="007968EC" w:rsidRPr="002C0D19" w:rsidRDefault="007968EC" w:rsidP="00DA7472">
      <w:pPr>
        <w:numPr>
          <w:ilvl w:val="3"/>
          <w:numId w:val="260"/>
        </w:numPr>
        <w:tabs>
          <w:tab w:val="left" w:pos="426"/>
        </w:tabs>
        <w:ind w:left="426"/>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Se determina el importe que deberá ser constituido como Garantía Extraordinaria por parte de los Miembros Liquidadores por concepto de Margin Call, mediante la aplicación de la siguiente fórmula: </w:t>
      </w:r>
    </w:p>
    <w:p w14:paraId="687079EB" w14:textId="77777777" w:rsidR="007968EC" w:rsidRPr="002C0D19" w:rsidRDefault="007968EC" w:rsidP="007968EC">
      <w:pPr>
        <w:ind w:left="284"/>
        <w:jc w:val="both"/>
        <w:rPr>
          <w:rFonts w:ascii="Arial Narrow" w:hAnsi="Arial Narrow" w:cs="Arial"/>
          <w:color w:val="000000" w:themeColor="text1"/>
          <w:lang w:eastAsia="es-CO"/>
        </w:rPr>
      </w:pPr>
    </w:p>
    <w:p w14:paraId="3E021126" w14:textId="77777777" w:rsidR="007968EC" w:rsidRPr="002C0D19" w:rsidRDefault="007968EC" w:rsidP="007968EC">
      <w:pPr>
        <w:ind w:left="284"/>
        <w:jc w:val="center"/>
        <w:rPr>
          <w:rFonts w:ascii="Arial Narrow" w:hAnsi="Arial Narrow" w:cs="Arial"/>
          <w:color w:val="000000" w:themeColor="text1"/>
          <w:lang w:eastAsia="es-CO"/>
        </w:rPr>
      </w:pPr>
      <m:oMathPara>
        <m:oMath>
          <m:r>
            <m:rPr>
              <m:sty m:val="bi"/>
            </m:rPr>
            <w:rPr>
              <w:rFonts w:ascii="Cambria Math" w:hAnsi="Cambria Math" w:cs="Arial"/>
              <w:color w:val="000000" w:themeColor="text1"/>
              <w:lang w:eastAsia="es-CO"/>
            </w:rPr>
            <m:t>Importe de Margin Call=Excesos+</m:t>
          </m:r>
          <m:nary>
            <m:naryPr>
              <m:chr m:val="∑"/>
              <m:limLoc m:val="undOvr"/>
              <m:ctrlPr>
                <w:rPr>
                  <w:rFonts w:ascii="Cambria Math" w:hAnsi="Cambria Math" w:cs="Arial"/>
                  <w:i/>
                  <w:color w:val="000000" w:themeColor="text1"/>
                  <w:lang w:eastAsia="es-CO"/>
                </w:rPr>
              </m:ctrlPr>
            </m:naryPr>
            <m:sub>
              <m:r>
                <m:rPr>
                  <m:sty m:val="bi"/>
                </m:rPr>
                <w:rPr>
                  <w:rFonts w:ascii="Cambria Math" w:hAnsi="Cambria Math" w:cs="Arial"/>
                  <w:color w:val="000000" w:themeColor="text1"/>
                  <w:lang w:eastAsia="es-CO"/>
                </w:rPr>
                <m:t>c=1</m:t>
              </m:r>
            </m:sub>
            <m:sup>
              <m:r>
                <m:rPr>
                  <m:sty m:val="bi"/>
                </m:rPr>
                <w:rPr>
                  <w:rFonts w:ascii="Cambria Math" w:hAnsi="Cambria Math" w:cs="Arial"/>
                  <w:color w:val="000000" w:themeColor="text1"/>
                  <w:lang w:eastAsia="es-CO"/>
                </w:rPr>
                <m:t>n</m:t>
              </m:r>
            </m:sup>
            <m:e>
              <m:r>
                <m:rPr>
                  <m:sty m:val="bi"/>
                </m:rPr>
                <w:rPr>
                  <w:rFonts w:ascii="Cambria Math" w:hAnsi="Cambria Math" w:cs="Arial"/>
                  <w:color w:val="000000" w:themeColor="text1"/>
                  <w:lang w:eastAsia="es-CO"/>
                </w:rPr>
                <m:t>RS, para todo RS</m:t>
              </m:r>
            </m:e>
          </m:nary>
          <m:r>
            <m:rPr>
              <m:sty m:val="bi"/>
            </m:rPr>
            <w:rPr>
              <w:rFonts w:ascii="Cambria Math" w:hAnsi="Cambria Math" w:cs="Arial"/>
              <w:color w:val="000000" w:themeColor="text1"/>
              <w:lang w:eastAsia="es-CO"/>
            </w:rPr>
            <m:t>&lt; 0</m:t>
          </m:r>
        </m:oMath>
      </m:oMathPara>
    </w:p>
    <w:p w14:paraId="7058C468" w14:textId="77777777" w:rsidR="007968EC" w:rsidRPr="002C0D19" w:rsidRDefault="007968EC" w:rsidP="007968EC">
      <w:pPr>
        <w:ind w:left="284"/>
        <w:jc w:val="both"/>
        <w:rPr>
          <w:rFonts w:ascii="Arial Narrow" w:hAnsi="Arial Narrow" w:cs="Arial"/>
          <w:color w:val="000000" w:themeColor="text1"/>
          <w:lang w:eastAsia="es-CO"/>
        </w:rPr>
      </w:pPr>
    </w:p>
    <w:p w14:paraId="1873AF50" w14:textId="77777777" w:rsidR="007968EC" w:rsidRPr="002C0D19" w:rsidRDefault="007968EC" w:rsidP="007968EC">
      <w:pPr>
        <w:ind w:left="426"/>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Como indica la formula solo se tendrán en cuenta los RS con signo negativo. Cuando </w:t>
      </w:r>
      <m:oMath>
        <m:r>
          <m:rPr>
            <m:sty m:val="b"/>
          </m:rPr>
          <w:rPr>
            <w:rFonts w:ascii="Cambria Math" w:hAnsi="Cambria Math" w:cs="Arial"/>
            <w:color w:val="000000" w:themeColor="text1"/>
            <w:lang w:eastAsia="es-CO"/>
          </w:rPr>
          <m:t>Importe de Margin Call</m:t>
        </m:r>
      </m:oMath>
      <w:r w:rsidRPr="002C0D19">
        <w:rPr>
          <w:rFonts w:ascii="Arial Narrow" w:hAnsi="Arial Narrow" w:cs="Arial"/>
          <w:color w:val="000000" w:themeColor="text1"/>
          <w:lang w:eastAsia="es-CO"/>
        </w:rPr>
        <w:t>, sea mayor a cero el importe que deberá ser constituido como Garantía Extraordinaria será cero.</w:t>
      </w:r>
    </w:p>
    <w:p w14:paraId="29194856" w14:textId="77777777" w:rsidR="007968EC" w:rsidRPr="002C0D19" w:rsidRDefault="007968EC" w:rsidP="007968EC">
      <w:pPr>
        <w:ind w:left="284"/>
        <w:jc w:val="both"/>
        <w:rPr>
          <w:rFonts w:ascii="Arial Narrow" w:hAnsi="Arial Narrow" w:cs="Arial"/>
          <w:color w:val="000000" w:themeColor="text1"/>
          <w:lang w:eastAsia="es-CO"/>
        </w:rPr>
      </w:pPr>
    </w:p>
    <w:p w14:paraId="49F8CE87" w14:textId="77777777" w:rsidR="007968EC" w:rsidRPr="002C0D19" w:rsidRDefault="007968EC" w:rsidP="007968EC">
      <w:pPr>
        <w:ind w:left="426"/>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Donde: </w:t>
      </w:r>
    </w:p>
    <w:p w14:paraId="6917EF3A" w14:textId="77777777" w:rsidR="007968EC" w:rsidRPr="002C0D19" w:rsidRDefault="007968EC" w:rsidP="007968EC">
      <w:pPr>
        <w:ind w:left="426"/>
        <w:jc w:val="both"/>
        <w:rPr>
          <w:rFonts w:ascii="Arial Narrow" w:hAnsi="Arial Narrow" w:cs="Arial"/>
          <w:i/>
          <w:color w:val="000000" w:themeColor="text1"/>
          <w:lang w:eastAsia="es-CO"/>
        </w:rPr>
      </w:pPr>
      <w:r w:rsidRPr="002C0D19">
        <w:rPr>
          <w:rFonts w:ascii="Arial Narrow" w:hAnsi="Arial Narrow" w:cs="Arial"/>
          <w:color w:val="000000" w:themeColor="text1"/>
          <w:lang w:eastAsia="es-CO"/>
        </w:rPr>
        <w:br/>
      </w:r>
      <m:oMathPara>
        <m:oMathParaPr>
          <m:jc m:val="left"/>
        </m:oMathParaPr>
        <m:oMath>
          <m:r>
            <m:rPr>
              <m:sty m:val="bi"/>
            </m:rPr>
            <w:rPr>
              <w:rFonts w:ascii="Cambria Math" w:hAnsi="Cambria Math" w:cs="Arial"/>
              <w:color w:val="000000" w:themeColor="text1"/>
              <w:lang w:eastAsia="es-CO"/>
            </w:rPr>
            <m:t>Excesos=Garantía Extraordinaria depositada+Garantía Individual depositada</m:t>
          </m:r>
        </m:oMath>
      </m:oMathPara>
    </w:p>
    <w:p w14:paraId="56416A45" w14:textId="77777777" w:rsidR="007968EC" w:rsidRPr="002C0D19" w:rsidRDefault="007968EC" w:rsidP="007968EC">
      <w:pPr>
        <w:ind w:left="426"/>
        <w:jc w:val="both"/>
        <w:rPr>
          <w:rFonts w:ascii="Arial Narrow" w:hAnsi="Arial Narrow" w:cs="Arial"/>
          <w:color w:val="000000" w:themeColor="text1"/>
          <w:lang w:eastAsia="es-CO"/>
        </w:rPr>
      </w:pPr>
    </w:p>
    <w:p w14:paraId="2696CFFB" w14:textId="77777777" w:rsidR="007968EC" w:rsidRPr="002C0D19" w:rsidRDefault="007968EC" w:rsidP="007968EC">
      <w:pPr>
        <w:ind w:left="426"/>
        <w:jc w:val="both"/>
        <w:rPr>
          <w:rFonts w:ascii="Arial Narrow" w:hAnsi="Arial Narrow" w:cs="Arial"/>
          <w:color w:val="000000" w:themeColor="text1"/>
          <w:lang w:eastAsia="es-CO"/>
        </w:rPr>
      </w:pPr>
      <m:oMath>
        <m:r>
          <m:rPr>
            <m:sty m:val="b"/>
          </m:rPr>
          <w:rPr>
            <w:rFonts w:ascii="Cambria Math" w:hAnsi="Cambria Math" w:cs="Arial"/>
            <w:color w:val="000000" w:themeColor="text1"/>
            <w:lang w:eastAsia="es-CO"/>
          </w:rPr>
          <m:t>c</m:t>
        </m:r>
      </m:oMath>
      <w:r w:rsidRPr="002C0D19">
        <w:rPr>
          <w:rFonts w:ascii="Arial Narrow" w:hAnsi="Arial Narrow" w:cs="Arial"/>
          <w:color w:val="000000" w:themeColor="text1"/>
          <w:lang w:eastAsia="es-CO"/>
        </w:rPr>
        <w:t xml:space="preserve">: Cuentas del Miembro Liquidador o de sus Miembros no Liquidadores, que en el momento de la activación del procedimiento de Margin Call cuenten con Posición Abierta sobre cualquier Activo objeto de una Operación compensada o liquidada que cumplió la condición de activación del procedimiento de Margin Call.  </w:t>
      </w:r>
    </w:p>
    <w:p w14:paraId="02B58DC7" w14:textId="77777777" w:rsidR="007968EC" w:rsidRPr="002C0D19" w:rsidRDefault="007968EC" w:rsidP="007968EC">
      <w:pPr>
        <w:ind w:left="426"/>
        <w:jc w:val="both"/>
        <w:rPr>
          <w:rFonts w:ascii="Arial Narrow" w:hAnsi="Arial Narrow" w:cs="Arial"/>
          <w:color w:val="000000" w:themeColor="text1"/>
          <w:lang w:eastAsia="es-CO"/>
        </w:rPr>
      </w:pPr>
    </w:p>
    <w:p w14:paraId="0A0CCA9C" w14:textId="77777777" w:rsidR="007968EC" w:rsidRPr="002C0D19" w:rsidRDefault="007968EC" w:rsidP="007968EC">
      <w:pPr>
        <w:ind w:left="426"/>
        <w:jc w:val="both"/>
        <w:rPr>
          <w:rFonts w:ascii="Arial Narrow" w:hAnsi="Arial Narrow" w:cs="Arial"/>
          <w:color w:val="000000" w:themeColor="text1"/>
          <w:lang w:eastAsia="es-CO"/>
        </w:rPr>
      </w:pPr>
      <m:oMath>
        <m:r>
          <m:rPr>
            <m:sty m:val="b"/>
          </m:rPr>
          <w:rPr>
            <w:rFonts w:ascii="Cambria Math" w:hAnsi="Cambria Math" w:cs="Arial"/>
            <w:color w:val="000000" w:themeColor="text1"/>
            <w:lang w:eastAsia="es-CO"/>
          </w:rPr>
          <m:t>RS</m:t>
        </m:r>
      </m:oMath>
      <w:r w:rsidRPr="002C0D19">
        <w:rPr>
          <w:rFonts w:ascii="Arial Narrow" w:hAnsi="Arial Narrow" w:cs="Arial"/>
          <w:color w:val="000000" w:themeColor="text1"/>
          <w:lang w:eastAsia="es-CO"/>
        </w:rPr>
        <w:t xml:space="preserve">= Riesgo simulado para cada cuenta </w:t>
      </w:r>
      <m:oMath>
        <m:r>
          <m:rPr>
            <m:sty m:val="b"/>
          </m:rPr>
          <w:rPr>
            <w:rFonts w:ascii="Cambria Math" w:hAnsi="Cambria Math" w:cs="Arial"/>
            <w:color w:val="000000" w:themeColor="text1"/>
            <w:lang w:eastAsia="es-CO"/>
          </w:rPr>
          <m:t>c</m:t>
        </m:r>
      </m:oMath>
      <w:r w:rsidRPr="002C0D19">
        <w:rPr>
          <w:rFonts w:ascii="Arial Narrow" w:hAnsi="Arial Narrow" w:cs="Arial"/>
          <w:color w:val="000000" w:themeColor="text1"/>
          <w:lang w:eastAsia="es-CO"/>
        </w:rPr>
        <w:t>, que se calcula mediante la aplicación de la siguiente fórmula:</w:t>
      </w:r>
    </w:p>
    <w:p w14:paraId="27C588CF" w14:textId="77777777" w:rsidR="007968EC" w:rsidRPr="002C0D19" w:rsidRDefault="007968EC" w:rsidP="007968EC">
      <w:pPr>
        <w:ind w:left="426"/>
        <w:jc w:val="both"/>
        <w:rPr>
          <w:rFonts w:ascii="Arial Narrow" w:hAnsi="Arial Narrow" w:cs="Arial"/>
          <w:color w:val="000000" w:themeColor="text1"/>
          <w:lang w:eastAsia="es-CO"/>
        </w:rPr>
      </w:pPr>
    </w:p>
    <w:p w14:paraId="601E3844" w14:textId="77777777" w:rsidR="007968EC" w:rsidRPr="002C0D19" w:rsidRDefault="007968EC" w:rsidP="007968EC">
      <w:pPr>
        <w:ind w:left="426"/>
        <w:jc w:val="center"/>
        <w:rPr>
          <w:rFonts w:ascii="Arial Narrow" w:hAnsi="Arial Narrow" w:cs="Arial"/>
          <w:color w:val="000000" w:themeColor="text1"/>
          <w:lang w:eastAsia="es-CO"/>
        </w:rPr>
      </w:pPr>
      <m:oMathPara>
        <m:oMath>
          <m:r>
            <m:rPr>
              <m:sty m:val="b"/>
            </m:rPr>
            <w:rPr>
              <w:rFonts w:ascii="Cambria Math" w:hAnsi="Cambria Math" w:cs="Arial"/>
              <w:color w:val="000000" w:themeColor="text1"/>
              <w:lang w:eastAsia="es-CO"/>
            </w:rPr>
            <m:t>RS=GPTIT-</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GPTIT</m:t>
              </m:r>
            </m:e>
            <m:sub>
              <m:r>
                <m:rPr>
                  <m:sty m:val="b"/>
                </m:rPr>
                <w:rPr>
                  <w:rFonts w:ascii="Cambria Math" w:hAnsi="Cambria Math" w:cs="Arial"/>
                  <w:color w:val="000000" w:themeColor="text1"/>
                  <w:lang w:eastAsia="es-CO"/>
                </w:rPr>
                <m:t>PMC</m:t>
              </m:r>
            </m:sub>
          </m:sSub>
          <m:r>
            <m:rPr>
              <m:sty m:val="b"/>
            </m:rPr>
            <w:rPr>
              <w:rFonts w:ascii="Cambria Math" w:hAnsi="Cambria Math" w:cs="Arial"/>
              <w:color w:val="000000" w:themeColor="text1"/>
              <w:lang w:eastAsia="es-CO"/>
            </w:rPr>
            <m:t>+</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Liq</m:t>
              </m:r>
            </m:e>
            <m:sub>
              <m:r>
                <m:rPr>
                  <m:sty m:val="b"/>
                </m:rPr>
                <w:rPr>
                  <w:rFonts w:ascii="Cambria Math" w:hAnsi="Cambria Math" w:cs="Arial"/>
                  <w:color w:val="000000" w:themeColor="text1"/>
                  <w:lang w:eastAsia="es-CO"/>
                </w:rPr>
                <m:t>PMC</m:t>
              </m:r>
            </m:sub>
          </m:sSub>
        </m:oMath>
      </m:oMathPara>
    </w:p>
    <w:p w14:paraId="026179D0" w14:textId="77777777" w:rsidR="007968EC" w:rsidRPr="002C0D19" w:rsidRDefault="007968EC" w:rsidP="007968EC">
      <w:pPr>
        <w:ind w:left="426"/>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Donde:</w:t>
      </w:r>
    </w:p>
    <w:p w14:paraId="708AC7F9" w14:textId="77777777" w:rsidR="007968EC" w:rsidRPr="002C0D19" w:rsidRDefault="007968EC" w:rsidP="007968EC">
      <w:pPr>
        <w:ind w:left="426"/>
        <w:jc w:val="both"/>
        <w:rPr>
          <w:rFonts w:ascii="Arial Narrow" w:hAnsi="Arial Narrow" w:cs="Arial"/>
          <w:color w:val="000000" w:themeColor="text1"/>
          <w:lang w:eastAsia="es-CO"/>
        </w:rPr>
      </w:pPr>
    </w:p>
    <w:p w14:paraId="17268A22" w14:textId="77777777" w:rsidR="007968EC" w:rsidRPr="002C0D19" w:rsidRDefault="007968EC" w:rsidP="007968EC">
      <w:pPr>
        <w:ind w:left="426"/>
        <w:jc w:val="both"/>
        <w:rPr>
          <w:rFonts w:ascii="Arial Narrow" w:hAnsi="Arial Narrow" w:cs="Arial"/>
          <w:color w:val="000000" w:themeColor="text1"/>
          <w:lang w:eastAsia="es-CO"/>
        </w:rPr>
      </w:pPr>
      <m:oMath>
        <m:r>
          <m:rPr>
            <m:sty m:val="b"/>
          </m:rPr>
          <w:rPr>
            <w:rFonts w:ascii="Cambria Math" w:hAnsi="Cambria Math" w:cs="Arial"/>
            <w:color w:val="000000" w:themeColor="text1"/>
            <w:lang w:eastAsia="es-CO"/>
          </w:rPr>
          <m:t>GPTIT</m:t>
        </m:r>
      </m:oMath>
      <w:r w:rsidRPr="002C0D19">
        <w:rPr>
          <w:rFonts w:ascii="Arial Narrow" w:hAnsi="Arial Narrow" w:cs="Arial"/>
          <w:color w:val="000000" w:themeColor="text1"/>
          <w:lang w:eastAsia="es-CO"/>
        </w:rPr>
        <w:t xml:space="preserve">: Garantías por Posición depositadas. </w:t>
      </w:r>
    </w:p>
    <w:p w14:paraId="3C8DE955" w14:textId="77777777" w:rsidR="007968EC" w:rsidRPr="002C0D19" w:rsidRDefault="007968EC" w:rsidP="007968EC">
      <w:pPr>
        <w:ind w:left="426"/>
        <w:jc w:val="both"/>
        <w:rPr>
          <w:rFonts w:ascii="Arial Narrow" w:hAnsi="Arial Narrow" w:cs="Arial"/>
          <w:color w:val="000000" w:themeColor="text1"/>
          <w:lang w:eastAsia="es-CO"/>
        </w:rPr>
      </w:pPr>
    </w:p>
    <w:p w14:paraId="2B3D3773" w14:textId="77777777" w:rsidR="007968EC" w:rsidRPr="002C0D19" w:rsidRDefault="00682D97" w:rsidP="007968EC">
      <w:pPr>
        <w:ind w:left="426"/>
        <w:jc w:val="both"/>
        <w:rPr>
          <w:rFonts w:ascii="Arial Narrow" w:hAnsi="Arial Narrow" w:cs="Arial"/>
          <w:color w:val="000000" w:themeColor="text1"/>
          <w:lang w:eastAsia="es-CO"/>
        </w:rPr>
      </w:pP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GDPTIT</m:t>
            </m:r>
          </m:e>
          <m:sub>
            <m:r>
              <m:rPr>
                <m:sty m:val="b"/>
              </m:rPr>
              <w:rPr>
                <w:rFonts w:ascii="Cambria Math" w:hAnsi="Cambria Math" w:cs="Arial"/>
                <w:color w:val="000000" w:themeColor="text1"/>
                <w:lang w:eastAsia="es-CO"/>
              </w:rPr>
              <m:t>PMC</m:t>
            </m:r>
          </m:sub>
        </m:sSub>
        <m:r>
          <m:rPr>
            <m:sty m:val="b"/>
          </m:rPr>
          <w:rPr>
            <w:rFonts w:ascii="Cambria Math" w:hAnsi="Cambria Math" w:cs="Arial"/>
            <w:color w:val="000000" w:themeColor="text1"/>
            <w:lang w:eastAsia="es-CO"/>
          </w:rPr>
          <m:t xml:space="preserve"> </m:t>
        </m:r>
      </m:oMath>
      <w:r w:rsidR="007968EC" w:rsidRPr="002C0D19">
        <w:rPr>
          <w:rFonts w:ascii="Arial Narrow" w:hAnsi="Arial Narrow" w:cs="Arial"/>
          <w:color w:val="000000" w:themeColor="text1"/>
          <w:lang w:eastAsia="es-CO"/>
        </w:rPr>
        <w:t>(Garantía por Posición exigida a Precio de Margin Call hipotético): Valor calculado según el procedimiento de cálculo de Garantías por Posición según el Modelo MEFFCOM2 , utilizando en lugar del Último precio el Precio de Margin Call hipotético (</w:t>
      </w:r>
      <m:oMath>
        <m:r>
          <m:rPr>
            <m:sty m:val="b"/>
          </m:rPr>
          <w:rPr>
            <w:rFonts w:ascii="Cambria Math" w:hAnsi="Cambria Math" w:cs="Arial"/>
            <w:color w:val="000000" w:themeColor="text1"/>
            <w:lang w:eastAsia="es-CO"/>
          </w:rPr>
          <m:t xml:space="preserve">PMC) </m:t>
        </m:r>
      </m:oMath>
      <w:r w:rsidR="007968EC" w:rsidRPr="002C0D19">
        <w:rPr>
          <w:rFonts w:ascii="Arial Narrow" w:hAnsi="Arial Narrow" w:cs="Arial"/>
          <w:color w:val="000000" w:themeColor="text1"/>
          <w:lang w:eastAsia="es-CO"/>
        </w:rPr>
        <w:t xml:space="preserve">establecido para cada Activo objeto de una Operación compensada o liquidada por la Cámara </w:t>
      </w:r>
    </w:p>
    <w:p w14:paraId="6684FAE3" w14:textId="77777777" w:rsidR="007968EC" w:rsidRPr="002C0D19" w:rsidRDefault="007968EC" w:rsidP="007968EC">
      <w:pPr>
        <w:ind w:left="426"/>
        <w:jc w:val="both"/>
        <w:rPr>
          <w:rFonts w:ascii="Arial Narrow" w:hAnsi="Arial Narrow" w:cs="Arial"/>
          <w:color w:val="000000" w:themeColor="text1"/>
          <w:lang w:eastAsia="es-CO"/>
        </w:rPr>
      </w:pPr>
    </w:p>
    <w:p w14:paraId="1699B494" w14:textId="77777777" w:rsidR="007968EC" w:rsidRPr="002C0D19" w:rsidRDefault="00682D97" w:rsidP="007968EC">
      <w:pPr>
        <w:ind w:left="426"/>
        <w:jc w:val="both"/>
        <w:rPr>
          <w:rFonts w:ascii="Arial Narrow" w:hAnsi="Arial Narrow" w:cs="Arial"/>
          <w:color w:val="000000" w:themeColor="text1"/>
          <w:lang w:eastAsia="es-CO"/>
        </w:rPr>
      </w:pP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Liq</m:t>
            </m:r>
          </m:e>
          <m:sub>
            <m:r>
              <m:rPr>
                <m:sty m:val="b"/>
              </m:rPr>
              <w:rPr>
                <w:rFonts w:ascii="Cambria Math" w:hAnsi="Cambria Math" w:cs="Arial"/>
                <w:color w:val="000000" w:themeColor="text1"/>
                <w:lang w:eastAsia="es-CO"/>
              </w:rPr>
              <m:t>PMC</m:t>
            </m:r>
          </m:sub>
        </m:sSub>
      </m:oMath>
      <w:r w:rsidR="007968EC" w:rsidRPr="002C0D19">
        <w:rPr>
          <w:rFonts w:ascii="Arial Narrow" w:hAnsi="Arial Narrow" w:cs="Arial"/>
          <w:color w:val="000000" w:themeColor="text1"/>
          <w:lang w:eastAsia="es-CO"/>
        </w:rPr>
        <w:t xml:space="preserve"> (Liquidación por Posición a Precio de Margin Call hipotético): Valor calculado según el procedimiento de ajuste diario a precio de liquidación descrito en la presente Circular Única de Cámara, utilizando en lugar del Precio de Liquidación el Precio de Margin Call hipotético (</w:t>
      </w:r>
      <m:oMath>
        <m:r>
          <m:rPr>
            <m:sty m:val="b"/>
          </m:rPr>
          <w:rPr>
            <w:rFonts w:ascii="Cambria Math" w:hAnsi="Cambria Math" w:cs="Arial"/>
            <w:color w:val="000000" w:themeColor="text1"/>
            <w:lang w:eastAsia="es-CO"/>
          </w:rPr>
          <m:t>PMC)</m:t>
        </m:r>
      </m:oMath>
      <w:r w:rsidR="007968EC" w:rsidRPr="002C0D19">
        <w:rPr>
          <w:rFonts w:ascii="Arial Narrow" w:hAnsi="Arial Narrow" w:cs="Arial"/>
          <w:color w:val="000000" w:themeColor="text1"/>
          <w:lang w:eastAsia="es-CO"/>
        </w:rPr>
        <w:t xml:space="preserve"> establecido para cada Activo objeto de la Operación compensada y liquidada por la Cámara, cuando aplique de acuerdo con su Tipo de Liquidación </w:t>
      </w:r>
    </w:p>
    <w:p w14:paraId="21B14AA3" w14:textId="77777777" w:rsidR="007968EC" w:rsidRPr="002C0D19" w:rsidRDefault="007968EC" w:rsidP="007968EC">
      <w:pPr>
        <w:ind w:left="284"/>
        <w:jc w:val="both"/>
        <w:rPr>
          <w:rFonts w:ascii="Arial Narrow" w:hAnsi="Arial Narrow" w:cs="Arial"/>
          <w:color w:val="000000" w:themeColor="text1"/>
          <w:lang w:eastAsia="es-CO"/>
        </w:rPr>
      </w:pPr>
    </w:p>
    <w:p w14:paraId="298923E3" w14:textId="77777777" w:rsidR="007968EC" w:rsidRPr="002C0D19" w:rsidRDefault="007968EC" w:rsidP="00DA7472">
      <w:pPr>
        <w:numPr>
          <w:ilvl w:val="3"/>
          <w:numId w:val="260"/>
        </w:numPr>
        <w:tabs>
          <w:tab w:val="left" w:pos="426"/>
        </w:tabs>
        <w:ind w:left="426"/>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La Cámara comunicará al Miembro Liquidador por correo electrónico o vía telefónica el valor de la Garantía Extraordinaria que deberá constituir en un plazo no superior a una (1) hora contado a partir de la hora de envío del correo electrónico o de la hora de la comunicación telefónica, según el caso.</w:t>
      </w:r>
    </w:p>
    <w:p w14:paraId="0D3278AF" w14:textId="77777777" w:rsidR="007968EC" w:rsidRPr="004D6548" w:rsidRDefault="007968EC" w:rsidP="007968EC">
      <w:pPr>
        <w:jc w:val="both"/>
        <w:rPr>
          <w:rFonts w:ascii="Arial Narrow" w:eastAsia="Calibri" w:hAnsi="Arial Narrow"/>
          <w:bCs/>
          <w:color w:val="000000" w:themeColor="text1"/>
        </w:rPr>
      </w:pPr>
      <w:r w:rsidRPr="002C0D19">
        <w:rPr>
          <w:rFonts w:ascii="Arial Narrow" w:hAnsi="Arial Narrow" w:cs="Arial"/>
          <w:b/>
          <w:color w:val="000000" w:themeColor="text1"/>
          <w:u w:val="single"/>
          <w:lang w:eastAsia="es-ES"/>
        </w:rPr>
        <w:lastRenderedPageBreak/>
        <w:t xml:space="preserve"> </w:t>
      </w:r>
    </w:p>
    <w:p w14:paraId="644C9469" w14:textId="77777777" w:rsidR="007968EC" w:rsidRDefault="007968EC" w:rsidP="007968EC">
      <w:pPr>
        <w:pStyle w:val="ARTICULO0"/>
      </w:pPr>
      <w:bookmarkStart w:id="5866" w:name="_Toc479057280"/>
      <w:bookmarkStart w:id="5867" w:name="_Toc31716306"/>
      <w:bookmarkStart w:id="5868" w:name="_Toc490066646"/>
      <w:r w:rsidRPr="002C0D19">
        <w:t>Artículo 3.5.3.3. Fluctuaciones de estrés para cálculo del riesgo en situación de estrés.</w:t>
      </w:r>
      <w:bookmarkEnd w:id="5866"/>
      <w:bookmarkEnd w:id="5867"/>
      <w:r w:rsidRPr="002C0D19">
        <w:t xml:space="preserve"> </w:t>
      </w:r>
    </w:p>
    <w:p w14:paraId="68E65AE1" w14:textId="77777777" w:rsidR="007968EC" w:rsidRDefault="007968EC" w:rsidP="007968EC">
      <w:pPr>
        <w:keepNext/>
        <w:tabs>
          <w:tab w:val="left" w:pos="1701"/>
        </w:tabs>
        <w:jc w:val="both"/>
        <w:outlineLvl w:val="2"/>
        <w:rPr>
          <w:rFonts w:ascii="Arial Narrow" w:hAnsi="Arial Narrow" w:cs="Arial"/>
          <w:b/>
          <w:color w:val="000000" w:themeColor="text1"/>
          <w:u w:val="single"/>
          <w:lang w:eastAsia="es-ES"/>
        </w:rPr>
      </w:pPr>
    </w:p>
    <w:p w14:paraId="683968AA" w14:textId="77777777" w:rsidR="007968EC" w:rsidRPr="002C0D19" w:rsidRDefault="007968EC" w:rsidP="007968EC">
      <w:pPr>
        <w:pStyle w:val="ANTECEDENTES"/>
        <w:rPr>
          <w:u w:val="single"/>
        </w:rPr>
      </w:pPr>
      <w:r w:rsidRPr="002C0D19">
        <w:t>(Este artículo fue adicionado mediante Circular 2 del 11 de enero de 2017, publicada mediante Boletín Normativo N</w:t>
      </w:r>
      <w:r>
        <w:t>o. 002 del 11 de enero de 2017,</w:t>
      </w:r>
      <w:r w:rsidRPr="002C0D19">
        <w:t xml:space="preserve"> renumerado mediante Circular 8 del 31 de marzo de 2017, publicada en el Boletín Normativo No. 008 del 31 de marzo de 2017</w:t>
      </w:r>
      <w:r>
        <w:t xml:space="preserve">, modificado mediante Circular 15 del 11 de agosto de 2017, publicada en el Boletín Normativo No. 016 del 11 de agosto de 2017, mediante Circular 16 del 26 de diciembre de 2018, publicada en el Boletín Normativo No. 029 del 26 de diciembre de 2018 y mediante Circular 4 del 11 de marzo de 2019, </w:t>
      </w:r>
      <w:r w:rsidRPr="00217A99">
        <w:t>publicada en el Boletín Normativo No. 013 del 11 de marzo de 2019</w:t>
      </w:r>
      <w:bookmarkEnd w:id="5868"/>
      <w:r w:rsidRPr="00217A99">
        <w:t>, y mediante Circular 13 del 2</w:t>
      </w:r>
      <w:r>
        <w:t>4</w:t>
      </w:r>
      <w:r w:rsidRPr="00217A99">
        <w:t xml:space="preserve"> de septiembre de 2019, publicada en el Boletín Normativo No. 026 del 2</w:t>
      </w:r>
      <w:r>
        <w:t>4</w:t>
      </w:r>
      <w:r w:rsidRPr="00217A99">
        <w:t xml:space="preserve"> de septiembre de 2019. Rige a partir del 2</w:t>
      </w:r>
      <w:r>
        <w:t>5</w:t>
      </w:r>
      <w:r w:rsidRPr="00217A99">
        <w:t xml:space="preserve"> de septiembre de 2019.)</w:t>
      </w:r>
    </w:p>
    <w:p w14:paraId="7D71366B" w14:textId="77777777" w:rsidR="007968EC" w:rsidRPr="002C0D19" w:rsidRDefault="007968EC" w:rsidP="007968EC">
      <w:pPr>
        <w:rPr>
          <w:rFonts w:ascii="Arial Narrow" w:hAnsi="Arial Narrow" w:cs="Arial"/>
          <w:b/>
          <w:color w:val="000000" w:themeColor="text1"/>
          <w:lang w:eastAsia="es-ES"/>
        </w:rPr>
      </w:pPr>
    </w:p>
    <w:p w14:paraId="7B419FF4" w14:textId="77777777" w:rsidR="007968EC" w:rsidRDefault="007968EC" w:rsidP="007968EC">
      <w:pPr>
        <w:jc w:val="both"/>
        <w:rPr>
          <w:rFonts w:ascii="Arial Narrow" w:eastAsia="Calibri" w:hAnsi="Arial Narrow" w:cs="Arial"/>
          <w:color w:val="000000"/>
          <w:lang w:eastAsia="es-ES"/>
        </w:rPr>
      </w:pPr>
      <w:r w:rsidRPr="00EB3D3E">
        <w:rPr>
          <w:rFonts w:ascii="Arial Narrow" w:eastAsia="Calibri" w:hAnsi="Arial Narrow" w:cs="Arial"/>
          <w:color w:val="000000"/>
          <w:lang w:eastAsia="es-ES"/>
        </w:rPr>
        <w:t>Las Operaciones Simultáneas se agrupan por la Escala de Duración Modificada (EDM) según el título objeto de la operación</w:t>
      </w:r>
      <w:r>
        <w:rPr>
          <w:rFonts w:ascii="Arial Narrow" w:eastAsia="Calibri" w:hAnsi="Arial Narrow" w:cs="Arial"/>
          <w:color w:val="000000"/>
          <w:lang w:eastAsia="es-ES"/>
        </w:rPr>
        <w:t xml:space="preserve"> de acuerdo con el siguiente cuadro</w:t>
      </w:r>
      <w:r w:rsidRPr="00EB3D3E">
        <w:rPr>
          <w:rFonts w:ascii="Arial Narrow" w:eastAsia="Calibri" w:hAnsi="Arial Narrow" w:cs="Arial"/>
          <w:color w:val="000000"/>
          <w:lang w:eastAsia="es-ES"/>
        </w:rPr>
        <w:t>.</w:t>
      </w:r>
    </w:p>
    <w:p w14:paraId="1FA241DD" w14:textId="77777777" w:rsidR="007968EC" w:rsidRDefault="007968EC" w:rsidP="007968EC">
      <w:pPr>
        <w:jc w:val="both"/>
        <w:rPr>
          <w:rFonts w:ascii="Arial Narrow" w:eastAsia="Calibri" w:hAnsi="Arial Narrow" w:cs="Arial"/>
          <w:b/>
          <w:lang w:eastAsia="es-ES"/>
        </w:rPr>
      </w:pPr>
    </w:p>
    <w:tbl>
      <w:tblPr>
        <w:tblW w:w="4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93"/>
        <w:gridCol w:w="1201"/>
        <w:gridCol w:w="1400"/>
      </w:tblGrid>
      <w:tr w:rsidR="007968EC" w:rsidRPr="00B061DD" w14:paraId="3AF6D62D" w14:textId="77777777" w:rsidTr="007968EC">
        <w:trPr>
          <w:trHeight w:val="150"/>
          <w:jc w:val="center"/>
        </w:trPr>
        <w:tc>
          <w:tcPr>
            <w:tcW w:w="2393" w:type="dxa"/>
            <w:shd w:val="clear" w:color="auto" w:fill="auto"/>
            <w:noWrap/>
            <w:vAlign w:val="center"/>
            <w:hideMark/>
          </w:tcPr>
          <w:p w14:paraId="2EC57641" w14:textId="77777777" w:rsidR="007968EC" w:rsidRPr="00B061DD" w:rsidRDefault="007968EC" w:rsidP="007968EC">
            <w:pPr>
              <w:jc w:val="center"/>
              <w:rPr>
                <w:rFonts w:ascii="Arial Narrow" w:eastAsia="Calibri" w:hAnsi="Arial Narrow" w:cs="Arial"/>
                <w:lang w:eastAsia="es-ES"/>
              </w:rPr>
            </w:pPr>
            <w:r w:rsidRPr="00B061DD">
              <w:rPr>
                <w:rFonts w:ascii="Arial Narrow" w:eastAsia="Calibri" w:hAnsi="Arial Narrow" w:cs="Arial"/>
                <w:lang w:eastAsia="es-ES"/>
              </w:rPr>
              <w:t>Escala de Duración</w:t>
            </w:r>
          </w:p>
          <w:p w14:paraId="68567394" w14:textId="77777777" w:rsidR="007968EC" w:rsidRPr="00B061DD" w:rsidRDefault="007968EC" w:rsidP="007968EC">
            <w:pPr>
              <w:jc w:val="center"/>
              <w:rPr>
                <w:rFonts w:ascii="Arial Narrow" w:eastAsia="Calibri" w:hAnsi="Arial Narrow" w:cs="Arial"/>
                <w:lang w:eastAsia="es-ES"/>
              </w:rPr>
            </w:pPr>
            <w:r w:rsidRPr="00B061DD">
              <w:rPr>
                <w:rFonts w:ascii="Arial Narrow" w:eastAsia="Calibri" w:hAnsi="Arial Narrow" w:cs="Arial"/>
                <w:lang w:eastAsia="es-ES"/>
              </w:rPr>
              <w:t>Modificada</w:t>
            </w:r>
          </w:p>
          <w:p w14:paraId="579CD80B" w14:textId="77777777" w:rsidR="007968EC" w:rsidRPr="00B061DD" w:rsidRDefault="007968EC" w:rsidP="007968EC">
            <w:pPr>
              <w:jc w:val="center"/>
              <w:rPr>
                <w:rFonts w:ascii="Arial Narrow" w:eastAsia="Calibri" w:hAnsi="Arial Narrow" w:cs="Arial"/>
                <w:lang w:eastAsia="es-ES"/>
              </w:rPr>
            </w:pPr>
            <w:r w:rsidRPr="00B061DD">
              <w:rPr>
                <w:rFonts w:ascii="Arial Narrow" w:eastAsia="Calibri" w:hAnsi="Arial Narrow" w:cs="Arial"/>
                <w:lang w:eastAsia="es-ES"/>
              </w:rPr>
              <w:t>(EDM)</w:t>
            </w:r>
            <w:r w:rsidRPr="00B061DD">
              <w:rPr>
                <w:rFonts w:ascii="Arial Narrow" w:eastAsia="Calibri" w:hAnsi="Arial Narrow" w:cs="Arial"/>
                <w:lang w:val="es-MX" w:eastAsia="es-ES"/>
              </w:rPr>
              <w:t xml:space="preserve"> para cada Grupo de Compensación </w:t>
            </w:r>
          </w:p>
        </w:tc>
        <w:tc>
          <w:tcPr>
            <w:tcW w:w="1201" w:type="dxa"/>
            <w:shd w:val="clear" w:color="auto" w:fill="auto"/>
            <w:noWrap/>
            <w:vAlign w:val="center"/>
            <w:hideMark/>
          </w:tcPr>
          <w:p w14:paraId="371911B0" w14:textId="77777777" w:rsidR="007968EC" w:rsidRPr="00B061DD" w:rsidRDefault="007968EC" w:rsidP="007968EC">
            <w:pPr>
              <w:jc w:val="center"/>
              <w:rPr>
                <w:rFonts w:ascii="Arial Narrow" w:eastAsia="Calibri" w:hAnsi="Arial Narrow" w:cs="Arial"/>
                <w:lang w:eastAsia="es-ES"/>
              </w:rPr>
            </w:pPr>
            <w:r w:rsidRPr="00B061DD">
              <w:rPr>
                <w:rFonts w:ascii="Arial Narrow" w:eastAsia="Calibri" w:hAnsi="Arial Narrow" w:cs="Arial"/>
                <w:lang w:eastAsia="es-ES"/>
              </w:rPr>
              <w:t xml:space="preserve">De </w:t>
            </w:r>
          </w:p>
        </w:tc>
        <w:tc>
          <w:tcPr>
            <w:tcW w:w="1400" w:type="dxa"/>
            <w:shd w:val="clear" w:color="auto" w:fill="auto"/>
            <w:noWrap/>
            <w:vAlign w:val="center"/>
            <w:hideMark/>
          </w:tcPr>
          <w:p w14:paraId="57C851CC" w14:textId="77777777" w:rsidR="007968EC" w:rsidRPr="00B061DD" w:rsidRDefault="007968EC" w:rsidP="007968EC">
            <w:pPr>
              <w:jc w:val="center"/>
              <w:rPr>
                <w:rFonts w:ascii="Arial Narrow" w:eastAsia="Calibri" w:hAnsi="Arial Narrow" w:cs="Arial"/>
                <w:lang w:eastAsia="es-ES"/>
              </w:rPr>
            </w:pPr>
            <w:r w:rsidRPr="00B061DD">
              <w:rPr>
                <w:rFonts w:ascii="Arial Narrow" w:eastAsia="Calibri" w:hAnsi="Arial Narrow" w:cs="Arial"/>
                <w:lang w:eastAsia="es-ES"/>
              </w:rPr>
              <w:t>Hasta</w:t>
            </w:r>
          </w:p>
        </w:tc>
      </w:tr>
      <w:tr w:rsidR="007968EC" w:rsidRPr="00B061DD" w14:paraId="7FC6116E" w14:textId="77777777" w:rsidTr="007968EC">
        <w:trPr>
          <w:trHeight w:val="150"/>
          <w:jc w:val="center"/>
        </w:trPr>
        <w:tc>
          <w:tcPr>
            <w:tcW w:w="2393" w:type="dxa"/>
            <w:shd w:val="clear" w:color="auto" w:fill="auto"/>
            <w:noWrap/>
            <w:hideMark/>
          </w:tcPr>
          <w:p w14:paraId="2A8358BC" w14:textId="77777777" w:rsidR="007968EC" w:rsidRPr="00B061DD" w:rsidRDefault="007968EC" w:rsidP="007968EC">
            <w:pPr>
              <w:jc w:val="center"/>
              <w:rPr>
                <w:rFonts w:ascii="Arial Narrow" w:eastAsia="Calibri" w:hAnsi="Arial Narrow" w:cs="Arial"/>
                <w:lang w:eastAsia="es-ES"/>
              </w:rPr>
            </w:pPr>
            <w:r w:rsidRPr="00B061DD">
              <w:rPr>
                <w:rFonts w:ascii="Arial Narrow" w:eastAsia="Calibri" w:hAnsi="Arial Narrow" w:cs="Arial"/>
                <w:lang w:eastAsia="es-ES"/>
              </w:rPr>
              <w:t>G1</w:t>
            </w:r>
          </w:p>
        </w:tc>
        <w:tc>
          <w:tcPr>
            <w:tcW w:w="1201" w:type="dxa"/>
            <w:shd w:val="clear" w:color="auto" w:fill="auto"/>
            <w:noWrap/>
            <w:vAlign w:val="center"/>
            <w:hideMark/>
          </w:tcPr>
          <w:p w14:paraId="0BEFFCB7" w14:textId="77777777" w:rsidR="007968EC" w:rsidRPr="00B061DD" w:rsidRDefault="007968EC" w:rsidP="007968EC">
            <w:pPr>
              <w:jc w:val="center"/>
              <w:rPr>
                <w:rFonts w:ascii="Arial Narrow" w:eastAsia="Calibri" w:hAnsi="Arial Narrow" w:cs="Arial"/>
                <w:lang w:eastAsia="es-ES"/>
              </w:rPr>
            </w:pPr>
            <w:r w:rsidRPr="00B061DD">
              <w:rPr>
                <w:rFonts w:ascii="Arial Narrow" w:hAnsi="Arial Narrow" w:cs="Arial"/>
                <w:color w:val="000000"/>
                <w:lang w:val="es-ES" w:eastAsia="es-ES"/>
              </w:rPr>
              <w:t>0</w:t>
            </w:r>
          </w:p>
        </w:tc>
        <w:tc>
          <w:tcPr>
            <w:tcW w:w="1400" w:type="dxa"/>
            <w:shd w:val="clear" w:color="auto" w:fill="auto"/>
            <w:noWrap/>
            <w:vAlign w:val="center"/>
            <w:hideMark/>
          </w:tcPr>
          <w:p w14:paraId="10BEB8D9" w14:textId="77777777" w:rsidR="007968EC" w:rsidRPr="00B061DD" w:rsidRDefault="007968EC" w:rsidP="007968EC">
            <w:pPr>
              <w:jc w:val="center"/>
              <w:rPr>
                <w:rFonts w:ascii="Arial Narrow" w:eastAsia="Calibri" w:hAnsi="Arial Narrow" w:cs="Arial"/>
                <w:lang w:eastAsia="es-ES"/>
              </w:rPr>
            </w:pPr>
            <w:r w:rsidRPr="00B061DD">
              <w:rPr>
                <w:rFonts w:ascii="Arial Narrow" w:hAnsi="Arial Narrow" w:cs="Arial"/>
                <w:color w:val="000000"/>
                <w:lang w:val="es-ES" w:eastAsia="es-ES"/>
              </w:rPr>
              <w:t xml:space="preserve">0,75 </w:t>
            </w:r>
          </w:p>
        </w:tc>
      </w:tr>
      <w:tr w:rsidR="007968EC" w:rsidRPr="00B061DD" w14:paraId="0CAD507E" w14:textId="77777777" w:rsidTr="007968EC">
        <w:trPr>
          <w:trHeight w:val="150"/>
          <w:jc w:val="center"/>
        </w:trPr>
        <w:tc>
          <w:tcPr>
            <w:tcW w:w="2393" w:type="dxa"/>
            <w:shd w:val="clear" w:color="auto" w:fill="auto"/>
            <w:noWrap/>
            <w:hideMark/>
          </w:tcPr>
          <w:p w14:paraId="6C97966E" w14:textId="77777777" w:rsidR="007968EC" w:rsidRPr="00B061DD" w:rsidRDefault="007968EC" w:rsidP="007968EC">
            <w:pPr>
              <w:jc w:val="center"/>
              <w:rPr>
                <w:rFonts w:ascii="Arial Narrow" w:eastAsia="Calibri" w:hAnsi="Arial Narrow" w:cs="Arial"/>
                <w:lang w:eastAsia="es-ES"/>
              </w:rPr>
            </w:pPr>
            <w:r w:rsidRPr="00B061DD">
              <w:rPr>
                <w:rFonts w:ascii="Arial Narrow" w:eastAsia="Calibri" w:hAnsi="Arial Narrow" w:cs="Arial"/>
                <w:lang w:eastAsia="es-ES"/>
              </w:rPr>
              <w:t>G2</w:t>
            </w:r>
          </w:p>
        </w:tc>
        <w:tc>
          <w:tcPr>
            <w:tcW w:w="1201" w:type="dxa"/>
            <w:shd w:val="clear" w:color="auto" w:fill="auto"/>
            <w:noWrap/>
            <w:vAlign w:val="center"/>
            <w:hideMark/>
          </w:tcPr>
          <w:p w14:paraId="0E72E257" w14:textId="77777777" w:rsidR="007968EC" w:rsidRPr="00B061DD" w:rsidRDefault="007968EC" w:rsidP="007968EC">
            <w:pPr>
              <w:jc w:val="center"/>
              <w:rPr>
                <w:rFonts w:ascii="Arial Narrow" w:eastAsia="Calibri" w:hAnsi="Arial Narrow" w:cs="Arial"/>
                <w:lang w:eastAsia="es-ES"/>
              </w:rPr>
            </w:pPr>
            <w:r w:rsidRPr="00B061DD">
              <w:rPr>
                <w:rFonts w:ascii="Arial Narrow" w:hAnsi="Arial Narrow" w:cs="Arial"/>
                <w:color w:val="000000"/>
                <w:lang w:val="es-ES" w:eastAsia="es-ES"/>
              </w:rPr>
              <w:t>0,75</w:t>
            </w:r>
          </w:p>
        </w:tc>
        <w:tc>
          <w:tcPr>
            <w:tcW w:w="1400" w:type="dxa"/>
            <w:shd w:val="clear" w:color="auto" w:fill="auto"/>
            <w:noWrap/>
            <w:vAlign w:val="center"/>
            <w:hideMark/>
          </w:tcPr>
          <w:p w14:paraId="6861D821" w14:textId="77777777" w:rsidR="007968EC" w:rsidRPr="00B061DD" w:rsidRDefault="007968EC" w:rsidP="007968EC">
            <w:pPr>
              <w:jc w:val="center"/>
              <w:rPr>
                <w:rFonts w:ascii="Arial Narrow" w:eastAsia="Calibri" w:hAnsi="Arial Narrow" w:cs="Arial"/>
                <w:lang w:eastAsia="es-ES"/>
              </w:rPr>
            </w:pPr>
            <w:r w:rsidRPr="00B061DD">
              <w:rPr>
                <w:rFonts w:ascii="Arial Narrow" w:hAnsi="Arial Narrow" w:cs="Arial"/>
                <w:color w:val="000000"/>
                <w:lang w:val="es-ES" w:eastAsia="es-ES"/>
              </w:rPr>
              <w:t>1,5</w:t>
            </w:r>
          </w:p>
        </w:tc>
      </w:tr>
      <w:tr w:rsidR="007968EC" w:rsidRPr="00B061DD" w14:paraId="54C6E7E0" w14:textId="77777777" w:rsidTr="007968EC">
        <w:trPr>
          <w:trHeight w:val="150"/>
          <w:jc w:val="center"/>
        </w:trPr>
        <w:tc>
          <w:tcPr>
            <w:tcW w:w="2393" w:type="dxa"/>
            <w:shd w:val="clear" w:color="auto" w:fill="auto"/>
            <w:noWrap/>
            <w:hideMark/>
          </w:tcPr>
          <w:p w14:paraId="6FF5B7D4" w14:textId="77777777" w:rsidR="007968EC" w:rsidRPr="00B061DD" w:rsidRDefault="007968EC" w:rsidP="007968EC">
            <w:pPr>
              <w:jc w:val="center"/>
              <w:rPr>
                <w:rFonts w:ascii="Arial Narrow" w:eastAsia="Calibri" w:hAnsi="Arial Narrow" w:cs="Arial"/>
                <w:lang w:eastAsia="es-ES"/>
              </w:rPr>
            </w:pPr>
            <w:r w:rsidRPr="00B061DD">
              <w:rPr>
                <w:rFonts w:ascii="Arial Narrow" w:eastAsia="Calibri" w:hAnsi="Arial Narrow" w:cs="Arial"/>
                <w:lang w:eastAsia="es-ES"/>
              </w:rPr>
              <w:t>G3</w:t>
            </w:r>
          </w:p>
        </w:tc>
        <w:tc>
          <w:tcPr>
            <w:tcW w:w="1201" w:type="dxa"/>
            <w:shd w:val="clear" w:color="auto" w:fill="auto"/>
            <w:noWrap/>
            <w:vAlign w:val="center"/>
            <w:hideMark/>
          </w:tcPr>
          <w:p w14:paraId="409A39D9" w14:textId="77777777" w:rsidR="007968EC" w:rsidRPr="00B061DD" w:rsidRDefault="007968EC" w:rsidP="007968EC">
            <w:pPr>
              <w:jc w:val="center"/>
              <w:rPr>
                <w:rFonts w:ascii="Arial Narrow" w:eastAsia="Calibri" w:hAnsi="Arial Narrow" w:cs="Arial"/>
                <w:lang w:eastAsia="es-ES"/>
              </w:rPr>
            </w:pPr>
            <w:r w:rsidRPr="00B061DD">
              <w:rPr>
                <w:rFonts w:ascii="Arial Narrow" w:hAnsi="Arial Narrow" w:cs="Arial"/>
                <w:color w:val="000000"/>
                <w:lang w:val="es-ES" w:eastAsia="es-ES"/>
              </w:rPr>
              <w:t>1,50</w:t>
            </w:r>
          </w:p>
        </w:tc>
        <w:tc>
          <w:tcPr>
            <w:tcW w:w="1400" w:type="dxa"/>
            <w:shd w:val="clear" w:color="auto" w:fill="auto"/>
            <w:noWrap/>
            <w:vAlign w:val="center"/>
            <w:hideMark/>
          </w:tcPr>
          <w:p w14:paraId="77AA2128" w14:textId="77777777" w:rsidR="007968EC" w:rsidRPr="00B061DD" w:rsidRDefault="007968EC" w:rsidP="007968EC">
            <w:pPr>
              <w:jc w:val="center"/>
              <w:rPr>
                <w:rFonts w:ascii="Arial Narrow" w:eastAsia="Calibri" w:hAnsi="Arial Narrow" w:cs="Arial"/>
                <w:lang w:eastAsia="es-ES"/>
              </w:rPr>
            </w:pPr>
            <w:r w:rsidRPr="00B061DD">
              <w:rPr>
                <w:rFonts w:ascii="Arial Narrow" w:hAnsi="Arial Narrow" w:cs="Arial"/>
                <w:color w:val="000000"/>
                <w:lang w:val="es-ES" w:eastAsia="es-ES"/>
              </w:rPr>
              <w:t>3,0</w:t>
            </w:r>
          </w:p>
        </w:tc>
      </w:tr>
      <w:tr w:rsidR="007968EC" w:rsidRPr="00B061DD" w14:paraId="05AFE68D" w14:textId="77777777" w:rsidTr="007968EC">
        <w:trPr>
          <w:trHeight w:val="150"/>
          <w:jc w:val="center"/>
        </w:trPr>
        <w:tc>
          <w:tcPr>
            <w:tcW w:w="2393" w:type="dxa"/>
            <w:shd w:val="clear" w:color="auto" w:fill="auto"/>
            <w:noWrap/>
            <w:hideMark/>
          </w:tcPr>
          <w:p w14:paraId="6DBA6F63" w14:textId="77777777" w:rsidR="007968EC" w:rsidRPr="00B061DD" w:rsidRDefault="007968EC" w:rsidP="007968EC">
            <w:pPr>
              <w:jc w:val="center"/>
              <w:rPr>
                <w:rFonts w:ascii="Arial Narrow" w:eastAsia="Calibri" w:hAnsi="Arial Narrow" w:cs="Arial"/>
                <w:lang w:eastAsia="es-ES"/>
              </w:rPr>
            </w:pPr>
            <w:r w:rsidRPr="00B061DD">
              <w:rPr>
                <w:rFonts w:ascii="Arial Narrow" w:eastAsia="Calibri" w:hAnsi="Arial Narrow" w:cs="Arial"/>
                <w:lang w:eastAsia="es-ES"/>
              </w:rPr>
              <w:t>G4</w:t>
            </w:r>
          </w:p>
        </w:tc>
        <w:tc>
          <w:tcPr>
            <w:tcW w:w="1201" w:type="dxa"/>
            <w:shd w:val="clear" w:color="auto" w:fill="auto"/>
            <w:noWrap/>
            <w:vAlign w:val="center"/>
            <w:hideMark/>
          </w:tcPr>
          <w:p w14:paraId="24502233" w14:textId="77777777" w:rsidR="007968EC" w:rsidRPr="00B061DD" w:rsidRDefault="007968EC" w:rsidP="007968EC">
            <w:pPr>
              <w:jc w:val="center"/>
              <w:rPr>
                <w:rFonts w:ascii="Arial Narrow" w:eastAsia="Calibri" w:hAnsi="Arial Narrow" w:cs="Arial"/>
                <w:lang w:eastAsia="es-ES"/>
              </w:rPr>
            </w:pPr>
            <w:r w:rsidRPr="00B061DD">
              <w:rPr>
                <w:rFonts w:ascii="Arial Narrow" w:hAnsi="Arial Narrow" w:cs="Arial"/>
                <w:color w:val="000000"/>
                <w:lang w:val="es-ES" w:eastAsia="es-ES"/>
              </w:rPr>
              <w:t>3,0</w:t>
            </w:r>
          </w:p>
        </w:tc>
        <w:tc>
          <w:tcPr>
            <w:tcW w:w="1400" w:type="dxa"/>
            <w:shd w:val="clear" w:color="auto" w:fill="auto"/>
            <w:noWrap/>
            <w:vAlign w:val="center"/>
            <w:hideMark/>
          </w:tcPr>
          <w:p w14:paraId="313CD479" w14:textId="77777777" w:rsidR="007968EC" w:rsidRPr="00B061DD" w:rsidRDefault="007968EC" w:rsidP="007968EC">
            <w:pPr>
              <w:jc w:val="center"/>
              <w:rPr>
                <w:rFonts w:ascii="Arial Narrow" w:eastAsia="Calibri" w:hAnsi="Arial Narrow" w:cs="Arial"/>
                <w:lang w:eastAsia="es-ES"/>
              </w:rPr>
            </w:pPr>
            <w:r w:rsidRPr="00B061DD">
              <w:rPr>
                <w:rFonts w:ascii="Arial Narrow" w:hAnsi="Arial Narrow" w:cs="Arial"/>
                <w:color w:val="000000"/>
                <w:lang w:val="es-ES" w:eastAsia="es-ES"/>
              </w:rPr>
              <w:t>5,0</w:t>
            </w:r>
          </w:p>
        </w:tc>
      </w:tr>
      <w:tr w:rsidR="007968EC" w:rsidRPr="00B061DD" w14:paraId="5AB3B4E4" w14:textId="77777777" w:rsidTr="007968EC">
        <w:trPr>
          <w:trHeight w:val="150"/>
          <w:jc w:val="center"/>
        </w:trPr>
        <w:tc>
          <w:tcPr>
            <w:tcW w:w="2393" w:type="dxa"/>
            <w:shd w:val="clear" w:color="auto" w:fill="auto"/>
            <w:noWrap/>
            <w:hideMark/>
          </w:tcPr>
          <w:p w14:paraId="482C525D" w14:textId="77777777" w:rsidR="007968EC" w:rsidRPr="00B061DD" w:rsidRDefault="007968EC" w:rsidP="007968EC">
            <w:pPr>
              <w:jc w:val="center"/>
              <w:rPr>
                <w:rFonts w:ascii="Arial Narrow" w:eastAsia="Calibri" w:hAnsi="Arial Narrow" w:cs="Arial"/>
                <w:lang w:eastAsia="es-ES"/>
              </w:rPr>
            </w:pPr>
            <w:r w:rsidRPr="00B061DD">
              <w:rPr>
                <w:rFonts w:ascii="Arial Narrow" w:eastAsia="Calibri" w:hAnsi="Arial Narrow" w:cs="Arial"/>
                <w:lang w:eastAsia="es-ES"/>
              </w:rPr>
              <w:t>G5</w:t>
            </w:r>
          </w:p>
        </w:tc>
        <w:tc>
          <w:tcPr>
            <w:tcW w:w="1201" w:type="dxa"/>
            <w:shd w:val="clear" w:color="auto" w:fill="auto"/>
            <w:noWrap/>
            <w:vAlign w:val="center"/>
            <w:hideMark/>
          </w:tcPr>
          <w:p w14:paraId="67609AE4" w14:textId="77777777" w:rsidR="007968EC" w:rsidRPr="00B061DD" w:rsidRDefault="007968EC" w:rsidP="007968EC">
            <w:pPr>
              <w:jc w:val="center"/>
              <w:rPr>
                <w:rFonts w:ascii="Arial Narrow" w:eastAsia="Calibri" w:hAnsi="Arial Narrow" w:cs="Arial"/>
                <w:lang w:eastAsia="es-ES"/>
              </w:rPr>
            </w:pPr>
            <w:r w:rsidRPr="00B061DD">
              <w:rPr>
                <w:rFonts w:ascii="Arial Narrow" w:hAnsi="Arial Narrow" w:cs="Arial"/>
                <w:color w:val="000000"/>
                <w:lang w:val="es-ES" w:eastAsia="es-ES"/>
              </w:rPr>
              <w:t>5,0</w:t>
            </w:r>
          </w:p>
        </w:tc>
        <w:tc>
          <w:tcPr>
            <w:tcW w:w="1400" w:type="dxa"/>
            <w:shd w:val="clear" w:color="auto" w:fill="auto"/>
            <w:noWrap/>
            <w:vAlign w:val="center"/>
            <w:hideMark/>
          </w:tcPr>
          <w:p w14:paraId="00230642" w14:textId="77777777" w:rsidR="007968EC" w:rsidRPr="00B061DD" w:rsidRDefault="007968EC" w:rsidP="007968EC">
            <w:pPr>
              <w:jc w:val="center"/>
              <w:rPr>
                <w:rFonts w:ascii="Arial Narrow" w:eastAsia="Calibri" w:hAnsi="Arial Narrow" w:cs="Arial"/>
                <w:lang w:eastAsia="es-ES"/>
              </w:rPr>
            </w:pPr>
            <w:r w:rsidRPr="00B061DD">
              <w:rPr>
                <w:rFonts w:ascii="Arial Narrow" w:hAnsi="Arial Narrow" w:cs="Arial"/>
                <w:color w:val="000000"/>
                <w:lang w:val="es-ES" w:eastAsia="es-ES"/>
              </w:rPr>
              <w:t>7,0</w:t>
            </w:r>
          </w:p>
        </w:tc>
      </w:tr>
      <w:tr w:rsidR="007968EC" w:rsidRPr="00B061DD" w14:paraId="45FFACDC" w14:textId="77777777" w:rsidTr="007968EC">
        <w:trPr>
          <w:trHeight w:val="150"/>
          <w:jc w:val="center"/>
        </w:trPr>
        <w:tc>
          <w:tcPr>
            <w:tcW w:w="2393" w:type="dxa"/>
            <w:shd w:val="clear" w:color="auto" w:fill="auto"/>
            <w:noWrap/>
            <w:hideMark/>
          </w:tcPr>
          <w:p w14:paraId="3B2F8165" w14:textId="77777777" w:rsidR="007968EC" w:rsidRPr="00B061DD" w:rsidRDefault="007968EC" w:rsidP="007968EC">
            <w:pPr>
              <w:jc w:val="center"/>
              <w:rPr>
                <w:rFonts w:ascii="Arial Narrow" w:eastAsia="Calibri" w:hAnsi="Arial Narrow" w:cs="Arial"/>
                <w:lang w:eastAsia="es-ES"/>
              </w:rPr>
            </w:pPr>
            <w:r w:rsidRPr="00B061DD">
              <w:rPr>
                <w:rFonts w:ascii="Arial Narrow" w:eastAsia="Calibri" w:hAnsi="Arial Narrow" w:cs="Arial"/>
                <w:lang w:eastAsia="es-ES"/>
              </w:rPr>
              <w:t>G6</w:t>
            </w:r>
          </w:p>
        </w:tc>
        <w:tc>
          <w:tcPr>
            <w:tcW w:w="1201" w:type="dxa"/>
            <w:shd w:val="clear" w:color="auto" w:fill="auto"/>
            <w:noWrap/>
            <w:vAlign w:val="center"/>
            <w:hideMark/>
          </w:tcPr>
          <w:p w14:paraId="2883DD81" w14:textId="77777777" w:rsidR="007968EC" w:rsidRPr="00B061DD" w:rsidRDefault="007968EC" w:rsidP="007968EC">
            <w:pPr>
              <w:jc w:val="center"/>
              <w:rPr>
                <w:rFonts w:ascii="Arial Narrow" w:eastAsia="Calibri" w:hAnsi="Arial Narrow" w:cs="Arial"/>
                <w:lang w:eastAsia="es-ES"/>
              </w:rPr>
            </w:pPr>
            <w:r w:rsidRPr="00B061DD">
              <w:rPr>
                <w:rFonts w:ascii="Arial Narrow" w:hAnsi="Arial Narrow" w:cs="Arial"/>
                <w:color w:val="000000"/>
                <w:lang w:val="es-ES" w:eastAsia="es-ES"/>
              </w:rPr>
              <w:t>7,0</w:t>
            </w:r>
          </w:p>
        </w:tc>
        <w:tc>
          <w:tcPr>
            <w:tcW w:w="1400" w:type="dxa"/>
            <w:shd w:val="clear" w:color="auto" w:fill="auto"/>
            <w:noWrap/>
            <w:vAlign w:val="center"/>
            <w:hideMark/>
          </w:tcPr>
          <w:p w14:paraId="65D56139" w14:textId="77777777" w:rsidR="007968EC" w:rsidRPr="00B061DD" w:rsidRDefault="007968EC" w:rsidP="007968EC">
            <w:pPr>
              <w:jc w:val="center"/>
              <w:rPr>
                <w:rFonts w:ascii="Arial Narrow" w:eastAsia="Calibri" w:hAnsi="Arial Narrow" w:cs="Arial"/>
                <w:lang w:eastAsia="es-ES"/>
              </w:rPr>
            </w:pPr>
            <w:r w:rsidRPr="00B061DD">
              <w:rPr>
                <w:rFonts w:ascii="Arial Narrow" w:hAnsi="Arial Narrow" w:cs="Arial"/>
                <w:color w:val="000000"/>
                <w:lang w:val="es-ES" w:eastAsia="es-ES"/>
              </w:rPr>
              <w:t>10,0</w:t>
            </w:r>
          </w:p>
        </w:tc>
      </w:tr>
      <w:tr w:rsidR="007968EC" w:rsidRPr="00B061DD" w14:paraId="20658EB7" w14:textId="77777777" w:rsidTr="007968EC">
        <w:trPr>
          <w:trHeight w:val="150"/>
          <w:jc w:val="center"/>
        </w:trPr>
        <w:tc>
          <w:tcPr>
            <w:tcW w:w="2393" w:type="dxa"/>
            <w:shd w:val="clear" w:color="auto" w:fill="auto"/>
            <w:noWrap/>
            <w:hideMark/>
          </w:tcPr>
          <w:p w14:paraId="7C975600" w14:textId="77777777" w:rsidR="007968EC" w:rsidRPr="00B061DD" w:rsidRDefault="007968EC" w:rsidP="007968EC">
            <w:pPr>
              <w:jc w:val="center"/>
              <w:rPr>
                <w:rFonts w:ascii="Arial Narrow" w:eastAsia="Calibri" w:hAnsi="Arial Narrow" w:cs="Arial"/>
                <w:lang w:eastAsia="es-ES"/>
              </w:rPr>
            </w:pPr>
            <w:r w:rsidRPr="00B061DD">
              <w:rPr>
                <w:rFonts w:ascii="Arial Narrow" w:eastAsia="Calibri" w:hAnsi="Arial Narrow" w:cs="Arial"/>
                <w:lang w:eastAsia="es-ES"/>
              </w:rPr>
              <w:t>G7</w:t>
            </w:r>
          </w:p>
        </w:tc>
        <w:tc>
          <w:tcPr>
            <w:tcW w:w="1201" w:type="dxa"/>
            <w:shd w:val="clear" w:color="auto" w:fill="auto"/>
            <w:noWrap/>
            <w:vAlign w:val="center"/>
            <w:hideMark/>
          </w:tcPr>
          <w:p w14:paraId="54CB3549" w14:textId="77777777" w:rsidR="007968EC" w:rsidRPr="00B061DD" w:rsidRDefault="007968EC" w:rsidP="007968EC">
            <w:pPr>
              <w:jc w:val="center"/>
              <w:rPr>
                <w:rFonts w:ascii="Arial Narrow" w:eastAsia="Calibri" w:hAnsi="Arial Narrow" w:cs="Arial"/>
                <w:lang w:eastAsia="es-ES"/>
              </w:rPr>
            </w:pPr>
            <w:r w:rsidRPr="00B061DD">
              <w:rPr>
                <w:rFonts w:ascii="Arial Narrow" w:hAnsi="Arial Narrow" w:cs="Arial"/>
                <w:color w:val="000000"/>
                <w:lang w:val="es-ES" w:eastAsia="es-ES"/>
              </w:rPr>
              <w:t>10,0</w:t>
            </w:r>
          </w:p>
        </w:tc>
        <w:tc>
          <w:tcPr>
            <w:tcW w:w="1400" w:type="dxa"/>
            <w:shd w:val="clear" w:color="auto" w:fill="auto"/>
            <w:noWrap/>
            <w:vAlign w:val="center"/>
            <w:hideMark/>
          </w:tcPr>
          <w:p w14:paraId="12C811F5" w14:textId="77777777" w:rsidR="007968EC" w:rsidRPr="00B061DD" w:rsidRDefault="007968EC" w:rsidP="007968EC">
            <w:pPr>
              <w:jc w:val="center"/>
              <w:rPr>
                <w:rFonts w:ascii="Arial Narrow" w:eastAsia="Calibri" w:hAnsi="Arial Narrow" w:cs="Arial"/>
                <w:lang w:eastAsia="es-ES"/>
              </w:rPr>
            </w:pPr>
            <w:r w:rsidRPr="00B061DD">
              <w:rPr>
                <w:rFonts w:ascii="Arial Narrow" w:hAnsi="Arial Narrow" w:cs="Arial"/>
                <w:color w:val="000000"/>
                <w:lang w:val="es-ES" w:eastAsia="es-ES"/>
              </w:rPr>
              <w:t>15,0</w:t>
            </w:r>
          </w:p>
        </w:tc>
      </w:tr>
      <w:tr w:rsidR="007968EC" w:rsidRPr="00B061DD" w14:paraId="209508F2" w14:textId="77777777" w:rsidTr="007968EC">
        <w:trPr>
          <w:trHeight w:val="150"/>
          <w:jc w:val="center"/>
        </w:trPr>
        <w:tc>
          <w:tcPr>
            <w:tcW w:w="2393" w:type="dxa"/>
            <w:shd w:val="clear" w:color="auto" w:fill="auto"/>
            <w:noWrap/>
          </w:tcPr>
          <w:p w14:paraId="7320CA7C" w14:textId="77777777" w:rsidR="007968EC" w:rsidRPr="00B061DD" w:rsidRDefault="007968EC" w:rsidP="007968EC">
            <w:pPr>
              <w:jc w:val="center"/>
              <w:rPr>
                <w:rFonts w:ascii="Arial Narrow" w:eastAsia="Calibri" w:hAnsi="Arial Narrow" w:cs="Arial"/>
                <w:lang w:eastAsia="es-ES"/>
              </w:rPr>
            </w:pPr>
            <w:r w:rsidRPr="00B061DD">
              <w:rPr>
                <w:rFonts w:ascii="Arial Narrow" w:eastAsia="Calibri" w:hAnsi="Arial Narrow" w:cs="Arial"/>
                <w:lang w:eastAsia="es-ES"/>
              </w:rPr>
              <w:t>G8</w:t>
            </w:r>
          </w:p>
        </w:tc>
        <w:tc>
          <w:tcPr>
            <w:tcW w:w="1201" w:type="dxa"/>
            <w:shd w:val="clear" w:color="auto" w:fill="auto"/>
            <w:noWrap/>
            <w:vAlign w:val="center"/>
          </w:tcPr>
          <w:p w14:paraId="4C04E63D" w14:textId="77777777" w:rsidR="007968EC" w:rsidRPr="00B061DD" w:rsidRDefault="007968EC" w:rsidP="007968EC">
            <w:pPr>
              <w:jc w:val="center"/>
              <w:rPr>
                <w:rFonts w:ascii="Arial Narrow" w:hAnsi="Arial Narrow" w:cs="Arial"/>
                <w:color w:val="000000"/>
                <w:lang w:val="es-ES" w:eastAsia="es-ES"/>
              </w:rPr>
            </w:pPr>
            <w:r w:rsidRPr="00B061DD">
              <w:rPr>
                <w:rFonts w:ascii="Arial Narrow" w:hAnsi="Arial Narrow" w:cs="Arial"/>
                <w:color w:val="000000"/>
                <w:lang w:val="es-ES" w:eastAsia="es-ES"/>
              </w:rPr>
              <w:t>15,0</w:t>
            </w:r>
          </w:p>
        </w:tc>
        <w:tc>
          <w:tcPr>
            <w:tcW w:w="1400" w:type="dxa"/>
            <w:shd w:val="clear" w:color="auto" w:fill="auto"/>
            <w:noWrap/>
            <w:vAlign w:val="center"/>
          </w:tcPr>
          <w:p w14:paraId="7301A147" w14:textId="77777777" w:rsidR="007968EC" w:rsidRPr="00B061DD" w:rsidRDefault="007968EC" w:rsidP="007968EC">
            <w:pPr>
              <w:jc w:val="center"/>
              <w:rPr>
                <w:rFonts w:ascii="Arial Narrow" w:hAnsi="Arial Narrow" w:cs="Arial"/>
                <w:color w:val="000000"/>
                <w:lang w:val="es-ES" w:eastAsia="es-ES"/>
              </w:rPr>
            </w:pPr>
            <w:r w:rsidRPr="00B061DD">
              <w:rPr>
                <w:rFonts w:ascii="Arial Narrow" w:hAnsi="Arial Narrow" w:cs="Arial"/>
                <w:color w:val="000000"/>
                <w:lang w:val="es-ES" w:eastAsia="es-ES"/>
              </w:rPr>
              <w:t>20,0</w:t>
            </w:r>
          </w:p>
        </w:tc>
      </w:tr>
    </w:tbl>
    <w:p w14:paraId="1084F1FA" w14:textId="77777777" w:rsidR="007968EC" w:rsidRDefault="007968EC" w:rsidP="007968EC">
      <w:pPr>
        <w:jc w:val="both"/>
        <w:rPr>
          <w:rFonts w:ascii="Arial Narrow" w:eastAsia="Calibri" w:hAnsi="Arial Narrow" w:cs="Arial"/>
          <w:b/>
          <w:lang w:eastAsia="es-ES"/>
        </w:rPr>
      </w:pPr>
    </w:p>
    <w:p w14:paraId="5743B0ED" w14:textId="77777777" w:rsidR="007968EC" w:rsidRDefault="007968EC" w:rsidP="007968EC">
      <w:pPr>
        <w:jc w:val="both"/>
        <w:rPr>
          <w:rFonts w:ascii="Arial Narrow" w:hAnsi="Arial Narrow" w:cs="Arial"/>
          <w:lang w:val="es-ES" w:eastAsia="es-ES"/>
        </w:rPr>
      </w:pPr>
      <w:r w:rsidRPr="00EB3D3E">
        <w:rPr>
          <w:rFonts w:ascii="Arial Narrow" w:hAnsi="Arial Narrow" w:cs="Arial"/>
          <w:color w:val="000000"/>
          <w:lang w:val="es-ES" w:eastAsia="es-ES"/>
        </w:rPr>
        <w:t>Para realizar el cálculo del riesgo en situación de estrés de acuerdo con lo definido en el artículo 1.6.2.9. se utilizarán los</w:t>
      </w:r>
      <w:r>
        <w:rPr>
          <w:rFonts w:ascii="Arial Narrow" w:hAnsi="Arial Narrow" w:cs="Arial"/>
          <w:color w:val="000000"/>
          <w:lang w:val="es-ES" w:eastAsia="es-ES"/>
        </w:rPr>
        <w:t xml:space="preserve"> escenarios descritos en </w:t>
      </w:r>
      <w:r>
        <w:rPr>
          <w:rFonts w:ascii="Arial Narrow" w:hAnsi="Arial Narrow" w:cs="Arial"/>
          <w:color w:val="000000"/>
          <w:lang w:val="es-ES" w:eastAsia="es-CO"/>
        </w:rPr>
        <w:t>Artículo 3.5.3.5</w:t>
      </w:r>
      <w:r>
        <w:rPr>
          <w:rFonts w:ascii="Arial Narrow" w:hAnsi="Arial Narrow" w:cs="Arial"/>
          <w:lang w:val="es-ES" w:eastAsia="es-ES"/>
        </w:rPr>
        <w:t>.</w:t>
      </w:r>
      <w:r w:rsidRPr="00237C29">
        <w:rPr>
          <w:rFonts w:ascii="Arial Narrow" w:hAnsi="Arial Narrow" w:cs="Arial"/>
          <w:color w:val="000000"/>
          <w:lang w:val="es-ES" w:eastAsia="es-CO"/>
        </w:rPr>
        <w:t xml:space="preserve"> </w:t>
      </w:r>
      <w:r>
        <w:rPr>
          <w:rFonts w:ascii="Arial Narrow" w:hAnsi="Arial Narrow" w:cs="Arial"/>
          <w:color w:val="000000"/>
          <w:lang w:val="es-ES" w:eastAsia="es-CO"/>
        </w:rPr>
        <w:t>Las fluctuaciones de estrés para cada tramo podrán variar de acuerdo con cada escenario de estrés que diseñe la Cámara.</w:t>
      </w:r>
    </w:p>
    <w:p w14:paraId="5AE75B46" w14:textId="77777777" w:rsidR="007968EC" w:rsidRDefault="007968EC" w:rsidP="007968EC">
      <w:pPr>
        <w:jc w:val="both"/>
        <w:rPr>
          <w:rFonts w:ascii="Arial Narrow" w:eastAsia="Calibri" w:hAnsi="Arial Narrow" w:cs="Arial"/>
          <w:b/>
          <w:lang w:eastAsia="es-ES"/>
        </w:rPr>
      </w:pPr>
    </w:p>
    <w:p w14:paraId="78A56AD6" w14:textId="77777777" w:rsidR="007968EC" w:rsidRDefault="007968EC" w:rsidP="007968EC">
      <w:pPr>
        <w:pStyle w:val="ARTICULO0"/>
      </w:pPr>
      <w:bookmarkStart w:id="5869" w:name="_Toc31716307"/>
      <w:bookmarkStart w:id="5870" w:name="_Toc479057281"/>
      <w:r w:rsidRPr="00C35C5E">
        <w:t>Artículo 3.5.3.4. Garantías por Grandes Posiciones.</w:t>
      </w:r>
      <w:bookmarkEnd w:id="5869"/>
      <w:r w:rsidRPr="00C35C5E">
        <w:t xml:space="preserve"> </w:t>
      </w:r>
    </w:p>
    <w:p w14:paraId="7D008ED9" w14:textId="77777777" w:rsidR="007968EC" w:rsidRPr="00C35C5E" w:rsidRDefault="007968EC" w:rsidP="007968EC">
      <w:pPr>
        <w:pStyle w:val="ARTICULO0"/>
      </w:pPr>
    </w:p>
    <w:p w14:paraId="19750575" w14:textId="58F74C59" w:rsidR="007968EC" w:rsidRPr="003F073A" w:rsidRDefault="007968EC" w:rsidP="007968EC">
      <w:pPr>
        <w:jc w:val="both"/>
        <w:rPr>
          <w:rFonts w:ascii="Arial Narrow" w:hAnsi="Arial Narrow" w:cs="Arial"/>
          <w:b/>
          <w:i/>
          <w:lang w:val="es-MX" w:eastAsia="es-ES"/>
        </w:rPr>
      </w:pPr>
      <w:r w:rsidRPr="00DA3D5C">
        <w:rPr>
          <w:rFonts w:ascii="Arial Narrow" w:hAnsi="Arial Narrow" w:cs="Arial"/>
          <w:b/>
          <w:i/>
          <w:lang w:val="es-MX" w:eastAsia="es-ES"/>
        </w:rPr>
        <w:t>(Este artículo fu</w:t>
      </w:r>
      <w:r>
        <w:rPr>
          <w:rFonts w:ascii="Arial Narrow" w:hAnsi="Arial Narrow" w:cs="Arial"/>
          <w:b/>
          <w:i/>
          <w:lang w:val="es-MX" w:eastAsia="es-ES"/>
        </w:rPr>
        <w:t>e adicionado mediante Circular 10 del 6</w:t>
      </w:r>
      <w:r w:rsidRPr="00DA3D5C">
        <w:rPr>
          <w:rFonts w:ascii="Arial Narrow" w:hAnsi="Arial Narrow" w:cs="Arial"/>
          <w:b/>
          <w:i/>
          <w:lang w:val="es-MX" w:eastAsia="es-ES"/>
        </w:rPr>
        <w:t xml:space="preserve"> </w:t>
      </w:r>
      <w:r>
        <w:rPr>
          <w:rFonts w:ascii="Arial Narrow" w:hAnsi="Arial Narrow" w:cs="Arial"/>
          <w:b/>
          <w:i/>
          <w:lang w:val="es-MX" w:eastAsia="es-ES"/>
        </w:rPr>
        <w:t>de julio de 2018</w:t>
      </w:r>
      <w:r w:rsidRPr="00DA3D5C">
        <w:rPr>
          <w:rFonts w:ascii="Arial Narrow" w:hAnsi="Arial Narrow" w:cs="Arial"/>
          <w:b/>
          <w:i/>
          <w:lang w:val="es-MX" w:eastAsia="es-ES"/>
        </w:rPr>
        <w:t>, publicada me</w:t>
      </w:r>
      <w:r>
        <w:rPr>
          <w:rFonts w:ascii="Arial Narrow" w:hAnsi="Arial Narrow" w:cs="Arial"/>
          <w:b/>
          <w:i/>
          <w:lang w:val="es-MX" w:eastAsia="es-ES"/>
        </w:rPr>
        <w:t>diante Boletín Normativo No. 013 del 6</w:t>
      </w:r>
      <w:r w:rsidRPr="00DA3D5C">
        <w:rPr>
          <w:rFonts w:ascii="Arial Narrow" w:hAnsi="Arial Narrow" w:cs="Arial"/>
          <w:b/>
          <w:i/>
          <w:lang w:val="es-MX" w:eastAsia="es-ES"/>
        </w:rPr>
        <w:t xml:space="preserve"> de </w:t>
      </w:r>
      <w:r>
        <w:rPr>
          <w:rFonts w:ascii="Arial Narrow" w:hAnsi="Arial Narrow" w:cs="Arial"/>
          <w:b/>
          <w:i/>
          <w:lang w:val="es-MX" w:eastAsia="es-ES"/>
        </w:rPr>
        <w:t>julio de 2018</w:t>
      </w:r>
      <w:r>
        <w:rPr>
          <w:rFonts w:ascii="Arial Narrow" w:eastAsia="Calibri" w:hAnsi="Arial Narrow" w:cs="Arial"/>
          <w:b/>
          <w:i/>
          <w:lang w:val="es-MX" w:eastAsia="es-ES"/>
        </w:rPr>
        <w:t xml:space="preserve"> y </w:t>
      </w:r>
      <w:r>
        <w:rPr>
          <w:rFonts w:ascii="Arial Narrow" w:eastAsia="Calibri" w:hAnsi="Arial Narrow" w:cs="Arial"/>
          <w:b/>
          <w:i/>
          <w:lang w:eastAsia="es-ES"/>
        </w:rPr>
        <w:t xml:space="preserve">modificado </w:t>
      </w:r>
      <w:r w:rsidRPr="00ED287A">
        <w:rPr>
          <w:rFonts w:ascii="Arial Narrow" w:eastAsia="Calibri" w:hAnsi="Arial Narrow" w:cs="Arial"/>
          <w:b/>
          <w:i/>
          <w:lang w:eastAsia="es-ES"/>
        </w:rPr>
        <w:t>mediante Circular 12 del 17 de septiembre de 2018, publicada en el Boletín Normativo No. 0</w:t>
      </w:r>
      <w:r>
        <w:rPr>
          <w:rFonts w:ascii="Arial Narrow" w:eastAsia="Calibri" w:hAnsi="Arial Narrow" w:cs="Arial"/>
          <w:b/>
          <w:i/>
          <w:lang w:eastAsia="es-ES"/>
        </w:rPr>
        <w:t xml:space="preserve">22 del 17 de septiembre de 2018, </w:t>
      </w:r>
      <w:r w:rsidRPr="00B061DD">
        <w:rPr>
          <w:rFonts w:ascii="Arial Narrow" w:eastAsia="Calibri" w:hAnsi="Arial Narrow" w:cs="Arial"/>
          <w:b/>
          <w:i/>
          <w:lang w:eastAsia="es-ES"/>
        </w:rPr>
        <w:t xml:space="preserve">mediante Circular 16 del 26 de diciembre de 2018, publicada en el Boletín Normativo No. </w:t>
      </w:r>
      <w:r>
        <w:rPr>
          <w:rFonts w:ascii="Arial Narrow" w:eastAsia="Calibri" w:hAnsi="Arial Narrow" w:cs="Arial"/>
          <w:b/>
          <w:i/>
          <w:lang w:eastAsia="es-ES"/>
        </w:rPr>
        <w:t>029 del 26 de diciembre de 2018, mediante Circular 8 del 17 de junio de 2019, publicada en el Boletín Normativo No. 020 del 17 de junio de 2019</w:t>
      </w:r>
      <w:r w:rsidRPr="003F073A">
        <w:rPr>
          <w:rFonts w:ascii="Arial Narrow" w:eastAsia="Calibri" w:hAnsi="Arial Narrow" w:cs="Arial"/>
          <w:b/>
          <w:i/>
          <w:lang w:eastAsia="es-ES"/>
        </w:rPr>
        <w:t xml:space="preserve">, </w:t>
      </w:r>
      <w:r w:rsidRPr="003F073A">
        <w:rPr>
          <w:rFonts w:ascii="Arial Narrow" w:hAnsi="Arial Narrow"/>
          <w:b/>
          <w:i/>
        </w:rPr>
        <w:t>mediante Circular 20 del 6 de diciembre de 2019, publicada en el Boletín Normativo No. 035 del 6 de diciembre de 2019</w:t>
      </w:r>
      <w:r w:rsidR="00B93F48">
        <w:rPr>
          <w:rFonts w:ascii="Arial Narrow" w:hAnsi="Arial Narrow"/>
          <w:b/>
          <w:i/>
        </w:rPr>
        <w:t>,</w:t>
      </w:r>
      <w:r w:rsidR="00B93F48" w:rsidRPr="00B93F48">
        <w:t xml:space="preserve"> </w:t>
      </w:r>
      <w:r w:rsidR="00B93F48" w:rsidRPr="00B93F48">
        <w:rPr>
          <w:rFonts w:ascii="Arial Narrow" w:hAnsi="Arial Narrow"/>
          <w:b/>
          <w:i/>
        </w:rPr>
        <w:t>y mediante Circular 3 del 5 de febrero de 2020, publicada en el Boletín Normativo No. 003 del 5 de febrero de 2020. Rige a partir del 10 de febrero de 2020).</w:t>
      </w:r>
    </w:p>
    <w:p w14:paraId="395F1F43" w14:textId="77777777" w:rsidR="007968EC" w:rsidRPr="002F7049" w:rsidRDefault="007968EC" w:rsidP="007968EC">
      <w:pPr>
        <w:jc w:val="both"/>
        <w:rPr>
          <w:rFonts w:ascii="Arial Narrow" w:eastAsia="Calibri" w:hAnsi="Arial Narrow" w:cs="Arial"/>
          <w:lang w:eastAsia="es-ES"/>
        </w:rPr>
      </w:pPr>
    </w:p>
    <w:p w14:paraId="3F048758" w14:textId="77777777" w:rsidR="00B93F48" w:rsidRPr="007C14BA" w:rsidRDefault="00B93F48" w:rsidP="00B93F48">
      <w:pPr>
        <w:tabs>
          <w:tab w:val="left" w:pos="754"/>
        </w:tabs>
        <w:jc w:val="both"/>
        <w:rPr>
          <w:rFonts w:ascii="Arial Narrow" w:hAnsi="Arial Narrow" w:cs="Arial"/>
          <w:lang w:val="es-ES" w:eastAsia="es-ES"/>
        </w:rPr>
      </w:pPr>
      <w:r w:rsidRPr="007C14BA">
        <w:rPr>
          <w:rFonts w:ascii="Arial Narrow" w:hAnsi="Arial Narrow" w:cs="Arial"/>
          <w:lang w:val="es-ES" w:eastAsia="es-ES"/>
        </w:rPr>
        <w:t>En caso que el valor de la Posición Abierta neta de una Cuenta de Registro de la Posición Propia o de un Tercero Identificado, y en un determinado Activo perteneciente a un Grupo de Compensación del Segmento de Renta Fija  cuyo subyacente sean Títulos sobre de Deuda Pública TES, supere el 300% del Volumen Medio Diario, será considerada esta como una Gran Posición, por lo tanto, se entiende que el horizonte de tiempo (días) necesario para cerrar dicha posición aumenta, según lo muestra la siguiente tabla:</w:t>
      </w:r>
    </w:p>
    <w:p w14:paraId="2BC91269" w14:textId="77777777" w:rsidR="00B93F48" w:rsidRPr="007C14BA" w:rsidRDefault="00B93F48" w:rsidP="00B93F48">
      <w:pPr>
        <w:tabs>
          <w:tab w:val="left" w:pos="754"/>
        </w:tabs>
        <w:jc w:val="both"/>
        <w:rPr>
          <w:rFonts w:ascii="Arial Narrow" w:hAnsi="Arial Narrow" w:cs="Arial"/>
          <w:lang w:val="es-ES" w:eastAsia="es-ES"/>
        </w:rPr>
      </w:pPr>
    </w:p>
    <w:tbl>
      <w:tblPr>
        <w:tblStyle w:val="Tablaconcuadrcula11322"/>
        <w:tblpPr w:leftFromText="141" w:rightFromText="141" w:vertAnchor="text" w:horzAnchor="margin" w:tblpXSpec="center" w:tblpY="47"/>
        <w:tblW w:w="5000" w:type="pct"/>
        <w:tblLook w:val="04A0" w:firstRow="1" w:lastRow="0" w:firstColumn="1" w:lastColumn="0" w:noHBand="0" w:noVBand="1"/>
      </w:tblPr>
      <w:tblGrid>
        <w:gridCol w:w="5149"/>
        <w:gridCol w:w="4247"/>
      </w:tblGrid>
      <w:tr w:rsidR="00B93F48" w:rsidRPr="007C14BA" w14:paraId="3A6F5528" w14:textId="77777777" w:rsidTr="00B211E6">
        <w:trPr>
          <w:trHeight w:val="226"/>
        </w:trPr>
        <w:tc>
          <w:tcPr>
            <w:tcW w:w="2740" w:type="pct"/>
          </w:tcPr>
          <w:p w14:paraId="5BD41F02" w14:textId="77777777" w:rsidR="00B93F48" w:rsidRPr="007C14BA" w:rsidRDefault="00B93F48" w:rsidP="00B211E6">
            <w:pPr>
              <w:tabs>
                <w:tab w:val="left" w:pos="754"/>
              </w:tabs>
              <w:jc w:val="center"/>
              <w:rPr>
                <w:rFonts w:ascii="Arial Narrow" w:hAnsi="Arial Narrow" w:cs="Arial"/>
              </w:rPr>
            </w:pPr>
            <w:r w:rsidRPr="007C14BA">
              <w:rPr>
                <w:rFonts w:ascii="Arial Narrow" w:hAnsi="Arial Narrow" w:cs="Arial"/>
                <w:bCs/>
                <w:color w:val="000000"/>
              </w:rPr>
              <w:t>% Sobre el Volumen Medio Diario</w:t>
            </w:r>
          </w:p>
        </w:tc>
        <w:tc>
          <w:tcPr>
            <w:tcW w:w="2260" w:type="pct"/>
          </w:tcPr>
          <w:p w14:paraId="73B679E6" w14:textId="77777777" w:rsidR="00B93F48" w:rsidRPr="007C14BA" w:rsidRDefault="00B93F48" w:rsidP="00B211E6">
            <w:pPr>
              <w:tabs>
                <w:tab w:val="left" w:pos="754"/>
              </w:tabs>
              <w:jc w:val="center"/>
              <w:rPr>
                <w:rFonts w:ascii="Arial Narrow" w:hAnsi="Arial Narrow" w:cs="Arial"/>
              </w:rPr>
            </w:pPr>
            <w:r w:rsidRPr="007C14BA">
              <w:rPr>
                <w:rFonts w:ascii="Arial Narrow" w:hAnsi="Arial Narrow" w:cs="Arial"/>
                <w:bCs/>
                <w:color w:val="000000"/>
              </w:rPr>
              <w:t>Horizonte de Tiempo (días)</w:t>
            </w:r>
          </w:p>
        </w:tc>
      </w:tr>
      <w:tr w:rsidR="00B93F48" w:rsidRPr="007C14BA" w14:paraId="34513B85" w14:textId="77777777" w:rsidTr="00B211E6">
        <w:trPr>
          <w:trHeight w:val="226"/>
        </w:trPr>
        <w:tc>
          <w:tcPr>
            <w:tcW w:w="2740" w:type="pct"/>
          </w:tcPr>
          <w:p w14:paraId="5C22A8E2" w14:textId="77777777" w:rsidR="00B93F48" w:rsidRPr="007C14BA" w:rsidRDefault="00B93F48" w:rsidP="00B211E6">
            <w:pPr>
              <w:tabs>
                <w:tab w:val="left" w:pos="754"/>
              </w:tabs>
              <w:jc w:val="center"/>
              <w:rPr>
                <w:rFonts w:ascii="Arial Narrow" w:hAnsi="Arial Narrow" w:cs="Arial"/>
              </w:rPr>
            </w:pPr>
            <w:r w:rsidRPr="007C14BA">
              <w:rPr>
                <w:rFonts w:ascii="Arial Narrow" w:hAnsi="Arial Narrow" w:cs="Arial"/>
              </w:rPr>
              <w:t>Entre un 300% y 600%</w:t>
            </w:r>
          </w:p>
        </w:tc>
        <w:tc>
          <w:tcPr>
            <w:tcW w:w="2260" w:type="pct"/>
          </w:tcPr>
          <w:p w14:paraId="38B5DFA3" w14:textId="77777777" w:rsidR="00B93F48" w:rsidRPr="007C14BA" w:rsidRDefault="00B93F48" w:rsidP="00B211E6">
            <w:pPr>
              <w:tabs>
                <w:tab w:val="left" w:pos="754"/>
              </w:tabs>
              <w:jc w:val="center"/>
              <w:rPr>
                <w:rFonts w:ascii="Arial Narrow" w:hAnsi="Arial Narrow" w:cs="Arial"/>
              </w:rPr>
            </w:pPr>
            <w:r w:rsidRPr="007C14BA">
              <w:rPr>
                <w:rFonts w:ascii="Arial Narrow" w:hAnsi="Arial Narrow" w:cs="Arial"/>
              </w:rPr>
              <w:t>5</w:t>
            </w:r>
          </w:p>
        </w:tc>
      </w:tr>
      <w:tr w:rsidR="00B93F48" w:rsidRPr="007C14BA" w14:paraId="0F53D68A" w14:textId="77777777" w:rsidTr="00B211E6">
        <w:trPr>
          <w:trHeight w:val="226"/>
        </w:trPr>
        <w:tc>
          <w:tcPr>
            <w:tcW w:w="2740" w:type="pct"/>
          </w:tcPr>
          <w:p w14:paraId="2B6525D9" w14:textId="77777777" w:rsidR="00B93F48" w:rsidRPr="007C14BA" w:rsidRDefault="00B93F48" w:rsidP="00B211E6">
            <w:pPr>
              <w:tabs>
                <w:tab w:val="left" w:pos="754"/>
              </w:tabs>
              <w:jc w:val="center"/>
              <w:rPr>
                <w:rFonts w:ascii="Arial Narrow" w:hAnsi="Arial Narrow" w:cs="Arial"/>
              </w:rPr>
            </w:pPr>
            <w:r w:rsidRPr="007C14BA">
              <w:rPr>
                <w:rFonts w:ascii="Arial Narrow" w:hAnsi="Arial Narrow" w:cs="Arial"/>
              </w:rPr>
              <w:t>Entre un 600% y 800%</w:t>
            </w:r>
          </w:p>
        </w:tc>
        <w:tc>
          <w:tcPr>
            <w:tcW w:w="2260" w:type="pct"/>
          </w:tcPr>
          <w:p w14:paraId="6269C913" w14:textId="77777777" w:rsidR="00B93F48" w:rsidRPr="007C14BA" w:rsidRDefault="00B93F48" w:rsidP="00B211E6">
            <w:pPr>
              <w:tabs>
                <w:tab w:val="left" w:pos="754"/>
              </w:tabs>
              <w:jc w:val="center"/>
              <w:rPr>
                <w:rFonts w:ascii="Arial Narrow" w:hAnsi="Arial Narrow" w:cs="Arial"/>
              </w:rPr>
            </w:pPr>
            <w:r w:rsidRPr="007C14BA">
              <w:rPr>
                <w:rFonts w:ascii="Arial Narrow" w:hAnsi="Arial Narrow" w:cs="Arial"/>
              </w:rPr>
              <w:t>7</w:t>
            </w:r>
          </w:p>
        </w:tc>
      </w:tr>
      <w:tr w:rsidR="00B93F48" w:rsidRPr="007C14BA" w14:paraId="2F7B05A6" w14:textId="77777777" w:rsidTr="00B211E6">
        <w:trPr>
          <w:trHeight w:val="214"/>
        </w:trPr>
        <w:tc>
          <w:tcPr>
            <w:tcW w:w="2740" w:type="pct"/>
          </w:tcPr>
          <w:p w14:paraId="1E5A308B" w14:textId="77777777" w:rsidR="00B93F48" w:rsidRPr="007C14BA" w:rsidRDefault="00B93F48" w:rsidP="00B211E6">
            <w:pPr>
              <w:tabs>
                <w:tab w:val="left" w:pos="754"/>
              </w:tabs>
              <w:jc w:val="center"/>
              <w:rPr>
                <w:rFonts w:ascii="Arial Narrow" w:hAnsi="Arial Narrow" w:cs="Arial"/>
              </w:rPr>
            </w:pPr>
            <w:r w:rsidRPr="007C14BA">
              <w:rPr>
                <w:rFonts w:ascii="Arial Narrow" w:hAnsi="Arial Narrow" w:cs="Arial"/>
              </w:rPr>
              <w:t>Mayor a un 800%</w:t>
            </w:r>
          </w:p>
        </w:tc>
        <w:tc>
          <w:tcPr>
            <w:tcW w:w="2260" w:type="pct"/>
          </w:tcPr>
          <w:p w14:paraId="0505181F" w14:textId="77777777" w:rsidR="00B93F48" w:rsidRPr="007C14BA" w:rsidRDefault="00B93F48" w:rsidP="00B211E6">
            <w:pPr>
              <w:tabs>
                <w:tab w:val="left" w:pos="754"/>
              </w:tabs>
              <w:jc w:val="center"/>
              <w:rPr>
                <w:rFonts w:ascii="Arial Narrow" w:hAnsi="Arial Narrow" w:cs="Arial"/>
              </w:rPr>
            </w:pPr>
            <w:r w:rsidRPr="007C14BA">
              <w:rPr>
                <w:rFonts w:ascii="Arial Narrow" w:hAnsi="Arial Narrow" w:cs="Arial"/>
              </w:rPr>
              <w:t>9</w:t>
            </w:r>
          </w:p>
        </w:tc>
      </w:tr>
    </w:tbl>
    <w:p w14:paraId="1D94877A" w14:textId="77777777" w:rsidR="00B93F48" w:rsidRPr="007C14BA" w:rsidRDefault="00B93F48" w:rsidP="00B93F48">
      <w:pPr>
        <w:tabs>
          <w:tab w:val="left" w:pos="754"/>
        </w:tabs>
        <w:jc w:val="both"/>
        <w:rPr>
          <w:rFonts w:ascii="Arial Narrow" w:hAnsi="Arial Narrow" w:cs="Arial"/>
          <w:lang w:val="es-ES" w:eastAsia="es-ES"/>
        </w:rPr>
      </w:pPr>
    </w:p>
    <w:p w14:paraId="661E0273" w14:textId="77777777" w:rsidR="00B93F48" w:rsidRPr="007C14BA" w:rsidRDefault="00B93F48" w:rsidP="00B93F48">
      <w:pPr>
        <w:tabs>
          <w:tab w:val="left" w:pos="754"/>
        </w:tabs>
        <w:jc w:val="both"/>
        <w:rPr>
          <w:rFonts w:ascii="Arial Narrow" w:hAnsi="Arial Narrow" w:cs="Arial"/>
          <w:lang w:val="es-ES" w:eastAsia="es-ES"/>
        </w:rPr>
      </w:pPr>
      <w:r w:rsidRPr="007C14BA">
        <w:rPr>
          <w:rFonts w:ascii="Arial Narrow" w:hAnsi="Arial Narrow" w:cs="Arial"/>
          <w:lang w:val="es-ES" w:eastAsia="es-ES"/>
        </w:rPr>
        <w:t>Por tal razón, los parámetros para el cálculo de la Garantía por Posición se incrementarán de acuerdo al incremento del horizonte de tiempo (días) necesario para cerrar la posición según se muestra en la siguiente tabla:</w:t>
      </w:r>
    </w:p>
    <w:p w14:paraId="2850D949" w14:textId="77777777" w:rsidR="00B93F48" w:rsidRPr="007C14BA" w:rsidRDefault="00B93F48" w:rsidP="00B93F48">
      <w:pPr>
        <w:tabs>
          <w:tab w:val="left" w:pos="754"/>
        </w:tabs>
        <w:jc w:val="center"/>
        <w:rPr>
          <w:rFonts w:ascii="Arial Narrow" w:hAnsi="Arial Narrow" w:cs="Arial"/>
          <w:lang w:val="es-ES" w:eastAsia="es-ES"/>
        </w:rPr>
      </w:pPr>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3227"/>
        <w:gridCol w:w="3249"/>
      </w:tblGrid>
      <w:tr w:rsidR="00B93F48" w:rsidRPr="007C14BA" w14:paraId="77A2E74A" w14:textId="77777777" w:rsidTr="00B211E6">
        <w:trPr>
          <w:trHeight w:val="520"/>
          <w:jc w:val="center"/>
        </w:trPr>
        <w:tc>
          <w:tcPr>
            <w:tcW w:w="2587" w:type="dxa"/>
          </w:tcPr>
          <w:p w14:paraId="40AC8163" w14:textId="77777777" w:rsidR="00B93F48" w:rsidRPr="007C14BA" w:rsidRDefault="00B93F48" w:rsidP="00B211E6">
            <w:pPr>
              <w:tabs>
                <w:tab w:val="left" w:pos="754"/>
              </w:tabs>
              <w:jc w:val="center"/>
              <w:rPr>
                <w:rFonts w:ascii="Arial Narrow" w:hAnsi="Arial Narrow" w:cs="Arial"/>
              </w:rPr>
            </w:pPr>
            <w:r w:rsidRPr="007C14BA">
              <w:rPr>
                <w:rFonts w:ascii="Arial Narrow" w:hAnsi="Arial Narrow" w:cs="Arial"/>
                <w:bCs/>
                <w:color w:val="000000"/>
              </w:rPr>
              <w:t>% Sobre el Volumen Medio Diario</w:t>
            </w:r>
          </w:p>
        </w:tc>
        <w:tc>
          <w:tcPr>
            <w:tcW w:w="3227" w:type="dxa"/>
          </w:tcPr>
          <w:p w14:paraId="34EC91D3" w14:textId="77777777" w:rsidR="00B93F48" w:rsidRPr="007C14BA" w:rsidRDefault="00B93F48" w:rsidP="00B211E6">
            <w:pPr>
              <w:tabs>
                <w:tab w:val="left" w:pos="754"/>
              </w:tabs>
              <w:jc w:val="center"/>
              <w:rPr>
                <w:rFonts w:ascii="Arial Narrow" w:hAnsi="Arial Narrow" w:cs="Arial"/>
              </w:rPr>
            </w:pPr>
            <w:r w:rsidRPr="007C14BA">
              <w:rPr>
                <w:rFonts w:ascii="Arial Narrow" w:hAnsi="Arial Narrow" w:cs="Arial"/>
                <w:bCs/>
                <w:color w:val="000000"/>
              </w:rPr>
              <w:t>Horizonte de Tiempo (días)</w:t>
            </w:r>
          </w:p>
        </w:tc>
        <w:tc>
          <w:tcPr>
            <w:tcW w:w="3249" w:type="dxa"/>
          </w:tcPr>
          <w:p w14:paraId="72A323D7" w14:textId="77777777" w:rsidR="00B93F48" w:rsidRPr="007C14BA" w:rsidRDefault="00B93F48" w:rsidP="00B211E6">
            <w:pPr>
              <w:tabs>
                <w:tab w:val="left" w:pos="754"/>
              </w:tabs>
              <w:jc w:val="center"/>
              <w:rPr>
                <w:rFonts w:ascii="Arial Narrow" w:hAnsi="Arial Narrow" w:cs="Arial"/>
              </w:rPr>
            </w:pPr>
            <w:r w:rsidRPr="007C14BA">
              <w:rPr>
                <w:rFonts w:ascii="Arial Narrow" w:hAnsi="Arial Narrow" w:cs="Arial"/>
                <w:bCs/>
                <w:color w:val="000000"/>
              </w:rPr>
              <w:t>% de incremento en la Garantía por Posición.</w:t>
            </w:r>
          </w:p>
        </w:tc>
      </w:tr>
      <w:tr w:rsidR="00B93F48" w:rsidRPr="007C14BA" w14:paraId="7D0EDC99" w14:textId="77777777" w:rsidTr="00B211E6">
        <w:trPr>
          <w:trHeight w:val="340"/>
          <w:jc w:val="center"/>
        </w:trPr>
        <w:tc>
          <w:tcPr>
            <w:tcW w:w="2587" w:type="dxa"/>
          </w:tcPr>
          <w:p w14:paraId="3F8FE936" w14:textId="77777777" w:rsidR="00B93F48" w:rsidRPr="007C14BA" w:rsidRDefault="00B93F48" w:rsidP="00B211E6">
            <w:pPr>
              <w:tabs>
                <w:tab w:val="left" w:pos="754"/>
              </w:tabs>
              <w:jc w:val="center"/>
              <w:rPr>
                <w:rFonts w:ascii="Arial Narrow" w:hAnsi="Arial Narrow" w:cs="Arial"/>
              </w:rPr>
            </w:pPr>
            <w:r w:rsidRPr="007C14BA">
              <w:rPr>
                <w:rFonts w:ascii="Arial Narrow" w:hAnsi="Arial Narrow" w:cs="Arial"/>
              </w:rPr>
              <w:t>Entre un 300% y 600%</w:t>
            </w:r>
          </w:p>
        </w:tc>
        <w:tc>
          <w:tcPr>
            <w:tcW w:w="3227" w:type="dxa"/>
          </w:tcPr>
          <w:p w14:paraId="0EF282AE" w14:textId="77777777" w:rsidR="00B93F48" w:rsidRPr="007C14BA" w:rsidRDefault="00B93F48" w:rsidP="00B211E6">
            <w:pPr>
              <w:tabs>
                <w:tab w:val="left" w:pos="754"/>
              </w:tabs>
              <w:jc w:val="center"/>
              <w:rPr>
                <w:rFonts w:ascii="Arial Narrow" w:hAnsi="Arial Narrow" w:cs="Arial"/>
              </w:rPr>
            </w:pPr>
            <w:r w:rsidRPr="007C14BA">
              <w:rPr>
                <w:rFonts w:ascii="Arial Narrow" w:hAnsi="Arial Narrow" w:cs="Arial"/>
              </w:rPr>
              <w:t>5</w:t>
            </w:r>
          </w:p>
        </w:tc>
        <w:tc>
          <w:tcPr>
            <w:tcW w:w="3249" w:type="dxa"/>
          </w:tcPr>
          <w:p w14:paraId="088BFA52" w14:textId="41FFCE9C" w:rsidR="00B93F48" w:rsidRPr="007C14BA" w:rsidRDefault="00B93F48" w:rsidP="00B211E6">
            <w:pPr>
              <w:tabs>
                <w:tab w:val="left" w:pos="754"/>
              </w:tabs>
              <w:jc w:val="center"/>
              <w:rPr>
                <w:rFonts w:ascii="Arial Narrow" w:hAnsi="Arial Narrow" w:cs="Arial"/>
              </w:rPr>
            </w:pPr>
            <w:r w:rsidRPr="007C14BA">
              <w:rPr>
                <w:rFonts w:ascii="Arial Narrow" w:hAnsi="Arial Narrow" w:cs="Arial"/>
              </w:rPr>
              <w:t>58%</w:t>
            </w:r>
          </w:p>
        </w:tc>
      </w:tr>
      <w:tr w:rsidR="00B93F48" w:rsidRPr="007C14BA" w14:paraId="3525A0E5" w14:textId="77777777" w:rsidTr="00B211E6">
        <w:trPr>
          <w:trHeight w:val="350"/>
          <w:jc w:val="center"/>
        </w:trPr>
        <w:tc>
          <w:tcPr>
            <w:tcW w:w="2587" w:type="dxa"/>
          </w:tcPr>
          <w:p w14:paraId="3E31DE5B" w14:textId="77777777" w:rsidR="00B93F48" w:rsidRPr="007C14BA" w:rsidRDefault="00B93F48" w:rsidP="00B211E6">
            <w:pPr>
              <w:tabs>
                <w:tab w:val="left" w:pos="754"/>
              </w:tabs>
              <w:jc w:val="center"/>
              <w:rPr>
                <w:rFonts w:ascii="Arial Narrow" w:hAnsi="Arial Narrow" w:cs="Arial"/>
              </w:rPr>
            </w:pPr>
            <w:r w:rsidRPr="007C14BA">
              <w:rPr>
                <w:rFonts w:ascii="Arial Narrow" w:hAnsi="Arial Narrow" w:cs="Arial"/>
              </w:rPr>
              <w:t>Entre un 600% y 800%</w:t>
            </w:r>
          </w:p>
        </w:tc>
        <w:tc>
          <w:tcPr>
            <w:tcW w:w="3227" w:type="dxa"/>
          </w:tcPr>
          <w:p w14:paraId="1A2C1DCE" w14:textId="77777777" w:rsidR="00B93F48" w:rsidRPr="007C14BA" w:rsidRDefault="00B93F48" w:rsidP="00B211E6">
            <w:pPr>
              <w:tabs>
                <w:tab w:val="left" w:pos="754"/>
              </w:tabs>
              <w:jc w:val="center"/>
              <w:rPr>
                <w:rFonts w:ascii="Arial Narrow" w:hAnsi="Arial Narrow" w:cs="Arial"/>
              </w:rPr>
            </w:pPr>
            <w:r w:rsidRPr="007C14BA">
              <w:rPr>
                <w:rFonts w:ascii="Arial Narrow" w:hAnsi="Arial Narrow" w:cs="Arial"/>
              </w:rPr>
              <w:t>7</w:t>
            </w:r>
          </w:p>
        </w:tc>
        <w:tc>
          <w:tcPr>
            <w:tcW w:w="3249" w:type="dxa"/>
          </w:tcPr>
          <w:p w14:paraId="29802C06" w14:textId="0DA61D41" w:rsidR="00B93F48" w:rsidRPr="007C14BA" w:rsidRDefault="00B93F48" w:rsidP="00B211E6">
            <w:pPr>
              <w:tabs>
                <w:tab w:val="left" w:pos="754"/>
              </w:tabs>
              <w:jc w:val="center"/>
              <w:rPr>
                <w:rFonts w:ascii="Arial Narrow" w:hAnsi="Arial Narrow" w:cs="Arial"/>
              </w:rPr>
            </w:pPr>
            <w:r w:rsidRPr="007C14BA">
              <w:rPr>
                <w:rFonts w:ascii="Arial Narrow" w:hAnsi="Arial Narrow" w:cs="Arial"/>
              </w:rPr>
              <w:t>87%</w:t>
            </w:r>
          </w:p>
        </w:tc>
      </w:tr>
      <w:tr w:rsidR="00B93F48" w:rsidRPr="007C14BA" w14:paraId="4E7B2613" w14:textId="77777777" w:rsidTr="00B211E6">
        <w:trPr>
          <w:trHeight w:val="160"/>
          <w:jc w:val="center"/>
        </w:trPr>
        <w:tc>
          <w:tcPr>
            <w:tcW w:w="2587" w:type="dxa"/>
          </w:tcPr>
          <w:p w14:paraId="7F9A4C4D" w14:textId="77777777" w:rsidR="00B93F48" w:rsidRPr="007C14BA" w:rsidRDefault="00B93F48" w:rsidP="00B211E6">
            <w:pPr>
              <w:tabs>
                <w:tab w:val="left" w:pos="754"/>
              </w:tabs>
              <w:jc w:val="center"/>
              <w:rPr>
                <w:rFonts w:ascii="Arial Narrow" w:hAnsi="Arial Narrow" w:cs="Arial"/>
              </w:rPr>
            </w:pPr>
            <w:r w:rsidRPr="007C14BA">
              <w:rPr>
                <w:rFonts w:ascii="Arial Narrow" w:hAnsi="Arial Narrow" w:cs="Arial"/>
              </w:rPr>
              <w:t>Mayor a un 800%</w:t>
            </w:r>
          </w:p>
        </w:tc>
        <w:tc>
          <w:tcPr>
            <w:tcW w:w="3227" w:type="dxa"/>
          </w:tcPr>
          <w:p w14:paraId="5D6E2161" w14:textId="77777777" w:rsidR="00B93F48" w:rsidRPr="007C14BA" w:rsidRDefault="00B93F48" w:rsidP="00B211E6">
            <w:pPr>
              <w:tabs>
                <w:tab w:val="left" w:pos="754"/>
              </w:tabs>
              <w:jc w:val="center"/>
              <w:rPr>
                <w:rFonts w:ascii="Arial Narrow" w:hAnsi="Arial Narrow" w:cs="Arial"/>
              </w:rPr>
            </w:pPr>
            <w:r w:rsidRPr="007C14BA">
              <w:rPr>
                <w:rFonts w:ascii="Arial Narrow" w:hAnsi="Arial Narrow" w:cs="Arial"/>
              </w:rPr>
              <w:t>9</w:t>
            </w:r>
          </w:p>
        </w:tc>
        <w:tc>
          <w:tcPr>
            <w:tcW w:w="3249" w:type="dxa"/>
          </w:tcPr>
          <w:p w14:paraId="6503665F" w14:textId="38BCED47" w:rsidR="00B93F48" w:rsidRPr="007C14BA" w:rsidRDefault="00B93F48" w:rsidP="00B211E6">
            <w:pPr>
              <w:tabs>
                <w:tab w:val="left" w:pos="754"/>
              </w:tabs>
              <w:jc w:val="center"/>
              <w:rPr>
                <w:rFonts w:ascii="Arial Narrow" w:hAnsi="Arial Narrow" w:cs="Arial"/>
              </w:rPr>
            </w:pPr>
            <w:r w:rsidRPr="007C14BA">
              <w:rPr>
                <w:rFonts w:ascii="Arial Narrow" w:hAnsi="Arial Narrow" w:cs="Arial"/>
              </w:rPr>
              <w:t>112%</w:t>
            </w:r>
          </w:p>
        </w:tc>
      </w:tr>
    </w:tbl>
    <w:p w14:paraId="65707F64" w14:textId="77777777" w:rsidR="00B93F48" w:rsidRPr="007C14BA" w:rsidRDefault="00B93F48" w:rsidP="00B93F48">
      <w:pPr>
        <w:jc w:val="both"/>
        <w:rPr>
          <w:rFonts w:ascii="Arial Narrow" w:eastAsia="Calibri" w:hAnsi="Arial Narrow"/>
          <w:b/>
        </w:rPr>
      </w:pPr>
    </w:p>
    <w:p w14:paraId="27D40D06" w14:textId="77777777" w:rsidR="00B93F48" w:rsidRPr="007C14BA" w:rsidRDefault="00B93F48" w:rsidP="00B93F48">
      <w:pPr>
        <w:contextualSpacing/>
        <w:jc w:val="both"/>
        <w:rPr>
          <w:rFonts w:ascii="Arial Narrow" w:eastAsia="Calibri" w:hAnsi="Arial Narrow"/>
        </w:rPr>
      </w:pPr>
      <w:r w:rsidRPr="007C14BA">
        <w:rPr>
          <w:rFonts w:ascii="Arial Narrow" w:eastAsia="Calibri" w:hAnsi="Arial Narrow"/>
        </w:rPr>
        <w:t>Los Volúmenes Medios Diarios considerados para cada grupo de compensación perteneciente al Segmento de Renta Fija son los siguientes:</w:t>
      </w:r>
    </w:p>
    <w:p w14:paraId="0D047606" w14:textId="77777777" w:rsidR="00B93F48" w:rsidRPr="007C14BA" w:rsidRDefault="00B93F48" w:rsidP="00B93F48">
      <w:pPr>
        <w:contextualSpacing/>
        <w:jc w:val="both"/>
        <w:rPr>
          <w:rFonts w:ascii="Arial Narrow" w:eastAsia="Calibri" w:hAnsi="Arial Narrow"/>
        </w:rPr>
      </w:pPr>
    </w:p>
    <w:tbl>
      <w:tblPr>
        <w:tblW w:w="7655" w:type="dxa"/>
        <w:jc w:val="center"/>
        <w:tblLayout w:type="fixed"/>
        <w:tblCellMar>
          <w:left w:w="70" w:type="dxa"/>
          <w:right w:w="70" w:type="dxa"/>
        </w:tblCellMar>
        <w:tblLook w:val="04A0" w:firstRow="1" w:lastRow="0" w:firstColumn="1" w:lastColumn="0" w:noHBand="0" w:noVBand="1"/>
      </w:tblPr>
      <w:tblGrid>
        <w:gridCol w:w="5097"/>
        <w:gridCol w:w="2558"/>
      </w:tblGrid>
      <w:tr w:rsidR="00B93F48" w:rsidRPr="007C14BA" w14:paraId="5811A044" w14:textId="77777777" w:rsidTr="00B211E6">
        <w:trPr>
          <w:trHeight w:val="237"/>
          <w:jc w:val="center"/>
        </w:trPr>
        <w:tc>
          <w:tcPr>
            <w:tcW w:w="50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08BA8" w14:textId="77777777" w:rsidR="00B93F48" w:rsidRPr="007C14BA" w:rsidRDefault="00B93F48" w:rsidP="00B211E6">
            <w:pPr>
              <w:jc w:val="center"/>
              <w:rPr>
                <w:rFonts w:ascii="Arial Narrow" w:eastAsia="Calibri" w:hAnsi="Arial Narrow"/>
                <w:color w:val="000000" w:themeColor="text1"/>
              </w:rPr>
            </w:pPr>
            <w:r w:rsidRPr="007C14BA">
              <w:rPr>
                <w:rFonts w:ascii="Arial Narrow" w:eastAsia="Calibri" w:hAnsi="Arial Narrow"/>
                <w:color w:val="000000" w:themeColor="text1"/>
              </w:rPr>
              <w:t>Escala de Duración</w:t>
            </w:r>
          </w:p>
          <w:p w14:paraId="046AB72D" w14:textId="77777777" w:rsidR="00B93F48" w:rsidRPr="007C14BA" w:rsidRDefault="00B93F48" w:rsidP="00B211E6">
            <w:pPr>
              <w:jc w:val="center"/>
              <w:rPr>
                <w:rFonts w:ascii="Arial Narrow" w:eastAsia="Calibri" w:hAnsi="Arial Narrow"/>
                <w:color w:val="000000" w:themeColor="text1"/>
              </w:rPr>
            </w:pPr>
            <w:r w:rsidRPr="007C14BA">
              <w:rPr>
                <w:rFonts w:ascii="Arial Narrow" w:eastAsia="Calibri" w:hAnsi="Arial Narrow"/>
                <w:color w:val="000000" w:themeColor="text1"/>
              </w:rPr>
              <w:t>Modificada</w:t>
            </w:r>
          </w:p>
          <w:p w14:paraId="0D01F8AA" w14:textId="77777777" w:rsidR="00B93F48" w:rsidRPr="007C14BA" w:rsidRDefault="00B93F48" w:rsidP="00B211E6">
            <w:pPr>
              <w:jc w:val="center"/>
              <w:rPr>
                <w:rFonts w:ascii="Arial Narrow" w:eastAsia="Calibri" w:hAnsi="Arial Narrow"/>
                <w:color w:val="000000" w:themeColor="text1"/>
                <w:lang w:eastAsia="es-CO"/>
              </w:rPr>
            </w:pPr>
            <w:r w:rsidRPr="007C14BA">
              <w:rPr>
                <w:rFonts w:ascii="Arial Narrow" w:eastAsia="Calibri" w:hAnsi="Arial Narrow"/>
                <w:color w:val="000000" w:themeColor="text1"/>
              </w:rPr>
              <w:t>(EDM)</w:t>
            </w:r>
            <w:r w:rsidRPr="007C14BA">
              <w:rPr>
                <w:rFonts w:ascii="Arial Narrow" w:eastAsia="Calibri" w:hAnsi="Arial Narrow"/>
                <w:color w:val="000000" w:themeColor="text1"/>
                <w:lang w:val="es-MX"/>
              </w:rPr>
              <w:t xml:space="preserve"> para cada Grupo de Compensación </w:t>
            </w:r>
          </w:p>
        </w:tc>
        <w:tc>
          <w:tcPr>
            <w:tcW w:w="2558" w:type="dxa"/>
            <w:tcBorders>
              <w:top w:val="single" w:sz="4" w:space="0" w:color="auto"/>
              <w:left w:val="nil"/>
              <w:bottom w:val="single" w:sz="4" w:space="0" w:color="auto"/>
              <w:right w:val="single" w:sz="4" w:space="0" w:color="auto"/>
            </w:tcBorders>
            <w:shd w:val="clear" w:color="auto" w:fill="auto"/>
            <w:noWrap/>
            <w:vAlign w:val="center"/>
            <w:hideMark/>
          </w:tcPr>
          <w:p w14:paraId="1FAD57E5" w14:textId="77777777" w:rsidR="00B93F48" w:rsidRPr="007C14BA" w:rsidRDefault="00B93F48" w:rsidP="00B211E6">
            <w:pPr>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VMD Efectivo</w:t>
            </w:r>
          </w:p>
        </w:tc>
      </w:tr>
      <w:tr w:rsidR="00B93F48" w:rsidRPr="007C14BA" w14:paraId="0B967391" w14:textId="77777777" w:rsidTr="00B211E6">
        <w:trPr>
          <w:trHeight w:val="237"/>
          <w:jc w:val="center"/>
        </w:trPr>
        <w:tc>
          <w:tcPr>
            <w:tcW w:w="5097" w:type="dxa"/>
            <w:tcBorders>
              <w:top w:val="nil"/>
              <w:left w:val="single" w:sz="4" w:space="0" w:color="auto"/>
              <w:bottom w:val="single" w:sz="4" w:space="0" w:color="auto"/>
              <w:right w:val="single" w:sz="4" w:space="0" w:color="auto"/>
            </w:tcBorders>
            <w:shd w:val="clear" w:color="auto" w:fill="auto"/>
            <w:noWrap/>
            <w:vAlign w:val="center"/>
            <w:hideMark/>
          </w:tcPr>
          <w:p w14:paraId="373E33C2" w14:textId="77777777" w:rsidR="00B93F48" w:rsidRPr="007C14BA" w:rsidRDefault="00B93F48" w:rsidP="00B211E6">
            <w:pPr>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G1</w:t>
            </w:r>
          </w:p>
        </w:tc>
        <w:tc>
          <w:tcPr>
            <w:tcW w:w="2558" w:type="dxa"/>
            <w:tcBorders>
              <w:top w:val="nil"/>
              <w:left w:val="nil"/>
              <w:bottom w:val="single" w:sz="4" w:space="0" w:color="auto"/>
              <w:right w:val="single" w:sz="4" w:space="0" w:color="auto"/>
            </w:tcBorders>
            <w:shd w:val="clear" w:color="auto" w:fill="auto"/>
            <w:noWrap/>
            <w:vAlign w:val="center"/>
            <w:hideMark/>
          </w:tcPr>
          <w:p w14:paraId="68547842" w14:textId="77777777" w:rsidR="00B93F48" w:rsidRPr="007C14BA" w:rsidRDefault="00B93F48" w:rsidP="00B211E6">
            <w:pPr>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1.000.000.000.000</w:t>
            </w:r>
          </w:p>
        </w:tc>
      </w:tr>
      <w:tr w:rsidR="00B93F48" w:rsidRPr="007C14BA" w14:paraId="27C3912F" w14:textId="77777777" w:rsidTr="00B211E6">
        <w:trPr>
          <w:trHeight w:val="237"/>
          <w:jc w:val="center"/>
        </w:trPr>
        <w:tc>
          <w:tcPr>
            <w:tcW w:w="5097" w:type="dxa"/>
            <w:tcBorders>
              <w:top w:val="nil"/>
              <w:left w:val="single" w:sz="4" w:space="0" w:color="auto"/>
              <w:bottom w:val="single" w:sz="4" w:space="0" w:color="auto"/>
              <w:right w:val="single" w:sz="4" w:space="0" w:color="auto"/>
            </w:tcBorders>
            <w:shd w:val="clear" w:color="auto" w:fill="auto"/>
            <w:noWrap/>
            <w:vAlign w:val="center"/>
            <w:hideMark/>
          </w:tcPr>
          <w:p w14:paraId="25DC3142" w14:textId="77777777" w:rsidR="00B93F48" w:rsidRPr="007C14BA" w:rsidRDefault="00B93F48" w:rsidP="00B211E6">
            <w:pPr>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G2</w:t>
            </w:r>
          </w:p>
        </w:tc>
        <w:tc>
          <w:tcPr>
            <w:tcW w:w="2558" w:type="dxa"/>
            <w:tcBorders>
              <w:top w:val="nil"/>
              <w:left w:val="nil"/>
              <w:bottom w:val="single" w:sz="4" w:space="0" w:color="auto"/>
              <w:right w:val="single" w:sz="4" w:space="0" w:color="auto"/>
            </w:tcBorders>
            <w:shd w:val="clear" w:color="auto" w:fill="auto"/>
            <w:noWrap/>
            <w:hideMark/>
          </w:tcPr>
          <w:p w14:paraId="0B5A7191" w14:textId="77777777" w:rsidR="00B93F48" w:rsidRPr="007C14BA" w:rsidRDefault="00B93F48" w:rsidP="00B211E6">
            <w:pPr>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1.000.000.000.000</w:t>
            </w:r>
          </w:p>
        </w:tc>
      </w:tr>
      <w:tr w:rsidR="00B93F48" w:rsidRPr="007C14BA" w14:paraId="73FE36F9" w14:textId="77777777" w:rsidTr="00B211E6">
        <w:trPr>
          <w:trHeight w:val="237"/>
          <w:jc w:val="center"/>
        </w:trPr>
        <w:tc>
          <w:tcPr>
            <w:tcW w:w="5097" w:type="dxa"/>
            <w:tcBorders>
              <w:top w:val="nil"/>
              <w:left w:val="single" w:sz="4" w:space="0" w:color="auto"/>
              <w:bottom w:val="single" w:sz="4" w:space="0" w:color="auto"/>
              <w:right w:val="single" w:sz="4" w:space="0" w:color="auto"/>
            </w:tcBorders>
            <w:shd w:val="clear" w:color="auto" w:fill="auto"/>
            <w:noWrap/>
            <w:vAlign w:val="center"/>
            <w:hideMark/>
          </w:tcPr>
          <w:p w14:paraId="14A572D2" w14:textId="77777777" w:rsidR="00B93F48" w:rsidRPr="007C14BA" w:rsidRDefault="00B93F48" w:rsidP="00B211E6">
            <w:pPr>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G3</w:t>
            </w:r>
          </w:p>
        </w:tc>
        <w:tc>
          <w:tcPr>
            <w:tcW w:w="2558" w:type="dxa"/>
            <w:tcBorders>
              <w:top w:val="nil"/>
              <w:left w:val="nil"/>
              <w:bottom w:val="single" w:sz="4" w:space="0" w:color="auto"/>
              <w:right w:val="single" w:sz="4" w:space="0" w:color="auto"/>
            </w:tcBorders>
            <w:shd w:val="clear" w:color="auto" w:fill="auto"/>
            <w:noWrap/>
            <w:hideMark/>
          </w:tcPr>
          <w:p w14:paraId="2A32A55A" w14:textId="77777777" w:rsidR="00B93F48" w:rsidRPr="007C14BA" w:rsidRDefault="00B93F48" w:rsidP="00B211E6">
            <w:pPr>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1.000.000.000.000</w:t>
            </w:r>
          </w:p>
        </w:tc>
      </w:tr>
      <w:tr w:rsidR="00B93F48" w:rsidRPr="007C14BA" w14:paraId="4B144C69" w14:textId="77777777" w:rsidTr="00B211E6">
        <w:trPr>
          <w:trHeight w:val="237"/>
          <w:jc w:val="center"/>
        </w:trPr>
        <w:tc>
          <w:tcPr>
            <w:tcW w:w="5097" w:type="dxa"/>
            <w:tcBorders>
              <w:top w:val="nil"/>
              <w:left w:val="single" w:sz="4" w:space="0" w:color="auto"/>
              <w:bottom w:val="single" w:sz="4" w:space="0" w:color="auto"/>
              <w:right w:val="single" w:sz="4" w:space="0" w:color="auto"/>
            </w:tcBorders>
            <w:shd w:val="clear" w:color="auto" w:fill="auto"/>
            <w:noWrap/>
            <w:vAlign w:val="center"/>
            <w:hideMark/>
          </w:tcPr>
          <w:p w14:paraId="7A8FE105" w14:textId="77777777" w:rsidR="00B93F48" w:rsidRPr="007C14BA" w:rsidRDefault="00B93F48" w:rsidP="00B211E6">
            <w:pPr>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G4</w:t>
            </w:r>
          </w:p>
        </w:tc>
        <w:tc>
          <w:tcPr>
            <w:tcW w:w="2558" w:type="dxa"/>
            <w:tcBorders>
              <w:top w:val="nil"/>
              <w:left w:val="nil"/>
              <w:bottom w:val="single" w:sz="4" w:space="0" w:color="auto"/>
              <w:right w:val="single" w:sz="4" w:space="0" w:color="auto"/>
            </w:tcBorders>
            <w:shd w:val="clear" w:color="auto" w:fill="auto"/>
            <w:noWrap/>
            <w:hideMark/>
          </w:tcPr>
          <w:p w14:paraId="7CB872AD" w14:textId="77777777" w:rsidR="00B93F48" w:rsidRPr="007C14BA" w:rsidRDefault="00B93F48" w:rsidP="00B211E6">
            <w:pPr>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1.000.000.000.000</w:t>
            </w:r>
          </w:p>
        </w:tc>
      </w:tr>
      <w:tr w:rsidR="00B93F48" w:rsidRPr="007C14BA" w14:paraId="273E03F4" w14:textId="77777777" w:rsidTr="00B211E6">
        <w:trPr>
          <w:trHeight w:val="237"/>
          <w:jc w:val="center"/>
        </w:trPr>
        <w:tc>
          <w:tcPr>
            <w:tcW w:w="5097" w:type="dxa"/>
            <w:tcBorders>
              <w:top w:val="nil"/>
              <w:left w:val="single" w:sz="4" w:space="0" w:color="auto"/>
              <w:bottom w:val="single" w:sz="4" w:space="0" w:color="auto"/>
              <w:right w:val="single" w:sz="4" w:space="0" w:color="auto"/>
            </w:tcBorders>
            <w:shd w:val="clear" w:color="auto" w:fill="auto"/>
            <w:noWrap/>
            <w:vAlign w:val="center"/>
            <w:hideMark/>
          </w:tcPr>
          <w:p w14:paraId="64C431D5" w14:textId="77777777" w:rsidR="00B93F48" w:rsidRPr="007C14BA" w:rsidRDefault="00B93F48" w:rsidP="00B211E6">
            <w:pPr>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G5</w:t>
            </w:r>
          </w:p>
        </w:tc>
        <w:tc>
          <w:tcPr>
            <w:tcW w:w="2558" w:type="dxa"/>
            <w:tcBorders>
              <w:top w:val="nil"/>
              <w:left w:val="nil"/>
              <w:bottom w:val="single" w:sz="4" w:space="0" w:color="auto"/>
              <w:right w:val="single" w:sz="4" w:space="0" w:color="auto"/>
            </w:tcBorders>
            <w:shd w:val="clear" w:color="auto" w:fill="auto"/>
            <w:noWrap/>
            <w:hideMark/>
          </w:tcPr>
          <w:p w14:paraId="55B8A27A" w14:textId="77777777" w:rsidR="00B93F48" w:rsidRPr="007C14BA" w:rsidRDefault="00B93F48" w:rsidP="00B211E6">
            <w:pPr>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1.000.000.000.000</w:t>
            </w:r>
          </w:p>
        </w:tc>
      </w:tr>
      <w:tr w:rsidR="00B93F48" w:rsidRPr="007C14BA" w14:paraId="202EC57E" w14:textId="77777777" w:rsidTr="00B211E6">
        <w:trPr>
          <w:trHeight w:val="237"/>
          <w:jc w:val="center"/>
        </w:trPr>
        <w:tc>
          <w:tcPr>
            <w:tcW w:w="5097" w:type="dxa"/>
            <w:tcBorders>
              <w:top w:val="nil"/>
              <w:left w:val="single" w:sz="4" w:space="0" w:color="auto"/>
              <w:bottom w:val="single" w:sz="4" w:space="0" w:color="auto"/>
              <w:right w:val="single" w:sz="4" w:space="0" w:color="auto"/>
            </w:tcBorders>
            <w:shd w:val="clear" w:color="auto" w:fill="auto"/>
            <w:noWrap/>
            <w:vAlign w:val="center"/>
            <w:hideMark/>
          </w:tcPr>
          <w:p w14:paraId="112A751F" w14:textId="77777777" w:rsidR="00B93F48" w:rsidRPr="007C14BA" w:rsidRDefault="00B93F48" w:rsidP="00B211E6">
            <w:pPr>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G6</w:t>
            </w:r>
          </w:p>
        </w:tc>
        <w:tc>
          <w:tcPr>
            <w:tcW w:w="2558" w:type="dxa"/>
            <w:tcBorders>
              <w:top w:val="nil"/>
              <w:left w:val="nil"/>
              <w:bottom w:val="single" w:sz="4" w:space="0" w:color="auto"/>
              <w:right w:val="single" w:sz="4" w:space="0" w:color="auto"/>
            </w:tcBorders>
            <w:shd w:val="clear" w:color="auto" w:fill="auto"/>
            <w:noWrap/>
            <w:hideMark/>
          </w:tcPr>
          <w:p w14:paraId="24DBD2B2" w14:textId="77777777" w:rsidR="00B93F48" w:rsidRPr="007C14BA" w:rsidRDefault="00B93F48" w:rsidP="00B211E6">
            <w:pPr>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1.000.000.000.000</w:t>
            </w:r>
          </w:p>
        </w:tc>
      </w:tr>
      <w:tr w:rsidR="00B93F48" w:rsidRPr="007C14BA" w14:paraId="0B7D0851" w14:textId="77777777" w:rsidTr="00B211E6">
        <w:trPr>
          <w:trHeight w:val="237"/>
          <w:jc w:val="center"/>
        </w:trPr>
        <w:tc>
          <w:tcPr>
            <w:tcW w:w="50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B298C" w14:textId="77777777" w:rsidR="00B93F48" w:rsidRPr="007C14BA" w:rsidRDefault="00B93F48" w:rsidP="00B211E6">
            <w:pPr>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G7</w:t>
            </w:r>
          </w:p>
        </w:tc>
        <w:tc>
          <w:tcPr>
            <w:tcW w:w="2558" w:type="dxa"/>
            <w:tcBorders>
              <w:top w:val="single" w:sz="4" w:space="0" w:color="auto"/>
              <w:left w:val="nil"/>
              <w:bottom w:val="single" w:sz="4" w:space="0" w:color="auto"/>
              <w:right w:val="single" w:sz="4" w:space="0" w:color="auto"/>
            </w:tcBorders>
            <w:shd w:val="clear" w:color="auto" w:fill="auto"/>
            <w:noWrap/>
            <w:hideMark/>
          </w:tcPr>
          <w:p w14:paraId="6D55B13B" w14:textId="77777777" w:rsidR="00B93F48" w:rsidRPr="007C14BA" w:rsidRDefault="00B93F48" w:rsidP="00B211E6">
            <w:pPr>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1.000.000.000.000</w:t>
            </w:r>
          </w:p>
        </w:tc>
      </w:tr>
      <w:tr w:rsidR="00B93F48" w:rsidRPr="007C14BA" w14:paraId="3A2F4808" w14:textId="77777777" w:rsidTr="00B211E6">
        <w:trPr>
          <w:trHeight w:val="237"/>
          <w:jc w:val="center"/>
        </w:trPr>
        <w:tc>
          <w:tcPr>
            <w:tcW w:w="5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B4C3D9" w14:textId="77777777" w:rsidR="00B93F48" w:rsidRPr="007C14BA" w:rsidRDefault="00B93F48" w:rsidP="00B211E6">
            <w:pPr>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G8</w:t>
            </w:r>
          </w:p>
        </w:tc>
        <w:tc>
          <w:tcPr>
            <w:tcW w:w="2558" w:type="dxa"/>
            <w:tcBorders>
              <w:top w:val="single" w:sz="4" w:space="0" w:color="auto"/>
              <w:left w:val="nil"/>
              <w:bottom w:val="single" w:sz="4" w:space="0" w:color="auto"/>
              <w:right w:val="single" w:sz="4" w:space="0" w:color="auto"/>
            </w:tcBorders>
            <w:shd w:val="clear" w:color="auto" w:fill="auto"/>
            <w:noWrap/>
          </w:tcPr>
          <w:p w14:paraId="6FCA2D0D" w14:textId="77777777" w:rsidR="00B93F48" w:rsidRPr="007C14BA" w:rsidRDefault="00B93F48" w:rsidP="00B211E6">
            <w:pPr>
              <w:jc w:val="center"/>
              <w:rPr>
                <w:rFonts w:ascii="Arial Narrow" w:eastAsia="Calibri" w:hAnsi="Arial Narrow"/>
                <w:color w:val="000000" w:themeColor="text1"/>
                <w:lang w:eastAsia="es-CO"/>
              </w:rPr>
            </w:pPr>
            <w:r w:rsidRPr="007C14BA">
              <w:rPr>
                <w:rFonts w:ascii="Arial Narrow" w:eastAsia="Calibri" w:hAnsi="Arial Narrow"/>
                <w:color w:val="000000" w:themeColor="text1"/>
                <w:lang w:eastAsia="es-CO"/>
              </w:rPr>
              <w:t>1.000.000.000.000</w:t>
            </w:r>
          </w:p>
        </w:tc>
      </w:tr>
    </w:tbl>
    <w:p w14:paraId="42EB1B92" w14:textId="77777777" w:rsidR="00B93F48" w:rsidRPr="007C14BA" w:rsidRDefault="00B93F48" w:rsidP="00B93F48">
      <w:pPr>
        <w:contextualSpacing/>
        <w:jc w:val="both"/>
        <w:rPr>
          <w:rFonts w:ascii="Arial Narrow" w:eastAsia="Calibri" w:hAnsi="Arial Narrow"/>
        </w:rPr>
      </w:pPr>
    </w:p>
    <w:p w14:paraId="508D8083" w14:textId="77777777" w:rsidR="00B93F48" w:rsidRPr="007C14BA" w:rsidRDefault="00B93F48" w:rsidP="00B93F48">
      <w:pPr>
        <w:contextualSpacing/>
        <w:jc w:val="both"/>
        <w:rPr>
          <w:rFonts w:ascii="Arial Narrow" w:eastAsia="Calibri" w:hAnsi="Arial Narrow"/>
        </w:rPr>
      </w:pPr>
      <w:r w:rsidRPr="007C14BA">
        <w:rPr>
          <w:rFonts w:ascii="Arial Narrow" w:eastAsia="Calibri" w:hAnsi="Arial Narrow"/>
        </w:rPr>
        <w:t>Estos valores se actualizarán por lo menos una vez al año.</w:t>
      </w:r>
    </w:p>
    <w:p w14:paraId="5F87FE93" w14:textId="77777777" w:rsidR="00B93F48" w:rsidRPr="007C14BA" w:rsidRDefault="00B93F48" w:rsidP="00B93F48">
      <w:pPr>
        <w:contextualSpacing/>
        <w:jc w:val="both"/>
        <w:rPr>
          <w:rFonts w:ascii="Arial Narrow" w:eastAsia="Calibri" w:hAnsi="Arial Narrow"/>
        </w:rPr>
      </w:pPr>
    </w:p>
    <w:p w14:paraId="652CDD2D" w14:textId="7F3E3733" w:rsidR="007968EC" w:rsidRDefault="00B93F48" w:rsidP="00B93F48">
      <w:pPr>
        <w:tabs>
          <w:tab w:val="left" w:pos="754"/>
        </w:tabs>
        <w:jc w:val="both"/>
        <w:rPr>
          <w:lang w:val="es-ES"/>
        </w:rPr>
      </w:pPr>
      <w:r w:rsidRPr="007C14BA">
        <w:rPr>
          <w:rFonts w:ascii="Arial Narrow" w:eastAsia="Calibri" w:hAnsi="Arial Narrow"/>
        </w:rPr>
        <w:t>El incremento de las fluctuaciones y de las fluctuaciones de estrés en el caso de existir una Gran Posición se hará efectivo en el siguiente día hábil de registrada dicha posición.</w:t>
      </w:r>
      <w:bookmarkStart w:id="5871" w:name="_GoBack"/>
      <w:bookmarkEnd w:id="5871"/>
    </w:p>
    <w:p w14:paraId="052DF7AB" w14:textId="77777777" w:rsidR="007968EC" w:rsidRDefault="007968EC" w:rsidP="007968EC">
      <w:pPr>
        <w:pStyle w:val="ARTICULO0"/>
      </w:pPr>
      <w:bookmarkStart w:id="5872" w:name="_Toc31716308"/>
      <w:r w:rsidRPr="00C35C5E">
        <w:lastRenderedPageBreak/>
        <w:t>Artículo 3.5.3.5. Escenarios de variación de precio para el cálculo del riesgo en situación de estrés para el Segmento de Renta Fija</w:t>
      </w:r>
      <w:bookmarkEnd w:id="5870"/>
      <w:r w:rsidRPr="002C0D19">
        <w:t>.</w:t>
      </w:r>
      <w:bookmarkEnd w:id="5872"/>
      <w:r w:rsidRPr="002C0D19">
        <w:t xml:space="preserve"> </w:t>
      </w:r>
    </w:p>
    <w:p w14:paraId="4F831950" w14:textId="77777777" w:rsidR="007968EC" w:rsidRDefault="007968EC" w:rsidP="007968EC">
      <w:pPr>
        <w:jc w:val="both"/>
        <w:rPr>
          <w:rFonts w:ascii="Arial Narrow" w:hAnsi="Arial Narrow" w:cs="Arial"/>
          <w:b/>
          <w:color w:val="000000" w:themeColor="text1"/>
          <w:u w:val="single"/>
          <w:lang w:eastAsia="es-ES"/>
        </w:rPr>
      </w:pPr>
    </w:p>
    <w:p w14:paraId="736EE2C2" w14:textId="77777777" w:rsidR="007968EC" w:rsidRPr="00B061DD" w:rsidRDefault="007968EC" w:rsidP="007968EC">
      <w:pPr>
        <w:pStyle w:val="ANTECEDENTES"/>
      </w:pPr>
      <w:r w:rsidRPr="002C0D19">
        <w:t>(Este artículo fue adicionado mediante Circular 2 del 11 de enero de 2017, publicada mediante Boletín Normativo No. 002 del 11 de enero de 2017, renumerado mediante circular 8 del 31 de marzo de 2017, publicada en el Boletín Normativo No</w:t>
      </w:r>
      <w:r>
        <w:t xml:space="preserve">. 008 del 31 de marzo de 2017, </w:t>
      </w:r>
      <w:r w:rsidRPr="002C0D19">
        <w:t>modificado mediante Circular 10 del 12 de mayo de 2017, publicada en el Boletín Normativo</w:t>
      </w:r>
      <w:r>
        <w:t xml:space="preserve"> No. 010 del 12 de mayo de 2017, renumerado </w:t>
      </w:r>
      <w:r w:rsidRPr="00DA3D5C">
        <w:t xml:space="preserve">mediante Circular 10 del 6 de julio de 2018, publicada </w:t>
      </w:r>
      <w:r>
        <w:t>en el</w:t>
      </w:r>
      <w:r w:rsidRPr="00DA3D5C">
        <w:t xml:space="preserve"> Boletín Normativo No. 013 d</w:t>
      </w:r>
      <w:r>
        <w:t>el 6 de julio de 2018,</w:t>
      </w:r>
      <w:r w:rsidRPr="00B061DD">
        <w:t xml:space="preserve"> </w:t>
      </w:r>
      <w:r>
        <w:t xml:space="preserve">modificada </w:t>
      </w:r>
      <w:r w:rsidRPr="00B061DD">
        <w:t xml:space="preserve">mediante Circular 16 del 26 de diciembre de 2018, publicada en el </w:t>
      </w:r>
      <w:r w:rsidRPr="00A10FF0">
        <w:t>Boletín Normativo No. 029 del 26 de diciembre de 2018, y mediante Circular 13 del 2</w:t>
      </w:r>
      <w:r>
        <w:t>4</w:t>
      </w:r>
      <w:r w:rsidRPr="00A10FF0">
        <w:t xml:space="preserve"> de septiembre de 2019, publicada en el Boletín Normativo No. 026 del 2</w:t>
      </w:r>
      <w:r>
        <w:t>4</w:t>
      </w:r>
      <w:r w:rsidRPr="00A10FF0">
        <w:t xml:space="preserve"> de septiembre de 2019. Rige a partir del 2</w:t>
      </w:r>
      <w:r>
        <w:t>5</w:t>
      </w:r>
      <w:r w:rsidRPr="00A10FF0">
        <w:t xml:space="preserve"> de septiembre de 2019.)</w:t>
      </w:r>
    </w:p>
    <w:p w14:paraId="7FFE1E5D" w14:textId="77777777" w:rsidR="007968EC" w:rsidRPr="002C0D19" w:rsidRDefault="007968EC" w:rsidP="007968EC">
      <w:pPr>
        <w:rPr>
          <w:rFonts w:ascii="Arial Narrow" w:hAnsi="Arial Narrow" w:cs="Arial"/>
          <w:b/>
          <w:color w:val="000000" w:themeColor="text1"/>
          <w:lang w:eastAsia="es-ES"/>
        </w:rPr>
      </w:pPr>
    </w:p>
    <w:p w14:paraId="52DFD995" w14:textId="77777777" w:rsidR="007968EC" w:rsidRPr="00F23188" w:rsidRDefault="007968EC" w:rsidP="007968EC">
      <w:pPr>
        <w:contextualSpacing/>
        <w:jc w:val="both"/>
        <w:rPr>
          <w:rFonts w:ascii="Arial Narrow" w:hAnsi="Arial Narrow" w:cs="Arial"/>
          <w:lang w:eastAsia="es-CO"/>
        </w:rPr>
      </w:pPr>
      <w:r w:rsidRPr="00F23188">
        <w:rPr>
          <w:rFonts w:ascii="Arial Narrow" w:hAnsi="Arial Narrow" w:cs="Arial"/>
          <w:lang w:eastAsia="es-CO"/>
        </w:rPr>
        <w:t>Para realizar el cálculo del riesgo en situación de estrés de conformidad con lo establecido en el Artículo 1.6.2.9. de la presente Circular, se definieron los siguientes escenarios de variación de precio para el segmento de Renta Fija:</w:t>
      </w:r>
    </w:p>
    <w:p w14:paraId="70AB1672" w14:textId="77777777" w:rsidR="007968EC" w:rsidRPr="00F23188" w:rsidRDefault="007968EC" w:rsidP="007968EC">
      <w:pPr>
        <w:contextualSpacing/>
        <w:jc w:val="both"/>
        <w:rPr>
          <w:rFonts w:ascii="Arial Narrow" w:hAnsi="Arial Narrow" w:cs="Arial"/>
          <w:lang w:eastAsia="es-CO"/>
        </w:rPr>
      </w:pPr>
    </w:p>
    <w:tbl>
      <w:tblPr>
        <w:tblW w:w="9506" w:type="dxa"/>
        <w:tblCellMar>
          <w:left w:w="70" w:type="dxa"/>
          <w:right w:w="70" w:type="dxa"/>
        </w:tblCellMar>
        <w:tblLook w:val="04A0" w:firstRow="1" w:lastRow="0" w:firstColumn="1" w:lastColumn="0" w:noHBand="0" w:noVBand="1"/>
      </w:tblPr>
      <w:tblGrid>
        <w:gridCol w:w="1016"/>
        <w:gridCol w:w="685"/>
        <w:gridCol w:w="567"/>
        <w:gridCol w:w="588"/>
        <w:gridCol w:w="737"/>
        <w:gridCol w:w="659"/>
        <w:gridCol w:w="737"/>
        <w:gridCol w:w="591"/>
        <w:gridCol w:w="574"/>
        <w:gridCol w:w="557"/>
        <w:gridCol w:w="737"/>
        <w:gridCol w:w="652"/>
        <w:gridCol w:w="737"/>
        <w:gridCol w:w="669"/>
      </w:tblGrid>
      <w:tr w:rsidR="007968EC" w:rsidRPr="00F23188" w14:paraId="7C10B2C0" w14:textId="77777777" w:rsidTr="007968EC">
        <w:trPr>
          <w:trHeight w:val="315"/>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91423" w14:textId="77777777" w:rsidR="007968EC" w:rsidRPr="00F23188" w:rsidRDefault="007968EC" w:rsidP="007968EC">
            <w:pPr>
              <w:rPr>
                <w:rFonts w:ascii="Arial Narrow" w:hAnsi="Arial Narrow"/>
                <w:sz w:val="16"/>
                <w:szCs w:val="16"/>
                <w:lang w:eastAsia="es-CO"/>
              </w:rPr>
            </w:pPr>
            <w:r w:rsidRPr="00F23188">
              <w:rPr>
                <w:rFonts w:ascii="Arial Narrow" w:hAnsi="Arial Narrow"/>
                <w:sz w:val="16"/>
                <w:szCs w:val="16"/>
                <w:lang w:eastAsia="es-CO"/>
              </w:rPr>
              <w:t>Grupo de Compensación</w:t>
            </w:r>
          </w:p>
        </w:tc>
        <w:tc>
          <w:tcPr>
            <w:tcW w:w="685" w:type="dxa"/>
            <w:tcBorders>
              <w:top w:val="single" w:sz="8" w:space="0" w:color="auto"/>
              <w:left w:val="single" w:sz="4" w:space="0" w:color="auto"/>
              <w:bottom w:val="single" w:sz="4" w:space="0" w:color="auto"/>
              <w:right w:val="nil"/>
            </w:tcBorders>
            <w:shd w:val="clear" w:color="auto" w:fill="auto"/>
            <w:noWrap/>
            <w:vAlign w:val="bottom"/>
            <w:hideMark/>
          </w:tcPr>
          <w:p w14:paraId="1BD68551"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Esc. 1</w:t>
            </w:r>
          </w:p>
        </w:tc>
        <w:tc>
          <w:tcPr>
            <w:tcW w:w="567" w:type="dxa"/>
            <w:tcBorders>
              <w:top w:val="single" w:sz="8" w:space="0" w:color="auto"/>
              <w:left w:val="single" w:sz="8" w:space="0" w:color="auto"/>
              <w:bottom w:val="single" w:sz="4" w:space="0" w:color="auto"/>
              <w:right w:val="nil"/>
            </w:tcBorders>
            <w:shd w:val="clear" w:color="auto" w:fill="auto"/>
            <w:noWrap/>
            <w:vAlign w:val="bottom"/>
            <w:hideMark/>
          </w:tcPr>
          <w:p w14:paraId="0FC53EFC"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Esc. 2</w:t>
            </w:r>
          </w:p>
        </w:tc>
        <w:tc>
          <w:tcPr>
            <w:tcW w:w="588" w:type="dxa"/>
            <w:tcBorders>
              <w:top w:val="single" w:sz="8" w:space="0" w:color="auto"/>
              <w:left w:val="single" w:sz="8" w:space="0" w:color="auto"/>
              <w:bottom w:val="single" w:sz="4" w:space="0" w:color="auto"/>
              <w:right w:val="nil"/>
            </w:tcBorders>
            <w:shd w:val="clear" w:color="auto" w:fill="auto"/>
            <w:noWrap/>
            <w:vAlign w:val="bottom"/>
            <w:hideMark/>
          </w:tcPr>
          <w:p w14:paraId="1D0DF2C3"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Esc. 3</w:t>
            </w:r>
          </w:p>
        </w:tc>
        <w:tc>
          <w:tcPr>
            <w:tcW w:w="737" w:type="dxa"/>
            <w:tcBorders>
              <w:top w:val="single" w:sz="8" w:space="0" w:color="auto"/>
              <w:left w:val="single" w:sz="8" w:space="0" w:color="auto"/>
              <w:bottom w:val="single" w:sz="4" w:space="0" w:color="auto"/>
              <w:right w:val="nil"/>
            </w:tcBorders>
            <w:shd w:val="clear" w:color="auto" w:fill="auto"/>
            <w:noWrap/>
            <w:vAlign w:val="bottom"/>
            <w:hideMark/>
          </w:tcPr>
          <w:p w14:paraId="3B26D292"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Esc. 4</w:t>
            </w:r>
          </w:p>
        </w:tc>
        <w:tc>
          <w:tcPr>
            <w:tcW w:w="659" w:type="dxa"/>
            <w:tcBorders>
              <w:top w:val="single" w:sz="8" w:space="0" w:color="auto"/>
              <w:left w:val="single" w:sz="8" w:space="0" w:color="auto"/>
              <w:bottom w:val="single" w:sz="4" w:space="0" w:color="auto"/>
              <w:right w:val="nil"/>
            </w:tcBorders>
            <w:shd w:val="clear" w:color="auto" w:fill="auto"/>
            <w:noWrap/>
            <w:vAlign w:val="bottom"/>
            <w:hideMark/>
          </w:tcPr>
          <w:p w14:paraId="5B68F990"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Esc. 5</w:t>
            </w:r>
          </w:p>
        </w:tc>
        <w:tc>
          <w:tcPr>
            <w:tcW w:w="737" w:type="dxa"/>
            <w:tcBorders>
              <w:top w:val="single" w:sz="8" w:space="0" w:color="auto"/>
              <w:left w:val="single" w:sz="8" w:space="0" w:color="auto"/>
              <w:bottom w:val="single" w:sz="4" w:space="0" w:color="auto"/>
              <w:right w:val="nil"/>
            </w:tcBorders>
            <w:shd w:val="clear" w:color="auto" w:fill="auto"/>
            <w:noWrap/>
            <w:vAlign w:val="bottom"/>
            <w:hideMark/>
          </w:tcPr>
          <w:p w14:paraId="653AF0F0"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Esc. 6</w:t>
            </w:r>
          </w:p>
        </w:tc>
        <w:tc>
          <w:tcPr>
            <w:tcW w:w="591" w:type="dxa"/>
            <w:tcBorders>
              <w:top w:val="single" w:sz="8" w:space="0" w:color="auto"/>
              <w:left w:val="single" w:sz="8" w:space="0" w:color="auto"/>
              <w:bottom w:val="single" w:sz="4" w:space="0" w:color="auto"/>
              <w:right w:val="nil"/>
            </w:tcBorders>
            <w:shd w:val="clear" w:color="auto" w:fill="auto"/>
            <w:noWrap/>
            <w:vAlign w:val="bottom"/>
            <w:hideMark/>
          </w:tcPr>
          <w:p w14:paraId="213A090C"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Esc. 7</w:t>
            </w:r>
          </w:p>
        </w:tc>
        <w:tc>
          <w:tcPr>
            <w:tcW w:w="574" w:type="dxa"/>
            <w:tcBorders>
              <w:top w:val="single" w:sz="8" w:space="0" w:color="auto"/>
              <w:left w:val="single" w:sz="8" w:space="0" w:color="auto"/>
              <w:bottom w:val="single" w:sz="4" w:space="0" w:color="auto"/>
              <w:right w:val="nil"/>
            </w:tcBorders>
            <w:shd w:val="clear" w:color="auto" w:fill="auto"/>
            <w:noWrap/>
            <w:vAlign w:val="bottom"/>
            <w:hideMark/>
          </w:tcPr>
          <w:p w14:paraId="4A79CD60"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Esc. 8</w:t>
            </w:r>
          </w:p>
        </w:tc>
        <w:tc>
          <w:tcPr>
            <w:tcW w:w="557" w:type="dxa"/>
            <w:tcBorders>
              <w:top w:val="single" w:sz="8" w:space="0" w:color="auto"/>
              <w:left w:val="single" w:sz="8" w:space="0" w:color="auto"/>
              <w:bottom w:val="single" w:sz="4" w:space="0" w:color="auto"/>
              <w:right w:val="nil"/>
            </w:tcBorders>
            <w:shd w:val="clear" w:color="auto" w:fill="auto"/>
            <w:noWrap/>
            <w:vAlign w:val="bottom"/>
            <w:hideMark/>
          </w:tcPr>
          <w:p w14:paraId="3DC8C8AC"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Esc. 9</w:t>
            </w:r>
          </w:p>
        </w:tc>
        <w:tc>
          <w:tcPr>
            <w:tcW w:w="737" w:type="dxa"/>
            <w:tcBorders>
              <w:top w:val="single" w:sz="8" w:space="0" w:color="auto"/>
              <w:left w:val="single" w:sz="8" w:space="0" w:color="auto"/>
              <w:bottom w:val="single" w:sz="4" w:space="0" w:color="auto"/>
              <w:right w:val="nil"/>
            </w:tcBorders>
            <w:shd w:val="clear" w:color="auto" w:fill="auto"/>
            <w:noWrap/>
            <w:vAlign w:val="bottom"/>
            <w:hideMark/>
          </w:tcPr>
          <w:p w14:paraId="5AC73E6E"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Esc. 10</w:t>
            </w:r>
          </w:p>
        </w:tc>
        <w:tc>
          <w:tcPr>
            <w:tcW w:w="652" w:type="dxa"/>
            <w:tcBorders>
              <w:top w:val="single" w:sz="8" w:space="0" w:color="auto"/>
              <w:left w:val="single" w:sz="8" w:space="0" w:color="auto"/>
              <w:bottom w:val="single" w:sz="4" w:space="0" w:color="auto"/>
              <w:right w:val="nil"/>
            </w:tcBorders>
            <w:shd w:val="clear" w:color="auto" w:fill="auto"/>
            <w:noWrap/>
            <w:vAlign w:val="bottom"/>
            <w:hideMark/>
          </w:tcPr>
          <w:p w14:paraId="28B2FAE6"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Esc. 11</w:t>
            </w:r>
          </w:p>
        </w:tc>
        <w:tc>
          <w:tcPr>
            <w:tcW w:w="73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5500379" w14:textId="77777777" w:rsidR="007968EC" w:rsidRPr="00F23188" w:rsidRDefault="007968EC" w:rsidP="007968EC">
            <w:pPr>
              <w:rPr>
                <w:rFonts w:ascii="Arial Narrow" w:hAnsi="Arial Narrow"/>
                <w:color w:val="000000"/>
                <w:sz w:val="16"/>
                <w:szCs w:val="16"/>
                <w:lang w:eastAsia="es-CO"/>
              </w:rPr>
            </w:pPr>
            <w:r w:rsidRPr="00F23188">
              <w:rPr>
                <w:rFonts w:ascii="Arial Narrow" w:hAnsi="Arial Narrow"/>
                <w:color w:val="000000"/>
                <w:sz w:val="16"/>
                <w:szCs w:val="16"/>
                <w:lang w:eastAsia="es-CO"/>
              </w:rPr>
              <w:t>Esc. 12</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22275"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Esc. 13</w:t>
            </w:r>
          </w:p>
        </w:tc>
      </w:tr>
      <w:tr w:rsidR="007968EC" w:rsidRPr="00F23188" w14:paraId="48351394" w14:textId="77777777" w:rsidTr="007968EC">
        <w:trPr>
          <w:trHeight w:val="315"/>
        </w:trPr>
        <w:tc>
          <w:tcPr>
            <w:tcW w:w="1016" w:type="dxa"/>
            <w:tcBorders>
              <w:top w:val="single" w:sz="4" w:space="0" w:color="auto"/>
              <w:left w:val="single" w:sz="8" w:space="0" w:color="000000"/>
              <w:bottom w:val="double" w:sz="6" w:space="0" w:color="000000"/>
              <w:right w:val="single" w:sz="4" w:space="0" w:color="auto"/>
            </w:tcBorders>
            <w:shd w:val="clear" w:color="auto" w:fill="auto"/>
            <w:vAlign w:val="center"/>
            <w:hideMark/>
          </w:tcPr>
          <w:p w14:paraId="27A65E32" w14:textId="77777777" w:rsidR="007968EC" w:rsidRPr="00F23188" w:rsidRDefault="007968EC" w:rsidP="007968EC">
            <w:pPr>
              <w:jc w:val="center"/>
              <w:rPr>
                <w:rFonts w:ascii="Arial Narrow" w:hAnsi="Arial Narrow"/>
                <w:color w:val="000000"/>
                <w:sz w:val="16"/>
                <w:szCs w:val="16"/>
                <w:lang w:eastAsia="es-CO"/>
              </w:rPr>
            </w:pPr>
            <w:r w:rsidRPr="00F23188">
              <w:rPr>
                <w:rFonts w:ascii="Arial Narrow" w:hAnsi="Arial Narrow"/>
                <w:color w:val="000000"/>
                <w:sz w:val="16"/>
                <w:szCs w:val="16"/>
                <w:lang w:eastAsia="es-CO"/>
              </w:rPr>
              <w:t>G1</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8741D"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0,75%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B4F1C"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0,51%</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69F18"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0,52%</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21EDB"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-0,07%</w:t>
            </w: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687CE"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-0,10%</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4D847"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-0,09%</w:t>
            </w: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A11F4"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0,23%</w:t>
            </w: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FA8B6"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0,20%</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83DAF"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0,22%</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34E2B"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0,10%</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AC189"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0,07%</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F4644"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0,09%</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75999"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-0,51%</w:t>
            </w:r>
          </w:p>
        </w:tc>
      </w:tr>
      <w:tr w:rsidR="007968EC" w:rsidRPr="00F23188" w14:paraId="36C6D110" w14:textId="77777777" w:rsidTr="007968EC">
        <w:trPr>
          <w:trHeight w:val="330"/>
        </w:trPr>
        <w:tc>
          <w:tcPr>
            <w:tcW w:w="1016" w:type="dxa"/>
            <w:tcBorders>
              <w:top w:val="nil"/>
              <w:left w:val="single" w:sz="8" w:space="0" w:color="000000"/>
              <w:bottom w:val="double" w:sz="6" w:space="0" w:color="000000"/>
              <w:right w:val="single" w:sz="4" w:space="0" w:color="auto"/>
            </w:tcBorders>
            <w:shd w:val="clear" w:color="auto" w:fill="auto"/>
            <w:vAlign w:val="center"/>
            <w:hideMark/>
          </w:tcPr>
          <w:p w14:paraId="373CFC2B" w14:textId="77777777" w:rsidR="007968EC" w:rsidRPr="00F23188" w:rsidRDefault="007968EC" w:rsidP="007968EC">
            <w:pPr>
              <w:jc w:val="center"/>
              <w:rPr>
                <w:rFonts w:ascii="Arial Narrow" w:hAnsi="Arial Narrow"/>
                <w:color w:val="000000"/>
                <w:sz w:val="16"/>
                <w:szCs w:val="16"/>
                <w:lang w:eastAsia="es-CO"/>
              </w:rPr>
            </w:pPr>
            <w:r w:rsidRPr="00F23188">
              <w:rPr>
                <w:rFonts w:ascii="Arial Narrow" w:hAnsi="Arial Narrow"/>
                <w:color w:val="000000"/>
                <w:sz w:val="16"/>
                <w:szCs w:val="16"/>
                <w:lang w:eastAsia="es-CO"/>
              </w:rPr>
              <w:t>G2</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2CA93"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1,09%</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231C9"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1,88%</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CB154"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1,49%</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BBE08"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-0,14%</w:t>
            </w: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5FC90"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0,66%</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72158"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0,26%</w:t>
            </w: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6D85A"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0,48%</w:t>
            </w: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6D50F"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1,27%</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84431"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0,87%</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CD7EE"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-0,66%</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48DEB"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0,14%</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53CA6"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-0,26%</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482B2"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-1,88%</w:t>
            </w:r>
          </w:p>
        </w:tc>
      </w:tr>
      <w:tr w:rsidR="007968EC" w:rsidRPr="00F23188" w14:paraId="0D7689B2" w14:textId="77777777" w:rsidTr="007968EC">
        <w:trPr>
          <w:trHeight w:val="330"/>
        </w:trPr>
        <w:tc>
          <w:tcPr>
            <w:tcW w:w="1016" w:type="dxa"/>
            <w:tcBorders>
              <w:top w:val="nil"/>
              <w:left w:val="single" w:sz="8" w:space="0" w:color="000000"/>
              <w:bottom w:val="double" w:sz="6" w:space="0" w:color="000000"/>
              <w:right w:val="single" w:sz="4" w:space="0" w:color="auto"/>
            </w:tcBorders>
            <w:shd w:val="clear" w:color="auto" w:fill="auto"/>
            <w:vAlign w:val="center"/>
            <w:hideMark/>
          </w:tcPr>
          <w:p w14:paraId="044F29F5" w14:textId="77777777" w:rsidR="007968EC" w:rsidRPr="00F23188" w:rsidRDefault="007968EC" w:rsidP="007968EC">
            <w:pPr>
              <w:jc w:val="center"/>
              <w:rPr>
                <w:rFonts w:ascii="Arial Narrow" w:hAnsi="Arial Narrow"/>
                <w:color w:val="000000"/>
                <w:sz w:val="16"/>
                <w:szCs w:val="16"/>
                <w:lang w:eastAsia="es-CO"/>
              </w:rPr>
            </w:pPr>
            <w:r w:rsidRPr="00F23188">
              <w:rPr>
                <w:rFonts w:ascii="Arial Narrow" w:hAnsi="Arial Narrow"/>
                <w:color w:val="000000"/>
                <w:sz w:val="16"/>
                <w:szCs w:val="16"/>
                <w:lang w:eastAsia="es-CO"/>
              </w:rPr>
              <w:t>G3</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958FE"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0,59%</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802EE"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4,07%</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54BA2"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2,33%</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38AA0"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0,11%</w:t>
            </w: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9F0DE"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3,58%</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A5F32"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1,84%</w:t>
            </w: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2E665"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0,35%</w:t>
            </w: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D7362"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3,82%</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01D0B"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2,08%</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6E970"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-3,58%</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6619A"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-0,11%</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B2AC9"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-1,84%</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532B1"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-4,07%</w:t>
            </w:r>
          </w:p>
        </w:tc>
      </w:tr>
      <w:tr w:rsidR="007968EC" w:rsidRPr="00F23188" w14:paraId="0BD102F6" w14:textId="77777777" w:rsidTr="007968EC">
        <w:trPr>
          <w:trHeight w:val="330"/>
        </w:trPr>
        <w:tc>
          <w:tcPr>
            <w:tcW w:w="1016" w:type="dxa"/>
            <w:tcBorders>
              <w:top w:val="nil"/>
              <w:left w:val="single" w:sz="8" w:space="0" w:color="000000"/>
              <w:bottom w:val="double" w:sz="6" w:space="0" w:color="000000"/>
              <w:right w:val="single" w:sz="4" w:space="0" w:color="auto"/>
            </w:tcBorders>
            <w:shd w:val="clear" w:color="auto" w:fill="auto"/>
            <w:vAlign w:val="center"/>
            <w:hideMark/>
          </w:tcPr>
          <w:p w14:paraId="178D1987" w14:textId="77777777" w:rsidR="007968EC" w:rsidRPr="00F23188" w:rsidRDefault="007968EC" w:rsidP="007968EC">
            <w:pPr>
              <w:jc w:val="center"/>
              <w:rPr>
                <w:rFonts w:ascii="Arial Narrow" w:hAnsi="Arial Narrow"/>
                <w:color w:val="000000"/>
                <w:sz w:val="16"/>
                <w:szCs w:val="16"/>
                <w:lang w:eastAsia="es-CO"/>
              </w:rPr>
            </w:pPr>
            <w:r w:rsidRPr="00F23188">
              <w:rPr>
                <w:rFonts w:ascii="Arial Narrow" w:hAnsi="Arial Narrow"/>
                <w:color w:val="000000"/>
                <w:sz w:val="16"/>
                <w:szCs w:val="16"/>
                <w:lang w:eastAsia="es-CO"/>
              </w:rPr>
              <w:t>G4</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91BCC"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-0,04%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C2D17"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5,89%</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A85DF"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2,93%</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EB6E5"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1,31%</w:t>
            </w: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B44D5"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7,23%</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C90D3"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4,27%</w:t>
            </w: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CA247"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0,64%</w:t>
            </w: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A5D66"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6,56%</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E0991"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3,60%</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1CEA7"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-7,23%</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1A160"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-1,31%</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8CF5F"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-4,27%</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82DC7"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-5,89%</w:t>
            </w:r>
          </w:p>
        </w:tc>
      </w:tr>
      <w:tr w:rsidR="007968EC" w:rsidRPr="00F23188" w14:paraId="2C093617" w14:textId="77777777" w:rsidTr="007968EC">
        <w:trPr>
          <w:trHeight w:val="330"/>
        </w:trPr>
        <w:tc>
          <w:tcPr>
            <w:tcW w:w="1016" w:type="dxa"/>
            <w:tcBorders>
              <w:top w:val="nil"/>
              <w:left w:val="single" w:sz="8" w:space="0" w:color="000000"/>
              <w:bottom w:val="double" w:sz="6" w:space="0" w:color="000000"/>
              <w:right w:val="single" w:sz="4" w:space="0" w:color="auto"/>
            </w:tcBorders>
            <w:shd w:val="clear" w:color="auto" w:fill="auto"/>
            <w:vAlign w:val="center"/>
            <w:hideMark/>
          </w:tcPr>
          <w:p w14:paraId="6C6B5EC5" w14:textId="77777777" w:rsidR="007968EC" w:rsidRPr="00F23188" w:rsidRDefault="007968EC" w:rsidP="007968EC">
            <w:pPr>
              <w:jc w:val="center"/>
              <w:rPr>
                <w:rFonts w:ascii="Arial Narrow" w:hAnsi="Arial Narrow"/>
                <w:color w:val="000000"/>
                <w:sz w:val="16"/>
                <w:szCs w:val="16"/>
                <w:lang w:eastAsia="es-CO"/>
              </w:rPr>
            </w:pPr>
            <w:r w:rsidRPr="00F23188">
              <w:rPr>
                <w:rFonts w:ascii="Arial Narrow" w:hAnsi="Arial Narrow"/>
                <w:color w:val="000000"/>
                <w:sz w:val="16"/>
                <w:szCs w:val="16"/>
                <w:lang w:eastAsia="es-CO"/>
              </w:rPr>
              <w:t>G5</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FAFBD"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1,24%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5CF62"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6,10%</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1C7D5"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3,67%</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BF911"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3,91%</w:t>
            </w: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ECDFA"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8,77%</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0D0A0"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6,34%</w:t>
            </w: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07E0A"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2,58%</w:t>
            </w: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01F65"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7,43%</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156C3"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5,01%</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A2DFE"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-8,77%</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310C4"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-3,91%</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6EF1C"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-6,34%</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FCD71"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-6,10%</w:t>
            </w:r>
          </w:p>
        </w:tc>
      </w:tr>
      <w:tr w:rsidR="007968EC" w:rsidRPr="00F23188" w14:paraId="3769F64C" w14:textId="77777777" w:rsidTr="007968EC">
        <w:trPr>
          <w:trHeight w:val="330"/>
        </w:trPr>
        <w:tc>
          <w:tcPr>
            <w:tcW w:w="1016" w:type="dxa"/>
            <w:tcBorders>
              <w:top w:val="nil"/>
              <w:left w:val="single" w:sz="8" w:space="0" w:color="000000"/>
              <w:bottom w:val="double" w:sz="6" w:space="0" w:color="000000"/>
              <w:right w:val="single" w:sz="4" w:space="0" w:color="auto"/>
            </w:tcBorders>
            <w:shd w:val="clear" w:color="auto" w:fill="auto"/>
            <w:vAlign w:val="center"/>
            <w:hideMark/>
          </w:tcPr>
          <w:p w14:paraId="786CDDD4" w14:textId="77777777" w:rsidR="007968EC" w:rsidRPr="00F23188" w:rsidRDefault="007968EC" w:rsidP="007968EC">
            <w:pPr>
              <w:jc w:val="center"/>
              <w:rPr>
                <w:rFonts w:ascii="Arial Narrow" w:hAnsi="Arial Narrow"/>
                <w:color w:val="000000"/>
                <w:sz w:val="16"/>
                <w:szCs w:val="16"/>
                <w:lang w:eastAsia="es-CO"/>
              </w:rPr>
            </w:pPr>
            <w:r w:rsidRPr="00F23188">
              <w:rPr>
                <w:rFonts w:ascii="Arial Narrow" w:hAnsi="Arial Narrow"/>
                <w:color w:val="000000"/>
                <w:sz w:val="16"/>
                <w:szCs w:val="16"/>
                <w:lang w:eastAsia="es-CO"/>
              </w:rPr>
              <w:t>G6</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7072E"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5,45%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B183F"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4,17%</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E0CFF"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4,81%</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53985"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10,90%</w:t>
            </w: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CADF0"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7,17%</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9852A"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7,82%</w:t>
            </w: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65FD8"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6,95%</w:t>
            </w: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7B52A"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5,67%</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DE1FA"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6,31%</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305DE"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-7,17%</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4EB84"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-10,90%</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C06F0"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-7,82%</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2F2D1"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-4,17%</w:t>
            </w:r>
          </w:p>
        </w:tc>
      </w:tr>
      <w:tr w:rsidR="007968EC" w:rsidRPr="00F23188" w14:paraId="27A0D4CB" w14:textId="77777777" w:rsidTr="007968EC">
        <w:trPr>
          <w:trHeight w:val="330"/>
        </w:trPr>
        <w:tc>
          <w:tcPr>
            <w:tcW w:w="1016" w:type="dxa"/>
            <w:tcBorders>
              <w:top w:val="nil"/>
              <w:left w:val="single" w:sz="8" w:space="0" w:color="000000"/>
              <w:bottom w:val="double" w:sz="6" w:space="0" w:color="000000"/>
              <w:right w:val="single" w:sz="4" w:space="0" w:color="auto"/>
            </w:tcBorders>
            <w:shd w:val="clear" w:color="auto" w:fill="auto"/>
            <w:vAlign w:val="center"/>
            <w:hideMark/>
          </w:tcPr>
          <w:p w14:paraId="771A8830" w14:textId="77777777" w:rsidR="007968EC" w:rsidRPr="00F23188" w:rsidRDefault="007968EC" w:rsidP="007968EC">
            <w:pPr>
              <w:jc w:val="center"/>
              <w:rPr>
                <w:rFonts w:ascii="Arial Narrow" w:hAnsi="Arial Narrow"/>
                <w:color w:val="000000"/>
                <w:sz w:val="16"/>
                <w:szCs w:val="16"/>
                <w:lang w:eastAsia="es-CO"/>
              </w:rPr>
            </w:pPr>
            <w:r w:rsidRPr="00F23188">
              <w:rPr>
                <w:rFonts w:ascii="Arial Narrow" w:hAnsi="Arial Narrow"/>
                <w:color w:val="000000"/>
                <w:sz w:val="16"/>
                <w:szCs w:val="16"/>
                <w:lang w:eastAsia="es-CO"/>
              </w:rPr>
              <w:t>G7</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79DAF"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12,21%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93358"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-0,95%</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3789C"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5,89%</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6B0A5"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18,30%</w:t>
            </w: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377B7"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2,07%</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49626"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7,85%</w:t>
            </w: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11482"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13,18%</w:t>
            </w: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C9DDC"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1,23%</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0EA92"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6,87%</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3C13A"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-2,07%</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88DE8"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-18,30%</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8F432"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-7,85%</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CDFC1"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0,95%</w:t>
            </w:r>
          </w:p>
        </w:tc>
      </w:tr>
      <w:tr w:rsidR="007968EC" w:rsidRPr="00F23188" w14:paraId="58C1657E" w14:textId="77777777" w:rsidTr="007968EC">
        <w:trPr>
          <w:trHeight w:val="330"/>
        </w:trPr>
        <w:tc>
          <w:tcPr>
            <w:tcW w:w="1016" w:type="dxa"/>
            <w:tcBorders>
              <w:top w:val="nil"/>
              <w:left w:val="single" w:sz="8" w:space="0" w:color="000000"/>
              <w:bottom w:val="single" w:sz="8" w:space="0" w:color="000000"/>
              <w:right w:val="single" w:sz="4" w:space="0" w:color="auto"/>
            </w:tcBorders>
            <w:shd w:val="clear" w:color="auto" w:fill="auto"/>
            <w:vAlign w:val="center"/>
            <w:hideMark/>
          </w:tcPr>
          <w:p w14:paraId="601035E1" w14:textId="77777777" w:rsidR="007968EC" w:rsidRPr="00F23188" w:rsidRDefault="007968EC" w:rsidP="007968EC">
            <w:pPr>
              <w:jc w:val="center"/>
              <w:rPr>
                <w:rFonts w:ascii="Arial Narrow" w:hAnsi="Arial Narrow"/>
                <w:color w:val="000000"/>
                <w:sz w:val="16"/>
                <w:szCs w:val="16"/>
                <w:lang w:eastAsia="es-CO"/>
              </w:rPr>
            </w:pPr>
            <w:r w:rsidRPr="00F23188">
              <w:rPr>
                <w:rFonts w:ascii="Arial Narrow" w:hAnsi="Arial Narrow"/>
                <w:color w:val="000000"/>
                <w:sz w:val="16"/>
                <w:szCs w:val="16"/>
                <w:lang w:eastAsia="es-CO"/>
              </w:rPr>
              <w:t>G8</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FD32D"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15,73%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54867"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-4,29%</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77634"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5,72%</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E7A1D"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24,30%</w:t>
            </w: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F807A"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-3,92%</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0AF46"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6,10%</w:t>
            </w: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0DA15"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15,92%</w:t>
            </w: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B46AC"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-4,10%</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315D2"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5,91%</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8CAE4"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3,92%</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C701D"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-24,30%</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5AF7F"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-6,10%</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A865C"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4,29%</w:t>
            </w:r>
          </w:p>
        </w:tc>
      </w:tr>
    </w:tbl>
    <w:p w14:paraId="0E5F6619" w14:textId="77777777" w:rsidR="007968EC" w:rsidRPr="00F23188" w:rsidRDefault="007968EC" w:rsidP="007968EC">
      <w:pPr>
        <w:contextualSpacing/>
        <w:jc w:val="both"/>
        <w:rPr>
          <w:rFonts w:ascii="Arial Narrow" w:hAnsi="Arial Narrow" w:cs="Arial"/>
          <w:lang w:eastAsia="es-CO"/>
        </w:rPr>
      </w:pPr>
    </w:p>
    <w:tbl>
      <w:tblPr>
        <w:tblW w:w="9507" w:type="dxa"/>
        <w:tblCellMar>
          <w:left w:w="70" w:type="dxa"/>
          <w:right w:w="70" w:type="dxa"/>
        </w:tblCellMar>
        <w:tblLook w:val="04A0" w:firstRow="1" w:lastRow="0" w:firstColumn="1" w:lastColumn="0" w:noHBand="0" w:noVBand="1"/>
      </w:tblPr>
      <w:tblGrid>
        <w:gridCol w:w="1028"/>
        <w:gridCol w:w="693"/>
        <w:gridCol w:w="542"/>
        <w:gridCol w:w="567"/>
        <w:gridCol w:w="808"/>
        <w:gridCol w:w="696"/>
        <w:gridCol w:w="696"/>
        <w:gridCol w:w="588"/>
        <w:gridCol w:w="720"/>
        <w:gridCol w:w="592"/>
        <w:gridCol w:w="696"/>
        <w:gridCol w:w="596"/>
        <w:gridCol w:w="585"/>
        <w:gridCol w:w="700"/>
      </w:tblGrid>
      <w:tr w:rsidR="007968EC" w:rsidRPr="00F23188" w14:paraId="3A2B0951" w14:textId="77777777" w:rsidTr="007968EC">
        <w:trPr>
          <w:trHeight w:val="315"/>
        </w:trPr>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C7FF4" w14:textId="77777777" w:rsidR="007968EC" w:rsidRPr="00F23188" w:rsidRDefault="007968EC" w:rsidP="007968EC">
            <w:pPr>
              <w:rPr>
                <w:rFonts w:ascii="Arial Narrow" w:hAnsi="Arial Narrow"/>
                <w:sz w:val="16"/>
                <w:szCs w:val="16"/>
                <w:lang w:eastAsia="es-CO"/>
              </w:rPr>
            </w:pPr>
            <w:r w:rsidRPr="00F23188">
              <w:rPr>
                <w:rFonts w:ascii="Arial Narrow" w:hAnsi="Arial Narrow"/>
                <w:sz w:val="16"/>
                <w:szCs w:val="16"/>
                <w:lang w:eastAsia="es-CO"/>
              </w:rPr>
              <w:t>Grupo de Compensación</w:t>
            </w:r>
          </w:p>
        </w:tc>
        <w:tc>
          <w:tcPr>
            <w:tcW w:w="693" w:type="dxa"/>
            <w:tcBorders>
              <w:top w:val="single" w:sz="8" w:space="0" w:color="auto"/>
              <w:left w:val="single" w:sz="4" w:space="0" w:color="auto"/>
              <w:bottom w:val="single" w:sz="4" w:space="0" w:color="auto"/>
              <w:right w:val="nil"/>
            </w:tcBorders>
            <w:shd w:val="clear" w:color="auto" w:fill="auto"/>
            <w:noWrap/>
            <w:vAlign w:val="bottom"/>
            <w:hideMark/>
          </w:tcPr>
          <w:p w14:paraId="3225C0A8"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Esc. 14</w:t>
            </w:r>
          </w:p>
        </w:tc>
        <w:tc>
          <w:tcPr>
            <w:tcW w:w="542" w:type="dxa"/>
            <w:tcBorders>
              <w:top w:val="single" w:sz="8" w:space="0" w:color="auto"/>
              <w:left w:val="single" w:sz="8" w:space="0" w:color="auto"/>
              <w:bottom w:val="single" w:sz="4" w:space="0" w:color="auto"/>
              <w:right w:val="nil"/>
            </w:tcBorders>
            <w:shd w:val="clear" w:color="auto" w:fill="auto"/>
            <w:noWrap/>
            <w:vAlign w:val="bottom"/>
            <w:hideMark/>
          </w:tcPr>
          <w:p w14:paraId="6D5CC12C"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Esc. 15</w:t>
            </w:r>
          </w:p>
        </w:tc>
        <w:tc>
          <w:tcPr>
            <w:tcW w:w="567" w:type="dxa"/>
            <w:tcBorders>
              <w:top w:val="single" w:sz="8" w:space="0" w:color="auto"/>
              <w:left w:val="single" w:sz="8" w:space="0" w:color="auto"/>
              <w:bottom w:val="single" w:sz="4" w:space="0" w:color="auto"/>
              <w:right w:val="nil"/>
            </w:tcBorders>
            <w:shd w:val="clear" w:color="auto" w:fill="auto"/>
            <w:noWrap/>
            <w:vAlign w:val="bottom"/>
            <w:hideMark/>
          </w:tcPr>
          <w:p w14:paraId="1A6BB484"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Esc. 16</w:t>
            </w:r>
          </w:p>
        </w:tc>
        <w:tc>
          <w:tcPr>
            <w:tcW w:w="808" w:type="dxa"/>
            <w:tcBorders>
              <w:top w:val="single" w:sz="8" w:space="0" w:color="auto"/>
              <w:left w:val="single" w:sz="8" w:space="0" w:color="auto"/>
              <w:bottom w:val="single" w:sz="4" w:space="0" w:color="auto"/>
              <w:right w:val="nil"/>
            </w:tcBorders>
            <w:shd w:val="clear" w:color="auto" w:fill="auto"/>
            <w:noWrap/>
            <w:vAlign w:val="bottom"/>
            <w:hideMark/>
          </w:tcPr>
          <w:p w14:paraId="30F8E56D"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Esc. 17</w:t>
            </w:r>
          </w:p>
        </w:tc>
        <w:tc>
          <w:tcPr>
            <w:tcW w:w="696" w:type="dxa"/>
            <w:tcBorders>
              <w:top w:val="single" w:sz="8" w:space="0" w:color="auto"/>
              <w:left w:val="single" w:sz="8" w:space="0" w:color="auto"/>
              <w:bottom w:val="single" w:sz="4" w:space="0" w:color="auto"/>
              <w:right w:val="nil"/>
            </w:tcBorders>
            <w:shd w:val="clear" w:color="auto" w:fill="auto"/>
            <w:noWrap/>
            <w:vAlign w:val="bottom"/>
            <w:hideMark/>
          </w:tcPr>
          <w:p w14:paraId="57864649"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Esc. 18</w:t>
            </w:r>
          </w:p>
        </w:tc>
        <w:tc>
          <w:tcPr>
            <w:tcW w:w="696" w:type="dxa"/>
            <w:tcBorders>
              <w:top w:val="single" w:sz="8" w:space="0" w:color="auto"/>
              <w:left w:val="single" w:sz="8" w:space="0" w:color="auto"/>
              <w:bottom w:val="single" w:sz="4" w:space="0" w:color="auto"/>
              <w:right w:val="nil"/>
            </w:tcBorders>
            <w:shd w:val="clear" w:color="auto" w:fill="auto"/>
            <w:noWrap/>
            <w:vAlign w:val="bottom"/>
            <w:hideMark/>
          </w:tcPr>
          <w:p w14:paraId="5543477E"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Esc. 19</w:t>
            </w:r>
          </w:p>
        </w:tc>
        <w:tc>
          <w:tcPr>
            <w:tcW w:w="588" w:type="dxa"/>
            <w:tcBorders>
              <w:top w:val="single" w:sz="8" w:space="0" w:color="auto"/>
              <w:left w:val="single" w:sz="8" w:space="0" w:color="auto"/>
              <w:bottom w:val="single" w:sz="4" w:space="0" w:color="auto"/>
              <w:right w:val="nil"/>
            </w:tcBorders>
            <w:shd w:val="clear" w:color="auto" w:fill="auto"/>
            <w:noWrap/>
            <w:vAlign w:val="bottom"/>
            <w:hideMark/>
          </w:tcPr>
          <w:p w14:paraId="111A98F9"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Esc. 20</w:t>
            </w:r>
          </w:p>
        </w:tc>
        <w:tc>
          <w:tcPr>
            <w:tcW w:w="720" w:type="dxa"/>
            <w:tcBorders>
              <w:top w:val="single" w:sz="8" w:space="0" w:color="auto"/>
              <w:left w:val="single" w:sz="8" w:space="0" w:color="auto"/>
              <w:bottom w:val="single" w:sz="4" w:space="0" w:color="auto"/>
              <w:right w:val="nil"/>
            </w:tcBorders>
            <w:shd w:val="clear" w:color="auto" w:fill="auto"/>
            <w:noWrap/>
            <w:vAlign w:val="bottom"/>
            <w:hideMark/>
          </w:tcPr>
          <w:p w14:paraId="446B4706"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Esc. 21</w:t>
            </w:r>
          </w:p>
        </w:tc>
        <w:tc>
          <w:tcPr>
            <w:tcW w:w="592" w:type="dxa"/>
            <w:tcBorders>
              <w:top w:val="single" w:sz="8" w:space="0" w:color="auto"/>
              <w:left w:val="single" w:sz="8" w:space="0" w:color="auto"/>
              <w:bottom w:val="single" w:sz="4" w:space="0" w:color="auto"/>
              <w:right w:val="nil"/>
            </w:tcBorders>
            <w:shd w:val="clear" w:color="auto" w:fill="auto"/>
            <w:noWrap/>
            <w:vAlign w:val="bottom"/>
            <w:hideMark/>
          </w:tcPr>
          <w:p w14:paraId="62907E5B"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Esc. 22</w:t>
            </w:r>
          </w:p>
        </w:tc>
        <w:tc>
          <w:tcPr>
            <w:tcW w:w="696" w:type="dxa"/>
            <w:tcBorders>
              <w:top w:val="single" w:sz="8" w:space="0" w:color="auto"/>
              <w:left w:val="single" w:sz="8" w:space="0" w:color="auto"/>
              <w:bottom w:val="single" w:sz="4" w:space="0" w:color="auto"/>
              <w:right w:val="nil"/>
            </w:tcBorders>
            <w:shd w:val="clear" w:color="auto" w:fill="auto"/>
            <w:noWrap/>
            <w:vAlign w:val="bottom"/>
            <w:hideMark/>
          </w:tcPr>
          <w:p w14:paraId="5C4C4658"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Esc. 23</w:t>
            </w:r>
          </w:p>
        </w:tc>
        <w:tc>
          <w:tcPr>
            <w:tcW w:w="596" w:type="dxa"/>
            <w:tcBorders>
              <w:top w:val="single" w:sz="8" w:space="0" w:color="auto"/>
              <w:left w:val="single" w:sz="8" w:space="0" w:color="auto"/>
              <w:bottom w:val="single" w:sz="4" w:space="0" w:color="auto"/>
              <w:right w:val="nil"/>
            </w:tcBorders>
            <w:shd w:val="clear" w:color="auto" w:fill="auto"/>
            <w:noWrap/>
            <w:vAlign w:val="bottom"/>
            <w:hideMark/>
          </w:tcPr>
          <w:p w14:paraId="75337D46"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Esc. 24</w:t>
            </w:r>
          </w:p>
        </w:tc>
        <w:tc>
          <w:tcPr>
            <w:tcW w:w="58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359E86E"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Esc. 25</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6A37F"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Esc. 26</w:t>
            </w:r>
          </w:p>
        </w:tc>
      </w:tr>
      <w:tr w:rsidR="007968EC" w:rsidRPr="00F23188" w14:paraId="0FD41CD2" w14:textId="77777777" w:rsidTr="007968EC">
        <w:trPr>
          <w:trHeight w:val="315"/>
        </w:trPr>
        <w:tc>
          <w:tcPr>
            <w:tcW w:w="1028" w:type="dxa"/>
            <w:tcBorders>
              <w:top w:val="single" w:sz="4" w:space="0" w:color="auto"/>
              <w:left w:val="single" w:sz="8" w:space="0" w:color="000000"/>
              <w:bottom w:val="double" w:sz="6" w:space="0" w:color="000000"/>
              <w:right w:val="single" w:sz="4" w:space="0" w:color="auto"/>
            </w:tcBorders>
            <w:shd w:val="clear" w:color="auto" w:fill="auto"/>
            <w:vAlign w:val="center"/>
            <w:hideMark/>
          </w:tcPr>
          <w:p w14:paraId="20113B86" w14:textId="77777777" w:rsidR="007968EC" w:rsidRPr="00F23188" w:rsidRDefault="007968EC" w:rsidP="007968EC">
            <w:pPr>
              <w:jc w:val="center"/>
              <w:rPr>
                <w:rFonts w:ascii="Arial Narrow" w:hAnsi="Arial Narrow"/>
                <w:color w:val="000000"/>
                <w:sz w:val="16"/>
                <w:szCs w:val="16"/>
                <w:lang w:eastAsia="es-CO"/>
              </w:rPr>
            </w:pPr>
            <w:r w:rsidRPr="00F23188">
              <w:rPr>
                <w:rFonts w:ascii="Arial Narrow" w:hAnsi="Arial Narrow"/>
                <w:color w:val="000000"/>
                <w:sz w:val="16"/>
                <w:szCs w:val="16"/>
                <w:lang w:eastAsia="es-CO"/>
              </w:rPr>
              <w:t>G1</w:t>
            </w:r>
          </w:p>
        </w:tc>
        <w:tc>
          <w:tcPr>
            <w:tcW w:w="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54803"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-0,75%</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88E1B"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-0,52%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074AF"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-0,20%</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90D01"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-0,23%</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4B862"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-0,22%</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232FD"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0,32%</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ACDE7"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0,29%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A0762"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0,30%</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A2D2B"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-0,29%</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39A0C"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-0,32%</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98684"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-0,30%</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A4CB8"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0,01%</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E15B8"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-0,01%</w:t>
            </w:r>
          </w:p>
        </w:tc>
      </w:tr>
      <w:tr w:rsidR="007968EC" w:rsidRPr="00F23188" w14:paraId="26B1ED3F" w14:textId="77777777" w:rsidTr="007968EC">
        <w:trPr>
          <w:trHeight w:val="330"/>
        </w:trPr>
        <w:tc>
          <w:tcPr>
            <w:tcW w:w="1028" w:type="dxa"/>
            <w:tcBorders>
              <w:top w:val="nil"/>
              <w:left w:val="single" w:sz="8" w:space="0" w:color="000000"/>
              <w:bottom w:val="double" w:sz="6" w:space="0" w:color="000000"/>
              <w:right w:val="single" w:sz="4" w:space="0" w:color="auto"/>
            </w:tcBorders>
            <w:shd w:val="clear" w:color="auto" w:fill="auto"/>
            <w:vAlign w:val="center"/>
            <w:hideMark/>
          </w:tcPr>
          <w:p w14:paraId="57626A1F" w14:textId="77777777" w:rsidR="007968EC" w:rsidRPr="00F23188" w:rsidRDefault="007968EC" w:rsidP="007968EC">
            <w:pPr>
              <w:jc w:val="center"/>
              <w:rPr>
                <w:rFonts w:ascii="Arial Narrow" w:hAnsi="Arial Narrow"/>
                <w:color w:val="000000"/>
                <w:sz w:val="16"/>
                <w:szCs w:val="16"/>
                <w:lang w:eastAsia="es-CO"/>
              </w:rPr>
            </w:pPr>
            <w:r w:rsidRPr="00F23188">
              <w:rPr>
                <w:rFonts w:ascii="Arial Narrow" w:hAnsi="Arial Narrow"/>
                <w:color w:val="000000"/>
                <w:sz w:val="16"/>
                <w:szCs w:val="16"/>
                <w:lang w:eastAsia="es-CO"/>
              </w:rPr>
              <w:t>G2</w:t>
            </w:r>
          </w:p>
        </w:tc>
        <w:tc>
          <w:tcPr>
            <w:tcW w:w="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E0C30"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-1,09%</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680FA"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-1,49%</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ED442"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-1,27%</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1AEDC"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-0,48%</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E0152"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-0,87%</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560A2"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0,22%</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90963"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1,01%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9C8F8"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0,61%</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FC02A"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-1,01%</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BDEA7"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-0,22%</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98CDF"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-0,61%</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E4FE8"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-0,40%</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C4BB9"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0,40%</w:t>
            </w:r>
          </w:p>
        </w:tc>
      </w:tr>
      <w:tr w:rsidR="007968EC" w:rsidRPr="00F23188" w14:paraId="535E264F" w14:textId="77777777" w:rsidTr="007968EC">
        <w:trPr>
          <w:trHeight w:val="330"/>
        </w:trPr>
        <w:tc>
          <w:tcPr>
            <w:tcW w:w="1028" w:type="dxa"/>
            <w:tcBorders>
              <w:top w:val="nil"/>
              <w:left w:val="single" w:sz="8" w:space="0" w:color="000000"/>
              <w:bottom w:val="double" w:sz="6" w:space="0" w:color="000000"/>
              <w:right w:val="single" w:sz="4" w:space="0" w:color="auto"/>
            </w:tcBorders>
            <w:shd w:val="clear" w:color="auto" w:fill="auto"/>
            <w:vAlign w:val="center"/>
            <w:hideMark/>
          </w:tcPr>
          <w:p w14:paraId="12E75917" w14:textId="77777777" w:rsidR="007968EC" w:rsidRPr="00F23188" w:rsidRDefault="007968EC" w:rsidP="007968EC">
            <w:pPr>
              <w:jc w:val="center"/>
              <w:rPr>
                <w:rFonts w:ascii="Arial Narrow" w:hAnsi="Arial Narrow"/>
                <w:color w:val="000000"/>
                <w:sz w:val="16"/>
                <w:szCs w:val="16"/>
                <w:lang w:eastAsia="es-CO"/>
              </w:rPr>
            </w:pPr>
            <w:r w:rsidRPr="00F23188">
              <w:rPr>
                <w:rFonts w:ascii="Arial Narrow" w:hAnsi="Arial Narrow"/>
                <w:color w:val="000000"/>
                <w:sz w:val="16"/>
                <w:szCs w:val="16"/>
                <w:lang w:eastAsia="es-CO"/>
              </w:rPr>
              <w:t>G3</w:t>
            </w:r>
          </w:p>
        </w:tc>
        <w:tc>
          <w:tcPr>
            <w:tcW w:w="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17A9B"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-0,59%</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96F70"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-2,33%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50171"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-3,82%</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51927"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-0,35%</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2C37D"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-2,08%</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24F7A"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-1,50%</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FD695"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1,98%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7F51C"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0,26%</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30AFC"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-1,98%</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96141"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1,50%</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4D02E"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-0,26%</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35F2F"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-1,74%</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76C2F"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1,74%</w:t>
            </w:r>
          </w:p>
        </w:tc>
      </w:tr>
      <w:tr w:rsidR="007968EC" w:rsidRPr="00F23188" w14:paraId="577F6007" w14:textId="77777777" w:rsidTr="007968EC">
        <w:trPr>
          <w:trHeight w:val="330"/>
        </w:trPr>
        <w:tc>
          <w:tcPr>
            <w:tcW w:w="1028" w:type="dxa"/>
            <w:tcBorders>
              <w:top w:val="nil"/>
              <w:left w:val="single" w:sz="8" w:space="0" w:color="000000"/>
              <w:bottom w:val="double" w:sz="6" w:space="0" w:color="000000"/>
              <w:right w:val="single" w:sz="4" w:space="0" w:color="auto"/>
            </w:tcBorders>
            <w:shd w:val="clear" w:color="auto" w:fill="auto"/>
            <w:vAlign w:val="center"/>
            <w:hideMark/>
          </w:tcPr>
          <w:p w14:paraId="5DF0795E" w14:textId="77777777" w:rsidR="007968EC" w:rsidRPr="00F23188" w:rsidRDefault="007968EC" w:rsidP="007968EC">
            <w:pPr>
              <w:jc w:val="center"/>
              <w:rPr>
                <w:rFonts w:ascii="Arial Narrow" w:hAnsi="Arial Narrow"/>
                <w:color w:val="000000"/>
                <w:sz w:val="16"/>
                <w:szCs w:val="16"/>
                <w:lang w:eastAsia="es-CO"/>
              </w:rPr>
            </w:pPr>
            <w:r w:rsidRPr="00F23188">
              <w:rPr>
                <w:rFonts w:ascii="Arial Narrow" w:hAnsi="Arial Narrow"/>
                <w:color w:val="000000"/>
                <w:sz w:val="16"/>
                <w:szCs w:val="16"/>
                <w:lang w:eastAsia="es-CO"/>
              </w:rPr>
              <w:t>G4</w:t>
            </w:r>
          </w:p>
        </w:tc>
        <w:tc>
          <w:tcPr>
            <w:tcW w:w="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CEEBA"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0,04%</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F3EC6"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-2,93%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7E64D"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-6,56%</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B16E7"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-0,64%</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A6A5D"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-3,60%</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F78CE"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-3,63%</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A5CF7"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2,29%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D3950"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-0,67%</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C73C7"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-2,29%</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2583B"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3,63%</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FBF73"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0,67%</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08DE5"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-2,96%</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07259"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2,96%</w:t>
            </w:r>
          </w:p>
        </w:tc>
      </w:tr>
      <w:tr w:rsidR="007968EC" w:rsidRPr="00F23188" w14:paraId="501ECEEE" w14:textId="77777777" w:rsidTr="007968EC">
        <w:trPr>
          <w:trHeight w:val="330"/>
        </w:trPr>
        <w:tc>
          <w:tcPr>
            <w:tcW w:w="1028" w:type="dxa"/>
            <w:tcBorders>
              <w:top w:val="nil"/>
              <w:left w:val="single" w:sz="8" w:space="0" w:color="000000"/>
              <w:bottom w:val="double" w:sz="6" w:space="0" w:color="000000"/>
              <w:right w:val="single" w:sz="4" w:space="0" w:color="auto"/>
            </w:tcBorders>
            <w:shd w:val="clear" w:color="auto" w:fill="auto"/>
            <w:vAlign w:val="center"/>
            <w:hideMark/>
          </w:tcPr>
          <w:p w14:paraId="4C93C003" w14:textId="77777777" w:rsidR="007968EC" w:rsidRPr="00F23188" w:rsidRDefault="007968EC" w:rsidP="007968EC">
            <w:pPr>
              <w:jc w:val="center"/>
              <w:rPr>
                <w:rFonts w:ascii="Arial Narrow" w:hAnsi="Arial Narrow"/>
                <w:color w:val="000000"/>
                <w:sz w:val="16"/>
                <w:szCs w:val="16"/>
                <w:lang w:eastAsia="es-CO"/>
              </w:rPr>
            </w:pPr>
            <w:r w:rsidRPr="00F23188">
              <w:rPr>
                <w:rFonts w:ascii="Arial Narrow" w:hAnsi="Arial Narrow"/>
                <w:color w:val="000000"/>
                <w:sz w:val="16"/>
                <w:szCs w:val="16"/>
                <w:lang w:eastAsia="es-CO"/>
              </w:rPr>
              <w:t>G5</w:t>
            </w:r>
          </w:p>
        </w:tc>
        <w:tc>
          <w:tcPr>
            <w:tcW w:w="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A1A44"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-1,24%</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E811C"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-3,67%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C0A47"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-7,43%</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33058"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-2,58%</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25EAE"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-5,01%</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73AB1"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-3,76%</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346FB"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1,09%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6EB3F"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-1,33%</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B9520"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-1,09%</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499CE"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3,76%</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D61FB"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1,33%</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4B479"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-2,43%</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C5B13"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2,43%</w:t>
            </w:r>
          </w:p>
        </w:tc>
      </w:tr>
      <w:tr w:rsidR="007968EC" w:rsidRPr="00F23188" w14:paraId="2597548D" w14:textId="77777777" w:rsidTr="007968EC">
        <w:trPr>
          <w:trHeight w:val="330"/>
        </w:trPr>
        <w:tc>
          <w:tcPr>
            <w:tcW w:w="1028" w:type="dxa"/>
            <w:tcBorders>
              <w:top w:val="nil"/>
              <w:left w:val="single" w:sz="8" w:space="0" w:color="000000"/>
              <w:bottom w:val="double" w:sz="6" w:space="0" w:color="000000"/>
              <w:right w:val="single" w:sz="4" w:space="0" w:color="auto"/>
            </w:tcBorders>
            <w:shd w:val="clear" w:color="auto" w:fill="auto"/>
            <w:vAlign w:val="center"/>
            <w:hideMark/>
          </w:tcPr>
          <w:p w14:paraId="48F55102" w14:textId="77777777" w:rsidR="007968EC" w:rsidRPr="00F23188" w:rsidRDefault="007968EC" w:rsidP="007968EC">
            <w:pPr>
              <w:jc w:val="center"/>
              <w:rPr>
                <w:rFonts w:ascii="Arial Narrow" w:hAnsi="Arial Narrow"/>
                <w:color w:val="000000"/>
                <w:sz w:val="16"/>
                <w:szCs w:val="16"/>
                <w:lang w:eastAsia="es-CO"/>
              </w:rPr>
            </w:pPr>
            <w:r w:rsidRPr="00F23188">
              <w:rPr>
                <w:rFonts w:ascii="Arial Narrow" w:hAnsi="Arial Narrow"/>
                <w:color w:val="000000"/>
                <w:sz w:val="16"/>
                <w:szCs w:val="16"/>
                <w:lang w:eastAsia="es-CO"/>
              </w:rPr>
              <w:t>G6</w:t>
            </w:r>
          </w:p>
        </w:tc>
        <w:tc>
          <w:tcPr>
            <w:tcW w:w="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19DAF"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-5,45%</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B01E4"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-4,81%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44DF6"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-5,67%</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FB0CE"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-6,95%</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EB1E3"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-6,31%</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B569D"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-1,19%</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69655"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-2,15%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217CA"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-1,50%</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78336"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2,15%</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19EDC"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1,19%</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83B81"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1,50%</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FBF0C"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0,90%</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0FA84"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-0,90%</w:t>
            </w:r>
          </w:p>
        </w:tc>
      </w:tr>
      <w:tr w:rsidR="007968EC" w:rsidRPr="00F23188" w14:paraId="0CFF347D" w14:textId="77777777" w:rsidTr="007968EC">
        <w:trPr>
          <w:trHeight w:val="330"/>
        </w:trPr>
        <w:tc>
          <w:tcPr>
            <w:tcW w:w="1028" w:type="dxa"/>
            <w:tcBorders>
              <w:top w:val="nil"/>
              <w:left w:val="single" w:sz="8" w:space="0" w:color="000000"/>
              <w:bottom w:val="double" w:sz="6" w:space="0" w:color="000000"/>
              <w:right w:val="single" w:sz="4" w:space="0" w:color="auto"/>
            </w:tcBorders>
            <w:shd w:val="clear" w:color="auto" w:fill="auto"/>
            <w:vAlign w:val="center"/>
            <w:hideMark/>
          </w:tcPr>
          <w:p w14:paraId="39935A59" w14:textId="77777777" w:rsidR="007968EC" w:rsidRPr="00F23188" w:rsidRDefault="007968EC" w:rsidP="007968EC">
            <w:pPr>
              <w:jc w:val="center"/>
              <w:rPr>
                <w:rFonts w:ascii="Arial Narrow" w:hAnsi="Arial Narrow"/>
                <w:color w:val="000000"/>
                <w:sz w:val="16"/>
                <w:szCs w:val="16"/>
                <w:lang w:eastAsia="es-CO"/>
              </w:rPr>
            </w:pPr>
            <w:r w:rsidRPr="00F23188">
              <w:rPr>
                <w:rFonts w:ascii="Arial Narrow" w:hAnsi="Arial Narrow"/>
                <w:color w:val="000000"/>
                <w:sz w:val="16"/>
                <w:szCs w:val="16"/>
                <w:lang w:eastAsia="es-CO"/>
              </w:rPr>
              <w:t>G7</w:t>
            </w:r>
          </w:p>
        </w:tc>
        <w:tc>
          <w:tcPr>
            <w:tcW w:w="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DD9DA"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-12,21%</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B7202"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-5,89%</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1B38E"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-1,23%</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2401A"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-13,18%</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20667"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-6,87%</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C78E8"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5,34%</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72DCF"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-7,29%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5034B"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-0,98%</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C045A"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7,29%</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FBBB3"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-5,34%</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0950D"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0,98%</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2D117"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6,32%</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C3020"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-6,32%</w:t>
            </w:r>
          </w:p>
        </w:tc>
      </w:tr>
      <w:tr w:rsidR="007968EC" w:rsidRPr="00F23188" w14:paraId="672FCA53" w14:textId="77777777" w:rsidTr="007968EC">
        <w:trPr>
          <w:trHeight w:val="330"/>
        </w:trPr>
        <w:tc>
          <w:tcPr>
            <w:tcW w:w="1028" w:type="dxa"/>
            <w:tcBorders>
              <w:top w:val="nil"/>
              <w:left w:val="single" w:sz="8" w:space="0" w:color="000000"/>
              <w:bottom w:val="single" w:sz="8" w:space="0" w:color="000000"/>
              <w:right w:val="single" w:sz="4" w:space="0" w:color="auto"/>
            </w:tcBorders>
            <w:shd w:val="clear" w:color="auto" w:fill="auto"/>
            <w:vAlign w:val="center"/>
            <w:hideMark/>
          </w:tcPr>
          <w:p w14:paraId="358D5270" w14:textId="77777777" w:rsidR="007968EC" w:rsidRPr="00F23188" w:rsidRDefault="007968EC" w:rsidP="007968EC">
            <w:pPr>
              <w:jc w:val="center"/>
              <w:rPr>
                <w:rFonts w:ascii="Arial Narrow" w:hAnsi="Arial Narrow"/>
                <w:color w:val="000000"/>
                <w:sz w:val="16"/>
                <w:szCs w:val="16"/>
                <w:lang w:eastAsia="es-CO"/>
              </w:rPr>
            </w:pPr>
            <w:r w:rsidRPr="00F23188">
              <w:rPr>
                <w:rFonts w:ascii="Arial Narrow" w:hAnsi="Arial Narrow"/>
                <w:color w:val="000000"/>
                <w:sz w:val="16"/>
                <w:szCs w:val="16"/>
                <w:lang w:eastAsia="es-CO"/>
              </w:rPr>
              <w:lastRenderedPageBreak/>
              <w:t>G8</w:t>
            </w:r>
          </w:p>
        </w:tc>
        <w:tc>
          <w:tcPr>
            <w:tcW w:w="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060EB"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-15,73%</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2BCC2"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-5,72%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050D2"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4,10%</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942CF"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-15,92%</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4D3B9"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-5,91%</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B0F7D"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9,82%</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DF97D"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-10,20%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915DE"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-0,22%</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896E1"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10,20%</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0F62D"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-9,82%</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0FE47"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0,22%</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7D338"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10,01%</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ED4A0" w14:textId="77777777" w:rsidR="007968EC" w:rsidRPr="00F23188" w:rsidRDefault="007968EC" w:rsidP="007968EC">
            <w:pPr>
              <w:jc w:val="right"/>
              <w:rPr>
                <w:rFonts w:ascii="Arial Narrow" w:hAnsi="Arial Narrow"/>
                <w:color w:val="000000"/>
                <w:sz w:val="16"/>
                <w:szCs w:val="16"/>
                <w:lang w:eastAsia="es-CO"/>
              </w:rPr>
            </w:pPr>
            <w:r w:rsidRPr="00F23188">
              <w:rPr>
                <w:rFonts w:ascii="Arial Narrow" w:hAnsi="Arial Narrow"/>
                <w:color w:val="000000"/>
                <w:sz w:val="16"/>
                <w:szCs w:val="16"/>
                <w:lang w:eastAsia="es-CO"/>
              </w:rPr>
              <w:t>-10,01%</w:t>
            </w:r>
          </w:p>
        </w:tc>
      </w:tr>
    </w:tbl>
    <w:p w14:paraId="2F71C7F1" w14:textId="77777777" w:rsidR="007968EC" w:rsidRPr="00F23188" w:rsidRDefault="007968EC" w:rsidP="007968EC">
      <w:pPr>
        <w:contextualSpacing/>
        <w:jc w:val="both"/>
        <w:rPr>
          <w:rFonts w:ascii="Arial Narrow" w:hAnsi="Arial Narrow" w:cs="Arial"/>
          <w:lang w:eastAsia="es-ES"/>
        </w:rPr>
      </w:pPr>
    </w:p>
    <w:p w14:paraId="3B1030B5" w14:textId="77777777" w:rsidR="007968EC" w:rsidRPr="002C0D19" w:rsidRDefault="007968EC" w:rsidP="007968EC">
      <w:pPr>
        <w:rPr>
          <w:b/>
          <w:color w:val="000000" w:themeColor="text1"/>
          <w:lang w:eastAsia="es-ES"/>
        </w:rPr>
      </w:pPr>
      <w:r w:rsidRPr="00F23188">
        <w:rPr>
          <w:rFonts w:ascii="Arial Narrow" w:hAnsi="Arial Narrow" w:cs="Arial"/>
          <w:color w:val="000000"/>
          <w:lang w:eastAsia="es-CO"/>
        </w:rPr>
        <w:t>Los escenarios hipotéticos resultantes de los movimientos en los plazos de la curva cero cupón de TES, en total 26 escenarios, recrean movimientos generalizados paralelos, de pendiente y de curvatura, tanto aislados como combinados.</w:t>
      </w:r>
    </w:p>
    <w:p w14:paraId="77296685" w14:textId="77777777" w:rsidR="007968EC" w:rsidRPr="002C0D19" w:rsidRDefault="007968EC" w:rsidP="007968EC">
      <w:pPr>
        <w:rPr>
          <w:rFonts w:ascii="Arial Narrow" w:eastAsia="Calibri" w:hAnsi="Arial Narrow"/>
          <w:color w:val="000000" w:themeColor="text1"/>
          <w:lang w:eastAsia="es-ES"/>
        </w:rPr>
      </w:pPr>
    </w:p>
    <w:p w14:paraId="0A4EE332" w14:textId="77777777" w:rsidR="007968EC" w:rsidRDefault="007968EC" w:rsidP="007968EC">
      <w:pPr>
        <w:pStyle w:val="ARTICULO0"/>
      </w:pPr>
      <w:bookmarkStart w:id="5873" w:name="_Toc470784798"/>
      <w:bookmarkStart w:id="5874" w:name="_Toc470785335"/>
      <w:bookmarkStart w:id="5875" w:name="_Toc470791729"/>
      <w:bookmarkStart w:id="5876" w:name="_Toc31716309"/>
      <w:bookmarkStart w:id="5877" w:name="_Toc490066647"/>
      <w:r>
        <w:t>Artículo 3.5.3.6</w:t>
      </w:r>
      <w:r w:rsidRPr="002C0D19">
        <w:t>. Aportación mínima al Fondo de Garantía Colectiva de los Miembros para el Segmento de Renta Fija.</w:t>
      </w:r>
      <w:bookmarkEnd w:id="5873"/>
      <w:bookmarkEnd w:id="5874"/>
      <w:bookmarkEnd w:id="5875"/>
      <w:bookmarkEnd w:id="5876"/>
      <w:r w:rsidRPr="002C0D19">
        <w:t xml:space="preserve"> </w:t>
      </w:r>
    </w:p>
    <w:p w14:paraId="0F6EB7C7" w14:textId="77777777" w:rsidR="007968EC" w:rsidRDefault="007968EC" w:rsidP="007968EC">
      <w:pPr>
        <w:keepNext/>
        <w:tabs>
          <w:tab w:val="left" w:pos="1701"/>
        </w:tabs>
        <w:jc w:val="both"/>
        <w:outlineLvl w:val="2"/>
        <w:rPr>
          <w:rFonts w:ascii="Arial Narrow" w:hAnsi="Arial Narrow" w:cs="Arial"/>
          <w:b/>
          <w:color w:val="000000" w:themeColor="text1"/>
          <w:u w:val="single"/>
          <w:lang w:eastAsia="es-ES"/>
        </w:rPr>
      </w:pPr>
    </w:p>
    <w:p w14:paraId="258D1321" w14:textId="77777777" w:rsidR="007968EC" w:rsidRPr="002C0D19" w:rsidRDefault="007968EC" w:rsidP="007968EC">
      <w:pPr>
        <w:pStyle w:val="ANTECEDENTES"/>
      </w:pPr>
      <w:r w:rsidRPr="002C0D19">
        <w:t>(Este artículo fue renumerado mediante Circular 2 del 11 de enero de 2017, publicada mediante Boletín Normativo No. 002 del 11 de enero de 201</w:t>
      </w:r>
      <w:r>
        <w:t>7,</w:t>
      </w:r>
      <w:r w:rsidRPr="002C0D19">
        <w:t xml:space="preserve"> mediante la Circular 8 del 31 de marzo de 2017, publicada en el Boletín Normativo No. 008 del 31 de marzo de 2017</w:t>
      </w:r>
      <w:r>
        <w:t xml:space="preserve">, modificado mediante Circular 3 del 16 de marzo de 2018, publicada en el Boletín Normativo No. 006 del 16 de marzo de 2018, renumerado </w:t>
      </w:r>
      <w:r w:rsidRPr="00DA3D5C">
        <w:t xml:space="preserve">mediante Circular 10 del 6 de julio de 2018, publicada </w:t>
      </w:r>
      <w:r>
        <w:t>en el</w:t>
      </w:r>
      <w:r w:rsidRPr="00DA3D5C">
        <w:t xml:space="preserve"> Boletín Normativo</w:t>
      </w:r>
      <w:r>
        <w:t xml:space="preserve"> No. 013 del 6 de julio de 2018, modificado </w:t>
      </w:r>
      <w:r w:rsidRPr="009207FD">
        <w:t xml:space="preserve">mediante Circular </w:t>
      </w:r>
      <w:r>
        <w:t>1</w:t>
      </w:r>
      <w:r w:rsidRPr="009207FD">
        <w:t xml:space="preserve"> del </w:t>
      </w:r>
      <w:r>
        <w:t>15 de enero de 2019</w:t>
      </w:r>
      <w:r w:rsidRPr="009207FD">
        <w:t>, publicada en el Boletín Normativo N</w:t>
      </w:r>
      <w:r>
        <w:t xml:space="preserve">o. 001 del 15 de enero de 2019 y modificado mediante Circular 1 del 10 de enero de 2020, publicada en el Boletín Normativo No. 001 del 10 de enero de 2020. </w:t>
      </w:r>
      <w:r w:rsidRPr="009207FD">
        <w:t xml:space="preserve">Rige a partir del </w:t>
      </w:r>
      <w:r>
        <w:t>13 de enero de 2020.</w:t>
      </w:r>
      <w:r w:rsidRPr="002C0D19">
        <w:t>)</w:t>
      </w:r>
      <w:bookmarkEnd w:id="5877"/>
    </w:p>
    <w:p w14:paraId="3023978E" w14:textId="77777777" w:rsidR="007968EC" w:rsidRPr="002C0D19" w:rsidRDefault="007968EC" w:rsidP="007968EC">
      <w:pPr>
        <w:jc w:val="both"/>
        <w:rPr>
          <w:rFonts w:ascii="Arial Narrow" w:eastAsia="Calibri" w:hAnsi="Arial Narrow"/>
          <w:bCs/>
          <w:color w:val="000000" w:themeColor="text1"/>
          <w:kern w:val="32"/>
        </w:rPr>
      </w:pPr>
    </w:p>
    <w:p w14:paraId="6079EFC3" w14:textId="77777777" w:rsidR="007968EC" w:rsidRPr="00FF76BB" w:rsidRDefault="007968EC" w:rsidP="007968EC">
      <w:pPr>
        <w:jc w:val="both"/>
        <w:rPr>
          <w:rFonts w:ascii="Arial Narrow" w:eastAsia="Calibri" w:hAnsi="Arial Narrow"/>
          <w:bCs/>
          <w:color w:val="000000" w:themeColor="text1"/>
          <w:kern w:val="32"/>
        </w:rPr>
      </w:pPr>
      <w:r w:rsidRPr="00FF76BB">
        <w:rPr>
          <w:rFonts w:ascii="Arial Narrow" w:eastAsia="Calibri" w:hAnsi="Arial Narrow"/>
          <w:bCs/>
          <w:color w:val="000000" w:themeColor="text1"/>
          <w:kern w:val="32"/>
        </w:rPr>
        <w:t>De conformidad con el artículo 1.6.2.10. la aportación mínima al Fondo de Garantía Colectiva según la calidad de Miembro Liquidador para participar en el presente Segmento es la siguiente:</w:t>
      </w:r>
    </w:p>
    <w:p w14:paraId="40EFE920" w14:textId="77777777" w:rsidR="007968EC" w:rsidRPr="00FF76BB" w:rsidRDefault="007968EC" w:rsidP="007968EC">
      <w:pPr>
        <w:rPr>
          <w:rFonts w:ascii="Arial Narrow" w:eastAsia="Calibri" w:hAnsi="Arial Narrow"/>
          <w:bCs/>
          <w:color w:val="000000" w:themeColor="text1"/>
          <w:kern w:val="32"/>
          <w:u w:val="single"/>
        </w:rPr>
      </w:pP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2"/>
        <w:gridCol w:w="6804"/>
      </w:tblGrid>
      <w:tr w:rsidR="007968EC" w:rsidRPr="00FF76BB" w14:paraId="146D1154" w14:textId="77777777" w:rsidTr="007968EC">
        <w:trPr>
          <w:trHeight w:val="607"/>
          <w:jc w:val="center"/>
        </w:trPr>
        <w:tc>
          <w:tcPr>
            <w:tcW w:w="2272" w:type="dxa"/>
          </w:tcPr>
          <w:p w14:paraId="4ECF4FEF" w14:textId="77777777" w:rsidR="007968EC" w:rsidRPr="00FF76BB" w:rsidRDefault="007968EC" w:rsidP="007968EC">
            <w:pPr>
              <w:jc w:val="center"/>
              <w:rPr>
                <w:rFonts w:ascii="Arial Narrow" w:eastAsia="Calibri" w:hAnsi="Arial Narrow"/>
                <w:b/>
                <w:bCs/>
                <w:color w:val="000000" w:themeColor="text1"/>
                <w:kern w:val="32"/>
              </w:rPr>
            </w:pPr>
            <w:r w:rsidRPr="00FF76BB">
              <w:rPr>
                <w:rFonts w:ascii="Arial Narrow" w:eastAsia="Calibri" w:hAnsi="Arial Narrow"/>
                <w:b/>
                <w:bCs/>
                <w:color w:val="000000" w:themeColor="text1"/>
                <w:kern w:val="32"/>
              </w:rPr>
              <w:t>Modalidad de Miembro Liquidador</w:t>
            </w:r>
          </w:p>
        </w:tc>
        <w:tc>
          <w:tcPr>
            <w:tcW w:w="6804" w:type="dxa"/>
          </w:tcPr>
          <w:p w14:paraId="023A5F77" w14:textId="77777777" w:rsidR="007968EC" w:rsidRPr="00FF76BB" w:rsidRDefault="007968EC" w:rsidP="007968EC">
            <w:pPr>
              <w:jc w:val="center"/>
              <w:rPr>
                <w:rFonts w:ascii="Arial Narrow" w:eastAsia="Calibri" w:hAnsi="Arial Narrow"/>
                <w:bCs/>
                <w:color w:val="000000" w:themeColor="text1"/>
                <w:kern w:val="32"/>
                <w:u w:val="single"/>
              </w:rPr>
            </w:pPr>
            <w:r w:rsidRPr="00FF76BB">
              <w:rPr>
                <w:rFonts w:ascii="Arial Narrow" w:eastAsia="Calibri" w:hAnsi="Arial Narrow"/>
                <w:b/>
                <w:bCs/>
                <w:color w:val="000000" w:themeColor="text1"/>
                <w:kern w:val="32"/>
              </w:rPr>
              <w:t>Aportación Mínima al Fondo De Garantía Colectiva</w:t>
            </w:r>
          </w:p>
        </w:tc>
      </w:tr>
      <w:tr w:rsidR="007968EC" w:rsidRPr="00FF76BB" w14:paraId="25C0C5BA" w14:textId="77777777" w:rsidTr="007968EC">
        <w:trPr>
          <w:trHeight w:val="361"/>
          <w:jc w:val="center"/>
        </w:trPr>
        <w:tc>
          <w:tcPr>
            <w:tcW w:w="2272" w:type="dxa"/>
          </w:tcPr>
          <w:p w14:paraId="373E86BB" w14:textId="77777777" w:rsidR="007968EC" w:rsidRPr="00FF76BB" w:rsidRDefault="007968EC" w:rsidP="007968EC">
            <w:pPr>
              <w:rPr>
                <w:rFonts w:ascii="Arial Narrow" w:eastAsia="Calibri" w:hAnsi="Arial Narrow"/>
                <w:bCs/>
                <w:color w:val="000000" w:themeColor="text1"/>
                <w:kern w:val="32"/>
              </w:rPr>
            </w:pPr>
            <w:r w:rsidRPr="00FF76BB">
              <w:rPr>
                <w:rFonts w:ascii="Arial Narrow" w:eastAsia="Calibri" w:hAnsi="Arial Narrow"/>
                <w:bCs/>
                <w:color w:val="000000" w:themeColor="text1"/>
                <w:kern w:val="32"/>
              </w:rPr>
              <w:t>Miembro Liquidador Individual</w:t>
            </w:r>
          </w:p>
        </w:tc>
        <w:tc>
          <w:tcPr>
            <w:tcW w:w="6804" w:type="dxa"/>
          </w:tcPr>
          <w:p w14:paraId="74C37BC9" w14:textId="77777777" w:rsidR="007968EC" w:rsidRPr="00FF76BB" w:rsidRDefault="007968EC" w:rsidP="007968EC">
            <w:pPr>
              <w:jc w:val="both"/>
              <w:rPr>
                <w:rFonts w:ascii="Arial Narrow" w:eastAsia="Calibri" w:hAnsi="Arial Narrow"/>
                <w:bCs/>
                <w:color w:val="000000" w:themeColor="text1"/>
                <w:kern w:val="32"/>
              </w:rPr>
            </w:pPr>
            <w:r w:rsidRPr="00FF76BB">
              <w:rPr>
                <w:rFonts w:ascii="Arial Narrow" w:eastAsia="Calibri" w:hAnsi="Arial Narrow"/>
                <w:bCs/>
                <w:color w:val="000000" w:themeColor="text1"/>
                <w:kern w:val="32"/>
              </w:rPr>
              <w:t xml:space="preserve">Doscientos </w:t>
            </w:r>
            <w:r>
              <w:rPr>
                <w:rFonts w:ascii="Arial Narrow" w:eastAsia="Calibri" w:hAnsi="Arial Narrow"/>
                <w:bCs/>
                <w:color w:val="000000" w:themeColor="text1"/>
                <w:kern w:val="32"/>
              </w:rPr>
              <w:t>ochenta</w:t>
            </w:r>
            <w:r w:rsidRPr="00FF76BB">
              <w:rPr>
                <w:rFonts w:ascii="Arial Narrow" w:eastAsia="Calibri" w:hAnsi="Arial Narrow"/>
                <w:bCs/>
                <w:kern w:val="32"/>
              </w:rPr>
              <w:t xml:space="preserve"> millones de pesos ($2</w:t>
            </w:r>
            <w:r>
              <w:rPr>
                <w:rFonts w:ascii="Arial Narrow" w:eastAsia="Calibri" w:hAnsi="Arial Narrow"/>
                <w:bCs/>
                <w:kern w:val="32"/>
              </w:rPr>
              <w:t>8</w:t>
            </w:r>
            <w:r w:rsidRPr="00FF76BB">
              <w:rPr>
                <w:rFonts w:ascii="Arial Narrow" w:eastAsia="Calibri" w:hAnsi="Arial Narrow"/>
                <w:bCs/>
                <w:kern w:val="32"/>
              </w:rPr>
              <w:t xml:space="preserve">0.000.000) </w:t>
            </w:r>
            <w:r w:rsidRPr="00FF76BB">
              <w:rPr>
                <w:rFonts w:ascii="Arial Narrow" w:eastAsia="Calibri" w:hAnsi="Arial Narrow"/>
                <w:bCs/>
                <w:color w:val="000000" w:themeColor="text1"/>
                <w:kern w:val="32"/>
              </w:rPr>
              <w:t>moneda corriente.</w:t>
            </w:r>
          </w:p>
          <w:p w14:paraId="0A70D5A5" w14:textId="77777777" w:rsidR="007968EC" w:rsidRPr="00FF76BB" w:rsidRDefault="007968EC" w:rsidP="007968EC">
            <w:pPr>
              <w:jc w:val="both"/>
              <w:rPr>
                <w:rFonts w:ascii="Arial Narrow" w:eastAsia="Calibri" w:hAnsi="Arial Narrow"/>
                <w:bCs/>
                <w:color w:val="000000" w:themeColor="text1"/>
                <w:kern w:val="32"/>
                <w:u w:val="single"/>
              </w:rPr>
            </w:pPr>
          </w:p>
        </w:tc>
      </w:tr>
      <w:tr w:rsidR="007968EC" w:rsidRPr="00FF76BB" w14:paraId="0FCB2A33" w14:textId="77777777" w:rsidTr="007968EC">
        <w:trPr>
          <w:trHeight w:val="355"/>
          <w:jc w:val="center"/>
        </w:trPr>
        <w:tc>
          <w:tcPr>
            <w:tcW w:w="2272" w:type="dxa"/>
          </w:tcPr>
          <w:p w14:paraId="6F6E3F8B" w14:textId="77777777" w:rsidR="007968EC" w:rsidRPr="00FF76BB" w:rsidRDefault="007968EC" w:rsidP="007968EC">
            <w:pPr>
              <w:rPr>
                <w:rFonts w:ascii="Arial Narrow" w:eastAsia="Calibri" w:hAnsi="Arial Narrow"/>
                <w:bCs/>
                <w:color w:val="000000" w:themeColor="text1"/>
                <w:kern w:val="32"/>
              </w:rPr>
            </w:pPr>
            <w:r w:rsidRPr="00FF76BB">
              <w:rPr>
                <w:rFonts w:ascii="Arial Narrow" w:eastAsia="Calibri" w:hAnsi="Arial Narrow"/>
                <w:bCs/>
                <w:color w:val="000000" w:themeColor="text1"/>
                <w:kern w:val="32"/>
              </w:rPr>
              <w:t>Miembro Liquidador General</w:t>
            </w:r>
          </w:p>
        </w:tc>
        <w:tc>
          <w:tcPr>
            <w:tcW w:w="6804" w:type="dxa"/>
          </w:tcPr>
          <w:p w14:paraId="7388A291" w14:textId="77777777" w:rsidR="007968EC" w:rsidRPr="00FF76BB" w:rsidRDefault="007968EC" w:rsidP="007968EC">
            <w:pPr>
              <w:jc w:val="both"/>
              <w:rPr>
                <w:rFonts w:ascii="Arial Narrow" w:eastAsia="Calibri" w:hAnsi="Arial Narrow"/>
                <w:bCs/>
                <w:color w:val="000000" w:themeColor="text1"/>
                <w:kern w:val="32"/>
                <w:u w:val="single"/>
              </w:rPr>
            </w:pPr>
            <w:r w:rsidRPr="00FF76BB">
              <w:rPr>
                <w:rFonts w:ascii="Arial Narrow" w:eastAsia="Calibri" w:hAnsi="Arial Narrow"/>
                <w:bCs/>
                <w:color w:val="000000" w:themeColor="text1"/>
                <w:kern w:val="32"/>
              </w:rPr>
              <w:t xml:space="preserve">Quinientos </w:t>
            </w:r>
            <w:r>
              <w:rPr>
                <w:rFonts w:ascii="Arial Narrow" w:eastAsia="Calibri" w:hAnsi="Arial Narrow"/>
                <w:bCs/>
                <w:color w:val="000000" w:themeColor="text1"/>
                <w:kern w:val="32"/>
              </w:rPr>
              <w:t>sesenta</w:t>
            </w:r>
            <w:r w:rsidRPr="00FF76BB">
              <w:rPr>
                <w:rFonts w:ascii="Arial Narrow" w:eastAsia="Calibri" w:hAnsi="Arial Narrow"/>
                <w:bCs/>
                <w:kern w:val="32"/>
              </w:rPr>
              <w:t xml:space="preserve"> millones de pesos ($5</w:t>
            </w:r>
            <w:r>
              <w:rPr>
                <w:rFonts w:ascii="Arial Narrow" w:eastAsia="Calibri" w:hAnsi="Arial Narrow"/>
                <w:bCs/>
                <w:kern w:val="32"/>
              </w:rPr>
              <w:t>6</w:t>
            </w:r>
            <w:r w:rsidRPr="00FF76BB">
              <w:rPr>
                <w:rFonts w:ascii="Arial Narrow" w:eastAsia="Calibri" w:hAnsi="Arial Narrow"/>
                <w:bCs/>
                <w:kern w:val="32"/>
              </w:rPr>
              <w:t xml:space="preserve">0.000.000) </w:t>
            </w:r>
            <w:r>
              <w:rPr>
                <w:rFonts w:ascii="Arial Narrow" w:eastAsia="Calibri" w:hAnsi="Arial Narrow"/>
                <w:bCs/>
                <w:color w:val="000000" w:themeColor="text1"/>
                <w:kern w:val="32"/>
              </w:rPr>
              <w:t>moneda corriente.</w:t>
            </w:r>
          </w:p>
          <w:p w14:paraId="5BD1843E" w14:textId="77777777" w:rsidR="007968EC" w:rsidRPr="00FF76BB" w:rsidRDefault="007968EC" w:rsidP="007968EC">
            <w:pPr>
              <w:jc w:val="both"/>
              <w:rPr>
                <w:rFonts w:ascii="Arial Narrow" w:eastAsia="Calibri" w:hAnsi="Arial Narrow"/>
                <w:bCs/>
                <w:color w:val="000000" w:themeColor="text1"/>
                <w:kern w:val="32"/>
                <w:u w:val="single"/>
              </w:rPr>
            </w:pPr>
          </w:p>
        </w:tc>
      </w:tr>
    </w:tbl>
    <w:p w14:paraId="001E9AAF" w14:textId="77777777" w:rsidR="007968EC" w:rsidRPr="002C0D19" w:rsidRDefault="007968EC" w:rsidP="007968EC">
      <w:pPr>
        <w:jc w:val="both"/>
        <w:rPr>
          <w:rFonts w:ascii="Arial Narrow" w:eastAsia="Calibri" w:hAnsi="Arial Narrow"/>
          <w:bCs/>
          <w:color w:val="000000" w:themeColor="text1"/>
          <w:kern w:val="32"/>
          <w:u w:val="single"/>
        </w:rPr>
      </w:pPr>
    </w:p>
    <w:p w14:paraId="3120C8DF" w14:textId="77777777" w:rsidR="007968EC" w:rsidRDefault="007968EC" w:rsidP="007968EC">
      <w:pPr>
        <w:pStyle w:val="ARTICULO0"/>
        <w:rPr>
          <w:rFonts w:eastAsia="Calibri" w:cs="Times New Roman"/>
          <w:bCs/>
          <w:kern w:val="32"/>
        </w:rPr>
      </w:pPr>
      <w:bookmarkStart w:id="5878" w:name="_Toc479057282"/>
      <w:bookmarkStart w:id="5879" w:name="_Toc31716310"/>
      <w:r>
        <w:rPr>
          <w:rFonts w:eastAsia="Calibri"/>
          <w:lang w:val="es-ES"/>
        </w:rPr>
        <w:t>Artículo 3.5.3.7</w:t>
      </w:r>
      <w:r w:rsidRPr="002C0D19">
        <w:rPr>
          <w:rFonts w:eastAsia="Calibri"/>
          <w:lang w:val="es-ES"/>
        </w:rPr>
        <w:t xml:space="preserve">. </w:t>
      </w:r>
      <w:proofErr w:type="gramStart"/>
      <w:r w:rsidRPr="002C0D19">
        <w:rPr>
          <w:rFonts w:eastAsia="Calibri"/>
          <w:lang w:val="es-ES"/>
        </w:rPr>
        <w:t>Importe mínimo a aportar</w:t>
      </w:r>
      <w:proofErr w:type="gramEnd"/>
      <w:r w:rsidRPr="002C0D19">
        <w:rPr>
          <w:rFonts w:eastAsia="Calibri"/>
          <w:lang w:val="es-ES"/>
        </w:rPr>
        <w:t xml:space="preserve"> para la constitución del Fondo de Garantía Colectiva y tamaño mínimo del Fondo.</w:t>
      </w:r>
      <w:bookmarkEnd w:id="5878"/>
      <w:bookmarkEnd w:id="5879"/>
      <w:r w:rsidRPr="002C0D19">
        <w:rPr>
          <w:rFonts w:eastAsia="Calibri" w:cs="Times New Roman"/>
          <w:bCs/>
          <w:kern w:val="32"/>
        </w:rPr>
        <w:t xml:space="preserve">  </w:t>
      </w:r>
    </w:p>
    <w:p w14:paraId="51C6EDAD" w14:textId="77777777" w:rsidR="007968EC" w:rsidRDefault="007968EC" w:rsidP="007968EC">
      <w:pPr>
        <w:jc w:val="both"/>
        <w:rPr>
          <w:rFonts w:ascii="Arial Narrow" w:eastAsia="Calibri" w:hAnsi="Arial Narrow"/>
          <w:b/>
          <w:bCs/>
          <w:color w:val="000000" w:themeColor="text1"/>
          <w:kern w:val="32"/>
          <w:u w:val="single"/>
        </w:rPr>
      </w:pPr>
    </w:p>
    <w:p w14:paraId="5798E5D4" w14:textId="77777777" w:rsidR="007968EC" w:rsidRPr="002C0D19" w:rsidRDefault="007968EC" w:rsidP="007968EC">
      <w:pPr>
        <w:pStyle w:val="ANTECEDENTES"/>
        <w:rPr>
          <w:rFonts w:eastAsia="Calibri" w:cs="Times New Roman"/>
          <w:bCs/>
          <w:kern w:val="32"/>
          <w:u w:val="single"/>
        </w:rPr>
      </w:pPr>
      <w:r w:rsidRPr="002C0D19">
        <w:rPr>
          <w:rFonts w:eastAsia="Calibri"/>
        </w:rPr>
        <w:t>(Este artículo fue renumerado mediante Circular 2 del 11 de enero de 2017, publicada mediante Boletín Normativo N</w:t>
      </w:r>
      <w:r>
        <w:rPr>
          <w:rFonts w:eastAsia="Calibri"/>
        </w:rPr>
        <w:t>o. 002 del 11 de enero de 2017,</w:t>
      </w:r>
      <w:r w:rsidRPr="002C0D19">
        <w:rPr>
          <w:rFonts w:eastAsia="Calibri"/>
        </w:rPr>
        <w:t xml:space="preserve"> mediante Circular 8 del 31 de marzo de 201, publicada en el Boletín Normativo No. 008 del 31 de marzo de 2017</w:t>
      </w:r>
      <w:r>
        <w:rPr>
          <w:rFonts w:eastAsia="Calibri"/>
        </w:rPr>
        <w:t>, modificado mediante Circular 3 del 16 de marzo de 2018, publicada en el Boletín Normativo No. 006 del 16 de marzo de 2018,</w:t>
      </w:r>
      <w:r w:rsidRPr="002C0D19">
        <w:rPr>
          <w:rFonts w:eastAsia="Calibri"/>
        </w:rPr>
        <w:t xml:space="preserve"> </w:t>
      </w:r>
      <w:r>
        <w:t xml:space="preserve">renumerado </w:t>
      </w:r>
      <w:r w:rsidRPr="00DA3D5C">
        <w:t xml:space="preserve">mediante Circular 10 del 6 de julio de 2018, publicada </w:t>
      </w:r>
      <w:r>
        <w:t>en el</w:t>
      </w:r>
      <w:r w:rsidRPr="00DA3D5C">
        <w:t xml:space="preserve"> Boletín Normativo</w:t>
      </w:r>
      <w:r>
        <w:t xml:space="preserve"> No. 013 del 6 de julio de 2018, modificado </w:t>
      </w:r>
      <w:r w:rsidRPr="009207FD">
        <w:t xml:space="preserve">mediante Circular </w:t>
      </w:r>
      <w:r>
        <w:t>1</w:t>
      </w:r>
      <w:r w:rsidRPr="009207FD">
        <w:t xml:space="preserve"> del </w:t>
      </w:r>
      <w:r>
        <w:t>15 de enero de 2019</w:t>
      </w:r>
      <w:r w:rsidRPr="009207FD">
        <w:t>, publicada en el Boletín Normativo N</w:t>
      </w:r>
      <w:r>
        <w:t xml:space="preserve">o. 001 del 15 de enero de 2019 y modificado mediante Circular 1 del 10 de enero de 2020, publicada en el Boletín Normativo No. 001 del 10 de enero de 2020. </w:t>
      </w:r>
      <w:r w:rsidRPr="009207FD">
        <w:t xml:space="preserve">Rige a partir del </w:t>
      </w:r>
      <w:r>
        <w:t>13 de enero de 2020.</w:t>
      </w:r>
      <w:r w:rsidRPr="002C0D19">
        <w:rPr>
          <w:rFonts w:eastAsia="Calibri"/>
        </w:rPr>
        <w:t>)</w:t>
      </w:r>
    </w:p>
    <w:p w14:paraId="1FB5EA02" w14:textId="77777777" w:rsidR="007968EC" w:rsidRPr="002C0D19" w:rsidRDefault="007968EC" w:rsidP="007968EC">
      <w:pPr>
        <w:jc w:val="both"/>
        <w:rPr>
          <w:rFonts w:ascii="Arial Narrow" w:eastAsia="Calibri" w:hAnsi="Arial Narrow"/>
          <w:bCs/>
          <w:color w:val="000000" w:themeColor="text1"/>
          <w:kern w:val="32"/>
        </w:rPr>
      </w:pPr>
    </w:p>
    <w:p w14:paraId="20DF0919" w14:textId="77777777" w:rsidR="007968EC" w:rsidRPr="00FF76BB" w:rsidRDefault="007968EC" w:rsidP="007968EC">
      <w:pPr>
        <w:jc w:val="both"/>
        <w:rPr>
          <w:rFonts w:ascii="Arial Narrow" w:eastAsia="Calibri" w:hAnsi="Arial Narrow"/>
          <w:bCs/>
          <w:color w:val="000000" w:themeColor="text1"/>
          <w:kern w:val="32"/>
        </w:rPr>
      </w:pPr>
      <w:r w:rsidRPr="00FF76BB">
        <w:rPr>
          <w:rFonts w:ascii="Arial Narrow" w:eastAsia="Calibri" w:hAnsi="Arial Narrow"/>
          <w:bCs/>
          <w:color w:val="000000" w:themeColor="text1"/>
          <w:kern w:val="32"/>
        </w:rPr>
        <w:t xml:space="preserve">A partir del ingreso al Segmento, el importe mínimo que le corresponderá aportar a cada Miembro Liquidador al Fondo de Garantía Colectiva será el mayor valor entre la aportación mínima definida para el Segmento </w:t>
      </w:r>
      <w:r w:rsidRPr="00FF76BB">
        <w:rPr>
          <w:rFonts w:ascii="Arial Narrow" w:eastAsia="Calibri" w:hAnsi="Arial Narrow"/>
          <w:bCs/>
          <w:color w:val="000000" w:themeColor="text1"/>
          <w:kern w:val="32"/>
        </w:rPr>
        <w:lastRenderedPageBreak/>
        <w:t>según la calidad de Miembro Liquidador establecida en el artículo anterior y el valor que resulte de la distribución proporcional, en función de su participación en el riesgo, del importe del Fondo de Garantía Colectiva calculado según la metodología descrita en el artículo 1.6.2.11. de la presente Circular.</w:t>
      </w:r>
    </w:p>
    <w:p w14:paraId="276CCAAB" w14:textId="77777777" w:rsidR="007968EC" w:rsidRPr="00FF76BB" w:rsidRDefault="007968EC" w:rsidP="007968EC">
      <w:pPr>
        <w:jc w:val="both"/>
        <w:rPr>
          <w:rFonts w:ascii="Arial Narrow" w:eastAsia="Calibri" w:hAnsi="Arial Narrow"/>
          <w:bCs/>
          <w:color w:val="000000" w:themeColor="text1"/>
          <w:kern w:val="32"/>
        </w:rPr>
      </w:pPr>
    </w:p>
    <w:p w14:paraId="13A7B9A5" w14:textId="77777777" w:rsidR="007968EC" w:rsidRPr="00FF76BB" w:rsidRDefault="007968EC" w:rsidP="007968EC">
      <w:pPr>
        <w:jc w:val="both"/>
        <w:rPr>
          <w:rFonts w:ascii="Arial Narrow" w:eastAsia="Calibri" w:hAnsi="Arial Narrow"/>
          <w:bCs/>
          <w:color w:val="000000" w:themeColor="text1"/>
          <w:kern w:val="32"/>
        </w:rPr>
      </w:pPr>
      <w:r w:rsidRPr="00FF76BB">
        <w:rPr>
          <w:rFonts w:ascii="Arial Narrow" w:eastAsia="Calibri" w:hAnsi="Arial Narrow"/>
          <w:bCs/>
          <w:color w:val="000000" w:themeColor="text1"/>
          <w:kern w:val="32"/>
        </w:rPr>
        <w:t>A partir del segundo año, el tamaño mínimo del F</w:t>
      </w:r>
      <w:r>
        <w:rPr>
          <w:rFonts w:ascii="Arial Narrow" w:eastAsia="Calibri" w:hAnsi="Arial Narrow"/>
          <w:bCs/>
          <w:color w:val="000000" w:themeColor="text1"/>
          <w:kern w:val="32"/>
        </w:rPr>
        <w:t xml:space="preserve">ondo de </w:t>
      </w:r>
      <w:r w:rsidRPr="00FF76BB">
        <w:rPr>
          <w:rFonts w:ascii="Arial Narrow" w:eastAsia="Calibri" w:hAnsi="Arial Narrow"/>
          <w:bCs/>
          <w:color w:val="000000" w:themeColor="text1"/>
          <w:kern w:val="32"/>
        </w:rPr>
        <w:t>G</w:t>
      </w:r>
      <w:r>
        <w:rPr>
          <w:rFonts w:ascii="Arial Narrow" w:eastAsia="Calibri" w:hAnsi="Arial Narrow"/>
          <w:bCs/>
          <w:color w:val="000000" w:themeColor="text1"/>
          <w:kern w:val="32"/>
        </w:rPr>
        <w:t xml:space="preserve">arantía </w:t>
      </w:r>
      <w:r w:rsidRPr="00FF76BB">
        <w:rPr>
          <w:rFonts w:ascii="Arial Narrow" w:eastAsia="Calibri" w:hAnsi="Arial Narrow"/>
          <w:bCs/>
          <w:color w:val="000000" w:themeColor="text1"/>
          <w:kern w:val="32"/>
        </w:rPr>
        <w:t>C</w:t>
      </w:r>
      <w:r>
        <w:rPr>
          <w:rFonts w:ascii="Arial Narrow" w:eastAsia="Calibri" w:hAnsi="Arial Narrow"/>
          <w:bCs/>
          <w:color w:val="000000" w:themeColor="text1"/>
          <w:kern w:val="32"/>
        </w:rPr>
        <w:t>olectiva</w:t>
      </w:r>
      <w:r w:rsidRPr="00FF76BB">
        <w:rPr>
          <w:rFonts w:ascii="Arial Narrow" w:eastAsia="Calibri" w:hAnsi="Arial Narrow"/>
          <w:bCs/>
          <w:color w:val="000000" w:themeColor="text1"/>
          <w:kern w:val="32"/>
        </w:rPr>
        <w:t xml:space="preserve"> para cada segmento será el máximo entre el valor promedio del fondo para el año anterior o la suma de todas las aportaciones mínimas de los Miembros Liquidadores. Este valor se revisará anualmente.</w:t>
      </w:r>
    </w:p>
    <w:p w14:paraId="2489B946" w14:textId="77777777" w:rsidR="007968EC" w:rsidRPr="00FF76BB" w:rsidRDefault="007968EC" w:rsidP="007968EC">
      <w:pPr>
        <w:jc w:val="both"/>
        <w:rPr>
          <w:rFonts w:ascii="Arial Narrow" w:eastAsia="Calibri" w:hAnsi="Arial Narrow"/>
          <w:bCs/>
          <w:color w:val="000000" w:themeColor="text1"/>
          <w:kern w:val="32"/>
        </w:rPr>
      </w:pPr>
    </w:p>
    <w:p w14:paraId="52956D19" w14:textId="77777777" w:rsidR="007968EC" w:rsidRDefault="007968EC" w:rsidP="007968EC">
      <w:pPr>
        <w:jc w:val="both"/>
        <w:rPr>
          <w:rFonts w:ascii="Arial Narrow" w:eastAsia="Calibri" w:hAnsi="Arial Narrow"/>
          <w:bCs/>
          <w:color w:val="000000" w:themeColor="text1"/>
          <w:kern w:val="32"/>
        </w:rPr>
      </w:pPr>
      <w:r w:rsidRPr="00EC3571">
        <w:rPr>
          <w:rFonts w:ascii="Arial Narrow" w:eastAsia="Calibri" w:hAnsi="Arial Narrow"/>
          <w:bCs/>
          <w:color w:val="000000" w:themeColor="text1"/>
          <w:kern w:val="32"/>
        </w:rPr>
        <w:t xml:space="preserve">El tamaño mínimo del Fondo de Garantía Colectiva es igual </w:t>
      </w:r>
      <w:r w:rsidRPr="00D72ADE">
        <w:rPr>
          <w:rFonts w:ascii="Arial Narrow" w:eastAsia="Calibri" w:hAnsi="Arial Narrow"/>
          <w:bCs/>
          <w:color w:val="000000" w:themeColor="text1"/>
          <w:kern w:val="32"/>
        </w:rPr>
        <w:t>cincuenta y nueve mil trescientos setenta millones de pesos ($59.370.000.000) moneda corriente para el año 2020</w:t>
      </w:r>
      <w:r w:rsidRPr="00FF76BB">
        <w:rPr>
          <w:rFonts w:ascii="Arial Narrow" w:eastAsia="Calibri" w:hAnsi="Arial Narrow"/>
          <w:bCs/>
          <w:color w:val="000000" w:themeColor="text1"/>
          <w:kern w:val="32"/>
        </w:rPr>
        <w:t>.</w:t>
      </w:r>
    </w:p>
    <w:p w14:paraId="49873A8A" w14:textId="77777777" w:rsidR="007968EC" w:rsidRPr="002C0D19" w:rsidRDefault="007968EC" w:rsidP="007968EC">
      <w:pPr>
        <w:jc w:val="both"/>
        <w:rPr>
          <w:rFonts w:ascii="Arial Narrow" w:eastAsia="Calibri" w:hAnsi="Arial Narrow"/>
          <w:bCs/>
          <w:color w:val="000000" w:themeColor="text1"/>
          <w:kern w:val="32"/>
        </w:rPr>
      </w:pPr>
    </w:p>
    <w:p w14:paraId="63DD8D88" w14:textId="77777777" w:rsidR="007968EC" w:rsidRDefault="007968EC" w:rsidP="007968EC">
      <w:pPr>
        <w:pStyle w:val="ARTICULO0"/>
      </w:pPr>
      <w:bookmarkStart w:id="5880" w:name="_Toc470784799"/>
      <w:bookmarkStart w:id="5881" w:name="_Toc470785336"/>
      <w:bookmarkStart w:id="5882" w:name="_Toc470791730"/>
      <w:bookmarkStart w:id="5883" w:name="_Toc479057283"/>
      <w:bookmarkStart w:id="5884" w:name="_Toc31716311"/>
      <w:bookmarkStart w:id="5885" w:name="_Toc490066648"/>
      <w:r>
        <w:t>Artículo 3.5.3.8</w:t>
      </w:r>
      <w:r w:rsidRPr="002C0D19">
        <w:t>. Constitución, actualización y reposición del Fondo de Garantía Colectiva.</w:t>
      </w:r>
      <w:bookmarkEnd w:id="5880"/>
      <w:bookmarkEnd w:id="5881"/>
      <w:bookmarkEnd w:id="5882"/>
      <w:bookmarkEnd w:id="5883"/>
      <w:bookmarkEnd w:id="5884"/>
      <w:r w:rsidRPr="002C0D19">
        <w:t xml:space="preserve"> </w:t>
      </w:r>
    </w:p>
    <w:p w14:paraId="458B8C99" w14:textId="77777777" w:rsidR="007968EC" w:rsidRDefault="007968EC" w:rsidP="007968EC">
      <w:pPr>
        <w:keepNext/>
        <w:tabs>
          <w:tab w:val="left" w:pos="1701"/>
        </w:tabs>
        <w:jc w:val="both"/>
        <w:outlineLvl w:val="2"/>
        <w:rPr>
          <w:rFonts w:ascii="Arial Narrow" w:hAnsi="Arial Narrow" w:cs="Arial"/>
          <w:b/>
          <w:color w:val="000000" w:themeColor="text1"/>
          <w:u w:val="single"/>
          <w:lang w:eastAsia="es-ES"/>
        </w:rPr>
      </w:pPr>
    </w:p>
    <w:p w14:paraId="159D9C88" w14:textId="77777777" w:rsidR="007968EC" w:rsidRPr="002C0D19" w:rsidRDefault="007968EC" w:rsidP="007968EC">
      <w:pPr>
        <w:pStyle w:val="ANTECEDENTES"/>
        <w:rPr>
          <w:u w:val="single"/>
        </w:rPr>
      </w:pPr>
      <w:r w:rsidRPr="002C0D19">
        <w:rPr>
          <w:rFonts w:eastAsia="Calibri"/>
        </w:rPr>
        <w:t>(Este artículo fue renumerado mediante Circular 2 del 11 de enero de 2017, publicada mediante Boletín Normativo No</w:t>
      </w:r>
      <w:r>
        <w:rPr>
          <w:rFonts w:eastAsia="Calibri"/>
        </w:rPr>
        <w:t xml:space="preserve">. 002 del 11 de enero de 2017, </w:t>
      </w:r>
      <w:r w:rsidRPr="002C0D19">
        <w:rPr>
          <w:rFonts w:eastAsia="Calibri"/>
        </w:rPr>
        <w:t>mediante Circular 8 del 31 de marzo de 2017, publicada en el Boletín Normativo N</w:t>
      </w:r>
      <w:r>
        <w:rPr>
          <w:rFonts w:eastAsia="Calibri"/>
        </w:rPr>
        <w:t xml:space="preserve">o. 008 del 31 de marzo de 2017 y </w:t>
      </w:r>
      <w:r w:rsidRPr="00DA3D5C">
        <w:t>mediante Circular 10 del 6 de julio de 2018</w:t>
      </w:r>
      <w:r>
        <w:t>, publicada en el</w:t>
      </w:r>
      <w:r w:rsidRPr="00DA3D5C">
        <w:t xml:space="preserve"> Boletín Normativo No. 013 del 6 de julio de 2018. Rige a partir del 9 de julio de 2018</w:t>
      </w:r>
      <w:r w:rsidRPr="002C0D19">
        <w:rPr>
          <w:rFonts w:eastAsia="Calibri"/>
        </w:rPr>
        <w:t>.)</w:t>
      </w:r>
      <w:bookmarkEnd w:id="5885"/>
    </w:p>
    <w:p w14:paraId="5A8AC3CE" w14:textId="77777777" w:rsidR="007968EC" w:rsidRPr="002C0D19" w:rsidRDefault="007968EC" w:rsidP="007968EC">
      <w:pPr>
        <w:jc w:val="both"/>
        <w:rPr>
          <w:rFonts w:ascii="Arial Narrow" w:eastAsia="Calibri" w:hAnsi="Arial Narrow"/>
          <w:bCs/>
          <w:color w:val="000000" w:themeColor="text1"/>
          <w:kern w:val="32"/>
        </w:rPr>
      </w:pPr>
    </w:p>
    <w:p w14:paraId="18868ABC" w14:textId="77777777" w:rsidR="007968EC" w:rsidRPr="002C0D19" w:rsidRDefault="007968EC" w:rsidP="007968EC">
      <w:pPr>
        <w:jc w:val="both"/>
        <w:rPr>
          <w:rFonts w:ascii="Arial Narrow" w:eastAsia="Calibri" w:hAnsi="Arial Narrow"/>
          <w:bCs/>
          <w:color w:val="000000" w:themeColor="text1"/>
          <w:kern w:val="32"/>
        </w:rPr>
      </w:pPr>
      <w:r w:rsidRPr="002C0D19">
        <w:rPr>
          <w:rFonts w:ascii="Arial Narrow" w:eastAsia="Calibri" w:hAnsi="Arial Narrow"/>
          <w:bCs/>
          <w:color w:val="000000" w:themeColor="text1"/>
          <w:kern w:val="32"/>
        </w:rPr>
        <w:t>El procedimiento para la constitución, actualización y reposición del Fondo de Garantía Colectiva del Segmento de Renta Fija se sujetará a lo dispuesto en los artículos 1.6.2.12. y 1.6.2.13. de la presente Circular.</w:t>
      </w:r>
    </w:p>
    <w:p w14:paraId="7C84FA0D" w14:textId="77777777" w:rsidR="007968EC" w:rsidRPr="004D6548" w:rsidRDefault="007968EC" w:rsidP="007968EC">
      <w:pPr>
        <w:jc w:val="both"/>
        <w:rPr>
          <w:rFonts w:ascii="Arial Narrow" w:eastAsia="Calibri" w:hAnsi="Arial Narrow"/>
          <w:bCs/>
          <w:color w:val="000000" w:themeColor="text1"/>
        </w:rPr>
      </w:pPr>
    </w:p>
    <w:p w14:paraId="1479C7ED" w14:textId="77777777" w:rsidR="007968EC" w:rsidRDefault="007968EC" w:rsidP="007968EC">
      <w:pPr>
        <w:pStyle w:val="ARTICULO0"/>
      </w:pPr>
      <w:bookmarkStart w:id="5886" w:name="_Toc470784800"/>
      <w:bookmarkStart w:id="5887" w:name="_Toc470785337"/>
      <w:bookmarkStart w:id="5888" w:name="_Toc470791731"/>
      <w:bookmarkStart w:id="5889" w:name="_Toc479057284"/>
      <w:bookmarkStart w:id="5890" w:name="_Toc31716312"/>
      <w:bookmarkStart w:id="5891" w:name="_Toc490066649"/>
      <w:r>
        <w:t>Artículo 3.5.3.9</w:t>
      </w:r>
      <w:r w:rsidRPr="002C0D19">
        <w:t>. Contribuciones para la continuidad del servicio.</w:t>
      </w:r>
      <w:bookmarkEnd w:id="5886"/>
      <w:bookmarkEnd w:id="5887"/>
      <w:bookmarkEnd w:id="5888"/>
      <w:bookmarkEnd w:id="5889"/>
      <w:bookmarkEnd w:id="5890"/>
      <w:r w:rsidRPr="002C0D19">
        <w:t xml:space="preserve"> </w:t>
      </w:r>
    </w:p>
    <w:p w14:paraId="1EF784AC" w14:textId="77777777" w:rsidR="007968EC" w:rsidRDefault="007968EC" w:rsidP="007968EC">
      <w:pPr>
        <w:keepNext/>
        <w:tabs>
          <w:tab w:val="left" w:pos="1701"/>
        </w:tabs>
        <w:jc w:val="both"/>
        <w:outlineLvl w:val="2"/>
        <w:rPr>
          <w:rFonts w:ascii="Arial Narrow" w:hAnsi="Arial Narrow" w:cs="Arial"/>
          <w:b/>
          <w:color w:val="000000" w:themeColor="text1"/>
          <w:u w:val="single"/>
          <w:lang w:eastAsia="es-ES"/>
        </w:rPr>
      </w:pPr>
    </w:p>
    <w:p w14:paraId="18A98F75" w14:textId="77777777" w:rsidR="007968EC" w:rsidRPr="002C0D19" w:rsidRDefault="007968EC" w:rsidP="007968EC">
      <w:pPr>
        <w:pStyle w:val="ANTECEDENTES"/>
        <w:rPr>
          <w:u w:val="single"/>
        </w:rPr>
      </w:pPr>
      <w:r w:rsidRPr="002C0D19">
        <w:rPr>
          <w:rFonts w:eastAsia="Calibri"/>
        </w:rPr>
        <w:t>(Este artículo fue renumerado mediante Circular 2 del 11 de enero de 2017, publicada mediante Boletín Normativo No</w:t>
      </w:r>
      <w:r>
        <w:rPr>
          <w:rFonts w:eastAsia="Calibri"/>
        </w:rPr>
        <w:t xml:space="preserve">. 002 del 11 de enero de 2017, </w:t>
      </w:r>
      <w:r w:rsidRPr="002C0D19">
        <w:rPr>
          <w:rFonts w:eastAsia="Calibri"/>
        </w:rPr>
        <w:t>mediante Circular 8 del 31 de marzo de 2017, publicada en el Boletín Normativo No. 008 del 3</w:t>
      </w:r>
      <w:r>
        <w:rPr>
          <w:rFonts w:eastAsia="Calibri"/>
        </w:rPr>
        <w:t xml:space="preserve">1 de marzo de 2017 y </w:t>
      </w:r>
      <w:r w:rsidRPr="00DA3D5C">
        <w:t xml:space="preserve">mediante Circular 10 del 6 de julio de 2018, publicada </w:t>
      </w:r>
      <w:r>
        <w:t>en el</w:t>
      </w:r>
      <w:r w:rsidRPr="00DA3D5C">
        <w:t xml:space="preserve"> Boletín Normativo No. 013 del 6 de julio de 2018. Rige a partir del 9 de julio de 2018</w:t>
      </w:r>
      <w:r w:rsidRPr="002C0D19">
        <w:rPr>
          <w:rFonts w:eastAsia="Calibri"/>
        </w:rPr>
        <w:t>.)</w:t>
      </w:r>
      <w:bookmarkEnd w:id="5891"/>
    </w:p>
    <w:p w14:paraId="3BF12E3B" w14:textId="77777777" w:rsidR="007968EC" w:rsidRPr="002C0D19" w:rsidRDefault="007968EC" w:rsidP="007968EC">
      <w:pPr>
        <w:rPr>
          <w:rFonts w:ascii="Arial Narrow" w:eastAsia="Calibri" w:hAnsi="Arial Narrow"/>
          <w:bCs/>
          <w:color w:val="000000" w:themeColor="text1"/>
          <w:kern w:val="32"/>
        </w:rPr>
      </w:pPr>
    </w:p>
    <w:p w14:paraId="2E876626" w14:textId="77777777" w:rsidR="007968EC" w:rsidRPr="002C0D19" w:rsidRDefault="007968EC" w:rsidP="007968EC">
      <w:pPr>
        <w:jc w:val="both"/>
        <w:rPr>
          <w:rFonts w:ascii="Arial Narrow" w:eastAsia="Calibri" w:hAnsi="Arial Narrow"/>
          <w:bCs/>
          <w:color w:val="000000" w:themeColor="text1"/>
          <w:kern w:val="32"/>
        </w:rPr>
      </w:pPr>
      <w:r w:rsidRPr="002C0D19">
        <w:rPr>
          <w:rFonts w:ascii="Arial Narrow" w:eastAsia="Calibri" w:hAnsi="Arial Narrow"/>
          <w:bCs/>
          <w:color w:val="000000" w:themeColor="text1"/>
          <w:kern w:val="32"/>
        </w:rPr>
        <w:t>Las Contribuciones de los Miembros para la continuidad del servicio para el Segmento de Renta Fija se regirán por lo dispuesto en los artículos 1.6.2.14. y siguientes de la presente Circular.</w:t>
      </w:r>
    </w:p>
    <w:p w14:paraId="1B669C0B" w14:textId="77777777" w:rsidR="007968EC" w:rsidRPr="004D6548" w:rsidRDefault="007968EC" w:rsidP="007968EC">
      <w:pPr>
        <w:jc w:val="both"/>
        <w:rPr>
          <w:rFonts w:ascii="Arial Narrow" w:eastAsia="Calibri" w:hAnsi="Arial Narrow"/>
          <w:bCs/>
          <w:color w:val="000000" w:themeColor="text1"/>
        </w:rPr>
      </w:pPr>
    </w:p>
    <w:p w14:paraId="4A7D1C79" w14:textId="77777777" w:rsidR="007968EC" w:rsidRDefault="007968EC" w:rsidP="007968EC">
      <w:pPr>
        <w:pStyle w:val="ARTICULO0"/>
      </w:pPr>
      <w:bookmarkStart w:id="5892" w:name="_Toc470781217"/>
      <w:bookmarkStart w:id="5893" w:name="_Toc470784801"/>
      <w:bookmarkStart w:id="5894" w:name="_Toc470785338"/>
      <w:bookmarkStart w:id="5895" w:name="_Toc470791732"/>
      <w:bookmarkStart w:id="5896" w:name="_Toc479057285"/>
      <w:bookmarkStart w:id="5897" w:name="_Toc31716313"/>
      <w:bookmarkStart w:id="5898" w:name="_Toc490066650"/>
      <w:r>
        <w:t>Artículo 3.5.3.10</w:t>
      </w:r>
      <w:r w:rsidRPr="002C0D19">
        <w:t>.  Recursos Propios Específicos.</w:t>
      </w:r>
      <w:bookmarkEnd w:id="5892"/>
      <w:bookmarkEnd w:id="5893"/>
      <w:bookmarkEnd w:id="5894"/>
      <w:bookmarkEnd w:id="5895"/>
      <w:bookmarkEnd w:id="5896"/>
      <w:bookmarkEnd w:id="5897"/>
      <w:r w:rsidRPr="002C0D19">
        <w:t xml:space="preserve"> </w:t>
      </w:r>
    </w:p>
    <w:p w14:paraId="3CBA3CED" w14:textId="77777777" w:rsidR="007968EC" w:rsidRDefault="007968EC" w:rsidP="007968EC">
      <w:pPr>
        <w:keepNext/>
        <w:tabs>
          <w:tab w:val="left" w:pos="1701"/>
        </w:tabs>
        <w:jc w:val="both"/>
        <w:outlineLvl w:val="2"/>
        <w:rPr>
          <w:rFonts w:ascii="Arial Narrow" w:hAnsi="Arial Narrow" w:cs="Arial"/>
          <w:b/>
          <w:color w:val="000000" w:themeColor="text1"/>
          <w:u w:val="single"/>
          <w:lang w:eastAsia="es-ES"/>
        </w:rPr>
      </w:pPr>
    </w:p>
    <w:p w14:paraId="4FC02A50" w14:textId="77777777" w:rsidR="007968EC" w:rsidRPr="002C0D19" w:rsidRDefault="007968EC" w:rsidP="007968EC">
      <w:pPr>
        <w:pStyle w:val="ANTECEDENTES"/>
        <w:rPr>
          <w:u w:val="single"/>
        </w:rPr>
      </w:pPr>
      <w:r w:rsidRPr="002C0D19">
        <w:rPr>
          <w:rFonts w:eastAsia="Calibri"/>
        </w:rPr>
        <w:t>(Este artículo fue renumerado mediante Circular 2 del 11 de enero de 2017, publicada mediante Boletín Normativo No</w:t>
      </w:r>
      <w:r>
        <w:rPr>
          <w:rFonts w:eastAsia="Calibri"/>
        </w:rPr>
        <w:t xml:space="preserve">. 002 del 11 de enero de 2017, </w:t>
      </w:r>
      <w:r w:rsidRPr="002C0D19">
        <w:rPr>
          <w:rFonts w:eastAsia="Calibri"/>
        </w:rPr>
        <w:t>mediante Circular 8 del 31 de marzo de 2017, publicada en el Boletín Normativo N</w:t>
      </w:r>
      <w:r>
        <w:rPr>
          <w:rFonts w:eastAsia="Calibri"/>
        </w:rPr>
        <w:t xml:space="preserve">o. 008 del 31 de marzo de 2017 y </w:t>
      </w:r>
      <w:r w:rsidRPr="00DA3D5C">
        <w:t xml:space="preserve">mediante Circular 10 del 6 de julio de 2018, publicada </w:t>
      </w:r>
      <w:r>
        <w:t>en el</w:t>
      </w:r>
      <w:r w:rsidRPr="00DA3D5C">
        <w:t xml:space="preserve"> Boletín Normativo No. 013 del 6 de julio de 2018. Rige a partir del 9 de julio de 2018</w:t>
      </w:r>
      <w:r w:rsidRPr="002C0D19">
        <w:rPr>
          <w:rFonts w:eastAsia="Calibri"/>
        </w:rPr>
        <w:t>.)</w:t>
      </w:r>
      <w:bookmarkEnd w:id="5898"/>
    </w:p>
    <w:p w14:paraId="1A240D37" w14:textId="77777777" w:rsidR="007968EC" w:rsidRPr="004D6548" w:rsidRDefault="007968EC" w:rsidP="007968EC">
      <w:pPr>
        <w:jc w:val="both"/>
        <w:rPr>
          <w:rFonts w:ascii="Arial Narrow" w:eastAsia="Calibri" w:hAnsi="Arial Narrow"/>
          <w:bCs/>
          <w:color w:val="000000" w:themeColor="text1"/>
        </w:rPr>
      </w:pPr>
    </w:p>
    <w:p w14:paraId="741BBBC3" w14:textId="77777777" w:rsidR="007968EC" w:rsidRPr="004D6548" w:rsidRDefault="007968EC" w:rsidP="007968EC">
      <w:pPr>
        <w:jc w:val="both"/>
        <w:rPr>
          <w:rFonts w:ascii="Arial Narrow" w:eastAsia="Calibri" w:hAnsi="Arial Narrow"/>
          <w:bCs/>
          <w:color w:val="000000" w:themeColor="text1"/>
        </w:rPr>
      </w:pPr>
      <w:bookmarkStart w:id="5899" w:name="_Toc470781218"/>
      <w:bookmarkStart w:id="5900" w:name="_Toc470784802"/>
      <w:bookmarkStart w:id="5901" w:name="_Toc470785339"/>
      <w:bookmarkStart w:id="5902" w:name="_Toc470791733"/>
      <w:bookmarkStart w:id="5903" w:name="_Toc471831945"/>
      <w:bookmarkStart w:id="5904" w:name="_Toc490066651"/>
      <w:bookmarkStart w:id="5905" w:name="_Toc490079432"/>
      <w:r w:rsidRPr="004D6548">
        <w:rPr>
          <w:rFonts w:ascii="Arial Narrow" w:eastAsia="Calibri" w:hAnsi="Arial Narrow"/>
          <w:bCs/>
          <w:color w:val="000000" w:themeColor="text1"/>
        </w:rPr>
        <w:t>El importe de los Recursos Propios Específicos para el Segmento de Renta Fija se informará mediante Boletín Informativo.</w:t>
      </w:r>
      <w:bookmarkEnd w:id="5899"/>
      <w:bookmarkEnd w:id="5900"/>
      <w:bookmarkEnd w:id="5901"/>
      <w:bookmarkEnd w:id="5902"/>
      <w:bookmarkEnd w:id="5903"/>
      <w:bookmarkEnd w:id="5904"/>
      <w:bookmarkEnd w:id="5905"/>
    </w:p>
    <w:p w14:paraId="66FF1E4D" w14:textId="77777777" w:rsidR="007968EC" w:rsidRPr="004D6548" w:rsidRDefault="007968EC" w:rsidP="007968EC">
      <w:pPr>
        <w:jc w:val="both"/>
        <w:rPr>
          <w:rFonts w:ascii="Arial Narrow" w:eastAsia="Calibri" w:hAnsi="Arial Narrow"/>
          <w:bCs/>
          <w:color w:val="000000" w:themeColor="text1"/>
        </w:rPr>
      </w:pPr>
    </w:p>
    <w:p w14:paraId="643A508E" w14:textId="77777777" w:rsidR="007968EC" w:rsidRDefault="007968EC" w:rsidP="007968EC">
      <w:pPr>
        <w:keepNext/>
        <w:jc w:val="center"/>
        <w:outlineLvl w:val="0"/>
        <w:rPr>
          <w:rFonts w:ascii="Arial Narrow" w:eastAsia="Calibri" w:hAnsi="Arial Narrow" w:cs="Arial"/>
          <w:b/>
          <w:kern w:val="32"/>
          <w:szCs w:val="20"/>
          <w:lang w:val="es-ES"/>
        </w:rPr>
      </w:pPr>
      <w:bookmarkStart w:id="5906" w:name="_Toc470781219"/>
      <w:bookmarkStart w:id="5907" w:name="_Toc470784803"/>
      <w:bookmarkStart w:id="5908" w:name="_Toc470785340"/>
      <w:bookmarkStart w:id="5909" w:name="_Toc470791734"/>
      <w:bookmarkStart w:id="5910" w:name="_Toc472592460"/>
      <w:bookmarkStart w:id="5911" w:name="_Toc472593479"/>
      <w:bookmarkStart w:id="5912" w:name="_Toc479057286"/>
      <w:bookmarkStart w:id="5913" w:name="_Toc490066652"/>
    </w:p>
    <w:p w14:paraId="2C313699" w14:textId="77777777" w:rsidR="007968EC" w:rsidRPr="002C0D19" w:rsidRDefault="007968EC" w:rsidP="007968EC">
      <w:pPr>
        <w:pStyle w:val="TTULO"/>
        <w:rPr>
          <w:rFonts w:eastAsia="Calibri"/>
          <w:lang w:val="es-ES"/>
        </w:rPr>
      </w:pPr>
      <w:bookmarkStart w:id="5914" w:name="_Toc31716314"/>
      <w:r w:rsidRPr="002C0D19">
        <w:rPr>
          <w:rFonts w:eastAsia="Calibri"/>
          <w:lang w:val="es-ES"/>
        </w:rPr>
        <w:t>TÍTULO SEXTO</w:t>
      </w:r>
      <w:bookmarkEnd w:id="5906"/>
      <w:bookmarkEnd w:id="5907"/>
      <w:bookmarkEnd w:id="5908"/>
      <w:bookmarkEnd w:id="5909"/>
      <w:bookmarkEnd w:id="5910"/>
      <w:bookmarkEnd w:id="5911"/>
      <w:bookmarkEnd w:id="5912"/>
      <w:bookmarkEnd w:id="5913"/>
      <w:bookmarkEnd w:id="5914"/>
    </w:p>
    <w:p w14:paraId="77084B58" w14:textId="77777777" w:rsidR="007968EC" w:rsidRPr="002C0D19" w:rsidRDefault="007968EC" w:rsidP="007968EC">
      <w:pPr>
        <w:pStyle w:val="TTULO"/>
        <w:rPr>
          <w:rFonts w:eastAsia="Calibri"/>
          <w:lang w:val="es-ES"/>
        </w:rPr>
      </w:pPr>
    </w:p>
    <w:p w14:paraId="143F5EEA" w14:textId="77777777" w:rsidR="007968EC" w:rsidRPr="002C0D19" w:rsidRDefault="007968EC" w:rsidP="007968EC">
      <w:pPr>
        <w:pStyle w:val="TTULO"/>
        <w:rPr>
          <w:rFonts w:eastAsia="Calibri"/>
          <w:lang w:val="es-ES"/>
        </w:rPr>
      </w:pPr>
      <w:bookmarkStart w:id="5915" w:name="_Toc470781220"/>
      <w:bookmarkStart w:id="5916" w:name="_Toc470784804"/>
      <w:bookmarkStart w:id="5917" w:name="_Toc470785341"/>
      <w:bookmarkStart w:id="5918" w:name="_Toc470791735"/>
      <w:bookmarkStart w:id="5919" w:name="_Toc472592461"/>
      <w:bookmarkStart w:id="5920" w:name="_Toc472593480"/>
      <w:bookmarkStart w:id="5921" w:name="_Toc479057287"/>
      <w:bookmarkStart w:id="5922" w:name="_Toc490066653"/>
      <w:bookmarkStart w:id="5923" w:name="_Toc31716315"/>
      <w:r w:rsidRPr="002C0D19">
        <w:rPr>
          <w:rFonts w:eastAsia="Calibri"/>
          <w:lang w:val="es-ES"/>
        </w:rPr>
        <w:t>RETARDOS, INCUMPLIMIENTOS, SUSPENSIÓN</w:t>
      </w:r>
      <w:bookmarkEnd w:id="5915"/>
      <w:bookmarkEnd w:id="5916"/>
      <w:bookmarkEnd w:id="5917"/>
      <w:bookmarkEnd w:id="5918"/>
      <w:bookmarkEnd w:id="5919"/>
      <w:bookmarkEnd w:id="5920"/>
      <w:bookmarkEnd w:id="5921"/>
      <w:bookmarkEnd w:id="5922"/>
      <w:bookmarkEnd w:id="5923"/>
    </w:p>
    <w:p w14:paraId="5E28F8DE" w14:textId="77777777" w:rsidR="007968EC" w:rsidRPr="002C0D19" w:rsidRDefault="007968EC" w:rsidP="007968EC">
      <w:pPr>
        <w:pStyle w:val="TTULO"/>
        <w:rPr>
          <w:rFonts w:eastAsia="Calibri"/>
          <w:lang w:val="es-ES"/>
        </w:rPr>
      </w:pPr>
      <w:bookmarkStart w:id="5924" w:name="_Toc470781221"/>
      <w:bookmarkStart w:id="5925" w:name="_Toc470784805"/>
      <w:bookmarkStart w:id="5926" w:name="_Toc470785342"/>
      <w:bookmarkStart w:id="5927" w:name="_Toc470791736"/>
      <w:bookmarkStart w:id="5928" w:name="_Toc472592462"/>
      <w:bookmarkStart w:id="5929" w:name="_Toc472593481"/>
      <w:bookmarkStart w:id="5930" w:name="_Toc479057288"/>
      <w:bookmarkStart w:id="5931" w:name="_Toc490066654"/>
      <w:bookmarkStart w:id="5932" w:name="_Toc31716316"/>
      <w:r w:rsidRPr="002C0D19">
        <w:rPr>
          <w:rFonts w:eastAsia="Calibri"/>
          <w:lang w:val="es-ES"/>
        </w:rPr>
        <w:t>Y EXCLUSIÓN, MEDIDAS PREVENTIVAS</w:t>
      </w:r>
      <w:bookmarkEnd w:id="5924"/>
      <w:bookmarkEnd w:id="5925"/>
      <w:bookmarkEnd w:id="5926"/>
      <w:bookmarkEnd w:id="5927"/>
      <w:bookmarkEnd w:id="5928"/>
      <w:bookmarkEnd w:id="5929"/>
      <w:bookmarkEnd w:id="5930"/>
      <w:bookmarkEnd w:id="5931"/>
      <w:bookmarkEnd w:id="5932"/>
    </w:p>
    <w:p w14:paraId="64E04FE3" w14:textId="77777777" w:rsidR="007968EC" w:rsidRPr="002C0D19" w:rsidRDefault="007968EC" w:rsidP="007968EC">
      <w:pPr>
        <w:pStyle w:val="TTULO"/>
        <w:rPr>
          <w:rFonts w:eastAsia="Calibri"/>
          <w:lang w:val="es-ES"/>
        </w:rPr>
      </w:pPr>
    </w:p>
    <w:p w14:paraId="0C659F3E" w14:textId="77777777" w:rsidR="007968EC" w:rsidRPr="002C0D19" w:rsidRDefault="007968EC" w:rsidP="007968EC">
      <w:pPr>
        <w:pStyle w:val="TTULO"/>
        <w:rPr>
          <w:rFonts w:eastAsia="Calibri"/>
          <w:lang w:val="es-ES"/>
        </w:rPr>
      </w:pPr>
      <w:bookmarkStart w:id="5933" w:name="_Toc470781222"/>
      <w:bookmarkStart w:id="5934" w:name="_Toc470784806"/>
      <w:bookmarkStart w:id="5935" w:name="_Toc470785343"/>
      <w:bookmarkStart w:id="5936" w:name="_Toc470791737"/>
      <w:bookmarkStart w:id="5937" w:name="_Toc472592463"/>
      <w:bookmarkStart w:id="5938" w:name="_Toc472593482"/>
      <w:bookmarkStart w:id="5939" w:name="_Toc479057289"/>
      <w:bookmarkStart w:id="5940" w:name="_Toc490066655"/>
      <w:bookmarkStart w:id="5941" w:name="_Toc31716317"/>
      <w:r w:rsidRPr="002C0D19">
        <w:rPr>
          <w:rFonts w:eastAsia="Calibri"/>
          <w:lang w:val="es-ES"/>
        </w:rPr>
        <w:t>CAPÍTULO PRIMERO</w:t>
      </w:r>
      <w:bookmarkEnd w:id="5933"/>
      <w:bookmarkEnd w:id="5934"/>
      <w:bookmarkEnd w:id="5935"/>
      <w:bookmarkEnd w:id="5936"/>
      <w:bookmarkEnd w:id="5937"/>
      <w:bookmarkEnd w:id="5938"/>
      <w:bookmarkEnd w:id="5939"/>
      <w:bookmarkEnd w:id="5940"/>
      <w:bookmarkEnd w:id="5941"/>
    </w:p>
    <w:p w14:paraId="319AD6F4" w14:textId="77777777" w:rsidR="007968EC" w:rsidRPr="002C0D19" w:rsidRDefault="007968EC" w:rsidP="007968EC">
      <w:pPr>
        <w:pStyle w:val="TTULO"/>
        <w:rPr>
          <w:rFonts w:eastAsia="Calibri"/>
          <w:lang w:val="es-ES"/>
        </w:rPr>
      </w:pPr>
    </w:p>
    <w:p w14:paraId="1C3528C8" w14:textId="77777777" w:rsidR="007968EC" w:rsidRPr="002C0D19" w:rsidRDefault="007968EC" w:rsidP="007968EC">
      <w:pPr>
        <w:pStyle w:val="TTULO"/>
        <w:rPr>
          <w:rFonts w:eastAsia="Calibri"/>
          <w:lang w:val="es-ES"/>
        </w:rPr>
      </w:pPr>
      <w:bookmarkStart w:id="5942" w:name="_Toc470781223"/>
      <w:bookmarkStart w:id="5943" w:name="_Toc470784807"/>
      <w:bookmarkStart w:id="5944" w:name="_Toc470785344"/>
      <w:bookmarkStart w:id="5945" w:name="_Toc470791738"/>
      <w:bookmarkStart w:id="5946" w:name="_Toc472592464"/>
      <w:bookmarkStart w:id="5947" w:name="_Toc472593483"/>
      <w:bookmarkStart w:id="5948" w:name="_Toc479057290"/>
      <w:bookmarkStart w:id="5949" w:name="_Toc490066656"/>
      <w:bookmarkStart w:id="5950" w:name="_Toc31716318"/>
      <w:r w:rsidRPr="002C0D19">
        <w:rPr>
          <w:rFonts w:eastAsia="Calibri"/>
          <w:lang w:val="es-ES"/>
        </w:rPr>
        <w:t>MEDIDAS PREVENTIVAS</w:t>
      </w:r>
      <w:bookmarkEnd w:id="5942"/>
      <w:bookmarkEnd w:id="5943"/>
      <w:bookmarkEnd w:id="5944"/>
      <w:bookmarkEnd w:id="5945"/>
      <w:bookmarkEnd w:id="5946"/>
      <w:bookmarkEnd w:id="5947"/>
      <w:bookmarkEnd w:id="5948"/>
      <w:bookmarkEnd w:id="5949"/>
      <w:bookmarkEnd w:id="5950"/>
    </w:p>
    <w:p w14:paraId="3E6A47D7" w14:textId="77777777" w:rsidR="007968EC" w:rsidRPr="00040F59" w:rsidRDefault="007968EC" w:rsidP="007968EC">
      <w:pPr>
        <w:outlineLvl w:val="1"/>
        <w:rPr>
          <w:rFonts w:ascii="Arial Narrow" w:eastAsia="Calibri" w:hAnsi="Arial Narrow"/>
          <w:b/>
          <w:color w:val="000000" w:themeColor="text1"/>
          <w:u w:val="single"/>
          <w:lang w:val="es-ES"/>
        </w:rPr>
      </w:pPr>
    </w:p>
    <w:p w14:paraId="0E52CC04" w14:textId="77777777" w:rsidR="007968EC" w:rsidRDefault="007968EC" w:rsidP="007968EC">
      <w:pPr>
        <w:pStyle w:val="ARTICULO0"/>
      </w:pPr>
      <w:bookmarkStart w:id="5951" w:name="_Toc470781224"/>
      <w:bookmarkStart w:id="5952" w:name="_Toc470784808"/>
      <w:bookmarkStart w:id="5953" w:name="_Toc470785345"/>
      <w:bookmarkStart w:id="5954" w:name="_Toc470791739"/>
      <w:bookmarkStart w:id="5955" w:name="_Toc479057291"/>
      <w:bookmarkStart w:id="5956" w:name="_Toc31716319"/>
      <w:bookmarkStart w:id="5957" w:name="_Toc490066657"/>
      <w:r w:rsidRPr="002C0D19">
        <w:t>Artículo 3.6.1.1. Medida Preventiva adicional para Operaciones Simultáneas provenientes de sistemas de negociación y/o registro.</w:t>
      </w:r>
      <w:bookmarkEnd w:id="5951"/>
      <w:bookmarkEnd w:id="5952"/>
      <w:bookmarkEnd w:id="5953"/>
      <w:bookmarkEnd w:id="5954"/>
      <w:bookmarkEnd w:id="5955"/>
      <w:bookmarkEnd w:id="5956"/>
      <w:r w:rsidRPr="002C0D19">
        <w:t xml:space="preserve"> </w:t>
      </w:r>
    </w:p>
    <w:p w14:paraId="19695ED1" w14:textId="77777777" w:rsidR="007968EC" w:rsidRDefault="007968EC" w:rsidP="007968EC">
      <w:pPr>
        <w:keepNext/>
        <w:tabs>
          <w:tab w:val="left" w:pos="1701"/>
        </w:tabs>
        <w:jc w:val="both"/>
        <w:outlineLvl w:val="2"/>
        <w:rPr>
          <w:rFonts w:ascii="Arial Narrow" w:hAnsi="Arial Narrow" w:cs="Arial"/>
          <w:b/>
          <w:lang w:eastAsia="es-ES"/>
        </w:rPr>
      </w:pPr>
    </w:p>
    <w:p w14:paraId="7A673597" w14:textId="77777777" w:rsidR="007968EC" w:rsidRPr="002C0D19" w:rsidRDefault="007968EC" w:rsidP="007968EC">
      <w:pPr>
        <w:pStyle w:val="ANTECEDENTES"/>
      </w:pPr>
      <w:r w:rsidRPr="002C0D19">
        <w:t>(Este artículo fue modificado mediante Circular 14 del 8 de agosto de 2017, publicada en el Boletín Normativo No. 015 del 8 de agosto de 2017. Rige a partir del 9 de agosto de 2017.)</w:t>
      </w:r>
      <w:bookmarkEnd w:id="5957"/>
    </w:p>
    <w:p w14:paraId="647FCE80" w14:textId="77777777" w:rsidR="007968EC" w:rsidRPr="002C0D19" w:rsidRDefault="007968EC" w:rsidP="007968EC">
      <w:pPr>
        <w:jc w:val="both"/>
        <w:rPr>
          <w:rFonts w:ascii="Arial Narrow" w:eastAsia="Calibri" w:hAnsi="Arial Narrow" w:cs="Arial"/>
          <w:lang w:eastAsia="es-ES"/>
        </w:rPr>
      </w:pPr>
    </w:p>
    <w:p w14:paraId="1621ED07" w14:textId="77777777" w:rsidR="007968EC" w:rsidRPr="002C0D19" w:rsidRDefault="007968EC" w:rsidP="007968EC">
      <w:pPr>
        <w:jc w:val="both"/>
        <w:rPr>
          <w:rFonts w:ascii="Arial Narrow" w:eastAsia="Calibri" w:hAnsi="Arial Narrow" w:cs="Arial"/>
          <w:lang w:eastAsia="es-ES"/>
        </w:rPr>
      </w:pPr>
      <w:r w:rsidRPr="002C0D19">
        <w:rPr>
          <w:rFonts w:ascii="Arial Narrow" w:eastAsia="Calibri" w:hAnsi="Arial Narrow" w:cs="Arial"/>
          <w:lang w:eastAsia="es-ES"/>
        </w:rPr>
        <w:t>Sin perjuicio de las Medidas Preventivas previstas en el artículo 2.9.1. del Reglamento de Funcionamiento y del artículo 1.7.4.1. de la presente Circular, la Cámara podrá, en cualquier momento, ordenar la adopción de la siguiente medida preventiva:</w:t>
      </w:r>
    </w:p>
    <w:p w14:paraId="2E8EE7EE" w14:textId="77777777" w:rsidR="007968EC" w:rsidRPr="002C0D19" w:rsidRDefault="007968EC" w:rsidP="007968EC">
      <w:pPr>
        <w:jc w:val="both"/>
        <w:rPr>
          <w:rFonts w:ascii="Arial Narrow" w:eastAsia="Calibri" w:hAnsi="Arial Narrow" w:cs="Arial"/>
          <w:lang w:eastAsia="es-ES"/>
        </w:rPr>
      </w:pPr>
    </w:p>
    <w:p w14:paraId="3B646CC1" w14:textId="77777777" w:rsidR="007968EC" w:rsidRPr="002C0D19" w:rsidRDefault="007968EC" w:rsidP="00DA7472">
      <w:pPr>
        <w:numPr>
          <w:ilvl w:val="0"/>
          <w:numId w:val="228"/>
        </w:numPr>
        <w:contextualSpacing/>
        <w:jc w:val="both"/>
        <w:rPr>
          <w:rFonts w:ascii="Arial Narrow" w:eastAsia="Calibri" w:hAnsi="Arial Narrow" w:cs="Arial"/>
          <w:u w:val="single"/>
          <w:lang w:eastAsia="es-ES"/>
        </w:rPr>
      </w:pPr>
      <w:r w:rsidRPr="002C0D19">
        <w:rPr>
          <w:rFonts w:ascii="Arial Narrow" w:eastAsia="Calibri" w:hAnsi="Arial Narrow" w:cs="Arial"/>
          <w:lang w:eastAsia="es-ES"/>
        </w:rPr>
        <w:t>En caso que un Miembro Liquidador incurra en el evento de retardo por no pagar el efectivo o entregar el Activo para el cumplimiento de las Operaciones Simultáneas aceptadas por la Cámara en tres (3) ocasiones durante el mismo año corrido, la Cámara procederá a solicitar a los sistemas de negociación  y/o registro que realicen las actividades tendientes a no permitir la negociación y/o registro de Operaciones Simultáneas que pretendan ser compensadas y liquidadas en la Cámara por parte  de un Miembro por un (1) día hábil. Lo anterior, de acuerdo con lo establecido en sus reglamentos, circulares y/o el Acuerdo suscrito con la Cámara para la compensación y liquidación de Operaciones.</w:t>
      </w:r>
    </w:p>
    <w:p w14:paraId="16ACF30B" w14:textId="77777777" w:rsidR="007968EC" w:rsidRPr="002C0D19" w:rsidRDefault="007968EC" w:rsidP="007968EC">
      <w:pPr>
        <w:ind w:left="535"/>
        <w:contextualSpacing/>
        <w:jc w:val="both"/>
        <w:rPr>
          <w:rFonts w:ascii="Arial Narrow" w:eastAsia="Calibri" w:hAnsi="Arial Narrow" w:cs="Arial"/>
          <w:u w:val="single"/>
          <w:lang w:eastAsia="es-ES"/>
        </w:rPr>
      </w:pPr>
    </w:p>
    <w:p w14:paraId="03F4B90D" w14:textId="77777777" w:rsidR="007968EC" w:rsidRPr="002C0D19" w:rsidRDefault="007968EC" w:rsidP="007968EC">
      <w:pPr>
        <w:ind w:left="535"/>
        <w:contextualSpacing/>
        <w:jc w:val="both"/>
        <w:rPr>
          <w:rFonts w:ascii="Arial Narrow" w:eastAsia="Calibri" w:hAnsi="Arial Narrow" w:cs="Arial"/>
          <w:lang w:eastAsia="es-ES"/>
        </w:rPr>
      </w:pPr>
      <w:r w:rsidRPr="002C0D19">
        <w:rPr>
          <w:rFonts w:ascii="Arial Narrow" w:eastAsia="Calibri" w:hAnsi="Arial Narrow" w:cs="Arial"/>
          <w:lang w:eastAsia="es-ES"/>
        </w:rPr>
        <w:t>Si la Cámara solicita a los sistemas de negociación y/o registro realizar las actividades tendientes a no permitir la negociación y/o registro de Operaciones Simultáneas que pretendan ser compensadas y liquidadas en la Cámara de un mismo Miembro Liquidador por una segunda vez durante un mismo año corrido, la medida se adoptará por un término tres (3) días hábiles. En caso de presentarse el mismo hecho por una tercera vez durante un mismo año corrido, la misma medida se adoptará por cinco (5) días hábiles.</w:t>
      </w:r>
    </w:p>
    <w:p w14:paraId="5E6BE935" w14:textId="77777777" w:rsidR="007968EC" w:rsidRPr="002C0D19" w:rsidRDefault="007968EC" w:rsidP="007968EC">
      <w:pPr>
        <w:ind w:left="535"/>
        <w:contextualSpacing/>
        <w:jc w:val="both"/>
        <w:rPr>
          <w:rFonts w:ascii="Arial Narrow" w:eastAsia="Calibri" w:hAnsi="Arial Narrow" w:cs="Arial"/>
          <w:lang w:eastAsia="es-ES"/>
        </w:rPr>
      </w:pPr>
    </w:p>
    <w:p w14:paraId="6CDE8D03" w14:textId="77777777" w:rsidR="007968EC" w:rsidRPr="002C0D19" w:rsidRDefault="007968EC" w:rsidP="007968EC">
      <w:pPr>
        <w:ind w:left="535"/>
        <w:contextualSpacing/>
        <w:jc w:val="both"/>
        <w:rPr>
          <w:rFonts w:ascii="Arial Narrow" w:eastAsia="Calibri" w:hAnsi="Arial Narrow" w:cs="Arial"/>
          <w:lang w:eastAsia="es-ES"/>
        </w:rPr>
      </w:pPr>
      <w:r w:rsidRPr="002C0D19">
        <w:rPr>
          <w:rFonts w:ascii="Arial Narrow" w:eastAsia="Calibri" w:hAnsi="Arial Narrow" w:cs="Arial"/>
          <w:lang w:eastAsia="es-ES"/>
        </w:rPr>
        <w:t>Tratándose de Operaciones Simultáneas registradas en el sistema MEC de registro, la Cámara procederá al rechazo de las Operaciones en el Sistema de Cámara.</w:t>
      </w:r>
    </w:p>
    <w:p w14:paraId="30D4A879" w14:textId="77777777" w:rsidR="007968EC" w:rsidRPr="002C0D19" w:rsidRDefault="007968EC" w:rsidP="007968EC">
      <w:pPr>
        <w:ind w:left="459"/>
        <w:jc w:val="both"/>
        <w:rPr>
          <w:rFonts w:ascii="Arial Narrow" w:eastAsia="Calibri" w:hAnsi="Arial Narrow" w:cs="Arial"/>
          <w:lang w:eastAsia="es-ES"/>
        </w:rPr>
      </w:pPr>
    </w:p>
    <w:p w14:paraId="694FF183" w14:textId="77777777" w:rsidR="007968EC" w:rsidRPr="002C0D19" w:rsidRDefault="007968EC" w:rsidP="007968EC">
      <w:pPr>
        <w:ind w:left="535"/>
        <w:contextualSpacing/>
        <w:jc w:val="both"/>
        <w:rPr>
          <w:rFonts w:ascii="Arial Narrow" w:eastAsia="Calibri" w:hAnsi="Arial Narrow" w:cs="Arial"/>
          <w:lang w:eastAsia="es-ES"/>
        </w:rPr>
      </w:pPr>
      <w:r w:rsidRPr="002C0D19">
        <w:rPr>
          <w:rFonts w:ascii="Arial Narrow" w:eastAsia="Calibri" w:hAnsi="Arial Narrow" w:cs="Arial"/>
          <w:lang w:eastAsia="es-ES"/>
        </w:rPr>
        <w:t>En los casos anteriormente señalados, la Medida Preventiva se hará efectiva a partir del último día hábil de la semana siguiente al día de ocurrencia de evento de retardo que la origine.</w:t>
      </w:r>
    </w:p>
    <w:p w14:paraId="3AF11A56" w14:textId="77777777" w:rsidR="007968EC" w:rsidRPr="002C0D19" w:rsidRDefault="007968EC" w:rsidP="007968EC">
      <w:pPr>
        <w:ind w:left="535"/>
        <w:contextualSpacing/>
        <w:jc w:val="both"/>
        <w:rPr>
          <w:rFonts w:ascii="Arial Narrow" w:eastAsia="Calibri" w:hAnsi="Arial Narrow" w:cs="Arial"/>
          <w:lang w:eastAsia="es-ES"/>
        </w:rPr>
      </w:pPr>
    </w:p>
    <w:p w14:paraId="4E8C36B9" w14:textId="77777777" w:rsidR="007968EC" w:rsidRPr="002C0D19" w:rsidRDefault="007968EC" w:rsidP="007968EC">
      <w:pPr>
        <w:ind w:left="459" w:hanging="284"/>
        <w:jc w:val="both"/>
        <w:rPr>
          <w:rFonts w:ascii="Arial Narrow" w:eastAsia="Calibri" w:hAnsi="Arial Narrow" w:cs="Arial"/>
          <w:lang w:eastAsia="es-ES"/>
        </w:rPr>
      </w:pPr>
      <w:r w:rsidRPr="002C0D19">
        <w:rPr>
          <w:rFonts w:ascii="Arial Narrow" w:eastAsia="Calibri" w:hAnsi="Arial Narrow" w:cs="Arial"/>
          <w:lang w:eastAsia="es-ES"/>
        </w:rPr>
        <w:t>2.</w:t>
      </w:r>
      <w:r w:rsidRPr="002C0D19">
        <w:rPr>
          <w:rFonts w:ascii="Arial Narrow" w:eastAsia="Calibri" w:hAnsi="Arial Narrow" w:cs="Arial"/>
          <w:lang w:eastAsia="es-ES"/>
        </w:rPr>
        <w:tab/>
        <w:t xml:space="preserve">En el caso que a un Miembro Liquidador no se le permita la negociación y/o registro de las Operaciones Simultáneas en los términos </w:t>
      </w:r>
      <w:r w:rsidRPr="002C0D19">
        <w:rPr>
          <w:rFonts w:ascii="Arial Narrow" w:eastAsia="Calibri" w:hAnsi="Arial Narrow"/>
        </w:rPr>
        <w:t>establecidos</w:t>
      </w:r>
      <w:r w:rsidRPr="002C0D19">
        <w:rPr>
          <w:rFonts w:ascii="Arial Narrow" w:eastAsia="Calibri" w:hAnsi="Arial Narrow" w:cs="Arial"/>
          <w:lang w:eastAsia="es-ES"/>
        </w:rPr>
        <w:t xml:space="preserve"> en el presente </w:t>
      </w:r>
      <w:r w:rsidRPr="002C0D19">
        <w:rPr>
          <w:rFonts w:ascii="Arial Narrow" w:eastAsia="Calibri" w:hAnsi="Arial Narrow"/>
        </w:rPr>
        <w:t>artículo</w:t>
      </w:r>
      <w:r w:rsidRPr="002C0D19">
        <w:rPr>
          <w:rFonts w:ascii="Arial Narrow" w:eastAsia="Calibri" w:hAnsi="Arial Narrow" w:cs="Arial"/>
          <w:lang w:eastAsia="es-ES"/>
        </w:rPr>
        <w:t xml:space="preserve">, en más de tres (3) ocasiones dentro </w:t>
      </w:r>
      <w:r w:rsidRPr="002C0D19">
        <w:rPr>
          <w:rFonts w:ascii="Arial Narrow" w:eastAsia="Calibri" w:hAnsi="Arial Narrow" w:cs="Arial"/>
          <w:lang w:eastAsia="es-ES"/>
        </w:rPr>
        <w:lastRenderedPageBreak/>
        <w:t xml:space="preserve">del mismo año corrido por la adopción de la Medida Preventiva, la Cámara podrá solicitar al administrador del sistema de negociación /o registro, SEN o MEC transaccional que no permita la negociación y/o registro de tales Operaciones indefinidamente al Miembro en la rueda de negociación hasta que la Cámara realice una evaluación financiera y operativa del mismo.  </w:t>
      </w:r>
    </w:p>
    <w:p w14:paraId="741C3D1B" w14:textId="77777777" w:rsidR="007968EC" w:rsidRPr="002C0D19" w:rsidRDefault="007968EC" w:rsidP="007968EC">
      <w:pPr>
        <w:ind w:left="459" w:hanging="284"/>
        <w:jc w:val="both"/>
        <w:rPr>
          <w:rFonts w:ascii="Arial Narrow" w:eastAsia="Calibri" w:hAnsi="Arial Narrow" w:cs="Arial"/>
          <w:lang w:eastAsia="es-ES"/>
        </w:rPr>
      </w:pPr>
    </w:p>
    <w:p w14:paraId="7A613635" w14:textId="77777777" w:rsidR="007968EC" w:rsidRPr="002C0D19" w:rsidRDefault="007968EC" w:rsidP="007968EC">
      <w:pPr>
        <w:jc w:val="both"/>
        <w:rPr>
          <w:rFonts w:ascii="Arial Narrow" w:eastAsia="Calibri" w:hAnsi="Arial Narrow" w:cs="Arial"/>
          <w:lang w:eastAsia="es-ES"/>
        </w:rPr>
      </w:pPr>
      <w:r w:rsidRPr="002C0D19">
        <w:rPr>
          <w:rFonts w:ascii="Arial Narrow" w:eastAsia="Calibri" w:hAnsi="Arial Narrow" w:cs="Arial"/>
          <w:b/>
          <w:lang w:eastAsia="es-ES"/>
        </w:rPr>
        <w:t xml:space="preserve">Parágrafo. </w:t>
      </w:r>
      <w:r w:rsidRPr="002C0D19">
        <w:rPr>
          <w:rFonts w:ascii="Arial Narrow" w:eastAsia="Calibri" w:hAnsi="Arial Narrow" w:cs="Arial"/>
          <w:lang w:eastAsia="es-ES"/>
        </w:rPr>
        <w:t>Para efectos de la aplicación de la Medida Preventiva prevista en el presente artículo, se aplicará el procedimiento previsto en el artículo 1.7.4.2. de la Circular.</w:t>
      </w:r>
    </w:p>
    <w:p w14:paraId="7E6983C4" w14:textId="77777777" w:rsidR="007968EC" w:rsidRPr="002C0D19" w:rsidRDefault="007968EC" w:rsidP="007968EC">
      <w:pPr>
        <w:jc w:val="both"/>
        <w:rPr>
          <w:rFonts w:ascii="Arial Narrow" w:eastAsia="Calibri" w:hAnsi="Arial Narrow"/>
          <w:color w:val="000000" w:themeColor="text1"/>
          <w:lang w:eastAsia="es-ES"/>
        </w:rPr>
      </w:pPr>
    </w:p>
    <w:p w14:paraId="30F0E16D" w14:textId="77777777" w:rsidR="007968EC" w:rsidRPr="002C0D19" w:rsidRDefault="007968EC" w:rsidP="007968EC">
      <w:pPr>
        <w:pStyle w:val="ARTICULO0"/>
      </w:pPr>
      <w:bookmarkStart w:id="5958" w:name="_Toc470781225"/>
      <w:bookmarkStart w:id="5959" w:name="_Toc470784809"/>
      <w:bookmarkStart w:id="5960" w:name="_Toc470785346"/>
      <w:bookmarkStart w:id="5961" w:name="_Toc470791740"/>
      <w:bookmarkStart w:id="5962" w:name="_Toc479057292"/>
      <w:bookmarkStart w:id="5963" w:name="_Toc490066658"/>
      <w:bookmarkStart w:id="5964" w:name="_Toc31716320"/>
      <w:r w:rsidRPr="002C0D19">
        <w:t>Artículo 3.6.1.2.  Plazos especiales para la adopción de Medidas Preventivas durante el procedimiento operativo para gestionar por la Cámara eventos de retardo de un Miembro Liquidador según lo establecido en el artículo 1.7.1.3. de la presente Circular.</w:t>
      </w:r>
      <w:bookmarkEnd w:id="5958"/>
      <w:bookmarkEnd w:id="5959"/>
      <w:bookmarkEnd w:id="5960"/>
      <w:bookmarkEnd w:id="5961"/>
      <w:bookmarkEnd w:id="5962"/>
      <w:bookmarkEnd w:id="5963"/>
      <w:bookmarkEnd w:id="5964"/>
    </w:p>
    <w:p w14:paraId="2404E9BE" w14:textId="77777777" w:rsidR="007968EC" w:rsidRPr="002C0D19" w:rsidRDefault="007968EC" w:rsidP="007968EC">
      <w:pPr>
        <w:autoSpaceDE w:val="0"/>
        <w:autoSpaceDN w:val="0"/>
        <w:adjustRightInd w:val="0"/>
        <w:jc w:val="both"/>
        <w:rPr>
          <w:rFonts w:ascii="Arial Narrow" w:hAnsi="Arial Narrow" w:cs="Arial"/>
          <w:bCs/>
          <w:color w:val="000000" w:themeColor="text1"/>
          <w:lang w:val="es-ES" w:eastAsia="es-ES"/>
        </w:rPr>
      </w:pPr>
    </w:p>
    <w:p w14:paraId="6B87DB03" w14:textId="77777777" w:rsidR="007968EC" w:rsidRPr="002C0D19" w:rsidRDefault="007968EC" w:rsidP="007968EC">
      <w:pPr>
        <w:autoSpaceDE w:val="0"/>
        <w:autoSpaceDN w:val="0"/>
        <w:adjustRightInd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Sin perjuicio de lo dispuesto en el artículo 3.6.1.1. de la presente Circular, la Cámara cumplirá con los siguientes plazos especiales para la adopción de Medidas Preventivas durante el procedimiento operativo para gestionar eventos de retardo de un Miembro Liquidador perteneciente al Segmento de Renta Fija según lo establecido en el artículo 1.7.1.3. de la presente Circular:</w:t>
      </w:r>
    </w:p>
    <w:p w14:paraId="55E9FCBF" w14:textId="77777777" w:rsidR="007968EC" w:rsidRPr="002C0D19" w:rsidRDefault="007968EC" w:rsidP="007968EC">
      <w:pPr>
        <w:autoSpaceDE w:val="0"/>
        <w:autoSpaceDN w:val="0"/>
        <w:adjustRightInd w:val="0"/>
        <w:jc w:val="both"/>
        <w:rPr>
          <w:rFonts w:ascii="Arial Narrow" w:hAnsi="Arial Narrow" w:cs="Arial"/>
          <w:bCs/>
          <w:color w:val="000000" w:themeColor="text1"/>
          <w:lang w:val="es-ES" w:eastAsia="es-ES"/>
        </w:rPr>
      </w:pPr>
    </w:p>
    <w:p w14:paraId="0C921291" w14:textId="77777777" w:rsidR="007968EC" w:rsidRPr="002C0D19" w:rsidRDefault="007968EC" w:rsidP="007968EC">
      <w:pPr>
        <w:autoSpaceDE w:val="0"/>
        <w:autoSpaceDN w:val="0"/>
        <w:adjustRightInd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xml:space="preserve">Retardo en la constitución de Garantías por Posición cuando la relación entre el valor en riesgo de las Operaciones Simultáneas aceptadas y el valor de la Garantía por Posición (Previa) supere los límites establecidos en el artículo 3.5.2.1.; vencido el plazo establecido en el artículo </w:t>
      </w:r>
      <w:r w:rsidRPr="002C0D19">
        <w:rPr>
          <w:rFonts w:ascii="Arial Narrow" w:hAnsi="Arial Narrow" w:cs="Arial"/>
          <w:color w:val="000000" w:themeColor="text1"/>
          <w:lang w:val="es-ES" w:eastAsia="es-ES"/>
        </w:rPr>
        <w:t>3.</w:t>
      </w:r>
      <w:r w:rsidRPr="002C0D19">
        <w:rPr>
          <w:rFonts w:ascii="Arial Narrow" w:eastAsia="Calibri" w:hAnsi="Arial Narrow"/>
          <w:bCs/>
          <w:color w:val="000000" w:themeColor="text1"/>
          <w:lang w:val="es-ES" w:eastAsia="es-ES"/>
        </w:rPr>
        <w:t>5.2.1</w:t>
      </w:r>
      <w:r w:rsidRPr="002C0D19">
        <w:rPr>
          <w:rFonts w:ascii="Arial Narrow" w:hAnsi="Arial Narrow" w:cs="Arial"/>
          <w:bCs/>
          <w:color w:val="000000" w:themeColor="text1"/>
          <w:lang w:val="es-ES" w:eastAsia="es-ES"/>
        </w:rPr>
        <w:t xml:space="preserve">., la Cámara adoptará en forma </w:t>
      </w:r>
      <w:proofErr w:type="spellStart"/>
      <w:r w:rsidRPr="002C0D19">
        <w:rPr>
          <w:rFonts w:ascii="Arial Narrow" w:hAnsi="Arial Narrow" w:cs="Arial"/>
          <w:bCs/>
          <w:color w:val="000000" w:themeColor="text1"/>
          <w:lang w:val="es-ES" w:eastAsia="es-ES"/>
        </w:rPr>
        <w:t>simultanea</w:t>
      </w:r>
      <w:proofErr w:type="spellEnd"/>
      <w:r w:rsidRPr="002C0D19">
        <w:rPr>
          <w:rFonts w:ascii="Arial Narrow" w:hAnsi="Arial Narrow" w:cs="Arial"/>
          <w:bCs/>
          <w:color w:val="000000" w:themeColor="text1"/>
          <w:lang w:val="es-ES" w:eastAsia="es-ES"/>
        </w:rPr>
        <w:t xml:space="preserve"> o sucesiva una o varias de las Medidas Preventivas establecidas en el artículo 2.9.1. del Reglamento de Funcionamiento. La Cámara exigirá al Miembro que en un término no mayor a una (1) hora le remita una comunicación vía correo electrónico por parte del Administrador del Miembro en la que se expongan las razones del retardo, el plan de gestión del retardo y el tiempo que tardará en cumplir sus obligaciones. La Cámara podrá no aceptar el plan de gestión de retardo y exigir el cumplimiento inmediato de la obligación pendiente del Miembro. La ejecución del plan de gestión en ningún caso podrá exceder el cierre de la Sesión de Gestión de Garantías.</w:t>
      </w:r>
    </w:p>
    <w:p w14:paraId="5ADEFCB9" w14:textId="77777777" w:rsidR="007968EC" w:rsidRDefault="007968EC" w:rsidP="007968EC">
      <w:pPr>
        <w:jc w:val="center"/>
        <w:outlineLvl w:val="0"/>
        <w:rPr>
          <w:rFonts w:ascii="Arial Narrow" w:eastAsia="Calibri" w:hAnsi="Arial Narrow" w:cs="Arial"/>
          <w:color w:val="000000" w:themeColor="text1"/>
          <w:lang w:eastAsia="es-ES"/>
        </w:rPr>
      </w:pPr>
    </w:p>
    <w:p w14:paraId="379219F4" w14:textId="77777777" w:rsidR="007968EC" w:rsidRPr="002C0D19" w:rsidRDefault="007968EC" w:rsidP="007968EC">
      <w:pPr>
        <w:pStyle w:val="TTULO"/>
        <w:rPr>
          <w:rFonts w:eastAsia="Calibri"/>
        </w:rPr>
      </w:pPr>
    </w:p>
    <w:p w14:paraId="7AFA69D2" w14:textId="77777777" w:rsidR="007968EC" w:rsidRPr="002C0D19" w:rsidRDefault="007968EC" w:rsidP="007968EC">
      <w:pPr>
        <w:pStyle w:val="TTULO"/>
        <w:rPr>
          <w:rFonts w:eastAsia="Calibri"/>
          <w:kern w:val="32"/>
          <w:szCs w:val="20"/>
          <w:lang w:val="es-ES"/>
        </w:rPr>
      </w:pPr>
      <w:bookmarkStart w:id="5965" w:name="_Toc470781226"/>
      <w:bookmarkStart w:id="5966" w:name="_Toc470784810"/>
      <w:bookmarkStart w:id="5967" w:name="_Toc470785347"/>
      <w:bookmarkStart w:id="5968" w:name="_Toc470791741"/>
      <w:bookmarkStart w:id="5969" w:name="_Toc472592465"/>
      <w:bookmarkStart w:id="5970" w:name="_Toc472593484"/>
      <w:bookmarkStart w:id="5971" w:name="_Toc479057293"/>
      <w:bookmarkStart w:id="5972" w:name="_Toc490066659"/>
      <w:bookmarkStart w:id="5973" w:name="_Toc31716321"/>
      <w:r w:rsidRPr="002C0D19">
        <w:rPr>
          <w:rFonts w:eastAsia="Calibri"/>
          <w:kern w:val="32"/>
          <w:szCs w:val="20"/>
          <w:lang w:val="es-ES"/>
        </w:rPr>
        <w:t>TÍTULO SÉPTIMO</w:t>
      </w:r>
      <w:bookmarkEnd w:id="5965"/>
      <w:bookmarkEnd w:id="5966"/>
      <w:bookmarkEnd w:id="5967"/>
      <w:bookmarkEnd w:id="5968"/>
      <w:bookmarkEnd w:id="5969"/>
      <w:bookmarkEnd w:id="5970"/>
      <w:bookmarkEnd w:id="5971"/>
      <w:bookmarkEnd w:id="5972"/>
      <w:bookmarkEnd w:id="5973"/>
    </w:p>
    <w:p w14:paraId="73BAA8BA" w14:textId="77777777" w:rsidR="007968EC" w:rsidRPr="002C0D19" w:rsidRDefault="007968EC" w:rsidP="007968EC">
      <w:pPr>
        <w:pStyle w:val="TTULO"/>
        <w:rPr>
          <w:rFonts w:eastAsia="Calibri"/>
          <w:kern w:val="32"/>
          <w:szCs w:val="20"/>
          <w:lang w:val="es-ES"/>
        </w:rPr>
      </w:pPr>
      <w:bookmarkStart w:id="5974" w:name="_Toc470781227"/>
      <w:bookmarkStart w:id="5975" w:name="_Toc470784811"/>
      <w:bookmarkStart w:id="5976" w:name="_Toc470785348"/>
      <w:bookmarkStart w:id="5977" w:name="_Toc470791742"/>
      <w:bookmarkStart w:id="5978" w:name="_Toc472592466"/>
      <w:bookmarkStart w:id="5979" w:name="_Toc472593485"/>
      <w:bookmarkStart w:id="5980" w:name="_Toc479057294"/>
      <w:bookmarkStart w:id="5981" w:name="_Toc490066660"/>
      <w:bookmarkStart w:id="5982" w:name="_Toc31716322"/>
      <w:r w:rsidRPr="002C0D19">
        <w:rPr>
          <w:rFonts w:eastAsia="Calibri"/>
          <w:kern w:val="32"/>
          <w:szCs w:val="20"/>
          <w:lang w:val="es-ES"/>
        </w:rPr>
        <w:t>HORARIOS DE LAS SESIONES DE CÁMARA</w:t>
      </w:r>
      <w:bookmarkEnd w:id="5974"/>
      <w:bookmarkEnd w:id="5975"/>
      <w:bookmarkEnd w:id="5976"/>
      <w:bookmarkEnd w:id="5977"/>
      <w:bookmarkEnd w:id="5978"/>
      <w:bookmarkEnd w:id="5979"/>
      <w:bookmarkEnd w:id="5980"/>
      <w:bookmarkEnd w:id="5981"/>
      <w:bookmarkEnd w:id="5982"/>
    </w:p>
    <w:p w14:paraId="5AE7E91F" w14:textId="77777777" w:rsidR="007968EC" w:rsidRPr="002C0D19" w:rsidRDefault="007968EC" w:rsidP="007968EC">
      <w:pPr>
        <w:pStyle w:val="TTULO"/>
        <w:rPr>
          <w:rFonts w:eastAsia="Calibri"/>
          <w:kern w:val="32"/>
          <w:szCs w:val="20"/>
          <w:lang w:val="es-ES"/>
        </w:rPr>
      </w:pPr>
    </w:p>
    <w:p w14:paraId="0DE7265A" w14:textId="77777777" w:rsidR="007968EC" w:rsidRPr="002C0D19" w:rsidRDefault="007968EC" w:rsidP="007968EC">
      <w:pPr>
        <w:pStyle w:val="TTULO"/>
        <w:rPr>
          <w:rFonts w:eastAsia="Calibri"/>
          <w:kern w:val="32"/>
          <w:szCs w:val="20"/>
          <w:lang w:val="es-ES"/>
        </w:rPr>
      </w:pPr>
      <w:bookmarkStart w:id="5983" w:name="_Toc470781228"/>
      <w:bookmarkStart w:id="5984" w:name="_Toc470784812"/>
      <w:bookmarkStart w:id="5985" w:name="_Toc470785349"/>
      <w:bookmarkStart w:id="5986" w:name="_Toc470791743"/>
      <w:bookmarkStart w:id="5987" w:name="_Toc472592467"/>
      <w:bookmarkStart w:id="5988" w:name="_Toc472593486"/>
      <w:bookmarkStart w:id="5989" w:name="_Toc479057295"/>
      <w:bookmarkStart w:id="5990" w:name="_Toc490066661"/>
      <w:bookmarkStart w:id="5991" w:name="_Toc31716323"/>
      <w:r w:rsidRPr="002C0D19">
        <w:rPr>
          <w:rFonts w:eastAsia="Calibri"/>
          <w:kern w:val="32"/>
          <w:szCs w:val="20"/>
          <w:lang w:val="es-ES"/>
        </w:rPr>
        <w:t>CAPITULO PRIMERO</w:t>
      </w:r>
      <w:bookmarkEnd w:id="5983"/>
      <w:bookmarkEnd w:id="5984"/>
      <w:bookmarkEnd w:id="5985"/>
      <w:bookmarkEnd w:id="5986"/>
      <w:bookmarkEnd w:id="5987"/>
      <w:bookmarkEnd w:id="5988"/>
      <w:bookmarkEnd w:id="5989"/>
      <w:bookmarkEnd w:id="5990"/>
      <w:bookmarkEnd w:id="5991"/>
    </w:p>
    <w:p w14:paraId="77B7073C" w14:textId="77777777" w:rsidR="007968EC" w:rsidRPr="002C0D19" w:rsidRDefault="007968EC" w:rsidP="007968EC">
      <w:pPr>
        <w:jc w:val="center"/>
        <w:outlineLvl w:val="1"/>
        <w:rPr>
          <w:rFonts w:ascii="Arial Narrow" w:eastAsia="Calibri" w:hAnsi="Arial Narrow"/>
          <w:b/>
          <w:color w:val="000000" w:themeColor="text1"/>
        </w:rPr>
      </w:pPr>
    </w:p>
    <w:p w14:paraId="439D8002" w14:textId="77777777" w:rsidR="007968EC" w:rsidRDefault="007968EC" w:rsidP="007968EC">
      <w:pPr>
        <w:pStyle w:val="ARTICULO0"/>
      </w:pPr>
      <w:bookmarkStart w:id="5992" w:name="_Toc470781229"/>
      <w:bookmarkStart w:id="5993" w:name="_Toc470784813"/>
      <w:bookmarkStart w:id="5994" w:name="_Toc470785350"/>
      <w:bookmarkStart w:id="5995" w:name="_Toc470791744"/>
      <w:bookmarkStart w:id="5996" w:name="_Toc479057296"/>
      <w:bookmarkStart w:id="5997" w:name="_Toc31716324"/>
      <w:bookmarkStart w:id="5998" w:name="_Toc490066662"/>
      <w:r>
        <w:t xml:space="preserve">Artículo 3.7.1.1. </w:t>
      </w:r>
      <w:r w:rsidRPr="002C0D19">
        <w:t>Horarios de Sesiones de Operación de Cámara para el Segmento de Renta Fija.</w:t>
      </w:r>
      <w:bookmarkEnd w:id="5992"/>
      <w:bookmarkEnd w:id="5993"/>
      <w:bookmarkEnd w:id="5994"/>
      <w:bookmarkEnd w:id="5995"/>
      <w:bookmarkEnd w:id="5996"/>
      <w:bookmarkEnd w:id="5997"/>
      <w:r w:rsidRPr="002C0D19">
        <w:t xml:space="preserve"> </w:t>
      </w:r>
    </w:p>
    <w:p w14:paraId="0C44A645" w14:textId="77777777" w:rsidR="007968EC" w:rsidRDefault="007968EC" w:rsidP="007968EC">
      <w:pPr>
        <w:keepNext/>
        <w:tabs>
          <w:tab w:val="left" w:pos="1701"/>
        </w:tabs>
        <w:jc w:val="both"/>
        <w:outlineLvl w:val="2"/>
        <w:rPr>
          <w:rFonts w:ascii="Arial Narrow" w:hAnsi="Arial Narrow" w:cs="Arial"/>
          <w:b/>
          <w:color w:val="000000" w:themeColor="text1"/>
          <w:u w:val="single"/>
          <w:lang w:eastAsia="es-ES"/>
        </w:rPr>
      </w:pPr>
    </w:p>
    <w:p w14:paraId="40AB5ADD" w14:textId="77777777" w:rsidR="007968EC" w:rsidRPr="002C0D19" w:rsidRDefault="007968EC" w:rsidP="007968EC">
      <w:pPr>
        <w:pStyle w:val="ANTECEDENTES"/>
      </w:pPr>
      <w:r w:rsidRPr="002C0D19">
        <w:t>(Este artículo fue modificado mediante Circular 2 del 11 de enero de 2017, publicada mediante Boletín Normativo No. 002 del 11 de enero de 2017. Rige a partir del 12 de enero de 2017.)</w:t>
      </w:r>
      <w:bookmarkEnd w:id="5998"/>
    </w:p>
    <w:p w14:paraId="08C9BA2A" w14:textId="77777777" w:rsidR="007968EC" w:rsidRPr="002C0D19" w:rsidRDefault="007968EC" w:rsidP="007968EC">
      <w:pPr>
        <w:autoSpaceDE w:val="0"/>
        <w:autoSpaceDN w:val="0"/>
        <w:adjustRightInd w:val="0"/>
        <w:contextualSpacing/>
        <w:jc w:val="both"/>
        <w:rPr>
          <w:rFonts w:ascii="Arial Narrow" w:eastAsia="Calibri" w:hAnsi="Arial Narrow"/>
          <w:b/>
          <w:color w:val="000000" w:themeColor="text1"/>
        </w:rPr>
      </w:pPr>
    </w:p>
    <w:p w14:paraId="3DF7839F" w14:textId="77777777" w:rsidR="007968EC" w:rsidRPr="002C0D19" w:rsidRDefault="007968EC" w:rsidP="007968EC">
      <w:pPr>
        <w:autoSpaceDE w:val="0"/>
        <w:autoSpaceDN w:val="0"/>
        <w:adjustRightInd w:val="0"/>
        <w:contextualSpacing/>
        <w:jc w:val="both"/>
        <w:rPr>
          <w:rFonts w:ascii="Arial Narrow" w:eastAsia="Calibri" w:hAnsi="Arial Narrow"/>
          <w:color w:val="000000" w:themeColor="text1"/>
        </w:rPr>
      </w:pPr>
      <w:r w:rsidRPr="002C0D19">
        <w:rPr>
          <w:rFonts w:ascii="Arial Narrow" w:eastAsia="Calibri" w:hAnsi="Arial Narrow"/>
          <w:color w:val="000000" w:themeColor="text1"/>
        </w:rPr>
        <w:t>De conformidad con el artículo 1.3.6. del Reglamento de Funcionamiento de la Cámara y el Artículo 1.8.1.1. de la presente Circular, el horario de funcionamiento para el Segmento de Renta Fija tendrá las siguientes sesiones particulares:</w:t>
      </w:r>
    </w:p>
    <w:p w14:paraId="5B814499" w14:textId="77777777" w:rsidR="007968EC" w:rsidRPr="002C0D19" w:rsidRDefault="007968EC" w:rsidP="007968EC">
      <w:pPr>
        <w:tabs>
          <w:tab w:val="num" w:pos="5040"/>
        </w:tabs>
        <w:ind w:left="426"/>
        <w:jc w:val="both"/>
        <w:rPr>
          <w:rFonts w:ascii="Arial Narrow" w:eastAsia="Calibri" w:hAnsi="Arial Narrow"/>
          <w:color w:val="000000" w:themeColor="text1"/>
          <w:u w:val="single"/>
        </w:rPr>
      </w:pPr>
    </w:p>
    <w:p w14:paraId="0931999F" w14:textId="77777777" w:rsidR="007968EC" w:rsidRPr="002C0D19" w:rsidRDefault="007968EC" w:rsidP="00DA7472">
      <w:pPr>
        <w:numPr>
          <w:ilvl w:val="0"/>
          <w:numId w:val="229"/>
        </w:numPr>
        <w:tabs>
          <w:tab w:val="num" w:pos="426"/>
          <w:tab w:val="num" w:pos="5040"/>
        </w:tabs>
        <w:ind w:left="426" w:hanging="426"/>
        <w:jc w:val="both"/>
        <w:rPr>
          <w:rFonts w:ascii="Arial Narrow" w:eastAsia="Calibri" w:hAnsi="Arial Narrow"/>
          <w:color w:val="000000" w:themeColor="text1"/>
          <w:u w:val="single"/>
        </w:rPr>
      </w:pPr>
      <w:r w:rsidRPr="002C0D19">
        <w:rPr>
          <w:rFonts w:ascii="Arial Narrow" w:eastAsia="Calibri" w:hAnsi="Arial Narrow"/>
          <w:color w:val="000000" w:themeColor="text1"/>
          <w:u w:val="single"/>
        </w:rPr>
        <w:lastRenderedPageBreak/>
        <w:t>Sesión de Aceptación de Operaciones:</w:t>
      </w:r>
    </w:p>
    <w:p w14:paraId="4EDF1BCA" w14:textId="77777777" w:rsidR="007968EC" w:rsidRPr="002C0D19" w:rsidRDefault="007968EC" w:rsidP="007968EC">
      <w:pPr>
        <w:autoSpaceDE w:val="0"/>
        <w:autoSpaceDN w:val="0"/>
        <w:adjustRightInd w:val="0"/>
        <w:contextualSpacing/>
        <w:jc w:val="both"/>
        <w:rPr>
          <w:rFonts w:ascii="Arial Narrow" w:eastAsia="Calibri" w:hAnsi="Arial Narrow"/>
          <w:color w:val="000000" w:themeColor="text1"/>
        </w:rPr>
      </w:pPr>
    </w:p>
    <w:tbl>
      <w:tblPr>
        <w:tblW w:w="6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5"/>
        <w:gridCol w:w="3261"/>
      </w:tblGrid>
      <w:tr w:rsidR="007968EC" w:rsidRPr="002C0D19" w14:paraId="7F31DB48" w14:textId="77777777" w:rsidTr="007968EC">
        <w:trPr>
          <w:trHeight w:val="980"/>
          <w:jc w:val="center"/>
        </w:trPr>
        <w:tc>
          <w:tcPr>
            <w:tcW w:w="2835" w:type="dxa"/>
            <w:tcBorders>
              <w:top w:val="single" w:sz="4" w:space="0" w:color="auto"/>
              <w:left w:val="single" w:sz="4" w:space="0" w:color="auto"/>
              <w:bottom w:val="single" w:sz="4" w:space="0" w:color="auto"/>
              <w:right w:val="single" w:sz="4" w:space="0" w:color="auto"/>
            </w:tcBorders>
            <w:shd w:val="clear" w:color="auto" w:fill="8496B0"/>
            <w:vAlign w:val="center"/>
          </w:tcPr>
          <w:p w14:paraId="6039E29B" w14:textId="77777777" w:rsidR="007968EC" w:rsidRPr="002C0D19" w:rsidRDefault="007968EC" w:rsidP="007968EC">
            <w:pPr>
              <w:ind w:left="96"/>
              <w:jc w:val="center"/>
              <w:rPr>
                <w:rFonts w:ascii="Arial Narrow" w:eastAsia="Calibri" w:hAnsi="Arial Narrow"/>
                <w:bCs/>
                <w:color w:val="000000" w:themeColor="text1"/>
              </w:rPr>
            </w:pPr>
            <w:r w:rsidRPr="002C0D19">
              <w:rPr>
                <w:rFonts w:ascii="Arial Narrow" w:eastAsia="Calibri" w:hAnsi="Arial Narrow"/>
                <w:bCs/>
                <w:color w:val="000000" w:themeColor="text1"/>
              </w:rPr>
              <w:t>Activo</w:t>
            </w:r>
          </w:p>
        </w:tc>
        <w:tc>
          <w:tcPr>
            <w:tcW w:w="3261" w:type="dxa"/>
            <w:tcBorders>
              <w:top w:val="single" w:sz="4" w:space="0" w:color="auto"/>
              <w:left w:val="single" w:sz="4" w:space="0" w:color="auto"/>
              <w:bottom w:val="single" w:sz="4" w:space="0" w:color="auto"/>
              <w:right w:val="single" w:sz="4" w:space="0" w:color="auto"/>
            </w:tcBorders>
            <w:shd w:val="clear" w:color="auto" w:fill="8496B0"/>
            <w:vAlign w:val="center"/>
          </w:tcPr>
          <w:p w14:paraId="27B7466D" w14:textId="77777777" w:rsidR="007968EC" w:rsidRPr="002C0D19" w:rsidRDefault="007968EC" w:rsidP="007968EC">
            <w:pPr>
              <w:jc w:val="center"/>
              <w:rPr>
                <w:rFonts w:ascii="Arial Narrow" w:eastAsia="Calibri" w:hAnsi="Arial Narrow"/>
                <w:bCs/>
                <w:color w:val="000000" w:themeColor="text1"/>
              </w:rPr>
            </w:pPr>
            <w:r w:rsidRPr="002C0D19">
              <w:rPr>
                <w:rFonts w:ascii="Arial Narrow" w:eastAsia="Calibri" w:hAnsi="Arial Narrow"/>
                <w:bCs/>
                <w:color w:val="000000" w:themeColor="text1"/>
              </w:rPr>
              <w:t xml:space="preserve"> Sesión de Aceptación</w:t>
            </w:r>
          </w:p>
          <w:p w14:paraId="3D158F93" w14:textId="77777777" w:rsidR="007968EC" w:rsidRPr="002C0D19" w:rsidRDefault="007968EC" w:rsidP="007968EC">
            <w:pPr>
              <w:jc w:val="center"/>
              <w:rPr>
                <w:rFonts w:ascii="Arial Narrow" w:eastAsia="Calibri" w:hAnsi="Arial Narrow"/>
                <w:bCs/>
                <w:color w:val="000000" w:themeColor="text1"/>
              </w:rPr>
            </w:pPr>
            <w:r w:rsidRPr="002C0D19">
              <w:rPr>
                <w:rFonts w:ascii="Arial Narrow" w:eastAsia="Calibri" w:hAnsi="Arial Narrow"/>
                <w:bCs/>
                <w:color w:val="000000" w:themeColor="text1"/>
              </w:rPr>
              <w:t xml:space="preserve"> de Operaciones           </w:t>
            </w:r>
          </w:p>
        </w:tc>
      </w:tr>
      <w:tr w:rsidR="007968EC" w:rsidRPr="002C0D19" w14:paraId="4D1643DF" w14:textId="77777777" w:rsidTr="007968EC">
        <w:trPr>
          <w:trHeight w:val="199"/>
          <w:jc w:val="center"/>
        </w:trPr>
        <w:tc>
          <w:tcPr>
            <w:tcW w:w="2835" w:type="dxa"/>
            <w:tcBorders>
              <w:top w:val="single" w:sz="4" w:space="0" w:color="auto"/>
              <w:left w:val="single" w:sz="4" w:space="0" w:color="auto"/>
              <w:bottom w:val="single" w:sz="4" w:space="0" w:color="auto"/>
              <w:right w:val="single" w:sz="4" w:space="0" w:color="auto"/>
            </w:tcBorders>
            <w:vAlign w:val="center"/>
          </w:tcPr>
          <w:p w14:paraId="36B6540A" w14:textId="77777777" w:rsidR="007968EC" w:rsidRPr="002C0D19" w:rsidRDefault="007968EC" w:rsidP="007968EC">
            <w:pPr>
              <w:rPr>
                <w:rFonts w:ascii="Arial Narrow" w:eastAsia="Calibri" w:hAnsi="Arial Narrow"/>
                <w:bCs/>
                <w:color w:val="000000" w:themeColor="text1"/>
              </w:rPr>
            </w:pPr>
            <w:r w:rsidRPr="002C0D19">
              <w:rPr>
                <w:rFonts w:ascii="Arial Narrow" w:eastAsia="Calibri" w:hAnsi="Arial Narrow"/>
                <w:bCs/>
                <w:color w:val="000000" w:themeColor="text1"/>
              </w:rPr>
              <w:t>Operaciones Simultáneas celebradas en Sistema SEN</w:t>
            </w:r>
          </w:p>
        </w:tc>
        <w:tc>
          <w:tcPr>
            <w:tcW w:w="3261" w:type="dxa"/>
            <w:tcBorders>
              <w:top w:val="single" w:sz="4" w:space="0" w:color="auto"/>
              <w:left w:val="single" w:sz="4" w:space="0" w:color="auto"/>
              <w:bottom w:val="single" w:sz="4" w:space="0" w:color="auto"/>
              <w:right w:val="single" w:sz="4" w:space="0" w:color="auto"/>
            </w:tcBorders>
            <w:vAlign w:val="center"/>
          </w:tcPr>
          <w:p w14:paraId="0BC2D948" w14:textId="77777777" w:rsidR="007968EC" w:rsidRPr="002C0D19" w:rsidRDefault="007968EC" w:rsidP="007968EC">
            <w:pPr>
              <w:jc w:val="center"/>
              <w:rPr>
                <w:rFonts w:ascii="Arial Narrow" w:eastAsia="Calibri" w:hAnsi="Arial Narrow"/>
                <w:bCs/>
                <w:color w:val="000000" w:themeColor="text1"/>
              </w:rPr>
            </w:pPr>
            <w:r w:rsidRPr="002C0D19">
              <w:rPr>
                <w:rFonts w:ascii="Arial Narrow" w:eastAsia="Calibri" w:hAnsi="Arial Narrow"/>
                <w:bCs/>
                <w:color w:val="000000" w:themeColor="text1"/>
              </w:rPr>
              <w:t>8:00 am a 4:30 p.m.</w:t>
            </w:r>
          </w:p>
        </w:tc>
      </w:tr>
      <w:tr w:rsidR="007968EC" w:rsidRPr="002C0D19" w14:paraId="71F7B0D1" w14:textId="77777777" w:rsidTr="007968EC">
        <w:trPr>
          <w:trHeight w:val="199"/>
          <w:jc w:val="center"/>
        </w:trPr>
        <w:tc>
          <w:tcPr>
            <w:tcW w:w="2835" w:type="dxa"/>
            <w:tcBorders>
              <w:top w:val="single" w:sz="4" w:space="0" w:color="auto"/>
              <w:left w:val="single" w:sz="4" w:space="0" w:color="auto"/>
              <w:bottom w:val="single" w:sz="4" w:space="0" w:color="auto"/>
              <w:right w:val="single" w:sz="4" w:space="0" w:color="auto"/>
            </w:tcBorders>
            <w:vAlign w:val="center"/>
          </w:tcPr>
          <w:p w14:paraId="6A369C00" w14:textId="77777777" w:rsidR="007968EC" w:rsidRPr="002C0D19" w:rsidRDefault="007968EC" w:rsidP="007968EC">
            <w:pPr>
              <w:rPr>
                <w:rFonts w:ascii="Arial Narrow" w:eastAsia="Calibri" w:hAnsi="Arial Narrow"/>
                <w:bCs/>
                <w:color w:val="000000" w:themeColor="text1"/>
              </w:rPr>
            </w:pPr>
            <w:r w:rsidRPr="002C0D19">
              <w:rPr>
                <w:rFonts w:ascii="Arial Narrow" w:eastAsia="Calibri" w:hAnsi="Arial Narrow"/>
                <w:bCs/>
                <w:color w:val="000000" w:themeColor="text1"/>
              </w:rPr>
              <w:t>Operaciones Simultaneas celebradas en el sistema MEC Transaccional</w:t>
            </w:r>
          </w:p>
        </w:tc>
        <w:tc>
          <w:tcPr>
            <w:tcW w:w="3261" w:type="dxa"/>
            <w:tcBorders>
              <w:top w:val="single" w:sz="4" w:space="0" w:color="auto"/>
              <w:left w:val="single" w:sz="4" w:space="0" w:color="auto"/>
              <w:bottom w:val="single" w:sz="4" w:space="0" w:color="auto"/>
              <w:right w:val="single" w:sz="4" w:space="0" w:color="auto"/>
            </w:tcBorders>
            <w:vAlign w:val="center"/>
          </w:tcPr>
          <w:p w14:paraId="4C0B8B9C" w14:textId="77777777" w:rsidR="007968EC" w:rsidRPr="002C0D19" w:rsidRDefault="007968EC" w:rsidP="007968EC">
            <w:pPr>
              <w:jc w:val="center"/>
              <w:rPr>
                <w:rFonts w:ascii="Arial Narrow" w:eastAsia="Calibri" w:hAnsi="Arial Narrow"/>
                <w:bCs/>
                <w:color w:val="000000" w:themeColor="text1"/>
              </w:rPr>
            </w:pPr>
            <w:r w:rsidRPr="002C0D19">
              <w:rPr>
                <w:rFonts w:ascii="Arial Narrow" w:eastAsia="Calibri" w:hAnsi="Arial Narrow"/>
                <w:bCs/>
                <w:color w:val="000000" w:themeColor="text1"/>
              </w:rPr>
              <w:t>8:00 am a 5:00 p.m.</w:t>
            </w:r>
          </w:p>
        </w:tc>
      </w:tr>
      <w:tr w:rsidR="007968EC" w:rsidRPr="002C0D19" w14:paraId="255C9B62" w14:textId="77777777" w:rsidTr="007968EC">
        <w:trPr>
          <w:trHeight w:val="199"/>
          <w:jc w:val="center"/>
        </w:trPr>
        <w:tc>
          <w:tcPr>
            <w:tcW w:w="2835" w:type="dxa"/>
            <w:tcBorders>
              <w:top w:val="single" w:sz="4" w:space="0" w:color="auto"/>
              <w:left w:val="single" w:sz="4" w:space="0" w:color="auto"/>
              <w:bottom w:val="single" w:sz="4" w:space="0" w:color="auto"/>
              <w:right w:val="single" w:sz="4" w:space="0" w:color="auto"/>
            </w:tcBorders>
            <w:vAlign w:val="center"/>
          </w:tcPr>
          <w:p w14:paraId="46473743" w14:textId="77777777" w:rsidR="007968EC" w:rsidRPr="002C0D19" w:rsidRDefault="007968EC" w:rsidP="007968EC">
            <w:pPr>
              <w:rPr>
                <w:rFonts w:ascii="Arial Narrow" w:eastAsia="Calibri" w:hAnsi="Arial Narrow"/>
                <w:bCs/>
                <w:color w:val="000000" w:themeColor="text1"/>
              </w:rPr>
            </w:pPr>
            <w:r w:rsidRPr="002C0D19">
              <w:rPr>
                <w:rFonts w:ascii="Arial Narrow" w:eastAsia="Calibri" w:hAnsi="Arial Narrow"/>
                <w:bCs/>
                <w:color w:val="000000" w:themeColor="text1"/>
              </w:rPr>
              <w:t>Operaciones Simultaneas registradas en el sistema MEC Registro</w:t>
            </w:r>
          </w:p>
        </w:tc>
        <w:tc>
          <w:tcPr>
            <w:tcW w:w="3261" w:type="dxa"/>
            <w:tcBorders>
              <w:top w:val="single" w:sz="4" w:space="0" w:color="auto"/>
              <w:left w:val="single" w:sz="4" w:space="0" w:color="auto"/>
              <w:bottom w:val="single" w:sz="4" w:space="0" w:color="auto"/>
              <w:right w:val="single" w:sz="4" w:space="0" w:color="auto"/>
            </w:tcBorders>
            <w:vAlign w:val="center"/>
          </w:tcPr>
          <w:p w14:paraId="351FF090" w14:textId="77777777" w:rsidR="007968EC" w:rsidRPr="002C0D19" w:rsidRDefault="007968EC" w:rsidP="007968EC">
            <w:pPr>
              <w:jc w:val="center"/>
              <w:rPr>
                <w:rFonts w:ascii="Arial Narrow" w:eastAsia="Calibri" w:hAnsi="Arial Narrow"/>
                <w:bCs/>
                <w:color w:val="000000" w:themeColor="text1"/>
              </w:rPr>
            </w:pPr>
            <w:r w:rsidRPr="002C0D19">
              <w:rPr>
                <w:rFonts w:ascii="Arial Narrow" w:eastAsia="Calibri" w:hAnsi="Arial Narrow"/>
                <w:bCs/>
                <w:color w:val="000000" w:themeColor="text1"/>
              </w:rPr>
              <w:t>8:00 am a 5:45 p.m.</w:t>
            </w:r>
          </w:p>
        </w:tc>
      </w:tr>
    </w:tbl>
    <w:p w14:paraId="6CC1B49F" w14:textId="77777777" w:rsidR="007968EC" w:rsidRPr="002C0D19" w:rsidRDefault="007968EC" w:rsidP="007968EC">
      <w:pPr>
        <w:autoSpaceDE w:val="0"/>
        <w:autoSpaceDN w:val="0"/>
        <w:adjustRightInd w:val="0"/>
        <w:contextualSpacing/>
        <w:jc w:val="both"/>
        <w:rPr>
          <w:rFonts w:ascii="Arial Narrow" w:eastAsia="Calibri" w:hAnsi="Arial Narrow"/>
          <w:color w:val="000000" w:themeColor="text1"/>
        </w:rPr>
      </w:pPr>
    </w:p>
    <w:p w14:paraId="5E3B368A" w14:textId="77777777" w:rsidR="007968EC" w:rsidRPr="002C0D19" w:rsidRDefault="007968EC" w:rsidP="00DA7472">
      <w:pPr>
        <w:numPr>
          <w:ilvl w:val="0"/>
          <w:numId w:val="229"/>
        </w:numPr>
        <w:tabs>
          <w:tab w:val="num" w:pos="5040"/>
        </w:tabs>
        <w:ind w:left="426" w:hanging="426"/>
        <w:jc w:val="both"/>
        <w:rPr>
          <w:rFonts w:ascii="Arial Narrow" w:eastAsia="Calibri" w:hAnsi="Arial Narrow"/>
          <w:bCs/>
          <w:color w:val="000000" w:themeColor="text1"/>
        </w:rPr>
      </w:pPr>
      <w:r w:rsidRPr="002C0D19">
        <w:rPr>
          <w:rFonts w:ascii="Arial Narrow" w:eastAsia="Calibri" w:hAnsi="Arial Narrow"/>
          <w:bCs/>
          <w:color w:val="000000" w:themeColor="text1"/>
          <w:u w:val="single"/>
        </w:rPr>
        <w:t>Sesión de Gestión de Operaciones:</w:t>
      </w:r>
      <w:r w:rsidRPr="002C0D19">
        <w:rPr>
          <w:rFonts w:ascii="Arial Narrow" w:eastAsia="Calibri" w:hAnsi="Arial Narrow"/>
          <w:bCs/>
          <w:color w:val="000000" w:themeColor="text1"/>
        </w:rPr>
        <w:t xml:space="preserve"> de 8:00 a.m. a 5:45 p.m. Sesión durante la cual se pueden realizar las operaciones de gestión ante la Cámara. </w:t>
      </w:r>
    </w:p>
    <w:p w14:paraId="20A832DD" w14:textId="77777777" w:rsidR="007968EC" w:rsidRPr="002C0D19" w:rsidRDefault="007968EC" w:rsidP="007968EC">
      <w:pPr>
        <w:tabs>
          <w:tab w:val="num" w:pos="5040"/>
        </w:tabs>
        <w:ind w:left="426"/>
        <w:jc w:val="both"/>
        <w:rPr>
          <w:rFonts w:ascii="Arial Narrow" w:eastAsia="Calibri" w:hAnsi="Arial Narrow"/>
          <w:bCs/>
          <w:color w:val="000000" w:themeColor="text1"/>
        </w:rPr>
      </w:pPr>
    </w:p>
    <w:p w14:paraId="6FB3FCE2" w14:textId="77777777" w:rsidR="007968EC" w:rsidRPr="002C0D19" w:rsidRDefault="007968EC" w:rsidP="00DA7472">
      <w:pPr>
        <w:numPr>
          <w:ilvl w:val="0"/>
          <w:numId w:val="229"/>
        </w:numPr>
        <w:tabs>
          <w:tab w:val="num" w:pos="5040"/>
        </w:tabs>
        <w:ind w:left="426" w:hanging="426"/>
        <w:jc w:val="both"/>
        <w:rPr>
          <w:rFonts w:ascii="Arial Narrow" w:eastAsia="Calibri" w:hAnsi="Arial Narrow"/>
          <w:bCs/>
          <w:color w:val="000000" w:themeColor="text1"/>
        </w:rPr>
      </w:pPr>
      <w:r w:rsidRPr="002C0D19">
        <w:rPr>
          <w:rFonts w:ascii="Arial Narrow" w:eastAsia="Calibri" w:hAnsi="Arial Narrow"/>
          <w:bCs/>
          <w:color w:val="000000" w:themeColor="text1"/>
          <w:u w:val="single"/>
        </w:rPr>
        <w:t>Sesión de Gestión de Garantías:</w:t>
      </w:r>
      <w:r w:rsidRPr="002C0D19">
        <w:rPr>
          <w:rFonts w:ascii="Arial Narrow" w:eastAsia="Calibri" w:hAnsi="Arial Narrow"/>
          <w:bCs/>
          <w:color w:val="000000" w:themeColor="text1"/>
        </w:rPr>
        <w:t xml:space="preserve"> Sin perjuicio de lo descrito en el numeral 4 del Artículo 1.8.1.1. de la presente, En el caso de la constitución de la Garantía por Posición (Previa) exigida para la aceptación de Operaciones Simultáneas, los Miembros podrán constituir la Garantía desde las 7:00 a.m. hasta las 7:40 a.m. del día en el que se celebrarán las operaciones en el Sistema de Negociación y/o Registro o Mecanismo de Contratación, de acuerdo con lo dispuesto por el Artículo 3.5.2.1. de la presente Circular.</w:t>
      </w:r>
    </w:p>
    <w:p w14:paraId="66F95792" w14:textId="77777777" w:rsidR="007968EC" w:rsidRPr="002C0D19" w:rsidRDefault="007968EC" w:rsidP="007968EC">
      <w:pPr>
        <w:autoSpaceDE w:val="0"/>
        <w:autoSpaceDN w:val="0"/>
        <w:adjustRightInd w:val="0"/>
        <w:jc w:val="both"/>
        <w:rPr>
          <w:rFonts w:ascii="Arial Narrow" w:hAnsi="Arial Narrow" w:cs="Arial"/>
          <w:bCs/>
          <w:color w:val="000000" w:themeColor="text1"/>
          <w:lang w:val="es-ES" w:eastAsia="es-ES"/>
        </w:rPr>
      </w:pPr>
    </w:p>
    <w:p w14:paraId="06A1646B" w14:textId="77777777" w:rsidR="007968EC" w:rsidRPr="002C0D19" w:rsidRDefault="007968EC" w:rsidP="007968EC">
      <w:pPr>
        <w:autoSpaceDE w:val="0"/>
        <w:autoSpaceDN w:val="0"/>
        <w:adjustRightInd w:val="0"/>
        <w:contextualSpacing/>
        <w:jc w:val="both"/>
        <w:rPr>
          <w:rFonts w:ascii="Arial Narrow" w:eastAsia="Calibri" w:hAnsi="Arial Narrow"/>
          <w:color w:val="000000" w:themeColor="text1"/>
        </w:rPr>
      </w:pPr>
      <w:r w:rsidRPr="002C0D19">
        <w:rPr>
          <w:rFonts w:ascii="Arial Narrow" w:eastAsia="Calibri" w:hAnsi="Arial Narrow"/>
          <w:color w:val="000000" w:themeColor="text1"/>
        </w:rPr>
        <w:t>En la fecha de vencimiento de las Operaciones Simultáneas, se realizarán los procesos necesarios para llevar a cabo la Liquidación al Vencimiento, de acuerdo con los siguientes horarios:</w:t>
      </w:r>
    </w:p>
    <w:p w14:paraId="78961151" w14:textId="77777777" w:rsidR="007968EC" w:rsidRPr="002C0D19" w:rsidRDefault="007968EC" w:rsidP="007968EC">
      <w:pPr>
        <w:autoSpaceDE w:val="0"/>
        <w:autoSpaceDN w:val="0"/>
        <w:adjustRightInd w:val="0"/>
        <w:contextualSpacing/>
        <w:jc w:val="both"/>
        <w:rPr>
          <w:rFonts w:ascii="Arial Narrow" w:eastAsia="Calibri" w:hAnsi="Arial Narrow"/>
          <w:color w:val="000000" w:themeColor="text1"/>
          <w:u w:val="single"/>
        </w:rPr>
      </w:pPr>
    </w:p>
    <w:p w14:paraId="30235653" w14:textId="77777777" w:rsidR="007968EC" w:rsidRPr="002C0D19" w:rsidRDefault="007968EC" w:rsidP="00DA7472">
      <w:pPr>
        <w:numPr>
          <w:ilvl w:val="0"/>
          <w:numId w:val="229"/>
        </w:numPr>
        <w:tabs>
          <w:tab w:val="num" w:pos="5040"/>
        </w:tabs>
        <w:ind w:left="426" w:hanging="426"/>
        <w:jc w:val="both"/>
        <w:rPr>
          <w:rFonts w:ascii="Arial Narrow" w:eastAsia="Calibri" w:hAnsi="Arial Narrow"/>
          <w:color w:val="000000" w:themeColor="text1"/>
        </w:rPr>
      </w:pPr>
      <w:r w:rsidRPr="002C0D19">
        <w:rPr>
          <w:rFonts w:ascii="Arial Narrow" w:eastAsia="Calibri" w:hAnsi="Arial Narrow"/>
          <w:color w:val="000000" w:themeColor="text1"/>
          <w:u w:val="single"/>
        </w:rPr>
        <w:t>Sesión de Liquidación al Vencimiento de las Operaciones Simultáneas</w:t>
      </w:r>
      <w:r w:rsidRPr="002C0D19">
        <w:rPr>
          <w:rFonts w:ascii="Arial Narrow" w:eastAsia="Calibri" w:hAnsi="Arial Narrow"/>
          <w:color w:val="000000" w:themeColor="text1"/>
        </w:rPr>
        <w:t>: De 7:00 a.m. a 8:00 p.m. Este horario podrá ser extendido de conformidad con lo dispuesto en los reglamentos de los respectivos depósitos centralizados de valores. La Liquidación al Vencimiento de las Operaciones Simultáneas comprende las siguientes etapas, con sus correspondientes horarios así:</w:t>
      </w:r>
    </w:p>
    <w:p w14:paraId="56B37868" w14:textId="77777777" w:rsidR="007968EC" w:rsidRPr="002C0D19" w:rsidRDefault="007968EC" w:rsidP="007968EC">
      <w:pPr>
        <w:ind w:left="426"/>
        <w:jc w:val="both"/>
        <w:rPr>
          <w:rFonts w:ascii="Arial Narrow" w:eastAsia="Calibri" w:hAnsi="Arial Narrow"/>
          <w:color w:val="000000" w:themeColor="text1"/>
        </w:rPr>
      </w:pPr>
      <w:r w:rsidRPr="002C0D19">
        <w:rPr>
          <w:rFonts w:ascii="Arial Narrow" w:eastAsia="Calibri" w:hAnsi="Arial Narrow"/>
          <w:color w:val="000000" w:themeColor="text1"/>
        </w:rPr>
        <w:t xml:space="preserve">Etapa 1: Solicitud de transferencia de valores y efectivo en bruto a nivel de titular de cada Cuenta desde los Miembros a la Cámara y entrega de valores y efectivo hacia los Miembros y titulares de Cuenta con derecho a recibir desde la Cámara; se gestionará desde las 7:00 a.m. a 8:00 p.m. del día de Vencimiento de la Operación. </w:t>
      </w:r>
    </w:p>
    <w:p w14:paraId="3E1F07D8" w14:textId="77777777" w:rsidR="007968EC" w:rsidRPr="002C0D19" w:rsidRDefault="007968EC" w:rsidP="007968EC">
      <w:pPr>
        <w:ind w:left="426"/>
        <w:jc w:val="both"/>
        <w:rPr>
          <w:rFonts w:ascii="Arial Narrow" w:eastAsia="Calibri" w:hAnsi="Arial Narrow"/>
          <w:color w:val="000000" w:themeColor="text1"/>
        </w:rPr>
      </w:pPr>
    </w:p>
    <w:p w14:paraId="477CD00C" w14:textId="77777777" w:rsidR="007968EC" w:rsidRPr="002C0D19" w:rsidRDefault="007968EC" w:rsidP="007968EC">
      <w:pPr>
        <w:ind w:left="426"/>
        <w:jc w:val="both"/>
        <w:rPr>
          <w:rFonts w:ascii="Arial Narrow" w:eastAsia="Calibri" w:hAnsi="Arial Narrow"/>
          <w:color w:val="000000" w:themeColor="text1"/>
        </w:rPr>
      </w:pPr>
      <w:r w:rsidRPr="002C0D19">
        <w:rPr>
          <w:rFonts w:ascii="Arial Narrow" w:eastAsia="Calibri" w:hAnsi="Arial Narrow"/>
          <w:color w:val="000000" w:themeColor="text1"/>
        </w:rPr>
        <w:t>Etapa 2: Gestión del proceso operativo de retardo en la obligación de entrega total de los valores y efectivo de los Miembros obligados a entregar hacia la Cámara, de acuerdo al proceso mencionado en la Etapa 1, sin perjuicio de lo establecido en el numeral 4 del artículo 3.8.1.1.</w:t>
      </w:r>
    </w:p>
    <w:p w14:paraId="1A462963" w14:textId="77777777" w:rsidR="007968EC" w:rsidRPr="002C0D19" w:rsidRDefault="007968EC" w:rsidP="007968EC">
      <w:pPr>
        <w:ind w:left="426"/>
        <w:jc w:val="both"/>
        <w:rPr>
          <w:rFonts w:ascii="Arial Narrow" w:eastAsia="Calibri" w:hAnsi="Arial Narrow"/>
          <w:color w:val="000000" w:themeColor="text1"/>
        </w:rPr>
      </w:pPr>
    </w:p>
    <w:p w14:paraId="10AE8A51" w14:textId="77777777" w:rsidR="007968EC" w:rsidRPr="002C0D19" w:rsidRDefault="007968EC" w:rsidP="007968EC">
      <w:pPr>
        <w:ind w:left="426"/>
        <w:jc w:val="both"/>
        <w:rPr>
          <w:rFonts w:ascii="Arial Narrow" w:eastAsia="Calibri" w:hAnsi="Arial Narrow"/>
          <w:color w:val="000000" w:themeColor="text1"/>
        </w:rPr>
      </w:pPr>
      <w:r w:rsidRPr="002C0D19">
        <w:rPr>
          <w:rFonts w:ascii="Arial Narrow" w:eastAsia="Calibri" w:hAnsi="Arial Narrow"/>
          <w:color w:val="000000" w:themeColor="text1"/>
        </w:rPr>
        <w:t xml:space="preserve">Si a la fecha de Liquidación al Vencimiento de la entrega de los valores y el efectivo, los Miembros no han entregado los mismos, se iniciará la gestión del proceso operativo de retardo a partir del día hábil siguiente al día del vencimiento de la Operación Simultánea, desde las 8:00 a.m., hasta las 5:00 p.m. </w:t>
      </w:r>
    </w:p>
    <w:p w14:paraId="12FD069E" w14:textId="77777777" w:rsidR="007968EC" w:rsidRPr="002C0D19" w:rsidRDefault="007968EC" w:rsidP="007968EC">
      <w:pPr>
        <w:jc w:val="both"/>
        <w:rPr>
          <w:rFonts w:ascii="Arial Narrow" w:eastAsia="Calibri" w:hAnsi="Arial Narrow"/>
          <w:color w:val="000000" w:themeColor="text1"/>
          <w:lang w:eastAsia="es-ES"/>
        </w:rPr>
      </w:pPr>
    </w:p>
    <w:p w14:paraId="0FF38FED" w14:textId="77777777" w:rsidR="007968EC" w:rsidRDefault="007968EC" w:rsidP="007968EC">
      <w:pPr>
        <w:keepNext/>
        <w:jc w:val="center"/>
        <w:outlineLvl w:val="0"/>
        <w:rPr>
          <w:rFonts w:ascii="Arial Narrow" w:eastAsia="Calibri" w:hAnsi="Arial Narrow" w:cs="Arial"/>
          <w:b/>
          <w:kern w:val="32"/>
          <w:szCs w:val="20"/>
          <w:lang w:val="es-ES"/>
        </w:rPr>
      </w:pPr>
      <w:bookmarkStart w:id="5999" w:name="_Toc470781230"/>
      <w:bookmarkStart w:id="6000" w:name="_Toc470784814"/>
      <w:bookmarkStart w:id="6001" w:name="_Toc470785351"/>
      <w:bookmarkStart w:id="6002" w:name="_Toc470791745"/>
      <w:bookmarkStart w:id="6003" w:name="_Toc472592468"/>
      <w:bookmarkStart w:id="6004" w:name="_Toc472593487"/>
      <w:bookmarkStart w:id="6005" w:name="_Toc479057297"/>
      <w:bookmarkStart w:id="6006" w:name="_Toc490066663"/>
    </w:p>
    <w:p w14:paraId="0DE5373D" w14:textId="77777777" w:rsidR="007968EC" w:rsidRDefault="007968EC" w:rsidP="007968EC">
      <w:pPr>
        <w:pStyle w:val="TTULO"/>
        <w:rPr>
          <w:rFonts w:eastAsia="Calibri"/>
          <w:lang w:val="es-ES"/>
        </w:rPr>
      </w:pPr>
      <w:bookmarkStart w:id="6007" w:name="_Toc31716325"/>
      <w:r w:rsidRPr="002C0D19">
        <w:rPr>
          <w:rFonts w:eastAsia="Calibri"/>
          <w:lang w:val="es-ES"/>
        </w:rPr>
        <w:t>TÍTULO OCTAVO</w:t>
      </w:r>
      <w:bookmarkEnd w:id="5999"/>
      <w:bookmarkEnd w:id="6000"/>
      <w:bookmarkEnd w:id="6001"/>
      <w:bookmarkEnd w:id="6002"/>
      <w:bookmarkEnd w:id="6003"/>
      <w:bookmarkEnd w:id="6004"/>
      <w:bookmarkEnd w:id="6005"/>
      <w:bookmarkEnd w:id="6006"/>
      <w:bookmarkEnd w:id="6007"/>
    </w:p>
    <w:p w14:paraId="2D84E538" w14:textId="77777777" w:rsidR="007968EC" w:rsidRPr="002C0D19" w:rsidRDefault="007968EC" w:rsidP="007968EC">
      <w:pPr>
        <w:pStyle w:val="TTULO"/>
        <w:rPr>
          <w:rFonts w:eastAsia="Calibri"/>
          <w:lang w:val="es-ES"/>
        </w:rPr>
      </w:pPr>
    </w:p>
    <w:p w14:paraId="5E5A68D0" w14:textId="77777777" w:rsidR="007968EC" w:rsidRPr="002C0D19" w:rsidRDefault="007968EC" w:rsidP="007968EC">
      <w:pPr>
        <w:pStyle w:val="TTULO"/>
        <w:rPr>
          <w:rFonts w:eastAsia="Calibri"/>
          <w:lang w:val="es-ES"/>
        </w:rPr>
      </w:pPr>
      <w:bookmarkStart w:id="6008" w:name="_Toc470781231"/>
      <w:bookmarkStart w:id="6009" w:name="_Toc470784815"/>
      <w:bookmarkStart w:id="6010" w:name="_Toc470785352"/>
      <w:bookmarkStart w:id="6011" w:name="_Toc470791746"/>
      <w:bookmarkStart w:id="6012" w:name="_Toc472592469"/>
      <w:bookmarkStart w:id="6013" w:name="_Toc472593488"/>
      <w:bookmarkStart w:id="6014" w:name="_Toc479057298"/>
      <w:bookmarkStart w:id="6015" w:name="_Toc490066664"/>
      <w:bookmarkStart w:id="6016" w:name="_Toc31716326"/>
      <w:r w:rsidRPr="002C0D19">
        <w:rPr>
          <w:rFonts w:eastAsia="Calibri"/>
          <w:lang w:val="es-ES"/>
        </w:rPr>
        <w:t>ACTIVOS</w:t>
      </w:r>
      <w:bookmarkEnd w:id="6008"/>
      <w:bookmarkEnd w:id="6009"/>
      <w:bookmarkEnd w:id="6010"/>
      <w:bookmarkEnd w:id="6011"/>
      <w:bookmarkEnd w:id="6012"/>
      <w:bookmarkEnd w:id="6013"/>
      <w:bookmarkEnd w:id="6014"/>
      <w:bookmarkEnd w:id="6015"/>
      <w:bookmarkEnd w:id="6016"/>
    </w:p>
    <w:p w14:paraId="4D73DABD" w14:textId="77777777" w:rsidR="007968EC" w:rsidRPr="002C0D19" w:rsidRDefault="007968EC" w:rsidP="007968EC">
      <w:pPr>
        <w:pStyle w:val="TTULO"/>
        <w:rPr>
          <w:rFonts w:eastAsia="Calibri"/>
          <w:lang w:val="es-ES"/>
        </w:rPr>
      </w:pPr>
    </w:p>
    <w:p w14:paraId="709B6311" w14:textId="77777777" w:rsidR="007968EC" w:rsidRPr="002C0D19" w:rsidRDefault="007968EC" w:rsidP="007968EC">
      <w:pPr>
        <w:pStyle w:val="TTULO"/>
        <w:rPr>
          <w:rFonts w:eastAsia="Calibri"/>
          <w:lang w:val="es-ES"/>
        </w:rPr>
      </w:pPr>
      <w:bookmarkStart w:id="6017" w:name="_Toc470781232"/>
      <w:bookmarkStart w:id="6018" w:name="_Toc470784816"/>
      <w:bookmarkStart w:id="6019" w:name="_Toc470785353"/>
      <w:bookmarkStart w:id="6020" w:name="_Toc470791747"/>
      <w:bookmarkStart w:id="6021" w:name="_Toc472592470"/>
      <w:bookmarkStart w:id="6022" w:name="_Toc472593489"/>
      <w:bookmarkStart w:id="6023" w:name="_Toc479057299"/>
      <w:bookmarkStart w:id="6024" w:name="_Toc490066665"/>
      <w:bookmarkStart w:id="6025" w:name="_Toc31716327"/>
      <w:r w:rsidRPr="002C0D19">
        <w:rPr>
          <w:rFonts w:eastAsia="Calibri"/>
          <w:lang w:val="es-ES"/>
        </w:rPr>
        <w:t>CAPÍTULO PRIMERO</w:t>
      </w:r>
      <w:bookmarkEnd w:id="6017"/>
      <w:bookmarkEnd w:id="6018"/>
      <w:bookmarkEnd w:id="6019"/>
      <w:bookmarkEnd w:id="6020"/>
      <w:bookmarkEnd w:id="6021"/>
      <w:bookmarkEnd w:id="6022"/>
      <w:bookmarkEnd w:id="6023"/>
      <w:bookmarkEnd w:id="6024"/>
      <w:bookmarkEnd w:id="6025"/>
    </w:p>
    <w:p w14:paraId="14347E49" w14:textId="77777777" w:rsidR="007968EC" w:rsidRPr="002C0D19" w:rsidRDefault="007968EC" w:rsidP="007968EC">
      <w:pPr>
        <w:pStyle w:val="TTULO"/>
        <w:rPr>
          <w:rFonts w:eastAsia="Calibri"/>
          <w:lang w:val="es-ES"/>
        </w:rPr>
      </w:pPr>
    </w:p>
    <w:p w14:paraId="3CDD7AC8" w14:textId="77777777" w:rsidR="007968EC" w:rsidRPr="002C0D19" w:rsidRDefault="007968EC" w:rsidP="007968EC">
      <w:pPr>
        <w:pStyle w:val="TTULO"/>
        <w:rPr>
          <w:rFonts w:eastAsia="Calibri"/>
          <w:lang w:val="es-ES"/>
        </w:rPr>
      </w:pPr>
      <w:bookmarkStart w:id="6026" w:name="_Toc470781233"/>
      <w:bookmarkStart w:id="6027" w:name="_Toc470784817"/>
      <w:bookmarkStart w:id="6028" w:name="_Toc470785354"/>
      <w:bookmarkStart w:id="6029" w:name="_Toc470791748"/>
      <w:bookmarkStart w:id="6030" w:name="_Toc472592471"/>
      <w:bookmarkStart w:id="6031" w:name="_Toc472593490"/>
      <w:bookmarkStart w:id="6032" w:name="_Toc479057300"/>
      <w:bookmarkStart w:id="6033" w:name="_Toc490066666"/>
      <w:bookmarkStart w:id="6034" w:name="_Toc31716328"/>
      <w:r w:rsidRPr="002C0D19">
        <w:rPr>
          <w:rFonts w:eastAsia="Calibri"/>
          <w:lang w:val="es-ES"/>
        </w:rPr>
        <w:t>ESPECIFICACIÓN DE LOS ACTIVOS</w:t>
      </w:r>
      <w:bookmarkEnd w:id="6026"/>
      <w:bookmarkEnd w:id="6027"/>
      <w:bookmarkEnd w:id="6028"/>
      <w:bookmarkEnd w:id="6029"/>
      <w:bookmarkEnd w:id="6030"/>
      <w:bookmarkEnd w:id="6031"/>
      <w:bookmarkEnd w:id="6032"/>
      <w:bookmarkEnd w:id="6033"/>
      <w:bookmarkEnd w:id="6034"/>
    </w:p>
    <w:p w14:paraId="17BC1058" w14:textId="77777777" w:rsidR="007968EC" w:rsidRPr="002C0D19" w:rsidRDefault="007968EC" w:rsidP="007968EC">
      <w:pPr>
        <w:pStyle w:val="TTULO"/>
        <w:rPr>
          <w:rFonts w:eastAsia="Calibri" w:cs="Times New Roman"/>
          <w:color w:val="000000" w:themeColor="text1"/>
        </w:rPr>
      </w:pPr>
    </w:p>
    <w:p w14:paraId="24CBB099" w14:textId="77777777" w:rsidR="007968EC" w:rsidRDefault="007968EC" w:rsidP="007968EC">
      <w:pPr>
        <w:pStyle w:val="ARTICULO0"/>
      </w:pPr>
      <w:bookmarkStart w:id="6035" w:name="_Toc470781234"/>
      <w:bookmarkStart w:id="6036" w:name="_Toc470784818"/>
      <w:bookmarkStart w:id="6037" w:name="_Toc470785355"/>
      <w:bookmarkStart w:id="6038" w:name="_Toc470791749"/>
      <w:bookmarkStart w:id="6039" w:name="_Toc479057301"/>
      <w:bookmarkStart w:id="6040" w:name="_Toc31716329"/>
      <w:bookmarkStart w:id="6041" w:name="_Toc490066667"/>
      <w:r>
        <w:t xml:space="preserve">Artículo 3.8.1.1. </w:t>
      </w:r>
      <w:r w:rsidRPr="002C0D19">
        <w:t>Operaciones Simultáneas sobre Títulos de Deuda Pública TES.</w:t>
      </w:r>
      <w:bookmarkEnd w:id="6035"/>
      <w:bookmarkEnd w:id="6036"/>
      <w:bookmarkEnd w:id="6037"/>
      <w:bookmarkEnd w:id="6038"/>
      <w:bookmarkEnd w:id="6039"/>
      <w:bookmarkEnd w:id="6040"/>
      <w:r w:rsidRPr="002C0D19">
        <w:t xml:space="preserve"> </w:t>
      </w:r>
    </w:p>
    <w:p w14:paraId="3542B300" w14:textId="77777777" w:rsidR="007968EC" w:rsidRDefault="007968EC" w:rsidP="007968EC">
      <w:pPr>
        <w:keepNext/>
        <w:tabs>
          <w:tab w:val="left" w:pos="1701"/>
        </w:tabs>
        <w:jc w:val="both"/>
        <w:outlineLvl w:val="2"/>
        <w:rPr>
          <w:rFonts w:ascii="Arial Narrow" w:hAnsi="Arial Narrow" w:cs="Arial"/>
          <w:b/>
          <w:lang w:eastAsia="es-ES"/>
        </w:rPr>
      </w:pPr>
    </w:p>
    <w:p w14:paraId="5AD9E389" w14:textId="77777777" w:rsidR="007968EC" w:rsidRPr="002C0D19" w:rsidRDefault="007968EC" w:rsidP="007968EC">
      <w:pPr>
        <w:pStyle w:val="ANTECEDENTES"/>
      </w:pPr>
      <w:r w:rsidRPr="002C0D19">
        <w:t>(Este artículo fue modificado mediante Circular 14 del 8 de agosto de 2017, publicada en el Boletín Normativo No. 015 del 8 de agosto de 2017</w:t>
      </w:r>
      <w:r w:rsidRPr="00B5307C">
        <w:t xml:space="preserve"> </w:t>
      </w:r>
      <w:r>
        <w:t>y mediante Circular 18 del 15 de septiembre de 2017, publicada en el Boletín Normativo No. 019 del 15 de septiembre de 2017</w:t>
      </w:r>
      <w:r w:rsidRPr="002C0D19">
        <w:t>. Rige a partir del 1</w:t>
      </w:r>
      <w:r>
        <w:t>8</w:t>
      </w:r>
      <w:r w:rsidRPr="002C0D19">
        <w:t xml:space="preserve"> de </w:t>
      </w:r>
      <w:r>
        <w:t>septiembre</w:t>
      </w:r>
      <w:r w:rsidRPr="002C0D19">
        <w:t xml:space="preserve"> de 2017.)</w:t>
      </w:r>
      <w:bookmarkEnd w:id="6041"/>
    </w:p>
    <w:p w14:paraId="73FAE51E" w14:textId="77777777" w:rsidR="007968EC" w:rsidRPr="002C0D19" w:rsidRDefault="007968EC" w:rsidP="007968EC">
      <w:pPr>
        <w:jc w:val="both"/>
        <w:rPr>
          <w:rFonts w:ascii="Arial Narrow" w:eastAsia="Calibri" w:hAnsi="Arial Narrow"/>
          <w:b/>
          <w:color w:val="000000" w:themeColor="text1"/>
        </w:rPr>
      </w:pPr>
    </w:p>
    <w:p w14:paraId="7B34B4BE" w14:textId="77777777" w:rsidR="007968EC" w:rsidRPr="002C0D19" w:rsidRDefault="007968EC" w:rsidP="007968EC">
      <w:pPr>
        <w:jc w:val="both"/>
        <w:rPr>
          <w:rFonts w:ascii="Arial Narrow" w:eastAsia="Calibri" w:hAnsi="Arial Narrow" w:cs="Arial"/>
          <w:lang w:eastAsia="es-ES"/>
        </w:rPr>
      </w:pPr>
      <w:r w:rsidRPr="002C0D19">
        <w:rPr>
          <w:rFonts w:ascii="Arial Narrow" w:eastAsia="Calibri" w:hAnsi="Arial Narrow" w:cs="Arial"/>
          <w:lang w:eastAsia="es-ES"/>
        </w:rPr>
        <w:t>La Cámara se interpondrá como contraparte y realizará la Compensación y Liquidación de las Operaciones Simultáneas sobre Títulos de Deuda Pública TES que cumplan las siguientes condiciones:</w:t>
      </w:r>
    </w:p>
    <w:p w14:paraId="3006DF2D" w14:textId="77777777" w:rsidR="007968EC" w:rsidRPr="002C0D19" w:rsidRDefault="007968EC" w:rsidP="007968EC">
      <w:pPr>
        <w:jc w:val="both"/>
        <w:rPr>
          <w:rFonts w:ascii="Arial Narrow" w:eastAsia="Calibri" w:hAnsi="Arial Narrow" w:cs="Arial"/>
          <w:lang w:eastAsia="es-ES"/>
        </w:rPr>
      </w:pPr>
    </w:p>
    <w:p w14:paraId="12AC8875" w14:textId="77777777" w:rsidR="007968EC" w:rsidRPr="002C0D19" w:rsidRDefault="007968EC" w:rsidP="00DA7472">
      <w:pPr>
        <w:numPr>
          <w:ilvl w:val="0"/>
          <w:numId w:val="143"/>
        </w:numPr>
        <w:autoSpaceDE w:val="0"/>
        <w:autoSpaceDN w:val="0"/>
        <w:adjustRightInd w:val="0"/>
        <w:contextualSpacing/>
        <w:jc w:val="both"/>
        <w:rPr>
          <w:rFonts w:ascii="Arial Narrow" w:eastAsia="Calibri" w:hAnsi="Arial Narrow" w:cs="Arial"/>
          <w:lang w:eastAsia="es-ES"/>
        </w:rPr>
      </w:pPr>
      <w:r w:rsidRPr="002C0D19">
        <w:rPr>
          <w:rFonts w:ascii="Arial Narrow" w:eastAsia="Calibri" w:hAnsi="Arial Narrow" w:cs="Arial"/>
          <w:lang w:eastAsia="es-ES"/>
        </w:rPr>
        <w:t>Generalidades:</w:t>
      </w:r>
    </w:p>
    <w:p w14:paraId="7FFBB270" w14:textId="77777777" w:rsidR="007968EC" w:rsidRPr="002C0D19" w:rsidRDefault="007968EC" w:rsidP="007968EC">
      <w:pPr>
        <w:jc w:val="both"/>
        <w:rPr>
          <w:rFonts w:ascii="Arial Narrow" w:eastAsia="Calibri" w:hAnsi="Arial Narrow" w:cs="Arial"/>
          <w:lang w:eastAsia="es-ES"/>
        </w:rPr>
      </w:pPr>
    </w:p>
    <w:tbl>
      <w:tblPr>
        <w:tblStyle w:val="Tablaconcuadrcula1113"/>
        <w:tblW w:w="93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3964"/>
        <w:gridCol w:w="5387"/>
      </w:tblGrid>
      <w:tr w:rsidR="007968EC" w:rsidRPr="002C0D19" w14:paraId="569FDE95" w14:textId="77777777" w:rsidTr="007968EC">
        <w:trPr>
          <w:trHeight w:val="384"/>
        </w:trPr>
        <w:tc>
          <w:tcPr>
            <w:tcW w:w="3964" w:type="dxa"/>
            <w:shd w:val="clear" w:color="auto" w:fill="BFBFBF"/>
            <w:vAlign w:val="center"/>
          </w:tcPr>
          <w:p w14:paraId="75F96CE5" w14:textId="77777777" w:rsidR="007968EC" w:rsidRPr="002C0D19" w:rsidRDefault="007968EC" w:rsidP="007968EC">
            <w:pPr>
              <w:jc w:val="both"/>
              <w:rPr>
                <w:rFonts w:ascii="Arial Narrow" w:hAnsi="Arial Narrow" w:cs="Arial"/>
                <w:b/>
              </w:rPr>
            </w:pPr>
            <w:r w:rsidRPr="002C0D19">
              <w:rPr>
                <w:rFonts w:ascii="Arial Narrow" w:hAnsi="Arial Narrow" w:cs="Arial"/>
                <w:b/>
              </w:rPr>
              <w:t>Nombre del Contrato</w:t>
            </w:r>
          </w:p>
        </w:tc>
        <w:tc>
          <w:tcPr>
            <w:tcW w:w="5387" w:type="dxa"/>
            <w:vAlign w:val="center"/>
          </w:tcPr>
          <w:p w14:paraId="7CD370EB" w14:textId="77777777" w:rsidR="007968EC" w:rsidRPr="00666B46" w:rsidRDefault="007968EC" w:rsidP="007968EC">
            <w:pPr>
              <w:rPr>
                <w:rFonts w:ascii="Arial Narrow" w:hAnsi="Arial Narrow" w:cs="Arial"/>
              </w:rPr>
            </w:pPr>
            <w:r w:rsidRPr="00666B46">
              <w:rPr>
                <w:rFonts w:ascii="Arial Narrow" w:hAnsi="Arial Narrow" w:cs="Arial"/>
              </w:rPr>
              <w:t>Operaciones Simultáneas sobre Títulos de Deuda Pública TES – TES Tasa Fija, TES UVR y TCO.</w:t>
            </w:r>
          </w:p>
        </w:tc>
      </w:tr>
      <w:tr w:rsidR="007968EC" w:rsidRPr="002C0D19" w14:paraId="18E16B08" w14:textId="77777777" w:rsidTr="007968EC">
        <w:trPr>
          <w:trHeight w:val="384"/>
        </w:trPr>
        <w:tc>
          <w:tcPr>
            <w:tcW w:w="3964" w:type="dxa"/>
            <w:shd w:val="clear" w:color="auto" w:fill="BFBFBF"/>
            <w:vAlign w:val="center"/>
          </w:tcPr>
          <w:p w14:paraId="4E2AD3AB" w14:textId="77777777" w:rsidR="007968EC" w:rsidRPr="002C0D19" w:rsidRDefault="007968EC" w:rsidP="007968EC">
            <w:pPr>
              <w:jc w:val="both"/>
              <w:rPr>
                <w:rFonts w:ascii="Arial Narrow" w:hAnsi="Arial Narrow" w:cs="Arial"/>
                <w:b/>
              </w:rPr>
            </w:pPr>
            <w:r w:rsidRPr="002C0D19">
              <w:rPr>
                <w:rFonts w:ascii="Arial Narrow" w:hAnsi="Arial Narrow" w:cs="Arial"/>
                <w:b/>
              </w:rPr>
              <w:t>Plazo Remanente</w:t>
            </w:r>
          </w:p>
        </w:tc>
        <w:tc>
          <w:tcPr>
            <w:tcW w:w="5387" w:type="dxa"/>
            <w:vAlign w:val="center"/>
          </w:tcPr>
          <w:p w14:paraId="5C072348" w14:textId="77777777" w:rsidR="007968EC" w:rsidRPr="00666B46" w:rsidRDefault="007968EC" w:rsidP="007968EC">
            <w:pPr>
              <w:rPr>
                <w:rFonts w:ascii="Arial Narrow" w:hAnsi="Arial Narrow" w:cs="Arial"/>
              </w:rPr>
            </w:pPr>
            <w:r w:rsidRPr="00666B46">
              <w:rPr>
                <w:rFonts w:ascii="Arial Narrow" w:hAnsi="Arial Narrow" w:cs="Arial"/>
              </w:rPr>
              <w:t xml:space="preserve">Máximo de 365 días </w:t>
            </w:r>
          </w:p>
        </w:tc>
      </w:tr>
      <w:tr w:rsidR="007968EC" w:rsidRPr="002C0D19" w14:paraId="17A345FA" w14:textId="77777777" w:rsidTr="007968EC">
        <w:trPr>
          <w:trHeight w:val="384"/>
        </w:trPr>
        <w:tc>
          <w:tcPr>
            <w:tcW w:w="3964" w:type="dxa"/>
            <w:shd w:val="clear" w:color="auto" w:fill="BFBFBF"/>
            <w:vAlign w:val="center"/>
          </w:tcPr>
          <w:p w14:paraId="1AD3DEA3" w14:textId="77777777" w:rsidR="007968EC" w:rsidRPr="002C0D19" w:rsidRDefault="007968EC" w:rsidP="007968EC">
            <w:pPr>
              <w:rPr>
                <w:rFonts w:ascii="Arial Narrow" w:hAnsi="Arial Narrow" w:cs="Arial"/>
                <w:b/>
              </w:rPr>
            </w:pPr>
            <w:r w:rsidRPr="002C0D19">
              <w:rPr>
                <w:rFonts w:ascii="Arial Narrow" w:hAnsi="Arial Narrow" w:cs="Arial"/>
                <w:b/>
              </w:rPr>
              <w:t>Tamaño del Contrato</w:t>
            </w:r>
          </w:p>
        </w:tc>
        <w:tc>
          <w:tcPr>
            <w:tcW w:w="5387" w:type="dxa"/>
            <w:vAlign w:val="center"/>
          </w:tcPr>
          <w:p w14:paraId="4D10C6B1" w14:textId="77777777" w:rsidR="007968EC" w:rsidRPr="00666B46" w:rsidRDefault="007968EC" w:rsidP="007968EC">
            <w:pPr>
              <w:rPr>
                <w:rFonts w:ascii="Arial Narrow" w:hAnsi="Arial Narrow" w:cs="Arial"/>
              </w:rPr>
            </w:pPr>
            <w:r w:rsidRPr="00666B46">
              <w:rPr>
                <w:rFonts w:ascii="Arial Narrow" w:hAnsi="Arial Narrow" w:cs="Arial"/>
              </w:rPr>
              <w:t>TES en pesos = 100.000 COP TES en UVR = 1.000 UVR</w:t>
            </w:r>
          </w:p>
        </w:tc>
      </w:tr>
      <w:tr w:rsidR="007968EC" w:rsidRPr="002C0D19" w14:paraId="1197BC34" w14:textId="77777777" w:rsidTr="007968EC">
        <w:trPr>
          <w:trHeight w:val="384"/>
        </w:trPr>
        <w:tc>
          <w:tcPr>
            <w:tcW w:w="3964" w:type="dxa"/>
            <w:shd w:val="clear" w:color="auto" w:fill="BFBFBF"/>
            <w:vAlign w:val="center"/>
          </w:tcPr>
          <w:p w14:paraId="6DC03AD8" w14:textId="77777777" w:rsidR="007968EC" w:rsidRPr="002C0D19" w:rsidRDefault="007968EC" w:rsidP="007968EC">
            <w:pPr>
              <w:rPr>
                <w:rFonts w:ascii="Arial Narrow" w:hAnsi="Arial Narrow" w:cs="Arial"/>
                <w:b/>
              </w:rPr>
            </w:pPr>
            <w:r w:rsidRPr="002C0D19">
              <w:rPr>
                <w:rFonts w:ascii="Arial Narrow" w:hAnsi="Arial Narrow" w:cs="Arial"/>
                <w:b/>
              </w:rPr>
              <w:t>Fecha de Vencimiento</w:t>
            </w:r>
          </w:p>
        </w:tc>
        <w:tc>
          <w:tcPr>
            <w:tcW w:w="5387" w:type="dxa"/>
            <w:vAlign w:val="center"/>
          </w:tcPr>
          <w:p w14:paraId="029E6510" w14:textId="77777777" w:rsidR="007968EC" w:rsidRPr="00666B46" w:rsidRDefault="007968EC" w:rsidP="007968EC">
            <w:pPr>
              <w:rPr>
                <w:rFonts w:ascii="Arial Narrow" w:hAnsi="Arial Narrow" w:cs="Arial"/>
              </w:rPr>
            </w:pPr>
            <w:r w:rsidRPr="00666B46">
              <w:rPr>
                <w:rFonts w:ascii="Arial Narrow" w:hAnsi="Arial Narrow" w:cs="Arial"/>
              </w:rPr>
              <w:t>Fecha pactada por las partes que celebraron la Operación. Dicha fecha debe corresponder a un día hábil de operación de la Cámara en Colombia.</w:t>
            </w:r>
          </w:p>
        </w:tc>
      </w:tr>
      <w:tr w:rsidR="007968EC" w:rsidRPr="002C0D19" w14:paraId="0E93913A" w14:textId="77777777" w:rsidTr="007968EC">
        <w:trPr>
          <w:trHeight w:val="384"/>
        </w:trPr>
        <w:tc>
          <w:tcPr>
            <w:tcW w:w="3964" w:type="dxa"/>
            <w:shd w:val="clear" w:color="auto" w:fill="BFBFBF"/>
            <w:vAlign w:val="center"/>
          </w:tcPr>
          <w:p w14:paraId="051BE2E0" w14:textId="77777777" w:rsidR="007968EC" w:rsidRPr="002C0D19" w:rsidRDefault="007968EC" w:rsidP="007968EC">
            <w:pPr>
              <w:rPr>
                <w:rFonts w:ascii="Arial Narrow" w:hAnsi="Arial Narrow" w:cs="Arial"/>
                <w:b/>
              </w:rPr>
            </w:pPr>
            <w:r w:rsidRPr="002C0D19">
              <w:rPr>
                <w:rFonts w:ascii="Arial Narrow" w:hAnsi="Arial Narrow" w:cs="Arial"/>
                <w:b/>
              </w:rPr>
              <w:t>Fecha de la Liquidación al Vencimiento</w:t>
            </w:r>
          </w:p>
        </w:tc>
        <w:tc>
          <w:tcPr>
            <w:tcW w:w="5387" w:type="dxa"/>
            <w:vAlign w:val="center"/>
          </w:tcPr>
          <w:p w14:paraId="19DB5689" w14:textId="77777777" w:rsidR="007968EC" w:rsidRPr="00666B46" w:rsidRDefault="007968EC" w:rsidP="007968EC">
            <w:pPr>
              <w:rPr>
                <w:rFonts w:ascii="Arial Narrow" w:hAnsi="Arial Narrow" w:cs="Arial"/>
              </w:rPr>
            </w:pPr>
            <w:r w:rsidRPr="00666B46">
              <w:rPr>
                <w:rFonts w:ascii="Arial Narrow" w:hAnsi="Arial Narrow" w:cs="Arial"/>
              </w:rPr>
              <w:t>Será el mismo de la Fecha de Vencimiento.</w:t>
            </w:r>
          </w:p>
        </w:tc>
      </w:tr>
      <w:tr w:rsidR="007968EC" w:rsidRPr="002C0D19" w14:paraId="581912B7" w14:textId="77777777" w:rsidTr="007968EC">
        <w:trPr>
          <w:trHeight w:val="384"/>
        </w:trPr>
        <w:tc>
          <w:tcPr>
            <w:tcW w:w="3964" w:type="dxa"/>
            <w:shd w:val="clear" w:color="auto" w:fill="BFBFBF"/>
            <w:vAlign w:val="center"/>
          </w:tcPr>
          <w:p w14:paraId="4E370E2C" w14:textId="77777777" w:rsidR="007968EC" w:rsidRPr="002C0D19" w:rsidRDefault="007968EC" w:rsidP="007968EC">
            <w:pPr>
              <w:rPr>
                <w:rFonts w:ascii="Arial Narrow" w:hAnsi="Arial Narrow" w:cs="Arial"/>
                <w:b/>
              </w:rPr>
            </w:pPr>
            <w:r w:rsidRPr="002C0D19">
              <w:rPr>
                <w:rFonts w:ascii="Arial Narrow" w:hAnsi="Arial Narrow" w:cs="Arial"/>
                <w:b/>
              </w:rPr>
              <w:t xml:space="preserve">Método de Liquidación </w:t>
            </w:r>
          </w:p>
        </w:tc>
        <w:tc>
          <w:tcPr>
            <w:tcW w:w="5387" w:type="dxa"/>
            <w:vAlign w:val="center"/>
          </w:tcPr>
          <w:p w14:paraId="31279F5A" w14:textId="77777777" w:rsidR="007968EC" w:rsidRPr="00666B46" w:rsidRDefault="007968EC" w:rsidP="007968EC">
            <w:pPr>
              <w:rPr>
                <w:rFonts w:ascii="Arial Narrow" w:hAnsi="Arial Narrow" w:cs="Arial"/>
              </w:rPr>
            </w:pPr>
            <w:r w:rsidRPr="00666B46">
              <w:rPr>
                <w:rFonts w:ascii="Arial Narrow" w:hAnsi="Arial Narrow" w:cs="Arial"/>
              </w:rPr>
              <w:t>Liquidación por Entrega.</w:t>
            </w:r>
          </w:p>
        </w:tc>
      </w:tr>
      <w:tr w:rsidR="007968EC" w:rsidRPr="002C0D19" w14:paraId="766840D2" w14:textId="77777777" w:rsidTr="007968EC">
        <w:trPr>
          <w:trHeight w:val="384"/>
        </w:trPr>
        <w:tc>
          <w:tcPr>
            <w:tcW w:w="3964" w:type="dxa"/>
            <w:shd w:val="clear" w:color="auto" w:fill="BFBFBF"/>
            <w:vAlign w:val="center"/>
          </w:tcPr>
          <w:p w14:paraId="54EFDA36" w14:textId="77777777" w:rsidR="007968EC" w:rsidRPr="002C0D19" w:rsidRDefault="007968EC" w:rsidP="007968EC">
            <w:pPr>
              <w:rPr>
                <w:rFonts w:ascii="Arial Narrow" w:hAnsi="Arial Narrow" w:cs="Arial"/>
                <w:b/>
              </w:rPr>
            </w:pPr>
            <w:r w:rsidRPr="002C0D19">
              <w:rPr>
                <w:rFonts w:ascii="Arial Narrow" w:hAnsi="Arial Narrow" w:cs="Arial"/>
                <w:b/>
              </w:rPr>
              <w:t xml:space="preserve">Tipo de Liquidación </w:t>
            </w:r>
          </w:p>
        </w:tc>
        <w:tc>
          <w:tcPr>
            <w:tcW w:w="5387" w:type="dxa"/>
            <w:vAlign w:val="center"/>
          </w:tcPr>
          <w:p w14:paraId="10931A65" w14:textId="77777777" w:rsidR="007968EC" w:rsidRPr="00666B46" w:rsidRDefault="007968EC" w:rsidP="007968EC">
            <w:pPr>
              <w:rPr>
                <w:rFonts w:ascii="Arial Narrow" w:hAnsi="Arial Narrow" w:cs="Arial"/>
              </w:rPr>
            </w:pPr>
            <w:r w:rsidRPr="00666B46">
              <w:rPr>
                <w:rFonts w:ascii="Arial Narrow" w:hAnsi="Arial Narrow" w:cs="Arial"/>
              </w:rPr>
              <w:t>Liquidación Únicamente al Vencimiento</w:t>
            </w:r>
          </w:p>
        </w:tc>
      </w:tr>
    </w:tbl>
    <w:p w14:paraId="188BB7F8" w14:textId="77777777" w:rsidR="007968EC" w:rsidRPr="002C0D19" w:rsidRDefault="007968EC" w:rsidP="007968EC">
      <w:pPr>
        <w:jc w:val="both"/>
        <w:rPr>
          <w:rFonts w:ascii="Arial Narrow" w:eastAsia="Calibri" w:hAnsi="Arial Narrow" w:cs="Arial"/>
          <w:lang w:eastAsia="es-ES"/>
        </w:rPr>
      </w:pPr>
    </w:p>
    <w:p w14:paraId="431D6C5A" w14:textId="77777777" w:rsidR="007968EC" w:rsidRPr="002C0D19" w:rsidRDefault="007968EC" w:rsidP="00DA7472">
      <w:pPr>
        <w:numPr>
          <w:ilvl w:val="0"/>
          <w:numId w:val="143"/>
        </w:numPr>
        <w:autoSpaceDE w:val="0"/>
        <w:autoSpaceDN w:val="0"/>
        <w:adjustRightInd w:val="0"/>
        <w:ind w:left="426" w:hanging="426"/>
        <w:contextualSpacing/>
        <w:jc w:val="both"/>
        <w:rPr>
          <w:rFonts w:ascii="Arial Narrow" w:eastAsia="Calibri" w:hAnsi="Arial Narrow" w:cs="Arial"/>
          <w:lang w:eastAsia="es-ES"/>
        </w:rPr>
      </w:pPr>
      <w:r w:rsidRPr="002C0D19">
        <w:rPr>
          <w:rFonts w:ascii="Arial Narrow" w:eastAsia="Calibri" w:hAnsi="Arial Narrow" w:cs="Arial"/>
          <w:lang w:eastAsia="es-ES"/>
        </w:rPr>
        <w:t>Términos Económicos:</w:t>
      </w:r>
    </w:p>
    <w:p w14:paraId="5AD28891" w14:textId="77777777" w:rsidR="007968EC" w:rsidRPr="002C0D19" w:rsidRDefault="007968EC" w:rsidP="007968EC">
      <w:pPr>
        <w:ind w:left="644"/>
        <w:jc w:val="both"/>
        <w:rPr>
          <w:rFonts w:ascii="Arial Narrow" w:eastAsia="Calibri" w:hAnsi="Arial Narrow" w:cs="Arial"/>
          <w:lang w:eastAsia="es-ES"/>
        </w:rPr>
      </w:pPr>
    </w:p>
    <w:p w14:paraId="59CE14A4" w14:textId="77777777" w:rsidR="007968EC" w:rsidRPr="002C0D19" w:rsidRDefault="007968EC" w:rsidP="007968EC">
      <w:pPr>
        <w:jc w:val="both"/>
        <w:rPr>
          <w:rFonts w:ascii="Arial Narrow" w:eastAsia="Calibri" w:hAnsi="Arial Narrow" w:cs="Arial"/>
          <w:lang w:eastAsia="es-ES"/>
        </w:rPr>
      </w:pPr>
      <w:r w:rsidRPr="002C0D19">
        <w:rPr>
          <w:rFonts w:ascii="Arial Narrow" w:eastAsia="Calibri" w:hAnsi="Arial Narrow" w:cs="Arial"/>
          <w:lang w:eastAsia="es-ES"/>
        </w:rPr>
        <w:t xml:space="preserve">Se considerarán como Términos Económicos las condiciones sobre Tasa de la Operación, Fecha de Vencimiento de </w:t>
      </w:r>
      <w:r>
        <w:rPr>
          <w:rFonts w:ascii="Arial Narrow" w:eastAsia="Calibri" w:hAnsi="Arial Narrow" w:cs="Arial"/>
          <w:lang w:eastAsia="es-ES"/>
        </w:rPr>
        <w:t xml:space="preserve">la operación </w:t>
      </w:r>
      <w:r w:rsidRPr="002C0D19">
        <w:rPr>
          <w:rFonts w:ascii="Arial Narrow" w:eastAsia="Calibri" w:hAnsi="Arial Narrow" w:cs="Arial"/>
          <w:lang w:eastAsia="es-ES"/>
        </w:rPr>
        <w:t>inicial</w:t>
      </w:r>
      <w:r>
        <w:rPr>
          <w:rFonts w:ascii="Arial Narrow" w:eastAsia="Calibri" w:hAnsi="Arial Narrow" w:cs="Arial"/>
          <w:lang w:eastAsia="es-ES"/>
        </w:rPr>
        <w:t xml:space="preserve"> o flujo de salida</w:t>
      </w:r>
      <w:r w:rsidRPr="002C0D19">
        <w:rPr>
          <w:rFonts w:ascii="Arial Narrow" w:eastAsia="Calibri" w:hAnsi="Arial Narrow" w:cs="Arial"/>
          <w:lang w:eastAsia="es-ES"/>
        </w:rPr>
        <w:t xml:space="preserve"> y de </w:t>
      </w:r>
      <w:r>
        <w:rPr>
          <w:rFonts w:ascii="Arial Narrow" w:eastAsia="Calibri" w:hAnsi="Arial Narrow" w:cs="Arial"/>
          <w:lang w:eastAsia="es-ES"/>
        </w:rPr>
        <w:t>la operación</w:t>
      </w:r>
      <w:r w:rsidRPr="002C0D19">
        <w:rPr>
          <w:rFonts w:ascii="Arial Narrow" w:eastAsia="Calibri" w:hAnsi="Arial Narrow" w:cs="Arial"/>
          <w:lang w:eastAsia="es-ES"/>
        </w:rPr>
        <w:t xml:space="preserve"> de </w:t>
      </w:r>
      <w:r>
        <w:rPr>
          <w:rFonts w:ascii="Arial Narrow" w:eastAsia="Calibri" w:hAnsi="Arial Narrow" w:cs="Arial"/>
          <w:lang w:eastAsia="es-ES"/>
        </w:rPr>
        <w:t>regreso o de recompra o flujo de regreso</w:t>
      </w:r>
      <w:r w:rsidRPr="002C0D19">
        <w:rPr>
          <w:rFonts w:ascii="Arial Narrow" w:eastAsia="Calibri" w:hAnsi="Arial Narrow" w:cs="Arial"/>
          <w:lang w:eastAsia="es-ES"/>
        </w:rPr>
        <w:t>, Valor Nominal y Activo que hayan sido pactadas por los Miembros que celebraron la Operación Simultánea, susceptibles de ser Aceptada por la Cámara, en el sistema de negociación y/o registro.</w:t>
      </w:r>
    </w:p>
    <w:p w14:paraId="51FABBFB" w14:textId="77777777" w:rsidR="007968EC" w:rsidRPr="002C0D19" w:rsidRDefault="007968EC" w:rsidP="007968EC">
      <w:pPr>
        <w:jc w:val="both"/>
        <w:rPr>
          <w:rFonts w:ascii="Arial Narrow" w:eastAsia="Calibri" w:hAnsi="Arial Narrow" w:cs="Arial"/>
          <w:lang w:eastAsia="es-ES"/>
        </w:rPr>
      </w:pPr>
    </w:p>
    <w:p w14:paraId="1B0A7550" w14:textId="77777777" w:rsidR="007968EC" w:rsidRPr="002C0D19" w:rsidRDefault="007968EC" w:rsidP="00DA7472">
      <w:pPr>
        <w:numPr>
          <w:ilvl w:val="0"/>
          <w:numId w:val="143"/>
        </w:numPr>
        <w:ind w:left="317" w:hanging="284"/>
        <w:contextualSpacing/>
        <w:jc w:val="both"/>
        <w:rPr>
          <w:rFonts w:ascii="Arial Narrow" w:eastAsia="Calibri" w:hAnsi="Arial Narrow" w:cs="Arial"/>
          <w:lang w:eastAsia="es-ES"/>
        </w:rPr>
      </w:pPr>
      <w:r w:rsidRPr="002C0D19">
        <w:rPr>
          <w:rFonts w:ascii="Arial Narrow" w:eastAsia="Calibri" w:hAnsi="Arial Narrow" w:cs="Arial"/>
          <w:lang w:eastAsia="es-ES"/>
        </w:rPr>
        <w:lastRenderedPageBreak/>
        <w:t>Controles de Riesgo:</w:t>
      </w:r>
    </w:p>
    <w:p w14:paraId="7B432B77" w14:textId="77777777" w:rsidR="007968EC" w:rsidRPr="002C0D19" w:rsidRDefault="007968EC" w:rsidP="007968EC">
      <w:pPr>
        <w:ind w:left="644"/>
        <w:jc w:val="both"/>
        <w:rPr>
          <w:rFonts w:ascii="Arial Narrow" w:eastAsia="Calibri" w:hAnsi="Arial Narrow" w:cs="Arial"/>
          <w:lang w:eastAsia="es-ES"/>
        </w:rPr>
      </w:pPr>
    </w:p>
    <w:p w14:paraId="5AE77747" w14:textId="77777777" w:rsidR="007968EC" w:rsidRPr="002C0D19" w:rsidRDefault="007968EC" w:rsidP="007968EC">
      <w:pPr>
        <w:autoSpaceDE w:val="0"/>
        <w:autoSpaceDN w:val="0"/>
        <w:jc w:val="both"/>
        <w:rPr>
          <w:rFonts w:ascii="Arial Narrow" w:eastAsia="Calibri" w:hAnsi="Arial Narrow" w:cs="Arial"/>
          <w:lang w:eastAsia="es-ES"/>
        </w:rPr>
      </w:pPr>
      <w:r w:rsidRPr="002C0D19">
        <w:rPr>
          <w:rFonts w:ascii="Arial Narrow" w:eastAsia="Calibri" w:hAnsi="Arial Narrow" w:cs="Arial"/>
          <w:lang w:eastAsia="es-ES"/>
        </w:rPr>
        <w:t>Para la aceptación de Operaciones Simultáneas, la Cámara verificará que las mismas cumplan los siguientes controles de riesgos específicos para cada una de las Cuentas de los Miembros Liquidadores que celebraron la Operación Susceptible de ser Aceptada, dependiendo del Sistema de negociación y/o registro en el que sean registradas o celebradas:</w:t>
      </w:r>
    </w:p>
    <w:p w14:paraId="7CD7D327" w14:textId="77777777" w:rsidR="007968EC" w:rsidRPr="002C0D19" w:rsidRDefault="007968EC" w:rsidP="007968EC">
      <w:pPr>
        <w:autoSpaceDE w:val="0"/>
        <w:autoSpaceDN w:val="0"/>
        <w:jc w:val="both"/>
        <w:rPr>
          <w:rFonts w:ascii="Arial Narrow" w:eastAsia="Calibri" w:hAnsi="Arial Narrow" w:cs="Arial"/>
          <w:lang w:eastAsia="es-ES"/>
        </w:rPr>
      </w:pPr>
    </w:p>
    <w:p w14:paraId="7ECC82BD" w14:textId="77777777" w:rsidR="007968EC" w:rsidRPr="002C0D19" w:rsidRDefault="007968EC" w:rsidP="00DA7472">
      <w:pPr>
        <w:numPr>
          <w:ilvl w:val="7"/>
          <w:numId w:val="247"/>
        </w:numPr>
        <w:autoSpaceDE w:val="0"/>
        <w:autoSpaceDN w:val="0"/>
        <w:ind w:left="459" w:hanging="284"/>
        <w:contextualSpacing/>
        <w:jc w:val="both"/>
        <w:rPr>
          <w:rFonts w:ascii="Arial Narrow" w:eastAsia="Calibri" w:hAnsi="Arial Narrow" w:cs="Arial"/>
          <w:lang w:eastAsia="es-ES"/>
        </w:rPr>
      </w:pPr>
      <w:r w:rsidRPr="002C0D19">
        <w:rPr>
          <w:rFonts w:ascii="Arial Narrow" w:eastAsia="Calibri" w:hAnsi="Arial Narrow" w:cs="Arial"/>
          <w:u w:val="single"/>
          <w:lang w:eastAsia="es-ES"/>
        </w:rPr>
        <w:t>Operaciones celebradas en el Sistema SEN y MEC Transaccional</w:t>
      </w:r>
      <w:r w:rsidRPr="002C0D19">
        <w:rPr>
          <w:rFonts w:ascii="Arial Narrow" w:eastAsia="Calibri" w:hAnsi="Arial Narrow" w:cs="Arial"/>
          <w:lang w:eastAsia="es-ES"/>
        </w:rPr>
        <w:t>: El consumo de las Garantías por Posición exigidas de forma previa deben cumplir con los controles descritos en el artículo 3.5.2.1. de la presente Circular.</w:t>
      </w:r>
    </w:p>
    <w:p w14:paraId="06C08B5E" w14:textId="77777777" w:rsidR="007968EC" w:rsidRPr="002C0D19" w:rsidRDefault="007968EC" w:rsidP="007968EC">
      <w:pPr>
        <w:autoSpaceDE w:val="0"/>
        <w:autoSpaceDN w:val="0"/>
        <w:ind w:left="459"/>
        <w:contextualSpacing/>
        <w:jc w:val="both"/>
        <w:rPr>
          <w:rFonts w:ascii="Arial Narrow" w:eastAsia="Calibri" w:hAnsi="Arial Narrow" w:cs="Arial"/>
          <w:lang w:eastAsia="es-ES"/>
        </w:rPr>
      </w:pPr>
    </w:p>
    <w:p w14:paraId="23AF4E9F" w14:textId="77777777" w:rsidR="007968EC" w:rsidRPr="002C0D19" w:rsidRDefault="007968EC" w:rsidP="007968EC">
      <w:pPr>
        <w:autoSpaceDE w:val="0"/>
        <w:autoSpaceDN w:val="0"/>
        <w:ind w:left="459"/>
        <w:contextualSpacing/>
        <w:jc w:val="both"/>
        <w:rPr>
          <w:rFonts w:ascii="Arial Narrow" w:eastAsia="Calibri" w:hAnsi="Arial Narrow" w:cs="Arial"/>
          <w:lang w:eastAsia="es-ES"/>
        </w:rPr>
      </w:pPr>
      <w:r w:rsidRPr="002C0D19">
        <w:rPr>
          <w:rFonts w:ascii="Arial Narrow" w:eastAsia="Calibri" w:hAnsi="Arial Narrow" w:cs="Arial"/>
          <w:lang w:eastAsia="es-ES"/>
        </w:rPr>
        <w:t>Sin perjuicio de lo establecido en los artículos 1.7.1.2. y 1.7.1.3. de la presente Circular, en el evento que el Miembro Liquidador no constituya la Garantía por Posición (Previa) y/o la Garantía por Posición establecida en los literales b) y c) del artículo 3.5.2.1. de la presente Circular, la Cámara podrá solicitar la suspensión del Miembro Liquidador en el sistema de negociación y/o registro o Mecanismo de Contratación en el que se celebren Operaciones Simultáneas.</w:t>
      </w:r>
    </w:p>
    <w:p w14:paraId="1767E974" w14:textId="77777777" w:rsidR="007968EC" w:rsidRPr="002C0D19" w:rsidRDefault="007968EC" w:rsidP="007968EC">
      <w:pPr>
        <w:rPr>
          <w:rFonts w:ascii="Arial Narrow" w:eastAsia="Calibri" w:hAnsi="Arial Narrow" w:cs="Arial"/>
          <w:lang w:eastAsia="es-ES"/>
        </w:rPr>
      </w:pPr>
    </w:p>
    <w:p w14:paraId="0873C9C1" w14:textId="77777777" w:rsidR="007968EC" w:rsidRPr="002C0D19" w:rsidRDefault="007968EC" w:rsidP="00DA7472">
      <w:pPr>
        <w:numPr>
          <w:ilvl w:val="7"/>
          <w:numId w:val="247"/>
        </w:numPr>
        <w:autoSpaceDE w:val="0"/>
        <w:autoSpaceDN w:val="0"/>
        <w:ind w:left="459" w:hanging="284"/>
        <w:contextualSpacing/>
        <w:jc w:val="both"/>
        <w:rPr>
          <w:rFonts w:ascii="Arial Narrow" w:eastAsia="Calibri" w:hAnsi="Arial Narrow" w:cs="Arial"/>
          <w:lang w:eastAsia="es-ES"/>
        </w:rPr>
      </w:pPr>
      <w:r w:rsidRPr="002C0D19">
        <w:rPr>
          <w:rFonts w:ascii="Arial Narrow" w:eastAsia="Calibri" w:hAnsi="Arial Narrow" w:cs="Arial"/>
          <w:u w:val="single"/>
          <w:lang w:eastAsia="es-ES"/>
        </w:rPr>
        <w:t>Operaciones Simultáneas registradas en el sistema MEC Registro</w:t>
      </w:r>
      <w:r w:rsidRPr="002C0D19">
        <w:rPr>
          <w:rFonts w:ascii="Arial Narrow" w:eastAsia="Calibri" w:hAnsi="Arial Narrow" w:cs="Arial"/>
          <w:lang w:eastAsia="es-ES"/>
        </w:rPr>
        <w:t>: Las Garantías por Posición de las Cuentas de la Operación Susceptible de ser Aceptada deben ser suficientes para cubrir el riesgo según lo previsto en el Artículo 3.5.2.3. de la presente Circular. Si no lo cumple, la Operación quedará en estado pendiente hasta la finalización de la Sesión de Aceptación de Operaciones, con el fin de que el Miembro constituya las Garantías necesarias para cubrir el riesgo, de lo contrario la Operación no será aceptada por la Cámara para su Compensación y Liquidación.</w:t>
      </w:r>
    </w:p>
    <w:p w14:paraId="5D0FB6F2" w14:textId="77777777" w:rsidR="007968EC" w:rsidRPr="002C0D19" w:rsidRDefault="007968EC" w:rsidP="007968EC">
      <w:pPr>
        <w:autoSpaceDE w:val="0"/>
        <w:autoSpaceDN w:val="0"/>
        <w:ind w:left="2880"/>
        <w:contextualSpacing/>
        <w:jc w:val="both"/>
        <w:rPr>
          <w:rFonts w:ascii="Arial Narrow" w:eastAsia="Calibri" w:hAnsi="Arial Narrow" w:cs="Arial"/>
          <w:lang w:eastAsia="es-ES"/>
        </w:rPr>
      </w:pPr>
    </w:p>
    <w:p w14:paraId="3EEA46D8" w14:textId="77777777" w:rsidR="007968EC" w:rsidRPr="002C0D19" w:rsidRDefault="007968EC" w:rsidP="007968EC">
      <w:pPr>
        <w:autoSpaceDE w:val="0"/>
        <w:autoSpaceDN w:val="0"/>
        <w:ind w:left="459"/>
        <w:contextualSpacing/>
        <w:jc w:val="both"/>
        <w:rPr>
          <w:rFonts w:ascii="Arial Narrow" w:eastAsia="Calibri" w:hAnsi="Arial Narrow" w:cs="Arial"/>
          <w:lang w:eastAsia="es-ES"/>
        </w:rPr>
      </w:pPr>
      <w:proofErr w:type="gramStart"/>
      <w:r w:rsidRPr="002C0D19">
        <w:rPr>
          <w:rFonts w:ascii="Arial Narrow" w:eastAsia="Calibri" w:hAnsi="Arial Narrow" w:cs="Arial"/>
          <w:lang w:eastAsia="es-ES"/>
        </w:rPr>
        <w:t>En caso que</w:t>
      </w:r>
      <w:proofErr w:type="gramEnd"/>
      <w:r w:rsidRPr="002C0D19">
        <w:rPr>
          <w:rFonts w:ascii="Arial Narrow" w:eastAsia="Calibri" w:hAnsi="Arial Narrow" w:cs="Arial"/>
          <w:lang w:eastAsia="es-ES"/>
        </w:rPr>
        <w:t xml:space="preserve"> por lo menos una de las partes de dicha operación no cumpla con éste control de riesgo, la operación no será aceptada por la Cámara para su compensación y liquidación</w:t>
      </w:r>
      <w:r>
        <w:rPr>
          <w:rFonts w:ascii="Arial Narrow" w:eastAsia="Calibri" w:hAnsi="Arial Narrow" w:cs="Arial"/>
          <w:lang w:eastAsia="es-ES"/>
        </w:rPr>
        <w:t>.</w:t>
      </w:r>
    </w:p>
    <w:p w14:paraId="3CAC99A5" w14:textId="77777777" w:rsidR="007968EC" w:rsidRPr="002C0D19" w:rsidRDefault="007968EC" w:rsidP="007968EC">
      <w:pPr>
        <w:autoSpaceDE w:val="0"/>
        <w:autoSpaceDN w:val="0"/>
        <w:contextualSpacing/>
        <w:jc w:val="both"/>
        <w:rPr>
          <w:rFonts w:ascii="Arial Narrow" w:eastAsia="Calibri" w:hAnsi="Arial Narrow" w:cs="Arial"/>
          <w:lang w:eastAsia="es-ES"/>
        </w:rPr>
      </w:pPr>
    </w:p>
    <w:p w14:paraId="448F2C3A" w14:textId="77777777" w:rsidR="007968EC" w:rsidRPr="002C0D19" w:rsidRDefault="007968EC" w:rsidP="00DA7472">
      <w:pPr>
        <w:numPr>
          <w:ilvl w:val="0"/>
          <w:numId w:val="143"/>
        </w:numPr>
        <w:ind w:left="426" w:hanging="426"/>
        <w:contextualSpacing/>
        <w:jc w:val="both"/>
        <w:rPr>
          <w:rFonts w:ascii="Arial Narrow" w:eastAsia="Calibri" w:hAnsi="Arial Narrow" w:cs="Arial"/>
          <w:lang w:eastAsia="es-ES"/>
        </w:rPr>
      </w:pPr>
      <w:r w:rsidRPr="002C0D19">
        <w:rPr>
          <w:rFonts w:ascii="Arial Narrow" w:eastAsia="Calibri" w:hAnsi="Arial Narrow" w:cs="Arial"/>
          <w:lang w:eastAsia="es-ES"/>
        </w:rPr>
        <w:t>Proceso de Entrega en caso de Retardo de un Miembro en el proceso de Liquidación al Vencimiento de una Operación Simultánea.</w:t>
      </w:r>
    </w:p>
    <w:p w14:paraId="43A08C61" w14:textId="77777777" w:rsidR="007968EC" w:rsidRPr="002C0D19" w:rsidRDefault="007968EC" w:rsidP="007968EC">
      <w:pPr>
        <w:autoSpaceDE w:val="0"/>
        <w:autoSpaceDN w:val="0"/>
        <w:adjustRightInd w:val="0"/>
        <w:ind w:left="317"/>
        <w:contextualSpacing/>
        <w:jc w:val="both"/>
        <w:rPr>
          <w:rFonts w:ascii="Arial Narrow" w:eastAsia="Calibri" w:hAnsi="Arial Narrow" w:cs="Arial"/>
          <w:lang w:eastAsia="es-ES"/>
        </w:rPr>
      </w:pPr>
    </w:p>
    <w:p w14:paraId="013640E1" w14:textId="77777777" w:rsidR="007968EC" w:rsidRPr="002C0D19" w:rsidRDefault="007968EC" w:rsidP="007968EC">
      <w:pPr>
        <w:jc w:val="both"/>
        <w:rPr>
          <w:rFonts w:ascii="Arial Narrow" w:eastAsia="Calibri" w:hAnsi="Arial Narrow" w:cs="Arial"/>
          <w:lang w:eastAsia="es-ES"/>
        </w:rPr>
      </w:pPr>
      <w:r w:rsidRPr="002C0D19">
        <w:rPr>
          <w:rFonts w:ascii="Arial Narrow" w:eastAsia="Calibri" w:hAnsi="Arial Narrow" w:cs="Arial"/>
          <w:lang w:eastAsia="es-ES"/>
        </w:rPr>
        <w:t>Sin perjuicio de lo establecido en los artículos 1.7.1.2. y 1.7.1.3. de la presente Circular, en el evento de retardo de que trata el numeral 2 del artículo 1.7.1.1. de la Circular, la Cámara, podrá otorgar un plazo máximo hasta de tres (3) días hábiles al Miembro que entró en retardo, desde la fecha en que incurrió en dicho evento, para qué entregue a la Cámara el Activo o el efectivo. No obstante lo anterior, el plazo máximo para que el Miembro gestione el Retardo de la transferencia del Activo o efectivo objeto de la Operación Simultánea no podrá ser mayor a la fecha de vencimiento de la Operación Simultánea aceptada por la Cámara.</w:t>
      </w:r>
    </w:p>
    <w:p w14:paraId="1963B0D6" w14:textId="77777777" w:rsidR="007968EC" w:rsidRPr="002C0D19" w:rsidRDefault="007968EC" w:rsidP="007968EC">
      <w:pPr>
        <w:jc w:val="both"/>
        <w:rPr>
          <w:rFonts w:ascii="Arial Narrow" w:eastAsia="Calibri" w:hAnsi="Arial Narrow" w:cs="Arial"/>
          <w:lang w:eastAsia="es-ES"/>
        </w:rPr>
      </w:pPr>
    </w:p>
    <w:p w14:paraId="2083C4F5" w14:textId="77777777" w:rsidR="007968EC" w:rsidRPr="002C0D19" w:rsidRDefault="007968EC" w:rsidP="007968EC">
      <w:pPr>
        <w:autoSpaceDE w:val="0"/>
        <w:autoSpaceDN w:val="0"/>
        <w:adjustRightInd w:val="0"/>
        <w:jc w:val="both"/>
        <w:rPr>
          <w:rFonts w:ascii="Arial Narrow" w:eastAsia="Calibri" w:hAnsi="Arial Narrow" w:cs="Arial"/>
          <w:lang w:eastAsia="es-ES"/>
        </w:rPr>
      </w:pPr>
      <w:proofErr w:type="gramStart"/>
      <w:r w:rsidRPr="002C0D19">
        <w:rPr>
          <w:rFonts w:ascii="Arial Narrow" w:eastAsia="Calibri" w:hAnsi="Arial Narrow" w:cs="Arial"/>
          <w:lang w:eastAsia="es-ES"/>
        </w:rPr>
        <w:t>En caso que</w:t>
      </w:r>
      <w:proofErr w:type="gramEnd"/>
      <w:r w:rsidRPr="002C0D19">
        <w:rPr>
          <w:rFonts w:ascii="Arial Narrow" w:eastAsia="Calibri" w:hAnsi="Arial Narrow" w:cs="Arial"/>
          <w:lang w:eastAsia="es-ES"/>
        </w:rPr>
        <w:t xml:space="preserve"> el Miembro dentro del plazo otorgado por la Cámara cumpla con la entrega del Activo o del efectivo, la Cámara procederá a realizar las transferencias de dinero y valores desde sus cuentas, a la cuenta definida por los Miembros que celebraron la Operación Simultánea. La entrega del efectivo o del Activo incluirá una suma de dinero a favor del Miembro que no incurrió en el retardo equivalente al interés de mora </w:t>
      </w:r>
      <w:r w:rsidRPr="002C0D19">
        <w:rPr>
          <w:rFonts w:ascii="Arial Narrow" w:eastAsia="Calibri" w:hAnsi="Arial Narrow" w:cs="Arial"/>
          <w:lang w:eastAsia="es-ES"/>
        </w:rPr>
        <w:lastRenderedPageBreak/>
        <w:t xml:space="preserve">a la tasa máxima permitida por la Ley, calculada diariamente por los días de retardo en el cumplimiento de la Operación Simultanea. </w:t>
      </w:r>
    </w:p>
    <w:p w14:paraId="7A27A75B" w14:textId="77777777" w:rsidR="007968EC" w:rsidRPr="002C0D19" w:rsidRDefault="007968EC" w:rsidP="007968EC">
      <w:pPr>
        <w:jc w:val="both"/>
        <w:rPr>
          <w:rFonts w:ascii="Arial Narrow" w:eastAsia="Calibri" w:hAnsi="Arial Narrow" w:cs="Arial"/>
          <w:lang w:eastAsia="es-ES"/>
        </w:rPr>
      </w:pPr>
    </w:p>
    <w:p w14:paraId="5E4C4707" w14:textId="77777777" w:rsidR="007968EC" w:rsidRPr="002C0D19" w:rsidRDefault="007968EC" w:rsidP="007968EC">
      <w:pPr>
        <w:autoSpaceDE w:val="0"/>
        <w:autoSpaceDN w:val="0"/>
        <w:adjustRightInd w:val="0"/>
        <w:jc w:val="both"/>
        <w:rPr>
          <w:rFonts w:ascii="Arial Narrow" w:eastAsia="Calibri" w:hAnsi="Arial Narrow" w:cs="Arial"/>
          <w:lang w:eastAsia="es-ES"/>
        </w:rPr>
      </w:pPr>
      <w:r w:rsidRPr="002C0D19">
        <w:rPr>
          <w:rFonts w:ascii="Arial Narrow" w:eastAsia="Calibri" w:hAnsi="Arial Narrow" w:cs="Arial"/>
          <w:lang w:eastAsia="es-ES"/>
        </w:rPr>
        <w:t>La Cámara procederá a la entrega de los valores a nivel de titular de Cuenta y el efectivo a nivel de Miembro Liquidador, de la siguiente forma:</w:t>
      </w:r>
    </w:p>
    <w:p w14:paraId="2F4DCE9B" w14:textId="77777777" w:rsidR="007968EC" w:rsidRPr="002C0D19" w:rsidRDefault="007968EC" w:rsidP="007968EC">
      <w:pPr>
        <w:autoSpaceDE w:val="0"/>
        <w:autoSpaceDN w:val="0"/>
        <w:adjustRightInd w:val="0"/>
        <w:rPr>
          <w:rFonts w:ascii="Arial Narrow" w:eastAsia="Calibri" w:hAnsi="Arial Narrow" w:cs="Arial"/>
          <w:lang w:eastAsia="es-ES"/>
        </w:rPr>
      </w:pPr>
    </w:p>
    <w:p w14:paraId="56FBDBD6" w14:textId="77777777" w:rsidR="007968EC" w:rsidRPr="002C0D19" w:rsidRDefault="007968EC" w:rsidP="00DA7472">
      <w:pPr>
        <w:numPr>
          <w:ilvl w:val="0"/>
          <w:numId w:val="142"/>
        </w:numPr>
        <w:autoSpaceDE w:val="0"/>
        <w:autoSpaceDN w:val="0"/>
        <w:adjustRightInd w:val="0"/>
        <w:contextualSpacing/>
        <w:jc w:val="both"/>
        <w:rPr>
          <w:rFonts w:ascii="Arial Narrow" w:eastAsia="Calibri" w:hAnsi="Arial Narrow" w:cs="Arial"/>
          <w:lang w:eastAsia="es-ES"/>
        </w:rPr>
      </w:pPr>
      <w:r w:rsidRPr="002C0D19">
        <w:rPr>
          <w:rFonts w:ascii="Arial Narrow" w:eastAsia="Calibri" w:hAnsi="Arial Narrow" w:cs="Arial"/>
          <w:lang w:eastAsia="es-ES"/>
        </w:rPr>
        <w:t>Para la entrega de valores, la Cámara solicita a los depósitos centralizados de valores la transferencia de valores, desde la cuenta de la Cámara a la cuenta del titular comprador a nivel de depósito/ titular / valor. Estas transferencias se solicitan con la condición “Libre de Pago”.</w:t>
      </w:r>
    </w:p>
    <w:p w14:paraId="172D7E2E" w14:textId="77777777" w:rsidR="007968EC" w:rsidRPr="002C0D19" w:rsidRDefault="007968EC" w:rsidP="007968EC">
      <w:pPr>
        <w:autoSpaceDE w:val="0"/>
        <w:autoSpaceDN w:val="0"/>
        <w:adjustRightInd w:val="0"/>
        <w:ind w:left="720"/>
        <w:contextualSpacing/>
        <w:jc w:val="both"/>
        <w:rPr>
          <w:rFonts w:ascii="Arial Narrow" w:eastAsia="Calibri" w:hAnsi="Arial Narrow" w:cs="Arial"/>
          <w:lang w:eastAsia="es-ES"/>
        </w:rPr>
      </w:pPr>
    </w:p>
    <w:p w14:paraId="474E7198" w14:textId="77777777" w:rsidR="007968EC" w:rsidRPr="002C0D19" w:rsidRDefault="007968EC" w:rsidP="00DA7472">
      <w:pPr>
        <w:numPr>
          <w:ilvl w:val="0"/>
          <w:numId w:val="142"/>
        </w:numPr>
        <w:autoSpaceDE w:val="0"/>
        <w:autoSpaceDN w:val="0"/>
        <w:adjustRightInd w:val="0"/>
        <w:contextualSpacing/>
        <w:jc w:val="both"/>
        <w:rPr>
          <w:rFonts w:ascii="Arial Narrow" w:eastAsia="Calibri" w:hAnsi="Arial Narrow" w:cs="Arial"/>
          <w:lang w:eastAsia="es-ES"/>
        </w:rPr>
      </w:pPr>
      <w:r w:rsidRPr="002C0D19">
        <w:rPr>
          <w:rFonts w:ascii="Arial Narrow" w:eastAsia="Calibri" w:hAnsi="Arial Narrow" w:cs="Arial"/>
          <w:lang w:eastAsia="es-ES"/>
        </w:rPr>
        <w:t>Para la entrega de efectivo, la Cámara solicita al CUD la transferencia de efectivo, desde la cuenta de la Cámara a la cuenta del Miembro Liquidador, según corresponda.</w:t>
      </w:r>
    </w:p>
    <w:p w14:paraId="2768A79E" w14:textId="77777777" w:rsidR="007968EC" w:rsidRPr="002C0D19" w:rsidRDefault="007968EC" w:rsidP="007968EC">
      <w:pPr>
        <w:rPr>
          <w:rFonts w:ascii="Arial Narrow" w:eastAsia="Calibri" w:hAnsi="Arial Narrow" w:cs="Arial"/>
          <w:lang w:eastAsia="es-ES"/>
        </w:rPr>
      </w:pPr>
    </w:p>
    <w:p w14:paraId="74F3123D" w14:textId="77777777" w:rsidR="007968EC" w:rsidRPr="002C0D19" w:rsidRDefault="007968EC" w:rsidP="007968EC">
      <w:pPr>
        <w:autoSpaceDE w:val="0"/>
        <w:autoSpaceDN w:val="0"/>
        <w:adjustRightInd w:val="0"/>
        <w:ind w:left="742"/>
        <w:jc w:val="both"/>
        <w:rPr>
          <w:rFonts w:ascii="Arial Narrow" w:eastAsia="Calibri" w:hAnsi="Arial Narrow" w:cs="Arial"/>
          <w:lang w:eastAsia="es-ES"/>
        </w:rPr>
      </w:pPr>
      <w:r w:rsidRPr="002C0D19">
        <w:rPr>
          <w:rFonts w:ascii="Arial Narrow" w:eastAsia="Calibri" w:hAnsi="Arial Narrow" w:cs="Arial"/>
          <w:lang w:eastAsia="es-ES"/>
        </w:rPr>
        <w:t>En cualquier caso, una vez vencido el plazo establecido, la Cámara podrá declarar el incumplimiento del Miembro y procederá de conformidad con lo previsto en el Capítulo Octavo del Título Segundo del Reglamento de Funcionamiento.</w:t>
      </w:r>
    </w:p>
    <w:p w14:paraId="2C0FB70E" w14:textId="77777777" w:rsidR="007968EC" w:rsidRPr="002C0D19" w:rsidRDefault="007968EC" w:rsidP="007968EC">
      <w:pPr>
        <w:rPr>
          <w:rFonts w:ascii="Arial Narrow" w:eastAsia="Calibri" w:hAnsi="Arial Narrow" w:cs="Arial"/>
          <w:lang w:eastAsia="es-ES"/>
        </w:rPr>
      </w:pPr>
    </w:p>
    <w:p w14:paraId="71EE6887" w14:textId="77777777" w:rsidR="007968EC" w:rsidRPr="002C0D19" w:rsidRDefault="007968EC" w:rsidP="00DA7472">
      <w:pPr>
        <w:numPr>
          <w:ilvl w:val="0"/>
          <w:numId w:val="143"/>
        </w:numPr>
        <w:ind w:left="317" w:hanging="284"/>
        <w:contextualSpacing/>
        <w:jc w:val="both"/>
        <w:rPr>
          <w:rFonts w:ascii="Arial Narrow" w:eastAsia="Calibri" w:hAnsi="Arial Narrow" w:cs="Arial"/>
          <w:lang w:eastAsia="es-ES"/>
        </w:rPr>
      </w:pPr>
      <w:r w:rsidRPr="002C0D19">
        <w:rPr>
          <w:rFonts w:ascii="Arial Narrow" w:eastAsia="Calibri" w:hAnsi="Arial Narrow" w:cs="Arial"/>
          <w:lang w:eastAsia="es-ES"/>
        </w:rPr>
        <w:t>Criterio de aplicación de las reglas especiales de las Operaciones Simultáneas sobre Títulos de Deuda Pública TES:</w:t>
      </w:r>
    </w:p>
    <w:p w14:paraId="622CF814" w14:textId="77777777" w:rsidR="007968EC" w:rsidRPr="002C0D19" w:rsidRDefault="007968EC" w:rsidP="007968EC">
      <w:pPr>
        <w:jc w:val="both"/>
        <w:rPr>
          <w:rFonts w:ascii="Arial Narrow" w:eastAsia="Calibri" w:hAnsi="Arial Narrow" w:cs="Arial"/>
          <w:lang w:eastAsia="es-ES"/>
        </w:rPr>
      </w:pPr>
    </w:p>
    <w:p w14:paraId="72360CFA" w14:textId="77777777" w:rsidR="007968EC" w:rsidRPr="002C0D19" w:rsidRDefault="007968EC" w:rsidP="007968EC">
      <w:pPr>
        <w:ind w:left="284"/>
        <w:jc w:val="both"/>
        <w:rPr>
          <w:rFonts w:ascii="Arial Narrow" w:eastAsia="Calibri" w:hAnsi="Arial Narrow" w:cs="Arial"/>
          <w:lang w:eastAsia="es-ES"/>
        </w:rPr>
      </w:pPr>
      <w:r w:rsidRPr="002C0D19">
        <w:rPr>
          <w:rFonts w:ascii="Arial Narrow" w:eastAsia="Calibri" w:hAnsi="Arial Narrow" w:cs="Arial"/>
          <w:lang w:eastAsia="es-ES"/>
        </w:rPr>
        <w:t>Salvo que exista norma especial para Operaciones Simultáneas sobre Títulos de Deuda Pública TES aplicarán siempre que no sean contrarias a la naturaleza de estas Operaciones las demás disposiciones de la presente Circular.</w:t>
      </w:r>
    </w:p>
    <w:p w14:paraId="1E9CBA60" w14:textId="77777777" w:rsidR="007968EC" w:rsidRPr="002C0D19" w:rsidRDefault="007968EC" w:rsidP="007968EC">
      <w:pPr>
        <w:ind w:left="284"/>
        <w:jc w:val="both"/>
        <w:rPr>
          <w:rFonts w:ascii="Arial Narrow" w:eastAsia="Calibri" w:hAnsi="Arial Narrow" w:cs="Arial"/>
          <w:lang w:eastAsia="es-ES"/>
        </w:rPr>
      </w:pPr>
    </w:p>
    <w:p w14:paraId="7DA6A98C" w14:textId="77777777" w:rsidR="007968EC" w:rsidRDefault="007968EC" w:rsidP="007968EC">
      <w:pPr>
        <w:keepNext/>
        <w:jc w:val="center"/>
        <w:outlineLvl w:val="0"/>
        <w:rPr>
          <w:rFonts w:ascii="Arial Narrow" w:eastAsia="Calibri" w:hAnsi="Arial Narrow"/>
          <w:b/>
          <w:bCs/>
          <w:kern w:val="32"/>
        </w:rPr>
      </w:pPr>
      <w:bookmarkStart w:id="6042" w:name="_Toc490066668"/>
    </w:p>
    <w:p w14:paraId="7DC3544B" w14:textId="77777777" w:rsidR="007968EC" w:rsidRPr="002C0D19" w:rsidRDefault="007968EC" w:rsidP="007968EC">
      <w:pPr>
        <w:pStyle w:val="TTULO"/>
        <w:rPr>
          <w:rFonts w:eastAsia="Calibri"/>
        </w:rPr>
      </w:pPr>
      <w:bookmarkStart w:id="6043" w:name="_Toc31716330"/>
      <w:r w:rsidRPr="002C0D19">
        <w:rPr>
          <w:rFonts w:eastAsia="Calibri"/>
        </w:rPr>
        <w:t>PARTE IV</w:t>
      </w:r>
      <w:bookmarkEnd w:id="6042"/>
      <w:bookmarkEnd w:id="6043"/>
    </w:p>
    <w:p w14:paraId="4985CBF0" w14:textId="77777777" w:rsidR="007968EC" w:rsidRPr="002C0D19" w:rsidRDefault="007968EC" w:rsidP="007968EC">
      <w:pPr>
        <w:pStyle w:val="TTULO"/>
        <w:rPr>
          <w:rFonts w:eastAsia="Calibri"/>
        </w:rPr>
      </w:pPr>
    </w:p>
    <w:p w14:paraId="2CED986C" w14:textId="77777777" w:rsidR="007968EC" w:rsidRPr="002C0D19" w:rsidRDefault="007968EC" w:rsidP="007968EC">
      <w:pPr>
        <w:pStyle w:val="TTULO"/>
        <w:rPr>
          <w:rFonts w:eastAsia="Calibri"/>
        </w:rPr>
      </w:pPr>
      <w:bookmarkStart w:id="6044" w:name="_Toc490066669"/>
      <w:bookmarkStart w:id="6045" w:name="_Toc31716331"/>
      <w:r w:rsidRPr="002C0D19">
        <w:rPr>
          <w:rFonts w:eastAsia="Calibri"/>
        </w:rPr>
        <w:t>SEGMENTO RENTA VARIABLE</w:t>
      </w:r>
      <w:bookmarkEnd w:id="6044"/>
      <w:bookmarkEnd w:id="6045"/>
    </w:p>
    <w:p w14:paraId="31FD1FBB" w14:textId="77777777" w:rsidR="007968EC" w:rsidRPr="002C0D19" w:rsidRDefault="007968EC" w:rsidP="007968EC">
      <w:pPr>
        <w:keepNext/>
        <w:jc w:val="center"/>
        <w:outlineLvl w:val="0"/>
        <w:rPr>
          <w:rFonts w:ascii="Arial Narrow" w:eastAsia="Calibri" w:hAnsi="Arial Narrow"/>
          <w:b/>
          <w:bCs/>
          <w:kern w:val="32"/>
        </w:rPr>
      </w:pPr>
    </w:p>
    <w:p w14:paraId="56B72120" w14:textId="77777777" w:rsidR="007968EC" w:rsidRPr="002C0D19" w:rsidRDefault="007968EC" w:rsidP="007968EC">
      <w:pPr>
        <w:pStyle w:val="ANTECEDENTES"/>
        <w:jc w:val="center"/>
        <w:rPr>
          <w:rFonts w:eastAsia="Calibri"/>
        </w:rPr>
      </w:pPr>
      <w:r w:rsidRPr="002C0D19">
        <w:rPr>
          <w:rFonts w:eastAsia="Calibri"/>
        </w:rPr>
        <w:t>(Esta Parte IV fue adicionada mediante Circular 14 del 8 de agosto de 2017, publicada en el Boletín Normativo No. 015 del 8 de agosto de 2017. Rige a partir del 9 de agosto de 2017.)</w:t>
      </w:r>
    </w:p>
    <w:p w14:paraId="4A7E9A72" w14:textId="77777777" w:rsidR="007968EC" w:rsidRPr="002C0D19" w:rsidRDefault="007968EC" w:rsidP="007968EC">
      <w:pPr>
        <w:rPr>
          <w:rFonts w:ascii="Arial Narrow" w:eastAsia="Calibri" w:hAnsi="Arial Narrow" w:cs="Arial"/>
          <w:b/>
        </w:rPr>
      </w:pPr>
    </w:p>
    <w:p w14:paraId="75F7EEBD" w14:textId="77777777" w:rsidR="007968EC" w:rsidRPr="002C0D19" w:rsidRDefault="007968EC" w:rsidP="007968EC">
      <w:pPr>
        <w:pStyle w:val="TTULO"/>
        <w:rPr>
          <w:rFonts w:eastAsia="Calibri"/>
        </w:rPr>
      </w:pPr>
      <w:bookmarkStart w:id="6046" w:name="_Toc490066670"/>
      <w:bookmarkStart w:id="6047" w:name="_Toc31716332"/>
      <w:r w:rsidRPr="002C0D19">
        <w:rPr>
          <w:rFonts w:eastAsia="Calibri"/>
        </w:rPr>
        <w:t>TITULO PRIMERO</w:t>
      </w:r>
      <w:bookmarkEnd w:id="6046"/>
      <w:bookmarkEnd w:id="6047"/>
    </w:p>
    <w:p w14:paraId="438EB502" w14:textId="77777777" w:rsidR="007968EC" w:rsidRPr="002C0D19" w:rsidRDefault="007968EC" w:rsidP="007968EC">
      <w:pPr>
        <w:pStyle w:val="TTULO"/>
        <w:rPr>
          <w:rFonts w:eastAsia="Calibri"/>
        </w:rPr>
      </w:pPr>
    </w:p>
    <w:p w14:paraId="54C2DA61" w14:textId="77777777" w:rsidR="007968EC" w:rsidRPr="002C0D19" w:rsidRDefault="007968EC" w:rsidP="007968EC">
      <w:pPr>
        <w:pStyle w:val="TTULO"/>
        <w:rPr>
          <w:rFonts w:eastAsia="Calibri"/>
        </w:rPr>
      </w:pPr>
      <w:bookmarkStart w:id="6048" w:name="_Toc490066671"/>
      <w:bookmarkStart w:id="6049" w:name="_Toc31716333"/>
      <w:r w:rsidRPr="002C0D19">
        <w:rPr>
          <w:rFonts w:eastAsia="Calibri"/>
        </w:rPr>
        <w:t>MIEMBROS DE LA CÁMARA, AGENTES Y PARTICIPACIÓN EN EL SEGMENTO</w:t>
      </w:r>
      <w:bookmarkEnd w:id="6048"/>
      <w:bookmarkEnd w:id="6049"/>
    </w:p>
    <w:p w14:paraId="52408E1C" w14:textId="77777777" w:rsidR="007968EC" w:rsidRPr="002C0D19" w:rsidRDefault="007968EC" w:rsidP="007968EC">
      <w:pPr>
        <w:tabs>
          <w:tab w:val="left" w:pos="1620"/>
          <w:tab w:val="right" w:pos="8400"/>
        </w:tabs>
        <w:ind w:right="-42"/>
        <w:outlineLvl w:val="0"/>
        <w:rPr>
          <w:rFonts w:ascii="Arial Narrow" w:eastAsia="Calibri" w:hAnsi="Arial Narrow"/>
          <w:b/>
        </w:rPr>
      </w:pPr>
    </w:p>
    <w:p w14:paraId="11989DF8" w14:textId="77777777" w:rsidR="007968EC" w:rsidRPr="002C0D19" w:rsidRDefault="007968EC" w:rsidP="007968EC">
      <w:pPr>
        <w:pStyle w:val="TTULO"/>
        <w:rPr>
          <w:rFonts w:eastAsia="Calibri"/>
        </w:rPr>
      </w:pPr>
      <w:bookmarkStart w:id="6050" w:name="_Toc490066672"/>
      <w:bookmarkStart w:id="6051" w:name="_Toc31716334"/>
      <w:r w:rsidRPr="002C0D19">
        <w:rPr>
          <w:rFonts w:eastAsia="Calibri"/>
        </w:rPr>
        <w:t>CAPÍTULO PRIMERO</w:t>
      </w:r>
      <w:bookmarkEnd w:id="6050"/>
      <w:bookmarkEnd w:id="6051"/>
    </w:p>
    <w:p w14:paraId="26F0E5BF" w14:textId="77777777" w:rsidR="007968EC" w:rsidRPr="002C0D19" w:rsidRDefault="007968EC" w:rsidP="007968EC">
      <w:pPr>
        <w:pStyle w:val="TTULO"/>
        <w:rPr>
          <w:rFonts w:eastAsia="Calibri"/>
        </w:rPr>
      </w:pPr>
    </w:p>
    <w:p w14:paraId="02AAA223" w14:textId="77777777" w:rsidR="007968EC" w:rsidRPr="002C0D19" w:rsidRDefault="007968EC" w:rsidP="007968EC">
      <w:pPr>
        <w:pStyle w:val="TTULO"/>
        <w:rPr>
          <w:rFonts w:eastAsia="Calibri"/>
        </w:rPr>
      </w:pPr>
      <w:bookmarkStart w:id="6052" w:name="_Toc490066673"/>
      <w:bookmarkStart w:id="6053" w:name="_Toc31716335"/>
      <w:r w:rsidRPr="002C0D19">
        <w:rPr>
          <w:rFonts w:eastAsia="Calibri"/>
        </w:rPr>
        <w:t>REQUISITOS DE PARTICIPACIÓN, MODIFICACIÓN Y PERMANENCIA DE LOS MIEMBROS</w:t>
      </w:r>
      <w:bookmarkEnd w:id="6052"/>
      <w:bookmarkEnd w:id="6053"/>
      <w:r w:rsidRPr="002C0D19">
        <w:rPr>
          <w:rFonts w:eastAsia="Calibri"/>
        </w:rPr>
        <w:t xml:space="preserve"> </w:t>
      </w:r>
    </w:p>
    <w:p w14:paraId="671AD2B5" w14:textId="77777777" w:rsidR="007968EC" w:rsidRPr="002C0D19" w:rsidRDefault="007968EC" w:rsidP="007968EC">
      <w:pPr>
        <w:keepNext/>
        <w:tabs>
          <w:tab w:val="left" w:pos="1701"/>
        </w:tabs>
        <w:jc w:val="both"/>
        <w:outlineLvl w:val="2"/>
        <w:rPr>
          <w:rFonts w:ascii="Arial Narrow" w:eastAsia="Calibri" w:hAnsi="Arial Narrow" w:cs="Arial"/>
          <w:b/>
          <w:u w:val="single"/>
          <w:lang w:eastAsia="es-ES"/>
        </w:rPr>
      </w:pPr>
    </w:p>
    <w:p w14:paraId="0B125A3A" w14:textId="77777777" w:rsidR="007968EC" w:rsidRPr="002C0D19" w:rsidRDefault="007968EC" w:rsidP="007968EC">
      <w:pPr>
        <w:pStyle w:val="ARTICULO0"/>
        <w:rPr>
          <w:lang w:val="es-ES"/>
        </w:rPr>
      </w:pPr>
      <w:bookmarkStart w:id="6054" w:name="_Toc490066674"/>
      <w:bookmarkStart w:id="6055" w:name="_Toc31716336"/>
      <w:r w:rsidRPr="002C0D19">
        <w:rPr>
          <w:lang w:val="es-ES"/>
        </w:rPr>
        <w:t>Artículo 4.1.1.1. Solicitud para participar en el Segmento de Renta Variable y procedimiento operativo de ingreso.</w:t>
      </w:r>
      <w:bookmarkEnd w:id="6054"/>
      <w:bookmarkEnd w:id="6055"/>
      <w:r w:rsidRPr="002C0D19">
        <w:rPr>
          <w:lang w:val="es-ES"/>
        </w:rPr>
        <w:t xml:space="preserve"> </w:t>
      </w:r>
    </w:p>
    <w:p w14:paraId="5A1C1FD6" w14:textId="77777777" w:rsidR="007968EC" w:rsidRPr="002C0D19" w:rsidRDefault="007968EC" w:rsidP="007968EC">
      <w:pPr>
        <w:jc w:val="both"/>
        <w:rPr>
          <w:rFonts w:ascii="Arial Narrow" w:hAnsi="Arial Narrow" w:cs="Arial"/>
          <w:b/>
          <w:lang w:val="es-ES" w:eastAsia="es-ES"/>
        </w:rPr>
      </w:pPr>
    </w:p>
    <w:p w14:paraId="03FE3A80" w14:textId="77777777" w:rsidR="007968EC" w:rsidRPr="002C0D19" w:rsidRDefault="007968EC" w:rsidP="007968EC">
      <w:pPr>
        <w:jc w:val="both"/>
        <w:rPr>
          <w:rFonts w:ascii="Arial Narrow" w:eastAsia="Calibri" w:hAnsi="Arial Narrow"/>
        </w:rPr>
      </w:pPr>
      <w:r w:rsidRPr="002C0D19">
        <w:rPr>
          <w:rFonts w:ascii="Arial Narrow" w:hAnsi="Arial Narrow" w:cs="Arial"/>
          <w:lang w:val="es-ES" w:eastAsia="es-ES"/>
        </w:rPr>
        <w:lastRenderedPageBreak/>
        <w:t>Para</w:t>
      </w:r>
      <w:r w:rsidRPr="002C0D19">
        <w:rPr>
          <w:rFonts w:ascii="Arial Narrow" w:hAnsi="Arial Narrow" w:cs="Arial"/>
          <w:b/>
          <w:lang w:val="es-ES" w:eastAsia="es-ES"/>
        </w:rPr>
        <w:t xml:space="preserve"> </w:t>
      </w:r>
      <w:r w:rsidRPr="002C0D19">
        <w:rPr>
          <w:rFonts w:ascii="Arial Narrow" w:eastAsia="Calibri" w:hAnsi="Arial Narrow"/>
        </w:rPr>
        <w:t>participar en la Compensación y Liquidación en el Segmento de Renta Variable, los aspirantes a Miembros de la Cámara deben manifestar su interés de participación en la solicitud de admisión como Miembro en la modalidad de la que se trate, o en cualquier tiempo, una vez hayan sido admitidos, mediante escrito remitido al Gerente de la Cámara, Anexo 1.5.</w:t>
      </w:r>
    </w:p>
    <w:p w14:paraId="4B16E73D" w14:textId="77777777" w:rsidR="007968EC" w:rsidRPr="002C0D19" w:rsidRDefault="007968EC" w:rsidP="007968EC">
      <w:pPr>
        <w:jc w:val="both"/>
        <w:rPr>
          <w:rFonts w:ascii="Arial Narrow" w:eastAsia="Calibri" w:hAnsi="Arial Narrow"/>
        </w:rPr>
      </w:pPr>
    </w:p>
    <w:p w14:paraId="48B1E57A" w14:textId="77777777" w:rsidR="007968EC" w:rsidRPr="002C0D19" w:rsidRDefault="007968EC" w:rsidP="007968EC">
      <w:pPr>
        <w:jc w:val="both"/>
        <w:rPr>
          <w:rFonts w:ascii="Arial Narrow" w:eastAsia="Calibri" w:hAnsi="Arial Narrow"/>
        </w:rPr>
      </w:pPr>
      <w:r w:rsidRPr="002C0D19">
        <w:rPr>
          <w:rFonts w:ascii="Arial Narrow" w:eastAsia="Calibri" w:hAnsi="Arial Narrow"/>
        </w:rPr>
        <w:t xml:space="preserve">El procedimiento operativo de ingreso al Segmento de Renta Variable será el siguiente: </w:t>
      </w:r>
    </w:p>
    <w:p w14:paraId="6BBD5CBF" w14:textId="77777777" w:rsidR="007968EC" w:rsidRPr="002C0D19" w:rsidRDefault="007968EC" w:rsidP="007968EC">
      <w:pPr>
        <w:jc w:val="both"/>
        <w:rPr>
          <w:rFonts w:ascii="Arial Narrow" w:eastAsia="Calibri" w:hAnsi="Arial Narrow"/>
          <w:b/>
        </w:rPr>
      </w:pPr>
    </w:p>
    <w:p w14:paraId="5A9C0D03" w14:textId="77777777" w:rsidR="007968EC" w:rsidRPr="002C0D19" w:rsidRDefault="007968EC" w:rsidP="00DA7472">
      <w:pPr>
        <w:numPr>
          <w:ilvl w:val="0"/>
          <w:numId w:val="273"/>
        </w:numPr>
        <w:ind w:left="426"/>
        <w:contextualSpacing/>
        <w:jc w:val="both"/>
        <w:rPr>
          <w:rFonts w:ascii="Arial Narrow" w:eastAsia="Calibri" w:hAnsi="Arial Narrow"/>
        </w:rPr>
      </w:pPr>
      <w:r w:rsidRPr="002C0D19">
        <w:rPr>
          <w:rFonts w:ascii="Arial Narrow" w:eastAsia="Calibri" w:hAnsi="Arial Narrow"/>
        </w:rPr>
        <w:t xml:space="preserve">Presentar Carta de solicitud de ingreso al Gerente de la Cámara o quien este designe en la cual se identifique que el Miembro está interesado en participar en la Compensación y Liquidación para el Segmento de Renta Variable, según el formato establecido en el Anexo 1.5, debidamente diligenciada y suscrita por un representante legal. </w:t>
      </w:r>
    </w:p>
    <w:p w14:paraId="2FAC0F39" w14:textId="77777777" w:rsidR="007968EC" w:rsidRPr="002C0D19" w:rsidRDefault="007968EC" w:rsidP="007968EC">
      <w:pPr>
        <w:ind w:left="426"/>
        <w:contextualSpacing/>
        <w:jc w:val="both"/>
        <w:rPr>
          <w:rFonts w:ascii="Arial Narrow" w:eastAsia="Calibri" w:hAnsi="Arial Narrow"/>
        </w:rPr>
      </w:pPr>
    </w:p>
    <w:p w14:paraId="76D0BD18" w14:textId="77777777" w:rsidR="007968EC" w:rsidRPr="002C0D19" w:rsidRDefault="007968EC" w:rsidP="007968EC">
      <w:pPr>
        <w:ind w:left="426"/>
        <w:contextualSpacing/>
        <w:jc w:val="both"/>
        <w:rPr>
          <w:rFonts w:ascii="Arial Narrow" w:eastAsia="Calibri" w:hAnsi="Arial Narrow"/>
        </w:rPr>
      </w:pPr>
      <w:r w:rsidRPr="002C0D19">
        <w:rPr>
          <w:rFonts w:ascii="Arial Narrow" w:eastAsia="Calibri" w:hAnsi="Arial Narrow"/>
        </w:rPr>
        <w:t>Cuando se trate de la solicitud de ingreso de un Miembro No Liquidador al Segmento de Renta Variable, será indispensable contar con la aceptación de su Miembro Liquidador General y que este último ingrese o se encuentre participando en el respectivo Segmento.</w:t>
      </w:r>
    </w:p>
    <w:p w14:paraId="40F3352F" w14:textId="77777777" w:rsidR="007968EC" w:rsidRPr="002C0D19" w:rsidRDefault="007968EC" w:rsidP="007968EC">
      <w:pPr>
        <w:ind w:left="426"/>
        <w:contextualSpacing/>
        <w:jc w:val="both"/>
        <w:rPr>
          <w:rFonts w:ascii="Arial Narrow" w:eastAsia="Calibri" w:hAnsi="Arial Narrow"/>
        </w:rPr>
      </w:pPr>
    </w:p>
    <w:p w14:paraId="4D4C2277" w14:textId="77777777" w:rsidR="007968EC" w:rsidRPr="002C0D19" w:rsidRDefault="007968EC" w:rsidP="00DA7472">
      <w:pPr>
        <w:numPr>
          <w:ilvl w:val="0"/>
          <w:numId w:val="273"/>
        </w:numPr>
        <w:ind w:left="426" w:hanging="426"/>
        <w:contextualSpacing/>
        <w:jc w:val="both"/>
        <w:rPr>
          <w:rFonts w:ascii="Arial Narrow" w:eastAsia="Calibri" w:hAnsi="Arial Narrow"/>
        </w:rPr>
      </w:pPr>
      <w:r w:rsidRPr="002C0D19">
        <w:rPr>
          <w:rFonts w:ascii="Arial Narrow" w:eastAsia="Calibri" w:hAnsi="Arial Narrow"/>
        </w:rPr>
        <w:t>El Subgerente de Riesgos y Operaciones o el Administrador de Riesgos y Operaciones de Mercado de la Cámara o el funcionario que estos designen, validará que el Miembro cumpla con los requerimientos establecidos para el ingreso al Segmento de acuerdo con lo establecido en los artículos 4.1.1.2. y 4.1.1.3. de la presente Circular según corresponda.</w:t>
      </w:r>
    </w:p>
    <w:p w14:paraId="7CD319A0" w14:textId="77777777" w:rsidR="007968EC" w:rsidRPr="002C0D19" w:rsidRDefault="007968EC" w:rsidP="007968EC">
      <w:pPr>
        <w:ind w:left="426"/>
        <w:contextualSpacing/>
        <w:jc w:val="both"/>
        <w:rPr>
          <w:rFonts w:ascii="Arial Narrow" w:eastAsia="Calibri" w:hAnsi="Arial Narrow"/>
        </w:rPr>
      </w:pPr>
    </w:p>
    <w:p w14:paraId="498B0CA1" w14:textId="77777777" w:rsidR="007968EC" w:rsidRPr="002C0D19" w:rsidRDefault="007968EC" w:rsidP="00DA7472">
      <w:pPr>
        <w:numPr>
          <w:ilvl w:val="0"/>
          <w:numId w:val="273"/>
        </w:numPr>
        <w:ind w:left="426" w:hanging="426"/>
        <w:contextualSpacing/>
        <w:jc w:val="both"/>
        <w:rPr>
          <w:rFonts w:ascii="Arial Narrow" w:eastAsia="Calibri" w:hAnsi="Arial Narrow"/>
        </w:rPr>
      </w:pPr>
      <w:r w:rsidRPr="002C0D19">
        <w:rPr>
          <w:rFonts w:ascii="Arial Narrow" w:eastAsia="Calibri" w:hAnsi="Arial Narrow"/>
        </w:rPr>
        <w:t>El Subgerente de Riesgos y Operaciones/Administrador de Riesgos y Operaciones de Mercado de la Cámara o el funcionario que estos designen, notificará al Administrador registrado del Miembro, vía correo electrónico cuando esté habilitada la participación del Miembro en el Segmento solicitado.</w:t>
      </w:r>
    </w:p>
    <w:p w14:paraId="76705FEA" w14:textId="77777777" w:rsidR="007968EC" w:rsidRPr="002C0D19" w:rsidRDefault="007968EC" w:rsidP="007968EC">
      <w:pPr>
        <w:keepNext/>
        <w:autoSpaceDE w:val="0"/>
        <w:autoSpaceDN w:val="0"/>
        <w:contextualSpacing/>
        <w:jc w:val="both"/>
        <w:rPr>
          <w:rFonts w:ascii="Arial Narrow" w:hAnsi="Arial Narrow" w:cs="Arial"/>
          <w:bCs/>
          <w:lang w:eastAsia="es-ES"/>
        </w:rPr>
      </w:pPr>
    </w:p>
    <w:p w14:paraId="501C95A2" w14:textId="77777777" w:rsidR="007968EC" w:rsidRPr="002C0D19" w:rsidRDefault="007968EC" w:rsidP="007968EC">
      <w:pPr>
        <w:pStyle w:val="ARTICULO0"/>
        <w:rPr>
          <w:lang w:val="es-ES"/>
        </w:rPr>
      </w:pPr>
      <w:bookmarkStart w:id="6056" w:name="_Toc31716337"/>
      <w:r w:rsidRPr="002C0D19">
        <w:rPr>
          <w:lang w:val="es-ES"/>
        </w:rPr>
        <w:t>Artículo 4.1.1.2. Requisito de patrimonio técnico del Miembro Liquidador General para Participar en el Segmento de Renta Variable.</w:t>
      </w:r>
      <w:bookmarkEnd w:id="6056"/>
    </w:p>
    <w:p w14:paraId="73A54AFB" w14:textId="77777777" w:rsidR="007968EC" w:rsidRDefault="007968EC" w:rsidP="007968EC">
      <w:pPr>
        <w:jc w:val="both"/>
        <w:rPr>
          <w:rFonts w:ascii="Arial Narrow" w:hAnsi="Arial Narrow" w:cs="Arial"/>
          <w:lang w:val="es-ES" w:eastAsia="es-ES"/>
        </w:rPr>
      </w:pPr>
    </w:p>
    <w:p w14:paraId="273A64F0" w14:textId="77777777" w:rsidR="007968EC" w:rsidRDefault="007968EC" w:rsidP="007968EC">
      <w:pPr>
        <w:pStyle w:val="ANTECEDENTES"/>
      </w:pPr>
      <w:r>
        <w:t xml:space="preserve">(Este artículo fue modificado mediante Circular 1 del 13 de febrero de 2018, publicada en el Boletín Normativo No. 002 del 13 de febrero de 2018, </w:t>
      </w:r>
      <w:r w:rsidRPr="009207FD">
        <w:t xml:space="preserve">mediante Circular </w:t>
      </w:r>
      <w:r>
        <w:t>1</w:t>
      </w:r>
      <w:r w:rsidRPr="009207FD">
        <w:t xml:space="preserve"> del </w:t>
      </w:r>
      <w:r>
        <w:t>15 de enero de 2019</w:t>
      </w:r>
      <w:r w:rsidRPr="009207FD">
        <w:t>, publicada en el Boletín Normativo N</w:t>
      </w:r>
      <w:r>
        <w:t xml:space="preserve">o. 001 del 15 de enero de 2019 y mediante Circular 1 del 10 de enero de 2020, publicada en el Boletín Normativo No. 001 del 10 de enero de 2020. </w:t>
      </w:r>
      <w:r w:rsidRPr="009207FD">
        <w:t xml:space="preserve">Rige a partir del </w:t>
      </w:r>
      <w:r>
        <w:t>13 de enero de 2020</w:t>
      </w:r>
      <w:r w:rsidRPr="002C0D19">
        <w:t>.)</w:t>
      </w:r>
    </w:p>
    <w:p w14:paraId="063F1871" w14:textId="77777777" w:rsidR="007968EC" w:rsidRPr="002C0D19" w:rsidRDefault="007968EC" w:rsidP="007968EC">
      <w:pPr>
        <w:jc w:val="both"/>
        <w:rPr>
          <w:rFonts w:ascii="Arial Narrow" w:hAnsi="Arial Narrow" w:cs="Arial"/>
          <w:lang w:val="es-ES" w:eastAsia="es-ES"/>
        </w:rPr>
      </w:pPr>
    </w:p>
    <w:p w14:paraId="3D9964F1" w14:textId="77777777" w:rsidR="007968EC" w:rsidRDefault="007968EC" w:rsidP="007968EC">
      <w:pPr>
        <w:jc w:val="both"/>
        <w:rPr>
          <w:rFonts w:ascii="Arial Narrow" w:eastAsia="Calibri" w:hAnsi="Arial Narrow"/>
          <w:bCs/>
        </w:rPr>
      </w:pPr>
      <w:r w:rsidRPr="002C0D19">
        <w:rPr>
          <w:rFonts w:ascii="Arial Narrow" w:eastAsia="Calibri" w:hAnsi="Arial Narrow"/>
        </w:rPr>
        <w:t xml:space="preserve">El requisito de patrimonio técnico mínimo para los Miembros Liquidadores Generales, de acceso y permanencia, para participar en la Compensación y Liquidación en el Segmento de Renta Variable de la Cámara será el mismo que se les exige para tener la calidad de Miembros Liquidadores Generales de la Cámara en el artículo 1.2.1.2. de la presente Circular, esto es, </w:t>
      </w:r>
      <w:r w:rsidRPr="00D72ADE">
        <w:rPr>
          <w:rFonts w:ascii="Arial Narrow" w:eastAsia="Calibri" w:hAnsi="Arial Narrow"/>
        </w:rPr>
        <w:t>para el año 2020, la suma de cien mil cuatrocientos noventa y dos millones de pesos ($100.492.000.000)</w:t>
      </w:r>
      <w:r w:rsidRPr="002C0D19">
        <w:rPr>
          <w:rFonts w:ascii="Arial Narrow" w:hAnsi="Arial Narrow" w:cs="Arial"/>
          <w:color w:val="000000" w:themeColor="text1"/>
          <w:lang w:val="es-ES" w:eastAsia="es-ES"/>
        </w:rPr>
        <w:t xml:space="preserve"> </w:t>
      </w:r>
      <w:r w:rsidRPr="002C0D19">
        <w:rPr>
          <w:rFonts w:ascii="Arial Narrow" w:eastAsia="Calibri" w:hAnsi="Arial Narrow"/>
        </w:rPr>
        <w:t xml:space="preserve">moneda corriente, </w:t>
      </w:r>
      <w:r w:rsidRPr="002C0D19">
        <w:rPr>
          <w:rFonts w:ascii="Arial Narrow" w:eastAsia="Calibri" w:hAnsi="Arial Narrow"/>
          <w:bCs/>
        </w:rPr>
        <w:t>valor que se ajustará anualmente, en el mes de enero, en forma automática en el mismo sentido y porcentaje en que varíe el índice de precios al consumidor que suministre el DANE.</w:t>
      </w:r>
    </w:p>
    <w:p w14:paraId="40C24CBD" w14:textId="77777777" w:rsidR="007968EC" w:rsidRPr="002C0D19" w:rsidRDefault="007968EC" w:rsidP="007968EC">
      <w:pPr>
        <w:jc w:val="both"/>
        <w:rPr>
          <w:rFonts w:ascii="Arial Narrow" w:eastAsia="Calibri" w:hAnsi="Arial Narrow"/>
          <w:bCs/>
        </w:rPr>
      </w:pPr>
    </w:p>
    <w:p w14:paraId="7906CAAB" w14:textId="77777777" w:rsidR="007968EC" w:rsidRPr="002C0D19" w:rsidRDefault="007968EC" w:rsidP="007968EC">
      <w:pPr>
        <w:pStyle w:val="ARTICULO0"/>
        <w:rPr>
          <w:lang w:val="es-ES"/>
        </w:rPr>
      </w:pPr>
      <w:bookmarkStart w:id="6057" w:name="_Toc31716338"/>
      <w:r w:rsidRPr="002C0D19">
        <w:rPr>
          <w:lang w:val="es-ES"/>
        </w:rPr>
        <w:lastRenderedPageBreak/>
        <w:t>Artículo 4.1.1.3. Requisito de patrimonio técnico del Miembro Liquidador Individual para Participar en el Segmento de Renta Variable.</w:t>
      </w:r>
      <w:bookmarkEnd w:id="6057"/>
    </w:p>
    <w:p w14:paraId="149A046D" w14:textId="77777777" w:rsidR="007968EC" w:rsidRDefault="007968EC" w:rsidP="007968EC">
      <w:pPr>
        <w:jc w:val="both"/>
        <w:rPr>
          <w:rFonts w:ascii="Arial Narrow" w:hAnsi="Arial Narrow" w:cs="Arial"/>
          <w:lang w:val="es-ES" w:eastAsia="es-ES"/>
        </w:rPr>
      </w:pPr>
    </w:p>
    <w:p w14:paraId="73A87846" w14:textId="77777777" w:rsidR="007968EC" w:rsidRDefault="007968EC" w:rsidP="007968EC">
      <w:pPr>
        <w:pStyle w:val="ANTECEDENTES"/>
        <w:rPr>
          <w:lang w:val="es-ES"/>
        </w:rPr>
      </w:pPr>
      <w:r>
        <w:t xml:space="preserve">(Este artículo fue modificado mediante Circular 1 del 13 de febrero de 2018, publicada en el Boletín Normativo No. 002 del 13 de febrero de 2018, </w:t>
      </w:r>
      <w:r w:rsidRPr="009207FD">
        <w:t xml:space="preserve">mediante Circular </w:t>
      </w:r>
      <w:r>
        <w:t>1</w:t>
      </w:r>
      <w:r w:rsidRPr="009207FD">
        <w:t xml:space="preserve"> del </w:t>
      </w:r>
      <w:r>
        <w:t>15 de enero de 2019</w:t>
      </w:r>
      <w:r w:rsidRPr="009207FD">
        <w:t>, publicada en el Boletín Normativo N</w:t>
      </w:r>
      <w:r>
        <w:t>o. 001 del 15 de enero de 2019</w:t>
      </w:r>
      <w:r w:rsidRPr="00D72ADE">
        <w:t xml:space="preserve"> </w:t>
      </w:r>
      <w:r>
        <w:t xml:space="preserve">y mediante Circular 1 del 10 de enero de 2020, publicada en el Boletín Normativo No. 001 del 10 de enero de 2020. </w:t>
      </w:r>
      <w:r w:rsidRPr="009207FD">
        <w:t xml:space="preserve">Rige a partir del </w:t>
      </w:r>
      <w:r>
        <w:t>13 de enero de 2020</w:t>
      </w:r>
      <w:r w:rsidRPr="002C0D19">
        <w:t>.)</w:t>
      </w:r>
    </w:p>
    <w:p w14:paraId="211B1BDA" w14:textId="77777777" w:rsidR="007968EC" w:rsidRPr="002C0D19" w:rsidRDefault="007968EC" w:rsidP="007968EC">
      <w:pPr>
        <w:jc w:val="both"/>
        <w:rPr>
          <w:rFonts w:ascii="Arial Narrow" w:hAnsi="Arial Narrow" w:cs="Arial"/>
          <w:lang w:val="es-ES" w:eastAsia="es-ES"/>
        </w:rPr>
      </w:pPr>
    </w:p>
    <w:p w14:paraId="28084EF1" w14:textId="77777777" w:rsidR="007968EC" w:rsidRPr="002C0D19" w:rsidRDefault="007968EC" w:rsidP="007968EC">
      <w:pPr>
        <w:jc w:val="both"/>
        <w:rPr>
          <w:rFonts w:ascii="Arial Narrow" w:eastAsia="Calibri" w:hAnsi="Arial Narrow"/>
        </w:rPr>
      </w:pPr>
      <w:r w:rsidRPr="002C0D19">
        <w:rPr>
          <w:rFonts w:ascii="Arial Narrow" w:hAnsi="Arial Narrow" w:cs="Arial"/>
          <w:lang w:val="es-ES" w:eastAsia="es-ES"/>
        </w:rPr>
        <w:t xml:space="preserve">El </w:t>
      </w:r>
      <w:r w:rsidRPr="002C0D19">
        <w:rPr>
          <w:rFonts w:ascii="Arial Narrow" w:eastAsia="Calibri" w:hAnsi="Arial Narrow"/>
        </w:rPr>
        <w:t xml:space="preserve">requisito de patrimonio técnico mínimo para los Miembros Liquidadores Individuales, de acceso y permanencia, para participar en la Compensación y Liquidación en el Segmento de Renta Variable de la Cámara </w:t>
      </w:r>
      <w:r w:rsidRPr="00D72ADE">
        <w:rPr>
          <w:rFonts w:ascii="Arial Narrow" w:eastAsia="Calibri" w:hAnsi="Arial Narrow"/>
        </w:rPr>
        <w:t xml:space="preserve">para el año 2020 será de dos mil setecientos ochenta y siete millones de pesos ($2.787.000.000) </w:t>
      </w:r>
      <w:r w:rsidRPr="002C0D19">
        <w:rPr>
          <w:rFonts w:ascii="Arial Narrow" w:eastAsia="Calibri" w:hAnsi="Arial Narrow"/>
        </w:rPr>
        <w:t xml:space="preserve"> moneda corriente, valor que se ajustará anualmente, en el mes de enero, en forma automática en el mismo sentido y porcentaje en que varíe el Índice de precios al consumidor que suministre el DANE. En todo caso, de acuerdo con lo establecido en el Parágrafo Primero del Artículo 1.2.1.3. de la presente Circular si la entidad pretende </w:t>
      </w:r>
      <w:r w:rsidRPr="002C0D19">
        <w:rPr>
          <w:rFonts w:ascii="Arial Narrow" w:hAnsi="Arial Narrow" w:cs="Arial"/>
          <w:lang w:val="es-ES" w:eastAsia="es-ES"/>
        </w:rPr>
        <w:t>participar en algún otro u otros Segmentos que requieran un mayor valor de patrimonio técnico, el aspirante a Miembro Liquidador Individual deberá acreditar el requisito mínimo de patrimonio técnico correspondiente al mayor valor de los requerimientos de patrimonio técnico de todos los Segmentos en los que pretenda participar.</w:t>
      </w:r>
    </w:p>
    <w:p w14:paraId="61C937BC" w14:textId="77777777" w:rsidR="007968EC" w:rsidRPr="002C0D19" w:rsidRDefault="007968EC" w:rsidP="007968EC">
      <w:pPr>
        <w:jc w:val="both"/>
        <w:rPr>
          <w:rFonts w:ascii="Arial Narrow" w:eastAsia="Calibri" w:hAnsi="Arial Narrow"/>
          <w:bCs/>
        </w:rPr>
      </w:pPr>
    </w:p>
    <w:p w14:paraId="7F6C0C5F" w14:textId="77777777" w:rsidR="007968EC" w:rsidRPr="002C0D19" w:rsidRDefault="007968EC" w:rsidP="007968EC">
      <w:pPr>
        <w:pStyle w:val="ARTICULO0"/>
        <w:rPr>
          <w:lang w:val="es-ES"/>
        </w:rPr>
      </w:pPr>
      <w:bookmarkStart w:id="6058" w:name="_Toc31716339"/>
      <w:r w:rsidRPr="002C0D19">
        <w:rPr>
          <w:lang w:val="es-ES"/>
        </w:rPr>
        <w:t>Artículo 4.1.1.4. Calificaciones de riesgo mínimas exigidas para el Miembro Liquidador Individual.</w:t>
      </w:r>
      <w:bookmarkEnd w:id="6058"/>
    </w:p>
    <w:p w14:paraId="6F2399FC" w14:textId="77777777" w:rsidR="007968EC" w:rsidRPr="002C0D19" w:rsidRDefault="007968EC" w:rsidP="007968EC">
      <w:pPr>
        <w:jc w:val="both"/>
        <w:rPr>
          <w:rFonts w:ascii="Arial Narrow" w:hAnsi="Arial Narrow" w:cs="Arial"/>
          <w:lang w:val="es-ES" w:eastAsia="es-ES"/>
        </w:rPr>
      </w:pPr>
    </w:p>
    <w:p w14:paraId="43D753F4"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lang w:val="es-ES" w:eastAsia="es-ES"/>
        </w:rPr>
        <w:t xml:space="preserve">Para participar en la modalidad de Miembro Liquidador Individual en el Segmento de Renta Variable no se requiere acreditar una calificación de riesgo emitida por una Calificadora de Riesgos autorizada por la Superintendencia Financiera de Colombia.  En tal caso, la Cámara asignará el valor de cero (0) a los límites de riesgo, Límite de Riesgo Intradía – LRI y Límite de Margin Call – LMC. </w:t>
      </w:r>
    </w:p>
    <w:p w14:paraId="36BC97C6" w14:textId="77777777" w:rsidR="007968EC" w:rsidRPr="002C0D19" w:rsidRDefault="007968EC" w:rsidP="007968EC">
      <w:pPr>
        <w:jc w:val="both"/>
        <w:rPr>
          <w:rFonts w:ascii="Arial Narrow" w:hAnsi="Arial Narrow" w:cs="Arial"/>
          <w:lang w:val="es-ES" w:eastAsia="es-ES"/>
        </w:rPr>
      </w:pPr>
    </w:p>
    <w:p w14:paraId="7C17627D"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lang w:val="es-ES" w:eastAsia="es-ES"/>
        </w:rPr>
        <w:t xml:space="preserve">No obstante lo anterior, en el evento en que el Miembro Liquidador Individual acredite las calificaciones mínimas de riesgo exigidas en el artículo 1.2.1.4. de la presente Circular, la Cámara le asignará los límites de riesgo respectivos. </w:t>
      </w:r>
    </w:p>
    <w:p w14:paraId="282A5444" w14:textId="77777777" w:rsidR="007968EC" w:rsidRPr="002C0D19" w:rsidRDefault="007968EC" w:rsidP="007968EC">
      <w:pPr>
        <w:jc w:val="both"/>
        <w:rPr>
          <w:rFonts w:ascii="Arial Narrow" w:hAnsi="Arial Narrow" w:cs="Arial"/>
          <w:lang w:val="es-ES" w:eastAsia="es-ES"/>
        </w:rPr>
      </w:pPr>
    </w:p>
    <w:p w14:paraId="7AEF7C1B" w14:textId="77777777" w:rsidR="007968EC" w:rsidRPr="002C0D19" w:rsidRDefault="007968EC" w:rsidP="007968EC">
      <w:pPr>
        <w:pStyle w:val="ARTICULO0"/>
      </w:pPr>
      <w:bookmarkStart w:id="6059" w:name="_Toc490066675"/>
      <w:bookmarkStart w:id="6060" w:name="_Toc31716340"/>
      <w:r w:rsidRPr="002C0D19">
        <w:t>Artículo 4.1.1.5. Procedimiento operativo para el retiro del Segmento de Renta Variable.</w:t>
      </w:r>
      <w:bookmarkEnd w:id="6059"/>
      <w:bookmarkEnd w:id="6060"/>
    </w:p>
    <w:p w14:paraId="50791BFB" w14:textId="77777777" w:rsidR="007968EC" w:rsidRPr="002C0D19" w:rsidRDefault="007968EC" w:rsidP="007968EC">
      <w:pPr>
        <w:jc w:val="both"/>
        <w:rPr>
          <w:rFonts w:ascii="Arial Narrow" w:hAnsi="Arial Narrow" w:cs="Arial"/>
          <w:lang w:val="es-ES" w:eastAsia="es-ES"/>
        </w:rPr>
      </w:pPr>
      <w:bookmarkStart w:id="6061" w:name="_Toc490066676"/>
    </w:p>
    <w:p w14:paraId="513355E8"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lang w:val="es-ES" w:eastAsia="es-ES"/>
        </w:rPr>
        <w:t>Para el retiro voluntario de un Miembro de la Compensación y Liquidación del Segmento de Renta Variable deberá seguir el siguiente procedimiento:</w:t>
      </w:r>
      <w:bookmarkEnd w:id="6061"/>
      <w:r w:rsidRPr="002C0D19">
        <w:rPr>
          <w:rFonts w:ascii="Arial Narrow" w:hAnsi="Arial Narrow" w:cs="Arial"/>
          <w:lang w:val="es-ES" w:eastAsia="es-ES"/>
        </w:rPr>
        <w:t xml:space="preserve"> </w:t>
      </w:r>
    </w:p>
    <w:p w14:paraId="39738A6F" w14:textId="77777777" w:rsidR="007968EC" w:rsidRPr="002C0D19" w:rsidRDefault="007968EC" w:rsidP="007968EC">
      <w:pPr>
        <w:rPr>
          <w:rFonts w:ascii="Arial Narrow" w:hAnsi="Arial Narrow" w:cs="Arial"/>
          <w:lang w:val="es-ES" w:eastAsia="es-ES"/>
        </w:rPr>
      </w:pPr>
    </w:p>
    <w:p w14:paraId="2092A668" w14:textId="77777777" w:rsidR="007968EC" w:rsidRPr="002C0D19" w:rsidRDefault="007968EC" w:rsidP="00DA7472">
      <w:pPr>
        <w:numPr>
          <w:ilvl w:val="0"/>
          <w:numId w:val="274"/>
        </w:numPr>
        <w:tabs>
          <w:tab w:val="num" w:pos="567"/>
        </w:tabs>
        <w:ind w:left="567" w:hanging="567"/>
        <w:jc w:val="both"/>
        <w:rPr>
          <w:rFonts w:ascii="Arial Narrow" w:eastAsia="Calibri" w:hAnsi="Arial Narrow"/>
        </w:rPr>
      </w:pPr>
      <w:r w:rsidRPr="002C0D19">
        <w:rPr>
          <w:rFonts w:ascii="Arial Narrow" w:eastAsia="Calibri" w:hAnsi="Arial Narrow"/>
        </w:rPr>
        <w:t xml:space="preserve">El Miembro deberá enviar diligenciado el Anexo 1.6 Carta de Solicitud de Retiro de Segmento junto con un plan detallado de retiro en el cual se defina el manejo de las obligaciones de cada una de las Cuentas y el cronograma de cumplimiento para el Segmento de Renta Variable. </w:t>
      </w:r>
      <w:proofErr w:type="gramStart"/>
      <w:r w:rsidRPr="002C0D19">
        <w:rPr>
          <w:rFonts w:ascii="Arial Narrow" w:eastAsia="Calibri" w:hAnsi="Arial Narrow"/>
        </w:rPr>
        <w:t>Éste</w:t>
      </w:r>
      <w:proofErr w:type="gramEnd"/>
      <w:r w:rsidRPr="002C0D19">
        <w:rPr>
          <w:rFonts w:ascii="Arial Narrow" w:eastAsia="Calibri" w:hAnsi="Arial Narrow"/>
        </w:rPr>
        <w:t xml:space="preserve"> plan se deberá dar a conocer y ser aprobado previamente por los titulares de cada una de las Cuentas y aceptado por el Gerente de la Cámara o quien este designe. </w:t>
      </w:r>
    </w:p>
    <w:p w14:paraId="3506B4B4" w14:textId="77777777" w:rsidR="007968EC" w:rsidRPr="002C0D19" w:rsidRDefault="007968EC" w:rsidP="00DA7472">
      <w:pPr>
        <w:numPr>
          <w:ilvl w:val="0"/>
          <w:numId w:val="274"/>
        </w:numPr>
        <w:ind w:left="540" w:hanging="540"/>
        <w:jc w:val="both"/>
        <w:rPr>
          <w:rFonts w:ascii="Arial Narrow" w:eastAsia="Calibri" w:hAnsi="Arial Narrow"/>
        </w:rPr>
      </w:pPr>
      <w:r w:rsidRPr="002C0D19">
        <w:rPr>
          <w:rFonts w:ascii="Arial Narrow" w:eastAsia="Calibri" w:hAnsi="Arial Narrow"/>
        </w:rPr>
        <w:t>La Cámara aceptará las operaciones del Miembro en el Segmento de Renta Variable, siempre y cuando dichas operaciones se realicen para disminuir el riesgo operativo.</w:t>
      </w:r>
    </w:p>
    <w:p w14:paraId="5D4F3DD2" w14:textId="77777777" w:rsidR="007968EC" w:rsidRPr="002C0D19" w:rsidRDefault="007968EC" w:rsidP="00DA7472">
      <w:pPr>
        <w:numPr>
          <w:ilvl w:val="0"/>
          <w:numId w:val="274"/>
        </w:numPr>
        <w:ind w:left="540" w:hanging="540"/>
        <w:jc w:val="both"/>
        <w:rPr>
          <w:rFonts w:ascii="Arial Narrow" w:eastAsia="Calibri" w:hAnsi="Arial Narrow"/>
        </w:rPr>
      </w:pPr>
      <w:r w:rsidRPr="002C0D19">
        <w:rPr>
          <w:rFonts w:ascii="Arial Narrow" w:eastAsia="Calibri" w:hAnsi="Arial Narrow"/>
        </w:rPr>
        <w:lastRenderedPageBreak/>
        <w:t>La Cámara le permitirá el acceso al Segmento y la gestión de operaciones siempre y cuando correspondan al plan de retiro detallado.</w:t>
      </w:r>
    </w:p>
    <w:p w14:paraId="440398BA" w14:textId="77777777" w:rsidR="007968EC" w:rsidRPr="002C0D19" w:rsidRDefault="007968EC" w:rsidP="00DA7472">
      <w:pPr>
        <w:numPr>
          <w:ilvl w:val="0"/>
          <w:numId w:val="274"/>
        </w:numPr>
        <w:ind w:left="540" w:hanging="540"/>
        <w:jc w:val="both"/>
        <w:rPr>
          <w:rFonts w:ascii="Arial Narrow" w:eastAsia="Calibri" w:hAnsi="Arial Narrow"/>
        </w:rPr>
      </w:pPr>
      <w:r w:rsidRPr="002C0D19">
        <w:rPr>
          <w:rFonts w:ascii="Arial Narrow" w:eastAsia="Calibri" w:hAnsi="Arial Narrow"/>
        </w:rPr>
        <w:t>En ninguna forma se debe entender que el procedimiento de retiro de un Segmento limita el derecho de la Cámara de exigir y recibir el pago de las obligaciones del Miembro establecidas de acuerdo con el Reglamento.</w:t>
      </w:r>
    </w:p>
    <w:p w14:paraId="5906DF93" w14:textId="77777777" w:rsidR="007968EC" w:rsidRPr="002C0D19" w:rsidRDefault="007968EC" w:rsidP="00DA7472">
      <w:pPr>
        <w:numPr>
          <w:ilvl w:val="0"/>
          <w:numId w:val="274"/>
        </w:numPr>
        <w:ind w:left="540" w:hanging="540"/>
        <w:jc w:val="both"/>
        <w:rPr>
          <w:rFonts w:ascii="Arial Narrow" w:eastAsia="Calibri" w:hAnsi="Arial Narrow"/>
        </w:rPr>
      </w:pPr>
      <w:r w:rsidRPr="002C0D19">
        <w:rPr>
          <w:rFonts w:ascii="Arial Narrow" w:eastAsia="Calibri" w:hAnsi="Arial Narrow"/>
        </w:rPr>
        <w:t>El Gerente de la Cámara podrá aplazar la fecha de retiro del Segmento si el Miembro que ha solicitado su retiro o sus Terceros, tienen un retardo o Incumplimiento.</w:t>
      </w:r>
    </w:p>
    <w:p w14:paraId="77BBF998" w14:textId="77777777" w:rsidR="007968EC" w:rsidRPr="002C0D19" w:rsidRDefault="007968EC" w:rsidP="007968EC">
      <w:pPr>
        <w:jc w:val="both"/>
        <w:rPr>
          <w:rFonts w:ascii="Arial Narrow" w:eastAsia="Calibri" w:hAnsi="Arial Narrow"/>
        </w:rPr>
      </w:pPr>
    </w:p>
    <w:p w14:paraId="01632B57" w14:textId="77777777" w:rsidR="007968EC" w:rsidRPr="002C0D19" w:rsidRDefault="007968EC" w:rsidP="007968EC">
      <w:pPr>
        <w:jc w:val="both"/>
        <w:rPr>
          <w:rFonts w:ascii="Arial Narrow" w:eastAsia="Calibri" w:hAnsi="Arial Narrow"/>
          <w:lang w:val="es-ES"/>
        </w:rPr>
      </w:pPr>
      <w:r w:rsidRPr="002C0D19">
        <w:rPr>
          <w:rFonts w:ascii="Arial Narrow" w:eastAsia="Calibri" w:hAnsi="Arial Narrow"/>
          <w:b/>
        </w:rPr>
        <w:t xml:space="preserve">Parágrafo. </w:t>
      </w:r>
      <w:r w:rsidRPr="002C0D19">
        <w:rPr>
          <w:rFonts w:ascii="Arial Narrow" w:eastAsia="Calibri" w:hAnsi="Arial Narrow"/>
        </w:rPr>
        <w:t>El Miembro No Liquidador que esté interesado en retirarse del Segmento de Renta Variable deberá presentar la solicitud respectiva con el plan detallado de retiro aprobado por su Miembro Liquidador General.</w:t>
      </w:r>
    </w:p>
    <w:p w14:paraId="54826A77" w14:textId="77777777" w:rsidR="007968EC" w:rsidRPr="002C0D19" w:rsidRDefault="007968EC" w:rsidP="007968EC">
      <w:pPr>
        <w:jc w:val="both"/>
        <w:rPr>
          <w:rFonts w:ascii="Arial Narrow" w:eastAsia="Calibri" w:hAnsi="Arial Narrow"/>
        </w:rPr>
      </w:pPr>
    </w:p>
    <w:p w14:paraId="2A3B4A79" w14:textId="77777777" w:rsidR="007968EC" w:rsidRDefault="007968EC" w:rsidP="007968EC">
      <w:pPr>
        <w:tabs>
          <w:tab w:val="left" w:pos="1620"/>
          <w:tab w:val="right" w:pos="8400"/>
        </w:tabs>
        <w:ind w:left="1620" w:right="-42" w:hanging="1620"/>
        <w:jc w:val="center"/>
        <w:outlineLvl w:val="0"/>
        <w:rPr>
          <w:rFonts w:ascii="Arial Narrow" w:eastAsia="Calibri" w:hAnsi="Arial Narrow"/>
          <w:b/>
        </w:rPr>
      </w:pPr>
      <w:bookmarkStart w:id="6062" w:name="_Toc490066677"/>
    </w:p>
    <w:p w14:paraId="3FA4D0D5" w14:textId="77777777" w:rsidR="007968EC" w:rsidRPr="002C0D19" w:rsidRDefault="007968EC" w:rsidP="007968EC">
      <w:pPr>
        <w:pStyle w:val="TTULO"/>
        <w:rPr>
          <w:rFonts w:eastAsia="Calibri"/>
        </w:rPr>
      </w:pPr>
      <w:bookmarkStart w:id="6063" w:name="_Toc31716341"/>
      <w:r w:rsidRPr="002C0D19">
        <w:rPr>
          <w:rFonts w:eastAsia="Calibri"/>
        </w:rPr>
        <w:t>CAPÍTULO SEGUNDO</w:t>
      </w:r>
      <w:bookmarkEnd w:id="6062"/>
      <w:bookmarkEnd w:id="6063"/>
    </w:p>
    <w:p w14:paraId="30EC6328" w14:textId="77777777" w:rsidR="007968EC" w:rsidRPr="002C0D19" w:rsidRDefault="007968EC" w:rsidP="007968EC">
      <w:pPr>
        <w:pStyle w:val="TTULO"/>
        <w:rPr>
          <w:rFonts w:eastAsia="Calibri"/>
        </w:rPr>
      </w:pPr>
    </w:p>
    <w:p w14:paraId="77A4BEF5" w14:textId="77777777" w:rsidR="007968EC" w:rsidRPr="002C0D19" w:rsidRDefault="007968EC" w:rsidP="007968EC">
      <w:pPr>
        <w:pStyle w:val="TTULO"/>
        <w:rPr>
          <w:rFonts w:eastAsia="Calibri"/>
        </w:rPr>
      </w:pPr>
      <w:bookmarkStart w:id="6064" w:name="_Toc490066678"/>
      <w:bookmarkStart w:id="6065" w:name="_Toc31716342"/>
      <w:r w:rsidRPr="002C0D19">
        <w:rPr>
          <w:rFonts w:eastAsia="Calibri"/>
        </w:rPr>
        <w:t>REQUISITOS DE APROBACIÓN Y PERMANENCIA DE LOS AGENTES</w:t>
      </w:r>
      <w:bookmarkEnd w:id="6064"/>
      <w:bookmarkEnd w:id="6065"/>
    </w:p>
    <w:p w14:paraId="063EBD83" w14:textId="77777777" w:rsidR="007968EC" w:rsidRPr="002C0D19" w:rsidRDefault="007968EC" w:rsidP="007968EC">
      <w:pPr>
        <w:tabs>
          <w:tab w:val="left" w:pos="1620"/>
          <w:tab w:val="right" w:pos="8400"/>
        </w:tabs>
        <w:ind w:left="1620" w:right="-42" w:hanging="1620"/>
        <w:jc w:val="center"/>
        <w:outlineLvl w:val="0"/>
        <w:rPr>
          <w:rFonts w:ascii="Arial Narrow" w:eastAsia="Calibri" w:hAnsi="Arial Narrow"/>
          <w:b/>
        </w:rPr>
      </w:pPr>
    </w:p>
    <w:p w14:paraId="2FF8EB7C" w14:textId="77777777" w:rsidR="007968EC" w:rsidRPr="002C0D19" w:rsidRDefault="007968EC" w:rsidP="007968EC">
      <w:pPr>
        <w:pStyle w:val="ARTICULO0"/>
      </w:pPr>
      <w:bookmarkStart w:id="6066" w:name="_Toc490066679"/>
      <w:bookmarkStart w:id="6067" w:name="_Toc31716343"/>
      <w:r w:rsidRPr="002C0D19">
        <w:t>Artículo 4.1.2.1. Requisito para que un Agente participe en el Segmento de Renta Variable.</w:t>
      </w:r>
      <w:bookmarkEnd w:id="6066"/>
      <w:bookmarkEnd w:id="6067"/>
    </w:p>
    <w:p w14:paraId="7B6EC3EB" w14:textId="77777777" w:rsidR="007968EC" w:rsidRPr="002C0D19" w:rsidRDefault="007968EC" w:rsidP="007968EC">
      <w:pPr>
        <w:rPr>
          <w:rFonts w:ascii="Arial Narrow" w:hAnsi="Arial Narrow" w:cs="Arial"/>
          <w:lang w:val="es-ES" w:eastAsia="es-ES"/>
        </w:rPr>
      </w:pPr>
    </w:p>
    <w:p w14:paraId="635F0056" w14:textId="77777777" w:rsidR="007968EC" w:rsidRPr="002C0D19" w:rsidRDefault="007968EC" w:rsidP="007968EC">
      <w:pPr>
        <w:jc w:val="both"/>
        <w:rPr>
          <w:rFonts w:ascii="Arial Narrow" w:eastAsia="Calibri" w:hAnsi="Arial Narrow"/>
          <w:lang w:val="es-ES"/>
        </w:rPr>
      </w:pPr>
      <w:r w:rsidRPr="002C0D19">
        <w:rPr>
          <w:rFonts w:ascii="Arial Narrow" w:hAnsi="Arial Narrow" w:cs="Arial"/>
          <w:lang w:val="es-ES" w:eastAsia="es-ES"/>
        </w:rPr>
        <w:t xml:space="preserve">En adición a las reglas establecidas en los artículos 1.2.2.1. y 1.2.2.2. de la presente Circular, para la participación en la Compensación y Liquidación del Segmento de Renta Variable, los Agentes deberán haber suscrito con la Bolsa de Valores de Colombia S.A., entidad autorizada por la Cámara, un acuerdo </w:t>
      </w:r>
      <w:r w:rsidRPr="002C0D19">
        <w:rPr>
          <w:rFonts w:ascii="Arial Narrow" w:eastAsia="Calibri" w:hAnsi="Arial Narrow"/>
          <w:lang w:val="es-ES"/>
        </w:rPr>
        <w:t xml:space="preserve">de prestación de servicios tecnológicos y operativos para que puedan acceder a la Compensación y Liquidación y gestionar el procedimiento de Admisión de Operaciones y de Consolidación de Operaciones realizada por los Miembros. Para el efecto, previo a la participación del Agente, la Cámara solicitará a la Bolsa la información respectiva. </w:t>
      </w:r>
    </w:p>
    <w:p w14:paraId="4E9CC7B8" w14:textId="77777777" w:rsidR="007968EC" w:rsidRPr="002C0D19" w:rsidRDefault="007968EC" w:rsidP="007968EC">
      <w:pPr>
        <w:jc w:val="both"/>
        <w:rPr>
          <w:rFonts w:ascii="Arial Narrow" w:eastAsia="Calibri" w:hAnsi="Arial Narrow"/>
          <w:lang w:val="es-ES"/>
        </w:rPr>
      </w:pPr>
    </w:p>
    <w:p w14:paraId="6FA6CDEF" w14:textId="77777777" w:rsidR="007968EC" w:rsidRPr="002C0D19" w:rsidRDefault="007968EC" w:rsidP="007968EC">
      <w:pPr>
        <w:rPr>
          <w:rFonts w:ascii="Arial Narrow" w:eastAsia="Calibri" w:hAnsi="Arial Narrow" w:cs="Arial"/>
          <w:b/>
        </w:rPr>
      </w:pPr>
    </w:p>
    <w:p w14:paraId="6D373FD5" w14:textId="77777777" w:rsidR="007968EC" w:rsidRDefault="007968EC" w:rsidP="007968EC">
      <w:pPr>
        <w:tabs>
          <w:tab w:val="left" w:pos="1620"/>
          <w:tab w:val="right" w:pos="8400"/>
        </w:tabs>
        <w:ind w:left="1620" w:right="-42" w:hanging="1620"/>
        <w:jc w:val="center"/>
        <w:outlineLvl w:val="0"/>
        <w:rPr>
          <w:rFonts w:ascii="Arial Narrow" w:eastAsia="Calibri" w:hAnsi="Arial Narrow"/>
          <w:b/>
        </w:rPr>
      </w:pPr>
      <w:bookmarkStart w:id="6068" w:name="_Toc490066680"/>
    </w:p>
    <w:p w14:paraId="7B98D1E0" w14:textId="77777777" w:rsidR="007968EC" w:rsidRPr="002C0D19" w:rsidRDefault="007968EC" w:rsidP="007968EC">
      <w:pPr>
        <w:pStyle w:val="TTULO"/>
        <w:rPr>
          <w:rFonts w:eastAsia="Calibri"/>
        </w:rPr>
      </w:pPr>
      <w:bookmarkStart w:id="6069" w:name="_Toc31716344"/>
      <w:r w:rsidRPr="002C0D19">
        <w:rPr>
          <w:rFonts w:eastAsia="Calibri"/>
        </w:rPr>
        <w:t>TÍTULO SEGUNDO</w:t>
      </w:r>
      <w:bookmarkEnd w:id="6068"/>
      <w:bookmarkEnd w:id="6069"/>
    </w:p>
    <w:p w14:paraId="30B87630" w14:textId="77777777" w:rsidR="007968EC" w:rsidRPr="002C0D19" w:rsidRDefault="007968EC" w:rsidP="007968EC">
      <w:pPr>
        <w:pStyle w:val="TTULO"/>
        <w:rPr>
          <w:rFonts w:eastAsia="Calibri"/>
        </w:rPr>
      </w:pPr>
    </w:p>
    <w:p w14:paraId="2F9AD400" w14:textId="77777777" w:rsidR="007968EC" w:rsidRPr="002C0D19" w:rsidRDefault="007968EC" w:rsidP="007968EC">
      <w:pPr>
        <w:pStyle w:val="TTULO"/>
        <w:rPr>
          <w:rFonts w:eastAsia="Calibri"/>
        </w:rPr>
      </w:pPr>
      <w:bookmarkStart w:id="6070" w:name="_Toc490066681"/>
      <w:bookmarkStart w:id="6071" w:name="_Toc31716345"/>
      <w:r w:rsidRPr="002C0D19">
        <w:rPr>
          <w:rFonts w:eastAsia="Calibri"/>
        </w:rPr>
        <w:t>ACEPTACIÓN DE OPERACIONES</w:t>
      </w:r>
      <w:bookmarkEnd w:id="6070"/>
      <w:bookmarkEnd w:id="6071"/>
    </w:p>
    <w:p w14:paraId="61C3BF31" w14:textId="77777777" w:rsidR="007968EC" w:rsidRPr="002C0D19" w:rsidRDefault="007968EC" w:rsidP="007968EC">
      <w:pPr>
        <w:pStyle w:val="TTULO"/>
        <w:rPr>
          <w:rFonts w:eastAsia="Calibri"/>
        </w:rPr>
      </w:pPr>
    </w:p>
    <w:p w14:paraId="2D8AA7AC" w14:textId="77777777" w:rsidR="007968EC" w:rsidRPr="002C0D19" w:rsidRDefault="007968EC" w:rsidP="007968EC">
      <w:pPr>
        <w:pStyle w:val="TTULO"/>
        <w:rPr>
          <w:rFonts w:eastAsia="Calibri"/>
        </w:rPr>
      </w:pPr>
      <w:bookmarkStart w:id="6072" w:name="_Toc490066682"/>
      <w:bookmarkStart w:id="6073" w:name="_Toc31716346"/>
      <w:r w:rsidRPr="002C0D19">
        <w:rPr>
          <w:rFonts w:eastAsia="Calibri"/>
        </w:rPr>
        <w:t>CAPÍTULO PRIMERO</w:t>
      </w:r>
      <w:bookmarkEnd w:id="6072"/>
      <w:bookmarkEnd w:id="6073"/>
    </w:p>
    <w:p w14:paraId="3B4F4867" w14:textId="77777777" w:rsidR="007968EC" w:rsidRPr="002C0D19" w:rsidRDefault="007968EC" w:rsidP="007968EC">
      <w:pPr>
        <w:pStyle w:val="TTULO"/>
        <w:rPr>
          <w:rFonts w:eastAsia="Calibri"/>
        </w:rPr>
      </w:pPr>
    </w:p>
    <w:p w14:paraId="6B9965DE" w14:textId="77777777" w:rsidR="007968EC" w:rsidRPr="002C0D19" w:rsidRDefault="007968EC" w:rsidP="007968EC">
      <w:pPr>
        <w:pStyle w:val="TTULO"/>
        <w:rPr>
          <w:rFonts w:eastAsia="Calibri"/>
        </w:rPr>
      </w:pPr>
      <w:bookmarkStart w:id="6074" w:name="_Toc490066683"/>
      <w:bookmarkStart w:id="6075" w:name="_Toc31716347"/>
      <w:r w:rsidRPr="002C0D19">
        <w:rPr>
          <w:rFonts w:eastAsia="Calibri"/>
        </w:rPr>
        <w:t>CONTROL DE RIESGO Y ACEPTACIÓN DE OPERACIONES PROVENIENTES DE LA BOLSA</w:t>
      </w:r>
      <w:bookmarkEnd w:id="6074"/>
      <w:bookmarkEnd w:id="6075"/>
    </w:p>
    <w:p w14:paraId="76E5D64E" w14:textId="77777777" w:rsidR="007968EC" w:rsidRPr="002C0D19" w:rsidRDefault="007968EC" w:rsidP="007968EC">
      <w:pPr>
        <w:rPr>
          <w:rFonts w:ascii="Arial Narrow" w:eastAsia="Calibri" w:hAnsi="Arial Narrow"/>
          <w:b/>
        </w:rPr>
      </w:pPr>
    </w:p>
    <w:p w14:paraId="6A5B5476" w14:textId="77777777" w:rsidR="007968EC" w:rsidRPr="002C0D19" w:rsidRDefault="007968EC" w:rsidP="007968EC">
      <w:pPr>
        <w:pStyle w:val="ARTICULO0"/>
      </w:pPr>
      <w:bookmarkStart w:id="6076" w:name="_Toc31716348"/>
      <w:r w:rsidRPr="002C0D19">
        <w:t>Artículo 4.2.1.1. Aceptación de Operaciones Repo provenientes de la Bolsa.</w:t>
      </w:r>
      <w:bookmarkEnd w:id="6076"/>
    </w:p>
    <w:p w14:paraId="4CC422E2" w14:textId="77777777" w:rsidR="007968EC" w:rsidRPr="002C0D19" w:rsidRDefault="007968EC" w:rsidP="007968EC">
      <w:pPr>
        <w:jc w:val="both"/>
        <w:rPr>
          <w:rFonts w:ascii="Arial Narrow" w:hAnsi="Arial Narrow" w:cs="Arial"/>
          <w:u w:val="single"/>
          <w:lang w:val="es-ES" w:eastAsia="es-ES"/>
        </w:rPr>
      </w:pPr>
    </w:p>
    <w:p w14:paraId="1B7B2726" w14:textId="77777777" w:rsidR="007968EC" w:rsidRPr="002C0D19" w:rsidRDefault="007968EC" w:rsidP="007968EC">
      <w:pPr>
        <w:jc w:val="both"/>
        <w:rPr>
          <w:rFonts w:ascii="Arial Narrow" w:eastAsia="Calibri" w:hAnsi="Arial Narrow"/>
        </w:rPr>
      </w:pPr>
      <w:r w:rsidRPr="002C0D19">
        <w:rPr>
          <w:rFonts w:ascii="Arial Narrow" w:eastAsia="Calibri" w:hAnsi="Arial Narrow"/>
        </w:rPr>
        <w:t xml:space="preserve">La Cámara recibirá y aceptará las Operaciones Repo, con independencia de la modalidad de Liquidación, a partir del día de su celebración en la Bolsa y la aceptación comprenderá la operación inicial o flujo de salida y la operación de regreso o de recompra o flujo de regreso, de conformidad con las siguientes reglas: </w:t>
      </w:r>
    </w:p>
    <w:p w14:paraId="5E99979F" w14:textId="77777777" w:rsidR="007968EC" w:rsidRPr="002C0D19" w:rsidRDefault="007968EC" w:rsidP="007968EC">
      <w:pPr>
        <w:jc w:val="both"/>
        <w:rPr>
          <w:rFonts w:ascii="Arial Narrow" w:eastAsia="Calibri" w:hAnsi="Arial Narrow"/>
        </w:rPr>
      </w:pPr>
    </w:p>
    <w:p w14:paraId="455A9F27" w14:textId="77777777" w:rsidR="007968EC" w:rsidRPr="002C0D19" w:rsidRDefault="007968EC" w:rsidP="007968EC">
      <w:pPr>
        <w:jc w:val="both"/>
        <w:rPr>
          <w:rFonts w:ascii="Arial Narrow" w:eastAsia="Calibri" w:hAnsi="Arial Narrow"/>
        </w:rPr>
      </w:pPr>
      <w:r w:rsidRPr="002C0D19">
        <w:rPr>
          <w:rFonts w:ascii="Arial Narrow" w:eastAsia="Calibri" w:hAnsi="Arial Narrow"/>
        </w:rPr>
        <w:lastRenderedPageBreak/>
        <w:t xml:space="preserve">La Cámara permitirá el fraccionamiento de las Operaciones Repo de conformidad con lo establecido en el reglamento de la Bolsa. No obstante lo anterior, los requisitos y controles de riesgo para su Aceptación se aplicarán respecto de la Operación Repo y no de sus fracciones. </w:t>
      </w:r>
    </w:p>
    <w:p w14:paraId="409886B1" w14:textId="77777777" w:rsidR="007968EC" w:rsidRPr="002C0D19" w:rsidRDefault="007968EC" w:rsidP="007968EC">
      <w:pPr>
        <w:jc w:val="both"/>
        <w:rPr>
          <w:rFonts w:ascii="Arial Narrow" w:eastAsia="Calibri" w:hAnsi="Arial Narrow"/>
        </w:rPr>
      </w:pPr>
    </w:p>
    <w:p w14:paraId="367400E1" w14:textId="77777777" w:rsidR="007968EC" w:rsidRPr="002C0D19" w:rsidRDefault="007968EC" w:rsidP="007968EC">
      <w:pPr>
        <w:jc w:val="both"/>
        <w:rPr>
          <w:rFonts w:ascii="Arial Narrow" w:eastAsia="Calibri" w:hAnsi="Arial Narrow"/>
        </w:rPr>
      </w:pPr>
      <w:r w:rsidRPr="002C0D19">
        <w:rPr>
          <w:rFonts w:ascii="Arial Narrow" w:eastAsia="Calibri" w:hAnsi="Arial Narrow"/>
        </w:rPr>
        <w:t>Previo a la Aceptación, la Cámara determinará si la Operación Repo Susceptible de ser Aceptada corresponde a una operación cuya Compensación se realizará mediante el mecanismo de entrega libre de pago o entrega contra pago.</w:t>
      </w:r>
    </w:p>
    <w:p w14:paraId="1B5283A5" w14:textId="77777777" w:rsidR="007968EC" w:rsidRPr="002C0D19" w:rsidRDefault="007968EC" w:rsidP="007968EC">
      <w:pPr>
        <w:jc w:val="both"/>
        <w:rPr>
          <w:rFonts w:ascii="Arial Narrow" w:eastAsia="Calibri" w:hAnsi="Arial Narrow"/>
        </w:rPr>
      </w:pPr>
    </w:p>
    <w:p w14:paraId="4791047E" w14:textId="77777777" w:rsidR="007968EC" w:rsidRPr="002C0D19" w:rsidRDefault="007968EC" w:rsidP="007968EC">
      <w:pPr>
        <w:jc w:val="both"/>
        <w:rPr>
          <w:rFonts w:ascii="Arial Narrow" w:eastAsia="Calibri" w:hAnsi="Arial Narrow" w:cs="Arial"/>
          <w:b/>
          <w:lang w:val="es-ES"/>
        </w:rPr>
      </w:pPr>
      <w:r w:rsidRPr="002C0D19">
        <w:rPr>
          <w:rFonts w:ascii="Arial Narrow" w:eastAsia="Calibri" w:hAnsi="Arial Narrow"/>
        </w:rPr>
        <w:t>Cuando se trate de Operaciones Repo con Compensación bajo el mecanismo entrega libre de pago,</w:t>
      </w:r>
      <w:r w:rsidRPr="002C0D19" w:rsidDel="006065FB">
        <w:rPr>
          <w:rFonts w:ascii="Arial Narrow" w:eastAsia="Calibri" w:hAnsi="Arial Narrow"/>
        </w:rPr>
        <w:t xml:space="preserve"> </w:t>
      </w:r>
      <w:r w:rsidRPr="002C0D19">
        <w:rPr>
          <w:rFonts w:ascii="Arial Narrow" w:eastAsia="Calibri" w:hAnsi="Arial Narrow"/>
        </w:rPr>
        <w:t>la Cámara evaluará y verificará respecto de cada Operación Repo Susceptible de ser Aceptada, que la misma cumple con los siguientes requisitos y controles de riesgo:</w:t>
      </w:r>
      <w:r w:rsidRPr="002C0D19">
        <w:rPr>
          <w:rFonts w:ascii="Arial Narrow" w:eastAsia="Calibri" w:hAnsi="Arial Narrow" w:cs="Arial"/>
          <w:b/>
          <w:lang w:val="es-ES"/>
        </w:rPr>
        <w:t xml:space="preserve"> </w:t>
      </w:r>
    </w:p>
    <w:p w14:paraId="21662E6A" w14:textId="77777777" w:rsidR="007968EC" w:rsidRPr="002C0D19" w:rsidRDefault="007968EC" w:rsidP="007968EC">
      <w:pPr>
        <w:jc w:val="both"/>
        <w:rPr>
          <w:rFonts w:ascii="Arial Narrow" w:eastAsia="Calibri" w:hAnsi="Arial Narrow" w:cs="Arial"/>
          <w:b/>
          <w:lang w:val="es-ES"/>
        </w:rPr>
      </w:pPr>
    </w:p>
    <w:p w14:paraId="680F6DC6" w14:textId="77777777" w:rsidR="007968EC" w:rsidRPr="002C0D19" w:rsidRDefault="007968EC" w:rsidP="00DA7472">
      <w:pPr>
        <w:numPr>
          <w:ilvl w:val="0"/>
          <w:numId w:val="266"/>
        </w:numPr>
        <w:ind w:left="426" w:hanging="426"/>
        <w:jc w:val="both"/>
        <w:rPr>
          <w:rFonts w:ascii="Arial Narrow" w:eastAsia="Calibri" w:hAnsi="Arial Narrow" w:cs="Arial"/>
        </w:rPr>
      </w:pPr>
      <w:r w:rsidRPr="002C0D19">
        <w:rPr>
          <w:rFonts w:ascii="Arial Narrow" w:eastAsia="Calibri" w:hAnsi="Arial Narrow" w:cs="Arial"/>
        </w:rPr>
        <w:t xml:space="preserve">Que las partes que la celebran son Miembros de la Cámara y se encuentran activos. </w:t>
      </w:r>
    </w:p>
    <w:p w14:paraId="32F339E5" w14:textId="77777777" w:rsidR="007968EC" w:rsidRPr="002C0D19" w:rsidRDefault="007968EC" w:rsidP="007968EC">
      <w:pPr>
        <w:ind w:left="459" w:hanging="426"/>
        <w:jc w:val="both"/>
        <w:rPr>
          <w:rFonts w:ascii="Arial Narrow" w:eastAsia="Calibri" w:hAnsi="Arial Narrow"/>
        </w:rPr>
      </w:pPr>
    </w:p>
    <w:p w14:paraId="3800CE6C" w14:textId="77777777" w:rsidR="007968EC" w:rsidRPr="002C0D19" w:rsidRDefault="007968EC" w:rsidP="00DA7472">
      <w:pPr>
        <w:numPr>
          <w:ilvl w:val="0"/>
          <w:numId w:val="266"/>
        </w:numPr>
        <w:ind w:left="426" w:hanging="426"/>
        <w:jc w:val="both"/>
        <w:rPr>
          <w:rFonts w:ascii="Arial Narrow" w:eastAsia="Calibri" w:hAnsi="Arial Narrow"/>
        </w:rPr>
      </w:pPr>
      <w:r w:rsidRPr="002C0D19">
        <w:rPr>
          <w:rFonts w:ascii="Arial Narrow" w:eastAsia="Calibri" w:hAnsi="Arial Narrow"/>
        </w:rPr>
        <w:t>Que los Miembros que celebran la Operación Repo Susceptible de ser Aceptada cuentan con los Límites y Garantías disponibles.</w:t>
      </w:r>
    </w:p>
    <w:p w14:paraId="11FBE2F9" w14:textId="77777777" w:rsidR="007968EC" w:rsidRPr="002C0D19" w:rsidRDefault="007968EC" w:rsidP="007968EC">
      <w:pPr>
        <w:ind w:left="426"/>
        <w:jc w:val="both"/>
        <w:rPr>
          <w:rFonts w:ascii="Arial Narrow" w:eastAsia="Calibri" w:hAnsi="Arial Narrow"/>
        </w:rPr>
      </w:pPr>
    </w:p>
    <w:p w14:paraId="073F26DA" w14:textId="77777777" w:rsidR="007968EC" w:rsidRPr="002C0D19" w:rsidRDefault="007968EC" w:rsidP="00DA7472">
      <w:pPr>
        <w:numPr>
          <w:ilvl w:val="0"/>
          <w:numId w:val="266"/>
        </w:numPr>
        <w:ind w:left="426" w:hanging="426"/>
        <w:jc w:val="both"/>
        <w:rPr>
          <w:rFonts w:ascii="Arial Narrow" w:eastAsia="Calibri" w:hAnsi="Arial Narrow"/>
        </w:rPr>
      </w:pPr>
      <w:r w:rsidRPr="002C0D19">
        <w:rPr>
          <w:rFonts w:ascii="Arial Narrow" w:eastAsia="Calibri" w:hAnsi="Arial Narrow"/>
        </w:rPr>
        <w:t xml:space="preserve">Que las Operaciones provengan de la Bolsa, estén debidamente Complementadas de conformidad con lo establecido en el Reglamento y Circular de la Bolsa, que la información de los Miembros y los Terceros corresponda a titulares de Cuentas Definitivas en la Cámara y que se indique si las Operaciones deben ser Compensadas y Liquidadas a través de Agente. </w:t>
      </w:r>
    </w:p>
    <w:p w14:paraId="1CC23C1C" w14:textId="77777777" w:rsidR="007968EC" w:rsidRPr="002C0D19" w:rsidRDefault="007968EC" w:rsidP="007968EC">
      <w:pPr>
        <w:rPr>
          <w:rFonts w:ascii="Arial Narrow" w:eastAsia="Calibri" w:hAnsi="Arial Narrow"/>
          <w:lang w:val="es-ES"/>
        </w:rPr>
      </w:pPr>
    </w:p>
    <w:p w14:paraId="6288B983" w14:textId="77777777" w:rsidR="007968EC" w:rsidRPr="002C0D19" w:rsidRDefault="007968EC" w:rsidP="007968EC">
      <w:pPr>
        <w:jc w:val="both"/>
        <w:rPr>
          <w:rFonts w:ascii="Arial Narrow" w:eastAsia="Calibri" w:hAnsi="Arial Narrow"/>
        </w:rPr>
      </w:pPr>
      <w:r w:rsidRPr="002C0D19">
        <w:rPr>
          <w:rFonts w:ascii="Arial Narrow" w:eastAsia="Calibri" w:hAnsi="Arial Narrow"/>
        </w:rPr>
        <w:t>Cuando se trate de Operaciones Repo con Compensación bajo el mecanismo entrega contra pago,</w:t>
      </w:r>
      <w:r w:rsidRPr="002C0D19" w:rsidDel="006065FB">
        <w:rPr>
          <w:rFonts w:ascii="Arial Narrow" w:eastAsia="Calibri" w:hAnsi="Arial Narrow"/>
        </w:rPr>
        <w:t xml:space="preserve"> </w:t>
      </w:r>
      <w:r w:rsidRPr="002C0D19">
        <w:rPr>
          <w:rFonts w:ascii="Arial Narrow" w:eastAsia="Calibri" w:hAnsi="Arial Narrow"/>
        </w:rPr>
        <w:t xml:space="preserve">además de los requisitos y controles de riesgo antes indicados, la Cámara verificará respecto de cada Operación Repo Susceptible de ser Aceptada que cumpla con los siguientes filtros y requisitos: </w:t>
      </w:r>
    </w:p>
    <w:p w14:paraId="3241D166" w14:textId="77777777" w:rsidR="007968EC" w:rsidRPr="002C0D19" w:rsidRDefault="007968EC" w:rsidP="007968EC">
      <w:pPr>
        <w:ind w:left="426"/>
        <w:jc w:val="both"/>
        <w:rPr>
          <w:rFonts w:ascii="Arial Narrow" w:eastAsia="Calibri" w:hAnsi="Arial Narrow"/>
        </w:rPr>
      </w:pPr>
    </w:p>
    <w:p w14:paraId="220B04BB" w14:textId="77777777" w:rsidR="007968EC" w:rsidRPr="002C0D19" w:rsidRDefault="007968EC" w:rsidP="00DA7472">
      <w:pPr>
        <w:numPr>
          <w:ilvl w:val="6"/>
          <w:numId w:val="174"/>
        </w:numPr>
        <w:ind w:left="426" w:hanging="426"/>
        <w:jc w:val="both"/>
        <w:rPr>
          <w:rFonts w:ascii="Arial Narrow" w:eastAsia="Calibri" w:hAnsi="Arial Narrow" w:cs="Arial"/>
        </w:rPr>
      </w:pPr>
      <w:r w:rsidRPr="002C0D19">
        <w:rPr>
          <w:rFonts w:ascii="Arial Narrow" w:eastAsia="Calibri" w:hAnsi="Arial Narrow" w:cs="Arial"/>
        </w:rPr>
        <w:t>Que el Monto Inicial de la Operación Repo no exceda el siguiente Monto Máximo por Operación (MMO): COP $ 500.000.000; y,</w:t>
      </w:r>
    </w:p>
    <w:p w14:paraId="1BC14923" w14:textId="77777777" w:rsidR="007968EC" w:rsidRPr="002C0D19" w:rsidRDefault="007968EC" w:rsidP="007968EC">
      <w:pPr>
        <w:ind w:left="426"/>
        <w:jc w:val="both"/>
        <w:rPr>
          <w:rFonts w:ascii="Arial Narrow" w:eastAsia="Calibri" w:hAnsi="Arial Narrow" w:cs="Arial"/>
        </w:rPr>
      </w:pPr>
    </w:p>
    <w:p w14:paraId="611F76F7" w14:textId="77777777" w:rsidR="007968EC" w:rsidRPr="002C0D19" w:rsidRDefault="007968EC" w:rsidP="00DA7472">
      <w:pPr>
        <w:numPr>
          <w:ilvl w:val="6"/>
          <w:numId w:val="174"/>
        </w:numPr>
        <w:ind w:left="426" w:hanging="426"/>
        <w:jc w:val="both"/>
        <w:rPr>
          <w:rFonts w:ascii="Arial Narrow" w:eastAsia="Calibri" w:hAnsi="Arial Narrow"/>
        </w:rPr>
      </w:pPr>
      <w:r w:rsidRPr="002C0D19">
        <w:rPr>
          <w:rFonts w:ascii="Arial Narrow" w:eastAsia="Calibri" w:hAnsi="Arial Narrow"/>
        </w:rPr>
        <w:t xml:space="preserve">Que la sumatoria de los montos iniciales de las Operaciones Repo Aceptadas por el Miembro Liquidador durante la Sesión de Verificación de MIML de Operaciones del día, sumado el Monto Inicial de la Operación Repo Susceptible de ser Aceptada no exceda el Monto Intradía por Miembro Liquidador (MIML) según se describe a continuación:  </w:t>
      </w:r>
    </w:p>
    <w:p w14:paraId="0F23C4DD" w14:textId="77777777" w:rsidR="007968EC" w:rsidRPr="002C0D19" w:rsidRDefault="007968EC" w:rsidP="007968EC">
      <w:pPr>
        <w:ind w:left="708"/>
        <w:rPr>
          <w:rFonts w:ascii="Arial Narrow" w:eastAsia="Calibri" w:hAnsi="Arial Narrow"/>
        </w:rPr>
      </w:pPr>
    </w:p>
    <w:p w14:paraId="6A4411AC" w14:textId="77777777" w:rsidR="007968EC" w:rsidRPr="002C0D19" w:rsidRDefault="007968EC" w:rsidP="007968EC">
      <w:pPr>
        <w:ind w:left="426"/>
        <w:jc w:val="both"/>
        <w:rPr>
          <w:rFonts w:ascii="Arial Narrow" w:eastAsia="Calibri" w:hAnsi="Arial Narrow"/>
          <w:lang w:val="es-ES"/>
        </w:rPr>
      </w:pPr>
      <w:r w:rsidRPr="002C0D19">
        <w:rPr>
          <w:rFonts w:ascii="Arial Narrow" w:eastAsia="Calibri" w:hAnsi="Arial Narrow"/>
          <w:lang w:val="es-ES"/>
        </w:rPr>
        <w:t>MIML</w:t>
      </w:r>
      <w:r w:rsidRPr="002C0D19" w:rsidDel="00D32258">
        <w:rPr>
          <w:rFonts w:ascii="Arial Narrow" w:eastAsia="Calibri" w:hAnsi="Arial Narrow"/>
          <w:lang w:val="es-ES"/>
        </w:rPr>
        <w:t xml:space="preserve"> </w:t>
      </w:r>
      <w:r w:rsidRPr="002C0D19">
        <w:rPr>
          <w:rFonts w:ascii="Arial Narrow" w:eastAsia="Calibri" w:hAnsi="Arial Narrow"/>
          <w:lang w:val="es-ES"/>
        </w:rPr>
        <w:t>disponible se calculará de acuerdo con la siguiente fórmula:</w:t>
      </w:r>
    </w:p>
    <w:p w14:paraId="5066E6F3" w14:textId="77777777" w:rsidR="007968EC" w:rsidRPr="002C0D19" w:rsidRDefault="007968EC" w:rsidP="007968EC">
      <w:pPr>
        <w:ind w:left="426" w:hanging="426"/>
        <w:jc w:val="both"/>
        <w:rPr>
          <w:rFonts w:ascii="Arial Narrow" w:eastAsia="Calibri" w:hAnsi="Arial Narrow"/>
          <w:u w:val="single"/>
          <w:lang w:val="es-ES"/>
        </w:rPr>
      </w:pPr>
    </w:p>
    <w:p w14:paraId="16B6CE99" w14:textId="77777777" w:rsidR="007968EC" w:rsidRPr="002C0D19" w:rsidRDefault="007968EC" w:rsidP="007968EC">
      <w:pPr>
        <w:ind w:left="426" w:hanging="426"/>
        <w:jc w:val="both"/>
        <w:rPr>
          <w:rFonts w:ascii="Arial Narrow" w:hAnsi="Arial Narrow" w:cs="Arial Narrow"/>
          <w:b/>
          <w:lang w:eastAsia="es-ES"/>
        </w:rPr>
      </w:pPr>
    </w:p>
    <w:p w14:paraId="7E2080A5" w14:textId="77777777" w:rsidR="007968EC" w:rsidRPr="002C0D19" w:rsidRDefault="007968EC" w:rsidP="007968EC">
      <w:pPr>
        <w:autoSpaceDE w:val="0"/>
        <w:autoSpaceDN w:val="0"/>
        <w:adjustRightInd w:val="0"/>
        <w:ind w:left="426" w:hanging="426"/>
        <w:rPr>
          <w:rFonts w:ascii="Arial Narrow" w:eastAsia="MS Mincho" w:hAnsi="Arial Narrow" w:cs="Arial Narrow"/>
          <w:lang w:val="es-ES" w:eastAsia="es-ES"/>
        </w:rPr>
      </w:pPr>
      <m:oMathPara>
        <m:oMath>
          <m:r>
            <m:rPr>
              <m:sty m:val="b"/>
            </m:rPr>
            <w:rPr>
              <w:rFonts w:ascii="Cambria Math" w:hAnsi="Cambria Math" w:cs="Cambria Math"/>
              <w:lang w:val="es-ES" w:eastAsia="es-ES"/>
            </w:rPr>
            <m:t>Monto Intradia disponible</m:t>
          </m:r>
        </m:oMath>
      </m:oMathPara>
    </w:p>
    <w:p w14:paraId="3FF43B91" w14:textId="77777777" w:rsidR="007968EC" w:rsidRPr="002C0D19" w:rsidRDefault="007968EC" w:rsidP="007968EC">
      <w:pPr>
        <w:autoSpaceDE w:val="0"/>
        <w:autoSpaceDN w:val="0"/>
        <w:adjustRightInd w:val="0"/>
        <w:ind w:left="426" w:hanging="426"/>
        <w:rPr>
          <w:rFonts w:ascii="Arial Narrow" w:hAnsi="Arial Narrow" w:cs="Arial Narrow"/>
          <w:b/>
          <w:lang w:val="es-ES" w:eastAsia="es-ES"/>
        </w:rPr>
      </w:pPr>
      <m:oMathPara>
        <m:oMathParaPr>
          <m:jc m:val="center"/>
        </m:oMathParaPr>
        <m:oMath>
          <m:r>
            <m:rPr>
              <m:sty m:val="b"/>
            </m:rPr>
            <w:rPr>
              <w:rFonts w:ascii="Cambria Math" w:hAnsi="Cambria Math" w:cs="Cambria Math"/>
              <w:lang w:val="es-ES" w:eastAsia="es-ES"/>
            </w:rPr>
            <m:t>=Monto Intradía Miembro-</m:t>
          </m:r>
          <m:d>
            <m:dPr>
              <m:endChr m:val=""/>
              <m:ctrlPr>
                <w:rPr>
                  <w:rFonts w:ascii="Cambria Math" w:hAnsi="Cambria Math" w:cs="Cambria Math"/>
                  <w:b/>
                  <w:lang w:val="es-ES" w:eastAsia="es-ES"/>
                </w:rPr>
              </m:ctrlPr>
            </m:dPr>
            <m:e>
              <m:nary>
                <m:naryPr>
                  <m:chr m:val="∑"/>
                  <m:limLoc m:val="undOvr"/>
                  <m:subHide m:val="1"/>
                  <m:supHide m:val="1"/>
                  <m:ctrlPr>
                    <w:rPr>
                      <w:rFonts w:ascii="Cambria Math" w:hAnsi="Cambria Math" w:cs="Cambria Math"/>
                      <w:b/>
                      <w:i/>
                      <w:lang w:val="es-ES" w:eastAsia="es-ES"/>
                    </w:rPr>
                  </m:ctrlPr>
                </m:naryPr>
                <m:sub/>
                <m:sup/>
                <m:e>
                  <m:r>
                    <m:rPr>
                      <m:sty m:val="bi"/>
                    </m:rPr>
                    <w:rPr>
                      <w:rFonts w:ascii="Cambria Math" w:hAnsi="Cambria Math" w:cs="Cambria Math"/>
                      <w:lang w:val="es-ES" w:eastAsia="es-ES"/>
                    </w:rPr>
                    <m:t>M.I. Aceptadas</m:t>
                  </m:r>
                </m:e>
              </m:nary>
            </m:e>
          </m:d>
          <m:r>
            <m:rPr>
              <m:sty m:val="b"/>
            </m:rPr>
            <w:rPr>
              <w:rFonts w:ascii="Cambria Math" w:hAnsi="Cambria Math" w:cs="Cambria Math"/>
              <w:lang w:val="es-ES" w:eastAsia="es-ES"/>
            </w:rPr>
            <m:t>-</m:t>
          </m:r>
          <m:r>
            <m:rPr>
              <m:sty m:val="bi"/>
            </m:rPr>
            <w:rPr>
              <w:rFonts w:ascii="Cambria Math" w:hAnsi="Cambria Math" w:cs="Cambria Math"/>
              <w:lang w:val="es-ES" w:eastAsia="es-ES"/>
            </w:rPr>
            <m:t xml:space="preserve"> </m:t>
          </m:r>
          <m:d>
            <m:dPr>
              <m:begChr m:val=""/>
              <m:ctrlPr>
                <w:rPr>
                  <w:rFonts w:ascii="Cambria Math" w:hAnsi="Cambria Math" w:cs="Cambria Math"/>
                  <w:b/>
                  <w:i/>
                  <w:lang w:val="es-ES" w:eastAsia="es-ES"/>
                </w:rPr>
              </m:ctrlPr>
            </m:dPr>
            <m:e>
              <m:nary>
                <m:naryPr>
                  <m:chr m:val="∑"/>
                  <m:limLoc m:val="undOvr"/>
                  <m:subHide m:val="1"/>
                  <m:supHide m:val="1"/>
                  <m:ctrlPr>
                    <w:rPr>
                      <w:rFonts w:ascii="Cambria Math" w:hAnsi="Cambria Math" w:cs="Cambria Math"/>
                      <w:b/>
                      <w:i/>
                      <w:lang w:val="es-ES" w:eastAsia="es-ES"/>
                    </w:rPr>
                  </m:ctrlPr>
                </m:naryPr>
                <m:sub/>
                <m:sup/>
                <m:e>
                  <m:r>
                    <m:rPr>
                      <m:sty m:val="bi"/>
                    </m:rPr>
                    <w:rPr>
                      <w:rFonts w:ascii="Cambria Math" w:hAnsi="Cambria Math" w:cs="Cambria Math"/>
                      <w:lang w:val="es-ES" w:eastAsia="es-ES"/>
                    </w:rPr>
                    <m:t>M. I.Cumplidas</m:t>
                  </m:r>
                </m:e>
              </m:nary>
            </m:e>
          </m:d>
        </m:oMath>
      </m:oMathPara>
    </w:p>
    <w:p w14:paraId="179E0CCF" w14:textId="77777777" w:rsidR="007968EC" w:rsidRPr="002C0D19" w:rsidRDefault="007968EC" w:rsidP="007968EC">
      <w:pPr>
        <w:autoSpaceDE w:val="0"/>
        <w:autoSpaceDN w:val="0"/>
        <w:adjustRightInd w:val="0"/>
        <w:ind w:left="1701"/>
        <w:rPr>
          <w:rFonts w:ascii="Arial Narrow" w:hAnsi="Arial Narrow" w:cs="Arial Narrow"/>
          <w:lang w:val="es-ES" w:eastAsia="es-ES"/>
        </w:rPr>
      </w:pPr>
      <w:r w:rsidRPr="002C0D19">
        <w:rPr>
          <w:rFonts w:ascii="Arial Narrow" w:hAnsi="Arial Narrow" w:cs="Arial Narrow"/>
          <w:lang w:val="es-ES" w:eastAsia="es-ES"/>
        </w:rPr>
        <w:t>:</w:t>
      </w:r>
    </w:p>
    <w:p w14:paraId="255E2097" w14:textId="77777777" w:rsidR="007968EC" w:rsidRPr="002C0D19" w:rsidRDefault="007968EC" w:rsidP="007968EC">
      <w:pPr>
        <w:autoSpaceDE w:val="0"/>
        <w:autoSpaceDN w:val="0"/>
        <w:adjustRightInd w:val="0"/>
        <w:ind w:left="1701"/>
        <w:jc w:val="both"/>
        <w:rPr>
          <w:rFonts w:ascii="Arial Narrow" w:hAnsi="Arial Narrow" w:cs="Arial Narrow"/>
          <w:lang w:val="es-ES" w:eastAsia="es-ES"/>
        </w:rPr>
      </w:pPr>
    </w:p>
    <w:p w14:paraId="27150DF5" w14:textId="77777777" w:rsidR="007968EC" w:rsidRPr="002C0D19" w:rsidRDefault="007968EC" w:rsidP="007968EC">
      <w:pPr>
        <w:autoSpaceDE w:val="0"/>
        <w:autoSpaceDN w:val="0"/>
        <w:adjustRightInd w:val="0"/>
        <w:ind w:left="1701" w:right="759"/>
        <w:jc w:val="both"/>
        <w:rPr>
          <w:rFonts w:ascii="Arial Narrow" w:hAnsi="Arial Narrow" w:cs="Cambria Math"/>
          <w:lang w:val="es-ES" w:eastAsia="es-ES"/>
        </w:rPr>
      </w:pPr>
      <w:r w:rsidRPr="002C0D19">
        <w:rPr>
          <w:rFonts w:ascii="Arial Narrow" w:hAnsi="Arial Narrow" w:cs="Cambria Math"/>
          <w:lang w:val="es-ES" w:eastAsia="es-ES"/>
        </w:rPr>
        <w:lastRenderedPageBreak/>
        <w:t xml:space="preserve">Monto Intradía Miembro: Mínimo entre el 8% del Patrimonio Técnico del ML del Adquirente Inicial y $4.000.000.000. </w:t>
      </w:r>
    </w:p>
    <w:p w14:paraId="6DC54652" w14:textId="77777777" w:rsidR="007968EC" w:rsidRPr="002C0D19" w:rsidRDefault="007968EC" w:rsidP="007968EC">
      <w:pPr>
        <w:autoSpaceDE w:val="0"/>
        <w:autoSpaceDN w:val="0"/>
        <w:adjustRightInd w:val="0"/>
        <w:ind w:left="1701" w:right="759"/>
        <w:jc w:val="both"/>
        <w:rPr>
          <w:rFonts w:ascii="Arial Narrow" w:hAnsi="Arial Narrow" w:cs="Cambria Math"/>
          <w:lang w:val="es-ES" w:eastAsia="es-ES"/>
        </w:rPr>
      </w:pPr>
      <w:r w:rsidRPr="002C0D19">
        <w:rPr>
          <w:rFonts w:ascii="Arial Narrow" w:hAnsi="Arial Narrow" w:cs="Cambria Math"/>
          <w:lang w:val="es-ES" w:eastAsia="es-ES"/>
        </w:rPr>
        <w:t xml:space="preserve">M.I. Aceptadas: Monto Inicial de las Operaciones Repo aceptadas por la Cámara cuya modalidad de liquidación sea DVP e inferior al MMO.  </w:t>
      </w:r>
    </w:p>
    <w:p w14:paraId="44279B38" w14:textId="77777777" w:rsidR="007968EC" w:rsidRPr="002C0D19" w:rsidRDefault="007968EC" w:rsidP="007968EC">
      <w:pPr>
        <w:ind w:left="1701" w:right="759"/>
        <w:jc w:val="both"/>
        <w:rPr>
          <w:rFonts w:ascii="Arial Narrow" w:hAnsi="Arial Narrow" w:cs="Cambria Math"/>
          <w:lang w:val="es-ES" w:eastAsia="es-ES"/>
        </w:rPr>
      </w:pPr>
      <w:r w:rsidRPr="002C0D19">
        <w:rPr>
          <w:rFonts w:ascii="Arial Narrow" w:hAnsi="Arial Narrow" w:cs="Cambria Math"/>
          <w:lang w:val="es-ES" w:eastAsia="es-ES"/>
        </w:rPr>
        <w:t>M.I. Cumplidas: Monto Inicial de las Operaciones Repo aceptadas por la Cámara cuya modalidad de liquidación sea DVP e inferior al MMO y su cumplimiento ya ha sido notificado por DECEVAL a la Cámara.</w:t>
      </w:r>
    </w:p>
    <w:p w14:paraId="3E7A8EAF" w14:textId="77777777" w:rsidR="007968EC" w:rsidRPr="002C0D19" w:rsidRDefault="007968EC" w:rsidP="007968EC">
      <w:pPr>
        <w:ind w:right="759"/>
        <w:jc w:val="both"/>
        <w:rPr>
          <w:rFonts w:ascii="Arial Narrow" w:hAnsi="Arial Narrow" w:cs="Cambria Math"/>
          <w:lang w:val="es-ES" w:eastAsia="es-ES"/>
        </w:rPr>
      </w:pPr>
    </w:p>
    <w:p w14:paraId="7EC09328" w14:textId="77777777" w:rsidR="007968EC" w:rsidRPr="002C0D19" w:rsidRDefault="007968EC" w:rsidP="007968EC">
      <w:pPr>
        <w:ind w:left="426" w:right="50"/>
        <w:jc w:val="both"/>
        <w:rPr>
          <w:rFonts w:ascii="Arial Narrow" w:eastAsia="Calibri" w:hAnsi="Arial Narrow"/>
          <w:lang w:val="es-ES"/>
        </w:rPr>
      </w:pPr>
      <w:r w:rsidRPr="002C0D19">
        <w:rPr>
          <w:rFonts w:ascii="Arial Narrow" w:eastAsia="Calibri" w:hAnsi="Arial Narrow"/>
          <w:lang w:val="es-ES"/>
        </w:rPr>
        <w:t>El MIML</w:t>
      </w:r>
      <w:r w:rsidRPr="002C0D19" w:rsidDel="00D32258">
        <w:rPr>
          <w:rFonts w:ascii="Arial Narrow" w:eastAsia="Calibri" w:hAnsi="Arial Narrow"/>
          <w:lang w:val="es-ES"/>
        </w:rPr>
        <w:t xml:space="preserve"> </w:t>
      </w:r>
      <w:r w:rsidRPr="002C0D19">
        <w:rPr>
          <w:rFonts w:ascii="Arial Narrow" w:eastAsia="Calibri" w:hAnsi="Arial Narrow"/>
          <w:lang w:val="es-ES"/>
        </w:rPr>
        <w:t>disponible se validará una vez la Operación haya cumplido con el filtro MMO. En cualquier caso, el MIML</w:t>
      </w:r>
      <w:r w:rsidRPr="002C0D19" w:rsidDel="00D32258">
        <w:rPr>
          <w:rFonts w:ascii="Arial Narrow" w:eastAsia="Calibri" w:hAnsi="Arial Narrow"/>
          <w:lang w:val="es-ES"/>
        </w:rPr>
        <w:t xml:space="preserve"> </w:t>
      </w:r>
      <w:r w:rsidRPr="002C0D19">
        <w:rPr>
          <w:rFonts w:ascii="Arial Narrow" w:eastAsia="Calibri" w:hAnsi="Arial Narrow"/>
          <w:lang w:val="es-ES"/>
        </w:rPr>
        <w:t xml:space="preserve">asignado se liberará cada vez que el Miembro Liquidador realice el pago del importe de efectivo del flujo de salida de una Operación Repo previamente aceptada por la Cámara. </w:t>
      </w:r>
    </w:p>
    <w:p w14:paraId="3CDA5F97" w14:textId="77777777" w:rsidR="007968EC" w:rsidRPr="002C0D19" w:rsidRDefault="007968EC" w:rsidP="007968EC">
      <w:pPr>
        <w:ind w:left="426"/>
        <w:jc w:val="both"/>
        <w:rPr>
          <w:rFonts w:ascii="Arial Narrow" w:eastAsia="Calibri" w:hAnsi="Arial Narrow"/>
          <w:lang w:val="es-ES"/>
        </w:rPr>
      </w:pPr>
    </w:p>
    <w:p w14:paraId="2091F9A7" w14:textId="77777777" w:rsidR="007968EC" w:rsidRPr="002C0D19" w:rsidRDefault="007968EC" w:rsidP="007968EC">
      <w:pPr>
        <w:ind w:left="426"/>
        <w:jc w:val="both"/>
        <w:rPr>
          <w:rFonts w:ascii="Arial Narrow" w:eastAsia="Calibri" w:hAnsi="Arial Narrow"/>
          <w:lang w:val="es-ES"/>
        </w:rPr>
      </w:pPr>
      <w:r w:rsidRPr="002C0D19">
        <w:rPr>
          <w:rFonts w:ascii="Arial Narrow" w:eastAsia="Calibri" w:hAnsi="Arial Narrow"/>
          <w:lang w:val="es-ES"/>
        </w:rPr>
        <w:t>En el caso en que un Miembro Liquidador General actúe por cuenta de uno o varios Miembros no Liquidadores, deberá comunicar a la Cámara el MIML</w:t>
      </w:r>
      <w:r w:rsidRPr="002C0D19" w:rsidDel="00D32258">
        <w:rPr>
          <w:rFonts w:ascii="Arial Narrow" w:eastAsia="Calibri" w:hAnsi="Arial Narrow"/>
          <w:lang w:val="es-ES"/>
        </w:rPr>
        <w:t xml:space="preserve"> </w:t>
      </w:r>
      <w:r w:rsidRPr="002C0D19">
        <w:rPr>
          <w:rFonts w:ascii="Arial Narrow" w:eastAsia="Calibri" w:hAnsi="Arial Narrow"/>
          <w:lang w:val="es-ES"/>
        </w:rPr>
        <w:t>que le asigne a cada uno de sus Miembros no Liquidadores. En este evento, la Cámara afectará el MIML</w:t>
      </w:r>
      <w:r w:rsidRPr="002C0D19" w:rsidDel="00D32258">
        <w:rPr>
          <w:rFonts w:ascii="Arial Narrow" w:eastAsia="Calibri" w:hAnsi="Arial Narrow"/>
          <w:lang w:val="es-ES"/>
        </w:rPr>
        <w:t xml:space="preserve"> </w:t>
      </w:r>
      <w:r w:rsidRPr="002C0D19">
        <w:rPr>
          <w:rFonts w:ascii="Arial Narrow" w:eastAsia="Calibri" w:hAnsi="Arial Narrow"/>
          <w:lang w:val="es-ES"/>
        </w:rPr>
        <w:t>que le haya asignado al Miembro Liquidador General hasta la sumatoria de los MIML asignados a los Miembros no Liquidadores. La asignación de dichos MIML solo podrá efectuarse hasta la finalización del horario de la Sesión de Aceptación de Operaciones, de acuerdo con el artículo 4.7.1.1. de la presente Circular y entrará en vigencia el siguiente día hábil a partir de la recepción del comunicado por parte de la Cámara.</w:t>
      </w:r>
    </w:p>
    <w:p w14:paraId="1B232E52" w14:textId="77777777" w:rsidR="007968EC" w:rsidRPr="002C0D19" w:rsidRDefault="007968EC" w:rsidP="007968EC">
      <w:pPr>
        <w:ind w:left="426"/>
        <w:jc w:val="both"/>
        <w:rPr>
          <w:rFonts w:ascii="Arial Narrow" w:eastAsia="Calibri" w:hAnsi="Arial Narrow"/>
        </w:rPr>
      </w:pPr>
    </w:p>
    <w:p w14:paraId="2FB4D18A" w14:textId="77777777" w:rsidR="007968EC" w:rsidRPr="002C0D19" w:rsidRDefault="007968EC" w:rsidP="00DA7472">
      <w:pPr>
        <w:numPr>
          <w:ilvl w:val="6"/>
          <w:numId w:val="174"/>
        </w:numPr>
        <w:ind w:left="426" w:hanging="426"/>
        <w:jc w:val="both"/>
        <w:rPr>
          <w:rFonts w:ascii="Arial Narrow" w:eastAsia="Calibri" w:hAnsi="Arial Narrow"/>
        </w:rPr>
      </w:pPr>
      <w:r w:rsidRPr="002C0D19">
        <w:rPr>
          <w:rFonts w:ascii="Arial Narrow" w:eastAsia="Calibri" w:hAnsi="Arial Narrow"/>
        </w:rPr>
        <w:t>En el caso en que la Operación cumpla con el filtro de volumen de MMO, pero no supere el filtro de MIML, el Sistema de Cámara verificará periódicamente hasta la finalización del horario de la Sesión de Verificación de MIML, de acuerdo con el artículo 4.7.1.1. de la presente Circular, si el Miembro ha liberado el MIML</w:t>
      </w:r>
      <w:r w:rsidRPr="002C0D19" w:rsidDel="00D32258">
        <w:rPr>
          <w:rFonts w:ascii="Arial Narrow" w:eastAsia="Calibri" w:hAnsi="Arial Narrow"/>
        </w:rPr>
        <w:t xml:space="preserve"> </w:t>
      </w:r>
      <w:r w:rsidRPr="002C0D19">
        <w:rPr>
          <w:rFonts w:ascii="Arial Narrow" w:eastAsia="Calibri" w:hAnsi="Arial Narrow"/>
        </w:rPr>
        <w:t xml:space="preserve">y la Cámara aceptará la Operación si el Monto Inicial de la misma cumple con dicho filtro. </w:t>
      </w:r>
    </w:p>
    <w:p w14:paraId="46D75521" w14:textId="77777777" w:rsidR="007968EC" w:rsidRPr="002C0D19" w:rsidRDefault="007968EC" w:rsidP="007968EC">
      <w:pPr>
        <w:ind w:left="426"/>
        <w:jc w:val="both"/>
        <w:rPr>
          <w:rFonts w:ascii="Arial Narrow" w:eastAsia="Calibri" w:hAnsi="Arial Narrow"/>
        </w:rPr>
      </w:pPr>
    </w:p>
    <w:p w14:paraId="4DE99D18" w14:textId="77777777" w:rsidR="007968EC" w:rsidRPr="002C0D19" w:rsidRDefault="007968EC" w:rsidP="00DA7472">
      <w:pPr>
        <w:numPr>
          <w:ilvl w:val="6"/>
          <w:numId w:val="174"/>
        </w:numPr>
        <w:ind w:left="426" w:hanging="426"/>
        <w:jc w:val="both"/>
        <w:rPr>
          <w:rFonts w:ascii="Arial Narrow" w:eastAsia="Calibri" w:hAnsi="Arial Narrow"/>
        </w:rPr>
      </w:pPr>
      <w:r w:rsidRPr="002C0D19">
        <w:rPr>
          <w:rFonts w:ascii="Arial Narrow" w:eastAsia="Calibri" w:hAnsi="Arial Narrow"/>
        </w:rPr>
        <w:t>Si la Operación Repo enviada por la Bolsa no cumple con los filtros antes descritos:</w:t>
      </w:r>
    </w:p>
    <w:p w14:paraId="163C6DD9" w14:textId="77777777" w:rsidR="007968EC" w:rsidRPr="002C0D19" w:rsidRDefault="007968EC" w:rsidP="007968EC">
      <w:pPr>
        <w:ind w:left="708"/>
        <w:rPr>
          <w:rFonts w:ascii="Arial Narrow" w:eastAsia="Calibri" w:hAnsi="Arial Narrow"/>
        </w:rPr>
      </w:pPr>
    </w:p>
    <w:p w14:paraId="274EE64A" w14:textId="77777777" w:rsidR="007968EC" w:rsidRPr="002C0D19" w:rsidRDefault="007968EC" w:rsidP="00DA7472">
      <w:pPr>
        <w:numPr>
          <w:ilvl w:val="4"/>
          <w:numId w:val="260"/>
        </w:numPr>
        <w:ind w:left="851"/>
        <w:jc w:val="both"/>
        <w:rPr>
          <w:rFonts w:ascii="Arial Narrow" w:eastAsia="Calibri" w:hAnsi="Arial Narrow"/>
        </w:rPr>
      </w:pPr>
      <w:r w:rsidRPr="002C0D19">
        <w:rPr>
          <w:rFonts w:ascii="Arial Narrow" w:eastAsia="Calibri" w:hAnsi="Arial Narrow"/>
        </w:rPr>
        <w:t>La Cámara podrá aceptar la Operación cuando se confirme por parte del Deceval, la existencia de saldo en la cuenta de efectivo del Miembro correspondiente al Monto Inicial de la Operación Repo y que se hayan efectuado los respectivos asientos contables. No obstante, si finalizado el horario de la Sesión de Aceptación de Operaciones, de acuerdo con el artículo 4.7.1.1. de la presente Circular, el Deceval no confirma lo anterior a la Cámara, la Cámara notificará el rechazo de la Operación a la Bolsa y adicionalmente informará al Miembro a través del Portal Web de la Cámara.</w:t>
      </w:r>
    </w:p>
    <w:p w14:paraId="18E5712A" w14:textId="77777777" w:rsidR="007968EC" w:rsidRPr="002C0D19" w:rsidRDefault="007968EC" w:rsidP="007968EC">
      <w:pPr>
        <w:rPr>
          <w:rFonts w:ascii="Arial Narrow" w:eastAsia="Calibri" w:hAnsi="Arial Narrow" w:cs="Arial"/>
          <w:lang w:val="es-ES" w:eastAsia="es-ES"/>
        </w:rPr>
      </w:pPr>
    </w:p>
    <w:p w14:paraId="3533084A" w14:textId="77777777" w:rsidR="007968EC" w:rsidRPr="002C0D19" w:rsidRDefault="007968EC" w:rsidP="00DA7472">
      <w:pPr>
        <w:numPr>
          <w:ilvl w:val="4"/>
          <w:numId w:val="260"/>
        </w:numPr>
        <w:ind w:left="851"/>
        <w:jc w:val="both"/>
        <w:rPr>
          <w:rFonts w:ascii="Arial Narrow" w:eastAsia="Calibri" w:hAnsi="Arial Narrow" w:cs="Arial"/>
          <w:lang w:eastAsia="es-CO"/>
        </w:rPr>
      </w:pPr>
      <w:r w:rsidRPr="002C0D19">
        <w:rPr>
          <w:rFonts w:ascii="Arial Narrow" w:eastAsia="Calibri" w:hAnsi="Arial Narrow" w:cs="Arial"/>
          <w:lang w:eastAsia="es-CO"/>
        </w:rPr>
        <w:t>En el evento en que el Miembro haya indicado que el cumplimiento de la Operación o de la totalidad de las fracciones de operación se realizará a través de un mismo Agente, la Cámara podrá aceptar la Operación, siempre y cuando:</w:t>
      </w:r>
    </w:p>
    <w:p w14:paraId="01D1C2EC" w14:textId="77777777" w:rsidR="007968EC" w:rsidRPr="002C0D19" w:rsidRDefault="007968EC" w:rsidP="007968EC">
      <w:pPr>
        <w:ind w:left="708"/>
        <w:rPr>
          <w:rFonts w:ascii="Arial Narrow" w:eastAsia="Calibri" w:hAnsi="Arial Narrow" w:cs="Arial"/>
          <w:lang w:eastAsia="es-CO"/>
        </w:rPr>
      </w:pPr>
    </w:p>
    <w:p w14:paraId="672F8883" w14:textId="77777777" w:rsidR="007968EC" w:rsidRPr="002C0D19" w:rsidRDefault="007968EC" w:rsidP="00DA7472">
      <w:pPr>
        <w:numPr>
          <w:ilvl w:val="2"/>
          <w:numId w:val="292"/>
        </w:numPr>
        <w:jc w:val="both"/>
        <w:rPr>
          <w:rFonts w:ascii="Arial Narrow" w:eastAsia="Calibri" w:hAnsi="Arial Narrow" w:cs="Arial"/>
          <w:lang w:eastAsia="es-CO"/>
        </w:rPr>
      </w:pPr>
      <w:r w:rsidRPr="002C0D19">
        <w:rPr>
          <w:rFonts w:ascii="Arial Narrow" w:eastAsia="Calibri" w:hAnsi="Arial Narrow" w:cs="Arial"/>
          <w:lang w:eastAsia="es-CO"/>
        </w:rPr>
        <w:t xml:space="preserve">La Operación o totalidad de las fracciones de operación hayan sido Admitidas por el Agente dentro del horario de la Sesión de Gestión de Agentes, </w:t>
      </w:r>
      <w:r w:rsidRPr="002C0D19">
        <w:rPr>
          <w:rFonts w:ascii="Arial Narrow" w:eastAsia="Calibri" w:hAnsi="Arial Narrow"/>
        </w:rPr>
        <w:t>de acuerdo con el artículo 4.7.1.1. de la presente Circular; y</w:t>
      </w:r>
    </w:p>
    <w:p w14:paraId="2594ECF3" w14:textId="77777777" w:rsidR="007968EC" w:rsidRPr="002C0D19" w:rsidRDefault="007968EC" w:rsidP="007968EC">
      <w:pPr>
        <w:ind w:left="1276"/>
        <w:jc w:val="both"/>
        <w:rPr>
          <w:rFonts w:ascii="Arial Narrow" w:eastAsia="Calibri" w:hAnsi="Arial Narrow" w:cs="Arial"/>
          <w:lang w:eastAsia="es-CO"/>
        </w:rPr>
      </w:pPr>
    </w:p>
    <w:p w14:paraId="5D52EB36" w14:textId="77777777" w:rsidR="007968EC" w:rsidRPr="002C0D19" w:rsidRDefault="007968EC" w:rsidP="00DA7472">
      <w:pPr>
        <w:numPr>
          <w:ilvl w:val="2"/>
          <w:numId w:val="292"/>
        </w:numPr>
        <w:jc w:val="both"/>
        <w:rPr>
          <w:rFonts w:ascii="Arial Narrow" w:eastAsia="Calibri" w:hAnsi="Arial Narrow" w:cs="Arial"/>
          <w:lang w:eastAsia="es-CO"/>
        </w:rPr>
      </w:pPr>
      <w:r w:rsidRPr="002C0D19">
        <w:rPr>
          <w:rFonts w:ascii="Arial Narrow" w:eastAsia="Calibri" w:hAnsi="Arial Narrow"/>
        </w:rPr>
        <w:lastRenderedPageBreak/>
        <w:t xml:space="preserve">Se confirme por parte del Deceval que existe el saldo correspondiente al Monto Inicial de la Operación Repo en la cuenta de efectivo del Agente y ha efectuado el respectivo asiento contable, </w:t>
      </w:r>
      <w:r w:rsidRPr="002C0D19">
        <w:rPr>
          <w:rFonts w:ascii="Arial Narrow" w:eastAsia="Calibri" w:hAnsi="Arial Narrow" w:cs="Arial"/>
          <w:lang w:eastAsia="es-CO"/>
        </w:rPr>
        <w:t xml:space="preserve">dentro del horario de la Sesión de Aceptación de Operaciones, </w:t>
      </w:r>
      <w:r w:rsidRPr="002C0D19">
        <w:rPr>
          <w:rFonts w:ascii="Arial Narrow" w:eastAsia="Calibri" w:hAnsi="Arial Narrow"/>
        </w:rPr>
        <w:t>de acuerdo con el artículo 4.7.1.1. de la presente Circular.</w:t>
      </w:r>
    </w:p>
    <w:p w14:paraId="511654A7" w14:textId="77777777" w:rsidR="007968EC" w:rsidRPr="002C0D19" w:rsidRDefault="007968EC" w:rsidP="007968EC">
      <w:pPr>
        <w:ind w:left="708"/>
        <w:rPr>
          <w:rFonts w:ascii="Arial Narrow" w:eastAsia="Calibri" w:hAnsi="Arial Narrow" w:cs="Arial"/>
          <w:lang w:eastAsia="es-CO"/>
        </w:rPr>
      </w:pPr>
    </w:p>
    <w:p w14:paraId="60BA62EF" w14:textId="77777777" w:rsidR="007968EC" w:rsidRPr="002C0D19" w:rsidRDefault="007968EC" w:rsidP="007968EC">
      <w:pPr>
        <w:ind w:left="851"/>
        <w:jc w:val="both"/>
        <w:rPr>
          <w:rFonts w:ascii="Arial Narrow" w:eastAsia="Calibri" w:hAnsi="Arial Narrow"/>
        </w:rPr>
      </w:pPr>
      <w:r w:rsidRPr="002C0D19">
        <w:rPr>
          <w:rFonts w:ascii="Arial Narrow" w:eastAsia="Calibri" w:hAnsi="Arial Narrow"/>
        </w:rPr>
        <w:t>Si finalizado el horario de la Sesión de Gestión de Agentes no se presenta la Admisión de la Operación Repo o de la totalidad de las fracciones de operación, o en el evento de haber sido Admitida la Operación Repo o la totalidad de las fracciones de operación por el Agente, si finalizado el horario de la Sesión de Aceptación de Operaciones, el Deceval no confirma la existencia del saldo y el asiento contable, la Cámara notificará el rechazo de la Operación a la Bolsa y adicionalmente informará a los Miembros a través del Portal Web de la Cámara.</w:t>
      </w:r>
    </w:p>
    <w:p w14:paraId="6972439D" w14:textId="77777777" w:rsidR="007968EC" w:rsidRPr="002C0D19" w:rsidRDefault="007968EC" w:rsidP="007968EC">
      <w:pPr>
        <w:ind w:left="426"/>
        <w:jc w:val="both"/>
        <w:rPr>
          <w:rFonts w:ascii="Arial Narrow" w:eastAsia="Calibri" w:hAnsi="Arial Narrow"/>
        </w:rPr>
      </w:pPr>
    </w:p>
    <w:p w14:paraId="5F98C13D" w14:textId="77777777" w:rsidR="007968EC" w:rsidRPr="002C0D19" w:rsidRDefault="007968EC" w:rsidP="00DA7472">
      <w:pPr>
        <w:numPr>
          <w:ilvl w:val="1"/>
          <w:numId w:val="293"/>
        </w:numPr>
        <w:ind w:left="851"/>
        <w:jc w:val="both"/>
        <w:rPr>
          <w:rFonts w:ascii="Arial Narrow" w:eastAsia="Calibri" w:hAnsi="Arial Narrow" w:cs="Arial"/>
          <w:lang w:eastAsia="es-CO"/>
        </w:rPr>
      </w:pPr>
      <w:r w:rsidRPr="002C0D19">
        <w:rPr>
          <w:rFonts w:ascii="Arial Narrow" w:eastAsia="Calibri" w:hAnsi="Arial Narrow" w:cs="Arial"/>
          <w:lang w:eastAsia="es-CO"/>
        </w:rPr>
        <w:t xml:space="preserve">En el evento en que el Miembro haya indicado que el cumplimiento de una o varias fracciones de operación se realizará a través del Miembro y un Agente o del Miembro y varios Agentes o de varios Agentes, la Cámara podrá aceptar la Operación, siempre y cuando: </w:t>
      </w:r>
    </w:p>
    <w:p w14:paraId="023A2DE3" w14:textId="77777777" w:rsidR="007968EC" w:rsidRPr="002C0D19" w:rsidRDefault="007968EC" w:rsidP="007968EC">
      <w:pPr>
        <w:ind w:left="851"/>
        <w:rPr>
          <w:rFonts w:ascii="Arial Narrow" w:eastAsia="Calibri" w:hAnsi="Arial Narrow" w:cs="Arial"/>
          <w:lang w:eastAsia="es-CO"/>
        </w:rPr>
      </w:pPr>
    </w:p>
    <w:p w14:paraId="0CFF0016" w14:textId="77777777" w:rsidR="007968EC" w:rsidRPr="002C0D19" w:rsidRDefault="007968EC" w:rsidP="00DA7472">
      <w:pPr>
        <w:numPr>
          <w:ilvl w:val="2"/>
          <w:numId w:val="291"/>
        </w:numPr>
        <w:ind w:left="2127" w:hanging="142"/>
        <w:jc w:val="both"/>
        <w:rPr>
          <w:rFonts w:ascii="Arial Narrow" w:eastAsia="Calibri" w:hAnsi="Arial Narrow" w:cs="Arial"/>
          <w:lang w:eastAsia="es-CO"/>
        </w:rPr>
      </w:pPr>
      <w:r w:rsidRPr="002C0D19">
        <w:rPr>
          <w:rFonts w:ascii="Arial Narrow" w:eastAsia="Calibri" w:hAnsi="Arial Narrow" w:cs="Arial"/>
          <w:lang w:eastAsia="es-CO"/>
        </w:rPr>
        <w:t xml:space="preserve">La totalidad de las fracciones de operación, que así lo requieran, hayan sido Admitidas por el(los) Agente(s) dentro del horario de la Sesión de Gestión de Agentes, </w:t>
      </w:r>
      <w:r w:rsidRPr="002C0D19">
        <w:rPr>
          <w:rFonts w:ascii="Arial Narrow" w:eastAsia="Calibri" w:hAnsi="Arial Narrow"/>
        </w:rPr>
        <w:t>de acuerdo con el artículo 4.7.1.1. de la presente Circular; y</w:t>
      </w:r>
    </w:p>
    <w:p w14:paraId="2DB2FC53" w14:textId="77777777" w:rsidR="007968EC" w:rsidRPr="002C0D19" w:rsidRDefault="007968EC" w:rsidP="007968EC">
      <w:pPr>
        <w:ind w:left="2127" w:hanging="142"/>
        <w:jc w:val="both"/>
        <w:rPr>
          <w:rFonts w:ascii="Arial Narrow" w:eastAsia="Calibri" w:hAnsi="Arial Narrow" w:cs="Arial"/>
          <w:lang w:eastAsia="es-CO"/>
        </w:rPr>
      </w:pPr>
    </w:p>
    <w:p w14:paraId="4686CCB1" w14:textId="77777777" w:rsidR="007968EC" w:rsidRPr="002C0D19" w:rsidRDefault="007968EC" w:rsidP="00DA7472">
      <w:pPr>
        <w:numPr>
          <w:ilvl w:val="2"/>
          <w:numId w:val="291"/>
        </w:numPr>
        <w:ind w:left="2127" w:hanging="142"/>
        <w:jc w:val="both"/>
        <w:rPr>
          <w:rFonts w:ascii="Arial Narrow" w:eastAsia="Calibri" w:hAnsi="Arial Narrow" w:cs="Arial"/>
          <w:lang w:eastAsia="es-CO"/>
        </w:rPr>
      </w:pPr>
      <w:r w:rsidRPr="002C0D19">
        <w:rPr>
          <w:rFonts w:ascii="Arial Narrow" w:eastAsia="Calibri" w:hAnsi="Arial Narrow" w:cs="Arial"/>
          <w:lang w:eastAsia="es-CO"/>
        </w:rPr>
        <w:t xml:space="preserve">La Cámara verifique la existencia de </w:t>
      </w:r>
      <w:r w:rsidRPr="002C0D19">
        <w:rPr>
          <w:rFonts w:ascii="Arial Narrow" w:eastAsia="Calibri" w:hAnsi="Arial Narrow"/>
        </w:rPr>
        <w:t xml:space="preserve">la totalidad del saldo correspondiente al Monto Inicial de la Operación Repo en la(s) cuenta(s) de efectivo del(los) Agente(s) y el Miembro que correspondan y se han efectuado los respectivos asientos contables, </w:t>
      </w:r>
      <w:r w:rsidRPr="002C0D19">
        <w:rPr>
          <w:rFonts w:ascii="Arial Narrow" w:eastAsia="Calibri" w:hAnsi="Arial Narrow" w:cs="Arial"/>
          <w:lang w:eastAsia="es-CO"/>
        </w:rPr>
        <w:t xml:space="preserve">dentro del horario de la Sesión de Aceptación de Operaciones, </w:t>
      </w:r>
      <w:r w:rsidRPr="002C0D19">
        <w:rPr>
          <w:rFonts w:ascii="Arial Narrow" w:eastAsia="Calibri" w:hAnsi="Arial Narrow"/>
        </w:rPr>
        <w:t>de acuerdo con el artículo 4.7.1.1. de la presente Circular.</w:t>
      </w:r>
    </w:p>
    <w:p w14:paraId="3C677702" w14:textId="77777777" w:rsidR="007968EC" w:rsidRPr="002C0D19" w:rsidRDefault="007968EC" w:rsidP="007968EC">
      <w:pPr>
        <w:ind w:left="851"/>
        <w:jc w:val="both"/>
        <w:rPr>
          <w:rFonts w:ascii="Arial Narrow" w:eastAsia="Calibri" w:hAnsi="Arial Narrow"/>
          <w:lang w:val="es-ES"/>
        </w:rPr>
      </w:pPr>
    </w:p>
    <w:p w14:paraId="684D5BA5" w14:textId="77777777" w:rsidR="007968EC" w:rsidRPr="002C0D19" w:rsidRDefault="007968EC" w:rsidP="007968EC">
      <w:pPr>
        <w:ind w:left="851"/>
        <w:jc w:val="both"/>
        <w:rPr>
          <w:rFonts w:ascii="Arial Narrow" w:eastAsia="Calibri" w:hAnsi="Arial Narrow"/>
        </w:rPr>
      </w:pPr>
      <w:r w:rsidRPr="002C0D19">
        <w:rPr>
          <w:rFonts w:ascii="Arial Narrow" w:eastAsia="Calibri" w:hAnsi="Arial Narrow"/>
        </w:rPr>
        <w:t xml:space="preserve">Si finalizado el horario de la Sesión de Gestión de Agentes no se presenta la Admisión de la Operación Repo o de la totalidad de las fracciones de operación, en el caso que se requiera, o en el evento de haber sido Admitida la Operación Repo o la totalidad de las fracciones de operación por el(los) Agente(s), si finalizado el horario de la Sesión de Aceptación de Operaciones, la Cámara no confirma la existencia de la totalidad del saldo y los asientos contables, la Cámara notificará el rechazo de la Operación a la Bolsa y adicionalmente informará a los Miembros a través del Portal Web de la Cámara, y procederá, si aplica, a devolver los saldos debitados por la Cámara al(los) Agente(s) o al Miembro que corresponda. </w:t>
      </w:r>
    </w:p>
    <w:p w14:paraId="7AC1B390" w14:textId="77777777" w:rsidR="007968EC" w:rsidRPr="002C0D19" w:rsidRDefault="007968EC" w:rsidP="007968EC">
      <w:pPr>
        <w:jc w:val="both"/>
        <w:rPr>
          <w:rFonts w:ascii="Arial Narrow" w:eastAsia="Calibri" w:hAnsi="Arial Narrow"/>
          <w:lang w:val="es-ES"/>
        </w:rPr>
      </w:pPr>
    </w:p>
    <w:p w14:paraId="7412875B" w14:textId="77777777" w:rsidR="007968EC" w:rsidRPr="002C0D19" w:rsidRDefault="007968EC" w:rsidP="007968EC">
      <w:pPr>
        <w:jc w:val="both"/>
        <w:rPr>
          <w:rFonts w:ascii="Arial Narrow" w:eastAsia="Calibri" w:hAnsi="Arial Narrow"/>
        </w:rPr>
      </w:pPr>
      <w:r w:rsidRPr="002C0D19">
        <w:rPr>
          <w:rFonts w:ascii="Arial Narrow" w:eastAsia="Calibri" w:hAnsi="Arial Narrow"/>
        </w:rPr>
        <w:t>Las Operaciones Repo que hayan cumplido a satisfacción de la Cámara los requisitos y controles de riesgo antes indicados, se considerarán Operaciones Aceptadas, aceptación que comprende la operación inicial o flujo de salida y la operación de regreso o de recompra o flujo de regreso y la Cámara enviará a la Bolsa, en los casos que corresponda, un mensaje informando la aceptación de la Operación por la Cámara.</w:t>
      </w:r>
    </w:p>
    <w:p w14:paraId="05DFAB91" w14:textId="77777777" w:rsidR="007968EC" w:rsidRPr="002C0D19" w:rsidRDefault="007968EC" w:rsidP="007968EC">
      <w:pPr>
        <w:jc w:val="both"/>
        <w:rPr>
          <w:rFonts w:ascii="Arial Narrow" w:eastAsia="Calibri" w:hAnsi="Arial Narrow"/>
        </w:rPr>
      </w:pPr>
    </w:p>
    <w:p w14:paraId="70C596BD" w14:textId="77777777" w:rsidR="007968EC" w:rsidRPr="002C0D19" w:rsidRDefault="007968EC" w:rsidP="007968EC">
      <w:pPr>
        <w:jc w:val="both"/>
        <w:rPr>
          <w:rFonts w:ascii="Arial Narrow" w:eastAsia="Calibri" w:hAnsi="Arial Narrow"/>
        </w:rPr>
      </w:pPr>
      <w:r w:rsidRPr="002C0D19">
        <w:rPr>
          <w:rFonts w:ascii="Arial Narrow" w:eastAsia="Calibri" w:hAnsi="Arial Narrow"/>
          <w:b/>
        </w:rPr>
        <w:t xml:space="preserve">Parágrafo. </w:t>
      </w:r>
      <w:r w:rsidRPr="002C0D19">
        <w:rPr>
          <w:rFonts w:ascii="Arial Narrow" w:eastAsia="Calibri" w:hAnsi="Arial Narrow"/>
        </w:rPr>
        <w:t xml:space="preserve">Los Miembros y/o los Agentes declaran que conocen y aceptan que de conformidad con los requisitos y controles de riesgo para la Aceptación de Operaciones Repo, la Cámara previo a la Aceptación de una Operación Repo puede efectuar los débitos del importe efectivo correspondientes a la operación de </w:t>
      </w:r>
      <w:r w:rsidRPr="002C0D19">
        <w:rPr>
          <w:rFonts w:ascii="Arial Narrow" w:eastAsia="Calibri" w:hAnsi="Arial Narrow"/>
        </w:rPr>
        <w:lastRenderedPageBreak/>
        <w:t>salida de las fracciones que conforman una operación Susceptible de ser Aceptada y que en el evento de rechazo de la operación debido a la no entrega de la totalidad del importe efectivo del flujo inicial de la Operación Repo, los importes debitados serán acreditados al Miembro y/o Agentes correspondientes. En consecuencia, los Miembros y Agentes exoneran a la Cámara de cualquier responsabilidad que pudiera derivarse de los débitos y créditos que requiera efectuar en ejercicio del cumplimiento de los requisitos y controles de riesgo para la Aceptación.</w:t>
      </w:r>
    </w:p>
    <w:p w14:paraId="6734D249" w14:textId="77777777" w:rsidR="007968EC" w:rsidRPr="002C0D19" w:rsidRDefault="007968EC" w:rsidP="007968EC">
      <w:pPr>
        <w:rPr>
          <w:rFonts w:ascii="Arial Narrow" w:eastAsia="Calibri" w:hAnsi="Arial Narrow"/>
          <w:b/>
        </w:rPr>
      </w:pPr>
    </w:p>
    <w:p w14:paraId="70741DA6" w14:textId="77777777" w:rsidR="007968EC" w:rsidRDefault="007968EC" w:rsidP="007968EC">
      <w:pPr>
        <w:tabs>
          <w:tab w:val="right" w:pos="8400"/>
        </w:tabs>
        <w:ind w:right="-42"/>
        <w:jc w:val="center"/>
        <w:outlineLvl w:val="1"/>
        <w:rPr>
          <w:rFonts w:ascii="Arial Narrow" w:eastAsia="Calibri" w:hAnsi="Arial Narrow"/>
          <w:b/>
        </w:rPr>
      </w:pPr>
      <w:bookmarkStart w:id="6077" w:name="_Toc490066684"/>
    </w:p>
    <w:p w14:paraId="31A24F0F" w14:textId="77777777" w:rsidR="007968EC" w:rsidRPr="002C0D19" w:rsidRDefault="007968EC" w:rsidP="007968EC">
      <w:pPr>
        <w:pStyle w:val="TTULO"/>
        <w:rPr>
          <w:rFonts w:eastAsia="Calibri"/>
        </w:rPr>
      </w:pPr>
      <w:bookmarkStart w:id="6078" w:name="_Toc31716349"/>
      <w:r w:rsidRPr="002C0D19">
        <w:rPr>
          <w:rFonts w:eastAsia="Calibri"/>
        </w:rPr>
        <w:t>CAPÍTULO SEGUNDO</w:t>
      </w:r>
      <w:bookmarkEnd w:id="6077"/>
      <w:bookmarkEnd w:id="6078"/>
    </w:p>
    <w:p w14:paraId="3ABFBFB3" w14:textId="77777777" w:rsidR="007968EC" w:rsidRPr="002C0D19" w:rsidRDefault="007968EC" w:rsidP="007968EC">
      <w:pPr>
        <w:pStyle w:val="TTULO"/>
        <w:rPr>
          <w:rFonts w:eastAsia="Calibri"/>
        </w:rPr>
      </w:pPr>
    </w:p>
    <w:p w14:paraId="692A1A47" w14:textId="77777777" w:rsidR="007968EC" w:rsidRPr="002C0D19" w:rsidRDefault="007968EC" w:rsidP="007968EC">
      <w:pPr>
        <w:pStyle w:val="TTULO"/>
        <w:rPr>
          <w:rFonts w:eastAsia="Calibri"/>
        </w:rPr>
      </w:pPr>
      <w:bookmarkStart w:id="6079" w:name="_Toc490066685"/>
      <w:bookmarkStart w:id="6080" w:name="_Toc31716350"/>
      <w:r w:rsidRPr="002C0D19">
        <w:rPr>
          <w:rFonts w:eastAsia="Calibri"/>
          <w:bCs/>
          <w:kern w:val="32"/>
        </w:rPr>
        <w:t>RECHAZO DE OPERACIONES</w:t>
      </w:r>
      <w:bookmarkEnd w:id="6079"/>
      <w:bookmarkEnd w:id="6080"/>
    </w:p>
    <w:p w14:paraId="0F3F1759" w14:textId="77777777" w:rsidR="007968EC" w:rsidRPr="002C0D19" w:rsidRDefault="007968EC" w:rsidP="007968EC">
      <w:pPr>
        <w:jc w:val="both"/>
        <w:rPr>
          <w:rFonts w:ascii="Arial Narrow" w:eastAsia="Calibri" w:hAnsi="Arial Narrow"/>
          <w:b/>
        </w:rPr>
      </w:pPr>
    </w:p>
    <w:p w14:paraId="026F66FC" w14:textId="77777777" w:rsidR="007968EC" w:rsidRPr="002C0D19" w:rsidRDefault="007968EC" w:rsidP="007968EC">
      <w:pPr>
        <w:pStyle w:val="ARTICULO0"/>
      </w:pPr>
      <w:bookmarkStart w:id="6081" w:name="_Toc490066686"/>
      <w:bookmarkStart w:id="6082" w:name="_Toc31716351"/>
      <w:r w:rsidRPr="002C0D19">
        <w:t>Artículo 4.2.2.1. Rechazo de Operaciones Repo provenientes de la Bolsa.</w:t>
      </w:r>
      <w:bookmarkEnd w:id="6081"/>
      <w:bookmarkEnd w:id="6082"/>
    </w:p>
    <w:p w14:paraId="06CE8720" w14:textId="77777777" w:rsidR="007968EC" w:rsidRPr="002C0D19" w:rsidRDefault="007968EC" w:rsidP="007968EC">
      <w:pPr>
        <w:jc w:val="both"/>
        <w:rPr>
          <w:rFonts w:ascii="Arial Narrow" w:eastAsia="Calibri" w:hAnsi="Arial Narrow"/>
          <w:i/>
        </w:rPr>
      </w:pPr>
    </w:p>
    <w:p w14:paraId="3C22853C" w14:textId="77777777" w:rsidR="007968EC" w:rsidRPr="002C0D19" w:rsidRDefault="007968EC" w:rsidP="007968EC">
      <w:pPr>
        <w:jc w:val="both"/>
        <w:rPr>
          <w:rFonts w:ascii="Arial Narrow" w:eastAsia="Calibri" w:hAnsi="Arial Narrow"/>
        </w:rPr>
      </w:pPr>
      <w:r w:rsidRPr="002C0D19">
        <w:rPr>
          <w:rFonts w:ascii="Arial Narrow" w:eastAsia="Calibri" w:hAnsi="Arial Narrow"/>
        </w:rPr>
        <w:t>La Cámara rechazará las Operaciones Repo que provengan de la Bolsa que no cumplan con los requisitos y controles de riesgo establecidos en el artículo 4.2.1.1 de la presente Circular. Así mismo, la Cámara rechazará las Operaciones Repo cuando exista un evento de caso fortuito y/o fuerza mayor que impida la comunicación entre la Bolsa y el sistema de Cámara.</w:t>
      </w:r>
    </w:p>
    <w:p w14:paraId="135E1885" w14:textId="77777777" w:rsidR="007968EC" w:rsidRPr="002C0D19" w:rsidRDefault="007968EC" w:rsidP="007968EC">
      <w:pPr>
        <w:jc w:val="both"/>
        <w:rPr>
          <w:rFonts w:ascii="Arial Narrow" w:eastAsia="Calibri" w:hAnsi="Arial Narrow"/>
        </w:rPr>
      </w:pPr>
    </w:p>
    <w:p w14:paraId="1BDF66AF" w14:textId="77777777" w:rsidR="007968EC" w:rsidRPr="002C0D19" w:rsidRDefault="007968EC" w:rsidP="007968EC">
      <w:pPr>
        <w:jc w:val="both"/>
        <w:rPr>
          <w:rFonts w:ascii="Arial Narrow" w:eastAsia="Calibri" w:hAnsi="Arial Narrow"/>
        </w:rPr>
      </w:pPr>
      <w:r w:rsidRPr="002C0D19">
        <w:rPr>
          <w:rFonts w:ascii="Arial Narrow" w:eastAsia="Calibri" w:hAnsi="Arial Narrow"/>
        </w:rPr>
        <w:t>Las Operaciones Repo rechazadas serán informadas por la Cámara a la Bolsa, en los casos que corresponda.</w:t>
      </w:r>
    </w:p>
    <w:p w14:paraId="6472FC2C" w14:textId="77777777" w:rsidR="007968EC" w:rsidRPr="002C0D19" w:rsidRDefault="007968EC" w:rsidP="007968EC">
      <w:pPr>
        <w:rPr>
          <w:rFonts w:ascii="Arial Narrow" w:eastAsia="Calibri" w:hAnsi="Arial Narrow"/>
        </w:rPr>
      </w:pPr>
    </w:p>
    <w:p w14:paraId="2A411175" w14:textId="77777777" w:rsidR="007968EC" w:rsidRPr="002C0D19" w:rsidRDefault="007968EC" w:rsidP="007968EC">
      <w:pPr>
        <w:rPr>
          <w:rFonts w:ascii="Arial Narrow" w:eastAsia="Calibri" w:hAnsi="Arial Narrow" w:cs="Arial"/>
        </w:rPr>
      </w:pPr>
      <w:r w:rsidRPr="002C0D19">
        <w:rPr>
          <w:rFonts w:ascii="Arial Narrow" w:eastAsia="Calibri" w:hAnsi="Arial Narrow"/>
        </w:rPr>
        <w:t>La Cámara no será responsable por tales Operaciones</w:t>
      </w:r>
      <w:r w:rsidRPr="002C0D19">
        <w:rPr>
          <w:rFonts w:ascii="Arial Narrow" w:eastAsia="Calibri" w:hAnsi="Arial Narrow" w:cs="Arial"/>
        </w:rPr>
        <w:t>.</w:t>
      </w:r>
    </w:p>
    <w:p w14:paraId="1D477771" w14:textId="77777777" w:rsidR="007968EC" w:rsidRPr="002C0D19" w:rsidRDefault="007968EC" w:rsidP="007968EC">
      <w:pPr>
        <w:rPr>
          <w:rFonts w:ascii="Arial Narrow" w:eastAsia="Calibri" w:hAnsi="Arial Narrow" w:cs="Arial"/>
        </w:rPr>
      </w:pPr>
    </w:p>
    <w:p w14:paraId="59BDFDE5" w14:textId="77777777" w:rsidR="007968EC" w:rsidRPr="002C0D19" w:rsidRDefault="007968EC" w:rsidP="007968EC">
      <w:pPr>
        <w:rPr>
          <w:rFonts w:ascii="Arial Narrow" w:eastAsia="Calibri" w:hAnsi="Arial Narrow" w:cs="Arial"/>
        </w:rPr>
      </w:pPr>
    </w:p>
    <w:p w14:paraId="68C21DD8" w14:textId="77777777" w:rsidR="007968EC" w:rsidRDefault="007968EC" w:rsidP="007968EC">
      <w:pPr>
        <w:jc w:val="center"/>
        <w:outlineLvl w:val="1"/>
        <w:rPr>
          <w:rFonts w:ascii="Arial Narrow" w:eastAsia="Calibri" w:hAnsi="Arial Narrow"/>
          <w:b/>
        </w:rPr>
      </w:pPr>
      <w:bookmarkStart w:id="6083" w:name="_Toc490066687"/>
    </w:p>
    <w:p w14:paraId="79FFD7A2" w14:textId="77777777" w:rsidR="007968EC" w:rsidRPr="002C0D19" w:rsidRDefault="007968EC" w:rsidP="007968EC">
      <w:pPr>
        <w:pStyle w:val="TTULO"/>
        <w:rPr>
          <w:rFonts w:eastAsia="Calibri"/>
        </w:rPr>
      </w:pPr>
      <w:bookmarkStart w:id="6084" w:name="_Toc31716352"/>
      <w:r w:rsidRPr="002C0D19">
        <w:rPr>
          <w:rFonts w:eastAsia="Calibri"/>
        </w:rPr>
        <w:t>CAPÍTULO TERCERO</w:t>
      </w:r>
      <w:bookmarkEnd w:id="6083"/>
      <w:bookmarkEnd w:id="6084"/>
    </w:p>
    <w:p w14:paraId="67005ED4" w14:textId="77777777" w:rsidR="007968EC" w:rsidRPr="002C0D19" w:rsidRDefault="007968EC" w:rsidP="007968EC">
      <w:pPr>
        <w:pStyle w:val="TTULO"/>
        <w:rPr>
          <w:rFonts w:eastAsia="Calibri"/>
        </w:rPr>
      </w:pPr>
    </w:p>
    <w:p w14:paraId="1442EA52" w14:textId="77777777" w:rsidR="007968EC" w:rsidRPr="002C0D19" w:rsidRDefault="007968EC" w:rsidP="007968EC">
      <w:pPr>
        <w:pStyle w:val="TTULO"/>
        <w:rPr>
          <w:rFonts w:eastAsia="Calibri"/>
        </w:rPr>
      </w:pPr>
      <w:bookmarkStart w:id="6085" w:name="_Toc490066688"/>
      <w:bookmarkStart w:id="6086" w:name="_Toc31716353"/>
      <w:r w:rsidRPr="002C0D19">
        <w:rPr>
          <w:rFonts w:eastAsia="Calibri"/>
        </w:rPr>
        <w:t>ANULACIÓN Y CORRECCIÓN DE OPERACIONES</w:t>
      </w:r>
      <w:bookmarkEnd w:id="6085"/>
      <w:bookmarkEnd w:id="6086"/>
    </w:p>
    <w:p w14:paraId="66241691" w14:textId="77777777" w:rsidR="007968EC" w:rsidRPr="002C0D19" w:rsidRDefault="007968EC" w:rsidP="007968EC">
      <w:pPr>
        <w:rPr>
          <w:rFonts w:ascii="Arial Narrow" w:eastAsia="Calibri" w:hAnsi="Arial Narrow" w:cs="Arial"/>
          <w:b/>
        </w:rPr>
      </w:pPr>
    </w:p>
    <w:p w14:paraId="11829D28" w14:textId="77777777" w:rsidR="007968EC" w:rsidRPr="002C0D19" w:rsidRDefault="007968EC" w:rsidP="007968EC">
      <w:pPr>
        <w:pStyle w:val="ARTICULO0"/>
      </w:pPr>
      <w:bookmarkStart w:id="6087" w:name="_Toc490066689"/>
      <w:bookmarkStart w:id="6088" w:name="_Toc31716354"/>
      <w:r w:rsidRPr="002C0D19">
        <w:t>Artículo 4.2.3.1. Procedimiento de Anulación de Operaciones.</w:t>
      </w:r>
      <w:bookmarkEnd w:id="6087"/>
      <w:bookmarkEnd w:id="6088"/>
    </w:p>
    <w:p w14:paraId="5AD3D142" w14:textId="77777777" w:rsidR="007968EC" w:rsidRPr="002C0D19" w:rsidRDefault="007968EC" w:rsidP="007968EC">
      <w:pPr>
        <w:rPr>
          <w:rFonts w:ascii="Arial Narrow" w:eastAsia="Calibri" w:hAnsi="Arial Narrow" w:cs="Arial"/>
          <w:b/>
        </w:rPr>
      </w:pPr>
    </w:p>
    <w:p w14:paraId="0B0FC6FE" w14:textId="77777777" w:rsidR="007968EC" w:rsidRPr="002C0D19" w:rsidRDefault="007968EC" w:rsidP="007968EC">
      <w:pPr>
        <w:jc w:val="both"/>
        <w:rPr>
          <w:rFonts w:ascii="Arial Narrow" w:eastAsia="Calibri" w:hAnsi="Arial Narrow"/>
        </w:rPr>
      </w:pPr>
      <w:r w:rsidRPr="002C0D19">
        <w:rPr>
          <w:rFonts w:ascii="Arial Narrow" w:eastAsia="Calibri" w:hAnsi="Arial Narrow"/>
        </w:rPr>
        <w:t xml:space="preserve">El procedimiento de Anulación de Operaciones que se agrupan en este Segmento es gestionado directamente por los Sistemas de Negociación y/o Registro, o Mecanismo de Contratación, de acuerdo con las reglas estipuladas en su reglamentación. </w:t>
      </w:r>
    </w:p>
    <w:p w14:paraId="7751B4F8" w14:textId="77777777" w:rsidR="007968EC" w:rsidRPr="002C0D19" w:rsidRDefault="007968EC" w:rsidP="007968EC">
      <w:pPr>
        <w:rPr>
          <w:rFonts w:ascii="Arial Narrow" w:eastAsia="Calibri" w:hAnsi="Arial Narrow" w:cs="Arial"/>
          <w:b/>
        </w:rPr>
      </w:pPr>
    </w:p>
    <w:p w14:paraId="14987EDD" w14:textId="77777777" w:rsidR="007968EC" w:rsidRPr="002C0D19" w:rsidRDefault="007968EC" w:rsidP="007968EC">
      <w:pPr>
        <w:jc w:val="both"/>
        <w:rPr>
          <w:rFonts w:ascii="Arial Narrow" w:eastAsia="Calibri" w:hAnsi="Arial Narrow"/>
        </w:rPr>
      </w:pPr>
      <w:r w:rsidRPr="002C0D19">
        <w:rPr>
          <w:rFonts w:ascii="Arial Narrow" w:eastAsia="Calibri" w:hAnsi="Arial Narrow"/>
        </w:rPr>
        <w:t xml:space="preserve">Cuando se trate de una Operación Repo proveniente de la Bolsa, el administrador de la Bolsa, una vez se cumplan las condiciones estipuladas en su reglamentación, </w:t>
      </w:r>
      <w:r w:rsidRPr="002C0D19">
        <w:rPr>
          <w:rFonts w:ascii="Arial Narrow" w:eastAsia="Calibri" w:hAnsi="Arial Narrow" w:cs="Arial"/>
          <w:lang w:val="es-ES" w:eastAsia="es-ES"/>
        </w:rPr>
        <w:t xml:space="preserve">solicitará a la Cámara la anulación de la Operación a más tardar el mismo día de su celebración y antes del cumplimiento del flujo inicial de la Operación, de conformidad </w:t>
      </w:r>
      <w:r w:rsidRPr="002C0D19">
        <w:rPr>
          <w:rFonts w:ascii="Arial Narrow" w:eastAsia="Calibri" w:hAnsi="Arial Narrow"/>
        </w:rPr>
        <w:t>con el siguiente procedimiento:</w:t>
      </w:r>
    </w:p>
    <w:p w14:paraId="3947A5FF" w14:textId="77777777" w:rsidR="007968EC" w:rsidRPr="002C0D19" w:rsidRDefault="007968EC" w:rsidP="007968EC">
      <w:pPr>
        <w:jc w:val="both"/>
        <w:rPr>
          <w:rFonts w:ascii="Arial Narrow" w:eastAsia="Calibri" w:hAnsi="Arial Narrow"/>
        </w:rPr>
      </w:pPr>
    </w:p>
    <w:p w14:paraId="0CB80CF1" w14:textId="77777777" w:rsidR="007968EC" w:rsidRPr="002C0D19" w:rsidRDefault="007968EC" w:rsidP="00DA7472">
      <w:pPr>
        <w:numPr>
          <w:ilvl w:val="3"/>
          <w:numId w:val="92"/>
        </w:numPr>
        <w:ind w:left="426" w:hanging="426"/>
        <w:jc w:val="both"/>
        <w:rPr>
          <w:rFonts w:ascii="Arial Narrow" w:eastAsia="Calibri" w:hAnsi="Arial Narrow"/>
        </w:rPr>
      </w:pPr>
      <w:r w:rsidRPr="002C0D19">
        <w:rPr>
          <w:rFonts w:ascii="Arial Narrow" w:eastAsia="Calibri" w:hAnsi="Arial Narrow"/>
        </w:rPr>
        <w:t xml:space="preserve">Una vez recibida la solicitud de anulación, la Cámara validará que la Operación no se encuentre cumplida en su flujo inicial, ni en proceso de Liquidación en Deceval, caso en el cual se aceptará la </w:t>
      </w:r>
      <w:r w:rsidRPr="002C0D19">
        <w:rPr>
          <w:rFonts w:ascii="Arial Narrow" w:eastAsia="Calibri" w:hAnsi="Arial Narrow"/>
        </w:rPr>
        <w:lastRenderedPageBreak/>
        <w:t>solicitud de anulación y se notificará a la Bolsa. En el caso en que la operación se encuentre en proceso de Liquidación en Deceval, la Cámara validará con Deceval que el Monto Inicial de la Operación no se haya entregado. De no haberse entregado, la Cámara informará a la Bolsa sobre la procedencia de la anulación, para que proceda de acuerdo con su reglamentación.</w:t>
      </w:r>
    </w:p>
    <w:p w14:paraId="0BD54335" w14:textId="77777777" w:rsidR="007968EC" w:rsidRPr="002C0D19" w:rsidRDefault="007968EC" w:rsidP="007968EC">
      <w:pPr>
        <w:ind w:left="426" w:hanging="426"/>
        <w:jc w:val="both"/>
        <w:rPr>
          <w:rFonts w:ascii="Arial Narrow" w:eastAsia="Calibri" w:hAnsi="Arial Narrow"/>
        </w:rPr>
      </w:pPr>
    </w:p>
    <w:p w14:paraId="0F8010F0" w14:textId="77777777" w:rsidR="007968EC" w:rsidRPr="002C0D19" w:rsidRDefault="007968EC" w:rsidP="00DA7472">
      <w:pPr>
        <w:numPr>
          <w:ilvl w:val="3"/>
          <w:numId w:val="92"/>
        </w:numPr>
        <w:ind w:left="426" w:hanging="426"/>
        <w:jc w:val="both"/>
        <w:rPr>
          <w:rFonts w:ascii="Arial Narrow" w:eastAsia="Calibri" w:hAnsi="Arial Narrow"/>
        </w:rPr>
      </w:pPr>
      <w:r w:rsidRPr="002C0D19">
        <w:rPr>
          <w:rFonts w:ascii="Arial Narrow" w:eastAsia="Calibri" w:hAnsi="Arial Narrow"/>
        </w:rPr>
        <w:t>Cumplido lo anterior la Bolsa enviará a la Cámara la anulación, la cual se registrará como una Operación de tipo “X” y permitirá la generación automática de todos los procesos necesarios para anular la Operación Repo asociada al número inicial de registro de esta Operación en la Cámara.</w:t>
      </w:r>
    </w:p>
    <w:p w14:paraId="3F168202" w14:textId="77777777" w:rsidR="007968EC" w:rsidRPr="002C0D19" w:rsidRDefault="007968EC" w:rsidP="007968EC">
      <w:pPr>
        <w:ind w:left="720"/>
        <w:jc w:val="both"/>
        <w:rPr>
          <w:rFonts w:ascii="Arial Narrow" w:eastAsia="Calibri" w:hAnsi="Arial Narrow"/>
        </w:rPr>
      </w:pPr>
    </w:p>
    <w:p w14:paraId="5D8650C1" w14:textId="77777777" w:rsidR="007968EC" w:rsidRPr="002C0D19" w:rsidRDefault="007968EC" w:rsidP="007968EC">
      <w:pPr>
        <w:ind w:left="426"/>
        <w:jc w:val="both"/>
        <w:rPr>
          <w:rFonts w:ascii="Arial Narrow" w:eastAsia="Calibri" w:hAnsi="Arial Narrow"/>
        </w:rPr>
      </w:pPr>
      <w:r w:rsidRPr="002C0D19">
        <w:rPr>
          <w:rFonts w:ascii="Arial Narrow" w:eastAsia="Calibri" w:hAnsi="Arial Narrow"/>
        </w:rPr>
        <w:t>No obstante, si la Bolsa no envía la anulación de la Operación Repo a la Cámara, la Operación se enviará nuevamente para su cumplimiento al Deceval.</w:t>
      </w:r>
    </w:p>
    <w:p w14:paraId="04D4E7A4" w14:textId="77777777" w:rsidR="007968EC" w:rsidRPr="002C0D19" w:rsidRDefault="007968EC" w:rsidP="007968EC">
      <w:pPr>
        <w:jc w:val="both"/>
        <w:rPr>
          <w:rFonts w:ascii="Arial Narrow" w:eastAsia="Calibri" w:hAnsi="Arial Narrow"/>
        </w:rPr>
      </w:pPr>
    </w:p>
    <w:p w14:paraId="76C724CA" w14:textId="77777777" w:rsidR="007968EC" w:rsidRPr="002C0D19" w:rsidRDefault="007968EC" w:rsidP="007968EC">
      <w:pPr>
        <w:jc w:val="both"/>
        <w:rPr>
          <w:rFonts w:ascii="Arial Narrow" w:eastAsia="Calibri" w:hAnsi="Arial Narrow"/>
        </w:rPr>
      </w:pPr>
      <w:r w:rsidRPr="002C0D19">
        <w:rPr>
          <w:rFonts w:ascii="Arial Narrow" w:eastAsia="Calibri" w:hAnsi="Arial Narrow"/>
        </w:rPr>
        <w:t>En caso de anulación de Operaciones en el presente Segmento, la Cámara deberá informar esta situación conforme lo establece el artículo 2.5.2. del Reglamento.</w:t>
      </w:r>
    </w:p>
    <w:p w14:paraId="50DB4BA6" w14:textId="77777777" w:rsidR="007968EC" w:rsidRPr="002C0D19" w:rsidRDefault="007968EC" w:rsidP="007968EC">
      <w:pPr>
        <w:rPr>
          <w:rFonts w:ascii="Arial Narrow" w:eastAsia="Calibri" w:hAnsi="Arial Narrow"/>
        </w:rPr>
      </w:pPr>
    </w:p>
    <w:p w14:paraId="07F1F94C" w14:textId="77777777" w:rsidR="007968EC" w:rsidRPr="002C0D19" w:rsidRDefault="007968EC" w:rsidP="007968EC">
      <w:pPr>
        <w:pStyle w:val="ARTICULO0"/>
      </w:pPr>
      <w:bookmarkStart w:id="6089" w:name="_Toc490066690"/>
      <w:bookmarkStart w:id="6090" w:name="_Toc31716355"/>
      <w:r w:rsidRPr="002C0D19">
        <w:t>Artículo 4.2.3.2. Corrección de Operaciones.</w:t>
      </w:r>
      <w:bookmarkEnd w:id="6089"/>
      <w:bookmarkEnd w:id="6090"/>
    </w:p>
    <w:p w14:paraId="68F591DA" w14:textId="77777777" w:rsidR="007968EC" w:rsidRPr="002C0D19" w:rsidRDefault="007968EC" w:rsidP="007968EC">
      <w:pPr>
        <w:jc w:val="both"/>
        <w:rPr>
          <w:rFonts w:ascii="Arial Narrow" w:eastAsia="Calibri" w:hAnsi="Arial Narrow"/>
        </w:rPr>
      </w:pPr>
    </w:p>
    <w:p w14:paraId="2FE94FB5" w14:textId="77777777" w:rsidR="007968EC" w:rsidRPr="002C0D19" w:rsidRDefault="007968EC" w:rsidP="007968EC">
      <w:pPr>
        <w:jc w:val="both"/>
        <w:rPr>
          <w:rFonts w:ascii="Arial Narrow" w:eastAsia="Calibri" w:hAnsi="Arial Narrow"/>
        </w:rPr>
      </w:pPr>
      <w:r w:rsidRPr="002C0D19">
        <w:rPr>
          <w:rFonts w:ascii="Arial Narrow" w:eastAsia="Calibri" w:hAnsi="Arial Narrow"/>
        </w:rPr>
        <w:t xml:space="preserve">La corrección de Operaciones que se agrupan en este Segmento será gestionada directamente por los Sistemas de Negociación y/o Registro o Mecanismo de Contratación, de acuerdo con las reglas y procedimientos estipulados en su reglamentación. </w:t>
      </w:r>
    </w:p>
    <w:p w14:paraId="24A3A1BB" w14:textId="77777777" w:rsidR="007968EC" w:rsidRPr="002C0D19" w:rsidRDefault="007968EC" w:rsidP="007968EC">
      <w:pPr>
        <w:jc w:val="both"/>
        <w:rPr>
          <w:rFonts w:ascii="Arial Narrow" w:eastAsia="Calibri" w:hAnsi="Arial Narrow"/>
        </w:rPr>
      </w:pPr>
    </w:p>
    <w:p w14:paraId="348047A5" w14:textId="77777777" w:rsidR="007968EC" w:rsidRPr="002C0D19" w:rsidRDefault="007968EC" w:rsidP="007968EC">
      <w:pPr>
        <w:jc w:val="both"/>
        <w:rPr>
          <w:rFonts w:ascii="Arial Narrow" w:eastAsia="Calibri" w:hAnsi="Arial Narrow"/>
          <w:lang w:val="es-ES" w:eastAsia="es-ES"/>
        </w:rPr>
      </w:pPr>
      <w:r w:rsidRPr="002C0D19">
        <w:rPr>
          <w:rFonts w:ascii="Arial Narrow" w:eastAsia="Calibri" w:hAnsi="Arial Narrow"/>
          <w:lang w:val="es-ES" w:eastAsia="es-ES"/>
        </w:rPr>
        <w:t xml:space="preserve">Cuando se trate de Operaciones Repo provenientes de la Bolsa, el administrador de la Bolsa, </w:t>
      </w:r>
      <w:r w:rsidRPr="002C0D19">
        <w:rPr>
          <w:rFonts w:ascii="Arial Narrow" w:eastAsia="Calibri" w:hAnsi="Arial Narrow"/>
        </w:rPr>
        <w:t>una vez se cumplan las condiciones estipuladas en su reglamentación,</w:t>
      </w:r>
      <w:r w:rsidRPr="002C0D19">
        <w:rPr>
          <w:rFonts w:ascii="Arial Narrow" w:eastAsia="Calibri" w:hAnsi="Arial Narrow"/>
          <w:lang w:val="es-ES" w:eastAsia="es-ES"/>
        </w:rPr>
        <w:t xml:space="preserve"> debe tramitar la corrección de Operaciones mediante la anulación de la Operación objeto de corrección y el envío de una nueva Operación con la información correcta. En todo caso, no habrá lugar a la corrección de los datos de las Operaciones Aceptadas, referentes a la especie, precio, tasa, volumen y posición en la que la Operación fue celebrada por parte de los Miembros. </w:t>
      </w:r>
    </w:p>
    <w:p w14:paraId="38494E12" w14:textId="77777777" w:rsidR="007968EC" w:rsidRPr="002C0D19" w:rsidRDefault="007968EC" w:rsidP="007968EC">
      <w:pPr>
        <w:jc w:val="both"/>
        <w:rPr>
          <w:rFonts w:ascii="Arial Narrow" w:eastAsia="Calibri" w:hAnsi="Arial Narrow"/>
          <w:lang w:val="es-ES" w:eastAsia="es-ES"/>
        </w:rPr>
      </w:pPr>
    </w:p>
    <w:p w14:paraId="6F44ED2A" w14:textId="77777777" w:rsidR="007968EC" w:rsidRPr="002C0D19" w:rsidRDefault="007968EC" w:rsidP="007968EC">
      <w:pPr>
        <w:jc w:val="both"/>
        <w:rPr>
          <w:rFonts w:ascii="Arial Narrow" w:eastAsia="Calibri" w:hAnsi="Arial Narrow"/>
          <w:lang w:val="es-ES"/>
        </w:rPr>
      </w:pPr>
      <w:r w:rsidRPr="002C0D19">
        <w:rPr>
          <w:rFonts w:ascii="Arial Narrow" w:eastAsia="Calibri" w:hAnsi="Arial Narrow"/>
        </w:rPr>
        <w:t>En caso de corrección de Operaciones que se agrupan en el presente Segmento, la Cámara deberá informar esta situación conforme lo establece el artículo 2.5.1. del Reglamento.</w:t>
      </w:r>
    </w:p>
    <w:p w14:paraId="424B624A" w14:textId="77777777" w:rsidR="007968EC" w:rsidRPr="002C0D19" w:rsidRDefault="007968EC" w:rsidP="007968EC">
      <w:pPr>
        <w:jc w:val="both"/>
        <w:rPr>
          <w:rFonts w:ascii="Arial Narrow" w:eastAsia="Calibri" w:hAnsi="Arial Narrow"/>
          <w:lang w:val="es-ES" w:eastAsia="es-ES"/>
        </w:rPr>
      </w:pPr>
    </w:p>
    <w:p w14:paraId="61067870" w14:textId="77777777" w:rsidR="007968EC" w:rsidRPr="002C0D19" w:rsidRDefault="007968EC" w:rsidP="007968EC">
      <w:pPr>
        <w:pStyle w:val="ARTICULO0"/>
        <w:rPr>
          <w:lang w:val="es-ES"/>
        </w:rPr>
      </w:pPr>
      <w:bookmarkStart w:id="6091" w:name="_Toc31716356"/>
      <w:r w:rsidRPr="002C0D19">
        <w:rPr>
          <w:lang w:val="es-ES"/>
        </w:rPr>
        <w:t>Artículo 4.2.3.3. Corrección de la Complementación.</w:t>
      </w:r>
      <w:bookmarkEnd w:id="6091"/>
    </w:p>
    <w:p w14:paraId="50474C6F" w14:textId="77777777" w:rsidR="007968EC" w:rsidRPr="002C0D19" w:rsidRDefault="007968EC" w:rsidP="007968EC">
      <w:pPr>
        <w:jc w:val="both"/>
        <w:rPr>
          <w:rFonts w:ascii="Arial Narrow" w:eastAsia="Calibri" w:hAnsi="Arial Narrow"/>
          <w:lang w:val="es-ES" w:eastAsia="es-ES"/>
        </w:rPr>
      </w:pPr>
    </w:p>
    <w:p w14:paraId="5A4C1FCE" w14:textId="77777777" w:rsidR="007968EC" w:rsidRPr="002C0D19" w:rsidRDefault="007968EC" w:rsidP="007968EC">
      <w:pPr>
        <w:jc w:val="both"/>
        <w:rPr>
          <w:rFonts w:ascii="Arial Narrow" w:eastAsia="Calibri" w:hAnsi="Arial Narrow"/>
          <w:lang w:val="es-ES" w:eastAsia="es-ES"/>
        </w:rPr>
      </w:pPr>
      <w:r w:rsidRPr="002C0D19">
        <w:rPr>
          <w:rFonts w:ascii="Arial Narrow" w:eastAsia="Calibri" w:hAnsi="Arial Narrow"/>
          <w:lang w:val="es-ES" w:eastAsia="es-ES"/>
        </w:rPr>
        <w:t xml:space="preserve">Los Miembros podrán solicitar a través del Portal WEB de la Cámara, la corrección de la información suministrada en la Complementación de una Operación Repo y/o fracción de una operación únicamente en los siguientes casos: </w:t>
      </w:r>
    </w:p>
    <w:p w14:paraId="356D07BD" w14:textId="77777777" w:rsidR="007968EC" w:rsidRPr="002C0D19" w:rsidRDefault="007968EC" w:rsidP="007968EC">
      <w:pPr>
        <w:ind w:left="1440"/>
        <w:jc w:val="both"/>
        <w:rPr>
          <w:rFonts w:ascii="Arial Narrow" w:eastAsia="Calibri" w:hAnsi="Arial Narrow"/>
          <w:lang w:eastAsia="es-CO"/>
        </w:rPr>
      </w:pPr>
    </w:p>
    <w:p w14:paraId="32CEB8B3" w14:textId="77777777" w:rsidR="007968EC" w:rsidRPr="002C0D19" w:rsidRDefault="007968EC" w:rsidP="00DA7472">
      <w:pPr>
        <w:numPr>
          <w:ilvl w:val="1"/>
          <w:numId w:val="269"/>
        </w:numPr>
        <w:ind w:left="426" w:hanging="426"/>
        <w:jc w:val="both"/>
        <w:rPr>
          <w:rFonts w:ascii="Arial Narrow" w:eastAsia="Calibri" w:hAnsi="Arial Narrow"/>
          <w:lang w:eastAsia="es-CO"/>
        </w:rPr>
      </w:pPr>
      <w:r w:rsidRPr="002C0D19">
        <w:rPr>
          <w:rFonts w:ascii="Arial Narrow" w:eastAsia="Calibri" w:hAnsi="Arial Narrow"/>
        </w:rPr>
        <w:t>Cuando el Miembro requiera modificar la Cuenta de Tercero Identificado de una Operación Repo o fracción de una operación recibida y/o aceptada por la Cámara.</w:t>
      </w:r>
    </w:p>
    <w:p w14:paraId="3F90791A" w14:textId="77777777" w:rsidR="007968EC" w:rsidRPr="002C0D19" w:rsidRDefault="007968EC" w:rsidP="007968EC">
      <w:pPr>
        <w:ind w:left="426" w:hanging="426"/>
        <w:jc w:val="both"/>
        <w:rPr>
          <w:rFonts w:ascii="Arial Narrow" w:eastAsia="Calibri" w:hAnsi="Arial Narrow"/>
          <w:lang w:eastAsia="es-CO"/>
        </w:rPr>
      </w:pPr>
    </w:p>
    <w:p w14:paraId="2482BEA0" w14:textId="77777777" w:rsidR="007968EC" w:rsidRPr="002C0D19" w:rsidRDefault="007968EC" w:rsidP="00DA7472">
      <w:pPr>
        <w:numPr>
          <w:ilvl w:val="1"/>
          <w:numId w:val="269"/>
        </w:numPr>
        <w:ind w:left="426" w:hanging="426"/>
        <w:jc w:val="both"/>
        <w:rPr>
          <w:rFonts w:ascii="Arial Narrow" w:eastAsia="Calibri" w:hAnsi="Arial Narrow"/>
          <w:lang w:eastAsia="es-CO"/>
        </w:rPr>
      </w:pPr>
      <w:r w:rsidRPr="002C0D19">
        <w:rPr>
          <w:rFonts w:ascii="Arial Narrow" w:eastAsia="Calibri" w:hAnsi="Arial Narrow"/>
          <w:lang w:eastAsia="es-CO"/>
        </w:rPr>
        <w:t xml:space="preserve">Cuando el Miembro requiera incluir, modificar o eliminar la información relacionada con el Agente de una Operación Repo o fracción de una operación </w:t>
      </w:r>
      <w:r w:rsidRPr="002C0D19">
        <w:rPr>
          <w:rFonts w:ascii="Arial Narrow" w:eastAsia="Calibri" w:hAnsi="Arial Narrow"/>
        </w:rPr>
        <w:t>recibida y/o aceptada por la Cámara.</w:t>
      </w:r>
    </w:p>
    <w:p w14:paraId="46D7D458" w14:textId="77777777" w:rsidR="007968EC" w:rsidRPr="002C0D19" w:rsidRDefault="007968EC" w:rsidP="007968EC">
      <w:pPr>
        <w:jc w:val="both"/>
        <w:rPr>
          <w:rFonts w:ascii="Arial Narrow" w:eastAsia="Calibri" w:hAnsi="Arial Narrow"/>
        </w:rPr>
      </w:pPr>
    </w:p>
    <w:p w14:paraId="60FA141A" w14:textId="77777777" w:rsidR="007968EC" w:rsidRPr="002C0D19" w:rsidRDefault="007968EC" w:rsidP="007968EC">
      <w:pPr>
        <w:jc w:val="both"/>
        <w:rPr>
          <w:rFonts w:ascii="Arial Narrow" w:eastAsia="Calibri" w:hAnsi="Arial Narrow"/>
        </w:rPr>
      </w:pPr>
      <w:r w:rsidRPr="002C0D19">
        <w:rPr>
          <w:rFonts w:ascii="Arial Narrow" w:eastAsia="Calibri" w:hAnsi="Arial Narrow" w:cs="Arial"/>
          <w:lang w:val="es-ES" w:eastAsia="es-ES"/>
        </w:rPr>
        <w:lastRenderedPageBreak/>
        <w:t>Cuando se trate de la corrección de la Complementación de una Operación Repo</w:t>
      </w:r>
      <w:r w:rsidRPr="002C0D19">
        <w:rPr>
          <w:rFonts w:ascii="Arial Narrow" w:eastAsia="Calibri" w:hAnsi="Arial Narrow"/>
        </w:rPr>
        <w:t xml:space="preserve"> o fracción de una operación Aceptada, la Cámara una vez reciba la solicitud de corrección por parte del Miembro, realizará las siguientes validaciones en relación con dicha Operación Repo o con la fracción de una operación previo a aprobar la solicitud de corrección de la Complementación:</w:t>
      </w:r>
    </w:p>
    <w:p w14:paraId="74E20501" w14:textId="77777777" w:rsidR="007968EC" w:rsidRPr="002C0D19" w:rsidRDefault="007968EC" w:rsidP="007968EC">
      <w:pPr>
        <w:jc w:val="both"/>
        <w:rPr>
          <w:rFonts w:ascii="Arial Narrow" w:eastAsia="Calibri" w:hAnsi="Arial Narrow"/>
        </w:rPr>
      </w:pPr>
    </w:p>
    <w:p w14:paraId="1DE6F638" w14:textId="77777777" w:rsidR="007968EC" w:rsidRPr="002C0D19" w:rsidRDefault="007968EC" w:rsidP="00DA7472">
      <w:pPr>
        <w:numPr>
          <w:ilvl w:val="0"/>
          <w:numId w:val="281"/>
        </w:numPr>
        <w:ind w:left="426" w:hanging="426"/>
        <w:jc w:val="both"/>
        <w:rPr>
          <w:rFonts w:ascii="Arial Narrow" w:eastAsia="Calibri" w:hAnsi="Arial Narrow"/>
        </w:rPr>
      </w:pPr>
      <w:r w:rsidRPr="002C0D19">
        <w:rPr>
          <w:rFonts w:ascii="Arial Narrow" w:eastAsia="Calibri" w:hAnsi="Arial Narrow"/>
        </w:rPr>
        <w:t>Que no se encuentre cumplida en su flujo de salida.</w:t>
      </w:r>
    </w:p>
    <w:p w14:paraId="408089C0" w14:textId="77777777" w:rsidR="007968EC" w:rsidRPr="002C0D19" w:rsidRDefault="007968EC" w:rsidP="007968EC">
      <w:pPr>
        <w:ind w:left="426" w:hanging="426"/>
        <w:jc w:val="both"/>
        <w:rPr>
          <w:rFonts w:ascii="Arial Narrow" w:eastAsia="Calibri" w:hAnsi="Arial Narrow"/>
          <w:lang w:val="es-ES"/>
        </w:rPr>
      </w:pPr>
    </w:p>
    <w:p w14:paraId="1E316890" w14:textId="77777777" w:rsidR="007968EC" w:rsidRPr="002C0D19" w:rsidRDefault="007968EC" w:rsidP="00DA7472">
      <w:pPr>
        <w:numPr>
          <w:ilvl w:val="0"/>
          <w:numId w:val="281"/>
        </w:numPr>
        <w:ind w:left="426" w:hanging="426"/>
        <w:jc w:val="both"/>
        <w:rPr>
          <w:rFonts w:ascii="Arial Narrow" w:eastAsia="Calibri" w:hAnsi="Arial Narrow"/>
        </w:rPr>
      </w:pPr>
      <w:r w:rsidRPr="002C0D19">
        <w:rPr>
          <w:rFonts w:ascii="Arial Narrow" w:eastAsia="Calibri" w:hAnsi="Arial Narrow"/>
        </w:rPr>
        <w:t xml:space="preserve">Si la solicitud de la corrección corresponde a la modificación de la Cuenta de Tercero Identificado del Adquirente, la Cámara valida con el Deceval que no se haya entregado el importe efectivo del flujo de salida de la Operación Repo o fracción de una operación. </w:t>
      </w:r>
    </w:p>
    <w:p w14:paraId="68851FAC" w14:textId="77777777" w:rsidR="007968EC" w:rsidRPr="002C0D19" w:rsidRDefault="007968EC" w:rsidP="007968EC">
      <w:pPr>
        <w:ind w:left="708"/>
        <w:rPr>
          <w:rFonts w:ascii="Arial Narrow" w:eastAsia="Calibri" w:hAnsi="Arial Narrow"/>
        </w:rPr>
      </w:pPr>
    </w:p>
    <w:p w14:paraId="561CEEA3" w14:textId="77777777" w:rsidR="007968EC" w:rsidRPr="002C0D19" w:rsidRDefault="007968EC" w:rsidP="007968EC">
      <w:pPr>
        <w:jc w:val="both"/>
        <w:rPr>
          <w:rFonts w:ascii="Arial Narrow" w:eastAsia="Calibri" w:hAnsi="Arial Narrow" w:cs="Arial"/>
          <w:lang w:val="es-ES" w:eastAsia="es-ES"/>
        </w:rPr>
      </w:pPr>
      <w:r w:rsidRPr="002C0D19">
        <w:rPr>
          <w:rFonts w:ascii="Arial Narrow" w:eastAsia="Calibri" w:hAnsi="Arial Narrow"/>
        </w:rPr>
        <w:t xml:space="preserve">Verificado lo anterior, y de ser procedente la corrección de la Complementación, </w:t>
      </w:r>
      <w:r w:rsidRPr="002C0D19">
        <w:rPr>
          <w:rFonts w:ascii="Arial Narrow" w:eastAsia="Calibri" w:hAnsi="Arial Narrow"/>
          <w:lang w:val="es-ES"/>
        </w:rPr>
        <w:t>la Cámara le informará a la Bolsa para que le permita al Miembro realizar la corrección de la Complementación y la Bolsa enviará la información corregida a la Cámara. Para efectos de lo anterior, la Bolsa debe tramitar la corrección de la Complementación mediante la anulación de la Operación Aceptada y el envío de una nueva Operación con la información correcta. En este evento, la Cámara</w:t>
      </w:r>
      <w:r w:rsidRPr="002C0D19">
        <w:rPr>
          <w:rFonts w:ascii="Arial Narrow" w:eastAsia="Calibri" w:hAnsi="Arial Narrow" w:cs="Arial"/>
          <w:lang w:val="es-ES" w:eastAsia="es-ES"/>
        </w:rPr>
        <w:t xml:space="preserve"> registrará una operación de tipo “X”, que permite la generación automática de todos los procesos necesarios para la corrección de la Complementación de la Operación Repo asociada al número inicial de registro de Cámara. Así mismo, la información corregida estará disponible en el Portal WEB de la Cámara.</w:t>
      </w:r>
    </w:p>
    <w:p w14:paraId="2EFBC54C" w14:textId="77777777" w:rsidR="007968EC" w:rsidRPr="002C0D19" w:rsidRDefault="007968EC" w:rsidP="007968EC">
      <w:pPr>
        <w:jc w:val="both"/>
        <w:rPr>
          <w:rFonts w:ascii="Arial Narrow" w:eastAsia="Calibri" w:hAnsi="Arial Narrow" w:cs="Arial"/>
          <w:lang w:val="es-ES" w:eastAsia="es-ES"/>
        </w:rPr>
      </w:pPr>
    </w:p>
    <w:p w14:paraId="0BCCC589" w14:textId="77777777" w:rsidR="007968EC" w:rsidRPr="002C0D19" w:rsidRDefault="007968EC" w:rsidP="007968EC">
      <w:pPr>
        <w:jc w:val="both"/>
        <w:rPr>
          <w:rFonts w:ascii="Arial Narrow" w:eastAsia="Calibri" w:hAnsi="Arial Narrow" w:cs="Arial"/>
          <w:lang w:val="es-ES" w:eastAsia="es-ES"/>
        </w:rPr>
      </w:pPr>
      <w:r w:rsidRPr="002C0D19">
        <w:rPr>
          <w:rFonts w:ascii="Arial Narrow" w:eastAsia="Calibri" w:hAnsi="Arial Narrow" w:cs="Arial"/>
          <w:lang w:val="es-ES" w:eastAsia="es-ES"/>
        </w:rPr>
        <w:t xml:space="preserve">Cuando se trate de la corrección de la Complementación de una Operación Repo Susceptible de ser Aceptada, bastará que </w:t>
      </w:r>
      <w:r w:rsidRPr="002C0D19">
        <w:rPr>
          <w:rFonts w:ascii="Arial Narrow" w:eastAsia="Calibri" w:hAnsi="Arial Narrow"/>
          <w:lang w:val="es-ES"/>
        </w:rPr>
        <w:t xml:space="preserve">la Cámara le informe a la Bolsa sobre la solicitud del Miembro para que esta le permita al Miembro realizar la corrección de la Complementación. Una vez corregida, la Bolsa enviará a la Cámara la información nuevamente con el fin de que </w:t>
      </w:r>
      <w:r w:rsidRPr="002C0D19">
        <w:rPr>
          <w:rFonts w:ascii="Arial Narrow" w:eastAsia="Calibri" w:hAnsi="Arial Narrow" w:cs="Arial"/>
          <w:lang w:val="es-ES" w:eastAsia="es-ES"/>
        </w:rPr>
        <w:t xml:space="preserve">la Cámara realice la modificación a la información en el Portal WEB de la Cámara. </w:t>
      </w:r>
    </w:p>
    <w:p w14:paraId="49C2D2D7" w14:textId="77777777" w:rsidR="007968EC" w:rsidRPr="002C0D19" w:rsidRDefault="007968EC" w:rsidP="007968EC">
      <w:pPr>
        <w:jc w:val="both"/>
        <w:rPr>
          <w:rFonts w:ascii="Arial Narrow" w:eastAsia="Calibri" w:hAnsi="Arial Narrow"/>
          <w:lang w:val="es-ES"/>
        </w:rPr>
      </w:pPr>
    </w:p>
    <w:p w14:paraId="521F532D" w14:textId="77777777" w:rsidR="007968EC" w:rsidRPr="002C0D19" w:rsidRDefault="007968EC" w:rsidP="007968EC">
      <w:pPr>
        <w:jc w:val="both"/>
        <w:rPr>
          <w:rFonts w:ascii="Arial Narrow" w:eastAsia="Calibri" w:hAnsi="Arial Narrow"/>
          <w:lang w:val="es-ES"/>
        </w:rPr>
      </w:pPr>
      <w:r w:rsidRPr="002C0D19">
        <w:rPr>
          <w:rFonts w:ascii="Arial Narrow" w:eastAsia="Calibri" w:hAnsi="Arial Narrow"/>
          <w:lang w:val="es-ES"/>
        </w:rPr>
        <w:t>La corrección de la Complementación de una Operación Repo y/o de la fracción de una operación se debe realizar dentro del horario de la Sesión de Corrección de la Complementación definido en la presente Circular.</w:t>
      </w:r>
    </w:p>
    <w:p w14:paraId="16C6D3B8" w14:textId="77777777" w:rsidR="007968EC" w:rsidRPr="002C0D19" w:rsidRDefault="007968EC" w:rsidP="007968EC">
      <w:pPr>
        <w:jc w:val="both"/>
        <w:rPr>
          <w:rFonts w:ascii="Arial Narrow" w:eastAsia="Calibri" w:hAnsi="Arial Narrow"/>
          <w:lang w:val="es-ES"/>
        </w:rPr>
      </w:pPr>
    </w:p>
    <w:p w14:paraId="64B502AC" w14:textId="77777777" w:rsidR="007968EC" w:rsidRPr="002C0D19" w:rsidRDefault="007968EC" w:rsidP="007968EC">
      <w:pPr>
        <w:jc w:val="both"/>
        <w:rPr>
          <w:rFonts w:ascii="Arial Narrow" w:eastAsia="Calibri" w:hAnsi="Arial Narrow" w:cs="Arial"/>
          <w:lang w:val="es-ES" w:eastAsia="es-ES"/>
        </w:rPr>
      </w:pPr>
      <w:r w:rsidRPr="002C0D19">
        <w:rPr>
          <w:rFonts w:ascii="Arial Narrow" w:eastAsia="Calibri" w:hAnsi="Arial Narrow"/>
        </w:rPr>
        <w:t>La Cámara se reserva el derecho de solicitar la documentación que estime pertinente, con el fin de verificar los motivos de la corrección de la Complementación de una Operación y/o de la fracción de una operación.</w:t>
      </w:r>
    </w:p>
    <w:p w14:paraId="0F346F9B" w14:textId="77777777" w:rsidR="007968EC" w:rsidRPr="002C0D19" w:rsidRDefault="007968EC" w:rsidP="007968EC">
      <w:pPr>
        <w:rPr>
          <w:rFonts w:ascii="Arial Narrow" w:eastAsia="Calibri" w:hAnsi="Arial Narrow" w:cs="Arial"/>
          <w:b/>
        </w:rPr>
      </w:pPr>
    </w:p>
    <w:p w14:paraId="69AA4F18" w14:textId="77777777" w:rsidR="007968EC" w:rsidRDefault="007968EC" w:rsidP="007968EC">
      <w:pPr>
        <w:jc w:val="center"/>
        <w:outlineLvl w:val="0"/>
        <w:rPr>
          <w:rFonts w:ascii="Arial Narrow" w:eastAsia="Calibri" w:hAnsi="Arial Narrow"/>
          <w:b/>
        </w:rPr>
      </w:pPr>
      <w:bookmarkStart w:id="6092" w:name="_Toc490066691"/>
    </w:p>
    <w:p w14:paraId="45A937FD" w14:textId="77777777" w:rsidR="007968EC" w:rsidRPr="002C0D19" w:rsidRDefault="007968EC" w:rsidP="007968EC">
      <w:pPr>
        <w:pStyle w:val="TTULO"/>
        <w:rPr>
          <w:rFonts w:eastAsia="Calibri"/>
        </w:rPr>
      </w:pPr>
      <w:bookmarkStart w:id="6093" w:name="_Toc31716357"/>
      <w:r w:rsidRPr="002C0D19">
        <w:rPr>
          <w:rFonts w:eastAsia="Calibri"/>
        </w:rPr>
        <w:t>TÍTULO TERCERO</w:t>
      </w:r>
      <w:bookmarkEnd w:id="6092"/>
      <w:bookmarkEnd w:id="6093"/>
    </w:p>
    <w:p w14:paraId="07D5D0D0" w14:textId="77777777" w:rsidR="007968EC" w:rsidRPr="002C0D19" w:rsidRDefault="007968EC" w:rsidP="007968EC">
      <w:pPr>
        <w:pStyle w:val="TTULO"/>
        <w:rPr>
          <w:rFonts w:eastAsia="Calibri"/>
        </w:rPr>
      </w:pPr>
    </w:p>
    <w:p w14:paraId="30B85E41" w14:textId="77777777" w:rsidR="007968EC" w:rsidRPr="002C0D19" w:rsidRDefault="007968EC" w:rsidP="007968EC">
      <w:pPr>
        <w:pStyle w:val="TTULO"/>
        <w:rPr>
          <w:rFonts w:eastAsia="Calibri"/>
        </w:rPr>
      </w:pPr>
      <w:bookmarkStart w:id="6094" w:name="_Toc31716358"/>
      <w:r w:rsidRPr="002C0D19">
        <w:rPr>
          <w:rFonts w:eastAsia="Calibri"/>
        </w:rPr>
        <w:t>CUENTAS Y GESTIÓN DE OPERACIONES</w:t>
      </w:r>
      <w:bookmarkEnd w:id="6094"/>
    </w:p>
    <w:p w14:paraId="2C04C146" w14:textId="77777777" w:rsidR="007968EC" w:rsidRPr="002C0D19" w:rsidRDefault="007968EC" w:rsidP="007968EC">
      <w:pPr>
        <w:pStyle w:val="TTULO"/>
        <w:rPr>
          <w:rFonts w:eastAsia="Calibri"/>
        </w:rPr>
      </w:pPr>
    </w:p>
    <w:p w14:paraId="4D777637" w14:textId="77777777" w:rsidR="007968EC" w:rsidRPr="002C0D19" w:rsidRDefault="007968EC" w:rsidP="007968EC">
      <w:pPr>
        <w:pStyle w:val="TTULO"/>
        <w:rPr>
          <w:rFonts w:eastAsia="Calibri"/>
        </w:rPr>
      </w:pPr>
      <w:bookmarkStart w:id="6095" w:name="_Toc31716359"/>
      <w:r w:rsidRPr="002C0D19">
        <w:rPr>
          <w:rFonts w:eastAsia="Calibri"/>
        </w:rPr>
        <w:t>CAPITULO PRIMERO</w:t>
      </w:r>
      <w:bookmarkEnd w:id="6095"/>
    </w:p>
    <w:p w14:paraId="7AFF095F" w14:textId="77777777" w:rsidR="007968EC" w:rsidRPr="002C0D19" w:rsidRDefault="007968EC" w:rsidP="007968EC">
      <w:pPr>
        <w:pStyle w:val="TTULO"/>
        <w:rPr>
          <w:rFonts w:eastAsia="Calibri"/>
        </w:rPr>
      </w:pPr>
    </w:p>
    <w:p w14:paraId="25178935" w14:textId="77777777" w:rsidR="007968EC" w:rsidRPr="002C0D19" w:rsidRDefault="007968EC" w:rsidP="007968EC">
      <w:pPr>
        <w:pStyle w:val="TTULO"/>
        <w:rPr>
          <w:rFonts w:eastAsia="Calibri"/>
        </w:rPr>
      </w:pPr>
      <w:bookmarkStart w:id="6096" w:name="_Toc31716360"/>
      <w:r w:rsidRPr="002C0D19">
        <w:rPr>
          <w:rFonts w:eastAsia="Calibri"/>
        </w:rPr>
        <w:t>CUENTAS</w:t>
      </w:r>
      <w:bookmarkEnd w:id="6096"/>
    </w:p>
    <w:p w14:paraId="12F78E4C" w14:textId="77777777" w:rsidR="007968EC" w:rsidRPr="002C0D19" w:rsidRDefault="007968EC" w:rsidP="007968EC">
      <w:pPr>
        <w:rPr>
          <w:rFonts w:ascii="Arial Narrow" w:eastAsia="Calibri" w:hAnsi="Arial Narrow" w:cs="Arial"/>
          <w:b/>
        </w:rPr>
      </w:pPr>
    </w:p>
    <w:p w14:paraId="3E1ABD7F" w14:textId="77777777" w:rsidR="007968EC" w:rsidRPr="002C0D19" w:rsidRDefault="007968EC" w:rsidP="007968EC">
      <w:pPr>
        <w:pStyle w:val="ARTICULO0"/>
      </w:pPr>
      <w:bookmarkStart w:id="6097" w:name="_Toc490066692"/>
      <w:bookmarkStart w:id="6098" w:name="_Toc31716361"/>
      <w:r w:rsidRPr="002C0D19">
        <w:t>Artículo 4.3.1.1. Proceso de Creación de Cuentas en el Sistema de la Cámara.</w:t>
      </w:r>
      <w:bookmarkEnd w:id="6097"/>
      <w:bookmarkEnd w:id="6098"/>
    </w:p>
    <w:p w14:paraId="22E47A58" w14:textId="77777777" w:rsidR="007968EC" w:rsidRPr="002C0D19" w:rsidRDefault="007968EC" w:rsidP="007968EC">
      <w:pPr>
        <w:rPr>
          <w:rFonts w:ascii="Arial Narrow" w:eastAsia="Calibri" w:hAnsi="Arial Narrow"/>
        </w:rPr>
      </w:pPr>
    </w:p>
    <w:p w14:paraId="32364734" w14:textId="77777777" w:rsidR="007968EC" w:rsidRPr="002C0D19" w:rsidRDefault="007968EC" w:rsidP="007968EC">
      <w:pPr>
        <w:tabs>
          <w:tab w:val="left" w:pos="1419"/>
        </w:tabs>
        <w:jc w:val="both"/>
        <w:rPr>
          <w:rFonts w:ascii="Arial Narrow" w:eastAsia="Calibri" w:hAnsi="Arial Narrow"/>
          <w:bCs/>
          <w:lang w:eastAsia="es-CO"/>
        </w:rPr>
      </w:pPr>
      <w:r w:rsidRPr="002C0D19">
        <w:rPr>
          <w:rFonts w:ascii="Arial Narrow" w:eastAsia="Calibri" w:hAnsi="Arial Narrow"/>
          <w:bCs/>
          <w:lang w:eastAsia="es-CO"/>
        </w:rPr>
        <w:lastRenderedPageBreak/>
        <w:t>Las cuentas creadas en el Segmento de Renta Variable entran en estado activo y se habilita el registro de operaciones, en la misma sesión en la que se produce la creación de la cuenta, posterior a cumplir el procedimiento definido en el artículo 1.4.1.1. de la presente Circular.</w:t>
      </w:r>
    </w:p>
    <w:p w14:paraId="6756696F" w14:textId="77777777" w:rsidR="007968EC" w:rsidRPr="002C0D19" w:rsidRDefault="007968EC" w:rsidP="007968EC">
      <w:pPr>
        <w:rPr>
          <w:rFonts w:ascii="Arial Narrow" w:hAnsi="Arial Narrow" w:cs="Arial"/>
          <w:b/>
          <w:lang w:eastAsia="es-ES"/>
        </w:rPr>
      </w:pPr>
    </w:p>
    <w:p w14:paraId="7917B577" w14:textId="77777777" w:rsidR="007968EC" w:rsidRPr="002C0D19" w:rsidRDefault="007968EC" w:rsidP="007968EC">
      <w:pPr>
        <w:rPr>
          <w:rFonts w:ascii="Arial Narrow" w:hAnsi="Arial Narrow" w:cs="Arial"/>
          <w:lang w:eastAsia="es-ES"/>
        </w:rPr>
      </w:pPr>
      <w:r w:rsidRPr="002C0D19">
        <w:rPr>
          <w:rFonts w:ascii="Arial Narrow" w:hAnsi="Arial Narrow" w:cs="Arial"/>
          <w:lang w:val="es-ES" w:eastAsia="es-ES"/>
        </w:rPr>
        <w:t xml:space="preserve">Para el Segmento de Renta Variable, el número de Inversionista en Deceval podrá corresponder a Cuentas de beneficiario único o Cuentas mancomunadas. </w:t>
      </w:r>
    </w:p>
    <w:p w14:paraId="1D9996E3" w14:textId="77777777" w:rsidR="007968EC" w:rsidRPr="002C0D19" w:rsidRDefault="007968EC" w:rsidP="007968EC">
      <w:pPr>
        <w:tabs>
          <w:tab w:val="left" w:pos="1419"/>
        </w:tabs>
        <w:jc w:val="both"/>
        <w:rPr>
          <w:rFonts w:ascii="Arial Narrow" w:eastAsia="Calibri" w:hAnsi="Arial Narrow"/>
          <w:b/>
          <w:u w:val="single"/>
          <w:lang w:val="es-ES"/>
        </w:rPr>
      </w:pPr>
    </w:p>
    <w:p w14:paraId="283E314C" w14:textId="77777777" w:rsidR="007968EC" w:rsidRPr="002C0D19" w:rsidRDefault="007968EC" w:rsidP="007968EC">
      <w:pPr>
        <w:pStyle w:val="ARTICULO0"/>
        <w:rPr>
          <w:rFonts w:eastAsia="Calibri"/>
        </w:rPr>
      </w:pPr>
      <w:bookmarkStart w:id="6099" w:name="_Toc490066693"/>
      <w:bookmarkStart w:id="6100" w:name="_Toc31716362"/>
      <w:r w:rsidRPr="002C0D19">
        <w:t>Artículo 4.3.1.2. Asignación de operaciones</w:t>
      </w:r>
      <w:r w:rsidRPr="002C0D19">
        <w:rPr>
          <w:rFonts w:eastAsia="Calibri"/>
        </w:rPr>
        <w:t>.</w:t>
      </w:r>
      <w:bookmarkEnd w:id="6099"/>
      <w:bookmarkEnd w:id="6100"/>
    </w:p>
    <w:p w14:paraId="74F5F83D" w14:textId="77777777" w:rsidR="007968EC" w:rsidRPr="002C0D19" w:rsidRDefault="007968EC" w:rsidP="007968EC">
      <w:pPr>
        <w:rPr>
          <w:rFonts w:ascii="Arial Narrow" w:eastAsia="Calibri" w:hAnsi="Arial Narrow" w:cs="Arial"/>
          <w:b/>
          <w:lang w:eastAsia="es-ES"/>
        </w:rPr>
      </w:pPr>
    </w:p>
    <w:p w14:paraId="1B412EE1" w14:textId="77777777" w:rsidR="007968EC" w:rsidRPr="002C0D19" w:rsidRDefault="007968EC" w:rsidP="007968EC">
      <w:pPr>
        <w:tabs>
          <w:tab w:val="left" w:pos="1419"/>
        </w:tabs>
        <w:jc w:val="both"/>
        <w:rPr>
          <w:rFonts w:ascii="Arial Narrow" w:eastAsia="Calibri" w:hAnsi="Arial Narrow"/>
          <w:bCs/>
          <w:lang w:eastAsia="es-CO"/>
        </w:rPr>
      </w:pPr>
      <w:r w:rsidRPr="002C0D19">
        <w:rPr>
          <w:rFonts w:ascii="Arial Narrow" w:eastAsia="Calibri" w:hAnsi="Arial Narrow"/>
        </w:rPr>
        <w:t xml:space="preserve">Para el Segmento de Renta Variable cuando se trate de Operaciones Repo, dichas Operaciones serán </w:t>
      </w:r>
      <w:proofErr w:type="spellStart"/>
      <w:proofErr w:type="gramStart"/>
      <w:r w:rsidRPr="002C0D19">
        <w:rPr>
          <w:rFonts w:ascii="Arial Narrow" w:hAnsi="Arial Narrow" w:cs="Arial"/>
          <w:lang w:val="es-ES" w:eastAsia="es-ES"/>
        </w:rPr>
        <w:t>pre-asignadas</w:t>
      </w:r>
      <w:proofErr w:type="spellEnd"/>
      <w:proofErr w:type="gramEnd"/>
      <w:r w:rsidRPr="002C0D19">
        <w:rPr>
          <w:rFonts w:ascii="Arial Narrow" w:hAnsi="Arial Narrow" w:cs="Arial"/>
          <w:lang w:val="es-ES" w:eastAsia="es-ES"/>
        </w:rPr>
        <w:t xml:space="preserve"> a la Cuenta definitiva</w:t>
      </w:r>
      <w:r w:rsidRPr="002C0D19">
        <w:rPr>
          <w:rFonts w:ascii="Arial Narrow" w:eastAsia="Calibri" w:hAnsi="Arial Narrow"/>
        </w:rPr>
        <w:t xml:space="preserve"> </w:t>
      </w:r>
      <w:r w:rsidRPr="002C0D19">
        <w:rPr>
          <w:rFonts w:ascii="Arial Narrow" w:hAnsi="Arial Narrow" w:cs="Arial"/>
          <w:lang w:val="es-ES" w:eastAsia="es-ES"/>
        </w:rPr>
        <w:t>desde la Bolsa</w:t>
      </w:r>
      <w:r w:rsidRPr="002C0D19">
        <w:rPr>
          <w:rFonts w:ascii="Arial Narrow" w:eastAsia="Calibri" w:hAnsi="Arial Narrow"/>
        </w:rPr>
        <w:t xml:space="preserve">, por lo tanto para estas Operaciones no estará disponible la Asignación de Operaciones dentro del Sistema de Cámara. </w:t>
      </w:r>
    </w:p>
    <w:p w14:paraId="2EB024D0" w14:textId="77777777" w:rsidR="007968EC" w:rsidRPr="004D6548" w:rsidRDefault="007968EC" w:rsidP="007968EC">
      <w:pPr>
        <w:jc w:val="both"/>
        <w:rPr>
          <w:rFonts w:ascii="Arial Narrow" w:eastAsia="Calibri" w:hAnsi="Arial Narrow"/>
          <w:bCs/>
          <w:color w:val="000000" w:themeColor="text1"/>
        </w:rPr>
      </w:pPr>
    </w:p>
    <w:p w14:paraId="36810672" w14:textId="77777777" w:rsidR="007968EC" w:rsidRPr="002C0D19" w:rsidRDefault="007968EC" w:rsidP="007968EC">
      <w:pPr>
        <w:pStyle w:val="ARTICULO0"/>
      </w:pPr>
      <w:bookmarkStart w:id="6101" w:name="_Toc490066694"/>
      <w:bookmarkStart w:id="6102" w:name="_Toc31716363"/>
      <w:r w:rsidRPr="002C0D19">
        <w:t>Artículo 4.3.1.3. Traspaso de Operaciones Aceptadas.</w:t>
      </w:r>
      <w:bookmarkEnd w:id="6101"/>
      <w:bookmarkEnd w:id="6102"/>
    </w:p>
    <w:p w14:paraId="0EE116D0" w14:textId="77777777" w:rsidR="007968EC" w:rsidRPr="002C0D19" w:rsidRDefault="007968EC" w:rsidP="007968EC">
      <w:pPr>
        <w:tabs>
          <w:tab w:val="left" w:pos="1419"/>
        </w:tabs>
        <w:rPr>
          <w:rFonts w:ascii="Arial Narrow" w:eastAsia="Calibri" w:hAnsi="Arial Narrow"/>
          <w:b/>
        </w:rPr>
      </w:pPr>
    </w:p>
    <w:p w14:paraId="6C34E368" w14:textId="77777777" w:rsidR="007968EC" w:rsidRPr="002C0D19" w:rsidRDefault="007968EC" w:rsidP="007968EC">
      <w:pPr>
        <w:jc w:val="both"/>
        <w:rPr>
          <w:rFonts w:ascii="Arial Narrow" w:eastAsia="Calibri" w:hAnsi="Arial Narrow"/>
        </w:rPr>
      </w:pPr>
      <w:r w:rsidRPr="002C0D19">
        <w:rPr>
          <w:rFonts w:ascii="Arial Narrow" w:eastAsia="Calibri" w:hAnsi="Arial Narrow"/>
        </w:rPr>
        <w:t xml:space="preserve">Para el Segmento de Renta Variable cuando se trate de Operaciones Repo, no estará disponible el Traspaso de Operaciones. </w:t>
      </w:r>
    </w:p>
    <w:p w14:paraId="4404EF50" w14:textId="77777777" w:rsidR="007968EC" w:rsidRPr="002C0D19" w:rsidRDefault="007968EC" w:rsidP="007968EC">
      <w:pPr>
        <w:rPr>
          <w:rFonts w:ascii="Arial Narrow" w:eastAsia="Calibri" w:hAnsi="Arial Narrow"/>
          <w:b/>
        </w:rPr>
      </w:pPr>
    </w:p>
    <w:p w14:paraId="0C5DA483" w14:textId="77777777" w:rsidR="007968EC" w:rsidRPr="002C0D19" w:rsidRDefault="007968EC" w:rsidP="007968EC">
      <w:pPr>
        <w:pStyle w:val="ARTICULO0"/>
      </w:pPr>
      <w:bookmarkStart w:id="6103" w:name="_Toc490066695"/>
      <w:bookmarkStart w:id="6104" w:name="_Toc31716364"/>
      <w:r w:rsidRPr="002C0D19">
        <w:t>Artículo 4.3.1.4. Traspaso de Posición Abierta.</w:t>
      </w:r>
      <w:bookmarkEnd w:id="6103"/>
      <w:bookmarkEnd w:id="6104"/>
    </w:p>
    <w:p w14:paraId="7F7CDDE6" w14:textId="77777777" w:rsidR="007968EC" w:rsidRPr="002C0D19" w:rsidRDefault="007968EC" w:rsidP="007968EC">
      <w:pPr>
        <w:rPr>
          <w:rFonts w:ascii="Arial Narrow" w:eastAsia="Calibri" w:hAnsi="Arial Narrow"/>
          <w:b/>
        </w:rPr>
      </w:pPr>
    </w:p>
    <w:p w14:paraId="7459B61D" w14:textId="77777777" w:rsidR="007968EC" w:rsidRPr="002C0D19" w:rsidRDefault="007968EC" w:rsidP="007968EC">
      <w:pPr>
        <w:jc w:val="both"/>
        <w:rPr>
          <w:rFonts w:ascii="Arial Narrow" w:eastAsia="Calibri" w:hAnsi="Arial Narrow"/>
        </w:rPr>
      </w:pPr>
      <w:r w:rsidRPr="002C0D19">
        <w:rPr>
          <w:rFonts w:ascii="Arial Narrow" w:eastAsia="Calibri" w:hAnsi="Arial Narrow"/>
        </w:rPr>
        <w:t xml:space="preserve">De acuerdo con lo establecido en el artículo 1.4.2.4. de la presente Circular, para el Segmento de Renta Variable solamente se permitirá realizar el Traspaso de Posición Abierta entre Cuentas del mismo titular en eventos de reorganización empresarial de un Miembro, tales como la adquisición, fusión, escisión o cuando mediante solicitud expresa del Tercero Identificado titular de Cuenta que desee cambiar de Miembro. En este caso, el Miembro correspondiente deberá </w:t>
      </w:r>
      <w:proofErr w:type="spellStart"/>
      <w:r w:rsidRPr="002C0D19">
        <w:rPr>
          <w:rFonts w:ascii="Arial Narrow" w:eastAsia="Calibri" w:hAnsi="Arial Narrow"/>
        </w:rPr>
        <w:t>allegar</w:t>
      </w:r>
      <w:proofErr w:type="spellEnd"/>
      <w:r w:rsidRPr="002C0D19">
        <w:rPr>
          <w:rFonts w:ascii="Arial Narrow" w:eastAsia="Calibri" w:hAnsi="Arial Narrow"/>
        </w:rPr>
        <w:t xml:space="preserve"> a la Cámara una solicitud en tal sentido, suscrita por el representante legal, señalando las razones para dicho Traspaso y entregando los documentos justificativos del mismo. Lo anterior sin perjuicio de los documentos que pueda solicitar la Cámara.  </w:t>
      </w:r>
    </w:p>
    <w:p w14:paraId="30AC7697" w14:textId="77777777" w:rsidR="007968EC" w:rsidRPr="002C0D19" w:rsidRDefault="007968EC" w:rsidP="007968EC">
      <w:pPr>
        <w:rPr>
          <w:rFonts w:ascii="Arial Narrow" w:eastAsia="Calibri" w:hAnsi="Arial Narrow" w:cs="Arial"/>
          <w:b/>
        </w:rPr>
      </w:pPr>
    </w:p>
    <w:p w14:paraId="634E42AA" w14:textId="77777777" w:rsidR="007968EC" w:rsidRPr="002C0D19" w:rsidRDefault="007968EC" w:rsidP="007968EC">
      <w:pPr>
        <w:jc w:val="both"/>
        <w:rPr>
          <w:rFonts w:ascii="Arial Narrow" w:eastAsia="Calibri" w:hAnsi="Arial Narrow"/>
        </w:rPr>
      </w:pPr>
      <w:r w:rsidRPr="002C0D19">
        <w:rPr>
          <w:rFonts w:ascii="Arial Narrow" w:eastAsia="Calibri" w:hAnsi="Arial Narrow"/>
        </w:rPr>
        <w:t>Acreditadas a satisfacción de la Cámara las razones del Traspaso de Posición, la Cámara realizará el Traspaso de todas las posiciones de la Cuenta origen hacia la Cuenta destino e inmediatamente dará cierre a la Cuenta de origen.</w:t>
      </w:r>
    </w:p>
    <w:p w14:paraId="4C605C5B" w14:textId="77777777" w:rsidR="007968EC" w:rsidRPr="002C0D19" w:rsidRDefault="007968EC" w:rsidP="007968EC">
      <w:pPr>
        <w:rPr>
          <w:rFonts w:ascii="Arial Narrow" w:eastAsia="Calibri" w:hAnsi="Arial Narrow" w:cs="Arial"/>
          <w:b/>
        </w:rPr>
      </w:pPr>
    </w:p>
    <w:p w14:paraId="27C3FEC7" w14:textId="77777777" w:rsidR="007968EC" w:rsidRPr="002C0D19" w:rsidRDefault="007968EC" w:rsidP="007968EC">
      <w:pPr>
        <w:autoSpaceDE w:val="0"/>
        <w:autoSpaceDN w:val="0"/>
        <w:adjustRightInd w:val="0"/>
        <w:jc w:val="both"/>
        <w:rPr>
          <w:rFonts w:ascii="Arial Narrow" w:eastAsia="Calibri" w:hAnsi="Arial Narrow"/>
        </w:rPr>
      </w:pPr>
      <w:r w:rsidRPr="002C0D19">
        <w:rPr>
          <w:rFonts w:ascii="Arial Narrow" w:eastAsia="Calibri" w:hAnsi="Arial Narrow"/>
        </w:rPr>
        <w:t xml:space="preserve">Este tipo de gestión se registrará al siguiente día hábil a la aceptación de la solicitud por parte de la Cámara. </w:t>
      </w:r>
    </w:p>
    <w:p w14:paraId="2511EB77" w14:textId="77777777" w:rsidR="007968EC" w:rsidRPr="002C0D19" w:rsidRDefault="007968EC" w:rsidP="007968EC">
      <w:pPr>
        <w:rPr>
          <w:rFonts w:ascii="Arial Narrow" w:eastAsia="Calibri" w:hAnsi="Arial Narrow" w:cs="Arial"/>
          <w:b/>
        </w:rPr>
      </w:pPr>
    </w:p>
    <w:p w14:paraId="3B82FF89" w14:textId="77777777" w:rsidR="007968EC" w:rsidRPr="002C0D19" w:rsidRDefault="007968EC" w:rsidP="007968EC">
      <w:pPr>
        <w:jc w:val="both"/>
        <w:rPr>
          <w:rFonts w:ascii="Arial Narrow" w:eastAsia="Calibri" w:hAnsi="Arial Narrow"/>
        </w:rPr>
      </w:pPr>
      <w:r w:rsidRPr="002C0D19">
        <w:rPr>
          <w:rFonts w:ascii="Arial Narrow" w:eastAsia="Calibri" w:hAnsi="Arial Narrow"/>
        </w:rPr>
        <w:t xml:space="preserve">Las operaciones de Traspaso de Posición serán del tipo "Z" y llevarán como referencia el registro exclusivo de la Cámara. Por lo tanto, el Sistema realizará el traspaso de cada Posición a precio de registro de la operación Repo. Esta gestión estará sujeta a las tarifas previstas por la Cámara.  </w:t>
      </w:r>
    </w:p>
    <w:p w14:paraId="2B91F34D" w14:textId="77777777" w:rsidR="007968EC" w:rsidRPr="002C0D19" w:rsidRDefault="007968EC" w:rsidP="007968EC">
      <w:pPr>
        <w:rPr>
          <w:rFonts w:ascii="Arial Narrow" w:eastAsia="Calibri" w:hAnsi="Arial Narrow" w:cs="Arial"/>
          <w:b/>
          <w:lang w:val="es-ES" w:eastAsia="es-ES"/>
        </w:rPr>
      </w:pPr>
    </w:p>
    <w:p w14:paraId="192FA438" w14:textId="77777777" w:rsidR="007968EC" w:rsidRPr="002C0D19" w:rsidRDefault="007968EC" w:rsidP="007968EC">
      <w:pPr>
        <w:pStyle w:val="ARTICULO0"/>
      </w:pPr>
      <w:bookmarkStart w:id="6105" w:name="_Toc490066696"/>
      <w:bookmarkStart w:id="6106" w:name="_Toc31716365"/>
      <w:r w:rsidRPr="002C0D19">
        <w:t xml:space="preserve">Artículo 4.3.1.5. </w:t>
      </w:r>
      <w:proofErr w:type="spellStart"/>
      <w:r w:rsidRPr="002C0D19">
        <w:t>Give</w:t>
      </w:r>
      <w:proofErr w:type="spellEnd"/>
      <w:r w:rsidRPr="002C0D19">
        <w:t xml:space="preserve"> Up.</w:t>
      </w:r>
      <w:bookmarkEnd w:id="6105"/>
      <w:bookmarkEnd w:id="6106"/>
    </w:p>
    <w:p w14:paraId="53BBCA9D" w14:textId="77777777" w:rsidR="007968EC" w:rsidRPr="002C0D19" w:rsidRDefault="007968EC" w:rsidP="007968EC">
      <w:pPr>
        <w:tabs>
          <w:tab w:val="left" w:pos="1010"/>
        </w:tabs>
        <w:rPr>
          <w:rFonts w:ascii="Arial Narrow" w:eastAsia="Calibri" w:hAnsi="Arial Narrow"/>
        </w:rPr>
      </w:pPr>
    </w:p>
    <w:p w14:paraId="6658D3CE" w14:textId="77777777" w:rsidR="007968EC" w:rsidRPr="002C0D19" w:rsidRDefault="007968EC" w:rsidP="007968EC">
      <w:pPr>
        <w:tabs>
          <w:tab w:val="left" w:pos="1419"/>
        </w:tabs>
        <w:jc w:val="both"/>
        <w:rPr>
          <w:rFonts w:ascii="Arial Narrow" w:eastAsia="Calibri" w:hAnsi="Arial Narrow"/>
          <w:bCs/>
          <w:lang w:eastAsia="es-CO"/>
        </w:rPr>
      </w:pPr>
      <w:r w:rsidRPr="002C0D19">
        <w:rPr>
          <w:rFonts w:ascii="Arial Narrow" w:eastAsia="Calibri" w:hAnsi="Arial Narrow"/>
        </w:rPr>
        <w:t xml:space="preserve">Para el Segmento de Renta Variable cuando se trate de Operaciones Repo, no estará disponible el </w:t>
      </w:r>
      <w:proofErr w:type="spellStart"/>
      <w:r w:rsidRPr="002C0D19">
        <w:rPr>
          <w:rFonts w:ascii="Arial Narrow" w:eastAsia="Calibri" w:hAnsi="Arial Narrow"/>
        </w:rPr>
        <w:t>Give</w:t>
      </w:r>
      <w:proofErr w:type="spellEnd"/>
      <w:r w:rsidRPr="002C0D19">
        <w:rPr>
          <w:rFonts w:ascii="Arial Narrow" w:eastAsia="Calibri" w:hAnsi="Arial Narrow"/>
        </w:rPr>
        <w:t xml:space="preserve"> Up de Operaciones. </w:t>
      </w:r>
    </w:p>
    <w:p w14:paraId="78C27FD1" w14:textId="77777777" w:rsidR="007968EC" w:rsidRPr="002C0D19" w:rsidRDefault="007968EC" w:rsidP="007968EC">
      <w:pPr>
        <w:jc w:val="both"/>
        <w:rPr>
          <w:rFonts w:ascii="Arial Narrow" w:eastAsia="Calibri" w:hAnsi="Arial Narrow"/>
        </w:rPr>
      </w:pPr>
    </w:p>
    <w:p w14:paraId="58AE6A0A" w14:textId="77777777" w:rsidR="007968EC" w:rsidRPr="002C0D19" w:rsidRDefault="007968EC" w:rsidP="007968EC">
      <w:pPr>
        <w:rPr>
          <w:rFonts w:ascii="Arial Narrow" w:eastAsia="Calibri" w:hAnsi="Arial Narrow" w:cs="Arial"/>
          <w:b/>
        </w:rPr>
      </w:pPr>
    </w:p>
    <w:p w14:paraId="3626D7E0" w14:textId="77777777" w:rsidR="007968EC" w:rsidRDefault="007968EC" w:rsidP="007968EC">
      <w:pPr>
        <w:jc w:val="center"/>
        <w:outlineLvl w:val="1"/>
        <w:rPr>
          <w:rFonts w:ascii="Arial Narrow" w:eastAsia="Calibri" w:hAnsi="Arial Narrow"/>
          <w:b/>
        </w:rPr>
      </w:pPr>
      <w:bookmarkStart w:id="6107" w:name="_Toc490066697"/>
    </w:p>
    <w:p w14:paraId="0B3488D7" w14:textId="77777777" w:rsidR="007968EC" w:rsidRPr="002C0D19" w:rsidRDefault="007968EC" w:rsidP="007968EC">
      <w:pPr>
        <w:pStyle w:val="TTULO"/>
        <w:rPr>
          <w:rFonts w:eastAsia="Calibri"/>
        </w:rPr>
      </w:pPr>
      <w:bookmarkStart w:id="6108" w:name="_Toc31716366"/>
      <w:r w:rsidRPr="002C0D19">
        <w:rPr>
          <w:rFonts w:eastAsia="Calibri"/>
        </w:rPr>
        <w:t>TÍTULO CUARTO</w:t>
      </w:r>
      <w:bookmarkEnd w:id="6107"/>
      <w:bookmarkEnd w:id="6108"/>
    </w:p>
    <w:p w14:paraId="7972591F" w14:textId="77777777" w:rsidR="007968EC" w:rsidRPr="002C0D19" w:rsidRDefault="007968EC" w:rsidP="007968EC">
      <w:pPr>
        <w:pStyle w:val="TTULO"/>
        <w:rPr>
          <w:rFonts w:eastAsia="Calibri"/>
        </w:rPr>
      </w:pPr>
    </w:p>
    <w:p w14:paraId="32D2033B" w14:textId="77777777" w:rsidR="007968EC" w:rsidRPr="002C0D19" w:rsidRDefault="007968EC" w:rsidP="007968EC">
      <w:pPr>
        <w:pStyle w:val="TTULO"/>
        <w:rPr>
          <w:rFonts w:eastAsia="Calibri"/>
        </w:rPr>
      </w:pPr>
      <w:bookmarkStart w:id="6109" w:name="_Toc490066698"/>
      <w:bookmarkStart w:id="6110" w:name="_Toc31716367"/>
      <w:r w:rsidRPr="002C0D19">
        <w:rPr>
          <w:rFonts w:eastAsia="Calibri"/>
        </w:rPr>
        <w:t>COMPENSACIÓN Y LIQUIDACIÓN DE OPERACIONES</w:t>
      </w:r>
      <w:bookmarkEnd w:id="6109"/>
      <w:bookmarkEnd w:id="6110"/>
    </w:p>
    <w:p w14:paraId="3DD2C9C6" w14:textId="77777777" w:rsidR="007968EC" w:rsidRPr="002C0D19" w:rsidRDefault="007968EC" w:rsidP="007968EC">
      <w:pPr>
        <w:pStyle w:val="TTULO"/>
        <w:rPr>
          <w:rFonts w:eastAsia="Calibri"/>
        </w:rPr>
      </w:pPr>
    </w:p>
    <w:p w14:paraId="5A937484" w14:textId="77777777" w:rsidR="007968EC" w:rsidRPr="002C0D19" w:rsidRDefault="007968EC" w:rsidP="007968EC">
      <w:pPr>
        <w:pStyle w:val="TTULO"/>
        <w:rPr>
          <w:rFonts w:eastAsia="Calibri"/>
        </w:rPr>
      </w:pPr>
      <w:bookmarkStart w:id="6111" w:name="_Toc490066699"/>
      <w:bookmarkStart w:id="6112" w:name="_Toc31716368"/>
      <w:r w:rsidRPr="002C0D19">
        <w:rPr>
          <w:rFonts w:eastAsia="Calibri"/>
        </w:rPr>
        <w:t>CAPÍTULO PRIMERO</w:t>
      </w:r>
      <w:bookmarkEnd w:id="6111"/>
      <w:bookmarkEnd w:id="6112"/>
    </w:p>
    <w:p w14:paraId="65E9BFA5" w14:textId="77777777" w:rsidR="007968EC" w:rsidRPr="002C0D19" w:rsidRDefault="007968EC" w:rsidP="007968EC">
      <w:pPr>
        <w:pStyle w:val="TTULO"/>
        <w:rPr>
          <w:rFonts w:eastAsia="Calibri"/>
        </w:rPr>
      </w:pPr>
    </w:p>
    <w:p w14:paraId="536A1906" w14:textId="77777777" w:rsidR="007968EC" w:rsidRPr="002C0D19" w:rsidRDefault="007968EC" w:rsidP="007968EC">
      <w:pPr>
        <w:pStyle w:val="TTULO"/>
        <w:rPr>
          <w:rFonts w:eastAsia="Calibri"/>
        </w:rPr>
      </w:pPr>
      <w:bookmarkStart w:id="6113" w:name="_Toc490066700"/>
      <w:bookmarkStart w:id="6114" w:name="_Toc31716369"/>
      <w:r w:rsidRPr="002C0D19">
        <w:rPr>
          <w:rFonts w:eastAsia="Calibri"/>
        </w:rPr>
        <w:t>COMPENSACIÓN DE OPERACIONES REPO</w:t>
      </w:r>
      <w:bookmarkEnd w:id="6113"/>
      <w:bookmarkEnd w:id="6114"/>
    </w:p>
    <w:p w14:paraId="284ECD3A" w14:textId="77777777" w:rsidR="007968EC" w:rsidRPr="002C0D19" w:rsidRDefault="007968EC" w:rsidP="007968EC">
      <w:pPr>
        <w:rPr>
          <w:rFonts w:ascii="Arial Narrow" w:eastAsia="Calibri" w:hAnsi="Arial Narrow" w:cs="Arial"/>
          <w:b/>
          <w:lang w:val="es-ES" w:eastAsia="es-ES"/>
        </w:rPr>
      </w:pPr>
    </w:p>
    <w:p w14:paraId="7223FFEF" w14:textId="77777777" w:rsidR="007968EC" w:rsidRPr="002C0D19" w:rsidRDefault="007968EC" w:rsidP="007968EC">
      <w:pPr>
        <w:rPr>
          <w:rFonts w:ascii="Arial Narrow" w:eastAsia="Calibri" w:hAnsi="Arial Narrow" w:cs="Arial"/>
          <w:b/>
        </w:rPr>
      </w:pPr>
    </w:p>
    <w:p w14:paraId="6A1E7A2B" w14:textId="77777777" w:rsidR="007968EC" w:rsidRPr="002C0D19" w:rsidRDefault="007968EC" w:rsidP="007968EC">
      <w:pPr>
        <w:pStyle w:val="ARTICULO0"/>
      </w:pPr>
      <w:bookmarkStart w:id="6115" w:name="_Toc490066701"/>
      <w:bookmarkStart w:id="6116" w:name="_Toc31716370"/>
      <w:r w:rsidRPr="002C0D19">
        <w:t>Artículo 4.4.1.1. Compensación de Efectivo en Operaciones Repo.</w:t>
      </w:r>
      <w:bookmarkEnd w:id="6115"/>
      <w:bookmarkEnd w:id="6116"/>
    </w:p>
    <w:p w14:paraId="2E41B7B0" w14:textId="77777777" w:rsidR="007968EC" w:rsidRPr="002C0D19" w:rsidRDefault="007968EC" w:rsidP="007968EC">
      <w:pPr>
        <w:rPr>
          <w:rFonts w:ascii="Arial Narrow" w:eastAsia="Calibri" w:hAnsi="Arial Narrow"/>
          <w:bCs/>
        </w:rPr>
      </w:pPr>
    </w:p>
    <w:p w14:paraId="2A309C47" w14:textId="77777777" w:rsidR="007968EC" w:rsidRPr="002C0D19" w:rsidRDefault="007968EC" w:rsidP="007968EC">
      <w:pPr>
        <w:autoSpaceDE w:val="0"/>
        <w:autoSpaceDN w:val="0"/>
        <w:adjustRightInd w:val="0"/>
        <w:jc w:val="both"/>
        <w:rPr>
          <w:rFonts w:ascii="Arial Narrow" w:eastAsia="Calibri" w:hAnsi="Arial Narrow"/>
        </w:rPr>
      </w:pPr>
      <w:r w:rsidRPr="002C0D19">
        <w:rPr>
          <w:rFonts w:ascii="Arial Narrow" w:eastAsia="Calibri" w:hAnsi="Arial Narrow"/>
        </w:rPr>
        <w:t>La Compensación de efectivo de la Cámara con los Miembros que celebran Operaciones Repo será bilateral por saldos brutos a nivel de titular de Cuenta para establecer las obligaciones o derechos de entrega o recibo de efectivo por parte de los Miembros.</w:t>
      </w:r>
    </w:p>
    <w:p w14:paraId="25E81242" w14:textId="77777777" w:rsidR="007968EC" w:rsidRPr="002C0D19" w:rsidRDefault="007968EC" w:rsidP="007968EC">
      <w:pPr>
        <w:autoSpaceDE w:val="0"/>
        <w:autoSpaceDN w:val="0"/>
        <w:adjustRightInd w:val="0"/>
        <w:jc w:val="both"/>
        <w:rPr>
          <w:rFonts w:ascii="Arial Narrow" w:eastAsia="Calibri" w:hAnsi="Arial Narrow"/>
        </w:rPr>
      </w:pPr>
    </w:p>
    <w:p w14:paraId="531125DF" w14:textId="77777777" w:rsidR="007968EC" w:rsidRPr="002C0D19" w:rsidRDefault="007968EC" w:rsidP="007968EC">
      <w:pPr>
        <w:pStyle w:val="ARTICULO0"/>
      </w:pPr>
      <w:bookmarkStart w:id="6117" w:name="_Toc490066702"/>
      <w:bookmarkStart w:id="6118" w:name="_Toc31716371"/>
      <w:r w:rsidRPr="002C0D19">
        <w:t>Artículo 4.4.1.2. Compensación de Activos en Operaciones Repo.</w:t>
      </w:r>
      <w:bookmarkEnd w:id="6117"/>
      <w:bookmarkEnd w:id="6118"/>
    </w:p>
    <w:p w14:paraId="53E6C92E" w14:textId="77777777" w:rsidR="007968EC" w:rsidRPr="002C0D19" w:rsidRDefault="007968EC" w:rsidP="007968EC">
      <w:pPr>
        <w:rPr>
          <w:rFonts w:ascii="Arial Narrow" w:eastAsia="Calibri" w:hAnsi="Arial Narrow"/>
          <w:bCs/>
        </w:rPr>
      </w:pPr>
    </w:p>
    <w:p w14:paraId="57C0DC80" w14:textId="77777777" w:rsidR="007968EC" w:rsidRPr="002C0D19" w:rsidRDefault="007968EC" w:rsidP="007968EC">
      <w:pPr>
        <w:autoSpaceDE w:val="0"/>
        <w:autoSpaceDN w:val="0"/>
        <w:adjustRightInd w:val="0"/>
        <w:jc w:val="both"/>
        <w:rPr>
          <w:rFonts w:ascii="Arial Narrow" w:eastAsia="Calibri" w:hAnsi="Arial Narrow"/>
        </w:rPr>
      </w:pPr>
      <w:r w:rsidRPr="002C0D19">
        <w:rPr>
          <w:rFonts w:ascii="Arial Narrow" w:eastAsia="Calibri" w:hAnsi="Arial Narrow"/>
        </w:rPr>
        <w:t>La Compensación de Activos de la Cámara con los Miembros que celebran Operaciones Repo, será bilateral por saldos brutos a nivel de titular de Cuenta, para establecer las obligaciones o derechos de entrega o de recibo de Activos por parte de los Miembros.</w:t>
      </w:r>
    </w:p>
    <w:p w14:paraId="1CD7FED5" w14:textId="77777777" w:rsidR="007968EC" w:rsidRPr="002C0D19" w:rsidRDefault="007968EC" w:rsidP="007968EC">
      <w:pPr>
        <w:jc w:val="both"/>
        <w:rPr>
          <w:rFonts w:ascii="Arial Narrow" w:hAnsi="Arial Narrow"/>
        </w:rPr>
      </w:pPr>
    </w:p>
    <w:p w14:paraId="2557ED2C" w14:textId="77777777" w:rsidR="007968EC" w:rsidRPr="002C0D19" w:rsidRDefault="007968EC" w:rsidP="007968EC">
      <w:pPr>
        <w:rPr>
          <w:rFonts w:ascii="Arial Narrow" w:eastAsia="Calibri" w:hAnsi="Arial Narrow" w:cs="Arial"/>
          <w:b/>
        </w:rPr>
      </w:pPr>
    </w:p>
    <w:p w14:paraId="393288E0" w14:textId="77777777" w:rsidR="007968EC" w:rsidRDefault="007968EC" w:rsidP="007968EC">
      <w:pPr>
        <w:jc w:val="center"/>
        <w:outlineLvl w:val="1"/>
        <w:rPr>
          <w:rFonts w:ascii="Arial Narrow" w:eastAsia="Calibri" w:hAnsi="Arial Narrow"/>
          <w:b/>
        </w:rPr>
      </w:pPr>
      <w:bookmarkStart w:id="6119" w:name="_Toc490066703"/>
    </w:p>
    <w:p w14:paraId="62B9D5AF" w14:textId="77777777" w:rsidR="007968EC" w:rsidRPr="002C0D19" w:rsidRDefault="007968EC" w:rsidP="007968EC">
      <w:pPr>
        <w:pStyle w:val="TTULO"/>
        <w:rPr>
          <w:rFonts w:eastAsia="Calibri"/>
        </w:rPr>
      </w:pPr>
      <w:bookmarkStart w:id="6120" w:name="_Toc31716372"/>
      <w:r w:rsidRPr="002C0D19">
        <w:rPr>
          <w:rFonts w:eastAsia="Calibri"/>
        </w:rPr>
        <w:t>CAPÍTULO SEGUNDO</w:t>
      </w:r>
      <w:bookmarkEnd w:id="6119"/>
      <w:bookmarkEnd w:id="6120"/>
    </w:p>
    <w:p w14:paraId="0E479263" w14:textId="77777777" w:rsidR="007968EC" w:rsidRPr="002C0D19" w:rsidRDefault="007968EC" w:rsidP="007968EC">
      <w:pPr>
        <w:pStyle w:val="TTULO"/>
        <w:rPr>
          <w:rFonts w:eastAsia="Calibri"/>
        </w:rPr>
      </w:pPr>
    </w:p>
    <w:p w14:paraId="6AC7A472" w14:textId="77777777" w:rsidR="007968EC" w:rsidRPr="002C0D19" w:rsidRDefault="007968EC" w:rsidP="007968EC">
      <w:pPr>
        <w:pStyle w:val="TTULO"/>
        <w:rPr>
          <w:rFonts w:eastAsia="Calibri"/>
        </w:rPr>
      </w:pPr>
      <w:bookmarkStart w:id="6121" w:name="_Toc490066704"/>
      <w:bookmarkStart w:id="6122" w:name="_Toc31716373"/>
      <w:r w:rsidRPr="002C0D19">
        <w:rPr>
          <w:rFonts w:eastAsia="Calibri"/>
        </w:rPr>
        <w:t>TIPO DE LIQUIDACIÓN DE OPERACIONES REPO</w:t>
      </w:r>
      <w:bookmarkEnd w:id="6121"/>
      <w:bookmarkEnd w:id="6122"/>
    </w:p>
    <w:p w14:paraId="07FCAA5F" w14:textId="77777777" w:rsidR="007968EC" w:rsidRPr="002C0D19" w:rsidRDefault="007968EC" w:rsidP="007968EC">
      <w:pPr>
        <w:rPr>
          <w:rFonts w:ascii="Arial Narrow" w:eastAsia="Calibri" w:hAnsi="Arial Narrow" w:cs="Arial"/>
          <w:b/>
          <w:lang w:val="es-ES" w:eastAsia="es-ES"/>
        </w:rPr>
      </w:pPr>
    </w:p>
    <w:p w14:paraId="0320A2DB" w14:textId="77777777" w:rsidR="007968EC" w:rsidRPr="002C0D19" w:rsidRDefault="007968EC" w:rsidP="007968EC">
      <w:pPr>
        <w:pStyle w:val="ARTICULO0"/>
      </w:pPr>
      <w:bookmarkStart w:id="6123" w:name="_Toc490066705"/>
      <w:bookmarkStart w:id="6124" w:name="_Toc31716374"/>
      <w:r w:rsidRPr="002C0D19">
        <w:t>Artículo 4.4.2.1. Tipo de Liquidación en Operaciones Repo.</w:t>
      </w:r>
      <w:bookmarkEnd w:id="6123"/>
      <w:bookmarkEnd w:id="6124"/>
    </w:p>
    <w:p w14:paraId="161462B5" w14:textId="77777777" w:rsidR="007968EC" w:rsidRDefault="007968EC" w:rsidP="007968EC">
      <w:pPr>
        <w:rPr>
          <w:rFonts w:ascii="Arial Narrow" w:eastAsia="Calibri" w:hAnsi="Arial Narrow"/>
          <w:b/>
          <w:bCs/>
        </w:rPr>
      </w:pPr>
    </w:p>
    <w:p w14:paraId="271B879C" w14:textId="77777777" w:rsidR="007968EC" w:rsidRPr="005F10B9" w:rsidRDefault="007968EC" w:rsidP="007968EC">
      <w:pPr>
        <w:pStyle w:val="ANTECEDENTES"/>
      </w:pPr>
      <w:r w:rsidRPr="005F10B9">
        <w:t>(Este artículo fu</w:t>
      </w:r>
      <w:r>
        <w:t>e modificado mediante Circular 7 del 9</w:t>
      </w:r>
      <w:r w:rsidRPr="005F10B9">
        <w:t xml:space="preserve"> de </w:t>
      </w:r>
      <w:r>
        <w:t>mayo</w:t>
      </w:r>
      <w:r w:rsidRPr="005F10B9">
        <w:t xml:space="preserve"> de 2018, publicada en el Boletín Normativo No. </w:t>
      </w:r>
      <w:r>
        <w:t>010 del 9</w:t>
      </w:r>
      <w:r w:rsidRPr="005F10B9">
        <w:t xml:space="preserve"> de </w:t>
      </w:r>
      <w:r>
        <w:t>mayo</w:t>
      </w:r>
      <w:r w:rsidRPr="005F10B9">
        <w:t xml:space="preserve"> de 2018. Rige a partir del </w:t>
      </w:r>
      <w:r>
        <w:t>2</w:t>
      </w:r>
      <w:r w:rsidRPr="005F10B9">
        <w:t xml:space="preserve">1 de </w:t>
      </w:r>
      <w:r>
        <w:t>mayo</w:t>
      </w:r>
      <w:r w:rsidRPr="005F10B9">
        <w:t xml:space="preserve"> de 2018.)</w:t>
      </w:r>
    </w:p>
    <w:p w14:paraId="662E2B95" w14:textId="77777777" w:rsidR="007968EC" w:rsidRPr="005F10B9" w:rsidRDefault="007968EC" w:rsidP="007968EC">
      <w:pPr>
        <w:rPr>
          <w:rFonts w:ascii="Arial Narrow" w:eastAsia="Calibri" w:hAnsi="Arial Narrow"/>
          <w:b/>
          <w:bCs/>
        </w:rPr>
      </w:pPr>
    </w:p>
    <w:p w14:paraId="144AF103" w14:textId="77777777" w:rsidR="007968EC" w:rsidRPr="005F10B9" w:rsidRDefault="007968EC" w:rsidP="007968EC">
      <w:pPr>
        <w:autoSpaceDE w:val="0"/>
        <w:autoSpaceDN w:val="0"/>
        <w:adjustRightInd w:val="0"/>
        <w:jc w:val="both"/>
        <w:rPr>
          <w:rFonts w:ascii="Arial Narrow" w:eastAsia="Calibri" w:hAnsi="Arial Narrow"/>
        </w:rPr>
      </w:pPr>
      <w:r w:rsidRPr="005F10B9">
        <w:rPr>
          <w:rFonts w:ascii="Arial Narrow" w:eastAsia="Calibri" w:hAnsi="Arial Narrow"/>
        </w:rPr>
        <w:t>De acuerdo con lo definido en el artículo 1.5.2.1. de la presente Circular las Operaciones Aceptadas por la Cámara correspondientes a Operaciones Repo (flujo de salida y flujo de regreso) serán liquidadas únicamente mediante Liquidación al Vencimiento.</w:t>
      </w:r>
      <w:bookmarkStart w:id="6125" w:name="_Toc490066706"/>
    </w:p>
    <w:p w14:paraId="1A0CB990" w14:textId="77777777" w:rsidR="007968EC" w:rsidRDefault="007968EC" w:rsidP="007968EC">
      <w:pPr>
        <w:autoSpaceDE w:val="0"/>
        <w:autoSpaceDN w:val="0"/>
        <w:adjustRightInd w:val="0"/>
        <w:jc w:val="both"/>
        <w:rPr>
          <w:rFonts w:ascii="Arial Narrow" w:eastAsia="Calibri" w:hAnsi="Arial Narrow"/>
        </w:rPr>
      </w:pPr>
    </w:p>
    <w:p w14:paraId="75378900" w14:textId="77777777" w:rsidR="007968EC" w:rsidRPr="005F10B9" w:rsidRDefault="007968EC" w:rsidP="007968EC">
      <w:pPr>
        <w:autoSpaceDE w:val="0"/>
        <w:autoSpaceDN w:val="0"/>
        <w:adjustRightInd w:val="0"/>
        <w:jc w:val="both"/>
        <w:rPr>
          <w:rFonts w:ascii="Arial Narrow" w:eastAsia="Calibri" w:hAnsi="Arial Narrow"/>
        </w:rPr>
      </w:pPr>
    </w:p>
    <w:p w14:paraId="6E8FADF9" w14:textId="77777777" w:rsidR="007968EC" w:rsidRPr="00935B4C" w:rsidRDefault="007968EC" w:rsidP="007968EC">
      <w:pPr>
        <w:pStyle w:val="TTULO"/>
        <w:rPr>
          <w:rFonts w:eastAsia="Calibri"/>
        </w:rPr>
      </w:pPr>
      <w:bookmarkStart w:id="6126" w:name="_Toc31716375"/>
      <w:r w:rsidRPr="00935B4C">
        <w:rPr>
          <w:rFonts w:eastAsia="Calibri"/>
        </w:rPr>
        <w:t>CAPÍTULO TERCERO</w:t>
      </w:r>
      <w:bookmarkEnd w:id="6125"/>
      <w:bookmarkEnd w:id="6126"/>
    </w:p>
    <w:p w14:paraId="191215BB" w14:textId="77777777" w:rsidR="007968EC" w:rsidRPr="00935B4C" w:rsidRDefault="007968EC" w:rsidP="007968EC">
      <w:pPr>
        <w:pStyle w:val="TTULO"/>
        <w:rPr>
          <w:rFonts w:eastAsia="Calibri"/>
        </w:rPr>
      </w:pPr>
    </w:p>
    <w:p w14:paraId="65D86C8A" w14:textId="77777777" w:rsidR="007968EC" w:rsidRPr="00935B4C" w:rsidRDefault="007968EC" w:rsidP="007968EC">
      <w:pPr>
        <w:pStyle w:val="TTULO"/>
        <w:rPr>
          <w:rFonts w:eastAsia="Calibri"/>
        </w:rPr>
      </w:pPr>
      <w:bookmarkStart w:id="6127" w:name="_Toc490066707"/>
      <w:bookmarkStart w:id="6128" w:name="_Toc31716376"/>
      <w:r w:rsidRPr="00935B4C">
        <w:rPr>
          <w:rFonts w:eastAsia="Calibri"/>
        </w:rPr>
        <w:t>LIQUIDACIÓN AL VENCIMIENTO DE LAS OPERACIONES REPO</w:t>
      </w:r>
      <w:bookmarkEnd w:id="6127"/>
      <w:bookmarkEnd w:id="6128"/>
    </w:p>
    <w:p w14:paraId="3AC8E085" w14:textId="77777777" w:rsidR="007968EC" w:rsidRPr="002C0D19" w:rsidRDefault="007968EC" w:rsidP="007968EC">
      <w:pPr>
        <w:rPr>
          <w:rFonts w:ascii="Arial Narrow" w:eastAsia="Calibri" w:hAnsi="Arial Narrow"/>
          <w:b/>
          <w:bCs/>
        </w:rPr>
      </w:pPr>
    </w:p>
    <w:p w14:paraId="475A27DB" w14:textId="77777777" w:rsidR="007968EC" w:rsidRPr="002C0D19" w:rsidRDefault="007968EC" w:rsidP="007968EC">
      <w:pPr>
        <w:pStyle w:val="ARTICULO0"/>
      </w:pPr>
      <w:bookmarkStart w:id="6129" w:name="_Toc490066708"/>
      <w:bookmarkStart w:id="6130" w:name="_Toc31716377"/>
      <w:r w:rsidRPr="002C0D19">
        <w:lastRenderedPageBreak/>
        <w:t>Artículo 4.4.3.1. Liquidación por Entrega en el flujo de salida de Operaciones Repo Aceptadas provenientes de la Bolsa cuyo Tipo de Liquidación incluya Liquidación Únicamente al Vencimiento.</w:t>
      </w:r>
      <w:bookmarkEnd w:id="6129"/>
      <w:bookmarkEnd w:id="6130"/>
    </w:p>
    <w:p w14:paraId="68B7D8B8" w14:textId="77777777" w:rsidR="007968EC" w:rsidRPr="002C0D19" w:rsidRDefault="007968EC" w:rsidP="007968EC">
      <w:pPr>
        <w:rPr>
          <w:rFonts w:ascii="Arial Narrow" w:hAnsi="Arial Narrow" w:cs="Arial"/>
          <w:b/>
          <w:lang w:val="es-ES" w:eastAsia="es-ES"/>
        </w:rPr>
      </w:pPr>
    </w:p>
    <w:p w14:paraId="7001F4B7" w14:textId="77777777" w:rsidR="007968EC" w:rsidRPr="002C0D19" w:rsidRDefault="007968EC" w:rsidP="007968EC">
      <w:pPr>
        <w:jc w:val="both"/>
        <w:rPr>
          <w:rFonts w:ascii="Arial Narrow" w:eastAsia="Calibri" w:hAnsi="Arial Narrow"/>
          <w:b/>
          <w:lang w:val="es-ES"/>
        </w:rPr>
      </w:pPr>
      <w:r w:rsidRPr="002C0D19">
        <w:rPr>
          <w:rFonts w:ascii="Arial Narrow" w:eastAsia="Calibri" w:hAnsi="Arial Narrow"/>
        </w:rPr>
        <w:t xml:space="preserve">Una vez la Cámara haya aceptado una Operación Repo para su Compensación y Liquidación enviará a Deceval las instrucciones de Liquidación para el cumplimiento del flujo de salida de la Operación Repo. </w:t>
      </w:r>
    </w:p>
    <w:p w14:paraId="16160393" w14:textId="77777777" w:rsidR="007968EC" w:rsidRPr="002C0D19" w:rsidRDefault="007968EC" w:rsidP="007968EC">
      <w:pPr>
        <w:jc w:val="both"/>
        <w:rPr>
          <w:rFonts w:ascii="Arial Narrow" w:eastAsia="Calibri" w:hAnsi="Arial Narrow"/>
          <w:b/>
          <w:lang w:val="es-ES"/>
        </w:rPr>
      </w:pPr>
    </w:p>
    <w:p w14:paraId="6593D1E0" w14:textId="77777777" w:rsidR="007968EC" w:rsidRPr="002C0D19" w:rsidRDefault="007968EC" w:rsidP="007968EC">
      <w:pPr>
        <w:jc w:val="both"/>
        <w:rPr>
          <w:rFonts w:ascii="Arial Narrow" w:eastAsia="Calibri" w:hAnsi="Arial Narrow"/>
          <w:b/>
          <w:lang w:val="es-ES"/>
        </w:rPr>
      </w:pPr>
      <w:r w:rsidRPr="002C0D19">
        <w:rPr>
          <w:rFonts w:ascii="Arial Narrow" w:eastAsia="Calibri" w:hAnsi="Arial Narrow"/>
        </w:rPr>
        <w:t xml:space="preserve">En aquellas Operaciones Repo en que participe un Agente, la Cámara enviará las instrucciones de Liquidación una vez la Bolsa haya informado a la Cámara que el Agente Admitió la Operación. En caso contrario, es decir, si finalizado el horario de la </w:t>
      </w:r>
      <w:r w:rsidRPr="002C0D19">
        <w:rPr>
          <w:rFonts w:ascii="Arial Narrow" w:eastAsia="Calibri" w:hAnsi="Arial Narrow"/>
          <w:lang w:val="es-ES"/>
        </w:rPr>
        <w:t>Sesión de Gestión de Agentes,</w:t>
      </w:r>
      <w:r w:rsidRPr="002C0D19">
        <w:rPr>
          <w:rFonts w:ascii="Arial Narrow" w:eastAsia="Calibri" w:hAnsi="Arial Narrow"/>
        </w:rPr>
        <w:t xml:space="preserve"> el Agente no ha realizado el procedimiento de Admisión de Operaciones, la Cámara enviará las instrucciones de Liquidación de la Operación Repo a Deceval para su cumplimiento por parte del respectivo Miembro No Liquidador y/o Miembro Liquidador.</w:t>
      </w:r>
    </w:p>
    <w:p w14:paraId="72E77668" w14:textId="77777777" w:rsidR="007968EC" w:rsidRPr="002C0D19" w:rsidRDefault="007968EC" w:rsidP="007968EC">
      <w:pPr>
        <w:jc w:val="both"/>
        <w:rPr>
          <w:rFonts w:ascii="Arial Narrow" w:eastAsia="Calibri" w:hAnsi="Arial Narrow"/>
          <w:b/>
          <w:lang w:val="es-ES"/>
        </w:rPr>
      </w:pPr>
    </w:p>
    <w:p w14:paraId="34B67389" w14:textId="77777777" w:rsidR="007968EC" w:rsidRPr="002C0D19" w:rsidRDefault="007968EC" w:rsidP="007968EC">
      <w:pPr>
        <w:pStyle w:val="ARTICULO0"/>
      </w:pPr>
      <w:bookmarkStart w:id="6131" w:name="_Toc31716378"/>
      <w:r w:rsidRPr="002C0D19">
        <w:t>Artículo 4.4.3.2. Liquidación por Entrega en el flujo de regreso de Operaciones Repo provenientes de la Bolsa cuyo Tipo de Liquidación incluya Liquidación Únicamente al Vencimiento.</w:t>
      </w:r>
      <w:bookmarkEnd w:id="6131"/>
      <w:r w:rsidRPr="002C0D19">
        <w:t xml:space="preserve"> </w:t>
      </w:r>
    </w:p>
    <w:p w14:paraId="567B1D12" w14:textId="77777777" w:rsidR="007968EC" w:rsidRPr="002C0D19" w:rsidRDefault="007968EC" w:rsidP="007968EC">
      <w:pPr>
        <w:autoSpaceDE w:val="0"/>
        <w:autoSpaceDN w:val="0"/>
        <w:adjustRightInd w:val="0"/>
        <w:rPr>
          <w:rFonts w:ascii="Arial Narrow" w:eastAsia="Calibri" w:hAnsi="Arial Narrow"/>
        </w:rPr>
      </w:pPr>
    </w:p>
    <w:p w14:paraId="4C170E42" w14:textId="77777777" w:rsidR="007968EC" w:rsidRPr="002C0D19" w:rsidRDefault="007968EC" w:rsidP="007968EC">
      <w:pPr>
        <w:autoSpaceDE w:val="0"/>
        <w:autoSpaceDN w:val="0"/>
        <w:adjustRightInd w:val="0"/>
        <w:rPr>
          <w:rFonts w:ascii="Arial Narrow" w:eastAsia="Calibri" w:hAnsi="Arial Narrow"/>
        </w:rPr>
      </w:pPr>
      <w:r w:rsidRPr="002C0D19">
        <w:rPr>
          <w:rFonts w:ascii="Arial Narrow" w:eastAsia="Calibri" w:hAnsi="Arial Narrow"/>
        </w:rPr>
        <w:t>Al vencimiento de las Operaciones Repo, la Cámara atenderá el siguiente procedimiento:</w:t>
      </w:r>
    </w:p>
    <w:p w14:paraId="2B8AE833" w14:textId="77777777" w:rsidR="007968EC" w:rsidRPr="002C0D19" w:rsidRDefault="007968EC" w:rsidP="007968EC">
      <w:pPr>
        <w:autoSpaceDE w:val="0"/>
        <w:autoSpaceDN w:val="0"/>
        <w:adjustRightInd w:val="0"/>
        <w:ind w:left="317"/>
        <w:contextualSpacing/>
        <w:rPr>
          <w:rFonts w:ascii="Arial Narrow" w:eastAsia="Calibri" w:hAnsi="Arial Narrow"/>
        </w:rPr>
      </w:pPr>
    </w:p>
    <w:p w14:paraId="0AFAA76D" w14:textId="77777777" w:rsidR="007968EC" w:rsidRPr="002C0D19" w:rsidRDefault="007968EC" w:rsidP="00DA7472">
      <w:pPr>
        <w:numPr>
          <w:ilvl w:val="0"/>
          <w:numId w:val="267"/>
        </w:numPr>
        <w:autoSpaceDE w:val="0"/>
        <w:autoSpaceDN w:val="0"/>
        <w:adjustRightInd w:val="0"/>
        <w:ind w:left="426" w:hanging="426"/>
        <w:contextualSpacing/>
        <w:jc w:val="both"/>
        <w:rPr>
          <w:rFonts w:ascii="Arial Narrow" w:eastAsia="Calibri" w:hAnsi="Arial Narrow"/>
        </w:rPr>
      </w:pPr>
      <w:r w:rsidRPr="002C0D19">
        <w:rPr>
          <w:rFonts w:ascii="Arial Narrow" w:eastAsia="Calibri" w:hAnsi="Arial Narrow"/>
        </w:rPr>
        <w:t>Determinación del importe efectivo correspondiente al Monto Final a pagar que debe realizar el titular de la Cuenta Definitiva que corresponda al Enajenante de la Operación Repo.</w:t>
      </w:r>
    </w:p>
    <w:p w14:paraId="4CF5AB3B" w14:textId="77777777" w:rsidR="007968EC" w:rsidRPr="002C0D19" w:rsidRDefault="007968EC" w:rsidP="007968EC">
      <w:pPr>
        <w:autoSpaceDE w:val="0"/>
        <w:autoSpaceDN w:val="0"/>
        <w:adjustRightInd w:val="0"/>
        <w:ind w:left="426" w:hanging="426"/>
        <w:contextualSpacing/>
        <w:rPr>
          <w:rFonts w:ascii="Arial Narrow" w:eastAsia="Calibri" w:hAnsi="Arial Narrow"/>
        </w:rPr>
      </w:pPr>
    </w:p>
    <w:p w14:paraId="07B6DDD7" w14:textId="77777777" w:rsidR="007968EC" w:rsidRPr="002C0D19" w:rsidRDefault="007968EC" w:rsidP="00DA7472">
      <w:pPr>
        <w:numPr>
          <w:ilvl w:val="0"/>
          <w:numId w:val="267"/>
        </w:numPr>
        <w:autoSpaceDE w:val="0"/>
        <w:autoSpaceDN w:val="0"/>
        <w:adjustRightInd w:val="0"/>
        <w:ind w:left="426" w:hanging="426"/>
        <w:contextualSpacing/>
        <w:jc w:val="both"/>
        <w:rPr>
          <w:rFonts w:ascii="Arial Narrow" w:eastAsia="Calibri" w:hAnsi="Arial Narrow"/>
        </w:rPr>
      </w:pPr>
      <w:r w:rsidRPr="002C0D19">
        <w:rPr>
          <w:rFonts w:ascii="Arial Narrow" w:eastAsia="Calibri" w:hAnsi="Arial Narrow"/>
        </w:rPr>
        <w:t>Determinación del Activo que debe entregar el titular de la Cuenta Definitiva que corresponda al Adquirente de la Operación Repo.</w:t>
      </w:r>
    </w:p>
    <w:p w14:paraId="0D6927B2" w14:textId="77777777" w:rsidR="007968EC" w:rsidRPr="002C0D19" w:rsidRDefault="007968EC" w:rsidP="007968EC">
      <w:pPr>
        <w:autoSpaceDE w:val="0"/>
        <w:autoSpaceDN w:val="0"/>
        <w:adjustRightInd w:val="0"/>
        <w:ind w:left="426" w:hanging="426"/>
        <w:contextualSpacing/>
        <w:jc w:val="both"/>
        <w:rPr>
          <w:rFonts w:ascii="Arial Narrow" w:eastAsia="Calibri" w:hAnsi="Arial Narrow"/>
        </w:rPr>
      </w:pPr>
    </w:p>
    <w:p w14:paraId="1624A00C" w14:textId="77777777" w:rsidR="007968EC" w:rsidRPr="002C0D19" w:rsidRDefault="007968EC" w:rsidP="00DA7472">
      <w:pPr>
        <w:numPr>
          <w:ilvl w:val="0"/>
          <w:numId w:val="267"/>
        </w:numPr>
        <w:autoSpaceDE w:val="0"/>
        <w:autoSpaceDN w:val="0"/>
        <w:adjustRightInd w:val="0"/>
        <w:ind w:left="426" w:hanging="426"/>
        <w:contextualSpacing/>
        <w:rPr>
          <w:rFonts w:ascii="Arial Narrow" w:eastAsia="Calibri" w:hAnsi="Arial Narrow"/>
        </w:rPr>
      </w:pPr>
      <w:r w:rsidRPr="002C0D19">
        <w:rPr>
          <w:rFonts w:ascii="Arial Narrow" w:eastAsia="Calibri" w:hAnsi="Arial Narrow"/>
        </w:rPr>
        <w:t>Solución del proceso de entrega de Activos y de efectivo.</w:t>
      </w:r>
    </w:p>
    <w:p w14:paraId="161CB1AC" w14:textId="77777777" w:rsidR="007968EC" w:rsidRPr="002C0D19" w:rsidRDefault="007968EC" w:rsidP="007968EC">
      <w:pPr>
        <w:ind w:left="426" w:hanging="426"/>
        <w:contextualSpacing/>
        <w:rPr>
          <w:rFonts w:ascii="Arial Narrow" w:eastAsia="Calibri" w:hAnsi="Arial Narrow"/>
        </w:rPr>
      </w:pPr>
    </w:p>
    <w:p w14:paraId="65D8C7A2" w14:textId="77777777" w:rsidR="007968EC" w:rsidRPr="002C0D19" w:rsidRDefault="007968EC" w:rsidP="00DA7472">
      <w:pPr>
        <w:numPr>
          <w:ilvl w:val="0"/>
          <w:numId w:val="267"/>
        </w:numPr>
        <w:autoSpaceDE w:val="0"/>
        <w:autoSpaceDN w:val="0"/>
        <w:adjustRightInd w:val="0"/>
        <w:ind w:left="426" w:hanging="426"/>
        <w:contextualSpacing/>
        <w:rPr>
          <w:rFonts w:ascii="Arial Narrow" w:eastAsia="Calibri" w:hAnsi="Arial Narrow"/>
        </w:rPr>
      </w:pPr>
      <w:r w:rsidRPr="002C0D19">
        <w:rPr>
          <w:rFonts w:ascii="Arial Narrow" w:eastAsia="Calibri" w:hAnsi="Arial Narrow"/>
        </w:rPr>
        <w:t>Etapas del Procedimiento de Liquidación al Vencimiento.</w:t>
      </w:r>
    </w:p>
    <w:p w14:paraId="486F7BE0" w14:textId="77777777" w:rsidR="007968EC" w:rsidRPr="002C0D19" w:rsidRDefault="007968EC" w:rsidP="007968EC">
      <w:pPr>
        <w:rPr>
          <w:rFonts w:ascii="Arial Narrow" w:eastAsia="Calibri" w:hAnsi="Arial Narrow"/>
          <w:lang w:val="es-ES"/>
        </w:rPr>
      </w:pPr>
    </w:p>
    <w:p w14:paraId="77F01B09" w14:textId="77777777" w:rsidR="007968EC" w:rsidRPr="002C0D19" w:rsidRDefault="007968EC" w:rsidP="007968EC">
      <w:pPr>
        <w:jc w:val="both"/>
        <w:rPr>
          <w:rFonts w:ascii="Arial Narrow" w:hAnsi="Arial Narrow"/>
        </w:rPr>
      </w:pPr>
      <w:r w:rsidRPr="002C0D19">
        <w:rPr>
          <w:rFonts w:ascii="Arial Narrow" w:eastAsia="Calibri" w:hAnsi="Arial Narrow"/>
        </w:rPr>
        <w:t>Sin perjuicio del cumplimento del anterior procedimiento, el Miembro podrá solicitar la Compensación y Liquidación Anticipada de la Operación Repo, de acuerdo con el procedimiento establecido en el artículo 4.4.4.1. de la presente Circular.</w:t>
      </w:r>
    </w:p>
    <w:p w14:paraId="514A203B" w14:textId="77777777" w:rsidR="007968EC" w:rsidRPr="002C0D19" w:rsidRDefault="007968EC" w:rsidP="007968EC">
      <w:pPr>
        <w:autoSpaceDE w:val="0"/>
        <w:autoSpaceDN w:val="0"/>
        <w:adjustRightInd w:val="0"/>
        <w:contextualSpacing/>
        <w:jc w:val="both"/>
        <w:rPr>
          <w:rFonts w:ascii="Arial Narrow" w:eastAsia="Calibri" w:hAnsi="Arial Narrow"/>
        </w:rPr>
      </w:pPr>
    </w:p>
    <w:p w14:paraId="23C349EF" w14:textId="77777777" w:rsidR="007968EC" w:rsidRPr="002C0D19" w:rsidRDefault="007968EC" w:rsidP="007968EC">
      <w:pPr>
        <w:pStyle w:val="ARTICULO0"/>
      </w:pPr>
      <w:bookmarkStart w:id="6132" w:name="_Toc490066709"/>
      <w:bookmarkStart w:id="6133" w:name="_Toc31716379"/>
      <w:r w:rsidRPr="002C0D19">
        <w:t>Artículo 4.4.3.3. Exclusión de la Liquidación del flujo de regreso de las Operaciones Repo.</w:t>
      </w:r>
      <w:bookmarkEnd w:id="6132"/>
      <w:bookmarkEnd w:id="6133"/>
    </w:p>
    <w:p w14:paraId="15F808C7" w14:textId="77777777" w:rsidR="007968EC" w:rsidRPr="002C0D19" w:rsidRDefault="007968EC" w:rsidP="007968EC">
      <w:pPr>
        <w:tabs>
          <w:tab w:val="left" w:pos="1010"/>
        </w:tabs>
        <w:rPr>
          <w:rFonts w:ascii="Arial Narrow" w:eastAsia="Calibri" w:hAnsi="Arial Narrow"/>
        </w:rPr>
      </w:pPr>
    </w:p>
    <w:p w14:paraId="6775818C" w14:textId="77777777" w:rsidR="007968EC" w:rsidRPr="002C0D19" w:rsidRDefault="007968EC" w:rsidP="007968EC">
      <w:pPr>
        <w:jc w:val="both"/>
        <w:rPr>
          <w:rFonts w:ascii="Arial Narrow" w:eastAsia="Calibri" w:hAnsi="Arial Narrow" w:cs="Arial"/>
        </w:rPr>
      </w:pPr>
      <w:r w:rsidRPr="002C0D19">
        <w:rPr>
          <w:rFonts w:ascii="Arial Narrow" w:eastAsia="Calibri" w:hAnsi="Arial Narrow"/>
        </w:rPr>
        <w:t xml:space="preserve">Los Miembros con obligación de pagar el importe de efectivo correspondiente al Monto Final podrán excluir de la Liquidación al Vencimiento el flujo de regreso de una Operación Repo a partir de la Liquidación del flujo de salida y hasta las 10:00 a.m. de la fecha de vencimiento del flujo de regreso. Este procedimiento de exclusión se solicita a través del </w:t>
      </w:r>
      <w:r w:rsidRPr="002C0D19">
        <w:rPr>
          <w:rFonts w:ascii="Arial Narrow" w:eastAsia="Calibri" w:hAnsi="Arial Narrow" w:cs="Arial"/>
        </w:rPr>
        <w:t>Portal Web de la Cámara.</w:t>
      </w:r>
    </w:p>
    <w:p w14:paraId="21F7CE19" w14:textId="77777777" w:rsidR="007968EC" w:rsidRPr="002C0D19" w:rsidRDefault="007968EC" w:rsidP="007968EC">
      <w:pPr>
        <w:jc w:val="both"/>
        <w:rPr>
          <w:rFonts w:ascii="Arial Narrow" w:eastAsia="Calibri" w:hAnsi="Arial Narrow" w:cs="Arial"/>
        </w:rPr>
      </w:pPr>
    </w:p>
    <w:p w14:paraId="3AAA60AF" w14:textId="77777777" w:rsidR="007968EC" w:rsidRPr="002C0D19" w:rsidRDefault="007968EC" w:rsidP="007968EC">
      <w:pPr>
        <w:jc w:val="both"/>
        <w:rPr>
          <w:rFonts w:ascii="Arial Narrow" w:eastAsia="Calibri" w:hAnsi="Arial Narrow" w:cs="Arial"/>
        </w:rPr>
      </w:pPr>
      <w:r w:rsidRPr="002C0D19">
        <w:rPr>
          <w:rFonts w:ascii="Arial Narrow" w:eastAsia="Calibri" w:hAnsi="Arial Narrow" w:cs="Arial"/>
        </w:rPr>
        <w:t>El Miembro podrá enviar a cumplir las Operaciones Repo previamente excluidas, a partir de su exclusión y hasta las 12:00 m.</w:t>
      </w:r>
      <w:r w:rsidRPr="002C0D19">
        <w:rPr>
          <w:rFonts w:ascii="Arial Narrow" w:eastAsia="Calibri" w:hAnsi="Arial Narrow"/>
        </w:rPr>
        <w:t xml:space="preserve"> de la fecha de vencimiento del flujo de regreso</w:t>
      </w:r>
      <w:r w:rsidRPr="002C0D19">
        <w:rPr>
          <w:rFonts w:ascii="Arial Narrow" w:eastAsia="Calibri" w:hAnsi="Arial Narrow" w:cs="Arial"/>
        </w:rPr>
        <w:t xml:space="preserve"> de la Operación Repo.</w:t>
      </w:r>
    </w:p>
    <w:p w14:paraId="354BFDFB" w14:textId="77777777" w:rsidR="007968EC" w:rsidRPr="002C0D19" w:rsidRDefault="007968EC" w:rsidP="007968EC">
      <w:pPr>
        <w:jc w:val="both"/>
        <w:rPr>
          <w:rFonts w:ascii="Arial Narrow" w:eastAsia="Calibri" w:hAnsi="Arial Narrow" w:cs="Arial"/>
        </w:rPr>
      </w:pPr>
    </w:p>
    <w:p w14:paraId="3F5B48F2" w14:textId="77777777" w:rsidR="007968EC" w:rsidRPr="002C0D19" w:rsidRDefault="007968EC" w:rsidP="007968EC">
      <w:pPr>
        <w:jc w:val="both"/>
        <w:rPr>
          <w:rFonts w:ascii="Arial Narrow" w:eastAsia="Calibri" w:hAnsi="Arial Narrow" w:cs="Arial"/>
        </w:rPr>
      </w:pPr>
      <w:r w:rsidRPr="002C0D19">
        <w:rPr>
          <w:rFonts w:ascii="Arial Narrow" w:hAnsi="Arial Narrow" w:cs="Arial"/>
          <w:lang w:val="es-ES" w:eastAsia="es-ES"/>
        </w:rPr>
        <w:lastRenderedPageBreak/>
        <w:t xml:space="preserve">En todo caso, la Cámara enviará automáticamente todas las Operaciones Repo excluidas después de las 12:00 m. </w:t>
      </w:r>
      <w:r w:rsidRPr="002C0D19">
        <w:rPr>
          <w:rFonts w:ascii="Arial Narrow" w:eastAsia="Calibri" w:hAnsi="Arial Narrow"/>
        </w:rPr>
        <w:t>de la fecha de vencimiento.</w:t>
      </w:r>
    </w:p>
    <w:p w14:paraId="2C0A3FAF" w14:textId="77777777" w:rsidR="007968EC" w:rsidRPr="002C0D19" w:rsidRDefault="007968EC" w:rsidP="007968EC">
      <w:pPr>
        <w:rPr>
          <w:rFonts w:ascii="Arial Narrow" w:hAnsi="Arial Narrow" w:cs="Arial"/>
          <w:b/>
          <w:lang w:eastAsia="es-ES"/>
        </w:rPr>
      </w:pPr>
    </w:p>
    <w:p w14:paraId="2039F943" w14:textId="77777777" w:rsidR="007968EC" w:rsidRPr="002C0D19" w:rsidRDefault="007968EC" w:rsidP="007968EC">
      <w:pPr>
        <w:pStyle w:val="ARTICULO0"/>
      </w:pPr>
      <w:bookmarkStart w:id="6134" w:name="_Toc490066710"/>
      <w:bookmarkStart w:id="6135" w:name="_Toc31716380"/>
      <w:r w:rsidRPr="002C0D19">
        <w:t>Artículo 4.4.3.4. Conceptos incluidos en la Liquidación por Entrega de Operaciones Repo provenientes de la Bolsa.</w:t>
      </w:r>
      <w:bookmarkEnd w:id="6134"/>
      <w:bookmarkEnd w:id="6135"/>
    </w:p>
    <w:p w14:paraId="6B1C4D43" w14:textId="77777777" w:rsidR="007968EC" w:rsidRPr="002C0D19" w:rsidRDefault="007968EC" w:rsidP="007968EC">
      <w:pPr>
        <w:rPr>
          <w:rFonts w:ascii="Arial Narrow" w:eastAsia="Calibri" w:hAnsi="Arial Narrow"/>
          <w:bCs/>
        </w:rPr>
      </w:pPr>
    </w:p>
    <w:p w14:paraId="37CCFFF2" w14:textId="77777777" w:rsidR="007968EC" w:rsidRPr="002C0D19" w:rsidRDefault="007968EC" w:rsidP="007968EC">
      <w:pPr>
        <w:autoSpaceDE w:val="0"/>
        <w:autoSpaceDN w:val="0"/>
        <w:adjustRightInd w:val="0"/>
        <w:jc w:val="both"/>
        <w:rPr>
          <w:rFonts w:ascii="Arial Narrow" w:eastAsia="Calibri" w:hAnsi="Arial Narrow"/>
        </w:rPr>
      </w:pPr>
      <w:r w:rsidRPr="002C0D19">
        <w:rPr>
          <w:rFonts w:ascii="Arial Narrow" w:eastAsia="Calibri" w:hAnsi="Arial Narrow"/>
        </w:rPr>
        <w:t>Diariamente en la Sesión de Liquidación Diaria de la Cámara, en relación con las Operaciones Repo Aceptadas, los Miembros entregarán o recibirán, según corresponda, los fondos por los siguientes conceptos:</w:t>
      </w:r>
    </w:p>
    <w:p w14:paraId="4E83C373" w14:textId="77777777" w:rsidR="007968EC" w:rsidRPr="002C0D19" w:rsidRDefault="007968EC" w:rsidP="007968EC">
      <w:pPr>
        <w:autoSpaceDE w:val="0"/>
        <w:autoSpaceDN w:val="0"/>
        <w:adjustRightInd w:val="0"/>
        <w:rPr>
          <w:rFonts w:ascii="Arial Narrow" w:eastAsia="Calibri" w:hAnsi="Arial Narrow"/>
        </w:rPr>
      </w:pPr>
    </w:p>
    <w:p w14:paraId="2FEDF921" w14:textId="77777777" w:rsidR="007968EC" w:rsidRPr="002C0D19" w:rsidRDefault="007968EC" w:rsidP="00DA7472">
      <w:pPr>
        <w:numPr>
          <w:ilvl w:val="0"/>
          <w:numId w:val="272"/>
        </w:numPr>
        <w:autoSpaceDE w:val="0"/>
        <w:autoSpaceDN w:val="0"/>
        <w:adjustRightInd w:val="0"/>
        <w:ind w:hanging="436"/>
        <w:contextualSpacing/>
        <w:jc w:val="both"/>
        <w:rPr>
          <w:rFonts w:ascii="Arial Narrow" w:eastAsia="Calibri" w:hAnsi="Arial Narrow"/>
        </w:rPr>
      </w:pPr>
      <w:r w:rsidRPr="002C0D19">
        <w:rPr>
          <w:rFonts w:ascii="Arial Narrow" w:eastAsia="Calibri" w:hAnsi="Arial Narrow"/>
        </w:rPr>
        <w:t>Garantías por Posición: El Sistema de Cámara calculará los ajustes de los montos requeridos en Garantías por Posición por las Posiciones Abiertas de las Operaciones Repo Aceptadas en la forma en que se establece en el Reglamento y en la presente Circular.</w:t>
      </w:r>
    </w:p>
    <w:p w14:paraId="577B4579" w14:textId="77777777" w:rsidR="007968EC" w:rsidRPr="002C0D19" w:rsidRDefault="007968EC" w:rsidP="007968EC">
      <w:pPr>
        <w:autoSpaceDE w:val="0"/>
        <w:autoSpaceDN w:val="0"/>
        <w:adjustRightInd w:val="0"/>
        <w:ind w:left="426" w:hanging="426"/>
        <w:rPr>
          <w:rFonts w:ascii="Arial Narrow" w:eastAsia="Calibri" w:hAnsi="Arial Narrow"/>
        </w:rPr>
      </w:pPr>
    </w:p>
    <w:p w14:paraId="2F250EAC" w14:textId="77777777" w:rsidR="007968EC" w:rsidRPr="002C0D19" w:rsidRDefault="007968EC" w:rsidP="00DA7472">
      <w:pPr>
        <w:numPr>
          <w:ilvl w:val="0"/>
          <w:numId w:val="272"/>
        </w:numPr>
        <w:autoSpaceDE w:val="0"/>
        <w:autoSpaceDN w:val="0"/>
        <w:adjustRightInd w:val="0"/>
        <w:ind w:left="709" w:hanging="426"/>
        <w:contextualSpacing/>
        <w:jc w:val="both"/>
        <w:rPr>
          <w:rFonts w:ascii="Arial Narrow" w:eastAsia="Calibri" w:hAnsi="Arial Narrow"/>
        </w:rPr>
      </w:pPr>
      <w:r w:rsidRPr="002C0D19">
        <w:rPr>
          <w:rFonts w:ascii="Arial Narrow" w:eastAsia="Calibri" w:hAnsi="Arial Narrow"/>
        </w:rPr>
        <w:t>Garantías Extraordinarias: Sin perjuicio de lo previsto en la presente Circular para la constitución de Garantías Extraordinarias en el procedimiento de Margin Call, el Sistema de Cámara calculará los ajustes de los montos requeridos en Garantías Extraordinarias por las Posiciones Abiertas de las Operaciones Repo Aceptadas en la forma como se establece en el Reglamento y en esta Circular.</w:t>
      </w:r>
    </w:p>
    <w:p w14:paraId="3BB09C8C" w14:textId="77777777" w:rsidR="007968EC" w:rsidRPr="002C0D19" w:rsidRDefault="007968EC" w:rsidP="007968EC">
      <w:pPr>
        <w:autoSpaceDE w:val="0"/>
        <w:autoSpaceDN w:val="0"/>
        <w:adjustRightInd w:val="0"/>
        <w:ind w:left="426" w:hanging="426"/>
        <w:contextualSpacing/>
        <w:rPr>
          <w:rFonts w:ascii="Arial Narrow" w:eastAsia="Calibri" w:hAnsi="Arial Narrow"/>
        </w:rPr>
      </w:pPr>
    </w:p>
    <w:p w14:paraId="01728C51" w14:textId="77777777" w:rsidR="007968EC" w:rsidRPr="002C0D19" w:rsidRDefault="007968EC" w:rsidP="00DA7472">
      <w:pPr>
        <w:numPr>
          <w:ilvl w:val="0"/>
          <w:numId w:val="272"/>
        </w:numPr>
        <w:autoSpaceDE w:val="0"/>
        <w:autoSpaceDN w:val="0"/>
        <w:adjustRightInd w:val="0"/>
        <w:ind w:left="709" w:hanging="426"/>
        <w:contextualSpacing/>
        <w:jc w:val="both"/>
        <w:rPr>
          <w:rFonts w:ascii="Arial Narrow" w:eastAsia="Calibri" w:hAnsi="Arial Narrow"/>
        </w:rPr>
      </w:pPr>
      <w:r w:rsidRPr="002C0D19">
        <w:rPr>
          <w:rFonts w:ascii="Arial Narrow" w:eastAsia="Calibri" w:hAnsi="Arial Narrow"/>
        </w:rPr>
        <w:t>Remuneración de las Garantías: La Cámara entregará la totalidad de la remuneración de las Garantías constituidas en efectivo de toda la estructura de cuentas del Miembro que haya autorizado su inversión, conforme con la metodología contenida en el numeral 2 del artículo 1.6.4.14. de la presente Circular.</w:t>
      </w:r>
    </w:p>
    <w:p w14:paraId="227DB0A8" w14:textId="77777777" w:rsidR="007968EC" w:rsidRPr="002C0D19" w:rsidRDefault="007968EC" w:rsidP="007968EC">
      <w:pPr>
        <w:rPr>
          <w:rFonts w:ascii="Arial Narrow" w:eastAsia="Calibri" w:hAnsi="Arial Narrow"/>
          <w:lang w:eastAsia="es-ES"/>
        </w:rPr>
      </w:pPr>
    </w:p>
    <w:p w14:paraId="4AEEDD78" w14:textId="77777777" w:rsidR="007968EC" w:rsidRPr="002C0D19" w:rsidRDefault="007968EC" w:rsidP="007968EC">
      <w:pPr>
        <w:pStyle w:val="ARTICULO0"/>
      </w:pPr>
      <w:bookmarkStart w:id="6136" w:name="_Toc490066711"/>
      <w:bookmarkStart w:id="6137" w:name="_Toc31716381"/>
      <w:r w:rsidRPr="002C0D19">
        <w:t xml:space="preserve">Artículo 4.4.3.5. </w:t>
      </w:r>
      <w:proofErr w:type="gramStart"/>
      <w:r w:rsidRPr="002C0D19">
        <w:t>Determinación del Activo a entregar</w:t>
      </w:r>
      <w:proofErr w:type="gramEnd"/>
      <w:r w:rsidRPr="002C0D19">
        <w:t xml:space="preserve"> en la Liquidación por Entrega de Operaciones Repo provenientes de la Bolsa.</w:t>
      </w:r>
      <w:bookmarkEnd w:id="6136"/>
      <w:bookmarkEnd w:id="6137"/>
    </w:p>
    <w:p w14:paraId="48B33207" w14:textId="77777777" w:rsidR="007968EC" w:rsidRPr="002C0D19" w:rsidRDefault="007968EC" w:rsidP="007968EC">
      <w:pPr>
        <w:rPr>
          <w:rFonts w:ascii="Arial Narrow" w:eastAsia="Calibri" w:hAnsi="Arial Narrow"/>
          <w:bCs/>
        </w:rPr>
      </w:pPr>
    </w:p>
    <w:p w14:paraId="1D930838" w14:textId="77777777" w:rsidR="007968EC" w:rsidRPr="002C0D19" w:rsidRDefault="007968EC" w:rsidP="007968EC">
      <w:pPr>
        <w:autoSpaceDE w:val="0"/>
        <w:autoSpaceDN w:val="0"/>
        <w:adjustRightInd w:val="0"/>
        <w:jc w:val="both"/>
        <w:rPr>
          <w:rFonts w:ascii="Arial Narrow" w:eastAsia="Calibri" w:hAnsi="Arial Narrow"/>
        </w:rPr>
      </w:pPr>
      <w:r w:rsidRPr="002C0D19">
        <w:rPr>
          <w:rFonts w:ascii="Arial Narrow" w:eastAsia="Calibri" w:hAnsi="Arial Narrow"/>
        </w:rPr>
        <w:t xml:space="preserve">Al vencimiento de las Operaciones Repo, el Activo a entregar será el acordado en la Operación Repo celebrada por los Miembros en la Bolsa. </w:t>
      </w:r>
    </w:p>
    <w:p w14:paraId="2CAEFF5F" w14:textId="77777777" w:rsidR="007968EC" w:rsidRPr="002C0D19" w:rsidRDefault="007968EC" w:rsidP="007968EC">
      <w:pPr>
        <w:autoSpaceDE w:val="0"/>
        <w:autoSpaceDN w:val="0"/>
        <w:adjustRightInd w:val="0"/>
        <w:jc w:val="both"/>
        <w:rPr>
          <w:rFonts w:ascii="Arial Narrow" w:eastAsia="Calibri" w:hAnsi="Arial Narrow"/>
        </w:rPr>
      </w:pPr>
    </w:p>
    <w:p w14:paraId="5087ADBC" w14:textId="77777777" w:rsidR="007968EC" w:rsidRPr="002C0D19" w:rsidRDefault="007968EC" w:rsidP="007968EC">
      <w:pPr>
        <w:pStyle w:val="ARTICULO0"/>
      </w:pPr>
      <w:bookmarkStart w:id="6138" w:name="_Toc490066712"/>
      <w:bookmarkStart w:id="6139" w:name="_Toc31716382"/>
      <w:r w:rsidRPr="002C0D19">
        <w:t>Artículo 4.4.3.6. Determinación del valor de giro del efectivo a pagar en la Liquidación por Entrega de Operaciones Repo provenientes de la Bolsa.</w:t>
      </w:r>
      <w:bookmarkEnd w:id="6138"/>
      <w:bookmarkEnd w:id="6139"/>
    </w:p>
    <w:p w14:paraId="0020F76B" w14:textId="77777777" w:rsidR="007968EC" w:rsidRPr="002C0D19" w:rsidRDefault="007968EC" w:rsidP="007968EC">
      <w:pPr>
        <w:rPr>
          <w:rFonts w:ascii="Arial Narrow" w:eastAsia="Calibri" w:hAnsi="Arial Narrow"/>
          <w:bCs/>
        </w:rPr>
      </w:pPr>
    </w:p>
    <w:p w14:paraId="0BC0697D" w14:textId="77777777" w:rsidR="007968EC" w:rsidRPr="002C0D19" w:rsidRDefault="007968EC" w:rsidP="007968EC">
      <w:pPr>
        <w:autoSpaceDE w:val="0"/>
        <w:autoSpaceDN w:val="0"/>
        <w:adjustRightInd w:val="0"/>
        <w:jc w:val="both"/>
        <w:rPr>
          <w:rFonts w:ascii="Arial Narrow" w:eastAsia="Calibri" w:hAnsi="Arial Narrow"/>
        </w:rPr>
      </w:pPr>
      <w:r w:rsidRPr="002C0D19">
        <w:rPr>
          <w:rFonts w:ascii="Arial Narrow" w:eastAsia="Calibri" w:hAnsi="Arial Narrow"/>
        </w:rPr>
        <w:t xml:space="preserve">Al vencimiento de las Operaciones Repo el </w:t>
      </w:r>
      <w:r w:rsidRPr="002C0D19">
        <w:rPr>
          <w:rFonts w:ascii="Arial Narrow" w:hAnsi="Arial Narrow"/>
        </w:rPr>
        <w:t>importe efectivo correspondiente al Monto Final de la operación</w:t>
      </w:r>
      <w:r w:rsidRPr="002C0D19" w:rsidDel="00C17EC6">
        <w:rPr>
          <w:rFonts w:ascii="Arial Narrow" w:eastAsia="Calibri" w:hAnsi="Arial Narrow"/>
        </w:rPr>
        <w:t xml:space="preserve"> </w:t>
      </w:r>
      <w:r w:rsidRPr="002C0D19">
        <w:rPr>
          <w:rFonts w:ascii="Arial Narrow" w:eastAsia="Calibri" w:hAnsi="Arial Narrow"/>
        </w:rPr>
        <w:t xml:space="preserve">a pagar será el acordado en la Operación Repo celebrada por los Miembros en la Bolsa y aceptado por la Cámara o será el </w:t>
      </w:r>
      <w:r w:rsidRPr="002C0D19">
        <w:rPr>
          <w:rFonts w:ascii="Arial Narrow" w:hAnsi="Arial Narrow"/>
        </w:rPr>
        <w:t>importe efectivo correspondiente al Monto Final de la Operación reliquidado por la aprobación de una Compensación y Liquidación Anticipada de la Operación.</w:t>
      </w:r>
    </w:p>
    <w:p w14:paraId="6F9B9AEE" w14:textId="77777777" w:rsidR="007968EC" w:rsidRPr="002C0D19" w:rsidRDefault="007968EC" w:rsidP="007968EC">
      <w:pPr>
        <w:rPr>
          <w:rFonts w:ascii="Arial Narrow" w:eastAsia="Calibri" w:hAnsi="Arial Narrow"/>
          <w:bCs/>
        </w:rPr>
      </w:pPr>
    </w:p>
    <w:p w14:paraId="3F937F5B" w14:textId="77777777" w:rsidR="007968EC" w:rsidRPr="002C0D19" w:rsidRDefault="007968EC" w:rsidP="007968EC">
      <w:pPr>
        <w:pStyle w:val="ARTICULO0"/>
      </w:pPr>
      <w:bookmarkStart w:id="6140" w:name="_Toc490066713"/>
      <w:bookmarkStart w:id="6141" w:name="_Toc31716383"/>
      <w:r w:rsidRPr="002C0D19">
        <w:t>Artículo 4.4.3.7. Solución del proceso de entrega de Activos y de Efectivo en la Liquidación por Entrega de Operaciones Repo provenientes de la Bolsa.</w:t>
      </w:r>
      <w:bookmarkEnd w:id="6140"/>
      <w:bookmarkEnd w:id="6141"/>
    </w:p>
    <w:p w14:paraId="1889AE23" w14:textId="77777777" w:rsidR="007968EC" w:rsidRPr="002C0D19" w:rsidRDefault="007968EC" w:rsidP="007968EC">
      <w:pPr>
        <w:rPr>
          <w:rFonts w:ascii="Arial Narrow" w:hAnsi="Arial Narrow" w:cs="Arial"/>
          <w:b/>
          <w:lang w:eastAsia="es-ES"/>
        </w:rPr>
      </w:pPr>
    </w:p>
    <w:p w14:paraId="74EA33A7" w14:textId="77777777" w:rsidR="007968EC" w:rsidRPr="002C0D19" w:rsidRDefault="007968EC" w:rsidP="007968EC">
      <w:pPr>
        <w:autoSpaceDE w:val="0"/>
        <w:autoSpaceDN w:val="0"/>
        <w:adjustRightInd w:val="0"/>
        <w:jc w:val="both"/>
        <w:rPr>
          <w:rFonts w:ascii="Arial Narrow" w:eastAsia="Calibri" w:hAnsi="Arial Narrow"/>
        </w:rPr>
      </w:pPr>
      <w:r w:rsidRPr="002C0D19">
        <w:rPr>
          <w:rFonts w:ascii="Arial Narrow" w:eastAsia="Calibri" w:hAnsi="Arial Narrow"/>
        </w:rPr>
        <w:t xml:space="preserve">Para solucionar el proceso de entregas de Activos y de efectivo en la Liquidación por Entrega al vencimiento de las Operaciones Repo, la Cámara ha definido que las parejas, titulares con Posición Abierta vendedora y </w:t>
      </w:r>
      <w:r w:rsidRPr="002C0D19">
        <w:rPr>
          <w:rFonts w:ascii="Arial Narrow" w:eastAsia="Calibri" w:hAnsi="Arial Narrow"/>
        </w:rPr>
        <w:lastRenderedPageBreak/>
        <w:t>titulares con Posición Abierta compradora correspondan a las mismas parejas de las Operaciones Repo celebradas en la Bolsa. Sin perjuicio de la función de interposición como contrapartida central de la Cámara, la Liquidación de las Operaciones Repo puede realizarse entre las partes originales de la Operación Repo.</w:t>
      </w:r>
    </w:p>
    <w:p w14:paraId="57CC7DAF" w14:textId="77777777" w:rsidR="007968EC" w:rsidRPr="002C0D19" w:rsidRDefault="007968EC" w:rsidP="007968EC">
      <w:pPr>
        <w:rPr>
          <w:rFonts w:ascii="Arial Narrow" w:eastAsia="Calibri" w:hAnsi="Arial Narrow"/>
          <w:bCs/>
        </w:rPr>
      </w:pPr>
    </w:p>
    <w:p w14:paraId="5AFE91B1" w14:textId="77777777" w:rsidR="007968EC" w:rsidRPr="002C0D19" w:rsidRDefault="007968EC" w:rsidP="007968EC">
      <w:pPr>
        <w:pStyle w:val="ARTICULO0"/>
      </w:pPr>
      <w:bookmarkStart w:id="6142" w:name="_Toc490066714"/>
      <w:bookmarkStart w:id="6143" w:name="_Toc31716384"/>
      <w:r w:rsidRPr="002C0D19">
        <w:t>Artículo 4.4.3.8. Etapas del Procedimiento de la Liquidación por Entrega de Operaciones Repo provenientes de la Bolsa.</w:t>
      </w:r>
      <w:bookmarkEnd w:id="6142"/>
      <w:bookmarkEnd w:id="6143"/>
    </w:p>
    <w:p w14:paraId="73281B73" w14:textId="77777777" w:rsidR="007968EC" w:rsidRPr="002C0D19" w:rsidRDefault="007968EC" w:rsidP="007968EC">
      <w:pPr>
        <w:rPr>
          <w:rFonts w:ascii="Arial Narrow" w:eastAsia="Calibri" w:hAnsi="Arial Narrow"/>
          <w:bCs/>
        </w:rPr>
      </w:pPr>
    </w:p>
    <w:p w14:paraId="64B1F70C" w14:textId="77777777" w:rsidR="007968EC" w:rsidRPr="002C0D19" w:rsidRDefault="007968EC" w:rsidP="007968EC">
      <w:pPr>
        <w:autoSpaceDE w:val="0"/>
        <w:autoSpaceDN w:val="0"/>
        <w:adjustRightInd w:val="0"/>
        <w:jc w:val="both"/>
        <w:rPr>
          <w:rFonts w:ascii="Arial Narrow" w:eastAsia="Calibri" w:hAnsi="Arial Narrow"/>
        </w:rPr>
      </w:pPr>
      <w:r w:rsidRPr="002C0D19">
        <w:rPr>
          <w:rFonts w:ascii="Arial Narrow" w:eastAsia="Calibri" w:hAnsi="Arial Narrow"/>
        </w:rPr>
        <w:t xml:space="preserve">El procedimiento de Liquidación por Entrega de Operaciones </w:t>
      </w:r>
      <w:proofErr w:type="gramStart"/>
      <w:r w:rsidRPr="002C0D19">
        <w:rPr>
          <w:rFonts w:ascii="Arial Narrow" w:eastAsia="Calibri" w:hAnsi="Arial Narrow"/>
        </w:rPr>
        <w:t>Repo,</w:t>
      </w:r>
      <w:proofErr w:type="gramEnd"/>
      <w:r w:rsidRPr="002C0D19">
        <w:rPr>
          <w:rFonts w:ascii="Arial Narrow" w:eastAsia="Calibri" w:hAnsi="Arial Narrow"/>
        </w:rPr>
        <w:t xml:space="preserve"> se llevará a cabo en las siguientes etapas:</w:t>
      </w:r>
    </w:p>
    <w:p w14:paraId="1A5F7355" w14:textId="77777777" w:rsidR="007968EC" w:rsidRPr="002C0D19" w:rsidRDefault="007968EC" w:rsidP="007968EC">
      <w:pPr>
        <w:autoSpaceDE w:val="0"/>
        <w:autoSpaceDN w:val="0"/>
        <w:adjustRightInd w:val="0"/>
        <w:rPr>
          <w:rFonts w:ascii="Arial Narrow" w:eastAsia="Calibri" w:hAnsi="Arial Narrow"/>
        </w:rPr>
      </w:pPr>
    </w:p>
    <w:p w14:paraId="5AD853E7" w14:textId="77777777" w:rsidR="007968EC" w:rsidRPr="002C0D19" w:rsidRDefault="007968EC" w:rsidP="007968EC">
      <w:pPr>
        <w:autoSpaceDE w:val="0"/>
        <w:autoSpaceDN w:val="0"/>
        <w:adjustRightInd w:val="0"/>
        <w:jc w:val="both"/>
        <w:rPr>
          <w:rFonts w:ascii="Arial Narrow" w:eastAsia="Calibri" w:hAnsi="Arial Narrow"/>
        </w:rPr>
      </w:pPr>
      <w:r w:rsidRPr="002C0D19">
        <w:rPr>
          <w:rFonts w:ascii="Arial Narrow" w:eastAsia="Calibri" w:hAnsi="Arial Narrow"/>
        </w:rPr>
        <w:t>Etapa 1: La Cámara entregará al Miembro Liquidador la información acerca de la Liquidación al Vencimiento de las Operaciones Repo aceptadas en la Cámara antes del inicio o durante de la Sesión de Aceptación de Operaciones en la fecha de vencimiento de las Operaciones Aceptadas. La información incluirá el detalle de las obligaciones de los Miembros en saldos brutos, correspondientes a sus Posiciones Abiertas y a las de sus Terceros.</w:t>
      </w:r>
    </w:p>
    <w:p w14:paraId="38179E75" w14:textId="77777777" w:rsidR="007968EC" w:rsidRPr="002C0D19" w:rsidRDefault="007968EC" w:rsidP="007968EC">
      <w:pPr>
        <w:autoSpaceDE w:val="0"/>
        <w:autoSpaceDN w:val="0"/>
        <w:adjustRightInd w:val="0"/>
        <w:rPr>
          <w:rFonts w:ascii="Arial Narrow" w:eastAsia="Calibri" w:hAnsi="Arial Narrow"/>
        </w:rPr>
      </w:pPr>
    </w:p>
    <w:p w14:paraId="7D26CAAA" w14:textId="77777777" w:rsidR="007968EC" w:rsidRPr="002C0D19" w:rsidRDefault="007968EC" w:rsidP="007968EC">
      <w:pPr>
        <w:jc w:val="both"/>
        <w:rPr>
          <w:rFonts w:ascii="Arial Narrow" w:eastAsia="Calibri" w:hAnsi="Arial Narrow"/>
        </w:rPr>
      </w:pPr>
      <w:r w:rsidRPr="002C0D19">
        <w:rPr>
          <w:rFonts w:ascii="Arial Narrow" w:eastAsia="Calibri" w:hAnsi="Arial Narrow"/>
        </w:rPr>
        <w:t>Esta información será entregada, antes del inicio de la Sesión de Aceptación de Operaciones en la fecha de vencimiento de las Operaciones Aceptadas a Deceval o entidades autorizadas por la Cámara para realizar la Liquidación de estas Operaciones.</w:t>
      </w:r>
    </w:p>
    <w:p w14:paraId="5439C5A1" w14:textId="77777777" w:rsidR="007968EC" w:rsidRPr="002C0D19" w:rsidRDefault="007968EC" w:rsidP="007968EC">
      <w:pPr>
        <w:autoSpaceDE w:val="0"/>
        <w:autoSpaceDN w:val="0"/>
        <w:adjustRightInd w:val="0"/>
        <w:rPr>
          <w:rFonts w:ascii="Arial Narrow" w:eastAsia="Calibri" w:hAnsi="Arial Narrow"/>
        </w:rPr>
      </w:pPr>
    </w:p>
    <w:p w14:paraId="475FA4A7" w14:textId="77777777" w:rsidR="007968EC" w:rsidRPr="002C0D19" w:rsidRDefault="007968EC" w:rsidP="007968EC">
      <w:pPr>
        <w:jc w:val="both"/>
        <w:rPr>
          <w:rFonts w:ascii="Arial Narrow" w:eastAsia="Calibri" w:hAnsi="Arial Narrow"/>
        </w:rPr>
      </w:pPr>
      <w:r w:rsidRPr="002C0D19">
        <w:rPr>
          <w:rFonts w:ascii="Arial Narrow" w:eastAsia="Calibri" w:hAnsi="Arial Narrow"/>
        </w:rPr>
        <w:t>Etapa 2: Deceval, notificará a la Cámara la transferencia de los valores y/o el efectivo para la Liquidación de las Operaciones Repo en los horarios de cumplimiento establecidos en sus reglamentos, de acuerdo con lo establecido en el artículo 2.6.4. del Reglamento de Funcionamiento de la Cámara.</w:t>
      </w:r>
    </w:p>
    <w:p w14:paraId="3B3C7B7A" w14:textId="77777777" w:rsidR="007968EC" w:rsidRPr="002C0D19" w:rsidRDefault="007968EC" w:rsidP="007968EC">
      <w:pPr>
        <w:rPr>
          <w:rFonts w:ascii="Arial Narrow" w:eastAsia="Calibri" w:hAnsi="Arial Narrow"/>
          <w:bCs/>
        </w:rPr>
      </w:pPr>
    </w:p>
    <w:p w14:paraId="1A59C4E0" w14:textId="77777777" w:rsidR="007968EC" w:rsidRPr="002C0D19" w:rsidRDefault="007968EC" w:rsidP="007968EC">
      <w:pPr>
        <w:pStyle w:val="ARTICULO0"/>
      </w:pPr>
      <w:bookmarkStart w:id="6144" w:name="_Toc490066715"/>
      <w:bookmarkStart w:id="6145" w:name="_Toc31716385"/>
      <w:r w:rsidRPr="002C0D19">
        <w:t>Artículo 4.4.3.9. Procedimiento de Liquidación por Entrega de Operaciones Repo provenientes de la Bolsa.</w:t>
      </w:r>
      <w:bookmarkEnd w:id="6144"/>
      <w:bookmarkEnd w:id="6145"/>
    </w:p>
    <w:p w14:paraId="00E278C8" w14:textId="77777777" w:rsidR="007968EC" w:rsidRPr="002C0D19" w:rsidRDefault="007968EC" w:rsidP="007968EC">
      <w:pPr>
        <w:jc w:val="both"/>
        <w:rPr>
          <w:rFonts w:ascii="Arial Narrow" w:eastAsia="Calibri" w:hAnsi="Arial Narrow"/>
          <w:bCs/>
        </w:rPr>
      </w:pPr>
    </w:p>
    <w:p w14:paraId="0B403500" w14:textId="77777777" w:rsidR="007968EC" w:rsidRPr="002C0D19" w:rsidRDefault="007968EC" w:rsidP="007968EC">
      <w:pPr>
        <w:jc w:val="both"/>
        <w:rPr>
          <w:rFonts w:ascii="Arial Narrow" w:eastAsia="Calibri" w:hAnsi="Arial Narrow"/>
        </w:rPr>
      </w:pPr>
      <w:r w:rsidRPr="002C0D19">
        <w:rPr>
          <w:rFonts w:ascii="Arial Narrow" w:eastAsia="Calibri" w:hAnsi="Arial Narrow"/>
        </w:rPr>
        <w:t>El día de vencimiento de las Operaciones Repo, se cumplen las Operaciones por parte de la Cámara, de acuerdo con el proceso establecido en el artículo 4.4.3.7. de la presente Circular.</w:t>
      </w:r>
    </w:p>
    <w:p w14:paraId="393DF826" w14:textId="77777777" w:rsidR="007968EC" w:rsidRPr="002C0D19" w:rsidRDefault="007968EC" w:rsidP="007968EC">
      <w:pPr>
        <w:jc w:val="both"/>
        <w:rPr>
          <w:rFonts w:ascii="Arial Narrow" w:eastAsia="Calibri" w:hAnsi="Arial Narrow"/>
        </w:rPr>
      </w:pPr>
    </w:p>
    <w:p w14:paraId="1965A329" w14:textId="77777777" w:rsidR="007968EC" w:rsidRPr="002C0D19" w:rsidRDefault="007968EC" w:rsidP="007968EC">
      <w:pPr>
        <w:jc w:val="both"/>
        <w:rPr>
          <w:rFonts w:ascii="Arial Narrow" w:eastAsia="Calibri" w:hAnsi="Arial Narrow"/>
        </w:rPr>
      </w:pPr>
      <w:r w:rsidRPr="002C0D19">
        <w:rPr>
          <w:rFonts w:ascii="Arial Narrow" w:eastAsia="Calibri" w:hAnsi="Arial Narrow"/>
        </w:rPr>
        <w:t>Las instrucciones de transferencia desde los Miembros y/o Agentes hacia la Cámara y desde la Cámara hacia los Miembros y/o Agentes de valores y efectivo se realizarán mediante transferencias totales.</w:t>
      </w:r>
    </w:p>
    <w:p w14:paraId="6B31137D" w14:textId="77777777" w:rsidR="007968EC" w:rsidRPr="002C0D19" w:rsidRDefault="007968EC" w:rsidP="007968EC">
      <w:pPr>
        <w:jc w:val="both"/>
        <w:rPr>
          <w:rFonts w:ascii="Arial Narrow" w:eastAsia="Calibri" w:hAnsi="Arial Narrow"/>
        </w:rPr>
      </w:pPr>
    </w:p>
    <w:p w14:paraId="54C59A12" w14:textId="77777777" w:rsidR="007968EC" w:rsidRPr="002C0D19" w:rsidRDefault="007968EC" w:rsidP="007968EC">
      <w:pPr>
        <w:jc w:val="both"/>
        <w:rPr>
          <w:rFonts w:ascii="Arial Narrow" w:eastAsia="Calibri" w:hAnsi="Arial Narrow"/>
        </w:rPr>
      </w:pPr>
      <w:r w:rsidRPr="002C0D19">
        <w:rPr>
          <w:rFonts w:ascii="Arial Narrow" w:eastAsia="Calibri" w:hAnsi="Arial Narrow"/>
        </w:rPr>
        <w:t xml:space="preserve">Las instrucciones de transferencia de </w:t>
      </w:r>
      <w:proofErr w:type="gramStart"/>
      <w:r w:rsidRPr="002C0D19">
        <w:rPr>
          <w:rFonts w:ascii="Arial Narrow" w:eastAsia="Calibri" w:hAnsi="Arial Narrow"/>
        </w:rPr>
        <w:t>valores,</w:t>
      </w:r>
      <w:proofErr w:type="gramEnd"/>
      <w:r w:rsidRPr="002C0D19">
        <w:rPr>
          <w:rFonts w:ascii="Arial Narrow" w:eastAsia="Calibri" w:hAnsi="Arial Narrow"/>
        </w:rPr>
        <w:t xml:space="preserve"> se hacen a nivel de cuenta titular por saldos brutos y éstas se realizarán, según el caso, a través de Deceval. </w:t>
      </w:r>
    </w:p>
    <w:p w14:paraId="3BB48187" w14:textId="77777777" w:rsidR="007968EC" w:rsidRPr="002C0D19" w:rsidRDefault="007968EC" w:rsidP="007968EC">
      <w:pPr>
        <w:jc w:val="both"/>
        <w:rPr>
          <w:rFonts w:ascii="Arial Narrow" w:eastAsia="Calibri" w:hAnsi="Arial Narrow"/>
        </w:rPr>
      </w:pPr>
    </w:p>
    <w:p w14:paraId="16D9DB7B" w14:textId="77777777" w:rsidR="007968EC" w:rsidRPr="002C0D19" w:rsidRDefault="007968EC" w:rsidP="007968EC">
      <w:pPr>
        <w:jc w:val="both"/>
        <w:rPr>
          <w:rFonts w:ascii="Arial Narrow" w:eastAsia="Calibri" w:hAnsi="Arial Narrow"/>
        </w:rPr>
      </w:pPr>
      <w:r w:rsidRPr="002C0D19">
        <w:rPr>
          <w:rFonts w:ascii="Arial Narrow" w:eastAsia="Calibri" w:hAnsi="Arial Narrow"/>
        </w:rPr>
        <w:t xml:space="preserve">Las instrucciones de transferencia de efectivo se realizarán por saldos brutos, a través de las cuentas que los Miembros Liquidadores o Miembros No liquidadores, tengan en el sistema de pagos del Banco de la República (CUD) o a través de la cuenta del Agente de Pago del Miembro Liquidador que corresponda en el sistema de pagos del Banco de la República (CUD). </w:t>
      </w:r>
    </w:p>
    <w:p w14:paraId="3EC5C371" w14:textId="77777777" w:rsidR="007968EC" w:rsidRPr="002C0D19" w:rsidRDefault="007968EC" w:rsidP="007968EC">
      <w:pPr>
        <w:jc w:val="both"/>
        <w:rPr>
          <w:rFonts w:ascii="Arial Narrow" w:eastAsia="Calibri" w:hAnsi="Arial Narrow"/>
        </w:rPr>
      </w:pPr>
    </w:p>
    <w:p w14:paraId="43E7A403" w14:textId="77777777" w:rsidR="007968EC" w:rsidRPr="002C0D19" w:rsidRDefault="007968EC" w:rsidP="007968EC">
      <w:pPr>
        <w:jc w:val="both"/>
        <w:rPr>
          <w:rFonts w:ascii="Arial Narrow" w:eastAsia="Calibri" w:hAnsi="Arial Narrow"/>
        </w:rPr>
      </w:pPr>
      <w:r w:rsidRPr="002C0D19">
        <w:rPr>
          <w:rFonts w:ascii="Arial Narrow" w:eastAsia="Calibri" w:hAnsi="Arial Narrow"/>
        </w:rPr>
        <w:lastRenderedPageBreak/>
        <w:t xml:space="preserve">Tanto la transferencia de valores como de efectivo, se realizará bajo la modalidad de Entrega contra Pago, de acuerdo con lo descrito en el reglamento de Deceval para realizar la Liquidación de las Operaciones Repo, de conformidad con lo establecido en el artículo 2.6.4. del Reglamento de Funcionamiento. </w:t>
      </w:r>
    </w:p>
    <w:p w14:paraId="288BD864" w14:textId="77777777" w:rsidR="007968EC" w:rsidRPr="002C0D19" w:rsidRDefault="007968EC" w:rsidP="007968EC">
      <w:pPr>
        <w:jc w:val="both"/>
        <w:rPr>
          <w:rFonts w:ascii="Arial Narrow" w:eastAsia="Calibri" w:hAnsi="Arial Narrow"/>
        </w:rPr>
      </w:pPr>
    </w:p>
    <w:p w14:paraId="17F92AE1" w14:textId="77777777" w:rsidR="007968EC" w:rsidRPr="002C0D19" w:rsidRDefault="007968EC" w:rsidP="007968EC">
      <w:pPr>
        <w:jc w:val="both"/>
        <w:rPr>
          <w:rFonts w:ascii="Arial Narrow" w:eastAsia="Calibri" w:hAnsi="Arial Narrow"/>
        </w:rPr>
      </w:pPr>
      <w:r w:rsidRPr="002C0D19">
        <w:rPr>
          <w:rFonts w:ascii="Arial Narrow" w:eastAsia="Calibri" w:hAnsi="Arial Narrow"/>
        </w:rPr>
        <w:t>La Cámara recibirá la notificación de la Liquidación de las Operaciones Repo por parte de Deceval. Una vez notificada la Liquidación de las Operaciones Repo, el Sistema de la Cámara realizará el cierre de la posición a través de una operación tipo “B”, con lo cual el Sistema de la Cámara registrará el cumplimiento de la Operación Repo. En caso de no recibir la notificación de la transferencia de los valores y/o del efectivo de alguno de los Miembros que celebraron la Operación Repo y, la Cámara confirme que los valores o el efectivo no fueron entregados, la Cámara aplicará el procedimiento de gestión de Retardo o Incumplimiento a que haya lugar.</w:t>
      </w:r>
    </w:p>
    <w:p w14:paraId="4CEEB634" w14:textId="77777777" w:rsidR="007968EC" w:rsidRPr="002C0D19" w:rsidRDefault="007968EC" w:rsidP="007968EC">
      <w:pPr>
        <w:tabs>
          <w:tab w:val="left" w:pos="1305"/>
        </w:tabs>
        <w:rPr>
          <w:rFonts w:ascii="Arial Narrow" w:hAnsi="Arial Narrow" w:cs="Arial"/>
          <w:b/>
          <w:lang w:eastAsia="es-ES"/>
        </w:rPr>
      </w:pPr>
    </w:p>
    <w:p w14:paraId="7CD0D921" w14:textId="77777777" w:rsidR="007968EC" w:rsidRPr="002C0D19" w:rsidRDefault="007968EC" w:rsidP="007968EC">
      <w:pPr>
        <w:pStyle w:val="ARTICULO0"/>
      </w:pPr>
      <w:bookmarkStart w:id="6146" w:name="_Toc31716386"/>
      <w:r w:rsidRPr="002C0D19">
        <w:t>Artículo 4.4.3.10. Liquidación por Diferencias por Retardo en la Entrega.</w:t>
      </w:r>
      <w:bookmarkEnd w:id="6146"/>
    </w:p>
    <w:p w14:paraId="7326CAEF" w14:textId="77777777" w:rsidR="007968EC" w:rsidRDefault="007968EC" w:rsidP="007968EC">
      <w:pPr>
        <w:rPr>
          <w:rFonts w:ascii="Arial Narrow" w:hAnsi="Arial Narrow" w:cs="Arial"/>
          <w:b/>
          <w:highlight w:val="yellow"/>
          <w:lang w:eastAsia="es-ES"/>
        </w:rPr>
      </w:pPr>
    </w:p>
    <w:p w14:paraId="32442E15" w14:textId="77777777" w:rsidR="007968EC" w:rsidRPr="005F10B9" w:rsidRDefault="007968EC" w:rsidP="007968EC">
      <w:pPr>
        <w:pStyle w:val="ANTECEDENTES"/>
      </w:pPr>
      <w:r w:rsidRPr="005F10B9">
        <w:t>(Este artículo fue modificado mediante Ci</w:t>
      </w:r>
      <w:r>
        <w:t>rcular 8 del 16</w:t>
      </w:r>
      <w:r w:rsidRPr="005F10B9">
        <w:t xml:space="preserve"> de mayo de 2018, publicada</w:t>
      </w:r>
      <w:r>
        <w:t xml:space="preserve"> en el Boletín Normativo No. 011 del 18</w:t>
      </w:r>
      <w:r w:rsidRPr="005F10B9">
        <w:t xml:space="preserve"> de mayo de 2018. Rige a partir del 21 de mayo de 2018.)</w:t>
      </w:r>
    </w:p>
    <w:p w14:paraId="7CA8ADD2" w14:textId="77777777" w:rsidR="007968EC" w:rsidRPr="002C0D19" w:rsidRDefault="007968EC" w:rsidP="007968EC">
      <w:pPr>
        <w:rPr>
          <w:rFonts w:ascii="Arial Narrow" w:hAnsi="Arial Narrow" w:cs="Arial"/>
          <w:b/>
          <w:highlight w:val="yellow"/>
          <w:lang w:eastAsia="es-ES"/>
        </w:rPr>
      </w:pPr>
    </w:p>
    <w:p w14:paraId="6E215B74" w14:textId="77777777" w:rsidR="007968EC" w:rsidRPr="00E862D2" w:rsidRDefault="007968EC" w:rsidP="007968EC">
      <w:pPr>
        <w:jc w:val="both"/>
        <w:rPr>
          <w:rFonts w:ascii="Arial Narrow" w:eastAsia="Calibri" w:hAnsi="Arial Narrow"/>
        </w:rPr>
      </w:pPr>
      <w:r w:rsidRPr="00E862D2">
        <w:rPr>
          <w:rFonts w:ascii="Arial Narrow" w:eastAsia="Calibri" w:hAnsi="Arial Narrow"/>
        </w:rPr>
        <w:t xml:space="preserve">De conformidad con el último inciso del artículo 2.8.9. del Reglamento de Funcionamiento, en caso de retardo en la entrega del Activo en el horario de la Sesión de Liquidación al Vencimiento establecido en los artículos 4.7.1.1. o 4.7.1.2. de la presente Circular, para el proceso de Liquidación de la operación inicial correspondiente a una operación de Reporto o Repo, la Cámara, al no contar con el Activo objeto de la operación inicial podrá cumplir con una Liquidación por Diferencias por Retardo en la Entrega a los titulares de Cuenta que tengan derecho a recibir los Activos y que hayan cumplido con todas las obligaciones a su cargo, y dará por terminada la operación de Reporto o Repo y no habrá lugar a la Operación de recompra o de regreso. </w:t>
      </w:r>
    </w:p>
    <w:p w14:paraId="10BE6F40" w14:textId="77777777" w:rsidR="007968EC" w:rsidRPr="00E862D2" w:rsidRDefault="007968EC" w:rsidP="007968EC">
      <w:pPr>
        <w:jc w:val="both"/>
        <w:rPr>
          <w:rFonts w:ascii="Arial Narrow" w:eastAsia="Calibri" w:hAnsi="Arial Narrow"/>
        </w:rPr>
      </w:pPr>
    </w:p>
    <w:p w14:paraId="74BE9255" w14:textId="77777777" w:rsidR="007968EC" w:rsidRPr="00E862D2" w:rsidRDefault="007968EC" w:rsidP="007968EC">
      <w:pPr>
        <w:jc w:val="both"/>
        <w:rPr>
          <w:rFonts w:ascii="Arial Narrow" w:eastAsia="Calibri" w:hAnsi="Arial Narrow" w:cs="Arial"/>
          <w:lang w:eastAsia="es-ES"/>
        </w:rPr>
      </w:pPr>
      <w:r w:rsidRPr="00E862D2">
        <w:rPr>
          <w:rFonts w:ascii="Arial Narrow" w:eastAsia="Calibri" w:hAnsi="Arial Narrow"/>
        </w:rPr>
        <w:t xml:space="preserve">La Operación de recompra o de regreso registrada en el Sistema de la Cámara, se cerrará mediante el registro de una </w:t>
      </w:r>
      <w:r w:rsidRPr="00E862D2">
        <w:rPr>
          <w:rFonts w:ascii="Arial Narrow" w:eastAsia="Calibri" w:hAnsi="Arial Narrow" w:cs="Arial"/>
          <w:lang w:eastAsia="es-ES"/>
        </w:rPr>
        <w:t xml:space="preserve">operación tipo “F”. Simultáneamente, la Cámara realiza el registro de otra Operación tipo “F” respecto de los mismos titulares de Cuenta, en la cual el importe efectivo corresponderá al de la operación inicial más la consecuencia pecuniaria calculada de conformidad con lo señalado en el numeral 1 del Artículo 4.6.1.1. de la presente Circular y su fecha de vencimiento corresponderá al día hábil siguiente a la de la </w:t>
      </w:r>
      <w:r w:rsidRPr="00E862D2">
        <w:rPr>
          <w:rFonts w:ascii="Arial Narrow" w:eastAsia="Calibri" w:hAnsi="Arial Narrow"/>
        </w:rPr>
        <w:t>Sesión de Liquidación al Vencimiento en curso</w:t>
      </w:r>
      <w:r w:rsidRPr="00E862D2">
        <w:rPr>
          <w:rFonts w:ascii="Arial Narrow" w:eastAsia="Calibri" w:hAnsi="Arial Narrow" w:cs="Arial"/>
          <w:lang w:eastAsia="es-ES"/>
        </w:rPr>
        <w:t>.</w:t>
      </w:r>
    </w:p>
    <w:p w14:paraId="4E00CDE6" w14:textId="77777777" w:rsidR="007968EC" w:rsidRPr="00E862D2" w:rsidRDefault="007968EC" w:rsidP="007968EC">
      <w:pPr>
        <w:jc w:val="both"/>
        <w:rPr>
          <w:rFonts w:ascii="Arial Narrow" w:eastAsia="Calibri" w:hAnsi="Arial Narrow" w:cs="Arial"/>
          <w:lang w:eastAsia="es-ES"/>
        </w:rPr>
      </w:pPr>
    </w:p>
    <w:p w14:paraId="0FE7D6AF" w14:textId="77777777" w:rsidR="007968EC" w:rsidRPr="00E862D2" w:rsidRDefault="007968EC" w:rsidP="007968EC">
      <w:pPr>
        <w:jc w:val="both"/>
        <w:rPr>
          <w:rFonts w:ascii="Arial Narrow" w:eastAsia="Calibri" w:hAnsi="Arial Narrow" w:cs="Arial"/>
          <w:lang w:eastAsia="es-ES"/>
        </w:rPr>
      </w:pPr>
      <w:r w:rsidRPr="00E862D2">
        <w:rPr>
          <w:rFonts w:ascii="Arial Narrow" w:eastAsia="Calibri" w:hAnsi="Arial Narrow" w:cs="Arial"/>
          <w:lang w:eastAsia="es-ES"/>
        </w:rPr>
        <w:t>Una vez culmine el procedimiento de Liquidación por Diferencias por Retardo en la Entrega de la Operación tipo “F”, a la que se hace referencia en el párrafo anterior y se haga efectivo el pago de las consecuencias pecuniarias descritas en el artículo 4.6.1.1., se registrará en la Cámara una Operación tipo “B”, con la cual se entenderá que el procedimiento de Liquidación por Diferencias por Retardo en la Entrega se ha completado.</w:t>
      </w:r>
    </w:p>
    <w:p w14:paraId="4C23C127" w14:textId="77777777" w:rsidR="007968EC" w:rsidRPr="00E862D2" w:rsidRDefault="007968EC" w:rsidP="007968EC">
      <w:pPr>
        <w:jc w:val="both"/>
        <w:rPr>
          <w:rFonts w:ascii="Arial Narrow" w:eastAsia="Calibri" w:hAnsi="Arial Narrow"/>
        </w:rPr>
      </w:pPr>
    </w:p>
    <w:p w14:paraId="12B5DD3F" w14:textId="77777777" w:rsidR="007968EC" w:rsidRPr="002C0D19" w:rsidRDefault="007968EC" w:rsidP="007968EC">
      <w:pPr>
        <w:jc w:val="both"/>
        <w:rPr>
          <w:rFonts w:ascii="Arial Narrow" w:eastAsia="Calibri" w:hAnsi="Arial Narrow"/>
          <w:highlight w:val="yellow"/>
        </w:rPr>
      </w:pPr>
      <w:r w:rsidRPr="00E862D2">
        <w:rPr>
          <w:rFonts w:ascii="Arial Narrow" w:eastAsia="Calibri" w:hAnsi="Arial Narrow"/>
        </w:rPr>
        <w:t xml:space="preserve">No obstante lo anterior, la gestión del retardo no impide que la Cámara en cualquier momento pueda tomar en relación con el Miembro Liquidador en retardo cualquiera de las medidas establecidas en el numeral 2 del artículo 2.8.7. del Reglamento de Funcionamiento o aquellas que establezca para el presente Segmento o </w:t>
      </w:r>
      <w:r w:rsidRPr="00E862D2">
        <w:rPr>
          <w:rFonts w:ascii="Arial Narrow" w:eastAsia="Calibri" w:hAnsi="Arial Narrow"/>
        </w:rPr>
        <w:lastRenderedPageBreak/>
        <w:t>que declare el Incumplimiento del Miembro que se encuentre en el evento de retardo, cuando se presente cualquier causal de Incumplimiento de conformidad con lo dispuesto en el Reglamento de Funcionamiento.</w:t>
      </w:r>
    </w:p>
    <w:p w14:paraId="65F578D3" w14:textId="77777777" w:rsidR="007968EC" w:rsidRPr="002C0D19" w:rsidRDefault="007968EC" w:rsidP="007968EC">
      <w:pPr>
        <w:jc w:val="both"/>
        <w:rPr>
          <w:rFonts w:ascii="Arial Narrow" w:eastAsia="Calibri" w:hAnsi="Arial Narrow"/>
          <w:highlight w:val="yellow"/>
        </w:rPr>
      </w:pPr>
    </w:p>
    <w:p w14:paraId="152926AC" w14:textId="77777777" w:rsidR="007968EC" w:rsidRPr="002C0D19" w:rsidRDefault="007968EC" w:rsidP="007968EC">
      <w:pPr>
        <w:pStyle w:val="ARTICULO0"/>
      </w:pPr>
      <w:bookmarkStart w:id="6147" w:name="_Toc31716387"/>
      <w:r w:rsidRPr="002C0D19">
        <w:t>Artículo 4.4.3.11. Variables y conceptos incluidos en la Liquidación por Diferencias por Retardo en la Entrega.</w:t>
      </w:r>
      <w:bookmarkEnd w:id="6147"/>
    </w:p>
    <w:p w14:paraId="66BD5D2A" w14:textId="77777777" w:rsidR="007968EC" w:rsidRPr="002C0D19" w:rsidRDefault="007968EC" w:rsidP="007968EC">
      <w:pPr>
        <w:rPr>
          <w:rFonts w:ascii="Arial Narrow" w:hAnsi="Arial Narrow" w:cs="Arial"/>
          <w:b/>
          <w:lang w:eastAsia="es-ES"/>
        </w:rPr>
      </w:pPr>
    </w:p>
    <w:p w14:paraId="09ABF572" w14:textId="77777777" w:rsidR="007968EC" w:rsidRPr="002C0D19" w:rsidRDefault="007968EC" w:rsidP="007968EC">
      <w:pPr>
        <w:autoSpaceDE w:val="0"/>
        <w:autoSpaceDN w:val="0"/>
        <w:adjustRightInd w:val="0"/>
        <w:jc w:val="both"/>
        <w:rPr>
          <w:rFonts w:ascii="Arial Narrow" w:eastAsia="Calibri" w:hAnsi="Arial Narrow" w:cs="Arial"/>
          <w:lang w:eastAsia="es-ES"/>
        </w:rPr>
      </w:pPr>
      <w:r w:rsidRPr="002C0D19">
        <w:rPr>
          <w:rFonts w:ascii="Arial Narrow" w:eastAsia="Calibri" w:hAnsi="Arial Narrow" w:cs="Arial"/>
          <w:lang w:val="es-MX" w:eastAsia="es-ES"/>
        </w:rPr>
        <w:t>En virtud del proceso de Liquidación por Diferencias por Retardo en la Entrega, los Miembros entregarán o recibirán de la Cámara, según corresponda, los fondos teniendo en cuenta la siguiente variable y por el siguiente concepto:</w:t>
      </w:r>
    </w:p>
    <w:p w14:paraId="24F3BA15" w14:textId="77777777" w:rsidR="007968EC" w:rsidRPr="00545AB6" w:rsidRDefault="007968EC" w:rsidP="007968EC">
      <w:pPr>
        <w:jc w:val="both"/>
        <w:rPr>
          <w:rFonts w:ascii="Arial Narrow" w:eastAsia="Calibri" w:hAnsi="Arial Narrow"/>
          <w:bCs/>
          <w:color w:val="000000" w:themeColor="text1"/>
        </w:rPr>
      </w:pPr>
    </w:p>
    <w:p w14:paraId="35367CCA" w14:textId="77777777" w:rsidR="007968EC" w:rsidRPr="002C0D19" w:rsidRDefault="007968EC" w:rsidP="00DA7472">
      <w:pPr>
        <w:numPr>
          <w:ilvl w:val="3"/>
          <w:numId w:val="287"/>
        </w:numPr>
        <w:autoSpaceDE w:val="0"/>
        <w:autoSpaceDN w:val="0"/>
        <w:adjustRightInd w:val="0"/>
        <w:ind w:left="284" w:hanging="284"/>
        <w:contextualSpacing/>
        <w:jc w:val="both"/>
        <w:rPr>
          <w:rFonts w:ascii="Arial Narrow" w:eastAsia="Calibri" w:hAnsi="Arial Narrow" w:cs="Arial"/>
          <w:b/>
          <w:lang w:eastAsia="es-ES"/>
        </w:rPr>
      </w:pPr>
      <w:r w:rsidRPr="002C0D19">
        <w:rPr>
          <w:rFonts w:ascii="Arial Narrow" w:eastAsia="Calibri" w:hAnsi="Arial Narrow" w:cs="Arial"/>
          <w:b/>
          <w:lang w:eastAsia="es-ES"/>
        </w:rPr>
        <w:t>Variable:</w:t>
      </w:r>
    </w:p>
    <w:p w14:paraId="065E1DF7" w14:textId="77777777" w:rsidR="007968EC" w:rsidRPr="002C0D19" w:rsidRDefault="007968EC" w:rsidP="007968EC">
      <w:pPr>
        <w:autoSpaceDE w:val="0"/>
        <w:autoSpaceDN w:val="0"/>
        <w:adjustRightInd w:val="0"/>
        <w:jc w:val="both"/>
        <w:rPr>
          <w:rFonts w:ascii="Arial Narrow" w:eastAsia="Calibri" w:hAnsi="Arial Narrow" w:cs="Arial"/>
          <w:lang w:eastAsia="es-ES"/>
        </w:rPr>
      </w:pPr>
    </w:p>
    <w:p w14:paraId="63B03245" w14:textId="77777777" w:rsidR="007968EC" w:rsidRPr="002C0D19" w:rsidRDefault="007968EC" w:rsidP="007968EC">
      <w:pPr>
        <w:autoSpaceDE w:val="0"/>
        <w:autoSpaceDN w:val="0"/>
        <w:adjustRightInd w:val="0"/>
        <w:jc w:val="both"/>
        <w:rPr>
          <w:rFonts w:ascii="Arial Narrow" w:eastAsia="Calibri" w:hAnsi="Arial Narrow" w:cs="Arial"/>
          <w:lang w:eastAsia="es-ES"/>
        </w:rPr>
      </w:pPr>
      <w:r w:rsidRPr="002C0D19">
        <w:rPr>
          <w:rFonts w:ascii="Arial Narrow" w:eastAsia="Calibri" w:hAnsi="Arial Narrow" w:cs="Arial"/>
          <w:b/>
          <w:lang w:eastAsia="es-ES"/>
        </w:rPr>
        <w:t>Importe efectivo de la Operación Repo:</w:t>
      </w:r>
      <w:r w:rsidRPr="002C0D19">
        <w:rPr>
          <w:rFonts w:ascii="Arial Narrow" w:eastAsia="Calibri" w:hAnsi="Arial Narrow" w:cs="Arial"/>
          <w:lang w:eastAsia="es-ES"/>
        </w:rPr>
        <w:t xml:space="preserve"> corresponde al importe efectivo del flujo inicial de la Operación Repo.</w:t>
      </w:r>
    </w:p>
    <w:p w14:paraId="79855AFA" w14:textId="77777777" w:rsidR="007968EC" w:rsidRPr="002C0D19" w:rsidRDefault="007968EC" w:rsidP="007968EC">
      <w:pPr>
        <w:ind w:left="708"/>
        <w:rPr>
          <w:rFonts w:ascii="Arial Narrow" w:eastAsia="Calibri" w:hAnsi="Arial Narrow" w:cs="Arial"/>
          <w:lang w:eastAsia="es-CO"/>
        </w:rPr>
      </w:pPr>
    </w:p>
    <w:p w14:paraId="0C0027D4" w14:textId="77777777" w:rsidR="007968EC" w:rsidRPr="002C0D19" w:rsidRDefault="007968EC" w:rsidP="00DA7472">
      <w:pPr>
        <w:numPr>
          <w:ilvl w:val="3"/>
          <w:numId w:val="287"/>
        </w:numPr>
        <w:autoSpaceDE w:val="0"/>
        <w:autoSpaceDN w:val="0"/>
        <w:adjustRightInd w:val="0"/>
        <w:ind w:left="284" w:hanging="284"/>
        <w:jc w:val="both"/>
        <w:rPr>
          <w:rFonts w:ascii="Arial Narrow" w:eastAsia="Calibri" w:hAnsi="Arial Narrow" w:cs="Arial"/>
          <w:b/>
          <w:lang w:eastAsia="es-CO"/>
        </w:rPr>
      </w:pPr>
      <w:r w:rsidRPr="002C0D19">
        <w:rPr>
          <w:rFonts w:ascii="Arial Narrow" w:eastAsia="Calibri" w:hAnsi="Arial Narrow" w:cs="Arial"/>
          <w:b/>
          <w:lang w:eastAsia="es-CO"/>
        </w:rPr>
        <w:t>Concepto:</w:t>
      </w:r>
    </w:p>
    <w:p w14:paraId="7D049EFE" w14:textId="77777777" w:rsidR="007968EC" w:rsidRPr="002C0D19" w:rsidRDefault="007968EC" w:rsidP="007968EC">
      <w:pPr>
        <w:autoSpaceDE w:val="0"/>
        <w:autoSpaceDN w:val="0"/>
        <w:adjustRightInd w:val="0"/>
        <w:jc w:val="both"/>
        <w:rPr>
          <w:rFonts w:ascii="Arial Narrow" w:eastAsia="Calibri" w:hAnsi="Arial Narrow" w:cs="Arial"/>
          <w:lang w:val="es-ES" w:eastAsia="es-ES"/>
        </w:rPr>
      </w:pPr>
    </w:p>
    <w:p w14:paraId="35547235" w14:textId="77777777" w:rsidR="007968EC" w:rsidRPr="002C0D19" w:rsidRDefault="007968EC" w:rsidP="007968EC">
      <w:pPr>
        <w:autoSpaceDE w:val="0"/>
        <w:autoSpaceDN w:val="0"/>
        <w:adjustRightInd w:val="0"/>
        <w:jc w:val="both"/>
        <w:rPr>
          <w:rFonts w:ascii="Arial Narrow" w:eastAsia="Calibri" w:hAnsi="Arial Narrow" w:cs="Arial"/>
          <w:lang w:eastAsia="es-ES"/>
        </w:rPr>
      </w:pPr>
      <w:r w:rsidRPr="002C0D19">
        <w:rPr>
          <w:rFonts w:ascii="Arial Narrow" w:eastAsia="Calibri" w:hAnsi="Arial Narrow" w:cs="Arial"/>
          <w:b/>
          <w:lang w:eastAsia="es-ES"/>
        </w:rPr>
        <w:t>Devolución de sumas de efectivo recibidas por la Cámara por concepto del importe efectivo:</w:t>
      </w:r>
      <w:r w:rsidRPr="002C0D19">
        <w:rPr>
          <w:rFonts w:ascii="Arial Narrow" w:eastAsia="Calibri" w:hAnsi="Arial Narrow" w:cs="Arial"/>
          <w:lang w:eastAsia="es-ES"/>
        </w:rPr>
        <w:t xml:space="preserve"> De conformidad con lo previsto en el artículo 2.6.12. del Reglamento de Funcionamiento, la Liquidación, incorporará el valor de las sumas de efectivo recibido por la Cámara de los Miembros Liquidadores por cuenta de los titulares de Cuenta que, con derecho a recibir los Activos objeto de la operación inicial, hayan entregado dichas sumas en cumplimiento de la Liquidación al Vencimiento por Entrega. </w:t>
      </w:r>
    </w:p>
    <w:p w14:paraId="03AE1F85" w14:textId="77777777" w:rsidR="007968EC" w:rsidRPr="002C0D19" w:rsidRDefault="007968EC" w:rsidP="007968EC">
      <w:pPr>
        <w:autoSpaceDE w:val="0"/>
        <w:autoSpaceDN w:val="0"/>
        <w:adjustRightInd w:val="0"/>
        <w:ind w:left="851"/>
        <w:jc w:val="both"/>
        <w:rPr>
          <w:rFonts w:ascii="Arial Narrow" w:eastAsia="Calibri" w:hAnsi="Arial Narrow" w:cs="Arial"/>
          <w:lang w:eastAsia="es-ES"/>
        </w:rPr>
      </w:pPr>
    </w:p>
    <w:p w14:paraId="49FBD0A3" w14:textId="77777777" w:rsidR="007968EC" w:rsidRPr="002C0D19" w:rsidRDefault="007968EC" w:rsidP="007968EC">
      <w:pPr>
        <w:autoSpaceDE w:val="0"/>
        <w:autoSpaceDN w:val="0"/>
        <w:adjustRightInd w:val="0"/>
        <w:jc w:val="both"/>
        <w:rPr>
          <w:rFonts w:ascii="Arial Narrow" w:eastAsia="Calibri" w:hAnsi="Arial Narrow" w:cs="Arial"/>
          <w:lang w:eastAsia="es-ES"/>
        </w:rPr>
      </w:pPr>
      <w:r w:rsidRPr="002C0D19">
        <w:rPr>
          <w:rFonts w:ascii="Arial Narrow" w:eastAsia="Calibri" w:hAnsi="Arial Narrow" w:cs="Arial"/>
          <w:lang w:eastAsia="es-ES"/>
        </w:rPr>
        <w:t>Estas sumas serán entregadas a través del Miembro Liquidador respectivo al titular Adquirente de la Operación Repo y corresponderá al importe efectivo entregado por el Miembro o el Agente en el cumplimiento del flujo inicial o de salida de la Operación Repo.</w:t>
      </w:r>
    </w:p>
    <w:p w14:paraId="5C7FD435" w14:textId="77777777" w:rsidR="007968EC" w:rsidRPr="00545AB6" w:rsidRDefault="007968EC" w:rsidP="007968EC">
      <w:pPr>
        <w:jc w:val="both"/>
        <w:rPr>
          <w:rFonts w:ascii="Arial Narrow" w:eastAsia="Calibri" w:hAnsi="Arial Narrow"/>
          <w:bCs/>
          <w:color w:val="000000" w:themeColor="text1"/>
        </w:rPr>
      </w:pPr>
    </w:p>
    <w:p w14:paraId="2EFCCAAC" w14:textId="77777777" w:rsidR="007968EC" w:rsidRPr="002C0D19" w:rsidRDefault="007968EC" w:rsidP="007968EC">
      <w:pPr>
        <w:pStyle w:val="ARTICULO0"/>
      </w:pPr>
      <w:bookmarkStart w:id="6148" w:name="_Toc490066716"/>
      <w:bookmarkStart w:id="6149" w:name="_Toc31716388"/>
      <w:r w:rsidRPr="002C0D19">
        <w:t>Artículo 4.4.3.12. Procedimiento de Cálculo de la Liquidación por Diferencias por Retardo en la Entrega LDRE.</w:t>
      </w:r>
      <w:bookmarkEnd w:id="6148"/>
      <w:bookmarkEnd w:id="6149"/>
    </w:p>
    <w:p w14:paraId="32F80506" w14:textId="77777777" w:rsidR="007968EC" w:rsidRPr="002C0D19" w:rsidRDefault="007968EC" w:rsidP="007968EC">
      <w:pPr>
        <w:jc w:val="both"/>
        <w:rPr>
          <w:rFonts w:ascii="Arial Narrow" w:eastAsia="Calibri" w:hAnsi="Arial Narrow" w:cs="Arial"/>
          <w:lang w:eastAsia="es-ES"/>
        </w:rPr>
      </w:pPr>
    </w:p>
    <w:p w14:paraId="6FE5772A" w14:textId="77777777" w:rsidR="007968EC" w:rsidRPr="002C0D19" w:rsidRDefault="007968EC" w:rsidP="007968EC">
      <w:pPr>
        <w:jc w:val="both"/>
        <w:rPr>
          <w:rFonts w:ascii="Arial Narrow" w:eastAsia="Calibri" w:hAnsi="Arial Narrow" w:cs="Arial"/>
          <w:lang w:eastAsia="es-ES"/>
        </w:rPr>
      </w:pPr>
      <w:r w:rsidRPr="002C0D19">
        <w:rPr>
          <w:rFonts w:ascii="Arial Narrow" w:eastAsia="Calibri" w:hAnsi="Arial Narrow" w:cs="Arial"/>
          <w:lang w:eastAsia="es-ES"/>
        </w:rPr>
        <w:t>El procedimiento de cálculo de la Liquidación por Diferencias por Retardo en la Entrega se realizará de acuerdo con la siguiente fórmula:</w:t>
      </w:r>
    </w:p>
    <w:p w14:paraId="51198B1B" w14:textId="77777777" w:rsidR="007968EC" w:rsidRPr="002C0D19" w:rsidRDefault="007968EC" w:rsidP="007968EC">
      <w:pPr>
        <w:jc w:val="both"/>
        <w:rPr>
          <w:rFonts w:ascii="Arial Narrow" w:eastAsia="Calibri" w:hAnsi="Arial Narrow" w:cs="Arial"/>
          <w:lang w:eastAsia="es-ES"/>
        </w:rPr>
      </w:pPr>
    </w:p>
    <w:p w14:paraId="5BFA6698" w14:textId="77777777" w:rsidR="007968EC" w:rsidRPr="002C0D19" w:rsidRDefault="007968EC" w:rsidP="007968EC">
      <w:pPr>
        <w:autoSpaceDE w:val="0"/>
        <w:autoSpaceDN w:val="0"/>
        <w:adjustRightInd w:val="0"/>
        <w:jc w:val="both"/>
        <w:rPr>
          <w:rFonts w:ascii="Arial Narrow" w:eastAsia="Calibri" w:hAnsi="Arial Narrow" w:cs="Arial"/>
          <w:lang w:eastAsia="es-ES"/>
        </w:rPr>
      </w:pPr>
      <w:r w:rsidRPr="002C0D19">
        <w:rPr>
          <w:rFonts w:ascii="Arial Narrow" w:eastAsia="Calibri" w:hAnsi="Arial Narrow" w:cs="Arial"/>
          <w:lang w:eastAsia="es-ES"/>
        </w:rPr>
        <w:t>Cálculo del importe de la Liquidación por Diferencias por Retardo en la Entrega:</w:t>
      </w:r>
    </w:p>
    <w:p w14:paraId="303EC29E" w14:textId="77777777" w:rsidR="007968EC" w:rsidRPr="002C0D19" w:rsidRDefault="007968EC" w:rsidP="007968EC">
      <w:pPr>
        <w:autoSpaceDE w:val="0"/>
        <w:autoSpaceDN w:val="0"/>
        <w:adjustRightInd w:val="0"/>
        <w:jc w:val="both"/>
        <w:rPr>
          <w:rFonts w:ascii="Arial Narrow" w:eastAsia="Calibri" w:hAnsi="Arial Narrow" w:cs="Arial"/>
          <w:lang w:eastAsia="es-ES"/>
        </w:rPr>
      </w:pPr>
    </w:p>
    <w:p w14:paraId="72BCE25D" w14:textId="77777777" w:rsidR="007968EC" w:rsidRPr="002C0D19" w:rsidRDefault="007968EC" w:rsidP="007968EC">
      <w:pPr>
        <w:autoSpaceDE w:val="0"/>
        <w:autoSpaceDN w:val="0"/>
        <w:adjustRightInd w:val="0"/>
        <w:jc w:val="both"/>
        <w:rPr>
          <w:rFonts w:ascii="Arial Narrow" w:eastAsia="Calibri" w:hAnsi="Arial Narrow" w:cs="Arial"/>
          <w:lang w:eastAsia="es-ES"/>
        </w:rPr>
      </w:pPr>
    </w:p>
    <w:tbl>
      <w:tblPr>
        <w:tblpPr w:leftFromText="141" w:rightFromText="141" w:vertAnchor="text" w:horzAnchor="margin" w:tblpXSpec="center" w:tblpY="-180"/>
        <w:tblOverlap w:val="never"/>
        <w:tblW w:w="5954" w:type="dxa"/>
        <w:tblCellMar>
          <w:left w:w="70" w:type="dxa"/>
          <w:right w:w="70" w:type="dxa"/>
        </w:tblCellMar>
        <w:tblLook w:val="04A0" w:firstRow="1" w:lastRow="0" w:firstColumn="1" w:lastColumn="0" w:noHBand="0" w:noVBand="1"/>
      </w:tblPr>
      <w:tblGrid>
        <w:gridCol w:w="720"/>
        <w:gridCol w:w="698"/>
        <w:gridCol w:w="4536"/>
      </w:tblGrid>
      <w:tr w:rsidR="007968EC" w:rsidRPr="002C0D19" w14:paraId="07F41442" w14:textId="77777777" w:rsidTr="007968EC">
        <w:trPr>
          <w:trHeight w:val="787"/>
        </w:trPr>
        <w:tc>
          <w:tcPr>
            <w:tcW w:w="720" w:type="dxa"/>
            <w:tcBorders>
              <w:top w:val="nil"/>
              <w:left w:val="nil"/>
              <w:bottom w:val="nil"/>
              <w:right w:val="nil"/>
            </w:tcBorders>
            <w:shd w:val="clear" w:color="FFFFFF" w:fill="auto"/>
            <w:noWrap/>
            <w:vAlign w:val="center"/>
            <w:hideMark/>
          </w:tcPr>
          <w:p w14:paraId="5345081D" w14:textId="77777777" w:rsidR="007968EC" w:rsidRPr="002C0D19" w:rsidRDefault="007968EC" w:rsidP="007968EC">
            <w:pPr>
              <w:ind w:left="-496" w:firstLine="496"/>
              <w:jc w:val="center"/>
              <w:rPr>
                <w:rFonts w:ascii="Arial Narrow" w:eastAsia="Calibri" w:hAnsi="Arial Narrow" w:cs="Arial"/>
                <w:i/>
                <w:lang w:eastAsia="es-ES"/>
              </w:rPr>
            </w:pPr>
            <w:r w:rsidRPr="002C0D19">
              <w:rPr>
                <w:rFonts w:ascii="Arial Narrow" w:eastAsia="Calibri" w:hAnsi="Arial Narrow" w:cs="Arial"/>
                <w:i/>
                <w:lang w:eastAsia="es-ES"/>
              </w:rPr>
              <w:t>LDRE</w:t>
            </w:r>
          </w:p>
        </w:tc>
        <w:tc>
          <w:tcPr>
            <w:tcW w:w="698" w:type="dxa"/>
            <w:tcBorders>
              <w:top w:val="nil"/>
              <w:left w:val="nil"/>
              <w:bottom w:val="nil"/>
              <w:right w:val="nil"/>
            </w:tcBorders>
            <w:shd w:val="clear" w:color="FFFFFF" w:fill="auto"/>
            <w:noWrap/>
            <w:vAlign w:val="center"/>
            <w:hideMark/>
          </w:tcPr>
          <w:p w14:paraId="1A5523F8" w14:textId="77777777" w:rsidR="007968EC" w:rsidRPr="002C0D19" w:rsidRDefault="007968EC" w:rsidP="007968EC">
            <w:pPr>
              <w:ind w:left="-496" w:firstLine="496"/>
              <w:jc w:val="center"/>
              <w:rPr>
                <w:rFonts w:ascii="Arial Narrow" w:eastAsia="Calibri" w:hAnsi="Arial Narrow" w:cs="Arial"/>
                <w:b/>
                <w:i/>
                <w:lang w:eastAsia="es-ES"/>
              </w:rPr>
            </w:pPr>
            <w:r w:rsidRPr="002C0D19">
              <w:rPr>
                <w:rFonts w:ascii="Arial Narrow" w:eastAsia="Calibri" w:hAnsi="Arial Narrow" w:cs="Arial"/>
                <w:i/>
                <w:lang w:eastAsia="es-ES"/>
              </w:rPr>
              <w:t>=</w:t>
            </w:r>
          </w:p>
        </w:tc>
        <w:tc>
          <w:tcPr>
            <w:tcW w:w="4536" w:type="dxa"/>
            <w:tcBorders>
              <w:top w:val="nil"/>
              <w:left w:val="nil"/>
              <w:bottom w:val="nil"/>
              <w:right w:val="nil"/>
            </w:tcBorders>
            <w:shd w:val="clear" w:color="FFFFFF" w:fill="auto"/>
            <w:vAlign w:val="center"/>
            <w:hideMark/>
          </w:tcPr>
          <w:p w14:paraId="4F5195FE" w14:textId="77777777" w:rsidR="007968EC" w:rsidRPr="002C0D19" w:rsidRDefault="007968EC" w:rsidP="007968EC">
            <w:pPr>
              <w:ind w:left="-212" w:firstLine="496"/>
              <w:jc w:val="center"/>
              <w:rPr>
                <w:rFonts w:ascii="Arial Narrow" w:eastAsia="Calibri" w:hAnsi="Arial Narrow" w:cs="Arial"/>
                <w:i/>
                <w:lang w:eastAsia="es-ES"/>
              </w:rPr>
            </w:pPr>
            <w:r w:rsidRPr="002C0D19">
              <w:rPr>
                <w:rFonts w:ascii="Arial Narrow" w:eastAsia="Calibri" w:hAnsi="Arial Narrow" w:cs="Arial"/>
                <w:lang w:eastAsia="es-ES"/>
              </w:rPr>
              <w:t>Devolución de sumas de efectivo recibidas por la Cámara por concepto del importe efectivo</w:t>
            </w:r>
          </w:p>
        </w:tc>
      </w:tr>
    </w:tbl>
    <w:p w14:paraId="39B9D96E" w14:textId="77777777" w:rsidR="007968EC" w:rsidRPr="002C0D19" w:rsidRDefault="007968EC" w:rsidP="007968EC">
      <w:pPr>
        <w:autoSpaceDE w:val="0"/>
        <w:autoSpaceDN w:val="0"/>
        <w:adjustRightInd w:val="0"/>
        <w:ind w:left="3600"/>
        <w:jc w:val="both"/>
        <w:rPr>
          <w:rFonts w:ascii="Arial Narrow" w:eastAsia="Calibri" w:hAnsi="Arial Narrow" w:cs="Arial"/>
          <w:lang w:eastAsia="es-CO"/>
        </w:rPr>
      </w:pPr>
    </w:p>
    <w:p w14:paraId="29D7264E" w14:textId="77777777" w:rsidR="007968EC" w:rsidRPr="002C0D19" w:rsidRDefault="007968EC" w:rsidP="007968EC">
      <w:pPr>
        <w:autoSpaceDE w:val="0"/>
        <w:autoSpaceDN w:val="0"/>
        <w:adjustRightInd w:val="0"/>
        <w:jc w:val="both"/>
        <w:rPr>
          <w:rFonts w:ascii="Arial Narrow" w:eastAsia="Calibri" w:hAnsi="Arial Narrow" w:cs="Arial"/>
          <w:lang w:val="es-ES" w:eastAsia="es-ES"/>
        </w:rPr>
      </w:pPr>
    </w:p>
    <w:p w14:paraId="3DE553E8" w14:textId="77777777" w:rsidR="007968EC" w:rsidRPr="002C0D19" w:rsidRDefault="007968EC" w:rsidP="007968EC">
      <w:pPr>
        <w:autoSpaceDE w:val="0"/>
        <w:autoSpaceDN w:val="0"/>
        <w:adjustRightInd w:val="0"/>
        <w:jc w:val="both"/>
        <w:rPr>
          <w:rFonts w:ascii="Arial Narrow" w:eastAsia="Calibri" w:hAnsi="Arial Narrow" w:cs="Arial"/>
          <w:lang w:val="es-ES" w:eastAsia="es-ES"/>
        </w:rPr>
      </w:pPr>
    </w:p>
    <w:p w14:paraId="21D0AF65" w14:textId="77777777" w:rsidR="007968EC" w:rsidRPr="002C0D19" w:rsidRDefault="007968EC" w:rsidP="007968EC">
      <w:pPr>
        <w:autoSpaceDE w:val="0"/>
        <w:autoSpaceDN w:val="0"/>
        <w:adjustRightInd w:val="0"/>
        <w:jc w:val="both"/>
        <w:rPr>
          <w:rFonts w:ascii="Arial Narrow" w:eastAsia="Calibri" w:hAnsi="Arial Narrow" w:cs="Arial"/>
          <w:lang w:val="es-ES" w:eastAsia="es-ES"/>
        </w:rPr>
      </w:pPr>
    </w:p>
    <w:p w14:paraId="5DE56D70" w14:textId="77777777" w:rsidR="007968EC" w:rsidRPr="002C0D19" w:rsidRDefault="007968EC" w:rsidP="007968EC">
      <w:pPr>
        <w:autoSpaceDE w:val="0"/>
        <w:autoSpaceDN w:val="0"/>
        <w:adjustRightInd w:val="0"/>
        <w:jc w:val="both"/>
        <w:rPr>
          <w:rFonts w:ascii="Arial Narrow" w:eastAsia="Calibri" w:hAnsi="Arial Narrow" w:cs="Arial"/>
          <w:lang w:val="es-ES" w:eastAsia="es-ES"/>
        </w:rPr>
      </w:pPr>
      <w:r w:rsidRPr="002C0D19">
        <w:rPr>
          <w:rFonts w:ascii="Arial Narrow" w:eastAsia="Calibri" w:hAnsi="Arial Narrow" w:cs="Arial"/>
          <w:lang w:val="es-ES" w:eastAsia="es-ES"/>
        </w:rPr>
        <w:t>:</w:t>
      </w:r>
    </w:p>
    <w:p w14:paraId="45A440EC" w14:textId="77777777" w:rsidR="007968EC" w:rsidRPr="002C0D19" w:rsidRDefault="007968EC" w:rsidP="007968EC">
      <w:pPr>
        <w:autoSpaceDE w:val="0"/>
        <w:autoSpaceDN w:val="0"/>
        <w:adjustRightInd w:val="0"/>
        <w:jc w:val="both"/>
        <w:rPr>
          <w:rFonts w:ascii="Arial Narrow" w:eastAsia="Calibri" w:hAnsi="Arial Narrow" w:cs="Arial"/>
          <w:lang w:val="es-ES" w:eastAsia="es-ES"/>
        </w:rPr>
      </w:pPr>
    </w:p>
    <w:tbl>
      <w:tblPr>
        <w:tblpPr w:leftFromText="141" w:rightFromText="141" w:vertAnchor="text" w:horzAnchor="margin" w:tblpXSpec="center" w:tblpY="-180"/>
        <w:tblOverlap w:val="never"/>
        <w:tblW w:w="8867" w:type="dxa"/>
        <w:tblCellMar>
          <w:left w:w="70" w:type="dxa"/>
          <w:right w:w="70" w:type="dxa"/>
        </w:tblCellMar>
        <w:tblLook w:val="04A0" w:firstRow="1" w:lastRow="0" w:firstColumn="1" w:lastColumn="0" w:noHBand="0" w:noVBand="1"/>
      </w:tblPr>
      <w:tblGrid>
        <w:gridCol w:w="5160"/>
        <w:gridCol w:w="320"/>
        <w:gridCol w:w="3387"/>
      </w:tblGrid>
      <w:tr w:rsidR="007968EC" w:rsidRPr="002C0D19" w14:paraId="48F8CB7B" w14:textId="77777777" w:rsidTr="007968EC">
        <w:trPr>
          <w:trHeight w:val="631"/>
        </w:trPr>
        <w:tc>
          <w:tcPr>
            <w:tcW w:w="5160" w:type="dxa"/>
            <w:tcBorders>
              <w:top w:val="nil"/>
              <w:left w:val="nil"/>
              <w:bottom w:val="nil"/>
              <w:right w:val="nil"/>
            </w:tcBorders>
            <w:shd w:val="clear" w:color="FFFFFF" w:fill="auto"/>
            <w:noWrap/>
            <w:vAlign w:val="center"/>
            <w:hideMark/>
          </w:tcPr>
          <w:p w14:paraId="495B7267" w14:textId="77777777" w:rsidR="007968EC" w:rsidRPr="002C0D19" w:rsidRDefault="007968EC" w:rsidP="007968EC">
            <w:pPr>
              <w:ind w:left="-496" w:firstLine="496"/>
              <w:jc w:val="center"/>
              <w:rPr>
                <w:rFonts w:ascii="Arial Narrow" w:eastAsia="Calibri" w:hAnsi="Arial Narrow" w:cs="Arial"/>
                <w:i/>
                <w:lang w:eastAsia="es-ES"/>
              </w:rPr>
            </w:pPr>
            <w:r w:rsidRPr="002C0D19">
              <w:rPr>
                <w:rFonts w:ascii="Arial Narrow" w:eastAsia="Calibri" w:hAnsi="Arial Narrow" w:cs="Arial"/>
                <w:i/>
                <w:lang w:eastAsia="es-ES"/>
              </w:rPr>
              <w:lastRenderedPageBreak/>
              <w:t xml:space="preserve"> Devolución de sumas de efectivo recibidas por la Cámara por concepto del Importe Efectivo</w:t>
            </w:r>
          </w:p>
        </w:tc>
        <w:tc>
          <w:tcPr>
            <w:tcW w:w="320" w:type="dxa"/>
            <w:tcBorders>
              <w:top w:val="nil"/>
              <w:left w:val="nil"/>
              <w:bottom w:val="nil"/>
              <w:right w:val="nil"/>
            </w:tcBorders>
            <w:shd w:val="clear" w:color="FFFFFF" w:fill="auto"/>
            <w:noWrap/>
            <w:vAlign w:val="center"/>
            <w:hideMark/>
          </w:tcPr>
          <w:p w14:paraId="5440BCFF" w14:textId="77777777" w:rsidR="007968EC" w:rsidRPr="002C0D19" w:rsidRDefault="007968EC" w:rsidP="007968EC">
            <w:pPr>
              <w:ind w:left="-496" w:firstLine="496"/>
              <w:jc w:val="center"/>
              <w:rPr>
                <w:rFonts w:ascii="Arial Narrow" w:eastAsia="Calibri" w:hAnsi="Arial Narrow" w:cs="Arial"/>
                <w:b/>
                <w:i/>
                <w:lang w:eastAsia="es-ES"/>
              </w:rPr>
            </w:pPr>
            <w:r w:rsidRPr="002C0D19">
              <w:rPr>
                <w:rFonts w:ascii="Arial Narrow" w:eastAsia="Calibri" w:hAnsi="Arial Narrow" w:cs="Arial"/>
                <w:i/>
                <w:lang w:eastAsia="es-ES"/>
              </w:rPr>
              <w:t>=</w:t>
            </w:r>
          </w:p>
        </w:tc>
        <w:tc>
          <w:tcPr>
            <w:tcW w:w="3387" w:type="dxa"/>
            <w:tcBorders>
              <w:top w:val="nil"/>
              <w:left w:val="nil"/>
              <w:bottom w:val="nil"/>
              <w:right w:val="nil"/>
            </w:tcBorders>
            <w:shd w:val="clear" w:color="FFFFFF" w:fill="auto"/>
            <w:vAlign w:val="center"/>
            <w:hideMark/>
          </w:tcPr>
          <w:p w14:paraId="529F6BD6" w14:textId="77777777" w:rsidR="007968EC" w:rsidRPr="002C0D19" w:rsidRDefault="007968EC" w:rsidP="007968EC">
            <w:pPr>
              <w:ind w:left="-212" w:firstLine="496"/>
              <w:jc w:val="center"/>
              <w:rPr>
                <w:rFonts w:ascii="Arial Narrow" w:eastAsia="Calibri" w:hAnsi="Arial Narrow" w:cs="Arial"/>
                <w:i/>
                <w:lang w:eastAsia="es-ES"/>
              </w:rPr>
            </w:pPr>
            <w:r w:rsidRPr="002C0D19">
              <w:rPr>
                <w:rFonts w:ascii="Arial Narrow" w:eastAsia="Calibri" w:hAnsi="Arial Narrow" w:cs="Arial"/>
                <w:lang w:eastAsia="es-ES"/>
              </w:rPr>
              <w:t>Importe efectivo del flujo inicial o de salida da la Operación Repo</w:t>
            </w:r>
            <w:r w:rsidRPr="002C0D19">
              <w:rPr>
                <w:rFonts w:ascii="Arial Narrow" w:eastAsia="Calibri" w:hAnsi="Arial Narrow" w:cs="Arial"/>
                <w:i/>
                <w:lang w:eastAsia="es-ES"/>
              </w:rPr>
              <w:t xml:space="preserve"> </w:t>
            </w:r>
          </w:p>
        </w:tc>
      </w:tr>
    </w:tbl>
    <w:p w14:paraId="0BA30641" w14:textId="77777777" w:rsidR="007968EC" w:rsidRPr="00545AB6" w:rsidRDefault="007968EC" w:rsidP="007968EC">
      <w:pPr>
        <w:jc w:val="both"/>
        <w:rPr>
          <w:rFonts w:ascii="Arial Narrow" w:eastAsia="Calibri" w:hAnsi="Arial Narrow"/>
          <w:bCs/>
          <w:color w:val="000000" w:themeColor="text1"/>
        </w:rPr>
      </w:pPr>
      <w:bookmarkStart w:id="6150" w:name="_Toc490066717"/>
    </w:p>
    <w:p w14:paraId="0833938E" w14:textId="77777777" w:rsidR="007968EC" w:rsidRPr="002C0D19" w:rsidRDefault="007968EC" w:rsidP="007968EC">
      <w:pPr>
        <w:pStyle w:val="ARTICULO0"/>
        <w:rPr>
          <w:rFonts w:eastAsia="Calibri"/>
        </w:rPr>
      </w:pPr>
      <w:bookmarkStart w:id="6151" w:name="_Toc31716389"/>
      <w:r w:rsidRPr="002C0D19">
        <w:rPr>
          <w:rFonts w:eastAsia="Calibri"/>
        </w:rPr>
        <w:t>Artículo 4.4.3.13. Etapas y pagos de la Liquidación por Diferencias por Retardo en la Entrega LDRE.</w:t>
      </w:r>
      <w:bookmarkEnd w:id="6150"/>
      <w:bookmarkEnd w:id="6151"/>
    </w:p>
    <w:p w14:paraId="3DB05AF2" w14:textId="77777777" w:rsidR="007968EC" w:rsidRPr="002C0D19" w:rsidRDefault="007968EC" w:rsidP="007968EC">
      <w:pPr>
        <w:contextualSpacing/>
        <w:jc w:val="both"/>
        <w:rPr>
          <w:rFonts w:ascii="Arial Narrow" w:eastAsia="Calibri" w:hAnsi="Arial Narrow" w:cs="Arial"/>
          <w:lang w:val="es-MX" w:eastAsia="es-ES"/>
        </w:rPr>
      </w:pPr>
    </w:p>
    <w:p w14:paraId="319DBDC6" w14:textId="77777777" w:rsidR="007968EC" w:rsidRPr="002C0D19" w:rsidRDefault="007968EC" w:rsidP="007968EC">
      <w:pPr>
        <w:contextualSpacing/>
        <w:jc w:val="both"/>
        <w:rPr>
          <w:rFonts w:ascii="Arial Narrow" w:eastAsia="Calibri" w:hAnsi="Arial Narrow" w:cs="Arial"/>
          <w:lang w:val="es-MX" w:eastAsia="es-ES"/>
        </w:rPr>
      </w:pPr>
      <w:r w:rsidRPr="002C0D19">
        <w:rPr>
          <w:rFonts w:ascii="Arial Narrow" w:eastAsia="Calibri" w:hAnsi="Arial Narrow" w:cs="Arial"/>
          <w:u w:val="single"/>
          <w:lang w:val="es-MX" w:eastAsia="es-ES"/>
        </w:rPr>
        <w:t>Etapa 1</w:t>
      </w:r>
      <w:r w:rsidRPr="002C0D19">
        <w:rPr>
          <w:rFonts w:ascii="Arial Narrow" w:eastAsia="Calibri" w:hAnsi="Arial Narrow" w:cs="Arial"/>
          <w:lang w:val="es-MX" w:eastAsia="es-ES"/>
        </w:rPr>
        <w:t>: Transferencias de efectivo de la Cámara hacia los Miembros Liquidadores.</w:t>
      </w:r>
    </w:p>
    <w:p w14:paraId="0B860FD4" w14:textId="77777777" w:rsidR="007968EC" w:rsidRPr="002C0D19" w:rsidRDefault="007968EC" w:rsidP="007968EC">
      <w:pPr>
        <w:jc w:val="both"/>
        <w:rPr>
          <w:rFonts w:ascii="Arial Narrow" w:eastAsia="Calibri" w:hAnsi="Arial Narrow" w:cs="Arial"/>
          <w:lang w:val="es-MX" w:eastAsia="es-ES"/>
        </w:rPr>
      </w:pPr>
    </w:p>
    <w:p w14:paraId="3119E2A7" w14:textId="77777777" w:rsidR="007968EC" w:rsidRPr="002C0D19" w:rsidRDefault="007968EC" w:rsidP="007968EC">
      <w:pPr>
        <w:jc w:val="both"/>
        <w:rPr>
          <w:rFonts w:ascii="Arial Narrow" w:eastAsia="Calibri" w:hAnsi="Arial Narrow" w:cs="Arial"/>
          <w:lang w:val="es-MX" w:eastAsia="es-ES"/>
        </w:rPr>
      </w:pPr>
      <w:r w:rsidRPr="002C0D19">
        <w:rPr>
          <w:rFonts w:ascii="Arial Narrow" w:eastAsia="Calibri" w:hAnsi="Arial Narrow" w:cs="Arial"/>
          <w:lang w:val="es-MX" w:eastAsia="es-ES"/>
        </w:rPr>
        <w:t>Para el cumplimiento de la Liquidación por Diferencias por Retardo en la Entrega, la Cámara de conformidad con los procedimientos del Sistema de Pagos del Banco de la República, con base en la información suministrada en el cálculo de la LDRE, efectuará una transferencia de efectivo a la cuenta del Miembro Liquidador al que corresponda, por el valor determinado en la Liquidación por Diferencias por Retardo  en la Entrega utilizando el concepto “198 – CRCC – Liquidación al Vencimiento de Contratos – Posición Crédito” definido en los conceptos establecidos en el Sistema de Pagos del Banco de la República.</w:t>
      </w:r>
    </w:p>
    <w:p w14:paraId="4918E1B5" w14:textId="77777777" w:rsidR="007968EC" w:rsidRPr="00545AB6" w:rsidRDefault="007968EC" w:rsidP="007968EC">
      <w:pPr>
        <w:jc w:val="both"/>
        <w:rPr>
          <w:rFonts w:ascii="Arial Narrow" w:eastAsia="Calibri" w:hAnsi="Arial Narrow"/>
          <w:bCs/>
          <w:color w:val="000000" w:themeColor="text1"/>
        </w:rPr>
      </w:pPr>
    </w:p>
    <w:p w14:paraId="5A97A9B4" w14:textId="77777777" w:rsidR="007968EC" w:rsidRPr="002C0D19" w:rsidRDefault="007968EC" w:rsidP="007968EC">
      <w:pPr>
        <w:jc w:val="both"/>
        <w:rPr>
          <w:rFonts w:ascii="Arial Narrow" w:eastAsia="Calibri" w:hAnsi="Arial Narrow" w:cs="Arial"/>
          <w:color w:val="000000"/>
          <w:lang w:val="es-MX" w:eastAsia="es-ES"/>
        </w:rPr>
      </w:pPr>
      <w:r w:rsidRPr="002C0D19">
        <w:rPr>
          <w:rFonts w:ascii="Arial Narrow" w:eastAsia="Calibri" w:hAnsi="Arial Narrow" w:cs="Arial"/>
          <w:u w:val="single"/>
          <w:lang w:val="es-MX" w:eastAsia="es-ES"/>
        </w:rPr>
        <w:t>Etapa 2</w:t>
      </w:r>
      <w:r w:rsidRPr="002C0D19">
        <w:rPr>
          <w:rFonts w:ascii="Arial Narrow" w:eastAsia="Calibri" w:hAnsi="Arial Narrow" w:cs="Arial"/>
          <w:lang w:val="es-MX" w:eastAsia="es-ES"/>
        </w:rPr>
        <w:t xml:space="preserve">: Una vez concluida la sesión de Liquidación por Diferencias por Retardo en la Entrega, los Miembros Liquidadores tienen la obligación de efectuar el proceso de entrega y cobro de efectivo a los Terceros Identificados y a los </w:t>
      </w:r>
      <w:r w:rsidRPr="002C0D19">
        <w:rPr>
          <w:rFonts w:ascii="Arial Narrow" w:eastAsia="Calibri" w:hAnsi="Arial Narrow" w:cs="Arial"/>
          <w:color w:val="000000"/>
          <w:lang w:val="es-MX" w:eastAsia="es-ES"/>
        </w:rPr>
        <w:t>Miembros no Liquidadores, correspondiente a la Liquidación por Diferencias por Retardo en la Entrega de acuerdo con el artículo 2.6.12. del Reglamento de Funcionamiento.</w:t>
      </w:r>
    </w:p>
    <w:p w14:paraId="07564D23" w14:textId="77777777" w:rsidR="007968EC" w:rsidRPr="002C0D19" w:rsidRDefault="007968EC" w:rsidP="007968EC">
      <w:pPr>
        <w:jc w:val="both"/>
        <w:rPr>
          <w:rFonts w:ascii="Arial Narrow" w:hAnsi="Arial Narrow" w:cs="Arial"/>
          <w:color w:val="000000"/>
          <w:lang w:val="es-MX" w:eastAsia="es-ES"/>
        </w:rPr>
      </w:pPr>
    </w:p>
    <w:p w14:paraId="14D9FD07" w14:textId="77777777" w:rsidR="007968EC" w:rsidRDefault="007968EC" w:rsidP="007968EC">
      <w:pPr>
        <w:jc w:val="center"/>
        <w:outlineLvl w:val="1"/>
        <w:rPr>
          <w:rFonts w:ascii="Arial Narrow" w:eastAsia="Calibri" w:hAnsi="Arial Narrow"/>
          <w:b/>
        </w:rPr>
      </w:pPr>
      <w:bookmarkStart w:id="6152" w:name="_Toc490066718"/>
    </w:p>
    <w:p w14:paraId="09CCA9B2" w14:textId="77777777" w:rsidR="007968EC" w:rsidRPr="002C0D19" w:rsidRDefault="007968EC" w:rsidP="007968EC">
      <w:pPr>
        <w:pStyle w:val="TTULO"/>
        <w:rPr>
          <w:rFonts w:eastAsia="Calibri"/>
        </w:rPr>
      </w:pPr>
      <w:bookmarkStart w:id="6153" w:name="_Toc31716390"/>
      <w:r w:rsidRPr="002C0D19">
        <w:rPr>
          <w:rFonts w:eastAsia="Calibri"/>
        </w:rPr>
        <w:t>CAPÍTULO CUARTO</w:t>
      </w:r>
      <w:bookmarkEnd w:id="6152"/>
      <w:bookmarkEnd w:id="6153"/>
    </w:p>
    <w:p w14:paraId="0B96D554" w14:textId="77777777" w:rsidR="007968EC" w:rsidRPr="002C0D19" w:rsidRDefault="007968EC" w:rsidP="007968EC">
      <w:pPr>
        <w:pStyle w:val="TTULO"/>
        <w:rPr>
          <w:rFonts w:eastAsia="Calibri"/>
        </w:rPr>
      </w:pPr>
    </w:p>
    <w:p w14:paraId="3482ABD1" w14:textId="77777777" w:rsidR="007968EC" w:rsidRPr="002C0D19" w:rsidRDefault="007968EC" w:rsidP="007968EC">
      <w:pPr>
        <w:pStyle w:val="TTULO"/>
        <w:rPr>
          <w:rFonts w:eastAsia="Calibri"/>
        </w:rPr>
      </w:pPr>
      <w:bookmarkStart w:id="6154" w:name="_Toc490066719"/>
      <w:bookmarkStart w:id="6155" w:name="_Toc31716391"/>
      <w:r w:rsidRPr="002C0D19">
        <w:rPr>
          <w:rFonts w:eastAsia="Calibri"/>
        </w:rPr>
        <w:t>COMPENSACIÓN Y LIQUIDACIÓN ANTICIPADA</w:t>
      </w:r>
      <w:bookmarkEnd w:id="6154"/>
      <w:bookmarkEnd w:id="6155"/>
      <w:r w:rsidRPr="002C0D19">
        <w:rPr>
          <w:rFonts w:eastAsia="Calibri"/>
        </w:rPr>
        <w:t xml:space="preserve"> </w:t>
      </w:r>
    </w:p>
    <w:p w14:paraId="14064287" w14:textId="77777777" w:rsidR="007968EC" w:rsidRPr="002C0D19" w:rsidRDefault="007968EC" w:rsidP="007968EC">
      <w:pPr>
        <w:rPr>
          <w:rFonts w:ascii="Arial Narrow" w:eastAsia="Calibri" w:hAnsi="Arial Narrow" w:cs="Arial"/>
          <w:b/>
        </w:rPr>
      </w:pPr>
    </w:p>
    <w:p w14:paraId="4F32E11A" w14:textId="77777777" w:rsidR="007968EC" w:rsidRPr="002C0D19" w:rsidRDefault="007968EC" w:rsidP="007968EC">
      <w:pPr>
        <w:pStyle w:val="ARTICULO0"/>
      </w:pPr>
      <w:bookmarkStart w:id="6156" w:name="_Toc31716392"/>
      <w:r w:rsidRPr="002C0D19">
        <w:t>Artículo 4.4.4.1. Procedimiento para la Compensación y Liquidación Anticipada por solicitud de un Miembro.</w:t>
      </w:r>
      <w:bookmarkEnd w:id="6156"/>
      <w:r w:rsidRPr="002C0D19">
        <w:t xml:space="preserve"> </w:t>
      </w:r>
    </w:p>
    <w:p w14:paraId="6DF274CA" w14:textId="77777777" w:rsidR="007968EC" w:rsidRPr="002C0D19" w:rsidRDefault="007968EC" w:rsidP="007968EC">
      <w:pPr>
        <w:rPr>
          <w:rFonts w:ascii="Arial Narrow" w:hAnsi="Arial Narrow" w:cs="Arial"/>
          <w:b/>
          <w:lang w:val="es-ES" w:eastAsia="es-ES"/>
        </w:rPr>
      </w:pPr>
    </w:p>
    <w:p w14:paraId="09775B21" w14:textId="77777777" w:rsidR="007968EC" w:rsidRPr="002C0D19" w:rsidRDefault="007968EC" w:rsidP="007968EC">
      <w:pPr>
        <w:tabs>
          <w:tab w:val="left" w:pos="1419"/>
        </w:tabs>
        <w:jc w:val="both"/>
        <w:rPr>
          <w:rFonts w:ascii="Arial Narrow" w:eastAsia="Calibri" w:hAnsi="Arial Narrow"/>
          <w:b/>
          <w:lang w:val="es-ES"/>
        </w:rPr>
      </w:pPr>
      <w:r w:rsidRPr="002C0D19">
        <w:rPr>
          <w:rFonts w:ascii="Arial Narrow" w:eastAsia="Calibri" w:hAnsi="Arial Narrow"/>
        </w:rPr>
        <w:t xml:space="preserve">De acuerdo con lo establecido en el artículo </w:t>
      </w:r>
      <w:r w:rsidRPr="002C0D19">
        <w:rPr>
          <w:rFonts w:ascii="Arial Narrow" w:hAnsi="Arial Narrow" w:cs="Arial"/>
          <w:lang w:val="es-ES" w:eastAsia="es-ES"/>
        </w:rPr>
        <w:t>1.5.3.2.</w:t>
      </w:r>
      <w:r w:rsidRPr="002C0D19">
        <w:rPr>
          <w:rFonts w:ascii="Arial Narrow" w:hAnsi="Arial Narrow" w:cs="Arial"/>
          <w:b/>
          <w:lang w:val="es-ES" w:eastAsia="es-ES"/>
        </w:rPr>
        <w:t xml:space="preserve"> </w:t>
      </w:r>
      <w:r w:rsidRPr="002C0D19">
        <w:rPr>
          <w:rFonts w:ascii="Arial Narrow" w:eastAsia="Calibri" w:hAnsi="Arial Narrow"/>
        </w:rPr>
        <w:t>de la presente Circular, el procedimiento para la Compensación y Liquidación Anticipada de Operaciones Repo será el siguiente:</w:t>
      </w:r>
    </w:p>
    <w:p w14:paraId="42EFAA46" w14:textId="77777777" w:rsidR="007968EC" w:rsidRPr="002C0D19" w:rsidRDefault="007968EC" w:rsidP="007968EC">
      <w:pPr>
        <w:tabs>
          <w:tab w:val="left" w:pos="1419"/>
        </w:tabs>
        <w:jc w:val="both"/>
        <w:rPr>
          <w:rFonts w:ascii="Arial Narrow" w:eastAsia="Calibri" w:hAnsi="Arial Narrow"/>
          <w:b/>
          <w:lang w:val="es-ES"/>
        </w:rPr>
      </w:pPr>
    </w:p>
    <w:p w14:paraId="7F641C7D" w14:textId="77777777" w:rsidR="007968EC" w:rsidRPr="002C0D19" w:rsidRDefault="007968EC" w:rsidP="00DA7472">
      <w:pPr>
        <w:numPr>
          <w:ilvl w:val="0"/>
          <w:numId w:val="268"/>
        </w:numPr>
        <w:ind w:left="426" w:hanging="426"/>
        <w:jc w:val="both"/>
        <w:rPr>
          <w:rFonts w:ascii="Arial Narrow" w:hAnsi="Arial Narrow"/>
        </w:rPr>
      </w:pPr>
      <w:r w:rsidRPr="002C0D19">
        <w:rPr>
          <w:rFonts w:ascii="Arial Narrow" w:hAnsi="Arial Narrow"/>
        </w:rPr>
        <w:t>El Miembro ingresa al Portal WEB de la Cámara por el módulo de renta variable y en la opción mantenimiento de operaciones, debe indicar la nueva fecha de liquidación del flujo de regreso de la Operación Repo.</w:t>
      </w:r>
    </w:p>
    <w:p w14:paraId="3EA5D82D" w14:textId="77777777" w:rsidR="007968EC" w:rsidRPr="002C0D19" w:rsidRDefault="007968EC" w:rsidP="007968EC">
      <w:pPr>
        <w:ind w:left="426" w:hanging="426"/>
        <w:rPr>
          <w:rFonts w:ascii="Arial Narrow" w:hAnsi="Arial Narrow"/>
        </w:rPr>
      </w:pPr>
    </w:p>
    <w:p w14:paraId="7B631E6B" w14:textId="77777777" w:rsidR="007968EC" w:rsidRPr="002C0D19" w:rsidRDefault="007968EC" w:rsidP="00DA7472">
      <w:pPr>
        <w:numPr>
          <w:ilvl w:val="0"/>
          <w:numId w:val="268"/>
        </w:numPr>
        <w:ind w:left="426" w:hanging="426"/>
        <w:jc w:val="both"/>
        <w:rPr>
          <w:rFonts w:ascii="Arial Narrow" w:hAnsi="Arial Narrow"/>
        </w:rPr>
      </w:pPr>
      <w:r w:rsidRPr="002C0D19">
        <w:rPr>
          <w:rFonts w:ascii="Arial Narrow" w:hAnsi="Arial Narrow"/>
        </w:rPr>
        <w:t xml:space="preserve">La Cámara </w:t>
      </w:r>
      <w:r w:rsidRPr="002C0D19">
        <w:rPr>
          <w:rFonts w:ascii="Arial Narrow" w:hAnsi="Arial Narrow" w:cs="Arial"/>
        </w:rPr>
        <w:t xml:space="preserve">validará que la solicitud de </w:t>
      </w:r>
      <w:r w:rsidRPr="002C0D19">
        <w:rPr>
          <w:rFonts w:ascii="Arial Narrow" w:hAnsi="Arial Narrow"/>
        </w:rPr>
        <w:t xml:space="preserve">Compensación y Liquidación Anticipada </w:t>
      </w:r>
      <w:r w:rsidRPr="002C0D19">
        <w:rPr>
          <w:rFonts w:ascii="Arial Narrow" w:hAnsi="Arial Narrow" w:cs="Arial"/>
        </w:rPr>
        <w:t>se realice dentro del horario establecido para la Sesión de Aceptación de Operaciones. Adicionalmente, la Cámara no permitirá</w:t>
      </w:r>
      <w:r w:rsidRPr="002C0D19">
        <w:rPr>
          <w:rFonts w:ascii="Arial Narrow" w:hAnsi="Arial Narrow"/>
        </w:rPr>
        <w:t xml:space="preserve"> solicitudes de Compensación y Liquidación Anticipada para el mismo día del cumplimiento del flujo de salida de la Operación Repo</w:t>
      </w:r>
      <w:r w:rsidRPr="002C0D19">
        <w:rPr>
          <w:rFonts w:ascii="Arial Narrow" w:hAnsi="Arial Narrow" w:cs="Arial"/>
        </w:rPr>
        <w:t xml:space="preserve">. </w:t>
      </w:r>
    </w:p>
    <w:p w14:paraId="2492FA8A" w14:textId="77777777" w:rsidR="007968EC" w:rsidRPr="002C0D19" w:rsidRDefault="007968EC" w:rsidP="007968EC">
      <w:pPr>
        <w:ind w:left="426" w:hanging="426"/>
        <w:rPr>
          <w:rFonts w:ascii="Arial Narrow" w:hAnsi="Arial Narrow"/>
        </w:rPr>
      </w:pPr>
    </w:p>
    <w:p w14:paraId="35A249CA" w14:textId="77777777" w:rsidR="007968EC" w:rsidRPr="002C0D19" w:rsidRDefault="007968EC" w:rsidP="00DA7472">
      <w:pPr>
        <w:numPr>
          <w:ilvl w:val="0"/>
          <w:numId w:val="268"/>
        </w:numPr>
        <w:ind w:left="426" w:hanging="426"/>
        <w:jc w:val="both"/>
        <w:rPr>
          <w:rFonts w:ascii="Arial Narrow" w:hAnsi="Arial Narrow"/>
        </w:rPr>
      </w:pPr>
      <w:r w:rsidRPr="002C0D19">
        <w:rPr>
          <w:rFonts w:ascii="Arial Narrow" w:hAnsi="Arial Narrow"/>
        </w:rPr>
        <w:t xml:space="preserve">El Miembro deberá indicar si la solicitud de Compensación y Liquidación Anticipada corresponde a un anticipo con reliquidación o sin reliquidación del Monto Final de la Operación Repo. </w:t>
      </w:r>
    </w:p>
    <w:p w14:paraId="2DF59311" w14:textId="77777777" w:rsidR="007968EC" w:rsidRPr="002C0D19" w:rsidRDefault="007968EC" w:rsidP="007968EC">
      <w:pPr>
        <w:ind w:left="426" w:hanging="426"/>
        <w:rPr>
          <w:rFonts w:ascii="Arial Narrow" w:hAnsi="Arial Narrow"/>
        </w:rPr>
      </w:pPr>
    </w:p>
    <w:p w14:paraId="4117ADFF" w14:textId="77777777" w:rsidR="007968EC" w:rsidRPr="002C0D19" w:rsidRDefault="007968EC" w:rsidP="00DA7472">
      <w:pPr>
        <w:numPr>
          <w:ilvl w:val="0"/>
          <w:numId w:val="268"/>
        </w:numPr>
        <w:ind w:left="426" w:hanging="426"/>
        <w:jc w:val="both"/>
        <w:rPr>
          <w:rFonts w:ascii="Arial Narrow" w:hAnsi="Arial Narrow"/>
        </w:rPr>
      </w:pPr>
      <w:r w:rsidRPr="002C0D19">
        <w:rPr>
          <w:rFonts w:ascii="Arial Narrow" w:hAnsi="Arial Narrow"/>
        </w:rPr>
        <w:lastRenderedPageBreak/>
        <w:t xml:space="preserve">La Cámara previo a la aprobación de la solicitud de la Compensación y Liquidación Anticipada, notifica al Miembro que corresponda </w:t>
      </w:r>
      <w:r w:rsidRPr="002C0D19">
        <w:rPr>
          <w:rFonts w:ascii="Arial Narrow" w:eastAsia="Calibri" w:hAnsi="Arial Narrow"/>
        </w:rPr>
        <w:t>a la misma pareja de la Operación Repo enviada por la Bolsa, con la información de la nueva fecha de Liquidación y el nuevo valor del Monto Final de la operación para su aprobación.</w:t>
      </w:r>
      <w:r w:rsidRPr="002C0D19" w:rsidDel="006A6202">
        <w:rPr>
          <w:rFonts w:ascii="Arial Narrow" w:hAnsi="Arial Narrow"/>
        </w:rPr>
        <w:t xml:space="preserve"> </w:t>
      </w:r>
    </w:p>
    <w:p w14:paraId="447AD9AA" w14:textId="77777777" w:rsidR="007968EC" w:rsidRPr="002C0D19" w:rsidRDefault="007968EC" w:rsidP="007968EC">
      <w:pPr>
        <w:ind w:left="426" w:hanging="426"/>
        <w:rPr>
          <w:rFonts w:ascii="Arial Narrow" w:hAnsi="Arial Narrow"/>
        </w:rPr>
      </w:pPr>
    </w:p>
    <w:p w14:paraId="37FD3A48" w14:textId="77777777" w:rsidR="007968EC" w:rsidRPr="002C0D19" w:rsidRDefault="007968EC" w:rsidP="00DA7472">
      <w:pPr>
        <w:numPr>
          <w:ilvl w:val="0"/>
          <w:numId w:val="268"/>
        </w:numPr>
        <w:ind w:left="426" w:hanging="426"/>
        <w:jc w:val="both"/>
        <w:rPr>
          <w:rFonts w:ascii="Arial Narrow" w:hAnsi="Arial Narrow"/>
        </w:rPr>
      </w:pPr>
      <w:r w:rsidRPr="002C0D19">
        <w:rPr>
          <w:rFonts w:ascii="Arial Narrow" w:hAnsi="Arial Narrow" w:cs="Arial"/>
        </w:rPr>
        <w:t xml:space="preserve">Si el </w:t>
      </w:r>
      <w:r w:rsidRPr="002C0D19">
        <w:rPr>
          <w:rFonts w:ascii="Arial Narrow" w:hAnsi="Arial Narrow"/>
        </w:rPr>
        <w:t xml:space="preserve">Miembro notificado </w:t>
      </w:r>
      <w:r w:rsidRPr="002C0D19">
        <w:rPr>
          <w:rFonts w:ascii="Arial Narrow" w:eastAsia="Calibri" w:hAnsi="Arial Narrow"/>
        </w:rPr>
        <w:t>con la información de la nueva fecha de Liquidación y el nuevo valor del Monto Final de la operación, aprueba</w:t>
      </w:r>
      <w:r w:rsidRPr="002C0D19">
        <w:rPr>
          <w:rFonts w:ascii="Arial Narrow" w:hAnsi="Arial Narrow"/>
        </w:rPr>
        <w:t xml:space="preserve"> </w:t>
      </w:r>
      <w:r w:rsidRPr="002C0D19">
        <w:rPr>
          <w:rFonts w:ascii="Arial Narrow" w:hAnsi="Arial Narrow" w:cs="Arial"/>
        </w:rPr>
        <w:t xml:space="preserve">la solicitud, la Cámara procede a informar la aprobación de la solicitud de </w:t>
      </w:r>
      <w:r w:rsidRPr="002C0D19">
        <w:rPr>
          <w:rFonts w:ascii="Arial Narrow" w:hAnsi="Arial Narrow"/>
        </w:rPr>
        <w:t xml:space="preserve">Compensación y Liquidación Anticipada </w:t>
      </w:r>
      <w:r w:rsidRPr="002C0D19">
        <w:rPr>
          <w:rFonts w:ascii="Arial Narrow" w:hAnsi="Arial Narrow" w:cs="Arial"/>
        </w:rPr>
        <w:t xml:space="preserve">al Miembro que la realizó. Adicionalmente, si la operación debe ser cumplida por un Agente, la Cámara </w:t>
      </w:r>
      <w:r w:rsidRPr="002C0D19">
        <w:rPr>
          <w:rFonts w:ascii="Arial Narrow" w:eastAsia="Calibri" w:hAnsi="Arial Narrow" w:cs="Arial"/>
        </w:rPr>
        <w:t>notifica a través del Portal WEB</w:t>
      </w:r>
      <w:r w:rsidRPr="002C0D19">
        <w:rPr>
          <w:rFonts w:ascii="Arial Narrow" w:hAnsi="Arial Narrow" w:cs="Arial"/>
        </w:rPr>
        <w:t xml:space="preserve"> y/o Correo electrónico la nueva fecha y nuevo Monto Final de la Operación al Agente.</w:t>
      </w:r>
    </w:p>
    <w:p w14:paraId="08B1A8BD" w14:textId="77777777" w:rsidR="007968EC" w:rsidRPr="002C0D19" w:rsidRDefault="007968EC" w:rsidP="007968EC">
      <w:pPr>
        <w:ind w:left="708"/>
        <w:rPr>
          <w:rFonts w:ascii="Arial Narrow" w:hAnsi="Arial Narrow"/>
        </w:rPr>
      </w:pPr>
    </w:p>
    <w:p w14:paraId="22A30034" w14:textId="77777777" w:rsidR="007968EC" w:rsidRPr="002C0D19" w:rsidRDefault="007968EC" w:rsidP="007968EC">
      <w:pPr>
        <w:ind w:left="426"/>
        <w:jc w:val="both"/>
        <w:rPr>
          <w:rFonts w:ascii="Arial Narrow" w:hAnsi="Arial Narrow"/>
        </w:rPr>
      </w:pPr>
      <w:r w:rsidRPr="002C0D19">
        <w:rPr>
          <w:rFonts w:ascii="Arial Narrow" w:hAnsi="Arial Narrow"/>
        </w:rPr>
        <w:t>Así mismo, la</w:t>
      </w:r>
      <w:r w:rsidRPr="002C0D19">
        <w:rPr>
          <w:rFonts w:ascii="Arial Narrow" w:hAnsi="Arial Narrow" w:cs="Arial"/>
        </w:rPr>
        <w:t xml:space="preserve"> Cámara notifica al Deceval y a la Bolsa, la aceptación de una solicitud de</w:t>
      </w:r>
      <w:r w:rsidRPr="002C0D19">
        <w:rPr>
          <w:rFonts w:ascii="Arial Narrow" w:hAnsi="Arial Narrow"/>
        </w:rPr>
        <w:t xml:space="preserve"> Compensación y Liquidación Anticipada </w:t>
      </w:r>
      <w:r w:rsidRPr="002C0D19">
        <w:rPr>
          <w:rFonts w:ascii="Arial Narrow" w:hAnsi="Arial Narrow" w:cs="Arial"/>
        </w:rPr>
        <w:t xml:space="preserve">y enviará la información de </w:t>
      </w:r>
      <w:r w:rsidRPr="002C0D19">
        <w:rPr>
          <w:rFonts w:ascii="Arial Narrow" w:hAnsi="Arial Narrow"/>
        </w:rPr>
        <w:t>la nueva fecha de Liquidación y el nuevo Monto Final de la Operación</w:t>
      </w:r>
      <w:r w:rsidRPr="002C0D19">
        <w:rPr>
          <w:rFonts w:ascii="Arial Narrow" w:hAnsi="Arial Narrow" w:cs="Arial"/>
        </w:rPr>
        <w:t xml:space="preserve">. </w:t>
      </w:r>
    </w:p>
    <w:p w14:paraId="624B7E71" w14:textId="77777777" w:rsidR="007968EC" w:rsidRPr="002C0D19" w:rsidRDefault="007968EC" w:rsidP="007968EC">
      <w:pPr>
        <w:rPr>
          <w:rFonts w:ascii="Arial Narrow" w:hAnsi="Arial Narrow" w:cs="Arial"/>
        </w:rPr>
      </w:pPr>
    </w:p>
    <w:p w14:paraId="053E8DB2" w14:textId="77777777" w:rsidR="007968EC" w:rsidRPr="002C0D19" w:rsidRDefault="007968EC" w:rsidP="00DA7472">
      <w:pPr>
        <w:numPr>
          <w:ilvl w:val="0"/>
          <w:numId w:val="268"/>
        </w:numPr>
        <w:ind w:left="426" w:hanging="426"/>
        <w:jc w:val="both"/>
        <w:rPr>
          <w:rFonts w:ascii="Arial Narrow" w:hAnsi="Arial Narrow"/>
        </w:rPr>
      </w:pPr>
      <w:r w:rsidRPr="002C0D19">
        <w:rPr>
          <w:rFonts w:ascii="Arial Narrow" w:hAnsi="Arial Narrow" w:cs="Arial"/>
        </w:rPr>
        <w:t xml:space="preserve">Si el </w:t>
      </w:r>
      <w:r w:rsidRPr="002C0D19">
        <w:rPr>
          <w:rFonts w:ascii="Arial Narrow" w:hAnsi="Arial Narrow"/>
        </w:rPr>
        <w:t xml:space="preserve">Miembro notificado </w:t>
      </w:r>
      <w:r w:rsidRPr="002C0D19">
        <w:rPr>
          <w:rFonts w:ascii="Arial Narrow" w:eastAsia="Calibri" w:hAnsi="Arial Narrow"/>
        </w:rPr>
        <w:t>con la información de la nueva fecha de liquidación y el nuevo valor del Monto Final de la Operación,</w:t>
      </w:r>
      <w:r w:rsidRPr="002C0D19">
        <w:rPr>
          <w:rFonts w:ascii="Arial Narrow" w:hAnsi="Arial Narrow"/>
        </w:rPr>
        <w:t xml:space="preserve"> rechaza la solicitud,</w:t>
      </w:r>
      <w:r w:rsidRPr="002C0D19">
        <w:rPr>
          <w:rFonts w:ascii="Arial Narrow" w:hAnsi="Arial Narrow" w:cs="Arial"/>
        </w:rPr>
        <w:t xml:space="preserve"> la Cámara procede a informar el rechazo de la solicitud de </w:t>
      </w:r>
      <w:r w:rsidRPr="002C0D19">
        <w:rPr>
          <w:rFonts w:ascii="Arial Narrow" w:hAnsi="Arial Narrow"/>
        </w:rPr>
        <w:t xml:space="preserve">Compensación y Liquidación Anticipada </w:t>
      </w:r>
      <w:r w:rsidRPr="002C0D19">
        <w:rPr>
          <w:rFonts w:ascii="Arial Narrow" w:hAnsi="Arial Narrow" w:cs="Arial"/>
        </w:rPr>
        <w:t>al Miembro que la realizó</w:t>
      </w:r>
      <w:r w:rsidRPr="002C0D19">
        <w:rPr>
          <w:rFonts w:ascii="Arial Narrow" w:hAnsi="Arial Narrow"/>
        </w:rPr>
        <w:t>. Por lo tanto, la fecha de Liquidación y el Monto Final de la Operación se mantendrán de acuerdo con lo estipulado en la Operación original.</w:t>
      </w:r>
    </w:p>
    <w:p w14:paraId="4BCE9492" w14:textId="77777777" w:rsidR="007968EC" w:rsidRPr="002C0D19" w:rsidRDefault="007968EC" w:rsidP="007968EC">
      <w:pPr>
        <w:ind w:left="708"/>
        <w:rPr>
          <w:rFonts w:ascii="Arial Narrow" w:hAnsi="Arial Narrow"/>
        </w:rPr>
      </w:pPr>
    </w:p>
    <w:p w14:paraId="4F2673A3" w14:textId="77777777" w:rsidR="007968EC" w:rsidRPr="002C0D19" w:rsidRDefault="007968EC" w:rsidP="00DA7472">
      <w:pPr>
        <w:numPr>
          <w:ilvl w:val="0"/>
          <w:numId w:val="268"/>
        </w:numPr>
        <w:ind w:left="426" w:hanging="426"/>
        <w:jc w:val="both"/>
        <w:rPr>
          <w:rFonts w:ascii="Arial Narrow" w:hAnsi="Arial Narrow"/>
        </w:rPr>
      </w:pPr>
      <w:r w:rsidRPr="002C0D19">
        <w:rPr>
          <w:rFonts w:ascii="Arial Narrow" w:hAnsi="Arial Narrow"/>
        </w:rPr>
        <w:t xml:space="preserve">Si la solicitud de Compensación y Liquidación Anticipada corresponde a un anticipo sin reliquidación y es realizado por el Miembro del Enajenante de la Operación Repo, la Cámara aprueba la solicitud de Compensación y Liquidación Anticipada y notifica al Miembro de la cuenta que corresponda </w:t>
      </w:r>
      <w:r w:rsidRPr="002C0D19">
        <w:rPr>
          <w:rFonts w:ascii="Arial Narrow" w:eastAsia="Calibri" w:hAnsi="Arial Narrow"/>
        </w:rPr>
        <w:t>a la misma pareja de la Operación Repo enviada por la Bolsa, con la información de la nueva fecha de liquidación.</w:t>
      </w:r>
      <w:r w:rsidRPr="002C0D19" w:rsidDel="006A6202">
        <w:rPr>
          <w:rFonts w:ascii="Arial Narrow" w:hAnsi="Arial Narrow"/>
        </w:rPr>
        <w:t xml:space="preserve"> </w:t>
      </w:r>
    </w:p>
    <w:p w14:paraId="112F22D0" w14:textId="77777777" w:rsidR="007968EC" w:rsidRPr="002C0D19" w:rsidRDefault="007968EC" w:rsidP="007968EC">
      <w:pPr>
        <w:ind w:left="426" w:hanging="284"/>
        <w:rPr>
          <w:rFonts w:ascii="Arial Narrow" w:hAnsi="Arial Narrow"/>
        </w:rPr>
      </w:pPr>
    </w:p>
    <w:p w14:paraId="58573CEF" w14:textId="77777777" w:rsidR="007968EC" w:rsidRPr="002C0D19" w:rsidRDefault="007968EC" w:rsidP="007968EC">
      <w:pPr>
        <w:ind w:left="426"/>
        <w:jc w:val="both"/>
        <w:rPr>
          <w:rFonts w:ascii="Arial Narrow" w:hAnsi="Arial Narrow"/>
        </w:rPr>
      </w:pPr>
      <w:r w:rsidRPr="002C0D19">
        <w:rPr>
          <w:rFonts w:ascii="Arial Narrow" w:hAnsi="Arial Narrow" w:cs="Arial"/>
        </w:rPr>
        <w:t xml:space="preserve">Si la Operación debe ser cumplida por un Agente, la Cámara </w:t>
      </w:r>
      <w:r w:rsidRPr="002C0D19">
        <w:rPr>
          <w:rFonts w:ascii="Arial Narrow" w:eastAsia="Calibri" w:hAnsi="Arial Narrow" w:cs="Arial"/>
        </w:rPr>
        <w:t>notificará a través del Portal WEB</w:t>
      </w:r>
      <w:r w:rsidRPr="002C0D19">
        <w:rPr>
          <w:rFonts w:ascii="Arial Narrow" w:hAnsi="Arial Narrow" w:cs="Arial"/>
        </w:rPr>
        <w:t xml:space="preserve"> y/o correo electrónico la nueva fecha de liquidación de la Operación al Agente.</w:t>
      </w:r>
    </w:p>
    <w:p w14:paraId="25C97F95" w14:textId="77777777" w:rsidR="007968EC" w:rsidRPr="002C0D19" w:rsidRDefault="007968EC" w:rsidP="007968EC">
      <w:pPr>
        <w:ind w:left="426" w:hanging="284"/>
        <w:rPr>
          <w:rFonts w:ascii="Arial Narrow" w:hAnsi="Arial Narrow"/>
        </w:rPr>
      </w:pPr>
    </w:p>
    <w:p w14:paraId="3E303A0A" w14:textId="77777777" w:rsidR="007968EC" w:rsidRPr="002C0D19" w:rsidRDefault="007968EC" w:rsidP="007968EC">
      <w:pPr>
        <w:ind w:left="426"/>
        <w:jc w:val="both"/>
        <w:rPr>
          <w:rFonts w:ascii="Arial Narrow" w:hAnsi="Arial Narrow"/>
        </w:rPr>
      </w:pPr>
      <w:r w:rsidRPr="002C0D19">
        <w:rPr>
          <w:rFonts w:ascii="Arial Narrow" w:hAnsi="Arial Narrow"/>
        </w:rPr>
        <w:t xml:space="preserve">Así mismo, la </w:t>
      </w:r>
      <w:r w:rsidRPr="002C0D19">
        <w:rPr>
          <w:rFonts w:ascii="Arial Narrow" w:hAnsi="Arial Narrow" w:cs="Arial"/>
        </w:rPr>
        <w:t xml:space="preserve">Cámara notificará al Deceval y a la Bolsa, la aceptación de una solicitud de </w:t>
      </w:r>
      <w:r w:rsidRPr="002C0D19">
        <w:rPr>
          <w:rFonts w:ascii="Arial Narrow" w:hAnsi="Arial Narrow"/>
        </w:rPr>
        <w:t xml:space="preserve">Compensación y Liquidación Anticipada </w:t>
      </w:r>
      <w:r w:rsidRPr="002C0D19">
        <w:rPr>
          <w:rFonts w:ascii="Arial Narrow" w:hAnsi="Arial Narrow" w:cs="Arial"/>
        </w:rPr>
        <w:t xml:space="preserve">y enviará la información de </w:t>
      </w:r>
      <w:r w:rsidRPr="002C0D19">
        <w:rPr>
          <w:rFonts w:ascii="Arial Narrow" w:hAnsi="Arial Narrow"/>
        </w:rPr>
        <w:t xml:space="preserve">la nueva fecha de Liquidación al Vencimiento de la Operación </w:t>
      </w:r>
      <w:r w:rsidRPr="002C0D19">
        <w:rPr>
          <w:rFonts w:ascii="Arial Narrow" w:eastAsia="Calibri" w:hAnsi="Arial Narrow"/>
        </w:rPr>
        <w:t>y el nuevo valor del Monto Final de la Operación</w:t>
      </w:r>
      <w:r w:rsidRPr="002C0D19">
        <w:rPr>
          <w:rFonts w:ascii="Arial Narrow" w:hAnsi="Arial Narrow" w:cs="Arial"/>
        </w:rPr>
        <w:t xml:space="preserve">. </w:t>
      </w:r>
    </w:p>
    <w:p w14:paraId="5B2F7357" w14:textId="77777777" w:rsidR="007968EC" w:rsidRPr="002C0D19" w:rsidRDefault="007968EC" w:rsidP="007968EC">
      <w:pPr>
        <w:ind w:left="426" w:hanging="284"/>
        <w:rPr>
          <w:rFonts w:ascii="Arial Narrow" w:hAnsi="Arial Narrow"/>
        </w:rPr>
      </w:pPr>
    </w:p>
    <w:p w14:paraId="4668A50D" w14:textId="77777777" w:rsidR="007968EC" w:rsidRPr="002C0D19" w:rsidRDefault="007968EC" w:rsidP="00DA7472">
      <w:pPr>
        <w:numPr>
          <w:ilvl w:val="0"/>
          <w:numId w:val="268"/>
        </w:numPr>
        <w:ind w:left="426" w:hanging="426"/>
        <w:jc w:val="both"/>
        <w:rPr>
          <w:rFonts w:ascii="Arial Narrow" w:hAnsi="Arial Narrow"/>
        </w:rPr>
      </w:pPr>
      <w:r w:rsidRPr="002C0D19">
        <w:rPr>
          <w:rFonts w:ascii="Arial Narrow" w:hAnsi="Arial Narrow"/>
        </w:rPr>
        <w:t xml:space="preserve">Si el Enajenante y Adquirente corresponden al mismo Miembro en la </w:t>
      </w:r>
      <w:r w:rsidRPr="002C0D19">
        <w:rPr>
          <w:rFonts w:ascii="Arial Narrow" w:eastAsia="Calibri" w:hAnsi="Arial Narrow"/>
        </w:rPr>
        <w:t xml:space="preserve">pareja de la Operación Repo enviada por la Bolsa, la Cámara </w:t>
      </w:r>
      <w:r w:rsidRPr="002C0D19">
        <w:rPr>
          <w:rFonts w:ascii="Arial Narrow" w:hAnsi="Arial Narrow"/>
        </w:rPr>
        <w:t xml:space="preserve">aprueba la solicitud de Compensación y Liquidación Anticipada y notifica al Miembro </w:t>
      </w:r>
      <w:r w:rsidRPr="002C0D19">
        <w:rPr>
          <w:rFonts w:ascii="Arial Narrow" w:eastAsia="Calibri" w:hAnsi="Arial Narrow"/>
        </w:rPr>
        <w:t>la información de la nueva fecha de liquidación.</w:t>
      </w:r>
    </w:p>
    <w:p w14:paraId="3790B266" w14:textId="77777777" w:rsidR="007968EC" w:rsidRPr="002C0D19" w:rsidRDefault="007968EC" w:rsidP="007968EC">
      <w:pPr>
        <w:jc w:val="both"/>
        <w:rPr>
          <w:rFonts w:ascii="Arial Narrow" w:hAnsi="Arial Narrow"/>
        </w:rPr>
      </w:pPr>
    </w:p>
    <w:p w14:paraId="4518C241" w14:textId="77777777" w:rsidR="007968EC" w:rsidRPr="002C0D19" w:rsidRDefault="007968EC" w:rsidP="007968EC">
      <w:pPr>
        <w:ind w:left="426"/>
        <w:jc w:val="both"/>
        <w:rPr>
          <w:rFonts w:ascii="Arial Narrow" w:hAnsi="Arial Narrow"/>
        </w:rPr>
      </w:pPr>
      <w:r w:rsidRPr="002C0D19">
        <w:rPr>
          <w:rFonts w:ascii="Arial Narrow" w:hAnsi="Arial Narrow" w:cs="Arial"/>
        </w:rPr>
        <w:t xml:space="preserve">Si la Operación debe ser cumplida por un Agente, la Cámara </w:t>
      </w:r>
      <w:r w:rsidRPr="002C0D19">
        <w:rPr>
          <w:rFonts w:ascii="Arial Narrow" w:eastAsia="Calibri" w:hAnsi="Arial Narrow" w:cs="Arial"/>
        </w:rPr>
        <w:t>notificará a través del Portal WEB</w:t>
      </w:r>
      <w:r w:rsidRPr="002C0D19">
        <w:rPr>
          <w:rFonts w:ascii="Arial Narrow" w:hAnsi="Arial Narrow" w:cs="Arial"/>
        </w:rPr>
        <w:t xml:space="preserve"> y/o correo electrónico la nueva fecha de liquidación de la Operación al Agente.</w:t>
      </w:r>
    </w:p>
    <w:p w14:paraId="61E1113A" w14:textId="77777777" w:rsidR="007968EC" w:rsidRPr="002C0D19" w:rsidRDefault="007968EC" w:rsidP="007968EC">
      <w:pPr>
        <w:ind w:left="426" w:hanging="284"/>
        <w:rPr>
          <w:rFonts w:ascii="Arial Narrow" w:hAnsi="Arial Narrow"/>
        </w:rPr>
      </w:pPr>
    </w:p>
    <w:p w14:paraId="125EC134" w14:textId="77777777" w:rsidR="007968EC" w:rsidRPr="002C0D19" w:rsidRDefault="007968EC" w:rsidP="007968EC">
      <w:pPr>
        <w:ind w:left="426"/>
        <w:jc w:val="both"/>
        <w:rPr>
          <w:rFonts w:ascii="Arial Narrow" w:hAnsi="Arial Narrow"/>
        </w:rPr>
      </w:pPr>
      <w:r w:rsidRPr="002C0D19">
        <w:rPr>
          <w:rFonts w:ascii="Arial Narrow" w:hAnsi="Arial Narrow"/>
        </w:rPr>
        <w:t xml:space="preserve">Así mismo, la </w:t>
      </w:r>
      <w:r w:rsidRPr="002C0D19">
        <w:rPr>
          <w:rFonts w:ascii="Arial Narrow" w:hAnsi="Arial Narrow" w:cs="Arial"/>
        </w:rPr>
        <w:t xml:space="preserve">Cámara notificará al Deceval y a la Bolsa, la aceptación de una solicitud de </w:t>
      </w:r>
      <w:r w:rsidRPr="002C0D19">
        <w:rPr>
          <w:rFonts w:ascii="Arial Narrow" w:hAnsi="Arial Narrow"/>
        </w:rPr>
        <w:t xml:space="preserve">Compensación y Liquidación Anticipada </w:t>
      </w:r>
      <w:r w:rsidRPr="002C0D19">
        <w:rPr>
          <w:rFonts w:ascii="Arial Narrow" w:hAnsi="Arial Narrow" w:cs="Arial"/>
        </w:rPr>
        <w:t xml:space="preserve">y enviará la información de </w:t>
      </w:r>
      <w:r w:rsidRPr="002C0D19">
        <w:rPr>
          <w:rFonts w:ascii="Arial Narrow" w:hAnsi="Arial Narrow"/>
        </w:rPr>
        <w:t xml:space="preserve">la nueva fecha de Liquidación al vencimiento de la Operación </w:t>
      </w:r>
      <w:r w:rsidRPr="002C0D19">
        <w:rPr>
          <w:rFonts w:ascii="Arial Narrow" w:eastAsia="Calibri" w:hAnsi="Arial Narrow"/>
        </w:rPr>
        <w:t>y el nuevo valor del Monto Final de la Operación</w:t>
      </w:r>
      <w:r w:rsidRPr="002C0D19">
        <w:rPr>
          <w:rFonts w:ascii="Arial Narrow" w:hAnsi="Arial Narrow" w:cs="Arial"/>
        </w:rPr>
        <w:t xml:space="preserve">. </w:t>
      </w:r>
    </w:p>
    <w:p w14:paraId="5826A747" w14:textId="77777777" w:rsidR="007968EC" w:rsidRPr="002C0D19" w:rsidRDefault="007968EC" w:rsidP="007968EC">
      <w:pPr>
        <w:rPr>
          <w:rFonts w:ascii="Arial Narrow" w:hAnsi="Arial Narrow"/>
          <w:lang w:val="es-ES"/>
        </w:rPr>
      </w:pPr>
    </w:p>
    <w:p w14:paraId="5DEC4242" w14:textId="77777777" w:rsidR="007968EC" w:rsidRPr="002C0D19" w:rsidRDefault="007968EC" w:rsidP="00DA7472">
      <w:pPr>
        <w:numPr>
          <w:ilvl w:val="0"/>
          <w:numId w:val="268"/>
        </w:numPr>
        <w:ind w:left="426" w:hanging="426"/>
        <w:jc w:val="both"/>
        <w:rPr>
          <w:rFonts w:ascii="Arial Narrow" w:hAnsi="Arial Narrow"/>
        </w:rPr>
      </w:pPr>
      <w:r w:rsidRPr="002C0D19">
        <w:rPr>
          <w:rFonts w:ascii="Arial Narrow" w:hAnsi="Arial Narrow"/>
        </w:rPr>
        <w:lastRenderedPageBreak/>
        <w:t xml:space="preserve">En el Sistema de la Cámara la Compensación y Liquidación Anticipada se registrará como una operación </w:t>
      </w:r>
      <w:r w:rsidRPr="002C0D19">
        <w:rPr>
          <w:rFonts w:ascii="Arial Narrow" w:hAnsi="Arial Narrow" w:cs="Arial"/>
        </w:rPr>
        <w:t xml:space="preserve">tipo “F”, que permite la generación automática de todos los procesos necesarios para registrar la nueva fecha de Liquidación </w:t>
      </w:r>
      <w:r w:rsidRPr="002C0D19">
        <w:rPr>
          <w:rFonts w:ascii="Arial Narrow" w:eastAsia="Calibri" w:hAnsi="Arial Narrow"/>
        </w:rPr>
        <w:t>por Entrega en el flujo de regreso de la Operación Repo</w:t>
      </w:r>
      <w:r w:rsidRPr="002C0D19">
        <w:rPr>
          <w:rFonts w:ascii="Arial Narrow" w:hAnsi="Arial Narrow" w:cs="Arial"/>
        </w:rPr>
        <w:t xml:space="preserve"> y, de ser el caso, </w:t>
      </w:r>
      <w:r w:rsidRPr="002C0D19">
        <w:rPr>
          <w:rFonts w:ascii="Arial Narrow" w:hAnsi="Arial Narrow"/>
        </w:rPr>
        <w:t>el nuevo Monto Final de la Operación</w:t>
      </w:r>
      <w:r w:rsidRPr="002C0D19">
        <w:rPr>
          <w:rFonts w:ascii="Arial Narrow" w:hAnsi="Arial Narrow" w:cs="Arial"/>
        </w:rPr>
        <w:t xml:space="preserve"> asociados al número inicial de la Operación Repo aceptada por la Cámara.</w:t>
      </w:r>
    </w:p>
    <w:p w14:paraId="4BB6B44B" w14:textId="77777777" w:rsidR="007968EC" w:rsidRPr="002C0D19" w:rsidRDefault="007968EC" w:rsidP="007968EC">
      <w:pPr>
        <w:rPr>
          <w:rFonts w:ascii="Arial Narrow" w:eastAsia="Calibri" w:hAnsi="Arial Narrow"/>
          <w:b/>
        </w:rPr>
      </w:pPr>
    </w:p>
    <w:p w14:paraId="3B2F84AD" w14:textId="77777777" w:rsidR="007968EC" w:rsidRDefault="007968EC" w:rsidP="007968EC">
      <w:pPr>
        <w:keepNext/>
        <w:tabs>
          <w:tab w:val="left" w:pos="1701"/>
        </w:tabs>
        <w:jc w:val="center"/>
        <w:outlineLvl w:val="2"/>
        <w:rPr>
          <w:rFonts w:ascii="Arial Narrow" w:hAnsi="Arial Narrow" w:cs="Arial"/>
          <w:b/>
          <w:lang w:eastAsia="es-ES"/>
        </w:rPr>
      </w:pPr>
    </w:p>
    <w:p w14:paraId="2901BC1D" w14:textId="77777777" w:rsidR="007968EC" w:rsidRPr="002C0D19" w:rsidRDefault="007968EC" w:rsidP="007968EC">
      <w:pPr>
        <w:pStyle w:val="TTULO"/>
      </w:pPr>
      <w:bookmarkStart w:id="6157" w:name="_Toc31716393"/>
      <w:r w:rsidRPr="002C0D19">
        <w:t>CAPÍTULO QUINTO</w:t>
      </w:r>
      <w:bookmarkEnd w:id="6157"/>
    </w:p>
    <w:p w14:paraId="429A6127" w14:textId="77777777" w:rsidR="007968EC" w:rsidRPr="002C0D19" w:rsidRDefault="007968EC" w:rsidP="007968EC">
      <w:pPr>
        <w:pStyle w:val="TTULO"/>
        <w:rPr>
          <w:rFonts w:eastAsia="Calibri"/>
        </w:rPr>
      </w:pPr>
    </w:p>
    <w:p w14:paraId="378DECFC" w14:textId="77777777" w:rsidR="007968EC" w:rsidRPr="002C0D19" w:rsidRDefault="007968EC" w:rsidP="007968EC">
      <w:pPr>
        <w:pStyle w:val="TTULO"/>
        <w:rPr>
          <w:rFonts w:eastAsia="Calibri" w:cs="Times New Roman"/>
        </w:rPr>
      </w:pPr>
      <w:bookmarkStart w:id="6158" w:name="_Toc490066720"/>
      <w:bookmarkStart w:id="6159" w:name="_Toc31716394"/>
      <w:r w:rsidRPr="002C0D19">
        <w:rPr>
          <w:rFonts w:eastAsia="Calibri" w:cs="Times New Roman"/>
        </w:rPr>
        <w:t>PARTICIPACIÓN DE AGENTES EN LA COMPENSACION Y</w:t>
      </w:r>
      <w:r>
        <w:rPr>
          <w:rFonts w:eastAsia="Calibri" w:cs="Times New Roman"/>
        </w:rPr>
        <w:t xml:space="preserve"> LIQUIDACION DE LAS OPERACIONES </w:t>
      </w:r>
      <w:r w:rsidRPr="002C0D19">
        <w:rPr>
          <w:rFonts w:eastAsia="Calibri" w:cs="Times New Roman"/>
        </w:rPr>
        <w:t>REPO</w:t>
      </w:r>
      <w:bookmarkEnd w:id="6158"/>
      <w:bookmarkEnd w:id="6159"/>
    </w:p>
    <w:p w14:paraId="5AC954E4" w14:textId="77777777" w:rsidR="007968EC" w:rsidRPr="002C0D19" w:rsidRDefault="007968EC" w:rsidP="007968EC">
      <w:pPr>
        <w:jc w:val="center"/>
        <w:outlineLvl w:val="1"/>
        <w:rPr>
          <w:rFonts w:ascii="Arial Narrow" w:eastAsia="Calibri" w:hAnsi="Arial Narrow"/>
          <w:b/>
        </w:rPr>
      </w:pPr>
    </w:p>
    <w:p w14:paraId="78CA8465" w14:textId="77777777" w:rsidR="007968EC" w:rsidRPr="002C0D19" w:rsidRDefault="007968EC" w:rsidP="007968EC">
      <w:pPr>
        <w:pStyle w:val="ARTICULO0"/>
      </w:pPr>
      <w:bookmarkStart w:id="6160" w:name="_Toc31716395"/>
      <w:r w:rsidRPr="002C0D19">
        <w:t>Artículo 4.4.5.1. Participación de Agentes en la Compensación y Liquidación de Operaciones Repo.</w:t>
      </w:r>
      <w:bookmarkEnd w:id="6160"/>
    </w:p>
    <w:p w14:paraId="0C46012B" w14:textId="77777777" w:rsidR="007968EC" w:rsidRPr="002C0D19" w:rsidRDefault="007968EC" w:rsidP="007968EC">
      <w:pPr>
        <w:tabs>
          <w:tab w:val="left" w:pos="0"/>
          <w:tab w:val="right" w:pos="8400"/>
        </w:tabs>
        <w:ind w:right="-42"/>
        <w:jc w:val="both"/>
        <w:rPr>
          <w:rFonts w:ascii="Arial Narrow" w:hAnsi="Arial Narrow" w:cs="Arial"/>
          <w:b/>
          <w:u w:val="single"/>
          <w:lang w:val="es-ES" w:eastAsia="es-ES"/>
        </w:rPr>
      </w:pPr>
    </w:p>
    <w:p w14:paraId="74A78671" w14:textId="77777777" w:rsidR="007968EC" w:rsidRPr="002C0D19" w:rsidRDefault="007968EC" w:rsidP="007968EC">
      <w:pPr>
        <w:tabs>
          <w:tab w:val="left" w:pos="0"/>
          <w:tab w:val="right" w:pos="8400"/>
        </w:tabs>
        <w:ind w:right="-42"/>
        <w:jc w:val="both"/>
        <w:rPr>
          <w:rFonts w:ascii="Arial Narrow" w:hAnsi="Arial Narrow" w:cs="Arial"/>
          <w:bCs/>
          <w:lang w:val="es-ES" w:eastAsia="es-ES"/>
        </w:rPr>
      </w:pPr>
      <w:r w:rsidRPr="002C0D19">
        <w:rPr>
          <w:rFonts w:ascii="Arial Narrow" w:hAnsi="Arial Narrow" w:cs="Arial"/>
          <w:bCs/>
          <w:lang w:val="es-ES" w:eastAsia="es-ES"/>
        </w:rPr>
        <w:t xml:space="preserve">De conformidad con lo dispuesto en el artículo 2.6.14. del Reglamento de Funcionamiento de la Cámara, para el Segmento de Renta Variable estará disponible la participación de Agentes en la Compensación y Liquidación de Operaciones Repo, la Consolidación de Operaciones y el procedimiento de Admisión de Operaciones, </w:t>
      </w:r>
      <w:r w:rsidRPr="002C0D19" w:rsidDel="00096BD2">
        <w:rPr>
          <w:rFonts w:ascii="Arial Narrow" w:hAnsi="Arial Narrow" w:cs="Arial"/>
          <w:bCs/>
          <w:lang w:val="es-ES" w:eastAsia="es-ES"/>
        </w:rPr>
        <w:t>para la Compensación y Liquidación de Operaciones Repo,</w:t>
      </w:r>
      <w:r w:rsidRPr="002C0D19">
        <w:rPr>
          <w:rFonts w:ascii="Arial Narrow" w:hAnsi="Arial Narrow" w:cs="Arial"/>
          <w:bCs/>
          <w:lang w:val="es-ES" w:eastAsia="es-ES"/>
        </w:rPr>
        <w:t xml:space="preserve"> para lo cual la Cámara suscribirá un acuerdo con la Bolsa. </w:t>
      </w:r>
    </w:p>
    <w:p w14:paraId="59DD8340" w14:textId="77777777" w:rsidR="007968EC" w:rsidRPr="002C0D19" w:rsidRDefault="007968EC" w:rsidP="007968EC">
      <w:pPr>
        <w:tabs>
          <w:tab w:val="left" w:pos="0"/>
          <w:tab w:val="right" w:pos="8400"/>
        </w:tabs>
        <w:ind w:right="-42"/>
        <w:jc w:val="both"/>
        <w:rPr>
          <w:rFonts w:ascii="Arial Narrow" w:hAnsi="Arial Narrow" w:cs="Arial"/>
          <w:bCs/>
          <w:lang w:val="es-ES" w:eastAsia="es-ES"/>
        </w:rPr>
      </w:pPr>
    </w:p>
    <w:p w14:paraId="2201252A" w14:textId="77777777" w:rsidR="007968EC" w:rsidRPr="002C0D19" w:rsidRDefault="007968EC" w:rsidP="007968EC">
      <w:pPr>
        <w:tabs>
          <w:tab w:val="left" w:pos="0"/>
          <w:tab w:val="right" w:pos="8400"/>
        </w:tabs>
        <w:ind w:right="-42"/>
        <w:jc w:val="both"/>
        <w:rPr>
          <w:rFonts w:ascii="Arial Narrow" w:hAnsi="Arial Narrow" w:cs="Arial"/>
          <w:bCs/>
          <w:lang w:val="es-ES" w:eastAsia="es-ES"/>
        </w:rPr>
      </w:pPr>
      <w:r w:rsidRPr="002C0D19">
        <w:rPr>
          <w:rFonts w:ascii="Arial Narrow" w:hAnsi="Arial Narrow" w:cs="Arial"/>
          <w:bCs/>
          <w:lang w:val="es-ES" w:eastAsia="es-ES"/>
        </w:rPr>
        <w:t>En consecuencia, la Cámara autoriza a la Bolsa para que preste los servicios tecnológicos y operativos a los Miembros y a los Agentes, para que puedan acceder a la Compensación y Liquidación y gestionar la Consolidación de Operaciones y el procedimiento de Admisión de Operaciones. Dicha participación se realizará a través del sistema que para este fin disponga la Bolsa, en las condiciones de los acuerdos que suscriba dicha entidad con los Miembros y Agentes y de conformidad con lo dispuesto en la presente Circular.</w:t>
      </w:r>
    </w:p>
    <w:p w14:paraId="20FB79DA" w14:textId="77777777" w:rsidR="007968EC" w:rsidRPr="002C0D19" w:rsidRDefault="007968EC" w:rsidP="007968EC">
      <w:pPr>
        <w:tabs>
          <w:tab w:val="left" w:pos="0"/>
          <w:tab w:val="right" w:pos="8400"/>
        </w:tabs>
        <w:ind w:right="-42"/>
        <w:jc w:val="both"/>
        <w:rPr>
          <w:rFonts w:ascii="Arial Narrow" w:hAnsi="Arial Narrow" w:cs="Arial"/>
          <w:bCs/>
          <w:lang w:val="es-ES" w:eastAsia="es-ES"/>
        </w:rPr>
      </w:pPr>
    </w:p>
    <w:p w14:paraId="6A7E5F82" w14:textId="77777777" w:rsidR="007968EC" w:rsidRPr="002C0D19" w:rsidRDefault="007968EC" w:rsidP="007968EC">
      <w:pPr>
        <w:tabs>
          <w:tab w:val="left" w:pos="0"/>
          <w:tab w:val="right" w:pos="8400"/>
        </w:tabs>
        <w:ind w:right="-42"/>
        <w:jc w:val="both"/>
        <w:rPr>
          <w:rFonts w:ascii="Arial Narrow" w:hAnsi="Arial Narrow" w:cs="Arial"/>
          <w:bCs/>
          <w:lang w:val="es-ES" w:eastAsia="es-ES"/>
        </w:rPr>
      </w:pPr>
      <w:r w:rsidRPr="002C0D19">
        <w:rPr>
          <w:rFonts w:ascii="Arial Narrow" w:hAnsi="Arial Narrow" w:cs="Arial"/>
          <w:bCs/>
          <w:lang w:val="es-ES" w:eastAsia="es-ES"/>
        </w:rPr>
        <w:t>En todo caso, cuando un Miembro Liquidador permita la participación de Agentes, será responsabilidad del Miembro Liquidador cumplir con las Operaciones Aceptadas, entregando los Activos o el efectivo aún en el evento en que tales Agentes no Admitan dichas operaciones o no cumplan con las obligaciones de Compensación y Liquidación.</w:t>
      </w:r>
    </w:p>
    <w:p w14:paraId="0D22EABA" w14:textId="77777777" w:rsidR="007968EC" w:rsidRPr="002C0D19" w:rsidRDefault="007968EC" w:rsidP="007968EC">
      <w:pPr>
        <w:tabs>
          <w:tab w:val="left" w:pos="0"/>
          <w:tab w:val="right" w:pos="8400"/>
        </w:tabs>
        <w:ind w:right="-42"/>
        <w:jc w:val="both"/>
        <w:rPr>
          <w:rFonts w:ascii="Arial Narrow" w:hAnsi="Arial Narrow" w:cs="Arial"/>
          <w:b/>
          <w:u w:val="single"/>
          <w:lang w:val="es-ES" w:eastAsia="es-ES"/>
        </w:rPr>
      </w:pPr>
    </w:p>
    <w:p w14:paraId="0F9395A6" w14:textId="77777777" w:rsidR="007968EC" w:rsidRPr="002C0D19" w:rsidRDefault="007968EC" w:rsidP="007968EC">
      <w:pPr>
        <w:pStyle w:val="ARTICULO0"/>
      </w:pPr>
      <w:bookmarkStart w:id="6161" w:name="_Toc31716396"/>
      <w:r w:rsidRPr="002C0D19">
        <w:t>Artículo 4.4.5.2. Consolidación de Operaciones Repo.</w:t>
      </w:r>
      <w:bookmarkEnd w:id="6161"/>
    </w:p>
    <w:p w14:paraId="2BE0BE00" w14:textId="77777777" w:rsidR="007968EC" w:rsidRPr="002C0D19" w:rsidRDefault="007968EC" w:rsidP="007968EC">
      <w:pPr>
        <w:tabs>
          <w:tab w:val="left" w:pos="0"/>
          <w:tab w:val="right" w:pos="8400"/>
        </w:tabs>
        <w:ind w:right="-42"/>
        <w:jc w:val="both"/>
        <w:rPr>
          <w:rFonts w:ascii="Arial Narrow" w:hAnsi="Arial Narrow" w:cs="Arial"/>
          <w:b/>
          <w:u w:val="single"/>
          <w:lang w:val="es-ES" w:eastAsia="es-ES"/>
        </w:rPr>
      </w:pPr>
    </w:p>
    <w:p w14:paraId="67E5BE6B" w14:textId="77777777" w:rsidR="007968EC" w:rsidRPr="002C0D19" w:rsidRDefault="007968EC" w:rsidP="007968EC">
      <w:pPr>
        <w:jc w:val="both"/>
        <w:rPr>
          <w:rFonts w:ascii="Arial Narrow" w:hAnsi="Arial Narrow" w:cs="Arial"/>
          <w:bCs/>
          <w:lang w:val="es-ES" w:eastAsia="es-ES"/>
        </w:rPr>
      </w:pPr>
      <w:r w:rsidRPr="002C0D19">
        <w:rPr>
          <w:rFonts w:ascii="Arial Narrow" w:hAnsi="Arial Narrow" w:cs="Arial"/>
          <w:bCs/>
          <w:lang w:val="es-ES" w:eastAsia="es-ES"/>
        </w:rPr>
        <w:t>Los Miembros podrán conformar paquetes de Operaciones Repo o fracciones de una operación calzadas en la Bolsa, para su traslado a los Agentes que participen en la Compensación y Liquidación a efectos de que puedan ejecutar el procedimiento de Admisión de Operaciones dentro de la Sesión de Gestión de Agentes establecida en el artículo 4.7.1.1. a través del sistema que para este fin disponga la Bolsa, bajo las condiciones establecidas en el presente artículo.</w:t>
      </w:r>
    </w:p>
    <w:p w14:paraId="73C70674" w14:textId="77777777" w:rsidR="007968EC" w:rsidRPr="002C0D19" w:rsidRDefault="007968EC" w:rsidP="007968EC">
      <w:pPr>
        <w:tabs>
          <w:tab w:val="left" w:pos="0"/>
          <w:tab w:val="right" w:pos="8400"/>
        </w:tabs>
        <w:ind w:right="-42"/>
        <w:jc w:val="both"/>
        <w:rPr>
          <w:rFonts w:ascii="Arial Narrow" w:hAnsi="Arial Narrow" w:cs="Arial"/>
          <w:b/>
          <w:u w:val="single"/>
          <w:lang w:val="es-ES" w:eastAsia="es-ES"/>
        </w:rPr>
      </w:pPr>
    </w:p>
    <w:p w14:paraId="354F8C73" w14:textId="77777777" w:rsidR="007968EC" w:rsidRPr="002C0D19" w:rsidRDefault="007968EC" w:rsidP="007968EC">
      <w:pPr>
        <w:autoSpaceDE w:val="0"/>
        <w:autoSpaceDN w:val="0"/>
        <w:adjustRightInd w:val="0"/>
        <w:jc w:val="both"/>
        <w:rPr>
          <w:rFonts w:ascii="Arial Narrow" w:hAnsi="Arial Narrow" w:cs="Arial"/>
          <w:lang w:val="es-ES" w:eastAsia="es-ES"/>
        </w:rPr>
      </w:pPr>
      <w:r w:rsidRPr="002C0D19">
        <w:rPr>
          <w:rFonts w:ascii="Arial Narrow" w:hAnsi="Arial Narrow" w:cs="Arial"/>
          <w:lang w:val="es-ES" w:eastAsia="es-ES"/>
        </w:rPr>
        <w:t xml:space="preserve">Los Miembros podrán realizar la Consolidación de Operaciones Repo, utilizando alguno de los siguientes mecanismos: </w:t>
      </w:r>
    </w:p>
    <w:p w14:paraId="47CBD871" w14:textId="77777777" w:rsidR="007968EC" w:rsidRPr="002C0D19" w:rsidRDefault="007968EC" w:rsidP="007968EC">
      <w:pPr>
        <w:autoSpaceDE w:val="0"/>
        <w:autoSpaceDN w:val="0"/>
        <w:adjustRightInd w:val="0"/>
        <w:jc w:val="both"/>
        <w:rPr>
          <w:rFonts w:ascii="Arial Narrow" w:hAnsi="Arial Narrow" w:cs="Arial"/>
          <w:lang w:val="es-ES" w:eastAsia="es-ES"/>
        </w:rPr>
      </w:pPr>
    </w:p>
    <w:p w14:paraId="723B3785" w14:textId="77777777" w:rsidR="007968EC" w:rsidRPr="002C0D19" w:rsidRDefault="007968EC" w:rsidP="007968EC">
      <w:pPr>
        <w:autoSpaceDE w:val="0"/>
        <w:autoSpaceDN w:val="0"/>
        <w:adjustRightInd w:val="0"/>
        <w:ind w:left="426" w:hanging="284"/>
        <w:jc w:val="both"/>
        <w:rPr>
          <w:rFonts w:ascii="Arial Narrow" w:hAnsi="Arial Narrow" w:cs="Arial"/>
          <w:lang w:val="es-ES" w:eastAsia="es-ES"/>
        </w:rPr>
      </w:pPr>
      <w:r w:rsidRPr="002C0D19">
        <w:rPr>
          <w:rFonts w:ascii="Arial Narrow" w:hAnsi="Arial Narrow" w:cs="Arial"/>
          <w:lang w:val="es-ES" w:eastAsia="es-ES"/>
        </w:rPr>
        <w:lastRenderedPageBreak/>
        <w:t xml:space="preserve">1. En el módulo de complementación del sistema de la Bolsa en el formulario dispuesto para la complementación de operaciones está disponible el campo “Referencia de Paquete”, el cual corresponde a un campo alfanumérico que permite ingresar valores cuya longitud es de 3 caracteres. El sistema de la Bolsa asocia todas las operaciones o fracciones de operaciones pendientes de cumplir que en la fecha de creación del paquete tengan igual valor en el campo “Referencia de Paquete”. </w:t>
      </w:r>
    </w:p>
    <w:p w14:paraId="64CDECAA" w14:textId="77777777" w:rsidR="007968EC" w:rsidRPr="002C0D19" w:rsidRDefault="007968EC" w:rsidP="007968EC">
      <w:pPr>
        <w:autoSpaceDE w:val="0"/>
        <w:autoSpaceDN w:val="0"/>
        <w:adjustRightInd w:val="0"/>
        <w:jc w:val="both"/>
        <w:rPr>
          <w:rFonts w:ascii="Arial Narrow" w:hAnsi="Arial Narrow" w:cs="Arial"/>
          <w:lang w:val="es-ES" w:eastAsia="es-ES"/>
        </w:rPr>
      </w:pPr>
    </w:p>
    <w:p w14:paraId="4AFD1FA2" w14:textId="77777777" w:rsidR="007968EC" w:rsidRPr="002C0D19" w:rsidRDefault="007968EC" w:rsidP="007968EC">
      <w:pPr>
        <w:tabs>
          <w:tab w:val="left" w:pos="426"/>
        </w:tabs>
        <w:autoSpaceDE w:val="0"/>
        <w:autoSpaceDN w:val="0"/>
        <w:adjustRightInd w:val="0"/>
        <w:ind w:left="426"/>
        <w:jc w:val="both"/>
        <w:rPr>
          <w:rFonts w:ascii="Arial Narrow" w:hAnsi="Arial Narrow" w:cs="Arial"/>
          <w:lang w:val="es-ES" w:eastAsia="es-ES"/>
        </w:rPr>
      </w:pPr>
      <w:r w:rsidRPr="002C0D19">
        <w:rPr>
          <w:rFonts w:ascii="Arial Narrow" w:hAnsi="Arial Narrow" w:cs="Arial"/>
          <w:lang w:val="es-ES" w:eastAsia="es-ES"/>
        </w:rPr>
        <w:t xml:space="preserve">Una vez ocurra lo anterior, el Miembro para finalizar la creación del paquete de Operaciones Repo debe seleccionar la opción “Aceptar”. El sistema de la Bolsa indicará que el paquete de Operaciones Repo fue creado exitosamente y asignará el número con el cual dicho paquete se identificará. </w:t>
      </w:r>
    </w:p>
    <w:p w14:paraId="6BB35693" w14:textId="77777777" w:rsidR="007968EC" w:rsidRPr="002C0D19" w:rsidRDefault="007968EC" w:rsidP="007968EC">
      <w:pPr>
        <w:autoSpaceDE w:val="0"/>
        <w:autoSpaceDN w:val="0"/>
        <w:adjustRightInd w:val="0"/>
        <w:spacing w:after="11"/>
        <w:jc w:val="both"/>
        <w:rPr>
          <w:rFonts w:ascii="Arial Narrow" w:hAnsi="Arial Narrow" w:cs="Arial"/>
          <w:lang w:val="es-ES" w:eastAsia="es-ES"/>
        </w:rPr>
      </w:pPr>
    </w:p>
    <w:p w14:paraId="5A0D459A" w14:textId="77777777" w:rsidR="007968EC" w:rsidRPr="002C0D19" w:rsidRDefault="007968EC" w:rsidP="007968EC">
      <w:pPr>
        <w:autoSpaceDE w:val="0"/>
        <w:autoSpaceDN w:val="0"/>
        <w:adjustRightInd w:val="0"/>
        <w:ind w:left="426" w:hanging="284"/>
        <w:jc w:val="both"/>
        <w:rPr>
          <w:rFonts w:ascii="Arial Narrow" w:hAnsi="Arial Narrow" w:cs="Arial"/>
          <w:lang w:val="es-ES" w:eastAsia="es-ES"/>
        </w:rPr>
      </w:pPr>
      <w:r w:rsidRPr="002C0D19">
        <w:rPr>
          <w:rFonts w:ascii="Arial Narrow" w:hAnsi="Arial Narrow" w:cs="Arial"/>
          <w:lang w:val="es-ES" w:eastAsia="es-ES"/>
        </w:rPr>
        <w:t xml:space="preserve">2.  En el módulo de Custodios del sistema de la Bolsa es posible realizar la Consolidación de Operaciones o fracciones de operaciones, en la opción “Crear” que se encuentra en la pizarra de gestión de paquetes. En esta pizarra estarán disponibles todas las operaciones calzadas, complementadas y pendientes de cumplir, para que puedan agruparse o seleccionarse para conformar un paquete de Operaciones Repo. </w:t>
      </w:r>
    </w:p>
    <w:p w14:paraId="4A341D0E" w14:textId="77777777" w:rsidR="007968EC" w:rsidRPr="002C0D19" w:rsidRDefault="007968EC" w:rsidP="007968EC">
      <w:pPr>
        <w:autoSpaceDE w:val="0"/>
        <w:autoSpaceDN w:val="0"/>
        <w:adjustRightInd w:val="0"/>
        <w:jc w:val="both"/>
        <w:rPr>
          <w:rFonts w:ascii="Arial Narrow" w:hAnsi="Arial Narrow" w:cs="Arial"/>
          <w:lang w:val="es-ES" w:eastAsia="es-ES"/>
        </w:rPr>
      </w:pPr>
    </w:p>
    <w:p w14:paraId="4C4B8271" w14:textId="77777777" w:rsidR="007968EC" w:rsidRPr="002C0D19" w:rsidRDefault="007968EC" w:rsidP="007968EC">
      <w:pPr>
        <w:autoSpaceDE w:val="0"/>
        <w:autoSpaceDN w:val="0"/>
        <w:adjustRightInd w:val="0"/>
        <w:ind w:left="426"/>
        <w:jc w:val="both"/>
        <w:rPr>
          <w:rFonts w:ascii="Arial Narrow" w:hAnsi="Arial Narrow" w:cs="Arial"/>
          <w:lang w:val="es-ES" w:eastAsia="es-ES"/>
        </w:rPr>
      </w:pPr>
      <w:r w:rsidRPr="002C0D19">
        <w:rPr>
          <w:rFonts w:ascii="Arial Narrow" w:hAnsi="Arial Narrow" w:cs="Arial"/>
          <w:lang w:val="es-ES" w:eastAsia="es-ES"/>
        </w:rPr>
        <w:t xml:space="preserve">Para finalizar la creación del paquete de Operaciones Repo se debe seleccionar la opción “Aceptar”. El sistema de la Bolsa indicará que el paquete de Operaciones Repo fue creado exitosamente y asignará el número con el cual dicho paquete se identificará. </w:t>
      </w:r>
    </w:p>
    <w:p w14:paraId="07D81986" w14:textId="77777777" w:rsidR="007968EC" w:rsidRPr="002C0D19" w:rsidRDefault="007968EC" w:rsidP="007968EC">
      <w:pPr>
        <w:tabs>
          <w:tab w:val="left" w:pos="0"/>
          <w:tab w:val="right" w:pos="8400"/>
        </w:tabs>
        <w:ind w:right="-42"/>
        <w:jc w:val="both"/>
        <w:rPr>
          <w:rFonts w:ascii="Arial Narrow" w:hAnsi="Arial Narrow" w:cs="Arial"/>
          <w:lang w:eastAsia="es-ES"/>
        </w:rPr>
      </w:pPr>
    </w:p>
    <w:p w14:paraId="0857CF73" w14:textId="77777777" w:rsidR="007968EC" w:rsidRPr="002C0D19" w:rsidRDefault="007968EC" w:rsidP="007968EC">
      <w:pPr>
        <w:pStyle w:val="ARTICULO0"/>
      </w:pPr>
      <w:bookmarkStart w:id="6162" w:name="_Toc31716397"/>
      <w:r w:rsidRPr="002C0D19">
        <w:t>Artículo 4.4.5.3. Información a la Cámara sobre la Consolidación de Operaciones Repo.</w:t>
      </w:r>
      <w:bookmarkEnd w:id="6162"/>
    </w:p>
    <w:p w14:paraId="2BBE10DF" w14:textId="77777777" w:rsidR="007968EC" w:rsidRPr="002C0D19" w:rsidRDefault="007968EC" w:rsidP="007968EC">
      <w:pPr>
        <w:tabs>
          <w:tab w:val="left" w:pos="0"/>
          <w:tab w:val="right" w:pos="8400"/>
        </w:tabs>
        <w:ind w:right="-42"/>
        <w:jc w:val="both"/>
        <w:rPr>
          <w:rFonts w:ascii="Arial Narrow" w:hAnsi="Arial Narrow" w:cs="Arial"/>
          <w:b/>
          <w:u w:val="single"/>
          <w:lang w:val="es-ES" w:eastAsia="es-ES"/>
        </w:rPr>
      </w:pPr>
    </w:p>
    <w:p w14:paraId="359A074A" w14:textId="77777777" w:rsidR="007968EC" w:rsidRPr="002C0D19" w:rsidRDefault="007968EC" w:rsidP="007968EC">
      <w:pPr>
        <w:jc w:val="both"/>
        <w:rPr>
          <w:rFonts w:ascii="Arial Narrow" w:hAnsi="Arial Narrow" w:cs="Arial"/>
          <w:bCs/>
          <w:lang w:val="es-ES" w:eastAsia="es-ES"/>
        </w:rPr>
      </w:pPr>
      <w:r w:rsidRPr="002C0D19">
        <w:rPr>
          <w:rFonts w:ascii="Arial Narrow" w:hAnsi="Arial Narrow" w:cs="Arial"/>
          <w:bCs/>
          <w:lang w:val="es-ES" w:eastAsia="es-ES"/>
        </w:rPr>
        <w:t xml:space="preserve">La Cámara recibirá de la Bolsa las Operaciones Repo y/o fracciones de operaciones, según el caso, que serán objeto del procedimiento de Admisión por parte de los Agentes, con una marcación que así las identifique. La Cámara no participará en la conformación de los paquetes de Operaciones ni tendrá acceso a la información de los mismos. </w:t>
      </w:r>
    </w:p>
    <w:p w14:paraId="71167846" w14:textId="77777777" w:rsidR="007968EC" w:rsidRPr="002C0D19" w:rsidRDefault="007968EC" w:rsidP="007968EC">
      <w:pPr>
        <w:tabs>
          <w:tab w:val="left" w:pos="0"/>
          <w:tab w:val="right" w:pos="8400"/>
        </w:tabs>
        <w:ind w:right="-42"/>
        <w:jc w:val="both"/>
        <w:rPr>
          <w:rFonts w:ascii="Arial Narrow" w:hAnsi="Arial Narrow" w:cs="Arial"/>
          <w:b/>
          <w:u w:val="single"/>
          <w:lang w:val="es-ES" w:eastAsia="es-ES"/>
        </w:rPr>
      </w:pPr>
    </w:p>
    <w:p w14:paraId="0610FFD5" w14:textId="77777777" w:rsidR="007968EC" w:rsidRPr="002C0D19" w:rsidRDefault="007968EC" w:rsidP="007968EC">
      <w:pPr>
        <w:pStyle w:val="ARTICULO0"/>
      </w:pPr>
      <w:bookmarkStart w:id="6163" w:name="_Toc31716398"/>
      <w:r w:rsidRPr="002C0D19">
        <w:t>Artículo 4.4.5.4. Traslado de la Consolidación de Operaciones Repo.</w:t>
      </w:r>
      <w:bookmarkEnd w:id="6163"/>
    </w:p>
    <w:p w14:paraId="55333F28" w14:textId="77777777" w:rsidR="007968EC" w:rsidRPr="002C0D19" w:rsidRDefault="007968EC" w:rsidP="007968EC">
      <w:pPr>
        <w:tabs>
          <w:tab w:val="left" w:pos="0"/>
          <w:tab w:val="right" w:pos="8400"/>
        </w:tabs>
        <w:ind w:right="-42"/>
        <w:contextualSpacing/>
        <w:jc w:val="both"/>
        <w:rPr>
          <w:rFonts w:ascii="Arial Narrow" w:hAnsi="Arial Narrow" w:cs="Arial"/>
          <w:b/>
          <w:color w:val="0070C0"/>
          <w:u w:val="single"/>
          <w:lang w:val="es-ES" w:eastAsia="es-ES"/>
        </w:rPr>
      </w:pPr>
    </w:p>
    <w:p w14:paraId="2A0AC4E3"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lang w:val="es-ES" w:eastAsia="es-ES"/>
        </w:rPr>
        <w:t xml:space="preserve">Con posterioridad al envío </w:t>
      </w:r>
      <w:r w:rsidRPr="002C0D19">
        <w:rPr>
          <w:rFonts w:ascii="Arial Narrow" w:hAnsi="Arial Narrow" w:cs="Arial"/>
          <w:bCs/>
          <w:lang w:val="es-ES" w:eastAsia="es-ES"/>
        </w:rPr>
        <w:t>de la Bolsa a la Cámara</w:t>
      </w:r>
      <w:r w:rsidRPr="002C0D19">
        <w:rPr>
          <w:rFonts w:ascii="Arial Narrow" w:hAnsi="Arial Narrow" w:cs="Arial"/>
          <w:lang w:val="es-ES" w:eastAsia="es-ES"/>
        </w:rPr>
        <w:t xml:space="preserve"> de las </w:t>
      </w:r>
      <w:r w:rsidRPr="002C0D19">
        <w:rPr>
          <w:rFonts w:ascii="Arial Narrow" w:hAnsi="Arial Narrow" w:cs="Arial"/>
          <w:bCs/>
          <w:lang w:val="es-ES" w:eastAsia="es-ES"/>
        </w:rPr>
        <w:t>Operaciones Repo y/o fracciones de operaciones que serán objeto del procedimiento de Admisión por parte de los Agentes, los Miembros</w:t>
      </w:r>
      <w:r w:rsidRPr="002C0D19">
        <w:rPr>
          <w:rFonts w:ascii="Arial Narrow" w:hAnsi="Arial Narrow" w:cs="Arial"/>
          <w:lang w:val="es-ES" w:eastAsia="es-ES"/>
        </w:rPr>
        <w:t xml:space="preserve"> a través del sistema dispuesto por la Bolsa, deberán </w:t>
      </w:r>
      <w:r w:rsidRPr="002C0D19">
        <w:rPr>
          <w:rFonts w:ascii="Arial Narrow" w:hAnsi="Arial Narrow" w:cs="Arial"/>
          <w:bCs/>
          <w:lang w:val="es-ES" w:eastAsia="es-ES"/>
        </w:rPr>
        <w:t xml:space="preserve">dentro de la Sesión de Gestión de Agentes establecida en el artículo 4.7.1.1. de esta Circular, </w:t>
      </w:r>
      <w:r w:rsidRPr="002C0D19">
        <w:rPr>
          <w:rFonts w:ascii="Arial Narrow" w:hAnsi="Arial Narrow" w:cs="Arial"/>
          <w:lang w:val="es-ES" w:eastAsia="es-ES"/>
        </w:rPr>
        <w:t>trasladar a los Agentes los paquetes de Operaciones Repo mediante la selección de la opción “Trasladar” en la pizarra de gestión de paquetes del módulo de complementación del sistema de la Bolsa, seleccionando el Agente correspondiente. En el caso en que el Tercero sea un Fondo de Inversión Colectiva, el Miembro deberá indicar al trasladar el paquete, el código del Administrador de dicho Fondo.</w:t>
      </w:r>
    </w:p>
    <w:p w14:paraId="7A300CC2" w14:textId="77777777" w:rsidR="007968EC" w:rsidRPr="002C0D19" w:rsidRDefault="007968EC" w:rsidP="007968EC">
      <w:pPr>
        <w:tabs>
          <w:tab w:val="left" w:pos="0"/>
          <w:tab w:val="right" w:pos="8400"/>
        </w:tabs>
        <w:ind w:right="-42"/>
        <w:contextualSpacing/>
        <w:jc w:val="both"/>
        <w:rPr>
          <w:rFonts w:ascii="Arial Narrow" w:hAnsi="Arial Narrow" w:cs="Arial"/>
          <w:b/>
          <w:color w:val="0070C0"/>
          <w:u w:val="single"/>
          <w:lang w:val="es-ES" w:eastAsia="es-ES"/>
        </w:rPr>
      </w:pPr>
    </w:p>
    <w:p w14:paraId="20665595" w14:textId="77777777" w:rsidR="007968EC" w:rsidRDefault="007968EC" w:rsidP="007968EC">
      <w:pPr>
        <w:tabs>
          <w:tab w:val="left" w:pos="0"/>
          <w:tab w:val="right" w:pos="8400"/>
        </w:tabs>
        <w:ind w:right="-42"/>
        <w:contextualSpacing/>
        <w:jc w:val="both"/>
        <w:rPr>
          <w:rFonts w:ascii="Arial Narrow" w:hAnsi="Arial Narrow" w:cs="Arial"/>
          <w:bCs/>
          <w:lang w:val="es-ES" w:eastAsia="es-ES"/>
        </w:rPr>
      </w:pPr>
      <w:r w:rsidRPr="002C0D19">
        <w:rPr>
          <w:rFonts w:ascii="Arial Narrow" w:hAnsi="Arial Narrow" w:cs="Arial"/>
          <w:bCs/>
          <w:lang w:val="es-ES" w:eastAsia="es-ES"/>
        </w:rPr>
        <w:t>La Cámara no participará en el traslado de los paquetes de Operaciones ni tendrá acce</w:t>
      </w:r>
      <w:r>
        <w:rPr>
          <w:rFonts w:ascii="Arial Narrow" w:hAnsi="Arial Narrow" w:cs="Arial"/>
          <w:bCs/>
          <w:lang w:val="es-ES" w:eastAsia="es-ES"/>
        </w:rPr>
        <w:t>so a la información del mismo.</w:t>
      </w:r>
    </w:p>
    <w:p w14:paraId="10EDE636" w14:textId="77777777" w:rsidR="007968EC" w:rsidRPr="00935B4C" w:rsidRDefault="007968EC" w:rsidP="007968EC">
      <w:pPr>
        <w:tabs>
          <w:tab w:val="left" w:pos="0"/>
          <w:tab w:val="right" w:pos="8400"/>
        </w:tabs>
        <w:ind w:right="-42"/>
        <w:contextualSpacing/>
        <w:jc w:val="both"/>
        <w:rPr>
          <w:rFonts w:ascii="Arial Narrow" w:hAnsi="Arial Narrow" w:cs="Arial"/>
          <w:bCs/>
          <w:lang w:val="es-ES" w:eastAsia="es-ES"/>
        </w:rPr>
      </w:pPr>
      <w:r>
        <w:rPr>
          <w:rFonts w:ascii="Arial Narrow" w:hAnsi="Arial Narrow" w:cs="Arial"/>
          <w:bCs/>
          <w:lang w:val="es-ES" w:eastAsia="es-ES"/>
        </w:rPr>
        <w:t xml:space="preserve"> </w:t>
      </w:r>
    </w:p>
    <w:p w14:paraId="11A5581F" w14:textId="77777777" w:rsidR="007968EC" w:rsidRPr="002C0D19" w:rsidRDefault="007968EC" w:rsidP="007968EC">
      <w:pPr>
        <w:pStyle w:val="ARTICULO0"/>
        <w:rPr>
          <w:lang w:val="es-ES"/>
        </w:rPr>
      </w:pPr>
      <w:bookmarkStart w:id="6164" w:name="_Toc31716399"/>
      <w:r w:rsidRPr="002C0D19">
        <w:t>Artículo 4.4.5.5. Procedimiento de Admisión de Operaciones Repo.</w:t>
      </w:r>
      <w:bookmarkEnd w:id="6164"/>
    </w:p>
    <w:p w14:paraId="0F326113" w14:textId="77777777" w:rsidR="007968EC" w:rsidRPr="00545AB6" w:rsidRDefault="007968EC" w:rsidP="007968EC">
      <w:pPr>
        <w:jc w:val="both"/>
        <w:rPr>
          <w:rFonts w:ascii="Arial Narrow" w:eastAsia="Calibri" w:hAnsi="Arial Narrow"/>
          <w:bCs/>
          <w:color w:val="000000" w:themeColor="text1"/>
        </w:rPr>
      </w:pPr>
    </w:p>
    <w:p w14:paraId="1AC2D824"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lang w:val="es-ES" w:eastAsia="es-ES"/>
        </w:rPr>
        <w:t xml:space="preserve">El Agente a través del sistema dispuesto por la Bolsa podrá Admitir el paquete de Operaciones mediante la selección de la opción “Admitir”, en caso contrario deberá proceder a su rechazo de acuerdo a lo previsto en </w:t>
      </w:r>
      <w:r w:rsidRPr="002C0D19">
        <w:rPr>
          <w:rFonts w:ascii="Arial Narrow" w:hAnsi="Arial Narrow" w:cs="Arial"/>
          <w:lang w:val="es-ES" w:eastAsia="es-ES"/>
        </w:rPr>
        <w:lastRenderedPageBreak/>
        <w:t xml:space="preserve">el </w:t>
      </w:r>
      <w:r w:rsidRPr="002C0D19">
        <w:rPr>
          <w:rFonts w:ascii="Arial Narrow" w:hAnsi="Arial Narrow" w:cs="Arial"/>
          <w:bCs/>
          <w:lang w:val="es-ES" w:eastAsia="es-ES"/>
        </w:rPr>
        <w:t>artículo 4.4.5.10.</w:t>
      </w:r>
      <w:r w:rsidRPr="002C0D19">
        <w:rPr>
          <w:rFonts w:ascii="Arial Narrow" w:hAnsi="Arial Narrow" w:cs="Arial"/>
          <w:b/>
          <w:bCs/>
          <w:lang w:val="es-ES" w:eastAsia="es-ES"/>
        </w:rPr>
        <w:t xml:space="preserve"> </w:t>
      </w:r>
      <w:r w:rsidRPr="002C0D19">
        <w:rPr>
          <w:rFonts w:ascii="Arial Narrow" w:hAnsi="Arial Narrow" w:cs="Arial"/>
          <w:bCs/>
          <w:lang w:val="es-ES" w:eastAsia="es-ES"/>
        </w:rPr>
        <w:t>de la presente Circular.</w:t>
      </w:r>
      <w:r w:rsidRPr="002C0D19">
        <w:rPr>
          <w:rFonts w:ascii="Arial Narrow" w:hAnsi="Arial Narrow" w:cs="Arial"/>
          <w:b/>
          <w:bCs/>
          <w:lang w:val="es-ES" w:eastAsia="es-ES"/>
        </w:rPr>
        <w:t xml:space="preserve"> </w:t>
      </w:r>
      <w:r w:rsidRPr="002C0D19">
        <w:rPr>
          <w:rFonts w:ascii="Arial Narrow" w:hAnsi="Arial Narrow" w:cs="Arial"/>
          <w:bCs/>
          <w:lang w:val="es-ES" w:eastAsia="es-ES"/>
        </w:rPr>
        <w:t>El procedimiento de Admisión de Operaciones Repo deberá cumplirse por parte del Agente dentro de la Sesión de Gestión de Agentes establecida en el artículo 4.7.1.1</w:t>
      </w:r>
      <w:r w:rsidRPr="002C0D19">
        <w:rPr>
          <w:rFonts w:ascii="Arial Narrow" w:hAnsi="Arial Narrow" w:cs="Arial"/>
          <w:lang w:val="es-ES" w:eastAsia="es-ES"/>
        </w:rPr>
        <w:t xml:space="preserve">. </w:t>
      </w:r>
      <w:r w:rsidRPr="002C0D19">
        <w:rPr>
          <w:rFonts w:ascii="Arial Narrow" w:hAnsi="Arial Narrow" w:cs="Arial"/>
          <w:bCs/>
          <w:lang w:val="es-ES" w:eastAsia="es-ES"/>
        </w:rPr>
        <w:t>de esta Circular.</w:t>
      </w:r>
    </w:p>
    <w:p w14:paraId="3FEAA66F" w14:textId="77777777" w:rsidR="007968EC" w:rsidRPr="002C0D19" w:rsidRDefault="007968EC" w:rsidP="007968EC">
      <w:pPr>
        <w:ind w:left="708"/>
        <w:rPr>
          <w:rFonts w:ascii="Arial Narrow" w:hAnsi="Arial Narrow" w:cs="Arial"/>
          <w:bCs/>
          <w:lang w:val="es-ES" w:eastAsia="es-ES"/>
        </w:rPr>
      </w:pPr>
    </w:p>
    <w:p w14:paraId="27FFC37F"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lang w:val="es-ES" w:eastAsia="es-ES"/>
        </w:rPr>
        <w:t>En el momento en que un Agente admite un paquete de Operaciones repo, operativamente se entiende que la Admisión comprende los flujos de salida y de regreso de las Operaciones Repo y/o fracciones de una operación que lo conforman.</w:t>
      </w:r>
    </w:p>
    <w:p w14:paraId="19FBAA71" w14:textId="77777777" w:rsidR="007968EC" w:rsidRPr="002C0D19" w:rsidRDefault="007968EC" w:rsidP="007968EC">
      <w:pPr>
        <w:jc w:val="both"/>
        <w:rPr>
          <w:rFonts w:ascii="Arial Narrow" w:hAnsi="Arial Narrow" w:cs="Arial"/>
          <w:bCs/>
          <w:lang w:eastAsia="es-ES"/>
        </w:rPr>
      </w:pPr>
    </w:p>
    <w:p w14:paraId="66C67994" w14:textId="77777777" w:rsidR="007968EC" w:rsidRPr="002C0D19" w:rsidRDefault="007968EC" w:rsidP="007968EC">
      <w:pPr>
        <w:pStyle w:val="ARTICULO0"/>
      </w:pPr>
      <w:bookmarkStart w:id="6165" w:name="_Toc31716400"/>
      <w:r w:rsidRPr="002C0D19">
        <w:t>Artículo 4.4.5.6. Información recibida por la Cámara sobre Operaciones Repo Admitidas por un Agente.</w:t>
      </w:r>
      <w:bookmarkEnd w:id="6165"/>
    </w:p>
    <w:p w14:paraId="67331C5F" w14:textId="77777777" w:rsidR="007968EC" w:rsidRPr="002C0D19" w:rsidRDefault="007968EC" w:rsidP="007968EC">
      <w:pPr>
        <w:tabs>
          <w:tab w:val="left" w:pos="0"/>
          <w:tab w:val="right" w:pos="8400"/>
        </w:tabs>
        <w:ind w:right="-42"/>
        <w:jc w:val="both"/>
        <w:rPr>
          <w:rFonts w:ascii="Arial Narrow" w:hAnsi="Arial Narrow" w:cs="Arial"/>
          <w:b/>
          <w:u w:val="single"/>
          <w:lang w:val="es-ES" w:eastAsia="es-ES"/>
        </w:rPr>
      </w:pPr>
    </w:p>
    <w:p w14:paraId="2ED46126" w14:textId="77777777" w:rsidR="007968EC" w:rsidRPr="002C0D19" w:rsidRDefault="007968EC" w:rsidP="007968EC">
      <w:pPr>
        <w:tabs>
          <w:tab w:val="left" w:pos="0"/>
          <w:tab w:val="right" w:pos="8400"/>
        </w:tabs>
        <w:ind w:right="-42"/>
        <w:jc w:val="both"/>
        <w:rPr>
          <w:rFonts w:ascii="Arial Narrow" w:hAnsi="Arial Narrow" w:cs="Arial"/>
          <w:bCs/>
          <w:lang w:val="es-ES" w:eastAsia="es-ES"/>
        </w:rPr>
      </w:pPr>
      <w:r w:rsidRPr="002C0D19">
        <w:rPr>
          <w:rFonts w:ascii="Arial Narrow" w:hAnsi="Arial Narrow" w:cs="Arial"/>
          <w:bCs/>
          <w:lang w:val="es-ES" w:eastAsia="es-ES"/>
        </w:rPr>
        <w:t>La Bolsa informará a la Cámara la Admisión de Operaciones Repo y/o fracciones de una operación por parte del Agente dentro del horario de la Sesión de Gestión de Agentes establecida en el artículo 4.7.1.1</w:t>
      </w:r>
      <w:r w:rsidRPr="002C0D19">
        <w:rPr>
          <w:rFonts w:ascii="Arial Narrow" w:hAnsi="Arial Narrow" w:cs="Arial"/>
          <w:lang w:val="es-ES" w:eastAsia="es-ES"/>
        </w:rPr>
        <w:t xml:space="preserve">. </w:t>
      </w:r>
      <w:r w:rsidRPr="002C0D19">
        <w:rPr>
          <w:rFonts w:ascii="Arial Narrow" w:hAnsi="Arial Narrow" w:cs="Arial"/>
          <w:bCs/>
          <w:lang w:val="es-ES" w:eastAsia="es-ES"/>
        </w:rPr>
        <w:t>de esta Circular. Finalizado el horario antes indicado, sin que la Cámara haya recibido información sobre la Admisión de una Operación Repo y/o fracción de una operación, tales Operaciones Repo y/o fracciones de una operación, se tendrán como no Admitidas.</w:t>
      </w:r>
    </w:p>
    <w:p w14:paraId="249FB337" w14:textId="77777777" w:rsidR="007968EC" w:rsidRPr="002C0D19" w:rsidRDefault="007968EC" w:rsidP="007968EC">
      <w:pPr>
        <w:jc w:val="both"/>
        <w:rPr>
          <w:rFonts w:ascii="Arial Narrow" w:hAnsi="Arial Narrow" w:cs="Arial"/>
          <w:bCs/>
          <w:lang w:val="es-ES" w:eastAsia="es-ES"/>
        </w:rPr>
      </w:pPr>
    </w:p>
    <w:p w14:paraId="1DAB189A" w14:textId="77777777" w:rsidR="007968EC" w:rsidRPr="002C0D19" w:rsidRDefault="007968EC" w:rsidP="007968EC">
      <w:pPr>
        <w:jc w:val="both"/>
        <w:rPr>
          <w:rFonts w:ascii="Arial Narrow" w:hAnsi="Arial Narrow" w:cs="Arial"/>
          <w:bCs/>
          <w:lang w:val="es-ES" w:eastAsia="es-ES"/>
        </w:rPr>
      </w:pPr>
      <w:r w:rsidRPr="002C0D19">
        <w:rPr>
          <w:rFonts w:ascii="Arial Narrow" w:hAnsi="Arial Narrow" w:cs="Arial"/>
          <w:bCs/>
          <w:lang w:val="es-ES" w:eastAsia="es-ES"/>
        </w:rPr>
        <w:t xml:space="preserve">A partir del recibo de la información sobre la Admisión de las Operaciones Repo y/o fracción de una operación, la Cámara solicitará al Deceval verificar la </w:t>
      </w:r>
      <w:r w:rsidRPr="002C0D19">
        <w:rPr>
          <w:rFonts w:ascii="Arial Narrow" w:eastAsia="Calibri" w:hAnsi="Arial Narrow"/>
          <w:lang w:val="es-ES"/>
        </w:rPr>
        <w:t xml:space="preserve">existencia del saldo correspondiente al Monto Inicial de la Operación Repo en la cuenta de efectivo del Agente y efectuar el respectivo asiento contable, o enviará </w:t>
      </w:r>
      <w:r w:rsidRPr="002C0D19">
        <w:rPr>
          <w:rFonts w:ascii="Arial Narrow" w:hAnsi="Arial Narrow" w:cs="Arial"/>
          <w:bCs/>
          <w:lang w:val="es-ES" w:eastAsia="es-ES"/>
        </w:rPr>
        <w:t>la instrucción de liquidación correspondiente, según se trate de operaciones Susceptibles de ser Aceptadas o de operaciones Aceptadas por la Cámara, respectivamente.</w:t>
      </w:r>
    </w:p>
    <w:p w14:paraId="47DB9AB2" w14:textId="77777777" w:rsidR="007968EC" w:rsidRPr="002C0D19" w:rsidRDefault="007968EC" w:rsidP="007968EC">
      <w:pPr>
        <w:jc w:val="both"/>
        <w:rPr>
          <w:rFonts w:ascii="Arial Narrow" w:hAnsi="Arial Narrow" w:cs="Arial"/>
          <w:bCs/>
          <w:lang w:val="es-ES" w:eastAsia="es-ES"/>
        </w:rPr>
      </w:pPr>
    </w:p>
    <w:p w14:paraId="4ECA74D5" w14:textId="77777777" w:rsidR="007968EC" w:rsidRPr="002C0D19" w:rsidRDefault="007968EC" w:rsidP="007968EC">
      <w:pPr>
        <w:jc w:val="both"/>
        <w:rPr>
          <w:rFonts w:ascii="Arial Narrow" w:hAnsi="Arial Narrow" w:cs="Arial"/>
          <w:bCs/>
          <w:lang w:val="es-ES" w:eastAsia="es-ES"/>
        </w:rPr>
      </w:pPr>
      <w:r w:rsidRPr="002C0D19">
        <w:rPr>
          <w:rFonts w:ascii="Arial Narrow" w:hAnsi="Arial Narrow" w:cs="Arial"/>
          <w:bCs/>
          <w:lang w:val="es-ES" w:eastAsia="es-ES"/>
        </w:rPr>
        <w:t>En el evento en que la Cámara no reciba la información sobre la Admisión de las Operaciones Repo y/o fracción de una operación por parte de la Bolsa durante la Sesión de Gestión de Agentes, la Cámara realizará los procedimientos descritos en el último inciso del literal b del numeral 4 del artículo 4.2.1.1.  y en el artículo 4.4.3.1. de la presente Circular según se trate de operaciones Susceptibles de ser Aceptadas o de operaciones Aceptadas por la Cámara, respectivamente.</w:t>
      </w:r>
    </w:p>
    <w:p w14:paraId="47F0E4DF" w14:textId="77777777" w:rsidR="007968EC" w:rsidRPr="002C0D19" w:rsidRDefault="007968EC" w:rsidP="007968EC">
      <w:pPr>
        <w:jc w:val="both"/>
        <w:rPr>
          <w:rFonts w:ascii="Arial Narrow" w:hAnsi="Arial Narrow" w:cs="Arial"/>
          <w:bCs/>
          <w:lang w:val="es-ES" w:eastAsia="es-ES"/>
        </w:rPr>
      </w:pPr>
    </w:p>
    <w:p w14:paraId="7F892283" w14:textId="77777777" w:rsidR="007968EC" w:rsidRPr="002C0D19" w:rsidRDefault="007968EC" w:rsidP="007968EC">
      <w:pPr>
        <w:pStyle w:val="ARTICULO0"/>
        <w:rPr>
          <w:lang w:val="es-ES"/>
        </w:rPr>
      </w:pPr>
      <w:bookmarkStart w:id="6166" w:name="_Toc490066721"/>
      <w:bookmarkStart w:id="6167" w:name="_Toc31716401"/>
      <w:r w:rsidRPr="002C0D19">
        <w:rPr>
          <w:lang w:val="es-ES"/>
        </w:rPr>
        <w:t>Artículo 4.4.5.7. Proceso de Devolución de la Consolidación de Operaciones Repo por parte de un Agente.</w:t>
      </w:r>
      <w:bookmarkEnd w:id="6166"/>
      <w:bookmarkEnd w:id="6167"/>
      <w:r w:rsidRPr="002C0D19">
        <w:rPr>
          <w:lang w:val="es-ES"/>
        </w:rPr>
        <w:t xml:space="preserve"> </w:t>
      </w:r>
    </w:p>
    <w:p w14:paraId="4AFE042F" w14:textId="77777777" w:rsidR="007968EC" w:rsidRPr="002C0D19" w:rsidRDefault="007968EC" w:rsidP="007968EC">
      <w:pPr>
        <w:jc w:val="both"/>
        <w:rPr>
          <w:rFonts w:ascii="Arial Narrow" w:hAnsi="Arial Narrow" w:cs="Arial"/>
          <w:bCs/>
          <w:lang w:val="es-ES" w:eastAsia="es-ES"/>
        </w:rPr>
      </w:pPr>
    </w:p>
    <w:p w14:paraId="0DF35E03" w14:textId="77777777" w:rsidR="007968EC" w:rsidRPr="002C0D19" w:rsidRDefault="007968EC" w:rsidP="007968EC">
      <w:pPr>
        <w:jc w:val="both"/>
        <w:rPr>
          <w:rFonts w:ascii="Arial Narrow" w:hAnsi="Arial Narrow" w:cs="Arial"/>
          <w:bCs/>
          <w:lang w:val="es-ES" w:eastAsia="es-ES"/>
        </w:rPr>
      </w:pPr>
      <w:r w:rsidRPr="002C0D19">
        <w:rPr>
          <w:rFonts w:ascii="Arial Narrow" w:hAnsi="Arial Narrow" w:cs="Arial"/>
          <w:bCs/>
          <w:lang w:val="es-ES" w:eastAsia="es-ES"/>
        </w:rPr>
        <w:t>Los Agentes a través del sistema de la Bolsa podrán devolver los paquetes de Operaciones Repo a los Miembros que efectuaron el correspondiente traslado, en cualquier momento dentro del horario de la Sesión de Gestión de Agentes establecido en la presente Circular, siempre que no se haya cumplido las operaciones de salida de alguna de las Operaciones Repo y/o fracciones de una operación que componen el respectivo paquete.</w:t>
      </w:r>
    </w:p>
    <w:p w14:paraId="4C6A51E3" w14:textId="77777777" w:rsidR="007968EC" w:rsidRPr="002C0D19" w:rsidRDefault="007968EC" w:rsidP="007968EC">
      <w:pPr>
        <w:jc w:val="both"/>
        <w:rPr>
          <w:rFonts w:ascii="Arial Narrow" w:hAnsi="Arial Narrow" w:cs="Arial"/>
          <w:bCs/>
          <w:lang w:val="es-ES" w:eastAsia="es-ES"/>
        </w:rPr>
      </w:pPr>
    </w:p>
    <w:p w14:paraId="25D43F2B" w14:textId="77777777" w:rsidR="007968EC" w:rsidRPr="002C0D19" w:rsidRDefault="007968EC" w:rsidP="007968EC">
      <w:pPr>
        <w:jc w:val="both"/>
        <w:rPr>
          <w:rFonts w:ascii="Arial Narrow" w:hAnsi="Arial Narrow" w:cs="Arial"/>
          <w:bCs/>
          <w:lang w:val="es-ES" w:eastAsia="es-ES"/>
        </w:rPr>
      </w:pPr>
      <w:r w:rsidRPr="002C0D19" w:rsidDel="00246972">
        <w:rPr>
          <w:rFonts w:ascii="Arial Narrow" w:hAnsi="Arial Narrow" w:cs="Arial"/>
          <w:bCs/>
          <w:lang w:val="es-ES" w:eastAsia="es-ES"/>
        </w:rPr>
        <w:t xml:space="preserve"> </w:t>
      </w:r>
      <w:r w:rsidRPr="002C0D19">
        <w:rPr>
          <w:rFonts w:ascii="Arial Narrow" w:hAnsi="Arial Narrow" w:cs="Arial"/>
          <w:bCs/>
          <w:lang w:val="es-ES" w:eastAsia="es-ES"/>
        </w:rPr>
        <w:t>El procedimiento para la devolución de los paquetes de Operaciones Repo es el siguiente:</w:t>
      </w:r>
    </w:p>
    <w:p w14:paraId="5A8815F5" w14:textId="77777777" w:rsidR="007968EC" w:rsidRPr="002C0D19" w:rsidRDefault="007968EC" w:rsidP="007968EC">
      <w:pPr>
        <w:jc w:val="both"/>
        <w:rPr>
          <w:rFonts w:ascii="Arial Narrow" w:hAnsi="Arial Narrow" w:cs="Arial"/>
          <w:bCs/>
          <w:lang w:val="es-ES" w:eastAsia="es-ES"/>
        </w:rPr>
      </w:pPr>
    </w:p>
    <w:p w14:paraId="31BF40D4" w14:textId="77777777" w:rsidR="007968EC" w:rsidRPr="002C0D19" w:rsidRDefault="007968EC" w:rsidP="00DA7472">
      <w:pPr>
        <w:numPr>
          <w:ilvl w:val="0"/>
          <w:numId w:val="284"/>
        </w:numPr>
        <w:jc w:val="both"/>
        <w:rPr>
          <w:rFonts w:ascii="Arial Narrow" w:hAnsi="Arial Narrow" w:cs="Arial"/>
          <w:bCs/>
          <w:lang w:eastAsia="es-CO"/>
        </w:rPr>
      </w:pPr>
      <w:r w:rsidRPr="002C0D19">
        <w:rPr>
          <w:rFonts w:ascii="Arial Narrow" w:hAnsi="Arial Narrow" w:cs="Arial"/>
          <w:bCs/>
          <w:lang w:eastAsia="es-CO"/>
        </w:rPr>
        <w:t xml:space="preserve">El Miembro que realizó el traslado del paquete de Operaciones Repo al Agente deberá realizar ante la Cámara el procedimiento de Corrección de la Complementación de acuerdo con lo descrito en el </w:t>
      </w:r>
      <w:r w:rsidRPr="002C0D19">
        <w:rPr>
          <w:rFonts w:ascii="Arial Narrow" w:hAnsi="Arial Narrow" w:cs="Arial"/>
          <w:bCs/>
          <w:lang w:eastAsia="es-CO"/>
        </w:rPr>
        <w:lastRenderedPageBreak/>
        <w:t xml:space="preserve">Artículo 4.2.3.3. de la presente Circular para cada una de las Operaciones Repo o fracciones de una operación que serán objeto de la devolución. </w:t>
      </w:r>
    </w:p>
    <w:p w14:paraId="1126E347" w14:textId="77777777" w:rsidR="007968EC" w:rsidRPr="002C0D19" w:rsidRDefault="007968EC" w:rsidP="007968EC">
      <w:pPr>
        <w:ind w:left="720"/>
        <w:jc w:val="both"/>
        <w:rPr>
          <w:rFonts w:ascii="Arial Narrow" w:hAnsi="Arial Narrow" w:cs="Arial"/>
          <w:bCs/>
          <w:lang w:eastAsia="es-CO"/>
        </w:rPr>
      </w:pPr>
    </w:p>
    <w:p w14:paraId="1BE9E19A" w14:textId="77777777" w:rsidR="007968EC" w:rsidRPr="002C0D19" w:rsidRDefault="007968EC" w:rsidP="00DA7472">
      <w:pPr>
        <w:numPr>
          <w:ilvl w:val="0"/>
          <w:numId w:val="284"/>
        </w:numPr>
        <w:autoSpaceDE w:val="0"/>
        <w:autoSpaceDN w:val="0"/>
        <w:adjustRightInd w:val="0"/>
        <w:jc w:val="both"/>
        <w:rPr>
          <w:rFonts w:ascii="Arial Narrow" w:hAnsi="Arial Narrow" w:cs="Arial"/>
          <w:bCs/>
          <w:color w:val="000000"/>
          <w:lang w:val="es-ES" w:eastAsia="es-ES"/>
        </w:rPr>
      </w:pPr>
      <w:r w:rsidRPr="002C0D19">
        <w:rPr>
          <w:rFonts w:ascii="Arial Narrow" w:hAnsi="Arial Narrow" w:cs="Arial"/>
          <w:bCs/>
          <w:color w:val="000000"/>
          <w:lang w:val="es-ES" w:eastAsia="es-ES"/>
        </w:rPr>
        <w:t xml:space="preserve">En seguida, el Agente a través del sistema de la Bolsa, deberá seleccionar la opción “Rechazar” que será habilitada en la pizarra de gestión de paquetes del módulo de custodios e indicará las causales por las cuales está devolviendo el paquete de Operaciones Repo. </w:t>
      </w:r>
    </w:p>
    <w:p w14:paraId="76809D5F" w14:textId="77777777" w:rsidR="007968EC" w:rsidRPr="002C0D19" w:rsidRDefault="007968EC" w:rsidP="007968EC">
      <w:pPr>
        <w:autoSpaceDE w:val="0"/>
        <w:autoSpaceDN w:val="0"/>
        <w:adjustRightInd w:val="0"/>
        <w:rPr>
          <w:rFonts w:ascii="Arial Narrow" w:hAnsi="Arial Narrow" w:cs="Arial"/>
          <w:bCs/>
          <w:color w:val="000000"/>
          <w:lang w:val="es-ES" w:eastAsia="es-ES"/>
        </w:rPr>
      </w:pPr>
    </w:p>
    <w:p w14:paraId="3F2229D7" w14:textId="77777777" w:rsidR="007968EC" w:rsidRPr="002C0D19" w:rsidRDefault="007968EC" w:rsidP="00DA7472">
      <w:pPr>
        <w:numPr>
          <w:ilvl w:val="0"/>
          <w:numId w:val="284"/>
        </w:numPr>
        <w:jc w:val="both"/>
        <w:rPr>
          <w:rFonts w:ascii="Arial Narrow" w:eastAsia="Calibri" w:hAnsi="Arial Narrow" w:cs="Verdana"/>
          <w:bCs/>
          <w:color w:val="000000"/>
        </w:rPr>
      </w:pPr>
      <w:r w:rsidRPr="002C0D19">
        <w:rPr>
          <w:rFonts w:ascii="Arial Narrow" w:eastAsia="Calibri" w:hAnsi="Arial Narrow" w:cs="Verdana"/>
          <w:bCs/>
          <w:color w:val="000000"/>
        </w:rPr>
        <w:t xml:space="preserve">Al devolver un paquete, las Operaciones Repo y/o fracciones de una operación que lo conforman, estarán a disposición del Miembro en el sistema de la Bolsa para que finalice </w:t>
      </w:r>
      <w:r w:rsidRPr="002C0D19">
        <w:rPr>
          <w:rFonts w:ascii="Arial Narrow" w:hAnsi="Arial Narrow" w:cs="Arial"/>
          <w:bCs/>
          <w:lang w:eastAsia="es-CO"/>
        </w:rPr>
        <w:t>el procedimiento de Corrección de la Complementación de acuerdo con lo descrito en el Artículo 4.2.3.3. de la presente Circular</w:t>
      </w:r>
      <w:r w:rsidRPr="002C0D19">
        <w:rPr>
          <w:rFonts w:ascii="Arial Narrow" w:eastAsia="Calibri" w:hAnsi="Arial Narrow" w:cs="Verdana"/>
          <w:bCs/>
          <w:color w:val="000000"/>
        </w:rPr>
        <w:t>.</w:t>
      </w:r>
    </w:p>
    <w:p w14:paraId="1CABFF57" w14:textId="77777777" w:rsidR="007968EC" w:rsidRPr="002C0D19" w:rsidRDefault="007968EC" w:rsidP="007968EC">
      <w:pPr>
        <w:jc w:val="both"/>
        <w:rPr>
          <w:rFonts w:ascii="Arial Narrow" w:eastAsia="Calibri" w:hAnsi="Arial Narrow" w:cs="Verdana"/>
          <w:bCs/>
          <w:color w:val="000000"/>
        </w:rPr>
      </w:pPr>
    </w:p>
    <w:p w14:paraId="0D6F651B" w14:textId="77777777" w:rsidR="007968EC" w:rsidRPr="002C0D19" w:rsidRDefault="007968EC" w:rsidP="007968EC">
      <w:pPr>
        <w:jc w:val="both"/>
        <w:rPr>
          <w:rFonts w:ascii="Arial Narrow" w:hAnsi="Arial Narrow" w:cs="Arial"/>
          <w:bCs/>
          <w:lang w:val="es-ES" w:eastAsia="es-ES"/>
        </w:rPr>
      </w:pPr>
      <w:r w:rsidRPr="002C0D19">
        <w:rPr>
          <w:rFonts w:ascii="Arial Narrow" w:hAnsi="Arial Narrow" w:cs="Arial"/>
          <w:bCs/>
          <w:lang w:val="es-ES" w:eastAsia="es-ES"/>
        </w:rPr>
        <w:t>En los casos de devolución, las Operaciones y/o fracciones de una operación que conformaban el paquete, podrán ser nuevamente objeto del procedimiento de traslado al Agente, salvo que el Miembro esté actuando en nombre de fondos de inversión colectiva, caso en el cual debe trasladar nuevamente la consolidación de Operaciones al Agente para la compensación y liquidación de las Operaciones que lo componen, en cumplimiento de lo previsto en los artículos 2.37.1.1.2., 2.37.1.1.4. y 3.1.3.3.1. del Decreto 2555 de 2010, así como a las normas que los modifiquen, sustituyan y/o adicionen.</w:t>
      </w:r>
    </w:p>
    <w:p w14:paraId="05866EA4" w14:textId="77777777" w:rsidR="007968EC" w:rsidRPr="002C0D19" w:rsidRDefault="007968EC" w:rsidP="007968EC">
      <w:pPr>
        <w:tabs>
          <w:tab w:val="left" w:pos="0"/>
          <w:tab w:val="right" w:pos="8400"/>
        </w:tabs>
        <w:ind w:right="-42"/>
        <w:contextualSpacing/>
        <w:jc w:val="both"/>
        <w:rPr>
          <w:rFonts w:ascii="Arial Narrow" w:hAnsi="Arial Narrow" w:cs="Arial"/>
          <w:bCs/>
          <w:lang w:val="es-ES" w:eastAsia="es-ES"/>
        </w:rPr>
      </w:pPr>
    </w:p>
    <w:p w14:paraId="114F350A" w14:textId="77777777" w:rsidR="007968EC" w:rsidRPr="002C0D19" w:rsidRDefault="007968EC" w:rsidP="007968EC">
      <w:pPr>
        <w:tabs>
          <w:tab w:val="left" w:pos="0"/>
          <w:tab w:val="right" w:pos="8400"/>
        </w:tabs>
        <w:ind w:right="-42"/>
        <w:contextualSpacing/>
        <w:jc w:val="both"/>
        <w:rPr>
          <w:rFonts w:ascii="Arial Narrow" w:hAnsi="Arial Narrow" w:cs="Arial"/>
          <w:bCs/>
          <w:lang w:val="es-ES" w:eastAsia="es-ES"/>
        </w:rPr>
      </w:pPr>
      <w:r w:rsidRPr="002C0D19">
        <w:rPr>
          <w:rFonts w:ascii="Arial Narrow" w:hAnsi="Arial Narrow" w:cs="Arial"/>
          <w:bCs/>
          <w:lang w:val="es-ES" w:eastAsia="es-ES"/>
        </w:rPr>
        <w:t xml:space="preserve">La Cámara no participará en la devolución de los paquetes de Operaciones Repo ni tendrá acceso a la información de la misma. </w:t>
      </w:r>
    </w:p>
    <w:p w14:paraId="26B28199" w14:textId="77777777" w:rsidR="007968EC" w:rsidRPr="002C0D19" w:rsidRDefault="007968EC" w:rsidP="007968EC">
      <w:pPr>
        <w:tabs>
          <w:tab w:val="left" w:pos="0"/>
          <w:tab w:val="right" w:pos="8400"/>
        </w:tabs>
        <w:ind w:right="-42"/>
        <w:contextualSpacing/>
        <w:jc w:val="both"/>
        <w:rPr>
          <w:rFonts w:ascii="Arial Narrow" w:hAnsi="Arial Narrow" w:cs="Arial"/>
          <w:bCs/>
          <w:lang w:val="es-ES" w:eastAsia="es-ES"/>
        </w:rPr>
      </w:pPr>
    </w:p>
    <w:p w14:paraId="29229091" w14:textId="77777777" w:rsidR="007968EC" w:rsidRPr="002C0D19" w:rsidRDefault="007968EC" w:rsidP="007968EC">
      <w:pPr>
        <w:pStyle w:val="ARTICULO0"/>
        <w:rPr>
          <w:lang w:val="es-ES"/>
        </w:rPr>
      </w:pPr>
      <w:bookmarkStart w:id="6168" w:name="_Toc490066722"/>
      <w:bookmarkStart w:id="6169" w:name="_Toc31716402"/>
      <w:r w:rsidRPr="002C0D19">
        <w:rPr>
          <w:lang w:val="es-ES"/>
        </w:rPr>
        <w:t>Artículo 4.4.5.8. Proceso de Exclusión de la Consolidación de Operaciones Repo por parte de un Agente.</w:t>
      </w:r>
      <w:bookmarkEnd w:id="6168"/>
      <w:bookmarkEnd w:id="6169"/>
      <w:r w:rsidRPr="002C0D19">
        <w:rPr>
          <w:lang w:val="es-ES"/>
        </w:rPr>
        <w:t xml:space="preserve"> </w:t>
      </w:r>
    </w:p>
    <w:p w14:paraId="2E10D72E" w14:textId="77777777" w:rsidR="007968EC" w:rsidRPr="002C0D19" w:rsidRDefault="007968EC" w:rsidP="007968EC">
      <w:pPr>
        <w:jc w:val="both"/>
        <w:rPr>
          <w:rFonts w:ascii="Arial Narrow" w:hAnsi="Arial Narrow" w:cs="Arial"/>
          <w:bCs/>
          <w:lang w:val="es-ES" w:eastAsia="es-ES"/>
        </w:rPr>
      </w:pPr>
    </w:p>
    <w:p w14:paraId="571BC4A5" w14:textId="77777777" w:rsidR="007968EC" w:rsidRPr="002C0D19" w:rsidRDefault="007968EC" w:rsidP="007968EC">
      <w:pPr>
        <w:jc w:val="both"/>
        <w:rPr>
          <w:rFonts w:ascii="Arial Narrow" w:hAnsi="Arial Narrow" w:cs="Arial"/>
          <w:bCs/>
          <w:lang w:val="es-ES" w:eastAsia="es-ES"/>
        </w:rPr>
      </w:pPr>
      <w:r w:rsidRPr="002C0D19">
        <w:rPr>
          <w:rFonts w:ascii="Arial Narrow" w:hAnsi="Arial Narrow" w:cs="Arial"/>
          <w:bCs/>
          <w:lang w:val="es-ES" w:eastAsia="es-ES"/>
        </w:rPr>
        <w:t>Los Agentes a través del sistema de la Bolsa podrán excluir Operaciones Repo y/o fracciones de una operación que conforman un paquete de Operaciones Repo dentro del horario de la Sesión de Gestión de Agentes establecido en el artículo 4.7.1.1</w:t>
      </w:r>
      <w:r w:rsidRPr="002C0D19">
        <w:rPr>
          <w:rFonts w:ascii="Arial Narrow" w:hAnsi="Arial Narrow" w:cs="Arial"/>
          <w:lang w:val="es-ES" w:eastAsia="es-ES"/>
        </w:rPr>
        <w:t xml:space="preserve">. </w:t>
      </w:r>
      <w:r w:rsidRPr="002C0D19">
        <w:rPr>
          <w:rFonts w:ascii="Arial Narrow" w:hAnsi="Arial Narrow" w:cs="Arial"/>
          <w:bCs/>
          <w:lang w:val="es-ES" w:eastAsia="es-ES"/>
        </w:rPr>
        <w:t>de esta Circular, siempre que no se hayan cumplido las operaciones de salida de las Operaciones Repo y/o fracciones de una operación que se deseen excluir.</w:t>
      </w:r>
    </w:p>
    <w:p w14:paraId="5F53CBFA" w14:textId="77777777" w:rsidR="007968EC" w:rsidRPr="002C0D19" w:rsidRDefault="007968EC" w:rsidP="007968EC">
      <w:pPr>
        <w:jc w:val="both"/>
        <w:rPr>
          <w:rFonts w:ascii="Arial Narrow" w:eastAsia="Calibri" w:hAnsi="Arial Narrow" w:cs="Verdana"/>
          <w:bCs/>
          <w:color w:val="000000"/>
        </w:rPr>
      </w:pPr>
    </w:p>
    <w:p w14:paraId="2CC50E16" w14:textId="77777777" w:rsidR="007968EC" w:rsidRPr="002C0D19" w:rsidRDefault="007968EC" w:rsidP="007968EC">
      <w:pPr>
        <w:jc w:val="both"/>
        <w:rPr>
          <w:rFonts w:ascii="Arial Narrow" w:hAnsi="Arial Narrow" w:cs="Arial"/>
          <w:bCs/>
          <w:lang w:val="es-ES" w:eastAsia="es-ES"/>
        </w:rPr>
      </w:pPr>
      <w:r w:rsidRPr="002C0D19">
        <w:rPr>
          <w:rFonts w:ascii="Arial Narrow" w:hAnsi="Arial Narrow" w:cs="Arial"/>
          <w:bCs/>
          <w:lang w:val="es-ES" w:eastAsia="es-ES"/>
        </w:rPr>
        <w:t>El procedimiento para exclusión de Operaciones Repo y/o fracciones de una operación que conforman un paquete de Operaciones Repo es el siguiente:</w:t>
      </w:r>
    </w:p>
    <w:p w14:paraId="1EBA3AC9" w14:textId="77777777" w:rsidR="007968EC" w:rsidRPr="002C0D19" w:rsidRDefault="007968EC" w:rsidP="007968EC">
      <w:pPr>
        <w:jc w:val="both"/>
        <w:rPr>
          <w:rFonts w:ascii="Arial Narrow" w:hAnsi="Arial Narrow" w:cs="Arial"/>
          <w:bCs/>
          <w:lang w:val="es-ES" w:eastAsia="es-ES"/>
        </w:rPr>
      </w:pPr>
    </w:p>
    <w:p w14:paraId="696DEDDC" w14:textId="77777777" w:rsidR="007968EC" w:rsidRPr="002C0D19" w:rsidRDefault="007968EC" w:rsidP="00DA7472">
      <w:pPr>
        <w:numPr>
          <w:ilvl w:val="0"/>
          <w:numId w:val="294"/>
        </w:numPr>
        <w:jc w:val="both"/>
        <w:rPr>
          <w:rFonts w:ascii="Arial Narrow" w:hAnsi="Arial Narrow" w:cs="Arial"/>
          <w:bCs/>
          <w:lang w:eastAsia="es-CO"/>
        </w:rPr>
      </w:pPr>
      <w:r w:rsidRPr="002C0D19">
        <w:rPr>
          <w:rFonts w:ascii="Arial Narrow" w:hAnsi="Arial Narrow" w:cs="Arial"/>
          <w:bCs/>
          <w:lang w:eastAsia="es-CO"/>
        </w:rPr>
        <w:t xml:space="preserve">El Miembro que realizó el traslado del paquete de Operaciones Repo al Agente, deberá realizar ante la Cámara el procedimiento de corrección de la Complementación de acuerdo con lo descrito en el Artículo 4.2.3.3. de la presente Circular para cada una de las Operaciones Repo y/o fracciones de una operación que serán objeto de la exclusión. </w:t>
      </w:r>
    </w:p>
    <w:p w14:paraId="394AFDA5" w14:textId="77777777" w:rsidR="007968EC" w:rsidRPr="002C0D19" w:rsidRDefault="007968EC" w:rsidP="007968EC">
      <w:pPr>
        <w:ind w:left="720"/>
        <w:jc w:val="both"/>
        <w:rPr>
          <w:rFonts w:ascii="Arial Narrow" w:hAnsi="Arial Narrow" w:cs="Arial"/>
          <w:bCs/>
          <w:lang w:eastAsia="es-CO"/>
        </w:rPr>
      </w:pPr>
    </w:p>
    <w:p w14:paraId="0CF16BED" w14:textId="77777777" w:rsidR="007968EC" w:rsidRPr="002C0D19" w:rsidRDefault="007968EC" w:rsidP="00DA7472">
      <w:pPr>
        <w:numPr>
          <w:ilvl w:val="0"/>
          <w:numId w:val="294"/>
        </w:numPr>
        <w:jc w:val="both"/>
        <w:rPr>
          <w:rFonts w:ascii="Arial Narrow" w:eastAsia="Calibri" w:hAnsi="Arial Narrow" w:cs="Verdana"/>
          <w:bCs/>
          <w:color w:val="000000"/>
        </w:rPr>
      </w:pPr>
      <w:r w:rsidRPr="002C0D19">
        <w:rPr>
          <w:rFonts w:ascii="Arial Narrow" w:eastAsia="Calibri" w:hAnsi="Arial Narrow" w:cs="Verdana"/>
          <w:bCs/>
          <w:color w:val="000000"/>
        </w:rPr>
        <w:t xml:space="preserve">En seguida, el Agente deberá seleccionar la opción “Excluir”, la cual está habilitada desde la pizarra de gestión de paquetes del módulo de custodios del sistema de la Bolsa, para permitir la exclusión de Operaciones Repo y/o fracciones de una operación </w:t>
      </w:r>
      <w:r w:rsidRPr="002C0D19">
        <w:rPr>
          <w:rFonts w:ascii="Arial Narrow" w:hAnsi="Arial Narrow" w:cs="Arial"/>
          <w:bCs/>
          <w:lang w:eastAsia="es-CO"/>
        </w:rPr>
        <w:t>que conforman un paquete de Operaciones Repo,</w:t>
      </w:r>
      <w:r w:rsidRPr="002C0D19">
        <w:rPr>
          <w:rFonts w:ascii="Arial Narrow" w:eastAsia="Calibri" w:hAnsi="Arial Narrow" w:cs="Verdana"/>
          <w:bCs/>
          <w:color w:val="000000"/>
        </w:rPr>
        <w:t xml:space="preserve"> que ya fue Admitido por el Agente y que contiene Operaciones Repo y/o fracciones de una operación cumplidas.</w:t>
      </w:r>
    </w:p>
    <w:p w14:paraId="24C6136E" w14:textId="77777777" w:rsidR="007968EC" w:rsidRPr="002C0D19" w:rsidRDefault="007968EC" w:rsidP="007968EC">
      <w:pPr>
        <w:autoSpaceDE w:val="0"/>
        <w:autoSpaceDN w:val="0"/>
        <w:adjustRightInd w:val="0"/>
        <w:rPr>
          <w:rFonts w:ascii="Arial Narrow" w:hAnsi="Arial Narrow" w:cs="Arial"/>
          <w:bCs/>
          <w:color w:val="000000"/>
          <w:lang w:eastAsia="es-ES"/>
        </w:rPr>
      </w:pPr>
    </w:p>
    <w:p w14:paraId="5DE41C81" w14:textId="77777777" w:rsidR="007968EC" w:rsidRPr="002C0D19" w:rsidRDefault="007968EC" w:rsidP="00DA7472">
      <w:pPr>
        <w:numPr>
          <w:ilvl w:val="0"/>
          <w:numId w:val="294"/>
        </w:numPr>
        <w:jc w:val="both"/>
        <w:rPr>
          <w:rFonts w:ascii="Arial Narrow" w:eastAsia="Calibri" w:hAnsi="Arial Narrow" w:cs="Verdana"/>
          <w:bCs/>
          <w:color w:val="000000"/>
        </w:rPr>
      </w:pPr>
      <w:r w:rsidRPr="002C0D19">
        <w:rPr>
          <w:rFonts w:ascii="Arial Narrow" w:eastAsia="Calibri" w:hAnsi="Arial Narrow" w:cs="Verdana"/>
          <w:bCs/>
          <w:color w:val="000000"/>
        </w:rPr>
        <w:t xml:space="preserve">Al excluir una Operación Repo y/o fracciones de una operación, estas estarán a disposición del Miembro en el sistema de la Bolsa para que finalice </w:t>
      </w:r>
      <w:r w:rsidRPr="002C0D19">
        <w:rPr>
          <w:rFonts w:ascii="Arial Narrow" w:hAnsi="Arial Narrow" w:cs="Arial"/>
          <w:bCs/>
          <w:lang w:eastAsia="es-CO"/>
        </w:rPr>
        <w:t>el procedimiento de corrección de la Complementación de acuerdo con lo descrito en el Artículo 4.2.3.3. de la presente Circular</w:t>
      </w:r>
      <w:r w:rsidRPr="002C0D19">
        <w:rPr>
          <w:rFonts w:ascii="Arial Narrow" w:eastAsia="Calibri" w:hAnsi="Arial Narrow" w:cs="Verdana"/>
          <w:bCs/>
          <w:color w:val="000000"/>
        </w:rPr>
        <w:t>.</w:t>
      </w:r>
    </w:p>
    <w:p w14:paraId="13266DE3" w14:textId="77777777" w:rsidR="007968EC" w:rsidRPr="002C0D19" w:rsidRDefault="007968EC" w:rsidP="007968EC">
      <w:pPr>
        <w:jc w:val="both"/>
        <w:rPr>
          <w:rFonts w:ascii="Arial Narrow" w:eastAsia="Calibri" w:hAnsi="Arial Narrow" w:cs="Verdana"/>
          <w:bCs/>
          <w:color w:val="000000"/>
        </w:rPr>
      </w:pPr>
    </w:p>
    <w:p w14:paraId="44525BF5" w14:textId="77777777" w:rsidR="007968EC" w:rsidRPr="002C0D19" w:rsidRDefault="007968EC" w:rsidP="007968EC">
      <w:pPr>
        <w:jc w:val="both"/>
        <w:rPr>
          <w:rFonts w:ascii="Arial Narrow" w:hAnsi="Arial Narrow" w:cs="Arial"/>
          <w:bCs/>
          <w:lang w:val="es-ES" w:eastAsia="es-ES"/>
        </w:rPr>
      </w:pPr>
      <w:r w:rsidRPr="002C0D19">
        <w:rPr>
          <w:rFonts w:ascii="Arial Narrow" w:hAnsi="Arial Narrow" w:cs="Arial"/>
          <w:bCs/>
          <w:lang w:val="es-ES" w:eastAsia="es-ES"/>
        </w:rPr>
        <w:t>En los casos de exclusión, las Operaciones y/o fracciones de una operación que conformaban el paquete, podrán ser nuevamente objeto del procedimiento de traslado al Agente, salvo que el Miembro esté actuando en nombre de fondos de inversión colectiva, caso en el cual debe trasladar nuevamente la consolidación de Operaciones al Agente para la compensación y liquidación de las Operaciones que lo componen, en cumplimiento de lo previsto en los artículos 2.37.1.1.2., 2.37.1.1.4. y 3.1.3.3.1. del Decreto 2555 de 2010, así como a las normas que los modifiquen, sustituyan y/o adicionen.</w:t>
      </w:r>
    </w:p>
    <w:p w14:paraId="269E8C37" w14:textId="77777777" w:rsidR="007968EC" w:rsidRPr="002C0D19" w:rsidRDefault="007968EC" w:rsidP="007968EC">
      <w:pPr>
        <w:jc w:val="both"/>
        <w:rPr>
          <w:rFonts w:ascii="Arial Narrow" w:hAnsi="Arial Narrow" w:cs="Arial"/>
          <w:bCs/>
          <w:lang w:val="es-ES" w:eastAsia="es-ES"/>
        </w:rPr>
      </w:pPr>
    </w:p>
    <w:p w14:paraId="2B75D507" w14:textId="77777777" w:rsidR="007968EC" w:rsidRPr="002C0D19" w:rsidRDefault="007968EC" w:rsidP="007968EC">
      <w:pPr>
        <w:pStyle w:val="ARTICULO0"/>
        <w:rPr>
          <w:lang w:val="es-ES"/>
        </w:rPr>
      </w:pPr>
      <w:bookmarkStart w:id="6170" w:name="_Toc490066723"/>
      <w:bookmarkStart w:id="6171" w:name="_Toc31716403"/>
      <w:r w:rsidRPr="002C0D19">
        <w:rPr>
          <w:lang w:val="es-ES"/>
        </w:rPr>
        <w:t>Artículo 4.4.5.9. Procedimiento para la Retoma de la Consolidación de Operaciones Repo por parte de los Miembros.</w:t>
      </w:r>
      <w:bookmarkEnd w:id="6170"/>
      <w:bookmarkEnd w:id="6171"/>
      <w:r w:rsidRPr="002C0D19">
        <w:rPr>
          <w:lang w:val="es-ES"/>
        </w:rPr>
        <w:t xml:space="preserve"> </w:t>
      </w:r>
    </w:p>
    <w:p w14:paraId="627A261D" w14:textId="77777777" w:rsidR="007968EC" w:rsidRPr="002C0D19" w:rsidRDefault="007968EC" w:rsidP="007968EC">
      <w:pPr>
        <w:jc w:val="both"/>
        <w:rPr>
          <w:rFonts w:ascii="Arial Narrow" w:hAnsi="Arial Narrow" w:cs="Arial"/>
          <w:bCs/>
          <w:lang w:val="es-ES" w:eastAsia="es-ES"/>
        </w:rPr>
      </w:pPr>
    </w:p>
    <w:p w14:paraId="031505B3" w14:textId="77777777" w:rsidR="007968EC" w:rsidRPr="002C0D19" w:rsidRDefault="007968EC" w:rsidP="007968EC">
      <w:pPr>
        <w:jc w:val="both"/>
        <w:rPr>
          <w:rFonts w:ascii="Arial Narrow" w:hAnsi="Arial Narrow" w:cs="Arial"/>
          <w:bCs/>
          <w:lang w:val="es-ES" w:eastAsia="es-ES"/>
        </w:rPr>
      </w:pPr>
      <w:r w:rsidRPr="002C0D19">
        <w:rPr>
          <w:rFonts w:ascii="Arial Narrow" w:hAnsi="Arial Narrow" w:cs="Arial"/>
          <w:bCs/>
          <w:lang w:val="es-ES" w:eastAsia="es-ES"/>
        </w:rPr>
        <w:t>Los Miembros a través del sistema de la Bolsa podrán retomar paquetes de Operaciones Repo dentro del horario de la Sesión de Gestión de Agentes establecido en el artículo 4.7.1.1</w:t>
      </w:r>
      <w:r w:rsidRPr="002C0D19">
        <w:rPr>
          <w:rFonts w:ascii="Arial Narrow" w:hAnsi="Arial Narrow" w:cs="Arial"/>
          <w:lang w:val="es-ES" w:eastAsia="es-ES"/>
        </w:rPr>
        <w:t xml:space="preserve">. </w:t>
      </w:r>
      <w:r w:rsidRPr="002C0D19">
        <w:rPr>
          <w:rFonts w:ascii="Arial Narrow" w:hAnsi="Arial Narrow" w:cs="Arial"/>
          <w:bCs/>
          <w:lang w:val="es-ES" w:eastAsia="es-ES"/>
        </w:rPr>
        <w:t>de esta Circular, siempre que no se hayan cumplido las operaciones de salida de alguna de las Operaciones Repo y/o fracciones de una operación que conforman el paquete de Operaciones Repo que se desee retomar.</w:t>
      </w:r>
    </w:p>
    <w:p w14:paraId="58884B5D" w14:textId="77777777" w:rsidR="007968EC" w:rsidRPr="002C0D19" w:rsidRDefault="007968EC" w:rsidP="007968EC">
      <w:pPr>
        <w:jc w:val="both"/>
        <w:rPr>
          <w:rFonts w:ascii="Arial Narrow" w:hAnsi="Arial Narrow" w:cs="Arial"/>
          <w:bCs/>
          <w:lang w:val="es-ES" w:eastAsia="es-ES"/>
        </w:rPr>
      </w:pPr>
    </w:p>
    <w:p w14:paraId="7FC0167C" w14:textId="77777777" w:rsidR="007968EC" w:rsidRPr="002C0D19" w:rsidRDefault="007968EC" w:rsidP="007968EC">
      <w:pPr>
        <w:jc w:val="both"/>
        <w:rPr>
          <w:rFonts w:ascii="Arial Narrow" w:hAnsi="Arial Narrow" w:cs="Arial"/>
          <w:bCs/>
          <w:lang w:val="es-ES" w:eastAsia="es-ES"/>
        </w:rPr>
      </w:pPr>
      <w:r w:rsidRPr="002C0D19">
        <w:rPr>
          <w:rFonts w:ascii="Arial Narrow" w:hAnsi="Arial Narrow" w:cs="Arial"/>
          <w:bCs/>
          <w:lang w:val="es-ES" w:eastAsia="es-ES"/>
        </w:rPr>
        <w:t>El Miembro podrá retomar un paquete de Operaciones Repo,  por cualquier causa e independientemente del estado en el que se encuentre el mismo, salvo que se trate de un paquete de Operaciones Repo que incluya Operaciones Repo y/o fracciones de una operación celebradas en nombre de un fondo de inversión colectiva, caso en el cual el Miembro únicamente podrá retomar la respectiva Consolidación de Operaciones Repo por la causal prevista en el numeral 1 del presente artículo para cumplir en última instancia dichas operaciones.</w:t>
      </w:r>
    </w:p>
    <w:p w14:paraId="072B92E1" w14:textId="77777777" w:rsidR="007968EC" w:rsidRPr="002C0D19" w:rsidRDefault="007968EC" w:rsidP="007968EC">
      <w:pPr>
        <w:jc w:val="both"/>
        <w:rPr>
          <w:rFonts w:ascii="Arial Narrow" w:hAnsi="Arial Narrow" w:cs="Arial"/>
          <w:bCs/>
          <w:lang w:val="es-ES" w:eastAsia="es-ES"/>
        </w:rPr>
      </w:pPr>
    </w:p>
    <w:p w14:paraId="2DAE70B8" w14:textId="77777777" w:rsidR="007968EC" w:rsidRPr="002C0D19" w:rsidRDefault="007968EC" w:rsidP="007968EC">
      <w:pPr>
        <w:jc w:val="both"/>
        <w:rPr>
          <w:rFonts w:ascii="Arial Narrow" w:hAnsi="Arial Narrow" w:cs="Arial"/>
          <w:bCs/>
          <w:lang w:val="es-ES" w:eastAsia="es-ES"/>
        </w:rPr>
      </w:pPr>
      <w:r w:rsidRPr="002C0D19">
        <w:rPr>
          <w:rFonts w:ascii="Arial Narrow" w:hAnsi="Arial Narrow" w:cs="Arial"/>
          <w:bCs/>
          <w:lang w:val="es-ES" w:eastAsia="es-ES"/>
        </w:rPr>
        <w:t>La retoma de un paquete de Operación Repo no requiere de la autorización del Agente, sin embargo, una vez ésta ocurra, el Agente será informado de la misma a través del sistema de la Bolsa.</w:t>
      </w:r>
    </w:p>
    <w:p w14:paraId="1827186A" w14:textId="77777777" w:rsidR="007968EC" w:rsidRPr="002C0D19" w:rsidRDefault="007968EC" w:rsidP="007968EC">
      <w:pPr>
        <w:jc w:val="both"/>
        <w:rPr>
          <w:rFonts w:ascii="Arial Narrow" w:hAnsi="Arial Narrow" w:cs="Arial"/>
          <w:bCs/>
          <w:lang w:val="es-ES" w:eastAsia="es-ES"/>
        </w:rPr>
      </w:pPr>
    </w:p>
    <w:p w14:paraId="2EE05E9E" w14:textId="77777777" w:rsidR="007968EC" w:rsidRPr="002C0D19" w:rsidRDefault="007968EC" w:rsidP="007968EC">
      <w:pPr>
        <w:autoSpaceDE w:val="0"/>
        <w:autoSpaceDN w:val="0"/>
        <w:adjustRightInd w:val="0"/>
        <w:rPr>
          <w:rFonts w:ascii="Arial Narrow" w:hAnsi="Arial Narrow" w:cs="Arial"/>
          <w:bCs/>
          <w:lang w:val="es-ES" w:eastAsia="es-ES"/>
        </w:rPr>
      </w:pPr>
      <w:r w:rsidRPr="002C0D19">
        <w:rPr>
          <w:rFonts w:ascii="Arial Narrow" w:hAnsi="Arial Narrow" w:cs="Arial"/>
          <w:bCs/>
          <w:lang w:val="es-ES" w:eastAsia="es-ES"/>
        </w:rPr>
        <w:t xml:space="preserve">La retoma no impedirá que el Miembro pueda ejecutar nuevamente el procedimiento de traslado de todas o algunas de las Operaciones Repo y/o fracciones de operación Repo del paquete objeto de la retoma inicial. </w:t>
      </w:r>
    </w:p>
    <w:p w14:paraId="709AB181" w14:textId="77777777" w:rsidR="007968EC" w:rsidRPr="002C0D19" w:rsidRDefault="007968EC" w:rsidP="007968EC">
      <w:pPr>
        <w:autoSpaceDE w:val="0"/>
        <w:autoSpaceDN w:val="0"/>
        <w:adjustRightInd w:val="0"/>
        <w:rPr>
          <w:rFonts w:ascii="Arial Narrow" w:hAnsi="Arial Narrow" w:cs="Arial"/>
          <w:bCs/>
          <w:lang w:val="es-ES" w:eastAsia="es-ES"/>
        </w:rPr>
      </w:pPr>
    </w:p>
    <w:p w14:paraId="7998A775" w14:textId="77777777" w:rsidR="007968EC" w:rsidRPr="002C0D19" w:rsidRDefault="007968EC" w:rsidP="007968EC">
      <w:pPr>
        <w:jc w:val="both"/>
        <w:rPr>
          <w:rFonts w:ascii="Arial Narrow" w:hAnsi="Arial Narrow" w:cs="Arial"/>
          <w:bCs/>
          <w:lang w:val="es-ES" w:eastAsia="es-ES"/>
        </w:rPr>
      </w:pPr>
      <w:r w:rsidRPr="002C0D19">
        <w:rPr>
          <w:rFonts w:ascii="Arial Narrow" w:hAnsi="Arial Narrow" w:cs="Arial"/>
          <w:bCs/>
          <w:lang w:val="es-ES" w:eastAsia="es-ES"/>
        </w:rPr>
        <w:t>Una vez retomado el paquete por el Miembro, el Agente no podrá compensar y liquidar las Operaciones Repo y fracciones de una operación que conforman el paquete de Operaciones Repo que ha sido objeto de la retoma.</w:t>
      </w:r>
    </w:p>
    <w:p w14:paraId="705D2E9C" w14:textId="77777777" w:rsidR="007968EC" w:rsidRPr="002C0D19" w:rsidRDefault="007968EC" w:rsidP="007968EC">
      <w:pPr>
        <w:jc w:val="both"/>
        <w:rPr>
          <w:rFonts w:ascii="Arial Narrow" w:hAnsi="Arial Narrow" w:cs="Arial"/>
          <w:bCs/>
          <w:lang w:val="es-ES" w:eastAsia="es-ES"/>
        </w:rPr>
      </w:pPr>
    </w:p>
    <w:p w14:paraId="41D2014C" w14:textId="77777777" w:rsidR="007968EC" w:rsidRPr="002C0D19" w:rsidRDefault="007968EC" w:rsidP="007968EC">
      <w:pPr>
        <w:autoSpaceDE w:val="0"/>
        <w:autoSpaceDN w:val="0"/>
        <w:adjustRightInd w:val="0"/>
        <w:rPr>
          <w:rFonts w:ascii="Arial Narrow" w:hAnsi="Arial Narrow" w:cs="Arial"/>
          <w:bCs/>
          <w:lang w:val="es-ES" w:eastAsia="es-ES"/>
        </w:rPr>
      </w:pPr>
      <w:r w:rsidRPr="002C0D19">
        <w:rPr>
          <w:rFonts w:ascii="Arial Narrow" w:hAnsi="Arial Narrow" w:cs="Arial"/>
          <w:bCs/>
          <w:lang w:val="es-ES" w:eastAsia="es-ES"/>
        </w:rPr>
        <w:t xml:space="preserve">Entre otras, podrán ser causales para retomar un paquete de Operaciones Repo por parte del Miembro, los siguientes eventos: </w:t>
      </w:r>
    </w:p>
    <w:p w14:paraId="3088865E" w14:textId="77777777" w:rsidR="007968EC" w:rsidRPr="002C0D19" w:rsidRDefault="007968EC" w:rsidP="007968EC">
      <w:pPr>
        <w:autoSpaceDE w:val="0"/>
        <w:autoSpaceDN w:val="0"/>
        <w:adjustRightInd w:val="0"/>
        <w:rPr>
          <w:rFonts w:ascii="Arial Narrow" w:hAnsi="Arial Narrow" w:cs="Arial"/>
          <w:bCs/>
          <w:lang w:val="es-ES" w:eastAsia="es-ES"/>
        </w:rPr>
      </w:pPr>
    </w:p>
    <w:p w14:paraId="0097A21D" w14:textId="77777777" w:rsidR="007968EC" w:rsidRPr="002C0D19" w:rsidRDefault="007968EC" w:rsidP="00DA7472">
      <w:pPr>
        <w:numPr>
          <w:ilvl w:val="0"/>
          <w:numId w:val="286"/>
        </w:numPr>
        <w:autoSpaceDE w:val="0"/>
        <w:autoSpaceDN w:val="0"/>
        <w:adjustRightInd w:val="0"/>
        <w:jc w:val="both"/>
        <w:rPr>
          <w:rFonts w:ascii="Arial Narrow" w:hAnsi="Arial Narrow" w:cs="Arial"/>
          <w:bCs/>
          <w:lang w:val="es-ES" w:eastAsia="es-ES"/>
        </w:rPr>
      </w:pPr>
      <w:r w:rsidRPr="002C0D19">
        <w:rPr>
          <w:rFonts w:ascii="Arial Narrow" w:hAnsi="Arial Narrow" w:cs="Arial"/>
          <w:bCs/>
          <w:lang w:val="es-ES" w:eastAsia="es-ES"/>
        </w:rPr>
        <w:t xml:space="preserve">En los casos en los cuales el Agente actúa por cuenta de los fondos de inversión colectiva, cuando se presenten los eventos descritos en los numerales 4.7. y 4.8. del Capítulo VI Título IV Parte III de la Circular Básica Jurídica expedida por la Superintendencia Financiera de Colombia y las normas que modifiquen, sustituyan o adicionen estas disposiciones o en aquellos casos excepcionales bajo </w:t>
      </w:r>
      <w:r w:rsidRPr="002C0D19">
        <w:rPr>
          <w:rFonts w:ascii="Arial Narrow" w:hAnsi="Arial Narrow" w:cs="Arial"/>
          <w:bCs/>
          <w:lang w:val="es-ES" w:eastAsia="es-ES"/>
        </w:rPr>
        <w:lastRenderedPageBreak/>
        <w:t xml:space="preserve">las cuales el Agente que actúa por cuenta de fondos de inversión colectiva, no pueda por circunstancias extraordinarias Compensar y Liquidar los paquetes de Operaciones Repo que hayan sido admitidas previamente por éste. </w:t>
      </w:r>
    </w:p>
    <w:p w14:paraId="5432DD78" w14:textId="77777777" w:rsidR="007968EC" w:rsidRPr="002C0D19" w:rsidRDefault="007968EC" w:rsidP="007968EC">
      <w:pPr>
        <w:autoSpaceDE w:val="0"/>
        <w:autoSpaceDN w:val="0"/>
        <w:adjustRightInd w:val="0"/>
        <w:ind w:left="720"/>
        <w:jc w:val="both"/>
        <w:rPr>
          <w:rFonts w:ascii="Arial Narrow" w:hAnsi="Arial Narrow" w:cs="Arial"/>
          <w:bCs/>
          <w:lang w:val="es-ES" w:eastAsia="es-ES"/>
        </w:rPr>
      </w:pPr>
    </w:p>
    <w:p w14:paraId="3E672182" w14:textId="77777777" w:rsidR="007968EC" w:rsidRPr="002C0D19" w:rsidRDefault="007968EC" w:rsidP="00DA7472">
      <w:pPr>
        <w:numPr>
          <w:ilvl w:val="0"/>
          <w:numId w:val="286"/>
        </w:numPr>
        <w:autoSpaceDE w:val="0"/>
        <w:autoSpaceDN w:val="0"/>
        <w:adjustRightInd w:val="0"/>
        <w:jc w:val="both"/>
        <w:rPr>
          <w:rFonts w:ascii="Arial Narrow" w:hAnsi="Arial Narrow" w:cs="Arial"/>
          <w:bCs/>
          <w:lang w:val="es-ES" w:eastAsia="es-ES"/>
        </w:rPr>
      </w:pPr>
      <w:r w:rsidRPr="002C0D19">
        <w:rPr>
          <w:rFonts w:ascii="Arial Narrow" w:hAnsi="Arial Narrow" w:cs="Arial"/>
          <w:bCs/>
          <w:lang w:val="es-ES" w:eastAsia="es-ES"/>
        </w:rPr>
        <w:t xml:space="preserve">Aquellos que atiendan razones derivadas de las políticas de administración de riesgo del Miembro o de cualquier otra disposición relacionada con sus políticas internas. </w:t>
      </w:r>
    </w:p>
    <w:p w14:paraId="157D4029" w14:textId="77777777" w:rsidR="007968EC" w:rsidRPr="002C0D19" w:rsidRDefault="007968EC" w:rsidP="007968EC">
      <w:pPr>
        <w:jc w:val="both"/>
        <w:rPr>
          <w:rFonts w:ascii="Arial Narrow" w:hAnsi="Arial Narrow" w:cs="Arial"/>
          <w:bCs/>
          <w:lang w:val="es-ES" w:eastAsia="es-ES"/>
        </w:rPr>
      </w:pPr>
    </w:p>
    <w:p w14:paraId="011326C3" w14:textId="77777777" w:rsidR="007968EC" w:rsidRPr="002C0D19" w:rsidRDefault="007968EC" w:rsidP="007968EC">
      <w:pPr>
        <w:jc w:val="both"/>
        <w:rPr>
          <w:rFonts w:ascii="Arial Narrow" w:hAnsi="Arial Narrow" w:cs="Arial"/>
          <w:bCs/>
          <w:lang w:val="es-ES" w:eastAsia="es-ES"/>
        </w:rPr>
      </w:pPr>
      <w:r w:rsidRPr="002C0D19">
        <w:rPr>
          <w:rFonts w:ascii="Arial Narrow" w:hAnsi="Arial Narrow" w:cs="Arial"/>
          <w:bCs/>
          <w:lang w:val="es-ES" w:eastAsia="es-ES"/>
        </w:rPr>
        <w:t>El procedimiento para la retoma de operaciones y/o fracciones de operaciones Repo es el siguiente:</w:t>
      </w:r>
    </w:p>
    <w:p w14:paraId="56C2AD5A" w14:textId="77777777" w:rsidR="007968EC" w:rsidRPr="002C0D19" w:rsidRDefault="007968EC" w:rsidP="007968EC">
      <w:pPr>
        <w:jc w:val="both"/>
        <w:rPr>
          <w:rFonts w:ascii="Arial Narrow" w:hAnsi="Arial Narrow" w:cs="Arial"/>
          <w:bCs/>
          <w:lang w:val="es-ES" w:eastAsia="es-ES"/>
        </w:rPr>
      </w:pPr>
    </w:p>
    <w:p w14:paraId="05813D7A" w14:textId="77777777" w:rsidR="007968EC" w:rsidRPr="002C0D19" w:rsidRDefault="007968EC" w:rsidP="00DA7472">
      <w:pPr>
        <w:numPr>
          <w:ilvl w:val="0"/>
          <w:numId w:val="285"/>
        </w:numPr>
        <w:jc w:val="both"/>
        <w:rPr>
          <w:rFonts w:ascii="Arial Narrow" w:hAnsi="Arial Narrow" w:cs="Arial"/>
          <w:bCs/>
          <w:lang w:val="es-ES" w:eastAsia="es-ES"/>
        </w:rPr>
      </w:pPr>
      <w:r w:rsidRPr="002C0D19">
        <w:rPr>
          <w:rFonts w:ascii="Arial Narrow" w:hAnsi="Arial Narrow" w:cs="Arial"/>
          <w:bCs/>
          <w:lang w:val="es-ES" w:eastAsia="es-ES"/>
        </w:rPr>
        <w:t>El Miembro que realizó el traslado de la Consolidación de Operaciones Repo deberá realizar el procedimiento de Corrección de la Complementación descrito en el Artículo 4.2.3.3. de la presente Circular para cada una de las operaciones que se desee retomar.</w:t>
      </w:r>
    </w:p>
    <w:p w14:paraId="4A201FDA" w14:textId="77777777" w:rsidR="007968EC" w:rsidRPr="002C0D19" w:rsidRDefault="007968EC" w:rsidP="007968EC">
      <w:pPr>
        <w:ind w:left="720"/>
        <w:jc w:val="both"/>
        <w:rPr>
          <w:rFonts w:ascii="Arial Narrow" w:hAnsi="Arial Narrow" w:cs="Arial"/>
          <w:bCs/>
          <w:lang w:val="es-ES" w:eastAsia="es-ES"/>
        </w:rPr>
      </w:pPr>
    </w:p>
    <w:p w14:paraId="4D72C051" w14:textId="77777777" w:rsidR="007968EC" w:rsidRPr="002C0D19" w:rsidRDefault="007968EC" w:rsidP="00DA7472">
      <w:pPr>
        <w:numPr>
          <w:ilvl w:val="0"/>
          <w:numId w:val="285"/>
        </w:numPr>
        <w:tabs>
          <w:tab w:val="left" w:pos="0"/>
          <w:tab w:val="right" w:pos="8400"/>
        </w:tabs>
        <w:ind w:right="-42"/>
        <w:contextualSpacing/>
        <w:jc w:val="both"/>
        <w:rPr>
          <w:rFonts w:ascii="Arial Narrow" w:hAnsi="Arial Narrow" w:cs="Arial"/>
          <w:bCs/>
          <w:lang w:val="es-ES" w:eastAsia="es-ES"/>
        </w:rPr>
      </w:pPr>
      <w:r w:rsidRPr="002C0D19">
        <w:rPr>
          <w:rFonts w:ascii="Arial Narrow" w:hAnsi="Arial Narrow" w:cs="Arial"/>
          <w:bCs/>
          <w:lang w:val="es-ES" w:eastAsia="es-ES"/>
        </w:rPr>
        <w:t>El Miembro deberá seleccionar</w:t>
      </w:r>
      <w:r w:rsidRPr="002C0D19">
        <w:rPr>
          <w:rFonts w:ascii="Arial Narrow" w:hAnsi="Arial Narrow" w:cs="Arial"/>
          <w:bCs/>
          <w:lang w:eastAsia="es-CO"/>
        </w:rPr>
        <w:t xml:space="preserve"> la opción “Rechazar” en la pizarra de gestión de paquetes del módulo de custodios del sistema de la Bolsa de Valores de Colombia S.A.</w:t>
      </w:r>
    </w:p>
    <w:p w14:paraId="4648C043" w14:textId="77777777" w:rsidR="007968EC" w:rsidRPr="002C0D19" w:rsidRDefault="007968EC" w:rsidP="007968EC">
      <w:pPr>
        <w:ind w:left="708"/>
        <w:rPr>
          <w:rFonts w:ascii="Arial Narrow" w:hAnsi="Arial Narrow" w:cs="Arial"/>
          <w:bCs/>
          <w:lang w:val="es-ES" w:eastAsia="es-ES"/>
        </w:rPr>
      </w:pPr>
    </w:p>
    <w:p w14:paraId="7004A633" w14:textId="77777777" w:rsidR="007968EC" w:rsidRPr="002C0D19" w:rsidRDefault="007968EC" w:rsidP="007968EC">
      <w:pPr>
        <w:tabs>
          <w:tab w:val="left" w:pos="0"/>
          <w:tab w:val="right" w:pos="8400"/>
        </w:tabs>
        <w:ind w:right="-42"/>
        <w:contextualSpacing/>
        <w:jc w:val="both"/>
        <w:rPr>
          <w:rFonts w:ascii="Arial Narrow" w:hAnsi="Arial Narrow" w:cs="Arial"/>
          <w:bCs/>
          <w:lang w:val="es-ES" w:eastAsia="es-ES"/>
        </w:rPr>
      </w:pPr>
      <w:r w:rsidRPr="002C0D19">
        <w:rPr>
          <w:rFonts w:ascii="Arial Narrow" w:hAnsi="Arial Narrow" w:cs="Arial"/>
          <w:bCs/>
          <w:lang w:val="es-ES" w:eastAsia="es-ES"/>
        </w:rPr>
        <w:t>La Cámara no recibirá ninguna información acerca del proceso de retoma realizado por el Miembro en el sistema de la Bolsa.</w:t>
      </w:r>
    </w:p>
    <w:p w14:paraId="7D68E6E3" w14:textId="77777777" w:rsidR="007968EC" w:rsidRPr="002C0D19" w:rsidRDefault="007968EC" w:rsidP="007968EC">
      <w:pPr>
        <w:tabs>
          <w:tab w:val="left" w:pos="0"/>
          <w:tab w:val="right" w:pos="8400"/>
        </w:tabs>
        <w:ind w:left="360" w:right="-42"/>
        <w:contextualSpacing/>
        <w:jc w:val="both"/>
        <w:rPr>
          <w:rFonts w:ascii="Arial" w:hAnsi="Arial" w:cs="Arial"/>
          <w:lang w:val="es-ES" w:eastAsia="es-ES"/>
        </w:rPr>
      </w:pPr>
    </w:p>
    <w:p w14:paraId="3C6E961D" w14:textId="77777777" w:rsidR="007968EC" w:rsidRPr="002C0D19" w:rsidRDefault="007968EC" w:rsidP="007968EC">
      <w:pPr>
        <w:pStyle w:val="ARTICULO0"/>
        <w:rPr>
          <w:lang w:val="es-ES"/>
        </w:rPr>
      </w:pPr>
      <w:bookmarkStart w:id="6172" w:name="_Toc490066724"/>
      <w:bookmarkStart w:id="6173" w:name="_Toc31716404"/>
      <w:r w:rsidRPr="002C0D19">
        <w:rPr>
          <w:lang w:val="es-ES"/>
        </w:rPr>
        <w:t>Artículo 4.4.5.10. Estado de la Consolidación de Operaciones Repo.</w:t>
      </w:r>
      <w:bookmarkEnd w:id="6172"/>
      <w:bookmarkEnd w:id="6173"/>
    </w:p>
    <w:p w14:paraId="7981B5EA" w14:textId="77777777" w:rsidR="007968EC" w:rsidRPr="002C0D19" w:rsidRDefault="007968EC" w:rsidP="007968EC">
      <w:pPr>
        <w:jc w:val="both"/>
        <w:rPr>
          <w:rFonts w:ascii="Arial Narrow" w:hAnsi="Arial Narrow" w:cs="Arial"/>
          <w:bCs/>
          <w:lang w:val="es-ES" w:eastAsia="es-ES"/>
        </w:rPr>
      </w:pPr>
    </w:p>
    <w:p w14:paraId="002CDAFB"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lang w:val="es-ES" w:eastAsia="es-ES"/>
        </w:rPr>
        <w:t>Durante la Consolidación de Operaciones Repo y el procedimiento de Admisión de Operaciones Repo se podrá visualizar en las diferentes pizarras del módulo de custodios en el sistema de la Bolsa, los estados de los paquetes para información de los Miembros y de los Agentes. Los siguientes son los estados que se podrán consultar en la pizarra de gestión de paquetes:</w:t>
      </w:r>
    </w:p>
    <w:p w14:paraId="53D98428" w14:textId="77777777" w:rsidR="007968EC" w:rsidRPr="002C0D19" w:rsidRDefault="007968EC" w:rsidP="007968EC">
      <w:pPr>
        <w:jc w:val="both"/>
        <w:rPr>
          <w:rFonts w:ascii="Arial Narrow" w:hAnsi="Arial Narrow" w:cs="Arial"/>
          <w:lang w:val="es-ES" w:eastAsia="es-ES"/>
        </w:rPr>
      </w:pPr>
    </w:p>
    <w:tbl>
      <w:tblPr>
        <w:tblStyle w:val="Tablaconcuadrcula16"/>
        <w:tblW w:w="0" w:type="auto"/>
        <w:jc w:val="center"/>
        <w:tblLook w:val="04A0" w:firstRow="1" w:lastRow="0" w:firstColumn="1" w:lastColumn="0" w:noHBand="0" w:noVBand="1"/>
      </w:tblPr>
      <w:tblGrid>
        <w:gridCol w:w="2942"/>
        <w:gridCol w:w="2943"/>
        <w:gridCol w:w="2943"/>
      </w:tblGrid>
      <w:tr w:rsidR="007968EC" w:rsidRPr="002C0D19" w14:paraId="537A380F" w14:textId="77777777" w:rsidTr="007968EC">
        <w:trPr>
          <w:jc w:val="center"/>
        </w:trPr>
        <w:tc>
          <w:tcPr>
            <w:tcW w:w="2942" w:type="dxa"/>
          </w:tcPr>
          <w:p w14:paraId="5AAFDC7B" w14:textId="77777777" w:rsidR="007968EC" w:rsidRPr="002C0D19" w:rsidRDefault="007968EC" w:rsidP="007968EC">
            <w:pPr>
              <w:jc w:val="both"/>
              <w:rPr>
                <w:rFonts w:ascii="Arial Narrow" w:hAnsi="Arial Narrow" w:cs="Arial"/>
              </w:rPr>
            </w:pPr>
            <w:r w:rsidRPr="002C0D19">
              <w:rPr>
                <w:rFonts w:ascii="Arial Narrow" w:hAnsi="Arial Narrow" w:cs="Arial"/>
              </w:rPr>
              <w:t>Estado</w:t>
            </w:r>
          </w:p>
        </w:tc>
        <w:tc>
          <w:tcPr>
            <w:tcW w:w="2943" w:type="dxa"/>
          </w:tcPr>
          <w:p w14:paraId="27AA3CC4" w14:textId="77777777" w:rsidR="007968EC" w:rsidRPr="002C0D19" w:rsidRDefault="007968EC" w:rsidP="007968EC">
            <w:pPr>
              <w:jc w:val="both"/>
              <w:rPr>
                <w:rFonts w:ascii="Arial Narrow" w:hAnsi="Arial Narrow" w:cs="Arial"/>
              </w:rPr>
            </w:pPr>
            <w:r w:rsidRPr="002C0D19">
              <w:rPr>
                <w:rFonts w:ascii="Arial Narrow" w:hAnsi="Arial Narrow" w:cs="Arial"/>
              </w:rPr>
              <w:t>Abreviación</w:t>
            </w:r>
          </w:p>
        </w:tc>
        <w:tc>
          <w:tcPr>
            <w:tcW w:w="2943" w:type="dxa"/>
          </w:tcPr>
          <w:p w14:paraId="48E9FC20" w14:textId="77777777" w:rsidR="007968EC" w:rsidRPr="002C0D19" w:rsidRDefault="007968EC" w:rsidP="007968EC">
            <w:pPr>
              <w:jc w:val="both"/>
              <w:rPr>
                <w:rFonts w:ascii="Arial Narrow" w:hAnsi="Arial Narrow" w:cs="Arial"/>
              </w:rPr>
            </w:pPr>
            <w:r w:rsidRPr="002C0D19">
              <w:rPr>
                <w:rFonts w:ascii="Arial Narrow" w:hAnsi="Arial Narrow" w:cs="Arial"/>
              </w:rPr>
              <w:t>Descripción</w:t>
            </w:r>
          </w:p>
        </w:tc>
      </w:tr>
      <w:tr w:rsidR="007968EC" w:rsidRPr="002C0D19" w14:paraId="4AA79A52" w14:textId="77777777" w:rsidTr="007968EC">
        <w:trPr>
          <w:jc w:val="center"/>
        </w:trPr>
        <w:tc>
          <w:tcPr>
            <w:tcW w:w="2942" w:type="dxa"/>
          </w:tcPr>
          <w:p w14:paraId="12C56886" w14:textId="77777777" w:rsidR="007968EC" w:rsidRPr="002C0D19" w:rsidRDefault="007968EC" w:rsidP="007968EC">
            <w:pPr>
              <w:jc w:val="both"/>
              <w:rPr>
                <w:rFonts w:ascii="Arial Narrow" w:hAnsi="Arial Narrow" w:cs="Arial"/>
              </w:rPr>
            </w:pPr>
            <w:r w:rsidRPr="002C0D19">
              <w:rPr>
                <w:rFonts w:ascii="Arial Narrow" w:hAnsi="Arial Narrow" w:cs="Arial"/>
              </w:rPr>
              <w:t>Sin solicitud de traslado</w:t>
            </w:r>
          </w:p>
        </w:tc>
        <w:tc>
          <w:tcPr>
            <w:tcW w:w="2943" w:type="dxa"/>
          </w:tcPr>
          <w:p w14:paraId="3A47A4B0" w14:textId="77777777" w:rsidR="007968EC" w:rsidRPr="002C0D19" w:rsidRDefault="007968EC" w:rsidP="007968EC">
            <w:pPr>
              <w:jc w:val="both"/>
              <w:rPr>
                <w:rFonts w:ascii="Arial Narrow" w:hAnsi="Arial Narrow" w:cs="Arial"/>
              </w:rPr>
            </w:pPr>
            <w:r w:rsidRPr="002C0D19">
              <w:rPr>
                <w:rFonts w:ascii="Arial Narrow" w:hAnsi="Arial Narrow" w:cs="Arial"/>
              </w:rPr>
              <w:t>S</w:t>
            </w:r>
          </w:p>
        </w:tc>
        <w:tc>
          <w:tcPr>
            <w:tcW w:w="2943" w:type="dxa"/>
          </w:tcPr>
          <w:p w14:paraId="6985BCC4" w14:textId="77777777" w:rsidR="007968EC" w:rsidRPr="002C0D19" w:rsidRDefault="007968EC" w:rsidP="007968EC">
            <w:pPr>
              <w:jc w:val="both"/>
              <w:rPr>
                <w:rFonts w:ascii="Arial Narrow" w:hAnsi="Arial Narrow" w:cs="Arial"/>
              </w:rPr>
            </w:pPr>
            <w:r w:rsidRPr="002C0D19">
              <w:rPr>
                <w:rFonts w:ascii="Arial Narrow" w:hAnsi="Arial Narrow" w:cs="Arial"/>
              </w:rPr>
              <w:t>Estado por defecto de los paquetes posterior a su creación por el Miembro y que no tienen ninguna acción de traslado por parte de éste.</w:t>
            </w:r>
          </w:p>
        </w:tc>
      </w:tr>
      <w:tr w:rsidR="007968EC" w:rsidRPr="002C0D19" w14:paraId="02EE467A" w14:textId="77777777" w:rsidTr="007968EC">
        <w:trPr>
          <w:jc w:val="center"/>
        </w:trPr>
        <w:tc>
          <w:tcPr>
            <w:tcW w:w="2942" w:type="dxa"/>
          </w:tcPr>
          <w:p w14:paraId="1AD823F1" w14:textId="77777777" w:rsidR="007968EC" w:rsidRPr="002C0D19" w:rsidRDefault="007968EC" w:rsidP="007968EC">
            <w:pPr>
              <w:jc w:val="both"/>
              <w:rPr>
                <w:rFonts w:ascii="Arial Narrow" w:hAnsi="Arial Narrow" w:cs="Arial"/>
              </w:rPr>
            </w:pPr>
            <w:r w:rsidRPr="002C0D19">
              <w:rPr>
                <w:rFonts w:ascii="Arial Narrow" w:hAnsi="Arial Narrow" w:cs="Arial"/>
              </w:rPr>
              <w:t>En solicitud de traslado</w:t>
            </w:r>
          </w:p>
        </w:tc>
        <w:tc>
          <w:tcPr>
            <w:tcW w:w="2943" w:type="dxa"/>
          </w:tcPr>
          <w:p w14:paraId="70E79A75" w14:textId="77777777" w:rsidR="007968EC" w:rsidRPr="002C0D19" w:rsidRDefault="007968EC" w:rsidP="007968EC">
            <w:pPr>
              <w:jc w:val="both"/>
              <w:rPr>
                <w:rFonts w:ascii="Arial Narrow" w:hAnsi="Arial Narrow" w:cs="Arial"/>
              </w:rPr>
            </w:pPr>
            <w:r w:rsidRPr="002C0D19">
              <w:rPr>
                <w:rFonts w:ascii="Arial Narrow" w:hAnsi="Arial Narrow" w:cs="Arial"/>
              </w:rPr>
              <w:t>T</w:t>
            </w:r>
          </w:p>
        </w:tc>
        <w:tc>
          <w:tcPr>
            <w:tcW w:w="2943" w:type="dxa"/>
          </w:tcPr>
          <w:p w14:paraId="001D6668" w14:textId="77777777" w:rsidR="007968EC" w:rsidRPr="002C0D19" w:rsidRDefault="007968EC" w:rsidP="007968EC">
            <w:pPr>
              <w:jc w:val="both"/>
              <w:rPr>
                <w:rFonts w:ascii="Arial Narrow" w:hAnsi="Arial Narrow" w:cs="Arial"/>
              </w:rPr>
            </w:pPr>
            <w:r w:rsidRPr="002C0D19">
              <w:rPr>
                <w:rFonts w:ascii="Arial Narrow" w:hAnsi="Arial Narrow" w:cs="Arial"/>
              </w:rPr>
              <w:t>En este estado el paquete ha sido trasladado a un Agente pero no ha sido Admitido ni devuelto por éste.</w:t>
            </w:r>
          </w:p>
        </w:tc>
      </w:tr>
      <w:tr w:rsidR="007968EC" w:rsidRPr="002C0D19" w14:paraId="7A1D2862" w14:textId="77777777" w:rsidTr="007968EC">
        <w:trPr>
          <w:jc w:val="center"/>
        </w:trPr>
        <w:tc>
          <w:tcPr>
            <w:tcW w:w="2942" w:type="dxa"/>
          </w:tcPr>
          <w:p w14:paraId="0A126D9F" w14:textId="77777777" w:rsidR="007968EC" w:rsidRPr="002C0D19" w:rsidRDefault="007968EC" w:rsidP="007968EC">
            <w:pPr>
              <w:jc w:val="both"/>
              <w:rPr>
                <w:rFonts w:ascii="Arial Narrow" w:hAnsi="Arial Narrow" w:cs="Arial"/>
              </w:rPr>
            </w:pPr>
            <w:r w:rsidRPr="002C0D19">
              <w:rPr>
                <w:rFonts w:ascii="Arial Narrow" w:hAnsi="Arial Narrow" w:cs="Arial"/>
              </w:rPr>
              <w:t>Pre-Admitido</w:t>
            </w:r>
          </w:p>
        </w:tc>
        <w:tc>
          <w:tcPr>
            <w:tcW w:w="2943" w:type="dxa"/>
          </w:tcPr>
          <w:p w14:paraId="00043090" w14:textId="77777777" w:rsidR="007968EC" w:rsidRPr="002C0D19" w:rsidRDefault="007968EC" w:rsidP="007968EC">
            <w:pPr>
              <w:jc w:val="both"/>
              <w:rPr>
                <w:rFonts w:ascii="Arial Narrow" w:hAnsi="Arial Narrow" w:cs="Arial"/>
              </w:rPr>
            </w:pPr>
            <w:r w:rsidRPr="002C0D19">
              <w:rPr>
                <w:rFonts w:ascii="Arial Narrow" w:hAnsi="Arial Narrow" w:cs="Arial"/>
              </w:rPr>
              <w:t>P</w:t>
            </w:r>
          </w:p>
        </w:tc>
        <w:tc>
          <w:tcPr>
            <w:tcW w:w="2943" w:type="dxa"/>
          </w:tcPr>
          <w:p w14:paraId="3BC7C6A9" w14:textId="77777777" w:rsidR="007968EC" w:rsidRPr="002C0D19" w:rsidRDefault="007968EC" w:rsidP="007968EC">
            <w:pPr>
              <w:jc w:val="both"/>
              <w:rPr>
                <w:rFonts w:ascii="Arial Narrow" w:hAnsi="Arial Narrow" w:cs="Arial"/>
              </w:rPr>
            </w:pPr>
            <w:r w:rsidRPr="002C0D19">
              <w:rPr>
                <w:rFonts w:ascii="Arial Narrow" w:hAnsi="Arial Narrow" w:cs="Arial"/>
              </w:rPr>
              <w:t xml:space="preserve">Estado donde el Agente informa al Miembro que la información de las Operaciones Repo y/o fracciones de una operación que conforman el paquete es correcta y coincide </w:t>
            </w:r>
            <w:r w:rsidRPr="002C0D19">
              <w:rPr>
                <w:rFonts w:ascii="Arial Narrow" w:hAnsi="Arial Narrow" w:cs="Arial"/>
              </w:rPr>
              <w:lastRenderedPageBreak/>
              <w:t>con la instrucción recibida por parte de su cliente, sin Admitir el paquete aún, ni hacerse cargo de su cumplimiento.</w:t>
            </w:r>
          </w:p>
        </w:tc>
      </w:tr>
      <w:tr w:rsidR="007968EC" w:rsidRPr="002C0D19" w14:paraId="5950215A" w14:textId="77777777" w:rsidTr="007968EC">
        <w:trPr>
          <w:jc w:val="center"/>
        </w:trPr>
        <w:tc>
          <w:tcPr>
            <w:tcW w:w="2942" w:type="dxa"/>
          </w:tcPr>
          <w:p w14:paraId="4BA32599" w14:textId="77777777" w:rsidR="007968EC" w:rsidRPr="002C0D19" w:rsidRDefault="007968EC" w:rsidP="007968EC">
            <w:pPr>
              <w:jc w:val="both"/>
              <w:rPr>
                <w:rFonts w:ascii="Arial Narrow" w:hAnsi="Arial Narrow" w:cs="Arial"/>
              </w:rPr>
            </w:pPr>
            <w:r w:rsidRPr="002C0D19">
              <w:rPr>
                <w:rFonts w:ascii="Arial Narrow" w:hAnsi="Arial Narrow" w:cs="Arial"/>
              </w:rPr>
              <w:lastRenderedPageBreak/>
              <w:t>Admitido (Match)</w:t>
            </w:r>
          </w:p>
        </w:tc>
        <w:tc>
          <w:tcPr>
            <w:tcW w:w="2943" w:type="dxa"/>
          </w:tcPr>
          <w:p w14:paraId="4CE62AEF" w14:textId="77777777" w:rsidR="007968EC" w:rsidRPr="002C0D19" w:rsidRDefault="007968EC" w:rsidP="007968EC">
            <w:pPr>
              <w:jc w:val="both"/>
              <w:rPr>
                <w:rFonts w:ascii="Arial Narrow" w:hAnsi="Arial Narrow" w:cs="Arial"/>
              </w:rPr>
            </w:pPr>
            <w:r w:rsidRPr="002C0D19">
              <w:rPr>
                <w:rFonts w:ascii="Arial Narrow" w:hAnsi="Arial Narrow" w:cs="Arial"/>
              </w:rPr>
              <w:t>A</w:t>
            </w:r>
          </w:p>
        </w:tc>
        <w:tc>
          <w:tcPr>
            <w:tcW w:w="2943" w:type="dxa"/>
          </w:tcPr>
          <w:p w14:paraId="3509F030" w14:textId="77777777" w:rsidR="007968EC" w:rsidRPr="002C0D19" w:rsidRDefault="007968EC" w:rsidP="007968EC">
            <w:pPr>
              <w:jc w:val="both"/>
              <w:rPr>
                <w:rFonts w:ascii="Arial Narrow" w:hAnsi="Arial Narrow" w:cs="Arial"/>
              </w:rPr>
            </w:pPr>
            <w:r w:rsidRPr="002C0D19">
              <w:rPr>
                <w:rFonts w:ascii="Arial Narrow" w:hAnsi="Arial Narrow" w:cs="Arial"/>
              </w:rPr>
              <w:t>En este estado el Agente confirma que tiene los recursos de valores o de efectivo para cumplir las Operaciones Repo y/o fracciones de una operación que conforman el paquete y por lo tanto Admite la liquidación sobre dichas Operaciones Repo y/o fracciones de una operación.</w:t>
            </w:r>
          </w:p>
        </w:tc>
      </w:tr>
      <w:tr w:rsidR="007968EC" w:rsidRPr="002C0D19" w14:paraId="1DFBDCAF" w14:textId="77777777" w:rsidTr="007968EC">
        <w:trPr>
          <w:jc w:val="center"/>
        </w:trPr>
        <w:tc>
          <w:tcPr>
            <w:tcW w:w="2942" w:type="dxa"/>
          </w:tcPr>
          <w:p w14:paraId="721C5135" w14:textId="77777777" w:rsidR="007968EC" w:rsidRPr="002C0D19" w:rsidRDefault="007968EC" w:rsidP="007968EC">
            <w:pPr>
              <w:jc w:val="both"/>
              <w:rPr>
                <w:rFonts w:ascii="Arial Narrow" w:hAnsi="Arial Narrow" w:cs="Arial"/>
              </w:rPr>
            </w:pPr>
            <w:r w:rsidRPr="002C0D19">
              <w:rPr>
                <w:rFonts w:ascii="Arial Narrow" w:hAnsi="Arial Narrow" w:cs="Arial"/>
              </w:rPr>
              <w:t>Rechazado</w:t>
            </w:r>
          </w:p>
        </w:tc>
        <w:tc>
          <w:tcPr>
            <w:tcW w:w="2943" w:type="dxa"/>
          </w:tcPr>
          <w:p w14:paraId="43646473" w14:textId="77777777" w:rsidR="007968EC" w:rsidRPr="002C0D19" w:rsidRDefault="007968EC" w:rsidP="007968EC">
            <w:pPr>
              <w:jc w:val="both"/>
              <w:rPr>
                <w:rFonts w:ascii="Arial Narrow" w:hAnsi="Arial Narrow" w:cs="Arial"/>
              </w:rPr>
            </w:pPr>
            <w:r w:rsidRPr="002C0D19">
              <w:rPr>
                <w:rFonts w:ascii="Arial Narrow" w:hAnsi="Arial Narrow" w:cs="Arial"/>
              </w:rPr>
              <w:t>R</w:t>
            </w:r>
          </w:p>
        </w:tc>
        <w:tc>
          <w:tcPr>
            <w:tcW w:w="2943" w:type="dxa"/>
          </w:tcPr>
          <w:p w14:paraId="7D6E75E7" w14:textId="77777777" w:rsidR="007968EC" w:rsidRPr="002C0D19" w:rsidRDefault="007968EC" w:rsidP="007968EC">
            <w:pPr>
              <w:jc w:val="both"/>
              <w:rPr>
                <w:rFonts w:ascii="Arial Narrow" w:hAnsi="Arial Narrow" w:cs="Arial"/>
              </w:rPr>
            </w:pPr>
            <w:r w:rsidRPr="002C0D19">
              <w:rPr>
                <w:rFonts w:ascii="Arial Narrow" w:hAnsi="Arial Narrow" w:cs="Arial"/>
              </w:rPr>
              <w:t>Estado en el cual el Agente devuelve el paquete al Miembro que realizó el traslado.</w:t>
            </w:r>
          </w:p>
          <w:p w14:paraId="11AE0EDD" w14:textId="77777777" w:rsidR="007968EC" w:rsidRPr="002C0D19" w:rsidRDefault="007968EC" w:rsidP="007968EC">
            <w:pPr>
              <w:jc w:val="both"/>
              <w:rPr>
                <w:rFonts w:ascii="Arial Narrow" w:hAnsi="Arial Narrow" w:cs="Arial"/>
              </w:rPr>
            </w:pPr>
          </w:p>
          <w:p w14:paraId="5D7CF625" w14:textId="77777777" w:rsidR="007968EC" w:rsidRPr="002C0D19" w:rsidRDefault="007968EC" w:rsidP="007968EC">
            <w:pPr>
              <w:jc w:val="both"/>
              <w:rPr>
                <w:rFonts w:ascii="Arial Narrow" w:hAnsi="Arial Narrow" w:cs="Arial"/>
              </w:rPr>
            </w:pPr>
            <w:r w:rsidRPr="002C0D19">
              <w:rPr>
                <w:rFonts w:ascii="Arial Narrow" w:hAnsi="Arial Narrow" w:cs="Arial"/>
              </w:rPr>
              <w:t>Este estado también se puede presentar cuando el Miembro desea retomar el paquete para modificarlo o cumplir por su cuenta la Operación Repo y/o fracciones de una operación.</w:t>
            </w:r>
          </w:p>
        </w:tc>
      </w:tr>
      <w:tr w:rsidR="007968EC" w:rsidRPr="002C0D19" w14:paraId="7A6DE691" w14:textId="77777777" w:rsidTr="007968EC">
        <w:trPr>
          <w:jc w:val="center"/>
        </w:trPr>
        <w:tc>
          <w:tcPr>
            <w:tcW w:w="2942" w:type="dxa"/>
          </w:tcPr>
          <w:p w14:paraId="624DE6FC" w14:textId="77777777" w:rsidR="007968EC" w:rsidRPr="002C0D19" w:rsidRDefault="007968EC" w:rsidP="007968EC">
            <w:pPr>
              <w:jc w:val="both"/>
              <w:rPr>
                <w:rFonts w:ascii="Arial Narrow" w:hAnsi="Arial Narrow" w:cs="Arial"/>
              </w:rPr>
            </w:pPr>
            <w:r w:rsidRPr="002C0D19">
              <w:rPr>
                <w:rFonts w:ascii="Arial Narrow" w:hAnsi="Arial Narrow" w:cs="Arial"/>
              </w:rPr>
              <w:t>Pendiente por repique</w:t>
            </w:r>
          </w:p>
        </w:tc>
        <w:tc>
          <w:tcPr>
            <w:tcW w:w="2943" w:type="dxa"/>
          </w:tcPr>
          <w:p w14:paraId="61A34157" w14:textId="77777777" w:rsidR="007968EC" w:rsidRPr="002C0D19" w:rsidRDefault="007968EC" w:rsidP="007968EC">
            <w:pPr>
              <w:jc w:val="both"/>
              <w:rPr>
                <w:rFonts w:ascii="Arial Narrow" w:hAnsi="Arial Narrow" w:cs="Arial"/>
              </w:rPr>
            </w:pPr>
            <w:r w:rsidRPr="002C0D19">
              <w:rPr>
                <w:rFonts w:ascii="Arial Narrow" w:hAnsi="Arial Narrow" w:cs="Arial"/>
              </w:rPr>
              <w:t>E</w:t>
            </w:r>
          </w:p>
        </w:tc>
        <w:tc>
          <w:tcPr>
            <w:tcW w:w="2943" w:type="dxa"/>
          </w:tcPr>
          <w:p w14:paraId="4F0E80BE" w14:textId="77777777" w:rsidR="007968EC" w:rsidRPr="002C0D19" w:rsidRDefault="007968EC" w:rsidP="007968EC">
            <w:pPr>
              <w:jc w:val="both"/>
              <w:rPr>
                <w:rFonts w:ascii="Arial Narrow" w:hAnsi="Arial Narrow" w:cs="Arial"/>
              </w:rPr>
            </w:pPr>
            <w:r w:rsidRPr="002C0D19">
              <w:rPr>
                <w:rFonts w:ascii="Arial Narrow" w:hAnsi="Arial Narrow" w:cs="Arial"/>
              </w:rPr>
              <w:t>Estado temporal que se presenta mientras se realiza el proceso de cancelación del repique al momento de realizar procesos de devolución, exclusión o traslado de paquete de Operaciones Repo.</w:t>
            </w:r>
          </w:p>
        </w:tc>
      </w:tr>
    </w:tbl>
    <w:p w14:paraId="653337F1" w14:textId="77777777" w:rsidR="007968EC" w:rsidRPr="002C0D19" w:rsidRDefault="007968EC" w:rsidP="007968EC">
      <w:pPr>
        <w:jc w:val="both"/>
        <w:rPr>
          <w:rFonts w:ascii="Arial Narrow" w:hAnsi="Arial Narrow" w:cs="Arial"/>
          <w:b/>
          <w:bCs/>
          <w:color w:val="0070C0"/>
          <w:lang w:val="es-ES" w:eastAsia="es-ES"/>
        </w:rPr>
      </w:pPr>
    </w:p>
    <w:p w14:paraId="78F60EB6" w14:textId="77777777" w:rsidR="007968EC" w:rsidRPr="002C0D19" w:rsidRDefault="007968EC" w:rsidP="007968EC">
      <w:pPr>
        <w:tabs>
          <w:tab w:val="left" w:pos="0"/>
          <w:tab w:val="right" w:pos="8400"/>
        </w:tabs>
        <w:ind w:right="-42"/>
        <w:contextualSpacing/>
        <w:jc w:val="both"/>
        <w:rPr>
          <w:rFonts w:ascii="Arial Narrow" w:hAnsi="Arial Narrow" w:cs="Arial"/>
          <w:bCs/>
          <w:lang w:val="es-ES" w:eastAsia="es-ES"/>
        </w:rPr>
      </w:pPr>
      <w:r w:rsidRPr="002C0D19">
        <w:rPr>
          <w:rFonts w:ascii="Arial Narrow" w:hAnsi="Arial Narrow" w:cs="Arial"/>
          <w:bCs/>
          <w:lang w:val="es-ES" w:eastAsia="es-ES"/>
        </w:rPr>
        <w:t xml:space="preserve">Los anteriores estados solamente podrán ser consultados y visualizados en el sistema de la Bolsa. La Bolsa sólo notificará a la Cámara el estado “Admitido” de cada una de las Operaciones Repo y/o fracciones de una operación que conforman uno o varios paquetes de Operaciones Repo. En consecuencia, la Cámara no tendrá acceso a la pizarra ni a la información contenida en la misma. </w:t>
      </w:r>
    </w:p>
    <w:p w14:paraId="129F471E" w14:textId="77777777" w:rsidR="007968EC" w:rsidRPr="002C0D19" w:rsidRDefault="007968EC" w:rsidP="007968EC">
      <w:pPr>
        <w:jc w:val="both"/>
        <w:rPr>
          <w:rFonts w:ascii="Arial Narrow" w:hAnsi="Arial Narrow" w:cs="Arial"/>
          <w:bCs/>
          <w:lang w:val="es-ES" w:eastAsia="es-ES"/>
        </w:rPr>
      </w:pPr>
    </w:p>
    <w:p w14:paraId="03780C10" w14:textId="77777777" w:rsidR="007968EC" w:rsidRPr="002C0D19" w:rsidRDefault="007968EC" w:rsidP="007968EC">
      <w:pPr>
        <w:rPr>
          <w:rFonts w:ascii="Arial Narrow" w:eastAsia="Calibri" w:hAnsi="Arial Narrow" w:cs="Arial"/>
          <w:b/>
          <w:lang w:val="es-ES"/>
        </w:rPr>
      </w:pPr>
    </w:p>
    <w:p w14:paraId="2F738433" w14:textId="77777777" w:rsidR="007968EC" w:rsidRDefault="007968EC" w:rsidP="007968EC">
      <w:pPr>
        <w:jc w:val="center"/>
        <w:outlineLvl w:val="0"/>
        <w:rPr>
          <w:rFonts w:ascii="Arial Narrow" w:eastAsia="Calibri" w:hAnsi="Arial Narrow"/>
          <w:b/>
        </w:rPr>
      </w:pPr>
      <w:bookmarkStart w:id="6174" w:name="_Toc490066725"/>
    </w:p>
    <w:p w14:paraId="7DA36FD1" w14:textId="77777777" w:rsidR="007968EC" w:rsidRPr="002C0D19" w:rsidRDefault="007968EC" w:rsidP="007968EC">
      <w:pPr>
        <w:pStyle w:val="TTULO"/>
        <w:rPr>
          <w:rFonts w:eastAsia="Calibri"/>
        </w:rPr>
      </w:pPr>
      <w:bookmarkStart w:id="6175" w:name="_Toc31716405"/>
      <w:r w:rsidRPr="002C0D19">
        <w:rPr>
          <w:rFonts w:eastAsia="Calibri"/>
        </w:rPr>
        <w:t>TÍTULO QUINTO</w:t>
      </w:r>
      <w:bookmarkEnd w:id="6174"/>
      <w:bookmarkEnd w:id="6175"/>
    </w:p>
    <w:p w14:paraId="02059639" w14:textId="77777777" w:rsidR="007968EC" w:rsidRPr="002C0D19" w:rsidRDefault="007968EC" w:rsidP="007968EC">
      <w:pPr>
        <w:pStyle w:val="TTULO"/>
      </w:pPr>
    </w:p>
    <w:p w14:paraId="2B60AE66" w14:textId="77777777" w:rsidR="007968EC" w:rsidRPr="002C0D19" w:rsidRDefault="007968EC" w:rsidP="007968EC">
      <w:pPr>
        <w:pStyle w:val="TTULO"/>
        <w:rPr>
          <w:rFonts w:eastAsia="Calibri"/>
        </w:rPr>
      </w:pPr>
      <w:bookmarkStart w:id="6176" w:name="_Toc490066726"/>
      <w:bookmarkStart w:id="6177" w:name="_Toc31716406"/>
      <w:r w:rsidRPr="002C0D19">
        <w:rPr>
          <w:rFonts w:eastAsia="Calibri"/>
        </w:rPr>
        <w:lastRenderedPageBreak/>
        <w:t>MODELO DE RIESGO DE LA CÁMARA PARA EL CÁLCULO Y GESTIÓN DE GARANTÍAS Y DEFINICIÓN DE LÍMITES</w:t>
      </w:r>
      <w:bookmarkEnd w:id="6176"/>
      <w:bookmarkEnd w:id="6177"/>
    </w:p>
    <w:p w14:paraId="370F408C" w14:textId="77777777" w:rsidR="007968EC" w:rsidRPr="002C0D19" w:rsidRDefault="007968EC" w:rsidP="007968EC">
      <w:pPr>
        <w:pStyle w:val="TTULO"/>
        <w:rPr>
          <w:rFonts w:eastAsia="Calibri"/>
        </w:rPr>
      </w:pPr>
    </w:p>
    <w:p w14:paraId="5F2BFBE5" w14:textId="77777777" w:rsidR="007968EC" w:rsidRPr="002C0D19" w:rsidRDefault="007968EC" w:rsidP="007968EC">
      <w:pPr>
        <w:pStyle w:val="TTULO"/>
        <w:rPr>
          <w:rFonts w:eastAsia="Calibri"/>
        </w:rPr>
      </w:pPr>
      <w:bookmarkStart w:id="6178" w:name="_Toc490066727"/>
      <w:bookmarkStart w:id="6179" w:name="_Toc31716407"/>
      <w:r w:rsidRPr="002C0D19">
        <w:rPr>
          <w:rFonts w:eastAsia="Calibri"/>
        </w:rPr>
        <w:t>CAPÍTULO PRIMERO</w:t>
      </w:r>
      <w:bookmarkEnd w:id="6178"/>
      <w:bookmarkEnd w:id="6179"/>
    </w:p>
    <w:p w14:paraId="356B7382" w14:textId="77777777" w:rsidR="007968EC" w:rsidRPr="002C0D19" w:rsidRDefault="007968EC" w:rsidP="007968EC">
      <w:pPr>
        <w:pStyle w:val="TTULO"/>
        <w:rPr>
          <w:rFonts w:eastAsia="Calibri"/>
        </w:rPr>
      </w:pPr>
    </w:p>
    <w:p w14:paraId="763B0A9B" w14:textId="77777777" w:rsidR="007968EC" w:rsidRPr="002C0D19" w:rsidRDefault="007968EC" w:rsidP="007968EC">
      <w:pPr>
        <w:pStyle w:val="TTULO"/>
        <w:rPr>
          <w:rFonts w:eastAsia="Calibri"/>
        </w:rPr>
      </w:pPr>
      <w:bookmarkStart w:id="6180" w:name="_Toc490066728"/>
      <w:bookmarkStart w:id="6181" w:name="_Toc31716408"/>
      <w:r w:rsidRPr="002C0D19">
        <w:rPr>
          <w:rFonts w:eastAsia="Calibri"/>
        </w:rPr>
        <w:t>MODELO DE RIESGO</w:t>
      </w:r>
      <w:bookmarkEnd w:id="6180"/>
      <w:bookmarkEnd w:id="6181"/>
    </w:p>
    <w:p w14:paraId="5212C7FB" w14:textId="77777777" w:rsidR="007968EC" w:rsidRPr="002C0D19" w:rsidRDefault="007968EC" w:rsidP="007968EC">
      <w:pPr>
        <w:jc w:val="center"/>
        <w:outlineLvl w:val="1"/>
        <w:rPr>
          <w:rFonts w:ascii="Arial Narrow" w:eastAsia="Calibri" w:hAnsi="Arial Narrow"/>
          <w:b/>
        </w:rPr>
      </w:pPr>
    </w:p>
    <w:p w14:paraId="358EC2C6" w14:textId="77777777" w:rsidR="007968EC" w:rsidRPr="002C0D19" w:rsidRDefault="007968EC" w:rsidP="007968EC">
      <w:pPr>
        <w:pStyle w:val="ARTICULO0"/>
        <w:rPr>
          <w:rFonts w:eastAsia="Calibri"/>
        </w:rPr>
      </w:pPr>
      <w:bookmarkStart w:id="6182" w:name="_Toc490066729"/>
      <w:bookmarkStart w:id="6183" w:name="_Toc31716409"/>
      <w:r w:rsidRPr="002C0D19">
        <w:rPr>
          <w:rFonts w:eastAsia="Calibri"/>
        </w:rPr>
        <w:t>Artículo 4.5.1.1. Modelo de Riesgo de la Cámara para el cálculo, gestión de Garantías y definición de Límites.</w:t>
      </w:r>
      <w:bookmarkEnd w:id="6182"/>
      <w:bookmarkEnd w:id="6183"/>
    </w:p>
    <w:p w14:paraId="40D2F08F" w14:textId="77777777" w:rsidR="007968EC" w:rsidRDefault="007968EC" w:rsidP="007968EC">
      <w:pPr>
        <w:jc w:val="both"/>
        <w:rPr>
          <w:rFonts w:ascii="Arial Narrow" w:eastAsia="Calibri" w:hAnsi="Arial Narrow"/>
          <w:bCs/>
          <w:color w:val="000000" w:themeColor="text1"/>
        </w:rPr>
      </w:pPr>
    </w:p>
    <w:p w14:paraId="7763747D" w14:textId="77777777" w:rsidR="007968EC" w:rsidRPr="005F10B9" w:rsidRDefault="007968EC" w:rsidP="007968EC">
      <w:pPr>
        <w:pStyle w:val="ANTECEDENTES"/>
      </w:pPr>
      <w:r w:rsidRPr="005F10B9">
        <w:t>(Este artículo fue modificado mediante Circular 7 del 9 de mayo de 2018, publicada en el Boletín Normativo No. 010 del 9 de mayo de 2018. Rige a partir del 21 de mayo de 2018.)</w:t>
      </w:r>
    </w:p>
    <w:p w14:paraId="3D78D7BF" w14:textId="77777777" w:rsidR="007968EC" w:rsidRDefault="007968EC" w:rsidP="007968EC">
      <w:pPr>
        <w:jc w:val="both"/>
        <w:rPr>
          <w:rFonts w:ascii="Arial Narrow" w:eastAsia="Calibri" w:hAnsi="Arial Narrow"/>
          <w:bCs/>
          <w:color w:val="000000" w:themeColor="text1"/>
        </w:rPr>
      </w:pPr>
    </w:p>
    <w:p w14:paraId="5FF9896F" w14:textId="77777777" w:rsidR="007968EC" w:rsidRDefault="007968EC" w:rsidP="007968EC">
      <w:pPr>
        <w:jc w:val="both"/>
        <w:rPr>
          <w:rFonts w:ascii="Arial Narrow" w:eastAsia="Calibri" w:hAnsi="Arial Narrow"/>
          <w:bCs/>
          <w:color w:val="000000" w:themeColor="text1"/>
        </w:rPr>
      </w:pPr>
      <w:r w:rsidRPr="005F10B9">
        <w:rPr>
          <w:rFonts w:ascii="Arial Narrow" w:eastAsia="Calibri" w:hAnsi="Arial Narrow"/>
          <w:bCs/>
          <w:color w:val="000000" w:themeColor="text1"/>
        </w:rPr>
        <w:t>El modelo de riesgo de la Cámara para el cálculo, gestión de Garantías y definición de Límites en el presente segmento corresponde al descrito en el artículo 1.6.1.1. de la presente Circular.</w:t>
      </w:r>
    </w:p>
    <w:p w14:paraId="031A595E" w14:textId="77777777" w:rsidR="007968EC" w:rsidRDefault="007968EC" w:rsidP="007968EC">
      <w:pPr>
        <w:jc w:val="both"/>
        <w:rPr>
          <w:rFonts w:ascii="Arial Narrow" w:eastAsia="Calibri" w:hAnsi="Arial Narrow"/>
          <w:bCs/>
          <w:color w:val="000000" w:themeColor="text1"/>
        </w:rPr>
      </w:pPr>
    </w:p>
    <w:p w14:paraId="24E33029" w14:textId="77777777" w:rsidR="007968EC" w:rsidRPr="005F10B9" w:rsidRDefault="007968EC" w:rsidP="007968EC">
      <w:pPr>
        <w:jc w:val="both"/>
        <w:rPr>
          <w:rFonts w:ascii="Arial Narrow" w:eastAsia="Calibri" w:hAnsi="Arial Narrow"/>
          <w:bCs/>
          <w:color w:val="000000" w:themeColor="text1"/>
        </w:rPr>
      </w:pPr>
    </w:p>
    <w:p w14:paraId="3ABB538A" w14:textId="77777777" w:rsidR="007968EC" w:rsidRPr="002C0D19" w:rsidRDefault="007968EC" w:rsidP="007968EC">
      <w:pPr>
        <w:pStyle w:val="TTULO"/>
        <w:rPr>
          <w:rFonts w:eastAsia="Calibri"/>
        </w:rPr>
      </w:pPr>
      <w:bookmarkStart w:id="6184" w:name="_Toc490066731"/>
      <w:bookmarkStart w:id="6185" w:name="_Toc31716410"/>
      <w:r w:rsidRPr="002C0D19">
        <w:rPr>
          <w:rFonts w:eastAsia="Calibri"/>
        </w:rPr>
        <w:t>CAPÍTULO SEGUNDO</w:t>
      </w:r>
      <w:bookmarkEnd w:id="6184"/>
      <w:bookmarkEnd w:id="6185"/>
    </w:p>
    <w:p w14:paraId="3F8099EB" w14:textId="77777777" w:rsidR="007968EC" w:rsidRPr="002C0D19" w:rsidRDefault="007968EC" w:rsidP="007968EC">
      <w:pPr>
        <w:pStyle w:val="TTULO"/>
        <w:rPr>
          <w:rFonts w:eastAsia="Calibri"/>
        </w:rPr>
      </w:pPr>
    </w:p>
    <w:p w14:paraId="439D9C78" w14:textId="77777777" w:rsidR="007968EC" w:rsidRPr="002C0D19" w:rsidRDefault="007968EC" w:rsidP="007968EC">
      <w:pPr>
        <w:pStyle w:val="TTULO"/>
        <w:rPr>
          <w:rFonts w:eastAsia="Calibri"/>
        </w:rPr>
      </w:pPr>
      <w:bookmarkStart w:id="6186" w:name="_Toc490066732"/>
      <w:bookmarkStart w:id="6187" w:name="_Toc31716411"/>
      <w:r w:rsidRPr="002C0D19">
        <w:rPr>
          <w:rFonts w:eastAsia="Calibri"/>
        </w:rPr>
        <w:t>GARANTÍAS Y GESTIÓN DE GARANTÍAS</w:t>
      </w:r>
      <w:bookmarkEnd w:id="6186"/>
      <w:bookmarkEnd w:id="6187"/>
    </w:p>
    <w:p w14:paraId="1088881B" w14:textId="77777777" w:rsidR="007968EC" w:rsidRPr="002C0D19" w:rsidRDefault="007968EC" w:rsidP="007968EC">
      <w:pPr>
        <w:jc w:val="center"/>
        <w:outlineLvl w:val="1"/>
        <w:rPr>
          <w:rFonts w:ascii="Arial Narrow" w:eastAsia="Calibri" w:hAnsi="Arial Narrow"/>
        </w:rPr>
      </w:pPr>
    </w:p>
    <w:p w14:paraId="60DA257C" w14:textId="77777777" w:rsidR="007968EC" w:rsidRPr="002C0D19" w:rsidRDefault="007968EC" w:rsidP="007968EC">
      <w:pPr>
        <w:pStyle w:val="ARTICULO0"/>
      </w:pPr>
      <w:bookmarkStart w:id="6188" w:name="_Toc490066733"/>
      <w:bookmarkStart w:id="6189" w:name="_Toc31716412"/>
      <w:r w:rsidRPr="002C0D19">
        <w:t>Artículo 4.5.2.1. Valor mínimo de la Garantía Individual.</w:t>
      </w:r>
      <w:bookmarkEnd w:id="6188"/>
      <w:bookmarkEnd w:id="6189"/>
      <w:r w:rsidRPr="002C0D19">
        <w:t xml:space="preserve"> </w:t>
      </w:r>
    </w:p>
    <w:p w14:paraId="2BDCF04C" w14:textId="77777777" w:rsidR="007968EC" w:rsidRPr="002C0D19" w:rsidRDefault="007968EC" w:rsidP="007968EC">
      <w:pPr>
        <w:rPr>
          <w:rFonts w:ascii="Arial Narrow" w:eastAsia="Calibri" w:hAnsi="Arial Narrow"/>
          <w:bCs/>
        </w:rPr>
      </w:pPr>
    </w:p>
    <w:p w14:paraId="55FB5CD0" w14:textId="77777777" w:rsidR="007968EC" w:rsidRPr="002C0D19" w:rsidRDefault="007968EC" w:rsidP="007968EC">
      <w:pPr>
        <w:jc w:val="both"/>
        <w:rPr>
          <w:rFonts w:ascii="Arial Narrow" w:eastAsia="Calibri" w:hAnsi="Arial Narrow"/>
        </w:rPr>
      </w:pPr>
      <w:r w:rsidRPr="002C0D19">
        <w:rPr>
          <w:rFonts w:ascii="Arial Narrow" w:eastAsia="Calibri" w:hAnsi="Arial Narrow"/>
        </w:rPr>
        <w:t xml:space="preserve">Los Miembros Liquidadores deberán constituir una Garantía Individual por los siguientes valores mínimos para el presente Segmento:  </w:t>
      </w:r>
    </w:p>
    <w:p w14:paraId="27248329" w14:textId="77777777" w:rsidR="007968EC" w:rsidRPr="002C0D19" w:rsidRDefault="007968EC" w:rsidP="007968EC">
      <w:pPr>
        <w:jc w:val="both"/>
        <w:rPr>
          <w:rFonts w:ascii="Arial Narrow" w:eastAsia="Calibri" w:hAnsi="Arial Narrow"/>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4"/>
        <w:gridCol w:w="6972"/>
      </w:tblGrid>
      <w:tr w:rsidR="007968EC" w:rsidRPr="002C0D19" w14:paraId="6C072AAA" w14:textId="77777777" w:rsidTr="007968EC">
        <w:trPr>
          <w:trHeight w:val="333"/>
          <w:jc w:val="center"/>
        </w:trPr>
        <w:tc>
          <w:tcPr>
            <w:tcW w:w="2804" w:type="dxa"/>
          </w:tcPr>
          <w:p w14:paraId="3EC88F71" w14:textId="77777777" w:rsidR="007968EC" w:rsidRPr="002C0D19" w:rsidRDefault="007968EC" w:rsidP="007968EC">
            <w:pPr>
              <w:autoSpaceDE w:val="0"/>
              <w:autoSpaceDN w:val="0"/>
              <w:adjustRightInd w:val="0"/>
              <w:ind w:left="151" w:right="-333"/>
              <w:jc w:val="center"/>
              <w:rPr>
                <w:rFonts w:ascii="Arial Narrow" w:eastAsia="Calibri" w:hAnsi="Arial Narrow"/>
                <w:b/>
                <w:lang w:eastAsia="es-CO"/>
              </w:rPr>
            </w:pPr>
            <w:r w:rsidRPr="002C0D19">
              <w:rPr>
                <w:rFonts w:ascii="Arial Narrow" w:eastAsia="Calibri" w:hAnsi="Arial Narrow"/>
                <w:b/>
                <w:lang w:eastAsia="es-CO"/>
              </w:rPr>
              <w:t>Miembro</w:t>
            </w:r>
          </w:p>
        </w:tc>
        <w:tc>
          <w:tcPr>
            <w:tcW w:w="6972" w:type="dxa"/>
          </w:tcPr>
          <w:p w14:paraId="2F33A9D5" w14:textId="77777777" w:rsidR="007968EC" w:rsidRPr="002C0D19" w:rsidRDefault="007968EC" w:rsidP="007968EC">
            <w:pPr>
              <w:autoSpaceDE w:val="0"/>
              <w:autoSpaceDN w:val="0"/>
              <w:adjustRightInd w:val="0"/>
              <w:ind w:right="-333"/>
              <w:jc w:val="center"/>
              <w:rPr>
                <w:rFonts w:ascii="Arial Narrow" w:eastAsia="Calibri" w:hAnsi="Arial Narrow"/>
                <w:b/>
                <w:lang w:eastAsia="es-CO"/>
              </w:rPr>
            </w:pPr>
            <w:r w:rsidRPr="002C0D19">
              <w:rPr>
                <w:rFonts w:ascii="Arial Narrow" w:eastAsia="Calibri" w:hAnsi="Arial Narrow"/>
                <w:b/>
                <w:lang w:eastAsia="es-CO"/>
              </w:rPr>
              <w:t>Valor de la Garantía mínima Individual</w:t>
            </w:r>
          </w:p>
        </w:tc>
      </w:tr>
      <w:tr w:rsidR="007968EC" w:rsidRPr="002C0D19" w14:paraId="0B3EAFEA" w14:textId="77777777" w:rsidTr="007968EC">
        <w:trPr>
          <w:trHeight w:val="422"/>
          <w:jc w:val="center"/>
        </w:trPr>
        <w:tc>
          <w:tcPr>
            <w:tcW w:w="2804" w:type="dxa"/>
          </w:tcPr>
          <w:p w14:paraId="69FCB73D" w14:textId="77777777" w:rsidR="007968EC" w:rsidRPr="002C0D19" w:rsidRDefault="007968EC" w:rsidP="007968EC">
            <w:pPr>
              <w:autoSpaceDE w:val="0"/>
              <w:autoSpaceDN w:val="0"/>
              <w:adjustRightInd w:val="0"/>
              <w:ind w:right="-333"/>
              <w:jc w:val="both"/>
              <w:rPr>
                <w:rFonts w:ascii="Arial Narrow" w:eastAsia="Calibri" w:hAnsi="Arial Narrow"/>
                <w:lang w:eastAsia="es-CO"/>
              </w:rPr>
            </w:pPr>
            <w:r w:rsidRPr="002C0D19">
              <w:rPr>
                <w:rFonts w:ascii="Arial Narrow" w:eastAsia="Calibri" w:hAnsi="Arial Narrow"/>
                <w:lang w:eastAsia="es-CO"/>
              </w:rPr>
              <w:t>Miembro Liquidador Individual</w:t>
            </w:r>
          </w:p>
        </w:tc>
        <w:tc>
          <w:tcPr>
            <w:tcW w:w="6972" w:type="dxa"/>
          </w:tcPr>
          <w:p w14:paraId="1F0E8630" w14:textId="77777777" w:rsidR="007968EC" w:rsidRPr="002C0D19" w:rsidRDefault="007968EC" w:rsidP="007968EC">
            <w:pPr>
              <w:autoSpaceDE w:val="0"/>
              <w:autoSpaceDN w:val="0"/>
              <w:adjustRightInd w:val="0"/>
              <w:ind w:right="-333"/>
              <w:jc w:val="both"/>
              <w:rPr>
                <w:rFonts w:ascii="Arial Narrow" w:eastAsia="Calibri" w:hAnsi="Arial Narrow"/>
                <w:lang w:eastAsia="es-CO"/>
              </w:rPr>
            </w:pPr>
            <w:r w:rsidRPr="002C0D19">
              <w:rPr>
                <w:rFonts w:ascii="Arial Narrow" w:eastAsia="Calibri" w:hAnsi="Arial Narrow"/>
                <w:lang w:eastAsia="es-CO"/>
              </w:rPr>
              <w:t>Doscientos cincuenta millones de pesos ($250.000.000) moneda corriente.</w:t>
            </w:r>
          </w:p>
        </w:tc>
      </w:tr>
      <w:tr w:rsidR="007968EC" w:rsidRPr="002C0D19" w14:paraId="7C6828A3" w14:textId="77777777" w:rsidTr="007968EC">
        <w:trPr>
          <w:trHeight w:val="401"/>
          <w:jc w:val="center"/>
        </w:trPr>
        <w:tc>
          <w:tcPr>
            <w:tcW w:w="2804" w:type="dxa"/>
          </w:tcPr>
          <w:p w14:paraId="7EEF5AA1" w14:textId="77777777" w:rsidR="007968EC" w:rsidRPr="002C0D19" w:rsidRDefault="007968EC" w:rsidP="007968EC">
            <w:pPr>
              <w:autoSpaceDE w:val="0"/>
              <w:autoSpaceDN w:val="0"/>
              <w:adjustRightInd w:val="0"/>
              <w:ind w:right="-333"/>
              <w:jc w:val="both"/>
              <w:rPr>
                <w:rFonts w:ascii="Arial Narrow" w:eastAsia="Calibri" w:hAnsi="Arial Narrow"/>
                <w:lang w:eastAsia="es-CO"/>
              </w:rPr>
            </w:pPr>
            <w:r w:rsidRPr="002C0D19">
              <w:rPr>
                <w:rFonts w:ascii="Arial Narrow" w:eastAsia="Calibri" w:hAnsi="Arial Narrow"/>
                <w:lang w:eastAsia="es-CO"/>
              </w:rPr>
              <w:t>Miembro Liquidador General</w:t>
            </w:r>
          </w:p>
        </w:tc>
        <w:tc>
          <w:tcPr>
            <w:tcW w:w="6972" w:type="dxa"/>
          </w:tcPr>
          <w:p w14:paraId="3F74BC4A" w14:textId="77777777" w:rsidR="007968EC" w:rsidRPr="002C0D19" w:rsidRDefault="007968EC" w:rsidP="007968EC">
            <w:pPr>
              <w:autoSpaceDE w:val="0"/>
              <w:autoSpaceDN w:val="0"/>
              <w:adjustRightInd w:val="0"/>
              <w:ind w:right="-333"/>
              <w:jc w:val="both"/>
              <w:rPr>
                <w:rFonts w:ascii="Arial Narrow" w:eastAsia="Calibri" w:hAnsi="Arial Narrow"/>
                <w:lang w:eastAsia="es-CO"/>
              </w:rPr>
            </w:pPr>
            <w:r w:rsidRPr="002C0D19">
              <w:rPr>
                <w:rFonts w:ascii="Arial Narrow" w:eastAsia="Calibri" w:hAnsi="Arial Narrow"/>
                <w:lang w:eastAsia="es-CO"/>
              </w:rPr>
              <w:t>Quinientos millones de pesos ($500.000.000) moneda corriente.</w:t>
            </w:r>
          </w:p>
        </w:tc>
      </w:tr>
    </w:tbl>
    <w:p w14:paraId="42EBF98A" w14:textId="77777777" w:rsidR="007968EC" w:rsidRPr="002C0D19" w:rsidRDefault="007968EC" w:rsidP="007968EC">
      <w:pPr>
        <w:rPr>
          <w:rFonts w:ascii="Arial Narrow" w:eastAsia="Calibri" w:hAnsi="Arial Narrow"/>
        </w:rPr>
      </w:pPr>
    </w:p>
    <w:p w14:paraId="71D0F494" w14:textId="77777777" w:rsidR="007968EC" w:rsidRPr="002C0D19" w:rsidRDefault="007968EC" w:rsidP="007968EC">
      <w:pPr>
        <w:keepNext/>
        <w:tabs>
          <w:tab w:val="left" w:pos="1701"/>
        </w:tabs>
        <w:jc w:val="both"/>
        <w:outlineLvl w:val="2"/>
        <w:rPr>
          <w:rFonts w:ascii="Arial Narrow" w:hAnsi="Arial Narrow" w:cs="Arial"/>
          <w:b/>
          <w:u w:val="single"/>
          <w:lang w:eastAsia="es-ES"/>
        </w:rPr>
      </w:pPr>
      <w:bookmarkStart w:id="6190" w:name="_Toc490066734"/>
      <w:r w:rsidRPr="002C0D19">
        <w:rPr>
          <w:rFonts w:ascii="Arial Narrow" w:hAnsi="Arial Narrow" w:cs="Arial"/>
          <w:b/>
          <w:u w:val="single"/>
          <w:lang w:eastAsia="es-ES"/>
        </w:rPr>
        <w:t>Artículo 4.5.2.2. Garantía Individual por estrés test del Fondo de Garantía Colectiva.</w:t>
      </w:r>
      <w:bookmarkEnd w:id="6190"/>
      <w:r w:rsidRPr="002C0D19">
        <w:rPr>
          <w:rFonts w:ascii="Arial Narrow" w:hAnsi="Arial Narrow" w:cs="Arial"/>
          <w:b/>
          <w:u w:val="single"/>
          <w:lang w:eastAsia="es-ES"/>
        </w:rPr>
        <w:t xml:space="preserve"> </w:t>
      </w:r>
    </w:p>
    <w:p w14:paraId="7843BC9C" w14:textId="77777777" w:rsidR="007968EC" w:rsidRPr="00545AB6" w:rsidRDefault="007968EC" w:rsidP="007968EC">
      <w:pPr>
        <w:jc w:val="both"/>
        <w:rPr>
          <w:rFonts w:ascii="Arial Narrow" w:eastAsia="Calibri" w:hAnsi="Arial Narrow"/>
          <w:bCs/>
          <w:color w:val="000000" w:themeColor="text1"/>
        </w:rPr>
      </w:pPr>
    </w:p>
    <w:p w14:paraId="59A7ADC6" w14:textId="77777777" w:rsidR="007968EC" w:rsidRPr="002C0D19" w:rsidRDefault="007968EC" w:rsidP="007968EC">
      <w:pPr>
        <w:jc w:val="both"/>
        <w:rPr>
          <w:rFonts w:ascii="Arial Narrow" w:eastAsia="Calibri" w:hAnsi="Arial Narrow"/>
          <w:bCs/>
        </w:rPr>
      </w:pPr>
      <w:r w:rsidRPr="002C0D19">
        <w:rPr>
          <w:rFonts w:ascii="Arial Narrow" w:eastAsia="Calibri" w:hAnsi="Arial Narrow"/>
          <w:bCs/>
        </w:rPr>
        <w:t>La Garantía Individual por estrés test para el presente Segmento se calculará de conformidad con lo dispuesto en el artículo 1.6.2.2. de la presente Circular.</w:t>
      </w:r>
    </w:p>
    <w:p w14:paraId="10C25D93" w14:textId="77777777" w:rsidR="007968EC" w:rsidRPr="002C0D19" w:rsidRDefault="007968EC" w:rsidP="007968EC">
      <w:pPr>
        <w:rPr>
          <w:rFonts w:ascii="Arial Narrow" w:eastAsia="Calibri" w:hAnsi="Arial Narrow"/>
          <w:bCs/>
        </w:rPr>
      </w:pPr>
    </w:p>
    <w:p w14:paraId="0B8C7F50" w14:textId="77777777" w:rsidR="007968EC" w:rsidRPr="002C0D19" w:rsidRDefault="007968EC" w:rsidP="007968EC">
      <w:pPr>
        <w:pStyle w:val="ARTICULO0"/>
      </w:pPr>
      <w:bookmarkStart w:id="6191" w:name="_Toc31716413"/>
      <w:r w:rsidRPr="002C0D19">
        <w:t>Artículo 4.5.2.3. Constitución de Garantía por Posición sobre el Activo objeto de una Operación Repo.</w:t>
      </w:r>
      <w:bookmarkEnd w:id="6191"/>
    </w:p>
    <w:p w14:paraId="27FCC84D" w14:textId="77777777" w:rsidR="007968EC" w:rsidRPr="002C0D19" w:rsidRDefault="007968EC" w:rsidP="007968EC">
      <w:pPr>
        <w:autoSpaceDE w:val="0"/>
        <w:autoSpaceDN w:val="0"/>
        <w:adjustRightInd w:val="0"/>
        <w:jc w:val="both"/>
        <w:rPr>
          <w:rFonts w:ascii="Arial Narrow" w:hAnsi="Arial Narrow" w:cs="Arial"/>
          <w:lang w:val="es-ES" w:eastAsia="es-ES"/>
        </w:rPr>
      </w:pPr>
    </w:p>
    <w:p w14:paraId="279CFA35" w14:textId="77777777" w:rsidR="007968EC" w:rsidRPr="002C0D19" w:rsidRDefault="007968EC" w:rsidP="007968EC">
      <w:pPr>
        <w:autoSpaceDE w:val="0"/>
        <w:autoSpaceDN w:val="0"/>
        <w:adjustRightInd w:val="0"/>
        <w:jc w:val="both"/>
        <w:rPr>
          <w:rFonts w:ascii="Arial Narrow" w:hAnsi="Arial Narrow" w:cs="Arial"/>
          <w:lang w:val="es-ES" w:eastAsia="es-ES"/>
        </w:rPr>
      </w:pPr>
      <w:r w:rsidRPr="002C0D19">
        <w:rPr>
          <w:rFonts w:ascii="Arial Narrow" w:hAnsi="Arial Narrow" w:cs="Arial"/>
          <w:lang w:val="es-ES" w:eastAsia="es-ES"/>
        </w:rPr>
        <w:t xml:space="preserve">El Activo objeto de la Operación Repo quedará inmovilizado a título de Garantía. </w:t>
      </w:r>
    </w:p>
    <w:p w14:paraId="4C377AA0" w14:textId="77777777" w:rsidR="007968EC" w:rsidRPr="002C0D19" w:rsidRDefault="007968EC" w:rsidP="007968EC">
      <w:pPr>
        <w:autoSpaceDE w:val="0"/>
        <w:autoSpaceDN w:val="0"/>
        <w:adjustRightInd w:val="0"/>
        <w:jc w:val="both"/>
        <w:rPr>
          <w:rFonts w:ascii="Arial Narrow" w:hAnsi="Arial Narrow" w:cs="Arial"/>
          <w:lang w:val="es-ES" w:eastAsia="es-ES"/>
        </w:rPr>
      </w:pPr>
      <w:r w:rsidRPr="002C0D19">
        <w:rPr>
          <w:rFonts w:ascii="Arial Narrow" w:hAnsi="Arial Narrow" w:cs="Arial"/>
          <w:lang w:val="es-ES" w:eastAsia="es-ES"/>
        </w:rPr>
        <w:t xml:space="preserve">  </w:t>
      </w:r>
    </w:p>
    <w:p w14:paraId="07682EE2" w14:textId="77777777" w:rsidR="007968EC" w:rsidRPr="002C0D19" w:rsidRDefault="007968EC" w:rsidP="007968EC">
      <w:pPr>
        <w:autoSpaceDE w:val="0"/>
        <w:autoSpaceDN w:val="0"/>
        <w:adjustRightInd w:val="0"/>
        <w:jc w:val="both"/>
        <w:rPr>
          <w:rFonts w:ascii="Arial Narrow" w:hAnsi="Arial Narrow" w:cs="Arial"/>
          <w:lang w:val="es-ES" w:eastAsia="es-ES"/>
        </w:rPr>
      </w:pPr>
      <w:r w:rsidRPr="002C0D19">
        <w:rPr>
          <w:rFonts w:ascii="Arial Narrow" w:hAnsi="Arial Narrow" w:cs="Arial"/>
          <w:lang w:val="es-ES" w:eastAsia="es-ES"/>
        </w:rPr>
        <w:t xml:space="preserve">La Cámara realiza la constitución de Garantías por Posición de los </w:t>
      </w:r>
      <w:r w:rsidRPr="002C0D19">
        <w:rPr>
          <w:rFonts w:ascii="Arial Narrow" w:hAnsi="Arial Narrow" w:cs="Arial"/>
          <w:color w:val="000000"/>
          <w:lang w:val="es-ES" w:eastAsia="es-ES"/>
        </w:rPr>
        <w:t>Activos Objeto de una Operación Repo</w:t>
      </w:r>
      <w:r w:rsidRPr="002C0D19">
        <w:rPr>
          <w:rFonts w:ascii="Arial Narrow" w:hAnsi="Arial Narrow" w:cs="Arial"/>
          <w:lang w:val="es-ES" w:eastAsia="es-ES"/>
        </w:rPr>
        <w:t xml:space="preserve"> simultáneamente con el cumplimiento del flujo de salida. La Garantía se constituye en la Cuenta del Tercero </w:t>
      </w:r>
      <w:r w:rsidRPr="002C0D19">
        <w:rPr>
          <w:rFonts w:ascii="Arial Narrow" w:hAnsi="Arial Narrow" w:cs="Arial"/>
          <w:lang w:val="es-ES" w:eastAsia="es-ES"/>
        </w:rPr>
        <w:lastRenderedPageBreak/>
        <w:t>Identificado o de la Posición Propia del Miembro que actúe como Adquirente de dicha Operación Repo y/o fracción de una operación.</w:t>
      </w:r>
    </w:p>
    <w:p w14:paraId="42DB5703" w14:textId="77777777" w:rsidR="007968EC" w:rsidRPr="002C0D19" w:rsidRDefault="007968EC" w:rsidP="007968EC">
      <w:pPr>
        <w:autoSpaceDE w:val="0"/>
        <w:autoSpaceDN w:val="0"/>
        <w:adjustRightInd w:val="0"/>
        <w:jc w:val="both"/>
        <w:rPr>
          <w:rFonts w:ascii="Arial Narrow" w:hAnsi="Arial Narrow" w:cs="Arial"/>
          <w:lang w:val="es-ES" w:eastAsia="es-ES"/>
        </w:rPr>
      </w:pPr>
    </w:p>
    <w:p w14:paraId="73A5EFCB" w14:textId="77777777" w:rsidR="007968EC" w:rsidRPr="002C0D19" w:rsidRDefault="007968EC" w:rsidP="007968EC">
      <w:pPr>
        <w:pStyle w:val="ARTICULO0"/>
      </w:pPr>
      <w:bookmarkStart w:id="6192" w:name="_Toc31716414"/>
      <w:r w:rsidRPr="002C0D19">
        <w:t>Artículo 4.5.2.4. Liberación de Garantía por Posición del Activo objeto de una Operación Repo.</w:t>
      </w:r>
      <w:bookmarkEnd w:id="6192"/>
    </w:p>
    <w:p w14:paraId="3FED398E" w14:textId="77777777" w:rsidR="007968EC" w:rsidRPr="002C0D19" w:rsidRDefault="007968EC" w:rsidP="007968EC">
      <w:pPr>
        <w:autoSpaceDE w:val="0"/>
        <w:autoSpaceDN w:val="0"/>
        <w:adjustRightInd w:val="0"/>
        <w:jc w:val="both"/>
        <w:rPr>
          <w:rFonts w:ascii="Arial Narrow" w:hAnsi="Arial Narrow" w:cs="Arial"/>
          <w:lang w:val="es-ES" w:eastAsia="es-ES"/>
        </w:rPr>
      </w:pPr>
    </w:p>
    <w:p w14:paraId="0AC5CB57" w14:textId="77777777" w:rsidR="007968EC" w:rsidRPr="002C0D19" w:rsidRDefault="007968EC" w:rsidP="007968EC">
      <w:pPr>
        <w:autoSpaceDE w:val="0"/>
        <w:autoSpaceDN w:val="0"/>
        <w:adjustRightInd w:val="0"/>
        <w:jc w:val="both"/>
        <w:rPr>
          <w:rFonts w:ascii="Arial Narrow" w:hAnsi="Arial Narrow" w:cs="Arial"/>
          <w:color w:val="000000"/>
          <w:lang w:val="es-ES" w:eastAsia="es-ES"/>
        </w:rPr>
      </w:pPr>
      <w:r w:rsidRPr="002C0D19">
        <w:rPr>
          <w:rFonts w:ascii="Arial Narrow" w:hAnsi="Arial Narrow" w:cs="Arial"/>
          <w:lang w:val="es-ES" w:eastAsia="es-ES"/>
        </w:rPr>
        <w:t>La liberación de Garantías por Posición de los Activos</w:t>
      </w:r>
      <w:r w:rsidRPr="002C0D19">
        <w:rPr>
          <w:rFonts w:ascii="Arial Narrow" w:hAnsi="Arial Narrow" w:cs="Arial"/>
          <w:color w:val="000000"/>
          <w:lang w:val="es-ES" w:eastAsia="es-ES"/>
        </w:rPr>
        <w:t xml:space="preserve"> objeto de una Operación Repo, se realizará </w:t>
      </w:r>
      <w:r w:rsidRPr="002C0D19">
        <w:rPr>
          <w:rFonts w:ascii="Arial Narrow" w:hAnsi="Arial Narrow" w:cs="Arial"/>
          <w:lang w:val="es-ES" w:eastAsia="es-ES"/>
        </w:rPr>
        <w:t>el día del vencimiento del flujo de regreso de la Operación,</w:t>
      </w:r>
      <w:r w:rsidRPr="002C0D19">
        <w:rPr>
          <w:rFonts w:ascii="Arial Narrow" w:hAnsi="Arial Narrow" w:cs="Arial"/>
          <w:color w:val="000000"/>
          <w:lang w:val="es-ES" w:eastAsia="es-ES"/>
        </w:rPr>
        <w:t xml:space="preserve"> de acuerdo con el siguiente procedimiento:</w:t>
      </w:r>
    </w:p>
    <w:p w14:paraId="61167868" w14:textId="77777777" w:rsidR="007968EC" w:rsidRPr="002C0D19" w:rsidRDefault="007968EC" w:rsidP="007968EC">
      <w:pPr>
        <w:autoSpaceDE w:val="0"/>
        <w:autoSpaceDN w:val="0"/>
        <w:adjustRightInd w:val="0"/>
        <w:jc w:val="both"/>
        <w:rPr>
          <w:rFonts w:ascii="Arial Narrow" w:hAnsi="Arial Narrow" w:cs="Arial"/>
          <w:color w:val="000000"/>
          <w:lang w:val="es-ES" w:eastAsia="es-ES"/>
        </w:rPr>
      </w:pPr>
    </w:p>
    <w:p w14:paraId="361629A3" w14:textId="77777777" w:rsidR="007968EC" w:rsidRPr="002C0D19" w:rsidRDefault="007968EC" w:rsidP="00DA7472">
      <w:pPr>
        <w:widowControl w:val="0"/>
        <w:numPr>
          <w:ilvl w:val="0"/>
          <w:numId w:val="275"/>
        </w:numPr>
        <w:spacing w:after="180" w:line="240" w:lineRule="atLeast"/>
        <w:jc w:val="both"/>
        <w:rPr>
          <w:rFonts w:ascii="Arial Narrow" w:hAnsi="Arial Narrow" w:cs="Arial"/>
          <w:lang w:val="es-ES" w:eastAsia="es-ES"/>
        </w:rPr>
      </w:pPr>
      <w:r w:rsidRPr="002C0D19">
        <w:rPr>
          <w:rFonts w:ascii="Arial Narrow" w:hAnsi="Arial Narrow" w:cs="Arial"/>
          <w:lang w:val="es-ES" w:eastAsia="es-ES"/>
        </w:rPr>
        <w:t>Monto Liberación Inicial:</w:t>
      </w:r>
    </w:p>
    <w:p w14:paraId="0B4835B9" w14:textId="77777777" w:rsidR="007968EC" w:rsidRPr="002C0D19" w:rsidRDefault="007968EC" w:rsidP="007968EC">
      <w:pPr>
        <w:widowControl w:val="0"/>
        <w:spacing w:after="180" w:line="240" w:lineRule="atLeast"/>
        <w:jc w:val="both"/>
        <w:rPr>
          <w:rFonts w:ascii="Arial Narrow" w:hAnsi="Arial Narrow" w:cs="Arial"/>
          <w:lang w:val="es-ES" w:eastAsia="es-ES"/>
        </w:rPr>
      </w:pPr>
      <m:oMathPara>
        <m:oMath>
          <m:r>
            <m:rPr>
              <m:sty m:val="bi"/>
            </m:rPr>
            <w:rPr>
              <w:rFonts w:ascii="Cambria Math" w:hAnsi="Cambria Math" w:cs="Arial"/>
              <w:lang w:val="es-ES" w:eastAsia="es-ES"/>
            </w:rPr>
            <m:t>Importe =(Volumen * Fluctuación Total * Precio Cierre Activo Subyacente d-1) +( VMP d-1)</m:t>
          </m:r>
        </m:oMath>
      </m:oMathPara>
    </w:p>
    <w:p w14:paraId="6C41B613" w14:textId="77777777" w:rsidR="007968EC" w:rsidRPr="002C0D19" w:rsidRDefault="007968EC" w:rsidP="007968EC">
      <w:pPr>
        <w:widowControl w:val="0"/>
        <w:spacing w:after="180" w:line="240" w:lineRule="atLeast"/>
        <w:jc w:val="both"/>
        <w:rPr>
          <w:rFonts w:ascii="Arial Narrow" w:hAnsi="Arial Narrow" w:cs="Arial"/>
          <w:lang w:val="es-ES" w:eastAsia="es-ES"/>
        </w:rPr>
      </w:pPr>
      <w:r w:rsidRPr="002C0D19">
        <w:rPr>
          <w:rFonts w:ascii="Arial Narrow" w:hAnsi="Arial Narrow" w:cs="Arial"/>
          <w:lang w:val="es-ES" w:eastAsia="es-ES"/>
        </w:rPr>
        <w:t>Donde:</w:t>
      </w:r>
    </w:p>
    <w:p w14:paraId="2FF2D5C3" w14:textId="77777777" w:rsidR="007968EC" w:rsidRPr="002C0D19" w:rsidRDefault="007968EC" w:rsidP="007968EC">
      <w:pPr>
        <w:widowControl w:val="0"/>
        <w:spacing w:after="180" w:line="240" w:lineRule="atLeast"/>
        <w:jc w:val="both"/>
        <w:rPr>
          <w:rFonts w:ascii="Arial Narrow" w:hAnsi="Arial Narrow" w:cs="Arial"/>
          <w:lang w:val="es-ES" w:eastAsia="es-ES"/>
        </w:rPr>
      </w:pPr>
      <w:r w:rsidRPr="002C0D19">
        <w:rPr>
          <w:rFonts w:ascii="Arial Narrow" w:hAnsi="Arial Narrow" w:cs="Arial"/>
          <w:lang w:val="es-ES" w:eastAsia="es-ES"/>
        </w:rPr>
        <w:t xml:space="preserve"> </w:t>
      </w:r>
      <m:oMath>
        <m:r>
          <m:rPr>
            <m:sty m:val="bi"/>
          </m:rPr>
          <w:rPr>
            <w:rFonts w:ascii="Cambria Math" w:hAnsi="Cambria Math" w:cs="Arial"/>
            <w:lang w:val="es-ES" w:eastAsia="es-ES"/>
          </w:rPr>
          <m:t>VMP</m:t>
        </m:r>
      </m:oMath>
      <w:r w:rsidRPr="002C0D19">
        <w:rPr>
          <w:rFonts w:ascii="Arial Narrow" w:hAnsi="Arial Narrow" w:cs="Arial"/>
          <w:lang w:val="es-ES" w:eastAsia="es-ES"/>
        </w:rPr>
        <w:t xml:space="preserve"> Varition Margin Pendiente</w:t>
      </w:r>
    </w:p>
    <w:p w14:paraId="11FF722F" w14:textId="77777777" w:rsidR="007968EC" w:rsidRPr="002C0D19" w:rsidRDefault="007968EC" w:rsidP="007968EC">
      <w:pPr>
        <w:widowControl w:val="0"/>
        <w:spacing w:after="180" w:line="240" w:lineRule="atLeast"/>
        <w:jc w:val="both"/>
        <w:rPr>
          <w:rFonts w:ascii="Arial Narrow" w:hAnsi="Arial Narrow" w:cs="Arial"/>
          <w:lang w:val="es-ES" w:eastAsia="es-ES"/>
        </w:rPr>
      </w:pPr>
      <m:oMath>
        <m:r>
          <m:rPr>
            <m:sty m:val="bi"/>
          </m:rPr>
          <w:rPr>
            <w:rFonts w:ascii="Cambria Math" w:hAnsi="Cambria Math" w:cs="Arial"/>
            <w:lang w:val="es-ES" w:eastAsia="es-ES"/>
          </w:rPr>
          <m:t>Fluctuación Total</m:t>
        </m:r>
      </m:oMath>
      <w:r w:rsidRPr="002C0D19">
        <w:rPr>
          <w:rFonts w:ascii="Arial Narrow" w:hAnsi="Arial Narrow" w:cs="Arial"/>
          <w:lang w:val="es-ES" w:eastAsia="es-ES"/>
        </w:rPr>
        <w:t>: Fluctuación definida en la presente Circular para el Activo sujeto al cálculo</w:t>
      </w:r>
    </w:p>
    <w:p w14:paraId="0FCC2E79" w14:textId="77777777" w:rsidR="007968EC" w:rsidRPr="002C0D19" w:rsidRDefault="007968EC" w:rsidP="007968EC">
      <w:pPr>
        <w:widowControl w:val="0"/>
        <w:spacing w:after="180" w:line="240" w:lineRule="atLeast"/>
        <w:jc w:val="both"/>
        <w:rPr>
          <w:rFonts w:ascii="Arial Narrow" w:hAnsi="Arial Narrow" w:cs="Arial"/>
          <w:lang w:val="es-ES" w:eastAsia="es-ES"/>
        </w:rPr>
      </w:pPr>
      <m:oMath>
        <m:r>
          <m:rPr>
            <m:sty m:val="bi"/>
          </m:rPr>
          <w:rPr>
            <w:rFonts w:ascii="Cambria Math" w:hAnsi="Cambria Math" w:cs="Arial"/>
            <w:lang w:val="es-ES" w:eastAsia="es-ES"/>
          </w:rPr>
          <m:t>d-1</m:t>
        </m:r>
      </m:oMath>
      <w:r w:rsidRPr="002C0D19">
        <w:rPr>
          <w:rFonts w:ascii="Arial Narrow" w:hAnsi="Arial Narrow" w:cs="Arial"/>
          <w:lang w:val="es-ES" w:eastAsia="es-ES"/>
        </w:rPr>
        <w:t>: Día hábil anterior al vencimiento de la Operación Repo</w:t>
      </w:r>
    </w:p>
    <w:p w14:paraId="271F90AE" w14:textId="77777777" w:rsidR="007968EC" w:rsidRPr="002C0D19" w:rsidRDefault="007968EC" w:rsidP="007968EC">
      <w:pPr>
        <w:spacing w:after="180" w:line="240" w:lineRule="atLeast"/>
        <w:jc w:val="both"/>
        <w:rPr>
          <w:rFonts w:ascii="Arial Narrow" w:hAnsi="Arial Narrow" w:cs="Arial"/>
          <w:lang w:val="es-ES" w:eastAsia="es-ES"/>
        </w:rPr>
      </w:pPr>
      <w:r w:rsidRPr="002C0D19">
        <w:rPr>
          <w:rFonts w:ascii="Arial Narrow" w:hAnsi="Arial Narrow" w:cs="Arial"/>
          <w:lang w:val="es-ES" w:eastAsia="es-ES"/>
        </w:rPr>
        <w:t>Cuando el Importe sea mayor al valor de la Garantía depositada, no se realiza ninguna liberación inicial de la Garantía.</w:t>
      </w:r>
    </w:p>
    <w:p w14:paraId="00FE29F3" w14:textId="77777777" w:rsidR="007968EC" w:rsidRPr="002C0D19" w:rsidRDefault="007968EC" w:rsidP="007968EC">
      <w:pPr>
        <w:spacing w:after="180" w:line="240" w:lineRule="atLeast"/>
        <w:rPr>
          <w:rFonts w:ascii="Arial Narrow" w:hAnsi="Arial Narrow" w:cs="Arial"/>
          <w:lang w:val="es-ES" w:eastAsia="es-ES"/>
        </w:rPr>
      </w:pPr>
      <w:r w:rsidRPr="002C0D19">
        <w:rPr>
          <w:rFonts w:ascii="Arial Narrow" w:hAnsi="Arial Narrow" w:cs="Arial"/>
          <w:lang w:val="es-ES" w:eastAsia="es-ES"/>
        </w:rPr>
        <w:t>Cuando el Importe sea menor a cero, se libera lo siguiente:</w:t>
      </w:r>
    </w:p>
    <w:p w14:paraId="319BEE60" w14:textId="77777777" w:rsidR="007968EC" w:rsidRPr="002C0D19" w:rsidRDefault="007968EC" w:rsidP="007968EC">
      <w:pPr>
        <w:spacing w:after="180" w:line="240" w:lineRule="atLeast"/>
        <w:rPr>
          <w:rFonts w:ascii="Arial Narrow" w:hAnsi="Arial Narrow" w:cs="Arial"/>
          <w:lang w:val="es-ES" w:eastAsia="es-ES"/>
        </w:rPr>
      </w:pPr>
      <m:oMathPara>
        <m:oMath>
          <m:r>
            <m:rPr>
              <m:sty m:val="bi"/>
            </m:rPr>
            <w:rPr>
              <w:rFonts w:ascii="Cambria Math" w:eastAsia="Calibri" w:hAnsi="Cambria Math" w:cs="Arial"/>
              <w:lang w:val="es-ES" w:eastAsia="es-ES"/>
            </w:rPr>
            <m:t>Monto Liberación Inicial</m:t>
          </m:r>
          <m:r>
            <m:rPr>
              <m:sty m:val="bi"/>
            </m:rPr>
            <w:rPr>
              <w:rFonts w:ascii="Cambria Math" w:hAnsi="Cambria Math" w:cs="Arial"/>
              <w:lang w:val="es-ES" w:eastAsia="es-ES"/>
            </w:rPr>
            <m:t>=( Volumen*Fluctuacion Total*Precio Cierre Activo subyacente d-1)</m:t>
          </m:r>
        </m:oMath>
      </m:oMathPara>
    </w:p>
    <w:p w14:paraId="46149AF6" w14:textId="77777777" w:rsidR="007968EC" w:rsidRPr="002C0D19" w:rsidRDefault="007968EC" w:rsidP="007968EC">
      <w:pPr>
        <w:spacing w:after="180" w:line="240" w:lineRule="atLeast"/>
        <w:rPr>
          <w:rFonts w:ascii="Arial Narrow" w:hAnsi="Arial Narrow" w:cs="Arial"/>
          <w:lang w:val="es-ES" w:eastAsia="es-ES"/>
        </w:rPr>
      </w:pPr>
    </w:p>
    <w:p w14:paraId="1F89BCA7" w14:textId="77777777" w:rsidR="007968EC" w:rsidRPr="002C0D19" w:rsidRDefault="007968EC" w:rsidP="007968EC">
      <w:pPr>
        <w:spacing w:after="180" w:line="240" w:lineRule="atLeast"/>
        <w:rPr>
          <w:rFonts w:ascii="Arial Narrow" w:hAnsi="Arial Narrow" w:cs="Arial"/>
          <w:lang w:val="es-ES" w:eastAsia="es-ES"/>
        </w:rPr>
      </w:pPr>
      <w:r w:rsidRPr="002C0D19">
        <w:rPr>
          <w:rFonts w:ascii="Arial Narrow" w:hAnsi="Arial Narrow" w:cs="Arial"/>
          <w:lang w:val="es-ES" w:eastAsia="es-ES"/>
        </w:rPr>
        <w:t>Cuando el Importe sea menor a la Garantía depositada, se libera lo siguiente:</w:t>
      </w:r>
    </w:p>
    <w:p w14:paraId="02171668" w14:textId="77777777" w:rsidR="007968EC" w:rsidRPr="002C0D19" w:rsidRDefault="007968EC" w:rsidP="007968EC">
      <w:pPr>
        <w:spacing w:after="180" w:line="240" w:lineRule="atLeast"/>
        <w:rPr>
          <w:rFonts w:ascii="Arial Narrow" w:hAnsi="Arial Narrow" w:cs="Arial"/>
          <w:lang w:val="es-ES" w:eastAsia="es-ES"/>
        </w:rPr>
      </w:pPr>
    </w:p>
    <w:p w14:paraId="4AC34F0D" w14:textId="77777777" w:rsidR="007968EC" w:rsidRPr="002C0D19" w:rsidRDefault="007968EC" w:rsidP="007968EC">
      <w:pPr>
        <w:widowControl w:val="0"/>
        <w:spacing w:after="180" w:line="240" w:lineRule="atLeast"/>
        <w:jc w:val="both"/>
        <w:rPr>
          <w:rFonts w:ascii="Arial Narrow" w:hAnsi="Arial Narrow" w:cs="Arial"/>
          <w:lang w:val="es-ES" w:eastAsia="es-ES"/>
        </w:rPr>
      </w:pPr>
      <m:oMathPara>
        <m:oMath>
          <m:r>
            <m:rPr>
              <m:sty m:val="bi"/>
            </m:rPr>
            <w:rPr>
              <w:rFonts w:ascii="Cambria Math" w:hAnsi="Cambria Math" w:cs="Arial"/>
              <w:lang w:val="es-ES" w:eastAsia="es-ES"/>
            </w:rPr>
            <m:t>Monto Liberación Inicial =(Volumen * Fluctuación Total * Precio Cierre Activo Subyacente d-1) +( VMP d-1)</m:t>
          </m:r>
        </m:oMath>
      </m:oMathPara>
    </w:p>
    <w:p w14:paraId="41BC7333" w14:textId="77777777" w:rsidR="007968EC" w:rsidRPr="002C0D19" w:rsidRDefault="007968EC" w:rsidP="007968EC">
      <w:pPr>
        <w:widowControl w:val="0"/>
        <w:spacing w:after="180" w:line="240" w:lineRule="atLeast"/>
        <w:jc w:val="both"/>
        <w:rPr>
          <w:rFonts w:ascii="Arial Narrow" w:hAnsi="Arial Narrow" w:cs="Arial"/>
          <w:lang w:val="es-ES" w:eastAsia="es-ES"/>
        </w:rPr>
      </w:pPr>
    </w:p>
    <w:p w14:paraId="759C5553" w14:textId="77777777" w:rsidR="007968EC" w:rsidRPr="002C0D19" w:rsidRDefault="007968EC" w:rsidP="007968EC">
      <w:pPr>
        <w:widowControl w:val="0"/>
        <w:spacing w:after="180" w:line="240" w:lineRule="atLeast"/>
        <w:jc w:val="both"/>
        <w:rPr>
          <w:rFonts w:ascii="Arial Narrow" w:hAnsi="Arial Narrow" w:cs="Arial"/>
          <w:lang w:val="es-ES" w:eastAsia="es-ES"/>
        </w:rPr>
      </w:pPr>
      <w:r w:rsidRPr="002C0D19">
        <w:rPr>
          <w:rFonts w:ascii="Arial Narrow" w:hAnsi="Arial Narrow" w:cs="Arial"/>
          <w:lang w:val="es-ES" w:eastAsia="es-ES"/>
        </w:rPr>
        <w:t xml:space="preserve">Al inicio de la Sesión </w:t>
      </w:r>
      <w:r w:rsidRPr="002C0D19">
        <w:rPr>
          <w:rFonts w:ascii="Arial Narrow" w:eastAsia="Calibri" w:hAnsi="Arial Narrow"/>
        </w:rPr>
        <w:t>de Aceptación de Operaciones</w:t>
      </w:r>
      <w:r w:rsidRPr="002C0D19">
        <w:rPr>
          <w:rFonts w:ascii="Arial Narrow" w:hAnsi="Arial Narrow" w:cs="Arial"/>
          <w:lang w:val="es-ES" w:eastAsia="es-ES"/>
        </w:rPr>
        <w:t xml:space="preserve"> el Sistema liberará el número de Activos correspondiente al Monto Liberación Inicial sin que se haya notificado el cumplimiento del flujo de regreso de la Operación Repo por parte de Deceval. </w:t>
      </w:r>
      <w:proofErr w:type="gramStart"/>
      <w:r w:rsidRPr="002C0D19">
        <w:rPr>
          <w:rFonts w:ascii="Arial Narrow" w:hAnsi="Arial Narrow" w:cs="Arial"/>
          <w:lang w:val="es-ES" w:eastAsia="es-ES"/>
        </w:rPr>
        <w:t>En caso que</w:t>
      </w:r>
      <w:proofErr w:type="gramEnd"/>
      <w:r w:rsidRPr="002C0D19">
        <w:rPr>
          <w:rFonts w:ascii="Arial Narrow" w:hAnsi="Arial Narrow" w:cs="Arial"/>
          <w:lang w:val="es-ES" w:eastAsia="es-ES"/>
        </w:rPr>
        <w:t xml:space="preserve"> el resultado de esta relación contenga decimales, el volumen a liberar será redondeado al entero inmediato superior. </w:t>
      </w:r>
    </w:p>
    <w:p w14:paraId="09823D47" w14:textId="77777777" w:rsidR="007968EC" w:rsidRPr="002C0D19" w:rsidRDefault="007968EC" w:rsidP="00DA7472">
      <w:pPr>
        <w:widowControl w:val="0"/>
        <w:numPr>
          <w:ilvl w:val="0"/>
          <w:numId w:val="275"/>
        </w:numPr>
        <w:spacing w:after="180" w:line="240" w:lineRule="atLeast"/>
        <w:jc w:val="both"/>
        <w:rPr>
          <w:rFonts w:ascii="Arial Narrow" w:hAnsi="Arial Narrow" w:cs="Arial"/>
          <w:lang w:val="es-ES" w:eastAsia="es-ES"/>
        </w:rPr>
      </w:pPr>
      <w:r w:rsidRPr="002C0D19">
        <w:rPr>
          <w:rFonts w:ascii="Arial Narrow" w:hAnsi="Arial Narrow" w:cs="Arial"/>
          <w:lang w:val="es-ES" w:eastAsia="es-ES"/>
        </w:rPr>
        <w:t>Monto Liberación Final</w:t>
      </w:r>
    </w:p>
    <w:p w14:paraId="64758476" w14:textId="77777777" w:rsidR="007968EC" w:rsidRPr="002C0D19" w:rsidRDefault="007968EC" w:rsidP="007968EC">
      <w:pPr>
        <w:autoSpaceDE w:val="0"/>
        <w:autoSpaceDN w:val="0"/>
        <w:adjustRightInd w:val="0"/>
        <w:jc w:val="both"/>
        <w:rPr>
          <w:rFonts w:ascii="Arial Narrow" w:hAnsi="Arial Narrow" w:cs="Arial"/>
          <w:lang w:val="es-ES" w:eastAsia="es-ES"/>
        </w:rPr>
      </w:pPr>
      <w:r w:rsidRPr="002C0D19">
        <w:rPr>
          <w:rFonts w:ascii="Arial Narrow" w:hAnsi="Arial Narrow" w:cs="Arial"/>
          <w:lang w:val="es-ES" w:eastAsia="es-ES"/>
        </w:rPr>
        <w:lastRenderedPageBreak/>
        <w:t>Una vez la Cámara reciba el cumplimiento del flujo de regreso de la Operación Repo por parte de Deceval, la Cámara liberará el saldo restante de los Activos.</w:t>
      </w:r>
    </w:p>
    <w:p w14:paraId="0B67A180" w14:textId="77777777" w:rsidR="007968EC" w:rsidRPr="002C0D19" w:rsidRDefault="007968EC" w:rsidP="007968EC">
      <w:pPr>
        <w:jc w:val="center"/>
        <w:rPr>
          <w:rFonts w:ascii="Arial Narrow" w:hAnsi="Arial Narrow" w:cs="Arial"/>
          <w:lang w:val="es-ES" w:eastAsia="es-ES"/>
        </w:rPr>
      </w:pPr>
    </w:p>
    <w:p w14:paraId="21AB5DEE" w14:textId="77777777" w:rsidR="007968EC" w:rsidRPr="002C0D19" w:rsidRDefault="007968EC" w:rsidP="007968EC">
      <w:pPr>
        <w:pStyle w:val="ARTICULO0"/>
      </w:pPr>
      <w:bookmarkStart w:id="6193" w:name="_Toc490066735"/>
      <w:bookmarkStart w:id="6194" w:name="_Toc31716415"/>
      <w:r w:rsidRPr="002C0D19">
        <w:t>Artículo 4.5.2.5. Generalidades sobre la determinación del valor de las Garantías por Posición para Operaciones Repo.</w:t>
      </w:r>
      <w:bookmarkEnd w:id="6193"/>
      <w:bookmarkEnd w:id="6194"/>
    </w:p>
    <w:p w14:paraId="463F304D" w14:textId="77777777" w:rsidR="007968EC" w:rsidRPr="002C0D19" w:rsidRDefault="007968EC" w:rsidP="007968EC">
      <w:pPr>
        <w:jc w:val="both"/>
        <w:rPr>
          <w:rFonts w:ascii="Arial Narrow" w:eastAsia="Calibri" w:hAnsi="Arial Narrow"/>
        </w:rPr>
      </w:pPr>
    </w:p>
    <w:p w14:paraId="012CE6B3" w14:textId="77777777" w:rsidR="007968EC" w:rsidRPr="002C0D19" w:rsidRDefault="007968EC" w:rsidP="007968EC">
      <w:pPr>
        <w:jc w:val="both"/>
        <w:rPr>
          <w:rFonts w:ascii="Arial Narrow" w:eastAsia="Calibri" w:hAnsi="Arial Narrow"/>
        </w:rPr>
      </w:pPr>
      <w:r w:rsidRPr="002C0D19">
        <w:rPr>
          <w:rFonts w:ascii="Arial Narrow" w:eastAsia="Calibri" w:hAnsi="Arial Narrow"/>
        </w:rPr>
        <w:t>El procedimiento de cálculo de la Garantía por Posición para Operaciones Repo tiene por objeto simular el costo total de liquidar la Posición Abierta a nivel de Cuenta por la Posición Abierta en Operaciones Repo que Compensa y Liquida la Cámara. El valor de la Garantía por Posición está determinado por el parámetro de fluctuación, el número de escenarios en los cuales se subdivide el análisis de dicha fluctuación y las compensaciones entre posiciones contrarias en Operaciones Repo.</w:t>
      </w:r>
    </w:p>
    <w:p w14:paraId="329B03A5" w14:textId="77777777" w:rsidR="007968EC" w:rsidRPr="002C0D19" w:rsidRDefault="007968EC" w:rsidP="007968EC">
      <w:pPr>
        <w:jc w:val="both"/>
        <w:rPr>
          <w:rFonts w:ascii="Arial Narrow" w:eastAsia="Calibri" w:hAnsi="Arial Narrow"/>
          <w:b/>
          <w:bCs/>
        </w:rPr>
      </w:pPr>
    </w:p>
    <w:p w14:paraId="7FE7A7A2" w14:textId="77777777" w:rsidR="007968EC" w:rsidRDefault="007968EC" w:rsidP="007968EC">
      <w:pPr>
        <w:pStyle w:val="ARTICULO0"/>
      </w:pPr>
      <w:bookmarkStart w:id="6195" w:name="_Toc490066736"/>
      <w:bookmarkStart w:id="6196" w:name="_Toc31716416"/>
      <w:r w:rsidRPr="002C0D19">
        <w:t>Artículo 4.5.2.6. Procedimiento de Cálculo de Garantías por Posición para Posiciones Abiertas en Operaciones Repo.</w:t>
      </w:r>
      <w:bookmarkEnd w:id="6195"/>
      <w:bookmarkEnd w:id="6196"/>
    </w:p>
    <w:p w14:paraId="7516DD42" w14:textId="77777777" w:rsidR="007968EC" w:rsidRDefault="007968EC" w:rsidP="007968EC">
      <w:pPr>
        <w:pStyle w:val="ARTICULO0"/>
      </w:pPr>
    </w:p>
    <w:p w14:paraId="093328B0" w14:textId="77777777" w:rsidR="007968EC" w:rsidRPr="002C0D19" w:rsidRDefault="007968EC" w:rsidP="007968EC">
      <w:pPr>
        <w:pStyle w:val="ANTECEDENTES"/>
      </w:pPr>
      <w:r>
        <w:t>(Este artículo fue modificado mediante Circular 23 del 24 de noviembre de 2017, publicada en el Boletín Normativo No. 029 del 24 de noviembre de 2017, mediante Circular 24 del 11 de diciembre de 2017, publicada en el Boletín Normativo No. 031 del 11 de diciembre de 2017, y mediante Circular 18 del 1 de noviembre de 2019, publicada en el Boletín Normativo No. 033 del 1 de noviembre de 2019. Rige a partir del 5 de noviembre de 2019.)</w:t>
      </w:r>
    </w:p>
    <w:p w14:paraId="0AAC9739" w14:textId="77777777" w:rsidR="007968EC" w:rsidRPr="002C0D19" w:rsidRDefault="007968EC" w:rsidP="007968EC">
      <w:pPr>
        <w:jc w:val="both"/>
        <w:rPr>
          <w:rFonts w:ascii="Arial Narrow" w:eastAsia="Calibri" w:hAnsi="Arial Narrow"/>
          <w:bCs/>
        </w:rPr>
      </w:pPr>
    </w:p>
    <w:p w14:paraId="1A320A6D" w14:textId="77777777" w:rsidR="007968EC" w:rsidRPr="007C5A53" w:rsidRDefault="007968EC" w:rsidP="007968EC">
      <w:pPr>
        <w:jc w:val="both"/>
        <w:rPr>
          <w:rFonts w:ascii="Arial Narrow" w:eastAsia="Calibri" w:hAnsi="Arial Narrow"/>
          <w:bCs/>
        </w:rPr>
      </w:pPr>
      <w:r w:rsidRPr="007C5A53">
        <w:rPr>
          <w:rFonts w:ascii="Arial Narrow" w:eastAsia="Calibri" w:hAnsi="Arial Narrow"/>
          <w:bCs/>
        </w:rPr>
        <w:t>El procedimiento para el cálculo de la Garantía por Posición para las Posiciones Abiertas en Operaciones Repo comprende las siguientes etapas:</w:t>
      </w:r>
    </w:p>
    <w:p w14:paraId="0CC6AB3A" w14:textId="77777777" w:rsidR="007968EC" w:rsidRPr="007C5A53" w:rsidRDefault="007968EC" w:rsidP="007968EC">
      <w:pPr>
        <w:jc w:val="both"/>
        <w:rPr>
          <w:rFonts w:ascii="Arial Narrow" w:eastAsia="Calibri" w:hAnsi="Arial Narrow"/>
          <w:b/>
          <w:bCs/>
        </w:rPr>
      </w:pPr>
    </w:p>
    <w:p w14:paraId="3CA38951" w14:textId="77777777" w:rsidR="007968EC" w:rsidRPr="007C5A53" w:rsidRDefault="007968EC" w:rsidP="00DA7472">
      <w:pPr>
        <w:widowControl w:val="0"/>
        <w:numPr>
          <w:ilvl w:val="0"/>
          <w:numId w:val="276"/>
        </w:numPr>
        <w:autoSpaceDE w:val="0"/>
        <w:autoSpaceDN w:val="0"/>
        <w:adjustRightInd w:val="0"/>
        <w:contextualSpacing/>
        <w:jc w:val="both"/>
        <w:rPr>
          <w:rFonts w:ascii="Arial Narrow" w:eastAsia="Calibri" w:hAnsi="Arial Narrow"/>
          <w:b/>
          <w:bCs/>
        </w:rPr>
      </w:pPr>
      <w:r w:rsidRPr="007C5A53">
        <w:rPr>
          <w:rFonts w:ascii="Arial Narrow" w:eastAsia="Calibri" w:hAnsi="Arial Narrow"/>
          <w:bCs/>
        </w:rPr>
        <w:t xml:space="preserve">Descripción del método de cálculo MEFFCOM2 para Operaciones Repo. </w:t>
      </w:r>
    </w:p>
    <w:p w14:paraId="68D7B992" w14:textId="77777777" w:rsidR="007968EC" w:rsidRPr="007C5A53" w:rsidRDefault="007968EC" w:rsidP="00DA7472">
      <w:pPr>
        <w:widowControl w:val="0"/>
        <w:numPr>
          <w:ilvl w:val="0"/>
          <w:numId w:val="276"/>
        </w:numPr>
        <w:autoSpaceDE w:val="0"/>
        <w:autoSpaceDN w:val="0"/>
        <w:adjustRightInd w:val="0"/>
        <w:contextualSpacing/>
        <w:jc w:val="both"/>
        <w:rPr>
          <w:rFonts w:ascii="Arial Narrow" w:eastAsia="Calibri" w:hAnsi="Arial Narrow"/>
          <w:b/>
          <w:bCs/>
        </w:rPr>
      </w:pPr>
      <w:r w:rsidRPr="007C5A53">
        <w:rPr>
          <w:rFonts w:ascii="Arial Narrow" w:eastAsia="Calibri" w:hAnsi="Arial Narrow" w:cs="Arial Narrow"/>
        </w:rPr>
        <w:t>Ajuste diario de Garantías para Operaciones Repo.</w:t>
      </w:r>
    </w:p>
    <w:p w14:paraId="36F70B61" w14:textId="77777777" w:rsidR="007968EC" w:rsidRPr="007C5A53" w:rsidRDefault="007968EC" w:rsidP="00DA7472">
      <w:pPr>
        <w:widowControl w:val="0"/>
        <w:numPr>
          <w:ilvl w:val="0"/>
          <w:numId w:val="276"/>
        </w:numPr>
        <w:autoSpaceDE w:val="0"/>
        <w:autoSpaceDN w:val="0"/>
        <w:adjustRightInd w:val="0"/>
        <w:contextualSpacing/>
        <w:jc w:val="both"/>
        <w:rPr>
          <w:rFonts w:ascii="Arial Narrow" w:eastAsia="Calibri" w:hAnsi="Arial Narrow"/>
          <w:b/>
          <w:bCs/>
        </w:rPr>
      </w:pPr>
      <w:r w:rsidRPr="007C5A53">
        <w:rPr>
          <w:rFonts w:ascii="Arial Narrow" w:eastAsia="Calibri" w:hAnsi="Arial Narrow"/>
        </w:rPr>
        <w:t>Determinación de la Garantía por Posición a constituir por Cuenta.</w:t>
      </w:r>
    </w:p>
    <w:p w14:paraId="3E7C4CF3" w14:textId="77777777" w:rsidR="007968EC" w:rsidRPr="007C5A53" w:rsidRDefault="007968EC" w:rsidP="00DA7472">
      <w:pPr>
        <w:widowControl w:val="0"/>
        <w:numPr>
          <w:ilvl w:val="0"/>
          <w:numId w:val="276"/>
        </w:numPr>
        <w:autoSpaceDE w:val="0"/>
        <w:autoSpaceDN w:val="0"/>
        <w:adjustRightInd w:val="0"/>
        <w:contextualSpacing/>
        <w:jc w:val="both"/>
        <w:rPr>
          <w:rFonts w:ascii="Arial Narrow" w:eastAsia="Calibri" w:hAnsi="Arial Narrow"/>
          <w:b/>
          <w:bCs/>
        </w:rPr>
      </w:pPr>
      <w:r w:rsidRPr="007C5A53">
        <w:rPr>
          <w:rFonts w:ascii="Arial Narrow" w:eastAsia="Calibri" w:hAnsi="Arial Narrow"/>
        </w:rPr>
        <w:t>Cálculo de escenarios Riesgo Intradía - RI para el cómputo de la Garantía por Posición.</w:t>
      </w:r>
    </w:p>
    <w:p w14:paraId="41A0CF68" w14:textId="77777777" w:rsidR="007968EC" w:rsidRPr="007C5A53" w:rsidRDefault="007968EC" w:rsidP="00DA7472">
      <w:pPr>
        <w:widowControl w:val="0"/>
        <w:numPr>
          <w:ilvl w:val="0"/>
          <w:numId w:val="276"/>
        </w:numPr>
        <w:autoSpaceDE w:val="0"/>
        <w:autoSpaceDN w:val="0"/>
        <w:adjustRightInd w:val="0"/>
        <w:contextualSpacing/>
        <w:jc w:val="both"/>
        <w:rPr>
          <w:rFonts w:ascii="Arial Narrow" w:eastAsia="Calibri" w:hAnsi="Arial Narrow"/>
          <w:b/>
          <w:bCs/>
        </w:rPr>
      </w:pPr>
      <w:r w:rsidRPr="007C5A53">
        <w:rPr>
          <w:rFonts w:ascii="Arial Narrow" w:eastAsia="Calibri" w:hAnsi="Arial Narrow"/>
        </w:rPr>
        <w:t>Aplicación de la Garantía por Posición al Límite de Margin Call.</w:t>
      </w:r>
    </w:p>
    <w:p w14:paraId="5141AD69" w14:textId="77777777" w:rsidR="007968EC" w:rsidRPr="007C5A53" w:rsidRDefault="007968EC" w:rsidP="007968EC">
      <w:pPr>
        <w:widowControl w:val="0"/>
        <w:autoSpaceDE w:val="0"/>
        <w:autoSpaceDN w:val="0"/>
        <w:adjustRightInd w:val="0"/>
        <w:jc w:val="both"/>
        <w:rPr>
          <w:rFonts w:ascii="Arial Narrow" w:eastAsia="Calibri" w:hAnsi="Arial Narrow"/>
          <w:b/>
          <w:bCs/>
        </w:rPr>
      </w:pPr>
    </w:p>
    <w:p w14:paraId="5FA66CCF" w14:textId="77777777" w:rsidR="007968EC" w:rsidRPr="007C5A53" w:rsidRDefault="007968EC" w:rsidP="00DA7472">
      <w:pPr>
        <w:widowControl w:val="0"/>
        <w:numPr>
          <w:ilvl w:val="0"/>
          <w:numId w:val="277"/>
        </w:numPr>
        <w:autoSpaceDE w:val="0"/>
        <w:autoSpaceDN w:val="0"/>
        <w:adjustRightInd w:val="0"/>
        <w:ind w:left="851"/>
        <w:contextualSpacing/>
        <w:jc w:val="both"/>
        <w:rPr>
          <w:rFonts w:ascii="Arial Narrow" w:eastAsia="Calibri" w:hAnsi="Arial Narrow"/>
          <w:b/>
          <w:bCs/>
        </w:rPr>
      </w:pPr>
      <w:r w:rsidRPr="007C5A53">
        <w:rPr>
          <w:rFonts w:ascii="Arial Narrow" w:eastAsia="Calibri" w:hAnsi="Arial Narrow"/>
          <w:b/>
          <w:bCs/>
        </w:rPr>
        <w:t xml:space="preserve">Descripción del método de cálculo MEFFCOM2 para Operaciones Repo: </w:t>
      </w:r>
    </w:p>
    <w:p w14:paraId="0EA92EF9" w14:textId="77777777" w:rsidR="007968EC" w:rsidRPr="007C5A53" w:rsidRDefault="007968EC" w:rsidP="007968EC">
      <w:pPr>
        <w:widowControl w:val="0"/>
        <w:autoSpaceDE w:val="0"/>
        <w:autoSpaceDN w:val="0"/>
        <w:adjustRightInd w:val="0"/>
        <w:ind w:left="317"/>
        <w:contextualSpacing/>
        <w:jc w:val="both"/>
        <w:rPr>
          <w:rFonts w:ascii="Arial Narrow" w:eastAsia="Calibri" w:hAnsi="Arial Narrow"/>
          <w:bCs/>
        </w:rPr>
      </w:pPr>
    </w:p>
    <w:p w14:paraId="0B7BBDE8" w14:textId="77777777" w:rsidR="007968EC" w:rsidRPr="007C5A53" w:rsidRDefault="007968EC" w:rsidP="007968EC">
      <w:pPr>
        <w:ind w:left="317"/>
        <w:jc w:val="both"/>
        <w:rPr>
          <w:rFonts w:ascii="Arial Narrow" w:eastAsia="Calibri" w:hAnsi="Arial Narrow"/>
          <w:b/>
          <w:bCs/>
        </w:rPr>
      </w:pPr>
      <w:r w:rsidRPr="007C5A53">
        <w:rPr>
          <w:rFonts w:ascii="Arial Narrow" w:eastAsia="Calibri" w:hAnsi="Arial Narrow"/>
          <w:bCs/>
        </w:rPr>
        <w:t>El modelo MEFFCOM2 tiene en cuenta la valoración de las Posiciones Abiertas, las compensaciones entre Operaciones Repo pertenecientes al mismo Grupo de Compensación y compensaciones entre Operaciones Repo pertenecientes a diferentes Grupos de Compensación.</w:t>
      </w:r>
    </w:p>
    <w:p w14:paraId="253130A5" w14:textId="77777777" w:rsidR="007968EC" w:rsidRPr="007C5A53" w:rsidRDefault="007968EC" w:rsidP="007968EC">
      <w:pPr>
        <w:jc w:val="both"/>
        <w:rPr>
          <w:rFonts w:ascii="Arial Narrow" w:eastAsia="Calibri" w:hAnsi="Arial Narrow"/>
          <w:b/>
          <w:bCs/>
        </w:rPr>
      </w:pPr>
    </w:p>
    <w:p w14:paraId="6B23E8BB" w14:textId="77777777" w:rsidR="007968EC" w:rsidRPr="007C5A53" w:rsidRDefault="007968EC" w:rsidP="007968EC">
      <w:pPr>
        <w:widowControl w:val="0"/>
        <w:autoSpaceDE w:val="0"/>
        <w:autoSpaceDN w:val="0"/>
        <w:adjustRightInd w:val="0"/>
        <w:ind w:left="317"/>
        <w:contextualSpacing/>
        <w:jc w:val="both"/>
        <w:rPr>
          <w:rFonts w:ascii="Arial Narrow" w:eastAsia="Calibri" w:hAnsi="Arial Narrow"/>
          <w:bCs/>
        </w:rPr>
      </w:pPr>
      <w:r w:rsidRPr="007C5A53">
        <w:rPr>
          <w:rFonts w:ascii="Arial Narrow" w:eastAsia="Calibri" w:hAnsi="Arial Narrow"/>
          <w:bCs/>
        </w:rPr>
        <w:t xml:space="preserve">Para el cálculo de las Garantías por Posición para Posiciones Abiertas en Operaciones Repo, se tiene en cuenta lo siguiente: </w:t>
      </w:r>
    </w:p>
    <w:p w14:paraId="5BA43003" w14:textId="77777777" w:rsidR="007968EC" w:rsidRPr="007C5A53" w:rsidRDefault="007968EC" w:rsidP="007968EC">
      <w:pPr>
        <w:widowControl w:val="0"/>
        <w:autoSpaceDE w:val="0"/>
        <w:autoSpaceDN w:val="0"/>
        <w:adjustRightInd w:val="0"/>
        <w:jc w:val="both"/>
        <w:rPr>
          <w:rFonts w:ascii="Arial Narrow" w:eastAsia="Calibri" w:hAnsi="Arial Narrow"/>
          <w:b/>
          <w:bCs/>
        </w:rPr>
      </w:pPr>
    </w:p>
    <w:p w14:paraId="44D2DA73" w14:textId="77777777" w:rsidR="007968EC" w:rsidRPr="007C5A53" w:rsidRDefault="007968EC" w:rsidP="00DA7472">
      <w:pPr>
        <w:widowControl w:val="0"/>
        <w:numPr>
          <w:ilvl w:val="0"/>
          <w:numId w:val="278"/>
        </w:numPr>
        <w:autoSpaceDE w:val="0"/>
        <w:autoSpaceDN w:val="0"/>
        <w:adjustRightInd w:val="0"/>
        <w:contextualSpacing/>
        <w:jc w:val="both"/>
        <w:rPr>
          <w:rFonts w:ascii="Arial Narrow" w:eastAsia="Calibri" w:hAnsi="Arial Narrow"/>
          <w:b/>
          <w:bCs/>
        </w:rPr>
      </w:pPr>
      <w:r w:rsidRPr="007C5A53">
        <w:rPr>
          <w:rFonts w:ascii="Arial Narrow" w:eastAsia="Calibri" w:hAnsi="Arial Narrow"/>
          <w:bCs/>
        </w:rPr>
        <w:t xml:space="preserve">Construcción de las matrices de garantías: </w:t>
      </w:r>
      <w:r w:rsidRPr="007C5A53">
        <w:rPr>
          <w:rFonts w:ascii="Arial Narrow" w:eastAsia="Calibri" w:hAnsi="Arial Narrow"/>
        </w:rPr>
        <w:t>Se construye una matriz de garantías (precios teóricos y deltas) por cada Operación Repo de acuerdo con el proceso descrito, a continuación:</w:t>
      </w:r>
    </w:p>
    <w:p w14:paraId="6813552D" w14:textId="77777777" w:rsidR="007968EC" w:rsidRPr="007C5A53" w:rsidRDefault="007968EC" w:rsidP="007968EC">
      <w:pPr>
        <w:autoSpaceDE w:val="0"/>
        <w:autoSpaceDN w:val="0"/>
        <w:adjustRightInd w:val="0"/>
        <w:ind w:left="1080"/>
        <w:contextualSpacing/>
        <w:jc w:val="both"/>
        <w:rPr>
          <w:rFonts w:ascii="Arial Narrow" w:eastAsia="Calibri" w:hAnsi="Arial Narrow"/>
          <w:b/>
        </w:rPr>
      </w:pPr>
    </w:p>
    <w:p w14:paraId="48B792A9" w14:textId="77777777" w:rsidR="007968EC" w:rsidRPr="007C5A53" w:rsidRDefault="007968EC" w:rsidP="00DA7472">
      <w:pPr>
        <w:numPr>
          <w:ilvl w:val="0"/>
          <w:numId w:val="279"/>
        </w:numPr>
        <w:autoSpaceDE w:val="0"/>
        <w:autoSpaceDN w:val="0"/>
        <w:adjustRightInd w:val="0"/>
        <w:ind w:left="1134" w:hanging="283"/>
        <w:contextualSpacing/>
        <w:jc w:val="both"/>
        <w:rPr>
          <w:rFonts w:ascii="Arial Narrow" w:eastAsia="Calibri" w:hAnsi="Arial Narrow"/>
          <w:b/>
        </w:rPr>
      </w:pPr>
      <w:r w:rsidRPr="007C5A53">
        <w:rPr>
          <w:rFonts w:ascii="Arial Narrow" w:eastAsia="Calibri" w:hAnsi="Arial Narrow"/>
        </w:rPr>
        <w:t>Determinación de los precios para cada escenario:</w:t>
      </w:r>
    </w:p>
    <w:p w14:paraId="45824C23" w14:textId="77777777" w:rsidR="007968EC" w:rsidRPr="007C5A53" w:rsidRDefault="007968EC" w:rsidP="007968EC">
      <w:pPr>
        <w:autoSpaceDE w:val="0"/>
        <w:autoSpaceDN w:val="0"/>
        <w:adjustRightInd w:val="0"/>
        <w:ind w:left="1134"/>
        <w:contextualSpacing/>
        <w:jc w:val="both"/>
        <w:rPr>
          <w:rFonts w:ascii="Arial Narrow" w:eastAsia="Calibri" w:hAnsi="Arial Narrow"/>
          <w:b/>
        </w:rPr>
      </w:pPr>
      <w:r w:rsidRPr="007C5A53">
        <w:rPr>
          <w:rFonts w:ascii="Arial Narrow" w:eastAsia="Calibri" w:hAnsi="Arial Narrow"/>
        </w:rPr>
        <w:lastRenderedPageBreak/>
        <w:t xml:space="preserve"> </w:t>
      </w:r>
    </w:p>
    <w:p w14:paraId="32AFC663" w14:textId="77777777" w:rsidR="007968EC" w:rsidRPr="007C5A53" w:rsidRDefault="007968EC" w:rsidP="007968EC">
      <w:pPr>
        <w:autoSpaceDE w:val="0"/>
        <w:autoSpaceDN w:val="0"/>
        <w:adjustRightInd w:val="0"/>
        <w:ind w:left="1134"/>
        <w:contextualSpacing/>
        <w:jc w:val="both"/>
        <w:rPr>
          <w:rFonts w:ascii="Arial Narrow" w:eastAsia="Calibri" w:hAnsi="Arial Narrow"/>
          <w:b/>
        </w:rPr>
      </w:pPr>
      <w:r w:rsidRPr="007C5A53">
        <w:rPr>
          <w:rFonts w:ascii="Arial Narrow" w:eastAsia="Calibri" w:hAnsi="Arial Narrow"/>
        </w:rPr>
        <w:t>Se definen tres escenarios; escenario al alza, escenario central y escenario a la baja. Para cada Operación Repo se calcula un precio por escenario:</w:t>
      </w:r>
    </w:p>
    <w:p w14:paraId="1C5A9E7B" w14:textId="77777777" w:rsidR="007968EC" w:rsidRPr="007C5A53" w:rsidRDefault="007968EC" w:rsidP="007968EC">
      <w:pPr>
        <w:autoSpaceDE w:val="0"/>
        <w:autoSpaceDN w:val="0"/>
        <w:adjustRightInd w:val="0"/>
        <w:ind w:left="708"/>
        <w:contextualSpacing/>
        <w:jc w:val="both"/>
        <w:rPr>
          <w:rFonts w:ascii="Arial Narrow" w:eastAsia="Calibri" w:hAnsi="Arial Narrow"/>
          <w:b/>
        </w:rPr>
      </w:pPr>
    </w:p>
    <w:p w14:paraId="5B7E9858" w14:textId="77777777" w:rsidR="007968EC" w:rsidRPr="007C5A53" w:rsidRDefault="007968EC" w:rsidP="007968EC">
      <w:pPr>
        <w:autoSpaceDE w:val="0"/>
        <w:autoSpaceDN w:val="0"/>
        <w:adjustRightInd w:val="0"/>
        <w:ind w:left="1451" w:right="1168"/>
        <w:contextualSpacing/>
        <w:jc w:val="both"/>
        <w:rPr>
          <w:rFonts w:ascii="Arial Narrow" w:eastAsia="Calibri" w:hAnsi="Arial Narrow"/>
          <w:b/>
        </w:rPr>
      </w:pPr>
      <m:oMathPara>
        <m:oMathParaPr>
          <m:jc m:val="left"/>
        </m:oMathParaPr>
        <m:oMath>
          <m:r>
            <m:rPr>
              <m:sty m:val="bi"/>
            </m:rPr>
            <w:rPr>
              <w:rFonts w:ascii="Cambria Math" w:eastAsia="Calibri" w:hAnsi="Cambria Math"/>
            </w:rPr>
            <m:t>Precio escenario al alza=Precio de Valoración Operación Repo +Fluctuación definida por Grupo de Compensación</m:t>
          </m:r>
        </m:oMath>
      </m:oMathPara>
    </w:p>
    <w:p w14:paraId="22A742A2" w14:textId="77777777" w:rsidR="007968EC" w:rsidRPr="007C5A53" w:rsidRDefault="007968EC" w:rsidP="007968EC">
      <w:pPr>
        <w:autoSpaceDE w:val="0"/>
        <w:autoSpaceDN w:val="0"/>
        <w:adjustRightInd w:val="0"/>
        <w:ind w:left="1451"/>
        <w:contextualSpacing/>
        <w:jc w:val="both"/>
        <w:rPr>
          <w:rFonts w:ascii="Arial Narrow" w:eastAsia="Calibri" w:hAnsi="Arial Narrow"/>
          <w:b/>
        </w:rPr>
      </w:pPr>
    </w:p>
    <w:p w14:paraId="05B41274" w14:textId="77777777" w:rsidR="007968EC" w:rsidRPr="007C5A53" w:rsidRDefault="007968EC" w:rsidP="007968EC">
      <w:pPr>
        <w:autoSpaceDE w:val="0"/>
        <w:autoSpaceDN w:val="0"/>
        <w:adjustRightInd w:val="0"/>
        <w:ind w:left="1026"/>
        <w:contextualSpacing/>
        <w:jc w:val="both"/>
        <w:rPr>
          <w:rFonts w:ascii="Arial Narrow" w:eastAsia="Calibri" w:hAnsi="Arial Narrow"/>
          <w:b/>
        </w:rPr>
      </w:pPr>
      <m:oMathPara>
        <m:oMath>
          <m:r>
            <m:rPr>
              <m:sty m:val="bi"/>
            </m:rPr>
            <w:rPr>
              <w:rFonts w:ascii="Cambria Math" w:eastAsia="Calibri" w:hAnsi="Cambria Math"/>
            </w:rPr>
            <m:t>Precio escenario central=Precio de Valoración Operación Repo</m:t>
          </m:r>
        </m:oMath>
      </m:oMathPara>
    </w:p>
    <w:p w14:paraId="68349832" w14:textId="77777777" w:rsidR="007968EC" w:rsidRPr="007C5A53" w:rsidRDefault="007968EC" w:rsidP="007968EC">
      <w:pPr>
        <w:autoSpaceDE w:val="0"/>
        <w:autoSpaceDN w:val="0"/>
        <w:adjustRightInd w:val="0"/>
        <w:ind w:left="1451"/>
        <w:jc w:val="both"/>
        <w:rPr>
          <w:rFonts w:ascii="Arial Narrow" w:eastAsia="Calibri" w:hAnsi="Arial Narrow"/>
          <w:b/>
        </w:rPr>
      </w:pPr>
      <m:oMath>
        <m:r>
          <m:rPr>
            <m:sty m:val="bi"/>
          </m:rPr>
          <w:rPr>
            <w:rFonts w:ascii="Cambria Math" w:eastAsia="Calibri" w:hAnsi="Cambria Math"/>
          </w:rPr>
          <m:t>escenario a la baja=Precio de Valoración Operación Repo</m:t>
        </m:r>
      </m:oMath>
      <w:r w:rsidRPr="007C5A53">
        <w:rPr>
          <w:rFonts w:ascii="Arial Narrow" w:eastAsia="Calibri" w:hAnsi="Arial Narrow"/>
        </w:rPr>
        <w:t xml:space="preserve"> </w:t>
      </w:r>
      <m:oMath>
        <m:r>
          <m:rPr>
            <m:sty m:val="bi"/>
          </m:rPr>
          <w:rPr>
            <w:rFonts w:ascii="Cambria Math" w:eastAsia="Calibri" w:hAnsi="Cambria Math"/>
          </w:rPr>
          <m:t>- Fluctuación definida por Grupo de Compensación</m:t>
        </m:r>
      </m:oMath>
    </w:p>
    <w:p w14:paraId="44BFAEE0" w14:textId="77777777" w:rsidR="007968EC" w:rsidRPr="007C5A53" w:rsidRDefault="007968EC" w:rsidP="007968EC">
      <w:pPr>
        <w:autoSpaceDE w:val="0"/>
        <w:autoSpaceDN w:val="0"/>
        <w:adjustRightInd w:val="0"/>
        <w:ind w:left="1451"/>
        <w:jc w:val="both"/>
        <w:rPr>
          <w:rFonts w:ascii="Arial Narrow" w:eastAsia="Calibri" w:hAnsi="Arial Narrow"/>
          <w:b/>
        </w:rPr>
      </w:pPr>
    </w:p>
    <w:p w14:paraId="08A492C2" w14:textId="77777777" w:rsidR="007968EC" w:rsidRPr="007C5A53" w:rsidRDefault="007968EC" w:rsidP="00DA7472">
      <w:pPr>
        <w:numPr>
          <w:ilvl w:val="0"/>
          <w:numId w:val="279"/>
        </w:numPr>
        <w:autoSpaceDE w:val="0"/>
        <w:autoSpaceDN w:val="0"/>
        <w:adjustRightInd w:val="0"/>
        <w:ind w:left="1167" w:hanging="283"/>
        <w:contextualSpacing/>
        <w:jc w:val="both"/>
        <w:rPr>
          <w:rFonts w:ascii="Arial Narrow" w:eastAsia="Calibri" w:hAnsi="Arial Narrow"/>
          <w:b/>
        </w:rPr>
      </w:pPr>
      <w:r w:rsidRPr="007C5A53">
        <w:rPr>
          <w:rFonts w:ascii="Arial Narrow" w:eastAsia="Calibri" w:hAnsi="Arial Narrow"/>
        </w:rPr>
        <w:t>Cálculo de las matrices de precios teóricos:</w:t>
      </w:r>
    </w:p>
    <w:p w14:paraId="2C9EC59D" w14:textId="77777777" w:rsidR="007968EC" w:rsidRPr="007C5A53" w:rsidRDefault="007968EC" w:rsidP="007968EC">
      <w:pPr>
        <w:autoSpaceDE w:val="0"/>
        <w:autoSpaceDN w:val="0"/>
        <w:adjustRightInd w:val="0"/>
        <w:ind w:left="1167"/>
        <w:contextualSpacing/>
        <w:jc w:val="both"/>
        <w:rPr>
          <w:rFonts w:ascii="Arial Narrow" w:eastAsia="Calibri" w:hAnsi="Arial Narrow"/>
          <w:b/>
        </w:rPr>
      </w:pPr>
    </w:p>
    <w:p w14:paraId="620FE728" w14:textId="77777777" w:rsidR="007968EC" w:rsidRPr="007C5A53" w:rsidRDefault="007968EC" w:rsidP="007968EC">
      <w:pPr>
        <w:autoSpaceDE w:val="0"/>
        <w:autoSpaceDN w:val="0"/>
        <w:adjustRightInd w:val="0"/>
        <w:ind w:left="1168"/>
        <w:jc w:val="both"/>
        <w:rPr>
          <w:rFonts w:ascii="Arial Narrow" w:eastAsia="Calibri" w:hAnsi="Arial Narrow"/>
          <w:b/>
        </w:rPr>
      </w:pPr>
      <w:r w:rsidRPr="007C5A53">
        <w:rPr>
          <w:rFonts w:ascii="Arial Narrow" w:eastAsia="Calibri" w:hAnsi="Arial Narrow"/>
        </w:rPr>
        <w:t>Para cada Operación Repo se calcula un precio teórico para cada uno de los escenarios definidos (alza, central y baja) calculado a partir del “precio escenario” obtenido en el numeral anterior, utilizando la siguiente fórmula:</w:t>
      </w:r>
    </w:p>
    <w:p w14:paraId="1723E28B" w14:textId="77777777" w:rsidR="007968EC" w:rsidRPr="007C5A53" w:rsidRDefault="007968EC" w:rsidP="007968EC">
      <w:pPr>
        <w:autoSpaceDE w:val="0"/>
        <w:autoSpaceDN w:val="0"/>
        <w:adjustRightInd w:val="0"/>
        <w:ind w:left="1168"/>
        <w:jc w:val="both"/>
        <w:rPr>
          <w:rFonts w:ascii="Arial Narrow" w:eastAsia="Calibri" w:hAnsi="Arial Narrow"/>
          <w:b/>
        </w:rPr>
      </w:pPr>
    </w:p>
    <w:p w14:paraId="56B6AF62" w14:textId="77777777" w:rsidR="007968EC" w:rsidRPr="007C5A53" w:rsidRDefault="007968EC" w:rsidP="007968EC">
      <w:pPr>
        <w:autoSpaceDE w:val="0"/>
        <w:autoSpaceDN w:val="0"/>
        <w:adjustRightInd w:val="0"/>
        <w:ind w:left="459"/>
        <w:contextualSpacing/>
        <w:jc w:val="both"/>
        <w:rPr>
          <w:rFonts w:ascii="Arial Narrow" w:eastAsia="Calibri" w:hAnsi="Arial Narrow"/>
          <w:b/>
        </w:rPr>
      </w:pPr>
      <m:oMathPara>
        <m:oMathParaPr>
          <m:jc m:val="center"/>
        </m:oMathParaPr>
        <m:oMath>
          <m:r>
            <m:rPr>
              <m:sty m:val="bi"/>
            </m:rPr>
            <w:rPr>
              <w:rFonts w:ascii="Cambria Math" w:eastAsia="Calibri" w:hAnsi="Cambria Math"/>
            </w:rPr>
            <m:t>Precio teórico alza=Pce alza-PC</m:t>
          </m:r>
        </m:oMath>
      </m:oMathPara>
    </w:p>
    <w:p w14:paraId="397327FB" w14:textId="77777777" w:rsidR="007968EC" w:rsidRPr="007C5A53" w:rsidRDefault="007968EC" w:rsidP="007968EC">
      <w:pPr>
        <w:autoSpaceDE w:val="0"/>
        <w:autoSpaceDN w:val="0"/>
        <w:adjustRightInd w:val="0"/>
        <w:ind w:left="459"/>
        <w:contextualSpacing/>
        <w:jc w:val="both"/>
        <w:rPr>
          <w:rFonts w:ascii="Arial Narrow" w:eastAsia="Calibri" w:hAnsi="Arial Narrow"/>
          <w:b/>
        </w:rPr>
      </w:pPr>
      <m:oMathPara>
        <m:oMath>
          <m:r>
            <m:rPr>
              <m:sty m:val="bi"/>
            </m:rPr>
            <w:rPr>
              <w:rFonts w:ascii="Cambria Math" w:eastAsia="Calibri" w:hAnsi="Cambria Math"/>
            </w:rPr>
            <m:t>Precio teórico baja=Pce baja-PC</m:t>
          </m:r>
        </m:oMath>
      </m:oMathPara>
    </w:p>
    <w:p w14:paraId="11D198CF" w14:textId="77777777" w:rsidR="007968EC" w:rsidRPr="007C5A53" w:rsidRDefault="007968EC" w:rsidP="007968EC">
      <w:pPr>
        <w:autoSpaceDE w:val="0"/>
        <w:autoSpaceDN w:val="0"/>
        <w:adjustRightInd w:val="0"/>
        <w:ind w:left="459"/>
        <w:contextualSpacing/>
        <w:jc w:val="both"/>
        <w:rPr>
          <w:rFonts w:ascii="Arial Narrow" w:eastAsia="Calibri" w:hAnsi="Arial Narrow"/>
          <w:b/>
        </w:rPr>
      </w:pPr>
      <m:oMathPara>
        <m:oMath>
          <m:r>
            <m:rPr>
              <m:sty m:val="bi"/>
            </m:rPr>
            <w:rPr>
              <w:rFonts w:ascii="Cambria Math" w:eastAsia="Calibri" w:hAnsi="Cambria Math"/>
            </w:rPr>
            <m:t>Precio teórico central=Pce central-PC</m:t>
          </m:r>
        </m:oMath>
      </m:oMathPara>
    </w:p>
    <w:p w14:paraId="30E001C3" w14:textId="77777777" w:rsidR="007968EC" w:rsidRPr="007C5A53" w:rsidRDefault="007968EC" w:rsidP="007968EC">
      <w:pPr>
        <w:autoSpaceDE w:val="0"/>
        <w:autoSpaceDN w:val="0"/>
        <w:adjustRightInd w:val="0"/>
        <w:ind w:left="459"/>
        <w:contextualSpacing/>
        <w:jc w:val="both"/>
        <w:rPr>
          <w:rFonts w:ascii="Arial Narrow" w:eastAsia="Calibri" w:hAnsi="Arial Narrow"/>
          <w:b/>
        </w:rPr>
      </w:pPr>
    </w:p>
    <w:p w14:paraId="1CB05109" w14:textId="77777777" w:rsidR="007968EC" w:rsidRPr="007C5A53" w:rsidRDefault="007968EC" w:rsidP="007968EC">
      <w:pPr>
        <w:autoSpaceDE w:val="0"/>
        <w:autoSpaceDN w:val="0"/>
        <w:adjustRightInd w:val="0"/>
        <w:ind w:left="1451"/>
        <w:contextualSpacing/>
        <w:jc w:val="both"/>
        <w:rPr>
          <w:rFonts w:ascii="Arial Narrow" w:eastAsia="Calibri" w:hAnsi="Arial Narrow"/>
          <w:b/>
        </w:rPr>
      </w:pPr>
      <m:oMathPara>
        <m:oMathParaPr>
          <m:jc m:val="left"/>
        </m:oMathParaPr>
        <m:oMath>
          <m:r>
            <m:rPr>
              <m:sty m:val="bi"/>
            </m:rPr>
            <w:rPr>
              <w:rFonts w:ascii="Cambria Math" w:eastAsia="Calibri" w:hAnsi="Cambria Math"/>
            </w:rPr>
            <m:t>Pce=Precio escenario</m:t>
          </m:r>
        </m:oMath>
      </m:oMathPara>
    </w:p>
    <w:p w14:paraId="33218CC7" w14:textId="77777777" w:rsidR="007968EC" w:rsidRPr="007C5A53" w:rsidRDefault="007968EC" w:rsidP="007968EC">
      <w:pPr>
        <w:autoSpaceDE w:val="0"/>
        <w:autoSpaceDN w:val="0"/>
        <w:adjustRightInd w:val="0"/>
        <w:ind w:left="1451"/>
        <w:contextualSpacing/>
        <w:jc w:val="both"/>
        <w:rPr>
          <w:rFonts w:ascii="Arial Narrow" w:eastAsia="Calibri" w:hAnsi="Arial Narrow"/>
          <w:b/>
        </w:rPr>
      </w:pPr>
      <m:oMathPara>
        <m:oMathParaPr>
          <m:jc m:val="left"/>
        </m:oMathParaPr>
        <m:oMath>
          <m:r>
            <m:rPr>
              <m:sty m:val="bi"/>
            </m:rPr>
            <w:rPr>
              <w:rFonts w:ascii="Cambria Math" w:eastAsia="Calibri" w:hAnsi="Cambria Math"/>
            </w:rPr>
            <m:t>PC=Precio de Valoración Operación Repo</m:t>
          </m:r>
        </m:oMath>
      </m:oMathPara>
    </w:p>
    <w:p w14:paraId="29228536" w14:textId="77777777" w:rsidR="007968EC" w:rsidRPr="007C5A53" w:rsidRDefault="007968EC" w:rsidP="007968EC">
      <w:pPr>
        <w:autoSpaceDE w:val="0"/>
        <w:autoSpaceDN w:val="0"/>
        <w:adjustRightInd w:val="0"/>
        <w:ind w:left="1451"/>
        <w:contextualSpacing/>
        <w:jc w:val="both"/>
        <w:rPr>
          <w:rFonts w:ascii="Arial Narrow" w:eastAsia="Calibri" w:hAnsi="Arial Narrow"/>
          <w:b/>
        </w:rPr>
      </w:pPr>
    </w:p>
    <w:p w14:paraId="2C5D3712" w14:textId="77777777" w:rsidR="007968EC" w:rsidRPr="007C5A53" w:rsidRDefault="007968EC" w:rsidP="00DA7472">
      <w:pPr>
        <w:numPr>
          <w:ilvl w:val="0"/>
          <w:numId w:val="279"/>
        </w:numPr>
        <w:autoSpaceDE w:val="0"/>
        <w:autoSpaceDN w:val="0"/>
        <w:adjustRightInd w:val="0"/>
        <w:ind w:left="1167" w:hanging="283"/>
        <w:contextualSpacing/>
        <w:jc w:val="both"/>
        <w:rPr>
          <w:rFonts w:ascii="Arial Narrow" w:eastAsia="Calibri" w:hAnsi="Arial Narrow"/>
          <w:b/>
        </w:rPr>
      </w:pPr>
      <w:r w:rsidRPr="007C5A53">
        <w:rPr>
          <w:rFonts w:ascii="Arial Narrow" w:eastAsia="Calibri" w:hAnsi="Arial Narrow"/>
        </w:rPr>
        <w:t>Cálculo de las matrices de deltas:</w:t>
      </w:r>
    </w:p>
    <w:p w14:paraId="0F1667D6" w14:textId="77777777" w:rsidR="007968EC" w:rsidRPr="007C5A53" w:rsidRDefault="007968EC" w:rsidP="007968EC">
      <w:pPr>
        <w:autoSpaceDE w:val="0"/>
        <w:autoSpaceDN w:val="0"/>
        <w:adjustRightInd w:val="0"/>
        <w:ind w:left="1167"/>
        <w:contextualSpacing/>
        <w:jc w:val="both"/>
        <w:rPr>
          <w:rFonts w:ascii="Arial Narrow" w:eastAsia="Calibri" w:hAnsi="Arial Narrow"/>
          <w:b/>
        </w:rPr>
      </w:pPr>
    </w:p>
    <w:p w14:paraId="699A3C5B" w14:textId="77777777" w:rsidR="007968EC" w:rsidRPr="007C5A53" w:rsidRDefault="007968EC" w:rsidP="007968EC">
      <w:pPr>
        <w:autoSpaceDE w:val="0"/>
        <w:autoSpaceDN w:val="0"/>
        <w:adjustRightInd w:val="0"/>
        <w:ind w:left="1168"/>
        <w:contextualSpacing/>
        <w:jc w:val="both"/>
        <w:rPr>
          <w:rFonts w:ascii="Arial Narrow" w:eastAsia="Calibri" w:hAnsi="Arial Narrow"/>
          <w:b/>
        </w:rPr>
      </w:pPr>
      <w:r w:rsidRPr="007C5A53">
        <w:rPr>
          <w:rFonts w:ascii="Arial Narrow" w:eastAsia="Calibri" w:hAnsi="Arial Narrow"/>
        </w:rPr>
        <w:t xml:space="preserve">Se construye a partir de cada Operación Repo y su Precio de Valoración de Operación Repo. </w:t>
      </w:r>
    </w:p>
    <w:p w14:paraId="5D0A5110" w14:textId="77777777" w:rsidR="007968EC" w:rsidRPr="007C5A53" w:rsidRDefault="007968EC" w:rsidP="007968EC">
      <w:pPr>
        <w:autoSpaceDE w:val="0"/>
        <w:autoSpaceDN w:val="0"/>
        <w:adjustRightInd w:val="0"/>
        <w:ind w:left="1168"/>
        <w:contextualSpacing/>
        <w:jc w:val="both"/>
        <w:rPr>
          <w:rFonts w:ascii="Arial Narrow" w:eastAsia="Calibri" w:hAnsi="Arial Narrow"/>
          <w:b/>
        </w:rPr>
      </w:pPr>
    </w:p>
    <w:p w14:paraId="6FD4C321" w14:textId="77777777" w:rsidR="007968EC" w:rsidRPr="007C5A53" w:rsidRDefault="007968EC" w:rsidP="007968EC">
      <w:pPr>
        <w:autoSpaceDE w:val="0"/>
        <w:autoSpaceDN w:val="0"/>
        <w:adjustRightInd w:val="0"/>
        <w:ind w:left="1168"/>
        <w:contextualSpacing/>
        <w:jc w:val="both"/>
        <w:rPr>
          <w:rFonts w:ascii="Arial Narrow" w:eastAsia="Calibri" w:hAnsi="Arial Narrow"/>
          <w:b/>
        </w:rPr>
      </w:pPr>
      <w:r w:rsidRPr="007C5A53">
        <w:rPr>
          <w:rFonts w:ascii="Arial Narrow" w:eastAsia="Calibri" w:hAnsi="Arial Narrow"/>
        </w:rPr>
        <w:t>Esta matriz permite convertir el valor nominal de la Posición Abierta de las Operaciones Repo (N° de Operaciones Repo*Multiplicador*Precio de valoración Operación Repo) a valor de mercado.</w:t>
      </w:r>
    </w:p>
    <w:p w14:paraId="504EAD8B" w14:textId="77777777" w:rsidR="007968EC" w:rsidRPr="007C5A53" w:rsidRDefault="007968EC" w:rsidP="007968EC">
      <w:pPr>
        <w:autoSpaceDE w:val="0"/>
        <w:autoSpaceDN w:val="0"/>
        <w:adjustRightInd w:val="0"/>
        <w:ind w:left="1168"/>
        <w:contextualSpacing/>
        <w:jc w:val="both"/>
        <w:rPr>
          <w:rFonts w:ascii="Arial Narrow" w:eastAsia="Calibri" w:hAnsi="Arial Narrow"/>
          <w:b/>
        </w:rPr>
      </w:pPr>
    </w:p>
    <w:p w14:paraId="75647E57" w14:textId="77777777" w:rsidR="007968EC" w:rsidRPr="007C5A53" w:rsidRDefault="007968EC" w:rsidP="007968EC">
      <w:pPr>
        <w:autoSpaceDE w:val="0"/>
        <w:autoSpaceDN w:val="0"/>
        <w:adjustRightInd w:val="0"/>
        <w:ind w:left="1168"/>
        <w:jc w:val="both"/>
        <w:rPr>
          <w:rFonts w:ascii="Arial Narrow" w:eastAsia="Calibri" w:hAnsi="Arial Narrow"/>
          <w:b/>
        </w:rPr>
      </w:pPr>
      <w:r w:rsidRPr="007C5A53">
        <w:rPr>
          <w:rFonts w:ascii="Arial Narrow" w:eastAsia="Calibri" w:hAnsi="Arial Narrow"/>
        </w:rPr>
        <w:t>La Posición Abierta a valor de mercado se utilizará para determinar el número de Posiciones Abiertas compensables pertenecientes a un mismo Grupo de Compensación como también el número de Posiciones Abiertas compensables entre diferentes Grupos de Compensación.</w:t>
      </w:r>
    </w:p>
    <w:p w14:paraId="2B4FCF6F" w14:textId="77777777" w:rsidR="007968EC" w:rsidRPr="007C5A53" w:rsidRDefault="007968EC" w:rsidP="007968EC">
      <w:pPr>
        <w:autoSpaceDE w:val="0"/>
        <w:autoSpaceDN w:val="0"/>
        <w:adjustRightInd w:val="0"/>
        <w:jc w:val="both"/>
        <w:rPr>
          <w:rFonts w:ascii="Arial Narrow" w:eastAsia="Calibri" w:hAnsi="Arial Narrow"/>
          <w:b/>
        </w:rPr>
      </w:pPr>
    </w:p>
    <w:p w14:paraId="2FD5AAAB" w14:textId="77777777" w:rsidR="007968EC" w:rsidRPr="007C5A53" w:rsidRDefault="007968EC" w:rsidP="00DA7472">
      <w:pPr>
        <w:widowControl w:val="0"/>
        <w:numPr>
          <w:ilvl w:val="0"/>
          <w:numId w:val="278"/>
        </w:numPr>
        <w:autoSpaceDE w:val="0"/>
        <w:autoSpaceDN w:val="0"/>
        <w:adjustRightInd w:val="0"/>
        <w:ind w:left="601" w:hanging="284"/>
        <w:contextualSpacing/>
        <w:jc w:val="both"/>
        <w:rPr>
          <w:rFonts w:ascii="Arial Narrow" w:eastAsia="Calibri" w:hAnsi="Arial Narrow"/>
          <w:b/>
        </w:rPr>
      </w:pPr>
      <w:r w:rsidRPr="007C5A53">
        <w:rPr>
          <w:rFonts w:ascii="Arial Narrow" w:eastAsia="Calibri" w:hAnsi="Arial Narrow"/>
        </w:rPr>
        <w:t xml:space="preserve">Aplicación de las matrices de Garantías a las Posiciones Abiertas: </w:t>
      </w:r>
    </w:p>
    <w:p w14:paraId="330137B1" w14:textId="77777777" w:rsidR="007968EC" w:rsidRPr="007C5A53" w:rsidRDefault="007968EC" w:rsidP="007968EC">
      <w:pPr>
        <w:autoSpaceDE w:val="0"/>
        <w:autoSpaceDN w:val="0"/>
        <w:adjustRightInd w:val="0"/>
        <w:ind w:left="317"/>
        <w:jc w:val="both"/>
        <w:rPr>
          <w:rFonts w:ascii="Arial Narrow" w:eastAsia="Calibri" w:hAnsi="Arial Narrow"/>
          <w:b/>
        </w:rPr>
      </w:pPr>
    </w:p>
    <w:p w14:paraId="50C24569" w14:textId="77777777" w:rsidR="007968EC" w:rsidRPr="007C5A53" w:rsidRDefault="007968EC" w:rsidP="007968EC">
      <w:pPr>
        <w:autoSpaceDE w:val="0"/>
        <w:autoSpaceDN w:val="0"/>
        <w:adjustRightInd w:val="0"/>
        <w:ind w:left="600"/>
        <w:jc w:val="both"/>
        <w:rPr>
          <w:rFonts w:ascii="Arial Narrow" w:eastAsia="Calibri" w:hAnsi="Arial Narrow"/>
          <w:b/>
        </w:rPr>
      </w:pPr>
      <w:r w:rsidRPr="007C5A53">
        <w:rPr>
          <w:rFonts w:ascii="Arial Narrow" w:eastAsia="Calibri" w:hAnsi="Arial Narrow"/>
        </w:rPr>
        <w:t xml:space="preserve">Una vez construida la matriz de precios teóricos y la matriz de deltas, se aplican a las Posiciones Abiertas para cada titular de Cuenta correspondiente. </w:t>
      </w:r>
    </w:p>
    <w:p w14:paraId="47EDAB41" w14:textId="77777777" w:rsidR="007968EC" w:rsidRPr="007C5A53" w:rsidRDefault="007968EC" w:rsidP="007968EC">
      <w:pPr>
        <w:autoSpaceDE w:val="0"/>
        <w:autoSpaceDN w:val="0"/>
        <w:adjustRightInd w:val="0"/>
        <w:ind w:left="317"/>
        <w:jc w:val="both"/>
        <w:rPr>
          <w:rFonts w:ascii="Arial Narrow" w:eastAsia="Calibri" w:hAnsi="Arial Narrow"/>
          <w:b/>
        </w:rPr>
      </w:pPr>
    </w:p>
    <w:p w14:paraId="03CFBBDA" w14:textId="77777777" w:rsidR="007968EC" w:rsidRPr="007C5A53" w:rsidRDefault="007968EC" w:rsidP="007968EC">
      <w:pPr>
        <w:autoSpaceDE w:val="0"/>
        <w:autoSpaceDN w:val="0"/>
        <w:adjustRightInd w:val="0"/>
        <w:ind w:left="600"/>
        <w:jc w:val="both"/>
        <w:rPr>
          <w:rFonts w:ascii="Arial Narrow" w:eastAsia="Calibri" w:hAnsi="Arial Narrow"/>
          <w:b/>
        </w:rPr>
      </w:pPr>
      <w:r w:rsidRPr="007C5A53">
        <w:rPr>
          <w:rFonts w:ascii="Arial Narrow" w:eastAsia="Calibri" w:hAnsi="Arial Narrow"/>
        </w:rPr>
        <w:lastRenderedPageBreak/>
        <w:t xml:space="preserve">El algoritmo utilizado para valorar la Posición Abierta para cada escenario (alza, central y baja) es: </w:t>
      </w:r>
    </w:p>
    <w:p w14:paraId="53664880" w14:textId="77777777" w:rsidR="007968EC" w:rsidRPr="007C5A53" w:rsidRDefault="007968EC" w:rsidP="007968EC">
      <w:pPr>
        <w:autoSpaceDE w:val="0"/>
        <w:autoSpaceDN w:val="0"/>
        <w:adjustRightInd w:val="0"/>
        <w:jc w:val="both"/>
        <w:rPr>
          <w:rFonts w:ascii="Arial Narrow" w:eastAsia="Calibri" w:hAnsi="Arial Narrow"/>
          <w:b/>
        </w:rPr>
      </w:pPr>
    </w:p>
    <w:p w14:paraId="15F83A15" w14:textId="77777777" w:rsidR="007968EC" w:rsidRPr="007C5A53" w:rsidRDefault="007968EC" w:rsidP="007968EC">
      <w:pPr>
        <w:autoSpaceDE w:val="0"/>
        <w:autoSpaceDN w:val="0"/>
        <w:adjustRightInd w:val="0"/>
        <w:ind w:left="1080"/>
        <w:jc w:val="both"/>
        <w:rPr>
          <w:rFonts w:ascii="Arial Narrow" w:eastAsia="Calibri" w:hAnsi="Arial Narrow"/>
          <w:b/>
        </w:rPr>
      </w:pPr>
      <m:oMathPara>
        <m:oMathParaPr>
          <m:jc m:val="left"/>
        </m:oMathParaPr>
        <m:oMath>
          <m:r>
            <m:rPr>
              <m:sty m:val="bi"/>
            </m:rPr>
            <w:rPr>
              <w:rFonts w:ascii="Cambria Math" w:eastAsia="Calibri" w:hAnsi="Cambria Math"/>
            </w:rPr>
            <m:t>Valor P. Abierta compradora=Valor Nomina</m:t>
          </m:r>
          <m:r>
            <m:rPr>
              <m:sty m:val="bi"/>
            </m:rPr>
            <w:rPr>
              <w:rFonts w:ascii="Cambria Math" w:eastAsia="Calibri" w:hAnsi="Cambria Math" w:cs="Cambria Math"/>
            </w:rPr>
            <m:t>l</m:t>
          </m:r>
          <m:r>
            <m:rPr>
              <m:sty m:val="bi"/>
            </m:rPr>
            <w:rPr>
              <w:rFonts w:ascii="Cambria Math" w:eastAsia="Calibri" w:hAnsi="Cambria Math"/>
            </w:rPr>
            <m:t xml:space="preserve"> de Operación Repo de Compra*-1*Precio te</m:t>
          </m:r>
          <m:r>
            <m:rPr>
              <m:sty m:val="bi"/>
            </m:rPr>
            <w:rPr>
              <w:rFonts w:ascii="Cambria Math" w:eastAsia="Calibri" w:hAnsi="Cambria Math" w:hint="eastAsia"/>
            </w:rPr>
            <m:t>ó</m:t>
          </m:r>
          <m:r>
            <m:rPr>
              <m:sty m:val="bi"/>
            </m:rPr>
            <w:rPr>
              <w:rFonts w:ascii="Cambria Math" w:eastAsia="Calibri" w:hAnsi="Cambria Math"/>
            </w:rPr>
            <m:t>rico (alza, central y baja)</m:t>
          </m:r>
        </m:oMath>
      </m:oMathPara>
    </w:p>
    <w:p w14:paraId="6ED8FA76" w14:textId="77777777" w:rsidR="007968EC" w:rsidRPr="007C5A53" w:rsidRDefault="007968EC" w:rsidP="007968EC">
      <w:pPr>
        <w:autoSpaceDE w:val="0"/>
        <w:autoSpaceDN w:val="0"/>
        <w:adjustRightInd w:val="0"/>
        <w:ind w:left="1080"/>
        <w:jc w:val="both"/>
        <w:rPr>
          <w:rFonts w:ascii="Arial Narrow" w:eastAsia="Calibri" w:hAnsi="Arial Narrow"/>
          <w:b/>
        </w:rPr>
      </w:pPr>
      <m:oMathPara>
        <m:oMathParaPr>
          <m:jc m:val="left"/>
        </m:oMathParaPr>
        <m:oMath>
          <m:r>
            <m:rPr>
              <m:sty m:val="bi"/>
            </m:rPr>
            <w:rPr>
              <w:rFonts w:ascii="Cambria Math" w:eastAsia="Calibri" w:hAnsi="Cambria Math"/>
            </w:rPr>
            <m:t>Valor P. Abierta vendedora=Valor Nominal de Operación Repo de Venta</m:t>
          </m:r>
        </m:oMath>
      </m:oMathPara>
    </w:p>
    <w:p w14:paraId="150D81F9" w14:textId="77777777" w:rsidR="007968EC" w:rsidRPr="007C5A53" w:rsidRDefault="007968EC" w:rsidP="007968EC">
      <w:pPr>
        <w:autoSpaceDE w:val="0"/>
        <w:autoSpaceDN w:val="0"/>
        <w:adjustRightInd w:val="0"/>
        <w:ind w:left="1080"/>
        <w:jc w:val="both"/>
        <w:rPr>
          <w:rFonts w:ascii="Arial Narrow" w:eastAsia="Calibri" w:hAnsi="Arial Narrow"/>
          <w:b/>
        </w:rPr>
      </w:pPr>
      <m:oMathPara>
        <m:oMathParaPr>
          <m:jc m:val="left"/>
        </m:oMathParaPr>
        <m:oMath>
          <m:r>
            <m:rPr>
              <m:sty m:val="bi"/>
            </m:rPr>
            <w:rPr>
              <w:rFonts w:ascii="Cambria Math" w:eastAsia="Calibri" w:hAnsi="Cambria Math"/>
            </w:rPr>
            <m:t>*1*Pre</m:t>
          </m:r>
          <m:r>
            <m:rPr>
              <m:sty m:val="bi"/>
            </m:rPr>
            <w:rPr>
              <w:rFonts w:ascii="Cambria Math" w:eastAsia="Calibri" w:hAnsi="Cambria Math" w:cs="Cambria Math"/>
            </w:rPr>
            <m:t>c</m:t>
          </m:r>
          <m:r>
            <m:rPr>
              <m:sty m:val="bi"/>
            </m:rPr>
            <w:rPr>
              <w:rFonts w:ascii="Cambria Math" w:eastAsia="Calibri" w:hAnsi="Cambria Math"/>
            </w:rPr>
            <m:t>io te</m:t>
          </m:r>
          <m:r>
            <m:rPr>
              <m:sty m:val="bi"/>
            </m:rPr>
            <w:rPr>
              <w:rFonts w:ascii="Cambria Math" w:eastAsia="Calibri" w:hAnsi="Cambria Math" w:hint="eastAsia"/>
            </w:rPr>
            <m:t>ó</m:t>
          </m:r>
          <m:r>
            <m:rPr>
              <m:sty m:val="bi"/>
            </m:rPr>
            <w:rPr>
              <w:rFonts w:ascii="Cambria Math" w:eastAsia="Calibri" w:hAnsi="Cambria Math"/>
            </w:rPr>
            <m:t>rico (alza, central y baja)</m:t>
          </m:r>
        </m:oMath>
      </m:oMathPara>
    </w:p>
    <w:p w14:paraId="423FDFBC" w14:textId="77777777" w:rsidR="007968EC" w:rsidRPr="007C5A53" w:rsidRDefault="007968EC" w:rsidP="007968EC">
      <w:pPr>
        <w:autoSpaceDE w:val="0"/>
        <w:autoSpaceDN w:val="0"/>
        <w:adjustRightInd w:val="0"/>
        <w:ind w:left="1080"/>
        <w:jc w:val="both"/>
        <w:rPr>
          <w:rFonts w:ascii="Arial Narrow" w:eastAsia="Calibri" w:hAnsi="Arial Narrow"/>
          <w:b/>
        </w:rPr>
      </w:pPr>
    </w:p>
    <w:p w14:paraId="27770491" w14:textId="77777777" w:rsidR="007968EC" w:rsidRPr="007C5A53" w:rsidRDefault="007968EC" w:rsidP="007968EC">
      <w:pPr>
        <w:autoSpaceDE w:val="0"/>
        <w:autoSpaceDN w:val="0"/>
        <w:adjustRightInd w:val="0"/>
        <w:ind w:left="176" w:hanging="425"/>
        <w:jc w:val="both"/>
        <w:rPr>
          <w:rFonts w:ascii="Arial Narrow" w:eastAsia="Calibri" w:hAnsi="Arial Narrow"/>
          <w:b/>
        </w:rPr>
      </w:pPr>
      <m:oMathPara>
        <m:oMathParaPr>
          <m:jc m:val="left"/>
        </m:oMathParaPr>
        <m:oMath>
          <m:r>
            <m:rPr>
              <m:sty m:val="bi"/>
            </m:rPr>
            <w:rPr>
              <w:rFonts w:ascii="Cambria Math" w:eastAsia="Calibri" w:hAnsi="Cambria Math"/>
            </w:rPr>
            <m:t>Valor Nominal de Operación Repo  =N° de Operaciones Repo*Multiplicador</m:t>
          </m:r>
        </m:oMath>
      </m:oMathPara>
    </w:p>
    <w:p w14:paraId="1BF6FD47" w14:textId="77777777" w:rsidR="007968EC" w:rsidRPr="007C5A53" w:rsidRDefault="007968EC" w:rsidP="007968EC">
      <w:pPr>
        <w:autoSpaceDE w:val="0"/>
        <w:autoSpaceDN w:val="0"/>
        <w:adjustRightInd w:val="0"/>
        <w:ind w:left="176" w:hanging="425"/>
        <w:jc w:val="both"/>
        <w:rPr>
          <w:rFonts w:ascii="Arial Narrow" w:eastAsia="Calibri" w:hAnsi="Arial Narrow"/>
          <w:b/>
        </w:rPr>
      </w:pPr>
    </w:p>
    <w:p w14:paraId="6D5F5505" w14:textId="77777777" w:rsidR="007968EC" w:rsidRPr="007C5A53" w:rsidRDefault="007968EC" w:rsidP="007968EC">
      <w:pPr>
        <w:autoSpaceDE w:val="0"/>
        <w:autoSpaceDN w:val="0"/>
        <w:adjustRightInd w:val="0"/>
        <w:ind w:left="601"/>
        <w:jc w:val="both"/>
        <w:rPr>
          <w:rFonts w:ascii="Arial Narrow" w:eastAsia="Calibri" w:hAnsi="Arial Narrow"/>
        </w:rPr>
      </w:pPr>
      <w:r w:rsidRPr="007C5A53">
        <w:rPr>
          <w:rFonts w:ascii="Arial Narrow" w:eastAsia="Calibri" w:hAnsi="Arial Narrow"/>
        </w:rPr>
        <w:t>Para cada uno de los escenarios definidos (alza, central y baja) se suman los valores calculados para los Operaciones Repo pertenecientes a un mismo Grupo de Compensación, compensándose totalmente los valores positivos y negativos. Al valor resultante, se le denomina “</w:t>
      </w:r>
      <w:r w:rsidRPr="007C5A53">
        <w:rPr>
          <w:rFonts w:ascii="Arial Narrow" w:eastAsia="Calibri" w:hAnsi="Arial Narrow"/>
          <w:i/>
        </w:rPr>
        <w:t>Garantía Posición Neta”.</w:t>
      </w:r>
    </w:p>
    <w:p w14:paraId="7D4DA4E9" w14:textId="77777777" w:rsidR="007968EC" w:rsidRPr="007C5A53" w:rsidRDefault="007968EC" w:rsidP="007968EC">
      <w:pPr>
        <w:autoSpaceDE w:val="0"/>
        <w:autoSpaceDN w:val="0"/>
        <w:adjustRightInd w:val="0"/>
        <w:ind w:left="601"/>
        <w:jc w:val="both"/>
        <w:rPr>
          <w:rFonts w:ascii="Arial Narrow" w:eastAsia="Calibri" w:hAnsi="Arial Narrow"/>
        </w:rPr>
      </w:pPr>
    </w:p>
    <w:p w14:paraId="26BC87D7" w14:textId="77777777" w:rsidR="007968EC" w:rsidRPr="007C5A53" w:rsidRDefault="007968EC" w:rsidP="007968EC">
      <w:pPr>
        <w:autoSpaceDE w:val="0"/>
        <w:autoSpaceDN w:val="0"/>
        <w:adjustRightInd w:val="0"/>
        <w:ind w:left="601"/>
        <w:jc w:val="both"/>
        <w:rPr>
          <w:rFonts w:ascii="Arial Narrow" w:eastAsia="Calibri" w:hAnsi="Arial Narrow"/>
          <w:b/>
        </w:rPr>
      </w:pPr>
      <w:r w:rsidRPr="007C5A53">
        <w:rPr>
          <w:rFonts w:ascii="Arial Narrow" w:eastAsia="Calibri" w:hAnsi="Arial Narrow"/>
        </w:rPr>
        <w:t>A continuación, para cada Contrato de Operación Repo se calcula el valor de mercado a partir del valor nominal y la matriz de deltas:</w:t>
      </w:r>
    </w:p>
    <w:p w14:paraId="29B40D10" w14:textId="77777777" w:rsidR="007968EC" w:rsidRPr="007C5A53" w:rsidRDefault="007968EC" w:rsidP="007968EC">
      <w:pPr>
        <w:autoSpaceDE w:val="0"/>
        <w:autoSpaceDN w:val="0"/>
        <w:adjustRightInd w:val="0"/>
        <w:ind w:left="601"/>
        <w:jc w:val="both"/>
        <w:rPr>
          <w:rFonts w:ascii="Arial Narrow" w:eastAsia="Calibri" w:hAnsi="Arial Narrow"/>
          <w:b/>
        </w:rPr>
      </w:pPr>
    </w:p>
    <w:p w14:paraId="7B65DD00" w14:textId="77777777" w:rsidR="007968EC" w:rsidRPr="007C5A53" w:rsidRDefault="007968EC" w:rsidP="007968EC">
      <w:pPr>
        <w:autoSpaceDE w:val="0"/>
        <w:autoSpaceDN w:val="0"/>
        <w:adjustRightInd w:val="0"/>
        <w:ind w:left="601"/>
        <w:jc w:val="both"/>
        <w:rPr>
          <w:rFonts w:ascii="Arial Narrow" w:eastAsia="Calibri" w:hAnsi="Arial Narrow"/>
          <w:b/>
        </w:rPr>
      </w:pPr>
      <m:oMathPara>
        <m:oMath>
          <m:r>
            <m:rPr>
              <m:sty m:val="bi"/>
            </m:rPr>
            <w:rPr>
              <w:rFonts w:ascii="Cambria Math" w:eastAsia="Calibri" w:hAnsi="Cambria Math"/>
            </w:rPr>
            <m:t xml:space="preserve">P. Abierta compradora </m:t>
          </m:r>
          <m:d>
            <m:dPr>
              <m:ctrlPr>
                <w:rPr>
                  <w:rFonts w:ascii="Cambria Math" w:eastAsia="Calibri" w:hAnsi="Cambria Math"/>
                  <w:i/>
                </w:rPr>
              </m:ctrlPr>
            </m:dPr>
            <m:e>
              <m:r>
                <m:rPr>
                  <m:sty m:val="bi"/>
                </m:rPr>
                <w:rPr>
                  <w:rFonts w:ascii="Cambria Math" w:eastAsia="Calibri" w:hAnsi="Cambria Math"/>
                </w:rPr>
                <m:t>valor mercado</m:t>
              </m:r>
            </m:e>
          </m:d>
          <m:r>
            <m:rPr>
              <m:sty m:val="bi"/>
            </m:rPr>
            <w:rPr>
              <w:rFonts w:ascii="Cambria Math" w:eastAsia="Calibri" w:hAnsi="Cambria Math"/>
            </w:rPr>
            <m:t xml:space="preserve">=P. Abierta compradora </m:t>
          </m:r>
          <m:d>
            <m:dPr>
              <m:ctrlPr>
                <w:rPr>
                  <w:rFonts w:ascii="Cambria Math" w:eastAsia="Calibri" w:hAnsi="Cambria Math"/>
                  <w:i/>
                </w:rPr>
              </m:ctrlPr>
            </m:dPr>
            <m:e>
              <m:r>
                <m:rPr>
                  <m:sty m:val="bi"/>
                </m:rPr>
                <w:rPr>
                  <w:rFonts w:ascii="Cambria Math" w:eastAsia="Calibri" w:hAnsi="Cambria Math"/>
                </w:rPr>
                <m:t>valor nominal</m:t>
              </m:r>
            </m:e>
          </m:d>
          <m:r>
            <m:rPr>
              <m:sty m:val="bi"/>
            </m:rPr>
            <w:rPr>
              <w:rFonts w:ascii="Cambria Math" w:eastAsia="Calibri" w:hAnsi="Cambria Math"/>
            </w:rPr>
            <m:t xml:space="preserve">*1*Deltas </m:t>
          </m:r>
        </m:oMath>
      </m:oMathPara>
    </w:p>
    <w:p w14:paraId="0DDC4010" w14:textId="77777777" w:rsidR="007968EC" w:rsidRPr="007C5A53" w:rsidRDefault="007968EC" w:rsidP="007968EC">
      <w:pPr>
        <w:autoSpaceDE w:val="0"/>
        <w:autoSpaceDN w:val="0"/>
        <w:adjustRightInd w:val="0"/>
        <w:ind w:left="601"/>
        <w:jc w:val="both"/>
        <w:rPr>
          <w:rFonts w:ascii="Arial Narrow" w:eastAsia="Calibri" w:hAnsi="Arial Narrow"/>
          <w:b/>
        </w:rPr>
      </w:pPr>
    </w:p>
    <w:p w14:paraId="5592716A" w14:textId="77777777" w:rsidR="007968EC" w:rsidRPr="007C5A53" w:rsidRDefault="007968EC" w:rsidP="007968EC">
      <w:pPr>
        <w:autoSpaceDE w:val="0"/>
        <w:autoSpaceDN w:val="0"/>
        <w:adjustRightInd w:val="0"/>
        <w:ind w:left="601"/>
        <w:jc w:val="both"/>
        <w:rPr>
          <w:rFonts w:ascii="Arial Narrow" w:eastAsia="Calibri" w:hAnsi="Arial Narrow"/>
          <w:b/>
        </w:rPr>
      </w:pPr>
      <m:oMathPara>
        <m:oMath>
          <m:r>
            <m:rPr>
              <m:sty m:val="bi"/>
            </m:rPr>
            <w:rPr>
              <w:rFonts w:ascii="Cambria Math" w:eastAsia="Calibri" w:hAnsi="Cambria Math"/>
            </w:rPr>
            <m:t xml:space="preserve">P. Abierta vendedora </m:t>
          </m:r>
          <m:d>
            <m:dPr>
              <m:ctrlPr>
                <w:rPr>
                  <w:rFonts w:ascii="Cambria Math" w:eastAsia="Calibri" w:hAnsi="Cambria Math"/>
                  <w:i/>
                </w:rPr>
              </m:ctrlPr>
            </m:dPr>
            <m:e>
              <m:r>
                <m:rPr>
                  <m:sty m:val="bi"/>
                </m:rPr>
                <w:rPr>
                  <w:rFonts w:ascii="Cambria Math" w:eastAsia="Calibri" w:hAnsi="Cambria Math"/>
                </w:rPr>
                <m:t>valor mercado</m:t>
              </m:r>
            </m:e>
          </m:d>
          <m:r>
            <m:rPr>
              <m:sty m:val="bi"/>
            </m:rPr>
            <w:rPr>
              <w:rFonts w:ascii="Cambria Math" w:eastAsia="Calibri" w:hAnsi="Cambria Math"/>
            </w:rPr>
            <m:t>=P. Abierta vendedor</m:t>
          </m:r>
          <m:r>
            <m:rPr>
              <m:sty m:val="bi"/>
            </m:rPr>
            <w:rPr>
              <w:rFonts w:ascii="Cambria Math" w:eastAsia="Calibri" w:hAnsi="Cambria Math" w:cs="Cambria Math"/>
            </w:rPr>
            <m:t>a</m:t>
          </m:r>
          <m:r>
            <m:rPr>
              <m:sty m:val="bi"/>
            </m:rPr>
            <w:rPr>
              <w:rFonts w:ascii="Cambria Math" w:eastAsia="Calibri" w:hAnsi="Cambria Math"/>
            </w:rPr>
            <m:t xml:space="preserve"> </m:t>
          </m:r>
          <m:d>
            <m:dPr>
              <m:ctrlPr>
                <w:rPr>
                  <w:rFonts w:ascii="Cambria Math" w:eastAsia="Calibri" w:hAnsi="Cambria Math"/>
                  <w:i/>
                </w:rPr>
              </m:ctrlPr>
            </m:dPr>
            <m:e>
              <m:r>
                <m:rPr>
                  <m:sty m:val="bi"/>
                </m:rPr>
                <w:rPr>
                  <w:rFonts w:ascii="Cambria Math" w:eastAsia="Calibri" w:hAnsi="Cambria Math"/>
                </w:rPr>
                <m:t>valor nominal</m:t>
              </m:r>
            </m:e>
          </m:d>
          <m:r>
            <m:rPr>
              <m:sty m:val="bi"/>
            </m:rPr>
            <w:rPr>
              <w:rFonts w:ascii="Cambria Math" w:eastAsia="Calibri" w:hAnsi="Cambria Math"/>
            </w:rPr>
            <m:t xml:space="preserve">*-1*Deltas </m:t>
          </m:r>
        </m:oMath>
      </m:oMathPara>
    </w:p>
    <w:p w14:paraId="6E15D3E9" w14:textId="77777777" w:rsidR="007968EC" w:rsidRPr="007C5A53" w:rsidRDefault="007968EC" w:rsidP="007968EC">
      <w:pPr>
        <w:autoSpaceDE w:val="0"/>
        <w:autoSpaceDN w:val="0"/>
        <w:adjustRightInd w:val="0"/>
        <w:ind w:left="601"/>
        <w:jc w:val="both"/>
        <w:rPr>
          <w:rFonts w:ascii="Arial Narrow" w:eastAsia="Calibri" w:hAnsi="Arial Narrow"/>
        </w:rPr>
      </w:pPr>
    </w:p>
    <w:p w14:paraId="566F7AC5" w14:textId="77777777" w:rsidR="007968EC" w:rsidRPr="007C5A53" w:rsidRDefault="007968EC" w:rsidP="007968EC">
      <w:pPr>
        <w:autoSpaceDE w:val="0"/>
        <w:autoSpaceDN w:val="0"/>
        <w:adjustRightInd w:val="0"/>
        <w:ind w:left="601"/>
        <w:jc w:val="both"/>
        <w:rPr>
          <w:rFonts w:ascii="Arial Narrow" w:eastAsia="Calibri" w:hAnsi="Arial Narrow"/>
        </w:rPr>
      </w:pPr>
      <w:r w:rsidRPr="007C5A53">
        <w:rPr>
          <w:rFonts w:ascii="Arial Narrow" w:eastAsia="Calibri" w:hAnsi="Arial Narrow"/>
        </w:rPr>
        <w:t xml:space="preserve">Para cada Grupo de Compensación, se suman los valores correspondientes a un mismo Contrato de Operación Repo. Por lo tanto, si hay posiciones compradoras o vendedoras en un mismo Contrato de Operación Repo se considera como la posición neta compradora o posición neta vendedora. Posteriormente, se suman los valores en los que se registra una posición neta compradora, y por otro lado, los valores en los que se registra una posición neta vendedora. Como resultado, por cada Grupo de Compensación se obtienen cómo máximo dos (2) valores: Uno con una posición neta compradora y otro con una posición neta vendedora. </w:t>
      </w:r>
    </w:p>
    <w:p w14:paraId="0DC5AB6A" w14:textId="77777777" w:rsidR="007968EC" w:rsidRPr="007C5A53" w:rsidRDefault="007968EC" w:rsidP="007968EC">
      <w:pPr>
        <w:autoSpaceDE w:val="0"/>
        <w:autoSpaceDN w:val="0"/>
        <w:adjustRightInd w:val="0"/>
        <w:ind w:left="601"/>
        <w:jc w:val="both"/>
        <w:rPr>
          <w:rFonts w:ascii="Arial Narrow" w:eastAsia="Calibri" w:hAnsi="Arial Narrow"/>
        </w:rPr>
      </w:pPr>
    </w:p>
    <w:p w14:paraId="734DBECC" w14:textId="77777777" w:rsidR="007968EC" w:rsidRPr="007C5A53" w:rsidRDefault="007968EC" w:rsidP="007968EC">
      <w:pPr>
        <w:autoSpaceDE w:val="0"/>
        <w:autoSpaceDN w:val="0"/>
        <w:adjustRightInd w:val="0"/>
        <w:ind w:left="601"/>
        <w:jc w:val="both"/>
        <w:rPr>
          <w:rFonts w:ascii="Arial Narrow" w:eastAsia="Calibri" w:hAnsi="Arial Narrow"/>
        </w:rPr>
      </w:pPr>
      <w:r w:rsidRPr="007C5A53">
        <w:rPr>
          <w:rFonts w:ascii="Arial Narrow" w:eastAsia="Calibri" w:hAnsi="Arial Narrow"/>
        </w:rPr>
        <w:t>Para cada una de estas se determinará el valor de la posición no consumida en spreads de la siguiente manera:</w:t>
      </w:r>
    </w:p>
    <w:p w14:paraId="089D8848" w14:textId="77777777" w:rsidR="007968EC" w:rsidRPr="007C5A53" w:rsidRDefault="007968EC" w:rsidP="007968EC">
      <w:pPr>
        <w:autoSpaceDE w:val="0"/>
        <w:autoSpaceDN w:val="0"/>
        <w:adjustRightInd w:val="0"/>
        <w:contextualSpacing/>
        <w:jc w:val="both"/>
        <w:rPr>
          <w:rFonts w:ascii="Arial Narrow" w:eastAsia="Calibri" w:hAnsi="Arial Narrow"/>
          <w:b/>
        </w:rPr>
      </w:pPr>
    </w:p>
    <w:p w14:paraId="1E81E27D" w14:textId="77777777" w:rsidR="007968EC" w:rsidRPr="007C5A53" w:rsidRDefault="007968EC" w:rsidP="00DA7472">
      <w:pPr>
        <w:numPr>
          <w:ilvl w:val="0"/>
          <w:numId w:val="138"/>
        </w:numPr>
        <w:autoSpaceDE w:val="0"/>
        <w:autoSpaceDN w:val="0"/>
        <w:adjustRightInd w:val="0"/>
        <w:contextualSpacing/>
        <w:jc w:val="both"/>
        <w:rPr>
          <w:rFonts w:ascii="Arial Narrow" w:eastAsia="Calibri" w:hAnsi="Arial Narrow"/>
          <w:b/>
        </w:rPr>
      </w:pPr>
      <w:r w:rsidRPr="007C5A53">
        <w:rPr>
          <w:rFonts w:ascii="Arial Narrow" w:eastAsia="Calibri" w:hAnsi="Arial Narrow"/>
        </w:rPr>
        <w:t>Si la posición abierta es compradora:</w:t>
      </w:r>
    </w:p>
    <w:p w14:paraId="77DA8EF4" w14:textId="77777777" w:rsidR="007968EC" w:rsidRPr="007C5A53" w:rsidRDefault="007968EC" w:rsidP="007968EC">
      <w:pPr>
        <w:autoSpaceDE w:val="0"/>
        <w:autoSpaceDN w:val="0"/>
        <w:adjustRightInd w:val="0"/>
        <w:ind w:left="1776"/>
        <w:contextualSpacing/>
        <w:jc w:val="both"/>
        <w:rPr>
          <w:rFonts w:ascii="Arial Narrow" w:eastAsia="Calibri" w:hAnsi="Arial Narrow"/>
          <w:b/>
        </w:rPr>
      </w:pPr>
    </w:p>
    <w:p w14:paraId="16AB13AA" w14:textId="77777777" w:rsidR="007968EC" w:rsidRPr="007C5A53" w:rsidRDefault="007968EC" w:rsidP="007968EC">
      <w:pPr>
        <w:autoSpaceDE w:val="0"/>
        <w:autoSpaceDN w:val="0"/>
        <w:adjustRightInd w:val="0"/>
        <w:ind w:left="1776"/>
        <w:contextualSpacing/>
        <w:jc w:val="both"/>
        <w:rPr>
          <w:rFonts w:ascii="Arial Narrow" w:eastAsia="Calibri" w:hAnsi="Arial Narrow"/>
          <w:b/>
        </w:rPr>
      </w:pPr>
      <m:oMathPara>
        <m:oMath>
          <m:r>
            <m:rPr>
              <m:sty m:val="bi"/>
            </m:rPr>
            <w:rPr>
              <w:rFonts w:ascii="Cambria Math" w:eastAsia="Calibri" w:hAnsi="Cambria Math"/>
            </w:rPr>
            <m:t>Posición no consumida en spreads=Posición neta compradora</m:t>
          </m:r>
        </m:oMath>
      </m:oMathPara>
    </w:p>
    <w:p w14:paraId="3C1E1F53" w14:textId="77777777" w:rsidR="007968EC" w:rsidRPr="007C5A53" w:rsidRDefault="007968EC" w:rsidP="007968EC">
      <w:pPr>
        <w:autoSpaceDE w:val="0"/>
        <w:autoSpaceDN w:val="0"/>
        <w:adjustRightInd w:val="0"/>
        <w:jc w:val="both"/>
        <w:rPr>
          <w:rFonts w:ascii="Arial Narrow" w:eastAsia="Calibri" w:hAnsi="Arial Narrow"/>
          <w:b/>
        </w:rPr>
      </w:pPr>
    </w:p>
    <w:p w14:paraId="6AA48054" w14:textId="77777777" w:rsidR="007968EC" w:rsidRPr="007C5A53" w:rsidRDefault="007968EC" w:rsidP="00DA7472">
      <w:pPr>
        <w:numPr>
          <w:ilvl w:val="0"/>
          <w:numId w:val="138"/>
        </w:numPr>
        <w:autoSpaceDE w:val="0"/>
        <w:autoSpaceDN w:val="0"/>
        <w:adjustRightInd w:val="0"/>
        <w:contextualSpacing/>
        <w:jc w:val="both"/>
        <w:rPr>
          <w:rFonts w:ascii="Arial Narrow" w:eastAsia="Calibri" w:hAnsi="Arial Narrow"/>
          <w:b/>
        </w:rPr>
      </w:pPr>
      <w:r w:rsidRPr="007C5A53">
        <w:rPr>
          <w:rFonts w:ascii="Arial Narrow" w:eastAsia="Calibri" w:hAnsi="Arial Narrow"/>
        </w:rPr>
        <w:t xml:space="preserve">Si la posición abierta es vendedora: </w:t>
      </w:r>
    </w:p>
    <w:p w14:paraId="43DBF3CD" w14:textId="77777777" w:rsidR="007968EC" w:rsidRPr="007C5A53" w:rsidRDefault="007968EC" w:rsidP="007968EC">
      <w:pPr>
        <w:autoSpaceDE w:val="0"/>
        <w:autoSpaceDN w:val="0"/>
        <w:adjustRightInd w:val="0"/>
        <w:jc w:val="both"/>
        <w:rPr>
          <w:rFonts w:ascii="Arial Narrow" w:eastAsia="Calibri" w:hAnsi="Arial Narrow"/>
          <w:b/>
        </w:rPr>
      </w:pPr>
      <w:r w:rsidRPr="007C5A53">
        <w:rPr>
          <w:rFonts w:ascii="Arial Narrow" w:eastAsia="Calibri" w:hAnsi="Arial Narrow"/>
        </w:rPr>
        <w:t xml:space="preserve"> </w:t>
      </w:r>
    </w:p>
    <w:p w14:paraId="6824DEC8" w14:textId="77777777" w:rsidR="007968EC" w:rsidRPr="007C5A53" w:rsidRDefault="007968EC" w:rsidP="007968EC">
      <w:pPr>
        <w:autoSpaceDE w:val="0"/>
        <w:autoSpaceDN w:val="0"/>
        <w:adjustRightInd w:val="0"/>
        <w:ind w:left="1440"/>
        <w:contextualSpacing/>
        <w:jc w:val="both"/>
        <w:rPr>
          <w:rFonts w:ascii="Arial Narrow" w:eastAsia="Calibri" w:hAnsi="Arial Narrow"/>
          <w:b/>
        </w:rPr>
      </w:pPr>
      <m:oMathPara>
        <m:oMath>
          <m:r>
            <m:rPr>
              <m:sty m:val="bi"/>
            </m:rPr>
            <w:rPr>
              <w:rFonts w:ascii="Cambria Math" w:eastAsia="Calibri" w:hAnsi="Cambria Math"/>
            </w:rPr>
            <w:lastRenderedPageBreak/>
            <m:t>Posición no consumida en spreads=</m:t>
          </m:r>
          <m:r>
            <m:rPr>
              <m:sty m:val="bi"/>
            </m:rPr>
            <w:rPr>
              <w:rFonts w:ascii="Cambria Math" w:eastAsia="Calibri" w:hAnsi="Cambria Math" w:cs="Cambria Math"/>
            </w:rPr>
            <m:t>P</m:t>
          </m:r>
          <m:r>
            <m:rPr>
              <m:sty m:val="bi"/>
            </m:rPr>
            <w:rPr>
              <w:rFonts w:ascii="Cambria Math" w:eastAsia="Calibri" w:hAnsi="Cambria Math"/>
            </w:rPr>
            <m:t>osi</m:t>
          </m:r>
          <m:r>
            <m:rPr>
              <m:sty m:val="bi"/>
            </m:rPr>
            <w:rPr>
              <w:rFonts w:ascii="Cambria Math" w:eastAsia="Calibri" w:hAnsi="Cambria Math" w:cs="Cambria Math"/>
            </w:rPr>
            <m:t>c</m:t>
          </m:r>
          <m:r>
            <m:rPr>
              <m:sty m:val="bi"/>
            </m:rPr>
            <w:rPr>
              <w:rFonts w:ascii="Cambria Math" w:eastAsia="Calibri" w:hAnsi="Cambria Math"/>
            </w:rPr>
            <m:t>ión neta vendedora</m:t>
          </m:r>
        </m:oMath>
      </m:oMathPara>
    </w:p>
    <w:p w14:paraId="69837A4B" w14:textId="77777777" w:rsidR="007968EC" w:rsidRPr="007C5A53" w:rsidRDefault="007968EC" w:rsidP="007968EC">
      <w:pPr>
        <w:autoSpaceDE w:val="0"/>
        <w:autoSpaceDN w:val="0"/>
        <w:adjustRightInd w:val="0"/>
        <w:ind w:left="1440"/>
        <w:contextualSpacing/>
        <w:jc w:val="both"/>
        <w:rPr>
          <w:rFonts w:ascii="Arial Narrow" w:eastAsia="Calibri" w:hAnsi="Arial Narrow"/>
          <w:b/>
        </w:rPr>
      </w:pPr>
    </w:p>
    <w:p w14:paraId="73F76EB4" w14:textId="77777777" w:rsidR="007968EC" w:rsidRPr="007C5A53" w:rsidRDefault="007968EC" w:rsidP="007968EC">
      <w:pPr>
        <w:autoSpaceDE w:val="0"/>
        <w:autoSpaceDN w:val="0"/>
        <w:adjustRightInd w:val="0"/>
        <w:ind w:left="1440"/>
        <w:contextualSpacing/>
        <w:jc w:val="both"/>
        <w:rPr>
          <w:rFonts w:ascii="Arial Narrow" w:eastAsia="Calibri" w:hAnsi="Arial Narrow"/>
          <w:b/>
        </w:rPr>
      </w:pPr>
    </w:p>
    <w:p w14:paraId="765ED8F6" w14:textId="77777777" w:rsidR="007968EC" w:rsidRPr="007C5A53" w:rsidRDefault="007968EC" w:rsidP="00DA7472">
      <w:pPr>
        <w:widowControl w:val="0"/>
        <w:numPr>
          <w:ilvl w:val="0"/>
          <w:numId w:val="278"/>
        </w:numPr>
        <w:autoSpaceDE w:val="0"/>
        <w:autoSpaceDN w:val="0"/>
        <w:adjustRightInd w:val="0"/>
        <w:ind w:left="601" w:hanging="284"/>
        <w:contextualSpacing/>
        <w:jc w:val="both"/>
        <w:rPr>
          <w:rFonts w:ascii="Arial Narrow" w:eastAsia="Calibri" w:hAnsi="Arial Narrow"/>
          <w:b/>
        </w:rPr>
      </w:pPr>
      <w:r w:rsidRPr="007C5A53">
        <w:rPr>
          <w:rFonts w:ascii="Arial Narrow" w:eastAsia="Calibri" w:hAnsi="Arial Narrow"/>
        </w:rPr>
        <w:t xml:space="preserve">Compensación de Garantías entre distintos Grupos de Compensación: </w:t>
      </w:r>
    </w:p>
    <w:p w14:paraId="2FB65306" w14:textId="77777777" w:rsidR="007968EC" w:rsidRPr="007C5A53" w:rsidRDefault="007968EC" w:rsidP="007968EC">
      <w:pPr>
        <w:autoSpaceDE w:val="0"/>
        <w:autoSpaceDN w:val="0"/>
        <w:adjustRightInd w:val="0"/>
        <w:ind w:left="720"/>
        <w:contextualSpacing/>
        <w:jc w:val="both"/>
        <w:rPr>
          <w:rFonts w:ascii="Arial Narrow" w:eastAsia="Calibri" w:hAnsi="Arial Narrow"/>
          <w:b/>
        </w:rPr>
      </w:pPr>
    </w:p>
    <w:p w14:paraId="009BD830" w14:textId="77777777" w:rsidR="007968EC" w:rsidRPr="007C5A53" w:rsidRDefault="007968EC" w:rsidP="00DA7472">
      <w:pPr>
        <w:numPr>
          <w:ilvl w:val="0"/>
          <w:numId w:val="280"/>
        </w:numPr>
        <w:autoSpaceDE w:val="0"/>
        <w:autoSpaceDN w:val="0"/>
        <w:adjustRightInd w:val="0"/>
        <w:contextualSpacing/>
        <w:jc w:val="both"/>
        <w:rPr>
          <w:rFonts w:ascii="Arial Narrow" w:eastAsia="Calibri" w:hAnsi="Arial Narrow"/>
          <w:b/>
        </w:rPr>
      </w:pPr>
      <w:r w:rsidRPr="007C5A53">
        <w:rPr>
          <w:rFonts w:ascii="Arial Narrow" w:eastAsia="Calibri" w:hAnsi="Arial Narrow"/>
        </w:rPr>
        <w:t xml:space="preserve">Obtención de la posición a aplicar en cada Grupo de Compensación: Se parte de la posición no consumida en spreads en el numeral 2 del presente artículo. Se selecciona la posición no consumida en cada Operación Repo correspondiente al escenario en la que se alcanza el valor máximo del Grupo de Compensación, es decir, la posición del escenario inicial de mayor riesgo. A este valor, se le suma la posición de las diferentes Operaciones Repo y el resultado es </w:t>
      </w:r>
      <w:proofErr w:type="gramStart"/>
      <w:r w:rsidRPr="007C5A53">
        <w:rPr>
          <w:rFonts w:ascii="Arial Narrow" w:eastAsia="Calibri" w:hAnsi="Arial Narrow"/>
        </w:rPr>
        <w:t>la posición a aplicar</w:t>
      </w:r>
      <w:proofErr w:type="gramEnd"/>
      <w:r w:rsidRPr="007C5A53">
        <w:rPr>
          <w:rFonts w:ascii="Arial Narrow" w:eastAsia="Calibri" w:hAnsi="Arial Narrow"/>
        </w:rPr>
        <w:t xml:space="preserve"> en el Grupo de Compensación correspondiente. </w:t>
      </w:r>
    </w:p>
    <w:p w14:paraId="75C15618" w14:textId="77777777" w:rsidR="007968EC" w:rsidRPr="007C5A53" w:rsidRDefault="007968EC" w:rsidP="007968EC">
      <w:pPr>
        <w:ind w:left="1026" w:hanging="142"/>
        <w:jc w:val="both"/>
        <w:rPr>
          <w:rFonts w:ascii="Arial Narrow" w:eastAsia="Calibri" w:hAnsi="Arial Narrow"/>
          <w:b/>
          <w:bCs/>
          <w:iCs/>
        </w:rPr>
      </w:pPr>
    </w:p>
    <w:p w14:paraId="1510BA74" w14:textId="77777777" w:rsidR="007968EC" w:rsidRPr="007C5A53" w:rsidRDefault="007968EC" w:rsidP="00DA7472">
      <w:pPr>
        <w:numPr>
          <w:ilvl w:val="0"/>
          <w:numId w:val="280"/>
        </w:numPr>
        <w:autoSpaceDE w:val="0"/>
        <w:autoSpaceDN w:val="0"/>
        <w:adjustRightInd w:val="0"/>
        <w:ind w:left="1593" w:hanging="425"/>
        <w:contextualSpacing/>
        <w:jc w:val="both"/>
        <w:rPr>
          <w:rFonts w:ascii="Arial Narrow" w:eastAsia="Calibri" w:hAnsi="Arial Narrow"/>
          <w:b/>
        </w:rPr>
      </w:pPr>
      <w:r w:rsidRPr="007C5A53">
        <w:rPr>
          <w:rFonts w:ascii="Arial Narrow" w:eastAsia="Calibri" w:hAnsi="Arial Narrow"/>
        </w:rPr>
        <w:t>Selección de los Contratos de Operación Repo a compensar: A partir de la matriz de orden o prioridad de compensación definida en la presente Circular, se elige la pareja de Grupos de Compensación que tengan la posibilidad de compensar posiciones de acuerdo con la correlación existente entre ellos y el signo de esta correlación.</w:t>
      </w:r>
    </w:p>
    <w:p w14:paraId="3DCDAA2A" w14:textId="77777777" w:rsidR="007968EC" w:rsidRPr="007C5A53" w:rsidRDefault="007968EC" w:rsidP="007968EC">
      <w:pPr>
        <w:autoSpaceDE w:val="0"/>
        <w:autoSpaceDN w:val="0"/>
        <w:adjustRightInd w:val="0"/>
        <w:ind w:left="1593" w:hanging="425"/>
        <w:jc w:val="both"/>
        <w:rPr>
          <w:rFonts w:ascii="Arial Narrow" w:eastAsia="Calibri" w:hAnsi="Arial Narrow"/>
          <w:b/>
        </w:rPr>
      </w:pPr>
    </w:p>
    <w:p w14:paraId="1605E5AD" w14:textId="77777777" w:rsidR="007968EC" w:rsidRPr="007C5A53" w:rsidRDefault="007968EC" w:rsidP="00DA7472">
      <w:pPr>
        <w:numPr>
          <w:ilvl w:val="0"/>
          <w:numId w:val="280"/>
        </w:numPr>
        <w:autoSpaceDE w:val="0"/>
        <w:autoSpaceDN w:val="0"/>
        <w:adjustRightInd w:val="0"/>
        <w:ind w:left="1593" w:hanging="425"/>
        <w:contextualSpacing/>
        <w:jc w:val="both"/>
        <w:rPr>
          <w:rFonts w:ascii="Arial Narrow" w:eastAsia="Calibri" w:hAnsi="Arial Narrow"/>
          <w:b/>
        </w:rPr>
      </w:pPr>
      <w:r w:rsidRPr="007C5A53">
        <w:rPr>
          <w:rFonts w:ascii="Arial Narrow" w:eastAsia="Calibri" w:hAnsi="Arial Narrow"/>
        </w:rPr>
        <w:t>Cálculo del número de spreads para los Contratos de Operaciones Repo a compensar: Se determinará a partir de la siguiente formula:</w:t>
      </w:r>
    </w:p>
    <w:p w14:paraId="7B48DE35" w14:textId="77777777" w:rsidR="007968EC" w:rsidRPr="007C5A53" w:rsidRDefault="007968EC" w:rsidP="007968EC">
      <w:pPr>
        <w:autoSpaceDE w:val="0"/>
        <w:autoSpaceDN w:val="0"/>
        <w:adjustRightInd w:val="0"/>
        <w:ind w:left="1593" w:hanging="425"/>
        <w:contextualSpacing/>
        <w:jc w:val="both"/>
        <w:rPr>
          <w:rFonts w:ascii="Arial Narrow" w:eastAsia="Calibri" w:hAnsi="Arial Narrow"/>
          <w:b/>
        </w:rPr>
      </w:pPr>
    </w:p>
    <w:p w14:paraId="35819895" w14:textId="77777777" w:rsidR="007968EC" w:rsidRPr="007C5A53" w:rsidRDefault="007968EC" w:rsidP="007968EC">
      <w:pPr>
        <w:autoSpaceDE w:val="0"/>
        <w:autoSpaceDN w:val="0"/>
        <w:adjustRightInd w:val="0"/>
        <w:ind w:left="1593" w:hanging="425"/>
        <w:contextualSpacing/>
        <w:jc w:val="both"/>
        <w:rPr>
          <w:rFonts w:ascii="Arial Narrow" w:eastAsia="Calibri" w:hAnsi="Arial Narrow"/>
          <w:b/>
          <w:sz w:val="20"/>
        </w:rPr>
      </w:pPr>
      <m:oMathPara>
        <m:oMath>
          <m:r>
            <m:rPr>
              <m:sty m:val="bi"/>
            </m:rPr>
            <w:rPr>
              <w:rFonts w:ascii="Cambria Math" w:eastAsia="Calibri" w:hAnsi="Cambria Math"/>
              <w:sz w:val="20"/>
            </w:rPr>
            <m:t>N</m:t>
          </m:r>
          <m:r>
            <m:rPr>
              <m:sty m:val="bi"/>
            </m:rPr>
            <w:rPr>
              <w:rFonts w:ascii="Cambria Math" w:eastAsia="Calibri" w:hAnsi="Cambria Math" w:hint="eastAsia"/>
              <w:sz w:val="20"/>
            </w:rPr>
            <m:t>ú</m:t>
          </m:r>
          <m:r>
            <m:rPr>
              <m:sty m:val="bi"/>
            </m:rPr>
            <w:rPr>
              <w:rFonts w:ascii="Cambria Math" w:eastAsia="Calibri" w:hAnsi="Cambria Math"/>
              <w:sz w:val="20"/>
            </w:rPr>
            <m:t>mero de Spread a utilizar=M</m:t>
          </m:r>
          <m:r>
            <m:rPr>
              <m:sty m:val="bi"/>
            </m:rPr>
            <w:rPr>
              <w:rFonts w:ascii="Cambria Math" w:eastAsia="Calibri" w:hAnsi="Cambria Math" w:hint="eastAsia"/>
              <w:sz w:val="20"/>
            </w:rPr>
            <m:t>í</m:t>
          </m:r>
          <m:r>
            <m:rPr>
              <m:sty m:val="bi"/>
            </m:rPr>
            <w:rPr>
              <w:rFonts w:ascii="Cambria Math" w:eastAsia="Calibri" w:hAnsi="Cambria Math"/>
              <w:sz w:val="20"/>
            </w:rPr>
            <m:t>n. Valor Absoluto</m:t>
          </m:r>
          <m:d>
            <m:dPr>
              <m:ctrlPr>
                <w:rPr>
                  <w:rFonts w:ascii="Cambria Math" w:eastAsia="Calibri" w:hAnsi="Cambria Math"/>
                  <w:i/>
                  <w:sz w:val="20"/>
                </w:rPr>
              </m:ctrlPr>
            </m:dPr>
            <m:e>
              <m:f>
                <m:fPr>
                  <m:ctrlPr>
                    <w:rPr>
                      <w:rFonts w:ascii="Cambria Math" w:eastAsia="Calibri" w:hAnsi="Cambria Math"/>
                      <w:i/>
                      <w:sz w:val="20"/>
                    </w:rPr>
                  </m:ctrlPr>
                </m:fPr>
                <m:num>
                  <m:sSub>
                    <m:sSubPr>
                      <m:ctrlPr>
                        <w:rPr>
                          <w:rFonts w:ascii="Cambria Math" w:eastAsia="Calibri" w:hAnsi="Cambria Math"/>
                          <w:i/>
                          <w:sz w:val="20"/>
                        </w:rPr>
                      </m:ctrlPr>
                    </m:sSubPr>
                    <m:e>
                      <m:r>
                        <m:rPr>
                          <m:sty m:val="bi"/>
                        </m:rPr>
                        <w:rPr>
                          <w:rFonts w:ascii="Cambria Math" w:eastAsia="Calibri" w:hAnsi="Cambria Math"/>
                          <w:sz w:val="20"/>
                        </w:rPr>
                        <m:t>Posici</m:t>
                      </m:r>
                      <m:r>
                        <m:rPr>
                          <m:sty m:val="bi"/>
                        </m:rPr>
                        <w:rPr>
                          <w:rFonts w:ascii="Cambria Math" w:eastAsia="Calibri" w:hAnsi="Cambria Math" w:hint="eastAsia"/>
                          <w:sz w:val="20"/>
                        </w:rPr>
                        <m:t>ó</m:t>
                      </m:r>
                      <m:r>
                        <m:rPr>
                          <m:sty m:val="bi"/>
                        </m:rPr>
                        <w:rPr>
                          <w:rFonts w:ascii="Cambria Math" w:eastAsia="Calibri" w:hAnsi="Cambria Math"/>
                          <w:sz w:val="20"/>
                        </w:rPr>
                        <m:t xml:space="preserve">n </m:t>
                      </m:r>
                    </m:e>
                    <m:sub>
                      <m:r>
                        <m:rPr>
                          <m:sty m:val="bi"/>
                        </m:rPr>
                        <w:rPr>
                          <w:rFonts w:ascii="Cambria Math" w:eastAsia="Calibri" w:hAnsi="Cambria Math"/>
                          <w:sz w:val="20"/>
                        </w:rPr>
                        <m:t>Grupo A</m:t>
                      </m:r>
                    </m:sub>
                  </m:sSub>
                </m:num>
                <m:den>
                  <m:r>
                    <m:rPr>
                      <m:sty m:val="bi"/>
                    </m:rPr>
                    <w:rPr>
                      <w:rFonts w:ascii="Cambria Math" w:eastAsia="Calibri" w:hAnsi="Cambria Math"/>
                      <w:sz w:val="20"/>
                    </w:rPr>
                    <m:t xml:space="preserve">Delta para formar un spread </m:t>
                  </m:r>
                  <m:sSub>
                    <m:sSubPr>
                      <m:ctrlPr>
                        <w:rPr>
                          <w:rFonts w:ascii="Cambria Math" w:eastAsia="Calibri" w:hAnsi="Cambria Math"/>
                          <w:i/>
                          <w:sz w:val="20"/>
                        </w:rPr>
                      </m:ctrlPr>
                    </m:sSubPr>
                    <m:e>
                      <m:r>
                        <m:rPr>
                          <m:sty m:val="bi"/>
                        </m:rPr>
                        <w:rPr>
                          <w:rFonts w:ascii="Cambria Math" w:eastAsia="Calibri" w:hAnsi="Cambria Math"/>
                          <w:sz w:val="20"/>
                        </w:rPr>
                        <m:t>Grupo</m:t>
                      </m:r>
                    </m:e>
                    <m:sub>
                      <m:r>
                        <m:rPr>
                          <m:sty m:val="bi"/>
                        </m:rPr>
                        <w:rPr>
                          <w:rFonts w:ascii="Cambria Math" w:eastAsia="Calibri" w:hAnsi="Cambria Math"/>
                          <w:sz w:val="20"/>
                        </w:rPr>
                        <m:t>A</m:t>
                      </m:r>
                    </m:sub>
                  </m:sSub>
                </m:den>
              </m:f>
              <m:r>
                <m:rPr>
                  <m:sty m:val="bi"/>
                </m:rPr>
                <w:rPr>
                  <w:rFonts w:ascii="Cambria Math" w:eastAsia="Calibri" w:hAnsi="Cambria Math"/>
                  <w:sz w:val="20"/>
                </w:rPr>
                <m:t xml:space="preserve"> ;</m:t>
              </m:r>
              <m:f>
                <m:fPr>
                  <m:ctrlPr>
                    <w:rPr>
                      <w:rFonts w:ascii="Cambria Math" w:eastAsia="Calibri" w:hAnsi="Cambria Math"/>
                      <w:i/>
                      <w:sz w:val="20"/>
                    </w:rPr>
                  </m:ctrlPr>
                </m:fPr>
                <m:num>
                  <m:sSub>
                    <m:sSubPr>
                      <m:ctrlPr>
                        <w:rPr>
                          <w:rFonts w:ascii="Cambria Math" w:eastAsia="Calibri" w:hAnsi="Cambria Math"/>
                          <w:i/>
                          <w:sz w:val="20"/>
                        </w:rPr>
                      </m:ctrlPr>
                    </m:sSubPr>
                    <m:e>
                      <m:r>
                        <m:rPr>
                          <m:sty m:val="bi"/>
                        </m:rPr>
                        <w:rPr>
                          <w:rFonts w:ascii="Cambria Math" w:eastAsia="Calibri" w:hAnsi="Cambria Math"/>
                          <w:sz w:val="20"/>
                        </w:rPr>
                        <m:t>Posici</m:t>
                      </m:r>
                      <m:r>
                        <m:rPr>
                          <m:sty m:val="bi"/>
                        </m:rPr>
                        <w:rPr>
                          <w:rFonts w:ascii="Cambria Math" w:eastAsia="Calibri" w:hAnsi="Cambria Math" w:hint="eastAsia"/>
                          <w:sz w:val="20"/>
                        </w:rPr>
                        <m:t>ó</m:t>
                      </m:r>
                      <m:r>
                        <m:rPr>
                          <m:sty m:val="bi"/>
                        </m:rPr>
                        <w:rPr>
                          <w:rFonts w:ascii="Cambria Math" w:eastAsia="Calibri" w:hAnsi="Cambria Math"/>
                          <w:sz w:val="20"/>
                        </w:rPr>
                        <m:t xml:space="preserve">n </m:t>
                      </m:r>
                    </m:e>
                    <m:sub>
                      <m:r>
                        <m:rPr>
                          <m:sty m:val="bi"/>
                        </m:rPr>
                        <w:rPr>
                          <w:rFonts w:ascii="Cambria Math" w:eastAsia="Calibri" w:hAnsi="Cambria Math"/>
                          <w:sz w:val="20"/>
                        </w:rPr>
                        <m:t>Grupo B</m:t>
                      </m:r>
                    </m:sub>
                  </m:sSub>
                </m:num>
                <m:den>
                  <m:r>
                    <m:rPr>
                      <m:sty m:val="bi"/>
                    </m:rPr>
                    <w:rPr>
                      <w:rFonts w:ascii="Cambria Math" w:eastAsia="Calibri" w:hAnsi="Cambria Math"/>
                      <w:sz w:val="20"/>
                    </w:rPr>
                    <m:t xml:space="preserve">Delta para formar </m:t>
                  </m:r>
                  <m:r>
                    <m:rPr>
                      <m:sty m:val="bi"/>
                    </m:rPr>
                    <w:rPr>
                      <w:rFonts w:ascii="Cambria Math" w:eastAsia="Calibri" w:hAnsi="Cambria Math" w:cs="Cambria Math"/>
                      <w:sz w:val="20"/>
                    </w:rPr>
                    <m:t>u</m:t>
                  </m:r>
                  <m:r>
                    <m:rPr>
                      <m:sty m:val="bi"/>
                    </m:rPr>
                    <w:rPr>
                      <w:rFonts w:ascii="Cambria Math" w:eastAsia="Calibri" w:hAnsi="Cambria Math"/>
                      <w:sz w:val="20"/>
                    </w:rPr>
                    <m:t xml:space="preserve">n spread </m:t>
                  </m:r>
                  <m:sSub>
                    <m:sSubPr>
                      <m:ctrlPr>
                        <w:rPr>
                          <w:rFonts w:ascii="Cambria Math" w:eastAsia="Calibri" w:hAnsi="Cambria Math"/>
                          <w:i/>
                          <w:sz w:val="20"/>
                        </w:rPr>
                      </m:ctrlPr>
                    </m:sSubPr>
                    <m:e>
                      <m:r>
                        <m:rPr>
                          <m:sty m:val="bi"/>
                        </m:rPr>
                        <w:rPr>
                          <w:rFonts w:ascii="Cambria Math" w:eastAsia="Calibri" w:hAnsi="Cambria Math"/>
                          <w:sz w:val="20"/>
                        </w:rPr>
                        <m:t>Grupo</m:t>
                      </m:r>
                    </m:e>
                    <m:sub>
                      <m:r>
                        <m:rPr>
                          <m:sty m:val="bi"/>
                        </m:rPr>
                        <w:rPr>
                          <w:rFonts w:ascii="Cambria Math" w:eastAsia="Calibri" w:hAnsi="Cambria Math"/>
                          <w:sz w:val="20"/>
                        </w:rPr>
                        <m:t>B</m:t>
                      </m:r>
                    </m:sub>
                  </m:sSub>
                </m:den>
              </m:f>
            </m:e>
          </m:d>
          <m:r>
            <m:rPr>
              <m:sty m:val="bi"/>
            </m:rPr>
            <w:rPr>
              <w:rFonts w:ascii="Cambria Math" w:eastAsia="Calibri" w:hAnsi="Cambria Math"/>
              <w:sz w:val="20"/>
            </w:rPr>
            <m:t>*Delta para Formar un Spread del Grupo</m:t>
          </m:r>
        </m:oMath>
      </m:oMathPara>
    </w:p>
    <w:p w14:paraId="47C75363" w14:textId="77777777" w:rsidR="007968EC" w:rsidRPr="007C5A53" w:rsidRDefault="007968EC" w:rsidP="007968EC">
      <w:pPr>
        <w:autoSpaceDE w:val="0"/>
        <w:autoSpaceDN w:val="0"/>
        <w:adjustRightInd w:val="0"/>
        <w:ind w:left="1593" w:hanging="425"/>
        <w:contextualSpacing/>
        <w:jc w:val="both"/>
        <w:rPr>
          <w:rFonts w:ascii="Arial Narrow" w:eastAsia="Calibri" w:hAnsi="Arial Narrow"/>
          <w:b/>
        </w:rPr>
      </w:pPr>
    </w:p>
    <w:p w14:paraId="44D6CCD7" w14:textId="77777777" w:rsidR="007968EC" w:rsidRPr="007C5A53" w:rsidRDefault="007968EC" w:rsidP="007968EC">
      <w:pPr>
        <w:autoSpaceDE w:val="0"/>
        <w:autoSpaceDN w:val="0"/>
        <w:adjustRightInd w:val="0"/>
        <w:ind w:left="1173"/>
        <w:contextualSpacing/>
        <w:jc w:val="both"/>
        <w:rPr>
          <w:rFonts w:ascii="Arial Narrow" w:eastAsia="Calibri" w:hAnsi="Arial Narrow"/>
          <w:b/>
        </w:rPr>
      </w:pPr>
      <w:r w:rsidRPr="007C5A53">
        <w:rPr>
          <w:rFonts w:ascii="Arial Narrow" w:eastAsia="Calibri" w:hAnsi="Arial Narrow"/>
          <w:b/>
        </w:rPr>
        <w:t>Parágrafo.</w:t>
      </w:r>
      <w:r w:rsidRPr="007C5A53">
        <w:rPr>
          <w:rFonts w:ascii="Arial Narrow" w:eastAsia="Calibri" w:hAnsi="Arial Narrow"/>
        </w:rPr>
        <w:t xml:space="preserve"> El Delta para formar un spread se encuentra definido en el artículo 4.5.3.1. de la presente Circular. </w:t>
      </w:r>
    </w:p>
    <w:p w14:paraId="7F7D1FB4" w14:textId="77777777" w:rsidR="007968EC" w:rsidRPr="007C5A53" w:rsidRDefault="007968EC" w:rsidP="007968EC">
      <w:pPr>
        <w:autoSpaceDE w:val="0"/>
        <w:autoSpaceDN w:val="0"/>
        <w:adjustRightInd w:val="0"/>
        <w:ind w:left="1593" w:hanging="425"/>
        <w:contextualSpacing/>
        <w:jc w:val="both"/>
        <w:rPr>
          <w:rFonts w:ascii="Arial Narrow" w:eastAsia="Calibri" w:hAnsi="Arial Narrow"/>
          <w:b/>
        </w:rPr>
      </w:pPr>
    </w:p>
    <w:p w14:paraId="7E364728" w14:textId="77777777" w:rsidR="007968EC" w:rsidRPr="007C5A53" w:rsidRDefault="007968EC" w:rsidP="00DA7472">
      <w:pPr>
        <w:numPr>
          <w:ilvl w:val="0"/>
          <w:numId w:val="280"/>
        </w:numPr>
        <w:autoSpaceDE w:val="0"/>
        <w:autoSpaceDN w:val="0"/>
        <w:adjustRightInd w:val="0"/>
        <w:ind w:left="1593" w:hanging="425"/>
        <w:contextualSpacing/>
        <w:jc w:val="both"/>
        <w:rPr>
          <w:rFonts w:ascii="Arial Narrow" w:eastAsia="Calibri" w:hAnsi="Arial Narrow"/>
          <w:b/>
        </w:rPr>
      </w:pPr>
      <w:r w:rsidRPr="007C5A53">
        <w:rPr>
          <w:rFonts w:ascii="Arial Narrow" w:eastAsia="Calibri" w:hAnsi="Arial Narrow"/>
        </w:rPr>
        <w:t xml:space="preserve">Obtención de la posición consumida y de la posición no consumida en spreads: </w:t>
      </w:r>
    </w:p>
    <w:p w14:paraId="0354B2A9" w14:textId="77777777" w:rsidR="007968EC" w:rsidRPr="007C5A53" w:rsidRDefault="007968EC" w:rsidP="007968EC">
      <w:pPr>
        <w:ind w:left="1593" w:hanging="425"/>
        <w:jc w:val="both"/>
        <w:rPr>
          <w:rFonts w:ascii="Arial Narrow" w:eastAsia="Calibri" w:hAnsi="Arial Narrow"/>
          <w:b/>
          <w:bCs/>
          <w:iCs/>
        </w:rPr>
      </w:pPr>
    </w:p>
    <w:p w14:paraId="6356AAE0" w14:textId="77777777" w:rsidR="007968EC" w:rsidRPr="007C5A53" w:rsidRDefault="007968EC" w:rsidP="00DA7472">
      <w:pPr>
        <w:numPr>
          <w:ilvl w:val="0"/>
          <w:numId w:val="138"/>
        </w:numPr>
        <w:ind w:left="1593" w:hanging="425"/>
        <w:contextualSpacing/>
        <w:jc w:val="both"/>
        <w:rPr>
          <w:rFonts w:ascii="Arial Narrow" w:eastAsia="Calibri" w:hAnsi="Arial Narrow"/>
          <w:b/>
          <w:bCs/>
          <w:iCs/>
        </w:rPr>
      </w:pPr>
      <w:r w:rsidRPr="007C5A53">
        <w:rPr>
          <w:rFonts w:ascii="Arial Narrow" w:eastAsia="Calibri" w:hAnsi="Arial Narrow"/>
          <w:bCs/>
          <w:iCs/>
        </w:rPr>
        <w:t>Si la posición es de compra.</w:t>
      </w:r>
    </w:p>
    <w:p w14:paraId="0EE63709" w14:textId="77777777" w:rsidR="007968EC" w:rsidRPr="007C5A53" w:rsidRDefault="007968EC" w:rsidP="007968EC">
      <w:pPr>
        <w:ind w:left="1593" w:hanging="425"/>
        <w:contextualSpacing/>
        <w:jc w:val="both"/>
        <w:rPr>
          <w:rFonts w:ascii="Arial Narrow" w:eastAsia="Calibri" w:hAnsi="Arial Narrow"/>
          <w:b/>
          <w:bCs/>
          <w:iCs/>
        </w:rPr>
      </w:pPr>
    </w:p>
    <w:p w14:paraId="30DA0EB7" w14:textId="77777777" w:rsidR="007968EC" w:rsidRPr="007C5A53" w:rsidRDefault="007968EC" w:rsidP="007968EC">
      <w:pPr>
        <w:ind w:left="1593" w:hanging="425"/>
        <w:contextualSpacing/>
        <w:jc w:val="both"/>
        <w:rPr>
          <w:rFonts w:ascii="Arial Narrow" w:eastAsia="Calibri" w:hAnsi="Arial Narrow"/>
          <w:b/>
        </w:rPr>
      </w:pPr>
      <m:oMathPara>
        <m:oMath>
          <m:r>
            <m:rPr>
              <m:sty m:val="bi"/>
            </m:rPr>
            <w:rPr>
              <w:rFonts w:ascii="Cambria Math" w:eastAsia="Calibri" w:hAnsi="Cambria Math"/>
            </w:rPr>
            <m:t>Posición no consumida en spreads=Posición neta compradora-N° Spreads</m:t>
          </m:r>
        </m:oMath>
      </m:oMathPara>
    </w:p>
    <w:p w14:paraId="38735008" w14:textId="77777777" w:rsidR="007968EC" w:rsidRPr="007C5A53" w:rsidRDefault="007968EC" w:rsidP="007968EC">
      <w:pPr>
        <w:ind w:left="1593" w:hanging="425"/>
        <w:contextualSpacing/>
        <w:jc w:val="both"/>
        <w:rPr>
          <w:rFonts w:ascii="Arial Narrow" w:eastAsia="Calibri" w:hAnsi="Arial Narrow"/>
          <w:b/>
          <w:bCs/>
          <w:iCs/>
        </w:rPr>
      </w:pPr>
    </w:p>
    <w:p w14:paraId="3AD21CAC" w14:textId="77777777" w:rsidR="007968EC" w:rsidRPr="007C5A53" w:rsidRDefault="007968EC" w:rsidP="00DA7472">
      <w:pPr>
        <w:numPr>
          <w:ilvl w:val="0"/>
          <w:numId w:val="138"/>
        </w:numPr>
        <w:autoSpaceDE w:val="0"/>
        <w:autoSpaceDN w:val="0"/>
        <w:adjustRightInd w:val="0"/>
        <w:ind w:left="1593" w:hanging="425"/>
        <w:contextualSpacing/>
        <w:jc w:val="both"/>
        <w:rPr>
          <w:rFonts w:ascii="Arial Narrow" w:eastAsia="Calibri" w:hAnsi="Arial Narrow"/>
          <w:b/>
        </w:rPr>
      </w:pPr>
      <w:r w:rsidRPr="007C5A53">
        <w:rPr>
          <w:rFonts w:ascii="Arial Narrow" w:eastAsia="Calibri" w:hAnsi="Arial Narrow"/>
        </w:rPr>
        <w:t>Si la posición es de venta.</w:t>
      </w:r>
    </w:p>
    <w:p w14:paraId="29A2BD31" w14:textId="77777777" w:rsidR="007968EC" w:rsidRPr="007C5A53" w:rsidRDefault="007968EC" w:rsidP="007968EC">
      <w:pPr>
        <w:autoSpaceDE w:val="0"/>
        <w:autoSpaceDN w:val="0"/>
        <w:adjustRightInd w:val="0"/>
        <w:ind w:left="1593" w:hanging="425"/>
        <w:contextualSpacing/>
        <w:jc w:val="both"/>
        <w:rPr>
          <w:rFonts w:ascii="Arial Narrow" w:eastAsia="Calibri" w:hAnsi="Arial Narrow"/>
          <w:b/>
        </w:rPr>
      </w:pPr>
    </w:p>
    <w:p w14:paraId="6340B7F2" w14:textId="77777777" w:rsidR="007968EC" w:rsidRPr="007C5A53" w:rsidRDefault="007968EC" w:rsidP="007968EC">
      <w:pPr>
        <w:autoSpaceDE w:val="0"/>
        <w:autoSpaceDN w:val="0"/>
        <w:adjustRightInd w:val="0"/>
        <w:ind w:left="1593" w:hanging="425"/>
        <w:contextualSpacing/>
        <w:jc w:val="both"/>
        <w:rPr>
          <w:rFonts w:ascii="Arial Narrow" w:eastAsia="Calibri" w:hAnsi="Arial Narrow"/>
          <w:b/>
          <w:bCs/>
          <w:iCs/>
        </w:rPr>
      </w:pPr>
      <m:oMathPara>
        <m:oMath>
          <m:r>
            <m:rPr>
              <m:sty m:val="bi"/>
            </m:rPr>
            <w:rPr>
              <w:rFonts w:ascii="Cambria Math" w:eastAsia="Calibri" w:hAnsi="Cambria Math"/>
            </w:rPr>
            <m:t>Posición no con</m:t>
          </m:r>
          <m:r>
            <m:rPr>
              <m:sty m:val="bi"/>
            </m:rPr>
            <w:rPr>
              <w:rFonts w:ascii="Cambria Math" w:eastAsia="Calibri" w:hAnsi="Cambria Math" w:cs="Cambria Math"/>
            </w:rPr>
            <m:t>s</m:t>
          </m:r>
          <m:r>
            <m:rPr>
              <m:sty m:val="bi"/>
            </m:rPr>
            <w:rPr>
              <w:rFonts w:ascii="Cambria Math" w:eastAsia="Calibri" w:hAnsi="Cambria Math"/>
            </w:rPr>
            <m:t>umida en spreads=Posición neta vendedora+N° Spreads</m:t>
          </m:r>
        </m:oMath>
      </m:oMathPara>
    </w:p>
    <w:p w14:paraId="44DDB321" w14:textId="77777777" w:rsidR="007968EC" w:rsidRPr="007C5A53" w:rsidRDefault="007968EC" w:rsidP="007968EC">
      <w:pPr>
        <w:autoSpaceDE w:val="0"/>
        <w:autoSpaceDN w:val="0"/>
        <w:adjustRightInd w:val="0"/>
        <w:ind w:left="1593" w:hanging="425"/>
        <w:jc w:val="both"/>
        <w:rPr>
          <w:rFonts w:ascii="Arial Narrow" w:eastAsia="Calibri" w:hAnsi="Arial Narrow"/>
          <w:b/>
        </w:rPr>
      </w:pPr>
    </w:p>
    <w:p w14:paraId="082DC844" w14:textId="77777777" w:rsidR="007968EC" w:rsidRPr="007C5A53" w:rsidRDefault="007968EC" w:rsidP="00DA7472">
      <w:pPr>
        <w:numPr>
          <w:ilvl w:val="0"/>
          <w:numId w:val="280"/>
        </w:numPr>
        <w:autoSpaceDE w:val="0"/>
        <w:autoSpaceDN w:val="0"/>
        <w:adjustRightInd w:val="0"/>
        <w:ind w:left="1593" w:hanging="425"/>
        <w:contextualSpacing/>
        <w:jc w:val="both"/>
        <w:rPr>
          <w:rFonts w:ascii="Arial Narrow" w:eastAsia="Calibri" w:hAnsi="Arial Narrow"/>
          <w:b/>
        </w:rPr>
      </w:pPr>
      <w:r w:rsidRPr="007C5A53">
        <w:rPr>
          <w:rFonts w:ascii="Arial Narrow" w:eastAsia="Calibri" w:hAnsi="Arial Narrow"/>
        </w:rPr>
        <w:t>Repetición del cálculo de los Grupos de Compensación a compensar hasta que no existan spreads: Este proceso se repite hasta que no exista ninguna combinación de Grupos de Compensación susceptibles de ser compensados.</w:t>
      </w:r>
    </w:p>
    <w:p w14:paraId="5F6892EC" w14:textId="77777777" w:rsidR="007968EC" w:rsidRPr="007C5A53" w:rsidRDefault="007968EC" w:rsidP="007968EC">
      <w:pPr>
        <w:autoSpaceDE w:val="0"/>
        <w:autoSpaceDN w:val="0"/>
        <w:adjustRightInd w:val="0"/>
        <w:ind w:left="1593" w:hanging="425"/>
        <w:jc w:val="both"/>
        <w:rPr>
          <w:rFonts w:ascii="Arial Narrow" w:eastAsia="Calibri" w:hAnsi="Arial Narrow"/>
          <w:b/>
        </w:rPr>
      </w:pPr>
    </w:p>
    <w:p w14:paraId="49D946BE" w14:textId="77777777" w:rsidR="007968EC" w:rsidRPr="007C5A53" w:rsidRDefault="007968EC" w:rsidP="00DA7472">
      <w:pPr>
        <w:numPr>
          <w:ilvl w:val="0"/>
          <w:numId w:val="280"/>
        </w:numPr>
        <w:autoSpaceDE w:val="0"/>
        <w:autoSpaceDN w:val="0"/>
        <w:adjustRightInd w:val="0"/>
        <w:ind w:left="1593" w:hanging="425"/>
        <w:contextualSpacing/>
        <w:jc w:val="both"/>
        <w:rPr>
          <w:rFonts w:ascii="Arial Narrow" w:eastAsia="Calibri" w:hAnsi="Arial Narrow"/>
          <w:b/>
        </w:rPr>
      </w:pPr>
      <w:r w:rsidRPr="007C5A53">
        <w:rPr>
          <w:rFonts w:ascii="Arial Narrow" w:eastAsia="Calibri" w:hAnsi="Arial Narrow"/>
        </w:rPr>
        <w:t>Cálculo del descuento por spreads obtenido en las compensaciones: Po</w:t>
      </w:r>
      <w:r w:rsidRPr="007C5A53">
        <w:rPr>
          <w:rFonts w:ascii="Arial Narrow" w:eastAsia="Calibri" w:hAnsi="Arial Narrow"/>
          <w:bCs/>
          <w:iCs/>
        </w:rPr>
        <w:t xml:space="preserve">r cada número de spreads, se calcula el importe a descontar de la Garantía de Grupo, en función del parámetro crédito sobre Garantías y la Fluctuación definida en el </w:t>
      </w:r>
      <w:r w:rsidRPr="007C5A53">
        <w:rPr>
          <w:rFonts w:ascii="Arial Narrow" w:eastAsia="Calibri" w:hAnsi="Arial Narrow"/>
        </w:rPr>
        <w:t xml:space="preserve">artículo 4.5.3.1. </w:t>
      </w:r>
      <w:r w:rsidRPr="007C5A53">
        <w:rPr>
          <w:rFonts w:ascii="Arial Narrow" w:eastAsia="Calibri" w:hAnsi="Arial Narrow"/>
          <w:bCs/>
          <w:iCs/>
        </w:rPr>
        <w:t>de la presente Circular.</w:t>
      </w:r>
    </w:p>
    <w:p w14:paraId="2F7BCD27" w14:textId="77777777" w:rsidR="007968EC" w:rsidRPr="007C5A53" w:rsidRDefault="007968EC" w:rsidP="007968EC">
      <w:pPr>
        <w:ind w:left="1593" w:hanging="425"/>
        <w:jc w:val="both"/>
        <w:rPr>
          <w:rFonts w:ascii="Arial Narrow" w:eastAsia="Calibri" w:hAnsi="Arial Narrow"/>
          <w:b/>
          <w:bCs/>
          <w:iCs/>
        </w:rPr>
      </w:pPr>
    </w:p>
    <w:p w14:paraId="3B7A1AC0" w14:textId="77777777" w:rsidR="007968EC" w:rsidRPr="007C5A53" w:rsidRDefault="007968EC" w:rsidP="007968EC">
      <w:pPr>
        <w:ind w:left="1173"/>
        <w:jc w:val="both"/>
        <w:rPr>
          <w:rFonts w:ascii="Arial Narrow" w:eastAsia="Calibri" w:hAnsi="Arial Narrow"/>
          <w:b/>
          <w:bCs/>
          <w:iCs/>
        </w:rPr>
      </w:pPr>
      <w:r w:rsidRPr="007C5A53">
        <w:rPr>
          <w:rFonts w:ascii="Arial Narrow" w:eastAsia="Calibri" w:hAnsi="Arial Narrow"/>
          <w:bCs/>
          <w:iCs/>
        </w:rPr>
        <w:t xml:space="preserve">El descuento por </w:t>
      </w:r>
      <w:proofErr w:type="gramStart"/>
      <w:r w:rsidRPr="007C5A53">
        <w:rPr>
          <w:rFonts w:ascii="Arial Narrow" w:eastAsia="Calibri" w:hAnsi="Arial Narrow"/>
          <w:bCs/>
          <w:iCs/>
        </w:rPr>
        <w:t>spread,</w:t>
      </w:r>
      <w:proofErr w:type="gramEnd"/>
      <w:r w:rsidRPr="007C5A53">
        <w:rPr>
          <w:rFonts w:ascii="Arial Narrow" w:eastAsia="Calibri" w:hAnsi="Arial Narrow"/>
          <w:bCs/>
          <w:iCs/>
        </w:rPr>
        <w:t xml:space="preserve"> se obtendrá mediante la siguiente fórmula:</w:t>
      </w:r>
    </w:p>
    <w:p w14:paraId="5660F976" w14:textId="77777777" w:rsidR="007968EC" w:rsidRPr="007C5A53" w:rsidRDefault="007968EC" w:rsidP="007968EC">
      <w:pPr>
        <w:ind w:left="1593" w:hanging="425"/>
        <w:jc w:val="both"/>
        <w:rPr>
          <w:rFonts w:ascii="Arial Narrow" w:eastAsia="Calibri" w:hAnsi="Arial Narrow"/>
          <w:b/>
          <w:bCs/>
          <w:iCs/>
        </w:rPr>
      </w:pPr>
    </w:p>
    <w:p w14:paraId="614F092B" w14:textId="77777777" w:rsidR="007968EC" w:rsidRPr="007C5A53" w:rsidRDefault="007968EC" w:rsidP="007968EC">
      <w:pPr>
        <w:ind w:left="1593" w:hanging="425"/>
        <w:jc w:val="both"/>
        <w:rPr>
          <w:rFonts w:ascii="Arial Narrow" w:eastAsia="Calibri" w:hAnsi="Arial Narrow"/>
          <w:b/>
          <w:bCs/>
          <w:iCs/>
        </w:rPr>
      </w:pPr>
      <m:oMathPara>
        <m:oMath>
          <m:r>
            <m:rPr>
              <m:sty m:val="bi"/>
            </m:rPr>
            <w:rPr>
              <w:rFonts w:ascii="Cambria Math" w:eastAsia="Calibri" w:hAnsi="Cambria Math"/>
            </w:rPr>
            <m:t>Descuento por spreads=N° de Spreads*Cr</m:t>
          </m:r>
          <m:r>
            <m:rPr>
              <m:sty m:val="bi"/>
            </m:rPr>
            <w:rPr>
              <w:rFonts w:ascii="Cambria Math" w:eastAsia="Calibri" w:hAnsi="Cambria Math" w:hint="eastAsia"/>
            </w:rPr>
            <m:t>é</m:t>
          </m:r>
          <m:r>
            <m:rPr>
              <m:sty m:val="bi"/>
            </m:rPr>
            <w:rPr>
              <w:rFonts w:ascii="Cambria Math" w:eastAsia="Calibri" w:hAnsi="Cambria Math"/>
            </w:rPr>
            <m:t>dito sobre garant</m:t>
          </m:r>
          <m:r>
            <m:rPr>
              <m:sty m:val="bi"/>
            </m:rPr>
            <w:rPr>
              <w:rFonts w:ascii="Cambria Math" w:eastAsia="Calibri" w:hAnsi="Cambria Math" w:hint="eastAsia"/>
            </w:rPr>
            <m:t>í</m:t>
          </m:r>
          <m:r>
            <m:rPr>
              <m:sty m:val="bi"/>
            </m:rPr>
            <w:rPr>
              <w:rFonts w:ascii="Cambria Math" w:eastAsia="Calibri" w:hAnsi="Cambria Math"/>
            </w:rPr>
            <m:t>as*Fluctuaci</m:t>
          </m:r>
          <m:r>
            <m:rPr>
              <m:sty m:val="bi"/>
            </m:rPr>
            <w:rPr>
              <w:rFonts w:ascii="Cambria Math" w:eastAsia="Calibri" w:hAnsi="Cambria Math" w:hint="eastAsia"/>
            </w:rPr>
            <m:t>ó</m:t>
          </m:r>
          <m:r>
            <m:rPr>
              <m:sty m:val="bi"/>
            </m:rPr>
            <w:rPr>
              <w:rFonts w:ascii="Cambria Math" w:eastAsia="Calibri" w:hAnsi="Cambria Math"/>
            </w:rPr>
            <m:t xml:space="preserve">n </m:t>
          </m:r>
        </m:oMath>
      </m:oMathPara>
    </w:p>
    <w:p w14:paraId="301FA6A4" w14:textId="77777777" w:rsidR="007968EC" w:rsidRPr="007C5A53" w:rsidRDefault="007968EC" w:rsidP="007968EC">
      <w:pPr>
        <w:autoSpaceDE w:val="0"/>
        <w:autoSpaceDN w:val="0"/>
        <w:adjustRightInd w:val="0"/>
        <w:ind w:left="1593" w:hanging="425"/>
        <w:jc w:val="both"/>
        <w:rPr>
          <w:rFonts w:ascii="Arial Narrow" w:eastAsia="Calibri" w:hAnsi="Arial Narrow"/>
          <w:b/>
        </w:rPr>
      </w:pPr>
    </w:p>
    <w:p w14:paraId="4948AA42" w14:textId="77777777" w:rsidR="007968EC" w:rsidRPr="007C5A53" w:rsidRDefault="007968EC" w:rsidP="00DA7472">
      <w:pPr>
        <w:numPr>
          <w:ilvl w:val="0"/>
          <w:numId w:val="280"/>
        </w:numPr>
        <w:autoSpaceDE w:val="0"/>
        <w:autoSpaceDN w:val="0"/>
        <w:adjustRightInd w:val="0"/>
        <w:ind w:left="1593" w:hanging="425"/>
        <w:contextualSpacing/>
        <w:jc w:val="both"/>
        <w:rPr>
          <w:rFonts w:ascii="Arial Narrow" w:eastAsia="Calibri" w:hAnsi="Arial Narrow"/>
          <w:b/>
          <w:i/>
        </w:rPr>
      </w:pPr>
      <w:r w:rsidRPr="007C5A53">
        <w:rPr>
          <w:rFonts w:ascii="Arial Narrow" w:eastAsia="Calibri" w:hAnsi="Arial Narrow"/>
        </w:rPr>
        <w:t>Cálculo de la “</w:t>
      </w:r>
      <w:r w:rsidRPr="007C5A53">
        <w:rPr>
          <w:rFonts w:ascii="Arial Narrow" w:eastAsia="Calibri" w:hAnsi="Arial Narrow"/>
          <w:i/>
        </w:rPr>
        <w:t>Garantía Final”</w:t>
      </w:r>
      <w:r w:rsidRPr="007C5A53">
        <w:rPr>
          <w:rFonts w:ascii="Arial Narrow" w:eastAsia="Calibri" w:hAnsi="Arial Narrow"/>
        </w:rPr>
        <w:t xml:space="preserve"> por cada Grupo de Compensación: Los descuentos obtenidos se restan de la Garantía de Grupo, obteniéndose una “</w:t>
      </w:r>
      <w:r w:rsidRPr="007C5A53">
        <w:rPr>
          <w:rFonts w:ascii="Arial Narrow" w:eastAsia="Calibri" w:hAnsi="Arial Narrow"/>
          <w:i/>
        </w:rPr>
        <w:t>Garantía Final” por cada Grupo de Compensación.</w:t>
      </w:r>
    </w:p>
    <w:p w14:paraId="03B8872A" w14:textId="77777777" w:rsidR="007968EC" w:rsidRPr="007C5A53" w:rsidRDefault="007968EC" w:rsidP="007968EC">
      <w:pPr>
        <w:autoSpaceDE w:val="0"/>
        <w:autoSpaceDN w:val="0"/>
        <w:adjustRightInd w:val="0"/>
        <w:ind w:left="720"/>
        <w:contextualSpacing/>
        <w:jc w:val="both"/>
        <w:rPr>
          <w:rFonts w:ascii="Arial Narrow" w:eastAsia="Calibri" w:hAnsi="Arial Narrow"/>
          <w:b/>
        </w:rPr>
      </w:pPr>
    </w:p>
    <w:p w14:paraId="5925F9EC" w14:textId="77777777" w:rsidR="007968EC" w:rsidRPr="007C5A53" w:rsidRDefault="007968EC" w:rsidP="00DA7472">
      <w:pPr>
        <w:widowControl w:val="0"/>
        <w:numPr>
          <w:ilvl w:val="0"/>
          <w:numId w:val="277"/>
        </w:numPr>
        <w:autoSpaceDE w:val="0"/>
        <w:autoSpaceDN w:val="0"/>
        <w:adjustRightInd w:val="0"/>
        <w:contextualSpacing/>
        <w:jc w:val="both"/>
        <w:rPr>
          <w:rFonts w:ascii="Arial Narrow" w:eastAsia="Calibri" w:hAnsi="Arial Narrow"/>
          <w:b/>
        </w:rPr>
      </w:pPr>
      <w:r w:rsidRPr="007C5A53">
        <w:rPr>
          <w:rFonts w:ascii="Arial Narrow" w:eastAsia="Calibri" w:hAnsi="Arial Narrow" w:cs="Arial Narrow"/>
          <w:b/>
        </w:rPr>
        <w:t>Ajuste diario de Garantías para Operaciones Repo:</w:t>
      </w:r>
      <w:r w:rsidRPr="007C5A53" w:rsidDel="00FD1532">
        <w:rPr>
          <w:rFonts w:ascii="Arial Narrow" w:eastAsia="Calibri" w:hAnsi="Arial Narrow"/>
          <w:b/>
        </w:rPr>
        <w:t xml:space="preserve"> </w:t>
      </w:r>
    </w:p>
    <w:p w14:paraId="20F1BE42" w14:textId="77777777" w:rsidR="007968EC" w:rsidRPr="007C5A53" w:rsidRDefault="007968EC" w:rsidP="007968EC">
      <w:pPr>
        <w:autoSpaceDE w:val="0"/>
        <w:autoSpaceDN w:val="0"/>
        <w:adjustRightInd w:val="0"/>
        <w:ind w:left="459"/>
        <w:contextualSpacing/>
        <w:jc w:val="both"/>
        <w:rPr>
          <w:rFonts w:ascii="Arial Narrow" w:eastAsia="Calibri" w:hAnsi="Arial Narrow"/>
          <w:b/>
        </w:rPr>
      </w:pPr>
    </w:p>
    <w:p w14:paraId="751CB68D" w14:textId="77777777" w:rsidR="007968EC" w:rsidRPr="007C5A53" w:rsidRDefault="007968EC" w:rsidP="007968EC">
      <w:pPr>
        <w:autoSpaceDE w:val="0"/>
        <w:autoSpaceDN w:val="0"/>
        <w:adjustRightInd w:val="0"/>
        <w:ind w:left="459"/>
        <w:contextualSpacing/>
        <w:jc w:val="both"/>
        <w:rPr>
          <w:rFonts w:ascii="Arial Narrow" w:eastAsia="Calibri" w:hAnsi="Arial Narrow"/>
          <w:b/>
        </w:rPr>
      </w:pPr>
      <w:r w:rsidRPr="007C5A53">
        <w:rPr>
          <w:rFonts w:ascii="Arial Narrow" w:eastAsia="Calibri" w:hAnsi="Arial Narrow"/>
        </w:rPr>
        <w:t>Por cada Posición Abierta en Operaciones Repo, desde la Aceptación de la Operación hasta el día hábil antes de su vencimiento, la Cámara realiza un Ajuste Diario de Garantías a valor de mercado que se calcula con la siguiente fórmula:</w:t>
      </w:r>
    </w:p>
    <w:p w14:paraId="6994317C" w14:textId="77777777" w:rsidR="007968EC" w:rsidRPr="007C5A53" w:rsidRDefault="007968EC" w:rsidP="007968EC">
      <w:pPr>
        <w:autoSpaceDE w:val="0"/>
        <w:autoSpaceDN w:val="0"/>
        <w:adjustRightInd w:val="0"/>
        <w:ind w:left="504"/>
        <w:jc w:val="both"/>
        <w:rPr>
          <w:rFonts w:ascii="Arial Narrow" w:eastAsia="Calibri" w:hAnsi="Arial Narrow"/>
          <w:b/>
        </w:rPr>
      </w:pPr>
    </w:p>
    <w:p w14:paraId="753B6265" w14:textId="77777777" w:rsidR="007968EC" w:rsidRPr="007C5A53" w:rsidRDefault="00682D97" w:rsidP="007968EC">
      <w:pPr>
        <w:autoSpaceDE w:val="0"/>
        <w:autoSpaceDN w:val="0"/>
        <w:adjustRightInd w:val="0"/>
        <w:ind w:left="504"/>
        <w:jc w:val="both"/>
        <w:rPr>
          <w:rFonts w:ascii="Arial Narrow" w:eastAsia="Calibri" w:hAnsi="Arial Narrow"/>
          <w:b/>
        </w:rPr>
      </w:pPr>
      <m:oMathPara>
        <m:oMath>
          <m:d>
            <m:dPr>
              <m:begChr m:val="["/>
              <m:endChr m:val="]"/>
              <m:ctrlPr>
                <w:rPr>
                  <w:rFonts w:ascii="Cambria Math" w:eastAsia="Calibri" w:hAnsi="Cambria Math"/>
                  <w:i/>
                </w:rPr>
              </m:ctrlPr>
            </m:dPr>
            <m:e>
              <m:r>
                <m:rPr>
                  <m:sty m:val="bi"/>
                </m:rPr>
                <w:rPr>
                  <w:rFonts w:ascii="Cambria Math" w:eastAsia="Calibri" w:hAnsi="Cambria Math"/>
                </w:rPr>
                <m:t>Valor actual efectivo-Valor de mercado posición (al cierre)</m:t>
              </m:r>
            </m:e>
          </m:d>
          <m:r>
            <m:rPr>
              <m:sty m:val="bi"/>
            </m:rPr>
            <w:rPr>
              <w:rFonts w:ascii="Cambria Math" w:eastAsia="Calibri" w:hAnsi="Cambria Math"/>
            </w:rPr>
            <m:t>*signo</m:t>
          </m:r>
        </m:oMath>
      </m:oMathPara>
    </w:p>
    <w:p w14:paraId="023AC2AB" w14:textId="77777777" w:rsidR="007968EC" w:rsidRPr="007C5A53" w:rsidRDefault="007968EC" w:rsidP="007968EC">
      <w:pPr>
        <w:autoSpaceDE w:val="0"/>
        <w:autoSpaceDN w:val="0"/>
        <w:adjustRightInd w:val="0"/>
        <w:ind w:left="504"/>
        <w:jc w:val="both"/>
        <w:rPr>
          <w:rFonts w:ascii="Arial Narrow" w:eastAsia="Calibri" w:hAnsi="Arial Narrow"/>
          <w:b/>
        </w:rPr>
      </w:pPr>
    </w:p>
    <w:p w14:paraId="234AC4E8" w14:textId="77777777" w:rsidR="007968EC" w:rsidRPr="007C5A53" w:rsidRDefault="007968EC" w:rsidP="007968EC">
      <w:pPr>
        <w:autoSpaceDE w:val="0"/>
        <w:autoSpaceDN w:val="0"/>
        <w:adjustRightInd w:val="0"/>
        <w:ind w:left="426"/>
        <w:contextualSpacing/>
        <w:jc w:val="both"/>
        <w:rPr>
          <w:rFonts w:ascii="Arial Narrow" w:eastAsia="Calibri" w:hAnsi="Arial Narrow"/>
          <w:b/>
        </w:rPr>
      </w:pPr>
      <w:r w:rsidRPr="007C5A53">
        <w:rPr>
          <w:rFonts w:ascii="Arial Narrow" w:eastAsia="Calibri" w:hAnsi="Arial Narrow"/>
        </w:rPr>
        <w:t>Valor actual efectivo:</w:t>
      </w:r>
    </w:p>
    <w:p w14:paraId="0670C743" w14:textId="77777777" w:rsidR="007968EC" w:rsidRPr="007C5A53" w:rsidRDefault="007968EC" w:rsidP="007968EC">
      <w:pPr>
        <w:autoSpaceDE w:val="0"/>
        <w:autoSpaceDN w:val="0"/>
        <w:adjustRightInd w:val="0"/>
        <w:ind w:left="743"/>
        <w:jc w:val="both"/>
        <w:rPr>
          <w:rFonts w:ascii="Arial Narrow" w:eastAsia="Calibri" w:hAnsi="Arial Narrow"/>
          <w:b/>
        </w:rPr>
      </w:pPr>
    </w:p>
    <w:p w14:paraId="2F990AB1" w14:textId="77777777" w:rsidR="007968EC" w:rsidRPr="007C5A53" w:rsidRDefault="007968EC" w:rsidP="007968EC">
      <w:pPr>
        <w:ind w:right="-660"/>
        <w:contextualSpacing/>
        <w:jc w:val="both"/>
        <w:rPr>
          <w:rFonts w:ascii="Cambria Math" w:eastAsia="Calibri" w:hAnsi="Cambria Math"/>
          <w:b/>
          <w:i/>
        </w:rPr>
      </w:pPr>
      <m:oMathPara>
        <m:oMath>
          <m:r>
            <m:rPr>
              <m:sty m:val="bi"/>
            </m:rPr>
            <w:rPr>
              <w:rFonts w:ascii="Cambria Math" w:eastAsia="Calibri" w:hAnsi="Cambria Math"/>
            </w:rPr>
            <m:t>Valor actual Efectivo=Valor Efectivo/(1+TipoInterés*días al vencimiento/365)</m:t>
          </m:r>
        </m:oMath>
      </m:oMathPara>
    </w:p>
    <w:p w14:paraId="1D3BE85E" w14:textId="77777777" w:rsidR="007968EC" w:rsidRPr="007C5A53" w:rsidRDefault="007968EC" w:rsidP="007968EC">
      <w:pPr>
        <w:ind w:left="-207" w:right="-660"/>
        <w:contextualSpacing/>
        <w:jc w:val="both"/>
        <w:rPr>
          <w:rFonts w:ascii="Arial Narrow" w:eastAsia="Calibri" w:hAnsi="Arial Narrow"/>
        </w:rPr>
      </w:pPr>
      <w:r w:rsidRPr="007C5A53">
        <w:rPr>
          <w:rFonts w:ascii="Arial Narrow" w:eastAsia="Calibri" w:hAnsi="Arial Narrow"/>
        </w:rPr>
        <w:t xml:space="preserve"> </w:t>
      </w:r>
    </w:p>
    <w:p w14:paraId="1E4E1D3E" w14:textId="77777777" w:rsidR="007968EC" w:rsidRPr="007C5A53" w:rsidRDefault="007968EC" w:rsidP="007968EC">
      <w:pPr>
        <w:autoSpaceDE w:val="0"/>
        <w:autoSpaceDN w:val="0"/>
        <w:adjustRightInd w:val="0"/>
        <w:ind w:left="459"/>
        <w:contextualSpacing/>
        <w:jc w:val="both"/>
        <w:rPr>
          <w:rFonts w:ascii="Arial Narrow" w:eastAsia="Calibri" w:hAnsi="Arial Narrow"/>
        </w:rPr>
      </w:pPr>
      <w:r w:rsidRPr="007C5A53">
        <w:rPr>
          <w:rFonts w:ascii="Arial Narrow" w:eastAsia="Calibri" w:hAnsi="Arial Narrow"/>
        </w:rPr>
        <w:t>En donde:</w:t>
      </w:r>
    </w:p>
    <w:p w14:paraId="35C484C1" w14:textId="77777777" w:rsidR="007968EC" w:rsidRPr="007C5A53" w:rsidRDefault="007968EC" w:rsidP="007968EC">
      <w:pPr>
        <w:autoSpaceDE w:val="0"/>
        <w:autoSpaceDN w:val="0"/>
        <w:adjustRightInd w:val="0"/>
        <w:ind w:left="459"/>
        <w:contextualSpacing/>
        <w:jc w:val="both"/>
        <w:rPr>
          <w:rFonts w:ascii="Arial Narrow" w:eastAsia="Calibri" w:hAnsi="Arial Narrow"/>
        </w:rPr>
      </w:pPr>
    </w:p>
    <w:p w14:paraId="4F25A08D" w14:textId="77777777" w:rsidR="007968EC" w:rsidRPr="007C5A53" w:rsidRDefault="007968EC" w:rsidP="007968EC">
      <w:pPr>
        <w:autoSpaceDE w:val="0"/>
        <w:autoSpaceDN w:val="0"/>
        <w:adjustRightInd w:val="0"/>
        <w:ind w:left="567"/>
        <w:jc w:val="both"/>
        <w:rPr>
          <w:rFonts w:ascii="Arial Narrow" w:eastAsia="Calibri" w:hAnsi="Arial Narrow"/>
          <w:b/>
        </w:rPr>
      </w:pPr>
      <m:oMathPara>
        <m:oMathParaPr>
          <m:jc m:val="left"/>
        </m:oMathParaPr>
        <m:oMath>
          <m:r>
            <m:rPr>
              <m:sty m:val="bi"/>
            </m:rPr>
            <w:rPr>
              <w:rFonts w:ascii="Cambria Math" w:eastAsia="Calibri" w:hAnsi="Cambria Math"/>
            </w:rPr>
            <m:t xml:space="preserve">Valor  Efectivo=  N° de acciones objeto de Operaciones </m:t>
          </m:r>
          <m:r>
            <m:rPr>
              <m:sty m:val="bi"/>
            </m:rPr>
            <w:rPr>
              <w:rFonts w:ascii="Cambria Math" w:eastAsia="Calibri" w:hAnsi="Cambria Math" w:cs="Cambria Math"/>
            </w:rPr>
            <m:t>R</m:t>
          </m:r>
          <m:r>
            <m:rPr>
              <m:sty m:val="bi"/>
            </m:rPr>
            <w:rPr>
              <w:rFonts w:ascii="Cambria Math" w:eastAsia="Calibri" w:hAnsi="Cambria Math"/>
            </w:rPr>
            <m:t xml:space="preserve">epo*Multiplicador*Precio de Negociación </m:t>
          </m:r>
        </m:oMath>
      </m:oMathPara>
    </w:p>
    <w:p w14:paraId="718D2327" w14:textId="77777777" w:rsidR="007968EC" w:rsidRPr="007C5A53" w:rsidRDefault="007968EC" w:rsidP="007968EC">
      <w:pPr>
        <w:autoSpaceDE w:val="0"/>
        <w:autoSpaceDN w:val="0"/>
        <w:adjustRightInd w:val="0"/>
        <w:ind w:left="504"/>
        <w:jc w:val="both"/>
        <w:rPr>
          <w:rFonts w:ascii="Arial Narrow" w:eastAsia="Calibri" w:hAnsi="Arial Narrow"/>
          <w:b/>
        </w:rPr>
      </w:pPr>
    </w:p>
    <w:p w14:paraId="4E8A7884" w14:textId="77777777" w:rsidR="007968EC" w:rsidRPr="007C5A53" w:rsidRDefault="007968EC" w:rsidP="007968EC">
      <w:pPr>
        <w:autoSpaceDE w:val="0"/>
        <w:autoSpaceDN w:val="0"/>
        <w:adjustRightInd w:val="0"/>
        <w:ind w:left="459"/>
        <w:contextualSpacing/>
        <w:jc w:val="both"/>
        <w:rPr>
          <w:rFonts w:ascii="Arial Narrow" w:eastAsia="Calibri" w:hAnsi="Arial Narrow"/>
        </w:rPr>
      </w:pPr>
    </w:p>
    <w:p w14:paraId="313E48C7" w14:textId="77777777" w:rsidR="007968EC" w:rsidRPr="007C5A53" w:rsidRDefault="007968EC" w:rsidP="007968EC">
      <w:pPr>
        <w:autoSpaceDE w:val="0"/>
        <w:autoSpaceDN w:val="0"/>
        <w:adjustRightInd w:val="0"/>
        <w:ind w:left="459"/>
        <w:contextualSpacing/>
        <w:jc w:val="both"/>
        <w:rPr>
          <w:rFonts w:ascii="Arial Narrow" w:eastAsia="Calibri" w:hAnsi="Arial Narrow"/>
        </w:rPr>
      </w:pPr>
      <m:oMath>
        <m:r>
          <m:rPr>
            <m:sty m:val="bi"/>
          </m:rPr>
          <w:rPr>
            <w:rFonts w:ascii="Cambria Math" w:eastAsia="Calibri" w:hAnsi="Cambria Math"/>
          </w:rPr>
          <m:t>días al vencimiento</m:t>
        </m:r>
      </m:oMath>
      <w:r w:rsidRPr="007C5A53">
        <w:rPr>
          <w:rFonts w:ascii="Arial Narrow" w:eastAsia="Calibri" w:hAnsi="Arial Narrow"/>
          <w:b/>
        </w:rPr>
        <w:t>:</w:t>
      </w:r>
      <w:r w:rsidRPr="007C5A53">
        <w:rPr>
          <w:rFonts w:ascii="Arial Narrow" w:eastAsia="Calibri" w:hAnsi="Arial Narrow"/>
        </w:rPr>
        <w:t xml:space="preserve"> diferencia entre la fecha de liquidación y la siguiente sesión hábil a la actual.</w:t>
      </w:r>
    </w:p>
    <w:p w14:paraId="3D7AD88E" w14:textId="77777777" w:rsidR="007968EC" w:rsidRPr="007C5A53" w:rsidRDefault="007968EC" w:rsidP="007968EC">
      <w:pPr>
        <w:autoSpaceDE w:val="0"/>
        <w:autoSpaceDN w:val="0"/>
        <w:adjustRightInd w:val="0"/>
        <w:ind w:left="459"/>
        <w:contextualSpacing/>
        <w:jc w:val="both"/>
        <w:rPr>
          <w:rFonts w:ascii="Arial Narrow" w:eastAsia="Calibri" w:hAnsi="Arial Narrow"/>
        </w:rPr>
      </w:pPr>
    </w:p>
    <w:p w14:paraId="2CD28665" w14:textId="77777777" w:rsidR="007968EC" w:rsidRPr="007C5A53" w:rsidRDefault="007968EC" w:rsidP="007968EC">
      <w:pPr>
        <w:autoSpaceDE w:val="0"/>
        <w:autoSpaceDN w:val="0"/>
        <w:adjustRightInd w:val="0"/>
        <w:ind w:left="504"/>
        <w:jc w:val="both"/>
        <w:rPr>
          <w:rFonts w:ascii="Arial Narrow" w:eastAsia="Calibri" w:hAnsi="Arial Narrow" w:cs="Arial"/>
          <w:b/>
          <w:lang w:eastAsia="es-ES"/>
        </w:rPr>
      </w:pPr>
      <m:oMath>
        <m:r>
          <m:rPr>
            <m:sty m:val="bi"/>
          </m:rPr>
          <w:rPr>
            <w:rFonts w:ascii="Cambria Math" w:eastAsia="Calibri" w:hAnsi="Cambria Math"/>
          </w:rPr>
          <m:t>TipoInterés</m:t>
        </m:r>
      </m:oMath>
      <w:r w:rsidRPr="007C5A53">
        <w:rPr>
          <w:rFonts w:ascii="Arial Narrow" w:eastAsia="Calibri" w:hAnsi="Arial Narrow"/>
          <w:b/>
        </w:rPr>
        <w:t xml:space="preserve">: </w:t>
      </w:r>
      <w:r w:rsidRPr="007C5A53">
        <w:rPr>
          <w:rFonts w:ascii="Arial Narrow" w:eastAsia="Calibri" w:hAnsi="Arial Narrow"/>
        </w:rPr>
        <w:t xml:space="preserve">punto de la curva IBR </w:t>
      </w:r>
    </w:p>
    <w:p w14:paraId="237A9D1F" w14:textId="77777777" w:rsidR="007968EC" w:rsidRPr="007C5A53" w:rsidRDefault="007968EC" w:rsidP="007968EC">
      <w:pPr>
        <w:autoSpaceDE w:val="0"/>
        <w:autoSpaceDN w:val="0"/>
        <w:adjustRightInd w:val="0"/>
        <w:ind w:left="743"/>
        <w:jc w:val="both"/>
        <w:rPr>
          <w:rFonts w:ascii="Arial Narrow" w:eastAsia="Calibri" w:hAnsi="Arial Narrow"/>
          <w:b/>
        </w:rPr>
      </w:pPr>
    </w:p>
    <w:p w14:paraId="31EA6C3B" w14:textId="77777777" w:rsidR="007968EC" w:rsidRPr="007C5A53" w:rsidRDefault="007968EC" w:rsidP="007968EC">
      <w:pPr>
        <w:autoSpaceDE w:val="0"/>
        <w:autoSpaceDN w:val="0"/>
        <w:adjustRightInd w:val="0"/>
        <w:ind w:left="504"/>
        <w:jc w:val="both"/>
        <w:rPr>
          <w:rFonts w:ascii="Arial Narrow" w:eastAsia="Calibri" w:hAnsi="Arial Narrow"/>
          <w:b/>
        </w:rPr>
      </w:pPr>
      <w:r w:rsidRPr="007C5A53">
        <w:rPr>
          <w:rFonts w:ascii="Arial Narrow" w:eastAsia="Calibri" w:hAnsi="Arial Narrow"/>
        </w:rPr>
        <w:t>Valor de Mercado posición (al cierre):</w:t>
      </w:r>
    </w:p>
    <w:p w14:paraId="0946CF3B" w14:textId="77777777" w:rsidR="007968EC" w:rsidRPr="007C5A53" w:rsidRDefault="007968EC" w:rsidP="007968EC">
      <w:pPr>
        <w:autoSpaceDE w:val="0"/>
        <w:autoSpaceDN w:val="0"/>
        <w:adjustRightInd w:val="0"/>
        <w:ind w:left="504"/>
        <w:jc w:val="both"/>
        <w:rPr>
          <w:rFonts w:ascii="Arial Narrow" w:eastAsia="Calibri" w:hAnsi="Arial Narrow"/>
          <w:b/>
        </w:rPr>
      </w:pPr>
    </w:p>
    <w:p w14:paraId="7C88BBF5" w14:textId="77777777" w:rsidR="007968EC" w:rsidRPr="007C5A53" w:rsidRDefault="007968EC" w:rsidP="007968EC">
      <w:pPr>
        <w:ind w:left="426"/>
        <w:rPr>
          <w:rFonts w:ascii="Arial Narrow" w:eastAsia="Calibri" w:hAnsi="Arial Narrow"/>
          <w:b/>
        </w:rPr>
      </w:pPr>
      <m:oMathPara>
        <m:oMath>
          <m:r>
            <m:rPr>
              <m:sty m:val="bi"/>
            </m:rPr>
            <w:rPr>
              <w:rFonts w:ascii="Cambria Math" w:eastAsia="Calibri" w:hAnsi="Cambria Math"/>
            </w:rPr>
            <w:lastRenderedPageBreak/>
            <m:t xml:space="preserve">Valor de mercado posición </m:t>
          </m:r>
          <m:d>
            <m:dPr>
              <m:ctrlPr>
                <w:rPr>
                  <w:rFonts w:ascii="Cambria Math" w:eastAsia="Calibri" w:hAnsi="Cambria Math"/>
                  <w:i/>
                </w:rPr>
              </m:ctrlPr>
            </m:dPr>
            <m:e>
              <m:r>
                <m:rPr>
                  <m:sty m:val="bi"/>
                </m:rPr>
                <w:rPr>
                  <w:rFonts w:ascii="Cambria Math" w:eastAsia="Calibri" w:hAnsi="Cambria Math"/>
                </w:rPr>
                <m:t xml:space="preserve"> al cierre</m:t>
              </m:r>
            </m:e>
          </m:d>
          <m:r>
            <m:rPr>
              <m:sty m:val="bi"/>
            </m:rPr>
            <w:rPr>
              <w:rFonts w:ascii="Cambria Math" w:eastAsia="Calibri" w:hAnsi="Cambria Math"/>
            </w:rPr>
            <m:t>=N° de acciones objeto de Operaciones Rep</m:t>
          </m:r>
          <m:r>
            <m:rPr>
              <m:sty m:val="bi"/>
            </m:rPr>
            <w:rPr>
              <w:rFonts w:ascii="Cambria Math" w:eastAsia="Calibri" w:hAnsi="Cambria Math" w:cs="Cambria Math"/>
            </w:rPr>
            <m:t>o</m:t>
          </m:r>
          <m:r>
            <m:rPr>
              <m:sty m:val="bi"/>
            </m:rPr>
            <w:rPr>
              <w:rFonts w:ascii="Cambria Math" w:eastAsia="Calibri" w:hAnsi="Cambria Math"/>
            </w:rPr>
            <m:t xml:space="preserve">*Multiplicador*Precio de Valoración de Operación Repo </m:t>
          </m:r>
        </m:oMath>
      </m:oMathPara>
    </w:p>
    <w:p w14:paraId="249FA8AE" w14:textId="77777777" w:rsidR="007968EC" w:rsidRPr="007C5A53" w:rsidRDefault="007968EC" w:rsidP="007968EC">
      <w:pPr>
        <w:rPr>
          <w:rFonts w:ascii="Arial Narrow" w:eastAsia="Calibri" w:hAnsi="Arial Narrow"/>
          <w:b/>
        </w:rPr>
      </w:pPr>
    </w:p>
    <w:p w14:paraId="1C16ECA9" w14:textId="77777777" w:rsidR="007968EC" w:rsidRPr="007C5A53" w:rsidRDefault="007968EC" w:rsidP="007968EC">
      <w:pPr>
        <w:autoSpaceDE w:val="0"/>
        <w:autoSpaceDN w:val="0"/>
        <w:adjustRightInd w:val="0"/>
        <w:contextualSpacing/>
        <w:jc w:val="both"/>
        <w:rPr>
          <w:rFonts w:ascii="Arial Narrow" w:eastAsia="Calibri" w:hAnsi="Arial Narrow"/>
          <w:b/>
        </w:rPr>
      </w:pPr>
    </w:p>
    <w:p w14:paraId="3681D3E1" w14:textId="77777777" w:rsidR="007968EC" w:rsidRPr="007C5A53" w:rsidRDefault="007968EC" w:rsidP="007968EC">
      <w:pPr>
        <w:autoSpaceDE w:val="0"/>
        <w:autoSpaceDN w:val="0"/>
        <w:adjustRightInd w:val="0"/>
        <w:ind w:left="748"/>
        <w:contextualSpacing/>
        <w:jc w:val="both"/>
        <w:rPr>
          <w:rFonts w:ascii="Arial Narrow" w:eastAsia="Calibri" w:hAnsi="Arial Narrow"/>
          <w:b/>
        </w:rPr>
      </w:pPr>
      <w:r w:rsidRPr="007C5A53">
        <w:rPr>
          <w:rFonts w:ascii="Arial Narrow" w:eastAsia="Calibri" w:hAnsi="Arial Narrow"/>
        </w:rPr>
        <w:t>Signo: Será “1” si se trata de una compra y “-1” si se trata de una venta.</w:t>
      </w:r>
    </w:p>
    <w:p w14:paraId="2DAA3954" w14:textId="77777777" w:rsidR="007968EC" w:rsidRPr="007C5A53" w:rsidRDefault="007968EC" w:rsidP="007968EC">
      <w:pPr>
        <w:autoSpaceDE w:val="0"/>
        <w:autoSpaceDN w:val="0"/>
        <w:adjustRightInd w:val="0"/>
        <w:jc w:val="both"/>
        <w:rPr>
          <w:rFonts w:ascii="Arial Narrow" w:eastAsia="Calibri" w:hAnsi="Arial Narrow"/>
          <w:b/>
        </w:rPr>
      </w:pPr>
    </w:p>
    <w:p w14:paraId="76661624" w14:textId="77777777" w:rsidR="007968EC" w:rsidRPr="007C5A53" w:rsidRDefault="007968EC" w:rsidP="007968EC">
      <w:pPr>
        <w:autoSpaceDE w:val="0"/>
        <w:autoSpaceDN w:val="0"/>
        <w:adjustRightInd w:val="0"/>
        <w:ind w:left="708"/>
        <w:jc w:val="both"/>
        <w:rPr>
          <w:rFonts w:ascii="Arial Narrow" w:eastAsia="Calibri" w:hAnsi="Arial Narrow"/>
        </w:rPr>
      </w:pPr>
      <w:r w:rsidRPr="007C5A53">
        <w:rPr>
          <w:rFonts w:ascii="Arial Narrow" w:eastAsia="Calibri" w:hAnsi="Arial Narrow"/>
        </w:rPr>
        <w:t xml:space="preserve">Se suma a la garantía de todas las Operaciones Repo de un Grupo de Compensación, y se suman a la </w:t>
      </w:r>
      <w:r w:rsidRPr="007C5A53">
        <w:rPr>
          <w:rFonts w:ascii="Arial Narrow" w:eastAsia="Calibri" w:hAnsi="Arial Narrow"/>
          <w:i/>
        </w:rPr>
        <w:t>“Garantía Final”</w:t>
      </w:r>
      <w:r w:rsidRPr="007C5A53">
        <w:rPr>
          <w:rFonts w:ascii="Arial Narrow" w:eastAsia="Calibri" w:hAnsi="Arial Narrow"/>
        </w:rPr>
        <w:t xml:space="preserve"> del Grupo.</w:t>
      </w:r>
    </w:p>
    <w:p w14:paraId="456C5FFC" w14:textId="77777777" w:rsidR="007968EC" w:rsidRPr="007C5A53" w:rsidRDefault="007968EC" w:rsidP="007968EC">
      <w:pPr>
        <w:autoSpaceDE w:val="0"/>
        <w:autoSpaceDN w:val="0"/>
        <w:adjustRightInd w:val="0"/>
        <w:ind w:left="708"/>
        <w:jc w:val="both"/>
        <w:rPr>
          <w:rFonts w:ascii="Arial Narrow" w:eastAsia="Calibri" w:hAnsi="Arial Narrow"/>
        </w:rPr>
      </w:pPr>
    </w:p>
    <w:p w14:paraId="69AB1897" w14:textId="77777777" w:rsidR="007968EC" w:rsidRPr="007C5A53" w:rsidRDefault="007968EC" w:rsidP="007968EC">
      <w:pPr>
        <w:autoSpaceDE w:val="0"/>
        <w:autoSpaceDN w:val="0"/>
        <w:adjustRightInd w:val="0"/>
        <w:ind w:left="708"/>
        <w:jc w:val="both"/>
        <w:rPr>
          <w:rFonts w:ascii="Arial Narrow" w:eastAsia="Calibri" w:hAnsi="Arial Narrow"/>
        </w:rPr>
      </w:pPr>
      <w:r w:rsidRPr="007C5A53">
        <w:rPr>
          <w:rFonts w:ascii="Arial Narrow" w:eastAsia="Calibri" w:hAnsi="Arial Narrow"/>
        </w:rPr>
        <w:t xml:space="preserve">En el caso en que el ajuste diario de Garantías para el Enajenante de una Operación </w:t>
      </w:r>
      <w:proofErr w:type="gramStart"/>
      <w:r w:rsidRPr="007C5A53">
        <w:rPr>
          <w:rFonts w:ascii="Arial Narrow" w:eastAsia="Calibri" w:hAnsi="Arial Narrow"/>
        </w:rPr>
        <w:t>Repo,</w:t>
      </w:r>
      <w:proofErr w:type="gramEnd"/>
      <w:r w:rsidRPr="007C5A53">
        <w:rPr>
          <w:rFonts w:ascii="Arial Narrow" w:eastAsia="Calibri" w:hAnsi="Arial Narrow"/>
        </w:rPr>
        <w:t xml:space="preserve"> tenga un valor positivo, la Cámara realizara un ajuste calculado de la siguiente manera:</w:t>
      </w:r>
    </w:p>
    <w:p w14:paraId="63DB5516" w14:textId="77777777" w:rsidR="007968EC" w:rsidRPr="007C5A53" w:rsidRDefault="007968EC" w:rsidP="007968EC">
      <w:pPr>
        <w:autoSpaceDE w:val="0"/>
        <w:autoSpaceDN w:val="0"/>
        <w:adjustRightInd w:val="0"/>
        <w:ind w:left="708"/>
        <w:jc w:val="both"/>
        <w:rPr>
          <w:rFonts w:ascii="Arial Narrow" w:eastAsia="Calibri" w:hAnsi="Arial Narrow"/>
        </w:rPr>
      </w:pPr>
    </w:p>
    <w:p w14:paraId="705C0CF9" w14:textId="77777777" w:rsidR="007968EC" w:rsidRPr="007C5A53" w:rsidRDefault="007968EC" w:rsidP="007968EC">
      <w:pPr>
        <w:autoSpaceDE w:val="0"/>
        <w:autoSpaceDN w:val="0"/>
        <w:adjustRightInd w:val="0"/>
        <w:ind w:left="708"/>
        <w:jc w:val="both"/>
        <w:rPr>
          <w:rFonts w:ascii="Arial Narrow" w:eastAsia="Calibri" w:hAnsi="Arial Narrow"/>
          <w:b/>
        </w:rPr>
      </w:pPr>
      <m:oMathPara>
        <m:oMath>
          <m:r>
            <m:rPr>
              <m:sty m:val="bi"/>
            </m:rPr>
            <w:rPr>
              <w:rFonts w:ascii="Cambria Math" w:eastAsia="Calibri" w:hAnsi="Cambria Math"/>
            </w:rPr>
            <m:t>Ajuste diario de Garantías*(1-Haircut de Garantia)</m:t>
          </m:r>
        </m:oMath>
      </m:oMathPara>
    </w:p>
    <w:p w14:paraId="166AA073" w14:textId="77777777" w:rsidR="007968EC" w:rsidRPr="007C5A53" w:rsidRDefault="007968EC" w:rsidP="007968EC">
      <w:pPr>
        <w:autoSpaceDE w:val="0"/>
        <w:autoSpaceDN w:val="0"/>
        <w:adjustRightInd w:val="0"/>
        <w:ind w:left="708"/>
        <w:jc w:val="both"/>
        <w:rPr>
          <w:rFonts w:ascii="Arial Narrow" w:eastAsia="Calibri" w:hAnsi="Arial Narrow"/>
          <w:b/>
        </w:rPr>
      </w:pPr>
    </w:p>
    <w:p w14:paraId="139A1626" w14:textId="77777777" w:rsidR="007968EC" w:rsidRPr="007C5A53" w:rsidRDefault="007968EC" w:rsidP="007968EC">
      <w:pPr>
        <w:autoSpaceDE w:val="0"/>
        <w:autoSpaceDN w:val="0"/>
        <w:adjustRightInd w:val="0"/>
        <w:ind w:left="708"/>
        <w:jc w:val="both"/>
        <w:rPr>
          <w:rFonts w:ascii="Arial Narrow" w:eastAsia="Calibri" w:hAnsi="Arial Narrow"/>
        </w:rPr>
      </w:pPr>
      <w:r w:rsidRPr="007C5A53">
        <w:rPr>
          <w:rFonts w:ascii="Arial Narrow" w:eastAsia="Calibri" w:hAnsi="Arial Narrow"/>
        </w:rPr>
        <w:t xml:space="preserve">En donde el Haircut de la Garantía se encuentra en el artículo </w:t>
      </w:r>
      <w:r w:rsidRPr="00620A73">
        <w:rPr>
          <w:rFonts w:ascii="Arial Narrow" w:eastAsia="Calibri" w:hAnsi="Arial Narrow"/>
        </w:rPr>
        <w:t xml:space="preserve">4.8.1.2 </w:t>
      </w:r>
      <w:r w:rsidRPr="007C5A53">
        <w:rPr>
          <w:rFonts w:ascii="Arial Narrow" w:eastAsia="Calibri" w:hAnsi="Arial Narrow"/>
        </w:rPr>
        <w:t>de la presente Circular.</w:t>
      </w:r>
    </w:p>
    <w:p w14:paraId="19507664" w14:textId="77777777" w:rsidR="007968EC" w:rsidRPr="007C5A53" w:rsidRDefault="007968EC" w:rsidP="007968EC">
      <w:pPr>
        <w:autoSpaceDE w:val="0"/>
        <w:autoSpaceDN w:val="0"/>
        <w:adjustRightInd w:val="0"/>
        <w:ind w:left="708"/>
        <w:jc w:val="both"/>
        <w:rPr>
          <w:rFonts w:ascii="Arial Narrow" w:eastAsia="Calibri" w:hAnsi="Arial Narrow"/>
          <w:b/>
        </w:rPr>
      </w:pPr>
    </w:p>
    <w:p w14:paraId="3EDA91DA" w14:textId="77777777" w:rsidR="007968EC" w:rsidRPr="007C5A53" w:rsidRDefault="007968EC" w:rsidP="00DA7472">
      <w:pPr>
        <w:widowControl w:val="0"/>
        <w:numPr>
          <w:ilvl w:val="0"/>
          <w:numId w:val="277"/>
        </w:numPr>
        <w:autoSpaceDE w:val="0"/>
        <w:autoSpaceDN w:val="0"/>
        <w:adjustRightInd w:val="0"/>
        <w:contextualSpacing/>
        <w:jc w:val="both"/>
        <w:rPr>
          <w:rFonts w:ascii="Arial Narrow" w:eastAsia="Calibri" w:hAnsi="Arial Narrow"/>
          <w:b/>
        </w:rPr>
      </w:pPr>
      <w:r w:rsidRPr="007C5A53">
        <w:rPr>
          <w:rFonts w:ascii="Arial Narrow" w:eastAsia="Calibri" w:hAnsi="Arial Narrow"/>
          <w:b/>
        </w:rPr>
        <w:t xml:space="preserve">Determinación de la Garantía por Posición a constituir por Cuenta: </w:t>
      </w:r>
    </w:p>
    <w:p w14:paraId="621A2286" w14:textId="77777777" w:rsidR="007968EC" w:rsidRPr="007C5A53" w:rsidRDefault="007968EC" w:rsidP="007968EC">
      <w:pPr>
        <w:autoSpaceDE w:val="0"/>
        <w:autoSpaceDN w:val="0"/>
        <w:adjustRightInd w:val="0"/>
        <w:ind w:left="459"/>
        <w:contextualSpacing/>
        <w:jc w:val="both"/>
        <w:rPr>
          <w:rFonts w:ascii="Arial Narrow" w:eastAsia="Calibri" w:hAnsi="Arial Narrow"/>
          <w:b/>
        </w:rPr>
      </w:pPr>
    </w:p>
    <w:p w14:paraId="1FAB4FB7" w14:textId="77777777" w:rsidR="007968EC" w:rsidRPr="007C5A53" w:rsidRDefault="007968EC" w:rsidP="007968EC">
      <w:pPr>
        <w:autoSpaceDE w:val="0"/>
        <w:autoSpaceDN w:val="0"/>
        <w:adjustRightInd w:val="0"/>
        <w:ind w:left="459"/>
        <w:contextualSpacing/>
        <w:jc w:val="both"/>
        <w:rPr>
          <w:rFonts w:ascii="Arial Narrow" w:eastAsia="Calibri" w:hAnsi="Arial Narrow"/>
        </w:rPr>
      </w:pPr>
      <w:r w:rsidRPr="007C5A53">
        <w:rPr>
          <w:rFonts w:ascii="Arial Narrow" w:eastAsia="Calibri" w:hAnsi="Arial Narrow"/>
        </w:rPr>
        <w:t>Se suman la “Garantía</w:t>
      </w:r>
      <w:r w:rsidRPr="007C5A53">
        <w:rPr>
          <w:rFonts w:ascii="Arial Narrow" w:eastAsia="Calibri" w:hAnsi="Arial Narrow"/>
          <w:i/>
        </w:rPr>
        <w:t xml:space="preserve"> Final” </w:t>
      </w:r>
      <w:r w:rsidRPr="007C5A53">
        <w:rPr>
          <w:rFonts w:ascii="Arial Narrow" w:eastAsia="Calibri" w:hAnsi="Arial Narrow"/>
        </w:rPr>
        <w:t>de los distintos Grupos de Compensación, compensándose valores positivos y negativos. El valor resultante de esta suma corresponde a la Garantía por Posición a constituir por el titular de la Cuenta. En caso de que dicho resultado fuera negativo, la Garantía por Posición a constituir por titular de Cuenta será cero.</w:t>
      </w:r>
    </w:p>
    <w:p w14:paraId="0A1DDB94" w14:textId="77777777" w:rsidR="007968EC" w:rsidRPr="007C5A53" w:rsidRDefault="007968EC" w:rsidP="007968EC">
      <w:pPr>
        <w:autoSpaceDE w:val="0"/>
        <w:autoSpaceDN w:val="0"/>
        <w:adjustRightInd w:val="0"/>
        <w:jc w:val="both"/>
        <w:rPr>
          <w:rFonts w:ascii="Arial Narrow" w:eastAsia="Calibri" w:hAnsi="Arial Narrow"/>
          <w:b/>
        </w:rPr>
      </w:pPr>
    </w:p>
    <w:p w14:paraId="367D63CE" w14:textId="77777777" w:rsidR="007968EC" w:rsidRPr="007C5A53" w:rsidRDefault="007968EC" w:rsidP="00DA7472">
      <w:pPr>
        <w:widowControl w:val="0"/>
        <w:numPr>
          <w:ilvl w:val="0"/>
          <w:numId w:val="277"/>
        </w:numPr>
        <w:autoSpaceDE w:val="0"/>
        <w:autoSpaceDN w:val="0"/>
        <w:adjustRightInd w:val="0"/>
        <w:contextualSpacing/>
        <w:jc w:val="both"/>
        <w:rPr>
          <w:rFonts w:ascii="Arial Narrow" w:eastAsia="Calibri" w:hAnsi="Arial Narrow"/>
          <w:b/>
        </w:rPr>
      </w:pPr>
      <w:r w:rsidRPr="007C5A53">
        <w:rPr>
          <w:rFonts w:ascii="Arial Narrow" w:eastAsia="Calibri" w:hAnsi="Arial Narrow"/>
          <w:b/>
        </w:rPr>
        <w:t>Cálculo de escenarios RI para el cómputo de la Garantía por Posición:</w:t>
      </w:r>
    </w:p>
    <w:p w14:paraId="036AA1AB" w14:textId="77777777" w:rsidR="007968EC" w:rsidRPr="007C5A53" w:rsidRDefault="007968EC" w:rsidP="007968EC">
      <w:pPr>
        <w:autoSpaceDE w:val="0"/>
        <w:autoSpaceDN w:val="0"/>
        <w:adjustRightInd w:val="0"/>
        <w:ind w:left="317"/>
        <w:contextualSpacing/>
        <w:jc w:val="both"/>
        <w:rPr>
          <w:rFonts w:ascii="Arial Narrow" w:eastAsia="Calibri" w:hAnsi="Arial Narrow"/>
          <w:b/>
        </w:rPr>
      </w:pPr>
    </w:p>
    <w:p w14:paraId="2CC8C9B4" w14:textId="77777777" w:rsidR="007968EC" w:rsidRPr="007C5A53" w:rsidRDefault="007968EC" w:rsidP="007968EC">
      <w:pPr>
        <w:autoSpaceDE w:val="0"/>
        <w:autoSpaceDN w:val="0"/>
        <w:adjustRightInd w:val="0"/>
        <w:ind w:left="317"/>
        <w:contextualSpacing/>
        <w:jc w:val="both"/>
        <w:rPr>
          <w:rFonts w:ascii="Arial Narrow" w:eastAsia="Calibri" w:hAnsi="Arial Narrow"/>
          <w:b/>
        </w:rPr>
      </w:pPr>
      <w:r w:rsidRPr="007C5A53">
        <w:rPr>
          <w:rFonts w:ascii="Arial Narrow" w:eastAsia="Calibri" w:hAnsi="Arial Narrow"/>
        </w:rPr>
        <w:t>Para el cómputo de la Garantía por Posición en tiempo real, considerada a efectos del consumo del Límite de Riesgo Intradía o LRI, se aplicarán los pasos descritos en los apartados A, B y C del presente artículo para cada uno de los escenarios de Riesgo Intradía (RI) definidos, a continuación:</w:t>
      </w:r>
    </w:p>
    <w:p w14:paraId="2DEEDB27" w14:textId="77777777" w:rsidR="007968EC" w:rsidRPr="007C5A53" w:rsidRDefault="007968EC" w:rsidP="007968EC">
      <w:pPr>
        <w:autoSpaceDE w:val="0"/>
        <w:autoSpaceDN w:val="0"/>
        <w:adjustRightInd w:val="0"/>
        <w:ind w:left="720"/>
        <w:contextualSpacing/>
        <w:jc w:val="both"/>
        <w:rPr>
          <w:rFonts w:ascii="Arial Narrow" w:eastAsia="Calibri" w:hAnsi="Arial Narrow"/>
          <w:b/>
        </w:rPr>
      </w:pPr>
    </w:p>
    <w:p w14:paraId="3F5A3C10" w14:textId="77777777" w:rsidR="007968EC" w:rsidRPr="007C5A53" w:rsidRDefault="007968EC" w:rsidP="007968EC">
      <w:pPr>
        <w:autoSpaceDE w:val="0"/>
        <w:autoSpaceDN w:val="0"/>
        <w:adjustRightInd w:val="0"/>
        <w:ind w:left="317"/>
        <w:jc w:val="both"/>
        <w:rPr>
          <w:rFonts w:ascii="Arial Narrow" w:eastAsia="Calibri" w:hAnsi="Arial Narrow"/>
          <w:b/>
        </w:rPr>
      </w:pPr>
      <w:r w:rsidRPr="007C5A53">
        <w:rPr>
          <w:rFonts w:ascii="Arial Narrow" w:eastAsia="Calibri" w:hAnsi="Arial Narrow"/>
        </w:rPr>
        <w:t>En cada escenario RI para las Operaciones Repo con Posición Abierta, se calcula un supuesto de Liquidación:</w:t>
      </w:r>
    </w:p>
    <w:p w14:paraId="03BF03F0" w14:textId="77777777" w:rsidR="007968EC" w:rsidRPr="007C5A53" w:rsidRDefault="007968EC" w:rsidP="007968EC">
      <w:pPr>
        <w:autoSpaceDE w:val="0"/>
        <w:autoSpaceDN w:val="0"/>
        <w:adjustRightInd w:val="0"/>
        <w:ind w:left="720"/>
        <w:contextualSpacing/>
        <w:jc w:val="both"/>
        <w:rPr>
          <w:rFonts w:ascii="Arial Narrow" w:eastAsia="Calibri" w:hAnsi="Arial Narrow"/>
          <w:b/>
        </w:rPr>
      </w:pPr>
    </w:p>
    <w:p w14:paraId="5206C4A9" w14:textId="77777777" w:rsidR="007968EC" w:rsidRPr="007C5A53" w:rsidRDefault="007968EC" w:rsidP="007968EC">
      <w:pPr>
        <w:autoSpaceDE w:val="0"/>
        <w:autoSpaceDN w:val="0"/>
        <w:adjustRightInd w:val="0"/>
        <w:ind w:left="317"/>
        <w:contextualSpacing/>
        <w:jc w:val="both"/>
        <w:rPr>
          <w:rFonts w:ascii="Arial Narrow" w:eastAsia="Calibri" w:hAnsi="Arial Narrow"/>
          <w:b/>
        </w:rPr>
      </w:pPr>
      <w:r w:rsidRPr="007C5A53">
        <w:rPr>
          <w:rFonts w:ascii="Arial Narrow" w:eastAsia="Calibri" w:hAnsi="Arial Narrow"/>
        </w:rPr>
        <w:t>Escenario de RI 1: Se liquidan todas las Operaciones Repo con Posición Abierta vendedora registrada en la fecha del día de cálculo y las Operaciones Repo con Posición Abierta vendedora que vencen en la fecha del día de cálculo.</w:t>
      </w:r>
    </w:p>
    <w:p w14:paraId="68B36341" w14:textId="77777777" w:rsidR="007968EC" w:rsidRPr="007C5A53" w:rsidRDefault="007968EC" w:rsidP="007968EC">
      <w:pPr>
        <w:autoSpaceDE w:val="0"/>
        <w:autoSpaceDN w:val="0"/>
        <w:adjustRightInd w:val="0"/>
        <w:jc w:val="both"/>
        <w:rPr>
          <w:rFonts w:ascii="Arial Narrow" w:eastAsia="Calibri" w:hAnsi="Arial Narrow"/>
          <w:b/>
        </w:rPr>
      </w:pPr>
    </w:p>
    <w:p w14:paraId="44F3A8FA" w14:textId="77777777" w:rsidR="007968EC" w:rsidRPr="007C5A53" w:rsidRDefault="007968EC" w:rsidP="007968EC">
      <w:pPr>
        <w:autoSpaceDE w:val="0"/>
        <w:autoSpaceDN w:val="0"/>
        <w:adjustRightInd w:val="0"/>
        <w:ind w:left="317"/>
        <w:contextualSpacing/>
        <w:jc w:val="both"/>
        <w:rPr>
          <w:rFonts w:ascii="Arial Narrow" w:eastAsia="Calibri" w:hAnsi="Arial Narrow"/>
          <w:b/>
        </w:rPr>
      </w:pPr>
      <w:r w:rsidRPr="007C5A53">
        <w:rPr>
          <w:rFonts w:ascii="Arial Narrow" w:eastAsia="Calibri" w:hAnsi="Arial Narrow"/>
        </w:rPr>
        <w:t>Escenario de RI 2: Se liquidan todas las Operaciones Repo con Posición Abierta compradora registrada en la fecha del día de cálculo y las Operaciones Repo con Posición Abierta compradora que vencen en el día hábil siguiente a la fecha del día de cálculo.</w:t>
      </w:r>
    </w:p>
    <w:p w14:paraId="52A65C08" w14:textId="77777777" w:rsidR="007968EC" w:rsidRPr="007C5A53" w:rsidRDefault="007968EC" w:rsidP="007968EC">
      <w:pPr>
        <w:ind w:left="317"/>
        <w:contextualSpacing/>
        <w:rPr>
          <w:rFonts w:ascii="Arial Narrow" w:eastAsia="Calibri" w:hAnsi="Arial Narrow"/>
          <w:b/>
        </w:rPr>
      </w:pPr>
    </w:p>
    <w:p w14:paraId="5325773F" w14:textId="77777777" w:rsidR="007968EC" w:rsidRPr="007C5A53" w:rsidRDefault="007968EC" w:rsidP="007968EC">
      <w:pPr>
        <w:autoSpaceDE w:val="0"/>
        <w:autoSpaceDN w:val="0"/>
        <w:adjustRightInd w:val="0"/>
        <w:ind w:left="317"/>
        <w:contextualSpacing/>
        <w:jc w:val="both"/>
        <w:rPr>
          <w:rFonts w:ascii="Arial Narrow" w:eastAsia="Calibri" w:hAnsi="Arial Narrow"/>
          <w:b/>
        </w:rPr>
      </w:pPr>
      <w:r w:rsidRPr="007C5A53">
        <w:rPr>
          <w:rFonts w:ascii="Arial Narrow" w:eastAsia="Calibri" w:hAnsi="Arial Narrow"/>
        </w:rPr>
        <w:t>Escenario de RI 3: Se consideran todas las Operaciones Repo con Posición Abierta.</w:t>
      </w:r>
    </w:p>
    <w:p w14:paraId="5F5C8BA5" w14:textId="77777777" w:rsidR="007968EC" w:rsidRPr="007C5A53" w:rsidRDefault="007968EC" w:rsidP="007968EC">
      <w:pPr>
        <w:ind w:left="720"/>
        <w:contextualSpacing/>
        <w:rPr>
          <w:rFonts w:ascii="Arial Narrow" w:eastAsia="Calibri" w:hAnsi="Arial Narrow"/>
          <w:b/>
        </w:rPr>
      </w:pPr>
    </w:p>
    <w:p w14:paraId="7C661806" w14:textId="77777777" w:rsidR="007968EC" w:rsidRPr="007C5A53" w:rsidRDefault="007968EC" w:rsidP="007968EC">
      <w:pPr>
        <w:autoSpaceDE w:val="0"/>
        <w:autoSpaceDN w:val="0"/>
        <w:adjustRightInd w:val="0"/>
        <w:ind w:left="317"/>
        <w:jc w:val="both"/>
        <w:rPr>
          <w:rFonts w:ascii="Arial Narrow" w:eastAsia="Calibri" w:hAnsi="Arial Narrow"/>
          <w:b/>
        </w:rPr>
      </w:pPr>
      <w:r w:rsidRPr="007C5A53">
        <w:rPr>
          <w:rFonts w:ascii="Arial Narrow" w:eastAsia="Calibri" w:hAnsi="Arial Narrow"/>
        </w:rPr>
        <w:lastRenderedPageBreak/>
        <w:t>Escenario de RI 4: Se liquidan todas las Operaciones Repo que vencen en la fecha del día de cálculo más las Operaciones Repo con Posición Abierta vendedora que vencen en el día hábil siguiente a la fecha del día de cálculo.</w:t>
      </w:r>
    </w:p>
    <w:p w14:paraId="73B48B46" w14:textId="77777777" w:rsidR="007968EC" w:rsidRPr="007C5A53" w:rsidRDefault="007968EC" w:rsidP="007968EC">
      <w:pPr>
        <w:autoSpaceDE w:val="0"/>
        <w:autoSpaceDN w:val="0"/>
        <w:adjustRightInd w:val="0"/>
        <w:ind w:left="317"/>
        <w:contextualSpacing/>
        <w:jc w:val="both"/>
        <w:rPr>
          <w:rFonts w:ascii="Arial Narrow" w:eastAsia="Calibri" w:hAnsi="Arial Narrow"/>
          <w:b/>
        </w:rPr>
      </w:pPr>
    </w:p>
    <w:p w14:paraId="704FE840" w14:textId="77777777" w:rsidR="007968EC" w:rsidRPr="007C5A53" w:rsidRDefault="007968EC" w:rsidP="007968EC">
      <w:pPr>
        <w:autoSpaceDE w:val="0"/>
        <w:autoSpaceDN w:val="0"/>
        <w:adjustRightInd w:val="0"/>
        <w:ind w:left="317"/>
        <w:jc w:val="both"/>
        <w:rPr>
          <w:rFonts w:ascii="Arial Narrow" w:eastAsia="Calibri" w:hAnsi="Arial Narrow"/>
          <w:b/>
        </w:rPr>
      </w:pPr>
      <w:r w:rsidRPr="007C5A53">
        <w:rPr>
          <w:rFonts w:ascii="Arial Narrow" w:eastAsia="Calibri" w:hAnsi="Arial Narrow"/>
        </w:rPr>
        <w:t>Escenario de RI 5: Se liquidan todas las Operaciones Repo que vencen en la fecha del día de cálculo más las Operaciones Repo con Posición Abierta compradora que vencen en la siguiente Sesión.</w:t>
      </w:r>
    </w:p>
    <w:p w14:paraId="448DC7C6" w14:textId="77777777" w:rsidR="007968EC" w:rsidRPr="007C5A53" w:rsidRDefault="007968EC" w:rsidP="007968EC">
      <w:pPr>
        <w:ind w:left="317" w:firstLine="708"/>
        <w:contextualSpacing/>
        <w:rPr>
          <w:rFonts w:ascii="Arial Narrow" w:eastAsia="Calibri" w:hAnsi="Arial Narrow"/>
          <w:b/>
        </w:rPr>
      </w:pPr>
    </w:p>
    <w:p w14:paraId="0E35DFC2" w14:textId="77777777" w:rsidR="007968EC" w:rsidRPr="007C5A53" w:rsidRDefault="007968EC" w:rsidP="007968EC">
      <w:pPr>
        <w:autoSpaceDE w:val="0"/>
        <w:autoSpaceDN w:val="0"/>
        <w:adjustRightInd w:val="0"/>
        <w:ind w:left="317"/>
        <w:jc w:val="both"/>
        <w:rPr>
          <w:rFonts w:ascii="Arial Narrow" w:eastAsia="Calibri" w:hAnsi="Arial Narrow"/>
          <w:b/>
        </w:rPr>
      </w:pPr>
      <w:r w:rsidRPr="007C5A53">
        <w:rPr>
          <w:rFonts w:ascii="Arial Narrow" w:eastAsia="Calibri" w:hAnsi="Arial Narrow"/>
        </w:rPr>
        <w:t xml:space="preserve">Escenario de RI 6: Se liquidan todas las Operaciones Repo que vencen en la sesión. </w:t>
      </w:r>
    </w:p>
    <w:p w14:paraId="43D5CD60" w14:textId="77777777" w:rsidR="007968EC" w:rsidRPr="007C5A53" w:rsidRDefault="007968EC" w:rsidP="007968EC">
      <w:pPr>
        <w:ind w:left="720"/>
        <w:contextualSpacing/>
        <w:rPr>
          <w:rFonts w:ascii="Arial Narrow" w:eastAsia="Calibri" w:hAnsi="Arial Narrow"/>
          <w:b/>
        </w:rPr>
      </w:pPr>
    </w:p>
    <w:p w14:paraId="7C34A2AE" w14:textId="77777777" w:rsidR="007968EC" w:rsidRPr="007C5A53" w:rsidRDefault="007968EC" w:rsidP="007968EC">
      <w:pPr>
        <w:autoSpaceDE w:val="0"/>
        <w:autoSpaceDN w:val="0"/>
        <w:adjustRightInd w:val="0"/>
        <w:ind w:left="317"/>
        <w:jc w:val="both"/>
        <w:rPr>
          <w:rFonts w:ascii="Arial Narrow" w:eastAsia="Calibri" w:hAnsi="Arial Narrow"/>
          <w:b/>
        </w:rPr>
      </w:pPr>
      <w:r w:rsidRPr="007C5A53">
        <w:rPr>
          <w:rFonts w:ascii="Arial Narrow" w:eastAsia="Calibri" w:hAnsi="Arial Narrow"/>
        </w:rPr>
        <w:t>Se considerará para cada titular de Cuenta el escenario RI que genere mayor riesgo.</w:t>
      </w:r>
    </w:p>
    <w:p w14:paraId="0A51E001" w14:textId="77777777" w:rsidR="007968EC" w:rsidRPr="007C5A53" w:rsidRDefault="007968EC" w:rsidP="007968EC">
      <w:pPr>
        <w:autoSpaceDE w:val="0"/>
        <w:autoSpaceDN w:val="0"/>
        <w:adjustRightInd w:val="0"/>
        <w:ind w:left="504"/>
        <w:jc w:val="both"/>
        <w:rPr>
          <w:rFonts w:ascii="Arial Narrow" w:eastAsia="Calibri" w:hAnsi="Arial Narrow"/>
        </w:rPr>
      </w:pPr>
    </w:p>
    <w:p w14:paraId="020B4455" w14:textId="77777777" w:rsidR="007968EC" w:rsidRPr="007C5A53" w:rsidRDefault="007968EC" w:rsidP="00DA7472">
      <w:pPr>
        <w:widowControl w:val="0"/>
        <w:numPr>
          <w:ilvl w:val="0"/>
          <w:numId w:val="277"/>
        </w:numPr>
        <w:autoSpaceDE w:val="0"/>
        <w:autoSpaceDN w:val="0"/>
        <w:adjustRightInd w:val="0"/>
        <w:contextualSpacing/>
        <w:jc w:val="both"/>
        <w:rPr>
          <w:rFonts w:ascii="Arial Narrow" w:eastAsia="Calibri" w:hAnsi="Arial Narrow"/>
          <w:b/>
        </w:rPr>
      </w:pPr>
      <w:r w:rsidRPr="007C5A53">
        <w:rPr>
          <w:rFonts w:ascii="Arial Narrow" w:eastAsia="Calibri" w:hAnsi="Arial Narrow"/>
          <w:b/>
        </w:rPr>
        <w:t xml:space="preserve">Aplicación al Límite de Margin Call: </w:t>
      </w:r>
    </w:p>
    <w:p w14:paraId="05492CAD" w14:textId="77777777" w:rsidR="007968EC" w:rsidRPr="007C5A53" w:rsidRDefault="007968EC" w:rsidP="007968EC">
      <w:pPr>
        <w:autoSpaceDE w:val="0"/>
        <w:autoSpaceDN w:val="0"/>
        <w:adjustRightInd w:val="0"/>
        <w:ind w:left="317"/>
        <w:jc w:val="both"/>
        <w:rPr>
          <w:rFonts w:ascii="Arial Narrow" w:eastAsia="Calibri" w:hAnsi="Arial Narrow"/>
        </w:rPr>
      </w:pPr>
    </w:p>
    <w:p w14:paraId="63439A60" w14:textId="77777777" w:rsidR="007968EC" w:rsidRPr="002C0D19" w:rsidRDefault="007968EC" w:rsidP="007968EC">
      <w:pPr>
        <w:autoSpaceDE w:val="0"/>
        <w:autoSpaceDN w:val="0"/>
        <w:adjustRightInd w:val="0"/>
        <w:jc w:val="both"/>
        <w:rPr>
          <w:rFonts w:ascii="Arial Narrow" w:eastAsia="Calibri" w:hAnsi="Arial Narrow" w:cs="Arial"/>
          <w:lang w:eastAsia="es-ES"/>
        </w:rPr>
      </w:pPr>
      <w:r w:rsidRPr="007C5A53">
        <w:rPr>
          <w:rFonts w:ascii="Arial Narrow" w:eastAsia="Calibri" w:hAnsi="Arial Narrow"/>
        </w:rPr>
        <w:t xml:space="preserve">Para el cálculo del riesgo considerado a efectos del Límite de Margin Call, se aplicarán los pasos descritos en los apartados A, B y C del presente artículo para todas las Operaciones Repo con Posición Abierta a la fecha de cálculo utilizando las </w:t>
      </w:r>
      <w:r w:rsidRPr="007C5A53">
        <w:rPr>
          <w:rFonts w:ascii="Arial Narrow" w:eastAsia="Calibri" w:hAnsi="Arial Narrow"/>
          <w:lang w:eastAsia="es-CO"/>
        </w:rPr>
        <w:t>Fluctuaciones definidas para llamados a Garantías Extraordinarias descritas en la presente Circular.</w:t>
      </w:r>
      <w:r w:rsidRPr="002C0D19" w:rsidDel="007764C5">
        <w:rPr>
          <w:rFonts w:ascii="Arial Narrow" w:eastAsia="Calibri" w:hAnsi="Arial Narrow"/>
        </w:rPr>
        <w:t xml:space="preserve"> </w:t>
      </w:r>
    </w:p>
    <w:p w14:paraId="3386482E" w14:textId="77777777" w:rsidR="007968EC" w:rsidRDefault="007968EC" w:rsidP="007968EC">
      <w:pPr>
        <w:autoSpaceDE w:val="0"/>
        <w:autoSpaceDN w:val="0"/>
        <w:adjustRightInd w:val="0"/>
        <w:ind w:left="317"/>
        <w:jc w:val="both"/>
        <w:rPr>
          <w:rFonts w:ascii="Arial Narrow" w:eastAsia="Calibri" w:hAnsi="Arial Narrow"/>
          <w:b/>
        </w:rPr>
      </w:pPr>
    </w:p>
    <w:p w14:paraId="418BEC2B" w14:textId="77777777" w:rsidR="007968EC" w:rsidRPr="00D7498E" w:rsidRDefault="007968EC" w:rsidP="007968EC">
      <w:pPr>
        <w:pStyle w:val="ARTICULO0"/>
        <w:rPr>
          <w:b w:val="0"/>
          <w:lang w:val="es-ES"/>
        </w:rPr>
      </w:pPr>
      <w:bookmarkStart w:id="6197" w:name="_Toc491265788"/>
      <w:bookmarkStart w:id="6198" w:name="_Toc31716417"/>
      <w:r w:rsidRPr="00D7498E">
        <w:t>Artículo 4.5.2.7. Importe del Fondo de Garantía Colectiva y procedimiento para el cálculo del importe del Fondo de Garantía Colectiva para el Segmento de Renta Variable y de las aportaciones de los Miembros Liquidadores.</w:t>
      </w:r>
      <w:bookmarkEnd w:id="6197"/>
      <w:bookmarkEnd w:id="6198"/>
    </w:p>
    <w:p w14:paraId="2FF01732" w14:textId="77777777" w:rsidR="007968EC" w:rsidRDefault="007968EC" w:rsidP="007968EC">
      <w:pPr>
        <w:pStyle w:val="Sinespaciado"/>
        <w:jc w:val="both"/>
        <w:rPr>
          <w:rFonts w:ascii="Arial Narrow" w:hAnsi="Arial Narrow"/>
          <w:b w:val="0"/>
          <w:sz w:val="24"/>
          <w:szCs w:val="24"/>
        </w:rPr>
      </w:pPr>
    </w:p>
    <w:p w14:paraId="28B6B062" w14:textId="77777777" w:rsidR="007968EC" w:rsidRPr="002F26AA" w:rsidRDefault="007968EC" w:rsidP="007968EC">
      <w:pPr>
        <w:pStyle w:val="ANTECEDENTES"/>
      </w:pPr>
      <w:r w:rsidRPr="002F26AA">
        <w:t>(Este artículo fue adicionado mediante Circular 18 del 15 de septiembre de 2017, publicada en el Boletín Normativo No. 019 del 15 de septiembre de 2017. Rige a partir del 18 de septiembre de 2017.)</w:t>
      </w:r>
    </w:p>
    <w:p w14:paraId="03996391" w14:textId="77777777" w:rsidR="007968EC" w:rsidRPr="00B5307C" w:rsidRDefault="007968EC" w:rsidP="007968EC">
      <w:pPr>
        <w:pStyle w:val="Sinespaciado"/>
        <w:jc w:val="both"/>
        <w:rPr>
          <w:rFonts w:ascii="Arial Narrow" w:hAnsi="Arial Narrow"/>
          <w:b w:val="0"/>
          <w:sz w:val="24"/>
          <w:szCs w:val="24"/>
        </w:rPr>
      </w:pPr>
    </w:p>
    <w:p w14:paraId="2E8D5B7D" w14:textId="77777777" w:rsidR="007968EC" w:rsidRPr="00B5307C" w:rsidRDefault="007968EC" w:rsidP="007968EC">
      <w:pPr>
        <w:pStyle w:val="Sinespaciado"/>
        <w:jc w:val="both"/>
        <w:rPr>
          <w:rFonts w:ascii="Arial Narrow" w:hAnsi="Arial Narrow"/>
          <w:b w:val="0"/>
          <w:sz w:val="24"/>
          <w:szCs w:val="24"/>
          <w:lang w:eastAsia="es-CO"/>
        </w:rPr>
      </w:pPr>
      <w:r w:rsidRPr="00B5307C">
        <w:rPr>
          <w:rFonts w:ascii="Arial Narrow" w:hAnsi="Arial Narrow"/>
          <w:b w:val="0"/>
          <w:sz w:val="24"/>
          <w:szCs w:val="24"/>
          <w:lang w:eastAsia="es-CO"/>
        </w:rPr>
        <w:t>De conformidad con lo previsto en el parágrafo cuarto del artículo 1.6.2.9. de la presente Circular, el procedimiento establecido en el literal d. del numeral 1. del mismo artículo para el Segmento de Renta Variable será el siguiente:</w:t>
      </w:r>
    </w:p>
    <w:p w14:paraId="7FFB8B85" w14:textId="77777777" w:rsidR="007968EC" w:rsidRPr="00B5307C" w:rsidRDefault="007968EC" w:rsidP="007968EC">
      <w:pPr>
        <w:pStyle w:val="Sinespaciado"/>
        <w:jc w:val="both"/>
        <w:rPr>
          <w:rFonts w:ascii="Arial Narrow" w:hAnsi="Arial Narrow"/>
          <w:b w:val="0"/>
          <w:sz w:val="24"/>
          <w:szCs w:val="24"/>
          <w:lang w:eastAsia="es-CO"/>
        </w:rPr>
      </w:pPr>
    </w:p>
    <w:p w14:paraId="70246799" w14:textId="77777777" w:rsidR="007968EC" w:rsidRPr="00B5307C" w:rsidRDefault="007968EC" w:rsidP="007968EC">
      <w:pPr>
        <w:pStyle w:val="Sinespaciado"/>
        <w:ind w:left="1418"/>
        <w:jc w:val="both"/>
        <w:rPr>
          <w:rFonts w:ascii="Arial Narrow" w:hAnsi="Arial Narrow"/>
          <w:b w:val="0"/>
          <w:sz w:val="24"/>
          <w:szCs w:val="24"/>
          <w:lang w:eastAsia="es-CO"/>
        </w:rPr>
      </w:pPr>
      <w:r w:rsidRPr="00B5307C">
        <w:rPr>
          <w:rFonts w:ascii="Arial Narrow" w:hAnsi="Arial Narrow"/>
          <w:b w:val="0"/>
          <w:sz w:val="24"/>
          <w:szCs w:val="24"/>
          <w:lang w:eastAsia="es-CO"/>
        </w:rPr>
        <w:t>Las pérdidas registradas en cada escenario se comparan con las Garantías por Posición de cada una de las Cuentas, según corresponda así:</w:t>
      </w:r>
    </w:p>
    <w:p w14:paraId="3FA74335" w14:textId="77777777" w:rsidR="007968EC" w:rsidRPr="00B5307C" w:rsidRDefault="007968EC" w:rsidP="007968EC">
      <w:pPr>
        <w:pStyle w:val="Sinespaciado"/>
        <w:jc w:val="both"/>
        <w:rPr>
          <w:rFonts w:ascii="Arial Narrow" w:hAnsi="Arial Narrow"/>
          <w:b w:val="0"/>
          <w:sz w:val="24"/>
          <w:szCs w:val="24"/>
          <w:lang w:eastAsia="es-CO"/>
        </w:rPr>
      </w:pPr>
    </w:p>
    <w:p w14:paraId="0ECA0E04" w14:textId="77777777" w:rsidR="007968EC" w:rsidRPr="00B5307C" w:rsidRDefault="007968EC" w:rsidP="00DA7472">
      <w:pPr>
        <w:pStyle w:val="Prrafodelista"/>
        <w:numPr>
          <w:ilvl w:val="0"/>
          <w:numId w:val="305"/>
        </w:numPr>
        <w:autoSpaceDE w:val="0"/>
        <w:autoSpaceDN w:val="0"/>
        <w:adjustRightInd w:val="0"/>
        <w:contextualSpacing/>
        <w:jc w:val="both"/>
        <w:rPr>
          <w:rFonts w:ascii="Arial Narrow" w:hAnsi="Arial Narrow"/>
          <w:b w:val="0"/>
          <w:bCs/>
          <w:color w:val="000000" w:themeColor="text1"/>
        </w:rPr>
      </w:pPr>
      <w:r w:rsidRPr="00B5307C">
        <w:rPr>
          <w:rFonts w:ascii="Arial Narrow" w:hAnsi="Arial Narrow"/>
          <w:b w:val="0"/>
          <w:color w:val="000000" w:themeColor="text1"/>
        </w:rPr>
        <w:t>Para las Cuentas de Terceros Identificados con posiciones vendedoras, el cálculo se realizará de acuerdo con la siguiente fórmula:</w:t>
      </w:r>
    </w:p>
    <w:p w14:paraId="7888670C" w14:textId="77777777" w:rsidR="007968EC" w:rsidRPr="00B5307C" w:rsidRDefault="007968EC" w:rsidP="007968EC">
      <w:pPr>
        <w:pStyle w:val="Prrafodelista"/>
        <w:autoSpaceDE w:val="0"/>
        <w:autoSpaceDN w:val="0"/>
        <w:adjustRightInd w:val="0"/>
        <w:ind w:left="2484"/>
        <w:jc w:val="both"/>
        <w:rPr>
          <w:rFonts w:ascii="Arial Narrow" w:hAnsi="Arial Narrow"/>
          <w:b w:val="0"/>
          <w:color w:val="000000" w:themeColor="text1"/>
        </w:rPr>
      </w:pPr>
    </w:p>
    <w:p w14:paraId="23E62F06" w14:textId="77777777" w:rsidR="007968EC" w:rsidRPr="00B5307C" w:rsidRDefault="007968EC" w:rsidP="007968EC">
      <w:pPr>
        <w:ind w:left="2552"/>
        <w:jc w:val="both"/>
        <w:rPr>
          <w:rFonts w:ascii="Arial Narrow" w:hAnsi="Arial Narrow"/>
        </w:rPr>
      </w:pPr>
      <m:oMath>
        <m:r>
          <w:rPr>
            <w:rFonts w:ascii="Cambria Math" w:hAnsi="Cambria Math"/>
          </w:rPr>
          <m:t>RSTi</m:t>
        </m:r>
        <m:r>
          <w:rPr>
            <w:rFonts w:ascii="Cambria Math" w:hAnsi="Cambria Math" w:cs="Cambria Math"/>
          </w:rPr>
          <m:t>j</m:t>
        </m:r>
        <m:r>
          <w:rPr>
            <w:rFonts w:ascii="Cambria Math" w:hAnsi="Cambria Math"/>
          </w:rPr>
          <m:t>=PSTij-GPTITexigidas-</m:t>
        </m:r>
        <m:r>
          <m:rPr>
            <m:sty m:val="p"/>
          </m:rPr>
          <w:rPr>
            <w:rFonts w:ascii="Cambria Math" w:hAnsi="Cambria Math"/>
          </w:rPr>
          <m:t>max⁡</m:t>
        </m:r>
        <m:r>
          <w:rPr>
            <w:rFonts w:ascii="Cambria Math" w:hAnsi="Cambria Math"/>
          </w:rPr>
          <m:t>(0;GPTITconstituidas-GPTITexigidas)</m:t>
        </m:r>
      </m:oMath>
      <w:r w:rsidRPr="00B5307C">
        <w:rPr>
          <w:rFonts w:ascii="Arial Narrow" w:hAnsi="Arial Narrow"/>
        </w:rPr>
        <w:t xml:space="preserve"> </w:t>
      </w:r>
    </w:p>
    <w:p w14:paraId="50A6AFCD" w14:textId="77777777" w:rsidR="007968EC" w:rsidRPr="00B5307C" w:rsidRDefault="007968EC" w:rsidP="00DA7472">
      <w:pPr>
        <w:pStyle w:val="Prrafodelista"/>
        <w:numPr>
          <w:ilvl w:val="0"/>
          <w:numId w:val="305"/>
        </w:numPr>
        <w:autoSpaceDE w:val="0"/>
        <w:autoSpaceDN w:val="0"/>
        <w:adjustRightInd w:val="0"/>
        <w:contextualSpacing/>
        <w:jc w:val="both"/>
        <w:rPr>
          <w:rFonts w:ascii="Arial Narrow" w:hAnsi="Arial Narrow"/>
          <w:b w:val="0"/>
          <w:bCs/>
          <w:color w:val="000000" w:themeColor="text1"/>
        </w:rPr>
      </w:pPr>
      <w:r w:rsidRPr="00B5307C">
        <w:rPr>
          <w:rFonts w:ascii="Arial Narrow" w:hAnsi="Arial Narrow"/>
          <w:b w:val="0"/>
          <w:color w:val="000000" w:themeColor="text1"/>
        </w:rPr>
        <w:t>Para las Cuentas de Terceros Identificados con posiciones compradoras, el cálculo se realizará de acuerdo con la siguiente fórmula:</w:t>
      </w:r>
    </w:p>
    <w:p w14:paraId="25B33546" w14:textId="77777777" w:rsidR="007968EC" w:rsidRPr="00B5307C" w:rsidRDefault="007968EC" w:rsidP="007968EC">
      <w:pPr>
        <w:pStyle w:val="Prrafodelista"/>
        <w:autoSpaceDE w:val="0"/>
        <w:autoSpaceDN w:val="0"/>
        <w:adjustRightInd w:val="0"/>
        <w:ind w:left="2484"/>
        <w:jc w:val="both"/>
        <w:rPr>
          <w:rFonts w:ascii="Arial Narrow" w:hAnsi="Arial Narrow"/>
          <w:b w:val="0"/>
          <w:color w:val="000000" w:themeColor="text1"/>
        </w:rPr>
      </w:pPr>
    </w:p>
    <w:p w14:paraId="670F8430" w14:textId="77777777" w:rsidR="007968EC" w:rsidRPr="00B5307C" w:rsidRDefault="007968EC" w:rsidP="007968EC">
      <w:pPr>
        <w:pStyle w:val="Prrafodelista"/>
        <w:autoSpaceDE w:val="0"/>
        <w:autoSpaceDN w:val="0"/>
        <w:adjustRightInd w:val="0"/>
        <w:ind w:left="2484"/>
        <w:jc w:val="both"/>
        <w:rPr>
          <w:rFonts w:ascii="Arial Narrow" w:hAnsi="Arial Narrow"/>
          <w:b w:val="0"/>
          <w:szCs w:val="22"/>
        </w:rPr>
      </w:pPr>
      <m:oMath>
        <m:r>
          <m:rPr>
            <m:sty m:val="bi"/>
          </m:rPr>
          <w:rPr>
            <w:rFonts w:ascii="Cambria Math" w:hAnsi="Cambria Math"/>
            <w:szCs w:val="22"/>
          </w:rPr>
          <m:t>RSTij=PSTij-GPTITexigidas-</m:t>
        </m:r>
        <m:r>
          <m:rPr>
            <m:sty m:val="b"/>
          </m:rPr>
          <w:rPr>
            <w:rFonts w:ascii="Cambria Math" w:hAnsi="Cambria Math"/>
            <w:szCs w:val="22"/>
          </w:rPr>
          <m:t>max⁡</m:t>
        </m:r>
        <m:r>
          <m:rPr>
            <m:sty m:val="bi"/>
          </m:rPr>
          <w:rPr>
            <w:rFonts w:ascii="Cambria Math" w:hAnsi="Cambria Math"/>
            <w:szCs w:val="22"/>
          </w:rPr>
          <m:t>(0;(VariationMarginPendiente*(1-Haircut)-GPTITexigidas)</m:t>
        </m:r>
      </m:oMath>
      <w:r w:rsidRPr="00B5307C">
        <w:rPr>
          <w:rFonts w:ascii="Arial Narrow" w:hAnsi="Arial Narrow"/>
          <w:b w:val="0"/>
          <w:szCs w:val="22"/>
        </w:rPr>
        <w:t xml:space="preserve"> </w:t>
      </w:r>
    </w:p>
    <w:p w14:paraId="594F0365" w14:textId="77777777" w:rsidR="007968EC" w:rsidRPr="00B5307C" w:rsidRDefault="007968EC" w:rsidP="007968EC">
      <w:pPr>
        <w:pStyle w:val="Prrafodelista"/>
        <w:autoSpaceDE w:val="0"/>
        <w:autoSpaceDN w:val="0"/>
        <w:adjustRightInd w:val="0"/>
        <w:ind w:left="2484"/>
        <w:jc w:val="both"/>
        <w:rPr>
          <w:rFonts w:ascii="Arial Narrow" w:hAnsi="Arial Narrow"/>
          <w:b w:val="0"/>
        </w:rPr>
      </w:pPr>
    </w:p>
    <w:p w14:paraId="4742315A" w14:textId="77777777" w:rsidR="007968EC" w:rsidRPr="00B5307C" w:rsidRDefault="007968EC" w:rsidP="00DA7472">
      <w:pPr>
        <w:pStyle w:val="Prrafodelista"/>
        <w:numPr>
          <w:ilvl w:val="0"/>
          <w:numId w:val="305"/>
        </w:numPr>
        <w:autoSpaceDE w:val="0"/>
        <w:autoSpaceDN w:val="0"/>
        <w:adjustRightInd w:val="0"/>
        <w:ind w:left="2552" w:hanging="425"/>
        <w:contextualSpacing/>
        <w:jc w:val="both"/>
        <w:rPr>
          <w:rFonts w:ascii="Arial Narrow" w:hAnsi="Arial Narrow"/>
          <w:b w:val="0"/>
          <w:color w:val="000000" w:themeColor="text1"/>
          <w:lang w:val="es-ES"/>
        </w:rPr>
      </w:pPr>
      <w:r w:rsidRPr="00B5307C">
        <w:rPr>
          <w:rFonts w:ascii="Arial Narrow" w:hAnsi="Arial Narrow"/>
          <w:b w:val="0"/>
          <w:color w:val="000000" w:themeColor="text1"/>
        </w:rPr>
        <w:t xml:space="preserve">Para las </w:t>
      </w:r>
      <w:r w:rsidRPr="00B5307C">
        <w:rPr>
          <w:rFonts w:ascii="Arial Narrow" w:hAnsi="Arial Narrow"/>
          <w:b w:val="0"/>
          <w:bCs/>
          <w:color w:val="000000" w:themeColor="text1"/>
        </w:rPr>
        <w:t>Cuentas de Registro de la Cuenta Propia</w:t>
      </w:r>
      <w:r w:rsidRPr="00B5307C">
        <w:rPr>
          <w:rFonts w:ascii="Arial Narrow" w:hAnsi="Arial Narrow"/>
          <w:b w:val="0"/>
          <w:color w:val="000000" w:themeColor="text1"/>
        </w:rPr>
        <w:t xml:space="preserve"> del Miembro Liquidador, el cálculo se realizará de acuerdo con la siguiente fórmula:</w:t>
      </w:r>
    </w:p>
    <w:p w14:paraId="516C269B" w14:textId="77777777" w:rsidR="007968EC" w:rsidRPr="00B5307C" w:rsidRDefault="007968EC" w:rsidP="007968EC">
      <w:pPr>
        <w:pStyle w:val="Prrafodelista"/>
        <w:autoSpaceDE w:val="0"/>
        <w:autoSpaceDN w:val="0"/>
        <w:adjustRightInd w:val="0"/>
        <w:jc w:val="both"/>
        <w:rPr>
          <w:rFonts w:ascii="Arial Narrow" w:hAnsi="Arial Narrow"/>
          <w:b w:val="0"/>
          <w:color w:val="000000" w:themeColor="text1"/>
          <w:lang w:val="es-ES"/>
        </w:rPr>
      </w:pPr>
    </w:p>
    <w:p w14:paraId="3D11EB24" w14:textId="77777777" w:rsidR="007968EC" w:rsidRPr="00B5307C" w:rsidRDefault="007968EC" w:rsidP="007968EC">
      <w:pPr>
        <w:pStyle w:val="Prrafodelista"/>
        <w:autoSpaceDE w:val="0"/>
        <w:autoSpaceDN w:val="0"/>
        <w:adjustRightInd w:val="0"/>
        <w:ind w:left="2484"/>
        <w:jc w:val="both"/>
        <w:rPr>
          <w:rFonts w:ascii="Arial Narrow" w:hAnsi="Arial Narrow"/>
          <w:b w:val="0"/>
          <w:szCs w:val="22"/>
        </w:rPr>
      </w:pPr>
      <m:oMathPara>
        <m:oMath>
          <m:r>
            <m:rPr>
              <m:sty m:val="bi"/>
            </m:rPr>
            <w:rPr>
              <w:rFonts w:ascii="Cambria Math" w:hAnsi="Cambria Math"/>
              <w:szCs w:val="22"/>
            </w:rPr>
            <m:t>RSTij=PSTij-GPTITexigidas</m:t>
          </m:r>
        </m:oMath>
      </m:oMathPara>
    </w:p>
    <w:p w14:paraId="73768DF4" w14:textId="77777777" w:rsidR="007968EC" w:rsidRPr="00B5307C" w:rsidRDefault="007968EC" w:rsidP="007968EC">
      <w:pPr>
        <w:pStyle w:val="Prrafodelista"/>
        <w:autoSpaceDE w:val="0"/>
        <w:autoSpaceDN w:val="0"/>
        <w:adjustRightInd w:val="0"/>
        <w:ind w:left="2484"/>
        <w:jc w:val="both"/>
        <w:rPr>
          <w:rFonts w:ascii="Arial Narrow" w:hAnsi="Arial Narrow"/>
          <w:b w:val="0"/>
        </w:rPr>
      </w:pPr>
    </w:p>
    <w:p w14:paraId="2630CD97" w14:textId="77777777" w:rsidR="007968EC" w:rsidRPr="00B5307C" w:rsidRDefault="007968EC" w:rsidP="007968EC">
      <w:pPr>
        <w:ind w:left="2124"/>
        <w:jc w:val="both"/>
        <w:rPr>
          <w:rFonts w:ascii="Arial Narrow" w:hAnsi="Arial Narrow" w:cs="Arial"/>
          <w:bCs/>
          <w:color w:val="000000" w:themeColor="text1"/>
          <w:lang w:val="es-ES" w:eastAsia="es-ES"/>
        </w:rPr>
      </w:pPr>
      <w:r w:rsidRPr="00B5307C">
        <w:rPr>
          <w:rFonts w:ascii="Arial Narrow" w:hAnsi="Arial Narrow" w:cs="Arial"/>
          <w:bCs/>
          <w:color w:val="000000" w:themeColor="text1"/>
          <w:lang w:val="es-ES" w:eastAsia="es-ES"/>
        </w:rPr>
        <w:t>Donde:</w:t>
      </w:r>
    </w:p>
    <w:p w14:paraId="394BEEC0" w14:textId="77777777" w:rsidR="007968EC" w:rsidRPr="00B5307C" w:rsidRDefault="007968EC" w:rsidP="007968EC">
      <w:pPr>
        <w:ind w:left="2124"/>
        <w:jc w:val="both"/>
        <w:rPr>
          <w:rFonts w:ascii="Arial Narrow" w:hAnsi="Arial Narrow" w:cs="Arial"/>
          <w:bCs/>
          <w:color w:val="000000" w:themeColor="text1"/>
          <w:lang w:val="es-ES" w:eastAsia="es-ES"/>
        </w:rPr>
      </w:pPr>
    </w:p>
    <w:p w14:paraId="31130DDF" w14:textId="77777777" w:rsidR="007968EC" w:rsidRPr="00D7498E" w:rsidRDefault="007968EC" w:rsidP="007968EC">
      <w:pPr>
        <w:ind w:left="2124"/>
        <w:jc w:val="both"/>
        <w:rPr>
          <w:rFonts w:ascii="Arial Narrow" w:hAnsi="Arial Narrow" w:cs="Arial"/>
          <w:bCs/>
          <w:color w:val="000000" w:themeColor="text1"/>
          <w:lang w:val="es-ES" w:eastAsia="es-ES"/>
        </w:rPr>
      </w:pPr>
      <m:oMath>
        <m:r>
          <m:rPr>
            <m:sty m:val="bi"/>
          </m:rPr>
          <w:rPr>
            <w:rFonts w:ascii="Cambria Math" w:hAnsi="Cambria Math" w:cs="Arial"/>
            <w:color w:val="000000" w:themeColor="text1"/>
            <w:lang w:val="es-ES" w:eastAsia="es-ES"/>
          </w:rPr>
          <m:t>i</m:t>
        </m:r>
      </m:oMath>
      <w:r w:rsidRPr="00D7498E">
        <w:rPr>
          <w:rFonts w:ascii="Arial Narrow" w:hAnsi="Arial Narrow" w:cs="Arial"/>
          <w:color w:val="000000" w:themeColor="text1"/>
          <w:lang w:val="es-ES" w:eastAsia="es-ES"/>
        </w:rPr>
        <w:t>=</w:t>
      </w:r>
      <w:r w:rsidRPr="00D7498E">
        <w:rPr>
          <w:rFonts w:ascii="Arial Narrow" w:hAnsi="Arial Narrow" w:cs="Arial"/>
          <w:b/>
          <w:color w:val="000000" w:themeColor="text1"/>
          <w:lang w:val="es-ES" w:eastAsia="es-ES"/>
        </w:rPr>
        <w:t xml:space="preserve"> </w:t>
      </w:r>
      <w:r w:rsidRPr="00D7498E">
        <w:rPr>
          <w:rFonts w:ascii="Arial Narrow" w:hAnsi="Arial Narrow" w:cs="Arial"/>
          <w:color w:val="000000" w:themeColor="text1"/>
          <w:lang w:val="es-ES" w:eastAsia="es-ES"/>
        </w:rPr>
        <w:t>Cuenta i.</w:t>
      </w:r>
    </w:p>
    <w:p w14:paraId="430800D9" w14:textId="77777777" w:rsidR="007968EC" w:rsidRPr="00D7498E" w:rsidRDefault="007968EC" w:rsidP="007968EC">
      <w:pPr>
        <w:ind w:left="2124"/>
        <w:jc w:val="both"/>
        <w:rPr>
          <w:rFonts w:ascii="Arial Narrow" w:hAnsi="Arial Narrow" w:cs="Arial"/>
          <w:bCs/>
          <w:color w:val="000000" w:themeColor="text1"/>
          <w:lang w:val="es-ES" w:eastAsia="es-ES"/>
        </w:rPr>
      </w:pPr>
      <m:oMath>
        <m:r>
          <m:rPr>
            <m:sty m:val="bi"/>
          </m:rPr>
          <w:rPr>
            <w:rFonts w:ascii="Cambria Math" w:hAnsi="Cambria Math" w:cs="Arial"/>
            <w:color w:val="000000" w:themeColor="text1"/>
            <w:lang w:val="es-ES" w:eastAsia="es-ES"/>
          </w:rPr>
          <m:t>j</m:t>
        </m:r>
      </m:oMath>
      <w:r w:rsidRPr="00D7498E">
        <w:rPr>
          <w:rFonts w:ascii="Arial Narrow" w:hAnsi="Arial Narrow" w:cs="Arial"/>
          <w:bCs/>
          <w:color w:val="000000" w:themeColor="text1"/>
          <w:lang w:val="es-ES" w:eastAsia="es-ES"/>
        </w:rPr>
        <w:t xml:space="preserve"> = Escenario j.</w:t>
      </w:r>
    </w:p>
    <w:p w14:paraId="251560B2" w14:textId="77777777" w:rsidR="007968EC" w:rsidRPr="00D7498E" w:rsidRDefault="00682D97" w:rsidP="007968EC">
      <w:pPr>
        <w:ind w:left="2124"/>
        <w:jc w:val="both"/>
        <w:rPr>
          <w:rFonts w:ascii="Arial Narrow" w:hAnsi="Arial Narrow" w:cs="Arial"/>
          <w:bCs/>
          <w:color w:val="000000" w:themeColor="text1"/>
          <w:lang w:val="es-ES" w:eastAsia="es-ES"/>
        </w:rPr>
      </w:pPr>
      <m:oMath>
        <m:sSub>
          <m:sSubPr>
            <m:ctrlPr>
              <w:rPr>
                <w:rFonts w:ascii="Cambria Math" w:hAnsi="Cambria Math" w:cs="Arial"/>
                <w:bCs/>
                <w:color w:val="000000" w:themeColor="text1"/>
                <w:lang w:val="es-ES" w:eastAsia="es-ES"/>
              </w:rPr>
            </m:ctrlPr>
          </m:sSubPr>
          <m:e>
            <m:r>
              <m:rPr>
                <m:sty m:val="bi"/>
              </m:rPr>
              <w:rPr>
                <w:rFonts w:ascii="Cambria Math" w:hAnsi="Cambria Math" w:cs="Arial"/>
                <w:color w:val="000000" w:themeColor="text1"/>
                <w:lang w:val="es-ES" w:eastAsia="es-ES"/>
              </w:rPr>
              <m:t>RST</m:t>
            </m:r>
          </m:e>
          <m:sub>
            <m:r>
              <m:rPr>
                <m:sty m:val="bi"/>
              </m:rPr>
              <w:rPr>
                <w:rFonts w:ascii="Cambria Math" w:hAnsi="Cambria Math" w:cs="Arial"/>
                <w:color w:val="000000" w:themeColor="text1"/>
                <w:lang w:val="es-ES" w:eastAsia="es-ES"/>
              </w:rPr>
              <m:t>ij</m:t>
            </m:r>
          </m:sub>
        </m:sSub>
      </m:oMath>
      <w:r w:rsidR="007968EC" w:rsidRPr="00D7498E">
        <w:rPr>
          <w:rFonts w:ascii="Arial Narrow" w:hAnsi="Arial Narrow" w:cs="Arial"/>
          <w:bCs/>
          <w:color w:val="000000" w:themeColor="text1"/>
          <w:lang w:val="es-ES" w:eastAsia="es-ES"/>
        </w:rPr>
        <w:t>= Riesgo en situación de estrés de la Cuenta i en el escenario j.</w:t>
      </w:r>
    </w:p>
    <w:p w14:paraId="402B5AAA" w14:textId="77777777" w:rsidR="007968EC" w:rsidRPr="00D7498E" w:rsidRDefault="00682D97" w:rsidP="007968EC">
      <w:pPr>
        <w:ind w:left="2124"/>
        <w:jc w:val="both"/>
        <w:rPr>
          <w:rFonts w:ascii="Arial Narrow" w:hAnsi="Arial Narrow" w:cs="Arial"/>
          <w:bCs/>
          <w:color w:val="000000" w:themeColor="text1"/>
          <w:lang w:val="es-ES" w:eastAsia="es-ES"/>
        </w:rPr>
      </w:pPr>
      <m:oMath>
        <m:sSub>
          <m:sSubPr>
            <m:ctrlPr>
              <w:rPr>
                <w:rFonts w:ascii="Cambria Math" w:hAnsi="Cambria Math" w:cs="Arial"/>
                <w:bCs/>
                <w:color w:val="000000" w:themeColor="text1"/>
                <w:lang w:val="es-ES" w:eastAsia="es-ES"/>
              </w:rPr>
            </m:ctrlPr>
          </m:sSubPr>
          <m:e>
            <m:r>
              <m:rPr>
                <m:sty m:val="bi"/>
              </m:rPr>
              <w:rPr>
                <w:rFonts w:ascii="Cambria Math" w:hAnsi="Cambria Math" w:cs="Arial"/>
                <w:color w:val="000000" w:themeColor="text1"/>
                <w:lang w:val="es-ES" w:eastAsia="es-ES"/>
              </w:rPr>
              <m:t>PST</m:t>
            </m:r>
          </m:e>
          <m:sub>
            <m:r>
              <m:rPr>
                <m:sty m:val="bi"/>
              </m:rPr>
              <w:rPr>
                <w:rFonts w:ascii="Cambria Math" w:hAnsi="Cambria Math" w:cs="Arial"/>
                <w:color w:val="000000" w:themeColor="text1"/>
                <w:lang w:val="es-ES" w:eastAsia="es-ES"/>
              </w:rPr>
              <m:t>ij</m:t>
            </m:r>
          </m:sub>
        </m:sSub>
      </m:oMath>
      <w:r w:rsidR="007968EC" w:rsidRPr="00D7498E">
        <w:rPr>
          <w:rFonts w:ascii="Arial Narrow" w:hAnsi="Arial Narrow" w:cs="Arial"/>
          <w:bCs/>
          <w:color w:val="000000" w:themeColor="text1"/>
          <w:lang w:val="es-ES" w:eastAsia="es-ES"/>
        </w:rPr>
        <w:t>= Pérdida en situación de estrés de la Cuenta i en el escenario j.</w:t>
      </w:r>
    </w:p>
    <w:p w14:paraId="5A4208F8" w14:textId="77777777" w:rsidR="007968EC" w:rsidRPr="00D7498E" w:rsidRDefault="007968EC" w:rsidP="007968EC">
      <w:pPr>
        <w:ind w:left="2124"/>
        <w:jc w:val="both"/>
        <w:rPr>
          <w:rFonts w:ascii="Arial Narrow" w:hAnsi="Arial Narrow" w:cs="Arial"/>
          <w:bCs/>
          <w:color w:val="000000" w:themeColor="text1"/>
          <w:lang w:val="es-ES" w:eastAsia="es-ES"/>
        </w:rPr>
      </w:pPr>
      <m:oMath>
        <m:r>
          <m:rPr>
            <m:sty m:val="bi"/>
          </m:rPr>
          <w:rPr>
            <w:rFonts w:ascii="Cambria Math" w:hAnsi="Cambria Math" w:cs="Arial"/>
            <w:color w:val="000000" w:themeColor="text1"/>
            <w:lang w:val="es-ES" w:eastAsia="es-ES"/>
          </w:rPr>
          <m:t>GPTITexigidas</m:t>
        </m:r>
      </m:oMath>
      <w:r w:rsidRPr="00D7498E">
        <w:rPr>
          <w:rFonts w:ascii="Arial Narrow" w:hAnsi="Arial Narrow" w:cs="Arial"/>
          <w:bCs/>
          <w:color w:val="000000" w:themeColor="text1"/>
          <w:lang w:val="es-ES" w:eastAsia="es-ES"/>
        </w:rPr>
        <w:t>= Garantías por Posición exigidas por la Cámara para la Cuenta i.</w:t>
      </w:r>
    </w:p>
    <w:p w14:paraId="325EEA6F" w14:textId="77777777" w:rsidR="007968EC" w:rsidRPr="00D7498E" w:rsidRDefault="007968EC" w:rsidP="007968EC">
      <w:pPr>
        <w:ind w:left="2124"/>
        <w:jc w:val="both"/>
        <w:rPr>
          <w:rFonts w:ascii="Arial Narrow" w:hAnsi="Arial Narrow" w:cs="Arial"/>
          <w:bCs/>
          <w:color w:val="000000" w:themeColor="text1"/>
          <w:lang w:val="es-ES" w:eastAsia="es-ES"/>
        </w:rPr>
      </w:pPr>
      <m:oMath>
        <m:r>
          <m:rPr>
            <m:sty m:val="bi"/>
          </m:rPr>
          <w:rPr>
            <w:rFonts w:ascii="Cambria Math" w:hAnsi="Cambria Math" w:cs="Arial"/>
            <w:color w:val="000000" w:themeColor="text1"/>
            <w:lang w:val="es-ES" w:eastAsia="es-ES"/>
          </w:rPr>
          <m:t>GPTITconstituidas</m:t>
        </m:r>
      </m:oMath>
      <w:r w:rsidRPr="00D7498E">
        <w:rPr>
          <w:rFonts w:ascii="Arial Narrow" w:hAnsi="Arial Narrow" w:cs="Arial"/>
          <w:bCs/>
          <w:color w:val="000000" w:themeColor="text1"/>
          <w:lang w:val="es-ES" w:eastAsia="es-ES"/>
        </w:rPr>
        <w:t>= Garantías por Posición efectivamente constituidas por el Miembro en la Cuenta i.</w:t>
      </w:r>
    </w:p>
    <w:p w14:paraId="7E548414" w14:textId="77777777" w:rsidR="007968EC" w:rsidRPr="00D7498E" w:rsidRDefault="007968EC" w:rsidP="007968EC">
      <w:pPr>
        <w:ind w:left="2124"/>
        <w:jc w:val="both"/>
        <w:rPr>
          <w:rFonts w:ascii="Arial Narrow" w:hAnsi="Arial Narrow" w:cs="Arial"/>
          <w:bCs/>
          <w:color w:val="000000" w:themeColor="text1"/>
          <w:lang w:val="es-ES" w:eastAsia="es-ES"/>
        </w:rPr>
      </w:pPr>
      <m:oMath>
        <m:r>
          <m:rPr>
            <m:sty m:val="bi"/>
          </m:rPr>
          <w:rPr>
            <w:rFonts w:ascii="Cambria Math" w:hAnsi="Cambria Math"/>
          </w:rPr>
          <m:t>Haircut</m:t>
        </m:r>
      </m:oMath>
      <w:r w:rsidRPr="00D7498E">
        <w:rPr>
          <w:rFonts w:ascii="Arial Narrow" w:hAnsi="Arial Narrow" w:cs="Arial"/>
          <w:b/>
        </w:rPr>
        <w:t xml:space="preserve"> </w:t>
      </w:r>
      <w:r w:rsidRPr="00D7498E">
        <w:rPr>
          <w:rFonts w:ascii="Arial Narrow" w:hAnsi="Arial Narrow" w:cs="Arial"/>
        </w:rPr>
        <w:t>=</w:t>
      </w:r>
      <w:r w:rsidRPr="00D7498E">
        <w:rPr>
          <w:rFonts w:ascii="Arial Narrow" w:hAnsi="Arial Narrow" w:cs="Arial"/>
          <w:b/>
        </w:rPr>
        <w:t xml:space="preserve"> </w:t>
      </w:r>
      <w:r w:rsidRPr="00D7498E">
        <w:rPr>
          <w:rFonts w:ascii="Arial Narrow" w:hAnsi="Arial Narrow" w:cs="Arial"/>
          <w:bCs/>
          <w:color w:val="000000" w:themeColor="text1"/>
          <w:lang w:val="es-ES" w:eastAsia="es-ES"/>
        </w:rPr>
        <w:t>Descuento o Haircut para Activos recibidos en garantía especificados en el artículo 1.6.4.2. de la presente Circular.</w:t>
      </w:r>
    </w:p>
    <w:p w14:paraId="0B5BF8B7" w14:textId="77777777" w:rsidR="007968EC" w:rsidRDefault="007968EC" w:rsidP="007968EC">
      <w:pPr>
        <w:pStyle w:val="Sinespaciado"/>
        <w:jc w:val="both"/>
        <w:rPr>
          <w:rFonts w:ascii="Arial Narrow" w:hAnsi="Arial Narrow"/>
          <w:sz w:val="24"/>
          <w:szCs w:val="24"/>
          <w:lang w:eastAsia="es-CO"/>
        </w:rPr>
      </w:pPr>
    </w:p>
    <w:p w14:paraId="62614B49" w14:textId="77777777" w:rsidR="007968EC" w:rsidRPr="00917F15" w:rsidRDefault="007968EC" w:rsidP="007968EC">
      <w:pPr>
        <w:autoSpaceDE w:val="0"/>
        <w:autoSpaceDN w:val="0"/>
        <w:adjustRightInd w:val="0"/>
        <w:ind w:left="317"/>
        <w:jc w:val="both"/>
        <w:rPr>
          <w:rFonts w:ascii="Arial Narrow" w:eastAsia="Calibri" w:hAnsi="Arial Narrow"/>
          <w:b/>
          <w:lang w:val="es-ES"/>
        </w:rPr>
      </w:pPr>
      <w:r>
        <w:rPr>
          <w:rFonts w:ascii="Arial Narrow" w:hAnsi="Arial Narrow"/>
          <w:lang w:val="es-ES" w:eastAsia="es-CO"/>
        </w:rPr>
        <w:t xml:space="preserve">En lo demás, se aplicará </w:t>
      </w:r>
      <w:r w:rsidRPr="00D7498E">
        <w:rPr>
          <w:rFonts w:ascii="Arial Narrow" w:hAnsi="Arial Narrow"/>
          <w:lang w:val="es-ES" w:eastAsia="es-CO"/>
        </w:rPr>
        <w:t xml:space="preserve">el procedimiento </w:t>
      </w:r>
      <w:r>
        <w:rPr>
          <w:rFonts w:ascii="Arial Narrow" w:hAnsi="Arial Narrow"/>
          <w:lang w:val="es-ES" w:eastAsia="es-CO"/>
        </w:rPr>
        <w:t xml:space="preserve">y las fórmulas </w:t>
      </w:r>
      <w:r w:rsidRPr="00D7498E">
        <w:rPr>
          <w:rFonts w:ascii="Arial Narrow" w:hAnsi="Arial Narrow"/>
          <w:lang w:val="es-ES" w:eastAsia="es-CO"/>
        </w:rPr>
        <w:t xml:space="preserve">para el cálculo del importe del Fondo de Garantía Colectiva para el Segmento de Renta Variable y las aportaciones de los Miembros Liquidadores </w:t>
      </w:r>
      <w:r>
        <w:rPr>
          <w:rFonts w:ascii="Arial Narrow" w:hAnsi="Arial Narrow"/>
          <w:lang w:val="es-ES" w:eastAsia="es-CO"/>
        </w:rPr>
        <w:t xml:space="preserve">establecidas </w:t>
      </w:r>
      <w:r w:rsidRPr="00D7498E">
        <w:rPr>
          <w:rFonts w:ascii="Arial Narrow" w:hAnsi="Arial Narrow"/>
          <w:lang w:val="es-ES" w:eastAsia="es-CO"/>
        </w:rPr>
        <w:t>en el artículo 1.6.2.9. de la presente Circular.</w:t>
      </w:r>
    </w:p>
    <w:p w14:paraId="4992224F" w14:textId="77777777" w:rsidR="007968EC" w:rsidRDefault="007968EC" w:rsidP="007968EC">
      <w:pPr>
        <w:jc w:val="center"/>
        <w:outlineLvl w:val="1"/>
        <w:rPr>
          <w:rFonts w:ascii="Arial Narrow" w:eastAsia="Calibri" w:hAnsi="Arial Narrow"/>
          <w:b/>
        </w:rPr>
      </w:pPr>
      <w:bookmarkStart w:id="6199" w:name="_Toc490066737"/>
    </w:p>
    <w:p w14:paraId="063B1508" w14:textId="77777777" w:rsidR="007968EC" w:rsidRPr="002C0D19" w:rsidRDefault="007968EC" w:rsidP="007968EC">
      <w:pPr>
        <w:pStyle w:val="TTULO"/>
        <w:rPr>
          <w:rFonts w:eastAsia="Calibri"/>
        </w:rPr>
      </w:pPr>
      <w:bookmarkStart w:id="6200" w:name="_Toc31716418"/>
      <w:r w:rsidRPr="002C0D19">
        <w:rPr>
          <w:rFonts w:eastAsia="Calibri"/>
        </w:rPr>
        <w:t>CAPÍTULO TERCERO</w:t>
      </w:r>
      <w:bookmarkEnd w:id="6199"/>
      <w:bookmarkEnd w:id="6200"/>
    </w:p>
    <w:p w14:paraId="23A28FB3" w14:textId="77777777" w:rsidR="007968EC" w:rsidRPr="002C0D19" w:rsidRDefault="007968EC" w:rsidP="007968EC">
      <w:pPr>
        <w:pStyle w:val="TTULO"/>
        <w:rPr>
          <w:rFonts w:eastAsia="Calibri"/>
        </w:rPr>
      </w:pPr>
    </w:p>
    <w:p w14:paraId="2E6F9DEB" w14:textId="77777777" w:rsidR="007968EC" w:rsidRPr="002C0D19" w:rsidRDefault="007968EC" w:rsidP="007968EC">
      <w:pPr>
        <w:pStyle w:val="TTULO"/>
      </w:pPr>
      <w:bookmarkStart w:id="6201" w:name="_Toc31716419"/>
      <w:r w:rsidRPr="002C0D19">
        <w:t>PARÁMETROS DE DETERMINACIÓN DE LAS GARANTÍAS POR POSICIÓN APLICABLES A LAS OPERACIONES REPO</w:t>
      </w:r>
      <w:bookmarkEnd w:id="6201"/>
    </w:p>
    <w:p w14:paraId="0B0A1CB0" w14:textId="77777777" w:rsidR="007968EC" w:rsidRPr="002C0D19" w:rsidRDefault="007968EC" w:rsidP="007968EC">
      <w:pPr>
        <w:autoSpaceDE w:val="0"/>
        <w:autoSpaceDN w:val="0"/>
        <w:adjustRightInd w:val="0"/>
        <w:rPr>
          <w:rFonts w:ascii="Arial Narrow" w:eastAsia="Calibri" w:hAnsi="Arial Narrow"/>
          <w:b/>
        </w:rPr>
      </w:pPr>
    </w:p>
    <w:p w14:paraId="1DFB3706" w14:textId="77777777" w:rsidR="007968EC" w:rsidRPr="002C0D19" w:rsidRDefault="007968EC" w:rsidP="007968EC">
      <w:pPr>
        <w:pStyle w:val="ARTICULO0"/>
      </w:pPr>
      <w:bookmarkStart w:id="6202" w:name="_Toc490066738"/>
      <w:bookmarkStart w:id="6203" w:name="_Toc31716420"/>
      <w:r w:rsidRPr="002C0D19">
        <w:t>Artículo 4.5.3.1. Parámetros para el cálculo de la Garantía por Posición aplicables a las Operaciones Repo.</w:t>
      </w:r>
      <w:bookmarkEnd w:id="6202"/>
      <w:bookmarkEnd w:id="6203"/>
    </w:p>
    <w:p w14:paraId="497AA5AA" w14:textId="77777777" w:rsidR="007968EC" w:rsidRPr="00656FAD" w:rsidRDefault="007968EC" w:rsidP="007968EC">
      <w:pPr>
        <w:rPr>
          <w:rFonts w:ascii="Arial Narrow" w:hAnsi="Arial Narrow" w:cs="Arial"/>
          <w:b/>
          <w:lang w:eastAsia="es-ES"/>
        </w:rPr>
      </w:pPr>
    </w:p>
    <w:p w14:paraId="0132455A" w14:textId="77777777" w:rsidR="007968EC" w:rsidRDefault="007968EC" w:rsidP="007968EC">
      <w:pPr>
        <w:pStyle w:val="ANTECEDENTES"/>
      </w:pPr>
      <w:r>
        <w:rPr>
          <w:rFonts w:eastAsia="Calibri"/>
        </w:rPr>
        <w:t xml:space="preserve">(Este artículo fue modificado mediante Circular 15 del 11 de agosto de 2017, publicada en el Boletín Normativo No. 016 del 11 de agosto de 2017, mediante Circular 9 del 14 de junio de 2018, publicada en el Boletín Normativo No. 012 del 14 de junio de 2018, </w:t>
      </w:r>
      <w:r>
        <w:t xml:space="preserve">mediante Circular 13 del 26 de octubre de 2018, publicada en el Boletín Normativo No. 025 del 26 de octubre de 2018, mediante Circular 14 del 30 de noviembre de 2018, publicada en el Boletín Normativo No. 27 del 30 de noviembre de 2018, </w:t>
      </w:r>
      <w:r w:rsidRPr="009207FD">
        <w:t xml:space="preserve">mediante Circular </w:t>
      </w:r>
      <w:r>
        <w:t>1</w:t>
      </w:r>
      <w:r w:rsidRPr="009207FD">
        <w:t xml:space="preserve"> del </w:t>
      </w:r>
      <w:r>
        <w:t>15 de enero de 2019</w:t>
      </w:r>
      <w:r w:rsidRPr="009207FD">
        <w:t>, publicada en el Boletín Normativo N</w:t>
      </w:r>
      <w:r>
        <w:t>o. 001 del 15 de enero de 2019</w:t>
      </w:r>
      <w:r w:rsidRPr="00183469">
        <w:t xml:space="preserve"> </w:t>
      </w:r>
      <w:r>
        <w:t xml:space="preserve">y </w:t>
      </w:r>
      <w:r w:rsidRPr="00183469">
        <w:t>modificado mediante Circular 9 del 2 de julio de 2019, publicada en el Boletín Normativo No. 021 del 2 de julio de 2019</w:t>
      </w:r>
      <w:r>
        <w:t>, y</w:t>
      </w:r>
      <w:r w:rsidRPr="002C0D19">
        <w:t xml:space="preserve"> mediante Circular </w:t>
      </w:r>
      <w:r>
        <w:t>20</w:t>
      </w:r>
      <w:r w:rsidRPr="002C0D19">
        <w:t xml:space="preserve"> del </w:t>
      </w:r>
      <w:r>
        <w:t>6</w:t>
      </w:r>
      <w:r w:rsidRPr="002C0D19">
        <w:t xml:space="preserve"> de diciembre de 201</w:t>
      </w:r>
      <w:r>
        <w:t>9</w:t>
      </w:r>
      <w:r w:rsidRPr="002C0D19">
        <w:t>, publicada en el Boletín Normativo No. 0</w:t>
      </w:r>
      <w:r>
        <w:t>35</w:t>
      </w:r>
      <w:r w:rsidRPr="002C0D19">
        <w:t xml:space="preserve"> del </w:t>
      </w:r>
      <w:r>
        <w:t>6</w:t>
      </w:r>
      <w:r w:rsidRPr="002C0D19">
        <w:t xml:space="preserve"> de diciembre de 201</w:t>
      </w:r>
      <w:r>
        <w:t>9</w:t>
      </w:r>
      <w:r w:rsidRPr="002C0D19">
        <w:t xml:space="preserve">. </w:t>
      </w:r>
      <w:r>
        <w:t>Rige a partir del 9 de diciembre de 2019).</w:t>
      </w:r>
    </w:p>
    <w:p w14:paraId="009B31F7" w14:textId="77777777" w:rsidR="007968EC" w:rsidRDefault="007968EC" w:rsidP="007968EC">
      <w:pPr>
        <w:pStyle w:val="ANTECEDENTES"/>
        <w:rPr>
          <w:rFonts w:eastAsia="Calibri"/>
        </w:rPr>
      </w:pPr>
    </w:p>
    <w:p w14:paraId="5CD880E9" w14:textId="77777777" w:rsidR="007968EC" w:rsidRDefault="007968EC" w:rsidP="007968EC">
      <w:pPr>
        <w:jc w:val="both"/>
        <w:rPr>
          <w:rFonts w:ascii="Arial Narrow" w:eastAsia="Calibri" w:hAnsi="Arial Narrow"/>
        </w:rPr>
      </w:pPr>
      <w:r>
        <w:rPr>
          <w:rFonts w:ascii="Arial Narrow" w:eastAsia="Calibri" w:hAnsi="Arial Narrow"/>
        </w:rPr>
        <w:lastRenderedPageBreak/>
        <w:t>Los Parámetros utilizados para el cálculo de la Garantía por Posición para los Activos elegibles para Operaciones Repo pertenecientes al Segmento de Renta Variable son los siguientes:</w:t>
      </w:r>
    </w:p>
    <w:p w14:paraId="78D6481D" w14:textId="77777777" w:rsidR="007968EC" w:rsidRDefault="007968EC" w:rsidP="007968EC">
      <w:pPr>
        <w:jc w:val="both"/>
        <w:rPr>
          <w:rFonts w:ascii="Arial Narrow" w:eastAsia="Calibri" w:hAnsi="Arial Narrow"/>
        </w:rPr>
      </w:pPr>
    </w:p>
    <w:p w14:paraId="4F996D7B" w14:textId="77777777" w:rsidR="007968EC" w:rsidRDefault="007968EC" w:rsidP="007968EC">
      <w:pPr>
        <w:jc w:val="both"/>
        <w:rPr>
          <w:rFonts w:ascii="Arial Narrow" w:eastAsia="Calibri" w:hAnsi="Arial Narrow"/>
        </w:rPr>
      </w:pPr>
      <w:r>
        <w:rPr>
          <w:rFonts w:ascii="Arial Narrow" w:eastAsia="Calibri" w:hAnsi="Arial Narrow"/>
        </w:rPr>
        <w:t>1. Grupo de compensación, Fluctuación Total y Fluctuación para llamados a Garantías Extraordinarias.</w:t>
      </w:r>
    </w:p>
    <w:p w14:paraId="4C09E5B8" w14:textId="77777777" w:rsidR="007968EC" w:rsidRDefault="007968EC" w:rsidP="007968EC">
      <w:pPr>
        <w:jc w:val="both"/>
        <w:rPr>
          <w:rFonts w:ascii="Arial Narrow" w:eastAsia="Calibri" w:hAnsi="Arial Narrow"/>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6"/>
        <w:gridCol w:w="1554"/>
        <w:gridCol w:w="993"/>
        <w:gridCol w:w="1134"/>
        <w:gridCol w:w="1147"/>
        <w:gridCol w:w="1409"/>
      </w:tblGrid>
      <w:tr w:rsidR="007968EC" w14:paraId="360C44FC" w14:textId="77777777" w:rsidTr="007968EC">
        <w:trPr>
          <w:trHeight w:val="772"/>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BE9C1C"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 xml:space="preserve">Operación Repo sobre Valores de Renta Variable </w:t>
            </w:r>
          </w:p>
        </w:tc>
        <w:tc>
          <w:tcPr>
            <w:tcW w:w="155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77B6F6"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Multiplicador</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B2DE92"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Nominal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1173C3" w14:textId="77777777" w:rsidR="007968EC" w:rsidRDefault="007968EC" w:rsidP="007968EC">
            <w:pPr>
              <w:spacing w:line="256" w:lineRule="auto"/>
              <w:jc w:val="center"/>
              <w:rPr>
                <w:rFonts w:ascii="Arial Narrow" w:eastAsia="Calibri" w:hAnsi="Arial Narrow" w:cstheme="minorBidi"/>
                <w:b/>
                <w:color w:val="000000"/>
                <w:lang w:eastAsia="es-CO"/>
              </w:rPr>
            </w:pPr>
            <w:proofErr w:type="spellStart"/>
            <w:r>
              <w:rPr>
                <w:rFonts w:ascii="Arial Narrow" w:eastAsia="Calibri" w:hAnsi="Arial Narrow" w:cstheme="minorBidi"/>
                <w:color w:val="000000"/>
                <w:lang w:eastAsia="es-CO"/>
              </w:rPr>
              <w:t>Nº</w:t>
            </w:r>
            <w:proofErr w:type="spellEnd"/>
            <w:r>
              <w:rPr>
                <w:rFonts w:ascii="Arial Narrow" w:eastAsia="Calibri" w:hAnsi="Arial Narrow" w:cstheme="minorBidi"/>
                <w:color w:val="000000"/>
                <w:lang w:eastAsia="es-CO"/>
              </w:rPr>
              <w:t xml:space="preserve"> de Escenarios</w:t>
            </w:r>
          </w:p>
        </w:tc>
        <w:tc>
          <w:tcPr>
            <w:tcW w:w="11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92C8E6"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Tipo de Fluctuación</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31D6D9"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Fluctuación Total</w:t>
            </w:r>
          </w:p>
        </w:tc>
      </w:tr>
      <w:tr w:rsidR="007968EC" w14:paraId="21CDC44D" w14:textId="77777777" w:rsidTr="007968EC">
        <w:trPr>
          <w:trHeight w:val="324"/>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BF3EA8"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ACCIÓN ECOPETROL</w:t>
            </w:r>
          </w:p>
        </w:tc>
        <w:tc>
          <w:tcPr>
            <w:tcW w:w="1554" w:type="dxa"/>
            <w:vMerge w:val="restart"/>
            <w:tcBorders>
              <w:top w:val="single" w:sz="4" w:space="0" w:color="auto"/>
              <w:left w:val="single" w:sz="4" w:space="0" w:color="auto"/>
              <w:bottom w:val="single" w:sz="4" w:space="0" w:color="auto"/>
              <w:right w:val="single" w:sz="4" w:space="0" w:color="auto"/>
            </w:tcBorders>
            <w:noWrap/>
            <w:vAlign w:val="center"/>
            <w:hideMark/>
          </w:tcPr>
          <w:p w14:paraId="36D374F8"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1</w:t>
            </w:r>
          </w:p>
        </w:tc>
        <w:tc>
          <w:tcPr>
            <w:tcW w:w="993" w:type="dxa"/>
            <w:vMerge w:val="restart"/>
            <w:tcBorders>
              <w:top w:val="single" w:sz="4" w:space="0" w:color="auto"/>
              <w:left w:val="single" w:sz="4" w:space="0" w:color="auto"/>
              <w:bottom w:val="single" w:sz="4" w:space="0" w:color="auto"/>
              <w:right w:val="single" w:sz="4" w:space="0" w:color="auto"/>
            </w:tcBorders>
            <w:noWrap/>
            <w:vAlign w:val="center"/>
            <w:hideMark/>
          </w:tcPr>
          <w:p w14:paraId="693B21F0"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1</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1C91D7D8"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3</w:t>
            </w:r>
          </w:p>
        </w:tc>
        <w:tc>
          <w:tcPr>
            <w:tcW w:w="1147" w:type="dxa"/>
            <w:vMerge w:val="restart"/>
            <w:tcBorders>
              <w:top w:val="single" w:sz="4" w:space="0" w:color="auto"/>
              <w:left w:val="single" w:sz="4" w:space="0" w:color="auto"/>
              <w:bottom w:val="single" w:sz="4" w:space="0" w:color="auto"/>
              <w:right w:val="single" w:sz="4" w:space="0" w:color="auto"/>
            </w:tcBorders>
            <w:noWrap/>
            <w:vAlign w:val="center"/>
            <w:hideMark/>
          </w:tcPr>
          <w:p w14:paraId="22124346"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Porcentual</w:t>
            </w:r>
          </w:p>
        </w:tc>
        <w:tc>
          <w:tcPr>
            <w:tcW w:w="14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ABAB0C"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12.1%</w:t>
            </w:r>
          </w:p>
        </w:tc>
      </w:tr>
      <w:tr w:rsidR="007968EC" w14:paraId="6610D3E1" w14:textId="77777777" w:rsidTr="007968EC">
        <w:trPr>
          <w:trHeight w:val="324"/>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F088C0"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ACCIÓN PREFERENCIAL BANCOLOMBIA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BB123B"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B72B3E"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0299C7"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D2403C" w14:textId="77777777" w:rsidR="007968EC" w:rsidRDefault="007968EC" w:rsidP="007968EC">
            <w:pPr>
              <w:spacing w:line="256" w:lineRule="auto"/>
              <w:rPr>
                <w:rFonts w:ascii="Arial Narrow" w:eastAsia="Calibri" w:hAnsi="Arial Narrow" w:cstheme="minorBidi"/>
                <w:b/>
                <w:color w:val="000000"/>
                <w:lang w:eastAsia="es-CO"/>
              </w:rPr>
            </w:pPr>
          </w:p>
        </w:tc>
        <w:tc>
          <w:tcPr>
            <w:tcW w:w="14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F70892"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9.4%</w:t>
            </w:r>
          </w:p>
        </w:tc>
      </w:tr>
      <w:tr w:rsidR="007968EC" w14:paraId="6EC13060" w14:textId="77777777" w:rsidTr="007968EC">
        <w:trPr>
          <w:trHeight w:val="324"/>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9D4EE8"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ACCIÓN ISA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E8F0E6"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6E807E"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4452E9"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2DBFA2" w14:textId="77777777" w:rsidR="007968EC" w:rsidRDefault="007968EC" w:rsidP="007968EC">
            <w:pPr>
              <w:spacing w:line="256" w:lineRule="auto"/>
              <w:rPr>
                <w:rFonts w:ascii="Arial Narrow" w:eastAsia="Calibri" w:hAnsi="Arial Narrow" w:cstheme="minorBidi"/>
                <w:b/>
                <w:color w:val="000000"/>
                <w:lang w:eastAsia="es-CO"/>
              </w:rPr>
            </w:pPr>
          </w:p>
        </w:tc>
        <w:tc>
          <w:tcPr>
            <w:tcW w:w="14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1DA7F5"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12.4%</w:t>
            </w:r>
          </w:p>
        </w:tc>
      </w:tr>
      <w:tr w:rsidR="007968EC" w14:paraId="6F9011AF" w14:textId="77777777" w:rsidTr="007968EC">
        <w:trPr>
          <w:trHeight w:val="324"/>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69D2EE"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ACCIÓN NUTRESA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CDB845"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2317AA"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4FC479"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314F92" w14:textId="77777777" w:rsidR="007968EC" w:rsidRDefault="007968EC" w:rsidP="007968EC">
            <w:pPr>
              <w:spacing w:line="256" w:lineRule="auto"/>
              <w:rPr>
                <w:rFonts w:ascii="Arial Narrow" w:eastAsia="Calibri" w:hAnsi="Arial Narrow" w:cstheme="minorBidi"/>
                <w:b/>
                <w:color w:val="000000"/>
                <w:lang w:eastAsia="es-CO"/>
              </w:rPr>
            </w:pPr>
          </w:p>
        </w:tc>
        <w:tc>
          <w:tcPr>
            <w:tcW w:w="14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C63FF3"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9.8%</w:t>
            </w:r>
          </w:p>
        </w:tc>
      </w:tr>
      <w:tr w:rsidR="007968EC" w14:paraId="04EB1545" w14:textId="77777777" w:rsidTr="007968EC">
        <w:trPr>
          <w:trHeight w:val="324"/>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036090"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ACCIÓN PREFERENCIAL AVAL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9C1CB2"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05D533"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D0B4CF"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B53447" w14:textId="77777777" w:rsidR="007968EC" w:rsidRDefault="007968EC" w:rsidP="007968EC">
            <w:pPr>
              <w:spacing w:line="256" w:lineRule="auto"/>
              <w:rPr>
                <w:rFonts w:ascii="Arial Narrow" w:eastAsia="Calibri" w:hAnsi="Arial Narrow" w:cstheme="minorBidi"/>
                <w:b/>
                <w:color w:val="000000"/>
                <w:lang w:eastAsia="es-CO"/>
              </w:rPr>
            </w:pPr>
          </w:p>
        </w:tc>
        <w:tc>
          <w:tcPr>
            <w:tcW w:w="14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A361C8"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13.4%</w:t>
            </w:r>
          </w:p>
        </w:tc>
      </w:tr>
      <w:tr w:rsidR="007968EC" w14:paraId="7883F71A" w14:textId="77777777" w:rsidTr="007968EC">
        <w:trPr>
          <w:trHeight w:val="324"/>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9BA2DA"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ACCIÓN ÉXITO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C3542B"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80E0B1"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38D5DE"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719140" w14:textId="77777777" w:rsidR="007968EC" w:rsidRDefault="007968EC" w:rsidP="007968EC">
            <w:pPr>
              <w:spacing w:line="256" w:lineRule="auto"/>
              <w:rPr>
                <w:rFonts w:ascii="Arial Narrow" w:eastAsia="Calibri" w:hAnsi="Arial Narrow" w:cstheme="minorBidi"/>
                <w:b/>
                <w:color w:val="000000"/>
                <w:lang w:eastAsia="es-CO"/>
              </w:rPr>
            </w:pPr>
          </w:p>
        </w:tc>
        <w:tc>
          <w:tcPr>
            <w:tcW w:w="14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DDF16E"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17.4%</w:t>
            </w:r>
          </w:p>
        </w:tc>
      </w:tr>
      <w:tr w:rsidR="007968EC" w14:paraId="6FE11387" w14:textId="77777777" w:rsidTr="007968EC">
        <w:trPr>
          <w:trHeight w:val="324"/>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ABA118"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ACCIÓN GRUPO ARGOS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501146"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B39880"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EE39D1"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2D0688" w14:textId="77777777" w:rsidR="007968EC" w:rsidRDefault="007968EC" w:rsidP="007968EC">
            <w:pPr>
              <w:spacing w:line="256" w:lineRule="auto"/>
              <w:rPr>
                <w:rFonts w:ascii="Arial Narrow" w:eastAsia="Calibri" w:hAnsi="Arial Narrow" w:cstheme="minorBidi"/>
                <w:b/>
                <w:color w:val="000000"/>
                <w:lang w:eastAsia="es-CO"/>
              </w:rPr>
            </w:pPr>
          </w:p>
        </w:tc>
        <w:tc>
          <w:tcPr>
            <w:tcW w:w="14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604FC6"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11.4%</w:t>
            </w:r>
          </w:p>
        </w:tc>
      </w:tr>
      <w:tr w:rsidR="007968EC" w14:paraId="06662CB2" w14:textId="77777777" w:rsidTr="007968EC">
        <w:trPr>
          <w:trHeight w:val="324"/>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B70F84"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ACCIÓN GRUPO SURA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DAFCF8"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276A8C"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2F3608"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389B15" w14:textId="77777777" w:rsidR="007968EC" w:rsidRDefault="007968EC" w:rsidP="007968EC">
            <w:pPr>
              <w:spacing w:line="256" w:lineRule="auto"/>
              <w:rPr>
                <w:rFonts w:ascii="Arial Narrow" w:eastAsia="Calibri" w:hAnsi="Arial Narrow" w:cstheme="minorBidi"/>
                <w:b/>
                <w:color w:val="000000"/>
                <w:lang w:eastAsia="es-CO"/>
              </w:rPr>
            </w:pPr>
          </w:p>
        </w:tc>
        <w:tc>
          <w:tcPr>
            <w:tcW w:w="14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A26E17"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8.8%</w:t>
            </w:r>
          </w:p>
        </w:tc>
      </w:tr>
      <w:tr w:rsidR="007968EC" w14:paraId="632E2C93" w14:textId="77777777" w:rsidTr="007968EC">
        <w:trPr>
          <w:trHeight w:val="324"/>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CD4EF5"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ACCIÓN PREFERENCIAL GRUPO SURA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5AB984"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8BAC63"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61049E"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FAF325" w14:textId="77777777" w:rsidR="007968EC" w:rsidRDefault="007968EC" w:rsidP="007968EC">
            <w:pPr>
              <w:spacing w:line="256" w:lineRule="auto"/>
              <w:rPr>
                <w:rFonts w:ascii="Arial Narrow" w:eastAsia="Calibri" w:hAnsi="Arial Narrow" w:cstheme="minorBidi"/>
                <w:b/>
                <w:color w:val="000000"/>
                <w:lang w:eastAsia="es-CO"/>
              </w:rPr>
            </w:pPr>
          </w:p>
        </w:tc>
        <w:tc>
          <w:tcPr>
            <w:tcW w:w="14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4EB2CD"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10.5%</w:t>
            </w:r>
          </w:p>
        </w:tc>
      </w:tr>
      <w:tr w:rsidR="007968EC" w14:paraId="306EDD82" w14:textId="77777777" w:rsidTr="007968EC">
        <w:trPr>
          <w:trHeight w:val="324"/>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70F5E4"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ACCIÓN CEMENTOS ARGOS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961AA5"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891EA9"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69F077"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3AF279" w14:textId="77777777" w:rsidR="007968EC" w:rsidRDefault="007968EC" w:rsidP="007968EC">
            <w:pPr>
              <w:spacing w:line="256" w:lineRule="auto"/>
              <w:rPr>
                <w:rFonts w:ascii="Arial Narrow" w:eastAsia="Calibri" w:hAnsi="Arial Narrow" w:cstheme="minorBidi"/>
                <w:b/>
                <w:color w:val="000000"/>
                <w:lang w:eastAsia="es-CO"/>
              </w:rPr>
            </w:pPr>
          </w:p>
        </w:tc>
        <w:tc>
          <w:tcPr>
            <w:tcW w:w="14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7505DD"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11.9%</w:t>
            </w:r>
          </w:p>
        </w:tc>
      </w:tr>
      <w:tr w:rsidR="007968EC" w14:paraId="0E10D64C" w14:textId="77777777" w:rsidTr="007968EC">
        <w:trPr>
          <w:trHeight w:val="324"/>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347F32"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ACCIÓN PREFERENCIAL CEMENTOS ARGOS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007922"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33CA46"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E38664"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A7A10D" w14:textId="77777777" w:rsidR="007968EC" w:rsidRDefault="007968EC" w:rsidP="007968EC">
            <w:pPr>
              <w:spacing w:line="256" w:lineRule="auto"/>
              <w:rPr>
                <w:rFonts w:ascii="Arial Narrow" w:eastAsia="Calibri" w:hAnsi="Arial Narrow" w:cstheme="minorBidi"/>
                <w:b/>
                <w:color w:val="000000"/>
                <w:lang w:eastAsia="es-CO"/>
              </w:rPr>
            </w:pPr>
          </w:p>
        </w:tc>
        <w:tc>
          <w:tcPr>
            <w:tcW w:w="14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DA558C"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17.1%</w:t>
            </w:r>
          </w:p>
        </w:tc>
      </w:tr>
      <w:tr w:rsidR="007968EC" w14:paraId="2FB087D2" w14:textId="77777777" w:rsidTr="007968EC">
        <w:trPr>
          <w:trHeight w:val="324"/>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F9CD98"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ACCIÓN BANCOLOMBIA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510B99"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36BC15"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DA40C0"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F2FEC3" w14:textId="77777777" w:rsidR="007968EC" w:rsidRDefault="007968EC" w:rsidP="007968EC">
            <w:pPr>
              <w:spacing w:line="256" w:lineRule="auto"/>
              <w:rPr>
                <w:rFonts w:ascii="Arial Narrow" w:eastAsia="Calibri" w:hAnsi="Arial Narrow" w:cstheme="minorBidi"/>
                <w:b/>
                <w:color w:val="000000"/>
                <w:lang w:eastAsia="es-CO"/>
              </w:rPr>
            </w:pPr>
          </w:p>
        </w:tc>
        <w:tc>
          <w:tcPr>
            <w:tcW w:w="14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243FCD"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13.7%</w:t>
            </w:r>
          </w:p>
        </w:tc>
      </w:tr>
      <w:tr w:rsidR="007968EC" w14:paraId="1BBD54FB" w14:textId="77777777" w:rsidTr="007968EC">
        <w:trPr>
          <w:trHeight w:val="324"/>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574FCB"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ACCIÓN CELSIA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9CE3AF"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D7683F"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C71127"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E9DDF6" w14:textId="77777777" w:rsidR="007968EC" w:rsidRDefault="007968EC" w:rsidP="007968EC">
            <w:pPr>
              <w:spacing w:line="256" w:lineRule="auto"/>
              <w:rPr>
                <w:rFonts w:ascii="Arial Narrow" w:eastAsia="Calibri" w:hAnsi="Arial Narrow" w:cstheme="minorBidi"/>
                <w:b/>
                <w:color w:val="000000"/>
                <w:lang w:eastAsia="es-CO"/>
              </w:rPr>
            </w:pPr>
          </w:p>
        </w:tc>
        <w:tc>
          <w:tcPr>
            <w:tcW w:w="14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F4E336"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12.6%</w:t>
            </w:r>
          </w:p>
        </w:tc>
      </w:tr>
      <w:tr w:rsidR="007968EC" w14:paraId="1F8BDD65" w14:textId="77777777" w:rsidTr="007968EC">
        <w:trPr>
          <w:trHeight w:val="324"/>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71CF4D"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ACCIÓN CEMEX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2AA251"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A1B76C"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067457"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A9F9BD" w14:textId="77777777" w:rsidR="007968EC" w:rsidRDefault="007968EC" w:rsidP="007968EC">
            <w:pPr>
              <w:spacing w:line="256" w:lineRule="auto"/>
              <w:rPr>
                <w:rFonts w:ascii="Arial Narrow" w:eastAsia="Calibri" w:hAnsi="Arial Narrow" w:cstheme="minorBidi"/>
                <w:b/>
                <w:color w:val="000000"/>
                <w:lang w:eastAsia="es-CO"/>
              </w:rPr>
            </w:pPr>
          </w:p>
        </w:tc>
        <w:tc>
          <w:tcPr>
            <w:tcW w:w="14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DE69C0"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26.8%</w:t>
            </w:r>
          </w:p>
        </w:tc>
      </w:tr>
      <w:tr w:rsidR="007968EC" w14:paraId="0C675D67" w14:textId="77777777" w:rsidTr="007968EC">
        <w:trPr>
          <w:trHeight w:val="324"/>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3B92742"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ACCIÓN CORFICOLOMBIANA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23F854"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FA70D3"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C74557"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BBF51E" w14:textId="77777777" w:rsidR="007968EC" w:rsidRDefault="007968EC" w:rsidP="007968EC">
            <w:pPr>
              <w:spacing w:line="256" w:lineRule="auto"/>
              <w:rPr>
                <w:rFonts w:ascii="Arial Narrow" w:eastAsia="Calibri" w:hAnsi="Arial Narrow" w:cstheme="minorBidi"/>
                <w:b/>
                <w:color w:val="000000"/>
                <w:lang w:eastAsia="es-CO"/>
              </w:rPr>
            </w:pPr>
          </w:p>
        </w:tc>
        <w:tc>
          <w:tcPr>
            <w:tcW w:w="14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B769EB"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14.8%</w:t>
            </w:r>
          </w:p>
        </w:tc>
      </w:tr>
      <w:tr w:rsidR="007968EC" w14:paraId="5593BFAA" w14:textId="77777777" w:rsidTr="007968EC">
        <w:trPr>
          <w:trHeight w:val="324"/>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76E3CC"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ACCIÓN GRUPO DE ENERGÍA DE BOGOTÁ</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0E0FD5"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8228A3"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5DA8EA"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25FF97" w14:textId="77777777" w:rsidR="007968EC" w:rsidRDefault="007968EC" w:rsidP="007968EC">
            <w:pPr>
              <w:spacing w:line="256" w:lineRule="auto"/>
              <w:rPr>
                <w:rFonts w:ascii="Arial Narrow" w:eastAsia="Calibri" w:hAnsi="Arial Narrow" w:cstheme="minorBidi"/>
                <w:b/>
                <w:color w:val="000000"/>
                <w:lang w:eastAsia="es-CO"/>
              </w:rPr>
            </w:pPr>
          </w:p>
        </w:tc>
        <w:tc>
          <w:tcPr>
            <w:tcW w:w="14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CAEA84"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9.3%</w:t>
            </w:r>
          </w:p>
        </w:tc>
      </w:tr>
      <w:tr w:rsidR="007968EC" w14:paraId="684099CF" w14:textId="77777777" w:rsidTr="007968EC">
        <w:trPr>
          <w:trHeight w:val="324"/>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2CC463"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ACCIÓN PREFERENCIAL AVIANCA HOLDING</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76C575"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81FBE3"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A8F9F8"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8A9C60" w14:textId="77777777" w:rsidR="007968EC" w:rsidRDefault="007968EC" w:rsidP="007968EC">
            <w:pPr>
              <w:spacing w:line="256" w:lineRule="auto"/>
              <w:rPr>
                <w:rFonts w:ascii="Arial Narrow" w:eastAsia="Calibri" w:hAnsi="Arial Narrow" w:cstheme="minorBidi"/>
                <w:b/>
                <w:color w:val="000000"/>
                <w:lang w:eastAsia="es-CO"/>
              </w:rPr>
            </w:pPr>
          </w:p>
        </w:tc>
        <w:tc>
          <w:tcPr>
            <w:tcW w:w="14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9DDD53"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23.5%</w:t>
            </w:r>
          </w:p>
        </w:tc>
      </w:tr>
      <w:tr w:rsidR="007968EC" w14:paraId="302B163F" w14:textId="77777777" w:rsidTr="007968EC">
        <w:trPr>
          <w:trHeight w:val="324"/>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59802E"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ACCIÓN PREFERENCIAL DAVIVIENDA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97205B"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C10D04"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1D10A5"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145AA3" w14:textId="77777777" w:rsidR="007968EC" w:rsidRDefault="007968EC" w:rsidP="007968EC">
            <w:pPr>
              <w:spacing w:line="256" w:lineRule="auto"/>
              <w:rPr>
                <w:rFonts w:ascii="Arial Narrow" w:eastAsia="Calibri" w:hAnsi="Arial Narrow" w:cstheme="minorBidi"/>
                <w:b/>
                <w:color w:val="000000"/>
                <w:lang w:eastAsia="es-CO"/>
              </w:rPr>
            </w:pPr>
          </w:p>
        </w:tc>
        <w:tc>
          <w:tcPr>
            <w:tcW w:w="14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E6111B"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12.1%</w:t>
            </w:r>
          </w:p>
        </w:tc>
      </w:tr>
      <w:tr w:rsidR="007968EC" w14:paraId="765050FE" w14:textId="77777777" w:rsidTr="007968EC">
        <w:trPr>
          <w:trHeight w:val="324"/>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0135C6"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ACCIÓN PREFERENCIAL GRUPO ARGOS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7899F6"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B75294"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E7C1CC"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027444" w14:textId="77777777" w:rsidR="007968EC" w:rsidRDefault="007968EC" w:rsidP="007968EC">
            <w:pPr>
              <w:spacing w:line="256" w:lineRule="auto"/>
              <w:rPr>
                <w:rFonts w:ascii="Arial Narrow" w:eastAsia="Calibri" w:hAnsi="Arial Narrow" w:cstheme="minorBidi"/>
                <w:b/>
                <w:color w:val="000000"/>
                <w:lang w:eastAsia="es-CO"/>
              </w:rPr>
            </w:pPr>
          </w:p>
        </w:tc>
        <w:tc>
          <w:tcPr>
            <w:tcW w:w="14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3347A5" w14:textId="77777777" w:rsidR="007968EC" w:rsidRDefault="007968EC" w:rsidP="007968EC">
            <w:pPr>
              <w:spacing w:line="256" w:lineRule="auto"/>
              <w:jc w:val="center"/>
              <w:rPr>
                <w:rFonts w:ascii="Arial Narrow" w:eastAsia="Calibri" w:hAnsi="Arial Narrow" w:cstheme="minorBidi"/>
                <w:b/>
                <w:color w:val="000000"/>
                <w:lang w:eastAsia="es-CO"/>
              </w:rPr>
            </w:pPr>
            <w:r>
              <w:rPr>
                <w:rFonts w:ascii="Arial Narrow" w:eastAsia="Calibri" w:hAnsi="Arial Narrow" w:cstheme="minorBidi"/>
                <w:color w:val="000000"/>
                <w:lang w:eastAsia="es-CO"/>
              </w:rPr>
              <w:t>15.1%</w:t>
            </w:r>
          </w:p>
        </w:tc>
      </w:tr>
      <w:tr w:rsidR="007968EC" w14:paraId="5D206639" w14:textId="77777777" w:rsidTr="007968EC">
        <w:trPr>
          <w:trHeight w:val="70"/>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400821" w14:textId="77777777" w:rsidR="007968EC" w:rsidRDefault="007968EC" w:rsidP="007968EC">
            <w:pPr>
              <w:spacing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ETF ICOLCAP</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84842C"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CF6FF2"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0646F2"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DC75F4" w14:textId="77777777" w:rsidR="007968EC" w:rsidRDefault="007968EC" w:rsidP="007968EC">
            <w:pPr>
              <w:spacing w:line="256" w:lineRule="auto"/>
              <w:rPr>
                <w:rFonts w:ascii="Arial Narrow" w:eastAsia="Calibri" w:hAnsi="Arial Narrow" w:cstheme="minorBidi"/>
                <w:b/>
                <w:color w:val="000000"/>
                <w:lang w:eastAsia="es-CO"/>
              </w:rPr>
            </w:pPr>
          </w:p>
        </w:tc>
        <w:tc>
          <w:tcPr>
            <w:tcW w:w="14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A5C26B" w14:textId="77777777" w:rsidR="007968EC" w:rsidRDefault="007968EC" w:rsidP="007968EC">
            <w:pPr>
              <w:spacing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6.4%</w:t>
            </w:r>
          </w:p>
        </w:tc>
      </w:tr>
      <w:tr w:rsidR="007968EC" w14:paraId="37FD9B84" w14:textId="77777777" w:rsidTr="007968EC">
        <w:trPr>
          <w:trHeight w:val="70"/>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FE935D" w14:textId="77777777" w:rsidR="007968EC" w:rsidRDefault="007968EC" w:rsidP="007968EC">
            <w:pPr>
              <w:spacing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ACCIÓN BANCO DE BOGOTÁ</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683DE3"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B04E9"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981125" w14:textId="77777777" w:rsidR="007968EC" w:rsidRDefault="007968EC" w:rsidP="007968EC">
            <w:pPr>
              <w:spacing w:line="256" w:lineRule="auto"/>
              <w:rPr>
                <w:rFonts w:ascii="Arial Narrow" w:eastAsia="Calibri" w:hAnsi="Arial Narrow" w:cstheme="minorBidi"/>
                <w:b/>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D6A29D" w14:textId="77777777" w:rsidR="007968EC" w:rsidRDefault="007968EC" w:rsidP="007968EC">
            <w:pPr>
              <w:spacing w:line="256" w:lineRule="auto"/>
              <w:rPr>
                <w:rFonts w:ascii="Arial Narrow" w:eastAsia="Calibri" w:hAnsi="Arial Narrow" w:cstheme="minorBidi"/>
                <w:b/>
                <w:color w:val="000000"/>
                <w:lang w:eastAsia="es-CO"/>
              </w:rPr>
            </w:pPr>
          </w:p>
        </w:tc>
        <w:tc>
          <w:tcPr>
            <w:tcW w:w="14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2949B6" w14:textId="77777777" w:rsidR="007968EC" w:rsidRDefault="007968EC" w:rsidP="007968EC">
            <w:pPr>
              <w:spacing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11.6%</w:t>
            </w:r>
          </w:p>
        </w:tc>
      </w:tr>
    </w:tbl>
    <w:p w14:paraId="1743ECF9" w14:textId="77777777" w:rsidR="007968EC" w:rsidRDefault="007968EC" w:rsidP="007968EC">
      <w:pPr>
        <w:jc w:val="both"/>
        <w:rPr>
          <w:rFonts w:ascii="Arial Narrow" w:eastAsia="Calibri" w:hAnsi="Arial Narrow"/>
        </w:rPr>
      </w:pPr>
    </w:p>
    <w:tbl>
      <w:tblPr>
        <w:tblW w:w="9930" w:type="dxa"/>
        <w:jc w:val="center"/>
        <w:tblLayout w:type="fixed"/>
        <w:tblCellMar>
          <w:left w:w="70" w:type="dxa"/>
          <w:right w:w="70" w:type="dxa"/>
        </w:tblCellMar>
        <w:tblLook w:val="04A0" w:firstRow="1" w:lastRow="0" w:firstColumn="1" w:lastColumn="0" w:noHBand="0" w:noVBand="1"/>
      </w:tblPr>
      <w:tblGrid>
        <w:gridCol w:w="3689"/>
        <w:gridCol w:w="2270"/>
        <w:gridCol w:w="1844"/>
        <w:gridCol w:w="2127"/>
      </w:tblGrid>
      <w:tr w:rsidR="007968EC" w14:paraId="14B1A0B6" w14:textId="77777777" w:rsidTr="007968EC">
        <w:trPr>
          <w:cantSplit/>
          <w:trHeight w:val="458"/>
          <w:jc w:val="center"/>
        </w:trPr>
        <w:tc>
          <w:tcPr>
            <w:tcW w:w="3686" w:type="dxa"/>
            <w:vMerge w:val="restart"/>
            <w:tcBorders>
              <w:top w:val="single" w:sz="8" w:space="0" w:color="auto"/>
              <w:left w:val="single" w:sz="8" w:space="0" w:color="auto"/>
              <w:bottom w:val="single" w:sz="8" w:space="0" w:color="000000"/>
              <w:right w:val="single" w:sz="8" w:space="0" w:color="auto"/>
            </w:tcBorders>
            <w:shd w:val="clear" w:color="auto" w:fill="FFFFFF"/>
            <w:noWrap/>
            <w:vAlign w:val="center"/>
            <w:hideMark/>
          </w:tcPr>
          <w:p w14:paraId="23E6D404" w14:textId="77777777" w:rsidR="007968EC" w:rsidRDefault="007968EC" w:rsidP="007968EC">
            <w:pPr>
              <w:spacing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Operación Repo sobre Valores de Renta Variable</w:t>
            </w:r>
          </w:p>
        </w:tc>
        <w:tc>
          <w:tcPr>
            <w:tcW w:w="2268" w:type="dxa"/>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14:paraId="696062D6" w14:textId="77777777" w:rsidR="007968EC" w:rsidRDefault="007968EC" w:rsidP="007968EC">
            <w:pPr>
              <w:spacing w:line="256" w:lineRule="auto"/>
              <w:jc w:val="center"/>
              <w:rPr>
                <w:rFonts w:ascii="Arial Narrow" w:eastAsia="Calibri" w:hAnsi="Arial Narrow" w:cstheme="minorBidi"/>
                <w:b/>
                <w:lang w:eastAsia="es-CO"/>
              </w:rPr>
            </w:pPr>
            <w:r>
              <w:rPr>
                <w:rFonts w:ascii="Arial Narrow" w:eastAsia="Calibri" w:hAnsi="Arial Narrow" w:cstheme="minorBidi"/>
                <w:lang w:eastAsia="es-CO"/>
              </w:rPr>
              <w:t>Factor de cobertura por Time Spread</w:t>
            </w:r>
          </w:p>
        </w:tc>
        <w:tc>
          <w:tcPr>
            <w:tcW w:w="1843" w:type="dxa"/>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14:paraId="31BC8D3A" w14:textId="77777777" w:rsidR="007968EC" w:rsidRDefault="007968EC" w:rsidP="007968EC">
            <w:pPr>
              <w:spacing w:line="256" w:lineRule="auto"/>
              <w:jc w:val="center"/>
              <w:rPr>
                <w:rFonts w:ascii="Arial Narrow" w:eastAsia="Calibri" w:hAnsi="Arial Narrow" w:cstheme="minorBidi"/>
                <w:b/>
                <w:lang w:eastAsia="es-CO"/>
              </w:rPr>
            </w:pPr>
            <w:r>
              <w:rPr>
                <w:rFonts w:ascii="Arial Narrow" w:eastAsia="Calibri" w:hAnsi="Arial Narrow" w:cstheme="minorBidi"/>
                <w:lang w:eastAsia="es-CO"/>
              </w:rPr>
              <w:t>Valor Mínimo por Spread</w:t>
            </w:r>
          </w:p>
        </w:tc>
        <w:tc>
          <w:tcPr>
            <w:tcW w:w="2126" w:type="dxa"/>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14:paraId="2982A99C" w14:textId="77777777" w:rsidR="007968EC" w:rsidRDefault="007968EC" w:rsidP="007968EC">
            <w:pPr>
              <w:spacing w:line="256" w:lineRule="auto"/>
              <w:jc w:val="center"/>
              <w:rPr>
                <w:rFonts w:ascii="Arial Narrow" w:eastAsia="Calibri" w:hAnsi="Arial Narrow" w:cstheme="minorBidi"/>
                <w:lang w:eastAsia="es-CO"/>
              </w:rPr>
            </w:pPr>
            <w:r>
              <w:rPr>
                <w:rFonts w:ascii="Arial Narrow" w:eastAsia="Calibri" w:hAnsi="Arial Narrow" w:cstheme="minorBidi"/>
                <w:lang w:eastAsia="es-CO"/>
              </w:rPr>
              <w:t>Fluctuación para llamados a Garantías Extraordinarias</w:t>
            </w:r>
          </w:p>
        </w:tc>
      </w:tr>
      <w:tr w:rsidR="007968EC" w14:paraId="19A56DAE" w14:textId="77777777" w:rsidTr="007968EC">
        <w:trPr>
          <w:cantSplit/>
          <w:trHeight w:val="476"/>
          <w:jc w:val="center"/>
        </w:trPr>
        <w:tc>
          <w:tcPr>
            <w:tcW w:w="3686" w:type="dxa"/>
            <w:vMerge/>
            <w:tcBorders>
              <w:top w:val="single" w:sz="8" w:space="0" w:color="auto"/>
              <w:left w:val="single" w:sz="8" w:space="0" w:color="auto"/>
              <w:bottom w:val="single" w:sz="8" w:space="0" w:color="000000"/>
              <w:right w:val="single" w:sz="8" w:space="0" w:color="auto"/>
            </w:tcBorders>
            <w:vAlign w:val="center"/>
            <w:hideMark/>
          </w:tcPr>
          <w:p w14:paraId="7D6F3430" w14:textId="77777777" w:rsidR="007968EC" w:rsidRDefault="007968EC" w:rsidP="007968EC">
            <w:pPr>
              <w:spacing w:line="256" w:lineRule="auto"/>
              <w:rPr>
                <w:rFonts w:ascii="Arial Narrow" w:eastAsia="Calibri" w:hAnsi="Arial Narrow" w:cstheme="minorBidi"/>
                <w:color w:val="000000"/>
                <w:lang w:eastAsia="es-CO"/>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14:paraId="2E321FFB" w14:textId="77777777" w:rsidR="007968EC" w:rsidRDefault="007968EC" w:rsidP="007968EC">
            <w:pPr>
              <w:spacing w:line="256" w:lineRule="auto"/>
              <w:rPr>
                <w:rFonts w:ascii="Arial Narrow" w:eastAsia="Calibri" w:hAnsi="Arial Narrow" w:cstheme="minorBidi"/>
                <w:b/>
                <w:lang w:eastAsia="es-CO"/>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5401B47A" w14:textId="77777777" w:rsidR="007968EC" w:rsidRDefault="007968EC" w:rsidP="007968EC">
            <w:pPr>
              <w:spacing w:line="256" w:lineRule="auto"/>
              <w:rPr>
                <w:rFonts w:ascii="Arial Narrow" w:eastAsia="Calibri" w:hAnsi="Arial Narrow" w:cstheme="minorBidi"/>
                <w:b/>
                <w:lang w:eastAsia="es-CO"/>
              </w:rPr>
            </w:pPr>
          </w:p>
        </w:tc>
        <w:tc>
          <w:tcPr>
            <w:tcW w:w="2126" w:type="dxa"/>
            <w:vMerge/>
            <w:tcBorders>
              <w:top w:val="single" w:sz="8" w:space="0" w:color="auto"/>
              <w:left w:val="single" w:sz="8" w:space="0" w:color="auto"/>
              <w:bottom w:val="single" w:sz="8" w:space="0" w:color="000000"/>
              <w:right w:val="single" w:sz="8" w:space="0" w:color="auto"/>
            </w:tcBorders>
            <w:vAlign w:val="center"/>
            <w:hideMark/>
          </w:tcPr>
          <w:p w14:paraId="6075936C" w14:textId="77777777" w:rsidR="007968EC" w:rsidRDefault="007968EC" w:rsidP="007968EC">
            <w:pPr>
              <w:spacing w:line="256" w:lineRule="auto"/>
              <w:rPr>
                <w:rFonts w:ascii="Arial Narrow" w:eastAsia="Calibri" w:hAnsi="Arial Narrow" w:cstheme="minorBidi"/>
                <w:lang w:eastAsia="es-CO"/>
              </w:rPr>
            </w:pPr>
          </w:p>
        </w:tc>
      </w:tr>
      <w:tr w:rsidR="007968EC" w14:paraId="7B3AB77A" w14:textId="77777777" w:rsidTr="007968EC">
        <w:trPr>
          <w:cantSplit/>
          <w:trHeight w:val="330"/>
          <w:jc w:val="center"/>
        </w:trPr>
        <w:tc>
          <w:tcPr>
            <w:tcW w:w="3686" w:type="dxa"/>
            <w:tcBorders>
              <w:top w:val="nil"/>
              <w:left w:val="single" w:sz="8" w:space="0" w:color="auto"/>
              <w:bottom w:val="single" w:sz="8" w:space="0" w:color="auto"/>
              <w:right w:val="single" w:sz="8" w:space="0" w:color="auto"/>
            </w:tcBorders>
            <w:shd w:val="clear" w:color="auto" w:fill="FFFFFF"/>
            <w:noWrap/>
            <w:vAlign w:val="center"/>
            <w:hideMark/>
          </w:tcPr>
          <w:p w14:paraId="7A6D5EB6" w14:textId="77777777" w:rsidR="007968EC" w:rsidRDefault="007968EC" w:rsidP="007968EC">
            <w:pPr>
              <w:spacing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ACCIÓN ECOPETROL</w:t>
            </w:r>
          </w:p>
        </w:tc>
        <w:tc>
          <w:tcPr>
            <w:tcW w:w="2268" w:type="dxa"/>
            <w:vMerge w:val="restart"/>
            <w:tcBorders>
              <w:top w:val="nil"/>
              <w:left w:val="single" w:sz="8" w:space="0" w:color="auto"/>
              <w:bottom w:val="single" w:sz="8" w:space="0" w:color="000000"/>
              <w:right w:val="single" w:sz="8" w:space="0" w:color="auto"/>
            </w:tcBorders>
            <w:noWrap/>
            <w:vAlign w:val="center"/>
            <w:hideMark/>
          </w:tcPr>
          <w:p w14:paraId="50D7564A" w14:textId="77777777" w:rsidR="007968EC" w:rsidRDefault="007968EC" w:rsidP="007968EC">
            <w:pPr>
              <w:spacing w:line="256" w:lineRule="auto"/>
              <w:ind w:left="708" w:hanging="708"/>
              <w:jc w:val="center"/>
              <w:rPr>
                <w:rFonts w:ascii="Arial Narrow" w:eastAsia="Calibri" w:hAnsi="Arial Narrow" w:cstheme="minorBidi"/>
                <w:b/>
                <w:lang w:eastAsia="es-CO"/>
              </w:rPr>
            </w:pPr>
            <w:r>
              <w:rPr>
                <w:rFonts w:ascii="Arial Narrow" w:eastAsia="Calibri" w:hAnsi="Arial Narrow" w:cstheme="minorBidi"/>
                <w:lang w:eastAsia="es-CO"/>
              </w:rPr>
              <w:t> </w:t>
            </w:r>
          </w:p>
        </w:tc>
        <w:tc>
          <w:tcPr>
            <w:tcW w:w="1843" w:type="dxa"/>
            <w:vMerge w:val="restart"/>
            <w:tcBorders>
              <w:top w:val="nil"/>
              <w:left w:val="single" w:sz="8" w:space="0" w:color="auto"/>
              <w:bottom w:val="single" w:sz="8" w:space="0" w:color="000000"/>
              <w:right w:val="single" w:sz="8" w:space="0" w:color="auto"/>
            </w:tcBorders>
            <w:noWrap/>
            <w:vAlign w:val="center"/>
            <w:hideMark/>
          </w:tcPr>
          <w:p w14:paraId="70163D8E" w14:textId="77777777" w:rsidR="007968EC" w:rsidRDefault="007968EC" w:rsidP="007968EC">
            <w:pPr>
              <w:spacing w:line="256" w:lineRule="auto"/>
              <w:ind w:left="708" w:hanging="708"/>
              <w:jc w:val="center"/>
              <w:rPr>
                <w:rFonts w:ascii="Arial Narrow" w:eastAsia="Calibri" w:hAnsi="Arial Narrow" w:cstheme="minorBidi"/>
                <w:b/>
                <w:lang w:eastAsia="es-CO"/>
              </w:rPr>
            </w:pPr>
            <w:r>
              <w:rPr>
                <w:rFonts w:ascii="Arial Narrow" w:eastAsia="Calibri" w:hAnsi="Arial Narrow" w:cstheme="minorBidi"/>
                <w:lang w:eastAsia="es-CO"/>
              </w:rPr>
              <w:t> </w:t>
            </w:r>
          </w:p>
        </w:tc>
        <w:tc>
          <w:tcPr>
            <w:tcW w:w="2126" w:type="dxa"/>
            <w:tcBorders>
              <w:top w:val="nil"/>
              <w:left w:val="nil"/>
              <w:bottom w:val="single" w:sz="8" w:space="0" w:color="auto"/>
              <w:right w:val="single" w:sz="8" w:space="0" w:color="auto"/>
            </w:tcBorders>
            <w:shd w:val="clear" w:color="auto" w:fill="FFFFFF"/>
            <w:noWrap/>
            <w:vAlign w:val="center"/>
            <w:hideMark/>
          </w:tcPr>
          <w:p w14:paraId="20446746" w14:textId="77777777" w:rsidR="007968EC" w:rsidRDefault="007968EC" w:rsidP="007968EC">
            <w:pPr>
              <w:spacing w:line="256" w:lineRule="auto"/>
              <w:jc w:val="center"/>
              <w:rPr>
                <w:rFonts w:ascii="Arial Narrow" w:eastAsia="Calibri" w:hAnsi="Arial Narrow" w:cstheme="minorBidi"/>
                <w:b/>
                <w:lang w:eastAsia="es-CO"/>
              </w:rPr>
            </w:pPr>
            <w:r>
              <w:rPr>
                <w:rFonts w:ascii="Arial Narrow" w:eastAsia="Calibri" w:hAnsi="Arial Narrow" w:cstheme="minorBidi"/>
                <w:lang w:eastAsia="es-CO"/>
              </w:rPr>
              <w:t>9.07%</w:t>
            </w:r>
          </w:p>
        </w:tc>
      </w:tr>
      <w:tr w:rsidR="007968EC" w14:paraId="766578C2" w14:textId="77777777" w:rsidTr="007968EC">
        <w:trPr>
          <w:cantSplit/>
          <w:trHeight w:val="330"/>
          <w:jc w:val="center"/>
        </w:trPr>
        <w:tc>
          <w:tcPr>
            <w:tcW w:w="3686" w:type="dxa"/>
            <w:tcBorders>
              <w:top w:val="nil"/>
              <w:left w:val="single" w:sz="8" w:space="0" w:color="auto"/>
              <w:bottom w:val="single" w:sz="8" w:space="0" w:color="auto"/>
              <w:right w:val="single" w:sz="8" w:space="0" w:color="auto"/>
            </w:tcBorders>
            <w:shd w:val="clear" w:color="auto" w:fill="FFFFFF"/>
            <w:noWrap/>
            <w:vAlign w:val="center"/>
            <w:hideMark/>
          </w:tcPr>
          <w:p w14:paraId="169DB55D" w14:textId="77777777" w:rsidR="007968EC" w:rsidRDefault="007968EC" w:rsidP="007968EC">
            <w:pPr>
              <w:spacing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ACCIÓN PREFERENCIAL BANCOLOMBIA</w:t>
            </w:r>
          </w:p>
        </w:tc>
        <w:tc>
          <w:tcPr>
            <w:tcW w:w="2268" w:type="dxa"/>
            <w:vMerge/>
            <w:tcBorders>
              <w:top w:val="nil"/>
              <w:left w:val="single" w:sz="8" w:space="0" w:color="auto"/>
              <w:bottom w:val="single" w:sz="8" w:space="0" w:color="000000"/>
              <w:right w:val="single" w:sz="8" w:space="0" w:color="auto"/>
            </w:tcBorders>
            <w:vAlign w:val="center"/>
            <w:hideMark/>
          </w:tcPr>
          <w:p w14:paraId="3B4375F2" w14:textId="77777777" w:rsidR="007968EC" w:rsidRDefault="007968EC" w:rsidP="007968EC">
            <w:pPr>
              <w:spacing w:line="256" w:lineRule="auto"/>
              <w:rPr>
                <w:rFonts w:ascii="Arial Narrow" w:eastAsia="Calibri" w:hAnsi="Arial Narrow" w:cstheme="minorBidi"/>
                <w:b/>
                <w:lang w:eastAsia="es-CO"/>
              </w:rPr>
            </w:pPr>
          </w:p>
        </w:tc>
        <w:tc>
          <w:tcPr>
            <w:tcW w:w="1843" w:type="dxa"/>
            <w:vMerge/>
            <w:tcBorders>
              <w:top w:val="nil"/>
              <w:left w:val="single" w:sz="8" w:space="0" w:color="auto"/>
              <w:bottom w:val="single" w:sz="8" w:space="0" w:color="000000"/>
              <w:right w:val="single" w:sz="8" w:space="0" w:color="auto"/>
            </w:tcBorders>
            <w:vAlign w:val="center"/>
            <w:hideMark/>
          </w:tcPr>
          <w:p w14:paraId="2610917E" w14:textId="77777777" w:rsidR="007968EC" w:rsidRDefault="007968EC" w:rsidP="007968EC">
            <w:pPr>
              <w:spacing w:line="256" w:lineRule="auto"/>
              <w:rPr>
                <w:rFonts w:ascii="Arial Narrow" w:eastAsia="Calibri" w:hAnsi="Arial Narrow" w:cstheme="minorBidi"/>
                <w:b/>
                <w:lang w:eastAsia="es-CO"/>
              </w:rPr>
            </w:pPr>
          </w:p>
        </w:tc>
        <w:tc>
          <w:tcPr>
            <w:tcW w:w="2126" w:type="dxa"/>
            <w:tcBorders>
              <w:top w:val="nil"/>
              <w:left w:val="nil"/>
              <w:bottom w:val="single" w:sz="8" w:space="0" w:color="auto"/>
              <w:right w:val="single" w:sz="8" w:space="0" w:color="auto"/>
            </w:tcBorders>
            <w:shd w:val="clear" w:color="auto" w:fill="FFFFFF"/>
            <w:noWrap/>
            <w:vAlign w:val="center"/>
            <w:hideMark/>
          </w:tcPr>
          <w:p w14:paraId="64AA5AAD" w14:textId="77777777" w:rsidR="007968EC" w:rsidRDefault="007968EC" w:rsidP="007968EC">
            <w:pPr>
              <w:spacing w:line="256" w:lineRule="auto"/>
              <w:jc w:val="center"/>
              <w:rPr>
                <w:rFonts w:ascii="Arial Narrow" w:eastAsia="Calibri" w:hAnsi="Arial Narrow" w:cstheme="minorBidi"/>
                <w:b/>
                <w:lang w:eastAsia="es-CO"/>
              </w:rPr>
            </w:pPr>
            <w:r>
              <w:rPr>
                <w:rFonts w:ascii="Arial Narrow" w:eastAsia="Calibri" w:hAnsi="Arial Narrow" w:cstheme="minorBidi"/>
                <w:lang w:eastAsia="es-CO"/>
              </w:rPr>
              <w:t>7.05%</w:t>
            </w:r>
          </w:p>
        </w:tc>
      </w:tr>
      <w:tr w:rsidR="007968EC" w14:paraId="0140830E" w14:textId="77777777" w:rsidTr="007968EC">
        <w:trPr>
          <w:cantSplit/>
          <w:trHeight w:val="330"/>
          <w:jc w:val="center"/>
        </w:trPr>
        <w:tc>
          <w:tcPr>
            <w:tcW w:w="3686" w:type="dxa"/>
            <w:tcBorders>
              <w:top w:val="nil"/>
              <w:left w:val="single" w:sz="8" w:space="0" w:color="auto"/>
              <w:bottom w:val="single" w:sz="8" w:space="0" w:color="auto"/>
              <w:right w:val="single" w:sz="8" w:space="0" w:color="auto"/>
            </w:tcBorders>
            <w:shd w:val="clear" w:color="auto" w:fill="FFFFFF"/>
            <w:noWrap/>
            <w:vAlign w:val="center"/>
            <w:hideMark/>
          </w:tcPr>
          <w:p w14:paraId="2DD6A97B" w14:textId="77777777" w:rsidR="007968EC" w:rsidRDefault="007968EC" w:rsidP="007968EC">
            <w:pPr>
              <w:spacing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ACCIÓN ISA</w:t>
            </w:r>
          </w:p>
        </w:tc>
        <w:tc>
          <w:tcPr>
            <w:tcW w:w="2268" w:type="dxa"/>
            <w:vMerge/>
            <w:tcBorders>
              <w:top w:val="nil"/>
              <w:left w:val="single" w:sz="8" w:space="0" w:color="auto"/>
              <w:bottom w:val="single" w:sz="8" w:space="0" w:color="000000"/>
              <w:right w:val="single" w:sz="8" w:space="0" w:color="auto"/>
            </w:tcBorders>
            <w:vAlign w:val="center"/>
            <w:hideMark/>
          </w:tcPr>
          <w:p w14:paraId="1F30A907" w14:textId="77777777" w:rsidR="007968EC" w:rsidRDefault="007968EC" w:rsidP="007968EC">
            <w:pPr>
              <w:spacing w:line="256" w:lineRule="auto"/>
              <w:rPr>
                <w:rFonts w:ascii="Arial Narrow" w:eastAsia="Calibri" w:hAnsi="Arial Narrow" w:cstheme="minorBidi"/>
                <w:b/>
                <w:lang w:eastAsia="es-CO"/>
              </w:rPr>
            </w:pPr>
          </w:p>
        </w:tc>
        <w:tc>
          <w:tcPr>
            <w:tcW w:w="1843" w:type="dxa"/>
            <w:vMerge/>
            <w:tcBorders>
              <w:top w:val="nil"/>
              <w:left w:val="single" w:sz="8" w:space="0" w:color="auto"/>
              <w:bottom w:val="single" w:sz="8" w:space="0" w:color="000000"/>
              <w:right w:val="single" w:sz="8" w:space="0" w:color="auto"/>
            </w:tcBorders>
            <w:vAlign w:val="center"/>
            <w:hideMark/>
          </w:tcPr>
          <w:p w14:paraId="28D1471D" w14:textId="77777777" w:rsidR="007968EC" w:rsidRDefault="007968EC" w:rsidP="007968EC">
            <w:pPr>
              <w:spacing w:line="256" w:lineRule="auto"/>
              <w:rPr>
                <w:rFonts w:ascii="Arial Narrow" w:eastAsia="Calibri" w:hAnsi="Arial Narrow" w:cstheme="minorBidi"/>
                <w:b/>
                <w:lang w:eastAsia="es-CO"/>
              </w:rPr>
            </w:pPr>
          </w:p>
        </w:tc>
        <w:tc>
          <w:tcPr>
            <w:tcW w:w="2126" w:type="dxa"/>
            <w:tcBorders>
              <w:top w:val="nil"/>
              <w:left w:val="nil"/>
              <w:bottom w:val="single" w:sz="8" w:space="0" w:color="auto"/>
              <w:right w:val="single" w:sz="8" w:space="0" w:color="auto"/>
            </w:tcBorders>
            <w:shd w:val="clear" w:color="auto" w:fill="FFFFFF"/>
            <w:noWrap/>
            <w:vAlign w:val="center"/>
            <w:hideMark/>
          </w:tcPr>
          <w:p w14:paraId="7FA1E7A4" w14:textId="77777777" w:rsidR="007968EC" w:rsidRDefault="007968EC" w:rsidP="007968EC">
            <w:pPr>
              <w:spacing w:line="256" w:lineRule="auto"/>
              <w:jc w:val="center"/>
              <w:rPr>
                <w:rFonts w:ascii="Arial Narrow" w:eastAsia="Calibri" w:hAnsi="Arial Narrow" w:cstheme="minorBidi"/>
                <w:b/>
                <w:lang w:eastAsia="es-CO"/>
              </w:rPr>
            </w:pPr>
            <w:r>
              <w:rPr>
                <w:rFonts w:ascii="Arial Narrow" w:eastAsia="Calibri" w:hAnsi="Arial Narrow" w:cstheme="minorBidi"/>
                <w:lang w:eastAsia="es-CO"/>
              </w:rPr>
              <w:t>9.30%</w:t>
            </w:r>
          </w:p>
        </w:tc>
      </w:tr>
      <w:tr w:rsidR="007968EC" w14:paraId="151DE7DB" w14:textId="77777777" w:rsidTr="007968EC">
        <w:trPr>
          <w:cantSplit/>
          <w:trHeight w:val="330"/>
          <w:jc w:val="center"/>
        </w:trPr>
        <w:tc>
          <w:tcPr>
            <w:tcW w:w="3686" w:type="dxa"/>
            <w:tcBorders>
              <w:top w:val="nil"/>
              <w:left w:val="single" w:sz="8" w:space="0" w:color="auto"/>
              <w:bottom w:val="single" w:sz="8" w:space="0" w:color="auto"/>
              <w:right w:val="single" w:sz="8" w:space="0" w:color="auto"/>
            </w:tcBorders>
            <w:shd w:val="clear" w:color="auto" w:fill="FFFFFF"/>
            <w:noWrap/>
            <w:vAlign w:val="center"/>
            <w:hideMark/>
          </w:tcPr>
          <w:p w14:paraId="22F068F5" w14:textId="77777777" w:rsidR="007968EC" w:rsidRDefault="007968EC" w:rsidP="007968EC">
            <w:pPr>
              <w:spacing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ACCIÓN NUTRESA</w:t>
            </w:r>
          </w:p>
        </w:tc>
        <w:tc>
          <w:tcPr>
            <w:tcW w:w="2268" w:type="dxa"/>
            <w:vMerge/>
            <w:tcBorders>
              <w:top w:val="nil"/>
              <w:left w:val="single" w:sz="8" w:space="0" w:color="auto"/>
              <w:bottom w:val="single" w:sz="8" w:space="0" w:color="000000"/>
              <w:right w:val="single" w:sz="8" w:space="0" w:color="auto"/>
            </w:tcBorders>
            <w:vAlign w:val="center"/>
            <w:hideMark/>
          </w:tcPr>
          <w:p w14:paraId="7BF753AC" w14:textId="77777777" w:rsidR="007968EC" w:rsidRDefault="007968EC" w:rsidP="007968EC">
            <w:pPr>
              <w:spacing w:line="256" w:lineRule="auto"/>
              <w:rPr>
                <w:rFonts w:ascii="Arial Narrow" w:eastAsia="Calibri" w:hAnsi="Arial Narrow" w:cstheme="minorBidi"/>
                <w:b/>
                <w:lang w:eastAsia="es-CO"/>
              </w:rPr>
            </w:pPr>
          </w:p>
        </w:tc>
        <w:tc>
          <w:tcPr>
            <w:tcW w:w="1843" w:type="dxa"/>
            <w:vMerge/>
            <w:tcBorders>
              <w:top w:val="nil"/>
              <w:left w:val="single" w:sz="8" w:space="0" w:color="auto"/>
              <w:bottom w:val="single" w:sz="8" w:space="0" w:color="000000"/>
              <w:right w:val="single" w:sz="8" w:space="0" w:color="auto"/>
            </w:tcBorders>
            <w:vAlign w:val="center"/>
            <w:hideMark/>
          </w:tcPr>
          <w:p w14:paraId="5A51DC90" w14:textId="77777777" w:rsidR="007968EC" w:rsidRDefault="007968EC" w:rsidP="007968EC">
            <w:pPr>
              <w:spacing w:line="256" w:lineRule="auto"/>
              <w:rPr>
                <w:rFonts w:ascii="Arial Narrow" w:eastAsia="Calibri" w:hAnsi="Arial Narrow" w:cstheme="minorBidi"/>
                <w:b/>
                <w:lang w:eastAsia="es-CO"/>
              </w:rPr>
            </w:pPr>
          </w:p>
        </w:tc>
        <w:tc>
          <w:tcPr>
            <w:tcW w:w="2126" w:type="dxa"/>
            <w:tcBorders>
              <w:top w:val="nil"/>
              <w:left w:val="nil"/>
              <w:bottom w:val="single" w:sz="8" w:space="0" w:color="auto"/>
              <w:right w:val="single" w:sz="8" w:space="0" w:color="auto"/>
            </w:tcBorders>
            <w:shd w:val="clear" w:color="auto" w:fill="FFFFFF"/>
            <w:noWrap/>
            <w:vAlign w:val="center"/>
            <w:hideMark/>
          </w:tcPr>
          <w:p w14:paraId="11877847" w14:textId="77777777" w:rsidR="007968EC" w:rsidRDefault="007968EC" w:rsidP="007968EC">
            <w:pPr>
              <w:spacing w:line="256" w:lineRule="auto"/>
              <w:jc w:val="center"/>
              <w:rPr>
                <w:rFonts w:ascii="Arial Narrow" w:eastAsia="Calibri" w:hAnsi="Arial Narrow" w:cstheme="minorBidi"/>
                <w:b/>
                <w:lang w:eastAsia="es-CO"/>
              </w:rPr>
            </w:pPr>
            <w:r>
              <w:rPr>
                <w:rFonts w:ascii="Arial Narrow" w:eastAsia="Calibri" w:hAnsi="Arial Narrow" w:cstheme="minorBidi"/>
                <w:lang w:eastAsia="es-CO"/>
              </w:rPr>
              <w:t>7.35%</w:t>
            </w:r>
          </w:p>
        </w:tc>
      </w:tr>
      <w:tr w:rsidR="007968EC" w14:paraId="0C234426" w14:textId="77777777" w:rsidTr="007968EC">
        <w:trPr>
          <w:cantSplit/>
          <w:trHeight w:val="330"/>
          <w:jc w:val="center"/>
        </w:trPr>
        <w:tc>
          <w:tcPr>
            <w:tcW w:w="3686" w:type="dxa"/>
            <w:tcBorders>
              <w:top w:val="nil"/>
              <w:left w:val="single" w:sz="8" w:space="0" w:color="auto"/>
              <w:bottom w:val="single" w:sz="8" w:space="0" w:color="auto"/>
              <w:right w:val="single" w:sz="8" w:space="0" w:color="auto"/>
            </w:tcBorders>
            <w:shd w:val="clear" w:color="auto" w:fill="FFFFFF"/>
            <w:noWrap/>
            <w:vAlign w:val="center"/>
            <w:hideMark/>
          </w:tcPr>
          <w:p w14:paraId="3754688B" w14:textId="77777777" w:rsidR="007968EC" w:rsidRDefault="007968EC" w:rsidP="007968EC">
            <w:pPr>
              <w:spacing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ACCIÓN PREFERENCIAL AVAL</w:t>
            </w:r>
          </w:p>
        </w:tc>
        <w:tc>
          <w:tcPr>
            <w:tcW w:w="2268" w:type="dxa"/>
            <w:vMerge/>
            <w:tcBorders>
              <w:top w:val="nil"/>
              <w:left w:val="single" w:sz="8" w:space="0" w:color="auto"/>
              <w:bottom w:val="single" w:sz="8" w:space="0" w:color="000000"/>
              <w:right w:val="single" w:sz="8" w:space="0" w:color="auto"/>
            </w:tcBorders>
            <w:vAlign w:val="center"/>
            <w:hideMark/>
          </w:tcPr>
          <w:p w14:paraId="3C3B67E0" w14:textId="77777777" w:rsidR="007968EC" w:rsidRDefault="007968EC" w:rsidP="007968EC">
            <w:pPr>
              <w:spacing w:line="256" w:lineRule="auto"/>
              <w:rPr>
                <w:rFonts w:ascii="Arial Narrow" w:eastAsia="Calibri" w:hAnsi="Arial Narrow" w:cstheme="minorBidi"/>
                <w:b/>
                <w:lang w:eastAsia="es-CO"/>
              </w:rPr>
            </w:pPr>
          </w:p>
        </w:tc>
        <w:tc>
          <w:tcPr>
            <w:tcW w:w="1843" w:type="dxa"/>
            <w:vMerge/>
            <w:tcBorders>
              <w:top w:val="nil"/>
              <w:left w:val="single" w:sz="8" w:space="0" w:color="auto"/>
              <w:bottom w:val="single" w:sz="8" w:space="0" w:color="000000"/>
              <w:right w:val="single" w:sz="8" w:space="0" w:color="auto"/>
            </w:tcBorders>
            <w:vAlign w:val="center"/>
            <w:hideMark/>
          </w:tcPr>
          <w:p w14:paraId="4E0CCBE0" w14:textId="77777777" w:rsidR="007968EC" w:rsidRDefault="007968EC" w:rsidP="007968EC">
            <w:pPr>
              <w:spacing w:line="256" w:lineRule="auto"/>
              <w:rPr>
                <w:rFonts w:ascii="Arial Narrow" w:eastAsia="Calibri" w:hAnsi="Arial Narrow" w:cstheme="minorBidi"/>
                <w:b/>
                <w:lang w:eastAsia="es-CO"/>
              </w:rPr>
            </w:pPr>
          </w:p>
        </w:tc>
        <w:tc>
          <w:tcPr>
            <w:tcW w:w="2126" w:type="dxa"/>
            <w:tcBorders>
              <w:top w:val="nil"/>
              <w:left w:val="nil"/>
              <w:bottom w:val="single" w:sz="8" w:space="0" w:color="auto"/>
              <w:right w:val="single" w:sz="8" w:space="0" w:color="auto"/>
            </w:tcBorders>
            <w:shd w:val="clear" w:color="auto" w:fill="FFFFFF"/>
            <w:noWrap/>
            <w:vAlign w:val="center"/>
            <w:hideMark/>
          </w:tcPr>
          <w:p w14:paraId="5BF61F7F" w14:textId="77777777" w:rsidR="007968EC" w:rsidRDefault="007968EC" w:rsidP="007968EC">
            <w:pPr>
              <w:spacing w:line="256" w:lineRule="auto"/>
              <w:jc w:val="center"/>
              <w:rPr>
                <w:rFonts w:ascii="Arial Narrow" w:eastAsia="Calibri" w:hAnsi="Arial Narrow" w:cstheme="minorBidi"/>
                <w:b/>
                <w:lang w:eastAsia="es-CO"/>
              </w:rPr>
            </w:pPr>
            <w:r>
              <w:rPr>
                <w:rFonts w:ascii="Arial Narrow" w:eastAsia="Calibri" w:hAnsi="Arial Narrow" w:cstheme="minorBidi"/>
                <w:lang w:eastAsia="es-CO"/>
              </w:rPr>
              <w:t>10.05%</w:t>
            </w:r>
          </w:p>
        </w:tc>
      </w:tr>
      <w:tr w:rsidR="007968EC" w14:paraId="2B258188" w14:textId="77777777" w:rsidTr="007968EC">
        <w:trPr>
          <w:cantSplit/>
          <w:trHeight w:val="330"/>
          <w:jc w:val="center"/>
        </w:trPr>
        <w:tc>
          <w:tcPr>
            <w:tcW w:w="3686" w:type="dxa"/>
            <w:tcBorders>
              <w:top w:val="nil"/>
              <w:left w:val="single" w:sz="8" w:space="0" w:color="auto"/>
              <w:bottom w:val="single" w:sz="8" w:space="0" w:color="auto"/>
              <w:right w:val="single" w:sz="8" w:space="0" w:color="auto"/>
            </w:tcBorders>
            <w:shd w:val="clear" w:color="auto" w:fill="FFFFFF"/>
            <w:noWrap/>
            <w:vAlign w:val="center"/>
            <w:hideMark/>
          </w:tcPr>
          <w:p w14:paraId="3FFA26B1" w14:textId="77777777" w:rsidR="007968EC" w:rsidRDefault="007968EC" w:rsidP="007968EC">
            <w:pPr>
              <w:spacing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ACCIÓN ÉXITO</w:t>
            </w:r>
          </w:p>
        </w:tc>
        <w:tc>
          <w:tcPr>
            <w:tcW w:w="2268" w:type="dxa"/>
            <w:vMerge/>
            <w:tcBorders>
              <w:top w:val="nil"/>
              <w:left w:val="single" w:sz="8" w:space="0" w:color="auto"/>
              <w:bottom w:val="single" w:sz="8" w:space="0" w:color="000000"/>
              <w:right w:val="single" w:sz="8" w:space="0" w:color="auto"/>
            </w:tcBorders>
            <w:vAlign w:val="center"/>
            <w:hideMark/>
          </w:tcPr>
          <w:p w14:paraId="7AAB39AD" w14:textId="77777777" w:rsidR="007968EC" w:rsidRDefault="007968EC" w:rsidP="007968EC">
            <w:pPr>
              <w:spacing w:line="256" w:lineRule="auto"/>
              <w:rPr>
                <w:rFonts w:ascii="Arial Narrow" w:eastAsia="Calibri" w:hAnsi="Arial Narrow" w:cstheme="minorBidi"/>
                <w:b/>
                <w:lang w:eastAsia="es-CO"/>
              </w:rPr>
            </w:pPr>
          </w:p>
        </w:tc>
        <w:tc>
          <w:tcPr>
            <w:tcW w:w="1843" w:type="dxa"/>
            <w:vMerge/>
            <w:tcBorders>
              <w:top w:val="nil"/>
              <w:left w:val="single" w:sz="8" w:space="0" w:color="auto"/>
              <w:bottom w:val="single" w:sz="8" w:space="0" w:color="000000"/>
              <w:right w:val="single" w:sz="8" w:space="0" w:color="auto"/>
            </w:tcBorders>
            <w:vAlign w:val="center"/>
            <w:hideMark/>
          </w:tcPr>
          <w:p w14:paraId="15D098D6" w14:textId="77777777" w:rsidR="007968EC" w:rsidRDefault="007968EC" w:rsidP="007968EC">
            <w:pPr>
              <w:spacing w:line="256" w:lineRule="auto"/>
              <w:rPr>
                <w:rFonts w:ascii="Arial Narrow" w:eastAsia="Calibri" w:hAnsi="Arial Narrow" w:cstheme="minorBidi"/>
                <w:b/>
                <w:lang w:eastAsia="es-CO"/>
              </w:rPr>
            </w:pPr>
          </w:p>
        </w:tc>
        <w:tc>
          <w:tcPr>
            <w:tcW w:w="2126" w:type="dxa"/>
            <w:tcBorders>
              <w:top w:val="nil"/>
              <w:left w:val="nil"/>
              <w:bottom w:val="single" w:sz="8" w:space="0" w:color="auto"/>
              <w:right w:val="single" w:sz="8" w:space="0" w:color="auto"/>
            </w:tcBorders>
            <w:shd w:val="clear" w:color="auto" w:fill="FFFFFF"/>
            <w:noWrap/>
            <w:vAlign w:val="center"/>
            <w:hideMark/>
          </w:tcPr>
          <w:p w14:paraId="7E840E4C" w14:textId="77777777" w:rsidR="007968EC" w:rsidRDefault="007968EC" w:rsidP="007968EC">
            <w:pPr>
              <w:spacing w:line="256" w:lineRule="auto"/>
              <w:jc w:val="center"/>
              <w:rPr>
                <w:rFonts w:ascii="Arial Narrow" w:eastAsia="Calibri" w:hAnsi="Arial Narrow" w:cstheme="minorBidi"/>
                <w:b/>
                <w:lang w:eastAsia="es-CO"/>
              </w:rPr>
            </w:pPr>
            <w:r>
              <w:rPr>
                <w:rFonts w:ascii="Arial Narrow" w:eastAsia="Calibri" w:hAnsi="Arial Narrow" w:cstheme="minorBidi"/>
                <w:lang w:eastAsia="es-CO"/>
              </w:rPr>
              <w:t>13.05%</w:t>
            </w:r>
          </w:p>
        </w:tc>
      </w:tr>
      <w:tr w:rsidR="007968EC" w14:paraId="1E4914AC" w14:textId="77777777" w:rsidTr="007968EC">
        <w:trPr>
          <w:cantSplit/>
          <w:trHeight w:val="330"/>
          <w:jc w:val="center"/>
        </w:trPr>
        <w:tc>
          <w:tcPr>
            <w:tcW w:w="3686" w:type="dxa"/>
            <w:tcBorders>
              <w:top w:val="nil"/>
              <w:left w:val="single" w:sz="8" w:space="0" w:color="auto"/>
              <w:bottom w:val="single" w:sz="8" w:space="0" w:color="auto"/>
              <w:right w:val="single" w:sz="8" w:space="0" w:color="auto"/>
            </w:tcBorders>
            <w:shd w:val="clear" w:color="auto" w:fill="FFFFFF"/>
            <w:noWrap/>
            <w:vAlign w:val="center"/>
            <w:hideMark/>
          </w:tcPr>
          <w:p w14:paraId="58E70510" w14:textId="77777777" w:rsidR="007968EC" w:rsidRDefault="007968EC" w:rsidP="007968EC">
            <w:pPr>
              <w:spacing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ACCIÓN GRUPO ARGOS</w:t>
            </w:r>
          </w:p>
        </w:tc>
        <w:tc>
          <w:tcPr>
            <w:tcW w:w="2268" w:type="dxa"/>
            <w:vMerge/>
            <w:tcBorders>
              <w:top w:val="nil"/>
              <w:left w:val="single" w:sz="8" w:space="0" w:color="auto"/>
              <w:bottom w:val="single" w:sz="8" w:space="0" w:color="000000"/>
              <w:right w:val="single" w:sz="8" w:space="0" w:color="auto"/>
            </w:tcBorders>
            <w:vAlign w:val="center"/>
            <w:hideMark/>
          </w:tcPr>
          <w:p w14:paraId="31BA1BAB" w14:textId="77777777" w:rsidR="007968EC" w:rsidRDefault="007968EC" w:rsidP="007968EC">
            <w:pPr>
              <w:spacing w:line="256" w:lineRule="auto"/>
              <w:rPr>
                <w:rFonts w:ascii="Arial Narrow" w:eastAsia="Calibri" w:hAnsi="Arial Narrow" w:cstheme="minorBidi"/>
                <w:b/>
                <w:lang w:eastAsia="es-CO"/>
              </w:rPr>
            </w:pPr>
          </w:p>
        </w:tc>
        <w:tc>
          <w:tcPr>
            <w:tcW w:w="1843" w:type="dxa"/>
            <w:vMerge/>
            <w:tcBorders>
              <w:top w:val="nil"/>
              <w:left w:val="single" w:sz="8" w:space="0" w:color="auto"/>
              <w:bottom w:val="single" w:sz="8" w:space="0" w:color="000000"/>
              <w:right w:val="single" w:sz="8" w:space="0" w:color="auto"/>
            </w:tcBorders>
            <w:vAlign w:val="center"/>
            <w:hideMark/>
          </w:tcPr>
          <w:p w14:paraId="4BC43554" w14:textId="77777777" w:rsidR="007968EC" w:rsidRDefault="007968EC" w:rsidP="007968EC">
            <w:pPr>
              <w:spacing w:line="256" w:lineRule="auto"/>
              <w:rPr>
                <w:rFonts w:ascii="Arial Narrow" w:eastAsia="Calibri" w:hAnsi="Arial Narrow" w:cstheme="minorBidi"/>
                <w:b/>
                <w:lang w:eastAsia="es-CO"/>
              </w:rPr>
            </w:pPr>
          </w:p>
        </w:tc>
        <w:tc>
          <w:tcPr>
            <w:tcW w:w="2126" w:type="dxa"/>
            <w:tcBorders>
              <w:top w:val="nil"/>
              <w:left w:val="nil"/>
              <w:bottom w:val="single" w:sz="8" w:space="0" w:color="auto"/>
              <w:right w:val="single" w:sz="8" w:space="0" w:color="auto"/>
            </w:tcBorders>
            <w:shd w:val="clear" w:color="auto" w:fill="FFFFFF"/>
            <w:noWrap/>
            <w:vAlign w:val="center"/>
            <w:hideMark/>
          </w:tcPr>
          <w:p w14:paraId="413EB8EC" w14:textId="77777777" w:rsidR="007968EC" w:rsidRDefault="007968EC" w:rsidP="007968EC">
            <w:pPr>
              <w:spacing w:line="256" w:lineRule="auto"/>
              <w:jc w:val="center"/>
              <w:rPr>
                <w:rFonts w:ascii="Arial Narrow" w:eastAsia="Calibri" w:hAnsi="Arial Narrow" w:cstheme="minorBidi"/>
                <w:b/>
                <w:lang w:eastAsia="es-CO"/>
              </w:rPr>
            </w:pPr>
            <w:r>
              <w:rPr>
                <w:rFonts w:ascii="Arial Narrow" w:eastAsia="Calibri" w:hAnsi="Arial Narrow" w:cstheme="minorBidi"/>
                <w:lang w:eastAsia="es-CO"/>
              </w:rPr>
              <w:t>8.55%</w:t>
            </w:r>
          </w:p>
        </w:tc>
      </w:tr>
      <w:tr w:rsidR="007968EC" w14:paraId="20C983A0" w14:textId="77777777" w:rsidTr="007968EC">
        <w:trPr>
          <w:cantSplit/>
          <w:trHeight w:val="330"/>
          <w:jc w:val="center"/>
        </w:trPr>
        <w:tc>
          <w:tcPr>
            <w:tcW w:w="3686" w:type="dxa"/>
            <w:tcBorders>
              <w:top w:val="nil"/>
              <w:left w:val="single" w:sz="8" w:space="0" w:color="auto"/>
              <w:bottom w:val="single" w:sz="8" w:space="0" w:color="auto"/>
              <w:right w:val="single" w:sz="8" w:space="0" w:color="auto"/>
            </w:tcBorders>
            <w:shd w:val="clear" w:color="auto" w:fill="FFFFFF"/>
            <w:noWrap/>
            <w:vAlign w:val="center"/>
            <w:hideMark/>
          </w:tcPr>
          <w:p w14:paraId="74AAC347" w14:textId="77777777" w:rsidR="007968EC" w:rsidRDefault="007968EC" w:rsidP="007968EC">
            <w:pPr>
              <w:spacing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ACCIÓN GRUPO SURA</w:t>
            </w:r>
          </w:p>
        </w:tc>
        <w:tc>
          <w:tcPr>
            <w:tcW w:w="2268" w:type="dxa"/>
            <w:vMerge/>
            <w:tcBorders>
              <w:top w:val="nil"/>
              <w:left w:val="single" w:sz="8" w:space="0" w:color="auto"/>
              <w:bottom w:val="single" w:sz="8" w:space="0" w:color="000000"/>
              <w:right w:val="single" w:sz="8" w:space="0" w:color="auto"/>
            </w:tcBorders>
            <w:vAlign w:val="center"/>
            <w:hideMark/>
          </w:tcPr>
          <w:p w14:paraId="56126EDB" w14:textId="77777777" w:rsidR="007968EC" w:rsidRDefault="007968EC" w:rsidP="007968EC">
            <w:pPr>
              <w:spacing w:line="256" w:lineRule="auto"/>
              <w:rPr>
                <w:rFonts w:ascii="Arial Narrow" w:eastAsia="Calibri" w:hAnsi="Arial Narrow" w:cstheme="minorBidi"/>
                <w:b/>
                <w:lang w:eastAsia="es-CO"/>
              </w:rPr>
            </w:pPr>
          </w:p>
        </w:tc>
        <w:tc>
          <w:tcPr>
            <w:tcW w:w="1843" w:type="dxa"/>
            <w:vMerge/>
            <w:tcBorders>
              <w:top w:val="nil"/>
              <w:left w:val="single" w:sz="8" w:space="0" w:color="auto"/>
              <w:bottom w:val="single" w:sz="8" w:space="0" w:color="000000"/>
              <w:right w:val="single" w:sz="8" w:space="0" w:color="auto"/>
            </w:tcBorders>
            <w:vAlign w:val="center"/>
            <w:hideMark/>
          </w:tcPr>
          <w:p w14:paraId="1C33AF56" w14:textId="77777777" w:rsidR="007968EC" w:rsidRDefault="007968EC" w:rsidP="007968EC">
            <w:pPr>
              <w:spacing w:line="256" w:lineRule="auto"/>
              <w:rPr>
                <w:rFonts w:ascii="Arial Narrow" w:eastAsia="Calibri" w:hAnsi="Arial Narrow" w:cstheme="minorBidi"/>
                <w:b/>
                <w:lang w:eastAsia="es-CO"/>
              </w:rPr>
            </w:pPr>
          </w:p>
        </w:tc>
        <w:tc>
          <w:tcPr>
            <w:tcW w:w="2126" w:type="dxa"/>
            <w:tcBorders>
              <w:top w:val="nil"/>
              <w:left w:val="nil"/>
              <w:bottom w:val="single" w:sz="8" w:space="0" w:color="auto"/>
              <w:right w:val="single" w:sz="8" w:space="0" w:color="auto"/>
            </w:tcBorders>
            <w:shd w:val="clear" w:color="auto" w:fill="FFFFFF"/>
            <w:noWrap/>
            <w:vAlign w:val="center"/>
            <w:hideMark/>
          </w:tcPr>
          <w:p w14:paraId="05DA3FAD" w14:textId="77777777" w:rsidR="007968EC" w:rsidRDefault="007968EC" w:rsidP="007968EC">
            <w:pPr>
              <w:spacing w:line="256" w:lineRule="auto"/>
              <w:jc w:val="center"/>
              <w:rPr>
                <w:rFonts w:ascii="Arial Narrow" w:eastAsia="Calibri" w:hAnsi="Arial Narrow" w:cstheme="minorBidi"/>
                <w:b/>
                <w:lang w:eastAsia="es-CO"/>
              </w:rPr>
            </w:pPr>
            <w:r>
              <w:rPr>
                <w:rFonts w:ascii="Arial Narrow" w:eastAsia="Calibri" w:hAnsi="Arial Narrow" w:cstheme="minorBidi"/>
                <w:lang w:eastAsia="es-CO"/>
              </w:rPr>
              <w:t>6.60%</w:t>
            </w:r>
          </w:p>
        </w:tc>
      </w:tr>
      <w:tr w:rsidR="007968EC" w14:paraId="19A4F25D" w14:textId="77777777" w:rsidTr="007968EC">
        <w:trPr>
          <w:cantSplit/>
          <w:trHeight w:val="330"/>
          <w:jc w:val="center"/>
        </w:trPr>
        <w:tc>
          <w:tcPr>
            <w:tcW w:w="3686" w:type="dxa"/>
            <w:tcBorders>
              <w:top w:val="nil"/>
              <w:left w:val="single" w:sz="8" w:space="0" w:color="auto"/>
              <w:bottom w:val="single" w:sz="8" w:space="0" w:color="auto"/>
              <w:right w:val="single" w:sz="8" w:space="0" w:color="auto"/>
            </w:tcBorders>
            <w:shd w:val="clear" w:color="auto" w:fill="FFFFFF"/>
            <w:noWrap/>
            <w:vAlign w:val="center"/>
            <w:hideMark/>
          </w:tcPr>
          <w:p w14:paraId="6DCB584E" w14:textId="77777777" w:rsidR="007968EC" w:rsidRDefault="007968EC" w:rsidP="007968EC">
            <w:pPr>
              <w:spacing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ACCIÓN PREFERENCIAL GRUPO SURA</w:t>
            </w:r>
          </w:p>
        </w:tc>
        <w:tc>
          <w:tcPr>
            <w:tcW w:w="2268" w:type="dxa"/>
            <w:vMerge/>
            <w:tcBorders>
              <w:top w:val="nil"/>
              <w:left w:val="single" w:sz="8" w:space="0" w:color="auto"/>
              <w:bottom w:val="single" w:sz="8" w:space="0" w:color="000000"/>
              <w:right w:val="single" w:sz="8" w:space="0" w:color="auto"/>
            </w:tcBorders>
            <w:vAlign w:val="center"/>
            <w:hideMark/>
          </w:tcPr>
          <w:p w14:paraId="2D07979B" w14:textId="77777777" w:rsidR="007968EC" w:rsidRDefault="007968EC" w:rsidP="007968EC">
            <w:pPr>
              <w:spacing w:line="256" w:lineRule="auto"/>
              <w:rPr>
                <w:rFonts w:ascii="Arial Narrow" w:eastAsia="Calibri" w:hAnsi="Arial Narrow" w:cstheme="minorBidi"/>
                <w:b/>
                <w:lang w:eastAsia="es-CO"/>
              </w:rPr>
            </w:pPr>
          </w:p>
        </w:tc>
        <w:tc>
          <w:tcPr>
            <w:tcW w:w="1843" w:type="dxa"/>
            <w:vMerge/>
            <w:tcBorders>
              <w:top w:val="nil"/>
              <w:left w:val="single" w:sz="8" w:space="0" w:color="auto"/>
              <w:bottom w:val="single" w:sz="8" w:space="0" w:color="000000"/>
              <w:right w:val="single" w:sz="8" w:space="0" w:color="auto"/>
            </w:tcBorders>
            <w:vAlign w:val="center"/>
            <w:hideMark/>
          </w:tcPr>
          <w:p w14:paraId="174FE51C" w14:textId="77777777" w:rsidR="007968EC" w:rsidRDefault="007968EC" w:rsidP="007968EC">
            <w:pPr>
              <w:spacing w:line="256" w:lineRule="auto"/>
              <w:rPr>
                <w:rFonts w:ascii="Arial Narrow" w:eastAsia="Calibri" w:hAnsi="Arial Narrow" w:cstheme="minorBidi"/>
                <w:b/>
                <w:lang w:eastAsia="es-CO"/>
              </w:rPr>
            </w:pPr>
          </w:p>
        </w:tc>
        <w:tc>
          <w:tcPr>
            <w:tcW w:w="2126" w:type="dxa"/>
            <w:tcBorders>
              <w:top w:val="nil"/>
              <w:left w:val="nil"/>
              <w:bottom w:val="single" w:sz="8" w:space="0" w:color="auto"/>
              <w:right w:val="single" w:sz="8" w:space="0" w:color="auto"/>
            </w:tcBorders>
            <w:shd w:val="clear" w:color="auto" w:fill="FFFFFF"/>
            <w:noWrap/>
            <w:vAlign w:val="center"/>
            <w:hideMark/>
          </w:tcPr>
          <w:p w14:paraId="6F1527CE" w14:textId="77777777" w:rsidR="007968EC" w:rsidRDefault="007968EC" w:rsidP="007968EC">
            <w:pPr>
              <w:spacing w:line="256" w:lineRule="auto"/>
              <w:jc w:val="center"/>
              <w:rPr>
                <w:rFonts w:ascii="Arial Narrow" w:eastAsia="Calibri" w:hAnsi="Arial Narrow" w:cstheme="minorBidi"/>
                <w:b/>
                <w:lang w:eastAsia="es-CO"/>
              </w:rPr>
            </w:pPr>
            <w:r>
              <w:rPr>
                <w:rFonts w:ascii="Arial Narrow" w:eastAsia="Calibri" w:hAnsi="Arial Narrow" w:cstheme="minorBidi"/>
                <w:lang w:eastAsia="es-CO"/>
              </w:rPr>
              <w:t>7.87%</w:t>
            </w:r>
          </w:p>
        </w:tc>
      </w:tr>
      <w:tr w:rsidR="007968EC" w14:paraId="53B7D932" w14:textId="77777777" w:rsidTr="007968EC">
        <w:trPr>
          <w:cantSplit/>
          <w:trHeight w:val="330"/>
          <w:jc w:val="center"/>
        </w:trPr>
        <w:tc>
          <w:tcPr>
            <w:tcW w:w="3686" w:type="dxa"/>
            <w:tcBorders>
              <w:top w:val="nil"/>
              <w:left w:val="single" w:sz="8" w:space="0" w:color="auto"/>
              <w:bottom w:val="single" w:sz="8" w:space="0" w:color="auto"/>
              <w:right w:val="single" w:sz="8" w:space="0" w:color="auto"/>
            </w:tcBorders>
            <w:shd w:val="clear" w:color="auto" w:fill="FFFFFF"/>
            <w:noWrap/>
            <w:vAlign w:val="center"/>
            <w:hideMark/>
          </w:tcPr>
          <w:p w14:paraId="67F29C3F" w14:textId="77777777" w:rsidR="007968EC" w:rsidRDefault="007968EC" w:rsidP="007968EC">
            <w:pPr>
              <w:spacing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ACCIÓN CEMENTOS ARGOS</w:t>
            </w:r>
          </w:p>
        </w:tc>
        <w:tc>
          <w:tcPr>
            <w:tcW w:w="2268" w:type="dxa"/>
            <w:vMerge/>
            <w:tcBorders>
              <w:top w:val="nil"/>
              <w:left w:val="single" w:sz="8" w:space="0" w:color="auto"/>
              <w:bottom w:val="single" w:sz="8" w:space="0" w:color="000000"/>
              <w:right w:val="single" w:sz="8" w:space="0" w:color="auto"/>
            </w:tcBorders>
            <w:vAlign w:val="center"/>
            <w:hideMark/>
          </w:tcPr>
          <w:p w14:paraId="6160FB25" w14:textId="77777777" w:rsidR="007968EC" w:rsidRDefault="007968EC" w:rsidP="007968EC">
            <w:pPr>
              <w:spacing w:line="256" w:lineRule="auto"/>
              <w:rPr>
                <w:rFonts w:ascii="Arial Narrow" w:eastAsia="Calibri" w:hAnsi="Arial Narrow" w:cstheme="minorBidi"/>
                <w:b/>
                <w:lang w:eastAsia="es-CO"/>
              </w:rPr>
            </w:pPr>
          </w:p>
        </w:tc>
        <w:tc>
          <w:tcPr>
            <w:tcW w:w="1843" w:type="dxa"/>
            <w:vMerge/>
            <w:tcBorders>
              <w:top w:val="nil"/>
              <w:left w:val="single" w:sz="8" w:space="0" w:color="auto"/>
              <w:bottom w:val="single" w:sz="8" w:space="0" w:color="000000"/>
              <w:right w:val="single" w:sz="8" w:space="0" w:color="auto"/>
            </w:tcBorders>
            <w:vAlign w:val="center"/>
            <w:hideMark/>
          </w:tcPr>
          <w:p w14:paraId="608FA79C" w14:textId="77777777" w:rsidR="007968EC" w:rsidRDefault="007968EC" w:rsidP="007968EC">
            <w:pPr>
              <w:spacing w:line="256" w:lineRule="auto"/>
              <w:rPr>
                <w:rFonts w:ascii="Arial Narrow" w:eastAsia="Calibri" w:hAnsi="Arial Narrow" w:cstheme="minorBidi"/>
                <w:b/>
                <w:lang w:eastAsia="es-CO"/>
              </w:rPr>
            </w:pPr>
          </w:p>
        </w:tc>
        <w:tc>
          <w:tcPr>
            <w:tcW w:w="2126" w:type="dxa"/>
            <w:tcBorders>
              <w:top w:val="nil"/>
              <w:left w:val="nil"/>
              <w:bottom w:val="single" w:sz="8" w:space="0" w:color="auto"/>
              <w:right w:val="single" w:sz="8" w:space="0" w:color="auto"/>
            </w:tcBorders>
            <w:shd w:val="clear" w:color="auto" w:fill="FFFFFF"/>
            <w:noWrap/>
            <w:vAlign w:val="center"/>
            <w:hideMark/>
          </w:tcPr>
          <w:p w14:paraId="021DFE77" w14:textId="77777777" w:rsidR="007968EC" w:rsidRDefault="007968EC" w:rsidP="007968EC">
            <w:pPr>
              <w:spacing w:line="256" w:lineRule="auto"/>
              <w:jc w:val="center"/>
              <w:rPr>
                <w:rFonts w:ascii="Arial Narrow" w:eastAsia="Calibri" w:hAnsi="Arial Narrow" w:cstheme="minorBidi"/>
                <w:b/>
                <w:lang w:eastAsia="es-CO"/>
              </w:rPr>
            </w:pPr>
            <w:r>
              <w:rPr>
                <w:rFonts w:ascii="Arial Narrow" w:eastAsia="Calibri" w:hAnsi="Arial Narrow" w:cstheme="minorBidi"/>
                <w:lang w:eastAsia="es-CO"/>
              </w:rPr>
              <w:t>8.92%</w:t>
            </w:r>
          </w:p>
        </w:tc>
      </w:tr>
      <w:tr w:rsidR="007968EC" w14:paraId="5ACA03B9" w14:textId="77777777" w:rsidTr="007968EC">
        <w:trPr>
          <w:cantSplit/>
          <w:trHeight w:val="330"/>
          <w:jc w:val="center"/>
        </w:trPr>
        <w:tc>
          <w:tcPr>
            <w:tcW w:w="3686" w:type="dxa"/>
            <w:tcBorders>
              <w:top w:val="nil"/>
              <w:left w:val="single" w:sz="8" w:space="0" w:color="auto"/>
              <w:bottom w:val="single" w:sz="8" w:space="0" w:color="auto"/>
              <w:right w:val="single" w:sz="8" w:space="0" w:color="auto"/>
            </w:tcBorders>
            <w:shd w:val="clear" w:color="auto" w:fill="FFFFFF"/>
            <w:noWrap/>
            <w:vAlign w:val="center"/>
            <w:hideMark/>
          </w:tcPr>
          <w:p w14:paraId="4F143552" w14:textId="77777777" w:rsidR="007968EC" w:rsidRDefault="007968EC" w:rsidP="007968EC">
            <w:pPr>
              <w:spacing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ACCIÓN PREFERENCIAL CEMENTOS ARGOS</w:t>
            </w:r>
          </w:p>
        </w:tc>
        <w:tc>
          <w:tcPr>
            <w:tcW w:w="2268" w:type="dxa"/>
            <w:vMerge/>
            <w:tcBorders>
              <w:top w:val="nil"/>
              <w:left w:val="single" w:sz="8" w:space="0" w:color="auto"/>
              <w:bottom w:val="single" w:sz="8" w:space="0" w:color="000000"/>
              <w:right w:val="single" w:sz="8" w:space="0" w:color="auto"/>
            </w:tcBorders>
            <w:vAlign w:val="center"/>
            <w:hideMark/>
          </w:tcPr>
          <w:p w14:paraId="554E79AF" w14:textId="77777777" w:rsidR="007968EC" w:rsidRDefault="007968EC" w:rsidP="007968EC">
            <w:pPr>
              <w:spacing w:line="256" w:lineRule="auto"/>
              <w:rPr>
                <w:rFonts w:ascii="Arial Narrow" w:eastAsia="Calibri" w:hAnsi="Arial Narrow" w:cstheme="minorBidi"/>
                <w:b/>
                <w:lang w:eastAsia="es-CO"/>
              </w:rPr>
            </w:pPr>
          </w:p>
        </w:tc>
        <w:tc>
          <w:tcPr>
            <w:tcW w:w="1843" w:type="dxa"/>
            <w:vMerge/>
            <w:tcBorders>
              <w:top w:val="nil"/>
              <w:left w:val="single" w:sz="8" w:space="0" w:color="auto"/>
              <w:bottom w:val="single" w:sz="8" w:space="0" w:color="000000"/>
              <w:right w:val="single" w:sz="8" w:space="0" w:color="auto"/>
            </w:tcBorders>
            <w:vAlign w:val="center"/>
            <w:hideMark/>
          </w:tcPr>
          <w:p w14:paraId="3E9F01D2" w14:textId="77777777" w:rsidR="007968EC" w:rsidRDefault="007968EC" w:rsidP="007968EC">
            <w:pPr>
              <w:spacing w:line="256" w:lineRule="auto"/>
              <w:rPr>
                <w:rFonts w:ascii="Arial Narrow" w:eastAsia="Calibri" w:hAnsi="Arial Narrow" w:cstheme="minorBidi"/>
                <w:b/>
                <w:lang w:eastAsia="es-CO"/>
              </w:rPr>
            </w:pPr>
          </w:p>
        </w:tc>
        <w:tc>
          <w:tcPr>
            <w:tcW w:w="2126" w:type="dxa"/>
            <w:tcBorders>
              <w:top w:val="nil"/>
              <w:left w:val="nil"/>
              <w:bottom w:val="single" w:sz="8" w:space="0" w:color="auto"/>
              <w:right w:val="single" w:sz="8" w:space="0" w:color="auto"/>
            </w:tcBorders>
            <w:shd w:val="clear" w:color="auto" w:fill="FFFFFF"/>
            <w:noWrap/>
            <w:vAlign w:val="center"/>
            <w:hideMark/>
          </w:tcPr>
          <w:p w14:paraId="7515A78F" w14:textId="77777777" w:rsidR="007968EC" w:rsidRDefault="007968EC" w:rsidP="007968EC">
            <w:pPr>
              <w:spacing w:line="256" w:lineRule="auto"/>
              <w:jc w:val="center"/>
              <w:rPr>
                <w:rFonts w:ascii="Arial Narrow" w:eastAsia="Calibri" w:hAnsi="Arial Narrow" w:cstheme="minorBidi"/>
                <w:b/>
                <w:lang w:eastAsia="es-CO"/>
              </w:rPr>
            </w:pPr>
            <w:r>
              <w:rPr>
                <w:rFonts w:ascii="Arial Narrow" w:eastAsia="Calibri" w:hAnsi="Arial Narrow" w:cstheme="minorBidi"/>
                <w:lang w:eastAsia="es-CO"/>
              </w:rPr>
              <w:t>12.82%</w:t>
            </w:r>
          </w:p>
        </w:tc>
      </w:tr>
      <w:tr w:rsidR="007968EC" w14:paraId="78D1FA3C" w14:textId="77777777" w:rsidTr="007968EC">
        <w:trPr>
          <w:cantSplit/>
          <w:trHeight w:val="330"/>
          <w:jc w:val="center"/>
        </w:trPr>
        <w:tc>
          <w:tcPr>
            <w:tcW w:w="3686" w:type="dxa"/>
            <w:tcBorders>
              <w:top w:val="nil"/>
              <w:left w:val="single" w:sz="8" w:space="0" w:color="auto"/>
              <w:bottom w:val="single" w:sz="8" w:space="0" w:color="auto"/>
              <w:right w:val="single" w:sz="8" w:space="0" w:color="auto"/>
            </w:tcBorders>
            <w:shd w:val="clear" w:color="auto" w:fill="FFFFFF"/>
            <w:noWrap/>
            <w:vAlign w:val="center"/>
            <w:hideMark/>
          </w:tcPr>
          <w:p w14:paraId="12FDA3E8" w14:textId="77777777" w:rsidR="007968EC" w:rsidRDefault="007968EC" w:rsidP="007968EC">
            <w:pPr>
              <w:spacing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ACCIÓN BANCOLOMBIA</w:t>
            </w:r>
          </w:p>
        </w:tc>
        <w:tc>
          <w:tcPr>
            <w:tcW w:w="2268" w:type="dxa"/>
            <w:vMerge/>
            <w:tcBorders>
              <w:top w:val="nil"/>
              <w:left w:val="single" w:sz="8" w:space="0" w:color="auto"/>
              <w:bottom w:val="single" w:sz="8" w:space="0" w:color="000000"/>
              <w:right w:val="single" w:sz="8" w:space="0" w:color="auto"/>
            </w:tcBorders>
            <w:vAlign w:val="center"/>
            <w:hideMark/>
          </w:tcPr>
          <w:p w14:paraId="2785AAA3" w14:textId="77777777" w:rsidR="007968EC" w:rsidRDefault="007968EC" w:rsidP="007968EC">
            <w:pPr>
              <w:spacing w:line="256" w:lineRule="auto"/>
              <w:rPr>
                <w:rFonts w:ascii="Arial Narrow" w:eastAsia="Calibri" w:hAnsi="Arial Narrow" w:cstheme="minorBidi"/>
                <w:b/>
                <w:lang w:eastAsia="es-CO"/>
              </w:rPr>
            </w:pPr>
          </w:p>
        </w:tc>
        <w:tc>
          <w:tcPr>
            <w:tcW w:w="1843" w:type="dxa"/>
            <w:vMerge/>
            <w:tcBorders>
              <w:top w:val="nil"/>
              <w:left w:val="single" w:sz="8" w:space="0" w:color="auto"/>
              <w:bottom w:val="single" w:sz="8" w:space="0" w:color="000000"/>
              <w:right w:val="single" w:sz="8" w:space="0" w:color="auto"/>
            </w:tcBorders>
            <w:vAlign w:val="center"/>
            <w:hideMark/>
          </w:tcPr>
          <w:p w14:paraId="4DF00143" w14:textId="77777777" w:rsidR="007968EC" w:rsidRDefault="007968EC" w:rsidP="007968EC">
            <w:pPr>
              <w:spacing w:line="256" w:lineRule="auto"/>
              <w:rPr>
                <w:rFonts w:ascii="Arial Narrow" w:eastAsia="Calibri" w:hAnsi="Arial Narrow" w:cstheme="minorBidi"/>
                <w:b/>
                <w:lang w:eastAsia="es-CO"/>
              </w:rPr>
            </w:pPr>
          </w:p>
        </w:tc>
        <w:tc>
          <w:tcPr>
            <w:tcW w:w="2126" w:type="dxa"/>
            <w:tcBorders>
              <w:top w:val="nil"/>
              <w:left w:val="nil"/>
              <w:bottom w:val="single" w:sz="8" w:space="0" w:color="auto"/>
              <w:right w:val="single" w:sz="8" w:space="0" w:color="auto"/>
            </w:tcBorders>
            <w:shd w:val="clear" w:color="auto" w:fill="FFFFFF"/>
            <w:noWrap/>
            <w:vAlign w:val="center"/>
            <w:hideMark/>
          </w:tcPr>
          <w:p w14:paraId="0B6D3D36" w14:textId="77777777" w:rsidR="007968EC" w:rsidRDefault="007968EC" w:rsidP="007968EC">
            <w:pPr>
              <w:spacing w:line="256" w:lineRule="auto"/>
              <w:jc w:val="center"/>
              <w:rPr>
                <w:rFonts w:ascii="Arial Narrow" w:eastAsia="Calibri" w:hAnsi="Arial Narrow" w:cstheme="minorBidi"/>
                <w:b/>
                <w:lang w:eastAsia="es-CO"/>
              </w:rPr>
            </w:pPr>
            <w:r>
              <w:rPr>
                <w:rFonts w:ascii="Arial Narrow" w:eastAsia="Calibri" w:hAnsi="Arial Narrow" w:cstheme="minorBidi"/>
                <w:lang w:eastAsia="es-CO"/>
              </w:rPr>
              <w:t>10.27%</w:t>
            </w:r>
          </w:p>
        </w:tc>
      </w:tr>
      <w:tr w:rsidR="007968EC" w14:paraId="180DFD8E" w14:textId="77777777" w:rsidTr="007968EC">
        <w:trPr>
          <w:cantSplit/>
          <w:trHeight w:val="330"/>
          <w:jc w:val="center"/>
        </w:trPr>
        <w:tc>
          <w:tcPr>
            <w:tcW w:w="3686" w:type="dxa"/>
            <w:tcBorders>
              <w:top w:val="nil"/>
              <w:left w:val="single" w:sz="8" w:space="0" w:color="auto"/>
              <w:bottom w:val="single" w:sz="8" w:space="0" w:color="auto"/>
              <w:right w:val="single" w:sz="8" w:space="0" w:color="auto"/>
            </w:tcBorders>
            <w:shd w:val="clear" w:color="auto" w:fill="FFFFFF"/>
            <w:noWrap/>
            <w:vAlign w:val="center"/>
            <w:hideMark/>
          </w:tcPr>
          <w:p w14:paraId="2A79C3CA" w14:textId="77777777" w:rsidR="007968EC" w:rsidRDefault="007968EC" w:rsidP="007968EC">
            <w:pPr>
              <w:spacing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ACCIÓN CELSIA</w:t>
            </w:r>
          </w:p>
        </w:tc>
        <w:tc>
          <w:tcPr>
            <w:tcW w:w="2268" w:type="dxa"/>
            <w:vMerge/>
            <w:tcBorders>
              <w:top w:val="nil"/>
              <w:left w:val="single" w:sz="8" w:space="0" w:color="auto"/>
              <w:bottom w:val="single" w:sz="8" w:space="0" w:color="000000"/>
              <w:right w:val="single" w:sz="8" w:space="0" w:color="auto"/>
            </w:tcBorders>
            <w:vAlign w:val="center"/>
            <w:hideMark/>
          </w:tcPr>
          <w:p w14:paraId="1C58D6C1" w14:textId="77777777" w:rsidR="007968EC" w:rsidRDefault="007968EC" w:rsidP="007968EC">
            <w:pPr>
              <w:spacing w:line="256" w:lineRule="auto"/>
              <w:rPr>
                <w:rFonts w:ascii="Arial Narrow" w:eastAsia="Calibri" w:hAnsi="Arial Narrow" w:cstheme="minorBidi"/>
                <w:b/>
                <w:lang w:eastAsia="es-CO"/>
              </w:rPr>
            </w:pPr>
          </w:p>
        </w:tc>
        <w:tc>
          <w:tcPr>
            <w:tcW w:w="1843" w:type="dxa"/>
            <w:vMerge/>
            <w:tcBorders>
              <w:top w:val="nil"/>
              <w:left w:val="single" w:sz="8" w:space="0" w:color="auto"/>
              <w:bottom w:val="single" w:sz="8" w:space="0" w:color="000000"/>
              <w:right w:val="single" w:sz="8" w:space="0" w:color="auto"/>
            </w:tcBorders>
            <w:vAlign w:val="center"/>
            <w:hideMark/>
          </w:tcPr>
          <w:p w14:paraId="173370B3" w14:textId="77777777" w:rsidR="007968EC" w:rsidRDefault="007968EC" w:rsidP="007968EC">
            <w:pPr>
              <w:spacing w:line="256" w:lineRule="auto"/>
              <w:rPr>
                <w:rFonts w:ascii="Arial Narrow" w:eastAsia="Calibri" w:hAnsi="Arial Narrow" w:cstheme="minorBidi"/>
                <w:b/>
                <w:lang w:eastAsia="es-CO"/>
              </w:rPr>
            </w:pPr>
          </w:p>
        </w:tc>
        <w:tc>
          <w:tcPr>
            <w:tcW w:w="2126" w:type="dxa"/>
            <w:tcBorders>
              <w:top w:val="nil"/>
              <w:left w:val="nil"/>
              <w:bottom w:val="single" w:sz="8" w:space="0" w:color="auto"/>
              <w:right w:val="single" w:sz="8" w:space="0" w:color="auto"/>
            </w:tcBorders>
            <w:shd w:val="clear" w:color="auto" w:fill="FFFFFF"/>
            <w:noWrap/>
            <w:vAlign w:val="center"/>
            <w:hideMark/>
          </w:tcPr>
          <w:p w14:paraId="2B773A8D" w14:textId="77777777" w:rsidR="007968EC" w:rsidRDefault="007968EC" w:rsidP="007968EC">
            <w:pPr>
              <w:spacing w:line="256" w:lineRule="auto"/>
              <w:jc w:val="center"/>
              <w:rPr>
                <w:rFonts w:ascii="Arial Narrow" w:eastAsia="Calibri" w:hAnsi="Arial Narrow" w:cstheme="minorBidi"/>
                <w:b/>
                <w:lang w:eastAsia="es-CO"/>
              </w:rPr>
            </w:pPr>
            <w:r>
              <w:rPr>
                <w:rFonts w:ascii="Arial Narrow" w:eastAsia="Calibri" w:hAnsi="Arial Narrow" w:cstheme="minorBidi"/>
                <w:lang w:eastAsia="es-CO"/>
              </w:rPr>
              <w:t>9.45%</w:t>
            </w:r>
          </w:p>
        </w:tc>
      </w:tr>
      <w:tr w:rsidR="007968EC" w14:paraId="36B566D6" w14:textId="77777777" w:rsidTr="007968EC">
        <w:trPr>
          <w:cantSplit/>
          <w:trHeight w:val="330"/>
          <w:jc w:val="center"/>
        </w:trPr>
        <w:tc>
          <w:tcPr>
            <w:tcW w:w="3686" w:type="dxa"/>
            <w:tcBorders>
              <w:top w:val="nil"/>
              <w:left w:val="single" w:sz="8" w:space="0" w:color="auto"/>
              <w:bottom w:val="single" w:sz="8" w:space="0" w:color="auto"/>
              <w:right w:val="single" w:sz="8" w:space="0" w:color="auto"/>
            </w:tcBorders>
            <w:shd w:val="clear" w:color="auto" w:fill="FFFFFF"/>
            <w:noWrap/>
            <w:vAlign w:val="center"/>
            <w:hideMark/>
          </w:tcPr>
          <w:p w14:paraId="6BC4EB41" w14:textId="77777777" w:rsidR="007968EC" w:rsidRDefault="007968EC" w:rsidP="007968EC">
            <w:pPr>
              <w:spacing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ACCIÓN CEMEX</w:t>
            </w:r>
          </w:p>
        </w:tc>
        <w:tc>
          <w:tcPr>
            <w:tcW w:w="2268" w:type="dxa"/>
            <w:vMerge/>
            <w:tcBorders>
              <w:top w:val="nil"/>
              <w:left w:val="single" w:sz="8" w:space="0" w:color="auto"/>
              <w:bottom w:val="single" w:sz="8" w:space="0" w:color="000000"/>
              <w:right w:val="single" w:sz="8" w:space="0" w:color="auto"/>
            </w:tcBorders>
            <w:vAlign w:val="center"/>
            <w:hideMark/>
          </w:tcPr>
          <w:p w14:paraId="7C81FF11" w14:textId="77777777" w:rsidR="007968EC" w:rsidRDefault="007968EC" w:rsidP="007968EC">
            <w:pPr>
              <w:spacing w:line="256" w:lineRule="auto"/>
              <w:rPr>
                <w:rFonts w:ascii="Arial Narrow" w:eastAsia="Calibri" w:hAnsi="Arial Narrow" w:cstheme="minorBidi"/>
                <w:b/>
                <w:lang w:eastAsia="es-CO"/>
              </w:rPr>
            </w:pPr>
          </w:p>
        </w:tc>
        <w:tc>
          <w:tcPr>
            <w:tcW w:w="1843" w:type="dxa"/>
            <w:vMerge/>
            <w:tcBorders>
              <w:top w:val="nil"/>
              <w:left w:val="single" w:sz="8" w:space="0" w:color="auto"/>
              <w:bottom w:val="single" w:sz="8" w:space="0" w:color="000000"/>
              <w:right w:val="single" w:sz="8" w:space="0" w:color="auto"/>
            </w:tcBorders>
            <w:vAlign w:val="center"/>
            <w:hideMark/>
          </w:tcPr>
          <w:p w14:paraId="22232318" w14:textId="77777777" w:rsidR="007968EC" w:rsidRDefault="007968EC" w:rsidP="007968EC">
            <w:pPr>
              <w:spacing w:line="256" w:lineRule="auto"/>
              <w:rPr>
                <w:rFonts w:ascii="Arial Narrow" w:eastAsia="Calibri" w:hAnsi="Arial Narrow" w:cstheme="minorBidi"/>
                <w:b/>
                <w:lang w:eastAsia="es-CO"/>
              </w:rPr>
            </w:pPr>
          </w:p>
        </w:tc>
        <w:tc>
          <w:tcPr>
            <w:tcW w:w="2126" w:type="dxa"/>
            <w:tcBorders>
              <w:top w:val="nil"/>
              <w:left w:val="nil"/>
              <w:bottom w:val="single" w:sz="8" w:space="0" w:color="auto"/>
              <w:right w:val="single" w:sz="8" w:space="0" w:color="auto"/>
            </w:tcBorders>
            <w:shd w:val="clear" w:color="auto" w:fill="FFFFFF"/>
            <w:noWrap/>
            <w:vAlign w:val="center"/>
            <w:hideMark/>
          </w:tcPr>
          <w:p w14:paraId="39060332" w14:textId="77777777" w:rsidR="007968EC" w:rsidRDefault="007968EC" w:rsidP="007968EC">
            <w:pPr>
              <w:spacing w:line="256" w:lineRule="auto"/>
              <w:jc w:val="center"/>
              <w:rPr>
                <w:rFonts w:ascii="Arial Narrow" w:eastAsia="Calibri" w:hAnsi="Arial Narrow" w:cstheme="minorBidi"/>
                <w:b/>
                <w:lang w:eastAsia="es-CO"/>
              </w:rPr>
            </w:pPr>
            <w:r>
              <w:rPr>
                <w:rFonts w:ascii="Arial Narrow" w:eastAsia="Calibri" w:hAnsi="Arial Narrow" w:cstheme="minorBidi"/>
                <w:lang w:eastAsia="es-CO"/>
              </w:rPr>
              <w:t>20.10%</w:t>
            </w:r>
          </w:p>
        </w:tc>
      </w:tr>
      <w:tr w:rsidR="007968EC" w14:paraId="20FBF821" w14:textId="77777777" w:rsidTr="007968EC">
        <w:trPr>
          <w:cantSplit/>
          <w:trHeight w:val="330"/>
          <w:jc w:val="center"/>
        </w:trPr>
        <w:tc>
          <w:tcPr>
            <w:tcW w:w="3686" w:type="dxa"/>
            <w:tcBorders>
              <w:top w:val="nil"/>
              <w:left w:val="single" w:sz="8" w:space="0" w:color="auto"/>
              <w:bottom w:val="single" w:sz="8" w:space="0" w:color="auto"/>
              <w:right w:val="single" w:sz="8" w:space="0" w:color="auto"/>
            </w:tcBorders>
            <w:shd w:val="clear" w:color="auto" w:fill="FFFFFF"/>
            <w:noWrap/>
            <w:vAlign w:val="center"/>
            <w:hideMark/>
          </w:tcPr>
          <w:p w14:paraId="6836F921" w14:textId="77777777" w:rsidR="007968EC" w:rsidRDefault="007968EC" w:rsidP="007968EC">
            <w:pPr>
              <w:spacing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ACCIÓN CORFICOLOMBIANA</w:t>
            </w:r>
          </w:p>
        </w:tc>
        <w:tc>
          <w:tcPr>
            <w:tcW w:w="2268" w:type="dxa"/>
            <w:vMerge/>
            <w:tcBorders>
              <w:top w:val="nil"/>
              <w:left w:val="single" w:sz="8" w:space="0" w:color="auto"/>
              <w:bottom w:val="single" w:sz="8" w:space="0" w:color="000000"/>
              <w:right w:val="single" w:sz="8" w:space="0" w:color="auto"/>
            </w:tcBorders>
            <w:vAlign w:val="center"/>
            <w:hideMark/>
          </w:tcPr>
          <w:p w14:paraId="20005B94" w14:textId="77777777" w:rsidR="007968EC" w:rsidRDefault="007968EC" w:rsidP="007968EC">
            <w:pPr>
              <w:spacing w:line="256" w:lineRule="auto"/>
              <w:rPr>
                <w:rFonts w:ascii="Arial Narrow" w:eastAsia="Calibri" w:hAnsi="Arial Narrow" w:cstheme="minorBidi"/>
                <w:b/>
                <w:lang w:eastAsia="es-CO"/>
              </w:rPr>
            </w:pPr>
          </w:p>
        </w:tc>
        <w:tc>
          <w:tcPr>
            <w:tcW w:w="1843" w:type="dxa"/>
            <w:vMerge/>
            <w:tcBorders>
              <w:top w:val="nil"/>
              <w:left w:val="single" w:sz="8" w:space="0" w:color="auto"/>
              <w:bottom w:val="single" w:sz="8" w:space="0" w:color="000000"/>
              <w:right w:val="single" w:sz="8" w:space="0" w:color="auto"/>
            </w:tcBorders>
            <w:vAlign w:val="center"/>
            <w:hideMark/>
          </w:tcPr>
          <w:p w14:paraId="48C60885" w14:textId="77777777" w:rsidR="007968EC" w:rsidRDefault="007968EC" w:rsidP="007968EC">
            <w:pPr>
              <w:spacing w:line="256" w:lineRule="auto"/>
              <w:rPr>
                <w:rFonts w:ascii="Arial Narrow" w:eastAsia="Calibri" w:hAnsi="Arial Narrow" w:cstheme="minorBidi"/>
                <w:b/>
                <w:lang w:eastAsia="es-CO"/>
              </w:rPr>
            </w:pPr>
          </w:p>
        </w:tc>
        <w:tc>
          <w:tcPr>
            <w:tcW w:w="2126" w:type="dxa"/>
            <w:tcBorders>
              <w:top w:val="nil"/>
              <w:left w:val="nil"/>
              <w:bottom w:val="single" w:sz="8" w:space="0" w:color="auto"/>
              <w:right w:val="single" w:sz="8" w:space="0" w:color="auto"/>
            </w:tcBorders>
            <w:shd w:val="clear" w:color="auto" w:fill="FFFFFF"/>
            <w:noWrap/>
            <w:vAlign w:val="center"/>
            <w:hideMark/>
          </w:tcPr>
          <w:p w14:paraId="7041A24B" w14:textId="77777777" w:rsidR="007968EC" w:rsidRDefault="007968EC" w:rsidP="007968EC">
            <w:pPr>
              <w:spacing w:line="256" w:lineRule="auto"/>
              <w:jc w:val="center"/>
              <w:rPr>
                <w:rFonts w:ascii="Arial Narrow" w:eastAsia="Calibri" w:hAnsi="Arial Narrow" w:cstheme="minorBidi"/>
                <w:b/>
                <w:lang w:eastAsia="es-CO"/>
              </w:rPr>
            </w:pPr>
            <w:r>
              <w:rPr>
                <w:rFonts w:ascii="Arial Narrow" w:eastAsia="Calibri" w:hAnsi="Arial Narrow" w:cstheme="minorBidi"/>
                <w:lang w:eastAsia="es-CO"/>
              </w:rPr>
              <w:t>11.10%</w:t>
            </w:r>
          </w:p>
        </w:tc>
      </w:tr>
      <w:tr w:rsidR="007968EC" w14:paraId="7AC7B6F1" w14:textId="77777777" w:rsidTr="007968EC">
        <w:trPr>
          <w:cantSplit/>
          <w:trHeight w:val="330"/>
          <w:jc w:val="center"/>
        </w:trPr>
        <w:tc>
          <w:tcPr>
            <w:tcW w:w="3686" w:type="dxa"/>
            <w:tcBorders>
              <w:top w:val="nil"/>
              <w:left w:val="single" w:sz="8" w:space="0" w:color="auto"/>
              <w:bottom w:val="single" w:sz="8" w:space="0" w:color="auto"/>
              <w:right w:val="single" w:sz="8" w:space="0" w:color="auto"/>
            </w:tcBorders>
            <w:shd w:val="clear" w:color="auto" w:fill="FFFFFF"/>
            <w:noWrap/>
            <w:vAlign w:val="center"/>
            <w:hideMark/>
          </w:tcPr>
          <w:p w14:paraId="7D6ADE94" w14:textId="77777777" w:rsidR="007968EC" w:rsidRDefault="007968EC" w:rsidP="007968EC">
            <w:pPr>
              <w:spacing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ACCIÓN GRUPO DE ENERGÍA DE BOGOTÁ</w:t>
            </w:r>
          </w:p>
        </w:tc>
        <w:tc>
          <w:tcPr>
            <w:tcW w:w="2268" w:type="dxa"/>
            <w:vMerge/>
            <w:tcBorders>
              <w:top w:val="nil"/>
              <w:left w:val="single" w:sz="8" w:space="0" w:color="auto"/>
              <w:bottom w:val="single" w:sz="8" w:space="0" w:color="000000"/>
              <w:right w:val="single" w:sz="8" w:space="0" w:color="auto"/>
            </w:tcBorders>
            <w:vAlign w:val="center"/>
            <w:hideMark/>
          </w:tcPr>
          <w:p w14:paraId="07E9D6BE" w14:textId="77777777" w:rsidR="007968EC" w:rsidRDefault="007968EC" w:rsidP="007968EC">
            <w:pPr>
              <w:spacing w:line="256" w:lineRule="auto"/>
              <w:rPr>
                <w:rFonts w:ascii="Arial Narrow" w:eastAsia="Calibri" w:hAnsi="Arial Narrow" w:cstheme="minorBidi"/>
                <w:b/>
                <w:lang w:eastAsia="es-CO"/>
              </w:rPr>
            </w:pPr>
          </w:p>
        </w:tc>
        <w:tc>
          <w:tcPr>
            <w:tcW w:w="1843" w:type="dxa"/>
            <w:vMerge/>
            <w:tcBorders>
              <w:top w:val="nil"/>
              <w:left w:val="single" w:sz="8" w:space="0" w:color="auto"/>
              <w:bottom w:val="single" w:sz="8" w:space="0" w:color="000000"/>
              <w:right w:val="single" w:sz="8" w:space="0" w:color="auto"/>
            </w:tcBorders>
            <w:vAlign w:val="center"/>
            <w:hideMark/>
          </w:tcPr>
          <w:p w14:paraId="30DFFDFB" w14:textId="77777777" w:rsidR="007968EC" w:rsidRDefault="007968EC" w:rsidP="007968EC">
            <w:pPr>
              <w:spacing w:line="256" w:lineRule="auto"/>
              <w:rPr>
                <w:rFonts w:ascii="Arial Narrow" w:eastAsia="Calibri" w:hAnsi="Arial Narrow" w:cstheme="minorBidi"/>
                <w:b/>
                <w:lang w:eastAsia="es-CO"/>
              </w:rPr>
            </w:pPr>
          </w:p>
        </w:tc>
        <w:tc>
          <w:tcPr>
            <w:tcW w:w="2126" w:type="dxa"/>
            <w:tcBorders>
              <w:top w:val="nil"/>
              <w:left w:val="nil"/>
              <w:bottom w:val="single" w:sz="8" w:space="0" w:color="auto"/>
              <w:right w:val="single" w:sz="8" w:space="0" w:color="auto"/>
            </w:tcBorders>
            <w:shd w:val="clear" w:color="auto" w:fill="FFFFFF"/>
            <w:noWrap/>
            <w:vAlign w:val="center"/>
            <w:hideMark/>
          </w:tcPr>
          <w:p w14:paraId="1C1F608D" w14:textId="77777777" w:rsidR="007968EC" w:rsidRDefault="007968EC" w:rsidP="007968EC">
            <w:pPr>
              <w:spacing w:line="256" w:lineRule="auto"/>
              <w:jc w:val="center"/>
              <w:rPr>
                <w:rFonts w:ascii="Arial Narrow" w:eastAsia="Calibri" w:hAnsi="Arial Narrow" w:cstheme="minorBidi"/>
                <w:b/>
                <w:lang w:eastAsia="es-CO"/>
              </w:rPr>
            </w:pPr>
            <w:r>
              <w:rPr>
                <w:rFonts w:ascii="Arial Narrow" w:eastAsia="Calibri" w:hAnsi="Arial Narrow" w:cstheme="minorBidi"/>
                <w:lang w:eastAsia="es-CO"/>
              </w:rPr>
              <w:t>6.97%</w:t>
            </w:r>
          </w:p>
        </w:tc>
      </w:tr>
      <w:tr w:rsidR="007968EC" w14:paraId="719789FC" w14:textId="77777777" w:rsidTr="007968EC">
        <w:trPr>
          <w:cantSplit/>
          <w:trHeight w:val="330"/>
          <w:jc w:val="center"/>
        </w:trPr>
        <w:tc>
          <w:tcPr>
            <w:tcW w:w="3686" w:type="dxa"/>
            <w:tcBorders>
              <w:top w:val="nil"/>
              <w:left w:val="single" w:sz="8" w:space="0" w:color="auto"/>
              <w:bottom w:val="single" w:sz="8" w:space="0" w:color="auto"/>
              <w:right w:val="single" w:sz="8" w:space="0" w:color="auto"/>
            </w:tcBorders>
            <w:shd w:val="clear" w:color="auto" w:fill="FFFFFF"/>
            <w:noWrap/>
            <w:vAlign w:val="center"/>
            <w:hideMark/>
          </w:tcPr>
          <w:p w14:paraId="5AC244D1" w14:textId="77777777" w:rsidR="007968EC" w:rsidRDefault="007968EC" w:rsidP="007968EC">
            <w:pPr>
              <w:spacing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ACCIÓN PREFERENCIAL AVIANCA HOLDING</w:t>
            </w:r>
          </w:p>
        </w:tc>
        <w:tc>
          <w:tcPr>
            <w:tcW w:w="2268" w:type="dxa"/>
            <w:vMerge/>
            <w:tcBorders>
              <w:top w:val="nil"/>
              <w:left w:val="single" w:sz="8" w:space="0" w:color="auto"/>
              <w:bottom w:val="single" w:sz="8" w:space="0" w:color="000000"/>
              <w:right w:val="single" w:sz="8" w:space="0" w:color="auto"/>
            </w:tcBorders>
            <w:vAlign w:val="center"/>
            <w:hideMark/>
          </w:tcPr>
          <w:p w14:paraId="69D6FD22" w14:textId="77777777" w:rsidR="007968EC" w:rsidRDefault="007968EC" w:rsidP="007968EC">
            <w:pPr>
              <w:spacing w:line="256" w:lineRule="auto"/>
              <w:rPr>
                <w:rFonts w:ascii="Arial Narrow" w:eastAsia="Calibri" w:hAnsi="Arial Narrow" w:cstheme="minorBidi"/>
                <w:b/>
                <w:lang w:eastAsia="es-CO"/>
              </w:rPr>
            </w:pPr>
          </w:p>
        </w:tc>
        <w:tc>
          <w:tcPr>
            <w:tcW w:w="1843" w:type="dxa"/>
            <w:vMerge/>
            <w:tcBorders>
              <w:top w:val="nil"/>
              <w:left w:val="single" w:sz="8" w:space="0" w:color="auto"/>
              <w:bottom w:val="single" w:sz="8" w:space="0" w:color="000000"/>
              <w:right w:val="single" w:sz="8" w:space="0" w:color="auto"/>
            </w:tcBorders>
            <w:vAlign w:val="center"/>
            <w:hideMark/>
          </w:tcPr>
          <w:p w14:paraId="77BA012D" w14:textId="77777777" w:rsidR="007968EC" w:rsidRDefault="007968EC" w:rsidP="007968EC">
            <w:pPr>
              <w:spacing w:line="256" w:lineRule="auto"/>
              <w:rPr>
                <w:rFonts w:ascii="Arial Narrow" w:eastAsia="Calibri" w:hAnsi="Arial Narrow" w:cstheme="minorBidi"/>
                <w:b/>
                <w:lang w:eastAsia="es-CO"/>
              </w:rPr>
            </w:pPr>
          </w:p>
        </w:tc>
        <w:tc>
          <w:tcPr>
            <w:tcW w:w="2126" w:type="dxa"/>
            <w:tcBorders>
              <w:top w:val="nil"/>
              <w:left w:val="nil"/>
              <w:bottom w:val="single" w:sz="8" w:space="0" w:color="auto"/>
              <w:right w:val="single" w:sz="8" w:space="0" w:color="auto"/>
            </w:tcBorders>
            <w:shd w:val="clear" w:color="auto" w:fill="FFFFFF"/>
            <w:noWrap/>
            <w:vAlign w:val="center"/>
            <w:hideMark/>
          </w:tcPr>
          <w:p w14:paraId="35CC16E8" w14:textId="77777777" w:rsidR="007968EC" w:rsidRDefault="007968EC" w:rsidP="007968EC">
            <w:pPr>
              <w:spacing w:line="256" w:lineRule="auto"/>
              <w:jc w:val="center"/>
              <w:rPr>
                <w:rFonts w:ascii="Arial Narrow" w:eastAsia="Calibri" w:hAnsi="Arial Narrow" w:cstheme="minorBidi"/>
                <w:b/>
                <w:lang w:eastAsia="es-CO"/>
              </w:rPr>
            </w:pPr>
            <w:r>
              <w:rPr>
                <w:rFonts w:ascii="Arial Narrow" w:eastAsia="Calibri" w:hAnsi="Arial Narrow" w:cstheme="minorBidi"/>
                <w:lang w:eastAsia="es-CO"/>
              </w:rPr>
              <w:t>17.62%</w:t>
            </w:r>
          </w:p>
        </w:tc>
      </w:tr>
      <w:tr w:rsidR="007968EC" w14:paraId="68C50258" w14:textId="77777777" w:rsidTr="007968EC">
        <w:trPr>
          <w:cantSplit/>
          <w:trHeight w:val="330"/>
          <w:jc w:val="center"/>
        </w:trPr>
        <w:tc>
          <w:tcPr>
            <w:tcW w:w="3686" w:type="dxa"/>
            <w:tcBorders>
              <w:top w:val="nil"/>
              <w:left w:val="single" w:sz="8" w:space="0" w:color="auto"/>
              <w:bottom w:val="single" w:sz="8" w:space="0" w:color="auto"/>
              <w:right w:val="single" w:sz="8" w:space="0" w:color="auto"/>
            </w:tcBorders>
            <w:shd w:val="clear" w:color="auto" w:fill="FFFFFF"/>
            <w:noWrap/>
            <w:vAlign w:val="center"/>
            <w:hideMark/>
          </w:tcPr>
          <w:p w14:paraId="5D95823B" w14:textId="77777777" w:rsidR="007968EC" w:rsidRDefault="007968EC" w:rsidP="007968EC">
            <w:pPr>
              <w:spacing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ACCIÓN PREFERENCIAL DAVIVIENDA</w:t>
            </w:r>
          </w:p>
        </w:tc>
        <w:tc>
          <w:tcPr>
            <w:tcW w:w="2268" w:type="dxa"/>
            <w:vMerge/>
            <w:tcBorders>
              <w:top w:val="nil"/>
              <w:left w:val="single" w:sz="8" w:space="0" w:color="auto"/>
              <w:bottom w:val="single" w:sz="8" w:space="0" w:color="000000"/>
              <w:right w:val="single" w:sz="8" w:space="0" w:color="auto"/>
            </w:tcBorders>
            <w:vAlign w:val="center"/>
            <w:hideMark/>
          </w:tcPr>
          <w:p w14:paraId="4BB1EAAC" w14:textId="77777777" w:rsidR="007968EC" w:rsidRDefault="007968EC" w:rsidP="007968EC">
            <w:pPr>
              <w:spacing w:line="256" w:lineRule="auto"/>
              <w:rPr>
                <w:rFonts w:ascii="Arial Narrow" w:eastAsia="Calibri" w:hAnsi="Arial Narrow" w:cstheme="minorBidi"/>
                <w:b/>
                <w:lang w:eastAsia="es-CO"/>
              </w:rPr>
            </w:pPr>
          </w:p>
        </w:tc>
        <w:tc>
          <w:tcPr>
            <w:tcW w:w="1843" w:type="dxa"/>
            <w:vMerge/>
            <w:tcBorders>
              <w:top w:val="nil"/>
              <w:left w:val="single" w:sz="8" w:space="0" w:color="auto"/>
              <w:bottom w:val="single" w:sz="8" w:space="0" w:color="000000"/>
              <w:right w:val="single" w:sz="8" w:space="0" w:color="auto"/>
            </w:tcBorders>
            <w:vAlign w:val="center"/>
            <w:hideMark/>
          </w:tcPr>
          <w:p w14:paraId="0384AF24" w14:textId="77777777" w:rsidR="007968EC" w:rsidRDefault="007968EC" w:rsidP="007968EC">
            <w:pPr>
              <w:spacing w:line="256" w:lineRule="auto"/>
              <w:rPr>
                <w:rFonts w:ascii="Arial Narrow" w:eastAsia="Calibri" w:hAnsi="Arial Narrow" w:cstheme="minorBidi"/>
                <w:b/>
                <w:lang w:eastAsia="es-CO"/>
              </w:rPr>
            </w:pPr>
          </w:p>
        </w:tc>
        <w:tc>
          <w:tcPr>
            <w:tcW w:w="2126" w:type="dxa"/>
            <w:tcBorders>
              <w:top w:val="nil"/>
              <w:left w:val="nil"/>
              <w:bottom w:val="single" w:sz="8" w:space="0" w:color="auto"/>
              <w:right w:val="single" w:sz="8" w:space="0" w:color="auto"/>
            </w:tcBorders>
            <w:shd w:val="clear" w:color="auto" w:fill="FFFFFF"/>
            <w:noWrap/>
            <w:vAlign w:val="center"/>
            <w:hideMark/>
          </w:tcPr>
          <w:p w14:paraId="143FA5B6" w14:textId="77777777" w:rsidR="007968EC" w:rsidRDefault="007968EC" w:rsidP="007968EC">
            <w:pPr>
              <w:spacing w:line="256" w:lineRule="auto"/>
              <w:jc w:val="center"/>
              <w:rPr>
                <w:rFonts w:ascii="Arial Narrow" w:eastAsia="Calibri" w:hAnsi="Arial Narrow" w:cstheme="minorBidi"/>
                <w:b/>
                <w:lang w:eastAsia="es-CO"/>
              </w:rPr>
            </w:pPr>
            <w:r>
              <w:rPr>
                <w:rFonts w:ascii="Arial Narrow" w:eastAsia="Calibri" w:hAnsi="Arial Narrow" w:cstheme="minorBidi"/>
                <w:lang w:eastAsia="es-CO"/>
              </w:rPr>
              <w:t>9.07%</w:t>
            </w:r>
          </w:p>
        </w:tc>
      </w:tr>
      <w:tr w:rsidR="007968EC" w14:paraId="29E19D11" w14:textId="77777777" w:rsidTr="007968EC">
        <w:trPr>
          <w:cantSplit/>
          <w:trHeight w:val="330"/>
          <w:jc w:val="center"/>
        </w:trPr>
        <w:tc>
          <w:tcPr>
            <w:tcW w:w="3686" w:type="dxa"/>
            <w:tcBorders>
              <w:top w:val="nil"/>
              <w:left w:val="single" w:sz="8" w:space="0" w:color="auto"/>
              <w:bottom w:val="single" w:sz="4" w:space="0" w:color="auto"/>
              <w:right w:val="single" w:sz="8" w:space="0" w:color="auto"/>
            </w:tcBorders>
            <w:shd w:val="clear" w:color="auto" w:fill="FFFFFF"/>
            <w:noWrap/>
            <w:vAlign w:val="center"/>
            <w:hideMark/>
          </w:tcPr>
          <w:p w14:paraId="68F7D1E4" w14:textId="77777777" w:rsidR="007968EC" w:rsidRDefault="007968EC" w:rsidP="007968EC">
            <w:pPr>
              <w:spacing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ACCIÓN PREFERENCIAL GRUPO ARGOS</w:t>
            </w:r>
          </w:p>
        </w:tc>
        <w:tc>
          <w:tcPr>
            <w:tcW w:w="2268" w:type="dxa"/>
            <w:vMerge/>
            <w:tcBorders>
              <w:top w:val="nil"/>
              <w:left w:val="single" w:sz="8" w:space="0" w:color="auto"/>
              <w:bottom w:val="single" w:sz="8" w:space="0" w:color="000000"/>
              <w:right w:val="single" w:sz="8" w:space="0" w:color="auto"/>
            </w:tcBorders>
            <w:vAlign w:val="center"/>
            <w:hideMark/>
          </w:tcPr>
          <w:p w14:paraId="063C1590" w14:textId="77777777" w:rsidR="007968EC" w:rsidRDefault="007968EC" w:rsidP="007968EC">
            <w:pPr>
              <w:spacing w:line="256" w:lineRule="auto"/>
              <w:rPr>
                <w:rFonts w:ascii="Arial Narrow" w:eastAsia="Calibri" w:hAnsi="Arial Narrow" w:cstheme="minorBidi"/>
                <w:b/>
                <w:lang w:eastAsia="es-CO"/>
              </w:rPr>
            </w:pPr>
          </w:p>
        </w:tc>
        <w:tc>
          <w:tcPr>
            <w:tcW w:w="1843" w:type="dxa"/>
            <w:vMerge/>
            <w:tcBorders>
              <w:top w:val="nil"/>
              <w:left w:val="single" w:sz="8" w:space="0" w:color="auto"/>
              <w:bottom w:val="single" w:sz="8" w:space="0" w:color="000000"/>
              <w:right w:val="single" w:sz="8" w:space="0" w:color="auto"/>
            </w:tcBorders>
            <w:vAlign w:val="center"/>
            <w:hideMark/>
          </w:tcPr>
          <w:p w14:paraId="4A13E0D8" w14:textId="77777777" w:rsidR="007968EC" w:rsidRDefault="007968EC" w:rsidP="007968EC">
            <w:pPr>
              <w:spacing w:line="256" w:lineRule="auto"/>
              <w:rPr>
                <w:rFonts w:ascii="Arial Narrow" w:eastAsia="Calibri" w:hAnsi="Arial Narrow" w:cstheme="minorBidi"/>
                <w:b/>
                <w:lang w:eastAsia="es-CO"/>
              </w:rPr>
            </w:pPr>
          </w:p>
        </w:tc>
        <w:tc>
          <w:tcPr>
            <w:tcW w:w="2126" w:type="dxa"/>
            <w:tcBorders>
              <w:top w:val="nil"/>
              <w:left w:val="nil"/>
              <w:bottom w:val="single" w:sz="4" w:space="0" w:color="auto"/>
              <w:right w:val="single" w:sz="8" w:space="0" w:color="auto"/>
            </w:tcBorders>
            <w:shd w:val="clear" w:color="auto" w:fill="FFFFFF"/>
            <w:noWrap/>
            <w:vAlign w:val="center"/>
            <w:hideMark/>
          </w:tcPr>
          <w:p w14:paraId="77A5ACC3" w14:textId="77777777" w:rsidR="007968EC" w:rsidRDefault="007968EC" w:rsidP="007968EC">
            <w:pPr>
              <w:spacing w:line="256" w:lineRule="auto"/>
              <w:jc w:val="center"/>
              <w:rPr>
                <w:rFonts w:ascii="Arial Narrow" w:eastAsia="Calibri" w:hAnsi="Arial Narrow" w:cstheme="minorBidi"/>
                <w:b/>
                <w:lang w:eastAsia="es-CO"/>
              </w:rPr>
            </w:pPr>
            <w:r>
              <w:rPr>
                <w:rFonts w:ascii="Arial Narrow" w:eastAsia="Calibri" w:hAnsi="Arial Narrow" w:cstheme="minorBidi"/>
                <w:lang w:eastAsia="es-CO"/>
              </w:rPr>
              <w:t>11.32%</w:t>
            </w:r>
          </w:p>
        </w:tc>
      </w:tr>
      <w:tr w:rsidR="007968EC" w14:paraId="438BD97F" w14:textId="77777777" w:rsidTr="007968EC">
        <w:trPr>
          <w:cantSplit/>
          <w:trHeight w:val="330"/>
          <w:jc w:val="center"/>
        </w:trPr>
        <w:tc>
          <w:tcPr>
            <w:tcW w:w="3686" w:type="dxa"/>
            <w:tcBorders>
              <w:top w:val="single" w:sz="4" w:space="0" w:color="auto"/>
              <w:left w:val="single" w:sz="4" w:space="0" w:color="auto"/>
              <w:bottom w:val="single" w:sz="4" w:space="0" w:color="auto"/>
              <w:right w:val="single" w:sz="8" w:space="0" w:color="auto"/>
            </w:tcBorders>
            <w:shd w:val="clear" w:color="auto" w:fill="FFFFFF"/>
            <w:noWrap/>
            <w:vAlign w:val="center"/>
            <w:hideMark/>
          </w:tcPr>
          <w:p w14:paraId="4F536220" w14:textId="77777777" w:rsidR="007968EC" w:rsidRDefault="007968EC" w:rsidP="007968EC">
            <w:pPr>
              <w:spacing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ETF ICOLCAP</w:t>
            </w:r>
          </w:p>
        </w:tc>
        <w:tc>
          <w:tcPr>
            <w:tcW w:w="2268" w:type="dxa"/>
            <w:vMerge/>
            <w:tcBorders>
              <w:top w:val="nil"/>
              <w:left w:val="single" w:sz="8" w:space="0" w:color="auto"/>
              <w:bottom w:val="single" w:sz="8" w:space="0" w:color="000000"/>
              <w:right w:val="single" w:sz="8" w:space="0" w:color="auto"/>
            </w:tcBorders>
            <w:vAlign w:val="center"/>
            <w:hideMark/>
          </w:tcPr>
          <w:p w14:paraId="4CE8545E" w14:textId="77777777" w:rsidR="007968EC" w:rsidRDefault="007968EC" w:rsidP="007968EC">
            <w:pPr>
              <w:spacing w:line="256" w:lineRule="auto"/>
              <w:rPr>
                <w:rFonts w:ascii="Arial Narrow" w:eastAsia="Calibri" w:hAnsi="Arial Narrow" w:cstheme="minorBidi"/>
                <w:b/>
                <w:lang w:eastAsia="es-CO"/>
              </w:rPr>
            </w:pPr>
          </w:p>
        </w:tc>
        <w:tc>
          <w:tcPr>
            <w:tcW w:w="1843" w:type="dxa"/>
            <w:vMerge/>
            <w:tcBorders>
              <w:top w:val="nil"/>
              <w:left w:val="single" w:sz="8" w:space="0" w:color="auto"/>
              <w:bottom w:val="single" w:sz="8" w:space="0" w:color="000000"/>
              <w:right w:val="single" w:sz="8" w:space="0" w:color="auto"/>
            </w:tcBorders>
            <w:vAlign w:val="center"/>
            <w:hideMark/>
          </w:tcPr>
          <w:p w14:paraId="07F985D3" w14:textId="77777777" w:rsidR="007968EC" w:rsidRDefault="007968EC" w:rsidP="007968EC">
            <w:pPr>
              <w:spacing w:line="256" w:lineRule="auto"/>
              <w:rPr>
                <w:rFonts w:ascii="Arial Narrow" w:eastAsia="Calibri" w:hAnsi="Arial Narrow" w:cstheme="minorBidi"/>
                <w:b/>
                <w:lang w:eastAsia="es-CO"/>
              </w:rPr>
            </w:pPr>
          </w:p>
        </w:tc>
        <w:tc>
          <w:tcPr>
            <w:tcW w:w="2126" w:type="dxa"/>
            <w:tcBorders>
              <w:top w:val="single" w:sz="4" w:space="0" w:color="auto"/>
              <w:left w:val="single" w:sz="8" w:space="0" w:color="auto"/>
              <w:bottom w:val="single" w:sz="4" w:space="0" w:color="auto"/>
              <w:right w:val="single" w:sz="4" w:space="0" w:color="auto"/>
            </w:tcBorders>
            <w:shd w:val="clear" w:color="auto" w:fill="FFFFFF"/>
            <w:noWrap/>
            <w:vAlign w:val="center"/>
            <w:hideMark/>
          </w:tcPr>
          <w:p w14:paraId="0A8FA3CE" w14:textId="77777777" w:rsidR="007968EC" w:rsidRDefault="007968EC" w:rsidP="007968EC">
            <w:pPr>
              <w:spacing w:line="256" w:lineRule="auto"/>
              <w:jc w:val="center"/>
              <w:rPr>
                <w:rFonts w:ascii="Arial Narrow" w:eastAsia="Calibri" w:hAnsi="Arial Narrow" w:cstheme="minorBidi"/>
                <w:lang w:eastAsia="es-CO"/>
              </w:rPr>
            </w:pPr>
            <w:r>
              <w:rPr>
                <w:rFonts w:ascii="Arial Narrow" w:eastAsia="Calibri" w:hAnsi="Arial Narrow" w:cstheme="minorBidi"/>
                <w:lang w:eastAsia="es-CO"/>
              </w:rPr>
              <w:t>4.80%</w:t>
            </w:r>
          </w:p>
        </w:tc>
      </w:tr>
      <w:tr w:rsidR="007968EC" w14:paraId="484487DC" w14:textId="77777777" w:rsidTr="007968EC">
        <w:trPr>
          <w:cantSplit/>
          <w:trHeight w:val="330"/>
          <w:jc w:val="center"/>
        </w:trPr>
        <w:tc>
          <w:tcPr>
            <w:tcW w:w="3686" w:type="dxa"/>
            <w:tcBorders>
              <w:top w:val="single" w:sz="4" w:space="0" w:color="auto"/>
              <w:left w:val="single" w:sz="4" w:space="0" w:color="auto"/>
              <w:bottom w:val="single" w:sz="4" w:space="0" w:color="auto"/>
              <w:right w:val="single" w:sz="8" w:space="0" w:color="auto"/>
            </w:tcBorders>
            <w:shd w:val="clear" w:color="auto" w:fill="FFFFFF"/>
            <w:noWrap/>
            <w:vAlign w:val="center"/>
            <w:hideMark/>
          </w:tcPr>
          <w:p w14:paraId="6723B7CC" w14:textId="77777777" w:rsidR="007968EC" w:rsidRDefault="007968EC" w:rsidP="007968EC">
            <w:pPr>
              <w:spacing w:line="256" w:lineRule="auto"/>
              <w:jc w:val="center"/>
              <w:rPr>
                <w:rFonts w:ascii="Arial Narrow" w:eastAsia="Calibri" w:hAnsi="Arial Narrow" w:cstheme="minorBidi"/>
                <w:color w:val="000000"/>
                <w:lang w:eastAsia="es-CO"/>
              </w:rPr>
            </w:pPr>
            <w:r>
              <w:rPr>
                <w:rFonts w:ascii="Arial Narrow" w:eastAsia="Calibri" w:hAnsi="Arial Narrow" w:cstheme="minorBidi"/>
                <w:color w:val="000000"/>
                <w:lang w:eastAsia="es-CO"/>
              </w:rPr>
              <w:t>ACCIÓN BANCO DE BOGOTÁ</w:t>
            </w:r>
          </w:p>
        </w:tc>
        <w:tc>
          <w:tcPr>
            <w:tcW w:w="2268" w:type="dxa"/>
            <w:vMerge/>
            <w:tcBorders>
              <w:top w:val="nil"/>
              <w:left w:val="single" w:sz="8" w:space="0" w:color="auto"/>
              <w:bottom w:val="single" w:sz="8" w:space="0" w:color="000000"/>
              <w:right w:val="single" w:sz="8" w:space="0" w:color="auto"/>
            </w:tcBorders>
            <w:vAlign w:val="center"/>
            <w:hideMark/>
          </w:tcPr>
          <w:p w14:paraId="604F0511" w14:textId="77777777" w:rsidR="007968EC" w:rsidRDefault="007968EC" w:rsidP="007968EC">
            <w:pPr>
              <w:spacing w:line="256" w:lineRule="auto"/>
              <w:rPr>
                <w:rFonts w:ascii="Arial Narrow" w:eastAsia="Calibri" w:hAnsi="Arial Narrow" w:cstheme="minorBidi"/>
                <w:b/>
                <w:lang w:eastAsia="es-CO"/>
              </w:rPr>
            </w:pPr>
          </w:p>
        </w:tc>
        <w:tc>
          <w:tcPr>
            <w:tcW w:w="1843" w:type="dxa"/>
            <w:vMerge/>
            <w:tcBorders>
              <w:top w:val="nil"/>
              <w:left w:val="single" w:sz="8" w:space="0" w:color="auto"/>
              <w:bottom w:val="single" w:sz="8" w:space="0" w:color="000000"/>
              <w:right w:val="single" w:sz="8" w:space="0" w:color="auto"/>
            </w:tcBorders>
            <w:vAlign w:val="center"/>
            <w:hideMark/>
          </w:tcPr>
          <w:p w14:paraId="528255F6" w14:textId="77777777" w:rsidR="007968EC" w:rsidRDefault="007968EC" w:rsidP="007968EC">
            <w:pPr>
              <w:spacing w:line="256" w:lineRule="auto"/>
              <w:rPr>
                <w:rFonts w:ascii="Arial Narrow" w:eastAsia="Calibri" w:hAnsi="Arial Narrow" w:cstheme="minorBidi"/>
                <w:b/>
                <w:lang w:eastAsia="es-CO"/>
              </w:rPr>
            </w:pPr>
          </w:p>
        </w:tc>
        <w:tc>
          <w:tcPr>
            <w:tcW w:w="2126" w:type="dxa"/>
            <w:tcBorders>
              <w:top w:val="single" w:sz="4" w:space="0" w:color="auto"/>
              <w:left w:val="single" w:sz="8" w:space="0" w:color="auto"/>
              <w:bottom w:val="single" w:sz="4" w:space="0" w:color="auto"/>
              <w:right w:val="single" w:sz="4" w:space="0" w:color="auto"/>
            </w:tcBorders>
            <w:shd w:val="clear" w:color="auto" w:fill="FFFFFF"/>
            <w:noWrap/>
            <w:vAlign w:val="center"/>
            <w:hideMark/>
          </w:tcPr>
          <w:p w14:paraId="6D2890B6" w14:textId="77777777" w:rsidR="007968EC" w:rsidRDefault="007968EC" w:rsidP="007968EC">
            <w:pPr>
              <w:spacing w:line="256" w:lineRule="auto"/>
              <w:jc w:val="center"/>
              <w:rPr>
                <w:rFonts w:ascii="Arial Narrow" w:eastAsia="Calibri" w:hAnsi="Arial Narrow" w:cstheme="minorBidi"/>
                <w:lang w:eastAsia="es-CO"/>
              </w:rPr>
            </w:pPr>
            <w:r>
              <w:rPr>
                <w:rFonts w:ascii="Arial Narrow" w:eastAsia="Calibri" w:hAnsi="Arial Narrow" w:cstheme="minorBidi"/>
                <w:lang w:eastAsia="es-CO"/>
              </w:rPr>
              <w:t>8.70%</w:t>
            </w:r>
          </w:p>
        </w:tc>
      </w:tr>
    </w:tbl>
    <w:p w14:paraId="081CD293" w14:textId="77777777" w:rsidR="007968EC" w:rsidRDefault="007968EC" w:rsidP="007968EC">
      <w:pPr>
        <w:jc w:val="both"/>
        <w:rPr>
          <w:rFonts w:ascii="Arial Narrow" w:eastAsia="Calibri" w:hAnsi="Arial Narrow"/>
        </w:rPr>
      </w:pPr>
    </w:p>
    <w:p w14:paraId="54C70819" w14:textId="77777777" w:rsidR="007968EC" w:rsidRDefault="007968EC" w:rsidP="007968EC">
      <w:pPr>
        <w:jc w:val="both"/>
        <w:rPr>
          <w:rFonts w:ascii="Arial Narrow" w:eastAsia="Calibri" w:hAnsi="Arial Narrow"/>
          <w:lang w:val="es-ES"/>
        </w:rPr>
      </w:pPr>
    </w:p>
    <w:p w14:paraId="728E97D9" w14:textId="77777777" w:rsidR="007968EC" w:rsidRDefault="007968EC" w:rsidP="007968EC">
      <w:pPr>
        <w:jc w:val="both"/>
        <w:rPr>
          <w:rFonts w:ascii="Arial Narrow" w:eastAsia="Calibri" w:hAnsi="Arial Narrow"/>
          <w:lang w:val="es-ES"/>
        </w:rPr>
      </w:pPr>
      <w:r>
        <w:rPr>
          <w:rFonts w:ascii="Arial Narrow" w:eastAsia="Calibri" w:hAnsi="Arial Narrow"/>
          <w:lang w:val="es-ES"/>
        </w:rPr>
        <w:t>Si el Activo no cuenta con una fluctuación calculada previamente, el cálculo de la misma se realizará con la metodología definida por la Cámara.</w:t>
      </w:r>
    </w:p>
    <w:p w14:paraId="636447D5" w14:textId="77777777" w:rsidR="007968EC" w:rsidRDefault="007968EC" w:rsidP="007968EC">
      <w:pPr>
        <w:jc w:val="both"/>
        <w:rPr>
          <w:rFonts w:ascii="Arial Narrow" w:eastAsia="Calibri" w:hAnsi="Arial Narrow"/>
          <w:lang w:val="es-ES"/>
        </w:rPr>
      </w:pPr>
    </w:p>
    <w:p w14:paraId="192494B7" w14:textId="77777777" w:rsidR="007968EC" w:rsidRDefault="007968EC" w:rsidP="007968EC">
      <w:pPr>
        <w:rPr>
          <w:rFonts w:ascii="Arial Narrow" w:hAnsi="Arial Narrow"/>
          <w:lang w:eastAsia="es-ES"/>
        </w:rPr>
      </w:pPr>
      <w:r>
        <w:rPr>
          <w:rFonts w:ascii="Arial Narrow" w:eastAsia="Calibri" w:hAnsi="Arial Narrow" w:cs="Arial"/>
          <w:lang w:val="es-ES" w:eastAsia="es-CO"/>
        </w:rPr>
        <w:t xml:space="preserve">2. </w:t>
      </w:r>
      <w:r>
        <w:rPr>
          <w:rFonts w:ascii="Arial Narrow" w:hAnsi="Arial Narrow"/>
          <w:lang w:eastAsia="es-ES"/>
        </w:rPr>
        <w:t xml:space="preserve">Orden o prioridad de compensación de los Grupos de Compensación. </w:t>
      </w:r>
    </w:p>
    <w:p w14:paraId="2B69FE42" w14:textId="77777777" w:rsidR="007968EC" w:rsidRDefault="007968EC" w:rsidP="007968EC">
      <w:pPr>
        <w:rPr>
          <w:rFonts w:ascii="Arial Narrow" w:hAnsi="Arial Narrow"/>
          <w:lang w:eastAsia="es-ES"/>
        </w:rPr>
      </w:pPr>
    </w:p>
    <w:p w14:paraId="1C4BF249" w14:textId="77777777" w:rsidR="007968EC" w:rsidRDefault="007968EC" w:rsidP="007968EC">
      <w:pPr>
        <w:jc w:val="both"/>
        <w:rPr>
          <w:rFonts w:ascii="Arial Narrow" w:eastAsia="Calibri" w:hAnsi="Arial Narrow" w:cs="Arial"/>
          <w:lang w:eastAsia="es-CO"/>
        </w:rPr>
      </w:pPr>
      <w:r>
        <w:rPr>
          <w:rFonts w:ascii="Arial Narrow" w:eastAsia="Calibri" w:hAnsi="Arial Narrow" w:cs="Arial"/>
          <w:lang w:eastAsia="es-CO"/>
        </w:rPr>
        <w:t>Para las Operaciones Repo no se considera Compensación entre grupos de Compensación, razón por la cual se debe considerar este parámetro como cero (0) para todos los Activos pertenecientes a este Segmento.</w:t>
      </w:r>
    </w:p>
    <w:p w14:paraId="289A98DD" w14:textId="77777777" w:rsidR="007968EC" w:rsidRDefault="007968EC" w:rsidP="007968EC">
      <w:pPr>
        <w:jc w:val="both"/>
        <w:rPr>
          <w:rFonts w:ascii="Arial Narrow" w:eastAsia="Calibri" w:hAnsi="Arial Narrow" w:cs="Arial"/>
          <w:lang w:val="es-ES" w:eastAsia="es-ES"/>
        </w:rPr>
      </w:pPr>
    </w:p>
    <w:p w14:paraId="4DE70E8E" w14:textId="77777777" w:rsidR="007968EC" w:rsidRDefault="007968EC" w:rsidP="007968EC">
      <w:pPr>
        <w:jc w:val="both"/>
        <w:rPr>
          <w:rFonts w:ascii="Arial Narrow" w:eastAsia="Calibri" w:hAnsi="Arial Narrow" w:cs="Arial"/>
          <w:lang w:eastAsia="es-CO"/>
        </w:rPr>
      </w:pPr>
      <w:r>
        <w:rPr>
          <w:rFonts w:ascii="Arial Narrow" w:eastAsia="Calibri" w:hAnsi="Arial Narrow" w:cs="Arial"/>
          <w:lang w:eastAsia="es-CO"/>
        </w:rPr>
        <w:t>3. Deltas para formar un Spread</w:t>
      </w:r>
    </w:p>
    <w:p w14:paraId="3426473C" w14:textId="77777777" w:rsidR="007968EC" w:rsidRDefault="007968EC" w:rsidP="007968EC">
      <w:pPr>
        <w:jc w:val="both"/>
        <w:rPr>
          <w:rFonts w:ascii="Arial Narrow" w:eastAsia="Calibri" w:hAnsi="Arial Narrow" w:cs="Arial"/>
          <w:lang w:eastAsia="es-CO"/>
        </w:rPr>
      </w:pPr>
    </w:p>
    <w:p w14:paraId="3B87A6FB" w14:textId="77777777" w:rsidR="007968EC" w:rsidRDefault="007968EC" w:rsidP="007968EC">
      <w:pPr>
        <w:jc w:val="both"/>
        <w:rPr>
          <w:rFonts w:ascii="Arial Narrow" w:eastAsia="Calibri" w:hAnsi="Arial Narrow" w:cs="Arial"/>
          <w:lang w:eastAsia="es-CO"/>
        </w:rPr>
      </w:pPr>
      <w:r>
        <w:rPr>
          <w:rFonts w:ascii="Arial Narrow" w:eastAsia="Calibri" w:hAnsi="Arial Narrow" w:cs="Arial"/>
          <w:lang w:eastAsia="es-CO"/>
        </w:rPr>
        <w:t>Para las Operaciones Repo no se considera Compensación entre grupos de Compensación, razón por la cual se debe considerar este parámetro como cero (0) para todos los Activos pertenecientes a este Segmento.</w:t>
      </w:r>
    </w:p>
    <w:p w14:paraId="5E1DD162" w14:textId="77777777" w:rsidR="007968EC" w:rsidRDefault="007968EC" w:rsidP="007968EC">
      <w:pPr>
        <w:jc w:val="both"/>
        <w:rPr>
          <w:rFonts w:ascii="Arial Narrow" w:eastAsia="Calibri" w:hAnsi="Arial Narrow" w:cs="Arial"/>
          <w:lang w:val="es-ES" w:eastAsia="es-ES"/>
        </w:rPr>
      </w:pPr>
    </w:p>
    <w:p w14:paraId="38F69383" w14:textId="77777777" w:rsidR="007968EC" w:rsidRDefault="007968EC" w:rsidP="007968EC">
      <w:pPr>
        <w:jc w:val="both"/>
        <w:rPr>
          <w:rFonts w:ascii="Arial Narrow" w:eastAsia="Calibri" w:hAnsi="Arial Narrow"/>
          <w:lang w:val="es-ES"/>
        </w:rPr>
      </w:pPr>
      <w:r>
        <w:rPr>
          <w:rFonts w:ascii="Arial Narrow" w:eastAsia="Calibri" w:hAnsi="Arial Narrow"/>
          <w:b/>
        </w:rPr>
        <w:t xml:space="preserve">Parágrafo. </w:t>
      </w:r>
      <w:r>
        <w:rPr>
          <w:rFonts w:ascii="Arial Narrow" w:eastAsia="Calibri" w:hAnsi="Arial Narrow"/>
          <w:lang w:val="es-ES"/>
        </w:rPr>
        <w:t xml:space="preserve">Los Activos serán evaluados por lo menos una vez al mes. En caso de que un Activo </w:t>
      </w:r>
      <w:r>
        <w:rPr>
          <w:rFonts w:ascii="Arial Narrow" w:eastAsia="Calibri" w:hAnsi="Arial Narrow"/>
        </w:rPr>
        <w:t xml:space="preserve">pierda su condición de </w:t>
      </w:r>
      <w:r>
        <w:rPr>
          <w:rFonts w:ascii="Arial Narrow" w:eastAsia="Calibri" w:hAnsi="Arial Narrow"/>
          <w:lang w:val="es-ES"/>
        </w:rPr>
        <w:t>ser elegible para Operaciones Repo, se informará al Comité de Riesgos, en la siguiente sesión.</w:t>
      </w:r>
    </w:p>
    <w:p w14:paraId="6685EC8B" w14:textId="77777777" w:rsidR="007968EC" w:rsidRPr="00D42D50" w:rsidRDefault="007968EC" w:rsidP="007968EC">
      <w:pPr>
        <w:jc w:val="both"/>
        <w:rPr>
          <w:rFonts w:ascii="Arial Narrow" w:eastAsia="Calibri" w:hAnsi="Arial Narrow"/>
          <w:lang w:val="es-ES"/>
        </w:rPr>
      </w:pPr>
    </w:p>
    <w:p w14:paraId="3AD0762D" w14:textId="77777777" w:rsidR="007968EC" w:rsidRPr="00602D63" w:rsidRDefault="007968EC" w:rsidP="007968EC">
      <w:pPr>
        <w:pStyle w:val="ARTICULO0"/>
      </w:pPr>
      <w:bookmarkStart w:id="6204" w:name="_Toc31716421"/>
      <w:r w:rsidRPr="00602D63">
        <w:t>Artículo 4.5.3.2. Procedimiento de cálculo de la Garantía Extraordinaria por variación de precios Segmento de Renta Variable.</w:t>
      </w:r>
      <w:bookmarkEnd w:id="6204"/>
    </w:p>
    <w:p w14:paraId="6A52627A" w14:textId="77777777" w:rsidR="007968EC" w:rsidRPr="00162F8E" w:rsidRDefault="007968EC" w:rsidP="007968EC">
      <w:pPr>
        <w:jc w:val="both"/>
        <w:rPr>
          <w:rFonts w:ascii="Arial Narrow" w:hAnsi="Arial Narrow" w:cs="Arial"/>
          <w:bCs/>
          <w:color w:val="000000" w:themeColor="text1"/>
          <w:lang w:eastAsia="es-CO"/>
        </w:rPr>
      </w:pPr>
    </w:p>
    <w:p w14:paraId="7598E31E" w14:textId="77777777" w:rsidR="007968EC" w:rsidRPr="00162F8E" w:rsidRDefault="007968EC" w:rsidP="007968EC">
      <w:pPr>
        <w:jc w:val="both"/>
        <w:rPr>
          <w:rFonts w:ascii="Arial Narrow" w:hAnsi="Arial Narrow" w:cs="Arial"/>
          <w:b/>
          <w:bCs/>
          <w:i/>
          <w:color w:val="000000" w:themeColor="text1"/>
          <w:lang w:eastAsia="es-CO"/>
        </w:rPr>
      </w:pPr>
      <w:r w:rsidRPr="00162F8E">
        <w:rPr>
          <w:rFonts w:ascii="Arial Narrow" w:hAnsi="Arial Narrow" w:cs="Arial"/>
          <w:b/>
          <w:bCs/>
          <w:i/>
          <w:color w:val="000000" w:themeColor="text1"/>
          <w:lang w:eastAsia="es-CO"/>
        </w:rPr>
        <w:t>(Este artículo fue adicionado mediante Circular 6 del 24 de abril de 2018, publicada en el Boletín Normativo No. 009 del 24 de abril de 2018. Rige a partir del 25 de abril de 2018).</w:t>
      </w:r>
    </w:p>
    <w:p w14:paraId="054DFF52" w14:textId="77777777" w:rsidR="007968EC" w:rsidRPr="00162F8E" w:rsidRDefault="007968EC" w:rsidP="007968EC">
      <w:pPr>
        <w:jc w:val="both"/>
        <w:rPr>
          <w:rFonts w:ascii="Arial Narrow" w:hAnsi="Arial Narrow" w:cs="Arial"/>
          <w:bCs/>
          <w:color w:val="000000" w:themeColor="text1"/>
          <w:lang w:eastAsia="es-CO"/>
        </w:rPr>
      </w:pPr>
    </w:p>
    <w:p w14:paraId="1C48A55D" w14:textId="77777777" w:rsidR="007968EC" w:rsidRPr="002C0D19" w:rsidRDefault="007968EC" w:rsidP="007968EC">
      <w:pPr>
        <w:jc w:val="both"/>
        <w:rPr>
          <w:rFonts w:ascii="Arial Narrow" w:hAnsi="Arial Narrow" w:cs="Arial"/>
          <w:bCs/>
          <w:color w:val="000000" w:themeColor="text1"/>
          <w:lang w:eastAsia="es-CO"/>
        </w:rPr>
      </w:pPr>
      <w:r w:rsidRPr="002C0D19">
        <w:rPr>
          <w:rFonts w:ascii="Arial Narrow" w:hAnsi="Arial Narrow" w:cs="Arial"/>
          <w:bCs/>
          <w:color w:val="000000" w:themeColor="text1"/>
          <w:lang w:eastAsia="es-CO"/>
        </w:rPr>
        <w:t xml:space="preserve">De conformidad con lo establecido en el </w:t>
      </w:r>
      <w:r w:rsidRPr="002C0D19">
        <w:rPr>
          <w:rFonts w:ascii="Arial Narrow" w:hAnsi="Arial Narrow" w:cs="Arial"/>
          <w:color w:val="000000" w:themeColor="text1"/>
          <w:lang w:eastAsia="es-ES"/>
        </w:rPr>
        <w:t>artículo 1.6.2.7. de la presente Circular, la</w:t>
      </w:r>
      <w:r w:rsidRPr="002C0D19">
        <w:rPr>
          <w:rFonts w:ascii="Arial Narrow" w:hAnsi="Arial Narrow" w:cs="Arial"/>
          <w:bCs/>
          <w:color w:val="000000" w:themeColor="text1"/>
          <w:lang w:eastAsia="es-CO"/>
        </w:rPr>
        <w:t xml:space="preserve"> metodología para el </w:t>
      </w:r>
      <w:r w:rsidRPr="002C0D19">
        <w:rPr>
          <w:rFonts w:ascii="Arial Narrow" w:hAnsi="Arial Narrow" w:cs="Arial"/>
          <w:color w:val="000000" w:themeColor="text1"/>
          <w:lang w:val="es-ES" w:eastAsia="es-ES"/>
        </w:rPr>
        <w:t xml:space="preserve">procedimiento de Margin Call para el Segmento </w:t>
      </w:r>
      <w:r>
        <w:rPr>
          <w:rFonts w:ascii="Arial Narrow" w:hAnsi="Arial Narrow" w:cs="Arial"/>
          <w:color w:val="000000" w:themeColor="text1"/>
          <w:lang w:val="es-ES" w:eastAsia="es-ES"/>
        </w:rPr>
        <w:t>de Renta Variable</w:t>
      </w:r>
      <w:r w:rsidRPr="002C0D19">
        <w:rPr>
          <w:rFonts w:ascii="Arial Narrow" w:hAnsi="Arial Narrow" w:cs="Arial"/>
          <w:color w:val="000000" w:themeColor="text1"/>
          <w:lang w:val="es-ES" w:eastAsia="es-ES"/>
        </w:rPr>
        <w:t xml:space="preserve"> </w:t>
      </w:r>
      <w:r w:rsidRPr="002C0D19">
        <w:rPr>
          <w:rFonts w:ascii="Arial Narrow" w:hAnsi="Arial Narrow" w:cs="Arial"/>
          <w:bCs/>
          <w:color w:val="000000" w:themeColor="text1"/>
          <w:lang w:eastAsia="es-CO"/>
        </w:rPr>
        <w:t>será la siguiente:</w:t>
      </w:r>
    </w:p>
    <w:p w14:paraId="29FC9995" w14:textId="77777777" w:rsidR="007968EC" w:rsidRPr="002C0D19" w:rsidRDefault="007968EC" w:rsidP="007968EC">
      <w:pPr>
        <w:rPr>
          <w:rFonts w:ascii="Arial" w:hAnsi="Arial" w:cs="Arial"/>
          <w:lang w:eastAsia="es-ES"/>
        </w:rPr>
      </w:pPr>
    </w:p>
    <w:p w14:paraId="5A9CB6D4" w14:textId="77777777" w:rsidR="007968EC" w:rsidRPr="00745687" w:rsidRDefault="007968EC" w:rsidP="00DA7472">
      <w:pPr>
        <w:numPr>
          <w:ilvl w:val="3"/>
          <w:numId w:val="310"/>
        </w:numPr>
        <w:tabs>
          <w:tab w:val="left" w:pos="284"/>
        </w:tabs>
        <w:ind w:left="284" w:hanging="284"/>
        <w:jc w:val="both"/>
        <w:rPr>
          <w:rFonts w:ascii="Arial Narrow" w:hAnsi="Arial Narrow" w:cs="Arial"/>
          <w:color w:val="000000" w:themeColor="text1"/>
          <w:lang w:val="es-ES" w:eastAsia="es-ES"/>
        </w:rPr>
      </w:pPr>
      <w:r w:rsidRPr="00045B1A">
        <w:rPr>
          <w:rFonts w:ascii="Arial Narrow" w:hAnsi="Arial Narrow" w:cs="Arial"/>
          <w:color w:val="000000" w:themeColor="text1"/>
          <w:lang w:val="es-ES" w:eastAsia="es-ES"/>
        </w:rPr>
        <w:t>Durante el día, la Cámara verifica la volatilidad de los precios de los Activos Objeto de las Operaciones en el mercado de contado y de los Activos Compensados y Liquidados, y activará el</w:t>
      </w:r>
      <w:r w:rsidRPr="007D11AD">
        <w:rPr>
          <w:rFonts w:ascii="Arial Narrow" w:hAnsi="Arial Narrow" w:cs="Arial"/>
          <w:color w:val="000000" w:themeColor="text1"/>
          <w:lang w:val="es-ES" w:eastAsia="es-ES"/>
        </w:rPr>
        <w:t xml:space="preserve"> procedimiento de Margin Call </w:t>
      </w:r>
      <w:r w:rsidRPr="00745687">
        <w:rPr>
          <w:rFonts w:ascii="Arial Narrow" w:hAnsi="Arial Narrow" w:cs="Arial"/>
          <w:color w:val="000000" w:themeColor="text1"/>
          <w:lang w:val="es-ES" w:eastAsia="es-ES"/>
        </w:rPr>
        <w:t>en el siguiente caso:</w:t>
      </w:r>
    </w:p>
    <w:p w14:paraId="491ECAB7" w14:textId="77777777" w:rsidR="007968EC" w:rsidRPr="002C0D19" w:rsidRDefault="007968EC" w:rsidP="007968EC">
      <w:pPr>
        <w:ind w:left="1560" w:hanging="284"/>
        <w:jc w:val="both"/>
        <w:rPr>
          <w:rFonts w:ascii="Arial Narrow" w:hAnsi="Arial Narrow" w:cs="Arial"/>
          <w:color w:val="000000" w:themeColor="text1"/>
          <w:lang w:eastAsia="es-CO"/>
        </w:rPr>
      </w:pPr>
    </w:p>
    <w:p w14:paraId="3D53B74E" w14:textId="77777777" w:rsidR="007968EC" w:rsidRPr="002C0D19" w:rsidRDefault="007968EC" w:rsidP="00DA7472">
      <w:pPr>
        <w:numPr>
          <w:ilvl w:val="0"/>
          <w:numId w:val="311"/>
        </w:numPr>
        <w:ind w:left="567" w:hanging="283"/>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Variación del Precio Margin Call hipotético calculado para cada Activo Objeto de una Operación: Cuando el precio del contado de un activo objeto de una Operación supera el parámetro de Fluctuación para llamados a Garantías Extraordinarias, la Cámara procede a calcular un Precio Margin Call hipotético para cada Activo. El Cálculo de Precio Margin hipotético se basa en el siguiente procedimiento:</w:t>
      </w:r>
    </w:p>
    <w:p w14:paraId="4FAC0998" w14:textId="77777777" w:rsidR="007968EC" w:rsidRPr="002C0D19" w:rsidRDefault="007968EC" w:rsidP="007968EC">
      <w:pPr>
        <w:ind w:left="567"/>
        <w:jc w:val="both"/>
        <w:rPr>
          <w:rFonts w:ascii="Arial Narrow" w:hAnsi="Arial Narrow" w:cs="Arial"/>
          <w:color w:val="000000" w:themeColor="text1"/>
          <w:lang w:eastAsia="es-CO"/>
        </w:rPr>
      </w:pPr>
    </w:p>
    <w:p w14:paraId="15F8F964" w14:textId="77777777" w:rsidR="007968EC" w:rsidRPr="002C0D19" w:rsidRDefault="007968EC" w:rsidP="00DA7472">
      <w:pPr>
        <w:numPr>
          <w:ilvl w:val="0"/>
          <w:numId w:val="312"/>
        </w:numPr>
        <w:ind w:left="851" w:hanging="284"/>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Se establece si la variación del precio del contado del activo objeto de una operación supera el parámetro de "Fluctuación para llamados a Garantías Extraordinarias” del mismo, de acuerdo a la siguiente desigualdad:</w:t>
      </w:r>
    </w:p>
    <w:p w14:paraId="0B843DC2" w14:textId="77777777" w:rsidR="007968EC" w:rsidRDefault="007968EC" w:rsidP="007968EC">
      <w:pPr>
        <w:ind w:left="567"/>
        <w:jc w:val="center"/>
        <w:rPr>
          <w:rFonts w:ascii="Arial Narrow" w:hAnsi="Arial Narrow" w:cs="Arial"/>
          <w:b/>
          <w:color w:val="000000" w:themeColor="text1"/>
          <w:lang w:eastAsia="es-CO"/>
        </w:rPr>
      </w:pPr>
    </w:p>
    <w:p w14:paraId="6B41F971" w14:textId="77777777" w:rsidR="007968EC" w:rsidRPr="002C0D19" w:rsidRDefault="007968EC" w:rsidP="007968EC">
      <w:pPr>
        <w:ind w:left="567"/>
        <w:jc w:val="center"/>
        <w:rPr>
          <w:rFonts w:ascii="Arial Narrow" w:hAnsi="Arial Narrow" w:cs="Arial"/>
          <w:color w:val="000000" w:themeColor="text1"/>
          <w:lang w:eastAsia="es-CO"/>
        </w:rPr>
      </w:pPr>
      <m:oMathPara>
        <m:oMath>
          <m:r>
            <m:rPr>
              <m:sty m:val="b"/>
            </m:rPr>
            <w:rPr>
              <w:rFonts w:ascii="Cambria Math" w:hAnsi="Cambria Math" w:cs="Arial"/>
              <w:color w:val="000000" w:themeColor="text1"/>
              <w:lang w:eastAsia="es-CO"/>
            </w:rPr>
            <m:t>-</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FGE</m:t>
              </m:r>
            </m:e>
            <m:sub>
              <m:r>
                <m:rPr>
                  <m:sty m:val="bi"/>
                </m:rPr>
                <w:rPr>
                  <w:rFonts w:ascii="Cambria Math" w:hAnsi="Cambria Math" w:cs="Arial"/>
                  <w:color w:val="000000" w:themeColor="text1"/>
                  <w:lang w:eastAsia="es-CO"/>
                </w:rPr>
                <m:t>i</m:t>
              </m:r>
            </m:sub>
          </m:sSub>
          <m:r>
            <m:rPr>
              <m:sty m:val="b"/>
            </m:rPr>
            <w:rPr>
              <w:rFonts w:ascii="Cambria Math" w:hAnsi="Cambria Math" w:cs="Arial"/>
              <w:color w:val="000000" w:themeColor="text1"/>
              <w:lang w:eastAsia="es-CO"/>
            </w:rPr>
            <m:t>≥</m:t>
          </m:r>
          <m:f>
            <m:fPr>
              <m:ctrlPr>
                <w:rPr>
                  <w:rFonts w:ascii="Cambria Math" w:hAnsi="Cambria Math" w:cs="Arial"/>
                  <w:color w:val="000000" w:themeColor="text1"/>
                  <w:lang w:eastAsia="es-CO"/>
                </w:rPr>
              </m:ctrlPr>
            </m:fPr>
            <m:num>
              <m:r>
                <m:rPr>
                  <m:sty m:val="b"/>
                </m:rPr>
                <w:rPr>
                  <w:rFonts w:ascii="Cambria Math" w:hAnsi="Cambria Math" w:cs="Arial"/>
                  <w:color w:val="000000" w:themeColor="text1"/>
                  <w:lang w:eastAsia="es-CO"/>
                </w:rPr>
                <m:t>UP</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C</m:t>
                  </m:r>
                </m:e>
                <m:sub>
                  <m:sSub>
                    <m:sSubPr>
                      <m:ctrlPr>
                        <w:rPr>
                          <w:rFonts w:ascii="Cambria Math" w:hAnsi="Cambria Math" w:cs="Arial"/>
                          <w:color w:val="000000" w:themeColor="text1"/>
                          <w:lang w:eastAsia="es-CO"/>
                        </w:rPr>
                      </m:ctrlPr>
                    </m:sSubPr>
                    <m:e>
                      <m:r>
                        <m:rPr>
                          <m:sty m:val="bi"/>
                        </m:rPr>
                        <w:rPr>
                          <w:rFonts w:ascii="Cambria Math" w:hAnsi="Cambria Math" w:cs="Arial"/>
                          <w:color w:val="000000" w:themeColor="text1"/>
                          <w:lang w:eastAsia="es-CO"/>
                        </w:rPr>
                        <m:t>Y</m:t>
                      </m:r>
                    </m:e>
                    <m:sub>
                      <m:r>
                        <m:rPr>
                          <m:sty m:val="bi"/>
                        </m:rPr>
                        <w:rPr>
                          <w:rFonts w:ascii="Cambria Math" w:hAnsi="Cambria Math" w:cs="Arial"/>
                          <w:color w:val="000000" w:themeColor="text1"/>
                          <w:lang w:eastAsia="es-CO"/>
                        </w:rPr>
                        <m:t>i</m:t>
                      </m:r>
                    </m:sub>
                  </m:sSub>
                </m:sub>
              </m:sSub>
            </m:num>
            <m:den>
              <m:r>
                <m:rPr>
                  <m:sty m:val="b"/>
                </m:rPr>
                <w:rPr>
                  <w:rFonts w:ascii="Cambria Math" w:hAnsi="Cambria Math" w:cs="Arial"/>
                  <w:color w:val="000000" w:themeColor="text1"/>
                  <w:lang w:eastAsia="es-CO"/>
                </w:rPr>
                <m:t>PC</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C</m:t>
                  </m:r>
                </m:e>
                <m:sub>
                  <m:sSub>
                    <m:sSubPr>
                      <m:ctrlPr>
                        <w:rPr>
                          <w:rFonts w:ascii="Cambria Math" w:hAnsi="Cambria Math" w:cs="Arial"/>
                          <w:i/>
                          <w:color w:val="000000" w:themeColor="text1"/>
                          <w:lang w:eastAsia="es-CO"/>
                        </w:rPr>
                      </m:ctrlPr>
                    </m:sSubPr>
                    <m:e>
                      <m:r>
                        <m:rPr>
                          <m:sty m:val="bi"/>
                        </m:rPr>
                        <w:rPr>
                          <w:rFonts w:ascii="Cambria Math" w:hAnsi="Cambria Math" w:cs="Arial"/>
                          <w:color w:val="000000" w:themeColor="text1"/>
                          <w:lang w:eastAsia="es-CO"/>
                        </w:rPr>
                        <m:t>Y</m:t>
                      </m:r>
                    </m:e>
                    <m:sub>
                      <m:r>
                        <m:rPr>
                          <m:sty m:val="bi"/>
                        </m:rPr>
                        <w:rPr>
                          <w:rFonts w:ascii="Cambria Math" w:hAnsi="Cambria Math" w:cs="Arial"/>
                          <w:color w:val="000000" w:themeColor="text1"/>
                          <w:lang w:eastAsia="es-CO"/>
                        </w:rPr>
                        <m:t>i</m:t>
                      </m:r>
                    </m:sub>
                  </m:sSub>
                </m:sub>
              </m:sSub>
            </m:den>
          </m:f>
          <m:r>
            <m:rPr>
              <m:sty m:val="b"/>
            </m:rPr>
            <w:rPr>
              <w:rFonts w:ascii="Cambria Math" w:hAnsi="Cambria Math" w:cs="Arial"/>
              <w:color w:val="000000" w:themeColor="text1"/>
              <w:lang w:eastAsia="es-CO"/>
            </w:rPr>
            <m:t>-1≥</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FGE</m:t>
              </m:r>
            </m:e>
            <m:sub>
              <m:r>
                <m:rPr>
                  <m:sty m:val="bi"/>
                </m:rPr>
                <w:rPr>
                  <w:rFonts w:ascii="Cambria Math" w:hAnsi="Cambria Math" w:cs="Arial"/>
                  <w:color w:val="000000" w:themeColor="text1"/>
                  <w:lang w:eastAsia="es-CO"/>
                </w:rPr>
                <m:t>i</m:t>
              </m:r>
            </m:sub>
          </m:sSub>
        </m:oMath>
      </m:oMathPara>
    </w:p>
    <w:p w14:paraId="5D0B4635" w14:textId="77777777" w:rsidR="007968EC" w:rsidRDefault="007968EC" w:rsidP="007968EC">
      <w:pPr>
        <w:ind w:left="851"/>
        <w:jc w:val="both"/>
        <w:rPr>
          <w:rFonts w:ascii="Arial Narrow" w:hAnsi="Arial Narrow" w:cs="Arial"/>
          <w:color w:val="000000" w:themeColor="text1"/>
          <w:lang w:eastAsia="es-CO"/>
        </w:rPr>
      </w:pPr>
    </w:p>
    <w:p w14:paraId="1491374C" w14:textId="77777777" w:rsidR="007968EC" w:rsidRPr="002C0D19" w:rsidRDefault="007968EC" w:rsidP="007968EC">
      <w:pPr>
        <w:ind w:left="851"/>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Donde: </w:t>
      </w:r>
    </w:p>
    <w:p w14:paraId="2203227F" w14:textId="77777777" w:rsidR="007968EC" w:rsidRPr="002C0D19" w:rsidRDefault="007968EC" w:rsidP="007968EC">
      <w:pPr>
        <w:ind w:left="851"/>
        <w:jc w:val="both"/>
        <w:rPr>
          <w:rFonts w:ascii="Arial Narrow" w:hAnsi="Arial Narrow" w:cs="Arial"/>
          <w:color w:val="000000" w:themeColor="text1"/>
          <w:lang w:eastAsia="es-CO"/>
        </w:rPr>
      </w:pPr>
    </w:p>
    <w:p w14:paraId="6D4F2B57" w14:textId="77777777" w:rsidR="007968EC" w:rsidRPr="002C0D19" w:rsidRDefault="00682D97" w:rsidP="007968EC">
      <w:pPr>
        <w:ind w:left="851"/>
        <w:jc w:val="both"/>
        <w:rPr>
          <w:rFonts w:ascii="Arial Narrow" w:hAnsi="Arial Narrow" w:cs="Arial"/>
          <w:color w:val="000000" w:themeColor="text1"/>
          <w:lang w:eastAsia="es-CO"/>
        </w:rPr>
      </w:pP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Y</m:t>
            </m:r>
          </m:e>
          <m:sub>
            <m:r>
              <m:rPr>
                <m:sty m:val="bi"/>
              </m:rPr>
              <w:rPr>
                <w:rFonts w:ascii="Cambria Math" w:hAnsi="Cambria Math" w:cs="Arial"/>
                <w:color w:val="000000" w:themeColor="text1"/>
                <w:lang w:eastAsia="es-CO"/>
              </w:rPr>
              <m:t>i</m:t>
            </m:r>
          </m:sub>
        </m:sSub>
        <m:r>
          <m:rPr>
            <m:sty m:val="b"/>
          </m:rPr>
          <w:rPr>
            <w:rFonts w:ascii="Cambria Math" w:hAnsi="Cambria Math" w:cs="Arial"/>
            <w:color w:val="000000" w:themeColor="text1"/>
            <w:lang w:eastAsia="es-CO"/>
          </w:rPr>
          <m:t xml:space="preserve">: </m:t>
        </m:r>
      </m:oMath>
      <w:r w:rsidR="007968EC" w:rsidRPr="002C0D19">
        <w:rPr>
          <w:rFonts w:ascii="Arial Narrow" w:hAnsi="Arial Narrow" w:cs="Arial"/>
          <w:color w:val="000000" w:themeColor="text1"/>
          <w:lang w:eastAsia="es-CO"/>
        </w:rPr>
        <w:t xml:space="preserve">Es cualquier contado del Activo i objeto de una Operación compensada o liquidada por la Cámara. </w:t>
      </w:r>
    </w:p>
    <w:p w14:paraId="113E9435" w14:textId="77777777" w:rsidR="007968EC" w:rsidRPr="002C0D19" w:rsidRDefault="007968EC" w:rsidP="007968EC">
      <w:pPr>
        <w:ind w:left="851"/>
        <w:jc w:val="both"/>
        <w:rPr>
          <w:rFonts w:ascii="Arial Narrow" w:hAnsi="Arial Narrow" w:cs="Arial"/>
          <w:color w:val="000000" w:themeColor="text1"/>
          <w:lang w:eastAsia="es-CO"/>
        </w:rPr>
      </w:pPr>
      <m:oMath>
        <m:r>
          <m:rPr>
            <m:sty m:val="b"/>
          </m:rPr>
          <w:rPr>
            <w:rFonts w:ascii="Cambria Math" w:hAnsi="Cambria Math" w:cs="Arial"/>
            <w:color w:val="000000" w:themeColor="text1"/>
            <w:lang w:eastAsia="es-CO"/>
          </w:rPr>
          <m:t>i</m:t>
        </m:r>
      </m:oMath>
      <w:r w:rsidRPr="002C0D19">
        <w:rPr>
          <w:rFonts w:ascii="Arial Narrow" w:hAnsi="Arial Narrow" w:cs="Arial"/>
          <w:color w:val="000000" w:themeColor="text1"/>
          <w:lang w:eastAsia="es-CO"/>
        </w:rPr>
        <w:t>: Es cualquier Activo objeto de una Operación compensada o liquidada por la Cámara.</w:t>
      </w:r>
    </w:p>
    <w:p w14:paraId="28C86270" w14:textId="77777777" w:rsidR="007968EC" w:rsidRPr="002C0D19" w:rsidRDefault="007968EC" w:rsidP="007968EC">
      <w:pPr>
        <w:ind w:left="851"/>
        <w:jc w:val="both"/>
        <w:rPr>
          <w:rFonts w:ascii="Arial Narrow" w:hAnsi="Arial Narrow" w:cs="Arial"/>
          <w:color w:val="000000" w:themeColor="text1"/>
          <w:lang w:eastAsia="es-CO"/>
        </w:rPr>
      </w:pPr>
      <m:oMath>
        <m:r>
          <m:rPr>
            <m:sty m:val="b"/>
          </m:rPr>
          <w:rPr>
            <w:rFonts w:ascii="Cambria Math" w:hAnsi="Cambria Math" w:cs="Arial"/>
            <w:color w:val="000000" w:themeColor="text1"/>
            <w:lang w:eastAsia="es-CO"/>
          </w:rPr>
          <m:t>FG</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E</m:t>
            </m:r>
          </m:e>
          <m:sub>
            <m:r>
              <m:rPr>
                <m:sty m:val="bi"/>
              </m:rPr>
              <w:rPr>
                <w:rFonts w:ascii="Cambria Math" w:hAnsi="Cambria Math" w:cs="Arial"/>
                <w:color w:val="000000" w:themeColor="text1"/>
                <w:lang w:eastAsia="es-CO"/>
              </w:rPr>
              <m:t>i</m:t>
            </m:r>
          </m:sub>
        </m:sSub>
      </m:oMath>
      <w:r w:rsidRPr="002C0D19">
        <w:rPr>
          <w:rFonts w:ascii="Arial Narrow" w:hAnsi="Arial Narrow" w:cs="Arial"/>
          <w:color w:val="000000" w:themeColor="text1"/>
          <w:lang w:eastAsia="es-CO"/>
        </w:rPr>
        <w:t>: Parámetro de Fluctuación para llamados a Garantías Extraordinarias establecido para un Activo i objeto de una Operación compensada o liquidada por la Cámara.</w:t>
      </w:r>
    </w:p>
    <w:p w14:paraId="2A752A78" w14:textId="77777777" w:rsidR="007968EC" w:rsidRPr="002C0D19" w:rsidRDefault="007968EC" w:rsidP="007968EC">
      <w:pPr>
        <w:ind w:left="851"/>
        <w:jc w:val="both"/>
        <w:rPr>
          <w:rFonts w:ascii="Arial Narrow" w:hAnsi="Arial Narrow" w:cs="Arial"/>
          <w:color w:val="000000" w:themeColor="text1"/>
          <w:lang w:eastAsia="es-CO"/>
        </w:rPr>
      </w:pPr>
      <m:oMath>
        <m:r>
          <m:rPr>
            <m:sty m:val="b"/>
          </m:rPr>
          <w:rPr>
            <w:rFonts w:ascii="Cambria Math" w:hAnsi="Cambria Math" w:cs="Arial"/>
            <w:color w:val="000000" w:themeColor="text1"/>
            <w:lang w:eastAsia="es-CO"/>
          </w:rPr>
          <m:t>UPC</m:t>
        </m:r>
      </m:oMath>
      <w:r w:rsidRPr="002C0D19">
        <w:rPr>
          <w:rFonts w:ascii="Arial Narrow" w:hAnsi="Arial Narrow" w:cs="Arial"/>
          <w:color w:val="000000" w:themeColor="text1"/>
          <w:lang w:eastAsia="es-CO"/>
        </w:rPr>
        <w:t>: Último precio del contado de un activo objeto de una Operación. Para los Activos cuyo subyacente es la TRM se tomará el último precio del contado del dólar marcado por Bloomberg.</w:t>
      </w:r>
    </w:p>
    <w:p w14:paraId="6BEB17E1" w14:textId="77777777" w:rsidR="007968EC" w:rsidRPr="002C0D19" w:rsidRDefault="007968EC" w:rsidP="007968EC">
      <w:pPr>
        <w:ind w:left="851"/>
        <w:jc w:val="both"/>
        <w:rPr>
          <w:rFonts w:ascii="Arial Narrow" w:hAnsi="Arial Narrow" w:cs="Arial"/>
          <w:color w:val="000000" w:themeColor="text1"/>
          <w:lang w:eastAsia="es-CO"/>
        </w:rPr>
      </w:pPr>
      <m:oMath>
        <m:r>
          <m:rPr>
            <m:sty m:val="b"/>
          </m:rPr>
          <w:rPr>
            <w:rFonts w:ascii="Cambria Math" w:hAnsi="Cambria Math" w:cs="Arial"/>
            <w:color w:val="000000" w:themeColor="text1"/>
            <w:lang w:eastAsia="es-CO"/>
          </w:rPr>
          <m:t>PC</m:t>
        </m:r>
        <m:sSub>
          <m:sSubPr>
            <m:ctrlPr>
              <w:rPr>
                <w:rFonts w:ascii="Cambria Math" w:hAnsi="Cambria Math" w:cs="Arial"/>
                <w:i/>
                <w:color w:val="000000" w:themeColor="text1"/>
                <w:lang w:eastAsia="es-CO"/>
              </w:rPr>
            </m:ctrlPr>
          </m:sSubPr>
          <m:e>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C</m:t>
                </m:r>
              </m:e>
              <m:sub>
                <m:r>
                  <m:rPr>
                    <m:sty m:val="bi"/>
                  </m:rPr>
                  <w:rPr>
                    <w:rFonts w:ascii="Cambria Math" w:hAnsi="Cambria Math" w:cs="Arial"/>
                    <w:color w:val="000000" w:themeColor="text1"/>
                    <w:lang w:eastAsia="es-CO"/>
                  </w:rPr>
                  <m:t>Y</m:t>
                </m:r>
              </m:sub>
            </m:sSub>
          </m:e>
          <m:sub>
            <m:r>
              <m:rPr>
                <m:sty m:val="bi"/>
              </m:rPr>
              <w:rPr>
                <w:rFonts w:ascii="Cambria Math" w:hAnsi="Cambria Math" w:cs="Arial"/>
                <w:color w:val="000000" w:themeColor="text1"/>
                <w:lang w:eastAsia="es-CO"/>
              </w:rPr>
              <m:t>i</m:t>
            </m:r>
          </m:sub>
        </m:sSub>
      </m:oMath>
      <w:r w:rsidRPr="002C0D19">
        <w:rPr>
          <w:rFonts w:ascii="Arial Narrow" w:hAnsi="Arial Narrow" w:cs="Arial"/>
          <w:color w:val="000000" w:themeColor="text1"/>
          <w:lang w:eastAsia="es-CO"/>
        </w:rPr>
        <w:t>: Precio de cierre del contado de un activo i objeto de una Operación.</w:t>
      </w:r>
    </w:p>
    <w:p w14:paraId="35000E39" w14:textId="77777777" w:rsidR="007968EC" w:rsidRPr="002C0D19" w:rsidRDefault="007968EC" w:rsidP="007968EC">
      <w:pPr>
        <w:ind w:left="567"/>
        <w:jc w:val="both"/>
        <w:rPr>
          <w:rFonts w:ascii="Arial Narrow" w:hAnsi="Arial Narrow" w:cs="Arial"/>
          <w:color w:val="000000" w:themeColor="text1"/>
          <w:lang w:eastAsia="es-CO"/>
        </w:rPr>
      </w:pPr>
    </w:p>
    <w:p w14:paraId="5E2E615E" w14:textId="77777777" w:rsidR="007968EC" w:rsidRPr="002C0D19" w:rsidRDefault="007968EC" w:rsidP="00DA7472">
      <w:pPr>
        <w:numPr>
          <w:ilvl w:val="0"/>
          <w:numId w:val="312"/>
        </w:numPr>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Se calcula el Precio Margin Call hipotético para cada activo objeto de una Operación de acuerdo </w:t>
      </w:r>
      <w:r>
        <w:rPr>
          <w:rFonts w:ascii="Arial Narrow" w:hAnsi="Arial Narrow" w:cs="Arial"/>
          <w:color w:val="000000" w:themeColor="text1"/>
          <w:lang w:eastAsia="es-CO"/>
        </w:rPr>
        <w:t>con</w:t>
      </w:r>
      <w:r w:rsidRPr="002C0D19">
        <w:rPr>
          <w:rFonts w:ascii="Arial Narrow" w:hAnsi="Arial Narrow" w:cs="Arial"/>
          <w:color w:val="000000" w:themeColor="text1"/>
          <w:lang w:eastAsia="es-CO"/>
        </w:rPr>
        <w:t xml:space="preserve"> la siguiente expresión:</w:t>
      </w:r>
    </w:p>
    <w:p w14:paraId="345A49FC" w14:textId="77777777" w:rsidR="007968EC" w:rsidRPr="002C0D19" w:rsidRDefault="007968EC" w:rsidP="007968EC">
      <w:pPr>
        <w:ind w:left="2160"/>
        <w:jc w:val="both"/>
        <w:rPr>
          <w:rFonts w:ascii="Arial Narrow" w:hAnsi="Arial Narrow" w:cs="Arial"/>
          <w:color w:val="000000" w:themeColor="text1"/>
          <w:lang w:eastAsia="es-CO"/>
        </w:rPr>
      </w:pPr>
    </w:p>
    <w:p w14:paraId="06D52589" w14:textId="77777777" w:rsidR="007968EC" w:rsidRPr="002C0D19" w:rsidRDefault="007968EC" w:rsidP="007968EC">
      <w:pPr>
        <w:ind w:left="993"/>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Se toma el último valor del contado del activo objeto de una Operación y se le adiciona el diferencial de precios resultante entre el último precio negociado y el precio de cierre (T-1) para cada activo. En caso de no tener un último precio negociado, se entenderá que el último precio es el precio de cierre del contado, de acuerdo a la siguiente expresión:</w:t>
      </w:r>
    </w:p>
    <w:p w14:paraId="3A0DBC35" w14:textId="77777777" w:rsidR="007968EC" w:rsidRPr="002C0D19" w:rsidRDefault="007968EC" w:rsidP="007968EC">
      <w:pPr>
        <w:ind w:left="2160"/>
        <w:jc w:val="both"/>
        <w:rPr>
          <w:rFonts w:ascii="Arial Narrow" w:hAnsi="Arial Narrow" w:cs="Arial"/>
          <w:color w:val="000000" w:themeColor="text1"/>
          <w:lang w:eastAsia="es-CO"/>
        </w:rPr>
      </w:pPr>
    </w:p>
    <w:p w14:paraId="3BFA0303" w14:textId="77777777" w:rsidR="007968EC" w:rsidRPr="002C0D19" w:rsidRDefault="007968EC" w:rsidP="007968EC">
      <w:pPr>
        <w:ind w:left="1134"/>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Para el primer vencimiento del activo  </w:t>
      </w: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x</m:t>
            </m:r>
          </m:e>
          <m:sub>
            <m:r>
              <m:rPr>
                <m:sty m:val="bi"/>
              </m:rPr>
              <w:rPr>
                <w:rFonts w:ascii="Cambria Math" w:hAnsi="Cambria Math" w:cs="Arial"/>
                <w:color w:val="000000" w:themeColor="text1"/>
                <w:lang w:eastAsia="es-CO"/>
              </w:rPr>
              <m:t>1</m:t>
            </m:r>
          </m:sub>
        </m:sSub>
      </m:oMath>
      <w:r w:rsidRPr="002C0D19">
        <w:rPr>
          <w:rFonts w:ascii="Arial Narrow" w:hAnsi="Arial Narrow" w:cs="Arial"/>
          <w:color w:val="000000" w:themeColor="text1"/>
          <w:lang w:eastAsia="es-CO"/>
        </w:rPr>
        <w:t>:</w:t>
      </w:r>
    </w:p>
    <w:p w14:paraId="0152680E" w14:textId="77777777" w:rsidR="007968EC" w:rsidRPr="002C0D19" w:rsidRDefault="007968EC" w:rsidP="007968EC">
      <w:pPr>
        <w:ind w:left="2160"/>
        <w:jc w:val="both"/>
        <w:rPr>
          <w:rFonts w:ascii="Arial Narrow" w:hAnsi="Arial Narrow" w:cs="Arial"/>
          <w:color w:val="000000" w:themeColor="text1"/>
          <w:lang w:eastAsia="es-CO"/>
        </w:rPr>
      </w:pPr>
    </w:p>
    <w:p w14:paraId="516E8C05" w14:textId="77777777" w:rsidR="007968EC" w:rsidRPr="002C0D19" w:rsidRDefault="007968EC" w:rsidP="007968EC">
      <w:pPr>
        <w:ind w:left="709"/>
        <w:jc w:val="center"/>
        <w:rPr>
          <w:rFonts w:ascii="Arial Narrow" w:hAnsi="Arial Narrow" w:cs="Arial"/>
          <w:color w:val="000000" w:themeColor="text1"/>
          <w:lang w:eastAsia="es-CO"/>
        </w:rPr>
      </w:pPr>
      <m:oMathPara>
        <m:oMath>
          <m:r>
            <m:rPr>
              <m:sty m:val="b"/>
            </m:rPr>
            <w:rPr>
              <w:rFonts w:ascii="Cambria Math" w:hAnsi="Cambria Math" w:cs="Arial"/>
              <w:color w:val="000000" w:themeColor="text1"/>
              <w:lang w:eastAsia="es-CO"/>
            </w:rPr>
            <m:t>PMC</m:t>
          </m:r>
          <m:sSub>
            <m:sSubPr>
              <m:ctrlPr>
                <w:rPr>
                  <w:rFonts w:ascii="Cambria Math" w:hAnsi="Cambria Math" w:cs="Arial"/>
                  <w:color w:val="000000" w:themeColor="text1"/>
                  <w:lang w:eastAsia="es-CO"/>
                </w:rPr>
              </m:ctrlPr>
            </m:sSubPr>
            <m:e>
              <m:r>
                <m:rPr>
                  <m:sty m:val="bi"/>
                </m:rPr>
                <w:rPr>
                  <w:rFonts w:ascii="Cambria Math" w:hAnsi="Cambria Math" w:cs="Arial"/>
                  <w:color w:val="000000" w:themeColor="text1"/>
                  <w:lang w:eastAsia="es-CO"/>
                </w:rPr>
                <m:t>x</m:t>
              </m:r>
            </m:e>
            <m:sub>
              <m:r>
                <m:rPr>
                  <m:sty m:val="bi"/>
                </m:rPr>
                <w:rPr>
                  <w:rFonts w:ascii="Cambria Math" w:hAnsi="Cambria Math" w:cs="Arial"/>
                  <w:color w:val="000000" w:themeColor="text1"/>
                  <w:lang w:eastAsia="es-CO"/>
                </w:rPr>
                <m:t>1</m:t>
              </m:r>
            </m:sub>
          </m:sSub>
          <m:r>
            <m:rPr>
              <m:sty m:val="b"/>
            </m:rPr>
            <w:rPr>
              <w:rFonts w:ascii="Cambria Math" w:hAnsi="Cambria Math" w:cs="Arial"/>
              <w:color w:val="000000" w:themeColor="text1"/>
              <w:lang w:eastAsia="es-CO"/>
            </w:rPr>
            <m:t>= UP</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C</m:t>
              </m:r>
            </m:e>
            <m:sub>
              <m:r>
                <m:rPr>
                  <m:sty m:val="bi"/>
                </m:rPr>
                <w:rPr>
                  <w:rFonts w:ascii="Cambria Math" w:hAnsi="Cambria Math" w:cs="Arial"/>
                  <w:color w:val="000000" w:themeColor="text1"/>
                  <w:lang w:eastAsia="es-CO"/>
                </w:rPr>
                <m:t>x</m:t>
              </m:r>
            </m:sub>
          </m:sSub>
          <m:r>
            <m:rPr>
              <m:sty m:val="b"/>
            </m:rPr>
            <w:rPr>
              <w:rFonts w:ascii="Cambria Math" w:hAnsi="Cambria Math" w:cs="Arial"/>
              <w:color w:val="000000" w:themeColor="text1"/>
              <w:lang w:eastAsia="es-CO"/>
            </w:rPr>
            <m:t xml:space="preserve">+( </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PLCx</m:t>
              </m:r>
            </m:e>
            <m:sub>
              <m:r>
                <m:rPr>
                  <m:sty m:val="b"/>
                </m:rPr>
                <w:rPr>
                  <w:rFonts w:ascii="Cambria Math" w:hAnsi="Cambria Math" w:cs="Arial"/>
                  <w:color w:val="000000" w:themeColor="text1"/>
                  <w:lang w:eastAsia="es-CO"/>
                </w:rPr>
                <m:t xml:space="preserve">1 </m:t>
              </m:r>
              <m:d>
                <m:dPr>
                  <m:ctrlPr>
                    <w:rPr>
                      <w:rFonts w:ascii="Cambria Math" w:hAnsi="Cambria Math" w:cs="Arial"/>
                      <w:color w:val="000000" w:themeColor="text1"/>
                      <w:lang w:eastAsia="es-CO"/>
                    </w:rPr>
                  </m:ctrlPr>
                </m:dPr>
                <m:e>
                  <m:r>
                    <m:rPr>
                      <m:sty m:val="b"/>
                    </m:rPr>
                    <w:rPr>
                      <w:rFonts w:ascii="Cambria Math" w:hAnsi="Cambria Math" w:cs="Arial"/>
                      <w:color w:val="000000" w:themeColor="text1"/>
                      <w:lang w:eastAsia="es-CO"/>
                    </w:rPr>
                    <m:t>t-1</m:t>
                  </m:r>
                </m:e>
              </m:d>
            </m:sub>
          </m:sSub>
          <m:r>
            <m:rPr>
              <m:sty m:val="b"/>
            </m:rPr>
            <w:rPr>
              <w:rFonts w:ascii="Cambria Math" w:hAnsi="Cambria Math" w:cs="Arial"/>
              <w:color w:val="000000" w:themeColor="text1"/>
              <w:lang w:eastAsia="es-CO"/>
            </w:rPr>
            <m:t>-PC</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C</m:t>
              </m:r>
            </m:e>
            <m:sub>
              <m:r>
                <m:rPr>
                  <m:sty m:val="bi"/>
                </m:rPr>
                <w:rPr>
                  <w:rFonts w:ascii="Cambria Math" w:hAnsi="Cambria Math" w:cs="Arial"/>
                  <w:color w:val="000000" w:themeColor="text1"/>
                  <w:lang w:eastAsia="es-CO"/>
                </w:rPr>
                <m:t>x</m:t>
              </m:r>
            </m:sub>
          </m:sSub>
          <m:r>
            <m:rPr>
              <m:sty m:val="bi"/>
            </m:rPr>
            <w:rPr>
              <w:rFonts w:ascii="Cambria Math" w:hAnsi="Cambria Math" w:cs="Arial"/>
              <w:color w:val="000000" w:themeColor="text1"/>
              <w:lang w:eastAsia="es-CO"/>
            </w:rPr>
            <m:t xml:space="preserve"> ) </m:t>
          </m:r>
        </m:oMath>
      </m:oMathPara>
    </w:p>
    <w:p w14:paraId="18FE78BB" w14:textId="77777777" w:rsidR="007968EC" w:rsidRPr="002C0D19" w:rsidRDefault="007968EC" w:rsidP="007968EC">
      <w:pPr>
        <w:ind w:left="709"/>
        <w:jc w:val="both"/>
        <w:rPr>
          <w:rFonts w:ascii="Arial Narrow" w:hAnsi="Arial Narrow" w:cs="Arial"/>
          <w:color w:val="000000" w:themeColor="text1"/>
          <w:lang w:eastAsia="es-CO"/>
        </w:rPr>
      </w:pPr>
    </w:p>
    <w:p w14:paraId="756A65DD" w14:textId="77777777" w:rsidR="007968EC" w:rsidRPr="002C0D19" w:rsidRDefault="007968EC" w:rsidP="007968EC">
      <w:pPr>
        <w:ind w:left="993"/>
        <w:jc w:val="both"/>
        <w:rPr>
          <w:rFonts w:ascii="Arial Narrow" w:hAnsi="Arial Narrow" w:cs="Arial"/>
          <w:color w:val="000000" w:themeColor="text1"/>
          <w:lang w:eastAsia="es-CO"/>
        </w:rPr>
      </w:pPr>
      <m:oMath>
        <m:r>
          <m:rPr>
            <m:sty m:val="b"/>
          </m:rPr>
          <w:rPr>
            <w:rFonts w:ascii="Cambria Math" w:hAnsi="Cambria Math" w:cs="Arial"/>
            <w:color w:val="000000" w:themeColor="text1"/>
            <w:lang w:eastAsia="es-CO"/>
          </w:rPr>
          <m:t>PM</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Cx</m:t>
            </m:r>
          </m:e>
          <m:sub>
            <m:r>
              <m:rPr>
                <m:sty m:val="bi"/>
              </m:rPr>
              <w:rPr>
                <w:rFonts w:ascii="Cambria Math" w:hAnsi="Cambria Math" w:cs="Arial"/>
                <w:color w:val="000000" w:themeColor="text1"/>
                <w:lang w:eastAsia="es-CO"/>
              </w:rPr>
              <m:t>i</m:t>
            </m:r>
          </m:sub>
        </m:sSub>
        <m:r>
          <m:rPr>
            <m:sty m:val="b"/>
          </m:rPr>
          <w:rPr>
            <w:rFonts w:ascii="Cambria Math" w:hAnsi="Cambria Math" w:cs="Arial"/>
            <w:color w:val="000000" w:themeColor="text1"/>
            <w:lang w:eastAsia="es-CO"/>
          </w:rPr>
          <m:t xml:space="preserve">: </m:t>
        </m:r>
      </m:oMath>
      <w:r w:rsidRPr="002C0D19">
        <w:rPr>
          <w:rFonts w:ascii="Arial Narrow" w:hAnsi="Arial Narrow" w:cs="Arial"/>
          <w:color w:val="000000" w:themeColor="text1"/>
          <w:lang w:eastAsia="es-CO"/>
        </w:rPr>
        <w:t>Precio Margin hipotético Call de un activo con vencimiento i</w:t>
      </w:r>
    </w:p>
    <w:p w14:paraId="0DD2B784" w14:textId="77777777" w:rsidR="007968EC" w:rsidRPr="002C0D19" w:rsidRDefault="00682D97" w:rsidP="007968EC">
      <w:pPr>
        <w:ind w:left="993"/>
        <w:jc w:val="both"/>
        <w:rPr>
          <w:rFonts w:ascii="Arial Narrow" w:hAnsi="Arial Narrow" w:cs="Arial"/>
          <w:color w:val="000000" w:themeColor="text1"/>
          <w:lang w:eastAsia="es-CO"/>
        </w:rPr>
      </w:pP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 xml:space="preserve"> x</m:t>
            </m:r>
          </m:e>
          <m:sub>
            <m:r>
              <m:rPr>
                <m:sty m:val="b"/>
              </m:rPr>
              <w:rPr>
                <w:rFonts w:ascii="Cambria Math" w:hAnsi="Cambria Math" w:cs="Arial"/>
                <w:color w:val="000000" w:themeColor="text1"/>
                <w:lang w:eastAsia="es-CO"/>
              </w:rPr>
              <m:t>i</m:t>
            </m:r>
          </m:sub>
        </m:sSub>
      </m:oMath>
      <w:r w:rsidR="007968EC" w:rsidRPr="002C0D19">
        <w:rPr>
          <w:rFonts w:ascii="Arial Narrow" w:hAnsi="Arial Narrow" w:cs="Arial"/>
          <w:color w:val="000000" w:themeColor="text1"/>
          <w:lang w:eastAsia="es-CO"/>
        </w:rPr>
        <w:t>: Es cualquier Activo con vencimiento i</w:t>
      </w:r>
      <w:r w:rsidR="007968EC" w:rsidRPr="002C0D19" w:rsidDel="008045E0">
        <w:rPr>
          <w:rFonts w:ascii="Arial Narrow" w:hAnsi="Arial Narrow" w:cs="Arial"/>
          <w:color w:val="000000" w:themeColor="text1"/>
          <w:lang w:eastAsia="es-CO"/>
        </w:rPr>
        <w:t xml:space="preserve"> </w:t>
      </w:r>
      <w:r w:rsidR="007968EC" w:rsidRPr="002C0D19">
        <w:rPr>
          <w:rFonts w:ascii="Arial Narrow" w:hAnsi="Arial Narrow" w:cs="Arial"/>
          <w:color w:val="000000" w:themeColor="text1"/>
          <w:lang w:eastAsia="es-CO"/>
        </w:rPr>
        <w:t>objeto de una Operación compensada o liquidada por la Cámara.</w:t>
      </w:r>
    </w:p>
    <w:p w14:paraId="67D6E98A" w14:textId="77777777" w:rsidR="007968EC" w:rsidRPr="002C0D19" w:rsidRDefault="007968EC" w:rsidP="007968EC">
      <w:pPr>
        <w:ind w:left="993"/>
        <w:jc w:val="both"/>
        <w:rPr>
          <w:rFonts w:ascii="Arial Narrow" w:hAnsi="Arial Narrow" w:cs="Arial"/>
          <w:color w:val="000000" w:themeColor="text1"/>
          <w:lang w:eastAsia="es-CO"/>
        </w:rPr>
      </w:pPr>
      <m:oMath>
        <m:r>
          <m:rPr>
            <m:sty m:val="b"/>
          </m:rPr>
          <w:rPr>
            <w:rFonts w:ascii="Cambria Math" w:hAnsi="Cambria Math" w:cs="Arial"/>
            <w:color w:val="000000" w:themeColor="text1"/>
            <w:lang w:eastAsia="es-CO"/>
          </w:rPr>
          <m:t>UP</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C</m:t>
            </m:r>
          </m:e>
          <m:sub>
            <m:r>
              <m:rPr>
                <m:sty m:val="bi"/>
              </m:rPr>
              <w:rPr>
                <w:rFonts w:ascii="Cambria Math" w:hAnsi="Cambria Math" w:cs="Arial"/>
                <w:color w:val="000000" w:themeColor="text1"/>
                <w:lang w:eastAsia="es-CO"/>
              </w:rPr>
              <m:t>x</m:t>
            </m:r>
          </m:sub>
        </m:sSub>
      </m:oMath>
      <w:r w:rsidRPr="002C0D19">
        <w:rPr>
          <w:rFonts w:ascii="Arial Narrow" w:hAnsi="Arial Narrow" w:cs="Arial"/>
          <w:color w:val="000000" w:themeColor="text1"/>
          <w:lang w:eastAsia="es-CO"/>
        </w:rPr>
        <w:t xml:space="preserve">: Último precio del contado de un activo objeto de una Operación tomado de Bloomberg. Para los Activos cuyo subyacente es la TRM se tomará el último precio del contado del dólar marcado por Bloomberg. </w:t>
      </w:r>
    </w:p>
    <w:p w14:paraId="3ACA41E1" w14:textId="77777777" w:rsidR="007968EC" w:rsidRPr="002C0D19" w:rsidRDefault="007968EC" w:rsidP="007968EC">
      <w:pPr>
        <w:ind w:left="993"/>
        <w:jc w:val="both"/>
        <w:rPr>
          <w:rFonts w:ascii="Arial Narrow" w:hAnsi="Arial Narrow" w:cs="Arial"/>
          <w:color w:val="000000" w:themeColor="text1"/>
          <w:lang w:eastAsia="es-CO"/>
        </w:rPr>
      </w:pPr>
      <m:oMath>
        <m:r>
          <m:rPr>
            <m:sty m:val="b"/>
          </m:rPr>
          <w:rPr>
            <w:rFonts w:ascii="Cambria Math" w:hAnsi="Cambria Math" w:cs="Arial"/>
            <w:color w:val="000000" w:themeColor="text1"/>
            <w:lang w:eastAsia="es-CO"/>
          </w:rPr>
          <m:t>PC</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C</m:t>
            </m:r>
          </m:e>
          <m:sub>
            <m:r>
              <m:rPr>
                <m:sty m:val="bi"/>
              </m:rPr>
              <w:rPr>
                <w:rFonts w:ascii="Cambria Math" w:hAnsi="Cambria Math" w:cs="Arial"/>
                <w:color w:val="000000" w:themeColor="text1"/>
                <w:lang w:eastAsia="es-CO"/>
              </w:rPr>
              <m:t>X</m:t>
            </m:r>
          </m:sub>
        </m:sSub>
      </m:oMath>
      <w:r w:rsidRPr="002C0D19">
        <w:rPr>
          <w:rFonts w:ascii="Arial Narrow" w:hAnsi="Arial Narrow" w:cs="Arial"/>
          <w:color w:val="000000" w:themeColor="text1"/>
          <w:lang w:eastAsia="es-CO"/>
        </w:rPr>
        <w:t>: Precio de cierre (t-1) del contado del activo x objeto de una Operación.</w:t>
      </w:r>
    </w:p>
    <w:p w14:paraId="7C4E1A0B" w14:textId="77777777" w:rsidR="007968EC" w:rsidRPr="002C0D19" w:rsidRDefault="00682D97" w:rsidP="007968EC">
      <w:pPr>
        <w:ind w:left="993"/>
        <w:jc w:val="both"/>
        <w:rPr>
          <w:rFonts w:ascii="Arial Narrow" w:hAnsi="Arial Narrow" w:cs="Arial"/>
          <w:color w:val="000000" w:themeColor="text1"/>
          <w:lang w:eastAsia="es-CO"/>
        </w:rPr>
      </w:pP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PLCx</m:t>
            </m:r>
          </m:e>
          <m:sub>
            <m:r>
              <m:rPr>
                <m:sty m:val="b"/>
              </m:rPr>
              <w:rPr>
                <w:rFonts w:ascii="Cambria Math" w:hAnsi="Cambria Math" w:cs="Arial"/>
                <w:color w:val="000000" w:themeColor="text1"/>
                <w:lang w:eastAsia="es-CO"/>
              </w:rPr>
              <m:t xml:space="preserve">i </m:t>
            </m:r>
            <m:d>
              <m:dPr>
                <m:ctrlPr>
                  <w:rPr>
                    <w:rFonts w:ascii="Cambria Math" w:hAnsi="Cambria Math" w:cs="Arial"/>
                    <w:color w:val="000000" w:themeColor="text1"/>
                    <w:lang w:eastAsia="es-CO"/>
                  </w:rPr>
                </m:ctrlPr>
              </m:dPr>
              <m:e>
                <m:r>
                  <m:rPr>
                    <m:sty m:val="b"/>
                  </m:rPr>
                  <w:rPr>
                    <w:rFonts w:ascii="Cambria Math" w:hAnsi="Cambria Math" w:cs="Arial"/>
                    <w:color w:val="000000" w:themeColor="text1"/>
                    <w:lang w:eastAsia="es-CO"/>
                  </w:rPr>
                  <m:t>t-1</m:t>
                </m:r>
              </m:e>
            </m:d>
          </m:sub>
        </m:sSub>
      </m:oMath>
      <w:r w:rsidR="007968EC" w:rsidRPr="002C0D19">
        <w:rPr>
          <w:rFonts w:ascii="Arial Narrow" w:hAnsi="Arial Narrow" w:cs="Arial"/>
          <w:color w:val="000000" w:themeColor="text1"/>
          <w:lang w:eastAsia="es-CO"/>
        </w:rPr>
        <w:t>: Precio de Liquidación de un Activo con vencimiento i según lo definido en el Artículo 1.1.1.2 de la Circular Única de Cámara</w:t>
      </w:r>
      <w:r w:rsidR="007968EC" w:rsidRPr="002C0D19" w:rsidDel="009A6CBE">
        <w:rPr>
          <w:rFonts w:ascii="Arial Narrow" w:hAnsi="Arial Narrow" w:cs="Arial"/>
          <w:color w:val="000000" w:themeColor="text1"/>
          <w:lang w:eastAsia="es-CO"/>
        </w:rPr>
        <w:t xml:space="preserve"> </w:t>
      </w:r>
      <w:r w:rsidR="007968EC" w:rsidRPr="002C0D19">
        <w:rPr>
          <w:rFonts w:ascii="Arial Narrow" w:hAnsi="Arial Narrow" w:cs="Arial"/>
          <w:color w:val="000000" w:themeColor="text1"/>
          <w:lang w:eastAsia="es-CO"/>
        </w:rPr>
        <w:t xml:space="preserve">utilizado por la Cámara en la Sesión de Cierre del día anterior. </w:t>
      </w:r>
    </w:p>
    <w:p w14:paraId="5B4A18DF" w14:textId="77777777" w:rsidR="007968EC" w:rsidRPr="002C0D19" w:rsidRDefault="007968EC" w:rsidP="007968EC">
      <w:pPr>
        <w:ind w:left="2160"/>
        <w:jc w:val="both"/>
        <w:rPr>
          <w:rFonts w:ascii="Arial Narrow" w:hAnsi="Arial Narrow" w:cs="Arial"/>
          <w:color w:val="000000" w:themeColor="text1"/>
          <w:lang w:eastAsia="es-CO"/>
        </w:rPr>
      </w:pPr>
    </w:p>
    <w:p w14:paraId="44A90D09" w14:textId="77777777" w:rsidR="007968EC" w:rsidRPr="002C0D19" w:rsidRDefault="007968EC" w:rsidP="007968EC">
      <w:pPr>
        <w:ind w:left="1134"/>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Para vencimientos diferentes del activo </w:t>
      </w: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x</m:t>
            </m:r>
          </m:e>
          <m:sub>
            <m:r>
              <m:rPr>
                <m:sty m:val="bi"/>
              </m:rPr>
              <w:rPr>
                <w:rFonts w:ascii="Cambria Math" w:hAnsi="Cambria Math" w:cs="Arial"/>
                <w:color w:val="000000" w:themeColor="text1"/>
                <w:lang w:eastAsia="es-CO"/>
              </w:rPr>
              <m:t>i≠1</m:t>
            </m:r>
          </m:sub>
        </m:sSub>
      </m:oMath>
      <w:r w:rsidRPr="002C0D19">
        <w:rPr>
          <w:rFonts w:ascii="Arial Narrow" w:hAnsi="Arial Narrow" w:cs="Arial"/>
          <w:color w:val="000000" w:themeColor="text1"/>
          <w:lang w:eastAsia="es-CO"/>
        </w:rPr>
        <w:t xml:space="preserve"> </w:t>
      </w:r>
    </w:p>
    <w:p w14:paraId="2465ECEF" w14:textId="77777777" w:rsidR="007968EC" w:rsidRPr="002C0D19" w:rsidRDefault="007968EC" w:rsidP="007968EC">
      <w:pPr>
        <w:ind w:left="1134"/>
        <w:jc w:val="both"/>
        <w:rPr>
          <w:rFonts w:ascii="Arial Narrow" w:hAnsi="Arial Narrow" w:cs="Arial"/>
          <w:color w:val="000000" w:themeColor="text1"/>
          <w:lang w:eastAsia="es-CO"/>
        </w:rPr>
      </w:pPr>
    </w:p>
    <w:p w14:paraId="753F5E6B" w14:textId="77777777" w:rsidR="007968EC" w:rsidRPr="002C0D19" w:rsidRDefault="007968EC" w:rsidP="007968EC">
      <w:pPr>
        <w:ind w:left="851"/>
        <w:jc w:val="center"/>
        <w:rPr>
          <w:rFonts w:ascii="Arial Narrow" w:hAnsi="Arial Narrow" w:cs="Arial"/>
          <w:color w:val="000000" w:themeColor="text1"/>
          <w:lang w:eastAsia="es-CO"/>
        </w:rPr>
      </w:pPr>
      <m:oMathPara>
        <m:oMath>
          <m:r>
            <m:rPr>
              <m:sty m:val="b"/>
            </m:rPr>
            <w:rPr>
              <w:rFonts w:ascii="Cambria Math" w:hAnsi="Cambria Math" w:cs="Arial"/>
              <w:color w:val="000000" w:themeColor="text1"/>
              <w:lang w:eastAsia="es-CO"/>
            </w:rPr>
            <m:t>PMC</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x</m:t>
              </m:r>
            </m:e>
            <m:sub>
              <m:r>
                <m:rPr>
                  <m:sty m:val="b"/>
                </m:rPr>
                <w:rPr>
                  <w:rFonts w:ascii="Cambria Math" w:hAnsi="Cambria Math" w:cs="Arial"/>
                  <w:color w:val="000000" w:themeColor="text1"/>
                  <w:lang w:eastAsia="es-CO"/>
                </w:rPr>
                <m:t>i≠1</m:t>
              </m:r>
            </m:sub>
          </m:sSub>
          <m:r>
            <m:rPr>
              <m:sty m:val="b"/>
            </m:rPr>
            <w:rPr>
              <w:rFonts w:ascii="Cambria Math" w:hAnsi="Cambria Math" w:cs="Arial"/>
              <w:color w:val="000000" w:themeColor="text1"/>
              <w:lang w:eastAsia="es-CO"/>
            </w:rPr>
            <m:t>=</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PMCx</m:t>
              </m:r>
            </m:e>
            <m:sub>
              <m:r>
                <m:rPr>
                  <m:sty m:val="b"/>
                </m:rPr>
                <w:rPr>
                  <w:rFonts w:ascii="Cambria Math" w:hAnsi="Cambria Math" w:cs="Arial"/>
                  <w:color w:val="000000" w:themeColor="text1"/>
                  <w:lang w:eastAsia="es-CO"/>
                </w:rPr>
                <m:t>1</m:t>
              </m:r>
            </m:sub>
          </m:sSub>
          <m:r>
            <m:rPr>
              <m:sty m:val="b"/>
            </m:rPr>
            <w:rPr>
              <w:rFonts w:ascii="Cambria Math" w:hAnsi="Cambria Math" w:cs="Arial"/>
              <w:color w:val="000000" w:themeColor="text1"/>
              <w:lang w:eastAsia="es-CO"/>
            </w:rPr>
            <m:t>+</m:t>
          </m:r>
          <m:d>
            <m:dPr>
              <m:ctrlPr>
                <w:rPr>
                  <w:rFonts w:ascii="Cambria Math" w:hAnsi="Cambria Math" w:cs="Arial"/>
                  <w:color w:val="000000" w:themeColor="text1"/>
                  <w:lang w:eastAsia="es-CO"/>
                </w:rPr>
              </m:ctrlPr>
            </m:dPr>
            <m:e>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PLCx</m:t>
                  </m:r>
                </m:e>
                <m:sub>
                  <m:r>
                    <m:rPr>
                      <m:sty m:val="b"/>
                    </m:rPr>
                    <w:rPr>
                      <w:rFonts w:ascii="Cambria Math" w:hAnsi="Cambria Math" w:cs="Arial"/>
                      <w:color w:val="000000" w:themeColor="text1"/>
                      <w:lang w:eastAsia="es-CO"/>
                    </w:rPr>
                    <m:t>i≠1 (t-1)</m:t>
                  </m:r>
                </m:sub>
              </m:sSub>
              <m:r>
                <m:rPr>
                  <m:sty m:val="b"/>
                </m:rPr>
                <w:rPr>
                  <w:rFonts w:ascii="Cambria Math" w:hAnsi="Cambria Math" w:cs="Arial"/>
                  <w:color w:val="000000" w:themeColor="text1"/>
                  <w:lang w:eastAsia="es-CO"/>
                </w:rPr>
                <m:t>-</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PLCx</m:t>
                  </m:r>
                </m:e>
                <m:sub>
                  <m:r>
                    <m:rPr>
                      <m:sty m:val="b"/>
                    </m:rPr>
                    <w:rPr>
                      <w:rFonts w:ascii="Cambria Math" w:hAnsi="Cambria Math" w:cs="Arial"/>
                      <w:color w:val="000000" w:themeColor="text1"/>
                      <w:lang w:eastAsia="es-CO"/>
                    </w:rPr>
                    <m:t>1 (t-1)</m:t>
                  </m:r>
                </m:sub>
              </m:sSub>
            </m:e>
          </m:d>
        </m:oMath>
      </m:oMathPara>
    </w:p>
    <w:p w14:paraId="1B1627A8" w14:textId="77777777" w:rsidR="007968EC" w:rsidRPr="002C0D19" w:rsidRDefault="007968EC" w:rsidP="007968EC">
      <w:pPr>
        <w:ind w:left="993"/>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Donde:</w:t>
      </w:r>
    </w:p>
    <w:p w14:paraId="3BFC2A61" w14:textId="77777777" w:rsidR="007968EC" w:rsidRPr="002C0D19" w:rsidRDefault="007968EC" w:rsidP="007968EC">
      <w:pPr>
        <w:ind w:left="993"/>
        <w:jc w:val="both"/>
        <w:rPr>
          <w:rFonts w:ascii="Arial Narrow" w:hAnsi="Arial Narrow" w:cs="Arial"/>
          <w:color w:val="000000" w:themeColor="text1"/>
          <w:lang w:eastAsia="es-CO"/>
        </w:rPr>
      </w:pPr>
    </w:p>
    <w:p w14:paraId="53F2969E" w14:textId="77777777" w:rsidR="007968EC" w:rsidRPr="002C0D19" w:rsidRDefault="007968EC" w:rsidP="007968EC">
      <w:pPr>
        <w:ind w:left="993"/>
        <w:jc w:val="both"/>
        <w:rPr>
          <w:rFonts w:ascii="Arial Narrow" w:hAnsi="Arial Narrow" w:cs="Arial"/>
          <w:color w:val="000000" w:themeColor="text1"/>
          <w:lang w:eastAsia="es-CO"/>
        </w:rPr>
      </w:pPr>
      <m:oMath>
        <m:r>
          <m:rPr>
            <m:sty m:val="b"/>
          </m:rPr>
          <w:rPr>
            <w:rFonts w:ascii="Cambria Math" w:hAnsi="Cambria Math" w:cs="Arial"/>
            <w:color w:val="000000" w:themeColor="text1"/>
            <w:lang w:eastAsia="es-CO"/>
          </w:rPr>
          <m:t>PMC</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x</m:t>
            </m:r>
          </m:e>
          <m:sub>
            <m:r>
              <m:rPr>
                <m:sty m:val="b"/>
              </m:rPr>
              <w:rPr>
                <w:rFonts w:ascii="Cambria Math" w:hAnsi="Cambria Math" w:cs="Arial"/>
                <w:color w:val="000000" w:themeColor="text1"/>
                <w:lang w:eastAsia="es-CO"/>
              </w:rPr>
              <m:t>i≠1</m:t>
            </m:r>
          </m:sub>
        </m:sSub>
      </m:oMath>
      <w:r w:rsidRPr="002C0D19">
        <w:rPr>
          <w:rFonts w:ascii="Arial Narrow" w:hAnsi="Arial Narrow" w:cs="Arial"/>
          <w:color w:val="000000" w:themeColor="text1"/>
          <w:lang w:eastAsia="es-CO"/>
        </w:rPr>
        <w:t xml:space="preserve">: Precio Margin call hipotético vencimiento </w:t>
      </w: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x</m:t>
            </m:r>
          </m:e>
          <m:sub>
            <m:r>
              <m:rPr>
                <m:sty m:val="bi"/>
              </m:rPr>
              <w:rPr>
                <w:rFonts w:ascii="Cambria Math" w:hAnsi="Cambria Math" w:cs="Arial"/>
                <w:color w:val="000000" w:themeColor="text1"/>
                <w:lang w:eastAsia="es-CO"/>
              </w:rPr>
              <m:t>i≠1</m:t>
            </m:r>
          </m:sub>
        </m:sSub>
      </m:oMath>
    </w:p>
    <w:p w14:paraId="1C88FAE6" w14:textId="77777777" w:rsidR="007968EC" w:rsidRPr="002C0D19" w:rsidRDefault="00682D97" w:rsidP="007968EC">
      <w:pPr>
        <w:ind w:left="993"/>
        <w:jc w:val="both"/>
        <w:rPr>
          <w:rFonts w:ascii="Arial Narrow" w:hAnsi="Arial Narrow" w:cs="Arial"/>
          <w:color w:val="000000" w:themeColor="text1"/>
          <w:lang w:eastAsia="es-CO"/>
        </w:rPr>
      </w:pP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PMCx</m:t>
            </m:r>
          </m:e>
          <m:sub>
            <m:r>
              <m:rPr>
                <m:sty m:val="b"/>
              </m:rPr>
              <w:rPr>
                <w:rFonts w:ascii="Cambria Math" w:hAnsi="Cambria Math" w:cs="Arial"/>
                <w:color w:val="000000" w:themeColor="text1"/>
                <w:lang w:eastAsia="es-CO"/>
              </w:rPr>
              <m:t>1</m:t>
            </m:r>
          </m:sub>
        </m:sSub>
      </m:oMath>
      <w:r w:rsidR="007968EC" w:rsidRPr="002C0D19">
        <w:rPr>
          <w:rFonts w:ascii="Arial Narrow" w:hAnsi="Arial Narrow" w:cs="Arial"/>
          <w:color w:val="000000" w:themeColor="text1"/>
          <w:lang w:eastAsia="es-CO"/>
        </w:rPr>
        <w:t xml:space="preserve">: Precio Margin call hipotético del primer vencimiento </w:t>
      </w: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x</m:t>
            </m:r>
          </m:e>
          <m:sub>
            <m:r>
              <m:rPr>
                <m:sty m:val="bi"/>
              </m:rPr>
              <w:rPr>
                <w:rFonts w:ascii="Cambria Math" w:hAnsi="Cambria Math" w:cs="Arial"/>
                <w:color w:val="000000" w:themeColor="text1"/>
                <w:lang w:eastAsia="es-CO"/>
              </w:rPr>
              <m:t>1</m:t>
            </m:r>
          </m:sub>
        </m:sSub>
      </m:oMath>
    </w:p>
    <w:p w14:paraId="4E0E18AE" w14:textId="77777777" w:rsidR="007968EC" w:rsidRPr="002C0D19" w:rsidRDefault="00682D97" w:rsidP="007968EC">
      <w:pPr>
        <w:ind w:left="993"/>
        <w:jc w:val="both"/>
        <w:rPr>
          <w:rFonts w:ascii="Arial Narrow" w:hAnsi="Arial Narrow" w:cs="Arial"/>
          <w:color w:val="000000" w:themeColor="text1"/>
          <w:lang w:eastAsia="es-CO"/>
        </w:rPr>
      </w:pP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PLCx</m:t>
            </m:r>
          </m:e>
          <m:sub>
            <m:r>
              <m:rPr>
                <m:sty m:val="b"/>
              </m:rPr>
              <w:rPr>
                <w:rFonts w:ascii="Cambria Math" w:hAnsi="Cambria Math" w:cs="Arial"/>
                <w:color w:val="000000" w:themeColor="text1"/>
                <w:lang w:eastAsia="es-CO"/>
              </w:rPr>
              <m:t>i≠1 (t-1)</m:t>
            </m:r>
          </m:sub>
        </m:sSub>
      </m:oMath>
      <w:r w:rsidR="007968EC" w:rsidRPr="002C0D19">
        <w:rPr>
          <w:rFonts w:ascii="Arial Narrow" w:hAnsi="Arial Narrow" w:cs="Arial"/>
          <w:color w:val="000000" w:themeColor="text1"/>
          <w:lang w:eastAsia="es-CO"/>
        </w:rPr>
        <w:t xml:space="preserve">: Precio de Liquidación para Contratos según el procedimiento de cálculo de Garantías por Posición según el Modelo MEFFCOM2, para cualquier vencimiento diferente al primero </w:t>
      </w: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x</m:t>
            </m:r>
          </m:e>
          <m:sub>
            <m:r>
              <m:rPr>
                <m:sty m:val="b"/>
              </m:rPr>
              <w:rPr>
                <w:rFonts w:ascii="Cambria Math" w:hAnsi="Cambria Math" w:cs="Arial"/>
                <w:color w:val="000000" w:themeColor="text1"/>
                <w:lang w:eastAsia="es-CO"/>
              </w:rPr>
              <m:t>i≠1</m:t>
            </m:r>
          </m:sub>
        </m:sSub>
      </m:oMath>
      <w:r w:rsidR="007968EC" w:rsidRPr="002C0D19">
        <w:rPr>
          <w:rFonts w:ascii="Arial Narrow" w:hAnsi="Arial Narrow" w:cs="Arial"/>
          <w:color w:val="000000" w:themeColor="text1"/>
          <w:lang w:eastAsia="es-CO"/>
        </w:rPr>
        <w:t xml:space="preserve">, utilizado por la Cámara en la Sesión de Cierre del día anterior. </w:t>
      </w:r>
    </w:p>
    <w:p w14:paraId="0DD59DDC" w14:textId="77777777" w:rsidR="007968EC" w:rsidRPr="002C0D19" w:rsidRDefault="00682D97" w:rsidP="007968EC">
      <w:pPr>
        <w:ind w:left="993"/>
        <w:jc w:val="both"/>
        <w:rPr>
          <w:rFonts w:ascii="Arial Narrow" w:hAnsi="Arial Narrow" w:cs="Arial"/>
          <w:color w:val="000000" w:themeColor="text1"/>
          <w:lang w:eastAsia="es-CO"/>
        </w:rPr>
      </w:pPr>
      <m:oMath>
        <m:sSub>
          <m:sSubPr>
            <m:ctrlPr>
              <w:rPr>
                <w:rFonts w:ascii="Cambria Math" w:hAnsi="Cambria Math" w:cs="Arial"/>
                <w:color w:val="000000" w:themeColor="text1"/>
                <w:lang w:eastAsia="es-CO"/>
              </w:rPr>
            </m:ctrlPr>
          </m:sSubPr>
          <m:e>
            <m:r>
              <m:rPr>
                <m:sty m:val="b"/>
              </m:rPr>
              <w:rPr>
                <w:rFonts w:ascii="Cambria Math" w:hAnsi="Cambria Math" w:cs="Cambria Math"/>
                <w:color w:val="000000" w:themeColor="text1"/>
                <w:lang w:eastAsia="es-CO"/>
              </w:rPr>
              <m:t>P</m:t>
            </m:r>
            <m:r>
              <m:rPr>
                <m:sty m:val="b"/>
              </m:rPr>
              <w:rPr>
                <w:rFonts w:ascii="Cambria Math" w:hAnsi="Cambria Math" w:cs="Arial"/>
                <w:color w:val="000000" w:themeColor="text1"/>
                <w:lang w:eastAsia="es-CO"/>
              </w:rPr>
              <m:t>LCx</m:t>
            </m:r>
          </m:e>
          <m:sub>
            <m:r>
              <m:rPr>
                <m:sty m:val="b"/>
              </m:rPr>
              <w:rPr>
                <w:rFonts w:ascii="Cambria Math" w:hAnsi="Cambria Math" w:cs="Arial"/>
                <w:color w:val="000000" w:themeColor="text1"/>
                <w:lang w:eastAsia="es-CO"/>
              </w:rPr>
              <m:t>1 (t-1)</m:t>
            </m:r>
          </m:sub>
        </m:sSub>
      </m:oMath>
      <w:r w:rsidR="007968EC" w:rsidRPr="002C0D19">
        <w:rPr>
          <w:rFonts w:ascii="Arial Narrow" w:hAnsi="Arial Narrow" w:cs="Arial"/>
          <w:color w:val="000000" w:themeColor="text1"/>
          <w:lang w:eastAsia="es-CO"/>
        </w:rPr>
        <w:t xml:space="preserve">: Precio de Liquidación para Contratos según el procedimiento de cálculo de Garantías por Posición según el Modelo MEFFCOM2, para el primer vencimiento </w:t>
      </w: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x</m:t>
            </m:r>
          </m:e>
          <m:sub>
            <m:r>
              <m:rPr>
                <m:sty m:val="b"/>
              </m:rPr>
              <w:rPr>
                <w:rFonts w:ascii="Cambria Math" w:hAnsi="Cambria Math" w:cs="Arial"/>
                <w:color w:val="000000" w:themeColor="text1"/>
                <w:lang w:eastAsia="es-CO"/>
              </w:rPr>
              <m:t>1</m:t>
            </m:r>
          </m:sub>
        </m:sSub>
      </m:oMath>
      <w:r w:rsidR="007968EC" w:rsidRPr="002C0D19">
        <w:rPr>
          <w:rFonts w:ascii="Arial Narrow" w:hAnsi="Arial Narrow" w:cs="Arial"/>
          <w:color w:val="000000" w:themeColor="text1"/>
          <w:lang w:eastAsia="es-CO"/>
        </w:rPr>
        <w:t xml:space="preserve">, utilizado por la Cámara en la Sesión de Cierre del día anterior. </w:t>
      </w:r>
    </w:p>
    <w:p w14:paraId="5715C1CF" w14:textId="77777777" w:rsidR="007968EC" w:rsidRPr="002C0D19" w:rsidRDefault="007968EC" w:rsidP="007968EC">
      <w:pPr>
        <w:ind w:left="1134"/>
        <w:jc w:val="both"/>
        <w:rPr>
          <w:rFonts w:ascii="Arial Narrow" w:hAnsi="Arial Narrow" w:cs="Arial"/>
          <w:color w:val="000000" w:themeColor="text1"/>
          <w:lang w:eastAsia="es-CO"/>
        </w:rPr>
      </w:pPr>
    </w:p>
    <w:p w14:paraId="78B90793" w14:textId="77777777" w:rsidR="007968EC" w:rsidRPr="002C0D19" w:rsidRDefault="007968EC" w:rsidP="00DA7472">
      <w:pPr>
        <w:numPr>
          <w:ilvl w:val="0"/>
          <w:numId w:val="312"/>
        </w:numPr>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Se establece si la variación del precio Margin Call hipotético supera el parámetro de "Fluctuación para llamados a Garantías Extraordinarias” del activo objeto de una Operación de acuerdo a la siguiente desigualdad:</w:t>
      </w:r>
    </w:p>
    <w:p w14:paraId="6D648963" w14:textId="77777777" w:rsidR="007968EC" w:rsidRPr="002C0D19" w:rsidRDefault="007968EC" w:rsidP="007968EC">
      <w:pPr>
        <w:ind w:left="851"/>
        <w:jc w:val="both"/>
        <w:rPr>
          <w:rFonts w:ascii="Arial Narrow" w:hAnsi="Arial Narrow" w:cs="Arial"/>
          <w:color w:val="000000" w:themeColor="text1"/>
          <w:lang w:eastAsia="es-CO"/>
        </w:rPr>
      </w:pPr>
    </w:p>
    <w:p w14:paraId="44F785E3" w14:textId="77777777" w:rsidR="007968EC" w:rsidRPr="002C0D19" w:rsidRDefault="007968EC" w:rsidP="007968EC">
      <w:pPr>
        <w:ind w:left="851"/>
        <w:jc w:val="center"/>
        <w:rPr>
          <w:rFonts w:ascii="Arial Narrow" w:hAnsi="Arial Narrow" w:cs="Arial"/>
          <w:color w:val="000000" w:themeColor="text1"/>
          <w:lang w:eastAsia="es-CO"/>
        </w:rPr>
      </w:pPr>
      <m:oMathPara>
        <m:oMath>
          <m:r>
            <m:rPr>
              <m:sty m:val="b"/>
            </m:rPr>
            <w:rPr>
              <w:rFonts w:ascii="Cambria Math" w:hAnsi="Cambria Math" w:cs="Arial"/>
              <w:color w:val="000000" w:themeColor="text1"/>
              <w:lang w:eastAsia="es-CO"/>
            </w:rPr>
            <m:t>-</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FGE</m:t>
              </m:r>
            </m:e>
            <m:sub>
              <m:r>
                <m:rPr>
                  <m:sty m:val="bi"/>
                </m:rPr>
                <w:rPr>
                  <w:rFonts w:ascii="Cambria Math" w:hAnsi="Cambria Math" w:cs="Arial"/>
                  <w:color w:val="000000" w:themeColor="text1"/>
                  <w:lang w:eastAsia="es-CO"/>
                </w:rPr>
                <m:t>X</m:t>
              </m:r>
            </m:sub>
          </m:sSub>
          <m:r>
            <m:rPr>
              <m:sty m:val="b"/>
            </m:rPr>
            <w:rPr>
              <w:rFonts w:ascii="Cambria Math" w:hAnsi="Cambria Math" w:cs="Arial"/>
              <w:color w:val="000000" w:themeColor="text1"/>
              <w:lang w:eastAsia="es-CO"/>
            </w:rPr>
            <m:t>≥</m:t>
          </m:r>
          <m:f>
            <m:fPr>
              <m:ctrlPr>
                <w:rPr>
                  <w:rFonts w:ascii="Cambria Math" w:hAnsi="Cambria Math" w:cs="Arial"/>
                  <w:color w:val="000000" w:themeColor="text1"/>
                  <w:lang w:eastAsia="es-CO"/>
                </w:rPr>
              </m:ctrlPr>
            </m:fPr>
            <m:num>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PMCx</m:t>
                  </m:r>
                </m:e>
                <m:sub>
                  <m:r>
                    <m:rPr>
                      <m:sty m:val="b"/>
                    </m:rPr>
                    <w:rPr>
                      <w:rFonts w:ascii="Cambria Math" w:hAnsi="Cambria Math" w:cs="Arial"/>
                      <w:color w:val="000000" w:themeColor="text1"/>
                      <w:lang w:eastAsia="es-CO"/>
                    </w:rPr>
                    <m:t>i</m:t>
                  </m:r>
                </m:sub>
              </m:sSub>
            </m:num>
            <m:den>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PLCx</m:t>
                  </m:r>
                </m:e>
                <m:sub>
                  <m:r>
                    <m:rPr>
                      <m:sty m:val="b"/>
                    </m:rPr>
                    <w:rPr>
                      <w:rFonts w:ascii="Cambria Math" w:hAnsi="Cambria Math" w:cs="Arial"/>
                      <w:color w:val="000000" w:themeColor="text1"/>
                      <w:lang w:eastAsia="es-CO"/>
                    </w:rPr>
                    <m:t xml:space="preserve">i </m:t>
                  </m:r>
                  <m:d>
                    <m:dPr>
                      <m:ctrlPr>
                        <w:rPr>
                          <w:rFonts w:ascii="Cambria Math" w:hAnsi="Cambria Math" w:cs="Arial"/>
                          <w:color w:val="000000" w:themeColor="text1"/>
                          <w:lang w:eastAsia="es-CO"/>
                        </w:rPr>
                      </m:ctrlPr>
                    </m:dPr>
                    <m:e>
                      <m:r>
                        <m:rPr>
                          <m:sty m:val="b"/>
                        </m:rPr>
                        <w:rPr>
                          <w:rFonts w:ascii="Cambria Math" w:hAnsi="Cambria Math" w:cs="Arial"/>
                          <w:color w:val="000000" w:themeColor="text1"/>
                          <w:lang w:eastAsia="es-CO"/>
                        </w:rPr>
                        <m:t>t-1</m:t>
                      </m:r>
                    </m:e>
                  </m:d>
                </m:sub>
              </m:sSub>
              <m:r>
                <m:rPr>
                  <m:sty m:val="b"/>
                </m:rPr>
                <w:rPr>
                  <w:rFonts w:ascii="Cambria Math" w:hAnsi="Cambria Math" w:cs="Arial"/>
                  <w:color w:val="000000" w:themeColor="text1"/>
                  <w:lang w:eastAsia="es-CO"/>
                </w:rPr>
                <m:t xml:space="preserve"> </m:t>
              </m:r>
            </m:den>
          </m:f>
          <m:r>
            <m:rPr>
              <m:sty m:val="b"/>
            </m:rPr>
            <w:rPr>
              <w:rFonts w:ascii="Cambria Math" w:hAnsi="Cambria Math" w:cs="Arial"/>
              <w:color w:val="000000" w:themeColor="text1"/>
              <w:lang w:eastAsia="es-CO"/>
            </w:rPr>
            <m:t>-1≥</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FGE</m:t>
              </m:r>
            </m:e>
            <m:sub>
              <m:r>
                <m:rPr>
                  <m:sty m:val="bi"/>
                </m:rPr>
                <w:rPr>
                  <w:rFonts w:ascii="Cambria Math" w:hAnsi="Cambria Math" w:cs="Arial"/>
                  <w:color w:val="000000" w:themeColor="text1"/>
                  <w:lang w:eastAsia="es-CO"/>
                </w:rPr>
                <m:t>X</m:t>
              </m:r>
            </m:sub>
          </m:sSub>
        </m:oMath>
      </m:oMathPara>
    </w:p>
    <w:p w14:paraId="66D83718" w14:textId="77777777" w:rsidR="007968EC" w:rsidRPr="002C0D19" w:rsidRDefault="007968EC" w:rsidP="007968EC">
      <w:pPr>
        <w:ind w:left="993"/>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Donde: </w:t>
      </w:r>
    </w:p>
    <w:p w14:paraId="0FC68790" w14:textId="77777777" w:rsidR="007968EC" w:rsidRPr="002C0D19" w:rsidRDefault="007968EC" w:rsidP="007968EC">
      <w:pPr>
        <w:ind w:left="993"/>
        <w:jc w:val="both"/>
        <w:rPr>
          <w:rFonts w:ascii="Arial Narrow" w:hAnsi="Arial Narrow" w:cs="Arial"/>
          <w:color w:val="000000" w:themeColor="text1"/>
          <w:lang w:eastAsia="es-CO"/>
        </w:rPr>
      </w:pPr>
    </w:p>
    <w:p w14:paraId="4E4B4BBF" w14:textId="77777777" w:rsidR="007968EC" w:rsidRPr="002C0D19" w:rsidRDefault="00682D97" w:rsidP="007968EC">
      <w:pPr>
        <w:ind w:left="993"/>
        <w:jc w:val="both"/>
        <w:rPr>
          <w:rFonts w:ascii="Arial Narrow" w:hAnsi="Arial Narrow" w:cs="Arial"/>
          <w:color w:val="000000" w:themeColor="text1"/>
          <w:lang w:eastAsia="es-CO"/>
        </w:rPr>
      </w:pP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 xml:space="preserve"> x</m:t>
            </m:r>
          </m:e>
          <m:sub>
            <m:r>
              <m:rPr>
                <m:sty m:val="b"/>
              </m:rPr>
              <w:rPr>
                <w:rFonts w:ascii="Cambria Math" w:hAnsi="Cambria Math" w:cs="Arial"/>
                <w:color w:val="000000" w:themeColor="text1"/>
                <w:lang w:eastAsia="es-CO"/>
              </w:rPr>
              <m:t>i</m:t>
            </m:r>
          </m:sub>
        </m:sSub>
      </m:oMath>
      <w:r w:rsidR="007968EC" w:rsidRPr="002C0D19">
        <w:rPr>
          <w:rFonts w:ascii="Arial Narrow" w:hAnsi="Arial Narrow" w:cs="Arial"/>
          <w:color w:val="000000" w:themeColor="text1"/>
          <w:lang w:eastAsia="es-CO"/>
        </w:rPr>
        <w:t>: Es cualquier Activo con vencimiento i</w:t>
      </w:r>
      <w:r w:rsidR="007968EC" w:rsidRPr="002C0D19" w:rsidDel="008045E0">
        <w:rPr>
          <w:rFonts w:ascii="Arial Narrow" w:hAnsi="Arial Narrow" w:cs="Arial"/>
          <w:color w:val="000000" w:themeColor="text1"/>
          <w:lang w:eastAsia="es-CO"/>
        </w:rPr>
        <w:t xml:space="preserve"> </w:t>
      </w:r>
      <w:r w:rsidR="007968EC" w:rsidRPr="002C0D19">
        <w:rPr>
          <w:rFonts w:ascii="Arial Narrow" w:hAnsi="Arial Narrow" w:cs="Arial"/>
          <w:color w:val="000000" w:themeColor="text1"/>
          <w:lang w:eastAsia="es-CO"/>
        </w:rPr>
        <w:t>objeto de una Operación compensada o liquidada por la Cámara.</w:t>
      </w:r>
    </w:p>
    <w:p w14:paraId="39A5AD36" w14:textId="77777777" w:rsidR="007968EC" w:rsidRPr="002C0D19" w:rsidRDefault="007968EC" w:rsidP="007968EC">
      <w:pPr>
        <w:ind w:left="993"/>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 </w:t>
      </w:r>
      <m:oMath>
        <m:r>
          <m:rPr>
            <m:sty m:val="b"/>
          </m:rPr>
          <w:rPr>
            <w:rFonts w:ascii="Cambria Math" w:hAnsi="Cambria Math" w:cs="Arial"/>
            <w:color w:val="000000" w:themeColor="text1"/>
            <w:lang w:eastAsia="es-CO"/>
          </w:rPr>
          <m:t>FG</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E</m:t>
            </m:r>
          </m:e>
          <m:sub>
            <m:r>
              <m:rPr>
                <m:sty m:val="bi"/>
              </m:rPr>
              <w:rPr>
                <w:rFonts w:ascii="Cambria Math" w:hAnsi="Cambria Math" w:cs="Arial"/>
                <w:color w:val="000000" w:themeColor="text1"/>
                <w:lang w:eastAsia="es-CO"/>
              </w:rPr>
              <m:t>X</m:t>
            </m:r>
          </m:sub>
        </m:sSub>
      </m:oMath>
      <w:r w:rsidRPr="002C0D19">
        <w:rPr>
          <w:rFonts w:ascii="Arial Narrow" w:hAnsi="Arial Narrow" w:cs="Arial"/>
          <w:color w:val="000000" w:themeColor="text1"/>
          <w:lang w:eastAsia="es-CO"/>
        </w:rPr>
        <w:t>: Parámetro de Fluctuación para llamados a Garantías Extraordinarias establecido para un Activo objeto de una Operación compensada o liquidada por la Cámara.</w:t>
      </w:r>
    </w:p>
    <w:p w14:paraId="23F2CDC1" w14:textId="77777777" w:rsidR="007968EC" w:rsidRPr="002C0D19" w:rsidRDefault="00682D97" w:rsidP="007968EC">
      <w:pPr>
        <w:ind w:left="993"/>
        <w:jc w:val="both"/>
        <w:rPr>
          <w:rFonts w:ascii="Arial Narrow" w:hAnsi="Arial Narrow" w:cs="Arial"/>
          <w:color w:val="000000" w:themeColor="text1"/>
          <w:lang w:eastAsia="es-CO"/>
        </w:rPr>
      </w:pP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PMCx</m:t>
            </m:r>
          </m:e>
          <m:sub>
            <m:r>
              <m:rPr>
                <m:sty m:val="b"/>
              </m:rPr>
              <w:rPr>
                <w:rFonts w:ascii="Cambria Math" w:hAnsi="Cambria Math" w:cs="Arial"/>
                <w:color w:val="000000" w:themeColor="text1"/>
                <w:lang w:eastAsia="es-CO"/>
              </w:rPr>
              <m:t>i</m:t>
            </m:r>
          </m:sub>
        </m:sSub>
      </m:oMath>
      <w:r w:rsidR="007968EC" w:rsidRPr="002C0D19">
        <w:rPr>
          <w:rFonts w:ascii="Arial Narrow" w:hAnsi="Arial Narrow" w:cs="Arial"/>
          <w:color w:val="000000" w:themeColor="text1"/>
          <w:lang w:eastAsia="es-CO"/>
        </w:rPr>
        <w:t>: Precio Margin Call hipotético calculado para el Activo con vencimiento i objeto de una Operación</w:t>
      </w:r>
    </w:p>
    <w:p w14:paraId="34CC367D" w14:textId="77777777" w:rsidR="007968EC" w:rsidRPr="002C0D19" w:rsidRDefault="00682D97" w:rsidP="007968EC">
      <w:pPr>
        <w:ind w:left="993"/>
        <w:jc w:val="both"/>
        <w:rPr>
          <w:rFonts w:ascii="Arial Narrow" w:hAnsi="Arial Narrow" w:cs="Arial"/>
          <w:color w:val="000000" w:themeColor="text1"/>
          <w:lang w:eastAsia="es-CO"/>
        </w:rPr>
      </w:pP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PLCx</m:t>
            </m:r>
          </m:e>
          <m:sub>
            <m:r>
              <m:rPr>
                <m:sty m:val="b"/>
              </m:rPr>
              <w:rPr>
                <w:rFonts w:ascii="Cambria Math" w:hAnsi="Cambria Math" w:cs="Arial"/>
                <w:color w:val="000000" w:themeColor="text1"/>
                <w:lang w:eastAsia="es-CO"/>
              </w:rPr>
              <m:t xml:space="preserve">i </m:t>
            </m:r>
            <m:d>
              <m:dPr>
                <m:ctrlPr>
                  <w:rPr>
                    <w:rFonts w:ascii="Cambria Math" w:hAnsi="Cambria Math" w:cs="Arial"/>
                    <w:color w:val="000000" w:themeColor="text1"/>
                    <w:lang w:eastAsia="es-CO"/>
                  </w:rPr>
                </m:ctrlPr>
              </m:dPr>
              <m:e>
                <m:r>
                  <m:rPr>
                    <m:sty m:val="b"/>
                  </m:rPr>
                  <w:rPr>
                    <w:rFonts w:ascii="Cambria Math" w:hAnsi="Cambria Math" w:cs="Arial"/>
                    <w:color w:val="000000" w:themeColor="text1"/>
                    <w:lang w:eastAsia="es-CO"/>
                  </w:rPr>
                  <m:t>t-1</m:t>
                </m:r>
              </m:e>
            </m:d>
          </m:sub>
        </m:sSub>
      </m:oMath>
      <w:r w:rsidR="007968EC" w:rsidRPr="002C0D19">
        <w:rPr>
          <w:rFonts w:ascii="Arial Narrow" w:hAnsi="Arial Narrow" w:cs="Arial"/>
          <w:color w:val="000000" w:themeColor="text1"/>
          <w:lang w:eastAsia="es-CO"/>
        </w:rPr>
        <w:t>: Precio de Liquidación de un Activo con vencimiento i según lo definido en el Artículo 1.1.1.2 de la Circular Única de Cámara</w:t>
      </w:r>
      <w:r w:rsidR="007968EC" w:rsidRPr="002C0D19" w:rsidDel="009A6CBE">
        <w:rPr>
          <w:rFonts w:ascii="Arial Narrow" w:hAnsi="Arial Narrow" w:cs="Arial"/>
          <w:color w:val="000000" w:themeColor="text1"/>
          <w:lang w:eastAsia="es-CO"/>
        </w:rPr>
        <w:t xml:space="preserve"> </w:t>
      </w:r>
      <w:r w:rsidR="007968EC" w:rsidRPr="002C0D19">
        <w:rPr>
          <w:rFonts w:ascii="Arial Narrow" w:hAnsi="Arial Narrow" w:cs="Arial"/>
          <w:color w:val="000000" w:themeColor="text1"/>
          <w:lang w:eastAsia="es-CO"/>
        </w:rPr>
        <w:t xml:space="preserve">utilizado por la Cámara en la Sesión de Cierre del día anterior. </w:t>
      </w:r>
    </w:p>
    <w:p w14:paraId="195316EE" w14:textId="77777777" w:rsidR="007968EC" w:rsidRPr="002C0D19" w:rsidRDefault="007968EC" w:rsidP="007968EC">
      <w:pPr>
        <w:ind w:left="993"/>
        <w:jc w:val="both"/>
        <w:rPr>
          <w:rFonts w:ascii="Arial Narrow" w:hAnsi="Arial Narrow" w:cs="Arial"/>
          <w:color w:val="000000" w:themeColor="text1"/>
          <w:lang w:eastAsia="es-CO"/>
        </w:rPr>
      </w:pPr>
    </w:p>
    <w:p w14:paraId="23A360CF" w14:textId="77777777" w:rsidR="007968EC" w:rsidRPr="002C0D19" w:rsidRDefault="007968EC" w:rsidP="00DA7472">
      <w:pPr>
        <w:numPr>
          <w:ilvl w:val="3"/>
          <w:numId w:val="310"/>
        </w:numPr>
        <w:tabs>
          <w:tab w:val="left" w:pos="426"/>
        </w:tabs>
        <w:ind w:left="284"/>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Se determina el importe que deberá ser constituido como Garantía Extraordinaria por parte de los Miembros Liquidadores por concepto de Margin Call, mediante la aplicación de la siguiente fórmula: </w:t>
      </w:r>
    </w:p>
    <w:p w14:paraId="4DC5AF74" w14:textId="77777777" w:rsidR="007968EC" w:rsidRPr="002C0D19" w:rsidRDefault="007968EC" w:rsidP="007968EC">
      <w:pPr>
        <w:ind w:left="284"/>
        <w:jc w:val="both"/>
        <w:rPr>
          <w:rFonts w:ascii="Arial Narrow" w:hAnsi="Arial Narrow" w:cs="Arial"/>
          <w:color w:val="000000" w:themeColor="text1"/>
          <w:lang w:eastAsia="es-CO"/>
        </w:rPr>
      </w:pPr>
    </w:p>
    <w:p w14:paraId="33E8CF35" w14:textId="77777777" w:rsidR="007968EC" w:rsidRPr="002C0D19" w:rsidRDefault="007968EC" w:rsidP="007968EC">
      <w:pPr>
        <w:ind w:left="284"/>
        <w:jc w:val="center"/>
        <w:rPr>
          <w:rFonts w:ascii="Arial Narrow" w:hAnsi="Arial Narrow" w:cs="Arial"/>
          <w:color w:val="000000" w:themeColor="text1"/>
          <w:lang w:eastAsia="es-CO"/>
        </w:rPr>
      </w:pPr>
      <m:oMathPara>
        <m:oMath>
          <m:r>
            <m:rPr>
              <m:sty m:val="bi"/>
            </m:rPr>
            <w:rPr>
              <w:rFonts w:ascii="Cambria Math" w:hAnsi="Cambria Math" w:cs="Arial"/>
              <w:color w:val="000000" w:themeColor="text1"/>
              <w:lang w:eastAsia="es-CO"/>
            </w:rPr>
            <m:t>Importe de Margin Call=Excesos+</m:t>
          </m:r>
          <m:nary>
            <m:naryPr>
              <m:chr m:val="∑"/>
              <m:limLoc m:val="undOvr"/>
              <m:ctrlPr>
                <w:rPr>
                  <w:rFonts w:ascii="Cambria Math" w:hAnsi="Cambria Math" w:cs="Arial"/>
                  <w:i/>
                  <w:color w:val="000000" w:themeColor="text1"/>
                  <w:lang w:eastAsia="es-CO"/>
                </w:rPr>
              </m:ctrlPr>
            </m:naryPr>
            <m:sub>
              <m:r>
                <m:rPr>
                  <m:sty m:val="bi"/>
                </m:rPr>
                <w:rPr>
                  <w:rFonts w:ascii="Cambria Math" w:hAnsi="Cambria Math" w:cs="Arial"/>
                  <w:color w:val="000000" w:themeColor="text1"/>
                  <w:lang w:eastAsia="es-CO"/>
                </w:rPr>
                <m:t>c=1</m:t>
              </m:r>
            </m:sub>
            <m:sup>
              <m:r>
                <m:rPr>
                  <m:sty m:val="bi"/>
                </m:rPr>
                <w:rPr>
                  <w:rFonts w:ascii="Cambria Math" w:hAnsi="Cambria Math" w:cs="Arial"/>
                  <w:color w:val="000000" w:themeColor="text1"/>
                  <w:lang w:eastAsia="es-CO"/>
                </w:rPr>
                <m:t>n</m:t>
              </m:r>
            </m:sup>
            <m:e>
              <m:r>
                <m:rPr>
                  <m:sty m:val="bi"/>
                </m:rPr>
                <w:rPr>
                  <w:rFonts w:ascii="Cambria Math" w:hAnsi="Cambria Math" w:cs="Arial"/>
                  <w:color w:val="000000" w:themeColor="text1"/>
                  <w:lang w:eastAsia="es-CO"/>
                </w:rPr>
                <m:t>RS, para todo RS</m:t>
              </m:r>
            </m:e>
          </m:nary>
          <m:r>
            <m:rPr>
              <m:sty m:val="bi"/>
            </m:rPr>
            <w:rPr>
              <w:rFonts w:ascii="Cambria Math" w:hAnsi="Cambria Math" w:cs="Arial"/>
              <w:color w:val="000000" w:themeColor="text1"/>
              <w:lang w:eastAsia="es-CO"/>
            </w:rPr>
            <m:t>&lt; 0</m:t>
          </m:r>
        </m:oMath>
      </m:oMathPara>
    </w:p>
    <w:p w14:paraId="0561E479" w14:textId="77777777" w:rsidR="007968EC" w:rsidRPr="002C0D19" w:rsidRDefault="007968EC" w:rsidP="007968EC">
      <w:pPr>
        <w:ind w:left="284"/>
        <w:jc w:val="both"/>
        <w:rPr>
          <w:rFonts w:ascii="Arial Narrow" w:hAnsi="Arial Narrow" w:cs="Arial"/>
          <w:color w:val="000000" w:themeColor="text1"/>
          <w:lang w:eastAsia="es-CO"/>
        </w:rPr>
      </w:pPr>
    </w:p>
    <w:p w14:paraId="17869C9F" w14:textId="77777777" w:rsidR="007968EC" w:rsidRPr="002C0D19" w:rsidRDefault="007968EC" w:rsidP="007968EC">
      <w:pPr>
        <w:ind w:left="426"/>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Como indica la fórmula solo se tendrán en cuenta los RS con signo negativo. Cuando </w:t>
      </w:r>
      <m:oMath>
        <m:r>
          <m:rPr>
            <m:sty m:val="b"/>
          </m:rPr>
          <w:rPr>
            <w:rFonts w:ascii="Cambria Math" w:hAnsi="Cambria Math" w:cs="Arial"/>
            <w:color w:val="000000" w:themeColor="text1"/>
            <w:lang w:eastAsia="es-CO"/>
          </w:rPr>
          <m:t>Importe de Margin Call</m:t>
        </m:r>
      </m:oMath>
      <w:r w:rsidRPr="002C0D19">
        <w:rPr>
          <w:rFonts w:ascii="Arial Narrow" w:hAnsi="Arial Narrow" w:cs="Arial"/>
          <w:color w:val="000000" w:themeColor="text1"/>
          <w:lang w:eastAsia="es-CO"/>
        </w:rPr>
        <w:t>, sea mayor a cero el importe que deberá ser constituido como Garantía Extraordinaria será cero.</w:t>
      </w:r>
    </w:p>
    <w:p w14:paraId="22334F1D" w14:textId="77777777" w:rsidR="007968EC" w:rsidRPr="002C0D19" w:rsidRDefault="007968EC" w:rsidP="007968EC">
      <w:pPr>
        <w:ind w:left="284"/>
        <w:jc w:val="both"/>
        <w:rPr>
          <w:rFonts w:ascii="Arial Narrow" w:hAnsi="Arial Narrow" w:cs="Arial"/>
          <w:color w:val="000000" w:themeColor="text1"/>
          <w:lang w:eastAsia="es-CO"/>
        </w:rPr>
      </w:pPr>
    </w:p>
    <w:p w14:paraId="256ECCBA" w14:textId="77777777" w:rsidR="007968EC" w:rsidRPr="002C0D19" w:rsidRDefault="007968EC" w:rsidP="007968EC">
      <w:pPr>
        <w:ind w:left="426"/>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Donde: </w:t>
      </w:r>
    </w:p>
    <w:p w14:paraId="26B0B019" w14:textId="77777777" w:rsidR="007968EC" w:rsidRPr="002C0D19" w:rsidRDefault="007968EC" w:rsidP="007968EC">
      <w:pPr>
        <w:ind w:left="426"/>
        <w:jc w:val="both"/>
        <w:rPr>
          <w:rFonts w:ascii="Arial Narrow" w:hAnsi="Arial Narrow" w:cs="Arial"/>
          <w:i/>
          <w:color w:val="000000" w:themeColor="text1"/>
          <w:lang w:eastAsia="es-CO"/>
        </w:rPr>
      </w:pPr>
      <w:r w:rsidRPr="002C0D19">
        <w:rPr>
          <w:rFonts w:ascii="Arial Narrow" w:hAnsi="Arial Narrow" w:cs="Arial"/>
          <w:color w:val="000000" w:themeColor="text1"/>
          <w:lang w:eastAsia="es-CO"/>
        </w:rPr>
        <w:br/>
      </w:r>
      <m:oMathPara>
        <m:oMathParaPr>
          <m:jc m:val="left"/>
        </m:oMathParaPr>
        <m:oMath>
          <m:r>
            <m:rPr>
              <m:sty m:val="bi"/>
            </m:rPr>
            <w:rPr>
              <w:rFonts w:ascii="Cambria Math" w:hAnsi="Cambria Math" w:cs="Arial"/>
              <w:color w:val="000000" w:themeColor="text1"/>
              <w:lang w:eastAsia="es-CO"/>
            </w:rPr>
            <m:t>Excesos=Garantía Extraordinaria depositada+Garantía Individual d</m:t>
          </m:r>
          <m:r>
            <m:rPr>
              <m:sty m:val="bi"/>
            </m:rPr>
            <w:rPr>
              <w:rFonts w:ascii="Cambria Math" w:hAnsi="Cambria Math" w:cs="Cambria Math"/>
              <w:color w:val="000000" w:themeColor="text1"/>
              <w:lang w:eastAsia="es-CO"/>
            </w:rPr>
            <m:t>e</m:t>
          </m:r>
          <m:r>
            <m:rPr>
              <m:sty m:val="bi"/>
            </m:rPr>
            <w:rPr>
              <w:rFonts w:ascii="Cambria Math" w:hAnsi="Cambria Math" w:cs="Arial"/>
              <w:color w:val="000000" w:themeColor="text1"/>
              <w:lang w:eastAsia="es-CO"/>
            </w:rPr>
            <m:t>positada</m:t>
          </m:r>
        </m:oMath>
      </m:oMathPara>
    </w:p>
    <w:p w14:paraId="63606F38" w14:textId="77777777" w:rsidR="007968EC" w:rsidRPr="002C0D19" w:rsidRDefault="007968EC" w:rsidP="007968EC">
      <w:pPr>
        <w:ind w:left="426"/>
        <w:jc w:val="both"/>
        <w:rPr>
          <w:rFonts w:ascii="Arial Narrow" w:hAnsi="Arial Narrow" w:cs="Arial"/>
          <w:color w:val="000000" w:themeColor="text1"/>
          <w:lang w:eastAsia="es-CO"/>
        </w:rPr>
      </w:pPr>
    </w:p>
    <w:p w14:paraId="0597A3C5" w14:textId="77777777" w:rsidR="007968EC" w:rsidRPr="002C0D19" w:rsidRDefault="007968EC" w:rsidP="007968EC">
      <w:pPr>
        <w:ind w:left="426"/>
        <w:jc w:val="both"/>
        <w:rPr>
          <w:rFonts w:ascii="Arial Narrow" w:hAnsi="Arial Narrow" w:cs="Arial"/>
          <w:color w:val="000000" w:themeColor="text1"/>
          <w:lang w:eastAsia="es-CO"/>
        </w:rPr>
      </w:pPr>
      <m:oMath>
        <m:r>
          <m:rPr>
            <m:sty m:val="b"/>
          </m:rPr>
          <w:rPr>
            <w:rFonts w:ascii="Cambria Math" w:hAnsi="Cambria Math" w:cs="Arial"/>
            <w:color w:val="000000" w:themeColor="text1"/>
            <w:lang w:eastAsia="es-CO"/>
          </w:rPr>
          <m:t>c</m:t>
        </m:r>
      </m:oMath>
      <w:r w:rsidRPr="002C0D19">
        <w:rPr>
          <w:rFonts w:ascii="Arial Narrow" w:hAnsi="Arial Narrow" w:cs="Arial"/>
          <w:color w:val="000000" w:themeColor="text1"/>
          <w:lang w:eastAsia="es-CO"/>
        </w:rPr>
        <w:t xml:space="preserve">: Cuentas del Miembro Liquidador, de sus Terceros o de sus Miembros no Liquidadores y los Terceros de éstos, que en el momento de la activación del procedimiento de Margin Call cuenten con Posición Abierta sobre cualquier vencimiento del Activo o Activo objeto de una Operación compensada o liquidada que cumplió la condición de activación del procedimiento de Margin Call.  </w:t>
      </w:r>
    </w:p>
    <w:p w14:paraId="257269AD" w14:textId="77777777" w:rsidR="007968EC" w:rsidRPr="002C0D19" w:rsidRDefault="007968EC" w:rsidP="007968EC">
      <w:pPr>
        <w:ind w:left="426"/>
        <w:jc w:val="both"/>
        <w:rPr>
          <w:rFonts w:ascii="Arial Narrow" w:hAnsi="Arial Narrow" w:cs="Arial"/>
          <w:color w:val="000000" w:themeColor="text1"/>
          <w:lang w:eastAsia="es-CO"/>
        </w:rPr>
      </w:pPr>
    </w:p>
    <w:p w14:paraId="314CD2A9" w14:textId="77777777" w:rsidR="007968EC" w:rsidRPr="002C0D19" w:rsidRDefault="007968EC" w:rsidP="007968EC">
      <w:pPr>
        <w:ind w:left="426"/>
        <w:jc w:val="both"/>
        <w:rPr>
          <w:rFonts w:ascii="Arial Narrow" w:hAnsi="Arial Narrow" w:cs="Arial"/>
          <w:color w:val="000000" w:themeColor="text1"/>
          <w:lang w:eastAsia="es-CO"/>
        </w:rPr>
      </w:pPr>
      <m:oMath>
        <m:r>
          <m:rPr>
            <m:sty m:val="b"/>
          </m:rPr>
          <w:rPr>
            <w:rFonts w:ascii="Cambria Math" w:hAnsi="Cambria Math" w:cs="Arial"/>
            <w:color w:val="000000" w:themeColor="text1"/>
            <w:lang w:eastAsia="es-CO"/>
          </w:rPr>
          <m:t>RS</m:t>
        </m:r>
      </m:oMath>
      <w:r w:rsidRPr="002C0D19">
        <w:rPr>
          <w:rFonts w:ascii="Arial Narrow" w:hAnsi="Arial Narrow" w:cs="Arial"/>
          <w:color w:val="000000" w:themeColor="text1"/>
          <w:lang w:eastAsia="es-CO"/>
        </w:rPr>
        <w:t xml:space="preserve">= Riesgo simulado para cada cuenta </w:t>
      </w:r>
      <m:oMath>
        <m:r>
          <m:rPr>
            <m:sty m:val="b"/>
          </m:rPr>
          <w:rPr>
            <w:rFonts w:ascii="Cambria Math" w:hAnsi="Cambria Math" w:cs="Arial"/>
            <w:color w:val="000000" w:themeColor="text1"/>
            <w:lang w:eastAsia="es-CO"/>
          </w:rPr>
          <m:t>c</m:t>
        </m:r>
      </m:oMath>
      <w:r w:rsidRPr="002C0D19">
        <w:rPr>
          <w:rFonts w:ascii="Arial Narrow" w:hAnsi="Arial Narrow" w:cs="Arial"/>
          <w:color w:val="000000" w:themeColor="text1"/>
          <w:lang w:eastAsia="es-CO"/>
        </w:rPr>
        <w:t>, que se calcula mediante la aplicación de la siguiente fórmula:</w:t>
      </w:r>
    </w:p>
    <w:p w14:paraId="6B3A7BCD" w14:textId="77777777" w:rsidR="007968EC" w:rsidRPr="002C0D19" w:rsidRDefault="007968EC" w:rsidP="007968EC">
      <w:pPr>
        <w:ind w:left="426"/>
        <w:jc w:val="both"/>
        <w:rPr>
          <w:rFonts w:ascii="Arial Narrow" w:hAnsi="Arial Narrow" w:cs="Arial"/>
          <w:color w:val="000000" w:themeColor="text1"/>
          <w:lang w:eastAsia="es-CO"/>
        </w:rPr>
      </w:pPr>
    </w:p>
    <w:p w14:paraId="3DAC6295" w14:textId="77777777" w:rsidR="007968EC" w:rsidRPr="002C0D19" w:rsidRDefault="007968EC" w:rsidP="007968EC">
      <w:pPr>
        <w:ind w:left="426"/>
        <w:jc w:val="center"/>
        <w:rPr>
          <w:rFonts w:ascii="Arial Narrow" w:hAnsi="Arial Narrow" w:cs="Arial"/>
          <w:color w:val="000000" w:themeColor="text1"/>
          <w:lang w:eastAsia="es-CO"/>
        </w:rPr>
      </w:pPr>
      <m:oMathPara>
        <m:oMath>
          <m:r>
            <m:rPr>
              <m:sty m:val="b"/>
            </m:rPr>
            <w:rPr>
              <w:rFonts w:ascii="Cambria Math" w:hAnsi="Cambria Math" w:cs="Arial"/>
              <w:color w:val="000000" w:themeColor="text1"/>
              <w:lang w:eastAsia="es-CO"/>
            </w:rPr>
            <m:t>RS=GPTIT-</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GPTIT</m:t>
              </m:r>
            </m:e>
            <m:sub>
              <m:r>
                <m:rPr>
                  <m:sty m:val="b"/>
                </m:rPr>
                <w:rPr>
                  <w:rFonts w:ascii="Cambria Math" w:hAnsi="Cambria Math" w:cs="Arial"/>
                  <w:color w:val="000000" w:themeColor="text1"/>
                  <w:lang w:eastAsia="es-CO"/>
                </w:rPr>
                <m:t>PMC</m:t>
              </m:r>
            </m:sub>
          </m:sSub>
          <m:r>
            <m:rPr>
              <m:sty m:val="b"/>
            </m:rPr>
            <w:rPr>
              <w:rFonts w:ascii="Cambria Math" w:hAnsi="Cambria Math" w:cs="Arial"/>
              <w:color w:val="000000" w:themeColor="text1"/>
              <w:lang w:eastAsia="es-CO"/>
            </w:rPr>
            <m:t>+</m:t>
          </m:r>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Liq</m:t>
              </m:r>
            </m:e>
            <m:sub>
              <m:r>
                <m:rPr>
                  <m:sty m:val="b"/>
                </m:rPr>
                <w:rPr>
                  <w:rFonts w:ascii="Cambria Math" w:hAnsi="Cambria Math" w:cs="Arial"/>
                  <w:color w:val="000000" w:themeColor="text1"/>
                  <w:lang w:eastAsia="es-CO"/>
                </w:rPr>
                <m:t>PMC</m:t>
              </m:r>
            </m:sub>
          </m:sSub>
        </m:oMath>
      </m:oMathPara>
    </w:p>
    <w:p w14:paraId="194EB264" w14:textId="77777777" w:rsidR="007968EC" w:rsidRPr="002C0D19" w:rsidRDefault="007968EC" w:rsidP="007968EC">
      <w:pPr>
        <w:ind w:left="426"/>
        <w:jc w:val="both"/>
        <w:rPr>
          <w:rFonts w:ascii="Arial Narrow" w:hAnsi="Arial Narrow" w:cs="Arial"/>
          <w:color w:val="000000" w:themeColor="text1"/>
          <w:lang w:eastAsia="es-CO"/>
        </w:rPr>
      </w:pPr>
    </w:p>
    <w:p w14:paraId="7B1E6C02" w14:textId="77777777" w:rsidR="007968EC" w:rsidRPr="002C0D19" w:rsidRDefault="007968EC" w:rsidP="007968EC">
      <w:pPr>
        <w:ind w:left="426"/>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Donde:</w:t>
      </w:r>
    </w:p>
    <w:p w14:paraId="59228615" w14:textId="77777777" w:rsidR="007968EC" w:rsidRPr="002C0D19" w:rsidRDefault="007968EC" w:rsidP="007968EC">
      <w:pPr>
        <w:ind w:left="426"/>
        <w:jc w:val="both"/>
        <w:rPr>
          <w:rFonts w:ascii="Arial Narrow" w:hAnsi="Arial Narrow" w:cs="Arial"/>
          <w:color w:val="000000" w:themeColor="text1"/>
          <w:lang w:eastAsia="es-CO"/>
        </w:rPr>
      </w:pPr>
    </w:p>
    <w:p w14:paraId="1C7EA920" w14:textId="77777777" w:rsidR="007968EC" w:rsidRPr="002C0D19" w:rsidRDefault="007968EC" w:rsidP="007968EC">
      <w:pPr>
        <w:ind w:left="426"/>
        <w:jc w:val="both"/>
        <w:rPr>
          <w:rFonts w:ascii="Arial Narrow" w:hAnsi="Arial Narrow" w:cs="Arial"/>
          <w:color w:val="000000" w:themeColor="text1"/>
          <w:lang w:eastAsia="es-CO"/>
        </w:rPr>
      </w:pPr>
      <m:oMath>
        <m:r>
          <m:rPr>
            <m:sty m:val="b"/>
          </m:rPr>
          <w:rPr>
            <w:rFonts w:ascii="Cambria Math" w:hAnsi="Cambria Math" w:cs="Arial"/>
            <w:color w:val="000000" w:themeColor="text1"/>
            <w:lang w:eastAsia="es-CO"/>
          </w:rPr>
          <m:t>GPTIT</m:t>
        </m:r>
      </m:oMath>
      <w:r w:rsidRPr="002C0D19">
        <w:rPr>
          <w:rFonts w:ascii="Arial Narrow" w:hAnsi="Arial Narrow" w:cs="Arial"/>
          <w:color w:val="000000" w:themeColor="text1"/>
          <w:lang w:eastAsia="es-CO"/>
        </w:rPr>
        <w:t xml:space="preserve">: Garantías por Posición depositadas. </w:t>
      </w:r>
    </w:p>
    <w:p w14:paraId="422AEDC4" w14:textId="77777777" w:rsidR="007968EC" w:rsidRPr="002C0D19" w:rsidRDefault="007968EC" w:rsidP="007968EC">
      <w:pPr>
        <w:ind w:left="426"/>
        <w:jc w:val="both"/>
        <w:rPr>
          <w:rFonts w:ascii="Arial Narrow" w:hAnsi="Arial Narrow" w:cs="Arial"/>
          <w:color w:val="000000" w:themeColor="text1"/>
          <w:lang w:eastAsia="es-CO"/>
        </w:rPr>
      </w:pPr>
    </w:p>
    <w:p w14:paraId="03F05A70" w14:textId="77777777" w:rsidR="007968EC" w:rsidRPr="002C0D19" w:rsidRDefault="00682D97" w:rsidP="007968EC">
      <w:pPr>
        <w:ind w:left="426"/>
        <w:jc w:val="both"/>
        <w:rPr>
          <w:rFonts w:ascii="Arial Narrow" w:hAnsi="Arial Narrow" w:cs="Arial"/>
          <w:color w:val="000000" w:themeColor="text1"/>
          <w:lang w:eastAsia="es-CO"/>
        </w:rPr>
      </w:pP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GDPTIT</m:t>
            </m:r>
          </m:e>
          <m:sub>
            <m:r>
              <m:rPr>
                <m:sty m:val="b"/>
              </m:rPr>
              <w:rPr>
                <w:rFonts w:ascii="Cambria Math" w:hAnsi="Cambria Math" w:cs="Arial"/>
                <w:color w:val="000000" w:themeColor="text1"/>
                <w:lang w:eastAsia="es-CO"/>
              </w:rPr>
              <m:t>PMC</m:t>
            </m:r>
          </m:sub>
        </m:sSub>
        <m:r>
          <m:rPr>
            <m:sty m:val="b"/>
          </m:rPr>
          <w:rPr>
            <w:rFonts w:ascii="Cambria Math" w:hAnsi="Cambria Math" w:cs="Arial"/>
            <w:color w:val="000000" w:themeColor="text1"/>
            <w:lang w:eastAsia="es-CO"/>
          </w:rPr>
          <m:t xml:space="preserve"> </m:t>
        </m:r>
      </m:oMath>
      <w:r w:rsidR="007968EC" w:rsidRPr="002C0D19">
        <w:rPr>
          <w:rFonts w:ascii="Arial Narrow" w:hAnsi="Arial Narrow" w:cs="Arial"/>
          <w:color w:val="000000" w:themeColor="text1"/>
          <w:lang w:eastAsia="es-CO"/>
        </w:rPr>
        <w:t>(Garantía por Posición exigida a Precio de Margin Call): Valor calculado según el procedimiento de cálculo de Garantías por Posición según el Modelo MEFFCOM2, utilizando en lugar del Último precio el Precio de Margin Call (</w:t>
      </w:r>
      <m:oMath>
        <m:r>
          <m:rPr>
            <m:sty m:val="b"/>
          </m:rPr>
          <w:rPr>
            <w:rFonts w:ascii="Cambria Math" w:hAnsi="Cambria Math" w:cs="Arial"/>
            <w:color w:val="000000" w:themeColor="text1"/>
            <w:lang w:eastAsia="es-CO"/>
          </w:rPr>
          <m:t xml:space="preserve">PMC) </m:t>
        </m:r>
      </m:oMath>
      <w:r w:rsidR="007968EC" w:rsidRPr="002C0D19">
        <w:rPr>
          <w:rFonts w:ascii="Arial Narrow" w:hAnsi="Arial Narrow" w:cs="Arial"/>
          <w:color w:val="000000" w:themeColor="text1"/>
          <w:lang w:eastAsia="es-CO"/>
        </w:rPr>
        <w:t xml:space="preserve">establecido para cada vencimiento de un Activo o Activo objeto de una Operación compensada o liquidada por la Cámara </w:t>
      </w:r>
    </w:p>
    <w:p w14:paraId="36CA332F" w14:textId="77777777" w:rsidR="007968EC" w:rsidRPr="002C0D19" w:rsidRDefault="007968EC" w:rsidP="007968EC">
      <w:pPr>
        <w:ind w:left="426"/>
        <w:jc w:val="both"/>
        <w:rPr>
          <w:rFonts w:ascii="Arial Narrow" w:hAnsi="Arial Narrow" w:cs="Arial"/>
          <w:color w:val="000000" w:themeColor="text1"/>
          <w:lang w:eastAsia="es-CO"/>
        </w:rPr>
      </w:pPr>
    </w:p>
    <w:p w14:paraId="061A6A45" w14:textId="77777777" w:rsidR="007968EC" w:rsidRPr="002C0D19" w:rsidRDefault="00682D97" w:rsidP="007968EC">
      <w:pPr>
        <w:ind w:left="426"/>
        <w:jc w:val="both"/>
        <w:rPr>
          <w:rFonts w:ascii="Arial Narrow" w:hAnsi="Arial Narrow" w:cs="Arial"/>
          <w:color w:val="000000" w:themeColor="text1"/>
          <w:lang w:eastAsia="es-CO"/>
        </w:rPr>
      </w:pPr>
      <m:oMath>
        <m:sSub>
          <m:sSubPr>
            <m:ctrlPr>
              <w:rPr>
                <w:rFonts w:ascii="Cambria Math" w:hAnsi="Cambria Math" w:cs="Arial"/>
                <w:color w:val="000000" w:themeColor="text1"/>
                <w:lang w:eastAsia="es-CO"/>
              </w:rPr>
            </m:ctrlPr>
          </m:sSubPr>
          <m:e>
            <m:r>
              <m:rPr>
                <m:sty m:val="b"/>
              </m:rPr>
              <w:rPr>
                <w:rFonts w:ascii="Cambria Math" w:hAnsi="Cambria Math" w:cs="Arial"/>
                <w:color w:val="000000" w:themeColor="text1"/>
                <w:lang w:eastAsia="es-CO"/>
              </w:rPr>
              <m:t>Liq</m:t>
            </m:r>
          </m:e>
          <m:sub>
            <m:r>
              <m:rPr>
                <m:sty m:val="b"/>
              </m:rPr>
              <w:rPr>
                <w:rFonts w:ascii="Cambria Math" w:hAnsi="Cambria Math" w:cs="Arial"/>
                <w:color w:val="000000" w:themeColor="text1"/>
                <w:lang w:eastAsia="es-CO"/>
              </w:rPr>
              <m:t>PMC</m:t>
            </m:r>
          </m:sub>
        </m:sSub>
      </m:oMath>
      <w:r w:rsidR="007968EC" w:rsidRPr="002C0D19">
        <w:rPr>
          <w:rFonts w:ascii="Arial Narrow" w:hAnsi="Arial Narrow" w:cs="Arial"/>
          <w:color w:val="000000" w:themeColor="text1"/>
          <w:lang w:eastAsia="es-CO"/>
        </w:rPr>
        <w:t xml:space="preserve"> (Liquidación por Posición a Precio de Margin Call): Valor calculado según el procedimiento de ajuste diario a precio de liquidación descrito en la presente Circular Única de Cámara, utilizando en lugar del Precio de Liquidación el Precio de Margin Call (</w:t>
      </w:r>
      <m:oMath>
        <m:r>
          <m:rPr>
            <m:sty m:val="b"/>
          </m:rPr>
          <w:rPr>
            <w:rFonts w:ascii="Cambria Math" w:hAnsi="Cambria Math" w:cs="Arial"/>
            <w:color w:val="000000" w:themeColor="text1"/>
            <w:lang w:eastAsia="es-CO"/>
          </w:rPr>
          <m:t>PMC)</m:t>
        </m:r>
      </m:oMath>
      <w:r w:rsidR="007968EC" w:rsidRPr="002C0D19">
        <w:rPr>
          <w:rFonts w:ascii="Arial Narrow" w:hAnsi="Arial Narrow" w:cs="Arial"/>
          <w:color w:val="000000" w:themeColor="text1"/>
          <w:lang w:eastAsia="es-CO"/>
        </w:rPr>
        <w:t xml:space="preserve"> establecido para cada vencimiento de un Activo o Activo objeto de la Operación compensada y liquidada por la Cámara, cuando aplique de acuerdo con su Tipo de Liquidación. </w:t>
      </w:r>
    </w:p>
    <w:p w14:paraId="3E6B8486" w14:textId="77777777" w:rsidR="007968EC" w:rsidRPr="002C0D19" w:rsidRDefault="007968EC" w:rsidP="007968EC">
      <w:pPr>
        <w:ind w:left="284"/>
        <w:jc w:val="both"/>
        <w:rPr>
          <w:rFonts w:ascii="Arial Narrow" w:hAnsi="Arial Narrow" w:cs="Arial"/>
          <w:color w:val="000000" w:themeColor="text1"/>
          <w:lang w:eastAsia="es-CO"/>
        </w:rPr>
      </w:pPr>
    </w:p>
    <w:p w14:paraId="3DC7F002" w14:textId="77777777" w:rsidR="007968EC" w:rsidRDefault="007968EC" w:rsidP="007968EC">
      <w:pPr>
        <w:jc w:val="both"/>
        <w:rPr>
          <w:rFonts w:ascii="Arial Narrow" w:eastAsia="Calibri" w:hAnsi="Arial Narrow"/>
        </w:rPr>
      </w:pPr>
      <w:r w:rsidRPr="002C0D19">
        <w:rPr>
          <w:rFonts w:ascii="Arial Narrow" w:hAnsi="Arial Narrow" w:cs="Arial"/>
          <w:color w:val="000000" w:themeColor="text1"/>
          <w:lang w:val="es-ES" w:eastAsia="es-ES"/>
        </w:rPr>
        <w:t>La Cámara comunicará al Miembro Liquidador por correo electrónico o vía telefónica el valor de la Garantía Extraordinaria que deberá constituir en un plazo no superior a una (1) hora contado a partir de la hora de envío del correo electrónico o de la hora de la comunicación telefónica, según el caso.</w:t>
      </w:r>
    </w:p>
    <w:p w14:paraId="3A4F42B6" w14:textId="77777777" w:rsidR="007968EC" w:rsidRDefault="007968EC" w:rsidP="007968EC">
      <w:pPr>
        <w:jc w:val="both"/>
        <w:rPr>
          <w:rFonts w:ascii="Arial Narrow" w:eastAsia="Calibri" w:hAnsi="Arial Narrow"/>
        </w:rPr>
      </w:pPr>
    </w:p>
    <w:p w14:paraId="0DBF0C9F" w14:textId="77777777" w:rsidR="007968EC" w:rsidRPr="002C0D19" w:rsidRDefault="007968EC" w:rsidP="007968EC">
      <w:pPr>
        <w:pStyle w:val="ARTICULO0"/>
      </w:pPr>
      <w:bookmarkStart w:id="6205" w:name="_Toc490066739"/>
      <w:bookmarkStart w:id="6206" w:name="_Toc31716422"/>
      <w:r>
        <w:t>Artículo 4.5.3.3</w:t>
      </w:r>
      <w:r w:rsidRPr="002C0D19">
        <w:t>. Fluctuaciones de estrés para cálculo del riesgo en situación de estrés.</w:t>
      </w:r>
      <w:bookmarkEnd w:id="6205"/>
      <w:bookmarkEnd w:id="6206"/>
    </w:p>
    <w:p w14:paraId="7553F4B1" w14:textId="77777777" w:rsidR="007968EC" w:rsidRPr="00162F8E" w:rsidRDefault="007968EC" w:rsidP="007968EC">
      <w:pPr>
        <w:jc w:val="both"/>
        <w:rPr>
          <w:rFonts w:ascii="Arial Narrow" w:hAnsi="Arial Narrow" w:cs="Arial"/>
          <w:lang w:val="es-ES" w:eastAsia="es-ES"/>
        </w:rPr>
      </w:pPr>
    </w:p>
    <w:p w14:paraId="30DF2EB3" w14:textId="77777777" w:rsidR="007968EC" w:rsidRPr="00162F8E" w:rsidRDefault="007968EC" w:rsidP="007968EC">
      <w:pPr>
        <w:jc w:val="both"/>
        <w:rPr>
          <w:rFonts w:ascii="Arial Narrow" w:hAnsi="Arial Narrow" w:cs="Arial"/>
          <w:b/>
          <w:i/>
          <w:lang w:val="es-ES" w:eastAsia="es-ES"/>
        </w:rPr>
      </w:pPr>
      <w:r w:rsidRPr="00162F8E">
        <w:rPr>
          <w:rFonts w:ascii="Arial Narrow" w:hAnsi="Arial Narrow" w:cs="Arial"/>
          <w:b/>
          <w:i/>
          <w:lang w:val="es-ES" w:eastAsia="es-ES"/>
        </w:rPr>
        <w:t xml:space="preserve">(Este artículo fue renumerado mediante Circular 6 del 24 de abril de 2018, publicada en el Boletín Normativo </w:t>
      </w:r>
      <w:r>
        <w:rPr>
          <w:rFonts w:ascii="Arial Narrow" w:hAnsi="Arial Narrow" w:cs="Arial"/>
          <w:b/>
          <w:i/>
          <w:lang w:val="es-ES" w:eastAsia="es-ES"/>
        </w:rPr>
        <w:t xml:space="preserve">No. 009 del 24 de abril de 2018, modificado mediante Circular 9 del 14 de junio de 2018, publicada en el Boletín Normativo No. 012 del 14 de junio de 2018 </w:t>
      </w:r>
      <w:r w:rsidRPr="006F552E">
        <w:rPr>
          <w:rFonts w:ascii="Arial Narrow" w:hAnsi="Arial Narrow" w:cs="Arial"/>
          <w:b/>
          <w:i/>
          <w:lang w:val="es-ES" w:eastAsia="es-ES"/>
        </w:rPr>
        <w:t>y mediante Circular 16 del 26 de diciembre de 2018, publicada en el Boletín Normativo No. 029 del 26 de diciembre de 2018. Rige a partir del 27 de diciembre de 2018.</w:t>
      </w:r>
      <w:r>
        <w:rPr>
          <w:rFonts w:ascii="Arial Narrow" w:hAnsi="Arial Narrow" w:cs="Arial"/>
          <w:b/>
          <w:i/>
          <w:lang w:val="es-ES" w:eastAsia="es-ES"/>
        </w:rPr>
        <w:t>)</w:t>
      </w:r>
    </w:p>
    <w:p w14:paraId="7D0F615D" w14:textId="77777777" w:rsidR="007968EC" w:rsidRPr="00162F8E" w:rsidRDefault="007968EC" w:rsidP="007968EC">
      <w:pPr>
        <w:jc w:val="both"/>
        <w:rPr>
          <w:rFonts w:ascii="Arial Narrow" w:hAnsi="Arial Narrow" w:cs="Arial"/>
          <w:lang w:val="es-ES" w:eastAsia="es-ES"/>
        </w:rPr>
      </w:pPr>
    </w:p>
    <w:p w14:paraId="521732E8" w14:textId="77777777" w:rsidR="007968EC" w:rsidRPr="006F3194" w:rsidRDefault="007968EC" w:rsidP="007968EC">
      <w:pPr>
        <w:jc w:val="both"/>
        <w:rPr>
          <w:rFonts w:ascii="Arial Narrow" w:hAnsi="Arial Narrow" w:cs="Arial"/>
          <w:lang w:val="es-ES" w:eastAsia="es-ES"/>
        </w:rPr>
      </w:pPr>
      <w:r w:rsidRPr="006F3194">
        <w:rPr>
          <w:rFonts w:ascii="Arial Narrow" w:hAnsi="Arial Narrow" w:cs="Arial"/>
          <w:lang w:val="es-ES" w:eastAsia="es-ES"/>
        </w:rPr>
        <w:t xml:space="preserve">Para realizar el cálculo del riesgo en situación de estrés </w:t>
      </w:r>
      <w:r w:rsidRPr="006F3194">
        <w:rPr>
          <w:rFonts w:ascii="Arial Narrow" w:eastAsia="Calibri" w:hAnsi="Arial Narrow"/>
        </w:rPr>
        <w:t xml:space="preserve">para los Activos elegibles para Operaciones Repo pertenecientes al Segmento de Renta Variable </w:t>
      </w:r>
      <w:r w:rsidRPr="006F3194">
        <w:rPr>
          <w:rFonts w:ascii="Arial Narrow" w:hAnsi="Arial Narrow" w:cs="Arial"/>
          <w:lang w:val="es-ES" w:eastAsia="es-ES"/>
        </w:rPr>
        <w:t>de acuerdo con lo definido en el artículo 1.6.2.9. de la presente Circular se utilizarán los siguientes parámetros:</w:t>
      </w:r>
    </w:p>
    <w:p w14:paraId="5F08CD83" w14:textId="77777777" w:rsidR="007968EC" w:rsidRPr="006F3194" w:rsidRDefault="007968EC" w:rsidP="007968EC">
      <w:pPr>
        <w:jc w:val="both"/>
        <w:rPr>
          <w:rFonts w:ascii="Arial Narrow" w:eastAsia="Calibri" w:hAnsi="Arial Narrow"/>
          <w:b/>
        </w:rPr>
      </w:pPr>
    </w:p>
    <w:tbl>
      <w:tblPr>
        <w:tblW w:w="5380" w:type="dxa"/>
        <w:jc w:val="center"/>
        <w:tblCellMar>
          <w:left w:w="70" w:type="dxa"/>
          <w:right w:w="70" w:type="dxa"/>
        </w:tblCellMar>
        <w:tblLook w:val="04A0" w:firstRow="1" w:lastRow="0" w:firstColumn="1" w:lastColumn="0" w:noHBand="0" w:noVBand="1"/>
      </w:tblPr>
      <w:tblGrid>
        <w:gridCol w:w="3620"/>
        <w:gridCol w:w="1760"/>
      </w:tblGrid>
      <w:tr w:rsidR="007968EC" w:rsidRPr="006F552E" w14:paraId="60B4EAE1" w14:textId="77777777" w:rsidTr="007968EC">
        <w:trPr>
          <w:trHeight w:val="360"/>
          <w:jc w:val="center"/>
        </w:trPr>
        <w:tc>
          <w:tcPr>
            <w:tcW w:w="3620" w:type="dxa"/>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6FC1159F" w14:textId="77777777" w:rsidR="007968EC" w:rsidRPr="006F552E" w:rsidRDefault="007968EC" w:rsidP="007968EC">
            <w:pPr>
              <w:jc w:val="center"/>
              <w:rPr>
                <w:rFonts w:ascii="Arial Narrow" w:hAnsi="Arial Narrow"/>
                <w:color w:val="000000"/>
                <w:lang w:eastAsia="es-CO"/>
              </w:rPr>
            </w:pPr>
            <w:r w:rsidRPr="006F552E">
              <w:rPr>
                <w:rFonts w:ascii="Arial Narrow" w:hAnsi="Arial Narrow"/>
                <w:color w:val="000000"/>
                <w:lang w:eastAsia="es-CO"/>
              </w:rPr>
              <w:t xml:space="preserve">Operación Repo sobre </w:t>
            </w:r>
            <w:r w:rsidRPr="006F552E">
              <w:rPr>
                <w:rFonts w:ascii="Arial Narrow" w:eastAsia="Calibri" w:hAnsi="Arial Narrow"/>
                <w:color w:val="000000"/>
                <w:lang w:eastAsia="es-CO"/>
              </w:rPr>
              <w:t>Valores de Renta Variable</w:t>
            </w:r>
          </w:p>
        </w:tc>
        <w:tc>
          <w:tcPr>
            <w:tcW w:w="1760" w:type="dxa"/>
            <w:tcBorders>
              <w:top w:val="single" w:sz="8" w:space="0" w:color="auto"/>
              <w:left w:val="nil"/>
              <w:bottom w:val="single" w:sz="8" w:space="0" w:color="000000"/>
              <w:right w:val="single" w:sz="8" w:space="0" w:color="auto"/>
            </w:tcBorders>
            <w:shd w:val="clear" w:color="000000" w:fill="FFFFFF"/>
            <w:noWrap/>
            <w:vAlign w:val="center"/>
            <w:hideMark/>
          </w:tcPr>
          <w:p w14:paraId="5D675857" w14:textId="77777777" w:rsidR="007968EC" w:rsidRPr="006F552E" w:rsidRDefault="007968EC" w:rsidP="007968EC">
            <w:pPr>
              <w:jc w:val="center"/>
              <w:rPr>
                <w:rFonts w:ascii="Arial Narrow" w:hAnsi="Arial Narrow"/>
                <w:color w:val="000000"/>
                <w:lang w:eastAsia="es-CO"/>
              </w:rPr>
            </w:pPr>
            <w:r w:rsidRPr="006F552E">
              <w:rPr>
                <w:rFonts w:ascii="Arial Narrow" w:hAnsi="Arial Narrow"/>
                <w:color w:val="000000"/>
                <w:lang w:eastAsia="es-CO"/>
              </w:rPr>
              <w:t>Fluctuación Estrés</w:t>
            </w:r>
          </w:p>
        </w:tc>
      </w:tr>
      <w:tr w:rsidR="007968EC" w:rsidRPr="006F552E" w14:paraId="63851E98" w14:textId="77777777" w:rsidTr="007968EC">
        <w:trPr>
          <w:trHeight w:val="345"/>
          <w:jc w:val="center"/>
        </w:trPr>
        <w:tc>
          <w:tcPr>
            <w:tcW w:w="3620" w:type="dxa"/>
            <w:tcBorders>
              <w:top w:val="nil"/>
              <w:left w:val="single" w:sz="8" w:space="0" w:color="auto"/>
              <w:bottom w:val="single" w:sz="8" w:space="0" w:color="auto"/>
              <w:right w:val="single" w:sz="8" w:space="0" w:color="auto"/>
            </w:tcBorders>
            <w:shd w:val="clear" w:color="000000" w:fill="FFFFFF"/>
            <w:noWrap/>
            <w:vAlign w:val="center"/>
            <w:hideMark/>
          </w:tcPr>
          <w:p w14:paraId="17A39B73" w14:textId="77777777" w:rsidR="007968EC" w:rsidRPr="006F552E" w:rsidRDefault="007968EC" w:rsidP="007968EC">
            <w:pPr>
              <w:jc w:val="center"/>
              <w:rPr>
                <w:rFonts w:ascii="Arial Narrow" w:hAnsi="Arial Narrow"/>
                <w:color w:val="000000"/>
                <w:lang w:eastAsia="es-CO"/>
              </w:rPr>
            </w:pPr>
            <w:r w:rsidRPr="006F552E">
              <w:rPr>
                <w:rFonts w:ascii="Arial Narrow" w:eastAsia="Calibri" w:hAnsi="Arial Narrow"/>
                <w:lang w:eastAsia="es-CO"/>
              </w:rPr>
              <w:t xml:space="preserve">ACCIÓN </w:t>
            </w:r>
            <w:r w:rsidRPr="006F552E">
              <w:rPr>
                <w:rFonts w:ascii="Arial Narrow" w:hAnsi="Arial Narrow"/>
                <w:color w:val="000000"/>
                <w:lang w:eastAsia="es-CO"/>
              </w:rPr>
              <w:t>PREFERENCIAL BANCOLOMBIA</w:t>
            </w:r>
          </w:p>
        </w:tc>
        <w:tc>
          <w:tcPr>
            <w:tcW w:w="1760" w:type="dxa"/>
            <w:tcBorders>
              <w:top w:val="nil"/>
              <w:left w:val="nil"/>
              <w:bottom w:val="single" w:sz="8" w:space="0" w:color="auto"/>
              <w:right w:val="single" w:sz="8" w:space="0" w:color="auto"/>
            </w:tcBorders>
            <w:shd w:val="clear" w:color="000000" w:fill="FFFFFF"/>
            <w:noWrap/>
            <w:vAlign w:val="center"/>
            <w:hideMark/>
          </w:tcPr>
          <w:p w14:paraId="7A8F38DB" w14:textId="77777777" w:rsidR="007968EC" w:rsidRPr="006F552E" w:rsidRDefault="007968EC" w:rsidP="007968EC">
            <w:pPr>
              <w:jc w:val="center"/>
              <w:rPr>
                <w:rFonts w:ascii="Arial Narrow" w:hAnsi="Arial Narrow"/>
                <w:color w:val="000000"/>
                <w:lang w:eastAsia="es-CO"/>
              </w:rPr>
            </w:pPr>
            <w:r w:rsidRPr="006F552E">
              <w:rPr>
                <w:rFonts w:ascii="Arial Narrow" w:hAnsi="Arial Narrow"/>
                <w:color w:val="000000"/>
                <w:lang w:eastAsia="es-CO"/>
              </w:rPr>
              <w:t>20.00%</w:t>
            </w:r>
          </w:p>
        </w:tc>
      </w:tr>
      <w:tr w:rsidR="007968EC" w:rsidRPr="006F552E" w14:paraId="514289FA" w14:textId="77777777" w:rsidTr="007968EC">
        <w:trPr>
          <w:trHeight w:val="345"/>
          <w:jc w:val="center"/>
        </w:trPr>
        <w:tc>
          <w:tcPr>
            <w:tcW w:w="3620" w:type="dxa"/>
            <w:tcBorders>
              <w:top w:val="nil"/>
              <w:left w:val="single" w:sz="8" w:space="0" w:color="auto"/>
              <w:bottom w:val="single" w:sz="8" w:space="0" w:color="auto"/>
              <w:right w:val="single" w:sz="8" w:space="0" w:color="auto"/>
            </w:tcBorders>
            <w:shd w:val="clear" w:color="000000" w:fill="FFFFFF"/>
            <w:noWrap/>
            <w:vAlign w:val="center"/>
          </w:tcPr>
          <w:p w14:paraId="04F3A2EF" w14:textId="77777777" w:rsidR="007968EC" w:rsidRPr="006F552E" w:rsidRDefault="007968EC" w:rsidP="007968EC">
            <w:pPr>
              <w:jc w:val="center"/>
              <w:rPr>
                <w:rFonts w:ascii="Arial Narrow" w:hAnsi="Arial Narrow"/>
                <w:color w:val="000000"/>
                <w:lang w:eastAsia="es-CO"/>
              </w:rPr>
            </w:pPr>
            <w:r w:rsidRPr="006F552E">
              <w:rPr>
                <w:rFonts w:ascii="Arial Narrow" w:hAnsi="Arial Narrow"/>
                <w:color w:val="000000"/>
                <w:lang w:eastAsia="es-CO"/>
              </w:rPr>
              <w:t>ACCIÓN ECOPETROL</w:t>
            </w:r>
          </w:p>
        </w:tc>
        <w:tc>
          <w:tcPr>
            <w:tcW w:w="1760" w:type="dxa"/>
            <w:tcBorders>
              <w:top w:val="nil"/>
              <w:left w:val="nil"/>
              <w:bottom w:val="single" w:sz="8" w:space="0" w:color="auto"/>
              <w:right w:val="single" w:sz="8" w:space="0" w:color="auto"/>
            </w:tcBorders>
            <w:shd w:val="clear" w:color="000000" w:fill="FFFFFF"/>
            <w:noWrap/>
            <w:vAlign w:val="center"/>
          </w:tcPr>
          <w:p w14:paraId="11BE6C04" w14:textId="77777777" w:rsidR="007968EC" w:rsidRPr="006F552E" w:rsidRDefault="007968EC" w:rsidP="007968EC">
            <w:pPr>
              <w:jc w:val="center"/>
              <w:rPr>
                <w:rFonts w:ascii="Arial Narrow" w:hAnsi="Arial Narrow"/>
                <w:color w:val="000000"/>
                <w:lang w:eastAsia="es-CO"/>
              </w:rPr>
            </w:pPr>
            <w:r w:rsidRPr="006F552E">
              <w:rPr>
                <w:rFonts w:ascii="Arial Narrow" w:hAnsi="Arial Narrow"/>
                <w:color w:val="000000"/>
                <w:lang w:eastAsia="es-CO"/>
              </w:rPr>
              <w:t>19.00%</w:t>
            </w:r>
          </w:p>
        </w:tc>
      </w:tr>
      <w:tr w:rsidR="007968EC" w:rsidRPr="006F552E" w14:paraId="19CA3B17" w14:textId="77777777" w:rsidTr="007968EC">
        <w:trPr>
          <w:trHeight w:val="360"/>
          <w:jc w:val="center"/>
        </w:trPr>
        <w:tc>
          <w:tcPr>
            <w:tcW w:w="3620" w:type="dxa"/>
            <w:tcBorders>
              <w:top w:val="nil"/>
              <w:left w:val="single" w:sz="8" w:space="0" w:color="auto"/>
              <w:bottom w:val="single" w:sz="8" w:space="0" w:color="auto"/>
              <w:right w:val="single" w:sz="8" w:space="0" w:color="auto"/>
            </w:tcBorders>
            <w:shd w:val="clear" w:color="000000" w:fill="FFFFFF"/>
            <w:noWrap/>
            <w:vAlign w:val="center"/>
            <w:hideMark/>
          </w:tcPr>
          <w:p w14:paraId="00B42254" w14:textId="77777777" w:rsidR="007968EC" w:rsidRPr="006F552E" w:rsidRDefault="007968EC" w:rsidP="007968EC">
            <w:pPr>
              <w:jc w:val="center"/>
              <w:rPr>
                <w:rFonts w:ascii="Arial Narrow" w:hAnsi="Arial Narrow"/>
                <w:color w:val="000000"/>
                <w:lang w:eastAsia="es-CO"/>
              </w:rPr>
            </w:pPr>
            <w:r w:rsidRPr="006F552E">
              <w:rPr>
                <w:rFonts w:ascii="Arial Narrow" w:eastAsia="Calibri" w:hAnsi="Arial Narrow"/>
                <w:lang w:eastAsia="es-CO"/>
              </w:rPr>
              <w:t xml:space="preserve">ACCIÓN </w:t>
            </w:r>
            <w:r w:rsidRPr="006F552E">
              <w:rPr>
                <w:rFonts w:ascii="Arial Narrow" w:hAnsi="Arial Narrow"/>
                <w:color w:val="000000"/>
                <w:lang w:eastAsia="es-CO"/>
              </w:rPr>
              <w:t>ISA</w:t>
            </w:r>
          </w:p>
        </w:tc>
        <w:tc>
          <w:tcPr>
            <w:tcW w:w="1760" w:type="dxa"/>
            <w:tcBorders>
              <w:top w:val="nil"/>
              <w:left w:val="nil"/>
              <w:bottom w:val="single" w:sz="8" w:space="0" w:color="000000"/>
              <w:right w:val="single" w:sz="8" w:space="0" w:color="auto"/>
            </w:tcBorders>
            <w:shd w:val="clear" w:color="000000" w:fill="FFFFFF"/>
            <w:noWrap/>
            <w:vAlign w:val="center"/>
            <w:hideMark/>
          </w:tcPr>
          <w:p w14:paraId="19959037" w14:textId="77777777" w:rsidR="007968EC" w:rsidRPr="006F552E" w:rsidRDefault="007968EC" w:rsidP="007968EC">
            <w:pPr>
              <w:jc w:val="center"/>
              <w:rPr>
                <w:rFonts w:ascii="Arial Narrow" w:hAnsi="Arial Narrow"/>
                <w:color w:val="000000"/>
                <w:lang w:eastAsia="es-CO"/>
              </w:rPr>
            </w:pPr>
            <w:r w:rsidRPr="006F552E">
              <w:rPr>
                <w:rFonts w:ascii="Arial Narrow" w:hAnsi="Arial Narrow"/>
                <w:color w:val="000000"/>
                <w:lang w:eastAsia="es-CO"/>
              </w:rPr>
              <w:t>26.00%</w:t>
            </w:r>
          </w:p>
        </w:tc>
      </w:tr>
      <w:tr w:rsidR="007968EC" w:rsidRPr="006F552E" w14:paraId="5094C7E7" w14:textId="77777777" w:rsidTr="007968EC">
        <w:trPr>
          <w:trHeight w:val="345"/>
          <w:jc w:val="center"/>
        </w:trPr>
        <w:tc>
          <w:tcPr>
            <w:tcW w:w="3620" w:type="dxa"/>
            <w:tcBorders>
              <w:top w:val="nil"/>
              <w:left w:val="single" w:sz="8" w:space="0" w:color="auto"/>
              <w:bottom w:val="single" w:sz="8" w:space="0" w:color="auto"/>
              <w:right w:val="single" w:sz="8" w:space="0" w:color="auto"/>
            </w:tcBorders>
            <w:shd w:val="clear" w:color="000000" w:fill="FFFFFF"/>
            <w:noWrap/>
            <w:vAlign w:val="center"/>
            <w:hideMark/>
          </w:tcPr>
          <w:p w14:paraId="7E49ADAB" w14:textId="77777777" w:rsidR="007968EC" w:rsidRPr="006F552E" w:rsidRDefault="007968EC" w:rsidP="007968EC">
            <w:pPr>
              <w:jc w:val="center"/>
              <w:rPr>
                <w:rFonts w:ascii="Arial Narrow" w:hAnsi="Arial Narrow"/>
                <w:color w:val="000000"/>
                <w:lang w:eastAsia="es-CO"/>
              </w:rPr>
            </w:pPr>
            <w:r w:rsidRPr="006F552E">
              <w:rPr>
                <w:rFonts w:ascii="Arial Narrow" w:eastAsia="Calibri" w:hAnsi="Arial Narrow"/>
                <w:lang w:eastAsia="es-CO"/>
              </w:rPr>
              <w:lastRenderedPageBreak/>
              <w:t xml:space="preserve">ACCIÓN </w:t>
            </w:r>
            <w:r w:rsidRPr="006F552E">
              <w:rPr>
                <w:rFonts w:ascii="Arial Narrow" w:hAnsi="Arial Narrow"/>
                <w:color w:val="000000"/>
                <w:lang w:eastAsia="es-CO"/>
              </w:rPr>
              <w:t>NUTRESA</w:t>
            </w:r>
          </w:p>
        </w:tc>
        <w:tc>
          <w:tcPr>
            <w:tcW w:w="1760" w:type="dxa"/>
            <w:tcBorders>
              <w:top w:val="nil"/>
              <w:left w:val="nil"/>
              <w:bottom w:val="single" w:sz="8" w:space="0" w:color="auto"/>
              <w:right w:val="single" w:sz="8" w:space="0" w:color="auto"/>
            </w:tcBorders>
            <w:shd w:val="clear" w:color="000000" w:fill="FFFFFF"/>
            <w:noWrap/>
            <w:vAlign w:val="center"/>
            <w:hideMark/>
          </w:tcPr>
          <w:p w14:paraId="6B98662D" w14:textId="77777777" w:rsidR="007968EC" w:rsidRPr="006F552E" w:rsidRDefault="007968EC" w:rsidP="007968EC">
            <w:pPr>
              <w:jc w:val="center"/>
              <w:rPr>
                <w:rFonts w:ascii="Arial Narrow" w:hAnsi="Arial Narrow"/>
                <w:color w:val="000000"/>
                <w:lang w:eastAsia="es-CO"/>
              </w:rPr>
            </w:pPr>
            <w:r w:rsidRPr="006F552E">
              <w:rPr>
                <w:rFonts w:ascii="Arial Narrow" w:hAnsi="Arial Narrow"/>
                <w:color w:val="000000"/>
                <w:lang w:eastAsia="es-CO"/>
              </w:rPr>
              <w:t>27.00%</w:t>
            </w:r>
          </w:p>
        </w:tc>
      </w:tr>
      <w:tr w:rsidR="007968EC" w:rsidRPr="006F552E" w14:paraId="7EE55FAB" w14:textId="77777777" w:rsidTr="007968EC">
        <w:trPr>
          <w:trHeight w:val="360"/>
          <w:jc w:val="center"/>
        </w:trPr>
        <w:tc>
          <w:tcPr>
            <w:tcW w:w="3620" w:type="dxa"/>
            <w:tcBorders>
              <w:top w:val="nil"/>
              <w:left w:val="single" w:sz="8" w:space="0" w:color="auto"/>
              <w:bottom w:val="single" w:sz="8" w:space="0" w:color="auto"/>
              <w:right w:val="single" w:sz="8" w:space="0" w:color="auto"/>
            </w:tcBorders>
            <w:shd w:val="clear" w:color="000000" w:fill="FFFFFF"/>
            <w:noWrap/>
            <w:vAlign w:val="center"/>
            <w:hideMark/>
          </w:tcPr>
          <w:p w14:paraId="76C5D6FC" w14:textId="77777777" w:rsidR="007968EC" w:rsidRPr="006F552E" w:rsidRDefault="007968EC" w:rsidP="007968EC">
            <w:pPr>
              <w:jc w:val="center"/>
              <w:rPr>
                <w:rFonts w:ascii="Arial Narrow" w:hAnsi="Arial Narrow"/>
                <w:color w:val="000000"/>
                <w:lang w:eastAsia="es-CO"/>
              </w:rPr>
            </w:pPr>
            <w:r w:rsidRPr="006F552E">
              <w:rPr>
                <w:rFonts w:ascii="Arial Narrow" w:eastAsia="Calibri" w:hAnsi="Arial Narrow"/>
                <w:lang w:eastAsia="es-CO"/>
              </w:rPr>
              <w:t xml:space="preserve">ACCIÓN </w:t>
            </w:r>
            <w:r w:rsidRPr="006F552E">
              <w:rPr>
                <w:rFonts w:ascii="Arial Narrow" w:hAnsi="Arial Narrow"/>
                <w:color w:val="000000"/>
                <w:lang w:eastAsia="es-CO"/>
              </w:rPr>
              <w:t>PREFERENCIAL AVAL</w:t>
            </w:r>
          </w:p>
        </w:tc>
        <w:tc>
          <w:tcPr>
            <w:tcW w:w="1760" w:type="dxa"/>
            <w:tcBorders>
              <w:top w:val="nil"/>
              <w:left w:val="nil"/>
              <w:bottom w:val="single" w:sz="8" w:space="0" w:color="000000"/>
              <w:right w:val="single" w:sz="8" w:space="0" w:color="auto"/>
            </w:tcBorders>
            <w:shd w:val="clear" w:color="000000" w:fill="FFFFFF"/>
            <w:noWrap/>
            <w:vAlign w:val="center"/>
            <w:hideMark/>
          </w:tcPr>
          <w:p w14:paraId="1ED57B3C" w14:textId="77777777" w:rsidR="007968EC" w:rsidRPr="006F552E" w:rsidRDefault="007968EC" w:rsidP="007968EC">
            <w:pPr>
              <w:jc w:val="center"/>
              <w:rPr>
                <w:rFonts w:ascii="Arial Narrow" w:hAnsi="Arial Narrow"/>
                <w:color w:val="000000"/>
                <w:lang w:eastAsia="es-CO"/>
              </w:rPr>
            </w:pPr>
            <w:r w:rsidRPr="006F552E">
              <w:rPr>
                <w:rFonts w:ascii="Arial Narrow" w:hAnsi="Arial Narrow"/>
                <w:color w:val="000000"/>
                <w:lang w:eastAsia="es-CO"/>
              </w:rPr>
              <w:t>18.00%</w:t>
            </w:r>
          </w:p>
        </w:tc>
      </w:tr>
      <w:tr w:rsidR="007968EC" w:rsidRPr="006F552E" w14:paraId="0B340B17" w14:textId="77777777" w:rsidTr="007968EC">
        <w:trPr>
          <w:trHeight w:val="345"/>
          <w:jc w:val="center"/>
        </w:trPr>
        <w:tc>
          <w:tcPr>
            <w:tcW w:w="3620" w:type="dxa"/>
            <w:tcBorders>
              <w:top w:val="nil"/>
              <w:left w:val="single" w:sz="8" w:space="0" w:color="auto"/>
              <w:bottom w:val="single" w:sz="8" w:space="0" w:color="auto"/>
              <w:right w:val="single" w:sz="8" w:space="0" w:color="auto"/>
            </w:tcBorders>
            <w:shd w:val="clear" w:color="000000" w:fill="FFFFFF"/>
            <w:noWrap/>
            <w:vAlign w:val="center"/>
            <w:hideMark/>
          </w:tcPr>
          <w:p w14:paraId="40943023" w14:textId="77777777" w:rsidR="007968EC" w:rsidRPr="006F552E" w:rsidRDefault="007968EC" w:rsidP="007968EC">
            <w:pPr>
              <w:jc w:val="center"/>
              <w:rPr>
                <w:rFonts w:ascii="Arial Narrow" w:hAnsi="Arial Narrow"/>
                <w:color w:val="000000"/>
                <w:lang w:eastAsia="es-CO"/>
              </w:rPr>
            </w:pPr>
            <w:r w:rsidRPr="006F552E">
              <w:rPr>
                <w:rFonts w:ascii="Arial Narrow" w:eastAsia="Calibri" w:hAnsi="Arial Narrow"/>
                <w:lang w:eastAsia="es-CO"/>
              </w:rPr>
              <w:t xml:space="preserve">ACCIÓN </w:t>
            </w:r>
            <w:r w:rsidRPr="006F552E">
              <w:rPr>
                <w:rFonts w:ascii="Arial Narrow" w:hAnsi="Arial Narrow"/>
                <w:color w:val="000000"/>
                <w:lang w:eastAsia="es-CO"/>
              </w:rPr>
              <w:t>ÉXITO</w:t>
            </w:r>
          </w:p>
        </w:tc>
        <w:tc>
          <w:tcPr>
            <w:tcW w:w="1760" w:type="dxa"/>
            <w:tcBorders>
              <w:top w:val="nil"/>
              <w:left w:val="nil"/>
              <w:bottom w:val="single" w:sz="8" w:space="0" w:color="auto"/>
              <w:right w:val="single" w:sz="8" w:space="0" w:color="auto"/>
            </w:tcBorders>
            <w:shd w:val="clear" w:color="000000" w:fill="FFFFFF"/>
            <w:noWrap/>
            <w:vAlign w:val="center"/>
            <w:hideMark/>
          </w:tcPr>
          <w:p w14:paraId="100782DD" w14:textId="77777777" w:rsidR="007968EC" w:rsidRPr="006F552E" w:rsidRDefault="007968EC" w:rsidP="007968EC">
            <w:pPr>
              <w:jc w:val="center"/>
              <w:rPr>
                <w:rFonts w:ascii="Arial Narrow" w:hAnsi="Arial Narrow"/>
                <w:color w:val="000000"/>
                <w:lang w:eastAsia="es-CO"/>
              </w:rPr>
            </w:pPr>
            <w:r w:rsidRPr="006F552E">
              <w:rPr>
                <w:rFonts w:ascii="Arial Narrow" w:hAnsi="Arial Narrow"/>
                <w:color w:val="000000"/>
                <w:lang w:eastAsia="es-CO"/>
              </w:rPr>
              <w:t>24.00%</w:t>
            </w:r>
          </w:p>
        </w:tc>
      </w:tr>
      <w:tr w:rsidR="007968EC" w:rsidRPr="006F552E" w14:paraId="6F6BFC95" w14:textId="77777777" w:rsidTr="007968EC">
        <w:trPr>
          <w:trHeight w:val="360"/>
          <w:jc w:val="center"/>
        </w:trPr>
        <w:tc>
          <w:tcPr>
            <w:tcW w:w="3620" w:type="dxa"/>
            <w:tcBorders>
              <w:top w:val="nil"/>
              <w:left w:val="single" w:sz="8" w:space="0" w:color="auto"/>
              <w:bottom w:val="single" w:sz="8" w:space="0" w:color="auto"/>
              <w:right w:val="single" w:sz="8" w:space="0" w:color="auto"/>
            </w:tcBorders>
            <w:shd w:val="clear" w:color="000000" w:fill="FFFFFF"/>
            <w:noWrap/>
            <w:vAlign w:val="center"/>
            <w:hideMark/>
          </w:tcPr>
          <w:p w14:paraId="669A2AAC" w14:textId="77777777" w:rsidR="007968EC" w:rsidRPr="006F552E" w:rsidRDefault="007968EC" w:rsidP="007968EC">
            <w:pPr>
              <w:jc w:val="center"/>
              <w:rPr>
                <w:rFonts w:ascii="Arial Narrow" w:hAnsi="Arial Narrow"/>
                <w:color w:val="000000"/>
                <w:lang w:eastAsia="es-CO"/>
              </w:rPr>
            </w:pPr>
            <w:r w:rsidRPr="006F552E">
              <w:rPr>
                <w:rFonts w:ascii="Arial Narrow" w:eastAsia="Calibri" w:hAnsi="Arial Narrow"/>
                <w:lang w:eastAsia="es-CO"/>
              </w:rPr>
              <w:t xml:space="preserve">ACCIÓN </w:t>
            </w:r>
            <w:r w:rsidRPr="006F552E">
              <w:rPr>
                <w:rFonts w:ascii="Arial Narrow" w:hAnsi="Arial Narrow"/>
                <w:color w:val="000000"/>
                <w:lang w:eastAsia="es-CO"/>
              </w:rPr>
              <w:t>GRUPO ARGOS</w:t>
            </w:r>
          </w:p>
        </w:tc>
        <w:tc>
          <w:tcPr>
            <w:tcW w:w="1760" w:type="dxa"/>
            <w:tcBorders>
              <w:top w:val="nil"/>
              <w:left w:val="nil"/>
              <w:bottom w:val="single" w:sz="8" w:space="0" w:color="000000"/>
              <w:right w:val="single" w:sz="8" w:space="0" w:color="auto"/>
            </w:tcBorders>
            <w:shd w:val="clear" w:color="000000" w:fill="FFFFFF"/>
            <w:noWrap/>
            <w:vAlign w:val="center"/>
            <w:hideMark/>
          </w:tcPr>
          <w:p w14:paraId="436406F7" w14:textId="77777777" w:rsidR="007968EC" w:rsidRPr="006F552E" w:rsidRDefault="007968EC" w:rsidP="007968EC">
            <w:pPr>
              <w:jc w:val="center"/>
              <w:rPr>
                <w:rFonts w:ascii="Arial Narrow" w:hAnsi="Arial Narrow"/>
                <w:color w:val="000000"/>
                <w:lang w:eastAsia="es-CO"/>
              </w:rPr>
            </w:pPr>
            <w:r w:rsidRPr="006F552E">
              <w:rPr>
                <w:rFonts w:ascii="Arial Narrow" w:hAnsi="Arial Narrow"/>
                <w:color w:val="000000"/>
                <w:lang w:eastAsia="es-CO"/>
              </w:rPr>
              <w:t>27.00%</w:t>
            </w:r>
          </w:p>
        </w:tc>
      </w:tr>
      <w:tr w:rsidR="007968EC" w:rsidRPr="006F552E" w14:paraId="3A109CA4" w14:textId="77777777" w:rsidTr="007968EC">
        <w:trPr>
          <w:trHeight w:val="345"/>
          <w:jc w:val="center"/>
        </w:trPr>
        <w:tc>
          <w:tcPr>
            <w:tcW w:w="3620" w:type="dxa"/>
            <w:tcBorders>
              <w:top w:val="nil"/>
              <w:left w:val="single" w:sz="8" w:space="0" w:color="auto"/>
              <w:bottom w:val="single" w:sz="8" w:space="0" w:color="auto"/>
              <w:right w:val="single" w:sz="8" w:space="0" w:color="auto"/>
            </w:tcBorders>
            <w:shd w:val="clear" w:color="000000" w:fill="FFFFFF"/>
            <w:noWrap/>
            <w:vAlign w:val="center"/>
            <w:hideMark/>
          </w:tcPr>
          <w:p w14:paraId="1CC5CB94" w14:textId="77777777" w:rsidR="007968EC" w:rsidRPr="006F552E" w:rsidRDefault="007968EC" w:rsidP="007968EC">
            <w:pPr>
              <w:jc w:val="center"/>
              <w:rPr>
                <w:rFonts w:ascii="Arial Narrow" w:hAnsi="Arial Narrow"/>
                <w:color w:val="000000"/>
                <w:lang w:eastAsia="es-CO"/>
              </w:rPr>
            </w:pPr>
            <w:r w:rsidRPr="006F552E">
              <w:rPr>
                <w:rFonts w:ascii="Arial Narrow" w:eastAsia="Calibri" w:hAnsi="Arial Narrow"/>
                <w:lang w:eastAsia="es-CO"/>
              </w:rPr>
              <w:t xml:space="preserve">ACCIÓN </w:t>
            </w:r>
            <w:r w:rsidRPr="006F552E">
              <w:rPr>
                <w:rFonts w:ascii="Arial Narrow" w:hAnsi="Arial Narrow"/>
                <w:color w:val="000000"/>
                <w:lang w:eastAsia="es-CO"/>
              </w:rPr>
              <w:t>GRUPO SURA</w:t>
            </w:r>
          </w:p>
        </w:tc>
        <w:tc>
          <w:tcPr>
            <w:tcW w:w="1760" w:type="dxa"/>
            <w:tcBorders>
              <w:top w:val="nil"/>
              <w:left w:val="nil"/>
              <w:bottom w:val="single" w:sz="8" w:space="0" w:color="auto"/>
              <w:right w:val="single" w:sz="8" w:space="0" w:color="auto"/>
            </w:tcBorders>
            <w:shd w:val="clear" w:color="000000" w:fill="FFFFFF"/>
            <w:noWrap/>
            <w:vAlign w:val="center"/>
            <w:hideMark/>
          </w:tcPr>
          <w:p w14:paraId="6B1FB286" w14:textId="77777777" w:rsidR="007968EC" w:rsidRPr="006F552E" w:rsidRDefault="007968EC" w:rsidP="007968EC">
            <w:pPr>
              <w:jc w:val="center"/>
              <w:rPr>
                <w:rFonts w:ascii="Arial Narrow" w:hAnsi="Arial Narrow"/>
                <w:color w:val="000000"/>
                <w:lang w:eastAsia="es-CO"/>
              </w:rPr>
            </w:pPr>
            <w:r w:rsidRPr="006F552E">
              <w:rPr>
                <w:rFonts w:ascii="Arial Narrow" w:hAnsi="Arial Narrow"/>
                <w:color w:val="000000"/>
                <w:lang w:eastAsia="es-CO"/>
              </w:rPr>
              <w:t>33.00%</w:t>
            </w:r>
          </w:p>
        </w:tc>
      </w:tr>
      <w:tr w:rsidR="007968EC" w:rsidRPr="006F552E" w14:paraId="73392D21" w14:textId="77777777" w:rsidTr="007968EC">
        <w:trPr>
          <w:trHeight w:val="360"/>
          <w:jc w:val="center"/>
        </w:trPr>
        <w:tc>
          <w:tcPr>
            <w:tcW w:w="3620" w:type="dxa"/>
            <w:tcBorders>
              <w:top w:val="nil"/>
              <w:left w:val="single" w:sz="8" w:space="0" w:color="auto"/>
              <w:bottom w:val="single" w:sz="8" w:space="0" w:color="auto"/>
              <w:right w:val="single" w:sz="8" w:space="0" w:color="auto"/>
            </w:tcBorders>
            <w:shd w:val="clear" w:color="000000" w:fill="FFFFFF"/>
            <w:noWrap/>
            <w:vAlign w:val="center"/>
            <w:hideMark/>
          </w:tcPr>
          <w:p w14:paraId="2A561107" w14:textId="77777777" w:rsidR="007968EC" w:rsidRPr="006F552E" w:rsidRDefault="007968EC" w:rsidP="007968EC">
            <w:pPr>
              <w:jc w:val="center"/>
              <w:rPr>
                <w:rFonts w:ascii="Arial Narrow" w:hAnsi="Arial Narrow"/>
                <w:color w:val="000000"/>
                <w:lang w:eastAsia="es-CO"/>
              </w:rPr>
            </w:pPr>
            <w:r w:rsidRPr="006F552E">
              <w:rPr>
                <w:rFonts w:ascii="Arial Narrow" w:eastAsia="Calibri" w:hAnsi="Arial Narrow"/>
                <w:lang w:eastAsia="es-CO"/>
              </w:rPr>
              <w:t xml:space="preserve">ACCIÓN </w:t>
            </w:r>
            <w:r w:rsidRPr="006F552E">
              <w:rPr>
                <w:rFonts w:ascii="Arial Narrow" w:hAnsi="Arial Narrow"/>
                <w:color w:val="000000"/>
                <w:lang w:eastAsia="es-CO"/>
              </w:rPr>
              <w:t>PREFERENCIAL GRUPO SURA</w:t>
            </w:r>
          </w:p>
        </w:tc>
        <w:tc>
          <w:tcPr>
            <w:tcW w:w="1760" w:type="dxa"/>
            <w:tcBorders>
              <w:top w:val="nil"/>
              <w:left w:val="nil"/>
              <w:bottom w:val="single" w:sz="8" w:space="0" w:color="000000"/>
              <w:right w:val="single" w:sz="8" w:space="0" w:color="auto"/>
            </w:tcBorders>
            <w:shd w:val="clear" w:color="000000" w:fill="FFFFFF"/>
            <w:noWrap/>
            <w:vAlign w:val="center"/>
            <w:hideMark/>
          </w:tcPr>
          <w:p w14:paraId="42D7FE07" w14:textId="77777777" w:rsidR="007968EC" w:rsidRPr="006F552E" w:rsidRDefault="007968EC" w:rsidP="007968EC">
            <w:pPr>
              <w:jc w:val="center"/>
              <w:rPr>
                <w:rFonts w:ascii="Arial Narrow" w:hAnsi="Arial Narrow"/>
                <w:color w:val="000000"/>
                <w:lang w:eastAsia="es-CO"/>
              </w:rPr>
            </w:pPr>
            <w:r w:rsidRPr="006F552E">
              <w:rPr>
                <w:rFonts w:ascii="Arial Narrow" w:hAnsi="Arial Narrow"/>
                <w:color w:val="000000"/>
                <w:lang w:eastAsia="es-CO"/>
              </w:rPr>
              <w:t>33.00%</w:t>
            </w:r>
          </w:p>
        </w:tc>
      </w:tr>
      <w:tr w:rsidR="007968EC" w:rsidRPr="006F552E" w14:paraId="0EB8CB9F" w14:textId="77777777" w:rsidTr="007968EC">
        <w:trPr>
          <w:trHeight w:val="345"/>
          <w:jc w:val="center"/>
        </w:trPr>
        <w:tc>
          <w:tcPr>
            <w:tcW w:w="3620" w:type="dxa"/>
            <w:tcBorders>
              <w:top w:val="nil"/>
              <w:left w:val="single" w:sz="8" w:space="0" w:color="auto"/>
              <w:bottom w:val="single" w:sz="8" w:space="0" w:color="auto"/>
              <w:right w:val="single" w:sz="8" w:space="0" w:color="auto"/>
            </w:tcBorders>
            <w:shd w:val="clear" w:color="000000" w:fill="FFFFFF"/>
            <w:noWrap/>
            <w:vAlign w:val="center"/>
            <w:hideMark/>
          </w:tcPr>
          <w:p w14:paraId="73853BFA" w14:textId="77777777" w:rsidR="007968EC" w:rsidRPr="006F552E" w:rsidRDefault="007968EC" w:rsidP="007968EC">
            <w:pPr>
              <w:jc w:val="center"/>
              <w:rPr>
                <w:rFonts w:ascii="Arial Narrow" w:hAnsi="Arial Narrow"/>
                <w:color w:val="000000"/>
                <w:lang w:eastAsia="es-CO"/>
              </w:rPr>
            </w:pPr>
            <w:r w:rsidRPr="006F552E">
              <w:rPr>
                <w:rFonts w:ascii="Arial Narrow" w:eastAsia="Calibri" w:hAnsi="Arial Narrow"/>
                <w:lang w:eastAsia="es-CO"/>
              </w:rPr>
              <w:t xml:space="preserve">ACCIÓN </w:t>
            </w:r>
            <w:r w:rsidRPr="006F552E">
              <w:rPr>
                <w:rFonts w:ascii="Arial Narrow" w:hAnsi="Arial Narrow"/>
                <w:color w:val="000000"/>
                <w:lang w:eastAsia="es-CO"/>
              </w:rPr>
              <w:t>CEMENTOS ARGOS</w:t>
            </w:r>
          </w:p>
        </w:tc>
        <w:tc>
          <w:tcPr>
            <w:tcW w:w="1760" w:type="dxa"/>
            <w:tcBorders>
              <w:top w:val="nil"/>
              <w:left w:val="nil"/>
              <w:bottom w:val="single" w:sz="8" w:space="0" w:color="auto"/>
              <w:right w:val="single" w:sz="8" w:space="0" w:color="auto"/>
            </w:tcBorders>
            <w:shd w:val="clear" w:color="000000" w:fill="FFFFFF"/>
            <w:noWrap/>
            <w:vAlign w:val="center"/>
            <w:hideMark/>
          </w:tcPr>
          <w:p w14:paraId="595AE2B9" w14:textId="77777777" w:rsidR="007968EC" w:rsidRPr="006F552E" w:rsidRDefault="007968EC" w:rsidP="007968EC">
            <w:pPr>
              <w:jc w:val="center"/>
              <w:rPr>
                <w:rFonts w:ascii="Arial Narrow" w:hAnsi="Arial Narrow"/>
                <w:color w:val="000000"/>
                <w:lang w:eastAsia="es-CO"/>
              </w:rPr>
            </w:pPr>
            <w:r w:rsidRPr="006F552E">
              <w:rPr>
                <w:rFonts w:ascii="Arial Narrow" w:hAnsi="Arial Narrow"/>
                <w:color w:val="000000"/>
                <w:lang w:eastAsia="es-CO"/>
              </w:rPr>
              <w:t>33.00%</w:t>
            </w:r>
          </w:p>
        </w:tc>
      </w:tr>
      <w:tr w:rsidR="007968EC" w:rsidRPr="006F552E" w14:paraId="597DCF90" w14:textId="77777777" w:rsidTr="007968EC">
        <w:trPr>
          <w:trHeight w:val="360"/>
          <w:jc w:val="center"/>
        </w:trPr>
        <w:tc>
          <w:tcPr>
            <w:tcW w:w="3620" w:type="dxa"/>
            <w:tcBorders>
              <w:top w:val="nil"/>
              <w:left w:val="single" w:sz="8" w:space="0" w:color="auto"/>
              <w:bottom w:val="single" w:sz="8" w:space="0" w:color="auto"/>
              <w:right w:val="single" w:sz="8" w:space="0" w:color="auto"/>
            </w:tcBorders>
            <w:shd w:val="clear" w:color="000000" w:fill="FFFFFF"/>
            <w:noWrap/>
            <w:vAlign w:val="center"/>
            <w:hideMark/>
          </w:tcPr>
          <w:p w14:paraId="62684244" w14:textId="77777777" w:rsidR="007968EC" w:rsidRPr="006F552E" w:rsidRDefault="007968EC" w:rsidP="007968EC">
            <w:pPr>
              <w:jc w:val="center"/>
              <w:rPr>
                <w:rFonts w:ascii="Arial Narrow" w:hAnsi="Arial Narrow"/>
                <w:color w:val="000000"/>
                <w:lang w:eastAsia="es-CO"/>
              </w:rPr>
            </w:pPr>
            <w:r w:rsidRPr="006F552E">
              <w:rPr>
                <w:rFonts w:ascii="Arial Narrow" w:eastAsia="Calibri" w:hAnsi="Arial Narrow"/>
                <w:lang w:eastAsia="es-CO"/>
              </w:rPr>
              <w:t xml:space="preserve">ACCIÓN </w:t>
            </w:r>
            <w:r w:rsidRPr="006F552E">
              <w:rPr>
                <w:rFonts w:ascii="Arial Narrow" w:hAnsi="Arial Narrow"/>
                <w:color w:val="000000"/>
                <w:lang w:eastAsia="es-CO"/>
              </w:rPr>
              <w:t>PREFERENCIAL CEMENTOS ARGOS</w:t>
            </w:r>
          </w:p>
        </w:tc>
        <w:tc>
          <w:tcPr>
            <w:tcW w:w="1760" w:type="dxa"/>
            <w:tcBorders>
              <w:top w:val="nil"/>
              <w:left w:val="nil"/>
              <w:bottom w:val="single" w:sz="8" w:space="0" w:color="000000"/>
              <w:right w:val="single" w:sz="8" w:space="0" w:color="auto"/>
            </w:tcBorders>
            <w:shd w:val="clear" w:color="000000" w:fill="FFFFFF"/>
            <w:noWrap/>
            <w:vAlign w:val="center"/>
            <w:hideMark/>
          </w:tcPr>
          <w:p w14:paraId="54C30AAF" w14:textId="77777777" w:rsidR="007968EC" w:rsidRPr="006F552E" w:rsidRDefault="007968EC" w:rsidP="007968EC">
            <w:pPr>
              <w:jc w:val="center"/>
              <w:rPr>
                <w:rFonts w:ascii="Arial Narrow" w:hAnsi="Arial Narrow"/>
                <w:color w:val="000000"/>
                <w:lang w:eastAsia="es-CO"/>
              </w:rPr>
            </w:pPr>
            <w:r w:rsidRPr="006F552E">
              <w:rPr>
                <w:rFonts w:ascii="Arial Narrow" w:hAnsi="Arial Narrow"/>
                <w:color w:val="000000"/>
                <w:lang w:eastAsia="es-CO"/>
              </w:rPr>
              <w:t>33.00%</w:t>
            </w:r>
          </w:p>
        </w:tc>
      </w:tr>
      <w:tr w:rsidR="007968EC" w:rsidRPr="006F552E" w14:paraId="48C3ED70" w14:textId="77777777" w:rsidTr="007968EC">
        <w:trPr>
          <w:trHeight w:val="360"/>
          <w:jc w:val="center"/>
        </w:trPr>
        <w:tc>
          <w:tcPr>
            <w:tcW w:w="3620" w:type="dxa"/>
            <w:tcBorders>
              <w:top w:val="nil"/>
              <w:left w:val="single" w:sz="8" w:space="0" w:color="auto"/>
              <w:bottom w:val="single" w:sz="8" w:space="0" w:color="auto"/>
              <w:right w:val="single" w:sz="8" w:space="0" w:color="auto"/>
            </w:tcBorders>
            <w:shd w:val="clear" w:color="000000" w:fill="FFFFFF"/>
            <w:noWrap/>
            <w:vAlign w:val="center"/>
          </w:tcPr>
          <w:p w14:paraId="4A90A80B" w14:textId="77777777" w:rsidR="007968EC" w:rsidRPr="006F552E" w:rsidRDefault="007968EC" w:rsidP="007968EC">
            <w:pPr>
              <w:jc w:val="center"/>
              <w:rPr>
                <w:rFonts w:ascii="Arial Narrow" w:eastAsia="Calibri" w:hAnsi="Arial Narrow"/>
                <w:lang w:eastAsia="es-CO"/>
              </w:rPr>
            </w:pPr>
            <w:r w:rsidRPr="006F552E">
              <w:rPr>
                <w:rFonts w:ascii="Arial Narrow" w:hAnsi="Arial Narrow" w:cs="Arial"/>
                <w:lang w:eastAsia="en-US"/>
              </w:rPr>
              <w:t>ACCIÓN ORDINARIA DE BANCO DE BOGOTÁ</w:t>
            </w:r>
          </w:p>
        </w:tc>
        <w:tc>
          <w:tcPr>
            <w:tcW w:w="1760" w:type="dxa"/>
            <w:tcBorders>
              <w:top w:val="nil"/>
              <w:left w:val="nil"/>
              <w:bottom w:val="single" w:sz="8" w:space="0" w:color="000000"/>
              <w:right w:val="single" w:sz="8" w:space="0" w:color="auto"/>
            </w:tcBorders>
            <w:shd w:val="clear" w:color="000000" w:fill="FFFFFF"/>
            <w:noWrap/>
            <w:vAlign w:val="center"/>
          </w:tcPr>
          <w:p w14:paraId="2A8B9AF2" w14:textId="77777777" w:rsidR="007968EC" w:rsidRPr="006F552E" w:rsidDel="005D663C" w:rsidRDefault="007968EC" w:rsidP="007968EC">
            <w:pPr>
              <w:jc w:val="center"/>
              <w:rPr>
                <w:rFonts w:ascii="Arial Narrow" w:hAnsi="Arial Narrow"/>
                <w:color w:val="000000"/>
                <w:lang w:eastAsia="es-CO"/>
              </w:rPr>
            </w:pPr>
            <w:r w:rsidRPr="006F552E">
              <w:rPr>
                <w:rFonts w:ascii="Arial Narrow" w:hAnsi="Arial Narrow"/>
                <w:color w:val="000000"/>
                <w:lang w:eastAsia="es-CO"/>
              </w:rPr>
              <w:t>20.00%</w:t>
            </w:r>
          </w:p>
        </w:tc>
      </w:tr>
      <w:tr w:rsidR="007968EC" w:rsidRPr="006F552E" w14:paraId="0FDBD582" w14:textId="77777777" w:rsidTr="007968EC">
        <w:trPr>
          <w:trHeight w:val="360"/>
          <w:jc w:val="center"/>
        </w:trPr>
        <w:tc>
          <w:tcPr>
            <w:tcW w:w="3620" w:type="dxa"/>
            <w:tcBorders>
              <w:top w:val="nil"/>
              <w:left w:val="single" w:sz="8" w:space="0" w:color="auto"/>
              <w:bottom w:val="single" w:sz="8" w:space="0" w:color="auto"/>
              <w:right w:val="single" w:sz="8" w:space="0" w:color="auto"/>
            </w:tcBorders>
            <w:shd w:val="clear" w:color="000000" w:fill="FFFFFF"/>
            <w:noWrap/>
            <w:vAlign w:val="center"/>
            <w:hideMark/>
          </w:tcPr>
          <w:p w14:paraId="1F78AC05" w14:textId="77777777" w:rsidR="007968EC" w:rsidRPr="006F552E" w:rsidRDefault="007968EC" w:rsidP="007968EC">
            <w:pPr>
              <w:jc w:val="center"/>
              <w:rPr>
                <w:rFonts w:ascii="Arial Narrow" w:hAnsi="Arial Narrow"/>
                <w:color w:val="000000"/>
                <w:lang w:eastAsia="es-CO"/>
              </w:rPr>
            </w:pPr>
            <w:r w:rsidRPr="006F552E">
              <w:rPr>
                <w:rFonts w:ascii="Arial Narrow" w:eastAsia="Calibri" w:hAnsi="Arial Narrow"/>
                <w:lang w:eastAsia="es-CO"/>
              </w:rPr>
              <w:t xml:space="preserve">ACCIÓN </w:t>
            </w:r>
            <w:r w:rsidRPr="006F552E">
              <w:rPr>
                <w:rFonts w:ascii="Arial Narrow" w:hAnsi="Arial Narrow"/>
                <w:color w:val="000000"/>
                <w:lang w:eastAsia="es-CO"/>
              </w:rPr>
              <w:t>BANCOLOMBIA</w:t>
            </w:r>
          </w:p>
        </w:tc>
        <w:tc>
          <w:tcPr>
            <w:tcW w:w="1760" w:type="dxa"/>
            <w:tcBorders>
              <w:top w:val="nil"/>
              <w:left w:val="nil"/>
              <w:bottom w:val="single" w:sz="8" w:space="0" w:color="auto"/>
              <w:right w:val="single" w:sz="8" w:space="0" w:color="auto"/>
            </w:tcBorders>
            <w:shd w:val="clear" w:color="000000" w:fill="FFFFFF"/>
            <w:noWrap/>
            <w:vAlign w:val="center"/>
            <w:hideMark/>
          </w:tcPr>
          <w:p w14:paraId="736BF67C" w14:textId="77777777" w:rsidR="007968EC" w:rsidRPr="006F552E" w:rsidRDefault="007968EC" w:rsidP="007968EC">
            <w:pPr>
              <w:jc w:val="center"/>
              <w:rPr>
                <w:rFonts w:ascii="Arial Narrow" w:hAnsi="Arial Narrow"/>
                <w:color w:val="000000"/>
                <w:lang w:eastAsia="es-CO"/>
              </w:rPr>
            </w:pPr>
            <w:r w:rsidRPr="006F552E">
              <w:rPr>
                <w:rFonts w:ascii="Arial Narrow" w:hAnsi="Arial Narrow"/>
                <w:color w:val="000000"/>
                <w:lang w:eastAsia="es-CO"/>
              </w:rPr>
              <w:t>32.00%</w:t>
            </w:r>
          </w:p>
        </w:tc>
      </w:tr>
      <w:tr w:rsidR="007968EC" w:rsidRPr="006F552E" w14:paraId="38776F49" w14:textId="77777777" w:rsidTr="007968EC">
        <w:trPr>
          <w:trHeight w:val="360"/>
          <w:jc w:val="center"/>
        </w:trPr>
        <w:tc>
          <w:tcPr>
            <w:tcW w:w="3620" w:type="dxa"/>
            <w:tcBorders>
              <w:top w:val="nil"/>
              <w:left w:val="single" w:sz="8" w:space="0" w:color="auto"/>
              <w:bottom w:val="single" w:sz="8" w:space="0" w:color="auto"/>
              <w:right w:val="single" w:sz="8" w:space="0" w:color="auto"/>
            </w:tcBorders>
            <w:shd w:val="clear" w:color="000000" w:fill="FFFFFF"/>
            <w:noWrap/>
            <w:vAlign w:val="center"/>
            <w:hideMark/>
          </w:tcPr>
          <w:p w14:paraId="7F9A8369" w14:textId="77777777" w:rsidR="007968EC" w:rsidRPr="006F552E" w:rsidRDefault="007968EC" w:rsidP="007968EC">
            <w:pPr>
              <w:jc w:val="center"/>
              <w:rPr>
                <w:rFonts w:ascii="Arial Narrow" w:hAnsi="Arial Narrow"/>
                <w:color w:val="000000"/>
                <w:lang w:eastAsia="es-CO"/>
              </w:rPr>
            </w:pPr>
            <w:r w:rsidRPr="006F552E">
              <w:rPr>
                <w:rFonts w:ascii="Arial Narrow" w:eastAsia="Calibri" w:hAnsi="Arial Narrow"/>
                <w:lang w:eastAsia="es-CO"/>
              </w:rPr>
              <w:t xml:space="preserve">ACCIÓN </w:t>
            </w:r>
            <w:r w:rsidRPr="006F552E">
              <w:rPr>
                <w:rFonts w:ascii="Arial Narrow" w:hAnsi="Arial Narrow"/>
                <w:color w:val="000000"/>
                <w:lang w:eastAsia="es-CO"/>
              </w:rPr>
              <w:t>CELSIA</w:t>
            </w:r>
          </w:p>
        </w:tc>
        <w:tc>
          <w:tcPr>
            <w:tcW w:w="1760" w:type="dxa"/>
            <w:tcBorders>
              <w:top w:val="nil"/>
              <w:left w:val="nil"/>
              <w:bottom w:val="single" w:sz="8" w:space="0" w:color="auto"/>
              <w:right w:val="single" w:sz="8" w:space="0" w:color="auto"/>
            </w:tcBorders>
            <w:shd w:val="clear" w:color="000000" w:fill="FFFFFF"/>
            <w:noWrap/>
            <w:vAlign w:val="center"/>
            <w:hideMark/>
          </w:tcPr>
          <w:p w14:paraId="65B05345" w14:textId="77777777" w:rsidR="007968EC" w:rsidRPr="006F552E" w:rsidRDefault="007968EC" w:rsidP="007968EC">
            <w:pPr>
              <w:jc w:val="center"/>
              <w:rPr>
                <w:rFonts w:ascii="Arial Narrow" w:hAnsi="Arial Narrow"/>
                <w:color w:val="000000"/>
                <w:lang w:eastAsia="es-CO"/>
              </w:rPr>
            </w:pPr>
            <w:r w:rsidRPr="006F552E">
              <w:rPr>
                <w:rFonts w:ascii="Arial Narrow" w:hAnsi="Arial Narrow"/>
                <w:color w:val="000000"/>
                <w:lang w:eastAsia="es-CO"/>
              </w:rPr>
              <w:t>36.00%</w:t>
            </w:r>
          </w:p>
        </w:tc>
      </w:tr>
      <w:tr w:rsidR="007968EC" w:rsidRPr="006F552E" w14:paraId="0668F266" w14:textId="77777777" w:rsidTr="007968EC">
        <w:trPr>
          <w:trHeight w:val="360"/>
          <w:jc w:val="center"/>
        </w:trPr>
        <w:tc>
          <w:tcPr>
            <w:tcW w:w="3620" w:type="dxa"/>
            <w:tcBorders>
              <w:top w:val="nil"/>
              <w:left w:val="single" w:sz="8" w:space="0" w:color="auto"/>
              <w:bottom w:val="single" w:sz="8" w:space="0" w:color="auto"/>
              <w:right w:val="single" w:sz="8" w:space="0" w:color="auto"/>
            </w:tcBorders>
            <w:shd w:val="clear" w:color="000000" w:fill="FFFFFF"/>
            <w:noWrap/>
            <w:vAlign w:val="center"/>
            <w:hideMark/>
          </w:tcPr>
          <w:p w14:paraId="58F5089A" w14:textId="77777777" w:rsidR="007968EC" w:rsidRPr="006F552E" w:rsidRDefault="007968EC" w:rsidP="007968EC">
            <w:pPr>
              <w:jc w:val="center"/>
              <w:rPr>
                <w:rFonts w:ascii="Arial Narrow" w:hAnsi="Arial Narrow"/>
                <w:color w:val="000000"/>
                <w:lang w:eastAsia="es-CO"/>
              </w:rPr>
            </w:pPr>
            <w:r w:rsidRPr="006F552E">
              <w:rPr>
                <w:rFonts w:ascii="Arial Narrow" w:eastAsia="Calibri" w:hAnsi="Arial Narrow"/>
                <w:lang w:eastAsia="es-CO"/>
              </w:rPr>
              <w:t xml:space="preserve">ACCIÓN </w:t>
            </w:r>
            <w:r w:rsidRPr="006F552E">
              <w:rPr>
                <w:rFonts w:ascii="Arial Narrow" w:hAnsi="Arial Narrow"/>
                <w:color w:val="000000"/>
                <w:lang w:eastAsia="es-CO"/>
              </w:rPr>
              <w:t>CEMEX</w:t>
            </w:r>
          </w:p>
        </w:tc>
        <w:tc>
          <w:tcPr>
            <w:tcW w:w="1760" w:type="dxa"/>
            <w:tcBorders>
              <w:top w:val="nil"/>
              <w:left w:val="nil"/>
              <w:bottom w:val="single" w:sz="8" w:space="0" w:color="000000"/>
              <w:right w:val="single" w:sz="8" w:space="0" w:color="auto"/>
            </w:tcBorders>
            <w:shd w:val="clear" w:color="000000" w:fill="FFFFFF"/>
            <w:noWrap/>
            <w:vAlign w:val="center"/>
            <w:hideMark/>
          </w:tcPr>
          <w:p w14:paraId="4B57E7EB" w14:textId="77777777" w:rsidR="007968EC" w:rsidRPr="006F552E" w:rsidRDefault="007968EC" w:rsidP="007968EC">
            <w:pPr>
              <w:jc w:val="center"/>
              <w:rPr>
                <w:rFonts w:ascii="Arial Narrow" w:hAnsi="Arial Narrow"/>
                <w:color w:val="000000"/>
                <w:lang w:eastAsia="es-CO"/>
              </w:rPr>
            </w:pPr>
            <w:r w:rsidRPr="006F552E">
              <w:rPr>
                <w:rFonts w:ascii="Arial Narrow" w:hAnsi="Arial Narrow"/>
                <w:color w:val="000000"/>
                <w:lang w:eastAsia="es-CO"/>
              </w:rPr>
              <w:t>36.00%</w:t>
            </w:r>
          </w:p>
        </w:tc>
      </w:tr>
      <w:tr w:rsidR="007968EC" w:rsidRPr="006F552E" w14:paraId="33B94E19" w14:textId="77777777" w:rsidTr="007968EC">
        <w:trPr>
          <w:trHeight w:val="360"/>
          <w:jc w:val="center"/>
        </w:trPr>
        <w:tc>
          <w:tcPr>
            <w:tcW w:w="3620" w:type="dxa"/>
            <w:tcBorders>
              <w:top w:val="nil"/>
              <w:left w:val="single" w:sz="8" w:space="0" w:color="auto"/>
              <w:bottom w:val="single" w:sz="8" w:space="0" w:color="auto"/>
              <w:right w:val="single" w:sz="8" w:space="0" w:color="auto"/>
            </w:tcBorders>
            <w:shd w:val="clear" w:color="000000" w:fill="FFFFFF"/>
            <w:noWrap/>
            <w:vAlign w:val="center"/>
            <w:hideMark/>
          </w:tcPr>
          <w:p w14:paraId="0327E63C" w14:textId="77777777" w:rsidR="007968EC" w:rsidRPr="006F552E" w:rsidRDefault="007968EC" w:rsidP="007968EC">
            <w:pPr>
              <w:jc w:val="center"/>
              <w:rPr>
                <w:rFonts w:ascii="Arial Narrow" w:hAnsi="Arial Narrow"/>
                <w:color w:val="000000"/>
                <w:lang w:eastAsia="es-CO"/>
              </w:rPr>
            </w:pPr>
            <w:r w:rsidRPr="006F552E">
              <w:rPr>
                <w:rFonts w:ascii="Arial Narrow" w:eastAsia="Calibri" w:hAnsi="Arial Narrow"/>
                <w:lang w:eastAsia="es-CO"/>
              </w:rPr>
              <w:t xml:space="preserve">ACCIÓN </w:t>
            </w:r>
            <w:r w:rsidRPr="006F552E">
              <w:rPr>
                <w:rFonts w:ascii="Arial Narrow" w:hAnsi="Arial Narrow"/>
                <w:color w:val="000000"/>
                <w:lang w:eastAsia="es-CO"/>
              </w:rPr>
              <w:t>CORFICOLOMBIANA</w:t>
            </w:r>
          </w:p>
        </w:tc>
        <w:tc>
          <w:tcPr>
            <w:tcW w:w="1760" w:type="dxa"/>
            <w:tcBorders>
              <w:top w:val="nil"/>
              <w:left w:val="nil"/>
              <w:bottom w:val="single" w:sz="8" w:space="0" w:color="000000"/>
              <w:right w:val="single" w:sz="8" w:space="0" w:color="auto"/>
            </w:tcBorders>
            <w:shd w:val="clear" w:color="000000" w:fill="FFFFFF"/>
            <w:noWrap/>
            <w:vAlign w:val="center"/>
            <w:hideMark/>
          </w:tcPr>
          <w:p w14:paraId="2CB84199" w14:textId="77777777" w:rsidR="007968EC" w:rsidRPr="006F552E" w:rsidRDefault="007968EC" w:rsidP="007968EC">
            <w:pPr>
              <w:jc w:val="center"/>
              <w:rPr>
                <w:rFonts w:ascii="Arial Narrow" w:hAnsi="Arial Narrow"/>
                <w:color w:val="000000"/>
                <w:lang w:eastAsia="es-CO"/>
              </w:rPr>
            </w:pPr>
            <w:r w:rsidRPr="006F552E">
              <w:rPr>
                <w:rFonts w:ascii="Arial Narrow" w:hAnsi="Arial Narrow"/>
                <w:color w:val="000000"/>
                <w:lang w:eastAsia="es-CO"/>
              </w:rPr>
              <w:t>35.00%</w:t>
            </w:r>
          </w:p>
        </w:tc>
      </w:tr>
      <w:tr w:rsidR="007968EC" w:rsidRPr="006F552E" w14:paraId="6BE031B7" w14:textId="77777777" w:rsidTr="007968EC">
        <w:trPr>
          <w:trHeight w:val="360"/>
          <w:jc w:val="center"/>
        </w:trPr>
        <w:tc>
          <w:tcPr>
            <w:tcW w:w="3620" w:type="dxa"/>
            <w:tcBorders>
              <w:top w:val="nil"/>
              <w:left w:val="single" w:sz="8" w:space="0" w:color="auto"/>
              <w:bottom w:val="single" w:sz="8" w:space="0" w:color="auto"/>
              <w:right w:val="single" w:sz="8" w:space="0" w:color="auto"/>
            </w:tcBorders>
            <w:shd w:val="clear" w:color="000000" w:fill="FFFFFF"/>
            <w:noWrap/>
            <w:vAlign w:val="center"/>
            <w:hideMark/>
          </w:tcPr>
          <w:p w14:paraId="66F5D272" w14:textId="77777777" w:rsidR="007968EC" w:rsidRPr="006F552E" w:rsidRDefault="007968EC" w:rsidP="007968EC">
            <w:pPr>
              <w:jc w:val="center"/>
              <w:rPr>
                <w:rFonts w:ascii="Arial Narrow" w:hAnsi="Arial Narrow"/>
                <w:color w:val="000000"/>
                <w:lang w:eastAsia="es-CO"/>
              </w:rPr>
            </w:pPr>
            <w:r w:rsidRPr="006F552E">
              <w:rPr>
                <w:rFonts w:ascii="Arial Narrow" w:eastAsia="Calibri" w:hAnsi="Arial Narrow"/>
                <w:lang w:eastAsia="es-CO"/>
              </w:rPr>
              <w:t xml:space="preserve">ACCIÓN </w:t>
            </w:r>
            <w:r w:rsidRPr="006F552E">
              <w:rPr>
                <w:rFonts w:ascii="Arial Narrow" w:hAnsi="Arial Narrow"/>
                <w:color w:val="000000"/>
                <w:lang w:eastAsia="es-CO"/>
              </w:rPr>
              <w:t>GRUPO DE ENERGÍA DE BOGOTÁ</w:t>
            </w:r>
          </w:p>
        </w:tc>
        <w:tc>
          <w:tcPr>
            <w:tcW w:w="1760" w:type="dxa"/>
            <w:tcBorders>
              <w:top w:val="nil"/>
              <w:left w:val="nil"/>
              <w:bottom w:val="single" w:sz="8" w:space="0" w:color="auto"/>
              <w:right w:val="single" w:sz="8" w:space="0" w:color="auto"/>
            </w:tcBorders>
            <w:shd w:val="clear" w:color="000000" w:fill="FFFFFF"/>
            <w:noWrap/>
            <w:vAlign w:val="center"/>
            <w:hideMark/>
          </w:tcPr>
          <w:p w14:paraId="7F97568C" w14:textId="77777777" w:rsidR="007968EC" w:rsidRPr="006F552E" w:rsidRDefault="007968EC" w:rsidP="007968EC">
            <w:pPr>
              <w:jc w:val="center"/>
              <w:rPr>
                <w:rFonts w:ascii="Arial Narrow" w:hAnsi="Arial Narrow"/>
                <w:color w:val="000000"/>
                <w:lang w:eastAsia="es-CO"/>
              </w:rPr>
            </w:pPr>
            <w:r w:rsidRPr="006F552E">
              <w:rPr>
                <w:rFonts w:ascii="Arial Narrow" w:hAnsi="Arial Narrow"/>
                <w:color w:val="000000"/>
                <w:lang w:eastAsia="es-CO"/>
              </w:rPr>
              <w:t>20.00%</w:t>
            </w:r>
          </w:p>
        </w:tc>
      </w:tr>
      <w:tr w:rsidR="007968EC" w:rsidRPr="006F552E" w14:paraId="11656ECE" w14:textId="77777777" w:rsidTr="007968EC">
        <w:trPr>
          <w:trHeight w:val="360"/>
          <w:jc w:val="center"/>
        </w:trPr>
        <w:tc>
          <w:tcPr>
            <w:tcW w:w="3620" w:type="dxa"/>
            <w:tcBorders>
              <w:top w:val="nil"/>
              <w:left w:val="single" w:sz="8" w:space="0" w:color="auto"/>
              <w:bottom w:val="single" w:sz="8" w:space="0" w:color="auto"/>
              <w:right w:val="single" w:sz="8" w:space="0" w:color="auto"/>
            </w:tcBorders>
            <w:shd w:val="clear" w:color="000000" w:fill="FFFFFF"/>
            <w:noWrap/>
            <w:vAlign w:val="center"/>
            <w:hideMark/>
          </w:tcPr>
          <w:p w14:paraId="12E0393C" w14:textId="77777777" w:rsidR="007968EC" w:rsidRPr="006F552E" w:rsidRDefault="007968EC" w:rsidP="007968EC">
            <w:pPr>
              <w:jc w:val="center"/>
              <w:rPr>
                <w:rFonts w:ascii="Arial Narrow" w:hAnsi="Arial Narrow"/>
                <w:color w:val="000000"/>
                <w:lang w:eastAsia="es-CO"/>
              </w:rPr>
            </w:pPr>
            <w:r w:rsidRPr="006F552E">
              <w:rPr>
                <w:rFonts w:ascii="Arial Narrow" w:eastAsia="Calibri" w:hAnsi="Arial Narrow"/>
                <w:lang w:eastAsia="es-CO"/>
              </w:rPr>
              <w:t xml:space="preserve">ACCIÓN </w:t>
            </w:r>
            <w:r w:rsidRPr="006F552E">
              <w:rPr>
                <w:rFonts w:ascii="Arial Narrow" w:hAnsi="Arial Narrow"/>
                <w:color w:val="000000"/>
                <w:lang w:eastAsia="es-CO"/>
              </w:rPr>
              <w:t>PREFERENCIAL AVIANCA HOLDING</w:t>
            </w:r>
          </w:p>
        </w:tc>
        <w:tc>
          <w:tcPr>
            <w:tcW w:w="1760" w:type="dxa"/>
            <w:tcBorders>
              <w:top w:val="nil"/>
              <w:left w:val="nil"/>
              <w:bottom w:val="single" w:sz="8" w:space="0" w:color="auto"/>
              <w:right w:val="single" w:sz="8" w:space="0" w:color="auto"/>
            </w:tcBorders>
            <w:shd w:val="clear" w:color="000000" w:fill="FFFFFF"/>
            <w:noWrap/>
            <w:vAlign w:val="center"/>
            <w:hideMark/>
          </w:tcPr>
          <w:p w14:paraId="3F008119" w14:textId="77777777" w:rsidR="007968EC" w:rsidRPr="006F552E" w:rsidRDefault="007968EC" w:rsidP="007968EC">
            <w:pPr>
              <w:jc w:val="center"/>
              <w:rPr>
                <w:rFonts w:ascii="Arial Narrow" w:hAnsi="Arial Narrow"/>
                <w:color w:val="000000"/>
                <w:lang w:eastAsia="es-CO"/>
              </w:rPr>
            </w:pPr>
            <w:r w:rsidRPr="006F552E">
              <w:rPr>
                <w:rFonts w:ascii="Arial Narrow" w:hAnsi="Arial Narrow"/>
                <w:color w:val="000000"/>
                <w:lang w:eastAsia="es-CO"/>
              </w:rPr>
              <w:t>27.00%</w:t>
            </w:r>
          </w:p>
        </w:tc>
      </w:tr>
      <w:tr w:rsidR="007968EC" w:rsidRPr="006F552E" w14:paraId="797B2618" w14:textId="77777777" w:rsidTr="007968EC">
        <w:trPr>
          <w:trHeight w:val="360"/>
          <w:jc w:val="center"/>
        </w:trPr>
        <w:tc>
          <w:tcPr>
            <w:tcW w:w="3620" w:type="dxa"/>
            <w:tcBorders>
              <w:top w:val="nil"/>
              <w:left w:val="single" w:sz="8" w:space="0" w:color="auto"/>
              <w:bottom w:val="single" w:sz="8" w:space="0" w:color="auto"/>
              <w:right w:val="single" w:sz="8" w:space="0" w:color="auto"/>
            </w:tcBorders>
            <w:shd w:val="clear" w:color="000000" w:fill="FFFFFF"/>
            <w:noWrap/>
            <w:vAlign w:val="center"/>
            <w:hideMark/>
          </w:tcPr>
          <w:p w14:paraId="7B589CB0" w14:textId="77777777" w:rsidR="007968EC" w:rsidRPr="006F552E" w:rsidRDefault="007968EC" w:rsidP="007968EC">
            <w:pPr>
              <w:jc w:val="center"/>
              <w:rPr>
                <w:rFonts w:ascii="Arial Narrow" w:hAnsi="Arial Narrow"/>
                <w:color w:val="000000"/>
                <w:lang w:eastAsia="es-CO"/>
              </w:rPr>
            </w:pPr>
            <w:r w:rsidRPr="006F552E">
              <w:rPr>
                <w:rFonts w:ascii="Arial Narrow" w:eastAsia="Calibri" w:hAnsi="Arial Narrow"/>
                <w:lang w:eastAsia="es-CO"/>
              </w:rPr>
              <w:t xml:space="preserve">ACCIÓN </w:t>
            </w:r>
            <w:r w:rsidRPr="006F552E">
              <w:rPr>
                <w:rFonts w:ascii="Arial Narrow" w:hAnsi="Arial Narrow"/>
                <w:color w:val="000000"/>
                <w:lang w:eastAsia="es-CO"/>
              </w:rPr>
              <w:t>PREFERENCIAL DAVIVIENDA</w:t>
            </w:r>
          </w:p>
        </w:tc>
        <w:tc>
          <w:tcPr>
            <w:tcW w:w="1760" w:type="dxa"/>
            <w:tcBorders>
              <w:top w:val="nil"/>
              <w:left w:val="nil"/>
              <w:bottom w:val="single" w:sz="8" w:space="0" w:color="auto"/>
              <w:right w:val="single" w:sz="8" w:space="0" w:color="auto"/>
            </w:tcBorders>
            <w:shd w:val="clear" w:color="000000" w:fill="FFFFFF"/>
            <w:noWrap/>
            <w:vAlign w:val="center"/>
            <w:hideMark/>
          </w:tcPr>
          <w:p w14:paraId="11801390" w14:textId="77777777" w:rsidR="007968EC" w:rsidRPr="006F552E" w:rsidRDefault="007968EC" w:rsidP="007968EC">
            <w:pPr>
              <w:jc w:val="center"/>
              <w:rPr>
                <w:rFonts w:ascii="Arial Narrow" w:hAnsi="Arial Narrow"/>
                <w:color w:val="000000"/>
                <w:lang w:eastAsia="es-CO"/>
              </w:rPr>
            </w:pPr>
            <w:r w:rsidRPr="006F552E">
              <w:rPr>
                <w:rFonts w:ascii="Arial Narrow" w:hAnsi="Arial Narrow"/>
                <w:color w:val="000000"/>
                <w:lang w:eastAsia="es-CO"/>
              </w:rPr>
              <w:t>20.00%</w:t>
            </w:r>
          </w:p>
        </w:tc>
      </w:tr>
      <w:tr w:rsidR="007968EC" w:rsidRPr="006F552E" w14:paraId="7C125DC3" w14:textId="77777777" w:rsidTr="007968EC">
        <w:trPr>
          <w:trHeight w:val="360"/>
          <w:jc w:val="center"/>
        </w:trPr>
        <w:tc>
          <w:tcPr>
            <w:tcW w:w="362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4715C0F" w14:textId="77777777" w:rsidR="007968EC" w:rsidRPr="006F552E" w:rsidRDefault="007968EC" w:rsidP="007968EC">
            <w:pPr>
              <w:jc w:val="center"/>
              <w:rPr>
                <w:rFonts w:ascii="Arial Narrow" w:hAnsi="Arial Narrow"/>
                <w:color w:val="000000"/>
                <w:lang w:eastAsia="es-CO"/>
              </w:rPr>
            </w:pPr>
            <w:r w:rsidRPr="006F552E">
              <w:rPr>
                <w:rFonts w:ascii="Arial Narrow" w:eastAsia="Calibri" w:hAnsi="Arial Narrow"/>
                <w:lang w:eastAsia="es-CO"/>
              </w:rPr>
              <w:t xml:space="preserve">ACCIÓN </w:t>
            </w:r>
            <w:r w:rsidRPr="006F552E">
              <w:rPr>
                <w:rFonts w:ascii="Arial Narrow" w:hAnsi="Arial Narrow"/>
                <w:color w:val="000000"/>
                <w:lang w:eastAsia="es-CO"/>
              </w:rPr>
              <w:t>PREFERENCIAL GRUPO ARGOS</w:t>
            </w:r>
          </w:p>
        </w:tc>
        <w:tc>
          <w:tcPr>
            <w:tcW w:w="1760" w:type="dxa"/>
            <w:tcBorders>
              <w:top w:val="single" w:sz="8" w:space="0" w:color="auto"/>
              <w:left w:val="nil"/>
              <w:bottom w:val="single" w:sz="8" w:space="0" w:color="auto"/>
              <w:right w:val="single" w:sz="8" w:space="0" w:color="auto"/>
            </w:tcBorders>
            <w:shd w:val="clear" w:color="000000" w:fill="FFFFFF"/>
            <w:noWrap/>
            <w:vAlign w:val="center"/>
            <w:hideMark/>
          </w:tcPr>
          <w:p w14:paraId="0BE57050" w14:textId="77777777" w:rsidR="007968EC" w:rsidRPr="006F552E" w:rsidRDefault="007968EC" w:rsidP="007968EC">
            <w:pPr>
              <w:jc w:val="center"/>
              <w:rPr>
                <w:rFonts w:ascii="Arial Narrow" w:hAnsi="Arial Narrow"/>
                <w:color w:val="000000"/>
                <w:lang w:eastAsia="es-CO"/>
              </w:rPr>
            </w:pPr>
            <w:r w:rsidRPr="006F552E">
              <w:rPr>
                <w:rFonts w:ascii="Arial Narrow" w:hAnsi="Arial Narrow"/>
                <w:color w:val="000000"/>
                <w:lang w:eastAsia="es-CO"/>
              </w:rPr>
              <w:t>33.00%</w:t>
            </w:r>
          </w:p>
        </w:tc>
      </w:tr>
      <w:tr w:rsidR="007968EC" w:rsidRPr="006F552E" w14:paraId="2DAE36AA" w14:textId="77777777" w:rsidTr="007968EC">
        <w:trPr>
          <w:trHeight w:val="360"/>
          <w:jc w:val="center"/>
        </w:trPr>
        <w:tc>
          <w:tcPr>
            <w:tcW w:w="3620"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67A40496" w14:textId="77777777" w:rsidR="007968EC" w:rsidRPr="006F552E" w:rsidRDefault="007968EC" w:rsidP="007968EC">
            <w:pPr>
              <w:jc w:val="center"/>
              <w:rPr>
                <w:rFonts w:ascii="Arial Narrow" w:eastAsia="Calibri" w:hAnsi="Arial Narrow"/>
                <w:lang w:eastAsia="es-CO"/>
              </w:rPr>
            </w:pPr>
            <w:r w:rsidRPr="006F552E">
              <w:rPr>
                <w:rFonts w:ascii="Arial Narrow" w:hAnsi="Arial Narrow"/>
                <w:color w:val="000000"/>
                <w:lang w:eastAsia="es-CO"/>
              </w:rPr>
              <w:t>ACCIÓN ORDINARIA DE CANACOL</w:t>
            </w:r>
          </w:p>
        </w:tc>
        <w:tc>
          <w:tcPr>
            <w:tcW w:w="1760" w:type="dxa"/>
            <w:tcBorders>
              <w:top w:val="single" w:sz="8" w:space="0" w:color="auto"/>
              <w:left w:val="nil"/>
              <w:bottom w:val="single" w:sz="8" w:space="0" w:color="auto"/>
              <w:right w:val="single" w:sz="8" w:space="0" w:color="auto"/>
            </w:tcBorders>
            <w:shd w:val="clear" w:color="000000" w:fill="FFFFFF"/>
            <w:noWrap/>
            <w:vAlign w:val="center"/>
          </w:tcPr>
          <w:p w14:paraId="1A50ED59" w14:textId="77777777" w:rsidR="007968EC" w:rsidRPr="006F552E" w:rsidDel="005D663C" w:rsidRDefault="007968EC" w:rsidP="007968EC">
            <w:pPr>
              <w:jc w:val="center"/>
              <w:rPr>
                <w:rFonts w:ascii="Arial Narrow" w:hAnsi="Arial Narrow"/>
                <w:color w:val="000000"/>
                <w:lang w:eastAsia="es-CO"/>
              </w:rPr>
            </w:pPr>
            <w:r w:rsidRPr="006F552E">
              <w:rPr>
                <w:rFonts w:ascii="Arial Narrow" w:hAnsi="Arial Narrow"/>
                <w:color w:val="000000"/>
                <w:lang w:eastAsia="es-CO"/>
              </w:rPr>
              <w:t>48.00%</w:t>
            </w:r>
          </w:p>
        </w:tc>
      </w:tr>
      <w:tr w:rsidR="007968EC" w:rsidRPr="006F552E" w14:paraId="1461A761" w14:textId="77777777" w:rsidTr="007968EC">
        <w:trPr>
          <w:trHeight w:val="360"/>
          <w:jc w:val="center"/>
        </w:trPr>
        <w:tc>
          <w:tcPr>
            <w:tcW w:w="3620"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0F73EE9A" w14:textId="77777777" w:rsidR="007968EC" w:rsidRPr="006F552E" w:rsidRDefault="007968EC" w:rsidP="007968EC">
            <w:pPr>
              <w:jc w:val="center"/>
              <w:rPr>
                <w:rFonts w:ascii="Arial Narrow" w:eastAsia="Calibri" w:hAnsi="Arial Narrow"/>
                <w:lang w:eastAsia="es-CO"/>
              </w:rPr>
            </w:pPr>
            <w:r w:rsidRPr="006F552E">
              <w:rPr>
                <w:rFonts w:ascii="Arial Narrow" w:eastAsia="Calibri" w:hAnsi="Arial Narrow"/>
                <w:lang w:eastAsia="es-CO"/>
              </w:rPr>
              <w:t>ETF ICOLCAP</w:t>
            </w:r>
          </w:p>
        </w:tc>
        <w:tc>
          <w:tcPr>
            <w:tcW w:w="1760"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6D95516D" w14:textId="77777777" w:rsidR="007968EC" w:rsidRPr="006F552E" w:rsidRDefault="007968EC" w:rsidP="007968EC">
            <w:pPr>
              <w:jc w:val="center"/>
              <w:rPr>
                <w:rFonts w:ascii="Arial Narrow" w:hAnsi="Arial Narrow"/>
                <w:color w:val="000000"/>
                <w:lang w:eastAsia="es-CO"/>
              </w:rPr>
            </w:pPr>
            <w:r w:rsidRPr="006F552E">
              <w:rPr>
                <w:rFonts w:ascii="Arial Narrow" w:hAnsi="Arial Narrow"/>
                <w:color w:val="000000"/>
                <w:lang w:eastAsia="es-CO"/>
              </w:rPr>
              <w:t>15.00%</w:t>
            </w:r>
          </w:p>
        </w:tc>
      </w:tr>
    </w:tbl>
    <w:p w14:paraId="015EF38F" w14:textId="77777777" w:rsidR="007968EC" w:rsidRPr="006F3194" w:rsidRDefault="007968EC" w:rsidP="007968EC">
      <w:pPr>
        <w:jc w:val="both"/>
        <w:rPr>
          <w:rFonts w:ascii="Arial Narrow" w:eastAsia="Calibri" w:hAnsi="Arial Narrow"/>
          <w:b/>
        </w:rPr>
      </w:pPr>
    </w:p>
    <w:p w14:paraId="32B254B8" w14:textId="77777777" w:rsidR="007968EC" w:rsidRDefault="007968EC" w:rsidP="007968EC">
      <w:pPr>
        <w:jc w:val="both"/>
        <w:rPr>
          <w:rFonts w:ascii="Arial Narrow" w:hAnsi="Arial Narrow" w:cs="Arial"/>
          <w:lang w:val="es-ES" w:eastAsia="es-ES"/>
        </w:rPr>
      </w:pPr>
      <w:r w:rsidRPr="006F3194">
        <w:rPr>
          <w:rFonts w:ascii="Arial Narrow" w:eastAsia="Calibri" w:hAnsi="Arial Narrow"/>
          <w:b/>
        </w:rPr>
        <w:t xml:space="preserve">Parágrafo. </w:t>
      </w:r>
      <w:r w:rsidRPr="006F3194">
        <w:rPr>
          <w:rFonts w:ascii="Arial Narrow" w:eastAsia="Calibri" w:hAnsi="Arial Narrow"/>
          <w:lang w:val="es-ES"/>
        </w:rPr>
        <w:t xml:space="preserve">Los Activos serán evaluados por lo menos una vez al mes. </w:t>
      </w:r>
      <w:proofErr w:type="gramStart"/>
      <w:r w:rsidRPr="006F3194">
        <w:rPr>
          <w:rFonts w:ascii="Arial Narrow" w:eastAsia="Calibri" w:hAnsi="Arial Narrow"/>
          <w:lang w:val="es-ES"/>
        </w:rPr>
        <w:t>En caso que</w:t>
      </w:r>
      <w:proofErr w:type="gramEnd"/>
      <w:r w:rsidRPr="006F3194">
        <w:rPr>
          <w:rFonts w:ascii="Arial Narrow" w:eastAsia="Calibri" w:hAnsi="Arial Narrow"/>
          <w:lang w:val="es-ES"/>
        </w:rPr>
        <w:t xml:space="preserve"> un Activo pierda su condición de ser elegible para Operaciones Repo, se informara al Comité de Riesgos, en la siguiente sesión. Si el Activo no cuenta con una fluctuación calculada previamente, el cálculo de la misma se realizará con la metodología definida por la Cámara y se informará a los Miembros</w:t>
      </w:r>
      <w:r w:rsidRPr="006F3194">
        <w:rPr>
          <w:rFonts w:ascii="Arial Narrow" w:eastAsia="Calibri" w:hAnsi="Arial Narrow"/>
        </w:rPr>
        <w:t xml:space="preserve"> por medio de Boletín Informativo por la Cámara, sin perjuicio de la modificación a la presente Circular.</w:t>
      </w:r>
    </w:p>
    <w:p w14:paraId="7E68F148" w14:textId="77777777" w:rsidR="007968EC" w:rsidRDefault="007968EC" w:rsidP="007968EC">
      <w:pPr>
        <w:jc w:val="both"/>
        <w:rPr>
          <w:rFonts w:ascii="Arial Narrow" w:hAnsi="Arial Narrow" w:cs="Arial"/>
          <w:lang w:val="es-ES" w:eastAsia="es-ES"/>
        </w:rPr>
      </w:pPr>
    </w:p>
    <w:p w14:paraId="1AFD45B7" w14:textId="77777777" w:rsidR="007968EC" w:rsidRDefault="007968EC" w:rsidP="007968EC">
      <w:pPr>
        <w:jc w:val="both"/>
        <w:rPr>
          <w:rFonts w:ascii="Arial Narrow" w:hAnsi="Arial Narrow" w:cs="Arial"/>
          <w:lang w:val="es-ES" w:eastAsia="es-ES"/>
        </w:rPr>
      </w:pPr>
    </w:p>
    <w:p w14:paraId="01684497" w14:textId="77777777" w:rsidR="007968EC" w:rsidRPr="002C0D19" w:rsidRDefault="007968EC" w:rsidP="007968EC">
      <w:pPr>
        <w:pStyle w:val="ARTICULO0"/>
      </w:pPr>
      <w:bookmarkStart w:id="6207" w:name="_Toc490066740"/>
      <w:bookmarkStart w:id="6208" w:name="_Toc31716423"/>
      <w:r>
        <w:t>Artículo 4.5.3.4</w:t>
      </w:r>
      <w:r w:rsidRPr="002C0D19">
        <w:t>. Garantías por Grandes Posiciones.</w:t>
      </w:r>
      <w:bookmarkEnd w:id="6207"/>
      <w:bookmarkEnd w:id="6208"/>
    </w:p>
    <w:p w14:paraId="181C16CC" w14:textId="77777777" w:rsidR="007968EC" w:rsidRPr="00162F8E" w:rsidRDefault="007968EC" w:rsidP="007968EC">
      <w:pPr>
        <w:tabs>
          <w:tab w:val="left" w:pos="754"/>
        </w:tabs>
        <w:jc w:val="both"/>
        <w:rPr>
          <w:rFonts w:ascii="Arial Narrow" w:hAnsi="Arial Narrow" w:cs="Arial"/>
          <w:lang w:val="es-ES" w:eastAsia="es-ES"/>
        </w:rPr>
      </w:pPr>
    </w:p>
    <w:p w14:paraId="08A33D99" w14:textId="77777777" w:rsidR="007968EC" w:rsidRPr="00162F8E" w:rsidRDefault="007968EC" w:rsidP="007968EC">
      <w:pPr>
        <w:tabs>
          <w:tab w:val="left" w:pos="754"/>
        </w:tabs>
        <w:jc w:val="both"/>
        <w:rPr>
          <w:rFonts w:ascii="Arial Narrow" w:hAnsi="Arial Narrow" w:cs="Arial"/>
          <w:b/>
          <w:i/>
          <w:lang w:val="es-ES" w:eastAsia="es-ES"/>
        </w:rPr>
      </w:pPr>
      <w:r w:rsidRPr="00162F8E">
        <w:rPr>
          <w:rFonts w:ascii="Arial Narrow" w:hAnsi="Arial Narrow" w:cs="Arial"/>
          <w:b/>
          <w:i/>
          <w:lang w:val="es-ES" w:eastAsia="es-ES"/>
        </w:rPr>
        <w:t xml:space="preserve">(Este artículo fue modificado y renumerado mediante Circular 6 del 24 de abril de 2018, publicada en el Boletín Normativo </w:t>
      </w:r>
      <w:r>
        <w:rPr>
          <w:rFonts w:ascii="Arial Narrow" w:hAnsi="Arial Narrow" w:cs="Arial"/>
          <w:b/>
          <w:i/>
          <w:lang w:val="es-ES" w:eastAsia="es-ES"/>
        </w:rPr>
        <w:t>No. 009 del 24 de abril de 2018,</w:t>
      </w:r>
      <w:r w:rsidRPr="00162F8E">
        <w:rPr>
          <w:rFonts w:ascii="Arial Narrow" w:hAnsi="Arial Narrow" w:cs="Arial"/>
          <w:b/>
          <w:i/>
          <w:lang w:val="es-ES" w:eastAsia="es-ES"/>
        </w:rPr>
        <w:t xml:space="preserve"> </w:t>
      </w:r>
      <w:r w:rsidRPr="00ED287A">
        <w:rPr>
          <w:rFonts w:ascii="Arial Narrow" w:eastAsia="Calibri" w:hAnsi="Arial Narrow" w:cs="Arial"/>
          <w:b/>
          <w:i/>
          <w:lang w:eastAsia="es-ES"/>
        </w:rPr>
        <w:t xml:space="preserve">y </w:t>
      </w:r>
      <w:r>
        <w:rPr>
          <w:rFonts w:ascii="Arial Narrow" w:eastAsia="Calibri" w:hAnsi="Arial Narrow" w:cs="Arial"/>
          <w:b/>
          <w:i/>
          <w:lang w:eastAsia="es-ES"/>
        </w:rPr>
        <w:t xml:space="preserve">modificado </w:t>
      </w:r>
      <w:r w:rsidRPr="00ED287A">
        <w:rPr>
          <w:rFonts w:ascii="Arial Narrow" w:eastAsia="Calibri" w:hAnsi="Arial Narrow" w:cs="Arial"/>
          <w:b/>
          <w:i/>
          <w:lang w:eastAsia="es-ES"/>
        </w:rPr>
        <w:t xml:space="preserve">mediante Circular 12 del 17 de </w:t>
      </w:r>
      <w:r w:rsidRPr="00ED287A">
        <w:rPr>
          <w:rFonts w:ascii="Arial Narrow" w:eastAsia="Calibri" w:hAnsi="Arial Narrow" w:cs="Arial"/>
          <w:b/>
          <w:i/>
          <w:lang w:eastAsia="es-ES"/>
        </w:rPr>
        <w:lastRenderedPageBreak/>
        <w:t>septiembre de 2018, publicada en el Boletín Normativo No. 022 del 17 de septiembre de 2018</w:t>
      </w:r>
      <w:r>
        <w:rPr>
          <w:rFonts w:ascii="Arial Narrow" w:eastAsia="Calibri" w:hAnsi="Arial Narrow" w:cs="Arial"/>
          <w:b/>
          <w:i/>
          <w:lang w:eastAsia="es-ES"/>
        </w:rPr>
        <w:t xml:space="preserve">, </w:t>
      </w:r>
      <w:r w:rsidRPr="003F073A">
        <w:rPr>
          <w:rFonts w:ascii="Arial Narrow" w:hAnsi="Arial Narrow"/>
          <w:b/>
          <w:i/>
        </w:rPr>
        <w:t xml:space="preserve">y mediante Circular 20 del 6 de diciembre de 2019, publicada en el Boletín Normativo No. 035 del 6 de diciembre de 2019. Rige a partir del </w:t>
      </w:r>
      <w:r>
        <w:rPr>
          <w:rFonts w:ascii="Arial Narrow" w:hAnsi="Arial Narrow"/>
          <w:b/>
          <w:i/>
        </w:rPr>
        <w:t>11</w:t>
      </w:r>
      <w:r w:rsidRPr="003F073A">
        <w:rPr>
          <w:rFonts w:ascii="Arial Narrow" w:hAnsi="Arial Narrow"/>
          <w:b/>
          <w:i/>
        </w:rPr>
        <w:t xml:space="preserve"> de diciembre de 2019).</w:t>
      </w:r>
    </w:p>
    <w:p w14:paraId="797EB902" w14:textId="77777777" w:rsidR="007968EC" w:rsidRPr="00162F8E" w:rsidRDefault="007968EC" w:rsidP="007968EC">
      <w:pPr>
        <w:tabs>
          <w:tab w:val="left" w:pos="754"/>
        </w:tabs>
        <w:jc w:val="both"/>
        <w:rPr>
          <w:rFonts w:ascii="Arial Narrow" w:hAnsi="Arial Narrow" w:cs="Arial"/>
          <w:lang w:val="es-ES" w:eastAsia="es-ES"/>
        </w:rPr>
      </w:pPr>
    </w:p>
    <w:p w14:paraId="0D8C808C" w14:textId="77777777" w:rsidR="007968EC" w:rsidRPr="003F073A" w:rsidRDefault="007968EC" w:rsidP="007968EC">
      <w:pPr>
        <w:tabs>
          <w:tab w:val="left" w:pos="754"/>
        </w:tabs>
        <w:jc w:val="both"/>
        <w:rPr>
          <w:rFonts w:ascii="Arial Narrow" w:hAnsi="Arial Narrow" w:cs="Arial"/>
          <w:lang w:val="es-ES" w:eastAsia="es-ES"/>
        </w:rPr>
      </w:pPr>
      <w:proofErr w:type="gramStart"/>
      <w:r w:rsidRPr="003F073A">
        <w:rPr>
          <w:rFonts w:ascii="Arial Narrow" w:hAnsi="Arial Narrow" w:cs="Arial"/>
          <w:lang w:val="es-ES" w:eastAsia="es-ES"/>
        </w:rPr>
        <w:t>En caso que</w:t>
      </w:r>
      <w:proofErr w:type="gramEnd"/>
      <w:r w:rsidRPr="003F073A">
        <w:rPr>
          <w:rFonts w:ascii="Arial Narrow" w:hAnsi="Arial Narrow" w:cs="Arial"/>
          <w:lang w:val="es-ES" w:eastAsia="es-ES"/>
        </w:rPr>
        <w:t xml:space="preserve"> el valor de la Posición Abierta neta de una Cuenta, ya sea de Registro de la Posición Propia o de un Tercero Identificado, y en un determinado Activo objeto de las Operaciones Repo supere el 100% del Volumen Medio Diario será considerada como una Gran Posición, por lo tanto, se entiende que el horizonte de tiempo (días) necesario para cerrar dicha posición aumenta, según lo muestra la siguiente tabla:</w:t>
      </w:r>
    </w:p>
    <w:p w14:paraId="622C2BA3" w14:textId="77777777" w:rsidR="007968EC" w:rsidRPr="003F073A" w:rsidRDefault="007968EC" w:rsidP="007968EC">
      <w:pPr>
        <w:tabs>
          <w:tab w:val="left" w:pos="754"/>
        </w:tabs>
        <w:jc w:val="both"/>
        <w:rPr>
          <w:rFonts w:ascii="Arial Narrow" w:hAnsi="Arial Narrow" w:cs="Arial"/>
          <w:lang w:val="es-ES" w:eastAsia="es-ES"/>
        </w:rPr>
      </w:pPr>
    </w:p>
    <w:tbl>
      <w:tblPr>
        <w:tblStyle w:val="Tablaconcuadrcula1132"/>
        <w:tblpPr w:leftFromText="141" w:rightFromText="141" w:vertAnchor="text" w:horzAnchor="margin" w:tblpXSpec="center" w:tblpY="47"/>
        <w:tblW w:w="5000" w:type="pct"/>
        <w:tblLook w:val="04A0" w:firstRow="1" w:lastRow="0" w:firstColumn="1" w:lastColumn="0" w:noHBand="0" w:noVBand="1"/>
      </w:tblPr>
      <w:tblGrid>
        <w:gridCol w:w="5160"/>
        <w:gridCol w:w="4236"/>
      </w:tblGrid>
      <w:tr w:rsidR="007968EC" w:rsidRPr="003F073A" w14:paraId="07640BFC" w14:textId="77777777" w:rsidTr="007968EC">
        <w:trPr>
          <w:trHeight w:val="226"/>
        </w:trPr>
        <w:tc>
          <w:tcPr>
            <w:tcW w:w="2746" w:type="pct"/>
          </w:tcPr>
          <w:p w14:paraId="5392EF92" w14:textId="77777777" w:rsidR="007968EC" w:rsidRPr="003F073A" w:rsidRDefault="007968EC" w:rsidP="007968EC">
            <w:pPr>
              <w:tabs>
                <w:tab w:val="left" w:pos="754"/>
              </w:tabs>
              <w:jc w:val="center"/>
              <w:rPr>
                <w:rFonts w:ascii="Arial Narrow" w:hAnsi="Arial Narrow" w:cs="Arial"/>
              </w:rPr>
            </w:pPr>
            <w:r w:rsidRPr="003F073A">
              <w:rPr>
                <w:rFonts w:ascii="Arial Narrow" w:hAnsi="Arial Narrow" w:cs="Arial"/>
                <w:bCs/>
                <w:color w:val="000000"/>
              </w:rPr>
              <w:t>% Sobre el Volumen Medio Diario</w:t>
            </w:r>
          </w:p>
        </w:tc>
        <w:tc>
          <w:tcPr>
            <w:tcW w:w="2254" w:type="pct"/>
          </w:tcPr>
          <w:p w14:paraId="46FD8855" w14:textId="77777777" w:rsidR="007968EC" w:rsidRPr="003F073A" w:rsidRDefault="007968EC" w:rsidP="007968EC">
            <w:pPr>
              <w:tabs>
                <w:tab w:val="left" w:pos="754"/>
              </w:tabs>
              <w:jc w:val="center"/>
              <w:rPr>
                <w:rFonts w:ascii="Arial Narrow" w:hAnsi="Arial Narrow" w:cs="Arial"/>
              </w:rPr>
            </w:pPr>
            <w:r w:rsidRPr="003F073A">
              <w:rPr>
                <w:rFonts w:ascii="Arial Narrow" w:hAnsi="Arial Narrow" w:cs="Arial"/>
                <w:bCs/>
                <w:color w:val="000000"/>
              </w:rPr>
              <w:t>Horizonte de Tiempo (días)</w:t>
            </w:r>
          </w:p>
        </w:tc>
      </w:tr>
      <w:tr w:rsidR="007968EC" w:rsidRPr="003F073A" w14:paraId="738C6915" w14:textId="77777777" w:rsidTr="007968EC">
        <w:trPr>
          <w:trHeight w:val="226"/>
        </w:trPr>
        <w:tc>
          <w:tcPr>
            <w:tcW w:w="2746" w:type="pct"/>
          </w:tcPr>
          <w:p w14:paraId="242C73A0" w14:textId="77777777" w:rsidR="007968EC" w:rsidRPr="003F073A" w:rsidRDefault="007968EC" w:rsidP="007968EC">
            <w:pPr>
              <w:tabs>
                <w:tab w:val="left" w:pos="754"/>
              </w:tabs>
              <w:jc w:val="center"/>
              <w:rPr>
                <w:rFonts w:ascii="Arial Narrow" w:hAnsi="Arial Narrow" w:cs="Arial"/>
              </w:rPr>
            </w:pPr>
            <w:r w:rsidRPr="003F073A">
              <w:rPr>
                <w:rFonts w:ascii="Arial Narrow" w:hAnsi="Arial Narrow" w:cs="Arial"/>
              </w:rPr>
              <w:t>Entre un 100% y 150%</w:t>
            </w:r>
          </w:p>
        </w:tc>
        <w:tc>
          <w:tcPr>
            <w:tcW w:w="2254" w:type="pct"/>
          </w:tcPr>
          <w:p w14:paraId="585C99FD" w14:textId="77777777" w:rsidR="007968EC" w:rsidRPr="003F073A" w:rsidRDefault="007968EC" w:rsidP="007968EC">
            <w:pPr>
              <w:tabs>
                <w:tab w:val="left" w:pos="754"/>
              </w:tabs>
              <w:jc w:val="center"/>
              <w:rPr>
                <w:rFonts w:ascii="Arial Narrow" w:hAnsi="Arial Narrow" w:cs="Arial"/>
              </w:rPr>
            </w:pPr>
            <w:r w:rsidRPr="003F073A">
              <w:rPr>
                <w:rFonts w:ascii="Arial Narrow" w:hAnsi="Arial Narrow" w:cs="Arial"/>
              </w:rPr>
              <w:t>3</w:t>
            </w:r>
          </w:p>
        </w:tc>
      </w:tr>
      <w:tr w:rsidR="007968EC" w:rsidRPr="003F073A" w14:paraId="327D43A1" w14:textId="77777777" w:rsidTr="007968EC">
        <w:trPr>
          <w:trHeight w:val="226"/>
        </w:trPr>
        <w:tc>
          <w:tcPr>
            <w:tcW w:w="2746" w:type="pct"/>
          </w:tcPr>
          <w:p w14:paraId="6CA8333A" w14:textId="77777777" w:rsidR="007968EC" w:rsidRPr="003F073A" w:rsidRDefault="007968EC" w:rsidP="007968EC">
            <w:pPr>
              <w:tabs>
                <w:tab w:val="left" w:pos="754"/>
              </w:tabs>
              <w:jc w:val="center"/>
              <w:rPr>
                <w:rFonts w:ascii="Arial Narrow" w:hAnsi="Arial Narrow" w:cs="Arial"/>
              </w:rPr>
            </w:pPr>
            <w:r w:rsidRPr="003F073A">
              <w:rPr>
                <w:rFonts w:ascii="Arial Narrow" w:hAnsi="Arial Narrow" w:cs="Arial"/>
              </w:rPr>
              <w:t>Entre un 150% y 200%</w:t>
            </w:r>
          </w:p>
        </w:tc>
        <w:tc>
          <w:tcPr>
            <w:tcW w:w="2254" w:type="pct"/>
          </w:tcPr>
          <w:p w14:paraId="0BC227CB" w14:textId="77777777" w:rsidR="007968EC" w:rsidRPr="003F073A" w:rsidRDefault="007968EC" w:rsidP="007968EC">
            <w:pPr>
              <w:tabs>
                <w:tab w:val="left" w:pos="754"/>
              </w:tabs>
              <w:jc w:val="center"/>
              <w:rPr>
                <w:rFonts w:ascii="Arial Narrow" w:hAnsi="Arial Narrow" w:cs="Arial"/>
              </w:rPr>
            </w:pPr>
            <w:r w:rsidRPr="003F073A">
              <w:rPr>
                <w:rFonts w:ascii="Arial Narrow" w:hAnsi="Arial Narrow" w:cs="Arial"/>
              </w:rPr>
              <w:t>4</w:t>
            </w:r>
          </w:p>
        </w:tc>
      </w:tr>
      <w:tr w:rsidR="007968EC" w:rsidRPr="003F073A" w14:paraId="6B5BA4DE" w14:textId="77777777" w:rsidTr="007968EC">
        <w:trPr>
          <w:trHeight w:val="214"/>
        </w:trPr>
        <w:tc>
          <w:tcPr>
            <w:tcW w:w="2746" w:type="pct"/>
          </w:tcPr>
          <w:p w14:paraId="0A9849C3" w14:textId="77777777" w:rsidR="007968EC" w:rsidRPr="003F073A" w:rsidRDefault="007968EC" w:rsidP="007968EC">
            <w:pPr>
              <w:tabs>
                <w:tab w:val="left" w:pos="754"/>
              </w:tabs>
              <w:jc w:val="center"/>
              <w:rPr>
                <w:rFonts w:ascii="Arial Narrow" w:hAnsi="Arial Narrow" w:cs="Arial"/>
              </w:rPr>
            </w:pPr>
            <w:r w:rsidRPr="003F073A">
              <w:rPr>
                <w:rFonts w:ascii="Arial Narrow" w:hAnsi="Arial Narrow" w:cs="Arial"/>
              </w:rPr>
              <w:t>Mayor a un 200%</w:t>
            </w:r>
          </w:p>
        </w:tc>
        <w:tc>
          <w:tcPr>
            <w:tcW w:w="2254" w:type="pct"/>
          </w:tcPr>
          <w:p w14:paraId="0F528241" w14:textId="77777777" w:rsidR="007968EC" w:rsidRPr="003F073A" w:rsidRDefault="007968EC" w:rsidP="007968EC">
            <w:pPr>
              <w:tabs>
                <w:tab w:val="left" w:pos="754"/>
              </w:tabs>
              <w:jc w:val="center"/>
              <w:rPr>
                <w:rFonts w:ascii="Arial Narrow" w:hAnsi="Arial Narrow" w:cs="Arial"/>
              </w:rPr>
            </w:pPr>
            <w:r w:rsidRPr="003F073A">
              <w:rPr>
                <w:rFonts w:ascii="Arial Narrow" w:hAnsi="Arial Narrow" w:cs="Arial"/>
              </w:rPr>
              <w:t>5</w:t>
            </w:r>
          </w:p>
        </w:tc>
      </w:tr>
    </w:tbl>
    <w:p w14:paraId="35D0CDC3" w14:textId="77777777" w:rsidR="007968EC" w:rsidRPr="003F073A" w:rsidRDefault="007968EC" w:rsidP="007968EC">
      <w:pPr>
        <w:tabs>
          <w:tab w:val="left" w:pos="754"/>
        </w:tabs>
        <w:jc w:val="both"/>
        <w:rPr>
          <w:rFonts w:ascii="Arial Narrow" w:hAnsi="Arial Narrow" w:cs="Arial"/>
          <w:lang w:val="es-ES" w:eastAsia="es-ES"/>
        </w:rPr>
      </w:pPr>
    </w:p>
    <w:p w14:paraId="26728816" w14:textId="77777777" w:rsidR="007968EC" w:rsidRPr="003F073A" w:rsidRDefault="007968EC" w:rsidP="007968EC">
      <w:pPr>
        <w:tabs>
          <w:tab w:val="left" w:pos="754"/>
        </w:tabs>
        <w:jc w:val="both"/>
        <w:rPr>
          <w:rFonts w:ascii="Arial Narrow" w:hAnsi="Arial Narrow" w:cs="Arial"/>
          <w:lang w:val="es-ES" w:eastAsia="es-ES"/>
        </w:rPr>
      </w:pPr>
      <w:r w:rsidRPr="003F073A">
        <w:rPr>
          <w:rFonts w:ascii="Arial Narrow" w:hAnsi="Arial Narrow" w:cs="Arial"/>
          <w:lang w:val="es-ES" w:eastAsia="es-ES"/>
        </w:rPr>
        <w:t>Por tal razón los parámetros para el cálculo de la Garantía por Posición se incrementarán de acuerdo al incremento del horizonte de tiempo (días) necesario para cerrar la posición según se muestra en la siguiente tabla:</w:t>
      </w:r>
    </w:p>
    <w:p w14:paraId="12DB6A18" w14:textId="77777777" w:rsidR="007968EC" w:rsidRPr="003F073A" w:rsidRDefault="007968EC" w:rsidP="007968EC">
      <w:pPr>
        <w:tabs>
          <w:tab w:val="left" w:pos="754"/>
        </w:tabs>
        <w:jc w:val="center"/>
        <w:rPr>
          <w:rFonts w:ascii="Arial Narrow" w:hAnsi="Arial Narrow" w:cs="Arial"/>
          <w:lang w:val="es-ES" w:eastAsia="es-ES"/>
        </w:rPr>
      </w:pPr>
    </w:p>
    <w:tbl>
      <w:tblPr>
        <w:tblStyle w:val="Tablaconcuadrcula16"/>
        <w:tblW w:w="5000" w:type="pct"/>
        <w:jc w:val="center"/>
        <w:tblLook w:val="04A0" w:firstRow="1" w:lastRow="0" w:firstColumn="1" w:lastColumn="0" w:noHBand="0" w:noVBand="1"/>
      </w:tblPr>
      <w:tblGrid>
        <w:gridCol w:w="3167"/>
        <w:gridCol w:w="3104"/>
        <w:gridCol w:w="3125"/>
      </w:tblGrid>
      <w:tr w:rsidR="007968EC" w:rsidRPr="003F073A" w14:paraId="1F128195" w14:textId="77777777" w:rsidTr="007968EC">
        <w:trPr>
          <w:trHeight w:val="520"/>
          <w:jc w:val="center"/>
        </w:trPr>
        <w:tc>
          <w:tcPr>
            <w:tcW w:w="1685" w:type="pct"/>
          </w:tcPr>
          <w:p w14:paraId="0681D3BE" w14:textId="77777777" w:rsidR="007968EC" w:rsidRPr="003F073A" w:rsidRDefault="007968EC" w:rsidP="007968EC">
            <w:pPr>
              <w:tabs>
                <w:tab w:val="left" w:pos="754"/>
              </w:tabs>
              <w:jc w:val="center"/>
              <w:rPr>
                <w:rFonts w:ascii="Arial Narrow" w:hAnsi="Arial Narrow" w:cs="Arial"/>
              </w:rPr>
            </w:pPr>
            <w:r w:rsidRPr="003F073A">
              <w:rPr>
                <w:rFonts w:ascii="Arial Narrow" w:hAnsi="Arial Narrow" w:cs="Arial"/>
                <w:bCs/>
                <w:color w:val="000000"/>
              </w:rPr>
              <w:t>% Sobre el Volumen Medio Diario</w:t>
            </w:r>
          </w:p>
        </w:tc>
        <w:tc>
          <w:tcPr>
            <w:tcW w:w="1652" w:type="pct"/>
          </w:tcPr>
          <w:p w14:paraId="3DA4DC44" w14:textId="77777777" w:rsidR="007968EC" w:rsidRPr="003F073A" w:rsidRDefault="007968EC" w:rsidP="007968EC">
            <w:pPr>
              <w:tabs>
                <w:tab w:val="left" w:pos="754"/>
              </w:tabs>
              <w:jc w:val="center"/>
              <w:rPr>
                <w:rFonts w:ascii="Arial Narrow" w:hAnsi="Arial Narrow" w:cs="Arial"/>
              </w:rPr>
            </w:pPr>
            <w:r w:rsidRPr="003F073A">
              <w:rPr>
                <w:rFonts w:ascii="Arial Narrow" w:hAnsi="Arial Narrow" w:cs="Arial"/>
                <w:bCs/>
                <w:color w:val="000000"/>
              </w:rPr>
              <w:t>Horizonte de Tiempo (días)</w:t>
            </w:r>
          </w:p>
        </w:tc>
        <w:tc>
          <w:tcPr>
            <w:tcW w:w="1663" w:type="pct"/>
          </w:tcPr>
          <w:p w14:paraId="78A2F80A" w14:textId="77777777" w:rsidR="007968EC" w:rsidRPr="003F073A" w:rsidRDefault="007968EC" w:rsidP="007968EC">
            <w:pPr>
              <w:tabs>
                <w:tab w:val="left" w:pos="754"/>
              </w:tabs>
              <w:jc w:val="center"/>
              <w:rPr>
                <w:rFonts w:ascii="Arial Narrow" w:hAnsi="Arial Narrow" w:cs="Arial"/>
              </w:rPr>
            </w:pPr>
            <w:r w:rsidRPr="003F073A">
              <w:rPr>
                <w:rFonts w:ascii="Arial Narrow" w:hAnsi="Arial Narrow" w:cs="Arial"/>
                <w:bCs/>
                <w:color w:val="000000"/>
              </w:rPr>
              <w:t>% de incremento en la Garantía por Posición.</w:t>
            </w:r>
          </w:p>
        </w:tc>
      </w:tr>
      <w:tr w:rsidR="007968EC" w:rsidRPr="003F073A" w14:paraId="4558224C" w14:textId="77777777" w:rsidTr="007968EC">
        <w:trPr>
          <w:trHeight w:val="340"/>
          <w:jc w:val="center"/>
        </w:trPr>
        <w:tc>
          <w:tcPr>
            <w:tcW w:w="1685" w:type="pct"/>
          </w:tcPr>
          <w:p w14:paraId="240204FA" w14:textId="77777777" w:rsidR="007968EC" w:rsidRPr="003F073A" w:rsidRDefault="007968EC" w:rsidP="007968EC">
            <w:pPr>
              <w:tabs>
                <w:tab w:val="left" w:pos="754"/>
              </w:tabs>
              <w:jc w:val="center"/>
              <w:rPr>
                <w:rFonts w:ascii="Arial Narrow" w:hAnsi="Arial Narrow" w:cs="Arial"/>
              </w:rPr>
            </w:pPr>
            <w:r w:rsidRPr="003F073A">
              <w:rPr>
                <w:rFonts w:ascii="Arial Narrow" w:hAnsi="Arial Narrow" w:cs="Arial"/>
              </w:rPr>
              <w:t>Entre un 100% y 150%</w:t>
            </w:r>
          </w:p>
        </w:tc>
        <w:tc>
          <w:tcPr>
            <w:tcW w:w="1652" w:type="pct"/>
          </w:tcPr>
          <w:p w14:paraId="7C85A81C" w14:textId="77777777" w:rsidR="007968EC" w:rsidRPr="003F073A" w:rsidRDefault="007968EC" w:rsidP="007968EC">
            <w:pPr>
              <w:tabs>
                <w:tab w:val="left" w:pos="754"/>
              </w:tabs>
              <w:jc w:val="center"/>
              <w:rPr>
                <w:rFonts w:ascii="Arial Narrow" w:hAnsi="Arial Narrow" w:cs="Arial"/>
              </w:rPr>
            </w:pPr>
            <w:r w:rsidRPr="003F073A">
              <w:rPr>
                <w:rFonts w:ascii="Arial Narrow" w:hAnsi="Arial Narrow" w:cs="Arial"/>
              </w:rPr>
              <w:t>3</w:t>
            </w:r>
          </w:p>
        </w:tc>
        <w:tc>
          <w:tcPr>
            <w:tcW w:w="1663" w:type="pct"/>
          </w:tcPr>
          <w:p w14:paraId="2E8F2A57" w14:textId="77777777" w:rsidR="007968EC" w:rsidRPr="003F073A" w:rsidRDefault="007968EC" w:rsidP="007968EC">
            <w:pPr>
              <w:tabs>
                <w:tab w:val="left" w:pos="754"/>
              </w:tabs>
              <w:jc w:val="center"/>
              <w:rPr>
                <w:rFonts w:ascii="Arial Narrow" w:hAnsi="Arial Narrow" w:cs="Arial"/>
              </w:rPr>
            </w:pPr>
            <w:r w:rsidRPr="003F073A">
              <w:rPr>
                <w:rFonts w:ascii="Arial Narrow" w:hAnsi="Arial Narrow" w:cs="Arial"/>
              </w:rPr>
              <w:t>28%</w:t>
            </w:r>
          </w:p>
        </w:tc>
      </w:tr>
      <w:tr w:rsidR="007968EC" w:rsidRPr="003F073A" w14:paraId="3538696C" w14:textId="77777777" w:rsidTr="007968EC">
        <w:trPr>
          <w:trHeight w:val="350"/>
          <w:jc w:val="center"/>
        </w:trPr>
        <w:tc>
          <w:tcPr>
            <w:tcW w:w="1685" w:type="pct"/>
          </w:tcPr>
          <w:p w14:paraId="61289D84" w14:textId="77777777" w:rsidR="007968EC" w:rsidRPr="003F073A" w:rsidRDefault="007968EC" w:rsidP="007968EC">
            <w:pPr>
              <w:tabs>
                <w:tab w:val="left" w:pos="754"/>
              </w:tabs>
              <w:jc w:val="center"/>
              <w:rPr>
                <w:rFonts w:ascii="Arial Narrow" w:hAnsi="Arial Narrow" w:cs="Arial"/>
              </w:rPr>
            </w:pPr>
            <w:r w:rsidRPr="003F073A">
              <w:rPr>
                <w:rFonts w:ascii="Arial Narrow" w:hAnsi="Arial Narrow" w:cs="Arial"/>
              </w:rPr>
              <w:t>Entre un 150% y 200%</w:t>
            </w:r>
          </w:p>
        </w:tc>
        <w:tc>
          <w:tcPr>
            <w:tcW w:w="1652" w:type="pct"/>
          </w:tcPr>
          <w:p w14:paraId="6E2FBDF9" w14:textId="77777777" w:rsidR="007968EC" w:rsidRPr="003F073A" w:rsidRDefault="007968EC" w:rsidP="007968EC">
            <w:pPr>
              <w:tabs>
                <w:tab w:val="left" w:pos="754"/>
              </w:tabs>
              <w:jc w:val="center"/>
              <w:rPr>
                <w:rFonts w:ascii="Arial Narrow" w:hAnsi="Arial Narrow" w:cs="Arial"/>
              </w:rPr>
            </w:pPr>
            <w:r w:rsidRPr="003F073A">
              <w:rPr>
                <w:rFonts w:ascii="Arial Narrow" w:hAnsi="Arial Narrow" w:cs="Arial"/>
              </w:rPr>
              <w:t>4</w:t>
            </w:r>
          </w:p>
        </w:tc>
        <w:tc>
          <w:tcPr>
            <w:tcW w:w="1663" w:type="pct"/>
          </w:tcPr>
          <w:p w14:paraId="3897DE50" w14:textId="77777777" w:rsidR="007968EC" w:rsidRPr="003F073A" w:rsidRDefault="007968EC" w:rsidP="007968EC">
            <w:pPr>
              <w:tabs>
                <w:tab w:val="left" w:pos="754"/>
              </w:tabs>
              <w:jc w:val="center"/>
              <w:rPr>
                <w:rFonts w:ascii="Arial Narrow" w:hAnsi="Arial Narrow" w:cs="Arial"/>
              </w:rPr>
            </w:pPr>
            <w:r w:rsidRPr="003F073A">
              <w:rPr>
                <w:rFonts w:ascii="Arial Narrow" w:hAnsi="Arial Narrow" w:cs="Arial"/>
              </w:rPr>
              <w:t>52%</w:t>
            </w:r>
          </w:p>
        </w:tc>
      </w:tr>
      <w:tr w:rsidR="007968EC" w:rsidRPr="003F073A" w14:paraId="4AB87C59" w14:textId="77777777" w:rsidTr="007968EC">
        <w:trPr>
          <w:trHeight w:val="160"/>
          <w:jc w:val="center"/>
        </w:trPr>
        <w:tc>
          <w:tcPr>
            <w:tcW w:w="1685" w:type="pct"/>
          </w:tcPr>
          <w:p w14:paraId="50311D37" w14:textId="77777777" w:rsidR="007968EC" w:rsidRPr="003F073A" w:rsidRDefault="007968EC" w:rsidP="007968EC">
            <w:pPr>
              <w:tabs>
                <w:tab w:val="left" w:pos="754"/>
              </w:tabs>
              <w:jc w:val="center"/>
              <w:rPr>
                <w:rFonts w:ascii="Arial Narrow" w:hAnsi="Arial Narrow" w:cs="Arial"/>
              </w:rPr>
            </w:pPr>
            <w:r w:rsidRPr="003F073A">
              <w:rPr>
                <w:rFonts w:ascii="Arial Narrow" w:hAnsi="Arial Narrow" w:cs="Arial"/>
              </w:rPr>
              <w:t>Mayor a un 200%</w:t>
            </w:r>
          </w:p>
        </w:tc>
        <w:tc>
          <w:tcPr>
            <w:tcW w:w="1652" w:type="pct"/>
          </w:tcPr>
          <w:p w14:paraId="073A9DAD" w14:textId="77777777" w:rsidR="007968EC" w:rsidRPr="003F073A" w:rsidRDefault="007968EC" w:rsidP="007968EC">
            <w:pPr>
              <w:tabs>
                <w:tab w:val="left" w:pos="754"/>
              </w:tabs>
              <w:jc w:val="center"/>
              <w:rPr>
                <w:rFonts w:ascii="Arial Narrow" w:hAnsi="Arial Narrow" w:cs="Arial"/>
              </w:rPr>
            </w:pPr>
            <w:r w:rsidRPr="003F073A">
              <w:rPr>
                <w:rFonts w:ascii="Arial Narrow" w:hAnsi="Arial Narrow" w:cs="Arial"/>
              </w:rPr>
              <w:t>5</w:t>
            </w:r>
          </w:p>
        </w:tc>
        <w:tc>
          <w:tcPr>
            <w:tcW w:w="1663" w:type="pct"/>
          </w:tcPr>
          <w:p w14:paraId="6EBFAF64" w14:textId="77777777" w:rsidR="007968EC" w:rsidRPr="003F073A" w:rsidRDefault="007968EC" w:rsidP="007968EC">
            <w:pPr>
              <w:tabs>
                <w:tab w:val="left" w:pos="754"/>
              </w:tabs>
              <w:jc w:val="center"/>
              <w:rPr>
                <w:rFonts w:ascii="Arial Narrow" w:hAnsi="Arial Narrow" w:cs="Arial"/>
              </w:rPr>
            </w:pPr>
            <w:r w:rsidRPr="003F073A">
              <w:rPr>
                <w:rFonts w:ascii="Arial Narrow" w:hAnsi="Arial Narrow" w:cs="Arial"/>
              </w:rPr>
              <w:t>73%</w:t>
            </w:r>
          </w:p>
        </w:tc>
      </w:tr>
    </w:tbl>
    <w:p w14:paraId="22874743" w14:textId="77777777" w:rsidR="007968EC" w:rsidRPr="003F073A" w:rsidRDefault="007968EC" w:rsidP="007968EC">
      <w:pPr>
        <w:jc w:val="both"/>
        <w:rPr>
          <w:rFonts w:ascii="Arial Narrow" w:eastAsia="Calibri" w:hAnsi="Arial Narrow"/>
          <w:b/>
        </w:rPr>
      </w:pPr>
    </w:p>
    <w:p w14:paraId="3AC5A284" w14:textId="77777777" w:rsidR="007968EC" w:rsidRPr="003F073A" w:rsidRDefault="007968EC" w:rsidP="007968EC">
      <w:pPr>
        <w:rPr>
          <w:rFonts w:ascii="Arial Narrow" w:eastAsia="Calibri" w:hAnsi="Arial Narrow"/>
          <w:bCs/>
        </w:rPr>
      </w:pPr>
      <w:r w:rsidRPr="003F073A">
        <w:rPr>
          <w:rFonts w:ascii="Arial Narrow" w:eastAsia="Calibri" w:hAnsi="Arial Narrow"/>
          <w:bCs/>
        </w:rPr>
        <w:t>El incremento de las fluctuaciones y de las fluctuaciones de estrés en el caso de existir una Gran Posición se hará efectivo en el siguiente día hábil de registrada dicha posición.</w:t>
      </w:r>
    </w:p>
    <w:p w14:paraId="4AF87F3D" w14:textId="77777777" w:rsidR="007968EC" w:rsidRPr="002C0D19" w:rsidRDefault="007968EC" w:rsidP="007968EC">
      <w:pPr>
        <w:rPr>
          <w:rFonts w:ascii="Arial Narrow" w:eastAsia="Calibri" w:hAnsi="Arial Narrow"/>
          <w:lang w:eastAsia="es-ES"/>
        </w:rPr>
      </w:pPr>
    </w:p>
    <w:p w14:paraId="3A362678" w14:textId="77777777" w:rsidR="007968EC" w:rsidRPr="002C0D19" w:rsidRDefault="007968EC" w:rsidP="007968EC">
      <w:pPr>
        <w:pStyle w:val="ARTICULO0"/>
      </w:pPr>
      <w:bookmarkStart w:id="6209" w:name="_Toc31716424"/>
      <w:r w:rsidRPr="00F10905">
        <w:t>Artículo 4.5.3.5. Escenarios de variación de precio para el cálculo del riesgo en situación de estrés</w:t>
      </w:r>
      <w:r w:rsidRPr="002C0D19">
        <w:t xml:space="preserve"> para el Segmento de Renta Variable.</w:t>
      </w:r>
      <w:bookmarkEnd w:id="6209"/>
    </w:p>
    <w:p w14:paraId="4A6EA53B" w14:textId="77777777" w:rsidR="007968EC" w:rsidRDefault="007968EC" w:rsidP="007968EC">
      <w:pPr>
        <w:rPr>
          <w:rFonts w:ascii="Arial Narrow" w:hAnsi="Arial Narrow" w:cs="Arial"/>
          <w:b/>
          <w:lang w:eastAsia="es-ES"/>
        </w:rPr>
      </w:pPr>
    </w:p>
    <w:p w14:paraId="11C5A7E5" w14:textId="77777777" w:rsidR="007968EC" w:rsidRPr="00162F8E" w:rsidRDefault="007968EC" w:rsidP="007968EC">
      <w:pPr>
        <w:jc w:val="both"/>
        <w:rPr>
          <w:rFonts w:ascii="Arial Narrow" w:hAnsi="Arial Narrow" w:cs="Arial"/>
          <w:b/>
          <w:i/>
          <w:lang w:val="es-ES" w:eastAsia="es-ES"/>
        </w:rPr>
      </w:pPr>
      <w:r w:rsidRPr="00162F8E">
        <w:rPr>
          <w:rFonts w:ascii="Arial Narrow" w:hAnsi="Arial Narrow" w:cs="Arial"/>
          <w:b/>
          <w:i/>
          <w:lang w:val="es-ES" w:eastAsia="es-ES"/>
        </w:rPr>
        <w:t xml:space="preserve">(Este artículo fue renumerado mediante Circular 6 del 24 de abril de 2018, publicada en el Boletín Normativo No. 009 del 24 de abril de </w:t>
      </w:r>
      <w:r>
        <w:rPr>
          <w:rFonts w:ascii="Arial Narrow" w:hAnsi="Arial Narrow" w:cs="Arial"/>
          <w:b/>
          <w:i/>
          <w:lang w:val="es-ES" w:eastAsia="es-ES"/>
        </w:rPr>
        <w:t>2018, y modificado mediante Circular 9 del 14 de junio de 2018, publicada en el Boletín Normativo No. 012 del 14 de junio de 2018. Rige a partir del 1</w:t>
      </w:r>
      <w:r w:rsidRPr="00162F8E">
        <w:rPr>
          <w:rFonts w:ascii="Arial Narrow" w:hAnsi="Arial Narrow" w:cs="Arial"/>
          <w:b/>
          <w:i/>
          <w:lang w:val="es-ES" w:eastAsia="es-ES"/>
        </w:rPr>
        <w:t xml:space="preserve">5 de </w:t>
      </w:r>
      <w:r>
        <w:rPr>
          <w:rFonts w:ascii="Arial Narrow" w:hAnsi="Arial Narrow" w:cs="Arial"/>
          <w:b/>
          <w:i/>
          <w:lang w:val="es-ES" w:eastAsia="es-ES"/>
        </w:rPr>
        <w:t>junio</w:t>
      </w:r>
      <w:r w:rsidRPr="00162F8E">
        <w:rPr>
          <w:rFonts w:ascii="Arial Narrow" w:hAnsi="Arial Narrow" w:cs="Arial"/>
          <w:b/>
          <w:i/>
          <w:lang w:val="es-ES" w:eastAsia="es-ES"/>
        </w:rPr>
        <w:t xml:space="preserve"> de 2018).</w:t>
      </w:r>
    </w:p>
    <w:p w14:paraId="66C6BF66" w14:textId="77777777" w:rsidR="007968EC" w:rsidRDefault="007968EC" w:rsidP="007968EC">
      <w:pPr>
        <w:rPr>
          <w:rFonts w:ascii="Arial Narrow" w:hAnsi="Arial Narrow" w:cs="Arial"/>
          <w:b/>
          <w:lang w:eastAsia="es-ES"/>
        </w:rPr>
      </w:pPr>
    </w:p>
    <w:p w14:paraId="71A9A9A2" w14:textId="77777777" w:rsidR="007968EC" w:rsidRPr="00B83B60" w:rsidRDefault="007968EC" w:rsidP="007968EC">
      <w:pPr>
        <w:contextualSpacing/>
        <w:jc w:val="both"/>
        <w:rPr>
          <w:rFonts w:ascii="Arial Narrow" w:hAnsi="Arial Narrow" w:cs="Arial"/>
          <w:lang w:val="es-ES" w:eastAsia="es-ES"/>
        </w:rPr>
      </w:pPr>
      <w:bookmarkStart w:id="6210" w:name="_Hlk516812024"/>
      <w:r w:rsidRPr="00B83B60">
        <w:rPr>
          <w:rFonts w:ascii="Arial Narrow" w:hAnsi="Arial Narrow" w:cs="Arial"/>
          <w:lang w:val="es-ES" w:eastAsia="es-ES"/>
        </w:rPr>
        <w:t>Para realizar el cálculo del Riesgo en situación de estrés de conformidad con lo establecido en el Artículo 1.6.2.9. de la presente Circular, se definieron los siguientes escenarios de variación de precio para el Segmento de Renta Variable:</w:t>
      </w:r>
    </w:p>
    <w:p w14:paraId="14DD962E" w14:textId="77777777" w:rsidR="007968EC" w:rsidRDefault="007968EC" w:rsidP="007968EC">
      <w:pPr>
        <w:contextualSpacing/>
        <w:jc w:val="both"/>
        <w:rPr>
          <w:rFonts w:ascii="Arial Narrow" w:hAnsi="Arial Narrow" w:cs="Arial"/>
          <w:lang w:val="es-ES" w:eastAsia="es-ES"/>
        </w:rPr>
      </w:pPr>
    </w:p>
    <w:p w14:paraId="13D70C99" w14:textId="77777777" w:rsidR="007968EC" w:rsidRPr="00B83B60" w:rsidRDefault="007968EC" w:rsidP="007968EC">
      <w:pPr>
        <w:contextualSpacing/>
        <w:jc w:val="both"/>
        <w:rPr>
          <w:rFonts w:ascii="Arial Narrow" w:hAnsi="Arial Narrow" w:cs="Arial"/>
          <w:lang w:val="es-ES" w:eastAsia="es-ES"/>
        </w:rPr>
      </w:pPr>
    </w:p>
    <w:tbl>
      <w:tblPr>
        <w:tblStyle w:val="Tablaconcuadrcula164"/>
        <w:tblW w:w="7007" w:type="dxa"/>
        <w:jc w:val="center"/>
        <w:tblLook w:val="04A0" w:firstRow="1" w:lastRow="0" w:firstColumn="1" w:lastColumn="0" w:noHBand="0" w:noVBand="1"/>
      </w:tblPr>
      <w:tblGrid>
        <w:gridCol w:w="1124"/>
        <w:gridCol w:w="1853"/>
        <w:gridCol w:w="1984"/>
        <w:gridCol w:w="2036"/>
        <w:gridCol w:w="10"/>
      </w:tblGrid>
      <w:tr w:rsidR="007968EC" w:rsidRPr="00B83B60" w14:paraId="261E1096" w14:textId="77777777" w:rsidTr="007968EC">
        <w:trPr>
          <w:jc w:val="center"/>
        </w:trPr>
        <w:tc>
          <w:tcPr>
            <w:tcW w:w="1124" w:type="dxa"/>
          </w:tcPr>
          <w:p w14:paraId="3C0B11AA" w14:textId="77777777" w:rsidR="007968EC" w:rsidRPr="00B83B60" w:rsidRDefault="007968EC" w:rsidP="007968EC">
            <w:pPr>
              <w:rPr>
                <w:rFonts w:ascii="Arial Narrow" w:hAnsi="Arial Narrow" w:cs="Arial"/>
                <w:lang w:eastAsia="es-CO"/>
              </w:rPr>
            </w:pPr>
          </w:p>
        </w:tc>
        <w:tc>
          <w:tcPr>
            <w:tcW w:w="5883" w:type="dxa"/>
            <w:gridSpan w:val="4"/>
          </w:tcPr>
          <w:p w14:paraId="0FB1768F" w14:textId="77777777" w:rsidR="007968EC" w:rsidRPr="00B83B60" w:rsidRDefault="007968EC" w:rsidP="007968EC">
            <w:pPr>
              <w:jc w:val="center"/>
              <w:rPr>
                <w:rFonts w:ascii="Arial Narrow" w:hAnsi="Arial Narrow" w:cs="Arial"/>
                <w:lang w:eastAsia="es-CO"/>
              </w:rPr>
            </w:pPr>
            <w:r w:rsidRPr="00B83B60">
              <w:rPr>
                <w:rFonts w:ascii="Arial Narrow" w:hAnsi="Arial Narrow" w:cs="Arial"/>
                <w:lang w:eastAsia="es-CO"/>
              </w:rPr>
              <w:t>Sectores</w:t>
            </w:r>
          </w:p>
        </w:tc>
      </w:tr>
      <w:tr w:rsidR="007968EC" w:rsidRPr="00B83B60" w14:paraId="3B45527E" w14:textId="77777777" w:rsidTr="007968EC">
        <w:trPr>
          <w:gridAfter w:val="1"/>
          <w:wAfter w:w="10" w:type="dxa"/>
          <w:jc w:val="center"/>
        </w:trPr>
        <w:tc>
          <w:tcPr>
            <w:tcW w:w="1124" w:type="dxa"/>
          </w:tcPr>
          <w:p w14:paraId="6A6F0CA7" w14:textId="77777777" w:rsidR="007968EC" w:rsidRPr="00B83B60" w:rsidRDefault="007968EC" w:rsidP="007968EC">
            <w:pPr>
              <w:rPr>
                <w:rFonts w:ascii="Arial Narrow" w:hAnsi="Arial Narrow" w:cs="Arial"/>
                <w:lang w:eastAsia="es-CO"/>
              </w:rPr>
            </w:pPr>
          </w:p>
        </w:tc>
        <w:tc>
          <w:tcPr>
            <w:tcW w:w="1853" w:type="dxa"/>
            <w:vAlign w:val="center"/>
          </w:tcPr>
          <w:p w14:paraId="41454B6B" w14:textId="77777777" w:rsidR="007968EC" w:rsidRPr="00B83B60" w:rsidRDefault="007968EC" w:rsidP="007968EC">
            <w:pPr>
              <w:jc w:val="center"/>
              <w:rPr>
                <w:rFonts w:ascii="Arial Narrow" w:hAnsi="Arial Narrow" w:cs="Arial"/>
                <w:lang w:eastAsia="es-CO"/>
              </w:rPr>
            </w:pPr>
            <w:r w:rsidRPr="00B83B60">
              <w:rPr>
                <w:rFonts w:ascii="Arial Narrow" w:hAnsi="Arial Narrow" w:cs="Arial"/>
                <w:lang w:eastAsia="es-CO"/>
              </w:rPr>
              <w:t>Energía - Finanzas</w:t>
            </w:r>
          </w:p>
        </w:tc>
        <w:tc>
          <w:tcPr>
            <w:tcW w:w="1984" w:type="dxa"/>
            <w:vAlign w:val="center"/>
          </w:tcPr>
          <w:p w14:paraId="1A6B1F2A" w14:textId="77777777" w:rsidR="007968EC" w:rsidRPr="00B83B60" w:rsidRDefault="007968EC" w:rsidP="007968EC">
            <w:pPr>
              <w:jc w:val="center"/>
              <w:rPr>
                <w:rFonts w:ascii="Arial Narrow" w:hAnsi="Arial Narrow" w:cs="Arial"/>
                <w:lang w:eastAsia="es-CO"/>
              </w:rPr>
            </w:pPr>
            <w:r w:rsidRPr="00B83B60">
              <w:rPr>
                <w:rFonts w:ascii="Arial Narrow" w:hAnsi="Arial Narrow" w:cs="Arial"/>
                <w:lang w:eastAsia="es-CO"/>
              </w:rPr>
              <w:t>Materiales – Productos de Primera Necesidad</w:t>
            </w:r>
          </w:p>
        </w:tc>
        <w:tc>
          <w:tcPr>
            <w:tcW w:w="2036" w:type="dxa"/>
            <w:vAlign w:val="center"/>
          </w:tcPr>
          <w:p w14:paraId="1A975930" w14:textId="77777777" w:rsidR="007968EC" w:rsidRPr="00B83B60" w:rsidRDefault="007968EC" w:rsidP="007968EC">
            <w:pPr>
              <w:jc w:val="center"/>
              <w:rPr>
                <w:rFonts w:ascii="Arial Narrow" w:hAnsi="Arial Narrow" w:cs="Arial"/>
                <w:lang w:eastAsia="es-CO"/>
              </w:rPr>
            </w:pPr>
            <w:r w:rsidRPr="00B83B60">
              <w:rPr>
                <w:rFonts w:ascii="Arial Narrow" w:hAnsi="Arial Narrow" w:cs="Arial"/>
                <w:lang w:eastAsia="es-CO"/>
              </w:rPr>
              <w:t>Otros</w:t>
            </w:r>
          </w:p>
        </w:tc>
      </w:tr>
      <w:tr w:rsidR="007968EC" w:rsidRPr="00B83B60" w14:paraId="0B528DD8" w14:textId="77777777" w:rsidTr="007968EC">
        <w:trPr>
          <w:gridAfter w:val="1"/>
          <w:wAfter w:w="10" w:type="dxa"/>
          <w:jc w:val="center"/>
        </w:trPr>
        <w:tc>
          <w:tcPr>
            <w:tcW w:w="1124" w:type="dxa"/>
          </w:tcPr>
          <w:p w14:paraId="6D7A6D42" w14:textId="77777777" w:rsidR="007968EC" w:rsidRPr="00B83B60" w:rsidRDefault="007968EC" w:rsidP="007968EC">
            <w:pPr>
              <w:rPr>
                <w:rFonts w:ascii="Arial Narrow" w:hAnsi="Arial Narrow" w:cs="Arial"/>
                <w:lang w:eastAsia="es-CO"/>
              </w:rPr>
            </w:pPr>
            <w:r w:rsidRPr="00B83B60">
              <w:rPr>
                <w:rFonts w:ascii="Arial Narrow" w:hAnsi="Arial Narrow" w:cs="Arial"/>
                <w:lang w:eastAsia="es-CO"/>
              </w:rPr>
              <w:t>Escenario 1</w:t>
            </w:r>
          </w:p>
        </w:tc>
        <w:tc>
          <w:tcPr>
            <w:tcW w:w="1853" w:type="dxa"/>
          </w:tcPr>
          <w:p w14:paraId="0CBE73BE" w14:textId="77777777" w:rsidR="007968EC" w:rsidRPr="00B83B60" w:rsidRDefault="007968EC" w:rsidP="007968EC">
            <w:pPr>
              <w:rPr>
                <w:rFonts w:ascii="Arial Narrow" w:hAnsi="Arial Narrow" w:cs="Arial"/>
                <w:lang w:eastAsia="es-CO"/>
              </w:rPr>
            </w:pPr>
            <w:r w:rsidRPr="00B83B60">
              <w:rPr>
                <w:rFonts w:ascii="Arial Narrow" w:hAnsi="Arial Narrow" w:cs="Arial"/>
                <w:lang w:eastAsia="es-CO"/>
              </w:rPr>
              <w:t xml:space="preserve">Todos los precios se </w:t>
            </w:r>
            <w:r w:rsidRPr="00B83B60">
              <w:rPr>
                <w:rFonts w:ascii="Arial Narrow" w:hAnsi="Arial Narrow" w:cs="Arial"/>
                <w:b/>
                <w:lang w:eastAsia="es-CO"/>
              </w:rPr>
              <w:t>incrementan</w:t>
            </w:r>
            <w:r w:rsidRPr="00B83B60">
              <w:rPr>
                <w:rFonts w:ascii="Arial Narrow" w:hAnsi="Arial Narrow" w:cs="Arial"/>
                <w:lang w:eastAsia="es-CO"/>
              </w:rPr>
              <w:t xml:space="preserve"> en el parámetro de riesgo en situación de Stress Test.</w:t>
            </w:r>
          </w:p>
        </w:tc>
        <w:tc>
          <w:tcPr>
            <w:tcW w:w="1984" w:type="dxa"/>
          </w:tcPr>
          <w:p w14:paraId="016AEFC2" w14:textId="77777777" w:rsidR="007968EC" w:rsidRPr="00B83B60" w:rsidRDefault="007968EC" w:rsidP="007968EC">
            <w:pPr>
              <w:rPr>
                <w:rFonts w:ascii="Arial Narrow" w:hAnsi="Arial Narrow" w:cs="Arial"/>
                <w:lang w:eastAsia="es-CO"/>
              </w:rPr>
            </w:pPr>
            <w:r w:rsidRPr="00B83B60">
              <w:rPr>
                <w:rFonts w:ascii="Arial Narrow" w:hAnsi="Arial Narrow" w:cs="Arial"/>
                <w:lang w:eastAsia="es-CO"/>
              </w:rPr>
              <w:t xml:space="preserve">Todos los precios se </w:t>
            </w:r>
            <w:r w:rsidRPr="00B83B60">
              <w:rPr>
                <w:rFonts w:ascii="Arial Narrow" w:hAnsi="Arial Narrow" w:cs="Arial"/>
                <w:b/>
                <w:lang w:eastAsia="es-CO"/>
              </w:rPr>
              <w:t>incrementan</w:t>
            </w:r>
            <w:r w:rsidRPr="00B83B60">
              <w:rPr>
                <w:rFonts w:ascii="Arial Narrow" w:hAnsi="Arial Narrow" w:cs="Arial"/>
                <w:lang w:eastAsia="es-CO"/>
              </w:rPr>
              <w:t xml:space="preserve"> en el parámetro de riesgo en situación de Stress Test.</w:t>
            </w:r>
          </w:p>
        </w:tc>
        <w:tc>
          <w:tcPr>
            <w:tcW w:w="2036" w:type="dxa"/>
          </w:tcPr>
          <w:p w14:paraId="7E7C8DA2" w14:textId="77777777" w:rsidR="007968EC" w:rsidRPr="00B83B60" w:rsidRDefault="007968EC" w:rsidP="007968EC">
            <w:pPr>
              <w:rPr>
                <w:rFonts w:ascii="Arial Narrow" w:hAnsi="Arial Narrow" w:cs="Arial"/>
                <w:lang w:eastAsia="es-CO"/>
              </w:rPr>
            </w:pPr>
            <w:r w:rsidRPr="00B83B60">
              <w:rPr>
                <w:rFonts w:ascii="Arial Narrow" w:hAnsi="Arial Narrow" w:cs="Arial"/>
                <w:lang w:eastAsia="es-CO"/>
              </w:rPr>
              <w:t xml:space="preserve">Todos los precios se </w:t>
            </w:r>
            <w:r w:rsidRPr="00B83B60">
              <w:rPr>
                <w:rFonts w:ascii="Arial Narrow" w:hAnsi="Arial Narrow" w:cs="Arial"/>
                <w:b/>
                <w:lang w:eastAsia="es-CO"/>
              </w:rPr>
              <w:t>incrementan</w:t>
            </w:r>
            <w:r w:rsidRPr="00B83B60">
              <w:rPr>
                <w:rFonts w:ascii="Arial Narrow" w:hAnsi="Arial Narrow" w:cs="Arial"/>
                <w:lang w:eastAsia="es-CO"/>
              </w:rPr>
              <w:t xml:space="preserve"> en el parámetro de riesgo en situación de Stress Test.</w:t>
            </w:r>
          </w:p>
        </w:tc>
      </w:tr>
      <w:tr w:rsidR="007968EC" w:rsidRPr="00B83B60" w14:paraId="132D46F3" w14:textId="77777777" w:rsidTr="007968EC">
        <w:trPr>
          <w:gridAfter w:val="1"/>
          <w:wAfter w:w="10" w:type="dxa"/>
          <w:jc w:val="center"/>
        </w:trPr>
        <w:tc>
          <w:tcPr>
            <w:tcW w:w="1124" w:type="dxa"/>
          </w:tcPr>
          <w:p w14:paraId="79185E93" w14:textId="77777777" w:rsidR="007968EC" w:rsidRPr="00B83B60" w:rsidRDefault="007968EC" w:rsidP="007968EC">
            <w:pPr>
              <w:rPr>
                <w:rFonts w:ascii="Arial Narrow" w:hAnsi="Arial Narrow" w:cs="Arial"/>
                <w:lang w:eastAsia="es-CO"/>
              </w:rPr>
            </w:pPr>
            <w:r w:rsidRPr="00B83B60">
              <w:rPr>
                <w:rFonts w:ascii="Arial Narrow" w:hAnsi="Arial Narrow" w:cs="Arial"/>
                <w:lang w:eastAsia="es-CO"/>
              </w:rPr>
              <w:t>Escenario 2</w:t>
            </w:r>
          </w:p>
        </w:tc>
        <w:tc>
          <w:tcPr>
            <w:tcW w:w="1853" w:type="dxa"/>
          </w:tcPr>
          <w:p w14:paraId="36F115B4" w14:textId="77777777" w:rsidR="007968EC" w:rsidRPr="00B83B60" w:rsidRDefault="007968EC" w:rsidP="007968EC">
            <w:pPr>
              <w:rPr>
                <w:rFonts w:ascii="Arial Narrow" w:hAnsi="Arial Narrow" w:cs="Arial"/>
                <w:lang w:eastAsia="es-CO"/>
              </w:rPr>
            </w:pPr>
            <w:r w:rsidRPr="00B83B60">
              <w:rPr>
                <w:rFonts w:ascii="Arial Narrow" w:hAnsi="Arial Narrow" w:cs="Arial"/>
                <w:lang w:eastAsia="es-CO"/>
              </w:rPr>
              <w:t xml:space="preserve">Todos los precios se </w:t>
            </w:r>
            <w:r w:rsidRPr="00B83B60">
              <w:rPr>
                <w:rFonts w:ascii="Arial Narrow" w:hAnsi="Arial Narrow" w:cs="Arial"/>
                <w:b/>
                <w:lang w:eastAsia="es-CO"/>
              </w:rPr>
              <w:t>incrementan</w:t>
            </w:r>
            <w:r w:rsidRPr="00B83B60">
              <w:rPr>
                <w:rFonts w:ascii="Arial Narrow" w:hAnsi="Arial Narrow" w:cs="Arial"/>
                <w:lang w:eastAsia="es-CO"/>
              </w:rPr>
              <w:t xml:space="preserve"> en el parámetro de riesgo en situación de Stress Test.</w:t>
            </w:r>
          </w:p>
        </w:tc>
        <w:tc>
          <w:tcPr>
            <w:tcW w:w="1984" w:type="dxa"/>
          </w:tcPr>
          <w:p w14:paraId="59DA6E3C" w14:textId="77777777" w:rsidR="007968EC" w:rsidRPr="00B83B60" w:rsidRDefault="007968EC" w:rsidP="007968EC">
            <w:pPr>
              <w:rPr>
                <w:rFonts w:ascii="Arial Narrow" w:hAnsi="Arial Narrow" w:cs="Arial"/>
                <w:lang w:eastAsia="es-CO"/>
              </w:rPr>
            </w:pPr>
            <w:r w:rsidRPr="00B83B60">
              <w:rPr>
                <w:rFonts w:ascii="Arial Narrow" w:hAnsi="Arial Narrow" w:cs="Arial"/>
                <w:lang w:eastAsia="es-CO"/>
              </w:rPr>
              <w:t xml:space="preserve">Todos los precios se </w:t>
            </w:r>
            <w:r w:rsidRPr="00B83B60">
              <w:rPr>
                <w:rFonts w:ascii="Arial Narrow" w:hAnsi="Arial Narrow" w:cs="Arial"/>
                <w:b/>
                <w:lang w:eastAsia="es-CO"/>
              </w:rPr>
              <w:t>incrementan</w:t>
            </w:r>
            <w:r w:rsidRPr="00B83B60">
              <w:rPr>
                <w:rFonts w:ascii="Arial Narrow" w:hAnsi="Arial Narrow" w:cs="Arial"/>
                <w:lang w:eastAsia="es-CO"/>
              </w:rPr>
              <w:t xml:space="preserve"> en el parámetro de riesgo en situación de Stress Test.</w:t>
            </w:r>
          </w:p>
        </w:tc>
        <w:tc>
          <w:tcPr>
            <w:tcW w:w="2036" w:type="dxa"/>
          </w:tcPr>
          <w:p w14:paraId="2BC3D774" w14:textId="77777777" w:rsidR="007968EC" w:rsidRPr="00B83B60" w:rsidRDefault="007968EC" w:rsidP="007968EC">
            <w:pPr>
              <w:rPr>
                <w:rFonts w:ascii="Arial Narrow" w:hAnsi="Arial Narrow" w:cs="Arial"/>
                <w:lang w:eastAsia="es-CO"/>
              </w:rPr>
            </w:pPr>
            <w:r w:rsidRPr="00B83B60">
              <w:rPr>
                <w:rFonts w:ascii="Arial Narrow" w:hAnsi="Arial Narrow" w:cs="Arial"/>
                <w:lang w:eastAsia="es-CO"/>
              </w:rPr>
              <w:t xml:space="preserve">Todos los precios se </w:t>
            </w:r>
            <w:r w:rsidRPr="00B83B60">
              <w:rPr>
                <w:rFonts w:ascii="Arial Narrow" w:hAnsi="Arial Narrow" w:cs="Arial"/>
                <w:b/>
                <w:lang w:eastAsia="es-CO"/>
              </w:rPr>
              <w:t>disminuyen</w:t>
            </w:r>
            <w:r w:rsidRPr="00B83B60">
              <w:rPr>
                <w:rFonts w:ascii="Arial Narrow" w:hAnsi="Arial Narrow" w:cs="Arial"/>
                <w:lang w:eastAsia="es-CO"/>
              </w:rPr>
              <w:t xml:space="preserve"> en el parámetro de riesgo en situación de Stress Test.</w:t>
            </w:r>
          </w:p>
        </w:tc>
      </w:tr>
      <w:tr w:rsidR="007968EC" w:rsidRPr="00B83B60" w14:paraId="3E59A124" w14:textId="77777777" w:rsidTr="007968EC">
        <w:trPr>
          <w:gridAfter w:val="1"/>
          <w:wAfter w:w="10" w:type="dxa"/>
          <w:jc w:val="center"/>
        </w:trPr>
        <w:tc>
          <w:tcPr>
            <w:tcW w:w="1124" w:type="dxa"/>
          </w:tcPr>
          <w:p w14:paraId="4B078888" w14:textId="77777777" w:rsidR="007968EC" w:rsidRPr="00B83B60" w:rsidRDefault="007968EC" w:rsidP="007968EC">
            <w:pPr>
              <w:rPr>
                <w:rFonts w:ascii="Arial Narrow" w:hAnsi="Arial Narrow" w:cs="Arial"/>
                <w:lang w:eastAsia="es-CO"/>
              </w:rPr>
            </w:pPr>
            <w:r w:rsidRPr="00B83B60">
              <w:rPr>
                <w:rFonts w:ascii="Arial Narrow" w:hAnsi="Arial Narrow" w:cs="Arial"/>
                <w:lang w:eastAsia="es-CO"/>
              </w:rPr>
              <w:t>Escenario 3</w:t>
            </w:r>
          </w:p>
        </w:tc>
        <w:tc>
          <w:tcPr>
            <w:tcW w:w="1853" w:type="dxa"/>
          </w:tcPr>
          <w:p w14:paraId="7B0DA258" w14:textId="77777777" w:rsidR="007968EC" w:rsidRPr="00B83B60" w:rsidRDefault="007968EC" w:rsidP="007968EC">
            <w:pPr>
              <w:rPr>
                <w:rFonts w:ascii="Arial Narrow" w:hAnsi="Arial Narrow" w:cs="Arial"/>
                <w:lang w:eastAsia="es-CO"/>
              </w:rPr>
            </w:pPr>
            <w:r w:rsidRPr="00B83B60">
              <w:rPr>
                <w:rFonts w:ascii="Arial Narrow" w:hAnsi="Arial Narrow" w:cs="Arial"/>
                <w:lang w:eastAsia="es-CO"/>
              </w:rPr>
              <w:t xml:space="preserve">Todos los precios se </w:t>
            </w:r>
            <w:r w:rsidRPr="00B83B60">
              <w:rPr>
                <w:rFonts w:ascii="Arial Narrow" w:hAnsi="Arial Narrow" w:cs="Arial"/>
                <w:b/>
                <w:lang w:eastAsia="es-CO"/>
              </w:rPr>
              <w:t>incrementan</w:t>
            </w:r>
            <w:r w:rsidRPr="00B83B60">
              <w:rPr>
                <w:rFonts w:ascii="Arial Narrow" w:hAnsi="Arial Narrow" w:cs="Arial"/>
                <w:lang w:eastAsia="es-CO"/>
              </w:rPr>
              <w:t xml:space="preserve"> en el parámetro de riesgo en situación de Stress Test. </w:t>
            </w:r>
          </w:p>
        </w:tc>
        <w:tc>
          <w:tcPr>
            <w:tcW w:w="1984" w:type="dxa"/>
          </w:tcPr>
          <w:p w14:paraId="5519FB1C" w14:textId="77777777" w:rsidR="007968EC" w:rsidRPr="00B83B60" w:rsidRDefault="007968EC" w:rsidP="007968EC">
            <w:pPr>
              <w:rPr>
                <w:rFonts w:ascii="Arial Narrow" w:hAnsi="Arial Narrow" w:cs="Arial"/>
                <w:lang w:eastAsia="es-CO"/>
              </w:rPr>
            </w:pPr>
            <w:r w:rsidRPr="00B83B60">
              <w:rPr>
                <w:rFonts w:ascii="Arial Narrow" w:hAnsi="Arial Narrow" w:cs="Arial"/>
                <w:lang w:eastAsia="es-CO"/>
              </w:rPr>
              <w:t xml:space="preserve">Todos los precios se </w:t>
            </w:r>
            <w:r w:rsidRPr="00B83B60">
              <w:rPr>
                <w:rFonts w:ascii="Arial Narrow" w:hAnsi="Arial Narrow" w:cs="Arial"/>
                <w:b/>
                <w:lang w:eastAsia="es-CO"/>
              </w:rPr>
              <w:t>disminuyen</w:t>
            </w:r>
            <w:r w:rsidRPr="00B83B60">
              <w:rPr>
                <w:rFonts w:ascii="Arial Narrow" w:hAnsi="Arial Narrow" w:cs="Arial"/>
                <w:lang w:eastAsia="es-CO"/>
              </w:rPr>
              <w:t xml:space="preserve"> en el parámetro de riesgo en situación de Stress Test.</w:t>
            </w:r>
          </w:p>
        </w:tc>
        <w:tc>
          <w:tcPr>
            <w:tcW w:w="2036" w:type="dxa"/>
          </w:tcPr>
          <w:p w14:paraId="60C345CD" w14:textId="77777777" w:rsidR="007968EC" w:rsidRPr="00B83B60" w:rsidRDefault="007968EC" w:rsidP="007968EC">
            <w:pPr>
              <w:rPr>
                <w:rFonts w:ascii="Arial Narrow" w:hAnsi="Arial Narrow" w:cs="Arial"/>
                <w:lang w:eastAsia="es-CO"/>
              </w:rPr>
            </w:pPr>
            <w:r w:rsidRPr="00B83B60">
              <w:rPr>
                <w:rFonts w:ascii="Arial Narrow" w:hAnsi="Arial Narrow" w:cs="Arial"/>
                <w:lang w:eastAsia="es-CO"/>
              </w:rPr>
              <w:t xml:space="preserve">Todos los precios se </w:t>
            </w:r>
            <w:r w:rsidRPr="00B83B60">
              <w:rPr>
                <w:rFonts w:ascii="Arial Narrow" w:hAnsi="Arial Narrow" w:cs="Arial"/>
                <w:b/>
                <w:lang w:eastAsia="es-CO"/>
              </w:rPr>
              <w:t>incrementan</w:t>
            </w:r>
            <w:r w:rsidRPr="00B83B60">
              <w:rPr>
                <w:rFonts w:ascii="Arial Narrow" w:hAnsi="Arial Narrow" w:cs="Arial"/>
                <w:lang w:eastAsia="es-CO"/>
              </w:rPr>
              <w:t xml:space="preserve"> en el parámetro de riesgo en situación de Stress Test.</w:t>
            </w:r>
          </w:p>
        </w:tc>
      </w:tr>
      <w:tr w:rsidR="007968EC" w:rsidRPr="00B83B60" w14:paraId="071151C9" w14:textId="77777777" w:rsidTr="007968EC">
        <w:trPr>
          <w:gridAfter w:val="1"/>
          <w:wAfter w:w="10" w:type="dxa"/>
          <w:jc w:val="center"/>
        </w:trPr>
        <w:tc>
          <w:tcPr>
            <w:tcW w:w="1124" w:type="dxa"/>
          </w:tcPr>
          <w:p w14:paraId="0F87A97D" w14:textId="77777777" w:rsidR="007968EC" w:rsidRPr="00B83B60" w:rsidRDefault="007968EC" w:rsidP="007968EC">
            <w:pPr>
              <w:rPr>
                <w:rFonts w:ascii="Arial Narrow" w:hAnsi="Arial Narrow" w:cs="Arial"/>
                <w:lang w:eastAsia="es-CO"/>
              </w:rPr>
            </w:pPr>
            <w:r w:rsidRPr="00B83B60">
              <w:rPr>
                <w:rFonts w:ascii="Arial Narrow" w:hAnsi="Arial Narrow" w:cs="Arial"/>
                <w:lang w:eastAsia="es-CO"/>
              </w:rPr>
              <w:t>Escenario 4</w:t>
            </w:r>
          </w:p>
        </w:tc>
        <w:tc>
          <w:tcPr>
            <w:tcW w:w="1853" w:type="dxa"/>
          </w:tcPr>
          <w:p w14:paraId="627DD7DB" w14:textId="77777777" w:rsidR="007968EC" w:rsidRPr="00B83B60" w:rsidRDefault="007968EC" w:rsidP="007968EC">
            <w:pPr>
              <w:rPr>
                <w:rFonts w:ascii="Arial Narrow" w:hAnsi="Arial Narrow" w:cs="Arial"/>
                <w:lang w:eastAsia="es-CO"/>
              </w:rPr>
            </w:pPr>
            <w:r w:rsidRPr="00B83B60">
              <w:rPr>
                <w:rFonts w:ascii="Arial Narrow" w:hAnsi="Arial Narrow" w:cs="Arial"/>
                <w:lang w:eastAsia="es-CO"/>
              </w:rPr>
              <w:t xml:space="preserve">Todos los precios se </w:t>
            </w:r>
            <w:r w:rsidRPr="00B83B60">
              <w:rPr>
                <w:rFonts w:ascii="Arial Narrow" w:hAnsi="Arial Narrow" w:cs="Arial"/>
                <w:b/>
                <w:lang w:eastAsia="es-CO"/>
              </w:rPr>
              <w:t>incrementan</w:t>
            </w:r>
            <w:r w:rsidRPr="00B83B60">
              <w:rPr>
                <w:rFonts w:ascii="Arial Narrow" w:hAnsi="Arial Narrow" w:cs="Arial"/>
                <w:lang w:eastAsia="es-CO"/>
              </w:rPr>
              <w:t xml:space="preserve"> en el parámetro de riesgo en situación de Stress Test.</w:t>
            </w:r>
          </w:p>
        </w:tc>
        <w:tc>
          <w:tcPr>
            <w:tcW w:w="1984" w:type="dxa"/>
          </w:tcPr>
          <w:p w14:paraId="10CED649" w14:textId="77777777" w:rsidR="007968EC" w:rsidRPr="00B83B60" w:rsidRDefault="007968EC" w:rsidP="007968EC">
            <w:pPr>
              <w:rPr>
                <w:rFonts w:ascii="Arial Narrow" w:hAnsi="Arial Narrow" w:cs="Arial"/>
                <w:lang w:eastAsia="es-CO"/>
              </w:rPr>
            </w:pPr>
            <w:r w:rsidRPr="00B83B60">
              <w:rPr>
                <w:rFonts w:ascii="Arial Narrow" w:hAnsi="Arial Narrow" w:cs="Arial"/>
                <w:lang w:eastAsia="es-CO"/>
              </w:rPr>
              <w:t xml:space="preserve">Todos los precios se </w:t>
            </w:r>
            <w:r w:rsidRPr="00B83B60">
              <w:rPr>
                <w:rFonts w:ascii="Arial Narrow" w:hAnsi="Arial Narrow" w:cs="Arial"/>
                <w:b/>
                <w:lang w:eastAsia="es-CO"/>
              </w:rPr>
              <w:t>disminuyen</w:t>
            </w:r>
            <w:r w:rsidRPr="00B83B60">
              <w:rPr>
                <w:rFonts w:ascii="Arial Narrow" w:hAnsi="Arial Narrow" w:cs="Arial"/>
                <w:lang w:eastAsia="es-CO"/>
              </w:rPr>
              <w:t xml:space="preserve"> en el parámetro de riesgo en situación de Stress Test.</w:t>
            </w:r>
          </w:p>
        </w:tc>
        <w:tc>
          <w:tcPr>
            <w:tcW w:w="2036" w:type="dxa"/>
          </w:tcPr>
          <w:p w14:paraId="69FF6D4F" w14:textId="77777777" w:rsidR="007968EC" w:rsidRPr="00B83B60" w:rsidRDefault="007968EC" w:rsidP="007968EC">
            <w:pPr>
              <w:rPr>
                <w:rFonts w:ascii="Arial Narrow" w:hAnsi="Arial Narrow" w:cs="Arial"/>
                <w:lang w:eastAsia="es-CO"/>
              </w:rPr>
            </w:pPr>
            <w:r w:rsidRPr="00B83B60">
              <w:rPr>
                <w:rFonts w:ascii="Arial Narrow" w:hAnsi="Arial Narrow" w:cs="Arial"/>
                <w:lang w:eastAsia="es-CO"/>
              </w:rPr>
              <w:t xml:space="preserve">Todos los precios se </w:t>
            </w:r>
            <w:r w:rsidRPr="00B83B60">
              <w:rPr>
                <w:rFonts w:ascii="Arial Narrow" w:hAnsi="Arial Narrow" w:cs="Arial"/>
                <w:b/>
                <w:lang w:eastAsia="es-CO"/>
              </w:rPr>
              <w:t>disminuyen</w:t>
            </w:r>
            <w:r w:rsidRPr="00B83B60">
              <w:rPr>
                <w:rFonts w:ascii="Arial Narrow" w:hAnsi="Arial Narrow" w:cs="Arial"/>
                <w:lang w:eastAsia="es-CO"/>
              </w:rPr>
              <w:t xml:space="preserve"> en el parámetro de riesgo en situación de Stress Test.</w:t>
            </w:r>
          </w:p>
        </w:tc>
      </w:tr>
      <w:tr w:rsidR="007968EC" w:rsidRPr="00B83B60" w14:paraId="3C1B218C" w14:textId="77777777" w:rsidTr="007968EC">
        <w:trPr>
          <w:gridAfter w:val="1"/>
          <w:wAfter w:w="10" w:type="dxa"/>
          <w:jc w:val="center"/>
        </w:trPr>
        <w:tc>
          <w:tcPr>
            <w:tcW w:w="1124" w:type="dxa"/>
          </w:tcPr>
          <w:p w14:paraId="3E7B3694" w14:textId="77777777" w:rsidR="007968EC" w:rsidRPr="00B83B60" w:rsidRDefault="007968EC" w:rsidP="007968EC">
            <w:pPr>
              <w:rPr>
                <w:rFonts w:ascii="Arial Narrow" w:hAnsi="Arial Narrow" w:cs="Arial"/>
                <w:lang w:eastAsia="es-CO"/>
              </w:rPr>
            </w:pPr>
            <w:r w:rsidRPr="00B83B60">
              <w:rPr>
                <w:rFonts w:ascii="Arial Narrow" w:hAnsi="Arial Narrow" w:cs="Arial"/>
                <w:lang w:eastAsia="es-CO"/>
              </w:rPr>
              <w:t>Escenario 5</w:t>
            </w:r>
          </w:p>
        </w:tc>
        <w:tc>
          <w:tcPr>
            <w:tcW w:w="1853" w:type="dxa"/>
          </w:tcPr>
          <w:p w14:paraId="17E9AC33" w14:textId="77777777" w:rsidR="007968EC" w:rsidRPr="00B83B60" w:rsidRDefault="007968EC" w:rsidP="007968EC">
            <w:pPr>
              <w:rPr>
                <w:rFonts w:ascii="Arial Narrow" w:hAnsi="Arial Narrow" w:cs="Arial"/>
                <w:lang w:eastAsia="es-CO"/>
              </w:rPr>
            </w:pPr>
            <w:r w:rsidRPr="00B83B60">
              <w:rPr>
                <w:rFonts w:ascii="Arial Narrow" w:hAnsi="Arial Narrow" w:cs="Arial"/>
                <w:lang w:eastAsia="es-CO"/>
              </w:rPr>
              <w:t xml:space="preserve">Todos los precios se </w:t>
            </w:r>
            <w:r w:rsidRPr="00B83B60">
              <w:rPr>
                <w:rFonts w:ascii="Arial Narrow" w:hAnsi="Arial Narrow" w:cs="Arial"/>
                <w:b/>
                <w:lang w:eastAsia="es-CO"/>
              </w:rPr>
              <w:t>disminuyen</w:t>
            </w:r>
            <w:r w:rsidRPr="00B83B60">
              <w:rPr>
                <w:rFonts w:ascii="Arial Narrow" w:hAnsi="Arial Narrow" w:cs="Arial"/>
                <w:lang w:eastAsia="es-CO"/>
              </w:rPr>
              <w:t xml:space="preserve"> en el parámetro de riesgo en situación de Stress Test.</w:t>
            </w:r>
          </w:p>
        </w:tc>
        <w:tc>
          <w:tcPr>
            <w:tcW w:w="1984" w:type="dxa"/>
          </w:tcPr>
          <w:p w14:paraId="7A7FF199" w14:textId="77777777" w:rsidR="007968EC" w:rsidRPr="00B83B60" w:rsidRDefault="007968EC" w:rsidP="007968EC">
            <w:pPr>
              <w:rPr>
                <w:rFonts w:ascii="Arial Narrow" w:hAnsi="Arial Narrow" w:cs="Arial"/>
                <w:lang w:eastAsia="es-CO"/>
              </w:rPr>
            </w:pPr>
            <w:r w:rsidRPr="00B83B60">
              <w:rPr>
                <w:rFonts w:ascii="Arial Narrow" w:hAnsi="Arial Narrow" w:cs="Arial"/>
                <w:lang w:eastAsia="es-CO"/>
              </w:rPr>
              <w:t xml:space="preserve">Todos los precios se </w:t>
            </w:r>
            <w:r w:rsidRPr="00B83B60">
              <w:rPr>
                <w:rFonts w:ascii="Arial Narrow" w:hAnsi="Arial Narrow" w:cs="Arial"/>
                <w:b/>
                <w:lang w:eastAsia="es-CO"/>
              </w:rPr>
              <w:t>incrementan</w:t>
            </w:r>
            <w:r w:rsidRPr="00B83B60">
              <w:rPr>
                <w:rFonts w:ascii="Arial Narrow" w:hAnsi="Arial Narrow" w:cs="Arial"/>
                <w:lang w:eastAsia="es-CO"/>
              </w:rPr>
              <w:t xml:space="preserve"> en el parámetro de riesgo en situación de Stress Test.</w:t>
            </w:r>
          </w:p>
        </w:tc>
        <w:tc>
          <w:tcPr>
            <w:tcW w:w="2036" w:type="dxa"/>
          </w:tcPr>
          <w:p w14:paraId="196468F4" w14:textId="77777777" w:rsidR="007968EC" w:rsidRPr="00B83B60" w:rsidRDefault="007968EC" w:rsidP="007968EC">
            <w:pPr>
              <w:rPr>
                <w:rFonts w:ascii="Arial Narrow" w:hAnsi="Arial Narrow" w:cs="Arial"/>
                <w:lang w:eastAsia="es-CO"/>
              </w:rPr>
            </w:pPr>
            <w:r w:rsidRPr="00B83B60">
              <w:rPr>
                <w:rFonts w:ascii="Arial Narrow" w:hAnsi="Arial Narrow" w:cs="Arial"/>
                <w:lang w:eastAsia="es-CO"/>
              </w:rPr>
              <w:t xml:space="preserve">Todos los precios se </w:t>
            </w:r>
            <w:r w:rsidRPr="00B83B60">
              <w:rPr>
                <w:rFonts w:ascii="Arial Narrow" w:hAnsi="Arial Narrow" w:cs="Arial"/>
                <w:b/>
                <w:lang w:eastAsia="es-CO"/>
              </w:rPr>
              <w:t>incrementan</w:t>
            </w:r>
            <w:r w:rsidRPr="00B83B60">
              <w:rPr>
                <w:rFonts w:ascii="Arial Narrow" w:hAnsi="Arial Narrow" w:cs="Arial"/>
                <w:lang w:eastAsia="es-CO"/>
              </w:rPr>
              <w:t xml:space="preserve"> en el parámetro de riesgo en situación de Stress Test.</w:t>
            </w:r>
          </w:p>
        </w:tc>
      </w:tr>
      <w:tr w:rsidR="007968EC" w:rsidRPr="00B83B60" w14:paraId="0A355DEA" w14:textId="77777777" w:rsidTr="007968EC">
        <w:trPr>
          <w:gridAfter w:val="1"/>
          <w:wAfter w:w="10" w:type="dxa"/>
          <w:jc w:val="center"/>
        </w:trPr>
        <w:tc>
          <w:tcPr>
            <w:tcW w:w="1124" w:type="dxa"/>
          </w:tcPr>
          <w:p w14:paraId="77E2C794" w14:textId="77777777" w:rsidR="007968EC" w:rsidRPr="00B83B60" w:rsidRDefault="007968EC" w:rsidP="007968EC">
            <w:pPr>
              <w:rPr>
                <w:rFonts w:ascii="Arial Narrow" w:hAnsi="Arial Narrow" w:cs="Arial"/>
                <w:lang w:eastAsia="es-CO"/>
              </w:rPr>
            </w:pPr>
            <w:r w:rsidRPr="00B83B60">
              <w:rPr>
                <w:rFonts w:ascii="Arial Narrow" w:hAnsi="Arial Narrow" w:cs="Arial"/>
                <w:lang w:eastAsia="es-CO"/>
              </w:rPr>
              <w:t>Escenario 6</w:t>
            </w:r>
          </w:p>
        </w:tc>
        <w:tc>
          <w:tcPr>
            <w:tcW w:w="1853" w:type="dxa"/>
          </w:tcPr>
          <w:p w14:paraId="520F8328" w14:textId="77777777" w:rsidR="007968EC" w:rsidRPr="00B83B60" w:rsidRDefault="007968EC" w:rsidP="007968EC">
            <w:pPr>
              <w:rPr>
                <w:rFonts w:ascii="Arial Narrow" w:hAnsi="Arial Narrow" w:cs="Arial"/>
                <w:lang w:eastAsia="es-CO"/>
              </w:rPr>
            </w:pPr>
            <w:r w:rsidRPr="00B83B60">
              <w:rPr>
                <w:rFonts w:ascii="Arial Narrow" w:hAnsi="Arial Narrow" w:cs="Arial"/>
                <w:lang w:eastAsia="es-CO"/>
              </w:rPr>
              <w:t xml:space="preserve">Todos los precios se </w:t>
            </w:r>
            <w:r w:rsidRPr="00B83B60">
              <w:rPr>
                <w:rFonts w:ascii="Arial Narrow" w:hAnsi="Arial Narrow" w:cs="Arial"/>
                <w:b/>
                <w:lang w:eastAsia="es-CO"/>
              </w:rPr>
              <w:t>disminuyen</w:t>
            </w:r>
            <w:r w:rsidRPr="00B83B60">
              <w:rPr>
                <w:rFonts w:ascii="Arial Narrow" w:hAnsi="Arial Narrow" w:cs="Arial"/>
                <w:lang w:eastAsia="es-CO"/>
              </w:rPr>
              <w:t xml:space="preserve"> en el parámetro de riesgo en situación de Stress Test.</w:t>
            </w:r>
          </w:p>
        </w:tc>
        <w:tc>
          <w:tcPr>
            <w:tcW w:w="1984" w:type="dxa"/>
          </w:tcPr>
          <w:p w14:paraId="38278241" w14:textId="77777777" w:rsidR="007968EC" w:rsidRPr="00B83B60" w:rsidRDefault="007968EC" w:rsidP="007968EC">
            <w:pPr>
              <w:rPr>
                <w:rFonts w:ascii="Arial Narrow" w:hAnsi="Arial Narrow" w:cs="Arial"/>
                <w:lang w:eastAsia="es-CO"/>
              </w:rPr>
            </w:pPr>
            <w:r w:rsidRPr="00B83B60">
              <w:rPr>
                <w:rFonts w:ascii="Arial Narrow" w:hAnsi="Arial Narrow" w:cs="Arial"/>
                <w:lang w:eastAsia="es-CO"/>
              </w:rPr>
              <w:t xml:space="preserve">Todos los precios se </w:t>
            </w:r>
            <w:r w:rsidRPr="00B83B60">
              <w:rPr>
                <w:rFonts w:ascii="Arial Narrow" w:hAnsi="Arial Narrow" w:cs="Arial"/>
                <w:b/>
                <w:lang w:eastAsia="es-CO"/>
              </w:rPr>
              <w:t>incrementan</w:t>
            </w:r>
            <w:r w:rsidRPr="00B83B60">
              <w:rPr>
                <w:rFonts w:ascii="Arial Narrow" w:hAnsi="Arial Narrow" w:cs="Arial"/>
                <w:lang w:eastAsia="es-CO"/>
              </w:rPr>
              <w:t xml:space="preserve"> en el parámetro de riesgo en situación de Stress Test.</w:t>
            </w:r>
          </w:p>
        </w:tc>
        <w:tc>
          <w:tcPr>
            <w:tcW w:w="2036" w:type="dxa"/>
          </w:tcPr>
          <w:p w14:paraId="5EBCC098" w14:textId="77777777" w:rsidR="007968EC" w:rsidRPr="00B83B60" w:rsidRDefault="007968EC" w:rsidP="007968EC">
            <w:pPr>
              <w:rPr>
                <w:rFonts w:ascii="Arial Narrow" w:hAnsi="Arial Narrow" w:cs="Arial"/>
                <w:lang w:eastAsia="es-CO"/>
              </w:rPr>
            </w:pPr>
            <w:r w:rsidRPr="00B83B60">
              <w:rPr>
                <w:rFonts w:ascii="Arial Narrow" w:hAnsi="Arial Narrow" w:cs="Arial"/>
                <w:lang w:eastAsia="es-CO"/>
              </w:rPr>
              <w:t xml:space="preserve">Todos los precios se </w:t>
            </w:r>
            <w:r w:rsidRPr="00B83B60">
              <w:rPr>
                <w:rFonts w:ascii="Arial Narrow" w:hAnsi="Arial Narrow" w:cs="Arial"/>
                <w:b/>
                <w:lang w:eastAsia="es-CO"/>
              </w:rPr>
              <w:t>disminuyen</w:t>
            </w:r>
            <w:r w:rsidRPr="00B83B60">
              <w:rPr>
                <w:rFonts w:ascii="Arial Narrow" w:hAnsi="Arial Narrow" w:cs="Arial"/>
                <w:lang w:eastAsia="es-CO"/>
              </w:rPr>
              <w:t xml:space="preserve"> en el parámetro de riesgo en situación de Stress Test.</w:t>
            </w:r>
          </w:p>
        </w:tc>
      </w:tr>
      <w:tr w:rsidR="007968EC" w:rsidRPr="00B83B60" w14:paraId="6A78D9D2" w14:textId="77777777" w:rsidTr="007968EC">
        <w:trPr>
          <w:gridAfter w:val="1"/>
          <w:wAfter w:w="10" w:type="dxa"/>
          <w:jc w:val="center"/>
        </w:trPr>
        <w:tc>
          <w:tcPr>
            <w:tcW w:w="1124" w:type="dxa"/>
          </w:tcPr>
          <w:p w14:paraId="3C60938E" w14:textId="77777777" w:rsidR="007968EC" w:rsidRPr="00B83B60" w:rsidRDefault="007968EC" w:rsidP="007968EC">
            <w:pPr>
              <w:rPr>
                <w:rFonts w:ascii="Arial Narrow" w:hAnsi="Arial Narrow" w:cs="Arial"/>
                <w:lang w:eastAsia="es-CO"/>
              </w:rPr>
            </w:pPr>
            <w:r w:rsidRPr="00B83B60">
              <w:rPr>
                <w:rFonts w:ascii="Arial Narrow" w:hAnsi="Arial Narrow" w:cs="Arial"/>
                <w:lang w:eastAsia="es-CO"/>
              </w:rPr>
              <w:t>Escenario 7</w:t>
            </w:r>
          </w:p>
        </w:tc>
        <w:tc>
          <w:tcPr>
            <w:tcW w:w="1853" w:type="dxa"/>
          </w:tcPr>
          <w:p w14:paraId="6009753E" w14:textId="77777777" w:rsidR="007968EC" w:rsidRPr="00B83B60" w:rsidRDefault="007968EC" w:rsidP="007968EC">
            <w:pPr>
              <w:rPr>
                <w:rFonts w:ascii="Arial Narrow" w:hAnsi="Arial Narrow" w:cs="Arial"/>
                <w:lang w:eastAsia="es-CO"/>
              </w:rPr>
            </w:pPr>
            <w:r w:rsidRPr="00B83B60">
              <w:rPr>
                <w:rFonts w:ascii="Arial Narrow" w:hAnsi="Arial Narrow" w:cs="Arial"/>
                <w:lang w:eastAsia="es-CO"/>
              </w:rPr>
              <w:t xml:space="preserve">Todos los precios se </w:t>
            </w:r>
            <w:r w:rsidRPr="00B83B60">
              <w:rPr>
                <w:rFonts w:ascii="Arial Narrow" w:hAnsi="Arial Narrow" w:cs="Arial"/>
                <w:b/>
                <w:lang w:eastAsia="es-CO"/>
              </w:rPr>
              <w:t>disminuyen</w:t>
            </w:r>
            <w:r w:rsidRPr="00B83B60">
              <w:rPr>
                <w:rFonts w:ascii="Arial Narrow" w:hAnsi="Arial Narrow" w:cs="Arial"/>
                <w:lang w:eastAsia="es-CO"/>
              </w:rPr>
              <w:t xml:space="preserve"> en el parámetro de </w:t>
            </w:r>
            <w:r w:rsidRPr="00B83B60">
              <w:rPr>
                <w:rFonts w:ascii="Arial Narrow" w:hAnsi="Arial Narrow" w:cs="Arial"/>
                <w:lang w:eastAsia="es-CO"/>
              </w:rPr>
              <w:lastRenderedPageBreak/>
              <w:t>riesgo en situación de Stress Test.</w:t>
            </w:r>
          </w:p>
        </w:tc>
        <w:tc>
          <w:tcPr>
            <w:tcW w:w="1984" w:type="dxa"/>
          </w:tcPr>
          <w:p w14:paraId="65E3B060" w14:textId="77777777" w:rsidR="007968EC" w:rsidRPr="00B83B60" w:rsidRDefault="007968EC" w:rsidP="007968EC">
            <w:pPr>
              <w:rPr>
                <w:rFonts w:ascii="Arial Narrow" w:hAnsi="Arial Narrow" w:cs="Arial"/>
                <w:lang w:eastAsia="es-CO"/>
              </w:rPr>
            </w:pPr>
            <w:r w:rsidRPr="00B83B60">
              <w:rPr>
                <w:rFonts w:ascii="Arial Narrow" w:hAnsi="Arial Narrow" w:cs="Arial"/>
                <w:lang w:eastAsia="es-CO"/>
              </w:rPr>
              <w:lastRenderedPageBreak/>
              <w:t xml:space="preserve">Todos los precios se </w:t>
            </w:r>
            <w:r w:rsidRPr="00B83B60">
              <w:rPr>
                <w:rFonts w:ascii="Arial Narrow" w:hAnsi="Arial Narrow" w:cs="Arial"/>
                <w:b/>
                <w:lang w:eastAsia="es-CO"/>
              </w:rPr>
              <w:t>disminuyen</w:t>
            </w:r>
            <w:r w:rsidRPr="00B83B60">
              <w:rPr>
                <w:rFonts w:ascii="Arial Narrow" w:hAnsi="Arial Narrow" w:cs="Arial"/>
                <w:lang w:eastAsia="es-CO"/>
              </w:rPr>
              <w:t xml:space="preserve"> en el parámetro de </w:t>
            </w:r>
            <w:r w:rsidRPr="00B83B60">
              <w:rPr>
                <w:rFonts w:ascii="Arial Narrow" w:hAnsi="Arial Narrow" w:cs="Arial"/>
                <w:lang w:eastAsia="es-CO"/>
              </w:rPr>
              <w:lastRenderedPageBreak/>
              <w:t>riesgo en situación de Stress Test.</w:t>
            </w:r>
          </w:p>
        </w:tc>
        <w:tc>
          <w:tcPr>
            <w:tcW w:w="2036" w:type="dxa"/>
          </w:tcPr>
          <w:p w14:paraId="6AF23F72" w14:textId="77777777" w:rsidR="007968EC" w:rsidRPr="00B83B60" w:rsidRDefault="007968EC" w:rsidP="007968EC">
            <w:pPr>
              <w:rPr>
                <w:rFonts w:ascii="Arial Narrow" w:hAnsi="Arial Narrow" w:cs="Arial"/>
                <w:lang w:eastAsia="es-CO"/>
              </w:rPr>
            </w:pPr>
            <w:r w:rsidRPr="00B83B60">
              <w:rPr>
                <w:rFonts w:ascii="Arial Narrow" w:hAnsi="Arial Narrow" w:cs="Arial"/>
                <w:lang w:eastAsia="es-CO"/>
              </w:rPr>
              <w:lastRenderedPageBreak/>
              <w:t xml:space="preserve">Todos los precios se </w:t>
            </w:r>
            <w:r w:rsidRPr="00B83B60">
              <w:rPr>
                <w:rFonts w:ascii="Arial Narrow" w:hAnsi="Arial Narrow" w:cs="Arial"/>
                <w:b/>
                <w:lang w:eastAsia="es-CO"/>
              </w:rPr>
              <w:t>incrementan</w:t>
            </w:r>
            <w:r w:rsidRPr="00B83B60">
              <w:rPr>
                <w:rFonts w:ascii="Arial Narrow" w:hAnsi="Arial Narrow" w:cs="Arial"/>
                <w:lang w:eastAsia="es-CO"/>
              </w:rPr>
              <w:t xml:space="preserve"> en el parámetro de riesgo </w:t>
            </w:r>
            <w:r w:rsidRPr="00B83B60">
              <w:rPr>
                <w:rFonts w:ascii="Arial Narrow" w:hAnsi="Arial Narrow" w:cs="Arial"/>
                <w:lang w:eastAsia="es-CO"/>
              </w:rPr>
              <w:lastRenderedPageBreak/>
              <w:t>en situación de Stress.</w:t>
            </w:r>
          </w:p>
        </w:tc>
      </w:tr>
      <w:tr w:rsidR="007968EC" w:rsidRPr="00B83B60" w14:paraId="2324BCBC" w14:textId="77777777" w:rsidTr="007968EC">
        <w:trPr>
          <w:gridAfter w:val="1"/>
          <w:wAfter w:w="10" w:type="dxa"/>
          <w:jc w:val="center"/>
        </w:trPr>
        <w:tc>
          <w:tcPr>
            <w:tcW w:w="1124" w:type="dxa"/>
          </w:tcPr>
          <w:p w14:paraId="39492C39" w14:textId="77777777" w:rsidR="007968EC" w:rsidRPr="00B83B60" w:rsidRDefault="007968EC" w:rsidP="007968EC">
            <w:pPr>
              <w:rPr>
                <w:rFonts w:ascii="Arial Narrow" w:hAnsi="Arial Narrow" w:cs="Arial"/>
                <w:lang w:eastAsia="es-CO"/>
              </w:rPr>
            </w:pPr>
            <w:r w:rsidRPr="00B83B60">
              <w:rPr>
                <w:rFonts w:ascii="Arial Narrow" w:hAnsi="Arial Narrow" w:cs="Arial"/>
                <w:lang w:eastAsia="es-CO"/>
              </w:rPr>
              <w:lastRenderedPageBreak/>
              <w:t>Escenario 8</w:t>
            </w:r>
          </w:p>
        </w:tc>
        <w:tc>
          <w:tcPr>
            <w:tcW w:w="1853" w:type="dxa"/>
          </w:tcPr>
          <w:p w14:paraId="473265DE" w14:textId="77777777" w:rsidR="007968EC" w:rsidRPr="00B83B60" w:rsidRDefault="007968EC" w:rsidP="007968EC">
            <w:pPr>
              <w:rPr>
                <w:rFonts w:ascii="Arial Narrow" w:hAnsi="Arial Narrow" w:cs="Arial"/>
                <w:lang w:eastAsia="es-CO"/>
              </w:rPr>
            </w:pPr>
            <w:r w:rsidRPr="00B83B60">
              <w:rPr>
                <w:rFonts w:ascii="Arial Narrow" w:hAnsi="Arial Narrow" w:cs="Arial"/>
                <w:lang w:eastAsia="es-CO"/>
              </w:rPr>
              <w:t xml:space="preserve">Todos los precios se </w:t>
            </w:r>
            <w:r w:rsidRPr="00B83B60">
              <w:rPr>
                <w:rFonts w:ascii="Arial Narrow" w:hAnsi="Arial Narrow" w:cs="Arial"/>
                <w:b/>
                <w:lang w:eastAsia="es-CO"/>
              </w:rPr>
              <w:t>disminuyen</w:t>
            </w:r>
            <w:r w:rsidRPr="00B83B60">
              <w:rPr>
                <w:rFonts w:ascii="Arial Narrow" w:hAnsi="Arial Narrow" w:cs="Arial"/>
                <w:lang w:eastAsia="es-CO"/>
              </w:rPr>
              <w:t xml:space="preserve"> en el parámetro de riesgo en situación de Stress Test.</w:t>
            </w:r>
          </w:p>
        </w:tc>
        <w:tc>
          <w:tcPr>
            <w:tcW w:w="1984" w:type="dxa"/>
          </w:tcPr>
          <w:p w14:paraId="737AC359" w14:textId="77777777" w:rsidR="007968EC" w:rsidRPr="00B83B60" w:rsidRDefault="007968EC" w:rsidP="007968EC">
            <w:pPr>
              <w:rPr>
                <w:rFonts w:ascii="Arial Narrow" w:hAnsi="Arial Narrow" w:cs="Arial"/>
                <w:lang w:eastAsia="es-CO"/>
              </w:rPr>
            </w:pPr>
            <w:r w:rsidRPr="00B83B60">
              <w:rPr>
                <w:rFonts w:ascii="Arial Narrow" w:hAnsi="Arial Narrow" w:cs="Arial"/>
                <w:lang w:eastAsia="es-CO"/>
              </w:rPr>
              <w:t xml:space="preserve">Todos los precios se </w:t>
            </w:r>
            <w:r w:rsidRPr="00B83B60">
              <w:rPr>
                <w:rFonts w:ascii="Arial Narrow" w:hAnsi="Arial Narrow" w:cs="Arial"/>
                <w:b/>
                <w:lang w:eastAsia="es-CO"/>
              </w:rPr>
              <w:t>disminuyen</w:t>
            </w:r>
            <w:r w:rsidRPr="00B83B60">
              <w:rPr>
                <w:rFonts w:ascii="Arial Narrow" w:hAnsi="Arial Narrow" w:cs="Arial"/>
                <w:lang w:eastAsia="es-CO"/>
              </w:rPr>
              <w:t xml:space="preserve"> en el parámetro de riesgo en situación de Stress Test.</w:t>
            </w:r>
          </w:p>
        </w:tc>
        <w:tc>
          <w:tcPr>
            <w:tcW w:w="2036" w:type="dxa"/>
          </w:tcPr>
          <w:p w14:paraId="47A51508" w14:textId="77777777" w:rsidR="007968EC" w:rsidRPr="00B83B60" w:rsidRDefault="007968EC" w:rsidP="007968EC">
            <w:pPr>
              <w:rPr>
                <w:rFonts w:ascii="Arial Narrow" w:hAnsi="Arial Narrow" w:cs="Arial"/>
                <w:lang w:eastAsia="es-CO"/>
              </w:rPr>
            </w:pPr>
            <w:r w:rsidRPr="00B83B60">
              <w:rPr>
                <w:rFonts w:ascii="Arial Narrow" w:hAnsi="Arial Narrow" w:cs="Arial"/>
                <w:lang w:eastAsia="es-CO"/>
              </w:rPr>
              <w:t xml:space="preserve">Todos los precios se </w:t>
            </w:r>
            <w:r w:rsidRPr="00B83B60">
              <w:rPr>
                <w:rFonts w:ascii="Arial Narrow" w:hAnsi="Arial Narrow" w:cs="Arial"/>
                <w:b/>
                <w:lang w:eastAsia="es-CO"/>
              </w:rPr>
              <w:t>disminuyen</w:t>
            </w:r>
            <w:r w:rsidRPr="00B83B60">
              <w:rPr>
                <w:rFonts w:ascii="Arial Narrow" w:hAnsi="Arial Narrow" w:cs="Arial"/>
                <w:lang w:eastAsia="es-CO"/>
              </w:rPr>
              <w:t xml:space="preserve"> en el parámetro de riesgo en situación de Stress Test.</w:t>
            </w:r>
          </w:p>
        </w:tc>
      </w:tr>
    </w:tbl>
    <w:p w14:paraId="53693031" w14:textId="77777777" w:rsidR="007968EC" w:rsidRPr="00B83B60" w:rsidRDefault="007968EC" w:rsidP="007968EC">
      <w:pPr>
        <w:jc w:val="both"/>
        <w:rPr>
          <w:rFonts w:ascii="Arial Narrow" w:eastAsia="Calibri" w:hAnsi="Arial Narrow"/>
          <w:bCs/>
          <w:color w:val="000000" w:themeColor="text1"/>
        </w:rPr>
      </w:pPr>
    </w:p>
    <w:p w14:paraId="056AB4FA" w14:textId="77777777" w:rsidR="007968EC" w:rsidRPr="00B83B60" w:rsidRDefault="007968EC" w:rsidP="007968EC">
      <w:pPr>
        <w:jc w:val="both"/>
        <w:rPr>
          <w:rFonts w:ascii="Arial Narrow" w:eastAsia="Calibri" w:hAnsi="Arial Narrow"/>
          <w:bCs/>
          <w:color w:val="000000" w:themeColor="text1"/>
        </w:rPr>
      </w:pPr>
      <w:r w:rsidRPr="00B83B60">
        <w:rPr>
          <w:rFonts w:ascii="Arial Narrow" w:eastAsia="Calibri" w:hAnsi="Arial Narrow"/>
          <w:bCs/>
          <w:color w:val="000000" w:themeColor="text1"/>
        </w:rPr>
        <w:t>Los Activos objeto de las Operaciones Repo del Segmento de Renta Variable son agrupados de acuerdo con el sector económico al que pertenecen los emisores de cada Activo, así:</w:t>
      </w:r>
    </w:p>
    <w:p w14:paraId="69AD80E2" w14:textId="77777777" w:rsidR="007968EC" w:rsidRPr="00B83B60" w:rsidRDefault="007968EC" w:rsidP="007968EC">
      <w:pPr>
        <w:jc w:val="both"/>
        <w:rPr>
          <w:rFonts w:ascii="Arial Narrow" w:eastAsia="Calibri" w:hAnsi="Arial Narrow"/>
          <w:bCs/>
          <w:color w:val="000000" w:themeColor="text1"/>
        </w:rPr>
      </w:pPr>
    </w:p>
    <w:p w14:paraId="4036426E" w14:textId="77777777" w:rsidR="007968EC" w:rsidRPr="00B83B60" w:rsidRDefault="007968EC" w:rsidP="007968EC">
      <w:pPr>
        <w:jc w:val="both"/>
        <w:rPr>
          <w:rFonts w:ascii="Arial Narrow" w:eastAsia="Calibri" w:hAnsi="Arial Narrow"/>
          <w:bCs/>
          <w:color w:val="000000" w:themeColor="text1"/>
        </w:rPr>
      </w:pPr>
    </w:p>
    <w:tbl>
      <w:tblPr>
        <w:tblW w:w="7933" w:type="dxa"/>
        <w:jc w:val="center"/>
        <w:tblCellMar>
          <w:left w:w="0" w:type="dxa"/>
          <w:right w:w="0" w:type="dxa"/>
        </w:tblCellMar>
        <w:tblLook w:val="04A0" w:firstRow="1" w:lastRow="0" w:firstColumn="1" w:lastColumn="0" w:noHBand="0" w:noVBand="1"/>
      </w:tblPr>
      <w:tblGrid>
        <w:gridCol w:w="2072"/>
        <w:gridCol w:w="5861"/>
      </w:tblGrid>
      <w:tr w:rsidR="007968EC" w:rsidRPr="00B83B60" w14:paraId="284F77C5" w14:textId="77777777" w:rsidTr="007968EC">
        <w:trPr>
          <w:trHeight w:val="325"/>
          <w:jc w:val="center"/>
        </w:trPr>
        <w:tc>
          <w:tcPr>
            <w:tcW w:w="2072"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7C9F581D" w14:textId="77777777" w:rsidR="007968EC" w:rsidRPr="00B83B60" w:rsidRDefault="007968EC" w:rsidP="007968EC">
            <w:pPr>
              <w:jc w:val="center"/>
              <w:rPr>
                <w:rFonts w:ascii="Arial Narrow" w:eastAsia="Calibri" w:hAnsi="Arial Narrow"/>
                <w:b/>
                <w:bCs/>
                <w:color w:val="000000"/>
                <w:lang w:eastAsia="es-CO"/>
              </w:rPr>
            </w:pPr>
            <w:r w:rsidRPr="00B83B60">
              <w:rPr>
                <w:rFonts w:ascii="Arial Narrow" w:eastAsia="Calibri" w:hAnsi="Arial Narrow"/>
                <w:b/>
                <w:color w:val="000000"/>
                <w:lang w:eastAsia="es-CO"/>
              </w:rPr>
              <w:t>SECTOR ECONÓMICO</w:t>
            </w:r>
          </w:p>
        </w:tc>
        <w:tc>
          <w:tcPr>
            <w:tcW w:w="5861"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08044ECB" w14:textId="77777777" w:rsidR="007968EC" w:rsidRPr="00B83B60" w:rsidRDefault="007968EC" w:rsidP="007968EC">
            <w:pPr>
              <w:jc w:val="center"/>
              <w:rPr>
                <w:rFonts w:ascii="Arial Narrow" w:eastAsia="Calibri" w:hAnsi="Arial Narrow"/>
                <w:b/>
                <w:bCs/>
                <w:color w:val="000000"/>
                <w:lang w:eastAsia="es-CO"/>
              </w:rPr>
            </w:pPr>
            <w:r w:rsidRPr="00B83B60">
              <w:rPr>
                <w:rFonts w:ascii="Arial Narrow" w:eastAsia="Calibri" w:hAnsi="Arial Narrow"/>
                <w:b/>
                <w:color w:val="000000"/>
                <w:lang w:eastAsia="es-CO"/>
              </w:rPr>
              <w:t>NEMO DEL ACTIVO SUBYACENTE RENTA VARIABLE</w:t>
            </w:r>
          </w:p>
        </w:tc>
      </w:tr>
      <w:tr w:rsidR="007968EC" w:rsidRPr="00B83B60" w14:paraId="6D6CB49B" w14:textId="77777777" w:rsidTr="007968EC">
        <w:trPr>
          <w:trHeight w:val="325"/>
          <w:jc w:val="center"/>
        </w:trPr>
        <w:tc>
          <w:tcPr>
            <w:tcW w:w="2072"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BB298FC" w14:textId="77777777" w:rsidR="007968EC" w:rsidRPr="00B83B60" w:rsidRDefault="007968EC" w:rsidP="007968EC">
            <w:pPr>
              <w:rPr>
                <w:rFonts w:ascii="Arial Narrow" w:eastAsia="Calibri" w:hAnsi="Arial Narrow"/>
                <w:b/>
                <w:bCs/>
                <w:color w:val="000000"/>
                <w:lang w:eastAsia="es-CO"/>
              </w:rPr>
            </w:pPr>
            <w:r w:rsidRPr="00B83B60">
              <w:rPr>
                <w:rFonts w:ascii="Arial Narrow" w:eastAsia="Calibri" w:hAnsi="Arial Narrow"/>
                <w:color w:val="000000"/>
                <w:lang w:eastAsia="es-CO"/>
              </w:rPr>
              <w:t>ENERGÍA</w:t>
            </w:r>
            <w:r w:rsidRPr="00B83B60">
              <w:rPr>
                <w:rFonts w:ascii="Arial Narrow" w:eastAsia="Calibri" w:hAnsi="Arial Narrow"/>
                <w:b/>
                <w:bCs/>
                <w:color w:val="000000"/>
                <w:lang w:eastAsia="es-CO"/>
              </w:rPr>
              <w:t> </w:t>
            </w:r>
          </w:p>
        </w:tc>
        <w:tc>
          <w:tcPr>
            <w:tcW w:w="586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5DA3BBE9" w14:textId="77777777" w:rsidR="007968EC" w:rsidRPr="00B83B60" w:rsidRDefault="007968EC" w:rsidP="007968EC">
            <w:pPr>
              <w:rPr>
                <w:rFonts w:ascii="Arial Narrow" w:eastAsia="Calibri" w:hAnsi="Arial Narrow"/>
                <w:b/>
                <w:bCs/>
                <w:color w:val="000000"/>
                <w:lang w:eastAsia="es-CO"/>
              </w:rPr>
            </w:pPr>
            <w:r w:rsidRPr="00B83B60">
              <w:rPr>
                <w:rFonts w:ascii="Arial Narrow" w:eastAsia="Calibri" w:hAnsi="Arial Narrow"/>
                <w:b/>
                <w:bCs/>
                <w:color w:val="000000"/>
                <w:lang w:eastAsia="es-CO"/>
              </w:rPr>
              <w:t xml:space="preserve">ACCIÓN ECOPETROL </w:t>
            </w:r>
          </w:p>
        </w:tc>
      </w:tr>
      <w:tr w:rsidR="007968EC" w:rsidRPr="00B83B60" w14:paraId="56353002" w14:textId="77777777" w:rsidTr="007968EC">
        <w:trPr>
          <w:trHeight w:val="325"/>
          <w:jc w:val="center"/>
        </w:trPr>
        <w:tc>
          <w:tcPr>
            <w:tcW w:w="2072" w:type="dxa"/>
            <w:tcBorders>
              <w:top w:val="nil"/>
              <w:left w:val="single" w:sz="8" w:space="0" w:color="auto"/>
              <w:bottom w:val="nil"/>
              <w:right w:val="single" w:sz="8" w:space="0" w:color="auto"/>
            </w:tcBorders>
            <w:tcMar>
              <w:top w:w="0" w:type="dxa"/>
              <w:left w:w="70" w:type="dxa"/>
              <w:bottom w:w="0" w:type="dxa"/>
              <w:right w:w="70" w:type="dxa"/>
            </w:tcMar>
            <w:vAlign w:val="center"/>
            <w:hideMark/>
          </w:tcPr>
          <w:p w14:paraId="7E598BC6" w14:textId="77777777" w:rsidR="007968EC" w:rsidRPr="00B83B60" w:rsidRDefault="007968EC" w:rsidP="007968EC">
            <w:pPr>
              <w:rPr>
                <w:rFonts w:ascii="Arial Narrow" w:eastAsia="Calibri" w:hAnsi="Arial Narrow"/>
                <w:b/>
                <w:bCs/>
                <w:color w:val="000000"/>
                <w:lang w:eastAsia="es-CO"/>
              </w:rPr>
            </w:pPr>
            <w:r w:rsidRPr="00B83B60">
              <w:rPr>
                <w:rFonts w:ascii="Arial Narrow" w:eastAsia="Calibri" w:hAnsi="Arial Narrow"/>
                <w:b/>
                <w:bCs/>
                <w:color w:val="000000"/>
                <w:lang w:eastAsia="es-CO"/>
              </w:rPr>
              <w:t> </w:t>
            </w:r>
          </w:p>
        </w:tc>
        <w:tc>
          <w:tcPr>
            <w:tcW w:w="586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C5439AB" w14:textId="77777777" w:rsidR="007968EC" w:rsidRPr="00B83B60" w:rsidRDefault="007968EC" w:rsidP="007968EC">
            <w:pPr>
              <w:rPr>
                <w:rFonts w:ascii="Arial Narrow" w:eastAsia="Calibri" w:hAnsi="Arial Narrow"/>
                <w:b/>
                <w:bCs/>
                <w:color w:val="000000"/>
                <w:lang w:eastAsia="es-CO"/>
              </w:rPr>
            </w:pPr>
            <w:r w:rsidRPr="00B83B60">
              <w:rPr>
                <w:rFonts w:ascii="Arial Narrow" w:eastAsia="Calibri" w:hAnsi="Arial Narrow"/>
                <w:b/>
                <w:bCs/>
                <w:color w:val="000000"/>
                <w:lang w:eastAsia="es-CO"/>
              </w:rPr>
              <w:t xml:space="preserve">ACCIÓN BANCOLOMBIA </w:t>
            </w:r>
          </w:p>
        </w:tc>
      </w:tr>
      <w:tr w:rsidR="007968EC" w:rsidRPr="00B83B60" w14:paraId="7CD5B93D" w14:textId="77777777" w:rsidTr="007968EC">
        <w:trPr>
          <w:trHeight w:val="325"/>
          <w:jc w:val="center"/>
        </w:trPr>
        <w:tc>
          <w:tcPr>
            <w:tcW w:w="2072" w:type="dxa"/>
            <w:tcBorders>
              <w:top w:val="nil"/>
              <w:left w:val="single" w:sz="8" w:space="0" w:color="auto"/>
              <w:bottom w:val="nil"/>
              <w:right w:val="single" w:sz="8" w:space="0" w:color="auto"/>
            </w:tcBorders>
            <w:tcMar>
              <w:top w:w="0" w:type="dxa"/>
              <w:left w:w="70" w:type="dxa"/>
              <w:bottom w:w="0" w:type="dxa"/>
              <w:right w:w="70" w:type="dxa"/>
            </w:tcMar>
            <w:vAlign w:val="center"/>
            <w:hideMark/>
          </w:tcPr>
          <w:p w14:paraId="517FA33A" w14:textId="77777777" w:rsidR="007968EC" w:rsidRPr="00B83B60" w:rsidRDefault="007968EC" w:rsidP="007968EC">
            <w:pPr>
              <w:rPr>
                <w:rFonts w:ascii="Arial Narrow" w:eastAsia="Calibri" w:hAnsi="Arial Narrow"/>
                <w:color w:val="000000"/>
                <w:lang w:eastAsia="es-CO"/>
              </w:rPr>
            </w:pPr>
            <w:r w:rsidRPr="00B83B60">
              <w:rPr>
                <w:rFonts w:ascii="Arial Narrow" w:eastAsia="Calibri" w:hAnsi="Arial Narrow"/>
                <w:color w:val="000000"/>
                <w:lang w:eastAsia="es-CO"/>
              </w:rPr>
              <w:t> </w:t>
            </w:r>
          </w:p>
        </w:tc>
        <w:tc>
          <w:tcPr>
            <w:tcW w:w="586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8A5D47E" w14:textId="77777777" w:rsidR="007968EC" w:rsidRPr="00B83B60" w:rsidRDefault="007968EC" w:rsidP="007968EC">
            <w:pPr>
              <w:rPr>
                <w:rFonts w:ascii="Arial Narrow" w:eastAsia="Calibri" w:hAnsi="Arial Narrow"/>
                <w:b/>
                <w:bCs/>
                <w:color w:val="000000"/>
                <w:lang w:eastAsia="es-CO"/>
              </w:rPr>
            </w:pPr>
            <w:r w:rsidRPr="00B83B60">
              <w:rPr>
                <w:rFonts w:ascii="Arial Narrow" w:eastAsia="Calibri" w:hAnsi="Arial Narrow"/>
                <w:b/>
                <w:bCs/>
                <w:color w:val="000000"/>
                <w:lang w:eastAsia="es-CO"/>
              </w:rPr>
              <w:t xml:space="preserve">ACCIÓN CORFICOLOMBIANA  </w:t>
            </w:r>
          </w:p>
        </w:tc>
      </w:tr>
      <w:tr w:rsidR="007968EC" w:rsidRPr="00B83B60" w14:paraId="761FE04D" w14:textId="77777777" w:rsidTr="007968EC">
        <w:trPr>
          <w:trHeight w:val="325"/>
          <w:jc w:val="center"/>
        </w:trPr>
        <w:tc>
          <w:tcPr>
            <w:tcW w:w="2072" w:type="dxa"/>
            <w:tcBorders>
              <w:top w:val="nil"/>
              <w:left w:val="single" w:sz="8" w:space="0" w:color="auto"/>
              <w:bottom w:val="nil"/>
              <w:right w:val="single" w:sz="8" w:space="0" w:color="auto"/>
            </w:tcBorders>
            <w:tcMar>
              <w:top w:w="0" w:type="dxa"/>
              <w:left w:w="70" w:type="dxa"/>
              <w:bottom w:w="0" w:type="dxa"/>
              <w:right w:w="70" w:type="dxa"/>
            </w:tcMar>
            <w:vAlign w:val="center"/>
            <w:hideMark/>
          </w:tcPr>
          <w:p w14:paraId="2E3066B3" w14:textId="77777777" w:rsidR="007968EC" w:rsidRPr="00B83B60" w:rsidRDefault="007968EC" w:rsidP="007968EC">
            <w:pPr>
              <w:rPr>
                <w:rFonts w:ascii="Arial Narrow" w:eastAsia="Calibri" w:hAnsi="Arial Narrow"/>
                <w:color w:val="000000"/>
                <w:lang w:eastAsia="es-CO"/>
              </w:rPr>
            </w:pPr>
            <w:r w:rsidRPr="00B83B60">
              <w:rPr>
                <w:rFonts w:ascii="Arial Narrow" w:eastAsia="Calibri" w:hAnsi="Arial Narrow"/>
                <w:color w:val="000000"/>
                <w:lang w:eastAsia="es-CO"/>
              </w:rPr>
              <w:t> </w:t>
            </w:r>
          </w:p>
        </w:tc>
        <w:tc>
          <w:tcPr>
            <w:tcW w:w="586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1E0BF84" w14:textId="77777777" w:rsidR="007968EC" w:rsidRPr="00B83B60" w:rsidRDefault="007968EC" w:rsidP="007968EC">
            <w:pPr>
              <w:rPr>
                <w:rFonts w:ascii="Arial Narrow" w:eastAsia="Calibri" w:hAnsi="Arial Narrow"/>
                <w:b/>
                <w:bCs/>
                <w:color w:val="000000"/>
                <w:lang w:eastAsia="es-CO"/>
              </w:rPr>
            </w:pPr>
            <w:r w:rsidRPr="00B83B60">
              <w:rPr>
                <w:rFonts w:ascii="Arial Narrow" w:eastAsia="Calibri" w:hAnsi="Arial Narrow"/>
                <w:b/>
                <w:bCs/>
                <w:color w:val="000000"/>
                <w:lang w:eastAsia="es-CO"/>
              </w:rPr>
              <w:t>ACCIÓN PREFERENCIAL DAVIVIENDA</w:t>
            </w:r>
          </w:p>
        </w:tc>
      </w:tr>
      <w:tr w:rsidR="007968EC" w:rsidRPr="00B83B60" w14:paraId="59B338B0" w14:textId="77777777" w:rsidTr="007968EC">
        <w:trPr>
          <w:trHeight w:val="325"/>
          <w:jc w:val="center"/>
        </w:trPr>
        <w:tc>
          <w:tcPr>
            <w:tcW w:w="2072" w:type="dxa"/>
            <w:tcBorders>
              <w:top w:val="nil"/>
              <w:left w:val="single" w:sz="8" w:space="0" w:color="auto"/>
              <w:bottom w:val="nil"/>
              <w:right w:val="single" w:sz="8" w:space="0" w:color="auto"/>
            </w:tcBorders>
            <w:tcMar>
              <w:top w:w="0" w:type="dxa"/>
              <w:left w:w="70" w:type="dxa"/>
              <w:bottom w:w="0" w:type="dxa"/>
              <w:right w:w="70" w:type="dxa"/>
            </w:tcMar>
            <w:vAlign w:val="center"/>
            <w:hideMark/>
          </w:tcPr>
          <w:p w14:paraId="3FECD066" w14:textId="77777777" w:rsidR="007968EC" w:rsidRPr="00B83B60" w:rsidRDefault="007968EC" w:rsidP="007968EC">
            <w:pPr>
              <w:rPr>
                <w:rFonts w:ascii="Arial Narrow" w:eastAsia="Calibri" w:hAnsi="Arial Narrow"/>
                <w:color w:val="000000"/>
                <w:lang w:eastAsia="es-CO"/>
              </w:rPr>
            </w:pPr>
            <w:r w:rsidRPr="00B83B60">
              <w:rPr>
                <w:rFonts w:ascii="Arial Narrow" w:eastAsia="Calibri" w:hAnsi="Arial Narrow"/>
                <w:color w:val="000000"/>
                <w:lang w:eastAsia="es-CO"/>
              </w:rPr>
              <w:t xml:space="preserve">FINANZAS </w:t>
            </w:r>
          </w:p>
        </w:tc>
        <w:tc>
          <w:tcPr>
            <w:tcW w:w="586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B03BE94" w14:textId="77777777" w:rsidR="007968EC" w:rsidRPr="00B83B60" w:rsidRDefault="007968EC" w:rsidP="007968EC">
            <w:pPr>
              <w:rPr>
                <w:rFonts w:ascii="Arial Narrow" w:eastAsia="Calibri" w:hAnsi="Arial Narrow"/>
                <w:b/>
                <w:bCs/>
                <w:color w:val="000000"/>
                <w:lang w:eastAsia="es-CO"/>
              </w:rPr>
            </w:pPr>
            <w:r w:rsidRPr="00B83B60">
              <w:rPr>
                <w:rFonts w:ascii="Arial Narrow" w:eastAsia="Calibri" w:hAnsi="Arial Narrow"/>
                <w:b/>
                <w:bCs/>
                <w:color w:val="000000"/>
                <w:lang w:eastAsia="es-CO"/>
              </w:rPr>
              <w:t xml:space="preserve">ACCIÓN PREFERENCIAL AVAL </w:t>
            </w:r>
          </w:p>
        </w:tc>
      </w:tr>
      <w:tr w:rsidR="007968EC" w:rsidRPr="00B83B60" w14:paraId="39039000" w14:textId="77777777" w:rsidTr="007968EC">
        <w:trPr>
          <w:trHeight w:val="325"/>
          <w:jc w:val="center"/>
        </w:trPr>
        <w:tc>
          <w:tcPr>
            <w:tcW w:w="2072" w:type="dxa"/>
            <w:tcBorders>
              <w:top w:val="nil"/>
              <w:left w:val="single" w:sz="8" w:space="0" w:color="auto"/>
              <w:bottom w:val="nil"/>
              <w:right w:val="single" w:sz="8" w:space="0" w:color="auto"/>
            </w:tcBorders>
            <w:tcMar>
              <w:top w:w="0" w:type="dxa"/>
              <w:left w:w="70" w:type="dxa"/>
              <w:bottom w:w="0" w:type="dxa"/>
              <w:right w:w="70" w:type="dxa"/>
            </w:tcMar>
            <w:hideMark/>
          </w:tcPr>
          <w:p w14:paraId="4B929AC4" w14:textId="77777777" w:rsidR="007968EC" w:rsidRPr="00B83B60" w:rsidRDefault="007968EC" w:rsidP="007968EC">
            <w:pPr>
              <w:rPr>
                <w:rFonts w:ascii="Calibri" w:eastAsia="Calibri" w:hAnsi="Calibri"/>
                <w:color w:val="000000"/>
                <w:lang w:eastAsia="es-CO"/>
              </w:rPr>
            </w:pPr>
            <w:r w:rsidRPr="00B83B60">
              <w:rPr>
                <w:rFonts w:ascii="Calibri" w:eastAsia="Calibri" w:hAnsi="Calibri"/>
                <w:color w:val="000000"/>
                <w:lang w:eastAsia="es-CO"/>
              </w:rPr>
              <w:t> </w:t>
            </w:r>
          </w:p>
        </w:tc>
        <w:tc>
          <w:tcPr>
            <w:tcW w:w="586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2484172" w14:textId="77777777" w:rsidR="007968EC" w:rsidRPr="00B83B60" w:rsidRDefault="007968EC" w:rsidP="007968EC">
            <w:pPr>
              <w:rPr>
                <w:rFonts w:ascii="Arial Narrow" w:eastAsia="Calibri" w:hAnsi="Arial Narrow"/>
                <w:b/>
                <w:bCs/>
                <w:color w:val="000000"/>
                <w:lang w:eastAsia="es-CO"/>
              </w:rPr>
            </w:pPr>
            <w:r w:rsidRPr="00B83B60">
              <w:rPr>
                <w:rFonts w:ascii="Arial Narrow" w:eastAsia="Calibri" w:hAnsi="Arial Narrow"/>
                <w:b/>
                <w:bCs/>
                <w:color w:val="000000"/>
                <w:lang w:eastAsia="es-CO"/>
              </w:rPr>
              <w:t xml:space="preserve">ACCIÓN PREFERENCIAL BANCOLOMBIA </w:t>
            </w:r>
          </w:p>
        </w:tc>
      </w:tr>
      <w:tr w:rsidR="007968EC" w:rsidRPr="00B83B60" w14:paraId="034C6B03" w14:textId="77777777" w:rsidTr="007968EC">
        <w:trPr>
          <w:trHeight w:val="325"/>
          <w:jc w:val="center"/>
        </w:trPr>
        <w:tc>
          <w:tcPr>
            <w:tcW w:w="2072" w:type="dxa"/>
            <w:tcBorders>
              <w:top w:val="nil"/>
              <w:left w:val="single" w:sz="8" w:space="0" w:color="auto"/>
              <w:bottom w:val="nil"/>
              <w:right w:val="single" w:sz="8" w:space="0" w:color="auto"/>
            </w:tcBorders>
            <w:tcMar>
              <w:top w:w="0" w:type="dxa"/>
              <w:left w:w="70" w:type="dxa"/>
              <w:bottom w:w="0" w:type="dxa"/>
              <w:right w:w="70" w:type="dxa"/>
            </w:tcMar>
            <w:hideMark/>
          </w:tcPr>
          <w:p w14:paraId="58B824D1" w14:textId="77777777" w:rsidR="007968EC" w:rsidRPr="00B83B60" w:rsidRDefault="007968EC" w:rsidP="007968EC">
            <w:pPr>
              <w:rPr>
                <w:rFonts w:ascii="Calibri" w:eastAsia="Calibri" w:hAnsi="Calibri"/>
                <w:color w:val="000000"/>
                <w:lang w:eastAsia="es-CO"/>
              </w:rPr>
            </w:pPr>
            <w:r w:rsidRPr="00B83B60">
              <w:rPr>
                <w:rFonts w:ascii="Calibri" w:eastAsia="Calibri" w:hAnsi="Calibri"/>
                <w:color w:val="000000"/>
                <w:lang w:eastAsia="es-CO"/>
              </w:rPr>
              <w:t> </w:t>
            </w:r>
          </w:p>
        </w:tc>
        <w:tc>
          <w:tcPr>
            <w:tcW w:w="586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B695772" w14:textId="77777777" w:rsidR="007968EC" w:rsidRPr="00B83B60" w:rsidRDefault="007968EC" w:rsidP="007968EC">
            <w:pPr>
              <w:rPr>
                <w:rFonts w:ascii="Arial Narrow" w:eastAsia="Calibri" w:hAnsi="Arial Narrow"/>
                <w:b/>
                <w:bCs/>
                <w:color w:val="000000"/>
                <w:lang w:eastAsia="es-CO"/>
              </w:rPr>
            </w:pPr>
            <w:r w:rsidRPr="00B83B60">
              <w:rPr>
                <w:rFonts w:ascii="Arial Narrow" w:eastAsia="Calibri" w:hAnsi="Arial Narrow"/>
                <w:b/>
                <w:bCs/>
                <w:color w:val="000000"/>
                <w:lang w:eastAsia="es-CO"/>
              </w:rPr>
              <w:t xml:space="preserve">ACCIÓN PREFERENCIAL GRUPO SURA </w:t>
            </w:r>
          </w:p>
        </w:tc>
      </w:tr>
      <w:tr w:rsidR="007968EC" w:rsidRPr="00B83B60" w14:paraId="52F32951" w14:textId="77777777" w:rsidTr="007968EC">
        <w:trPr>
          <w:trHeight w:val="325"/>
          <w:jc w:val="center"/>
        </w:trPr>
        <w:tc>
          <w:tcPr>
            <w:tcW w:w="207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5B20737" w14:textId="77777777" w:rsidR="007968EC" w:rsidRPr="00B83B60" w:rsidRDefault="007968EC" w:rsidP="007968EC">
            <w:pPr>
              <w:rPr>
                <w:rFonts w:ascii="Calibri" w:eastAsia="Calibri" w:hAnsi="Calibri"/>
                <w:color w:val="000000"/>
                <w:lang w:eastAsia="es-CO"/>
              </w:rPr>
            </w:pPr>
            <w:r w:rsidRPr="00B83B60">
              <w:rPr>
                <w:rFonts w:ascii="Calibri" w:eastAsia="Calibri" w:hAnsi="Calibri"/>
                <w:color w:val="000000"/>
                <w:lang w:eastAsia="es-CO"/>
              </w:rPr>
              <w:t> </w:t>
            </w:r>
          </w:p>
        </w:tc>
        <w:tc>
          <w:tcPr>
            <w:tcW w:w="586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9CB9A81" w14:textId="77777777" w:rsidR="007968EC" w:rsidRPr="00B83B60" w:rsidRDefault="007968EC" w:rsidP="007968EC">
            <w:pPr>
              <w:rPr>
                <w:rFonts w:ascii="Arial Narrow" w:eastAsia="Calibri" w:hAnsi="Arial Narrow"/>
                <w:b/>
                <w:bCs/>
                <w:color w:val="000000"/>
                <w:lang w:eastAsia="es-CO"/>
              </w:rPr>
            </w:pPr>
            <w:r w:rsidRPr="00B83B60">
              <w:rPr>
                <w:rFonts w:ascii="Arial Narrow" w:eastAsia="Calibri" w:hAnsi="Arial Narrow"/>
                <w:b/>
                <w:bCs/>
                <w:color w:val="000000"/>
                <w:lang w:eastAsia="es-CO"/>
              </w:rPr>
              <w:t>ACCIÓN GRUPO SURA</w:t>
            </w:r>
          </w:p>
        </w:tc>
      </w:tr>
      <w:tr w:rsidR="007968EC" w:rsidRPr="00B83B60" w14:paraId="461D866F" w14:textId="77777777" w:rsidTr="007968EC">
        <w:trPr>
          <w:trHeight w:val="325"/>
          <w:jc w:val="center"/>
        </w:trPr>
        <w:tc>
          <w:tcPr>
            <w:tcW w:w="2072" w:type="dxa"/>
            <w:tcBorders>
              <w:top w:val="nil"/>
              <w:left w:val="single" w:sz="8" w:space="0" w:color="auto"/>
              <w:bottom w:val="nil"/>
              <w:right w:val="single" w:sz="8" w:space="0" w:color="auto"/>
            </w:tcBorders>
            <w:tcMar>
              <w:top w:w="0" w:type="dxa"/>
              <w:left w:w="70" w:type="dxa"/>
              <w:bottom w:w="0" w:type="dxa"/>
              <w:right w:w="70" w:type="dxa"/>
            </w:tcMar>
            <w:vAlign w:val="center"/>
            <w:hideMark/>
          </w:tcPr>
          <w:p w14:paraId="5584FC30" w14:textId="77777777" w:rsidR="007968EC" w:rsidRPr="00B83B60" w:rsidRDefault="007968EC" w:rsidP="007968EC">
            <w:pPr>
              <w:rPr>
                <w:rFonts w:ascii="Arial Narrow" w:eastAsia="Calibri" w:hAnsi="Arial Narrow"/>
                <w:b/>
                <w:bCs/>
                <w:color w:val="000000"/>
                <w:lang w:eastAsia="es-CO"/>
              </w:rPr>
            </w:pPr>
            <w:r w:rsidRPr="00B83B60">
              <w:rPr>
                <w:rFonts w:ascii="Arial Narrow" w:eastAsia="Calibri" w:hAnsi="Arial Narrow"/>
                <w:b/>
                <w:bCs/>
                <w:color w:val="000000"/>
                <w:lang w:eastAsia="es-CO"/>
              </w:rPr>
              <w:t> </w:t>
            </w:r>
          </w:p>
        </w:tc>
        <w:tc>
          <w:tcPr>
            <w:tcW w:w="586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9CBAFA0" w14:textId="77777777" w:rsidR="007968EC" w:rsidRPr="00B83B60" w:rsidRDefault="007968EC" w:rsidP="007968EC">
            <w:pPr>
              <w:rPr>
                <w:rFonts w:ascii="Arial Narrow" w:eastAsia="Calibri" w:hAnsi="Arial Narrow"/>
                <w:b/>
                <w:bCs/>
                <w:color w:val="000000"/>
                <w:lang w:eastAsia="es-CO"/>
              </w:rPr>
            </w:pPr>
            <w:r w:rsidRPr="00B83B60">
              <w:rPr>
                <w:rFonts w:ascii="Arial Narrow" w:eastAsia="Calibri" w:hAnsi="Arial Narrow"/>
                <w:b/>
                <w:bCs/>
                <w:color w:val="000000"/>
                <w:lang w:eastAsia="es-CO"/>
              </w:rPr>
              <w:t>ACCIÓN CEMEX</w:t>
            </w:r>
          </w:p>
        </w:tc>
      </w:tr>
      <w:tr w:rsidR="007968EC" w:rsidRPr="00B83B60" w14:paraId="07F9CBAA" w14:textId="77777777" w:rsidTr="007968EC">
        <w:trPr>
          <w:trHeight w:val="325"/>
          <w:jc w:val="center"/>
        </w:trPr>
        <w:tc>
          <w:tcPr>
            <w:tcW w:w="2072" w:type="dxa"/>
            <w:tcBorders>
              <w:top w:val="nil"/>
              <w:left w:val="single" w:sz="8" w:space="0" w:color="auto"/>
              <w:bottom w:val="nil"/>
              <w:right w:val="single" w:sz="8" w:space="0" w:color="auto"/>
            </w:tcBorders>
            <w:tcMar>
              <w:top w:w="0" w:type="dxa"/>
              <w:left w:w="70" w:type="dxa"/>
              <w:bottom w:w="0" w:type="dxa"/>
              <w:right w:w="70" w:type="dxa"/>
            </w:tcMar>
            <w:vAlign w:val="center"/>
            <w:hideMark/>
          </w:tcPr>
          <w:p w14:paraId="75BB2D15" w14:textId="77777777" w:rsidR="007968EC" w:rsidRPr="00B83B60" w:rsidRDefault="007968EC" w:rsidP="007968EC">
            <w:pPr>
              <w:rPr>
                <w:rFonts w:ascii="Arial Narrow" w:eastAsia="Calibri" w:hAnsi="Arial Narrow"/>
                <w:color w:val="000000"/>
                <w:lang w:eastAsia="es-CO"/>
              </w:rPr>
            </w:pPr>
            <w:r w:rsidRPr="00B83B60">
              <w:rPr>
                <w:rFonts w:ascii="Arial Narrow" w:eastAsia="Calibri" w:hAnsi="Arial Narrow"/>
                <w:color w:val="000000"/>
                <w:lang w:eastAsia="es-CO"/>
              </w:rPr>
              <w:t> </w:t>
            </w:r>
          </w:p>
        </w:tc>
        <w:tc>
          <w:tcPr>
            <w:tcW w:w="586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8BD79E3" w14:textId="77777777" w:rsidR="007968EC" w:rsidRPr="00B83B60" w:rsidRDefault="007968EC" w:rsidP="007968EC">
            <w:pPr>
              <w:rPr>
                <w:rFonts w:ascii="Arial Narrow" w:eastAsia="Calibri" w:hAnsi="Arial Narrow"/>
                <w:b/>
                <w:bCs/>
                <w:color w:val="000000"/>
                <w:lang w:eastAsia="es-CO"/>
              </w:rPr>
            </w:pPr>
            <w:r w:rsidRPr="00B83B60">
              <w:rPr>
                <w:rFonts w:ascii="Arial Narrow" w:eastAsia="Calibri" w:hAnsi="Arial Narrow"/>
                <w:b/>
                <w:bCs/>
                <w:color w:val="000000"/>
                <w:lang w:eastAsia="es-CO"/>
              </w:rPr>
              <w:t>ACCIÓN PREFERENCIAL GRUPO ARGOS</w:t>
            </w:r>
          </w:p>
        </w:tc>
      </w:tr>
      <w:tr w:rsidR="007968EC" w:rsidRPr="00B83B60" w14:paraId="2C055771" w14:textId="77777777" w:rsidTr="007968EC">
        <w:trPr>
          <w:trHeight w:val="325"/>
          <w:jc w:val="center"/>
        </w:trPr>
        <w:tc>
          <w:tcPr>
            <w:tcW w:w="2072" w:type="dxa"/>
            <w:tcBorders>
              <w:top w:val="nil"/>
              <w:left w:val="single" w:sz="8" w:space="0" w:color="auto"/>
              <w:bottom w:val="nil"/>
              <w:right w:val="single" w:sz="8" w:space="0" w:color="auto"/>
            </w:tcBorders>
            <w:tcMar>
              <w:top w:w="0" w:type="dxa"/>
              <w:left w:w="70" w:type="dxa"/>
              <w:bottom w:w="0" w:type="dxa"/>
              <w:right w:w="70" w:type="dxa"/>
            </w:tcMar>
            <w:vAlign w:val="center"/>
            <w:hideMark/>
          </w:tcPr>
          <w:p w14:paraId="1506F634" w14:textId="77777777" w:rsidR="007968EC" w:rsidRPr="00B83B60" w:rsidRDefault="007968EC" w:rsidP="007968EC">
            <w:pPr>
              <w:rPr>
                <w:rFonts w:ascii="Arial Narrow" w:eastAsia="Calibri" w:hAnsi="Arial Narrow"/>
                <w:color w:val="000000"/>
                <w:lang w:eastAsia="es-CO"/>
              </w:rPr>
            </w:pPr>
            <w:r w:rsidRPr="00B83B60">
              <w:rPr>
                <w:rFonts w:ascii="Arial Narrow" w:eastAsia="Calibri" w:hAnsi="Arial Narrow"/>
                <w:color w:val="000000"/>
                <w:lang w:eastAsia="es-CO"/>
              </w:rPr>
              <w:t> </w:t>
            </w:r>
          </w:p>
        </w:tc>
        <w:tc>
          <w:tcPr>
            <w:tcW w:w="586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71FDA45" w14:textId="77777777" w:rsidR="007968EC" w:rsidRPr="00B83B60" w:rsidRDefault="007968EC" w:rsidP="007968EC">
            <w:pPr>
              <w:rPr>
                <w:rFonts w:ascii="Arial Narrow" w:eastAsia="Calibri" w:hAnsi="Arial Narrow"/>
                <w:b/>
                <w:bCs/>
                <w:color w:val="000000"/>
                <w:lang w:eastAsia="es-CO"/>
              </w:rPr>
            </w:pPr>
            <w:r w:rsidRPr="00B83B60">
              <w:rPr>
                <w:rFonts w:ascii="Arial Narrow" w:eastAsia="Calibri" w:hAnsi="Arial Narrow"/>
                <w:b/>
                <w:bCs/>
                <w:color w:val="000000"/>
                <w:lang w:eastAsia="es-CO"/>
              </w:rPr>
              <w:t xml:space="preserve">ACCIÓN CEMARGOS </w:t>
            </w:r>
          </w:p>
        </w:tc>
      </w:tr>
      <w:tr w:rsidR="007968EC" w:rsidRPr="00B83B60" w14:paraId="54297B1B" w14:textId="77777777" w:rsidTr="007968EC">
        <w:trPr>
          <w:trHeight w:val="325"/>
          <w:jc w:val="center"/>
        </w:trPr>
        <w:tc>
          <w:tcPr>
            <w:tcW w:w="2072" w:type="dxa"/>
            <w:tcBorders>
              <w:top w:val="nil"/>
              <w:left w:val="single" w:sz="8" w:space="0" w:color="auto"/>
              <w:bottom w:val="nil"/>
              <w:right w:val="single" w:sz="8" w:space="0" w:color="auto"/>
            </w:tcBorders>
            <w:tcMar>
              <w:top w:w="0" w:type="dxa"/>
              <w:left w:w="70" w:type="dxa"/>
              <w:bottom w:w="0" w:type="dxa"/>
              <w:right w:w="70" w:type="dxa"/>
            </w:tcMar>
            <w:vAlign w:val="center"/>
            <w:hideMark/>
          </w:tcPr>
          <w:p w14:paraId="63F863BD" w14:textId="77777777" w:rsidR="007968EC" w:rsidRPr="00B83B60" w:rsidRDefault="007968EC" w:rsidP="007968EC">
            <w:pPr>
              <w:rPr>
                <w:rFonts w:ascii="Arial Narrow" w:eastAsia="Calibri" w:hAnsi="Arial Narrow"/>
                <w:color w:val="000000"/>
                <w:lang w:eastAsia="es-CO"/>
              </w:rPr>
            </w:pPr>
            <w:r w:rsidRPr="00B83B60">
              <w:rPr>
                <w:rFonts w:ascii="Arial Narrow" w:eastAsia="Calibri" w:hAnsi="Arial Narrow"/>
                <w:color w:val="000000"/>
                <w:lang w:eastAsia="es-CO"/>
              </w:rPr>
              <w:t xml:space="preserve">MATERIALES </w:t>
            </w:r>
          </w:p>
        </w:tc>
        <w:tc>
          <w:tcPr>
            <w:tcW w:w="586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B1733C2" w14:textId="77777777" w:rsidR="007968EC" w:rsidRPr="00B83B60" w:rsidRDefault="007968EC" w:rsidP="007968EC">
            <w:pPr>
              <w:rPr>
                <w:rFonts w:ascii="Arial Narrow" w:eastAsia="Calibri" w:hAnsi="Arial Narrow"/>
                <w:b/>
                <w:bCs/>
                <w:color w:val="000000"/>
                <w:lang w:eastAsia="es-CO"/>
              </w:rPr>
            </w:pPr>
            <w:r w:rsidRPr="00B83B60">
              <w:rPr>
                <w:rFonts w:ascii="Arial Narrow" w:eastAsia="Calibri" w:hAnsi="Arial Narrow"/>
                <w:b/>
                <w:bCs/>
                <w:color w:val="000000"/>
                <w:lang w:eastAsia="es-CO"/>
              </w:rPr>
              <w:t xml:space="preserve">ACCIÓN GRUPO ARGOS </w:t>
            </w:r>
          </w:p>
        </w:tc>
      </w:tr>
      <w:tr w:rsidR="007968EC" w:rsidRPr="00B83B60" w14:paraId="0BD75946" w14:textId="77777777" w:rsidTr="007968EC">
        <w:trPr>
          <w:trHeight w:val="325"/>
          <w:jc w:val="center"/>
        </w:trPr>
        <w:tc>
          <w:tcPr>
            <w:tcW w:w="207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664AEA6" w14:textId="77777777" w:rsidR="007968EC" w:rsidRPr="00B83B60" w:rsidRDefault="007968EC" w:rsidP="007968EC">
            <w:pPr>
              <w:rPr>
                <w:rFonts w:ascii="Calibri" w:eastAsia="Calibri" w:hAnsi="Calibri"/>
                <w:color w:val="000000"/>
                <w:lang w:eastAsia="es-CO"/>
              </w:rPr>
            </w:pPr>
            <w:r w:rsidRPr="00B83B60">
              <w:rPr>
                <w:rFonts w:ascii="Calibri" w:eastAsia="Calibri" w:hAnsi="Calibri"/>
                <w:color w:val="000000"/>
                <w:lang w:eastAsia="es-CO"/>
              </w:rPr>
              <w:t> </w:t>
            </w:r>
          </w:p>
        </w:tc>
        <w:tc>
          <w:tcPr>
            <w:tcW w:w="586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F8CE919" w14:textId="77777777" w:rsidR="007968EC" w:rsidRPr="00B83B60" w:rsidRDefault="007968EC" w:rsidP="007968EC">
            <w:pPr>
              <w:rPr>
                <w:rFonts w:ascii="Arial Narrow" w:eastAsia="Calibri" w:hAnsi="Arial Narrow"/>
                <w:b/>
                <w:bCs/>
                <w:color w:val="000000"/>
                <w:lang w:eastAsia="es-CO"/>
              </w:rPr>
            </w:pPr>
            <w:r w:rsidRPr="00B83B60">
              <w:rPr>
                <w:rFonts w:ascii="Arial Narrow" w:eastAsia="Calibri" w:hAnsi="Arial Narrow"/>
                <w:b/>
                <w:bCs/>
                <w:color w:val="000000"/>
                <w:lang w:eastAsia="es-CO"/>
              </w:rPr>
              <w:t xml:space="preserve">ACCIÓN PREFERENCIAL CEMARGOS </w:t>
            </w:r>
          </w:p>
        </w:tc>
      </w:tr>
      <w:tr w:rsidR="007968EC" w:rsidRPr="00B83B60" w14:paraId="07142B39" w14:textId="77777777" w:rsidTr="007968EC">
        <w:trPr>
          <w:trHeight w:val="325"/>
          <w:jc w:val="center"/>
        </w:trPr>
        <w:tc>
          <w:tcPr>
            <w:tcW w:w="2072" w:type="dxa"/>
            <w:tcBorders>
              <w:top w:val="nil"/>
              <w:left w:val="single" w:sz="8" w:space="0" w:color="auto"/>
              <w:bottom w:val="nil"/>
              <w:right w:val="single" w:sz="8" w:space="0" w:color="auto"/>
            </w:tcBorders>
            <w:tcMar>
              <w:top w:w="0" w:type="dxa"/>
              <w:left w:w="70" w:type="dxa"/>
              <w:bottom w:w="0" w:type="dxa"/>
              <w:right w:w="70" w:type="dxa"/>
            </w:tcMar>
            <w:vAlign w:val="center"/>
            <w:hideMark/>
          </w:tcPr>
          <w:p w14:paraId="5F888933" w14:textId="77777777" w:rsidR="007968EC" w:rsidRPr="00B83B60" w:rsidRDefault="007968EC" w:rsidP="007968EC">
            <w:pPr>
              <w:rPr>
                <w:rFonts w:ascii="Arial Narrow" w:eastAsia="Calibri" w:hAnsi="Arial Narrow"/>
                <w:b/>
                <w:bCs/>
                <w:color w:val="000000"/>
                <w:lang w:eastAsia="es-CO"/>
              </w:rPr>
            </w:pPr>
            <w:r w:rsidRPr="00B83B60">
              <w:rPr>
                <w:rFonts w:ascii="Arial Narrow" w:eastAsia="Calibri" w:hAnsi="Arial Narrow"/>
                <w:b/>
                <w:bCs/>
                <w:color w:val="000000"/>
                <w:lang w:eastAsia="es-CO"/>
              </w:rPr>
              <w:t> </w:t>
            </w:r>
          </w:p>
        </w:tc>
        <w:tc>
          <w:tcPr>
            <w:tcW w:w="586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4046144" w14:textId="77777777" w:rsidR="007968EC" w:rsidRPr="00B83B60" w:rsidRDefault="007968EC" w:rsidP="007968EC">
            <w:pPr>
              <w:rPr>
                <w:rFonts w:ascii="Arial Narrow" w:eastAsia="Calibri" w:hAnsi="Arial Narrow"/>
                <w:b/>
                <w:bCs/>
                <w:color w:val="000000"/>
                <w:lang w:eastAsia="es-CO"/>
              </w:rPr>
            </w:pPr>
            <w:r w:rsidRPr="00B83B60">
              <w:rPr>
                <w:rFonts w:ascii="Arial Narrow" w:eastAsia="Calibri" w:hAnsi="Arial Narrow"/>
                <w:b/>
                <w:bCs/>
                <w:color w:val="000000"/>
                <w:lang w:eastAsia="es-CO"/>
              </w:rPr>
              <w:t xml:space="preserve">ACCIÓN CELSIA </w:t>
            </w:r>
          </w:p>
        </w:tc>
      </w:tr>
      <w:tr w:rsidR="007968EC" w:rsidRPr="00B83B60" w14:paraId="6E59CCAB" w14:textId="77777777" w:rsidTr="007968EC">
        <w:trPr>
          <w:trHeight w:val="60"/>
          <w:jc w:val="center"/>
        </w:trPr>
        <w:tc>
          <w:tcPr>
            <w:tcW w:w="2072" w:type="dxa"/>
            <w:tcBorders>
              <w:top w:val="nil"/>
              <w:left w:val="single" w:sz="8" w:space="0" w:color="auto"/>
              <w:bottom w:val="nil"/>
              <w:right w:val="single" w:sz="8" w:space="0" w:color="auto"/>
            </w:tcBorders>
            <w:tcMar>
              <w:top w:w="0" w:type="dxa"/>
              <w:left w:w="70" w:type="dxa"/>
              <w:bottom w:w="0" w:type="dxa"/>
              <w:right w:w="70" w:type="dxa"/>
            </w:tcMar>
            <w:vAlign w:val="center"/>
            <w:hideMark/>
          </w:tcPr>
          <w:p w14:paraId="2BCAE20E" w14:textId="77777777" w:rsidR="007968EC" w:rsidRPr="00B83B60" w:rsidRDefault="007968EC" w:rsidP="007968EC">
            <w:pPr>
              <w:rPr>
                <w:rFonts w:ascii="Arial Narrow" w:eastAsia="Calibri" w:hAnsi="Arial Narrow"/>
                <w:color w:val="000000"/>
                <w:lang w:eastAsia="es-CO"/>
              </w:rPr>
            </w:pPr>
            <w:r w:rsidRPr="00B83B60">
              <w:rPr>
                <w:rFonts w:ascii="Arial Narrow" w:eastAsia="Calibri" w:hAnsi="Arial Narrow"/>
                <w:color w:val="000000"/>
                <w:lang w:eastAsia="es-CO"/>
              </w:rPr>
              <w:t xml:space="preserve">SERVICIOS PÚBLICOS </w:t>
            </w:r>
          </w:p>
        </w:tc>
        <w:tc>
          <w:tcPr>
            <w:tcW w:w="586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14EFD58" w14:textId="77777777" w:rsidR="007968EC" w:rsidRPr="00B83B60" w:rsidRDefault="007968EC" w:rsidP="007968EC">
            <w:pPr>
              <w:rPr>
                <w:rFonts w:ascii="Arial Narrow" w:eastAsia="Calibri" w:hAnsi="Arial Narrow"/>
                <w:b/>
                <w:bCs/>
                <w:color w:val="000000"/>
                <w:lang w:eastAsia="es-CO"/>
              </w:rPr>
            </w:pPr>
            <w:r w:rsidRPr="00B83B60">
              <w:rPr>
                <w:rFonts w:ascii="Arial Narrow" w:eastAsia="Calibri" w:hAnsi="Arial Narrow"/>
                <w:b/>
                <w:bCs/>
                <w:color w:val="000000"/>
                <w:lang w:eastAsia="es-CO"/>
              </w:rPr>
              <w:t xml:space="preserve">ACCIÓN GRUPO DE ENERGÍA DE BOGOTÁ  </w:t>
            </w:r>
          </w:p>
        </w:tc>
      </w:tr>
      <w:tr w:rsidR="007968EC" w:rsidRPr="00B83B60" w14:paraId="09851A4F" w14:textId="77777777" w:rsidTr="007968EC">
        <w:trPr>
          <w:trHeight w:val="325"/>
          <w:jc w:val="center"/>
        </w:trPr>
        <w:tc>
          <w:tcPr>
            <w:tcW w:w="207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60DA2B4" w14:textId="77777777" w:rsidR="007968EC" w:rsidRPr="00B83B60" w:rsidRDefault="007968EC" w:rsidP="007968EC">
            <w:pPr>
              <w:rPr>
                <w:rFonts w:ascii="Calibri" w:eastAsia="Calibri" w:hAnsi="Calibri"/>
                <w:color w:val="000000"/>
                <w:lang w:eastAsia="es-CO"/>
              </w:rPr>
            </w:pPr>
            <w:r w:rsidRPr="00B83B60">
              <w:rPr>
                <w:rFonts w:ascii="Calibri" w:eastAsia="Calibri" w:hAnsi="Calibri"/>
                <w:color w:val="000000"/>
                <w:lang w:eastAsia="es-CO"/>
              </w:rPr>
              <w:t> </w:t>
            </w:r>
          </w:p>
        </w:tc>
        <w:tc>
          <w:tcPr>
            <w:tcW w:w="586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4277A21" w14:textId="77777777" w:rsidR="007968EC" w:rsidRPr="00B83B60" w:rsidRDefault="007968EC" w:rsidP="007968EC">
            <w:pPr>
              <w:rPr>
                <w:rFonts w:ascii="Arial Narrow" w:eastAsia="Calibri" w:hAnsi="Arial Narrow"/>
                <w:b/>
                <w:bCs/>
                <w:color w:val="000000"/>
                <w:lang w:eastAsia="es-CO"/>
              </w:rPr>
            </w:pPr>
            <w:r w:rsidRPr="00B83B60">
              <w:rPr>
                <w:rFonts w:ascii="Arial Narrow" w:eastAsia="Calibri" w:hAnsi="Arial Narrow"/>
                <w:b/>
                <w:bCs/>
                <w:color w:val="000000"/>
                <w:lang w:eastAsia="es-CO"/>
              </w:rPr>
              <w:t xml:space="preserve">ACCIÓN ISA </w:t>
            </w:r>
          </w:p>
        </w:tc>
      </w:tr>
      <w:tr w:rsidR="007968EC" w:rsidRPr="00B83B60" w14:paraId="6FCDB735" w14:textId="77777777" w:rsidTr="007968EC">
        <w:trPr>
          <w:trHeight w:val="325"/>
          <w:jc w:val="center"/>
        </w:trPr>
        <w:tc>
          <w:tcPr>
            <w:tcW w:w="2072" w:type="dxa"/>
            <w:tcBorders>
              <w:top w:val="nil"/>
              <w:left w:val="single" w:sz="8" w:space="0" w:color="auto"/>
              <w:bottom w:val="nil"/>
              <w:right w:val="single" w:sz="8" w:space="0" w:color="auto"/>
            </w:tcBorders>
            <w:tcMar>
              <w:top w:w="0" w:type="dxa"/>
              <w:left w:w="70" w:type="dxa"/>
              <w:bottom w:w="0" w:type="dxa"/>
              <w:right w:w="70" w:type="dxa"/>
            </w:tcMar>
            <w:vAlign w:val="center"/>
            <w:hideMark/>
          </w:tcPr>
          <w:p w14:paraId="524F05C4" w14:textId="77777777" w:rsidR="007968EC" w:rsidRPr="00B83B60" w:rsidRDefault="007968EC" w:rsidP="007968EC">
            <w:pPr>
              <w:rPr>
                <w:rFonts w:ascii="Arial Narrow" w:eastAsia="Calibri" w:hAnsi="Arial Narrow"/>
                <w:color w:val="000000"/>
                <w:lang w:eastAsia="es-CO"/>
              </w:rPr>
            </w:pPr>
            <w:bookmarkStart w:id="6211" w:name="_Hlk516812326"/>
            <w:r w:rsidRPr="00B83B60">
              <w:rPr>
                <w:rFonts w:ascii="Arial Narrow" w:eastAsia="Calibri" w:hAnsi="Arial Narrow"/>
                <w:color w:val="000000"/>
                <w:lang w:eastAsia="es-CO"/>
              </w:rPr>
              <w:t>PRODUCTOS</w:t>
            </w:r>
          </w:p>
        </w:tc>
        <w:tc>
          <w:tcPr>
            <w:tcW w:w="586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C9D0B77" w14:textId="77777777" w:rsidR="007968EC" w:rsidRPr="00B83B60" w:rsidRDefault="007968EC" w:rsidP="007968EC">
            <w:pPr>
              <w:rPr>
                <w:rFonts w:ascii="Arial Narrow" w:eastAsia="Calibri" w:hAnsi="Arial Narrow"/>
                <w:b/>
                <w:bCs/>
                <w:color w:val="000000"/>
                <w:lang w:eastAsia="es-CO"/>
              </w:rPr>
            </w:pPr>
            <w:r w:rsidRPr="00B83B60">
              <w:rPr>
                <w:rFonts w:ascii="Arial Narrow" w:eastAsia="Calibri" w:hAnsi="Arial Narrow"/>
                <w:b/>
                <w:bCs/>
                <w:color w:val="000000"/>
                <w:lang w:eastAsia="es-CO"/>
              </w:rPr>
              <w:t>ACCIÓN NUTRESA</w:t>
            </w:r>
          </w:p>
        </w:tc>
      </w:tr>
      <w:tr w:rsidR="007968EC" w:rsidRPr="00B83B60" w14:paraId="1863EAB1" w14:textId="77777777" w:rsidTr="007968EC">
        <w:trPr>
          <w:trHeight w:val="325"/>
          <w:jc w:val="center"/>
        </w:trPr>
        <w:tc>
          <w:tcPr>
            <w:tcW w:w="207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1FA6A6F" w14:textId="77777777" w:rsidR="007968EC" w:rsidRPr="00B83B60" w:rsidRDefault="007968EC" w:rsidP="007968EC">
            <w:pPr>
              <w:rPr>
                <w:rFonts w:ascii="Arial Narrow" w:eastAsia="Calibri" w:hAnsi="Arial Narrow"/>
                <w:color w:val="000000"/>
                <w:lang w:eastAsia="es-CO"/>
              </w:rPr>
            </w:pPr>
            <w:r w:rsidRPr="00B83B60">
              <w:rPr>
                <w:rFonts w:ascii="Arial Narrow" w:eastAsia="Calibri" w:hAnsi="Arial Narrow"/>
                <w:color w:val="000000"/>
                <w:lang w:eastAsia="es-CO"/>
              </w:rPr>
              <w:t>PRIMERA NECESIDAD</w:t>
            </w:r>
          </w:p>
        </w:tc>
        <w:tc>
          <w:tcPr>
            <w:tcW w:w="586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ED1F9AB" w14:textId="77777777" w:rsidR="007968EC" w:rsidRPr="00B83B60" w:rsidRDefault="007968EC" w:rsidP="007968EC">
            <w:pPr>
              <w:rPr>
                <w:rFonts w:ascii="Arial Narrow" w:eastAsia="Calibri" w:hAnsi="Arial Narrow"/>
                <w:b/>
                <w:bCs/>
                <w:color w:val="000000"/>
                <w:lang w:eastAsia="es-CO"/>
              </w:rPr>
            </w:pPr>
            <w:r w:rsidRPr="00B83B60">
              <w:rPr>
                <w:rFonts w:ascii="Arial Narrow" w:eastAsia="Calibri" w:hAnsi="Arial Narrow"/>
                <w:b/>
                <w:bCs/>
                <w:color w:val="000000"/>
                <w:lang w:eastAsia="es-CO"/>
              </w:rPr>
              <w:t>ACCIÓN ÉXITO</w:t>
            </w:r>
          </w:p>
        </w:tc>
      </w:tr>
      <w:tr w:rsidR="007968EC" w:rsidRPr="00B83B60" w14:paraId="23953AD9" w14:textId="77777777" w:rsidTr="007968EC">
        <w:trPr>
          <w:trHeight w:val="635"/>
          <w:jc w:val="center"/>
        </w:trPr>
        <w:tc>
          <w:tcPr>
            <w:tcW w:w="2072" w:type="dxa"/>
            <w:vMerge w:val="restart"/>
            <w:tcBorders>
              <w:top w:val="single" w:sz="8" w:space="0" w:color="auto"/>
              <w:left w:val="single" w:sz="8" w:space="0" w:color="auto"/>
              <w:right w:val="single" w:sz="8" w:space="0" w:color="auto"/>
            </w:tcBorders>
            <w:tcMar>
              <w:top w:w="0" w:type="dxa"/>
              <w:left w:w="70" w:type="dxa"/>
              <w:bottom w:w="0" w:type="dxa"/>
              <w:right w:w="70" w:type="dxa"/>
            </w:tcMar>
            <w:vAlign w:val="center"/>
            <w:hideMark/>
          </w:tcPr>
          <w:p w14:paraId="4C2F4C69" w14:textId="77777777" w:rsidR="007968EC" w:rsidRPr="00B83B60" w:rsidRDefault="007968EC" w:rsidP="007968EC">
            <w:pPr>
              <w:rPr>
                <w:rFonts w:ascii="Arial Narrow" w:eastAsia="Calibri" w:hAnsi="Arial Narrow"/>
                <w:color w:val="000000"/>
                <w:lang w:eastAsia="es-CO"/>
              </w:rPr>
            </w:pPr>
            <w:r w:rsidRPr="00B83B60">
              <w:rPr>
                <w:rFonts w:ascii="Arial Narrow" w:eastAsia="Calibri" w:hAnsi="Arial Narrow"/>
                <w:color w:val="000000"/>
                <w:lang w:eastAsia="es-CO"/>
              </w:rPr>
              <w:t>SERVICIOS GENERALES-OTROS</w:t>
            </w:r>
          </w:p>
        </w:tc>
        <w:tc>
          <w:tcPr>
            <w:tcW w:w="586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4D933641" w14:textId="77777777" w:rsidR="007968EC" w:rsidRPr="00B83B60" w:rsidRDefault="007968EC" w:rsidP="007968EC">
            <w:pPr>
              <w:rPr>
                <w:rFonts w:ascii="Arial Narrow" w:eastAsia="Calibri" w:hAnsi="Arial Narrow"/>
                <w:b/>
                <w:bCs/>
                <w:color w:val="000000"/>
                <w:lang w:eastAsia="es-CO"/>
              </w:rPr>
            </w:pPr>
            <w:r w:rsidRPr="00B83B60">
              <w:rPr>
                <w:rFonts w:ascii="Arial Narrow" w:eastAsia="Calibri" w:hAnsi="Arial Narrow"/>
                <w:b/>
                <w:bCs/>
                <w:color w:val="000000"/>
                <w:lang w:eastAsia="es-CO"/>
              </w:rPr>
              <w:t xml:space="preserve">ACCIÓN PREFERENCIAL AVIANCA </w:t>
            </w:r>
          </w:p>
        </w:tc>
      </w:tr>
      <w:tr w:rsidR="007968EC" w:rsidRPr="00B83B60" w14:paraId="05EC7578" w14:textId="77777777" w:rsidTr="007968EC">
        <w:trPr>
          <w:trHeight w:val="635"/>
          <w:jc w:val="center"/>
        </w:trPr>
        <w:tc>
          <w:tcPr>
            <w:tcW w:w="2072" w:type="dxa"/>
            <w:vMerge/>
            <w:tcBorders>
              <w:left w:val="single" w:sz="8" w:space="0" w:color="auto"/>
              <w:bottom w:val="single" w:sz="8" w:space="0" w:color="auto"/>
              <w:right w:val="single" w:sz="8" w:space="0" w:color="auto"/>
            </w:tcBorders>
            <w:tcMar>
              <w:top w:w="0" w:type="dxa"/>
              <w:left w:w="70" w:type="dxa"/>
              <w:bottom w:w="0" w:type="dxa"/>
              <w:right w:w="70" w:type="dxa"/>
            </w:tcMar>
            <w:vAlign w:val="center"/>
          </w:tcPr>
          <w:p w14:paraId="2EFF6B81" w14:textId="77777777" w:rsidR="007968EC" w:rsidRPr="00B83B60" w:rsidRDefault="007968EC" w:rsidP="007968EC">
            <w:pPr>
              <w:rPr>
                <w:rFonts w:ascii="Arial Narrow" w:eastAsia="Calibri" w:hAnsi="Arial Narrow"/>
                <w:color w:val="000000"/>
                <w:lang w:eastAsia="es-CO"/>
              </w:rPr>
            </w:pPr>
          </w:p>
        </w:tc>
        <w:tc>
          <w:tcPr>
            <w:tcW w:w="586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17CBF115" w14:textId="77777777" w:rsidR="007968EC" w:rsidRPr="00B83B60" w:rsidRDefault="007968EC" w:rsidP="007968EC">
            <w:pPr>
              <w:rPr>
                <w:rFonts w:ascii="Arial Narrow" w:eastAsia="Calibri" w:hAnsi="Arial Narrow"/>
                <w:b/>
                <w:bCs/>
                <w:color w:val="000000"/>
                <w:lang w:eastAsia="es-CO"/>
              </w:rPr>
            </w:pPr>
            <w:r w:rsidRPr="00B83B60">
              <w:rPr>
                <w:rFonts w:ascii="Arial Narrow" w:eastAsia="Calibri" w:hAnsi="Arial Narrow"/>
                <w:b/>
                <w:bCs/>
                <w:color w:val="000000"/>
                <w:lang w:eastAsia="es-CO"/>
              </w:rPr>
              <w:t>ETF ICOLCAP</w:t>
            </w:r>
          </w:p>
        </w:tc>
      </w:tr>
    </w:tbl>
    <w:p w14:paraId="5B6330F8" w14:textId="77777777" w:rsidR="007968EC" w:rsidRPr="00B83B60" w:rsidRDefault="007968EC" w:rsidP="007968EC">
      <w:pPr>
        <w:jc w:val="center"/>
        <w:outlineLvl w:val="1"/>
        <w:rPr>
          <w:rFonts w:ascii="Arial Narrow" w:eastAsia="Calibri" w:hAnsi="Arial Narrow" w:cs="Arial"/>
          <w:b/>
          <w:lang w:eastAsia="es-ES"/>
        </w:rPr>
      </w:pPr>
    </w:p>
    <w:p w14:paraId="075A72AA" w14:textId="77777777" w:rsidR="007968EC" w:rsidRPr="002C0D19" w:rsidRDefault="007968EC" w:rsidP="007968EC">
      <w:pPr>
        <w:pStyle w:val="ARTICULO0"/>
      </w:pPr>
      <w:bookmarkStart w:id="6212" w:name="_Toc490066742"/>
      <w:bookmarkStart w:id="6213" w:name="_Toc31716425"/>
      <w:bookmarkEnd w:id="6210"/>
      <w:bookmarkEnd w:id="6211"/>
      <w:r>
        <w:t>Artículo 4.5.3.6</w:t>
      </w:r>
      <w:r w:rsidRPr="002C0D19">
        <w:t>. Aportación mínima al Fondo de Garantía Colectiva de los Miembros para el Segmento de Renta Variable.</w:t>
      </w:r>
      <w:bookmarkEnd w:id="6212"/>
      <w:bookmarkEnd w:id="6213"/>
    </w:p>
    <w:p w14:paraId="33ED8BB2" w14:textId="77777777" w:rsidR="007968EC" w:rsidRDefault="007968EC" w:rsidP="007968EC">
      <w:pPr>
        <w:jc w:val="both"/>
        <w:rPr>
          <w:rFonts w:ascii="Arial Narrow" w:eastAsia="Calibri" w:hAnsi="Arial Narrow"/>
          <w:bCs/>
          <w:kern w:val="32"/>
        </w:rPr>
      </w:pPr>
    </w:p>
    <w:p w14:paraId="3B14FE63" w14:textId="77777777" w:rsidR="007968EC" w:rsidRDefault="007968EC" w:rsidP="007968EC">
      <w:pPr>
        <w:pStyle w:val="ANTECEDENTES"/>
        <w:rPr>
          <w:rFonts w:eastAsia="Calibri"/>
        </w:rPr>
      </w:pPr>
      <w:r>
        <w:rPr>
          <w:rFonts w:eastAsia="Calibri"/>
        </w:rPr>
        <w:t xml:space="preserve">(Este artículo fue modificado mediante Circular 3 del 16 de marzo de 2018, publicada en el Boletín Normativo No. 006 del 16 de marzo de 2018, renumerado </w:t>
      </w:r>
      <w:r w:rsidRPr="00F10905">
        <w:rPr>
          <w:rFonts w:eastAsia="Calibri"/>
        </w:rPr>
        <w:t xml:space="preserve">mediante Circular 6 del 24 de abril de 2018, publicada en el Boletín Normativo </w:t>
      </w:r>
      <w:r>
        <w:rPr>
          <w:rFonts w:eastAsia="Calibri"/>
        </w:rPr>
        <w:t>No. 009 del 24 de abril de 2018,</w:t>
      </w:r>
      <w:r w:rsidRPr="00F10905">
        <w:rPr>
          <w:rFonts w:eastAsia="Calibri"/>
        </w:rPr>
        <w:t xml:space="preserve"> </w:t>
      </w:r>
      <w:r>
        <w:rPr>
          <w:rFonts w:eastAsia="Calibri"/>
        </w:rPr>
        <w:t>modificado mediante Circular 1 del 15 de enero de 2019, publicada en el Boletín Normativo No. 001 del 15 de enero de 2019 y modificado mediante Circular 1 del 10 de enero de 2020, publicada en el Boletín Normativo No. 001 del 10 de enero de 2020. Rige a partir del 13 de enero de 2020.)</w:t>
      </w:r>
    </w:p>
    <w:p w14:paraId="2F6FE3D3" w14:textId="77777777" w:rsidR="007968EC" w:rsidRPr="002C0D19" w:rsidRDefault="007968EC" w:rsidP="007968EC">
      <w:pPr>
        <w:jc w:val="both"/>
        <w:rPr>
          <w:rFonts w:ascii="Arial Narrow" w:eastAsia="Calibri" w:hAnsi="Arial Narrow"/>
          <w:bCs/>
          <w:kern w:val="32"/>
        </w:rPr>
      </w:pPr>
    </w:p>
    <w:p w14:paraId="7283D08B" w14:textId="77777777" w:rsidR="007968EC" w:rsidRPr="00FF76BB" w:rsidRDefault="007968EC" w:rsidP="007968EC">
      <w:pPr>
        <w:jc w:val="both"/>
        <w:rPr>
          <w:rFonts w:ascii="Arial Narrow" w:eastAsia="Calibri" w:hAnsi="Arial Narrow"/>
          <w:bCs/>
          <w:kern w:val="32"/>
        </w:rPr>
      </w:pPr>
      <w:r w:rsidRPr="00FF76BB">
        <w:rPr>
          <w:rFonts w:ascii="Arial Narrow" w:eastAsia="Calibri" w:hAnsi="Arial Narrow"/>
          <w:bCs/>
          <w:kern w:val="32"/>
        </w:rPr>
        <w:t xml:space="preserve">De conformidad con el artículo 1.6.2.10. de la presente Circular la aportación mínima al Fondo de Garantía Colectiva según la calidad de Miembro Liquidador para participar en el presente </w:t>
      </w:r>
      <w:proofErr w:type="gramStart"/>
      <w:r w:rsidRPr="00FF76BB">
        <w:rPr>
          <w:rFonts w:ascii="Arial Narrow" w:eastAsia="Calibri" w:hAnsi="Arial Narrow"/>
          <w:bCs/>
          <w:kern w:val="32"/>
        </w:rPr>
        <w:t>Segmento,</w:t>
      </w:r>
      <w:proofErr w:type="gramEnd"/>
      <w:r w:rsidRPr="00FF76BB">
        <w:rPr>
          <w:rFonts w:ascii="Arial Narrow" w:eastAsia="Calibri" w:hAnsi="Arial Narrow"/>
          <w:bCs/>
          <w:kern w:val="32"/>
        </w:rPr>
        <w:t xml:space="preserve"> es la siguiente:</w:t>
      </w:r>
    </w:p>
    <w:p w14:paraId="45E45BDB" w14:textId="77777777" w:rsidR="007968EC" w:rsidRPr="00FF76BB" w:rsidRDefault="007968EC" w:rsidP="007968EC">
      <w:pPr>
        <w:rPr>
          <w:rFonts w:ascii="Arial Narrow" w:eastAsia="Calibri" w:hAnsi="Arial Narrow"/>
          <w:bCs/>
          <w:kern w:val="32"/>
          <w:u w:val="single"/>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6516"/>
      </w:tblGrid>
      <w:tr w:rsidR="007968EC" w:rsidRPr="00FF76BB" w14:paraId="6EF17D0F" w14:textId="77777777" w:rsidTr="007968EC">
        <w:trPr>
          <w:trHeight w:val="607"/>
          <w:jc w:val="center"/>
        </w:trPr>
        <w:tc>
          <w:tcPr>
            <w:tcW w:w="2693" w:type="dxa"/>
          </w:tcPr>
          <w:p w14:paraId="64A4C808" w14:textId="77777777" w:rsidR="007968EC" w:rsidRPr="00FF76BB" w:rsidRDefault="007968EC" w:rsidP="007968EC">
            <w:pPr>
              <w:jc w:val="center"/>
              <w:rPr>
                <w:rFonts w:ascii="Arial Narrow" w:eastAsia="Calibri" w:hAnsi="Arial Narrow"/>
                <w:b/>
                <w:bCs/>
                <w:kern w:val="32"/>
              </w:rPr>
            </w:pPr>
            <w:r w:rsidRPr="00FF76BB">
              <w:rPr>
                <w:rFonts w:ascii="Arial Narrow" w:eastAsia="Calibri" w:hAnsi="Arial Narrow"/>
                <w:b/>
                <w:bCs/>
                <w:kern w:val="32"/>
              </w:rPr>
              <w:t>Modalidad de Miembro Liquidador</w:t>
            </w:r>
          </w:p>
        </w:tc>
        <w:tc>
          <w:tcPr>
            <w:tcW w:w="6516" w:type="dxa"/>
          </w:tcPr>
          <w:p w14:paraId="209AD531" w14:textId="77777777" w:rsidR="007968EC" w:rsidRPr="00FF76BB" w:rsidRDefault="007968EC" w:rsidP="007968EC">
            <w:pPr>
              <w:jc w:val="center"/>
              <w:rPr>
                <w:rFonts w:ascii="Arial Narrow" w:eastAsia="Calibri" w:hAnsi="Arial Narrow"/>
                <w:bCs/>
                <w:kern w:val="32"/>
                <w:u w:val="single"/>
              </w:rPr>
            </w:pPr>
            <w:r w:rsidRPr="00FF76BB">
              <w:rPr>
                <w:rFonts w:ascii="Arial Narrow" w:eastAsia="Calibri" w:hAnsi="Arial Narrow"/>
                <w:b/>
                <w:bCs/>
                <w:kern w:val="32"/>
              </w:rPr>
              <w:t>Aportación Mínima al Fondo De Garantía Colectiva</w:t>
            </w:r>
          </w:p>
        </w:tc>
      </w:tr>
      <w:tr w:rsidR="007968EC" w:rsidRPr="00FF76BB" w14:paraId="12CCBE27" w14:textId="77777777" w:rsidTr="007968EC">
        <w:trPr>
          <w:trHeight w:val="361"/>
          <w:jc w:val="center"/>
        </w:trPr>
        <w:tc>
          <w:tcPr>
            <w:tcW w:w="2693" w:type="dxa"/>
          </w:tcPr>
          <w:p w14:paraId="4157947F" w14:textId="77777777" w:rsidR="007968EC" w:rsidRPr="00FF76BB" w:rsidRDefault="007968EC" w:rsidP="007968EC">
            <w:pPr>
              <w:rPr>
                <w:rFonts w:ascii="Arial Narrow" w:eastAsia="Calibri" w:hAnsi="Arial Narrow"/>
                <w:bCs/>
                <w:kern w:val="32"/>
              </w:rPr>
            </w:pPr>
            <w:r w:rsidRPr="00FF76BB">
              <w:rPr>
                <w:rFonts w:ascii="Arial Narrow" w:eastAsia="Calibri" w:hAnsi="Arial Narrow"/>
                <w:bCs/>
                <w:kern w:val="32"/>
              </w:rPr>
              <w:t>Miembro Liquidador Individual</w:t>
            </w:r>
          </w:p>
        </w:tc>
        <w:tc>
          <w:tcPr>
            <w:tcW w:w="6516" w:type="dxa"/>
          </w:tcPr>
          <w:p w14:paraId="57E8A347" w14:textId="77777777" w:rsidR="007968EC" w:rsidRPr="00937611" w:rsidRDefault="007968EC" w:rsidP="007968EC">
            <w:pPr>
              <w:jc w:val="both"/>
              <w:rPr>
                <w:rFonts w:ascii="Arial Narrow" w:eastAsia="Calibri" w:hAnsi="Arial Narrow"/>
                <w:bCs/>
                <w:kern w:val="32"/>
              </w:rPr>
            </w:pPr>
            <w:r w:rsidRPr="00FF76BB">
              <w:rPr>
                <w:rFonts w:ascii="Arial Narrow" w:eastAsia="Calibri" w:hAnsi="Arial Narrow"/>
                <w:bCs/>
                <w:kern w:val="32"/>
              </w:rPr>
              <w:t xml:space="preserve">Doscientos </w:t>
            </w:r>
            <w:r>
              <w:rPr>
                <w:rFonts w:ascii="Arial Narrow" w:eastAsia="Calibri" w:hAnsi="Arial Narrow"/>
                <w:bCs/>
                <w:kern w:val="32"/>
              </w:rPr>
              <w:t>ochenta</w:t>
            </w:r>
            <w:r w:rsidRPr="00FF76BB">
              <w:rPr>
                <w:rFonts w:ascii="Arial Narrow" w:eastAsia="Calibri" w:hAnsi="Arial Narrow"/>
                <w:bCs/>
                <w:kern w:val="32"/>
              </w:rPr>
              <w:t xml:space="preserve"> millones de pesos ($2</w:t>
            </w:r>
            <w:r>
              <w:rPr>
                <w:rFonts w:ascii="Arial Narrow" w:eastAsia="Calibri" w:hAnsi="Arial Narrow"/>
                <w:bCs/>
                <w:kern w:val="32"/>
              </w:rPr>
              <w:t>8</w:t>
            </w:r>
            <w:r w:rsidRPr="00FF76BB">
              <w:rPr>
                <w:rFonts w:ascii="Arial Narrow" w:eastAsia="Calibri" w:hAnsi="Arial Narrow"/>
                <w:bCs/>
                <w:kern w:val="32"/>
              </w:rPr>
              <w:t>0.000.000) moneda corriente.</w:t>
            </w:r>
          </w:p>
        </w:tc>
      </w:tr>
      <w:tr w:rsidR="007968EC" w:rsidRPr="00FF76BB" w14:paraId="3DAD1C84" w14:textId="77777777" w:rsidTr="007968EC">
        <w:trPr>
          <w:trHeight w:val="355"/>
          <w:jc w:val="center"/>
        </w:trPr>
        <w:tc>
          <w:tcPr>
            <w:tcW w:w="2693" w:type="dxa"/>
          </w:tcPr>
          <w:p w14:paraId="53A78C19" w14:textId="77777777" w:rsidR="007968EC" w:rsidRPr="00FF76BB" w:rsidRDefault="007968EC" w:rsidP="007968EC">
            <w:pPr>
              <w:rPr>
                <w:rFonts w:ascii="Arial Narrow" w:eastAsia="Calibri" w:hAnsi="Arial Narrow"/>
                <w:bCs/>
                <w:kern w:val="32"/>
              </w:rPr>
            </w:pPr>
            <w:r w:rsidRPr="00FF76BB">
              <w:rPr>
                <w:rFonts w:ascii="Arial Narrow" w:eastAsia="Calibri" w:hAnsi="Arial Narrow"/>
                <w:bCs/>
                <w:kern w:val="32"/>
              </w:rPr>
              <w:t>Miembro Liquidador General</w:t>
            </w:r>
          </w:p>
        </w:tc>
        <w:tc>
          <w:tcPr>
            <w:tcW w:w="6516" w:type="dxa"/>
          </w:tcPr>
          <w:p w14:paraId="5DB6822F" w14:textId="77777777" w:rsidR="007968EC" w:rsidRPr="00FF76BB" w:rsidRDefault="007968EC" w:rsidP="007968EC">
            <w:pPr>
              <w:jc w:val="both"/>
              <w:rPr>
                <w:rFonts w:ascii="Arial Narrow" w:eastAsia="Calibri" w:hAnsi="Arial Narrow"/>
                <w:bCs/>
                <w:kern w:val="32"/>
                <w:u w:val="single"/>
              </w:rPr>
            </w:pPr>
            <w:r w:rsidRPr="00FF76BB">
              <w:rPr>
                <w:rFonts w:ascii="Arial Narrow" w:eastAsia="Calibri" w:hAnsi="Arial Narrow"/>
                <w:bCs/>
                <w:kern w:val="32"/>
              </w:rPr>
              <w:t xml:space="preserve">Quinientos </w:t>
            </w:r>
            <w:r>
              <w:rPr>
                <w:rFonts w:ascii="Arial Narrow" w:eastAsia="Calibri" w:hAnsi="Arial Narrow"/>
                <w:bCs/>
                <w:kern w:val="32"/>
              </w:rPr>
              <w:t>sesenta</w:t>
            </w:r>
            <w:r w:rsidRPr="00FF76BB">
              <w:rPr>
                <w:rFonts w:ascii="Arial Narrow" w:eastAsia="Calibri" w:hAnsi="Arial Narrow"/>
                <w:bCs/>
                <w:kern w:val="32"/>
              </w:rPr>
              <w:t xml:space="preserve"> millones de pesos ($5</w:t>
            </w:r>
            <w:r>
              <w:rPr>
                <w:rFonts w:ascii="Arial Narrow" w:eastAsia="Calibri" w:hAnsi="Arial Narrow"/>
                <w:bCs/>
                <w:kern w:val="32"/>
              </w:rPr>
              <w:t>6</w:t>
            </w:r>
            <w:r w:rsidRPr="00FF76BB">
              <w:rPr>
                <w:rFonts w:ascii="Arial Narrow" w:eastAsia="Calibri" w:hAnsi="Arial Narrow"/>
                <w:bCs/>
                <w:kern w:val="32"/>
              </w:rPr>
              <w:t>0.000.000) moneda corriente.</w:t>
            </w:r>
          </w:p>
        </w:tc>
      </w:tr>
    </w:tbl>
    <w:p w14:paraId="352BCCD2" w14:textId="77777777" w:rsidR="007968EC" w:rsidRPr="002C0D19" w:rsidRDefault="007968EC" w:rsidP="007968EC">
      <w:pPr>
        <w:jc w:val="both"/>
        <w:rPr>
          <w:rFonts w:ascii="Arial Narrow" w:eastAsia="Calibri" w:hAnsi="Arial Narrow"/>
          <w:bCs/>
          <w:kern w:val="32"/>
          <w:u w:val="single"/>
        </w:rPr>
      </w:pPr>
    </w:p>
    <w:p w14:paraId="6C5D5819" w14:textId="77777777" w:rsidR="007968EC" w:rsidRPr="002C0D19" w:rsidRDefault="007968EC" w:rsidP="007968EC">
      <w:pPr>
        <w:pStyle w:val="ARTICULO0"/>
      </w:pPr>
      <w:bookmarkStart w:id="6214" w:name="_Toc31716426"/>
      <w:r>
        <w:t>Artículo 4.5.3.7</w:t>
      </w:r>
      <w:r w:rsidRPr="002C0D19">
        <w:t xml:space="preserve">. </w:t>
      </w:r>
      <w:proofErr w:type="gramStart"/>
      <w:r w:rsidRPr="002C0D19">
        <w:t>Importe mínimo a aportar</w:t>
      </w:r>
      <w:proofErr w:type="gramEnd"/>
      <w:r w:rsidRPr="002C0D19">
        <w:t xml:space="preserve"> para la constitución del Fondo de Garantía Colectiva y tamaño mínimo del Fondo.</w:t>
      </w:r>
      <w:bookmarkEnd w:id="6214"/>
    </w:p>
    <w:p w14:paraId="54099FAE" w14:textId="77777777" w:rsidR="007968EC" w:rsidRDefault="007968EC" w:rsidP="007968EC">
      <w:pPr>
        <w:jc w:val="both"/>
        <w:rPr>
          <w:rFonts w:ascii="Arial Narrow" w:eastAsia="Calibri" w:hAnsi="Arial Narrow"/>
          <w:bCs/>
          <w:kern w:val="32"/>
        </w:rPr>
      </w:pPr>
    </w:p>
    <w:p w14:paraId="103FC5EF" w14:textId="77777777" w:rsidR="007968EC" w:rsidRDefault="007968EC" w:rsidP="007968EC">
      <w:pPr>
        <w:pStyle w:val="ANTECEDENTES"/>
        <w:rPr>
          <w:rFonts w:eastAsia="Calibri"/>
        </w:rPr>
      </w:pPr>
      <w:r>
        <w:rPr>
          <w:rFonts w:eastAsia="Calibri"/>
        </w:rPr>
        <w:t xml:space="preserve">(Este artículo fue modificado mediante Circular 3 del 16 de marzo de 2018, publicada en el Boletín Normativo No. 006 del 16 de marzo de 2018, renumerado </w:t>
      </w:r>
      <w:r w:rsidRPr="00F10905">
        <w:rPr>
          <w:rFonts w:eastAsia="Calibri"/>
        </w:rPr>
        <w:t xml:space="preserve">mediante Circular 6 del 24 de abril de 2018, publicada en el Boletín Normativo </w:t>
      </w:r>
      <w:r>
        <w:rPr>
          <w:rFonts w:eastAsia="Calibri"/>
        </w:rPr>
        <w:t>No. 009 del 24 de abril de 2018 y</w:t>
      </w:r>
      <w:r w:rsidRPr="00F10905">
        <w:rPr>
          <w:rFonts w:eastAsia="Calibri"/>
        </w:rPr>
        <w:t xml:space="preserve"> </w:t>
      </w:r>
      <w:r>
        <w:rPr>
          <w:rFonts w:eastAsia="Calibri"/>
        </w:rPr>
        <w:t>modificado mediante Circular 1 del 15 de enero de 2019, publicada en el Boletín Normativo No. 001 del 15 de enero de 2019. Rige a partir del 16 de enero de 2019.)</w:t>
      </w:r>
    </w:p>
    <w:p w14:paraId="79990EA1" w14:textId="77777777" w:rsidR="007968EC" w:rsidRPr="002C0D19" w:rsidRDefault="007968EC" w:rsidP="007968EC">
      <w:pPr>
        <w:jc w:val="both"/>
        <w:rPr>
          <w:rFonts w:ascii="Arial Narrow" w:eastAsia="Calibri" w:hAnsi="Arial Narrow"/>
          <w:bCs/>
          <w:kern w:val="32"/>
        </w:rPr>
      </w:pPr>
    </w:p>
    <w:p w14:paraId="7FD32827" w14:textId="77777777" w:rsidR="007968EC" w:rsidRPr="00FF76BB" w:rsidRDefault="007968EC" w:rsidP="007968EC">
      <w:pPr>
        <w:jc w:val="both"/>
        <w:rPr>
          <w:rFonts w:ascii="Arial Narrow" w:eastAsia="Calibri" w:hAnsi="Arial Narrow"/>
          <w:bCs/>
          <w:kern w:val="32"/>
        </w:rPr>
      </w:pPr>
      <w:r w:rsidRPr="00FF76BB">
        <w:rPr>
          <w:rFonts w:ascii="Arial Narrow" w:eastAsia="Calibri" w:hAnsi="Arial Narrow"/>
          <w:bCs/>
          <w:kern w:val="32"/>
        </w:rPr>
        <w:t>A partir del ingreso al Segmento, el importe mínimo que le corresponderá aportar a cada Miembro Liquidador al Fondo de Garantía Colectiva será el mayor valor entre la aportación mínima definida para el Segmento según la calidad de Miembro Liquidador establecida en el artículo anterior y el valor que resulte de la distribución proporcional, en función de su participación en el riesgo, del importe del Fondo de Garantía Colectiva calculado según la metodología descrita en el artículo 1.6.2.9 de la presente Circular.</w:t>
      </w:r>
    </w:p>
    <w:p w14:paraId="62B84F23" w14:textId="77777777" w:rsidR="007968EC" w:rsidRPr="00FF76BB" w:rsidRDefault="007968EC" w:rsidP="007968EC">
      <w:pPr>
        <w:jc w:val="both"/>
        <w:rPr>
          <w:rFonts w:ascii="Arial Narrow" w:eastAsia="Calibri" w:hAnsi="Arial Narrow"/>
          <w:bCs/>
          <w:kern w:val="32"/>
        </w:rPr>
      </w:pPr>
    </w:p>
    <w:p w14:paraId="53C0CC01" w14:textId="77777777" w:rsidR="007968EC" w:rsidRPr="00FF76BB" w:rsidRDefault="007968EC" w:rsidP="007968EC">
      <w:pPr>
        <w:jc w:val="both"/>
        <w:rPr>
          <w:rFonts w:ascii="Arial Narrow" w:eastAsia="Calibri" w:hAnsi="Arial Narrow"/>
          <w:bCs/>
          <w:kern w:val="32"/>
        </w:rPr>
      </w:pPr>
      <w:r w:rsidRPr="00FF76BB">
        <w:rPr>
          <w:rFonts w:ascii="Arial Narrow" w:eastAsia="Calibri" w:hAnsi="Arial Narrow"/>
          <w:bCs/>
          <w:kern w:val="32"/>
        </w:rPr>
        <w:t>A partir del segundo año, el tamaño mínimo del F</w:t>
      </w:r>
      <w:r>
        <w:rPr>
          <w:rFonts w:ascii="Arial Narrow" w:eastAsia="Calibri" w:hAnsi="Arial Narrow"/>
          <w:bCs/>
          <w:kern w:val="32"/>
        </w:rPr>
        <w:t xml:space="preserve">ondo de </w:t>
      </w:r>
      <w:r w:rsidRPr="00FF76BB">
        <w:rPr>
          <w:rFonts w:ascii="Arial Narrow" w:eastAsia="Calibri" w:hAnsi="Arial Narrow"/>
          <w:bCs/>
          <w:kern w:val="32"/>
        </w:rPr>
        <w:t>G</w:t>
      </w:r>
      <w:r>
        <w:rPr>
          <w:rFonts w:ascii="Arial Narrow" w:eastAsia="Calibri" w:hAnsi="Arial Narrow"/>
          <w:bCs/>
          <w:kern w:val="32"/>
        </w:rPr>
        <w:t xml:space="preserve">arantía </w:t>
      </w:r>
      <w:r w:rsidRPr="00FF76BB">
        <w:rPr>
          <w:rFonts w:ascii="Arial Narrow" w:eastAsia="Calibri" w:hAnsi="Arial Narrow"/>
          <w:bCs/>
          <w:kern w:val="32"/>
        </w:rPr>
        <w:t>C</w:t>
      </w:r>
      <w:r>
        <w:rPr>
          <w:rFonts w:ascii="Arial Narrow" w:eastAsia="Calibri" w:hAnsi="Arial Narrow"/>
          <w:bCs/>
          <w:kern w:val="32"/>
        </w:rPr>
        <w:t>olectiva</w:t>
      </w:r>
      <w:r w:rsidRPr="00FF76BB">
        <w:rPr>
          <w:rFonts w:ascii="Arial Narrow" w:eastAsia="Calibri" w:hAnsi="Arial Narrow"/>
          <w:bCs/>
          <w:kern w:val="32"/>
        </w:rPr>
        <w:t xml:space="preserve"> para cada segmento será el máximo entre el valor promedio del fondo para el año anterior o la suma de todas las aportaciones mínimas de los Miembros Liquidadores. Este valor se revisará anualmente.</w:t>
      </w:r>
    </w:p>
    <w:p w14:paraId="265F177C" w14:textId="77777777" w:rsidR="007968EC" w:rsidRPr="00FF76BB" w:rsidRDefault="007968EC" w:rsidP="007968EC">
      <w:pPr>
        <w:jc w:val="both"/>
        <w:rPr>
          <w:rFonts w:ascii="Arial Narrow" w:eastAsia="Calibri" w:hAnsi="Arial Narrow"/>
          <w:bCs/>
          <w:kern w:val="32"/>
        </w:rPr>
      </w:pPr>
    </w:p>
    <w:p w14:paraId="2914B0B6" w14:textId="77777777" w:rsidR="007968EC" w:rsidRPr="00FF76BB" w:rsidRDefault="007968EC" w:rsidP="007968EC">
      <w:pPr>
        <w:jc w:val="both"/>
        <w:rPr>
          <w:rFonts w:ascii="Arial Narrow" w:hAnsi="Arial Narrow"/>
          <w:color w:val="000000" w:themeColor="text1"/>
        </w:rPr>
      </w:pPr>
      <w:r w:rsidRPr="00FF76BB">
        <w:rPr>
          <w:rFonts w:ascii="Arial Narrow" w:eastAsia="Calibri" w:hAnsi="Arial Narrow"/>
          <w:bCs/>
          <w:kern w:val="32"/>
        </w:rPr>
        <w:t xml:space="preserve">El tamaño mínimo del Fondo de Garantía Colectiva es igual a </w:t>
      </w:r>
      <w:r w:rsidRPr="005E26B2">
        <w:rPr>
          <w:rFonts w:ascii="Arial Narrow" w:eastAsia="Calibri" w:hAnsi="Arial Narrow"/>
          <w:bCs/>
          <w:kern w:val="32"/>
        </w:rPr>
        <w:t>once mil noventa millones de pesos ($11.090.000.000) moneda corriente para el año 2020</w:t>
      </w:r>
      <w:r>
        <w:rPr>
          <w:rFonts w:ascii="Arial Narrow" w:eastAsia="Calibri" w:hAnsi="Arial Narrow"/>
          <w:bCs/>
          <w:kern w:val="32"/>
        </w:rPr>
        <w:t>.</w:t>
      </w:r>
    </w:p>
    <w:p w14:paraId="19CC0698" w14:textId="77777777" w:rsidR="007968EC" w:rsidRPr="002C0D19" w:rsidRDefault="007968EC" w:rsidP="007968EC">
      <w:pPr>
        <w:jc w:val="both"/>
        <w:rPr>
          <w:rFonts w:ascii="Arial Narrow" w:eastAsia="Calibri" w:hAnsi="Arial Narrow"/>
          <w:bCs/>
          <w:kern w:val="32"/>
        </w:rPr>
      </w:pPr>
    </w:p>
    <w:p w14:paraId="4325ABD7" w14:textId="77777777" w:rsidR="007968EC" w:rsidRPr="002C0D19" w:rsidRDefault="007968EC" w:rsidP="007968EC">
      <w:pPr>
        <w:pStyle w:val="ARTICULO0"/>
      </w:pPr>
      <w:bookmarkStart w:id="6215" w:name="_Toc490066743"/>
      <w:bookmarkStart w:id="6216" w:name="_Toc31716427"/>
      <w:r>
        <w:t>Artículo 4.5.3.8</w:t>
      </w:r>
      <w:r w:rsidRPr="002C0D19">
        <w:t>. Constitución, actualización y reposición del Fondo de Garantía Colectiva.</w:t>
      </w:r>
      <w:bookmarkEnd w:id="6215"/>
      <w:bookmarkEnd w:id="6216"/>
    </w:p>
    <w:p w14:paraId="173E40E8" w14:textId="77777777" w:rsidR="007968EC" w:rsidRDefault="007968EC" w:rsidP="007968EC">
      <w:pPr>
        <w:jc w:val="both"/>
        <w:rPr>
          <w:rFonts w:ascii="Arial Narrow" w:eastAsia="Calibri" w:hAnsi="Arial Narrow"/>
          <w:bCs/>
          <w:kern w:val="32"/>
        </w:rPr>
      </w:pPr>
    </w:p>
    <w:p w14:paraId="4A4CCA0A" w14:textId="77777777" w:rsidR="007968EC" w:rsidRDefault="007968EC" w:rsidP="007968EC">
      <w:pPr>
        <w:jc w:val="both"/>
        <w:rPr>
          <w:rFonts w:ascii="Arial Narrow" w:eastAsia="Calibri" w:hAnsi="Arial Narrow"/>
          <w:bCs/>
          <w:kern w:val="32"/>
        </w:rPr>
      </w:pPr>
      <w:r w:rsidRPr="00162F8E">
        <w:rPr>
          <w:rFonts w:ascii="Arial Narrow" w:hAnsi="Arial Narrow" w:cs="Arial"/>
          <w:b/>
          <w:i/>
          <w:lang w:val="es-ES" w:eastAsia="es-ES"/>
        </w:rPr>
        <w:t>(Este artículo fue renumerado mediante Circular 6 del 24 de abril de 2018, publicada en el Boletín Normativo No. 009 del 24 de abril de 2018. Rige a partir del 25 de abril de 2018).</w:t>
      </w:r>
    </w:p>
    <w:p w14:paraId="7EEFBF97" w14:textId="77777777" w:rsidR="007968EC" w:rsidRPr="002C0D19" w:rsidRDefault="007968EC" w:rsidP="007968EC">
      <w:pPr>
        <w:jc w:val="both"/>
        <w:rPr>
          <w:rFonts w:ascii="Arial Narrow" w:eastAsia="Calibri" w:hAnsi="Arial Narrow"/>
          <w:bCs/>
          <w:kern w:val="32"/>
        </w:rPr>
      </w:pPr>
    </w:p>
    <w:p w14:paraId="4E95FB84" w14:textId="77777777" w:rsidR="007968EC" w:rsidRPr="002C0D19" w:rsidRDefault="007968EC" w:rsidP="007968EC">
      <w:pPr>
        <w:jc w:val="both"/>
        <w:rPr>
          <w:rFonts w:ascii="Arial Narrow" w:eastAsia="Calibri" w:hAnsi="Arial Narrow"/>
          <w:bCs/>
          <w:kern w:val="32"/>
        </w:rPr>
      </w:pPr>
      <w:r w:rsidRPr="002C0D19">
        <w:rPr>
          <w:rFonts w:ascii="Arial Narrow" w:eastAsia="Calibri" w:hAnsi="Arial Narrow"/>
          <w:bCs/>
          <w:kern w:val="32"/>
        </w:rPr>
        <w:t>El procedimiento para la constitución, actualización y reposición del Fondo de Garantía Colectiva del Segmento de Renta Variable se sujetará a lo dispuesto en los artículos 1.6.2.12. y 1.6.2.13. de la presente Circular</w:t>
      </w:r>
    </w:p>
    <w:p w14:paraId="6ADED3F0" w14:textId="77777777" w:rsidR="007968EC" w:rsidRPr="00545AB6" w:rsidRDefault="007968EC" w:rsidP="007968EC">
      <w:pPr>
        <w:jc w:val="both"/>
        <w:rPr>
          <w:rFonts w:ascii="Arial Narrow" w:eastAsia="Calibri" w:hAnsi="Arial Narrow"/>
          <w:bCs/>
          <w:color w:val="000000" w:themeColor="text1"/>
        </w:rPr>
      </w:pPr>
    </w:p>
    <w:p w14:paraId="017587FE" w14:textId="77777777" w:rsidR="007968EC" w:rsidRPr="00B45B37" w:rsidRDefault="007968EC" w:rsidP="007968EC">
      <w:pPr>
        <w:pStyle w:val="ARTICULO0"/>
      </w:pPr>
      <w:bookmarkStart w:id="6217" w:name="_Toc490066744"/>
      <w:bookmarkStart w:id="6218" w:name="_Toc31716428"/>
      <w:r>
        <w:t>Artículo 4.5.3.9</w:t>
      </w:r>
      <w:r w:rsidRPr="00B45B37">
        <w:t>. Contribuciones para la continuidad del servicio.</w:t>
      </w:r>
      <w:bookmarkEnd w:id="6217"/>
      <w:bookmarkEnd w:id="6218"/>
    </w:p>
    <w:p w14:paraId="14EEBAAC" w14:textId="77777777" w:rsidR="007968EC" w:rsidRDefault="007968EC" w:rsidP="007968EC">
      <w:pPr>
        <w:rPr>
          <w:rFonts w:ascii="Arial Narrow" w:eastAsia="Calibri" w:hAnsi="Arial Narrow"/>
          <w:bCs/>
          <w:kern w:val="32"/>
        </w:rPr>
      </w:pPr>
    </w:p>
    <w:p w14:paraId="257C1016" w14:textId="77777777" w:rsidR="007968EC" w:rsidRDefault="007968EC" w:rsidP="007968EC">
      <w:pPr>
        <w:rPr>
          <w:rFonts w:ascii="Arial Narrow" w:eastAsia="Calibri" w:hAnsi="Arial Narrow"/>
          <w:bCs/>
          <w:kern w:val="32"/>
        </w:rPr>
      </w:pPr>
      <w:r w:rsidRPr="00162F8E">
        <w:rPr>
          <w:rFonts w:ascii="Arial Narrow" w:hAnsi="Arial Narrow" w:cs="Arial"/>
          <w:b/>
          <w:i/>
          <w:lang w:val="es-ES" w:eastAsia="es-ES"/>
        </w:rPr>
        <w:t>(Este artículo fue renumerado mediante Circular 6 del 24 de abril de 2018, publicada en el Boletín Normativo No. 009 del 24 de abril de 2018. Rige a partir del 25 de abril de 2018).</w:t>
      </w:r>
    </w:p>
    <w:p w14:paraId="2381D26E" w14:textId="77777777" w:rsidR="007968EC" w:rsidRPr="002C0D19" w:rsidRDefault="007968EC" w:rsidP="007968EC">
      <w:pPr>
        <w:rPr>
          <w:rFonts w:ascii="Arial Narrow" w:eastAsia="Calibri" w:hAnsi="Arial Narrow"/>
          <w:bCs/>
          <w:kern w:val="32"/>
        </w:rPr>
      </w:pPr>
    </w:p>
    <w:p w14:paraId="46728B28" w14:textId="77777777" w:rsidR="007968EC" w:rsidRPr="002C0D19" w:rsidRDefault="007968EC" w:rsidP="007968EC">
      <w:pPr>
        <w:jc w:val="both"/>
        <w:rPr>
          <w:rFonts w:ascii="Arial Narrow" w:eastAsia="Calibri" w:hAnsi="Arial Narrow"/>
          <w:bCs/>
          <w:kern w:val="32"/>
        </w:rPr>
      </w:pPr>
      <w:r w:rsidRPr="002C0D19">
        <w:rPr>
          <w:rFonts w:ascii="Arial Narrow" w:eastAsia="Calibri" w:hAnsi="Arial Narrow"/>
          <w:bCs/>
          <w:kern w:val="32"/>
        </w:rPr>
        <w:t>Las Contribuciones de los Miembros para la continuidad del servicio para el Segmento de Renta Variable se regirán por lo dispuesto en los artículos 1.6.2.14. y siguientes de la presente Circular.</w:t>
      </w:r>
    </w:p>
    <w:p w14:paraId="335160C6" w14:textId="77777777" w:rsidR="007968EC" w:rsidRPr="00545AB6" w:rsidRDefault="007968EC" w:rsidP="007968EC">
      <w:pPr>
        <w:jc w:val="both"/>
        <w:rPr>
          <w:rFonts w:ascii="Arial Narrow" w:eastAsia="Calibri" w:hAnsi="Arial Narrow"/>
          <w:bCs/>
          <w:color w:val="000000" w:themeColor="text1"/>
        </w:rPr>
      </w:pPr>
    </w:p>
    <w:p w14:paraId="53FA68FD" w14:textId="77777777" w:rsidR="007968EC" w:rsidRPr="002C0D19" w:rsidRDefault="007968EC" w:rsidP="007968EC">
      <w:pPr>
        <w:pStyle w:val="ARTICULO0"/>
      </w:pPr>
      <w:bookmarkStart w:id="6219" w:name="_Toc490066745"/>
      <w:bookmarkStart w:id="6220" w:name="_Toc31716429"/>
      <w:r>
        <w:t>Artículo 4.5.3.10</w:t>
      </w:r>
      <w:r w:rsidRPr="002C0D19">
        <w:t>. Recursos Propios Específicos.</w:t>
      </w:r>
      <w:bookmarkEnd w:id="6219"/>
      <w:bookmarkEnd w:id="6220"/>
    </w:p>
    <w:p w14:paraId="489AA2AD" w14:textId="77777777" w:rsidR="007968EC" w:rsidRDefault="007968EC" w:rsidP="007968EC">
      <w:pPr>
        <w:jc w:val="both"/>
        <w:rPr>
          <w:rFonts w:ascii="Arial Narrow" w:eastAsia="Calibri" w:hAnsi="Arial Narrow"/>
          <w:bCs/>
          <w:color w:val="000000" w:themeColor="text1"/>
        </w:rPr>
      </w:pPr>
    </w:p>
    <w:p w14:paraId="6F5FAED8" w14:textId="77777777" w:rsidR="007968EC" w:rsidRDefault="007968EC" w:rsidP="007968EC">
      <w:pPr>
        <w:jc w:val="both"/>
        <w:rPr>
          <w:rFonts w:ascii="Arial Narrow" w:eastAsia="Calibri" w:hAnsi="Arial Narrow"/>
          <w:bCs/>
          <w:color w:val="000000" w:themeColor="text1"/>
        </w:rPr>
      </w:pPr>
      <w:r w:rsidRPr="00162F8E">
        <w:rPr>
          <w:rFonts w:ascii="Arial Narrow" w:hAnsi="Arial Narrow" w:cs="Arial"/>
          <w:b/>
          <w:i/>
          <w:lang w:val="es-ES" w:eastAsia="es-ES"/>
        </w:rPr>
        <w:t>(Este artículo fue renumerado mediante Circular 6 del 24 de abril de 2018, publicada en el Boletín Normativo No. 009 del 24 de abril de 2018. Rige a partir del 25 de abril de 2018).</w:t>
      </w:r>
    </w:p>
    <w:p w14:paraId="44C3992B" w14:textId="77777777" w:rsidR="007968EC" w:rsidRPr="00545AB6" w:rsidRDefault="007968EC" w:rsidP="007968EC">
      <w:pPr>
        <w:jc w:val="both"/>
        <w:rPr>
          <w:rFonts w:ascii="Arial Narrow" w:eastAsia="Calibri" w:hAnsi="Arial Narrow"/>
          <w:bCs/>
          <w:color w:val="000000" w:themeColor="text1"/>
        </w:rPr>
      </w:pPr>
    </w:p>
    <w:p w14:paraId="1ED7D479" w14:textId="77777777" w:rsidR="007968EC" w:rsidRPr="00545AB6" w:rsidRDefault="007968EC" w:rsidP="007968EC">
      <w:pPr>
        <w:jc w:val="both"/>
        <w:rPr>
          <w:rFonts w:ascii="Arial Narrow" w:eastAsia="Calibri" w:hAnsi="Arial Narrow"/>
          <w:bCs/>
          <w:color w:val="000000" w:themeColor="text1"/>
        </w:rPr>
      </w:pPr>
      <w:bookmarkStart w:id="6221" w:name="_Toc490066746"/>
      <w:bookmarkStart w:id="6222" w:name="_Toc490079546"/>
      <w:r w:rsidRPr="00545AB6">
        <w:rPr>
          <w:rFonts w:ascii="Arial Narrow" w:eastAsia="Calibri" w:hAnsi="Arial Narrow"/>
          <w:bCs/>
          <w:color w:val="000000" w:themeColor="text1"/>
        </w:rPr>
        <w:t>El importe de los Recursos Propios Específicos para el Segmento de Renta Variable se informará mediante Boletín Informativo.</w:t>
      </w:r>
      <w:bookmarkEnd w:id="6221"/>
      <w:bookmarkEnd w:id="6222"/>
    </w:p>
    <w:p w14:paraId="58FEF53B" w14:textId="77777777" w:rsidR="007968EC" w:rsidRPr="00545AB6" w:rsidRDefault="007968EC" w:rsidP="007968EC">
      <w:pPr>
        <w:jc w:val="both"/>
        <w:rPr>
          <w:rFonts w:ascii="Arial Narrow" w:eastAsia="Calibri" w:hAnsi="Arial Narrow"/>
          <w:bCs/>
          <w:color w:val="000000" w:themeColor="text1"/>
        </w:rPr>
      </w:pPr>
    </w:p>
    <w:p w14:paraId="4812B904" w14:textId="77777777" w:rsidR="007968EC" w:rsidRPr="002C0D19" w:rsidRDefault="007968EC" w:rsidP="007968EC">
      <w:pPr>
        <w:pStyle w:val="ARTICULO0"/>
        <w:rPr>
          <w:rFonts w:eastAsia="Calibri" w:cs="Times New Roman"/>
          <w:bCs/>
          <w:kern w:val="32"/>
        </w:rPr>
      </w:pPr>
      <w:bookmarkStart w:id="6223" w:name="_Toc490066747"/>
      <w:bookmarkStart w:id="6224" w:name="_Toc31716430"/>
      <w:r>
        <w:rPr>
          <w:lang w:val="es-ES"/>
        </w:rPr>
        <w:t>Artículo 4.5.3.11</w:t>
      </w:r>
      <w:r w:rsidRPr="002C0D19">
        <w:rPr>
          <w:lang w:val="es-ES"/>
        </w:rPr>
        <w:t>. Haircut sobre las Operaciones Repo.</w:t>
      </w:r>
      <w:bookmarkEnd w:id="6223"/>
      <w:bookmarkEnd w:id="6224"/>
    </w:p>
    <w:p w14:paraId="1150AD77" w14:textId="77777777" w:rsidR="007968EC" w:rsidRDefault="007968EC" w:rsidP="007968EC">
      <w:pPr>
        <w:jc w:val="both"/>
        <w:rPr>
          <w:rFonts w:ascii="Arial Narrow" w:hAnsi="Arial Narrow" w:cs="Arial"/>
          <w:lang w:val="es-ES" w:eastAsia="es-ES"/>
        </w:rPr>
      </w:pPr>
    </w:p>
    <w:p w14:paraId="5F1B6DFE" w14:textId="77777777" w:rsidR="007968EC" w:rsidRDefault="007968EC" w:rsidP="007968EC">
      <w:pPr>
        <w:jc w:val="both"/>
        <w:rPr>
          <w:rFonts w:ascii="Arial Narrow" w:hAnsi="Arial Narrow" w:cs="Arial"/>
          <w:lang w:val="es-ES" w:eastAsia="es-ES"/>
        </w:rPr>
      </w:pPr>
      <w:r w:rsidRPr="00162F8E">
        <w:rPr>
          <w:rFonts w:ascii="Arial Narrow" w:hAnsi="Arial Narrow" w:cs="Arial"/>
          <w:b/>
          <w:i/>
          <w:lang w:val="es-ES" w:eastAsia="es-ES"/>
        </w:rPr>
        <w:t>(Este artículo fue renumerado mediante Circular 6 del 24 de abril de 2018, publicada en el Boletín Normativo No. 009 del 24 de abril de 2018. Rige a partir del 25 de abril de 2018).</w:t>
      </w:r>
    </w:p>
    <w:p w14:paraId="3A579938" w14:textId="77777777" w:rsidR="007968EC" w:rsidRPr="002C0D19" w:rsidRDefault="007968EC" w:rsidP="007968EC">
      <w:pPr>
        <w:jc w:val="both"/>
        <w:rPr>
          <w:rFonts w:ascii="Arial Narrow" w:hAnsi="Arial Narrow" w:cs="Arial"/>
          <w:lang w:val="es-ES" w:eastAsia="es-ES"/>
        </w:rPr>
      </w:pPr>
    </w:p>
    <w:p w14:paraId="4D9DBB0E" w14:textId="77777777" w:rsidR="007968EC" w:rsidRPr="002C0D19" w:rsidRDefault="007968EC" w:rsidP="007968EC">
      <w:pPr>
        <w:jc w:val="both"/>
        <w:rPr>
          <w:rFonts w:ascii="Arial Narrow" w:hAnsi="Arial Narrow" w:cs="Arial"/>
          <w:lang w:val="es-ES" w:eastAsia="es-ES"/>
        </w:rPr>
      </w:pPr>
      <w:bookmarkStart w:id="6225" w:name="_Toc490066748"/>
      <w:r w:rsidRPr="002C0D19">
        <w:rPr>
          <w:rFonts w:ascii="Arial Narrow" w:hAnsi="Arial Narrow" w:cs="Arial"/>
          <w:lang w:val="es-ES" w:eastAsia="es-ES"/>
        </w:rPr>
        <w:t xml:space="preserve">Los </w:t>
      </w:r>
      <w:proofErr w:type="spellStart"/>
      <w:r w:rsidRPr="002C0D19">
        <w:rPr>
          <w:rFonts w:ascii="Arial Narrow" w:hAnsi="Arial Narrow" w:cs="Arial"/>
          <w:lang w:val="es-ES" w:eastAsia="es-ES"/>
        </w:rPr>
        <w:t>Haircuts</w:t>
      </w:r>
      <w:proofErr w:type="spellEnd"/>
      <w:r w:rsidRPr="002C0D19">
        <w:rPr>
          <w:rFonts w:ascii="Arial Narrow" w:hAnsi="Arial Narrow" w:cs="Arial"/>
          <w:lang w:val="es-ES" w:eastAsia="es-ES"/>
        </w:rPr>
        <w:t xml:space="preserve"> sobre las Operaciones Repo utilizados para la determinación del importe efectivo del flujo de salida de una Operación Repo, serán calculados para todos los Activos susceptibles de realizar Operaciones Repo a partir de la siguiente formula:</w:t>
      </w:r>
      <w:bookmarkEnd w:id="6225"/>
    </w:p>
    <w:p w14:paraId="371DED64" w14:textId="77777777" w:rsidR="007968EC" w:rsidRPr="002C0D19" w:rsidRDefault="007968EC" w:rsidP="007968EC">
      <w:pPr>
        <w:jc w:val="both"/>
        <w:rPr>
          <w:rFonts w:ascii="Arial Narrow" w:hAnsi="Arial Narrow" w:cs="Arial"/>
          <w:lang w:val="es-ES" w:eastAsia="es-ES"/>
        </w:rPr>
      </w:pPr>
    </w:p>
    <w:p w14:paraId="1228DEFC" w14:textId="77777777" w:rsidR="007968EC" w:rsidRPr="002C0D19" w:rsidRDefault="007968EC" w:rsidP="007968EC">
      <w:pPr>
        <w:jc w:val="both"/>
        <w:rPr>
          <w:rFonts w:ascii="Arial Narrow" w:hAnsi="Arial Narrow" w:cs="Arial"/>
          <w:lang w:val="es-ES" w:eastAsia="es-ES"/>
        </w:rPr>
      </w:pPr>
      <w:bookmarkStart w:id="6226" w:name="_Toc490066749"/>
      <w:r w:rsidRPr="002C0D19">
        <w:rPr>
          <w:rFonts w:ascii="Arial Narrow" w:hAnsi="Arial Narrow" w:cs="Arial"/>
          <w:noProof/>
          <w:lang w:eastAsia="es-CO"/>
        </w:rPr>
        <mc:AlternateContent>
          <mc:Choice Requires="wps">
            <w:drawing>
              <wp:anchor distT="0" distB="0" distL="114300" distR="114300" simplePos="0" relativeHeight="251659264" behindDoc="0" locked="0" layoutInCell="1" allowOverlap="1" wp14:anchorId="4D21742D" wp14:editId="1772C57B">
                <wp:simplePos x="0" y="0"/>
                <wp:positionH relativeFrom="column">
                  <wp:posOffset>7146</wp:posOffset>
                </wp:positionH>
                <wp:positionV relativeFrom="paragraph">
                  <wp:posOffset>4094</wp:posOffset>
                </wp:positionV>
                <wp:extent cx="6503158" cy="466725"/>
                <wp:effectExtent l="0" t="0" r="0" b="0"/>
                <wp:wrapNone/>
                <wp:docPr id="44" name="Rectángulo 11"/>
                <wp:cNvGraphicFramePr/>
                <a:graphic xmlns:a="http://schemas.openxmlformats.org/drawingml/2006/main">
                  <a:graphicData uri="http://schemas.microsoft.com/office/word/2010/wordprocessingShape">
                    <wps:wsp>
                      <wps:cNvSpPr/>
                      <wps:spPr>
                        <a:xfrm>
                          <a:off x="0" y="0"/>
                          <a:ext cx="6503158" cy="466725"/>
                        </a:xfrm>
                        <a:prstGeom prst="rect">
                          <a:avLst/>
                        </a:prstGeom>
                        <a:ln>
                          <a:noFill/>
                        </a:ln>
                      </wps:spPr>
                      <wps:txbx>
                        <w:txbxContent>
                          <w:p w14:paraId="7F83AEF1" w14:textId="77777777" w:rsidR="00BD4DB7" w:rsidRPr="00F12255" w:rsidRDefault="00BD4DB7" w:rsidP="007968EC">
                            <w:pPr>
                              <w:pStyle w:val="NormalWeb"/>
                              <w:spacing w:before="0" w:beforeAutospacing="0" w:after="0" w:afterAutospacing="0"/>
                              <w:rPr>
                                <w:b w:val="0"/>
                              </w:rPr>
                            </w:pPr>
                            <m:oMath>
                              <m:r>
                                <m:rPr>
                                  <m:sty m:val="bi"/>
                                </m:rPr>
                                <w:rPr>
                                  <w:rFonts w:ascii="Cambria Math" w:hAnsi="Cambria Math"/>
                                  <w:lang w:val="es-ES" w:eastAsia="es-ES"/>
                                </w:rPr>
                                <m:t>H</m:t>
                              </m:r>
                              <m:r>
                                <m:rPr>
                                  <m:sty m:val="bi"/>
                                </m:rPr>
                                <w:rPr>
                                  <w:rFonts w:ascii="Cambria Math" w:hAnsi="Cambria Math" w:cs="Times New Roman"/>
                                  <w:color w:val="000000"/>
                                  <w:position w:val="1"/>
                                  <w:szCs w:val="56"/>
                                </w:rPr>
                                <m:t>aircut</m:t>
                              </m:r>
                              <m:r>
                                <m:rPr>
                                  <m:sty m:val="b"/>
                                </m:rPr>
                                <w:rPr>
                                  <w:rFonts w:ascii="Cambria Math" w:hAnsi="Cambria Math" w:cs="Times New Roman"/>
                                  <w:color w:val="000000"/>
                                  <w:position w:val="1"/>
                                  <w:szCs w:val="56"/>
                                </w:rPr>
                                <m:t> </m:t>
                              </m:r>
                              <m:r>
                                <m:rPr>
                                  <m:sty m:val="bi"/>
                                </m:rPr>
                                <w:rPr>
                                  <w:rFonts w:ascii="Cambria Math" w:hAnsi="Cambria Math" w:cs="Times New Roman"/>
                                  <w:color w:val="000000"/>
                                  <w:position w:val="1"/>
                                  <w:szCs w:val="56"/>
                                </w:rPr>
                                <m:t>Operaci</m:t>
                              </m:r>
                              <m:r>
                                <m:rPr>
                                  <m:sty m:val="b"/>
                                </m:rPr>
                                <w:rPr>
                                  <w:rFonts w:ascii="Cambria Math" w:hAnsi="Cambria Math" w:cs="Times New Roman"/>
                                  <w:color w:val="000000"/>
                                  <w:position w:val="1"/>
                                  <w:szCs w:val="56"/>
                                </w:rPr>
                                <m:t>ón=</m:t>
                              </m:r>
                            </m:oMath>
                            <w:r w:rsidRPr="007733F3">
                              <w:rPr>
                                <w:rFonts w:ascii="Calibri" w:hAnsi="Calibri" w:cs="Times New Roman"/>
                                <w:b w:val="0"/>
                                <w:color w:val="000000"/>
                                <w:position w:val="1"/>
                                <w:szCs w:val="56"/>
                                <w:lang w:val="es-ES"/>
                              </w:rPr>
                              <w:t xml:space="preserve"> </w:t>
                            </w:r>
                            <w:r w:rsidRPr="007733F3">
                              <w:rPr>
                                <w:rFonts w:ascii="Cambria Math" w:hAnsi="Cambria Math" w:cs="Times New Roman"/>
                                <w:b w:val="0"/>
                                <w:i/>
                                <w:iCs/>
                                <w:color w:val="000000"/>
                                <w:position w:val="1"/>
                                <w:szCs w:val="56"/>
                                <w:lang w:val="es-ES"/>
                              </w:rPr>
                              <w:t>(1-0,75*Fluctuación Total)*Fluctuación Total +0,75*Fluctuación Total</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D21742D" id="Rectángulo 11" o:spid="_x0000_s1026" style="position:absolute;left:0;text-align:left;margin-left:.55pt;margin-top:.3pt;width:512.05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" filled="f" stroked="f">
                <v:textbox>
                  <w:txbxContent>
                    <w:p w14:paraId="7F83AEF1" w14:textId="77777777" w:rsidR="00BD4DB7" w:rsidRPr="00F12255" w:rsidRDefault="00BD4DB7" w:rsidP="007968EC">
                      <w:pPr>
                        <w:pStyle w:val="NormalWeb"/>
                        <w:spacing w:before="0" w:beforeAutospacing="0" w:after="0" w:afterAutospacing="0"/>
                        <w:rPr>
                          <w:b w:val="0"/>
                        </w:rPr>
                      </w:pPr>
                      <m:oMath>
                        <m:r>
                          <m:rPr>
                            <m:sty m:val="bi"/>
                          </m:rPr>
                          <w:rPr>
                            <w:rFonts w:ascii="Cambria Math" w:hAnsi="Cambria Math"/>
                            <w:lang w:val="es-ES" w:eastAsia="es-ES"/>
                          </w:rPr>
                          <m:t>H</m:t>
                        </m:r>
                        <m:r>
                          <m:rPr>
                            <m:sty m:val="bi"/>
                          </m:rPr>
                          <w:rPr>
                            <w:rFonts w:ascii="Cambria Math" w:hAnsi="Cambria Math" w:cs="Times New Roman"/>
                            <w:color w:val="000000"/>
                            <w:position w:val="1"/>
                            <w:szCs w:val="56"/>
                          </w:rPr>
                          <m:t>aircut</m:t>
                        </m:r>
                        <m:r>
                          <m:rPr>
                            <m:sty m:val="b"/>
                          </m:rPr>
                          <w:rPr>
                            <w:rFonts w:ascii="Cambria Math" w:hAnsi="Cambria Math" w:cs="Times New Roman"/>
                            <w:color w:val="000000"/>
                            <w:position w:val="1"/>
                            <w:szCs w:val="56"/>
                          </w:rPr>
                          <m:t> </m:t>
                        </m:r>
                        <m:r>
                          <m:rPr>
                            <m:sty m:val="bi"/>
                          </m:rPr>
                          <w:rPr>
                            <w:rFonts w:ascii="Cambria Math" w:hAnsi="Cambria Math" w:cs="Times New Roman"/>
                            <w:color w:val="000000"/>
                            <w:position w:val="1"/>
                            <w:szCs w:val="56"/>
                          </w:rPr>
                          <m:t>Operaci</m:t>
                        </m:r>
                        <m:r>
                          <m:rPr>
                            <m:sty m:val="b"/>
                          </m:rPr>
                          <w:rPr>
                            <w:rFonts w:ascii="Cambria Math" w:hAnsi="Cambria Math" w:cs="Times New Roman"/>
                            <w:color w:val="000000"/>
                            <w:position w:val="1"/>
                            <w:szCs w:val="56"/>
                          </w:rPr>
                          <m:t>ón=</m:t>
                        </m:r>
                      </m:oMath>
                      <w:r w:rsidRPr="007733F3">
                        <w:rPr>
                          <w:rFonts w:ascii="Calibri" w:hAnsi="Calibri" w:cs="Times New Roman"/>
                          <w:b w:val="0"/>
                          <w:color w:val="000000"/>
                          <w:position w:val="1"/>
                          <w:szCs w:val="56"/>
                          <w:lang w:val="es-ES"/>
                        </w:rPr>
                        <w:t xml:space="preserve"> </w:t>
                      </w:r>
                      <w:r w:rsidRPr="007733F3">
                        <w:rPr>
                          <w:rFonts w:ascii="Cambria Math" w:hAnsi="Cambria Math" w:cs="Times New Roman"/>
                          <w:b w:val="0"/>
                          <w:i/>
                          <w:iCs/>
                          <w:color w:val="000000"/>
                          <w:position w:val="1"/>
                          <w:szCs w:val="56"/>
                          <w:lang w:val="es-ES"/>
                        </w:rPr>
                        <w:t>(1-0,75*Fluctuación Total)*Fluctuación Total +0,75*Fluctuación Total</w:t>
                      </w:r>
                    </w:p>
                  </w:txbxContent>
                </v:textbox>
              </v:rect>
            </w:pict>
          </mc:Fallback>
        </mc:AlternateContent>
      </w:r>
      <w:bookmarkEnd w:id="6226"/>
    </w:p>
    <w:p w14:paraId="44FF323A" w14:textId="77777777" w:rsidR="007968EC" w:rsidRPr="002C0D19" w:rsidRDefault="007968EC" w:rsidP="007968EC">
      <w:pPr>
        <w:jc w:val="both"/>
        <w:rPr>
          <w:rFonts w:ascii="Arial Narrow" w:hAnsi="Arial Narrow" w:cs="Arial"/>
          <w:lang w:val="es-ES" w:eastAsia="es-ES"/>
        </w:rPr>
      </w:pPr>
    </w:p>
    <w:p w14:paraId="0D36BC41" w14:textId="77777777" w:rsidR="007968EC" w:rsidRPr="002C0D19" w:rsidRDefault="007968EC" w:rsidP="007968EC">
      <w:pPr>
        <w:jc w:val="both"/>
        <w:rPr>
          <w:rFonts w:ascii="Arial Narrow" w:hAnsi="Arial Narrow" w:cs="Arial"/>
          <w:lang w:val="es-ES" w:eastAsia="es-ES"/>
        </w:rPr>
      </w:pPr>
      <w:bookmarkStart w:id="6227" w:name="_Toc490066750"/>
      <w:r w:rsidRPr="002C0D19">
        <w:rPr>
          <w:rFonts w:ascii="Arial Narrow" w:hAnsi="Arial Narrow" w:cs="Arial"/>
          <w:lang w:val="es-ES" w:eastAsia="es-ES"/>
        </w:rPr>
        <w:t>En donde la Fluctuación Total hace referencia a la descrita en el Artículo 4.5.3.1. de la presente Circular.</w:t>
      </w:r>
      <w:bookmarkEnd w:id="6227"/>
    </w:p>
    <w:p w14:paraId="07E0D3A5" w14:textId="77777777" w:rsidR="007968EC" w:rsidRPr="002C0D19" w:rsidRDefault="007968EC" w:rsidP="007968EC">
      <w:pPr>
        <w:jc w:val="both"/>
        <w:rPr>
          <w:rFonts w:ascii="Arial Narrow" w:hAnsi="Arial Narrow" w:cs="Arial"/>
          <w:lang w:val="es-ES" w:eastAsia="es-ES"/>
        </w:rPr>
      </w:pPr>
    </w:p>
    <w:p w14:paraId="57242619" w14:textId="77777777" w:rsidR="007968EC" w:rsidRPr="002C0D19" w:rsidRDefault="007968EC" w:rsidP="007968EC">
      <w:pPr>
        <w:jc w:val="both"/>
        <w:rPr>
          <w:rFonts w:ascii="Arial Narrow" w:hAnsi="Arial Narrow" w:cs="Arial"/>
          <w:lang w:val="es-ES" w:eastAsia="es-ES"/>
        </w:rPr>
      </w:pPr>
      <w:bookmarkStart w:id="6228" w:name="_Toc490066751"/>
      <w:r w:rsidRPr="002C0D19">
        <w:rPr>
          <w:rFonts w:ascii="Arial Narrow" w:hAnsi="Arial Narrow" w:cs="Arial"/>
          <w:lang w:val="es-ES" w:eastAsia="es-ES"/>
        </w:rPr>
        <w:lastRenderedPageBreak/>
        <w:t>La actualización de este parámetro será realizada por la Cámara de manera mensual e informada a la Bolsa de Valores de Colombia S.A durante los primeros cinco (5) días hábiles de cada mes, posteriormente serán publicados a través de Boletín Informativo durante los cinco (5) días hábiles siguientes y su entrada en vigencia será el día quince (15) del mes en curso, en el caso en que este día sea no hábil, su entrada en vigencia será a partir del día hábil siguiente.</w:t>
      </w:r>
      <w:bookmarkEnd w:id="6228"/>
    </w:p>
    <w:p w14:paraId="20D68006" w14:textId="77777777" w:rsidR="007968EC" w:rsidRPr="002C0D19" w:rsidRDefault="007968EC" w:rsidP="007968EC">
      <w:pPr>
        <w:jc w:val="both"/>
        <w:rPr>
          <w:rFonts w:ascii="Arial Narrow" w:hAnsi="Arial Narrow" w:cs="Arial"/>
          <w:lang w:val="es-ES" w:eastAsia="es-ES"/>
        </w:rPr>
      </w:pPr>
    </w:p>
    <w:p w14:paraId="5FFA3215" w14:textId="77777777" w:rsidR="007968EC" w:rsidRDefault="007968EC" w:rsidP="007968EC">
      <w:pPr>
        <w:outlineLvl w:val="0"/>
        <w:rPr>
          <w:rFonts w:ascii="Arial Narrow" w:eastAsia="Calibri" w:hAnsi="Arial Narrow"/>
          <w:b/>
        </w:rPr>
      </w:pPr>
      <w:bookmarkStart w:id="6229" w:name="_Toc490066752"/>
    </w:p>
    <w:p w14:paraId="1C60298C" w14:textId="77777777" w:rsidR="007968EC" w:rsidRPr="002C0D19" w:rsidRDefault="007968EC" w:rsidP="007968EC">
      <w:pPr>
        <w:pStyle w:val="TTULO"/>
        <w:rPr>
          <w:rFonts w:eastAsia="Calibri"/>
        </w:rPr>
      </w:pPr>
      <w:bookmarkStart w:id="6230" w:name="_Toc31716431"/>
      <w:r w:rsidRPr="002C0D19">
        <w:rPr>
          <w:rFonts w:eastAsia="Calibri"/>
        </w:rPr>
        <w:t>TÍTULO SEXTO</w:t>
      </w:r>
      <w:bookmarkEnd w:id="6229"/>
      <w:bookmarkEnd w:id="6230"/>
    </w:p>
    <w:p w14:paraId="30269223" w14:textId="77777777" w:rsidR="007968EC" w:rsidRPr="002C0D19" w:rsidRDefault="007968EC" w:rsidP="007968EC">
      <w:pPr>
        <w:pStyle w:val="TTULO"/>
        <w:rPr>
          <w:rFonts w:eastAsia="Calibri"/>
        </w:rPr>
      </w:pPr>
    </w:p>
    <w:p w14:paraId="52C11DFB" w14:textId="77777777" w:rsidR="007968EC" w:rsidRPr="002C0D19" w:rsidRDefault="007968EC" w:rsidP="007968EC">
      <w:pPr>
        <w:pStyle w:val="TTULO"/>
        <w:rPr>
          <w:rFonts w:eastAsia="Calibri"/>
        </w:rPr>
      </w:pPr>
      <w:bookmarkStart w:id="6231" w:name="_Toc490066753"/>
      <w:bookmarkStart w:id="6232" w:name="_Toc31716432"/>
      <w:r w:rsidRPr="002C0D19">
        <w:rPr>
          <w:rFonts w:eastAsia="Calibri"/>
        </w:rPr>
        <w:t>RETARDOS, INCUMPLIMIENTOS, SUSPENSIÓN</w:t>
      </w:r>
      <w:bookmarkEnd w:id="6231"/>
      <w:bookmarkEnd w:id="6232"/>
    </w:p>
    <w:p w14:paraId="55A81B25" w14:textId="77777777" w:rsidR="007968EC" w:rsidRPr="002C0D19" w:rsidRDefault="007968EC" w:rsidP="007968EC">
      <w:pPr>
        <w:pStyle w:val="TTULO"/>
        <w:rPr>
          <w:rFonts w:eastAsia="Calibri"/>
        </w:rPr>
      </w:pPr>
      <w:bookmarkStart w:id="6233" w:name="_Toc490066754"/>
      <w:bookmarkStart w:id="6234" w:name="_Toc31716433"/>
      <w:r w:rsidRPr="002C0D19">
        <w:rPr>
          <w:rFonts w:eastAsia="Calibri"/>
        </w:rPr>
        <w:t>Y EXCLUSIÓN, MEDIDAS PREVENTIVAS</w:t>
      </w:r>
      <w:bookmarkEnd w:id="6233"/>
      <w:bookmarkEnd w:id="6234"/>
    </w:p>
    <w:p w14:paraId="2D264909" w14:textId="77777777" w:rsidR="007968EC" w:rsidRPr="002C0D19" w:rsidRDefault="007968EC" w:rsidP="007968EC">
      <w:pPr>
        <w:pStyle w:val="TTULO"/>
        <w:rPr>
          <w:rFonts w:eastAsia="Calibri"/>
        </w:rPr>
      </w:pPr>
    </w:p>
    <w:p w14:paraId="30CCBC02" w14:textId="77777777" w:rsidR="007968EC" w:rsidRPr="002C0D19" w:rsidRDefault="007968EC" w:rsidP="007968EC">
      <w:pPr>
        <w:pStyle w:val="TTULO"/>
        <w:rPr>
          <w:rFonts w:eastAsia="Calibri"/>
        </w:rPr>
      </w:pPr>
      <w:bookmarkStart w:id="6235" w:name="_Toc490066755"/>
      <w:bookmarkStart w:id="6236" w:name="_Toc31716434"/>
      <w:r w:rsidRPr="002C0D19">
        <w:rPr>
          <w:rFonts w:eastAsia="Calibri"/>
        </w:rPr>
        <w:t>RETARDOS</w:t>
      </w:r>
      <w:bookmarkEnd w:id="6235"/>
      <w:bookmarkEnd w:id="6236"/>
    </w:p>
    <w:p w14:paraId="3955551F" w14:textId="77777777" w:rsidR="007968EC" w:rsidRPr="002C0D19" w:rsidRDefault="007968EC" w:rsidP="007968EC">
      <w:pPr>
        <w:rPr>
          <w:rFonts w:ascii="Arial Narrow" w:eastAsia="Calibri" w:hAnsi="Arial Narrow" w:cs="Arial"/>
          <w:b/>
        </w:rPr>
      </w:pPr>
    </w:p>
    <w:p w14:paraId="19AF492D" w14:textId="77777777" w:rsidR="007968EC" w:rsidRPr="002C0D19" w:rsidRDefault="007968EC" w:rsidP="007968EC">
      <w:pPr>
        <w:pStyle w:val="ARTICULO0"/>
        <w:rPr>
          <w:lang w:val="es-ES"/>
        </w:rPr>
      </w:pPr>
      <w:bookmarkStart w:id="6237" w:name="_Toc31716435"/>
      <w:r w:rsidRPr="002C0D19">
        <w:t>Artículo 4.6.1.1.  Consecuencias pecuniarias por retardo en la liquidación al Vencimiento por Entrega.</w:t>
      </w:r>
      <w:bookmarkEnd w:id="6237"/>
    </w:p>
    <w:p w14:paraId="7496FEB0" w14:textId="77777777" w:rsidR="007968EC" w:rsidRPr="002C0D19" w:rsidRDefault="007968EC" w:rsidP="007968EC">
      <w:pPr>
        <w:rPr>
          <w:rFonts w:ascii="Arial Narrow" w:hAnsi="Arial Narrow" w:cs="Arial"/>
          <w:b/>
          <w:lang w:val="es-ES" w:eastAsia="es-ES"/>
        </w:rPr>
      </w:pPr>
    </w:p>
    <w:p w14:paraId="5FB5A0BE"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lang w:val="es-ES" w:eastAsia="es-ES"/>
        </w:rPr>
        <w:t>De conformidad con lo establecido en el Artículo 2.8.9 y 2.8.10 del Reglamento de Funcionamiento de la Cámara y del Artículo 1.7.1.2. de la presente Circular, para el Segmento de Renta Variable, en caso de presentarse un retardo, producto de la no entrega del Activo en el horario establecido para el proceso de Liquidación al Vencimiento por Entrega de la operación inicial correspondiente a una operación de Reporto o Repo, el Miembro Liquidador Enajenante con ocasión del retardo, estará obligado a pagar los siguientes importes como consecuencia pecuniaria:</w:t>
      </w:r>
    </w:p>
    <w:p w14:paraId="55E48E23" w14:textId="77777777" w:rsidR="007968EC" w:rsidRPr="002C0D19" w:rsidRDefault="007968EC" w:rsidP="007968EC">
      <w:pPr>
        <w:jc w:val="both"/>
        <w:rPr>
          <w:rFonts w:ascii="Arial Narrow" w:hAnsi="Arial Narrow" w:cs="Arial"/>
          <w:lang w:val="es-ES" w:eastAsia="es-ES"/>
        </w:rPr>
      </w:pPr>
    </w:p>
    <w:p w14:paraId="3C2DAAE2" w14:textId="77777777" w:rsidR="007968EC" w:rsidRPr="002C0D19" w:rsidRDefault="007968EC" w:rsidP="00DA7472">
      <w:pPr>
        <w:numPr>
          <w:ilvl w:val="6"/>
          <w:numId w:val="287"/>
        </w:numPr>
        <w:autoSpaceDE w:val="0"/>
        <w:autoSpaceDN w:val="0"/>
        <w:adjustRightInd w:val="0"/>
        <w:ind w:left="1068"/>
        <w:jc w:val="both"/>
        <w:rPr>
          <w:rFonts w:ascii="Arial Narrow" w:eastAsia="Calibri" w:hAnsi="Arial Narrow" w:cs="Arial"/>
          <w:lang w:eastAsia="es-CO"/>
        </w:rPr>
      </w:pPr>
      <w:r w:rsidRPr="002C0D19">
        <w:rPr>
          <w:rFonts w:ascii="Arial Narrow" w:eastAsia="Calibri" w:hAnsi="Arial Narrow" w:cs="Arial"/>
          <w:lang w:eastAsia="es-CO"/>
        </w:rPr>
        <w:t>Suma a favor de los titulares de cuenta con derecho a recibir el Activo objeto de la Operación de Reporto o Repo por la no entrega del Activo:</w:t>
      </w:r>
    </w:p>
    <w:p w14:paraId="3F017598" w14:textId="77777777" w:rsidR="007968EC" w:rsidRPr="002C0D19" w:rsidRDefault="007968EC" w:rsidP="007968EC">
      <w:pPr>
        <w:autoSpaceDE w:val="0"/>
        <w:autoSpaceDN w:val="0"/>
        <w:adjustRightInd w:val="0"/>
        <w:ind w:left="642"/>
        <w:jc w:val="both"/>
        <w:rPr>
          <w:rFonts w:ascii="Arial Narrow" w:eastAsia="Calibri" w:hAnsi="Arial Narrow" w:cs="Arial"/>
          <w:lang w:eastAsia="es-ES"/>
        </w:rPr>
      </w:pPr>
    </w:p>
    <w:p w14:paraId="36092BB9" w14:textId="77777777" w:rsidR="007968EC" w:rsidRPr="002C0D19" w:rsidRDefault="007968EC" w:rsidP="007968EC">
      <w:pPr>
        <w:ind w:left="2082"/>
        <w:jc w:val="both"/>
        <w:rPr>
          <w:rFonts w:ascii="Arial Narrow" w:eastAsia="Calibri" w:hAnsi="Arial Narrow" w:cs="Arial"/>
          <w:i/>
          <w:lang w:eastAsia="es-ES"/>
        </w:rPr>
      </w:pPr>
      <m:oMathPara>
        <m:oMath>
          <m:r>
            <m:rPr>
              <m:sty m:val="bi"/>
            </m:rPr>
            <w:rPr>
              <w:rFonts w:ascii="Cambria Math" w:eastAsia="Calibri" w:hAnsi="Cambria Math" w:cs="Arial"/>
              <w:lang w:eastAsia="es-ES"/>
            </w:rPr>
            <m:t>Suma a favor de los titulares de cuenta=IE*( i*</m:t>
          </m:r>
          <m:d>
            <m:dPr>
              <m:ctrlPr>
                <w:rPr>
                  <w:rFonts w:ascii="Cambria Math" w:eastAsia="Calibri" w:hAnsi="Cambria Math" w:cs="Arial"/>
                  <w:i/>
                  <w:lang w:eastAsia="es-ES"/>
                </w:rPr>
              </m:ctrlPr>
            </m:dPr>
            <m:e>
              <m:f>
                <m:fPr>
                  <m:ctrlPr>
                    <w:rPr>
                      <w:rFonts w:ascii="Cambria Math" w:eastAsia="Calibri" w:hAnsi="Cambria Math" w:cs="Arial"/>
                      <w:i/>
                      <w:lang w:eastAsia="es-ES"/>
                    </w:rPr>
                  </m:ctrlPr>
                </m:fPr>
                <m:num>
                  <m:r>
                    <m:rPr>
                      <m:sty m:val="bi"/>
                    </m:rPr>
                    <w:rPr>
                      <w:rFonts w:ascii="Cambria Math" w:eastAsia="Calibri" w:hAnsi="Cambria Math" w:cs="Arial"/>
                      <w:lang w:eastAsia="es-ES"/>
                    </w:rPr>
                    <m:t>n</m:t>
                  </m:r>
                </m:num>
                <m:den>
                  <m:r>
                    <m:rPr>
                      <m:sty m:val="bi"/>
                    </m:rPr>
                    <w:rPr>
                      <w:rFonts w:ascii="Cambria Math" w:eastAsia="Calibri" w:hAnsi="Cambria Math" w:cs="Arial"/>
                      <w:lang w:eastAsia="es-ES"/>
                    </w:rPr>
                    <m:t>360</m:t>
                  </m:r>
                </m:den>
              </m:f>
            </m:e>
          </m:d>
          <m:r>
            <m:rPr>
              <m:sty m:val="bi"/>
            </m:rPr>
            <w:rPr>
              <w:rFonts w:ascii="Cambria Math" w:eastAsia="Calibri" w:hAnsi="Cambria Math" w:cs="Arial"/>
              <w:lang w:eastAsia="es-ES"/>
            </w:rPr>
            <m:t xml:space="preserve">) </m:t>
          </m:r>
        </m:oMath>
      </m:oMathPara>
    </w:p>
    <w:p w14:paraId="18DF3A71" w14:textId="77777777" w:rsidR="007968EC" w:rsidRPr="002C0D19" w:rsidRDefault="007968EC" w:rsidP="007968EC">
      <w:pPr>
        <w:ind w:left="2082"/>
        <w:jc w:val="both"/>
        <w:rPr>
          <w:rFonts w:ascii="Arial Narrow" w:eastAsia="Calibri" w:hAnsi="Arial Narrow" w:cs="Arial"/>
          <w:i/>
          <w:lang w:eastAsia="es-ES"/>
        </w:rPr>
      </w:pPr>
    </w:p>
    <w:p w14:paraId="46D1B98C" w14:textId="77777777" w:rsidR="007968EC" w:rsidRPr="002C0D19" w:rsidRDefault="007968EC" w:rsidP="007968EC">
      <w:pPr>
        <w:ind w:left="2082"/>
        <w:jc w:val="both"/>
        <w:rPr>
          <w:rFonts w:ascii="Arial Narrow" w:hAnsi="Arial Narrow" w:cs="Arial"/>
          <w:bCs/>
          <w:lang w:eastAsia="es-CO"/>
        </w:rPr>
      </w:pPr>
      <w:r w:rsidRPr="002C0D19">
        <w:rPr>
          <w:rFonts w:ascii="Arial Narrow" w:hAnsi="Arial Narrow" w:cs="Arial"/>
          <w:bCs/>
          <w:lang w:eastAsia="es-CO"/>
        </w:rPr>
        <w:t xml:space="preserve"> </w:t>
      </w:r>
      <m:oMath>
        <m:r>
          <m:rPr>
            <m:sty m:val="bi"/>
          </m:rPr>
          <w:rPr>
            <w:rFonts w:ascii="Cambria Math" w:hAnsi="Cambria Math" w:cs="Arial"/>
            <w:lang w:eastAsia="es-CO"/>
          </w:rPr>
          <m:t>n</m:t>
        </m:r>
      </m:oMath>
      <w:r w:rsidRPr="002C0D19">
        <w:rPr>
          <w:rFonts w:ascii="Arial Narrow" w:hAnsi="Arial Narrow" w:cs="Arial"/>
          <w:bCs/>
          <w:lang w:eastAsia="es-CO"/>
        </w:rPr>
        <w:t xml:space="preserve">: 3 días para Operaciones Repo con vencimiento mayor a 3 días y para las Operaciones Repo con vencimiento inferior a 3 días, </w:t>
      </w:r>
      <m:oMath>
        <m:r>
          <m:rPr>
            <m:sty m:val="bi"/>
          </m:rPr>
          <w:rPr>
            <w:rFonts w:ascii="Cambria Math" w:hAnsi="Cambria Math" w:cs="Arial"/>
            <w:lang w:eastAsia="es-CO"/>
          </w:rPr>
          <m:t>n</m:t>
        </m:r>
      </m:oMath>
      <w:r w:rsidRPr="002C0D19">
        <w:rPr>
          <w:rFonts w:ascii="Arial Narrow" w:hAnsi="Arial Narrow" w:cs="Arial"/>
          <w:bCs/>
          <w:lang w:eastAsia="es-CO"/>
        </w:rPr>
        <w:t xml:space="preserve"> es igual al número de días pactado en la Operación Repo.</w:t>
      </w:r>
    </w:p>
    <w:p w14:paraId="76C8080C" w14:textId="77777777" w:rsidR="007968EC" w:rsidRPr="002C0D19" w:rsidRDefault="007968EC" w:rsidP="007968EC">
      <w:pPr>
        <w:ind w:left="2082"/>
        <w:jc w:val="both"/>
        <w:rPr>
          <w:rFonts w:ascii="Arial Narrow" w:hAnsi="Arial Narrow" w:cs="Arial"/>
          <w:bCs/>
          <w:lang w:eastAsia="es-CO"/>
        </w:rPr>
      </w:pPr>
      <w:r w:rsidRPr="002C0D19">
        <w:rPr>
          <w:rFonts w:ascii="Arial Narrow" w:hAnsi="Arial Narrow" w:cs="Arial"/>
          <w:bCs/>
          <w:lang w:eastAsia="es-CO"/>
        </w:rPr>
        <w:t xml:space="preserve"> </w:t>
      </w:r>
      <m:oMath>
        <m:r>
          <m:rPr>
            <m:sty m:val="bi"/>
          </m:rPr>
          <w:rPr>
            <w:rFonts w:ascii="Cambria Math" w:hAnsi="Cambria Math" w:cs="Arial"/>
            <w:lang w:eastAsia="es-CO"/>
          </w:rPr>
          <m:t>IE</m:t>
        </m:r>
      </m:oMath>
      <w:r w:rsidRPr="002C0D19">
        <w:rPr>
          <w:rFonts w:ascii="Arial Narrow" w:hAnsi="Arial Narrow" w:cs="Arial"/>
          <w:bCs/>
          <w:lang w:eastAsia="es-CO"/>
        </w:rPr>
        <w:t xml:space="preserve"> : Importe efectivo del flujo inicial o de salida de la Operación Repo.</w:t>
      </w:r>
    </w:p>
    <w:p w14:paraId="72E9AC8B" w14:textId="77777777" w:rsidR="007968EC" w:rsidRPr="002C0D19" w:rsidRDefault="007968EC" w:rsidP="007968EC">
      <w:pPr>
        <w:ind w:left="2082"/>
        <w:jc w:val="both"/>
        <w:rPr>
          <w:rFonts w:ascii="Arial Narrow" w:hAnsi="Arial Narrow" w:cs="Arial"/>
          <w:bCs/>
          <w:lang w:eastAsia="es-CO"/>
        </w:rPr>
      </w:pPr>
      <w:r w:rsidRPr="002C0D19">
        <w:rPr>
          <w:rFonts w:ascii="Arial Narrow" w:hAnsi="Arial Narrow" w:cs="Arial"/>
          <w:bCs/>
          <w:lang w:eastAsia="es-CO"/>
        </w:rPr>
        <w:t xml:space="preserve"> </w:t>
      </w:r>
      <m:oMath>
        <m:r>
          <m:rPr>
            <m:sty m:val="bi"/>
          </m:rPr>
          <w:rPr>
            <w:rFonts w:ascii="Cambria Math" w:hAnsi="Cambria Math" w:cs="Arial"/>
            <w:lang w:eastAsia="es-CO"/>
          </w:rPr>
          <m:t>i</m:t>
        </m:r>
      </m:oMath>
      <w:r w:rsidRPr="002C0D19">
        <w:rPr>
          <w:rFonts w:ascii="Arial Narrow" w:hAnsi="Arial Narrow" w:cs="Arial"/>
          <w:bCs/>
          <w:lang w:eastAsia="es-CO"/>
        </w:rPr>
        <w:t xml:space="preserve"> . tasa de interés máxima vigente permitida por la Ley, sin que exceda la tasa de usura certificada por la Superintendencia Financiera de Colombia.</w:t>
      </w:r>
    </w:p>
    <w:p w14:paraId="098D37D3" w14:textId="77777777" w:rsidR="007968EC" w:rsidRPr="002C0D19" w:rsidRDefault="007968EC" w:rsidP="007968EC">
      <w:pPr>
        <w:rPr>
          <w:rFonts w:ascii="Arial Narrow" w:eastAsia="Calibri" w:hAnsi="Arial Narrow" w:cs="Arial"/>
          <w:b/>
          <w:lang w:val="es-ES"/>
        </w:rPr>
      </w:pPr>
    </w:p>
    <w:p w14:paraId="09A35FB7" w14:textId="77777777" w:rsidR="007968EC" w:rsidRPr="002C0D19" w:rsidRDefault="007968EC" w:rsidP="007968EC">
      <w:pPr>
        <w:ind w:left="642"/>
        <w:jc w:val="both"/>
        <w:rPr>
          <w:rFonts w:ascii="Arial Narrow" w:hAnsi="Arial Narrow" w:cs="Arial"/>
          <w:bCs/>
          <w:lang w:eastAsia="es-CO"/>
        </w:rPr>
      </w:pPr>
      <w:r w:rsidRPr="002C0D19">
        <w:rPr>
          <w:rFonts w:ascii="Arial Narrow" w:hAnsi="Arial Narrow" w:cs="Arial"/>
          <w:bCs/>
          <w:lang w:eastAsia="es-CO"/>
        </w:rPr>
        <w:t>El valor de esta consecuencia pecuniaria deberá ser pagada por el Miembro que incurrió en el evento de retardo, a más tardar en el horario de la Sesión de Liquidación Diaria del día hábil siguiente a la ocurrencia del evento de Retardo. Durante esta misma sesión el valor de esta consecuencia pecuniaria será entregado al Miembro o los Miembros afectados por el evento de retardo según les corresponda.</w:t>
      </w:r>
    </w:p>
    <w:p w14:paraId="5B9B9C96" w14:textId="77777777" w:rsidR="007968EC" w:rsidRPr="002C0D19" w:rsidRDefault="007968EC" w:rsidP="007968EC">
      <w:pPr>
        <w:rPr>
          <w:rFonts w:ascii="Arial Narrow" w:eastAsia="Calibri" w:hAnsi="Arial Narrow" w:cs="Arial"/>
          <w:b/>
        </w:rPr>
      </w:pPr>
    </w:p>
    <w:p w14:paraId="7BD30DAA" w14:textId="77777777" w:rsidR="007968EC" w:rsidRPr="002C0D19" w:rsidRDefault="007968EC" w:rsidP="00DA7472">
      <w:pPr>
        <w:numPr>
          <w:ilvl w:val="6"/>
          <w:numId w:val="287"/>
        </w:numPr>
        <w:autoSpaceDE w:val="0"/>
        <w:autoSpaceDN w:val="0"/>
        <w:adjustRightInd w:val="0"/>
        <w:ind w:left="1068"/>
        <w:jc w:val="both"/>
        <w:rPr>
          <w:rFonts w:ascii="Arial Narrow" w:eastAsia="Calibri" w:hAnsi="Arial Narrow" w:cs="Arial"/>
          <w:lang w:eastAsia="es-CO"/>
        </w:rPr>
      </w:pPr>
      <w:r w:rsidRPr="002C0D19">
        <w:rPr>
          <w:rFonts w:ascii="Arial Narrow" w:hAnsi="Arial Narrow" w:cs="Arial"/>
          <w:lang w:eastAsia="es-CO"/>
        </w:rPr>
        <w:lastRenderedPageBreak/>
        <w:t xml:space="preserve">Suma a favor de la Cámara por la ocurrencia del evento de retardo por la no entrega del </w:t>
      </w:r>
      <w:r w:rsidRPr="002C0D19">
        <w:rPr>
          <w:rFonts w:ascii="Arial Narrow" w:eastAsia="Calibri" w:hAnsi="Arial Narrow" w:cs="Arial"/>
          <w:lang w:eastAsia="es-CO"/>
        </w:rPr>
        <w:t>Activo objeto de la Operación de Reporte o Repo:</w:t>
      </w:r>
    </w:p>
    <w:p w14:paraId="6AC03787" w14:textId="77777777" w:rsidR="007968EC" w:rsidRPr="002C0D19" w:rsidRDefault="007968EC" w:rsidP="007968EC">
      <w:pPr>
        <w:ind w:left="642"/>
        <w:jc w:val="both"/>
        <w:rPr>
          <w:rFonts w:ascii="Arial Narrow" w:hAnsi="Arial Narrow" w:cs="Arial"/>
          <w:lang w:val="es-ES" w:eastAsia="es-ES"/>
        </w:rPr>
      </w:pPr>
    </w:p>
    <w:p w14:paraId="6B1F3126" w14:textId="77777777" w:rsidR="007968EC" w:rsidRPr="002C0D19" w:rsidRDefault="007968EC" w:rsidP="007968EC">
      <w:pPr>
        <w:ind w:left="642"/>
        <w:jc w:val="both"/>
        <w:rPr>
          <w:rFonts w:ascii="Arial Narrow" w:hAnsi="Arial Narrow" w:cs="Arial"/>
          <w:lang w:val="es-ES" w:eastAsia="es-ES"/>
        </w:rPr>
      </w:pPr>
      <w:r w:rsidRPr="002C0D19">
        <w:rPr>
          <w:rFonts w:ascii="Arial Narrow" w:hAnsi="Arial Narrow" w:cs="Arial"/>
          <w:lang w:val="es-ES" w:eastAsia="es-ES"/>
        </w:rPr>
        <w:t>De acuerdo con lo establecido en el Artículo 1.10.1.1. de la presente Circular, el Miembro que incurrió en el evento de retardo estará obligado a pagar la suma equivalente a diez (10) salarios mínimos mensuales legales vigentes (SMMLV).</w:t>
      </w:r>
    </w:p>
    <w:p w14:paraId="26AD695B" w14:textId="77777777" w:rsidR="007968EC" w:rsidRPr="002C0D19" w:rsidRDefault="007968EC" w:rsidP="007968EC">
      <w:pPr>
        <w:rPr>
          <w:rFonts w:ascii="Arial Narrow" w:eastAsia="Calibri" w:hAnsi="Arial Narrow" w:cs="Arial"/>
          <w:b/>
          <w:lang w:val="es-ES"/>
        </w:rPr>
      </w:pPr>
    </w:p>
    <w:p w14:paraId="65AF86EC" w14:textId="77777777" w:rsidR="007968EC" w:rsidRPr="002C0D19" w:rsidRDefault="007968EC" w:rsidP="007968EC">
      <w:pPr>
        <w:jc w:val="both"/>
        <w:rPr>
          <w:rFonts w:ascii="Arial Narrow" w:hAnsi="Arial Narrow" w:cs="Arial"/>
          <w:bCs/>
          <w:lang w:eastAsia="es-CO"/>
        </w:rPr>
      </w:pPr>
      <w:r w:rsidRPr="002C0D19">
        <w:rPr>
          <w:rFonts w:ascii="Arial Narrow" w:hAnsi="Arial Narrow" w:cs="Arial"/>
          <w:bCs/>
          <w:lang w:eastAsia="es-CO"/>
        </w:rPr>
        <w:t>En el caso en que el Miembro que incurrió en el evento de retardo, no realice el pago de cualquiera de las consecuencias pecuniarias antes señaladas dentro del horario descrito en este artículo, se declarará el incumplimiento de dicho Miembro Liquidador, de acuerdo a lo establecido en el artículo 2.8.6. del Reglamento de Funcionamiento de la Cámara y se llevará a cabo el procedimiento descrito en el capítulo segundo del título séptimo de la parte I de la presente Circular.</w:t>
      </w:r>
    </w:p>
    <w:p w14:paraId="19D7F4C9" w14:textId="77777777" w:rsidR="007968EC" w:rsidRPr="002C0D19" w:rsidRDefault="007968EC" w:rsidP="007968EC">
      <w:pPr>
        <w:rPr>
          <w:rFonts w:ascii="Arial Narrow" w:eastAsia="Calibri" w:hAnsi="Arial Narrow" w:cs="Arial"/>
          <w:b/>
        </w:rPr>
      </w:pPr>
    </w:p>
    <w:p w14:paraId="0CD68FD3" w14:textId="77777777" w:rsidR="007968EC" w:rsidRDefault="007968EC" w:rsidP="007968EC">
      <w:pPr>
        <w:keepNext/>
        <w:tabs>
          <w:tab w:val="left" w:pos="1701"/>
        </w:tabs>
        <w:jc w:val="center"/>
        <w:outlineLvl w:val="2"/>
        <w:rPr>
          <w:rFonts w:ascii="Arial Narrow" w:hAnsi="Arial Narrow" w:cs="Arial"/>
          <w:b/>
          <w:lang w:eastAsia="es-ES"/>
        </w:rPr>
      </w:pPr>
    </w:p>
    <w:p w14:paraId="1E584C19" w14:textId="77777777" w:rsidR="007968EC" w:rsidRPr="002C0D19" w:rsidRDefault="007968EC" w:rsidP="007968EC">
      <w:pPr>
        <w:pStyle w:val="TTULO"/>
      </w:pPr>
      <w:bookmarkStart w:id="6238" w:name="_Toc31716436"/>
      <w:r w:rsidRPr="002C0D19">
        <w:t>CAPÍTULO SEGUNDO</w:t>
      </w:r>
      <w:bookmarkEnd w:id="6238"/>
    </w:p>
    <w:p w14:paraId="3C6C28A2" w14:textId="77777777" w:rsidR="007968EC" w:rsidRPr="002C0D19" w:rsidRDefault="007968EC" w:rsidP="007968EC">
      <w:pPr>
        <w:pStyle w:val="TTULO"/>
      </w:pPr>
    </w:p>
    <w:p w14:paraId="1C5FA89E" w14:textId="77777777" w:rsidR="007968EC" w:rsidRPr="002C0D19" w:rsidRDefault="007968EC" w:rsidP="007968EC">
      <w:pPr>
        <w:pStyle w:val="TTULO"/>
      </w:pPr>
      <w:bookmarkStart w:id="6239" w:name="_Toc31716437"/>
      <w:r w:rsidRPr="002C0D19">
        <w:t>INCUMPLIMIENTO</w:t>
      </w:r>
      <w:bookmarkEnd w:id="6239"/>
    </w:p>
    <w:p w14:paraId="1CD4801B" w14:textId="77777777" w:rsidR="007968EC" w:rsidRPr="002C0D19" w:rsidRDefault="007968EC" w:rsidP="007968EC">
      <w:pPr>
        <w:jc w:val="center"/>
        <w:rPr>
          <w:rFonts w:ascii="Arial Narrow" w:eastAsia="Calibri" w:hAnsi="Arial Narrow"/>
          <w:b/>
        </w:rPr>
      </w:pPr>
    </w:p>
    <w:p w14:paraId="1F4342F5" w14:textId="77777777" w:rsidR="007968EC" w:rsidRPr="002C0D19" w:rsidRDefault="007968EC" w:rsidP="007968EC">
      <w:pPr>
        <w:pStyle w:val="ARTICULO0"/>
      </w:pPr>
      <w:bookmarkStart w:id="6240" w:name="_Toc31716438"/>
      <w:r w:rsidRPr="002C0D19">
        <w:t>Artículo 4.6.2.1. Procedimiento operativo adicional para gestionar el Incumplimiento por parte de un Miembro Liquidador por la no Entrega del efectivo en la operación de regreso de una Operación Repo.</w:t>
      </w:r>
      <w:bookmarkEnd w:id="6240"/>
    </w:p>
    <w:p w14:paraId="726C7EDA" w14:textId="77777777" w:rsidR="007968EC" w:rsidRPr="002C0D19" w:rsidRDefault="007968EC" w:rsidP="007968EC">
      <w:pPr>
        <w:jc w:val="center"/>
        <w:rPr>
          <w:rFonts w:ascii="Arial Narrow" w:eastAsia="Calibri" w:hAnsi="Arial Narrow"/>
          <w:b/>
          <w:lang w:val="es-ES"/>
        </w:rPr>
      </w:pPr>
    </w:p>
    <w:p w14:paraId="474B66D5" w14:textId="77777777" w:rsidR="007968EC" w:rsidRPr="002C0D19" w:rsidRDefault="007968EC" w:rsidP="007968EC">
      <w:pPr>
        <w:jc w:val="both"/>
        <w:rPr>
          <w:rFonts w:ascii="Arial Narrow" w:eastAsia="Calibri" w:hAnsi="Arial Narrow"/>
          <w:lang w:val="es-ES"/>
        </w:rPr>
      </w:pPr>
      <w:r w:rsidRPr="002C0D19">
        <w:rPr>
          <w:rFonts w:ascii="Arial Narrow" w:eastAsia="Calibri" w:hAnsi="Arial Narrow"/>
          <w:lang w:val="es-ES"/>
        </w:rPr>
        <w:t>Sin perjuicio de lo establecido en los artículos 2.8.6.y 2.8.7. del Reglamento de Funcionamiento de la Cámara y del Capítulo Segundo del Título Séptimo de la Parte I de la presente Circular, la Cámara por la no Entrega del efectivo en la operación de regreso de una Operación Repo podrá gestionar el incumplimiento del Miembro Liquidador de acuerdo con el siguiente procedimiento adicional:</w:t>
      </w:r>
    </w:p>
    <w:p w14:paraId="32B4DA1D" w14:textId="77777777" w:rsidR="007968EC" w:rsidRPr="002C0D19" w:rsidRDefault="007968EC" w:rsidP="007968EC">
      <w:pPr>
        <w:jc w:val="both"/>
        <w:rPr>
          <w:rFonts w:ascii="Arial Narrow" w:eastAsia="Calibri" w:hAnsi="Arial Narrow"/>
          <w:lang w:val="es-ES"/>
        </w:rPr>
      </w:pPr>
    </w:p>
    <w:p w14:paraId="5F20511E" w14:textId="77777777" w:rsidR="007968EC" w:rsidRPr="002C0D19" w:rsidRDefault="007968EC" w:rsidP="00DA7472">
      <w:pPr>
        <w:numPr>
          <w:ilvl w:val="3"/>
          <w:numId w:val="291"/>
        </w:numPr>
        <w:ind w:left="567"/>
        <w:jc w:val="both"/>
        <w:rPr>
          <w:rFonts w:ascii="Arial Narrow" w:eastAsia="Calibri" w:hAnsi="Arial Narrow"/>
          <w:lang w:val="es-ES"/>
        </w:rPr>
      </w:pPr>
      <w:r w:rsidRPr="002C0D19">
        <w:rPr>
          <w:rFonts w:ascii="Arial Narrow" w:eastAsia="Calibri" w:hAnsi="Arial Narrow"/>
          <w:lang w:val="es-ES"/>
        </w:rPr>
        <w:t>Una vez se realice la transferencia del Activo objeto de la Operación Repo a la cuenta de cumplimiento de la Cámara, de conformidad con lo establecido en el numeral 2 del artículo 1.7.2.2. de la presente Circular, la Cámara informará al Miembro Liquidador cumplido sobre la posibilidad que tiene de optar por recibir los Activos objeto de la operación. La comunicación de la Cámara será remitida el mismo día a la ocurrencia del incumplimiento, por medio de comunicación escrita y/o correo electrónico.</w:t>
      </w:r>
    </w:p>
    <w:p w14:paraId="75D4C9C8" w14:textId="77777777" w:rsidR="007968EC" w:rsidRPr="002C0D19" w:rsidRDefault="007968EC" w:rsidP="007968EC">
      <w:pPr>
        <w:ind w:left="567"/>
        <w:jc w:val="both"/>
        <w:rPr>
          <w:rFonts w:ascii="Arial Narrow" w:eastAsia="Calibri" w:hAnsi="Arial Narrow"/>
          <w:lang w:val="es-ES"/>
        </w:rPr>
      </w:pPr>
    </w:p>
    <w:p w14:paraId="7F4DEE58" w14:textId="77777777" w:rsidR="007968EC" w:rsidRPr="002C0D19" w:rsidRDefault="007968EC" w:rsidP="00DA7472">
      <w:pPr>
        <w:numPr>
          <w:ilvl w:val="3"/>
          <w:numId w:val="291"/>
        </w:numPr>
        <w:ind w:left="567"/>
        <w:jc w:val="both"/>
        <w:rPr>
          <w:rFonts w:ascii="Arial Narrow" w:eastAsia="Calibri" w:hAnsi="Arial Narrow"/>
          <w:lang w:val="es-ES"/>
        </w:rPr>
      </w:pPr>
      <w:r w:rsidRPr="002C0D19">
        <w:rPr>
          <w:rFonts w:ascii="Arial Narrow" w:eastAsia="Calibri" w:hAnsi="Arial Narrow"/>
          <w:lang w:val="es-ES"/>
        </w:rPr>
        <w:t xml:space="preserve">El Miembro Liquidador cumplido, a través de su representante legal, deberá comunicar si acepta recibir los Activos objeto de la operación, dentro de los dos (2) días hábiles siguientes a la recepción de la comunicación a que se refiere el numeral anterior. </w:t>
      </w:r>
      <w:proofErr w:type="gramStart"/>
      <w:r w:rsidRPr="002C0D19">
        <w:rPr>
          <w:rFonts w:ascii="Arial Narrow" w:eastAsia="Calibri" w:hAnsi="Arial Narrow"/>
          <w:lang w:val="es-ES"/>
        </w:rPr>
        <w:t>En caso que</w:t>
      </w:r>
      <w:proofErr w:type="gramEnd"/>
      <w:r w:rsidRPr="002C0D19">
        <w:rPr>
          <w:rFonts w:ascii="Arial Narrow" w:eastAsia="Calibri" w:hAnsi="Arial Narrow"/>
          <w:lang w:val="es-ES"/>
        </w:rPr>
        <w:t xml:space="preserve"> el Miembro Liquidador cumplido decida no recibir los Activos objeto de la operación o guarde silencio, la Cámara procederá de acuerdo con lo previsto en el artículo 1.7.2.2. de la presente Circular.</w:t>
      </w:r>
    </w:p>
    <w:p w14:paraId="6BBDAD5D" w14:textId="77777777" w:rsidR="007968EC" w:rsidRPr="002C0D19" w:rsidRDefault="007968EC" w:rsidP="007968EC">
      <w:pPr>
        <w:ind w:left="708"/>
        <w:rPr>
          <w:rFonts w:ascii="Arial Narrow" w:eastAsia="Calibri" w:hAnsi="Arial Narrow"/>
        </w:rPr>
      </w:pPr>
    </w:p>
    <w:p w14:paraId="66B0AB50" w14:textId="77777777" w:rsidR="007968EC" w:rsidRPr="002C0D19" w:rsidRDefault="007968EC" w:rsidP="00DA7472">
      <w:pPr>
        <w:numPr>
          <w:ilvl w:val="0"/>
          <w:numId w:val="291"/>
        </w:numPr>
        <w:ind w:left="567" w:hanging="141"/>
        <w:jc w:val="both"/>
        <w:rPr>
          <w:rFonts w:ascii="Arial Narrow" w:eastAsia="Calibri" w:hAnsi="Arial Narrow"/>
          <w:lang w:val="es-ES"/>
        </w:rPr>
      </w:pPr>
      <w:r w:rsidRPr="002C0D19">
        <w:rPr>
          <w:rFonts w:ascii="Arial Narrow" w:eastAsia="Calibri" w:hAnsi="Arial Narrow"/>
          <w:lang w:val="es-ES"/>
        </w:rPr>
        <w:t xml:space="preserve">En el evento en el cual el Miembro Liquidador cumplido opte por recibir los Activos objeto de la operación, se procederá de la siguiente manera: </w:t>
      </w:r>
    </w:p>
    <w:p w14:paraId="22A916DF" w14:textId="77777777" w:rsidR="007968EC" w:rsidRPr="002C0D19" w:rsidRDefault="007968EC" w:rsidP="007968EC">
      <w:pPr>
        <w:ind w:left="720"/>
        <w:jc w:val="both"/>
        <w:rPr>
          <w:rFonts w:ascii="Arial Narrow" w:eastAsia="Calibri" w:hAnsi="Arial Narrow"/>
          <w:lang w:val="es-ES"/>
        </w:rPr>
      </w:pPr>
    </w:p>
    <w:p w14:paraId="4BDF37B0" w14:textId="77777777" w:rsidR="007968EC" w:rsidRPr="002C0D19" w:rsidRDefault="007968EC" w:rsidP="00DA7472">
      <w:pPr>
        <w:numPr>
          <w:ilvl w:val="1"/>
          <w:numId w:val="291"/>
        </w:numPr>
        <w:jc w:val="both"/>
        <w:rPr>
          <w:rFonts w:ascii="Arial Narrow" w:eastAsia="Calibri" w:hAnsi="Arial Narrow"/>
          <w:lang w:val="es-ES"/>
        </w:rPr>
      </w:pPr>
      <w:r w:rsidRPr="002C0D19">
        <w:rPr>
          <w:rFonts w:ascii="Arial Narrow" w:eastAsia="Calibri" w:hAnsi="Arial Narrow"/>
          <w:lang w:val="es-ES"/>
        </w:rPr>
        <w:t xml:space="preserve">La Cámara a más tardar el día hábil siguiente a la recepción de la comunicación del Miembro Liquidador cumplido señalando su opción, notificará a </w:t>
      </w:r>
      <w:proofErr w:type="gramStart"/>
      <w:r w:rsidRPr="002C0D19">
        <w:rPr>
          <w:rFonts w:ascii="Arial Narrow" w:eastAsia="Calibri" w:hAnsi="Arial Narrow"/>
          <w:lang w:val="es-ES"/>
        </w:rPr>
        <w:t>éste</w:t>
      </w:r>
      <w:proofErr w:type="gramEnd"/>
      <w:r w:rsidRPr="002C0D19">
        <w:rPr>
          <w:rFonts w:ascii="Arial Narrow" w:eastAsia="Calibri" w:hAnsi="Arial Narrow"/>
          <w:lang w:val="es-ES"/>
        </w:rPr>
        <w:t xml:space="preserve"> último que se efectuó la </w:t>
      </w:r>
      <w:r w:rsidRPr="002C0D19">
        <w:rPr>
          <w:rFonts w:ascii="Arial Narrow" w:eastAsia="Calibri" w:hAnsi="Arial Narrow"/>
          <w:lang w:val="es-ES"/>
        </w:rPr>
        <w:lastRenderedPageBreak/>
        <w:t xml:space="preserve">anotación en cuenta a su nombre, con el fin de que reciba los Activos objeto de la operación de forma definitiva y pueda disponer de ellos sin limitación alguna. </w:t>
      </w:r>
    </w:p>
    <w:p w14:paraId="4D682A23" w14:textId="77777777" w:rsidR="007968EC" w:rsidRPr="002C0D19" w:rsidRDefault="007968EC" w:rsidP="007968EC">
      <w:pPr>
        <w:ind w:left="1440"/>
        <w:jc w:val="both"/>
        <w:rPr>
          <w:rFonts w:ascii="Arial Narrow" w:eastAsia="Calibri" w:hAnsi="Arial Narrow"/>
          <w:lang w:val="es-ES"/>
        </w:rPr>
      </w:pPr>
    </w:p>
    <w:p w14:paraId="30255A55" w14:textId="77777777" w:rsidR="007968EC" w:rsidRPr="002C0D19" w:rsidRDefault="007968EC" w:rsidP="00DA7472">
      <w:pPr>
        <w:numPr>
          <w:ilvl w:val="1"/>
          <w:numId w:val="291"/>
        </w:numPr>
        <w:jc w:val="both"/>
        <w:rPr>
          <w:rFonts w:ascii="Arial Narrow" w:eastAsia="Calibri" w:hAnsi="Arial Narrow"/>
          <w:lang w:val="es-ES"/>
        </w:rPr>
      </w:pPr>
      <w:r w:rsidRPr="002C0D19">
        <w:rPr>
          <w:rFonts w:ascii="Arial Narrow" w:eastAsia="Calibri" w:hAnsi="Arial Narrow"/>
          <w:lang w:val="es-ES"/>
        </w:rPr>
        <w:t xml:space="preserve">El Miembro Liquidador cumplido, dentro de los dos (2) días hábiles siguientes a la fecha en que comunique a la Cámara el ejercicio de su opción, deberá remitir la liquidación de la operación que incorpore el valor de recompra y los intereses moratorios causados desde la fecha del incumplimiento y hasta la fecha en la cual la Cámara notifique al Miembro Liquidador cumplido que se realizó la anotación en cuenta de los Activos objeto de la operación, deduciendo de estos conceptos el precio de los Activos determinado de conformidad con el precio de mercado vigente a la fecha del incumplimiento, según la publicación que efectúe el proveedor de precios para valoración seleccionado por la Cámara. En este mismo plazo, dicho Miembro realizará la devolución de los excedentes a que hubiere lugar, a favor de la Cámara, la cual los entregará al Miembro Liquidador incumplido de ser el caso. Esta devolución podrá realizarse en dinero y/o en valores de la misma especie de los Activos objeto de la Operación, a elección del Miembro Liquidador cumplido. En el evento en que el precio de mercado vigente de los Activos objeto de la Operación a la fecha del incumplimiento sea inferior al valor de la liquidación de la operación que incorpore el valor de recompra y los intereses moratorios causados desde la fecha del incumplimiento y hasta la fecha en la cual la Cámara notifique al Miembro Liquidador cumplido que se realizó la anotación en cuenta de los Activos objeto de la operación, la Cámara realizará el pago del saldo deudor a favor del Miembro Liquidador cumplido. La Cámara exigirá al Miembro Liquidador incumplido el pago de este saldo deudor. </w:t>
      </w:r>
    </w:p>
    <w:p w14:paraId="24072BA6" w14:textId="77777777" w:rsidR="007968EC" w:rsidRPr="002C0D19" w:rsidRDefault="007968EC" w:rsidP="007968EC">
      <w:pPr>
        <w:ind w:left="1440"/>
        <w:jc w:val="both"/>
        <w:rPr>
          <w:rFonts w:ascii="Arial Narrow" w:eastAsia="Calibri" w:hAnsi="Arial Narrow"/>
          <w:lang w:val="es-ES"/>
        </w:rPr>
      </w:pPr>
    </w:p>
    <w:p w14:paraId="42223EB2" w14:textId="77777777" w:rsidR="007968EC" w:rsidRPr="002C0D19" w:rsidRDefault="007968EC" w:rsidP="00DA7472">
      <w:pPr>
        <w:numPr>
          <w:ilvl w:val="1"/>
          <w:numId w:val="291"/>
        </w:numPr>
        <w:jc w:val="both"/>
        <w:rPr>
          <w:rFonts w:ascii="Arial Narrow" w:eastAsia="Calibri" w:hAnsi="Arial Narrow"/>
          <w:lang w:val="es-ES"/>
        </w:rPr>
      </w:pPr>
      <w:r w:rsidRPr="002C0D19">
        <w:rPr>
          <w:rFonts w:ascii="Arial Narrow" w:eastAsia="Calibri" w:hAnsi="Arial Narrow"/>
          <w:lang w:val="es-ES"/>
        </w:rPr>
        <w:t>Los intereses moratorios causados se liquidarán a una tasa equivalente a la máxima legalmente permitida, sin que exceda la tasa de usura certificada por la Superintendencia Financiera de Colombia.</w:t>
      </w:r>
    </w:p>
    <w:p w14:paraId="36CBFFC4" w14:textId="77777777" w:rsidR="007968EC" w:rsidRPr="002C0D19" w:rsidRDefault="007968EC" w:rsidP="007968EC">
      <w:pPr>
        <w:ind w:left="708"/>
        <w:rPr>
          <w:rFonts w:ascii="Arial Narrow" w:eastAsia="Calibri" w:hAnsi="Arial Narrow"/>
        </w:rPr>
      </w:pPr>
    </w:p>
    <w:p w14:paraId="4B1FD885" w14:textId="77777777" w:rsidR="007968EC" w:rsidRPr="002C0D19" w:rsidRDefault="007968EC" w:rsidP="007968EC">
      <w:pPr>
        <w:jc w:val="both"/>
        <w:rPr>
          <w:rFonts w:ascii="Arial Narrow" w:eastAsia="Calibri" w:hAnsi="Arial Narrow"/>
          <w:lang w:val="es-ES"/>
        </w:rPr>
      </w:pPr>
      <w:r w:rsidRPr="002C0D19">
        <w:rPr>
          <w:rFonts w:ascii="Arial Narrow" w:eastAsia="Calibri" w:hAnsi="Arial Narrow"/>
          <w:lang w:val="es-ES"/>
        </w:rPr>
        <w:t>De conformidad con el artículo 2.1.22. del Reglamento de Funcionamiento, cuando el Miembro cumplido haya actuado por cuenta de un Tercero, la entrega del Activo hecha por la Cámara al Miembro extingue la obligación de pago de efectivo al Tercero a cargo de la Cámara. En ningún caso, el Tercero podrá exigir a la Cámara los dineros que le corresponda recibir en virtud de las operaciones realizadas por su cuenta.</w:t>
      </w:r>
    </w:p>
    <w:p w14:paraId="1FC249C0" w14:textId="77777777" w:rsidR="007968EC" w:rsidRPr="002C0D19" w:rsidRDefault="007968EC" w:rsidP="007968EC">
      <w:pPr>
        <w:jc w:val="both"/>
        <w:rPr>
          <w:rFonts w:ascii="Arial Narrow" w:eastAsia="Calibri" w:hAnsi="Arial Narrow"/>
          <w:lang w:val="es-ES"/>
        </w:rPr>
      </w:pPr>
    </w:p>
    <w:p w14:paraId="7B93FFA5" w14:textId="77777777" w:rsidR="007968EC" w:rsidRDefault="007968EC" w:rsidP="007968EC">
      <w:pPr>
        <w:outlineLvl w:val="1"/>
        <w:rPr>
          <w:rFonts w:ascii="Arial Narrow" w:eastAsia="Calibri" w:hAnsi="Arial Narrow"/>
          <w:b/>
        </w:rPr>
      </w:pPr>
    </w:p>
    <w:p w14:paraId="77C36648" w14:textId="77777777" w:rsidR="007968EC" w:rsidRPr="002C0D19" w:rsidRDefault="007968EC" w:rsidP="007968EC">
      <w:pPr>
        <w:pStyle w:val="TTULO"/>
        <w:rPr>
          <w:rFonts w:eastAsia="Calibri"/>
        </w:rPr>
      </w:pPr>
      <w:bookmarkStart w:id="6241" w:name="_Toc31716439"/>
      <w:r w:rsidRPr="002C0D19">
        <w:rPr>
          <w:rFonts w:eastAsia="Calibri"/>
        </w:rPr>
        <w:t>CAPÍTULO TERCERO</w:t>
      </w:r>
      <w:bookmarkEnd w:id="6241"/>
    </w:p>
    <w:p w14:paraId="1E37D66A" w14:textId="77777777" w:rsidR="007968EC" w:rsidRPr="002C0D19" w:rsidRDefault="007968EC" w:rsidP="007968EC">
      <w:pPr>
        <w:pStyle w:val="TTULO"/>
        <w:rPr>
          <w:rFonts w:eastAsia="Calibri"/>
        </w:rPr>
      </w:pPr>
    </w:p>
    <w:p w14:paraId="5F295688" w14:textId="77777777" w:rsidR="007968EC" w:rsidRPr="002C0D19" w:rsidRDefault="007968EC" w:rsidP="007968EC">
      <w:pPr>
        <w:pStyle w:val="TTULO"/>
        <w:rPr>
          <w:rFonts w:eastAsia="Calibri"/>
        </w:rPr>
      </w:pPr>
      <w:bookmarkStart w:id="6242" w:name="_Toc490066756"/>
      <w:bookmarkStart w:id="6243" w:name="_Toc31716440"/>
      <w:r w:rsidRPr="002C0D19">
        <w:rPr>
          <w:rFonts w:eastAsia="Calibri"/>
        </w:rPr>
        <w:t>MEDIDAS PREVENTIVAS</w:t>
      </w:r>
      <w:bookmarkEnd w:id="6242"/>
      <w:bookmarkEnd w:id="6243"/>
    </w:p>
    <w:p w14:paraId="4FE977D2" w14:textId="77777777" w:rsidR="007968EC" w:rsidRPr="002C0D19" w:rsidRDefault="007968EC" w:rsidP="007968EC">
      <w:pPr>
        <w:rPr>
          <w:rFonts w:ascii="Arial Narrow" w:eastAsia="Calibri" w:hAnsi="Arial Narrow" w:cs="Arial"/>
          <w:b/>
        </w:rPr>
      </w:pPr>
    </w:p>
    <w:p w14:paraId="4AA69A04" w14:textId="77777777" w:rsidR="007968EC" w:rsidRPr="002C0D19" w:rsidRDefault="007968EC" w:rsidP="007968EC">
      <w:pPr>
        <w:pStyle w:val="ARTICULO0"/>
      </w:pPr>
      <w:bookmarkStart w:id="6244" w:name="_Toc490066757"/>
      <w:bookmarkStart w:id="6245" w:name="_Toc31716441"/>
      <w:r w:rsidRPr="002C0D19">
        <w:t>Artículo 4.6.3.1. Medida Preventiva adicional para Operaciones Repo provenientes de la Bolsa.</w:t>
      </w:r>
      <w:bookmarkEnd w:id="6244"/>
      <w:bookmarkEnd w:id="6245"/>
    </w:p>
    <w:p w14:paraId="746F666A" w14:textId="77777777" w:rsidR="007968EC" w:rsidRPr="002C0D19" w:rsidRDefault="007968EC" w:rsidP="007968EC">
      <w:pPr>
        <w:rPr>
          <w:rFonts w:ascii="Arial Narrow" w:eastAsia="Calibri" w:hAnsi="Arial Narrow" w:cs="Arial"/>
          <w:b/>
        </w:rPr>
      </w:pPr>
    </w:p>
    <w:p w14:paraId="70B8DDFA" w14:textId="77777777" w:rsidR="007968EC" w:rsidRPr="002C0D19" w:rsidRDefault="007968EC" w:rsidP="007968EC">
      <w:pPr>
        <w:jc w:val="both"/>
        <w:rPr>
          <w:rFonts w:ascii="Arial Narrow" w:eastAsia="Calibri" w:hAnsi="Arial Narrow"/>
        </w:rPr>
      </w:pPr>
      <w:r w:rsidRPr="002C0D19">
        <w:rPr>
          <w:rFonts w:ascii="Arial Narrow" w:eastAsia="Calibri" w:hAnsi="Arial Narrow"/>
        </w:rPr>
        <w:t>Sin perjuicio de las Medidas Preventivas previstas en el artículo 2.9.1. del Reglamento de Funcionamiento y del artículo 1.7.4.1. de la presente Circular, la Cámara podrá, en cualquier momento, ordenar la adopción de la siguiente medida preventiva:</w:t>
      </w:r>
    </w:p>
    <w:p w14:paraId="7F28A831" w14:textId="77777777" w:rsidR="007968EC" w:rsidRPr="002C0D19" w:rsidRDefault="007968EC" w:rsidP="007968EC">
      <w:pPr>
        <w:jc w:val="both"/>
        <w:rPr>
          <w:rFonts w:ascii="Arial Narrow" w:eastAsia="Calibri" w:hAnsi="Arial Narrow"/>
        </w:rPr>
      </w:pPr>
    </w:p>
    <w:p w14:paraId="55C9610D" w14:textId="77777777" w:rsidR="007968EC" w:rsidRPr="002C0D19" w:rsidRDefault="007968EC" w:rsidP="007968EC">
      <w:pPr>
        <w:contextualSpacing/>
        <w:jc w:val="both"/>
        <w:rPr>
          <w:rFonts w:ascii="Arial Narrow" w:eastAsia="Calibri" w:hAnsi="Arial Narrow"/>
          <w:highlight w:val="yellow"/>
          <w:u w:val="single"/>
        </w:rPr>
      </w:pPr>
      <w:proofErr w:type="gramStart"/>
      <w:r w:rsidRPr="002C0D19">
        <w:rPr>
          <w:rFonts w:ascii="Arial Narrow" w:eastAsia="Calibri" w:hAnsi="Arial Narrow"/>
        </w:rPr>
        <w:lastRenderedPageBreak/>
        <w:t>En caso que</w:t>
      </w:r>
      <w:proofErr w:type="gramEnd"/>
      <w:r w:rsidRPr="002C0D19">
        <w:rPr>
          <w:rFonts w:ascii="Arial Narrow" w:eastAsia="Calibri" w:hAnsi="Arial Narrow"/>
        </w:rPr>
        <w:t xml:space="preserve"> un Miembro Liquidador incurra en el evento de retardo por no pagar el efectivo o entregar el Activo para el cumplimiento de las Operaciones Repo aceptadas por la Cámara en tres (3) ocasiones durante el mismo año corrido, la Cámara procederá a solicitar a la Bolsa que realice las actividades tendientes a no permitir la negociación de Operaciones Repo que pretendan ser compensadas y liquidadas en la Cámara por parte de un Miembro por un (1) día hábil. </w:t>
      </w:r>
    </w:p>
    <w:p w14:paraId="299D164D" w14:textId="77777777" w:rsidR="007968EC" w:rsidRPr="002C0D19" w:rsidRDefault="007968EC" w:rsidP="007968EC">
      <w:pPr>
        <w:ind w:left="535"/>
        <w:contextualSpacing/>
        <w:jc w:val="both"/>
        <w:rPr>
          <w:rFonts w:ascii="Arial Narrow" w:eastAsia="Calibri" w:hAnsi="Arial Narrow"/>
          <w:u w:val="single"/>
        </w:rPr>
      </w:pPr>
    </w:p>
    <w:p w14:paraId="0A6D5501" w14:textId="77777777" w:rsidR="007968EC" w:rsidRPr="002C0D19" w:rsidRDefault="007968EC" w:rsidP="007968EC">
      <w:pPr>
        <w:contextualSpacing/>
        <w:jc w:val="both"/>
        <w:rPr>
          <w:rFonts w:ascii="Arial Narrow" w:eastAsia="Calibri" w:hAnsi="Arial Narrow"/>
        </w:rPr>
      </w:pPr>
      <w:r w:rsidRPr="002C0D19">
        <w:rPr>
          <w:rFonts w:ascii="Arial Narrow" w:eastAsia="Calibri" w:hAnsi="Arial Narrow"/>
        </w:rPr>
        <w:t>Si la Cámara solicita a la Bolsa las actividades tendientes a no permitir la negociación de Operaciones Repo que pretendan ser Compensadas y Liquidadas en la Cámara de un mismo Miembro Liquidador por una segunda vez durante un mismo año corrido, la medida se adoptará por un término tres (3) días hábiles. En caso de presentarse el mismo hecho por una tercera vez durante un mismo año corrido, la misma medida se adoptará por cinco (5) días hábiles.</w:t>
      </w:r>
    </w:p>
    <w:p w14:paraId="1F62B05A" w14:textId="77777777" w:rsidR="007968EC" w:rsidRPr="002C0D19" w:rsidRDefault="007968EC" w:rsidP="007968EC">
      <w:pPr>
        <w:ind w:left="535"/>
        <w:contextualSpacing/>
        <w:jc w:val="both"/>
        <w:rPr>
          <w:rFonts w:ascii="Arial Narrow" w:eastAsia="Calibri" w:hAnsi="Arial Narrow"/>
          <w:lang w:eastAsia="es-CO"/>
        </w:rPr>
      </w:pPr>
    </w:p>
    <w:p w14:paraId="28142DE2" w14:textId="77777777" w:rsidR="007968EC" w:rsidRPr="002C0D19" w:rsidRDefault="007968EC" w:rsidP="007968EC">
      <w:pPr>
        <w:contextualSpacing/>
        <w:jc w:val="both"/>
        <w:rPr>
          <w:rFonts w:ascii="Arial Narrow" w:eastAsia="Calibri" w:hAnsi="Arial Narrow"/>
        </w:rPr>
      </w:pPr>
      <w:r w:rsidRPr="002C0D19">
        <w:rPr>
          <w:rFonts w:ascii="Arial Narrow" w:eastAsia="Calibri" w:hAnsi="Arial Narrow"/>
        </w:rPr>
        <w:t>En los casos anteriormente señalados, la Medida Preventiva se hará efectiva a partir del último día hábil de la semana siguiente al día de ocurrencia del evento de retardo que la origine.</w:t>
      </w:r>
    </w:p>
    <w:p w14:paraId="293111FE" w14:textId="77777777" w:rsidR="007968EC" w:rsidRPr="002C0D19" w:rsidRDefault="007968EC" w:rsidP="007968EC">
      <w:pPr>
        <w:ind w:left="535"/>
        <w:contextualSpacing/>
        <w:jc w:val="both"/>
        <w:rPr>
          <w:rFonts w:ascii="Arial Narrow" w:eastAsia="Calibri" w:hAnsi="Arial Narrow"/>
        </w:rPr>
      </w:pPr>
    </w:p>
    <w:p w14:paraId="5A8BFD69" w14:textId="77777777" w:rsidR="007968EC" w:rsidRPr="002C0D19" w:rsidRDefault="007968EC" w:rsidP="007968EC">
      <w:pPr>
        <w:jc w:val="both"/>
        <w:rPr>
          <w:rFonts w:ascii="Arial Narrow" w:eastAsia="Calibri" w:hAnsi="Arial Narrow"/>
        </w:rPr>
      </w:pPr>
      <w:r w:rsidRPr="002C0D19">
        <w:rPr>
          <w:rFonts w:ascii="Arial Narrow" w:eastAsia="Calibri" w:hAnsi="Arial Narrow"/>
        </w:rPr>
        <w:t xml:space="preserve">En el caso que a un Miembro Liquidador no se le permita la negociación de Operaciones Repo en los términos establecidos en el presente artículo, en más de tres (3) ocasiones dentro del mismo año corrido por la adopción de la Medida Preventiva, la Cámara podrá solicitar a la Bolsa que no permita al Miembro la negociación de tales Operaciones hasta tanto la Cámara realice una evaluación financiera y operativa del mismo.  </w:t>
      </w:r>
    </w:p>
    <w:p w14:paraId="47859191" w14:textId="77777777" w:rsidR="007968EC" w:rsidRPr="002C0D19" w:rsidRDefault="007968EC" w:rsidP="007968EC">
      <w:pPr>
        <w:ind w:left="459" w:hanging="284"/>
        <w:jc w:val="both"/>
        <w:rPr>
          <w:rFonts w:ascii="Arial Narrow" w:eastAsia="Calibri" w:hAnsi="Arial Narrow"/>
        </w:rPr>
      </w:pPr>
    </w:p>
    <w:p w14:paraId="6A2E3B25" w14:textId="77777777" w:rsidR="007968EC" w:rsidRPr="002C0D19" w:rsidRDefault="007968EC" w:rsidP="007968EC">
      <w:pPr>
        <w:autoSpaceDE w:val="0"/>
        <w:autoSpaceDN w:val="0"/>
        <w:adjustRightInd w:val="0"/>
        <w:jc w:val="both"/>
        <w:rPr>
          <w:rFonts w:ascii="Arial Narrow" w:eastAsia="Calibri" w:hAnsi="Arial Narrow"/>
          <w:u w:val="single"/>
        </w:rPr>
      </w:pPr>
      <w:r w:rsidRPr="002C0D19">
        <w:rPr>
          <w:rFonts w:ascii="Arial Narrow" w:eastAsia="Calibri" w:hAnsi="Arial Narrow"/>
          <w:b/>
        </w:rPr>
        <w:t xml:space="preserve">Parágrafo. </w:t>
      </w:r>
      <w:r w:rsidRPr="002C0D19">
        <w:rPr>
          <w:rFonts w:ascii="Arial Narrow" w:eastAsia="Calibri" w:hAnsi="Arial Narrow"/>
        </w:rPr>
        <w:t>Para efectos de la aplicación de la Medida Preventiva prevista en el presente artículo, se aplicará el procedimiento previsto en el artículo 1.7.4.2. de la presente Circular.</w:t>
      </w:r>
    </w:p>
    <w:p w14:paraId="0A9FE19F" w14:textId="77777777" w:rsidR="007968EC" w:rsidRPr="002C0D19" w:rsidRDefault="007968EC" w:rsidP="007968EC">
      <w:pPr>
        <w:rPr>
          <w:rFonts w:ascii="Arial Narrow" w:eastAsia="Calibri" w:hAnsi="Arial Narrow" w:cs="Arial"/>
          <w:lang w:val="es-ES"/>
        </w:rPr>
      </w:pPr>
    </w:p>
    <w:p w14:paraId="329F48CF" w14:textId="77777777" w:rsidR="007968EC" w:rsidRDefault="007968EC" w:rsidP="007968EC">
      <w:pPr>
        <w:outlineLvl w:val="0"/>
        <w:rPr>
          <w:rFonts w:ascii="Arial Narrow" w:eastAsia="Calibri" w:hAnsi="Arial Narrow"/>
          <w:b/>
        </w:rPr>
      </w:pPr>
      <w:bookmarkStart w:id="6246" w:name="_Toc490066758"/>
    </w:p>
    <w:p w14:paraId="23B901F2" w14:textId="77777777" w:rsidR="007968EC" w:rsidRPr="002C0D19" w:rsidRDefault="007968EC" w:rsidP="007968EC">
      <w:pPr>
        <w:pStyle w:val="TTULO"/>
        <w:rPr>
          <w:rFonts w:eastAsia="Calibri"/>
        </w:rPr>
      </w:pPr>
      <w:bookmarkStart w:id="6247" w:name="_Toc31716442"/>
      <w:r w:rsidRPr="002C0D19">
        <w:rPr>
          <w:rFonts w:eastAsia="Calibri"/>
        </w:rPr>
        <w:t>TÍTULO SÉPTIMO</w:t>
      </w:r>
      <w:bookmarkEnd w:id="6246"/>
      <w:bookmarkEnd w:id="6247"/>
    </w:p>
    <w:p w14:paraId="0B8C651A" w14:textId="77777777" w:rsidR="007968EC" w:rsidRPr="002C0D19" w:rsidRDefault="007968EC" w:rsidP="007968EC">
      <w:pPr>
        <w:pStyle w:val="TTULO"/>
        <w:rPr>
          <w:rFonts w:eastAsia="Calibri"/>
        </w:rPr>
      </w:pPr>
    </w:p>
    <w:p w14:paraId="240F552A" w14:textId="77777777" w:rsidR="007968EC" w:rsidRPr="002C0D19" w:rsidRDefault="007968EC" w:rsidP="007968EC">
      <w:pPr>
        <w:pStyle w:val="TTULO"/>
        <w:rPr>
          <w:rFonts w:eastAsia="Calibri"/>
        </w:rPr>
      </w:pPr>
      <w:bookmarkStart w:id="6248" w:name="_Toc490066759"/>
      <w:bookmarkStart w:id="6249" w:name="_Toc31716443"/>
      <w:r w:rsidRPr="002C0D19">
        <w:rPr>
          <w:rFonts w:eastAsia="Calibri"/>
        </w:rPr>
        <w:t>HORARIOS DE LAS SESIONES DE CÁMARA</w:t>
      </w:r>
      <w:bookmarkEnd w:id="6248"/>
      <w:bookmarkEnd w:id="6249"/>
    </w:p>
    <w:p w14:paraId="7B42E101" w14:textId="77777777" w:rsidR="007968EC" w:rsidRPr="002C0D19" w:rsidRDefault="007968EC" w:rsidP="007968EC">
      <w:pPr>
        <w:pStyle w:val="TTULO"/>
        <w:rPr>
          <w:rFonts w:eastAsia="Calibri"/>
        </w:rPr>
      </w:pPr>
    </w:p>
    <w:p w14:paraId="4FBEDEC5" w14:textId="77777777" w:rsidR="007968EC" w:rsidRPr="002C0D19" w:rsidRDefault="007968EC" w:rsidP="007968EC">
      <w:pPr>
        <w:pStyle w:val="TTULO"/>
        <w:rPr>
          <w:rFonts w:eastAsia="Calibri"/>
        </w:rPr>
      </w:pPr>
      <w:bookmarkStart w:id="6250" w:name="_Toc490066760"/>
      <w:bookmarkStart w:id="6251" w:name="_Toc31716444"/>
      <w:r w:rsidRPr="002C0D19">
        <w:rPr>
          <w:rFonts w:eastAsia="Calibri"/>
        </w:rPr>
        <w:t>CAPITULO PRIMERO</w:t>
      </w:r>
      <w:bookmarkEnd w:id="6250"/>
      <w:bookmarkEnd w:id="6251"/>
    </w:p>
    <w:p w14:paraId="68750BB2" w14:textId="77777777" w:rsidR="007968EC" w:rsidRPr="002C0D19" w:rsidRDefault="007968EC" w:rsidP="007968EC">
      <w:pPr>
        <w:rPr>
          <w:rFonts w:ascii="Arial Narrow" w:eastAsia="Calibri" w:hAnsi="Arial Narrow" w:cs="Arial"/>
          <w:b/>
        </w:rPr>
      </w:pPr>
    </w:p>
    <w:p w14:paraId="6D4EAD96" w14:textId="77777777" w:rsidR="007968EC" w:rsidRDefault="007968EC" w:rsidP="007968EC">
      <w:pPr>
        <w:pStyle w:val="ARTICULO0"/>
      </w:pPr>
      <w:bookmarkStart w:id="6252" w:name="_Toc490066761"/>
      <w:bookmarkStart w:id="6253" w:name="_Toc31716445"/>
      <w:r w:rsidRPr="002C0D19">
        <w:t>Artículo 4.7.1.1. Horarios de Sesiones de Operación de Cámara para el Segmento de Renta Variable.</w:t>
      </w:r>
      <w:bookmarkEnd w:id="6252"/>
      <w:bookmarkEnd w:id="6253"/>
    </w:p>
    <w:p w14:paraId="7E665258" w14:textId="77777777" w:rsidR="007968EC" w:rsidRDefault="007968EC" w:rsidP="007968EC">
      <w:pPr>
        <w:pStyle w:val="ARTICULO0"/>
      </w:pPr>
    </w:p>
    <w:p w14:paraId="3671E7BD" w14:textId="77777777" w:rsidR="007968EC" w:rsidRPr="002C0D19" w:rsidRDefault="007968EC" w:rsidP="007968EC">
      <w:pPr>
        <w:pStyle w:val="ANTECEDENTES"/>
      </w:pPr>
      <w:r>
        <w:t>(Este artículo fue modificado mediante Circular 24 del 11 de diciembre de 2017, publicada en el Boletín Normativo No. 031 del 11 de diciembre de 2017. Rige a partir del 12 de diciembre de 2017.)</w:t>
      </w:r>
    </w:p>
    <w:p w14:paraId="4AD41B8C" w14:textId="77777777" w:rsidR="007968EC" w:rsidRPr="002C0D19" w:rsidRDefault="007968EC" w:rsidP="007968EC">
      <w:pPr>
        <w:rPr>
          <w:rFonts w:ascii="Arial Narrow" w:eastAsia="Calibri" w:hAnsi="Arial Narrow" w:cs="Arial"/>
          <w:b/>
        </w:rPr>
      </w:pPr>
    </w:p>
    <w:p w14:paraId="46319430" w14:textId="77777777" w:rsidR="007968EC" w:rsidRPr="00917F15" w:rsidRDefault="007968EC" w:rsidP="007968EC">
      <w:pPr>
        <w:tabs>
          <w:tab w:val="left" w:pos="6804"/>
        </w:tabs>
        <w:autoSpaceDE w:val="0"/>
        <w:autoSpaceDN w:val="0"/>
        <w:adjustRightInd w:val="0"/>
        <w:contextualSpacing/>
        <w:jc w:val="both"/>
        <w:rPr>
          <w:rFonts w:ascii="Arial Narrow" w:eastAsia="Calibri" w:hAnsi="Arial Narrow"/>
        </w:rPr>
      </w:pPr>
      <w:r w:rsidRPr="00917F15">
        <w:rPr>
          <w:rFonts w:ascii="Arial Narrow" w:eastAsia="Calibri" w:hAnsi="Arial Narrow"/>
        </w:rPr>
        <w:t>De conformidad con el artículo 1.3.6. del Reglamento de Funcionamiento de la Cámara y el Artículo 1.8.1.1. de la presente Circular, el horario de funcionamiento para el Segmento de Renta Variable tendrá las siguientes sesiones particulares:</w:t>
      </w:r>
    </w:p>
    <w:p w14:paraId="770ED677" w14:textId="77777777" w:rsidR="007968EC" w:rsidRPr="00917F15" w:rsidRDefault="007968EC" w:rsidP="007968EC">
      <w:pPr>
        <w:tabs>
          <w:tab w:val="num" w:pos="5040"/>
          <w:tab w:val="left" w:pos="6804"/>
        </w:tabs>
        <w:ind w:left="426"/>
        <w:jc w:val="both"/>
        <w:rPr>
          <w:rFonts w:ascii="Arial Narrow" w:eastAsia="Calibri" w:hAnsi="Arial Narrow"/>
          <w:u w:val="single"/>
        </w:rPr>
      </w:pPr>
    </w:p>
    <w:p w14:paraId="0F469C0E" w14:textId="77777777" w:rsidR="007968EC" w:rsidRPr="00917F15" w:rsidRDefault="007968EC" w:rsidP="00DA7472">
      <w:pPr>
        <w:numPr>
          <w:ilvl w:val="0"/>
          <w:numId w:val="271"/>
        </w:numPr>
        <w:tabs>
          <w:tab w:val="num" w:pos="426"/>
          <w:tab w:val="num" w:pos="5040"/>
          <w:tab w:val="left" w:pos="6804"/>
        </w:tabs>
        <w:ind w:left="426" w:hanging="426"/>
        <w:jc w:val="both"/>
        <w:rPr>
          <w:rFonts w:ascii="Arial Narrow" w:eastAsia="Calibri" w:hAnsi="Arial Narrow"/>
          <w:u w:val="single"/>
        </w:rPr>
      </w:pPr>
      <w:r w:rsidRPr="00917F15">
        <w:rPr>
          <w:rFonts w:ascii="Arial Narrow" w:eastAsia="Calibri" w:hAnsi="Arial Narrow"/>
          <w:u w:val="single"/>
        </w:rPr>
        <w:t>Sesión de Aceptación de Operaciones:</w:t>
      </w:r>
      <w:r w:rsidRPr="00917F15">
        <w:rPr>
          <w:rFonts w:ascii="Arial Narrow" w:eastAsia="Calibri" w:hAnsi="Arial Narrow"/>
        </w:rPr>
        <w:t xml:space="preserve"> de 8:00 a.m. a 6:00 p.m. Sesión durante la cual se realizará la Aceptación de Operaciones Repo.</w:t>
      </w:r>
    </w:p>
    <w:p w14:paraId="22DD6C47" w14:textId="77777777" w:rsidR="007968EC" w:rsidRPr="00917F15" w:rsidRDefault="007968EC" w:rsidP="007968EC">
      <w:pPr>
        <w:tabs>
          <w:tab w:val="num" w:pos="5040"/>
          <w:tab w:val="left" w:pos="6804"/>
        </w:tabs>
        <w:ind w:left="426"/>
        <w:jc w:val="both"/>
        <w:rPr>
          <w:rFonts w:ascii="Arial Narrow" w:eastAsia="Calibri" w:hAnsi="Arial Narrow"/>
          <w:u w:val="single"/>
        </w:rPr>
      </w:pPr>
    </w:p>
    <w:p w14:paraId="238F9332" w14:textId="77777777" w:rsidR="007968EC" w:rsidRPr="00917F15" w:rsidRDefault="007968EC" w:rsidP="00DA7472">
      <w:pPr>
        <w:numPr>
          <w:ilvl w:val="0"/>
          <w:numId w:val="271"/>
        </w:numPr>
        <w:tabs>
          <w:tab w:val="num" w:pos="5040"/>
          <w:tab w:val="left" w:pos="6804"/>
        </w:tabs>
        <w:ind w:left="426" w:hanging="426"/>
        <w:jc w:val="both"/>
        <w:rPr>
          <w:rFonts w:ascii="Arial Narrow" w:eastAsia="Calibri" w:hAnsi="Arial Narrow"/>
          <w:bCs/>
        </w:rPr>
      </w:pPr>
      <w:r w:rsidRPr="00917F15">
        <w:rPr>
          <w:rFonts w:ascii="Arial Narrow" w:eastAsia="Calibri" w:hAnsi="Arial Narrow"/>
          <w:bCs/>
          <w:u w:val="single"/>
        </w:rPr>
        <w:lastRenderedPageBreak/>
        <w:t>Sesión de Creación de Cuentas:</w:t>
      </w:r>
      <w:r w:rsidRPr="00917F15">
        <w:rPr>
          <w:rFonts w:ascii="Arial Narrow" w:eastAsia="Calibri" w:hAnsi="Arial Narrow"/>
          <w:bCs/>
        </w:rPr>
        <w:t xml:space="preserve"> de 8:00 a.m. a 6:00 p.m. Sesión en la cual se podrá solicitar la creación de Cuentas.</w:t>
      </w:r>
    </w:p>
    <w:p w14:paraId="560EAFDE" w14:textId="77777777" w:rsidR="007968EC" w:rsidRPr="00917F15" w:rsidRDefault="007968EC" w:rsidP="007968EC">
      <w:pPr>
        <w:tabs>
          <w:tab w:val="left" w:pos="6804"/>
        </w:tabs>
        <w:ind w:left="708"/>
        <w:rPr>
          <w:rFonts w:ascii="Arial Narrow" w:eastAsia="Calibri" w:hAnsi="Arial Narrow"/>
          <w:bCs/>
        </w:rPr>
      </w:pPr>
    </w:p>
    <w:p w14:paraId="0C7DB52A" w14:textId="77777777" w:rsidR="007968EC" w:rsidRPr="00917F15" w:rsidRDefault="007968EC" w:rsidP="00DA7472">
      <w:pPr>
        <w:numPr>
          <w:ilvl w:val="0"/>
          <w:numId w:val="271"/>
        </w:numPr>
        <w:tabs>
          <w:tab w:val="num" w:pos="5040"/>
          <w:tab w:val="left" w:pos="6804"/>
        </w:tabs>
        <w:ind w:left="426" w:hanging="426"/>
        <w:jc w:val="both"/>
        <w:rPr>
          <w:rFonts w:ascii="Arial Narrow" w:eastAsia="Calibri" w:hAnsi="Arial Narrow"/>
          <w:bCs/>
        </w:rPr>
      </w:pPr>
      <w:r w:rsidRPr="00917F15">
        <w:rPr>
          <w:rFonts w:ascii="Arial Narrow" w:eastAsia="Calibri" w:hAnsi="Arial Narrow"/>
          <w:bCs/>
          <w:u w:val="single"/>
        </w:rPr>
        <w:t>Sesión de Verificación de MIML</w:t>
      </w:r>
      <w:r w:rsidRPr="00917F15">
        <w:rPr>
          <w:rFonts w:ascii="Arial Narrow" w:eastAsia="Calibri" w:hAnsi="Arial Narrow"/>
          <w:bCs/>
        </w:rPr>
        <w:t>: de 8:00 a.m. a 5:00 p.m. Sesión en la cual se realizará la verificación del MIML disponible.</w:t>
      </w:r>
    </w:p>
    <w:p w14:paraId="4D9BB3BF" w14:textId="77777777" w:rsidR="007968EC" w:rsidRPr="00917F15" w:rsidRDefault="007968EC" w:rsidP="007968EC">
      <w:pPr>
        <w:tabs>
          <w:tab w:val="left" w:pos="6804"/>
        </w:tabs>
        <w:ind w:left="708"/>
        <w:rPr>
          <w:rFonts w:ascii="Arial Narrow" w:eastAsia="Calibri" w:hAnsi="Arial Narrow"/>
          <w:bCs/>
        </w:rPr>
      </w:pPr>
    </w:p>
    <w:p w14:paraId="694B75A9" w14:textId="77777777" w:rsidR="007968EC" w:rsidRPr="00917F15" w:rsidRDefault="007968EC" w:rsidP="00DA7472">
      <w:pPr>
        <w:numPr>
          <w:ilvl w:val="0"/>
          <w:numId w:val="271"/>
        </w:numPr>
        <w:tabs>
          <w:tab w:val="num" w:pos="5040"/>
          <w:tab w:val="left" w:pos="6804"/>
        </w:tabs>
        <w:ind w:left="426" w:hanging="426"/>
        <w:jc w:val="both"/>
        <w:rPr>
          <w:rFonts w:ascii="Arial Narrow" w:eastAsia="Calibri" w:hAnsi="Arial Narrow"/>
          <w:bCs/>
        </w:rPr>
      </w:pPr>
      <w:r w:rsidRPr="00917F15">
        <w:rPr>
          <w:rFonts w:ascii="Arial Narrow" w:eastAsia="Calibri" w:hAnsi="Arial Narrow"/>
          <w:bCs/>
          <w:u w:val="single"/>
        </w:rPr>
        <w:t>Sesión de Gestión de Agentes:</w:t>
      </w:r>
      <w:r w:rsidRPr="00917F15">
        <w:rPr>
          <w:rFonts w:ascii="Arial Narrow" w:eastAsia="Calibri" w:hAnsi="Arial Narrow"/>
          <w:bCs/>
        </w:rPr>
        <w:t xml:space="preserve"> de 8:00 a.m. a 4:45 p.m. Sesión en la cual los Miembros podrán realizar la Consolidación de Operaciones Repo y la retoma de paquetes y los Agentes podrán Admitir, devolver, y/o excluir la Consolidación de Operaciones Repo.</w:t>
      </w:r>
    </w:p>
    <w:p w14:paraId="0EEDB4FB" w14:textId="77777777" w:rsidR="007968EC" w:rsidRPr="00917F15" w:rsidRDefault="007968EC" w:rsidP="007968EC">
      <w:pPr>
        <w:tabs>
          <w:tab w:val="left" w:pos="6804"/>
        </w:tabs>
        <w:ind w:left="708"/>
        <w:rPr>
          <w:rFonts w:ascii="Arial Narrow" w:eastAsia="Calibri" w:hAnsi="Arial Narrow"/>
          <w:bCs/>
        </w:rPr>
      </w:pPr>
    </w:p>
    <w:p w14:paraId="5044B9D4" w14:textId="77777777" w:rsidR="007968EC" w:rsidRPr="00917F15" w:rsidRDefault="007968EC" w:rsidP="00DA7472">
      <w:pPr>
        <w:numPr>
          <w:ilvl w:val="0"/>
          <w:numId w:val="271"/>
        </w:numPr>
        <w:tabs>
          <w:tab w:val="num" w:pos="5040"/>
          <w:tab w:val="left" w:pos="6804"/>
        </w:tabs>
        <w:ind w:left="426" w:hanging="426"/>
        <w:jc w:val="both"/>
        <w:rPr>
          <w:rFonts w:ascii="Arial Narrow" w:eastAsia="Calibri" w:hAnsi="Arial Narrow"/>
          <w:bCs/>
        </w:rPr>
      </w:pPr>
      <w:r w:rsidRPr="00917F15">
        <w:rPr>
          <w:rFonts w:ascii="Arial Narrow" w:hAnsi="Arial Narrow" w:cs="Arial"/>
          <w:bCs/>
          <w:u w:val="single"/>
          <w:lang w:val="es-ES" w:eastAsia="es-ES"/>
        </w:rPr>
        <w:t>Sesión Corrección de la Complementación:</w:t>
      </w:r>
      <w:r w:rsidRPr="00917F15">
        <w:rPr>
          <w:rFonts w:ascii="Arial Narrow" w:hAnsi="Arial Narrow" w:cs="Arial"/>
          <w:bCs/>
          <w:lang w:val="es-ES" w:eastAsia="es-ES"/>
        </w:rPr>
        <w:t xml:space="preserve"> 8:00 a.m. a 4:30 p.m. Sesión en la cual los Miembros a través del Portal WEB de la Cámara, podrán solicitar la corrección de la información suministrada en la Complementación de una Operación y/o fracción de una Operación.</w:t>
      </w:r>
    </w:p>
    <w:p w14:paraId="7799E024" w14:textId="77777777" w:rsidR="007968EC" w:rsidRPr="00917F15" w:rsidRDefault="007968EC" w:rsidP="007968EC">
      <w:pPr>
        <w:tabs>
          <w:tab w:val="left" w:pos="6804"/>
        </w:tabs>
        <w:ind w:left="708"/>
        <w:rPr>
          <w:rFonts w:ascii="Arial Narrow" w:eastAsia="Calibri" w:hAnsi="Arial Narrow"/>
        </w:rPr>
      </w:pPr>
    </w:p>
    <w:p w14:paraId="6538B505" w14:textId="77777777" w:rsidR="007968EC" w:rsidRPr="00917F15" w:rsidRDefault="007968EC" w:rsidP="00DA7472">
      <w:pPr>
        <w:numPr>
          <w:ilvl w:val="0"/>
          <w:numId w:val="271"/>
        </w:numPr>
        <w:tabs>
          <w:tab w:val="num" w:pos="5040"/>
          <w:tab w:val="left" w:pos="6804"/>
        </w:tabs>
        <w:ind w:left="426" w:hanging="426"/>
        <w:jc w:val="both"/>
        <w:rPr>
          <w:rFonts w:ascii="Arial Narrow" w:eastAsia="Calibri" w:hAnsi="Arial Narrow"/>
        </w:rPr>
      </w:pPr>
      <w:r w:rsidRPr="00917F15">
        <w:rPr>
          <w:rFonts w:ascii="Arial Narrow" w:eastAsia="Calibri" w:hAnsi="Arial Narrow"/>
          <w:u w:val="single"/>
        </w:rPr>
        <w:t>Sesión de Liquidación al Vencimiento de las Operaciones Repo</w:t>
      </w:r>
      <w:r w:rsidRPr="00917F15">
        <w:rPr>
          <w:rFonts w:ascii="Arial Narrow" w:eastAsia="Calibri" w:hAnsi="Arial Narrow"/>
        </w:rPr>
        <w:t>: de 8:00 a.m. a 6:00 p.m. La Liquidación al Vencimiento de las Operaciones Repo comprende las siguientes etapas con sus correspondientes horarios así:</w:t>
      </w:r>
    </w:p>
    <w:p w14:paraId="4B85690B" w14:textId="77777777" w:rsidR="007968EC" w:rsidRPr="00917F15" w:rsidRDefault="007968EC" w:rsidP="007968EC">
      <w:pPr>
        <w:tabs>
          <w:tab w:val="left" w:pos="6804"/>
        </w:tabs>
        <w:ind w:left="708"/>
        <w:rPr>
          <w:rFonts w:ascii="Arial Narrow" w:eastAsia="Calibri" w:hAnsi="Arial Narrow"/>
        </w:rPr>
      </w:pPr>
    </w:p>
    <w:p w14:paraId="581B97DF" w14:textId="77777777" w:rsidR="007968EC" w:rsidRPr="00917F15" w:rsidRDefault="007968EC" w:rsidP="007968EC">
      <w:pPr>
        <w:tabs>
          <w:tab w:val="num" w:pos="5040"/>
          <w:tab w:val="left" w:pos="6804"/>
        </w:tabs>
        <w:ind w:left="426"/>
        <w:jc w:val="both"/>
        <w:rPr>
          <w:rFonts w:ascii="Arial Narrow" w:eastAsia="Calibri" w:hAnsi="Arial Narrow"/>
        </w:rPr>
      </w:pPr>
      <w:r w:rsidRPr="00917F15">
        <w:rPr>
          <w:rFonts w:ascii="Arial Narrow" w:eastAsia="Calibri" w:hAnsi="Arial Narrow"/>
        </w:rPr>
        <w:t>Etapa 1: Solicitud de transferencia de valores y efectivo en bruto a nivel de titular de cada Cuenta desde los Miembros a la Cámara y entrega de valores y efectivo hacia los Miembros y titulares de Cuenta con derecho a recibir desde la Cámara, se gestionará desde las 8:00 a.m. a 6:00 p.m. del día de vencimiento de los flujos de salida de la Operación Repo.</w:t>
      </w:r>
    </w:p>
    <w:p w14:paraId="359E2DCA" w14:textId="77777777" w:rsidR="007968EC" w:rsidRPr="00917F15" w:rsidRDefault="007968EC" w:rsidP="007968EC">
      <w:pPr>
        <w:tabs>
          <w:tab w:val="num" w:pos="5040"/>
          <w:tab w:val="left" w:pos="6804"/>
        </w:tabs>
        <w:ind w:left="426"/>
        <w:jc w:val="both"/>
        <w:rPr>
          <w:rFonts w:ascii="Arial Narrow" w:eastAsia="Calibri" w:hAnsi="Arial Narrow"/>
        </w:rPr>
      </w:pPr>
    </w:p>
    <w:p w14:paraId="104F67D1" w14:textId="77777777" w:rsidR="007968EC" w:rsidRPr="00917F15" w:rsidRDefault="007968EC" w:rsidP="007968EC">
      <w:pPr>
        <w:tabs>
          <w:tab w:val="num" w:pos="5040"/>
          <w:tab w:val="left" w:pos="6804"/>
        </w:tabs>
        <w:ind w:left="426"/>
        <w:jc w:val="both"/>
        <w:rPr>
          <w:rFonts w:ascii="Arial Narrow" w:eastAsia="Calibri" w:hAnsi="Arial Narrow"/>
        </w:rPr>
      </w:pPr>
      <w:r w:rsidRPr="00917F15">
        <w:rPr>
          <w:rFonts w:ascii="Arial Narrow" w:eastAsia="Calibri" w:hAnsi="Arial Narrow"/>
        </w:rPr>
        <w:t>La solicitud de transferencia de valores y efectivo en bruto a nivel de titular de cada Cuenta desde los Miembros a la Cámara y entrega de valores y efectivo hacia los Miembros y titulares de Cuenta con derecho a recibir desde la Cámara, se gestionará desde las 10:00 a.m. a 6:00 p.m. del día de vencimiento de los flujos de regreso de la Operación Repo.</w:t>
      </w:r>
    </w:p>
    <w:p w14:paraId="514E70B3" w14:textId="77777777" w:rsidR="007968EC" w:rsidRPr="00917F15" w:rsidRDefault="007968EC" w:rsidP="007968EC">
      <w:pPr>
        <w:tabs>
          <w:tab w:val="left" w:pos="6804"/>
        </w:tabs>
        <w:jc w:val="both"/>
        <w:rPr>
          <w:rFonts w:ascii="Arial Narrow" w:eastAsia="Calibri" w:hAnsi="Arial Narrow"/>
        </w:rPr>
      </w:pPr>
    </w:p>
    <w:p w14:paraId="49467092" w14:textId="77777777" w:rsidR="007968EC" w:rsidRPr="00917F15" w:rsidRDefault="007968EC" w:rsidP="007968EC">
      <w:pPr>
        <w:tabs>
          <w:tab w:val="left" w:pos="6804"/>
        </w:tabs>
        <w:ind w:left="426"/>
        <w:jc w:val="both"/>
        <w:rPr>
          <w:rFonts w:ascii="Arial Narrow" w:eastAsia="Calibri" w:hAnsi="Arial Narrow"/>
        </w:rPr>
      </w:pPr>
      <w:r w:rsidRPr="00917F15">
        <w:rPr>
          <w:rFonts w:ascii="Arial Narrow" w:eastAsia="Calibri" w:hAnsi="Arial Narrow"/>
        </w:rPr>
        <w:t>Etapa 2: Gestión del proceso operativo de retardo en la obligación de entrega total de los valores y efectivo de los Miembros obligados a entregar hacia la Cámara, de acuerdo con el proceso mencionado en la Etapa 1.</w:t>
      </w:r>
    </w:p>
    <w:p w14:paraId="2E59804F" w14:textId="77777777" w:rsidR="007968EC" w:rsidRPr="00917F15" w:rsidRDefault="007968EC" w:rsidP="007968EC">
      <w:pPr>
        <w:tabs>
          <w:tab w:val="left" w:pos="6804"/>
        </w:tabs>
        <w:ind w:left="426"/>
        <w:jc w:val="both"/>
        <w:rPr>
          <w:rFonts w:ascii="Arial Narrow" w:eastAsia="Calibri" w:hAnsi="Arial Narrow"/>
        </w:rPr>
      </w:pPr>
    </w:p>
    <w:p w14:paraId="3A9C266C" w14:textId="77777777" w:rsidR="007968EC" w:rsidRPr="00917F15" w:rsidRDefault="007968EC" w:rsidP="007968EC">
      <w:pPr>
        <w:tabs>
          <w:tab w:val="left" w:pos="6804"/>
        </w:tabs>
        <w:ind w:left="426" w:firstLine="1"/>
        <w:jc w:val="both"/>
        <w:rPr>
          <w:rFonts w:ascii="Arial Narrow" w:eastAsia="Calibri" w:hAnsi="Arial Narrow"/>
        </w:rPr>
      </w:pPr>
      <w:r w:rsidRPr="00917F15">
        <w:rPr>
          <w:rFonts w:ascii="Arial Narrow" w:eastAsia="Calibri" w:hAnsi="Arial Narrow"/>
        </w:rPr>
        <w:t>Si en la fecha de Liquidación al Vencimiento del flujo de salida de la Operación Repo, los Miembros no han entregado los valores y/o el efectivo, se iniciará el proceso operativo de retardo desde las 6:00 p.m. hasta las 8:00 p.m. de la misma Sesión. Después de las 8:00 p.m. de la fecha de Liquidación al Vencimiento del flujo de salida de la Operación Repo se procede de acuerdo con lo establecido en el Articulo 4.8.1.1., numeral 8 de la presente Circular.</w:t>
      </w:r>
    </w:p>
    <w:p w14:paraId="137AE144" w14:textId="77777777" w:rsidR="007968EC" w:rsidRPr="00917F15" w:rsidRDefault="007968EC" w:rsidP="007968EC">
      <w:pPr>
        <w:tabs>
          <w:tab w:val="left" w:pos="6804"/>
        </w:tabs>
        <w:ind w:left="426"/>
        <w:jc w:val="both"/>
        <w:rPr>
          <w:rFonts w:ascii="Arial Narrow" w:eastAsia="Calibri" w:hAnsi="Arial Narrow"/>
        </w:rPr>
      </w:pPr>
    </w:p>
    <w:p w14:paraId="6C20B3FC" w14:textId="77777777" w:rsidR="007968EC" w:rsidRDefault="007968EC" w:rsidP="007968EC">
      <w:pPr>
        <w:ind w:left="426"/>
        <w:jc w:val="both"/>
        <w:rPr>
          <w:rFonts w:ascii="Arial Narrow" w:eastAsia="Calibri" w:hAnsi="Arial Narrow"/>
        </w:rPr>
      </w:pPr>
      <w:r w:rsidRPr="00917F15">
        <w:rPr>
          <w:rFonts w:ascii="Arial Narrow" w:eastAsia="Calibri" w:hAnsi="Arial Narrow"/>
        </w:rPr>
        <w:t>Si en la fecha de Liquidación al Vencimiento del flujo de regreso de la Operación Repo, los Miembros no han entregado el efectivo, se iniciará el proceso operativo de retardo desde las 6:00 p.m. hasta las 10:00 a.m. del día hábil siguiente. Después de las 10:00 a.m. de la fecha de Liquidación al Vencimiento del flujo de regreso de la Operación Repo, se procede con lo establecido en el Articulo 4.8.1.1., numeral 8 de la presente Circular</w:t>
      </w:r>
      <w:r>
        <w:rPr>
          <w:rFonts w:ascii="Arial Narrow" w:eastAsia="Calibri" w:hAnsi="Arial Narrow"/>
        </w:rPr>
        <w:t>.</w:t>
      </w:r>
      <w:bookmarkStart w:id="6254" w:name="_Toc490066762"/>
    </w:p>
    <w:p w14:paraId="3DA5B2EC" w14:textId="77777777" w:rsidR="007968EC" w:rsidRDefault="007968EC" w:rsidP="007968EC">
      <w:pPr>
        <w:jc w:val="both"/>
        <w:rPr>
          <w:rFonts w:ascii="Arial Narrow" w:eastAsia="Calibri" w:hAnsi="Arial Narrow"/>
        </w:rPr>
      </w:pPr>
    </w:p>
    <w:p w14:paraId="18CDE2A0" w14:textId="77777777" w:rsidR="007968EC" w:rsidRPr="002C7F5C" w:rsidRDefault="007968EC" w:rsidP="007968EC">
      <w:pPr>
        <w:pStyle w:val="ARTICULO0"/>
      </w:pPr>
      <w:bookmarkStart w:id="6255" w:name="_Toc31716446"/>
      <w:r w:rsidRPr="002C7F5C">
        <w:t>Artículo 4.7.1.2. Horarios adicionales para el Segmento de Renta Variable.</w:t>
      </w:r>
      <w:bookmarkEnd w:id="6255"/>
    </w:p>
    <w:p w14:paraId="2D7BD444" w14:textId="77777777" w:rsidR="007968EC" w:rsidRDefault="007968EC" w:rsidP="007968EC">
      <w:pPr>
        <w:autoSpaceDE w:val="0"/>
        <w:autoSpaceDN w:val="0"/>
        <w:adjustRightInd w:val="0"/>
        <w:rPr>
          <w:rFonts w:ascii="Arial Narrow" w:hAnsi="Arial Narrow" w:cs="Arial"/>
          <w:b/>
          <w:bCs/>
          <w:color w:val="000000"/>
        </w:rPr>
      </w:pPr>
    </w:p>
    <w:p w14:paraId="028AFAC4" w14:textId="77777777" w:rsidR="007968EC" w:rsidRPr="006F2B86" w:rsidRDefault="007968EC" w:rsidP="007968EC">
      <w:pPr>
        <w:pStyle w:val="ANTECEDENTES"/>
      </w:pPr>
      <w:r w:rsidRPr="006F2B86">
        <w:t xml:space="preserve">(Este artículo fue adicionado mediante Circular 8 del 18 de mayo de 2018, publicada en el Boletín Normativo </w:t>
      </w:r>
      <w:r>
        <w:t xml:space="preserve">No. 011 del 18 de mayo de 2018, y modificado mediante Circular 10 del 6 de Julio de 2018, publicada en el Boletín </w:t>
      </w:r>
      <w:proofErr w:type="spellStart"/>
      <w:r>
        <w:t>Normtivo</w:t>
      </w:r>
      <w:proofErr w:type="spellEnd"/>
      <w:r>
        <w:t xml:space="preserve"> No. 013 del 6 de julio de 2018. Rige a partir del 9 de juli</w:t>
      </w:r>
      <w:r w:rsidRPr="006F2B86">
        <w:t>o de 2018.)</w:t>
      </w:r>
    </w:p>
    <w:p w14:paraId="28C2DE50" w14:textId="77777777" w:rsidR="007968EC" w:rsidRPr="00642F71" w:rsidRDefault="007968EC" w:rsidP="007968EC">
      <w:pPr>
        <w:autoSpaceDE w:val="0"/>
        <w:autoSpaceDN w:val="0"/>
        <w:adjustRightInd w:val="0"/>
        <w:rPr>
          <w:rFonts w:ascii="Arial Narrow" w:hAnsi="Arial Narrow" w:cs="Arial"/>
          <w:b/>
          <w:bCs/>
          <w:color w:val="000000"/>
        </w:rPr>
      </w:pPr>
    </w:p>
    <w:p w14:paraId="56D763E0" w14:textId="77777777" w:rsidR="007968EC" w:rsidRPr="00C61EFF" w:rsidRDefault="007968EC" w:rsidP="007968EC">
      <w:pPr>
        <w:jc w:val="both"/>
        <w:rPr>
          <w:rFonts w:ascii="Arial Narrow" w:hAnsi="Arial Narrow"/>
          <w:bCs/>
          <w:iCs/>
          <w:lang w:val="es-ES"/>
        </w:rPr>
      </w:pPr>
      <w:r w:rsidRPr="00C61EFF">
        <w:rPr>
          <w:rFonts w:ascii="Arial Narrow" w:hAnsi="Arial Narrow"/>
          <w:bCs/>
          <w:iCs/>
          <w:lang w:val="es-ES"/>
        </w:rPr>
        <w:t>De conformidad</w:t>
      </w:r>
      <w:r w:rsidRPr="00C61EFF">
        <w:rPr>
          <w:rFonts w:ascii="Arial Narrow" w:hAnsi="Arial Narrow"/>
          <w:b/>
          <w:bCs/>
          <w:iCs/>
          <w:lang w:val="es-ES"/>
        </w:rPr>
        <w:t xml:space="preserve"> </w:t>
      </w:r>
      <w:r w:rsidRPr="00C61EFF">
        <w:rPr>
          <w:rFonts w:ascii="Arial Narrow" w:hAnsi="Arial Narrow"/>
          <w:bCs/>
          <w:iCs/>
          <w:lang w:val="es-ES"/>
        </w:rPr>
        <w:t xml:space="preserve">el Artículo 1.8.1.4. de la presente Circular, Los Miembros Liquidadores podrán solicitar a la Cámara el establecimiento de horarios de funcionamiento adicionales para el Segmento de Renta Variable. La solicitud de horarios de funcionamiento adicionales por parte de los Miembros Liquidadores podrá </w:t>
      </w:r>
      <w:r w:rsidRPr="00C61EFF">
        <w:rPr>
          <w:rFonts w:ascii="Arial Narrow" w:hAnsi="Arial Narrow" w:cs="Arial"/>
          <w:lang w:val="es-ES" w:eastAsia="es-ES"/>
        </w:rPr>
        <w:t>realizarse una única vez durante un mismo día y por un periodo exclusivo de sesenta (60) minutos, y solo aplicará para la Sesión de Liquidación al Vencimiento de las Operaciones Repo.</w:t>
      </w:r>
      <w:r w:rsidRPr="00C61EFF">
        <w:rPr>
          <w:rFonts w:ascii="Arial Narrow" w:hAnsi="Arial Narrow"/>
          <w:bCs/>
          <w:iCs/>
          <w:lang w:val="es-ES"/>
        </w:rPr>
        <w:t xml:space="preserve"> </w:t>
      </w:r>
    </w:p>
    <w:p w14:paraId="201F7DCA" w14:textId="77777777" w:rsidR="007968EC" w:rsidRPr="00C61EFF" w:rsidRDefault="007968EC" w:rsidP="007968EC">
      <w:pPr>
        <w:jc w:val="both"/>
        <w:rPr>
          <w:rFonts w:ascii="Arial Narrow" w:hAnsi="Arial Narrow" w:cs="Arial"/>
          <w:lang w:val="es-ES" w:eastAsia="es-ES"/>
        </w:rPr>
      </w:pPr>
    </w:p>
    <w:p w14:paraId="73297A0F" w14:textId="77777777" w:rsidR="007968EC" w:rsidRPr="00C61EFF" w:rsidRDefault="007968EC" w:rsidP="007968EC">
      <w:pPr>
        <w:jc w:val="both"/>
        <w:rPr>
          <w:rFonts w:ascii="Arial Narrow" w:hAnsi="Arial Narrow"/>
          <w:bCs/>
          <w:iCs/>
          <w:lang w:val="es-ES"/>
        </w:rPr>
      </w:pPr>
      <w:r w:rsidRPr="00C61EFF">
        <w:rPr>
          <w:rFonts w:ascii="Arial Narrow" w:hAnsi="Arial Narrow" w:cs="Arial"/>
          <w:lang w:val="es-ES" w:eastAsia="es-ES"/>
        </w:rPr>
        <w:t xml:space="preserve">Para el efecto, el Miembro Liquidador deberá realizar la solicitud </w:t>
      </w:r>
      <w:r w:rsidRPr="00C61EFF">
        <w:rPr>
          <w:rFonts w:ascii="Arial Narrow" w:hAnsi="Arial Narrow"/>
          <w:bCs/>
          <w:iCs/>
          <w:lang w:val="es-ES"/>
        </w:rPr>
        <w:t>a través de correo electrónico suscrito por un Representante Legal</w:t>
      </w:r>
      <w:r>
        <w:rPr>
          <w:rFonts w:ascii="Arial Narrow" w:hAnsi="Arial Narrow"/>
          <w:bCs/>
          <w:iCs/>
          <w:lang w:val="es-ES"/>
        </w:rPr>
        <w:t xml:space="preserve">, por el usuario </w:t>
      </w:r>
      <w:r w:rsidRPr="00C61EFF">
        <w:rPr>
          <w:rFonts w:ascii="Arial Narrow" w:hAnsi="Arial Narrow"/>
          <w:bCs/>
          <w:iCs/>
          <w:lang w:val="es-ES"/>
        </w:rPr>
        <w:t xml:space="preserve"> Administrador </w:t>
      </w:r>
      <w:r>
        <w:rPr>
          <w:rFonts w:ascii="Arial Narrow" w:hAnsi="Arial Narrow"/>
          <w:bCs/>
          <w:iCs/>
          <w:lang w:val="es-ES"/>
        </w:rPr>
        <w:t xml:space="preserve">o una firma autorizada </w:t>
      </w:r>
      <w:r w:rsidRPr="00C61EFF">
        <w:rPr>
          <w:rFonts w:ascii="Arial Narrow" w:hAnsi="Arial Narrow"/>
          <w:bCs/>
          <w:iCs/>
          <w:lang w:val="es-ES"/>
        </w:rPr>
        <w:t xml:space="preserve">del Miembro solicitante, a la dirección </w:t>
      </w:r>
      <w:hyperlink r:id="rId23" w:history="1">
        <w:r w:rsidRPr="00C61EFF">
          <w:rPr>
            <w:rStyle w:val="Hipervnculo"/>
            <w:rFonts w:ascii="Arial Narrow" w:hAnsi="Arial Narrow"/>
            <w:lang w:val="es-ES"/>
          </w:rPr>
          <w:t>operacionescrcc@camaraderiesgo.com.co</w:t>
        </w:r>
      </w:hyperlink>
      <w:r w:rsidRPr="00C61EFF">
        <w:rPr>
          <w:rFonts w:ascii="Arial Narrow" w:hAnsi="Arial Narrow"/>
          <w:bCs/>
          <w:iCs/>
          <w:lang w:val="es-ES"/>
        </w:rPr>
        <w:t>,</w:t>
      </w:r>
      <w:r w:rsidRPr="00C61EFF">
        <w:rPr>
          <w:rFonts w:ascii="Arial Narrow" w:hAnsi="Arial Narrow" w:cs="Arial"/>
          <w:lang w:val="es-ES" w:eastAsia="es-ES"/>
        </w:rPr>
        <w:t xml:space="preserve"> antes de la finalización de la Sesión de Liquidación al Vencimiento de las Operaciones Repo según lo establecido en el artículo 4.7.1.1., indicando</w:t>
      </w:r>
      <w:r w:rsidRPr="00C61EFF">
        <w:rPr>
          <w:rFonts w:ascii="Arial Narrow" w:hAnsi="Arial Narrow"/>
          <w:bCs/>
          <w:iCs/>
          <w:lang w:val="es-ES"/>
        </w:rPr>
        <w:t xml:space="preserve"> las razones que la motivan. Una vez recibida dicha solicitud, la Cámara notificará al Miembro Liquidador su aceptación o rechazo por medio de un correo electrónico desde la cuenta </w:t>
      </w:r>
      <w:hyperlink r:id="rId24" w:history="1">
        <w:r w:rsidRPr="00C61EFF">
          <w:rPr>
            <w:rStyle w:val="Hipervnculo"/>
            <w:rFonts w:ascii="Arial Narrow" w:hAnsi="Arial Narrow"/>
            <w:lang w:val="es-ES"/>
          </w:rPr>
          <w:t>operacionescrcc@camaraderiesgo.com.co</w:t>
        </w:r>
      </w:hyperlink>
      <w:r w:rsidRPr="00C61EFF">
        <w:rPr>
          <w:rFonts w:ascii="Arial Narrow" w:hAnsi="Arial Narrow"/>
          <w:bCs/>
          <w:iCs/>
          <w:lang w:val="es-ES"/>
        </w:rPr>
        <w:t>.</w:t>
      </w:r>
    </w:p>
    <w:p w14:paraId="193C7CD3" w14:textId="77777777" w:rsidR="007968EC" w:rsidRPr="00C61EFF" w:rsidRDefault="007968EC" w:rsidP="007968EC">
      <w:pPr>
        <w:jc w:val="both"/>
        <w:rPr>
          <w:rFonts w:ascii="Arial Narrow" w:hAnsi="Arial Narrow"/>
          <w:bCs/>
          <w:iCs/>
          <w:lang w:val="es-ES"/>
        </w:rPr>
      </w:pPr>
    </w:p>
    <w:p w14:paraId="408D695E" w14:textId="77777777" w:rsidR="007968EC" w:rsidRPr="00C61EFF" w:rsidRDefault="007968EC" w:rsidP="007968EC">
      <w:pPr>
        <w:jc w:val="both"/>
        <w:rPr>
          <w:rFonts w:ascii="Arial Narrow" w:hAnsi="Arial Narrow"/>
          <w:bCs/>
          <w:iCs/>
          <w:lang w:val="es-ES"/>
        </w:rPr>
      </w:pPr>
      <w:r w:rsidRPr="00C61EFF">
        <w:rPr>
          <w:rFonts w:ascii="Arial Narrow" w:hAnsi="Arial Narrow"/>
          <w:bCs/>
          <w:iCs/>
          <w:lang w:val="es-ES"/>
        </w:rPr>
        <w:t>En el evento en que la solicitud de horario de funcionamiento adicional implique a su vez la extensión del horario de un Sistema de Negociación y/o Registro, Mecanismos de Contratación, depósitos u otras infraestructuras del mercado, el trámite y los costos asociados a dichas extensiones estará a cargo del Miembro Liquidador solicitante. La aprobación de extensión del horario por parte del Sistema de Negociación y/o Registro, Mecanismo de Contratación, depósito u otras infraestructuras del mercado, en caso de ser necesaria, deberá ser informada a la Cámara y será requisito necesario para la aprobación de la solicitud de horario de funcionamiento adicional.</w:t>
      </w:r>
    </w:p>
    <w:p w14:paraId="0C101644" w14:textId="77777777" w:rsidR="007968EC" w:rsidRPr="00C61EFF" w:rsidRDefault="007968EC" w:rsidP="007968EC">
      <w:pPr>
        <w:jc w:val="both"/>
        <w:rPr>
          <w:rFonts w:ascii="Arial Narrow" w:hAnsi="Arial Narrow"/>
          <w:bCs/>
          <w:iCs/>
          <w:lang w:val="es-ES"/>
        </w:rPr>
      </w:pPr>
    </w:p>
    <w:p w14:paraId="6032DD62" w14:textId="77777777" w:rsidR="007968EC" w:rsidRDefault="007968EC" w:rsidP="007968EC">
      <w:pPr>
        <w:jc w:val="both"/>
        <w:rPr>
          <w:rFonts w:ascii="Arial Narrow" w:eastAsia="Calibri" w:hAnsi="Arial Narrow"/>
        </w:rPr>
      </w:pPr>
      <w:r w:rsidRPr="00C61EFF">
        <w:rPr>
          <w:rFonts w:ascii="Arial Narrow" w:hAnsi="Arial Narrow"/>
          <w:bCs/>
          <w:iCs/>
          <w:lang w:val="es-ES"/>
        </w:rPr>
        <w:t>En caso de aceptación de una solicitud de horario de funcionamiento adicional por parte de la Cámara el proceso operativo de retardo iniciará finalizada la Sesión de Liquidación al Vencimiento de las Operaciones Repo.</w:t>
      </w:r>
    </w:p>
    <w:p w14:paraId="1A63D8AA" w14:textId="77777777" w:rsidR="007968EC" w:rsidRDefault="007968EC" w:rsidP="007968EC">
      <w:pPr>
        <w:jc w:val="both"/>
        <w:rPr>
          <w:rFonts w:ascii="Arial Narrow" w:eastAsia="Calibri" w:hAnsi="Arial Narrow"/>
        </w:rPr>
      </w:pPr>
    </w:p>
    <w:p w14:paraId="037B9FFE" w14:textId="77777777" w:rsidR="007968EC" w:rsidRPr="006F2B86" w:rsidRDefault="007968EC" w:rsidP="007968EC">
      <w:pPr>
        <w:jc w:val="both"/>
        <w:rPr>
          <w:rFonts w:ascii="Arial Narrow" w:eastAsia="Calibri" w:hAnsi="Arial Narrow"/>
        </w:rPr>
      </w:pPr>
    </w:p>
    <w:p w14:paraId="38B58986" w14:textId="77777777" w:rsidR="007968EC" w:rsidRPr="002C0D19" w:rsidRDefault="007968EC" w:rsidP="007968EC">
      <w:pPr>
        <w:pStyle w:val="TTULO"/>
        <w:rPr>
          <w:rFonts w:eastAsia="Calibri"/>
        </w:rPr>
      </w:pPr>
      <w:bookmarkStart w:id="6256" w:name="_Toc31716447"/>
      <w:r w:rsidRPr="002C0D19">
        <w:rPr>
          <w:rFonts w:eastAsia="Calibri"/>
        </w:rPr>
        <w:t>TÍTULO OCTAVO</w:t>
      </w:r>
      <w:bookmarkEnd w:id="6254"/>
      <w:bookmarkEnd w:id="6256"/>
    </w:p>
    <w:p w14:paraId="2769A0A3" w14:textId="77777777" w:rsidR="007968EC" w:rsidRPr="002C0D19" w:rsidRDefault="007968EC" w:rsidP="007968EC">
      <w:pPr>
        <w:pStyle w:val="TTULO"/>
        <w:rPr>
          <w:rFonts w:eastAsia="Calibri"/>
        </w:rPr>
      </w:pPr>
    </w:p>
    <w:p w14:paraId="1A446795" w14:textId="77777777" w:rsidR="007968EC" w:rsidRPr="002C0D19" w:rsidRDefault="007968EC" w:rsidP="007968EC">
      <w:pPr>
        <w:pStyle w:val="TTULO"/>
        <w:rPr>
          <w:rFonts w:eastAsia="Calibri"/>
        </w:rPr>
      </w:pPr>
      <w:bookmarkStart w:id="6257" w:name="_Toc490066763"/>
      <w:bookmarkStart w:id="6258" w:name="_Toc31716448"/>
      <w:r w:rsidRPr="002C0D19">
        <w:rPr>
          <w:rFonts w:eastAsia="Calibri"/>
        </w:rPr>
        <w:t>ACTIVOS</w:t>
      </w:r>
      <w:bookmarkEnd w:id="6257"/>
      <w:bookmarkEnd w:id="6258"/>
    </w:p>
    <w:p w14:paraId="4D4674DA" w14:textId="77777777" w:rsidR="007968EC" w:rsidRPr="002C0D19" w:rsidRDefault="007968EC" w:rsidP="007968EC">
      <w:pPr>
        <w:pStyle w:val="TTULO"/>
        <w:rPr>
          <w:rFonts w:eastAsia="Calibri"/>
        </w:rPr>
      </w:pPr>
    </w:p>
    <w:p w14:paraId="22FDB21A" w14:textId="77777777" w:rsidR="007968EC" w:rsidRPr="002C0D19" w:rsidRDefault="007968EC" w:rsidP="007968EC">
      <w:pPr>
        <w:pStyle w:val="TTULO"/>
        <w:rPr>
          <w:rFonts w:eastAsia="Calibri"/>
        </w:rPr>
      </w:pPr>
      <w:bookmarkStart w:id="6259" w:name="_Toc490066764"/>
      <w:bookmarkStart w:id="6260" w:name="_Toc31716449"/>
      <w:r w:rsidRPr="002C0D19">
        <w:rPr>
          <w:rFonts w:eastAsia="Calibri"/>
        </w:rPr>
        <w:t>CAPÍTULO PRIMERO</w:t>
      </w:r>
      <w:bookmarkEnd w:id="6259"/>
      <w:bookmarkEnd w:id="6260"/>
    </w:p>
    <w:p w14:paraId="79A6604A" w14:textId="77777777" w:rsidR="007968EC" w:rsidRPr="002C0D19" w:rsidRDefault="007968EC" w:rsidP="007968EC">
      <w:pPr>
        <w:pStyle w:val="TTULO"/>
        <w:rPr>
          <w:rFonts w:eastAsia="Calibri"/>
        </w:rPr>
      </w:pPr>
    </w:p>
    <w:p w14:paraId="7EC8F6B5" w14:textId="77777777" w:rsidR="007968EC" w:rsidRPr="002C0D19" w:rsidRDefault="007968EC" w:rsidP="007968EC">
      <w:pPr>
        <w:pStyle w:val="TTULO"/>
        <w:rPr>
          <w:rFonts w:eastAsia="Calibri"/>
        </w:rPr>
      </w:pPr>
      <w:bookmarkStart w:id="6261" w:name="_Toc490066765"/>
      <w:bookmarkStart w:id="6262" w:name="_Toc31716450"/>
      <w:r w:rsidRPr="002C0D19">
        <w:rPr>
          <w:rFonts w:eastAsia="Calibri"/>
        </w:rPr>
        <w:t>ESPECIFICACIÓN DE LOS ACTIVOS</w:t>
      </w:r>
      <w:bookmarkEnd w:id="6261"/>
      <w:bookmarkEnd w:id="6262"/>
    </w:p>
    <w:p w14:paraId="7EAD7975" w14:textId="77777777" w:rsidR="007968EC" w:rsidRPr="002C0D19" w:rsidRDefault="007968EC" w:rsidP="007968EC">
      <w:pPr>
        <w:outlineLvl w:val="1"/>
        <w:rPr>
          <w:rFonts w:ascii="Arial Narrow" w:eastAsia="Calibri" w:hAnsi="Arial Narrow"/>
          <w:bCs/>
        </w:rPr>
      </w:pPr>
    </w:p>
    <w:p w14:paraId="60197982" w14:textId="77777777" w:rsidR="007968EC" w:rsidRPr="002C0D19" w:rsidRDefault="007968EC" w:rsidP="007968EC">
      <w:pPr>
        <w:pStyle w:val="ARTICULO0"/>
      </w:pPr>
      <w:bookmarkStart w:id="6263" w:name="_Toc490066766"/>
      <w:bookmarkStart w:id="6264" w:name="_Toc31716451"/>
      <w:r>
        <w:t xml:space="preserve">Artículo 4.8.1.1. </w:t>
      </w:r>
      <w:r w:rsidRPr="002C0D19">
        <w:t xml:space="preserve">Operaciones Repo sobre </w:t>
      </w:r>
      <w:r>
        <w:t>Valores de Renta Variable</w:t>
      </w:r>
      <w:r w:rsidRPr="002C0D19">
        <w:t xml:space="preserve"> elegibles.</w:t>
      </w:r>
      <w:bookmarkEnd w:id="6263"/>
      <w:bookmarkEnd w:id="6264"/>
    </w:p>
    <w:p w14:paraId="4C5761BE" w14:textId="77777777" w:rsidR="007968EC" w:rsidRDefault="007968EC" w:rsidP="007968EC">
      <w:pPr>
        <w:jc w:val="both"/>
        <w:rPr>
          <w:rFonts w:ascii="Arial Narrow" w:eastAsia="Calibri" w:hAnsi="Arial Narrow"/>
          <w:b/>
        </w:rPr>
      </w:pPr>
    </w:p>
    <w:p w14:paraId="4F4D96FB" w14:textId="77777777" w:rsidR="007968EC" w:rsidRPr="009C4E93" w:rsidRDefault="007968EC" w:rsidP="007968EC">
      <w:pPr>
        <w:pStyle w:val="ANTECEDENTES"/>
      </w:pPr>
      <w:r>
        <w:lastRenderedPageBreak/>
        <w:t>(Este artículo fue modificado mediante Circular 22 del 3 de noviembre de 2017, publicada mediante Boletín Normativo No. 024 del 3 de noviembre de 2017, y mediante Circular 9 del 14 de junio de 2018, publicada mediante Boletín Normativo No. 012 del 14 de junio de 2018.</w:t>
      </w:r>
      <w:r w:rsidRPr="002C0D19">
        <w:t xml:space="preserve"> Rige a partir del </w:t>
      </w:r>
      <w:r>
        <w:t>15 de junio de 2018).</w:t>
      </w:r>
    </w:p>
    <w:p w14:paraId="6EA5F6AB" w14:textId="77777777" w:rsidR="007968EC" w:rsidRDefault="007968EC" w:rsidP="007968EC">
      <w:pPr>
        <w:jc w:val="both"/>
        <w:rPr>
          <w:rFonts w:ascii="Arial Narrow" w:eastAsia="Calibri" w:hAnsi="Arial Narrow"/>
          <w:b/>
        </w:rPr>
      </w:pPr>
    </w:p>
    <w:p w14:paraId="6FF4F601" w14:textId="77777777" w:rsidR="007968EC" w:rsidRPr="00B83B60" w:rsidRDefault="007968EC" w:rsidP="007968EC">
      <w:pPr>
        <w:jc w:val="both"/>
        <w:rPr>
          <w:rFonts w:ascii="Arial Narrow" w:eastAsia="Calibri" w:hAnsi="Arial Narrow"/>
        </w:rPr>
      </w:pPr>
      <w:r w:rsidRPr="00B83B60">
        <w:rPr>
          <w:rFonts w:ascii="Arial Narrow" w:eastAsia="Calibri" w:hAnsi="Arial Narrow"/>
        </w:rPr>
        <w:t xml:space="preserve">La Cámara se interpondrá como contraparte y realizará la Compensación y Liquidación de las Operaciones Repo sobre </w:t>
      </w:r>
      <w:r>
        <w:rPr>
          <w:rFonts w:ascii="Arial Narrow" w:hAnsi="Arial Narrow"/>
          <w:lang w:eastAsia="es-ES"/>
        </w:rPr>
        <w:t>Valores de Renta Variable</w:t>
      </w:r>
      <w:r w:rsidRPr="00B83B60">
        <w:rPr>
          <w:rFonts w:ascii="Arial Narrow" w:eastAsia="Calibri" w:hAnsi="Arial Narrow"/>
        </w:rPr>
        <w:t xml:space="preserve"> que cumplan las siguientes condiciones:</w:t>
      </w:r>
    </w:p>
    <w:p w14:paraId="238E762E" w14:textId="77777777" w:rsidR="007968EC" w:rsidRPr="00B83B60" w:rsidRDefault="007968EC" w:rsidP="007968EC">
      <w:pPr>
        <w:jc w:val="both"/>
        <w:rPr>
          <w:rFonts w:ascii="Arial Narrow" w:eastAsia="Calibri" w:hAnsi="Arial Narrow"/>
        </w:rPr>
      </w:pPr>
    </w:p>
    <w:p w14:paraId="2B589941" w14:textId="77777777" w:rsidR="007968EC" w:rsidRPr="00B83B60" w:rsidRDefault="007968EC" w:rsidP="00DA7472">
      <w:pPr>
        <w:numPr>
          <w:ilvl w:val="0"/>
          <w:numId w:val="270"/>
        </w:numPr>
        <w:autoSpaceDE w:val="0"/>
        <w:autoSpaceDN w:val="0"/>
        <w:adjustRightInd w:val="0"/>
        <w:contextualSpacing/>
        <w:jc w:val="both"/>
        <w:rPr>
          <w:rFonts w:ascii="Arial Narrow" w:eastAsia="Calibri" w:hAnsi="Arial Narrow"/>
          <w:lang w:eastAsia="es-CO"/>
        </w:rPr>
      </w:pPr>
      <w:r w:rsidRPr="00B83B60">
        <w:rPr>
          <w:rFonts w:ascii="Arial Narrow" w:eastAsia="Calibri" w:hAnsi="Arial Narrow"/>
          <w:lang w:eastAsia="es-CO"/>
        </w:rPr>
        <w:t>Generalidades:</w:t>
      </w:r>
    </w:p>
    <w:p w14:paraId="00FC2497" w14:textId="77777777" w:rsidR="007968EC" w:rsidRPr="00B83B60" w:rsidRDefault="007968EC" w:rsidP="007968EC">
      <w:pPr>
        <w:jc w:val="both"/>
        <w:rPr>
          <w:rFonts w:ascii="Arial Narrow" w:eastAsia="Calibri" w:hAnsi="Arial Narrow"/>
        </w:rPr>
      </w:pPr>
    </w:p>
    <w:tbl>
      <w:tblPr>
        <w:tblStyle w:val="Tablaconcuadrcula111124"/>
        <w:tblW w:w="93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3964"/>
        <w:gridCol w:w="5387"/>
      </w:tblGrid>
      <w:tr w:rsidR="007968EC" w:rsidRPr="00B83B60" w14:paraId="1723E00B" w14:textId="77777777" w:rsidTr="007968EC">
        <w:trPr>
          <w:trHeight w:val="384"/>
        </w:trPr>
        <w:tc>
          <w:tcPr>
            <w:tcW w:w="3964" w:type="dxa"/>
            <w:shd w:val="clear" w:color="auto" w:fill="BFBFBF"/>
            <w:vAlign w:val="center"/>
          </w:tcPr>
          <w:p w14:paraId="64145D64" w14:textId="77777777" w:rsidR="007968EC" w:rsidRPr="00B83B60" w:rsidRDefault="007968EC" w:rsidP="007968EC">
            <w:pPr>
              <w:jc w:val="both"/>
              <w:rPr>
                <w:rFonts w:ascii="Arial Narrow" w:hAnsi="Arial Narrow"/>
                <w:b/>
              </w:rPr>
            </w:pPr>
            <w:r w:rsidRPr="00B83B60">
              <w:rPr>
                <w:rFonts w:ascii="Arial Narrow" w:hAnsi="Arial Narrow"/>
                <w:b/>
              </w:rPr>
              <w:t>Nombre del Contrato</w:t>
            </w:r>
          </w:p>
        </w:tc>
        <w:tc>
          <w:tcPr>
            <w:tcW w:w="5387" w:type="dxa"/>
            <w:vAlign w:val="center"/>
          </w:tcPr>
          <w:p w14:paraId="7C4FA96E" w14:textId="77777777" w:rsidR="007968EC" w:rsidRPr="00B83B60" w:rsidRDefault="007968EC" w:rsidP="007968EC">
            <w:pPr>
              <w:jc w:val="both"/>
              <w:rPr>
                <w:rFonts w:ascii="Arial Narrow" w:hAnsi="Arial Narrow"/>
              </w:rPr>
            </w:pPr>
            <w:r w:rsidRPr="00B83B60">
              <w:rPr>
                <w:rFonts w:ascii="Arial Narrow" w:hAnsi="Arial Narrow"/>
              </w:rPr>
              <w:t xml:space="preserve">Operaciones Repo sobre </w:t>
            </w:r>
            <w:r w:rsidRPr="00B83B60">
              <w:rPr>
                <w:rFonts w:ascii="Arial Narrow" w:hAnsi="Arial Narrow"/>
                <w:lang w:eastAsia="es-ES"/>
              </w:rPr>
              <w:t>Valores de Renta Variable negociados en la BVC S.A.</w:t>
            </w:r>
            <w:r w:rsidRPr="00B83B60">
              <w:rPr>
                <w:rFonts w:ascii="Arial Narrow" w:hAnsi="Arial Narrow"/>
              </w:rPr>
              <w:t xml:space="preserve"> </w:t>
            </w:r>
          </w:p>
        </w:tc>
      </w:tr>
      <w:tr w:rsidR="007968EC" w:rsidRPr="00B83B60" w14:paraId="2DEEBE61" w14:textId="77777777" w:rsidTr="007968EC">
        <w:trPr>
          <w:trHeight w:val="384"/>
        </w:trPr>
        <w:tc>
          <w:tcPr>
            <w:tcW w:w="3964" w:type="dxa"/>
            <w:shd w:val="clear" w:color="auto" w:fill="BFBFBF"/>
            <w:vAlign w:val="center"/>
          </w:tcPr>
          <w:p w14:paraId="5656BBDE" w14:textId="77777777" w:rsidR="007968EC" w:rsidRPr="00B83B60" w:rsidRDefault="007968EC" w:rsidP="007968EC">
            <w:pPr>
              <w:jc w:val="both"/>
              <w:rPr>
                <w:rFonts w:ascii="Arial Narrow" w:hAnsi="Arial Narrow"/>
                <w:b/>
              </w:rPr>
            </w:pPr>
            <w:r w:rsidRPr="00B83B60">
              <w:rPr>
                <w:rFonts w:ascii="Arial Narrow" w:hAnsi="Arial Narrow"/>
                <w:b/>
              </w:rPr>
              <w:t>Plazo Remanente</w:t>
            </w:r>
          </w:p>
        </w:tc>
        <w:tc>
          <w:tcPr>
            <w:tcW w:w="5387" w:type="dxa"/>
            <w:vAlign w:val="center"/>
          </w:tcPr>
          <w:p w14:paraId="5872247D" w14:textId="77777777" w:rsidR="007968EC" w:rsidRPr="00B83B60" w:rsidRDefault="007968EC" w:rsidP="007968EC">
            <w:pPr>
              <w:rPr>
                <w:rFonts w:ascii="Arial Narrow" w:hAnsi="Arial Narrow"/>
              </w:rPr>
            </w:pPr>
            <w:r w:rsidRPr="00B83B60">
              <w:rPr>
                <w:rFonts w:ascii="Arial Narrow" w:hAnsi="Arial Narrow"/>
              </w:rPr>
              <w:t xml:space="preserve">Máximo de 365 días. </w:t>
            </w:r>
          </w:p>
        </w:tc>
      </w:tr>
      <w:tr w:rsidR="007968EC" w:rsidRPr="00B83B60" w14:paraId="51E0E308" w14:textId="77777777" w:rsidTr="007968EC">
        <w:trPr>
          <w:trHeight w:val="384"/>
        </w:trPr>
        <w:tc>
          <w:tcPr>
            <w:tcW w:w="3964" w:type="dxa"/>
            <w:shd w:val="clear" w:color="auto" w:fill="BFBFBF"/>
            <w:vAlign w:val="center"/>
          </w:tcPr>
          <w:p w14:paraId="3B0A6974" w14:textId="77777777" w:rsidR="007968EC" w:rsidRPr="00B83B60" w:rsidRDefault="007968EC" w:rsidP="007968EC">
            <w:pPr>
              <w:rPr>
                <w:rFonts w:ascii="Arial Narrow" w:hAnsi="Arial Narrow"/>
                <w:b/>
              </w:rPr>
            </w:pPr>
            <w:r w:rsidRPr="00B83B60">
              <w:rPr>
                <w:rFonts w:ascii="Arial Narrow" w:hAnsi="Arial Narrow"/>
                <w:b/>
              </w:rPr>
              <w:t xml:space="preserve">Método de Liquidación </w:t>
            </w:r>
          </w:p>
        </w:tc>
        <w:tc>
          <w:tcPr>
            <w:tcW w:w="5387" w:type="dxa"/>
            <w:vAlign w:val="center"/>
          </w:tcPr>
          <w:p w14:paraId="197C554B" w14:textId="77777777" w:rsidR="007968EC" w:rsidRPr="00B83B60" w:rsidRDefault="007968EC" w:rsidP="007968EC">
            <w:pPr>
              <w:rPr>
                <w:rFonts w:ascii="Arial Narrow" w:hAnsi="Arial Narrow"/>
              </w:rPr>
            </w:pPr>
            <w:r w:rsidRPr="00B83B60">
              <w:rPr>
                <w:rFonts w:ascii="Arial Narrow" w:hAnsi="Arial Narrow"/>
              </w:rPr>
              <w:t>Liquidación por Entrega.</w:t>
            </w:r>
          </w:p>
        </w:tc>
      </w:tr>
      <w:tr w:rsidR="007968EC" w:rsidRPr="00B83B60" w14:paraId="14C13B0E" w14:textId="77777777" w:rsidTr="007968EC">
        <w:trPr>
          <w:trHeight w:val="384"/>
        </w:trPr>
        <w:tc>
          <w:tcPr>
            <w:tcW w:w="3964" w:type="dxa"/>
            <w:shd w:val="clear" w:color="auto" w:fill="BFBFBF"/>
            <w:vAlign w:val="center"/>
          </w:tcPr>
          <w:p w14:paraId="3B727A01" w14:textId="77777777" w:rsidR="007968EC" w:rsidRPr="00B83B60" w:rsidRDefault="007968EC" w:rsidP="007968EC">
            <w:pPr>
              <w:rPr>
                <w:rFonts w:ascii="Arial Narrow" w:hAnsi="Arial Narrow"/>
                <w:b/>
              </w:rPr>
            </w:pPr>
            <w:r w:rsidRPr="00B83B60">
              <w:rPr>
                <w:rFonts w:ascii="Arial Narrow" w:hAnsi="Arial Narrow"/>
                <w:b/>
              </w:rPr>
              <w:t xml:space="preserve">Tipo de Liquidación </w:t>
            </w:r>
          </w:p>
        </w:tc>
        <w:tc>
          <w:tcPr>
            <w:tcW w:w="5387" w:type="dxa"/>
            <w:vAlign w:val="center"/>
          </w:tcPr>
          <w:p w14:paraId="31BF58DF" w14:textId="77777777" w:rsidR="007968EC" w:rsidRPr="00B83B60" w:rsidRDefault="007968EC" w:rsidP="007968EC">
            <w:pPr>
              <w:rPr>
                <w:rFonts w:ascii="Arial Narrow" w:hAnsi="Arial Narrow"/>
              </w:rPr>
            </w:pPr>
            <w:r w:rsidRPr="00B83B60">
              <w:rPr>
                <w:rFonts w:ascii="Arial Narrow" w:hAnsi="Arial Narrow"/>
              </w:rPr>
              <w:t>Liquidación Únicamente al Vencimiento.</w:t>
            </w:r>
          </w:p>
        </w:tc>
      </w:tr>
      <w:tr w:rsidR="007968EC" w:rsidRPr="00B83B60" w14:paraId="460436FE" w14:textId="77777777" w:rsidTr="007968EC">
        <w:trPr>
          <w:trHeight w:val="384"/>
        </w:trPr>
        <w:tc>
          <w:tcPr>
            <w:tcW w:w="3964" w:type="dxa"/>
            <w:shd w:val="clear" w:color="auto" w:fill="BFBFBF"/>
            <w:vAlign w:val="center"/>
          </w:tcPr>
          <w:p w14:paraId="54034BF8" w14:textId="77777777" w:rsidR="007968EC" w:rsidRPr="00B83B60" w:rsidRDefault="007968EC" w:rsidP="007968EC">
            <w:pPr>
              <w:rPr>
                <w:rFonts w:ascii="Arial Narrow" w:hAnsi="Arial Narrow"/>
                <w:b/>
              </w:rPr>
            </w:pPr>
            <w:r w:rsidRPr="00B83B60">
              <w:rPr>
                <w:rFonts w:ascii="Arial Narrow" w:hAnsi="Arial Narrow"/>
                <w:b/>
              </w:rPr>
              <w:t>Fecha de Vencimiento</w:t>
            </w:r>
          </w:p>
        </w:tc>
        <w:tc>
          <w:tcPr>
            <w:tcW w:w="5387" w:type="dxa"/>
            <w:vAlign w:val="center"/>
          </w:tcPr>
          <w:p w14:paraId="1D8658AA" w14:textId="77777777" w:rsidR="007968EC" w:rsidRPr="00B83B60" w:rsidRDefault="007968EC" w:rsidP="007968EC">
            <w:pPr>
              <w:jc w:val="both"/>
              <w:rPr>
                <w:rFonts w:ascii="Arial Narrow" w:hAnsi="Arial Narrow"/>
              </w:rPr>
            </w:pPr>
            <w:r w:rsidRPr="00B83B60">
              <w:rPr>
                <w:rFonts w:ascii="Arial Narrow" w:hAnsi="Arial Narrow"/>
              </w:rPr>
              <w:t>Corresponde a las fechas de vencimiento pactadas por las partes para la operación inicial o flujo de salida y para la operación de regreso, de recompra o flujo de regreso. Dicha fecha debe corresponder a un día hábil de operación de la Cámara en Colombia.</w:t>
            </w:r>
          </w:p>
        </w:tc>
      </w:tr>
      <w:tr w:rsidR="007968EC" w:rsidRPr="00B83B60" w14:paraId="7F7315D3" w14:textId="77777777" w:rsidTr="007968EC">
        <w:trPr>
          <w:trHeight w:val="384"/>
        </w:trPr>
        <w:tc>
          <w:tcPr>
            <w:tcW w:w="3964" w:type="dxa"/>
            <w:shd w:val="clear" w:color="auto" w:fill="BFBFBF"/>
            <w:vAlign w:val="center"/>
          </w:tcPr>
          <w:p w14:paraId="2ABE81D2" w14:textId="77777777" w:rsidR="007968EC" w:rsidRPr="00B83B60" w:rsidRDefault="007968EC" w:rsidP="007968EC">
            <w:pPr>
              <w:rPr>
                <w:rFonts w:ascii="Arial Narrow" w:hAnsi="Arial Narrow"/>
                <w:b/>
              </w:rPr>
            </w:pPr>
            <w:r w:rsidRPr="00B83B60">
              <w:rPr>
                <w:rFonts w:ascii="Arial Narrow" w:hAnsi="Arial Narrow"/>
                <w:b/>
              </w:rPr>
              <w:t>Fecha de la Liquidación al Vencimiento</w:t>
            </w:r>
          </w:p>
        </w:tc>
        <w:tc>
          <w:tcPr>
            <w:tcW w:w="5387" w:type="dxa"/>
            <w:vAlign w:val="center"/>
          </w:tcPr>
          <w:p w14:paraId="69871D11" w14:textId="77777777" w:rsidR="007968EC" w:rsidRPr="00B83B60" w:rsidRDefault="007968EC" w:rsidP="007968EC">
            <w:pPr>
              <w:rPr>
                <w:rFonts w:ascii="Arial Narrow" w:hAnsi="Arial Narrow"/>
              </w:rPr>
            </w:pPr>
            <w:r w:rsidRPr="00B83B60">
              <w:rPr>
                <w:rFonts w:ascii="Arial Narrow" w:hAnsi="Arial Narrow"/>
              </w:rPr>
              <w:t>Será el mismo de la Fecha de Vencimiento.</w:t>
            </w:r>
          </w:p>
        </w:tc>
      </w:tr>
      <w:tr w:rsidR="007968EC" w:rsidRPr="00B83B60" w14:paraId="7ADD4FC8" w14:textId="77777777" w:rsidTr="007968EC">
        <w:trPr>
          <w:trHeight w:val="384"/>
        </w:trPr>
        <w:tc>
          <w:tcPr>
            <w:tcW w:w="3964" w:type="dxa"/>
            <w:shd w:val="clear" w:color="auto" w:fill="BFBFBF"/>
            <w:vAlign w:val="center"/>
          </w:tcPr>
          <w:p w14:paraId="7D193B21" w14:textId="77777777" w:rsidR="007968EC" w:rsidRPr="00B83B60" w:rsidRDefault="007968EC" w:rsidP="007968EC">
            <w:pPr>
              <w:rPr>
                <w:rFonts w:ascii="Arial Narrow" w:hAnsi="Arial Narrow"/>
                <w:b/>
              </w:rPr>
            </w:pPr>
            <w:r w:rsidRPr="00B83B60">
              <w:rPr>
                <w:rFonts w:ascii="Arial Narrow" w:hAnsi="Arial Narrow"/>
                <w:b/>
              </w:rPr>
              <w:t>Tamaño del Contrato (informativo)</w:t>
            </w:r>
          </w:p>
        </w:tc>
        <w:tc>
          <w:tcPr>
            <w:tcW w:w="5387" w:type="dxa"/>
            <w:vAlign w:val="center"/>
          </w:tcPr>
          <w:p w14:paraId="4BFE6E61" w14:textId="77777777" w:rsidR="007968EC" w:rsidRPr="00B83B60" w:rsidRDefault="007968EC" w:rsidP="007968EC">
            <w:pPr>
              <w:rPr>
                <w:rFonts w:ascii="Arial Narrow" w:hAnsi="Arial Narrow"/>
              </w:rPr>
            </w:pPr>
            <w:r w:rsidRPr="00B83B60">
              <w:rPr>
                <w:rFonts w:ascii="Arial Narrow" w:hAnsi="Arial Narrow"/>
              </w:rPr>
              <w:t>Múltiplos de una acción o de una unidad de participación de otros instrumentos de renta variable.</w:t>
            </w:r>
          </w:p>
        </w:tc>
      </w:tr>
    </w:tbl>
    <w:p w14:paraId="174AB5FA" w14:textId="77777777" w:rsidR="007968EC" w:rsidRPr="00B83B60" w:rsidRDefault="007968EC" w:rsidP="007968EC">
      <w:pPr>
        <w:jc w:val="both"/>
        <w:rPr>
          <w:rFonts w:ascii="Arial Narrow" w:eastAsia="Calibri" w:hAnsi="Arial Narrow"/>
        </w:rPr>
      </w:pPr>
    </w:p>
    <w:p w14:paraId="2833F749" w14:textId="77777777" w:rsidR="007968EC" w:rsidRPr="00B83B60" w:rsidRDefault="007968EC" w:rsidP="007968EC">
      <w:pPr>
        <w:jc w:val="both"/>
        <w:rPr>
          <w:rFonts w:ascii="Arial Narrow" w:eastAsia="Calibri" w:hAnsi="Arial Narrow"/>
        </w:rPr>
      </w:pPr>
      <w:r w:rsidRPr="00B83B60">
        <w:rPr>
          <w:rFonts w:ascii="Arial Narrow" w:hAnsi="Arial Narrow"/>
          <w:lang w:eastAsia="es-ES"/>
        </w:rPr>
        <w:t>Los Valores de Renta Variable</w:t>
      </w:r>
      <w:r w:rsidRPr="00B83B60">
        <w:rPr>
          <w:rFonts w:ascii="Arial Narrow" w:eastAsia="Calibri" w:hAnsi="Arial Narrow"/>
        </w:rPr>
        <w:t xml:space="preserve"> elegibles por la Cámara para la Compensación y Liquidación de Operaciones Repo:</w:t>
      </w:r>
    </w:p>
    <w:p w14:paraId="6CA27F96" w14:textId="77777777" w:rsidR="007968EC" w:rsidRPr="00B83B60" w:rsidRDefault="007968EC" w:rsidP="007968EC">
      <w:pPr>
        <w:jc w:val="both"/>
        <w:rPr>
          <w:rFonts w:ascii="Arial Narrow" w:eastAsia="Calibri" w:hAnsi="Arial Narrow"/>
        </w:rPr>
      </w:pPr>
    </w:p>
    <w:p w14:paraId="3105960E" w14:textId="77777777" w:rsidR="007968EC" w:rsidRPr="00B83B60" w:rsidRDefault="007968EC" w:rsidP="007968EC">
      <w:pPr>
        <w:jc w:val="both"/>
        <w:rPr>
          <w:rFonts w:ascii="Arial Narrow" w:eastAsia="Calibri" w:hAnsi="Arial Narrow"/>
        </w:rPr>
      </w:pPr>
    </w:p>
    <w:tbl>
      <w:tblPr>
        <w:tblW w:w="5380" w:type="dxa"/>
        <w:jc w:val="center"/>
        <w:tblCellMar>
          <w:left w:w="70" w:type="dxa"/>
          <w:right w:w="70" w:type="dxa"/>
        </w:tblCellMar>
        <w:tblLook w:val="04A0" w:firstRow="1" w:lastRow="0" w:firstColumn="1" w:lastColumn="0" w:noHBand="0" w:noVBand="1"/>
      </w:tblPr>
      <w:tblGrid>
        <w:gridCol w:w="5380"/>
      </w:tblGrid>
      <w:tr w:rsidR="007968EC" w:rsidRPr="00B83B60" w14:paraId="2A6C76A8" w14:textId="77777777" w:rsidTr="007968EC">
        <w:trPr>
          <w:trHeight w:val="360"/>
          <w:jc w:val="center"/>
        </w:trPr>
        <w:tc>
          <w:tcPr>
            <w:tcW w:w="5380" w:type="dxa"/>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3E5A549A" w14:textId="77777777" w:rsidR="007968EC" w:rsidRPr="00B83B60" w:rsidRDefault="007968EC" w:rsidP="007968EC">
            <w:pPr>
              <w:jc w:val="center"/>
              <w:rPr>
                <w:rFonts w:ascii="Arial Narrow" w:hAnsi="Arial Narrow"/>
                <w:b/>
                <w:color w:val="000000"/>
                <w:lang w:eastAsia="es-CO"/>
              </w:rPr>
            </w:pPr>
            <w:r w:rsidRPr="00B83B60">
              <w:rPr>
                <w:rFonts w:ascii="Arial Narrow" w:hAnsi="Arial Narrow"/>
                <w:b/>
                <w:lang w:eastAsia="es-ES"/>
              </w:rPr>
              <w:t xml:space="preserve">Valores de Renta Variable </w:t>
            </w:r>
          </w:p>
        </w:tc>
      </w:tr>
      <w:tr w:rsidR="007968EC" w:rsidRPr="00B83B60" w14:paraId="06D32B96" w14:textId="77777777" w:rsidTr="007968EC">
        <w:trPr>
          <w:trHeight w:val="345"/>
          <w:jc w:val="center"/>
        </w:trPr>
        <w:tc>
          <w:tcPr>
            <w:tcW w:w="5380" w:type="dxa"/>
            <w:tcBorders>
              <w:top w:val="nil"/>
              <w:left w:val="single" w:sz="8" w:space="0" w:color="auto"/>
              <w:bottom w:val="single" w:sz="8" w:space="0" w:color="auto"/>
              <w:right w:val="single" w:sz="8" w:space="0" w:color="auto"/>
            </w:tcBorders>
            <w:shd w:val="clear" w:color="000000" w:fill="FFFFFF"/>
            <w:noWrap/>
            <w:vAlign w:val="center"/>
            <w:hideMark/>
          </w:tcPr>
          <w:p w14:paraId="1E10D54A" w14:textId="77777777" w:rsidR="007968EC" w:rsidRPr="00B83B60" w:rsidRDefault="007968EC" w:rsidP="007968EC">
            <w:pPr>
              <w:jc w:val="center"/>
              <w:rPr>
                <w:rFonts w:ascii="Arial Narrow" w:hAnsi="Arial Narrow"/>
                <w:color w:val="000000"/>
                <w:lang w:eastAsia="es-CO"/>
              </w:rPr>
            </w:pPr>
            <w:r w:rsidRPr="00B83B60">
              <w:rPr>
                <w:rFonts w:ascii="Arial Narrow" w:hAnsi="Arial Narrow"/>
                <w:color w:val="000000"/>
                <w:lang w:eastAsia="es-CO"/>
              </w:rPr>
              <w:t>ACCIÓN PREFERENCIAL BANCOLOMBIA</w:t>
            </w:r>
          </w:p>
        </w:tc>
      </w:tr>
      <w:tr w:rsidR="007968EC" w:rsidRPr="00B83B60" w14:paraId="091BC1C9" w14:textId="77777777" w:rsidTr="007968EC">
        <w:trPr>
          <w:trHeight w:val="345"/>
          <w:jc w:val="center"/>
        </w:trPr>
        <w:tc>
          <w:tcPr>
            <w:tcW w:w="5380" w:type="dxa"/>
            <w:tcBorders>
              <w:top w:val="nil"/>
              <w:left w:val="single" w:sz="8" w:space="0" w:color="auto"/>
              <w:bottom w:val="single" w:sz="8" w:space="0" w:color="auto"/>
              <w:right w:val="single" w:sz="8" w:space="0" w:color="auto"/>
            </w:tcBorders>
            <w:shd w:val="clear" w:color="000000" w:fill="FFFFFF"/>
            <w:noWrap/>
            <w:vAlign w:val="center"/>
          </w:tcPr>
          <w:p w14:paraId="6E3BD9B4" w14:textId="77777777" w:rsidR="007968EC" w:rsidRPr="00B83B60" w:rsidRDefault="007968EC" w:rsidP="007968EC">
            <w:pPr>
              <w:jc w:val="center"/>
              <w:rPr>
                <w:rFonts w:ascii="Arial Narrow" w:hAnsi="Arial Narrow"/>
                <w:color w:val="000000"/>
                <w:lang w:eastAsia="es-CO"/>
              </w:rPr>
            </w:pPr>
            <w:r w:rsidRPr="00B83B60">
              <w:rPr>
                <w:rFonts w:ascii="Arial Narrow" w:hAnsi="Arial Narrow"/>
                <w:color w:val="000000"/>
                <w:lang w:eastAsia="es-CO"/>
              </w:rPr>
              <w:t>ACCIÓN ECOPETROL</w:t>
            </w:r>
          </w:p>
        </w:tc>
      </w:tr>
      <w:tr w:rsidR="007968EC" w:rsidRPr="00B83B60" w14:paraId="768F3EE9" w14:textId="77777777" w:rsidTr="007968EC">
        <w:trPr>
          <w:trHeight w:val="360"/>
          <w:jc w:val="center"/>
        </w:trPr>
        <w:tc>
          <w:tcPr>
            <w:tcW w:w="5380" w:type="dxa"/>
            <w:tcBorders>
              <w:top w:val="nil"/>
              <w:left w:val="single" w:sz="8" w:space="0" w:color="auto"/>
              <w:bottom w:val="single" w:sz="8" w:space="0" w:color="auto"/>
              <w:right w:val="single" w:sz="8" w:space="0" w:color="auto"/>
            </w:tcBorders>
            <w:shd w:val="clear" w:color="000000" w:fill="FFFFFF"/>
            <w:noWrap/>
            <w:vAlign w:val="center"/>
            <w:hideMark/>
          </w:tcPr>
          <w:p w14:paraId="08E5E502" w14:textId="77777777" w:rsidR="007968EC" w:rsidRPr="00B83B60" w:rsidRDefault="007968EC" w:rsidP="007968EC">
            <w:pPr>
              <w:jc w:val="center"/>
              <w:rPr>
                <w:rFonts w:ascii="Arial Narrow" w:hAnsi="Arial Narrow"/>
                <w:color w:val="000000"/>
                <w:lang w:eastAsia="es-CO"/>
              </w:rPr>
            </w:pPr>
            <w:r w:rsidRPr="00B83B60">
              <w:rPr>
                <w:rFonts w:ascii="Arial Narrow" w:hAnsi="Arial Narrow"/>
                <w:color w:val="000000"/>
                <w:lang w:eastAsia="es-CO"/>
              </w:rPr>
              <w:t>ACCIÓN ISA</w:t>
            </w:r>
          </w:p>
        </w:tc>
      </w:tr>
      <w:tr w:rsidR="007968EC" w:rsidRPr="00B83B60" w14:paraId="31B744C5" w14:textId="77777777" w:rsidTr="007968EC">
        <w:trPr>
          <w:trHeight w:val="345"/>
          <w:jc w:val="center"/>
        </w:trPr>
        <w:tc>
          <w:tcPr>
            <w:tcW w:w="5380" w:type="dxa"/>
            <w:tcBorders>
              <w:top w:val="nil"/>
              <w:left w:val="single" w:sz="8" w:space="0" w:color="auto"/>
              <w:bottom w:val="single" w:sz="8" w:space="0" w:color="auto"/>
              <w:right w:val="single" w:sz="8" w:space="0" w:color="auto"/>
            </w:tcBorders>
            <w:shd w:val="clear" w:color="000000" w:fill="FFFFFF"/>
            <w:noWrap/>
            <w:vAlign w:val="center"/>
            <w:hideMark/>
          </w:tcPr>
          <w:p w14:paraId="706D71E5" w14:textId="77777777" w:rsidR="007968EC" w:rsidRPr="00B83B60" w:rsidRDefault="007968EC" w:rsidP="007968EC">
            <w:pPr>
              <w:jc w:val="center"/>
              <w:rPr>
                <w:rFonts w:ascii="Arial Narrow" w:hAnsi="Arial Narrow"/>
                <w:color w:val="000000"/>
                <w:lang w:eastAsia="es-CO"/>
              </w:rPr>
            </w:pPr>
            <w:r w:rsidRPr="00B83B60">
              <w:rPr>
                <w:rFonts w:ascii="Arial Narrow" w:hAnsi="Arial Narrow"/>
                <w:color w:val="000000"/>
                <w:lang w:eastAsia="es-CO"/>
              </w:rPr>
              <w:t>ACCIÓN NUTRESA</w:t>
            </w:r>
          </w:p>
        </w:tc>
      </w:tr>
      <w:tr w:rsidR="007968EC" w:rsidRPr="00B83B60" w14:paraId="53CAA470" w14:textId="77777777" w:rsidTr="007968EC">
        <w:trPr>
          <w:trHeight w:val="360"/>
          <w:jc w:val="center"/>
        </w:trPr>
        <w:tc>
          <w:tcPr>
            <w:tcW w:w="5380" w:type="dxa"/>
            <w:tcBorders>
              <w:top w:val="nil"/>
              <w:left w:val="single" w:sz="8" w:space="0" w:color="auto"/>
              <w:bottom w:val="single" w:sz="8" w:space="0" w:color="auto"/>
              <w:right w:val="single" w:sz="8" w:space="0" w:color="auto"/>
            </w:tcBorders>
            <w:shd w:val="clear" w:color="000000" w:fill="FFFFFF"/>
            <w:noWrap/>
            <w:vAlign w:val="center"/>
            <w:hideMark/>
          </w:tcPr>
          <w:p w14:paraId="5ED606AB" w14:textId="77777777" w:rsidR="007968EC" w:rsidRPr="00B83B60" w:rsidRDefault="007968EC" w:rsidP="007968EC">
            <w:pPr>
              <w:jc w:val="center"/>
              <w:rPr>
                <w:rFonts w:ascii="Arial Narrow" w:hAnsi="Arial Narrow"/>
                <w:color w:val="000000"/>
                <w:lang w:eastAsia="es-CO"/>
              </w:rPr>
            </w:pPr>
            <w:r w:rsidRPr="00B83B60">
              <w:rPr>
                <w:rFonts w:ascii="Arial Narrow" w:hAnsi="Arial Narrow"/>
                <w:color w:val="000000"/>
                <w:lang w:eastAsia="es-CO"/>
              </w:rPr>
              <w:t>ACCIÓN PREFERENCIAL AVAL</w:t>
            </w:r>
          </w:p>
        </w:tc>
      </w:tr>
      <w:tr w:rsidR="007968EC" w:rsidRPr="00B83B60" w14:paraId="1D8F9A2A" w14:textId="77777777" w:rsidTr="007968EC">
        <w:trPr>
          <w:trHeight w:val="345"/>
          <w:jc w:val="center"/>
        </w:trPr>
        <w:tc>
          <w:tcPr>
            <w:tcW w:w="5380" w:type="dxa"/>
            <w:tcBorders>
              <w:top w:val="nil"/>
              <w:left w:val="single" w:sz="8" w:space="0" w:color="auto"/>
              <w:bottom w:val="single" w:sz="8" w:space="0" w:color="auto"/>
              <w:right w:val="single" w:sz="8" w:space="0" w:color="auto"/>
            </w:tcBorders>
            <w:shd w:val="clear" w:color="000000" w:fill="FFFFFF"/>
            <w:noWrap/>
            <w:vAlign w:val="center"/>
            <w:hideMark/>
          </w:tcPr>
          <w:p w14:paraId="2013401F" w14:textId="77777777" w:rsidR="007968EC" w:rsidRPr="00B83B60" w:rsidRDefault="007968EC" w:rsidP="007968EC">
            <w:pPr>
              <w:jc w:val="center"/>
              <w:rPr>
                <w:rFonts w:ascii="Arial Narrow" w:hAnsi="Arial Narrow"/>
                <w:color w:val="000000"/>
                <w:lang w:eastAsia="es-CO"/>
              </w:rPr>
            </w:pPr>
            <w:r w:rsidRPr="00B83B60">
              <w:rPr>
                <w:rFonts w:ascii="Arial Narrow" w:hAnsi="Arial Narrow"/>
                <w:color w:val="000000"/>
                <w:lang w:eastAsia="es-CO"/>
              </w:rPr>
              <w:t>ACCIÓN ÉXITO</w:t>
            </w:r>
          </w:p>
        </w:tc>
      </w:tr>
      <w:tr w:rsidR="007968EC" w:rsidRPr="00B83B60" w14:paraId="6493DE30" w14:textId="77777777" w:rsidTr="007968EC">
        <w:trPr>
          <w:trHeight w:val="360"/>
          <w:jc w:val="center"/>
        </w:trPr>
        <w:tc>
          <w:tcPr>
            <w:tcW w:w="5380" w:type="dxa"/>
            <w:tcBorders>
              <w:top w:val="nil"/>
              <w:left w:val="single" w:sz="8" w:space="0" w:color="auto"/>
              <w:bottom w:val="single" w:sz="8" w:space="0" w:color="auto"/>
              <w:right w:val="single" w:sz="8" w:space="0" w:color="auto"/>
            </w:tcBorders>
            <w:shd w:val="clear" w:color="000000" w:fill="FFFFFF"/>
            <w:noWrap/>
            <w:vAlign w:val="center"/>
            <w:hideMark/>
          </w:tcPr>
          <w:p w14:paraId="2919F9E0" w14:textId="77777777" w:rsidR="007968EC" w:rsidRPr="00B83B60" w:rsidRDefault="007968EC" w:rsidP="007968EC">
            <w:pPr>
              <w:jc w:val="center"/>
              <w:rPr>
                <w:rFonts w:ascii="Arial Narrow" w:hAnsi="Arial Narrow"/>
                <w:color w:val="000000"/>
                <w:lang w:eastAsia="es-CO"/>
              </w:rPr>
            </w:pPr>
            <w:r w:rsidRPr="00B83B60">
              <w:rPr>
                <w:rFonts w:ascii="Arial Narrow" w:hAnsi="Arial Narrow"/>
                <w:color w:val="000000"/>
                <w:lang w:eastAsia="es-CO"/>
              </w:rPr>
              <w:t>ACCIÓN GRUPO ARGOS</w:t>
            </w:r>
          </w:p>
        </w:tc>
      </w:tr>
      <w:tr w:rsidR="007968EC" w:rsidRPr="00B83B60" w14:paraId="35140803" w14:textId="77777777" w:rsidTr="007968EC">
        <w:trPr>
          <w:trHeight w:val="345"/>
          <w:jc w:val="center"/>
        </w:trPr>
        <w:tc>
          <w:tcPr>
            <w:tcW w:w="5380" w:type="dxa"/>
            <w:tcBorders>
              <w:top w:val="nil"/>
              <w:left w:val="single" w:sz="8" w:space="0" w:color="auto"/>
              <w:bottom w:val="single" w:sz="8" w:space="0" w:color="auto"/>
              <w:right w:val="single" w:sz="8" w:space="0" w:color="auto"/>
            </w:tcBorders>
            <w:shd w:val="clear" w:color="000000" w:fill="FFFFFF"/>
            <w:noWrap/>
            <w:vAlign w:val="center"/>
            <w:hideMark/>
          </w:tcPr>
          <w:p w14:paraId="17BFD326" w14:textId="77777777" w:rsidR="007968EC" w:rsidRPr="00B83B60" w:rsidRDefault="007968EC" w:rsidP="007968EC">
            <w:pPr>
              <w:jc w:val="center"/>
              <w:rPr>
                <w:rFonts w:ascii="Arial Narrow" w:hAnsi="Arial Narrow"/>
                <w:color w:val="000000"/>
                <w:lang w:eastAsia="es-CO"/>
              </w:rPr>
            </w:pPr>
            <w:r w:rsidRPr="00B83B60">
              <w:rPr>
                <w:rFonts w:ascii="Arial Narrow" w:hAnsi="Arial Narrow"/>
                <w:color w:val="000000"/>
                <w:lang w:eastAsia="es-CO"/>
              </w:rPr>
              <w:t>ACCIÓN GRUPO SURA</w:t>
            </w:r>
          </w:p>
        </w:tc>
      </w:tr>
      <w:tr w:rsidR="007968EC" w:rsidRPr="00B83B60" w14:paraId="53ADC5A3" w14:textId="77777777" w:rsidTr="007968EC">
        <w:trPr>
          <w:trHeight w:val="360"/>
          <w:jc w:val="center"/>
        </w:trPr>
        <w:tc>
          <w:tcPr>
            <w:tcW w:w="5380" w:type="dxa"/>
            <w:tcBorders>
              <w:top w:val="nil"/>
              <w:left w:val="single" w:sz="8" w:space="0" w:color="auto"/>
              <w:bottom w:val="single" w:sz="8" w:space="0" w:color="auto"/>
              <w:right w:val="single" w:sz="8" w:space="0" w:color="auto"/>
            </w:tcBorders>
            <w:shd w:val="clear" w:color="000000" w:fill="FFFFFF"/>
            <w:noWrap/>
            <w:vAlign w:val="center"/>
            <w:hideMark/>
          </w:tcPr>
          <w:p w14:paraId="5C841F33" w14:textId="77777777" w:rsidR="007968EC" w:rsidRPr="00B83B60" w:rsidRDefault="007968EC" w:rsidP="007968EC">
            <w:pPr>
              <w:jc w:val="center"/>
              <w:rPr>
                <w:rFonts w:ascii="Arial Narrow" w:hAnsi="Arial Narrow"/>
                <w:color w:val="000000"/>
                <w:lang w:eastAsia="es-CO"/>
              </w:rPr>
            </w:pPr>
            <w:r w:rsidRPr="00B83B60">
              <w:rPr>
                <w:rFonts w:ascii="Arial Narrow" w:hAnsi="Arial Narrow"/>
                <w:color w:val="000000"/>
                <w:lang w:eastAsia="es-CO"/>
              </w:rPr>
              <w:lastRenderedPageBreak/>
              <w:t>ACCIÓN PREFERENCIAL GRUPO SURA</w:t>
            </w:r>
          </w:p>
        </w:tc>
      </w:tr>
      <w:tr w:rsidR="007968EC" w:rsidRPr="00B83B60" w14:paraId="79D35971" w14:textId="77777777" w:rsidTr="007968EC">
        <w:trPr>
          <w:trHeight w:val="345"/>
          <w:jc w:val="center"/>
        </w:trPr>
        <w:tc>
          <w:tcPr>
            <w:tcW w:w="5380" w:type="dxa"/>
            <w:tcBorders>
              <w:top w:val="nil"/>
              <w:left w:val="single" w:sz="8" w:space="0" w:color="auto"/>
              <w:bottom w:val="single" w:sz="8" w:space="0" w:color="auto"/>
              <w:right w:val="single" w:sz="8" w:space="0" w:color="auto"/>
            </w:tcBorders>
            <w:shd w:val="clear" w:color="000000" w:fill="FFFFFF"/>
            <w:noWrap/>
            <w:vAlign w:val="center"/>
            <w:hideMark/>
          </w:tcPr>
          <w:p w14:paraId="4C83DD73" w14:textId="77777777" w:rsidR="007968EC" w:rsidRPr="00B83B60" w:rsidRDefault="007968EC" w:rsidP="007968EC">
            <w:pPr>
              <w:jc w:val="center"/>
              <w:rPr>
                <w:rFonts w:ascii="Arial Narrow" w:hAnsi="Arial Narrow"/>
                <w:color w:val="000000"/>
                <w:lang w:eastAsia="es-CO"/>
              </w:rPr>
            </w:pPr>
            <w:r w:rsidRPr="00B83B60">
              <w:rPr>
                <w:rFonts w:ascii="Arial Narrow" w:hAnsi="Arial Narrow"/>
                <w:color w:val="000000"/>
                <w:lang w:eastAsia="es-CO"/>
              </w:rPr>
              <w:t>ACCIÓN CEMENTOS ARGOS</w:t>
            </w:r>
          </w:p>
        </w:tc>
      </w:tr>
      <w:tr w:rsidR="007968EC" w:rsidRPr="00B83B60" w14:paraId="7E8BF28B" w14:textId="77777777" w:rsidTr="007968EC">
        <w:trPr>
          <w:trHeight w:val="360"/>
          <w:jc w:val="center"/>
        </w:trPr>
        <w:tc>
          <w:tcPr>
            <w:tcW w:w="5380" w:type="dxa"/>
            <w:tcBorders>
              <w:top w:val="nil"/>
              <w:left w:val="single" w:sz="8" w:space="0" w:color="auto"/>
              <w:bottom w:val="single" w:sz="8" w:space="0" w:color="auto"/>
              <w:right w:val="single" w:sz="8" w:space="0" w:color="auto"/>
            </w:tcBorders>
            <w:shd w:val="clear" w:color="000000" w:fill="FFFFFF"/>
            <w:noWrap/>
            <w:vAlign w:val="center"/>
            <w:hideMark/>
          </w:tcPr>
          <w:p w14:paraId="3C1B4DFF" w14:textId="77777777" w:rsidR="007968EC" w:rsidRPr="00B83B60" w:rsidRDefault="007968EC" w:rsidP="007968EC">
            <w:pPr>
              <w:jc w:val="center"/>
              <w:rPr>
                <w:rFonts w:ascii="Arial Narrow" w:hAnsi="Arial Narrow"/>
                <w:color w:val="000000"/>
                <w:lang w:eastAsia="es-CO"/>
              </w:rPr>
            </w:pPr>
            <w:r w:rsidRPr="00B83B60">
              <w:rPr>
                <w:rFonts w:ascii="Arial Narrow" w:hAnsi="Arial Narrow"/>
                <w:color w:val="000000"/>
                <w:lang w:eastAsia="es-CO"/>
              </w:rPr>
              <w:t>ACCIÓN PREFERENCIAL CEMENTOS ARGOS</w:t>
            </w:r>
          </w:p>
        </w:tc>
      </w:tr>
      <w:tr w:rsidR="007968EC" w:rsidRPr="00B83B60" w14:paraId="38A27D1F" w14:textId="77777777" w:rsidTr="007968EC">
        <w:trPr>
          <w:trHeight w:val="360"/>
          <w:jc w:val="center"/>
        </w:trPr>
        <w:tc>
          <w:tcPr>
            <w:tcW w:w="5380" w:type="dxa"/>
            <w:tcBorders>
              <w:top w:val="nil"/>
              <w:left w:val="single" w:sz="8" w:space="0" w:color="auto"/>
              <w:bottom w:val="single" w:sz="8" w:space="0" w:color="auto"/>
              <w:right w:val="single" w:sz="8" w:space="0" w:color="auto"/>
            </w:tcBorders>
            <w:shd w:val="clear" w:color="000000" w:fill="FFFFFF"/>
            <w:noWrap/>
            <w:vAlign w:val="center"/>
            <w:hideMark/>
          </w:tcPr>
          <w:p w14:paraId="59E4C691" w14:textId="77777777" w:rsidR="007968EC" w:rsidRPr="00B83B60" w:rsidRDefault="007968EC" w:rsidP="007968EC">
            <w:pPr>
              <w:jc w:val="center"/>
              <w:rPr>
                <w:rFonts w:ascii="Arial Narrow" w:hAnsi="Arial Narrow"/>
                <w:color w:val="000000"/>
                <w:lang w:eastAsia="es-CO"/>
              </w:rPr>
            </w:pPr>
            <w:r w:rsidRPr="00B83B60">
              <w:rPr>
                <w:rFonts w:ascii="Arial Narrow" w:hAnsi="Arial Narrow"/>
                <w:color w:val="000000"/>
                <w:lang w:eastAsia="es-CO"/>
              </w:rPr>
              <w:t>ACCIÓN BANCOLOMBIA</w:t>
            </w:r>
          </w:p>
        </w:tc>
      </w:tr>
      <w:tr w:rsidR="007968EC" w:rsidRPr="00B83B60" w14:paraId="3876B263" w14:textId="77777777" w:rsidTr="007968EC">
        <w:trPr>
          <w:trHeight w:val="360"/>
          <w:jc w:val="center"/>
        </w:trPr>
        <w:tc>
          <w:tcPr>
            <w:tcW w:w="5380" w:type="dxa"/>
            <w:tcBorders>
              <w:top w:val="nil"/>
              <w:left w:val="single" w:sz="8" w:space="0" w:color="auto"/>
              <w:bottom w:val="single" w:sz="8" w:space="0" w:color="auto"/>
              <w:right w:val="single" w:sz="8" w:space="0" w:color="auto"/>
            </w:tcBorders>
            <w:shd w:val="clear" w:color="000000" w:fill="FFFFFF"/>
            <w:noWrap/>
            <w:vAlign w:val="center"/>
            <w:hideMark/>
          </w:tcPr>
          <w:p w14:paraId="4CA6DCF0" w14:textId="77777777" w:rsidR="007968EC" w:rsidRPr="00B83B60" w:rsidRDefault="007968EC" w:rsidP="007968EC">
            <w:pPr>
              <w:jc w:val="center"/>
              <w:rPr>
                <w:rFonts w:ascii="Arial Narrow" w:hAnsi="Arial Narrow"/>
                <w:color w:val="000000"/>
                <w:lang w:eastAsia="es-CO"/>
              </w:rPr>
            </w:pPr>
            <w:r w:rsidRPr="00B83B60">
              <w:rPr>
                <w:rFonts w:ascii="Arial Narrow" w:hAnsi="Arial Narrow"/>
                <w:color w:val="000000"/>
                <w:lang w:eastAsia="es-CO"/>
              </w:rPr>
              <w:t>ACCIÓN CELSIA</w:t>
            </w:r>
          </w:p>
        </w:tc>
      </w:tr>
      <w:tr w:rsidR="007968EC" w:rsidRPr="00B83B60" w14:paraId="54C765E5" w14:textId="77777777" w:rsidTr="007968EC">
        <w:trPr>
          <w:trHeight w:val="360"/>
          <w:jc w:val="center"/>
        </w:trPr>
        <w:tc>
          <w:tcPr>
            <w:tcW w:w="5380" w:type="dxa"/>
            <w:tcBorders>
              <w:top w:val="nil"/>
              <w:left w:val="single" w:sz="8" w:space="0" w:color="auto"/>
              <w:bottom w:val="single" w:sz="8" w:space="0" w:color="auto"/>
              <w:right w:val="single" w:sz="8" w:space="0" w:color="auto"/>
            </w:tcBorders>
            <w:shd w:val="clear" w:color="000000" w:fill="FFFFFF"/>
            <w:noWrap/>
            <w:vAlign w:val="center"/>
            <w:hideMark/>
          </w:tcPr>
          <w:p w14:paraId="3CA65994" w14:textId="77777777" w:rsidR="007968EC" w:rsidRPr="00B83B60" w:rsidRDefault="007968EC" w:rsidP="007968EC">
            <w:pPr>
              <w:jc w:val="center"/>
              <w:rPr>
                <w:rFonts w:ascii="Arial Narrow" w:hAnsi="Arial Narrow"/>
                <w:color w:val="000000"/>
                <w:lang w:eastAsia="es-CO"/>
              </w:rPr>
            </w:pPr>
            <w:r w:rsidRPr="00B83B60">
              <w:rPr>
                <w:rFonts w:ascii="Arial Narrow" w:hAnsi="Arial Narrow"/>
                <w:color w:val="000000"/>
                <w:lang w:eastAsia="es-CO"/>
              </w:rPr>
              <w:t>ACCIÓN CEMEX</w:t>
            </w:r>
          </w:p>
        </w:tc>
      </w:tr>
      <w:tr w:rsidR="007968EC" w:rsidRPr="00B83B60" w14:paraId="1E7AFC05" w14:textId="77777777" w:rsidTr="007968EC">
        <w:trPr>
          <w:trHeight w:val="360"/>
          <w:jc w:val="center"/>
        </w:trPr>
        <w:tc>
          <w:tcPr>
            <w:tcW w:w="5380" w:type="dxa"/>
            <w:tcBorders>
              <w:top w:val="nil"/>
              <w:left w:val="single" w:sz="8" w:space="0" w:color="auto"/>
              <w:bottom w:val="single" w:sz="8" w:space="0" w:color="auto"/>
              <w:right w:val="single" w:sz="8" w:space="0" w:color="auto"/>
            </w:tcBorders>
            <w:shd w:val="clear" w:color="000000" w:fill="FFFFFF"/>
            <w:noWrap/>
            <w:vAlign w:val="center"/>
            <w:hideMark/>
          </w:tcPr>
          <w:p w14:paraId="009CE7F3" w14:textId="77777777" w:rsidR="007968EC" w:rsidRPr="00B83B60" w:rsidRDefault="007968EC" w:rsidP="007968EC">
            <w:pPr>
              <w:jc w:val="center"/>
              <w:rPr>
                <w:rFonts w:ascii="Arial Narrow" w:hAnsi="Arial Narrow"/>
                <w:color w:val="000000"/>
                <w:lang w:eastAsia="es-CO"/>
              </w:rPr>
            </w:pPr>
            <w:r w:rsidRPr="00B83B60">
              <w:rPr>
                <w:rFonts w:ascii="Arial Narrow" w:hAnsi="Arial Narrow"/>
                <w:color w:val="000000"/>
                <w:lang w:eastAsia="es-CO"/>
              </w:rPr>
              <w:t>ACCIÓN CORFICOLOMBIANA</w:t>
            </w:r>
          </w:p>
        </w:tc>
      </w:tr>
      <w:tr w:rsidR="007968EC" w:rsidRPr="00B83B60" w14:paraId="2C21A380" w14:textId="77777777" w:rsidTr="007968EC">
        <w:trPr>
          <w:trHeight w:val="360"/>
          <w:jc w:val="center"/>
        </w:trPr>
        <w:tc>
          <w:tcPr>
            <w:tcW w:w="5380" w:type="dxa"/>
            <w:tcBorders>
              <w:top w:val="nil"/>
              <w:left w:val="single" w:sz="8" w:space="0" w:color="auto"/>
              <w:bottom w:val="single" w:sz="8" w:space="0" w:color="auto"/>
              <w:right w:val="single" w:sz="8" w:space="0" w:color="auto"/>
            </w:tcBorders>
            <w:shd w:val="clear" w:color="000000" w:fill="FFFFFF"/>
            <w:noWrap/>
            <w:vAlign w:val="center"/>
            <w:hideMark/>
          </w:tcPr>
          <w:p w14:paraId="6F22FBC5" w14:textId="77777777" w:rsidR="007968EC" w:rsidRPr="00B83B60" w:rsidRDefault="007968EC" w:rsidP="007968EC">
            <w:pPr>
              <w:jc w:val="center"/>
              <w:rPr>
                <w:rFonts w:ascii="Arial Narrow" w:hAnsi="Arial Narrow"/>
                <w:color w:val="000000"/>
                <w:lang w:eastAsia="es-CO"/>
              </w:rPr>
            </w:pPr>
            <w:r w:rsidRPr="00B83B60">
              <w:rPr>
                <w:rFonts w:ascii="Arial Narrow" w:hAnsi="Arial Narrow"/>
                <w:color w:val="000000"/>
                <w:lang w:eastAsia="es-CO"/>
              </w:rPr>
              <w:t>ACCIÓN GRUPO DE ENERGÍA DE BOGOTÁ</w:t>
            </w:r>
          </w:p>
        </w:tc>
      </w:tr>
      <w:tr w:rsidR="007968EC" w:rsidRPr="00B83B60" w14:paraId="4C59E48F" w14:textId="77777777" w:rsidTr="007968EC">
        <w:trPr>
          <w:trHeight w:val="360"/>
          <w:jc w:val="center"/>
        </w:trPr>
        <w:tc>
          <w:tcPr>
            <w:tcW w:w="5380" w:type="dxa"/>
            <w:tcBorders>
              <w:top w:val="nil"/>
              <w:left w:val="single" w:sz="8" w:space="0" w:color="auto"/>
              <w:bottom w:val="single" w:sz="8" w:space="0" w:color="auto"/>
              <w:right w:val="single" w:sz="8" w:space="0" w:color="auto"/>
            </w:tcBorders>
            <w:shd w:val="clear" w:color="000000" w:fill="FFFFFF"/>
            <w:noWrap/>
            <w:vAlign w:val="center"/>
            <w:hideMark/>
          </w:tcPr>
          <w:p w14:paraId="218A292A" w14:textId="77777777" w:rsidR="007968EC" w:rsidRPr="00B83B60" w:rsidRDefault="007968EC" w:rsidP="007968EC">
            <w:pPr>
              <w:jc w:val="center"/>
              <w:rPr>
                <w:rFonts w:ascii="Arial Narrow" w:hAnsi="Arial Narrow"/>
                <w:color w:val="000000"/>
                <w:lang w:eastAsia="es-CO"/>
              </w:rPr>
            </w:pPr>
            <w:r w:rsidRPr="00B83B60">
              <w:rPr>
                <w:rFonts w:ascii="Arial Narrow" w:hAnsi="Arial Narrow"/>
                <w:color w:val="000000"/>
                <w:lang w:eastAsia="es-CO"/>
              </w:rPr>
              <w:t>ACCIÓN PREFERENCIAL AVIANCA HOLDING</w:t>
            </w:r>
          </w:p>
        </w:tc>
      </w:tr>
      <w:tr w:rsidR="007968EC" w:rsidRPr="00B83B60" w14:paraId="77D4B447" w14:textId="77777777" w:rsidTr="007968EC">
        <w:trPr>
          <w:trHeight w:val="360"/>
          <w:jc w:val="center"/>
        </w:trPr>
        <w:tc>
          <w:tcPr>
            <w:tcW w:w="5380" w:type="dxa"/>
            <w:tcBorders>
              <w:top w:val="nil"/>
              <w:left w:val="single" w:sz="8" w:space="0" w:color="auto"/>
              <w:bottom w:val="single" w:sz="8" w:space="0" w:color="auto"/>
              <w:right w:val="single" w:sz="8" w:space="0" w:color="auto"/>
            </w:tcBorders>
            <w:shd w:val="clear" w:color="000000" w:fill="FFFFFF"/>
            <w:noWrap/>
            <w:vAlign w:val="center"/>
            <w:hideMark/>
          </w:tcPr>
          <w:p w14:paraId="2FA2138C" w14:textId="77777777" w:rsidR="007968EC" w:rsidRPr="00B83B60" w:rsidRDefault="007968EC" w:rsidP="007968EC">
            <w:pPr>
              <w:jc w:val="center"/>
              <w:rPr>
                <w:rFonts w:ascii="Arial Narrow" w:hAnsi="Arial Narrow"/>
                <w:color w:val="000000"/>
                <w:lang w:eastAsia="es-CO"/>
              </w:rPr>
            </w:pPr>
            <w:r w:rsidRPr="00B83B60">
              <w:rPr>
                <w:rFonts w:ascii="Arial Narrow" w:hAnsi="Arial Narrow"/>
                <w:color w:val="000000"/>
                <w:lang w:eastAsia="es-CO"/>
              </w:rPr>
              <w:t>ACCIÓN PREFERENCIAL DAVIVIENDA</w:t>
            </w:r>
          </w:p>
        </w:tc>
      </w:tr>
      <w:tr w:rsidR="007968EC" w:rsidRPr="00B83B60" w14:paraId="5EC12051" w14:textId="77777777" w:rsidTr="007968EC">
        <w:trPr>
          <w:trHeight w:val="360"/>
          <w:jc w:val="center"/>
        </w:trPr>
        <w:tc>
          <w:tcPr>
            <w:tcW w:w="5380" w:type="dxa"/>
            <w:tcBorders>
              <w:top w:val="nil"/>
              <w:left w:val="single" w:sz="8" w:space="0" w:color="auto"/>
              <w:bottom w:val="single" w:sz="8" w:space="0" w:color="auto"/>
              <w:right w:val="single" w:sz="8" w:space="0" w:color="auto"/>
            </w:tcBorders>
            <w:shd w:val="clear" w:color="000000" w:fill="FFFFFF"/>
            <w:noWrap/>
            <w:vAlign w:val="center"/>
            <w:hideMark/>
          </w:tcPr>
          <w:p w14:paraId="36150081" w14:textId="77777777" w:rsidR="007968EC" w:rsidRPr="00B83B60" w:rsidRDefault="007968EC" w:rsidP="007968EC">
            <w:pPr>
              <w:jc w:val="center"/>
              <w:rPr>
                <w:rFonts w:ascii="Arial Narrow" w:hAnsi="Arial Narrow"/>
                <w:color w:val="000000"/>
                <w:lang w:eastAsia="es-CO"/>
              </w:rPr>
            </w:pPr>
            <w:r w:rsidRPr="00B83B60">
              <w:rPr>
                <w:rFonts w:ascii="Arial Narrow" w:hAnsi="Arial Narrow"/>
                <w:color w:val="000000"/>
                <w:lang w:eastAsia="es-CO"/>
              </w:rPr>
              <w:t>ACCIÓN PREFERENCIAL GRUPO ARGOS</w:t>
            </w:r>
          </w:p>
        </w:tc>
      </w:tr>
      <w:tr w:rsidR="007968EC" w:rsidRPr="00B83B60" w14:paraId="0279B133" w14:textId="77777777" w:rsidTr="007968EC">
        <w:trPr>
          <w:trHeight w:val="360"/>
          <w:jc w:val="center"/>
        </w:trPr>
        <w:tc>
          <w:tcPr>
            <w:tcW w:w="5380"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320199E5" w14:textId="77777777" w:rsidR="007968EC" w:rsidRPr="00B83B60" w:rsidRDefault="007968EC" w:rsidP="007968EC">
            <w:pPr>
              <w:jc w:val="center"/>
              <w:rPr>
                <w:rFonts w:ascii="Arial Narrow" w:hAnsi="Arial Narrow"/>
                <w:color w:val="000000"/>
                <w:lang w:eastAsia="es-CO"/>
              </w:rPr>
            </w:pPr>
            <w:r w:rsidRPr="00B83B60">
              <w:rPr>
                <w:rFonts w:ascii="Arial Narrow" w:hAnsi="Arial Narrow"/>
                <w:color w:val="000000"/>
                <w:lang w:eastAsia="es-CO"/>
              </w:rPr>
              <w:t>ETF ICOLCAP</w:t>
            </w:r>
          </w:p>
        </w:tc>
      </w:tr>
    </w:tbl>
    <w:p w14:paraId="118F9E30" w14:textId="77777777" w:rsidR="007968EC" w:rsidRPr="00B83B60" w:rsidRDefault="007968EC" w:rsidP="007968EC">
      <w:pPr>
        <w:jc w:val="both"/>
        <w:rPr>
          <w:rFonts w:ascii="Arial Narrow" w:eastAsia="Calibri" w:hAnsi="Arial Narrow"/>
        </w:rPr>
      </w:pPr>
    </w:p>
    <w:p w14:paraId="4DB454CE" w14:textId="77777777" w:rsidR="007968EC" w:rsidRPr="00B83B60" w:rsidRDefault="007968EC" w:rsidP="007968EC">
      <w:pPr>
        <w:jc w:val="both"/>
        <w:rPr>
          <w:rFonts w:ascii="Arial Narrow" w:eastAsia="Calibri" w:hAnsi="Arial Narrow"/>
        </w:rPr>
      </w:pPr>
      <w:r w:rsidRPr="00B83B60">
        <w:rPr>
          <w:rFonts w:ascii="Arial Narrow" w:hAnsi="Arial Narrow"/>
          <w:lang w:eastAsia="es-ES"/>
        </w:rPr>
        <w:t xml:space="preserve">Los Valores de Renta Variable </w:t>
      </w:r>
      <w:r w:rsidRPr="00B83B60">
        <w:rPr>
          <w:rFonts w:ascii="Arial Narrow" w:eastAsia="Calibri" w:hAnsi="Arial Narrow"/>
          <w:lang w:val="es-ES"/>
        </w:rPr>
        <w:t xml:space="preserve">serán evaluados por lo menos una vez al mes. </w:t>
      </w:r>
      <w:proofErr w:type="gramStart"/>
      <w:r w:rsidRPr="00B83B60">
        <w:rPr>
          <w:rFonts w:ascii="Arial Narrow" w:eastAsia="Calibri" w:hAnsi="Arial Narrow"/>
          <w:lang w:val="es-ES"/>
        </w:rPr>
        <w:t>En caso que</w:t>
      </w:r>
      <w:proofErr w:type="gramEnd"/>
      <w:r w:rsidRPr="00B83B60">
        <w:rPr>
          <w:rFonts w:ascii="Arial Narrow" w:eastAsia="Calibri" w:hAnsi="Arial Narrow"/>
          <w:lang w:val="es-ES"/>
        </w:rPr>
        <w:t xml:space="preserve"> un </w:t>
      </w:r>
      <w:r w:rsidRPr="00B83B60">
        <w:rPr>
          <w:rFonts w:ascii="Arial Narrow" w:hAnsi="Arial Narrow"/>
          <w:lang w:eastAsia="es-ES"/>
        </w:rPr>
        <w:t>Valor de Renta Variable</w:t>
      </w:r>
      <w:r w:rsidRPr="00B83B60">
        <w:rPr>
          <w:rFonts w:ascii="Arial Narrow" w:eastAsia="Calibri" w:hAnsi="Arial Narrow"/>
          <w:lang w:val="es-ES"/>
        </w:rPr>
        <w:t xml:space="preserve"> pierda su condición de ser elegible para Operaciones Repo, se informará al Comité de Riesgos, en la siguiente sesión y se informará a los Miembros</w:t>
      </w:r>
      <w:r w:rsidRPr="00B83B60">
        <w:rPr>
          <w:rFonts w:ascii="Arial Narrow" w:eastAsia="Calibri" w:hAnsi="Arial Narrow"/>
        </w:rPr>
        <w:t xml:space="preserve"> por medio de Boletín Informativo por la Cámara, sin perjuicio de la modificación a la presente Circular.</w:t>
      </w:r>
    </w:p>
    <w:p w14:paraId="1A264A9D" w14:textId="77777777" w:rsidR="007968EC" w:rsidRPr="00B83B60" w:rsidRDefault="007968EC" w:rsidP="007968EC">
      <w:pPr>
        <w:jc w:val="both"/>
        <w:rPr>
          <w:rFonts w:ascii="Arial Narrow" w:eastAsia="Calibri" w:hAnsi="Arial Narrow"/>
        </w:rPr>
      </w:pPr>
    </w:p>
    <w:p w14:paraId="4A093277" w14:textId="77777777" w:rsidR="007968EC" w:rsidRPr="00B83B60" w:rsidRDefault="007968EC" w:rsidP="00DA7472">
      <w:pPr>
        <w:numPr>
          <w:ilvl w:val="0"/>
          <w:numId w:val="270"/>
        </w:numPr>
        <w:autoSpaceDE w:val="0"/>
        <w:autoSpaceDN w:val="0"/>
        <w:adjustRightInd w:val="0"/>
        <w:ind w:left="426" w:hanging="426"/>
        <w:contextualSpacing/>
        <w:jc w:val="both"/>
        <w:rPr>
          <w:rFonts w:ascii="Arial Narrow" w:eastAsia="Calibri" w:hAnsi="Arial Narrow"/>
          <w:bCs/>
          <w:lang w:eastAsia="es-CO"/>
        </w:rPr>
      </w:pPr>
      <w:r w:rsidRPr="00B83B60">
        <w:rPr>
          <w:rFonts w:ascii="Arial Narrow" w:eastAsia="Calibri" w:hAnsi="Arial Narrow"/>
          <w:bCs/>
          <w:lang w:eastAsia="es-CO"/>
        </w:rPr>
        <w:t>Términos Económicos:</w:t>
      </w:r>
    </w:p>
    <w:p w14:paraId="5DE1D95E" w14:textId="77777777" w:rsidR="007968EC" w:rsidRPr="00B83B60" w:rsidRDefault="007968EC" w:rsidP="007968EC">
      <w:pPr>
        <w:jc w:val="both"/>
        <w:rPr>
          <w:rFonts w:ascii="Arial Narrow" w:eastAsia="Calibri" w:hAnsi="Arial Narrow"/>
          <w:bCs/>
          <w:lang w:eastAsia="es-CO"/>
        </w:rPr>
      </w:pPr>
    </w:p>
    <w:p w14:paraId="3C5CD8B2" w14:textId="77777777" w:rsidR="007968EC" w:rsidRPr="00B83B60" w:rsidRDefault="007968EC" w:rsidP="007968EC">
      <w:pPr>
        <w:jc w:val="both"/>
        <w:rPr>
          <w:rFonts w:ascii="Arial Narrow" w:eastAsia="Calibri" w:hAnsi="Arial Narrow"/>
        </w:rPr>
      </w:pPr>
      <w:r w:rsidRPr="00B83B60">
        <w:rPr>
          <w:rFonts w:ascii="Arial Narrow" w:eastAsia="Calibri" w:hAnsi="Arial Narrow"/>
        </w:rPr>
        <w:t>Se considerarán como Términos Económicos las condiciones sobre Tasa de la Operación, Fecha de Vencimiento del flujo de salida y del flujo de regreso, Valor Nominal y Activo que hayan sido pactadas por los Miembros que celebraron la Operación Repo, susceptibles de ser Aceptada por la Cámara, en la Bolsa.</w:t>
      </w:r>
    </w:p>
    <w:p w14:paraId="50F1ED92" w14:textId="77777777" w:rsidR="007968EC" w:rsidRPr="00B83B60" w:rsidRDefault="007968EC" w:rsidP="007968EC">
      <w:pPr>
        <w:jc w:val="both"/>
        <w:rPr>
          <w:rFonts w:ascii="Arial Narrow" w:eastAsia="Calibri" w:hAnsi="Arial Narrow"/>
        </w:rPr>
      </w:pPr>
    </w:p>
    <w:p w14:paraId="6C33C9C3" w14:textId="77777777" w:rsidR="007968EC" w:rsidRPr="00B83B60" w:rsidRDefault="007968EC" w:rsidP="00DA7472">
      <w:pPr>
        <w:numPr>
          <w:ilvl w:val="0"/>
          <w:numId w:val="270"/>
        </w:numPr>
        <w:ind w:left="317" w:hanging="284"/>
        <w:contextualSpacing/>
        <w:jc w:val="both"/>
        <w:rPr>
          <w:rFonts w:ascii="Arial Narrow" w:eastAsia="Calibri" w:hAnsi="Arial Narrow"/>
        </w:rPr>
      </w:pPr>
      <w:r w:rsidRPr="00B83B60">
        <w:rPr>
          <w:rFonts w:ascii="Arial Narrow" w:eastAsia="Calibri" w:hAnsi="Arial Narrow"/>
          <w:bCs/>
          <w:lang w:eastAsia="es-CO"/>
        </w:rPr>
        <w:t>Controles de Riesgo:</w:t>
      </w:r>
    </w:p>
    <w:p w14:paraId="19D021DF" w14:textId="77777777" w:rsidR="007968EC" w:rsidRPr="00B83B60" w:rsidRDefault="007968EC" w:rsidP="007968EC">
      <w:pPr>
        <w:autoSpaceDE w:val="0"/>
        <w:autoSpaceDN w:val="0"/>
        <w:jc w:val="both"/>
        <w:rPr>
          <w:rFonts w:ascii="Arial Narrow" w:eastAsia="Calibri" w:hAnsi="Arial Narrow"/>
        </w:rPr>
      </w:pPr>
    </w:p>
    <w:p w14:paraId="60B02E5E" w14:textId="77777777" w:rsidR="007968EC" w:rsidRPr="00B83B60" w:rsidRDefault="007968EC" w:rsidP="007968EC">
      <w:pPr>
        <w:autoSpaceDE w:val="0"/>
        <w:autoSpaceDN w:val="0"/>
        <w:jc w:val="both"/>
        <w:rPr>
          <w:rFonts w:ascii="Arial Narrow" w:eastAsia="Calibri" w:hAnsi="Arial Narrow"/>
          <w:lang w:val="es-ES"/>
        </w:rPr>
      </w:pPr>
      <w:r w:rsidRPr="00B83B60">
        <w:rPr>
          <w:rFonts w:ascii="Arial Narrow" w:eastAsia="Calibri" w:hAnsi="Arial Narrow"/>
        </w:rPr>
        <w:t xml:space="preserve">Para la Aceptación de Operaciones Repo, la Cámara verificará que las mismas cumplan los controles de riesgos en </w:t>
      </w:r>
      <w:r w:rsidRPr="00B83B60">
        <w:rPr>
          <w:rFonts w:ascii="Arial Narrow" w:eastAsia="Calibri" w:hAnsi="Arial Narrow"/>
          <w:lang w:val="es-ES"/>
        </w:rPr>
        <w:t>el artículo 4.2.1.1. de la presente Circular.</w:t>
      </w:r>
    </w:p>
    <w:p w14:paraId="61EFBB7D" w14:textId="77777777" w:rsidR="007968EC" w:rsidRPr="00B83B60" w:rsidRDefault="007968EC" w:rsidP="007968EC">
      <w:pPr>
        <w:autoSpaceDE w:val="0"/>
        <w:autoSpaceDN w:val="0"/>
        <w:ind w:left="720"/>
        <w:jc w:val="both"/>
        <w:rPr>
          <w:rFonts w:ascii="Arial Narrow" w:eastAsia="Calibri" w:hAnsi="Arial Narrow"/>
          <w:lang w:val="es-ES"/>
        </w:rPr>
      </w:pPr>
    </w:p>
    <w:p w14:paraId="44F8A777" w14:textId="77777777" w:rsidR="007968EC" w:rsidRPr="00B83B60" w:rsidRDefault="007968EC" w:rsidP="00DA7472">
      <w:pPr>
        <w:numPr>
          <w:ilvl w:val="0"/>
          <w:numId w:val="270"/>
        </w:numPr>
        <w:autoSpaceDE w:val="0"/>
        <w:autoSpaceDN w:val="0"/>
        <w:adjustRightInd w:val="0"/>
        <w:ind w:left="426" w:hanging="426"/>
        <w:contextualSpacing/>
        <w:jc w:val="both"/>
        <w:rPr>
          <w:rFonts w:ascii="Arial Narrow" w:hAnsi="Arial Narrow"/>
          <w:color w:val="000000"/>
          <w:lang w:val="es-ES_tradnl" w:eastAsia="es-CO"/>
        </w:rPr>
      </w:pPr>
      <w:proofErr w:type="gramStart"/>
      <w:r w:rsidRPr="00B83B60">
        <w:rPr>
          <w:rFonts w:ascii="Arial Narrow" w:hAnsi="Arial Narrow"/>
          <w:color w:val="000000"/>
          <w:lang w:eastAsia="es-CO"/>
        </w:rPr>
        <w:t xml:space="preserve">Procedimiento a </w:t>
      </w:r>
      <w:r w:rsidRPr="00B83B60">
        <w:rPr>
          <w:rFonts w:ascii="Arial Narrow" w:hAnsi="Arial Narrow" w:cs="Arial"/>
          <w:color w:val="000000"/>
          <w:lang w:eastAsia="es-CO"/>
        </w:rPr>
        <w:t>seguir</w:t>
      </w:r>
      <w:proofErr w:type="gramEnd"/>
      <w:r w:rsidRPr="00B83B60">
        <w:rPr>
          <w:rFonts w:ascii="Arial Narrow" w:hAnsi="Arial Narrow"/>
          <w:color w:val="000000"/>
          <w:lang w:eastAsia="es-CO"/>
        </w:rPr>
        <w:t xml:space="preserve"> ante eventos corporativos que afecten el Activo objeto de la Operación Repo.</w:t>
      </w:r>
      <w:r w:rsidRPr="00B83B60">
        <w:rPr>
          <w:rFonts w:ascii="Arial Narrow" w:hAnsi="Arial Narrow"/>
          <w:color w:val="000000"/>
          <w:lang w:val="es-ES_tradnl" w:eastAsia="es-CO"/>
        </w:rPr>
        <w:t xml:space="preserve">        </w:t>
      </w:r>
    </w:p>
    <w:p w14:paraId="123D6024" w14:textId="77777777" w:rsidR="007968EC" w:rsidRPr="00B83B60" w:rsidRDefault="007968EC" w:rsidP="007968EC">
      <w:pPr>
        <w:autoSpaceDE w:val="0"/>
        <w:autoSpaceDN w:val="0"/>
        <w:adjustRightInd w:val="0"/>
        <w:ind w:left="426" w:hanging="644"/>
        <w:contextualSpacing/>
        <w:jc w:val="both"/>
        <w:rPr>
          <w:rFonts w:ascii="Arial Narrow" w:hAnsi="Arial Narrow"/>
          <w:color w:val="000000"/>
          <w:lang w:val="es-ES_tradnl" w:eastAsia="es-ES"/>
        </w:rPr>
      </w:pPr>
    </w:p>
    <w:p w14:paraId="579E0BBC" w14:textId="77777777" w:rsidR="007968EC" w:rsidRPr="00B83B60" w:rsidRDefault="007968EC" w:rsidP="007968EC">
      <w:pPr>
        <w:autoSpaceDE w:val="0"/>
        <w:autoSpaceDN w:val="0"/>
        <w:adjustRightInd w:val="0"/>
        <w:ind w:left="426" w:hanging="426"/>
        <w:contextualSpacing/>
        <w:jc w:val="both"/>
        <w:rPr>
          <w:rFonts w:ascii="Arial Narrow" w:hAnsi="Arial Narrow"/>
          <w:color w:val="000000"/>
          <w:lang w:val="es-ES_tradnl" w:eastAsia="es-ES"/>
        </w:rPr>
      </w:pPr>
      <w:r w:rsidRPr="00B83B60">
        <w:rPr>
          <w:rFonts w:ascii="Arial Narrow" w:hAnsi="Arial Narrow"/>
          <w:color w:val="000000"/>
          <w:lang w:val="es-ES_tradnl" w:eastAsia="es-ES"/>
        </w:rPr>
        <w:t xml:space="preserve">En caso de </w:t>
      </w:r>
      <w:r w:rsidRPr="00B83B60">
        <w:rPr>
          <w:rFonts w:ascii="Arial Narrow" w:hAnsi="Arial Narrow" w:cs="Arial"/>
          <w:color w:val="000000"/>
          <w:lang w:val="es-ES" w:eastAsia="es-ES"/>
        </w:rPr>
        <w:t>cualquier</w:t>
      </w:r>
      <w:r w:rsidRPr="00B83B60">
        <w:rPr>
          <w:rFonts w:ascii="Arial Narrow" w:hAnsi="Arial Narrow"/>
          <w:color w:val="000000"/>
          <w:lang w:val="es-ES_tradnl" w:eastAsia="es-ES"/>
        </w:rPr>
        <w:t xml:space="preserve"> evento corporativo la Cámara surtirá el siguiente procedimiento:</w:t>
      </w:r>
    </w:p>
    <w:p w14:paraId="65351026" w14:textId="77777777" w:rsidR="007968EC" w:rsidRPr="00B83B60" w:rsidRDefault="007968EC" w:rsidP="007968EC">
      <w:pPr>
        <w:contextualSpacing/>
        <w:jc w:val="both"/>
        <w:rPr>
          <w:rFonts w:ascii="Arial Narrow" w:hAnsi="Arial Narrow"/>
          <w:color w:val="000000"/>
          <w:lang w:val="es-ES_tradnl" w:eastAsia="es-ES"/>
        </w:rPr>
      </w:pPr>
    </w:p>
    <w:p w14:paraId="3FB96E60" w14:textId="77777777" w:rsidR="007968EC" w:rsidRPr="00B83B60" w:rsidRDefault="007968EC" w:rsidP="00DA7472">
      <w:pPr>
        <w:numPr>
          <w:ilvl w:val="0"/>
          <w:numId w:val="282"/>
        </w:numPr>
        <w:contextualSpacing/>
        <w:jc w:val="both"/>
        <w:rPr>
          <w:rFonts w:ascii="Arial Narrow" w:hAnsi="Arial Narrow"/>
          <w:color w:val="000000"/>
          <w:lang w:eastAsia="es-CO"/>
        </w:rPr>
      </w:pPr>
      <w:r w:rsidRPr="00B83B60">
        <w:rPr>
          <w:rFonts w:ascii="Arial Narrow" w:hAnsi="Arial Narrow"/>
          <w:color w:val="000000"/>
          <w:lang w:val="es-ES_tradnl" w:eastAsia="es-CO"/>
        </w:rPr>
        <w:t>La Bolsa informará al mercado y a la Cámara el evento corporativo con todas las características necesarias para hacer los ajustes respectivos en las posiciones de cada uno de los Miembros y Terceros, mínimo con dos (2) días hábiles de anticipación a la ocurrencia del evento.</w:t>
      </w:r>
    </w:p>
    <w:p w14:paraId="47CC3A48" w14:textId="77777777" w:rsidR="007968EC" w:rsidRPr="00B83B60" w:rsidRDefault="007968EC" w:rsidP="007968EC">
      <w:pPr>
        <w:ind w:left="720"/>
        <w:contextualSpacing/>
        <w:jc w:val="both"/>
        <w:rPr>
          <w:rFonts w:ascii="Arial Narrow" w:hAnsi="Arial Narrow" w:cs="Arial"/>
          <w:color w:val="000000"/>
          <w:lang w:val="es-ES" w:eastAsia="es-ES"/>
        </w:rPr>
      </w:pPr>
    </w:p>
    <w:p w14:paraId="00E4BB18" w14:textId="77777777" w:rsidR="007968EC" w:rsidRPr="00B83B60" w:rsidRDefault="007968EC" w:rsidP="007968EC">
      <w:pPr>
        <w:ind w:left="720"/>
        <w:contextualSpacing/>
        <w:jc w:val="both"/>
        <w:rPr>
          <w:rFonts w:ascii="Arial Narrow" w:hAnsi="Arial Narrow"/>
          <w:color w:val="000000"/>
          <w:lang w:val="es-ES_tradnl" w:eastAsia="es-ES"/>
        </w:rPr>
      </w:pPr>
      <w:r w:rsidRPr="00B83B60">
        <w:rPr>
          <w:rFonts w:ascii="Arial Narrow" w:hAnsi="Arial Narrow" w:cs="Arial"/>
          <w:color w:val="000000"/>
          <w:lang w:val="es-ES_tradnl" w:eastAsia="es-ES"/>
        </w:rPr>
        <w:lastRenderedPageBreak/>
        <w:t xml:space="preserve">Las </w:t>
      </w:r>
      <w:r w:rsidRPr="00B83B60">
        <w:rPr>
          <w:rFonts w:ascii="Arial Narrow" w:hAnsi="Arial Narrow"/>
          <w:color w:val="000000"/>
          <w:lang w:val="es-ES_tradnl" w:eastAsia="es-ES"/>
        </w:rPr>
        <w:t>características mínimas que informará la BVC son: la fecha de materialización del evento, factor de conversión entre la acción antes del evento y la acción después del evento, tamaño del contrato antes y después del evento, precio del contrato antes y después del evento, el número de decimales que implica el ajuste de las posiciones y cualquier otra característica necesaria para que el titular de Cuenta y la Cámara puedan evaluar su impacto.</w:t>
      </w:r>
    </w:p>
    <w:p w14:paraId="61EA4083" w14:textId="77777777" w:rsidR="007968EC" w:rsidRPr="00B83B60" w:rsidRDefault="007968EC" w:rsidP="007968EC">
      <w:pPr>
        <w:jc w:val="both"/>
        <w:rPr>
          <w:rFonts w:ascii="Arial Narrow" w:hAnsi="Arial Narrow"/>
          <w:color w:val="000000"/>
          <w:lang w:val="es-ES" w:eastAsia="es-ES"/>
        </w:rPr>
      </w:pPr>
    </w:p>
    <w:p w14:paraId="72B9D5A7" w14:textId="77777777" w:rsidR="007968EC" w:rsidRPr="00B83B60" w:rsidRDefault="007968EC" w:rsidP="00DA7472">
      <w:pPr>
        <w:numPr>
          <w:ilvl w:val="0"/>
          <w:numId w:val="282"/>
        </w:numPr>
        <w:contextualSpacing/>
        <w:jc w:val="both"/>
        <w:rPr>
          <w:rFonts w:ascii="Arial Narrow" w:hAnsi="Arial Narrow" w:cs="Arial"/>
          <w:color w:val="000000"/>
          <w:lang w:eastAsia="es-CO"/>
        </w:rPr>
      </w:pPr>
      <w:r w:rsidRPr="00B83B60">
        <w:rPr>
          <w:rFonts w:ascii="Arial Narrow" w:hAnsi="Arial Narrow"/>
          <w:color w:val="000000"/>
          <w:lang w:val="es-ES_tradnl" w:eastAsia="es-CO"/>
        </w:rPr>
        <w:t xml:space="preserve">En caso de no conocerse el evento con dos (2) días hábiles de anticipación, la Cámara podrá solicitar a la BVC que la negociación de las Operaciones Repo sobre </w:t>
      </w:r>
      <w:r w:rsidRPr="00B83B60">
        <w:rPr>
          <w:rFonts w:ascii="Arial Narrow" w:hAnsi="Arial Narrow"/>
          <w:lang w:eastAsia="es-ES"/>
        </w:rPr>
        <w:t xml:space="preserve">Valores de Renta Variable </w:t>
      </w:r>
      <w:r w:rsidRPr="00B83B60">
        <w:rPr>
          <w:rFonts w:ascii="Arial Narrow" w:hAnsi="Arial Narrow"/>
          <w:color w:val="000000"/>
          <w:lang w:val="es-ES_tradnl" w:eastAsia="es-CO"/>
        </w:rPr>
        <w:t>sea suspendida temporalmente hasta por dos (2) días hábiles con el propósito de adoptar las medidas necesarias de ajuste de las posiciones en relación con el impacto del evento corporativo.</w:t>
      </w:r>
      <w:r w:rsidRPr="00B83B60">
        <w:rPr>
          <w:rFonts w:ascii="Arial Narrow" w:hAnsi="Arial Narrow" w:cs="Arial"/>
          <w:color w:val="000000"/>
          <w:lang w:val="es-ES_tradnl" w:eastAsia="es-CO"/>
        </w:rPr>
        <w:t xml:space="preserve"> </w:t>
      </w:r>
    </w:p>
    <w:p w14:paraId="5E465AD5" w14:textId="77777777" w:rsidR="007968EC" w:rsidRPr="00B83B60" w:rsidRDefault="007968EC" w:rsidP="007968EC">
      <w:pPr>
        <w:ind w:left="720"/>
        <w:contextualSpacing/>
        <w:jc w:val="both"/>
        <w:rPr>
          <w:rFonts w:ascii="Arial Narrow" w:hAnsi="Arial Narrow" w:cs="Arial"/>
          <w:color w:val="000000"/>
          <w:lang w:eastAsia="es-ES"/>
        </w:rPr>
      </w:pPr>
    </w:p>
    <w:p w14:paraId="4C177E43" w14:textId="77777777" w:rsidR="007968EC" w:rsidRPr="00B83B60" w:rsidRDefault="007968EC" w:rsidP="00DA7472">
      <w:pPr>
        <w:numPr>
          <w:ilvl w:val="0"/>
          <w:numId w:val="282"/>
        </w:numPr>
        <w:contextualSpacing/>
        <w:jc w:val="both"/>
        <w:rPr>
          <w:rFonts w:ascii="Arial Narrow" w:hAnsi="Arial Narrow"/>
          <w:color w:val="000000"/>
          <w:lang w:val="es-ES_tradnl" w:eastAsia="es-ES"/>
        </w:rPr>
      </w:pPr>
      <w:r w:rsidRPr="00B83B60">
        <w:rPr>
          <w:rFonts w:ascii="Arial Narrow" w:hAnsi="Arial Narrow" w:cs="Arial"/>
          <w:color w:val="000000"/>
          <w:lang w:val="es-ES_tradnl" w:eastAsia="es-ES"/>
        </w:rPr>
        <w:t xml:space="preserve">La Cámara </w:t>
      </w:r>
      <w:r w:rsidRPr="00B83B60">
        <w:rPr>
          <w:rFonts w:ascii="Arial Narrow" w:hAnsi="Arial Narrow"/>
          <w:color w:val="000000"/>
          <w:lang w:val="es-ES_tradnl" w:eastAsia="es-ES"/>
        </w:rPr>
        <w:t>y la BVC coordinarán las gestiones operativas que deban desarrollar para resolver los eventos corporativos incluyendo la creación de nuevos nemotécnicos, la realización de operaciones y el truncamiento o la aproximación de los parámetros de negociación resultantes del evento corporativo, entre otras medidas operativas que se estimen necesarias.</w:t>
      </w:r>
    </w:p>
    <w:p w14:paraId="3C53A4DC" w14:textId="77777777" w:rsidR="007968EC" w:rsidRPr="00B83B60" w:rsidRDefault="007968EC" w:rsidP="007968EC">
      <w:pPr>
        <w:contextualSpacing/>
        <w:jc w:val="both"/>
        <w:rPr>
          <w:rFonts w:ascii="Arial Narrow" w:hAnsi="Arial Narrow"/>
          <w:color w:val="000000"/>
          <w:lang w:val="es-ES_tradnl" w:eastAsia="es-ES"/>
        </w:rPr>
      </w:pPr>
    </w:p>
    <w:p w14:paraId="6FE86190" w14:textId="77777777" w:rsidR="007968EC" w:rsidRPr="00B83B60" w:rsidRDefault="007968EC" w:rsidP="00DA7472">
      <w:pPr>
        <w:numPr>
          <w:ilvl w:val="0"/>
          <w:numId w:val="282"/>
        </w:numPr>
        <w:contextualSpacing/>
        <w:jc w:val="both"/>
        <w:rPr>
          <w:rFonts w:ascii="Arial Narrow" w:hAnsi="Arial Narrow"/>
          <w:color w:val="000000"/>
          <w:lang w:val="es-ES" w:eastAsia="es-ES"/>
        </w:rPr>
      </w:pPr>
      <w:r w:rsidRPr="00B83B60">
        <w:rPr>
          <w:rFonts w:ascii="Arial Narrow" w:hAnsi="Arial Narrow"/>
          <w:color w:val="000000"/>
          <w:lang w:val="es-ES" w:eastAsia="es-ES"/>
        </w:rPr>
        <w:t xml:space="preserve">La Cámara procederá a efectuar las gestiones operativas previamente coordinadas con la BVC con el fin de ajustar las Operaciones Repo sobre </w:t>
      </w:r>
      <w:r w:rsidRPr="00B83B60">
        <w:rPr>
          <w:rFonts w:ascii="Arial Narrow" w:hAnsi="Arial Narrow"/>
          <w:lang w:eastAsia="es-ES"/>
        </w:rPr>
        <w:t>Valores de Renta Variable</w:t>
      </w:r>
      <w:r w:rsidRPr="00B83B60">
        <w:rPr>
          <w:rFonts w:ascii="Arial Narrow" w:hAnsi="Arial Narrow"/>
          <w:color w:val="000000"/>
          <w:lang w:val="es-ES_tradnl" w:eastAsia="es-ES"/>
        </w:rPr>
        <w:t xml:space="preserve"> de cada uno de los Miembros y de los Terceros,</w:t>
      </w:r>
      <w:r w:rsidRPr="00B83B60">
        <w:rPr>
          <w:rFonts w:ascii="Arial Narrow" w:hAnsi="Arial Narrow"/>
          <w:color w:val="000000"/>
          <w:lang w:val="es-ES" w:eastAsia="es-ES"/>
        </w:rPr>
        <w:t xml:space="preserve"> </w:t>
      </w:r>
      <w:r w:rsidRPr="00B83B60">
        <w:rPr>
          <w:rFonts w:ascii="Arial Narrow" w:hAnsi="Arial Narrow"/>
          <w:color w:val="000000"/>
          <w:lang w:val="es-ES_tradnl" w:eastAsia="es-ES"/>
        </w:rPr>
        <w:t>como consecuencia del evento corporativo</w:t>
      </w:r>
      <w:r w:rsidRPr="00B83B60">
        <w:rPr>
          <w:rFonts w:ascii="Arial Narrow" w:hAnsi="Arial Narrow"/>
          <w:color w:val="000000"/>
          <w:lang w:val="es-ES" w:eastAsia="es-ES"/>
        </w:rPr>
        <w:t>.</w:t>
      </w:r>
    </w:p>
    <w:p w14:paraId="40F3C2C1" w14:textId="77777777" w:rsidR="007968EC" w:rsidRPr="00B83B60" w:rsidRDefault="007968EC" w:rsidP="007968EC">
      <w:pPr>
        <w:contextualSpacing/>
        <w:jc w:val="both"/>
        <w:rPr>
          <w:rFonts w:ascii="Arial Narrow" w:hAnsi="Arial Narrow"/>
          <w:color w:val="000000"/>
          <w:lang w:val="es-ES" w:eastAsia="es-ES"/>
        </w:rPr>
      </w:pPr>
    </w:p>
    <w:p w14:paraId="62834040" w14:textId="77777777" w:rsidR="007968EC" w:rsidRPr="00B83B60" w:rsidRDefault="007968EC" w:rsidP="00DA7472">
      <w:pPr>
        <w:numPr>
          <w:ilvl w:val="0"/>
          <w:numId w:val="282"/>
        </w:numPr>
        <w:contextualSpacing/>
        <w:jc w:val="both"/>
        <w:rPr>
          <w:rFonts w:ascii="Arial Narrow" w:hAnsi="Arial Narrow"/>
          <w:color w:val="000000"/>
          <w:lang w:val="es-ES" w:eastAsia="es-ES"/>
        </w:rPr>
      </w:pPr>
      <w:r w:rsidRPr="00B83B60">
        <w:rPr>
          <w:rFonts w:ascii="Arial Narrow" w:hAnsi="Arial Narrow"/>
          <w:color w:val="000000"/>
          <w:lang w:val="es-ES_tradnl" w:eastAsia="es-ES"/>
        </w:rPr>
        <w:t xml:space="preserve">La Cámara temporalmente tendrá publicado en el Sistema dos nemotécnicos, la BVC informará con suficiente anticipación al mercado el nemotécnico que será negociable, al igual que las fechas en que será suspendido el nemotécnico que dejará de ser negociado. </w:t>
      </w:r>
    </w:p>
    <w:p w14:paraId="6044C4CB" w14:textId="77777777" w:rsidR="007968EC" w:rsidRPr="00B83B60" w:rsidRDefault="007968EC" w:rsidP="007968EC">
      <w:pPr>
        <w:contextualSpacing/>
        <w:jc w:val="both"/>
        <w:rPr>
          <w:rFonts w:ascii="Arial Narrow" w:hAnsi="Arial Narrow" w:cs="Arial"/>
          <w:color w:val="000000"/>
          <w:lang w:val="es-ES" w:eastAsia="es-ES"/>
        </w:rPr>
      </w:pPr>
    </w:p>
    <w:p w14:paraId="493E8F04" w14:textId="77777777" w:rsidR="007968EC" w:rsidRPr="00B83B60" w:rsidRDefault="007968EC" w:rsidP="00DA7472">
      <w:pPr>
        <w:numPr>
          <w:ilvl w:val="0"/>
          <w:numId w:val="282"/>
        </w:numPr>
        <w:contextualSpacing/>
        <w:jc w:val="both"/>
        <w:rPr>
          <w:rFonts w:ascii="Arial Narrow" w:hAnsi="Arial Narrow"/>
          <w:color w:val="000000"/>
          <w:lang w:val="es-ES_tradnl" w:eastAsia="es-ES"/>
        </w:rPr>
      </w:pPr>
      <w:r w:rsidRPr="00B83B60">
        <w:rPr>
          <w:rFonts w:ascii="Arial Narrow" w:hAnsi="Arial Narrow" w:cs="Arial"/>
          <w:color w:val="000000"/>
          <w:lang w:val="es-ES_tradnl" w:eastAsia="es-ES"/>
        </w:rPr>
        <w:t xml:space="preserve">La Cámara </w:t>
      </w:r>
      <w:r w:rsidRPr="00B83B60">
        <w:rPr>
          <w:rFonts w:ascii="Arial Narrow" w:hAnsi="Arial Narrow"/>
          <w:color w:val="000000"/>
          <w:lang w:val="es-ES_tradnl" w:eastAsia="es-ES"/>
        </w:rPr>
        <w:t xml:space="preserve">anunciará a los Miembros Liquidadores el resultado de sus posiciones y de las de sus Terceros y Miembros no Liquidadores y de las de los Terceros de éstos, después de realizar los ajustes que ocasiona el evento corporativo, previo al inicio de la negociación de las Operaciones Repo sobre </w:t>
      </w:r>
      <w:r w:rsidRPr="00B83B60">
        <w:rPr>
          <w:rFonts w:ascii="Arial Narrow" w:hAnsi="Arial Narrow"/>
          <w:lang w:eastAsia="es-ES"/>
        </w:rPr>
        <w:t>Valores de Renta Variable</w:t>
      </w:r>
      <w:r w:rsidRPr="00B83B60">
        <w:rPr>
          <w:rFonts w:ascii="Arial Narrow" w:hAnsi="Arial Narrow"/>
          <w:color w:val="000000"/>
          <w:lang w:val="es-ES_tradnl" w:eastAsia="es-ES"/>
        </w:rPr>
        <w:t xml:space="preserve"> por el evento corporativo.</w:t>
      </w:r>
    </w:p>
    <w:p w14:paraId="00015C2E" w14:textId="77777777" w:rsidR="007968EC" w:rsidRPr="00B83B60" w:rsidRDefault="007968EC" w:rsidP="007968EC">
      <w:pPr>
        <w:ind w:left="720"/>
        <w:contextualSpacing/>
        <w:rPr>
          <w:rFonts w:ascii="Arial Narrow" w:hAnsi="Arial Narrow"/>
          <w:color w:val="000000"/>
          <w:lang w:val="es-ES_tradnl" w:eastAsia="es-ES"/>
        </w:rPr>
      </w:pPr>
    </w:p>
    <w:p w14:paraId="4F3A0E60" w14:textId="77777777" w:rsidR="007968EC" w:rsidRPr="00B83B60" w:rsidRDefault="007968EC" w:rsidP="00DA7472">
      <w:pPr>
        <w:numPr>
          <w:ilvl w:val="0"/>
          <w:numId w:val="270"/>
        </w:numPr>
        <w:autoSpaceDE w:val="0"/>
        <w:autoSpaceDN w:val="0"/>
        <w:adjustRightInd w:val="0"/>
        <w:ind w:left="426" w:hanging="426"/>
        <w:contextualSpacing/>
        <w:jc w:val="both"/>
        <w:rPr>
          <w:rFonts w:ascii="Arial Narrow" w:hAnsi="Arial Narrow"/>
          <w:bCs/>
          <w:color w:val="000000"/>
          <w:lang w:eastAsia="es-CO"/>
        </w:rPr>
      </w:pPr>
      <w:r w:rsidRPr="00B83B60">
        <w:rPr>
          <w:rFonts w:ascii="Arial Narrow" w:hAnsi="Arial Narrow"/>
          <w:bCs/>
          <w:color w:val="000000"/>
          <w:lang w:val="es-ES_tradnl" w:eastAsia="es-CO"/>
        </w:rPr>
        <w:t>Activos recibidos en garantía: S</w:t>
      </w:r>
      <w:proofErr w:type="spellStart"/>
      <w:r w:rsidRPr="00B83B60">
        <w:rPr>
          <w:rFonts w:ascii="Arial Narrow" w:hAnsi="Arial Narrow"/>
          <w:bCs/>
          <w:color w:val="000000"/>
          <w:lang w:eastAsia="es-CO"/>
        </w:rPr>
        <w:t>e</w:t>
      </w:r>
      <w:proofErr w:type="spellEnd"/>
      <w:r w:rsidRPr="00B83B60">
        <w:rPr>
          <w:rFonts w:ascii="Arial Narrow" w:hAnsi="Arial Narrow"/>
          <w:bCs/>
          <w:color w:val="000000"/>
          <w:lang w:eastAsia="es-CO"/>
        </w:rPr>
        <w:t xml:space="preserve"> podrán constituir como Garantía por Posición para garantizar </w:t>
      </w:r>
      <w:r w:rsidRPr="00B83B60">
        <w:rPr>
          <w:rFonts w:ascii="Arial Narrow" w:hAnsi="Arial Narrow"/>
          <w:color w:val="000000"/>
          <w:lang w:eastAsia="es-CO"/>
        </w:rPr>
        <w:t>Posiciones</w:t>
      </w:r>
      <w:r w:rsidRPr="00B83B60">
        <w:rPr>
          <w:rFonts w:ascii="Arial Narrow" w:hAnsi="Arial Narrow"/>
          <w:bCs/>
          <w:color w:val="000000"/>
          <w:lang w:eastAsia="es-CO"/>
        </w:rPr>
        <w:t xml:space="preserve"> Abiertas en </w:t>
      </w:r>
      <w:r w:rsidRPr="00B83B60">
        <w:rPr>
          <w:rFonts w:ascii="Arial Narrow" w:hAnsi="Arial Narrow"/>
          <w:color w:val="000000"/>
          <w:lang w:val="es-ES_tradnl" w:eastAsia="es-CO"/>
        </w:rPr>
        <w:t>Operaciones Repo</w:t>
      </w:r>
      <w:r w:rsidRPr="00B83B60">
        <w:rPr>
          <w:rFonts w:ascii="Arial Narrow" w:hAnsi="Arial Narrow"/>
          <w:bCs/>
          <w:color w:val="000000"/>
          <w:lang w:eastAsia="es-CO"/>
        </w:rPr>
        <w:t xml:space="preserve">, </w:t>
      </w:r>
      <w:r w:rsidRPr="00B83B60">
        <w:rPr>
          <w:rFonts w:ascii="Arial Narrow" w:hAnsi="Arial Narrow"/>
          <w:lang w:eastAsia="es-ES"/>
        </w:rPr>
        <w:t xml:space="preserve">Valores de Renta Variable </w:t>
      </w:r>
      <w:r w:rsidRPr="00B83B60">
        <w:rPr>
          <w:rFonts w:ascii="Arial Narrow" w:hAnsi="Arial Narrow"/>
          <w:bCs/>
          <w:color w:val="000000"/>
          <w:lang w:eastAsia="es-CO"/>
        </w:rPr>
        <w:t>que sean Activo objeto de Operaciones Repo Susceptibles de ser Aceptadas por la Cámara.</w:t>
      </w:r>
    </w:p>
    <w:p w14:paraId="01466587" w14:textId="77777777" w:rsidR="007968EC" w:rsidRPr="00B83B60" w:rsidRDefault="007968EC" w:rsidP="007968EC">
      <w:pPr>
        <w:autoSpaceDE w:val="0"/>
        <w:autoSpaceDN w:val="0"/>
        <w:adjustRightInd w:val="0"/>
        <w:ind w:left="426"/>
        <w:jc w:val="both"/>
        <w:rPr>
          <w:rFonts w:ascii="Arial Narrow" w:hAnsi="Arial Narrow"/>
          <w:bCs/>
          <w:color w:val="000000"/>
          <w:lang w:eastAsia="es-CO"/>
        </w:rPr>
      </w:pPr>
    </w:p>
    <w:p w14:paraId="04B1958F" w14:textId="77777777" w:rsidR="007968EC" w:rsidRPr="00B83B60" w:rsidRDefault="007968EC" w:rsidP="007968EC">
      <w:pPr>
        <w:autoSpaceDE w:val="0"/>
        <w:autoSpaceDN w:val="0"/>
        <w:adjustRightInd w:val="0"/>
        <w:ind w:left="426"/>
        <w:jc w:val="both"/>
        <w:rPr>
          <w:rFonts w:ascii="Arial Narrow" w:hAnsi="Arial Narrow"/>
          <w:bCs/>
          <w:color w:val="000000"/>
          <w:lang w:eastAsia="es-CO"/>
        </w:rPr>
      </w:pPr>
      <w:r w:rsidRPr="00B83B60">
        <w:rPr>
          <w:rFonts w:ascii="Arial Narrow" w:hAnsi="Arial Narrow"/>
          <w:bCs/>
          <w:color w:val="000000"/>
          <w:lang w:eastAsia="es-CO"/>
        </w:rPr>
        <w:t xml:space="preserve">Para que </w:t>
      </w:r>
      <w:r w:rsidRPr="00B83B60">
        <w:rPr>
          <w:rFonts w:ascii="Arial Narrow" w:hAnsi="Arial Narrow"/>
          <w:lang w:eastAsia="es-ES"/>
        </w:rPr>
        <w:t xml:space="preserve">los Valores de Renta Variable </w:t>
      </w:r>
      <w:r w:rsidRPr="00B83B60">
        <w:rPr>
          <w:rFonts w:ascii="Arial Narrow" w:hAnsi="Arial Narrow"/>
          <w:bCs/>
          <w:color w:val="000000"/>
          <w:lang w:eastAsia="es-CO"/>
        </w:rPr>
        <w:t>depositados en la Cámara como Garantía por Posición de una Posición Abierta en Operaciones Repo computen para el cálculo del Riesgo Intradía Cliente/Titular, el titular de la Cuenta deberá cumplir con los siguientes requisitos:</w:t>
      </w:r>
    </w:p>
    <w:p w14:paraId="2BC33431" w14:textId="77777777" w:rsidR="007968EC" w:rsidRPr="00B83B60" w:rsidRDefault="007968EC" w:rsidP="007968EC">
      <w:pPr>
        <w:autoSpaceDE w:val="0"/>
        <w:autoSpaceDN w:val="0"/>
        <w:ind w:left="708" w:hanging="708"/>
        <w:jc w:val="both"/>
        <w:rPr>
          <w:rFonts w:ascii="Arial Narrow" w:hAnsi="Arial Narrow"/>
          <w:bCs/>
          <w:color w:val="000000"/>
          <w:lang w:eastAsia="es-ES"/>
        </w:rPr>
      </w:pPr>
    </w:p>
    <w:p w14:paraId="7AB60556" w14:textId="77777777" w:rsidR="007968EC" w:rsidRPr="00B83B60" w:rsidRDefault="007968EC" w:rsidP="00DA7472">
      <w:pPr>
        <w:numPr>
          <w:ilvl w:val="0"/>
          <w:numId w:val="283"/>
        </w:numPr>
        <w:autoSpaceDE w:val="0"/>
        <w:autoSpaceDN w:val="0"/>
        <w:ind w:left="709" w:hanging="283"/>
        <w:contextualSpacing/>
        <w:jc w:val="both"/>
        <w:rPr>
          <w:rFonts w:ascii="Arial Narrow" w:hAnsi="Arial Narrow"/>
          <w:bCs/>
          <w:color w:val="000000"/>
          <w:lang w:eastAsia="es-CO"/>
        </w:rPr>
      </w:pPr>
      <w:r w:rsidRPr="00B83B60">
        <w:rPr>
          <w:rFonts w:ascii="Arial Narrow" w:hAnsi="Arial Narrow"/>
          <w:bCs/>
          <w:color w:val="000000"/>
          <w:lang w:eastAsia="es-CO"/>
        </w:rPr>
        <w:t xml:space="preserve">La cuenta cuyas Posiciones Abiertas pretendan garantizarse deberá destinarse exclusivamente al registro de Operaciones Repo </w:t>
      </w:r>
      <w:r w:rsidRPr="00B83B60">
        <w:rPr>
          <w:rFonts w:ascii="Arial Narrow" w:hAnsi="Arial Narrow"/>
          <w:color w:val="000000"/>
          <w:lang w:val="es-ES_tradnl" w:eastAsia="es-ES"/>
        </w:rPr>
        <w:t xml:space="preserve">sobre </w:t>
      </w:r>
      <w:r w:rsidRPr="00B83B60">
        <w:rPr>
          <w:rFonts w:ascii="Arial Narrow" w:hAnsi="Arial Narrow"/>
          <w:lang w:eastAsia="es-ES"/>
        </w:rPr>
        <w:t>Valores de Renta Variable</w:t>
      </w:r>
      <w:r w:rsidRPr="00B83B60">
        <w:rPr>
          <w:rFonts w:ascii="Arial Narrow" w:hAnsi="Arial Narrow"/>
          <w:bCs/>
          <w:color w:val="000000"/>
          <w:lang w:eastAsia="es-CO"/>
        </w:rPr>
        <w:t xml:space="preserve"> y Futuros sobre acciones.</w:t>
      </w:r>
    </w:p>
    <w:p w14:paraId="33F7A460" w14:textId="77777777" w:rsidR="007968EC" w:rsidRPr="00B83B60" w:rsidRDefault="007968EC" w:rsidP="007968EC">
      <w:pPr>
        <w:autoSpaceDE w:val="0"/>
        <w:autoSpaceDN w:val="0"/>
        <w:ind w:left="709"/>
        <w:jc w:val="both"/>
        <w:rPr>
          <w:rFonts w:ascii="Arial Narrow" w:hAnsi="Arial Narrow"/>
          <w:bCs/>
          <w:color w:val="000000"/>
          <w:lang w:eastAsia="es-CO"/>
        </w:rPr>
      </w:pPr>
    </w:p>
    <w:p w14:paraId="3E69B6F0" w14:textId="77777777" w:rsidR="007968EC" w:rsidRPr="00B83B60" w:rsidRDefault="007968EC" w:rsidP="00DA7472">
      <w:pPr>
        <w:numPr>
          <w:ilvl w:val="0"/>
          <w:numId w:val="283"/>
        </w:numPr>
        <w:autoSpaceDE w:val="0"/>
        <w:autoSpaceDN w:val="0"/>
        <w:ind w:left="709" w:hanging="283"/>
        <w:contextualSpacing/>
        <w:jc w:val="both"/>
        <w:rPr>
          <w:rFonts w:ascii="Arial Narrow" w:hAnsi="Arial Narrow"/>
          <w:bCs/>
          <w:color w:val="000000"/>
          <w:lang w:eastAsia="es-CO"/>
        </w:rPr>
      </w:pPr>
      <w:r w:rsidRPr="00B83B60">
        <w:rPr>
          <w:rFonts w:ascii="Arial Narrow" w:hAnsi="Arial Narrow"/>
          <w:bCs/>
          <w:color w:val="000000"/>
          <w:lang w:eastAsia="es-CO"/>
        </w:rPr>
        <w:t xml:space="preserve">El Administrador del Miembro deberá informar a través del SAS que la Cuenta se destinará al registro exclusivo de Operaciones Repo </w:t>
      </w:r>
      <w:r w:rsidRPr="00B83B60">
        <w:rPr>
          <w:rFonts w:ascii="Arial Narrow" w:hAnsi="Arial Narrow"/>
          <w:color w:val="000000"/>
          <w:lang w:val="es-ES_tradnl" w:eastAsia="es-ES"/>
        </w:rPr>
        <w:t xml:space="preserve">sobre </w:t>
      </w:r>
      <w:r w:rsidRPr="00B83B60">
        <w:rPr>
          <w:rFonts w:ascii="Arial Narrow" w:hAnsi="Arial Narrow"/>
          <w:lang w:eastAsia="es-ES"/>
        </w:rPr>
        <w:t xml:space="preserve">Valores de Renta Variable </w:t>
      </w:r>
      <w:r w:rsidRPr="00B83B60">
        <w:rPr>
          <w:rFonts w:ascii="Arial Narrow" w:hAnsi="Arial Narrow"/>
          <w:bCs/>
          <w:color w:val="000000"/>
          <w:lang w:eastAsia="es-CO"/>
        </w:rPr>
        <w:t>y Futuros sobre acciones.</w:t>
      </w:r>
    </w:p>
    <w:p w14:paraId="789BFAA3" w14:textId="77777777" w:rsidR="007968EC" w:rsidRPr="00B83B60" w:rsidRDefault="007968EC" w:rsidP="007968EC">
      <w:pPr>
        <w:ind w:left="708"/>
        <w:rPr>
          <w:rFonts w:ascii="Arial Narrow" w:hAnsi="Arial Narrow"/>
          <w:bCs/>
          <w:color w:val="000000"/>
          <w:lang w:eastAsia="es-CO"/>
        </w:rPr>
      </w:pPr>
    </w:p>
    <w:p w14:paraId="12EB3D2C" w14:textId="77777777" w:rsidR="007968EC" w:rsidRPr="00B83B60" w:rsidRDefault="007968EC" w:rsidP="00DA7472">
      <w:pPr>
        <w:numPr>
          <w:ilvl w:val="0"/>
          <w:numId w:val="283"/>
        </w:numPr>
        <w:autoSpaceDE w:val="0"/>
        <w:autoSpaceDN w:val="0"/>
        <w:ind w:left="709" w:hanging="283"/>
        <w:contextualSpacing/>
        <w:jc w:val="both"/>
        <w:rPr>
          <w:rFonts w:ascii="Arial Narrow" w:hAnsi="Arial Narrow"/>
          <w:bCs/>
          <w:color w:val="000000"/>
          <w:lang w:eastAsia="es-CO"/>
        </w:rPr>
      </w:pPr>
      <w:r w:rsidRPr="00B83B60">
        <w:rPr>
          <w:rFonts w:ascii="Arial Narrow" w:hAnsi="Arial Narrow"/>
          <w:bCs/>
          <w:color w:val="000000"/>
          <w:lang w:eastAsia="es-CO"/>
        </w:rPr>
        <w:lastRenderedPageBreak/>
        <w:t xml:space="preserve">El límite máximo de Garantías por Posición a constituir en </w:t>
      </w:r>
      <w:r w:rsidRPr="00B83B60">
        <w:rPr>
          <w:rFonts w:ascii="Arial Narrow" w:hAnsi="Arial Narrow"/>
          <w:lang w:eastAsia="es-ES"/>
        </w:rPr>
        <w:t xml:space="preserve">Valores de Renta Variable </w:t>
      </w:r>
      <w:r w:rsidRPr="00B83B60">
        <w:rPr>
          <w:rFonts w:ascii="Arial Narrow" w:hAnsi="Arial Narrow"/>
          <w:bCs/>
          <w:color w:val="000000"/>
          <w:lang w:eastAsia="es-CO"/>
        </w:rPr>
        <w:t>para cubrir los requerimientos de Garantías por Posición de la respectiva Cuenta calculado por la Cámara será aquel que represente el 30% del promedio diario del valor negociado en el mercado del Valor de Renta Variable correspondiente durante el mes inmediatamente anterior</w:t>
      </w:r>
      <w:r w:rsidRPr="00B83B60">
        <w:rPr>
          <w:rFonts w:ascii="Arial Narrow" w:eastAsia="Calibri" w:hAnsi="Arial Narrow"/>
          <w:bCs/>
          <w:color w:val="000000" w:themeColor="text1"/>
          <w:lang w:eastAsia="es-CO"/>
        </w:rPr>
        <w:t>.</w:t>
      </w:r>
    </w:p>
    <w:p w14:paraId="6596817F" w14:textId="77777777" w:rsidR="007968EC" w:rsidRPr="00B83B60" w:rsidRDefault="007968EC" w:rsidP="007968EC">
      <w:pPr>
        <w:ind w:left="708"/>
        <w:rPr>
          <w:rFonts w:ascii="Arial Narrow" w:eastAsia="Calibri" w:hAnsi="Arial Narrow" w:cs="Arial"/>
          <w:color w:val="000000"/>
          <w:lang w:eastAsia="es-CO"/>
        </w:rPr>
      </w:pPr>
    </w:p>
    <w:p w14:paraId="59F2CE09" w14:textId="77777777" w:rsidR="007968EC" w:rsidRPr="00B83B60" w:rsidRDefault="007968EC" w:rsidP="007968EC">
      <w:pPr>
        <w:autoSpaceDE w:val="0"/>
        <w:autoSpaceDN w:val="0"/>
        <w:ind w:left="709"/>
        <w:jc w:val="both"/>
        <w:rPr>
          <w:rFonts w:ascii="Arial Narrow" w:hAnsi="Arial Narrow"/>
          <w:bCs/>
          <w:color w:val="000000"/>
          <w:lang w:eastAsia="es-CO"/>
        </w:rPr>
      </w:pPr>
      <w:r w:rsidRPr="00B83B60">
        <w:rPr>
          <w:rFonts w:ascii="Arial Narrow" w:eastAsia="Calibri" w:hAnsi="Arial Narrow" w:cs="Arial"/>
          <w:color w:val="000000"/>
          <w:lang w:eastAsia="es-CO"/>
        </w:rPr>
        <w:t xml:space="preserve">El </w:t>
      </w:r>
      <w:r w:rsidRPr="00B83B60">
        <w:rPr>
          <w:rFonts w:ascii="Arial Narrow" w:hAnsi="Arial Narrow"/>
          <w:bCs/>
          <w:color w:val="000000"/>
          <w:lang w:eastAsia="es-CO"/>
        </w:rPr>
        <w:t>cálculo del límite se hará frente a la sumatoria de las acciones o ETF constituidos como Garantías por Posición de todas las Cuentas de la estructura de Cuentas de un Miembro Liquidador</w:t>
      </w:r>
      <w:r w:rsidRPr="00B83B60">
        <w:rPr>
          <w:rFonts w:ascii="Arial Narrow" w:eastAsia="Calibri" w:hAnsi="Arial Narrow"/>
          <w:bCs/>
          <w:color w:val="000000" w:themeColor="text1"/>
          <w:lang w:eastAsia="es-CO"/>
        </w:rPr>
        <w:t xml:space="preserve"> en </w:t>
      </w:r>
      <w:r w:rsidRPr="00B83B60">
        <w:rPr>
          <w:rFonts w:ascii="Arial Narrow" w:eastAsia="Calibri" w:hAnsi="Arial Narrow"/>
          <w:bCs/>
          <w:color w:val="000000" w:themeColor="text1"/>
        </w:rPr>
        <w:t>el presente Segmento</w:t>
      </w:r>
      <w:r w:rsidRPr="00B83B60">
        <w:rPr>
          <w:rFonts w:ascii="Arial Narrow" w:eastAsia="Calibri" w:hAnsi="Arial Narrow"/>
          <w:bCs/>
          <w:color w:val="000000" w:themeColor="text1"/>
          <w:lang w:eastAsia="es-CO"/>
        </w:rPr>
        <w:t>.</w:t>
      </w:r>
      <w:r w:rsidRPr="00B83B60">
        <w:rPr>
          <w:rFonts w:ascii="Arial Narrow" w:hAnsi="Arial Narrow"/>
          <w:bCs/>
          <w:color w:val="000000"/>
          <w:lang w:eastAsia="es-CO"/>
        </w:rPr>
        <w:t xml:space="preserve">  </w:t>
      </w:r>
    </w:p>
    <w:p w14:paraId="52D7147F" w14:textId="77777777" w:rsidR="007968EC" w:rsidRPr="00B83B60" w:rsidRDefault="007968EC" w:rsidP="007968EC">
      <w:pPr>
        <w:autoSpaceDE w:val="0"/>
        <w:autoSpaceDN w:val="0"/>
        <w:ind w:left="709"/>
        <w:jc w:val="both"/>
        <w:rPr>
          <w:rFonts w:ascii="Arial Narrow" w:hAnsi="Arial Narrow" w:cs="Arial"/>
          <w:color w:val="000000"/>
          <w:lang w:eastAsia="es-CO"/>
        </w:rPr>
      </w:pPr>
    </w:p>
    <w:p w14:paraId="203A3530" w14:textId="77777777" w:rsidR="007968EC" w:rsidRPr="00B83B60" w:rsidRDefault="007968EC" w:rsidP="007968EC">
      <w:pPr>
        <w:autoSpaceDE w:val="0"/>
        <w:autoSpaceDN w:val="0"/>
        <w:ind w:left="709"/>
        <w:jc w:val="both"/>
        <w:rPr>
          <w:rFonts w:ascii="Arial Narrow" w:hAnsi="Arial Narrow"/>
          <w:bCs/>
          <w:color w:val="000000"/>
          <w:lang w:eastAsia="es-CO"/>
        </w:rPr>
      </w:pPr>
      <w:r w:rsidRPr="00B83B60">
        <w:rPr>
          <w:rFonts w:ascii="Arial Narrow" w:hAnsi="Arial Narrow" w:cs="Arial"/>
          <w:color w:val="000000"/>
          <w:lang w:eastAsia="es-CO"/>
        </w:rPr>
        <w:t xml:space="preserve">En el evento </w:t>
      </w:r>
      <w:r w:rsidRPr="00B83B60">
        <w:rPr>
          <w:rFonts w:ascii="Arial Narrow" w:hAnsi="Arial Narrow"/>
          <w:bCs/>
          <w:color w:val="000000"/>
          <w:lang w:eastAsia="es-CO"/>
        </w:rPr>
        <w:t xml:space="preserve">en que el titular de Cuenta registre operaciones distintas a Operaciones Repo </w:t>
      </w:r>
      <w:r w:rsidRPr="00B83B60">
        <w:rPr>
          <w:rFonts w:ascii="Arial Narrow" w:hAnsi="Arial Narrow"/>
          <w:color w:val="000000"/>
          <w:lang w:val="es-ES_tradnl" w:eastAsia="es-ES"/>
        </w:rPr>
        <w:t xml:space="preserve">sobre </w:t>
      </w:r>
      <w:r w:rsidRPr="00B83B60">
        <w:rPr>
          <w:rFonts w:ascii="Arial Narrow" w:hAnsi="Arial Narrow"/>
          <w:lang w:eastAsia="es-ES"/>
        </w:rPr>
        <w:t xml:space="preserve">Valores de Renta Variable </w:t>
      </w:r>
      <w:r w:rsidRPr="00B83B60">
        <w:rPr>
          <w:rFonts w:ascii="Arial Narrow" w:hAnsi="Arial Narrow"/>
          <w:bCs/>
          <w:color w:val="000000"/>
          <w:lang w:eastAsia="es-CO"/>
        </w:rPr>
        <w:t xml:space="preserve">o Futuros sobre acciones, las acciones o ETF entregados como Garantía sólo computarán para el cálculo de la Garantía por Posición exigida, si antes de finalizar la Sesión de Cierre de Cámara del mismo día en que se registraron dichas Operaciones, el titular de la Cuenta realiza el cierre de tales Posiciones Abiertas, o realiza alguno de los tipos de gestión de Operaciones indicados en la presente Circular. </w:t>
      </w:r>
    </w:p>
    <w:p w14:paraId="74173F3C" w14:textId="77777777" w:rsidR="007968EC" w:rsidRPr="00B83B60" w:rsidRDefault="007968EC" w:rsidP="007968EC">
      <w:pPr>
        <w:autoSpaceDE w:val="0"/>
        <w:autoSpaceDN w:val="0"/>
        <w:ind w:left="709"/>
        <w:jc w:val="both"/>
        <w:rPr>
          <w:rFonts w:ascii="Arial Narrow" w:hAnsi="Arial Narrow"/>
          <w:bCs/>
          <w:color w:val="000000"/>
          <w:lang w:eastAsia="es-CO"/>
        </w:rPr>
      </w:pPr>
    </w:p>
    <w:p w14:paraId="3AE1E7F8" w14:textId="77777777" w:rsidR="007968EC" w:rsidRPr="00B83B60" w:rsidRDefault="007968EC" w:rsidP="007968EC">
      <w:pPr>
        <w:autoSpaceDE w:val="0"/>
        <w:autoSpaceDN w:val="0"/>
        <w:ind w:left="709"/>
        <w:jc w:val="both"/>
        <w:rPr>
          <w:rFonts w:ascii="Arial Narrow" w:hAnsi="Arial Narrow"/>
          <w:bCs/>
          <w:color w:val="000000"/>
          <w:lang w:eastAsia="es-CO"/>
        </w:rPr>
      </w:pPr>
      <w:r w:rsidRPr="00B83B60">
        <w:rPr>
          <w:rFonts w:ascii="Arial Narrow" w:hAnsi="Arial Narrow"/>
          <w:bCs/>
          <w:color w:val="000000"/>
          <w:lang w:eastAsia="es-CO"/>
        </w:rPr>
        <w:t>En caso contrario, el titular de la Cuenta deberá constituir las Garantías exigidas en los Activos indicados en los numerales 1 y 2 del artículo 1.6.4.1. de la presenta Circular.</w:t>
      </w:r>
    </w:p>
    <w:p w14:paraId="078CE2A6" w14:textId="77777777" w:rsidR="007968EC" w:rsidRPr="00B83B60" w:rsidRDefault="007968EC" w:rsidP="007968EC">
      <w:pPr>
        <w:autoSpaceDE w:val="0"/>
        <w:autoSpaceDN w:val="0"/>
        <w:ind w:left="709"/>
        <w:jc w:val="both"/>
        <w:rPr>
          <w:rFonts w:ascii="Arial Narrow" w:hAnsi="Arial Narrow"/>
          <w:bCs/>
          <w:color w:val="000000"/>
          <w:lang w:eastAsia="es-CO"/>
        </w:rPr>
      </w:pPr>
    </w:p>
    <w:p w14:paraId="42DFADB5" w14:textId="77777777" w:rsidR="007968EC" w:rsidRPr="00B83B60" w:rsidRDefault="007968EC" w:rsidP="007968EC">
      <w:pPr>
        <w:autoSpaceDE w:val="0"/>
        <w:autoSpaceDN w:val="0"/>
        <w:ind w:left="709"/>
        <w:jc w:val="both"/>
        <w:rPr>
          <w:rFonts w:ascii="Arial Narrow" w:hAnsi="Arial Narrow"/>
          <w:bCs/>
          <w:color w:val="000000"/>
          <w:lang w:eastAsia="es-CO"/>
        </w:rPr>
      </w:pPr>
      <w:r w:rsidRPr="00B83B60">
        <w:rPr>
          <w:rFonts w:ascii="Arial Narrow" w:hAnsi="Arial Narrow"/>
          <w:bCs/>
          <w:color w:val="000000"/>
          <w:lang w:eastAsia="es-CO"/>
        </w:rPr>
        <w:t>Igualmente, en el evento en que se exceda el límite máximo de Garantías por Posición a constituir en acciones o ETF de conformidad con lo dispuesto en el literal c. anterior, el Miembro Liquidador deberá proceder a la constitución de Garantías exigidas en los Activos indicados en los numerales 1 y 2 del artículo 1.6.4.1. de la presente Circular, por la diferencia entre el límite máximo y el valor de la Garantía exigida.</w:t>
      </w:r>
    </w:p>
    <w:p w14:paraId="1A17C376" w14:textId="77777777" w:rsidR="007968EC" w:rsidRPr="00B83B60" w:rsidRDefault="007968EC" w:rsidP="007968EC">
      <w:pPr>
        <w:autoSpaceDE w:val="0"/>
        <w:autoSpaceDN w:val="0"/>
        <w:ind w:left="709"/>
        <w:jc w:val="both"/>
        <w:rPr>
          <w:rFonts w:ascii="Arial Narrow" w:hAnsi="Arial Narrow"/>
          <w:bCs/>
          <w:color w:val="000000"/>
          <w:lang w:eastAsia="es-CO"/>
        </w:rPr>
      </w:pPr>
    </w:p>
    <w:p w14:paraId="1CB23D04" w14:textId="77777777" w:rsidR="007968EC" w:rsidRPr="00B83B60" w:rsidRDefault="007968EC" w:rsidP="007968EC">
      <w:pPr>
        <w:autoSpaceDE w:val="0"/>
        <w:autoSpaceDN w:val="0"/>
        <w:ind w:left="709"/>
        <w:jc w:val="both"/>
        <w:rPr>
          <w:rFonts w:ascii="Arial Narrow" w:hAnsi="Arial Narrow"/>
          <w:bCs/>
          <w:color w:val="000000"/>
          <w:lang w:eastAsia="es-CO"/>
        </w:rPr>
      </w:pPr>
      <w:r w:rsidRPr="00B83B60">
        <w:rPr>
          <w:rFonts w:ascii="Arial Narrow" w:hAnsi="Arial Narrow"/>
          <w:bCs/>
          <w:color w:val="000000"/>
          <w:lang w:eastAsia="es-CO"/>
        </w:rPr>
        <w:t>La constitución de las Garantías deberá llevarse a cabo de conformidad con lo previsto en los artículos 1.6.4.3., 1.6.4.4. y 1.6.4.5. de la presente Circular.</w:t>
      </w:r>
    </w:p>
    <w:p w14:paraId="7CDB904D" w14:textId="77777777" w:rsidR="007968EC" w:rsidRPr="00B83B60" w:rsidRDefault="007968EC" w:rsidP="007968EC">
      <w:pPr>
        <w:autoSpaceDE w:val="0"/>
        <w:autoSpaceDN w:val="0"/>
        <w:jc w:val="both"/>
        <w:rPr>
          <w:rFonts w:ascii="Arial Narrow" w:eastAsia="Calibri" w:hAnsi="Arial Narrow"/>
          <w:lang w:eastAsia="es-ES"/>
        </w:rPr>
      </w:pPr>
    </w:p>
    <w:p w14:paraId="0E3BCF9D" w14:textId="77777777" w:rsidR="007968EC" w:rsidRPr="00B83B60" w:rsidRDefault="007968EC" w:rsidP="00DA7472">
      <w:pPr>
        <w:numPr>
          <w:ilvl w:val="0"/>
          <w:numId w:val="270"/>
        </w:numPr>
        <w:autoSpaceDE w:val="0"/>
        <w:autoSpaceDN w:val="0"/>
        <w:adjustRightInd w:val="0"/>
        <w:ind w:left="426" w:hanging="426"/>
        <w:jc w:val="both"/>
        <w:rPr>
          <w:rFonts w:ascii="Arial Narrow" w:eastAsia="Calibri" w:hAnsi="Arial Narrow"/>
        </w:rPr>
      </w:pPr>
      <w:r w:rsidRPr="00B83B60">
        <w:rPr>
          <w:rFonts w:ascii="Arial Narrow" w:eastAsia="Calibri" w:hAnsi="Arial Narrow"/>
        </w:rPr>
        <w:t>Derechos: De conformidad con el Reglamento de la Bolsa y sin perjuicio de la función de interposición como contrapartida central de la Cámara, el Enajenante inicial transferirá al Adquirente inicial la propiedad de los Activos objeto de la Operación Repo, conservando para si los derechos políticos y económicos derivados de los Activos objeto de la Operación Repo, correspondiéndole en consecuencia al Enajenante inicial el derecho a los dividendos ordinarios y extraordinarios que sean exigibles, decreten y causen entre la Liquidación del flujo inicial y la Liquidación del flujo de regreso, y los derechos de suscripción, que se lleguen a presentar en ese mismo período, así como los derechos a inspeccionar libremente los libros y papeles sociales dentro de los quince (15) días anteriores a las reuniones de la asamblea general en que se examinen los balances de fin del ejercicio y a participar en las deliberaciones de la asamblea general de accionistas y a votar en ellas.</w:t>
      </w:r>
    </w:p>
    <w:p w14:paraId="27987468" w14:textId="77777777" w:rsidR="007968EC" w:rsidRPr="00B83B60" w:rsidRDefault="007968EC" w:rsidP="007968EC">
      <w:pPr>
        <w:ind w:left="644"/>
        <w:contextualSpacing/>
        <w:jc w:val="both"/>
        <w:rPr>
          <w:rFonts w:ascii="Arial Narrow" w:eastAsia="Calibri" w:hAnsi="Arial Narrow"/>
        </w:rPr>
      </w:pPr>
    </w:p>
    <w:p w14:paraId="1EB6805E" w14:textId="77777777" w:rsidR="007968EC" w:rsidRPr="00B83B60" w:rsidRDefault="007968EC" w:rsidP="007968EC">
      <w:pPr>
        <w:ind w:left="426"/>
        <w:contextualSpacing/>
        <w:jc w:val="both"/>
        <w:rPr>
          <w:rFonts w:ascii="Arial Narrow" w:eastAsia="Calibri" w:hAnsi="Arial Narrow"/>
        </w:rPr>
      </w:pPr>
      <w:r w:rsidRPr="00B83B60">
        <w:rPr>
          <w:rFonts w:ascii="Arial Narrow" w:eastAsia="Calibri" w:hAnsi="Arial Narrow"/>
        </w:rPr>
        <w:t xml:space="preserve">Si durante el plazo de la Operación Repo, tuviere lugar un </w:t>
      </w:r>
      <w:proofErr w:type="spellStart"/>
      <w:r w:rsidRPr="00B83B60">
        <w:rPr>
          <w:rFonts w:ascii="Arial Narrow" w:eastAsia="Calibri" w:hAnsi="Arial Narrow"/>
        </w:rPr>
        <w:t>split</w:t>
      </w:r>
      <w:proofErr w:type="spellEnd"/>
      <w:r w:rsidRPr="00B83B60">
        <w:rPr>
          <w:rFonts w:ascii="Arial Narrow" w:eastAsia="Calibri" w:hAnsi="Arial Narrow"/>
        </w:rPr>
        <w:t>, escisión o una reducción del capital suscrito con el correspondiente reembolso de aportes por parte del emisor de los valores que son objeto de la Operación, los nuevos valores o el derecho a recibir estos aportes corresponderán al Enajenante inicial – Adquirente final.</w:t>
      </w:r>
    </w:p>
    <w:p w14:paraId="5A674DAB" w14:textId="77777777" w:rsidR="007968EC" w:rsidRPr="00B83B60" w:rsidRDefault="007968EC" w:rsidP="007968EC">
      <w:pPr>
        <w:tabs>
          <w:tab w:val="left" w:pos="4343"/>
        </w:tabs>
        <w:ind w:left="644"/>
        <w:contextualSpacing/>
        <w:jc w:val="both"/>
        <w:rPr>
          <w:rFonts w:ascii="Arial Narrow" w:eastAsia="Calibri" w:hAnsi="Arial Narrow"/>
        </w:rPr>
      </w:pPr>
    </w:p>
    <w:p w14:paraId="481B89D0" w14:textId="77777777" w:rsidR="007968EC" w:rsidRPr="00B83B60" w:rsidRDefault="007968EC" w:rsidP="00DA7472">
      <w:pPr>
        <w:numPr>
          <w:ilvl w:val="0"/>
          <w:numId w:val="270"/>
        </w:numPr>
        <w:ind w:left="426"/>
        <w:contextualSpacing/>
        <w:jc w:val="both"/>
        <w:rPr>
          <w:rFonts w:ascii="Arial Narrow" w:eastAsia="Calibri" w:hAnsi="Arial Narrow"/>
        </w:rPr>
      </w:pPr>
      <w:r w:rsidRPr="00B83B60">
        <w:rPr>
          <w:rFonts w:ascii="Arial Narrow" w:eastAsia="Calibri" w:hAnsi="Arial Narrow"/>
        </w:rPr>
        <w:t xml:space="preserve">Condiciones especiales para Operaciones Repo: De acuerdo con el Reglamento de la Bolsa para la celebración de Operaciones Repo es responsabilidad del Miembro la suscripción de cartas de compromiso por parte de los Terceros para la celebración de las Operaciones Repo, en los términos establecidos por la Bolsa. </w:t>
      </w:r>
    </w:p>
    <w:p w14:paraId="6382D198" w14:textId="77777777" w:rsidR="007968EC" w:rsidRPr="00B83B60" w:rsidRDefault="007968EC" w:rsidP="007968EC">
      <w:pPr>
        <w:contextualSpacing/>
        <w:jc w:val="both"/>
        <w:rPr>
          <w:rFonts w:ascii="Arial Narrow" w:eastAsia="Calibri" w:hAnsi="Arial Narrow"/>
        </w:rPr>
      </w:pPr>
    </w:p>
    <w:p w14:paraId="2CAF96AD" w14:textId="77777777" w:rsidR="007968EC" w:rsidRPr="00B83B60" w:rsidRDefault="007968EC" w:rsidP="00DA7472">
      <w:pPr>
        <w:numPr>
          <w:ilvl w:val="0"/>
          <w:numId w:val="270"/>
        </w:numPr>
        <w:ind w:left="426" w:hanging="426"/>
        <w:contextualSpacing/>
        <w:jc w:val="both"/>
        <w:rPr>
          <w:rFonts w:ascii="Arial Narrow" w:eastAsia="Calibri" w:hAnsi="Arial Narrow"/>
        </w:rPr>
      </w:pPr>
      <w:r w:rsidRPr="00B83B60">
        <w:rPr>
          <w:rFonts w:ascii="Arial Narrow" w:eastAsia="Calibri" w:hAnsi="Arial Narrow"/>
          <w:bCs/>
          <w:lang w:eastAsia="es-CO"/>
        </w:rPr>
        <w:t>Proceso</w:t>
      </w:r>
      <w:r w:rsidRPr="00B83B60">
        <w:rPr>
          <w:rFonts w:ascii="Arial Narrow" w:eastAsia="Calibri" w:hAnsi="Arial Narrow"/>
        </w:rPr>
        <w:t xml:space="preserve"> de Entrega en caso de Retardo de un Miembro en el proceso de Liquidación al Vencimiento de una Operación Repo.</w:t>
      </w:r>
    </w:p>
    <w:p w14:paraId="6734383F" w14:textId="77777777" w:rsidR="007968EC" w:rsidRPr="00B83B60" w:rsidRDefault="007968EC" w:rsidP="007968EC">
      <w:pPr>
        <w:autoSpaceDE w:val="0"/>
        <w:autoSpaceDN w:val="0"/>
        <w:adjustRightInd w:val="0"/>
        <w:ind w:left="317"/>
        <w:contextualSpacing/>
        <w:jc w:val="both"/>
        <w:rPr>
          <w:rFonts w:ascii="Arial Narrow" w:eastAsia="Calibri" w:hAnsi="Arial Narrow"/>
        </w:rPr>
      </w:pPr>
    </w:p>
    <w:p w14:paraId="595EBB14" w14:textId="77777777" w:rsidR="007968EC" w:rsidRPr="00B83B60" w:rsidRDefault="007968EC" w:rsidP="007968EC">
      <w:pPr>
        <w:ind w:left="426"/>
        <w:jc w:val="both"/>
        <w:rPr>
          <w:rFonts w:ascii="Arial Narrow" w:eastAsia="Calibri" w:hAnsi="Arial Narrow"/>
        </w:rPr>
      </w:pPr>
      <w:r w:rsidRPr="00B83B60">
        <w:rPr>
          <w:rFonts w:ascii="Arial Narrow" w:eastAsia="Calibri" w:hAnsi="Arial Narrow"/>
        </w:rPr>
        <w:t>Sin perjuicio de lo establecido en los artículos 1.7.1.2. y 1.7.1.3. de la presente Circular, en el evento de retardo de que trata el numeral 2 del artículo 1.7.1.1. de la Circular, la Cámara declara el Retardo del Miembro Liquidador en los siguientes eventos:</w:t>
      </w:r>
    </w:p>
    <w:p w14:paraId="223BC137" w14:textId="77777777" w:rsidR="007968EC" w:rsidRPr="00B83B60" w:rsidRDefault="007968EC" w:rsidP="007968EC">
      <w:pPr>
        <w:jc w:val="both"/>
        <w:rPr>
          <w:rFonts w:ascii="Arial Narrow" w:eastAsia="Calibri" w:hAnsi="Arial Narrow"/>
        </w:rPr>
      </w:pPr>
    </w:p>
    <w:p w14:paraId="69701160" w14:textId="77777777" w:rsidR="007968EC" w:rsidRPr="00B83B60" w:rsidRDefault="007968EC" w:rsidP="00DA7472">
      <w:pPr>
        <w:numPr>
          <w:ilvl w:val="0"/>
          <w:numId w:val="298"/>
        </w:numPr>
        <w:autoSpaceDE w:val="0"/>
        <w:autoSpaceDN w:val="0"/>
        <w:ind w:left="709" w:hanging="214"/>
        <w:contextualSpacing/>
        <w:jc w:val="both"/>
        <w:rPr>
          <w:rFonts w:ascii="Arial Narrow" w:hAnsi="Arial Narrow"/>
          <w:bCs/>
          <w:color w:val="000000"/>
          <w:lang w:eastAsia="es-CO"/>
        </w:rPr>
      </w:pPr>
      <w:r w:rsidRPr="00B83B60">
        <w:rPr>
          <w:rFonts w:ascii="Arial Narrow" w:hAnsi="Arial Narrow"/>
          <w:b/>
          <w:bCs/>
          <w:color w:val="000000"/>
          <w:lang w:eastAsia="es-CO"/>
        </w:rPr>
        <w:t>Retardo en la Entrega del Activo</w:t>
      </w:r>
      <w:r w:rsidRPr="00B83B60">
        <w:rPr>
          <w:rFonts w:ascii="Arial Narrow" w:hAnsi="Arial Narrow"/>
          <w:bCs/>
          <w:color w:val="000000"/>
          <w:lang w:eastAsia="es-CO"/>
        </w:rPr>
        <w:t>: Si al finalizar la Sesión de Liquidación al Vencimiento de Operaciones Repo el Miembro no cumple con la entrega del Activo correspondiente al flujo de salida de la Operación Repo, la Cámara procederá a realizar lo establecido en los Artículos 4.4.3.10., 4.4.3.11. 4.4.3.12. y 4.4.3.13. de la presente Circular junto con las consecuencias pecuniarias establecidas en la presente Circular.</w:t>
      </w:r>
    </w:p>
    <w:p w14:paraId="0B578B23" w14:textId="77777777" w:rsidR="007968EC" w:rsidRPr="00B83B60" w:rsidRDefault="007968EC" w:rsidP="007968EC">
      <w:pPr>
        <w:jc w:val="both"/>
        <w:rPr>
          <w:rFonts w:ascii="Arial Narrow" w:hAnsi="Arial Narrow" w:cs="Arial"/>
          <w:bCs/>
          <w:lang w:val="es-ES" w:eastAsia="es-ES"/>
        </w:rPr>
      </w:pPr>
    </w:p>
    <w:p w14:paraId="38816979" w14:textId="77777777" w:rsidR="007968EC" w:rsidRPr="00B83B60" w:rsidRDefault="007968EC" w:rsidP="00DA7472">
      <w:pPr>
        <w:numPr>
          <w:ilvl w:val="0"/>
          <w:numId w:val="298"/>
        </w:numPr>
        <w:autoSpaceDE w:val="0"/>
        <w:autoSpaceDN w:val="0"/>
        <w:ind w:left="709" w:hanging="214"/>
        <w:contextualSpacing/>
        <w:jc w:val="both"/>
        <w:rPr>
          <w:rFonts w:ascii="Arial Narrow" w:hAnsi="Arial Narrow"/>
          <w:bCs/>
          <w:color w:val="000000"/>
          <w:lang w:eastAsia="es-CO"/>
        </w:rPr>
      </w:pPr>
      <w:r w:rsidRPr="00B83B60">
        <w:rPr>
          <w:rFonts w:ascii="Arial Narrow" w:hAnsi="Arial Narrow"/>
          <w:b/>
          <w:bCs/>
          <w:color w:val="000000"/>
          <w:lang w:eastAsia="es-CO"/>
        </w:rPr>
        <w:t xml:space="preserve">Retardo en la Entrega del Efectivo de Salida: </w:t>
      </w:r>
      <w:r w:rsidRPr="00B83B60">
        <w:rPr>
          <w:rFonts w:ascii="Arial Narrow" w:hAnsi="Arial Narrow"/>
          <w:bCs/>
          <w:color w:val="000000"/>
          <w:lang w:eastAsia="es-CO"/>
        </w:rPr>
        <w:t>Si al finalizar la Sesión de Liquidación al Vencimiento de Operaciones Repo el Miembro o Agente de Pago no cumple con la entrega del efectivo de la Operación Repo, la Cámara procederá a realizar lo siguiente:</w:t>
      </w:r>
    </w:p>
    <w:p w14:paraId="57B823CB" w14:textId="77777777" w:rsidR="007968EC" w:rsidRPr="00B83B60" w:rsidRDefault="007968EC" w:rsidP="007968EC">
      <w:pPr>
        <w:jc w:val="both"/>
        <w:rPr>
          <w:rFonts w:ascii="Arial Narrow" w:hAnsi="Arial Narrow" w:cs="Arial"/>
          <w:bCs/>
          <w:lang w:val="es-ES" w:eastAsia="es-ES"/>
        </w:rPr>
      </w:pPr>
    </w:p>
    <w:p w14:paraId="4E41FE9C" w14:textId="77777777" w:rsidR="007968EC" w:rsidRPr="00B83B60" w:rsidRDefault="007968EC" w:rsidP="007968EC">
      <w:pPr>
        <w:ind w:left="708"/>
        <w:jc w:val="both"/>
        <w:rPr>
          <w:rFonts w:ascii="Arial Narrow" w:hAnsi="Arial Narrow" w:cs="Arial"/>
          <w:bCs/>
          <w:lang w:val="es-ES" w:eastAsia="es-ES"/>
        </w:rPr>
      </w:pPr>
      <w:r w:rsidRPr="00B83B60">
        <w:rPr>
          <w:rFonts w:ascii="Arial Narrow" w:hAnsi="Arial Narrow" w:cs="Arial"/>
          <w:bCs/>
          <w:lang w:val="es-ES" w:eastAsia="es-ES"/>
        </w:rPr>
        <w:t>En el evento que el retardo del Miembro Liquidador sea originado por un Miembro No Liquidador o Agente, la Cámara</w:t>
      </w:r>
      <w:r w:rsidRPr="00B83B60" w:rsidDel="007E08E9">
        <w:rPr>
          <w:rFonts w:ascii="Arial Narrow" w:hAnsi="Arial Narrow" w:cs="Arial"/>
          <w:bCs/>
          <w:lang w:val="es-ES" w:eastAsia="es-ES"/>
        </w:rPr>
        <w:t xml:space="preserve"> </w:t>
      </w:r>
      <w:r w:rsidRPr="00B83B60">
        <w:rPr>
          <w:rFonts w:ascii="Arial Narrow" w:hAnsi="Arial Narrow" w:cs="Arial"/>
          <w:bCs/>
          <w:lang w:val="es-ES" w:eastAsia="es-ES"/>
        </w:rPr>
        <w:t>notificará al Deceval el cambio de cuenta CUD, del Miembro No Liquidador o del Agente por la cuenta CUD del Miembro Liquidador. Si el evento de retardo se origina por un Miembro Liquidador la Cámara no realizará ningún cambio en la instrucción de Liquidación.</w:t>
      </w:r>
    </w:p>
    <w:p w14:paraId="54D174AC" w14:textId="77777777" w:rsidR="007968EC" w:rsidRPr="00B83B60" w:rsidRDefault="007968EC" w:rsidP="007968EC">
      <w:pPr>
        <w:ind w:left="708"/>
        <w:jc w:val="both"/>
        <w:rPr>
          <w:rFonts w:ascii="Arial Narrow" w:hAnsi="Arial Narrow" w:cs="Arial"/>
          <w:bCs/>
          <w:lang w:val="es-ES" w:eastAsia="es-ES"/>
        </w:rPr>
      </w:pPr>
    </w:p>
    <w:p w14:paraId="0275C7B3" w14:textId="77777777" w:rsidR="007968EC" w:rsidRPr="00B83B60" w:rsidRDefault="007968EC" w:rsidP="007968EC">
      <w:pPr>
        <w:ind w:left="426"/>
        <w:jc w:val="both"/>
        <w:rPr>
          <w:rFonts w:ascii="Arial Narrow" w:eastAsia="Calibri" w:hAnsi="Arial Narrow"/>
        </w:rPr>
      </w:pPr>
      <w:r w:rsidRPr="00B83B60">
        <w:rPr>
          <w:rFonts w:ascii="Arial Narrow" w:eastAsia="Calibri" w:hAnsi="Arial Narrow"/>
        </w:rPr>
        <w:t>En cualquier caso, una vez vencido el plazo establecido en los literales anteriores, la Cámara podrá declarar el incumplimiento del Miembro y procederá de conformidad con lo previsto en el Capítulo Octavo del Título Segundo del Reglamento de Funcionamiento.</w:t>
      </w:r>
    </w:p>
    <w:p w14:paraId="7B7AD000" w14:textId="77777777" w:rsidR="007968EC" w:rsidRPr="00B83B60" w:rsidRDefault="007968EC" w:rsidP="007968EC">
      <w:pPr>
        <w:ind w:left="1068"/>
        <w:jc w:val="both"/>
        <w:rPr>
          <w:rFonts w:ascii="Arial Narrow" w:hAnsi="Arial Narrow" w:cs="Arial"/>
          <w:bCs/>
          <w:lang w:eastAsia="es-CO"/>
        </w:rPr>
      </w:pPr>
    </w:p>
    <w:p w14:paraId="318A9620" w14:textId="77777777" w:rsidR="007968EC" w:rsidRPr="00B83B60" w:rsidRDefault="007968EC" w:rsidP="00DA7472">
      <w:pPr>
        <w:numPr>
          <w:ilvl w:val="0"/>
          <w:numId w:val="298"/>
        </w:numPr>
        <w:ind w:left="709" w:hanging="283"/>
        <w:jc w:val="both"/>
        <w:rPr>
          <w:rFonts w:ascii="Arial Narrow" w:hAnsi="Arial Narrow" w:cs="Arial"/>
          <w:bCs/>
          <w:lang w:eastAsia="es-CO"/>
        </w:rPr>
      </w:pPr>
      <w:r w:rsidRPr="00B83B60">
        <w:rPr>
          <w:rFonts w:ascii="Arial Narrow" w:hAnsi="Arial Narrow" w:cs="Arial"/>
          <w:b/>
          <w:lang w:eastAsia="es-CO"/>
        </w:rPr>
        <w:t xml:space="preserve">Retardo en la Entrega del Efectivo en el Flujo de Regreso: </w:t>
      </w:r>
      <w:r w:rsidRPr="00B83B60">
        <w:rPr>
          <w:rFonts w:ascii="Arial Narrow" w:eastAsia="Calibri" w:hAnsi="Arial Narrow"/>
        </w:rPr>
        <w:t>Si al finalizar la Sesión de Liquidación al Vencimiento de Operaciones Repo el Miembro o Agente de Pago no cumple con la entrega del efectivo de la Operación Repo, la Cámara procederá a realizar lo siguiente:</w:t>
      </w:r>
    </w:p>
    <w:p w14:paraId="2CAE196D" w14:textId="77777777" w:rsidR="007968EC" w:rsidRPr="00B83B60" w:rsidRDefault="007968EC" w:rsidP="007968EC">
      <w:pPr>
        <w:ind w:left="720"/>
        <w:jc w:val="both"/>
        <w:rPr>
          <w:rFonts w:ascii="Arial Narrow" w:hAnsi="Arial Narrow" w:cs="Arial"/>
          <w:bCs/>
          <w:lang w:eastAsia="es-CO"/>
        </w:rPr>
      </w:pPr>
    </w:p>
    <w:p w14:paraId="2E122F3C" w14:textId="77777777" w:rsidR="007968EC" w:rsidRPr="00B83B60" w:rsidRDefault="007968EC" w:rsidP="007968EC">
      <w:pPr>
        <w:ind w:left="709"/>
        <w:jc w:val="both"/>
        <w:rPr>
          <w:rFonts w:ascii="Arial Narrow" w:hAnsi="Arial Narrow" w:cs="Arial"/>
          <w:bCs/>
          <w:lang w:val="es-ES" w:eastAsia="es-ES"/>
        </w:rPr>
      </w:pPr>
      <w:r w:rsidRPr="00B83B60">
        <w:rPr>
          <w:rFonts w:ascii="Arial Narrow" w:hAnsi="Arial Narrow" w:cs="Arial"/>
          <w:bCs/>
          <w:lang w:val="es-ES" w:eastAsia="es-ES"/>
        </w:rPr>
        <w:t>En el evento que el retardo del Miembro Liquidador sea originado por un Miembro No Liquidador o Agente, la Cámara</w:t>
      </w:r>
      <w:r w:rsidRPr="00B83B60" w:rsidDel="007E08E9">
        <w:rPr>
          <w:rFonts w:ascii="Arial Narrow" w:hAnsi="Arial Narrow" w:cs="Arial"/>
          <w:bCs/>
          <w:lang w:val="es-ES" w:eastAsia="es-ES"/>
        </w:rPr>
        <w:t xml:space="preserve"> </w:t>
      </w:r>
      <w:r w:rsidRPr="00B83B60">
        <w:rPr>
          <w:rFonts w:ascii="Arial Narrow" w:hAnsi="Arial Narrow" w:cs="Arial"/>
          <w:bCs/>
          <w:lang w:val="es-ES" w:eastAsia="es-ES"/>
        </w:rPr>
        <w:t>notificará al Deceval el cambio de cuenta CUD, del Miembro No Liquidador o del Agente por la cuenta CUD del Miembro Liquidador. Si el evento de retardo se origina por un Miembro Liquidador la Cámara no realizará ningún cambio en la instrucción de Liquidación.</w:t>
      </w:r>
    </w:p>
    <w:p w14:paraId="0AAAD2F6" w14:textId="77777777" w:rsidR="007968EC" w:rsidRPr="00B83B60" w:rsidRDefault="007968EC" w:rsidP="007968EC">
      <w:pPr>
        <w:jc w:val="both"/>
        <w:rPr>
          <w:rFonts w:ascii="Arial Narrow" w:hAnsi="Arial Narrow" w:cs="Arial"/>
          <w:bCs/>
          <w:lang w:val="es-ES" w:eastAsia="es-ES"/>
        </w:rPr>
      </w:pPr>
    </w:p>
    <w:p w14:paraId="566BE9C1" w14:textId="77777777" w:rsidR="007968EC" w:rsidRDefault="007968EC" w:rsidP="007968EC">
      <w:pPr>
        <w:ind w:left="709"/>
        <w:jc w:val="both"/>
        <w:rPr>
          <w:rFonts w:ascii="Arial Narrow" w:eastAsia="Calibri" w:hAnsi="Arial Narrow"/>
          <w:b/>
        </w:rPr>
      </w:pPr>
      <w:r w:rsidRPr="00B83B60">
        <w:rPr>
          <w:rFonts w:ascii="Arial Narrow" w:eastAsia="Calibri" w:hAnsi="Arial Narrow"/>
        </w:rPr>
        <w:lastRenderedPageBreak/>
        <w:t>En cualquier caso, una vez vencido el plazo establecido, la Cámara podrá declarar el Incumplimiento del Miembro Liquidador y procederá de conformidad con lo previsto en el Capítulo Octavo del Título Segundo del Reglamento de Funcionamiento.</w:t>
      </w:r>
    </w:p>
    <w:p w14:paraId="04F36869" w14:textId="77777777" w:rsidR="007968EC" w:rsidRDefault="007968EC" w:rsidP="007968EC">
      <w:pPr>
        <w:jc w:val="both"/>
        <w:rPr>
          <w:rFonts w:ascii="Arial Narrow" w:eastAsia="Calibri" w:hAnsi="Arial Narrow"/>
          <w:b/>
        </w:rPr>
      </w:pPr>
    </w:p>
    <w:p w14:paraId="08F928B7" w14:textId="77777777" w:rsidR="007968EC" w:rsidRPr="002C0D19" w:rsidRDefault="007968EC" w:rsidP="007968EC">
      <w:pPr>
        <w:pStyle w:val="ARTICULO0"/>
      </w:pPr>
      <w:bookmarkStart w:id="6265" w:name="_Toc490066767"/>
      <w:bookmarkStart w:id="6266" w:name="_Toc31716452"/>
      <w:r w:rsidRPr="002C0D19">
        <w:t xml:space="preserve">Artículo 4.8.1.2. </w:t>
      </w:r>
      <w:proofErr w:type="spellStart"/>
      <w:r w:rsidRPr="002C0D19">
        <w:t>Haircuts</w:t>
      </w:r>
      <w:proofErr w:type="spellEnd"/>
      <w:r w:rsidRPr="002C0D19">
        <w:t xml:space="preserve"> sobre Operaciones Repo.</w:t>
      </w:r>
      <w:bookmarkEnd w:id="6265"/>
      <w:bookmarkEnd w:id="6266"/>
    </w:p>
    <w:p w14:paraId="599B9A2B" w14:textId="77777777" w:rsidR="007968EC" w:rsidRPr="002C0D19" w:rsidRDefault="007968EC" w:rsidP="007968EC">
      <w:pPr>
        <w:rPr>
          <w:rFonts w:ascii="Arial Narrow" w:eastAsia="Calibri" w:hAnsi="Arial Narrow"/>
        </w:rPr>
      </w:pPr>
    </w:p>
    <w:p w14:paraId="41764B79" w14:textId="77777777" w:rsidR="007968EC" w:rsidRPr="002C0D19" w:rsidRDefault="007968EC" w:rsidP="007968EC">
      <w:pPr>
        <w:jc w:val="both"/>
        <w:rPr>
          <w:rFonts w:ascii="Arial Narrow" w:hAnsi="Arial Narrow" w:cs="Arial"/>
          <w:b/>
          <w:color w:val="000000" w:themeColor="text1"/>
          <w:lang w:eastAsia="es-ES"/>
        </w:rPr>
      </w:pPr>
      <w:r w:rsidRPr="002C0D19">
        <w:rPr>
          <w:rFonts w:ascii="Arial Narrow" w:eastAsia="Calibri" w:hAnsi="Arial Narrow"/>
        </w:rPr>
        <w:t>Los porcentajes de descuento por operación que serán aplicados a los precios de los diferentes activos autorizados junto con su fecha de entrada en vigencia que serán informados mediante Boletín Informativo.</w:t>
      </w:r>
    </w:p>
    <w:p w14:paraId="723A315A" w14:textId="77777777" w:rsidR="007968EC" w:rsidRPr="002C0D19" w:rsidRDefault="007968EC" w:rsidP="007968EC">
      <w:pPr>
        <w:rPr>
          <w:rFonts w:ascii="Arial Narrow" w:hAnsi="Arial Narrow" w:cs="Arial"/>
          <w:b/>
          <w:color w:val="000000" w:themeColor="text1"/>
          <w:lang w:val="es-ES" w:eastAsia="es-ES"/>
        </w:rPr>
      </w:pPr>
    </w:p>
    <w:p w14:paraId="3D844614" w14:textId="77777777" w:rsidR="007968EC" w:rsidRPr="002C0D19" w:rsidRDefault="007968EC" w:rsidP="007968EC">
      <w:pPr>
        <w:rPr>
          <w:rFonts w:ascii="Arial Narrow" w:hAnsi="Arial Narrow" w:cs="Arial"/>
          <w:b/>
          <w:color w:val="000000" w:themeColor="text1"/>
          <w:lang w:val="es-ES" w:eastAsia="es-ES"/>
        </w:rPr>
      </w:pPr>
    </w:p>
    <w:p w14:paraId="168134D3" w14:textId="77777777" w:rsidR="007968EC" w:rsidRPr="005F10B9" w:rsidRDefault="007968EC" w:rsidP="007968EC">
      <w:pPr>
        <w:pStyle w:val="TTULO"/>
        <w:rPr>
          <w:rFonts w:eastAsia="Calibri"/>
        </w:rPr>
      </w:pPr>
      <w:bookmarkStart w:id="6267" w:name="_Toc493253157"/>
      <w:bookmarkStart w:id="6268" w:name="_Toc31716453"/>
      <w:r w:rsidRPr="005F10B9">
        <w:rPr>
          <w:rFonts w:eastAsia="Calibri"/>
        </w:rPr>
        <w:t xml:space="preserve">PARTE </w:t>
      </w:r>
      <w:bookmarkEnd w:id="6267"/>
      <w:r w:rsidRPr="005F10B9">
        <w:rPr>
          <w:rFonts w:eastAsia="Calibri"/>
        </w:rPr>
        <w:t>V</w:t>
      </w:r>
      <w:bookmarkEnd w:id="6268"/>
    </w:p>
    <w:p w14:paraId="75D44808" w14:textId="77777777" w:rsidR="007968EC" w:rsidRDefault="007968EC" w:rsidP="007968EC">
      <w:pPr>
        <w:pStyle w:val="TTULO"/>
        <w:rPr>
          <w:rFonts w:eastAsia="Calibri"/>
        </w:rPr>
      </w:pPr>
    </w:p>
    <w:p w14:paraId="6BDC62C0" w14:textId="77777777" w:rsidR="007968EC" w:rsidRPr="002C0D19" w:rsidRDefault="007968EC" w:rsidP="007968EC">
      <w:pPr>
        <w:pStyle w:val="ANTECEDENTES"/>
        <w:jc w:val="center"/>
        <w:rPr>
          <w:rFonts w:eastAsia="Calibri"/>
        </w:rPr>
      </w:pPr>
      <w:r>
        <w:rPr>
          <w:rFonts w:eastAsia="Calibri"/>
        </w:rPr>
        <w:t xml:space="preserve">(Esta Parte </w:t>
      </w:r>
      <w:r w:rsidRPr="002C0D19">
        <w:rPr>
          <w:rFonts w:eastAsia="Calibri"/>
        </w:rPr>
        <w:t>V fue</w:t>
      </w:r>
      <w:r>
        <w:rPr>
          <w:rFonts w:eastAsia="Calibri"/>
        </w:rPr>
        <w:t xml:space="preserve"> adicionada mediante Circular 7 del 9</w:t>
      </w:r>
      <w:r w:rsidRPr="002C0D19">
        <w:rPr>
          <w:rFonts w:eastAsia="Calibri"/>
        </w:rPr>
        <w:t xml:space="preserve"> de </w:t>
      </w:r>
      <w:r>
        <w:rPr>
          <w:rFonts w:eastAsia="Calibri"/>
        </w:rPr>
        <w:t>mayo de 2018</w:t>
      </w:r>
      <w:r w:rsidRPr="002C0D19">
        <w:rPr>
          <w:rFonts w:eastAsia="Calibri"/>
        </w:rPr>
        <w:t>, publicada</w:t>
      </w:r>
      <w:r>
        <w:rPr>
          <w:rFonts w:eastAsia="Calibri"/>
        </w:rPr>
        <w:t xml:space="preserve"> en el Boletín Normativo No. 010 del 9</w:t>
      </w:r>
      <w:r w:rsidRPr="002C0D19">
        <w:rPr>
          <w:rFonts w:eastAsia="Calibri"/>
        </w:rPr>
        <w:t xml:space="preserve"> de </w:t>
      </w:r>
      <w:r>
        <w:rPr>
          <w:rFonts w:eastAsia="Calibri"/>
        </w:rPr>
        <w:t>mayo de 2018. Rige a partir del 21</w:t>
      </w:r>
      <w:r w:rsidRPr="002C0D19">
        <w:rPr>
          <w:rFonts w:eastAsia="Calibri"/>
        </w:rPr>
        <w:t xml:space="preserve"> de </w:t>
      </w:r>
      <w:r>
        <w:rPr>
          <w:rFonts w:eastAsia="Calibri"/>
        </w:rPr>
        <w:t>mayo de 2018</w:t>
      </w:r>
      <w:r w:rsidRPr="002C0D19">
        <w:rPr>
          <w:rFonts w:eastAsia="Calibri"/>
        </w:rPr>
        <w:t>.)</w:t>
      </w:r>
    </w:p>
    <w:p w14:paraId="00C545BB" w14:textId="77777777" w:rsidR="007968EC" w:rsidRPr="005F10B9" w:rsidRDefault="007968EC" w:rsidP="007968EC">
      <w:pPr>
        <w:pStyle w:val="TTULO"/>
        <w:jc w:val="left"/>
        <w:rPr>
          <w:rFonts w:eastAsia="Calibri"/>
        </w:rPr>
      </w:pPr>
    </w:p>
    <w:p w14:paraId="2B10D2A7" w14:textId="77777777" w:rsidR="007968EC" w:rsidRPr="005F10B9" w:rsidRDefault="007968EC" w:rsidP="007968EC">
      <w:pPr>
        <w:pStyle w:val="TTULO"/>
        <w:rPr>
          <w:rFonts w:eastAsia="Calibri"/>
        </w:rPr>
      </w:pPr>
      <w:bookmarkStart w:id="6269" w:name="_Toc493253158"/>
      <w:bookmarkStart w:id="6270" w:name="_Toc31716454"/>
      <w:r w:rsidRPr="005F10B9">
        <w:rPr>
          <w:rFonts w:eastAsia="Calibri"/>
        </w:rPr>
        <w:t xml:space="preserve">SEGMENTO </w:t>
      </w:r>
      <w:bookmarkEnd w:id="6269"/>
      <w:r w:rsidRPr="005F10B9">
        <w:rPr>
          <w:rFonts w:eastAsia="Calibri"/>
        </w:rPr>
        <w:t>SWAPS</w:t>
      </w:r>
      <w:bookmarkEnd w:id="6270"/>
    </w:p>
    <w:p w14:paraId="3F6E2198" w14:textId="77777777" w:rsidR="007968EC" w:rsidRPr="005F10B9" w:rsidRDefault="007968EC" w:rsidP="007968EC">
      <w:pPr>
        <w:pStyle w:val="TTULO"/>
        <w:rPr>
          <w:rFonts w:eastAsia="Calibri" w:cs="Times New Roman"/>
          <w:bCs/>
          <w:color w:val="000000" w:themeColor="text1"/>
          <w:kern w:val="32"/>
        </w:rPr>
      </w:pPr>
    </w:p>
    <w:p w14:paraId="7F0B89C9" w14:textId="77777777" w:rsidR="007968EC" w:rsidRPr="005F10B9" w:rsidRDefault="007968EC" w:rsidP="007968EC">
      <w:pPr>
        <w:pStyle w:val="TTULO"/>
        <w:rPr>
          <w:rFonts w:eastAsia="Calibri"/>
        </w:rPr>
      </w:pPr>
      <w:bookmarkStart w:id="6271" w:name="_Toc493253159"/>
      <w:bookmarkStart w:id="6272" w:name="_Toc31716455"/>
      <w:r w:rsidRPr="005F10B9">
        <w:rPr>
          <w:rFonts w:eastAsia="Calibri"/>
        </w:rPr>
        <w:t>TÍTULO PRIMERO</w:t>
      </w:r>
      <w:bookmarkEnd w:id="6271"/>
      <w:bookmarkEnd w:id="6272"/>
    </w:p>
    <w:p w14:paraId="78B1EA23" w14:textId="77777777" w:rsidR="007968EC" w:rsidRPr="005F10B9" w:rsidRDefault="007968EC" w:rsidP="007968EC">
      <w:pPr>
        <w:pStyle w:val="TTULO"/>
        <w:rPr>
          <w:rFonts w:eastAsia="Calibri"/>
        </w:rPr>
      </w:pPr>
    </w:p>
    <w:p w14:paraId="5C704650" w14:textId="77777777" w:rsidR="007968EC" w:rsidRPr="005F10B9" w:rsidRDefault="007968EC" w:rsidP="007968EC">
      <w:pPr>
        <w:pStyle w:val="TTULO"/>
        <w:rPr>
          <w:rFonts w:eastAsia="Calibri"/>
        </w:rPr>
      </w:pPr>
      <w:bookmarkStart w:id="6273" w:name="_Toc493253160"/>
      <w:bookmarkStart w:id="6274" w:name="_Toc31716456"/>
      <w:r w:rsidRPr="005F10B9">
        <w:rPr>
          <w:rFonts w:eastAsia="Calibri"/>
        </w:rPr>
        <w:t>MIEMBROS DE LA CÁMARA, TERCEROS Y PARTICIPACIÓN EN EL SEGMENTO</w:t>
      </w:r>
      <w:bookmarkEnd w:id="6273"/>
      <w:bookmarkEnd w:id="6274"/>
    </w:p>
    <w:p w14:paraId="5A463FCE" w14:textId="77777777" w:rsidR="007968EC" w:rsidRPr="005F10B9" w:rsidRDefault="007968EC" w:rsidP="007968EC">
      <w:pPr>
        <w:pStyle w:val="TTULO"/>
        <w:rPr>
          <w:rFonts w:eastAsia="Calibri"/>
        </w:rPr>
      </w:pPr>
    </w:p>
    <w:p w14:paraId="540AAC62" w14:textId="77777777" w:rsidR="007968EC" w:rsidRPr="005F10B9" w:rsidRDefault="007968EC" w:rsidP="007968EC">
      <w:pPr>
        <w:pStyle w:val="TTULO"/>
        <w:rPr>
          <w:rFonts w:eastAsia="Calibri"/>
        </w:rPr>
      </w:pPr>
      <w:bookmarkStart w:id="6275" w:name="_Toc493253161"/>
      <w:bookmarkStart w:id="6276" w:name="_Toc31716457"/>
      <w:r w:rsidRPr="005F10B9">
        <w:rPr>
          <w:rFonts w:eastAsia="Calibri"/>
        </w:rPr>
        <w:t>CAPÍTULO PRIMERO</w:t>
      </w:r>
      <w:bookmarkEnd w:id="6275"/>
      <w:bookmarkEnd w:id="6276"/>
    </w:p>
    <w:p w14:paraId="388410AE" w14:textId="77777777" w:rsidR="007968EC" w:rsidRPr="005F10B9" w:rsidRDefault="007968EC" w:rsidP="007968EC">
      <w:pPr>
        <w:pStyle w:val="TTULO"/>
        <w:rPr>
          <w:rFonts w:eastAsia="Calibri"/>
        </w:rPr>
      </w:pPr>
    </w:p>
    <w:p w14:paraId="3D80BE53" w14:textId="77777777" w:rsidR="007968EC" w:rsidRPr="005F10B9" w:rsidRDefault="007968EC" w:rsidP="007968EC">
      <w:pPr>
        <w:pStyle w:val="TTULO"/>
        <w:rPr>
          <w:rFonts w:eastAsia="Calibri"/>
        </w:rPr>
      </w:pPr>
      <w:bookmarkStart w:id="6277" w:name="_Toc493253162"/>
      <w:bookmarkStart w:id="6278" w:name="_Toc31716458"/>
      <w:r w:rsidRPr="005F10B9">
        <w:rPr>
          <w:rFonts w:eastAsia="Calibri"/>
        </w:rPr>
        <w:t>REQUISITOS DE PARTICIPACIÓN, MODIFICACIÓN Y PERMANENCIA DE LOS MIEMBROS</w:t>
      </w:r>
      <w:bookmarkEnd w:id="6277"/>
      <w:bookmarkEnd w:id="6278"/>
    </w:p>
    <w:p w14:paraId="0F124B33" w14:textId="77777777" w:rsidR="007968EC" w:rsidRPr="005F10B9" w:rsidRDefault="007968EC" w:rsidP="007968EC">
      <w:pPr>
        <w:jc w:val="both"/>
        <w:rPr>
          <w:rFonts w:ascii="Arial Narrow" w:eastAsia="Calibri" w:hAnsi="Arial Narrow"/>
          <w:b/>
          <w:color w:val="000000" w:themeColor="text1"/>
        </w:rPr>
      </w:pPr>
    </w:p>
    <w:p w14:paraId="4BDB9D39" w14:textId="77777777" w:rsidR="007968EC" w:rsidRPr="005F10B9" w:rsidRDefault="007968EC" w:rsidP="007968EC">
      <w:pPr>
        <w:pStyle w:val="ARTICULO0"/>
      </w:pPr>
      <w:bookmarkStart w:id="6279" w:name="_Toc493253163"/>
      <w:bookmarkStart w:id="6280" w:name="_Toc31716459"/>
      <w:r w:rsidRPr="005F10B9">
        <w:t>Artículo 5.1.1.1. Solicitud para participar en el Segmento Swaps y procedimiento operativo de ingreso.</w:t>
      </w:r>
      <w:bookmarkEnd w:id="6279"/>
      <w:bookmarkEnd w:id="6280"/>
    </w:p>
    <w:p w14:paraId="432B684D" w14:textId="77777777" w:rsidR="007968EC" w:rsidRPr="005F10B9" w:rsidRDefault="007968EC" w:rsidP="007968EC">
      <w:pPr>
        <w:jc w:val="both"/>
        <w:rPr>
          <w:rFonts w:ascii="Arial Narrow" w:eastAsia="Calibri" w:hAnsi="Arial Narrow"/>
          <w:color w:val="000000" w:themeColor="text1"/>
        </w:rPr>
      </w:pPr>
    </w:p>
    <w:p w14:paraId="734D2E95" w14:textId="77777777" w:rsidR="007968EC" w:rsidRPr="005F10B9" w:rsidRDefault="007968EC" w:rsidP="007968EC">
      <w:pPr>
        <w:jc w:val="both"/>
        <w:rPr>
          <w:rFonts w:ascii="Arial Narrow" w:eastAsia="Calibri" w:hAnsi="Arial Narrow"/>
          <w:b/>
          <w:color w:val="000000" w:themeColor="text1"/>
        </w:rPr>
      </w:pPr>
      <w:r w:rsidRPr="005F10B9">
        <w:rPr>
          <w:rFonts w:ascii="Arial Narrow" w:eastAsia="Calibri" w:hAnsi="Arial Narrow"/>
          <w:color w:val="000000" w:themeColor="text1"/>
        </w:rPr>
        <w:t>Para participar en la Compensación y Liquidación en el Segmento Swaps, los aspirantes a Miembros de la Cámara deben manifestar su interés de participar en la solicitud de admisión como Miembro en la modalidad de la que se trate, o en cualquier tiempo, una vez hayan sido admitidos, mediante escrito remitido al Gerente de la Cámara, Anexo 1.5.</w:t>
      </w:r>
    </w:p>
    <w:p w14:paraId="7300F772" w14:textId="77777777" w:rsidR="007968EC" w:rsidRPr="005F10B9" w:rsidRDefault="007968EC" w:rsidP="007968EC">
      <w:pPr>
        <w:jc w:val="both"/>
        <w:rPr>
          <w:rFonts w:ascii="Arial Narrow" w:eastAsia="Calibri" w:hAnsi="Arial Narrow"/>
          <w:b/>
          <w:color w:val="000000" w:themeColor="text1"/>
        </w:rPr>
      </w:pPr>
    </w:p>
    <w:p w14:paraId="0721D138" w14:textId="77777777" w:rsidR="007968EC" w:rsidRPr="005F10B9" w:rsidRDefault="007968EC" w:rsidP="007968EC">
      <w:pPr>
        <w:jc w:val="both"/>
        <w:rPr>
          <w:rFonts w:ascii="Arial Narrow" w:eastAsia="Calibri" w:hAnsi="Arial Narrow"/>
          <w:color w:val="000000" w:themeColor="text1"/>
          <w:u w:val="single"/>
        </w:rPr>
      </w:pPr>
      <w:r w:rsidRPr="005F10B9">
        <w:rPr>
          <w:rFonts w:ascii="Arial Narrow" w:eastAsia="Calibri" w:hAnsi="Arial Narrow"/>
          <w:color w:val="000000" w:themeColor="text1"/>
        </w:rPr>
        <w:t xml:space="preserve">El procedimiento operativo de ingreso al Segmento Swaps será el siguiente: </w:t>
      </w:r>
    </w:p>
    <w:p w14:paraId="37640E1D" w14:textId="77777777" w:rsidR="007968EC" w:rsidRPr="005F10B9" w:rsidRDefault="007968EC" w:rsidP="007968EC">
      <w:pPr>
        <w:jc w:val="both"/>
        <w:rPr>
          <w:rFonts w:ascii="Arial Narrow" w:eastAsia="Calibri" w:hAnsi="Arial Narrow"/>
          <w:b/>
          <w:color w:val="000000" w:themeColor="text1"/>
        </w:rPr>
      </w:pPr>
    </w:p>
    <w:p w14:paraId="147E2DED" w14:textId="77777777" w:rsidR="007968EC" w:rsidRPr="005F10B9" w:rsidRDefault="007968EC" w:rsidP="00DA7472">
      <w:pPr>
        <w:numPr>
          <w:ilvl w:val="3"/>
          <w:numId w:val="291"/>
        </w:numPr>
        <w:ind w:left="426" w:hanging="426"/>
        <w:contextualSpacing/>
        <w:jc w:val="both"/>
        <w:rPr>
          <w:rFonts w:ascii="Arial Narrow" w:eastAsia="Calibri" w:hAnsi="Arial Narrow"/>
          <w:b/>
          <w:color w:val="000000" w:themeColor="text1"/>
          <w:lang w:eastAsia="es-CO"/>
        </w:rPr>
      </w:pPr>
      <w:r w:rsidRPr="005F10B9">
        <w:rPr>
          <w:rFonts w:ascii="Arial Narrow" w:eastAsia="Calibri" w:hAnsi="Arial Narrow"/>
          <w:color w:val="000000" w:themeColor="text1"/>
          <w:lang w:eastAsia="es-CO"/>
        </w:rPr>
        <w:t xml:space="preserve">Presentar carta de solicitud de ingreso al Gerente de la Cámara o a quien este designe en la cual se identifique que el Miembro está interesado en participar en la Compensación y Liquidación para el Segmento Swaps, según el formato establecido en el Anexo 1.5., debidamente diligenciado y suscrito por un representante legal. </w:t>
      </w:r>
    </w:p>
    <w:p w14:paraId="47B4AA33" w14:textId="77777777" w:rsidR="007968EC" w:rsidRPr="005F10B9" w:rsidRDefault="007968EC" w:rsidP="007968EC">
      <w:pPr>
        <w:autoSpaceDE w:val="0"/>
        <w:autoSpaceDN w:val="0"/>
        <w:adjustRightInd w:val="0"/>
        <w:ind w:left="426"/>
        <w:jc w:val="both"/>
        <w:rPr>
          <w:rFonts w:ascii="Arial Narrow" w:eastAsia="Calibri" w:hAnsi="Arial Narrow"/>
          <w:color w:val="000000" w:themeColor="text1"/>
        </w:rPr>
      </w:pPr>
    </w:p>
    <w:p w14:paraId="78F23CD7" w14:textId="77777777" w:rsidR="007968EC" w:rsidRPr="005F10B9" w:rsidRDefault="007968EC" w:rsidP="007968EC">
      <w:pPr>
        <w:autoSpaceDE w:val="0"/>
        <w:autoSpaceDN w:val="0"/>
        <w:adjustRightInd w:val="0"/>
        <w:ind w:left="426"/>
        <w:jc w:val="both"/>
        <w:rPr>
          <w:rFonts w:ascii="Arial Narrow" w:eastAsia="Calibri" w:hAnsi="Arial Narrow"/>
          <w:color w:val="000000" w:themeColor="text1"/>
        </w:rPr>
      </w:pPr>
      <w:r w:rsidRPr="005F10B9">
        <w:rPr>
          <w:rFonts w:ascii="Arial Narrow" w:eastAsia="Calibri" w:hAnsi="Arial Narrow"/>
          <w:color w:val="000000" w:themeColor="text1"/>
        </w:rPr>
        <w:t>Cuando se trate de la solicitud de ingreso de un Miembro No Liquidador al Segmento Swaps, será indispensable contar con la aceptación de su Miembro Liquidador General y que este último ingrese o se encuentre participando en el respectivo Segmento.</w:t>
      </w:r>
    </w:p>
    <w:p w14:paraId="00150DE7" w14:textId="77777777" w:rsidR="007968EC" w:rsidRPr="005F10B9" w:rsidRDefault="007968EC" w:rsidP="007968EC">
      <w:pPr>
        <w:jc w:val="both"/>
        <w:rPr>
          <w:rFonts w:ascii="Arial Narrow" w:eastAsia="Calibri" w:hAnsi="Arial Narrow"/>
          <w:b/>
          <w:color w:val="000000" w:themeColor="text1"/>
        </w:rPr>
      </w:pPr>
    </w:p>
    <w:p w14:paraId="42C30BE4" w14:textId="77777777" w:rsidR="007968EC" w:rsidRPr="005F10B9" w:rsidRDefault="007968EC" w:rsidP="00DA7472">
      <w:pPr>
        <w:numPr>
          <w:ilvl w:val="3"/>
          <w:numId w:val="291"/>
        </w:numPr>
        <w:ind w:left="426" w:hanging="426"/>
        <w:contextualSpacing/>
        <w:jc w:val="both"/>
        <w:rPr>
          <w:rFonts w:ascii="Arial Narrow" w:eastAsia="Calibri" w:hAnsi="Arial Narrow"/>
          <w:color w:val="000000" w:themeColor="text1"/>
          <w:lang w:eastAsia="es-CO"/>
        </w:rPr>
      </w:pPr>
      <w:r w:rsidRPr="005F10B9">
        <w:rPr>
          <w:rFonts w:ascii="Arial Narrow" w:eastAsia="Calibri" w:hAnsi="Arial Narrow"/>
          <w:color w:val="000000" w:themeColor="text1"/>
          <w:lang w:eastAsia="es-CO"/>
        </w:rPr>
        <w:lastRenderedPageBreak/>
        <w:t>El Subgerente de Riesgos y Operaciones o el Administrador de Riesgos y Operaciones de Mercado de la Cámara o el funcionario que éstos designen, validará que el Miembro cumpla con los requerimientos establecidos para el ingreso al Segmento de acuerdo con lo establecido en los Artículos 5.1.1.2. y 5.1.1.3. de la presente Circular, según corresponda.</w:t>
      </w:r>
    </w:p>
    <w:p w14:paraId="4FAC13C7" w14:textId="77777777" w:rsidR="007968EC" w:rsidRPr="005F10B9" w:rsidRDefault="007968EC" w:rsidP="007968EC">
      <w:pPr>
        <w:ind w:left="426"/>
        <w:contextualSpacing/>
        <w:jc w:val="both"/>
        <w:rPr>
          <w:rFonts w:ascii="Arial Narrow" w:eastAsia="Calibri" w:hAnsi="Arial Narrow"/>
          <w:b/>
          <w:color w:val="000000" w:themeColor="text1"/>
        </w:rPr>
      </w:pPr>
    </w:p>
    <w:p w14:paraId="177F9AA1" w14:textId="77777777" w:rsidR="007968EC" w:rsidRPr="005F10B9" w:rsidRDefault="007968EC" w:rsidP="00DA7472">
      <w:pPr>
        <w:numPr>
          <w:ilvl w:val="3"/>
          <w:numId w:val="291"/>
        </w:numPr>
        <w:ind w:left="426" w:hanging="426"/>
        <w:contextualSpacing/>
        <w:jc w:val="both"/>
        <w:rPr>
          <w:rFonts w:ascii="Arial Narrow" w:eastAsia="Calibri" w:hAnsi="Arial Narrow"/>
          <w:color w:val="000000" w:themeColor="text1"/>
          <w:lang w:eastAsia="es-CO"/>
        </w:rPr>
      </w:pPr>
      <w:r w:rsidRPr="005F10B9">
        <w:rPr>
          <w:rFonts w:ascii="Arial Narrow" w:eastAsia="Calibri" w:hAnsi="Arial Narrow"/>
          <w:color w:val="000000" w:themeColor="text1"/>
          <w:lang w:eastAsia="es-CO"/>
        </w:rPr>
        <w:t>El Subgerente de Riesgos y Operaciones o el Administrador de Riesgos y Operaciones de Mercado de la Cámara o el funcionario que estos designen, notificará al Administrador registrado del Miembro, vía correo electrónico, cuando esté habilitada la participación del Miembro en el Segmento solicitado.</w:t>
      </w:r>
    </w:p>
    <w:p w14:paraId="155BC418" w14:textId="77777777" w:rsidR="007968EC" w:rsidRPr="005F10B9" w:rsidRDefault="007968EC" w:rsidP="007968EC">
      <w:pPr>
        <w:jc w:val="both"/>
        <w:rPr>
          <w:rFonts w:ascii="Arial Narrow" w:eastAsia="Calibri" w:hAnsi="Arial Narrow"/>
          <w:b/>
          <w:color w:val="000000" w:themeColor="text1"/>
        </w:rPr>
      </w:pPr>
    </w:p>
    <w:p w14:paraId="7C7E89A2" w14:textId="77777777" w:rsidR="007968EC" w:rsidRPr="005F10B9" w:rsidRDefault="007968EC" w:rsidP="007968EC">
      <w:pPr>
        <w:pStyle w:val="ARTICULO0"/>
      </w:pPr>
      <w:bookmarkStart w:id="6281" w:name="_Toc493253164"/>
      <w:bookmarkStart w:id="6282" w:name="_Toc31716460"/>
      <w:r w:rsidRPr="005F10B9">
        <w:t>Artículo 5.1.1.2. Requisito de patrimonio técnico para el Miembro Liquidador General para Participar en el Segmento Swaps.</w:t>
      </w:r>
      <w:bookmarkEnd w:id="6281"/>
      <w:bookmarkEnd w:id="6282"/>
      <w:r w:rsidRPr="005F10B9">
        <w:t xml:space="preserve"> </w:t>
      </w:r>
    </w:p>
    <w:p w14:paraId="1D72FF8B" w14:textId="77777777" w:rsidR="007968EC" w:rsidRPr="001D71BE" w:rsidRDefault="007968EC" w:rsidP="007968EC">
      <w:pPr>
        <w:jc w:val="both"/>
        <w:rPr>
          <w:rFonts w:eastAsia="Calibri"/>
          <w:b/>
          <w:i/>
        </w:rPr>
      </w:pPr>
      <w:r w:rsidRPr="001D71BE">
        <w:rPr>
          <w:rFonts w:ascii="Arial Narrow" w:eastAsia="Calibri" w:hAnsi="Arial Narrow"/>
          <w:b/>
          <w:i/>
          <w:color w:val="000000" w:themeColor="text1"/>
        </w:rPr>
        <w:t>(Este artículo fue modificado mediante Circular 1 del 15 de enero de 2019, publicada en el Boletín Normativo No. 001 del 15 de enero de 2019</w:t>
      </w:r>
      <w:r>
        <w:rPr>
          <w:rFonts w:ascii="Arial Narrow" w:eastAsia="Calibri" w:hAnsi="Arial Narrow"/>
          <w:b/>
          <w:i/>
          <w:color w:val="000000" w:themeColor="text1"/>
        </w:rPr>
        <w:t xml:space="preserve"> y mediante Circular 1 del 10 de enero de 2020, publicada en el Boletín Normativo No. 001 del 10 de enero de 2020</w:t>
      </w:r>
      <w:r w:rsidRPr="001D71BE">
        <w:rPr>
          <w:rFonts w:ascii="Arial Narrow" w:eastAsia="Calibri" w:hAnsi="Arial Narrow"/>
          <w:b/>
          <w:i/>
          <w:color w:val="000000" w:themeColor="text1"/>
        </w:rPr>
        <w:t>. Rige a partir del 1</w:t>
      </w:r>
      <w:r>
        <w:rPr>
          <w:rFonts w:ascii="Arial Narrow" w:eastAsia="Calibri" w:hAnsi="Arial Narrow"/>
          <w:b/>
          <w:i/>
          <w:color w:val="000000" w:themeColor="text1"/>
        </w:rPr>
        <w:t>3</w:t>
      </w:r>
      <w:r w:rsidRPr="001D71BE">
        <w:rPr>
          <w:rFonts w:ascii="Arial Narrow" w:eastAsia="Calibri" w:hAnsi="Arial Narrow"/>
          <w:b/>
          <w:i/>
          <w:color w:val="000000" w:themeColor="text1"/>
        </w:rPr>
        <w:t xml:space="preserve"> de enero de 20</w:t>
      </w:r>
      <w:r>
        <w:rPr>
          <w:rFonts w:ascii="Arial Narrow" w:eastAsia="Calibri" w:hAnsi="Arial Narrow"/>
          <w:b/>
          <w:i/>
          <w:color w:val="000000" w:themeColor="text1"/>
        </w:rPr>
        <w:t>20</w:t>
      </w:r>
      <w:r w:rsidRPr="001D71BE">
        <w:rPr>
          <w:rFonts w:ascii="Arial Narrow" w:eastAsia="Calibri" w:hAnsi="Arial Narrow"/>
          <w:b/>
          <w:i/>
          <w:color w:val="000000" w:themeColor="text1"/>
        </w:rPr>
        <w:t>.)</w:t>
      </w:r>
    </w:p>
    <w:p w14:paraId="5FC23C5B" w14:textId="77777777" w:rsidR="007968EC" w:rsidRPr="005F10B9" w:rsidRDefault="007968EC" w:rsidP="007968EC">
      <w:pPr>
        <w:jc w:val="both"/>
        <w:rPr>
          <w:rFonts w:ascii="Arial Narrow" w:eastAsia="Calibri" w:hAnsi="Arial Narrow"/>
          <w:color w:val="000000" w:themeColor="text1"/>
        </w:rPr>
      </w:pPr>
    </w:p>
    <w:p w14:paraId="39924620" w14:textId="77777777" w:rsidR="007968EC" w:rsidRPr="005F10B9" w:rsidRDefault="007968EC" w:rsidP="007968EC">
      <w:pPr>
        <w:jc w:val="both"/>
        <w:rPr>
          <w:rFonts w:ascii="Arial Narrow" w:eastAsia="Calibri" w:hAnsi="Arial Narrow"/>
          <w:b/>
          <w:color w:val="000000" w:themeColor="text1"/>
        </w:rPr>
      </w:pPr>
      <w:r w:rsidRPr="005F10B9">
        <w:rPr>
          <w:rFonts w:ascii="Arial Narrow" w:eastAsia="Calibri" w:hAnsi="Arial Narrow"/>
          <w:color w:val="000000" w:themeColor="text1"/>
        </w:rPr>
        <w:t xml:space="preserve">El requisito de patrimonio técnico mínimo para los Miembros Liquidadores Generales, de acceso y permanencia, para participar en la Compensación y Liquidación en el Segmento Swaps de la Cámara será el mismo que se les exige para tener la calidad de Miembros Liquidadores Generales de la Cámara en el Artículo 1.2.1.2. de la presente Circular, </w:t>
      </w:r>
      <w:r w:rsidRPr="005F10B9">
        <w:rPr>
          <w:rFonts w:ascii="Arial Narrow" w:eastAsia="Calibri" w:hAnsi="Arial Narrow"/>
          <w:bCs/>
          <w:color w:val="000000" w:themeColor="text1"/>
        </w:rPr>
        <w:t xml:space="preserve">esto es, </w:t>
      </w:r>
      <w:r w:rsidRPr="005E26B2">
        <w:rPr>
          <w:rFonts w:ascii="Arial Narrow" w:eastAsia="Calibri" w:hAnsi="Arial Narrow"/>
          <w:bCs/>
          <w:color w:val="000000" w:themeColor="text1"/>
        </w:rPr>
        <w:t>para el año 2020, la suma de cien mil cuatrocientos noventa y dos millones de pesos ($100.492.000.000)</w:t>
      </w:r>
      <w:r w:rsidRPr="005F10B9">
        <w:rPr>
          <w:rFonts w:ascii="Arial Narrow" w:eastAsia="Calibri" w:hAnsi="Arial Narrow"/>
          <w:bCs/>
          <w:color w:val="000000" w:themeColor="text1"/>
        </w:rPr>
        <w:t xml:space="preserve"> moneda corriente, valor que se ajustará anualmente, en el mes de enero, en forma automática en el mismo sentido y porcentaje en que varíe el índice de precios al consumidor que suministre el DANE.</w:t>
      </w:r>
    </w:p>
    <w:p w14:paraId="3B991603" w14:textId="77777777" w:rsidR="007968EC" w:rsidRPr="005F10B9" w:rsidRDefault="007968EC" w:rsidP="007968EC">
      <w:pPr>
        <w:jc w:val="both"/>
        <w:rPr>
          <w:rFonts w:ascii="Arial Narrow" w:eastAsia="Calibri" w:hAnsi="Arial Narrow"/>
          <w:b/>
          <w:color w:val="000000" w:themeColor="text1"/>
        </w:rPr>
      </w:pPr>
    </w:p>
    <w:p w14:paraId="7AEE4981" w14:textId="77777777" w:rsidR="007968EC" w:rsidRPr="005F10B9" w:rsidRDefault="007968EC" w:rsidP="007968EC">
      <w:pPr>
        <w:pStyle w:val="ARTICULO0"/>
      </w:pPr>
      <w:bookmarkStart w:id="6283" w:name="_Toc493253165"/>
      <w:bookmarkStart w:id="6284" w:name="_Toc31716461"/>
      <w:r w:rsidRPr="005F10B9">
        <w:t>Artículo 5.1.1.3. Requisito de patrimonio técnico para el Miembro Liquidador Individual para Participar en el Segmento Swaps.</w:t>
      </w:r>
      <w:bookmarkEnd w:id="6283"/>
      <w:bookmarkEnd w:id="6284"/>
      <w:r w:rsidRPr="005F10B9">
        <w:t xml:space="preserve"> </w:t>
      </w:r>
    </w:p>
    <w:p w14:paraId="2286C098" w14:textId="77777777" w:rsidR="007968EC" w:rsidRPr="001D71BE" w:rsidRDefault="007968EC" w:rsidP="007968EC">
      <w:pPr>
        <w:jc w:val="both"/>
        <w:rPr>
          <w:rFonts w:eastAsia="Calibri"/>
          <w:b/>
          <w:i/>
        </w:rPr>
      </w:pPr>
      <w:r w:rsidRPr="001D71BE">
        <w:rPr>
          <w:rFonts w:ascii="Arial Narrow" w:eastAsia="Calibri" w:hAnsi="Arial Narrow"/>
          <w:b/>
          <w:i/>
          <w:color w:val="000000" w:themeColor="text1"/>
        </w:rPr>
        <w:t>(Este artículo fue modificado mediante Circular 1 del 15 de enero de 2019, publicada en el Boletín Normativo No. 001 del 15 de enero de 2019</w:t>
      </w:r>
      <w:r w:rsidRPr="00095F41">
        <w:rPr>
          <w:rFonts w:ascii="Arial Narrow" w:eastAsia="Calibri" w:hAnsi="Arial Narrow"/>
          <w:b/>
          <w:i/>
          <w:color w:val="000000" w:themeColor="text1"/>
        </w:rPr>
        <w:t xml:space="preserve"> </w:t>
      </w:r>
      <w:r>
        <w:rPr>
          <w:rFonts w:ascii="Arial Narrow" w:eastAsia="Calibri" w:hAnsi="Arial Narrow"/>
          <w:b/>
          <w:i/>
          <w:color w:val="000000" w:themeColor="text1"/>
        </w:rPr>
        <w:t>y mediante Circular 1 del 10 de enero de 2020, publicada en el Boletín Normativo No. 001 del 10 de enero de 2020</w:t>
      </w:r>
      <w:r w:rsidRPr="001D71BE">
        <w:rPr>
          <w:rFonts w:ascii="Arial Narrow" w:eastAsia="Calibri" w:hAnsi="Arial Narrow"/>
          <w:b/>
          <w:i/>
          <w:color w:val="000000" w:themeColor="text1"/>
        </w:rPr>
        <w:t>. Rige a partir del 1</w:t>
      </w:r>
      <w:r>
        <w:rPr>
          <w:rFonts w:ascii="Arial Narrow" w:eastAsia="Calibri" w:hAnsi="Arial Narrow"/>
          <w:b/>
          <w:i/>
          <w:color w:val="000000" w:themeColor="text1"/>
        </w:rPr>
        <w:t>3</w:t>
      </w:r>
      <w:r w:rsidRPr="001D71BE">
        <w:rPr>
          <w:rFonts w:ascii="Arial Narrow" w:eastAsia="Calibri" w:hAnsi="Arial Narrow"/>
          <w:b/>
          <w:i/>
          <w:color w:val="000000" w:themeColor="text1"/>
        </w:rPr>
        <w:t xml:space="preserve"> de enero de 20</w:t>
      </w:r>
      <w:r>
        <w:rPr>
          <w:rFonts w:ascii="Arial Narrow" w:eastAsia="Calibri" w:hAnsi="Arial Narrow"/>
          <w:b/>
          <w:i/>
          <w:color w:val="000000" w:themeColor="text1"/>
        </w:rPr>
        <w:t>20</w:t>
      </w:r>
      <w:r w:rsidRPr="001D71BE">
        <w:rPr>
          <w:rFonts w:ascii="Arial Narrow" w:eastAsia="Calibri" w:hAnsi="Arial Narrow"/>
          <w:b/>
          <w:i/>
          <w:color w:val="000000" w:themeColor="text1"/>
        </w:rPr>
        <w:t>.)</w:t>
      </w:r>
    </w:p>
    <w:p w14:paraId="26973BE5" w14:textId="77777777" w:rsidR="007968EC" w:rsidRPr="005F10B9" w:rsidRDefault="007968EC" w:rsidP="007968EC">
      <w:pPr>
        <w:jc w:val="both"/>
        <w:rPr>
          <w:rFonts w:ascii="Arial Narrow" w:eastAsia="Calibri" w:hAnsi="Arial Narrow"/>
          <w:b/>
          <w:color w:val="000000" w:themeColor="text1"/>
        </w:rPr>
      </w:pPr>
    </w:p>
    <w:p w14:paraId="12E18E45" w14:textId="77777777" w:rsidR="007968EC" w:rsidRPr="005F10B9" w:rsidRDefault="007968EC" w:rsidP="007968EC">
      <w:pPr>
        <w:jc w:val="both"/>
        <w:rPr>
          <w:rFonts w:ascii="Arial Narrow" w:eastAsia="Calibri" w:hAnsi="Arial Narrow"/>
          <w:color w:val="000000" w:themeColor="text1"/>
        </w:rPr>
      </w:pPr>
      <w:r w:rsidRPr="005F10B9">
        <w:rPr>
          <w:rFonts w:ascii="Arial Narrow" w:eastAsia="Calibri" w:hAnsi="Arial Narrow"/>
          <w:color w:val="000000" w:themeColor="text1"/>
        </w:rPr>
        <w:t>El requisito de patrimonio técnico mínimo para los Miembros Liquidadores Individuales, de acceso y permanencia, para participar en la Compensación y Liquidación en el Segmento Swaps de la</w:t>
      </w:r>
      <w:r>
        <w:rPr>
          <w:rFonts w:ascii="Arial Narrow" w:eastAsia="Calibri" w:hAnsi="Arial Narrow"/>
          <w:color w:val="000000" w:themeColor="text1"/>
        </w:rPr>
        <w:t xml:space="preserve"> </w:t>
      </w:r>
      <w:r w:rsidRPr="005F10B9">
        <w:rPr>
          <w:rFonts w:ascii="Arial Narrow" w:eastAsia="Calibri" w:hAnsi="Arial Narrow"/>
          <w:color w:val="000000" w:themeColor="text1"/>
        </w:rPr>
        <w:t xml:space="preserve">Cámara será el mismo que se les exige para tener la calidad de Miembros Liquidadores Individuales de la Cámara en el Artículo 1.2.1.3. de la presente Circular, esto es, </w:t>
      </w:r>
      <w:r w:rsidRPr="00095F41">
        <w:rPr>
          <w:rFonts w:ascii="Arial Narrow" w:eastAsia="Calibri" w:hAnsi="Arial Narrow"/>
          <w:color w:val="000000" w:themeColor="text1"/>
        </w:rPr>
        <w:t>para el año 2020, la suma de dieciséis mil catorce millones de pesos ($16.014.000.000)</w:t>
      </w:r>
      <w:r>
        <w:rPr>
          <w:rFonts w:ascii="Arial Narrow" w:eastAsia="Calibri" w:hAnsi="Arial Narrow"/>
          <w:color w:val="000000" w:themeColor="text1"/>
        </w:rPr>
        <w:t xml:space="preserve"> </w:t>
      </w:r>
      <w:r w:rsidRPr="005F10B9">
        <w:rPr>
          <w:rFonts w:ascii="Arial Narrow" w:eastAsia="Calibri" w:hAnsi="Arial Narrow"/>
          <w:color w:val="000000" w:themeColor="text1"/>
        </w:rPr>
        <w:t>moneda corriente, valor que se ajustará anualmente, en el mes de enero, en forma automática en el mismo sentido y porcentaje en que varíe el índice de precios al consumidor que suministre el DANE.</w:t>
      </w:r>
    </w:p>
    <w:p w14:paraId="721BAAE1" w14:textId="77777777" w:rsidR="007968EC" w:rsidRPr="005F10B9" w:rsidRDefault="007968EC" w:rsidP="007968EC">
      <w:pPr>
        <w:jc w:val="both"/>
        <w:rPr>
          <w:rFonts w:ascii="Arial Narrow" w:eastAsia="Calibri" w:hAnsi="Arial Narrow"/>
          <w:color w:val="000000" w:themeColor="text1"/>
        </w:rPr>
      </w:pPr>
    </w:p>
    <w:p w14:paraId="2A777453" w14:textId="77777777" w:rsidR="007968EC" w:rsidRPr="005F10B9" w:rsidRDefault="007968EC" w:rsidP="007968EC">
      <w:pPr>
        <w:pStyle w:val="ARTICULO0"/>
      </w:pPr>
      <w:bookmarkStart w:id="6285" w:name="_Toc493253166"/>
      <w:bookmarkStart w:id="6286" w:name="_Toc31716462"/>
      <w:r w:rsidRPr="005F10B9">
        <w:t>Artículo 5.1.1.4. Procedimiento operativo para el retiro del Segmento Swaps.</w:t>
      </w:r>
      <w:bookmarkEnd w:id="6285"/>
      <w:bookmarkEnd w:id="6286"/>
    </w:p>
    <w:p w14:paraId="43B64DEC" w14:textId="77777777" w:rsidR="007968EC" w:rsidRPr="005F10B9" w:rsidRDefault="007968EC" w:rsidP="007968EC">
      <w:pPr>
        <w:jc w:val="both"/>
        <w:rPr>
          <w:rFonts w:ascii="Arial Narrow" w:eastAsia="Calibri" w:hAnsi="Arial Narrow"/>
          <w:color w:val="000000" w:themeColor="text1"/>
        </w:rPr>
      </w:pPr>
    </w:p>
    <w:p w14:paraId="43D8324C" w14:textId="77777777" w:rsidR="007968EC" w:rsidRPr="005F10B9" w:rsidRDefault="007968EC" w:rsidP="007968EC">
      <w:pPr>
        <w:jc w:val="both"/>
        <w:rPr>
          <w:rFonts w:ascii="Arial Narrow" w:eastAsia="Calibri" w:hAnsi="Arial Narrow"/>
          <w:color w:val="000000" w:themeColor="text1"/>
        </w:rPr>
      </w:pPr>
      <w:r w:rsidRPr="005F10B9">
        <w:rPr>
          <w:rFonts w:ascii="Arial Narrow" w:eastAsia="Calibri" w:hAnsi="Arial Narrow"/>
          <w:color w:val="000000" w:themeColor="text1"/>
        </w:rPr>
        <w:t xml:space="preserve">Para el retiro voluntario de un Miembro de la Compensación y Liquidación del Segmento Swaps el Miembro deberá seguir el siguiente procedimiento: </w:t>
      </w:r>
    </w:p>
    <w:p w14:paraId="580E6619" w14:textId="77777777" w:rsidR="007968EC" w:rsidRPr="005F10B9" w:rsidRDefault="007968EC" w:rsidP="007968EC">
      <w:pPr>
        <w:jc w:val="both"/>
        <w:rPr>
          <w:rFonts w:ascii="Arial Narrow" w:eastAsia="Calibri" w:hAnsi="Arial Narrow"/>
          <w:color w:val="000000" w:themeColor="text1"/>
        </w:rPr>
      </w:pPr>
    </w:p>
    <w:p w14:paraId="3B6FBAC7" w14:textId="77777777" w:rsidR="007968EC" w:rsidRPr="005F10B9" w:rsidRDefault="007968EC" w:rsidP="00DA7472">
      <w:pPr>
        <w:numPr>
          <w:ilvl w:val="0"/>
          <w:numId w:val="326"/>
        </w:numPr>
        <w:ind w:left="426" w:hanging="426"/>
        <w:contextualSpacing/>
        <w:jc w:val="both"/>
        <w:rPr>
          <w:rFonts w:ascii="Arial Narrow" w:eastAsia="Calibri" w:hAnsi="Arial Narrow"/>
          <w:color w:val="000000" w:themeColor="text1"/>
        </w:rPr>
      </w:pPr>
      <w:r w:rsidRPr="005F10B9">
        <w:rPr>
          <w:rFonts w:ascii="Arial Narrow" w:eastAsia="Calibri" w:hAnsi="Arial Narrow"/>
          <w:color w:val="000000" w:themeColor="text1"/>
        </w:rPr>
        <w:lastRenderedPageBreak/>
        <w:t xml:space="preserve">El Miembro deberá enviar diligenciado el Anexo 1.6. Carta de Solicitud de Retiro de Segmentos junto con un plan detallado de retiro en el cual se defina el manejo de las obligaciones de cada una de las Cuentas y el cronograma de cumplimiento para el Segmento Swaps. Este plan se deberá dar a conocer y ser aprobado previamente por los titulares de cada una de las Cuentas y aceptado por el Gerente de la Cámara o quien este designe. </w:t>
      </w:r>
    </w:p>
    <w:p w14:paraId="485D3B22" w14:textId="77777777" w:rsidR="007968EC" w:rsidRPr="005F10B9" w:rsidRDefault="007968EC" w:rsidP="007968EC">
      <w:pPr>
        <w:ind w:left="426"/>
        <w:contextualSpacing/>
        <w:jc w:val="both"/>
        <w:rPr>
          <w:rFonts w:ascii="Arial Narrow" w:eastAsia="Calibri" w:hAnsi="Arial Narrow"/>
          <w:color w:val="000000" w:themeColor="text1"/>
        </w:rPr>
      </w:pPr>
    </w:p>
    <w:p w14:paraId="3BB27532" w14:textId="77777777" w:rsidR="007968EC" w:rsidRPr="005F10B9" w:rsidRDefault="007968EC" w:rsidP="00DA7472">
      <w:pPr>
        <w:numPr>
          <w:ilvl w:val="0"/>
          <w:numId w:val="326"/>
        </w:numPr>
        <w:ind w:left="426" w:hanging="426"/>
        <w:contextualSpacing/>
        <w:jc w:val="both"/>
        <w:rPr>
          <w:rFonts w:ascii="Arial Narrow" w:eastAsia="Calibri" w:hAnsi="Arial Narrow"/>
          <w:color w:val="000000" w:themeColor="text1"/>
        </w:rPr>
      </w:pPr>
      <w:r w:rsidRPr="005F10B9">
        <w:rPr>
          <w:rFonts w:ascii="Arial Narrow" w:eastAsia="Calibri" w:hAnsi="Arial Narrow"/>
          <w:color w:val="000000" w:themeColor="text1"/>
        </w:rPr>
        <w:t>La Cámara aceptará las operaciones del Miembro en el Segmento Swaps, siempre y cuando dichas operaciones se realicen para disminuir el riesgo.</w:t>
      </w:r>
    </w:p>
    <w:p w14:paraId="4846E3F1" w14:textId="77777777" w:rsidR="007968EC" w:rsidRPr="005F10B9" w:rsidRDefault="007968EC" w:rsidP="007968EC">
      <w:pPr>
        <w:ind w:left="720"/>
        <w:contextualSpacing/>
        <w:rPr>
          <w:rFonts w:ascii="Arial Narrow" w:eastAsia="Calibri" w:hAnsi="Arial Narrow"/>
          <w:color w:val="000000" w:themeColor="text1"/>
        </w:rPr>
      </w:pPr>
    </w:p>
    <w:p w14:paraId="62A37A27" w14:textId="77777777" w:rsidR="007968EC" w:rsidRPr="005F10B9" w:rsidRDefault="007968EC" w:rsidP="00DA7472">
      <w:pPr>
        <w:numPr>
          <w:ilvl w:val="0"/>
          <w:numId w:val="326"/>
        </w:numPr>
        <w:ind w:left="426" w:hanging="426"/>
        <w:contextualSpacing/>
        <w:jc w:val="both"/>
        <w:rPr>
          <w:rFonts w:ascii="Arial Narrow" w:eastAsia="Calibri" w:hAnsi="Arial Narrow"/>
          <w:color w:val="000000" w:themeColor="text1"/>
        </w:rPr>
      </w:pPr>
      <w:r w:rsidRPr="005F10B9">
        <w:rPr>
          <w:rFonts w:ascii="Arial Narrow" w:eastAsia="Calibri" w:hAnsi="Arial Narrow"/>
          <w:color w:val="000000" w:themeColor="text1"/>
        </w:rPr>
        <w:t>La Cámara le permitirá el acceso al Segmento y la gestión de operaciones siempre y cuando correspondan al plan de retiro detallado.</w:t>
      </w:r>
    </w:p>
    <w:p w14:paraId="34920FB2" w14:textId="77777777" w:rsidR="007968EC" w:rsidRPr="005F10B9" w:rsidRDefault="007968EC" w:rsidP="007968EC">
      <w:pPr>
        <w:ind w:left="720"/>
        <w:contextualSpacing/>
        <w:rPr>
          <w:rFonts w:ascii="Arial Narrow" w:eastAsia="Calibri" w:hAnsi="Arial Narrow"/>
          <w:color w:val="000000" w:themeColor="text1"/>
        </w:rPr>
      </w:pPr>
    </w:p>
    <w:p w14:paraId="6270FE39" w14:textId="77777777" w:rsidR="007968EC" w:rsidRPr="005F10B9" w:rsidRDefault="007968EC" w:rsidP="00DA7472">
      <w:pPr>
        <w:numPr>
          <w:ilvl w:val="0"/>
          <w:numId w:val="326"/>
        </w:numPr>
        <w:ind w:left="426" w:hanging="426"/>
        <w:contextualSpacing/>
        <w:jc w:val="both"/>
        <w:rPr>
          <w:rFonts w:ascii="Arial Narrow" w:eastAsia="Calibri" w:hAnsi="Arial Narrow"/>
          <w:color w:val="000000" w:themeColor="text1"/>
        </w:rPr>
      </w:pPr>
      <w:r w:rsidRPr="005F10B9">
        <w:rPr>
          <w:rFonts w:ascii="Arial Narrow" w:eastAsia="Calibri" w:hAnsi="Arial Narrow"/>
          <w:color w:val="000000" w:themeColor="text1"/>
        </w:rPr>
        <w:t>En ninguna forma se debe entender que el procedimiento de retiro de un Segmento limita el derecho de la Cámara de exigir y recibir el pago de las obligaciones del Miembro establecidas de acuerdo con el Reglamento.</w:t>
      </w:r>
    </w:p>
    <w:p w14:paraId="23D5B364" w14:textId="77777777" w:rsidR="007968EC" w:rsidRPr="005F10B9" w:rsidRDefault="007968EC" w:rsidP="007968EC">
      <w:pPr>
        <w:ind w:left="720"/>
        <w:contextualSpacing/>
        <w:rPr>
          <w:rFonts w:ascii="Arial Narrow" w:eastAsia="Calibri" w:hAnsi="Arial Narrow"/>
          <w:color w:val="000000" w:themeColor="text1"/>
        </w:rPr>
      </w:pPr>
    </w:p>
    <w:p w14:paraId="584FBF45" w14:textId="77777777" w:rsidR="007968EC" w:rsidRPr="005F10B9" w:rsidRDefault="007968EC" w:rsidP="00DA7472">
      <w:pPr>
        <w:numPr>
          <w:ilvl w:val="0"/>
          <w:numId w:val="326"/>
        </w:numPr>
        <w:ind w:left="426" w:hanging="426"/>
        <w:contextualSpacing/>
        <w:jc w:val="both"/>
        <w:rPr>
          <w:rFonts w:ascii="Arial Narrow" w:eastAsia="Calibri" w:hAnsi="Arial Narrow"/>
          <w:color w:val="000000" w:themeColor="text1"/>
        </w:rPr>
      </w:pPr>
      <w:r w:rsidRPr="005F10B9">
        <w:rPr>
          <w:rFonts w:ascii="Arial Narrow" w:eastAsia="Calibri" w:hAnsi="Arial Narrow"/>
          <w:color w:val="000000" w:themeColor="text1"/>
        </w:rPr>
        <w:t>El Gerente de la Cámara podrá aplazar la fecha de retiro del Segmento si el Miembro que ha solicitado su retiro o sus Terceros, tienen un retardo o Incumplimiento.</w:t>
      </w:r>
    </w:p>
    <w:p w14:paraId="06699FE6" w14:textId="77777777" w:rsidR="007968EC" w:rsidRPr="005F10B9" w:rsidRDefault="007968EC" w:rsidP="007968EC">
      <w:pPr>
        <w:jc w:val="both"/>
        <w:rPr>
          <w:rFonts w:ascii="Arial Narrow" w:eastAsia="Calibri" w:hAnsi="Arial Narrow"/>
          <w:color w:val="000000" w:themeColor="text1"/>
        </w:rPr>
      </w:pPr>
    </w:p>
    <w:p w14:paraId="1D27E843" w14:textId="77777777" w:rsidR="007968EC" w:rsidRPr="005F10B9" w:rsidRDefault="007968EC" w:rsidP="007968EC">
      <w:pPr>
        <w:jc w:val="both"/>
        <w:rPr>
          <w:rFonts w:ascii="Arial Narrow" w:eastAsia="Calibri" w:hAnsi="Arial Narrow"/>
          <w:color w:val="000000" w:themeColor="text1"/>
        </w:rPr>
      </w:pPr>
      <w:r w:rsidRPr="005F10B9">
        <w:rPr>
          <w:rFonts w:ascii="Arial Narrow" w:eastAsia="Calibri" w:hAnsi="Arial Narrow" w:cs="Arial"/>
          <w:b/>
          <w:color w:val="000000" w:themeColor="text1"/>
          <w:lang w:eastAsia="es-ES"/>
        </w:rPr>
        <w:t>Parágrafo.</w:t>
      </w:r>
      <w:r w:rsidRPr="005F10B9">
        <w:rPr>
          <w:rFonts w:ascii="Arial Narrow" w:eastAsia="Calibri" w:hAnsi="Arial Narrow"/>
          <w:b/>
          <w:color w:val="000000" w:themeColor="text1"/>
        </w:rPr>
        <w:t xml:space="preserve"> </w:t>
      </w:r>
      <w:r w:rsidRPr="005F10B9">
        <w:rPr>
          <w:rFonts w:ascii="Arial Narrow" w:eastAsia="Calibri" w:hAnsi="Arial Narrow"/>
          <w:color w:val="000000" w:themeColor="text1"/>
        </w:rPr>
        <w:t>El Miembro No Liquidador que esté interesado en retirarse del Segmento Swaps deberá presentar la solicitud respectiva con el plan detallado de retiro aprobado por su Miembro Liquidador General.</w:t>
      </w:r>
    </w:p>
    <w:p w14:paraId="1F06248A" w14:textId="77777777" w:rsidR="007968EC" w:rsidRPr="005F10B9" w:rsidRDefault="007968EC" w:rsidP="007968EC">
      <w:pPr>
        <w:jc w:val="both"/>
        <w:rPr>
          <w:rFonts w:ascii="Arial Narrow" w:eastAsia="Calibri" w:hAnsi="Arial Narrow"/>
          <w:color w:val="000000" w:themeColor="text1"/>
        </w:rPr>
      </w:pPr>
    </w:p>
    <w:p w14:paraId="49B47F93" w14:textId="77777777" w:rsidR="007968EC" w:rsidRPr="005F10B9" w:rsidRDefault="007968EC" w:rsidP="007968EC">
      <w:pPr>
        <w:pStyle w:val="ARTICULO0"/>
      </w:pPr>
      <w:bookmarkStart w:id="6287" w:name="_Toc493253167"/>
      <w:bookmarkStart w:id="6288" w:name="_Toc31716463"/>
      <w:r w:rsidRPr="005F10B9">
        <w:t>Artículo 5.1.1.5. Acuerdo para compensar y liquidar a través de la Cámara Operaciones sobre Swaps.</w:t>
      </w:r>
      <w:bookmarkEnd w:id="6287"/>
      <w:bookmarkEnd w:id="6288"/>
      <w:r w:rsidRPr="005F10B9">
        <w:t xml:space="preserve"> </w:t>
      </w:r>
    </w:p>
    <w:p w14:paraId="2C8F0225" w14:textId="77777777" w:rsidR="007968EC" w:rsidRPr="005F10B9" w:rsidRDefault="007968EC" w:rsidP="007968EC">
      <w:pPr>
        <w:jc w:val="both"/>
        <w:rPr>
          <w:rFonts w:ascii="Arial Narrow" w:hAnsi="Arial Narrow" w:cs="Arial"/>
          <w:color w:val="000000" w:themeColor="text1"/>
          <w:lang w:eastAsia="es-ES"/>
        </w:rPr>
      </w:pPr>
    </w:p>
    <w:p w14:paraId="055213D2" w14:textId="77777777" w:rsidR="007968EC" w:rsidRPr="005F10B9" w:rsidRDefault="007968EC" w:rsidP="007968EC">
      <w:pPr>
        <w:jc w:val="both"/>
        <w:rPr>
          <w:rFonts w:ascii="Arial Narrow" w:eastAsia="Calibri" w:hAnsi="Arial Narrow"/>
          <w:color w:val="000000" w:themeColor="text1"/>
        </w:rPr>
      </w:pPr>
      <w:r w:rsidRPr="005F10B9">
        <w:rPr>
          <w:rFonts w:ascii="Arial Narrow" w:eastAsia="Calibri" w:hAnsi="Arial Narrow"/>
          <w:color w:val="000000" w:themeColor="text1"/>
        </w:rPr>
        <w:t xml:space="preserve">De conformidad con lo previsto en los Artículos 3.1.4. y 3.1.5. del Reglamento de Funcionamiento, los Miembros de la Cámara podrán enviar Operaciones celebradas con otros Miembros como contrapartes sobre Swaps para la Compensación y Liquidación a través del Segmento Swaps de la Cámara como contraparte, siempre que tal posibilidad esté contemplada en el correspondiente Contrato Marco o en el Acuerdo para Compensar y Liquidar a través de la Cámara Operaciones sobre Instrumentos Financieros Derivados No Estandarizados. El contenido mínimo de la cláusula especial del Contrato Marco y del Acuerdo para Compensar y Liquidar a través de la Cámara Operaciones sobre Instrumentos Financieros Derivados no Estandarizados con otros Miembros como contrapartes se encuentran en los Anexos 26 y 27 respectivamente, de la presente Circular. </w:t>
      </w:r>
    </w:p>
    <w:p w14:paraId="38CF129E" w14:textId="77777777" w:rsidR="007968EC" w:rsidRPr="005F10B9" w:rsidRDefault="007968EC" w:rsidP="007968EC">
      <w:pPr>
        <w:jc w:val="both"/>
        <w:rPr>
          <w:rFonts w:ascii="Arial Narrow" w:eastAsia="Calibri" w:hAnsi="Arial Narrow"/>
          <w:color w:val="000000" w:themeColor="text1"/>
        </w:rPr>
      </w:pPr>
    </w:p>
    <w:p w14:paraId="7B09FB21" w14:textId="77777777" w:rsidR="007968EC" w:rsidRPr="005F10B9" w:rsidRDefault="007968EC" w:rsidP="007968EC">
      <w:pPr>
        <w:jc w:val="both"/>
        <w:rPr>
          <w:rFonts w:ascii="Arial Narrow" w:eastAsia="Calibri" w:hAnsi="Arial Narrow"/>
          <w:color w:val="000000" w:themeColor="text1"/>
        </w:rPr>
      </w:pPr>
      <w:r w:rsidRPr="005F10B9">
        <w:rPr>
          <w:rFonts w:ascii="Arial Narrow" w:eastAsia="Calibri" w:hAnsi="Arial Narrow"/>
          <w:color w:val="000000" w:themeColor="text1"/>
        </w:rPr>
        <w:t>Los Miembros deberán mantener a disposición de la Cámara los Contratos Marco que incluyan la cláusula especial o los Acuerdos para Compensar y Liquidar a través de la Cámara Operaciones sobre Instrumentos Financieros Derivados no Estandarizados los cuales podrán ser solicitados por la Cámara en cualquier momento.</w:t>
      </w:r>
    </w:p>
    <w:p w14:paraId="48F428FC" w14:textId="77777777" w:rsidR="007968EC" w:rsidRPr="005F10B9" w:rsidRDefault="007968EC" w:rsidP="007968EC">
      <w:pPr>
        <w:jc w:val="both"/>
        <w:rPr>
          <w:rFonts w:ascii="Arial Narrow" w:eastAsia="Calibri" w:hAnsi="Arial Narrow"/>
          <w:color w:val="000000" w:themeColor="text1"/>
        </w:rPr>
      </w:pPr>
    </w:p>
    <w:p w14:paraId="59D51919" w14:textId="77777777" w:rsidR="007968EC" w:rsidRPr="005F10B9" w:rsidRDefault="007968EC" w:rsidP="007968EC">
      <w:pPr>
        <w:keepNext/>
        <w:jc w:val="center"/>
        <w:outlineLvl w:val="0"/>
        <w:rPr>
          <w:rFonts w:ascii="Arial Narrow" w:eastAsia="Calibri" w:hAnsi="Arial Narrow" w:cs="Arial"/>
          <w:b/>
          <w:kern w:val="32"/>
          <w:lang w:val="es-ES"/>
        </w:rPr>
      </w:pPr>
    </w:p>
    <w:p w14:paraId="5F30ADD8" w14:textId="77777777" w:rsidR="007968EC" w:rsidRPr="005F10B9" w:rsidRDefault="007968EC" w:rsidP="007968EC">
      <w:pPr>
        <w:pStyle w:val="TTULO"/>
        <w:rPr>
          <w:rFonts w:eastAsia="Calibri"/>
        </w:rPr>
      </w:pPr>
      <w:bookmarkStart w:id="6289" w:name="_Toc493253172"/>
      <w:bookmarkStart w:id="6290" w:name="_Toc31716464"/>
      <w:r w:rsidRPr="005F10B9">
        <w:rPr>
          <w:rFonts w:eastAsia="Calibri"/>
        </w:rPr>
        <w:t>TÍTULO SEGUNDO</w:t>
      </w:r>
      <w:bookmarkEnd w:id="6289"/>
      <w:bookmarkEnd w:id="6290"/>
    </w:p>
    <w:p w14:paraId="698A2889" w14:textId="77777777" w:rsidR="007968EC" w:rsidRPr="005F10B9" w:rsidRDefault="007968EC" w:rsidP="007968EC">
      <w:pPr>
        <w:pStyle w:val="TTULO"/>
        <w:rPr>
          <w:rFonts w:eastAsia="Calibri"/>
        </w:rPr>
      </w:pPr>
    </w:p>
    <w:p w14:paraId="7441ED47" w14:textId="77777777" w:rsidR="007968EC" w:rsidRPr="005F10B9" w:rsidRDefault="007968EC" w:rsidP="007968EC">
      <w:pPr>
        <w:pStyle w:val="TTULO"/>
        <w:rPr>
          <w:rFonts w:eastAsia="Calibri"/>
        </w:rPr>
      </w:pPr>
      <w:bookmarkStart w:id="6291" w:name="_Toc493253173"/>
      <w:bookmarkStart w:id="6292" w:name="_Toc31716465"/>
      <w:r w:rsidRPr="005F10B9">
        <w:rPr>
          <w:rFonts w:eastAsia="Calibri"/>
        </w:rPr>
        <w:t>ACEPTACIÓN DE OPERACIONES</w:t>
      </w:r>
      <w:bookmarkEnd w:id="6291"/>
      <w:bookmarkEnd w:id="6292"/>
    </w:p>
    <w:p w14:paraId="2038B102" w14:textId="77777777" w:rsidR="007968EC" w:rsidRPr="005F10B9" w:rsidRDefault="007968EC" w:rsidP="007968EC">
      <w:pPr>
        <w:pStyle w:val="TTULO"/>
        <w:rPr>
          <w:rFonts w:eastAsia="Calibri"/>
        </w:rPr>
      </w:pPr>
    </w:p>
    <w:p w14:paraId="39EB6914" w14:textId="77777777" w:rsidR="007968EC" w:rsidRPr="005F10B9" w:rsidRDefault="007968EC" w:rsidP="007968EC">
      <w:pPr>
        <w:pStyle w:val="TTULO"/>
        <w:rPr>
          <w:rFonts w:eastAsia="Calibri"/>
        </w:rPr>
      </w:pPr>
      <w:bookmarkStart w:id="6293" w:name="_Toc493253174"/>
      <w:bookmarkStart w:id="6294" w:name="_Toc31716466"/>
      <w:r w:rsidRPr="005F10B9">
        <w:rPr>
          <w:rFonts w:eastAsia="Calibri"/>
        </w:rPr>
        <w:t>CAPÍTULO PRIMERO</w:t>
      </w:r>
      <w:bookmarkEnd w:id="6293"/>
      <w:bookmarkEnd w:id="6294"/>
    </w:p>
    <w:p w14:paraId="172AE575" w14:textId="77777777" w:rsidR="007968EC" w:rsidRPr="005F10B9" w:rsidRDefault="007968EC" w:rsidP="007968EC">
      <w:pPr>
        <w:pStyle w:val="TTULO"/>
        <w:rPr>
          <w:rFonts w:eastAsia="Calibri"/>
        </w:rPr>
      </w:pPr>
    </w:p>
    <w:p w14:paraId="63B16E07" w14:textId="77777777" w:rsidR="007968EC" w:rsidRPr="005F10B9" w:rsidRDefault="007968EC" w:rsidP="007968EC">
      <w:pPr>
        <w:pStyle w:val="TTULO"/>
        <w:rPr>
          <w:rFonts w:eastAsia="Calibri"/>
        </w:rPr>
      </w:pPr>
      <w:bookmarkStart w:id="6295" w:name="_Toc493253175"/>
      <w:bookmarkStart w:id="6296" w:name="_Toc31716467"/>
      <w:r w:rsidRPr="005F10B9">
        <w:rPr>
          <w:rFonts w:eastAsia="Calibri"/>
        </w:rPr>
        <w:t>CONTROL DE RIESGO Y ACEPTACIÓN DE OPERACIONES PROVENIENTES DE SISTEMAS DE NEGOCIACIÓN Y/O REGISTRO O MECANISMOS DE CONTRATACIÓN</w:t>
      </w:r>
      <w:bookmarkEnd w:id="6295"/>
      <w:bookmarkEnd w:id="6296"/>
    </w:p>
    <w:p w14:paraId="28D6E90C" w14:textId="77777777" w:rsidR="007968EC" w:rsidRPr="005F10B9" w:rsidRDefault="007968EC" w:rsidP="007968EC">
      <w:pPr>
        <w:jc w:val="both"/>
        <w:rPr>
          <w:rFonts w:ascii="Arial Narrow" w:eastAsia="Calibri" w:hAnsi="Arial Narrow"/>
          <w:b/>
          <w:color w:val="000000" w:themeColor="text1"/>
        </w:rPr>
      </w:pPr>
    </w:p>
    <w:p w14:paraId="57B7376B" w14:textId="77777777" w:rsidR="007968EC" w:rsidRPr="005F10B9" w:rsidRDefault="007968EC" w:rsidP="007968EC">
      <w:pPr>
        <w:pStyle w:val="ARTICULO0"/>
      </w:pPr>
      <w:bookmarkStart w:id="6297" w:name="_Toc493253176"/>
      <w:bookmarkStart w:id="6298" w:name="_Toc31716468"/>
      <w:r w:rsidRPr="005F10B9">
        <w:t>Artículo 5.2.1.1. Acuerdos con sistemas de negociación y/o registro o Mecanismos de Contratación para la Aceptación de Operaciones.</w:t>
      </w:r>
      <w:bookmarkEnd w:id="6297"/>
      <w:bookmarkEnd w:id="6298"/>
    </w:p>
    <w:p w14:paraId="2AD5D758" w14:textId="77777777" w:rsidR="007968EC" w:rsidRPr="005F10B9" w:rsidRDefault="007968EC" w:rsidP="007968EC">
      <w:pPr>
        <w:jc w:val="both"/>
        <w:rPr>
          <w:rFonts w:ascii="Arial Narrow" w:eastAsia="Calibri" w:hAnsi="Arial Narrow"/>
          <w:b/>
          <w:color w:val="000000" w:themeColor="text1"/>
        </w:rPr>
      </w:pPr>
    </w:p>
    <w:p w14:paraId="68B30BC8" w14:textId="77777777" w:rsidR="007968EC" w:rsidRPr="005F10B9" w:rsidRDefault="007968EC" w:rsidP="007968EC">
      <w:pPr>
        <w:jc w:val="both"/>
        <w:rPr>
          <w:rFonts w:ascii="Arial Narrow" w:eastAsia="Calibri" w:hAnsi="Arial Narrow"/>
          <w:color w:val="000000" w:themeColor="text1"/>
        </w:rPr>
      </w:pPr>
      <w:r w:rsidRPr="005F10B9">
        <w:rPr>
          <w:rFonts w:ascii="Arial Narrow" w:eastAsia="Calibri" w:hAnsi="Arial Narrow"/>
          <w:color w:val="000000" w:themeColor="text1"/>
        </w:rPr>
        <w:t>La Cámara en virtud de los acuerdos suscritos con los sistemas de negociación y/o registro o Mecanismos de Contratación aceptará Operaciones Swaps de dichos sistemas o mecanismos de acuerdo con lo descrito en el Artículo 1.3.1.2. de la presente Circular.</w:t>
      </w:r>
    </w:p>
    <w:p w14:paraId="37D7D611" w14:textId="77777777" w:rsidR="007968EC" w:rsidRPr="005F10B9" w:rsidRDefault="007968EC" w:rsidP="007968EC">
      <w:pPr>
        <w:jc w:val="both"/>
        <w:rPr>
          <w:rFonts w:ascii="Arial Narrow" w:eastAsia="Calibri" w:hAnsi="Arial Narrow"/>
          <w:color w:val="000000" w:themeColor="text1"/>
        </w:rPr>
      </w:pPr>
    </w:p>
    <w:p w14:paraId="6E3C1EEB" w14:textId="77777777" w:rsidR="007968EC" w:rsidRPr="005F10B9" w:rsidRDefault="007968EC" w:rsidP="007968EC">
      <w:pPr>
        <w:jc w:val="both"/>
        <w:rPr>
          <w:rFonts w:ascii="Arial Narrow" w:eastAsia="Calibri" w:hAnsi="Arial Narrow"/>
          <w:color w:val="000000" w:themeColor="text1"/>
        </w:rPr>
      </w:pPr>
      <w:r w:rsidRPr="005F10B9">
        <w:rPr>
          <w:rFonts w:ascii="Arial Narrow" w:eastAsia="Calibri" w:hAnsi="Arial Narrow"/>
          <w:color w:val="000000" w:themeColor="text1"/>
        </w:rPr>
        <w:t>En todo caso, corresponderá a los administradores de los sistemas de negociación y/o registro o Mecanismos de Contratación contar con la autorización expresa de los Miembros para el envío de Operaciones Swaps</w:t>
      </w:r>
      <w:r w:rsidRPr="005F10B9" w:rsidDel="000C301D">
        <w:rPr>
          <w:rFonts w:ascii="Arial Narrow" w:eastAsia="Calibri" w:hAnsi="Arial Narrow"/>
          <w:color w:val="000000" w:themeColor="text1"/>
        </w:rPr>
        <w:t xml:space="preserve"> </w:t>
      </w:r>
      <w:r w:rsidRPr="005F10B9">
        <w:rPr>
          <w:rFonts w:ascii="Arial Narrow" w:eastAsia="Calibri" w:hAnsi="Arial Narrow"/>
          <w:color w:val="000000" w:themeColor="text1"/>
        </w:rPr>
        <w:t>celebradas con otros Miembros como contrapartes para la Compensación y Liquidación a través de la Cámara.</w:t>
      </w:r>
    </w:p>
    <w:p w14:paraId="137B07EC" w14:textId="77777777" w:rsidR="007968EC" w:rsidRPr="005F10B9" w:rsidRDefault="007968EC" w:rsidP="007968EC">
      <w:pPr>
        <w:jc w:val="both"/>
        <w:rPr>
          <w:rFonts w:ascii="Arial Narrow" w:eastAsia="Calibri" w:hAnsi="Arial Narrow"/>
          <w:color w:val="000000" w:themeColor="text1"/>
        </w:rPr>
      </w:pPr>
    </w:p>
    <w:p w14:paraId="71EBA799" w14:textId="77777777" w:rsidR="007968EC" w:rsidRPr="005F10B9" w:rsidRDefault="007968EC" w:rsidP="007968EC">
      <w:pPr>
        <w:widowControl w:val="0"/>
        <w:jc w:val="both"/>
        <w:rPr>
          <w:rFonts w:ascii="Arial Narrow" w:eastAsia="Calibri" w:hAnsi="Arial Narrow"/>
          <w:color w:val="000000" w:themeColor="text1"/>
        </w:rPr>
      </w:pPr>
      <w:r w:rsidRPr="005F10B9">
        <w:rPr>
          <w:rFonts w:ascii="Arial Narrow" w:eastAsia="Calibri" w:hAnsi="Arial Narrow"/>
          <w:color w:val="000000" w:themeColor="text1"/>
        </w:rPr>
        <w:t>Las Operaciones Swaps que se remitan a través de los sistemas de negociación y/o registro o Mecanismos de Contratación, pueden corresponder a una de las siguientes modalidades:</w:t>
      </w:r>
    </w:p>
    <w:p w14:paraId="788981A1" w14:textId="77777777" w:rsidR="007968EC" w:rsidRPr="005F10B9" w:rsidRDefault="007968EC" w:rsidP="007968EC">
      <w:pPr>
        <w:autoSpaceDE w:val="0"/>
        <w:autoSpaceDN w:val="0"/>
        <w:adjustRightInd w:val="0"/>
        <w:rPr>
          <w:rFonts w:ascii="Arial Narrow" w:hAnsi="Arial Narrow" w:cs="Arial"/>
          <w:color w:val="000000"/>
        </w:rPr>
      </w:pPr>
    </w:p>
    <w:p w14:paraId="4E3EF0CD" w14:textId="77777777" w:rsidR="007968EC" w:rsidRPr="005F10B9" w:rsidRDefault="007968EC" w:rsidP="00DA7472">
      <w:pPr>
        <w:numPr>
          <w:ilvl w:val="0"/>
          <w:numId w:val="327"/>
        </w:numPr>
        <w:autoSpaceDE w:val="0"/>
        <w:autoSpaceDN w:val="0"/>
        <w:adjustRightInd w:val="0"/>
        <w:ind w:left="426" w:hanging="426"/>
        <w:contextualSpacing/>
        <w:jc w:val="both"/>
        <w:rPr>
          <w:rFonts w:ascii="Arial Narrow" w:eastAsia="Calibri" w:hAnsi="Arial Narrow"/>
          <w:color w:val="000000" w:themeColor="text1"/>
        </w:rPr>
      </w:pPr>
      <w:r w:rsidRPr="005F10B9">
        <w:rPr>
          <w:rFonts w:ascii="Arial Narrow" w:eastAsia="Calibri" w:hAnsi="Arial Narrow"/>
          <w:color w:val="000000" w:themeColor="text1"/>
          <w:lang w:eastAsia="es-CO"/>
        </w:rPr>
        <w:t xml:space="preserve">Nueva Operación: Serán todas aquellas Operaciones identificadas con el tipo “H” que se han negociado o su Fecha de Operación/Celebración es t (siendo t el día de hoy) y darán inicio o su Fecha Efectiva es en los próximos días hábiles (t+0, t+1, t+2) o en una fecha futura; </w:t>
      </w:r>
      <w:proofErr w:type="spellStart"/>
      <w:r w:rsidRPr="005F10B9">
        <w:rPr>
          <w:rFonts w:ascii="Arial Narrow" w:eastAsia="Calibri" w:hAnsi="Arial Narrow"/>
          <w:color w:val="000000" w:themeColor="text1"/>
        </w:rPr>
        <w:t>ó</w:t>
      </w:r>
      <w:proofErr w:type="spellEnd"/>
    </w:p>
    <w:p w14:paraId="5FA8D74A" w14:textId="77777777" w:rsidR="007968EC" w:rsidRPr="005F10B9" w:rsidRDefault="007968EC" w:rsidP="007968EC">
      <w:pPr>
        <w:autoSpaceDE w:val="0"/>
        <w:autoSpaceDN w:val="0"/>
        <w:adjustRightInd w:val="0"/>
        <w:ind w:left="426"/>
        <w:contextualSpacing/>
        <w:jc w:val="both"/>
        <w:rPr>
          <w:rFonts w:ascii="Arial Narrow" w:eastAsia="Calibri" w:hAnsi="Arial Narrow"/>
          <w:color w:val="000000" w:themeColor="text1"/>
        </w:rPr>
      </w:pPr>
    </w:p>
    <w:p w14:paraId="6B582485" w14:textId="77777777" w:rsidR="007968EC" w:rsidRPr="005F10B9" w:rsidRDefault="007968EC" w:rsidP="00DA7472">
      <w:pPr>
        <w:numPr>
          <w:ilvl w:val="0"/>
          <w:numId w:val="327"/>
        </w:numPr>
        <w:autoSpaceDE w:val="0"/>
        <w:autoSpaceDN w:val="0"/>
        <w:adjustRightInd w:val="0"/>
        <w:ind w:left="426" w:hanging="470"/>
        <w:contextualSpacing/>
        <w:jc w:val="both"/>
        <w:rPr>
          <w:rFonts w:ascii="Arial Narrow" w:eastAsia="Calibri" w:hAnsi="Arial Narrow"/>
          <w:color w:val="000000" w:themeColor="text1"/>
        </w:rPr>
      </w:pPr>
      <w:proofErr w:type="spellStart"/>
      <w:r w:rsidRPr="005F10B9">
        <w:rPr>
          <w:rFonts w:ascii="Arial Narrow" w:eastAsia="Calibri" w:hAnsi="Arial Narrow"/>
          <w:color w:val="000000" w:themeColor="text1"/>
        </w:rPr>
        <w:t>Backloading</w:t>
      </w:r>
      <w:proofErr w:type="spellEnd"/>
      <w:r w:rsidRPr="005F10B9">
        <w:rPr>
          <w:rFonts w:ascii="Arial Narrow" w:eastAsia="Calibri" w:hAnsi="Arial Narrow"/>
          <w:color w:val="000000" w:themeColor="text1"/>
        </w:rPr>
        <w:t xml:space="preserve">: Serán todas aquellas operaciones identificadas con el tipo “B” con fecha de negociación o Fecha de Operación con por lo menos 1 día hábil de antigüedad (t-1) con respecto del día (t) que se solicita su registro en la Cámara. </w:t>
      </w:r>
    </w:p>
    <w:p w14:paraId="2F7DFF13" w14:textId="77777777" w:rsidR="007968EC" w:rsidRPr="005F10B9" w:rsidRDefault="007968EC" w:rsidP="007968EC">
      <w:pPr>
        <w:autoSpaceDE w:val="0"/>
        <w:autoSpaceDN w:val="0"/>
        <w:adjustRightInd w:val="0"/>
        <w:contextualSpacing/>
        <w:jc w:val="both"/>
        <w:rPr>
          <w:rFonts w:ascii="Arial Narrow" w:eastAsia="Calibri" w:hAnsi="Arial Narrow"/>
          <w:color w:val="000000" w:themeColor="text1"/>
        </w:rPr>
      </w:pPr>
    </w:p>
    <w:p w14:paraId="0FAF4004" w14:textId="77777777" w:rsidR="007968EC" w:rsidRPr="005F10B9" w:rsidRDefault="007968EC" w:rsidP="007968EC">
      <w:pPr>
        <w:pStyle w:val="ARTICULO0"/>
      </w:pPr>
      <w:bookmarkStart w:id="6299" w:name="_Toc493253179"/>
      <w:bookmarkStart w:id="6300" w:name="_Toc31716469"/>
      <w:r w:rsidRPr="005F10B9">
        <w:t>Artículo 5.2.1.2. Aceptación de Operaciones Swaps provenientes de sistemas de negociación y/o registro o Mecanismos de Contratación autorizados por la Cámara.</w:t>
      </w:r>
      <w:bookmarkEnd w:id="6299"/>
      <w:bookmarkEnd w:id="6300"/>
    </w:p>
    <w:p w14:paraId="51379133" w14:textId="77777777" w:rsidR="007968EC" w:rsidRPr="005F10B9" w:rsidRDefault="007968EC" w:rsidP="007968EC">
      <w:pPr>
        <w:keepNext/>
        <w:tabs>
          <w:tab w:val="left" w:pos="1701"/>
        </w:tabs>
        <w:jc w:val="both"/>
        <w:outlineLvl w:val="2"/>
        <w:rPr>
          <w:rFonts w:ascii="Arial Narrow" w:eastAsia="Calibri" w:hAnsi="Arial Narrow"/>
          <w:b/>
          <w:color w:val="000000" w:themeColor="text1"/>
        </w:rPr>
      </w:pPr>
    </w:p>
    <w:p w14:paraId="5BCA30C3" w14:textId="77777777" w:rsidR="007968EC" w:rsidRPr="005F10B9" w:rsidRDefault="007968EC" w:rsidP="007968EC">
      <w:pPr>
        <w:keepNext/>
        <w:tabs>
          <w:tab w:val="left" w:pos="1701"/>
        </w:tabs>
        <w:jc w:val="both"/>
        <w:outlineLvl w:val="2"/>
        <w:rPr>
          <w:rFonts w:ascii="Arial Narrow" w:eastAsia="Calibri" w:hAnsi="Arial Narrow"/>
          <w:color w:val="000000" w:themeColor="text1"/>
        </w:rPr>
      </w:pPr>
      <w:r w:rsidRPr="005F10B9">
        <w:rPr>
          <w:rFonts w:ascii="Arial Narrow" w:eastAsia="Calibri" w:hAnsi="Arial Narrow"/>
          <w:color w:val="000000" w:themeColor="text1"/>
        </w:rPr>
        <w:t xml:space="preserve">De conformidad con el Reglamento de Funcionamiento, la Cámara evaluará y verificará respecto de cada Operación Susceptible de ser Aceptada, que la misma cumple con los siguientes requisitos y controles de riesgo: </w:t>
      </w:r>
    </w:p>
    <w:p w14:paraId="76BD7D81" w14:textId="77777777" w:rsidR="007968EC" w:rsidRPr="005F10B9" w:rsidRDefault="007968EC" w:rsidP="007968EC">
      <w:pPr>
        <w:keepNext/>
        <w:tabs>
          <w:tab w:val="left" w:pos="1701"/>
        </w:tabs>
        <w:jc w:val="both"/>
        <w:outlineLvl w:val="2"/>
        <w:rPr>
          <w:rFonts w:ascii="Arial Narrow" w:eastAsia="Calibri" w:hAnsi="Arial Narrow"/>
          <w:color w:val="000000" w:themeColor="text1"/>
        </w:rPr>
      </w:pPr>
    </w:p>
    <w:p w14:paraId="5E84C7CE" w14:textId="77777777" w:rsidR="007968EC" w:rsidRPr="005F10B9" w:rsidRDefault="007968EC" w:rsidP="00DA7472">
      <w:pPr>
        <w:numPr>
          <w:ilvl w:val="0"/>
          <w:numId w:val="315"/>
        </w:numPr>
        <w:ind w:left="426" w:hanging="426"/>
        <w:contextualSpacing/>
        <w:jc w:val="both"/>
        <w:rPr>
          <w:rFonts w:ascii="Arial Narrow" w:eastAsia="Calibri" w:hAnsi="Arial Narrow"/>
          <w:b/>
          <w:color w:val="000000" w:themeColor="text1"/>
          <w:lang w:eastAsia="es-CO"/>
        </w:rPr>
      </w:pPr>
      <w:r w:rsidRPr="005F10B9">
        <w:rPr>
          <w:rFonts w:ascii="Arial Narrow" w:eastAsia="Calibri" w:hAnsi="Arial Narrow"/>
          <w:color w:val="000000" w:themeColor="text1"/>
          <w:lang w:eastAsia="es-CO"/>
        </w:rPr>
        <w:t xml:space="preserve">Que las partes que la celebran son Miembros de la Cámara y se encuentran activos.  </w:t>
      </w:r>
    </w:p>
    <w:p w14:paraId="26F2131D" w14:textId="77777777" w:rsidR="007968EC" w:rsidRPr="005F10B9" w:rsidRDefault="007968EC" w:rsidP="007968EC">
      <w:pPr>
        <w:ind w:left="426" w:hanging="426"/>
        <w:contextualSpacing/>
        <w:jc w:val="both"/>
        <w:rPr>
          <w:rFonts w:ascii="Arial Narrow" w:eastAsia="Calibri" w:hAnsi="Arial Narrow"/>
          <w:b/>
          <w:color w:val="000000" w:themeColor="text1"/>
          <w:lang w:eastAsia="es-CO"/>
        </w:rPr>
      </w:pPr>
    </w:p>
    <w:p w14:paraId="2FD3FAE1" w14:textId="77777777" w:rsidR="007968EC" w:rsidRPr="005F10B9" w:rsidRDefault="007968EC" w:rsidP="00DA7472">
      <w:pPr>
        <w:numPr>
          <w:ilvl w:val="0"/>
          <w:numId w:val="315"/>
        </w:numPr>
        <w:ind w:left="426" w:hanging="426"/>
        <w:contextualSpacing/>
        <w:jc w:val="both"/>
        <w:rPr>
          <w:rFonts w:ascii="Arial Narrow" w:eastAsia="Calibri" w:hAnsi="Arial Narrow"/>
          <w:b/>
          <w:color w:val="000000" w:themeColor="text1"/>
          <w:lang w:eastAsia="es-CO"/>
        </w:rPr>
      </w:pPr>
      <w:r w:rsidRPr="005F10B9">
        <w:rPr>
          <w:rFonts w:ascii="Arial Narrow" w:eastAsia="Calibri" w:hAnsi="Arial Narrow"/>
          <w:color w:val="000000" w:themeColor="text1"/>
          <w:lang w:eastAsia="es-CO"/>
        </w:rPr>
        <w:t xml:space="preserve">Que los Miembros que celebran la operación cuentan con los Límites y Garantías disponibles. En caso de que la operación provenga de un sistema de negociación, de un sistema de registro, del mercado mostrador o Mecanismo de Contratación, la Cámara podrá solicitar la constitución de Garantías adicionales como condición para su aceptación. </w:t>
      </w:r>
    </w:p>
    <w:p w14:paraId="724C5E2E" w14:textId="77777777" w:rsidR="007968EC" w:rsidRPr="005F10B9" w:rsidRDefault="007968EC" w:rsidP="007968EC">
      <w:pPr>
        <w:keepNext/>
        <w:ind w:left="426" w:hanging="426"/>
        <w:contextualSpacing/>
        <w:jc w:val="both"/>
        <w:outlineLvl w:val="2"/>
        <w:rPr>
          <w:rFonts w:ascii="Arial Narrow" w:eastAsia="Calibri" w:hAnsi="Arial Narrow"/>
          <w:color w:val="000000" w:themeColor="text1"/>
        </w:rPr>
      </w:pPr>
    </w:p>
    <w:p w14:paraId="76C5FFBF" w14:textId="77777777" w:rsidR="007968EC" w:rsidRPr="005F10B9" w:rsidRDefault="007968EC" w:rsidP="00DA7472">
      <w:pPr>
        <w:numPr>
          <w:ilvl w:val="0"/>
          <w:numId w:val="315"/>
        </w:numPr>
        <w:tabs>
          <w:tab w:val="left" w:pos="8505"/>
        </w:tabs>
        <w:ind w:left="426" w:hanging="426"/>
        <w:contextualSpacing/>
        <w:jc w:val="both"/>
        <w:rPr>
          <w:rFonts w:ascii="Arial Narrow" w:eastAsia="Calibri" w:hAnsi="Arial Narrow"/>
          <w:b/>
          <w:color w:val="000000" w:themeColor="text1"/>
          <w:lang w:eastAsia="es-CO"/>
        </w:rPr>
      </w:pPr>
      <w:r w:rsidRPr="005F10B9">
        <w:rPr>
          <w:rFonts w:ascii="Arial Narrow" w:eastAsia="Calibri" w:hAnsi="Arial Narrow"/>
          <w:color w:val="000000" w:themeColor="text1"/>
        </w:rPr>
        <w:t xml:space="preserve">Que las Operaciones provengan de un sistema de negociación, de un sistema de registro de Operaciones o Mecanismo de Contratación, según el caso, autorizado por la Cámara y que el mismo ha transmitido la información con las condiciones exigidas por la Cámara, incluidos los Términos Económicos (Criterios de Elegibilidad) descritos en el Artículo 5.7.2.2. de la presente Circular, para que las mismas se entiendan confirmadas. </w:t>
      </w:r>
    </w:p>
    <w:p w14:paraId="24F1381A" w14:textId="77777777" w:rsidR="007968EC" w:rsidRPr="005F10B9" w:rsidRDefault="007968EC" w:rsidP="007968EC">
      <w:pPr>
        <w:keepNext/>
        <w:ind w:left="426" w:hanging="426"/>
        <w:contextualSpacing/>
        <w:jc w:val="both"/>
        <w:outlineLvl w:val="2"/>
        <w:rPr>
          <w:rFonts w:ascii="Arial Narrow" w:eastAsia="Calibri" w:hAnsi="Arial Narrow"/>
          <w:color w:val="000000" w:themeColor="text1"/>
        </w:rPr>
      </w:pPr>
    </w:p>
    <w:p w14:paraId="5501FEB5" w14:textId="77777777" w:rsidR="007968EC" w:rsidRPr="005F10B9" w:rsidRDefault="007968EC" w:rsidP="00DA7472">
      <w:pPr>
        <w:numPr>
          <w:ilvl w:val="0"/>
          <w:numId w:val="315"/>
        </w:numPr>
        <w:ind w:left="426" w:hanging="426"/>
        <w:contextualSpacing/>
        <w:jc w:val="both"/>
        <w:rPr>
          <w:rFonts w:ascii="Arial Narrow" w:eastAsia="Calibri" w:hAnsi="Arial Narrow"/>
          <w:b/>
          <w:color w:val="000000" w:themeColor="text1"/>
          <w:lang w:eastAsia="es-CO"/>
        </w:rPr>
      </w:pPr>
      <w:r w:rsidRPr="005F10B9">
        <w:rPr>
          <w:rFonts w:ascii="Arial Narrow" w:eastAsia="Calibri" w:hAnsi="Arial Narrow"/>
          <w:color w:val="000000" w:themeColor="text1"/>
        </w:rPr>
        <w:t>Cumplir con los controles de riesgo específicos que defina la Cámara en el presente Segmento para cada tipo de Swap.</w:t>
      </w:r>
    </w:p>
    <w:p w14:paraId="4895479C" w14:textId="77777777" w:rsidR="007968EC" w:rsidRPr="005F10B9" w:rsidRDefault="007968EC" w:rsidP="007968EC">
      <w:pPr>
        <w:keepNext/>
        <w:tabs>
          <w:tab w:val="left" w:pos="1701"/>
        </w:tabs>
        <w:jc w:val="both"/>
        <w:outlineLvl w:val="2"/>
        <w:rPr>
          <w:rFonts w:ascii="Arial Narrow" w:eastAsia="Calibri" w:hAnsi="Arial Narrow"/>
          <w:color w:val="000000" w:themeColor="text1"/>
        </w:rPr>
      </w:pPr>
    </w:p>
    <w:p w14:paraId="21E90E0E" w14:textId="77777777" w:rsidR="007968EC" w:rsidRPr="005F10B9" w:rsidRDefault="007968EC" w:rsidP="007968EC">
      <w:pPr>
        <w:jc w:val="both"/>
        <w:rPr>
          <w:rFonts w:ascii="Arial Narrow" w:eastAsia="Calibri" w:hAnsi="Arial Narrow"/>
          <w:color w:val="000000" w:themeColor="text1"/>
        </w:rPr>
      </w:pPr>
      <w:r w:rsidRPr="005F10B9">
        <w:rPr>
          <w:rFonts w:ascii="Arial Narrow" w:eastAsia="Calibri" w:hAnsi="Arial Narrow"/>
          <w:color w:val="000000" w:themeColor="text1"/>
        </w:rPr>
        <w:t>Las operaciones que hayan cumplido a satisfacción de la Cámara los requisitos y controles de riesgo antes indicados se considerarán Operaciones Aceptadas y la Cámara enviará, en los casos que corresponda, al sistema de negociación y/o de registro de Operaciones o al Mecanismo de Contratación, un mensaje informando la aceptación de la operación por Cámara.</w:t>
      </w:r>
    </w:p>
    <w:p w14:paraId="04CCF586" w14:textId="77777777" w:rsidR="007968EC" w:rsidRPr="005F10B9" w:rsidRDefault="007968EC" w:rsidP="007968EC">
      <w:pPr>
        <w:tabs>
          <w:tab w:val="right" w:pos="8400"/>
        </w:tabs>
        <w:ind w:right="-42"/>
        <w:jc w:val="both"/>
        <w:outlineLvl w:val="1"/>
        <w:rPr>
          <w:rFonts w:ascii="Arial Narrow" w:eastAsia="Calibri" w:hAnsi="Arial Narrow"/>
          <w:color w:val="000000" w:themeColor="text1"/>
        </w:rPr>
      </w:pPr>
    </w:p>
    <w:p w14:paraId="45F3BF44" w14:textId="77777777" w:rsidR="007968EC" w:rsidRPr="005F10B9" w:rsidRDefault="007968EC" w:rsidP="007968EC">
      <w:pPr>
        <w:tabs>
          <w:tab w:val="right" w:pos="8400"/>
        </w:tabs>
        <w:ind w:right="-42"/>
        <w:jc w:val="both"/>
        <w:outlineLvl w:val="1"/>
        <w:rPr>
          <w:rFonts w:ascii="Arial Narrow" w:eastAsia="Calibri" w:hAnsi="Arial Narrow"/>
          <w:color w:val="000000" w:themeColor="text1"/>
        </w:rPr>
      </w:pPr>
    </w:p>
    <w:p w14:paraId="32FD6646" w14:textId="77777777" w:rsidR="007968EC" w:rsidRPr="005F10B9" w:rsidRDefault="007968EC" w:rsidP="007968EC">
      <w:pPr>
        <w:pStyle w:val="TTULO"/>
        <w:rPr>
          <w:rFonts w:eastAsia="Calibri"/>
        </w:rPr>
      </w:pPr>
      <w:bookmarkStart w:id="6301" w:name="_Toc493253180"/>
      <w:bookmarkStart w:id="6302" w:name="_Toc31716470"/>
      <w:r w:rsidRPr="005F10B9">
        <w:rPr>
          <w:rFonts w:eastAsia="Calibri"/>
        </w:rPr>
        <w:t>CAPÍTULO SEGUNDO</w:t>
      </w:r>
      <w:bookmarkEnd w:id="6301"/>
      <w:bookmarkEnd w:id="6302"/>
    </w:p>
    <w:p w14:paraId="3E496BB7" w14:textId="77777777" w:rsidR="007968EC" w:rsidRPr="005F10B9" w:rsidRDefault="007968EC" w:rsidP="007968EC">
      <w:pPr>
        <w:pStyle w:val="TTULO"/>
        <w:rPr>
          <w:rFonts w:eastAsia="Calibri"/>
        </w:rPr>
      </w:pPr>
    </w:p>
    <w:p w14:paraId="21B60E9E" w14:textId="77777777" w:rsidR="007968EC" w:rsidRPr="005F10B9" w:rsidRDefault="007968EC" w:rsidP="007968EC">
      <w:pPr>
        <w:pStyle w:val="TTULO"/>
        <w:rPr>
          <w:rFonts w:eastAsia="Calibri"/>
        </w:rPr>
      </w:pPr>
      <w:bookmarkStart w:id="6303" w:name="_Toc493253181"/>
      <w:bookmarkStart w:id="6304" w:name="_Toc31716471"/>
      <w:r w:rsidRPr="005F10B9">
        <w:rPr>
          <w:rFonts w:eastAsia="Calibri"/>
        </w:rPr>
        <w:t>RECHAZO DE OPERACIONES</w:t>
      </w:r>
      <w:bookmarkEnd w:id="6303"/>
      <w:bookmarkEnd w:id="6304"/>
    </w:p>
    <w:p w14:paraId="605B93A5" w14:textId="77777777" w:rsidR="007968EC" w:rsidRPr="005F10B9" w:rsidRDefault="007968EC" w:rsidP="007968EC">
      <w:pPr>
        <w:jc w:val="both"/>
        <w:rPr>
          <w:rFonts w:ascii="Arial Narrow" w:eastAsia="Calibri" w:hAnsi="Arial Narrow"/>
          <w:b/>
          <w:color w:val="000000" w:themeColor="text1"/>
        </w:rPr>
      </w:pPr>
    </w:p>
    <w:p w14:paraId="343C0F63" w14:textId="77777777" w:rsidR="007968EC" w:rsidRPr="005F10B9" w:rsidRDefault="007968EC" w:rsidP="007968EC">
      <w:pPr>
        <w:pStyle w:val="ARTICULO0"/>
      </w:pPr>
      <w:bookmarkStart w:id="6305" w:name="_Toc493253183"/>
      <w:bookmarkStart w:id="6306" w:name="_Toc31716472"/>
      <w:r w:rsidRPr="005F10B9">
        <w:t>Artículo 5.2.2.1. Rechazo de Operaciones Swaps provenientes de sistemas de negociación y/o registro o Mecanismos de Contratación autorizados por la Cámara.</w:t>
      </w:r>
      <w:bookmarkEnd w:id="6305"/>
      <w:bookmarkEnd w:id="6306"/>
    </w:p>
    <w:p w14:paraId="7F2718C3" w14:textId="77777777" w:rsidR="007968EC" w:rsidRPr="005F10B9" w:rsidRDefault="007968EC" w:rsidP="007968EC">
      <w:pPr>
        <w:jc w:val="both"/>
        <w:rPr>
          <w:rFonts w:ascii="Arial Narrow" w:eastAsia="Calibri" w:hAnsi="Arial Narrow"/>
          <w:b/>
          <w:color w:val="000000" w:themeColor="text1"/>
        </w:rPr>
      </w:pPr>
    </w:p>
    <w:p w14:paraId="19EDDBD7" w14:textId="77777777" w:rsidR="007968EC" w:rsidRPr="005F10B9" w:rsidRDefault="007968EC" w:rsidP="007968EC">
      <w:pPr>
        <w:jc w:val="both"/>
        <w:rPr>
          <w:rFonts w:ascii="Arial Narrow" w:eastAsia="Calibri" w:hAnsi="Arial Narrow"/>
          <w:b/>
          <w:color w:val="000000" w:themeColor="text1"/>
        </w:rPr>
      </w:pPr>
      <w:r w:rsidRPr="005F10B9">
        <w:rPr>
          <w:rFonts w:ascii="Arial Narrow" w:eastAsia="Calibri" w:hAnsi="Arial Narrow"/>
          <w:color w:val="000000" w:themeColor="text1"/>
        </w:rPr>
        <w:t>La Cámara rechazará las operaciones Swaps que provengan de un sistema de negociación y/o registro de Operaciones o Mecanismo de Contratación, cuando se presente alguno de los siguientes problemas de tipo operativo, tecnológico o de riesgo:</w:t>
      </w:r>
    </w:p>
    <w:p w14:paraId="55178944" w14:textId="77777777" w:rsidR="007968EC" w:rsidRPr="005F10B9" w:rsidRDefault="007968EC" w:rsidP="007968EC">
      <w:pPr>
        <w:jc w:val="both"/>
        <w:rPr>
          <w:rFonts w:ascii="Arial Narrow" w:eastAsia="Calibri" w:hAnsi="Arial Narrow"/>
          <w:b/>
          <w:color w:val="000000" w:themeColor="text1"/>
        </w:rPr>
      </w:pPr>
    </w:p>
    <w:p w14:paraId="02F9DE75" w14:textId="77777777" w:rsidR="007968EC" w:rsidRPr="005F10B9" w:rsidRDefault="007968EC" w:rsidP="00DA7472">
      <w:pPr>
        <w:numPr>
          <w:ilvl w:val="0"/>
          <w:numId w:val="328"/>
        </w:numPr>
        <w:ind w:left="426" w:hanging="426"/>
        <w:contextualSpacing/>
        <w:jc w:val="both"/>
        <w:rPr>
          <w:rFonts w:ascii="Arial Narrow" w:eastAsia="Calibri" w:hAnsi="Arial Narrow"/>
          <w:b/>
          <w:color w:val="000000" w:themeColor="text1"/>
        </w:rPr>
      </w:pPr>
      <w:r w:rsidRPr="005F10B9">
        <w:rPr>
          <w:rFonts w:ascii="Arial Narrow" w:eastAsia="Calibri" w:hAnsi="Arial Narrow"/>
          <w:color w:val="000000" w:themeColor="text1"/>
        </w:rPr>
        <w:t xml:space="preserve">Que una parte o las dos partes que celebren la Operación no son Miembros de la Cámara o no se encuentran en estado activo. </w:t>
      </w:r>
    </w:p>
    <w:p w14:paraId="46D7DF6F" w14:textId="77777777" w:rsidR="007968EC" w:rsidRPr="005F10B9" w:rsidRDefault="007968EC" w:rsidP="007968EC">
      <w:pPr>
        <w:ind w:left="426" w:hanging="426"/>
        <w:contextualSpacing/>
        <w:jc w:val="both"/>
        <w:rPr>
          <w:rFonts w:ascii="Arial Narrow" w:eastAsia="Calibri" w:hAnsi="Arial Narrow"/>
          <w:b/>
          <w:color w:val="000000" w:themeColor="text1"/>
        </w:rPr>
      </w:pPr>
    </w:p>
    <w:p w14:paraId="62A37041" w14:textId="77777777" w:rsidR="007968EC" w:rsidRPr="005F10B9" w:rsidRDefault="007968EC" w:rsidP="00DA7472">
      <w:pPr>
        <w:numPr>
          <w:ilvl w:val="0"/>
          <w:numId w:val="328"/>
        </w:numPr>
        <w:ind w:left="426" w:hanging="426"/>
        <w:contextualSpacing/>
        <w:jc w:val="both"/>
        <w:rPr>
          <w:rFonts w:ascii="Arial Narrow" w:eastAsia="Calibri" w:hAnsi="Arial Narrow"/>
          <w:b/>
          <w:color w:val="000000" w:themeColor="text1"/>
        </w:rPr>
      </w:pPr>
      <w:r w:rsidRPr="005F10B9">
        <w:rPr>
          <w:rFonts w:ascii="Arial Narrow" w:eastAsia="Calibri" w:hAnsi="Arial Narrow"/>
          <w:color w:val="000000" w:themeColor="text1"/>
        </w:rPr>
        <w:t>Que la Operación pertenezca por lo menos a un Miembro de la Cámara que aparezca como suspendido o excluido del mercado.</w:t>
      </w:r>
    </w:p>
    <w:p w14:paraId="331650AB" w14:textId="77777777" w:rsidR="007968EC" w:rsidRPr="005F10B9" w:rsidRDefault="007968EC" w:rsidP="007968EC">
      <w:pPr>
        <w:ind w:left="426" w:hanging="426"/>
        <w:contextualSpacing/>
        <w:jc w:val="both"/>
        <w:rPr>
          <w:rFonts w:ascii="Arial Narrow" w:eastAsia="Calibri" w:hAnsi="Arial Narrow"/>
          <w:b/>
          <w:color w:val="000000" w:themeColor="text1"/>
        </w:rPr>
      </w:pPr>
    </w:p>
    <w:p w14:paraId="7A218EE7" w14:textId="77777777" w:rsidR="007968EC" w:rsidRPr="005F10B9" w:rsidRDefault="007968EC" w:rsidP="00DA7472">
      <w:pPr>
        <w:numPr>
          <w:ilvl w:val="0"/>
          <w:numId w:val="328"/>
        </w:numPr>
        <w:ind w:left="426" w:hanging="426"/>
        <w:contextualSpacing/>
        <w:jc w:val="both"/>
        <w:rPr>
          <w:rFonts w:ascii="Arial Narrow" w:eastAsia="Calibri" w:hAnsi="Arial Narrow"/>
          <w:b/>
          <w:color w:val="000000" w:themeColor="text1"/>
        </w:rPr>
      </w:pPr>
      <w:r w:rsidRPr="005F10B9">
        <w:rPr>
          <w:rFonts w:ascii="Arial Narrow" w:eastAsia="Calibri" w:hAnsi="Arial Narrow"/>
          <w:color w:val="000000" w:themeColor="text1"/>
        </w:rPr>
        <w:t>Que él o los Miembros que celebran la Operación no cuenten con los límites y Garantías disponibles.</w:t>
      </w:r>
    </w:p>
    <w:p w14:paraId="74742B80" w14:textId="77777777" w:rsidR="007968EC" w:rsidRPr="005F10B9" w:rsidRDefault="007968EC" w:rsidP="007968EC">
      <w:pPr>
        <w:contextualSpacing/>
        <w:jc w:val="both"/>
        <w:rPr>
          <w:rFonts w:ascii="Arial Narrow" w:eastAsia="Calibri" w:hAnsi="Arial Narrow"/>
          <w:b/>
          <w:color w:val="000000" w:themeColor="text1"/>
        </w:rPr>
      </w:pPr>
    </w:p>
    <w:p w14:paraId="27B5C9CF" w14:textId="77777777" w:rsidR="007968EC" w:rsidRPr="005F10B9" w:rsidRDefault="007968EC" w:rsidP="00DA7472">
      <w:pPr>
        <w:numPr>
          <w:ilvl w:val="0"/>
          <w:numId w:val="328"/>
        </w:numPr>
        <w:ind w:left="426" w:hanging="426"/>
        <w:contextualSpacing/>
        <w:jc w:val="both"/>
        <w:rPr>
          <w:rFonts w:ascii="Arial Narrow" w:eastAsia="Calibri" w:hAnsi="Arial Narrow"/>
          <w:b/>
          <w:color w:val="000000" w:themeColor="text1"/>
        </w:rPr>
      </w:pPr>
      <w:r w:rsidRPr="005F10B9">
        <w:rPr>
          <w:rFonts w:ascii="Arial Narrow" w:eastAsia="Calibri" w:hAnsi="Arial Narrow"/>
          <w:color w:val="000000" w:themeColor="text1"/>
        </w:rPr>
        <w:t>Que las Operaciones no provengan de un sistema de negociación, de un sistema de registro de operaciones o Mecanismo de Contratación autorizado por la Cámara.</w:t>
      </w:r>
    </w:p>
    <w:p w14:paraId="040BCADE" w14:textId="77777777" w:rsidR="007968EC" w:rsidRPr="005F10B9" w:rsidRDefault="007968EC" w:rsidP="007968EC">
      <w:pPr>
        <w:ind w:left="426" w:hanging="426"/>
        <w:contextualSpacing/>
        <w:jc w:val="both"/>
        <w:rPr>
          <w:rFonts w:ascii="Arial Narrow" w:eastAsia="Calibri" w:hAnsi="Arial Narrow"/>
          <w:b/>
          <w:color w:val="000000" w:themeColor="text1"/>
        </w:rPr>
      </w:pPr>
    </w:p>
    <w:p w14:paraId="537250C2" w14:textId="77777777" w:rsidR="007968EC" w:rsidRPr="005F10B9" w:rsidRDefault="007968EC" w:rsidP="00DA7472">
      <w:pPr>
        <w:numPr>
          <w:ilvl w:val="0"/>
          <w:numId w:val="328"/>
        </w:numPr>
        <w:ind w:left="426" w:hanging="426"/>
        <w:contextualSpacing/>
        <w:jc w:val="both"/>
        <w:rPr>
          <w:rFonts w:ascii="Arial Narrow" w:eastAsia="Calibri" w:hAnsi="Arial Narrow"/>
          <w:b/>
          <w:color w:val="000000" w:themeColor="text1"/>
        </w:rPr>
      </w:pPr>
      <w:r w:rsidRPr="005F10B9">
        <w:rPr>
          <w:rFonts w:ascii="Arial Narrow" w:eastAsia="Calibri" w:hAnsi="Arial Narrow"/>
          <w:color w:val="000000" w:themeColor="text1"/>
        </w:rPr>
        <w:t xml:space="preserve">Que la información transmitida por los sistemas de negociación y/o de registro o Mecanismo de Contratación, incluida la referente a los </w:t>
      </w:r>
      <w:r w:rsidRPr="005F10B9">
        <w:rPr>
          <w:rFonts w:ascii="Arial Narrow" w:hAnsi="Arial Narrow" w:cs="Arial"/>
          <w:color w:val="000000"/>
        </w:rPr>
        <w:t>Términos Económicos (Criterios de Elegibilidad)</w:t>
      </w:r>
      <w:r w:rsidRPr="005F10B9">
        <w:rPr>
          <w:rFonts w:ascii="Arial Narrow" w:eastAsia="Calibri" w:hAnsi="Arial Narrow"/>
          <w:color w:val="000000" w:themeColor="text1"/>
        </w:rPr>
        <w:t>, no sea la exigida por la Cámara para que se entienda confirmada la Operación o estos no identifiquen debidamente las partes de la Operación.</w:t>
      </w:r>
    </w:p>
    <w:p w14:paraId="6390FF76" w14:textId="77777777" w:rsidR="007968EC" w:rsidRPr="005F10B9" w:rsidRDefault="007968EC" w:rsidP="007968EC">
      <w:pPr>
        <w:ind w:left="426" w:hanging="426"/>
        <w:contextualSpacing/>
        <w:jc w:val="both"/>
        <w:rPr>
          <w:rFonts w:ascii="Arial Narrow" w:eastAsia="Calibri" w:hAnsi="Arial Narrow"/>
          <w:b/>
          <w:color w:val="000000" w:themeColor="text1"/>
        </w:rPr>
      </w:pPr>
    </w:p>
    <w:p w14:paraId="4CA53BAA" w14:textId="77777777" w:rsidR="007968EC" w:rsidRPr="005F10B9" w:rsidRDefault="007968EC" w:rsidP="00DA7472">
      <w:pPr>
        <w:numPr>
          <w:ilvl w:val="0"/>
          <w:numId w:val="328"/>
        </w:numPr>
        <w:ind w:left="426" w:hanging="426"/>
        <w:contextualSpacing/>
        <w:jc w:val="both"/>
        <w:rPr>
          <w:rFonts w:ascii="Arial Narrow" w:eastAsia="Calibri" w:hAnsi="Arial Narrow"/>
          <w:b/>
          <w:color w:val="000000" w:themeColor="text1"/>
        </w:rPr>
      </w:pPr>
      <w:r w:rsidRPr="005F10B9">
        <w:rPr>
          <w:rFonts w:ascii="Arial Narrow" w:eastAsia="Calibri" w:hAnsi="Arial Narrow"/>
          <w:color w:val="000000" w:themeColor="text1"/>
        </w:rPr>
        <w:lastRenderedPageBreak/>
        <w:t>Que la Operación haga referencia a una Fecha de Vencimiento no aceptada para el correspondiente Swap.</w:t>
      </w:r>
    </w:p>
    <w:p w14:paraId="79EED4E0" w14:textId="77777777" w:rsidR="007968EC" w:rsidRPr="005F10B9" w:rsidRDefault="007968EC" w:rsidP="007968EC">
      <w:pPr>
        <w:ind w:left="426" w:hanging="426"/>
        <w:contextualSpacing/>
        <w:jc w:val="both"/>
        <w:rPr>
          <w:rFonts w:ascii="Arial Narrow" w:eastAsia="Calibri" w:hAnsi="Arial Narrow"/>
          <w:b/>
          <w:color w:val="000000" w:themeColor="text1"/>
        </w:rPr>
      </w:pPr>
    </w:p>
    <w:p w14:paraId="5A6999B2" w14:textId="77777777" w:rsidR="007968EC" w:rsidRPr="005F10B9" w:rsidRDefault="007968EC" w:rsidP="00DA7472">
      <w:pPr>
        <w:numPr>
          <w:ilvl w:val="0"/>
          <w:numId w:val="328"/>
        </w:numPr>
        <w:ind w:left="426" w:hanging="426"/>
        <w:contextualSpacing/>
        <w:jc w:val="both"/>
        <w:rPr>
          <w:rFonts w:ascii="Arial Narrow" w:eastAsia="Calibri" w:hAnsi="Arial Narrow"/>
          <w:b/>
          <w:color w:val="000000" w:themeColor="text1"/>
        </w:rPr>
      </w:pPr>
      <w:r w:rsidRPr="005F10B9">
        <w:rPr>
          <w:rFonts w:ascii="Arial Narrow" w:eastAsia="Calibri" w:hAnsi="Arial Narrow"/>
          <w:color w:val="000000" w:themeColor="text1"/>
        </w:rPr>
        <w:t>Que no se cumpla con los controles de riesgo específicos que defina la Cámara para cada tipo de Swap.</w:t>
      </w:r>
    </w:p>
    <w:p w14:paraId="203A397A" w14:textId="77777777" w:rsidR="007968EC" w:rsidRPr="005F10B9" w:rsidRDefault="007968EC" w:rsidP="007968EC">
      <w:pPr>
        <w:ind w:left="426" w:hanging="426"/>
        <w:contextualSpacing/>
        <w:jc w:val="both"/>
        <w:rPr>
          <w:rFonts w:ascii="Arial Narrow" w:eastAsia="Calibri" w:hAnsi="Arial Narrow"/>
          <w:b/>
          <w:color w:val="000000" w:themeColor="text1"/>
        </w:rPr>
      </w:pPr>
    </w:p>
    <w:p w14:paraId="74BBC1CD" w14:textId="77777777" w:rsidR="007968EC" w:rsidRPr="005F10B9" w:rsidRDefault="007968EC" w:rsidP="00DA7472">
      <w:pPr>
        <w:numPr>
          <w:ilvl w:val="0"/>
          <w:numId w:val="328"/>
        </w:numPr>
        <w:ind w:left="426" w:hanging="426"/>
        <w:contextualSpacing/>
        <w:jc w:val="both"/>
        <w:rPr>
          <w:rFonts w:ascii="Arial Narrow" w:eastAsia="Calibri" w:hAnsi="Arial Narrow"/>
          <w:b/>
          <w:color w:val="000000" w:themeColor="text1"/>
        </w:rPr>
      </w:pPr>
      <w:r w:rsidRPr="005F10B9">
        <w:rPr>
          <w:rFonts w:ascii="Arial Narrow" w:eastAsia="Calibri" w:hAnsi="Arial Narrow"/>
          <w:color w:val="000000" w:themeColor="text1"/>
        </w:rPr>
        <w:t xml:space="preserve">Que exista un evento fortuito que impida la comunicación entre el sistema de negociación y/o registro, o Mecanismo de Contratación y el Sistema de Cámara. </w:t>
      </w:r>
    </w:p>
    <w:p w14:paraId="6206D66C" w14:textId="77777777" w:rsidR="007968EC" w:rsidRPr="005F10B9" w:rsidRDefault="007968EC" w:rsidP="007968EC">
      <w:pPr>
        <w:ind w:left="426" w:hanging="426"/>
        <w:jc w:val="both"/>
        <w:rPr>
          <w:rFonts w:ascii="Arial Narrow" w:eastAsia="Calibri" w:hAnsi="Arial Narrow"/>
          <w:b/>
          <w:color w:val="000000" w:themeColor="text1"/>
        </w:rPr>
      </w:pPr>
    </w:p>
    <w:p w14:paraId="3B5CDE4D" w14:textId="77777777" w:rsidR="007968EC" w:rsidRPr="005F10B9" w:rsidRDefault="007968EC" w:rsidP="007968EC">
      <w:pPr>
        <w:jc w:val="both"/>
        <w:rPr>
          <w:rFonts w:ascii="Arial Narrow" w:eastAsia="Calibri" w:hAnsi="Arial Narrow"/>
          <w:b/>
          <w:color w:val="000000" w:themeColor="text1"/>
        </w:rPr>
      </w:pPr>
      <w:r w:rsidRPr="005F10B9">
        <w:rPr>
          <w:rFonts w:ascii="Arial Narrow" w:eastAsia="Calibri" w:hAnsi="Arial Narrow"/>
          <w:color w:val="000000" w:themeColor="text1"/>
        </w:rPr>
        <w:t xml:space="preserve">Las Operaciones rechazadas por una o más de las causales anteriores serán informadas por la Cámara, en los casos que corresponda, al sistema de negociación o sistema de registro de Operaciones o Mecanismo de Contratación y, por lo tanto, éstas se seguirán rigiendo por el contrato o acuerdo original según se establece en el artículo 3.2.7. del Reglamento de Funcionamiento de la Cámara. </w:t>
      </w:r>
    </w:p>
    <w:p w14:paraId="74C90D7B" w14:textId="77777777" w:rsidR="007968EC" w:rsidRPr="005F10B9" w:rsidRDefault="007968EC" w:rsidP="007968EC">
      <w:pPr>
        <w:jc w:val="both"/>
        <w:rPr>
          <w:rFonts w:ascii="Arial Narrow" w:eastAsia="Calibri" w:hAnsi="Arial Narrow"/>
          <w:b/>
          <w:color w:val="000000" w:themeColor="text1"/>
        </w:rPr>
      </w:pPr>
    </w:p>
    <w:p w14:paraId="60171BE5" w14:textId="77777777" w:rsidR="007968EC" w:rsidRPr="005F10B9" w:rsidRDefault="007968EC" w:rsidP="007968EC">
      <w:pPr>
        <w:jc w:val="both"/>
        <w:rPr>
          <w:rFonts w:ascii="Arial Narrow" w:hAnsi="Arial Narrow" w:cs="Arial"/>
          <w:color w:val="000000" w:themeColor="text1"/>
          <w:lang w:eastAsia="es-ES"/>
        </w:rPr>
      </w:pPr>
      <w:r w:rsidRPr="005F10B9">
        <w:rPr>
          <w:rFonts w:ascii="Arial Narrow" w:hAnsi="Arial Narrow" w:cs="Arial"/>
          <w:color w:val="000000" w:themeColor="text1"/>
          <w:lang w:eastAsia="es-ES"/>
        </w:rPr>
        <w:t>La Cámara no será responsable en ningún caso por tales Operaciones.</w:t>
      </w:r>
    </w:p>
    <w:p w14:paraId="719615E7" w14:textId="77777777" w:rsidR="007968EC" w:rsidRPr="005F10B9" w:rsidRDefault="007968EC" w:rsidP="007968EC">
      <w:pPr>
        <w:jc w:val="both"/>
        <w:outlineLvl w:val="1"/>
        <w:rPr>
          <w:rFonts w:ascii="Arial Narrow" w:eastAsia="Calibri" w:hAnsi="Arial Narrow"/>
          <w:color w:val="000000" w:themeColor="text1"/>
        </w:rPr>
      </w:pPr>
    </w:p>
    <w:p w14:paraId="25D32679" w14:textId="77777777" w:rsidR="007968EC" w:rsidRPr="005F10B9" w:rsidRDefault="007968EC" w:rsidP="007968EC">
      <w:pPr>
        <w:jc w:val="both"/>
        <w:outlineLvl w:val="1"/>
        <w:rPr>
          <w:rFonts w:ascii="Arial Narrow" w:eastAsia="Calibri" w:hAnsi="Arial Narrow"/>
          <w:color w:val="000000" w:themeColor="text1"/>
        </w:rPr>
      </w:pPr>
    </w:p>
    <w:p w14:paraId="3077A4A2" w14:textId="77777777" w:rsidR="007968EC" w:rsidRPr="005F10B9" w:rsidRDefault="007968EC" w:rsidP="007968EC">
      <w:pPr>
        <w:pStyle w:val="TTULO"/>
        <w:rPr>
          <w:rFonts w:eastAsia="Calibri"/>
        </w:rPr>
      </w:pPr>
      <w:bookmarkStart w:id="6307" w:name="_Toc493253184"/>
      <w:bookmarkStart w:id="6308" w:name="_Toc31716473"/>
      <w:r w:rsidRPr="005F10B9">
        <w:rPr>
          <w:rFonts w:eastAsia="Calibri"/>
        </w:rPr>
        <w:t>CAPÍTULO TERCERO</w:t>
      </w:r>
      <w:bookmarkEnd w:id="6307"/>
      <w:bookmarkEnd w:id="6308"/>
    </w:p>
    <w:p w14:paraId="78F3A8EC" w14:textId="77777777" w:rsidR="007968EC" w:rsidRPr="005F10B9" w:rsidRDefault="007968EC" w:rsidP="007968EC">
      <w:pPr>
        <w:pStyle w:val="TTULO"/>
        <w:rPr>
          <w:rFonts w:eastAsia="Calibri"/>
        </w:rPr>
      </w:pPr>
    </w:p>
    <w:p w14:paraId="36A47047" w14:textId="77777777" w:rsidR="007968EC" w:rsidRPr="005F10B9" w:rsidRDefault="007968EC" w:rsidP="007968EC">
      <w:pPr>
        <w:pStyle w:val="TTULO"/>
        <w:rPr>
          <w:rFonts w:eastAsia="Calibri"/>
        </w:rPr>
      </w:pPr>
      <w:bookmarkStart w:id="6309" w:name="_Toc493253185"/>
      <w:bookmarkStart w:id="6310" w:name="_Toc31716474"/>
      <w:r w:rsidRPr="005F10B9">
        <w:rPr>
          <w:rFonts w:eastAsia="Calibri"/>
        </w:rPr>
        <w:t>ANULACIÓN Y CORRECCIÓN DE OPERACIONES</w:t>
      </w:r>
      <w:bookmarkEnd w:id="6309"/>
      <w:bookmarkEnd w:id="6310"/>
    </w:p>
    <w:p w14:paraId="5D742816" w14:textId="77777777" w:rsidR="007968EC" w:rsidRPr="005F10B9" w:rsidRDefault="007968EC" w:rsidP="007968EC">
      <w:pPr>
        <w:outlineLvl w:val="1"/>
        <w:rPr>
          <w:rFonts w:ascii="Arial Narrow" w:eastAsia="Calibri" w:hAnsi="Arial Narrow"/>
          <w:b/>
          <w:color w:val="000000" w:themeColor="text1"/>
        </w:rPr>
      </w:pPr>
    </w:p>
    <w:p w14:paraId="4C32BB18" w14:textId="77777777" w:rsidR="007968EC" w:rsidRPr="005F10B9" w:rsidRDefault="007968EC" w:rsidP="007968EC">
      <w:pPr>
        <w:pStyle w:val="ARTICULO0"/>
        <w:rPr>
          <w:rFonts w:eastAsia="Calibri" w:cs="Times New Roman"/>
        </w:rPr>
      </w:pPr>
      <w:bookmarkStart w:id="6311" w:name="_Toc493253186"/>
      <w:bookmarkStart w:id="6312" w:name="_Toc31716475"/>
      <w:r w:rsidRPr="005F10B9">
        <w:t>Artículo 5.2.3.1. Procedimiento de anulación de Operaciones</w:t>
      </w:r>
      <w:r w:rsidRPr="005F10B9">
        <w:rPr>
          <w:rFonts w:eastAsia="Calibri" w:cs="Times New Roman"/>
        </w:rPr>
        <w:t>.</w:t>
      </w:r>
      <w:bookmarkEnd w:id="6311"/>
      <w:bookmarkEnd w:id="6312"/>
      <w:r w:rsidRPr="005F10B9">
        <w:rPr>
          <w:rFonts w:eastAsia="Calibri" w:cs="Times New Roman"/>
        </w:rPr>
        <w:t xml:space="preserve"> </w:t>
      </w:r>
    </w:p>
    <w:p w14:paraId="51405F29" w14:textId="77777777" w:rsidR="007968EC" w:rsidRPr="005F10B9" w:rsidRDefault="007968EC" w:rsidP="007968EC">
      <w:pPr>
        <w:jc w:val="both"/>
        <w:rPr>
          <w:rFonts w:ascii="Arial Narrow" w:hAnsi="Arial Narrow" w:cs="Arial"/>
          <w:color w:val="000000" w:themeColor="text1"/>
          <w:lang w:eastAsia="es-ES"/>
        </w:rPr>
      </w:pPr>
    </w:p>
    <w:p w14:paraId="2D8F80C3" w14:textId="77777777" w:rsidR="007968EC" w:rsidRPr="000508BE" w:rsidRDefault="007968EC" w:rsidP="007968EC">
      <w:pPr>
        <w:pStyle w:val="ARTICULO0"/>
        <w:rPr>
          <w:u w:val="none"/>
        </w:rPr>
      </w:pPr>
      <w:bookmarkStart w:id="6313" w:name="_Toc31716476"/>
      <w:r w:rsidRPr="000508BE">
        <w:rPr>
          <w:u w:val="none"/>
        </w:rPr>
        <w:t>(Este artículo fue m</w:t>
      </w:r>
      <w:r>
        <w:rPr>
          <w:u w:val="none"/>
        </w:rPr>
        <w:t>odi</w:t>
      </w:r>
      <w:r w:rsidRPr="000508BE">
        <w:rPr>
          <w:u w:val="none"/>
        </w:rPr>
        <w:t>ficado y mediante Circular 19 del 22 de noviembre de 2019, publicada en el Boletín Normativo No. 034 del 22 de noviembre de 2019. Rige a partir del 25 de noviembre de 2019).</w:t>
      </w:r>
      <w:bookmarkEnd w:id="6313"/>
    </w:p>
    <w:p w14:paraId="754B7CA6" w14:textId="77777777" w:rsidR="007968EC" w:rsidRDefault="007968EC" w:rsidP="007968EC">
      <w:pPr>
        <w:jc w:val="both"/>
        <w:rPr>
          <w:rFonts w:ascii="Arial Narrow" w:hAnsi="Arial Narrow" w:cs="Arial"/>
          <w:color w:val="000000" w:themeColor="text1"/>
          <w:lang w:eastAsia="es-ES"/>
        </w:rPr>
      </w:pPr>
    </w:p>
    <w:p w14:paraId="6BF9D4E7" w14:textId="77777777" w:rsidR="007968EC" w:rsidRPr="005F10B9" w:rsidRDefault="007968EC" w:rsidP="007968EC">
      <w:pPr>
        <w:jc w:val="both"/>
        <w:rPr>
          <w:rFonts w:ascii="Arial Narrow" w:hAnsi="Arial Narrow" w:cs="Arial"/>
          <w:color w:val="000000" w:themeColor="text1"/>
          <w:lang w:eastAsia="es-ES"/>
        </w:rPr>
      </w:pPr>
      <w:r w:rsidRPr="005F10B9">
        <w:rPr>
          <w:rFonts w:ascii="Arial Narrow" w:hAnsi="Arial Narrow" w:cs="Arial"/>
          <w:color w:val="000000" w:themeColor="text1"/>
          <w:lang w:eastAsia="es-ES"/>
        </w:rPr>
        <w:t>El procedimiento de anulación de Operaciones que se agrupan en este Segmento es gestionado directamente por los sistemas de negociación y/o registro o Mecanismo de Contratación, de acuerdo con las reglas estipuladas en su reglamentación. En todo caso, se tendrá en cuenta el siguiente procedimiento:</w:t>
      </w:r>
    </w:p>
    <w:p w14:paraId="6A6991A2" w14:textId="77777777" w:rsidR="007968EC" w:rsidRPr="005F10B9" w:rsidRDefault="007968EC" w:rsidP="007968EC">
      <w:pPr>
        <w:jc w:val="both"/>
        <w:rPr>
          <w:rFonts w:ascii="Arial Narrow" w:hAnsi="Arial Narrow" w:cs="Arial"/>
          <w:color w:val="000000" w:themeColor="text1"/>
          <w:lang w:eastAsia="es-ES"/>
        </w:rPr>
      </w:pPr>
    </w:p>
    <w:p w14:paraId="6F04ED75" w14:textId="77777777" w:rsidR="007968EC" w:rsidRPr="005F10B9" w:rsidRDefault="007968EC" w:rsidP="007968EC">
      <w:pPr>
        <w:jc w:val="both"/>
        <w:rPr>
          <w:rFonts w:ascii="Arial Narrow" w:hAnsi="Arial Narrow" w:cs="Arial"/>
          <w:color w:val="000000" w:themeColor="text1"/>
          <w:lang w:eastAsia="es-ES"/>
        </w:rPr>
      </w:pPr>
      <w:r w:rsidRPr="005F10B9">
        <w:rPr>
          <w:rFonts w:ascii="Arial Narrow" w:hAnsi="Arial Narrow" w:cs="Arial"/>
          <w:color w:val="000000" w:themeColor="text1"/>
          <w:lang w:eastAsia="es-ES"/>
        </w:rPr>
        <w:t xml:space="preserve">Cuando se trate de Operaciones sobre Swaps proveniente de un Sistema de Negociación y/o Registro o un Mecanismo de Contratación autorizado por la Cámara, el administrador de dichos sistemas  o mecanismos </w:t>
      </w:r>
      <w:r>
        <w:rPr>
          <w:rFonts w:ascii="Arial Narrow" w:hAnsi="Arial Narrow" w:cs="Arial"/>
          <w:color w:val="000000" w:themeColor="text1"/>
          <w:lang w:eastAsia="es-ES"/>
        </w:rPr>
        <w:t xml:space="preserve">envía </w:t>
      </w:r>
      <w:r w:rsidRPr="005F10B9">
        <w:rPr>
          <w:rFonts w:ascii="Arial Narrow" w:hAnsi="Arial Narrow" w:cs="Arial"/>
          <w:color w:val="000000" w:themeColor="text1"/>
          <w:lang w:eastAsia="es-ES"/>
        </w:rPr>
        <w:t xml:space="preserve">una operación de tipo “X” con los </w:t>
      </w:r>
      <w:r w:rsidRPr="005F10B9">
        <w:rPr>
          <w:rFonts w:ascii="Arial Narrow" w:hAnsi="Arial Narrow" w:cs="Arial"/>
          <w:color w:val="000000"/>
        </w:rPr>
        <w:t>Términos Económicos (Criterios de Elegibilidad)</w:t>
      </w:r>
      <w:r w:rsidRPr="005F10B9">
        <w:rPr>
          <w:rFonts w:ascii="Arial Narrow" w:hAnsi="Arial Narrow" w:cs="Arial"/>
          <w:color w:val="000000" w:themeColor="text1"/>
          <w:lang w:eastAsia="es-ES"/>
        </w:rPr>
        <w:t xml:space="preserve"> idénticos pero en sentido contrario al de la operación que desean anular, que permite la generación automática de todos los procesos necesarios para anular las Operaciones Swaps asociadas al número de registro de Cámara inicial objeto de dicha anulación. Por lo tanto, el administrador del sistema de negociación o de registro es responsable de la aprobación, ejecución y envío de la operación tipo “X” al Sistema de Cámara.</w:t>
      </w:r>
    </w:p>
    <w:p w14:paraId="2B169A24" w14:textId="77777777" w:rsidR="007968EC" w:rsidRDefault="007968EC" w:rsidP="007968EC">
      <w:pPr>
        <w:jc w:val="both"/>
        <w:rPr>
          <w:rFonts w:ascii="Arial Narrow" w:hAnsi="Arial Narrow" w:cs="Arial"/>
          <w:color w:val="000000" w:themeColor="text1"/>
          <w:lang w:eastAsia="es-ES"/>
        </w:rPr>
      </w:pPr>
    </w:p>
    <w:p w14:paraId="1D241BA4" w14:textId="77777777" w:rsidR="007968EC" w:rsidRPr="00065774" w:rsidRDefault="007968EC" w:rsidP="007968EC">
      <w:pPr>
        <w:jc w:val="both"/>
        <w:rPr>
          <w:rFonts w:ascii="Arial Narrow" w:hAnsi="Arial Narrow" w:cs="Arial"/>
          <w:b/>
          <w:color w:val="000000" w:themeColor="text1"/>
          <w:lang w:eastAsia="es-ES"/>
        </w:rPr>
      </w:pPr>
      <w:r w:rsidRPr="00065774">
        <w:rPr>
          <w:rFonts w:ascii="Arial Narrow" w:hAnsi="Arial Narrow" w:cs="Arial"/>
          <w:color w:val="000000" w:themeColor="text1"/>
          <w:lang w:eastAsia="es-ES"/>
        </w:rPr>
        <w:t xml:space="preserve">La Cámara se reserva el derecho de solicitar la documentación que estime pertinente, con el fin de verificar los motivos de la </w:t>
      </w:r>
      <w:r>
        <w:rPr>
          <w:rFonts w:ascii="Arial Narrow" w:hAnsi="Arial Narrow" w:cs="Arial"/>
          <w:color w:val="000000" w:themeColor="text1"/>
          <w:lang w:eastAsia="es-ES"/>
        </w:rPr>
        <w:t xml:space="preserve">anulación </w:t>
      </w:r>
      <w:r w:rsidRPr="00065774">
        <w:rPr>
          <w:rFonts w:ascii="Arial Narrow" w:hAnsi="Arial Narrow" w:cs="Arial"/>
          <w:color w:val="000000" w:themeColor="text1"/>
          <w:lang w:eastAsia="es-ES"/>
        </w:rPr>
        <w:t>de cualquier Operación, previa a la autorización del registro de la misma.</w:t>
      </w:r>
    </w:p>
    <w:p w14:paraId="0D451DC6" w14:textId="77777777" w:rsidR="007968EC" w:rsidRPr="005F10B9" w:rsidRDefault="007968EC" w:rsidP="007968EC">
      <w:pPr>
        <w:jc w:val="both"/>
        <w:rPr>
          <w:rFonts w:ascii="Arial Narrow" w:hAnsi="Arial Narrow" w:cs="Arial"/>
          <w:color w:val="000000" w:themeColor="text1"/>
          <w:lang w:eastAsia="es-ES"/>
        </w:rPr>
      </w:pPr>
    </w:p>
    <w:p w14:paraId="2F93FB70" w14:textId="77777777" w:rsidR="007968EC" w:rsidRPr="009B0AD7" w:rsidRDefault="007968EC" w:rsidP="007968EC">
      <w:pPr>
        <w:jc w:val="both"/>
        <w:rPr>
          <w:rFonts w:ascii="Arial Narrow" w:hAnsi="Arial Narrow" w:cs="Arial"/>
          <w:color w:val="000000" w:themeColor="text1"/>
          <w:lang w:eastAsia="es-ES"/>
        </w:rPr>
      </w:pPr>
      <w:r w:rsidRPr="005F10B9">
        <w:rPr>
          <w:rFonts w:ascii="Arial Narrow" w:hAnsi="Arial Narrow" w:cs="Arial"/>
          <w:color w:val="000000" w:themeColor="text1"/>
          <w:lang w:eastAsia="es-ES"/>
        </w:rPr>
        <w:t>En caso de anulación de Operaciones en el presente Segmento, la Cámara deberá informar esta situación conforme lo establece el artículo 2.5.2. del Reglamento.</w:t>
      </w:r>
    </w:p>
    <w:p w14:paraId="5B21CE9A" w14:textId="77777777" w:rsidR="007968EC" w:rsidRPr="005F10B9" w:rsidRDefault="007968EC" w:rsidP="007968EC">
      <w:pPr>
        <w:jc w:val="both"/>
        <w:rPr>
          <w:rFonts w:ascii="Arial Narrow" w:eastAsia="Calibri" w:hAnsi="Arial Narrow"/>
          <w:color w:val="000000" w:themeColor="text1"/>
        </w:rPr>
      </w:pPr>
    </w:p>
    <w:p w14:paraId="3AFFDEC2" w14:textId="77777777" w:rsidR="007968EC" w:rsidRPr="005F10B9" w:rsidRDefault="007968EC" w:rsidP="007968EC">
      <w:pPr>
        <w:pStyle w:val="ARTICULO0"/>
        <w:rPr>
          <w:rFonts w:eastAsia="Calibri" w:cs="Times New Roman"/>
        </w:rPr>
      </w:pPr>
      <w:bookmarkStart w:id="6314" w:name="_Toc493253187"/>
      <w:bookmarkStart w:id="6315" w:name="_Toc31716477"/>
      <w:r w:rsidRPr="005F10B9">
        <w:lastRenderedPageBreak/>
        <w:t>Artículo 5.2.3.2. Corrección de Operaciones</w:t>
      </w:r>
      <w:r w:rsidRPr="005F10B9">
        <w:rPr>
          <w:rFonts w:eastAsia="Calibri" w:cs="Times New Roman"/>
        </w:rPr>
        <w:t>.</w:t>
      </w:r>
      <w:bookmarkEnd w:id="6314"/>
      <w:bookmarkEnd w:id="6315"/>
      <w:r w:rsidRPr="005F10B9">
        <w:rPr>
          <w:rFonts w:eastAsia="Calibri" w:cs="Times New Roman"/>
        </w:rPr>
        <w:t xml:space="preserve"> </w:t>
      </w:r>
    </w:p>
    <w:p w14:paraId="05119923" w14:textId="77777777" w:rsidR="007968EC" w:rsidRPr="005F10B9" w:rsidRDefault="007968EC" w:rsidP="007968EC">
      <w:pPr>
        <w:jc w:val="both"/>
        <w:rPr>
          <w:rFonts w:ascii="Arial Narrow" w:eastAsia="Calibri" w:hAnsi="Arial Narrow"/>
          <w:color w:val="000000" w:themeColor="text1"/>
        </w:rPr>
      </w:pPr>
    </w:p>
    <w:p w14:paraId="0F2C9355" w14:textId="77777777" w:rsidR="007968EC" w:rsidRPr="005F10B9" w:rsidRDefault="007968EC" w:rsidP="007968EC">
      <w:pPr>
        <w:jc w:val="both"/>
        <w:rPr>
          <w:rFonts w:ascii="Arial Narrow" w:eastAsia="Calibri" w:hAnsi="Arial Narrow"/>
          <w:b/>
          <w:color w:val="000000" w:themeColor="text1"/>
        </w:rPr>
      </w:pPr>
      <w:r w:rsidRPr="005F10B9">
        <w:rPr>
          <w:rFonts w:ascii="Arial Narrow" w:eastAsia="Calibri" w:hAnsi="Arial Narrow"/>
          <w:color w:val="000000" w:themeColor="text1"/>
        </w:rPr>
        <w:t>La corrección de Operaciones que se agrupan en este Segmento será gestionada directamente por los sistemas de negociación y/o registro, o Mecanismo de Contratación, de acuerdo con las reglas y procedimientos estipulados en su reglamentación. En todo caso, se tendrá en cuenta el siguiente procedimiento:</w:t>
      </w:r>
    </w:p>
    <w:p w14:paraId="3C1CDF86" w14:textId="77777777" w:rsidR="007968EC" w:rsidRPr="005F10B9" w:rsidRDefault="007968EC" w:rsidP="007968EC">
      <w:pPr>
        <w:jc w:val="both"/>
        <w:rPr>
          <w:rFonts w:ascii="Arial Narrow" w:eastAsia="Calibri" w:hAnsi="Arial Narrow"/>
          <w:color w:val="000000" w:themeColor="text1"/>
        </w:rPr>
      </w:pPr>
    </w:p>
    <w:p w14:paraId="3AB7E1A2" w14:textId="77777777" w:rsidR="007968EC" w:rsidRPr="005F10B9" w:rsidRDefault="007968EC" w:rsidP="007968EC">
      <w:pPr>
        <w:jc w:val="both"/>
        <w:rPr>
          <w:rFonts w:ascii="Arial Narrow" w:eastAsia="Calibri" w:hAnsi="Arial Narrow"/>
          <w:color w:val="000000" w:themeColor="text1"/>
          <w:lang w:eastAsia="es-CO"/>
        </w:rPr>
      </w:pPr>
      <w:r w:rsidRPr="005F10B9">
        <w:rPr>
          <w:rFonts w:ascii="Arial Narrow" w:eastAsia="Calibri" w:hAnsi="Arial Narrow"/>
          <w:color w:val="000000" w:themeColor="text1"/>
          <w:lang w:eastAsia="es-CO"/>
        </w:rPr>
        <w:t>Cuando se trate de Operaciones Swaps provenientes de sistemas de negociación y/o registro o Mecanismos de Contratación autorizados por la Cámara, en los casos que aplique, la corrección de operaciones implica que el administrador de dichos sistemas o Mecanismos genere la anulación de la operación objeto de corrección y envíe una nueva operación con la información correcta.</w:t>
      </w:r>
    </w:p>
    <w:p w14:paraId="3B57E868" w14:textId="77777777" w:rsidR="007968EC" w:rsidRPr="005F10B9" w:rsidRDefault="007968EC" w:rsidP="007968EC">
      <w:pPr>
        <w:jc w:val="both"/>
        <w:rPr>
          <w:rFonts w:ascii="Arial Narrow" w:eastAsia="Calibri" w:hAnsi="Arial Narrow"/>
          <w:color w:val="000000" w:themeColor="text1"/>
        </w:rPr>
      </w:pPr>
    </w:p>
    <w:p w14:paraId="367BAE7B" w14:textId="77777777" w:rsidR="007968EC" w:rsidRPr="005F10B9" w:rsidRDefault="007968EC" w:rsidP="007968EC">
      <w:pPr>
        <w:jc w:val="both"/>
        <w:rPr>
          <w:rFonts w:ascii="Arial Narrow" w:eastAsia="Calibri" w:hAnsi="Arial Narrow"/>
          <w:b/>
          <w:color w:val="000000" w:themeColor="text1"/>
        </w:rPr>
      </w:pPr>
      <w:r w:rsidRPr="005F10B9">
        <w:rPr>
          <w:rFonts w:ascii="Arial Narrow" w:eastAsia="Calibri" w:hAnsi="Arial Narrow"/>
          <w:color w:val="000000" w:themeColor="text1"/>
        </w:rPr>
        <w:t>La Cámara se reserva el derecho de solicitar la documentación que estime pertinente, con el fin de verificar los motivos de la corrección de cualquier Operación, previa a la autorización del registro de la misma.</w:t>
      </w:r>
    </w:p>
    <w:p w14:paraId="41E17036" w14:textId="77777777" w:rsidR="007968EC" w:rsidRPr="005F10B9" w:rsidRDefault="007968EC" w:rsidP="007968EC">
      <w:pPr>
        <w:jc w:val="both"/>
        <w:rPr>
          <w:rFonts w:ascii="Arial Narrow" w:eastAsia="Calibri" w:hAnsi="Arial Narrow"/>
          <w:b/>
          <w:color w:val="000000" w:themeColor="text1"/>
        </w:rPr>
      </w:pPr>
    </w:p>
    <w:p w14:paraId="009AA50F" w14:textId="77777777" w:rsidR="007968EC" w:rsidRPr="005F10B9" w:rsidRDefault="007968EC" w:rsidP="007968EC">
      <w:pPr>
        <w:jc w:val="both"/>
        <w:rPr>
          <w:rFonts w:ascii="Arial Narrow" w:hAnsi="Arial Narrow" w:cs="Arial"/>
          <w:color w:val="000000" w:themeColor="text1"/>
          <w:lang w:eastAsia="es-ES"/>
        </w:rPr>
      </w:pPr>
      <w:r w:rsidRPr="005F10B9">
        <w:rPr>
          <w:rFonts w:ascii="Arial Narrow" w:hAnsi="Arial Narrow" w:cs="Arial"/>
          <w:color w:val="000000" w:themeColor="text1"/>
          <w:lang w:eastAsia="es-ES"/>
        </w:rPr>
        <w:t>En caso de corrección de Operaciones que se agrupan en el presente Segmento, la Cámara deberá informar esta situación conforme lo establece el artículo 2.5.1. del Reglamento.</w:t>
      </w:r>
    </w:p>
    <w:p w14:paraId="47BAD0F8" w14:textId="77777777" w:rsidR="007968EC" w:rsidRPr="005F10B9" w:rsidRDefault="007968EC" w:rsidP="007968EC">
      <w:pPr>
        <w:jc w:val="both"/>
        <w:outlineLvl w:val="1"/>
        <w:rPr>
          <w:rFonts w:ascii="Arial Narrow" w:eastAsia="Calibri" w:hAnsi="Arial Narrow"/>
          <w:color w:val="000000" w:themeColor="text1"/>
        </w:rPr>
      </w:pPr>
    </w:p>
    <w:p w14:paraId="64EF8D7D" w14:textId="77777777" w:rsidR="007968EC" w:rsidRPr="005F10B9" w:rsidRDefault="007968EC" w:rsidP="007968EC">
      <w:pPr>
        <w:jc w:val="both"/>
        <w:outlineLvl w:val="1"/>
        <w:rPr>
          <w:rFonts w:ascii="Arial Narrow" w:eastAsia="Calibri" w:hAnsi="Arial Narrow"/>
          <w:color w:val="000000" w:themeColor="text1"/>
        </w:rPr>
      </w:pPr>
    </w:p>
    <w:p w14:paraId="5513E015" w14:textId="77777777" w:rsidR="007968EC" w:rsidRPr="00C16E02" w:rsidRDefault="007968EC" w:rsidP="007968EC">
      <w:pPr>
        <w:pStyle w:val="TTULO"/>
        <w:rPr>
          <w:rFonts w:eastAsia="Calibri"/>
        </w:rPr>
      </w:pPr>
      <w:bookmarkStart w:id="6316" w:name="_Toc493253188"/>
      <w:bookmarkStart w:id="6317" w:name="_Toc31716478"/>
      <w:r w:rsidRPr="00C16E02">
        <w:rPr>
          <w:rFonts w:eastAsia="Calibri"/>
        </w:rPr>
        <w:t>TÍTULO TERCERO</w:t>
      </w:r>
      <w:bookmarkEnd w:id="6316"/>
      <w:bookmarkEnd w:id="6317"/>
    </w:p>
    <w:p w14:paraId="76886024" w14:textId="77777777" w:rsidR="007968EC" w:rsidRPr="00C16E02" w:rsidRDefault="007968EC" w:rsidP="007968EC">
      <w:pPr>
        <w:pStyle w:val="TTULO"/>
        <w:rPr>
          <w:rFonts w:eastAsia="Calibri"/>
        </w:rPr>
      </w:pPr>
    </w:p>
    <w:p w14:paraId="68DD2F19" w14:textId="77777777" w:rsidR="007968EC" w:rsidRPr="00C16E02" w:rsidRDefault="007968EC" w:rsidP="007968EC">
      <w:pPr>
        <w:pStyle w:val="TTULO"/>
        <w:rPr>
          <w:rFonts w:eastAsia="Calibri"/>
        </w:rPr>
      </w:pPr>
      <w:bookmarkStart w:id="6318" w:name="_Toc493253189"/>
      <w:bookmarkStart w:id="6319" w:name="_Toc31716479"/>
      <w:r w:rsidRPr="00C16E02">
        <w:rPr>
          <w:rFonts w:eastAsia="Calibri"/>
        </w:rPr>
        <w:t>CUENTAS Y GESTIÓN DE OPERACIONES</w:t>
      </w:r>
      <w:bookmarkEnd w:id="6318"/>
      <w:bookmarkEnd w:id="6319"/>
    </w:p>
    <w:p w14:paraId="0864D330" w14:textId="77777777" w:rsidR="007968EC" w:rsidRPr="00C16E02" w:rsidRDefault="007968EC" w:rsidP="007968EC">
      <w:pPr>
        <w:pStyle w:val="TTULO"/>
        <w:rPr>
          <w:rFonts w:eastAsia="Calibri"/>
        </w:rPr>
      </w:pPr>
    </w:p>
    <w:p w14:paraId="1F068AA4" w14:textId="77777777" w:rsidR="007968EC" w:rsidRPr="00C16E02" w:rsidRDefault="007968EC" w:rsidP="007968EC">
      <w:pPr>
        <w:pStyle w:val="TTULO"/>
        <w:rPr>
          <w:rFonts w:eastAsia="Calibri"/>
        </w:rPr>
      </w:pPr>
      <w:bookmarkStart w:id="6320" w:name="_Toc493253190"/>
      <w:bookmarkStart w:id="6321" w:name="_Toc31716480"/>
      <w:r w:rsidRPr="00C16E02">
        <w:rPr>
          <w:rFonts w:eastAsia="Calibri"/>
        </w:rPr>
        <w:t>CAPÍTULO PRIMERO</w:t>
      </w:r>
      <w:bookmarkEnd w:id="6320"/>
      <w:bookmarkEnd w:id="6321"/>
    </w:p>
    <w:p w14:paraId="590183E1" w14:textId="77777777" w:rsidR="007968EC" w:rsidRPr="00C16E02" w:rsidRDefault="007968EC" w:rsidP="007968EC">
      <w:pPr>
        <w:pStyle w:val="TTULO"/>
        <w:rPr>
          <w:rFonts w:eastAsia="Calibri"/>
        </w:rPr>
      </w:pPr>
    </w:p>
    <w:p w14:paraId="2A2D2176" w14:textId="77777777" w:rsidR="007968EC" w:rsidRPr="00C16E02" w:rsidRDefault="007968EC" w:rsidP="007968EC">
      <w:pPr>
        <w:pStyle w:val="TTULO"/>
        <w:rPr>
          <w:rFonts w:eastAsia="Calibri"/>
        </w:rPr>
      </w:pPr>
      <w:bookmarkStart w:id="6322" w:name="_Toc493253191"/>
      <w:bookmarkStart w:id="6323" w:name="_Toc31716481"/>
      <w:r w:rsidRPr="00C16E02">
        <w:rPr>
          <w:rFonts w:eastAsia="Calibri"/>
        </w:rPr>
        <w:t>CUENTAS</w:t>
      </w:r>
      <w:bookmarkEnd w:id="6322"/>
      <w:bookmarkEnd w:id="6323"/>
    </w:p>
    <w:p w14:paraId="206973BA" w14:textId="77777777" w:rsidR="007968EC" w:rsidRPr="005F10B9" w:rsidRDefault="007968EC" w:rsidP="007968EC">
      <w:pPr>
        <w:rPr>
          <w:rFonts w:ascii="Arial Narrow" w:eastAsia="Calibri" w:hAnsi="Arial Narrow"/>
          <w:b/>
          <w:color w:val="000000" w:themeColor="text1"/>
        </w:rPr>
      </w:pPr>
    </w:p>
    <w:p w14:paraId="08896178" w14:textId="77777777" w:rsidR="007968EC" w:rsidRPr="005F10B9" w:rsidRDefault="007968EC" w:rsidP="007968EC">
      <w:pPr>
        <w:pStyle w:val="ARTICULO0"/>
      </w:pPr>
      <w:bookmarkStart w:id="6324" w:name="_Toc493253192"/>
      <w:bookmarkStart w:id="6325" w:name="_Toc31716482"/>
      <w:r w:rsidRPr="005F10B9">
        <w:t>Artículo 5.3.1.1. Proceso de Creación de Cuentas en el Sistema de la Cámara.</w:t>
      </w:r>
      <w:bookmarkEnd w:id="6324"/>
      <w:bookmarkEnd w:id="6325"/>
      <w:r w:rsidRPr="005F10B9">
        <w:t xml:space="preserve"> </w:t>
      </w:r>
    </w:p>
    <w:p w14:paraId="196CE33B" w14:textId="77777777" w:rsidR="007968EC" w:rsidRPr="005F10B9" w:rsidRDefault="007968EC" w:rsidP="007968EC">
      <w:pPr>
        <w:rPr>
          <w:rFonts w:ascii="Arial Narrow" w:eastAsia="Calibri" w:hAnsi="Arial Narrow"/>
          <w:bCs/>
          <w:color w:val="000000" w:themeColor="text1"/>
          <w:lang w:eastAsia="es-CO"/>
        </w:rPr>
      </w:pPr>
    </w:p>
    <w:p w14:paraId="01560F7A" w14:textId="77777777" w:rsidR="007968EC" w:rsidRPr="005F10B9" w:rsidRDefault="007968EC" w:rsidP="007968EC">
      <w:pPr>
        <w:jc w:val="both"/>
        <w:rPr>
          <w:rFonts w:ascii="Arial Narrow" w:eastAsia="Calibri" w:hAnsi="Arial Narrow"/>
          <w:bCs/>
          <w:color w:val="000000" w:themeColor="text1"/>
          <w:lang w:eastAsia="es-CO"/>
        </w:rPr>
      </w:pPr>
      <w:r w:rsidRPr="005F10B9">
        <w:rPr>
          <w:rFonts w:ascii="Arial Narrow" w:eastAsia="Calibri" w:hAnsi="Arial Narrow"/>
          <w:bCs/>
          <w:color w:val="000000" w:themeColor="text1"/>
          <w:lang w:eastAsia="es-CO"/>
        </w:rPr>
        <w:t>El proceso de creación de Cuentas para el presente Segmento deberá cumplir con el procedimiento establecido en el artículo 1.4.1.1. de la presente Circular en lo que aplique.</w:t>
      </w:r>
    </w:p>
    <w:p w14:paraId="5D9C61E8" w14:textId="77777777" w:rsidR="007968EC" w:rsidRPr="005F10B9" w:rsidRDefault="007968EC" w:rsidP="007968EC">
      <w:pPr>
        <w:jc w:val="both"/>
        <w:rPr>
          <w:rFonts w:ascii="Arial Narrow" w:eastAsia="Calibri" w:hAnsi="Arial Narrow"/>
          <w:color w:val="000000" w:themeColor="text1"/>
        </w:rPr>
      </w:pPr>
    </w:p>
    <w:p w14:paraId="5364F007" w14:textId="77777777" w:rsidR="007968EC" w:rsidRPr="005F10B9" w:rsidRDefault="007968EC" w:rsidP="007968EC">
      <w:pPr>
        <w:pStyle w:val="ARTICULO0"/>
        <w:rPr>
          <w:rFonts w:eastAsia="Calibri"/>
        </w:rPr>
      </w:pPr>
      <w:bookmarkStart w:id="6326" w:name="_Toc493253193"/>
      <w:bookmarkStart w:id="6327" w:name="_Toc31716483"/>
      <w:r w:rsidRPr="005F10B9">
        <w:t>Artículo 5.3.1.2.  Asignación de operaciones</w:t>
      </w:r>
      <w:r w:rsidRPr="005F10B9">
        <w:rPr>
          <w:rFonts w:eastAsia="Calibri"/>
        </w:rPr>
        <w:t>.</w:t>
      </w:r>
      <w:bookmarkEnd w:id="6326"/>
      <w:bookmarkEnd w:id="6327"/>
    </w:p>
    <w:p w14:paraId="62590D50" w14:textId="77777777" w:rsidR="007968EC" w:rsidRPr="005F10B9" w:rsidRDefault="007968EC" w:rsidP="007968EC">
      <w:pPr>
        <w:rPr>
          <w:rFonts w:ascii="Arial Narrow" w:eastAsia="Calibri" w:hAnsi="Arial Narrow"/>
          <w:b/>
          <w:color w:val="000000" w:themeColor="text1"/>
        </w:rPr>
      </w:pPr>
    </w:p>
    <w:p w14:paraId="0D60AEED" w14:textId="77777777" w:rsidR="007968EC" w:rsidRPr="005F10B9" w:rsidRDefault="007968EC" w:rsidP="007968EC">
      <w:pPr>
        <w:tabs>
          <w:tab w:val="left" w:pos="1419"/>
        </w:tabs>
        <w:jc w:val="both"/>
        <w:rPr>
          <w:rFonts w:ascii="Arial Narrow" w:eastAsia="Calibri" w:hAnsi="Arial Narrow"/>
          <w:color w:val="000000" w:themeColor="text1"/>
        </w:rPr>
      </w:pPr>
      <w:r w:rsidRPr="005F10B9">
        <w:rPr>
          <w:rFonts w:ascii="Arial Narrow" w:eastAsia="Calibri" w:hAnsi="Arial Narrow"/>
          <w:color w:val="000000" w:themeColor="text1"/>
        </w:rPr>
        <w:t xml:space="preserve">Para el Segmento Swaps cuando se trate de Operaciones </w:t>
      </w:r>
      <w:r w:rsidRPr="005F10B9">
        <w:rPr>
          <w:rFonts w:ascii="Arial Narrow" w:hAnsi="Arial Narrow" w:cs="Arial"/>
          <w:color w:val="000000" w:themeColor="text1"/>
          <w:lang w:eastAsia="es-ES"/>
        </w:rPr>
        <w:t>Swaps</w:t>
      </w:r>
      <w:r w:rsidRPr="005F10B9">
        <w:rPr>
          <w:rFonts w:ascii="Arial Narrow" w:eastAsia="Calibri" w:hAnsi="Arial Narrow"/>
          <w:color w:val="000000" w:themeColor="text1"/>
        </w:rPr>
        <w:t xml:space="preserve"> dichas Operaciones serán </w:t>
      </w:r>
      <w:proofErr w:type="spellStart"/>
      <w:proofErr w:type="gramStart"/>
      <w:r w:rsidRPr="005F10B9">
        <w:rPr>
          <w:rFonts w:ascii="Arial Narrow" w:eastAsia="Calibri" w:hAnsi="Arial Narrow"/>
          <w:color w:val="000000" w:themeColor="text1"/>
        </w:rPr>
        <w:t>pre-asignadas</w:t>
      </w:r>
      <w:proofErr w:type="spellEnd"/>
      <w:proofErr w:type="gramEnd"/>
      <w:r w:rsidRPr="005F10B9">
        <w:rPr>
          <w:rFonts w:ascii="Arial Narrow" w:eastAsia="Calibri" w:hAnsi="Arial Narrow"/>
          <w:color w:val="000000" w:themeColor="text1"/>
        </w:rPr>
        <w:t xml:space="preserve"> a la Cuenta definitiva desde </w:t>
      </w:r>
      <w:r w:rsidRPr="005F10B9">
        <w:rPr>
          <w:rFonts w:ascii="Arial Narrow" w:hAnsi="Arial Narrow" w:cs="Arial"/>
          <w:color w:val="000000" w:themeColor="text1"/>
          <w:lang w:eastAsia="es-ES"/>
        </w:rPr>
        <w:t>los sistemas de negociación y/o registro</w:t>
      </w:r>
      <w:r w:rsidRPr="005F10B9">
        <w:rPr>
          <w:rFonts w:ascii="Arial Narrow" w:eastAsia="Calibri" w:hAnsi="Arial Narrow"/>
          <w:color w:val="000000" w:themeColor="text1"/>
        </w:rPr>
        <w:t xml:space="preserve"> o Mecanismo de Contratación, por lo tanto, para estas Operaciones no estará disponible la Asignación de Operaciones dentro del Sistema de Cámara.</w:t>
      </w:r>
    </w:p>
    <w:p w14:paraId="51236D0C" w14:textId="77777777" w:rsidR="007968EC" w:rsidRPr="005F10B9" w:rsidRDefault="007968EC" w:rsidP="007968EC">
      <w:pPr>
        <w:tabs>
          <w:tab w:val="left" w:pos="1419"/>
        </w:tabs>
        <w:rPr>
          <w:rFonts w:ascii="Arial Narrow" w:eastAsia="Calibri" w:hAnsi="Arial Narrow"/>
          <w:color w:val="000000" w:themeColor="text1"/>
        </w:rPr>
      </w:pPr>
    </w:p>
    <w:p w14:paraId="571B52FA" w14:textId="77777777" w:rsidR="007968EC" w:rsidRPr="005F10B9" w:rsidRDefault="007968EC" w:rsidP="007968EC">
      <w:pPr>
        <w:pStyle w:val="ARTICULO0"/>
        <w:rPr>
          <w:rFonts w:eastAsia="Calibri"/>
        </w:rPr>
      </w:pPr>
      <w:bookmarkStart w:id="6328" w:name="_Toc493253194"/>
      <w:bookmarkStart w:id="6329" w:name="_Toc31716484"/>
      <w:r w:rsidRPr="005F10B9">
        <w:t>Artículo 5.3.1.3. Traspaso de Operaciones Aceptadas</w:t>
      </w:r>
      <w:r w:rsidRPr="005F10B9">
        <w:rPr>
          <w:rFonts w:eastAsia="Calibri"/>
        </w:rPr>
        <w:t>.</w:t>
      </w:r>
      <w:bookmarkEnd w:id="6328"/>
      <w:bookmarkEnd w:id="6329"/>
    </w:p>
    <w:p w14:paraId="4E4B370E" w14:textId="77777777" w:rsidR="007968EC" w:rsidRPr="005F10B9" w:rsidRDefault="007968EC" w:rsidP="007968EC">
      <w:pPr>
        <w:tabs>
          <w:tab w:val="left" w:pos="1419"/>
        </w:tabs>
        <w:rPr>
          <w:rFonts w:ascii="Arial Narrow" w:eastAsia="Calibri" w:hAnsi="Arial Narrow"/>
          <w:b/>
          <w:color w:val="000000" w:themeColor="text1"/>
        </w:rPr>
      </w:pPr>
    </w:p>
    <w:p w14:paraId="368C060E" w14:textId="77777777" w:rsidR="007968EC" w:rsidRPr="005F10B9" w:rsidRDefault="007968EC" w:rsidP="007968EC">
      <w:pPr>
        <w:jc w:val="both"/>
        <w:rPr>
          <w:rFonts w:ascii="Arial Narrow" w:eastAsia="Calibri" w:hAnsi="Arial Narrow"/>
          <w:color w:val="000000" w:themeColor="text1"/>
        </w:rPr>
      </w:pPr>
      <w:r w:rsidRPr="005F10B9">
        <w:rPr>
          <w:rFonts w:ascii="Arial Narrow" w:eastAsia="Calibri" w:hAnsi="Arial Narrow"/>
          <w:color w:val="000000" w:themeColor="text1"/>
        </w:rPr>
        <w:t xml:space="preserve">Para el Segmento Swaps cuando se trate de Operaciones </w:t>
      </w:r>
      <w:r w:rsidRPr="005F10B9">
        <w:rPr>
          <w:rFonts w:ascii="Arial Narrow" w:hAnsi="Arial Narrow" w:cs="Arial"/>
          <w:color w:val="000000" w:themeColor="text1"/>
          <w:lang w:eastAsia="es-ES"/>
        </w:rPr>
        <w:t>Swaps</w:t>
      </w:r>
      <w:r w:rsidRPr="005F10B9">
        <w:rPr>
          <w:rFonts w:ascii="Arial Narrow" w:eastAsia="Calibri" w:hAnsi="Arial Narrow"/>
          <w:color w:val="000000" w:themeColor="text1"/>
        </w:rPr>
        <w:t>, no estará disponible el Traspaso de Operaciones.</w:t>
      </w:r>
    </w:p>
    <w:p w14:paraId="34D10521" w14:textId="77777777" w:rsidR="007968EC" w:rsidRPr="005F10B9" w:rsidRDefault="007968EC" w:rsidP="007968EC">
      <w:pPr>
        <w:jc w:val="both"/>
        <w:rPr>
          <w:rFonts w:ascii="Arial Narrow" w:eastAsia="Calibri" w:hAnsi="Arial Narrow"/>
          <w:color w:val="000000" w:themeColor="text1"/>
        </w:rPr>
      </w:pPr>
    </w:p>
    <w:p w14:paraId="51BE85C0" w14:textId="77777777" w:rsidR="007968EC" w:rsidRPr="005F10B9" w:rsidRDefault="007968EC" w:rsidP="007968EC">
      <w:pPr>
        <w:pStyle w:val="ARTICULO0"/>
        <w:rPr>
          <w:rFonts w:eastAsia="Calibri"/>
        </w:rPr>
      </w:pPr>
      <w:bookmarkStart w:id="6330" w:name="_Toc493253195"/>
      <w:bookmarkStart w:id="6331" w:name="_Toc31716485"/>
      <w:r w:rsidRPr="005F10B9">
        <w:t>Artículo 5.3.1.4. Traspaso de Posición Abierta</w:t>
      </w:r>
      <w:r w:rsidRPr="005F10B9">
        <w:rPr>
          <w:rFonts w:eastAsia="Calibri"/>
        </w:rPr>
        <w:t>.</w:t>
      </w:r>
      <w:bookmarkEnd w:id="6330"/>
      <w:bookmarkEnd w:id="6331"/>
    </w:p>
    <w:p w14:paraId="151DEA86" w14:textId="77777777" w:rsidR="007968EC" w:rsidRPr="005F10B9" w:rsidRDefault="007968EC" w:rsidP="007968EC">
      <w:pPr>
        <w:rPr>
          <w:rFonts w:ascii="Arial Narrow" w:eastAsia="Calibri" w:hAnsi="Arial Narrow"/>
          <w:b/>
          <w:color w:val="000000" w:themeColor="text1"/>
        </w:rPr>
      </w:pPr>
    </w:p>
    <w:p w14:paraId="37BACD01" w14:textId="77777777" w:rsidR="007968EC" w:rsidRPr="005F10B9" w:rsidRDefault="007968EC" w:rsidP="007968EC">
      <w:pPr>
        <w:jc w:val="both"/>
        <w:rPr>
          <w:rFonts w:ascii="Arial Narrow" w:eastAsia="Calibri" w:hAnsi="Arial Narrow"/>
          <w:color w:val="000000" w:themeColor="text1"/>
        </w:rPr>
      </w:pPr>
      <w:r w:rsidRPr="005F10B9">
        <w:rPr>
          <w:rFonts w:ascii="Arial Narrow" w:eastAsia="Calibri" w:hAnsi="Arial Narrow"/>
          <w:color w:val="000000" w:themeColor="text1"/>
        </w:rPr>
        <w:t xml:space="preserve">De acuerdo con lo establecido en el artículo 1.4.2.4. de la presente Circular, para el Segmento Swaps solamente se permitirá realizar el Traspaso de Posición Abierta entre Cuentas del mismo titular en eventos de reorganización empresarial de un Miembro, tales como la adquisición, fusión, escisión. En este caso, el Miembro correspondiente deberá </w:t>
      </w:r>
      <w:proofErr w:type="spellStart"/>
      <w:r w:rsidRPr="005F10B9">
        <w:rPr>
          <w:rFonts w:ascii="Arial Narrow" w:eastAsia="Calibri" w:hAnsi="Arial Narrow"/>
          <w:color w:val="000000" w:themeColor="text1"/>
        </w:rPr>
        <w:t>allegar</w:t>
      </w:r>
      <w:proofErr w:type="spellEnd"/>
      <w:r w:rsidRPr="005F10B9">
        <w:rPr>
          <w:rFonts w:ascii="Arial Narrow" w:eastAsia="Calibri" w:hAnsi="Arial Narrow"/>
          <w:color w:val="000000" w:themeColor="text1"/>
        </w:rPr>
        <w:t xml:space="preserve"> a la Cámara una solicitud en tal sentido, suscrita por el representante legal, señalando las razones para dicho Traspaso y entregando los documentos justificativos del mismo. Lo anterior sin perjuicio de los documentos que pueda solicitar la Cámara. </w:t>
      </w:r>
    </w:p>
    <w:p w14:paraId="14576D4B" w14:textId="77777777" w:rsidR="007968EC" w:rsidRPr="005F10B9" w:rsidRDefault="007968EC" w:rsidP="007968EC">
      <w:pPr>
        <w:jc w:val="both"/>
        <w:rPr>
          <w:rFonts w:ascii="Arial Narrow" w:eastAsia="Calibri" w:hAnsi="Arial Narrow"/>
          <w:color w:val="000000" w:themeColor="text1"/>
        </w:rPr>
      </w:pPr>
    </w:p>
    <w:p w14:paraId="7908861F" w14:textId="77777777" w:rsidR="007968EC" w:rsidRPr="005F10B9" w:rsidRDefault="007968EC" w:rsidP="007968EC">
      <w:pPr>
        <w:jc w:val="both"/>
        <w:rPr>
          <w:rFonts w:ascii="Arial Narrow" w:eastAsia="Calibri" w:hAnsi="Arial Narrow"/>
          <w:color w:val="000000" w:themeColor="text1"/>
        </w:rPr>
      </w:pPr>
      <w:r w:rsidRPr="005F10B9">
        <w:rPr>
          <w:rFonts w:ascii="Arial Narrow" w:eastAsia="Calibri" w:hAnsi="Arial Narrow"/>
          <w:color w:val="000000" w:themeColor="text1"/>
        </w:rPr>
        <w:t>Acreditadas a satisfacción de la Cámara las razones del Traspaso de Posición, la Cámara realizará el Traspaso de todas las posiciones de la Cuenta origen hacia la Cuenta destino e inmediatamente dará cierre a la Cuenta de origen.</w:t>
      </w:r>
    </w:p>
    <w:p w14:paraId="570E5616" w14:textId="77777777" w:rsidR="007968EC" w:rsidRPr="005F10B9" w:rsidRDefault="007968EC" w:rsidP="007968EC">
      <w:pPr>
        <w:jc w:val="both"/>
        <w:rPr>
          <w:rFonts w:ascii="Arial Narrow" w:eastAsia="Calibri" w:hAnsi="Arial Narrow"/>
          <w:color w:val="000000" w:themeColor="text1"/>
        </w:rPr>
      </w:pPr>
    </w:p>
    <w:p w14:paraId="5C096986" w14:textId="77777777" w:rsidR="007968EC" w:rsidRPr="005F10B9" w:rsidRDefault="007968EC" w:rsidP="007968EC">
      <w:pPr>
        <w:jc w:val="both"/>
        <w:rPr>
          <w:rFonts w:ascii="Arial Narrow" w:eastAsia="Calibri" w:hAnsi="Arial Narrow"/>
          <w:color w:val="000000" w:themeColor="text1"/>
        </w:rPr>
      </w:pPr>
      <w:r w:rsidRPr="005F10B9">
        <w:rPr>
          <w:rFonts w:ascii="Arial Narrow" w:eastAsia="Calibri" w:hAnsi="Arial Narrow"/>
          <w:color w:val="000000" w:themeColor="text1"/>
        </w:rPr>
        <w:t xml:space="preserve">Este tipo de gestión se registrará al siguiente día hábil a la aceptación de la solicitud por parte de la Cámara. </w:t>
      </w:r>
    </w:p>
    <w:p w14:paraId="70222A38" w14:textId="77777777" w:rsidR="007968EC" w:rsidRPr="005F10B9" w:rsidRDefault="007968EC" w:rsidP="007968EC">
      <w:pPr>
        <w:jc w:val="both"/>
        <w:rPr>
          <w:rFonts w:ascii="Arial Narrow" w:eastAsia="Calibri" w:hAnsi="Arial Narrow"/>
          <w:color w:val="000000" w:themeColor="text1"/>
        </w:rPr>
      </w:pPr>
    </w:p>
    <w:p w14:paraId="69BA9FCD" w14:textId="77777777" w:rsidR="007968EC" w:rsidRPr="005F10B9" w:rsidRDefault="007968EC" w:rsidP="007968EC">
      <w:pPr>
        <w:jc w:val="both"/>
        <w:rPr>
          <w:rFonts w:ascii="Arial Narrow" w:eastAsia="Calibri" w:hAnsi="Arial Narrow"/>
          <w:color w:val="000000" w:themeColor="text1"/>
        </w:rPr>
      </w:pPr>
      <w:r w:rsidRPr="005F10B9">
        <w:rPr>
          <w:rFonts w:ascii="Arial Narrow" w:eastAsia="Calibri" w:hAnsi="Arial Narrow"/>
          <w:color w:val="000000" w:themeColor="text1"/>
        </w:rPr>
        <w:t>Las operaciones de Traspaso de Posición serán del tipo "Z". El Sistema realizará el traspaso de cada Posición a precio de registro de la Operación Swap. Esta gestión estará sujeta a las tarifas previstas por la Cámara.</w:t>
      </w:r>
    </w:p>
    <w:p w14:paraId="3791663F" w14:textId="77777777" w:rsidR="007968EC" w:rsidRPr="005F10B9" w:rsidRDefault="007968EC" w:rsidP="007968EC">
      <w:pPr>
        <w:jc w:val="both"/>
        <w:rPr>
          <w:rFonts w:ascii="Arial Narrow" w:hAnsi="Arial Narrow" w:cs="Arial"/>
          <w:color w:val="000000" w:themeColor="text1"/>
          <w:lang w:eastAsia="es-ES"/>
        </w:rPr>
      </w:pPr>
    </w:p>
    <w:p w14:paraId="600C5281" w14:textId="77777777" w:rsidR="007968EC" w:rsidRPr="005F10B9" w:rsidRDefault="007968EC" w:rsidP="007968EC">
      <w:pPr>
        <w:pStyle w:val="ARTICULO0"/>
      </w:pPr>
      <w:bookmarkStart w:id="6332" w:name="_Toc493253196"/>
      <w:bookmarkStart w:id="6333" w:name="_Toc31716486"/>
      <w:r w:rsidRPr="005F10B9">
        <w:t xml:space="preserve">Artículo 5.3.1.5. </w:t>
      </w:r>
      <w:proofErr w:type="spellStart"/>
      <w:r w:rsidRPr="005F10B9">
        <w:t>Give</w:t>
      </w:r>
      <w:proofErr w:type="spellEnd"/>
      <w:r w:rsidRPr="005F10B9">
        <w:t xml:space="preserve"> Up.</w:t>
      </w:r>
      <w:bookmarkEnd w:id="6332"/>
      <w:bookmarkEnd w:id="6333"/>
      <w:r w:rsidRPr="005F10B9">
        <w:t xml:space="preserve"> </w:t>
      </w:r>
    </w:p>
    <w:p w14:paraId="53C613FA" w14:textId="77777777" w:rsidR="007968EC" w:rsidRPr="005F10B9" w:rsidRDefault="007968EC" w:rsidP="007968EC">
      <w:pPr>
        <w:jc w:val="both"/>
        <w:rPr>
          <w:rFonts w:ascii="Arial Narrow" w:hAnsi="Arial Narrow" w:cs="Arial"/>
          <w:color w:val="000000" w:themeColor="text1"/>
          <w:lang w:eastAsia="es-ES"/>
        </w:rPr>
      </w:pPr>
    </w:p>
    <w:p w14:paraId="70F933FC" w14:textId="77777777" w:rsidR="007968EC" w:rsidRPr="005F10B9" w:rsidRDefault="007968EC" w:rsidP="007968EC">
      <w:pPr>
        <w:jc w:val="both"/>
        <w:rPr>
          <w:rFonts w:ascii="Arial Narrow" w:eastAsia="Calibri" w:hAnsi="Arial Narrow"/>
          <w:color w:val="000000" w:themeColor="text1"/>
        </w:rPr>
      </w:pPr>
      <w:r w:rsidRPr="005F10B9">
        <w:rPr>
          <w:rFonts w:ascii="Arial Narrow" w:eastAsia="Calibri" w:hAnsi="Arial Narrow"/>
          <w:color w:val="000000" w:themeColor="text1"/>
        </w:rPr>
        <w:t xml:space="preserve">De acuerdo con lo establecido en el artículo 1.4.2.6. para el Segmento Swaps no se permite realizar la Operación de </w:t>
      </w:r>
      <w:proofErr w:type="spellStart"/>
      <w:r w:rsidRPr="005F10B9">
        <w:rPr>
          <w:rFonts w:ascii="Arial Narrow" w:eastAsia="Calibri" w:hAnsi="Arial Narrow"/>
          <w:color w:val="000000" w:themeColor="text1"/>
        </w:rPr>
        <w:t>Give</w:t>
      </w:r>
      <w:proofErr w:type="spellEnd"/>
      <w:r w:rsidRPr="005F10B9">
        <w:rPr>
          <w:rFonts w:ascii="Arial Narrow" w:eastAsia="Calibri" w:hAnsi="Arial Narrow"/>
          <w:color w:val="000000" w:themeColor="text1"/>
        </w:rPr>
        <w:t xml:space="preserve"> Up.</w:t>
      </w:r>
    </w:p>
    <w:p w14:paraId="234C4668" w14:textId="77777777" w:rsidR="007968EC" w:rsidRPr="005F10B9" w:rsidRDefault="007968EC" w:rsidP="007968EC">
      <w:pPr>
        <w:jc w:val="both"/>
        <w:rPr>
          <w:rFonts w:ascii="Arial Narrow" w:eastAsia="Calibri" w:hAnsi="Arial Narrow"/>
          <w:color w:val="000000" w:themeColor="text1"/>
        </w:rPr>
      </w:pPr>
    </w:p>
    <w:p w14:paraId="4035C0FF" w14:textId="77777777" w:rsidR="007968EC" w:rsidRPr="005F10B9" w:rsidRDefault="007968EC" w:rsidP="007968EC">
      <w:pPr>
        <w:jc w:val="both"/>
        <w:rPr>
          <w:rFonts w:ascii="Arial Narrow" w:eastAsia="Calibri" w:hAnsi="Arial Narrow"/>
          <w:color w:val="000000" w:themeColor="text1"/>
        </w:rPr>
      </w:pPr>
    </w:p>
    <w:p w14:paraId="6939DFD5" w14:textId="77777777" w:rsidR="007968EC" w:rsidRPr="005F10B9" w:rsidRDefault="007968EC" w:rsidP="007968EC">
      <w:pPr>
        <w:pStyle w:val="TTULO"/>
        <w:rPr>
          <w:rFonts w:eastAsia="Calibri"/>
        </w:rPr>
      </w:pPr>
      <w:bookmarkStart w:id="6334" w:name="_Toc493253197"/>
      <w:bookmarkStart w:id="6335" w:name="_Toc31716487"/>
      <w:r w:rsidRPr="005F10B9">
        <w:rPr>
          <w:rFonts w:eastAsia="Calibri"/>
        </w:rPr>
        <w:t>TÍTULO CUARTO</w:t>
      </w:r>
      <w:bookmarkEnd w:id="6334"/>
      <w:bookmarkEnd w:id="6335"/>
    </w:p>
    <w:p w14:paraId="6C4CEF7A" w14:textId="77777777" w:rsidR="007968EC" w:rsidRPr="005F10B9" w:rsidRDefault="007968EC" w:rsidP="007968EC">
      <w:pPr>
        <w:pStyle w:val="TTULO"/>
        <w:rPr>
          <w:rFonts w:eastAsia="Calibri"/>
        </w:rPr>
      </w:pPr>
    </w:p>
    <w:p w14:paraId="5E8C1A3F" w14:textId="77777777" w:rsidR="007968EC" w:rsidRPr="005F10B9" w:rsidRDefault="007968EC" w:rsidP="007968EC">
      <w:pPr>
        <w:pStyle w:val="TTULO"/>
        <w:rPr>
          <w:rFonts w:eastAsia="Calibri"/>
        </w:rPr>
      </w:pPr>
      <w:bookmarkStart w:id="6336" w:name="_Toc493253198"/>
      <w:bookmarkStart w:id="6337" w:name="_Toc31716488"/>
      <w:r w:rsidRPr="005F10B9">
        <w:rPr>
          <w:rFonts w:eastAsia="Calibri"/>
        </w:rPr>
        <w:t>COMPENSACIÓN Y LIQUIDACIÓN DE OPERACIONES</w:t>
      </w:r>
      <w:bookmarkEnd w:id="6336"/>
      <w:bookmarkEnd w:id="6337"/>
    </w:p>
    <w:p w14:paraId="3FD7D7B3" w14:textId="77777777" w:rsidR="007968EC" w:rsidRPr="005F10B9" w:rsidRDefault="007968EC" w:rsidP="007968EC">
      <w:pPr>
        <w:pStyle w:val="TTULO"/>
        <w:rPr>
          <w:rFonts w:eastAsia="Calibri"/>
        </w:rPr>
      </w:pPr>
    </w:p>
    <w:p w14:paraId="567ACEAF" w14:textId="77777777" w:rsidR="007968EC" w:rsidRPr="005F10B9" w:rsidRDefault="007968EC" w:rsidP="007968EC">
      <w:pPr>
        <w:pStyle w:val="TTULO"/>
        <w:rPr>
          <w:rFonts w:eastAsia="Calibri"/>
        </w:rPr>
      </w:pPr>
      <w:bookmarkStart w:id="6338" w:name="_Toc493253199"/>
      <w:bookmarkStart w:id="6339" w:name="_Toc31716489"/>
      <w:r w:rsidRPr="005F10B9">
        <w:rPr>
          <w:rFonts w:eastAsia="Calibri"/>
        </w:rPr>
        <w:t>CAPÍTULO PRIMERO</w:t>
      </w:r>
      <w:bookmarkEnd w:id="6338"/>
      <w:bookmarkEnd w:id="6339"/>
    </w:p>
    <w:p w14:paraId="4057F58D" w14:textId="77777777" w:rsidR="007968EC" w:rsidRPr="005F10B9" w:rsidRDefault="007968EC" w:rsidP="007968EC">
      <w:pPr>
        <w:pStyle w:val="TTULO"/>
        <w:rPr>
          <w:rFonts w:eastAsia="Calibri"/>
        </w:rPr>
      </w:pPr>
    </w:p>
    <w:p w14:paraId="0974043C" w14:textId="77777777" w:rsidR="007968EC" w:rsidRPr="005F10B9" w:rsidRDefault="007968EC" w:rsidP="007968EC">
      <w:pPr>
        <w:pStyle w:val="TTULO"/>
        <w:rPr>
          <w:rFonts w:eastAsia="Calibri"/>
        </w:rPr>
      </w:pPr>
      <w:bookmarkStart w:id="6340" w:name="_Toc493253200"/>
      <w:bookmarkStart w:id="6341" w:name="_Toc31716490"/>
      <w:r w:rsidRPr="005F10B9">
        <w:rPr>
          <w:rFonts w:eastAsia="Calibri"/>
        </w:rPr>
        <w:t xml:space="preserve">COMPENSACIÓN DE </w:t>
      </w:r>
      <w:bookmarkEnd w:id="6340"/>
      <w:r w:rsidRPr="005F10B9">
        <w:rPr>
          <w:rFonts w:eastAsia="Calibri"/>
        </w:rPr>
        <w:t>OPERACIONES SWAPS</w:t>
      </w:r>
      <w:bookmarkEnd w:id="6341"/>
    </w:p>
    <w:p w14:paraId="42D31563" w14:textId="77777777" w:rsidR="007968EC" w:rsidRPr="005F10B9" w:rsidRDefault="007968EC" w:rsidP="007968EC">
      <w:pPr>
        <w:jc w:val="center"/>
        <w:outlineLvl w:val="1"/>
        <w:rPr>
          <w:rFonts w:ascii="Arial Narrow" w:eastAsia="Calibri" w:hAnsi="Arial Narrow"/>
          <w:b/>
          <w:color w:val="000000" w:themeColor="text1"/>
        </w:rPr>
      </w:pPr>
    </w:p>
    <w:p w14:paraId="36E85B85" w14:textId="77777777" w:rsidR="007968EC" w:rsidRPr="005F10B9" w:rsidRDefault="007968EC" w:rsidP="007968EC">
      <w:pPr>
        <w:pStyle w:val="ARTICULO0"/>
      </w:pPr>
      <w:bookmarkStart w:id="6342" w:name="_Toc493253201"/>
      <w:bookmarkStart w:id="6343" w:name="_Toc31716491"/>
      <w:r w:rsidRPr="005F10B9">
        <w:t>Artículo 5.4.1.1.  Compensación de efectivo.</w:t>
      </w:r>
      <w:bookmarkEnd w:id="6342"/>
      <w:bookmarkEnd w:id="6343"/>
    </w:p>
    <w:p w14:paraId="0B0BCE05" w14:textId="77777777" w:rsidR="007968EC" w:rsidRPr="005F10B9" w:rsidRDefault="007968EC" w:rsidP="007968EC">
      <w:pPr>
        <w:jc w:val="both"/>
        <w:rPr>
          <w:rFonts w:ascii="Arial Narrow" w:hAnsi="Arial Narrow" w:cs="Arial"/>
          <w:color w:val="000000" w:themeColor="text1"/>
          <w:lang w:eastAsia="es-ES"/>
        </w:rPr>
      </w:pPr>
    </w:p>
    <w:p w14:paraId="5EEB3AFB" w14:textId="77777777" w:rsidR="007968EC" w:rsidRPr="005F10B9" w:rsidRDefault="007968EC" w:rsidP="007968EC">
      <w:pPr>
        <w:jc w:val="both"/>
        <w:rPr>
          <w:rFonts w:ascii="Arial Narrow" w:eastAsia="Calibri" w:hAnsi="Arial Narrow"/>
          <w:color w:val="000000" w:themeColor="text1"/>
        </w:rPr>
      </w:pPr>
      <w:r w:rsidRPr="005F10B9">
        <w:rPr>
          <w:rFonts w:ascii="Arial Narrow" w:eastAsia="Calibri" w:hAnsi="Arial Narrow"/>
          <w:color w:val="000000" w:themeColor="text1"/>
        </w:rPr>
        <w:t>La Compensación de efectivo de la Cámara con los Miembros en el Segmento Swaps inicialmente será bilateral neta a nivel de titular de Cuenta y una vez establecidas las obligaciones o derechos de entrega o recibo de fondos de las mismas, se llevará a cabo un proceso de Compensación multilateral neto dentro de la estructura de Cuentas del Miembro Liquidador para determinar su obligación o derecho de entrega o de recibo de fondos frente a la Cámara.</w:t>
      </w:r>
    </w:p>
    <w:p w14:paraId="01428CA0" w14:textId="77777777" w:rsidR="007968EC" w:rsidRPr="005F10B9" w:rsidRDefault="007968EC" w:rsidP="007968EC">
      <w:pPr>
        <w:jc w:val="center"/>
        <w:outlineLvl w:val="1"/>
        <w:rPr>
          <w:rFonts w:ascii="Arial Narrow" w:eastAsia="Calibri" w:hAnsi="Arial Narrow"/>
          <w:color w:val="000000" w:themeColor="text1"/>
        </w:rPr>
      </w:pPr>
    </w:p>
    <w:p w14:paraId="711976A4" w14:textId="77777777" w:rsidR="007968EC" w:rsidRPr="005F10B9" w:rsidRDefault="007968EC" w:rsidP="007968EC">
      <w:pPr>
        <w:jc w:val="center"/>
        <w:outlineLvl w:val="1"/>
        <w:rPr>
          <w:rFonts w:ascii="Arial Narrow" w:eastAsia="Calibri" w:hAnsi="Arial Narrow"/>
          <w:color w:val="000000" w:themeColor="text1"/>
        </w:rPr>
      </w:pPr>
    </w:p>
    <w:p w14:paraId="78E96B56" w14:textId="77777777" w:rsidR="007968EC" w:rsidRPr="005F10B9" w:rsidRDefault="007968EC" w:rsidP="007968EC">
      <w:pPr>
        <w:pStyle w:val="TTULO"/>
        <w:rPr>
          <w:rFonts w:eastAsia="Calibri"/>
        </w:rPr>
      </w:pPr>
      <w:bookmarkStart w:id="6344" w:name="_Toc493253203"/>
      <w:bookmarkStart w:id="6345" w:name="_Toc31716492"/>
      <w:r w:rsidRPr="005F10B9">
        <w:rPr>
          <w:rFonts w:eastAsia="Calibri"/>
        </w:rPr>
        <w:lastRenderedPageBreak/>
        <w:t>CAPITULO SEGUNDO</w:t>
      </w:r>
      <w:bookmarkEnd w:id="6344"/>
      <w:bookmarkEnd w:id="6345"/>
    </w:p>
    <w:p w14:paraId="2DC7AE11" w14:textId="77777777" w:rsidR="007968EC" w:rsidRPr="005F10B9" w:rsidRDefault="007968EC" w:rsidP="007968EC">
      <w:pPr>
        <w:pStyle w:val="TTULO"/>
        <w:rPr>
          <w:rFonts w:eastAsia="Calibri"/>
        </w:rPr>
      </w:pPr>
    </w:p>
    <w:p w14:paraId="606D8456" w14:textId="77777777" w:rsidR="007968EC" w:rsidRPr="005F10B9" w:rsidRDefault="007968EC" w:rsidP="007968EC">
      <w:pPr>
        <w:pStyle w:val="TTULO"/>
        <w:rPr>
          <w:rFonts w:eastAsia="Calibri"/>
        </w:rPr>
      </w:pPr>
      <w:bookmarkStart w:id="6346" w:name="_Toc493253204"/>
      <w:bookmarkStart w:id="6347" w:name="_Toc31716493"/>
      <w:r w:rsidRPr="005F10B9">
        <w:rPr>
          <w:rFonts w:eastAsia="Calibri"/>
        </w:rPr>
        <w:t xml:space="preserve">TIPO DE LIQUIDACIÓN DE OPERACIONES </w:t>
      </w:r>
      <w:bookmarkEnd w:id="6346"/>
      <w:r w:rsidRPr="005F10B9">
        <w:rPr>
          <w:rFonts w:eastAsia="Calibri"/>
        </w:rPr>
        <w:t>SWAPS</w:t>
      </w:r>
      <w:bookmarkEnd w:id="6347"/>
    </w:p>
    <w:p w14:paraId="647ABFFD" w14:textId="77777777" w:rsidR="007968EC" w:rsidRPr="005F10B9" w:rsidRDefault="007968EC" w:rsidP="007968EC">
      <w:pPr>
        <w:jc w:val="both"/>
        <w:rPr>
          <w:rFonts w:ascii="Arial Narrow" w:eastAsia="Calibri" w:hAnsi="Arial Narrow"/>
          <w:b/>
          <w:color w:val="000000" w:themeColor="text1"/>
          <w:u w:val="single"/>
        </w:rPr>
      </w:pPr>
    </w:p>
    <w:p w14:paraId="54244A90" w14:textId="77777777" w:rsidR="007968EC" w:rsidRPr="005F10B9" w:rsidRDefault="007968EC" w:rsidP="007968EC">
      <w:pPr>
        <w:pStyle w:val="ARTICULO0"/>
        <w:rPr>
          <w:rFonts w:eastAsia="Calibri"/>
        </w:rPr>
      </w:pPr>
      <w:bookmarkStart w:id="6348" w:name="_Toc493253205"/>
      <w:bookmarkStart w:id="6349" w:name="_Toc31716494"/>
      <w:r w:rsidRPr="005F10B9">
        <w:t>Artículo 5.4.2.1. Tipo de Liquidación en Operaciones Swaps</w:t>
      </w:r>
      <w:bookmarkEnd w:id="6348"/>
      <w:r w:rsidRPr="005F10B9">
        <w:t>.</w:t>
      </w:r>
      <w:bookmarkEnd w:id="6349"/>
    </w:p>
    <w:p w14:paraId="0F4D679B" w14:textId="77777777" w:rsidR="007968EC" w:rsidRPr="005F10B9" w:rsidRDefault="007968EC" w:rsidP="007968EC">
      <w:pPr>
        <w:autoSpaceDE w:val="0"/>
        <w:autoSpaceDN w:val="0"/>
        <w:jc w:val="both"/>
        <w:rPr>
          <w:rFonts w:ascii="Arial Narrow" w:hAnsi="Arial Narrow" w:cs="Arial"/>
          <w:b/>
          <w:bCs/>
          <w:color w:val="000000" w:themeColor="text1"/>
          <w:lang w:eastAsia="es-ES"/>
        </w:rPr>
      </w:pPr>
    </w:p>
    <w:p w14:paraId="278C715D" w14:textId="77777777" w:rsidR="007968EC" w:rsidRPr="005F10B9" w:rsidRDefault="007968EC" w:rsidP="007968EC">
      <w:pPr>
        <w:contextualSpacing/>
        <w:jc w:val="both"/>
        <w:rPr>
          <w:rFonts w:ascii="Arial Narrow" w:hAnsi="Arial Narrow"/>
        </w:rPr>
      </w:pPr>
      <w:r w:rsidRPr="005F10B9">
        <w:rPr>
          <w:rFonts w:ascii="Arial Narrow" w:eastAsia="Calibri" w:hAnsi="Arial Narrow"/>
          <w:color w:val="000000" w:themeColor="text1"/>
        </w:rPr>
        <w:t xml:space="preserve">Sin perjuicio de la Liquidación de cualquier concepto asociado a la Operación Swap, las Operaciones Aceptadas por la Cámara correspondientes a Operaciones </w:t>
      </w:r>
      <w:r w:rsidRPr="005F10B9">
        <w:rPr>
          <w:rFonts w:ascii="Arial Narrow" w:hAnsi="Arial Narrow" w:cs="Arial"/>
          <w:color w:val="000000" w:themeColor="text1"/>
          <w:lang w:eastAsia="es-ES"/>
        </w:rPr>
        <w:t>Swaps</w:t>
      </w:r>
      <w:r w:rsidRPr="005F10B9">
        <w:rPr>
          <w:rFonts w:ascii="Arial Narrow" w:eastAsia="Calibri" w:hAnsi="Arial Narrow"/>
          <w:color w:val="000000" w:themeColor="text1"/>
        </w:rPr>
        <w:t xml:space="preserve"> serán Liquidadas únicamente mediante Liquidación al Vencimiento</w:t>
      </w:r>
      <w:r w:rsidRPr="005F10B9">
        <w:rPr>
          <w:rFonts w:ascii="Arial Narrow" w:hAnsi="Arial Narrow"/>
        </w:rPr>
        <w:t xml:space="preserve"> con Liquidación por Diferencias y se atenderá tal procedimiento de conformidad con lo dispuesto en el artículo 2.6.11. del Reglamento de la Cámara.</w:t>
      </w:r>
    </w:p>
    <w:p w14:paraId="51E5BE46" w14:textId="77777777" w:rsidR="007968EC" w:rsidRPr="005F10B9" w:rsidRDefault="007968EC" w:rsidP="007968EC">
      <w:pPr>
        <w:contextualSpacing/>
        <w:jc w:val="both"/>
        <w:rPr>
          <w:rFonts w:ascii="Arial Narrow" w:hAnsi="Arial Narrow" w:cs="Arial"/>
          <w:color w:val="000000" w:themeColor="text1"/>
          <w:lang w:eastAsia="es-ES"/>
        </w:rPr>
      </w:pPr>
    </w:p>
    <w:p w14:paraId="75C153D3" w14:textId="77777777" w:rsidR="007968EC" w:rsidRPr="005F10B9" w:rsidRDefault="007968EC" w:rsidP="007968EC">
      <w:pPr>
        <w:contextualSpacing/>
        <w:jc w:val="both"/>
        <w:rPr>
          <w:rFonts w:ascii="Arial Narrow" w:hAnsi="Arial Narrow" w:cs="Arial"/>
          <w:color w:val="000000" w:themeColor="text1"/>
          <w:lang w:eastAsia="es-ES"/>
        </w:rPr>
      </w:pPr>
    </w:p>
    <w:p w14:paraId="14B9C209" w14:textId="77777777" w:rsidR="007968EC" w:rsidRPr="005F10B9" w:rsidRDefault="007968EC" w:rsidP="007968EC">
      <w:pPr>
        <w:pStyle w:val="TTULO"/>
        <w:rPr>
          <w:rFonts w:eastAsia="Calibri"/>
        </w:rPr>
      </w:pPr>
      <w:bookmarkStart w:id="6350" w:name="_Toc493253209"/>
      <w:bookmarkStart w:id="6351" w:name="_Toc31716495"/>
      <w:r w:rsidRPr="005F10B9">
        <w:rPr>
          <w:rFonts w:eastAsia="Calibri"/>
        </w:rPr>
        <w:t>CAPÍTULO TERCERO</w:t>
      </w:r>
      <w:bookmarkEnd w:id="6350"/>
      <w:bookmarkEnd w:id="6351"/>
    </w:p>
    <w:p w14:paraId="35559AD4" w14:textId="77777777" w:rsidR="007968EC" w:rsidRPr="005F10B9" w:rsidRDefault="007968EC" w:rsidP="007968EC">
      <w:pPr>
        <w:pStyle w:val="TTULO"/>
        <w:rPr>
          <w:rFonts w:eastAsia="Calibri"/>
        </w:rPr>
      </w:pPr>
    </w:p>
    <w:p w14:paraId="30217C67" w14:textId="77777777" w:rsidR="007968EC" w:rsidRPr="005F10B9" w:rsidRDefault="007968EC" w:rsidP="007968EC">
      <w:pPr>
        <w:pStyle w:val="TTULO"/>
        <w:rPr>
          <w:rFonts w:eastAsia="Calibri"/>
        </w:rPr>
      </w:pPr>
      <w:bookmarkStart w:id="6352" w:name="_Toc493253252"/>
      <w:bookmarkStart w:id="6353" w:name="_Toc31716496"/>
      <w:r w:rsidRPr="005F10B9">
        <w:rPr>
          <w:rFonts w:eastAsia="Calibri"/>
        </w:rPr>
        <w:t xml:space="preserve">LIQUIDACIÓN AL VENCIMIENTO DE LAS OPERACIONES </w:t>
      </w:r>
      <w:bookmarkEnd w:id="6352"/>
      <w:r w:rsidRPr="005F10B9">
        <w:rPr>
          <w:rFonts w:eastAsia="Calibri"/>
        </w:rPr>
        <w:t>SWAPS</w:t>
      </w:r>
      <w:bookmarkEnd w:id="6353"/>
    </w:p>
    <w:p w14:paraId="0FAE368A" w14:textId="77777777" w:rsidR="007968EC" w:rsidRPr="005F10B9" w:rsidRDefault="007968EC" w:rsidP="007968EC">
      <w:pPr>
        <w:jc w:val="center"/>
        <w:outlineLvl w:val="1"/>
        <w:rPr>
          <w:rFonts w:ascii="Arial Narrow" w:eastAsia="Calibri" w:hAnsi="Arial Narrow" w:cs="Arial"/>
          <w:b/>
          <w:lang w:eastAsia="es-ES"/>
        </w:rPr>
      </w:pPr>
    </w:p>
    <w:p w14:paraId="296F0BAC" w14:textId="77777777" w:rsidR="007968EC" w:rsidRPr="005F10B9" w:rsidRDefault="007968EC" w:rsidP="007968EC">
      <w:pPr>
        <w:pStyle w:val="ARTICULO0"/>
      </w:pPr>
      <w:bookmarkStart w:id="6354" w:name="_Toc31716497"/>
      <w:r w:rsidRPr="005F10B9">
        <w:t>Artículo 5.4.3.1. Liquidación al Vencimiento de Operaciones Swaps con Liquidación por Diferencias provenientes de sistemas de negociación y/o registro o Mecanismo de Contratación.</w:t>
      </w:r>
      <w:bookmarkEnd w:id="6354"/>
      <w:r w:rsidRPr="005F10B9">
        <w:t xml:space="preserve"> </w:t>
      </w:r>
    </w:p>
    <w:p w14:paraId="241FA086" w14:textId="77777777" w:rsidR="007968EC" w:rsidRPr="005F10B9" w:rsidRDefault="007968EC" w:rsidP="007968EC">
      <w:pPr>
        <w:keepNext/>
        <w:autoSpaceDE w:val="0"/>
        <w:autoSpaceDN w:val="0"/>
        <w:contextualSpacing/>
        <w:jc w:val="both"/>
        <w:rPr>
          <w:rFonts w:ascii="Arial Narrow" w:hAnsi="Arial Narrow"/>
        </w:rPr>
      </w:pPr>
    </w:p>
    <w:p w14:paraId="6C5E02C1" w14:textId="77777777" w:rsidR="007968EC" w:rsidRPr="000C31A5" w:rsidRDefault="007968EC" w:rsidP="007968EC">
      <w:pPr>
        <w:pStyle w:val="ARTICULO0"/>
        <w:rPr>
          <w:u w:val="none"/>
        </w:rPr>
      </w:pPr>
      <w:bookmarkStart w:id="6355" w:name="_Toc31716498"/>
      <w:r>
        <w:rPr>
          <w:u w:val="none"/>
        </w:rPr>
        <w:t xml:space="preserve">(Este artículo fue modificado </w:t>
      </w:r>
      <w:r w:rsidRPr="000C31A5">
        <w:rPr>
          <w:u w:val="none"/>
        </w:rPr>
        <w:t>mediante Circular 19 del 22 de noviembre de 2019, publicada en el Boletín Normativo No. 034 del 22 de noviembre de 2019. Rige a partir del 25 de noviembre de 2019).</w:t>
      </w:r>
      <w:bookmarkEnd w:id="6355"/>
    </w:p>
    <w:p w14:paraId="6D9C8A4A" w14:textId="77777777" w:rsidR="007968EC" w:rsidRDefault="007968EC" w:rsidP="007968EC">
      <w:pPr>
        <w:keepNext/>
        <w:autoSpaceDE w:val="0"/>
        <w:autoSpaceDN w:val="0"/>
        <w:contextualSpacing/>
        <w:jc w:val="both"/>
        <w:rPr>
          <w:rFonts w:ascii="Arial Narrow" w:hAnsi="Arial Narrow"/>
        </w:rPr>
      </w:pPr>
    </w:p>
    <w:p w14:paraId="2972338B" w14:textId="77777777" w:rsidR="007968EC" w:rsidRPr="005F10B9" w:rsidRDefault="007968EC" w:rsidP="007968EC">
      <w:pPr>
        <w:keepNext/>
        <w:autoSpaceDE w:val="0"/>
        <w:autoSpaceDN w:val="0"/>
        <w:contextualSpacing/>
        <w:jc w:val="both"/>
        <w:rPr>
          <w:rFonts w:ascii="Arial Narrow" w:hAnsi="Arial Narrow"/>
        </w:rPr>
      </w:pPr>
      <w:r w:rsidRPr="005F10B9">
        <w:rPr>
          <w:rFonts w:ascii="Arial Narrow" w:hAnsi="Arial Narrow"/>
        </w:rPr>
        <w:t>Al vencimiento de las Operaciones Swaps con Liquidación únicamente al Vencimiento con Liquidación por Diferencias, la Cámara atenderá el siguiente procedimiento:</w:t>
      </w:r>
    </w:p>
    <w:p w14:paraId="1D301C50" w14:textId="77777777" w:rsidR="007968EC" w:rsidRPr="005F10B9" w:rsidRDefault="007968EC" w:rsidP="007968EC">
      <w:pPr>
        <w:keepNext/>
        <w:autoSpaceDE w:val="0"/>
        <w:autoSpaceDN w:val="0"/>
        <w:contextualSpacing/>
        <w:jc w:val="both"/>
        <w:rPr>
          <w:rFonts w:ascii="Arial Narrow" w:hAnsi="Arial Narrow"/>
        </w:rPr>
      </w:pPr>
    </w:p>
    <w:p w14:paraId="59BAE11C" w14:textId="77777777" w:rsidR="007968EC" w:rsidRPr="005F10B9" w:rsidRDefault="007968EC" w:rsidP="00DA7472">
      <w:pPr>
        <w:keepNext/>
        <w:numPr>
          <w:ilvl w:val="0"/>
          <w:numId w:val="356"/>
        </w:numPr>
        <w:autoSpaceDE w:val="0"/>
        <w:autoSpaceDN w:val="0"/>
        <w:ind w:left="426"/>
        <w:contextualSpacing/>
        <w:jc w:val="both"/>
        <w:rPr>
          <w:rFonts w:ascii="Arial Narrow" w:hAnsi="Arial Narrow"/>
        </w:rPr>
      </w:pPr>
      <w:r w:rsidRPr="005F10B9">
        <w:rPr>
          <w:rFonts w:ascii="Arial Narrow" w:hAnsi="Arial Narrow"/>
        </w:rPr>
        <w:t>La Cámara obtendrá la</w:t>
      </w:r>
      <w:r>
        <w:rPr>
          <w:rFonts w:ascii="Arial Narrow" w:hAnsi="Arial Narrow"/>
        </w:rPr>
        <w:t>s</w:t>
      </w:r>
      <w:r w:rsidRPr="005F10B9">
        <w:rPr>
          <w:rFonts w:ascii="Arial Narrow" w:hAnsi="Arial Narrow"/>
        </w:rPr>
        <w:t xml:space="preserve"> Curva</w:t>
      </w:r>
      <w:r>
        <w:rPr>
          <w:rFonts w:ascii="Arial Narrow" w:hAnsi="Arial Narrow"/>
        </w:rPr>
        <w:t>s</w:t>
      </w:r>
      <w:r w:rsidRPr="005F10B9">
        <w:rPr>
          <w:rFonts w:ascii="Arial Narrow" w:hAnsi="Arial Narrow"/>
        </w:rPr>
        <w:t xml:space="preserve"> Cero Cupón de Cierre del Proveedor Oficial de Precios para Valoración</w:t>
      </w:r>
      <w:r>
        <w:rPr>
          <w:rFonts w:ascii="Arial Narrow" w:hAnsi="Arial Narrow"/>
        </w:rPr>
        <w:t xml:space="preserve">, y las tasas de interés como Libor e IBR, </w:t>
      </w:r>
      <w:proofErr w:type="gramStart"/>
      <w:r>
        <w:rPr>
          <w:rFonts w:ascii="Arial Narrow" w:hAnsi="Arial Narrow"/>
        </w:rPr>
        <w:t>y  la</w:t>
      </w:r>
      <w:proofErr w:type="gramEnd"/>
      <w:r>
        <w:rPr>
          <w:rFonts w:ascii="Arial Narrow" w:hAnsi="Arial Narrow"/>
        </w:rPr>
        <w:t xml:space="preserve"> Tasa de cambio Representativa del Mercado se obtendrán de las fuentes oficiales correspondientes</w:t>
      </w:r>
      <w:r w:rsidRPr="005F10B9">
        <w:rPr>
          <w:rFonts w:ascii="Arial Narrow" w:hAnsi="Arial Narrow"/>
        </w:rPr>
        <w:t xml:space="preserve">. </w:t>
      </w:r>
    </w:p>
    <w:p w14:paraId="715AC3EA" w14:textId="77777777" w:rsidR="007968EC" w:rsidRPr="005F10B9" w:rsidRDefault="007968EC" w:rsidP="007968EC">
      <w:pPr>
        <w:keepNext/>
        <w:autoSpaceDE w:val="0"/>
        <w:autoSpaceDN w:val="0"/>
        <w:contextualSpacing/>
        <w:jc w:val="both"/>
        <w:rPr>
          <w:rFonts w:ascii="Arial Narrow" w:hAnsi="Arial Narrow"/>
        </w:rPr>
      </w:pPr>
    </w:p>
    <w:p w14:paraId="421AD28E" w14:textId="77777777" w:rsidR="007968EC" w:rsidRPr="005F10B9" w:rsidRDefault="007968EC" w:rsidP="00DA7472">
      <w:pPr>
        <w:keepNext/>
        <w:numPr>
          <w:ilvl w:val="0"/>
          <w:numId w:val="356"/>
        </w:numPr>
        <w:autoSpaceDE w:val="0"/>
        <w:autoSpaceDN w:val="0"/>
        <w:ind w:left="426"/>
        <w:contextualSpacing/>
        <w:jc w:val="both"/>
        <w:rPr>
          <w:rFonts w:ascii="Arial Narrow" w:hAnsi="Arial Narrow"/>
        </w:rPr>
      </w:pPr>
      <w:r w:rsidRPr="005F10B9">
        <w:rPr>
          <w:rFonts w:ascii="Arial Narrow" w:hAnsi="Arial Narrow"/>
        </w:rPr>
        <w:t>Con base en la información obtenida, realizará la Liquidación por Diferencias, de conformidad con el procedimiento establecido en los artículos 5.4.3.2. al 5.4.3.3. de la presente Circular para todos los Swaps cuyo Tipo de Liquidación incluya la Liquidación únicamente al Vencimiento con Liquidación por Diferencias.</w:t>
      </w:r>
    </w:p>
    <w:p w14:paraId="1A0C76D1" w14:textId="77777777" w:rsidR="007968EC" w:rsidRPr="005F10B9" w:rsidRDefault="007968EC" w:rsidP="007968EC">
      <w:pPr>
        <w:keepNext/>
        <w:autoSpaceDE w:val="0"/>
        <w:autoSpaceDN w:val="0"/>
        <w:contextualSpacing/>
        <w:jc w:val="both"/>
        <w:rPr>
          <w:rFonts w:ascii="Arial Narrow" w:eastAsia="Calibri" w:hAnsi="Arial Narrow"/>
          <w:b/>
          <w:color w:val="000000" w:themeColor="text1"/>
        </w:rPr>
      </w:pPr>
    </w:p>
    <w:p w14:paraId="6B36F29C" w14:textId="77777777" w:rsidR="007968EC" w:rsidRPr="005F10B9" w:rsidRDefault="007968EC" w:rsidP="007968EC">
      <w:pPr>
        <w:pStyle w:val="ARTICULO0"/>
      </w:pPr>
      <w:bookmarkStart w:id="6356" w:name="_Toc493253254"/>
      <w:bookmarkStart w:id="6357" w:name="_Toc31716499"/>
      <w:r w:rsidRPr="005F10B9">
        <w:t>Artículo 5.4.3.2. Conceptos incluidos en la Liquidación al Vencimiento con Liquidación por Diferencias de Operaciones Swaps provenientes de sistemas de negociación y/o registro o Mecanismo de Contratación.</w:t>
      </w:r>
      <w:bookmarkEnd w:id="6356"/>
      <w:bookmarkEnd w:id="6357"/>
    </w:p>
    <w:p w14:paraId="36063DD6" w14:textId="77777777" w:rsidR="007968EC" w:rsidRPr="005F10B9" w:rsidRDefault="007968EC" w:rsidP="007968EC">
      <w:pPr>
        <w:jc w:val="both"/>
        <w:rPr>
          <w:rFonts w:ascii="Arial Narrow" w:eastAsia="Calibri" w:hAnsi="Arial Narrow"/>
          <w:b/>
          <w:color w:val="000000" w:themeColor="text1"/>
        </w:rPr>
      </w:pPr>
    </w:p>
    <w:p w14:paraId="287F1BA0" w14:textId="77777777" w:rsidR="007968EC" w:rsidRPr="000508BE" w:rsidRDefault="007968EC" w:rsidP="007968EC">
      <w:pPr>
        <w:pStyle w:val="ARTICULO0"/>
        <w:rPr>
          <w:u w:val="none"/>
        </w:rPr>
      </w:pPr>
      <w:bookmarkStart w:id="6358" w:name="_Toc31716500"/>
      <w:r>
        <w:rPr>
          <w:u w:val="none"/>
        </w:rPr>
        <w:t>(Este artículo fue modificado mediante</w:t>
      </w:r>
      <w:r w:rsidRPr="000C31A5">
        <w:rPr>
          <w:u w:val="none"/>
        </w:rPr>
        <w:t xml:space="preserve"> Circular 19 del 22 de noviembre de 2019, publicada en el Boletín Normativo No. 034 del 22 de noviembre de 2019. Rige a partir del 25 de noviembre de 2019).</w:t>
      </w:r>
      <w:bookmarkEnd w:id="6358"/>
    </w:p>
    <w:p w14:paraId="2F539DA5" w14:textId="77777777" w:rsidR="007968EC" w:rsidRDefault="007968EC" w:rsidP="007968EC">
      <w:pPr>
        <w:jc w:val="both"/>
        <w:rPr>
          <w:rFonts w:ascii="Arial Narrow" w:eastAsia="Calibri" w:hAnsi="Arial Narrow"/>
          <w:bCs/>
          <w:color w:val="000000" w:themeColor="text1"/>
          <w:lang w:val="es-ES" w:eastAsia="es-ES"/>
        </w:rPr>
      </w:pPr>
    </w:p>
    <w:p w14:paraId="35D39896" w14:textId="77777777" w:rsidR="007968EC" w:rsidRPr="005F10B9" w:rsidRDefault="007968EC" w:rsidP="007968EC">
      <w:pPr>
        <w:jc w:val="both"/>
        <w:rPr>
          <w:rFonts w:ascii="Arial Narrow" w:eastAsia="Calibri" w:hAnsi="Arial Narrow"/>
          <w:bCs/>
          <w:color w:val="000000" w:themeColor="text1"/>
          <w:lang w:val="es-ES" w:eastAsia="es-ES"/>
        </w:rPr>
      </w:pPr>
      <w:r w:rsidRPr="005F10B9">
        <w:rPr>
          <w:rFonts w:ascii="Arial Narrow" w:eastAsia="Calibri" w:hAnsi="Arial Narrow"/>
          <w:bCs/>
          <w:color w:val="000000" w:themeColor="text1"/>
          <w:lang w:val="es-ES" w:eastAsia="es-ES"/>
        </w:rPr>
        <w:lastRenderedPageBreak/>
        <w:t>En la Sesión de Liquidación al Vencimiento las Operaciones Swaps Aceptadas serán cumplidas con Liquidación por Diferencias, para lo cual los Miembros entregarán o recibirán, según corresponda, los fondos por los siguientes conceptos:</w:t>
      </w:r>
    </w:p>
    <w:p w14:paraId="11917D93" w14:textId="77777777" w:rsidR="007968EC" w:rsidRPr="005F10B9" w:rsidRDefault="007968EC" w:rsidP="007968EC">
      <w:pPr>
        <w:jc w:val="both"/>
        <w:rPr>
          <w:rFonts w:ascii="Arial Narrow" w:eastAsia="Calibri" w:hAnsi="Arial Narrow"/>
          <w:b/>
          <w:color w:val="000000" w:themeColor="text1"/>
        </w:rPr>
      </w:pPr>
    </w:p>
    <w:p w14:paraId="158B2408" w14:textId="77777777" w:rsidR="007968EC" w:rsidRPr="005F10B9" w:rsidRDefault="007968EC" w:rsidP="00DA7472">
      <w:pPr>
        <w:numPr>
          <w:ilvl w:val="0"/>
          <w:numId w:val="329"/>
        </w:numPr>
        <w:autoSpaceDE w:val="0"/>
        <w:autoSpaceDN w:val="0"/>
        <w:adjustRightInd w:val="0"/>
        <w:ind w:left="457" w:hanging="426"/>
        <w:contextualSpacing/>
        <w:jc w:val="both"/>
        <w:rPr>
          <w:rFonts w:ascii="Arial Narrow" w:eastAsia="Calibri" w:hAnsi="Arial Narrow"/>
          <w:b/>
          <w:bCs/>
          <w:color w:val="000000" w:themeColor="text1"/>
          <w:u w:val="single"/>
          <w:lang w:eastAsia="es-CO"/>
        </w:rPr>
      </w:pPr>
      <w:bookmarkStart w:id="6359" w:name="_Hlk14885031"/>
      <w:r w:rsidRPr="005F10B9">
        <w:rPr>
          <w:rFonts w:ascii="Arial Narrow" w:eastAsia="Calibri" w:hAnsi="Arial Narrow"/>
          <w:color w:val="000000" w:themeColor="text1"/>
          <w:u w:val="single"/>
          <w:lang w:eastAsia="es-CO"/>
        </w:rPr>
        <w:t xml:space="preserve">Liquidación al Vencimiento de las Operaciones Swaps: </w:t>
      </w:r>
      <w:r w:rsidRPr="005F10B9">
        <w:rPr>
          <w:rFonts w:ascii="Arial Narrow" w:eastAsia="Calibri" w:hAnsi="Arial Narrow"/>
          <w:bCs/>
          <w:color w:val="000000" w:themeColor="text1"/>
        </w:rPr>
        <w:t xml:space="preserve">Para la Liquidación al Vencimiento de Operaciones Swaps cuyo Tipo de Liquidación sea únicamente al Vencimiento, la Cámara tomará las Posiciones Abiertas resultantes de las Operaciones Swaps de las Cuentas de Registro de la Cuenta Propia del Miembro Liquidador, de las Cuentas de Registro de la Cuenta Propia del Miembro No Liquidador y calculará el Valor Presente Neto de acuerdo con lo establecido en </w:t>
      </w:r>
      <w:proofErr w:type="gramStart"/>
      <w:r>
        <w:rPr>
          <w:rFonts w:ascii="Arial Narrow" w:eastAsia="Calibri" w:hAnsi="Arial Narrow"/>
          <w:bCs/>
          <w:color w:val="000000" w:themeColor="text1"/>
        </w:rPr>
        <w:t xml:space="preserve">los </w:t>
      </w:r>
      <w:r w:rsidRPr="005F10B9">
        <w:rPr>
          <w:rFonts w:ascii="Arial Narrow" w:eastAsia="Calibri" w:hAnsi="Arial Narrow"/>
          <w:bCs/>
          <w:color w:val="000000" w:themeColor="text1"/>
        </w:rPr>
        <w:t xml:space="preserve"> artículo</w:t>
      </w:r>
      <w:r>
        <w:rPr>
          <w:rFonts w:ascii="Arial Narrow" w:eastAsia="Calibri" w:hAnsi="Arial Narrow"/>
          <w:bCs/>
          <w:color w:val="000000" w:themeColor="text1"/>
        </w:rPr>
        <w:t>s</w:t>
      </w:r>
      <w:proofErr w:type="gramEnd"/>
      <w:r w:rsidRPr="005F10B9">
        <w:rPr>
          <w:rFonts w:ascii="Arial Narrow" w:eastAsia="Calibri" w:hAnsi="Arial Narrow"/>
          <w:bCs/>
          <w:color w:val="000000" w:themeColor="text1"/>
        </w:rPr>
        <w:t xml:space="preserve"> 5.5.3.</w:t>
      </w:r>
      <w:r>
        <w:rPr>
          <w:rFonts w:ascii="Arial Narrow" w:eastAsia="Calibri" w:hAnsi="Arial Narrow"/>
          <w:bCs/>
          <w:color w:val="000000" w:themeColor="text1"/>
        </w:rPr>
        <w:t>2</w:t>
      </w:r>
      <w:r w:rsidRPr="005F10B9">
        <w:rPr>
          <w:rFonts w:ascii="Arial Narrow" w:eastAsia="Calibri" w:hAnsi="Arial Narrow"/>
          <w:bCs/>
          <w:color w:val="000000" w:themeColor="text1"/>
        </w:rPr>
        <w:t>. 5.5.3.</w:t>
      </w:r>
      <w:r>
        <w:rPr>
          <w:rFonts w:ascii="Arial Narrow" w:eastAsia="Calibri" w:hAnsi="Arial Narrow"/>
          <w:bCs/>
          <w:color w:val="000000" w:themeColor="text1"/>
        </w:rPr>
        <w:t xml:space="preserve">3 y </w:t>
      </w:r>
      <w:r w:rsidRPr="005F10B9">
        <w:rPr>
          <w:rFonts w:ascii="Arial Narrow" w:eastAsia="Calibri" w:hAnsi="Arial Narrow"/>
          <w:bCs/>
          <w:color w:val="000000" w:themeColor="text1"/>
        </w:rPr>
        <w:t>5.5.3.</w:t>
      </w:r>
      <w:r>
        <w:rPr>
          <w:rFonts w:ascii="Arial Narrow" w:eastAsia="Calibri" w:hAnsi="Arial Narrow"/>
          <w:bCs/>
          <w:color w:val="000000" w:themeColor="text1"/>
        </w:rPr>
        <w:t xml:space="preserve">4 </w:t>
      </w:r>
      <w:r w:rsidRPr="005F10B9">
        <w:rPr>
          <w:rFonts w:ascii="Arial Narrow" w:eastAsia="Calibri" w:hAnsi="Arial Narrow"/>
          <w:bCs/>
          <w:color w:val="000000" w:themeColor="text1"/>
        </w:rPr>
        <w:t>de la presente Circular</w:t>
      </w:r>
      <w:r w:rsidRPr="005F10B9">
        <w:rPr>
          <w:rFonts w:ascii="Arial Narrow" w:hAnsi="Arial Narrow"/>
        </w:rPr>
        <w:t xml:space="preserve"> y </w:t>
      </w:r>
      <w:r w:rsidRPr="005F10B9">
        <w:rPr>
          <w:rFonts w:ascii="Arial Narrow" w:eastAsia="Calibri" w:hAnsi="Arial Narrow"/>
          <w:bCs/>
          <w:color w:val="000000" w:themeColor="text1"/>
        </w:rPr>
        <w:t>entregará la información de la Liquidación por Diferencias del día, de acuerdo con el siguiente tratamiento:</w:t>
      </w:r>
    </w:p>
    <w:bookmarkEnd w:id="6359"/>
    <w:p w14:paraId="15F20028" w14:textId="77777777" w:rsidR="007968EC" w:rsidRPr="005F10B9" w:rsidRDefault="007968EC" w:rsidP="007968EC">
      <w:pPr>
        <w:autoSpaceDE w:val="0"/>
        <w:autoSpaceDN w:val="0"/>
        <w:adjustRightInd w:val="0"/>
        <w:ind w:left="426"/>
        <w:jc w:val="both"/>
        <w:rPr>
          <w:rFonts w:ascii="Arial Narrow" w:eastAsia="Calibri" w:hAnsi="Arial Narrow"/>
          <w:b/>
          <w:color w:val="000000" w:themeColor="text1"/>
          <w:u w:val="single"/>
          <w:lang w:eastAsia="es-CO"/>
        </w:rPr>
      </w:pPr>
    </w:p>
    <w:p w14:paraId="7FFCA950" w14:textId="77777777" w:rsidR="007968EC" w:rsidRPr="005F10B9" w:rsidRDefault="007968EC" w:rsidP="00DA7472">
      <w:pPr>
        <w:numPr>
          <w:ilvl w:val="0"/>
          <w:numId w:val="330"/>
        </w:numPr>
        <w:tabs>
          <w:tab w:val="left" w:pos="567"/>
          <w:tab w:val="left" w:pos="709"/>
        </w:tabs>
        <w:autoSpaceDE w:val="0"/>
        <w:autoSpaceDN w:val="0"/>
        <w:adjustRightInd w:val="0"/>
        <w:ind w:left="1068"/>
        <w:jc w:val="both"/>
        <w:rPr>
          <w:rFonts w:ascii="Arial Narrow" w:eastAsia="Calibri" w:hAnsi="Arial Narrow"/>
          <w:bCs/>
          <w:color w:val="000000" w:themeColor="text1"/>
        </w:rPr>
      </w:pPr>
      <w:r w:rsidRPr="005F10B9">
        <w:rPr>
          <w:rFonts w:ascii="Arial Narrow" w:eastAsia="Calibri" w:hAnsi="Arial Narrow"/>
          <w:color w:val="000000" w:themeColor="text1"/>
          <w:u w:val="single"/>
          <w:lang w:eastAsia="es-CO"/>
        </w:rPr>
        <w:t>Posición Abierta en Operaciones sobre Swaps d</w:t>
      </w:r>
      <w:r w:rsidRPr="005F10B9">
        <w:rPr>
          <w:rFonts w:ascii="Arial Narrow" w:eastAsia="Calibri" w:hAnsi="Arial Narrow"/>
          <w:bCs/>
          <w:color w:val="000000" w:themeColor="text1"/>
          <w:u w:val="single"/>
        </w:rPr>
        <w:t>e compra</w:t>
      </w:r>
      <w:r w:rsidRPr="005F10B9">
        <w:rPr>
          <w:rFonts w:ascii="Arial Narrow" w:eastAsia="Calibri" w:hAnsi="Arial Narrow"/>
          <w:bCs/>
          <w:color w:val="000000" w:themeColor="text1"/>
        </w:rPr>
        <w:t xml:space="preserve">: La Cámara calcula la diferencia entre el Valor Presente Neto de Cierre de la sesión y el Valor Presente Neto de Cierre de la sesión anterior. En el evento en que la diferencia sea positiva el titular de la Cuenta tendrá derecho a recibir el dinero efectivo, en caso contrario, deberá entregar a la Cámara dicho valor. </w:t>
      </w:r>
    </w:p>
    <w:p w14:paraId="1AF85767" w14:textId="77777777" w:rsidR="007968EC" w:rsidRPr="005F10B9" w:rsidRDefault="007968EC" w:rsidP="007968EC">
      <w:pPr>
        <w:tabs>
          <w:tab w:val="left" w:pos="567"/>
          <w:tab w:val="left" w:pos="709"/>
        </w:tabs>
        <w:autoSpaceDE w:val="0"/>
        <w:autoSpaceDN w:val="0"/>
        <w:adjustRightInd w:val="0"/>
        <w:ind w:left="1068"/>
        <w:jc w:val="both"/>
        <w:rPr>
          <w:rFonts w:ascii="Arial Narrow" w:eastAsia="Calibri" w:hAnsi="Arial Narrow"/>
          <w:bCs/>
          <w:color w:val="000000" w:themeColor="text1"/>
        </w:rPr>
      </w:pPr>
    </w:p>
    <w:p w14:paraId="443DCF47" w14:textId="77777777" w:rsidR="007968EC" w:rsidRPr="005F10B9" w:rsidRDefault="007968EC" w:rsidP="00DA7472">
      <w:pPr>
        <w:numPr>
          <w:ilvl w:val="0"/>
          <w:numId w:val="330"/>
        </w:numPr>
        <w:tabs>
          <w:tab w:val="left" w:pos="567"/>
          <w:tab w:val="left" w:pos="709"/>
        </w:tabs>
        <w:autoSpaceDE w:val="0"/>
        <w:autoSpaceDN w:val="0"/>
        <w:adjustRightInd w:val="0"/>
        <w:ind w:left="1068" w:hanging="426"/>
        <w:jc w:val="both"/>
        <w:rPr>
          <w:rFonts w:ascii="Arial Narrow" w:eastAsia="Calibri" w:hAnsi="Arial Narrow"/>
          <w:color w:val="000000" w:themeColor="text1"/>
        </w:rPr>
      </w:pPr>
      <w:r w:rsidRPr="005F10B9">
        <w:rPr>
          <w:rFonts w:ascii="Arial Narrow" w:eastAsia="Calibri" w:hAnsi="Arial Narrow"/>
          <w:bCs/>
          <w:color w:val="000000" w:themeColor="text1"/>
          <w:u w:val="single"/>
        </w:rPr>
        <w:t>Posición Abierta en Operaciones sobre Swaps de venta</w:t>
      </w:r>
      <w:r w:rsidRPr="005F10B9">
        <w:rPr>
          <w:rFonts w:ascii="Arial Narrow" w:eastAsia="Calibri" w:hAnsi="Arial Narrow"/>
          <w:bCs/>
          <w:color w:val="000000" w:themeColor="text1"/>
        </w:rPr>
        <w:t>: La Cámara calcula la diferencia entre el Valor Presente Neto de Cierre</w:t>
      </w:r>
      <w:r w:rsidRPr="005F10B9">
        <w:rPr>
          <w:rFonts w:ascii="Arial Narrow" w:eastAsia="Calibri" w:hAnsi="Arial Narrow"/>
          <w:b/>
          <w:bCs/>
          <w:color w:val="000000" w:themeColor="text1"/>
        </w:rPr>
        <w:t xml:space="preserve"> </w:t>
      </w:r>
      <w:r w:rsidRPr="005F10B9">
        <w:rPr>
          <w:rFonts w:ascii="Arial Narrow" w:eastAsia="Calibri" w:hAnsi="Arial Narrow"/>
          <w:color w:val="000000" w:themeColor="text1"/>
        </w:rPr>
        <w:t>de la sesión y el Valor Presente Neto de Cierre de la sesión anterior. En el evento en que la diferencia sea positiva el titular de la Cuenta tendrá derecho a recibir el dinero efectivo, en caso contrario, deberá entregar a la Cámara dicho valor.</w:t>
      </w:r>
    </w:p>
    <w:p w14:paraId="1245ADDD" w14:textId="77777777" w:rsidR="007968EC" w:rsidRPr="005F10B9" w:rsidRDefault="007968EC" w:rsidP="007968EC">
      <w:pPr>
        <w:tabs>
          <w:tab w:val="left" w:pos="567"/>
          <w:tab w:val="left" w:pos="709"/>
        </w:tabs>
        <w:autoSpaceDE w:val="0"/>
        <w:autoSpaceDN w:val="0"/>
        <w:adjustRightInd w:val="0"/>
        <w:jc w:val="both"/>
        <w:rPr>
          <w:rFonts w:ascii="Arial Narrow" w:eastAsia="Calibri" w:hAnsi="Arial Narrow"/>
          <w:color w:val="000000" w:themeColor="text1"/>
        </w:rPr>
      </w:pPr>
    </w:p>
    <w:p w14:paraId="162BAD50" w14:textId="77777777" w:rsidR="007968EC" w:rsidRPr="005F10B9" w:rsidRDefault="007968EC" w:rsidP="00DA7472">
      <w:pPr>
        <w:numPr>
          <w:ilvl w:val="0"/>
          <w:numId w:val="329"/>
        </w:numPr>
        <w:autoSpaceDE w:val="0"/>
        <w:autoSpaceDN w:val="0"/>
        <w:adjustRightInd w:val="0"/>
        <w:ind w:left="457" w:hanging="425"/>
        <w:contextualSpacing/>
        <w:jc w:val="both"/>
        <w:rPr>
          <w:rFonts w:ascii="Arial Narrow" w:eastAsia="Calibri" w:hAnsi="Arial Narrow"/>
          <w:bCs/>
          <w:color w:val="000000" w:themeColor="text1"/>
        </w:rPr>
      </w:pPr>
      <w:r w:rsidRPr="005F10B9">
        <w:rPr>
          <w:rFonts w:ascii="Arial Narrow" w:eastAsia="Calibri" w:hAnsi="Arial Narrow"/>
          <w:bCs/>
          <w:color w:val="000000" w:themeColor="text1"/>
          <w:u w:val="single"/>
        </w:rPr>
        <w:t>Remuneración de las Garantías</w:t>
      </w:r>
      <w:r w:rsidRPr="005F10B9">
        <w:rPr>
          <w:rFonts w:ascii="Arial Narrow" w:eastAsia="Calibri" w:hAnsi="Arial Narrow"/>
          <w:bCs/>
          <w:color w:val="000000" w:themeColor="text1"/>
        </w:rPr>
        <w:t>: La Cámara entregará la totalidad de la remuneración de las Garantías constituidas en efectivo de toda la estructura de cuentas del Miembro que haya autorizado su inversión, conforme con la metodología contenida en el numeral 2 del Artículo 1.6.4.14. de la presente Circu</w:t>
      </w:r>
      <w:r w:rsidRPr="005F10B9">
        <w:rPr>
          <w:rFonts w:ascii="Arial Narrow" w:eastAsia="Calibri" w:hAnsi="Arial Narrow" w:cs="Arial Narrow"/>
          <w:color w:val="000000" w:themeColor="text1"/>
          <w:lang w:eastAsia="es-CO"/>
        </w:rPr>
        <w:t>lar.</w:t>
      </w:r>
    </w:p>
    <w:p w14:paraId="24A4881E" w14:textId="77777777" w:rsidR="007968EC" w:rsidRPr="005F10B9" w:rsidRDefault="007968EC" w:rsidP="007968EC">
      <w:pPr>
        <w:autoSpaceDE w:val="0"/>
        <w:autoSpaceDN w:val="0"/>
        <w:adjustRightInd w:val="0"/>
        <w:ind w:left="457"/>
        <w:contextualSpacing/>
        <w:jc w:val="both"/>
        <w:rPr>
          <w:rFonts w:ascii="Arial Narrow" w:eastAsia="Calibri" w:hAnsi="Arial Narrow"/>
          <w:bCs/>
          <w:color w:val="000000" w:themeColor="text1"/>
        </w:rPr>
      </w:pPr>
    </w:p>
    <w:p w14:paraId="5706A743" w14:textId="77777777" w:rsidR="007968EC" w:rsidRDefault="007968EC" w:rsidP="00DA7472">
      <w:pPr>
        <w:numPr>
          <w:ilvl w:val="0"/>
          <w:numId w:val="329"/>
        </w:numPr>
        <w:autoSpaceDE w:val="0"/>
        <w:autoSpaceDN w:val="0"/>
        <w:adjustRightInd w:val="0"/>
        <w:ind w:left="457" w:hanging="425"/>
        <w:contextualSpacing/>
        <w:jc w:val="both"/>
        <w:rPr>
          <w:rFonts w:ascii="Arial Narrow" w:eastAsia="Calibri" w:hAnsi="Arial Narrow"/>
          <w:bCs/>
          <w:color w:val="000000" w:themeColor="text1"/>
        </w:rPr>
      </w:pPr>
      <w:r w:rsidRPr="005F10B9">
        <w:rPr>
          <w:rFonts w:ascii="Arial Narrow" w:eastAsia="Calibri" w:hAnsi="Arial Narrow"/>
          <w:bCs/>
          <w:color w:val="000000" w:themeColor="text1"/>
          <w:u w:val="single"/>
        </w:rPr>
        <w:t xml:space="preserve">Price </w:t>
      </w:r>
      <w:proofErr w:type="spellStart"/>
      <w:r w:rsidRPr="005F10B9">
        <w:rPr>
          <w:rFonts w:ascii="Arial Narrow" w:eastAsia="Calibri" w:hAnsi="Arial Narrow"/>
          <w:bCs/>
          <w:color w:val="000000" w:themeColor="text1"/>
          <w:u w:val="single"/>
        </w:rPr>
        <w:t>Alignment</w:t>
      </w:r>
      <w:proofErr w:type="spellEnd"/>
      <w:r w:rsidRPr="005F10B9">
        <w:rPr>
          <w:rFonts w:ascii="Arial Narrow" w:eastAsia="Calibri" w:hAnsi="Arial Narrow"/>
          <w:bCs/>
          <w:color w:val="000000" w:themeColor="text1"/>
          <w:u w:val="single"/>
        </w:rPr>
        <w:t xml:space="preserve"> (PA)</w:t>
      </w:r>
      <w:r w:rsidRPr="005F10B9">
        <w:rPr>
          <w:rFonts w:ascii="Arial Narrow" w:eastAsia="Calibri" w:hAnsi="Arial Narrow"/>
          <w:bCs/>
          <w:color w:val="000000" w:themeColor="text1"/>
        </w:rPr>
        <w:t xml:space="preserve">: El Sistema de Cámara calculará el Price </w:t>
      </w:r>
      <w:proofErr w:type="spellStart"/>
      <w:r w:rsidRPr="005F10B9">
        <w:rPr>
          <w:rFonts w:ascii="Arial Narrow" w:eastAsia="Calibri" w:hAnsi="Arial Narrow"/>
          <w:bCs/>
          <w:color w:val="000000" w:themeColor="text1"/>
        </w:rPr>
        <w:t>Alignment</w:t>
      </w:r>
      <w:proofErr w:type="spellEnd"/>
      <w:r w:rsidRPr="005F10B9">
        <w:rPr>
          <w:rFonts w:ascii="Arial Narrow" w:eastAsia="Calibri" w:hAnsi="Arial Narrow"/>
          <w:bCs/>
          <w:color w:val="000000" w:themeColor="text1"/>
        </w:rPr>
        <w:t>, por las Posiciones Abiertas de las Operaciones Aceptadas en la forma en que se establece en la presente Circular.</w:t>
      </w:r>
    </w:p>
    <w:p w14:paraId="354B904E" w14:textId="77777777" w:rsidR="007968EC" w:rsidRDefault="007968EC" w:rsidP="007968EC">
      <w:pPr>
        <w:pStyle w:val="Prrafodelista"/>
        <w:rPr>
          <w:rFonts w:ascii="Arial Narrow" w:eastAsia="Calibri" w:hAnsi="Arial Narrow"/>
          <w:bCs/>
          <w:color w:val="000000" w:themeColor="text1"/>
        </w:rPr>
      </w:pPr>
    </w:p>
    <w:p w14:paraId="2EEBC772" w14:textId="77777777" w:rsidR="007968EC" w:rsidRPr="00DF08D5" w:rsidRDefault="007968EC" w:rsidP="00DA7472">
      <w:pPr>
        <w:keepNext/>
        <w:numPr>
          <w:ilvl w:val="0"/>
          <w:numId w:val="329"/>
        </w:numPr>
        <w:autoSpaceDE w:val="0"/>
        <w:autoSpaceDN w:val="0"/>
        <w:adjustRightInd w:val="0"/>
        <w:ind w:hanging="502"/>
        <w:contextualSpacing/>
        <w:jc w:val="both"/>
        <w:rPr>
          <w:rFonts w:ascii="Arial Narrow" w:eastAsia="Calibri" w:hAnsi="Arial Narrow"/>
          <w:b/>
          <w:bCs/>
          <w:color w:val="000000" w:themeColor="text1"/>
          <w:lang w:eastAsia="es-CO"/>
        </w:rPr>
      </w:pPr>
      <w:r w:rsidRPr="005F10B9">
        <w:rPr>
          <w:rFonts w:ascii="Arial Narrow" w:eastAsia="Calibri" w:hAnsi="Arial Narrow"/>
          <w:color w:val="000000" w:themeColor="text1"/>
          <w:u w:val="single"/>
          <w:lang w:eastAsia="es-CO"/>
        </w:rPr>
        <w:t xml:space="preserve">Cupones: </w:t>
      </w:r>
      <w:r w:rsidRPr="005F10B9">
        <w:rPr>
          <w:rFonts w:ascii="Arial Narrow" w:eastAsia="Calibri" w:hAnsi="Arial Narrow"/>
          <w:bCs/>
          <w:color w:val="000000" w:themeColor="text1"/>
          <w:lang w:eastAsia="es-CO"/>
        </w:rPr>
        <w:t xml:space="preserve">La Cámara calculará y liquidará los Cupones de las Operaciones sobre Swaps, de acuerdo con el procedimiento de cálculo establecido en la presente Circular. </w:t>
      </w:r>
    </w:p>
    <w:p w14:paraId="264F225A" w14:textId="77777777" w:rsidR="007968EC" w:rsidRDefault="007968EC" w:rsidP="007968EC">
      <w:pPr>
        <w:pStyle w:val="Prrafodelista"/>
        <w:rPr>
          <w:rFonts w:ascii="Arial Narrow" w:eastAsia="Calibri" w:hAnsi="Arial Narrow"/>
          <w:bCs/>
          <w:color w:val="000000" w:themeColor="text1"/>
        </w:rPr>
      </w:pPr>
    </w:p>
    <w:p w14:paraId="44E5AA8A" w14:textId="77777777" w:rsidR="007968EC" w:rsidRPr="00AB6174" w:rsidRDefault="007968EC" w:rsidP="00DA7472">
      <w:pPr>
        <w:keepNext/>
        <w:numPr>
          <w:ilvl w:val="0"/>
          <w:numId w:val="329"/>
        </w:numPr>
        <w:autoSpaceDE w:val="0"/>
        <w:autoSpaceDN w:val="0"/>
        <w:adjustRightInd w:val="0"/>
        <w:ind w:hanging="502"/>
        <w:contextualSpacing/>
        <w:jc w:val="both"/>
        <w:rPr>
          <w:rFonts w:ascii="Arial Narrow" w:eastAsia="Calibri" w:hAnsi="Arial Narrow"/>
          <w:b/>
          <w:bCs/>
          <w:color w:val="000000" w:themeColor="text1"/>
          <w:lang w:eastAsia="es-CO"/>
        </w:rPr>
      </w:pPr>
      <w:r w:rsidRPr="00DF08D5">
        <w:rPr>
          <w:rFonts w:ascii="Arial Narrow" w:eastAsia="Calibri" w:hAnsi="Arial Narrow"/>
          <w:color w:val="000000" w:themeColor="text1"/>
          <w:u w:val="single"/>
          <w:lang w:eastAsia="es-CO"/>
        </w:rPr>
        <w:t>Intercambio de Nominal por Diferencias:</w:t>
      </w:r>
      <w:r w:rsidRPr="0097461C">
        <w:rPr>
          <w:rFonts w:ascii="Arial Narrow" w:eastAsia="Calibri" w:hAnsi="Arial Narrow"/>
          <w:b/>
          <w:color w:val="000000" w:themeColor="text1"/>
          <w:u w:val="single"/>
          <w:lang w:eastAsia="es-CO"/>
        </w:rPr>
        <w:t xml:space="preserve"> </w:t>
      </w:r>
      <w:r w:rsidRPr="0097461C">
        <w:rPr>
          <w:rFonts w:ascii="Arial Narrow" w:hAnsi="Arial Narrow"/>
        </w:rPr>
        <w:t xml:space="preserve">Para el caso de los </w:t>
      </w:r>
      <w:r>
        <w:rPr>
          <w:rFonts w:ascii="Arial Narrow" w:hAnsi="Arial Narrow"/>
        </w:rPr>
        <w:t xml:space="preserve">Cross Currency Basis </w:t>
      </w:r>
      <w:r w:rsidRPr="0097461C">
        <w:rPr>
          <w:rFonts w:ascii="Arial Narrow" w:hAnsi="Arial Narrow"/>
        </w:rPr>
        <w:t>Swaps</w:t>
      </w:r>
      <w:r>
        <w:rPr>
          <w:rFonts w:ascii="Arial Narrow" w:hAnsi="Arial Narrow"/>
        </w:rPr>
        <w:t xml:space="preserve"> Overnight (CCBSO)</w:t>
      </w:r>
      <w:r w:rsidRPr="0097461C">
        <w:rPr>
          <w:rFonts w:ascii="Arial Narrow" w:hAnsi="Arial Narrow"/>
        </w:rPr>
        <w:t>, la Cámara calculará la diferencia entre el nominal en COP pactado en la Operación y el nominal en USD valorado con la TRM</w:t>
      </w:r>
      <w:r w:rsidRPr="0097461C">
        <w:rPr>
          <w:rFonts w:ascii="Arial Narrow" w:eastAsia="Calibri" w:hAnsi="Arial Narrow"/>
          <w:b/>
          <w:color w:val="000000" w:themeColor="text1"/>
          <w:u w:val="single"/>
          <w:lang w:eastAsia="es-CO"/>
        </w:rPr>
        <w:t xml:space="preserve"> </w:t>
      </w:r>
      <w:r w:rsidRPr="0097461C">
        <w:rPr>
          <w:rFonts w:ascii="Arial Narrow" w:hAnsi="Arial Narrow"/>
        </w:rPr>
        <w:t xml:space="preserve">publicada </w:t>
      </w:r>
      <w:r w:rsidRPr="00DF08D5">
        <w:rPr>
          <w:rFonts w:ascii="Arial Narrow" w:hAnsi="Arial Narrow"/>
        </w:rPr>
        <w:t xml:space="preserve">el antepenúltimo día hábil (t-2 hábiles) respecto al día de </w:t>
      </w:r>
      <w:r w:rsidRPr="0097461C">
        <w:rPr>
          <w:rFonts w:ascii="Arial Narrow" w:hAnsi="Arial Narrow"/>
        </w:rPr>
        <w:t>vencimiento de la operación</w:t>
      </w:r>
      <w:r>
        <w:rPr>
          <w:rFonts w:ascii="Arial Narrow" w:hAnsi="Arial Narrow"/>
        </w:rPr>
        <w:t>,</w:t>
      </w:r>
      <w:r w:rsidRPr="004E5728">
        <w:rPr>
          <w:rFonts w:ascii="Arial Narrow" w:eastAsia="Calibri" w:hAnsi="Arial Narrow"/>
          <w:bCs/>
          <w:color w:val="000000" w:themeColor="text1"/>
          <w:lang w:eastAsia="es-CO"/>
        </w:rPr>
        <w:t xml:space="preserve"> </w:t>
      </w:r>
      <w:r w:rsidRPr="005F10B9">
        <w:rPr>
          <w:rFonts w:ascii="Arial Narrow" w:eastAsia="Calibri" w:hAnsi="Arial Narrow"/>
          <w:bCs/>
          <w:color w:val="000000" w:themeColor="text1"/>
          <w:lang w:eastAsia="es-CO"/>
        </w:rPr>
        <w:t>de acuerdo con el procedimiento de cálculo establecido en la presente Circular.</w:t>
      </w:r>
      <w:r w:rsidRPr="0097461C">
        <w:rPr>
          <w:rFonts w:ascii="Arial Narrow" w:hAnsi="Arial Narrow"/>
        </w:rPr>
        <w:t xml:space="preserve"> </w:t>
      </w:r>
      <w:r w:rsidRPr="0097461C">
        <w:rPr>
          <w:rFonts w:ascii="Arial Narrow" w:eastAsia="Calibri" w:hAnsi="Arial Narrow"/>
          <w:bCs/>
          <w:color w:val="000000" w:themeColor="text1"/>
        </w:rPr>
        <w:t>En el evento en que la diferencia sea positiva el titular de la Cuenta tendrá derecho a recibir el dinero efectivo, en caso contrario, deberá entregar a la Cámara dicho valor</w:t>
      </w:r>
      <w:r>
        <w:rPr>
          <w:rFonts w:ascii="Arial Narrow" w:eastAsia="Calibri" w:hAnsi="Arial Narrow"/>
          <w:bCs/>
          <w:color w:val="000000" w:themeColor="text1"/>
        </w:rPr>
        <w:t>.</w:t>
      </w:r>
    </w:p>
    <w:p w14:paraId="39CC53CA" w14:textId="77777777" w:rsidR="007968EC" w:rsidRPr="005F10B9" w:rsidRDefault="007968EC" w:rsidP="007968EC">
      <w:pPr>
        <w:keepNext/>
        <w:autoSpaceDE w:val="0"/>
        <w:autoSpaceDN w:val="0"/>
        <w:adjustRightInd w:val="0"/>
        <w:contextualSpacing/>
        <w:jc w:val="both"/>
        <w:rPr>
          <w:rFonts w:ascii="Arial Narrow" w:eastAsia="Calibri" w:hAnsi="Arial Narrow"/>
          <w:color w:val="000000" w:themeColor="text1"/>
        </w:rPr>
      </w:pPr>
    </w:p>
    <w:p w14:paraId="6EB7362F" w14:textId="77777777" w:rsidR="007968EC" w:rsidRPr="005F10B9" w:rsidRDefault="007968EC" w:rsidP="007968EC">
      <w:pPr>
        <w:pStyle w:val="ARTICULO0"/>
      </w:pPr>
      <w:bookmarkStart w:id="6360" w:name="_Toc493253255"/>
      <w:bookmarkStart w:id="6361" w:name="_Toc31716501"/>
      <w:r w:rsidRPr="005F10B9">
        <w:t xml:space="preserve">Artículo </w:t>
      </w:r>
      <w:bookmarkStart w:id="6362" w:name="_Hlk500179936"/>
      <w:r w:rsidRPr="005F10B9">
        <w:t>5.4.3.</w:t>
      </w:r>
      <w:bookmarkEnd w:id="6362"/>
      <w:r w:rsidRPr="005F10B9">
        <w:t>3. Procedimiento para el cálculo de la Liquidación al Vencimiento con Liquidación por Diferencias de Operaciones Swaps provenientes de sistemas de negociación y/o registro o Mecanismo de Contratación.</w:t>
      </w:r>
      <w:bookmarkEnd w:id="6360"/>
      <w:bookmarkEnd w:id="6361"/>
    </w:p>
    <w:p w14:paraId="05A6A60F" w14:textId="77777777" w:rsidR="007968EC" w:rsidRDefault="007968EC" w:rsidP="007968EC">
      <w:pPr>
        <w:contextualSpacing/>
        <w:jc w:val="both"/>
        <w:rPr>
          <w:rFonts w:ascii="Arial Narrow" w:eastAsia="Calibri" w:hAnsi="Arial Narrow"/>
          <w:color w:val="000000" w:themeColor="text1"/>
        </w:rPr>
      </w:pPr>
    </w:p>
    <w:p w14:paraId="653D4006" w14:textId="77777777" w:rsidR="007968EC" w:rsidRPr="000C31A5" w:rsidRDefault="007968EC" w:rsidP="007968EC">
      <w:pPr>
        <w:pStyle w:val="ARTICULO0"/>
        <w:rPr>
          <w:u w:val="none"/>
        </w:rPr>
      </w:pPr>
      <w:bookmarkStart w:id="6363" w:name="_Toc31716502"/>
      <w:r w:rsidRPr="000508BE">
        <w:rPr>
          <w:rFonts w:eastAsia="Calibri"/>
          <w:u w:val="none"/>
        </w:rPr>
        <w:lastRenderedPageBreak/>
        <w:t>(Es</w:t>
      </w:r>
      <w:r>
        <w:rPr>
          <w:u w:val="none"/>
        </w:rPr>
        <w:t xml:space="preserve">te artículo fue modificado </w:t>
      </w:r>
      <w:r w:rsidRPr="000C31A5">
        <w:rPr>
          <w:u w:val="none"/>
        </w:rPr>
        <w:t>mediante Circular 19 del 22 de noviembre de 2019, publicada en el Boletín Normativo No. 034 del 22 de noviembre de 2019. Rige a partir del 25 de noviembre de 2019).</w:t>
      </w:r>
      <w:bookmarkEnd w:id="6363"/>
    </w:p>
    <w:p w14:paraId="79CE1751" w14:textId="77777777" w:rsidR="007968EC" w:rsidRPr="005F10B9" w:rsidRDefault="007968EC" w:rsidP="007968EC">
      <w:pPr>
        <w:contextualSpacing/>
        <w:jc w:val="both"/>
        <w:rPr>
          <w:rFonts w:ascii="Arial Narrow" w:eastAsia="Calibri" w:hAnsi="Arial Narrow"/>
          <w:color w:val="000000" w:themeColor="text1"/>
        </w:rPr>
      </w:pPr>
    </w:p>
    <w:p w14:paraId="72618944" w14:textId="77777777" w:rsidR="007968EC" w:rsidRPr="00DF08D5" w:rsidRDefault="007968EC" w:rsidP="007968EC">
      <w:pPr>
        <w:pStyle w:val="ARTICULO0"/>
        <w:rPr>
          <w:rFonts w:eastAsia="Calibri"/>
          <w:b w:val="0"/>
          <w:u w:val="none"/>
        </w:rPr>
      </w:pPr>
      <w:bookmarkStart w:id="6364" w:name="_Toc31716503"/>
      <w:bookmarkStart w:id="6365" w:name="_Hlk14885559"/>
      <w:r w:rsidRPr="00DF08D5">
        <w:rPr>
          <w:rFonts w:eastAsia="Calibri"/>
          <w:b w:val="0"/>
          <w:u w:val="none"/>
        </w:rPr>
        <w:t>Al final de la sesión correspondiente al día hábil anterior a la fecha de vencimiento de las Operaciones Swaps, la cámara calculará sobre la posición abierta los importes por los siguientes conceptos:</w:t>
      </w:r>
      <w:bookmarkEnd w:id="6364"/>
      <w:r w:rsidRPr="00DF08D5">
        <w:rPr>
          <w:rFonts w:eastAsia="Calibri"/>
          <w:b w:val="0"/>
          <w:u w:val="none"/>
        </w:rPr>
        <w:t xml:space="preserve"> </w:t>
      </w:r>
    </w:p>
    <w:p w14:paraId="22DBE5DF" w14:textId="77777777" w:rsidR="007968EC" w:rsidRPr="00DF08D5" w:rsidRDefault="007968EC" w:rsidP="007968EC">
      <w:pPr>
        <w:pStyle w:val="ARTICULO0"/>
        <w:rPr>
          <w:b w:val="0"/>
        </w:rPr>
      </w:pPr>
    </w:p>
    <w:p w14:paraId="690E72B4" w14:textId="77777777" w:rsidR="007968EC" w:rsidRPr="00DF08D5" w:rsidRDefault="007968EC" w:rsidP="00DA7472">
      <w:pPr>
        <w:pStyle w:val="ARTICULO0"/>
        <w:numPr>
          <w:ilvl w:val="6"/>
          <w:numId w:val="291"/>
        </w:numPr>
        <w:ind w:left="426"/>
        <w:rPr>
          <w:b w:val="0"/>
        </w:rPr>
      </w:pPr>
      <w:bookmarkStart w:id="6366" w:name="_Toc31716504"/>
      <w:r w:rsidRPr="00DF08D5">
        <w:rPr>
          <w:b w:val="0"/>
        </w:rPr>
        <w:t>Liquidación al Vencimiento</w:t>
      </w:r>
      <w:bookmarkEnd w:id="6366"/>
    </w:p>
    <w:p w14:paraId="6A53434C" w14:textId="77777777" w:rsidR="007968EC" w:rsidRDefault="007968EC" w:rsidP="007968EC">
      <w:pPr>
        <w:pStyle w:val="ARTICULO0"/>
      </w:pPr>
    </w:p>
    <w:p w14:paraId="1749A7A2" w14:textId="77777777" w:rsidR="007968EC" w:rsidRPr="00DF08D5" w:rsidRDefault="007968EC" w:rsidP="007968EC">
      <w:pPr>
        <w:pStyle w:val="ARTICULO0"/>
        <w:rPr>
          <w:b w:val="0"/>
          <w:u w:val="none"/>
        </w:rPr>
      </w:pPr>
      <w:bookmarkStart w:id="6367" w:name="_Toc31716505"/>
      <w:r w:rsidRPr="00DF08D5">
        <w:rPr>
          <w:rFonts w:eastAsia="Calibri"/>
          <w:b w:val="0"/>
          <w:u w:val="none"/>
        </w:rPr>
        <w:t>La Posición Abierta sobre cada vencimiento de l</w:t>
      </w:r>
      <w:r>
        <w:rPr>
          <w:rFonts w:eastAsia="Calibri"/>
          <w:b w:val="0"/>
          <w:u w:val="none"/>
        </w:rPr>
        <w:t>as Operaciones</w:t>
      </w:r>
      <w:r w:rsidRPr="00DF08D5">
        <w:rPr>
          <w:rFonts w:eastAsia="Calibri"/>
          <w:b w:val="0"/>
          <w:u w:val="none"/>
        </w:rPr>
        <w:t xml:space="preserve"> Swaps, será valorada</w:t>
      </w:r>
      <w:r>
        <w:rPr>
          <w:rFonts w:eastAsia="Calibri"/>
          <w:b w:val="0"/>
          <w:u w:val="none"/>
        </w:rPr>
        <w:t>,</w:t>
      </w:r>
      <w:r w:rsidRPr="009C40A4">
        <w:rPr>
          <w:rFonts w:eastAsia="Calibri"/>
          <w:b w:val="0"/>
          <w:u w:val="none"/>
        </w:rPr>
        <w:t xml:space="preserve"> </w:t>
      </w:r>
      <w:r w:rsidRPr="00DF08D5">
        <w:rPr>
          <w:rFonts w:eastAsia="Calibri"/>
          <w:b w:val="0"/>
          <w:u w:val="none"/>
        </w:rPr>
        <w:t xml:space="preserve">calculando el último NPV de acuerdo con lo establecido en </w:t>
      </w:r>
      <w:r>
        <w:rPr>
          <w:rFonts w:eastAsia="Calibri"/>
          <w:b w:val="0"/>
          <w:u w:val="none"/>
        </w:rPr>
        <w:t>los</w:t>
      </w:r>
      <w:r w:rsidRPr="00DF08D5">
        <w:rPr>
          <w:rFonts w:eastAsia="Calibri"/>
          <w:b w:val="0"/>
          <w:u w:val="none"/>
        </w:rPr>
        <w:t xml:space="preserve"> Artículo</w:t>
      </w:r>
      <w:r>
        <w:rPr>
          <w:rFonts w:eastAsia="Calibri"/>
          <w:b w:val="0"/>
          <w:u w:val="none"/>
        </w:rPr>
        <w:t>s</w:t>
      </w:r>
      <w:r w:rsidRPr="00DF08D5">
        <w:rPr>
          <w:rFonts w:eastAsia="Calibri"/>
          <w:b w:val="0"/>
          <w:u w:val="none"/>
        </w:rPr>
        <w:t xml:space="preserve"> 5.5.3.1.</w:t>
      </w:r>
      <w:r>
        <w:rPr>
          <w:rFonts w:eastAsia="Calibri"/>
          <w:b w:val="0"/>
          <w:u w:val="none"/>
        </w:rPr>
        <w:t xml:space="preserve">, </w:t>
      </w:r>
      <w:r w:rsidRPr="00AB6174">
        <w:rPr>
          <w:rFonts w:eastAsia="Calibri"/>
          <w:b w:val="0"/>
          <w:u w:val="none"/>
        </w:rPr>
        <w:t>5.5.3.</w:t>
      </w:r>
      <w:r>
        <w:rPr>
          <w:rFonts w:eastAsia="Calibri"/>
          <w:b w:val="0"/>
          <w:u w:val="none"/>
        </w:rPr>
        <w:t>2</w:t>
      </w:r>
      <w:r w:rsidRPr="00AB6174">
        <w:rPr>
          <w:rFonts w:eastAsia="Calibri"/>
          <w:b w:val="0"/>
          <w:u w:val="none"/>
        </w:rPr>
        <w:t>.</w:t>
      </w:r>
      <w:r>
        <w:rPr>
          <w:rFonts w:eastAsia="Calibri"/>
          <w:b w:val="0"/>
          <w:u w:val="none"/>
        </w:rPr>
        <w:t xml:space="preserve"> y </w:t>
      </w:r>
      <w:r w:rsidRPr="00AB6174">
        <w:rPr>
          <w:rFonts w:eastAsia="Calibri"/>
          <w:b w:val="0"/>
          <w:u w:val="none"/>
        </w:rPr>
        <w:t>5.5.3.</w:t>
      </w:r>
      <w:r>
        <w:rPr>
          <w:rFonts w:eastAsia="Calibri"/>
          <w:b w:val="0"/>
          <w:u w:val="none"/>
        </w:rPr>
        <w:t>3</w:t>
      </w:r>
      <w:r w:rsidRPr="00AB6174">
        <w:rPr>
          <w:rFonts w:eastAsia="Calibri"/>
          <w:b w:val="0"/>
          <w:u w:val="none"/>
        </w:rPr>
        <w:t>.</w:t>
      </w:r>
      <w:r w:rsidRPr="00DF08D5">
        <w:rPr>
          <w:rFonts w:eastAsia="Calibri"/>
          <w:b w:val="0"/>
          <w:u w:val="none"/>
        </w:rPr>
        <w:t xml:space="preserve"> de la presente Circular</w:t>
      </w:r>
      <w:r>
        <w:rPr>
          <w:rFonts w:eastAsia="Calibri"/>
          <w:b w:val="0"/>
          <w:u w:val="none"/>
        </w:rPr>
        <w:t xml:space="preserve"> y se realizará de acuerdo con la siguiente formula:</w:t>
      </w:r>
      <w:bookmarkEnd w:id="6367"/>
    </w:p>
    <w:bookmarkEnd w:id="6365"/>
    <w:p w14:paraId="7FB0B057" w14:textId="77777777" w:rsidR="007968EC" w:rsidRPr="005F10B9" w:rsidRDefault="007968EC" w:rsidP="007968EC">
      <w:pPr>
        <w:contextualSpacing/>
        <w:jc w:val="both"/>
        <w:rPr>
          <w:rFonts w:ascii="Arial Narrow" w:eastAsia="Calibri" w:hAnsi="Arial Narrow"/>
          <w:color w:val="000000" w:themeColor="text1"/>
        </w:rPr>
      </w:pPr>
    </w:p>
    <w:p w14:paraId="3869E62D" w14:textId="77777777" w:rsidR="007968EC" w:rsidRDefault="007968EC" w:rsidP="007968EC">
      <w:pPr>
        <w:contextualSpacing/>
        <w:jc w:val="both"/>
        <w:rPr>
          <w:rFonts w:ascii="Arial Narrow" w:eastAsia="Calibri" w:hAnsi="Arial Narrow"/>
          <w:color w:val="000000" w:themeColor="text1"/>
        </w:rPr>
      </w:pPr>
    </w:p>
    <w:p w14:paraId="51B02DD4" w14:textId="77777777" w:rsidR="007968EC" w:rsidRPr="005F10B9" w:rsidRDefault="007968EC" w:rsidP="007968EC">
      <w:pPr>
        <w:autoSpaceDE w:val="0"/>
        <w:autoSpaceDN w:val="0"/>
        <w:adjustRightInd w:val="0"/>
        <w:jc w:val="both"/>
        <w:rPr>
          <w:rFonts w:ascii="Arial Narrow" w:hAnsi="Arial Narrow" w:cs="Verdana"/>
          <w:bCs/>
        </w:rPr>
      </w:pPr>
      <w:bookmarkStart w:id="6368" w:name="_Hlk500829207"/>
    </w:p>
    <w:p w14:paraId="6EDB03EA" w14:textId="77777777" w:rsidR="007968EC" w:rsidRPr="005F10B9" w:rsidRDefault="007968EC" w:rsidP="007968EC">
      <w:pPr>
        <w:autoSpaceDE w:val="0"/>
        <w:autoSpaceDN w:val="0"/>
        <w:adjustRightInd w:val="0"/>
        <w:ind w:left="720"/>
        <w:jc w:val="center"/>
        <w:rPr>
          <w:rFonts w:ascii="Arial Narrow" w:hAnsi="Arial Narrow" w:cs="Verdana"/>
          <w:bCs/>
          <w:lang w:eastAsia="es-CO"/>
        </w:rPr>
      </w:pPr>
      <m:oMathPara>
        <m:oMath>
          <m:r>
            <m:rPr>
              <m:sty m:val="bi"/>
            </m:rPr>
            <w:rPr>
              <w:rFonts w:ascii="Cambria Math" w:hAnsi="Cambria Math" w:cs="Verdana"/>
              <w:lang w:eastAsia="es-CO"/>
            </w:rPr>
            <m:t>LiqVto=</m:t>
          </m:r>
          <m:sSub>
            <m:sSubPr>
              <m:ctrlPr>
                <w:rPr>
                  <w:rFonts w:ascii="Cambria Math" w:hAnsi="Cambria Math" w:cs="Verdana"/>
                  <w:bCs/>
                  <w:i/>
                  <w:lang w:eastAsia="es-CO"/>
                </w:rPr>
              </m:ctrlPr>
            </m:sSubPr>
            <m:e>
              <m:r>
                <m:rPr>
                  <m:sty m:val="bi"/>
                </m:rPr>
                <w:rPr>
                  <w:rFonts w:ascii="Cambria Math" w:hAnsi="Cambria Math" w:cs="Verdana"/>
                  <w:lang w:eastAsia="es-CO"/>
                </w:rPr>
                <m:t>NPV</m:t>
              </m:r>
            </m:e>
            <m:sub>
              <m:r>
                <m:rPr>
                  <m:sty m:val="bi"/>
                </m:rPr>
                <w:rPr>
                  <w:rFonts w:ascii="Cambria Math" w:hAnsi="Cambria Math" w:cs="Verdana"/>
                  <w:lang w:eastAsia="es-CO"/>
                </w:rPr>
                <m:t>EOD(t)</m:t>
              </m:r>
            </m:sub>
          </m:sSub>
          <m:r>
            <m:rPr>
              <m:sty m:val="bi"/>
            </m:rPr>
            <w:rPr>
              <w:rFonts w:ascii="Cambria Math" w:hAnsi="Cambria Math" w:cs="Verdana"/>
              <w:lang w:eastAsia="es-CO"/>
            </w:rPr>
            <m:t xml:space="preserve">- </m:t>
          </m:r>
          <m:sSub>
            <m:sSubPr>
              <m:ctrlPr>
                <w:rPr>
                  <w:rFonts w:ascii="Cambria Math" w:hAnsi="Cambria Math" w:cs="Verdana"/>
                  <w:bCs/>
                  <w:i/>
                  <w:lang w:eastAsia="es-CO"/>
                </w:rPr>
              </m:ctrlPr>
            </m:sSubPr>
            <m:e>
              <m:r>
                <m:rPr>
                  <m:sty m:val="bi"/>
                </m:rPr>
                <w:rPr>
                  <w:rFonts w:ascii="Cambria Math" w:hAnsi="Cambria Math" w:cs="Verdana"/>
                  <w:lang w:eastAsia="es-CO"/>
                </w:rPr>
                <m:t>NPV</m:t>
              </m:r>
            </m:e>
            <m:sub>
              <m:r>
                <m:rPr>
                  <m:sty m:val="bi"/>
                </m:rPr>
                <w:rPr>
                  <w:rFonts w:ascii="Cambria Math" w:hAnsi="Cambria Math" w:cs="Verdana"/>
                  <w:lang w:eastAsia="es-CO"/>
                </w:rPr>
                <m:t>EOD (t-1)</m:t>
              </m:r>
            </m:sub>
          </m:sSub>
        </m:oMath>
      </m:oMathPara>
    </w:p>
    <w:p w14:paraId="63322968" w14:textId="77777777" w:rsidR="007968EC" w:rsidRPr="005F10B9" w:rsidRDefault="007968EC" w:rsidP="007968EC">
      <w:pPr>
        <w:autoSpaceDE w:val="0"/>
        <w:autoSpaceDN w:val="0"/>
        <w:adjustRightInd w:val="0"/>
        <w:ind w:firstLine="425"/>
        <w:jc w:val="both"/>
        <w:rPr>
          <w:rFonts w:ascii="Arial Narrow" w:hAnsi="Arial Narrow" w:cs="Verdana"/>
          <w:bCs/>
        </w:rPr>
      </w:pPr>
      <w:r w:rsidRPr="005F10B9">
        <w:rPr>
          <w:rFonts w:ascii="Arial Narrow" w:hAnsi="Arial Narrow" w:cs="Verdana"/>
          <w:bCs/>
        </w:rPr>
        <w:t>Donde:</w:t>
      </w:r>
    </w:p>
    <w:p w14:paraId="166B6F4C" w14:textId="77777777" w:rsidR="007968EC" w:rsidRPr="005F10B9" w:rsidRDefault="007968EC" w:rsidP="007968EC">
      <w:pPr>
        <w:autoSpaceDE w:val="0"/>
        <w:autoSpaceDN w:val="0"/>
        <w:adjustRightInd w:val="0"/>
        <w:ind w:left="425"/>
        <w:jc w:val="both"/>
        <w:rPr>
          <w:rFonts w:ascii="Arial Narrow" w:hAnsi="Arial Narrow" w:cs="Verdana"/>
          <w:bCs/>
        </w:rPr>
      </w:pPr>
      <m:oMath>
        <m:r>
          <m:rPr>
            <m:sty m:val="bi"/>
          </m:rPr>
          <w:rPr>
            <w:rFonts w:ascii="Cambria Math" w:hAnsi="Cambria Math" w:cs="Verdana"/>
          </w:rPr>
          <m:t>LiqVto</m:t>
        </m:r>
      </m:oMath>
      <w:r w:rsidRPr="005F10B9">
        <w:rPr>
          <w:rFonts w:ascii="Arial Narrow" w:hAnsi="Arial Narrow" w:cs="Verdana"/>
          <w:bCs/>
        </w:rPr>
        <w:t>: Liquidación al Vencimiento.</w:t>
      </w:r>
    </w:p>
    <w:p w14:paraId="32997B65" w14:textId="77777777" w:rsidR="007968EC" w:rsidRPr="005F10B9" w:rsidRDefault="00682D97" w:rsidP="007968EC">
      <w:pPr>
        <w:autoSpaceDE w:val="0"/>
        <w:autoSpaceDN w:val="0"/>
        <w:adjustRightInd w:val="0"/>
        <w:ind w:left="425"/>
        <w:jc w:val="both"/>
        <w:rPr>
          <w:rFonts w:ascii="Arial Narrow" w:hAnsi="Arial Narrow" w:cs="Verdana"/>
          <w:bCs/>
        </w:rPr>
      </w:pPr>
      <m:oMath>
        <m:sSub>
          <m:sSubPr>
            <m:ctrlPr>
              <w:rPr>
                <w:rFonts w:ascii="Cambria Math" w:hAnsi="Cambria Math" w:cs="Verdana"/>
                <w:bCs/>
                <w:i/>
              </w:rPr>
            </m:ctrlPr>
          </m:sSubPr>
          <m:e>
            <m:r>
              <m:rPr>
                <m:sty m:val="bi"/>
              </m:rPr>
              <w:rPr>
                <w:rFonts w:ascii="Cambria Math" w:hAnsi="Cambria Math" w:cs="Verdana"/>
              </w:rPr>
              <m:t>NPV</m:t>
            </m:r>
          </m:e>
          <m:sub>
            <m:r>
              <m:rPr>
                <m:sty m:val="bi"/>
              </m:rPr>
              <w:rPr>
                <w:rFonts w:ascii="Cambria Math" w:hAnsi="Cambria Math" w:cs="Verdana"/>
              </w:rPr>
              <m:t>EOD(t)</m:t>
            </m:r>
          </m:sub>
        </m:sSub>
      </m:oMath>
      <w:r w:rsidR="007968EC" w:rsidRPr="005F10B9">
        <w:rPr>
          <w:rFonts w:ascii="Arial Narrow" w:hAnsi="Arial Narrow" w:cs="Verdana"/>
          <w:bCs/>
        </w:rPr>
        <w:t>: NPV de cierre del día (t).</w:t>
      </w:r>
    </w:p>
    <w:p w14:paraId="451FA1CA" w14:textId="77777777" w:rsidR="007968EC" w:rsidRPr="005F10B9" w:rsidRDefault="00682D97" w:rsidP="007968EC">
      <w:pPr>
        <w:autoSpaceDE w:val="0"/>
        <w:autoSpaceDN w:val="0"/>
        <w:adjustRightInd w:val="0"/>
        <w:ind w:left="425"/>
        <w:jc w:val="both"/>
        <w:rPr>
          <w:rFonts w:ascii="Arial Narrow" w:hAnsi="Arial Narrow" w:cs="Verdana"/>
          <w:bCs/>
        </w:rPr>
      </w:pPr>
      <m:oMath>
        <m:sSub>
          <m:sSubPr>
            <m:ctrlPr>
              <w:rPr>
                <w:rFonts w:ascii="Cambria Math" w:hAnsi="Cambria Math" w:cs="Verdana"/>
                <w:bCs/>
                <w:i/>
              </w:rPr>
            </m:ctrlPr>
          </m:sSubPr>
          <m:e>
            <m:r>
              <m:rPr>
                <m:sty m:val="bi"/>
              </m:rPr>
              <w:rPr>
                <w:rFonts w:ascii="Cambria Math" w:hAnsi="Cambria Math" w:cs="Verdana"/>
              </w:rPr>
              <m:t>NPV</m:t>
            </m:r>
          </m:e>
          <m:sub>
            <m:r>
              <m:rPr>
                <m:sty m:val="bi"/>
              </m:rPr>
              <w:rPr>
                <w:rFonts w:ascii="Cambria Math" w:hAnsi="Cambria Math" w:cs="Verdana"/>
              </w:rPr>
              <m:t>EOD (t-1)</m:t>
            </m:r>
          </m:sub>
        </m:sSub>
      </m:oMath>
      <w:r w:rsidR="007968EC" w:rsidRPr="005F10B9">
        <w:rPr>
          <w:rFonts w:ascii="Arial Narrow" w:hAnsi="Arial Narrow" w:cs="Verdana"/>
          <w:bCs/>
        </w:rPr>
        <w:t>:</w:t>
      </w:r>
      <w:r w:rsidR="007968EC" w:rsidRPr="005F10B9">
        <w:rPr>
          <w:rFonts w:ascii="Arial Narrow" w:hAnsi="Arial Narrow"/>
        </w:rPr>
        <w:t xml:space="preserve"> </w:t>
      </w:r>
      <w:r w:rsidR="007968EC">
        <w:rPr>
          <w:rFonts w:ascii="Arial Narrow" w:hAnsi="Arial Narrow" w:cs="Verdana"/>
          <w:bCs/>
        </w:rPr>
        <w:t xml:space="preserve">NPV de cierre </w:t>
      </w:r>
      <w:r w:rsidR="007968EC" w:rsidRPr="005F10B9">
        <w:rPr>
          <w:rFonts w:ascii="Arial Narrow" w:hAnsi="Arial Narrow" w:cs="Verdana"/>
          <w:bCs/>
        </w:rPr>
        <w:t>del día hábil inmediatamente anterior (t-1).</w:t>
      </w:r>
    </w:p>
    <w:bookmarkEnd w:id="6368"/>
    <w:p w14:paraId="698EA2E3" w14:textId="77777777" w:rsidR="007968EC" w:rsidRPr="005F10B9" w:rsidRDefault="007968EC" w:rsidP="007968EC">
      <w:pPr>
        <w:contextualSpacing/>
        <w:jc w:val="both"/>
        <w:rPr>
          <w:rFonts w:ascii="Arial Narrow" w:eastAsia="Calibri" w:hAnsi="Arial Narrow"/>
          <w:b/>
          <w:color w:val="000000" w:themeColor="text1"/>
        </w:rPr>
      </w:pPr>
    </w:p>
    <w:p w14:paraId="200BDCDF" w14:textId="77777777" w:rsidR="007968EC" w:rsidRDefault="007968EC" w:rsidP="007968EC">
      <w:pPr>
        <w:autoSpaceDE w:val="0"/>
        <w:autoSpaceDN w:val="0"/>
        <w:adjustRightInd w:val="0"/>
        <w:jc w:val="both"/>
        <w:rPr>
          <w:rFonts w:ascii="Arial Narrow" w:eastAsia="Calibri" w:hAnsi="Arial Narrow"/>
          <w:bCs/>
          <w:color w:val="000000" w:themeColor="text1"/>
        </w:rPr>
      </w:pPr>
      <w:r w:rsidRPr="005F10B9">
        <w:rPr>
          <w:rFonts w:ascii="Arial Narrow" w:eastAsia="Calibri" w:hAnsi="Arial Narrow"/>
          <w:bCs/>
          <w:color w:val="000000" w:themeColor="text1"/>
        </w:rPr>
        <w:t>En general, cuando esta Liquidación sea positiva será acreditada a los Miembros Liquidadores y compensará los cargos ocasionados por otros conceptos que la Cámara incluye en la Sesión de Liquidación al Vencimiento cuando las Operaciones Aceptadas deban ser cumplidas con Liquidación por Diferencias; en caso contrario este importe será debitado de las cuentas de depósito en el Banco de la República que los Miembros Liquidadores tienen registrado en el Sistema.</w:t>
      </w:r>
    </w:p>
    <w:p w14:paraId="02251AE7" w14:textId="77777777" w:rsidR="007968EC" w:rsidRDefault="007968EC" w:rsidP="007968EC">
      <w:pPr>
        <w:autoSpaceDE w:val="0"/>
        <w:autoSpaceDN w:val="0"/>
        <w:adjustRightInd w:val="0"/>
        <w:jc w:val="both"/>
        <w:rPr>
          <w:rFonts w:ascii="Arial Narrow" w:eastAsia="Calibri" w:hAnsi="Arial Narrow"/>
          <w:bCs/>
          <w:color w:val="000000" w:themeColor="text1"/>
        </w:rPr>
      </w:pPr>
    </w:p>
    <w:p w14:paraId="6485B2C2" w14:textId="77777777" w:rsidR="007968EC" w:rsidRPr="00DF08D5" w:rsidRDefault="007968EC" w:rsidP="00DA7472">
      <w:pPr>
        <w:pStyle w:val="Prrafodelista"/>
        <w:numPr>
          <w:ilvl w:val="6"/>
          <w:numId w:val="291"/>
        </w:numPr>
        <w:autoSpaceDE w:val="0"/>
        <w:autoSpaceDN w:val="0"/>
        <w:adjustRightInd w:val="0"/>
        <w:ind w:left="426"/>
        <w:jc w:val="both"/>
        <w:rPr>
          <w:rFonts w:ascii="Arial Narrow" w:eastAsia="Calibri" w:hAnsi="Arial Narrow"/>
          <w:bCs/>
          <w:color w:val="000000" w:themeColor="text1"/>
          <w:u w:val="single"/>
        </w:rPr>
      </w:pPr>
      <w:r w:rsidRPr="00DF08D5">
        <w:rPr>
          <w:rFonts w:ascii="Arial Narrow" w:eastAsia="Calibri" w:hAnsi="Arial Narrow"/>
          <w:b w:val="0"/>
          <w:bCs/>
          <w:color w:val="000000" w:themeColor="text1"/>
          <w:u w:val="single"/>
        </w:rPr>
        <w:t xml:space="preserve">Price </w:t>
      </w:r>
      <w:proofErr w:type="spellStart"/>
      <w:r w:rsidRPr="00DF08D5">
        <w:rPr>
          <w:rFonts w:ascii="Arial Narrow" w:eastAsia="Calibri" w:hAnsi="Arial Narrow"/>
          <w:b w:val="0"/>
          <w:bCs/>
          <w:color w:val="000000" w:themeColor="text1"/>
          <w:u w:val="single"/>
        </w:rPr>
        <w:t>Alignment</w:t>
      </w:r>
      <w:proofErr w:type="spellEnd"/>
      <w:r w:rsidRPr="00DF08D5">
        <w:rPr>
          <w:rFonts w:ascii="Arial Narrow" w:eastAsia="Calibri" w:hAnsi="Arial Narrow"/>
          <w:b w:val="0"/>
          <w:bCs/>
          <w:color w:val="000000" w:themeColor="text1"/>
          <w:u w:val="single"/>
        </w:rPr>
        <w:t xml:space="preserve"> (PA) </w:t>
      </w:r>
    </w:p>
    <w:p w14:paraId="7827A813" w14:textId="77777777" w:rsidR="007968EC" w:rsidRPr="005F10B9" w:rsidRDefault="007968EC" w:rsidP="007968EC">
      <w:pPr>
        <w:autoSpaceDE w:val="0"/>
        <w:autoSpaceDN w:val="0"/>
        <w:adjustRightInd w:val="0"/>
        <w:jc w:val="both"/>
        <w:rPr>
          <w:rFonts w:ascii="Arial Narrow" w:eastAsia="Calibri" w:hAnsi="Arial Narrow"/>
          <w:bCs/>
          <w:color w:val="000000" w:themeColor="text1"/>
        </w:rPr>
      </w:pPr>
    </w:p>
    <w:p w14:paraId="2467CB74" w14:textId="77777777" w:rsidR="007968EC" w:rsidRPr="003B3407" w:rsidRDefault="007968EC" w:rsidP="007968EC">
      <w:pPr>
        <w:autoSpaceDE w:val="0"/>
        <w:autoSpaceDN w:val="0"/>
        <w:adjustRightInd w:val="0"/>
        <w:jc w:val="both"/>
        <w:rPr>
          <w:rFonts w:ascii="Arial Narrow" w:eastAsia="Calibri" w:hAnsi="Arial Narrow"/>
          <w:bCs/>
          <w:color w:val="000000" w:themeColor="text1"/>
        </w:rPr>
      </w:pPr>
      <w:r>
        <w:rPr>
          <w:rFonts w:ascii="Arial Narrow" w:hAnsi="Arial Narrow" w:cs="Verdana"/>
          <w:bCs/>
        </w:rPr>
        <w:t>La</w:t>
      </w:r>
      <w:r w:rsidRPr="005F10B9">
        <w:rPr>
          <w:rFonts w:ascii="Arial Narrow" w:hAnsi="Arial Narrow" w:cs="Verdana"/>
          <w:bCs/>
        </w:rPr>
        <w:t xml:space="preserve"> Cámara </w:t>
      </w:r>
      <w:r>
        <w:rPr>
          <w:rFonts w:ascii="Arial Narrow" w:hAnsi="Arial Narrow" w:cs="Verdana"/>
          <w:bCs/>
        </w:rPr>
        <w:t xml:space="preserve">así como para las sesiones diarias, </w:t>
      </w:r>
      <w:r w:rsidRPr="005F10B9">
        <w:rPr>
          <w:rFonts w:ascii="Arial Narrow" w:eastAsia="Calibri" w:hAnsi="Arial Narrow"/>
          <w:bCs/>
          <w:color w:val="000000" w:themeColor="text1"/>
        </w:rPr>
        <w:t xml:space="preserve">calculará el </w:t>
      </w:r>
      <w:r>
        <w:rPr>
          <w:rFonts w:ascii="Arial Narrow" w:eastAsia="Calibri" w:hAnsi="Arial Narrow"/>
          <w:bCs/>
          <w:color w:val="000000" w:themeColor="text1"/>
        </w:rPr>
        <w:t xml:space="preserve">último </w:t>
      </w:r>
      <w:r w:rsidRPr="005F10B9">
        <w:rPr>
          <w:rFonts w:ascii="Arial Narrow" w:eastAsia="Calibri" w:hAnsi="Arial Narrow"/>
          <w:bCs/>
          <w:color w:val="000000" w:themeColor="text1"/>
        </w:rPr>
        <w:t xml:space="preserve">Price </w:t>
      </w:r>
      <w:proofErr w:type="spellStart"/>
      <w:r w:rsidRPr="005F10B9">
        <w:rPr>
          <w:rFonts w:ascii="Arial Narrow" w:eastAsia="Calibri" w:hAnsi="Arial Narrow"/>
          <w:bCs/>
          <w:color w:val="000000" w:themeColor="text1"/>
        </w:rPr>
        <w:t>Alignment</w:t>
      </w:r>
      <w:proofErr w:type="spellEnd"/>
      <w:r w:rsidRPr="005F10B9">
        <w:rPr>
          <w:rFonts w:ascii="Arial Narrow" w:eastAsia="Calibri" w:hAnsi="Arial Narrow"/>
          <w:bCs/>
          <w:color w:val="000000" w:themeColor="text1"/>
        </w:rPr>
        <w:t xml:space="preserve"> (</w:t>
      </w:r>
      <w:r w:rsidRPr="005F10B9">
        <w:rPr>
          <w:rFonts w:ascii="Arial Narrow" w:eastAsia="Calibri" w:hAnsi="Arial Narrow"/>
          <w:bCs/>
          <w:i/>
          <w:color w:val="000000" w:themeColor="text1"/>
        </w:rPr>
        <w:t>PA</w:t>
      </w:r>
      <w:r w:rsidRPr="005F10B9">
        <w:rPr>
          <w:rFonts w:ascii="Arial Narrow" w:eastAsia="Calibri" w:hAnsi="Arial Narrow"/>
          <w:bCs/>
          <w:color w:val="000000" w:themeColor="text1"/>
        </w:rPr>
        <w:t xml:space="preserve">) </w:t>
      </w:r>
      <w:r w:rsidRPr="005F10B9">
        <w:rPr>
          <w:rFonts w:ascii="Arial Narrow" w:eastAsia="Calibri" w:hAnsi="Arial Narrow"/>
          <w:color w:val="000000" w:themeColor="text1"/>
        </w:rPr>
        <w:t>de acuerdo con la siguiente fórmula</w:t>
      </w:r>
      <w:bookmarkStart w:id="6369" w:name="_Hlk500829219"/>
      <w:r>
        <w:rPr>
          <w:rFonts w:ascii="Arial Narrow" w:eastAsia="Calibri" w:hAnsi="Arial Narrow"/>
          <w:color w:val="000000" w:themeColor="text1"/>
        </w:rPr>
        <w:t>:</w:t>
      </w:r>
    </w:p>
    <w:p w14:paraId="3CF4E002" w14:textId="77777777" w:rsidR="007968EC" w:rsidRPr="005F10B9" w:rsidRDefault="007968EC" w:rsidP="007968EC">
      <w:pPr>
        <w:contextualSpacing/>
        <w:jc w:val="both"/>
        <w:rPr>
          <w:rFonts w:ascii="Arial Narrow" w:hAnsi="Arial Narrow" w:cs="Verdana"/>
          <w:bCs/>
        </w:rPr>
      </w:pPr>
    </w:p>
    <w:p w14:paraId="19426F6A" w14:textId="77777777" w:rsidR="007968EC" w:rsidRPr="005F10B9" w:rsidRDefault="00682D97" w:rsidP="007968EC">
      <w:pPr>
        <w:autoSpaceDE w:val="0"/>
        <w:autoSpaceDN w:val="0"/>
        <w:adjustRightInd w:val="0"/>
        <w:jc w:val="both"/>
        <w:rPr>
          <w:rFonts w:ascii="Arial Narrow" w:hAnsi="Arial Narrow" w:cs="Verdana"/>
          <w:b/>
          <w:bCs/>
        </w:rPr>
      </w:pPr>
      <m:oMathPara>
        <m:oMath>
          <m:sSub>
            <m:sSubPr>
              <m:ctrlPr>
                <w:rPr>
                  <w:rFonts w:ascii="Cambria Math" w:hAnsi="Cambria Math" w:cs="Verdana"/>
                  <w:b/>
                  <w:bCs/>
                  <w:i/>
                </w:rPr>
              </m:ctrlPr>
            </m:sSubPr>
            <m:e>
              <m:r>
                <m:rPr>
                  <m:sty m:val="bi"/>
                </m:rPr>
                <w:rPr>
                  <w:rFonts w:ascii="Cambria Math" w:hAnsi="Cambria Math" w:cs="Verdana"/>
                </w:rPr>
                <m:t>PA</m:t>
              </m:r>
            </m:e>
            <m:sub>
              <m:r>
                <m:rPr>
                  <m:sty m:val="bi"/>
                </m:rPr>
                <w:rPr>
                  <w:rFonts w:ascii="Cambria Math" w:hAnsi="Cambria Math" w:cs="Verdana"/>
                </w:rPr>
                <m:t>(t)</m:t>
              </m:r>
            </m:sub>
          </m:sSub>
          <m:r>
            <m:rPr>
              <m:sty m:val="bi"/>
            </m:rPr>
            <w:rPr>
              <w:rFonts w:ascii="Cambria Math" w:hAnsi="Cambria Math" w:cs="Verdana"/>
            </w:rPr>
            <m:t>= -</m:t>
          </m:r>
          <m:sSub>
            <m:sSubPr>
              <m:ctrlPr>
                <w:rPr>
                  <w:rFonts w:ascii="Cambria Math" w:hAnsi="Cambria Math" w:cs="Verdana"/>
                  <w:b/>
                  <w:bCs/>
                  <w:i/>
                </w:rPr>
              </m:ctrlPr>
            </m:sSubPr>
            <m:e>
              <m:r>
                <m:rPr>
                  <m:sty m:val="bi"/>
                </m:rPr>
                <w:rPr>
                  <w:rFonts w:ascii="Cambria Math" w:hAnsi="Cambria Math" w:cs="Verdana"/>
                </w:rPr>
                <m:t>NPV</m:t>
              </m:r>
            </m:e>
            <m:sub>
              <m:d>
                <m:dPr>
                  <m:ctrlPr>
                    <w:rPr>
                      <w:rFonts w:ascii="Cambria Math" w:hAnsi="Cambria Math" w:cs="Verdana"/>
                      <w:b/>
                      <w:bCs/>
                      <w:i/>
                    </w:rPr>
                  </m:ctrlPr>
                </m:dPr>
                <m:e>
                  <m:r>
                    <m:rPr>
                      <m:sty m:val="bi"/>
                    </m:rPr>
                    <w:rPr>
                      <w:rFonts w:ascii="Cambria Math" w:hAnsi="Cambria Math" w:cs="Verdana"/>
                    </w:rPr>
                    <m:t>t-d</m:t>
                  </m:r>
                </m:e>
              </m:d>
            </m:sub>
          </m:sSub>
          <m:r>
            <m:rPr>
              <m:sty m:val="bi"/>
            </m:rPr>
            <w:rPr>
              <w:rFonts w:ascii="Cambria Math" w:hAnsi="Cambria Math" w:cs="Verdana"/>
            </w:rPr>
            <m:t>*</m:t>
          </m:r>
          <m:sSub>
            <m:sSubPr>
              <m:ctrlPr>
                <w:rPr>
                  <w:rFonts w:ascii="Cambria Math" w:hAnsi="Cambria Math" w:cs="Verdana"/>
                  <w:b/>
                  <w:bCs/>
                  <w:i/>
                </w:rPr>
              </m:ctrlPr>
            </m:sSubPr>
            <m:e>
              <m:r>
                <m:rPr>
                  <m:sty m:val="bi"/>
                </m:rPr>
                <w:rPr>
                  <w:rFonts w:ascii="Cambria Math" w:hAnsi="Cambria Math" w:cs="Verdana"/>
                </w:rPr>
                <m:t>ON</m:t>
              </m:r>
            </m:e>
            <m:sub>
              <m:d>
                <m:dPr>
                  <m:ctrlPr>
                    <w:rPr>
                      <w:rFonts w:ascii="Cambria Math" w:hAnsi="Cambria Math" w:cs="Verdana"/>
                      <w:b/>
                      <w:bCs/>
                      <w:i/>
                    </w:rPr>
                  </m:ctrlPr>
                </m:dPr>
                <m:e>
                  <m:r>
                    <m:rPr>
                      <m:sty m:val="bi"/>
                    </m:rPr>
                    <w:rPr>
                      <w:rFonts w:ascii="Cambria Math" w:hAnsi="Cambria Math" w:cs="Verdana"/>
                    </w:rPr>
                    <m:t>t-d,t</m:t>
                  </m:r>
                </m:e>
              </m:d>
            </m:sub>
          </m:sSub>
          <m:r>
            <m:rPr>
              <m:sty m:val="bi"/>
            </m:rPr>
            <w:rPr>
              <w:rFonts w:ascii="Cambria Math" w:hAnsi="Cambria Math" w:cs="Verdana"/>
            </w:rPr>
            <m:t>*</m:t>
          </m:r>
          <m:f>
            <m:fPr>
              <m:ctrlPr>
                <w:rPr>
                  <w:rFonts w:ascii="Cambria Math" w:hAnsi="Cambria Math" w:cs="Verdana"/>
                  <w:b/>
                  <w:bCs/>
                  <w:i/>
                </w:rPr>
              </m:ctrlPr>
            </m:fPr>
            <m:num>
              <m:r>
                <m:rPr>
                  <m:sty m:val="bi"/>
                </m:rPr>
                <w:rPr>
                  <w:rFonts w:ascii="Cambria Math" w:hAnsi="Cambria Math" w:cs="Verdana"/>
                </w:rPr>
                <m:t>d</m:t>
              </m:r>
            </m:num>
            <m:den>
              <m:r>
                <m:rPr>
                  <m:sty m:val="bi"/>
                </m:rPr>
                <w:rPr>
                  <w:rFonts w:ascii="Cambria Math" w:hAnsi="Cambria Math" w:cs="Verdana"/>
                </w:rPr>
                <m:t>360</m:t>
              </m:r>
            </m:den>
          </m:f>
        </m:oMath>
      </m:oMathPara>
    </w:p>
    <w:p w14:paraId="24B90250" w14:textId="77777777" w:rsidR="007968EC" w:rsidRPr="005F10B9" w:rsidRDefault="007968EC" w:rsidP="007968EC">
      <w:pPr>
        <w:autoSpaceDE w:val="0"/>
        <w:autoSpaceDN w:val="0"/>
        <w:adjustRightInd w:val="0"/>
        <w:jc w:val="both"/>
        <w:rPr>
          <w:rFonts w:ascii="Arial Narrow" w:hAnsi="Arial Narrow" w:cs="Verdana"/>
          <w:bCs/>
        </w:rPr>
      </w:pPr>
    </w:p>
    <w:p w14:paraId="689A7181" w14:textId="77777777" w:rsidR="007968EC" w:rsidRPr="005F10B9" w:rsidRDefault="007968EC" w:rsidP="007968EC">
      <w:pPr>
        <w:autoSpaceDE w:val="0"/>
        <w:autoSpaceDN w:val="0"/>
        <w:adjustRightInd w:val="0"/>
        <w:ind w:firstLine="425"/>
        <w:jc w:val="both"/>
        <w:rPr>
          <w:rFonts w:ascii="Arial Narrow" w:hAnsi="Arial Narrow" w:cs="Verdana"/>
          <w:bCs/>
        </w:rPr>
      </w:pPr>
      <w:r w:rsidRPr="005F10B9">
        <w:rPr>
          <w:rFonts w:ascii="Arial Narrow" w:hAnsi="Arial Narrow" w:cs="Verdana"/>
          <w:bCs/>
        </w:rPr>
        <w:t>Donde:</w:t>
      </w:r>
    </w:p>
    <w:p w14:paraId="080155C8" w14:textId="77777777" w:rsidR="007968EC" w:rsidRPr="005F10B9" w:rsidRDefault="007968EC" w:rsidP="007968EC">
      <w:pPr>
        <w:autoSpaceDE w:val="0"/>
        <w:autoSpaceDN w:val="0"/>
        <w:adjustRightInd w:val="0"/>
        <w:ind w:left="425"/>
        <w:jc w:val="both"/>
        <w:rPr>
          <w:rFonts w:ascii="Arial Narrow" w:hAnsi="Arial Narrow" w:cs="Verdana"/>
          <w:bCs/>
        </w:rPr>
      </w:pPr>
      <m:oMath>
        <m:r>
          <m:rPr>
            <m:sty m:val="bi"/>
          </m:rPr>
          <w:rPr>
            <w:rFonts w:ascii="Cambria Math" w:hAnsi="Cambria Math" w:cs="Verdana"/>
          </w:rPr>
          <m:t>d</m:t>
        </m:r>
      </m:oMath>
      <w:r w:rsidRPr="005F10B9">
        <w:rPr>
          <w:rFonts w:ascii="Arial Narrow" w:hAnsi="Arial Narrow" w:cs="Verdana"/>
          <w:b/>
          <w:bCs/>
        </w:rPr>
        <w:t>:</w:t>
      </w:r>
      <w:r w:rsidRPr="005F10B9">
        <w:rPr>
          <w:rFonts w:ascii="Arial Narrow" w:hAnsi="Arial Narrow" w:cs="Verdana"/>
          <w:bCs/>
        </w:rPr>
        <w:t xml:space="preserve"> Es el número de días entre “t” y el ultimo día en que se calculó el VM en el proceso de fin de día </w:t>
      </w:r>
      <w:proofErr w:type="gramStart"/>
      <w:r w:rsidRPr="005F10B9">
        <w:rPr>
          <w:rFonts w:ascii="Arial Narrow" w:hAnsi="Arial Narrow" w:cs="Verdana"/>
          <w:bCs/>
        </w:rPr>
        <w:t>-  EOD</w:t>
      </w:r>
      <w:proofErr w:type="gramEnd"/>
      <w:r w:rsidRPr="005F10B9">
        <w:rPr>
          <w:rFonts w:ascii="Arial Narrow" w:hAnsi="Arial Narrow" w:cs="Verdana"/>
          <w:bCs/>
        </w:rPr>
        <w:t>.</w:t>
      </w:r>
    </w:p>
    <w:p w14:paraId="36448D0F" w14:textId="77777777" w:rsidR="007968EC" w:rsidRPr="005F10B9" w:rsidRDefault="00682D97" w:rsidP="007968EC">
      <w:pPr>
        <w:autoSpaceDE w:val="0"/>
        <w:autoSpaceDN w:val="0"/>
        <w:adjustRightInd w:val="0"/>
        <w:ind w:left="425"/>
        <w:jc w:val="both"/>
        <w:rPr>
          <w:rFonts w:ascii="Arial Narrow" w:hAnsi="Arial Narrow" w:cs="Verdana"/>
          <w:bCs/>
        </w:rPr>
      </w:pPr>
      <m:oMath>
        <m:sSub>
          <m:sSubPr>
            <m:ctrlPr>
              <w:rPr>
                <w:rFonts w:ascii="Cambria Math" w:hAnsi="Cambria Math" w:cs="Verdana"/>
                <w:bCs/>
                <w:i/>
              </w:rPr>
            </m:ctrlPr>
          </m:sSubPr>
          <m:e>
            <m:r>
              <m:rPr>
                <m:sty m:val="bi"/>
              </m:rPr>
              <w:rPr>
                <w:rFonts w:ascii="Cambria Math" w:hAnsi="Cambria Math" w:cs="Verdana"/>
              </w:rPr>
              <m:t>NPV</m:t>
            </m:r>
          </m:e>
          <m:sub>
            <m:d>
              <m:dPr>
                <m:ctrlPr>
                  <w:rPr>
                    <w:rFonts w:ascii="Cambria Math" w:hAnsi="Cambria Math" w:cs="Verdana"/>
                    <w:bCs/>
                    <w:i/>
                  </w:rPr>
                </m:ctrlPr>
              </m:dPr>
              <m:e>
                <m:r>
                  <m:rPr>
                    <m:sty m:val="bi"/>
                  </m:rPr>
                  <w:rPr>
                    <w:rFonts w:ascii="Cambria Math" w:hAnsi="Cambria Math" w:cs="Verdana"/>
                  </w:rPr>
                  <m:t>t-d</m:t>
                </m:r>
              </m:e>
            </m:d>
          </m:sub>
        </m:sSub>
      </m:oMath>
      <w:r w:rsidR="007968EC" w:rsidRPr="005F10B9">
        <w:rPr>
          <w:rFonts w:ascii="Arial Narrow" w:hAnsi="Arial Narrow" w:cs="Verdana"/>
          <w:bCs/>
        </w:rPr>
        <w:t>: NPV de la cuenta del día “t-d”</w:t>
      </w:r>
    </w:p>
    <w:p w14:paraId="7EE44326" w14:textId="77777777" w:rsidR="007968EC" w:rsidRPr="005F10B9" w:rsidRDefault="00682D97" w:rsidP="007968EC">
      <w:pPr>
        <w:autoSpaceDE w:val="0"/>
        <w:autoSpaceDN w:val="0"/>
        <w:adjustRightInd w:val="0"/>
        <w:ind w:left="425"/>
        <w:jc w:val="both"/>
        <w:rPr>
          <w:rFonts w:ascii="Arial Narrow" w:hAnsi="Arial Narrow" w:cs="Verdana"/>
          <w:bCs/>
          <w:i/>
        </w:rPr>
      </w:pPr>
      <m:oMath>
        <m:sSub>
          <m:sSubPr>
            <m:ctrlPr>
              <w:rPr>
                <w:rFonts w:ascii="Cambria Math" w:hAnsi="Cambria Math" w:cs="Verdana"/>
                <w:bCs/>
                <w:i/>
              </w:rPr>
            </m:ctrlPr>
          </m:sSubPr>
          <m:e>
            <m:r>
              <m:rPr>
                <m:sty m:val="bi"/>
              </m:rPr>
              <w:rPr>
                <w:rFonts w:ascii="Cambria Math" w:hAnsi="Cambria Math" w:cs="Verdana"/>
              </w:rPr>
              <m:t>ON</m:t>
            </m:r>
          </m:e>
          <m:sub>
            <m:d>
              <m:dPr>
                <m:ctrlPr>
                  <w:rPr>
                    <w:rFonts w:ascii="Cambria Math" w:hAnsi="Cambria Math" w:cs="Verdana"/>
                    <w:bCs/>
                    <w:i/>
                  </w:rPr>
                </m:ctrlPr>
              </m:dPr>
              <m:e>
                <m:r>
                  <m:rPr>
                    <m:sty m:val="bi"/>
                  </m:rPr>
                  <w:rPr>
                    <w:rFonts w:ascii="Cambria Math" w:hAnsi="Cambria Math" w:cs="Verdana"/>
                  </w:rPr>
                  <m:t>t-d,t</m:t>
                </m:r>
              </m:e>
            </m:d>
          </m:sub>
        </m:sSub>
      </m:oMath>
      <w:r w:rsidR="007968EC" w:rsidRPr="005F10B9">
        <w:rPr>
          <w:rFonts w:ascii="Arial Narrow" w:hAnsi="Arial Narrow" w:cs="Verdana"/>
          <w:bCs/>
        </w:rPr>
        <w:t xml:space="preserve">:  tasa IBR </w:t>
      </w:r>
      <w:r w:rsidR="007968EC" w:rsidRPr="005F10B9">
        <w:rPr>
          <w:rFonts w:ascii="Arial Narrow" w:hAnsi="Arial Narrow" w:cs="Verdana"/>
          <w:bCs/>
          <w:i/>
        </w:rPr>
        <w:t xml:space="preserve">Overnight </w:t>
      </w:r>
      <w:r w:rsidR="007968EC" w:rsidRPr="005F10B9">
        <w:rPr>
          <w:rFonts w:ascii="Arial Narrow" w:hAnsi="Arial Narrow" w:cs="Verdana"/>
          <w:bCs/>
        </w:rPr>
        <w:t>correspondiente a la fecha “t-d”.</w:t>
      </w:r>
      <w:r w:rsidR="007968EC" w:rsidRPr="005F10B9">
        <w:rPr>
          <w:rFonts w:ascii="Arial Narrow" w:hAnsi="Arial Narrow" w:cs="Verdana"/>
          <w:bCs/>
          <w:i/>
        </w:rPr>
        <w:t xml:space="preserve"> </w:t>
      </w:r>
    </w:p>
    <w:p w14:paraId="15F10CAE" w14:textId="77777777" w:rsidR="007968EC" w:rsidRPr="005F10B9" w:rsidRDefault="007968EC" w:rsidP="007968EC">
      <w:pPr>
        <w:autoSpaceDE w:val="0"/>
        <w:autoSpaceDN w:val="0"/>
        <w:adjustRightInd w:val="0"/>
        <w:ind w:left="425"/>
        <w:jc w:val="both"/>
        <w:rPr>
          <w:rFonts w:ascii="Arial Narrow" w:hAnsi="Arial Narrow" w:cs="Verdana"/>
          <w:bCs/>
        </w:rPr>
      </w:pPr>
    </w:p>
    <w:bookmarkEnd w:id="6369"/>
    <w:p w14:paraId="5B803D0F" w14:textId="77777777" w:rsidR="007968EC" w:rsidRDefault="007968EC" w:rsidP="007968EC">
      <w:pPr>
        <w:autoSpaceDE w:val="0"/>
        <w:autoSpaceDN w:val="0"/>
        <w:adjustRightInd w:val="0"/>
        <w:jc w:val="both"/>
        <w:rPr>
          <w:rFonts w:ascii="Arial Narrow" w:eastAsia="Calibri" w:hAnsi="Arial Narrow"/>
          <w:bCs/>
          <w:color w:val="000000" w:themeColor="text1"/>
        </w:rPr>
      </w:pPr>
      <w:r w:rsidRPr="005F10B9">
        <w:rPr>
          <w:rFonts w:ascii="Arial Narrow" w:eastAsia="Calibri" w:hAnsi="Arial Narrow"/>
          <w:bCs/>
          <w:color w:val="000000" w:themeColor="text1"/>
        </w:rPr>
        <w:t xml:space="preserve">Este importe será acreditado a los Miembros Liquidadores cuyo </w:t>
      </w:r>
      <w:r w:rsidRPr="005F10B9">
        <w:rPr>
          <w:rFonts w:ascii="Arial Narrow" w:hAnsi="Arial Narrow" w:cs="Verdana"/>
          <w:bCs/>
        </w:rPr>
        <w:t xml:space="preserve">NPV calculado a cierre de la sesión inmediatamente anterior </w:t>
      </w:r>
      <w:r w:rsidRPr="005F10B9">
        <w:rPr>
          <w:rFonts w:ascii="Arial Narrow" w:eastAsia="Calibri" w:hAnsi="Arial Narrow"/>
          <w:bCs/>
          <w:color w:val="000000" w:themeColor="text1"/>
        </w:rPr>
        <w:t xml:space="preserve">sea </w:t>
      </w:r>
      <w:proofErr w:type="spellStart"/>
      <w:r w:rsidRPr="005F10B9">
        <w:rPr>
          <w:rFonts w:ascii="Arial Narrow" w:eastAsia="Calibri" w:hAnsi="Arial Narrow"/>
          <w:bCs/>
          <w:color w:val="000000" w:themeColor="text1"/>
        </w:rPr>
        <w:t>negativo,y</w:t>
      </w:r>
      <w:proofErr w:type="spellEnd"/>
      <w:r w:rsidRPr="005F10B9">
        <w:rPr>
          <w:rFonts w:ascii="Arial Narrow" w:eastAsia="Calibri" w:hAnsi="Arial Narrow"/>
          <w:bCs/>
          <w:color w:val="000000" w:themeColor="text1"/>
        </w:rPr>
        <w:t xml:space="preserve"> compensará los cargos ocasionados por otros conceptos que la </w:t>
      </w:r>
      <w:r w:rsidRPr="005F10B9">
        <w:rPr>
          <w:rFonts w:ascii="Arial Narrow" w:eastAsia="Calibri" w:hAnsi="Arial Narrow"/>
          <w:bCs/>
          <w:color w:val="000000" w:themeColor="text1"/>
        </w:rPr>
        <w:lastRenderedPageBreak/>
        <w:t>Cámara incluye en la Sesión de Liquidación al Vencimiento cuando las Operaciones Aceptadas deban ser cumplidas con Liquidación por Diferencias; en caso contrario este importe será debitado de las cuentas de depósito en el Banco de la República que los Miembros Liquidadores tienen registrado en el Sistema.</w:t>
      </w:r>
    </w:p>
    <w:p w14:paraId="61B35E16" w14:textId="77777777" w:rsidR="007968EC" w:rsidRDefault="007968EC" w:rsidP="007968EC">
      <w:pPr>
        <w:autoSpaceDE w:val="0"/>
        <w:autoSpaceDN w:val="0"/>
        <w:adjustRightInd w:val="0"/>
        <w:jc w:val="both"/>
        <w:rPr>
          <w:rFonts w:ascii="Arial Narrow" w:eastAsia="Calibri" w:hAnsi="Arial Narrow"/>
          <w:bCs/>
          <w:color w:val="000000" w:themeColor="text1"/>
        </w:rPr>
      </w:pPr>
      <w:r w:rsidRPr="005F10B9">
        <w:rPr>
          <w:rFonts w:ascii="Arial Narrow" w:eastAsia="Calibri" w:hAnsi="Arial Narrow"/>
          <w:bCs/>
          <w:color w:val="000000" w:themeColor="text1"/>
        </w:rPr>
        <w:t>.</w:t>
      </w:r>
    </w:p>
    <w:p w14:paraId="392D5293" w14:textId="77777777" w:rsidR="007968EC" w:rsidRDefault="007968EC" w:rsidP="007968EC">
      <w:pPr>
        <w:jc w:val="both"/>
        <w:rPr>
          <w:rFonts w:ascii="Arial Narrow" w:eastAsia="Calibri" w:hAnsi="Arial Narrow"/>
          <w:bCs/>
          <w:color w:val="000000" w:themeColor="text1"/>
        </w:rPr>
      </w:pPr>
    </w:p>
    <w:p w14:paraId="1AC5B06A" w14:textId="77777777" w:rsidR="007968EC" w:rsidRDefault="007968EC" w:rsidP="007968EC">
      <w:pPr>
        <w:autoSpaceDE w:val="0"/>
        <w:autoSpaceDN w:val="0"/>
        <w:adjustRightInd w:val="0"/>
        <w:jc w:val="both"/>
        <w:rPr>
          <w:rFonts w:ascii="Arial Narrow" w:eastAsia="Calibri" w:hAnsi="Arial Narrow"/>
          <w:bCs/>
          <w:color w:val="000000" w:themeColor="text1"/>
        </w:rPr>
      </w:pPr>
    </w:p>
    <w:p w14:paraId="2D0D9246" w14:textId="77777777" w:rsidR="007968EC" w:rsidRPr="00DF08D5" w:rsidRDefault="007968EC" w:rsidP="00DA7472">
      <w:pPr>
        <w:pStyle w:val="Prrafodelista"/>
        <w:numPr>
          <w:ilvl w:val="0"/>
          <w:numId w:val="291"/>
        </w:numPr>
        <w:contextualSpacing/>
        <w:jc w:val="both"/>
        <w:rPr>
          <w:rFonts w:ascii="Arial Narrow" w:hAnsi="Arial Narrow" w:cs="Verdana"/>
          <w:bCs/>
          <w:u w:val="single"/>
        </w:rPr>
      </w:pPr>
      <w:r w:rsidRPr="00DF08D5">
        <w:rPr>
          <w:rFonts w:ascii="Arial Narrow" w:hAnsi="Arial Narrow" w:cs="Verdana"/>
          <w:b w:val="0"/>
          <w:bCs/>
          <w:u w:val="single"/>
        </w:rPr>
        <w:t>Intercambio de Nominal</w:t>
      </w:r>
    </w:p>
    <w:p w14:paraId="7CB15102" w14:textId="77777777" w:rsidR="007968EC" w:rsidRDefault="007968EC" w:rsidP="007968EC">
      <w:pPr>
        <w:contextualSpacing/>
        <w:jc w:val="both"/>
        <w:rPr>
          <w:rFonts w:ascii="Arial Narrow" w:hAnsi="Arial Narrow" w:cs="Verdana"/>
          <w:bCs/>
        </w:rPr>
      </w:pPr>
    </w:p>
    <w:p w14:paraId="397DA1CD" w14:textId="77777777" w:rsidR="007968EC" w:rsidRDefault="007968EC" w:rsidP="007968EC">
      <w:pPr>
        <w:contextualSpacing/>
        <w:jc w:val="both"/>
        <w:rPr>
          <w:rFonts w:ascii="Arial Narrow" w:eastAsia="Calibri" w:hAnsi="Arial Narrow"/>
          <w:color w:val="000000" w:themeColor="text1"/>
        </w:rPr>
      </w:pPr>
      <w:r>
        <w:rPr>
          <w:rFonts w:ascii="Arial Narrow" w:hAnsi="Arial Narrow" w:cs="Verdana"/>
          <w:bCs/>
        </w:rPr>
        <w:t>Para lo swaps de moneda, l</w:t>
      </w:r>
      <w:r w:rsidRPr="005F10B9">
        <w:rPr>
          <w:rFonts w:ascii="Arial Narrow" w:hAnsi="Arial Narrow" w:cs="Verdana"/>
          <w:bCs/>
        </w:rPr>
        <w:t xml:space="preserve">a Cámara </w:t>
      </w:r>
      <w:r w:rsidRPr="005F10B9">
        <w:rPr>
          <w:rFonts w:ascii="Arial Narrow" w:eastAsia="Calibri" w:hAnsi="Arial Narrow"/>
          <w:bCs/>
          <w:color w:val="000000" w:themeColor="text1"/>
        </w:rPr>
        <w:t xml:space="preserve">calculará el </w:t>
      </w:r>
      <w:r>
        <w:rPr>
          <w:rFonts w:ascii="Arial Narrow" w:eastAsia="Calibri" w:hAnsi="Arial Narrow"/>
          <w:bCs/>
          <w:color w:val="000000" w:themeColor="text1"/>
        </w:rPr>
        <w:t>Intercambio de nominal</w:t>
      </w:r>
      <w:r w:rsidRPr="005F10B9">
        <w:rPr>
          <w:rFonts w:ascii="Arial Narrow" w:eastAsia="Calibri" w:hAnsi="Arial Narrow"/>
          <w:bCs/>
          <w:color w:val="000000" w:themeColor="text1"/>
        </w:rPr>
        <w:t xml:space="preserve"> </w:t>
      </w:r>
      <w:r w:rsidRPr="005F10B9">
        <w:rPr>
          <w:rFonts w:ascii="Arial Narrow" w:eastAsia="Calibri" w:hAnsi="Arial Narrow"/>
          <w:color w:val="000000" w:themeColor="text1"/>
        </w:rPr>
        <w:t>de acuerdo con la siguiente fórmula:</w:t>
      </w:r>
    </w:p>
    <w:p w14:paraId="23B51ADA" w14:textId="77777777" w:rsidR="007968EC" w:rsidRDefault="007968EC" w:rsidP="007968EC">
      <w:pPr>
        <w:contextualSpacing/>
        <w:jc w:val="both"/>
        <w:rPr>
          <w:rFonts w:ascii="Arial Narrow" w:eastAsia="Calibri" w:hAnsi="Arial Narrow"/>
          <w:color w:val="000000" w:themeColor="text1"/>
        </w:rPr>
      </w:pPr>
    </w:p>
    <w:p w14:paraId="75D3EDD1" w14:textId="77777777" w:rsidR="007968EC" w:rsidRPr="005F10B9" w:rsidRDefault="007968EC" w:rsidP="007968EC">
      <w:pPr>
        <w:autoSpaceDE w:val="0"/>
        <w:autoSpaceDN w:val="0"/>
        <w:adjustRightInd w:val="0"/>
        <w:ind w:left="720"/>
        <w:jc w:val="center"/>
        <w:rPr>
          <w:rFonts w:ascii="Arial Narrow" w:hAnsi="Arial Narrow" w:cs="Verdana"/>
          <w:bCs/>
          <w:lang w:eastAsia="es-CO"/>
        </w:rPr>
      </w:pPr>
      <m:oMath>
        <m:r>
          <m:rPr>
            <m:sty m:val="bi"/>
          </m:rPr>
          <w:rPr>
            <w:rFonts w:ascii="Cambria Math" w:hAnsi="Cambria Math" w:cs="Verdana"/>
            <w:lang w:eastAsia="es-CO"/>
          </w:rPr>
          <m:t>Intercambio Nominal=</m:t>
        </m:r>
        <m:sSub>
          <m:sSubPr>
            <m:ctrlPr>
              <w:rPr>
                <w:rFonts w:ascii="Cambria Math" w:hAnsi="Cambria Math" w:cs="Verdana"/>
                <w:bCs/>
                <w:i/>
                <w:lang w:eastAsia="es-CO"/>
              </w:rPr>
            </m:ctrlPr>
          </m:sSubPr>
          <m:e>
            <m:r>
              <m:rPr>
                <m:sty m:val="bi"/>
              </m:rPr>
              <w:rPr>
                <w:rFonts w:ascii="Cambria Math" w:hAnsi="Cambria Math" w:cs="Verdana"/>
                <w:lang w:eastAsia="es-CO"/>
              </w:rPr>
              <m:t>N(</m:t>
            </m:r>
            <m:sSub>
              <m:sSubPr>
                <m:ctrlPr>
                  <w:rPr>
                    <w:rFonts w:ascii="Cambria Math" w:hAnsi="Cambria Math" w:cs="Verdana"/>
                    <w:bCs/>
                    <w:i/>
                    <w:lang w:eastAsia="es-CO"/>
                  </w:rPr>
                </m:ctrlPr>
              </m:sSubPr>
              <m:e>
                <m:r>
                  <w:rPr>
                    <w:rFonts w:ascii="Cambria Math" w:hAnsi="Cambria Math" w:cs="Verdana"/>
                    <w:lang w:eastAsia="es-CO"/>
                  </w:rPr>
                  <m:t>t</m:t>
                </m:r>
              </m:e>
              <m:sub>
                <m:r>
                  <w:rPr>
                    <w:rFonts w:ascii="Cambria Math" w:hAnsi="Cambria Math" w:cs="Verdana"/>
                    <w:lang w:eastAsia="es-CO"/>
                  </w:rPr>
                  <m:t>0</m:t>
                </m:r>
              </m:sub>
            </m:sSub>
            <m:r>
              <m:rPr>
                <m:sty m:val="bi"/>
              </m:rPr>
              <w:rPr>
                <w:rFonts w:ascii="Cambria Math" w:hAnsi="Cambria Math" w:cs="Verdana"/>
                <w:lang w:eastAsia="es-CO"/>
              </w:rPr>
              <m:t>)</m:t>
            </m:r>
          </m:e>
          <m:sub>
            <m:r>
              <m:rPr>
                <m:sty m:val="bi"/>
              </m:rPr>
              <w:rPr>
                <w:rFonts w:ascii="Cambria Math" w:hAnsi="Cambria Math" w:cs="Verdana"/>
                <w:lang w:eastAsia="es-CO"/>
              </w:rPr>
              <m:t>COP</m:t>
            </m:r>
          </m:sub>
        </m:sSub>
        <m:r>
          <m:rPr>
            <m:sty m:val="bi"/>
          </m:rPr>
          <w:rPr>
            <w:rFonts w:ascii="Cambria Math" w:hAnsi="Cambria Math" w:cs="Verdana"/>
            <w:lang w:eastAsia="es-CO"/>
          </w:rPr>
          <m:t xml:space="preserve">- </m:t>
        </m:r>
        <m:sSub>
          <m:sSubPr>
            <m:ctrlPr>
              <w:rPr>
                <w:rFonts w:ascii="Cambria Math" w:hAnsi="Cambria Math" w:cs="Verdana"/>
                <w:bCs/>
                <w:i/>
                <w:lang w:eastAsia="es-CO"/>
              </w:rPr>
            </m:ctrlPr>
          </m:sSubPr>
          <m:e>
            <m:r>
              <m:rPr>
                <m:sty m:val="bi"/>
              </m:rPr>
              <w:rPr>
                <w:rFonts w:ascii="Cambria Math" w:hAnsi="Cambria Math" w:cs="Verdana"/>
                <w:lang w:eastAsia="es-CO"/>
              </w:rPr>
              <m:t>N(</m:t>
            </m:r>
            <m:sSub>
              <m:sSubPr>
                <m:ctrlPr>
                  <w:rPr>
                    <w:rFonts w:ascii="Cambria Math" w:hAnsi="Cambria Math" w:cs="Verdana"/>
                    <w:bCs/>
                    <w:i/>
                    <w:lang w:eastAsia="es-CO"/>
                  </w:rPr>
                </m:ctrlPr>
              </m:sSubPr>
              <m:e>
                <m:r>
                  <w:rPr>
                    <w:rFonts w:ascii="Cambria Math" w:hAnsi="Cambria Math" w:cs="Verdana"/>
                    <w:lang w:eastAsia="es-CO"/>
                  </w:rPr>
                  <m:t>t</m:t>
                </m:r>
              </m:e>
              <m:sub>
                <m:r>
                  <w:rPr>
                    <w:rFonts w:ascii="Cambria Math" w:hAnsi="Cambria Math" w:cs="Verdana"/>
                    <w:lang w:eastAsia="es-CO"/>
                  </w:rPr>
                  <m:t>0</m:t>
                </m:r>
              </m:sub>
            </m:sSub>
            <m:r>
              <m:rPr>
                <m:sty m:val="bi"/>
              </m:rPr>
              <w:rPr>
                <w:rFonts w:ascii="Cambria Math" w:hAnsi="Cambria Math" w:cs="Verdana"/>
                <w:lang w:eastAsia="es-CO"/>
              </w:rPr>
              <m:t>)</m:t>
            </m:r>
          </m:e>
          <m:sub>
            <m:r>
              <m:rPr>
                <m:sty m:val="bi"/>
              </m:rPr>
              <w:rPr>
                <w:rFonts w:ascii="Cambria Math" w:hAnsi="Cambria Math" w:cs="Verdana"/>
                <w:lang w:eastAsia="es-CO"/>
              </w:rPr>
              <m:t xml:space="preserve">USD </m:t>
            </m:r>
          </m:sub>
        </m:sSub>
        <m:r>
          <w:rPr>
            <w:rFonts w:ascii="Cambria Math" w:hAnsi="Cambria Math" w:cs="Verdana"/>
            <w:lang w:eastAsia="es-CO"/>
          </w:rPr>
          <m:t>*</m:t>
        </m:r>
        <m:sSub>
          <m:sSubPr>
            <m:ctrlPr>
              <w:rPr>
                <w:rFonts w:ascii="Cambria Math" w:hAnsi="Cambria Math" w:cs="Verdana"/>
                <w:bCs/>
                <w:i/>
                <w:lang w:eastAsia="es-CO"/>
              </w:rPr>
            </m:ctrlPr>
          </m:sSubPr>
          <m:e>
            <m:r>
              <w:rPr>
                <w:rFonts w:ascii="Cambria Math" w:hAnsi="Cambria Math" w:cs="Verdana"/>
                <w:lang w:eastAsia="es-CO"/>
              </w:rPr>
              <m:t>TRM</m:t>
            </m:r>
          </m:e>
          <m:sub>
            <m:r>
              <w:rPr>
                <w:rFonts w:ascii="Cambria Math" w:hAnsi="Cambria Math" w:cs="Verdana"/>
                <w:lang w:eastAsia="es-CO"/>
              </w:rPr>
              <m:t>t-2</m:t>
            </m:r>
          </m:sub>
        </m:sSub>
      </m:oMath>
      <w:r>
        <w:rPr>
          <w:rFonts w:ascii="Arial Narrow" w:hAnsi="Arial Narrow" w:cs="Verdana"/>
          <w:bCs/>
          <w:lang w:eastAsia="es-CO"/>
        </w:rPr>
        <w:t xml:space="preserve"> </w:t>
      </w:r>
    </w:p>
    <w:p w14:paraId="5E5755D9" w14:textId="77777777" w:rsidR="007968EC" w:rsidRPr="005F10B9" w:rsidRDefault="007968EC" w:rsidP="007968EC">
      <w:pPr>
        <w:contextualSpacing/>
        <w:jc w:val="both"/>
        <w:rPr>
          <w:rFonts w:ascii="Arial Narrow" w:eastAsia="Calibri" w:hAnsi="Arial Narrow"/>
          <w:color w:val="000000" w:themeColor="text1"/>
        </w:rPr>
      </w:pPr>
    </w:p>
    <w:p w14:paraId="57854776" w14:textId="77777777" w:rsidR="007968EC" w:rsidRDefault="007968EC" w:rsidP="007968EC">
      <w:pPr>
        <w:autoSpaceDE w:val="0"/>
        <w:autoSpaceDN w:val="0"/>
        <w:adjustRightInd w:val="0"/>
        <w:ind w:firstLine="425"/>
        <w:jc w:val="both"/>
        <w:rPr>
          <w:rFonts w:ascii="Arial Narrow" w:hAnsi="Arial Narrow" w:cs="Verdana"/>
          <w:bCs/>
        </w:rPr>
      </w:pPr>
      <w:r w:rsidRPr="005F10B9">
        <w:rPr>
          <w:rFonts w:ascii="Arial Narrow" w:hAnsi="Arial Narrow" w:cs="Verdana"/>
          <w:bCs/>
        </w:rPr>
        <w:t>Donde:</w:t>
      </w:r>
    </w:p>
    <w:p w14:paraId="2F136DB5" w14:textId="77777777" w:rsidR="007968EC" w:rsidRPr="005F10B9" w:rsidRDefault="007968EC" w:rsidP="007968EC">
      <w:pPr>
        <w:autoSpaceDE w:val="0"/>
        <w:autoSpaceDN w:val="0"/>
        <w:adjustRightInd w:val="0"/>
        <w:ind w:firstLine="425"/>
        <w:jc w:val="both"/>
        <w:rPr>
          <w:rFonts w:ascii="Arial Narrow" w:hAnsi="Arial Narrow" w:cs="Verdana"/>
          <w:bCs/>
        </w:rPr>
      </w:pPr>
    </w:p>
    <w:p w14:paraId="17648B8D" w14:textId="77777777" w:rsidR="007968EC" w:rsidRDefault="00682D97" w:rsidP="007968EC">
      <w:pPr>
        <w:autoSpaceDE w:val="0"/>
        <w:autoSpaceDN w:val="0"/>
        <w:adjustRightInd w:val="0"/>
        <w:ind w:left="425"/>
        <w:jc w:val="both"/>
        <w:rPr>
          <w:rFonts w:ascii="Arial Narrow" w:hAnsi="Arial Narrow" w:cs="Verdana"/>
          <w:bCs/>
        </w:rPr>
      </w:pPr>
      <m:oMath>
        <m:sSub>
          <m:sSubPr>
            <m:ctrlPr>
              <w:rPr>
                <w:rFonts w:ascii="Cambria Math" w:hAnsi="Cambria Math" w:cs="Verdana"/>
                <w:bCs/>
                <w:i/>
                <w:lang w:eastAsia="es-CO"/>
              </w:rPr>
            </m:ctrlPr>
          </m:sSubPr>
          <m:e>
            <m:r>
              <m:rPr>
                <m:sty m:val="bi"/>
              </m:rPr>
              <w:rPr>
                <w:rFonts w:ascii="Cambria Math" w:hAnsi="Cambria Math" w:cs="Verdana"/>
                <w:lang w:eastAsia="es-CO"/>
              </w:rPr>
              <m:t>N(</m:t>
            </m:r>
            <m:sSub>
              <m:sSubPr>
                <m:ctrlPr>
                  <w:rPr>
                    <w:rFonts w:ascii="Cambria Math" w:hAnsi="Cambria Math" w:cs="Verdana"/>
                    <w:bCs/>
                    <w:i/>
                    <w:lang w:eastAsia="es-CO"/>
                  </w:rPr>
                </m:ctrlPr>
              </m:sSubPr>
              <m:e>
                <m:r>
                  <w:rPr>
                    <w:rFonts w:ascii="Cambria Math" w:hAnsi="Cambria Math" w:cs="Verdana"/>
                    <w:lang w:eastAsia="es-CO"/>
                  </w:rPr>
                  <m:t>t</m:t>
                </m:r>
              </m:e>
              <m:sub>
                <m:r>
                  <w:rPr>
                    <w:rFonts w:ascii="Cambria Math" w:hAnsi="Cambria Math" w:cs="Verdana"/>
                    <w:lang w:eastAsia="es-CO"/>
                  </w:rPr>
                  <m:t>0</m:t>
                </m:r>
              </m:sub>
            </m:sSub>
            <m:r>
              <m:rPr>
                <m:sty m:val="bi"/>
              </m:rPr>
              <w:rPr>
                <w:rFonts w:ascii="Cambria Math" w:hAnsi="Cambria Math" w:cs="Verdana"/>
                <w:lang w:eastAsia="es-CO"/>
              </w:rPr>
              <m:t>)</m:t>
            </m:r>
          </m:e>
          <m:sub>
            <m:r>
              <m:rPr>
                <m:sty m:val="bi"/>
              </m:rPr>
              <w:rPr>
                <w:rFonts w:ascii="Cambria Math" w:hAnsi="Cambria Math" w:cs="Verdana"/>
                <w:lang w:eastAsia="es-CO"/>
              </w:rPr>
              <m:t>COP</m:t>
            </m:r>
          </m:sub>
        </m:sSub>
        <m:r>
          <w:rPr>
            <w:rFonts w:ascii="Cambria Math" w:hAnsi="Cambria Math" w:cs="Verdana"/>
          </w:rPr>
          <m:t>:</m:t>
        </m:r>
      </m:oMath>
      <w:r w:rsidR="007968EC" w:rsidRPr="005F10B9">
        <w:rPr>
          <w:rFonts w:ascii="Arial Narrow" w:hAnsi="Arial Narrow" w:cs="Verdana"/>
          <w:bCs/>
        </w:rPr>
        <w:t xml:space="preserve"> </w:t>
      </w:r>
      <w:r w:rsidR="007968EC">
        <w:rPr>
          <w:rFonts w:ascii="Arial Narrow" w:hAnsi="Arial Narrow" w:cs="Verdana"/>
          <w:bCs/>
        </w:rPr>
        <w:t>Nominal en COP pactado al momento de la Negociación. Llevará signo positivo en el caso en que reciba COP y negativo en el caso en que pague COP.</w:t>
      </w:r>
    </w:p>
    <w:p w14:paraId="074A6F0D" w14:textId="77777777" w:rsidR="007968EC" w:rsidRDefault="00682D97" w:rsidP="007968EC">
      <w:pPr>
        <w:autoSpaceDE w:val="0"/>
        <w:autoSpaceDN w:val="0"/>
        <w:adjustRightInd w:val="0"/>
        <w:ind w:left="425"/>
        <w:jc w:val="both"/>
        <w:rPr>
          <w:rFonts w:ascii="Arial Narrow" w:hAnsi="Arial Narrow" w:cs="Verdana"/>
          <w:bCs/>
        </w:rPr>
      </w:pPr>
      <m:oMath>
        <m:sSub>
          <m:sSubPr>
            <m:ctrlPr>
              <w:rPr>
                <w:rFonts w:ascii="Cambria Math" w:hAnsi="Cambria Math" w:cs="Verdana"/>
                <w:bCs/>
                <w:i/>
                <w:lang w:eastAsia="es-CO"/>
              </w:rPr>
            </m:ctrlPr>
          </m:sSubPr>
          <m:e>
            <m:r>
              <m:rPr>
                <m:sty m:val="bi"/>
              </m:rPr>
              <w:rPr>
                <w:rFonts w:ascii="Cambria Math" w:hAnsi="Cambria Math" w:cs="Verdana"/>
                <w:lang w:eastAsia="es-CO"/>
              </w:rPr>
              <m:t>N(</m:t>
            </m:r>
            <m:sSub>
              <m:sSubPr>
                <m:ctrlPr>
                  <w:rPr>
                    <w:rFonts w:ascii="Cambria Math" w:hAnsi="Cambria Math" w:cs="Verdana"/>
                    <w:bCs/>
                    <w:i/>
                    <w:lang w:eastAsia="es-CO"/>
                  </w:rPr>
                </m:ctrlPr>
              </m:sSubPr>
              <m:e>
                <m:r>
                  <w:rPr>
                    <w:rFonts w:ascii="Cambria Math" w:hAnsi="Cambria Math" w:cs="Verdana"/>
                    <w:lang w:eastAsia="es-CO"/>
                  </w:rPr>
                  <m:t>t</m:t>
                </m:r>
              </m:e>
              <m:sub>
                <m:r>
                  <w:rPr>
                    <w:rFonts w:ascii="Cambria Math" w:hAnsi="Cambria Math" w:cs="Verdana"/>
                    <w:lang w:eastAsia="es-CO"/>
                  </w:rPr>
                  <m:t>0</m:t>
                </m:r>
              </m:sub>
            </m:sSub>
            <m:r>
              <m:rPr>
                <m:sty m:val="bi"/>
              </m:rPr>
              <w:rPr>
                <w:rFonts w:ascii="Cambria Math" w:hAnsi="Cambria Math" w:cs="Verdana"/>
                <w:lang w:eastAsia="es-CO"/>
              </w:rPr>
              <m:t>)</m:t>
            </m:r>
          </m:e>
          <m:sub>
            <m:r>
              <m:rPr>
                <m:sty m:val="bi"/>
              </m:rPr>
              <w:rPr>
                <w:rFonts w:ascii="Cambria Math" w:hAnsi="Cambria Math" w:cs="Verdana"/>
                <w:lang w:eastAsia="es-CO"/>
              </w:rPr>
              <m:t>USD</m:t>
            </m:r>
          </m:sub>
        </m:sSub>
        <m:r>
          <w:rPr>
            <w:rFonts w:ascii="Cambria Math" w:hAnsi="Cambria Math" w:cs="Verdana"/>
          </w:rPr>
          <m:t>:</m:t>
        </m:r>
      </m:oMath>
      <w:r w:rsidR="007968EC" w:rsidRPr="005F10B9">
        <w:rPr>
          <w:rFonts w:ascii="Arial Narrow" w:hAnsi="Arial Narrow" w:cs="Verdana"/>
          <w:bCs/>
        </w:rPr>
        <w:t xml:space="preserve"> </w:t>
      </w:r>
      <w:r w:rsidR="007968EC">
        <w:rPr>
          <w:rFonts w:ascii="Arial Narrow" w:hAnsi="Arial Narrow" w:cs="Verdana"/>
          <w:bCs/>
        </w:rPr>
        <w:t>Nominal en USD pactado al momento de la Negociación. Llevará signo positivo en el caso en que pague USD y negativo en el caso en que reciba USD.</w:t>
      </w:r>
    </w:p>
    <w:p w14:paraId="4D92FC7F" w14:textId="77777777" w:rsidR="007968EC" w:rsidRDefault="007968EC" w:rsidP="007968EC">
      <w:pPr>
        <w:jc w:val="both"/>
        <w:rPr>
          <w:rFonts w:ascii="Arial Narrow" w:eastAsia="Calibri" w:hAnsi="Arial Narrow"/>
          <w:bCs/>
          <w:color w:val="000000" w:themeColor="text1"/>
        </w:rPr>
      </w:pPr>
    </w:p>
    <w:p w14:paraId="1AED6583" w14:textId="77777777" w:rsidR="007968EC" w:rsidRDefault="00682D97" w:rsidP="007968EC">
      <w:pPr>
        <w:autoSpaceDE w:val="0"/>
        <w:autoSpaceDN w:val="0"/>
        <w:adjustRightInd w:val="0"/>
        <w:ind w:left="426"/>
        <w:jc w:val="both"/>
        <w:rPr>
          <w:rFonts w:ascii="Arial Narrow" w:hAnsi="Arial Narrow" w:cs="Verdana"/>
          <w:bCs/>
          <w:lang w:eastAsia="es-CO"/>
        </w:rPr>
      </w:pPr>
      <m:oMath>
        <m:sSub>
          <m:sSubPr>
            <m:ctrlPr>
              <w:rPr>
                <w:rFonts w:ascii="Cambria Math" w:hAnsi="Cambria Math" w:cs="Verdana"/>
                <w:bCs/>
                <w:i/>
                <w:lang w:eastAsia="es-CO"/>
              </w:rPr>
            </m:ctrlPr>
          </m:sSubPr>
          <m:e>
            <m:r>
              <w:rPr>
                <w:rFonts w:ascii="Cambria Math" w:hAnsi="Cambria Math" w:cs="Verdana"/>
                <w:lang w:eastAsia="es-CO"/>
              </w:rPr>
              <m:t>TRM</m:t>
            </m:r>
          </m:e>
          <m:sub>
            <m:r>
              <w:rPr>
                <w:rFonts w:ascii="Cambria Math" w:hAnsi="Cambria Math" w:cs="Verdana"/>
                <w:lang w:eastAsia="es-CO"/>
              </w:rPr>
              <m:t>t-2</m:t>
            </m:r>
          </m:sub>
        </m:sSub>
      </m:oMath>
      <w:r w:rsidR="007968EC">
        <w:rPr>
          <w:rFonts w:ascii="Arial Narrow" w:hAnsi="Arial Narrow" w:cs="Verdana"/>
          <w:bCs/>
          <w:lang w:eastAsia="es-CO"/>
        </w:rPr>
        <w:t xml:space="preserve"> : Tasa de Cambio Representativa del M</w:t>
      </w:r>
      <w:r w:rsidR="007968EC" w:rsidRPr="00E41965">
        <w:rPr>
          <w:rFonts w:ascii="Arial Narrow" w:hAnsi="Arial Narrow" w:cs="Verdana"/>
          <w:bCs/>
          <w:lang w:eastAsia="es-CO"/>
        </w:rPr>
        <w:t>ercado</w:t>
      </w:r>
      <w:r w:rsidR="007968EC">
        <w:rPr>
          <w:rFonts w:ascii="Arial Narrow" w:hAnsi="Arial Narrow" w:cs="Verdana"/>
          <w:bCs/>
          <w:lang w:eastAsia="es-CO"/>
        </w:rPr>
        <w:t xml:space="preserve">, </w:t>
      </w:r>
      <w:r w:rsidR="007968EC" w:rsidRPr="00974697">
        <w:rPr>
          <w:rFonts w:ascii="Arial Narrow" w:hAnsi="Arial Narrow" w:cs="Verdana"/>
          <w:bCs/>
          <w:lang w:eastAsia="es-CO"/>
        </w:rPr>
        <w:t>es la cantidad de pesos colombianos por un dólar de los Estados Unidos</w:t>
      </w:r>
      <w:r w:rsidR="007968EC">
        <w:rPr>
          <w:rFonts w:ascii="Arial Narrow" w:hAnsi="Arial Narrow" w:cs="Verdana"/>
          <w:bCs/>
          <w:lang w:eastAsia="es-CO"/>
        </w:rPr>
        <w:t xml:space="preserve">. La TRM aplicada para el Intercambio de Nominal será la publicada el antepenúltimo día hábil (t-2 hábiles) respecto al día de vencimiento del swap. </w:t>
      </w:r>
    </w:p>
    <w:p w14:paraId="205C101C" w14:textId="77777777" w:rsidR="007968EC" w:rsidRPr="005F10B9" w:rsidRDefault="007968EC" w:rsidP="007968EC">
      <w:pPr>
        <w:autoSpaceDE w:val="0"/>
        <w:autoSpaceDN w:val="0"/>
        <w:adjustRightInd w:val="0"/>
        <w:ind w:left="425"/>
        <w:jc w:val="both"/>
        <w:rPr>
          <w:rFonts w:ascii="Arial Narrow" w:hAnsi="Arial Narrow" w:cs="Verdana"/>
          <w:bCs/>
        </w:rPr>
      </w:pPr>
    </w:p>
    <w:p w14:paraId="06E2BA86" w14:textId="77777777" w:rsidR="007968EC" w:rsidRDefault="007968EC" w:rsidP="00DA7472">
      <w:pPr>
        <w:pStyle w:val="Prrafodelista"/>
        <w:numPr>
          <w:ilvl w:val="0"/>
          <w:numId w:val="291"/>
        </w:numPr>
        <w:autoSpaceDE w:val="0"/>
        <w:autoSpaceDN w:val="0"/>
        <w:adjustRightInd w:val="0"/>
        <w:jc w:val="both"/>
        <w:rPr>
          <w:rFonts w:ascii="Arial Narrow" w:eastAsia="Calibri" w:hAnsi="Arial Narrow"/>
          <w:b w:val="0"/>
          <w:bCs/>
          <w:color w:val="000000" w:themeColor="text1"/>
          <w:u w:val="single"/>
        </w:rPr>
      </w:pPr>
      <w:r w:rsidRPr="00DF08D5">
        <w:rPr>
          <w:rFonts w:ascii="Arial Narrow" w:eastAsia="Calibri" w:hAnsi="Arial Narrow"/>
          <w:b w:val="0"/>
          <w:bCs/>
          <w:color w:val="000000" w:themeColor="text1"/>
          <w:u w:val="single"/>
        </w:rPr>
        <w:t xml:space="preserve">Cupones </w:t>
      </w:r>
    </w:p>
    <w:p w14:paraId="431A4A92" w14:textId="77777777" w:rsidR="007968EC" w:rsidRPr="00DF08D5" w:rsidRDefault="007968EC" w:rsidP="007968EC">
      <w:pPr>
        <w:pStyle w:val="Prrafodelista"/>
        <w:autoSpaceDE w:val="0"/>
        <w:autoSpaceDN w:val="0"/>
        <w:adjustRightInd w:val="0"/>
        <w:ind w:left="720"/>
        <w:jc w:val="both"/>
        <w:rPr>
          <w:rFonts w:ascii="Arial Narrow" w:eastAsia="Calibri" w:hAnsi="Arial Narrow"/>
          <w:bCs/>
          <w:color w:val="000000" w:themeColor="text1"/>
          <w:u w:val="single"/>
        </w:rPr>
      </w:pPr>
    </w:p>
    <w:p w14:paraId="62AB9D1A" w14:textId="77777777" w:rsidR="007968EC" w:rsidRPr="0027300F" w:rsidRDefault="007968EC" w:rsidP="007968EC">
      <w:pPr>
        <w:jc w:val="both"/>
        <w:rPr>
          <w:rFonts w:ascii="Arial Narrow" w:hAnsi="Arial Narrow"/>
        </w:rPr>
      </w:pPr>
      <w:r w:rsidRPr="005F10B9">
        <w:rPr>
          <w:rFonts w:ascii="Arial Narrow" w:eastAsia="Calibri" w:hAnsi="Arial Narrow"/>
          <w:bCs/>
          <w:color w:val="000000" w:themeColor="text1"/>
          <w:lang w:eastAsia="es-CO"/>
        </w:rPr>
        <w:t xml:space="preserve">La Cámara calculará </w:t>
      </w:r>
      <w:r>
        <w:rPr>
          <w:rFonts w:ascii="Arial Narrow" w:eastAsia="Calibri" w:hAnsi="Arial Narrow"/>
          <w:bCs/>
          <w:color w:val="000000" w:themeColor="text1"/>
          <w:lang w:eastAsia="es-CO"/>
        </w:rPr>
        <w:t xml:space="preserve">el último Cupón </w:t>
      </w:r>
      <w:r>
        <w:rPr>
          <w:rFonts w:ascii="Arial Narrow" w:eastAsia="Calibri" w:hAnsi="Arial Narrow"/>
          <w:color w:val="000000" w:themeColor="text1"/>
        </w:rPr>
        <w:t xml:space="preserve">sobre las Operaciones Swaps </w:t>
      </w:r>
      <w:r w:rsidRPr="005F10B9">
        <w:rPr>
          <w:rFonts w:ascii="Arial Narrow" w:eastAsia="Calibri" w:hAnsi="Arial Narrow"/>
          <w:bCs/>
          <w:color w:val="000000" w:themeColor="text1"/>
          <w:lang w:eastAsia="es-CO"/>
        </w:rPr>
        <w:t xml:space="preserve">de acuerdo con el procedimiento de cálculo establecido </w:t>
      </w:r>
      <w:r>
        <w:rPr>
          <w:rFonts w:ascii="Arial Narrow" w:eastAsia="Calibri" w:hAnsi="Arial Narrow"/>
          <w:bCs/>
          <w:color w:val="000000" w:themeColor="text1"/>
          <w:lang w:eastAsia="es-CO"/>
        </w:rPr>
        <w:t xml:space="preserve">en el Artículo 5.4.4.2 de </w:t>
      </w:r>
      <w:r w:rsidRPr="005F10B9">
        <w:rPr>
          <w:rFonts w:ascii="Arial Narrow" w:eastAsia="Calibri" w:hAnsi="Arial Narrow"/>
          <w:bCs/>
          <w:color w:val="000000" w:themeColor="text1"/>
          <w:lang w:eastAsia="es-CO"/>
        </w:rPr>
        <w:t xml:space="preserve">la presente Circular. </w:t>
      </w:r>
      <w:r>
        <w:rPr>
          <w:rFonts w:ascii="Arial Narrow" w:eastAsia="Calibri" w:hAnsi="Arial Narrow"/>
          <w:bCs/>
          <w:color w:val="000000" w:themeColor="text1"/>
          <w:lang w:eastAsia="es-CO"/>
        </w:rPr>
        <w:t>C</w:t>
      </w:r>
      <w:r>
        <w:rPr>
          <w:rFonts w:ascii="Arial Narrow" w:hAnsi="Arial Narrow"/>
        </w:rPr>
        <w:t xml:space="preserve">uando la </w:t>
      </w:r>
      <w:r>
        <w:rPr>
          <w:rFonts w:ascii="Arial Narrow" w:hAnsi="Arial Narrow"/>
          <w:color w:val="000000"/>
        </w:rPr>
        <w:t xml:space="preserve">diferencia entre los cupones fijos o variables a recibir o a pagar </w:t>
      </w:r>
      <w:r>
        <w:rPr>
          <w:rFonts w:ascii="Arial Narrow" w:hAnsi="Arial Narrow"/>
        </w:rPr>
        <w:t>de las Operaciones Aceptadas sobre Swaps con la misma fecha de pago</w:t>
      </w:r>
      <w:r>
        <w:rPr>
          <w:rFonts w:ascii="Arial Narrow" w:hAnsi="Arial Narrow"/>
          <w:color w:val="000000"/>
        </w:rPr>
        <w:t xml:space="preserve"> sea positiva se acreditará el valor a los Miembros Liquidadores, en caso contrario se debitará dicho valor. </w:t>
      </w:r>
    </w:p>
    <w:p w14:paraId="6CB6D505" w14:textId="77777777" w:rsidR="007968EC" w:rsidRPr="005F10B9" w:rsidRDefault="007968EC" w:rsidP="007968EC">
      <w:pPr>
        <w:pStyle w:val="ARTICULO0"/>
      </w:pPr>
      <w:bookmarkStart w:id="6370" w:name="_Toc493253256"/>
      <w:bookmarkStart w:id="6371" w:name="_Toc31716506"/>
      <w:r w:rsidRPr="005F10B9">
        <w:t>Artículo 5.4.3.4. Etapas del procedimiento de Liquidación al Vencimiento con Liquidación por Diferencias de Operaciones Swaps provenientes de sistemas de negociación y/o registro o cualquier Mecanismo de Contratación.</w:t>
      </w:r>
      <w:bookmarkEnd w:id="6370"/>
      <w:bookmarkEnd w:id="6371"/>
    </w:p>
    <w:p w14:paraId="3D171435" w14:textId="77777777" w:rsidR="007968EC" w:rsidRPr="005F10B9" w:rsidRDefault="007968EC" w:rsidP="007968EC">
      <w:pPr>
        <w:jc w:val="both"/>
        <w:rPr>
          <w:rFonts w:ascii="Arial Narrow" w:eastAsia="Calibri" w:hAnsi="Arial Narrow"/>
          <w:b/>
          <w:bCs/>
          <w:color w:val="000000" w:themeColor="text1"/>
        </w:rPr>
      </w:pPr>
    </w:p>
    <w:p w14:paraId="396F049B" w14:textId="77777777" w:rsidR="007968EC" w:rsidRPr="005F10B9" w:rsidRDefault="007968EC" w:rsidP="007968EC">
      <w:pPr>
        <w:jc w:val="both"/>
        <w:rPr>
          <w:rFonts w:ascii="Arial Narrow" w:eastAsia="Calibri" w:hAnsi="Arial Narrow"/>
          <w:color w:val="000000" w:themeColor="text1"/>
        </w:rPr>
      </w:pPr>
      <w:r w:rsidRPr="005F10B9">
        <w:rPr>
          <w:rFonts w:ascii="Arial Narrow" w:eastAsia="Calibri" w:hAnsi="Arial Narrow"/>
          <w:color w:val="000000" w:themeColor="text1"/>
        </w:rPr>
        <w:t xml:space="preserve">El procedimiento de Liquidación al Vencimiento de Operaciones </w:t>
      </w:r>
      <w:proofErr w:type="gramStart"/>
      <w:r w:rsidRPr="005F10B9">
        <w:rPr>
          <w:rFonts w:ascii="Arial Narrow" w:eastAsia="Calibri" w:hAnsi="Arial Narrow"/>
          <w:color w:val="000000" w:themeColor="text1"/>
        </w:rPr>
        <w:t>Swaps,</w:t>
      </w:r>
      <w:proofErr w:type="gramEnd"/>
      <w:r w:rsidRPr="005F10B9">
        <w:rPr>
          <w:rFonts w:ascii="Arial Narrow" w:eastAsia="Calibri" w:hAnsi="Arial Narrow"/>
          <w:color w:val="000000" w:themeColor="text1"/>
        </w:rPr>
        <w:t xml:space="preserve"> se llevará a cabo en las siguientes etapas:</w:t>
      </w:r>
    </w:p>
    <w:p w14:paraId="73106F7E" w14:textId="77777777" w:rsidR="007968EC" w:rsidRPr="005F10B9" w:rsidRDefault="007968EC" w:rsidP="007968EC">
      <w:pPr>
        <w:jc w:val="both"/>
        <w:rPr>
          <w:rFonts w:ascii="Arial Narrow" w:eastAsia="Calibri" w:hAnsi="Arial Narrow"/>
          <w:b/>
          <w:color w:val="000000" w:themeColor="text1"/>
        </w:rPr>
      </w:pPr>
    </w:p>
    <w:p w14:paraId="58923606" w14:textId="77777777" w:rsidR="007968EC" w:rsidRPr="005F10B9" w:rsidRDefault="007968EC" w:rsidP="00DA7472">
      <w:pPr>
        <w:numPr>
          <w:ilvl w:val="0"/>
          <w:numId w:val="331"/>
        </w:numPr>
        <w:ind w:left="426" w:hanging="426"/>
        <w:contextualSpacing/>
        <w:jc w:val="both"/>
        <w:rPr>
          <w:rFonts w:ascii="Arial Narrow" w:eastAsia="Calibri" w:hAnsi="Arial Narrow"/>
          <w:color w:val="000000" w:themeColor="text1"/>
        </w:rPr>
      </w:pPr>
      <w:r w:rsidRPr="005F10B9">
        <w:rPr>
          <w:rFonts w:ascii="Arial Narrow" w:eastAsia="Calibri" w:hAnsi="Arial Narrow"/>
          <w:color w:val="000000" w:themeColor="text1"/>
          <w:u w:val="single"/>
        </w:rPr>
        <w:t>Primera etapa</w:t>
      </w:r>
      <w:r w:rsidRPr="005F10B9">
        <w:rPr>
          <w:rFonts w:ascii="Arial Narrow" w:eastAsia="Calibri" w:hAnsi="Arial Narrow"/>
          <w:color w:val="000000" w:themeColor="text1"/>
        </w:rPr>
        <w:t>: La Cámara entregará al Miembro Liquidador la información acerca de la Liquidación al Vencimiento de las operaciones registradas a través del Sistema de Cámara al finalizar la Sesión de Cierre del día de vencimiento de las Operaciones Swaps Aceptadas. La información incluirá la situación detallada de sus Cuentas.</w:t>
      </w:r>
    </w:p>
    <w:p w14:paraId="7C2F6AC1" w14:textId="77777777" w:rsidR="007968EC" w:rsidRPr="005F10B9" w:rsidRDefault="007968EC" w:rsidP="007968EC">
      <w:pPr>
        <w:jc w:val="both"/>
        <w:rPr>
          <w:rFonts w:ascii="Arial Narrow" w:eastAsia="Calibri" w:hAnsi="Arial Narrow"/>
          <w:b/>
          <w:color w:val="000000" w:themeColor="text1"/>
        </w:rPr>
      </w:pPr>
    </w:p>
    <w:p w14:paraId="421F6181" w14:textId="77777777" w:rsidR="007968EC" w:rsidRPr="005F10B9" w:rsidRDefault="007968EC" w:rsidP="007968EC">
      <w:pPr>
        <w:ind w:left="426"/>
        <w:contextualSpacing/>
        <w:jc w:val="both"/>
        <w:rPr>
          <w:rFonts w:ascii="Arial Narrow" w:eastAsia="Calibri" w:hAnsi="Arial Narrow"/>
          <w:color w:val="000000" w:themeColor="text1"/>
        </w:rPr>
      </w:pPr>
      <w:r w:rsidRPr="005F10B9">
        <w:rPr>
          <w:rFonts w:ascii="Arial Narrow" w:eastAsia="Calibri" w:hAnsi="Arial Narrow"/>
          <w:color w:val="000000" w:themeColor="text1"/>
        </w:rPr>
        <w:lastRenderedPageBreak/>
        <w:t>Con base en la información, la Cámara procederá antes del inicio de la Sesión de Aceptación de Operaciones del día hábil siguiente a la preparación de las órdenes de transferencia por cargo o abono en la cuenta CUD del Miembro Liquidador en el Banco de la República.</w:t>
      </w:r>
    </w:p>
    <w:p w14:paraId="48EC6136" w14:textId="77777777" w:rsidR="007968EC" w:rsidRPr="005F10B9" w:rsidRDefault="007968EC" w:rsidP="007968EC">
      <w:pPr>
        <w:jc w:val="both"/>
        <w:rPr>
          <w:rFonts w:ascii="Arial Narrow" w:eastAsia="Calibri" w:hAnsi="Arial Narrow"/>
          <w:b/>
          <w:color w:val="000000" w:themeColor="text1"/>
        </w:rPr>
      </w:pPr>
    </w:p>
    <w:p w14:paraId="2F5A3C2B" w14:textId="77777777" w:rsidR="007968EC" w:rsidRPr="005F10B9" w:rsidRDefault="007968EC" w:rsidP="00DA7472">
      <w:pPr>
        <w:numPr>
          <w:ilvl w:val="0"/>
          <w:numId w:val="331"/>
        </w:numPr>
        <w:ind w:left="426" w:hanging="426"/>
        <w:contextualSpacing/>
        <w:jc w:val="both"/>
        <w:rPr>
          <w:rFonts w:ascii="Arial Narrow" w:eastAsia="Calibri" w:hAnsi="Arial Narrow"/>
          <w:color w:val="000000" w:themeColor="text1"/>
        </w:rPr>
      </w:pPr>
      <w:r w:rsidRPr="005F10B9">
        <w:rPr>
          <w:rFonts w:ascii="Arial Narrow" w:eastAsia="Calibri" w:hAnsi="Arial Narrow"/>
          <w:color w:val="000000" w:themeColor="text1"/>
          <w:u w:val="single"/>
        </w:rPr>
        <w:t>Segunda etapa</w:t>
      </w:r>
      <w:r w:rsidRPr="005F10B9">
        <w:rPr>
          <w:rFonts w:ascii="Arial Narrow" w:eastAsia="Calibri" w:hAnsi="Arial Narrow"/>
          <w:color w:val="000000" w:themeColor="text1"/>
        </w:rPr>
        <w:t>: Se realiza en la Sesión denominada Liquidación al Vencimiento cuando las Operaciones Aceptadas deban ser cumplidas con Liquidación por Diferencias. La Cámara transmite las órdenes de transferencia de cargo y abono en la cuenta CUD de los Miembros Liquidadores hacia el Sistema de Pagos del Banco de la República, de conformidad con la autorización de débito automático otorgada por cada uno de los Miembros Liquidadores a la Cámara.</w:t>
      </w:r>
    </w:p>
    <w:p w14:paraId="33C31883" w14:textId="77777777" w:rsidR="007968EC" w:rsidRPr="005F10B9" w:rsidRDefault="007968EC" w:rsidP="007968EC">
      <w:pPr>
        <w:ind w:left="426"/>
        <w:contextualSpacing/>
        <w:jc w:val="both"/>
        <w:rPr>
          <w:rFonts w:ascii="Arial Narrow" w:eastAsia="Calibri" w:hAnsi="Arial Narrow"/>
          <w:b/>
          <w:color w:val="000000" w:themeColor="text1"/>
        </w:rPr>
      </w:pPr>
    </w:p>
    <w:p w14:paraId="5E9019BA" w14:textId="77777777" w:rsidR="007968EC" w:rsidRPr="005F10B9" w:rsidRDefault="007968EC" w:rsidP="00DA7472">
      <w:pPr>
        <w:numPr>
          <w:ilvl w:val="0"/>
          <w:numId w:val="331"/>
        </w:numPr>
        <w:ind w:left="426" w:hanging="426"/>
        <w:contextualSpacing/>
        <w:jc w:val="both"/>
        <w:rPr>
          <w:rFonts w:ascii="Arial Narrow" w:eastAsia="Calibri" w:hAnsi="Arial Narrow"/>
          <w:b/>
          <w:color w:val="000000" w:themeColor="text1"/>
        </w:rPr>
      </w:pPr>
      <w:r w:rsidRPr="005F10B9">
        <w:rPr>
          <w:rFonts w:ascii="Arial Narrow" w:eastAsia="Calibri" w:hAnsi="Arial Narrow"/>
          <w:color w:val="000000" w:themeColor="text1"/>
          <w:u w:val="single"/>
        </w:rPr>
        <w:t>Tercera etapa:</w:t>
      </w:r>
      <w:r w:rsidRPr="005F10B9">
        <w:rPr>
          <w:rFonts w:ascii="Arial Narrow" w:eastAsia="Calibri" w:hAnsi="Arial Narrow"/>
          <w:color w:val="000000" w:themeColor="text1"/>
        </w:rPr>
        <w:t xml:space="preserve"> Una vez concluida la Sesión de Liquidación al Vencimiento cuando las Operaciones Aceptadas deban ser cumplidas con Liquidación por Diferencias, los Miembros Liquidadores, tienen la obligación de efectuar el proceso de entrega y cobro de efectivo a los Miembros no Liquidadores, correspondientes a la Liquidación al Vencimiento. </w:t>
      </w:r>
    </w:p>
    <w:p w14:paraId="5937E0FE" w14:textId="77777777" w:rsidR="007968EC" w:rsidRPr="005F10B9" w:rsidRDefault="007968EC" w:rsidP="007968EC">
      <w:pPr>
        <w:keepNext/>
        <w:autoSpaceDE w:val="0"/>
        <w:autoSpaceDN w:val="0"/>
        <w:ind w:left="426" w:hanging="426"/>
        <w:contextualSpacing/>
        <w:jc w:val="both"/>
        <w:rPr>
          <w:rFonts w:ascii="Arial Narrow" w:eastAsia="Calibri" w:hAnsi="Arial Narrow"/>
          <w:b/>
          <w:color w:val="000000" w:themeColor="text1"/>
        </w:rPr>
      </w:pPr>
    </w:p>
    <w:p w14:paraId="4FBF43BE" w14:textId="77777777" w:rsidR="007968EC" w:rsidRPr="005F10B9" w:rsidRDefault="007968EC" w:rsidP="007968EC">
      <w:pPr>
        <w:pStyle w:val="ARTICULO0"/>
      </w:pPr>
      <w:bookmarkStart w:id="6372" w:name="_Toc493253257"/>
      <w:bookmarkStart w:id="6373" w:name="_Toc31716507"/>
      <w:r w:rsidRPr="005F10B9">
        <w:t>Artículo 5.4.3.5. Pagos de las Operaciones Swaps provenientes de sistemas de negociación y/o registro o cualquier Mecanismo de Contratación.</w:t>
      </w:r>
      <w:bookmarkEnd w:id="6372"/>
      <w:bookmarkEnd w:id="6373"/>
    </w:p>
    <w:p w14:paraId="7796B732" w14:textId="77777777" w:rsidR="007968EC" w:rsidRPr="005F10B9" w:rsidRDefault="007968EC" w:rsidP="007968EC">
      <w:pPr>
        <w:jc w:val="both"/>
        <w:rPr>
          <w:rFonts w:ascii="Arial Narrow" w:eastAsia="Calibri" w:hAnsi="Arial Narrow"/>
          <w:b/>
          <w:bCs/>
          <w:color w:val="000000" w:themeColor="text1"/>
        </w:rPr>
      </w:pPr>
    </w:p>
    <w:p w14:paraId="6BFEFDEF" w14:textId="77777777" w:rsidR="007968EC" w:rsidRPr="005F10B9" w:rsidRDefault="007968EC" w:rsidP="007968EC">
      <w:pPr>
        <w:jc w:val="both"/>
        <w:rPr>
          <w:rFonts w:ascii="Arial Narrow" w:eastAsia="Calibri" w:hAnsi="Arial Narrow"/>
          <w:bCs/>
          <w:color w:val="000000" w:themeColor="text1"/>
        </w:rPr>
      </w:pPr>
      <w:r w:rsidRPr="005F10B9">
        <w:rPr>
          <w:rFonts w:ascii="Arial Narrow" w:eastAsia="Calibri" w:hAnsi="Arial Narrow"/>
          <w:bCs/>
          <w:color w:val="000000" w:themeColor="text1"/>
        </w:rPr>
        <w:t>Este proceso se lleva a cabo durante la Sesión denominada Liquidación al Vencimiento cuando las Operaciones Aceptadas deban ser cumplidas con Liquidación por Diferencias, y se llevan a cabo las siguientes actividades:</w:t>
      </w:r>
    </w:p>
    <w:p w14:paraId="3060B4EF" w14:textId="77777777" w:rsidR="007968EC" w:rsidRPr="005F10B9" w:rsidRDefault="007968EC" w:rsidP="007968EC">
      <w:pPr>
        <w:jc w:val="both"/>
        <w:rPr>
          <w:rFonts w:ascii="Arial Narrow" w:eastAsia="Calibri" w:hAnsi="Arial Narrow"/>
          <w:bCs/>
          <w:color w:val="000000" w:themeColor="text1"/>
        </w:rPr>
      </w:pPr>
    </w:p>
    <w:p w14:paraId="0909F916" w14:textId="77777777" w:rsidR="007968EC" w:rsidRPr="005F10B9" w:rsidRDefault="007968EC" w:rsidP="00DA7472">
      <w:pPr>
        <w:numPr>
          <w:ilvl w:val="0"/>
          <w:numId w:val="332"/>
        </w:numPr>
        <w:ind w:left="426" w:hanging="426"/>
        <w:contextualSpacing/>
        <w:jc w:val="both"/>
        <w:rPr>
          <w:rFonts w:ascii="Arial Narrow" w:eastAsia="Calibri" w:hAnsi="Arial Narrow"/>
          <w:bCs/>
          <w:color w:val="000000" w:themeColor="text1"/>
        </w:rPr>
      </w:pPr>
      <w:r w:rsidRPr="005F10B9">
        <w:rPr>
          <w:rFonts w:ascii="Arial Narrow" w:eastAsia="Calibri" w:hAnsi="Arial Narrow"/>
          <w:bCs/>
          <w:color w:val="000000" w:themeColor="text1"/>
        </w:rPr>
        <w:t>El Sistema genera las órdenes de transferencia al sistema de pagos del Banco de la República, con la solicitud de débito de dinero efectivo de las cuentas de depósito de los Miembros Liquidadores que quedaron con una Posición neta deudora, para ser acreditado a la cuenta de la Cámara en el Banco de la República.</w:t>
      </w:r>
    </w:p>
    <w:p w14:paraId="5EA586AD" w14:textId="77777777" w:rsidR="007968EC" w:rsidRPr="005F10B9" w:rsidRDefault="007968EC" w:rsidP="007968EC">
      <w:pPr>
        <w:ind w:left="426"/>
        <w:contextualSpacing/>
        <w:jc w:val="both"/>
        <w:rPr>
          <w:rFonts w:ascii="Arial Narrow" w:eastAsia="Calibri" w:hAnsi="Arial Narrow"/>
          <w:bCs/>
          <w:color w:val="000000" w:themeColor="text1"/>
        </w:rPr>
      </w:pPr>
    </w:p>
    <w:p w14:paraId="0F2C71D8" w14:textId="77777777" w:rsidR="007968EC" w:rsidRPr="005F10B9" w:rsidRDefault="007968EC" w:rsidP="00DA7472">
      <w:pPr>
        <w:numPr>
          <w:ilvl w:val="0"/>
          <w:numId w:val="332"/>
        </w:numPr>
        <w:ind w:left="426" w:hanging="426"/>
        <w:contextualSpacing/>
        <w:jc w:val="both"/>
        <w:rPr>
          <w:rFonts w:ascii="Arial Narrow" w:eastAsia="Calibri" w:hAnsi="Arial Narrow"/>
          <w:bCs/>
          <w:color w:val="000000" w:themeColor="text1"/>
        </w:rPr>
      </w:pPr>
      <w:r w:rsidRPr="005F10B9">
        <w:rPr>
          <w:rFonts w:ascii="Arial Narrow" w:eastAsia="Calibri" w:hAnsi="Arial Narrow"/>
          <w:bCs/>
          <w:color w:val="000000" w:themeColor="text1"/>
          <w:lang w:eastAsia="es-CO"/>
        </w:rPr>
        <w:t xml:space="preserve">Las órdenes enviadas por la Cámara ingresarán al sistema de pagos con Prioridad 1 en el orden de Liquidación de las transacciones en la fila de espera de la cuenta a debitar. </w:t>
      </w:r>
    </w:p>
    <w:p w14:paraId="37181A86" w14:textId="77777777" w:rsidR="007968EC" w:rsidRPr="005F10B9" w:rsidRDefault="007968EC" w:rsidP="007968EC">
      <w:pPr>
        <w:ind w:left="426" w:hanging="426"/>
        <w:contextualSpacing/>
        <w:jc w:val="both"/>
        <w:rPr>
          <w:rFonts w:ascii="Arial Narrow" w:eastAsia="Calibri" w:hAnsi="Arial Narrow"/>
          <w:bCs/>
          <w:color w:val="000000" w:themeColor="text1"/>
        </w:rPr>
      </w:pPr>
    </w:p>
    <w:p w14:paraId="32BE6338" w14:textId="77777777" w:rsidR="007968EC" w:rsidRPr="005F10B9" w:rsidRDefault="007968EC" w:rsidP="00DA7472">
      <w:pPr>
        <w:numPr>
          <w:ilvl w:val="0"/>
          <w:numId w:val="332"/>
        </w:numPr>
        <w:ind w:left="426" w:hanging="426"/>
        <w:contextualSpacing/>
        <w:jc w:val="both"/>
        <w:rPr>
          <w:rFonts w:ascii="Arial Narrow" w:eastAsia="Calibri" w:hAnsi="Arial Narrow"/>
          <w:bCs/>
          <w:color w:val="000000" w:themeColor="text1"/>
        </w:rPr>
      </w:pPr>
      <w:r w:rsidRPr="005F10B9">
        <w:rPr>
          <w:rFonts w:ascii="Arial Narrow" w:eastAsia="Calibri" w:hAnsi="Arial Narrow"/>
          <w:bCs/>
          <w:color w:val="000000" w:themeColor="text1"/>
        </w:rPr>
        <w:t>El Sistema de pagos verifica saldos y realiza la transferencia automática de los fondos a la cuenta de la Cámara.</w:t>
      </w:r>
    </w:p>
    <w:p w14:paraId="4CF11B55" w14:textId="77777777" w:rsidR="007968EC" w:rsidRPr="005F10B9" w:rsidRDefault="007968EC" w:rsidP="007968EC">
      <w:pPr>
        <w:ind w:left="426" w:hanging="426"/>
        <w:contextualSpacing/>
        <w:jc w:val="both"/>
        <w:rPr>
          <w:rFonts w:ascii="Arial Narrow" w:eastAsia="Calibri" w:hAnsi="Arial Narrow"/>
          <w:bCs/>
          <w:color w:val="000000" w:themeColor="text1"/>
        </w:rPr>
      </w:pPr>
    </w:p>
    <w:p w14:paraId="58B26A5D" w14:textId="77777777" w:rsidR="007968EC" w:rsidRPr="005F10B9" w:rsidRDefault="007968EC" w:rsidP="00DA7472">
      <w:pPr>
        <w:numPr>
          <w:ilvl w:val="0"/>
          <w:numId w:val="332"/>
        </w:numPr>
        <w:ind w:left="426" w:hanging="426"/>
        <w:contextualSpacing/>
        <w:jc w:val="both"/>
        <w:rPr>
          <w:rFonts w:ascii="Arial Narrow" w:eastAsia="Calibri" w:hAnsi="Arial Narrow"/>
          <w:bCs/>
          <w:color w:val="000000" w:themeColor="text1"/>
        </w:rPr>
      </w:pPr>
      <w:r w:rsidRPr="005F10B9">
        <w:rPr>
          <w:rFonts w:ascii="Arial Narrow" w:eastAsia="Calibri" w:hAnsi="Arial Narrow"/>
          <w:bCs/>
          <w:color w:val="000000" w:themeColor="text1"/>
        </w:rPr>
        <w:t>Una vez realizada la transferencia, el Sistema de Pagos informa a la Cámara que el registro de cada orden de transferencia fue aprobada o rechazada.</w:t>
      </w:r>
    </w:p>
    <w:p w14:paraId="4FA74D7F" w14:textId="77777777" w:rsidR="007968EC" w:rsidRPr="005F10B9" w:rsidRDefault="007968EC" w:rsidP="007968EC">
      <w:pPr>
        <w:ind w:left="426" w:hanging="426"/>
        <w:contextualSpacing/>
        <w:jc w:val="both"/>
        <w:rPr>
          <w:rFonts w:ascii="Arial Narrow" w:eastAsia="Calibri" w:hAnsi="Arial Narrow"/>
          <w:bCs/>
          <w:color w:val="000000" w:themeColor="text1"/>
        </w:rPr>
      </w:pPr>
    </w:p>
    <w:p w14:paraId="6054E790" w14:textId="77777777" w:rsidR="007968EC" w:rsidRPr="005F10B9" w:rsidRDefault="007968EC" w:rsidP="00DA7472">
      <w:pPr>
        <w:numPr>
          <w:ilvl w:val="0"/>
          <w:numId w:val="332"/>
        </w:numPr>
        <w:ind w:left="426" w:hanging="426"/>
        <w:contextualSpacing/>
        <w:jc w:val="both"/>
        <w:rPr>
          <w:rFonts w:ascii="Arial Narrow" w:eastAsia="Calibri" w:hAnsi="Arial Narrow"/>
          <w:bCs/>
          <w:color w:val="000000" w:themeColor="text1"/>
        </w:rPr>
      </w:pPr>
      <w:r w:rsidRPr="005F10B9">
        <w:rPr>
          <w:rFonts w:ascii="Arial Narrow" w:eastAsia="Calibri" w:hAnsi="Arial Narrow"/>
          <w:bCs/>
          <w:color w:val="000000" w:themeColor="text1"/>
        </w:rPr>
        <w:t>En caso de que una o varias órdenes de transferencia hayan sido rechazadas, la Cámara solicitará al Miembro Liquidador gestionar el traslado de fondos pendientes dentro del horario previsto para la Sesión Liquidación al Vencimiento cuando las Operaciones Aceptadas deban ser cumplidas con Liquidación por Diferencias y en caso contrario aplicará el proceso de retardo y/o incumplimiento previsto en el Reglamento y en la presente Circular.</w:t>
      </w:r>
    </w:p>
    <w:p w14:paraId="344464C4" w14:textId="77777777" w:rsidR="007968EC" w:rsidRPr="005F10B9" w:rsidRDefault="007968EC" w:rsidP="007968EC">
      <w:pPr>
        <w:ind w:left="426" w:hanging="426"/>
        <w:contextualSpacing/>
        <w:jc w:val="both"/>
        <w:rPr>
          <w:rFonts w:ascii="Arial Narrow" w:eastAsia="Calibri" w:hAnsi="Arial Narrow"/>
          <w:bCs/>
          <w:color w:val="000000" w:themeColor="text1"/>
        </w:rPr>
      </w:pPr>
    </w:p>
    <w:p w14:paraId="3EDA8ACB" w14:textId="77777777" w:rsidR="007968EC" w:rsidRPr="005F10B9" w:rsidRDefault="007968EC" w:rsidP="00DA7472">
      <w:pPr>
        <w:numPr>
          <w:ilvl w:val="0"/>
          <w:numId w:val="332"/>
        </w:numPr>
        <w:ind w:left="426" w:hanging="426"/>
        <w:contextualSpacing/>
        <w:jc w:val="both"/>
        <w:rPr>
          <w:rFonts w:ascii="Arial Narrow" w:eastAsia="Calibri" w:hAnsi="Arial Narrow"/>
          <w:bCs/>
          <w:color w:val="000000" w:themeColor="text1"/>
        </w:rPr>
      </w:pPr>
      <w:r w:rsidRPr="005F10B9">
        <w:rPr>
          <w:rFonts w:ascii="Arial Narrow" w:eastAsia="Calibri" w:hAnsi="Arial Narrow"/>
          <w:bCs/>
          <w:color w:val="000000" w:themeColor="text1"/>
        </w:rPr>
        <w:lastRenderedPageBreak/>
        <w:t>Una vez la Cámara cuente con todos los recursos, genera una orden para el sistema de pagos del Banco de la República con las transferencias de débito/abono de dineros de la cuenta de la Cámara a las cuentas de los Miembros Liquidadores que quedaron con una Posición neta acreedora.</w:t>
      </w:r>
    </w:p>
    <w:p w14:paraId="610B748C" w14:textId="77777777" w:rsidR="007968EC" w:rsidRPr="005F10B9" w:rsidRDefault="007968EC" w:rsidP="007968EC">
      <w:pPr>
        <w:keepNext/>
        <w:outlineLvl w:val="0"/>
        <w:rPr>
          <w:rFonts w:ascii="Arial Narrow" w:eastAsia="Calibri" w:hAnsi="Arial Narrow"/>
          <w:bCs/>
          <w:color w:val="000000" w:themeColor="text1"/>
        </w:rPr>
      </w:pPr>
    </w:p>
    <w:p w14:paraId="0F8300CB" w14:textId="77777777" w:rsidR="007968EC" w:rsidRPr="005F10B9" w:rsidRDefault="007968EC" w:rsidP="007968EC">
      <w:pPr>
        <w:keepNext/>
        <w:outlineLvl w:val="0"/>
        <w:rPr>
          <w:rFonts w:ascii="Arial Narrow" w:eastAsia="Calibri" w:hAnsi="Arial Narrow" w:cs="Arial"/>
          <w:b/>
          <w:kern w:val="32"/>
          <w:lang w:val="es-ES"/>
        </w:rPr>
      </w:pPr>
    </w:p>
    <w:p w14:paraId="2FC22EBC" w14:textId="77777777" w:rsidR="007968EC" w:rsidRPr="005F10B9" w:rsidRDefault="007968EC" w:rsidP="007968EC">
      <w:pPr>
        <w:pStyle w:val="TTULO"/>
        <w:rPr>
          <w:rFonts w:eastAsia="Calibri"/>
        </w:rPr>
      </w:pPr>
      <w:bookmarkStart w:id="6374" w:name="_Toc31716508"/>
      <w:r w:rsidRPr="005F10B9">
        <w:rPr>
          <w:rFonts w:eastAsia="Calibri"/>
        </w:rPr>
        <w:t>CAPÍTULO CUARTO</w:t>
      </w:r>
      <w:bookmarkEnd w:id="6374"/>
    </w:p>
    <w:p w14:paraId="4787A49C" w14:textId="77777777" w:rsidR="007968EC" w:rsidRPr="005F10B9" w:rsidRDefault="007968EC" w:rsidP="007968EC">
      <w:pPr>
        <w:pStyle w:val="TTULO"/>
        <w:rPr>
          <w:rFonts w:eastAsia="Calibri"/>
        </w:rPr>
      </w:pPr>
    </w:p>
    <w:p w14:paraId="39C2C4FF" w14:textId="77777777" w:rsidR="007968EC" w:rsidRPr="005F10B9" w:rsidRDefault="007968EC" w:rsidP="007968EC">
      <w:pPr>
        <w:pStyle w:val="TTULO"/>
        <w:rPr>
          <w:rFonts w:eastAsia="Calibri"/>
        </w:rPr>
      </w:pPr>
      <w:bookmarkStart w:id="6375" w:name="_Toc31716509"/>
      <w:r w:rsidRPr="005F10B9">
        <w:rPr>
          <w:rFonts w:eastAsia="Calibri"/>
        </w:rPr>
        <w:t>OTROS CONCEPTOS ASOCIADOS A LAS OPERACIONES SWAPS OBJETO DE PAGO</w:t>
      </w:r>
      <w:bookmarkEnd w:id="6375"/>
      <w:r w:rsidRPr="005F10B9">
        <w:rPr>
          <w:rFonts w:eastAsia="Calibri"/>
        </w:rPr>
        <w:t xml:space="preserve"> </w:t>
      </w:r>
      <w:bookmarkStart w:id="6376" w:name="_Hlk499825018"/>
    </w:p>
    <w:bookmarkEnd w:id="6376"/>
    <w:p w14:paraId="000C39B1" w14:textId="77777777" w:rsidR="007968EC" w:rsidRPr="005F10B9" w:rsidRDefault="007968EC" w:rsidP="007968EC">
      <w:pPr>
        <w:jc w:val="center"/>
        <w:outlineLvl w:val="1"/>
        <w:rPr>
          <w:rFonts w:ascii="Arial Narrow" w:eastAsia="Calibri" w:hAnsi="Arial Narrow" w:cs="Arial"/>
          <w:b/>
          <w:lang w:val="es-ES" w:eastAsia="es-ES"/>
        </w:rPr>
      </w:pPr>
    </w:p>
    <w:p w14:paraId="700DE09D" w14:textId="77777777" w:rsidR="007968EC" w:rsidRPr="005F10B9" w:rsidRDefault="007968EC" w:rsidP="007968EC">
      <w:pPr>
        <w:pStyle w:val="ARTICULO0"/>
      </w:pPr>
      <w:bookmarkStart w:id="6377" w:name="_Toc31716510"/>
      <w:r w:rsidRPr="005F10B9">
        <w:t>Artículo 5.4.4.1. Otros conceptos asociados a las Operaciones Swaps provenientes de sistemas de negociación y/o registro o Mecanismo de Contratación.</w:t>
      </w:r>
      <w:bookmarkEnd w:id="6377"/>
    </w:p>
    <w:p w14:paraId="5F6ED268" w14:textId="77777777" w:rsidR="007968EC" w:rsidRDefault="007968EC" w:rsidP="007968EC">
      <w:pPr>
        <w:jc w:val="both"/>
        <w:rPr>
          <w:rFonts w:ascii="Arial Narrow" w:eastAsia="Calibri" w:hAnsi="Arial Narrow"/>
          <w:bCs/>
          <w:color w:val="000000" w:themeColor="text1"/>
          <w:lang w:eastAsia="es-ES"/>
        </w:rPr>
      </w:pPr>
    </w:p>
    <w:p w14:paraId="398AD27F" w14:textId="77777777" w:rsidR="007968EC" w:rsidRPr="000C31A5" w:rsidRDefault="007968EC" w:rsidP="007968EC">
      <w:pPr>
        <w:pStyle w:val="ARTICULO0"/>
        <w:rPr>
          <w:u w:val="none"/>
        </w:rPr>
      </w:pPr>
      <w:bookmarkStart w:id="6378" w:name="_Toc31716511"/>
      <w:r>
        <w:rPr>
          <w:u w:val="none"/>
        </w:rPr>
        <w:t xml:space="preserve">(Este artículo fue modificado </w:t>
      </w:r>
      <w:r w:rsidRPr="000C31A5">
        <w:rPr>
          <w:u w:val="none"/>
        </w:rPr>
        <w:t>mediante Circular 19 del 22 de noviembre de 2019, publicada en el Boletín Normativo No. 034 del 22 de noviembre de 2019. Rige a partir del 25 de noviembre de 2019).</w:t>
      </w:r>
      <w:bookmarkEnd w:id="6378"/>
    </w:p>
    <w:p w14:paraId="1DBA2F80" w14:textId="77777777" w:rsidR="007968EC" w:rsidRPr="005F10B9" w:rsidRDefault="007968EC" w:rsidP="007968EC">
      <w:pPr>
        <w:jc w:val="both"/>
        <w:rPr>
          <w:rFonts w:ascii="Arial Narrow" w:eastAsia="Calibri" w:hAnsi="Arial Narrow"/>
          <w:bCs/>
          <w:color w:val="000000" w:themeColor="text1"/>
          <w:lang w:eastAsia="es-ES"/>
        </w:rPr>
      </w:pPr>
    </w:p>
    <w:p w14:paraId="0ABD016B" w14:textId="77777777" w:rsidR="007968EC" w:rsidRPr="005F10B9" w:rsidRDefault="007968EC" w:rsidP="007968EC">
      <w:pPr>
        <w:jc w:val="both"/>
        <w:rPr>
          <w:rFonts w:ascii="Arial Narrow" w:eastAsia="Calibri" w:hAnsi="Arial Narrow"/>
          <w:bCs/>
          <w:color w:val="000000" w:themeColor="text1"/>
          <w:lang w:val="es-ES" w:eastAsia="es-ES"/>
        </w:rPr>
      </w:pPr>
      <w:r w:rsidRPr="005F10B9">
        <w:rPr>
          <w:rFonts w:ascii="Arial Narrow" w:eastAsia="Calibri" w:hAnsi="Arial Narrow"/>
          <w:bCs/>
          <w:color w:val="000000" w:themeColor="text1"/>
          <w:lang w:val="es-ES" w:eastAsia="es-ES"/>
        </w:rPr>
        <w:t>Los Miembros entregarán o recibirán según corresponda, los fondos por los siguientes conceptos asociados a las Operaciones Swaps Aceptadas:</w:t>
      </w:r>
    </w:p>
    <w:p w14:paraId="0FEC1707" w14:textId="77777777" w:rsidR="007968EC" w:rsidRPr="005F10B9" w:rsidRDefault="007968EC" w:rsidP="007968EC">
      <w:pPr>
        <w:jc w:val="center"/>
        <w:outlineLvl w:val="1"/>
        <w:rPr>
          <w:rFonts w:ascii="Arial Narrow" w:eastAsia="Calibri" w:hAnsi="Arial Narrow" w:cs="Arial"/>
          <w:b/>
          <w:lang w:val="es-ES" w:eastAsia="es-ES"/>
        </w:rPr>
      </w:pPr>
    </w:p>
    <w:p w14:paraId="6F3C2103" w14:textId="77777777" w:rsidR="007968EC" w:rsidRPr="005F10B9" w:rsidRDefault="007968EC" w:rsidP="00DA7472">
      <w:pPr>
        <w:keepNext/>
        <w:numPr>
          <w:ilvl w:val="0"/>
          <w:numId w:val="339"/>
        </w:numPr>
        <w:autoSpaceDE w:val="0"/>
        <w:autoSpaceDN w:val="0"/>
        <w:adjustRightInd w:val="0"/>
        <w:contextualSpacing/>
        <w:jc w:val="both"/>
        <w:rPr>
          <w:rFonts w:ascii="Arial Narrow" w:eastAsia="Calibri" w:hAnsi="Arial Narrow"/>
          <w:b/>
          <w:bCs/>
          <w:color w:val="000000" w:themeColor="text1"/>
          <w:lang w:eastAsia="es-CO"/>
        </w:rPr>
      </w:pPr>
      <w:r w:rsidRPr="005F10B9">
        <w:rPr>
          <w:rFonts w:ascii="Arial Narrow" w:eastAsia="Calibri" w:hAnsi="Arial Narrow"/>
          <w:color w:val="000000" w:themeColor="text1"/>
          <w:u w:val="single"/>
          <w:lang w:eastAsia="es-CO"/>
        </w:rPr>
        <w:t xml:space="preserve">Cupones: </w:t>
      </w:r>
      <w:r w:rsidRPr="005F10B9">
        <w:rPr>
          <w:rFonts w:ascii="Arial Narrow" w:eastAsia="Calibri" w:hAnsi="Arial Narrow"/>
          <w:bCs/>
          <w:color w:val="000000" w:themeColor="text1"/>
          <w:lang w:eastAsia="es-CO"/>
        </w:rPr>
        <w:t xml:space="preserve">La Cámara calculará y liquidará los Cupones de las Operaciones sobre Swaps, de acuerdo con el procedimiento de cálculo establecido en la presente Circular. </w:t>
      </w:r>
    </w:p>
    <w:p w14:paraId="70CB5624" w14:textId="77777777" w:rsidR="007968EC" w:rsidRPr="005F10B9" w:rsidRDefault="007968EC" w:rsidP="007968EC">
      <w:pPr>
        <w:keepNext/>
        <w:autoSpaceDE w:val="0"/>
        <w:autoSpaceDN w:val="0"/>
        <w:adjustRightInd w:val="0"/>
        <w:contextualSpacing/>
        <w:jc w:val="both"/>
        <w:rPr>
          <w:rFonts w:ascii="Arial Narrow" w:eastAsia="Calibri" w:hAnsi="Arial Narrow"/>
          <w:bCs/>
          <w:color w:val="000000" w:themeColor="text1"/>
        </w:rPr>
      </w:pPr>
    </w:p>
    <w:p w14:paraId="43B48C34" w14:textId="77777777" w:rsidR="007968EC" w:rsidRPr="005F10B9" w:rsidRDefault="007968EC" w:rsidP="00DA7472">
      <w:pPr>
        <w:keepNext/>
        <w:numPr>
          <w:ilvl w:val="0"/>
          <w:numId w:val="339"/>
        </w:numPr>
        <w:autoSpaceDE w:val="0"/>
        <w:autoSpaceDN w:val="0"/>
        <w:adjustRightInd w:val="0"/>
        <w:contextualSpacing/>
        <w:jc w:val="both"/>
        <w:rPr>
          <w:rFonts w:ascii="Arial Narrow" w:eastAsia="Calibri" w:hAnsi="Arial Narrow"/>
          <w:b/>
          <w:color w:val="000000" w:themeColor="text1"/>
          <w:lang w:eastAsia="es-CO"/>
        </w:rPr>
      </w:pPr>
      <w:r w:rsidRPr="005F10B9">
        <w:rPr>
          <w:rFonts w:ascii="Arial Narrow" w:eastAsia="Calibri" w:hAnsi="Arial Narrow"/>
          <w:bCs/>
          <w:color w:val="000000" w:themeColor="text1"/>
          <w:u w:val="single"/>
          <w:lang w:eastAsia="es-CO"/>
        </w:rPr>
        <w:t xml:space="preserve">Price </w:t>
      </w:r>
      <w:proofErr w:type="spellStart"/>
      <w:r w:rsidRPr="005F10B9">
        <w:rPr>
          <w:rFonts w:ascii="Arial Narrow" w:eastAsia="Calibri" w:hAnsi="Arial Narrow"/>
          <w:bCs/>
          <w:color w:val="000000" w:themeColor="text1"/>
          <w:u w:val="single"/>
          <w:lang w:eastAsia="es-CO"/>
        </w:rPr>
        <w:t>Alignment</w:t>
      </w:r>
      <w:proofErr w:type="spellEnd"/>
      <w:r w:rsidRPr="005F10B9">
        <w:rPr>
          <w:rFonts w:ascii="Arial Narrow" w:hAnsi="Arial Narrow" w:cs="Verdana"/>
          <w:bCs/>
          <w:u w:val="single"/>
          <w:lang w:eastAsia="es-CO"/>
        </w:rPr>
        <w:t xml:space="preserve"> (</w:t>
      </w:r>
      <w:r w:rsidRPr="005F10B9">
        <w:rPr>
          <w:rFonts w:ascii="Arial Narrow" w:eastAsia="Calibri" w:hAnsi="Arial Narrow"/>
          <w:bCs/>
          <w:i/>
          <w:color w:val="000000" w:themeColor="text1"/>
          <w:u w:val="single"/>
          <w:lang w:eastAsia="es-CO"/>
        </w:rPr>
        <w:t>PA</w:t>
      </w:r>
      <w:r w:rsidRPr="005F10B9">
        <w:rPr>
          <w:rFonts w:ascii="Arial Narrow" w:eastAsia="Calibri" w:hAnsi="Arial Narrow"/>
          <w:bCs/>
          <w:color w:val="000000" w:themeColor="text1"/>
          <w:u w:val="single"/>
          <w:lang w:eastAsia="es-CO"/>
        </w:rPr>
        <w:t>):</w:t>
      </w:r>
      <w:r w:rsidRPr="005F10B9">
        <w:rPr>
          <w:rFonts w:ascii="Arial Narrow" w:eastAsia="Calibri" w:hAnsi="Arial Narrow"/>
          <w:bCs/>
          <w:color w:val="000000" w:themeColor="text1"/>
          <w:lang w:eastAsia="es-CO"/>
        </w:rPr>
        <w:t xml:space="preserve"> El Sistema de Cámara calculará el Price </w:t>
      </w:r>
      <w:proofErr w:type="spellStart"/>
      <w:r w:rsidRPr="005F10B9">
        <w:rPr>
          <w:rFonts w:ascii="Arial Narrow" w:eastAsia="Calibri" w:hAnsi="Arial Narrow"/>
          <w:bCs/>
          <w:color w:val="000000" w:themeColor="text1"/>
          <w:lang w:eastAsia="es-CO"/>
        </w:rPr>
        <w:t>Alignment</w:t>
      </w:r>
      <w:proofErr w:type="spellEnd"/>
      <w:r w:rsidRPr="005F10B9">
        <w:rPr>
          <w:rFonts w:ascii="Arial Narrow" w:hAnsi="Arial Narrow" w:cs="Verdana"/>
          <w:bCs/>
          <w:lang w:eastAsia="es-CO"/>
        </w:rPr>
        <w:t xml:space="preserve">, </w:t>
      </w:r>
      <w:r w:rsidRPr="005F10B9">
        <w:rPr>
          <w:rFonts w:ascii="Arial Narrow" w:eastAsia="Calibri" w:hAnsi="Arial Narrow"/>
          <w:bCs/>
          <w:color w:val="000000" w:themeColor="text1"/>
          <w:lang w:eastAsia="es-CO"/>
        </w:rPr>
        <w:t>por las Posiciones Abiertas de las Operaciones Aceptadas en la forma en que se establece en la presente Circular.</w:t>
      </w:r>
    </w:p>
    <w:p w14:paraId="00737ABD" w14:textId="77777777" w:rsidR="007968EC" w:rsidRPr="005F10B9" w:rsidRDefault="007968EC" w:rsidP="007968EC">
      <w:pPr>
        <w:ind w:left="708"/>
        <w:rPr>
          <w:rFonts w:ascii="Arial Narrow" w:eastAsia="Calibri" w:hAnsi="Arial Narrow"/>
          <w:bCs/>
          <w:color w:val="000000" w:themeColor="text1"/>
          <w:lang w:eastAsia="es-CO"/>
        </w:rPr>
      </w:pPr>
    </w:p>
    <w:p w14:paraId="693861F3" w14:textId="77777777" w:rsidR="007968EC" w:rsidRPr="005F10B9" w:rsidRDefault="007968EC" w:rsidP="00DA7472">
      <w:pPr>
        <w:keepNext/>
        <w:numPr>
          <w:ilvl w:val="0"/>
          <w:numId w:val="339"/>
        </w:numPr>
        <w:autoSpaceDE w:val="0"/>
        <w:autoSpaceDN w:val="0"/>
        <w:adjustRightInd w:val="0"/>
        <w:contextualSpacing/>
        <w:jc w:val="both"/>
        <w:rPr>
          <w:rFonts w:ascii="Arial Narrow" w:eastAsia="Calibri" w:hAnsi="Arial Narrow"/>
          <w:b/>
          <w:color w:val="000000" w:themeColor="text1"/>
          <w:u w:val="single"/>
          <w:lang w:eastAsia="es-CO"/>
        </w:rPr>
      </w:pPr>
      <w:r w:rsidRPr="005F10B9">
        <w:rPr>
          <w:rFonts w:ascii="Arial Narrow" w:eastAsia="Calibri" w:hAnsi="Arial Narrow"/>
          <w:color w:val="000000" w:themeColor="text1"/>
          <w:u w:val="single"/>
          <w:lang w:eastAsia="es-CO"/>
        </w:rPr>
        <w:t>Pago Adicional:</w:t>
      </w:r>
      <w:r w:rsidRPr="005F10B9">
        <w:rPr>
          <w:rFonts w:ascii="Arial Narrow" w:eastAsia="Calibri" w:hAnsi="Arial Narrow"/>
          <w:color w:val="000000" w:themeColor="text1"/>
          <w:lang w:eastAsia="es-CO"/>
        </w:rPr>
        <w:t xml:space="preserve"> </w:t>
      </w:r>
      <w:r w:rsidRPr="005F10B9">
        <w:rPr>
          <w:rFonts w:ascii="Arial Narrow" w:eastAsia="Calibri" w:hAnsi="Arial Narrow"/>
          <w:bCs/>
          <w:color w:val="000000" w:themeColor="text1"/>
          <w:lang w:eastAsia="es-CO"/>
        </w:rPr>
        <w:t>La Cámara realizará la liquidación de los Pagos Adicionales de las Operaciones Aceptadas sumando los Pagos Adicionales a recibir y restando los Pagos Adicionales a pagar con la misma fecha de pago</w:t>
      </w:r>
      <w:r w:rsidRPr="005F10B9">
        <w:rPr>
          <w:rFonts w:ascii="Arial Narrow" w:eastAsia="Calibri" w:hAnsi="Arial Narrow"/>
          <w:b/>
          <w:bCs/>
          <w:color w:val="000000" w:themeColor="text1"/>
          <w:lang w:eastAsia="es-CO"/>
        </w:rPr>
        <w:t>.</w:t>
      </w:r>
    </w:p>
    <w:p w14:paraId="33129773" w14:textId="77777777" w:rsidR="007968EC" w:rsidRPr="005F10B9" w:rsidRDefault="007968EC" w:rsidP="007968EC">
      <w:pPr>
        <w:keepNext/>
        <w:autoSpaceDE w:val="0"/>
        <w:autoSpaceDN w:val="0"/>
        <w:adjustRightInd w:val="0"/>
        <w:ind w:left="720"/>
        <w:contextualSpacing/>
        <w:jc w:val="both"/>
        <w:rPr>
          <w:rFonts w:ascii="Arial Narrow" w:eastAsia="Calibri" w:hAnsi="Arial Narrow"/>
          <w:b/>
          <w:color w:val="000000" w:themeColor="text1"/>
          <w:lang w:eastAsia="es-CO"/>
        </w:rPr>
      </w:pPr>
      <w:r w:rsidRPr="005F10B9">
        <w:rPr>
          <w:rFonts w:ascii="Arial Narrow" w:eastAsia="Calibri" w:hAnsi="Arial Narrow"/>
          <w:bCs/>
          <w:color w:val="000000" w:themeColor="text1"/>
          <w:lang w:eastAsia="es-CO"/>
        </w:rPr>
        <w:t xml:space="preserve"> </w:t>
      </w:r>
    </w:p>
    <w:p w14:paraId="6B48D27E" w14:textId="77777777" w:rsidR="007968EC" w:rsidRPr="005F10B9" w:rsidRDefault="007968EC" w:rsidP="007968EC">
      <w:pPr>
        <w:jc w:val="both"/>
        <w:rPr>
          <w:rFonts w:ascii="Arial Narrow" w:eastAsia="Calibri" w:hAnsi="Arial Narrow"/>
          <w:bCs/>
          <w:color w:val="000000" w:themeColor="text1"/>
        </w:rPr>
      </w:pPr>
      <w:r w:rsidRPr="005F10B9">
        <w:rPr>
          <w:rFonts w:ascii="Arial Narrow" w:eastAsia="Calibri" w:hAnsi="Arial Narrow"/>
          <w:bCs/>
          <w:color w:val="000000" w:themeColor="text1"/>
        </w:rPr>
        <w:t>Tal y como se establece en el artículo 5.7.2.2. de la presente Circular, la Cámara realizar</w:t>
      </w:r>
      <w:r>
        <w:rPr>
          <w:rFonts w:ascii="Arial Narrow" w:eastAsia="Calibri" w:hAnsi="Arial Narrow"/>
          <w:bCs/>
          <w:color w:val="000000" w:themeColor="text1"/>
        </w:rPr>
        <w:t>á</w:t>
      </w:r>
      <w:r w:rsidRPr="005F10B9">
        <w:rPr>
          <w:rFonts w:ascii="Arial Narrow" w:eastAsia="Calibri" w:hAnsi="Arial Narrow"/>
          <w:bCs/>
          <w:color w:val="000000" w:themeColor="text1"/>
        </w:rPr>
        <w:t xml:space="preserve"> la liquidación de </w:t>
      </w:r>
      <w:r>
        <w:rPr>
          <w:rFonts w:ascii="Arial Narrow" w:eastAsia="Calibri" w:hAnsi="Arial Narrow"/>
          <w:bCs/>
          <w:color w:val="000000" w:themeColor="text1"/>
        </w:rPr>
        <w:t>un (1)</w:t>
      </w:r>
      <w:r w:rsidRPr="005F10B9">
        <w:rPr>
          <w:rFonts w:ascii="Arial Narrow" w:eastAsia="Calibri" w:hAnsi="Arial Narrow"/>
          <w:bCs/>
          <w:color w:val="000000" w:themeColor="text1"/>
        </w:rPr>
        <w:t xml:space="preserve"> Pago Adicional durante la vida de la operación novada.</w:t>
      </w:r>
    </w:p>
    <w:p w14:paraId="63C0230F" w14:textId="77777777" w:rsidR="007968EC" w:rsidRPr="005F10B9" w:rsidRDefault="007968EC" w:rsidP="007968EC">
      <w:pPr>
        <w:keepNext/>
        <w:autoSpaceDE w:val="0"/>
        <w:autoSpaceDN w:val="0"/>
        <w:adjustRightInd w:val="0"/>
        <w:contextualSpacing/>
        <w:jc w:val="both"/>
        <w:rPr>
          <w:rFonts w:ascii="Arial Narrow" w:eastAsia="Calibri" w:hAnsi="Arial Narrow"/>
          <w:color w:val="000000" w:themeColor="text1"/>
          <w:u w:val="single"/>
        </w:rPr>
      </w:pPr>
    </w:p>
    <w:p w14:paraId="5D0DD6E1" w14:textId="77777777" w:rsidR="007968EC" w:rsidRPr="005F10B9" w:rsidRDefault="007968EC" w:rsidP="007968EC">
      <w:pPr>
        <w:keepNext/>
        <w:tabs>
          <w:tab w:val="left" w:pos="1701"/>
        </w:tabs>
        <w:jc w:val="both"/>
        <w:outlineLvl w:val="2"/>
        <w:rPr>
          <w:rFonts w:ascii="Arial Narrow" w:hAnsi="Arial Narrow" w:cs="Arial"/>
          <w:b/>
          <w:color w:val="000000" w:themeColor="text1"/>
          <w:lang w:eastAsia="es-ES"/>
        </w:rPr>
      </w:pPr>
      <w:r w:rsidRPr="005F10B9">
        <w:rPr>
          <w:rFonts w:ascii="Arial Narrow" w:eastAsia="Calibri" w:hAnsi="Arial Narrow"/>
          <w:bCs/>
          <w:color w:val="000000" w:themeColor="text1"/>
          <w:lang w:eastAsia="es-ES"/>
        </w:rPr>
        <w:t>El pago de los otros conceptos asociados a las Operaciones Swaps se realizará en la Sesión de Liquidación Diaria.</w:t>
      </w:r>
    </w:p>
    <w:p w14:paraId="76F96D2C" w14:textId="77777777" w:rsidR="007968EC" w:rsidRPr="005F10B9" w:rsidRDefault="007968EC" w:rsidP="007968EC">
      <w:pPr>
        <w:keepNext/>
        <w:tabs>
          <w:tab w:val="left" w:pos="1701"/>
        </w:tabs>
        <w:jc w:val="both"/>
        <w:outlineLvl w:val="2"/>
        <w:rPr>
          <w:rFonts w:ascii="Arial Narrow" w:hAnsi="Arial Narrow" w:cs="Arial"/>
          <w:b/>
          <w:color w:val="000000" w:themeColor="text1"/>
          <w:u w:val="single"/>
          <w:lang w:eastAsia="es-ES"/>
        </w:rPr>
      </w:pPr>
    </w:p>
    <w:p w14:paraId="59DE1F5A" w14:textId="77777777" w:rsidR="007968EC" w:rsidRPr="005F10B9" w:rsidRDefault="007968EC" w:rsidP="007968EC">
      <w:pPr>
        <w:pStyle w:val="ARTICULO0"/>
      </w:pPr>
      <w:bookmarkStart w:id="6379" w:name="_Toc31716512"/>
      <w:r w:rsidRPr="005F10B9">
        <w:t>Artículo 5.4.4.2. Procedimiento de Cálculo de los Cupones.</w:t>
      </w:r>
      <w:bookmarkEnd w:id="6379"/>
    </w:p>
    <w:p w14:paraId="3965AEF7" w14:textId="77777777" w:rsidR="007968EC" w:rsidRDefault="007968EC" w:rsidP="007968EC">
      <w:pPr>
        <w:keepNext/>
        <w:tabs>
          <w:tab w:val="left" w:pos="1701"/>
        </w:tabs>
        <w:jc w:val="both"/>
        <w:outlineLvl w:val="2"/>
        <w:rPr>
          <w:rFonts w:ascii="Arial Narrow" w:hAnsi="Arial Narrow" w:cs="Arial"/>
          <w:b/>
          <w:color w:val="000000" w:themeColor="text1"/>
          <w:u w:val="single"/>
          <w:lang w:eastAsia="es-ES"/>
        </w:rPr>
      </w:pPr>
    </w:p>
    <w:p w14:paraId="0CF60975" w14:textId="77777777" w:rsidR="007968EC" w:rsidRPr="000C31A5" w:rsidRDefault="007968EC" w:rsidP="007968EC">
      <w:pPr>
        <w:pStyle w:val="ARTICULO0"/>
        <w:rPr>
          <w:u w:val="none"/>
        </w:rPr>
      </w:pPr>
      <w:bookmarkStart w:id="6380" w:name="_Toc31716513"/>
      <w:r w:rsidRPr="000508BE">
        <w:rPr>
          <w:rFonts w:eastAsia="Calibri"/>
          <w:u w:val="none"/>
        </w:rPr>
        <w:t xml:space="preserve">(Este artículo fue modificado mediante Circular 11 del 3 de agosto de 2018, publicada en el Boletín Normativo No. 17 del 3 de agosto de 2018, </w:t>
      </w:r>
      <w:r w:rsidRPr="000508BE">
        <w:rPr>
          <w:u w:val="none"/>
        </w:rPr>
        <w:t xml:space="preserve">y mediante Circular 19 del 22 de noviembre de 2019, publicada en el </w:t>
      </w:r>
      <w:r w:rsidRPr="000C31A5">
        <w:rPr>
          <w:u w:val="none"/>
        </w:rPr>
        <w:t>Boletín Normativo No. 034 del 22 de noviembre de 2019. Rige a partir del 25 de noviembre de 2019).</w:t>
      </w:r>
      <w:bookmarkEnd w:id="6380"/>
    </w:p>
    <w:p w14:paraId="55D58B2B" w14:textId="77777777" w:rsidR="007968EC" w:rsidRPr="00AF2413" w:rsidRDefault="007968EC" w:rsidP="007968EC">
      <w:pPr>
        <w:jc w:val="both"/>
        <w:rPr>
          <w:rFonts w:ascii="Arial Narrow" w:eastAsia="Calibri" w:hAnsi="Arial Narrow"/>
          <w:b/>
          <w:bCs/>
          <w:color w:val="000000" w:themeColor="text1"/>
        </w:rPr>
      </w:pPr>
    </w:p>
    <w:p w14:paraId="7C48DD44" w14:textId="77777777" w:rsidR="007968EC" w:rsidRPr="005F10B9" w:rsidRDefault="007968EC" w:rsidP="007968EC">
      <w:pPr>
        <w:autoSpaceDE w:val="0"/>
        <w:autoSpaceDN w:val="0"/>
        <w:adjustRightInd w:val="0"/>
        <w:rPr>
          <w:rFonts w:ascii="Arial Narrow" w:hAnsi="Arial Narrow" w:cs="Arial"/>
          <w:b/>
          <w:color w:val="000000" w:themeColor="text1"/>
          <w:u w:val="single"/>
          <w:lang w:eastAsia="es-ES"/>
        </w:rPr>
      </w:pPr>
    </w:p>
    <w:p w14:paraId="125D6215" w14:textId="77777777" w:rsidR="007968EC" w:rsidRPr="008F2FE5" w:rsidRDefault="007968EC" w:rsidP="007968EC">
      <w:pPr>
        <w:jc w:val="both"/>
        <w:rPr>
          <w:rFonts w:ascii="Arial Narrow" w:eastAsia="Calibri" w:hAnsi="Arial Narrow"/>
          <w:bCs/>
          <w:color w:val="000000" w:themeColor="text1"/>
        </w:rPr>
      </w:pPr>
      <w:r w:rsidRPr="005F10B9">
        <w:rPr>
          <w:rFonts w:ascii="Arial Narrow" w:eastAsia="Calibri" w:hAnsi="Arial Narrow"/>
          <w:bCs/>
          <w:color w:val="000000" w:themeColor="text1"/>
        </w:rPr>
        <w:lastRenderedPageBreak/>
        <w:t>La Cámara calculará el valor de los Cupones de las Operaciones Swaps Aceptadas en la fecha de pago</w:t>
      </w:r>
      <w:r>
        <w:rPr>
          <w:rFonts w:ascii="Arial Narrow" w:eastAsia="Calibri" w:hAnsi="Arial Narrow"/>
          <w:bCs/>
          <w:color w:val="000000" w:themeColor="text1"/>
        </w:rPr>
        <w:t xml:space="preserve"> del cupón correspondiente</w:t>
      </w:r>
      <w:r w:rsidRPr="005F10B9">
        <w:rPr>
          <w:rFonts w:ascii="Arial Narrow" w:eastAsia="Calibri" w:hAnsi="Arial Narrow"/>
          <w:bCs/>
          <w:color w:val="000000" w:themeColor="text1"/>
        </w:rPr>
        <w:t>.</w:t>
      </w:r>
    </w:p>
    <w:p w14:paraId="23887428" w14:textId="77777777" w:rsidR="007968EC" w:rsidRPr="008F2FE5" w:rsidRDefault="007968EC" w:rsidP="007968EC">
      <w:pPr>
        <w:autoSpaceDE w:val="0"/>
        <w:autoSpaceDN w:val="0"/>
        <w:adjustRightInd w:val="0"/>
        <w:rPr>
          <w:rFonts w:ascii="Arial Narrow" w:hAnsi="Arial Narrow" w:cs="Verdana"/>
          <w:b/>
          <w:bCs/>
          <w:lang w:eastAsia="es-CO"/>
        </w:rPr>
      </w:pPr>
    </w:p>
    <w:p w14:paraId="44DCE2AB" w14:textId="77777777" w:rsidR="007968EC" w:rsidRPr="002611E2" w:rsidRDefault="007968EC" w:rsidP="00DA7472">
      <w:pPr>
        <w:pStyle w:val="Prrafodelista"/>
        <w:numPr>
          <w:ilvl w:val="6"/>
          <w:numId w:val="333"/>
        </w:numPr>
        <w:autoSpaceDE w:val="0"/>
        <w:autoSpaceDN w:val="0"/>
        <w:adjustRightInd w:val="0"/>
        <w:ind w:left="426"/>
        <w:jc w:val="both"/>
        <w:rPr>
          <w:rFonts w:ascii="Arial Narrow" w:eastAsia="Calibri" w:hAnsi="Arial Narrow"/>
          <w:b w:val="0"/>
          <w:bCs/>
          <w:color w:val="000000" w:themeColor="text1"/>
        </w:rPr>
      </w:pPr>
      <w:r w:rsidRPr="002611E2">
        <w:rPr>
          <w:rFonts w:ascii="Arial Narrow" w:eastAsia="Calibri" w:hAnsi="Arial Narrow"/>
          <w:b w:val="0"/>
          <w:bCs/>
          <w:color w:val="000000" w:themeColor="text1"/>
        </w:rPr>
        <w:t>IRS</w:t>
      </w:r>
    </w:p>
    <w:p w14:paraId="68F0A68A" w14:textId="77777777" w:rsidR="007968EC" w:rsidRDefault="007968EC" w:rsidP="007968EC">
      <w:pPr>
        <w:autoSpaceDE w:val="0"/>
        <w:autoSpaceDN w:val="0"/>
        <w:adjustRightInd w:val="0"/>
        <w:ind w:left="426"/>
        <w:jc w:val="both"/>
        <w:rPr>
          <w:rFonts w:ascii="Arial Narrow" w:eastAsia="Calibri" w:hAnsi="Arial Narrow"/>
          <w:bCs/>
          <w:color w:val="000000" w:themeColor="text1"/>
          <w:u w:val="single"/>
        </w:rPr>
      </w:pPr>
    </w:p>
    <w:p w14:paraId="7331F5F7" w14:textId="77777777" w:rsidR="007968EC" w:rsidRPr="00531BF2" w:rsidRDefault="007968EC" w:rsidP="007968EC">
      <w:pPr>
        <w:autoSpaceDE w:val="0"/>
        <w:autoSpaceDN w:val="0"/>
        <w:adjustRightInd w:val="0"/>
        <w:ind w:left="426"/>
        <w:jc w:val="both"/>
        <w:rPr>
          <w:rFonts w:ascii="Arial Narrow" w:eastAsia="Calibri" w:hAnsi="Arial Narrow"/>
          <w:bCs/>
          <w:color w:val="000000" w:themeColor="text1"/>
          <w:u w:val="single"/>
        </w:rPr>
      </w:pPr>
      <w:r w:rsidRPr="00531BF2">
        <w:rPr>
          <w:rFonts w:ascii="Arial Narrow" w:eastAsia="Calibri" w:hAnsi="Arial Narrow"/>
          <w:bCs/>
          <w:color w:val="000000" w:themeColor="text1"/>
          <w:u w:val="single"/>
        </w:rPr>
        <w:t xml:space="preserve">Cálculo de Cupones Fijos </w:t>
      </w:r>
    </w:p>
    <w:p w14:paraId="5EB5EBE8" w14:textId="77777777" w:rsidR="007968EC" w:rsidRPr="005F10B9" w:rsidRDefault="007968EC" w:rsidP="007968EC">
      <w:pPr>
        <w:autoSpaceDE w:val="0"/>
        <w:autoSpaceDN w:val="0"/>
        <w:adjustRightInd w:val="0"/>
        <w:ind w:left="425"/>
        <w:jc w:val="both"/>
        <w:rPr>
          <w:rFonts w:ascii="Arial Narrow" w:hAnsi="Arial Narrow" w:cs="Arial"/>
          <w:bCs/>
          <w:u w:val="single"/>
          <w:lang w:eastAsia="es-CO"/>
        </w:rPr>
      </w:pPr>
    </w:p>
    <w:p w14:paraId="042801C5" w14:textId="77777777" w:rsidR="007968EC" w:rsidRPr="005F10B9" w:rsidRDefault="007968EC" w:rsidP="007968EC">
      <w:pPr>
        <w:autoSpaceDE w:val="0"/>
        <w:autoSpaceDN w:val="0"/>
        <w:adjustRightInd w:val="0"/>
        <w:ind w:left="425"/>
        <w:jc w:val="both"/>
        <w:rPr>
          <w:rFonts w:ascii="Arial Narrow" w:hAnsi="Arial Narrow" w:cs="Verdana"/>
          <w:bCs/>
        </w:rPr>
      </w:pPr>
      <w:r w:rsidRPr="005F10B9">
        <w:rPr>
          <w:rFonts w:ascii="Arial Narrow" w:hAnsi="Arial Narrow" w:cs="Verdana"/>
          <w:bCs/>
        </w:rPr>
        <w:t>La Cámara determinará los importes de</w:t>
      </w:r>
      <w:r>
        <w:rPr>
          <w:rFonts w:ascii="Arial Narrow" w:hAnsi="Arial Narrow" w:cs="Verdana"/>
          <w:bCs/>
        </w:rPr>
        <w:t>l</w:t>
      </w:r>
      <w:r w:rsidRPr="005F10B9">
        <w:rPr>
          <w:rFonts w:ascii="Arial Narrow" w:hAnsi="Arial Narrow" w:cs="Verdana"/>
          <w:bCs/>
        </w:rPr>
        <w:t xml:space="preserve"> Cupón Fijo en la fecha de pago, de acuerdo con la siguiente fórmula:</w:t>
      </w:r>
    </w:p>
    <w:p w14:paraId="0DD897EB" w14:textId="77777777" w:rsidR="007968EC" w:rsidRPr="005F10B9" w:rsidRDefault="007968EC" w:rsidP="007968EC">
      <w:pPr>
        <w:autoSpaceDE w:val="0"/>
        <w:autoSpaceDN w:val="0"/>
        <w:adjustRightInd w:val="0"/>
        <w:rPr>
          <w:rFonts w:ascii="Arial Narrow" w:hAnsi="Arial Narrow" w:cs="Verdana"/>
          <w:b/>
          <w:bCs/>
          <w:lang w:eastAsia="es-CO"/>
        </w:rPr>
      </w:pPr>
    </w:p>
    <w:p w14:paraId="4948D26F" w14:textId="77777777" w:rsidR="007968EC" w:rsidRPr="005F10B9" w:rsidRDefault="007968EC" w:rsidP="007968EC">
      <w:pPr>
        <w:autoSpaceDE w:val="0"/>
        <w:autoSpaceDN w:val="0"/>
        <w:adjustRightInd w:val="0"/>
        <w:jc w:val="center"/>
        <w:rPr>
          <w:rFonts w:ascii="Arial Narrow" w:hAnsi="Arial Narrow" w:cs="Verdana"/>
          <w:b/>
          <w:bCs/>
          <w:lang w:eastAsia="es-CO"/>
        </w:rPr>
      </w:pPr>
      <w:r w:rsidRPr="005F10B9">
        <w:rPr>
          <w:rFonts w:ascii="Arial Narrow" w:hAnsi="Arial Narrow" w:cs="Verdana"/>
          <w:b/>
          <w:bCs/>
          <w:lang w:eastAsia="es-CO"/>
        </w:rPr>
        <w:t xml:space="preserve">Nominal de la Operación </w:t>
      </w:r>
      <w:r w:rsidRPr="005F10B9">
        <w:rPr>
          <w:rFonts w:ascii="Cambria Math" w:hAnsi="Cambria Math" w:cs="Cambria Math"/>
          <w:b/>
          <w:bCs/>
          <w:lang w:eastAsia="es-CO"/>
        </w:rPr>
        <w:t>∗</w:t>
      </w:r>
      <w:r w:rsidRPr="005F10B9">
        <w:rPr>
          <w:rFonts w:ascii="Arial Narrow" w:hAnsi="Arial Narrow" w:cs="Verdana"/>
          <w:b/>
          <w:bCs/>
          <w:lang w:eastAsia="es-CO"/>
        </w:rPr>
        <w:t xml:space="preserve"> Tasa Fija </w:t>
      </w:r>
      <w:r w:rsidRPr="005F10B9">
        <w:rPr>
          <w:rFonts w:ascii="Cambria Math" w:hAnsi="Cambria Math" w:cs="Cambria Math"/>
          <w:b/>
          <w:bCs/>
          <w:lang w:eastAsia="es-CO"/>
        </w:rPr>
        <w:t>∗</w:t>
      </w:r>
      <w:r w:rsidRPr="005F10B9">
        <w:rPr>
          <w:rFonts w:ascii="Arial Narrow" w:hAnsi="Arial Narrow" w:cs="Verdana"/>
          <w:b/>
          <w:bCs/>
          <w:lang w:eastAsia="es-CO"/>
        </w:rPr>
        <w:t xml:space="preserve"> Base de Cálculo</w:t>
      </w:r>
    </w:p>
    <w:p w14:paraId="09BDD1C8" w14:textId="77777777" w:rsidR="007968EC" w:rsidRPr="005F10B9" w:rsidRDefault="007968EC" w:rsidP="007968EC">
      <w:pPr>
        <w:autoSpaceDE w:val="0"/>
        <w:autoSpaceDN w:val="0"/>
        <w:adjustRightInd w:val="0"/>
        <w:rPr>
          <w:rFonts w:ascii="Arial Narrow" w:hAnsi="Arial Narrow" w:cs="Verdana"/>
          <w:bCs/>
          <w:lang w:eastAsia="es-CO"/>
        </w:rPr>
      </w:pPr>
    </w:p>
    <w:p w14:paraId="522596E2" w14:textId="77777777" w:rsidR="007968EC" w:rsidRPr="005F10B9" w:rsidRDefault="007968EC" w:rsidP="007968EC">
      <w:pPr>
        <w:autoSpaceDE w:val="0"/>
        <w:autoSpaceDN w:val="0"/>
        <w:adjustRightInd w:val="0"/>
        <w:ind w:firstLine="426"/>
        <w:rPr>
          <w:rFonts w:ascii="Arial Narrow" w:hAnsi="Arial Narrow" w:cs="Verdana"/>
          <w:bCs/>
          <w:lang w:eastAsia="es-CO"/>
        </w:rPr>
      </w:pPr>
      <w:r w:rsidRPr="005F10B9">
        <w:rPr>
          <w:rFonts w:ascii="Arial Narrow" w:hAnsi="Arial Narrow" w:cs="Verdana"/>
          <w:bCs/>
          <w:lang w:eastAsia="es-CO"/>
        </w:rPr>
        <w:t>Donde:</w:t>
      </w:r>
    </w:p>
    <w:p w14:paraId="071A42E8" w14:textId="77777777" w:rsidR="007968EC" w:rsidRPr="005F10B9" w:rsidRDefault="007968EC" w:rsidP="007968EC">
      <w:pPr>
        <w:autoSpaceDE w:val="0"/>
        <w:autoSpaceDN w:val="0"/>
        <w:adjustRightInd w:val="0"/>
        <w:ind w:firstLine="708"/>
        <w:rPr>
          <w:rFonts w:ascii="Arial Narrow" w:hAnsi="Arial Narrow" w:cs="Verdana"/>
          <w:bCs/>
          <w:lang w:eastAsia="es-CO"/>
        </w:rPr>
      </w:pPr>
    </w:p>
    <w:p w14:paraId="158579DA" w14:textId="77777777" w:rsidR="007968EC" w:rsidRDefault="007968EC" w:rsidP="007968EC">
      <w:pPr>
        <w:autoSpaceDE w:val="0"/>
        <w:autoSpaceDN w:val="0"/>
        <w:adjustRightInd w:val="0"/>
        <w:ind w:left="426"/>
        <w:jc w:val="both"/>
        <w:rPr>
          <w:rFonts w:ascii="Arial Narrow" w:hAnsi="Arial Narrow" w:cs="Verdana"/>
          <w:bCs/>
          <w:lang w:eastAsia="es-CO"/>
        </w:rPr>
      </w:pPr>
      <w:r w:rsidRPr="005F10B9">
        <w:rPr>
          <w:rFonts w:ascii="Arial Narrow" w:hAnsi="Arial Narrow" w:cs="Verdana"/>
          <w:bCs/>
          <w:lang w:eastAsia="es-CO"/>
        </w:rPr>
        <w:t>Base de Cálculo: Es la fracción del año calculada utilizando las convenciones estipuladas en el momento de registro de las operaciones y aplicadas para calcular el número de días (entre el Día del Inicio del Periodo y el Día del Fin del Periodo, numerador) y para definir el número de días que se tomaran para el año completo (denominador).</w:t>
      </w:r>
    </w:p>
    <w:p w14:paraId="3CA0632F" w14:textId="77777777" w:rsidR="007968EC" w:rsidRDefault="007968EC" w:rsidP="007968EC">
      <w:pPr>
        <w:autoSpaceDE w:val="0"/>
        <w:autoSpaceDN w:val="0"/>
        <w:adjustRightInd w:val="0"/>
        <w:ind w:left="426"/>
        <w:jc w:val="both"/>
        <w:rPr>
          <w:rFonts w:ascii="Arial Narrow" w:hAnsi="Arial Narrow" w:cs="Verdana"/>
          <w:bCs/>
          <w:lang w:eastAsia="es-CO"/>
        </w:rPr>
      </w:pPr>
    </w:p>
    <w:p w14:paraId="7009C462" w14:textId="77777777" w:rsidR="007968EC" w:rsidRDefault="007968EC" w:rsidP="007968EC">
      <w:pPr>
        <w:autoSpaceDE w:val="0"/>
        <w:autoSpaceDN w:val="0"/>
        <w:adjustRightInd w:val="0"/>
        <w:ind w:left="426"/>
        <w:jc w:val="both"/>
        <w:rPr>
          <w:rFonts w:ascii="Arial Narrow" w:eastAsia="Calibri" w:hAnsi="Arial Narrow"/>
          <w:bCs/>
          <w:color w:val="000000" w:themeColor="text1"/>
          <w:u w:val="single"/>
        </w:rPr>
      </w:pPr>
    </w:p>
    <w:p w14:paraId="41BFDA4A" w14:textId="77777777" w:rsidR="007968EC" w:rsidRDefault="007968EC" w:rsidP="007968EC">
      <w:pPr>
        <w:autoSpaceDE w:val="0"/>
        <w:autoSpaceDN w:val="0"/>
        <w:adjustRightInd w:val="0"/>
        <w:ind w:left="426"/>
        <w:jc w:val="both"/>
        <w:rPr>
          <w:rFonts w:ascii="Arial Narrow" w:eastAsia="Calibri" w:hAnsi="Arial Narrow"/>
          <w:bCs/>
          <w:color w:val="000000" w:themeColor="text1"/>
          <w:u w:val="single"/>
        </w:rPr>
      </w:pPr>
      <w:r w:rsidRPr="00531BF2">
        <w:rPr>
          <w:rFonts w:ascii="Arial Narrow" w:eastAsia="Calibri" w:hAnsi="Arial Narrow"/>
          <w:bCs/>
          <w:color w:val="000000" w:themeColor="text1"/>
          <w:u w:val="single"/>
        </w:rPr>
        <w:t xml:space="preserve">Cálculo de Cupones </w:t>
      </w:r>
      <w:r>
        <w:rPr>
          <w:rFonts w:ascii="Arial Narrow" w:eastAsia="Calibri" w:hAnsi="Arial Narrow"/>
          <w:bCs/>
          <w:color w:val="000000" w:themeColor="text1"/>
          <w:u w:val="single"/>
        </w:rPr>
        <w:t>Variables</w:t>
      </w:r>
    </w:p>
    <w:p w14:paraId="782617EE" w14:textId="77777777" w:rsidR="007968EC" w:rsidRDefault="007968EC" w:rsidP="007968EC">
      <w:pPr>
        <w:autoSpaceDE w:val="0"/>
        <w:autoSpaceDN w:val="0"/>
        <w:adjustRightInd w:val="0"/>
        <w:ind w:left="426"/>
        <w:jc w:val="both"/>
        <w:rPr>
          <w:rFonts w:ascii="Arial Narrow" w:eastAsia="Calibri" w:hAnsi="Arial Narrow"/>
          <w:bCs/>
          <w:color w:val="000000" w:themeColor="text1"/>
          <w:u w:val="single"/>
        </w:rPr>
      </w:pPr>
    </w:p>
    <w:p w14:paraId="6870F780" w14:textId="77777777" w:rsidR="007968EC" w:rsidRPr="005F10B9" w:rsidRDefault="007968EC" w:rsidP="007968EC">
      <w:pPr>
        <w:autoSpaceDE w:val="0"/>
        <w:autoSpaceDN w:val="0"/>
        <w:adjustRightInd w:val="0"/>
        <w:ind w:left="426"/>
        <w:jc w:val="both"/>
        <w:rPr>
          <w:rFonts w:ascii="Arial Narrow" w:hAnsi="Arial Narrow" w:cs="Verdana"/>
          <w:bCs/>
        </w:rPr>
      </w:pPr>
      <w:r>
        <w:rPr>
          <w:rFonts w:ascii="Arial Narrow" w:hAnsi="Arial Narrow" w:cs="Verdana"/>
          <w:bCs/>
        </w:rPr>
        <w:t>La Cámara determinará</w:t>
      </w:r>
      <w:r w:rsidRPr="005F10B9">
        <w:rPr>
          <w:rFonts w:ascii="Arial Narrow" w:hAnsi="Arial Narrow" w:cs="Verdana"/>
          <w:bCs/>
        </w:rPr>
        <w:t xml:space="preserve"> los importes de Cupón Variable</w:t>
      </w:r>
      <w:r>
        <w:rPr>
          <w:rFonts w:ascii="Arial Narrow" w:hAnsi="Arial Narrow" w:cs="Verdana"/>
          <w:bCs/>
        </w:rPr>
        <w:t xml:space="preserve"> </w:t>
      </w:r>
      <w:r w:rsidRPr="005F10B9">
        <w:rPr>
          <w:rFonts w:ascii="Arial Narrow" w:hAnsi="Arial Narrow" w:cs="Verdana"/>
          <w:bCs/>
        </w:rPr>
        <w:t>en la fecha de pago</w:t>
      </w:r>
      <w:r>
        <w:rPr>
          <w:rFonts w:ascii="Arial Narrow" w:hAnsi="Arial Narrow" w:cs="Verdana"/>
          <w:bCs/>
        </w:rPr>
        <w:t>, de acuerdo con la siguiente fó</w:t>
      </w:r>
      <w:r w:rsidRPr="005F10B9">
        <w:rPr>
          <w:rFonts w:ascii="Arial Narrow" w:hAnsi="Arial Narrow" w:cs="Verdana"/>
          <w:bCs/>
        </w:rPr>
        <w:t>rmula:</w:t>
      </w:r>
      <w:r>
        <w:rPr>
          <w:rFonts w:ascii="Arial Narrow" w:hAnsi="Arial Narrow" w:cs="Verdana"/>
          <w:bCs/>
        </w:rPr>
        <w:t xml:space="preserve"> </w:t>
      </w:r>
    </w:p>
    <w:p w14:paraId="50D3D505" w14:textId="77777777" w:rsidR="007968EC" w:rsidRPr="005F10B9" w:rsidRDefault="007968EC" w:rsidP="007968EC">
      <w:pPr>
        <w:autoSpaceDE w:val="0"/>
        <w:autoSpaceDN w:val="0"/>
        <w:adjustRightInd w:val="0"/>
        <w:ind w:firstLine="708"/>
        <w:rPr>
          <w:rFonts w:ascii="Arial Narrow" w:hAnsi="Arial Narrow" w:cs="Verdana"/>
          <w:bCs/>
          <w:lang w:eastAsia="es-CO"/>
        </w:rPr>
      </w:pPr>
    </w:p>
    <w:p w14:paraId="69A013C1" w14:textId="77777777" w:rsidR="007968EC" w:rsidRPr="005F10B9" w:rsidRDefault="007968EC" w:rsidP="007968EC">
      <w:pPr>
        <w:autoSpaceDE w:val="0"/>
        <w:autoSpaceDN w:val="0"/>
        <w:adjustRightInd w:val="0"/>
        <w:jc w:val="center"/>
        <w:rPr>
          <w:rFonts w:ascii="Arial Narrow" w:hAnsi="Arial Narrow" w:cs="Verdana"/>
          <w:b/>
          <w:bCs/>
          <w:lang w:eastAsia="es-CO"/>
        </w:rPr>
      </w:pPr>
      <w:r w:rsidRPr="005F10B9">
        <w:rPr>
          <w:rFonts w:ascii="Arial Narrow" w:hAnsi="Arial Narrow" w:cs="Verdana"/>
          <w:b/>
          <w:bCs/>
          <w:lang w:eastAsia="es-CO"/>
        </w:rPr>
        <w:t xml:space="preserve">Nominal de la Operación </w:t>
      </w:r>
      <w:r w:rsidRPr="005F10B9">
        <w:rPr>
          <w:rFonts w:ascii="Cambria Math" w:hAnsi="Cambria Math" w:cs="Cambria Math"/>
          <w:b/>
          <w:bCs/>
          <w:lang w:eastAsia="es-CO"/>
        </w:rPr>
        <w:t>∗</w:t>
      </w:r>
      <w:r w:rsidRPr="005F10B9">
        <w:rPr>
          <w:rFonts w:ascii="Arial Narrow" w:hAnsi="Arial Narrow" w:cs="Verdana"/>
          <w:b/>
          <w:bCs/>
          <w:lang w:eastAsia="es-CO"/>
        </w:rPr>
        <w:t xml:space="preserve"> Tasa Variable (±Spread) </w:t>
      </w:r>
      <w:r w:rsidRPr="005F10B9">
        <w:rPr>
          <w:rFonts w:ascii="Cambria Math" w:hAnsi="Cambria Math" w:cs="Cambria Math"/>
          <w:b/>
          <w:bCs/>
          <w:lang w:eastAsia="es-CO"/>
        </w:rPr>
        <w:t>∗</w:t>
      </w:r>
      <w:r w:rsidRPr="005F10B9">
        <w:rPr>
          <w:rFonts w:ascii="Arial Narrow" w:hAnsi="Arial Narrow" w:cs="Verdana"/>
          <w:b/>
          <w:bCs/>
          <w:lang w:eastAsia="es-CO"/>
        </w:rPr>
        <w:t xml:space="preserve"> Base de Cálculo</w:t>
      </w:r>
    </w:p>
    <w:p w14:paraId="3D22C561" w14:textId="77777777" w:rsidR="007968EC" w:rsidRPr="005F10B9" w:rsidRDefault="007968EC" w:rsidP="007968EC">
      <w:pPr>
        <w:autoSpaceDE w:val="0"/>
        <w:autoSpaceDN w:val="0"/>
        <w:adjustRightInd w:val="0"/>
        <w:jc w:val="center"/>
        <w:rPr>
          <w:rFonts w:ascii="Arial Narrow" w:hAnsi="Arial Narrow" w:cs="Verdana"/>
          <w:bCs/>
          <w:lang w:eastAsia="es-CO"/>
        </w:rPr>
      </w:pPr>
    </w:p>
    <w:p w14:paraId="79FAF426" w14:textId="77777777" w:rsidR="007968EC" w:rsidRPr="005F10B9" w:rsidRDefault="007968EC" w:rsidP="007968EC">
      <w:pPr>
        <w:autoSpaceDE w:val="0"/>
        <w:autoSpaceDN w:val="0"/>
        <w:adjustRightInd w:val="0"/>
        <w:ind w:firstLine="426"/>
        <w:rPr>
          <w:rFonts w:ascii="Arial Narrow" w:hAnsi="Arial Narrow" w:cs="Verdana"/>
          <w:bCs/>
          <w:lang w:eastAsia="es-CO"/>
        </w:rPr>
      </w:pPr>
      <w:r w:rsidRPr="005F10B9">
        <w:rPr>
          <w:rFonts w:ascii="Arial Narrow" w:hAnsi="Arial Narrow" w:cs="Verdana"/>
          <w:bCs/>
          <w:lang w:eastAsia="es-CO"/>
        </w:rPr>
        <w:t>Donde:</w:t>
      </w:r>
    </w:p>
    <w:p w14:paraId="2B7554CF" w14:textId="77777777" w:rsidR="007968EC" w:rsidRPr="005F10B9" w:rsidRDefault="007968EC" w:rsidP="007968EC">
      <w:pPr>
        <w:autoSpaceDE w:val="0"/>
        <w:autoSpaceDN w:val="0"/>
        <w:adjustRightInd w:val="0"/>
        <w:ind w:firstLine="426"/>
        <w:rPr>
          <w:rFonts w:ascii="Arial Narrow" w:hAnsi="Arial Narrow" w:cs="Verdana"/>
          <w:bCs/>
          <w:lang w:eastAsia="es-CO"/>
        </w:rPr>
      </w:pPr>
    </w:p>
    <w:p w14:paraId="4F435E8B" w14:textId="77777777" w:rsidR="007968EC" w:rsidRDefault="007968EC" w:rsidP="007968EC">
      <w:pPr>
        <w:autoSpaceDE w:val="0"/>
        <w:autoSpaceDN w:val="0"/>
        <w:adjustRightInd w:val="0"/>
        <w:ind w:left="426"/>
        <w:jc w:val="both"/>
        <w:rPr>
          <w:rFonts w:ascii="Arial Narrow" w:hAnsi="Arial Narrow" w:cs="Verdana"/>
          <w:bCs/>
          <w:lang w:eastAsia="es-CO"/>
        </w:rPr>
      </w:pPr>
      <w:r w:rsidRPr="005F10B9">
        <w:rPr>
          <w:rFonts w:ascii="Arial Narrow" w:hAnsi="Arial Narrow" w:cs="Verdana"/>
          <w:bCs/>
          <w:lang w:eastAsia="es-CO"/>
        </w:rPr>
        <w:t>Base de Cálculo: Es la fracción del año calculada utilizando las convenciones estipuladas en el momento de registro de las operaciones y aplicadas para calcular el número de días (entre el Día del Inicio del Periodo y el Día del Fin del Periodo, numerador) y para definir el número de días que se tomarán para el año completo (denominador).</w:t>
      </w:r>
    </w:p>
    <w:p w14:paraId="668ED010" w14:textId="77777777" w:rsidR="007968EC" w:rsidRPr="00FC3851" w:rsidRDefault="007968EC" w:rsidP="007968EC">
      <w:pPr>
        <w:autoSpaceDE w:val="0"/>
        <w:autoSpaceDN w:val="0"/>
        <w:adjustRightInd w:val="0"/>
        <w:jc w:val="both"/>
        <w:rPr>
          <w:rFonts w:ascii="Arial Narrow" w:hAnsi="Arial Narrow" w:cs="Verdana"/>
          <w:bCs/>
        </w:rPr>
      </w:pPr>
    </w:p>
    <w:p w14:paraId="0FD0E04A" w14:textId="77777777" w:rsidR="007968EC" w:rsidRPr="008B56BD" w:rsidRDefault="007968EC" w:rsidP="00DA7472">
      <w:pPr>
        <w:pStyle w:val="Prrafodelista"/>
        <w:numPr>
          <w:ilvl w:val="3"/>
          <w:numId w:val="333"/>
        </w:numPr>
        <w:tabs>
          <w:tab w:val="left" w:pos="426"/>
        </w:tabs>
        <w:autoSpaceDE w:val="0"/>
        <w:autoSpaceDN w:val="0"/>
        <w:adjustRightInd w:val="0"/>
        <w:ind w:left="426"/>
        <w:jc w:val="both"/>
        <w:rPr>
          <w:rFonts w:ascii="Arial Narrow" w:eastAsia="Calibri" w:hAnsi="Arial Narrow"/>
          <w:b w:val="0"/>
          <w:bCs/>
          <w:color w:val="000000" w:themeColor="text1"/>
        </w:rPr>
      </w:pPr>
      <w:r w:rsidRPr="008B56BD">
        <w:rPr>
          <w:rFonts w:ascii="Arial Narrow" w:eastAsia="Calibri" w:hAnsi="Arial Narrow"/>
          <w:b w:val="0"/>
          <w:bCs/>
          <w:color w:val="000000" w:themeColor="text1"/>
        </w:rPr>
        <w:t>OIS</w:t>
      </w:r>
    </w:p>
    <w:p w14:paraId="5B392EA1" w14:textId="77777777" w:rsidR="007968EC" w:rsidRDefault="007968EC" w:rsidP="007968EC">
      <w:pPr>
        <w:tabs>
          <w:tab w:val="left" w:pos="426"/>
        </w:tabs>
        <w:autoSpaceDE w:val="0"/>
        <w:autoSpaceDN w:val="0"/>
        <w:adjustRightInd w:val="0"/>
        <w:ind w:left="426"/>
        <w:jc w:val="both"/>
        <w:rPr>
          <w:rFonts w:ascii="Arial Narrow" w:eastAsia="Calibri" w:hAnsi="Arial Narrow"/>
          <w:bCs/>
          <w:color w:val="000000" w:themeColor="text1"/>
          <w:u w:val="single"/>
        </w:rPr>
      </w:pPr>
    </w:p>
    <w:p w14:paraId="3BBEB5B9" w14:textId="77777777" w:rsidR="007968EC" w:rsidRPr="00531BF2" w:rsidRDefault="007968EC" w:rsidP="007968EC">
      <w:pPr>
        <w:autoSpaceDE w:val="0"/>
        <w:autoSpaceDN w:val="0"/>
        <w:adjustRightInd w:val="0"/>
        <w:ind w:left="426"/>
        <w:jc w:val="both"/>
        <w:rPr>
          <w:rFonts w:ascii="Arial Narrow" w:eastAsia="Calibri" w:hAnsi="Arial Narrow"/>
          <w:bCs/>
          <w:color w:val="000000" w:themeColor="text1"/>
          <w:u w:val="single"/>
        </w:rPr>
      </w:pPr>
      <w:r w:rsidRPr="00531BF2">
        <w:rPr>
          <w:rFonts w:ascii="Arial Narrow" w:eastAsia="Calibri" w:hAnsi="Arial Narrow"/>
          <w:bCs/>
          <w:color w:val="000000" w:themeColor="text1"/>
          <w:u w:val="single"/>
        </w:rPr>
        <w:t xml:space="preserve">Cálculo de Cupones Fijos </w:t>
      </w:r>
    </w:p>
    <w:p w14:paraId="1E4E4EE1" w14:textId="77777777" w:rsidR="007968EC" w:rsidRPr="005F10B9" w:rsidRDefault="007968EC" w:rsidP="007968EC">
      <w:pPr>
        <w:autoSpaceDE w:val="0"/>
        <w:autoSpaceDN w:val="0"/>
        <w:adjustRightInd w:val="0"/>
        <w:ind w:left="425"/>
        <w:jc w:val="both"/>
        <w:rPr>
          <w:rFonts w:ascii="Arial Narrow" w:hAnsi="Arial Narrow" w:cs="Arial"/>
          <w:bCs/>
          <w:u w:val="single"/>
          <w:lang w:eastAsia="es-CO"/>
        </w:rPr>
      </w:pPr>
    </w:p>
    <w:p w14:paraId="3D34CAF5" w14:textId="77777777" w:rsidR="007968EC" w:rsidRPr="005F10B9" w:rsidRDefault="007968EC" w:rsidP="007968EC">
      <w:pPr>
        <w:autoSpaceDE w:val="0"/>
        <w:autoSpaceDN w:val="0"/>
        <w:adjustRightInd w:val="0"/>
        <w:ind w:left="425"/>
        <w:jc w:val="both"/>
        <w:rPr>
          <w:rFonts w:ascii="Arial Narrow" w:hAnsi="Arial Narrow" w:cs="Verdana"/>
          <w:bCs/>
        </w:rPr>
      </w:pPr>
      <w:bookmarkStart w:id="6381" w:name="_Hlk1660182"/>
      <w:r w:rsidRPr="005F10B9">
        <w:rPr>
          <w:rFonts w:ascii="Arial Narrow" w:hAnsi="Arial Narrow" w:cs="Verdana"/>
          <w:bCs/>
        </w:rPr>
        <w:t>La Cámara determinará los importes de Cupón Fijo en la fecha de pago, de acuerdo con la siguiente fórmula:</w:t>
      </w:r>
    </w:p>
    <w:bookmarkEnd w:id="6381"/>
    <w:p w14:paraId="2D5ADBD7" w14:textId="77777777" w:rsidR="007968EC" w:rsidRPr="005F10B9" w:rsidRDefault="007968EC" w:rsidP="007968EC">
      <w:pPr>
        <w:autoSpaceDE w:val="0"/>
        <w:autoSpaceDN w:val="0"/>
        <w:adjustRightInd w:val="0"/>
        <w:rPr>
          <w:rFonts w:ascii="Arial Narrow" w:hAnsi="Arial Narrow" w:cs="Verdana"/>
          <w:b/>
          <w:bCs/>
          <w:lang w:eastAsia="es-CO"/>
        </w:rPr>
      </w:pPr>
    </w:p>
    <w:p w14:paraId="11B0A1D9" w14:textId="77777777" w:rsidR="007968EC" w:rsidRPr="005F10B9" w:rsidRDefault="007968EC" w:rsidP="007968EC">
      <w:pPr>
        <w:autoSpaceDE w:val="0"/>
        <w:autoSpaceDN w:val="0"/>
        <w:adjustRightInd w:val="0"/>
        <w:jc w:val="center"/>
        <w:rPr>
          <w:rFonts w:ascii="Arial Narrow" w:hAnsi="Arial Narrow" w:cs="Verdana"/>
          <w:b/>
          <w:bCs/>
          <w:lang w:eastAsia="es-CO"/>
        </w:rPr>
      </w:pPr>
      <w:r w:rsidRPr="005F10B9">
        <w:rPr>
          <w:rFonts w:ascii="Arial Narrow" w:hAnsi="Arial Narrow" w:cs="Verdana"/>
          <w:b/>
          <w:bCs/>
          <w:lang w:eastAsia="es-CO"/>
        </w:rPr>
        <w:t xml:space="preserve">Nominal de la Operación </w:t>
      </w:r>
      <w:r w:rsidRPr="005F10B9">
        <w:rPr>
          <w:rFonts w:ascii="Cambria Math" w:hAnsi="Cambria Math" w:cs="Cambria Math"/>
          <w:b/>
          <w:bCs/>
          <w:lang w:eastAsia="es-CO"/>
        </w:rPr>
        <w:t>∗</w:t>
      </w:r>
      <w:r w:rsidRPr="005F10B9">
        <w:rPr>
          <w:rFonts w:ascii="Arial Narrow" w:hAnsi="Arial Narrow" w:cs="Verdana"/>
          <w:b/>
          <w:bCs/>
          <w:lang w:eastAsia="es-CO"/>
        </w:rPr>
        <w:t xml:space="preserve"> Tasa Fija </w:t>
      </w:r>
      <w:r w:rsidRPr="005F10B9">
        <w:rPr>
          <w:rFonts w:ascii="Cambria Math" w:hAnsi="Cambria Math" w:cs="Cambria Math"/>
          <w:b/>
          <w:bCs/>
          <w:lang w:eastAsia="es-CO"/>
        </w:rPr>
        <w:t>∗</w:t>
      </w:r>
      <w:r w:rsidRPr="005F10B9">
        <w:rPr>
          <w:rFonts w:ascii="Arial Narrow" w:hAnsi="Arial Narrow" w:cs="Verdana"/>
          <w:b/>
          <w:bCs/>
          <w:lang w:eastAsia="es-CO"/>
        </w:rPr>
        <w:t xml:space="preserve"> Base de Cálculo</w:t>
      </w:r>
    </w:p>
    <w:p w14:paraId="403DB409" w14:textId="77777777" w:rsidR="007968EC" w:rsidRPr="005F10B9" w:rsidRDefault="007968EC" w:rsidP="007968EC">
      <w:pPr>
        <w:autoSpaceDE w:val="0"/>
        <w:autoSpaceDN w:val="0"/>
        <w:adjustRightInd w:val="0"/>
        <w:rPr>
          <w:rFonts w:ascii="Arial Narrow" w:hAnsi="Arial Narrow" w:cs="Verdana"/>
          <w:bCs/>
          <w:lang w:eastAsia="es-CO"/>
        </w:rPr>
      </w:pPr>
    </w:p>
    <w:p w14:paraId="1A308B92" w14:textId="77777777" w:rsidR="007968EC" w:rsidRPr="005F10B9" w:rsidRDefault="007968EC" w:rsidP="007968EC">
      <w:pPr>
        <w:autoSpaceDE w:val="0"/>
        <w:autoSpaceDN w:val="0"/>
        <w:adjustRightInd w:val="0"/>
        <w:ind w:firstLine="426"/>
        <w:rPr>
          <w:rFonts w:ascii="Arial Narrow" w:hAnsi="Arial Narrow" w:cs="Verdana"/>
          <w:bCs/>
          <w:lang w:eastAsia="es-CO"/>
        </w:rPr>
      </w:pPr>
      <w:r w:rsidRPr="005F10B9">
        <w:rPr>
          <w:rFonts w:ascii="Arial Narrow" w:hAnsi="Arial Narrow" w:cs="Verdana"/>
          <w:bCs/>
          <w:lang w:eastAsia="es-CO"/>
        </w:rPr>
        <w:lastRenderedPageBreak/>
        <w:t>Donde:</w:t>
      </w:r>
    </w:p>
    <w:p w14:paraId="536732C2" w14:textId="77777777" w:rsidR="007968EC" w:rsidRPr="005F10B9" w:rsidRDefault="007968EC" w:rsidP="007968EC">
      <w:pPr>
        <w:autoSpaceDE w:val="0"/>
        <w:autoSpaceDN w:val="0"/>
        <w:adjustRightInd w:val="0"/>
        <w:ind w:firstLine="708"/>
        <w:rPr>
          <w:rFonts w:ascii="Arial Narrow" w:hAnsi="Arial Narrow" w:cs="Verdana"/>
          <w:bCs/>
          <w:lang w:eastAsia="es-CO"/>
        </w:rPr>
      </w:pPr>
    </w:p>
    <w:p w14:paraId="39132AB2" w14:textId="77777777" w:rsidR="007968EC" w:rsidRDefault="007968EC" w:rsidP="007968EC">
      <w:pPr>
        <w:autoSpaceDE w:val="0"/>
        <w:autoSpaceDN w:val="0"/>
        <w:adjustRightInd w:val="0"/>
        <w:ind w:left="426"/>
        <w:jc w:val="both"/>
        <w:rPr>
          <w:rFonts w:ascii="Arial Narrow" w:hAnsi="Arial Narrow" w:cs="Verdana"/>
          <w:bCs/>
          <w:lang w:eastAsia="es-CO"/>
        </w:rPr>
      </w:pPr>
      <w:r w:rsidRPr="005F10B9">
        <w:rPr>
          <w:rFonts w:ascii="Arial Narrow" w:hAnsi="Arial Narrow" w:cs="Verdana"/>
          <w:bCs/>
          <w:lang w:eastAsia="es-CO"/>
        </w:rPr>
        <w:t>Base de Cálculo: Es la fracción del año calculada utilizando las convenciones estipuladas en el momento de registro de las operaciones y aplicadas para calcular el número de días (entre el Día del Inicio del Periodo y el Día del Fin del Periodo, numerador) y para definir el número de días que se tomaran para el año completo (denominador).</w:t>
      </w:r>
    </w:p>
    <w:p w14:paraId="2F59CFEC" w14:textId="77777777" w:rsidR="007968EC" w:rsidRDefault="007968EC" w:rsidP="007968EC">
      <w:pPr>
        <w:tabs>
          <w:tab w:val="left" w:pos="426"/>
        </w:tabs>
        <w:autoSpaceDE w:val="0"/>
        <w:autoSpaceDN w:val="0"/>
        <w:adjustRightInd w:val="0"/>
        <w:ind w:left="426"/>
        <w:jc w:val="both"/>
        <w:rPr>
          <w:rFonts w:ascii="Arial Narrow" w:eastAsia="Calibri" w:hAnsi="Arial Narrow"/>
          <w:bCs/>
          <w:color w:val="000000" w:themeColor="text1"/>
          <w:u w:val="single"/>
        </w:rPr>
      </w:pPr>
    </w:p>
    <w:p w14:paraId="238A61BC" w14:textId="77777777" w:rsidR="007968EC" w:rsidRDefault="007968EC" w:rsidP="007968EC">
      <w:pPr>
        <w:autoSpaceDE w:val="0"/>
        <w:autoSpaceDN w:val="0"/>
        <w:adjustRightInd w:val="0"/>
        <w:ind w:left="426"/>
        <w:jc w:val="both"/>
        <w:rPr>
          <w:rFonts w:ascii="Arial Narrow" w:eastAsia="Calibri" w:hAnsi="Arial Narrow"/>
          <w:bCs/>
          <w:color w:val="000000" w:themeColor="text1"/>
          <w:u w:val="single"/>
        </w:rPr>
      </w:pPr>
      <w:r w:rsidRPr="00531BF2">
        <w:rPr>
          <w:rFonts w:ascii="Arial Narrow" w:eastAsia="Calibri" w:hAnsi="Arial Narrow"/>
          <w:bCs/>
          <w:color w:val="000000" w:themeColor="text1"/>
          <w:u w:val="single"/>
        </w:rPr>
        <w:t xml:space="preserve">Cálculo de Cupones </w:t>
      </w:r>
      <w:r>
        <w:rPr>
          <w:rFonts w:ascii="Arial Narrow" w:eastAsia="Calibri" w:hAnsi="Arial Narrow"/>
          <w:bCs/>
          <w:color w:val="000000" w:themeColor="text1"/>
          <w:u w:val="single"/>
        </w:rPr>
        <w:t>Variables</w:t>
      </w:r>
    </w:p>
    <w:p w14:paraId="0ED42A57" w14:textId="77777777" w:rsidR="007968EC" w:rsidRDefault="007968EC" w:rsidP="007968EC">
      <w:pPr>
        <w:autoSpaceDE w:val="0"/>
        <w:autoSpaceDN w:val="0"/>
        <w:adjustRightInd w:val="0"/>
        <w:ind w:left="426"/>
        <w:jc w:val="both"/>
        <w:rPr>
          <w:rFonts w:ascii="Arial Narrow" w:eastAsia="Calibri" w:hAnsi="Arial Narrow"/>
          <w:bCs/>
          <w:color w:val="000000" w:themeColor="text1"/>
          <w:u w:val="single"/>
        </w:rPr>
      </w:pPr>
    </w:p>
    <w:p w14:paraId="7C68F231" w14:textId="77777777" w:rsidR="007968EC" w:rsidRPr="008F2FE5" w:rsidRDefault="007968EC" w:rsidP="007968EC">
      <w:pPr>
        <w:autoSpaceDE w:val="0"/>
        <w:autoSpaceDN w:val="0"/>
        <w:adjustRightInd w:val="0"/>
        <w:ind w:left="426"/>
        <w:jc w:val="both"/>
        <w:rPr>
          <w:rFonts w:ascii="Arial Narrow" w:eastAsia="Calibri" w:hAnsi="Arial Narrow"/>
          <w:bCs/>
          <w:color w:val="000000" w:themeColor="text1"/>
        </w:rPr>
      </w:pPr>
      <w:r w:rsidRPr="008F2FE5">
        <w:rPr>
          <w:rFonts w:ascii="Arial Narrow" w:eastAsia="Calibri" w:hAnsi="Arial Narrow"/>
          <w:bCs/>
          <w:color w:val="000000" w:themeColor="text1"/>
        </w:rPr>
        <w:t>La Cámara determinará los importes de Cupón Variable en la fecha de pago, de acuerdo con:</w:t>
      </w:r>
    </w:p>
    <w:p w14:paraId="6120308B" w14:textId="77777777" w:rsidR="007968EC" w:rsidRDefault="007968EC" w:rsidP="007968EC">
      <w:pPr>
        <w:autoSpaceDE w:val="0"/>
        <w:autoSpaceDN w:val="0"/>
        <w:adjustRightInd w:val="0"/>
        <w:ind w:left="426"/>
        <w:jc w:val="both"/>
        <w:rPr>
          <w:rFonts w:ascii="Arial Narrow" w:eastAsia="Calibri" w:hAnsi="Arial Narrow"/>
          <w:bCs/>
          <w:color w:val="000000" w:themeColor="text1"/>
          <w:u w:val="single"/>
        </w:rPr>
      </w:pPr>
    </w:p>
    <w:p w14:paraId="2AF33052" w14:textId="77777777" w:rsidR="007968EC" w:rsidRPr="00AF2413" w:rsidRDefault="007968EC" w:rsidP="007968EC">
      <w:pPr>
        <w:autoSpaceDE w:val="0"/>
        <w:autoSpaceDN w:val="0"/>
        <w:adjustRightInd w:val="0"/>
        <w:ind w:left="426"/>
        <w:jc w:val="both"/>
        <w:rPr>
          <w:rFonts w:ascii="Arial Narrow" w:hAnsi="Arial Narrow" w:cs="Verdana"/>
          <w:bCs/>
          <w:lang w:eastAsia="es-CO"/>
        </w:rPr>
      </w:pPr>
      <w:r>
        <w:rPr>
          <w:rFonts w:ascii="Arial Narrow" w:hAnsi="Arial Narrow" w:cs="Verdana"/>
          <w:bCs/>
        </w:rPr>
        <w:t>L</w:t>
      </w:r>
      <w:r w:rsidRPr="00AF2413">
        <w:rPr>
          <w:rFonts w:ascii="Arial Narrow" w:hAnsi="Arial Narrow" w:cs="Verdana"/>
          <w:bCs/>
          <w:lang w:eastAsia="es-CO"/>
        </w:rPr>
        <w:t>os importes Variables están relacionados con la Tasa interbancaria Overnight (IBR O</w:t>
      </w:r>
      <w:r>
        <w:rPr>
          <w:rFonts w:ascii="Arial Narrow" w:hAnsi="Arial Narrow" w:cs="Verdana"/>
          <w:bCs/>
          <w:lang w:eastAsia="es-CO"/>
        </w:rPr>
        <w:t>vernight</w:t>
      </w:r>
      <w:r w:rsidRPr="00AF2413">
        <w:rPr>
          <w:rFonts w:ascii="Arial Narrow" w:hAnsi="Arial Narrow" w:cs="Verdana"/>
          <w:bCs/>
          <w:lang w:eastAsia="es-CO"/>
        </w:rPr>
        <w:t>), y la Tasa utilizada es el resultado de observar, a interés compuesto, las Tasas IBR O</w:t>
      </w:r>
      <w:r>
        <w:rPr>
          <w:rFonts w:ascii="Arial Narrow" w:hAnsi="Arial Narrow" w:cs="Verdana"/>
          <w:bCs/>
          <w:lang w:eastAsia="es-CO"/>
        </w:rPr>
        <w:t>vernight</w:t>
      </w:r>
      <w:r w:rsidRPr="00AF2413">
        <w:rPr>
          <w:rFonts w:ascii="Arial Narrow" w:hAnsi="Arial Narrow" w:cs="Verdana"/>
          <w:bCs/>
          <w:lang w:eastAsia="es-CO"/>
        </w:rPr>
        <w:t xml:space="preserve"> publicadas entre el día de pago inicial y el día de pago final, como se detalla a continuación:</w:t>
      </w:r>
    </w:p>
    <w:p w14:paraId="4E917BE0" w14:textId="77777777" w:rsidR="007968EC" w:rsidRPr="005F10B9" w:rsidRDefault="007968EC" w:rsidP="007968EC">
      <w:pPr>
        <w:autoSpaceDE w:val="0"/>
        <w:autoSpaceDN w:val="0"/>
        <w:adjustRightInd w:val="0"/>
        <w:ind w:left="426"/>
        <w:jc w:val="both"/>
        <w:rPr>
          <w:rFonts w:ascii="Arial Narrow" w:hAnsi="Arial Narrow" w:cs="Verdana"/>
          <w:bCs/>
          <w:lang w:eastAsia="es-CO"/>
        </w:rPr>
      </w:pPr>
    </w:p>
    <w:p w14:paraId="3E4A2228" w14:textId="77777777" w:rsidR="007968EC" w:rsidRPr="005F10B9" w:rsidRDefault="007968EC" w:rsidP="007968EC">
      <w:pPr>
        <w:autoSpaceDE w:val="0"/>
        <w:autoSpaceDN w:val="0"/>
        <w:adjustRightInd w:val="0"/>
        <w:rPr>
          <w:rFonts w:ascii="Arial Narrow" w:hAnsi="Arial Narrow" w:cs="Arial"/>
        </w:rPr>
      </w:pPr>
    </w:p>
    <w:p w14:paraId="3D0D33F2" w14:textId="77777777" w:rsidR="007968EC" w:rsidRPr="005F10B9" w:rsidRDefault="007968EC" w:rsidP="007968EC">
      <w:pPr>
        <w:ind w:right="-255"/>
        <w:jc w:val="both"/>
        <w:rPr>
          <w:rFonts w:ascii="Arial Narrow" w:hAnsi="Arial Narrow"/>
        </w:rPr>
      </w:pPr>
      <m:oMathPara>
        <m:oMathParaPr>
          <m:jc m:val="center"/>
        </m:oMathParaPr>
        <m:oMath>
          <m:r>
            <m:rPr>
              <m:sty m:val="bi"/>
            </m:rPr>
            <w:rPr>
              <w:rFonts w:ascii="Cambria Math" w:hAnsi="Cambria Math"/>
            </w:rPr>
            <m:t xml:space="preserve">IBR ON -COMPOUND  = </m:t>
          </m:r>
          <m:d>
            <m:dPr>
              <m:begChr m:val="["/>
              <m:endChr m:val="]"/>
              <m:ctrlPr>
                <w:rPr>
                  <w:rFonts w:ascii="Cambria Math" w:hAnsi="Cambria Math"/>
                  <w:i/>
                </w:rPr>
              </m:ctrlPr>
            </m:dPr>
            <m:e>
              <m:nary>
                <m:naryPr>
                  <m:chr m:val="∏"/>
                  <m:limLoc m:val="undOvr"/>
                  <m:ctrlPr>
                    <w:rPr>
                      <w:rFonts w:ascii="Cambria Math" w:hAnsi="Cambria Math"/>
                      <w:i/>
                    </w:rPr>
                  </m:ctrlPr>
                </m:naryPr>
                <m:sub>
                  <m:r>
                    <m:rPr>
                      <m:sty m:val="bi"/>
                    </m:rPr>
                    <w:rPr>
                      <w:rFonts w:ascii="Cambria Math" w:hAnsi="Cambria Math"/>
                    </w:rPr>
                    <m:t>i=1</m:t>
                  </m:r>
                </m:sub>
                <m:sup>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0</m:t>
                      </m:r>
                    </m:sub>
                  </m:sSub>
                </m:sup>
                <m:e>
                  <m:d>
                    <m:dPr>
                      <m:ctrlPr>
                        <w:rPr>
                          <w:rFonts w:ascii="Cambria Math" w:hAnsi="Cambria Math"/>
                          <w:i/>
                        </w:rPr>
                      </m:ctrlPr>
                    </m:dPr>
                    <m:e>
                      <m:r>
                        <m:rPr>
                          <m:sty m:val="bi"/>
                        </m:rPr>
                        <w:rPr>
                          <w:rFonts w:ascii="Cambria Math" w:hAnsi="Cambria Math"/>
                        </w:rPr>
                        <m:t xml:space="preserve">1+ </m:t>
                      </m:r>
                      <m:sSub>
                        <m:sSubPr>
                          <m:ctrlPr>
                            <w:rPr>
                              <w:rFonts w:ascii="Cambria Math" w:hAnsi="Cambria Math"/>
                              <w:i/>
                            </w:rPr>
                          </m:ctrlPr>
                        </m:sSubPr>
                        <m:e>
                          <m:r>
                            <m:rPr>
                              <m:sty m:val="bi"/>
                            </m:rPr>
                            <w:rPr>
                              <w:rFonts w:ascii="Cambria Math" w:hAnsi="Cambria Math"/>
                            </w:rPr>
                            <m:t>IBR ON</m:t>
                          </m:r>
                        </m:e>
                        <m:sub>
                          <m:r>
                            <m:rPr>
                              <m:sty m:val="bi"/>
                            </m:rPr>
                            <w:rPr>
                              <w:rFonts w:ascii="Cambria Math" w:hAnsi="Cambria Math"/>
                            </w:rPr>
                            <m:t>i</m:t>
                          </m:r>
                        </m:sub>
                      </m:sSub>
                      <m:r>
                        <m:rPr>
                          <m:sty m:val="bi"/>
                        </m:rP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i</m:t>
                              </m:r>
                            </m:sub>
                          </m:sSub>
                        </m:num>
                        <m:den>
                          <m:r>
                            <m:rPr>
                              <m:sty m:val="bi"/>
                            </m:rPr>
                            <w:rPr>
                              <w:rFonts w:ascii="Cambria Math" w:hAnsi="Cambria Math"/>
                            </w:rPr>
                            <m:t>360</m:t>
                          </m:r>
                        </m:den>
                      </m:f>
                    </m:e>
                  </m:d>
                  <m:r>
                    <m:rPr>
                      <m:sty m:val="bi"/>
                    </m:rPr>
                    <w:rPr>
                      <w:rFonts w:ascii="Cambria Math" w:hAnsi="Cambria Math"/>
                    </w:rPr>
                    <m:t>-1</m:t>
                  </m:r>
                </m:e>
              </m:nary>
            </m:e>
          </m:d>
          <m:r>
            <m:rPr>
              <m:sty m:val="bi"/>
            </m:rPr>
            <w:rPr>
              <w:rFonts w:ascii="Cambria Math" w:hAnsi="Cambria Math"/>
            </w:rPr>
            <m:t>*</m:t>
          </m:r>
          <m:f>
            <m:fPr>
              <m:ctrlPr>
                <w:rPr>
                  <w:rFonts w:ascii="Cambria Math" w:hAnsi="Cambria Math"/>
                  <w:i/>
                </w:rPr>
              </m:ctrlPr>
            </m:fPr>
            <m:num>
              <m:r>
                <m:rPr>
                  <m:sty m:val="bi"/>
                </m:rPr>
                <w:rPr>
                  <w:rFonts w:ascii="Cambria Math" w:hAnsi="Cambria Math"/>
                </w:rPr>
                <m:t>360</m:t>
              </m:r>
            </m:num>
            <m:den>
              <m:r>
                <m:rPr>
                  <m:sty m:val="bi"/>
                </m:rPr>
                <w:rPr>
                  <w:rFonts w:ascii="Cambria Math" w:hAnsi="Cambria Math"/>
                </w:rPr>
                <m:t>d</m:t>
              </m:r>
            </m:den>
          </m:f>
          <m:r>
            <m:rPr>
              <m:sty m:val="bi"/>
            </m:rPr>
            <w:rPr>
              <w:rFonts w:ascii="Cambria Math" w:hAnsi="Cambria Math"/>
            </w:rPr>
            <m:t xml:space="preserve"> </m:t>
          </m:r>
        </m:oMath>
      </m:oMathPara>
    </w:p>
    <w:p w14:paraId="3E8E9578" w14:textId="77777777" w:rsidR="007968EC" w:rsidRPr="005F10B9" w:rsidRDefault="007968EC" w:rsidP="007968EC">
      <w:pPr>
        <w:autoSpaceDE w:val="0"/>
        <w:autoSpaceDN w:val="0"/>
        <w:adjustRightInd w:val="0"/>
        <w:ind w:firstLine="708"/>
        <w:rPr>
          <w:rFonts w:ascii="Arial Narrow" w:hAnsi="Arial Narrow" w:cs="Verdana"/>
          <w:bCs/>
          <w:lang w:eastAsia="es-CO"/>
        </w:rPr>
      </w:pPr>
      <w:r w:rsidRPr="005F10B9">
        <w:rPr>
          <w:rFonts w:ascii="Arial Narrow" w:hAnsi="Arial Narrow" w:cs="Verdana"/>
          <w:bCs/>
          <w:lang w:eastAsia="es-CO"/>
        </w:rPr>
        <w:t>Donde:</w:t>
      </w:r>
    </w:p>
    <w:p w14:paraId="7F08EC2A" w14:textId="77777777" w:rsidR="007968EC" w:rsidRPr="005F10B9" w:rsidRDefault="007968EC" w:rsidP="007968EC">
      <w:pPr>
        <w:autoSpaceDE w:val="0"/>
        <w:autoSpaceDN w:val="0"/>
        <w:adjustRightInd w:val="0"/>
        <w:rPr>
          <w:rFonts w:ascii="Arial Narrow" w:hAnsi="Arial Narrow" w:cs="Arial"/>
        </w:rPr>
      </w:pPr>
    </w:p>
    <w:p w14:paraId="145903B7" w14:textId="77777777" w:rsidR="007968EC" w:rsidRPr="005F10B9" w:rsidRDefault="00682D97" w:rsidP="007968EC">
      <w:pPr>
        <w:autoSpaceDE w:val="0"/>
        <w:autoSpaceDN w:val="0"/>
        <w:adjustRightInd w:val="0"/>
        <w:ind w:left="708"/>
        <w:jc w:val="both"/>
        <w:rPr>
          <w:rFonts w:ascii="Arial Narrow" w:hAnsi="Arial Narrow" w:cs="Verdana"/>
          <w:bCs/>
          <w:lang w:eastAsia="es-CO"/>
        </w:rPr>
      </w:pPr>
      <m:oMath>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0</m:t>
            </m:r>
          </m:sub>
        </m:sSub>
      </m:oMath>
      <w:r w:rsidR="007968EC" w:rsidRPr="005F10B9">
        <w:rPr>
          <w:rFonts w:ascii="Arial Narrow" w:hAnsi="Arial Narrow" w:cs="Arial"/>
          <w:b/>
          <w:bCs/>
        </w:rPr>
        <w:t xml:space="preserve"> </w:t>
      </w:r>
      <w:r w:rsidR="007968EC" w:rsidRPr="005F10B9">
        <w:rPr>
          <w:rFonts w:ascii="Arial Narrow" w:hAnsi="Arial Narrow" w:cs="Verdana"/>
          <w:bCs/>
          <w:lang w:eastAsia="es-CO"/>
        </w:rPr>
        <w:t>Es el número de días hábiles del calendario de pagos según calendario COBO, para un periodo de cálculo determinado (entre el día del inicio del periodo y el día del fin del periodo).</w:t>
      </w:r>
    </w:p>
    <w:p w14:paraId="35F05215" w14:textId="77777777" w:rsidR="007968EC" w:rsidRPr="005F10B9" w:rsidRDefault="007968EC" w:rsidP="007968EC">
      <w:pPr>
        <w:autoSpaceDE w:val="0"/>
        <w:autoSpaceDN w:val="0"/>
        <w:adjustRightInd w:val="0"/>
        <w:ind w:left="708"/>
        <w:jc w:val="both"/>
        <w:rPr>
          <w:rFonts w:ascii="Arial Narrow" w:hAnsi="Arial Narrow" w:cs="Verdana"/>
          <w:bCs/>
          <w:lang w:eastAsia="es-CO"/>
        </w:rPr>
      </w:pPr>
    </w:p>
    <w:p w14:paraId="5F89B7DC" w14:textId="77777777" w:rsidR="007968EC" w:rsidRPr="005F10B9" w:rsidRDefault="007968EC" w:rsidP="007968EC">
      <w:pPr>
        <w:autoSpaceDE w:val="0"/>
        <w:autoSpaceDN w:val="0"/>
        <w:adjustRightInd w:val="0"/>
        <w:ind w:left="708"/>
        <w:jc w:val="both"/>
        <w:rPr>
          <w:rFonts w:ascii="Arial Narrow" w:hAnsi="Arial Narrow" w:cs="Verdana"/>
          <w:bCs/>
          <w:lang w:eastAsia="es-CO"/>
        </w:rPr>
      </w:pPr>
      <w:r w:rsidRPr="005F10B9">
        <w:rPr>
          <w:rFonts w:ascii="Arial Narrow" w:hAnsi="Arial Narrow" w:cs="Arial"/>
          <w:b/>
          <w:bCs/>
        </w:rPr>
        <w:t xml:space="preserve">i </w:t>
      </w:r>
      <w:r w:rsidRPr="005F10B9">
        <w:rPr>
          <w:rFonts w:ascii="Arial Narrow" w:hAnsi="Arial Narrow" w:cs="Verdana"/>
          <w:bCs/>
          <w:lang w:eastAsia="es-CO"/>
        </w:rPr>
        <w:t>Es</w:t>
      </w:r>
      <w:r w:rsidRPr="005F10B9">
        <w:rPr>
          <w:rFonts w:ascii="Arial Narrow" w:hAnsi="Arial Narrow" w:cs="Arial"/>
        </w:rPr>
        <w:t xml:space="preserve"> </w:t>
      </w:r>
      <w:r w:rsidRPr="005F10B9">
        <w:rPr>
          <w:rFonts w:ascii="Arial Narrow" w:hAnsi="Arial Narrow" w:cs="Verdana"/>
          <w:bCs/>
          <w:lang w:eastAsia="es-CO"/>
        </w:rPr>
        <w:t xml:space="preserve">una serie de números enteros de 1 a </w:t>
      </w:r>
      <m:oMath>
        <m:sSub>
          <m:sSubPr>
            <m:ctrlPr>
              <w:rPr>
                <w:rFonts w:ascii="Cambria Math" w:hAnsi="Cambria Math" w:cs="Verdana"/>
                <w:bCs/>
                <w:lang w:eastAsia="es-CO"/>
              </w:rPr>
            </m:ctrlPr>
          </m:sSubPr>
          <m:e>
            <m:r>
              <m:rPr>
                <m:sty m:val="bi"/>
              </m:rPr>
              <w:rPr>
                <w:rFonts w:ascii="Cambria Math" w:hAnsi="Cambria Math" w:cs="Verdana"/>
                <w:lang w:eastAsia="es-CO"/>
              </w:rPr>
              <m:t>d</m:t>
            </m:r>
          </m:e>
          <m:sub>
            <m:r>
              <m:rPr>
                <m:sty m:val="b"/>
              </m:rPr>
              <w:rPr>
                <w:rFonts w:ascii="Cambria Math" w:hAnsi="Cambria Math" w:cs="Verdana"/>
                <w:lang w:eastAsia="es-CO"/>
              </w:rPr>
              <m:t>0</m:t>
            </m:r>
          </m:sub>
        </m:sSub>
      </m:oMath>
      <w:r w:rsidRPr="005F10B9">
        <w:rPr>
          <w:rFonts w:ascii="Arial Narrow" w:hAnsi="Arial Narrow" w:cs="Verdana"/>
          <w:bCs/>
          <w:lang w:eastAsia="es-CO"/>
        </w:rPr>
        <w:t>, en representación de los días de liquidación hábiles según calendario COBO en orden cronológico, desde, e incluyendo, los primeros días de liquidación de destino en el cálculo correspondiente.</w:t>
      </w:r>
    </w:p>
    <w:p w14:paraId="415F50A8" w14:textId="77777777" w:rsidR="007968EC" w:rsidRPr="005F10B9" w:rsidRDefault="007968EC" w:rsidP="007968EC">
      <w:pPr>
        <w:autoSpaceDE w:val="0"/>
        <w:autoSpaceDN w:val="0"/>
        <w:adjustRightInd w:val="0"/>
        <w:ind w:left="708"/>
        <w:jc w:val="both"/>
        <w:rPr>
          <w:rFonts w:ascii="Arial Narrow" w:hAnsi="Arial Narrow" w:cs="Verdana"/>
          <w:bCs/>
          <w:lang w:eastAsia="es-CO"/>
        </w:rPr>
      </w:pPr>
    </w:p>
    <w:p w14:paraId="00A61FCA" w14:textId="77777777" w:rsidR="007968EC" w:rsidRPr="005F10B9" w:rsidRDefault="00682D97" w:rsidP="007968EC">
      <w:pPr>
        <w:autoSpaceDE w:val="0"/>
        <w:autoSpaceDN w:val="0"/>
        <w:adjustRightInd w:val="0"/>
        <w:ind w:left="708"/>
        <w:jc w:val="both"/>
        <w:rPr>
          <w:rFonts w:ascii="Arial Narrow" w:hAnsi="Arial Narrow" w:cs="Verdana"/>
          <w:bCs/>
          <w:lang w:eastAsia="es-CO"/>
        </w:rPr>
      </w:pPr>
      <m:oMath>
        <m:sSub>
          <m:sSubPr>
            <m:ctrlPr>
              <w:rPr>
                <w:rFonts w:ascii="Cambria Math" w:hAnsi="Cambria Math"/>
                <w:b/>
                <w:i/>
              </w:rPr>
            </m:ctrlPr>
          </m:sSubPr>
          <m:e>
            <m:r>
              <m:rPr>
                <m:sty m:val="bi"/>
              </m:rPr>
              <w:rPr>
                <w:rFonts w:ascii="Cambria Math" w:hAnsi="Cambria Math"/>
              </w:rPr>
              <m:t>IBR ON</m:t>
            </m:r>
          </m:e>
          <m:sub>
            <m:r>
              <m:rPr>
                <m:sty m:val="bi"/>
              </m:rPr>
              <w:rPr>
                <w:rFonts w:ascii="Cambria Math" w:hAnsi="Cambria Math"/>
              </w:rPr>
              <m:t>i</m:t>
            </m:r>
          </m:sub>
        </m:sSub>
      </m:oMath>
      <w:r w:rsidR="007968EC" w:rsidRPr="005F10B9">
        <w:rPr>
          <w:rFonts w:ascii="Arial Narrow" w:hAnsi="Arial Narrow" w:cs="Verdana"/>
          <w:b/>
        </w:rPr>
        <w:t xml:space="preserve"> </w:t>
      </w:r>
      <w:r w:rsidR="007968EC" w:rsidRPr="005F10B9">
        <w:rPr>
          <w:rFonts w:ascii="Arial Narrow" w:hAnsi="Arial Narrow" w:cs="Verdana"/>
          <w:bCs/>
          <w:lang w:eastAsia="es-CO"/>
        </w:rPr>
        <w:t>Para cualquier día "i" en el periodo de cálculo correspondiente, es una tasa de referencia igual al IBR O</w:t>
      </w:r>
      <w:r w:rsidR="007968EC">
        <w:rPr>
          <w:rFonts w:ascii="Arial Narrow" w:hAnsi="Arial Narrow" w:cs="Verdana"/>
          <w:bCs/>
          <w:lang w:eastAsia="es-CO"/>
        </w:rPr>
        <w:t>vernight</w:t>
      </w:r>
      <w:r w:rsidR="007968EC" w:rsidRPr="005F10B9">
        <w:rPr>
          <w:rFonts w:ascii="Arial Narrow" w:hAnsi="Arial Narrow" w:cs="Verdana"/>
          <w:bCs/>
          <w:lang w:eastAsia="es-CO"/>
        </w:rPr>
        <w:t xml:space="preserve"> según estipulado en el </w:t>
      </w:r>
      <w:r w:rsidR="007968EC" w:rsidRPr="005F10B9">
        <w:rPr>
          <w:rFonts w:ascii="Arial Narrow" w:hAnsi="Arial Narrow" w:cs="Arial"/>
          <w:color w:val="000000" w:themeColor="text1"/>
          <w:lang w:eastAsia="es-ES"/>
        </w:rPr>
        <w:t>Articulo 5.5.3.4. Fijación de Fixing</w:t>
      </w:r>
      <w:r w:rsidR="007968EC" w:rsidRPr="005F10B9">
        <w:rPr>
          <w:rFonts w:ascii="Arial Narrow" w:hAnsi="Arial Narrow" w:cs="Verdana"/>
          <w:bCs/>
          <w:lang w:eastAsia="es-CO"/>
        </w:rPr>
        <w:t>.</w:t>
      </w:r>
    </w:p>
    <w:p w14:paraId="001E4B4C" w14:textId="77777777" w:rsidR="007968EC" w:rsidRPr="005F10B9" w:rsidRDefault="007968EC" w:rsidP="007968EC">
      <w:pPr>
        <w:autoSpaceDE w:val="0"/>
        <w:autoSpaceDN w:val="0"/>
        <w:adjustRightInd w:val="0"/>
        <w:ind w:left="708"/>
        <w:jc w:val="both"/>
        <w:rPr>
          <w:rFonts w:ascii="Arial Narrow" w:hAnsi="Arial Narrow" w:cs="Verdana"/>
          <w:bCs/>
          <w:lang w:eastAsia="es-CO"/>
        </w:rPr>
      </w:pPr>
    </w:p>
    <w:p w14:paraId="253B5DF5" w14:textId="77777777" w:rsidR="007968EC" w:rsidRPr="005F10B9" w:rsidRDefault="00682D97" w:rsidP="007968EC">
      <w:pPr>
        <w:autoSpaceDE w:val="0"/>
        <w:autoSpaceDN w:val="0"/>
        <w:adjustRightInd w:val="0"/>
        <w:ind w:firstLine="708"/>
        <w:jc w:val="both"/>
        <w:rPr>
          <w:rFonts w:ascii="Arial Narrow" w:hAnsi="Arial Narrow" w:cs="Verdana"/>
          <w:bCs/>
          <w:lang w:eastAsia="es-CO"/>
        </w:rPr>
      </w:pPr>
      <m:oMath>
        <m:sSub>
          <m:sSubPr>
            <m:ctrlPr>
              <w:rPr>
                <w:rFonts w:ascii="Cambria Math" w:hAnsi="Cambria Math" w:cs="Verdana"/>
                <w:bCs/>
                <w:lang w:eastAsia="es-CO"/>
              </w:rPr>
            </m:ctrlPr>
          </m:sSubPr>
          <m:e>
            <m:r>
              <m:rPr>
                <m:sty m:val="bi"/>
              </m:rPr>
              <w:rPr>
                <w:rFonts w:ascii="Cambria Math" w:hAnsi="Cambria Math" w:cs="Verdana"/>
                <w:lang w:eastAsia="es-CO"/>
              </w:rPr>
              <m:t>n</m:t>
            </m:r>
          </m:e>
          <m:sub>
            <m:r>
              <m:rPr>
                <m:sty m:val="bi"/>
              </m:rPr>
              <w:rPr>
                <w:rFonts w:ascii="Cambria Math" w:hAnsi="Cambria Math" w:cs="Verdana"/>
                <w:lang w:eastAsia="es-CO"/>
              </w:rPr>
              <m:t>i</m:t>
            </m:r>
          </m:sub>
        </m:sSub>
      </m:oMath>
      <w:r w:rsidR="007968EC" w:rsidRPr="005F10B9">
        <w:rPr>
          <w:rFonts w:ascii="Arial Narrow" w:hAnsi="Arial Narrow" w:cs="Verdana"/>
          <w:bCs/>
          <w:lang w:eastAsia="es-CO"/>
        </w:rPr>
        <w:t xml:space="preserve">  Es el número de días hábiles del periodo de cálculo, en el que se observa el IBR O</w:t>
      </w:r>
      <w:r w:rsidR="007968EC">
        <w:rPr>
          <w:rFonts w:ascii="Arial Narrow" w:hAnsi="Arial Narrow" w:cs="Verdana"/>
          <w:bCs/>
          <w:lang w:eastAsia="es-CO"/>
        </w:rPr>
        <w:t>vernight</w:t>
      </w:r>
      <w:r w:rsidR="007968EC" w:rsidRPr="005F10B9">
        <w:rPr>
          <w:rFonts w:ascii="Arial Narrow" w:hAnsi="Arial Narrow" w:cs="Verdana"/>
          <w:bCs/>
          <w:lang w:eastAsia="es-CO"/>
        </w:rPr>
        <w:t>.</w:t>
      </w:r>
    </w:p>
    <w:p w14:paraId="71903995" w14:textId="77777777" w:rsidR="007968EC" w:rsidRPr="005F10B9" w:rsidRDefault="007968EC" w:rsidP="007968EC">
      <w:pPr>
        <w:autoSpaceDE w:val="0"/>
        <w:autoSpaceDN w:val="0"/>
        <w:adjustRightInd w:val="0"/>
        <w:ind w:firstLine="708"/>
        <w:jc w:val="both"/>
        <w:rPr>
          <w:rFonts w:ascii="Arial Narrow" w:hAnsi="Arial Narrow" w:cs="Verdana"/>
          <w:bCs/>
          <w:lang w:eastAsia="es-CO"/>
        </w:rPr>
      </w:pPr>
    </w:p>
    <w:p w14:paraId="44FDF8B2" w14:textId="77777777" w:rsidR="007968EC" w:rsidRPr="005F10B9" w:rsidRDefault="007968EC" w:rsidP="007968EC">
      <w:pPr>
        <w:autoSpaceDE w:val="0"/>
        <w:autoSpaceDN w:val="0"/>
        <w:adjustRightInd w:val="0"/>
        <w:ind w:firstLine="708"/>
        <w:rPr>
          <w:rFonts w:ascii="Arial Narrow" w:hAnsi="Arial Narrow" w:cs="Verdana"/>
          <w:bCs/>
          <w:lang w:eastAsia="es-CO"/>
        </w:rPr>
      </w:pPr>
      <m:oMath>
        <m:r>
          <m:rPr>
            <m:sty m:val="bi"/>
          </m:rPr>
          <w:rPr>
            <w:rFonts w:ascii="Cambria Math" w:hAnsi="Cambria Math"/>
          </w:rPr>
          <m:t>d</m:t>
        </m:r>
      </m:oMath>
      <w:r w:rsidRPr="005F10B9">
        <w:rPr>
          <w:rFonts w:ascii="Arial Narrow" w:hAnsi="Arial Narrow" w:cs="Verdana"/>
          <w:b/>
          <w:bCs/>
          <w:lang w:eastAsia="es-CO"/>
        </w:rPr>
        <w:t xml:space="preserve"> </w:t>
      </w:r>
      <w:r w:rsidRPr="005F10B9">
        <w:rPr>
          <w:rFonts w:ascii="Arial Narrow" w:hAnsi="Arial Narrow" w:cs="Verdana"/>
          <w:bCs/>
          <w:lang w:eastAsia="es-CO"/>
        </w:rPr>
        <w:t xml:space="preserve">Es el número de días hábiles del periodo de cálculo </w:t>
      </w:r>
    </w:p>
    <w:p w14:paraId="5E3AB056" w14:textId="77777777" w:rsidR="007968EC" w:rsidRPr="005F10B9" w:rsidRDefault="007968EC" w:rsidP="007968EC">
      <w:pPr>
        <w:autoSpaceDE w:val="0"/>
        <w:autoSpaceDN w:val="0"/>
        <w:adjustRightInd w:val="0"/>
        <w:ind w:left="425"/>
        <w:rPr>
          <w:rFonts w:ascii="Arial Narrow" w:hAnsi="Arial Narrow" w:cs="Verdana"/>
          <w:bCs/>
          <w:lang w:eastAsia="es-CO"/>
        </w:rPr>
      </w:pPr>
    </w:p>
    <w:p w14:paraId="0C8BADC2" w14:textId="77777777" w:rsidR="007968EC" w:rsidRPr="005F10B9" w:rsidRDefault="007968EC" w:rsidP="007968EC">
      <w:pPr>
        <w:autoSpaceDE w:val="0"/>
        <w:autoSpaceDN w:val="0"/>
        <w:adjustRightInd w:val="0"/>
        <w:ind w:left="709"/>
        <w:rPr>
          <w:rFonts w:ascii="Arial Narrow" w:hAnsi="Arial Narrow" w:cs="Verdana"/>
          <w:bCs/>
          <w:lang w:eastAsia="es-CO"/>
        </w:rPr>
      </w:pPr>
      <w:r w:rsidRPr="005F10B9">
        <w:rPr>
          <w:rFonts w:ascii="Arial Narrow" w:hAnsi="Arial Narrow" w:cs="Verdana"/>
          <w:bCs/>
          <w:lang w:eastAsia="es-CO"/>
        </w:rPr>
        <w:t>U</w:t>
      </w:r>
      <w:r>
        <w:rPr>
          <w:rFonts w:ascii="Arial Narrow" w:hAnsi="Arial Narrow" w:cs="Verdana"/>
          <w:bCs/>
          <w:lang w:eastAsia="es-CO"/>
        </w:rPr>
        <w:t xml:space="preserve">na vez obtenida la tasa IBR </w:t>
      </w:r>
      <w:proofErr w:type="spellStart"/>
      <w:r>
        <w:rPr>
          <w:rFonts w:ascii="Arial Narrow" w:hAnsi="Arial Narrow" w:cs="Verdana"/>
          <w:bCs/>
          <w:lang w:eastAsia="es-CO"/>
        </w:rPr>
        <w:t>Overnoght</w:t>
      </w:r>
      <w:proofErr w:type="spellEnd"/>
      <w:r w:rsidRPr="005F10B9">
        <w:rPr>
          <w:rFonts w:ascii="Arial Narrow" w:hAnsi="Arial Narrow" w:cs="Verdana"/>
          <w:bCs/>
          <w:lang w:eastAsia="es-CO"/>
        </w:rPr>
        <w:t>-COMPOUND se utiliza la fórmula:</w:t>
      </w:r>
    </w:p>
    <w:p w14:paraId="6595AF23" w14:textId="77777777" w:rsidR="007968EC" w:rsidRPr="005F10B9" w:rsidRDefault="007968EC" w:rsidP="007968EC">
      <w:pPr>
        <w:autoSpaceDE w:val="0"/>
        <w:autoSpaceDN w:val="0"/>
        <w:adjustRightInd w:val="0"/>
        <w:ind w:firstLine="708"/>
        <w:jc w:val="center"/>
        <w:rPr>
          <w:rFonts w:ascii="Arial Narrow" w:hAnsi="Arial Narrow" w:cs="Arial"/>
        </w:rPr>
      </w:pPr>
    </w:p>
    <w:p w14:paraId="3A6CAC61" w14:textId="77777777" w:rsidR="007968EC" w:rsidRPr="005F10B9" w:rsidRDefault="007968EC" w:rsidP="007968EC">
      <w:pPr>
        <w:autoSpaceDE w:val="0"/>
        <w:autoSpaceDN w:val="0"/>
        <w:adjustRightInd w:val="0"/>
        <w:jc w:val="center"/>
        <w:rPr>
          <w:rFonts w:ascii="Arial Narrow" w:hAnsi="Arial Narrow" w:cs="Verdana"/>
          <w:b/>
          <w:bCs/>
          <w:lang w:eastAsia="es-CO"/>
        </w:rPr>
      </w:pPr>
      <w:r w:rsidRPr="005F10B9">
        <w:rPr>
          <w:rFonts w:ascii="Arial Narrow" w:hAnsi="Arial Narrow" w:cs="Verdana"/>
          <w:b/>
          <w:bCs/>
          <w:lang w:eastAsia="es-CO"/>
        </w:rPr>
        <w:t xml:space="preserve">Nominal de la operación </w:t>
      </w:r>
      <w:r w:rsidRPr="005F10B9">
        <w:rPr>
          <w:rFonts w:ascii="Cambria Math" w:hAnsi="Cambria Math" w:cs="Cambria Math"/>
          <w:b/>
          <w:bCs/>
          <w:lang w:eastAsia="es-CO"/>
        </w:rPr>
        <w:t>∗</w:t>
      </w:r>
      <w:r w:rsidRPr="005F10B9">
        <w:rPr>
          <w:rFonts w:ascii="Arial Narrow" w:hAnsi="Arial Narrow" w:cs="Verdana"/>
          <w:b/>
          <w:bCs/>
          <w:lang w:eastAsia="es-CO"/>
        </w:rPr>
        <w:t xml:space="preserve"> Tasa IBR O</w:t>
      </w:r>
      <w:r>
        <w:rPr>
          <w:rFonts w:ascii="Arial Narrow" w:hAnsi="Arial Narrow" w:cs="Verdana"/>
          <w:b/>
          <w:bCs/>
          <w:lang w:eastAsia="es-CO"/>
        </w:rPr>
        <w:t xml:space="preserve">vernight – COMPOUND </w:t>
      </w:r>
      <w:r w:rsidRPr="005F10B9">
        <w:rPr>
          <w:rFonts w:ascii="Cambria Math" w:hAnsi="Cambria Math" w:cs="Cambria Math"/>
          <w:b/>
          <w:bCs/>
          <w:lang w:eastAsia="es-CO"/>
        </w:rPr>
        <w:t>∗</w:t>
      </w:r>
      <w:r w:rsidRPr="005F10B9">
        <w:rPr>
          <w:rFonts w:ascii="Arial Narrow" w:hAnsi="Arial Narrow" w:cs="Verdana"/>
          <w:b/>
          <w:bCs/>
          <w:lang w:eastAsia="es-CO"/>
        </w:rPr>
        <w:t xml:space="preserve"> Base de Cálculo</w:t>
      </w:r>
    </w:p>
    <w:p w14:paraId="761DD6D5" w14:textId="77777777" w:rsidR="007968EC" w:rsidRPr="005F10B9" w:rsidRDefault="007968EC" w:rsidP="007968EC">
      <w:pPr>
        <w:autoSpaceDE w:val="0"/>
        <w:autoSpaceDN w:val="0"/>
        <w:adjustRightInd w:val="0"/>
        <w:ind w:left="426"/>
        <w:jc w:val="both"/>
        <w:rPr>
          <w:rFonts w:ascii="Arial Narrow" w:hAnsi="Arial Narrow" w:cs="Verdana"/>
          <w:bCs/>
        </w:rPr>
      </w:pPr>
    </w:p>
    <w:p w14:paraId="71C7A229" w14:textId="77777777" w:rsidR="007968EC" w:rsidRDefault="007968EC" w:rsidP="007968EC">
      <w:pPr>
        <w:autoSpaceDE w:val="0"/>
        <w:autoSpaceDN w:val="0"/>
        <w:adjustRightInd w:val="0"/>
        <w:ind w:left="426"/>
        <w:jc w:val="both"/>
        <w:rPr>
          <w:rFonts w:ascii="Arial Narrow" w:hAnsi="Arial Narrow" w:cs="Verdana"/>
          <w:bCs/>
          <w:lang w:eastAsia="es-CO"/>
        </w:rPr>
      </w:pPr>
    </w:p>
    <w:p w14:paraId="12A4F79B" w14:textId="77777777" w:rsidR="007968EC" w:rsidRPr="001B59C3" w:rsidRDefault="007968EC" w:rsidP="007968EC">
      <w:pPr>
        <w:autoSpaceDE w:val="0"/>
        <w:autoSpaceDN w:val="0"/>
        <w:adjustRightInd w:val="0"/>
        <w:jc w:val="both"/>
        <w:rPr>
          <w:rFonts w:ascii="Arial Narrow" w:hAnsi="Arial Narrow" w:cs="Verdana"/>
          <w:bCs/>
          <w:lang w:eastAsia="es-CO"/>
        </w:rPr>
      </w:pPr>
    </w:p>
    <w:p w14:paraId="5DBBC0C3" w14:textId="77777777" w:rsidR="007968EC" w:rsidRPr="00713466" w:rsidRDefault="007968EC" w:rsidP="00DA7472">
      <w:pPr>
        <w:pStyle w:val="Prrafodelista"/>
        <w:numPr>
          <w:ilvl w:val="0"/>
          <w:numId w:val="333"/>
        </w:numPr>
        <w:tabs>
          <w:tab w:val="left" w:pos="426"/>
        </w:tabs>
        <w:autoSpaceDE w:val="0"/>
        <w:autoSpaceDN w:val="0"/>
        <w:adjustRightInd w:val="0"/>
        <w:ind w:left="567"/>
        <w:jc w:val="both"/>
        <w:rPr>
          <w:rFonts w:ascii="Arial Narrow" w:eastAsia="Calibri" w:hAnsi="Arial Narrow"/>
          <w:b w:val="0"/>
          <w:bCs/>
          <w:color w:val="000000" w:themeColor="text1"/>
          <w:lang w:val="en-US"/>
        </w:rPr>
      </w:pPr>
      <w:r w:rsidRPr="00713466">
        <w:rPr>
          <w:rFonts w:ascii="Arial Narrow" w:eastAsia="Calibri" w:hAnsi="Arial Narrow"/>
          <w:b w:val="0"/>
          <w:bCs/>
          <w:color w:val="000000" w:themeColor="text1"/>
          <w:lang w:val="en-US"/>
        </w:rPr>
        <w:t xml:space="preserve">Cross Currency Basis </w:t>
      </w:r>
      <w:r>
        <w:rPr>
          <w:rFonts w:ascii="Arial Narrow" w:eastAsia="Calibri" w:hAnsi="Arial Narrow"/>
          <w:b w:val="0"/>
          <w:bCs/>
          <w:color w:val="000000" w:themeColor="text1"/>
          <w:lang w:val="en-US"/>
        </w:rPr>
        <w:t>Swap</w:t>
      </w:r>
      <w:r w:rsidRPr="00713466">
        <w:rPr>
          <w:rFonts w:ascii="Arial Narrow" w:eastAsia="Calibri" w:hAnsi="Arial Narrow"/>
          <w:b w:val="0"/>
          <w:bCs/>
          <w:color w:val="000000" w:themeColor="text1"/>
          <w:lang w:val="en-US"/>
        </w:rPr>
        <w:t xml:space="preserve"> </w:t>
      </w:r>
      <w:r>
        <w:rPr>
          <w:rFonts w:ascii="Arial Narrow" w:eastAsia="Calibri" w:hAnsi="Arial Narrow"/>
          <w:b w:val="0"/>
          <w:bCs/>
          <w:color w:val="000000" w:themeColor="text1"/>
          <w:lang w:val="en-US"/>
        </w:rPr>
        <w:t>Overnight (CCBSO)</w:t>
      </w:r>
    </w:p>
    <w:p w14:paraId="06DECF50" w14:textId="77777777" w:rsidR="007968EC" w:rsidRPr="00713466" w:rsidRDefault="007968EC" w:rsidP="007968EC">
      <w:pPr>
        <w:tabs>
          <w:tab w:val="left" w:pos="426"/>
        </w:tabs>
        <w:autoSpaceDE w:val="0"/>
        <w:autoSpaceDN w:val="0"/>
        <w:adjustRightInd w:val="0"/>
        <w:ind w:left="426"/>
        <w:jc w:val="both"/>
        <w:rPr>
          <w:rFonts w:ascii="Arial Narrow" w:eastAsia="Calibri" w:hAnsi="Arial Narrow"/>
          <w:bCs/>
          <w:color w:val="000000" w:themeColor="text1"/>
          <w:u w:val="single"/>
          <w:lang w:val="en-US"/>
        </w:rPr>
      </w:pPr>
    </w:p>
    <w:p w14:paraId="2CC3D4B4" w14:textId="77777777" w:rsidR="007968EC" w:rsidRDefault="007968EC" w:rsidP="007968EC">
      <w:pPr>
        <w:autoSpaceDE w:val="0"/>
        <w:autoSpaceDN w:val="0"/>
        <w:adjustRightInd w:val="0"/>
        <w:ind w:left="426"/>
        <w:jc w:val="both"/>
        <w:rPr>
          <w:rFonts w:ascii="Arial Narrow" w:eastAsia="Calibri" w:hAnsi="Arial Narrow"/>
          <w:bCs/>
          <w:color w:val="000000" w:themeColor="text1"/>
          <w:u w:val="single"/>
        </w:rPr>
      </w:pPr>
      <w:r w:rsidRPr="00531BF2">
        <w:rPr>
          <w:rFonts w:ascii="Arial Narrow" w:eastAsia="Calibri" w:hAnsi="Arial Narrow"/>
          <w:bCs/>
          <w:color w:val="000000" w:themeColor="text1"/>
          <w:u w:val="single"/>
        </w:rPr>
        <w:t xml:space="preserve">Cálculo de Cupones </w:t>
      </w:r>
      <w:r>
        <w:rPr>
          <w:rFonts w:ascii="Arial Narrow" w:eastAsia="Calibri" w:hAnsi="Arial Narrow"/>
          <w:bCs/>
          <w:color w:val="000000" w:themeColor="text1"/>
          <w:u w:val="single"/>
        </w:rPr>
        <w:t>Variables en</w:t>
      </w:r>
      <w:r w:rsidRPr="008F2FE5">
        <w:rPr>
          <w:rFonts w:ascii="Arial Narrow" w:hAnsi="Arial Narrow" w:cs="Verdana"/>
          <w:bCs/>
          <w:u w:val="single"/>
          <w:lang w:eastAsia="es-CO"/>
        </w:rPr>
        <w:t xml:space="preserve"> COP</w:t>
      </w:r>
    </w:p>
    <w:p w14:paraId="6FC3D069" w14:textId="77777777" w:rsidR="007968EC" w:rsidRDefault="007968EC" w:rsidP="007968EC">
      <w:pPr>
        <w:tabs>
          <w:tab w:val="left" w:pos="426"/>
        </w:tabs>
        <w:autoSpaceDE w:val="0"/>
        <w:autoSpaceDN w:val="0"/>
        <w:adjustRightInd w:val="0"/>
        <w:ind w:left="426"/>
        <w:jc w:val="both"/>
        <w:rPr>
          <w:rFonts w:ascii="Arial Narrow" w:eastAsia="Calibri" w:hAnsi="Arial Narrow"/>
          <w:bCs/>
          <w:color w:val="000000" w:themeColor="text1"/>
          <w:u w:val="single"/>
        </w:rPr>
      </w:pPr>
    </w:p>
    <w:p w14:paraId="461F2FE0" w14:textId="77777777" w:rsidR="007968EC" w:rsidRDefault="007968EC" w:rsidP="007968EC">
      <w:pPr>
        <w:tabs>
          <w:tab w:val="left" w:pos="426"/>
        </w:tabs>
        <w:autoSpaceDE w:val="0"/>
        <w:autoSpaceDN w:val="0"/>
        <w:adjustRightInd w:val="0"/>
        <w:ind w:left="426"/>
        <w:jc w:val="both"/>
        <w:rPr>
          <w:rFonts w:ascii="Arial Narrow" w:hAnsi="Arial Narrow" w:cs="Verdana"/>
          <w:bCs/>
        </w:rPr>
      </w:pPr>
      <w:r w:rsidRPr="005F10B9">
        <w:rPr>
          <w:rFonts w:ascii="Arial Narrow" w:hAnsi="Arial Narrow" w:cs="Verdana"/>
          <w:bCs/>
        </w:rPr>
        <w:t>La Cámara determinara los importes de Cupón Variable</w:t>
      </w:r>
      <w:r>
        <w:rPr>
          <w:rFonts w:ascii="Arial Narrow" w:hAnsi="Arial Narrow" w:cs="Verdana"/>
          <w:bCs/>
        </w:rPr>
        <w:t xml:space="preserve"> en COP, </w:t>
      </w:r>
      <w:r w:rsidRPr="005F10B9">
        <w:rPr>
          <w:rFonts w:ascii="Arial Narrow" w:hAnsi="Arial Narrow" w:cs="Verdana"/>
          <w:bCs/>
        </w:rPr>
        <w:t>en la fecha de pago</w:t>
      </w:r>
      <w:r>
        <w:rPr>
          <w:rFonts w:ascii="Arial Narrow" w:hAnsi="Arial Narrow" w:cs="Verdana"/>
          <w:bCs/>
        </w:rPr>
        <w:t>, de acuerdo con:</w:t>
      </w:r>
    </w:p>
    <w:p w14:paraId="357C7539" w14:textId="77777777" w:rsidR="007968EC" w:rsidRDefault="007968EC" w:rsidP="007968EC">
      <w:pPr>
        <w:tabs>
          <w:tab w:val="left" w:pos="426"/>
        </w:tabs>
        <w:autoSpaceDE w:val="0"/>
        <w:autoSpaceDN w:val="0"/>
        <w:adjustRightInd w:val="0"/>
        <w:ind w:left="426"/>
        <w:jc w:val="both"/>
        <w:rPr>
          <w:rFonts w:ascii="Arial Narrow" w:eastAsia="Calibri" w:hAnsi="Arial Narrow"/>
          <w:bCs/>
          <w:color w:val="000000" w:themeColor="text1"/>
          <w:u w:val="single"/>
        </w:rPr>
      </w:pPr>
    </w:p>
    <w:p w14:paraId="02A9E52D" w14:textId="77777777" w:rsidR="007968EC" w:rsidRPr="00AF2413" w:rsidRDefault="007968EC" w:rsidP="007968EC">
      <w:pPr>
        <w:autoSpaceDE w:val="0"/>
        <w:autoSpaceDN w:val="0"/>
        <w:adjustRightInd w:val="0"/>
        <w:ind w:left="426"/>
        <w:jc w:val="both"/>
        <w:rPr>
          <w:rFonts w:ascii="Arial Narrow" w:hAnsi="Arial Narrow" w:cs="Verdana"/>
          <w:bCs/>
          <w:lang w:eastAsia="es-CO"/>
        </w:rPr>
      </w:pPr>
      <w:r>
        <w:rPr>
          <w:rFonts w:ascii="Arial Narrow" w:hAnsi="Arial Narrow" w:cs="Verdana"/>
          <w:bCs/>
        </w:rPr>
        <w:t>L</w:t>
      </w:r>
      <w:r w:rsidRPr="00AF2413">
        <w:rPr>
          <w:rFonts w:ascii="Arial Narrow" w:hAnsi="Arial Narrow" w:cs="Verdana"/>
          <w:bCs/>
          <w:lang w:eastAsia="es-CO"/>
        </w:rPr>
        <w:t xml:space="preserve">os importes Variables </w:t>
      </w:r>
      <w:r>
        <w:rPr>
          <w:rFonts w:ascii="Arial Narrow" w:hAnsi="Arial Narrow" w:cs="Verdana"/>
          <w:bCs/>
          <w:lang w:eastAsia="es-CO"/>
        </w:rPr>
        <w:t xml:space="preserve">denominados en COP </w:t>
      </w:r>
      <w:r w:rsidRPr="00AF2413">
        <w:rPr>
          <w:rFonts w:ascii="Arial Narrow" w:hAnsi="Arial Narrow" w:cs="Verdana"/>
          <w:bCs/>
          <w:lang w:eastAsia="es-CO"/>
        </w:rPr>
        <w:t>están relacionados con la Tasa interbancaria Overnight (IBR O</w:t>
      </w:r>
      <w:r>
        <w:rPr>
          <w:rFonts w:ascii="Arial Narrow" w:hAnsi="Arial Narrow" w:cs="Verdana"/>
          <w:bCs/>
          <w:lang w:eastAsia="es-CO"/>
        </w:rPr>
        <w:t>vernight</w:t>
      </w:r>
      <w:r w:rsidRPr="00AF2413">
        <w:rPr>
          <w:rFonts w:ascii="Arial Narrow" w:hAnsi="Arial Narrow" w:cs="Verdana"/>
          <w:bCs/>
          <w:lang w:eastAsia="es-CO"/>
        </w:rPr>
        <w:t>), y la Tasa utilizada es el resultado de observar, a interés compuesto, las Tasas IBR O</w:t>
      </w:r>
      <w:r>
        <w:rPr>
          <w:rFonts w:ascii="Arial Narrow" w:hAnsi="Arial Narrow" w:cs="Verdana"/>
          <w:bCs/>
          <w:lang w:eastAsia="es-CO"/>
        </w:rPr>
        <w:t>vernight</w:t>
      </w:r>
      <w:r w:rsidRPr="00AF2413">
        <w:rPr>
          <w:rFonts w:ascii="Arial Narrow" w:hAnsi="Arial Narrow" w:cs="Verdana"/>
          <w:bCs/>
          <w:lang w:eastAsia="es-CO"/>
        </w:rPr>
        <w:t xml:space="preserve"> publicadas entre el día de pago inicial y el día de pago final, como se detalla a continuación:</w:t>
      </w:r>
    </w:p>
    <w:p w14:paraId="4AC99E2D" w14:textId="77777777" w:rsidR="007968EC" w:rsidRPr="005F10B9" w:rsidRDefault="007968EC" w:rsidP="007968EC">
      <w:pPr>
        <w:autoSpaceDE w:val="0"/>
        <w:autoSpaceDN w:val="0"/>
        <w:adjustRightInd w:val="0"/>
        <w:ind w:left="426"/>
        <w:jc w:val="both"/>
        <w:rPr>
          <w:rFonts w:ascii="Arial Narrow" w:hAnsi="Arial Narrow" w:cs="Verdana"/>
          <w:bCs/>
          <w:lang w:eastAsia="es-CO"/>
        </w:rPr>
      </w:pPr>
    </w:p>
    <w:p w14:paraId="33C61259" w14:textId="77777777" w:rsidR="007968EC" w:rsidRPr="005F10B9" w:rsidRDefault="007968EC" w:rsidP="007968EC">
      <w:pPr>
        <w:autoSpaceDE w:val="0"/>
        <w:autoSpaceDN w:val="0"/>
        <w:adjustRightInd w:val="0"/>
        <w:rPr>
          <w:rFonts w:ascii="Arial Narrow" w:hAnsi="Arial Narrow" w:cs="Arial"/>
        </w:rPr>
      </w:pPr>
    </w:p>
    <w:p w14:paraId="50BA9D53" w14:textId="77777777" w:rsidR="007968EC" w:rsidRPr="005F10B9" w:rsidRDefault="007968EC" w:rsidP="007968EC">
      <w:pPr>
        <w:ind w:right="-255"/>
        <w:jc w:val="both"/>
        <w:rPr>
          <w:rFonts w:ascii="Arial Narrow" w:hAnsi="Arial Narrow"/>
        </w:rPr>
      </w:pPr>
      <m:oMathPara>
        <m:oMathParaPr>
          <m:jc m:val="center"/>
        </m:oMathParaPr>
        <m:oMath>
          <m:r>
            <m:rPr>
              <m:sty m:val="bi"/>
            </m:rPr>
            <w:rPr>
              <w:rFonts w:ascii="Cambria Math" w:hAnsi="Cambria Math"/>
            </w:rPr>
            <m:t xml:space="preserve">IBR ON -COMPOUND  = </m:t>
          </m:r>
          <m:d>
            <m:dPr>
              <m:begChr m:val="["/>
              <m:endChr m:val="]"/>
              <m:ctrlPr>
                <w:rPr>
                  <w:rFonts w:ascii="Cambria Math" w:hAnsi="Cambria Math"/>
                  <w:i/>
                </w:rPr>
              </m:ctrlPr>
            </m:dPr>
            <m:e>
              <m:nary>
                <m:naryPr>
                  <m:chr m:val="∏"/>
                  <m:limLoc m:val="undOvr"/>
                  <m:ctrlPr>
                    <w:rPr>
                      <w:rFonts w:ascii="Cambria Math" w:hAnsi="Cambria Math"/>
                      <w:i/>
                    </w:rPr>
                  </m:ctrlPr>
                </m:naryPr>
                <m:sub>
                  <m:r>
                    <m:rPr>
                      <m:sty m:val="bi"/>
                    </m:rPr>
                    <w:rPr>
                      <w:rFonts w:ascii="Cambria Math" w:hAnsi="Cambria Math"/>
                    </w:rPr>
                    <m:t>i=1</m:t>
                  </m:r>
                </m:sub>
                <m:sup>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0</m:t>
                      </m:r>
                    </m:sub>
                  </m:sSub>
                </m:sup>
                <m:e>
                  <m:d>
                    <m:dPr>
                      <m:ctrlPr>
                        <w:rPr>
                          <w:rFonts w:ascii="Cambria Math" w:hAnsi="Cambria Math"/>
                          <w:i/>
                        </w:rPr>
                      </m:ctrlPr>
                    </m:dPr>
                    <m:e>
                      <m:r>
                        <m:rPr>
                          <m:sty m:val="bi"/>
                        </m:rPr>
                        <w:rPr>
                          <w:rFonts w:ascii="Cambria Math" w:hAnsi="Cambria Math"/>
                        </w:rPr>
                        <m:t xml:space="preserve">1+ </m:t>
                      </m:r>
                      <m:sSub>
                        <m:sSubPr>
                          <m:ctrlPr>
                            <w:rPr>
                              <w:rFonts w:ascii="Cambria Math" w:hAnsi="Cambria Math"/>
                              <w:i/>
                            </w:rPr>
                          </m:ctrlPr>
                        </m:sSubPr>
                        <m:e>
                          <m:r>
                            <m:rPr>
                              <m:sty m:val="bi"/>
                            </m:rPr>
                            <w:rPr>
                              <w:rFonts w:ascii="Cambria Math" w:hAnsi="Cambria Math"/>
                            </w:rPr>
                            <m:t>IBR ON</m:t>
                          </m:r>
                        </m:e>
                        <m:sub>
                          <m:r>
                            <m:rPr>
                              <m:sty m:val="bi"/>
                            </m:rPr>
                            <w:rPr>
                              <w:rFonts w:ascii="Cambria Math" w:hAnsi="Cambria Math"/>
                            </w:rPr>
                            <m:t>i</m:t>
                          </m:r>
                        </m:sub>
                      </m:sSub>
                      <m:r>
                        <m:rPr>
                          <m:sty m:val="bi"/>
                        </m:rP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i</m:t>
                              </m:r>
                            </m:sub>
                          </m:sSub>
                        </m:num>
                        <m:den>
                          <m:r>
                            <m:rPr>
                              <m:sty m:val="bi"/>
                            </m:rPr>
                            <w:rPr>
                              <w:rFonts w:ascii="Cambria Math" w:hAnsi="Cambria Math"/>
                            </w:rPr>
                            <m:t>360</m:t>
                          </m:r>
                        </m:den>
                      </m:f>
                    </m:e>
                  </m:d>
                  <m:r>
                    <m:rPr>
                      <m:sty m:val="bi"/>
                    </m:rPr>
                    <w:rPr>
                      <w:rFonts w:ascii="Cambria Math" w:hAnsi="Cambria Math"/>
                    </w:rPr>
                    <m:t>-1</m:t>
                  </m:r>
                </m:e>
              </m:nary>
            </m:e>
          </m:d>
          <m:r>
            <m:rPr>
              <m:sty m:val="bi"/>
            </m:rPr>
            <w:rPr>
              <w:rFonts w:ascii="Cambria Math" w:hAnsi="Cambria Math"/>
            </w:rPr>
            <m:t>*</m:t>
          </m:r>
          <m:f>
            <m:fPr>
              <m:ctrlPr>
                <w:rPr>
                  <w:rFonts w:ascii="Cambria Math" w:hAnsi="Cambria Math"/>
                  <w:i/>
                </w:rPr>
              </m:ctrlPr>
            </m:fPr>
            <m:num>
              <m:r>
                <m:rPr>
                  <m:sty m:val="bi"/>
                </m:rPr>
                <w:rPr>
                  <w:rFonts w:ascii="Cambria Math" w:hAnsi="Cambria Math"/>
                </w:rPr>
                <m:t>360</m:t>
              </m:r>
            </m:num>
            <m:den>
              <m:r>
                <m:rPr>
                  <m:sty m:val="bi"/>
                </m:rPr>
                <w:rPr>
                  <w:rFonts w:ascii="Cambria Math" w:hAnsi="Cambria Math"/>
                </w:rPr>
                <m:t>d</m:t>
              </m:r>
            </m:den>
          </m:f>
          <m:r>
            <m:rPr>
              <m:sty m:val="bi"/>
            </m:rPr>
            <w:rPr>
              <w:rFonts w:ascii="Cambria Math" w:hAnsi="Cambria Math"/>
            </w:rPr>
            <m:t xml:space="preserve"> </m:t>
          </m:r>
        </m:oMath>
      </m:oMathPara>
    </w:p>
    <w:p w14:paraId="22324D73" w14:textId="77777777" w:rsidR="007968EC" w:rsidRPr="005F10B9" w:rsidRDefault="007968EC" w:rsidP="007968EC">
      <w:pPr>
        <w:autoSpaceDE w:val="0"/>
        <w:autoSpaceDN w:val="0"/>
        <w:adjustRightInd w:val="0"/>
        <w:ind w:firstLine="708"/>
        <w:rPr>
          <w:rFonts w:ascii="Arial Narrow" w:hAnsi="Arial Narrow" w:cs="Verdana"/>
          <w:bCs/>
          <w:lang w:eastAsia="es-CO"/>
        </w:rPr>
      </w:pPr>
      <w:r w:rsidRPr="005F10B9">
        <w:rPr>
          <w:rFonts w:ascii="Arial Narrow" w:hAnsi="Arial Narrow" w:cs="Verdana"/>
          <w:bCs/>
          <w:lang w:eastAsia="es-CO"/>
        </w:rPr>
        <w:t>Donde:</w:t>
      </w:r>
    </w:p>
    <w:p w14:paraId="7ED1F583" w14:textId="77777777" w:rsidR="007968EC" w:rsidRPr="005F10B9" w:rsidRDefault="007968EC" w:rsidP="007968EC">
      <w:pPr>
        <w:autoSpaceDE w:val="0"/>
        <w:autoSpaceDN w:val="0"/>
        <w:adjustRightInd w:val="0"/>
        <w:rPr>
          <w:rFonts w:ascii="Arial Narrow" w:hAnsi="Arial Narrow" w:cs="Arial"/>
        </w:rPr>
      </w:pPr>
    </w:p>
    <w:p w14:paraId="57C4A065" w14:textId="77777777" w:rsidR="007968EC" w:rsidRPr="005F10B9" w:rsidRDefault="00682D97" w:rsidP="007968EC">
      <w:pPr>
        <w:autoSpaceDE w:val="0"/>
        <w:autoSpaceDN w:val="0"/>
        <w:adjustRightInd w:val="0"/>
        <w:ind w:left="708"/>
        <w:jc w:val="both"/>
        <w:rPr>
          <w:rFonts w:ascii="Arial Narrow" w:hAnsi="Arial Narrow" w:cs="Verdana"/>
          <w:bCs/>
          <w:lang w:eastAsia="es-CO"/>
        </w:rPr>
      </w:pPr>
      <m:oMath>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0</m:t>
            </m:r>
          </m:sub>
        </m:sSub>
      </m:oMath>
      <w:r w:rsidR="007968EC" w:rsidRPr="005F10B9">
        <w:rPr>
          <w:rFonts w:ascii="Arial Narrow" w:hAnsi="Arial Narrow" w:cs="Arial"/>
          <w:b/>
          <w:bCs/>
        </w:rPr>
        <w:t xml:space="preserve"> </w:t>
      </w:r>
      <w:r w:rsidR="007968EC" w:rsidRPr="005F10B9">
        <w:rPr>
          <w:rFonts w:ascii="Arial Narrow" w:hAnsi="Arial Narrow" w:cs="Verdana"/>
          <w:bCs/>
          <w:lang w:eastAsia="es-CO"/>
        </w:rPr>
        <w:t>Es el número de días hábiles del calendario de pagos según calendario COBO, para un periodo de cálculo determinado (entre el día del inicio del periodo y el día del fin del periodo).</w:t>
      </w:r>
    </w:p>
    <w:p w14:paraId="2D4A1BA2" w14:textId="77777777" w:rsidR="007968EC" w:rsidRPr="005F10B9" w:rsidRDefault="007968EC" w:rsidP="007968EC">
      <w:pPr>
        <w:autoSpaceDE w:val="0"/>
        <w:autoSpaceDN w:val="0"/>
        <w:adjustRightInd w:val="0"/>
        <w:ind w:left="708"/>
        <w:jc w:val="both"/>
        <w:rPr>
          <w:rFonts w:ascii="Arial Narrow" w:hAnsi="Arial Narrow" w:cs="Verdana"/>
          <w:bCs/>
          <w:lang w:eastAsia="es-CO"/>
        </w:rPr>
      </w:pPr>
    </w:p>
    <w:p w14:paraId="0F12E0A2" w14:textId="77777777" w:rsidR="007968EC" w:rsidRPr="005F10B9" w:rsidRDefault="007968EC" w:rsidP="007968EC">
      <w:pPr>
        <w:autoSpaceDE w:val="0"/>
        <w:autoSpaceDN w:val="0"/>
        <w:adjustRightInd w:val="0"/>
        <w:ind w:left="708"/>
        <w:jc w:val="both"/>
        <w:rPr>
          <w:rFonts w:ascii="Arial Narrow" w:hAnsi="Arial Narrow" w:cs="Verdana"/>
          <w:bCs/>
          <w:lang w:eastAsia="es-CO"/>
        </w:rPr>
      </w:pPr>
      <w:r w:rsidRPr="005F10B9">
        <w:rPr>
          <w:rFonts w:ascii="Arial Narrow" w:hAnsi="Arial Narrow" w:cs="Arial"/>
          <w:b/>
          <w:bCs/>
        </w:rPr>
        <w:t xml:space="preserve">i </w:t>
      </w:r>
      <w:r w:rsidRPr="005F10B9">
        <w:rPr>
          <w:rFonts w:ascii="Arial Narrow" w:hAnsi="Arial Narrow" w:cs="Verdana"/>
          <w:bCs/>
          <w:lang w:eastAsia="es-CO"/>
        </w:rPr>
        <w:t>Es</w:t>
      </w:r>
      <w:r w:rsidRPr="005F10B9">
        <w:rPr>
          <w:rFonts w:ascii="Arial Narrow" w:hAnsi="Arial Narrow" w:cs="Arial"/>
        </w:rPr>
        <w:t xml:space="preserve"> </w:t>
      </w:r>
      <w:r w:rsidRPr="005F10B9">
        <w:rPr>
          <w:rFonts w:ascii="Arial Narrow" w:hAnsi="Arial Narrow" w:cs="Verdana"/>
          <w:bCs/>
          <w:lang w:eastAsia="es-CO"/>
        </w:rPr>
        <w:t xml:space="preserve">una serie de números enteros de 1 a </w:t>
      </w:r>
      <m:oMath>
        <m:sSub>
          <m:sSubPr>
            <m:ctrlPr>
              <w:rPr>
                <w:rFonts w:ascii="Cambria Math" w:hAnsi="Cambria Math" w:cs="Verdana"/>
                <w:bCs/>
                <w:lang w:eastAsia="es-CO"/>
              </w:rPr>
            </m:ctrlPr>
          </m:sSubPr>
          <m:e>
            <m:r>
              <m:rPr>
                <m:sty m:val="bi"/>
              </m:rPr>
              <w:rPr>
                <w:rFonts w:ascii="Cambria Math" w:hAnsi="Cambria Math" w:cs="Verdana"/>
                <w:lang w:eastAsia="es-CO"/>
              </w:rPr>
              <m:t>d</m:t>
            </m:r>
          </m:e>
          <m:sub>
            <m:r>
              <m:rPr>
                <m:sty m:val="b"/>
              </m:rPr>
              <w:rPr>
                <w:rFonts w:ascii="Cambria Math" w:hAnsi="Cambria Math" w:cs="Verdana"/>
                <w:lang w:eastAsia="es-CO"/>
              </w:rPr>
              <m:t>0</m:t>
            </m:r>
          </m:sub>
        </m:sSub>
      </m:oMath>
      <w:r w:rsidRPr="005F10B9">
        <w:rPr>
          <w:rFonts w:ascii="Arial Narrow" w:hAnsi="Arial Narrow" w:cs="Verdana"/>
          <w:bCs/>
          <w:lang w:eastAsia="es-CO"/>
        </w:rPr>
        <w:t>, en representación de los días de liquidación hábiles según calendario COBO en orden cronológico, desde, e incluyendo, los primeros días de liquidación de destino en el cálculo correspondiente.</w:t>
      </w:r>
    </w:p>
    <w:p w14:paraId="624064F7" w14:textId="77777777" w:rsidR="007968EC" w:rsidRPr="005F10B9" w:rsidRDefault="007968EC" w:rsidP="007968EC">
      <w:pPr>
        <w:autoSpaceDE w:val="0"/>
        <w:autoSpaceDN w:val="0"/>
        <w:adjustRightInd w:val="0"/>
        <w:ind w:left="708"/>
        <w:jc w:val="both"/>
        <w:rPr>
          <w:rFonts w:ascii="Arial Narrow" w:hAnsi="Arial Narrow" w:cs="Verdana"/>
          <w:bCs/>
          <w:lang w:eastAsia="es-CO"/>
        </w:rPr>
      </w:pPr>
    </w:p>
    <w:p w14:paraId="5B6E47D2" w14:textId="77777777" w:rsidR="007968EC" w:rsidRPr="005F10B9" w:rsidRDefault="00682D97" w:rsidP="007968EC">
      <w:pPr>
        <w:autoSpaceDE w:val="0"/>
        <w:autoSpaceDN w:val="0"/>
        <w:adjustRightInd w:val="0"/>
        <w:ind w:left="708"/>
        <w:jc w:val="both"/>
        <w:rPr>
          <w:rFonts w:ascii="Arial Narrow" w:hAnsi="Arial Narrow" w:cs="Verdana"/>
          <w:bCs/>
          <w:lang w:eastAsia="es-CO"/>
        </w:rPr>
      </w:pPr>
      <m:oMath>
        <m:sSub>
          <m:sSubPr>
            <m:ctrlPr>
              <w:rPr>
                <w:rFonts w:ascii="Cambria Math" w:hAnsi="Cambria Math"/>
                <w:b/>
                <w:i/>
              </w:rPr>
            </m:ctrlPr>
          </m:sSubPr>
          <m:e>
            <m:r>
              <m:rPr>
                <m:sty m:val="bi"/>
              </m:rPr>
              <w:rPr>
                <w:rFonts w:ascii="Cambria Math" w:hAnsi="Cambria Math"/>
              </w:rPr>
              <m:t>IBR ON</m:t>
            </m:r>
          </m:e>
          <m:sub>
            <m:r>
              <m:rPr>
                <m:sty m:val="bi"/>
              </m:rPr>
              <w:rPr>
                <w:rFonts w:ascii="Cambria Math" w:hAnsi="Cambria Math"/>
              </w:rPr>
              <m:t>i</m:t>
            </m:r>
          </m:sub>
        </m:sSub>
      </m:oMath>
      <w:r w:rsidR="007968EC" w:rsidRPr="005F10B9">
        <w:rPr>
          <w:rFonts w:ascii="Arial Narrow" w:hAnsi="Arial Narrow" w:cs="Verdana"/>
          <w:b/>
        </w:rPr>
        <w:t xml:space="preserve"> </w:t>
      </w:r>
      <w:r w:rsidR="007968EC" w:rsidRPr="005F10B9">
        <w:rPr>
          <w:rFonts w:ascii="Arial Narrow" w:hAnsi="Arial Narrow" w:cs="Verdana"/>
          <w:bCs/>
          <w:lang w:eastAsia="es-CO"/>
        </w:rPr>
        <w:t>Para cualquier día "i" en el periodo de cálculo correspondiente, es una tasa de referencia igual al IBR O</w:t>
      </w:r>
      <w:r w:rsidR="007968EC">
        <w:rPr>
          <w:rFonts w:ascii="Arial Narrow" w:hAnsi="Arial Narrow" w:cs="Verdana"/>
          <w:bCs/>
          <w:lang w:eastAsia="es-CO"/>
        </w:rPr>
        <w:t>vernight</w:t>
      </w:r>
      <w:r w:rsidR="007968EC" w:rsidRPr="005F10B9">
        <w:rPr>
          <w:rFonts w:ascii="Arial Narrow" w:hAnsi="Arial Narrow" w:cs="Verdana"/>
          <w:bCs/>
          <w:lang w:eastAsia="es-CO"/>
        </w:rPr>
        <w:t xml:space="preserve"> según estipulado en el </w:t>
      </w:r>
      <w:r w:rsidR="007968EC" w:rsidRPr="005F10B9">
        <w:rPr>
          <w:rFonts w:ascii="Arial Narrow" w:hAnsi="Arial Narrow" w:cs="Arial"/>
          <w:color w:val="000000" w:themeColor="text1"/>
          <w:lang w:eastAsia="es-ES"/>
        </w:rPr>
        <w:t>Articulo 5.5.3.4. Fijación de Fixing</w:t>
      </w:r>
      <w:r w:rsidR="007968EC" w:rsidRPr="005F10B9">
        <w:rPr>
          <w:rFonts w:ascii="Arial Narrow" w:hAnsi="Arial Narrow" w:cs="Verdana"/>
          <w:bCs/>
          <w:lang w:eastAsia="es-CO"/>
        </w:rPr>
        <w:t>.</w:t>
      </w:r>
    </w:p>
    <w:p w14:paraId="30C6394D" w14:textId="77777777" w:rsidR="007968EC" w:rsidRPr="005F10B9" w:rsidRDefault="007968EC" w:rsidP="007968EC">
      <w:pPr>
        <w:autoSpaceDE w:val="0"/>
        <w:autoSpaceDN w:val="0"/>
        <w:adjustRightInd w:val="0"/>
        <w:ind w:left="708"/>
        <w:jc w:val="both"/>
        <w:rPr>
          <w:rFonts w:ascii="Arial Narrow" w:hAnsi="Arial Narrow" w:cs="Verdana"/>
          <w:bCs/>
          <w:lang w:eastAsia="es-CO"/>
        </w:rPr>
      </w:pPr>
    </w:p>
    <w:p w14:paraId="3F911C09" w14:textId="77777777" w:rsidR="007968EC" w:rsidRPr="005F10B9" w:rsidRDefault="00682D97" w:rsidP="007968EC">
      <w:pPr>
        <w:autoSpaceDE w:val="0"/>
        <w:autoSpaceDN w:val="0"/>
        <w:adjustRightInd w:val="0"/>
        <w:ind w:firstLine="708"/>
        <w:jc w:val="both"/>
        <w:rPr>
          <w:rFonts w:ascii="Arial Narrow" w:hAnsi="Arial Narrow" w:cs="Verdana"/>
          <w:bCs/>
          <w:lang w:eastAsia="es-CO"/>
        </w:rPr>
      </w:pPr>
      <m:oMath>
        <m:sSub>
          <m:sSubPr>
            <m:ctrlPr>
              <w:rPr>
                <w:rFonts w:ascii="Cambria Math" w:hAnsi="Cambria Math" w:cs="Verdana"/>
                <w:bCs/>
                <w:lang w:eastAsia="es-CO"/>
              </w:rPr>
            </m:ctrlPr>
          </m:sSubPr>
          <m:e>
            <m:r>
              <m:rPr>
                <m:sty m:val="bi"/>
              </m:rPr>
              <w:rPr>
                <w:rFonts w:ascii="Cambria Math" w:hAnsi="Cambria Math" w:cs="Verdana"/>
                <w:lang w:eastAsia="es-CO"/>
              </w:rPr>
              <m:t>n</m:t>
            </m:r>
          </m:e>
          <m:sub>
            <m:r>
              <m:rPr>
                <m:sty m:val="bi"/>
              </m:rPr>
              <w:rPr>
                <w:rFonts w:ascii="Cambria Math" w:hAnsi="Cambria Math" w:cs="Verdana"/>
                <w:lang w:eastAsia="es-CO"/>
              </w:rPr>
              <m:t>i</m:t>
            </m:r>
          </m:sub>
        </m:sSub>
      </m:oMath>
      <w:r w:rsidR="007968EC" w:rsidRPr="005F10B9">
        <w:rPr>
          <w:rFonts w:ascii="Arial Narrow" w:hAnsi="Arial Narrow" w:cs="Verdana"/>
          <w:bCs/>
          <w:lang w:eastAsia="es-CO"/>
        </w:rPr>
        <w:t xml:space="preserve">  Es el número de días hábiles del periodo de cálculo, en el que se observa el IBR O</w:t>
      </w:r>
      <w:r w:rsidR="007968EC">
        <w:rPr>
          <w:rFonts w:ascii="Arial Narrow" w:hAnsi="Arial Narrow" w:cs="Verdana"/>
          <w:bCs/>
          <w:lang w:eastAsia="es-CO"/>
        </w:rPr>
        <w:t>vernight</w:t>
      </w:r>
      <w:r w:rsidR="007968EC" w:rsidRPr="005F10B9">
        <w:rPr>
          <w:rFonts w:ascii="Arial Narrow" w:hAnsi="Arial Narrow" w:cs="Verdana"/>
          <w:bCs/>
          <w:lang w:eastAsia="es-CO"/>
        </w:rPr>
        <w:t>.</w:t>
      </w:r>
    </w:p>
    <w:p w14:paraId="3CED4FAD" w14:textId="77777777" w:rsidR="007968EC" w:rsidRPr="005F10B9" w:rsidRDefault="007968EC" w:rsidP="007968EC">
      <w:pPr>
        <w:autoSpaceDE w:val="0"/>
        <w:autoSpaceDN w:val="0"/>
        <w:adjustRightInd w:val="0"/>
        <w:ind w:firstLine="708"/>
        <w:jc w:val="both"/>
        <w:rPr>
          <w:rFonts w:ascii="Arial Narrow" w:hAnsi="Arial Narrow" w:cs="Verdana"/>
          <w:bCs/>
          <w:lang w:eastAsia="es-CO"/>
        </w:rPr>
      </w:pPr>
    </w:p>
    <w:p w14:paraId="7716617B" w14:textId="77777777" w:rsidR="007968EC" w:rsidRPr="005F10B9" w:rsidRDefault="007968EC" w:rsidP="007968EC">
      <w:pPr>
        <w:autoSpaceDE w:val="0"/>
        <w:autoSpaceDN w:val="0"/>
        <w:adjustRightInd w:val="0"/>
        <w:ind w:firstLine="708"/>
        <w:rPr>
          <w:rFonts w:ascii="Arial Narrow" w:hAnsi="Arial Narrow" w:cs="Verdana"/>
          <w:bCs/>
          <w:lang w:eastAsia="es-CO"/>
        </w:rPr>
      </w:pPr>
      <m:oMath>
        <m:r>
          <m:rPr>
            <m:sty m:val="bi"/>
          </m:rPr>
          <w:rPr>
            <w:rFonts w:ascii="Cambria Math" w:hAnsi="Cambria Math"/>
          </w:rPr>
          <m:t>d</m:t>
        </m:r>
      </m:oMath>
      <w:r w:rsidRPr="005F10B9">
        <w:rPr>
          <w:rFonts w:ascii="Arial Narrow" w:hAnsi="Arial Narrow" w:cs="Verdana"/>
          <w:b/>
          <w:bCs/>
          <w:lang w:eastAsia="es-CO"/>
        </w:rPr>
        <w:t xml:space="preserve"> </w:t>
      </w:r>
      <w:r w:rsidRPr="005F10B9">
        <w:rPr>
          <w:rFonts w:ascii="Arial Narrow" w:hAnsi="Arial Narrow" w:cs="Verdana"/>
          <w:bCs/>
          <w:lang w:eastAsia="es-CO"/>
        </w:rPr>
        <w:t xml:space="preserve">Es el número de días hábiles del periodo de cálculo </w:t>
      </w:r>
    </w:p>
    <w:p w14:paraId="30A6B062" w14:textId="77777777" w:rsidR="007968EC" w:rsidRPr="005F10B9" w:rsidRDefault="007968EC" w:rsidP="007968EC">
      <w:pPr>
        <w:autoSpaceDE w:val="0"/>
        <w:autoSpaceDN w:val="0"/>
        <w:adjustRightInd w:val="0"/>
        <w:ind w:left="425"/>
        <w:rPr>
          <w:rFonts w:ascii="Arial Narrow" w:hAnsi="Arial Narrow" w:cs="Verdana"/>
          <w:bCs/>
          <w:lang w:eastAsia="es-CO"/>
        </w:rPr>
      </w:pPr>
    </w:p>
    <w:p w14:paraId="05C96D75" w14:textId="77777777" w:rsidR="007968EC" w:rsidRPr="005F10B9" w:rsidRDefault="007968EC" w:rsidP="007968EC">
      <w:pPr>
        <w:autoSpaceDE w:val="0"/>
        <w:autoSpaceDN w:val="0"/>
        <w:adjustRightInd w:val="0"/>
        <w:ind w:left="709"/>
        <w:rPr>
          <w:rFonts w:ascii="Arial Narrow" w:hAnsi="Arial Narrow" w:cs="Verdana"/>
          <w:bCs/>
          <w:lang w:eastAsia="es-CO"/>
        </w:rPr>
      </w:pPr>
      <w:r w:rsidRPr="005F10B9">
        <w:rPr>
          <w:rFonts w:ascii="Arial Narrow" w:hAnsi="Arial Narrow" w:cs="Verdana"/>
          <w:bCs/>
          <w:lang w:eastAsia="es-CO"/>
        </w:rPr>
        <w:t>U</w:t>
      </w:r>
      <w:r>
        <w:rPr>
          <w:rFonts w:ascii="Arial Narrow" w:hAnsi="Arial Narrow" w:cs="Verdana"/>
          <w:bCs/>
          <w:lang w:eastAsia="es-CO"/>
        </w:rPr>
        <w:t>na vez obtenida la tasa IBR Overnight</w:t>
      </w:r>
      <w:r w:rsidRPr="005F10B9">
        <w:rPr>
          <w:rFonts w:ascii="Arial Narrow" w:hAnsi="Arial Narrow" w:cs="Verdana"/>
          <w:bCs/>
          <w:lang w:eastAsia="es-CO"/>
        </w:rPr>
        <w:t>-COMPOUND se utiliza la fórmula:</w:t>
      </w:r>
    </w:p>
    <w:p w14:paraId="1B78CA6B" w14:textId="77777777" w:rsidR="007968EC" w:rsidRPr="005F10B9" w:rsidRDefault="007968EC" w:rsidP="007968EC">
      <w:pPr>
        <w:autoSpaceDE w:val="0"/>
        <w:autoSpaceDN w:val="0"/>
        <w:adjustRightInd w:val="0"/>
        <w:ind w:firstLine="708"/>
        <w:jc w:val="center"/>
        <w:rPr>
          <w:rFonts w:ascii="Arial Narrow" w:hAnsi="Arial Narrow" w:cs="Arial"/>
        </w:rPr>
      </w:pPr>
    </w:p>
    <w:p w14:paraId="03FA2518" w14:textId="77777777" w:rsidR="007968EC" w:rsidRPr="005F10B9" w:rsidRDefault="007968EC" w:rsidP="007968EC">
      <w:pPr>
        <w:autoSpaceDE w:val="0"/>
        <w:autoSpaceDN w:val="0"/>
        <w:adjustRightInd w:val="0"/>
        <w:jc w:val="center"/>
        <w:rPr>
          <w:rFonts w:ascii="Arial Narrow" w:hAnsi="Arial Narrow" w:cs="Verdana"/>
          <w:b/>
          <w:bCs/>
          <w:lang w:eastAsia="es-CO"/>
        </w:rPr>
      </w:pPr>
      <w:r w:rsidRPr="005F10B9">
        <w:rPr>
          <w:rFonts w:ascii="Arial Narrow" w:hAnsi="Arial Narrow" w:cs="Verdana"/>
          <w:b/>
          <w:bCs/>
          <w:lang w:eastAsia="es-CO"/>
        </w:rPr>
        <w:t xml:space="preserve">Nominal de la operación </w:t>
      </w:r>
      <w:r w:rsidRPr="005F10B9">
        <w:rPr>
          <w:rFonts w:ascii="Cambria Math" w:hAnsi="Cambria Math" w:cs="Cambria Math"/>
          <w:b/>
          <w:bCs/>
          <w:lang w:eastAsia="es-CO"/>
        </w:rPr>
        <w:t>∗</w:t>
      </w:r>
      <w:r w:rsidRPr="005F10B9">
        <w:rPr>
          <w:rFonts w:ascii="Arial Narrow" w:hAnsi="Arial Narrow" w:cs="Verdana"/>
          <w:b/>
          <w:bCs/>
          <w:lang w:eastAsia="es-CO"/>
        </w:rPr>
        <w:t xml:space="preserve"> Tasa IBR O</w:t>
      </w:r>
      <w:r>
        <w:rPr>
          <w:rFonts w:ascii="Arial Narrow" w:hAnsi="Arial Narrow" w:cs="Verdana"/>
          <w:b/>
          <w:bCs/>
          <w:lang w:eastAsia="es-CO"/>
        </w:rPr>
        <w:t xml:space="preserve">vernight </w:t>
      </w:r>
      <w:r w:rsidRPr="005F10B9">
        <w:rPr>
          <w:rFonts w:ascii="Arial Narrow" w:hAnsi="Arial Narrow" w:cs="Verdana"/>
          <w:b/>
          <w:bCs/>
          <w:lang w:eastAsia="es-CO"/>
        </w:rPr>
        <w:t xml:space="preserve">− COMPOUND </w:t>
      </w:r>
      <w:r w:rsidRPr="005F10B9">
        <w:rPr>
          <w:rFonts w:ascii="Cambria Math" w:hAnsi="Cambria Math" w:cs="Cambria Math"/>
          <w:b/>
          <w:bCs/>
          <w:lang w:eastAsia="es-CO"/>
        </w:rPr>
        <w:t>∗</w:t>
      </w:r>
      <w:r w:rsidRPr="005F10B9">
        <w:rPr>
          <w:rFonts w:ascii="Arial Narrow" w:hAnsi="Arial Narrow" w:cs="Verdana"/>
          <w:b/>
          <w:bCs/>
          <w:lang w:eastAsia="es-CO"/>
        </w:rPr>
        <w:t xml:space="preserve"> Base de Cálculo</w:t>
      </w:r>
    </w:p>
    <w:p w14:paraId="2E6DC25E" w14:textId="77777777" w:rsidR="007968EC" w:rsidRDefault="007968EC" w:rsidP="007968EC">
      <w:pPr>
        <w:tabs>
          <w:tab w:val="left" w:pos="426"/>
        </w:tabs>
        <w:autoSpaceDE w:val="0"/>
        <w:autoSpaceDN w:val="0"/>
        <w:adjustRightInd w:val="0"/>
        <w:ind w:left="426"/>
        <w:jc w:val="both"/>
        <w:rPr>
          <w:rFonts w:ascii="Arial Narrow" w:eastAsia="Calibri" w:hAnsi="Arial Narrow"/>
          <w:bCs/>
          <w:color w:val="000000" w:themeColor="text1"/>
          <w:u w:val="single"/>
        </w:rPr>
      </w:pPr>
    </w:p>
    <w:p w14:paraId="43C64FEA" w14:textId="77777777" w:rsidR="007968EC" w:rsidRDefault="007968EC" w:rsidP="007968EC">
      <w:pPr>
        <w:autoSpaceDE w:val="0"/>
        <w:autoSpaceDN w:val="0"/>
        <w:adjustRightInd w:val="0"/>
        <w:ind w:left="426"/>
        <w:jc w:val="both"/>
        <w:rPr>
          <w:rFonts w:ascii="Arial Narrow" w:eastAsia="Calibri" w:hAnsi="Arial Narrow"/>
          <w:bCs/>
          <w:color w:val="000000" w:themeColor="text1"/>
          <w:u w:val="single"/>
        </w:rPr>
      </w:pPr>
      <w:r w:rsidRPr="00531BF2">
        <w:rPr>
          <w:rFonts w:ascii="Arial Narrow" w:eastAsia="Calibri" w:hAnsi="Arial Narrow"/>
          <w:bCs/>
          <w:color w:val="000000" w:themeColor="text1"/>
          <w:u w:val="single"/>
        </w:rPr>
        <w:t xml:space="preserve">Cálculo de Cupones </w:t>
      </w:r>
      <w:r>
        <w:rPr>
          <w:rFonts w:ascii="Arial Narrow" w:eastAsia="Calibri" w:hAnsi="Arial Narrow"/>
          <w:bCs/>
          <w:color w:val="000000" w:themeColor="text1"/>
          <w:u w:val="single"/>
        </w:rPr>
        <w:t xml:space="preserve">Variables </w:t>
      </w:r>
      <w:r w:rsidRPr="008F2FE5">
        <w:rPr>
          <w:rFonts w:ascii="Arial Narrow" w:hAnsi="Arial Narrow" w:cs="Verdana"/>
          <w:bCs/>
          <w:u w:val="single"/>
        </w:rPr>
        <w:t>en USD</w:t>
      </w:r>
    </w:p>
    <w:p w14:paraId="29F48D97" w14:textId="77777777" w:rsidR="007968EC" w:rsidRDefault="007968EC" w:rsidP="007968EC">
      <w:pPr>
        <w:tabs>
          <w:tab w:val="left" w:pos="426"/>
        </w:tabs>
        <w:autoSpaceDE w:val="0"/>
        <w:autoSpaceDN w:val="0"/>
        <w:adjustRightInd w:val="0"/>
        <w:ind w:left="426"/>
        <w:jc w:val="both"/>
        <w:rPr>
          <w:rFonts w:ascii="Arial Narrow" w:eastAsia="Calibri" w:hAnsi="Arial Narrow"/>
          <w:bCs/>
          <w:color w:val="000000" w:themeColor="text1"/>
          <w:u w:val="single"/>
        </w:rPr>
      </w:pPr>
    </w:p>
    <w:p w14:paraId="25E89B92" w14:textId="77777777" w:rsidR="007968EC" w:rsidRDefault="007968EC" w:rsidP="007968EC">
      <w:pPr>
        <w:tabs>
          <w:tab w:val="left" w:pos="426"/>
        </w:tabs>
        <w:autoSpaceDE w:val="0"/>
        <w:autoSpaceDN w:val="0"/>
        <w:adjustRightInd w:val="0"/>
        <w:ind w:left="426"/>
        <w:jc w:val="both"/>
        <w:rPr>
          <w:rFonts w:ascii="Arial Narrow" w:eastAsia="Calibri" w:hAnsi="Arial Narrow"/>
          <w:bCs/>
          <w:color w:val="000000" w:themeColor="text1"/>
          <w:u w:val="single"/>
        </w:rPr>
      </w:pPr>
      <w:r w:rsidRPr="005F10B9">
        <w:rPr>
          <w:rFonts w:ascii="Arial Narrow" w:hAnsi="Arial Narrow" w:cs="Verdana"/>
          <w:bCs/>
        </w:rPr>
        <w:t>La Cámara determinara los importes de Cupón Variable</w:t>
      </w:r>
      <w:r>
        <w:rPr>
          <w:rFonts w:ascii="Arial Narrow" w:hAnsi="Arial Narrow" w:cs="Verdana"/>
          <w:bCs/>
        </w:rPr>
        <w:t xml:space="preserve"> en USD, </w:t>
      </w:r>
      <w:r w:rsidRPr="005F10B9">
        <w:rPr>
          <w:rFonts w:ascii="Arial Narrow" w:hAnsi="Arial Narrow" w:cs="Verdana"/>
          <w:bCs/>
        </w:rPr>
        <w:t>en la fecha de pago</w:t>
      </w:r>
      <w:r>
        <w:rPr>
          <w:rFonts w:ascii="Arial Narrow" w:hAnsi="Arial Narrow" w:cs="Verdana"/>
          <w:bCs/>
        </w:rPr>
        <w:t>, de acuerdo con la siguiente fó</w:t>
      </w:r>
      <w:r w:rsidRPr="005F10B9">
        <w:rPr>
          <w:rFonts w:ascii="Arial Narrow" w:hAnsi="Arial Narrow" w:cs="Verdana"/>
          <w:bCs/>
        </w:rPr>
        <w:t>rmula:</w:t>
      </w:r>
    </w:p>
    <w:p w14:paraId="67A4EEFA" w14:textId="77777777" w:rsidR="007968EC" w:rsidRDefault="007968EC" w:rsidP="007968EC">
      <w:pPr>
        <w:tabs>
          <w:tab w:val="left" w:pos="426"/>
        </w:tabs>
        <w:autoSpaceDE w:val="0"/>
        <w:autoSpaceDN w:val="0"/>
        <w:adjustRightInd w:val="0"/>
        <w:ind w:left="426"/>
        <w:jc w:val="both"/>
        <w:rPr>
          <w:rFonts w:ascii="Arial Narrow" w:eastAsia="Calibri" w:hAnsi="Arial Narrow"/>
          <w:bCs/>
          <w:color w:val="000000" w:themeColor="text1"/>
          <w:u w:val="single"/>
        </w:rPr>
      </w:pPr>
    </w:p>
    <w:p w14:paraId="3D70DCD7" w14:textId="77777777" w:rsidR="007968EC" w:rsidRPr="005F10B9" w:rsidRDefault="007968EC" w:rsidP="007968EC">
      <w:pPr>
        <w:autoSpaceDE w:val="0"/>
        <w:autoSpaceDN w:val="0"/>
        <w:adjustRightInd w:val="0"/>
        <w:jc w:val="center"/>
        <w:rPr>
          <w:rFonts w:ascii="Arial Narrow" w:hAnsi="Arial Narrow" w:cs="Verdana"/>
          <w:b/>
          <w:bCs/>
          <w:lang w:eastAsia="es-CO"/>
        </w:rPr>
      </w:pPr>
      <w:r w:rsidRPr="00E55CA2">
        <w:rPr>
          <w:rFonts w:ascii="Arial Narrow" w:hAnsi="Arial Narrow" w:cs="Verdana"/>
          <w:b/>
          <w:bCs/>
          <w:lang w:eastAsia="es-CO"/>
        </w:rPr>
        <w:t xml:space="preserve">Nominal de la Operación </w:t>
      </w:r>
      <w:r w:rsidRPr="00E55CA2">
        <w:rPr>
          <w:rFonts w:ascii="Cambria Math" w:hAnsi="Cambria Math" w:cs="Cambria Math"/>
          <w:b/>
          <w:bCs/>
          <w:lang w:eastAsia="es-CO"/>
        </w:rPr>
        <w:t>∗</w:t>
      </w:r>
      <w:r w:rsidRPr="00E55CA2">
        <w:rPr>
          <w:rFonts w:ascii="Arial Narrow" w:hAnsi="Arial Narrow" w:cs="Verdana"/>
          <w:b/>
          <w:bCs/>
          <w:lang w:eastAsia="es-CO"/>
        </w:rPr>
        <w:t xml:space="preserve"> Tasa Variable (±Spread) </w:t>
      </w:r>
      <w:r w:rsidRPr="00E55CA2">
        <w:rPr>
          <w:rFonts w:ascii="Cambria Math" w:hAnsi="Cambria Math" w:cs="Cambria Math"/>
          <w:b/>
          <w:bCs/>
          <w:lang w:eastAsia="es-CO"/>
        </w:rPr>
        <w:t>∗</w:t>
      </w:r>
      <w:r w:rsidRPr="00E55CA2">
        <w:rPr>
          <w:rFonts w:ascii="Arial Narrow" w:hAnsi="Arial Narrow" w:cs="Verdana"/>
          <w:b/>
          <w:bCs/>
          <w:lang w:eastAsia="es-CO"/>
        </w:rPr>
        <w:t xml:space="preserve"> Base de Cálculo * TRM</w:t>
      </w:r>
    </w:p>
    <w:p w14:paraId="2DD4ECCA" w14:textId="77777777" w:rsidR="007968EC" w:rsidRDefault="007968EC" w:rsidP="007968EC">
      <w:pPr>
        <w:tabs>
          <w:tab w:val="left" w:pos="426"/>
        </w:tabs>
        <w:autoSpaceDE w:val="0"/>
        <w:autoSpaceDN w:val="0"/>
        <w:adjustRightInd w:val="0"/>
        <w:ind w:left="426"/>
        <w:jc w:val="both"/>
        <w:rPr>
          <w:rFonts w:ascii="Arial Narrow" w:eastAsia="Calibri" w:hAnsi="Arial Narrow"/>
          <w:bCs/>
          <w:color w:val="000000" w:themeColor="text1"/>
          <w:u w:val="single"/>
        </w:rPr>
      </w:pPr>
    </w:p>
    <w:p w14:paraId="5C8CBC33" w14:textId="77777777" w:rsidR="007968EC" w:rsidRPr="005F10B9" w:rsidRDefault="007968EC" w:rsidP="007968EC">
      <w:pPr>
        <w:autoSpaceDE w:val="0"/>
        <w:autoSpaceDN w:val="0"/>
        <w:adjustRightInd w:val="0"/>
        <w:ind w:firstLine="426"/>
        <w:rPr>
          <w:rFonts w:ascii="Arial Narrow" w:hAnsi="Arial Narrow" w:cs="Verdana"/>
          <w:bCs/>
          <w:lang w:eastAsia="es-CO"/>
        </w:rPr>
      </w:pPr>
      <w:r w:rsidRPr="005F10B9">
        <w:rPr>
          <w:rFonts w:ascii="Arial Narrow" w:hAnsi="Arial Narrow" w:cs="Verdana"/>
          <w:bCs/>
          <w:lang w:eastAsia="es-CO"/>
        </w:rPr>
        <w:t>Donde:</w:t>
      </w:r>
    </w:p>
    <w:p w14:paraId="1E1CE0EC" w14:textId="77777777" w:rsidR="007968EC" w:rsidRPr="005F10B9" w:rsidRDefault="007968EC" w:rsidP="007968EC">
      <w:pPr>
        <w:autoSpaceDE w:val="0"/>
        <w:autoSpaceDN w:val="0"/>
        <w:adjustRightInd w:val="0"/>
        <w:ind w:firstLine="426"/>
        <w:rPr>
          <w:rFonts w:ascii="Arial Narrow" w:hAnsi="Arial Narrow" w:cs="Verdana"/>
          <w:bCs/>
          <w:lang w:eastAsia="es-CO"/>
        </w:rPr>
      </w:pPr>
    </w:p>
    <w:p w14:paraId="54ED82E4" w14:textId="77777777" w:rsidR="007968EC" w:rsidRDefault="007968EC" w:rsidP="007968EC">
      <w:pPr>
        <w:autoSpaceDE w:val="0"/>
        <w:autoSpaceDN w:val="0"/>
        <w:adjustRightInd w:val="0"/>
        <w:ind w:left="426"/>
        <w:jc w:val="both"/>
        <w:rPr>
          <w:rFonts w:ascii="Arial Narrow" w:hAnsi="Arial Narrow" w:cs="Verdana"/>
          <w:bCs/>
          <w:lang w:eastAsia="es-CO"/>
        </w:rPr>
      </w:pPr>
      <w:r w:rsidRPr="005F10B9">
        <w:rPr>
          <w:rFonts w:ascii="Arial Narrow" w:hAnsi="Arial Narrow" w:cs="Verdana"/>
          <w:bCs/>
          <w:lang w:eastAsia="es-CO"/>
        </w:rPr>
        <w:lastRenderedPageBreak/>
        <w:t>Base de Cálculo: Es la fracción del año calculada utilizando las convenciones estipuladas en el momento de registro de las operaciones y aplicadas para calcular el número de días (entre el Día del Inicio del Periodo y el Día del Fin del Periodo, numerador) y para definir el número de días que se tomarán para el año completo (denominador).</w:t>
      </w:r>
    </w:p>
    <w:p w14:paraId="36C357C5" w14:textId="77777777" w:rsidR="007968EC" w:rsidRDefault="007968EC" w:rsidP="007968EC">
      <w:pPr>
        <w:autoSpaceDE w:val="0"/>
        <w:autoSpaceDN w:val="0"/>
        <w:adjustRightInd w:val="0"/>
        <w:ind w:left="426"/>
        <w:jc w:val="both"/>
        <w:rPr>
          <w:rFonts w:ascii="Arial Narrow" w:hAnsi="Arial Narrow" w:cs="Verdana"/>
          <w:bCs/>
          <w:lang w:eastAsia="es-CO"/>
        </w:rPr>
      </w:pPr>
    </w:p>
    <w:p w14:paraId="7F0AEC77" w14:textId="77777777" w:rsidR="007968EC" w:rsidRPr="001B59C3" w:rsidRDefault="007968EC" w:rsidP="007968EC">
      <w:pPr>
        <w:autoSpaceDE w:val="0"/>
        <w:autoSpaceDN w:val="0"/>
        <w:adjustRightInd w:val="0"/>
        <w:ind w:left="426"/>
        <w:jc w:val="both"/>
        <w:rPr>
          <w:rFonts w:ascii="Arial Narrow" w:hAnsi="Arial Narrow" w:cs="Verdana"/>
          <w:bCs/>
          <w:lang w:eastAsia="es-CO"/>
        </w:rPr>
      </w:pPr>
      <w:r>
        <w:rPr>
          <w:rFonts w:ascii="Arial Narrow" w:hAnsi="Arial Narrow" w:cs="Verdana"/>
          <w:bCs/>
          <w:lang w:eastAsia="es-CO"/>
        </w:rPr>
        <w:t>TRM: Tasa de Cambio Representativa del M</w:t>
      </w:r>
      <w:r w:rsidRPr="00E41965">
        <w:rPr>
          <w:rFonts w:ascii="Arial Narrow" w:hAnsi="Arial Narrow" w:cs="Verdana"/>
          <w:bCs/>
          <w:lang w:eastAsia="es-CO"/>
        </w:rPr>
        <w:t>ercado</w:t>
      </w:r>
      <w:r>
        <w:rPr>
          <w:rFonts w:ascii="Arial Narrow" w:hAnsi="Arial Narrow" w:cs="Verdana"/>
          <w:bCs/>
          <w:lang w:eastAsia="es-CO"/>
        </w:rPr>
        <w:t xml:space="preserve">, </w:t>
      </w:r>
      <w:r w:rsidRPr="00974697">
        <w:rPr>
          <w:rFonts w:ascii="Arial Narrow" w:hAnsi="Arial Narrow" w:cs="Verdana"/>
          <w:bCs/>
          <w:lang w:eastAsia="es-CO"/>
        </w:rPr>
        <w:t>es la cantidad de pesos colombianos por un dólar de los Estados Unidos</w:t>
      </w:r>
      <w:r>
        <w:rPr>
          <w:rFonts w:ascii="Arial Narrow" w:hAnsi="Arial Narrow" w:cs="Verdana"/>
          <w:bCs/>
          <w:lang w:eastAsia="es-CO"/>
        </w:rPr>
        <w:t xml:space="preserve">. La TRM aplicada para el pago de cupón será la publicada </w:t>
      </w:r>
      <w:r w:rsidRPr="005B73C2">
        <w:rPr>
          <w:rFonts w:ascii="Arial Narrow" w:hAnsi="Arial Narrow" w:cs="Verdana"/>
          <w:bCs/>
          <w:lang w:eastAsia="es-CO"/>
        </w:rPr>
        <w:t>el antepenúltimo día hábil (</w:t>
      </w:r>
      <w:r>
        <w:rPr>
          <w:rFonts w:ascii="Arial Narrow" w:hAnsi="Arial Narrow" w:cs="Verdana"/>
          <w:bCs/>
          <w:lang w:eastAsia="es-CO"/>
        </w:rPr>
        <w:t>t</w:t>
      </w:r>
      <w:r w:rsidRPr="005B73C2">
        <w:rPr>
          <w:rFonts w:ascii="Arial Narrow" w:hAnsi="Arial Narrow" w:cs="Verdana"/>
          <w:bCs/>
          <w:lang w:eastAsia="es-CO"/>
        </w:rPr>
        <w:t xml:space="preserve">-2 hábiles) </w:t>
      </w:r>
      <w:r>
        <w:rPr>
          <w:rFonts w:ascii="Arial Narrow" w:hAnsi="Arial Narrow" w:cs="Verdana"/>
          <w:bCs/>
          <w:lang w:eastAsia="es-CO"/>
        </w:rPr>
        <w:t>respecto al día de pago.</w:t>
      </w:r>
    </w:p>
    <w:p w14:paraId="611E9182" w14:textId="77777777" w:rsidR="007968EC" w:rsidRPr="005F10B9" w:rsidRDefault="007968EC" w:rsidP="007968EC">
      <w:pPr>
        <w:jc w:val="both"/>
        <w:rPr>
          <w:rFonts w:ascii="Arial Narrow" w:eastAsia="Calibri" w:hAnsi="Arial Narrow"/>
          <w:b/>
          <w:bCs/>
          <w:color w:val="000000" w:themeColor="text1"/>
        </w:rPr>
      </w:pPr>
    </w:p>
    <w:p w14:paraId="6CC100DD" w14:textId="77777777" w:rsidR="007968EC" w:rsidRPr="005F10B9" w:rsidRDefault="007968EC" w:rsidP="007968EC">
      <w:pPr>
        <w:jc w:val="both"/>
        <w:rPr>
          <w:rFonts w:ascii="Arial Narrow" w:eastAsia="Calibri" w:hAnsi="Arial Narrow" w:cs="Arial"/>
          <w:b/>
          <w:kern w:val="32"/>
          <w:lang w:val="es-ES"/>
        </w:rPr>
      </w:pPr>
      <w:r>
        <w:rPr>
          <w:rFonts w:ascii="Arial Narrow" w:hAnsi="Arial Narrow" w:cs="Verdana"/>
          <w:bCs/>
        </w:rPr>
        <w:t xml:space="preserve">Finalmente, cuando la </w:t>
      </w:r>
      <w:r>
        <w:rPr>
          <w:rFonts w:ascii="Arial Narrow" w:eastAsia="Calibri" w:hAnsi="Arial Narrow"/>
          <w:bCs/>
          <w:color w:val="000000" w:themeColor="text1"/>
        </w:rPr>
        <w:t xml:space="preserve">diferencia entre los cupones fijos o variables a recibir o a pagar </w:t>
      </w:r>
      <w:r w:rsidRPr="005F10B9">
        <w:rPr>
          <w:rFonts w:ascii="Arial Narrow" w:hAnsi="Arial Narrow" w:cs="Verdana"/>
          <w:bCs/>
        </w:rPr>
        <w:t>de las Operaciones Aceptadas sobre Swaps con la misma fecha de pago</w:t>
      </w:r>
      <w:r>
        <w:rPr>
          <w:rFonts w:ascii="Arial Narrow" w:eastAsia="Calibri" w:hAnsi="Arial Narrow"/>
          <w:bCs/>
          <w:color w:val="000000" w:themeColor="text1"/>
        </w:rPr>
        <w:t xml:space="preserve"> sea positiva se acreditará el valor a los Miembros Liquidadores, en caso contrario se debitará dicho valor, </w:t>
      </w:r>
      <w:r w:rsidRPr="005F10B9">
        <w:rPr>
          <w:rFonts w:ascii="Arial Narrow" w:hAnsi="Arial Narrow" w:cs="Verdana"/>
          <w:bCs/>
        </w:rPr>
        <w:t>dentro de los horarios establecidos en el artículo 1.8.1.1 de la presente Circular en la sesión de Liquidación Diaria, de acuerdo con el calendario y la convención de días hábiles acordados en la Operación novada.</w:t>
      </w:r>
    </w:p>
    <w:p w14:paraId="434B19EB" w14:textId="77777777" w:rsidR="007968EC" w:rsidRPr="005F10B9" w:rsidRDefault="007968EC" w:rsidP="007968EC">
      <w:pPr>
        <w:keepNext/>
        <w:outlineLvl w:val="0"/>
        <w:rPr>
          <w:rFonts w:ascii="Arial Narrow" w:eastAsia="Calibri" w:hAnsi="Arial Narrow" w:cs="Arial"/>
          <w:b/>
          <w:kern w:val="32"/>
          <w:lang w:val="es-ES"/>
        </w:rPr>
      </w:pPr>
    </w:p>
    <w:p w14:paraId="332E1B1F" w14:textId="77777777" w:rsidR="007968EC" w:rsidRPr="005F10B9" w:rsidRDefault="007968EC" w:rsidP="007968EC">
      <w:pPr>
        <w:jc w:val="center"/>
        <w:outlineLvl w:val="1"/>
        <w:rPr>
          <w:rFonts w:ascii="Arial Narrow" w:eastAsia="Calibri" w:hAnsi="Arial Narrow" w:cs="Arial"/>
          <w:b/>
          <w:highlight w:val="magenta"/>
          <w:lang w:val="es-ES" w:eastAsia="es-ES"/>
        </w:rPr>
      </w:pPr>
      <w:bookmarkStart w:id="6382" w:name="_Toc493253264"/>
    </w:p>
    <w:p w14:paraId="0AD34A6F" w14:textId="77777777" w:rsidR="007968EC" w:rsidRPr="005F10B9" w:rsidRDefault="007968EC" w:rsidP="007968EC">
      <w:pPr>
        <w:pStyle w:val="TTULO"/>
        <w:rPr>
          <w:rFonts w:eastAsia="Calibri"/>
        </w:rPr>
      </w:pPr>
      <w:bookmarkStart w:id="6383" w:name="_Toc31716514"/>
      <w:r w:rsidRPr="005F10B9">
        <w:rPr>
          <w:rFonts w:eastAsia="Calibri"/>
        </w:rPr>
        <w:t>TÍTULO QUINTO</w:t>
      </w:r>
      <w:bookmarkEnd w:id="6382"/>
      <w:bookmarkEnd w:id="6383"/>
    </w:p>
    <w:p w14:paraId="66DB3374" w14:textId="77777777" w:rsidR="007968EC" w:rsidRPr="005F10B9" w:rsidRDefault="007968EC" w:rsidP="007968EC">
      <w:pPr>
        <w:pStyle w:val="TTULO"/>
        <w:rPr>
          <w:rFonts w:eastAsia="Calibri" w:cs="Times New Roman"/>
          <w:bCs/>
          <w:color w:val="000000" w:themeColor="text1"/>
          <w:lang w:eastAsia="es-CO"/>
        </w:rPr>
      </w:pPr>
    </w:p>
    <w:p w14:paraId="0251CCA6" w14:textId="77777777" w:rsidR="007968EC" w:rsidRPr="005F10B9" w:rsidRDefault="007968EC" w:rsidP="007968EC">
      <w:pPr>
        <w:pStyle w:val="TTULO"/>
        <w:rPr>
          <w:rFonts w:eastAsia="Calibri"/>
        </w:rPr>
      </w:pPr>
      <w:bookmarkStart w:id="6384" w:name="_Toc493253265"/>
      <w:bookmarkStart w:id="6385" w:name="_Toc31716515"/>
      <w:r w:rsidRPr="005F10B9">
        <w:rPr>
          <w:rFonts w:eastAsia="Calibri"/>
        </w:rPr>
        <w:t>MODELO DE RIESGO DE LA CÁMARA PARA EL CÁLCULO Y GESTIÓN DE GARANTÍAS Y DEFINICIÓN DE LÍMITES</w:t>
      </w:r>
      <w:bookmarkEnd w:id="6384"/>
      <w:bookmarkEnd w:id="6385"/>
    </w:p>
    <w:p w14:paraId="1724B82D" w14:textId="77777777" w:rsidR="007968EC" w:rsidRPr="005F10B9" w:rsidRDefault="007968EC" w:rsidP="007968EC">
      <w:pPr>
        <w:pStyle w:val="TTULO"/>
        <w:rPr>
          <w:rFonts w:eastAsia="Calibri" w:cs="Times New Roman"/>
          <w:bCs/>
          <w:color w:val="000000" w:themeColor="text1"/>
          <w:lang w:eastAsia="es-CO"/>
        </w:rPr>
      </w:pPr>
    </w:p>
    <w:p w14:paraId="76BA4ED8" w14:textId="77777777" w:rsidR="007968EC" w:rsidRPr="005F10B9" w:rsidRDefault="007968EC" w:rsidP="007968EC">
      <w:pPr>
        <w:pStyle w:val="TTULO"/>
        <w:rPr>
          <w:rFonts w:eastAsia="Calibri"/>
        </w:rPr>
      </w:pPr>
      <w:bookmarkStart w:id="6386" w:name="_Toc493253266"/>
      <w:bookmarkStart w:id="6387" w:name="_Toc31716516"/>
      <w:r w:rsidRPr="005F10B9">
        <w:rPr>
          <w:rFonts w:eastAsia="Calibri"/>
        </w:rPr>
        <w:t>CAPÍTULO PRIMERO</w:t>
      </w:r>
      <w:bookmarkEnd w:id="6386"/>
      <w:bookmarkEnd w:id="6387"/>
    </w:p>
    <w:p w14:paraId="646FA3A9" w14:textId="77777777" w:rsidR="007968EC" w:rsidRPr="005F10B9" w:rsidRDefault="007968EC" w:rsidP="007968EC">
      <w:pPr>
        <w:pStyle w:val="TTULO"/>
        <w:rPr>
          <w:rFonts w:eastAsia="Calibri"/>
        </w:rPr>
      </w:pPr>
    </w:p>
    <w:p w14:paraId="29E67984" w14:textId="77777777" w:rsidR="007968EC" w:rsidRPr="005F10B9" w:rsidRDefault="007968EC" w:rsidP="007968EC">
      <w:pPr>
        <w:pStyle w:val="TTULO"/>
        <w:rPr>
          <w:rFonts w:eastAsia="Calibri"/>
        </w:rPr>
      </w:pPr>
      <w:bookmarkStart w:id="6388" w:name="_Toc31716517"/>
      <w:r w:rsidRPr="005F10B9">
        <w:rPr>
          <w:rFonts w:eastAsia="Calibri"/>
        </w:rPr>
        <w:t>MODELO DE RIESGO</w:t>
      </w:r>
      <w:bookmarkEnd w:id="6388"/>
    </w:p>
    <w:p w14:paraId="09D07EBE" w14:textId="77777777" w:rsidR="007968EC" w:rsidRPr="005F10B9" w:rsidRDefault="007968EC" w:rsidP="007968EC">
      <w:pPr>
        <w:jc w:val="center"/>
        <w:outlineLvl w:val="1"/>
        <w:rPr>
          <w:rFonts w:ascii="Arial Narrow" w:eastAsia="Calibri" w:hAnsi="Arial Narrow"/>
          <w:b/>
          <w:bCs/>
          <w:color w:val="000000" w:themeColor="text1"/>
          <w:lang w:eastAsia="es-CO"/>
        </w:rPr>
      </w:pPr>
    </w:p>
    <w:p w14:paraId="1E9B04EF" w14:textId="77777777" w:rsidR="007968EC" w:rsidRPr="005F10B9" w:rsidRDefault="007968EC" w:rsidP="007968EC">
      <w:pPr>
        <w:pStyle w:val="ARTICULO0"/>
        <w:rPr>
          <w:rFonts w:eastAsia="Calibri"/>
        </w:rPr>
      </w:pPr>
      <w:bookmarkStart w:id="6389" w:name="_Toc31716518"/>
      <w:bookmarkStart w:id="6390" w:name="_Toc493253267"/>
      <w:r w:rsidRPr="005F10B9">
        <w:rPr>
          <w:rFonts w:eastAsia="Calibri" w:cs="Times New Roman"/>
        </w:rPr>
        <w:t>Artículo 5.5.1.1</w:t>
      </w:r>
      <w:r w:rsidRPr="005F10B9">
        <w:rPr>
          <w:rFonts w:eastAsia="Calibri"/>
        </w:rPr>
        <w:t xml:space="preserve"> Modelo de riesgo de la Cámara para el cálculo, gestión de Garantías y definición de Límites.</w:t>
      </w:r>
      <w:bookmarkEnd w:id="6389"/>
    </w:p>
    <w:p w14:paraId="3C190A5C" w14:textId="77777777" w:rsidR="007968EC" w:rsidRPr="005F10B9" w:rsidRDefault="007968EC" w:rsidP="007968EC">
      <w:pPr>
        <w:jc w:val="both"/>
        <w:rPr>
          <w:rFonts w:ascii="Arial Narrow" w:eastAsia="Calibri" w:hAnsi="Arial Narrow"/>
          <w:bCs/>
          <w:color w:val="000000" w:themeColor="text1"/>
        </w:rPr>
      </w:pPr>
    </w:p>
    <w:p w14:paraId="27AF347B" w14:textId="77777777" w:rsidR="007968EC" w:rsidRPr="005F10B9" w:rsidRDefault="007968EC" w:rsidP="007968EC">
      <w:pPr>
        <w:jc w:val="both"/>
        <w:rPr>
          <w:rFonts w:eastAsia="Calibri"/>
          <w:color w:val="000000" w:themeColor="text1"/>
        </w:rPr>
      </w:pPr>
      <w:r w:rsidRPr="005F10B9">
        <w:rPr>
          <w:rFonts w:ascii="Arial Narrow" w:eastAsia="Calibri" w:hAnsi="Arial Narrow"/>
          <w:bCs/>
          <w:color w:val="000000" w:themeColor="text1"/>
        </w:rPr>
        <w:t xml:space="preserve">El modelo de riesgo adoptado por la Cámara para el cálculo, gestión de Garantías y definición de Límites en el presente Segmento es </w:t>
      </w:r>
      <w:r w:rsidRPr="005F10B9">
        <w:rPr>
          <w:rFonts w:ascii="Arial Narrow" w:eastAsia="Calibri" w:hAnsi="Arial Narrow"/>
          <w:color w:val="000000" w:themeColor="text1"/>
        </w:rPr>
        <w:t xml:space="preserve">el Método Historical VaR desarrollado por MEFF España en cuanto a la forma de determinar las Garantías asociadas a las Operaciones Aceptadas. </w:t>
      </w:r>
    </w:p>
    <w:p w14:paraId="077D09FC" w14:textId="77777777" w:rsidR="007968EC" w:rsidRPr="005F10B9" w:rsidRDefault="007968EC" w:rsidP="007968EC">
      <w:pPr>
        <w:jc w:val="both"/>
        <w:rPr>
          <w:rFonts w:eastAsia="Calibri"/>
          <w:color w:val="000000" w:themeColor="text1"/>
        </w:rPr>
      </w:pPr>
    </w:p>
    <w:p w14:paraId="62F4BDF8" w14:textId="77777777" w:rsidR="007968EC" w:rsidRPr="005F10B9" w:rsidRDefault="007968EC" w:rsidP="007968EC">
      <w:pPr>
        <w:jc w:val="both"/>
        <w:rPr>
          <w:rFonts w:eastAsia="Calibri"/>
          <w:color w:val="000000" w:themeColor="text1"/>
        </w:rPr>
      </w:pPr>
      <w:r w:rsidRPr="005F10B9">
        <w:rPr>
          <w:rFonts w:ascii="Arial Narrow" w:eastAsia="Calibri" w:hAnsi="Arial Narrow"/>
          <w:color w:val="000000" w:themeColor="text1"/>
        </w:rPr>
        <w:t>Adicionalmente, el esquema de cálculo de Garantías se complementa con la administración de los Límites de Operación de acuerdo con lo dispuesto en los artículos 1.6.5.1. a 1.6.5.6. de la presente Circular, lo que le permite recoger las recomendaciones internacionales enunciadas por IOSCO en la administración de riesgos de una entidad de contrapartida central.</w:t>
      </w:r>
    </w:p>
    <w:p w14:paraId="6228C07D" w14:textId="77777777" w:rsidR="007968EC" w:rsidRPr="005F10B9" w:rsidRDefault="007968EC" w:rsidP="007968EC">
      <w:pPr>
        <w:jc w:val="center"/>
        <w:outlineLvl w:val="1"/>
        <w:rPr>
          <w:rFonts w:ascii="Arial Narrow" w:eastAsia="Calibri" w:hAnsi="Arial Narrow" w:cs="Arial"/>
          <w:b/>
          <w:lang w:val="es-ES" w:eastAsia="es-ES"/>
        </w:rPr>
      </w:pPr>
    </w:p>
    <w:p w14:paraId="506D5CBE" w14:textId="77777777" w:rsidR="007968EC" w:rsidRPr="005F10B9" w:rsidRDefault="007968EC" w:rsidP="007968EC">
      <w:pPr>
        <w:jc w:val="center"/>
        <w:outlineLvl w:val="1"/>
        <w:rPr>
          <w:rFonts w:ascii="Arial Narrow" w:eastAsia="Calibri" w:hAnsi="Arial Narrow" w:cs="Arial"/>
          <w:b/>
          <w:lang w:val="es-ES" w:eastAsia="es-ES"/>
        </w:rPr>
      </w:pPr>
    </w:p>
    <w:p w14:paraId="0E8BBCFE" w14:textId="77777777" w:rsidR="007968EC" w:rsidRPr="005F10B9" w:rsidRDefault="007968EC" w:rsidP="007968EC">
      <w:pPr>
        <w:pStyle w:val="TTULO"/>
        <w:rPr>
          <w:rFonts w:eastAsia="Calibri"/>
        </w:rPr>
      </w:pPr>
      <w:bookmarkStart w:id="6391" w:name="_Toc31716519"/>
      <w:r w:rsidRPr="005F10B9">
        <w:rPr>
          <w:rFonts w:eastAsia="Calibri"/>
        </w:rPr>
        <w:t>CAPÍTULO SEGUNDO</w:t>
      </w:r>
      <w:bookmarkEnd w:id="6391"/>
    </w:p>
    <w:p w14:paraId="21DE1931" w14:textId="77777777" w:rsidR="007968EC" w:rsidRPr="005F10B9" w:rsidRDefault="007968EC" w:rsidP="007968EC">
      <w:pPr>
        <w:pStyle w:val="TTULO"/>
        <w:rPr>
          <w:rFonts w:eastAsia="Calibri"/>
        </w:rPr>
      </w:pPr>
    </w:p>
    <w:p w14:paraId="60793A20" w14:textId="77777777" w:rsidR="007968EC" w:rsidRPr="005F10B9" w:rsidRDefault="007968EC" w:rsidP="007968EC">
      <w:pPr>
        <w:pStyle w:val="TTULO"/>
        <w:rPr>
          <w:rFonts w:eastAsia="Calibri"/>
        </w:rPr>
      </w:pPr>
      <w:bookmarkStart w:id="6392" w:name="_Toc31716520"/>
      <w:r w:rsidRPr="005F10B9">
        <w:rPr>
          <w:rFonts w:eastAsia="Calibri"/>
        </w:rPr>
        <w:t>GARANTÍAS Y GESTIÓN DE GARANTÍAS</w:t>
      </w:r>
      <w:bookmarkEnd w:id="6390"/>
      <w:bookmarkEnd w:id="6392"/>
    </w:p>
    <w:p w14:paraId="25B7C8D9" w14:textId="77777777" w:rsidR="007968EC" w:rsidRPr="005F10B9" w:rsidRDefault="007968EC" w:rsidP="007968EC">
      <w:pPr>
        <w:contextualSpacing/>
        <w:jc w:val="center"/>
        <w:rPr>
          <w:rFonts w:ascii="Arial Narrow" w:eastAsia="Calibri" w:hAnsi="Arial Narrow"/>
          <w:b/>
          <w:bCs/>
          <w:color w:val="000000" w:themeColor="text1"/>
          <w:lang w:eastAsia="es-CO"/>
        </w:rPr>
      </w:pPr>
    </w:p>
    <w:p w14:paraId="16A103E7" w14:textId="77777777" w:rsidR="007968EC" w:rsidRPr="005F10B9" w:rsidRDefault="007968EC" w:rsidP="007968EC">
      <w:pPr>
        <w:pStyle w:val="ARTICULO0"/>
      </w:pPr>
      <w:bookmarkStart w:id="6393" w:name="_Toc493253268"/>
      <w:bookmarkStart w:id="6394" w:name="_Toc31716521"/>
      <w:r w:rsidRPr="005F10B9">
        <w:lastRenderedPageBreak/>
        <w:t>Artículo 5.5.2.1. Valor mínimo de la Garantía individual.</w:t>
      </w:r>
      <w:bookmarkEnd w:id="6393"/>
      <w:bookmarkEnd w:id="6394"/>
      <w:r w:rsidRPr="005F10B9">
        <w:t xml:space="preserve"> </w:t>
      </w:r>
    </w:p>
    <w:p w14:paraId="3A1F6AF1" w14:textId="77777777" w:rsidR="007968EC" w:rsidRPr="005F10B9" w:rsidRDefault="007968EC" w:rsidP="007968EC">
      <w:pPr>
        <w:autoSpaceDE w:val="0"/>
        <w:autoSpaceDN w:val="0"/>
        <w:jc w:val="both"/>
        <w:rPr>
          <w:rFonts w:ascii="Arial Narrow" w:hAnsi="Arial Narrow" w:cs="Arial"/>
          <w:b/>
          <w:bCs/>
          <w:color w:val="000000" w:themeColor="text1"/>
          <w:lang w:eastAsia="es-ES"/>
        </w:rPr>
      </w:pPr>
    </w:p>
    <w:p w14:paraId="625677F7" w14:textId="77777777" w:rsidR="007968EC" w:rsidRPr="005F10B9" w:rsidRDefault="007968EC" w:rsidP="007968EC">
      <w:pPr>
        <w:jc w:val="both"/>
        <w:rPr>
          <w:rFonts w:ascii="Arial Narrow" w:eastAsia="Calibri" w:hAnsi="Arial Narrow"/>
          <w:color w:val="000000" w:themeColor="text1"/>
        </w:rPr>
      </w:pPr>
      <w:r w:rsidRPr="005F10B9">
        <w:rPr>
          <w:rFonts w:ascii="Arial Narrow" w:eastAsia="Calibri" w:hAnsi="Arial Narrow"/>
          <w:color w:val="000000" w:themeColor="text1"/>
        </w:rPr>
        <w:t xml:space="preserve">Los Miembros Liquidadores deberán constituir una Garantía Individual por los siguientes valores mínimos para el presente Segmento:  </w:t>
      </w:r>
    </w:p>
    <w:p w14:paraId="2A452575" w14:textId="77777777" w:rsidR="007968EC" w:rsidRPr="005F10B9" w:rsidRDefault="007968EC" w:rsidP="007968EC">
      <w:pPr>
        <w:jc w:val="both"/>
        <w:rPr>
          <w:rFonts w:ascii="Arial Narrow" w:eastAsia="Calibri" w:hAnsi="Arial Narrow"/>
          <w:b/>
          <w:color w:val="000000" w:themeColor="text1"/>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4"/>
        <w:gridCol w:w="6237"/>
      </w:tblGrid>
      <w:tr w:rsidR="007968EC" w:rsidRPr="005F10B9" w14:paraId="7454A953" w14:textId="77777777" w:rsidTr="007968EC">
        <w:trPr>
          <w:trHeight w:val="167"/>
          <w:jc w:val="center"/>
        </w:trPr>
        <w:tc>
          <w:tcPr>
            <w:tcW w:w="3114" w:type="dxa"/>
          </w:tcPr>
          <w:p w14:paraId="39BAD478" w14:textId="77777777" w:rsidR="007968EC" w:rsidRPr="005F10B9" w:rsidRDefault="007968EC" w:rsidP="007968EC">
            <w:pPr>
              <w:autoSpaceDE w:val="0"/>
              <w:autoSpaceDN w:val="0"/>
              <w:adjustRightInd w:val="0"/>
              <w:ind w:right="-333"/>
              <w:jc w:val="center"/>
              <w:rPr>
                <w:rFonts w:ascii="Arial Narrow" w:eastAsia="Calibri" w:hAnsi="Arial Narrow"/>
                <w:b/>
                <w:color w:val="000000" w:themeColor="text1"/>
                <w:lang w:eastAsia="es-CO"/>
              </w:rPr>
            </w:pPr>
            <w:r w:rsidRPr="005F10B9">
              <w:rPr>
                <w:rFonts w:ascii="Arial Narrow" w:eastAsia="Calibri" w:hAnsi="Arial Narrow"/>
                <w:b/>
                <w:color w:val="000000" w:themeColor="text1"/>
                <w:lang w:eastAsia="es-CO"/>
              </w:rPr>
              <w:t>Miembro</w:t>
            </w:r>
          </w:p>
        </w:tc>
        <w:tc>
          <w:tcPr>
            <w:tcW w:w="6237" w:type="dxa"/>
          </w:tcPr>
          <w:p w14:paraId="4F75C6B3" w14:textId="77777777" w:rsidR="007968EC" w:rsidRPr="005F10B9" w:rsidRDefault="007968EC" w:rsidP="007968EC">
            <w:pPr>
              <w:autoSpaceDE w:val="0"/>
              <w:autoSpaceDN w:val="0"/>
              <w:adjustRightInd w:val="0"/>
              <w:ind w:right="-333"/>
              <w:jc w:val="center"/>
              <w:rPr>
                <w:rFonts w:ascii="Arial Narrow" w:eastAsia="Calibri" w:hAnsi="Arial Narrow"/>
                <w:b/>
                <w:color w:val="000000" w:themeColor="text1"/>
                <w:lang w:eastAsia="es-CO"/>
              </w:rPr>
            </w:pPr>
            <w:r w:rsidRPr="005F10B9">
              <w:rPr>
                <w:rFonts w:ascii="Arial Narrow" w:eastAsia="Calibri" w:hAnsi="Arial Narrow"/>
                <w:b/>
                <w:color w:val="000000" w:themeColor="text1"/>
                <w:lang w:eastAsia="es-CO"/>
              </w:rPr>
              <w:t>Valor de la Garantía individual</w:t>
            </w:r>
          </w:p>
        </w:tc>
      </w:tr>
      <w:tr w:rsidR="007968EC" w:rsidRPr="005F10B9" w14:paraId="2C01B7EB" w14:textId="77777777" w:rsidTr="007968EC">
        <w:trPr>
          <w:trHeight w:val="178"/>
          <w:jc w:val="center"/>
        </w:trPr>
        <w:tc>
          <w:tcPr>
            <w:tcW w:w="3114" w:type="dxa"/>
          </w:tcPr>
          <w:p w14:paraId="6EF0CF5C" w14:textId="77777777" w:rsidR="007968EC" w:rsidRPr="005F10B9" w:rsidRDefault="007968EC" w:rsidP="007968EC">
            <w:pPr>
              <w:autoSpaceDE w:val="0"/>
              <w:autoSpaceDN w:val="0"/>
              <w:adjustRightInd w:val="0"/>
              <w:ind w:right="-333"/>
              <w:jc w:val="both"/>
              <w:rPr>
                <w:rFonts w:ascii="Arial Narrow" w:eastAsia="Calibri" w:hAnsi="Arial Narrow"/>
                <w:color w:val="000000" w:themeColor="text1"/>
                <w:lang w:eastAsia="es-CO"/>
              </w:rPr>
            </w:pPr>
            <w:r w:rsidRPr="005F10B9">
              <w:rPr>
                <w:rFonts w:ascii="Arial Narrow" w:eastAsia="Calibri" w:hAnsi="Arial Narrow"/>
                <w:color w:val="000000" w:themeColor="text1"/>
                <w:lang w:eastAsia="es-CO"/>
              </w:rPr>
              <w:t>Miembro Liquidador Individual</w:t>
            </w:r>
          </w:p>
        </w:tc>
        <w:tc>
          <w:tcPr>
            <w:tcW w:w="6237" w:type="dxa"/>
          </w:tcPr>
          <w:p w14:paraId="274FE027" w14:textId="77777777" w:rsidR="007968EC" w:rsidRPr="005F10B9" w:rsidRDefault="007968EC" w:rsidP="007968EC">
            <w:pPr>
              <w:autoSpaceDE w:val="0"/>
              <w:autoSpaceDN w:val="0"/>
              <w:adjustRightInd w:val="0"/>
              <w:ind w:right="459"/>
              <w:jc w:val="both"/>
              <w:rPr>
                <w:rFonts w:ascii="Arial Narrow" w:eastAsia="Calibri" w:hAnsi="Arial Narrow"/>
                <w:color w:val="000000" w:themeColor="text1"/>
                <w:lang w:eastAsia="es-CO"/>
              </w:rPr>
            </w:pPr>
            <w:r w:rsidRPr="005F10B9">
              <w:rPr>
                <w:rFonts w:ascii="Arial Narrow" w:eastAsia="Calibri" w:hAnsi="Arial Narrow"/>
                <w:color w:val="000000" w:themeColor="text1"/>
                <w:lang w:eastAsia="es-CO"/>
              </w:rPr>
              <w:t>Setecientos cincuenta millones de pesos ($750.000.000) moneda corriente.</w:t>
            </w:r>
          </w:p>
          <w:p w14:paraId="3E570904" w14:textId="77777777" w:rsidR="007968EC" w:rsidRPr="005F10B9" w:rsidRDefault="007968EC" w:rsidP="007968EC">
            <w:pPr>
              <w:autoSpaceDE w:val="0"/>
              <w:autoSpaceDN w:val="0"/>
              <w:adjustRightInd w:val="0"/>
              <w:ind w:right="-333"/>
              <w:jc w:val="both"/>
              <w:rPr>
                <w:rFonts w:ascii="Arial Narrow" w:eastAsia="Calibri" w:hAnsi="Arial Narrow"/>
                <w:color w:val="000000" w:themeColor="text1"/>
                <w:lang w:eastAsia="es-CO"/>
              </w:rPr>
            </w:pPr>
          </w:p>
        </w:tc>
      </w:tr>
      <w:tr w:rsidR="007968EC" w:rsidRPr="005F10B9" w14:paraId="424837C7" w14:textId="77777777" w:rsidTr="007968EC">
        <w:trPr>
          <w:trHeight w:val="178"/>
          <w:jc w:val="center"/>
        </w:trPr>
        <w:tc>
          <w:tcPr>
            <w:tcW w:w="3114" w:type="dxa"/>
          </w:tcPr>
          <w:p w14:paraId="58F98790" w14:textId="77777777" w:rsidR="007968EC" w:rsidRPr="005F10B9" w:rsidRDefault="007968EC" w:rsidP="007968EC">
            <w:pPr>
              <w:autoSpaceDE w:val="0"/>
              <w:autoSpaceDN w:val="0"/>
              <w:adjustRightInd w:val="0"/>
              <w:ind w:right="-333"/>
              <w:jc w:val="both"/>
              <w:rPr>
                <w:rFonts w:ascii="Arial Narrow" w:eastAsia="Calibri" w:hAnsi="Arial Narrow"/>
                <w:b/>
                <w:color w:val="000000" w:themeColor="text1"/>
                <w:lang w:eastAsia="es-CO"/>
              </w:rPr>
            </w:pPr>
            <w:r w:rsidRPr="005F10B9">
              <w:rPr>
                <w:rFonts w:ascii="Arial Narrow" w:eastAsia="Calibri" w:hAnsi="Arial Narrow"/>
                <w:color w:val="000000" w:themeColor="text1"/>
                <w:lang w:eastAsia="es-CO"/>
              </w:rPr>
              <w:t>Miembro Liquidador General</w:t>
            </w:r>
          </w:p>
          <w:p w14:paraId="77D28D4E" w14:textId="77777777" w:rsidR="007968EC" w:rsidRPr="005F10B9" w:rsidRDefault="007968EC" w:rsidP="007968EC">
            <w:pPr>
              <w:autoSpaceDE w:val="0"/>
              <w:autoSpaceDN w:val="0"/>
              <w:adjustRightInd w:val="0"/>
              <w:ind w:right="-333"/>
              <w:jc w:val="both"/>
              <w:rPr>
                <w:rFonts w:ascii="Arial Narrow" w:eastAsia="Calibri" w:hAnsi="Arial Narrow"/>
                <w:color w:val="000000" w:themeColor="text1"/>
                <w:lang w:eastAsia="es-CO"/>
              </w:rPr>
            </w:pPr>
          </w:p>
        </w:tc>
        <w:tc>
          <w:tcPr>
            <w:tcW w:w="6237" w:type="dxa"/>
          </w:tcPr>
          <w:p w14:paraId="6383DC0D" w14:textId="77777777" w:rsidR="007968EC" w:rsidRPr="005F10B9" w:rsidRDefault="007968EC" w:rsidP="007968EC">
            <w:pPr>
              <w:autoSpaceDE w:val="0"/>
              <w:autoSpaceDN w:val="0"/>
              <w:adjustRightInd w:val="0"/>
              <w:ind w:right="459"/>
              <w:jc w:val="both"/>
              <w:rPr>
                <w:rFonts w:ascii="Arial Narrow" w:eastAsia="Calibri" w:hAnsi="Arial Narrow"/>
                <w:color w:val="000000" w:themeColor="text1"/>
                <w:lang w:eastAsia="es-CO"/>
              </w:rPr>
            </w:pPr>
            <w:r w:rsidRPr="005F10B9">
              <w:rPr>
                <w:rFonts w:ascii="Arial Narrow" w:eastAsia="Calibri" w:hAnsi="Arial Narrow"/>
                <w:color w:val="000000" w:themeColor="text1"/>
                <w:lang w:eastAsia="es-CO"/>
              </w:rPr>
              <w:t>Setecientos cincuenta millones de pesos ($750.000.000) moneda corriente.</w:t>
            </w:r>
          </w:p>
          <w:p w14:paraId="549DBC28" w14:textId="77777777" w:rsidR="007968EC" w:rsidRPr="005F10B9" w:rsidRDefault="007968EC" w:rsidP="007968EC">
            <w:pPr>
              <w:autoSpaceDE w:val="0"/>
              <w:autoSpaceDN w:val="0"/>
              <w:adjustRightInd w:val="0"/>
              <w:ind w:right="-333"/>
              <w:jc w:val="both"/>
              <w:rPr>
                <w:rFonts w:ascii="Arial Narrow" w:eastAsia="Calibri" w:hAnsi="Arial Narrow"/>
                <w:color w:val="000000" w:themeColor="text1"/>
                <w:lang w:eastAsia="es-CO"/>
              </w:rPr>
            </w:pPr>
          </w:p>
        </w:tc>
      </w:tr>
    </w:tbl>
    <w:p w14:paraId="6790A0B0" w14:textId="77777777" w:rsidR="007968EC" w:rsidRPr="005F10B9" w:rsidRDefault="007968EC" w:rsidP="007968EC">
      <w:pPr>
        <w:jc w:val="both"/>
        <w:rPr>
          <w:rFonts w:ascii="Arial Narrow" w:eastAsia="Calibri" w:hAnsi="Arial Narrow"/>
          <w:bCs/>
          <w:color w:val="000000" w:themeColor="text1"/>
        </w:rPr>
      </w:pPr>
    </w:p>
    <w:p w14:paraId="32716026" w14:textId="77777777" w:rsidR="007968EC" w:rsidRPr="005F10B9" w:rsidRDefault="007968EC" w:rsidP="007968EC">
      <w:pPr>
        <w:pStyle w:val="ARTICULO0"/>
      </w:pPr>
      <w:bookmarkStart w:id="6395" w:name="_Toc493253269"/>
      <w:bookmarkStart w:id="6396" w:name="_Toc31716522"/>
      <w:r w:rsidRPr="005F10B9">
        <w:t>Artículo 5.5.2.2. Garantía Individual por estrés Test del Fondo de Garantía Colectiva.</w:t>
      </w:r>
      <w:bookmarkEnd w:id="6395"/>
      <w:bookmarkEnd w:id="6396"/>
      <w:r w:rsidRPr="005F10B9">
        <w:t xml:space="preserve"> </w:t>
      </w:r>
    </w:p>
    <w:p w14:paraId="42824DF9" w14:textId="77777777" w:rsidR="007968EC" w:rsidRPr="005F10B9" w:rsidRDefault="007968EC" w:rsidP="007968EC">
      <w:pPr>
        <w:jc w:val="both"/>
        <w:rPr>
          <w:rFonts w:ascii="Arial Narrow" w:eastAsia="Calibri" w:hAnsi="Arial Narrow"/>
          <w:b/>
          <w:color w:val="000000" w:themeColor="text1"/>
        </w:rPr>
      </w:pPr>
    </w:p>
    <w:p w14:paraId="1BF61DD4" w14:textId="77777777" w:rsidR="007968EC" w:rsidRPr="005F10B9" w:rsidRDefault="007968EC" w:rsidP="007968EC">
      <w:pPr>
        <w:jc w:val="both"/>
        <w:rPr>
          <w:rFonts w:ascii="Arial Narrow" w:eastAsia="Calibri" w:hAnsi="Arial Narrow"/>
          <w:bCs/>
          <w:color w:val="000000" w:themeColor="text1"/>
        </w:rPr>
      </w:pPr>
      <w:r w:rsidRPr="005F10B9">
        <w:rPr>
          <w:rFonts w:ascii="Arial Narrow" w:eastAsia="Calibri" w:hAnsi="Arial Narrow"/>
          <w:bCs/>
          <w:color w:val="000000" w:themeColor="text1"/>
        </w:rPr>
        <w:t>La Garantía Individual por estrés test para el presente Segmento se calculará de conformidad con lo dispuesto en el artículo 1.6.2.2. de la presente Circular.</w:t>
      </w:r>
    </w:p>
    <w:p w14:paraId="4BE315B9" w14:textId="77777777" w:rsidR="007968EC" w:rsidRPr="005F10B9" w:rsidRDefault="007968EC" w:rsidP="007968EC">
      <w:pPr>
        <w:jc w:val="both"/>
        <w:rPr>
          <w:rFonts w:ascii="Arial Narrow" w:eastAsia="Calibri" w:hAnsi="Arial Narrow"/>
          <w:b/>
          <w:color w:val="000000" w:themeColor="text1"/>
        </w:rPr>
      </w:pPr>
    </w:p>
    <w:p w14:paraId="61C52D87" w14:textId="77777777" w:rsidR="007968EC" w:rsidRPr="005F10B9" w:rsidRDefault="007968EC" w:rsidP="007968EC">
      <w:pPr>
        <w:keepNext/>
        <w:tabs>
          <w:tab w:val="left" w:pos="1701"/>
        </w:tabs>
        <w:jc w:val="both"/>
        <w:outlineLvl w:val="2"/>
        <w:rPr>
          <w:rFonts w:ascii="Arial Narrow" w:hAnsi="Arial Narrow" w:cs="Arial"/>
          <w:b/>
          <w:color w:val="000000" w:themeColor="text1"/>
          <w:u w:val="single"/>
          <w:lang w:eastAsia="es-ES"/>
        </w:rPr>
      </w:pPr>
      <w:bookmarkStart w:id="6397" w:name="_Toc31716523"/>
      <w:r w:rsidRPr="00C16E02">
        <w:rPr>
          <w:rStyle w:val="ARTICULOCar"/>
          <w:rFonts w:eastAsiaTheme="minorHAnsi"/>
        </w:rPr>
        <w:t>Artículo 5.5.2.3. Garantías por Posición para el Segmento Swaps</w:t>
      </w:r>
      <w:bookmarkEnd w:id="6397"/>
      <w:r w:rsidRPr="005F10B9">
        <w:rPr>
          <w:rFonts w:ascii="Arial Narrow" w:hAnsi="Arial Narrow" w:cs="Arial"/>
          <w:b/>
          <w:color w:val="000000" w:themeColor="text1"/>
          <w:u w:val="single"/>
          <w:lang w:eastAsia="es-ES"/>
        </w:rPr>
        <w:t xml:space="preserve">. </w:t>
      </w:r>
    </w:p>
    <w:p w14:paraId="64706D48" w14:textId="77777777" w:rsidR="007968EC" w:rsidRPr="005F10B9" w:rsidRDefault="007968EC" w:rsidP="007968EC">
      <w:pPr>
        <w:keepNext/>
        <w:tabs>
          <w:tab w:val="left" w:pos="1701"/>
        </w:tabs>
        <w:jc w:val="both"/>
        <w:outlineLvl w:val="2"/>
        <w:rPr>
          <w:rFonts w:ascii="Arial Narrow" w:hAnsi="Arial Narrow" w:cs="Arial"/>
          <w:b/>
          <w:color w:val="000000" w:themeColor="text1"/>
          <w:u w:val="single"/>
          <w:lang w:eastAsia="es-ES"/>
        </w:rPr>
      </w:pPr>
    </w:p>
    <w:p w14:paraId="481D49CF" w14:textId="77777777" w:rsidR="007968EC" w:rsidRDefault="007968EC" w:rsidP="007968EC">
      <w:pPr>
        <w:jc w:val="both"/>
        <w:rPr>
          <w:rFonts w:ascii="Arial Narrow" w:hAnsi="Arial Narrow" w:cs="Arial"/>
          <w:bCs/>
          <w:color w:val="000000" w:themeColor="text1"/>
          <w:lang w:val="es-ES" w:eastAsia="es-ES"/>
        </w:rPr>
      </w:pPr>
      <w:r w:rsidRPr="005F10B9">
        <w:rPr>
          <w:rFonts w:ascii="Arial Narrow" w:eastAsia="Calibri" w:hAnsi="Arial Narrow"/>
          <w:color w:val="000000" w:themeColor="text1"/>
        </w:rPr>
        <w:t>L</w:t>
      </w:r>
      <w:r w:rsidRPr="005F10B9">
        <w:rPr>
          <w:rFonts w:ascii="Arial Narrow" w:hAnsi="Arial Narrow" w:cs="Arial"/>
          <w:color w:val="000000" w:themeColor="text1"/>
          <w:lang w:val="es-ES" w:eastAsia="es-ES"/>
        </w:rPr>
        <w:t>a Cámara exigirá para el presente Segmento una Garantía por Posición Inicial y una Garantía por Posición Variable, las cuales se calculan según lo establecido en este Segmento.</w:t>
      </w:r>
      <w:r w:rsidRPr="005F10B9">
        <w:rPr>
          <w:rFonts w:ascii="Arial Narrow" w:hAnsi="Arial Narrow" w:cs="Arial"/>
          <w:b/>
          <w:color w:val="000000" w:themeColor="text1"/>
          <w:lang w:val="es-ES" w:eastAsia="es-ES"/>
        </w:rPr>
        <w:t xml:space="preserve"> </w:t>
      </w:r>
    </w:p>
    <w:p w14:paraId="26A55E32" w14:textId="77777777" w:rsidR="007968EC" w:rsidRPr="00C16E02" w:rsidRDefault="007968EC" w:rsidP="007968EC">
      <w:pPr>
        <w:jc w:val="both"/>
        <w:rPr>
          <w:rFonts w:ascii="Arial Narrow" w:hAnsi="Arial Narrow" w:cs="Arial"/>
          <w:bCs/>
          <w:color w:val="000000" w:themeColor="text1"/>
          <w:lang w:val="es-ES" w:eastAsia="es-ES"/>
        </w:rPr>
      </w:pPr>
    </w:p>
    <w:p w14:paraId="311B6F65" w14:textId="77777777" w:rsidR="007968EC" w:rsidRPr="00C16E02" w:rsidRDefault="007968EC" w:rsidP="007968EC">
      <w:pPr>
        <w:pStyle w:val="ARTICULO0"/>
      </w:pPr>
      <w:bookmarkStart w:id="6398" w:name="_Toc31716524"/>
      <w:r w:rsidRPr="00C16E02">
        <w:t xml:space="preserve">Artículo 5.5.2.4. Procedimiento de Cálculo de Garantías por Posición Inicial según el modelo de riesgo </w:t>
      </w:r>
      <w:r w:rsidRPr="00C16E02">
        <w:rPr>
          <w:rFonts w:eastAsia="Calibri"/>
        </w:rPr>
        <w:t>Método Historical VaR.</w:t>
      </w:r>
      <w:bookmarkEnd w:id="6398"/>
    </w:p>
    <w:p w14:paraId="048D3742" w14:textId="77777777" w:rsidR="007968EC" w:rsidRDefault="007968EC" w:rsidP="007968EC">
      <w:pPr>
        <w:jc w:val="both"/>
        <w:rPr>
          <w:rFonts w:ascii="Arial Narrow" w:hAnsi="Arial Narrow"/>
        </w:rPr>
      </w:pPr>
    </w:p>
    <w:p w14:paraId="388D8FFB" w14:textId="77777777" w:rsidR="007968EC" w:rsidRPr="000C31A5" w:rsidRDefault="007968EC" w:rsidP="007968EC">
      <w:pPr>
        <w:pStyle w:val="ARTICULO0"/>
        <w:rPr>
          <w:u w:val="none"/>
        </w:rPr>
      </w:pPr>
      <w:bookmarkStart w:id="6399" w:name="_Toc31716525"/>
      <w:r w:rsidRPr="000508BE">
        <w:rPr>
          <w:u w:val="none"/>
        </w:rPr>
        <w:t xml:space="preserve">(Este artículo fue modificado mediante Circular 19 del 22 de noviembre de 2019, publicada en el </w:t>
      </w:r>
      <w:r w:rsidRPr="000C31A5">
        <w:rPr>
          <w:u w:val="none"/>
        </w:rPr>
        <w:t>Boletín Normativo No. 034 del 22 de noviembre de 2019. Rige a partir del 25 de noviembre de 2019).</w:t>
      </w:r>
      <w:bookmarkEnd w:id="6399"/>
    </w:p>
    <w:p w14:paraId="29D96215" w14:textId="77777777" w:rsidR="007968EC" w:rsidRDefault="007968EC" w:rsidP="007968EC">
      <w:pPr>
        <w:jc w:val="both"/>
        <w:rPr>
          <w:rFonts w:ascii="Arial Narrow" w:hAnsi="Arial Narrow"/>
        </w:rPr>
      </w:pPr>
    </w:p>
    <w:p w14:paraId="13948790" w14:textId="77777777" w:rsidR="007968EC" w:rsidRDefault="007968EC" w:rsidP="007968EC">
      <w:pPr>
        <w:jc w:val="both"/>
        <w:rPr>
          <w:rFonts w:ascii="Arial Narrow" w:hAnsi="Arial Narrow"/>
        </w:rPr>
      </w:pPr>
      <w:r w:rsidRPr="005F10B9">
        <w:rPr>
          <w:rFonts w:ascii="Arial Narrow" w:hAnsi="Arial Narrow"/>
        </w:rPr>
        <w:t>Este modelo tiene en cuenta la valoración de las Posiciones Abiertas y las compensaciones entre</w:t>
      </w:r>
      <w:r>
        <w:rPr>
          <w:rFonts w:ascii="Arial Narrow" w:hAnsi="Arial Narrow"/>
        </w:rPr>
        <w:t xml:space="preserve"> los</w:t>
      </w:r>
      <w:r w:rsidRPr="005F10B9">
        <w:rPr>
          <w:rFonts w:ascii="Arial Narrow" w:hAnsi="Arial Narrow"/>
        </w:rPr>
        <w:t xml:space="preserve"> diferentes Swaps que se encuentren dentro de la misma Cuenta en el Segmento Swaps. El procedimiento que se describe a continuación se realiza para cada titular de Cuenta. La Garantía Inicial está compuesta por los siguientes conceptos:</w:t>
      </w:r>
    </w:p>
    <w:p w14:paraId="4421612D" w14:textId="77777777" w:rsidR="007968EC" w:rsidRPr="005F10B9" w:rsidRDefault="007968EC" w:rsidP="007968EC">
      <w:pPr>
        <w:jc w:val="both"/>
        <w:rPr>
          <w:rFonts w:ascii="Arial Narrow" w:hAnsi="Arial Narrow"/>
        </w:rPr>
      </w:pPr>
    </w:p>
    <w:p w14:paraId="4F99C839" w14:textId="77777777" w:rsidR="007968EC" w:rsidRPr="005F10B9" w:rsidRDefault="007968EC" w:rsidP="00DA7472">
      <w:pPr>
        <w:numPr>
          <w:ilvl w:val="0"/>
          <w:numId w:val="324"/>
        </w:numPr>
        <w:ind w:left="426" w:hanging="426"/>
        <w:rPr>
          <w:rFonts w:ascii="Arial Narrow" w:hAnsi="Arial Narrow" w:cs="Arial"/>
          <w:b/>
          <w:lang w:eastAsia="es-CO"/>
        </w:rPr>
      </w:pPr>
      <w:r w:rsidRPr="005F10B9">
        <w:rPr>
          <w:rFonts w:ascii="Arial Narrow" w:hAnsi="Arial Narrow" w:cs="Arial"/>
          <w:lang w:eastAsia="es-CO"/>
        </w:rPr>
        <w:t>Cálculo de la Garantía Inicial Base (IM Base).</w:t>
      </w:r>
    </w:p>
    <w:p w14:paraId="59A31A7B" w14:textId="77777777" w:rsidR="007968EC" w:rsidRPr="005F10B9" w:rsidRDefault="007968EC" w:rsidP="00DA7472">
      <w:pPr>
        <w:numPr>
          <w:ilvl w:val="0"/>
          <w:numId w:val="324"/>
        </w:numPr>
        <w:ind w:left="426" w:hanging="426"/>
        <w:rPr>
          <w:rFonts w:ascii="Arial Narrow" w:hAnsi="Arial Narrow" w:cs="Arial"/>
          <w:b/>
          <w:lang w:eastAsia="es-CO"/>
        </w:rPr>
      </w:pPr>
      <w:r w:rsidRPr="005F10B9">
        <w:rPr>
          <w:rFonts w:ascii="Arial Narrow" w:hAnsi="Arial Narrow" w:cs="Arial"/>
          <w:lang w:eastAsia="es-CO"/>
        </w:rPr>
        <w:t>Ajuste por Tamaño de la Posición.</w:t>
      </w:r>
    </w:p>
    <w:p w14:paraId="613BD07A" w14:textId="77777777" w:rsidR="007968EC" w:rsidRPr="005F10B9" w:rsidRDefault="007968EC" w:rsidP="007968EC">
      <w:pPr>
        <w:rPr>
          <w:rFonts w:ascii="Arial Narrow" w:hAnsi="Arial Narrow"/>
        </w:rPr>
      </w:pPr>
    </w:p>
    <w:p w14:paraId="4EB9B275" w14:textId="77777777" w:rsidR="007968EC" w:rsidRPr="005F10B9" w:rsidRDefault="007968EC" w:rsidP="007968EC">
      <w:pPr>
        <w:jc w:val="both"/>
        <w:rPr>
          <w:rFonts w:ascii="Arial Narrow" w:hAnsi="Arial Narrow"/>
        </w:rPr>
      </w:pPr>
      <w:r w:rsidRPr="005F10B9">
        <w:rPr>
          <w:rFonts w:ascii="Arial Narrow" w:hAnsi="Arial Narrow"/>
        </w:rPr>
        <w:t>Los pasos que se deben seguir para el cálculo de la Garantía Inicial para Posiciones compensadas en Swaps son:</w:t>
      </w:r>
    </w:p>
    <w:p w14:paraId="4500200D" w14:textId="77777777" w:rsidR="007968EC" w:rsidRPr="005F10B9" w:rsidRDefault="007968EC" w:rsidP="007968EC">
      <w:pPr>
        <w:jc w:val="both"/>
        <w:rPr>
          <w:rFonts w:ascii="Arial Narrow" w:hAnsi="Arial Narrow"/>
        </w:rPr>
      </w:pPr>
    </w:p>
    <w:p w14:paraId="30DA5BA1" w14:textId="77777777" w:rsidR="007968EC" w:rsidRPr="005F10B9" w:rsidRDefault="007968EC" w:rsidP="00DA7472">
      <w:pPr>
        <w:numPr>
          <w:ilvl w:val="6"/>
          <w:numId w:val="333"/>
        </w:numPr>
        <w:ind w:left="426" w:hanging="426"/>
        <w:rPr>
          <w:rFonts w:ascii="Arial Narrow" w:hAnsi="Arial Narrow" w:cs="Arial"/>
          <w:b/>
          <w:lang w:eastAsia="es-CO"/>
        </w:rPr>
      </w:pPr>
      <w:r w:rsidRPr="005F10B9">
        <w:rPr>
          <w:rFonts w:ascii="Arial Narrow" w:hAnsi="Arial Narrow" w:cs="Arial"/>
          <w:lang w:eastAsia="es-CO"/>
        </w:rPr>
        <w:t>Cálculo del IM Base:</w:t>
      </w:r>
    </w:p>
    <w:p w14:paraId="43F9FF36" w14:textId="77777777" w:rsidR="007968EC" w:rsidRPr="005F10B9" w:rsidRDefault="007968EC" w:rsidP="007968EC">
      <w:pPr>
        <w:rPr>
          <w:rFonts w:ascii="Arial Narrow" w:hAnsi="Arial Narrow"/>
        </w:rPr>
      </w:pPr>
    </w:p>
    <w:p w14:paraId="68C09EA5" w14:textId="77777777" w:rsidR="007968EC" w:rsidRDefault="007968EC" w:rsidP="007968EC">
      <w:pPr>
        <w:jc w:val="both"/>
        <w:rPr>
          <w:rFonts w:ascii="Arial Narrow" w:hAnsi="Arial Narrow"/>
        </w:rPr>
      </w:pPr>
      <w:r w:rsidRPr="005F10B9">
        <w:rPr>
          <w:rFonts w:ascii="Arial Narrow" w:hAnsi="Arial Narrow"/>
        </w:rPr>
        <w:lastRenderedPageBreak/>
        <w:t>El IM Base se calcula como el máximo del valor calculado por el método de VaR Histórico (</w:t>
      </w:r>
      <w:proofErr w:type="spellStart"/>
      <w:r w:rsidRPr="005F10B9">
        <w:rPr>
          <w:rFonts w:ascii="Arial Narrow" w:hAnsi="Arial Narrow"/>
        </w:rPr>
        <w:t>Value</w:t>
      </w:r>
      <w:proofErr w:type="spellEnd"/>
      <w:r w:rsidRPr="005F10B9">
        <w:rPr>
          <w:rFonts w:ascii="Arial Narrow" w:hAnsi="Arial Narrow"/>
        </w:rPr>
        <w:t>-at-Risk) y el método Máxima Pérdida Esperada (</w:t>
      </w:r>
      <w:proofErr w:type="spellStart"/>
      <w:r w:rsidRPr="005F10B9">
        <w:rPr>
          <w:rFonts w:ascii="Arial Narrow" w:hAnsi="Arial Narrow"/>
        </w:rPr>
        <w:t>Expected</w:t>
      </w:r>
      <w:proofErr w:type="spellEnd"/>
      <w:r w:rsidRPr="005F10B9">
        <w:rPr>
          <w:rFonts w:ascii="Arial Narrow" w:hAnsi="Arial Narrow"/>
        </w:rPr>
        <w:t xml:space="preserve"> </w:t>
      </w:r>
      <w:proofErr w:type="spellStart"/>
      <w:r w:rsidRPr="005F10B9">
        <w:rPr>
          <w:rFonts w:ascii="Arial Narrow" w:hAnsi="Arial Narrow"/>
        </w:rPr>
        <w:t>Shortfall</w:t>
      </w:r>
      <w:proofErr w:type="spellEnd"/>
      <w:r w:rsidRPr="005F10B9">
        <w:rPr>
          <w:rFonts w:ascii="Arial Narrow" w:hAnsi="Arial Narrow"/>
        </w:rPr>
        <w:t>). Estos métodos se basan en calcular la máxima pérdida esperada de una cuenta en un horizonte temporal determinado asumiendo cierto nivel de confianza.</w:t>
      </w:r>
    </w:p>
    <w:p w14:paraId="40930C96" w14:textId="77777777" w:rsidR="007968EC" w:rsidRDefault="007968EC" w:rsidP="007968EC">
      <w:pPr>
        <w:jc w:val="both"/>
        <w:rPr>
          <w:rFonts w:ascii="Arial Narrow" w:hAnsi="Arial Narrow" w:cs="Arial"/>
          <w:b/>
          <w:lang w:eastAsia="es-CO"/>
        </w:rPr>
      </w:pPr>
    </w:p>
    <w:p w14:paraId="6456BEDE" w14:textId="77777777" w:rsidR="007968EC" w:rsidRPr="004E10E9" w:rsidRDefault="007968EC" w:rsidP="007968EC">
      <w:pPr>
        <w:jc w:val="both"/>
        <w:rPr>
          <w:rFonts w:ascii="Arial Narrow" w:hAnsi="Arial Narrow"/>
        </w:rPr>
      </w:pPr>
      <w:proofErr w:type="gramStart"/>
      <w:r w:rsidRPr="004E10E9">
        <w:rPr>
          <w:rFonts w:ascii="Arial Narrow" w:hAnsi="Arial Narrow"/>
        </w:rPr>
        <w:t>Los datos históricos a computar</w:t>
      </w:r>
      <w:proofErr w:type="gramEnd"/>
      <w:r w:rsidRPr="004E10E9">
        <w:rPr>
          <w:rFonts w:ascii="Arial Narrow" w:hAnsi="Arial Narrow"/>
        </w:rPr>
        <w:t xml:space="preserve"> sobre </w:t>
      </w:r>
      <w:r>
        <w:rPr>
          <w:rFonts w:ascii="Arial Narrow" w:hAnsi="Arial Narrow"/>
        </w:rPr>
        <w:t xml:space="preserve">las tasas de interés cero cupón </w:t>
      </w:r>
      <w:r w:rsidRPr="004E10E9">
        <w:rPr>
          <w:rFonts w:ascii="Arial Narrow" w:hAnsi="Arial Narrow"/>
        </w:rPr>
        <w:t xml:space="preserve">corresponden al parámetro Número de Sesiones a Utilizar definido en </w:t>
      </w:r>
      <w:r w:rsidRPr="005F10B9">
        <w:rPr>
          <w:rFonts w:ascii="Arial Narrow" w:hAnsi="Arial Narrow"/>
        </w:rPr>
        <w:t>el artículo 5.5.2.5</w:t>
      </w:r>
      <w:r>
        <w:rPr>
          <w:rFonts w:ascii="Arial Narrow" w:hAnsi="Arial Narrow"/>
        </w:rPr>
        <w:t xml:space="preserve"> de la presente Circular, para esto, s</w:t>
      </w:r>
      <w:r w:rsidRPr="004E10E9">
        <w:rPr>
          <w:rFonts w:ascii="Arial Narrow" w:hAnsi="Arial Narrow"/>
        </w:rPr>
        <w:t xml:space="preserve">e dispondrá de un dato por sesión para cada una de las curvas </w:t>
      </w:r>
      <w:r>
        <w:rPr>
          <w:rFonts w:ascii="Arial Narrow" w:hAnsi="Arial Narrow"/>
        </w:rPr>
        <w:t>cero cupón definidas en el artículo 5.5.3.1.</w:t>
      </w:r>
    </w:p>
    <w:p w14:paraId="6EE52576" w14:textId="77777777" w:rsidR="007968EC" w:rsidRPr="005F10B9" w:rsidRDefault="007968EC" w:rsidP="007968EC">
      <w:pPr>
        <w:jc w:val="both"/>
        <w:rPr>
          <w:rFonts w:ascii="Arial Narrow" w:hAnsi="Arial Narrow" w:cs="Arial"/>
          <w:b/>
          <w:lang w:eastAsia="es-CO"/>
        </w:rPr>
      </w:pPr>
    </w:p>
    <w:p w14:paraId="67DAFF66" w14:textId="77777777" w:rsidR="007968EC" w:rsidRPr="005F10B9" w:rsidRDefault="007968EC" w:rsidP="007968EC">
      <w:pPr>
        <w:ind w:left="284"/>
        <w:rPr>
          <w:rFonts w:ascii="Arial Narrow" w:hAnsi="Arial Narrow" w:cs="Arial"/>
          <w:b/>
          <w:lang w:eastAsia="es-CO"/>
        </w:rPr>
      </w:pPr>
    </w:p>
    <w:p w14:paraId="5784DCAC" w14:textId="77777777" w:rsidR="007968EC" w:rsidRPr="005F10B9" w:rsidRDefault="007968EC" w:rsidP="007968EC">
      <w:pPr>
        <w:rPr>
          <w:rFonts w:ascii="Arial Narrow" w:hAnsi="Arial Narrow"/>
        </w:rPr>
      </w:pPr>
      <w:r w:rsidRPr="005F10B9">
        <w:rPr>
          <w:rFonts w:ascii="Arial Narrow" w:hAnsi="Arial Narrow"/>
        </w:rPr>
        <w:t>A continuación, se detalla la metodología para el cálculo del IM Base:</w:t>
      </w:r>
    </w:p>
    <w:p w14:paraId="1F128C8D" w14:textId="77777777" w:rsidR="007968EC" w:rsidRPr="005F10B9" w:rsidRDefault="007968EC" w:rsidP="007968EC">
      <w:pPr>
        <w:rPr>
          <w:rFonts w:ascii="Arial Narrow" w:hAnsi="Arial Narrow"/>
        </w:rPr>
      </w:pPr>
    </w:p>
    <w:p w14:paraId="25A6BD70" w14:textId="77777777" w:rsidR="007968EC" w:rsidRPr="005F10B9" w:rsidRDefault="007968EC" w:rsidP="00DA7472">
      <w:pPr>
        <w:numPr>
          <w:ilvl w:val="1"/>
          <w:numId w:val="350"/>
        </w:numPr>
        <w:tabs>
          <w:tab w:val="left" w:pos="709"/>
        </w:tabs>
        <w:ind w:left="851"/>
        <w:rPr>
          <w:rFonts w:ascii="Arial Narrow" w:hAnsi="Arial Narrow" w:cs="Arial"/>
          <w:b/>
          <w:lang w:eastAsia="es-CO"/>
        </w:rPr>
      </w:pPr>
      <w:r w:rsidRPr="005F10B9">
        <w:rPr>
          <w:rFonts w:ascii="Arial Narrow" w:hAnsi="Arial Narrow" w:cs="Arial"/>
          <w:lang w:eastAsia="es-CO"/>
        </w:rPr>
        <w:t>Método de cálculo del IM Base mediante VaR Histórico (</w:t>
      </w:r>
      <w:proofErr w:type="spellStart"/>
      <w:r w:rsidRPr="005F10B9">
        <w:rPr>
          <w:rFonts w:ascii="Arial Narrow" w:hAnsi="Arial Narrow" w:cs="Arial"/>
          <w:lang w:eastAsia="es-CO"/>
        </w:rPr>
        <w:t>Value</w:t>
      </w:r>
      <w:proofErr w:type="spellEnd"/>
      <w:r w:rsidRPr="005F10B9">
        <w:rPr>
          <w:rFonts w:ascii="Arial Narrow" w:hAnsi="Arial Narrow" w:cs="Arial"/>
          <w:lang w:eastAsia="es-CO"/>
        </w:rPr>
        <w:t>-at-Risk) (</w:t>
      </w:r>
      <w:proofErr w:type="spellStart"/>
      <w:r w:rsidRPr="005F10B9">
        <w:rPr>
          <w:rFonts w:ascii="Arial Narrow" w:hAnsi="Arial Narrow" w:cs="Arial"/>
          <w:lang w:eastAsia="es-CO"/>
        </w:rPr>
        <w:t>HVaR</w:t>
      </w:r>
      <w:proofErr w:type="spellEnd"/>
      <w:r w:rsidRPr="005F10B9">
        <w:rPr>
          <w:rFonts w:ascii="Arial Narrow" w:hAnsi="Arial Narrow" w:cs="Arial"/>
          <w:lang w:eastAsia="es-CO"/>
        </w:rPr>
        <w:t>)</w:t>
      </w:r>
      <w:r w:rsidRPr="005F10B9">
        <w:rPr>
          <w:rFonts w:ascii="Arial Narrow" w:hAnsi="Arial Narrow" w:cs="Arial"/>
          <w:b/>
          <w:lang w:eastAsia="es-CO"/>
        </w:rPr>
        <w:t xml:space="preserve"> </w:t>
      </w:r>
      <w:r w:rsidRPr="005F10B9">
        <w:rPr>
          <w:rFonts w:ascii="Arial Narrow" w:hAnsi="Arial Narrow" w:cs="Arial"/>
          <w:lang w:eastAsia="es-CO"/>
        </w:rPr>
        <w:t xml:space="preserve"> </w:t>
      </w:r>
    </w:p>
    <w:p w14:paraId="08BE3EB8" w14:textId="77777777" w:rsidR="007968EC" w:rsidRPr="005F10B9" w:rsidRDefault="007968EC" w:rsidP="007968EC">
      <w:pPr>
        <w:ind w:left="390"/>
        <w:rPr>
          <w:rFonts w:ascii="Arial Narrow" w:hAnsi="Arial Narrow" w:cs="Arial"/>
          <w:b/>
          <w:lang w:eastAsia="es-CO"/>
        </w:rPr>
      </w:pPr>
    </w:p>
    <w:p w14:paraId="0578C1D5" w14:textId="77777777" w:rsidR="007968EC" w:rsidRPr="005F10B9" w:rsidRDefault="007968EC" w:rsidP="007968EC">
      <w:pPr>
        <w:rPr>
          <w:rFonts w:ascii="Arial Narrow" w:hAnsi="Arial Narrow"/>
        </w:rPr>
      </w:pPr>
      <w:r w:rsidRPr="005F10B9">
        <w:rPr>
          <w:rFonts w:ascii="Arial Narrow" w:hAnsi="Arial Narrow"/>
        </w:rPr>
        <w:t>El algoritmo de cálculo del IM Base</w:t>
      </w:r>
      <w:r w:rsidRPr="005F10B9">
        <w:rPr>
          <w:rFonts w:ascii="Arial Narrow" w:hAnsi="Arial Narrow"/>
          <w:b/>
        </w:rPr>
        <w:t xml:space="preserve"> </w:t>
      </w:r>
      <w:r w:rsidRPr="005F10B9">
        <w:rPr>
          <w:rFonts w:ascii="Arial Narrow" w:hAnsi="Arial Narrow"/>
        </w:rPr>
        <w:t>a través del método VaR Histórico (</w:t>
      </w:r>
      <w:proofErr w:type="spellStart"/>
      <w:r w:rsidRPr="005F10B9">
        <w:rPr>
          <w:rFonts w:ascii="Arial Narrow" w:hAnsi="Arial Narrow"/>
        </w:rPr>
        <w:t>HVaR</w:t>
      </w:r>
      <w:proofErr w:type="spellEnd"/>
      <w:r w:rsidRPr="005F10B9">
        <w:rPr>
          <w:rFonts w:ascii="Arial Narrow" w:hAnsi="Arial Narrow"/>
        </w:rPr>
        <w:t>) consta de los siguientes pasos:</w:t>
      </w:r>
    </w:p>
    <w:p w14:paraId="04B0C992" w14:textId="77777777" w:rsidR="007968EC" w:rsidRPr="005F10B9" w:rsidRDefault="007968EC" w:rsidP="007968EC">
      <w:pPr>
        <w:rPr>
          <w:rFonts w:ascii="Arial Narrow" w:hAnsi="Arial Narrow"/>
        </w:rPr>
      </w:pPr>
    </w:p>
    <w:p w14:paraId="0D319A91" w14:textId="77777777" w:rsidR="007968EC" w:rsidRPr="005F10B9" w:rsidRDefault="007968EC" w:rsidP="00DA7472">
      <w:pPr>
        <w:numPr>
          <w:ilvl w:val="0"/>
          <w:numId w:val="322"/>
        </w:numPr>
        <w:tabs>
          <w:tab w:val="left" w:pos="567"/>
        </w:tabs>
        <w:ind w:left="1134" w:hanging="283"/>
        <w:rPr>
          <w:rFonts w:ascii="Arial Narrow" w:hAnsi="Arial Narrow" w:cs="Arial"/>
          <w:b/>
          <w:lang w:eastAsia="es-CO"/>
        </w:rPr>
      </w:pPr>
      <w:r w:rsidRPr="005F10B9">
        <w:rPr>
          <w:rFonts w:ascii="Arial Narrow" w:hAnsi="Arial Narrow" w:cs="Arial"/>
          <w:lang w:eastAsia="es-CO"/>
        </w:rPr>
        <w:t>Creación de la tabla de Retornos</w:t>
      </w:r>
    </w:p>
    <w:p w14:paraId="43036CD1" w14:textId="77777777" w:rsidR="007968EC" w:rsidRPr="005F10B9" w:rsidRDefault="007968EC" w:rsidP="007968EC">
      <w:pPr>
        <w:rPr>
          <w:rFonts w:ascii="Arial Narrow" w:hAnsi="Arial Narrow"/>
        </w:rPr>
      </w:pPr>
    </w:p>
    <w:p w14:paraId="757253FB" w14:textId="77777777" w:rsidR="007968EC" w:rsidRPr="005F10B9" w:rsidRDefault="007968EC" w:rsidP="007968EC">
      <w:pPr>
        <w:jc w:val="both"/>
        <w:rPr>
          <w:rFonts w:ascii="Arial Narrow" w:hAnsi="Arial Narrow"/>
        </w:rPr>
      </w:pPr>
      <w:bookmarkStart w:id="6400" w:name="_Hlk14947955"/>
      <w:r w:rsidRPr="005F10B9">
        <w:rPr>
          <w:rFonts w:ascii="Arial Narrow" w:hAnsi="Arial Narrow"/>
        </w:rPr>
        <w:t>A partir de la serie histórica de</w:t>
      </w:r>
      <w:r>
        <w:rPr>
          <w:rFonts w:ascii="Arial Narrow" w:hAnsi="Arial Narrow"/>
        </w:rPr>
        <w:t xml:space="preserve"> </w:t>
      </w:r>
      <w:r w:rsidRPr="005C10ED">
        <w:rPr>
          <w:rFonts w:ascii="Arial Narrow" w:hAnsi="Arial Narrow"/>
        </w:rPr>
        <w:t>las Curvas Cero Cupón del Número de Sesiones a Utilizar, se calcula la variación para cada Tasa Cero Cupón en cada uno de los plazos entre la</w:t>
      </w:r>
      <w:r w:rsidRPr="005F10B9">
        <w:rPr>
          <w:rFonts w:ascii="Arial Narrow" w:hAnsi="Arial Narrow"/>
        </w:rPr>
        <w:t xml:space="preserve"> fecha t y la fecha t menos MPOR descrito en el artículo 5.5.2.5. La variación obtenida se expresa en Puntos básicos (Pb).</w:t>
      </w:r>
    </w:p>
    <w:p w14:paraId="3E0CBE04" w14:textId="77777777" w:rsidR="007968EC" w:rsidRPr="005F10B9" w:rsidRDefault="007968EC" w:rsidP="007968EC">
      <w:pPr>
        <w:rPr>
          <w:rFonts w:ascii="Arial Narrow" w:hAnsi="Arial Narrow"/>
        </w:rPr>
      </w:pPr>
    </w:p>
    <w:p w14:paraId="09E286C8" w14:textId="77777777" w:rsidR="007968EC" w:rsidRPr="005F10B9" w:rsidRDefault="007968EC" w:rsidP="007968EC">
      <w:pPr>
        <w:rPr>
          <w:rFonts w:ascii="Arial Narrow" w:hAnsi="Arial Narrow"/>
        </w:rPr>
      </w:pPr>
      <w:r w:rsidRPr="005F10B9">
        <w:rPr>
          <w:rFonts w:ascii="Arial Narrow" w:hAnsi="Arial Narrow"/>
        </w:rPr>
        <w:t>El Retorno de la</w:t>
      </w:r>
      <w:r>
        <w:rPr>
          <w:rFonts w:ascii="Arial Narrow" w:hAnsi="Arial Narrow"/>
        </w:rPr>
        <w:t>s</w:t>
      </w:r>
      <w:r w:rsidRPr="005F10B9">
        <w:rPr>
          <w:rFonts w:ascii="Arial Narrow" w:hAnsi="Arial Narrow"/>
        </w:rPr>
        <w:t xml:space="preserve"> Curva</w:t>
      </w:r>
      <w:r>
        <w:rPr>
          <w:rFonts w:ascii="Arial Narrow" w:hAnsi="Arial Narrow"/>
        </w:rPr>
        <w:t>s</w:t>
      </w:r>
      <w:r w:rsidRPr="005F10B9">
        <w:rPr>
          <w:rFonts w:ascii="Arial Narrow" w:hAnsi="Arial Narrow"/>
        </w:rPr>
        <w:t xml:space="preserve"> Cero Cupón se calcula como:</w:t>
      </w:r>
    </w:p>
    <w:bookmarkEnd w:id="6400"/>
    <w:p w14:paraId="52596CA3" w14:textId="77777777" w:rsidR="007968EC" w:rsidRDefault="007968EC" w:rsidP="007968EC">
      <w:pPr>
        <w:rPr>
          <w:rFonts w:ascii="Arial Narrow" w:hAnsi="Arial Narrow"/>
        </w:rPr>
      </w:pPr>
    </w:p>
    <w:p w14:paraId="4BA99C14" w14:textId="77777777" w:rsidR="007968EC" w:rsidRDefault="007968EC" w:rsidP="007968EC">
      <w:pPr>
        <w:rPr>
          <w:rFonts w:ascii="Arial Narrow" w:hAnsi="Arial Narrow"/>
        </w:rPr>
      </w:pPr>
    </w:p>
    <w:p w14:paraId="44D59690" w14:textId="77777777" w:rsidR="007968EC" w:rsidRPr="005F10B9" w:rsidRDefault="007968EC" w:rsidP="007968EC">
      <w:pPr>
        <w:rPr>
          <w:rFonts w:ascii="Arial Narrow" w:hAnsi="Arial Narrow"/>
        </w:rPr>
      </w:pPr>
    </w:p>
    <w:p w14:paraId="50FDF059" w14:textId="77777777" w:rsidR="007968EC" w:rsidRPr="005F10B9" w:rsidRDefault="00682D97" w:rsidP="007968EC">
      <w:pPr>
        <w:rPr>
          <w:rFonts w:ascii="Arial Narrow" w:hAnsi="Arial Narrow"/>
        </w:rPr>
      </w:pPr>
      <m:oMathPara>
        <m:oMath>
          <m:sSubSup>
            <m:sSubSupPr>
              <m:ctrlPr>
                <w:rPr>
                  <w:rFonts w:ascii="Cambria Math" w:hAnsi="Cambria Math"/>
                </w:rPr>
              </m:ctrlPr>
            </m:sSubSupPr>
            <m:e>
              <m:r>
                <m:rPr>
                  <m:sty m:val="bi"/>
                </m:rPr>
                <w:rPr>
                  <w:rFonts w:ascii="Cambria Math" w:hAnsi="Cambria Math"/>
                </w:rPr>
                <m:t>R</m:t>
              </m:r>
            </m:e>
            <m:sub>
              <m:r>
                <m:rPr>
                  <m:sty m:val="bi"/>
                </m:rPr>
                <w:rPr>
                  <w:rFonts w:ascii="Cambria Math" w:hAnsi="Cambria Math"/>
                </w:rPr>
                <m:t>t</m:t>
              </m:r>
            </m:sub>
            <m:sup>
              <m:r>
                <m:rPr>
                  <m:sty m:val="bi"/>
                </m:rPr>
                <w:rPr>
                  <w:rFonts w:ascii="Cambria Math" w:hAnsi="Cambria Math"/>
                </w:rPr>
                <m:t>s</m:t>
              </m:r>
            </m:sup>
          </m:sSubSup>
          <m:r>
            <m:rPr>
              <m:sty m:val="bi"/>
            </m:rPr>
            <w:rPr>
              <w:rFonts w:ascii="Cambria Math" w:hAnsi="Cambria Math"/>
            </w:rPr>
            <m:t>=</m:t>
          </m:r>
          <m:sSubSup>
            <m:sSubSupPr>
              <m:ctrlPr>
                <w:rPr>
                  <w:rFonts w:ascii="Cambria Math" w:hAnsi="Cambria Math"/>
                </w:rPr>
              </m:ctrlPr>
            </m:sSubSupPr>
            <m:e>
              <m:r>
                <m:rPr>
                  <m:sty m:val="bi"/>
                </m:rPr>
                <w:rPr>
                  <w:rFonts w:ascii="Cambria Math" w:hAnsi="Cambria Math"/>
                </w:rPr>
                <m:t>ZR</m:t>
              </m:r>
            </m:e>
            <m:sub>
              <m:r>
                <m:rPr>
                  <m:sty m:val="bi"/>
                </m:rPr>
                <w:rPr>
                  <w:rFonts w:ascii="Cambria Math" w:hAnsi="Cambria Math"/>
                </w:rPr>
                <m:t>t</m:t>
              </m:r>
            </m:sub>
            <m:sup>
              <m:r>
                <m:rPr>
                  <m:sty m:val="bi"/>
                </m:rPr>
                <w:rPr>
                  <w:rFonts w:ascii="Cambria Math" w:hAnsi="Cambria Math"/>
                </w:rPr>
                <m:t>s</m:t>
              </m:r>
            </m:sup>
          </m:sSubSup>
          <m:r>
            <m:rPr>
              <m:sty m:val="bi"/>
            </m:rPr>
            <w:rPr>
              <w:rFonts w:ascii="Cambria Math" w:hAnsi="Cambria Math"/>
            </w:rPr>
            <m:t>-</m:t>
          </m:r>
          <m:sSubSup>
            <m:sSubSupPr>
              <m:ctrlPr>
                <w:rPr>
                  <w:rFonts w:ascii="Cambria Math" w:hAnsi="Cambria Math"/>
                </w:rPr>
              </m:ctrlPr>
            </m:sSubSupPr>
            <m:e>
              <m:r>
                <m:rPr>
                  <m:sty m:val="bi"/>
                </m:rPr>
                <w:rPr>
                  <w:rFonts w:ascii="Cambria Math" w:hAnsi="Cambria Math"/>
                </w:rPr>
                <m:t>ZR</m:t>
              </m:r>
            </m:e>
            <m:sub>
              <m:r>
                <m:rPr>
                  <m:sty m:val="bi"/>
                </m:rPr>
                <w:rPr>
                  <w:rFonts w:ascii="Cambria Math" w:hAnsi="Cambria Math"/>
                </w:rPr>
                <m:t>t-MPOR</m:t>
              </m:r>
            </m:sub>
            <m:sup>
              <m:r>
                <m:rPr>
                  <m:sty m:val="bi"/>
                </m:rPr>
                <w:rPr>
                  <w:rFonts w:ascii="Cambria Math" w:hAnsi="Cambria Math"/>
                </w:rPr>
                <m:t>s</m:t>
              </m:r>
            </m:sup>
          </m:sSubSup>
          <m:r>
            <m:rPr>
              <m:sty m:val="bi"/>
            </m:rPr>
            <w:rPr>
              <w:rFonts w:ascii="Cambria Math" w:hAnsi="Cambria Math"/>
            </w:rPr>
            <m:t xml:space="preserve">    </m:t>
          </m:r>
        </m:oMath>
      </m:oMathPara>
    </w:p>
    <w:p w14:paraId="38FA5E99" w14:textId="77777777" w:rsidR="007968EC" w:rsidRPr="005F10B9" w:rsidRDefault="007968EC" w:rsidP="007968EC">
      <w:pPr>
        <w:rPr>
          <w:rFonts w:ascii="Arial Narrow" w:hAnsi="Arial Narrow"/>
        </w:rPr>
      </w:pPr>
      <w:r w:rsidRPr="005F10B9">
        <w:rPr>
          <w:rFonts w:ascii="Arial Narrow" w:hAnsi="Arial Narrow"/>
        </w:rPr>
        <w:t>Donde:</w:t>
      </w:r>
    </w:p>
    <w:p w14:paraId="780BEC5E" w14:textId="77777777" w:rsidR="007968EC" w:rsidRPr="005F10B9" w:rsidRDefault="007968EC" w:rsidP="007968EC">
      <w:pPr>
        <w:rPr>
          <w:rFonts w:ascii="Arial Narrow" w:hAnsi="Arial Narrow"/>
        </w:rPr>
      </w:pPr>
    </w:p>
    <w:p w14:paraId="7C77DBB7" w14:textId="77777777" w:rsidR="007968EC" w:rsidRPr="005F10B9" w:rsidRDefault="00682D97" w:rsidP="007968EC">
      <w:pPr>
        <w:rPr>
          <w:rFonts w:ascii="Arial Narrow" w:hAnsi="Arial Narrow"/>
        </w:rPr>
      </w:pPr>
      <m:oMath>
        <m:sSubSup>
          <m:sSubSupPr>
            <m:ctrlPr>
              <w:rPr>
                <w:rFonts w:ascii="Cambria Math" w:hAnsi="Cambria Math"/>
              </w:rPr>
            </m:ctrlPr>
          </m:sSubSupPr>
          <m:e>
            <m:r>
              <m:rPr>
                <m:sty m:val="bi"/>
              </m:rPr>
              <w:rPr>
                <w:rFonts w:ascii="Cambria Math" w:hAnsi="Cambria Math"/>
              </w:rPr>
              <m:t>R</m:t>
            </m:r>
          </m:e>
          <m:sub>
            <m:r>
              <m:rPr>
                <m:sty m:val="bi"/>
              </m:rPr>
              <w:rPr>
                <w:rFonts w:ascii="Cambria Math" w:hAnsi="Cambria Math"/>
              </w:rPr>
              <m:t>t</m:t>
            </m:r>
          </m:sub>
          <m:sup>
            <m:r>
              <m:rPr>
                <m:sty m:val="bi"/>
              </m:rPr>
              <w:rPr>
                <w:rFonts w:ascii="Cambria Math" w:hAnsi="Cambria Math"/>
              </w:rPr>
              <m:t>s</m:t>
            </m:r>
          </m:sup>
        </m:sSubSup>
      </m:oMath>
      <w:r w:rsidR="007968EC" w:rsidRPr="005F10B9">
        <w:rPr>
          <w:rFonts w:ascii="Arial Narrow" w:hAnsi="Arial Narrow"/>
        </w:rPr>
        <w:t xml:space="preserve">: Retorno Cero Cupón </w:t>
      </w:r>
      <w:r w:rsidR="007968EC">
        <w:rPr>
          <w:rFonts w:ascii="Arial Narrow" w:hAnsi="Arial Narrow"/>
        </w:rPr>
        <w:t>según Curva y</w:t>
      </w:r>
      <w:r w:rsidR="007968EC" w:rsidRPr="005F10B9">
        <w:rPr>
          <w:rFonts w:ascii="Arial Narrow" w:hAnsi="Arial Narrow"/>
        </w:rPr>
        <w:t xml:space="preserve"> plazo “s” en la fecha “t”, expresado en Pb.</w:t>
      </w:r>
    </w:p>
    <w:p w14:paraId="1D34E834" w14:textId="77777777" w:rsidR="007968EC" w:rsidRPr="005F10B9" w:rsidRDefault="00682D97" w:rsidP="007968EC">
      <w:pPr>
        <w:rPr>
          <w:rFonts w:ascii="Arial Narrow" w:hAnsi="Arial Narrow"/>
        </w:rPr>
      </w:pPr>
      <m:oMath>
        <m:sSubSup>
          <m:sSubSupPr>
            <m:ctrlPr>
              <w:rPr>
                <w:rFonts w:ascii="Cambria Math" w:hAnsi="Cambria Math"/>
              </w:rPr>
            </m:ctrlPr>
          </m:sSubSupPr>
          <m:e>
            <m:r>
              <m:rPr>
                <m:sty m:val="bi"/>
              </m:rPr>
              <w:rPr>
                <w:rFonts w:ascii="Cambria Math" w:hAnsi="Cambria Math"/>
              </w:rPr>
              <m:t>ZR</m:t>
            </m:r>
          </m:e>
          <m:sub>
            <m:r>
              <m:rPr>
                <m:sty m:val="bi"/>
              </m:rPr>
              <w:rPr>
                <w:rFonts w:ascii="Cambria Math" w:hAnsi="Cambria Math"/>
              </w:rPr>
              <m:t>t</m:t>
            </m:r>
          </m:sub>
          <m:sup>
            <m:r>
              <m:rPr>
                <m:sty m:val="bi"/>
              </m:rPr>
              <w:rPr>
                <w:rFonts w:ascii="Cambria Math" w:hAnsi="Cambria Math"/>
              </w:rPr>
              <m:t>s</m:t>
            </m:r>
          </m:sup>
        </m:sSubSup>
      </m:oMath>
      <w:r w:rsidR="007968EC" w:rsidRPr="005F10B9">
        <w:rPr>
          <w:rFonts w:ascii="Arial Narrow" w:hAnsi="Arial Narrow"/>
        </w:rPr>
        <w:t xml:space="preserve">: </w:t>
      </w:r>
      <w:r w:rsidR="007968EC">
        <w:rPr>
          <w:rFonts w:ascii="Arial Narrow" w:hAnsi="Arial Narrow"/>
        </w:rPr>
        <w:t xml:space="preserve">Tasa </w:t>
      </w:r>
      <w:r w:rsidR="007968EC" w:rsidRPr="005F10B9">
        <w:rPr>
          <w:rFonts w:ascii="Arial Narrow" w:hAnsi="Arial Narrow"/>
        </w:rPr>
        <w:t xml:space="preserve">Cero Cupón </w:t>
      </w:r>
      <w:r w:rsidR="007968EC">
        <w:rPr>
          <w:rFonts w:ascii="Arial Narrow" w:hAnsi="Arial Narrow"/>
        </w:rPr>
        <w:t>según Curva y</w:t>
      </w:r>
      <w:r w:rsidR="007968EC" w:rsidRPr="005F10B9">
        <w:rPr>
          <w:rFonts w:ascii="Arial Narrow" w:hAnsi="Arial Narrow"/>
        </w:rPr>
        <w:t xml:space="preserve"> plazo</w:t>
      </w:r>
      <w:r w:rsidR="007968EC" w:rsidRPr="005F10B9" w:rsidDel="009C7D3B">
        <w:rPr>
          <w:rFonts w:ascii="Arial Narrow" w:hAnsi="Arial Narrow"/>
        </w:rPr>
        <w:t xml:space="preserve"> </w:t>
      </w:r>
      <w:r w:rsidR="007968EC" w:rsidRPr="005F10B9">
        <w:rPr>
          <w:rFonts w:ascii="Arial Narrow" w:hAnsi="Arial Narrow"/>
        </w:rPr>
        <w:t>“s” en la fecha “t”.</w:t>
      </w:r>
    </w:p>
    <w:p w14:paraId="11BCDBF3" w14:textId="77777777" w:rsidR="007968EC" w:rsidRPr="005F10B9" w:rsidRDefault="00682D97" w:rsidP="007968EC">
      <w:pPr>
        <w:rPr>
          <w:rFonts w:ascii="Arial Narrow" w:hAnsi="Arial Narrow"/>
        </w:rPr>
      </w:pPr>
      <m:oMath>
        <m:sSubSup>
          <m:sSubSupPr>
            <m:ctrlPr>
              <w:rPr>
                <w:rFonts w:ascii="Cambria Math" w:hAnsi="Cambria Math"/>
              </w:rPr>
            </m:ctrlPr>
          </m:sSubSupPr>
          <m:e>
            <m:r>
              <m:rPr>
                <m:sty m:val="bi"/>
              </m:rPr>
              <w:rPr>
                <w:rFonts w:ascii="Cambria Math" w:hAnsi="Cambria Math"/>
              </w:rPr>
              <m:t>ZR</m:t>
            </m:r>
          </m:e>
          <m:sub>
            <m:r>
              <m:rPr>
                <m:sty m:val="bi"/>
              </m:rPr>
              <w:rPr>
                <w:rFonts w:ascii="Cambria Math" w:hAnsi="Cambria Math"/>
              </w:rPr>
              <m:t>t-MPOR</m:t>
            </m:r>
          </m:sub>
          <m:sup>
            <m:r>
              <m:rPr>
                <m:sty m:val="bi"/>
              </m:rPr>
              <w:rPr>
                <w:rFonts w:ascii="Cambria Math" w:hAnsi="Cambria Math"/>
              </w:rPr>
              <m:t>s</m:t>
            </m:r>
          </m:sup>
        </m:sSubSup>
      </m:oMath>
      <w:r w:rsidR="007968EC" w:rsidRPr="005F10B9">
        <w:rPr>
          <w:rFonts w:ascii="Arial Narrow" w:hAnsi="Arial Narrow"/>
        </w:rPr>
        <w:t xml:space="preserve">: </w:t>
      </w:r>
      <w:r w:rsidR="007968EC">
        <w:rPr>
          <w:rFonts w:ascii="Arial Narrow" w:hAnsi="Arial Narrow"/>
        </w:rPr>
        <w:t xml:space="preserve">Tasa </w:t>
      </w:r>
      <w:r w:rsidR="007968EC" w:rsidRPr="005F10B9">
        <w:rPr>
          <w:rFonts w:ascii="Arial Narrow" w:hAnsi="Arial Narrow"/>
        </w:rPr>
        <w:t xml:space="preserve">Cero Cupón </w:t>
      </w:r>
      <w:r w:rsidR="007968EC">
        <w:rPr>
          <w:rFonts w:ascii="Arial Narrow" w:hAnsi="Arial Narrow"/>
        </w:rPr>
        <w:t>según Curva y</w:t>
      </w:r>
      <w:r w:rsidR="007968EC" w:rsidRPr="005F10B9">
        <w:rPr>
          <w:rFonts w:ascii="Arial Narrow" w:hAnsi="Arial Narrow"/>
        </w:rPr>
        <w:t xml:space="preserve"> plazo</w:t>
      </w:r>
      <w:r w:rsidR="007968EC">
        <w:rPr>
          <w:rFonts w:ascii="Arial Narrow" w:hAnsi="Arial Narrow"/>
        </w:rPr>
        <w:t xml:space="preserve"> </w:t>
      </w:r>
      <w:r w:rsidR="007968EC" w:rsidRPr="005F10B9">
        <w:rPr>
          <w:rFonts w:ascii="Arial Narrow" w:hAnsi="Arial Narrow"/>
        </w:rPr>
        <w:t>“s” en la fecha “t-MPOR”.</w:t>
      </w:r>
    </w:p>
    <w:p w14:paraId="154EB094" w14:textId="77777777" w:rsidR="007968EC" w:rsidRPr="005F10B9" w:rsidRDefault="007968EC" w:rsidP="007968EC">
      <w:pPr>
        <w:jc w:val="both"/>
        <w:rPr>
          <w:rFonts w:ascii="Arial Narrow" w:hAnsi="Arial Narrow"/>
        </w:rPr>
      </w:pPr>
    </w:p>
    <w:p w14:paraId="06D8D331" w14:textId="77777777" w:rsidR="007968EC" w:rsidRDefault="007968EC" w:rsidP="007968EC">
      <w:pPr>
        <w:jc w:val="both"/>
        <w:rPr>
          <w:rFonts w:ascii="Arial Narrow" w:hAnsi="Arial Narrow"/>
        </w:rPr>
      </w:pPr>
      <w:r>
        <w:rPr>
          <w:rFonts w:ascii="Arial Narrow" w:hAnsi="Arial Narrow"/>
        </w:rPr>
        <w:t>A partir de este cálculo, s</w:t>
      </w:r>
      <w:r w:rsidRPr="005F10B9">
        <w:rPr>
          <w:rFonts w:ascii="Arial Narrow" w:hAnsi="Arial Narrow"/>
        </w:rPr>
        <w:t>e obtiene una serie histórica de</w:t>
      </w:r>
      <w:r>
        <w:rPr>
          <w:rFonts w:ascii="Arial Narrow" w:hAnsi="Arial Narrow"/>
        </w:rPr>
        <w:t>l</w:t>
      </w:r>
      <w:r w:rsidRPr="005F10B9">
        <w:rPr>
          <w:rFonts w:ascii="Arial Narrow" w:hAnsi="Arial Narrow"/>
        </w:rPr>
        <w:t xml:space="preserve"> Número de Sesiones a Utilizar menos MPOR</w:t>
      </w:r>
      <w:r>
        <w:rPr>
          <w:rFonts w:ascii="Arial Narrow" w:hAnsi="Arial Narrow"/>
        </w:rPr>
        <w:t>,</w:t>
      </w:r>
      <w:r w:rsidRPr="005F10B9">
        <w:rPr>
          <w:rFonts w:ascii="Arial Narrow" w:hAnsi="Arial Narrow"/>
        </w:rPr>
        <w:t xml:space="preserve"> que corresponde a los retornos para cada </w:t>
      </w:r>
      <w:r>
        <w:rPr>
          <w:rFonts w:ascii="Arial Narrow" w:hAnsi="Arial Narrow"/>
        </w:rPr>
        <w:t>Curva</w:t>
      </w:r>
      <w:r w:rsidRPr="005F10B9">
        <w:rPr>
          <w:rFonts w:ascii="Arial Narrow" w:hAnsi="Arial Narrow"/>
        </w:rPr>
        <w:t xml:space="preserve"> Cero Cupón en cada uno de los plazo</w:t>
      </w:r>
      <w:r>
        <w:rPr>
          <w:rFonts w:ascii="Arial Narrow" w:hAnsi="Arial Narrow"/>
        </w:rPr>
        <w:t>s</w:t>
      </w:r>
      <w:r w:rsidRPr="005F10B9">
        <w:rPr>
          <w:rFonts w:ascii="Arial Narrow" w:hAnsi="Arial Narrow"/>
        </w:rPr>
        <w:t>, donde todos los datos pesan igual, independientemente del momento de ocurrencia.</w:t>
      </w:r>
    </w:p>
    <w:p w14:paraId="472AC5D5" w14:textId="77777777" w:rsidR="007968EC" w:rsidRDefault="007968EC" w:rsidP="007968EC">
      <w:pPr>
        <w:jc w:val="both"/>
        <w:rPr>
          <w:rFonts w:ascii="Arial Narrow" w:hAnsi="Arial Narrow"/>
        </w:rPr>
      </w:pPr>
    </w:p>
    <w:p w14:paraId="4EF45DB6" w14:textId="77777777" w:rsidR="007968EC" w:rsidRDefault="007968EC" w:rsidP="007968EC">
      <w:pPr>
        <w:jc w:val="both"/>
        <w:rPr>
          <w:rFonts w:ascii="Arial Narrow" w:hAnsi="Arial Narrow"/>
        </w:rPr>
      </w:pPr>
      <w:r>
        <w:rPr>
          <w:rFonts w:ascii="Arial Narrow" w:hAnsi="Arial Narrow"/>
        </w:rPr>
        <w:t xml:space="preserve">Para el caso de los Swaps de moneda además de calcular los retornos para cada una de las Curvas Cero Cupón se deben calcular los retornos para la TRM entre la fecha t y la fecha t menos MPOR </w:t>
      </w:r>
      <w:r w:rsidRPr="005F10B9">
        <w:rPr>
          <w:rFonts w:ascii="Arial Narrow" w:hAnsi="Arial Narrow"/>
        </w:rPr>
        <w:t>descrito en el artículo 5.5.2.5</w:t>
      </w:r>
      <w:r>
        <w:rPr>
          <w:rFonts w:ascii="Arial Narrow" w:hAnsi="Arial Narrow"/>
        </w:rPr>
        <w:t>. L</w:t>
      </w:r>
      <w:r w:rsidRPr="005F10B9">
        <w:rPr>
          <w:rFonts w:ascii="Arial Narrow" w:hAnsi="Arial Narrow"/>
        </w:rPr>
        <w:t xml:space="preserve">a variación obtenida se expresa en </w:t>
      </w:r>
      <w:r w:rsidRPr="00603843">
        <w:rPr>
          <w:rFonts w:ascii="Arial Narrow" w:hAnsi="Arial Narrow"/>
        </w:rPr>
        <w:t>pesos COP.</w:t>
      </w:r>
      <w:r>
        <w:rPr>
          <w:rFonts w:ascii="Arial Narrow" w:hAnsi="Arial Narrow"/>
        </w:rPr>
        <w:t xml:space="preserve"> </w:t>
      </w:r>
    </w:p>
    <w:p w14:paraId="0FBBE716" w14:textId="77777777" w:rsidR="007968EC" w:rsidRDefault="007968EC" w:rsidP="007968EC">
      <w:pPr>
        <w:jc w:val="both"/>
        <w:rPr>
          <w:rFonts w:ascii="Arial Narrow" w:hAnsi="Arial Narrow"/>
        </w:rPr>
      </w:pPr>
    </w:p>
    <w:p w14:paraId="369CF3E9" w14:textId="77777777" w:rsidR="007968EC" w:rsidRDefault="007968EC" w:rsidP="007968EC">
      <w:pPr>
        <w:jc w:val="both"/>
        <w:rPr>
          <w:rFonts w:ascii="Arial Narrow" w:hAnsi="Arial Narrow"/>
        </w:rPr>
      </w:pPr>
    </w:p>
    <w:p w14:paraId="3E45FEF9" w14:textId="77777777" w:rsidR="007968EC" w:rsidRPr="005F10B9" w:rsidRDefault="007968EC" w:rsidP="007968EC">
      <w:pPr>
        <w:jc w:val="both"/>
        <w:rPr>
          <w:rFonts w:ascii="Arial Narrow" w:hAnsi="Arial Narrow"/>
        </w:rPr>
      </w:pPr>
    </w:p>
    <w:p w14:paraId="1E535B52" w14:textId="77777777" w:rsidR="007968EC" w:rsidRPr="005F10B9" w:rsidRDefault="007968EC" w:rsidP="00DA7472">
      <w:pPr>
        <w:numPr>
          <w:ilvl w:val="0"/>
          <w:numId w:val="322"/>
        </w:numPr>
        <w:tabs>
          <w:tab w:val="left" w:pos="567"/>
        </w:tabs>
        <w:ind w:left="1134" w:hanging="283"/>
        <w:rPr>
          <w:rFonts w:ascii="Arial Narrow" w:hAnsi="Arial Narrow" w:cs="Arial"/>
          <w:lang w:eastAsia="es-CO"/>
        </w:rPr>
      </w:pPr>
      <w:r w:rsidRPr="005F10B9">
        <w:rPr>
          <w:rFonts w:ascii="Arial Narrow" w:hAnsi="Arial Narrow" w:cs="Arial"/>
          <w:lang w:eastAsia="es-CO"/>
        </w:rPr>
        <w:t>Creación de sensibilidades Delta-Gamma</w:t>
      </w:r>
    </w:p>
    <w:p w14:paraId="7EE3097D" w14:textId="77777777" w:rsidR="007968EC" w:rsidRPr="005F10B9" w:rsidRDefault="007968EC" w:rsidP="007968EC">
      <w:pPr>
        <w:jc w:val="both"/>
        <w:rPr>
          <w:rFonts w:ascii="Arial Narrow" w:hAnsi="Arial Narrow"/>
        </w:rPr>
      </w:pPr>
    </w:p>
    <w:p w14:paraId="66F00328" w14:textId="77777777" w:rsidR="007968EC" w:rsidRDefault="007968EC" w:rsidP="007968EC">
      <w:pPr>
        <w:jc w:val="both"/>
        <w:rPr>
          <w:rFonts w:ascii="Arial Narrow" w:hAnsi="Arial Narrow"/>
        </w:rPr>
      </w:pPr>
      <w:r w:rsidRPr="00B92123">
        <w:rPr>
          <w:rFonts w:ascii="Arial Narrow" w:hAnsi="Arial Narrow"/>
        </w:rPr>
        <w:t>Para reducir el tiempo de cálculo computacional, se construye una tabla de sensibilidades</w:t>
      </w:r>
      <w:r>
        <w:rPr>
          <w:rFonts w:ascii="Arial Narrow" w:hAnsi="Arial Narrow"/>
        </w:rPr>
        <w:t xml:space="preserve"> Delta-Gamma a partir de las</w:t>
      </w:r>
      <w:r w:rsidRPr="00B92123">
        <w:rPr>
          <w:rFonts w:ascii="Arial Narrow" w:hAnsi="Arial Narrow"/>
        </w:rPr>
        <w:t xml:space="preserve"> </w:t>
      </w:r>
      <w:r>
        <w:rPr>
          <w:rFonts w:ascii="Arial Narrow" w:hAnsi="Arial Narrow"/>
        </w:rPr>
        <w:t>Curvas</w:t>
      </w:r>
      <w:r w:rsidRPr="00B92123">
        <w:rPr>
          <w:rFonts w:ascii="Arial Narrow" w:hAnsi="Arial Narrow"/>
        </w:rPr>
        <w:t xml:space="preserve"> </w:t>
      </w:r>
      <w:r>
        <w:rPr>
          <w:rFonts w:ascii="Arial Narrow" w:hAnsi="Arial Narrow"/>
        </w:rPr>
        <w:t>Cero Cupón</w:t>
      </w:r>
      <w:r w:rsidRPr="00B92123">
        <w:rPr>
          <w:rFonts w:ascii="Arial Narrow" w:hAnsi="Arial Narrow"/>
        </w:rPr>
        <w:t xml:space="preserve"> consideradas. Esta tabla</w:t>
      </w:r>
      <w:r>
        <w:rPr>
          <w:rFonts w:ascii="Arial Narrow" w:hAnsi="Arial Narrow"/>
        </w:rPr>
        <w:t xml:space="preserve"> </w:t>
      </w:r>
      <w:r w:rsidRPr="00B92123">
        <w:rPr>
          <w:rFonts w:ascii="Arial Narrow" w:hAnsi="Arial Narrow"/>
        </w:rPr>
        <w:t>recoge un valor de Delta y un</w:t>
      </w:r>
      <w:r>
        <w:rPr>
          <w:rFonts w:ascii="Arial Narrow" w:hAnsi="Arial Narrow"/>
        </w:rPr>
        <w:t xml:space="preserve"> valor</w:t>
      </w:r>
      <w:r w:rsidRPr="00B92123">
        <w:rPr>
          <w:rFonts w:ascii="Arial Narrow" w:hAnsi="Arial Narrow"/>
        </w:rPr>
        <w:t xml:space="preserve"> de Gamma en cada </w:t>
      </w:r>
      <w:r>
        <w:rPr>
          <w:rFonts w:ascii="Arial Narrow" w:hAnsi="Arial Narrow"/>
        </w:rPr>
        <w:t>Curva</w:t>
      </w:r>
      <w:r w:rsidRPr="00B92123">
        <w:rPr>
          <w:rFonts w:ascii="Arial Narrow" w:hAnsi="Arial Narrow"/>
        </w:rPr>
        <w:t xml:space="preserve"> y plazo, que se</w:t>
      </w:r>
      <w:r>
        <w:rPr>
          <w:rFonts w:ascii="Arial Narrow" w:hAnsi="Arial Narrow"/>
        </w:rPr>
        <w:t xml:space="preserve"> </w:t>
      </w:r>
      <w:r w:rsidRPr="00B92123">
        <w:rPr>
          <w:rFonts w:ascii="Arial Narrow" w:hAnsi="Arial Narrow"/>
        </w:rPr>
        <w:t>utilizará para calcular el VaR Histórico y el</w:t>
      </w:r>
      <w:r>
        <w:rPr>
          <w:rFonts w:ascii="Arial Narrow" w:hAnsi="Arial Narrow"/>
        </w:rPr>
        <w:t xml:space="preserve"> </w:t>
      </w:r>
      <w:r w:rsidRPr="00B92123">
        <w:rPr>
          <w:rFonts w:ascii="Arial Narrow" w:hAnsi="Arial Narrow"/>
        </w:rPr>
        <w:t>Máxim</w:t>
      </w:r>
      <w:r>
        <w:rPr>
          <w:rFonts w:ascii="Arial Narrow" w:hAnsi="Arial Narrow"/>
        </w:rPr>
        <w:t>a Pérdida Esperada a nivel de Cuenta</w:t>
      </w:r>
    </w:p>
    <w:p w14:paraId="20B61463" w14:textId="77777777" w:rsidR="007968EC" w:rsidRDefault="007968EC" w:rsidP="007968EC">
      <w:pPr>
        <w:jc w:val="both"/>
        <w:rPr>
          <w:rFonts w:ascii="Arial Narrow" w:hAnsi="Arial Narrow"/>
        </w:rPr>
      </w:pPr>
    </w:p>
    <w:p w14:paraId="0438E14D" w14:textId="77777777" w:rsidR="007968EC" w:rsidRDefault="007968EC" w:rsidP="007968EC">
      <w:pPr>
        <w:jc w:val="both"/>
        <w:rPr>
          <w:rFonts w:ascii="Arial Narrow" w:hAnsi="Arial Narrow"/>
        </w:rPr>
      </w:pPr>
    </w:p>
    <w:p w14:paraId="1527F774" w14:textId="77777777" w:rsidR="007968EC" w:rsidRPr="005F10B9" w:rsidRDefault="007968EC" w:rsidP="007968EC">
      <w:pPr>
        <w:jc w:val="both"/>
        <w:rPr>
          <w:rFonts w:ascii="Arial Narrow" w:hAnsi="Arial Narrow"/>
        </w:rPr>
      </w:pPr>
      <w:r w:rsidRPr="005F10B9">
        <w:rPr>
          <w:rFonts w:ascii="Arial Narrow" w:hAnsi="Arial Narrow"/>
        </w:rPr>
        <w:t>El Delta indica cómo cambia el NPV a nivel de cuenta ante pequeños cambios en las Tasas Cero Cupón. Representa el incremento del NPV a nivel de cuenta, al variar infinitesimalmente el valor de la Curva Cero Cupón para un plazo determinado. Se calcula como el promedio de las siguientes tres diferencias finitas:</w:t>
      </w:r>
    </w:p>
    <w:p w14:paraId="394CE49F" w14:textId="77777777" w:rsidR="007968EC" w:rsidRPr="005F10B9" w:rsidRDefault="007968EC" w:rsidP="007968EC">
      <w:pPr>
        <w:jc w:val="both"/>
        <w:rPr>
          <w:rFonts w:ascii="Arial Narrow" w:hAnsi="Arial Narrow"/>
        </w:rPr>
      </w:pPr>
    </w:p>
    <w:p w14:paraId="55EB8C8A" w14:textId="77777777" w:rsidR="007968EC" w:rsidRPr="005F10B9" w:rsidRDefault="007968EC" w:rsidP="007968EC">
      <w:pPr>
        <w:jc w:val="both"/>
        <w:rPr>
          <w:rFonts w:ascii="Arial Narrow" w:hAnsi="Arial Narrow"/>
        </w:rPr>
      </w:pPr>
    </w:p>
    <w:tbl>
      <w:tblPr>
        <w:tblStyle w:val="Tablaconcuadrcula20"/>
        <w:tblW w:w="0" w:type="auto"/>
        <w:jc w:val="center"/>
        <w:tblLook w:val="04A0" w:firstRow="1" w:lastRow="0" w:firstColumn="1" w:lastColumn="0" w:noHBand="0" w:noVBand="1"/>
      </w:tblPr>
      <w:tblGrid>
        <w:gridCol w:w="2208"/>
        <w:gridCol w:w="2323"/>
      </w:tblGrid>
      <w:tr w:rsidR="007968EC" w:rsidRPr="005F10B9" w14:paraId="6C7AD136" w14:textId="77777777" w:rsidTr="007968EC">
        <w:trPr>
          <w:jc w:val="center"/>
        </w:trPr>
        <w:tc>
          <w:tcPr>
            <w:tcW w:w="2208" w:type="dxa"/>
          </w:tcPr>
          <w:p w14:paraId="487B6FBC" w14:textId="77777777" w:rsidR="007968EC" w:rsidRPr="005F10B9" w:rsidRDefault="007968EC" w:rsidP="007968EC">
            <w:pPr>
              <w:rPr>
                <w:rFonts w:ascii="Arial Narrow" w:hAnsi="Arial Narrow"/>
              </w:rPr>
            </w:pPr>
            <w:r w:rsidRPr="005F10B9">
              <w:rPr>
                <w:rFonts w:ascii="Arial Narrow" w:hAnsi="Arial Narrow"/>
              </w:rPr>
              <w:t>Orden</w:t>
            </w:r>
          </w:p>
        </w:tc>
        <w:tc>
          <w:tcPr>
            <w:tcW w:w="2207" w:type="dxa"/>
          </w:tcPr>
          <w:p w14:paraId="427A64D3" w14:textId="77777777" w:rsidR="007968EC" w:rsidRPr="005F10B9" w:rsidRDefault="007968EC" w:rsidP="007968EC">
            <w:pPr>
              <w:rPr>
                <w:rFonts w:ascii="Arial Narrow" w:hAnsi="Arial Narrow"/>
              </w:rPr>
            </w:pPr>
            <w:r w:rsidRPr="005F10B9">
              <w:rPr>
                <w:rFonts w:ascii="Arial Narrow" w:hAnsi="Arial Narrow"/>
              </w:rPr>
              <w:t>Diferencia Finita</w:t>
            </w:r>
          </w:p>
        </w:tc>
      </w:tr>
      <w:tr w:rsidR="007968EC" w:rsidRPr="005F10B9" w14:paraId="27FA46B5" w14:textId="77777777" w:rsidTr="007968EC">
        <w:trPr>
          <w:jc w:val="center"/>
        </w:trPr>
        <w:tc>
          <w:tcPr>
            <w:tcW w:w="2208" w:type="dxa"/>
          </w:tcPr>
          <w:p w14:paraId="3EB8E74C" w14:textId="77777777" w:rsidR="007968EC" w:rsidRPr="005F10B9" w:rsidRDefault="007968EC" w:rsidP="007968EC">
            <w:pPr>
              <w:rPr>
                <w:rFonts w:ascii="Arial Narrow" w:hAnsi="Arial Narrow"/>
              </w:rPr>
            </w:pPr>
            <w:r w:rsidRPr="005F10B9">
              <w:rPr>
                <w:rFonts w:ascii="Arial Narrow" w:hAnsi="Arial Narrow"/>
              </w:rPr>
              <w:t>1</w:t>
            </w:r>
          </w:p>
        </w:tc>
        <w:tc>
          <w:tcPr>
            <w:tcW w:w="2207" w:type="dxa"/>
          </w:tcPr>
          <w:p w14:paraId="568E30FD" w14:textId="77777777" w:rsidR="007968EC" w:rsidRPr="005F10B9" w:rsidRDefault="00682D97" w:rsidP="007968EC">
            <w:pPr>
              <w:rPr>
                <w:rFonts w:ascii="Arial Narrow" w:hAnsi="Arial Narrow"/>
              </w:rPr>
            </w:pPr>
            <m:oMathPara>
              <m:oMath>
                <m:f>
                  <m:fPr>
                    <m:ctrlPr>
                      <w:rPr>
                        <w:rFonts w:ascii="Cambria Math" w:hAnsi="Cambria Math"/>
                      </w:rPr>
                    </m:ctrlPr>
                  </m:fPr>
                  <m:num>
                    <m:r>
                      <m:rPr>
                        <m:sty m:val="bi"/>
                      </m:rPr>
                      <w:rPr>
                        <w:rFonts w:ascii="Cambria Math" w:hAnsi="Cambria Math"/>
                      </w:rPr>
                      <m:t>f</m:t>
                    </m:r>
                    <m:d>
                      <m:dPr>
                        <m:ctrlPr>
                          <w:rPr>
                            <w:rFonts w:ascii="Cambria Math" w:hAnsi="Cambria Math"/>
                          </w:rPr>
                        </m:ctrlPr>
                      </m:dPr>
                      <m:e>
                        <m:r>
                          <m:rPr>
                            <m:sty m:val="bi"/>
                          </m:rPr>
                          <w:rPr>
                            <w:rFonts w:ascii="Cambria Math" w:hAnsi="Cambria Math"/>
                          </w:rPr>
                          <m:t>x</m:t>
                        </m:r>
                        <m:r>
                          <w:rPr>
                            <w:rFonts w:ascii="Cambria Math" w:hAnsi="Cambria Math"/>
                          </w:rPr>
                          <m:t>+</m:t>
                        </m:r>
                        <m:r>
                          <m:rPr>
                            <m:sty m:val="bi"/>
                          </m:rPr>
                          <w:rPr>
                            <w:rFonts w:ascii="Cambria Math" w:hAnsi="Cambria Math"/>
                          </w:rPr>
                          <m:t>h</m:t>
                        </m:r>
                      </m:e>
                    </m:d>
                    <m:r>
                      <w:rPr>
                        <w:rFonts w:ascii="Cambria Math" w:hAnsi="Cambria Math"/>
                      </w:rPr>
                      <m:t>-</m:t>
                    </m:r>
                    <m:r>
                      <m:rPr>
                        <m:sty m:val="bi"/>
                      </m:rPr>
                      <w:rPr>
                        <w:rFonts w:ascii="Cambria Math" w:hAnsi="Cambria Math"/>
                      </w:rPr>
                      <m:t>f</m:t>
                    </m:r>
                    <m:r>
                      <w:rPr>
                        <w:rFonts w:ascii="Cambria Math" w:hAnsi="Cambria Math"/>
                      </w:rPr>
                      <m:t>(</m:t>
                    </m:r>
                    <m:r>
                      <m:rPr>
                        <m:sty m:val="bi"/>
                      </m:rPr>
                      <w:rPr>
                        <w:rFonts w:ascii="Cambria Math" w:hAnsi="Cambria Math"/>
                      </w:rPr>
                      <m:t>x</m:t>
                    </m:r>
                    <m:r>
                      <w:rPr>
                        <w:rFonts w:ascii="Cambria Math" w:hAnsi="Cambria Math"/>
                      </w:rPr>
                      <m:t>)</m:t>
                    </m:r>
                  </m:num>
                  <m:den>
                    <m:r>
                      <m:rPr>
                        <m:sty m:val="bi"/>
                      </m:rPr>
                      <w:rPr>
                        <w:rFonts w:ascii="Cambria Math" w:hAnsi="Cambria Math"/>
                      </w:rPr>
                      <m:t>h</m:t>
                    </m:r>
                  </m:den>
                </m:f>
              </m:oMath>
            </m:oMathPara>
          </w:p>
        </w:tc>
      </w:tr>
      <w:tr w:rsidR="007968EC" w:rsidRPr="005F10B9" w14:paraId="002981A7" w14:textId="77777777" w:rsidTr="007968EC">
        <w:trPr>
          <w:jc w:val="center"/>
        </w:trPr>
        <w:tc>
          <w:tcPr>
            <w:tcW w:w="2208" w:type="dxa"/>
          </w:tcPr>
          <w:p w14:paraId="47775DB4" w14:textId="77777777" w:rsidR="007968EC" w:rsidRPr="005F10B9" w:rsidRDefault="007968EC" w:rsidP="007968EC">
            <w:pPr>
              <w:rPr>
                <w:rFonts w:ascii="Arial Narrow" w:hAnsi="Arial Narrow"/>
              </w:rPr>
            </w:pPr>
            <w:r w:rsidRPr="005F10B9">
              <w:rPr>
                <w:rFonts w:ascii="Arial Narrow" w:hAnsi="Arial Narrow"/>
              </w:rPr>
              <w:t>1</w:t>
            </w:r>
          </w:p>
        </w:tc>
        <w:tc>
          <w:tcPr>
            <w:tcW w:w="2207" w:type="dxa"/>
          </w:tcPr>
          <w:p w14:paraId="495294F6" w14:textId="77777777" w:rsidR="007968EC" w:rsidRPr="005F10B9" w:rsidRDefault="00682D97" w:rsidP="007968EC">
            <w:pPr>
              <w:rPr>
                <w:rFonts w:ascii="Arial Narrow" w:hAnsi="Arial Narrow"/>
              </w:rPr>
            </w:pPr>
            <m:oMathPara>
              <m:oMath>
                <m:f>
                  <m:fPr>
                    <m:ctrlPr>
                      <w:rPr>
                        <w:rFonts w:ascii="Cambria Math" w:hAnsi="Cambria Math"/>
                      </w:rPr>
                    </m:ctrlPr>
                  </m:fPr>
                  <m:num>
                    <m:r>
                      <m:rPr>
                        <m:sty m:val="bi"/>
                      </m:rPr>
                      <w:rPr>
                        <w:rFonts w:ascii="Cambria Math" w:hAnsi="Cambria Math"/>
                      </w:rPr>
                      <m:t>f</m:t>
                    </m:r>
                    <m:d>
                      <m:dPr>
                        <m:ctrlPr>
                          <w:rPr>
                            <w:rFonts w:ascii="Cambria Math" w:hAnsi="Cambria Math"/>
                          </w:rPr>
                        </m:ctrlPr>
                      </m:dPr>
                      <m:e>
                        <m:r>
                          <m:rPr>
                            <m:sty m:val="bi"/>
                          </m:rPr>
                          <w:rPr>
                            <w:rFonts w:ascii="Cambria Math" w:hAnsi="Cambria Math"/>
                          </w:rPr>
                          <m:t>x</m:t>
                        </m:r>
                      </m:e>
                    </m:d>
                    <m:r>
                      <w:rPr>
                        <w:rFonts w:ascii="Cambria Math" w:hAnsi="Cambria Math"/>
                      </w:rPr>
                      <m:t>-</m:t>
                    </m:r>
                    <m:r>
                      <m:rPr>
                        <m:sty m:val="bi"/>
                      </m:rPr>
                      <w:rPr>
                        <w:rFonts w:ascii="Cambria Math" w:hAnsi="Cambria Math"/>
                      </w:rPr>
                      <m:t>f</m:t>
                    </m:r>
                    <m:r>
                      <w:rPr>
                        <w:rFonts w:ascii="Cambria Math" w:hAnsi="Cambria Math"/>
                      </w:rPr>
                      <m:t>(</m:t>
                    </m:r>
                    <m:r>
                      <m:rPr>
                        <m:sty m:val="bi"/>
                      </m:rPr>
                      <w:rPr>
                        <w:rFonts w:ascii="Cambria Math" w:hAnsi="Cambria Math"/>
                      </w:rPr>
                      <m:t>x</m:t>
                    </m:r>
                    <m:r>
                      <w:rPr>
                        <w:rFonts w:ascii="Cambria Math" w:hAnsi="Cambria Math"/>
                      </w:rPr>
                      <m:t>-</m:t>
                    </m:r>
                    <m:r>
                      <m:rPr>
                        <m:sty m:val="bi"/>
                      </m:rPr>
                      <w:rPr>
                        <w:rFonts w:ascii="Cambria Math" w:hAnsi="Cambria Math"/>
                      </w:rPr>
                      <m:t>h</m:t>
                    </m:r>
                    <m:r>
                      <w:rPr>
                        <w:rFonts w:ascii="Cambria Math" w:hAnsi="Cambria Math"/>
                      </w:rPr>
                      <m:t>)</m:t>
                    </m:r>
                  </m:num>
                  <m:den>
                    <m:r>
                      <m:rPr>
                        <m:sty m:val="bi"/>
                      </m:rPr>
                      <w:rPr>
                        <w:rFonts w:ascii="Cambria Math" w:hAnsi="Cambria Math"/>
                      </w:rPr>
                      <m:t>h</m:t>
                    </m:r>
                  </m:den>
                </m:f>
              </m:oMath>
            </m:oMathPara>
          </w:p>
        </w:tc>
      </w:tr>
      <w:tr w:rsidR="007968EC" w:rsidRPr="005F10B9" w14:paraId="63900B75" w14:textId="77777777" w:rsidTr="007968EC">
        <w:trPr>
          <w:jc w:val="center"/>
        </w:trPr>
        <w:tc>
          <w:tcPr>
            <w:tcW w:w="2208" w:type="dxa"/>
          </w:tcPr>
          <w:p w14:paraId="535FA6CE" w14:textId="77777777" w:rsidR="007968EC" w:rsidRPr="005F10B9" w:rsidRDefault="007968EC" w:rsidP="007968EC">
            <w:pPr>
              <w:rPr>
                <w:rFonts w:ascii="Arial Narrow" w:hAnsi="Arial Narrow"/>
              </w:rPr>
            </w:pPr>
            <w:r w:rsidRPr="005F10B9">
              <w:rPr>
                <w:rFonts w:ascii="Arial Narrow" w:hAnsi="Arial Narrow"/>
              </w:rPr>
              <w:t>2</w:t>
            </w:r>
          </w:p>
        </w:tc>
        <w:tc>
          <w:tcPr>
            <w:tcW w:w="2207" w:type="dxa"/>
          </w:tcPr>
          <w:p w14:paraId="178EFD17" w14:textId="77777777" w:rsidR="007968EC" w:rsidRPr="005F10B9" w:rsidRDefault="00682D97" w:rsidP="007968EC">
            <w:pPr>
              <w:rPr>
                <w:rFonts w:ascii="Arial Narrow" w:hAnsi="Arial Narrow"/>
              </w:rPr>
            </w:pPr>
            <m:oMathPara>
              <m:oMath>
                <m:f>
                  <m:fPr>
                    <m:ctrlPr>
                      <w:rPr>
                        <w:rFonts w:ascii="Cambria Math" w:hAnsi="Cambria Math"/>
                      </w:rPr>
                    </m:ctrlPr>
                  </m:fPr>
                  <m:num>
                    <m:r>
                      <m:rPr>
                        <m:sty m:val="bi"/>
                      </m:rPr>
                      <w:rPr>
                        <w:rFonts w:ascii="Cambria Math" w:hAnsi="Cambria Math"/>
                      </w:rPr>
                      <m:t>f</m:t>
                    </m:r>
                    <m:d>
                      <m:dPr>
                        <m:ctrlPr>
                          <w:rPr>
                            <w:rFonts w:ascii="Cambria Math" w:hAnsi="Cambria Math"/>
                          </w:rPr>
                        </m:ctrlPr>
                      </m:dPr>
                      <m:e>
                        <m:r>
                          <m:rPr>
                            <m:sty m:val="bi"/>
                          </m:rPr>
                          <w:rPr>
                            <w:rFonts w:ascii="Cambria Math" w:hAnsi="Cambria Math"/>
                          </w:rPr>
                          <m:t>x</m:t>
                        </m:r>
                        <m:r>
                          <w:rPr>
                            <w:rFonts w:ascii="Cambria Math" w:hAnsi="Cambria Math"/>
                          </w:rPr>
                          <m:t>+</m:t>
                        </m:r>
                        <m:r>
                          <m:rPr>
                            <m:sty m:val="bi"/>
                          </m:rPr>
                          <w:rPr>
                            <w:rFonts w:ascii="Cambria Math" w:hAnsi="Cambria Math"/>
                          </w:rPr>
                          <m:t>h</m:t>
                        </m:r>
                      </m:e>
                    </m:d>
                    <m:r>
                      <w:rPr>
                        <w:rFonts w:ascii="Cambria Math" w:hAnsi="Cambria Math"/>
                      </w:rPr>
                      <m:t>-</m:t>
                    </m:r>
                    <m:r>
                      <m:rPr>
                        <m:sty m:val="bi"/>
                      </m:rPr>
                      <w:rPr>
                        <w:rFonts w:ascii="Cambria Math" w:hAnsi="Cambria Math"/>
                      </w:rPr>
                      <m:t>f</m:t>
                    </m:r>
                    <m:r>
                      <w:rPr>
                        <w:rFonts w:ascii="Cambria Math" w:hAnsi="Cambria Math"/>
                      </w:rPr>
                      <m:t>(</m:t>
                    </m:r>
                    <m:r>
                      <m:rPr>
                        <m:sty m:val="bi"/>
                      </m:rPr>
                      <w:rPr>
                        <w:rFonts w:ascii="Cambria Math" w:hAnsi="Cambria Math"/>
                      </w:rPr>
                      <m:t>x</m:t>
                    </m:r>
                    <m:r>
                      <w:rPr>
                        <w:rFonts w:ascii="Cambria Math" w:hAnsi="Cambria Math"/>
                      </w:rPr>
                      <m:t>-</m:t>
                    </m:r>
                    <m:r>
                      <m:rPr>
                        <m:sty m:val="bi"/>
                      </m:rPr>
                      <w:rPr>
                        <w:rFonts w:ascii="Cambria Math" w:hAnsi="Cambria Math"/>
                      </w:rPr>
                      <m:t>h</m:t>
                    </m:r>
                    <m:r>
                      <w:rPr>
                        <w:rFonts w:ascii="Cambria Math" w:hAnsi="Cambria Math"/>
                      </w:rPr>
                      <m:t>)</m:t>
                    </m:r>
                  </m:num>
                  <m:den>
                    <m:r>
                      <m:rPr>
                        <m:sty m:val="bi"/>
                      </m:rPr>
                      <w:rPr>
                        <w:rFonts w:ascii="Cambria Math" w:hAnsi="Cambria Math"/>
                      </w:rPr>
                      <m:t>2</m:t>
                    </m:r>
                    <m:r>
                      <m:rPr>
                        <m:sty m:val="bi"/>
                      </m:rPr>
                      <w:rPr>
                        <w:rFonts w:ascii="Cambria Math" w:hAnsi="Cambria Math"/>
                      </w:rPr>
                      <m:t>h</m:t>
                    </m:r>
                  </m:den>
                </m:f>
              </m:oMath>
            </m:oMathPara>
          </w:p>
        </w:tc>
      </w:tr>
    </w:tbl>
    <w:p w14:paraId="281478DF" w14:textId="77777777" w:rsidR="007968EC" w:rsidRPr="005F10B9" w:rsidRDefault="007968EC" w:rsidP="007968EC">
      <w:pPr>
        <w:rPr>
          <w:rFonts w:ascii="Arial Narrow" w:hAnsi="Arial Narrow"/>
        </w:rPr>
      </w:pPr>
      <w:r w:rsidRPr="005F10B9">
        <w:rPr>
          <w:rFonts w:ascii="Arial Narrow" w:hAnsi="Arial Narrow"/>
        </w:rPr>
        <w:t>Donde:</w:t>
      </w:r>
    </w:p>
    <w:p w14:paraId="346DD609" w14:textId="77777777" w:rsidR="007968EC" w:rsidRPr="005F10B9" w:rsidRDefault="007968EC" w:rsidP="007968EC">
      <w:pPr>
        <w:rPr>
          <w:rFonts w:ascii="Arial Narrow" w:hAnsi="Arial Narrow"/>
        </w:rPr>
      </w:pPr>
    </w:p>
    <w:p w14:paraId="74B8D4A2" w14:textId="77777777" w:rsidR="007968EC" w:rsidRPr="005F10B9" w:rsidRDefault="007968EC" w:rsidP="007968EC">
      <w:pPr>
        <w:rPr>
          <w:rFonts w:ascii="Arial Narrow" w:hAnsi="Arial Narrow"/>
        </w:rPr>
      </w:pPr>
      <w:r w:rsidRPr="005F10B9">
        <w:rPr>
          <w:rFonts w:ascii="Arial Narrow" w:hAnsi="Arial Narrow"/>
        </w:rPr>
        <w:t>f(x) representa la fórmula analítica exacta, obtenida a partir de las fórmulas de valoración de cada tipo de producto. El valor de h es 1 Pb.</w:t>
      </w:r>
    </w:p>
    <w:p w14:paraId="71C241FC" w14:textId="77777777" w:rsidR="007968EC" w:rsidRPr="005F10B9" w:rsidRDefault="007968EC" w:rsidP="007968EC">
      <w:pPr>
        <w:rPr>
          <w:rFonts w:ascii="Arial Narrow" w:hAnsi="Arial Narrow"/>
        </w:rPr>
      </w:pPr>
    </w:p>
    <w:p w14:paraId="446A598E" w14:textId="77777777" w:rsidR="007968EC" w:rsidRDefault="007968EC" w:rsidP="007968EC">
      <w:pPr>
        <w:jc w:val="both"/>
        <w:rPr>
          <w:rFonts w:ascii="Arial Narrow" w:hAnsi="Arial Narrow"/>
        </w:rPr>
      </w:pPr>
      <w:r w:rsidRPr="005F10B9">
        <w:rPr>
          <w:rFonts w:ascii="Arial Narrow" w:hAnsi="Arial Narrow"/>
        </w:rPr>
        <w:t>El Gamma ofrece información sobre cómo cambia el Delta ante pequeños cambios de la Tasa Cero Cupón, siendo la segunda derivada del cambio del NPV con respecto al cambio infinitesimal en las Tasas de la Curva Cero Cupón. Representa la no-linealidad de la variación del NPV respecto a la variación de dicha curva. Se calcula como el promedio de las siguientes tres diferencias finitas:</w:t>
      </w:r>
    </w:p>
    <w:p w14:paraId="3EFA83EA" w14:textId="77777777" w:rsidR="007968EC" w:rsidRDefault="007968EC" w:rsidP="007968EC">
      <w:pPr>
        <w:rPr>
          <w:rFonts w:ascii="Arial Narrow" w:hAnsi="Arial Narrow"/>
        </w:rPr>
      </w:pPr>
    </w:p>
    <w:p w14:paraId="2BA36DFE" w14:textId="77777777" w:rsidR="007968EC" w:rsidRDefault="007968EC" w:rsidP="007968EC">
      <w:pPr>
        <w:rPr>
          <w:rFonts w:ascii="Arial Narrow" w:hAnsi="Arial Narrow"/>
        </w:rPr>
      </w:pPr>
    </w:p>
    <w:p w14:paraId="37BF75C7" w14:textId="77777777" w:rsidR="007968EC" w:rsidRPr="005F10B9" w:rsidRDefault="007968EC" w:rsidP="007968EC">
      <w:pPr>
        <w:rPr>
          <w:rFonts w:ascii="Arial Narrow" w:hAnsi="Arial Narrow"/>
        </w:rPr>
      </w:pPr>
    </w:p>
    <w:tbl>
      <w:tblPr>
        <w:tblStyle w:val="Tablaconcuadrcula20"/>
        <w:tblW w:w="7070" w:type="dxa"/>
        <w:jc w:val="center"/>
        <w:tblLook w:val="04A0" w:firstRow="1" w:lastRow="0" w:firstColumn="1" w:lastColumn="0" w:noHBand="0" w:noVBand="1"/>
      </w:tblPr>
      <w:tblGrid>
        <w:gridCol w:w="764"/>
        <w:gridCol w:w="6803"/>
      </w:tblGrid>
      <w:tr w:rsidR="007968EC" w:rsidRPr="005F10B9" w14:paraId="2D30AF13" w14:textId="77777777" w:rsidTr="007968EC">
        <w:trPr>
          <w:jc w:val="center"/>
        </w:trPr>
        <w:tc>
          <w:tcPr>
            <w:tcW w:w="824" w:type="dxa"/>
          </w:tcPr>
          <w:p w14:paraId="4716183A" w14:textId="77777777" w:rsidR="007968EC" w:rsidRPr="005F10B9" w:rsidRDefault="007968EC" w:rsidP="007968EC">
            <w:pPr>
              <w:jc w:val="center"/>
              <w:rPr>
                <w:rFonts w:ascii="Arial Narrow" w:hAnsi="Arial Narrow"/>
              </w:rPr>
            </w:pPr>
            <w:r w:rsidRPr="005F10B9">
              <w:rPr>
                <w:rFonts w:ascii="Arial Narrow" w:hAnsi="Arial Narrow"/>
              </w:rPr>
              <w:t>Orden</w:t>
            </w:r>
          </w:p>
        </w:tc>
        <w:tc>
          <w:tcPr>
            <w:tcW w:w="6246" w:type="dxa"/>
          </w:tcPr>
          <w:p w14:paraId="35AC471B" w14:textId="77777777" w:rsidR="007968EC" w:rsidRPr="005F10B9" w:rsidRDefault="007968EC" w:rsidP="007968EC">
            <w:pPr>
              <w:jc w:val="center"/>
              <w:rPr>
                <w:rFonts w:ascii="Arial Narrow" w:hAnsi="Arial Narrow"/>
              </w:rPr>
            </w:pPr>
            <w:r w:rsidRPr="005F10B9">
              <w:rPr>
                <w:rFonts w:ascii="Arial Narrow" w:hAnsi="Arial Narrow"/>
              </w:rPr>
              <w:t>Diferencia Finita</w:t>
            </w:r>
          </w:p>
        </w:tc>
      </w:tr>
      <w:tr w:rsidR="007968EC" w:rsidRPr="005F10B9" w14:paraId="5DB1CA95" w14:textId="77777777" w:rsidTr="007968EC">
        <w:trPr>
          <w:jc w:val="center"/>
        </w:trPr>
        <w:tc>
          <w:tcPr>
            <w:tcW w:w="824" w:type="dxa"/>
          </w:tcPr>
          <w:p w14:paraId="3FB944B1" w14:textId="77777777" w:rsidR="007968EC" w:rsidRPr="005F10B9" w:rsidRDefault="007968EC" w:rsidP="007968EC">
            <w:pPr>
              <w:rPr>
                <w:rFonts w:ascii="Arial Narrow" w:hAnsi="Arial Narrow"/>
              </w:rPr>
            </w:pPr>
            <w:r w:rsidRPr="005F10B9">
              <w:rPr>
                <w:rFonts w:ascii="Arial Narrow" w:hAnsi="Arial Narrow"/>
              </w:rPr>
              <w:t>2</w:t>
            </w:r>
          </w:p>
        </w:tc>
        <w:tc>
          <w:tcPr>
            <w:tcW w:w="6246" w:type="dxa"/>
          </w:tcPr>
          <w:p w14:paraId="418D1D82" w14:textId="77777777" w:rsidR="007968EC" w:rsidRPr="005F10B9" w:rsidRDefault="00682D97" w:rsidP="007968EC">
            <w:pPr>
              <w:rPr>
                <w:rFonts w:ascii="Arial Narrow" w:hAnsi="Arial Narrow"/>
              </w:rPr>
            </w:pPr>
            <m:oMathPara>
              <m:oMath>
                <m:f>
                  <m:fPr>
                    <m:ctrlPr>
                      <w:rPr>
                        <w:rFonts w:ascii="Cambria Math" w:hAnsi="Cambria Math"/>
                      </w:rPr>
                    </m:ctrlPr>
                  </m:fPr>
                  <m:num>
                    <m:r>
                      <m:rPr>
                        <m:sty m:val="bi"/>
                      </m:rPr>
                      <w:rPr>
                        <w:rFonts w:ascii="Cambria Math" w:hAnsi="Cambria Math"/>
                      </w:rPr>
                      <m:t>f</m:t>
                    </m:r>
                    <m:d>
                      <m:dPr>
                        <m:ctrlPr>
                          <w:rPr>
                            <w:rFonts w:ascii="Cambria Math" w:hAnsi="Cambria Math"/>
                          </w:rPr>
                        </m:ctrlPr>
                      </m:dPr>
                      <m:e>
                        <m:r>
                          <m:rPr>
                            <m:sty m:val="bi"/>
                          </m:rPr>
                          <w:rPr>
                            <w:rFonts w:ascii="Cambria Math" w:hAnsi="Cambria Math"/>
                          </w:rPr>
                          <m:t>x</m:t>
                        </m:r>
                        <m:r>
                          <w:rPr>
                            <w:rFonts w:ascii="Cambria Math" w:hAnsi="Cambria Math"/>
                          </w:rPr>
                          <m:t>-</m:t>
                        </m:r>
                        <m:r>
                          <m:rPr>
                            <m:sty m:val="bi"/>
                          </m:rPr>
                          <w:rPr>
                            <w:rFonts w:ascii="Cambria Math" w:hAnsi="Cambria Math"/>
                          </w:rPr>
                          <m:t>h</m:t>
                        </m:r>
                      </m:e>
                    </m:d>
                    <m:r>
                      <w:rPr>
                        <w:rFonts w:ascii="Cambria Math" w:hAnsi="Cambria Math"/>
                      </w:rPr>
                      <m:t>-</m:t>
                    </m:r>
                    <m:r>
                      <m:rPr>
                        <m:sty m:val="bi"/>
                      </m:rPr>
                      <w:rPr>
                        <w:rFonts w:ascii="Cambria Math" w:hAnsi="Cambria Math"/>
                      </w:rPr>
                      <m:t>2</m:t>
                    </m:r>
                    <m:r>
                      <m:rPr>
                        <m:sty m:val="bi"/>
                      </m:rPr>
                      <w:rPr>
                        <w:rFonts w:ascii="Cambria Math" w:hAnsi="Cambria Math"/>
                      </w:rPr>
                      <m:t>f</m:t>
                    </m:r>
                    <m:d>
                      <m:dPr>
                        <m:ctrlPr>
                          <w:rPr>
                            <w:rFonts w:ascii="Cambria Math" w:hAnsi="Cambria Math"/>
                          </w:rPr>
                        </m:ctrlPr>
                      </m:dPr>
                      <m:e>
                        <m:r>
                          <m:rPr>
                            <m:sty m:val="bi"/>
                          </m:rPr>
                          <w:rPr>
                            <w:rFonts w:ascii="Cambria Math" w:hAnsi="Cambria Math"/>
                          </w:rPr>
                          <m:t>x</m:t>
                        </m:r>
                      </m:e>
                    </m:d>
                    <m:r>
                      <w:rPr>
                        <w:rFonts w:ascii="Cambria Math" w:hAnsi="Cambria Math"/>
                      </w:rPr>
                      <m:t>+</m:t>
                    </m:r>
                    <m:r>
                      <m:rPr>
                        <m:sty m:val="bi"/>
                      </m:rPr>
                      <w:rPr>
                        <w:rFonts w:ascii="Cambria Math" w:hAnsi="Cambria Math"/>
                      </w:rPr>
                      <m:t>f</m:t>
                    </m:r>
                    <m:r>
                      <w:rPr>
                        <w:rFonts w:ascii="Cambria Math" w:hAnsi="Cambria Math"/>
                      </w:rPr>
                      <m:t>(</m:t>
                    </m:r>
                    <m:r>
                      <m:rPr>
                        <m:sty m:val="bi"/>
                      </m:rPr>
                      <w:rPr>
                        <w:rFonts w:ascii="Cambria Math" w:hAnsi="Cambria Math"/>
                      </w:rPr>
                      <m:t>x</m:t>
                    </m:r>
                    <m:r>
                      <w:rPr>
                        <w:rFonts w:ascii="Cambria Math" w:hAnsi="Cambria Math"/>
                      </w:rPr>
                      <m:t>+</m:t>
                    </m:r>
                    <m:r>
                      <m:rPr>
                        <m:sty m:val="bi"/>
                      </m:rPr>
                      <w:rPr>
                        <w:rFonts w:ascii="Cambria Math" w:hAnsi="Cambria Math"/>
                      </w:rPr>
                      <m:t>h</m:t>
                    </m:r>
                    <m:r>
                      <w:rPr>
                        <w:rFonts w:ascii="Cambria Math" w:hAnsi="Cambria Math"/>
                      </w:rPr>
                      <m:t>)</m:t>
                    </m:r>
                  </m:num>
                  <m:den>
                    <m:sSup>
                      <m:sSupPr>
                        <m:ctrlPr>
                          <w:rPr>
                            <w:rFonts w:ascii="Cambria Math" w:hAnsi="Cambria Math"/>
                          </w:rPr>
                        </m:ctrlPr>
                      </m:sSupPr>
                      <m:e>
                        <m:r>
                          <m:rPr>
                            <m:sty m:val="bi"/>
                          </m:rPr>
                          <w:rPr>
                            <w:rFonts w:ascii="Cambria Math" w:hAnsi="Cambria Math"/>
                          </w:rPr>
                          <m:t>h</m:t>
                        </m:r>
                      </m:e>
                      <m:sup>
                        <m:r>
                          <m:rPr>
                            <m:sty m:val="bi"/>
                          </m:rPr>
                          <w:rPr>
                            <w:rFonts w:ascii="Cambria Math" w:hAnsi="Cambria Math"/>
                          </w:rPr>
                          <m:t>2</m:t>
                        </m:r>
                      </m:sup>
                    </m:sSup>
                  </m:den>
                </m:f>
              </m:oMath>
            </m:oMathPara>
          </w:p>
        </w:tc>
      </w:tr>
      <w:tr w:rsidR="007968EC" w:rsidRPr="005F10B9" w14:paraId="1AA56537" w14:textId="77777777" w:rsidTr="007968EC">
        <w:trPr>
          <w:jc w:val="center"/>
        </w:trPr>
        <w:tc>
          <w:tcPr>
            <w:tcW w:w="824" w:type="dxa"/>
          </w:tcPr>
          <w:p w14:paraId="08B5A57A" w14:textId="77777777" w:rsidR="007968EC" w:rsidRPr="005F10B9" w:rsidRDefault="007968EC" w:rsidP="007968EC">
            <w:pPr>
              <w:rPr>
                <w:rFonts w:ascii="Arial Narrow" w:hAnsi="Arial Narrow"/>
              </w:rPr>
            </w:pPr>
            <w:r w:rsidRPr="005F10B9">
              <w:rPr>
                <w:rFonts w:ascii="Arial Narrow" w:hAnsi="Arial Narrow"/>
              </w:rPr>
              <w:t>2</w:t>
            </w:r>
          </w:p>
        </w:tc>
        <w:tc>
          <w:tcPr>
            <w:tcW w:w="6246" w:type="dxa"/>
          </w:tcPr>
          <w:p w14:paraId="3B99E9A6" w14:textId="77777777" w:rsidR="007968EC" w:rsidRPr="005F10B9" w:rsidRDefault="00682D97" w:rsidP="007968EC">
            <w:pPr>
              <w:rPr>
                <w:rFonts w:ascii="Arial Narrow" w:hAnsi="Arial Narrow"/>
              </w:rPr>
            </w:pPr>
            <m:oMathPara>
              <m:oMath>
                <m:f>
                  <m:fPr>
                    <m:ctrlPr>
                      <w:rPr>
                        <w:rFonts w:ascii="Cambria Math" w:hAnsi="Cambria Math"/>
                      </w:rPr>
                    </m:ctrlPr>
                  </m:fPr>
                  <m:num>
                    <m:r>
                      <m:rPr>
                        <m:sty m:val="bi"/>
                      </m:rPr>
                      <w:rPr>
                        <w:rFonts w:ascii="Cambria Math" w:hAnsi="Cambria Math"/>
                      </w:rPr>
                      <m:t>2</m:t>
                    </m:r>
                    <m:r>
                      <m:rPr>
                        <m:sty m:val="bi"/>
                      </m:rPr>
                      <w:rPr>
                        <w:rFonts w:ascii="Cambria Math" w:hAnsi="Cambria Math"/>
                      </w:rPr>
                      <m:t>f</m:t>
                    </m:r>
                    <m:d>
                      <m:dPr>
                        <m:ctrlPr>
                          <w:rPr>
                            <w:rFonts w:ascii="Cambria Math" w:hAnsi="Cambria Math"/>
                          </w:rPr>
                        </m:ctrlPr>
                      </m:dPr>
                      <m:e>
                        <m:r>
                          <m:rPr>
                            <m:sty m:val="bi"/>
                          </m:rPr>
                          <w:rPr>
                            <w:rFonts w:ascii="Cambria Math" w:hAnsi="Cambria Math"/>
                          </w:rPr>
                          <m:t>x</m:t>
                        </m:r>
                        <m:r>
                          <w:rPr>
                            <w:rFonts w:ascii="Cambria Math" w:hAnsi="Cambria Math"/>
                          </w:rPr>
                          <m:t>-</m:t>
                        </m:r>
                        <m:r>
                          <m:rPr>
                            <m:sty m:val="bi"/>
                          </m:rPr>
                          <w:rPr>
                            <w:rFonts w:ascii="Cambria Math" w:hAnsi="Cambria Math"/>
                          </w:rPr>
                          <m:t>2</m:t>
                        </m:r>
                        <m:r>
                          <m:rPr>
                            <m:sty m:val="bi"/>
                          </m:rPr>
                          <w:rPr>
                            <w:rFonts w:ascii="Cambria Math" w:hAnsi="Cambria Math"/>
                          </w:rPr>
                          <m:t>h</m:t>
                        </m:r>
                      </m:e>
                    </m:d>
                    <m:r>
                      <w:rPr>
                        <w:rFonts w:ascii="Cambria Math" w:hAnsi="Cambria Math"/>
                      </w:rPr>
                      <m:t>-</m:t>
                    </m:r>
                    <m:r>
                      <m:rPr>
                        <m:sty m:val="bi"/>
                      </m:rPr>
                      <w:rPr>
                        <w:rFonts w:ascii="Cambria Math" w:hAnsi="Cambria Math"/>
                      </w:rPr>
                      <m:t>f</m:t>
                    </m:r>
                    <m:d>
                      <m:dPr>
                        <m:ctrlPr>
                          <w:rPr>
                            <w:rFonts w:ascii="Cambria Math" w:hAnsi="Cambria Math"/>
                          </w:rPr>
                        </m:ctrlPr>
                      </m:dPr>
                      <m:e>
                        <m:r>
                          <m:rPr>
                            <m:sty m:val="bi"/>
                          </m:rPr>
                          <w:rPr>
                            <w:rFonts w:ascii="Cambria Math" w:hAnsi="Cambria Math"/>
                          </w:rPr>
                          <m:t>x</m:t>
                        </m:r>
                        <m:r>
                          <w:rPr>
                            <w:rFonts w:ascii="Cambria Math" w:hAnsi="Cambria Math"/>
                          </w:rPr>
                          <m:t>-</m:t>
                        </m:r>
                        <m:r>
                          <m:rPr>
                            <m:sty m:val="bi"/>
                          </m:rPr>
                          <w:rPr>
                            <w:rFonts w:ascii="Cambria Math" w:hAnsi="Cambria Math"/>
                          </w:rPr>
                          <m:t>h</m:t>
                        </m:r>
                      </m:e>
                    </m:d>
                    <m:r>
                      <w:rPr>
                        <w:rFonts w:ascii="Cambria Math" w:hAnsi="Cambria Math"/>
                      </w:rPr>
                      <m:t>-</m:t>
                    </m:r>
                    <m:r>
                      <m:rPr>
                        <m:sty m:val="bi"/>
                      </m:rPr>
                      <w:rPr>
                        <w:rFonts w:ascii="Cambria Math" w:hAnsi="Cambria Math"/>
                      </w:rPr>
                      <m:t>2</m:t>
                    </m:r>
                    <m:r>
                      <m:rPr>
                        <m:sty m:val="bi"/>
                      </m:rPr>
                      <w:rPr>
                        <w:rFonts w:ascii="Cambria Math" w:hAnsi="Cambria Math"/>
                      </w:rPr>
                      <m:t>f</m:t>
                    </m:r>
                    <m:d>
                      <m:dPr>
                        <m:ctrlPr>
                          <w:rPr>
                            <w:rFonts w:ascii="Cambria Math" w:hAnsi="Cambria Math"/>
                          </w:rPr>
                        </m:ctrlPr>
                      </m:dPr>
                      <m:e>
                        <m:r>
                          <m:rPr>
                            <m:sty m:val="bi"/>
                          </m:rPr>
                          <w:rPr>
                            <w:rFonts w:ascii="Cambria Math" w:hAnsi="Cambria Math"/>
                          </w:rPr>
                          <m:t>x</m:t>
                        </m:r>
                      </m:e>
                    </m:d>
                    <m:r>
                      <w:rPr>
                        <w:rFonts w:ascii="Cambria Math" w:hAnsi="Cambria Math"/>
                      </w:rPr>
                      <m:t>-</m:t>
                    </m:r>
                    <m:r>
                      <m:rPr>
                        <m:sty m:val="bi"/>
                      </m:rPr>
                      <w:rPr>
                        <w:rFonts w:ascii="Cambria Math" w:hAnsi="Cambria Math"/>
                      </w:rPr>
                      <m:t>f</m:t>
                    </m:r>
                    <m:d>
                      <m:dPr>
                        <m:ctrlPr>
                          <w:rPr>
                            <w:rFonts w:ascii="Cambria Math" w:hAnsi="Cambria Math"/>
                          </w:rPr>
                        </m:ctrlPr>
                      </m:dPr>
                      <m:e>
                        <m:r>
                          <m:rPr>
                            <m:sty m:val="bi"/>
                          </m:rPr>
                          <w:rPr>
                            <w:rFonts w:ascii="Cambria Math" w:hAnsi="Cambria Math"/>
                          </w:rPr>
                          <m:t>x</m:t>
                        </m:r>
                        <m:r>
                          <w:rPr>
                            <w:rFonts w:ascii="Cambria Math" w:hAnsi="Cambria Math"/>
                          </w:rPr>
                          <m:t>+</m:t>
                        </m:r>
                        <m:r>
                          <m:rPr>
                            <m:sty m:val="bi"/>
                          </m:rPr>
                          <w:rPr>
                            <w:rFonts w:ascii="Cambria Math" w:hAnsi="Cambria Math"/>
                          </w:rPr>
                          <m:t>h</m:t>
                        </m:r>
                      </m:e>
                    </m:d>
                    <m:r>
                      <w:rPr>
                        <w:rFonts w:ascii="Cambria Math" w:hAnsi="Cambria Math"/>
                      </w:rPr>
                      <m:t>+</m:t>
                    </m:r>
                    <m:r>
                      <m:rPr>
                        <m:sty m:val="bi"/>
                      </m:rPr>
                      <w:rPr>
                        <w:rFonts w:ascii="Cambria Math" w:hAnsi="Cambria Math"/>
                      </w:rPr>
                      <m:t>2</m:t>
                    </m:r>
                    <m:r>
                      <m:rPr>
                        <m:sty m:val="bi"/>
                      </m:rPr>
                      <w:rPr>
                        <w:rFonts w:ascii="Cambria Math" w:hAnsi="Cambria Math"/>
                      </w:rPr>
                      <m:t>f</m:t>
                    </m:r>
                    <m:r>
                      <w:rPr>
                        <w:rFonts w:ascii="Cambria Math" w:hAnsi="Cambria Math"/>
                      </w:rPr>
                      <m:t>(</m:t>
                    </m:r>
                    <m:r>
                      <m:rPr>
                        <m:sty m:val="bi"/>
                      </m:rPr>
                      <w:rPr>
                        <w:rFonts w:ascii="Cambria Math" w:hAnsi="Cambria Math"/>
                      </w:rPr>
                      <m:t>x</m:t>
                    </m:r>
                    <m:r>
                      <w:rPr>
                        <w:rFonts w:ascii="Cambria Math" w:hAnsi="Cambria Math"/>
                      </w:rPr>
                      <m:t>+</m:t>
                    </m:r>
                    <m:r>
                      <m:rPr>
                        <m:sty m:val="bi"/>
                      </m:rPr>
                      <w:rPr>
                        <w:rFonts w:ascii="Cambria Math" w:hAnsi="Cambria Math"/>
                      </w:rPr>
                      <m:t>2</m:t>
                    </m:r>
                    <m:r>
                      <m:rPr>
                        <m:sty m:val="bi"/>
                      </m:rPr>
                      <w:rPr>
                        <w:rFonts w:ascii="Cambria Math" w:hAnsi="Cambria Math"/>
                      </w:rPr>
                      <m:t>h</m:t>
                    </m:r>
                    <m:r>
                      <w:rPr>
                        <w:rFonts w:ascii="Cambria Math" w:hAnsi="Cambria Math"/>
                      </w:rPr>
                      <m:t>)</m:t>
                    </m:r>
                  </m:num>
                  <m:den>
                    <m:sSup>
                      <m:sSupPr>
                        <m:ctrlPr>
                          <w:rPr>
                            <w:rFonts w:ascii="Cambria Math" w:hAnsi="Cambria Math"/>
                          </w:rPr>
                        </m:ctrlPr>
                      </m:sSupPr>
                      <m:e>
                        <m:r>
                          <m:rPr>
                            <m:sty m:val="bi"/>
                          </m:rPr>
                          <w:rPr>
                            <w:rFonts w:ascii="Cambria Math" w:hAnsi="Cambria Math"/>
                          </w:rPr>
                          <m:t>14</m:t>
                        </m:r>
                        <m:r>
                          <m:rPr>
                            <m:sty m:val="bi"/>
                          </m:rPr>
                          <w:rPr>
                            <w:rFonts w:ascii="Cambria Math" w:hAnsi="Cambria Math"/>
                          </w:rPr>
                          <m:t>h</m:t>
                        </m:r>
                      </m:e>
                      <m:sup>
                        <m:r>
                          <m:rPr>
                            <m:sty m:val="bi"/>
                          </m:rPr>
                          <w:rPr>
                            <w:rFonts w:ascii="Cambria Math" w:hAnsi="Cambria Math"/>
                          </w:rPr>
                          <m:t>2</m:t>
                        </m:r>
                      </m:sup>
                    </m:sSup>
                  </m:den>
                </m:f>
              </m:oMath>
            </m:oMathPara>
          </w:p>
        </w:tc>
      </w:tr>
      <w:tr w:rsidR="007968EC" w:rsidRPr="005F10B9" w14:paraId="40615FBF" w14:textId="77777777" w:rsidTr="007968EC">
        <w:trPr>
          <w:jc w:val="center"/>
        </w:trPr>
        <w:tc>
          <w:tcPr>
            <w:tcW w:w="824" w:type="dxa"/>
          </w:tcPr>
          <w:p w14:paraId="5628B5A3" w14:textId="77777777" w:rsidR="007968EC" w:rsidRPr="005F10B9" w:rsidRDefault="007968EC" w:rsidP="007968EC">
            <w:pPr>
              <w:rPr>
                <w:rFonts w:ascii="Arial Narrow" w:hAnsi="Arial Narrow"/>
              </w:rPr>
            </w:pPr>
            <w:r w:rsidRPr="005F10B9">
              <w:rPr>
                <w:rFonts w:ascii="Arial Narrow" w:hAnsi="Arial Narrow"/>
              </w:rPr>
              <w:t>4</w:t>
            </w:r>
          </w:p>
        </w:tc>
        <w:tc>
          <w:tcPr>
            <w:tcW w:w="6246" w:type="dxa"/>
          </w:tcPr>
          <w:p w14:paraId="72CD1311" w14:textId="77777777" w:rsidR="007968EC" w:rsidRPr="005F10B9" w:rsidRDefault="00682D97" w:rsidP="007968EC">
            <w:pPr>
              <w:rPr>
                <w:rFonts w:ascii="Arial Narrow" w:hAnsi="Arial Narrow"/>
              </w:rPr>
            </w:pPr>
            <m:oMathPara>
              <m:oMath>
                <m:f>
                  <m:fPr>
                    <m:ctrlPr>
                      <w:rPr>
                        <w:rFonts w:ascii="Cambria Math" w:hAnsi="Cambria Math"/>
                      </w:rPr>
                    </m:ctrlPr>
                  </m:fPr>
                  <m:num>
                    <m:r>
                      <w:rPr>
                        <w:rFonts w:ascii="Cambria Math" w:hAnsi="Cambria Math"/>
                      </w:rPr>
                      <m:t>-</m:t>
                    </m:r>
                    <m:r>
                      <m:rPr>
                        <m:sty m:val="bi"/>
                      </m:rPr>
                      <w:rPr>
                        <w:rFonts w:ascii="Cambria Math" w:hAnsi="Cambria Math"/>
                      </w:rPr>
                      <m:t>f</m:t>
                    </m:r>
                    <m:d>
                      <m:dPr>
                        <m:ctrlPr>
                          <w:rPr>
                            <w:rFonts w:ascii="Cambria Math" w:hAnsi="Cambria Math"/>
                          </w:rPr>
                        </m:ctrlPr>
                      </m:dPr>
                      <m:e>
                        <m:r>
                          <m:rPr>
                            <m:sty m:val="bi"/>
                          </m:rPr>
                          <w:rPr>
                            <w:rFonts w:ascii="Cambria Math" w:hAnsi="Cambria Math"/>
                          </w:rPr>
                          <m:t>x</m:t>
                        </m:r>
                        <m:r>
                          <w:rPr>
                            <w:rFonts w:ascii="Cambria Math" w:hAnsi="Cambria Math"/>
                          </w:rPr>
                          <m:t>-</m:t>
                        </m:r>
                        <m:r>
                          <m:rPr>
                            <m:sty m:val="bi"/>
                          </m:rPr>
                          <w:rPr>
                            <w:rFonts w:ascii="Cambria Math" w:hAnsi="Cambria Math"/>
                          </w:rPr>
                          <m:t>2</m:t>
                        </m:r>
                        <m:r>
                          <m:rPr>
                            <m:sty m:val="bi"/>
                          </m:rPr>
                          <w:rPr>
                            <w:rFonts w:ascii="Cambria Math" w:hAnsi="Cambria Math"/>
                          </w:rPr>
                          <m:t>h</m:t>
                        </m:r>
                      </m:e>
                    </m:d>
                    <m:r>
                      <w:rPr>
                        <w:rFonts w:ascii="Cambria Math" w:hAnsi="Cambria Math"/>
                      </w:rPr>
                      <m:t>+</m:t>
                    </m:r>
                    <m:r>
                      <m:rPr>
                        <m:sty m:val="bi"/>
                      </m:rPr>
                      <w:rPr>
                        <w:rFonts w:ascii="Cambria Math" w:hAnsi="Cambria Math"/>
                      </w:rPr>
                      <m:t>16</m:t>
                    </m:r>
                    <m:r>
                      <m:rPr>
                        <m:sty m:val="bi"/>
                      </m:rPr>
                      <w:rPr>
                        <w:rFonts w:ascii="Cambria Math" w:hAnsi="Cambria Math"/>
                      </w:rPr>
                      <m:t>f</m:t>
                    </m:r>
                    <m:d>
                      <m:dPr>
                        <m:ctrlPr>
                          <w:rPr>
                            <w:rFonts w:ascii="Cambria Math" w:hAnsi="Cambria Math"/>
                          </w:rPr>
                        </m:ctrlPr>
                      </m:dPr>
                      <m:e>
                        <m:r>
                          <m:rPr>
                            <m:sty m:val="bi"/>
                          </m:rPr>
                          <w:rPr>
                            <w:rFonts w:ascii="Cambria Math" w:hAnsi="Cambria Math"/>
                          </w:rPr>
                          <m:t>x</m:t>
                        </m:r>
                        <m:r>
                          <w:rPr>
                            <w:rFonts w:ascii="Cambria Math" w:hAnsi="Cambria Math"/>
                          </w:rPr>
                          <m:t>-</m:t>
                        </m:r>
                        <m:r>
                          <m:rPr>
                            <m:sty m:val="bi"/>
                          </m:rPr>
                          <w:rPr>
                            <w:rFonts w:ascii="Cambria Math" w:hAnsi="Cambria Math"/>
                          </w:rPr>
                          <m:t>h</m:t>
                        </m:r>
                      </m:e>
                    </m:d>
                    <m:r>
                      <w:rPr>
                        <w:rFonts w:ascii="Cambria Math" w:hAnsi="Cambria Math"/>
                      </w:rPr>
                      <m:t>-</m:t>
                    </m:r>
                    <m:r>
                      <m:rPr>
                        <m:sty m:val="bi"/>
                      </m:rPr>
                      <w:rPr>
                        <w:rFonts w:ascii="Cambria Math" w:hAnsi="Cambria Math"/>
                      </w:rPr>
                      <m:t>30</m:t>
                    </m:r>
                    <m:r>
                      <m:rPr>
                        <m:sty m:val="bi"/>
                      </m:rPr>
                      <w:rPr>
                        <w:rFonts w:ascii="Cambria Math" w:hAnsi="Cambria Math"/>
                      </w:rPr>
                      <m:t>f</m:t>
                    </m:r>
                    <m:d>
                      <m:dPr>
                        <m:ctrlPr>
                          <w:rPr>
                            <w:rFonts w:ascii="Cambria Math" w:hAnsi="Cambria Math"/>
                          </w:rPr>
                        </m:ctrlPr>
                      </m:dPr>
                      <m:e>
                        <m:r>
                          <m:rPr>
                            <m:sty m:val="bi"/>
                          </m:rPr>
                          <w:rPr>
                            <w:rFonts w:ascii="Cambria Math" w:hAnsi="Cambria Math"/>
                          </w:rPr>
                          <m:t>x</m:t>
                        </m:r>
                      </m:e>
                    </m:d>
                    <m:r>
                      <w:rPr>
                        <w:rFonts w:ascii="Cambria Math" w:hAnsi="Cambria Math"/>
                      </w:rPr>
                      <m:t>+</m:t>
                    </m:r>
                    <m:r>
                      <m:rPr>
                        <m:sty m:val="bi"/>
                      </m:rPr>
                      <w:rPr>
                        <w:rFonts w:ascii="Cambria Math" w:hAnsi="Cambria Math"/>
                      </w:rPr>
                      <m:t>16</m:t>
                    </m:r>
                    <m:r>
                      <m:rPr>
                        <m:sty m:val="bi"/>
                      </m:rPr>
                      <w:rPr>
                        <w:rFonts w:ascii="Cambria Math" w:hAnsi="Cambria Math"/>
                      </w:rPr>
                      <m:t>f</m:t>
                    </m:r>
                    <m:d>
                      <m:dPr>
                        <m:ctrlPr>
                          <w:rPr>
                            <w:rFonts w:ascii="Cambria Math" w:hAnsi="Cambria Math"/>
                          </w:rPr>
                        </m:ctrlPr>
                      </m:dPr>
                      <m:e>
                        <m:r>
                          <m:rPr>
                            <m:sty m:val="bi"/>
                          </m:rPr>
                          <w:rPr>
                            <w:rFonts w:ascii="Cambria Math" w:hAnsi="Cambria Math"/>
                          </w:rPr>
                          <m:t>x</m:t>
                        </m:r>
                        <m:r>
                          <w:rPr>
                            <w:rFonts w:ascii="Cambria Math" w:hAnsi="Cambria Math"/>
                          </w:rPr>
                          <m:t>+</m:t>
                        </m:r>
                        <m:r>
                          <m:rPr>
                            <m:sty m:val="bi"/>
                          </m:rPr>
                          <w:rPr>
                            <w:rFonts w:ascii="Cambria Math" w:hAnsi="Cambria Math"/>
                          </w:rPr>
                          <m:t>h</m:t>
                        </m:r>
                      </m:e>
                    </m:d>
                    <m:r>
                      <w:rPr>
                        <w:rFonts w:ascii="Cambria Math" w:hAnsi="Cambria Math"/>
                      </w:rPr>
                      <m:t>-</m:t>
                    </m:r>
                    <m:r>
                      <m:rPr>
                        <m:sty m:val="bi"/>
                      </m:rPr>
                      <w:rPr>
                        <w:rFonts w:ascii="Cambria Math" w:hAnsi="Cambria Math"/>
                      </w:rPr>
                      <m:t>f</m:t>
                    </m:r>
                    <m:r>
                      <w:rPr>
                        <w:rFonts w:ascii="Cambria Math" w:hAnsi="Cambria Math"/>
                      </w:rPr>
                      <m:t>(</m:t>
                    </m:r>
                    <m:r>
                      <m:rPr>
                        <m:sty m:val="bi"/>
                      </m:rPr>
                      <w:rPr>
                        <w:rFonts w:ascii="Cambria Math" w:hAnsi="Cambria Math"/>
                      </w:rPr>
                      <m:t>x</m:t>
                    </m:r>
                    <m:r>
                      <w:rPr>
                        <w:rFonts w:ascii="Cambria Math" w:hAnsi="Cambria Math"/>
                      </w:rPr>
                      <m:t>+</m:t>
                    </m:r>
                    <m:r>
                      <m:rPr>
                        <m:sty m:val="bi"/>
                      </m:rPr>
                      <w:rPr>
                        <w:rFonts w:ascii="Cambria Math" w:hAnsi="Cambria Math"/>
                      </w:rPr>
                      <m:t>2</m:t>
                    </m:r>
                    <m:r>
                      <m:rPr>
                        <m:sty m:val="bi"/>
                      </m:rPr>
                      <w:rPr>
                        <w:rFonts w:ascii="Cambria Math" w:hAnsi="Cambria Math"/>
                      </w:rPr>
                      <m:t>h</m:t>
                    </m:r>
                    <m:r>
                      <w:rPr>
                        <w:rFonts w:ascii="Cambria Math" w:hAnsi="Cambria Math"/>
                      </w:rPr>
                      <m:t>)</m:t>
                    </m:r>
                  </m:num>
                  <m:den>
                    <m:sSup>
                      <m:sSupPr>
                        <m:ctrlPr>
                          <w:rPr>
                            <w:rFonts w:ascii="Cambria Math" w:hAnsi="Cambria Math"/>
                          </w:rPr>
                        </m:ctrlPr>
                      </m:sSupPr>
                      <m:e>
                        <m:r>
                          <m:rPr>
                            <m:sty m:val="bi"/>
                          </m:rPr>
                          <w:rPr>
                            <w:rFonts w:ascii="Cambria Math" w:hAnsi="Cambria Math"/>
                          </w:rPr>
                          <m:t>12</m:t>
                        </m:r>
                        <m:r>
                          <m:rPr>
                            <m:sty m:val="bi"/>
                          </m:rPr>
                          <w:rPr>
                            <w:rFonts w:ascii="Cambria Math" w:hAnsi="Cambria Math"/>
                          </w:rPr>
                          <m:t>h</m:t>
                        </m:r>
                      </m:e>
                      <m:sup>
                        <m:r>
                          <m:rPr>
                            <m:sty m:val="bi"/>
                          </m:rPr>
                          <w:rPr>
                            <w:rFonts w:ascii="Cambria Math" w:hAnsi="Cambria Math"/>
                          </w:rPr>
                          <m:t>2</m:t>
                        </m:r>
                      </m:sup>
                    </m:sSup>
                  </m:den>
                </m:f>
              </m:oMath>
            </m:oMathPara>
          </w:p>
        </w:tc>
      </w:tr>
    </w:tbl>
    <w:p w14:paraId="72A303DE" w14:textId="77777777" w:rsidR="007968EC" w:rsidRPr="005F10B9" w:rsidRDefault="007968EC" w:rsidP="007968EC">
      <w:pPr>
        <w:rPr>
          <w:rFonts w:ascii="Arial Narrow" w:hAnsi="Arial Narrow"/>
        </w:rPr>
      </w:pPr>
    </w:p>
    <w:p w14:paraId="72D8418C" w14:textId="77777777" w:rsidR="007968EC" w:rsidRPr="005F10B9" w:rsidRDefault="007968EC" w:rsidP="007968EC">
      <w:pPr>
        <w:jc w:val="both"/>
        <w:rPr>
          <w:rFonts w:ascii="Arial Narrow" w:hAnsi="Arial Narrow"/>
        </w:rPr>
      </w:pPr>
      <w:r w:rsidRPr="005F10B9">
        <w:rPr>
          <w:rFonts w:ascii="Arial Narrow" w:hAnsi="Arial Narrow"/>
        </w:rPr>
        <w:t>Donde:</w:t>
      </w:r>
    </w:p>
    <w:p w14:paraId="6D579942" w14:textId="77777777" w:rsidR="007968EC" w:rsidRPr="005F10B9" w:rsidRDefault="007968EC" w:rsidP="007968EC">
      <w:pPr>
        <w:jc w:val="both"/>
        <w:rPr>
          <w:rFonts w:ascii="Arial Narrow" w:hAnsi="Arial Narrow"/>
        </w:rPr>
      </w:pPr>
      <w:r w:rsidRPr="005F10B9">
        <w:rPr>
          <w:rFonts w:ascii="Arial Narrow" w:hAnsi="Arial Narrow"/>
        </w:rPr>
        <w:lastRenderedPageBreak/>
        <w:t xml:space="preserve"> </w:t>
      </w:r>
    </w:p>
    <w:p w14:paraId="549F6D7D" w14:textId="77777777" w:rsidR="007968EC" w:rsidRDefault="007968EC" w:rsidP="007968EC">
      <w:pPr>
        <w:jc w:val="both"/>
        <w:rPr>
          <w:rFonts w:ascii="Arial Narrow" w:hAnsi="Arial Narrow"/>
        </w:rPr>
      </w:pPr>
      <w:bookmarkStart w:id="6401" w:name="_Hlk14948196"/>
      <w:r w:rsidRPr="005F10B9">
        <w:rPr>
          <w:rFonts w:ascii="Arial Narrow" w:hAnsi="Arial Narrow"/>
        </w:rPr>
        <w:t>f(x) representa la fórmula analítica exacta, obtenida a partir de las fórmulas de valoración de cada tipo de producto. El valor de h es 1 pb.</w:t>
      </w:r>
    </w:p>
    <w:p w14:paraId="03383FA3" w14:textId="77777777" w:rsidR="007968EC" w:rsidRDefault="007968EC" w:rsidP="007968EC">
      <w:pPr>
        <w:jc w:val="both"/>
        <w:rPr>
          <w:rFonts w:ascii="Arial Narrow" w:hAnsi="Arial Narrow"/>
        </w:rPr>
      </w:pPr>
    </w:p>
    <w:p w14:paraId="1FEE00EC" w14:textId="77777777" w:rsidR="007968EC" w:rsidRPr="005F10B9" w:rsidRDefault="007968EC" w:rsidP="007968EC">
      <w:pPr>
        <w:jc w:val="both"/>
        <w:rPr>
          <w:rFonts w:ascii="Arial Narrow" w:hAnsi="Arial Narrow"/>
        </w:rPr>
      </w:pPr>
      <w:r>
        <w:rPr>
          <w:rFonts w:ascii="Arial Narrow" w:hAnsi="Arial Narrow"/>
        </w:rPr>
        <w:t>Para el caso de los Swaps de moneda además de calcular el Delta y el Gamma para cada una de las Curvas Cero Cupón se deberá calcular el Delta y la Gamma para la TRM. El valor de h en ambos casos será de 1 centavo. L</w:t>
      </w:r>
      <w:r w:rsidRPr="005F10B9">
        <w:rPr>
          <w:rFonts w:ascii="Arial Narrow" w:hAnsi="Arial Narrow"/>
        </w:rPr>
        <w:t xml:space="preserve">a variación obtenida se expresa en </w:t>
      </w:r>
      <w:r w:rsidRPr="004E10E9">
        <w:rPr>
          <w:rFonts w:ascii="Arial Narrow" w:hAnsi="Arial Narrow"/>
        </w:rPr>
        <w:t>pesos COP.</w:t>
      </w:r>
    </w:p>
    <w:bookmarkEnd w:id="6401"/>
    <w:p w14:paraId="08A613C4" w14:textId="77777777" w:rsidR="007968EC" w:rsidRDefault="007968EC" w:rsidP="007968EC">
      <w:pPr>
        <w:jc w:val="both"/>
        <w:rPr>
          <w:rFonts w:ascii="Arial Narrow" w:hAnsi="Arial Narrow"/>
        </w:rPr>
      </w:pPr>
    </w:p>
    <w:p w14:paraId="6650E8E5" w14:textId="77777777" w:rsidR="007968EC" w:rsidRPr="005F10B9" w:rsidRDefault="007968EC" w:rsidP="007968EC">
      <w:pPr>
        <w:jc w:val="both"/>
        <w:rPr>
          <w:rFonts w:ascii="Arial Narrow" w:hAnsi="Arial Narrow"/>
        </w:rPr>
      </w:pPr>
    </w:p>
    <w:p w14:paraId="490376DA" w14:textId="77777777" w:rsidR="007968EC" w:rsidRPr="005F10B9" w:rsidRDefault="007968EC" w:rsidP="00DA7472">
      <w:pPr>
        <w:numPr>
          <w:ilvl w:val="0"/>
          <w:numId w:val="322"/>
        </w:numPr>
        <w:tabs>
          <w:tab w:val="left" w:pos="567"/>
        </w:tabs>
        <w:ind w:left="1134" w:hanging="283"/>
        <w:rPr>
          <w:rFonts w:ascii="Arial Narrow" w:hAnsi="Arial Narrow" w:cs="Arial"/>
          <w:lang w:eastAsia="es-CO"/>
        </w:rPr>
      </w:pPr>
      <w:r w:rsidRPr="005F10B9">
        <w:rPr>
          <w:rFonts w:ascii="Arial Narrow" w:hAnsi="Arial Narrow" w:cs="Arial"/>
          <w:lang w:eastAsia="es-CO"/>
        </w:rPr>
        <w:t>Cálculo del Delta-Gamma de los Escenarios Analizados. Cálculo del P&amp;G y selección de los Peores Escenarios</w:t>
      </w:r>
    </w:p>
    <w:p w14:paraId="24F364FC" w14:textId="77777777" w:rsidR="007968EC" w:rsidRPr="005F10B9" w:rsidRDefault="007968EC" w:rsidP="007968EC">
      <w:pPr>
        <w:rPr>
          <w:rFonts w:ascii="Arial Narrow" w:hAnsi="Arial Narrow"/>
        </w:rPr>
      </w:pPr>
    </w:p>
    <w:p w14:paraId="2875DE95" w14:textId="77777777" w:rsidR="007968EC" w:rsidRDefault="007968EC" w:rsidP="007968EC">
      <w:pPr>
        <w:jc w:val="both"/>
        <w:rPr>
          <w:rFonts w:ascii="Arial Narrow" w:hAnsi="Arial Narrow"/>
        </w:rPr>
      </w:pPr>
      <w:bookmarkStart w:id="6402" w:name="_Hlk14948341"/>
      <w:r w:rsidRPr="005F10B9">
        <w:rPr>
          <w:rFonts w:ascii="Arial Narrow" w:hAnsi="Arial Narrow"/>
        </w:rPr>
        <w:t xml:space="preserve">A partir de la tabla de Delta-Gamma del apartado anterior, se estiman las pérdidas/ganancias </w:t>
      </w:r>
      <w:r>
        <w:rPr>
          <w:rFonts w:ascii="Arial Narrow" w:hAnsi="Arial Narrow"/>
        </w:rPr>
        <w:t xml:space="preserve">a nivel de </w:t>
      </w:r>
      <w:r w:rsidRPr="005F10B9">
        <w:rPr>
          <w:rFonts w:ascii="Arial Narrow" w:hAnsi="Arial Narrow"/>
        </w:rPr>
        <w:t xml:space="preserve">cuenta para cada uno de los Escenarios Analizados. </w:t>
      </w:r>
      <w:r w:rsidRPr="006106EC">
        <w:rPr>
          <w:rFonts w:ascii="Arial Narrow" w:hAnsi="Arial Narrow"/>
        </w:rPr>
        <w:t xml:space="preserve">Es decir, la suma de las pérdidas/ganancias </w:t>
      </w:r>
      <w:r>
        <w:rPr>
          <w:rFonts w:ascii="Arial Narrow" w:hAnsi="Arial Narrow"/>
        </w:rPr>
        <w:t xml:space="preserve">por </w:t>
      </w:r>
      <w:r w:rsidRPr="006106EC">
        <w:rPr>
          <w:rFonts w:ascii="Arial Narrow" w:hAnsi="Arial Narrow"/>
        </w:rPr>
        <w:t xml:space="preserve">cada </w:t>
      </w:r>
      <w:r>
        <w:rPr>
          <w:rFonts w:ascii="Arial Narrow" w:hAnsi="Arial Narrow"/>
        </w:rPr>
        <w:t>Curva Cero Cupón</w:t>
      </w:r>
      <w:r w:rsidRPr="006106EC">
        <w:rPr>
          <w:rFonts w:ascii="Arial Narrow" w:hAnsi="Arial Narrow"/>
        </w:rPr>
        <w:t xml:space="preserve"> </w:t>
      </w:r>
      <w:r>
        <w:rPr>
          <w:rFonts w:ascii="Arial Narrow" w:hAnsi="Arial Narrow"/>
        </w:rPr>
        <w:t xml:space="preserve">en cada </w:t>
      </w:r>
      <w:r w:rsidRPr="006106EC">
        <w:rPr>
          <w:rFonts w:ascii="Arial Narrow" w:hAnsi="Arial Narrow"/>
        </w:rPr>
        <w:t>plazo genera</w:t>
      </w:r>
      <w:r>
        <w:rPr>
          <w:rFonts w:ascii="Arial Narrow" w:hAnsi="Arial Narrow"/>
        </w:rPr>
        <w:t>da</w:t>
      </w:r>
      <w:r w:rsidRPr="006106EC">
        <w:rPr>
          <w:rFonts w:ascii="Arial Narrow" w:hAnsi="Arial Narrow"/>
        </w:rPr>
        <w:t xml:space="preserve"> de forma individual </w:t>
      </w:r>
      <w:r>
        <w:rPr>
          <w:rFonts w:ascii="Arial Narrow" w:hAnsi="Arial Narrow"/>
        </w:rPr>
        <w:t>a nivel</w:t>
      </w:r>
      <w:r w:rsidRPr="006106EC">
        <w:rPr>
          <w:rFonts w:ascii="Arial Narrow" w:hAnsi="Arial Narrow"/>
        </w:rPr>
        <w:t xml:space="preserve"> de </w:t>
      </w:r>
      <w:r>
        <w:rPr>
          <w:rFonts w:ascii="Arial Narrow" w:hAnsi="Arial Narrow"/>
        </w:rPr>
        <w:t>cuenta</w:t>
      </w:r>
      <w:r w:rsidRPr="006106EC">
        <w:rPr>
          <w:rFonts w:ascii="Arial Narrow" w:hAnsi="Arial Narrow"/>
        </w:rPr>
        <w:t xml:space="preserve"> para cada escenario. Este</w:t>
      </w:r>
      <w:r>
        <w:rPr>
          <w:rFonts w:ascii="Arial Narrow" w:hAnsi="Arial Narrow"/>
        </w:rPr>
        <w:t xml:space="preserve"> </w:t>
      </w:r>
      <w:r w:rsidRPr="006106EC">
        <w:rPr>
          <w:rFonts w:ascii="Arial Narrow" w:hAnsi="Arial Narrow"/>
        </w:rPr>
        <w:t>cálculo se realiza para cada curva y se define como:</w:t>
      </w:r>
    </w:p>
    <w:bookmarkEnd w:id="6402"/>
    <w:p w14:paraId="4CE8B519" w14:textId="77777777" w:rsidR="007968EC" w:rsidRDefault="007968EC" w:rsidP="007968EC">
      <w:pPr>
        <w:jc w:val="both"/>
        <w:rPr>
          <w:rFonts w:ascii="Arial Narrow" w:hAnsi="Arial Narrow"/>
        </w:rPr>
      </w:pPr>
    </w:p>
    <w:p w14:paraId="1678580D" w14:textId="77777777" w:rsidR="007968EC" w:rsidRDefault="007968EC" w:rsidP="007968EC">
      <w:pPr>
        <w:jc w:val="both"/>
        <w:rPr>
          <w:rFonts w:ascii="Arial Narrow" w:hAnsi="Arial Narrow"/>
        </w:rPr>
      </w:pPr>
    </w:p>
    <w:p w14:paraId="21D6A7A4" w14:textId="77777777" w:rsidR="007968EC" w:rsidRDefault="007968EC" w:rsidP="007968EC">
      <w:pPr>
        <w:jc w:val="both"/>
        <w:rPr>
          <w:rFonts w:ascii="Arial Narrow" w:hAnsi="Arial Narrow"/>
        </w:rPr>
      </w:pPr>
    </w:p>
    <w:p w14:paraId="42EA0BE7" w14:textId="77777777" w:rsidR="007968EC" w:rsidRDefault="007968EC" w:rsidP="007968EC">
      <w:pPr>
        <w:jc w:val="both"/>
        <w:rPr>
          <w:rFonts w:ascii="Arial Narrow" w:hAnsi="Arial Narrow"/>
        </w:rPr>
      </w:pPr>
    </w:p>
    <w:p w14:paraId="27D78824" w14:textId="77777777" w:rsidR="007968EC" w:rsidRPr="005F10B9" w:rsidRDefault="007968EC" w:rsidP="007968EC">
      <w:pPr>
        <w:jc w:val="both"/>
        <w:rPr>
          <w:rFonts w:ascii="Arial Narrow" w:hAnsi="Arial Narrow"/>
        </w:rPr>
      </w:pPr>
    </w:p>
    <w:p w14:paraId="128EA426" w14:textId="77777777" w:rsidR="007968EC" w:rsidRPr="005F10B9" w:rsidRDefault="00682D97" w:rsidP="007968EC">
      <w:pPr>
        <w:rPr>
          <w:rFonts w:ascii="Arial Narrow" w:hAnsi="Arial Narrow"/>
        </w:rPr>
      </w:pPr>
      <m:oMathPara>
        <m:oMath>
          <m:sSub>
            <m:sSubPr>
              <m:ctrlPr>
                <w:rPr>
                  <w:rFonts w:ascii="Cambria Math" w:hAnsi="Cambria Math"/>
                </w:rPr>
              </m:ctrlPr>
            </m:sSubPr>
            <m:e>
              <m:r>
                <m:rPr>
                  <m:sty m:val="bi"/>
                </m:rPr>
                <w:rPr>
                  <w:rFonts w:ascii="Cambria Math" w:hAnsi="Cambria Math"/>
                </w:rPr>
                <m:t>P&amp;G</m:t>
              </m:r>
            </m:e>
            <m:sub>
              <m:r>
                <m:rPr>
                  <m:sty m:val="bi"/>
                </m:rPr>
                <w:rPr>
                  <w:rFonts w:ascii="Cambria Math" w:hAnsi="Cambria Math"/>
                </w:rPr>
                <m:t>i</m:t>
              </m:r>
            </m:sub>
          </m:sSub>
          <m:r>
            <m:rPr>
              <m:sty m:val="bi"/>
            </m:rPr>
            <w:rPr>
              <w:rFonts w:ascii="Cambria Math" w:hAnsi="Cambria Math"/>
            </w:rPr>
            <m:t>=</m:t>
          </m:r>
          <m:nary>
            <m:naryPr>
              <m:chr m:val="∑"/>
              <m:limLoc m:val="undOvr"/>
              <m:ctrlPr>
                <w:rPr>
                  <w:rFonts w:ascii="Cambria Math" w:hAnsi="Cambria Math"/>
                </w:rPr>
              </m:ctrlPr>
            </m:naryPr>
            <m:sub>
              <m:r>
                <m:rPr>
                  <m:sty m:val="bi"/>
                </m:rPr>
                <w:rPr>
                  <w:rFonts w:ascii="Cambria Math" w:hAnsi="Cambria Math"/>
                </w:rPr>
                <m:t>s=1</m:t>
              </m:r>
            </m:sub>
            <m:sup>
              <m:r>
                <m:rPr>
                  <m:sty m:val="bi"/>
                </m:rPr>
                <w:rPr>
                  <w:rFonts w:ascii="Cambria Math" w:hAnsi="Cambria Math"/>
                </w:rPr>
                <m:t>n</m:t>
              </m:r>
            </m:sup>
            <m:e>
              <m:d>
                <m:dPr>
                  <m:ctrlPr>
                    <w:rPr>
                      <w:rFonts w:ascii="Cambria Math" w:hAnsi="Cambria Math"/>
                    </w:rPr>
                  </m:ctrlPr>
                </m:dPr>
                <m:e>
                  <m:sSub>
                    <m:sSubPr>
                      <m:ctrlPr>
                        <w:rPr>
                          <w:rFonts w:ascii="Cambria Math" w:hAnsi="Cambria Math"/>
                        </w:rPr>
                      </m:ctrlPr>
                    </m:sSubPr>
                    <m:e>
                      <m:r>
                        <m:rPr>
                          <m:sty m:val="bi"/>
                        </m:rPr>
                        <w:rPr>
                          <w:rFonts w:ascii="Cambria Math" w:hAnsi="Cambria Math"/>
                        </w:rPr>
                        <m:t>∂</m:t>
                      </m:r>
                    </m:e>
                    <m:sub>
                      <m:r>
                        <m:rPr>
                          <m:sty m:val="bi"/>
                        </m:rPr>
                        <w:rPr>
                          <w:rFonts w:ascii="Cambria Math" w:hAnsi="Cambria Math"/>
                        </w:rPr>
                        <m:t>s</m:t>
                      </m:r>
                    </m:sub>
                  </m:sSub>
                  <m:sSubSup>
                    <m:sSubSupPr>
                      <m:ctrlPr>
                        <w:rPr>
                          <w:rFonts w:ascii="Cambria Math" w:hAnsi="Cambria Math"/>
                        </w:rPr>
                      </m:ctrlPr>
                    </m:sSubSupPr>
                    <m:e>
                      <m:r>
                        <m:rPr>
                          <m:sty m:val="bi"/>
                        </m:rPr>
                        <w:rPr>
                          <w:rFonts w:ascii="Cambria Math" w:hAnsi="Cambria Math"/>
                        </w:rPr>
                        <m:t>R</m:t>
                      </m:r>
                    </m:e>
                    <m:sub>
                      <m:r>
                        <m:rPr>
                          <m:sty m:val="bi"/>
                        </m:rPr>
                        <w:rPr>
                          <w:rFonts w:ascii="Cambria Math" w:hAnsi="Cambria Math"/>
                        </w:rPr>
                        <m:t>i</m:t>
                      </m:r>
                    </m:sub>
                    <m:sup>
                      <m:r>
                        <m:rPr>
                          <m:sty m:val="bi"/>
                        </m:rPr>
                        <w:rPr>
                          <w:rFonts w:ascii="Cambria Math" w:hAnsi="Cambria Math"/>
                        </w:rPr>
                        <m:t>s</m:t>
                      </m:r>
                    </m:sup>
                  </m:sSubSup>
                  <m:r>
                    <m:rPr>
                      <m:sty m:val="bi"/>
                    </m:rPr>
                    <w:rPr>
                      <w:rFonts w:ascii="Cambria Math" w:hAnsi="Cambria Math"/>
                    </w:rPr>
                    <m:t>+</m:t>
                  </m:r>
                  <m:f>
                    <m:fPr>
                      <m:ctrlPr>
                        <w:rPr>
                          <w:rFonts w:ascii="Cambria Math" w:hAnsi="Cambria Math"/>
                        </w:rPr>
                      </m:ctrlPr>
                    </m:fPr>
                    <m:num>
                      <m:sSub>
                        <m:sSubPr>
                          <m:ctrlPr>
                            <w:rPr>
                              <w:rFonts w:ascii="Cambria Math" w:hAnsi="Cambria Math"/>
                            </w:rPr>
                          </m:ctrlPr>
                        </m:sSubPr>
                        <m:e>
                          <m:r>
                            <m:rPr>
                              <m:sty m:val="bi"/>
                            </m:rPr>
                            <w:rPr>
                              <w:rFonts w:ascii="Cambria Math" w:hAnsi="Cambria Math"/>
                            </w:rPr>
                            <m:t>γ</m:t>
                          </m:r>
                        </m:e>
                        <m:sub>
                          <m:r>
                            <m:rPr>
                              <m:sty m:val="bi"/>
                            </m:rPr>
                            <w:rPr>
                              <w:rFonts w:ascii="Cambria Math" w:hAnsi="Cambria Math"/>
                            </w:rPr>
                            <m:t>s</m:t>
                          </m:r>
                        </m:sub>
                      </m:sSub>
                    </m:num>
                    <m:den>
                      <m:r>
                        <m:rPr>
                          <m:sty m:val="bi"/>
                        </m:rPr>
                        <w:rPr>
                          <w:rFonts w:ascii="Cambria Math" w:hAnsi="Cambria Math"/>
                        </w:rPr>
                        <m:t>2</m:t>
                      </m:r>
                    </m:den>
                  </m:f>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m:rPr>
                                  <m:sty m:val="bi"/>
                                </m:rPr>
                                <w:rPr>
                                  <w:rFonts w:ascii="Cambria Math" w:hAnsi="Cambria Math"/>
                                </w:rPr>
                                <m:t>R</m:t>
                              </m:r>
                            </m:e>
                            <m:sub>
                              <m:r>
                                <m:rPr>
                                  <m:sty m:val="bi"/>
                                </m:rPr>
                                <w:rPr>
                                  <w:rFonts w:ascii="Cambria Math" w:hAnsi="Cambria Math"/>
                                </w:rPr>
                                <m:t>i</m:t>
                              </m:r>
                            </m:sub>
                            <m:sup>
                              <m:r>
                                <m:rPr>
                                  <m:sty m:val="bi"/>
                                </m:rPr>
                                <w:rPr>
                                  <w:rFonts w:ascii="Cambria Math" w:hAnsi="Cambria Math"/>
                                </w:rPr>
                                <m:t>s</m:t>
                              </m:r>
                            </m:sup>
                          </m:sSubSup>
                        </m:e>
                      </m:d>
                    </m:e>
                    <m:sup>
                      <m:r>
                        <m:rPr>
                          <m:sty m:val="bi"/>
                        </m:rPr>
                        <w:rPr>
                          <w:rFonts w:ascii="Cambria Math" w:hAnsi="Cambria Math"/>
                        </w:rPr>
                        <m:t>2</m:t>
                      </m:r>
                    </m:sup>
                  </m:sSup>
                </m:e>
              </m:d>
            </m:e>
          </m:nary>
          <m:r>
            <m:rPr>
              <m:sty m:val="bi"/>
            </m:rPr>
            <w:rPr>
              <w:rFonts w:ascii="Cambria Math" w:hAnsi="Cambria Math"/>
            </w:rPr>
            <m:t xml:space="preserve">  </m:t>
          </m:r>
        </m:oMath>
      </m:oMathPara>
    </w:p>
    <w:p w14:paraId="053BFBD5" w14:textId="77777777" w:rsidR="007968EC" w:rsidRPr="005F10B9" w:rsidRDefault="007968EC" w:rsidP="007968EC">
      <w:pPr>
        <w:rPr>
          <w:rFonts w:ascii="Arial Narrow" w:hAnsi="Arial Narrow"/>
        </w:rPr>
      </w:pPr>
    </w:p>
    <w:p w14:paraId="6938CC6E" w14:textId="77777777" w:rsidR="007968EC" w:rsidRPr="005F10B9" w:rsidRDefault="007968EC" w:rsidP="007968EC">
      <w:pPr>
        <w:rPr>
          <w:rFonts w:ascii="Arial Narrow" w:hAnsi="Arial Narrow"/>
        </w:rPr>
      </w:pPr>
      <w:r w:rsidRPr="005F10B9">
        <w:rPr>
          <w:rFonts w:ascii="Arial Narrow" w:hAnsi="Arial Narrow"/>
        </w:rPr>
        <w:t>Donde:</w:t>
      </w:r>
    </w:p>
    <w:p w14:paraId="43077EB0" w14:textId="77777777" w:rsidR="007968EC" w:rsidRPr="005F10B9" w:rsidRDefault="007968EC" w:rsidP="007968EC">
      <w:pPr>
        <w:rPr>
          <w:rFonts w:ascii="Arial Narrow" w:hAnsi="Arial Narrow"/>
        </w:rPr>
      </w:pPr>
    </w:p>
    <w:p w14:paraId="119400E7" w14:textId="77777777" w:rsidR="007968EC" w:rsidRPr="005F10B9" w:rsidRDefault="00682D97" w:rsidP="007968EC">
      <w:pPr>
        <w:rPr>
          <w:rFonts w:ascii="Arial Narrow" w:hAnsi="Arial Narrow"/>
        </w:rPr>
      </w:pPr>
      <m:oMath>
        <m:sSub>
          <m:sSubPr>
            <m:ctrlPr>
              <w:rPr>
                <w:rFonts w:ascii="Cambria Math" w:hAnsi="Cambria Math"/>
              </w:rPr>
            </m:ctrlPr>
          </m:sSubPr>
          <m:e>
            <m:r>
              <m:rPr>
                <m:sty m:val="bi"/>
              </m:rPr>
              <w:rPr>
                <w:rFonts w:ascii="Cambria Math" w:hAnsi="Cambria Math"/>
              </w:rPr>
              <m:t>P</m:t>
            </m:r>
            <m:r>
              <m:rPr>
                <m:sty m:val="b"/>
              </m:rPr>
              <w:rPr>
                <w:rFonts w:ascii="Cambria Math" w:hAnsi="Cambria Math"/>
              </w:rPr>
              <m:t>&amp;</m:t>
            </m:r>
            <m:r>
              <m:rPr>
                <m:sty m:val="bi"/>
              </m:rPr>
              <w:rPr>
                <w:rFonts w:ascii="Cambria Math" w:hAnsi="Cambria Math"/>
              </w:rPr>
              <m:t>G</m:t>
            </m:r>
          </m:e>
          <m:sub>
            <m:r>
              <m:rPr>
                <m:sty m:val="bi"/>
              </m:rPr>
              <w:rPr>
                <w:rFonts w:ascii="Cambria Math" w:hAnsi="Cambria Math"/>
              </w:rPr>
              <m:t>i</m:t>
            </m:r>
          </m:sub>
        </m:sSub>
      </m:oMath>
      <w:r w:rsidR="007968EC" w:rsidRPr="005F10B9">
        <w:rPr>
          <w:rFonts w:ascii="Arial Narrow" w:hAnsi="Arial Narrow"/>
        </w:rPr>
        <w:t>: Es la pérdida o ganancia de la cuenta para el escenario “i” (i = 1, 2, …, Número de Sesiones a Utilizar menos MPOR).</w:t>
      </w:r>
    </w:p>
    <w:p w14:paraId="75F36506" w14:textId="77777777" w:rsidR="007968EC" w:rsidRPr="005F10B9" w:rsidRDefault="00682D97" w:rsidP="007968EC">
      <w:pPr>
        <w:rPr>
          <w:rFonts w:ascii="Arial Narrow" w:hAnsi="Arial Narrow"/>
        </w:rPr>
      </w:pPr>
      <m:oMath>
        <m:sSub>
          <m:sSubPr>
            <m:ctrlPr>
              <w:rPr>
                <w:rFonts w:ascii="Cambria Math" w:hAnsi="Cambria Math"/>
              </w:rPr>
            </m:ctrlPr>
          </m:sSubPr>
          <m:e>
            <m:r>
              <m:rPr>
                <m:sty m:val="bi"/>
              </m:rPr>
              <w:rPr>
                <w:rFonts w:ascii="Cambria Math" w:hAnsi="Cambria Math"/>
              </w:rPr>
              <m:t>∂</m:t>
            </m:r>
          </m:e>
          <m:sub>
            <m:r>
              <m:rPr>
                <m:sty m:val="bi"/>
              </m:rPr>
              <w:rPr>
                <w:rFonts w:ascii="Cambria Math" w:hAnsi="Cambria Math"/>
              </w:rPr>
              <m:t>s</m:t>
            </m:r>
          </m:sub>
        </m:sSub>
      </m:oMath>
      <w:r w:rsidR="007968EC" w:rsidRPr="005F10B9">
        <w:rPr>
          <w:rFonts w:ascii="Arial Narrow" w:hAnsi="Arial Narrow"/>
        </w:rPr>
        <w:t xml:space="preserve">: Es la Delta de la cuenta </w:t>
      </w:r>
      <w:r w:rsidR="007968EC">
        <w:rPr>
          <w:rFonts w:ascii="Arial Narrow" w:hAnsi="Arial Narrow"/>
        </w:rPr>
        <w:t>según Curva y</w:t>
      </w:r>
      <w:r w:rsidR="007968EC" w:rsidRPr="005F10B9">
        <w:rPr>
          <w:rFonts w:ascii="Arial Narrow" w:hAnsi="Arial Narrow"/>
        </w:rPr>
        <w:t xml:space="preserve"> plazo</w:t>
      </w:r>
      <w:r w:rsidR="007968EC" w:rsidRPr="005F10B9" w:rsidDel="009C7D3B">
        <w:rPr>
          <w:rFonts w:ascii="Arial Narrow" w:hAnsi="Arial Narrow"/>
        </w:rPr>
        <w:t xml:space="preserve"> </w:t>
      </w:r>
      <w:r w:rsidR="007968EC" w:rsidRPr="005F10B9">
        <w:rPr>
          <w:rFonts w:ascii="Arial Narrow" w:hAnsi="Arial Narrow"/>
        </w:rPr>
        <w:t>“s”.</w:t>
      </w:r>
    </w:p>
    <w:p w14:paraId="15777F7C" w14:textId="77777777" w:rsidR="007968EC" w:rsidRPr="005F10B9" w:rsidRDefault="00682D97" w:rsidP="007968EC">
      <w:pPr>
        <w:rPr>
          <w:rFonts w:ascii="Arial Narrow" w:hAnsi="Arial Narrow"/>
        </w:rPr>
      </w:pPr>
      <m:oMath>
        <m:sSub>
          <m:sSubPr>
            <m:ctrlPr>
              <w:rPr>
                <w:rFonts w:ascii="Cambria Math" w:hAnsi="Cambria Math"/>
              </w:rPr>
            </m:ctrlPr>
          </m:sSubPr>
          <m:e>
            <m:r>
              <m:rPr>
                <m:sty m:val="bi"/>
              </m:rPr>
              <w:rPr>
                <w:rFonts w:ascii="Cambria Math" w:hAnsi="Cambria Math"/>
              </w:rPr>
              <m:t>R</m:t>
            </m:r>
          </m:e>
          <m:sub>
            <m:r>
              <m:rPr>
                <m:sty m:val="bi"/>
              </m:rPr>
              <w:rPr>
                <w:rFonts w:ascii="Cambria Math" w:hAnsi="Cambria Math"/>
              </w:rPr>
              <m:t>i</m:t>
            </m:r>
          </m:sub>
        </m:sSub>
      </m:oMath>
      <w:r w:rsidR="007968EC" w:rsidRPr="005F10B9">
        <w:rPr>
          <w:rFonts w:ascii="Arial Narrow" w:hAnsi="Arial Narrow"/>
        </w:rPr>
        <w:t>: Es el retorno obtenido en el apartado a</w:t>
      </w:r>
      <w:r w:rsidR="007968EC">
        <w:rPr>
          <w:rFonts w:ascii="Arial Narrow" w:hAnsi="Arial Narrow"/>
        </w:rPr>
        <w:t>.(i)</w:t>
      </w:r>
      <w:r w:rsidR="007968EC" w:rsidRPr="005F10B9">
        <w:rPr>
          <w:rFonts w:ascii="Arial Narrow" w:hAnsi="Arial Narrow"/>
        </w:rPr>
        <w:t xml:space="preserve">, </w:t>
      </w:r>
      <w:r w:rsidR="007968EC">
        <w:rPr>
          <w:rFonts w:ascii="Arial Narrow" w:hAnsi="Arial Narrow"/>
        </w:rPr>
        <w:t>según Curva y</w:t>
      </w:r>
      <w:r w:rsidR="007968EC" w:rsidRPr="005F10B9">
        <w:rPr>
          <w:rFonts w:ascii="Arial Narrow" w:hAnsi="Arial Narrow"/>
        </w:rPr>
        <w:t xml:space="preserve"> plazo “s” para el escenario “i” (i = 1, 2, …, Número de Sesiones a Utilizar menos MPOR)</w:t>
      </w:r>
    </w:p>
    <w:p w14:paraId="24626588" w14:textId="77777777" w:rsidR="007968EC" w:rsidRDefault="00682D97" w:rsidP="007968EC">
      <w:pPr>
        <w:rPr>
          <w:rFonts w:ascii="Arial Narrow" w:hAnsi="Arial Narrow"/>
        </w:rPr>
      </w:pPr>
      <m:oMath>
        <m:sSub>
          <m:sSubPr>
            <m:ctrlPr>
              <w:rPr>
                <w:rFonts w:ascii="Cambria Math" w:hAnsi="Cambria Math"/>
              </w:rPr>
            </m:ctrlPr>
          </m:sSubPr>
          <m:e>
            <m:r>
              <m:rPr>
                <m:sty m:val="bi"/>
              </m:rPr>
              <w:rPr>
                <w:rFonts w:ascii="Cambria Math" w:hAnsi="Cambria Math"/>
              </w:rPr>
              <m:t>γ</m:t>
            </m:r>
          </m:e>
          <m:sub>
            <m:r>
              <m:rPr>
                <m:sty m:val="bi"/>
              </m:rPr>
              <w:rPr>
                <w:rFonts w:ascii="Cambria Math" w:hAnsi="Cambria Math"/>
              </w:rPr>
              <m:t>s</m:t>
            </m:r>
          </m:sub>
        </m:sSub>
      </m:oMath>
      <w:r w:rsidR="007968EC" w:rsidRPr="005F10B9">
        <w:rPr>
          <w:rFonts w:ascii="Arial Narrow" w:hAnsi="Arial Narrow"/>
        </w:rPr>
        <w:t>: Es el Gamma de la cuenta</w:t>
      </w:r>
      <w:r w:rsidR="007968EC">
        <w:rPr>
          <w:rFonts w:ascii="Arial Narrow" w:hAnsi="Arial Narrow"/>
        </w:rPr>
        <w:t xml:space="preserve"> según Curva y</w:t>
      </w:r>
      <w:r w:rsidR="007968EC" w:rsidRPr="005F10B9">
        <w:rPr>
          <w:rFonts w:ascii="Arial Narrow" w:hAnsi="Arial Narrow"/>
        </w:rPr>
        <w:t xml:space="preserve"> “s”</w:t>
      </w:r>
    </w:p>
    <w:p w14:paraId="6DDDCFB2" w14:textId="77777777" w:rsidR="007968EC" w:rsidRDefault="007968EC" w:rsidP="007968EC">
      <w:pPr>
        <w:rPr>
          <w:rFonts w:ascii="Arial Narrow" w:hAnsi="Arial Narrow"/>
        </w:rPr>
      </w:pPr>
    </w:p>
    <w:p w14:paraId="7175CFD4" w14:textId="77777777" w:rsidR="007968EC" w:rsidRDefault="007968EC" w:rsidP="007968EC">
      <w:pPr>
        <w:jc w:val="both"/>
        <w:rPr>
          <w:rFonts w:ascii="Arial Narrow" w:hAnsi="Arial Narrow"/>
        </w:rPr>
      </w:pPr>
      <w:r>
        <w:rPr>
          <w:rFonts w:ascii="Arial Narrow" w:hAnsi="Arial Narrow"/>
        </w:rPr>
        <w:t xml:space="preserve">Para el caso de los Swaps de moneda además de calcular las pérdidas/ganancias para cada una de las Curvas Cero Cupón se deberá calcular las pérdidas/ganancias para la TRM para cada Número de Sesiones a Utilizar </w:t>
      </w:r>
      <w:r w:rsidRPr="005F10B9">
        <w:rPr>
          <w:rFonts w:ascii="Arial Narrow" w:hAnsi="Arial Narrow"/>
        </w:rPr>
        <w:t>descrit</w:t>
      </w:r>
      <w:r>
        <w:rPr>
          <w:rFonts w:ascii="Arial Narrow" w:hAnsi="Arial Narrow"/>
        </w:rPr>
        <w:t>o</w:t>
      </w:r>
      <w:r w:rsidRPr="005F10B9">
        <w:rPr>
          <w:rFonts w:ascii="Arial Narrow" w:hAnsi="Arial Narrow"/>
        </w:rPr>
        <w:t xml:space="preserve"> en el artículo 5.5.2.5</w:t>
      </w:r>
      <w:r>
        <w:rPr>
          <w:rFonts w:ascii="Arial Narrow" w:hAnsi="Arial Narrow"/>
        </w:rPr>
        <w:t xml:space="preserve">. </w:t>
      </w:r>
    </w:p>
    <w:p w14:paraId="4FB2F512" w14:textId="77777777" w:rsidR="007968EC" w:rsidRDefault="007968EC" w:rsidP="007968EC">
      <w:pPr>
        <w:rPr>
          <w:rFonts w:ascii="Arial Narrow" w:hAnsi="Arial Narrow"/>
        </w:rPr>
      </w:pPr>
    </w:p>
    <w:p w14:paraId="1F709386" w14:textId="77777777" w:rsidR="007968EC" w:rsidRPr="005F10B9" w:rsidRDefault="007968EC" w:rsidP="007968EC">
      <w:pPr>
        <w:rPr>
          <w:rFonts w:ascii="Arial Narrow" w:hAnsi="Arial Narrow"/>
        </w:rPr>
      </w:pPr>
      <w:r>
        <w:rPr>
          <w:rFonts w:ascii="Arial Narrow" w:hAnsi="Arial Narrow"/>
        </w:rPr>
        <w:t xml:space="preserve">Una vez obtenidas las perdidas/ganancias a nivel de cuenta se deberán ordenar de menor a mayor, siendo el menor, el escenario con mayor perdida, es decir el peor escenario. </w:t>
      </w:r>
    </w:p>
    <w:p w14:paraId="3CD8494E" w14:textId="77777777" w:rsidR="007968EC" w:rsidRDefault="007968EC" w:rsidP="007968EC">
      <w:pPr>
        <w:rPr>
          <w:rFonts w:ascii="Arial Narrow" w:hAnsi="Arial Narrow"/>
        </w:rPr>
      </w:pPr>
    </w:p>
    <w:p w14:paraId="50811611" w14:textId="77777777" w:rsidR="007968EC" w:rsidRPr="00C0377C" w:rsidRDefault="007968EC" w:rsidP="007968EC">
      <w:pPr>
        <w:rPr>
          <w:rFonts w:ascii="Arial Narrow" w:hAnsi="Arial Narrow"/>
        </w:rPr>
      </w:pPr>
    </w:p>
    <w:p w14:paraId="03387720" w14:textId="77777777" w:rsidR="007968EC" w:rsidRPr="005F10B9" w:rsidRDefault="007968EC" w:rsidP="00DA7472">
      <w:pPr>
        <w:numPr>
          <w:ilvl w:val="0"/>
          <w:numId w:val="322"/>
        </w:numPr>
        <w:tabs>
          <w:tab w:val="left" w:pos="567"/>
        </w:tabs>
        <w:ind w:left="1134" w:hanging="283"/>
        <w:rPr>
          <w:rFonts w:ascii="Arial Narrow" w:hAnsi="Arial Narrow" w:cs="Arial"/>
          <w:lang w:eastAsia="es-CO"/>
        </w:rPr>
      </w:pPr>
      <w:r w:rsidRPr="005F10B9">
        <w:rPr>
          <w:rFonts w:ascii="Arial Narrow" w:hAnsi="Arial Narrow" w:cs="Arial"/>
          <w:lang w:eastAsia="es-CO"/>
        </w:rPr>
        <w:t>NPV y VaR de los Peores Escenarios</w:t>
      </w:r>
    </w:p>
    <w:p w14:paraId="283EBE26" w14:textId="77777777" w:rsidR="007968EC" w:rsidRPr="005F10B9" w:rsidRDefault="007968EC" w:rsidP="007968EC">
      <w:pPr>
        <w:rPr>
          <w:rFonts w:ascii="Arial Narrow" w:hAnsi="Arial Narrow"/>
        </w:rPr>
      </w:pPr>
    </w:p>
    <w:p w14:paraId="0A118224" w14:textId="77777777" w:rsidR="007968EC" w:rsidRDefault="007968EC" w:rsidP="007968EC">
      <w:pPr>
        <w:jc w:val="both"/>
        <w:rPr>
          <w:rFonts w:ascii="Arial Narrow" w:hAnsi="Arial Narrow"/>
        </w:rPr>
      </w:pPr>
      <w:r>
        <w:rPr>
          <w:rFonts w:ascii="Arial Narrow" w:hAnsi="Arial Narrow"/>
        </w:rPr>
        <w:t xml:space="preserve">De acuerdo con el Número de Sesiones a Utilizar y el Nivel de Confianza definido en el </w:t>
      </w:r>
      <w:r w:rsidRPr="00F334EC">
        <w:rPr>
          <w:rFonts w:ascii="Arial Narrow" w:hAnsi="Arial Narrow"/>
        </w:rPr>
        <w:t>Artículo 5.5.2.5</w:t>
      </w:r>
      <w:r>
        <w:rPr>
          <w:rFonts w:ascii="Arial Narrow" w:hAnsi="Arial Narrow"/>
        </w:rPr>
        <w:t xml:space="preserve"> se seleccionarán </w:t>
      </w:r>
      <w:r w:rsidRPr="005F10B9">
        <w:rPr>
          <w:rFonts w:ascii="Arial Narrow" w:hAnsi="Arial Narrow"/>
        </w:rPr>
        <w:t xml:space="preserve">los Peores Escenarios </w:t>
      </w:r>
      <w:r>
        <w:rPr>
          <w:rFonts w:ascii="Arial Narrow" w:hAnsi="Arial Narrow"/>
        </w:rPr>
        <w:t>d</w:t>
      </w:r>
      <w:r w:rsidRPr="005F10B9">
        <w:rPr>
          <w:rFonts w:ascii="Arial Narrow" w:hAnsi="Arial Narrow"/>
        </w:rPr>
        <w:t xml:space="preserve">el punto anterior </w:t>
      </w:r>
      <w:r>
        <w:rPr>
          <w:rFonts w:ascii="Arial Narrow" w:hAnsi="Arial Narrow"/>
        </w:rPr>
        <w:t xml:space="preserve">y </w:t>
      </w:r>
      <w:r w:rsidRPr="005F10B9">
        <w:rPr>
          <w:rFonts w:ascii="Arial Narrow" w:hAnsi="Arial Narrow"/>
        </w:rPr>
        <w:t>se reval</w:t>
      </w:r>
      <w:r>
        <w:rPr>
          <w:rFonts w:ascii="Arial Narrow" w:hAnsi="Arial Narrow"/>
        </w:rPr>
        <w:t>uará</w:t>
      </w:r>
      <w:r w:rsidRPr="005F10B9">
        <w:rPr>
          <w:rFonts w:ascii="Arial Narrow" w:hAnsi="Arial Narrow"/>
        </w:rPr>
        <w:t xml:space="preserve"> la cuenta para obtener el NPV </w:t>
      </w:r>
      <w:r>
        <w:rPr>
          <w:rFonts w:ascii="Arial Narrow" w:hAnsi="Arial Narrow"/>
        </w:rPr>
        <w:t xml:space="preserve">a partir de cada una de las </w:t>
      </w:r>
      <w:r w:rsidRPr="005F10B9">
        <w:rPr>
          <w:rFonts w:ascii="Arial Narrow" w:hAnsi="Arial Narrow"/>
        </w:rPr>
        <w:t>Curva</w:t>
      </w:r>
      <w:r>
        <w:rPr>
          <w:rFonts w:ascii="Arial Narrow" w:hAnsi="Arial Narrow"/>
        </w:rPr>
        <w:t>s</w:t>
      </w:r>
      <w:r w:rsidRPr="005F10B9">
        <w:rPr>
          <w:rFonts w:ascii="Arial Narrow" w:hAnsi="Arial Narrow"/>
        </w:rPr>
        <w:t xml:space="preserve"> Cero</w:t>
      </w:r>
      <w:r>
        <w:rPr>
          <w:rFonts w:ascii="Arial Narrow" w:hAnsi="Arial Narrow"/>
        </w:rPr>
        <w:t>s</w:t>
      </w:r>
      <w:r w:rsidRPr="005F10B9">
        <w:rPr>
          <w:rFonts w:ascii="Arial Narrow" w:hAnsi="Arial Narrow"/>
        </w:rPr>
        <w:t xml:space="preserve"> Cupón modificada</w:t>
      </w:r>
      <w:r>
        <w:rPr>
          <w:rFonts w:ascii="Arial Narrow" w:hAnsi="Arial Narrow"/>
        </w:rPr>
        <w:t>s.</w:t>
      </w:r>
    </w:p>
    <w:p w14:paraId="5CBA4A63" w14:textId="77777777" w:rsidR="007968EC" w:rsidRDefault="007968EC" w:rsidP="007968EC">
      <w:pPr>
        <w:jc w:val="both"/>
        <w:rPr>
          <w:rFonts w:ascii="Arial Narrow" w:hAnsi="Arial Narrow"/>
        </w:rPr>
      </w:pPr>
      <w:r w:rsidRPr="005F10B9">
        <w:rPr>
          <w:rFonts w:ascii="Arial Narrow" w:hAnsi="Arial Narrow"/>
        </w:rPr>
        <w:t xml:space="preserve"> </w:t>
      </w:r>
    </w:p>
    <w:p w14:paraId="71C4915A" w14:textId="77777777" w:rsidR="007968EC" w:rsidRPr="005F10B9" w:rsidRDefault="007968EC" w:rsidP="007968EC">
      <w:pPr>
        <w:jc w:val="both"/>
        <w:rPr>
          <w:rFonts w:ascii="Arial Narrow" w:hAnsi="Arial Narrow"/>
        </w:rPr>
      </w:pPr>
      <w:r w:rsidRPr="005F10B9">
        <w:rPr>
          <w:rFonts w:ascii="Arial Narrow" w:hAnsi="Arial Narrow"/>
        </w:rPr>
        <w:t>Para obtener la</w:t>
      </w:r>
      <w:r>
        <w:rPr>
          <w:rFonts w:ascii="Arial Narrow" w:hAnsi="Arial Narrow"/>
        </w:rPr>
        <w:t>s</w:t>
      </w:r>
      <w:r w:rsidRPr="005F10B9">
        <w:rPr>
          <w:rFonts w:ascii="Arial Narrow" w:hAnsi="Arial Narrow"/>
        </w:rPr>
        <w:t xml:space="preserve"> Curva</w:t>
      </w:r>
      <w:r>
        <w:rPr>
          <w:rFonts w:ascii="Arial Narrow" w:hAnsi="Arial Narrow"/>
        </w:rPr>
        <w:t>s</w:t>
      </w:r>
      <w:r w:rsidRPr="005F10B9">
        <w:rPr>
          <w:rFonts w:ascii="Arial Narrow" w:hAnsi="Arial Narrow"/>
        </w:rPr>
        <w:t xml:space="preserve"> Cero Cupón modificada</w:t>
      </w:r>
      <w:r>
        <w:rPr>
          <w:rFonts w:ascii="Arial Narrow" w:hAnsi="Arial Narrow"/>
        </w:rPr>
        <w:t>s</w:t>
      </w:r>
      <w:r w:rsidRPr="005F10B9">
        <w:rPr>
          <w:rFonts w:ascii="Arial Narrow" w:hAnsi="Arial Narrow"/>
        </w:rPr>
        <w:t xml:space="preserve"> se le suman o restan las variaciones del escenario “i” a la</w:t>
      </w:r>
      <w:r>
        <w:rPr>
          <w:rFonts w:ascii="Arial Narrow" w:hAnsi="Arial Narrow"/>
        </w:rPr>
        <w:t>s</w:t>
      </w:r>
      <w:r w:rsidRPr="005F10B9">
        <w:rPr>
          <w:rFonts w:ascii="Arial Narrow" w:hAnsi="Arial Narrow"/>
        </w:rPr>
        <w:t xml:space="preserve"> Curva</w:t>
      </w:r>
      <w:r>
        <w:rPr>
          <w:rFonts w:ascii="Arial Narrow" w:hAnsi="Arial Narrow"/>
        </w:rPr>
        <w:t>s</w:t>
      </w:r>
      <w:r w:rsidRPr="005F10B9">
        <w:rPr>
          <w:rFonts w:ascii="Arial Narrow" w:hAnsi="Arial Narrow"/>
        </w:rPr>
        <w:t xml:space="preserve"> Cero Cupón de la sesión, de acuerdo con la siguiente formula:</w:t>
      </w:r>
    </w:p>
    <w:p w14:paraId="1D091E49" w14:textId="77777777" w:rsidR="007968EC" w:rsidRPr="005F10B9" w:rsidRDefault="007968EC" w:rsidP="007968EC">
      <w:pPr>
        <w:rPr>
          <w:rFonts w:ascii="Arial Narrow" w:hAnsi="Arial Narrow"/>
        </w:rPr>
      </w:pPr>
    </w:p>
    <w:p w14:paraId="01DBA247" w14:textId="77777777" w:rsidR="007968EC" w:rsidRPr="005F10B9" w:rsidRDefault="00682D97" w:rsidP="007968EC">
      <w:pPr>
        <w:rPr>
          <w:rFonts w:ascii="Arial Narrow" w:hAnsi="Arial Narrow"/>
        </w:rPr>
      </w:pPr>
      <m:oMathPara>
        <m:oMath>
          <m:sSubSup>
            <m:sSubSupPr>
              <m:ctrlPr>
                <w:rPr>
                  <w:rFonts w:ascii="Cambria Math" w:hAnsi="Cambria Math"/>
                </w:rPr>
              </m:ctrlPr>
            </m:sSubSupPr>
            <m:e>
              <m:r>
                <m:rPr>
                  <m:sty m:val="bi"/>
                </m:rPr>
                <w:rPr>
                  <w:rFonts w:ascii="Cambria Math" w:hAnsi="Cambria Math"/>
                </w:rPr>
                <m:t>ZR</m:t>
              </m:r>
            </m:e>
            <m:sub>
              <m:r>
                <m:rPr>
                  <m:sty m:val="bi"/>
                </m:rPr>
                <w:rPr>
                  <w:rFonts w:ascii="Cambria Math" w:hAnsi="Cambria Math"/>
                </w:rPr>
                <m:t>i Modificado</m:t>
              </m:r>
            </m:sub>
            <m:sup>
              <m:r>
                <m:rPr>
                  <m:sty m:val="bi"/>
                </m:rPr>
                <w:rPr>
                  <w:rFonts w:ascii="Cambria Math" w:hAnsi="Cambria Math"/>
                </w:rPr>
                <m:t>s</m:t>
              </m:r>
            </m:sup>
          </m:sSubSup>
          <m:r>
            <m:rPr>
              <m:sty m:val="bi"/>
            </m:rPr>
            <w:rPr>
              <w:rFonts w:ascii="Cambria Math" w:hAnsi="Cambria Math"/>
            </w:rPr>
            <m:t>=</m:t>
          </m:r>
          <m:sSubSup>
            <m:sSubSupPr>
              <m:ctrlPr>
                <w:rPr>
                  <w:rFonts w:ascii="Cambria Math" w:hAnsi="Cambria Math"/>
                </w:rPr>
              </m:ctrlPr>
            </m:sSubSupPr>
            <m:e>
              <m:r>
                <m:rPr>
                  <m:sty m:val="bi"/>
                </m:rPr>
                <w:rPr>
                  <w:rFonts w:ascii="Cambria Math" w:hAnsi="Cambria Math"/>
                </w:rPr>
                <m:t>ZR</m:t>
              </m:r>
            </m:e>
            <m:sub>
              <m:r>
                <m:rPr>
                  <m:sty m:val="bi"/>
                </m:rPr>
                <w:rPr>
                  <w:rFonts w:ascii="Cambria Math" w:hAnsi="Cambria Math"/>
                </w:rPr>
                <m:t>0</m:t>
              </m:r>
            </m:sub>
            <m:sup>
              <m:r>
                <m:rPr>
                  <m:sty m:val="bi"/>
                </m:rPr>
                <w:rPr>
                  <w:rFonts w:ascii="Cambria Math" w:hAnsi="Cambria Math"/>
                </w:rPr>
                <m:t>s</m:t>
              </m:r>
            </m:sup>
          </m:sSubSup>
          <m:r>
            <m:rPr>
              <m:sty m:val="bi"/>
            </m:rPr>
            <w:rPr>
              <w:rFonts w:ascii="Cambria Math" w:hAnsi="Cambria Math"/>
            </w:rPr>
            <m:t>+</m:t>
          </m:r>
          <m:sSubSup>
            <m:sSubSupPr>
              <m:ctrlPr>
                <w:rPr>
                  <w:rFonts w:ascii="Cambria Math" w:hAnsi="Cambria Math"/>
                </w:rPr>
              </m:ctrlPr>
            </m:sSubSupPr>
            <m:e>
              <m:r>
                <m:rPr>
                  <m:sty m:val="bi"/>
                </m:rPr>
                <w:rPr>
                  <w:rFonts w:ascii="Cambria Math" w:hAnsi="Cambria Math"/>
                </w:rPr>
                <m:t>R</m:t>
              </m:r>
            </m:e>
            <m:sub>
              <m:r>
                <m:rPr>
                  <m:sty m:val="bi"/>
                </m:rPr>
                <w:rPr>
                  <w:rFonts w:ascii="Cambria Math" w:hAnsi="Cambria Math"/>
                </w:rPr>
                <m:t>i</m:t>
              </m:r>
            </m:sub>
            <m:sup>
              <m:r>
                <m:rPr>
                  <m:sty m:val="bi"/>
                </m:rPr>
                <w:rPr>
                  <w:rFonts w:ascii="Cambria Math" w:hAnsi="Cambria Math"/>
                </w:rPr>
                <m:t>s</m:t>
              </m:r>
            </m:sup>
          </m:sSubSup>
          <m:r>
            <m:rPr>
              <m:sty m:val="bi"/>
            </m:rPr>
            <w:rPr>
              <w:rFonts w:ascii="Cambria Math" w:hAnsi="Cambria Math"/>
            </w:rPr>
            <m:t xml:space="preserve">     </m:t>
          </m:r>
        </m:oMath>
      </m:oMathPara>
    </w:p>
    <w:p w14:paraId="61ED2368" w14:textId="77777777" w:rsidR="007968EC" w:rsidRPr="005F10B9" w:rsidRDefault="007968EC" w:rsidP="007968EC">
      <w:pPr>
        <w:rPr>
          <w:rFonts w:ascii="Arial Narrow" w:hAnsi="Arial Narrow"/>
        </w:rPr>
      </w:pPr>
      <w:r w:rsidRPr="005F10B9">
        <w:rPr>
          <w:rFonts w:ascii="Arial Narrow" w:hAnsi="Arial Narrow"/>
        </w:rPr>
        <w:t>Donde:</w:t>
      </w:r>
    </w:p>
    <w:p w14:paraId="61742DAA" w14:textId="77777777" w:rsidR="007968EC" w:rsidRPr="005F10B9" w:rsidRDefault="007968EC" w:rsidP="007968EC">
      <w:pPr>
        <w:rPr>
          <w:rFonts w:ascii="Arial Narrow" w:hAnsi="Arial Narrow"/>
        </w:rPr>
      </w:pPr>
    </w:p>
    <w:p w14:paraId="4108BE48" w14:textId="77777777" w:rsidR="007968EC" w:rsidRPr="005F10B9" w:rsidRDefault="00682D97" w:rsidP="007968EC">
      <w:pPr>
        <w:rPr>
          <w:rFonts w:ascii="Arial Narrow" w:hAnsi="Arial Narrow"/>
        </w:rPr>
      </w:pPr>
      <m:oMath>
        <m:sSubSup>
          <m:sSubSupPr>
            <m:ctrlPr>
              <w:rPr>
                <w:rFonts w:ascii="Cambria Math" w:hAnsi="Cambria Math"/>
              </w:rPr>
            </m:ctrlPr>
          </m:sSubSupPr>
          <m:e>
            <m:r>
              <m:rPr>
                <m:sty m:val="bi"/>
              </m:rPr>
              <w:rPr>
                <w:rFonts w:ascii="Cambria Math" w:hAnsi="Cambria Math"/>
              </w:rPr>
              <m:t>ZR</m:t>
            </m:r>
          </m:e>
          <m:sub>
            <m:r>
              <m:rPr>
                <m:sty m:val="bi"/>
              </m:rPr>
              <w:rPr>
                <w:rFonts w:ascii="Cambria Math" w:hAnsi="Cambria Math"/>
              </w:rPr>
              <m:t>i modificado</m:t>
            </m:r>
          </m:sub>
          <m:sup>
            <m:r>
              <m:rPr>
                <m:sty m:val="bi"/>
              </m:rPr>
              <w:rPr>
                <w:rFonts w:ascii="Cambria Math" w:hAnsi="Cambria Math"/>
              </w:rPr>
              <m:t>s</m:t>
            </m:r>
          </m:sup>
        </m:sSubSup>
        <m:r>
          <m:rPr>
            <m:sty m:val="bi"/>
          </m:rPr>
          <w:rPr>
            <w:rFonts w:ascii="Cambria Math" w:hAnsi="Cambria Math"/>
          </w:rPr>
          <m:t>:</m:t>
        </m:r>
      </m:oMath>
      <w:r w:rsidR="007968EC" w:rsidRPr="005F10B9">
        <w:rPr>
          <w:rFonts w:ascii="Arial Narrow" w:hAnsi="Arial Narrow"/>
        </w:rPr>
        <w:t xml:space="preserve"> Es la Tasa Cero Cupón modificada </w:t>
      </w:r>
      <w:r w:rsidR="007968EC">
        <w:rPr>
          <w:rFonts w:ascii="Arial Narrow" w:hAnsi="Arial Narrow"/>
        </w:rPr>
        <w:t>según Curva y</w:t>
      </w:r>
      <w:r w:rsidR="007968EC" w:rsidRPr="005F10B9">
        <w:rPr>
          <w:rFonts w:ascii="Arial Narrow" w:hAnsi="Arial Narrow"/>
        </w:rPr>
        <w:t xml:space="preserve"> plazo “s” para el escenario “i” (i = 1…, Peor Escenario).</w:t>
      </w:r>
    </w:p>
    <w:p w14:paraId="07789CBD" w14:textId="77777777" w:rsidR="007968EC" w:rsidRPr="005F10B9" w:rsidRDefault="00682D97" w:rsidP="007968EC">
      <w:pPr>
        <w:jc w:val="both"/>
        <w:rPr>
          <w:rFonts w:ascii="Arial Narrow" w:hAnsi="Arial Narrow"/>
        </w:rPr>
      </w:pPr>
      <m:oMath>
        <m:sSubSup>
          <m:sSubSupPr>
            <m:ctrlPr>
              <w:rPr>
                <w:rFonts w:ascii="Cambria Math" w:hAnsi="Cambria Math"/>
              </w:rPr>
            </m:ctrlPr>
          </m:sSubSupPr>
          <m:e>
            <m:r>
              <m:rPr>
                <m:sty m:val="bi"/>
              </m:rPr>
              <w:rPr>
                <w:rFonts w:ascii="Cambria Math" w:hAnsi="Cambria Math"/>
              </w:rPr>
              <m:t>ZR</m:t>
            </m:r>
          </m:e>
          <m:sub>
            <m:r>
              <m:rPr>
                <m:sty m:val="bi"/>
              </m:rPr>
              <w:rPr>
                <w:rFonts w:ascii="Cambria Math" w:hAnsi="Cambria Math"/>
              </w:rPr>
              <m:t>0</m:t>
            </m:r>
          </m:sub>
          <m:sup>
            <m:r>
              <m:rPr>
                <m:sty m:val="bi"/>
              </m:rPr>
              <w:rPr>
                <w:rFonts w:ascii="Cambria Math" w:hAnsi="Cambria Math"/>
              </w:rPr>
              <m:t>s</m:t>
            </m:r>
          </m:sup>
        </m:sSubSup>
      </m:oMath>
      <w:r w:rsidR="007968EC" w:rsidRPr="005F10B9">
        <w:rPr>
          <w:rFonts w:ascii="Arial Narrow" w:hAnsi="Arial Narrow"/>
        </w:rPr>
        <w:t xml:space="preserve">: Es el Tasa Cero Cupón </w:t>
      </w:r>
      <w:r w:rsidR="007968EC">
        <w:rPr>
          <w:rFonts w:ascii="Arial Narrow" w:hAnsi="Arial Narrow"/>
        </w:rPr>
        <w:t>según Curva y</w:t>
      </w:r>
      <w:r w:rsidR="007968EC" w:rsidRPr="005F10B9">
        <w:rPr>
          <w:rFonts w:ascii="Arial Narrow" w:hAnsi="Arial Narrow"/>
        </w:rPr>
        <w:t xml:space="preserve"> plazo “s”</w:t>
      </w:r>
      <w:r w:rsidR="007968EC" w:rsidRPr="005F10B9" w:rsidDel="0072058A">
        <w:rPr>
          <w:rFonts w:ascii="Arial Narrow" w:hAnsi="Arial Narrow"/>
        </w:rPr>
        <w:t xml:space="preserve"> </w:t>
      </w:r>
      <w:r w:rsidR="007968EC" w:rsidRPr="005F10B9">
        <w:rPr>
          <w:rFonts w:ascii="Arial Narrow" w:hAnsi="Arial Narrow"/>
        </w:rPr>
        <w:t>“s”</w:t>
      </w:r>
      <w:r w:rsidR="007968EC">
        <w:rPr>
          <w:rFonts w:ascii="Arial Narrow" w:hAnsi="Arial Narrow"/>
        </w:rPr>
        <w:t xml:space="preserve"> </w:t>
      </w:r>
      <w:r w:rsidR="007968EC" w:rsidRPr="005F10B9">
        <w:rPr>
          <w:rFonts w:ascii="Arial Narrow" w:hAnsi="Arial Narrow"/>
        </w:rPr>
        <w:t>existente en el momento de la revaluación.</w:t>
      </w:r>
    </w:p>
    <w:p w14:paraId="3921A433" w14:textId="77777777" w:rsidR="007968EC" w:rsidRPr="005F10B9" w:rsidRDefault="00682D97" w:rsidP="007968EC">
      <w:pPr>
        <w:jc w:val="both"/>
        <w:rPr>
          <w:rFonts w:ascii="Arial Narrow" w:hAnsi="Arial Narrow"/>
        </w:rPr>
      </w:pPr>
      <m:oMath>
        <m:sSubSup>
          <m:sSubSupPr>
            <m:ctrlPr>
              <w:rPr>
                <w:rFonts w:ascii="Cambria Math" w:hAnsi="Cambria Math"/>
              </w:rPr>
            </m:ctrlPr>
          </m:sSubSupPr>
          <m:e>
            <m:r>
              <m:rPr>
                <m:sty m:val="bi"/>
              </m:rPr>
              <w:rPr>
                <w:rFonts w:ascii="Cambria Math" w:hAnsi="Cambria Math"/>
              </w:rPr>
              <m:t>R</m:t>
            </m:r>
          </m:e>
          <m:sub>
            <m:r>
              <m:rPr>
                <m:sty m:val="bi"/>
              </m:rPr>
              <w:rPr>
                <w:rFonts w:ascii="Cambria Math" w:hAnsi="Cambria Math"/>
              </w:rPr>
              <m:t>i</m:t>
            </m:r>
          </m:sub>
          <m:sup>
            <m:r>
              <m:rPr>
                <m:sty m:val="bi"/>
              </m:rPr>
              <w:rPr>
                <w:rFonts w:ascii="Cambria Math" w:hAnsi="Cambria Math"/>
              </w:rPr>
              <m:t>s</m:t>
            </m:r>
          </m:sup>
        </m:sSubSup>
      </m:oMath>
      <w:r w:rsidR="007968EC" w:rsidRPr="005F10B9">
        <w:rPr>
          <w:rFonts w:ascii="Arial Narrow" w:hAnsi="Arial Narrow"/>
        </w:rPr>
        <w:t>: Es el retorno para l</w:t>
      </w:r>
      <w:r w:rsidR="007968EC">
        <w:rPr>
          <w:rFonts w:ascii="Arial Narrow" w:hAnsi="Arial Narrow"/>
        </w:rPr>
        <w:t>a</w:t>
      </w:r>
      <w:r w:rsidR="007968EC" w:rsidRPr="005F10B9">
        <w:rPr>
          <w:rFonts w:ascii="Arial Narrow" w:hAnsi="Arial Narrow"/>
        </w:rPr>
        <w:t xml:space="preserve"> Tasa Cero Cupón </w:t>
      </w:r>
      <w:r w:rsidR="007968EC">
        <w:rPr>
          <w:rFonts w:ascii="Arial Narrow" w:hAnsi="Arial Narrow"/>
        </w:rPr>
        <w:t>según Curva y</w:t>
      </w:r>
      <w:r w:rsidR="007968EC" w:rsidRPr="005F10B9">
        <w:rPr>
          <w:rFonts w:ascii="Arial Narrow" w:hAnsi="Arial Narrow"/>
        </w:rPr>
        <w:t xml:space="preserve"> plazo  “s” en el escenario “i” (i = 1…, Peor Escenario), expresado en puntos básicos.</w:t>
      </w:r>
    </w:p>
    <w:p w14:paraId="5AA51271" w14:textId="77777777" w:rsidR="007968EC" w:rsidRDefault="007968EC" w:rsidP="007968EC">
      <w:pPr>
        <w:jc w:val="both"/>
        <w:rPr>
          <w:rFonts w:ascii="Arial Narrow" w:hAnsi="Arial Narrow"/>
        </w:rPr>
      </w:pPr>
    </w:p>
    <w:p w14:paraId="09C151B2" w14:textId="77777777" w:rsidR="007968EC" w:rsidRDefault="007968EC" w:rsidP="007968EC">
      <w:pPr>
        <w:jc w:val="both"/>
        <w:rPr>
          <w:rFonts w:ascii="Arial Narrow" w:hAnsi="Arial Narrow"/>
        </w:rPr>
      </w:pPr>
      <w:r>
        <w:rPr>
          <w:rFonts w:ascii="Arial Narrow" w:hAnsi="Arial Narrow"/>
        </w:rPr>
        <w:t xml:space="preserve">Para el caso de los Swaps de moneda además de calcular las Curvas Cero Cupón Modificadas se deberá calcular la TRM modificada para el escenario “i” (i=1, …, Peor Escenario). </w:t>
      </w:r>
    </w:p>
    <w:p w14:paraId="5867C891" w14:textId="77777777" w:rsidR="007968EC" w:rsidRDefault="007968EC" w:rsidP="007968EC">
      <w:pPr>
        <w:jc w:val="both"/>
        <w:rPr>
          <w:rFonts w:ascii="Arial Narrow" w:hAnsi="Arial Narrow"/>
        </w:rPr>
      </w:pPr>
    </w:p>
    <w:p w14:paraId="208657A4" w14:textId="77777777" w:rsidR="007968EC" w:rsidRPr="009E59F8" w:rsidRDefault="007968EC" w:rsidP="007968EC">
      <w:pPr>
        <w:jc w:val="both"/>
        <w:rPr>
          <w:rFonts w:ascii="Arial Narrow" w:hAnsi="Arial Narrow"/>
        </w:rPr>
      </w:pPr>
      <w:r w:rsidRPr="005F10B9">
        <w:rPr>
          <w:rFonts w:ascii="Arial Narrow" w:hAnsi="Arial Narrow"/>
        </w:rPr>
        <w:t>Finalmente</w:t>
      </w:r>
      <w:r>
        <w:rPr>
          <w:rFonts w:ascii="Arial Narrow" w:hAnsi="Arial Narrow"/>
        </w:rPr>
        <w:t>,</w:t>
      </w:r>
      <w:r w:rsidRPr="005F10B9">
        <w:rPr>
          <w:rFonts w:ascii="Arial Narrow" w:hAnsi="Arial Narrow"/>
        </w:rPr>
        <w:t xml:space="preserve"> se procede a calcular el VaR Histórico con el nivel de confianza definido en el artículo 5.5.2.5. Utilizando este parámetro se obtiene el Peor Escenario</w:t>
      </w:r>
      <w:r>
        <w:rPr>
          <w:rFonts w:ascii="Arial Narrow" w:hAnsi="Arial Narrow"/>
        </w:rPr>
        <w:t>, es</w:t>
      </w:r>
      <w:r w:rsidRPr="005F10B9">
        <w:rPr>
          <w:rFonts w:ascii="Arial Narrow" w:hAnsi="Arial Narrow"/>
        </w:rPr>
        <w:t xml:space="preserve"> decir, se hace </w:t>
      </w:r>
      <w:r w:rsidRPr="005F10B9">
        <w:rPr>
          <w:rFonts w:ascii="Arial Narrow" w:hAnsi="Arial Narrow"/>
          <w:i/>
        </w:rPr>
        <w:t xml:space="preserve">Full </w:t>
      </w:r>
      <w:proofErr w:type="spellStart"/>
      <w:r w:rsidRPr="005F10B9">
        <w:rPr>
          <w:rFonts w:ascii="Arial Narrow" w:hAnsi="Arial Narrow"/>
          <w:i/>
        </w:rPr>
        <w:t>Valuation</w:t>
      </w:r>
      <w:proofErr w:type="spellEnd"/>
      <w:r w:rsidRPr="005F10B9">
        <w:rPr>
          <w:rFonts w:ascii="Arial Narrow" w:hAnsi="Arial Narrow"/>
        </w:rPr>
        <w:t xml:space="preserve"> de los Peores Escenarios seleccionados y se escoge el escenario que coincida con </w:t>
      </w:r>
      <w:r>
        <w:rPr>
          <w:rFonts w:ascii="Arial Narrow" w:hAnsi="Arial Narrow"/>
        </w:rPr>
        <w:t>el</w:t>
      </w:r>
      <w:r w:rsidRPr="005F10B9">
        <w:rPr>
          <w:rFonts w:ascii="Arial Narrow" w:hAnsi="Arial Narrow"/>
        </w:rPr>
        <w:t xml:space="preserve"> nivel de confianza</w:t>
      </w:r>
      <w:r>
        <w:rPr>
          <w:rFonts w:ascii="Arial Narrow" w:hAnsi="Arial Narrow"/>
        </w:rPr>
        <w:t xml:space="preserve"> antes señalado.</w:t>
      </w:r>
    </w:p>
    <w:p w14:paraId="5CDCF6CF" w14:textId="77777777" w:rsidR="007968EC" w:rsidRDefault="007968EC" w:rsidP="007968EC">
      <w:pPr>
        <w:jc w:val="both"/>
        <w:rPr>
          <w:rFonts w:ascii="Arial Narrow" w:hAnsi="Arial Narrow"/>
        </w:rPr>
      </w:pPr>
    </w:p>
    <w:p w14:paraId="23F540F0" w14:textId="77777777" w:rsidR="007968EC" w:rsidRPr="009E59F8" w:rsidRDefault="007968EC" w:rsidP="007968EC">
      <w:pPr>
        <w:jc w:val="both"/>
        <w:rPr>
          <w:rFonts w:ascii="Arial Narrow" w:hAnsi="Arial Narrow"/>
        </w:rPr>
      </w:pPr>
    </w:p>
    <w:p w14:paraId="12C8F395" w14:textId="77777777" w:rsidR="007968EC" w:rsidRPr="005F10B9" w:rsidRDefault="007968EC" w:rsidP="00DA7472">
      <w:pPr>
        <w:numPr>
          <w:ilvl w:val="1"/>
          <w:numId w:val="350"/>
        </w:numPr>
        <w:tabs>
          <w:tab w:val="left" w:pos="709"/>
        </w:tabs>
        <w:ind w:left="851"/>
        <w:rPr>
          <w:rFonts w:ascii="Arial Narrow" w:hAnsi="Arial Narrow" w:cs="Arial"/>
          <w:lang w:eastAsia="es-CO"/>
        </w:rPr>
      </w:pPr>
      <w:r w:rsidRPr="005F10B9">
        <w:rPr>
          <w:rFonts w:ascii="Arial Narrow" w:hAnsi="Arial Narrow" w:cs="Arial"/>
          <w:lang w:eastAsia="es-CO"/>
        </w:rPr>
        <w:t>Método de cálculo del IM Base de la Máxima Pérdida Esperada (</w:t>
      </w:r>
      <w:proofErr w:type="spellStart"/>
      <w:r w:rsidRPr="005F10B9">
        <w:rPr>
          <w:rFonts w:ascii="Arial Narrow" w:hAnsi="Arial Narrow" w:cs="Arial"/>
          <w:lang w:eastAsia="es-CO"/>
        </w:rPr>
        <w:t>Expected</w:t>
      </w:r>
      <w:proofErr w:type="spellEnd"/>
      <w:r w:rsidRPr="005F10B9">
        <w:rPr>
          <w:rFonts w:ascii="Arial Narrow" w:hAnsi="Arial Narrow" w:cs="Arial"/>
          <w:lang w:eastAsia="es-CO"/>
        </w:rPr>
        <w:t xml:space="preserve"> </w:t>
      </w:r>
      <w:proofErr w:type="spellStart"/>
      <w:r w:rsidRPr="005F10B9">
        <w:rPr>
          <w:rFonts w:ascii="Arial Narrow" w:hAnsi="Arial Narrow" w:cs="Arial"/>
          <w:lang w:eastAsia="es-CO"/>
        </w:rPr>
        <w:t>Shortfall</w:t>
      </w:r>
      <w:proofErr w:type="spellEnd"/>
      <w:r w:rsidRPr="005F10B9">
        <w:rPr>
          <w:rFonts w:ascii="Arial Narrow" w:hAnsi="Arial Narrow" w:cs="Arial"/>
          <w:lang w:eastAsia="es-CO"/>
        </w:rPr>
        <w:t xml:space="preserve">) (ES) </w:t>
      </w:r>
    </w:p>
    <w:p w14:paraId="42355E0A" w14:textId="77777777" w:rsidR="007968EC" w:rsidRPr="005F10B9" w:rsidRDefault="007968EC" w:rsidP="007968EC">
      <w:pPr>
        <w:ind w:left="390"/>
        <w:jc w:val="both"/>
        <w:rPr>
          <w:rFonts w:ascii="Arial Narrow" w:hAnsi="Arial Narrow" w:cs="Arial"/>
          <w:b/>
          <w:lang w:eastAsia="es-CO"/>
        </w:rPr>
      </w:pPr>
    </w:p>
    <w:p w14:paraId="14658758" w14:textId="77777777" w:rsidR="007968EC" w:rsidRPr="005F10B9" w:rsidRDefault="007968EC" w:rsidP="007968EC">
      <w:pPr>
        <w:jc w:val="both"/>
        <w:rPr>
          <w:rFonts w:ascii="Arial Narrow" w:hAnsi="Arial Narrow"/>
        </w:rPr>
      </w:pPr>
      <w:r w:rsidRPr="005F10B9">
        <w:rPr>
          <w:rFonts w:ascii="Arial Narrow" w:hAnsi="Arial Narrow"/>
        </w:rPr>
        <w:t>El algoritmo de cálculo del IM Base a través del método de la Máxima Esperada Pérdida consta de los siguientes pasos:</w:t>
      </w:r>
    </w:p>
    <w:p w14:paraId="1605E90D" w14:textId="77777777" w:rsidR="007968EC" w:rsidRPr="005F10B9" w:rsidRDefault="007968EC" w:rsidP="007968EC">
      <w:pPr>
        <w:jc w:val="both"/>
        <w:rPr>
          <w:rFonts w:ascii="Arial Narrow" w:hAnsi="Arial Narrow"/>
        </w:rPr>
      </w:pPr>
    </w:p>
    <w:p w14:paraId="7BCA6665" w14:textId="77777777" w:rsidR="007968EC" w:rsidRPr="005F10B9" w:rsidRDefault="007968EC" w:rsidP="00DA7472">
      <w:pPr>
        <w:numPr>
          <w:ilvl w:val="0"/>
          <w:numId w:val="351"/>
        </w:numPr>
        <w:tabs>
          <w:tab w:val="left" w:pos="567"/>
        </w:tabs>
        <w:ind w:left="1134"/>
        <w:rPr>
          <w:rFonts w:ascii="Arial Narrow" w:hAnsi="Arial Narrow" w:cs="Arial"/>
          <w:lang w:eastAsia="es-CO"/>
        </w:rPr>
      </w:pPr>
      <w:r w:rsidRPr="005F10B9">
        <w:rPr>
          <w:rFonts w:ascii="Arial Narrow" w:hAnsi="Arial Narrow" w:cs="Arial"/>
          <w:lang w:eastAsia="es-CO"/>
        </w:rPr>
        <w:t>Creación tabla de Retornos</w:t>
      </w:r>
    </w:p>
    <w:p w14:paraId="1EC72642" w14:textId="77777777" w:rsidR="007968EC" w:rsidRPr="005F10B9" w:rsidRDefault="007968EC" w:rsidP="007968EC">
      <w:pPr>
        <w:ind w:left="426"/>
        <w:jc w:val="both"/>
        <w:rPr>
          <w:rFonts w:ascii="Arial Narrow" w:hAnsi="Arial Narrow" w:cs="Arial"/>
          <w:b/>
          <w:lang w:eastAsia="es-CO"/>
        </w:rPr>
      </w:pPr>
    </w:p>
    <w:p w14:paraId="5913654D" w14:textId="77777777" w:rsidR="007968EC" w:rsidRPr="005F10B9" w:rsidRDefault="007968EC" w:rsidP="007968EC">
      <w:pPr>
        <w:jc w:val="both"/>
        <w:rPr>
          <w:rFonts w:ascii="Arial Narrow" w:hAnsi="Arial Narrow"/>
        </w:rPr>
      </w:pPr>
      <w:r w:rsidRPr="005F10B9">
        <w:rPr>
          <w:rFonts w:ascii="Arial Narrow" w:hAnsi="Arial Narrow"/>
        </w:rPr>
        <w:t xml:space="preserve">La tabla de retornos en el método ES se calcula de la misma manera a la realizada en el punto </w:t>
      </w:r>
      <w:r>
        <w:rPr>
          <w:rFonts w:ascii="Arial Narrow" w:hAnsi="Arial Narrow"/>
        </w:rPr>
        <w:t>(i)</w:t>
      </w:r>
      <w:r w:rsidRPr="005F10B9">
        <w:rPr>
          <w:rFonts w:ascii="Arial Narrow" w:hAnsi="Arial Narrow"/>
        </w:rPr>
        <w:t xml:space="preserve"> del numeral 1.</w:t>
      </w:r>
      <w:r>
        <w:rPr>
          <w:rFonts w:ascii="Arial Narrow" w:hAnsi="Arial Narrow"/>
        </w:rPr>
        <w:t>a</w:t>
      </w:r>
    </w:p>
    <w:p w14:paraId="58222512" w14:textId="77777777" w:rsidR="007968EC" w:rsidRPr="005F10B9" w:rsidRDefault="007968EC" w:rsidP="007968EC">
      <w:pPr>
        <w:jc w:val="both"/>
        <w:rPr>
          <w:rFonts w:ascii="Arial Narrow" w:hAnsi="Arial Narrow"/>
        </w:rPr>
      </w:pPr>
    </w:p>
    <w:p w14:paraId="30F5052C" w14:textId="77777777" w:rsidR="007968EC" w:rsidRPr="005F10B9" w:rsidRDefault="007968EC" w:rsidP="00DA7472">
      <w:pPr>
        <w:numPr>
          <w:ilvl w:val="0"/>
          <w:numId w:val="351"/>
        </w:numPr>
        <w:tabs>
          <w:tab w:val="left" w:pos="567"/>
        </w:tabs>
        <w:ind w:left="1134"/>
        <w:rPr>
          <w:rFonts w:ascii="Arial Narrow" w:hAnsi="Arial Narrow" w:cs="Arial"/>
          <w:b/>
          <w:lang w:eastAsia="es-CO"/>
        </w:rPr>
      </w:pPr>
      <w:r w:rsidRPr="005F10B9">
        <w:rPr>
          <w:rFonts w:ascii="Arial Narrow" w:hAnsi="Arial Narrow" w:cs="Arial"/>
          <w:lang w:eastAsia="es-CO"/>
        </w:rPr>
        <w:t>Ajuste de Retornos por volatilidad actual</w:t>
      </w:r>
    </w:p>
    <w:p w14:paraId="42D43676" w14:textId="77777777" w:rsidR="007968EC" w:rsidRPr="005F10B9" w:rsidRDefault="007968EC" w:rsidP="007968EC">
      <w:pPr>
        <w:jc w:val="both"/>
        <w:rPr>
          <w:rFonts w:ascii="Arial Narrow" w:hAnsi="Arial Narrow"/>
        </w:rPr>
      </w:pPr>
    </w:p>
    <w:p w14:paraId="623A1FA9" w14:textId="77777777" w:rsidR="007968EC" w:rsidRPr="005F10B9" w:rsidRDefault="007968EC" w:rsidP="007968EC">
      <w:pPr>
        <w:jc w:val="both"/>
        <w:rPr>
          <w:rFonts w:ascii="Arial Narrow" w:hAnsi="Arial Narrow"/>
        </w:rPr>
      </w:pPr>
      <w:r w:rsidRPr="005F10B9">
        <w:rPr>
          <w:rFonts w:ascii="Arial Narrow" w:hAnsi="Arial Narrow"/>
        </w:rPr>
        <w:t xml:space="preserve">Se calcula la volatilidad histórica de la tabla de retornos del apartado anterior, obteniendo un dato de volatilidad </w:t>
      </w:r>
      <w:r>
        <w:rPr>
          <w:rFonts w:ascii="Arial Narrow" w:hAnsi="Arial Narrow"/>
        </w:rPr>
        <w:t>por Curva y</w:t>
      </w:r>
      <w:r w:rsidRPr="005F10B9">
        <w:rPr>
          <w:rFonts w:ascii="Arial Narrow" w:hAnsi="Arial Narrow"/>
        </w:rPr>
        <w:t xml:space="preserve"> plazo</w:t>
      </w:r>
      <w:r>
        <w:rPr>
          <w:rFonts w:ascii="Arial Narrow" w:hAnsi="Arial Narrow"/>
        </w:rPr>
        <w:t xml:space="preserve"> </w:t>
      </w:r>
      <w:r w:rsidRPr="005F10B9">
        <w:rPr>
          <w:rFonts w:ascii="Arial Narrow" w:hAnsi="Arial Narrow"/>
        </w:rPr>
        <w:t>para</w:t>
      </w:r>
      <w:r>
        <w:rPr>
          <w:rFonts w:ascii="Arial Narrow" w:hAnsi="Arial Narrow"/>
        </w:rPr>
        <w:t xml:space="preserve"> </w:t>
      </w:r>
      <w:r w:rsidRPr="005F10B9">
        <w:rPr>
          <w:rFonts w:ascii="Arial Narrow" w:hAnsi="Arial Narrow"/>
        </w:rPr>
        <w:t>cada uno de los escenarios obtenidos anteriormente.</w:t>
      </w:r>
    </w:p>
    <w:p w14:paraId="6ADD8B95" w14:textId="77777777" w:rsidR="007968EC" w:rsidRDefault="007968EC" w:rsidP="007968EC">
      <w:pPr>
        <w:jc w:val="both"/>
        <w:rPr>
          <w:rFonts w:ascii="Arial Narrow" w:hAnsi="Arial Narrow"/>
        </w:rPr>
      </w:pPr>
    </w:p>
    <w:p w14:paraId="5040B044" w14:textId="77777777" w:rsidR="007968EC" w:rsidRDefault="007968EC" w:rsidP="007968EC">
      <w:pPr>
        <w:jc w:val="both"/>
        <w:rPr>
          <w:rFonts w:ascii="Arial Narrow" w:hAnsi="Arial Narrow"/>
        </w:rPr>
      </w:pPr>
      <w:r w:rsidRPr="005F10B9">
        <w:rPr>
          <w:rFonts w:ascii="Arial Narrow" w:hAnsi="Arial Narrow"/>
        </w:rPr>
        <w:lastRenderedPageBreak/>
        <w:t>La volatilidad histórica, σ, se calcula usando el modelo de Media Móvil Ponderada Exponencialmente (</w:t>
      </w:r>
      <w:proofErr w:type="spellStart"/>
      <w:r w:rsidRPr="005F10B9">
        <w:rPr>
          <w:rFonts w:ascii="Arial Narrow" w:hAnsi="Arial Narrow"/>
        </w:rPr>
        <w:t>Exponentially</w:t>
      </w:r>
      <w:proofErr w:type="spellEnd"/>
      <w:r w:rsidRPr="005F10B9">
        <w:rPr>
          <w:rFonts w:ascii="Arial Narrow" w:hAnsi="Arial Narrow"/>
        </w:rPr>
        <w:t xml:space="preserve"> </w:t>
      </w:r>
      <w:proofErr w:type="spellStart"/>
      <w:r w:rsidRPr="005F10B9">
        <w:rPr>
          <w:rFonts w:ascii="Arial Narrow" w:hAnsi="Arial Narrow"/>
        </w:rPr>
        <w:t>Weighted</w:t>
      </w:r>
      <w:proofErr w:type="spellEnd"/>
      <w:r w:rsidRPr="005F10B9">
        <w:rPr>
          <w:rFonts w:ascii="Arial Narrow" w:hAnsi="Arial Narrow"/>
        </w:rPr>
        <w:t xml:space="preserve"> </w:t>
      </w:r>
      <w:proofErr w:type="spellStart"/>
      <w:r w:rsidRPr="005F10B9">
        <w:rPr>
          <w:rFonts w:ascii="Arial Narrow" w:hAnsi="Arial Narrow"/>
        </w:rPr>
        <w:t>Moving</w:t>
      </w:r>
      <w:proofErr w:type="spellEnd"/>
      <w:r w:rsidRPr="005F10B9">
        <w:rPr>
          <w:rFonts w:ascii="Arial Narrow" w:hAnsi="Arial Narrow"/>
        </w:rPr>
        <w:t xml:space="preserve"> </w:t>
      </w:r>
      <w:proofErr w:type="spellStart"/>
      <w:r w:rsidRPr="005F10B9">
        <w:rPr>
          <w:rFonts w:ascii="Arial Narrow" w:hAnsi="Arial Narrow"/>
        </w:rPr>
        <w:t>Average</w:t>
      </w:r>
      <w:proofErr w:type="spellEnd"/>
      <w:r w:rsidRPr="005F10B9">
        <w:rPr>
          <w:rFonts w:ascii="Arial Narrow" w:hAnsi="Arial Narrow"/>
        </w:rPr>
        <w:t xml:space="preserve">, EWMA), con un factor de decaimiento λ, definido en el artículo 5.5.2.5. </w:t>
      </w:r>
    </w:p>
    <w:p w14:paraId="5CB6F226" w14:textId="77777777" w:rsidR="007968EC" w:rsidRPr="005F10B9" w:rsidRDefault="007968EC" w:rsidP="007968EC">
      <w:pPr>
        <w:rPr>
          <w:rFonts w:ascii="Arial Narrow" w:hAnsi="Arial Narrow"/>
        </w:rPr>
      </w:pPr>
    </w:p>
    <w:p w14:paraId="717486A6" w14:textId="77777777" w:rsidR="007968EC" w:rsidRPr="005F10B9" w:rsidRDefault="007968EC" w:rsidP="007968EC">
      <w:pPr>
        <w:rPr>
          <w:rFonts w:ascii="Arial Narrow" w:hAnsi="Arial Narrow"/>
        </w:rPr>
      </w:pPr>
      <w:r w:rsidRPr="005F10B9">
        <w:rPr>
          <w:rFonts w:ascii="Arial Narrow" w:hAnsi="Arial Narrow"/>
        </w:rPr>
        <w:t>La volatilidad ajustada se obtiene a partir de la volatilidad calculada del día hábil anterior ponderada por λ y del retorno que corresponda en la fecha de cálculo ponderado por 1- λ.</w:t>
      </w:r>
    </w:p>
    <w:p w14:paraId="1E5E8F42" w14:textId="77777777" w:rsidR="007968EC" w:rsidRPr="005F10B9" w:rsidRDefault="007968EC" w:rsidP="007968EC">
      <w:pPr>
        <w:rPr>
          <w:rFonts w:ascii="Arial Narrow" w:hAnsi="Arial Narrow"/>
        </w:rPr>
      </w:pPr>
    </w:p>
    <w:p w14:paraId="2CAAA1AE" w14:textId="77777777" w:rsidR="007968EC" w:rsidRPr="005F10B9" w:rsidRDefault="00682D97" w:rsidP="007968EC">
      <w:pPr>
        <w:rPr>
          <w:rFonts w:ascii="Arial Narrow" w:hAnsi="Arial Narrow"/>
        </w:rPr>
      </w:pPr>
      <m:oMathPara>
        <m:oMath>
          <m:sSubSup>
            <m:sSubSupPr>
              <m:ctrlPr>
                <w:rPr>
                  <w:rFonts w:ascii="Cambria Math" w:hAnsi="Cambria Math"/>
                </w:rPr>
              </m:ctrlPr>
            </m:sSubSupPr>
            <m:e>
              <m:r>
                <m:rPr>
                  <m:sty m:val="bi"/>
                </m:rPr>
                <w:rPr>
                  <w:rFonts w:ascii="Cambria Math" w:hAnsi="Cambria Math"/>
                </w:rPr>
                <m:t>σ</m:t>
              </m:r>
            </m:e>
            <m:sub>
              <m:r>
                <m:rPr>
                  <m:sty m:val="bi"/>
                </m:rPr>
                <w:rPr>
                  <w:rFonts w:ascii="Cambria Math" w:hAnsi="Cambria Math"/>
                </w:rPr>
                <m:t>t</m:t>
              </m:r>
            </m:sub>
            <m:sup>
              <m:r>
                <m:rPr>
                  <m:sty m:val="bi"/>
                </m:rPr>
                <w:rPr>
                  <w:rFonts w:ascii="Cambria Math" w:hAnsi="Cambria Math"/>
                </w:rPr>
                <m:t>s</m:t>
              </m:r>
            </m:sup>
          </m:sSubSup>
          <m:r>
            <m:rPr>
              <m:sty m:val="bi"/>
            </m:rPr>
            <w:rPr>
              <w:rFonts w:ascii="Cambria Math" w:hAnsi="Cambria Math"/>
            </w:rPr>
            <m:t>=</m:t>
          </m:r>
          <m:rad>
            <m:radPr>
              <m:degHide m:val="1"/>
              <m:ctrlPr>
                <w:rPr>
                  <w:rFonts w:ascii="Cambria Math" w:hAnsi="Cambria Math"/>
                </w:rPr>
              </m:ctrlPr>
            </m:radPr>
            <m:deg/>
            <m:e>
              <m:r>
                <m:rPr>
                  <m:sty m:val="bi"/>
                </m:rPr>
                <w:rPr>
                  <w:rFonts w:ascii="Cambria Math" w:hAnsi="Cambria Math"/>
                </w:rPr>
                <m:t>λ</m:t>
              </m:r>
              <m:sSup>
                <m:sSupPr>
                  <m:ctrlPr>
                    <w:rPr>
                      <w:rFonts w:ascii="Cambria Math" w:hAnsi="Cambria Math"/>
                    </w:rPr>
                  </m:ctrlPr>
                </m:sSupPr>
                <m:e>
                  <m:r>
                    <m:rPr>
                      <m:sty m:val="bi"/>
                    </m:rPr>
                    <w:rPr>
                      <w:rFonts w:ascii="Cambria Math" w:hAnsi="Cambria Math"/>
                    </w:rPr>
                    <m:t>(</m:t>
                  </m:r>
                  <m:sSubSup>
                    <m:sSubSupPr>
                      <m:ctrlPr>
                        <w:rPr>
                          <w:rFonts w:ascii="Cambria Math" w:hAnsi="Cambria Math"/>
                        </w:rPr>
                      </m:ctrlPr>
                    </m:sSubSupPr>
                    <m:e>
                      <m:r>
                        <m:rPr>
                          <m:sty m:val="bi"/>
                        </m:rPr>
                        <w:rPr>
                          <w:rFonts w:ascii="Cambria Math" w:hAnsi="Cambria Math"/>
                        </w:rPr>
                        <m:t>σ</m:t>
                      </m:r>
                    </m:e>
                    <m:sub>
                      <m:r>
                        <m:rPr>
                          <m:sty m:val="bi"/>
                        </m:rPr>
                        <w:rPr>
                          <w:rFonts w:ascii="Cambria Math" w:hAnsi="Cambria Math"/>
                        </w:rPr>
                        <m:t>t-1</m:t>
                      </m:r>
                    </m:sub>
                    <m:sup>
                      <m:r>
                        <m:rPr>
                          <m:sty m:val="bi"/>
                        </m:rPr>
                        <w:rPr>
                          <w:rFonts w:ascii="Cambria Math" w:hAnsi="Cambria Math"/>
                        </w:rPr>
                        <m:t>s</m:t>
                      </m:r>
                    </m:sup>
                  </m:sSubSup>
                  <m:r>
                    <m:rPr>
                      <m:sty m:val="bi"/>
                    </m:rPr>
                    <w:rPr>
                      <w:rFonts w:ascii="Cambria Math" w:hAnsi="Cambria Math"/>
                    </w:rPr>
                    <m:t>)</m:t>
                  </m:r>
                </m:e>
                <m:sup>
                  <m:r>
                    <m:rPr>
                      <m:sty m:val="bi"/>
                    </m:rPr>
                    <w:rPr>
                      <w:rFonts w:ascii="Cambria Math" w:hAnsi="Cambria Math"/>
                    </w:rPr>
                    <m:t>2</m:t>
                  </m:r>
                </m:sup>
              </m:sSup>
              <m:r>
                <m:rPr>
                  <m:sty m:val="bi"/>
                </m:rPr>
                <w:rPr>
                  <w:rFonts w:ascii="Cambria Math" w:hAnsi="Cambria Math"/>
                </w:rPr>
                <m:t>+</m:t>
              </m:r>
              <m:d>
                <m:dPr>
                  <m:ctrlPr>
                    <w:rPr>
                      <w:rFonts w:ascii="Cambria Math" w:hAnsi="Cambria Math"/>
                    </w:rPr>
                  </m:ctrlPr>
                </m:dPr>
                <m:e>
                  <m:r>
                    <m:rPr>
                      <m:sty m:val="bi"/>
                    </m:rPr>
                    <w:rPr>
                      <w:rFonts w:ascii="Cambria Math" w:hAnsi="Cambria Math"/>
                    </w:rPr>
                    <m:t>1-λ</m:t>
                  </m:r>
                </m:e>
              </m:d>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m:rPr>
                              <m:sty m:val="bi"/>
                            </m:rPr>
                            <w:rPr>
                              <w:rFonts w:ascii="Cambria Math" w:hAnsi="Cambria Math"/>
                            </w:rPr>
                            <m:t>R</m:t>
                          </m:r>
                        </m:e>
                        <m:sub>
                          <m:r>
                            <m:rPr>
                              <m:sty m:val="bi"/>
                            </m:rPr>
                            <w:rPr>
                              <w:rFonts w:ascii="Cambria Math" w:hAnsi="Cambria Math"/>
                            </w:rPr>
                            <m:t>t</m:t>
                          </m:r>
                        </m:sub>
                        <m:sup>
                          <m:r>
                            <m:rPr>
                              <m:sty m:val="bi"/>
                            </m:rPr>
                            <w:rPr>
                              <w:rFonts w:ascii="Cambria Math" w:hAnsi="Cambria Math"/>
                            </w:rPr>
                            <m:t>s</m:t>
                          </m:r>
                        </m:sup>
                      </m:sSubSup>
                    </m:e>
                  </m:d>
                </m:e>
                <m:sup>
                  <m:r>
                    <m:rPr>
                      <m:sty m:val="bi"/>
                    </m:rPr>
                    <w:rPr>
                      <w:rFonts w:ascii="Cambria Math" w:hAnsi="Cambria Math"/>
                    </w:rPr>
                    <m:t>2</m:t>
                  </m:r>
                </m:sup>
              </m:sSup>
            </m:e>
          </m:rad>
          <m:r>
            <m:rPr>
              <m:sty m:val="bi"/>
            </m:rPr>
            <w:rPr>
              <w:rFonts w:ascii="Cambria Math" w:hAnsi="Cambria Math"/>
            </w:rPr>
            <m:t xml:space="preserve"> </m:t>
          </m:r>
        </m:oMath>
      </m:oMathPara>
    </w:p>
    <w:p w14:paraId="29096DB9" w14:textId="77777777" w:rsidR="007968EC" w:rsidRPr="005F10B9" w:rsidRDefault="007968EC" w:rsidP="007968EC">
      <w:pPr>
        <w:rPr>
          <w:rFonts w:ascii="Arial Narrow" w:hAnsi="Arial Narrow"/>
        </w:rPr>
      </w:pPr>
      <w:r w:rsidRPr="005F10B9">
        <w:rPr>
          <w:rFonts w:ascii="Arial Narrow" w:hAnsi="Arial Narrow"/>
        </w:rPr>
        <w:t>Donde:</w:t>
      </w:r>
    </w:p>
    <w:p w14:paraId="69C3200E" w14:textId="77777777" w:rsidR="007968EC" w:rsidRPr="005F10B9" w:rsidRDefault="007968EC" w:rsidP="007968EC">
      <w:pPr>
        <w:rPr>
          <w:rFonts w:ascii="Arial Narrow" w:hAnsi="Arial Narrow"/>
        </w:rPr>
      </w:pPr>
    </w:p>
    <w:p w14:paraId="7DB1AEB8" w14:textId="77777777" w:rsidR="007968EC" w:rsidRPr="005F10B9" w:rsidRDefault="00682D97" w:rsidP="007968EC">
      <w:pPr>
        <w:rPr>
          <w:rFonts w:ascii="Arial Narrow" w:hAnsi="Arial Narrow"/>
        </w:rPr>
      </w:pPr>
      <m:oMath>
        <m:sSubSup>
          <m:sSubSupPr>
            <m:ctrlPr>
              <w:rPr>
                <w:rFonts w:ascii="Cambria Math" w:hAnsi="Cambria Math"/>
              </w:rPr>
            </m:ctrlPr>
          </m:sSubSupPr>
          <m:e>
            <m:r>
              <m:rPr>
                <m:sty m:val="bi"/>
              </m:rPr>
              <w:rPr>
                <w:rFonts w:ascii="Cambria Math" w:hAnsi="Cambria Math"/>
              </w:rPr>
              <m:t>σ</m:t>
            </m:r>
          </m:e>
          <m:sub>
            <m:r>
              <m:rPr>
                <m:sty m:val="bi"/>
              </m:rPr>
              <w:rPr>
                <w:rFonts w:ascii="Cambria Math" w:hAnsi="Cambria Math"/>
              </w:rPr>
              <m:t>t</m:t>
            </m:r>
          </m:sub>
          <m:sup>
            <m:r>
              <m:rPr>
                <m:sty m:val="bi"/>
              </m:rPr>
              <w:rPr>
                <w:rFonts w:ascii="Cambria Math" w:hAnsi="Cambria Math"/>
              </w:rPr>
              <m:t>s</m:t>
            </m:r>
          </m:sup>
        </m:sSubSup>
      </m:oMath>
      <w:r w:rsidR="007968EC" w:rsidRPr="005F10B9">
        <w:rPr>
          <w:rFonts w:ascii="Arial Narrow" w:hAnsi="Arial Narrow"/>
        </w:rPr>
        <w:t xml:space="preserve">: Desviación estándar en “t” para </w:t>
      </w:r>
      <w:r w:rsidR="007968EC">
        <w:rPr>
          <w:rFonts w:ascii="Arial Narrow" w:hAnsi="Arial Narrow"/>
        </w:rPr>
        <w:t>cada Curva</w:t>
      </w:r>
      <w:r w:rsidR="007968EC" w:rsidRPr="005F10B9">
        <w:rPr>
          <w:rFonts w:ascii="Arial Narrow" w:hAnsi="Arial Narrow"/>
        </w:rPr>
        <w:t xml:space="preserve"> “s” </w:t>
      </w:r>
      <m:oMath>
        <m:r>
          <m:rPr>
            <m:sty m:val="bi"/>
          </m:rPr>
          <w:rPr>
            <w:rFonts w:ascii="Cambria Math" w:hAnsi="Cambria Math"/>
          </w:rPr>
          <m:t>λ</m:t>
        </m:r>
        <m:sSup>
          <m:sSupPr>
            <m:ctrlPr>
              <w:rPr>
                <w:rFonts w:ascii="Cambria Math" w:hAnsi="Cambria Math"/>
              </w:rPr>
            </m:ctrlPr>
          </m:sSupPr>
          <m:e>
            <m:r>
              <m:rPr>
                <m:sty m:val="bi"/>
              </m:rPr>
              <w:rPr>
                <w:rFonts w:ascii="Cambria Math" w:hAnsi="Cambria Math"/>
              </w:rPr>
              <m:t>(</m:t>
            </m:r>
            <m:sSubSup>
              <m:sSubSupPr>
                <m:ctrlPr>
                  <w:rPr>
                    <w:rFonts w:ascii="Cambria Math" w:hAnsi="Cambria Math"/>
                  </w:rPr>
                </m:ctrlPr>
              </m:sSubSupPr>
              <m:e>
                <m:r>
                  <m:rPr>
                    <m:sty m:val="bi"/>
                  </m:rPr>
                  <w:rPr>
                    <w:rFonts w:ascii="Cambria Math" w:hAnsi="Cambria Math"/>
                  </w:rPr>
                  <m:t>σ</m:t>
                </m:r>
              </m:e>
              <m:sub>
                <m:r>
                  <m:rPr>
                    <m:sty m:val="bi"/>
                  </m:rPr>
                  <w:rPr>
                    <w:rFonts w:ascii="Cambria Math" w:hAnsi="Cambria Math"/>
                  </w:rPr>
                  <m:t>t-1</m:t>
                </m:r>
              </m:sub>
              <m:sup>
                <m:r>
                  <m:rPr>
                    <m:sty m:val="bi"/>
                  </m:rPr>
                  <w:rPr>
                    <w:rFonts w:ascii="Cambria Math" w:hAnsi="Cambria Math"/>
                  </w:rPr>
                  <m:t>s</m:t>
                </m:r>
              </m:sup>
            </m:sSubSup>
            <m:r>
              <m:rPr>
                <m:sty m:val="bi"/>
              </m:rPr>
              <w:rPr>
                <w:rFonts w:ascii="Cambria Math" w:hAnsi="Cambria Math"/>
              </w:rPr>
              <m:t>)</m:t>
            </m:r>
          </m:e>
          <m:sup>
            <m:r>
              <m:rPr>
                <m:sty m:val="bi"/>
              </m:rPr>
              <w:rPr>
                <w:rFonts w:ascii="Cambria Math" w:hAnsi="Cambria Math"/>
              </w:rPr>
              <m:t>2</m:t>
            </m:r>
          </m:sup>
        </m:sSup>
      </m:oMath>
      <w:r w:rsidR="007968EC" w:rsidRPr="005F10B9">
        <w:rPr>
          <w:rFonts w:ascii="Arial Narrow" w:hAnsi="Arial Narrow"/>
        </w:rPr>
        <w:t xml:space="preserve">: Varianza en “t-1” para </w:t>
      </w:r>
      <w:r w:rsidR="007968EC">
        <w:rPr>
          <w:rFonts w:ascii="Arial Narrow" w:hAnsi="Arial Narrow"/>
        </w:rPr>
        <w:t>cada Curva</w:t>
      </w:r>
      <w:r w:rsidR="007968EC" w:rsidRPr="005F10B9">
        <w:rPr>
          <w:rFonts w:ascii="Arial Narrow" w:hAnsi="Arial Narrow"/>
        </w:rPr>
        <w:t xml:space="preserve"> “s”</w:t>
      </w:r>
      <w:r w:rsidR="007968EC" w:rsidRPr="005F10B9" w:rsidDel="00F6653E">
        <w:rPr>
          <w:rFonts w:ascii="Arial Narrow" w:hAnsi="Arial Narrow"/>
        </w:rPr>
        <w:t xml:space="preserve"> </w:t>
      </w:r>
      <m:oMath>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m:rPr>
                        <m:sty m:val="bi"/>
                      </m:rPr>
                      <w:rPr>
                        <w:rFonts w:ascii="Cambria Math" w:hAnsi="Cambria Math"/>
                      </w:rPr>
                      <m:t>R</m:t>
                    </m:r>
                  </m:e>
                  <m:sub>
                    <m:r>
                      <m:rPr>
                        <m:sty m:val="bi"/>
                      </m:rPr>
                      <w:rPr>
                        <w:rFonts w:ascii="Cambria Math" w:hAnsi="Cambria Math"/>
                      </w:rPr>
                      <m:t>t</m:t>
                    </m:r>
                  </m:sub>
                  <m:sup>
                    <m:r>
                      <m:rPr>
                        <m:sty m:val="bi"/>
                      </m:rPr>
                      <w:rPr>
                        <w:rFonts w:ascii="Cambria Math" w:hAnsi="Cambria Math"/>
                      </w:rPr>
                      <m:t>s</m:t>
                    </m:r>
                  </m:sup>
                </m:sSubSup>
              </m:e>
            </m:d>
          </m:e>
          <m:sup>
            <m:r>
              <m:rPr>
                <m:sty m:val="bi"/>
              </m:rPr>
              <w:rPr>
                <w:rFonts w:ascii="Cambria Math" w:hAnsi="Cambria Math"/>
              </w:rPr>
              <m:t>2</m:t>
            </m:r>
          </m:sup>
        </m:sSup>
      </m:oMath>
      <w:r w:rsidR="007968EC" w:rsidRPr="005F10B9">
        <w:rPr>
          <w:rFonts w:ascii="Arial Narrow" w:hAnsi="Arial Narrow"/>
        </w:rPr>
        <w:t xml:space="preserve">: Retorno calculado en el punto </w:t>
      </w:r>
      <w:r w:rsidR="007968EC">
        <w:rPr>
          <w:rFonts w:ascii="Arial Narrow" w:hAnsi="Arial Narrow"/>
        </w:rPr>
        <w:t>(</w:t>
      </w:r>
      <w:r w:rsidR="007968EC" w:rsidRPr="005F10B9">
        <w:rPr>
          <w:rFonts w:ascii="Arial Narrow" w:hAnsi="Arial Narrow"/>
        </w:rPr>
        <w:t>a</w:t>
      </w:r>
      <w:r w:rsidR="007968EC">
        <w:rPr>
          <w:rFonts w:ascii="Arial Narrow" w:hAnsi="Arial Narrow"/>
        </w:rPr>
        <w:t>)</w:t>
      </w:r>
      <w:r w:rsidR="007968EC" w:rsidRPr="005F10B9">
        <w:rPr>
          <w:rFonts w:ascii="Arial Narrow" w:hAnsi="Arial Narrow"/>
        </w:rPr>
        <w:t xml:space="preserve"> del numeral 1.1, al cuadrado en “t” para el </w:t>
      </w:r>
      <w:r w:rsidR="007968EC">
        <w:rPr>
          <w:rFonts w:ascii="Arial Narrow" w:hAnsi="Arial Narrow"/>
        </w:rPr>
        <w:t>cada Curva</w:t>
      </w:r>
      <w:r w:rsidR="007968EC" w:rsidRPr="005F10B9">
        <w:rPr>
          <w:rFonts w:ascii="Arial Narrow" w:hAnsi="Arial Narrow"/>
        </w:rPr>
        <w:t xml:space="preserve"> “s” expresado en Pb</w:t>
      </w:r>
      <w:r w:rsidR="007968EC">
        <w:rPr>
          <w:rFonts w:ascii="Arial Narrow" w:hAnsi="Arial Narrow"/>
        </w:rPr>
        <w:t>.</w:t>
      </w:r>
    </w:p>
    <w:p w14:paraId="2488CFCB" w14:textId="77777777" w:rsidR="007968EC" w:rsidRPr="005F10B9" w:rsidRDefault="007968EC" w:rsidP="007968EC">
      <w:pPr>
        <w:jc w:val="both"/>
        <w:rPr>
          <w:rFonts w:ascii="Arial Narrow" w:hAnsi="Arial Narrow"/>
        </w:rPr>
      </w:pPr>
      <m:oMath>
        <m:r>
          <m:rPr>
            <m:sty m:val="bi"/>
          </m:rPr>
          <w:rPr>
            <w:rFonts w:ascii="Cambria Math" w:hAnsi="Cambria Math"/>
          </w:rPr>
          <m:t>λ</m:t>
        </m:r>
      </m:oMath>
      <w:r w:rsidRPr="005F10B9">
        <w:rPr>
          <w:rFonts w:ascii="Arial Narrow" w:hAnsi="Arial Narrow"/>
        </w:rPr>
        <w:t>: Factor de decaimiento</w:t>
      </w:r>
    </w:p>
    <w:p w14:paraId="2F985778" w14:textId="77777777" w:rsidR="007968EC" w:rsidRPr="005F10B9" w:rsidRDefault="007968EC" w:rsidP="007968EC">
      <w:pPr>
        <w:jc w:val="both"/>
        <w:rPr>
          <w:rFonts w:ascii="Arial Narrow" w:hAnsi="Arial Narrow"/>
        </w:rPr>
      </w:pPr>
    </w:p>
    <w:p w14:paraId="02605D55" w14:textId="77777777" w:rsidR="007968EC" w:rsidRPr="005F10B9" w:rsidRDefault="007968EC" w:rsidP="007968EC">
      <w:pPr>
        <w:jc w:val="both"/>
        <w:rPr>
          <w:rFonts w:ascii="Arial Narrow" w:hAnsi="Arial Narrow"/>
        </w:rPr>
      </w:pPr>
      <w:r w:rsidRPr="005F10B9">
        <w:rPr>
          <w:rFonts w:ascii="Arial Narrow" w:hAnsi="Arial Narrow"/>
        </w:rPr>
        <w:t>La volatilidad para el escenario más antiguo se calcula de forma distinta, debido a que no existe ninguna referencia a valores pasados. Se debe hacer con base a la desviación estándar de los últimos MPOR días, se calcula como:</w:t>
      </w:r>
    </w:p>
    <w:p w14:paraId="45E924F9" w14:textId="77777777" w:rsidR="007968EC" w:rsidRPr="005F10B9" w:rsidRDefault="007968EC" w:rsidP="007968EC">
      <w:pPr>
        <w:jc w:val="both"/>
        <w:rPr>
          <w:rFonts w:ascii="Arial Narrow" w:hAnsi="Arial Narrow"/>
        </w:rPr>
      </w:pPr>
    </w:p>
    <w:p w14:paraId="1C3C4CE9" w14:textId="77777777" w:rsidR="007968EC" w:rsidRPr="005F10B9" w:rsidRDefault="00682D97" w:rsidP="007968EC">
      <w:pPr>
        <w:jc w:val="both"/>
        <w:rPr>
          <w:rFonts w:ascii="Arial Narrow" w:hAnsi="Arial Narrow"/>
        </w:rPr>
      </w:pPr>
      <m:oMathPara>
        <m:oMath>
          <m:sSubSup>
            <m:sSubSupPr>
              <m:ctrlPr>
                <w:rPr>
                  <w:rFonts w:ascii="Cambria Math" w:hAnsi="Cambria Math"/>
                </w:rPr>
              </m:ctrlPr>
            </m:sSubSupPr>
            <m:e>
              <m:r>
                <m:rPr>
                  <m:sty m:val="bi"/>
                </m:rPr>
                <w:rPr>
                  <w:rFonts w:ascii="Cambria Math" w:hAnsi="Cambria Math"/>
                </w:rPr>
                <m:t>σ</m:t>
              </m:r>
            </m:e>
            <m:sub>
              <m:r>
                <m:rPr>
                  <m:sty m:val="bi"/>
                </m:rPr>
                <w:rPr>
                  <w:rFonts w:ascii="Cambria Math" w:hAnsi="Cambria Math"/>
                </w:rPr>
                <m:t>Escenario más antiguo-MPOR</m:t>
              </m:r>
            </m:sub>
            <m:sup>
              <m:r>
                <m:rPr>
                  <m:sty m:val="bi"/>
                </m:rPr>
                <w:rPr>
                  <w:rFonts w:ascii="Cambria Math" w:hAnsi="Cambria Math"/>
                </w:rPr>
                <m:t>s</m:t>
              </m:r>
            </m:sup>
          </m:sSubSup>
          <m:r>
            <m:rPr>
              <m:sty m:val="bi"/>
            </m:rPr>
            <w:rPr>
              <w:rFonts w:ascii="Cambria Math" w:hAnsi="Cambria Math"/>
            </w:rPr>
            <m:t>=Abs(</m:t>
          </m:r>
          <m:sSubSup>
            <m:sSubSupPr>
              <m:ctrlPr>
                <w:rPr>
                  <w:rFonts w:ascii="Cambria Math" w:hAnsi="Cambria Math"/>
                </w:rPr>
              </m:ctrlPr>
            </m:sSubSupPr>
            <m:e>
              <m:r>
                <m:rPr>
                  <m:sty m:val="bi"/>
                </m:rPr>
                <w:rPr>
                  <w:rFonts w:ascii="Cambria Math" w:hAnsi="Cambria Math"/>
                </w:rPr>
                <m:t>ZR</m:t>
              </m:r>
            </m:e>
            <m:sub>
              <m:r>
                <m:rPr>
                  <m:sty m:val="bi"/>
                </m:rPr>
                <w:rPr>
                  <w:rFonts w:ascii="Cambria Math" w:hAnsi="Cambria Math"/>
                </w:rPr>
                <m:t>Escenario más antiguo-MPOR</m:t>
              </m:r>
            </m:sub>
            <m:sup>
              <m:r>
                <m:rPr>
                  <m:sty m:val="bi"/>
                </m:rPr>
                <w:rPr>
                  <w:rFonts w:ascii="Cambria Math" w:hAnsi="Cambria Math"/>
                </w:rPr>
                <m:t>s</m:t>
              </m:r>
            </m:sup>
          </m:sSubSup>
          <m:r>
            <m:rPr>
              <m:sty m:val="bi"/>
            </m:rPr>
            <w:rPr>
              <w:rFonts w:ascii="Cambria Math" w:hAnsi="Cambria Math"/>
            </w:rPr>
            <m:t>-</m:t>
          </m:r>
          <m:sSubSup>
            <m:sSubSupPr>
              <m:ctrlPr>
                <w:rPr>
                  <w:rFonts w:ascii="Cambria Math" w:hAnsi="Cambria Math"/>
                </w:rPr>
              </m:ctrlPr>
            </m:sSubSupPr>
            <m:e>
              <m:r>
                <m:rPr>
                  <m:sty m:val="bi"/>
                </m:rPr>
                <w:rPr>
                  <w:rFonts w:ascii="Cambria Math" w:hAnsi="Cambria Math"/>
                </w:rPr>
                <m:t>ZR</m:t>
              </m:r>
            </m:e>
            <m:sub>
              <m:r>
                <m:rPr>
                  <m:sty m:val="bi"/>
                </m:rPr>
                <w:rPr>
                  <w:rFonts w:ascii="Cambria Math" w:hAnsi="Cambria Math"/>
                </w:rPr>
                <m:t>Escenario más antiguo</m:t>
              </m:r>
            </m:sub>
            <m:sup>
              <m:r>
                <m:rPr>
                  <m:sty m:val="bi"/>
                </m:rPr>
                <w:rPr>
                  <w:rFonts w:ascii="Cambria Math" w:hAnsi="Cambria Math"/>
                </w:rPr>
                <m:t>s</m:t>
              </m:r>
            </m:sup>
          </m:sSubSup>
          <m:r>
            <m:rPr>
              <m:sty m:val="bi"/>
            </m:rPr>
            <w:rPr>
              <w:rFonts w:ascii="Cambria Math" w:hAnsi="Cambria Math"/>
            </w:rPr>
            <m:t>)</m:t>
          </m:r>
        </m:oMath>
      </m:oMathPara>
    </w:p>
    <w:p w14:paraId="505F5911" w14:textId="77777777" w:rsidR="007968EC" w:rsidRPr="005F10B9" w:rsidRDefault="007968EC" w:rsidP="007968EC">
      <w:pPr>
        <w:jc w:val="both"/>
        <w:rPr>
          <w:rFonts w:ascii="Arial Narrow" w:hAnsi="Arial Narrow"/>
        </w:rPr>
      </w:pPr>
    </w:p>
    <w:p w14:paraId="74E8B385" w14:textId="77777777" w:rsidR="007968EC" w:rsidRPr="005F10B9" w:rsidRDefault="007968EC" w:rsidP="007968EC">
      <w:pPr>
        <w:jc w:val="both"/>
        <w:rPr>
          <w:rFonts w:ascii="Arial Narrow" w:hAnsi="Arial Narrow"/>
        </w:rPr>
      </w:pPr>
      <w:r w:rsidRPr="005F10B9">
        <w:rPr>
          <w:rFonts w:ascii="Arial Narrow" w:hAnsi="Arial Narrow"/>
        </w:rPr>
        <w:t>Una vez calculadas las volatilidades para cada escenario histórico en cada plazo “s”, se añade a la tabla del paso 1 una volatilidad para cada retorno diario obtenido</w:t>
      </w:r>
      <w:r>
        <w:rPr>
          <w:rFonts w:ascii="Arial Narrow" w:hAnsi="Arial Narrow"/>
        </w:rPr>
        <w:t>, esto aplica de la misma forma para los retornos obtenidos de la TRM.</w:t>
      </w:r>
    </w:p>
    <w:p w14:paraId="1E3BE70F" w14:textId="77777777" w:rsidR="007968EC" w:rsidRPr="005F10B9" w:rsidRDefault="007968EC" w:rsidP="007968EC">
      <w:pPr>
        <w:jc w:val="both"/>
        <w:rPr>
          <w:rFonts w:ascii="Arial Narrow" w:hAnsi="Arial Narrow"/>
        </w:rPr>
      </w:pPr>
    </w:p>
    <w:p w14:paraId="7B1BFA18" w14:textId="77777777" w:rsidR="007968EC" w:rsidRPr="005F10B9" w:rsidRDefault="007968EC" w:rsidP="007968EC">
      <w:pPr>
        <w:jc w:val="both"/>
        <w:rPr>
          <w:rFonts w:ascii="Arial Narrow" w:hAnsi="Arial Narrow"/>
        </w:rPr>
      </w:pPr>
      <w:r w:rsidRPr="005F10B9">
        <w:rPr>
          <w:rFonts w:ascii="Arial Narrow" w:hAnsi="Arial Narrow"/>
        </w:rPr>
        <w:t xml:space="preserve">En los cálculos </w:t>
      </w:r>
      <w:proofErr w:type="spellStart"/>
      <w:r w:rsidRPr="005F10B9">
        <w:rPr>
          <w:rFonts w:ascii="Arial Narrow" w:hAnsi="Arial Narrow"/>
        </w:rPr>
        <w:t>intradiarios</w:t>
      </w:r>
      <w:proofErr w:type="spellEnd"/>
      <w:r w:rsidRPr="005F10B9">
        <w:rPr>
          <w:rFonts w:ascii="Arial Narrow" w:hAnsi="Arial Narrow"/>
        </w:rPr>
        <w:t xml:space="preserve"> se utilizan los datos de cierre de la sesión anterior.</w:t>
      </w:r>
    </w:p>
    <w:p w14:paraId="7B566E24" w14:textId="77777777" w:rsidR="007968EC" w:rsidRPr="005F10B9" w:rsidRDefault="007968EC" w:rsidP="007968EC">
      <w:pPr>
        <w:jc w:val="both"/>
        <w:rPr>
          <w:rFonts w:ascii="Arial Narrow" w:hAnsi="Arial Narrow"/>
        </w:rPr>
      </w:pPr>
    </w:p>
    <w:p w14:paraId="3DCC4BFF" w14:textId="77777777" w:rsidR="007968EC" w:rsidRPr="005F10B9" w:rsidRDefault="007968EC" w:rsidP="00DA7472">
      <w:pPr>
        <w:numPr>
          <w:ilvl w:val="0"/>
          <w:numId w:val="351"/>
        </w:numPr>
        <w:tabs>
          <w:tab w:val="left" w:pos="567"/>
        </w:tabs>
        <w:ind w:left="1134"/>
        <w:rPr>
          <w:rFonts w:ascii="Arial Narrow" w:hAnsi="Arial Narrow" w:cs="Arial"/>
          <w:lang w:eastAsia="es-CO"/>
        </w:rPr>
      </w:pPr>
      <w:r w:rsidRPr="005F10B9">
        <w:rPr>
          <w:rFonts w:ascii="Arial Narrow" w:hAnsi="Arial Narrow" w:cs="Arial"/>
          <w:lang w:eastAsia="es-CO"/>
        </w:rPr>
        <w:t>Creación de la tabla de retornos escalada</w:t>
      </w:r>
    </w:p>
    <w:p w14:paraId="618C4549" w14:textId="77777777" w:rsidR="007968EC" w:rsidRPr="005F10B9" w:rsidRDefault="007968EC" w:rsidP="007968EC">
      <w:pPr>
        <w:jc w:val="both"/>
        <w:rPr>
          <w:rFonts w:ascii="Arial Narrow" w:hAnsi="Arial Narrow"/>
        </w:rPr>
      </w:pPr>
    </w:p>
    <w:p w14:paraId="5D4ADE94" w14:textId="77777777" w:rsidR="007968EC" w:rsidRDefault="007968EC" w:rsidP="007968EC">
      <w:pPr>
        <w:jc w:val="both"/>
        <w:rPr>
          <w:rFonts w:ascii="Arial Narrow" w:hAnsi="Arial Narrow"/>
        </w:rPr>
      </w:pPr>
      <w:r w:rsidRPr="005F10B9">
        <w:rPr>
          <w:rFonts w:ascii="Arial Narrow" w:hAnsi="Arial Narrow"/>
        </w:rPr>
        <w:t>Se escala la tabla de escenarios obtenida en el punto</w:t>
      </w:r>
      <w:r>
        <w:rPr>
          <w:rFonts w:ascii="Arial Narrow" w:hAnsi="Arial Narrow"/>
        </w:rPr>
        <w:t>(</w:t>
      </w:r>
      <w:r w:rsidRPr="005F10B9">
        <w:rPr>
          <w:rFonts w:ascii="Arial Narrow" w:hAnsi="Arial Narrow"/>
        </w:rPr>
        <w:t>a</w:t>
      </w:r>
      <w:r>
        <w:rPr>
          <w:rFonts w:ascii="Arial Narrow" w:hAnsi="Arial Narrow"/>
        </w:rPr>
        <w:t>)</w:t>
      </w:r>
      <w:r w:rsidRPr="005F10B9">
        <w:rPr>
          <w:rFonts w:ascii="Arial Narrow" w:hAnsi="Arial Narrow"/>
        </w:rPr>
        <w:t xml:space="preserve"> del numeral 1.</w:t>
      </w:r>
      <w:r>
        <w:rPr>
          <w:rFonts w:ascii="Arial Narrow" w:hAnsi="Arial Narrow"/>
        </w:rPr>
        <w:t>i</w:t>
      </w:r>
      <w:r w:rsidRPr="005F10B9">
        <w:rPr>
          <w:rFonts w:ascii="Arial Narrow" w:hAnsi="Arial Narrow"/>
        </w:rPr>
        <w:t>, con las volatilidades obtenidas en el punto b del numeral 1.</w:t>
      </w:r>
      <w:r>
        <w:rPr>
          <w:rFonts w:ascii="Arial Narrow" w:hAnsi="Arial Narrow"/>
        </w:rPr>
        <w:t>ii</w:t>
      </w:r>
      <w:r w:rsidRPr="005F10B9">
        <w:rPr>
          <w:rFonts w:ascii="Arial Narrow" w:hAnsi="Arial Narrow"/>
        </w:rPr>
        <w:t xml:space="preserve">, para cada Tasa Cero Cupón en cada </w:t>
      </w:r>
      <w:r>
        <w:rPr>
          <w:rFonts w:ascii="Arial Narrow" w:hAnsi="Arial Narrow"/>
        </w:rPr>
        <w:t>una de las curvas “s”. Esto aplica de la misma forma para los retornos obtenidos de la TRM.</w:t>
      </w:r>
      <w:r w:rsidRPr="005F10B9">
        <w:rPr>
          <w:rFonts w:ascii="Arial Narrow" w:hAnsi="Arial Narrow"/>
        </w:rPr>
        <w:t xml:space="preserve"> </w:t>
      </w:r>
    </w:p>
    <w:p w14:paraId="1C49C489" w14:textId="77777777" w:rsidR="007968EC" w:rsidRPr="005F10B9" w:rsidRDefault="007968EC" w:rsidP="007968EC">
      <w:pPr>
        <w:jc w:val="both"/>
        <w:rPr>
          <w:rFonts w:ascii="Arial Narrow" w:hAnsi="Arial Narrow"/>
        </w:rPr>
      </w:pPr>
    </w:p>
    <w:p w14:paraId="55057D68" w14:textId="77777777" w:rsidR="007968EC" w:rsidRPr="005F10B9" w:rsidRDefault="00682D97" w:rsidP="007968EC">
      <w:pPr>
        <w:jc w:val="both"/>
        <w:rPr>
          <w:rFonts w:ascii="Arial Narrow" w:hAnsi="Arial Narrow"/>
        </w:rPr>
      </w:pPr>
      <m:oMathPara>
        <m:oMath>
          <m:sSubSup>
            <m:sSubSupPr>
              <m:ctrlPr>
                <w:rPr>
                  <w:rFonts w:ascii="Cambria Math" w:hAnsi="Cambria Math"/>
                </w:rPr>
              </m:ctrlPr>
            </m:sSubSupPr>
            <m:e>
              <m:r>
                <m:rPr>
                  <m:sty m:val="bi"/>
                </m:rPr>
                <w:rPr>
                  <w:rFonts w:ascii="Cambria Math" w:hAnsi="Cambria Math"/>
                </w:rPr>
                <m:t>R</m:t>
              </m:r>
            </m:e>
            <m:sub>
              <m:r>
                <m:rPr>
                  <m:sty m:val="bi"/>
                </m:rPr>
                <w:rPr>
                  <w:rFonts w:ascii="Cambria Math" w:hAnsi="Cambria Math"/>
                </w:rPr>
                <m:t>t, escalada</m:t>
              </m:r>
            </m:sub>
            <m:sup>
              <m:r>
                <m:rPr>
                  <m:sty m:val="bi"/>
                </m:rPr>
                <w:rPr>
                  <w:rFonts w:ascii="Cambria Math" w:hAnsi="Cambria Math"/>
                </w:rPr>
                <m:t>s</m:t>
              </m:r>
            </m:sup>
          </m:sSubSup>
          <m:r>
            <m:rPr>
              <m:sty m:val="bi"/>
            </m:rPr>
            <w:rPr>
              <w:rFonts w:ascii="Cambria Math" w:hAnsi="Cambria Math"/>
            </w:rPr>
            <m:t>=</m:t>
          </m:r>
          <m:sSubSup>
            <m:sSubSupPr>
              <m:ctrlPr>
                <w:rPr>
                  <w:rFonts w:ascii="Cambria Math" w:hAnsi="Cambria Math"/>
                </w:rPr>
              </m:ctrlPr>
            </m:sSubSupPr>
            <m:e>
              <m:r>
                <m:rPr>
                  <m:sty m:val="bi"/>
                </m:rPr>
                <w:rPr>
                  <w:rFonts w:ascii="Cambria Math" w:hAnsi="Cambria Math"/>
                </w:rPr>
                <m:t>R</m:t>
              </m:r>
            </m:e>
            <m:sub>
              <m:r>
                <m:rPr>
                  <m:sty m:val="bi"/>
                </m:rPr>
                <w:rPr>
                  <w:rFonts w:ascii="Cambria Math" w:hAnsi="Cambria Math"/>
                </w:rPr>
                <m:t>t</m:t>
              </m:r>
            </m:sub>
            <m:sup>
              <m:r>
                <m:rPr>
                  <m:sty m:val="bi"/>
                </m:rPr>
                <w:rPr>
                  <w:rFonts w:ascii="Cambria Math" w:hAnsi="Cambria Math"/>
                </w:rPr>
                <m:t>s</m:t>
              </m:r>
            </m:sup>
          </m:sSubSup>
          <m:f>
            <m:fPr>
              <m:ctrlPr>
                <w:rPr>
                  <w:rFonts w:ascii="Cambria Math" w:hAnsi="Cambria Math"/>
                </w:rPr>
              </m:ctrlPr>
            </m:fPr>
            <m:num>
              <m:f>
                <m:fPr>
                  <m:ctrlPr>
                    <w:rPr>
                      <w:rFonts w:ascii="Cambria Math" w:hAnsi="Cambria Math"/>
                    </w:rPr>
                  </m:ctrlPr>
                </m:fPr>
                <m:num>
                  <m:sSub>
                    <m:sSubPr>
                      <m:ctrlPr>
                        <w:rPr>
                          <w:rFonts w:ascii="Cambria Math" w:hAnsi="Cambria Math"/>
                        </w:rPr>
                      </m:ctrlPr>
                    </m:sSubPr>
                    <m:e>
                      <m:r>
                        <m:rPr>
                          <m:sty m:val="bi"/>
                        </m:rPr>
                        <w:rPr>
                          <w:rFonts w:ascii="Cambria Math" w:hAnsi="Cambria Math"/>
                        </w:rPr>
                        <m:t>σ</m:t>
                      </m:r>
                    </m:e>
                    <m:sub>
                      <m:r>
                        <m:rPr>
                          <m:sty m:val="bi"/>
                        </m:rPr>
                        <w:rPr>
                          <w:rFonts w:ascii="Cambria Math" w:hAnsi="Cambria Math"/>
                        </w:rPr>
                        <m:t>0</m:t>
                      </m:r>
                    </m:sub>
                  </m:sSub>
                </m:num>
                <m:den>
                  <m:sSub>
                    <m:sSubPr>
                      <m:ctrlPr>
                        <w:rPr>
                          <w:rFonts w:ascii="Cambria Math" w:hAnsi="Cambria Math"/>
                        </w:rPr>
                      </m:ctrlPr>
                    </m:sSubPr>
                    <m:e>
                      <m:r>
                        <m:rPr>
                          <m:sty m:val="bi"/>
                        </m:rPr>
                        <w:rPr>
                          <w:rFonts w:ascii="Cambria Math" w:hAnsi="Cambria Math"/>
                        </w:rPr>
                        <m:t>σ</m:t>
                      </m:r>
                    </m:e>
                    <m:sub>
                      <m:r>
                        <m:rPr>
                          <m:sty m:val="bi"/>
                        </m:rPr>
                        <w:rPr>
                          <w:rFonts w:ascii="Cambria Math" w:hAnsi="Cambria Math"/>
                        </w:rPr>
                        <m:t>t</m:t>
                      </m:r>
                    </m:sub>
                  </m:sSub>
                </m:den>
              </m:f>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 xml:space="preserve">      </m:t>
          </m:r>
        </m:oMath>
      </m:oMathPara>
    </w:p>
    <w:p w14:paraId="4EA8DD1E" w14:textId="77777777" w:rsidR="007968EC" w:rsidRPr="005F10B9" w:rsidRDefault="007968EC" w:rsidP="007968EC">
      <w:pPr>
        <w:jc w:val="both"/>
        <w:rPr>
          <w:rFonts w:ascii="Arial Narrow" w:hAnsi="Arial Narrow"/>
        </w:rPr>
      </w:pPr>
    </w:p>
    <w:p w14:paraId="3F3795AD" w14:textId="77777777" w:rsidR="007968EC" w:rsidRPr="005F10B9" w:rsidRDefault="007968EC" w:rsidP="007968EC">
      <w:pPr>
        <w:rPr>
          <w:rFonts w:ascii="Arial Narrow" w:hAnsi="Arial Narrow"/>
        </w:rPr>
      </w:pPr>
      <w:r w:rsidRPr="005F10B9">
        <w:rPr>
          <w:rFonts w:ascii="Arial Narrow" w:hAnsi="Arial Narrow"/>
        </w:rPr>
        <w:t>Donde:</w:t>
      </w:r>
    </w:p>
    <w:p w14:paraId="5275D627" w14:textId="77777777" w:rsidR="007968EC" w:rsidRPr="005F10B9" w:rsidRDefault="007968EC" w:rsidP="007968EC">
      <w:pPr>
        <w:rPr>
          <w:rFonts w:ascii="Arial Narrow" w:hAnsi="Arial Narrow"/>
        </w:rPr>
      </w:pPr>
    </w:p>
    <w:p w14:paraId="0DA57AE0" w14:textId="77777777" w:rsidR="007968EC" w:rsidRPr="005F10B9" w:rsidRDefault="007968EC" w:rsidP="007968EC">
      <w:pPr>
        <w:rPr>
          <w:rFonts w:ascii="Arial Narrow" w:hAnsi="Arial Narrow"/>
        </w:rPr>
      </w:pPr>
    </w:p>
    <w:p w14:paraId="20679BA6" w14:textId="77777777" w:rsidR="007968EC" w:rsidRPr="005F10B9" w:rsidRDefault="00682D97" w:rsidP="007968EC">
      <w:pPr>
        <w:rPr>
          <w:rFonts w:ascii="Arial Narrow" w:hAnsi="Arial Narrow"/>
        </w:rPr>
      </w:pPr>
      <m:oMath>
        <m:sSubSup>
          <m:sSubSupPr>
            <m:ctrlPr>
              <w:rPr>
                <w:rFonts w:ascii="Cambria Math" w:hAnsi="Cambria Math"/>
              </w:rPr>
            </m:ctrlPr>
          </m:sSubSupPr>
          <m:e>
            <m:r>
              <m:rPr>
                <m:sty m:val="bi"/>
              </m:rPr>
              <w:rPr>
                <w:rFonts w:ascii="Cambria Math" w:hAnsi="Cambria Math"/>
              </w:rPr>
              <m:t>R</m:t>
            </m:r>
          </m:e>
          <m:sub>
            <m:r>
              <m:rPr>
                <m:sty m:val="bi"/>
              </m:rPr>
              <w:rPr>
                <w:rFonts w:ascii="Cambria Math" w:hAnsi="Cambria Math"/>
              </w:rPr>
              <m:t>t, escalada</m:t>
            </m:r>
          </m:sub>
          <m:sup>
            <m:r>
              <m:rPr>
                <m:sty m:val="bi"/>
              </m:rPr>
              <w:rPr>
                <w:rFonts w:ascii="Cambria Math" w:hAnsi="Cambria Math"/>
              </w:rPr>
              <m:t>s</m:t>
            </m:r>
          </m:sup>
        </m:sSubSup>
      </m:oMath>
      <w:r w:rsidR="007968EC" w:rsidRPr="005F10B9">
        <w:rPr>
          <w:rFonts w:ascii="Arial Narrow" w:hAnsi="Arial Narrow"/>
        </w:rPr>
        <w:t xml:space="preserve">: Retorno escalado por volatilidad </w:t>
      </w:r>
      <w:r w:rsidR="007968EC">
        <w:rPr>
          <w:rFonts w:ascii="Arial Narrow" w:hAnsi="Arial Narrow"/>
        </w:rPr>
        <w:t>según Curva y</w:t>
      </w:r>
      <w:r w:rsidR="007968EC" w:rsidRPr="005F10B9">
        <w:rPr>
          <w:rFonts w:ascii="Arial Narrow" w:hAnsi="Arial Narrow"/>
        </w:rPr>
        <w:t xml:space="preserve"> plazo “s”</w:t>
      </w:r>
      <w:r w:rsidR="007968EC" w:rsidRPr="005F10B9" w:rsidDel="0072058A">
        <w:rPr>
          <w:rFonts w:ascii="Arial Narrow" w:hAnsi="Arial Narrow"/>
        </w:rPr>
        <w:t xml:space="preserve"> </w:t>
      </w:r>
      <w:r w:rsidR="007968EC" w:rsidRPr="005F10B9">
        <w:rPr>
          <w:rFonts w:ascii="Arial Narrow" w:hAnsi="Arial Narrow"/>
        </w:rPr>
        <w:t>para escenario “t”</w:t>
      </w:r>
    </w:p>
    <w:p w14:paraId="41CAF297" w14:textId="77777777" w:rsidR="007968EC" w:rsidRPr="005F10B9" w:rsidRDefault="00682D97" w:rsidP="007968EC">
      <w:pPr>
        <w:rPr>
          <w:rFonts w:ascii="Arial Narrow" w:hAnsi="Arial Narrow"/>
        </w:rPr>
      </w:pPr>
      <m:oMath>
        <m:sSubSup>
          <m:sSubSupPr>
            <m:ctrlPr>
              <w:rPr>
                <w:rFonts w:ascii="Cambria Math" w:hAnsi="Cambria Math"/>
              </w:rPr>
            </m:ctrlPr>
          </m:sSubSupPr>
          <m:e>
            <m:r>
              <m:rPr>
                <m:sty m:val="bi"/>
              </m:rPr>
              <w:rPr>
                <w:rFonts w:ascii="Cambria Math" w:hAnsi="Cambria Math"/>
              </w:rPr>
              <m:t>R</m:t>
            </m:r>
          </m:e>
          <m:sub>
            <m:r>
              <m:rPr>
                <m:sty m:val="bi"/>
              </m:rPr>
              <w:rPr>
                <w:rFonts w:ascii="Cambria Math" w:hAnsi="Cambria Math"/>
              </w:rPr>
              <m:t>t</m:t>
            </m:r>
          </m:sub>
          <m:sup>
            <m:r>
              <m:rPr>
                <m:sty m:val="bi"/>
              </m:rPr>
              <w:rPr>
                <w:rFonts w:ascii="Cambria Math" w:hAnsi="Cambria Math"/>
              </w:rPr>
              <m:t>s</m:t>
            </m:r>
          </m:sup>
        </m:sSubSup>
      </m:oMath>
      <w:r w:rsidR="007968EC" w:rsidRPr="005F10B9">
        <w:rPr>
          <w:rFonts w:ascii="Arial Narrow" w:hAnsi="Arial Narrow"/>
        </w:rPr>
        <w:t xml:space="preserve">: Retorno calculado en el punto </w:t>
      </w:r>
      <w:r w:rsidR="007968EC">
        <w:rPr>
          <w:rFonts w:ascii="Arial Narrow" w:hAnsi="Arial Narrow"/>
        </w:rPr>
        <w:t>(</w:t>
      </w:r>
      <w:r w:rsidR="007968EC" w:rsidRPr="005F10B9">
        <w:rPr>
          <w:rFonts w:ascii="Arial Narrow" w:hAnsi="Arial Narrow"/>
        </w:rPr>
        <w:t>a</w:t>
      </w:r>
      <w:r w:rsidR="007968EC">
        <w:rPr>
          <w:rFonts w:ascii="Arial Narrow" w:hAnsi="Arial Narrow"/>
        </w:rPr>
        <w:t>)</w:t>
      </w:r>
      <w:r w:rsidR="007968EC" w:rsidRPr="005F10B9">
        <w:rPr>
          <w:rFonts w:ascii="Arial Narrow" w:hAnsi="Arial Narrow"/>
        </w:rPr>
        <w:t xml:space="preserve"> del numeral 1.2, </w:t>
      </w:r>
      <w:r w:rsidR="007968EC">
        <w:rPr>
          <w:rFonts w:ascii="Arial Narrow" w:hAnsi="Arial Narrow"/>
        </w:rPr>
        <w:t>según Curva y</w:t>
      </w:r>
      <w:r w:rsidR="007968EC" w:rsidRPr="005F10B9">
        <w:rPr>
          <w:rFonts w:ascii="Arial Narrow" w:hAnsi="Arial Narrow"/>
        </w:rPr>
        <w:t xml:space="preserve"> plazo “s”</w:t>
      </w:r>
      <w:r w:rsidR="007968EC" w:rsidRPr="005F10B9" w:rsidDel="0072058A">
        <w:rPr>
          <w:rFonts w:ascii="Arial Narrow" w:hAnsi="Arial Narrow"/>
        </w:rPr>
        <w:t xml:space="preserve"> </w:t>
      </w:r>
      <w:r w:rsidR="007968EC" w:rsidRPr="005F10B9">
        <w:rPr>
          <w:rFonts w:ascii="Arial Narrow" w:hAnsi="Arial Narrow"/>
        </w:rPr>
        <w:t xml:space="preserve"> y escenario “t”</w:t>
      </w:r>
    </w:p>
    <w:p w14:paraId="21C9690B" w14:textId="77777777" w:rsidR="007968EC" w:rsidRPr="005F10B9" w:rsidRDefault="00682D97" w:rsidP="007968EC">
      <w:pPr>
        <w:rPr>
          <w:rFonts w:ascii="Arial Narrow" w:hAnsi="Arial Narrow"/>
        </w:rPr>
      </w:pPr>
      <m:oMath>
        <m:sSub>
          <m:sSubPr>
            <m:ctrlPr>
              <w:rPr>
                <w:rFonts w:ascii="Cambria Math" w:hAnsi="Cambria Math"/>
              </w:rPr>
            </m:ctrlPr>
          </m:sSubPr>
          <m:e>
            <m:r>
              <m:rPr>
                <m:sty m:val="bi"/>
              </m:rPr>
              <w:rPr>
                <w:rFonts w:ascii="Cambria Math" w:hAnsi="Cambria Math"/>
              </w:rPr>
              <m:t>σ</m:t>
            </m:r>
          </m:e>
          <m:sub>
            <m:r>
              <m:rPr>
                <m:sty m:val="bi"/>
              </m:rPr>
              <w:rPr>
                <w:rFonts w:ascii="Cambria Math" w:hAnsi="Cambria Math"/>
              </w:rPr>
              <m:t>0</m:t>
            </m:r>
          </m:sub>
        </m:sSub>
      </m:oMath>
      <w:r w:rsidR="007968EC" w:rsidRPr="005F10B9">
        <w:rPr>
          <w:rFonts w:ascii="Arial Narrow" w:hAnsi="Arial Narrow"/>
        </w:rPr>
        <w:t xml:space="preserve">: Volatilidad calculada en el punto </w:t>
      </w:r>
      <w:r w:rsidR="007968EC">
        <w:rPr>
          <w:rFonts w:ascii="Arial Narrow" w:hAnsi="Arial Narrow"/>
        </w:rPr>
        <w:t>(</w:t>
      </w:r>
      <w:r w:rsidR="007968EC" w:rsidRPr="005F10B9">
        <w:rPr>
          <w:rFonts w:ascii="Arial Narrow" w:hAnsi="Arial Narrow"/>
        </w:rPr>
        <w:t>b</w:t>
      </w:r>
      <w:r w:rsidR="007968EC">
        <w:rPr>
          <w:rFonts w:ascii="Arial Narrow" w:hAnsi="Arial Narrow"/>
        </w:rPr>
        <w:t>)</w:t>
      </w:r>
      <w:r w:rsidR="007968EC" w:rsidRPr="005F10B9">
        <w:rPr>
          <w:rFonts w:ascii="Arial Narrow" w:hAnsi="Arial Narrow"/>
        </w:rPr>
        <w:t xml:space="preserve"> del numeral 1.2, </w:t>
      </w:r>
      <w:r w:rsidR="007968EC">
        <w:rPr>
          <w:rFonts w:ascii="Arial Narrow" w:hAnsi="Arial Narrow"/>
        </w:rPr>
        <w:t>según Curva y</w:t>
      </w:r>
      <w:r w:rsidR="007968EC" w:rsidRPr="005F10B9">
        <w:rPr>
          <w:rFonts w:ascii="Arial Narrow" w:hAnsi="Arial Narrow"/>
        </w:rPr>
        <w:t xml:space="preserve"> plazo “s”</w:t>
      </w:r>
      <w:r w:rsidR="007968EC" w:rsidRPr="005F10B9" w:rsidDel="0072058A">
        <w:rPr>
          <w:rFonts w:ascii="Arial Narrow" w:hAnsi="Arial Narrow"/>
        </w:rPr>
        <w:t xml:space="preserve"> </w:t>
      </w:r>
      <w:r w:rsidR="007968EC" w:rsidRPr="005F10B9">
        <w:rPr>
          <w:rFonts w:ascii="Arial Narrow" w:hAnsi="Arial Narrow"/>
        </w:rPr>
        <w:t xml:space="preserve"> en el escenario “</w:t>
      </w:r>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0</m:t>
            </m:r>
          </m:sub>
        </m:sSub>
      </m:oMath>
      <w:r w:rsidR="007968EC" w:rsidRPr="005F10B9">
        <w:rPr>
          <w:rFonts w:ascii="Arial Narrow" w:hAnsi="Arial Narrow"/>
        </w:rPr>
        <w:t>”=hoy</w:t>
      </w:r>
    </w:p>
    <w:p w14:paraId="46CF8AD6" w14:textId="77777777" w:rsidR="007968EC" w:rsidRPr="005F10B9" w:rsidRDefault="00682D97" w:rsidP="007968EC">
      <w:pPr>
        <w:rPr>
          <w:rFonts w:ascii="Arial Narrow" w:hAnsi="Arial Narrow"/>
        </w:rPr>
      </w:pPr>
      <m:oMath>
        <m:sSub>
          <m:sSubPr>
            <m:ctrlPr>
              <w:rPr>
                <w:rFonts w:ascii="Cambria Math" w:hAnsi="Cambria Math"/>
              </w:rPr>
            </m:ctrlPr>
          </m:sSubPr>
          <m:e>
            <m:r>
              <m:rPr>
                <m:sty m:val="bi"/>
              </m:rPr>
              <w:rPr>
                <w:rFonts w:ascii="Cambria Math" w:hAnsi="Cambria Math"/>
              </w:rPr>
              <m:t>σ</m:t>
            </m:r>
          </m:e>
          <m:sub>
            <m:r>
              <m:rPr>
                <m:sty m:val="bi"/>
              </m:rPr>
              <w:rPr>
                <w:rFonts w:ascii="Cambria Math" w:hAnsi="Cambria Math"/>
              </w:rPr>
              <m:t>t</m:t>
            </m:r>
          </m:sub>
        </m:sSub>
      </m:oMath>
      <w:r w:rsidR="007968EC" w:rsidRPr="005F10B9">
        <w:rPr>
          <w:rFonts w:ascii="Arial Narrow" w:hAnsi="Arial Narrow"/>
        </w:rPr>
        <w:t xml:space="preserve">: Volatilidad calculada en el punto </w:t>
      </w:r>
      <w:r w:rsidR="007968EC">
        <w:rPr>
          <w:rFonts w:ascii="Arial Narrow" w:hAnsi="Arial Narrow"/>
        </w:rPr>
        <w:t>(</w:t>
      </w:r>
      <w:r w:rsidR="007968EC" w:rsidRPr="005F10B9">
        <w:rPr>
          <w:rFonts w:ascii="Arial Narrow" w:hAnsi="Arial Narrow"/>
        </w:rPr>
        <w:t>b</w:t>
      </w:r>
      <w:r w:rsidR="007968EC">
        <w:rPr>
          <w:rFonts w:ascii="Arial Narrow" w:hAnsi="Arial Narrow"/>
        </w:rPr>
        <w:t>)</w:t>
      </w:r>
      <w:r w:rsidR="007968EC" w:rsidRPr="005F10B9">
        <w:rPr>
          <w:rFonts w:ascii="Arial Narrow" w:hAnsi="Arial Narrow"/>
        </w:rPr>
        <w:t xml:space="preserve"> del numeral 1.2, </w:t>
      </w:r>
      <w:r w:rsidR="007968EC">
        <w:rPr>
          <w:rFonts w:ascii="Arial Narrow" w:hAnsi="Arial Narrow"/>
        </w:rPr>
        <w:t>según Curva y</w:t>
      </w:r>
      <w:r w:rsidR="007968EC" w:rsidRPr="005F10B9">
        <w:rPr>
          <w:rFonts w:ascii="Arial Narrow" w:hAnsi="Arial Narrow"/>
        </w:rPr>
        <w:t xml:space="preserve"> plazo “s”</w:t>
      </w:r>
      <w:r w:rsidR="007968EC" w:rsidRPr="005F10B9" w:rsidDel="0072058A">
        <w:rPr>
          <w:rFonts w:ascii="Arial Narrow" w:hAnsi="Arial Narrow"/>
        </w:rPr>
        <w:t xml:space="preserve"> </w:t>
      </w:r>
      <w:r w:rsidR="007968EC" w:rsidRPr="005F10B9">
        <w:rPr>
          <w:rFonts w:ascii="Arial Narrow" w:hAnsi="Arial Narrow"/>
        </w:rPr>
        <w:t xml:space="preserve"> en el escenario “t”</w:t>
      </w:r>
    </w:p>
    <w:p w14:paraId="230E044B" w14:textId="77777777" w:rsidR="007968EC" w:rsidRDefault="007968EC" w:rsidP="007968EC">
      <w:pPr>
        <w:rPr>
          <w:rFonts w:ascii="Arial Narrow" w:hAnsi="Arial Narrow"/>
        </w:rPr>
      </w:pPr>
    </w:p>
    <w:p w14:paraId="6BC76ED6" w14:textId="77777777" w:rsidR="007968EC" w:rsidRPr="005F10B9" w:rsidRDefault="007968EC" w:rsidP="007968EC">
      <w:pPr>
        <w:jc w:val="both"/>
        <w:rPr>
          <w:rFonts w:ascii="Arial Narrow" w:hAnsi="Arial Narrow"/>
        </w:rPr>
      </w:pPr>
      <w:r>
        <w:rPr>
          <w:rFonts w:ascii="Arial Narrow" w:hAnsi="Arial Narrow"/>
        </w:rPr>
        <w:t xml:space="preserve">Para el caso de los Swaps de moneda además de calcular los retornos escalados para las Curvas Cero Cupón se deberán calcular los retornos escalados para la </w:t>
      </w:r>
      <w:r w:rsidRPr="005C6B50">
        <w:rPr>
          <w:rFonts w:ascii="Arial Narrow" w:hAnsi="Arial Narrow"/>
        </w:rPr>
        <w:t xml:space="preserve">TRM entre la fecha t y la fecha t menos MPOR descrito en el artículo 5.5.2.5. La variación obtenida se expresa en </w:t>
      </w:r>
      <w:r w:rsidRPr="00D46A3C">
        <w:rPr>
          <w:rFonts w:ascii="Arial Narrow" w:hAnsi="Arial Narrow"/>
        </w:rPr>
        <w:t>pesos COP.</w:t>
      </w:r>
    </w:p>
    <w:p w14:paraId="5CF3ED6B" w14:textId="77777777" w:rsidR="007968EC" w:rsidRDefault="007968EC" w:rsidP="007968EC">
      <w:pPr>
        <w:rPr>
          <w:rFonts w:ascii="Arial Narrow" w:hAnsi="Arial Narrow"/>
        </w:rPr>
      </w:pPr>
    </w:p>
    <w:p w14:paraId="14E80E72" w14:textId="77777777" w:rsidR="007968EC" w:rsidRPr="005F10B9" w:rsidRDefault="007968EC" w:rsidP="007968EC">
      <w:pPr>
        <w:rPr>
          <w:rFonts w:ascii="Arial Narrow" w:hAnsi="Arial Narrow"/>
        </w:rPr>
      </w:pPr>
      <w:r w:rsidRPr="005F10B9">
        <w:rPr>
          <w:rFonts w:ascii="Arial Narrow" w:hAnsi="Arial Narrow"/>
        </w:rPr>
        <w:t xml:space="preserve">Para los cálculos </w:t>
      </w:r>
      <w:proofErr w:type="spellStart"/>
      <w:r w:rsidRPr="005F10B9">
        <w:rPr>
          <w:rFonts w:ascii="Arial Narrow" w:hAnsi="Arial Narrow"/>
        </w:rPr>
        <w:t>intradiarios</w:t>
      </w:r>
      <w:proofErr w:type="spellEnd"/>
      <w:r w:rsidRPr="005F10B9">
        <w:rPr>
          <w:rFonts w:ascii="Arial Narrow" w:hAnsi="Arial Narrow"/>
        </w:rPr>
        <w:t xml:space="preserve"> se utilizan los datos de cierre de la sesión anterior.</w:t>
      </w:r>
    </w:p>
    <w:p w14:paraId="257EE676" w14:textId="77777777" w:rsidR="007968EC" w:rsidRPr="005F10B9" w:rsidRDefault="007968EC" w:rsidP="007968EC">
      <w:pPr>
        <w:rPr>
          <w:rFonts w:ascii="Arial Narrow" w:hAnsi="Arial Narrow"/>
        </w:rPr>
      </w:pPr>
    </w:p>
    <w:p w14:paraId="105BF571" w14:textId="77777777" w:rsidR="007968EC" w:rsidRPr="005F10B9" w:rsidRDefault="007968EC" w:rsidP="00DA7472">
      <w:pPr>
        <w:numPr>
          <w:ilvl w:val="0"/>
          <w:numId w:val="351"/>
        </w:numPr>
        <w:tabs>
          <w:tab w:val="left" w:pos="567"/>
        </w:tabs>
        <w:ind w:left="1134"/>
        <w:rPr>
          <w:rFonts w:ascii="Arial Narrow" w:hAnsi="Arial Narrow" w:cs="Arial"/>
          <w:lang w:eastAsia="es-CO"/>
        </w:rPr>
      </w:pPr>
      <w:r w:rsidRPr="005F10B9">
        <w:rPr>
          <w:rFonts w:ascii="Arial Narrow" w:hAnsi="Arial Narrow" w:cs="Arial"/>
          <w:lang w:eastAsia="es-CO"/>
        </w:rPr>
        <w:t>Creación de sensibilidades Delta-Gamma.</w:t>
      </w:r>
    </w:p>
    <w:p w14:paraId="32E3A8D9" w14:textId="77777777" w:rsidR="007968EC" w:rsidRPr="005F10B9" w:rsidRDefault="007968EC" w:rsidP="007968EC">
      <w:pPr>
        <w:rPr>
          <w:rFonts w:ascii="Arial Narrow" w:hAnsi="Arial Narrow"/>
        </w:rPr>
      </w:pPr>
    </w:p>
    <w:p w14:paraId="62D15A88" w14:textId="77777777" w:rsidR="007968EC" w:rsidRPr="005F10B9" w:rsidRDefault="007968EC" w:rsidP="007968EC">
      <w:pPr>
        <w:rPr>
          <w:rFonts w:ascii="Arial Narrow" w:hAnsi="Arial Narrow"/>
        </w:rPr>
      </w:pPr>
      <w:r w:rsidRPr="005F10B9">
        <w:rPr>
          <w:rFonts w:ascii="Arial Narrow" w:hAnsi="Arial Narrow"/>
        </w:rPr>
        <w:t xml:space="preserve">La tabla de sensibilidades Delta-Gamma es la misma que se calculó en el punto </w:t>
      </w:r>
      <w:r>
        <w:rPr>
          <w:rFonts w:ascii="Arial Narrow" w:hAnsi="Arial Narrow"/>
        </w:rPr>
        <w:t>ii</w:t>
      </w:r>
      <w:r w:rsidRPr="005F10B9">
        <w:rPr>
          <w:rFonts w:ascii="Arial Narrow" w:hAnsi="Arial Narrow"/>
        </w:rPr>
        <w:t xml:space="preserve"> del numeral 1.</w:t>
      </w:r>
      <w:r>
        <w:rPr>
          <w:rFonts w:ascii="Arial Narrow" w:hAnsi="Arial Narrow"/>
        </w:rPr>
        <w:t>a</w:t>
      </w:r>
    </w:p>
    <w:p w14:paraId="148AFB1C" w14:textId="77777777" w:rsidR="007968EC" w:rsidRPr="005F10B9" w:rsidRDefault="007968EC" w:rsidP="007968EC">
      <w:pPr>
        <w:rPr>
          <w:rFonts w:ascii="Arial Narrow" w:hAnsi="Arial Narrow"/>
        </w:rPr>
      </w:pPr>
    </w:p>
    <w:p w14:paraId="32D023A2" w14:textId="77777777" w:rsidR="007968EC" w:rsidRPr="005F10B9" w:rsidRDefault="007968EC" w:rsidP="00DA7472">
      <w:pPr>
        <w:numPr>
          <w:ilvl w:val="0"/>
          <w:numId w:val="351"/>
        </w:numPr>
        <w:tabs>
          <w:tab w:val="left" w:pos="567"/>
        </w:tabs>
        <w:ind w:left="1134"/>
        <w:rPr>
          <w:rFonts w:ascii="Arial Narrow" w:hAnsi="Arial Narrow" w:cs="Arial"/>
          <w:lang w:eastAsia="es-CO"/>
        </w:rPr>
      </w:pPr>
      <w:r w:rsidRPr="005F10B9">
        <w:rPr>
          <w:rFonts w:ascii="Arial Narrow" w:hAnsi="Arial Narrow" w:cs="Arial"/>
          <w:lang w:eastAsia="es-CO"/>
        </w:rPr>
        <w:t>Cálculo del Delta-Gamma de los Escenarios Analizados. Cálculo de P&amp;G y selección de los Peores Escenarios.</w:t>
      </w:r>
    </w:p>
    <w:p w14:paraId="75F3DC1C" w14:textId="77777777" w:rsidR="007968EC" w:rsidRDefault="007968EC" w:rsidP="007968EC">
      <w:pPr>
        <w:jc w:val="both"/>
        <w:rPr>
          <w:rFonts w:ascii="Arial Narrow" w:hAnsi="Arial Narrow"/>
        </w:rPr>
      </w:pPr>
    </w:p>
    <w:p w14:paraId="27500B58" w14:textId="77777777" w:rsidR="007968EC" w:rsidRDefault="007968EC" w:rsidP="007968EC">
      <w:pPr>
        <w:jc w:val="both"/>
        <w:rPr>
          <w:rFonts w:ascii="Arial Narrow" w:hAnsi="Arial Narrow"/>
        </w:rPr>
      </w:pPr>
      <w:r w:rsidRPr="005F10B9">
        <w:rPr>
          <w:rFonts w:ascii="Arial Narrow" w:hAnsi="Arial Narrow"/>
        </w:rPr>
        <w:t xml:space="preserve">El cálculo del Delta-Gamma y del P&amp;G se realiza de igual forma al punto </w:t>
      </w:r>
      <w:r>
        <w:rPr>
          <w:rFonts w:ascii="Arial Narrow" w:hAnsi="Arial Narrow"/>
        </w:rPr>
        <w:t>iii</w:t>
      </w:r>
      <w:r w:rsidRPr="005F10B9">
        <w:rPr>
          <w:rFonts w:ascii="Arial Narrow" w:hAnsi="Arial Narrow"/>
        </w:rPr>
        <w:t xml:space="preserve"> del numeral 1.</w:t>
      </w:r>
      <w:r>
        <w:rPr>
          <w:rFonts w:ascii="Arial Narrow" w:hAnsi="Arial Narrow"/>
        </w:rPr>
        <w:t>a</w:t>
      </w:r>
      <w:r w:rsidRPr="005F10B9">
        <w:rPr>
          <w:rFonts w:ascii="Arial Narrow" w:hAnsi="Arial Narrow"/>
        </w:rPr>
        <w:t xml:space="preserve">. Nótese, sin embargo, que, aunque el algoritmo y las fórmulas son las mismas que las del punto </w:t>
      </w:r>
      <w:r>
        <w:rPr>
          <w:rFonts w:ascii="Arial Narrow" w:hAnsi="Arial Narrow"/>
        </w:rPr>
        <w:t>iii</w:t>
      </w:r>
      <w:r w:rsidRPr="005F10B9">
        <w:rPr>
          <w:rFonts w:ascii="Arial Narrow" w:hAnsi="Arial Narrow"/>
        </w:rPr>
        <w:t xml:space="preserve"> del numeral 1.</w:t>
      </w:r>
      <w:r>
        <w:rPr>
          <w:rFonts w:ascii="Arial Narrow" w:hAnsi="Arial Narrow"/>
        </w:rPr>
        <w:t>a</w:t>
      </w:r>
      <w:r w:rsidRPr="005F10B9">
        <w:rPr>
          <w:rFonts w:ascii="Arial Narrow" w:hAnsi="Arial Narrow"/>
        </w:rPr>
        <w:t xml:space="preserve"> en este caso los retornos que se utilizan son los retornos escalados calculados en el punto </w:t>
      </w:r>
      <w:r>
        <w:rPr>
          <w:rFonts w:ascii="Arial Narrow" w:hAnsi="Arial Narrow"/>
        </w:rPr>
        <w:t>iii</w:t>
      </w:r>
      <w:r w:rsidRPr="005F10B9">
        <w:rPr>
          <w:rFonts w:ascii="Arial Narrow" w:hAnsi="Arial Narrow"/>
        </w:rPr>
        <w:t xml:space="preserve"> del numeral 1.</w:t>
      </w:r>
      <w:r>
        <w:rPr>
          <w:rFonts w:ascii="Arial Narrow" w:hAnsi="Arial Narrow"/>
        </w:rPr>
        <w:t>b</w:t>
      </w:r>
      <w:r w:rsidRPr="005F10B9">
        <w:rPr>
          <w:rFonts w:ascii="Arial Narrow" w:hAnsi="Arial Narrow"/>
        </w:rPr>
        <w:t>. Por este motivo los Peores Escenarios de un método no tienen que coincidir con los Peores Escenarios del otro método.</w:t>
      </w:r>
    </w:p>
    <w:p w14:paraId="44CFFB78" w14:textId="77777777" w:rsidR="007968EC" w:rsidRDefault="007968EC" w:rsidP="007968EC">
      <w:pPr>
        <w:jc w:val="both"/>
        <w:rPr>
          <w:rFonts w:ascii="Arial Narrow" w:hAnsi="Arial Narrow"/>
        </w:rPr>
      </w:pPr>
    </w:p>
    <w:p w14:paraId="79EF15E3" w14:textId="77777777" w:rsidR="007968EC" w:rsidRPr="005F10B9" w:rsidRDefault="007968EC" w:rsidP="007968EC">
      <w:pPr>
        <w:jc w:val="both"/>
        <w:rPr>
          <w:rFonts w:ascii="Arial Narrow" w:hAnsi="Arial Narrow"/>
        </w:rPr>
      </w:pPr>
      <w:r>
        <w:rPr>
          <w:rFonts w:ascii="Arial Narrow" w:hAnsi="Arial Narrow"/>
        </w:rPr>
        <w:t xml:space="preserve">Para el caso de los Swaps de moneda además de calcular las pérdidas/ganancias para cada una de las curvas se deberá calcular las pérdidas/ganancias para la TRM. </w:t>
      </w:r>
    </w:p>
    <w:p w14:paraId="6427A9DC" w14:textId="77777777" w:rsidR="007968EC" w:rsidRDefault="007968EC" w:rsidP="007968EC">
      <w:pPr>
        <w:jc w:val="both"/>
        <w:rPr>
          <w:rFonts w:ascii="Arial Narrow" w:hAnsi="Arial Narrow"/>
        </w:rPr>
      </w:pPr>
    </w:p>
    <w:p w14:paraId="60AC5BA0" w14:textId="77777777" w:rsidR="007968EC" w:rsidRPr="005F10B9" w:rsidRDefault="007968EC" w:rsidP="007968EC">
      <w:pPr>
        <w:jc w:val="both"/>
        <w:rPr>
          <w:rFonts w:ascii="Arial Narrow" w:hAnsi="Arial Narrow"/>
        </w:rPr>
      </w:pPr>
      <w:r>
        <w:rPr>
          <w:rFonts w:ascii="Arial Narrow" w:hAnsi="Arial Narrow"/>
        </w:rPr>
        <w:t xml:space="preserve">Finalmente, se deberán sumar </w:t>
      </w:r>
      <w:r w:rsidRPr="005F10B9">
        <w:rPr>
          <w:rFonts w:ascii="Arial Narrow" w:hAnsi="Arial Narrow"/>
        </w:rPr>
        <w:t>las pérdidas/ganancias para cada uno de los Escenarios Analizados</w:t>
      </w:r>
      <w:r>
        <w:rPr>
          <w:rFonts w:ascii="Arial Narrow" w:hAnsi="Arial Narrow"/>
        </w:rPr>
        <w:t>, de la siguiente forma:</w:t>
      </w:r>
    </w:p>
    <w:p w14:paraId="4F43E8E2" w14:textId="77777777" w:rsidR="007968EC" w:rsidRPr="005F10B9" w:rsidRDefault="00682D97" w:rsidP="007968EC">
      <w:pPr>
        <w:rPr>
          <w:rFonts w:ascii="Arial Narrow" w:hAnsi="Arial Narrow"/>
        </w:rPr>
      </w:pPr>
      <m:oMathPara>
        <m:oMath>
          <m:sSub>
            <m:sSubPr>
              <m:ctrlPr>
                <w:rPr>
                  <w:rFonts w:ascii="Cambria Math" w:hAnsi="Cambria Math"/>
                </w:rPr>
              </m:ctrlPr>
            </m:sSubPr>
            <m:e>
              <m:r>
                <m:rPr>
                  <m:sty m:val="bi"/>
                </m:rPr>
                <w:rPr>
                  <w:rFonts w:ascii="Cambria Math" w:hAnsi="Cambria Math"/>
                </w:rPr>
                <m:t>P&amp;G</m:t>
              </m:r>
            </m:e>
            <m:sub>
              <m:r>
                <m:rPr>
                  <m:sty m:val="bi"/>
                </m:rPr>
                <w:rPr>
                  <w:rFonts w:ascii="Cambria Math" w:hAnsi="Cambria Math"/>
                </w:rPr>
                <m:t>i</m:t>
              </m:r>
            </m:sub>
          </m:sSub>
          <m:r>
            <m:rPr>
              <m:sty m:val="bi"/>
            </m:rPr>
            <w:rPr>
              <w:rFonts w:ascii="Cambria Math" w:hAnsi="Cambria Math"/>
            </w:rPr>
            <m:t>=</m:t>
          </m:r>
          <m:nary>
            <m:naryPr>
              <m:chr m:val="∑"/>
              <m:limLoc m:val="undOvr"/>
              <m:ctrlPr>
                <w:rPr>
                  <w:rFonts w:ascii="Cambria Math" w:hAnsi="Cambria Math"/>
                </w:rPr>
              </m:ctrlPr>
            </m:naryPr>
            <m:sub>
              <m:r>
                <m:rPr>
                  <m:sty m:val="bi"/>
                </m:rPr>
                <w:rPr>
                  <w:rFonts w:ascii="Cambria Math" w:hAnsi="Cambria Math"/>
                </w:rPr>
                <m:t>s=1</m:t>
              </m:r>
            </m:sub>
            <m:sup>
              <m:r>
                <m:rPr>
                  <m:sty m:val="bi"/>
                </m:rPr>
                <w:rPr>
                  <w:rFonts w:ascii="Cambria Math" w:hAnsi="Cambria Math"/>
                </w:rPr>
                <m:t>n</m:t>
              </m:r>
            </m:sup>
            <m:e>
              <m:d>
                <m:dPr>
                  <m:ctrlPr>
                    <w:rPr>
                      <w:rFonts w:ascii="Cambria Math" w:hAnsi="Cambria Math"/>
                    </w:rPr>
                  </m:ctrlPr>
                </m:dPr>
                <m:e>
                  <m:sSub>
                    <m:sSubPr>
                      <m:ctrlPr>
                        <w:rPr>
                          <w:rFonts w:ascii="Cambria Math" w:hAnsi="Cambria Math"/>
                        </w:rPr>
                      </m:ctrlPr>
                    </m:sSubPr>
                    <m:e>
                      <m:r>
                        <m:rPr>
                          <m:sty m:val="bi"/>
                        </m:rPr>
                        <w:rPr>
                          <w:rFonts w:ascii="Cambria Math" w:hAnsi="Cambria Math"/>
                        </w:rPr>
                        <m:t>∂</m:t>
                      </m:r>
                    </m:e>
                    <m:sub>
                      <m:r>
                        <m:rPr>
                          <m:sty m:val="bi"/>
                        </m:rPr>
                        <w:rPr>
                          <w:rFonts w:ascii="Cambria Math" w:hAnsi="Cambria Math"/>
                        </w:rPr>
                        <m:t>s</m:t>
                      </m:r>
                    </m:sub>
                  </m:sSub>
                  <m:sSubSup>
                    <m:sSubSupPr>
                      <m:ctrlPr>
                        <w:rPr>
                          <w:rFonts w:ascii="Cambria Math" w:hAnsi="Cambria Math"/>
                        </w:rPr>
                      </m:ctrlPr>
                    </m:sSubSupPr>
                    <m:e>
                      <m:r>
                        <m:rPr>
                          <m:sty m:val="bi"/>
                        </m:rPr>
                        <w:rPr>
                          <w:rFonts w:ascii="Cambria Math" w:hAnsi="Cambria Math"/>
                        </w:rPr>
                        <m:t>R</m:t>
                      </m:r>
                    </m:e>
                    <m:sub>
                      <m:r>
                        <m:rPr>
                          <m:sty m:val="bi"/>
                        </m:rPr>
                        <w:rPr>
                          <w:rFonts w:ascii="Cambria Math" w:hAnsi="Cambria Math"/>
                        </w:rPr>
                        <m:t>i, Escalado</m:t>
                      </m:r>
                    </m:sub>
                    <m:sup>
                      <m:r>
                        <m:rPr>
                          <m:sty m:val="bi"/>
                        </m:rPr>
                        <w:rPr>
                          <w:rFonts w:ascii="Cambria Math" w:hAnsi="Cambria Math"/>
                        </w:rPr>
                        <m:t>s</m:t>
                      </m:r>
                    </m:sup>
                  </m:sSubSup>
                  <m:r>
                    <m:rPr>
                      <m:sty m:val="bi"/>
                    </m:rPr>
                    <w:rPr>
                      <w:rFonts w:ascii="Cambria Math" w:hAnsi="Cambria Math"/>
                    </w:rPr>
                    <m:t>+</m:t>
                  </m:r>
                  <m:f>
                    <m:fPr>
                      <m:ctrlPr>
                        <w:rPr>
                          <w:rFonts w:ascii="Cambria Math" w:hAnsi="Cambria Math"/>
                        </w:rPr>
                      </m:ctrlPr>
                    </m:fPr>
                    <m:num>
                      <m:sSub>
                        <m:sSubPr>
                          <m:ctrlPr>
                            <w:rPr>
                              <w:rFonts w:ascii="Cambria Math" w:hAnsi="Cambria Math"/>
                            </w:rPr>
                          </m:ctrlPr>
                        </m:sSubPr>
                        <m:e>
                          <m:r>
                            <m:rPr>
                              <m:sty m:val="bi"/>
                            </m:rPr>
                            <w:rPr>
                              <w:rFonts w:ascii="Cambria Math" w:hAnsi="Cambria Math"/>
                            </w:rPr>
                            <m:t>γ</m:t>
                          </m:r>
                        </m:e>
                        <m:sub>
                          <m:r>
                            <m:rPr>
                              <m:sty m:val="bi"/>
                            </m:rPr>
                            <w:rPr>
                              <w:rFonts w:ascii="Cambria Math" w:hAnsi="Cambria Math"/>
                            </w:rPr>
                            <m:t>s</m:t>
                          </m:r>
                        </m:sub>
                      </m:sSub>
                    </m:num>
                    <m:den>
                      <m:r>
                        <m:rPr>
                          <m:sty m:val="bi"/>
                        </m:rPr>
                        <w:rPr>
                          <w:rFonts w:ascii="Cambria Math" w:hAnsi="Cambria Math"/>
                        </w:rPr>
                        <m:t>2</m:t>
                      </m:r>
                    </m:den>
                  </m:f>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m:rPr>
                                  <m:sty m:val="bi"/>
                                </m:rPr>
                                <w:rPr>
                                  <w:rFonts w:ascii="Cambria Math" w:hAnsi="Cambria Math"/>
                                </w:rPr>
                                <m:t>R</m:t>
                              </m:r>
                            </m:e>
                            <m:sub>
                              <m:r>
                                <m:rPr>
                                  <m:sty m:val="bi"/>
                                </m:rPr>
                                <w:rPr>
                                  <w:rFonts w:ascii="Cambria Math" w:hAnsi="Cambria Math"/>
                                </w:rPr>
                                <m:t>i, Escalado</m:t>
                              </m:r>
                            </m:sub>
                            <m:sup>
                              <m:r>
                                <m:rPr>
                                  <m:sty m:val="bi"/>
                                </m:rPr>
                                <w:rPr>
                                  <w:rFonts w:ascii="Cambria Math" w:hAnsi="Cambria Math"/>
                                </w:rPr>
                                <m:t>s</m:t>
                              </m:r>
                            </m:sup>
                          </m:sSubSup>
                        </m:e>
                      </m:d>
                    </m:e>
                    <m:sup>
                      <m:r>
                        <m:rPr>
                          <m:sty m:val="bi"/>
                        </m:rPr>
                        <w:rPr>
                          <w:rFonts w:ascii="Cambria Math" w:hAnsi="Cambria Math"/>
                        </w:rPr>
                        <m:t>2</m:t>
                      </m:r>
                    </m:sup>
                  </m:sSup>
                </m:e>
              </m:d>
            </m:e>
          </m:nary>
        </m:oMath>
      </m:oMathPara>
    </w:p>
    <w:p w14:paraId="7B4A052F" w14:textId="77777777" w:rsidR="007968EC" w:rsidRPr="005F10B9" w:rsidRDefault="007968EC" w:rsidP="007968EC">
      <w:pPr>
        <w:jc w:val="both"/>
        <w:rPr>
          <w:rFonts w:ascii="Arial Narrow" w:hAnsi="Arial Narrow"/>
        </w:rPr>
      </w:pPr>
      <w:r w:rsidRPr="005F10B9">
        <w:rPr>
          <w:rFonts w:ascii="Arial Narrow" w:hAnsi="Arial Narrow"/>
        </w:rPr>
        <w:t>Donde:</w:t>
      </w:r>
    </w:p>
    <w:p w14:paraId="61B5C92B" w14:textId="77777777" w:rsidR="007968EC" w:rsidRPr="005F10B9" w:rsidRDefault="007968EC" w:rsidP="007968EC">
      <w:pPr>
        <w:jc w:val="both"/>
        <w:rPr>
          <w:rFonts w:ascii="Arial Narrow" w:hAnsi="Arial Narrow"/>
        </w:rPr>
      </w:pPr>
    </w:p>
    <w:p w14:paraId="15F36272" w14:textId="77777777" w:rsidR="007968EC" w:rsidRPr="005F10B9" w:rsidRDefault="00682D97" w:rsidP="007968EC">
      <w:pPr>
        <w:jc w:val="both"/>
        <w:rPr>
          <w:rFonts w:ascii="Arial Narrow" w:hAnsi="Arial Narrow"/>
        </w:rPr>
      </w:pPr>
      <m:oMath>
        <m:sSub>
          <m:sSubPr>
            <m:ctrlPr>
              <w:rPr>
                <w:rFonts w:ascii="Cambria Math" w:hAnsi="Cambria Math"/>
              </w:rPr>
            </m:ctrlPr>
          </m:sSubPr>
          <m:e>
            <m:r>
              <m:rPr>
                <m:sty m:val="bi"/>
              </m:rPr>
              <w:rPr>
                <w:rFonts w:ascii="Cambria Math" w:hAnsi="Cambria Math"/>
              </w:rPr>
              <m:t>P&amp;G</m:t>
            </m:r>
          </m:e>
          <m:sub>
            <m:r>
              <m:rPr>
                <m:sty m:val="bi"/>
              </m:rPr>
              <w:rPr>
                <w:rFonts w:ascii="Cambria Math" w:hAnsi="Cambria Math"/>
              </w:rPr>
              <m:t>i</m:t>
            </m:r>
          </m:sub>
        </m:sSub>
      </m:oMath>
      <w:r w:rsidR="007968EC" w:rsidRPr="005F10B9">
        <w:rPr>
          <w:rFonts w:ascii="Arial Narrow" w:hAnsi="Arial Narrow"/>
        </w:rPr>
        <w:t xml:space="preserve">: </w:t>
      </w:r>
      <w:r w:rsidR="007968EC">
        <w:rPr>
          <w:rFonts w:ascii="Arial Narrow" w:hAnsi="Arial Narrow"/>
        </w:rPr>
        <w:t xml:space="preserve">Es la </w:t>
      </w:r>
      <w:r w:rsidR="007968EC" w:rsidRPr="005F10B9">
        <w:rPr>
          <w:rFonts w:ascii="Arial Narrow" w:hAnsi="Arial Narrow"/>
        </w:rPr>
        <w:t xml:space="preserve">Pérdida o ganancia de la cuenta para el escenario “i” (i=1, …, </w:t>
      </w:r>
      <w:r w:rsidR="007968EC">
        <w:rPr>
          <w:rFonts w:ascii="Arial Narrow" w:hAnsi="Arial Narrow"/>
        </w:rPr>
        <w:t>N</w:t>
      </w:r>
      <w:r w:rsidR="007968EC" w:rsidRPr="005F10B9">
        <w:rPr>
          <w:rFonts w:ascii="Arial Narrow" w:hAnsi="Arial Narrow"/>
        </w:rPr>
        <w:t>úmero de Escenarios Analizados)</w:t>
      </w:r>
      <w:r w:rsidR="007968EC">
        <w:rPr>
          <w:rFonts w:ascii="Arial Narrow" w:hAnsi="Arial Narrow"/>
        </w:rPr>
        <w:t>.</w:t>
      </w:r>
    </w:p>
    <w:p w14:paraId="35147180" w14:textId="77777777" w:rsidR="007968EC" w:rsidRPr="005F10B9" w:rsidRDefault="007968EC" w:rsidP="007968EC">
      <w:pPr>
        <w:jc w:val="both"/>
        <w:rPr>
          <w:rFonts w:ascii="Arial Narrow" w:eastAsiaTheme="minorEastAsia" w:hAnsi="Arial Narrow"/>
        </w:rPr>
      </w:pPr>
    </w:p>
    <w:p w14:paraId="6C531D47" w14:textId="77777777" w:rsidR="007968EC" w:rsidRPr="005F10B9" w:rsidRDefault="00682D97" w:rsidP="007968EC">
      <w:pPr>
        <w:jc w:val="both"/>
        <w:rPr>
          <w:rFonts w:ascii="Arial Narrow" w:hAnsi="Arial Narrow"/>
        </w:rPr>
      </w:pPr>
      <m:oMath>
        <m:sSub>
          <m:sSubPr>
            <m:ctrlPr>
              <w:rPr>
                <w:rFonts w:ascii="Cambria Math" w:hAnsi="Cambria Math"/>
              </w:rPr>
            </m:ctrlPr>
          </m:sSubPr>
          <m:e>
            <m:r>
              <m:rPr>
                <m:sty m:val="bi"/>
              </m:rPr>
              <w:rPr>
                <w:rFonts w:ascii="Cambria Math" w:hAnsi="Cambria Math"/>
              </w:rPr>
              <m:t>∂</m:t>
            </m:r>
          </m:e>
          <m:sub>
            <m:r>
              <m:rPr>
                <m:sty m:val="bi"/>
              </m:rPr>
              <w:rPr>
                <w:rFonts w:ascii="Cambria Math" w:hAnsi="Cambria Math"/>
              </w:rPr>
              <m:t>s</m:t>
            </m:r>
          </m:sub>
        </m:sSub>
      </m:oMath>
      <w:r w:rsidR="007968EC" w:rsidRPr="005F10B9">
        <w:rPr>
          <w:rFonts w:ascii="Arial Narrow" w:hAnsi="Arial Narrow"/>
        </w:rPr>
        <w:t xml:space="preserve">: Delta de la cuenta </w:t>
      </w:r>
      <w:r w:rsidR="007968EC">
        <w:rPr>
          <w:rFonts w:ascii="Arial Narrow" w:hAnsi="Arial Narrow"/>
        </w:rPr>
        <w:t>según Curva y</w:t>
      </w:r>
      <w:r w:rsidR="007968EC" w:rsidRPr="005F10B9">
        <w:rPr>
          <w:rFonts w:ascii="Arial Narrow" w:hAnsi="Arial Narrow"/>
        </w:rPr>
        <w:t xml:space="preserve"> plazo “s”</w:t>
      </w:r>
      <w:r w:rsidR="007968EC" w:rsidRPr="005F10B9" w:rsidDel="0072058A">
        <w:rPr>
          <w:rFonts w:ascii="Arial Narrow" w:hAnsi="Arial Narrow"/>
        </w:rPr>
        <w:t xml:space="preserve"> </w:t>
      </w:r>
    </w:p>
    <w:p w14:paraId="4B972E92" w14:textId="77777777" w:rsidR="007968EC" w:rsidRPr="005F10B9" w:rsidRDefault="00682D97" w:rsidP="007968EC">
      <w:pPr>
        <w:jc w:val="both"/>
        <w:rPr>
          <w:rFonts w:ascii="Arial Narrow" w:hAnsi="Arial Narrow"/>
        </w:rPr>
      </w:pPr>
      <m:oMath>
        <m:sSubSup>
          <m:sSubSupPr>
            <m:ctrlPr>
              <w:rPr>
                <w:rFonts w:ascii="Cambria Math" w:hAnsi="Cambria Math"/>
              </w:rPr>
            </m:ctrlPr>
          </m:sSubSupPr>
          <m:e>
            <m:r>
              <m:rPr>
                <m:sty m:val="bi"/>
              </m:rPr>
              <w:rPr>
                <w:rFonts w:ascii="Cambria Math" w:hAnsi="Cambria Math"/>
              </w:rPr>
              <m:t>R</m:t>
            </m:r>
          </m:e>
          <m:sub>
            <m:r>
              <m:rPr>
                <m:sty m:val="bi"/>
              </m:rPr>
              <w:rPr>
                <w:rFonts w:ascii="Cambria Math" w:hAnsi="Cambria Math"/>
              </w:rPr>
              <m:t>i, Escalado</m:t>
            </m:r>
          </m:sub>
          <m:sup>
            <m:r>
              <m:rPr>
                <m:sty m:val="bi"/>
              </m:rPr>
              <w:rPr>
                <w:rFonts w:ascii="Cambria Math" w:hAnsi="Cambria Math"/>
              </w:rPr>
              <m:t>s</m:t>
            </m:r>
          </m:sup>
        </m:sSubSup>
      </m:oMath>
      <w:r w:rsidR="007968EC" w:rsidRPr="005F10B9">
        <w:rPr>
          <w:rFonts w:ascii="Arial Narrow" w:hAnsi="Arial Narrow"/>
        </w:rPr>
        <w:t xml:space="preserve">: </w:t>
      </w:r>
      <w:r w:rsidR="007968EC">
        <w:rPr>
          <w:rFonts w:ascii="Arial Narrow" w:hAnsi="Arial Narrow"/>
        </w:rPr>
        <w:t xml:space="preserve">Es el </w:t>
      </w:r>
      <w:r w:rsidR="007968EC" w:rsidRPr="005F10B9">
        <w:rPr>
          <w:rFonts w:ascii="Arial Narrow" w:hAnsi="Arial Narrow"/>
        </w:rPr>
        <w:t xml:space="preserve">Retorno obtenido en el punto a del numeral 1.2 </w:t>
      </w:r>
      <w:r w:rsidR="007968EC">
        <w:rPr>
          <w:rFonts w:ascii="Arial Narrow" w:hAnsi="Arial Narrow"/>
        </w:rPr>
        <w:t>según Curva y</w:t>
      </w:r>
      <w:r w:rsidR="007968EC" w:rsidRPr="005F10B9">
        <w:rPr>
          <w:rFonts w:ascii="Arial Narrow" w:hAnsi="Arial Narrow"/>
        </w:rPr>
        <w:t xml:space="preserve"> plazo “s”</w:t>
      </w:r>
      <w:r w:rsidR="007968EC" w:rsidRPr="005F10B9" w:rsidDel="0072058A">
        <w:rPr>
          <w:rFonts w:ascii="Arial Narrow" w:hAnsi="Arial Narrow"/>
        </w:rPr>
        <w:t xml:space="preserve"> </w:t>
      </w:r>
      <w:r w:rsidR="007968EC" w:rsidRPr="005F10B9">
        <w:rPr>
          <w:rFonts w:ascii="Arial Narrow" w:hAnsi="Arial Narrow"/>
        </w:rPr>
        <w:t xml:space="preserve">para el escenario “i” (i=1, …, </w:t>
      </w:r>
      <w:r w:rsidR="007968EC">
        <w:rPr>
          <w:rFonts w:ascii="Arial Narrow" w:hAnsi="Arial Narrow"/>
        </w:rPr>
        <w:t>N</w:t>
      </w:r>
      <w:r w:rsidR="007968EC" w:rsidRPr="005F10B9">
        <w:rPr>
          <w:rFonts w:ascii="Arial Narrow" w:hAnsi="Arial Narrow"/>
        </w:rPr>
        <w:t>úmero de Escenarios Analizados) expresado en Pb.</w:t>
      </w:r>
    </w:p>
    <w:p w14:paraId="01E26199" w14:textId="77777777" w:rsidR="007968EC" w:rsidRPr="005F10B9" w:rsidRDefault="00682D97" w:rsidP="007968EC">
      <w:pPr>
        <w:jc w:val="both"/>
        <w:rPr>
          <w:rFonts w:ascii="Arial Narrow" w:hAnsi="Arial Narrow"/>
        </w:rPr>
      </w:pPr>
      <m:oMath>
        <m:sSub>
          <m:sSubPr>
            <m:ctrlPr>
              <w:rPr>
                <w:rFonts w:ascii="Cambria Math" w:hAnsi="Cambria Math"/>
              </w:rPr>
            </m:ctrlPr>
          </m:sSubPr>
          <m:e>
            <m:r>
              <m:rPr>
                <m:sty m:val="bi"/>
              </m:rPr>
              <w:rPr>
                <w:rFonts w:ascii="Cambria Math" w:hAnsi="Cambria Math"/>
              </w:rPr>
              <m:t>γ</m:t>
            </m:r>
          </m:e>
          <m:sub>
            <m:r>
              <m:rPr>
                <m:sty m:val="bi"/>
              </m:rPr>
              <w:rPr>
                <w:rFonts w:ascii="Cambria Math" w:hAnsi="Cambria Math"/>
              </w:rPr>
              <m:t>s</m:t>
            </m:r>
          </m:sub>
        </m:sSub>
      </m:oMath>
      <w:r w:rsidR="007968EC" w:rsidRPr="005F10B9">
        <w:rPr>
          <w:rFonts w:ascii="Arial Narrow" w:hAnsi="Arial Narrow"/>
        </w:rPr>
        <w:t>: Es el Gamma de la cuenta</w:t>
      </w:r>
      <w:r w:rsidR="007968EC">
        <w:rPr>
          <w:rFonts w:ascii="Arial Narrow" w:hAnsi="Arial Narrow"/>
        </w:rPr>
        <w:t xml:space="preserve"> según Curva y</w:t>
      </w:r>
      <w:r w:rsidR="007968EC" w:rsidRPr="005F10B9">
        <w:rPr>
          <w:rFonts w:ascii="Arial Narrow" w:hAnsi="Arial Narrow"/>
        </w:rPr>
        <w:t xml:space="preserve"> en cada plazo “s”</w:t>
      </w:r>
    </w:p>
    <w:p w14:paraId="64C6D3CA" w14:textId="77777777" w:rsidR="007968EC" w:rsidRDefault="007968EC" w:rsidP="007968EC">
      <w:pPr>
        <w:jc w:val="both"/>
        <w:rPr>
          <w:rFonts w:ascii="Arial Narrow" w:hAnsi="Arial Narrow"/>
        </w:rPr>
      </w:pPr>
      <w:r>
        <w:rPr>
          <w:rFonts w:ascii="Arial Narrow" w:hAnsi="Arial Narrow"/>
        </w:rPr>
        <w:t xml:space="preserve">Para el caso de los Swaps de moneda además de calcular las pérdidas/ganancias para cada una de las Curvas Cero Cupón se deberán calcular las pérdidas/ganancias para la TRM para cada Número de Sesiones a Utilizar </w:t>
      </w:r>
      <w:r w:rsidRPr="005F10B9">
        <w:rPr>
          <w:rFonts w:ascii="Arial Narrow" w:hAnsi="Arial Narrow"/>
        </w:rPr>
        <w:t>descrit</w:t>
      </w:r>
      <w:r>
        <w:rPr>
          <w:rFonts w:ascii="Arial Narrow" w:hAnsi="Arial Narrow"/>
        </w:rPr>
        <w:t>o</w:t>
      </w:r>
      <w:r w:rsidRPr="005F10B9">
        <w:rPr>
          <w:rFonts w:ascii="Arial Narrow" w:hAnsi="Arial Narrow"/>
        </w:rPr>
        <w:t xml:space="preserve"> en el artículo 5.5.2.5</w:t>
      </w:r>
      <w:r>
        <w:rPr>
          <w:rFonts w:ascii="Arial Narrow" w:hAnsi="Arial Narrow"/>
        </w:rPr>
        <w:t>.</w:t>
      </w:r>
    </w:p>
    <w:p w14:paraId="3AB7E8D7" w14:textId="77777777" w:rsidR="007968EC" w:rsidRPr="005F10B9" w:rsidRDefault="007968EC" w:rsidP="007968EC">
      <w:pPr>
        <w:jc w:val="both"/>
        <w:rPr>
          <w:rFonts w:ascii="Arial Narrow" w:hAnsi="Arial Narrow"/>
        </w:rPr>
      </w:pPr>
    </w:p>
    <w:p w14:paraId="3C6C65A2" w14:textId="77777777" w:rsidR="007968EC" w:rsidRPr="005F10B9" w:rsidRDefault="007968EC" w:rsidP="007968EC">
      <w:pPr>
        <w:jc w:val="both"/>
        <w:rPr>
          <w:rFonts w:ascii="Arial Narrow" w:hAnsi="Arial Narrow"/>
        </w:rPr>
      </w:pPr>
      <w:r w:rsidRPr="005F10B9">
        <w:rPr>
          <w:rFonts w:ascii="Arial Narrow" w:hAnsi="Arial Narrow"/>
        </w:rPr>
        <w:t>Una vez calculadas las perdidas/ganancias de la cuenta resultantes para cada uno de los Escenarios Analizados, se seleccionan los Peores Escenarios, es decir, aquellos con mayores pérdidas en cada cuenta.</w:t>
      </w:r>
    </w:p>
    <w:p w14:paraId="2583D66A" w14:textId="77777777" w:rsidR="007968EC" w:rsidRPr="005F10B9" w:rsidRDefault="007968EC" w:rsidP="007968EC">
      <w:pPr>
        <w:rPr>
          <w:rFonts w:ascii="Arial Narrow" w:hAnsi="Arial Narrow"/>
        </w:rPr>
      </w:pPr>
    </w:p>
    <w:p w14:paraId="4DC55CD3" w14:textId="77777777" w:rsidR="007968EC" w:rsidRPr="005F10B9" w:rsidRDefault="007968EC" w:rsidP="00DA7472">
      <w:pPr>
        <w:numPr>
          <w:ilvl w:val="0"/>
          <w:numId w:val="351"/>
        </w:numPr>
        <w:tabs>
          <w:tab w:val="left" w:pos="567"/>
        </w:tabs>
        <w:ind w:left="1134"/>
        <w:rPr>
          <w:rFonts w:ascii="Arial Narrow" w:hAnsi="Arial Narrow" w:cs="Arial"/>
          <w:lang w:eastAsia="es-CO"/>
        </w:rPr>
      </w:pPr>
      <w:r w:rsidRPr="005F10B9">
        <w:rPr>
          <w:rFonts w:ascii="Arial Narrow" w:hAnsi="Arial Narrow" w:cs="Arial"/>
          <w:lang w:eastAsia="es-CO"/>
        </w:rPr>
        <w:t>NPV de los Peores Escenarios y Pérdida Máxima Esperada.</w:t>
      </w:r>
    </w:p>
    <w:p w14:paraId="2786ECF6" w14:textId="77777777" w:rsidR="007968EC" w:rsidRDefault="007968EC" w:rsidP="007968EC">
      <w:pPr>
        <w:jc w:val="both"/>
        <w:rPr>
          <w:rFonts w:ascii="Arial Narrow" w:hAnsi="Arial Narrow"/>
        </w:rPr>
      </w:pPr>
    </w:p>
    <w:p w14:paraId="7E3D58D4" w14:textId="77777777" w:rsidR="007968EC" w:rsidRDefault="007968EC" w:rsidP="007968EC">
      <w:pPr>
        <w:jc w:val="both"/>
        <w:rPr>
          <w:rFonts w:ascii="Arial Narrow" w:hAnsi="Arial Narrow"/>
        </w:rPr>
      </w:pPr>
      <w:r>
        <w:rPr>
          <w:rFonts w:ascii="Arial Narrow" w:hAnsi="Arial Narrow"/>
        </w:rPr>
        <w:t xml:space="preserve">De acuerdo con el Número de Sesiones a Utilizar y el Nivel de Confianza definido en el </w:t>
      </w:r>
      <w:r w:rsidRPr="00F334EC">
        <w:rPr>
          <w:rFonts w:ascii="Arial Narrow" w:hAnsi="Arial Narrow"/>
        </w:rPr>
        <w:t>Artículo 5.5.2.5</w:t>
      </w:r>
      <w:r>
        <w:rPr>
          <w:rFonts w:ascii="Arial Narrow" w:hAnsi="Arial Narrow"/>
        </w:rPr>
        <w:t xml:space="preserve"> se seleccionarán </w:t>
      </w:r>
      <w:r w:rsidRPr="005F10B9">
        <w:rPr>
          <w:rFonts w:ascii="Arial Narrow" w:hAnsi="Arial Narrow"/>
        </w:rPr>
        <w:t xml:space="preserve">los Peores Escenarios </w:t>
      </w:r>
      <w:r>
        <w:rPr>
          <w:rFonts w:ascii="Arial Narrow" w:hAnsi="Arial Narrow"/>
        </w:rPr>
        <w:t>d</w:t>
      </w:r>
      <w:r w:rsidRPr="005F10B9">
        <w:rPr>
          <w:rFonts w:ascii="Arial Narrow" w:hAnsi="Arial Narrow"/>
        </w:rPr>
        <w:t xml:space="preserve">el punto anterior </w:t>
      </w:r>
      <w:r>
        <w:rPr>
          <w:rFonts w:ascii="Arial Narrow" w:hAnsi="Arial Narrow"/>
        </w:rPr>
        <w:t xml:space="preserve">y </w:t>
      </w:r>
      <w:r w:rsidRPr="005F10B9">
        <w:rPr>
          <w:rFonts w:ascii="Arial Narrow" w:hAnsi="Arial Narrow"/>
        </w:rPr>
        <w:t>se reval</w:t>
      </w:r>
      <w:r>
        <w:rPr>
          <w:rFonts w:ascii="Arial Narrow" w:hAnsi="Arial Narrow"/>
        </w:rPr>
        <w:t>uará</w:t>
      </w:r>
      <w:r w:rsidRPr="005F10B9">
        <w:rPr>
          <w:rFonts w:ascii="Arial Narrow" w:hAnsi="Arial Narrow"/>
        </w:rPr>
        <w:t xml:space="preserve"> la cuenta para obtener el NPV </w:t>
      </w:r>
      <w:r>
        <w:rPr>
          <w:rFonts w:ascii="Arial Narrow" w:hAnsi="Arial Narrow"/>
        </w:rPr>
        <w:t xml:space="preserve">a partir de cada una de las </w:t>
      </w:r>
      <w:r w:rsidRPr="005F10B9">
        <w:rPr>
          <w:rFonts w:ascii="Arial Narrow" w:hAnsi="Arial Narrow"/>
        </w:rPr>
        <w:t>Curva</w:t>
      </w:r>
      <w:r>
        <w:rPr>
          <w:rFonts w:ascii="Arial Narrow" w:hAnsi="Arial Narrow"/>
        </w:rPr>
        <w:t>s</w:t>
      </w:r>
      <w:r w:rsidRPr="005F10B9">
        <w:rPr>
          <w:rFonts w:ascii="Arial Narrow" w:hAnsi="Arial Narrow"/>
        </w:rPr>
        <w:t xml:space="preserve"> Cero Cupón modificada</w:t>
      </w:r>
      <w:r>
        <w:rPr>
          <w:rFonts w:ascii="Arial Narrow" w:hAnsi="Arial Narrow"/>
        </w:rPr>
        <w:t>s.</w:t>
      </w:r>
    </w:p>
    <w:p w14:paraId="1285B774" w14:textId="77777777" w:rsidR="007968EC" w:rsidRPr="005F10B9" w:rsidRDefault="007968EC" w:rsidP="007968EC">
      <w:pPr>
        <w:jc w:val="both"/>
        <w:rPr>
          <w:rFonts w:ascii="Arial Narrow" w:hAnsi="Arial Narrow"/>
        </w:rPr>
      </w:pPr>
      <w:r w:rsidRPr="005F10B9">
        <w:rPr>
          <w:rFonts w:ascii="Arial Narrow" w:hAnsi="Arial Narrow"/>
        </w:rPr>
        <w:t>Para obtener la</w:t>
      </w:r>
      <w:r>
        <w:rPr>
          <w:rFonts w:ascii="Arial Narrow" w:hAnsi="Arial Narrow"/>
        </w:rPr>
        <w:t>s</w:t>
      </w:r>
      <w:r w:rsidRPr="005F10B9">
        <w:rPr>
          <w:rFonts w:ascii="Arial Narrow" w:hAnsi="Arial Narrow"/>
        </w:rPr>
        <w:t xml:space="preserve"> Curva</w:t>
      </w:r>
      <w:r>
        <w:rPr>
          <w:rFonts w:ascii="Arial Narrow" w:hAnsi="Arial Narrow"/>
        </w:rPr>
        <w:t>s</w:t>
      </w:r>
      <w:r w:rsidRPr="005F10B9">
        <w:rPr>
          <w:rFonts w:ascii="Arial Narrow" w:hAnsi="Arial Narrow"/>
        </w:rPr>
        <w:t xml:space="preserve"> Cero Cupón modificada</w:t>
      </w:r>
      <w:r>
        <w:rPr>
          <w:rFonts w:ascii="Arial Narrow" w:hAnsi="Arial Narrow"/>
        </w:rPr>
        <w:t>s</w:t>
      </w:r>
      <w:r w:rsidRPr="005F10B9">
        <w:rPr>
          <w:rFonts w:ascii="Arial Narrow" w:hAnsi="Arial Narrow"/>
        </w:rPr>
        <w:t xml:space="preserve"> se le suman o restan las variaciones del escenario “i” a la</w:t>
      </w:r>
      <w:r>
        <w:rPr>
          <w:rFonts w:ascii="Arial Narrow" w:hAnsi="Arial Narrow"/>
        </w:rPr>
        <w:t>s</w:t>
      </w:r>
      <w:r w:rsidRPr="005F10B9">
        <w:rPr>
          <w:rFonts w:ascii="Arial Narrow" w:hAnsi="Arial Narrow"/>
        </w:rPr>
        <w:t xml:space="preserve"> Curva</w:t>
      </w:r>
      <w:r>
        <w:rPr>
          <w:rFonts w:ascii="Arial Narrow" w:hAnsi="Arial Narrow"/>
        </w:rPr>
        <w:t>s</w:t>
      </w:r>
      <w:r w:rsidRPr="005F10B9">
        <w:rPr>
          <w:rFonts w:ascii="Arial Narrow" w:hAnsi="Arial Narrow"/>
        </w:rPr>
        <w:t xml:space="preserve"> Cero Cupón de la sesión, de acuerdo con la siguiente formula:</w:t>
      </w:r>
    </w:p>
    <w:p w14:paraId="2EDB8920" w14:textId="77777777" w:rsidR="007968EC" w:rsidRPr="005F10B9" w:rsidRDefault="007968EC" w:rsidP="007968EC">
      <w:pPr>
        <w:jc w:val="both"/>
        <w:rPr>
          <w:rFonts w:ascii="Arial Narrow" w:hAnsi="Arial Narrow"/>
        </w:rPr>
      </w:pPr>
    </w:p>
    <w:p w14:paraId="37285C01" w14:textId="77777777" w:rsidR="007968EC" w:rsidRPr="005F10B9" w:rsidRDefault="007968EC" w:rsidP="007968EC">
      <w:pPr>
        <w:jc w:val="both"/>
        <w:rPr>
          <w:rFonts w:ascii="Arial Narrow" w:hAnsi="Arial Narrow"/>
        </w:rPr>
      </w:pPr>
    </w:p>
    <w:p w14:paraId="225E61DD" w14:textId="77777777" w:rsidR="007968EC" w:rsidRPr="005F10B9" w:rsidRDefault="00682D97" w:rsidP="007968EC">
      <w:pPr>
        <w:rPr>
          <w:rFonts w:ascii="Arial Narrow" w:hAnsi="Arial Narrow"/>
        </w:rPr>
      </w:pPr>
      <m:oMathPara>
        <m:oMath>
          <m:sSubSup>
            <m:sSubSupPr>
              <m:ctrlPr>
                <w:rPr>
                  <w:rFonts w:ascii="Cambria Math" w:hAnsi="Cambria Math"/>
                </w:rPr>
              </m:ctrlPr>
            </m:sSubSupPr>
            <m:e>
              <m:r>
                <m:rPr>
                  <m:sty m:val="bi"/>
                </m:rPr>
                <w:rPr>
                  <w:rFonts w:ascii="Cambria Math" w:hAnsi="Cambria Math"/>
                </w:rPr>
                <m:t>ZR</m:t>
              </m:r>
            </m:e>
            <m:sub>
              <m:r>
                <m:rPr>
                  <m:sty m:val="bi"/>
                </m:rPr>
                <w:rPr>
                  <w:rFonts w:ascii="Cambria Math" w:hAnsi="Cambria Math"/>
                </w:rPr>
                <m:t>i Modificado</m:t>
              </m:r>
            </m:sub>
            <m:sup>
              <m:r>
                <m:rPr>
                  <m:sty m:val="bi"/>
                </m:rPr>
                <w:rPr>
                  <w:rFonts w:ascii="Cambria Math" w:hAnsi="Cambria Math"/>
                </w:rPr>
                <m:t>s</m:t>
              </m:r>
            </m:sup>
          </m:sSubSup>
          <m:r>
            <m:rPr>
              <m:sty m:val="bi"/>
            </m:rPr>
            <w:rPr>
              <w:rFonts w:ascii="Cambria Math" w:hAnsi="Cambria Math"/>
            </w:rPr>
            <m:t>=</m:t>
          </m:r>
          <m:sSubSup>
            <m:sSubSupPr>
              <m:ctrlPr>
                <w:rPr>
                  <w:rFonts w:ascii="Cambria Math" w:hAnsi="Cambria Math"/>
                </w:rPr>
              </m:ctrlPr>
            </m:sSubSupPr>
            <m:e>
              <m:r>
                <m:rPr>
                  <m:sty m:val="bi"/>
                </m:rPr>
                <w:rPr>
                  <w:rFonts w:ascii="Cambria Math" w:hAnsi="Cambria Math"/>
                </w:rPr>
                <m:t>ZR</m:t>
              </m:r>
            </m:e>
            <m:sub>
              <m:r>
                <m:rPr>
                  <m:sty m:val="bi"/>
                </m:rPr>
                <w:rPr>
                  <w:rFonts w:ascii="Cambria Math" w:hAnsi="Cambria Math"/>
                </w:rPr>
                <m:t>0</m:t>
              </m:r>
            </m:sub>
            <m:sup>
              <m:r>
                <m:rPr>
                  <m:sty m:val="bi"/>
                </m:rPr>
                <w:rPr>
                  <w:rFonts w:ascii="Cambria Math" w:hAnsi="Cambria Math"/>
                </w:rPr>
                <m:t>s</m:t>
              </m:r>
            </m:sup>
          </m:sSubSup>
          <m:r>
            <m:rPr>
              <m:sty m:val="bi"/>
            </m:rPr>
            <w:rPr>
              <w:rFonts w:ascii="Cambria Math" w:hAnsi="Cambria Math"/>
            </w:rPr>
            <m:t>+</m:t>
          </m:r>
          <m:sSubSup>
            <m:sSubSupPr>
              <m:ctrlPr>
                <w:rPr>
                  <w:rFonts w:ascii="Cambria Math" w:hAnsi="Cambria Math"/>
                </w:rPr>
              </m:ctrlPr>
            </m:sSubSupPr>
            <m:e>
              <m:r>
                <m:rPr>
                  <m:sty m:val="bi"/>
                </m:rPr>
                <w:rPr>
                  <w:rFonts w:ascii="Cambria Math" w:hAnsi="Cambria Math"/>
                </w:rPr>
                <m:t>R</m:t>
              </m:r>
            </m:e>
            <m:sub>
              <m:r>
                <m:rPr>
                  <m:sty m:val="bi"/>
                </m:rPr>
                <w:rPr>
                  <w:rFonts w:ascii="Cambria Math" w:hAnsi="Cambria Math"/>
                </w:rPr>
                <m:t>i, Escalado</m:t>
              </m:r>
            </m:sub>
            <m:sup>
              <m:r>
                <m:rPr>
                  <m:sty m:val="bi"/>
                </m:rPr>
                <w:rPr>
                  <w:rFonts w:ascii="Cambria Math" w:hAnsi="Cambria Math"/>
                </w:rPr>
                <m:t>s</m:t>
              </m:r>
            </m:sup>
          </m:sSubSup>
          <m:r>
            <m:rPr>
              <m:sty m:val="bi"/>
            </m:rPr>
            <w:rPr>
              <w:rFonts w:ascii="Cambria Math" w:hAnsi="Cambria Math"/>
            </w:rPr>
            <m:t xml:space="preserve">     </m:t>
          </m:r>
        </m:oMath>
      </m:oMathPara>
    </w:p>
    <w:p w14:paraId="19DD2A69" w14:textId="77777777" w:rsidR="007968EC" w:rsidRPr="005F10B9" w:rsidRDefault="007968EC" w:rsidP="007968EC">
      <w:pPr>
        <w:rPr>
          <w:rFonts w:ascii="Arial Narrow" w:hAnsi="Arial Narrow"/>
        </w:rPr>
      </w:pPr>
      <w:r w:rsidRPr="005F10B9">
        <w:rPr>
          <w:rFonts w:ascii="Arial Narrow" w:hAnsi="Arial Narrow"/>
        </w:rPr>
        <w:t>Donde:</w:t>
      </w:r>
    </w:p>
    <w:p w14:paraId="54B0D0CA" w14:textId="77777777" w:rsidR="007968EC" w:rsidRPr="005F10B9" w:rsidRDefault="007968EC" w:rsidP="007968EC">
      <w:pPr>
        <w:rPr>
          <w:rFonts w:ascii="Arial Narrow" w:hAnsi="Arial Narrow"/>
        </w:rPr>
      </w:pPr>
    </w:p>
    <w:p w14:paraId="1E46BCA3" w14:textId="77777777" w:rsidR="007968EC" w:rsidRPr="005F10B9" w:rsidRDefault="00682D97" w:rsidP="007968EC">
      <w:pPr>
        <w:rPr>
          <w:rFonts w:ascii="Arial Narrow" w:hAnsi="Arial Narrow"/>
        </w:rPr>
      </w:pPr>
      <m:oMath>
        <m:sSubSup>
          <m:sSubSupPr>
            <m:ctrlPr>
              <w:rPr>
                <w:rFonts w:ascii="Cambria Math" w:hAnsi="Cambria Math"/>
              </w:rPr>
            </m:ctrlPr>
          </m:sSubSupPr>
          <m:e>
            <m:r>
              <m:rPr>
                <m:sty m:val="bi"/>
              </m:rPr>
              <w:rPr>
                <w:rFonts w:ascii="Cambria Math" w:hAnsi="Cambria Math"/>
              </w:rPr>
              <m:t>ZR</m:t>
            </m:r>
          </m:e>
          <m:sub>
            <m:r>
              <m:rPr>
                <m:sty m:val="bi"/>
              </m:rPr>
              <w:rPr>
                <w:rFonts w:ascii="Cambria Math" w:hAnsi="Cambria Math"/>
              </w:rPr>
              <m:t>i modificado</m:t>
            </m:r>
          </m:sub>
          <m:sup>
            <m:r>
              <m:rPr>
                <m:sty m:val="bi"/>
              </m:rPr>
              <w:rPr>
                <w:rFonts w:ascii="Cambria Math" w:hAnsi="Cambria Math"/>
              </w:rPr>
              <m:t>s</m:t>
            </m:r>
          </m:sup>
        </m:sSubSup>
        <m:r>
          <m:rPr>
            <m:sty m:val="bi"/>
          </m:rPr>
          <w:rPr>
            <w:rFonts w:ascii="Cambria Math" w:hAnsi="Cambria Math"/>
          </w:rPr>
          <m:t>:</m:t>
        </m:r>
      </m:oMath>
      <w:r w:rsidR="007968EC" w:rsidRPr="005F10B9">
        <w:rPr>
          <w:rFonts w:ascii="Arial Narrow" w:hAnsi="Arial Narrow"/>
        </w:rPr>
        <w:t xml:space="preserve"> Es la Tasa Cero Cupón modificada </w:t>
      </w:r>
      <w:r w:rsidR="007968EC">
        <w:rPr>
          <w:rFonts w:ascii="Arial Narrow" w:hAnsi="Arial Narrow"/>
        </w:rPr>
        <w:t>según Curva y</w:t>
      </w:r>
      <w:r w:rsidR="007968EC" w:rsidRPr="005F10B9">
        <w:rPr>
          <w:rFonts w:ascii="Arial Narrow" w:hAnsi="Arial Narrow"/>
        </w:rPr>
        <w:t xml:space="preserve"> plazo “s” para el escenario “i” (i = 1…, Peor Escenario).</w:t>
      </w:r>
    </w:p>
    <w:p w14:paraId="1ABF783B" w14:textId="77777777" w:rsidR="007968EC" w:rsidRPr="005F10B9" w:rsidRDefault="00682D97" w:rsidP="007968EC">
      <w:pPr>
        <w:jc w:val="both"/>
        <w:rPr>
          <w:rFonts w:ascii="Arial Narrow" w:hAnsi="Arial Narrow"/>
        </w:rPr>
      </w:pPr>
      <m:oMath>
        <m:sSubSup>
          <m:sSubSupPr>
            <m:ctrlPr>
              <w:rPr>
                <w:rFonts w:ascii="Cambria Math" w:hAnsi="Cambria Math"/>
              </w:rPr>
            </m:ctrlPr>
          </m:sSubSupPr>
          <m:e>
            <m:r>
              <m:rPr>
                <m:sty m:val="bi"/>
              </m:rPr>
              <w:rPr>
                <w:rFonts w:ascii="Cambria Math" w:hAnsi="Cambria Math"/>
              </w:rPr>
              <m:t>ZR</m:t>
            </m:r>
          </m:e>
          <m:sub>
            <m:r>
              <m:rPr>
                <m:sty m:val="bi"/>
              </m:rPr>
              <w:rPr>
                <w:rFonts w:ascii="Cambria Math" w:hAnsi="Cambria Math"/>
              </w:rPr>
              <m:t>0</m:t>
            </m:r>
          </m:sub>
          <m:sup>
            <m:r>
              <m:rPr>
                <m:sty m:val="bi"/>
              </m:rPr>
              <w:rPr>
                <w:rFonts w:ascii="Cambria Math" w:hAnsi="Cambria Math"/>
              </w:rPr>
              <m:t>s</m:t>
            </m:r>
          </m:sup>
        </m:sSubSup>
      </m:oMath>
      <w:r w:rsidR="007968EC" w:rsidRPr="005F10B9">
        <w:rPr>
          <w:rFonts w:ascii="Arial Narrow" w:hAnsi="Arial Narrow"/>
        </w:rPr>
        <w:t xml:space="preserve">: Es el Tasa Cero Cupón </w:t>
      </w:r>
      <w:r w:rsidR="007968EC">
        <w:rPr>
          <w:rFonts w:ascii="Arial Narrow" w:hAnsi="Arial Narrow"/>
        </w:rPr>
        <w:t>según Curva y</w:t>
      </w:r>
      <w:r w:rsidR="007968EC" w:rsidRPr="005F10B9">
        <w:rPr>
          <w:rFonts w:ascii="Arial Narrow" w:hAnsi="Arial Narrow"/>
        </w:rPr>
        <w:t xml:space="preserve"> plazo “s”</w:t>
      </w:r>
      <w:r w:rsidR="007968EC">
        <w:rPr>
          <w:rFonts w:ascii="Arial Narrow" w:hAnsi="Arial Narrow"/>
        </w:rPr>
        <w:t xml:space="preserve"> </w:t>
      </w:r>
      <w:r w:rsidR="007968EC" w:rsidRPr="005F10B9">
        <w:rPr>
          <w:rFonts w:ascii="Arial Narrow" w:hAnsi="Arial Narrow"/>
        </w:rPr>
        <w:t>existente en el momento de la revaluación.</w:t>
      </w:r>
    </w:p>
    <w:p w14:paraId="3E74400F" w14:textId="77777777" w:rsidR="007968EC" w:rsidRPr="005F10B9" w:rsidRDefault="00682D97" w:rsidP="007968EC">
      <w:pPr>
        <w:jc w:val="both"/>
        <w:rPr>
          <w:rFonts w:ascii="Arial Narrow" w:hAnsi="Arial Narrow"/>
        </w:rPr>
      </w:pPr>
      <m:oMath>
        <m:sSubSup>
          <m:sSubSupPr>
            <m:ctrlPr>
              <w:rPr>
                <w:rFonts w:ascii="Cambria Math" w:hAnsi="Cambria Math"/>
              </w:rPr>
            </m:ctrlPr>
          </m:sSubSupPr>
          <m:e>
            <m:r>
              <m:rPr>
                <m:sty m:val="bi"/>
              </m:rPr>
              <w:rPr>
                <w:rFonts w:ascii="Cambria Math" w:hAnsi="Cambria Math"/>
              </w:rPr>
              <m:t>R</m:t>
            </m:r>
          </m:e>
          <m:sub>
            <m:r>
              <m:rPr>
                <m:sty m:val="bi"/>
              </m:rPr>
              <w:rPr>
                <w:rFonts w:ascii="Cambria Math" w:hAnsi="Cambria Math"/>
              </w:rPr>
              <m:t>i, Escalado</m:t>
            </m:r>
          </m:sub>
          <m:sup>
            <m:r>
              <m:rPr>
                <m:sty m:val="bi"/>
              </m:rPr>
              <w:rPr>
                <w:rFonts w:ascii="Cambria Math" w:hAnsi="Cambria Math"/>
              </w:rPr>
              <m:t>s</m:t>
            </m:r>
          </m:sup>
        </m:sSubSup>
      </m:oMath>
      <w:r w:rsidR="007968EC" w:rsidRPr="005F10B9">
        <w:rPr>
          <w:rFonts w:ascii="Arial Narrow" w:hAnsi="Arial Narrow"/>
        </w:rPr>
        <w:t xml:space="preserve">: Es el retorno </w:t>
      </w:r>
      <w:r w:rsidR="007968EC">
        <w:rPr>
          <w:rFonts w:ascii="Arial Narrow" w:hAnsi="Arial Narrow"/>
        </w:rPr>
        <w:t xml:space="preserve">escalado por volatilidad </w:t>
      </w:r>
      <w:r w:rsidR="007968EC" w:rsidRPr="005F10B9">
        <w:rPr>
          <w:rFonts w:ascii="Arial Narrow" w:hAnsi="Arial Narrow"/>
        </w:rPr>
        <w:t xml:space="preserve">para el Tasa Cero Cupón según </w:t>
      </w:r>
      <w:r w:rsidR="007968EC">
        <w:rPr>
          <w:rFonts w:ascii="Arial Narrow" w:hAnsi="Arial Narrow"/>
        </w:rPr>
        <w:t>Curva</w:t>
      </w:r>
      <w:r w:rsidR="007968EC" w:rsidRPr="005F10B9">
        <w:rPr>
          <w:rFonts w:ascii="Arial Narrow" w:hAnsi="Arial Narrow"/>
        </w:rPr>
        <w:t xml:space="preserve"> y plazo “s” en el escenario “i” (i = 1…, Peor Escenario), expresado en puntos básicos.</w:t>
      </w:r>
    </w:p>
    <w:p w14:paraId="0CCA4403" w14:textId="77777777" w:rsidR="007968EC" w:rsidRPr="00D44F9F" w:rsidRDefault="007968EC" w:rsidP="007968EC">
      <w:pPr>
        <w:rPr>
          <w:rFonts w:ascii="Arial Narrow" w:hAnsi="Arial Narrow"/>
        </w:rPr>
      </w:pPr>
    </w:p>
    <w:p w14:paraId="469FE248" w14:textId="77777777" w:rsidR="007968EC" w:rsidRDefault="007968EC" w:rsidP="007968EC">
      <w:pPr>
        <w:jc w:val="both"/>
        <w:rPr>
          <w:rFonts w:ascii="Arial Narrow" w:hAnsi="Arial Narrow"/>
        </w:rPr>
      </w:pPr>
      <w:r>
        <w:rPr>
          <w:rFonts w:ascii="Arial Narrow" w:hAnsi="Arial Narrow"/>
        </w:rPr>
        <w:t xml:space="preserve">Para el caso de los Swaps de moneda además de calcular las Curvas Cero Cupón Modificadas se deberá calcular la TRM modificada para el escenario “i” (i=1, …, Peor Escenario). </w:t>
      </w:r>
    </w:p>
    <w:p w14:paraId="7EB8D106" w14:textId="77777777" w:rsidR="007968EC" w:rsidRDefault="007968EC" w:rsidP="007968EC">
      <w:pPr>
        <w:jc w:val="both"/>
        <w:rPr>
          <w:rFonts w:ascii="Arial Narrow" w:hAnsi="Arial Narrow"/>
        </w:rPr>
      </w:pPr>
    </w:p>
    <w:p w14:paraId="1337D076" w14:textId="77777777" w:rsidR="007968EC" w:rsidRPr="005F10B9" w:rsidRDefault="007968EC" w:rsidP="007968EC">
      <w:pPr>
        <w:jc w:val="both"/>
        <w:rPr>
          <w:rFonts w:ascii="Arial Narrow" w:hAnsi="Arial Narrow"/>
        </w:rPr>
      </w:pPr>
      <w:r w:rsidRPr="005F10B9">
        <w:rPr>
          <w:rFonts w:ascii="Arial Narrow" w:hAnsi="Arial Narrow"/>
        </w:rPr>
        <w:t>Finalmente</w:t>
      </w:r>
      <w:r>
        <w:rPr>
          <w:rFonts w:ascii="Arial Narrow" w:hAnsi="Arial Narrow"/>
        </w:rPr>
        <w:t>,</w:t>
      </w:r>
      <w:r w:rsidRPr="005F10B9">
        <w:rPr>
          <w:rFonts w:ascii="Arial Narrow" w:hAnsi="Arial Narrow"/>
        </w:rPr>
        <w:t xml:space="preserve"> se procede a calcular el </w:t>
      </w:r>
      <w:r>
        <w:rPr>
          <w:rFonts w:ascii="Arial Narrow" w:hAnsi="Arial Narrow"/>
        </w:rPr>
        <w:t xml:space="preserve">ES </w:t>
      </w:r>
      <w:r w:rsidRPr="005F10B9">
        <w:rPr>
          <w:rFonts w:ascii="Arial Narrow" w:hAnsi="Arial Narrow"/>
        </w:rPr>
        <w:t>con el nivel de confianza definido en el artículo 5.5.2.5. Utilizando este parámetro se obtiene el Peor Escenario</w:t>
      </w:r>
      <w:r>
        <w:rPr>
          <w:rFonts w:ascii="Arial Narrow" w:hAnsi="Arial Narrow"/>
        </w:rPr>
        <w:t>, es</w:t>
      </w:r>
      <w:r w:rsidRPr="005F10B9">
        <w:rPr>
          <w:rFonts w:ascii="Arial Narrow" w:hAnsi="Arial Narrow"/>
        </w:rPr>
        <w:t xml:space="preserve"> decir, se hace </w:t>
      </w:r>
      <w:r w:rsidRPr="005F10B9">
        <w:rPr>
          <w:rFonts w:ascii="Arial Narrow" w:hAnsi="Arial Narrow"/>
          <w:i/>
        </w:rPr>
        <w:t xml:space="preserve">Full </w:t>
      </w:r>
      <w:proofErr w:type="spellStart"/>
      <w:r w:rsidRPr="005F10B9">
        <w:rPr>
          <w:rFonts w:ascii="Arial Narrow" w:hAnsi="Arial Narrow"/>
          <w:i/>
        </w:rPr>
        <w:t>Valuation</w:t>
      </w:r>
      <w:proofErr w:type="spellEnd"/>
      <w:r w:rsidRPr="005F10B9">
        <w:rPr>
          <w:rFonts w:ascii="Arial Narrow" w:hAnsi="Arial Narrow"/>
        </w:rPr>
        <w:t xml:space="preserve"> de los Peores Escenarios seleccionados y se</w:t>
      </w:r>
      <w:r>
        <w:rPr>
          <w:rFonts w:ascii="Arial Narrow" w:hAnsi="Arial Narrow"/>
        </w:rPr>
        <w:t xml:space="preserve"> realiza un promedio con el número de</w:t>
      </w:r>
      <w:r w:rsidRPr="005F10B9">
        <w:rPr>
          <w:rFonts w:ascii="Arial Narrow" w:hAnsi="Arial Narrow"/>
        </w:rPr>
        <w:t xml:space="preserve"> escenario</w:t>
      </w:r>
      <w:r>
        <w:rPr>
          <w:rFonts w:ascii="Arial Narrow" w:hAnsi="Arial Narrow"/>
        </w:rPr>
        <w:t>s que coincidan con el</w:t>
      </w:r>
      <w:r w:rsidRPr="005F10B9">
        <w:rPr>
          <w:rFonts w:ascii="Arial Narrow" w:hAnsi="Arial Narrow"/>
        </w:rPr>
        <w:t xml:space="preserve"> nivel de confianza </w:t>
      </w:r>
      <w:r>
        <w:rPr>
          <w:rFonts w:ascii="Arial Narrow" w:hAnsi="Arial Narrow"/>
        </w:rPr>
        <w:t xml:space="preserve">definido en el artículo 5.5.2.5, </w:t>
      </w:r>
      <w:r w:rsidRPr="005F10B9">
        <w:rPr>
          <w:rFonts w:ascii="Arial Narrow" w:hAnsi="Arial Narrow"/>
        </w:rPr>
        <w:t>obteniéndose el valor de la Máxima Pérdida Esperada (</w:t>
      </w:r>
      <w:proofErr w:type="spellStart"/>
      <w:r w:rsidRPr="005F10B9">
        <w:rPr>
          <w:rFonts w:ascii="Arial Narrow" w:hAnsi="Arial Narrow"/>
        </w:rPr>
        <w:t>Expected</w:t>
      </w:r>
      <w:proofErr w:type="spellEnd"/>
      <w:r w:rsidRPr="005F10B9">
        <w:rPr>
          <w:rFonts w:ascii="Arial Narrow" w:hAnsi="Arial Narrow"/>
        </w:rPr>
        <w:t xml:space="preserve"> </w:t>
      </w:r>
      <w:proofErr w:type="spellStart"/>
      <w:r w:rsidRPr="005F10B9">
        <w:rPr>
          <w:rFonts w:ascii="Arial Narrow" w:hAnsi="Arial Narrow"/>
        </w:rPr>
        <w:t>Shortfall</w:t>
      </w:r>
      <w:proofErr w:type="spellEnd"/>
      <w:r w:rsidRPr="005F10B9">
        <w:rPr>
          <w:rFonts w:ascii="Arial Narrow" w:hAnsi="Arial Narrow"/>
        </w:rPr>
        <w:t>).</w:t>
      </w:r>
    </w:p>
    <w:p w14:paraId="5F450D51" w14:textId="77777777" w:rsidR="007968EC" w:rsidRDefault="007968EC" w:rsidP="007968EC">
      <w:pPr>
        <w:tabs>
          <w:tab w:val="left" w:pos="709"/>
        </w:tabs>
        <w:ind w:left="851"/>
        <w:rPr>
          <w:rFonts w:ascii="Arial Narrow" w:hAnsi="Arial Narrow" w:cs="Arial"/>
          <w:lang w:eastAsia="es-CO"/>
        </w:rPr>
      </w:pPr>
    </w:p>
    <w:p w14:paraId="771CBD15" w14:textId="77777777" w:rsidR="007968EC" w:rsidRPr="005F10B9" w:rsidRDefault="007968EC" w:rsidP="00DA7472">
      <w:pPr>
        <w:numPr>
          <w:ilvl w:val="1"/>
          <w:numId w:val="350"/>
        </w:numPr>
        <w:tabs>
          <w:tab w:val="left" w:pos="709"/>
        </w:tabs>
        <w:ind w:left="851"/>
        <w:rPr>
          <w:rFonts w:ascii="Arial Narrow" w:hAnsi="Arial Narrow" w:cs="Arial"/>
          <w:lang w:eastAsia="es-CO"/>
        </w:rPr>
      </w:pPr>
      <w:r w:rsidRPr="005F10B9">
        <w:rPr>
          <w:rFonts w:ascii="Arial Narrow" w:hAnsi="Arial Narrow" w:cs="Arial"/>
          <w:lang w:eastAsia="es-CO"/>
        </w:rPr>
        <w:t>Cálculo final del IM Base.</w:t>
      </w:r>
    </w:p>
    <w:p w14:paraId="248EB49C" w14:textId="77777777" w:rsidR="007968EC" w:rsidRPr="005F10B9" w:rsidRDefault="007968EC" w:rsidP="007968EC">
      <w:pPr>
        <w:jc w:val="both"/>
        <w:rPr>
          <w:rFonts w:ascii="Arial Narrow" w:hAnsi="Arial Narrow"/>
        </w:rPr>
      </w:pPr>
      <w:r w:rsidRPr="005F10B9">
        <w:rPr>
          <w:rFonts w:ascii="Arial Narrow" w:hAnsi="Arial Narrow"/>
        </w:rPr>
        <w:t xml:space="preserve"> </w:t>
      </w:r>
    </w:p>
    <w:p w14:paraId="11B38065" w14:textId="77777777" w:rsidR="007968EC" w:rsidRPr="005F10B9" w:rsidRDefault="007968EC" w:rsidP="007968EC">
      <w:pPr>
        <w:jc w:val="both"/>
        <w:rPr>
          <w:rFonts w:ascii="Arial Narrow" w:hAnsi="Arial Narrow"/>
        </w:rPr>
      </w:pPr>
      <w:r w:rsidRPr="005F10B9">
        <w:rPr>
          <w:rFonts w:ascii="Arial Narrow" w:hAnsi="Arial Narrow"/>
        </w:rPr>
        <w:t xml:space="preserve">El valor de IM Base de cada Cuenta se obtendrá como el máximo de los valores obtenidos en el punto iv. del numeral 1 (VaR Histórico), y el punto vi. del numeral </w:t>
      </w:r>
      <w:r>
        <w:rPr>
          <w:rFonts w:ascii="Arial Narrow" w:hAnsi="Arial Narrow"/>
        </w:rPr>
        <w:t>b</w:t>
      </w:r>
      <w:r w:rsidRPr="005F10B9">
        <w:rPr>
          <w:rFonts w:ascii="Arial Narrow" w:hAnsi="Arial Narrow"/>
        </w:rPr>
        <w:t xml:space="preserve"> (Máxima Pérdida Esperada) multiplicado por un factor </w:t>
      </w:r>
      <m:oMath>
        <m:rad>
          <m:radPr>
            <m:degHide m:val="1"/>
            <m:ctrlPr>
              <w:rPr>
                <w:rFonts w:ascii="Cambria Math" w:hAnsi="Cambria Math"/>
                <w:i/>
              </w:rPr>
            </m:ctrlPr>
          </m:radPr>
          <m:deg/>
          <m:e>
            <m:f>
              <m:fPr>
                <m:ctrlPr>
                  <w:rPr>
                    <w:rFonts w:ascii="Cambria Math" w:hAnsi="Cambria Math"/>
                    <w:i/>
                  </w:rPr>
                </m:ctrlPr>
              </m:fPr>
              <m:num>
                <m:r>
                  <m:rPr>
                    <m:sty m:val="bi"/>
                  </m:rPr>
                  <w:rPr>
                    <w:rFonts w:ascii="Cambria Math" w:hAnsi="Cambria Math"/>
                  </w:rPr>
                  <m:t>n</m:t>
                </m:r>
              </m:num>
              <m:den>
                <m:r>
                  <m:rPr>
                    <m:sty m:val="bi"/>
                  </m:rPr>
                  <w:rPr>
                    <w:rFonts w:ascii="Cambria Math" w:hAnsi="Cambria Math"/>
                  </w:rPr>
                  <m:t>5</m:t>
                </m:r>
              </m:den>
            </m:f>
          </m:e>
        </m:rad>
      </m:oMath>
      <w:r w:rsidRPr="005F10B9">
        <w:rPr>
          <w:rFonts w:ascii="Arial Narrow" w:hAnsi="Arial Narrow"/>
        </w:rPr>
        <w:t xml:space="preserve"> , donde “n”:</w:t>
      </w:r>
    </w:p>
    <w:p w14:paraId="2E514D41" w14:textId="77777777" w:rsidR="007968EC" w:rsidRPr="005F10B9" w:rsidRDefault="007968EC" w:rsidP="007968EC">
      <w:pPr>
        <w:jc w:val="both"/>
        <w:rPr>
          <w:rFonts w:ascii="Arial Narrow" w:hAnsi="Arial Narrow"/>
        </w:rPr>
      </w:pPr>
    </w:p>
    <w:p w14:paraId="000D70B0" w14:textId="77777777" w:rsidR="007968EC" w:rsidRDefault="007968EC" w:rsidP="00DA7472">
      <w:pPr>
        <w:numPr>
          <w:ilvl w:val="0"/>
          <w:numId w:val="348"/>
        </w:numPr>
        <w:jc w:val="both"/>
        <w:rPr>
          <w:rFonts w:ascii="Arial Narrow" w:hAnsi="Arial Narrow" w:cs="Arial"/>
          <w:lang w:eastAsia="es-CO"/>
        </w:rPr>
      </w:pPr>
      <w:r w:rsidRPr="005F10B9">
        <w:rPr>
          <w:rFonts w:ascii="Arial Narrow" w:hAnsi="Arial Narrow" w:cs="Arial"/>
          <w:lang w:eastAsia="es-CO"/>
        </w:rPr>
        <w:t>Cuenta propia del Miembro: n = MPOR Propia, parámetro definido en el artículo 5.5.1.4 “Parámetros para el cálculo de la Garantía inicial”.</w:t>
      </w:r>
    </w:p>
    <w:p w14:paraId="1EA8BAA6" w14:textId="77777777" w:rsidR="007968EC" w:rsidRPr="005F10B9" w:rsidRDefault="007968EC" w:rsidP="007968EC">
      <w:pPr>
        <w:ind w:left="720"/>
        <w:jc w:val="both"/>
        <w:rPr>
          <w:rFonts w:ascii="Arial Narrow" w:hAnsi="Arial Narrow" w:cs="Arial"/>
          <w:lang w:eastAsia="es-CO"/>
        </w:rPr>
      </w:pPr>
    </w:p>
    <w:p w14:paraId="4A0D3A50" w14:textId="77777777" w:rsidR="007968EC" w:rsidRPr="005F10B9" w:rsidRDefault="007968EC" w:rsidP="007968EC">
      <w:pPr>
        <w:ind w:left="720"/>
        <w:jc w:val="both"/>
        <w:rPr>
          <w:rFonts w:ascii="Arial Narrow" w:hAnsi="Arial Narrow" w:cs="Arial"/>
          <w:lang w:eastAsia="es-CO"/>
        </w:rPr>
      </w:pPr>
    </w:p>
    <w:p w14:paraId="7882E587" w14:textId="77777777" w:rsidR="007968EC" w:rsidRPr="005F10B9" w:rsidRDefault="007968EC" w:rsidP="00DA7472">
      <w:pPr>
        <w:numPr>
          <w:ilvl w:val="0"/>
          <w:numId w:val="323"/>
        </w:numPr>
        <w:rPr>
          <w:rFonts w:ascii="Arial Narrow" w:hAnsi="Arial Narrow" w:cs="Arial"/>
          <w:b/>
          <w:lang w:eastAsia="es-CO"/>
        </w:rPr>
      </w:pPr>
      <w:r w:rsidRPr="005F10B9">
        <w:rPr>
          <w:rFonts w:ascii="Arial Narrow" w:hAnsi="Arial Narrow" w:cs="Arial"/>
          <w:lang w:eastAsia="es-CO"/>
        </w:rPr>
        <w:t>Ajuste por Tamaño de la Posición.</w:t>
      </w:r>
    </w:p>
    <w:p w14:paraId="50AC5D69" w14:textId="77777777" w:rsidR="007968EC" w:rsidRDefault="007968EC" w:rsidP="007968EC">
      <w:pPr>
        <w:ind w:left="390"/>
        <w:jc w:val="both"/>
        <w:rPr>
          <w:rFonts w:ascii="Arial Narrow" w:hAnsi="Arial Narrow" w:cs="Arial"/>
          <w:b/>
          <w:lang w:eastAsia="es-CO"/>
        </w:rPr>
      </w:pPr>
    </w:p>
    <w:p w14:paraId="7F88583D" w14:textId="77777777" w:rsidR="007968EC" w:rsidRDefault="007968EC" w:rsidP="007968EC">
      <w:pPr>
        <w:ind w:left="390"/>
        <w:jc w:val="both"/>
        <w:rPr>
          <w:rFonts w:ascii="Arial Narrow" w:hAnsi="Arial Narrow" w:cs="Arial"/>
          <w:b/>
          <w:lang w:eastAsia="es-CO"/>
        </w:rPr>
      </w:pPr>
    </w:p>
    <w:p w14:paraId="2CAE06DC" w14:textId="77777777" w:rsidR="007968EC" w:rsidRPr="005F10B9" w:rsidRDefault="007968EC" w:rsidP="007968EC">
      <w:pPr>
        <w:jc w:val="both"/>
        <w:rPr>
          <w:rFonts w:ascii="Arial Narrow" w:hAnsi="Arial Narrow"/>
        </w:rPr>
      </w:pPr>
      <w:r w:rsidRPr="005F10B9">
        <w:rPr>
          <w:rFonts w:ascii="Arial Narrow" w:hAnsi="Arial Narrow"/>
        </w:rPr>
        <w:t>El ajuste por tamaño de la posición se realiza ante la posibilidad de que el mercado tenga dificultades de absorber las operaciones de cobertura necesarias para cerrar la posición de un Miembro que ha incumplido, el criterio de Ajuste por Tamaño de la Posición (ATP) es el mismo de grandes posiciones definido en otros Segmentos.</w:t>
      </w:r>
    </w:p>
    <w:p w14:paraId="2B49F293" w14:textId="77777777" w:rsidR="007968EC" w:rsidRPr="005F10B9" w:rsidRDefault="007968EC" w:rsidP="007968EC">
      <w:pPr>
        <w:rPr>
          <w:rFonts w:ascii="Arial Narrow" w:hAnsi="Arial Narrow"/>
        </w:rPr>
      </w:pPr>
    </w:p>
    <w:p w14:paraId="4EEBC446" w14:textId="77777777" w:rsidR="007968EC" w:rsidRPr="005F10B9" w:rsidRDefault="007968EC" w:rsidP="007968EC">
      <w:pPr>
        <w:rPr>
          <w:rFonts w:ascii="Arial Narrow" w:hAnsi="Arial Narrow"/>
        </w:rPr>
      </w:pPr>
      <w:proofErr w:type="gramStart"/>
      <w:r w:rsidRPr="005F10B9">
        <w:rPr>
          <w:rFonts w:ascii="Arial Narrow" w:hAnsi="Arial Narrow"/>
        </w:rPr>
        <w:t xml:space="preserve">Los pasos </w:t>
      </w:r>
      <w:r>
        <w:rPr>
          <w:rFonts w:ascii="Arial Narrow" w:hAnsi="Arial Narrow"/>
        </w:rPr>
        <w:t>a</w:t>
      </w:r>
      <w:r w:rsidRPr="005F10B9">
        <w:rPr>
          <w:rFonts w:ascii="Arial Narrow" w:hAnsi="Arial Narrow"/>
        </w:rPr>
        <w:t xml:space="preserve"> seguir</w:t>
      </w:r>
      <w:proofErr w:type="gramEnd"/>
      <w:r w:rsidRPr="005F10B9">
        <w:rPr>
          <w:rFonts w:ascii="Arial Narrow" w:hAnsi="Arial Narrow"/>
        </w:rPr>
        <w:t xml:space="preserve"> para el cálculo del ATP para posiciones compensadas en Swaps son:</w:t>
      </w:r>
    </w:p>
    <w:p w14:paraId="45D58739" w14:textId="77777777" w:rsidR="007968EC" w:rsidRPr="005F10B9" w:rsidRDefault="007968EC" w:rsidP="007968EC">
      <w:pPr>
        <w:rPr>
          <w:rFonts w:ascii="Arial Narrow" w:hAnsi="Arial Narrow"/>
        </w:rPr>
      </w:pPr>
    </w:p>
    <w:p w14:paraId="2BB16EB9" w14:textId="77777777" w:rsidR="007968EC" w:rsidRPr="005F10B9" w:rsidRDefault="007968EC" w:rsidP="00DA7472">
      <w:pPr>
        <w:numPr>
          <w:ilvl w:val="1"/>
          <w:numId w:val="352"/>
        </w:numPr>
        <w:tabs>
          <w:tab w:val="left" w:pos="709"/>
        </w:tabs>
        <w:ind w:left="709"/>
        <w:rPr>
          <w:rFonts w:ascii="Arial Narrow" w:hAnsi="Arial Narrow" w:cs="Arial"/>
          <w:lang w:eastAsia="es-CO"/>
        </w:rPr>
      </w:pPr>
      <w:r w:rsidRPr="005F10B9">
        <w:rPr>
          <w:rFonts w:ascii="Arial Narrow" w:hAnsi="Arial Narrow" w:cs="Arial"/>
          <w:lang w:eastAsia="es-CO"/>
        </w:rPr>
        <w:t>Cálculo de sensibilidad a nivel de cuenta.</w:t>
      </w:r>
    </w:p>
    <w:p w14:paraId="50F180F4" w14:textId="77777777" w:rsidR="007968EC" w:rsidRPr="005F10B9" w:rsidRDefault="007968EC" w:rsidP="007968EC">
      <w:pPr>
        <w:jc w:val="both"/>
        <w:rPr>
          <w:rFonts w:ascii="Arial Narrow" w:hAnsi="Arial Narrow"/>
        </w:rPr>
      </w:pPr>
    </w:p>
    <w:p w14:paraId="5BECF0FF" w14:textId="77777777" w:rsidR="007968EC" w:rsidRPr="005F10B9" w:rsidRDefault="007968EC" w:rsidP="007968EC">
      <w:pPr>
        <w:jc w:val="both"/>
        <w:rPr>
          <w:rFonts w:ascii="Arial Narrow" w:hAnsi="Arial Narrow"/>
        </w:rPr>
      </w:pPr>
      <w:r>
        <w:rPr>
          <w:rFonts w:ascii="Arial Narrow" w:hAnsi="Arial Narrow"/>
        </w:rPr>
        <w:t>A nivel de titular se calcula</w:t>
      </w:r>
      <w:r w:rsidRPr="00F442E7">
        <w:rPr>
          <w:rFonts w:ascii="Arial Narrow" w:hAnsi="Arial Narrow"/>
        </w:rPr>
        <w:t xml:space="preserve"> la sensibilidad en cada uno de los </w:t>
      </w:r>
      <w:r>
        <w:rPr>
          <w:rFonts w:ascii="Arial Narrow" w:hAnsi="Arial Narrow"/>
        </w:rPr>
        <w:t xml:space="preserve">siguientes </w:t>
      </w:r>
      <w:r w:rsidRPr="00F442E7">
        <w:rPr>
          <w:rFonts w:ascii="Arial Narrow" w:hAnsi="Arial Narrow"/>
        </w:rPr>
        <w:t>plazos</w:t>
      </w:r>
      <w:r>
        <w:rPr>
          <w:rFonts w:ascii="Arial Narrow" w:hAnsi="Arial Narrow"/>
        </w:rPr>
        <w:t>,</w:t>
      </w:r>
      <w:r w:rsidRPr="00F442E7">
        <w:rPr>
          <w:rFonts w:ascii="Arial Narrow" w:hAnsi="Arial Narrow"/>
        </w:rPr>
        <w:t xml:space="preserve"> </w:t>
      </w:r>
      <w:r>
        <w:rPr>
          <w:rFonts w:ascii="Arial Narrow" w:hAnsi="Arial Narrow"/>
        </w:rPr>
        <w:t xml:space="preserve">en cada curva: </w:t>
      </w:r>
      <w:r w:rsidRPr="005F10B9">
        <w:rPr>
          <w:rFonts w:ascii="Arial Narrow" w:hAnsi="Arial Narrow"/>
        </w:rPr>
        <w:t>1, 2, 3, 4, 5, 6, 7, 8, 9, 10, 12 y 15 años.</w:t>
      </w:r>
    </w:p>
    <w:p w14:paraId="2BE6571B" w14:textId="77777777" w:rsidR="007968EC" w:rsidRPr="005F10B9" w:rsidRDefault="007968EC" w:rsidP="007968EC">
      <w:pPr>
        <w:jc w:val="both"/>
        <w:rPr>
          <w:rFonts w:ascii="Arial Narrow" w:hAnsi="Arial Narrow"/>
        </w:rPr>
      </w:pPr>
    </w:p>
    <w:p w14:paraId="3EA872F0" w14:textId="77777777" w:rsidR="007968EC" w:rsidRPr="005F10B9" w:rsidRDefault="007968EC" w:rsidP="007968EC">
      <w:pPr>
        <w:jc w:val="both"/>
        <w:rPr>
          <w:rFonts w:ascii="Arial Narrow" w:hAnsi="Arial Narrow"/>
        </w:rPr>
      </w:pPr>
      <w:r w:rsidRPr="005F10B9">
        <w:rPr>
          <w:rFonts w:ascii="Arial Narrow" w:hAnsi="Arial Narrow"/>
        </w:rPr>
        <w:t>Esta sensibilidad sigue el esquema de PV01, o valor de un punto básico, siendo el impacto que un desplazamiento en paralelo de 1 Pb en la</w:t>
      </w:r>
      <w:r>
        <w:rPr>
          <w:rFonts w:ascii="Arial Narrow" w:hAnsi="Arial Narrow"/>
        </w:rPr>
        <w:t>s</w:t>
      </w:r>
      <w:r w:rsidRPr="005F10B9">
        <w:rPr>
          <w:rFonts w:ascii="Arial Narrow" w:hAnsi="Arial Narrow"/>
        </w:rPr>
        <w:t xml:space="preserve"> Curva</w:t>
      </w:r>
      <w:r>
        <w:rPr>
          <w:rFonts w:ascii="Arial Narrow" w:hAnsi="Arial Narrow"/>
        </w:rPr>
        <w:t>s</w:t>
      </w:r>
      <w:r w:rsidRPr="005F10B9">
        <w:rPr>
          <w:rFonts w:ascii="Arial Narrow" w:hAnsi="Arial Narrow"/>
        </w:rPr>
        <w:t xml:space="preserve"> Cero Cupón tiene sobre la cuenta de un Miembro Liquidador. El signo del PV01 se interpreta se la siguiente manera:</w:t>
      </w:r>
    </w:p>
    <w:p w14:paraId="5F4E29A4" w14:textId="77777777" w:rsidR="007968EC" w:rsidRPr="005F10B9" w:rsidRDefault="007968EC" w:rsidP="007968EC">
      <w:pPr>
        <w:jc w:val="both"/>
        <w:rPr>
          <w:rFonts w:ascii="Arial Narrow" w:hAnsi="Arial Narrow"/>
        </w:rPr>
      </w:pPr>
    </w:p>
    <w:p w14:paraId="54A06B38" w14:textId="77777777" w:rsidR="007968EC" w:rsidRPr="005F10B9" w:rsidRDefault="007968EC" w:rsidP="00DA7472">
      <w:pPr>
        <w:numPr>
          <w:ilvl w:val="0"/>
          <w:numId w:val="347"/>
        </w:numPr>
        <w:jc w:val="both"/>
        <w:rPr>
          <w:rFonts w:ascii="Arial Narrow" w:hAnsi="Arial Narrow" w:cs="Arial"/>
          <w:lang w:eastAsia="es-CO"/>
        </w:rPr>
      </w:pPr>
      <w:r w:rsidRPr="005F10B9">
        <w:rPr>
          <w:rFonts w:ascii="Arial Narrow" w:hAnsi="Arial Narrow" w:cs="Arial"/>
          <w:lang w:eastAsia="es-CO"/>
        </w:rPr>
        <w:t xml:space="preserve">PV01 negativo: Significa que se gana con </w:t>
      </w:r>
      <w:r>
        <w:rPr>
          <w:rFonts w:ascii="Arial Narrow" w:hAnsi="Arial Narrow" w:cs="Arial"/>
          <w:lang w:eastAsia="es-CO"/>
        </w:rPr>
        <w:t xml:space="preserve">la </w:t>
      </w:r>
      <w:r w:rsidRPr="005F10B9">
        <w:rPr>
          <w:rFonts w:ascii="Arial Narrow" w:hAnsi="Arial Narrow" w:cs="Arial"/>
          <w:lang w:eastAsia="es-CO"/>
        </w:rPr>
        <w:t>bajada de las tasas, es decir, equivale a estar recibiendo una tasa fija en el Swap.</w:t>
      </w:r>
    </w:p>
    <w:p w14:paraId="293E19BD" w14:textId="77777777" w:rsidR="007968EC" w:rsidRPr="005F10B9" w:rsidRDefault="007968EC" w:rsidP="007968EC">
      <w:pPr>
        <w:jc w:val="both"/>
        <w:rPr>
          <w:rFonts w:ascii="Arial Narrow" w:hAnsi="Arial Narrow"/>
        </w:rPr>
      </w:pPr>
    </w:p>
    <w:p w14:paraId="4E6E2BB2" w14:textId="77777777" w:rsidR="007968EC" w:rsidRPr="005F10B9" w:rsidRDefault="007968EC" w:rsidP="00DA7472">
      <w:pPr>
        <w:numPr>
          <w:ilvl w:val="0"/>
          <w:numId w:val="347"/>
        </w:numPr>
        <w:jc w:val="both"/>
        <w:rPr>
          <w:rFonts w:ascii="Arial Narrow" w:hAnsi="Arial Narrow" w:cs="Arial"/>
          <w:lang w:eastAsia="es-CO"/>
        </w:rPr>
      </w:pPr>
      <w:r w:rsidRPr="005F10B9">
        <w:rPr>
          <w:rFonts w:ascii="Arial Narrow" w:hAnsi="Arial Narrow" w:cs="Arial"/>
          <w:lang w:eastAsia="es-CO"/>
        </w:rPr>
        <w:t xml:space="preserve">PV01 positivo: Significa que se gana con </w:t>
      </w:r>
      <w:r>
        <w:rPr>
          <w:rFonts w:ascii="Arial Narrow" w:hAnsi="Arial Narrow" w:cs="Arial"/>
          <w:lang w:eastAsia="es-CO"/>
        </w:rPr>
        <w:t xml:space="preserve">la </w:t>
      </w:r>
      <w:r w:rsidRPr="005F10B9">
        <w:rPr>
          <w:rFonts w:ascii="Arial Narrow" w:hAnsi="Arial Narrow" w:cs="Arial"/>
          <w:lang w:eastAsia="es-CO"/>
        </w:rPr>
        <w:t>subida de las tasas, es decir, equivale a estar pagando una tasa fija en el Swap.</w:t>
      </w:r>
    </w:p>
    <w:p w14:paraId="738F22CE" w14:textId="77777777" w:rsidR="007968EC" w:rsidRPr="005F10B9" w:rsidRDefault="007968EC" w:rsidP="007968EC">
      <w:pPr>
        <w:jc w:val="both"/>
        <w:rPr>
          <w:rFonts w:ascii="Arial Narrow" w:hAnsi="Arial Narrow"/>
        </w:rPr>
      </w:pPr>
    </w:p>
    <w:p w14:paraId="55371C31" w14:textId="77777777" w:rsidR="007968EC" w:rsidRPr="005F10B9" w:rsidRDefault="007968EC" w:rsidP="007968EC">
      <w:pPr>
        <w:jc w:val="both"/>
        <w:rPr>
          <w:rFonts w:ascii="Arial Narrow" w:hAnsi="Arial Narrow"/>
        </w:rPr>
      </w:pPr>
      <w:r w:rsidRPr="005F10B9">
        <w:rPr>
          <w:rFonts w:ascii="Arial Narrow" w:hAnsi="Arial Narrow"/>
        </w:rPr>
        <w:t xml:space="preserve">La Cámara define una serie de tramos o </w:t>
      </w:r>
      <w:proofErr w:type="spellStart"/>
      <w:r w:rsidRPr="005F10B9">
        <w:rPr>
          <w:rFonts w:ascii="Arial Narrow" w:hAnsi="Arial Narrow"/>
        </w:rPr>
        <w:t>buckets</w:t>
      </w:r>
      <w:proofErr w:type="spellEnd"/>
      <w:r w:rsidRPr="005F10B9">
        <w:rPr>
          <w:rFonts w:ascii="Arial Narrow" w:hAnsi="Arial Narrow"/>
        </w:rPr>
        <w:t xml:space="preserve"> de la Curva en donde se suma aritméticamente el PV01 calculado en el punto anterior por </w:t>
      </w:r>
      <w:r>
        <w:rPr>
          <w:rFonts w:ascii="Arial Narrow" w:hAnsi="Arial Narrow"/>
        </w:rPr>
        <w:t xml:space="preserve">cada una </w:t>
      </w:r>
      <w:r w:rsidRPr="005F10B9">
        <w:rPr>
          <w:rFonts w:ascii="Arial Narrow" w:hAnsi="Arial Narrow"/>
        </w:rPr>
        <w:t>de la</w:t>
      </w:r>
      <w:r>
        <w:rPr>
          <w:rFonts w:ascii="Arial Narrow" w:hAnsi="Arial Narrow"/>
        </w:rPr>
        <w:t>s</w:t>
      </w:r>
      <w:r w:rsidRPr="005F10B9">
        <w:rPr>
          <w:rFonts w:ascii="Arial Narrow" w:hAnsi="Arial Narrow"/>
        </w:rPr>
        <w:t xml:space="preserve"> Curva</w:t>
      </w:r>
      <w:r>
        <w:rPr>
          <w:rFonts w:ascii="Arial Narrow" w:hAnsi="Arial Narrow"/>
        </w:rPr>
        <w:t>s</w:t>
      </w:r>
      <w:r w:rsidRPr="005F10B9">
        <w:rPr>
          <w:rFonts w:ascii="Arial Narrow" w:hAnsi="Arial Narrow"/>
        </w:rPr>
        <w:t>. La suma aritmética se hace de acuerdo con la fórmula que se muestra a continuación:</w:t>
      </w:r>
    </w:p>
    <w:p w14:paraId="3E41583F" w14:textId="77777777" w:rsidR="007968EC" w:rsidRDefault="007968EC" w:rsidP="007968EC">
      <w:pPr>
        <w:jc w:val="both"/>
        <w:rPr>
          <w:rFonts w:ascii="Arial Narrow" w:hAnsi="Arial Narrow"/>
        </w:rPr>
      </w:pPr>
    </w:p>
    <w:p w14:paraId="6BE3378F" w14:textId="77777777" w:rsidR="007968EC" w:rsidRPr="005F10B9" w:rsidRDefault="007968EC" w:rsidP="007968EC">
      <w:pPr>
        <w:jc w:val="both"/>
        <w:rPr>
          <w:rFonts w:ascii="Arial Narrow" w:hAnsi="Arial Narrow"/>
        </w:rPr>
      </w:pPr>
    </w:p>
    <w:p w14:paraId="06D75E84" w14:textId="77777777" w:rsidR="007968EC" w:rsidRPr="005F10B9" w:rsidRDefault="007968EC" w:rsidP="007968EC">
      <w:pPr>
        <w:rPr>
          <w:rFonts w:ascii="Arial Narrow" w:hAnsi="Arial Narrow"/>
        </w:rPr>
      </w:pPr>
      <m:oMathPara>
        <m:oMath>
          <m:r>
            <m:rPr>
              <m:sty m:val="bi"/>
            </m:rPr>
            <w:rPr>
              <w:rFonts w:ascii="Cambria Math" w:hAnsi="Cambria Math"/>
            </w:rPr>
            <m:t>mY=</m:t>
          </m:r>
          <m:nary>
            <m:naryPr>
              <m:chr m:val="∑"/>
              <m:limLoc m:val="undOvr"/>
              <m:ctrlPr>
                <w:rPr>
                  <w:rFonts w:ascii="Cambria Math" w:hAnsi="Cambria Math"/>
                </w:rPr>
              </m:ctrlPr>
            </m:naryPr>
            <m:sub>
              <m:r>
                <m:rPr>
                  <m:sty m:val="bi"/>
                </m:rPr>
                <w:rPr>
                  <w:rFonts w:ascii="Cambria Math" w:hAnsi="Cambria Math"/>
                </w:rPr>
                <m:t>n=0</m:t>
              </m:r>
            </m:sub>
            <m:sup>
              <m:r>
                <m:rPr>
                  <m:sty m:val="bi"/>
                </m:rPr>
                <w:rPr>
                  <w:rFonts w:ascii="Cambria Math" w:hAnsi="Cambria Math"/>
                </w:rPr>
                <m:t>5</m:t>
              </m:r>
            </m:sup>
            <m:e>
              <m:sSub>
                <m:sSubPr>
                  <m:ctrlPr>
                    <w:rPr>
                      <w:rFonts w:ascii="Cambria Math" w:hAnsi="Cambria Math"/>
                    </w:rPr>
                  </m:ctrlPr>
                </m:sSubPr>
                <m:e>
                  <m:r>
                    <m:rPr>
                      <m:sty m:val="bi"/>
                    </m:rPr>
                    <w:rPr>
                      <w:rFonts w:ascii="Cambria Math" w:hAnsi="Cambria Math"/>
                    </w:rPr>
                    <m:t>β</m:t>
                  </m:r>
                </m:e>
                <m:sub>
                  <m:r>
                    <m:rPr>
                      <m:sty m:val="bi"/>
                    </m:rPr>
                    <w:rPr>
                      <w:rFonts w:ascii="Cambria Math" w:hAnsi="Cambria Math"/>
                    </w:rPr>
                    <m:t>nY,mY</m:t>
                  </m:r>
                </m:sub>
              </m:sSub>
            </m:e>
          </m:nary>
          <m:r>
            <m:rPr>
              <m:sty m:val="bi"/>
            </m:rPr>
            <w:rPr>
              <w:rFonts w:ascii="Cambria Math" w:hAnsi="Cambria Math"/>
            </w:rPr>
            <m:t xml:space="preserve">x </m:t>
          </m:r>
          <m:sSub>
            <m:sSubPr>
              <m:ctrlPr>
                <w:rPr>
                  <w:rFonts w:ascii="Cambria Math" w:hAnsi="Cambria Math"/>
                </w:rPr>
              </m:ctrlPr>
            </m:sSubPr>
            <m:e>
              <m:r>
                <m:rPr>
                  <m:sty m:val="bi"/>
                </m:rPr>
                <w:rPr>
                  <w:rFonts w:ascii="Cambria Math" w:hAnsi="Cambria Math"/>
                </w:rPr>
                <m:t>PV</m:t>
              </m:r>
              <m:r>
                <m:rPr>
                  <m:sty m:val="bi"/>
                </m:rPr>
                <w:rPr>
                  <w:rFonts w:ascii="Cambria Math" w:hAnsi="Cambria Math"/>
                </w:rPr>
                <m:t>01</m:t>
              </m:r>
            </m:e>
            <m:sub>
              <m:r>
                <m:rPr>
                  <m:sty m:val="bi"/>
                </m:rPr>
                <w:rPr>
                  <w:rFonts w:ascii="Cambria Math" w:hAnsi="Cambria Math"/>
                </w:rPr>
                <m:t>ny</m:t>
              </m:r>
            </m:sub>
          </m:sSub>
          <m:r>
            <m:rPr>
              <m:sty m:val="bi"/>
            </m:rPr>
            <w:rPr>
              <w:rFonts w:ascii="Cambria Math" w:hAnsi="Cambria Math"/>
            </w:rPr>
            <m:t xml:space="preserve"> </m:t>
          </m:r>
        </m:oMath>
      </m:oMathPara>
    </w:p>
    <w:p w14:paraId="0F51A148" w14:textId="77777777" w:rsidR="007968EC" w:rsidRPr="005F10B9" w:rsidRDefault="007968EC" w:rsidP="007968EC">
      <w:pPr>
        <w:jc w:val="both"/>
        <w:rPr>
          <w:rFonts w:ascii="Arial Narrow" w:hAnsi="Arial Narrow"/>
        </w:rPr>
      </w:pPr>
      <w:r w:rsidRPr="005F10B9">
        <w:rPr>
          <w:rFonts w:ascii="Arial Narrow" w:hAnsi="Arial Narrow"/>
        </w:rPr>
        <w:t>Donde:</w:t>
      </w:r>
    </w:p>
    <w:p w14:paraId="49A50AE4" w14:textId="77777777" w:rsidR="007968EC" w:rsidRPr="005F10B9" w:rsidRDefault="007968EC" w:rsidP="007968EC">
      <w:pPr>
        <w:jc w:val="both"/>
        <w:rPr>
          <w:rFonts w:ascii="Arial Narrow" w:hAnsi="Arial Narrow"/>
        </w:rPr>
      </w:pPr>
    </w:p>
    <w:p w14:paraId="5B9FAE75" w14:textId="77777777" w:rsidR="007968EC" w:rsidRPr="005F10B9" w:rsidRDefault="007968EC" w:rsidP="007968EC">
      <w:pPr>
        <w:jc w:val="both"/>
        <w:rPr>
          <w:rFonts w:ascii="Arial Narrow" w:hAnsi="Arial Narrow"/>
        </w:rPr>
      </w:pPr>
      <m:oMath>
        <m:r>
          <m:rPr>
            <m:sty m:val="bi"/>
          </m:rPr>
          <w:rPr>
            <w:rFonts w:ascii="Cambria Math" w:hAnsi="Cambria Math"/>
          </w:rPr>
          <m:t>mY</m:t>
        </m:r>
      </m:oMath>
      <w:r w:rsidRPr="005F10B9">
        <w:rPr>
          <w:rFonts w:ascii="Arial Narrow" w:hAnsi="Arial Narrow"/>
        </w:rPr>
        <w:t xml:space="preserve">: Sensibilidad del </w:t>
      </w:r>
      <w:proofErr w:type="spellStart"/>
      <w:r w:rsidRPr="005F10B9">
        <w:rPr>
          <w:rFonts w:ascii="Arial Narrow" w:hAnsi="Arial Narrow"/>
        </w:rPr>
        <w:t>bucket</w:t>
      </w:r>
      <w:proofErr w:type="spellEnd"/>
      <w:r w:rsidRPr="005F10B9">
        <w:rPr>
          <w:rFonts w:ascii="Arial Narrow" w:hAnsi="Arial Narrow"/>
        </w:rPr>
        <w:t xml:space="preserve"> de cobertura </w:t>
      </w:r>
      <w:r w:rsidRPr="005F10B9">
        <w:rPr>
          <w:rFonts w:ascii="Arial Narrow" w:hAnsi="Arial Narrow"/>
          <w:i/>
        </w:rPr>
        <w:t xml:space="preserve">m </w:t>
      </w:r>
      <w:r w:rsidRPr="005F10B9">
        <w:rPr>
          <w:rFonts w:ascii="Arial Narrow" w:hAnsi="Arial Narrow"/>
        </w:rPr>
        <w:t>años.</w:t>
      </w:r>
    </w:p>
    <w:p w14:paraId="17F4B259" w14:textId="77777777" w:rsidR="007968EC" w:rsidRPr="005F10B9" w:rsidRDefault="00682D97" w:rsidP="007968EC">
      <w:pPr>
        <w:jc w:val="both"/>
        <w:rPr>
          <w:rFonts w:ascii="Arial Narrow" w:hAnsi="Arial Narrow"/>
        </w:rPr>
      </w:pPr>
      <m:oMath>
        <m:sSub>
          <m:sSubPr>
            <m:ctrlPr>
              <w:rPr>
                <w:rFonts w:ascii="Cambria Math" w:hAnsi="Cambria Math"/>
              </w:rPr>
            </m:ctrlPr>
          </m:sSubPr>
          <m:e>
            <m:r>
              <m:rPr>
                <m:sty m:val="bi"/>
              </m:rPr>
              <w:rPr>
                <w:rFonts w:ascii="Cambria Math" w:hAnsi="Cambria Math"/>
              </w:rPr>
              <m:t>β</m:t>
            </m:r>
          </m:e>
          <m:sub>
            <m:r>
              <m:rPr>
                <m:sty m:val="bi"/>
              </m:rPr>
              <w:rPr>
                <w:rFonts w:ascii="Cambria Math" w:hAnsi="Cambria Math"/>
              </w:rPr>
              <m:t>nY,mY</m:t>
            </m:r>
          </m:sub>
        </m:sSub>
      </m:oMath>
      <w:r w:rsidR="007968EC" w:rsidRPr="005F10B9">
        <w:rPr>
          <w:rFonts w:ascii="Arial Narrow" w:hAnsi="Arial Narrow"/>
        </w:rPr>
        <w:t xml:space="preserve">: Ponderación de la sensibilidad en el Plazo “ni” de la sensibilidad en el bucket de </w:t>
      </w:r>
      <w:r w:rsidR="007968EC" w:rsidRPr="005F10B9">
        <w:rPr>
          <w:rFonts w:ascii="Arial Narrow" w:hAnsi="Arial Narrow"/>
          <w:i/>
        </w:rPr>
        <w:t>m</w:t>
      </w:r>
      <w:r w:rsidR="007968EC" w:rsidRPr="005F10B9">
        <w:rPr>
          <w:rFonts w:ascii="Arial Narrow" w:hAnsi="Arial Narrow"/>
        </w:rPr>
        <w:t xml:space="preserve"> años.</w:t>
      </w:r>
    </w:p>
    <w:p w14:paraId="216AACC4" w14:textId="77777777" w:rsidR="007968EC" w:rsidRPr="005F10B9" w:rsidRDefault="007968EC" w:rsidP="007968EC">
      <w:pPr>
        <w:jc w:val="both"/>
        <w:rPr>
          <w:rFonts w:ascii="Arial Narrow" w:hAnsi="Arial Narrow"/>
        </w:rPr>
      </w:pPr>
      <w:r w:rsidRPr="005F10B9">
        <w:rPr>
          <w:rFonts w:ascii="Arial Narrow" w:hAnsi="Arial Narrow"/>
        </w:rPr>
        <w:t>Se suma aritméticamente el PV01 por plazo de la curva de la siguiente manera:</w:t>
      </w:r>
    </w:p>
    <w:p w14:paraId="1472AA08" w14:textId="77777777" w:rsidR="007968EC" w:rsidRPr="005F10B9" w:rsidRDefault="007968EC" w:rsidP="007968EC">
      <w:pPr>
        <w:jc w:val="both"/>
        <w:rPr>
          <w:rFonts w:ascii="Arial Narrow" w:hAnsi="Arial Narrow"/>
        </w:rPr>
      </w:pPr>
    </w:p>
    <w:p w14:paraId="0DF1ABAF" w14:textId="77777777" w:rsidR="007968EC" w:rsidRPr="005F10B9" w:rsidRDefault="007968EC" w:rsidP="00DA7472">
      <w:pPr>
        <w:numPr>
          <w:ilvl w:val="0"/>
          <w:numId w:val="346"/>
        </w:numPr>
        <w:jc w:val="both"/>
        <w:rPr>
          <w:rFonts w:ascii="Arial Narrow" w:hAnsi="Arial Narrow" w:cs="Arial"/>
          <w:b/>
          <w:lang w:eastAsia="es-CO"/>
        </w:rPr>
      </w:pPr>
      <w:r w:rsidRPr="005F10B9">
        <w:rPr>
          <w:rFonts w:ascii="Arial Narrow" w:hAnsi="Arial Narrow" w:cs="Arial"/>
          <w:lang w:eastAsia="es-CO"/>
        </w:rPr>
        <w:t xml:space="preserve">Para el </w:t>
      </w:r>
      <w:proofErr w:type="spellStart"/>
      <w:r w:rsidRPr="005F10B9">
        <w:rPr>
          <w:rFonts w:ascii="Arial Narrow" w:hAnsi="Arial Narrow" w:cs="Arial"/>
          <w:lang w:eastAsia="es-CO"/>
        </w:rPr>
        <w:t>bucket</w:t>
      </w:r>
      <w:proofErr w:type="spellEnd"/>
      <w:r w:rsidRPr="005F10B9">
        <w:rPr>
          <w:rFonts w:ascii="Arial Narrow" w:hAnsi="Arial Narrow" w:cs="Arial"/>
          <w:lang w:eastAsia="es-CO"/>
        </w:rPr>
        <w:t xml:space="preserve"> de 1Y:  </w:t>
      </w:r>
      <m:oMath>
        <m:r>
          <m:rPr>
            <m:sty m:val="bi"/>
          </m:rPr>
          <w:rPr>
            <w:rFonts w:ascii="Cambria Math" w:hAnsi="Cambria Math" w:cs="Arial"/>
            <w:lang w:eastAsia="es-CO"/>
          </w:rPr>
          <m:t>1</m:t>
        </m:r>
        <m:r>
          <m:rPr>
            <m:sty m:val="bi"/>
          </m:rPr>
          <w:rPr>
            <w:rFonts w:ascii="Cambria Math" w:hAnsi="Cambria Math" w:cs="Arial"/>
            <w:lang w:eastAsia="es-CO"/>
          </w:rPr>
          <m:t>Y=</m:t>
        </m:r>
        <m:nary>
          <m:naryPr>
            <m:chr m:val="∑"/>
            <m:limLoc m:val="undOvr"/>
            <m:ctrlPr>
              <w:rPr>
                <w:rFonts w:ascii="Cambria Math" w:hAnsi="Cambria Math" w:cs="Arial"/>
                <w:lang w:eastAsia="es-CO"/>
              </w:rPr>
            </m:ctrlPr>
          </m:naryPr>
          <m:sub>
            <m:r>
              <m:rPr>
                <m:sty m:val="bi"/>
              </m:rPr>
              <w:rPr>
                <w:rFonts w:ascii="Cambria Math" w:hAnsi="Cambria Math" w:cs="Arial"/>
                <w:lang w:eastAsia="es-CO"/>
              </w:rPr>
              <m:t>n=0</m:t>
            </m:r>
          </m:sub>
          <m:sup>
            <m:r>
              <m:rPr>
                <m:sty m:val="bi"/>
              </m:rPr>
              <w:rPr>
                <w:rFonts w:ascii="Cambria Math" w:hAnsi="Cambria Math" w:cs="Arial"/>
                <w:lang w:eastAsia="es-CO"/>
              </w:rPr>
              <m:t>1</m:t>
            </m:r>
          </m:sup>
          <m:e>
            <m:sSub>
              <m:sSubPr>
                <m:ctrlPr>
                  <w:rPr>
                    <w:rFonts w:ascii="Cambria Math" w:hAnsi="Cambria Math" w:cs="Arial"/>
                    <w:lang w:eastAsia="es-CO"/>
                  </w:rPr>
                </m:ctrlPr>
              </m:sSubPr>
              <m:e>
                <m:r>
                  <m:rPr>
                    <m:sty m:val="bi"/>
                  </m:rPr>
                  <w:rPr>
                    <w:rFonts w:ascii="Cambria Math" w:hAnsi="Cambria Math" w:cs="Arial"/>
                    <w:lang w:eastAsia="es-CO"/>
                  </w:rPr>
                  <m:t>β</m:t>
                </m:r>
              </m:e>
              <m:sub>
                <m:r>
                  <m:rPr>
                    <m:sty m:val="bi"/>
                  </m:rPr>
                  <w:rPr>
                    <w:rFonts w:ascii="Cambria Math" w:hAnsi="Cambria Math" w:cs="Arial"/>
                    <w:lang w:eastAsia="es-CO"/>
                  </w:rPr>
                  <m:t>ny,1</m:t>
                </m:r>
                <m:r>
                  <m:rPr>
                    <m:sty m:val="bi"/>
                  </m:rPr>
                  <w:rPr>
                    <w:rFonts w:ascii="Cambria Math" w:hAnsi="Cambria Math" w:cs="Arial"/>
                    <w:lang w:eastAsia="es-CO"/>
                  </w:rPr>
                  <m:t>Y</m:t>
                </m:r>
              </m:sub>
            </m:sSub>
          </m:e>
        </m:nary>
        <m:r>
          <m:rPr>
            <m:sty m:val="bi"/>
          </m:rPr>
          <w:rPr>
            <w:rFonts w:ascii="Cambria Math" w:hAnsi="Cambria Math" w:cs="Arial"/>
            <w:lang w:eastAsia="es-CO"/>
          </w:rPr>
          <m:t xml:space="preserve">x </m:t>
        </m:r>
        <m:sSub>
          <m:sSubPr>
            <m:ctrlPr>
              <w:rPr>
                <w:rFonts w:ascii="Cambria Math" w:hAnsi="Cambria Math" w:cs="Arial"/>
                <w:lang w:eastAsia="es-CO"/>
              </w:rPr>
            </m:ctrlPr>
          </m:sSubPr>
          <m:e>
            <m:r>
              <m:rPr>
                <m:sty m:val="bi"/>
              </m:rPr>
              <w:rPr>
                <w:rFonts w:ascii="Cambria Math" w:hAnsi="Cambria Math" w:cs="Arial"/>
                <w:lang w:eastAsia="es-CO"/>
              </w:rPr>
              <m:t>PV</m:t>
            </m:r>
            <m:r>
              <m:rPr>
                <m:sty m:val="bi"/>
              </m:rPr>
              <w:rPr>
                <w:rFonts w:ascii="Cambria Math" w:hAnsi="Cambria Math" w:cs="Arial"/>
                <w:lang w:eastAsia="es-CO"/>
              </w:rPr>
              <m:t>01</m:t>
            </m:r>
          </m:e>
          <m:sub>
            <m:r>
              <m:rPr>
                <m:sty m:val="bi"/>
              </m:rPr>
              <w:rPr>
                <w:rFonts w:ascii="Cambria Math" w:hAnsi="Cambria Math" w:cs="Arial"/>
                <w:lang w:eastAsia="es-CO"/>
              </w:rPr>
              <m:t>nY</m:t>
            </m:r>
          </m:sub>
        </m:sSub>
      </m:oMath>
    </w:p>
    <w:p w14:paraId="0B540396" w14:textId="77777777" w:rsidR="007968EC" w:rsidRPr="005F10B9" w:rsidRDefault="007968EC" w:rsidP="00DA7472">
      <w:pPr>
        <w:numPr>
          <w:ilvl w:val="0"/>
          <w:numId w:val="346"/>
        </w:numPr>
        <w:jc w:val="both"/>
        <w:rPr>
          <w:rFonts w:ascii="Arial Narrow" w:hAnsi="Arial Narrow" w:cs="Arial"/>
          <w:b/>
          <w:lang w:eastAsia="es-CO"/>
        </w:rPr>
      </w:pPr>
      <w:r w:rsidRPr="005F10B9">
        <w:rPr>
          <w:rFonts w:ascii="Arial Narrow" w:hAnsi="Arial Narrow" w:cs="Arial"/>
          <w:lang w:eastAsia="es-CO"/>
        </w:rPr>
        <w:t xml:space="preserve">Para el </w:t>
      </w:r>
      <w:proofErr w:type="spellStart"/>
      <w:r w:rsidRPr="005F10B9">
        <w:rPr>
          <w:rFonts w:ascii="Arial Narrow" w:hAnsi="Arial Narrow" w:cs="Arial"/>
          <w:lang w:eastAsia="es-CO"/>
        </w:rPr>
        <w:t>bucket</w:t>
      </w:r>
      <w:proofErr w:type="spellEnd"/>
      <w:r w:rsidRPr="005F10B9">
        <w:rPr>
          <w:rFonts w:ascii="Arial Narrow" w:hAnsi="Arial Narrow" w:cs="Arial"/>
          <w:lang w:eastAsia="es-CO"/>
        </w:rPr>
        <w:t xml:space="preserve"> de 2Y:  </w:t>
      </w:r>
      <m:oMath>
        <m:r>
          <m:rPr>
            <m:sty m:val="bi"/>
          </m:rPr>
          <w:rPr>
            <w:rFonts w:ascii="Cambria Math" w:hAnsi="Cambria Math" w:cs="Arial"/>
            <w:lang w:eastAsia="es-CO"/>
          </w:rPr>
          <m:t>2</m:t>
        </m:r>
        <m:r>
          <m:rPr>
            <m:sty m:val="bi"/>
          </m:rPr>
          <w:rPr>
            <w:rFonts w:ascii="Cambria Math" w:hAnsi="Cambria Math" w:cs="Arial"/>
            <w:lang w:eastAsia="es-CO"/>
          </w:rPr>
          <m:t>Y=</m:t>
        </m:r>
        <m:nary>
          <m:naryPr>
            <m:chr m:val="∑"/>
            <m:limLoc m:val="undOvr"/>
            <m:ctrlPr>
              <w:rPr>
                <w:rFonts w:ascii="Cambria Math" w:hAnsi="Cambria Math" w:cs="Arial"/>
                <w:lang w:eastAsia="es-CO"/>
              </w:rPr>
            </m:ctrlPr>
          </m:naryPr>
          <m:sub>
            <m:r>
              <m:rPr>
                <m:sty m:val="bi"/>
              </m:rPr>
              <w:rPr>
                <w:rFonts w:ascii="Cambria Math" w:hAnsi="Cambria Math" w:cs="Arial"/>
                <w:lang w:eastAsia="es-CO"/>
              </w:rPr>
              <m:t>n=2</m:t>
            </m:r>
          </m:sub>
          <m:sup>
            <m:r>
              <m:rPr>
                <m:sty m:val="bi"/>
              </m:rPr>
              <w:rPr>
                <w:rFonts w:ascii="Cambria Math" w:hAnsi="Cambria Math" w:cs="Arial"/>
                <w:lang w:eastAsia="es-CO"/>
              </w:rPr>
              <m:t>2</m:t>
            </m:r>
          </m:sup>
          <m:e>
            <m:sSub>
              <m:sSubPr>
                <m:ctrlPr>
                  <w:rPr>
                    <w:rFonts w:ascii="Cambria Math" w:hAnsi="Cambria Math" w:cs="Arial"/>
                    <w:lang w:eastAsia="es-CO"/>
                  </w:rPr>
                </m:ctrlPr>
              </m:sSubPr>
              <m:e>
                <m:r>
                  <m:rPr>
                    <m:sty m:val="bi"/>
                  </m:rPr>
                  <w:rPr>
                    <w:rFonts w:ascii="Cambria Math" w:hAnsi="Cambria Math" w:cs="Arial"/>
                    <w:lang w:eastAsia="es-CO"/>
                  </w:rPr>
                  <m:t>β</m:t>
                </m:r>
              </m:e>
              <m:sub>
                <m:r>
                  <m:rPr>
                    <m:sty m:val="bi"/>
                  </m:rPr>
                  <w:rPr>
                    <w:rFonts w:ascii="Cambria Math" w:hAnsi="Cambria Math" w:cs="Arial"/>
                    <w:lang w:eastAsia="es-CO"/>
                  </w:rPr>
                  <m:t>ny,2</m:t>
                </m:r>
                <m:r>
                  <m:rPr>
                    <m:sty m:val="bi"/>
                  </m:rPr>
                  <w:rPr>
                    <w:rFonts w:ascii="Cambria Math" w:hAnsi="Cambria Math" w:cs="Arial"/>
                    <w:lang w:eastAsia="es-CO"/>
                  </w:rPr>
                  <m:t>Y</m:t>
                </m:r>
              </m:sub>
            </m:sSub>
          </m:e>
        </m:nary>
        <m:r>
          <m:rPr>
            <m:sty m:val="bi"/>
          </m:rPr>
          <w:rPr>
            <w:rFonts w:ascii="Cambria Math" w:hAnsi="Cambria Math" w:cs="Arial"/>
            <w:lang w:eastAsia="es-CO"/>
          </w:rPr>
          <m:t xml:space="preserve">x </m:t>
        </m:r>
        <m:sSub>
          <m:sSubPr>
            <m:ctrlPr>
              <w:rPr>
                <w:rFonts w:ascii="Cambria Math" w:hAnsi="Cambria Math" w:cs="Arial"/>
                <w:lang w:eastAsia="es-CO"/>
              </w:rPr>
            </m:ctrlPr>
          </m:sSubPr>
          <m:e>
            <m:r>
              <m:rPr>
                <m:sty m:val="bi"/>
              </m:rPr>
              <w:rPr>
                <w:rFonts w:ascii="Cambria Math" w:hAnsi="Cambria Math" w:cs="Arial"/>
                <w:lang w:eastAsia="es-CO"/>
              </w:rPr>
              <m:t>PV</m:t>
            </m:r>
            <m:r>
              <m:rPr>
                <m:sty m:val="bi"/>
              </m:rPr>
              <w:rPr>
                <w:rFonts w:ascii="Cambria Math" w:hAnsi="Cambria Math" w:cs="Arial"/>
                <w:lang w:eastAsia="es-CO"/>
              </w:rPr>
              <m:t>01</m:t>
            </m:r>
          </m:e>
          <m:sub>
            <m:r>
              <m:rPr>
                <m:sty m:val="bi"/>
              </m:rPr>
              <w:rPr>
                <w:rFonts w:ascii="Cambria Math" w:hAnsi="Cambria Math" w:cs="Arial"/>
                <w:lang w:eastAsia="es-CO"/>
              </w:rPr>
              <m:t>nY</m:t>
            </m:r>
          </m:sub>
        </m:sSub>
      </m:oMath>
    </w:p>
    <w:p w14:paraId="311A4F02" w14:textId="77777777" w:rsidR="007968EC" w:rsidRPr="005F10B9" w:rsidRDefault="007968EC" w:rsidP="00DA7472">
      <w:pPr>
        <w:numPr>
          <w:ilvl w:val="0"/>
          <w:numId w:val="346"/>
        </w:numPr>
        <w:jc w:val="both"/>
        <w:rPr>
          <w:rFonts w:ascii="Arial Narrow" w:hAnsi="Arial Narrow" w:cs="Arial"/>
          <w:b/>
          <w:lang w:eastAsia="es-CO"/>
        </w:rPr>
      </w:pPr>
      <w:r w:rsidRPr="005F10B9">
        <w:rPr>
          <w:rFonts w:ascii="Arial Narrow" w:hAnsi="Arial Narrow" w:cs="Arial"/>
          <w:lang w:eastAsia="es-CO"/>
        </w:rPr>
        <w:t xml:space="preserve">Para el </w:t>
      </w:r>
      <w:proofErr w:type="spellStart"/>
      <w:r w:rsidRPr="005F10B9">
        <w:rPr>
          <w:rFonts w:ascii="Arial Narrow" w:hAnsi="Arial Narrow" w:cs="Arial"/>
          <w:lang w:eastAsia="es-CO"/>
        </w:rPr>
        <w:t>bucket</w:t>
      </w:r>
      <w:proofErr w:type="spellEnd"/>
      <w:r w:rsidRPr="005F10B9">
        <w:rPr>
          <w:rFonts w:ascii="Arial Narrow" w:hAnsi="Arial Narrow" w:cs="Arial"/>
          <w:lang w:eastAsia="es-CO"/>
        </w:rPr>
        <w:t xml:space="preserve"> de 5Y:  </w:t>
      </w:r>
      <m:oMath>
        <m:r>
          <m:rPr>
            <m:sty m:val="bi"/>
          </m:rPr>
          <w:rPr>
            <w:rFonts w:ascii="Cambria Math" w:hAnsi="Cambria Math" w:cs="Arial"/>
            <w:lang w:eastAsia="es-CO"/>
          </w:rPr>
          <m:t>5</m:t>
        </m:r>
        <m:r>
          <m:rPr>
            <m:sty m:val="bi"/>
          </m:rPr>
          <w:rPr>
            <w:rFonts w:ascii="Cambria Math" w:hAnsi="Cambria Math" w:cs="Arial"/>
            <w:lang w:eastAsia="es-CO"/>
          </w:rPr>
          <m:t>Y=</m:t>
        </m:r>
        <m:nary>
          <m:naryPr>
            <m:chr m:val="∑"/>
            <m:limLoc m:val="undOvr"/>
            <m:ctrlPr>
              <w:rPr>
                <w:rFonts w:ascii="Cambria Math" w:hAnsi="Cambria Math" w:cs="Arial"/>
                <w:lang w:eastAsia="es-CO"/>
              </w:rPr>
            </m:ctrlPr>
          </m:naryPr>
          <m:sub>
            <m:r>
              <m:rPr>
                <m:sty m:val="bi"/>
              </m:rPr>
              <w:rPr>
                <w:rFonts w:ascii="Cambria Math" w:hAnsi="Cambria Math" w:cs="Arial"/>
                <w:lang w:eastAsia="es-CO"/>
              </w:rPr>
              <m:t>n=3</m:t>
            </m:r>
          </m:sub>
          <m:sup>
            <m:r>
              <m:rPr>
                <m:sty m:val="bi"/>
              </m:rPr>
              <w:rPr>
                <w:rFonts w:ascii="Cambria Math" w:hAnsi="Cambria Math" w:cs="Arial"/>
                <w:lang w:eastAsia="es-CO"/>
              </w:rPr>
              <m:t>5</m:t>
            </m:r>
          </m:sup>
          <m:e>
            <m:sSub>
              <m:sSubPr>
                <m:ctrlPr>
                  <w:rPr>
                    <w:rFonts w:ascii="Cambria Math" w:hAnsi="Cambria Math" w:cs="Arial"/>
                    <w:lang w:eastAsia="es-CO"/>
                  </w:rPr>
                </m:ctrlPr>
              </m:sSubPr>
              <m:e>
                <m:r>
                  <m:rPr>
                    <m:sty m:val="bi"/>
                  </m:rPr>
                  <w:rPr>
                    <w:rFonts w:ascii="Cambria Math" w:hAnsi="Cambria Math" w:cs="Arial"/>
                    <w:lang w:eastAsia="es-CO"/>
                  </w:rPr>
                  <m:t>β</m:t>
                </m:r>
              </m:e>
              <m:sub>
                <m:r>
                  <m:rPr>
                    <m:sty m:val="bi"/>
                  </m:rPr>
                  <w:rPr>
                    <w:rFonts w:ascii="Cambria Math" w:hAnsi="Cambria Math" w:cs="Arial"/>
                    <w:lang w:eastAsia="es-CO"/>
                  </w:rPr>
                  <m:t>nY,5</m:t>
                </m:r>
                <m:r>
                  <m:rPr>
                    <m:sty m:val="bi"/>
                  </m:rPr>
                  <w:rPr>
                    <w:rFonts w:ascii="Cambria Math" w:hAnsi="Cambria Math" w:cs="Arial"/>
                    <w:lang w:eastAsia="es-CO"/>
                  </w:rPr>
                  <m:t>Y</m:t>
                </m:r>
              </m:sub>
            </m:sSub>
          </m:e>
        </m:nary>
        <m:r>
          <m:rPr>
            <m:sty m:val="bi"/>
          </m:rPr>
          <w:rPr>
            <w:rFonts w:ascii="Cambria Math" w:hAnsi="Cambria Math" w:cs="Arial"/>
            <w:lang w:eastAsia="es-CO"/>
          </w:rPr>
          <m:t xml:space="preserve">x </m:t>
        </m:r>
        <m:sSub>
          <m:sSubPr>
            <m:ctrlPr>
              <w:rPr>
                <w:rFonts w:ascii="Cambria Math" w:hAnsi="Cambria Math" w:cs="Arial"/>
                <w:lang w:eastAsia="es-CO"/>
              </w:rPr>
            </m:ctrlPr>
          </m:sSubPr>
          <m:e>
            <m:r>
              <m:rPr>
                <m:sty m:val="bi"/>
              </m:rPr>
              <w:rPr>
                <w:rFonts w:ascii="Cambria Math" w:hAnsi="Cambria Math" w:cs="Arial"/>
                <w:lang w:eastAsia="es-CO"/>
              </w:rPr>
              <m:t>PV</m:t>
            </m:r>
            <m:r>
              <m:rPr>
                <m:sty m:val="bi"/>
              </m:rPr>
              <w:rPr>
                <w:rFonts w:ascii="Cambria Math" w:hAnsi="Cambria Math" w:cs="Arial"/>
                <w:lang w:eastAsia="es-CO"/>
              </w:rPr>
              <m:t>01</m:t>
            </m:r>
          </m:e>
          <m:sub>
            <m:r>
              <m:rPr>
                <m:sty m:val="bi"/>
              </m:rPr>
              <w:rPr>
                <w:rFonts w:ascii="Cambria Math" w:hAnsi="Cambria Math" w:cs="Arial"/>
                <w:lang w:eastAsia="es-CO"/>
              </w:rPr>
              <m:t>nY</m:t>
            </m:r>
          </m:sub>
        </m:sSub>
      </m:oMath>
    </w:p>
    <w:p w14:paraId="5955DE6F" w14:textId="77777777" w:rsidR="007968EC" w:rsidRPr="005F10B9" w:rsidRDefault="007968EC" w:rsidP="00DA7472">
      <w:pPr>
        <w:numPr>
          <w:ilvl w:val="0"/>
          <w:numId w:val="346"/>
        </w:numPr>
        <w:jc w:val="both"/>
        <w:rPr>
          <w:rFonts w:ascii="Arial Narrow" w:hAnsi="Arial Narrow" w:cs="Arial"/>
          <w:b/>
          <w:lang w:eastAsia="es-CO"/>
        </w:rPr>
      </w:pPr>
      <w:r w:rsidRPr="005F10B9">
        <w:rPr>
          <w:rFonts w:ascii="Arial Narrow" w:hAnsi="Arial Narrow" w:cs="Arial"/>
          <w:lang w:eastAsia="es-CO"/>
        </w:rPr>
        <w:t xml:space="preserve">Para el </w:t>
      </w:r>
      <w:proofErr w:type="spellStart"/>
      <w:r w:rsidRPr="005F10B9">
        <w:rPr>
          <w:rFonts w:ascii="Arial Narrow" w:hAnsi="Arial Narrow" w:cs="Arial"/>
          <w:lang w:eastAsia="es-CO"/>
        </w:rPr>
        <w:t>bucket</w:t>
      </w:r>
      <w:proofErr w:type="spellEnd"/>
      <w:r w:rsidRPr="005F10B9">
        <w:rPr>
          <w:rFonts w:ascii="Arial Narrow" w:hAnsi="Arial Narrow" w:cs="Arial"/>
          <w:lang w:eastAsia="es-CO"/>
        </w:rPr>
        <w:t xml:space="preserve"> de 10Y:  </w:t>
      </w:r>
      <m:oMath>
        <m:r>
          <m:rPr>
            <m:sty m:val="bi"/>
          </m:rPr>
          <w:rPr>
            <w:rFonts w:ascii="Cambria Math" w:hAnsi="Cambria Math" w:cs="Arial"/>
            <w:lang w:eastAsia="es-CO"/>
          </w:rPr>
          <m:t>10</m:t>
        </m:r>
        <m:r>
          <m:rPr>
            <m:sty m:val="bi"/>
          </m:rPr>
          <w:rPr>
            <w:rFonts w:ascii="Cambria Math" w:hAnsi="Cambria Math" w:cs="Arial"/>
            <w:lang w:eastAsia="es-CO"/>
          </w:rPr>
          <m:t>Y=</m:t>
        </m:r>
        <m:nary>
          <m:naryPr>
            <m:chr m:val="∑"/>
            <m:limLoc m:val="undOvr"/>
            <m:ctrlPr>
              <w:rPr>
                <w:rFonts w:ascii="Cambria Math" w:hAnsi="Cambria Math" w:cs="Arial"/>
                <w:lang w:eastAsia="es-CO"/>
              </w:rPr>
            </m:ctrlPr>
          </m:naryPr>
          <m:sub>
            <m:r>
              <m:rPr>
                <m:sty m:val="bi"/>
              </m:rPr>
              <w:rPr>
                <w:rFonts w:ascii="Cambria Math" w:hAnsi="Cambria Math" w:cs="Arial"/>
                <w:lang w:eastAsia="es-CO"/>
              </w:rPr>
              <m:t>n=6</m:t>
            </m:r>
          </m:sub>
          <m:sup>
            <m:r>
              <m:rPr>
                <m:sty m:val="bi"/>
              </m:rPr>
              <w:rPr>
                <w:rFonts w:ascii="Cambria Math" w:hAnsi="Cambria Math" w:cs="Arial"/>
                <w:lang w:eastAsia="es-CO"/>
              </w:rPr>
              <m:t>10</m:t>
            </m:r>
          </m:sup>
          <m:e>
            <m:sSub>
              <m:sSubPr>
                <m:ctrlPr>
                  <w:rPr>
                    <w:rFonts w:ascii="Cambria Math" w:hAnsi="Cambria Math" w:cs="Arial"/>
                    <w:lang w:eastAsia="es-CO"/>
                  </w:rPr>
                </m:ctrlPr>
              </m:sSubPr>
              <m:e>
                <m:r>
                  <m:rPr>
                    <m:sty m:val="bi"/>
                  </m:rPr>
                  <w:rPr>
                    <w:rFonts w:ascii="Cambria Math" w:hAnsi="Cambria Math" w:cs="Arial"/>
                    <w:lang w:eastAsia="es-CO"/>
                  </w:rPr>
                  <m:t>β</m:t>
                </m:r>
              </m:e>
              <m:sub>
                <m:r>
                  <m:rPr>
                    <m:sty m:val="bi"/>
                  </m:rPr>
                  <w:rPr>
                    <w:rFonts w:ascii="Cambria Math" w:hAnsi="Cambria Math" w:cs="Arial"/>
                    <w:lang w:eastAsia="es-CO"/>
                  </w:rPr>
                  <m:t>nY,10</m:t>
                </m:r>
                <m:r>
                  <m:rPr>
                    <m:sty m:val="bi"/>
                  </m:rPr>
                  <w:rPr>
                    <w:rFonts w:ascii="Cambria Math" w:hAnsi="Cambria Math" w:cs="Arial"/>
                    <w:lang w:eastAsia="es-CO"/>
                  </w:rPr>
                  <m:t>Y</m:t>
                </m:r>
              </m:sub>
            </m:sSub>
          </m:e>
        </m:nary>
        <m:r>
          <m:rPr>
            <m:sty m:val="bi"/>
          </m:rPr>
          <w:rPr>
            <w:rFonts w:ascii="Cambria Math" w:hAnsi="Cambria Math" w:cs="Arial"/>
            <w:lang w:eastAsia="es-CO"/>
          </w:rPr>
          <m:t xml:space="preserve">x </m:t>
        </m:r>
        <m:sSub>
          <m:sSubPr>
            <m:ctrlPr>
              <w:rPr>
                <w:rFonts w:ascii="Cambria Math" w:hAnsi="Cambria Math" w:cs="Arial"/>
                <w:lang w:eastAsia="es-CO"/>
              </w:rPr>
            </m:ctrlPr>
          </m:sSubPr>
          <m:e>
            <m:r>
              <m:rPr>
                <m:sty m:val="bi"/>
              </m:rPr>
              <w:rPr>
                <w:rFonts w:ascii="Cambria Math" w:hAnsi="Cambria Math" w:cs="Arial"/>
                <w:lang w:eastAsia="es-CO"/>
              </w:rPr>
              <m:t>PV</m:t>
            </m:r>
            <m:r>
              <m:rPr>
                <m:sty m:val="bi"/>
              </m:rPr>
              <w:rPr>
                <w:rFonts w:ascii="Cambria Math" w:hAnsi="Cambria Math" w:cs="Arial"/>
                <w:lang w:eastAsia="es-CO"/>
              </w:rPr>
              <m:t>01</m:t>
            </m:r>
          </m:e>
          <m:sub>
            <m:r>
              <m:rPr>
                <m:sty m:val="bi"/>
              </m:rPr>
              <w:rPr>
                <w:rFonts w:ascii="Cambria Math" w:hAnsi="Cambria Math" w:cs="Arial"/>
                <w:lang w:eastAsia="es-CO"/>
              </w:rPr>
              <m:t>nY</m:t>
            </m:r>
          </m:sub>
        </m:sSub>
      </m:oMath>
    </w:p>
    <w:p w14:paraId="4E4338F1" w14:textId="77777777" w:rsidR="007968EC" w:rsidRPr="005F10B9" w:rsidRDefault="007968EC" w:rsidP="00DA7472">
      <w:pPr>
        <w:numPr>
          <w:ilvl w:val="0"/>
          <w:numId w:val="346"/>
        </w:numPr>
        <w:jc w:val="both"/>
        <w:rPr>
          <w:rFonts w:ascii="Arial Narrow" w:hAnsi="Arial Narrow" w:cs="Arial"/>
          <w:b/>
          <w:lang w:eastAsia="es-CO"/>
        </w:rPr>
      </w:pPr>
      <w:r w:rsidRPr="005F10B9">
        <w:rPr>
          <w:rFonts w:ascii="Arial Narrow" w:hAnsi="Arial Narrow" w:cs="Arial"/>
          <w:lang w:eastAsia="es-CO"/>
        </w:rPr>
        <w:lastRenderedPageBreak/>
        <w:t xml:space="preserve">Para el </w:t>
      </w:r>
      <w:proofErr w:type="spellStart"/>
      <w:r w:rsidRPr="005F10B9">
        <w:rPr>
          <w:rFonts w:ascii="Arial Narrow" w:hAnsi="Arial Narrow" w:cs="Arial"/>
          <w:lang w:eastAsia="es-CO"/>
        </w:rPr>
        <w:t>bucket</w:t>
      </w:r>
      <w:proofErr w:type="spellEnd"/>
      <w:r w:rsidRPr="005F10B9">
        <w:rPr>
          <w:rFonts w:ascii="Arial Narrow" w:hAnsi="Arial Narrow" w:cs="Arial"/>
          <w:lang w:eastAsia="es-CO"/>
        </w:rPr>
        <w:t xml:space="preserve"> de 15Y:  </w:t>
      </w:r>
      <m:oMath>
        <m:r>
          <m:rPr>
            <m:sty m:val="bi"/>
          </m:rPr>
          <w:rPr>
            <w:rFonts w:ascii="Cambria Math" w:hAnsi="Cambria Math" w:cs="Arial"/>
            <w:lang w:eastAsia="es-CO"/>
          </w:rPr>
          <m:t>15</m:t>
        </m:r>
        <m:r>
          <m:rPr>
            <m:sty m:val="bi"/>
          </m:rPr>
          <w:rPr>
            <w:rFonts w:ascii="Cambria Math" w:hAnsi="Cambria Math" w:cs="Arial"/>
            <w:lang w:eastAsia="es-CO"/>
          </w:rPr>
          <m:t>Y=</m:t>
        </m:r>
        <m:nary>
          <m:naryPr>
            <m:chr m:val="∑"/>
            <m:limLoc m:val="undOvr"/>
            <m:ctrlPr>
              <w:rPr>
                <w:rFonts w:ascii="Cambria Math" w:hAnsi="Cambria Math" w:cs="Arial"/>
                <w:lang w:eastAsia="es-CO"/>
              </w:rPr>
            </m:ctrlPr>
          </m:naryPr>
          <m:sub>
            <m:r>
              <m:rPr>
                <m:sty m:val="bi"/>
              </m:rPr>
              <w:rPr>
                <w:rFonts w:ascii="Cambria Math" w:hAnsi="Cambria Math" w:cs="Arial"/>
                <w:lang w:eastAsia="es-CO"/>
              </w:rPr>
              <m:t>n=11</m:t>
            </m:r>
          </m:sub>
          <m:sup>
            <m:r>
              <m:rPr>
                <m:sty m:val="bi"/>
              </m:rPr>
              <w:rPr>
                <w:rFonts w:ascii="Cambria Math" w:hAnsi="Cambria Math" w:cs="Arial"/>
                <w:lang w:eastAsia="es-CO"/>
              </w:rPr>
              <m:t>15</m:t>
            </m:r>
          </m:sup>
          <m:e>
            <m:sSub>
              <m:sSubPr>
                <m:ctrlPr>
                  <w:rPr>
                    <w:rFonts w:ascii="Cambria Math" w:hAnsi="Cambria Math" w:cs="Arial"/>
                    <w:lang w:eastAsia="es-CO"/>
                  </w:rPr>
                </m:ctrlPr>
              </m:sSubPr>
              <m:e>
                <m:r>
                  <m:rPr>
                    <m:sty m:val="bi"/>
                  </m:rPr>
                  <w:rPr>
                    <w:rFonts w:ascii="Cambria Math" w:hAnsi="Cambria Math" w:cs="Arial"/>
                    <w:lang w:eastAsia="es-CO"/>
                  </w:rPr>
                  <m:t>β</m:t>
                </m:r>
              </m:e>
              <m:sub>
                <m:r>
                  <m:rPr>
                    <m:sty m:val="bi"/>
                  </m:rPr>
                  <w:rPr>
                    <w:rFonts w:ascii="Cambria Math" w:hAnsi="Cambria Math" w:cs="Arial"/>
                    <w:lang w:eastAsia="es-CO"/>
                  </w:rPr>
                  <m:t>nY,115</m:t>
                </m:r>
                <m:r>
                  <m:rPr>
                    <m:sty m:val="bi"/>
                  </m:rPr>
                  <w:rPr>
                    <w:rFonts w:ascii="Cambria Math" w:hAnsi="Cambria Math" w:cs="Arial"/>
                    <w:lang w:eastAsia="es-CO"/>
                  </w:rPr>
                  <m:t>Y</m:t>
                </m:r>
              </m:sub>
            </m:sSub>
          </m:e>
        </m:nary>
        <m:r>
          <m:rPr>
            <m:sty m:val="bi"/>
          </m:rPr>
          <w:rPr>
            <w:rFonts w:ascii="Cambria Math" w:hAnsi="Cambria Math" w:cs="Arial"/>
            <w:lang w:eastAsia="es-CO"/>
          </w:rPr>
          <m:t xml:space="preserve">x </m:t>
        </m:r>
        <m:sSub>
          <m:sSubPr>
            <m:ctrlPr>
              <w:rPr>
                <w:rFonts w:ascii="Cambria Math" w:hAnsi="Cambria Math" w:cs="Arial"/>
                <w:lang w:eastAsia="es-CO"/>
              </w:rPr>
            </m:ctrlPr>
          </m:sSubPr>
          <m:e>
            <m:r>
              <m:rPr>
                <m:sty m:val="bi"/>
              </m:rPr>
              <w:rPr>
                <w:rFonts w:ascii="Cambria Math" w:hAnsi="Cambria Math" w:cs="Arial"/>
                <w:lang w:eastAsia="es-CO"/>
              </w:rPr>
              <m:t>PV</m:t>
            </m:r>
            <m:r>
              <m:rPr>
                <m:sty m:val="bi"/>
              </m:rPr>
              <w:rPr>
                <w:rFonts w:ascii="Cambria Math" w:hAnsi="Cambria Math" w:cs="Arial"/>
                <w:lang w:eastAsia="es-CO"/>
              </w:rPr>
              <m:t>01</m:t>
            </m:r>
          </m:e>
          <m:sub>
            <m:r>
              <m:rPr>
                <m:sty m:val="bi"/>
              </m:rPr>
              <w:rPr>
                <w:rFonts w:ascii="Cambria Math" w:hAnsi="Cambria Math" w:cs="Arial"/>
                <w:lang w:eastAsia="es-CO"/>
              </w:rPr>
              <m:t>nY</m:t>
            </m:r>
          </m:sub>
        </m:sSub>
      </m:oMath>
    </w:p>
    <w:p w14:paraId="03EC4F9E" w14:textId="77777777" w:rsidR="007968EC" w:rsidRPr="005F10B9" w:rsidRDefault="007968EC" w:rsidP="007968EC">
      <w:pPr>
        <w:jc w:val="both"/>
        <w:rPr>
          <w:rFonts w:ascii="Arial Narrow" w:hAnsi="Arial Narrow"/>
        </w:rPr>
      </w:pPr>
    </w:p>
    <w:p w14:paraId="1BB7209D" w14:textId="77777777" w:rsidR="007968EC" w:rsidRPr="005F10B9" w:rsidRDefault="007968EC" w:rsidP="007968EC">
      <w:pPr>
        <w:ind w:left="360"/>
        <w:rPr>
          <w:rFonts w:ascii="Arial Narrow" w:hAnsi="Arial Narrow" w:cs="Arial"/>
          <w:b/>
          <w:lang w:eastAsia="es-CO"/>
        </w:rPr>
      </w:pPr>
      <w:r>
        <w:rPr>
          <w:rFonts w:ascii="Arial Narrow" w:hAnsi="Arial Narrow"/>
        </w:rPr>
        <w:t>Respecto al riesgo de tasa de interés s</w:t>
      </w:r>
      <w:r w:rsidRPr="005F10B9">
        <w:rPr>
          <w:rFonts w:ascii="Arial Narrow" w:hAnsi="Arial Narrow"/>
        </w:rPr>
        <w:t>e mapea</w:t>
      </w:r>
      <w:r>
        <w:rPr>
          <w:rFonts w:ascii="Arial Narrow" w:hAnsi="Arial Narrow"/>
        </w:rPr>
        <w:t>rán</w:t>
      </w:r>
      <w:r w:rsidRPr="005F10B9">
        <w:rPr>
          <w:rFonts w:ascii="Arial Narrow" w:hAnsi="Arial Narrow"/>
        </w:rPr>
        <w:t xml:space="preserve"> las sensibilidades de</w:t>
      </w:r>
      <w:r>
        <w:rPr>
          <w:rFonts w:ascii="Arial Narrow" w:hAnsi="Arial Narrow"/>
        </w:rPr>
        <w:t xml:space="preserve"> todas las Posiciones Abiertas </w:t>
      </w:r>
      <w:r w:rsidRPr="005F10B9">
        <w:rPr>
          <w:rFonts w:ascii="Arial Narrow" w:hAnsi="Arial Narrow"/>
        </w:rPr>
        <w:t xml:space="preserve">del Miembro </w:t>
      </w:r>
      <w:r>
        <w:rPr>
          <w:rFonts w:ascii="Arial Narrow" w:hAnsi="Arial Narrow"/>
        </w:rPr>
        <w:t xml:space="preserve">a nivel de cuenta </w:t>
      </w:r>
      <w:r w:rsidRPr="005F10B9">
        <w:rPr>
          <w:rFonts w:ascii="Arial Narrow" w:hAnsi="Arial Narrow"/>
        </w:rPr>
        <w:t xml:space="preserve">(1, 2, 3, 4, 5, 6, 7, 8, 9, 10, 12 y 15 años) a los </w:t>
      </w:r>
      <w:proofErr w:type="spellStart"/>
      <w:r w:rsidRPr="005F10B9">
        <w:rPr>
          <w:rFonts w:ascii="Arial Narrow" w:hAnsi="Arial Narrow"/>
        </w:rPr>
        <w:t>Buckets</w:t>
      </w:r>
      <w:proofErr w:type="spellEnd"/>
      <w:r w:rsidRPr="005F10B9">
        <w:rPr>
          <w:rFonts w:ascii="Arial Narrow" w:hAnsi="Arial Narrow"/>
        </w:rPr>
        <w:t xml:space="preserve"> Analizados (1, 2, 5 10 y 15 años) conservando el PV01.</w:t>
      </w:r>
    </w:p>
    <w:p w14:paraId="5B6AF40F" w14:textId="77777777" w:rsidR="007968EC" w:rsidRPr="005F10B9" w:rsidRDefault="007968EC" w:rsidP="00DA7472">
      <w:pPr>
        <w:numPr>
          <w:ilvl w:val="1"/>
          <w:numId w:val="352"/>
        </w:numPr>
        <w:tabs>
          <w:tab w:val="left" w:pos="709"/>
        </w:tabs>
        <w:ind w:left="709"/>
        <w:rPr>
          <w:rFonts w:ascii="Arial Narrow" w:hAnsi="Arial Narrow" w:cs="Arial"/>
          <w:lang w:eastAsia="es-CO"/>
        </w:rPr>
      </w:pPr>
      <w:r w:rsidRPr="005F10B9">
        <w:rPr>
          <w:rFonts w:ascii="Arial Narrow" w:hAnsi="Arial Narrow" w:cs="Arial"/>
          <w:lang w:eastAsia="es-CO"/>
        </w:rPr>
        <w:t>Nominal equivalente de cobertura.</w:t>
      </w:r>
    </w:p>
    <w:p w14:paraId="3121D92A" w14:textId="77777777" w:rsidR="007968EC" w:rsidRPr="005F10B9" w:rsidRDefault="007968EC" w:rsidP="007968EC">
      <w:pPr>
        <w:jc w:val="both"/>
        <w:rPr>
          <w:rFonts w:ascii="Arial Narrow" w:hAnsi="Arial Narrow"/>
        </w:rPr>
      </w:pPr>
    </w:p>
    <w:p w14:paraId="7A94E171" w14:textId="77777777" w:rsidR="007968EC" w:rsidRPr="005F10B9" w:rsidRDefault="007968EC" w:rsidP="007968EC">
      <w:pPr>
        <w:jc w:val="both"/>
        <w:rPr>
          <w:rFonts w:ascii="Arial Narrow" w:hAnsi="Arial Narrow"/>
        </w:rPr>
      </w:pPr>
      <w:r w:rsidRPr="005F10B9">
        <w:rPr>
          <w:rFonts w:ascii="Arial Narrow" w:hAnsi="Arial Narrow"/>
        </w:rPr>
        <w:t xml:space="preserve">El siguiente paso es calcular el nominal equivalente en </w:t>
      </w:r>
      <w:r>
        <w:rPr>
          <w:rFonts w:ascii="Arial Narrow" w:hAnsi="Arial Narrow"/>
        </w:rPr>
        <w:t>los</w:t>
      </w:r>
      <w:r w:rsidRPr="005F10B9">
        <w:rPr>
          <w:rFonts w:ascii="Arial Narrow" w:hAnsi="Arial Narrow"/>
        </w:rPr>
        <w:t xml:space="preserve"> Swap</w:t>
      </w:r>
      <w:r>
        <w:rPr>
          <w:rFonts w:ascii="Arial Narrow" w:hAnsi="Arial Narrow"/>
        </w:rPr>
        <w:t>s</w:t>
      </w:r>
      <w:r w:rsidRPr="005F10B9">
        <w:rPr>
          <w:rFonts w:ascii="Arial Narrow" w:hAnsi="Arial Narrow"/>
        </w:rPr>
        <w:t xml:space="preserve"> Estándar </w:t>
      </w:r>
      <w:r>
        <w:rPr>
          <w:rFonts w:ascii="Arial Narrow" w:hAnsi="Arial Narrow"/>
        </w:rPr>
        <w:t>utilizados en las</w:t>
      </w:r>
      <w:r w:rsidRPr="005F10B9">
        <w:rPr>
          <w:rFonts w:ascii="Arial Narrow" w:hAnsi="Arial Narrow"/>
        </w:rPr>
        <w:t xml:space="preserve"> operaciones de cobertura. Para ello es necesario calcular la sensibilidad de es</w:t>
      </w:r>
      <w:r>
        <w:rPr>
          <w:rFonts w:ascii="Arial Narrow" w:hAnsi="Arial Narrow"/>
        </w:rPr>
        <w:t>tos</w:t>
      </w:r>
      <w:r w:rsidRPr="005F10B9">
        <w:rPr>
          <w:rFonts w:ascii="Arial Narrow" w:hAnsi="Arial Narrow"/>
        </w:rPr>
        <w:t xml:space="preserve"> Swap</w:t>
      </w:r>
      <w:r>
        <w:rPr>
          <w:rFonts w:ascii="Arial Narrow" w:hAnsi="Arial Narrow"/>
        </w:rPr>
        <w:t>s</w:t>
      </w:r>
      <w:r w:rsidRPr="005F10B9">
        <w:rPr>
          <w:rFonts w:ascii="Arial Narrow" w:hAnsi="Arial Narrow"/>
        </w:rPr>
        <w:t xml:space="preserve"> Estándar.</w:t>
      </w:r>
    </w:p>
    <w:p w14:paraId="3C99AD4D" w14:textId="77777777" w:rsidR="007968EC" w:rsidRPr="005F10B9" w:rsidRDefault="007968EC" w:rsidP="007968EC">
      <w:pPr>
        <w:jc w:val="both"/>
        <w:rPr>
          <w:rFonts w:ascii="Arial Narrow" w:hAnsi="Arial Narrow"/>
        </w:rPr>
      </w:pPr>
    </w:p>
    <w:p w14:paraId="6E9A498C" w14:textId="77777777" w:rsidR="007968EC" w:rsidRPr="005F10B9" w:rsidRDefault="007968EC" w:rsidP="007968EC">
      <w:pPr>
        <w:jc w:val="both"/>
        <w:rPr>
          <w:rFonts w:ascii="Arial Narrow" w:hAnsi="Arial Narrow"/>
        </w:rPr>
      </w:pPr>
      <w:r w:rsidRPr="005F10B9">
        <w:rPr>
          <w:rFonts w:ascii="Arial Narrow" w:hAnsi="Arial Narrow"/>
        </w:rPr>
        <w:t xml:space="preserve">El siguiente paso consiste en calcular el Ratio de Cobertura (RC), que es el cociente de sensibilidades entre la posición a cubrir (la de cuenta) en el </w:t>
      </w:r>
      <w:proofErr w:type="spellStart"/>
      <w:r w:rsidRPr="005F10B9">
        <w:rPr>
          <w:rFonts w:ascii="Arial Narrow" w:hAnsi="Arial Narrow"/>
        </w:rPr>
        <w:t>Bucket</w:t>
      </w:r>
      <w:proofErr w:type="spellEnd"/>
      <w:r w:rsidRPr="005F10B9">
        <w:rPr>
          <w:rFonts w:ascii="Arial Narrow" w:hAnsi="Arial Narrow"/>
        </w:rPr>
        <w:t xml:space="preserve"> en el que se ha simplificado la posición y la sensibilidad de</w:t>
      </w:r>
      <w:r>
        <w:rPr>
          <w:rFonts w:ascii="Arial Narrow" w:hAnsi="Arial Narrow"/>
        </w:rPr>
        <w:t xml:space="preserve"> </w:t>
      </w:r>
      <w:r w:rsidRPr="005F10B9">
        <w:rPr>
          <w:rFonts w:ascii="Arial Narrow" w:hAnsi="Arial Narrow"/>
        </w:rPr>
        <w:t>l</w:t>
      </w:r>
      <w:r>
        <w:rPr>
          <w:rFonts w:ascii="Arial Narrow" w:hAnsi="Arial Narrow"/>
        </w:rPr>
        <w:t>os</w:t>
      </w:r>
      <w:r w:rsidRPr="005F10B9">
        <w:rPr>
          <w:rFonts w:ascii="Arial Narrow" w:hAnsi="Arial Narrow"/>
        </w:rPr>
        <w:t xml:space="preserve"> Swap</w:t>
      </w:r>
      <w:r>
        <w:rPr>
          <w:rFonts w:ascii="Arial Narrow" w:hAnsi="Arial Narrow"/>
        </w:rPr>
        <w:t>s</w:t>
      </w:r>
      <w:r w:rsidRPr="005F10B9">
        <w:rPr>
          <w:rFonts w:ascii="Arial Narrow" w:hAnsi="Arial Narrow"/>
        </w:rPr>
        <w:t xml:space="preserve"> Estándar de cobertura, </w:t>
      </w:r>
      <w:r>
        <w:rPr>
          <w:rFonts w:ascii="Arial Narrow" w:hAnsi="Arial Narrow"/>
        </w:rPr>
        <w:t xml:space="preserve">para cada Curva Cero </w:t>
      </w:r>
      <w:proofErr w:type="gramStart"/>
      <w:r>
        <w:rPr>
          <w:rFonts w:ascii="Arial Narrow" w:hAnsi="Arial Narrow"/>
        </w:rPr>
        <w:t xml:space="preserve">Cupón  </w:t>
      </w:r>
      <w:r w:rsidRPr="005F10B9">
        <w:rPr>
          <w:rFonts w:ascii="Arial Narrow" w:hAnsi="Arial Narrow"/>
        </w:rPr>
        <w:t>de</w:t>
      </w:r>
      <w:proofErr w:type="gramEnd"/>
      <w:r w:rsidRPr="005F10B9">
        <w:rPr>
          <w:rFonts w:ascii="Arial Narrow" w:hAnsi="Arial Narrow"/>
        </w:rPr>
        <w:t xml:space="preserve"> acuerdo </w:t>
      </w:r>
      <w:r>
        <w:rPr>
          <w:rFonts w:ascii="Arial Narrow" w:hAnsi="Arial Narrow"/>
        </w:rPr>
        <w:t>con la</w:t>
      </w:r>
      <w:r w:rsidRPr="005F10B9">
        <w:rPr>
          <w:rFonts w:ascii="Arial Narrow" w:hAnsi="Arial Narrow"/>
        </w:rPr>
        <w:t xml:space="preserve"> siguiente fórmula:</w:t>
      </w:r>
    </w:p>
    <w:p w14:paraId="30047340" w14:textId="77777777" w:rsidR="007968EC" w:rsidRDefault="007968EC" w:rsidP="007968EC">
      <w:pPr>
        <w:rPr>
          <w:rFonts w:ascii="Arial Narrow" w:hAnsi="Arial Narrow"/>
        </w:rPr>
      </w:pPr>
    </w:p>
    <w:p w14:paraId="35C62D9A" w14:textId="77777777" w:rsidR="007968EC" w:rsidRPr="005F10B9" w:rsidRDefault="007968EC" w:rsidP="007968EC">
      <w:pPr>
        <w:rPr>
          <w:rFonts w:ascii="Arial Narrow" w:hAnsi="Arial Narrow"/>
        </w:rPr>
      </w:pPr>
    </w:p>
    <w:p w14:paraId="0ED02E23" w14:textId="77777777" w:rsidR="007968EC" w:rsidRPr="005F10B9" w:rsidRDefault="007968EC" w:rsidP="007968EC">
      <w:pPr>
        <w:rPr>
          <w:rFonts w:ascii="Arial Narrow" w:hAnsi="Arial Narrow"/>
        </w:rPr>
      </w:pPr>
      <m:oMathPara>
        <m:oMath>
          <m:r>
            <m:rPr>
              <m:sty m:val="bi"/>
            </m:rPr>
            <w:rPr>
              <w:rFonts w:ascii="Cambria Math" w:hAnsi="Cambria Math"/>
            </w:rPr>
            <m:t>RC=</m:t>
          </m:r>
          <m:f>
            <m:fPr>
              <m:ctrlPr>
                <w:rPr>
                  <w:rFonts w:ascii="Cambria Math" w:hAnsi="Cambria Math"/>
                </w:rPr>
              </m:ctrlPr>
            </m:fPr>
            <m:num>
              <m:sSub>
                <m:sSubPr>
                  <m:ctrlPr>
                    <w:rPr>
                      <w:rFonts w:ascii="Cambria Math" w:hAnsi="Cambria Math"/>
                    </w:rPr>
                  </m:ctrlPr>
                </m:sSubPr>
                <m:e>
                  <m:r>
                    <m:rPr>
                      <m:sty m:val="bi"/>
                    </m:rPr>
                    <w:rPr>
                      <w:rFonts w:ascii="Cambria Math" w:hAnsi="Cambria Math"/>
                    </w:rPr>
                    <m:t>PV</m:t>
                  </m:r>
                  <m:r>
                    <m:rPr>
                      <m:sty m:val="bi"/>
                    </m:rPr>
                    <w:rPr>
                      <w:rFonts w:ascii="Cambria Math" w:hAnsi="Cambria Math"/>
                    </w:rPr>
                    <m:t>01</m:t>
                  </m:r>
                </m:e>
                <m:sub>
                  <m:r>
                    <m:rPr>
                      <m:sty m:val="bi"/>
                    </m:rPr>
                    <w:rPr>
                      <w:rFonts w:ascii="Cambria Math" w:hAnsi="Cambria Math"/>
                    </w:rPr>
                    <m:t>de la cuenta en bucket nYr</m:t>
                  </m:r>
                </m:sub>
              </m:sSub>
            </m:num>
            <m:den>
              <m:r>
                <m:rPr>
                  <m:sty m:val="bi"/>
                </m:rPr>
                <w:rPr>
                  <w:rFonts w:ascii="Cambria Math" w:hAnsi="Cambria Math"/>
                </w:rPr>
                <m:t>Sensibilidad de IRS de cobertura</m:t>
              </m:r>
            </m:den>
          </m:f>
          <m:r>
            <m:rPr>
              <m:sty m:val="bi"/>
            </m:rPr>
            <w:rPr>
              <w:rFonts w:ascii="Cambria Math" w:hAnsi="Cambria Math"/>
            </w:rPr>
            <m:t xml:space="preserve">  </m:t>
          </m:r>
        </m:oMath>
      </m:oMathPara>
    </w:p>
    <w:p w14:paraId="6386A93D" w14:textId="77777777" w:rsidR="007968EC" w:rsidRPr="005F10B9" w:rsidRDefault="007968EC" w:rsidP="007968EC">
      <w:pPr>
        <w:rPr>
          <w:rFonts w:ascii="Arial Narrow" w:hAnsi="Arial Narrow"/>
        </w:rPr>
      </w:pPr>
    </w:p>
    <w:p w14:paraId="40176FAA" w14:textId="77777777" w:rsidR="007968EC" w:rsidRPr="005F10B9" w:rsidRDefault="007968EC" w:rsidP="007968EC">
      <w:pPr>
        <w:rPr>
          <w:rFonts w:ascii="Arial Narrow" w:hAnsi="Arial Narrow"/>
        </w:rPr>
      </w:pPr>
    </w:p>
    <w:p w14:paraId="5E2392D0" w14:textId="77777777" w:rsidR="007968EC" w:rsidRPr="005F10B9" w:rsidRDefault="007968EC" w:rsidP="007968EC">
      <w:pPr>
        <w:jc w:val="both"/>
        <w:rPr>
          <w:rFonts w:ascii="Arial Narrow" w:hAnsi="Arial Narrow"/>
        </w:rPr>
      </w:pPr>
      <w:r w:rsidRPr="005F10B9">
        <w:rPr>
          <w:rFonts w:ascii="Arial Narrow" w:hAnsi="Arial Narrow"/>
        </w:rPr>
        <w:t xml:space="preserve">El Nominal equivalente de cobertura será el Ratio de cobertura de cada </w:t>
      </w:r>
      <w:proofErr w:type="spellStart"/>
      <w:r w:rsidRPr="005F10B9">
        <w:rPr>
          <w:rFonts w:ascii="Arial Narrow" w:hAnsi="Arial Narrow"/>
        </w:rPr>
        <w:t>Bucket</w:t>
      </w:r>
      <w:proofErr w:type="spellEnd"/>
      <w:r w:rsidRPr="005F10B9">
        <w:rPr>
          <w:rFonts w:ascii="Arial Narrow" w:hAnsi="Arial Narrow"/>
        </w:rPr>
        <w:t xml:space="preserve"> analizado multiplicado por </w:t>
      </w:r>
      <w:r>
        <w:rPr>
          <w:rFonts w:ascii="Arial Narrow" w:hAnsi="Arial Narrow"/>
        </w:rPr>
        <w:t>el nominal del Swap Estándar.</w:t>
      </w:r>
    </w:p>
    <w:p w14:paraId="15C42F66" w14:textId="77777777" w:rsidR="007968EC" w:rsidRPr="005F10B9" w:rsidRDefault="007968EC" w:rsidP="007968EC">
      <w:pPr>
        <w:jc w:val="both"/>
        <w:rPr>
          <w:rFonts w:ascii="Arial Narrow" w:hAnsi="Arial Narrow"/>
        </w:rPr>
      </w:pPr>
    </w:p>
    <w:p w14:paraId="225B1CDF" w14:textId="77777777" w:rsidR="007968EC" w:rsidRDefault="007968EC" w:rsidP="007968EC">
      <w:pPr>
        <w:jc w:val="both"/>
        <w:rPr>
          <w:rFonts w:ascii="Arial Narrow" w:hAnsi="Arial Narrow"/>
        </w:rPr>
      </w:pPr>
      <w:r w:rsidRPr="005F10B9">
        <w:rPr>
          <w:rFonts w:ascii="Arial Narrow" w:hAnsi="Arial Narrow"/>
        </w:rPr>
        <w:t xml:space="preserve">El Swap Estándar de cada </w:t>
      </w:r>
      <w:proofErr w:type="spellStart"/>
      <w:r w:rsidRPr="005F10B9">
        <w:rPr>
          <w:rFonts w:ascii="Arial Narrow" w:hAnsi="Arial Narrow"/>
        </w:rPr>
        <w:t>bucket</w:t>
      </w:r>
      <w:proofErr w:type="spellEnd"/>
      <w:r w:rsidRPr="005F10B9">
        <w:rPr>
          <w:rFonts w:ascii="Arial Narrow" w:hAnsi="Arial Narrow"/>
        </w:rPr>
        <w:t xml:space="preserve"> </w:t>
      </w:r>
      <w:r>
        <w:rPr>
          <w:rFonts w:ascii="Arial Narrow" w:hAnsi="Arial Narrow"/>
        </w:rPr>
        <w:t xml:space="preserve">deberá anular la sensibilidad </w:t>
      </w:r>
      <w:r w:rsidRPr="005F10B9">
        <w:rPr>
          <w:rFonts w:ascii="Arial Narrow" w:hAnsi="Arial Narrow"/>
        </w:rPr>
        <w:t xml:space="preserve">de la </w:t>
      </w:r>
      <w:r>
        <w:rPr>
          <w:rFonts w:ascii="Arial Narrow" w:hAnsi="Arial Narrow"/>
        </w:rPr>
        <w:t xml:space="preserve">Posición Abierta </w:t>
      </w:r>
      <w:r w:rsidRPr="005F10B9">
        <w:rPr>
          <w:rFonts w:ascii="Arial Narrow" w:hAnsi="Arial Narrow"/>
        </w:rPr>
        <w:t>a cubrir, compensándose ambas sensibilidades.</w:t>
      </w:r>
    </w:p>
    <w:p w14:paraId="1C6F4F10" w14:textId="77777777" w:rsidR="007968EC" w:rsidRPr="005F10B9" w:rsidRDefault="007968EC" w:rsidP="007968EC">
      <w:pPr>
        <w:jc w:val="both"/>
        <w:rPr>
          <w:rFonts w:ascii="Arial Narrow" w:hAnsi="Arial Narrow"/>
        </w:rPr>
      </w:pPr>
    </w:p>
    <w:p w14:paraId="7538C731" w14:textId="77777777" w:rsidR="007968EC" w:rsidRPr="005F10B9" w:rsidRDefault="007968EC" w:rsidP="00DA7472">
      <w:pPr>
        <w:numPr>
          <w:ilvl w:val="1"/>
          <w:numId w:val="352"/>
        </w:numPr>
        <w:tabs>
          <w:tab w:val="left" w:pos="709"/>
        </w:tabs>
        <w:ind w:left="709"/>
        <w:rPr>
          <w:rFonts w:ascii="Arial Narrow" w:hAnsi="Arial Narrow" w:cs="Arial"/>
          <w:b/>
          <w:lang w:eastAsia="es-CO"/>
        </w:rPr>
      </w:pPr>
      <w:r w:rsidRPr="005F10B9">
        <w:rPr>
          <w:rFonts w:ascii="Arial Narrow" w:hAnsi="Arial Narrow" w:cs="Arial"/>
          <w:lang w:eastAsia="es-CO"/>
        </w:rPr>
        <w:t>Cálculo del sobrecosto por liquidez.</w:t>
      </w:r>
    </w:p>
    <w:p w14:paraId="1E3E8D5A" w14:textId="77777777" w:rsidR="007968EC" w:rsidRPr="005F10B9" w:rsidRDefault="007968EC" w:rsidP="007968EC">
      <w:pPr>
        <w:jc w:val="both"/>
        <w:rPr>
          <w:rFonts w:ascii="Arial Narrow" w:hAnsi="Arial Narrow"/>
        </w:rPr>
      </w:pPr>
    </w:p>
    <w:p w14:paraId="60C1748F" w14:textId="77777777" w:rsidR="007968EC" w:rsidRPr="005F10B9" w:rsidRDefault="007968EC" w:rsidP="007968EC">
      <w:pPr>
        <w:jc w:val="both"/>
        <w:rPr>
          <w:rFonts w:ascii="Arial Narrow" w:hAnsi="Arial Narrow"/>
        </w:rPr>
      </w:pPr>
      <w:r w:rsidRPr="005F10B9">
        <w:rPr>
          <w:rFonts w:ascii="Arial Narrow" w:hAnsi="Arial Narrow"/>
        </w:rPr>
        <w:t xml:space="preserve">Si en un </w:t>
      </w:r>
      <w:proofErr w:type="spellStart"/>
      <w:r w:rsidRPr="005F10B9">
        <w:rPr>
          <w:rFonts w:ascii="Arial Narrow" w:hAnsi="Arial Narrow"/>
        </w:rPr>
        <w:t>Bucket</w:t>
      </w:r>
      <w:proofErr w:type="spellEnd"/>
      <w:r w:rsidRPr="005F10B9">
        <w:rPr>
          <w:rFonts w:ascii="Arial Narrow" w:hAnsi="Arial Narrow"/>
        </w:rPr>
        <w:t xml:space="preserve"> analizado, el Nominal equivalente de cobertura es mayor que el tamaño estándar</w:t>
      </w:r>
      <w:r>
        <w:rPr>
          <w:rFonts w:ascii="Arial Narrow" w:hAnsi="Arial Narrow"/>
        </w:rPr>
        <w:t xml:space="preserve"> del mercado</w:t>
      </w:r>
      <w:r w:rsidRPr="005F10B9">
        <w:rPr>
          <w:rFonts w:ascii="Arial Narrow" w:hAnsi="Arial Narrow"/>
        </w:rPr>
        <w:t xml:space="preserve">, se necesitará un </w:t>
      </w:r>
      <w:r>
        <w:rPr>
          <w:rFonts w:ascii="Arial Narrow" w:hAnsi="Arial Narrow"/>
        </w:rPr>
        <w:t>a</w:t>
      </w:r>
      <w:r w:rsidRPr="005F10B9">
        <w:rPr>
          <w:rFonts w:ascii="Arial Narrow" w:hAnsi="Arial Narrow"/>
        </w:rPr>
        <w:t xml:space="preserve">juste de la garantía Inicial por Tamaño de la Posición en ese </w:t>
      </w:r>
      <w:proofErr w:type="spellStart"/>
      <w:r w:rsidRPr="005F10B9">
        <w:rPr>
          <w:rFonts w:ascii="Arial Narrow" w:hAnsi="Arial Narrow"/>
        </w:rPr>
        <w:t>Bucket</w:t>
      </w:r>
      <w:proofErr w:type="spellEnd"/>
      <w:r w:rsidRPr="005F10B9">
        <w:rPr>
          <w:rFonts w:ascii="Arial Narrow" w:hAnsi="Arial Narrow"/>
        </w:rPr>
        <w:t xml:space="preserve">. Si es igual o menor al tamaño estándar </w:t>
      </w:r>
      <w:r>
        <w:rPr>
          <w:rFonts w:ascii="Arial Narrow" w:hAnsi="Arial Narrow"/>
        </w:rPr>
        <w:t>se realizará un ajuste</w:t>
      </w:r>
      <w:r w:rsidRPr="005F10B9">
        <w:rPr>
          <w:rFonts w:ascii="Arial Narrow" w:hAnsi="Arial Narrow"/>
        </w:rPr>
        <w:t xml:space="preserve"> </w:t>
      </w:r>
      <w:r>
        <w:rPr>
          <w:rFonts w:ascii="Arial Narrow" w:hAnsi="Arial Narrow"/>
        </w:rPr>
        <w:t xml:space="preserve">por </w:t>
      </w:r>
      <w:r w:rsidRPr="005F10B9">
        <w:rPr>
          <w:rFonts w:ascii="Arial Narrow" w:hAnsi="Arial Narrow"/>
        </w:rPr>
        <w:t xml:space="preserve">el denominado “Riesgo de </w:t>
      </w:r>
      <w:proofErr w:type="spellStart"/>
      <w:r w:rsidRPr="005F10B9">
        <w:rPr>
          <w:rFonts w:ascii="Arial Narrow" w:hAnsi="Arial Narrow"/>
        </w:rPr>
        <w:t>Bid-Offer</w:t>
      </w:r>
      <w:proofErr w:type="spellEnd"/>
      <w:r w:rsidRPr="005F10B9">
        <w:rPr>
          <w:rFonts w:ascii="Arial Narrow" w:hAnsi="Arial Narrow"/>
        </w:rPr>
        <w:t xml:space="preserve"> Spread”.</w:t>
      </w:r>
    </w:p>
    <w:p w14:paraId="78A17AFF" w14:textId="77777777" w:rsidR="007968EC" w:rsidRDefault="007968EC" w:rsidP="007968EC">
      <w:pPr>
        <w:jc w:val="both"/>
        <w:rPr>
          <w:rFonts w:ascii="Arial Narrow" w:hAnsi="Arial Narrow"/>
        </w:rPr>
      </w:pPr>
    </w:p>
    <w:p w14:paraId="65F87BCD" w14:textId="77777777" w:rsidR="007968EC" w:rsidRPr="005F10B9" w:rsidRDefault="007968EC" w:rsidP="007968EC">
      <w:pPr>
        <w:jc w:val="both"/>
        <w:rPr>
          <w:rFonts w:ascii="Arial Narrow" w:hAnsi="Arial Narrow"/>
        </w:rPr>
      </w:pPr>
      <w:r w:rsidRPr="005F10B9">
        <w:rPr>
          <w:rFonts w:ascii="Arial Narrow" w:hAnsi="Arial Narrow"/>
        </w:rPr>
        <w:t>Este sobrecosto se calcula de la siguiente manera:</w:t>
      </w:r>
    </w:p>
    <w:p w14:paraId="08B2485C" w14:textId="77777777" w:rsidR="007968EC" w:rsidRPr="005F10B9" w:rsidRDefault="007968EC" w:rsidP="007968EC">
      <w:pPr>
        <w:jc w:val="both"/>
        <w:rPr>
          <w:rFonts w:ascii="Arial Narrow" w:hAnsi="Arial Narrow"/>
        </w:rPr>
      </w:pPr>
    </w:p>
    <w:p w14:paraId="3A8E9F94" w14:textId="77777777" w:rsidR="007968EC" w:rsidRPr="005F10B9" w:rsidRDefault="007968EC" w:rsidP="00DA7472">
      <w:pPr>
        <w:numPr>
          <w:ilvl w:val="0"/>
          <w:numId w:val="353"/>
        </w:numPr>
        <w:tabs>
          <w:tab w:val="left" w:pos="567"/>
        </w:tabs>
        <w:ind w:left="1134"/>
        <w:rPr>
          <w:rFonts w:ascii="Arial Narrow" w:hAnsi="Arial Narrow" w:cs="Arial"/>
          <w:lang w:eastAsia="es-CO"/>
        </w:rPr>
      </w:pPr>
      <w:r w:rsidRPr="005F10B9">
        <w:rPr>
          <w:rFonts w:ascii="Arial Narrow" w:hAnsi="Arial Narrow" w:cs="Arial"/>
          <w:lang w:eastAsia="es-CO"/>
        </w:rPr>
        <w:t>Encuesta a Miembros. Capacidad del mercado y sobrecosto de iliquidez en puntos básicos</w:t>
      </w:r>
      <w:r>
        <w:rPr>
          <w:rFonts w:ascii="Arial Narrow" w:hAnsi="Arial Narrow" w:cs="Arial"/>
          <w:lang w:eastAsia="es-CO"/>
        </w:rPr>
        <w:t>, para cada Curva Cero Cupón.</w:t>
      </w:r>
    </w:p>
    <w:p w14:paraId="0C8CC66A" w14:textId="77777777" w:rsidR="007968EC" w:rsidRPr="005F10B9" w:rsidRDefault="007968EC" w:rsidP="007968EC">
      <w:pPr>
        <w:jc w:val="both"/>
        <w:rPr>
          <w:rFonts w:ascii="Arial Narrow" w:hAnsi="Arial Narrow"/>
        </w:rPr>
      </w:pPr>
    </w:p>
    <w:p w14:paraId="0FA4753A" w14:textId="77777777" w:rsidR="007968EC" w:rsidRDefault="007968EC" w:rsidP="007968EC">
      <w:pPr>
        <w:jc w:val="both"/>
        <w:rPr>
          <w:rFonts w:ascii="Arial Narrow" w:hAnsi="Arial Narrow" w:cs="Arial"/>
          <w:lang w:eastAsia="es-CO"/>
        </w:rPr>
      </w:pPr>
      <w:r w:rsidRPr="005F10B9">
        <w:rPr>
          <w:rFonts w:ascii="Arial Narrow" w:hAnsi="Arial Narrow"/>
        </w:rPr>
        <w:t xml:space="preserve">La Cámara con periodicidad mínimo anual, realizará una “Encuesta” a los Miembros del Segmento Swaps para que éstos estimen el volumen estándar que el mercado puede absorber en condiciones normales en cada </w:t>
      </w:r>
      <w:proofErr w:type="spellStart"/>
      <w:r w:rsidRPr="005F10B9">
        <w:rPr>
          <w:rFonts w:ascii="Arial Narrow" w:hAnsi="Arial Narrow"/>
        </w:rPr>
        <w:t>Bucket</w:t>
      </w:r>
      <w:proofErr w:type="spellEnd"/>
      <w:r w:rsidRPr="005F10B9">
        <w:rPr>
          <w:rFonts w:ascii="Arial Narrow" w:hAnsi="Arial Narrow"/>
        </w:rPr>
        <w:t xml:space="preserve"> analizado. En dicha encuesta se preguntará el sobrecosto en puntos básicos que supondría cerrar múltiplos de nominales X veces superiores a los del volumen estándar. Por ejemplo, los puntos básicos que costaría cerrar 5 veces (x5) el nominal máximo asumible por el mercado por </w:t>
      </w:r>
      <w:proofErr w:type="spellStart"/>
      <w:r w:rsidRPr="005F10B9">
        <w:rPr>
          <w:rFonts w:ascii="Arial Narrow" w:hAnsi="Arial Narrow"/>
        </w:rPr>
        <w:t>Bucket</w:t>
      </w:r>
      <w:proofErr w:type="spellEnd"/>
      <w:r w:rsidRPr="005F10B9">
        <w:rPr>
          <w:rFonts w:ascii="Arial Narrow" w:hAnsi="Arial Narrow"/>
        </w:rPr>
        <w:t xml:space="preserve"> analizado. Una vez la Cámara reciba la respuesta de los Miembros del Segmento con las encuestas diligenciadas, promediará </w:t>
      </w:r>
      <w:r w:rsidRPr="005F10B9">
        <w:rPr>
          <w:rFonts w:ascii="Arial Narrow" w:hAnsi="Arial Narrow"/>
        </w:rPr>
        <w:lastRenderedPageBreak/>
        <w:t xml:space="preserve">los datos correspondientes a la información recibida para determinar el </w:t>
      </w:r>
      <w:r w:rsidRPr="005F10B9">
        <w:rPr>
          <w:rFonts w:ascii="Arial Narrow" w:hAnsi="Arial Narrow" w:cs="Arial"/>
          <w:lang w:eastAsia="es-CO"/>
        </w:rPr>
        <w:t xml:space="preserve">sobrecosto de iliquidez en puntos básicos a aplicar. </w:t>
      </w:r>
      <w:r w:rsidRPr="005F10B9">
        <w:rPr>
          <w:rFonts w:ascii="Arial Narrow" w:hAnsi="Arial Narrow"/>
        </w:rPr>
        <w:t>En caso de no recibir respuesta de los Miembros del Segmento Swaps en el plazo establecido por la Cámara, la Cámara podrá mantener los datos recibidos de la última encuesta y promediarlos o podrá modificarlos, así como la metodología de cálculo, en caso de estimarlo necesario.</w:t>
      </w:r>
      <w:r w:rsidRPr="005F10B9">
        <w:rPr>
          <w:rFonts w:ascii="Arial Narrow" w:hAnsi="Arial Narrow" w:cs="Arial"/>
          <w:lang w:eastAsia="es-CO"/>
        </w:rPr>
        <w:t xml:space="preserve"> </w:t>
      </w:r>
    </w:p>
    <w:p w14:paraId="3331E5B2" w14:textId="77777777" w:rsidR="007968EC" w:rsidRDefault="007968EC" w:rsidP="007968EC">
      <w:pPr>
        <w:jc w:val="both"/>
        <w:rPr>
          <w:rFonts w:ascii="Arial Narrow" w:hAnsi="Arial Narrow"/>
        </w:rPr>
      </w:pPr>
    </w:p>
    <w:p w14:paraId="1C45BD46" w14:textId="77777777" w:rsidR="007968EC" w:rsidRPr="005F10B9" w:rsidRDefault="007968EC" w:rsidP="007968EC">
      <w:pPr>
        <w:jc w:val="both"/>
        <w:rPr>
          <w:rFonts w:ascii="Arial Narrow" w:hAnsi="Arial Narrow"/>
        </w:rPr>
      </w:pPr>
      <w:r>
        <w:rPr>
          <w:rFonts w:ascii="Arial Narrow" w:hAnsi="Arial Narrow" w:cs="Arial"/>
          <w:lang w:eastAsia="es-CO"/>
        </w:rPr>
        <w:t xml:space="preserve">Para los Swaps de moneda, en </w:t>
      </w:r>
      <w:r w:rsidRPr="005F10B9">
        <w:rPr>
          <w:rFonts w:ascii="Arial Narrow" w:hAnsi="Arial Narrow"/>
        </w:rPr>
        <w:t>dicha encuesta se preguntará el sobrecosto</w:t>
      </w:r>
      <w:r>
        <w:rPr>
          <w:rFonts w:ascii="Arial Narrow" w:hAnsi="Arial Narrow"/>
        </w:rPr>
        <w:t xml:space="preserve"> en las cotizaciones de compra y venta para </w:t>
      </w:r>
      <w:r w:rsidRPr="005F10B9">
        <w:rPr>
          <w:rFonts w:ascii="Arial Narrow" w:hAnsi="Arial Narrow"/>
        </w:rPr>
        <w:t>cerrar múltiplos de nominales X veces superiores a los del volumen estándar</w:t>
      </w:r>
    </w:p>
    <w:p w14:paraId="3A7AF794" w14:textId="77777777" w:rsidR="007968EC" w:rsidRPr="005F10B9" w:rsidRDefault="007968EC" w:rsidP="007968EC">
      <w:pPr>
        <w:jc w:val="both"/>
        <w:rPr>
          <w:rFonts w:ascii="Arial Narrow" w:hAnsi="Arial Narrow"/>
        </w:rPr>
      </w:pPr>
    </w:p>
    <w:p w14:paraId="1A78B7BE" w14:textId="77777777" w:rsidR="007968EC" w:rsidRPr="005F10B9" w:rsidRDefault="007968EC" w:rsidP="00DA7472">
      <w:pPr>
        <w:numPr>
          <w:ilvl w:val="0"/>
          <w:numId w:val="353"/>
        </w:numPr>
        <w:tabs>
          <w:tab w:val="left" w:pos="567"/>
        </w:tabs>
        <w:ind w:left="1134"/>
        <w:rPr>
          <w:rFonts w:ascii="Arial Narrow" w:hAnsi="Arial Narrow" w:cs="Arial"/>
          <w:b/>
          <w:lang w:eastAsia="es-CO"/>
        </w:rPr>
      </w:pPr>
      <w:r w:rsidRPr="005F10B9">
        <w:rPr>
          <w:rFonts w:ascii="Arial Narrow" w:hAnsi="Arial Narrow" w:cs="Arial"/>
          <w:lang w:eastAsia="es-CO"/>
        </w:rPr>
        <w:t xml:space="preserve">Cálculo del sobrecosto por iliquidez para cada </w:t>
      </w:r>
      <w:proofErr w:type="spellStart"/>
      <w:r w:rsidRPr="005F10B9">
        <w:rPr>
          <w:rFonts w:ascii="Arial Narrow" w:hAnsi="Arial Narrow" w:cs="Arial"/>
          <w:lang w:eastAsia="es-CO"/>
        </w:rPr>
        <w:t>Bucket</w:t>
      </w:r>
      <w:proofErr w:type="spellEnd"/>
      <w:r w:rsidRPr="005F10B9">
        <w:rPr>
          <w:rFonts w:ascii="Arial Narrow" w:hAnsi="Arial Narrow" w:cs="Arial"/>
          <w:lang w:eastAsia="es-CO"/>
        </w:rPr>
        <w:t xml:space="preserve"> analizado.</w:t>
      </w:r>
    </w:p>
    <w:p w14:paraId="242DB8BC" w14:textId="77777777" w:rsidR="007968EC" w:rsidRPr="005F10B9" w:rsidRDefault="007968EC" w:rsidP="007968EC">
      <w:pPr>
        <w:rPr>
          <w:rFonts w:ascii="Arial Narrow" w:hAnsi="Arial Narrow"/>
        </w:rPr>
      </w:pPr>
    </w:p>
    <w:p w14:paraId="0914CD6E" w14:textId="77777777" w:rsidR="007968EC" w:rsidRPr="005F10B9" w:rsidRDefault="007968EC" w:rsidP="007968EC">
      <w:pPr>
        <w:rPr>
          <w:rFonts w:ascii="Arial Narrow" w:hAnsi="Arial Narrow"/>
        </w:rPr>
      </w:pPr>
      <w:r w:rsidRPr="005F10B9">
        <w:rPr>
          <w:rFonts w:ascii="Arial Narrow" w:hAnsi="Arial Narrow"/>
        </w:rPr>
        <w:t xml:space="preserve">Con el resultado de la “Encuesta” a los Miembros se obtiene el sobrecosto por liquidez para cada </w:t>
      </w:r>
      <w:proofErr w:type="spellStart"/>
      <w:r w:rsidRPr="005F10B9">
        <w:rPr>
          <w:rFonts w:ascii="Arial Narrow" w:hAnsi="Arial Narrow"/>
        </w:rPr>
        <w:t>Bucket</w:t>
      </w:r>
      <w:proofErr w:type="spellEnd"/>
      <w:r w:rsidRPr="005F10B9">
        <w:rPr>
          <w:rFonts w:ascii="Arial Narrow" w:hAnsi="Arial Narrow"/>
        </w:rPr>
        <w:t xml:space="preserve"> analizado y Nominal de </w:t>
      </w:r>
      <w:r>
        <w:rPr>
          <w:rFonts w:ascii="Arial Narrow" w:hAnsi="Arial Narrow"/>
        </w:rPr>
        <w:t xml:space="preserve">las </w:t>
      </w:r>
      <w:r w:rsidRPr="005F10B9">
        <w:rPr>
          <w:rFonts w:ascii="Arial Narrow" w:hAnsi="Arial Narrow"/>
        </w:rPr>
        <w:t>Operaci</w:t>
      </w:r>
      <w:r>
        <w:rPr>
          <w:rFonts w:ascii="Arial Narrow" w:hAnsi="Arial Narrow"/>
        </w:rPr>
        <w:t>o</w:t>
      </w:r>
      <w:r w:rsidRPr="005F10B9">
        <w:rPr>
          <w:rFonts w:ascii="Arial Narrow" w:hAnsi="Arial Narrow"/>
        </w:rPr>
        <w:t>n</w:t>
      </w:r>
      <w:r>
        <w:rPr>
          <w:rFonts w:ascii="Arial Narrow" w:hAnsi="Arial Narrow"/>
        </w:rPr>
        <w:t>es</w:t>
      </w:r>
      <w:r w:rsidRPr="005F10B9">
        <w:rPr>
          <w:rFonts w:ascii="Arial Narrow" w:hAnsi="Arial Narrow"/>
        </w:rPr>
        <w:t xml:space="preserve"> de cobertura.</w:t>
      </w:r>
    </w:p>
    <w:p w14:paraId="7E19B339" w14:textId="77777777" w:rsidR="007968EC" w:rsidRPr="005F10B9" w:rsidRDefault="007968EC" w:rsidP="007968EC">
      <w:pPr>
        <w:rPr>
          <w:rFonts w:ascii="Arial Narrow" w:hAnsi="Arial Narrow"/>
        </w:rPr>
      </w:pPr>
    </w:p>
    <w:p w14:paraId="3AFD8FBD" w14:textId="77777777" w:rsidR="007968EC" w:rsidRDefault="007968EC" w:rsidP="007968EC">
      <w:pPr>
        <w:jc w:val="both"/>
        <w:rPr>
          <w:rFonts w:ascii="Arial Narrow" w:hAnsi="Arial Narrow"/>
        </w:rPr>
      </w:pPr>
      <w:r w:rsidRPr="005F10B9">
        <w:rPr>
          <w:rFonts w:ascii="Arial Narrow" w:hAnsi="Arial Narrow"/>
        </w:rPr>
        <w:t xml:space="preserve">Para calcular el sobrecosto por liquidez correspondiente a un Nominal de la Operación de Cobertura </w:t>
      </w:r>
      <w:r>
        <w:rPr>
          <w:rFonts w:ascii="Arial Narrow" w:hAnsi="Arial Narrow"/>
        </w:rPr>
        <w:t>respecto</w:t>
      </w:r>
      <w:r w:rsidRPr="005F10B9">
        <w:rPr>
          <w:rFonts w:ascii="Arial Narrow" w:hAnsi="Arial Narrow"/>
        </w:rPr>
        <w:t xml:space="preserve"> al tramo en “</w:t>
      </w:r>
      <w:proofErr w:type="spellStart"/>
      <w:r w:rsidRPr="005F10B9">
        <w:rPr>
          <w:rFonts w:ascii="Arial Narrow" w:hAnsi="Arial Narrow"/>
        </w:rPr>
        <w:t>nY</w:t>
      </w:r>
      <w:proofErr w:type="spellEnd"/>
      <w:r w:rsidRPr="005F10B9">
        <w:rPr>
          <w:rFonts w:ascii="Arial Narrow" w:hAnsi="Arial Narrow"/>
        </w:rPr>
        <w:t xml:space="preserve">”, se interpola linealmente entre los </w:t>
      </w:r>
      <w:proofErr w:type="spellStart"/>
      <w:r>
        <w:rPr>
          <w:rFonts w:ascii="Arial Narrow" w:hAnsi="Arial Narrow"/>
        </w:rPr>
        <w:t>buckets</w:t>
      </w:r>
      <w:proofErr w:type="spellEnd"/>
      <w:r w:rsidRPr="005F10B9">
        <w:rPr>
          <w:rFonts w:ascii="Arial Narrow" w:hAnsi="Arial Narrow"/>
        </w:rPr>
        <w:t xml:space="preserve"> aplicables de la tabla. Por ejemplo, si el nominal de la operación de cobertura es 3.40 veces el tamaño máximo correspondiente a ese </w:t>
      </w:r>
      <w:proofErr w:type="spellStart"/>
      <w:r>
        <w:rPr>
          <w:rFonts w:ascii="Arial Narrow" w:hAnsi="Arial Narrow"/>
        </w:rPr>
        <w:t>bucket</w:t>
      </w:r>
      <w:proofErr w:type="spellEnd"/>
      <w:r w:rsidRPr="005F10B9">
        <w:rPr>
          <w:rFonts w:ascii="Arial Narrow" w:hAnsi="Arial Narrow"/>
        </w:rPr>
        <w:t xml:space="preserve">, el multiplicador será el correspondiente a interpolar linealmente entre </w:t>
      </w:r>
      <w:r>
        <w:rPr>
          <w:rFonts w:ascii="Arial Narrow" w:hAnsi="Arial Narrow"/>
        </w:rPr>
        <w:t xml:space="preserve">el </w:t>
      </w:r>
      <w:r w:rsidRPr="005F10B9">
        <w:rPr>
          <w:rFonts w:ascii="Arial Narrow" w:hAnsi="Arial Narrow"/>
        </w:rPr>
        <w:t xml:space="preserve">importe “x2” y el </w:t>
      </w:r>
      <w:r>
        <w:rPr>
          <w:rFonts w:ascii="Arial Narrow" w:hAnsi="Arial Narrow"/>
        </w:rPr>
        <w:t>importe</w:t>
      </w:r>
      <w:r w:rsidRPr="005F10B9">
        <w:rPr>
          <w:rFonts w:ascii="Arial Narrow" w:hAnsi="Arial Narrow"/>
        </w:rPr>
        <w:t>“x5”, conforme a la siguiente fórmula:</w:t>
      </w:r>
    </w:p>
    <w:p w14:paraId="2C800D38" w14:textId="77777777" w:rsidR="007968EC" w:rsidRDefault="007968EC" w:rsidP="007968EC">
      <w:pPr>
        <w:jc w:val="both"/>
        <w:rPr>
          <w:rFonts w:ascii="Arial Narrow" w:hAnsi="Arial Narrow"/>
        </w:rPr>
      </w:pPr>
    </w:p>
    <w:p w14:paraId="4787E2BA" w14:textId="77777777" w:rsidR="007968EC" w:rsidRPr="005F10B9" w:rsidRDefault="007968EC" w:rsidP="007968EC">
      <w:pPr>
        <w:jc w:val="both"/>
        <w:rPr>
          <w:rFonts w:ascii="Arial Narrow" w:hAnsi="Arial Narrow"/>
        </w:rPr>
      </w:pPr>
    </w:p>
    <w:p w14:paraId="4311DB0D" w14:textId="77777777" w:rsidR="007968EC" w:rsidRPr="005F10B9" w:rsidRDefault="00682D97" w:rsidP="007968EC">
      <w:pPr>
        <w:rPr>
          <w:rFonts w:ascii="Arial Narrow" w:hAnsi="Arial Narrow"/>
        </w:rPr>
      </w:pPr>
      <m:oMathPara>
        <m:oMath>
          <m:sSub>
            <m:sSubPr>
              <m:ctrlPr>
                <w:rPr>
                  <w:rFonts w:ascii="Cambria Math" w:hAnsi="Cambria Math"/>
                </w:rPr>
              </m:ctrlPr>
            </m:sSubPr>
            <m:e>
              <m:r>
                <m:rPr>
                  <m:sty m:val="bi"/>
                </m:rPr>
                <w:rPr>
                  <w:rFonts w:ascii="Cambria Math" w:hAnsi="Cambria Math"/>
                </w:rPr>
                <m:t>Sobrecosto</m:t>
              </m:r>
            </m:e>
            <m:sub>
              <m:r>
                <m:rPr>
                  <m:sty m:val="bi"/>
                </m:rPr>
                <w:rPr>
                  <w:rFonts w:ascii="Cambria Math" w:hAnsi="Cambria Math"/>
                </w:rPr>
                <m:t>xn</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PB</m:t>
              </m:r>
            </m:e>
            <m:sub>
              <m:r>
                <m:rPr>
                  <m:sty m:val="bi"/>
                </m:rPr>
                <w:rPr>
                  <w:rFonts w:ascii="Cambria Math" w:hAnsi="Cambria Math"/>
                </w:rPr>
                <m:t>xn</m:t>
              </m:r>
            </m:sub>
          </m:sSub>
          <m:r>
            <m:rPr>
              <m:sty m:val="bi"/>
            </m:rPr>
            <w:rPr>
              <w:rFonts w:ascii="Cambria Math" w:hAnsi="Cambria Math"/>
            </w:rPr>
            <m:t>+</m:t>
          </m:r>
          <m:d>
            <m:dPr>
              <m:ctrlPr>
                <w:rPr>
                  <w:rFonts w:ascii="Cambria Math" w:hAnsi="Cambria Math"/>
                </w:rPr>
              </m:ctrlPr>
            </m:dPr>
            <m:e>
              <m:sSub>
                <m:sSubPr>
                  <m:ctrlPr>
                    <w:rPr>
                      <w:rFonts w:ascii="Cambria Math" w:hAnsi="Cambria Math"/>
                    </w:rPr>
                  </m:ctrlPr>
                </m:sSubPr>
                <m:e>
                  <m:r>
                    <m:rPr>
                      <m:sty m:val="bi"/>
                    </m:rPr>
                    <w:rPr>
                      <w:rFonts w:ascii="Cambria Math" w:hAnsi="Cambria Math"/>
                    </w:rPr>
                    <m:t>Nominal</m:t>
                  </m:r>
                </m:e>
                <m:sub>
                  <m:r>
                    <m:rPr>
                      <m:sty m:val="bi"/>
                    </m:rPr>
                    <w:rPr>
                      <w:rFonts w:ascii="Cambria Math" w:hAnsi="Cambria Math"/>
                    </w:rPr>
                    <m:t>Cobertura</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Noc</m:t>
                  </m:r>
                </m:e>
                <m:sub>
                  <m:r>
                    <m:rPr>
                      <m:sty m:val="bi"/>
                    </m:rPr>
                    <w:rPr>
                      <w:rFonts w:ascii="Cambria Math" w:hAnsi="Cambria Math"/>
                    </w:rPr>
                    <m:t>xn</m:t>
                  </m:r>
                </m:sub>
              </m:sSub>
            </m:e>
          </m:d>
          <m:r>
            <m:rPr>
              <m:sty m:val="bi"/>
            </m:rPr>
            <w:rPr>
              <w:rFonts w:ascii="Cambria Math" w:hAnsi="Cambria Math"/>
            </w:rPr>
            <m:t>*</m:t>
          </m:r>
          <m:f>
            <m:fPr>
              <m:ctrlPr>
                <w:rPr>
                  <w:rFonts w:ascii="Cambria Math" w:hAnsi="Cambria Math"/>
                </w:rPr>
              </m:ctrlPr>
            </m:fPr>
            <m:num>
              <m:sSub>
                <m:sSubPr>
                  <m:ctrlPr>
                    <w:rPr>
                      <w:rFonts w:ascii="Cambria Math" w:hAnsi="Cambria Math"/>
                    </w:rPr>
                  </m:ctrlPr>
                </m:sSubPr>
                <m:e>
                  <m:r>
                    <m:rPr>
                      <m:sty m:val="bi"/>
                    </m:rPr>
                    <w:rPr>
                      <w:rFonts w:ascii="Cambria Math" w:hAnsi="Cambria Math"/>
                    </w:rPr>
                    <m:t>PB</m:t>
                  </m:r>
                </m:e>
                <m:sub>
                  <m:r>
                    <m:rPr>
                      <m:sty m:val="bi"/>
                    </m:rPr>
                    <w:rPr>
                      <w:rFonts w:ascii="Cambria Math" w:hAnsi="Cambria Math"/>
                    </w:rPr>
                    <m:t>xn+1</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PB</m:t>
                  </m:r>
                </m:e>
                <m:sub>
                  <m:r>
                    <m:rPr>
                      <m:sty m:val="bi"/>
                    </m:rPr>
                    <w:rPr>
                      <w:rFonts w:ascii="Cambria Math" w:hAnsi="Cambria Math"/>
                    </w:rPr>
                    <m:t>xn</m:t>
                  </m:r>
                </m:sub>
              </m:sSub>
            </m:num>
            <m:den>
              <m:sSub>
                <m:sSubPr>
                  <m:ctrlPr>
                    <w:rPr>
                      <w:rFonts w:ascii="Cambria Math" w:hAnsi="Cambria Math"/>
                    </w:rPr>
                  </m:ctrlPr>
                </m:sSubPr>
                <m:e>
                  <m:r>
                    <m:rPr>
                      <m:sty m:val="bi"/>
                    </m:rPr>
                    <w:rPr>
                      <w:rFonts w:ascii="Cambria Math" w:hAnsi="Cambria Math"/>
                    </w:rPr>
                    <m:t>Noc</m:t>
                  </m:r>
                </m:e>
                <m:sub>
                  <m:r>
                    <m:rPr>
                      <m:sty m:val="bi"/>
                    </m:rPr>
                    <w:rPr>
                      <w:rFonts w:ascii="Cambria Math" w:hAnsi="Cambria Math"/>
                    </w:rPr>
                    <m:t>xn+1</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Noc</m:t>
                  </m:r>
                </m:e>
                <m:sub>
                  <m:r>
                    <m:rPr>
                      <m:sty m:val="bi"/>
                    </m:rPr>
                    <w:rPr>
                      <w:rFonts w:ascii="Cambria Math" w:hAnsi="Cambria Math"/>
                    </w:rPr>
                    <m:t>xn</m:t>
                  </m:r>
                </m:sub>
              </m:sSub>
            </m:den>
          </m:f>
          <m:r>
            <m:rPr>
              <m:sty m:val="bi"/>
            </m:rPr>
            <w:rPr>
              <w:rFonts w:ascii="Cambria Math" w:hAnsi="Cambria Math"/>
            </w:rPr>
            <m:t xml:space="preserve"> </m:t>
          </m:r>
        </m:oMath>
      </m:oMathPara>
    </w:p>
    <w:p w14:paraId="1F0D67A1" w14:textId="77777777" w:rsidR="007968EC" w:rsidRPr="005F10B9" w:rsidRDefault="007968EC" w:rsidP="007968EC">
      <w:pPr>
        <w:rPr>
          <w:rFonts w:ascii="Arial Narrow" w:hAnsi="Arial Narrow"/>
        </w:rPr>
      </w:pPr>
      <w:r w:rsidRPr="005F10B9">
        <w:rPr>
          <w:rFonts w:ascii="Arial Narrow" w:hAnsi="Arial Narrow"/>
        </w:rPr>
        <w:t>Donde:</w:t>
      </w:r>
    </w:p>
    <w:p w14:paraId="604D4029" w14:textId="77777777" w:rsidR="007968EC" w:rsidRPr="005F10B9" w:rsidRDefault="007968EC" w:rsidP="007968EC">
      <w:pPr>
        <w:rPr>
          <w:rFonts w:ascii="Arial Narrow" w:hAnsi="Arial Narrow"/>
        </w:rPr>
      </w:pPr>
    </w:p>
    <w:p w14:paraId="0EA35956" w14:textId="77777777" w:rsidR="007968EC" w:rsidRPr="005F10B9" w:rsidRDefault="00682D97" w:rsidP="007968EC">
      <w:pPr>
        <w:rPr>
          <w:rFonts w:ascii="Arial Narrow" w:hAnsi="Arial Narrow"/>
        </w:rPr>
      </w:pPr>
      <m:oMath>
        <m:sSub>
          <m:sSubPr>
            <m:ctrlPr>
              <w:rPr>
                <w:rFonts w:ascii="Cambria Math" w:hAnsi="Cambria Math"/>
              </w:rPr>
            </m:ctrlPr>
          </m:sSubPr>
          <m:e>
            <m:r>
              <m:rPr>
                <m:sty m:val="bi"/>
              </m:rPr>
              <w:rPr>
                <w:rFonts w:ascii="Cambria Math" w:hAnsi="Cambria Math"/>
              </w:rPr>
              <m:t>Sobrecosto</m:t>
            </m:r>
          </m:e>
          <m:sub>
            <m:r>
              <m:rPr>
                <m:sty m:val="bi"/>
              </m:rPr>
              <w:rPr>
                <w:rFonts w:ascii="Cambria Math" w:hAnsi="Cambria Math"/>
              </w:rPr>
              <m:t>xn</m:t>
            </m:r>
          </m:sub>
        </m:sSub>
      </m:oMath>
      <w:r w:rsidR="007968EC" w:rsidRPr="005F10B9">
        <w:rPr>
          <w:rFonts w:ascii="Arial Narrow" w:hAnsi="Arial Narrow"/>
        </w:rPr>
        <w:t>: Los Puntos Básicos de sobrecosto por cubrir el importe exacto de</w:t>
      </w:r>
      <w:r w:rsidR="007968EC">
        <w:rPr>
          <w:rFonts w:ascii="Arial Narrow" w:hAnsi="Arial Narrow"/>
        </w:rPr>
        <w:t xml:space="preserve"> </w:t>
      </w:r>
      <w:r w:rsidR="007968EC" w:rsidRPr="005F10B9">
        <w:rPr>
          <w:rFonts w:ascii="Arial Narrow" w:hAnsi="Arial Narrow"/>
        </w:rPr>
        <w:t>l</w:t>
      </w:r>
      <w:r w:rsidR="007968EC">
        <w:rPr>
          <w:rFonts w:ascii="Arial Narrow" w:hAnsi="Arial Narrow"/>
        </w:rPr>
        <w:t>os</w:t>
      </w:r>
      <w:r w:rsidR="007968EC" w:rsidRPr="005F10B9">
        <w:rPr>
          <w:rFonts w:ascii="Arial Narrow" w:hAnsi="Arial Narrow"/>
        </w:rPr>
        <w:t xml:space="preserve"> Swap</w:t>
      </w:r>
      <w:r w:rsidR="007968EC">
        <w:rPr>
          <w:rFonts w:ascii="Arial Narrow" w:hAnsi="Arial Narrow"/>
        </w:rPr>
        <w:t>s</w:t>
      </w:r>
      <w:r w:rsidR="007968EC" w:rsidRPr="005F10B9">
        <w:rPr>
          <w:rFonts w:ascii="Arial Narrow" w:hAnsi="Arial Narrow"/>
        </w:rPr>
        <w:t xml:space="preserve"> Estándar.</w:t>
      </w:r>
    </w:p>
    <w:p w14:paraId="2BA6F60F" w14:textId="77777777" w:rsidR="007968EC" w:rsidRPr="005F10B9" w:rsidRDefault="00682D97" w:rsidP="007968EC">
      <w:pPr>
        <w:rPr>
          <w:rFonts w:ascii="Arial Narrow" w:hAnsi="Arial Narrow"/>
        </w:rPr>
      </w:pPr>
      <m:oMath>
        <m:sSub>
          <m:sSubPr>
            <m:ctrlPr>
              <w:rPr>
                <w:rFonts w:ascii="Cambria Math" w:hAnsi="Cambria Math"/>
              </w:rPr>
            </m:ctrlPr>
          </m:sSubPr>
          <m:e>
            <m:r>
              <m:rPr>
                <m:sty m:val="bi"/>
              </m:rPr>
              <w:rPr>
                <w:rFonts w:ascii="Cambria Math" w:hAnsi="Cambria Math"/>
              </w:rPr>
              <m:t>PB</m:t>
            </m:r>
          </m:e>
          <m:sub>
            <m:r>
              <m:rPr>
                <m:sty m:val="bi"/>
              </m:rPr>
              <w:rPr>
                <w:rFonts w:ascii="Cambria Math" w:hAnsi="Cambria Math"/>
              </w:rPr>
              <m:t>xn</m:t>
            </m:r>
          </m:sub>
        </m:sSub>
      </m:oMath>
      <w:r w:rsidR="007968EC" w:rsidRPr="005F10B9">
        <w:rPr>
          <w:rFonts w:ascii="Arial Narrow" w:hAnsi="Arial Narrow"/>
        </w:rPr>
        <w:t>: Puntos Básicos de sobrecosto para un Nominal n veces superior al máximo de mercado.</w:t>
      </w:r>
    </w:p>
    <w:p w14:paraId="3F3A71AB" w14:textId="77777777" w:rsidR="007968EC" w:rsidRPr="005F10B9" w:rsidRDefault="00682D97" w:rsidP="007968EC">
      <w:pPr>
        <w:rPr>
          <w:rFonts w:ascii="Arial Narrow" w:hAnsi="Arial Narrow"/>
        </w:rPr>
      </w:pPr>
      <m:oMath>
        <m:sSub>
          <m:sSubPr>
            <m:ctrlPr>
              <w:rPr>
                <w:rFonts w:ascii="Cambria Math" w:hAnsi="Cambria Math"/>
              </w:rPr>
            </m:ctrlPr>
          </m:sSubPr>
          <m:e>
            <m:r>
              <m:rPr>
                <m:sty m:val="bi"/>
              </m:rPr>
              <w:rPr>
                <w:rFonts w:ascii="Cambria Math" w:hAnsi="Cambria Math"/>
              </w:rPr>
              <m:t>Nominal</m:t>
            </m:r>
          </m:e>
          <m:sub>
            <m:r>
              <m:rPr>
                <m:sty m:val="bi"/>
              </m:rPr>
              <w:rPr>
                <w:rFonts w:ascii="Cambria Math" w:hAnsi="Cambria Math"/>
              </w:rPr>
              <m:t>Cobertura</m:t>
            </m:r>
          </m:sub>
        </m:sSub>
      </m:oMath>
      <w:r w:rsidR="007968EC" w:rsidRPr="005F10B9">
        <w:rPr>
          <w:rFonts w:ascii="Arial Narrow" w:hAnsi="Arial Narrow"/>
        </w:rPr>
        <w:t>: Nominal del Swap Estándar de cobertura.</w:t>
      </w:r>
    </w:p>
    <w:p w14:paraId="40278D41" w14:textId="77777777" w:rsidR="007968EC" w:rsidRPr="005F10B9" w:rsidRDefault="00682D97" w:rsidP="007968EC">
      <w:pPr>
        <w:rPr>
          <w:rFonts w:ascii="Arial Narrow" w:hAnsi="Arial Narrow"/>
        </w:rPr>
      </w:pPr>
      <m:oMath>
        <m:sSub>
          <m:sSubPr>
            <m:ctrlPr>
              <w:rPr>
                <w:rFonts w:ascii="Cambria Math" w:hAnsi="Cambria Math"/>
              </w:rPr>
            </m:ctrlPr>
          </m:sSubPr>
          <m:e>
            <m:r>
              <m:rPr>
                <m:sty m:val="bi"/>
              </m:rPr>
              <w:rPr>
                <w:rFonts w:ascii="Cambria Math" w:hAnsi="Cambria Math"/>
              </w:rPr>
              <m:t>Noc</m:t>
            </m:r>
          </m:e>
          <m:sub>
            <m:r>
              <m:rPr>
                <m:sty m:val="bi"/>
              </m:rPr>
              <w:rPr>
                <w:rFonts w:ascii="Cambria Math" w:hAnsi="Cambria Math"/>
              </w:rPr>
              <m:t>xn</m:t>
            </m:r>
          </m:sub>
        </m:sSub>
      </m:oMath>
      <w:r w:rsidR="007968EC" w:rsidRPr="005F10B9">
        <w:rPr>
          <w:rFonts w:ascii="Arial Narrow" w:hAnsi="Arial Narrow"/>
        </w:rPr>
        <w:t>: Nominal n veces superior al máximo de mercado.</w:t>
      </w:r>
    </w:p>
    <w:p w14:paraId="4862D22D" w14:textId="77777777" w:rsidR="007968EC" w:rsidRPr="005F10B9" w:rsidRDefault="00682D97" w:rsidP="007968EC">
      <w:pPr>
        <w:rPr>
          <w:rFonts w:ascii="Arial Narrow" w:hAnsi="Arial Narrow"/>
        </w:rPr>
      </w:pPr>
      <m:oMath>
        <m:sSub>
          <m:sSubPr>
            <m:ctrlPr>
              <w:rPr>
                <w:rFonts w:ascii="Cambria Math" w:hAnsi="Cambria Math"/>
              </w:rPr>
            </m:ctrlPr>
          </m:sSubPr>
          <m:e>
            <m:r>
              <m:rPr>
                <m:sty m:val="bi"/>
              </m:rPr>
              <w:rPr>
                <w:rFonts w:ascii="Cambria Math" w:hAnsi="Cambria Math"/>
              </w:rPr>
              <m:t>PB</m:t>
            </m:r>
          </m:e>
          <m:sub>
            <m:r>
              <m:rPr>
                <m:sty m:val="bi"/>
              </m:rPr>
              <w:rPr>
                <w:rFonts w:ascii="Cambria Math" w:hAnsi="Cambria Math"/>
              </w:rPr>
              <m:t>xn+1</m:t>
            </m:r>
          </m:sub>
        </m:sSub>
      </m:oMath>
      <w:r w:rsidR="007968EC" w:rsidRPr="005F10B9">
        <w:rPr>
          <w:rFonts w:ascii="Arial Narrow" w:hAnsi="Arial Narrow"/>
        </w:rPr>
        <w:t>: Puntos Básicos de sobrecoste para un Nominal n+1 veces superior al máximo de mercado.</w:t>
      </w:r>
    </w:p>
    <w:p w14:paraId="1225E0D7" w14:textId="77777777" w:rsidR="007968EC" w:rsidRPr="005F10B9" w:rsidRDefault="00682D97" w:rsidP="007968EC">
      <w:pPr>
        <w:rPr>
          <w:rFonts w:ascii="Arial Narrow" w:hAnsi="Arial Narrow"/>
        </w:rPr>
      </w:pPr>
      <m:oMath>
        <m:sSub>
          <m:sSubPr>
            <m:ctrlPr>
              <w:rPr>
                <w:rFonts w:ascii="Cambria Math" w:hAnsi="Cambria Math"/>
              </w:rPr>
            </m:ctrlPr>
          </m:sSubPr>
          <m:e>
            <m:r>
              <m:rPr>
                <m:sty m:val="bi"/>
              </m:rPr>
              <w:rPr>
                <w:rFonts w:ascii="Cambria Math" w:hAnsi="Cambria Math"/>
              </w:rPr>
              <m:t>Noc</m:t>
            </m:r>
          </m:e>
          <m:sub>
            <m:r>
              <m:rPr>
                <m:sty m:val="bi"/>
              </m:rPr>
              <w:rPr>
                <w:rFonts w:ascii="Cambria Math" w:hAnsi="Cambria Math"/>
              </w:rPr>
              <m:t>xn+1</m:t>
            </m:r>
          </m:sub>
        </m:sSub>
      </m:oMath>
      <w:r w:rsidR="007968EC" w:rsidRPr="005F10B9">
        <w:rPr>
          <w:rFonts w:ascii="Arial Narrow" w:hAnsi="Arial Narrow"/>
        </w:rPr>
        <w:t>: Nominal n+1 veces superior al máximo de mercado.</w:t>
      </w:r>
    </w:p>
    <w:p w14:paraId="522F5F70" w14:textId="77777777" w:rsidR="007968EC" w:rsidRPr="005F10B9" w:rsidRDefault="007968EC" w:rsidP="007968EC">
      <w:pPr>
        <w:rPr>
          <w:rFonts w:ascii="Arial Narrow" w:hAnsi="Arial Narrow"/>
        </w:rPr>
      </w:pPr>
    </w:p>
    <w:p w14:paraId="7E6D2287" w14:textId="77777777" w:rsidR="007968EC" w:rsidRPr="005F10B9" w:rsidRDefault="007968EC" w:rsidP="00DA7472">
      <w:pPr>
        <w:numPr>
          <w:ilvl w:val="1"/>
          <w:numId w:val="352"/>
        </w:numPr>
        <w:tabs>
          <w:tab w:val="left" w:pos="709"/>
        </w:tabs>
        <w:ind w:left="709"/>
        <w:rPr>
          <w:rFonts w:ascii="Arial Narrow" w:hAnsi="Arial Narrow" w:cs="Arial"/>
          <w:b/>
          <w:lang w:eastAsia="es-CO"/>
        </w:rPr>
      </w:pPr>
      <w:r w:rsidRPr="005F10B9">
        <w:rPr>
          <w:rFonts w:ascii="Arial Narrow" w:hAnsi="Arial Narrow" w:cs="Arial"/>
          <w:lang w:eastAsia="es-CO"/>
        </w:rPr>
        <w:t>Importe del Ajuste por Tamaño de la Posición sin Compensar.</w:t>
      </w:r>
    </w:p>
    <w:p w14:paraId="3BD282E3" w14:textId="77777777" w:rsidR="007968EC" w:rsidRPr="005F10B9" w:rsidRDefault="007968EC" w:rsidP="007968EC">
      <w:pPr>
        <w:jc w:val="both"/>
        <w:rPr>
          <w:rFonts w:ascii="Arial Narrow" w:hAnsi="Arial Narrow"/>
        </w:rPr>
      </w:pPr>
    </w:p>
    <w:p w14:paraId="15F42365" w14:textId="77777777" w:rsidR="007968EC" w:rsidRPr="005F10B9" w:rsidRDefault="007968EC" w:rsidP="007968EC">
      <w:pPr>
        <w:jc w:val="both"/>
        <w:rPr>
          <w:rFonts w:ascii="Arial Narrow" w:hAnsi="Arial Narrow"/>
        </w:rPr>
      </w:pPr>
      <w:r w:rsidRPr="005F10B9">
        <w:rPr>
          <w:rFonts w:ascii="Arial Narrow" w:hAnsi="Arial Narrow"/>
        </w:rPr>
        <w:t xml:space="preserve">El Ajuste por Tamaño de la Posición sin Compensar se calcula multiplicando el PV01 </w:t>
      </w:r>
      <w:r>
        <w:rPr>
          <w:rFonts w:ascii="Arial Narrow" w:hAnsi="Arial Narrow"/>
        </w:rPr>
        <w:t xml:space="preserve">de </w:t>
      </w:r>
      <w:r w:rsidRPr="005F10B9">
        <w:rPr>
          <w:rFonts w:ascii="Arial Narrow" w:hAnsi="Arial Narrow"/>
        </w:rPr>
        <w:t xml:space="preserve">cobertura, por el sobrecosto por liquidez para cada </w:t>
      </w:r>
      <w:proofErr w:type="spellStart"/>
      <w:r w:rsidRPr="005F10B9">
        <w:rPr>
          <w:rFonts w:ascii="Arial Narrow" w:hAnsi="Arial Narrow"/>
        </w:rPr>
        <w:t>Bucket</w:t>
      </w:r>
      <w:proofErr w:type="spellEnd"/>
      <w:r w:rsidRPr="005F10B9">
        <w:rPr>
          <w:rFonts w:ascii="Arial Narrow" w:hAnsi="Arial Narrow"/>
        </w:rPr>
        <w:t xml:space="preserve"> analizado.</w:t>
      </w:r>
    </w:p>
    <w:p w14:paraId="51FEA6DE" w14:textId="77777777" w:rsidR="007968EC" w:rsidRPr="005F10B9" w:rsidRDefault="007968EC" w:rsidP="007968EC">
      <w:pPr>
        <w:jc w:val="both"/>
        <w:rPr>
          <w:rFonts w:ascii="Arial Narrow" w:hAnsi="Arial Narrow"/>
        </w:rPr>
      </w:pPr>
      <w:r w:rsidRPr="005F10B9">
        <w:rPr>
          <w:rFonts w:ascii="Arial Narrow" w:hAnsi="Arial Narrow"/>
        </w:rPr>
        <w:t>.</w:t>
      </w:r>
    </w:p>
    <w:p w14:paraId="31546FEF" w14:textId="77777777" w:rsidR="007968EC" w:rsidRPr="005F10B9" w:rsidRDefault="007968EC" w:rsidP="007968EC">
      <w:pPr>
        <w:jc w:val="both"/>
        <w:rPr>
          <w:rFonts w:ascii="Arial Narrow" w:hAnsi="Arial Narrow"/>
        </w:rPr>
      </w:pPr>
    </w:p>
    <w:p w14:paraId="0F570323" w14:textId="77777777" w:rsidR="007968EC" w:rsidRPr="005F10B9" w:rsidRDefault="007968EC" w:rsidP="00DA7472">
      <w:pPr>
        <w:numPr>
          <w:ilvl w:val="1"/>
          <w:numId w:val="352"/>
        </w:numPr>
        <w:tabs>
          <w:tab w:val="left" w:pos="709"/>
        </w:tabs>
        <w:ind w:left="709"/>
        <w:rPr>
          <w:rFonts w:ascii="Arial Narrow" w:hAnsi="Arial Narrow" w:cs="Arial"/>
          <w:b/>
          <w:lang w:eastAsia="es-CO"/>
        </w:rPr>
      </w:pPr>
      <w:r w:rsidRPr="005F10B9">
        <w:rPr>
          <w:rFonts w:ascii="Arial Narrow" w:hAnsi="Arial Narrow" w:cs="Arial"/>
          <w:lang w:eastAsia="es-CO"/>
        </w:rPr>
        <w:t>Ajuste por Tamaño de la Posición por Compensación.</w:t>
      </w:r>
    </w:p>
    <w:p w14:paraId="18200AFE" w14:textId="77777777" w:rsidR="007968EC" w:rsidRPr="005F10B9" w:rsidRDefault="007968EC" w:rsidP="007968EC">
      <w:pPr>
        <w:jc w:val="both"/>
        <w:rPr>
          <w:rFonts w:ascii="Arial Narrow" w:hAnsi="Arial Narrow"/>
        </w:rPr>
      </w:pPr>
    </w:p>
    <w:p w14:paraId="20526B5F" w14:textId="77777777" w:rsidR="007968EC" w:rsidRPr="005F10B9" w:rsidRDefault="007968EC" w:rsidP="007968EC">
      <w:pPr>
        <w:jc w:val="both"/>
        <w:rPr>
          <w:rFonts w:ascii="Arial Narrow" w:hAnsi="Arial Narrow"/>
        </w:rPr>
      </w:pPr>
      <w:r w:rsidRPr="005F10B9">
        <w:rPr>
          <w:rFonts w:ascii="Arial Narrow" w:hAnsi="Arial Narrow"/>
        </w:rPr>
        <w:t xml:space="preserve">Antes de calcular definitivamente el Ajuste por Tamaño de la Posición, se realiza un último ajuste por compensación de sensibilidades. Esta compensación se produce al asumirse una cierta correlación entre los </w:t>
      </w:r>
      <w:r w:rsidRPr="005F10B9">
        <w:rPr>
          <w:rFonts w:ascii="Arial Narrow" w:hAnsi="Arial Narrow"/>
        </w:rPr>
        <w:lastRenderedPageBreak/>
        <w:t xml:space="preserve">movimientos de tasa de interés en los </w:t>
      </w:r>
      <w:proofErr w:type="spellStart"/>
      <w:r w:rsidRPr="005F10B9">
        <w:rPr>
          <w:rFonts w:ascii="Arial Narrow" w:hAnsi="Arial Narrow"/>
        </w:rPr>
        <w:t>Buckets</w:t>
      </w:r>
      <w:proofErr w:type="spellEnd"/>
      <w:r w:rsidRPr="005F10B9">
        <w:rPr>
          <w:rFonts w:ascii="Arial Narrow" w:hAnsi="Arial Narrow"/>
        </w:rPr>
        <w:t xml:space="preserve"> cercanos de la</w:t>
      </w:r>
      <w:r>
        <w:rPr>
          <w:rFonts w:ascii="Arial Narrow" w:hAnsi="Arial Narrow"/>
        </w:rPr>
        <w:t>s</w:t>
      </w:r>
      <w:r w:rsidRPr="005F10B9">
        <w:rPr>
          <w:rFonts w:ascii="Arial Narrow" w:hAnsi="Arial Narrow"/>
        </w:rPr>
        <w:t xml:space="preserve"> Curva</w:t>
      </w:r>
      <w:r>
        <w:rPr>
          <w:rFonts w:ascii="Arial Narrow" w:hAnsi="Arial Narrow"/>
        </w:rPr>
        <w:t>s Cero Cupón</w:t>
      </w:r>
      <w:r w:rsidRPr="005F10B9">
        <w:rPr>
          <w:rFonts w:ascii="Arial Narrow" w:hAnsi="Arial Narrow"/>
        </w:rPr>
        <w:t xml:space="preserve">; en concreto el </w:t>
      </w:r>
      <w:proofErr w:type="spellStart"/>
      <w:r w:rsidRPr="005F10B9">
        <w:rPr>
          <w:rFonts w:ascii="Arial Narrow" w:hAnsi="Arial Narrow"/>
        </w:rPr>
        <w:t>Bucket</w:t>
      </w:r>
      <w:proofErr w:type="spellEnd"/>
      <w:r w:rsidRPr="005F10B9">
        <w:rPr>
          <w:rFonts w:ascii="Arial Narrow" w:hAnsi="Arial Narrow"/>
        </w:rPr>
        <w:t xml:space="preserve"> 2 años con el </w:t>
      </w:r>
      <w:proofErr w:type="spellStart"/>
      <w:r w:rsidRPr="005F10B9">
        <w:rPr>
          <w:rFonts w:ascii="Arial Narrow" w:hAnsi="Arial Narrow"/>
        </w:rPr>
        <w:t>Bucket</w:t>
      </w:r>
      <w:proofErr w:type="spellEnd"/>
      <w:r w:rsidRPr="005F10B9">
        <w:rPr>
          <w:rFonts w:ascii="Arial Narrow" w:hAnsi="Arial Narrow"/>
        </w:rPr>
        <w:t xml:space="preserve"> 5 años y el </w:t>
      </w:r>
      <w:proofErr w:type="spellStart"/>
      <w:r w:rsidRPr="005F10B9">
        <w:rPr>
          <w:rFonts w:ascii="Arial Narrow" w:hAnsi="Arial Narrow"/>
        </w:rPr>
        <w:t>Bucket</w:t>
      </w:r>
      <w:proofErr w:type="spellEnd"/>
      <w:r w:rsidRPr="005F10B9">
        <w:rPr>
          <w:rFonts w:ascii="Arial Narrow" w:hAnsi="Arial Narrow"/>
        </w:rPr>
        <w:t xml:space="preserve"> 10 años con el </w:t>
      </w:r>
      <w:proofErr w:type="spellStart"/>
      <w:r w:rsidRPr="005F10B9">
        <w:rPr>
          <w:rFonts w:ascii="Arial Narrow" w:hAnsi="Arial Narrow"/>
        </w:rPr>
        <w:t>Bucket</w:t>
      </w:r>
      <w:proofErr w:type="spellEnd"/>
      <w:r w:rsidRPr="005F10B9">
        <w:rPr>
          <w:rFonts w:ascii="Arial Narrow" w:hAnsi="Arial Narrow"/>
        </w:rPr>
        <w:t xml:space="preserve"> 15 años. </w:t>
      </w:r>
    </w:p>
    <w:p w14:paraId="14EDDEBA" w14:textId="77777777" w:rsidR="007968EC" w:rsidRPr="005F10B9" w:rsidRDefault="007968EC" w:rsidP="007968EC">
      <w:pPr>
        <w:jc w:val="both"/>
        <w:rPr>
          <w:rFonts w:ascii="Arial Narrow" w:hAnsi="Arial Narrow"/>
        </w:rPr>
      </w:pPr>
    </w:p>
    <w:p w14:paraId="0486366D" w14:textId="77777777" w:rsidR="007968EC" w:rsidRPr="005F10B9" w:rsidRDefault="007968EC" w:rsidP="007968EC">
      <w:pPr>
        <w:jc w:val="both"/>
        <w:rPr>
          <w:rFonts w:ascii="Arial Narrow" w:hAnsi="Arial Narrow"/>
        </w:rPr>
      </w:pPr>
      <w:r w:rsidRPr="005F10B9">
        <w:rPr>
          <w:rFonts w:ascii="Arial Narrow" w:hAnsi="Arial Narrow"/>
        </w:rPr>
        <w:t>Si la sensibilidad de los tramos 2/5 o 10/15 fueran de sentido contrario (una positiva y otra negativa), se descartará el importe del Ajuste por Tamaño de la Posición sin Compensar que tenga menor importe.</w:t>
      </w:r>
    </w:p>
    <w:p w14:paraId="2BE2B78F" w14:textId="77777777" w:rsidR="007968EC" w:rsidRPr="005F10B9" w:rsidRDefault="007968EC" w:rsidP="007968EC">
      <w:pPr>
        <w:rPr>
          <w:rFonts w:ascii="Arial Narrow" w:hAnsi="Arial Narrow"/>
        </w:rPr>
      </w:pPr>
    </w:p>
    <w:p w14:paraId="33A8B920" w14:textId="77777777" w:rsidR="007968EC" w:rsidRPr="005F10B9" w:rsidRDefault="007968EC" w:rsidP="007968EC">
      <w:pPr>
        <w:rPr>
          <w:rFonts w:ascii="Arial Narrow" w:hAnsi="Arial Narrow" w:cs="Arial"/>
          <w:lang w:eastAsia="es-CO"/>
        </w:rPr>
      </w:pPr>
      <w:r w:rsidRPr="005F10B9">
        <w:rPr>
          <w:rFonts w:ascii="Arial Narrow" w:hAnsi="Arial Narrow" w:cs="Arial"/>
          <w:lang w:eastAsia="es-CO"/>
        </w:rPr>
        <w:t>El importe final de la Garantía Inicial para cada cuenta será</w:t>
      </w:r>
      <w:r>
        <w:rPr>
          <w:rFonts w:ascii="Arial Narrow" w:hAnsi="Arial Narrow" w:cs="Arial"/>
          <w:lang w:eastAsia="es-CO"/>
        </w:rPr>
        <w:t xml:space="preserve"> la suma de la Garantía Inicial de los swaps de tasas de interés y la Garantía Inicial de los swaps de moneda, de acuerdo con la siguiente fórmula: </w:t>
      </w:r>
    </w:p>
    <w:p w14:paraId="6AD2C1BC" w14:textId="77777777" w:rsidR="007968EC" w:rsidRPr="005F10B9" w:rsidRDefault="007968EC" w:rsidP="007968EC">
      <w:pPr>
        <w:rPr>
          <w:rFonts w:ascii="Arial Narrow" w:hAnsi="Arial Narrow" w:cs="Arial"/>
          <w:lang w:eastAsia="es-CO"/>
        </w:rPr>
      </w:pPr>
    </w:p>
    <w:p w14:paraId="325F4395" w14:textId="77777777" w:rsidR="007968EC" w:rsidRDefault="007968EC" w:rsidP="007968EC">
      <w:pPr>
        <w:rPr>
          <w:rFonts w:ascii="Arial Narrow" w:hAnsi="Arial Narrow"/>
        </w:rPr>
      </w:pPr>
    </w:p>
    <w:p w14:paraId="0BB06F64" w14:textId="77777777" w:rsidR="007968EC" w:rsidRPr="00D21D10" w:rsidRDefault="00682D97" w:rsidP="007968EC">
      <w:pPr>
        <w:rPr>
          <w:rFonts w:ascii="Arial Narrow" w:hAnsi="Arial Narrow"/>
          <w:b/>
        </w:rPr>
      </w:pPr>
      <m:oMathPara>
        <m:oMath>
          <m:sSub>
            <m:sSubPr>
              <m:ctrlPr>
                <w:rPr>
                  <w:rFonts w:ascii="Cambria Math" w:hAnsi="Cambria Math"/>
                </w:rPr>
              </m:ctrlPr>
            </m:sSubPr>
            <m:e>
              <m:r>
                <m:rPr>
                  <m:sty m:val="bi"/>
                </m:rPr>
                <w:rPr>
                  <w:rFonts w:ascii="Cambria Math" w:hAnsi="Cambria Math"/>
                </w:rPr>
                <m:t>Garantía Inicial Cuenta</m:t>
              </m:r>
            </m:e>
            <m:sub>
              <m:r>
                <m:rPr>
                  <m:sty m:val="bi"/>
                </m:rPr>
                <w:rPr>
                  <w:rFonts w:ascii="Cambria Math" w:hAnsi="Cambria Math"/>
                </w:rPr>
                <m:t>i</m:t>
              </m:r>
            </m:sub>
          </m:sSub>
          <m:r>
            <m:rPr>
              <m:sty m:val="bi"/>
            </m:rPr>
            <w:rPr>
              <w:rFonts w:ascii="Cambria Math" w:hAnsi="Cambria Math"/>
            </w:rPr>
            <m:t>=</m:t>
          </m:r>
          <m:nary>
            <m:naryPr>
              <m:chr m:val="∑"/>
              <m:limLoc m:val="undOvr"/>
              <m:supHide m:val="1"/>
              <m:ctrlPr>
                <w:rPr>
                  <w:rFonts w:ascii="Cambria Math" w:hAnsi="Cambria Math"/>
                  <w:b/>
                  <w:i/>
                </w:rPr>
              </m:ctrlPr>
            </m:naryPr>
            <m:sub>
              <m:r>
                <m:rPr>
                  <m:sty m:val="bi"/>
                </m:rPr>
                <w:rPr>
                  <w:rFonts w:ascii="Cambria Math" w:hAnsi="Cambria Math"/>
                </w:rPr>
                <m:t>j</m:t>
              </m:r>
            </m:sub>
            <m:sup/>
            <m:e>
              <m:r>
                <m:rPr>
                  <m:sty m:val="bi"/>
                </m:rPr>
                <w:rPr>
                  <w:rFonts w:ascii="Cambria Math" w:hAnsi="Cambria Math"/>
                </w:rPr>
                <m:t xml:space="preserve">Max </m:t>
              </m:r>
              <m:d>
                <m:dPr>
                  <m:ctrlPr>
                    <w:rPr>
                      <w:rFonts w:ascii="Cambria Math" w:hAnsi="Cambria Math"/>
                      <w:b/>
                      <w:i/>
                    </w:rPr>
                  </m:ctrlPr>
                </m:dPr>
                <m:e>
                  <m:sSub>
                    <m:sSubPr>
                      <m:ctrlPr>
                        <w:rPr>
                          <w:rFonts w:ascii="Cambria Math" w:hAnsi="Cambria Math"/>
                          <w:b/>
                          <w:i/>
                        </w:rPr>
                      </m:ctrlPr>
                    </m:sSubPr>
                    <m:e>
                      <m:r>
                        <m:rPr>
                          <m:sty m:val="bi"/>
                        </m:rPr>
                        <w:rPr>
                          <w:rFonts w:ascii="Cambria Math" w:hAnsi="Cambria Math"/>
                        </w:rPr>
                        <m:t>HVaR</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ES</m:t>
                      </m:r>
                    </m:e>
                    <m:sub>
                      <m:r>
                        <m:rPr>
                          <m:sty m:val="bi"/>
                        </m:rPr>
                        <w:rPr>
                          <w:rFonts w:ascii="Cambria Math" w:hAnsi="Cambria Math"/>
                        </w:rPr>
                        <m:t>j</m:t>
                      </m:r>
                    </m:sub>
                  </m:sSub>
                </m:e>
              </m:d>
              <m:r>
                <m:rPr>
                  <m:sty m:val="bi"/>
                </m:rPr>
                <w:rPr>
                  <w:rFonts w:ascii="Cambria Math" w:hAnsi="Cambria Math"/>
                </w:rPr>
                <m:t>+</m:t>
              </m:r>
              <m:sSub>
                <m:sSubPr>
                  <m:ctrlPr>
                    <w:rPr>
                      <w:rFonts w:ascii="Cambria Math" w:hAnsi="Cambria Math"/>
                      <w:b/>
                      <w:i/>
                    </w:rPr>
                  </m:ctrlPr>
                </m:sSubPr>
                <m:e>
                  <m:r>
                    <m:rPr>
                      <m:sty m:val="bi"/>
                    </m:rPr>
                    <w:rPr>
                      <w:rFonts w:ascii="Cambria Math" w:hAnsi="Cambria Math"/>
                    </w:rPr>
                    <m:t>ATP</m:t>
                  </m:r>
                </m:e>
                <m:sub>
                  <m:r>
                    <m:rPr>
                      <m:sty m:val="bi"/>
                    </m:rPr>
                    <w:rPr>
                      <w:rFonts w:ascii="Cambria Math" w:hAnsi="Cambria Math"/>
                    </w:rPr>
                    <m:t>j</m:t>
                  </m:r>
                </m:sub>
              </m:sSub>
            </m:e>
          </m:nary>
        </m:oMath>
      </m:oMathPara>
    </w:p>
    <w:p w14:paraId="0AAE1504" w14:textId="77777777" w:rsidR="007968EC" w:rsidRDefault="007968EC" w:rsidP="007968EC">
      <w:pPr>
        <w:tabs>
          <w:tab w:val="left" w:pos="0"/>
          <w:tab w:val="left" w:pos="709"/>
        </w:tabs>
        <w:rPr>
          <w:rFonts w:ascii="Arial Narrow" w:hAnsi="Arial Narrow"/>
        </w:rPr>
      </w:pPr>
      <w:r>
        <w:rPr>
          <w:rFonts w:ascii="Arial Narrow" w:hAnsi="Arial Narrow"/>
        </w:rPr>
        <w:t>Donde:</w:t>
      </w:r>
    </w:p>
    <w:p w14:paraId="5368EB15" w14:textId="77777777" w:rsidR="007968EC" w:rsidRDefault="007968EC" w:rsidP="007968EC">
      <w:pPr>
        <w:tabs>
          <w:tab w:val="left" w:pos="0"/>
          <w:tab w:val="left" w:pos="709"/>
        </w:tabs>
        <w:rPr>
          <w:rFonts w:ascii="Arial Narrow" w:hAnsi="Arial Narrow"/>
        </w:rPr>
      </w:pPr>
      <w:r>
        <w:rPr>
          <w:rFonts w:ascii="Arial Narrow" w:hAnsi="Arial Narrow"/>
        </w:rPr>
        <w:t>i: Las diferentes cuentas del Miembro</w:t>
      </w:r>
    </w:p>
    <w:p w14:paraId="7B0F5A0B" w14:textId="77777777" w:rsidR="007968EC" w:rsidRDefault="007968EC" w:rsidP="007968EC">
      <w:pPr>
        <w:tabs>
          <w:tab w:val="left" w:pos="0"/>
          <w:tab w:val="left" w:pos="709"/>
        </w:tabs>
        <w:rPr>
          <w:rFonts w:ascii="Arial Narrow" w:hAnsi="Arial Narrow"/>
        </w:rPr>
      </w:pPr>
      <w:r>
        <w:rPr>
          <w:rFonts w:ascii="Arial Narrow" w:hAnsi="Arial Narrow"/>
        </w:rPr>
        <w:t>j: Swaps de tasas de interés, Swaps de moneda</w:t>
      </w:r>
    </w:p>
    <w:p w14:paraId="16FE5AE6" w14:textId="77777777" w:rsidR="007968EC" w:rsidRPr="005F10B9" w:rsidRDefault="007968EC" w:rsidP="007968EC">
      <w:pPr>
        <w:rPr>
          <w:rFonts w:ascii="Arial Narrow" w:hAnsi="Arial Narrow"/>
        </w:rPr>
      </w:pPr>
    </w:p>
    <w:p w14:paraId="36F1E99F" w14:textId="77777777" w:rsidR="007968EC" w:rsidRPr="005F10B9" w:rsidRDefault="007968EC" w:rsidP="007968EC">
      <w:pPr>
        <w:pStyle w:val="ARTICULO0"/>
      </w:pPr>
      <w:bookmarkStart w:id="6403" w:name="_Toc31716526"/>
      <w:r w:rsidRPr="005F10B9">
        <w:t>Artículo 5.5.2.5. Parámetros para cálculo de Garantía por Posición Inicial.</w:t>
      </w:r>
      <w:bookmarkEnd w:id="6403"/>
      <w:r w:rsidRPr="005F10B9">
        <w:t xml:space="preserve"> </w:t>
      </w:r>
    </w:p>
    <w:p w14:paraId="799C37D9" w14:textId="77777777" w:rsidR="007968EC" w:rsidRDefault="007968EC" w:rsidP="007968EC">
      <w:pPr>
        <w:rPr>
          <w:rFonts w:ascii="Arial Narrow" w:hAnsi="Arial Narrow"/>
          <w:b/>
        </w:rPr>
      </w:pPr>
    </w:p>
    <w:p w14:paraId="79177DC9" w14:textId="77777777" w:rsidR="007968EC" w:rsidRPr="000C31A5" w:rsidRDefault="007968EC" w:rsidP="007968EC">
      <w:pPr>
        <w:pStyle w:val="ARTICULO0"/>
        <w:rPr>
          <w:u w:val="none"/>
        </w:rPr>
      </w:pPr>
      <w:bookmarkStart w:id="6404" w:name="_Toc31716527"/>
      <w:r w:rsidRPr="000508BE">
        <w:rPr>
          <w:u w:val="none"/>
        </w:rPr>
        <w:t>(Este artículo fue modificado</w:t>
      </w:r>
      <w:r>
        <w:rPr>
          <w:u w:val="none"/>
        </w:rPr>
        <w:t xml:space="preserve"> </w:t>
      </w:r>
      <w:r w:rsidRPr="000C31A5">
        <w:rPr>
          <w:u w:val="none"/>
        </w:rPr>
        <w:t>mediante Circular 19 del 22 de noviembre de 2019, publicada en el Boletín Normativo No. 034 del 22 de noviembre de 2019. Rige a partir del 25 de noviembre de 2019).</w:t>
      </w:r>
      <w:bookmarkEnd w:id="6404"/>
    </w:p>
    <w:p w14:paraId="15416EE6" w14:textId="77777777" w:rsidR="007968EC" w:rsidRPr="005F10B9" w:rsidRDefault="007968EC" w:rsidP="007968EC">
      <w:pPr>
        <w:rPr>
          <w:rFonts w:ascii="Arial Narrow" w:hAnsi="Arial Narrow"/>
          <w:b/>
        </w:rPr>
      </w:pPr>
    </w:p>
    <w:p w14:paraId="0A48302B" w14:textId="77777777" w:rsidR="007968EC" w:rsidRPr="005F10B9" w:rsidRDefault="007968EC" w:rsidP="007968EC">
      <w:pPr>
        <w:jc w:val="both"/>
        <w:rPr>
          <w:rFonts w:ascii="Arial Narrow" w:hAnsi="Arial Narrow"/>
        </w:rPr>
      </w:pPr>
      <w:r w:rsidRPr="005F10B9">
        <w:rPr>
          <w:rFonts w:ascii="Arial Narrow" w:hAnsi="Arial Narrow"/>
        </w:rPr>
        <w:t>A continuación, se definen el valor de los parámetros utilizados para calcular la Garantía Inicial (IM):</w:t>
      </w:r>
    </w:p>
    <w:p w14:paraId="0E6CA775" w14:textId="77777777" w:rsidR="007968EC" w:rsidRPr="005F10B9" w:rsidRDefault="007968EC" w:rsidP="007968EC">
      <w:pPr>
        <w:jc w:val="both"/>
        <w:rPr>
          <w:rFonts w:ascii="Arial Narrow" w:hAnsi="Arial Narrow"/>
        </w:rPr>
      </w:pPr>
    </w:p>
    <w:p w14:paraId="7960F211" w14:textId="77777777" w:rsidR="007968EC" w:rsidRPr="005F10B9" w:rsidRDefault="007968EC" w:rsidP="00DA7472">
      <w:pPr>
        <w:numPr>
          <w:ilvl w:val="0"/>
          <w:numId w:val="349"/>
        </w:numPr>
        <w:jc w:val="both"/>
        <w:rPr>
          <w:rFonts w:ascii="Arial Narrow" w:hAnsi="Arial Narrow" w:cs="Arial"/>
          <w:b/>
          <w:lang w:eastAsia="es-CO"/>
        </w:rPr>
      </w:pPr>
      <w:r w:rsidRPr="005F10B9">
        <w:rPr>
          <w:rFonts w:ascii="Arial Narrow" w:hAnsi="Arial Narrow" w:cs="Arial"/>
          <w:lang w:eastAsia="es-CO"/>
        </w:rPr>
        <w:t xml:space="preserve">Número de sesiones a utilizar: Al menos, las ultimas </w:t>
      </w:r>
      <w:r>
        <w:rPr>
          <w:rFonts w:ascii="Arial Narrow" w:hAnsi="Arial Narrow" w:cs="Arial"/>
          <w:lang w:eastAsia="es-CO"/>
        </w:rPr>
        <w:t>1400</w:t>
      </w:r>
      <w:r w:rsidRPr="005F10B9">
        <w:rPr>
          <w:rFonts w:ascii="Arial Narrow" w:hAnsi="Arial Narrow" w:cs="Arial"/>
          <w:lang w:eastAsia="es-CO"/>
        </w:rPr>
        <w:t xml:space="preserve"> sesiones. Este es el panel de datos para el cálculo del </w:t>
      </w:r>
      <w:proofErr w:type="spellStart"/>
      <w:r w:rsidRPr="005F10B9">
        <w:rPr>
          <w:rFonts w:ascii="Arial Narrow" w:hAnsi="Arial Narrow" w:cs="Arial"/>
          <w:lang w:eastAsia="es-CO"/>
        </w:rPr>
        <w:t>HVaR</w:t>
      </w:r>
      <w:proofErr w:type="spellEnd"/>
      <w:r w:rsidRPr="005F10B9">
        <w:rPr>
          <w:rFonts w:ascii="Arial Narrow" w:hAnsi="Arial Narrow" w:cs="Arial"/>
          <w:lang w:eastAsia="es-CO"/>
        </w:rPr>
        <w:t xml:space="preserve"> y el ES.</w:t>
      </w:r>
    </w:p>
    <w:p w14:paraId="173369B8" w14:textId="77777777" w:rsidR="007968EC" w:rsidRPr="005F10B9" w:rsidRDefault="007968EC" w:rsidP="007968EC">
      <w:pPr>
        <w:ind w:left="720"/>
        <w:jc w:val="both"/>
        <w:rPr>
          <w:rFonts w:ascii="Arial Narrow" w:hAnsi="Arial Narrow" w:cs="Arial"/>
          <w:b/>
          <w:lang w:eastAsia="es-CO"/>
        </w:rPr>
      </w:pPr>
    </w:p>
    <w:p w14:paraId="2A6B6EEB" w14:textId="77777777" w:rsidR="007968EC" w:rsidRPr="005F10B9" w:rsidRDefault="007968EC" w:rsidP="00DA7472">
      <w:pPr>
        <w:numPr>
          <w:ilvl w:val="0"/>
          <w:numId w:val="349"/>
        </w:numPr>
        <w:jc w:val="both"/>
        <w:rPr>
          <w:rFonts w:ascii="Arial Narrow" w:hAnsi="Arial Narrow" w:cs="Arial"/>
          <w:b/>
          <w:lang w:eastAsia="es-CO"/>
        </w:rPr>
      </w:pPr>
      <w:r w:rsidRPr="005F10B9">
        <w:rPr>
          <w:rFonts w:ascii="Arial Narrow" w:hAnsi="Arial Narrow" w:cs="Arial"/>
          <w:lang w:eastAsia="es-CO"/>
        </w:rPr>
        <w:t xml:space="preserve">Margin </w:t>
      </w:r>
      <w:proofErr w:type="spellStart"/>
      <w:r w:rsidRPr="005F10B9">
        <w:rPr>
          <w:rFonts w:ascii="Arial Narrow" w:hAnsi="Arial Narrow" w:cs="Arial"/>
          <w:lang w:eastAsia="es-CO"/>
        </w:rPr>
        <w:t>Period</w:t>
      </w:r>
      <w:proofErr w:type="spellEnd"/>
      <w:r w:rsidRPr="005F10B9">
        <w:rPr>
          <w:rFonts w:ascii="Arial Narrow" w:hAnsi="Arial Narrow" w:cs="Arial"/>
          <w:lang w:eastAsia="es-CO"/>
        </w:rPr>
        <w:t xml:space="preserve"> </w:t>
      </w:r>
      <w:proofErr w:type="spellStart"/>
      <w:r w:rsidRPr="005F10B9">
        <w:rPr>
          <w:rFonts w:ascii="Arial Narrow" w:hAnsi="Arial Narrow" w:cs="Arial"/>
          <w:lang w:eastAsia="es-CO"/>
        </w:rPr>
        <w:t>of</w:t>
      </w:r>
      <w:proofErr w:type="spellEnd"/>
      <w:r w:rsidRPr="005F10B9">
        <w:rPr>
          <w:rFonts w:ascii="Arial Narrow" w:hAnsi="Arial Narrow" w:cs="Arial"/>
          <w:lang w:eastAsia="es-CO"/>
        </w:rPr>
        <w:t xml:space="preserve"> Risk (MPOR): Número de días necesarios que se estima para cerrar una Posición de forma genérica, es decir, el horizonte de tiempo dentro del cálculo del </w:t>
      </w:r>
      <w:proofErr w:type="spellStart"/>
      <w:r w:rsidRPr="005F10B9">
        <w:rPr>
          <w:rFonts w:ascii="Arial Narrow" w:hAnsi="Arial Narrow" w:cs="Arial"/>
          <w:lang w:eastAsia="es-CO"/>
        </w:rPr>
        <w:t>HVaR</w:t>
      </w:r>
      <w:proofErr w:type="spellEnd"/>
      <w:r w:rsidRPr="005F10B9">
        <w:rPr>
          <w:rFonts w:ascii="Arial Narrow" w:hAnsi="Arial Narrow" w:cs="Arial"/>
          <w:lang w:eastAsia="es-CO"/>
        </w:rPr>
        <w:t xml:space="preserve"> y el ES, 5 días para Posición propia. </w:t>
      </w:r>
    </w:p>
    <w:p w14:paraId="768AF440" w14:textId="77777777" w:rsidR="007968EC" w:rsidRPr="005F10B9" w:rsidRDefault="007968EC" w:rsidP="007968EC">
      <w:pPr>
        <w:ind w:left="720"/>
        <w:jc w:val="both"/>
        <w:rPr>
          <w:rFonts w:ascii="Arial Narrow" w:hAnsi="Arial Narrow" w:cs="Arial"/>
          <w:b/>
          <w:lang w:eastAsia="es-CO"/>
        </w:rPr>
      </w:pPr>
    </w:p>
    <w:p w14:paraId="4BC93502" w14:textId="77777777" w:rsidR="007968EC" w:rsidRPr="005F10B9" w:rsidRDefault="007968EC" w:rsidP="00DA7472">
      <w:pPr>
        <w:numPr>
          <w:ilvl w:val="0"/>
          <w:numId w:val="349"/>
        </w:numPr>
        <w:jc w:val="both"/>
        <w:rPr>
          <w:rFonts w:ascii="Arial Narrow" w:hAnsi="Arial Narrow" w:cs="Arial"/>
          <w:b/>
          <w:lang w:eastAsia="es-CO"/>
        </w:rPr>
      </w:pPr>
      <w:r w:rsidRPr="005F10B9">
        <w:rPr>
          <w:rFonts w:ascii="Arial Narrow" w:hAnsi="Arial Narrow" w:cs="Arial"/>
          <w:lang w:eastAsia="es-CO"/>
        </w:rPr>
        <w:t xml:space="preserve">Escenarios Analizados: Escenarios que se analizan. Al menos serán </w:t>
      </w:r>
      <w:r>
        <w:rPr>
          <w:rFonts w:ascii="Arial Narrow" w:hAnsi="Arial Narrow" w:cs="Arial"/>
          <w:lang w:eastAsia="es-CO"/>
        </w:rPr>
        <w:t>1395</w:t>
      </w:r>
      <w:r w:rsidRPr="005F10B9">
        <w:rPr>
          <w:rFonts w:ascii="Arial Narrow" w:hAnsi="Arial Narrow" w:cs="Arial"/>
          <w:lang w:eastAsia="es-CO"/>
        </w:rPr>
        <w:t xml:space="preserve"> escenarios, se incrementará a diario hasta completar 2520.</w:t>
      </w:r>
    </w:p>
    <w:p w14:paraId="01036E03" w14:textId="77777777" w:rsidR="007968EC" w:rsidRPr="005F10B9" w:rsidRDefault="007968EC" w:rsidP="007968EC">
      <w:pPr>
        <w:ind w:left="720"/>
        <w:jc w:val="both"/>
        <w:rPr>
          <w:rFonts w:ascii="Arial Narrow" w:hAnsi="Arial Narrow" w:cs="Arial"/>
          <w:b/>
          <w:lang w:eastAsia="es-CO"/>
        </w:rPr>
      </w:pPr>
    </w:p>
    <w:p w14:paraId="7BA02C39" w14:textId="77777777" w:rsidR="007968EC" w:rsidRPr="005F10B9" w:rsidRDefault="007968EC" w:rsidP="00DA7472">
      <w:pPr>
        <w:numPr>
          <w:ilvl w:val="0"/>
          <w:numId w:val="349"/>
        </w:numPr>
        <w:jc w:val="both"/>
        <w:rPr>
          <w:rFonts w:ascii="Arial Narrow" w:hAnsi="Arial Narrow" w:cs="Arial"/>
          <w:b/>
          <w:lang w:eastAsia="es-CO"/>
        </w:rPr>
      </w:pPr>
      <w:r w:rsidRPr="005F10B9">
        <w:rPr>
          <w:rFonts w:ascii="Arial Narrow" w:hAnsi="Arial Narrow" w:cs="Arial"/>
          <w:lang w:eastAsia="es-CO"/>
        </w:rPr>
        <w:t>Peores Escenarios: El número correspondiente a los Peores Escenarios será el que corresponda al nivel de confianza definido.</w:t>
      </w:r>
    </w:p>
    <w:p w14:paraId="4ACD7D52" w14:textId="77777777" w:rsidR="007968EC" w:rsidRPr="005F10B9" w:rsidRDefault="007968EC" w:rsidP="007968EC">
      <w:pPr>
        <w:ind w:left="720"/>
        <w:jc w:val="both"/>
        <w:rPr>
          <w:rFonts w:ascii="Arial Narrow" w:hAnsi="Arial Narrow" w:cs="Arial"/>
          <w:b/>
          <w:lang w:eastAsia="es-CO"/>
        </w:rPr>
      </w:pPr>
    </w:p>
    <w:p w14:paraId="484D867C" w14:textId="77777777" w:rsidR="007968EC" w:rsidRPr="005F10B9" w:rsidRDefault="007968EC" w:rsidP="00DA7472">
      <w:pPr>
        <w:numPr>
          <w:ilvl w:val="0"/>
          <w:numId w:val="349"/>
        </w:numPr>
        <w:jc w:val="both"/>
        <w:rPr>
          <w:rFonts w:ascii="Arial Narrow" w:hAnsi="Arial Narrow" w:cs="Arial"/>
          <w:b/>
          <w:lang w:eastAsia="es-CO"/>
        </w:rPr>
      </w:pPr>
      <w:r w:rsidRPr="005F10B9">
        <w:rPr>
          <w:rFonts w:ascii="Arial Narrow" w:hAnsi="Arial Narrow" w:cs="Arial"/>
          <w:lang w:eastAsia="es-CO"/>
        </w:rPr>
        <w:t>Nivel de confianza VaR Histórico: Nivel de confianza utilizado para calcular la Garantía Inicial Base según el VaR Histórico. 99,5%.</w:t>
      </w:r>
    </w:p>
    <w:p w14:paraId="612D18C3" w14:textId="77777777" w:rsidR="007968EC" w:rsidRPr="005F10B9" w:rsidRDefault="007968EC" w:rsidP="007968EC">
      <w:pPr>
        <w:ind w:left="720"/>
        <w:jc w:val="both"/>
        <w:rPr>
          <w:rFonts w:ascii="Arial Narrow" w:hAnsi="Arial Narrow" w:cs="Arial"/>
          <w:b/>
          <w:lang w:eastAsia="es-CO"/>
        </w:rPr>
      </w:pPr>
    </w:p>
    <w:p w14:paraId="1A1BE941" w14:textId="77777777" w:rsidR="007968EC" w:rsidRPr="005F10B9" w:rsidRDefault="007968EC" w:rsidP="00DA7472">
      <w:pPr>
        <w:numPr>
          <w:ilvl w:val="0"/>
          <w:numId w:val="349"/>
        </w:numPr>
        <w:jc w:val="both"/>
        <w:rPr>
          <w:rFonts w:ascii="Arial Narrow" w:hAnsi="Arial Narrow" w:cs="Arial"/>
          <w:b/>
          <w:lang w:eastAsia="es-CO"/>
        </w:rPr>
      </w:pPr>
      <w:r w:rsidRPr="005F10B9">
        <w:rPr>
          <w:rFonts w:ascii="Arial Narrow" w:hAnsi="Arial Narrow" w:cs="Arial"/>
          <w:lang w:eastAsia="es-CO"/>
        </w:rPr>
        <w:t>Peor Escenario con el Nivel de Confianza del VaR Histórico: Utilizando el Nivel de Confianza del VaR Histórico del 99,5% y 1260 escenarios analizados el 6º peor escenario para la cuenta es el escenario elegido.</w:t>
      </w:r>
    </w:p>
    <w:p w14:paraId="3BD0121E" w14:textId="77777777" w:rsidR="007968EC" w:rsidRPr="005F10B9" w:rsidRDefault="007968EC" w:rsidP="007968EC">
      <w:pPr>
        <w:ind w:left="720"/>
        <w:jc w:val="both"/>
        <w:rPr>
          <w:rFonts w:ascii="Arial Narrow" w:hAnsi="Arial Narrow" w:cs="Arial"/>
          <w:b/>
          <w:lang w:eastAsia="es-CO"/>
        </w:rPr>
      </w:pPr>
    </w:p>
    <w:p w14:paraId="3853E8E2" w14:textId="77777777" w:rsidR="007968EC" w:rsidRPr="005F10B9" w:rsidRDefault="007968EC" w:rsidP="00DA7472">
      <w:pPr>
        <w:numPr>
          <w:ilvl w:val="0"/>
          <w:numId w:val="349"/>
        </w:numPr>
        <w:jc w:val="both"/>
        <w:rPr>
          <w:rFonts w:ascii="Arial Narrow" w:hAnsi="Arial Narrow" w:cs="Arial"/>
          <w:b/>
          <w:lang w:eastAsia="es-CO"/>
        </w:rPr>
      </w:pPr>
      <w:r w:rsidRPr="005F10B9">
        <w:rPr>
          <w:rFonts w:ascii="Arial Narrow" w:hAnsi="Arial Narrow" w:cs="Arial"/>
          <w:lang w:eastAsia="es-CO"/>
        </w:rPr>
        <w:t>Factor de Decaimiento: Valor entre 0 y 1 que se utiliza en el método de Media Móvil Exponencialmente Ponderada (EWMA) utilizado para el cálculo del ES. El valor tomado es de 0,992.</w:t>
      </w:r>
    </w:p>
    <w:p w14:paraId="0619F3BB" w14:textId="77777777" w:rsidR="007968EC" w:rsidRPr="005F10B9" w:rsidRDefault="007968EC" w:rsidP="007968EC">
      <w:pPr>
        <w:ind w:left="720"/>
        <w:jc w:val="both"/>
        <w:rPr>
          <w:rFonts w:ascii="Arial Narrow" w:hAnsi="Arial Narrow" w:cs="Arial"/>
          <w:b/>
          <w:lang w:eastAsia="es-CO"/>
        </w:rPr>
      </w:pPr>
    </w:p>
    <w:p w14:paraId="2CA8074E" w14:textId="77777777" w:rsidR="007968EC" w:rsidRPr="005F10B9" w:rsidRDefault="007968EC" w:rsidP="00DA7472">
      <w:pPr>
        <w:numPr>
          <w:ilvl w:val="0"/>
          <w:numId w:val="349"/>
        </w:numPr>
        <w:jc w:val="both"/>
        <w:rPr>
          <w:rFonts w:ascii="Arial Narrow" w:hAnsi="Arial Narrow" w:cs="Arial"/>
          <w:b/>
          <w:lang w:eastAsia="es-CO"/>
        </w:rPr>
      </w:pPr>
      <w:r w:rsidRPr="005F10B9">
        <w:rPr>
          <w:rFonts w:ascii="Arial Narrow" w:hAnsi="Arial Narrow" w:cs="Arial"/>
          <w:lang w:eastAsia="es-CO"/>
        </w:rPr>
        <w:t>Escenarios con Mayores Pérdidas: Número de escenarios que se utilizan en el algoritmo de Máxima Pérdida Esperada (ES) para obtener, usando un promedio de los Peores Escenarios, el valor de la máxima perdida esperada para la cuenta. Se seleccionan los Peores Escenarios para cada cuenta considerando el nivel de confianza definido.</w:t>
      </w:r>
    </w:p>
    <w:p w14:paraId="452D01EB" w14:textId="77777777" w:rsidR="007968EC" w:rsidRPr="005F10B9" w:rsidRDefault="007968EC" w:rsidP="007968EC">
      <w:pPr>
        <w:ind w:left="720"/>
        <w:jc w:val="both"/>
        <w:rPr>
          <w:rFonts w:ascii="Arial Narrow" w:hAnsi="Arial Narrow" w:cs="Arial"/>
          <w:b/>
          <w:lang w:eastAsia="es-CO"/>
        </w:rPr>
      </w:pPr>
    </w:p>
    <w:p w14:paraId="6AAF7241" w14:textId="77777777" w:rsidR="007968EC" w:rsidRPr="005F10B9" w:rsidRDefault="007968EC" w:rsidP="00DA7472">
      <w:pPr>
        <w:numPr>
          <w:ilvl w:val="0"/>
          <w:numId w:val="349"/>
        </w:numPr>
        <w:jc w:val="both"/>
        <w:rPr>
          <w:rFonts w:ascii="Arial Narrow" w:hAnsi="Arial Narrow" w:cs="Arial"/>
          <w:b/>
          <w:lang w:eastAsia="es-CO"/>
        </w:rPr>
      </w:pPr>
      <w:proofErr w:type="spellStart"/>
      <w:r w:rsidRPr="005F10B9">
        <w:rPr>
          <w:rFonts w:ascii="Arial Narrow" w:hAnsi="Arial Narrow" w:cs="Arial"/>
          <w:lang w:eastAsia="es-CO"/>
        </w:rPr>
        <w:t>Buckets</w:t>
      </w:r>
      <w:proofErr w:type="spellEnd"/>
      <w:r w:rsidRPr="005F10B9">
        <w:rPr>
          <w:rFonts w:ascii="Arial Narrow" w:hAnsi="Arial Narrow" w:cs="Arial"/>
          <w:lang w:eastAsia="es-CO"/>
        </w:rPr>
        <w:t xml:space="preserve"> analizados: Tramos utilizados para realizar el Ajuste por Tamaño de la Posición, el 1, 2, 5, 10 y 15 años de acuerdo con el mercado.</w:t>
      </w:r>
    </w:p>
    <w:p w14:paraId="67BF184E" w14:textId="77777777" w:rsidR="007968EC" w:rsidRPr="005F10B9" w:rsidRDefault="007968EC" w:rsidP="007968EC">
      <w:pPr>
        <w:jc w:val="both"/>
        <w:rPr>
          <w:rFonts w:ascii="Arial Narrow" w:hAnsi="Arial Narrow"/>
        </w:rPr>
      </w:pPr>
    </w:p>
    <w:p w14:paraId="2914495F" w14:textId="77777777" w:rsidR="007968EC" w:rsidRPr="005F10B9" w:rsidRDefault="007968EC" w:rsidP="007968EC">
      <w:pPr>
        <w:pStyle w:val="ARTICULO0"/>
      </w:pPr>
      <w:bookmarkStart w:id="6405" w:name="_Toc31716528"/>
      <w:r w:rsidRPr="005F10B9">
        <w:t>Artículo 5.5.2.6. Determinación de la Garantía por Posición Variable (VM) sobre Swaps y del PA.</w:t>
      </w:r>
      <w:bookmarkEnd w:id="6405"/>
    </w:p>
    <w:p w14:paraId="0A4F7D9C" w14:textId="77777777" w:rsidR="007968EC" w:rsidRPr="005F10B9" w:rsidRDefault="007968EC" w:rsidP="007968EC">
      <w:pPr>
        <w:keepNext/>
        <w:tabs>
          <w:tab w:val="left" w:pos="1701"/>
        </w:tabs>
        <w:jc w:val="both"/>
        <w:outlineLvl w:val="2"/>
        <w:rPr>
          <w:rFonts w:ascii="Arial Narrow" w:hAnsi="Arial Narrow" w:cs="Arial"/>
          <w:b/>
          <w:color w:val="000000" w:themeColor="text1"/>
          <w:u w:val="single"/>
          <w:lang w:eastAsia="es-ES"/>
        </w:rPr>
      </w:pPr>
    </w:p>
    <w:p w14:paraId="269270B6" w14:textId="77777777" w:rsidR="007968EC" w:rsidRPr="000C31A5" w:rsidRDefault="007968EC" w:rsidP="007968EC">
      <w:pPr>
        <w:pStyle w:val="ARTICULO0"/>
        <w:rPr>
          <w:u w:val="none"/>
        </w:rPr>
      </w:pPr>
      <w:bookmarkStart w:id="6406" w:name="_Toc31716529"/>
      <w:r w:rsidRPr="000508BE">
        <w:rPr>
          <w:rFonts w:eastAsia="Calibri"/>
          <w:u w:val="none"/>
        </w:rPr>
        <w:t>(Este artículo fue modificado</w:t>
      </w:r>
      <w:r w:rsidRPr="000508BE">
        <w:rPr>
          <w:u w:val="none"/>
        </w:rPr>
        <w:t xml:space="preserve"> mediante Circular 19 del 22 de noviembre de 2019, publicada en el </w:t>
      </w:r>
      <w:r w:rsidRPr="000C31A5">
        <w:rPr>
          <w:u w:val="none"/>
        </w:rPr>
        <w:t>Boletín Normativo No. 034 del 22 de noviembre de 2019. Rige a partir del 25 de noviembre de 2019).</w:t>
      </w:r>
      <w:bookmarkEnd w:id="6406"/>
    </w:p>
    <w:p w14:paraId="5AFAC1F1" w14:textId="77777777" w:rsidR="007968EC" w:rsidRDefault="007968EC" w:rsidP="007968EC">
      <w:pPr>
        <w:jc w:val="both"/>
        <w:rPr>
          <w:rFonts w:ascii="Arial Narrow" w:eastAsia="Calibri" w:hAnsi="Arial Narrow"/>
          <w:color w:val="000000" w:themeColor="text1"/>
        </w:rPr>
      </w:pPr>
    </w:p>
    <w:p w14:paraId="60EF33DC" w14:textId="77777777" w:rsidR="007968EC" w:rsidRPr="005F10B9" w:rsidRDefault="007968EC" w:rsidP="007968EC">
      <w:pPr>
        <w:jc w:val="both"/>
        <w:rPr>
          <w:rFonts w:ascii="Arial Narrow" w:eastAsia="Calibri" w:hAnsi="Arial Narrow"/>
          <w:color w:val="000000" w:themeColor="text1"/>
          <w:highlight w:val="yellow"/>
        </w:rPr>
      </w:pPr>
      <w:r w:rsidRPr="005F10B9">
        <w:rPr>
          <w:rFonts w:ascii="Arial Narrow" w:eastAsia="Calibri" w:hAnsi="Arial Narrow"/>
          <w:color w:val="000000" w:themeColor="text1"/>
        </w:rPr>
        <w:t xml:space="preserve">Las Posiciones Abiertas en Operaciones sobre Swaps serán valoradas diariamente descontando cada uno de sus flujos a Valor Presente Neto de acuerdo con lo descrito en </w:t>
      </w:r>
      <w:r>
        <w:rPr>
          <w:rFonts w:ascii="Arial Narrow" w:eastAsia="Calibri" w:hAnsi="Arial Narrow"/>
          <w:color w:val="000000" w:themeColor="text1"/>
        </w:rPr>
        <w:t>los</w:t>
      </w:r>
      <w:r w:rsidRPr="005F10B9">
        <w:rPr>
          <w:rFonts w:ascii="Arial Narrow" w:eastAsia="Calibri" w:hAnsi="Arial Narrow"/>
          <w:color w:val="000000" w:themeColor="text1"/>
        </w:rPr>
        <w:t xml:space="preserve"> artículo</w:t>
      </w:r>
      <w:r>
        <w:rPr>
          <w:rFonts w:ascii="Arial Narrow" w:eastAsia="Calibri" w:hAnsi="Arial Narrow"/>
          <w:color w:val="000000" w:themeColor="text1"/>
        </w:rPr>
        <w:t>s</w:t>
      </w:r>
      <w:r w:rsidRPr="005F10B9">
        <w:rPr>
          <w:rFonts w:ascii="Arial Narrow" w:eastAsia="Calibri" w:hAnsi="Arial Narrow"/>
          <w:color w:val="000000" w:themeColor="text1"/>
        </w:rPr>
        <w:t xml:space="preserve"> 5.5.3.2</w:t>
      </w:r>
      <w:r>
        <w:rPr>
          <w:rFonts w:ascii="Arial Narrow" w:eastAsia="Calibri" w:hAnsi="Arial Narrow"/>
          <w:color w:val="000000" w:themeColor="text1"/>
        </w:rPr>
        <w:t>,</w:t>
      </w:r>
      <w:r w:rsidRPr="005F10B9">
        <w:rPr>
          <w:rFonts w:ascii="Arial Narrow" w:eastAsia="Calibri" w:hAnsi="Arial Narrow"/>
          <w:color w:val="000000" w:themeColor="text1"/>
        </w:rPr>
        <w:t>5.5.3.3</w:t>
      </w:r>
      <w:r>
        <w:rPr>
          <w:rFonts w:ascii="Arial Narrow" w:eastAsia="Calibri" w:hAnsi="Arial Narrow"/>
          <w:color w:val="000000" w:themeColor="text1"/>
        </w:rPr>
        <w:t xml:space="preserve"> y 5.5.3.4</w:t>
      </w:r>
    </w:p>
    <w:p w14:paraId="53A55BAF" w14:textId="77777777" w:rsidR="007968EC" w:rsidRPr="005F10B9" w:rsidRDefault="007968EC" w:rsidP="007968EC">
      <w:pPr>
        <w:jc w:val="both"/>
        <w:rPr>
          <w:rFonts w:ascii="Arial Narrow" w:eastAsia="Calibri" w:hAnsi="Arial Narrow"/>
          <w:color w:val="000000" w:themeColor="text1"/>
          <w:highlight w:val="yellow"/>
        </w:rPr>
      </w:pPr>
    </w:p>
    <w:p w14:paraId="09BB1D79" w14:textId="77777777" w:rsidR="007968EC" w:rsidRPr="005F10B9" w:rsidRDefault="007968EC" w:rsidP="007968EC">
      <w:pPr>
        <w:jc w:val="both"/>
        <w:rPr>
          <w:rFonts w:ascii="Arial Narrow" w:eastAsia="Calibri" w:hAnsi="Arial Narrow"/>
          <w:color w:val="000000" w:themeColor="text1"/>
        </w:rPr>
      </w:pPr>
      <w:r w:rsidRPr="005F10B9">
        <w:rPr>
          <w:rFonts w:ascii="Arial Narrow" w:eastAsia="Calibri" w:hAnsi="Arial Narrow"/>
          <w:color w:val="000000" w:themeColor="text1"/>
        </w:rPr>
        <w:t>La Garantía por Posición Variable (VM) tiene por finalidad cubrir el riesgo asociado a la variación diaria del Valor Presente Neto, forma parte de la Garantía por Posición, se constituye únicamente en efectivo, y la fórmula de cálculo para una Cuenta en una sesión es:</w:t>
      </w:r>
    </w:p>
    <w:p w14:paraId="6A6656B7" w14:textId="77777777" w:rsidR="007968EC" w:rsidRPr="005F10B9" w:rsidRDefault="007968EC" w:rsidP="007968EC">
      <w:pPr>
        <w:jc w:val="both"/>
        <w:rPr>
          <w:rFonts w:ascii="Arial Narrow" w:eastAsia="Calibri" w:hAnsi="Arial Narrow"/>
          <w:color w:val="000000" w:themeColor="text1"/>
        </w:rPr>
      </w:pPr>
    </w:p>
    <w:p w14:paraId="73198750" w14:textId="77777777" w:rsidR="007968EC" w:rsidRPr="005F10B9" w:rsidRDefault="007968EC" w:rsidP="007968EC">
      <w:pPr>
        <w:autoSpaceDE w:val="0"/>
        <w:autoSpaceDN w:val="0"/>
        <w:adjustRightInd w:val="0"/>
        <w:ind w:left="720"/>
        <w:jc w:val="both"/>
        <w:rPr>
          <w:rFonts w:ascii="Arial Narrow" w:hAnsi="Arial Narrow" w:cs="Verdana"/>
          <w:bCs/>
          <w:lang w:eastAsia="es-CO"/>
        </w:rPr>
      </w:pPr>
      <m:oMathPara>
        <m:oMath>
          <m:r>
            <m:rPr>
              <m:sty m:val="bi"/>
            </m:rPr>
            <w:rPr>
              <w:rFonts w:ascii="Cambria Math" w:hAnsi="Cambria Math" w:cs="Verdana"/>
              <w:lang w:eastAsia="es-CO"/>
            </w:rPr>
            <m:t>∆</m:t>
          </m:r>
          <m:sSub>
            <m:sSubPr>
              <m:ctrlPr>
                <w:rPr>
                  <w:rFonts w:ascii="Cambria Math" w:hAnsi="Cambria Math" w:cs="Verdana"/>
                  <w:bCs/>
                  <w:i/>
                  <w:lang w:eastAsia="es-CO"/>
                </w:rPr>
              </m:ctrlPr>
            </m:sSubPr>
            <m:e>
              <m:r>
                <m:rPr>
                  <m:sty m:val="bi"/>
                </m:rPr>
                <w:rPr>
                  <w:rFonts w:ascii="Cambria Math" w:hAnsi="Cambria Math" w:cs="Verdana"/>
                  <w:lang w:eastAsia="es-CO"/>
                </w:rPr>
                <m:t>VM</m:t>
              </m:r>
            </m:e>
            <m:sub>
              <m:r>
                <m:rPr>
                  <m:sty m:val="bi"/>
                </m:rPr>
                <w:rPr>
                  <w:rFonts w:ascii="Cambria Math" w:hAnsi="Cambria Math" w:cs="Verdana"/>
                  <w:lang w:eastAsia="es-CO"/>
                </w:rPr>
                <m:t>t</m:t>
              </m:r>
            </m:sub>
          </m:sSub>
          <m:r>
            <m:rPr>
              <m:sty m:val="bi"/>
            </m:rPr>
            <w:rPr>
              <w:rFonts w:ascii="Cambria Math" w:hAnsi="Cambria Math" w:cs="Verdana"/>
              <w:lang w:eastAsia="es-CO"/>
            </w:rPr>
            <m:t>=</m:t>
          </m:r>
          <m:sSub>
            <m:sSubPr>
              <m:ctrlPr>
                <w:rPr>
                  <w:rFonts w:ascii="Cambria Math" w:hAnsi="Cambria Math" w:cs="Verdana"/>
                  <w:bCs/>
                  <w:i/>
                  <w:lang w:eastAsia="es-CO"/>
                </w:rPr>
              </m:ctrlPr>
            </m:sSubPr>
            <m:e>
              <m:r>
                <m:rPr>
                  <m:sty m:val="bi"/>
                </m:rPr>
                <w:rPr>
                  <w:rFonts w:ascii="Cambria Math" w:hAnsi="Cambria Math" w:cs="Verdana"/>
                  <w:lang w:eastAsia="es-CO"/>
                </w:rPr>
                <m:t>NPV</m:t>
              </m:r>
            </m:e>
            <m:sub>
              <m:r>
                <m:rPr>
                  <m:sty m:val="bi"/>
                </m:rPr>
                <w:rPr>
                  <w:rFonts w:ascii="Cambria Math" w:hAnsi="Cambria Math" w:cs="Verdana"/>
                  <w:lang w:eastAsia="es-CO"/>
                </w:rPr>
                <m:t>t</m:t>
              </m:r>
            </m:sub>
          </m:sSub>
          <m:r>
            <m:rPr>
              <m:sty m:val="bi"/>
            </m:rPr>
            <w:rPr>
              <w:rFonts w:ascii="Cambria Math" w:hAnsi="Cambria Math" w:cs="Verdana"/>
              <w:lang w:eastAsia="es-CO"/>
            </w:rPr>
            <m:t xml:space="preserve">- </m:t>
          </m:r>
          <m:sSub>
            <m:sSubPr>
              <m:ctrlPr>
                <w:rPr>
                  <w:rFonts w:ascii="Cambria Math" w:hAnsi="Cambria Math" w:cs="Verdana"/>
                  <w:bCs/>
                  <w:i/>
                  <w:lang w:eastAsia="es-CO"/>
                </w:rPr>
              </m:ctrlPr>
            </m:sSubPr>
            <m:e>
              <m:r>
                <m:rPr>
                  <m:sty m:val="bi"/>
                </m:rPr>
                <w:rPr>
                  <w:rFonts w:ascii="Cambria Math" w:hAnsi="Cambria Math" w:cs="Verdana"/>
                  <w:lang w:eastAsia="es-CO"/>
                </w:rPr>
                <m:t>NPV</m:t>
              </m:r>
            </m:e>
            <m:sub>
              <m:r>
                <m:rPr>
                  <m:sty m:val="bi"/>
                </m:rPr>
                <w:rPr>
                  <w:rFonts w:ascii="Cambria Math" w:hAnsi="Cambria Math" w:cs="Verdana"/>
                  <w:lang w:eastAsia="es-CO"/>
                </w:rPr>
                <m:t xml:space="preserve">Last PGV </m:t>
              </m:r>
            </m:sub>
          </m:sSub>
        </m:oMath>
      </m:oMathPara>
    </w:p>
    <w:p w14:paraId="35690A4A" w14:textId="77777777" w:rsidR="007968EC" w:rsidRPr="005F10B9" w:rsidRDefault="007968EC" w:rsidP="007968EC">
      <w:pPr>
        <w:ind w:left="708" w:hanging="283"/>
        <w:jc w:val="both"/>
        <w:rPr>
          <w:rFonts w:ascii="Arial Narrow" w:eastAsia="Calibri" w:hAnsi="Arial Narrow"/>
          <w:color w:val="000000" w:themeColor="text1"/>
        </w:rPr>
      </w:pPr>
      <w:r w:rsidRPr="005F10B9">
        <w:rPr>
          <w:rFonts w:ascii="Arial Narrow" w:eastAsia="Calibri" w:hAnsi="Arial Narrow"/>
          <w:color w:val="000000" w:themeColor="text1"/>
        </w:rPr>
        <w:t>Donde:</w:t>
      </w:r>
    </w:p>
    <w:p w14:paraId="19BC8709" w14:textId="77777777" w:rsidR="007968EC" w:rsidRPr="005F10B9" w:rsidRDefault="007968EC" w:rsidP="007968EC">
      <w:pPr>
        <w:jc w:val="both"/>
        <w:rPr>
          <w:rFonts w:ascii="Arial Narrow" w:eastAsia="Calibri" w:hAnsi="Arial Narrow"/>
          <w:color w:val="000000" w:themeColor="text1"/>
        </w:rPr>
      </w:pPr>
    </w:p>
    <w:p w14:paraId="7095290D" w14:textId="77777777" w:rsidR="007968EC" w:rsidRPr="005F10B9" w:rsidRDefault="007968EC" w:rsidP="007968EC">
      <w:pPr>
        <w:autoSpaceDE w:val="0"/>
        <w:autoSpaceDN w:val="0"/>
        <w:adjustRightInd w:val="0"/>
        <w:ind w:left="425"/>
        <w:jc w:val="both"/>
        <w:rPr>
          <w:rFonts w:ascii="Arial Narrow" w:hAnsi="Arial Narrow" w:cs="Verdana"/>
          <w:bCs/>
        </w:rPr>
      </w:pPr>
      <m:oMath>
        <m:r>
          <m:rPr>
            <m:sty m:val="bi"/>
          </m:rPr>
          <w:rPr>
            <w:rFonts w:ascii="Cambria Math" w:hAnsi="Cambria Math" w:cs="Verdana"/>
          </w:rPr>
          <m:t>∆</m:t>
        </m:r>
        <m:sSub>
          <m:sSubPr>
            <m:ctrlPr>
              <w:rPr>
                <w:rFonts w:ascii="Cambria Math" w:hAnsi="Cambria Math" w:cs="Verdana"/>
                <w:bCs/>
                <w:i/>
              </w:rPr>
            </m:ctrlPr>
          </m:sSubPr>
          <m:e>
            <m:r>
              <m:rPr>
                <m:sty m:val="bi"/>
              </m:rPr>
              <w:rPr>
                <w:rFonts w:ascii="Cambria Math" w:hAnsi="Cambria Math" w:cs="Verdana"/>
              </w:rPr>
              <m:t>VM</m:t>
            </m:r>
          </m:e>
          <m:sub>
            <m:r>
              <m:rPr>
                <m:sty m:val="bi"/>
              </m:rPr>
              <w:rPr>
                <w:rFonts w:ascii="Cambria Math" w:hAnsi="Cambria Math" w:cs="Verdana"/>
              </w:rPr>
              <m:t>t</m:t>
            </m:r>
          </m:sub>
        </m:sSub>
      </m:oMath>
      <w:r w:rsidRPr="005F10B9">
        <w:rPr>
          <w:rFonts w:ascii="Arial Narrow" w:hAnsi="Arial Narrow" w:cs="Verdana"/>
          <w:bCs/>
        </w:rPr>
        <w:t>: Variación NPV</w:t>
      </w:r>
    </w:p>
    <w:p w14:paraId="2554CE30" w14:textId="77777777" w:rsidR="007968EC" w:rsidRPr="005F10B9" w:rsidRDefault="00682D97" w:rsidP="007968EC">
      <w:pPr>
        <w:autoSpaceDE w:val="0"/>
        <w:autoSpaceDN w:val="0"/>
        <w:adjustRightInd w:val="0"/>
        <w:ind w:left="425"/>
        <w:jc w:val="both"/>
        <w:rPr>
          <w:rFonts w:ascii="Arial Narrow" w:hAnsi="Arial Narrow" w:cs="Verdana"/>
          <w:bCs/>
        </w:rPr>
      </w:pPr>
      <m:oMath>
        <m:sSub>
          <m:sSubPr>
            <m:ctrlPr>
              <w:rPr>
                <w:rFonts w:ascii="Cambria Math" w:hAnsi="Cambria Math" w:cs="Verdana"/>
                <w:bCs/>
                <w:i/>
              </w:rPr>
            </m:ctrlPr>
          </m:sSubPr>
          <m:e>
            <m:r>
              <m:rPr>
                <m:sty m:val="bi"/>
              </m:rPr>
              <w:rPr>
                <w:rFonts w:ascii="Cambria Math" w:hAnsi="Cambria Math" w:cs="Verdana"/>
              </w:rPr>
              <m:t>NPV</m:t>
            </m:r>
          </m:e>
          <m:sub>
            <m:r>
              <m:rPr>
                <m:sty m:val="bi"/>
              </m:rPr>
              <w:rPr>
                <w:rFonts w:ascii="Cambria Math" w:hAnsi="Cambria Math" w:cs="Verdana"/>
              </w:rPr>
              <m:t>t</m:t>
            </m:r>
          </m:sub>
        </m:sSub>
      </m:oMath>
      <w:r w:rsidR="007968EC" w:rsidRPr="005F10B9">
        <w:rPr>
          <w:rFonts w:ascii="Arial Narrow" w:hAnsi="Arial Narrow" w:cs="Verdana"/>
          <w:bCs/>
        </w:rPr>
        <w:t>: NPV a mercado en el momento de cálculo.</w:t>
      </w:r>
    </w:p>
    <w:p w14:paraId="4176C1A8" w14:textId="77777777" w:rsidR="007968EC" w:rsidRPr="005F10B9" w:rsidRDefault="00682D97" w:rsidP="007968EC">
      <w:pPr>
        <w:autoSpaceDE w:val="0"/>
        <w:autoSpaceDN w:val="0"/>
        <w:adjustRightInd w:val="0"/>
        <w:ind w:left="425"/>
        <w:jc w:val="both"/>
        <w:rPr>
          <w:rFonts w:ascii="Arial Narrow" w:eastAsia="Calibri" w:hAnsi="Arial Narrow"/>
          <w:color w:val="000000" w:themeColor="text1"/>
          <w:lang w:val="es-ES" w:eastAsia="es-ES"/>
        </w:rPr>
      </w:pPr>
      <m:oMath>
        <m:sSub>
          <m:sSubPr>
            <m:ctrlPr>
              <w:rPr>
                <w:rFonts w:ascii="Cambria Math" w:hAnsi="Cambria Math" w:cs="Verdana"/>
                <w:bCs/>
                <w:i/>
                <w:color w:val="000000"/>
                <w:lang w:val="es-ES" w:eastAsia="es-ES"/>
              </w:rPr>
            </m:ctrlPr>
          </m:sSubPr>
          <m:e>
            <m:r>
              <m:rPr>
                <m:sty m:val="bi"/>
              </m:rPr>
              <w:rPr>
                <w:rFonts w:ascii="Cambria Math" w:hAnsi="Cambria Math" w:cs="Verdana"/>
                <w:color w:val="000000"/>
                <w:lang w:val="es-ES" w:eastAsia="es-ES"/>
              </w:rPr>
              <m:t>NPV</m:t>
            </m:r>
          </m:e>
          <m:sub>
            <m:r>
              <m:rPr>
                <m:sty m:val="bi"/>
              </m:rPr>
              <w:rPr>
                <w:rFonts w:ascii="Cambria Math" w:hAnsi="Cambria Math" w:cs="Verdana"/>
                <w:color w:val="000000"/>
                <w:lang w:val="es-ES" w:eastAsia="es-ES"/>
              </w:rPr>
              <m:t>Last PGV</m:t>
            </m:r>
          </m:sub>
        </m:sSub>
      </m:oMath>
      <w:r w:rsidR="007968EC" w:rsidRPr="005F10B9">
        <w:rPr>
          <w:rFonts w:ascii="Arial Narrow" w:hAnsi="Arial Narrow" w:cs="Verdana"/>
          <w:bCs/>
          <w:color w:val="000000"/>
          <w:lang w:val="es-ES" w:eastAsia="es-ES"/>
        </w:rPr>
        <w:t xml:space="preserve">: </w:t>
      </w:r>
      <w:r w:rsidR="007968EC" w:rsidRPr="005F10B9">
        <w:rPr>
          <w:rFonts w:ascii="Arial Narrow" w:hAnsi="Arial Narrow" w:cs="Verdana"/>
          <w:bCs/>
        </w:rPr>
        <w:t xml:space="preserve">NPV </w:t>
      </w:r>
      <w:r w:rsidR="007968EC">
        <w:rPr>
          <w:rFonts w:ascii="Arial Narrow" w:hAnsi="Arial Narrow" w:cs="Verdana"/>
          <w:bCs/>
        </w:rPr>
        <w:t xml:space="preserve">de la </w:t>
      </w:r>
      <w:r w:rsidR="007968EC" w:rsidRPr="005F10B9">
        <w:rPr>
          <w:rFonts w:ascii="Arial Narrow" w:hAnsi="Arial Narrow" w:cs="Verdana"/>
          <w:bCs/>
        </w:rPr>
        <w:t>última actualización de la Garantía Variable. Si es el primer cálculo de VM del día, el NPV corresponde con el NPV calculado a cierre de la sesión inmediatamente anterior al momento de cálculo (</w:t>
      </w:r>
      <m:oMath>
        <m:sSub>
          <m:sSubPr>
            <m:ctrlPr>
              <w:rPr>
                <w:rFonts w:ascii="Cambria Math" w:hAnsi="Cambria Math" w:cs="Verdana"/>
                <w:b/>
                <w:bCs/>
                <w:i/>
                <w:color w:val="000000"/>
                <w:lang w:val="es-ES" w:eastAsia="es-ES"/>
              </w:rPr>
            </m:ctrlPr>
          </m:sSubPr>
          <m:e>
            <m:r>
              <m:rPr>
                <m:sty m:val="bi"/>
              </m:rPr>
              <w:rPr>
                <w:rFonts w:ascii="Cambria Math" w:hAnsi="Cambria Math" w:cs="Verdana"/>
                <w:color w:val="000000"/>
                <w:lang w:val="es-ES" w:eastAsia="es-ES"/>
              </w:rPr>
              <m:t>NPV</m:t>
            </m:r>
          </m:e>
          <m:sub>
            <m:r>
              <m:rPr>
                <m:sty m:val="bi"/>
              </m:rPr>
              <w:rPr>
                <w:rFonts w:ascii="Cambria Math" w:hAnsi="Cambria Math" w:cs="Verdana"/>
                <w:color w:val="000000"/>
                <w:lang w:val="es-ES" w:eastAsia="es-ES"/>
              </w:rPr>
              <m:t>EOD (t-1)</m:t>
            </m:r>
          </m:sub>
        </m:sSub>
      </m:oMath>
      <w:r w:rsidR="007968EC" w:rsidRPr="005F10B9">
        <w:rPr>
          <w:rFonts w:ascii="Arial Narrow" w:eastAsiaTheme="minorEastAsia" w:hAnsi="Arial Narrow" w:cs="Verdana"/>
          <w:b/>
          <w:bCs/>
          <w:color w:val="000000"/>
          <w:lang w:val="es-ES" w:eastAsia="es-ES"/>
        </w:rPr>
        <w:t xml:space="preserve"> ). </w:t>
      </w:r>
      <w:r w:rsidR="007968EC" w:rsidRPr="005F10B9">
        <w:rPr>
          <w:rFonts w:ascii="Arial Narrow" w:hAnsi="Arial Narrow" w:cs="Verdana"/>
          <w:bCs/>
        </w:rPr>
        <w:t>Si se realiza tras una petición de garantías Intradía, éste se considerará el último NPV.</w:t>
      </w:r>
    </w:p>
    <w:p w14:paraId="03F0290B" w14:textId="77777777" w:rsidR="007968EC" w:rsidRPr="00E90920" w:rsidRDefault="007968EC" w:rsidP="007968EC">
      <w:pPr>
        <w:autoSpaceDE w:val="0"/>
        <w:autoSpaceDN w:val="0"/>
        <w:adjustRightInd w:val="0"/>
        <w:ind w:left="425"/>
        <w:jc w:val="both"/>
        <w:rPr>
          <w:rFonts w:ascii="Arial Narrow" w:eastAsia="Calibri" w:hAnsi="Arial Narrow"/>
          <w:color w:val="000000" w:themeColor="text1"/>
          <w:lang w:val="es-ES"/>
        </w:rPr>
      </w:pPr>
    </w:p>
    <w:p w14:paraId="2F634AC3" w14:textId="77777777" w:rsidR="007968EC" w:rsidRPr="005F10B9" w:rsidRDefault="007968EC" w:rsidP="007968EC">
      <w:pPr>
        <w:autoSpaceDE w:val="0"/>
        <w:autoSpaceDN w:val="0"/>
        <w:adjustRightInd w:val="0"/>
        <w:jc w:val="both"/>
        <w:rPr>
          <w:rFonts w:ascii="Arial Narrow" w:hAnsi="Arial Narrow" w:cs="Verdana"/>
          <w:bCs/>
        </w:rPr>
      </w:pPr>
      <w:r w:rsidRPr="005F10B9">
        <w:rPr>
          <w:rFonts w:ascii="Arial Narrow" w:hAnsi="Arial Narrow" w:cs="Verdana"/>
          <w:bCs/>
        </w:rPr>
        <w:t>La Garantía Variable calculada en el proceso de final de día se calcula como la diferencia entre el NPV de cierre de la sesión y el NPV de cierre de la sesión inmediatamente anterior,  según la siguiente fórmula:</w:t>
      </w:r>
    </w:p>
    <w:p w14:paraId="0F37E46C" w14:textId="77777777" w:rsidR="007968EC" w:rsidRPr="005F10B9" w:rsidRDefault="007968EC" w:rsidP="007968EC">
      <w:pPr>
        <w:autoSpaceDE w:val="0"/>
        <w:autoSpaceDN w:val="0"/>
        <w:adjustRightInd w:val="0"/>
        <w:jc w:val="both"/>
        <w:rPr>
          <w:rFonts w:ascii="Arial Narrow" w:eastAsia="Calibri" w:hAnsi="Arial Narrow"/>
          <w:color w:val="000000" w:themeColor="text1"/>
        </w:rPr>
      </w:pPr>
    </w:p>
    <w:p w14:paraId="6E42C4F2" w14:textId="77777777" w:rsidR="007968EC" w:rsidRPr="005F10B9" w:rsidRDefault="007968EC" w:rsidP="007968EC">
      <w:pPr>
        <w:autoSpaceDE w:val="0"/>
        <w:autoSpaceDN w:val="0"/>
        <w:adjustRightInd w:val="0"/>
        <w:ind w:left="720"/>
        <w:jc w:val="center"/>
        <w:rPr>
          <w:rFonts w:ascii="Arial Narrow" w:hAnsi="Arial Narrow" w:cs="Verdana"/>
          <w:bCs/>
          <w:lang w:eastAsia="es-CO"/>
        </w:rPr>
      </w:pPr>
      <m:oMathPara>
        <m:oMath>
          <m:r>
            <m:rPr>
              <m:sty m:val="bi"/>
            </m:rPr>
            <w:rPr>
              <w:rFonts w:ascii="Cambria Math" w:hAnsi="Cambria Math" w:cs="Verdana"/>
              <w:lang w:eastAsia="es-CO"/>
            </w:rPr>
            <m:t>∆</m:t>
          </m:r>
          <m:sSub>
            <m:sSubPr>
              <m:ctrlPr>
                <w:rPr>
                  <w:rFonts w:ascii="Cambria Math" w:hAnsi="Cambria Math" w:cs="Verdana"/>
                  <w:bCs/>
                  <w:i/>
                  <w:lang w:eastAsia="es-CO"/>
                </w:rPr>
              </m:ctrlPr>
            </m:sSubPr>
            <m:e>
              <m:r>
                <m:rPr>
                  <m:sty m:val="bi"/>
                </m:rPr>
                <w:rPr>
                  <w:rFonts w:ascii="Cambria Math" w:hAnsi="Cambria Math" w:cs="Verdana"/>
                  <w:lang w:eastAsia="es-CO"/>
                </w:rPr>
                <m:t>VM</m:t>
              </m:r>
            </m:e>
            <m:sub>
              <m:r>
                <m:rPr>
                  <m:sty m:val="bi"/>
                </m:rPr>
                <w:rPr>
                  <w:rFonts w:ascii="Cambria Math" w:hAnsi="Cambria Math" w:cs="Verdana"/>
                  <w:lang w:eastAsia="es-CO"/>
                </w:rPr>
                <m:t>EOD</m:t>
              </m:r>
            </m:sub>
          </m:sSub>
          <m:r>
            <m:rPr>
              <m:sty m:val="bi"/>
            </m:rPr>
            <w:rPr>
              <w:rFonts w:ascii="Cambria Math" w:hAnsi="Cambria Math" w:cs="Verdana"/>
              <w:lang w:eastAsia="es-CO"/>
            </w:rPr>
            <m:t>=</m:t>
          </m:r>
          <m:sSub>
            <m:sSubPr>
              <m:ctrlPr>
                <w:rPr>
                  <w:rFonts w:ascii="Cambria Math" w:hAnsi="Cambria Math" w:cs="Verdana"/>
                  <w:bCs/>
                  <w:i/>
                  <w:lang w:eastAsia="es-CO"/>
                </w:rPr>
              </m:ctrlPr>
            </m:sSubPr>
            <m:e>
              <m:r>
                <m:rPr>
                  <m:sty m:val="bi"/>
                </m:rPr>
                <w:rPr>
                  <w:rFonts w:ascii="Cambria Math" w:hAnsi="Cambria Math" w:cs="Verdana"/>
                  <w:lang w:eastAsia="es-CO"/>
                </w:rPr>
                <m:t>NPV</m:t>
              </m:r>
            </m:e>
            <m:sub>
              <m:r>
                <m:rPr>
                  <m:sty m:val="bi"/>
                </m:rPr>
                <w:rPr>
                  <w:rFonts w:ascii="Cambria Math" w:hAnsi="Cambria Math" w:cs="Verdana"/>
                  <w:lang w:eastAsia="es-CO"/>
                </w:rPr>
                <m:t>EOD(t)</m:t>
              </m:r>
            </m:sub>
          </m:sSub>
          <m:r>
            <m:rPr>
              <m:sty m:val="bi"/>
            </m:rPr>
            <w:rPr>
              <w:rFonts w:ascii="Cambria Math" w:hAnsi="Cambria Math" w:cs="Verdana"/>
              <w:lang w:eastAsia="es-CO"/>
            </w:rPr>
            <m:t xml:space="preserve">- </m:t>
          </m:r>
          <m:sSub>
            <m:sSubPr>
              <m:ctrlPr>
                <w:rPr>
                  <w:rFonts w:ascii="Cambria Math" w:hAnsi="Cambria Math" w:cs="Verdana"/>
                  <w:bCs/>
                  <w:i/>
                  <w:lang w:eastAsia="es-CO"/>
                </w:rPr>
              </m:ctrlPr>
            </m:sSubPr>
            <m:e>
              <m:r>
                <m:rPr>
                  <m:sty m:val="bi"/>
                </m:rPr>
                <w:rPr>
                  <w:rFonts w:ascii="Cambria Math" w:hAnsi="Cambria Math" w:cs="Verdana"/>
                  <w:lang w:eastAsia="es-CO"/>
                </w:rPr>
                <m:t>NPV</m:t>
              </m:r>
            </m:e>
            <m:sub>
              <m:r>
                <m:rPr>
                  <m:sty m:val="bi"/>
                </m:rPr>
                <w:rPr>
                  <w:rFonts w:ascii="Cambria Math" w:hAnsi="Cambria Math" w:cs="Verdana"/>
                  <w:lang w:eastAsia="es-CO"/>
                </w:rPr>
                <m:t>EOD (t-1)</m:t>
              </m:r>
            </m:sub>
          </m:sSub>
        </m:oMath>
      </m:oMathPara>
    </w:p>
    <w:p w14:paraId="128A5D38" w14:textId="77777777" w:rsidR="007968EC" w:rsidRPr="005F10B9" w:rsidRDefault="007968EC" w:rsidP="007968EC">
      <w:pPr>
        <w:autoSpaceDE w:val="0"/>
        <w:autoSpaceDN w:val="0"/>
        <w:adjustRightInd w:val="0"/>
        <w:ind w:left="425"/>
        <w:jc w:val="both"/>
        <w:rPr>
          <w:rFonts w:ascii="Arial Narrow" w:hAnsi="Arial Narrow" w:cs="Verdana"/>
          <w:bCs/>
          <w:lang w:eastAsia="es-CO"/>
        </w:rPr>
      </w:pPr>
    </w:p>
    <w:p w14:paraId="6126F6FF" w14:textId="77777777" w:rsidR="007968EC" w:rsidRPr="005F10B9" w:rsidRDefault="007968EC" w:rsidP="007968EC">
      <w:pPr>
        <w:autoSpaceDE w:val="0"/>
        <w:autoSpaceDN w:val="0"/>
        <w:adjustRightInd w:val="0"/>
        <w:ind w:left="425"/>
        <w:jc w:val="both"/>
        <w:rPr>
          <w:rFonts w:ascii="Arial Narrow" w:hAnsi="Arial Narrow" w:cs="Verdana"/>
          <w:bCs/>
          <w:lang w:eastAsia="es-CO"/>
        </w:rPr>
      </w:pPr>
      <w:r w:rsidRPr="005F10B9">
        <w:rPr>
          <w:rFonts w:ascii="Arial Narrow" w:hAnsi="Arial Narrow" w:cs="Verdana"/>
          <w:bCs/>
          <w:lang w:eastAsia="es-CO"/>
        </w:rPr>
        <w:t>Donde:</w:t>
      </w:r>
    </w:p>
    <w:p w14:paraId="2EDE83AF" w14:textId="77777777" w:rsidR="007968EC" w:rsidRPr="005F10B9" w:rsidRDefault="007968EC" w:rsidP="007968EC">
      <w:pPr>
        <w:autoSpaceDE w:val="0"/>
        <w:autoSpaceDN w:val="0"/>
        <w:adjustRightInd w:val="0"/>
        <w:ind w:left="425"/>
        <w:jc w:val="both"/>
        <w:rPr>
          <w:rFonts w:ascii="Arial Narrow" w:hAnsi="Arial Narrow" w:cs="Verdana"/>
          <w:bCs/>
          <w:lang w:eastAsia="es-CO"/>
        </w:rPr>
      </w:pPr>
    </w:p>
    <w:p w14:paraId="296E8B65" w14:textId="77777777" w:rsidR="007968EC" w:rsidRPr="005F10B9" w:rsidRDefault="007968EC" w:rsidP="007968EC">
      <w:pPr>
        <w:autoSpaceDE w:val="0"/>
        <w:autoSpaceDN w:val="0"/>
        <w:adjustRightInd w:val="0"/>
        <w:ind w:left="425"/>
        <w:jc w:val="both"/>
        <w:rPr>
          <w:rFonts w:ascii="Arial Narrow" w:hAnsi="Arial Narrow" w:cs="Verdana"/>
          <w:bCs/>
        </w:rPr>
      </w:pPr>
      <m:oMath>
        <m:r>
          <m:rPr>
            <m:sty m:val="bi"/>
          </m:rPr>
          <w:rPr>
            <w:rFonts w:ascii="Cambria Math" w:hAnsi="Cambria Math" w:cs="Verdana"/>
          </w:rPr>
          <m:t>∆</m:t>
        </m:r>
        <m:sSub>
          <m:sSubPr>
            <m:ctrlPr>
              <w:rPr>
                <w:rFonts w:ascii="Cambria Math" w:hAnsi="Cambria Math" w:cs="Verdana"/>
                <w:bCs/>
                <w:i/>
              </w:rPr>
            </m:ctrlPr>
          </m:sSubPr>
          <m:e>
            <m:r>
              <m:rPr>
                <m:sty m:val="bi"/>
              </m:rPr>
              <w:rPr>
                <w:rFonts w:ascii="Cambria Math" w:hAnsi="Cambria Math" w:cs="Verdana"/>
              </w:rPr>
              <m:t>VM</m:t>
            </m:r>
          </m:e>
          <m:sub>
            <m:r>
              <m:rPr>
                <m:sty m:val="bi"/>
              </m:rPr>
              <w:rPr>
                <w:rFonts w:ascii="Cambria Math" w:hAnsi="Cambria Math" w:cs="Verdana"/>
              </w:rPr>
              <m:t>EOD</m:t>
            </m:r>
          </m:sub>
        </m:sSub>
      </m:oMath>
      <w:r w:rsidRPr="005F10B9">
        <w:rPr>
          <w:rFonts w:ascii="Arial Narrow" w:hAnsi="Arial Narrow" w:cs="Verdana"/>
          <w:bCs/>
        </w:rPr>
        <w:t>: Variación de los NPV de cierre de los días (t) y (t-1).</w:t>
      </w:r>
    </w:p>
    <w:p w14:paraId="10E66BB9" w14:textId="77777777" w:rsidR="007968EC" w:rsidRPr="005F10B9" w:rsidRDefault="00682D97" w:rsidP="007968EC">
      <w:pPr>
        <w:autoSpaceDE w:val="0"/>
        <w:autoSpaceDN w:val="0"/>
        <w:adjustRightInd w:val="0"/>
        <w:ind w:left="425"/>
        <w:jc w:val="both"/>
        <w:rPr>
          <w:rFonts w:ascii="Arial Narrow" w:hAnsi="Arial Narrow" w:cs="Verdana"/>
          <w:bCs/>
        </w:rPr>
      </w:pPr>
      <m:oMath>
        <m:sSub>
          <m:sSubPr>
            <m:ctrlPr>
              <w:rPr>
                <w:rFonts w:ascii="Cambria Math" w:hAnsi="Cambria Math" w:cs="Verdana"/>
                <w:bCs/>
                <w:i/>
              </w:rPr>
            </m:ctrlPr>
          </m:sSubPr>
          <m:e>
            <m:r>
              <m:rPr>
                <m:sty m:val="bi"/>
              </m:rPr>
              <w:rPr>
                <w:rFonts w:ascii="Cambria Math" w:hAnsi="Cambria Math" w:cs="Verdana"/>
              </w:rPr>
              <m:t>NPV</m:t>
            </m:r>
          </m:e>
          <m:sub>
            <m:r>
              <m:rPr>
                <m:sty m:val="bi"/>
              </m:rPr>
              <w:rPr>
                <w:rFonts w:ascii="Cambria Math" w:hAnsi="Cambria Math" w:cs="Verdana"/>
              </w:rPr>
              <m:t>EOD(t)</m:t>
            </m:r>
          </m:sub>
        </m:sSub>
      </m:oMath>
      <w:r w:rsidR="007968EC" w:rsidRPr="005F10B9">
        <w:rPr>
          <w:rFonts w:ascii="Arial Narrow" w:hAnsi="Arial Narrow" w:cs="Verdana"/>
          <w:bCs/>
        </w:rPr>
        <w:t>: NPV de cierre del día (t).</w:t>
      </w:r>
    </w:p>
    <w:p w14:paraId="72BF5D5D" w14:textId="77777777" w:rsidR="007968EC" w:rsidRPr="005F10B9" w:rsidRDefault="00682D97" w:rsidP="007968EC">
      <w:pPr>
        <w:autoSpaceDE w:val="0"/>
        <w:autoSpaceDN w:val="0"/>
        <w:adjustRightInd w:val="0"/>
        <w:ind w:left="425"/>
        <w:jc w:val="both"/>
        <w:rPr>
          <w:rFonts w:ascii="Arial Narrow" w:hAnsi="Arial Narrow" w:cs="Verdana"/>
          <w:bCs/>
        </w:rPr>
      </w:pPr>
      <m:oMath>
        <m:sSub>
          <m:sSubPr>
            <m:ctrlPr>
              <w:rPr>
                <w:rFonts w:ascii="Cambria Math" w:hAnsi="Cambria Math" w:cs="Verdana"/>
                <w:bCs/>
                <w:i/>
              </w:rPr>
            </m:ctrlPr>
          </m:sSubPr>
          <m:e>
            <m:r>
              <m:rPr>
                <m:sty m:val="bi"/>
              </m:rPr>
              <w:rPr>
                <w:rFonts w:ascii="Cambria Math" w:hAnsi="Cambria Math" w:cs="Verdana"/>
              </w:rPr>
              <m:t>NPV</m:t>
            </m:r>
          </m:e>
          <m:sub>
            <m:r>
              <m:rPr>
                <m:sty m:val="bi"/>
              </m:rPr>
              <w:rPr>
                <w:rFonts w:ascii="Cambria Math" w:hAnsi="Cambria Math" w:cs="Verdana"/>
              </w:rPr>
              <m:t>EOD (t-1)</m:t>
            </m:r>
          </m:sub>
        </m:sSub>
      </m:oMath>
      <w:r w:rsidR="007968EC" w:rsidRPr="005F10B9">
        <w:rPr>
          <w:rFonts w:ascii="Arial Narrow" w:hAnsi="Arial Narrow" w:cs="Verdana"/>
          <w:bCs/>
        </w:rPr>
        <w:t>:</w:t>
      </w:r>
      <w:r w:rsidR="007968EC" w:rsidRPr="005F10B9">
        <w:rPr>
          <w:rFonts w:ascii="Arial Narrow" w:hAnsi="Arial Narrow"/>
        </w:rPr>
        <w:t xml:space="preserve"> </w:t>
      </w:r>
      <w:r w:rsidR="007968EC" w:rsidRPr="005F10B9">
        <w:rPr>
          <w:rFonts w:ascii="Arial Narrow" w:hAnsi="Arial Narrow" w:cs="Verdana"/>
          <w:bCs/>
        </w:rPr>
        <w:t>NPV de cierre del día hábil inmediatamente anterior (t-1).</w:t>
      </w:r>
    </w:p>
    <w:p w14:paraId="326DABBA" w14:textId="77777777" w:rsidR="007968EC" w:rsidRPr="005F10B9" w:rsidRDefault="007968EC" w:rsidP="007968EC">
      <w:pPr>
        <w:autoSpaceDE w:val="0"/>
        <w:autoSpaceDN w:val="0"/>
        <w:adjustRightInd w:val="0"/>
        <w:ind w:left="425"/>
        <w:jc w:val="both"/>
        <w:rPr>
          <w:rFonts w:ascii="Arial Narrow" w:eastAsia="Calibri" w:hAnsi="Arial Narrow"/>
          <w:color w:val="000000" w:themeColor="text1"/>
        </w:rPr>
      </w:pPr>
    </w:p>
    <w:p w14:paraId="3461CAA0" w14:textId="77777777" w:rsidR="007968EC" w:rsidRPr="005F10B9" w:rsidRDefault="007968EC" w:rsidP="007968EC">
      <w:pPr>
        <w:jc w:val="both"/>
        <w:rPr>
          <w:rFonts w:ascii="Arial Narrow" w:hAnsi="Arial Narrow" w:cs="Verdana"/>
          <w:bCs/>
        </w:rPr>
      </w:pPr>
      <w:r w:rsidRPr="005F10B9">
        <w:rPr>
          <w:rFonts w:ascii="Arial Narrow" w:hAnsi="Arial Narrow" w:cs="Verdana"/>
          <w:bCs/>
        </w:rPr>
        <w:t xml:space="preserve">En el evento en que el valor de la Garantía Variable al cierre de la sesión del día (t) sea positivo, es decir se presente exceso, el titular de la Cuenta tendrá derecho a recibir el importe en efectivo correspondiente a la diferencia de los NPV descrita en el presente artículo, en caso contrario, es decir en el evento de defecto, deberá entregar a la Cámara dicho importe en efectivo  en la Sesión de Liquidación Diaria y en la sesión de Liquidación al Vencimiento, según el caso. Adicionalmente, para neutralizar este efecto económico de cargo o abono, la Cámara calculará diariamente, en el proceso de la Sesión de Cierre del día un importe a pagar por un Miembro Liquidador cuyo NPV por su posición es positivo y abonado a un Miembro Liquidador cuyo NPV es negativo, denominado Price </w:t>
      </w:r>
      <w:proofErr w:type="spellStart"/>
      <w:r w:rsidRPr="005F10B9">
        <w:rPr>
          <w:rFonts w:ascii="Arial Narrow" w:hAnsi="Arial Narrow" w:cs="Verdana"/>
          <w:bCs/>
        </w:rPr>
        <w:t>Alignment</w:t>
      </w:r>
      <w:proofErr w:type="spellEnd"/>
      <w:r w:rsidRPr="005F10B9">
        <w:rPr>
          <w:rFonts w:ascii="Arial Narrow" w:hAnsi="Arial Narrow" w:cs="Verdana"/>
          <w:bCs/>
        </w:rPr>
        <w:t xml:space="preserve"> (</w:t>
      </w:r>
      <w:r w:rsidRPr="005F10B9">
        <w:rPr>
          <w:rFonts w:ascii="Arial Narrow" w:hAnsi="Arial Narrow" w:cs="Verdana"/>
          <w:bCs/>
          <w:i/>
        </w:rPr>
        <w:t>PA</w:t>
      </w:r>
      <w:r w:rsidRPr="005F10B9">
        <w:rPr>
          <w:rFonts w:ascii="Arial Narrow" w:hAnsi="Arial Narrow" w:cs="Verdana"/>
          <w:bCs/>
        </w:rPr>
        <w:t>).</w:t>
      </w:r>
    </w:p>
    <w:p w14:paraId="26A71D9D" w14:textId="77777777" w:rsidR="007968EC" w:rsidRPr="005F10B9" w:rsidRDefault="007968EC" w:rsidP="007968EC">
      <w:pPr>
        <w:jc w:val="both"/>
        <w:rPr>
          <w:rFonts w:ascii="Arial Narrow" w:hAnsi="Arial Narrow" w:cs="Verdana"/>
          <w:bCs/>
        </w:rPr>
      </w:pPr>
    </w:p>
    <w:p w14:paraId="7427E06E" w14:textId="77777777" w:rsidR="007968EC" w:rsidRPr="005F10B9" w:rsidRDefault="007968EC" w:rsidP="007968EC">
      <w:pPr>
        <w:autoSpaceDE w:val="0"/>
        <w:autoSpaceDN w:val="0"/>
        <w:adjustRightInd w:val="0"/>
        <w:jc w:val="both"/>
        <w:rPr>
          <w:rFonts w:ascii="Arial Narrow" w:hAnsi="Arial Narrow" w:cs="Verdana"/>
          <w:bCs/>
        </w:rPr>
      </w:pPr>
      <w:r w:rsidRPr="005F10B9">
        <w:rPr>
          <w:rFonts w:ascii="Arial Narrow" w:hAnsi="Arial Narrow" w:cs="Verdana"/>
          <w:bCs/>
        </w:rPr>
        <w:t xml:space="preserve">El </w:t>
      </w:r>
      <w:r w:rsidRPr="005F10B9">
        <w:rPr>
          <w:rFonts w:ascii="Arial Narrow" w:hAnsi="Arial Narrow" w:cs="Verdana"/>
          <w:bCs/>
          <w:i/>
        </w:rPr>
        <w:t>PA</w:t>
      </w:r>
      <w:r w:rsidRPr="005F10B9">
        <w:rPr>
          <w:rFonts w:ascii="Arial Narrow" w:hAnsi="Arial Narrow" w:cs="Verdana"/>
          <w:bCs/>
        </w:rPr>
        <w:t xml:space="preserve"> es calculado sobre el NPV de cada Cuenta del Miembro Liquidador y de las Cuentas de sus Miembros no Liquidadores correspondiente a “t-d”. Su cálculo se realiza en “t”, a través de la fórmula que se muestra, aunque su liquidación es efectiva en “t+1”.</w:t>
      </w:r>
    </w:p>
    <w:p w14:paraId="38D9D858" w14:textId="77777777" w:rsidR="007968EC" w:rsidRPr="005F10B9" w:rsidRDefault="007968EC" w:rsidP="007968EC">
      <w:pPr>
        <w:autoSpaceDE w:val="0"/>
        <w:autoSpaceDN w:val="0"/>
        <w:adjustRightInd w:val="0"/>
        <w:jc w:val="both"/>
        <w:rPr>
          <w:rFonts w:ascii="Arial Narrow" w:hAnsi="Arial Narrow" w:cs="Verdana"/>
          <w:bCs/>
        </w:rPr>
      </w:pPr>
    </w:p>
    <w:p w14:paraId="184D6F87" w14:textId="77777777" w:rsidR="007968EC" w:rsidRPr="005F10B9" w:rsidRDefault="00682D97" w:rsidP="007968EC">
      <w:pPr>
        <w:autoSpaceDE w:val="0"/>
        <w:autoSpaceDN w:val="0"/>
        <w:adjustRightInd w:val="0"/>
        <w:jc w:val="both"/>
        <w:rPr>
          <w:rFonts w:ascii="Arial Narrow" w:hAnsi="Arial Narrow" w:cs="Verdana"/>
          <w:b/>
          <w:bCs/>
        </w:rPr>
      </w:pPr>
      <m:oMathPara>
        <m:oMath>
          <m:sSub>
            <m:sSubPr>
              <m:ctrlPr>
                <w:rPr>
                  <w:rFonts w:ascii="Cambria Math" w:hAnsi="Cambria Math" w:cs="Verdana"/>
                  <w:b/>
                  <w:bCs/>
                  <w:i/>
                </w:rPr>
              </m:ctrlPr>
            </m:sSubPr>
            <m:e>
              <m:r>
                <m:rPr>
                  <m:sty m:val="bi"/>
                </m:rPr>
                <w:rPr>
                  <w:rFonts w:ascii="Cambria Math" w:hAnsi="Cambria Math" w:cs="Verdana"/>
                </w:rPr>
                <m:t>PA</m:t>
              </m:r>
            </m:e>
            <m:sub>
              <m:r>
                <m:rPr>
                  <m:sty m:val="bi"/>
                </m:rPr>
                <w:rPr>
                  <w:rFonts w:ascii="Cambria Math" w:hAnsi="Cambria Math" w:cs="Verdana"/>
                </w:rPr>
                <m:t>(t)</m:t>
              </m:r>
            </m:sub>
          </m:sSub>
          <m:r>
            <m:rPr>
              <m:sty m:val="bi"/>
            </m:rPr>
            <w:rPr>
              <w:rFonts w:ascii="Cambria Math" w:hAnsi="Cambria Math" w:cs="Verdana"/>
            </w:rPr>
            <m:t>= -</m:t>
          </m:r>
          <m:sSub>
            <m:sSubPr>
              <m:ctrlPr>
                <w:rPr>
                  <w:rFonts w:ascii="Cambria Math" w:hAnsi="Cambria Math" w:cs="Verdana"/>
                  <w:b/>
                  <w:bCs/>
                  <w:i/>
                </w:rPr>
              </m:ctrlPr>
            </m:sSubPr>
            <m:e>
              <m:r>
                <m:rPr>
                  <m:sty m:val="bi"/>
                </m:rPr>
                <w:rPr>
                  <w:rFonts w:ascii="Cambria Math" w:hAnsi="Cambria Math" w:cs="Verdana"/>
                </w:rPr>
                <m:t>NPV</m:t>
              </m:r>
            </m:e>
            <m:sub>
              <m:d>
                <m:dPr>
                  <m:ctrlPr>
                    <w:rPr>
                      <w:rFonts w:ascii="Cambria Math" w:hAnsi="Cambria Math" w:cs="Verdana"/>
                      <w:b/>
                      <w:bCs/>
                      <w:i/>
                    </w:rPr>
                  </m:ctrlPr>
                </m:dPr>
                <m:e>
                  <m:r>
                    <m:rPr>
                      <m:sty m:val="bi"/>
                    </m:rPr>
                    <w:rPr>
                      <w:rFonts w:ascii="Cambria Math" w:hAnsi="Cambria Math" w:cs="Verdana"/>
                    </w:rPr>
                    <m:t>t-d</m:t>
                  </m:r>
                </m:e>
              </m:d>
            </m:sub>
          </m:sSub>
          <m:r>
            <m:rPr>
              <m:sty m:val="bi"/>
            </m:rPr>
            <w:rPr>
              <w:rFonts w:ascii="Cambria Math" w:hAnsi="Cambria Math" w:cs="Verdana"/>
            </w:rPr>
            <m:t>*</m:t>
          </m:r>
          <m:sSub>
            <m:sSubPr>
              <m:ctrlPr>
                <w:rPr>
                  <w:rFonts w:ascii="Cambria Math" w:hAnsi="Cambria Math" w:cs="Verdana"/>
                  <w:b/>
                  <w:bCs/>
                  <w:i/>
                </w:rPr>
              </m:ctrlPr>
            </m:sSubPr>
            <m:e>
              <m:r>
                <m:rPr>
                  <m:sty m:val="bi"/>
                </m:rPr>
                <w:rPr>
                  <w:rFonts w:ascii="Cambria Math" w:hAnsi="Cambria Math" w:cs="Verdana"/>
                </w:rPr>
                <m:t>ON</m:t>
              </m:r>
            </m:e>
            <m:sub>
              <m:d>
                <m:dPr>
                  <m:ctrlPr>
                    <w:rPr>
                      <w:rFonts w:ascii="Cambria Math" w:hAnsi="Cambria Math" w:cs="Verdana"/>
                      <w:b/>
                      <w:bCs/>
                      <w:i/>
                    </w:rPr>
                  </m:ctrlPr>
                </m:dPr>
                <m:e>
                  <m:r>
                    <m:rPr>
                      <m:sty m:val="bi"/>
                    </m:rPr>
                    <w:rPr>
                      <w:rFonts w:ascii="Cambria Math" w:hAnsi="Cambria Math" w:cs="Verdana"/>
                    </w:rPr>
                    <m:t>t-d,t</m:t>
                  </m:r>
                </m:e>
              </m:d>
            </m:sub>
          </m:sSub>
          <m:r>
            <m:rPr>
              <m:sty m:val="bi"/>
            </m:rPr>
            <w:rPr>
              <w:rFonts w:ascii="Cambria Math" w:hAnsi="Cambria Math" w:cs="Verdana"/>
            </w:rPr>
            <m:t>*</m:t>
          </m:r>
          <m:f>
            <m:fPr>
              <m:ctrlPr>
                <w:rPr>
                  <w:rFonts w:ascii="Cambria Math" w:hAnsi="Cambria Math" w:cs="Verdana"/>
                  <w:b/>
                  <w:bCs/>
                  <w:i/>
                </w:rPr>
              </m:ctrlPr>
            </m:fPr>
            <m:num>
              <m:r>
                <m:rPr>
                  <m:sty m:val="bi"/>
                </m:rPr>
                <w:rPr>
                  <w:rFonts w:ascii="Cambria Math" w:hAnsi="Cambria Math" w:cs="Verdana"/>
                </w:rPr>
                <m:t>d</m:t>
              </m:r>
            </m:num>
            <m:den>
              <m:r>
                <m:rPr>
                  <m:sty m:val="bi"/>
                </m:rPr>
                <w:rPr>
                  <w:rFonts w:ascii="Cambria Math" w:hAnsi="Cambria Math" w:cs="Verdana"/>
                </w:rPr>
                <m:t>360</m:t>
              </m:r>
            </m:den>
          </m:f>
        </m:oMath>
      </m:oMathPara>
    </w:p>
    <w:p w14:paraId="6DBC536D" w14:textId="77777777" w:rsidR="007968EC" w:rsidRPr="005F10B9" w:rsidRDefault="007968EC" w:rsidP="007968EC">
      <w:pPr>
        <w:autoSpaceDE w:val="0"/>
        <w:autoSpaceDN w:val="0"/>
        <w:adjustRightInd w:val="0"/>
        <w:jc w:val="both"/>
        <w:rPr>
          <w:rFonts w:ascii="Arial Narrow" w:hAnsi="Arial Narrow" w:cs="Verdana"/>
          <w:bCs/>
        </w:rPr>
      </w:pPr>
    </w:p>
    <w:p w14:paraId="6CD95E14" w14:textId="77777777" w:rsidR="007968EC" w:rsidRPr="005F10B9" w:rsidRDefault="007968EC" w:rsidP="007968EC">
      <w:pPr>
        <w:autoSpaceDE w:val="0"/>
        <w:autoSpaceDN w:val="0"/>
        <w:adjustRightInd w:val="0"/>
        <w:ind w:firstLine="425"/>
        <w:jc w:val="both"/>
        <w:rPr>
          <w:rFonts w:ascii="Arial Narrow" w:hAnsi="Arial Narrow" w:cs="Verdana"/>
          <w:bCs/>
        </w:rPr>
      </w:pPr>
      <w:r w:rsidRPr="005F10B9">
        <w:rPr>
          <w:rFonts w:ascii="Arial Narrow" w:hAnsi="Arial Narrow" w:cs="Verdana"/>
          <w:bCs/>
        </w:rPr>
        <w:t>Donde:</w:t>
      </w:r>
    </w:p>
    <w:p w14:paraId="69FB0B3E" w14:textId="77777777" w:rsidR="007968EC" w:rsidRPr="005F10B9" w:rsidRDefault="007968EC" w:rsidP="007968EC">
      <w:pPr>
        <w:autoSpaceDE w:val="0"/>
        <w:autoSpaceDN w:val="0"/>
        <w:adjustRightInd w:val="0"/>
        <w:ind w:left="720"/>
        <w:jc w:val="both"/>
        <w:rPr>
          <w:rFonts w:ascii="Arial Narrow" w:hAnsi="Arial Narrow" w:cs="Verdana"/>
          <w:bCs/>
          <w:lang w:eastAsia="es-CO"/>
        </w:rPr>
      </w:pPr>
    </w:p>
    <w:p w14:paraId="5EEB2B9A" w14:textId="77777777" w:rsidR="007968EC" w:rsidRPr="005F10B9" w:rsidRDefault="007968EC" w:rsidP="007968EC">
      <w:pPr>
        <w:autoSpaceDE w:val="0"/>
        <w:autoSpaceDN w:val="0"/>
        <w:adjustRightInd w:val="0"/>
        <w:ind w:left="425"/>
        <w:jc w:val="both"/>
        <w:rPr>
          <w:rFonts w:ascii="Arial Narrow" w:hAnsi="Arial Narrow" w:cs="Verdana"/>
          <w:bCs/>
        </w:rPr>
      </w:pPr>
      <w:r w:rsidRPr="005F10B9">
        <w:rPr>
          <w:rFonts w:ascii="Arial Narrow" w:hAnsi="Arial Narrow" w:cs="Verdana"/>
          <w:b/>
          <w:bCs/>
          <w:i/>
        </w:rPr>
        <w:t>d</w:t>
      </w:r>
      <w:r w:rsidRPr="005F10B9">
        <w:rPr>
          <w:rFonts w:ascii="Arial Narrow" w:hAnsi="Arial Narrow" w:cs="Verdana"/>
          <w:b/>
          <w:bCs/>
        </w:rPr>
        <w:t>:</w:t>
      </w:r>
      <w:r w:rsidRPr="005F10B9">
        <w:rPr>
          <w:rFonts w:ascii="Arial Narrow" w:hAnsi="Arial Narrow" w:cs="Verdana"/>
          <w:bCs/>
        </w:rPr>
        <w:t xml:space="preserve"> Es el número de días entre “t” y el último día en que se calculó el VM en el proceso</w:t>
      </w:r>
      <w:r>
        <w:rPr>
          <w:rFonts w:ascii="Arial Narrow" w:hAnsi="Arial Narrow" w:cs="Verdana"/>
          <w:bCs/>
        </w:rPr>
        <w:t xml:space="preserve"> de</w:t>
      </w:r>
      <w:r w:rsidRPr="005F10B9">
        <w:rPr>
          <w:rFonts w:ascii="Arial Narrow" w:hAnsi="Arial Narrow" w:cs="Verdana"/>
          <w:bCs/>
        </w:rPr>
        <w:t xml:space="preserve"> cierre de la sesión.</w:t>
      </w:r>
      <m:oMath>
        <m:sSub>
          <m:sSubPr>
            <m:ctrlPr>
              <w:rPr>
                <w:rFonts w:ascii="Cambria Math" w:hAnsi="Cambria Math" w:cs="Verdana"/>
                <w:bCs/>
                <w:i/>
              </w:rPr>
            </m:ctrlPr>
          </m:sSubPr>
          <m:e>
            <m:r>
              <m:rPr>
                <m:sty m:val="bi"/>
              </m:rPr>
              <w:rPr>
                <w:rFonts w:ascii="Cambria Math" w:hAnsi="Cambria Math" w:cs="Verdana"/>
              </w:rPr>
              <m:t>NPV</m:t>
            </m:r>
          </m:e>
          <m:sub>
            <m:d>
              <m:dPr>
                <m:ctrlPr>
                  <w:rPr>
                    <w:rFonts w:ascii="Cambria Math" w:hAnsi="Cambria Math" w:cs="Verdana"/>
                    <w:bCs/>
                    <w:i/>
                  </w:rPr>
                </m:ctrlPr>
              </m:dPr>
              <m:e>
                <m:r>
                  <m:rPr>
                    <m:sty m:val="bi"/>
                  </m:rPr>
                  <w:rPr>
                    <w:rFonts w:ascii="Cambria Math" w:hAnsi="Cambria Math" w:cs="Verdana"/>
                  </w:rPr>
                  <m:t>t-d</m:t>
                </m:r>
              </m:e>
            </m:d>
          </m:sub>
        </m:sSub>
      </m:oMath>
      <w:r w:rsidRPr="005F10B9">
        <w:rPr>
          <w:rFonts w:ascii="Arial Narrow" w:hAnsi="Arial Narrow" w:cs="Verdana"/>
          <w:bCs/>
        </w:rPr>
        <w:t>: NPV de la cuenta del día “t-d”.</w:t>
      </w:r>
    </w:p>
    <w:p w14:paraId="7EF4AA3A" w14:textId="77777777" w:rsidR="007968EC" w:rsidRPr="00175A55" w:rsidRDefault="00682D97" w:rsidP="007968EC">
      <w:pPr>
        <w:autoSpaceDE w:val="0"/>
        <w:autoSpaceDN w:val="0"/>
        <w:adjustRightInd w:val="0"/>
        <w:ind w:left="425"/>
        <w:jc w:val="both"/>
        <w:rPr>
          <w:rFonts w:ascii="Arial Narrow" w:hAnsi="Arial Narrow" w:cs="Verdana"/>
          <w:bCs/>
        </w:rPr>
      </w:pPr>
      <m:oMath>
        <m:sSub>
          <m:sSubPr>
            <m:ctrlPr>
              <w:rPr>
                <w:rFonts w:ascii="Cambria Math" w:hAnsi="Cambria Math" w:cs="Verdana"/>
                <w:bCs/>
                <w:i/>
              </w:rPr>
            </m:ctrlPr>
          </m:sSubPr>
          <m:e>
            <m:r>
              <m:rPr>
                <m:sty m:val="bi"/>
              </m:rPr>
              <w:rPr>
                <w:rFonts w:ascii="Cambria Math" w:hAnsi="Cambria Math" w:cs="Verdana"/>
              </w:rPr>
              <m:t>ON</m:t>
            </m:r>
          </m:e>
          <m:sub>
            <m:d>
              <m:dPr>
                <m:ctrlPr>
                  <w:rPr>
                    <w:rFonts w:ascii="Cambria Math" w:hAnsi="Cambria Math" w:cs="Verdana"/>
                    <w:bCs/>
                    <w:i/>
                  </w:rPr>
                </m:ctrlPr>
              </m:dPr>
              <m:e>
                <m:r>
                  <m:rPr>
                    <m:sty m:val="bi"/>
                  </m:rPr>
                  <w:rPr>
                    <w:rFonts w:ascii="Cambria Math" w:hAnsi="Cambria Math" w:cs="Verdana"/>
                  </w:rPr>
                  <m:t>t-d,t</m:t>
                </m:r>
              </m:e>
            </m:d>
          </m:sub>
        </m:sSub>
      </m:oMath>
      <w:r w:rsidR="007968EC" w:rsidRPr="005F10B9">
        <w:rPr>
          <w:rFonts w:ascii="Arial Narrow" w:hAnsi="Arial Narrow" w:cs="Verdana"/>
          <w:bCs/>
        </w:rPr>
        <w:t xml:space="preserve">:  tasa IBR </w:t>
      </w:r>
      <w:r w:rsidR="007968EC" w:rsidRPr="005F10B9">
        <w:rPr>
          <w:rFonts w:ascii="Arial Narrow" w:hAnsi="Arial Narrow" w:cs="Verdana"/>
          <w:bCs/>
          <w:i/>
        </w:rPr>
        <w:t xml:space="preserve">Overnight </w:t>
      </w:r>
      <w:r w:rsidR="007968EC" w:rsidRPr="005F10B9">
        <w:rPr>
          <w:rFonts w:ascii="Arial Narrow" w:hAnsi="Arial Narrow" w:cs="Verdana"/>
          <w:bCs/>
        </w:rPr>
        <w:t xml:space="preserve">correspondiente a la fecha “t-d. </w:t>
      </w:r>
    </w:p>
    <w:p w14:paraId="0B3379DF" w14:textId="77777777" w:rsidR="007968EC" w:rsidRPr="005F10B9" w:rsidRDefault="007968EC" w:rsidP="007968EC">
      <w:pPr>
        <w:pStyle w:val="ARTICULO0"/>
      </w:pPr>
      <w:bookmarkStart w:id="6407" w:name="_Toc31716530"/>
      <w:r w:rsidRPr="005F10B9">
        <w:t>Artículo 5.5.2.7. Petición de Garantía por Posición Variable (VM) Intradía sobre Swaps.</w:t>
      </w:r>
      <w:bookmarkEnd w:id="6407"/>
    </w:p>
    <w:p w14:paraId="50D70ACC" w14:textId="77777777" w:rsidR="007968EC" w:rsidRDefault="007968EC" w:rsidP="007968EC">
      <w:pPr>
        <w:keepNext/>
        <w:tabs>
          <w:tab w:val="left" w:pos="1701"/>
        </w:tabs>
        <w:jc w:val="both"/>
        <w:outlineLvl w:val="2"/>
        <w:rPr>
          <w:rFonts w:ascii="Arial Narrow" w:hAnsi="Arial Narrow" w:cs="Arial"/>
          <w:b/>
          <w:color w:val="000000" w:themeColor="text1"/>
          <w:u w:val="single"/>
          <w:lang w:eastAsia="es-ES"/>
        </w:rPr>
      </w:pPr>
    </w:p>
    <w:p w14:paraId="64C60315" w14:textId="77777777" w:rsidR="007968EC" w:rsidRPr="000C31A5" w:rsidRDefault="007968EC" w:rsidP="007968EC">
      <w:pPr>
        <w:pStyle w:val="ARTICULO0"/>
        <w:rPr>
          <w:u w:val="none"/>
        </w:rPr>
      </w:pPr>
      <w:bookmarkStart w:id="6408" w:name="_Toc31716531"/>
      <w:r w:rsidRPr="00D044D5">
        <w:rPr>
          <w:bCs/>
          <w:u w:val="none"/>
        </w:rPr>
        <w:t>(Este artículo fue modificado</w:t>
      </w:r>
      <w:r>
        <w:rPr>
          <w:u w:val="none"/>
        </w:rPr>
        <w:t xml:space="preserve"> </w:t>
      </w:r>
      <w:r w:rsidRPr="000C31A5">
        <w:rPr>
          <w:u w:val="none"/>
        </w:rPr>
        <w:t>mediante Circular 19 del 22 de noviembre de 2019, publicada en el Boletín Normativo No. 034 del 22 de noviembre de 2019. Rige a partir del 25 de noviembre de 2019).</w:t>
      </w:r>
      <w:bookmarkEnd w:id="6408"/>
    </w:p>
    <w:p w14:paraId="1B7127B4" w14:textId="77777777" w:rsidR="007968EC" w:rsidRPr="005F10B9" w:rsidRDefault="007968EC" w:rsidP="007968EC">
      <w:pPr>
        <w:keepNext/>
        <w:tabs>
          <w:tab w:val="left" w:pos="1701"/>
        </w:tabs>
        <w:jc w:val="both"/>
        <w:outlineLvl w:val="2"/>
        <w:rPr>
          <w:rFonts w:ascii="Arial Narrow" w:hAnsi="Arial Narrow" w:cs="Arial"/>
          <w:b/>
          <w:color w:val="000000" w:themeColor="text1"/>
          <w:u w:val="single"/>
          <w:lang w:eastAsia="es-ES"/>
        </w:rPr>
      </w:pPr>
    </w:p>
    <w:p w14:paraId="5F0CED85" w14:textId="77777777" w:rsidR="007968EC" w:rsidRPr="005F10B9" w:rsidRDefault="007968EC" w:rsidP="007968EC">
      <w:pPr>
        <w:autoSpaceDE w:val="0"/>
        <w:autoSpaceDN w:val="0"/>
        <w:adjustRightInd w:val="0"/>
        <w:jc w:val="both"/>
        <w:rPr>
          <w:rFonts w:ascii="Arial Narrow" w:hAnsi="Arial Narrow" w:cs="Verdana"/>
          <w:bCs/>
        </w:rPr>
      </w:pPr>
      <w:r w:rsidRPr="005F10B9">
        <w:rPr>
          <w:rFonts w:ascii="Arial Narrow" w:hAnsi="Arial Narrow" w:cs="Verdana"/>
          <w:bCs/>
        </w:rPr>
        <w:t>La Cámara exigirá la constitución de la Garantía Variable intradía en efectivo por la cuantía que corresponda de acuerdo con la siguiente fórmula:</w:t>
      </w:r>
    </w:p>
    <w:p w14:paraId="0E00EBF3" w14:textId="77777777" w:rsidR="007968EC" w:rsidRPr="005F10B9" w:rsidRDefault="007968EC" w:rsidP="007968EC">
      <w:pPr>
        <w:autoSpaceDE w:val="0"/>
        <w:autoSpaceDN w:val="0"/>
        <w:adjustRightInd w:val="0"/>
        <w:ind w:left="720"/>
        <w:jc w:val="both"/>
        <w:rPr>
          <w:rFonts w:ascii="Arial Narrow" w:hAnsi="Arial Narrow" w:cs="Verdana"/>
          <w:bCs/>
          <w:highlight w:val="yellow"/>
          <w:lang w:eastAsia="es-CO"/>
        </w:rPr>
      </w:pPr>
    </w:p>
    <w:p w14:paraId="54687A94" w14:textId="77777777" w:rsidR="007968EC" w:rsidRPr="005F10B9" w:rsidRDefault="007968EC" w:rsidP="007968EC">
      <w:pPr>
        <w:autoSpaceDE w:val="0"/>
        <w:autoSpaceDN w:val="0"/>
        <w:adjustRightInd w:val="0"/>
        <w:ind w:left="720"/>
        <w:jc w:val="center"/>
        <w:rPr>
          <w:rFonts w:ascii="Arial Narrow" w:hAnsi="Arial Narrow" w:cs="Verdana"/>
          <w:b/>
          <w:bCs/>
          <w:lang w:eastAsia="es-CO"/>
        </w:rPr>
      </w:pPr>
      <m:oMathPara>
        <m:oMath>
          <m:r>
            <m:rPr>
              <m:sty m:val="bi"/>
            </m:rPr>
            <w:rPr>
              <w:rFonts w:ascii="Cambria Math" w:hAnsi="Cambria Math" w:cs="Verdana"/>
              <w:lang w:eastAsia="es-CO"/>
            </w:rPr>
            <m:t>∆</m:t>
          </m:r>
          <m:sSub>
            <m:sSubPr>
              <m:ctrlPr>
                <w:rPr>
                  <w:rFonts w:ascii="Cambria Math" w:hAnsi="Cambria Math" w:cs="Verdana"/>
                  <w:bCs/>
                </w:rPr>
              </m:ctrlPr>
            </m:sSubPr>
            <m:e>
              <m:r>
                <m:rPr>
                  <m:sty m:val="bi"/>
                </m:rPr>
                <w:rPr>
                  <w:rFonts w:ascii="Cambria Math" w:hAnsi="Cambria Math" w:cs="Verdana"/>
                </w:rPr>
                <m:t>VM</m:t>
              </m:r>
            </m:e>
            <m:sub>
              <m:r>
                <m:rPr>
                  <m:sty m:val="bi"/>
                </m:rPr>
                <w:rPr>
                  <w:rFonts w:ascii="Cambria Math" w:hAnsi="Cambria Math" w:cs="Verdana"/>
                </w:rPr>
                <m:t>intradia</m:t>
              </m:r>
              <m:r>
                <m:rPr>
                  <m:sty m:val="b"/>
                </m:rPr>
                <w:rPr>
                  <w:rFonts w:ascii="Cambria Math" w:hAnsi="Cambria Math" w:cs="Verdana"/>
                </w:rPr>
                <m:t xml:space="preserve"> (</m:t>
              </m:r>
              <m:r>
                <m:rPr>
                  <m:sty m:val="bi"/>
                </m:rPr>
                <w:rPr>
                  <w:rFonts w:ascii="Cambria Math" w:hAnsi="Cambria Math" w:cs="Verdana"/>
                </w:rPr>
                <m:t>t</m:t>
              </m:r>
              <m:r>
                <m:rPr>
                  <m:sty m:val="b"/>
                </m:rPr>
                <w:rPr>
                  <w:rFonts w:ascii="Cambria Math" w:hAnsi="Cambria Math" w:cs="Verdana"/>
                </w:rPr>
                <m:t>)</m:t>
              </m:r>
            </m:sub>
          </m:sSub>
          <m:r>
            <m:rPr>
              <m:sty m:val="b"/>
            </m:rPr>
            <w:rPr>
              <w:rFonts w:ascii="Cambria Math" w:hAnsi="Cambria Math" w:cs="Verdana"/>
            </w:rPr>
            <m:t>=</m:t>
          </m:r>
          <m:r>
            <m:rPr>
              <m:sty m:val="bi"/>
            </m:rPr>
            <w:rPr>
              <w:rFonts w:ascii="Cambria Math" w:hAnsi="Cambria Math" w:cs="Verdana"/>
            </w:rPr>
            <m:t>Min</m:t>
          </m:r>
          <m:r>
            <m:rPr>
              <m:sty m:val="b"/>
            </m:rPr>
            <w:rPr>
              <w:rFonts w:ascii="Cambria Math" w:hAnsi="Cambria Math" w:cs="Verdana"/>
            </w:rPr>
            <m:t xml:space="preserve"> </m:t>
          </m:r>
          <m:d>
            <m:dPr>
              <m:ctrlPr>
                <w:rPr>
                  <w:rFonts w:ascii="Cambria Math" w:hAnsi="Cambria Math" w:cs="Verdana"/>
                  <w:bCs/>
                </w:rPr>
              </m:ctrlPr>
            </m:dPr>
            <m:e>
              <m:d>
                <m:dPr>
                  <m:ctrlPr>
                    <w:rPr>
                      <w:rFonts w:ascii="Cambria Math" w:hAnsi="Cambria Math" w:cs="Verdana"/>
                      <w:bCs/>
                    </w:rPr>
                  </m:ctrlPr>
                </m:dPr>
                <m:e>
                  <m:sSub>
                    <m:sSubPr>
                      <m:ctrlPr>
                        <w:rPr>
                          <w:rFonts w:ascii="Cambria Math" w:hAnsi="Cambria Math" w:cs="Verdana"/>
                          <w:bCs/>
                        </w:rPr>
                      </m:ctrlPr>
                    </m:sSubPr>
                    <m:e>
                      <m:r>
                        <m:rPr>
                          <m:sty m:val="bi"/>
                        </m:rPr>
                        <w:rPr>
                          <w:rFonts w:ascii="Cambria Math" w:hAnsi="Cambria Math" w:cs="Verdana"/>
                        </w:rPr>
                        <m:t>NPV</m:t>
                      </m:r>
                    </m:e>
                    <m:sub>
                      <m:r>
                        <m:rPr>
                          <m:sty m:val="bi"/>
                        </m:rPr>
                        <w:rPr>
                          <w:rFonts w:ascii="Cambria Math" w:hAnsi="Cambria Math" w:cs="Verdana"/>
                        </w:rPr>
                        <m:t>intradia</m:t>
                      </m:r>
                      <m:d>
                        <m:dPr>
                          <m:ctrlPr>
                            <w:rPr>
                              <w:rFonts w:ascii="Cambria Math" w:hAnsi="Cambria Math" w:cs="Verdana"/>
                              <w:bCs/>
                            </w:rPr>
                          </m:ctrlPr>
                        </m:dPr>
                        <m:e>
                          <m:r>
                            <m:rPr>
                              <m:sty m:val="bi"/>
                            </m:rPr>
                            <w:rPr>
                              <w:rFonts w:ascii="Cambria Math" w:hAnsi="Cambria Math" w:cs="Verdana"/>
                            </w:rPr>
                            <m:t>Mercado</m:t>
                          </m:r>
                        </m:e>
                      </m:d>
                    </m:sub>
                  </m:sSub>
                  <m:r>
                    <m:rPr>
                      <m:sty m:val="b"/>
                    </m:rPr>
                    <w:rPr>
                      <w:rFonts w:ascii="Cambria Math" w:hAnsi="Cambria Math" w:cs="Verdana"/>
                    </w:rPr>
                    <m:t xml:space="preserve">- </m:t>
                  </m:r>
                  <m:sSub>
                    <m:sSubPr>
                      <m:ctrlPr>
                        <w:rPr>
                          <w:rFonts w:ascii="Cambria Math" w:hAnsi="Cambria Math" w:cs="Verdana"/>
                          <w:bCs/>
                        </w:rPr>
                      </m:ctrlPr>
                    </m:sSubPr>
                    <m:e>
                      <m:r>
                        <m:rPr>
                          <m:sty m:val="bi"/>
                        </m:rPr>
                        <w:rPr>
                          <w:rFonts w:ascii="Cambria Math" w:hAnsi="Cambria Math" w:cs="Verdana"/>
                        </w:rPr>
                        <m:t>NPV</m:t>
                      </m:r>
                    </m:e>
                    <m:sub>
                      <m:r>
                        <m:rPr>
                          <m:sty m:val="bi"/>
                        </m:rPr>
                        <w:rPr>
                          <w:rFonts w:ascii="Cambria Math" w:hAnsi="Cambria Math" w:cs="Verdana"/>
                        </w:rPr>
                        <m:t>Last</m:t>
                      </m:r>
                      <m:r>
                        <m:rPr>
                          <m:sty m:val="b"/>
                        </m:rPr>
                        <w:rPr>
                          <w:rFonts w:ascii="Cambria Math" w:hAnsi="Cambria Math" w:cs="Verdana"/>
                        </w:rPr>
                        <m:t xml:space="preserve"> </m:t>
                      </m:r>
                      <m:r>
                        <m:rPr>
                          <m:sty m:val="bi"/>
                        </m:rPr>
                        <w:rPr>
                          <w:rFonts w:ascii="Cambria Math" w:hAnsi="Cambria Math" w:cs="Verdana"/>
                        </w:rPr>
                        <m:t>PGV</m:t>
                      </m:r>
                    </m:sub>
                  </m:sSub>
                </m:e>
              </m:d>
              <m:r>
                <m:rPr>
                  <m:sty m:val="b"/>
                </m:rPr>
                <w:rPr>
                  <w:rFonts w:ascii="Cambria Math" w:hAnsi="Cambria Math" w:cs="Verdana"/>
                </w:rPr>
                <m:t>;0</m:t>
              </m:r>
            </m:e>
          </m:d>
        </m:oMath>
      </m:oMathPara>
    </w:p>
    <w:p w14:paraId="47336D89" w14:textId="77777777" w:rsidR="007968EC" w:rsidRPr="005F10B9" w:rsidRDefault="007968EC" w:rsidP="007968EC">
      <w:pPr>
        <w:autoSpaceDE w:val="0"/>
        <w:autoSpaceDN w:val="0"/>
        <w:adjustRightInd w:val="0"/>
        <w:ind w:left="720"/>
        <w:jc w:val="center"/>
        <w:rPr>
          <w:rFonts w:ascii="Arial Narrow" w:hAnsi="Arial Narrow" w:cs="Verdana"/>
          <w:bCs/>
          <w:highlight w:val="yellow"/>
          <w:lang w:eastAsia="es-CO"/>
        </w:rPr>
      </w:pPr>
    </w:p>
    <w:p w14:paraId="1AFDFE95" w14:textId="77777777" w:rsidR="007968EC" w:rsidRPr="005F10B9" w:rsidRDefault="007968EC" w:rsidP="007968EC">
      <w:pPr>
        <w:autoSpaceDE w:val="0"/>
        <w:autoSpaceDN w:val="0"/>
        <w:adjustRightInd w:val="0"/>
        <w:ind w:left="720"/>
        <w:jc w:val="both"/>
        <w:rPr>
          <w:rFonts w:ascii="Arial Narrow" w:hAnsi="Arial Narrow" w:cs="Verdana"/>
          <w:bCs/>
          <w:lang w:eastAsia="es-CO"/>
        </w:rPr>
      </w:pPr>
      <w:r w:rsidRPr="005F10B9">
        <w:rPr>
          <w:rFonts w:ascii="Arial Narrow" w:hAnsi="Arial Narrow" w:cs="Verdana"/>
          <w:bCs/>
          <w:lang w:eastAsia="es-CO"/>
        </w:rPr>
        <w:t>Donde:</w:t>
      </w:r>
    </w:p>
    <w:p w14:paraId="1D1C5D7E" w14:textId="77777777" w:rsidR="007968EC" w:rsidRPr="005F10B9" w:rsidRDefault="007968EC" w:rsidP="007968EC">
      <w:pPr>
        <w:autoSpaceDE w:val="0"/>
        <w:autoSpaceDN w:val="0"/>
        <w:adjustRightInd w:val="0"/>
        <w:ind w:left="720"/>
        <w:jc w:val="both"/>
        <w:rPr>
          <w:rFonts w:ascii="Arial Narrow" w:hAnsi="Arial Narrow" w:cs="Verdana"/>
          <w:bCs/>
          <w:lang w:eastAsia="es-CO"/>
        </w:rPr>
      </w:pPr>
    </w:p>
    <w:p w14:paraId="643B6990" w14:textId="77777777" w:rsidR="007968EC" w:rsidRPr="005F10B9" w:rsidRDefault="007968EC" w:rsidP="007968EC">
      <w:pPr>
        <w:autoSpaceDE w:val="0"/>
        <w:autoSpaceDN w:val="0"/>
        <w:adjustRightInd w:val="0"/>
        <w:ind w:left="708"/>
        <w:jc w:val="both"/>
        <w:rPr>
          <w:rFonts w:ascii="Arial Narrow" w:hAnsi="Arial Narrow" w:cs="Verdana"/>
          <w:bCs/>
        </w:rPr>
      </w:pPr>
      <m:oMath>
        <m:r>
          <m:rPr>
            <m:sty m:val="bi"/>
          </m:rPr>
          <w:rPr>
            <w:rFonts w:ascii="Cambria Math" w:hAnsi="Cambria Math" w:cs="Verdana"/>
          </w:rPr>
          <m:t>∆</m:t>
        </m:r>
        <m:sSub>
          <m:sSubPr>
            <m:ctrlPr>
              <w:rPr>
                <w:rFonts w:ascii="Cambria Math" w:hAnsi="Cambria Math" w:cs="Verdana"/>
                <w:b/>
                <w:bCs/>
                <w:i/>
              </w:rPr>
            </m:ctrlPr>
          </m:sSubPr>
          <m:e>
            <m:r>
              <m:rPr>
                <m:sty m:val="bi"/>
              </m:rPr>
              <w:rPr>
                <w:rFonts w:ascii="Cambria Math" w:hAnsi="Cambria Math" w:cs="Verdana"/>
              </w:rPr>
              <m:t>VM</m:t>
            </m:r>
          </m:e>
          <m:sub>
            <m:r>
              <m:rPr>
                <m:sty m:val="bi"/>
              </m:rPr>
              <w:rPr>
                <w:rFonts w:ascii="Cambria Math" w:hAnsi="Cambria Math" w:cs="Verdana"/>
              </w:rPr>
              <m:t>intradia (t)</m:t>
            </m:r>
          </m:sub>
        </m:sSub>
      </m:oMath>
      <w:r w:rsidRPr="005F10B9">
        <w:rPr>
          <w:rFonts w:ascii="Arial Narrow" w:hAnsi="Arial Narrow" w:cs="Verdana"/>
          <w:bCs/>
        </w:rPr>
        <w:t>: Variación NPV.</w:t>
      </w:r>
    </w:p>
    <w:p w14:paraId="564D9B65" w14:textId="77777777" w:rsidR="007968EC" w:rsidRPr="005F10B9" w:rsidRDefault="00682D97" w:rsidP="007968EC">
      <w:pPr>
        <w:autoSpaceDE w:val="0"/>
        <w:autoSpaceDN w:val="0"/>
        <w:adjustRightInd w:val="0"/>
        <w:ind w:left="708"/>
        <w:jc w:val="both"/>
        <w:rPr>
          <w:rFonts w:ascii="Arial Narrow" w:hAnsi="Arial Narrow" w:cs="Verdana"/>
          <w:bCs/>
        </w:rPr>
      </w:pPr>
      <m:oMath>
        <m:sSub>
          <m:sSubPr>
            <m:ctrlPr>
              <w:rPr>
                <w:rFonts w:ascii="Cambria Math" w:hAnsi="Cambria Math" w:cs="Verdana"/>
                <w:bCs/>
              </w:rPr>
            </m:ctrlPr>
          </m:sSubPr>
          <m:e>
            <m:r>
              <m:rPr>
                <m:sty m:val="bi"/>
              </m:rPr>
              <w:rPr>
                <w:rFonts w:ascii="Cambria Math" w:hAnsi="Cambria Math" w:cs="Verdana"/>
              </w:rPr>
              <m:t>NPV</m:t>
            </m:r>
          </m:e>
          <m:sub>
            <m:r>
              <m:rPr>
                <m:sty m:val="bi"/>
              </m:rPr>
              <w:rPr>
                <w:rFonts w:ascii="Cambria Math" w:hAnsi="Cambria Math" w:cs="Verdana"/>
              </w:rPr>
              <m:t>intradia</m:t>
            </m:r>
            <m:d>
              <m:dPr>
                <m:ctrlPr>
                  <w:rPr>
                    <w:rFonts w:ascii="Cambria Math" w:hAnsi="Cambria Math" w:cs="Verdana"/>
                    <w:bCs/>
                  </w:rPr>
                </m:ctrlPr>
              </m:dPr>
              <m:e>
                <m:r>
                  <m:rPr>
                    <m:sty m:val="bi"/>
                  </m:rPr>
                  <w:rPr>
                    <w:rFonts w:ascii="Cambria Math" w:hAnsi="Cambria Math" w:cs="Verdana"/>
                  </w:rPr>
                  <m:t>Mercado</m:t>
                </m:r>
              </m:e>
            </m:d>
          </m:sub>
        </m:sSub>
      </m:oMath>
      <w:r w:rsidR="007968EC" w:rsidRPr="005F10B9">
        <w:rPr>
          <w:rFonts w:ascii="Arial Narrow" w:hAnsi="Arial Narrow" w:cs="Verdana"/>
          <w:bCs/>
        </w:rPr>
        <w:t>: NPV a Mercado en el momento de cálculo.</w:t>
      </w:r>
    </w:p>
    <w:p w14:paraId="7A4F429C" w14:textId="77777777" w:rsidR="007968EC" w:rsidRPr="005F10B9" w:rsidRDefault="00682D97" w:rsidP="007968EC">
      <w:pPr>
        <w:autoSpaceDE w:val="0"/>
        <w:autoSpaceDN w:val="0"/>
        <w:adjustRightInd w:val="0"/>
        <w:ind w:left="709"/>
        <w:jc w:val="both"/>
        <w:rPr>
          <w:rFonts w:ascii="Arial Narrow" w:eastAsia="Calibri" w:hAnsi="Arial Narrow"/>
          <w:color w:val="000000" w:themeColor="text1"/>
          <w:lang w:val="es-ES" w:eastAsia="es-ES"/>
        </w:rPr>
      </w:pPr>
      <m:oMath>
        <m:sSub>
          <m:sSubPr>
            <m:ctrlPr>
              <w:rPr>
                <w:rFonts w:ascii="Cambria Math" w:hAnsi="Cambria Math" w:cs="Verdana"/>
                <w:bCs/>
                <w:i/>
                <w:color w:val="000000"/>
                <w:lang w:val="es-ES" w:eastAsia="es-ES"/>
              </w:rPr>
            </m:ctrlPr>
          </m:sSubPr>
          <m:e>
            <m:r>
              <m:rPr>
                <m:sty m:val="bi"/>
              </m:rPr>
              <w:rPr>
                <w:rFonts w:ascii="Cambria Math" w:hAnsi="Cambria Math" w:cs="Verdana"/>
                <w:color w:val="000000"/>
                <w:lang w:val="es-ES" w:eastAsia="es-ES"/>
              </w:rPr>
              <m:t>NPV</m:t>
            </m:r>
          </m:e>
          <m:sub>
            <m:r>
              <m:rPr>
                <m:sty m:val="bi"/>
              </m:rPr>
              <w:rPr>
                <w:rFonts w:ascii="Cambria Math" w:hAnsi="Cambria Math" w:cs="Verdana"/>
                <w:color w:val="000000"/>
                <w:lang w:val="es-ES" w:eastAsia="es-ES"/>
              </w:rPr>
              <m:t>Last PGV</m:t>
            </m:r>
          </m:sub>
        </m:sSub>
      </m:oMath>
      <w:r w:rsidR="007968EC" w:rsidRPr="005F10B9">
        <w:rPr>
          <w:rFonts w:ascii="Arial Narrow" w:hAnsi="Arial Narrow" w:cs="Verdana"/>
          <w:bCs/>
          <w:color w:val="000000"/>
          <w:lang w:val="es-ES" w:eastAsia="es-ES"/>
        </w:rPr>
        <w:t xml:space="preserve">: </w:t>
      </w:r>
      <w:r w:rsidR="007968EC" w:rsidRPr="005F10B9">
        <w:rPr>
          <w:rFonts w:ascii="Arial Narrow" w:hAnsi="Arial Narrow" w:cs="Verdana"/>
          <w:bCs/>
        </w:rPr>
        <w:t>NPV</w:t>
      </w:r>
      <w:r w:rsidR="007968EC">
        <w:rPr>
          <w:rFonts w:ascii="Arial Narrow" w:hAnsi="Arial Narrow" w:cs="Verdana"/>
          <w:bCs/>
        </w:rPr>
        <w:t xml:space="preserve"> de la</w:t>
      </w:r>
      <w:r w:rsidR="007968EC" w:rsidRPr="005F10B9">
        <w:rPr>
          <w:rFonts w:ascii="Arial Narrow" w:hAnsi="Arial Narrow" w:cs="Verdana"/>
          <w:bCs/>
        </w:rPr>
        <w:t xml:space="preserve"> última actualización de la Garantía Variable. Si es el primer cálculo de VM del día, el NPV corresponde con el NPV calculado a cierre de la sesión inmediatamente anterior al </w:t>
      </w:r>
      <w:r w:rsidR="007968EC" w:rsidRPr="005F10B9">
        <w:rPr>
          <w:rFonts w:ascii="Arial Narrow" w:hAnsi="Arial Narrow" w:cs="Verdana"/>
          <w:bCs/>
        </w:rPr>
        <w:lastRenderedPageBreak/>
        <w:t>momento de cálculo (</w:t>
      </w:r>
      <m:oMath>
        <m:sSub>
          <m:sSubPr>
            <m:ctrlPr>
              <w:rPr>
                <w:rFonts w:ascii="Cambria Math" w:hAnsi="Cambria Math" w:cs="Verdana"/>
                <w:b/>
                <w:bCs/>
                <w:i/>
                <w:color w:val="000000"/>
                <w:lang w:val="es-ES" w:eastAsia="es-ES"/>
              </w:rPr>
            </m:ctrlPr>
          </m:sSubPr>
          <m:e>
            <m:r>
              <m:rPr>
                <m:sty m:val="bi"/>
              </m:rPr>
              <w:rPr>
                <w:rFonts w:ascii="Cambria Math" w:hAnsi="Cambria Math" w:cs="Verdana"/>
                <w:color w:val="000000"/>
                <w:lang w:val="es-ES" w:eastAsia="es-ES"/>
              </w:rPr>
              <m:t>NPV</m:t>
            </m:r>
          </m:e>
          <m:sub>
            <m:r>
              <m:rPr>
                <m:sty m:val="bi"/>
              </m:rPr>
              <w:rPr>
                <w:rFonts w:ascii="Cambria Math" w:hAnsi="Cambria Math" w:cs="Verdana"/>
                <w:color w:val="000000"/>
                <w:lang w:val="es-ES" w:eastAsia="es-ES"/>
              </w:rPr>
              <m:t>EOD (t-1)</m:t>
            </m:r>
          </m:sub>
        </m:sSub>
      </m:oMath>
      <w:r w:rsidR="007968EC" w:rsidRPr="005F10B9">
        <w:rPr>
          <w:rFonts w:ascii="Arial Narrow" w:eastAsiaTheme="minorEastAsia" w:hAnsi="Arial Narrow" w:cs="Verdana"/>
          <w:b/>
          <w:bCs/>
          <w:color w:val="000000"/>
          <w:lang w:val="es-ES" w:eastAsia="es-ES"/>
        </w:rPr>
        <w:t xml:space="preserve"> ). </w:t>
      </w:r>
      <w:r w:rsidR="007968EC" w:rsidRPr="005F10B9">
        <w:rPr>
          <w:rFonts w:ascii="Arial Narrow" w:hAnsi="Arial Narrow" w:cs="Verdana"/>
          <w:bCs/>
        </w:rPr>
        <w:t>Si se realiza tras una petición de garantías Intradía, éste se considerará el último NPV.</w:t>
      </w:r>
    </w:p>
    <w:p w14:paraId="4DBB6178" w14:textId="77777777" w:rsidR="007968EC" w:rsidRPr="005F10B9" w:rsidRDefault="007968EC" w:rsidP="007968EC">
      <w:pPr>
        <w:autoSpaceDE w:val="0"/>
        <w:autoSpaceDN w:val="0"/>
        <w:adjustRightInd w:val="0"/>
        <w:ind w:left="720"/>
        <w:rPr>
          <w:rFonts w:ascii="Arial Narrow" w:hAnsi="Arial Narrow" w:cs="Verdana"/>
          <w:bCs/>
          <w:lang w:eastAsia="es-CO"/>
        </w:rPr>
      </w:pPr>
    </w:p>
    <w:p w14:paraId="289709BE" w14:textId="77777777" w:rsidR="007968EC" w:rsidRPr="005F10B9" w:rsidRDefault="007968EC" w:rsidP="007968EC">
      <w:pPr>
        <w:autoSpaceDE w:val="0"/>
        <w:autoSpaceDN w:val="0"/>
        <w:adjustRightInd w:val="0"/>
        <w:jc w:val="both"/>
        <w:rPr>
          <w:rFonts w:ascii="Arial Narrow" w:hAnsi="Arial Narrow" w:cs="Verdana"/>
          <w:bCs/>
        </w:rPr>
      </w:pPr>
      <w:r w:rsidRPr="005F10B9">
        <w:rPr>
          <w:rFonts w:ascii="Arial Narrow" w:hAnsi="Arial Narrow" w:cs="Verdana"/>
          <w:bCs/>
        </w:rPr>
        <w:t xml:space="preserve">La Cámara únicamente realizará Petición de Garantía Variable intradía a los Miembros Liquidadores que tengan en sus </w:t>
      </w:r>
      <w:r w:rsidRPr="005F10B9">
        <w:rPr>
          <w:rFonts w:ascii="Arial Narrow" w:eastAsia="Calibri" w:hAnsi="Arial Narrow"/>
          <w:bCs/>
          <w:color w:val="000000" w:themeColor="text1"/>
        </w:rPr>
        <w:t xml:space="preserve">Cuentas de Registro de la Cuenta Propia, de las Cuentas de Registro de la Cuenta Propia del Miembro No Liquidador, </w:t>
      </w:r>
      <w:r w:rsidRPr="005F10B9">
        <w:rPr>
          <w:rFonts w:ascii="Arial Narrow" w:hAnsi="Arial Narrow" w:cs="Verdana"/>
          <w:bCs/>
        </w:rPr>
        <w:t xml:space="preserve">una diferencia negativa y por la suma de dicho importe. Si para una Cuenta la Garantía Variable intradía no es negativa, se considerará que es 0. La Cámara debitará el importe en efectivo correspondiente a la Petición de Garantía Variable de la cuenta CUD del Miembro Liquidador calculado conforme a lo dispuesto en el presente artículo. </w:t>
      </w:r>
    </w:p>
    <w:p w14:paraId="455D8CFF" w14:textId="77777777" w:rsidR="007968EC" w:rsidRPr="005F10B9" w:rsidRDefault="007968EC" w:rsidP="007968EC">
      <w:pPr>
        <w:autoSpaceDE w:val="0"/>
        <w:autoSpaceDN w:val="0"/>
        <w:adjustRightInd w:val="0"/>
        <w:jc w:val="both"/>
        <w:rPr>
          <w:rFonts w:ascii="Arial Narrow" w:hAnsi="Arial Narrow" w:cs="Verdana"/>
          <w:bCs/>
        </w:rPr>
      </w:pPr>
    </w:p>
    <w:p w14:paraId="30F6FDB6" w14:textId="77777777" w:rsidR="007968EC" w:rsidRPr="005F10B9" w:rsidRDefault="007968EC" w:rsidP="007968EC">
      <w:pPr>
        <w:autoSpaceDE w:val="0"/>
        <w:autoSpaceDN w:val="0"/>
        <w:adjustRightInd w:val="0"/>
        <w:jc w:val="both"/>
        <w:rPr>
          <w:rFonts w:ascii="Arial Narrow" w:hAnsi="Arial Narrow" w:cs="Verdana"/>
          <w:bCs/>
        </w:rPr>
      </w:pPr>
      <w:r w:rsidRPr="005F10B9">
        <w:rPr>
          <w:rFonts w:ascii="Arial Narrow" w:hAnsi="Arial Narrow" w:cs="Verdana"/>
          <w:bCs/>
        </w:rPr>
        <w:t xml:space="preserve">La Cámara, en la Sesión de Liquidación Diaria del día siguiente, devolverá el importe de Garantía Variable requerido intradía siempre y cuando exista exceso de Garantías en efectivo, de acuerdo con lo dispuesto en el artículo 1.6.4.8. de la presente Circular. </w:t>
      </w:r>
    </w:p>
    <w:p w14:paraId="0E6FF840" w14:textId="77777777" w:rsidR="007968EC" w:rsidRPr="005F10B9" w:rsidRDefault="007968EC" w:rsidP="007968EC">
      <w:pPr>
        <w:autoSpaceDE w:val="0"/>
        <w:autoSpaceDN w:val="0"/>
        <w:adjustRightInd w:val="0"/>
        <w:jc w:val="both"/>
        <w:rPr>
          <w:rFonts w:ascii="Arial Narrow" w:hAnsi="Arial Narrow" w:cs="Verdana"/>
          <w:bCs/>
          <w:highlight w:val="cyan"/>
        </w:rPr>
      </w:pPr>
    </w:p>
    <w:p w14:paraId="78936D83" w14:textId="77777777" w:rsidR="007968EC" w:rsidRPr="005F10B9" w:rsidRDefault="007968EC" w:rsidP="007968EC">
      <w:pPr>
        <w:autoSpaceDE w:val="0"/>
        <w:autoSpaceDN w:val="0"/>
        <w:adjustRightInd w:val="0"/>
        <w:jc w:val="both"/>
        <w:rPr>
          <w:rFonts w:ascii="Arial Narrow" w:hAnsi="Arial Narrow" w:cs="Verdana"/>
          <w:bCs/>
        </w:rPr>
      </w:pPr>
      <w:r w:rsidRPr="005F10B9">
        <w:rPr>
          <w:rFonts w:ascii="Arial Narrow" w:hAnsi="Arial Narrow" w:cs="Verdana"/>
          <w:bCs/>
        </w:rPr>
        <w:t xml:space="preserve">En el caso de que no exista exceso de Garantías en efectivo, la Cámara podrá devolver el importe de Garantía Variable requerido intradía al siguiente día hábil, </w:t>
      </w:r>
      <w:r w:rsidRPr="005F10B9">
        <w:rPr>
          <w:rFonts w:ascii="Arial Narrow" w:hAnsi="Arial Narrow" w:cs="Arial"/>
          <w:color w:val="000000" w:themeColor="text1"/>
          <w:lang w:val="es-ES_tradnl"/>
        </w:rPr>
        <w:t xml:space="preserve">a solicitud del Miembro Liquidador </w:t>
      </w:r>
      <w:r w:rsidRPr="005F10B9">
        <w:rPr>
          <w:rFonts w:ascii="Arial Narrow" w:hAnsi="Arial Narrow" w:cs="Verdana"/>
          <w:bCs/>
        </w:rPr>
        <w:t>de acuerdo con lo dispuesto en el artículo 1.6.4.8. de la presente Circular.</w:t>
      </w:r>
    </w:p>
    <w:p w14:paraId="4ADD389E" w14:textId="77777777" w:rsidR="007968EC" w:rsidRPr="005F10B9" w:rsidRDefault="007968EC" w:rsidP="007968EC">
      <w:pPr>
        <w:jc w:val="both"/>
        <w:rPr>
          <w:rFonts w:ascii="Arial Narrow" w:hAnsi="Arial Narrow"/>
        </w:rPr>
      </w:pPr>
    </w:p>
    <w:p w14:paraId="23D1F352" w14:textId="77777777" w:rsidR="007968EC" w:rsidRPr="005F10B9" w:rsidRDefault="007968EC" w:rsidP="007968EC">
      <w:pPr>
        <w:pStyle w:val="ARTICULO0"/>
      </w:pPr>
      <w:bookmarkStart w:id="6409" w:name="_Toc31716532"/>
      <w:r w:rsidRPr="005F10B9">
        <w:t>Artículo 5.5.2.8. Procedimiento de cálculo de la Garantía Extraordinaria por variación de precios en el Segmento Swaps.</w:t>
      </w:r>
      <w:bookmarkEnd w:id="6409"/>
    </w:p>
    <w:p w14:paraId="4870562C" w14:textId="77777777" w:rsidR="007968EC" w:rsidRDefault="007968EC" w:rsidP="007968EC">
      <w:pPr>
        <w:jc w:val="both"/>
        <w:rPr>
          <w:rFonts w:ascii="Arial Narrow" w:hAnsi="Arial Narrow"/>
          <w:b/>
        </w:rPr>
      </w:pPr>
    </w:p>
    <w:p w14:paraId="18A6B778" w14:textId="77777777" w:rsidR="007968EC" w:rsidRPr="000C31A5" w:rsidRDefault="007968EC" w:rsidP="007968EC">
      <w:pPr>
        <w:pStyle w:val="ARTICULO0"/>
        <w:rPr>
          <w:u w:val="none"/>
        </w:rPr>
      </w:pPr>
      <w:bookmarkStart w:id="6410" w:name="_Toc31716533"/>
      <w:r w:rsidRPr="00D044D5">
        <w:rPr>
          <w:bCs/>
          <w:u w:val="none"/>
        </w:rPr>
        <w:t>(</w:t>
      </w:r>
      <w:r>
        <w:rPr>
          <w:u w:val="none"/>
        </w:rPr>
        <w:t xml:space="preserve">Este artículo fue modificado </w:t>
      </w:r>
      <w:r w:rsidRPr="000C31A5">
        <w:rPr>
          <w:u w:val="none"/>
        </w:rPr>
        <w:t>mediante Circular 19 del 22 de noviembre de 2019, publicada en el Boletín Normativo No. 034 del 22 de noviembre de 2019. Rige a partir del 25 de noviembre de 2019).</w:t>
      </w:r>
      <w:bookmarkEnd w:id="6410"/>
    </w:p>
    <w:p w14:paraId="4ED93622" w14:textId="77777777" w:rsidR="007968EC" w:rsidRPr="005F10B9" w:rsidRDefault="007968EC" w:rsidP="007968EC">
      <w:pPr>
        <w:jc w:val="both"/>
        <w:rPr>
          <w:rFonts w:ascii="Arial Narrow" w:hAnsi="Arial Narrow"/>
          <w:b/>
        </w:rPr>
      </w:pPr>
    </w:p>
    <w:p w14:paraId="7DFE9163" w14:textId="77777777" w:rsidR="007968EC" w:rsidRPr="005F10B9" w:rsidRDefault="007968EC" w:rsidP="007968EC">
      <w:pPr>
        <w:jc w:val="both"/>
        <w:rPr>
          <w:rFonts w:ascii="Arial Narrow" w:hAnsi="Arial Narrow"/>
        </w:rPr>
      </w:pPr>
      <w:r w:rsidRPr="005F10B9">
        <w:rPr>
          <w:rFonts w:ascii="Arial Narrow" w:hAnsi="Arial Narrow"/>
        </w:rPr>
        <w:t>La Cámara podrá exigir Garantías Extraordinarias en los siguientes eventos:</w:t>
      </w:r>
    </w:p>
    <w:p w14:paraId="2A1C7768" w14:textId="77777777" w:rsidR="007968EC" w:rsidRPr="005F10B9" w:rsidRDefault="007968EC" w:rsidP="007968EC">
      <w:pPr>
        <w:jc w:val="both"/>
        <w:rPr>
          <w:rFonts w:ascii="Arial Narrow" w:hAnsi="Arial Narrow"/>
        </w:rPr>
      </w:pPr>
    </w:p>
    <w:p w14:paraId="211D8EC0" w14:textId="77777777" w:rsidR="007968EC" w:rsidRPr="005F10B9" w:rsidRDefault="007968EC" w:rsidP="00DA7472">
      <w:pPr>
        <w:numPr>
          <w:ilvl w:val="0"/>
          <w:numId w:val="325"/>
        </w:numPr>
        <w:jc w:val="both"/>
        <w:rPr>
          <w:rFonts w:ascii="Arial Narrow" w:hAnsi="Arial Narrow" w:cs="Arial"/>
          <w:b/>
          <w:lang w:eastAsia="es-CO"/>
        </w:rPr>
      </w:pPr>
      <w:r w:rsidRPr="005F10B9">
        <w:rPr>
          <w:rFonts w:ascii="Arial Narrow" w:hAnsi="Arial Narrow" w:cs="Arial"/>
          <w:lang w:eastAsia="es-CO"/>
        </w:rPr>
        <w:t>Por la Aceptación de Operaciones.</w:t>
      </w:r>
    </w:p>
    <w:p w14:paraId="05FA178C" w14:textId="77777777" w:rsidR="007968EC" w:rsidRPr="005F10B9" w:rsidRDefault="007968EC" w:rsidP="007968EC">
      <w:pPr>
        <w:ind w:left="390"/>
        <w:jc w:val="both"/>
        <w:rPr>
          <w:rFonts w:ascii="Arial Narrow" w:hAnsi="Arial Narrow" w:cs="Arial"/>
          <w:b/>
          <w:lang w:eastAsia="es-CO"/>
        </w:rPr>
      </w:pPr>
    </w:p>
    <w:p w14:paraId="66660763" w14:textId="77777777" w:rsidR="007968EC" w:rsidRPr="005F10B9" w:rsidRDefault="007968EC" w:rsidP="00DA7472">
      <w:pPr>
        <w:numPr>
          <w:ilvl w:val="0"/>
          <w:numId w:val="325"/>
        </w:numPr>
        <w:jc w:val="both"/>
        <w:rPr>
          <w:rFonts w:ascii="Arial Narrow" w:hAnsi="Arial Narrow" w:cs="Arial"/>
          <w:b/>
          <w:lang w:eastAsia="es-CO"/>
        </w:rPr>
      </w:pPr>
      <w:r w:rsidRPr="005F10B9">
        <w:rPr>
          <w:rFonts w:ascii="Arial Narrow" w:hAnsi="Arial Narrow" w:cs="Arial"/>
          <w:lang w:eastAsia="es-CO"/>
        </w:rPr>
        <w:t>Por movimiento de mercado, el riesgo de la cuenta se incremente, se solicitarán Garantías de forma Extraordinaria.</w:t>
      </w:r>
    </w:p>
    <w:p w14:paraId="73363D46" w14:textId="77777777" w:rsidR="007968EC" w:rsidRPr="005F10B9" w:rsidRDefault="007968EC" w:rsidP="007968EC">
      <w:pPr>
        <w:jc w:val="both"/>
        <w:rPr>
          <w:rFonts w:ascii="Arial Narrow" w:hAnsi="Arial Narrow"/>
        </w:rPr>
      </w:pPr>
    </w:p>
    <w:p w14:paraId="02D99E3E" w14:textId="77777777" w:rsidR="007968EC" w:rsidRPr="005F10B9" w:rsidRDefault="007968EC" w:rsidP="007968EC">
      <w:pPr>
        <w:jc w:val="both"/>
        <w:rPr>
          <w:rFonts w:ascii="Arial Narrow" w:hAnsi="Arial Narrow"/>
        </w:rPr>
      </w:pPr>
      <w:r w:rsidRPr="005F10B9">
        <w:rPr>
          <w:rFonts w:ascii="Arial Narrow" w:hAnsi="Arial Narrow"/>
        </w:rPr>
        <w:t xml:space="preserve">En el momento en que, por variación de las curvas de </w:t>
      </w:r>
      <w:r>
        <w:rPr>
          <w:rFonts w:ascii="Arial Narrow" w:hAnsi="Arial Narrow"/>
        </w:rPr>
        <w:t xml:space="preserve">tasas de </w:t>
      </w:r>
      <w:r w:rsidRPr="005F10B9">
        <w:rPr>
          <w:rFonts w:ascii="Arial Narrow" w:hAnsi="Arial Narrow"/>
        </w:rPr>
        <w:t>interés, l</w:t>
      </w:r>
      <w:r>
        <w:rPr>
          <w:rFonts w:ascii="Arial Narrow" w:hAnsi="Arial Narrow"/>
        </w:rPr>
        <w:t>as</w:t>
      </w:r>
      <w:r w:rsidRPr="005F10B9">
        <w:rPr>
          <w:rFonts w:ascii="Arial Narrow" w:hAnsi="Arial Narrow"/>
        </w:rPr>
        <w:t xml:space="preserve"> </w:t>
      </w:r>
      <w:r>
        <w:rPr>
          <w:rFonts w:ascii="Arial Narrow" w:hAnsi="Arial Narrow"/>
        </w:rPr>
        <w:t>pérdidas y ganancias</w:t>
      </w:r>
      <w:r w:rsidRPr="005F10B9">
        <w:rPr>
          <w:rFonts w:ascii="Arial Narrow" w:hAnsi="Arial Narrow"/>
        </w:rPr>
        <w:t xml:space="preserve"> resultante</w:t>
      </w:r>
      <w:r>
        <w:rPr>
          <w:rFonts w:ascii="Arial Narrow" w:hAnsi="Arial Narrow"/>
        </w:rPr>
        <w:t>s</w:t>
      </w:r>
      <w:r w:rsidRPr="005F10B9">
        <w:rPr>
          <w:rFonts w:ascii="Arial Narrow" w:hAnsi="Arial Narrow"/>
        </w:rPr>
        <w:t xml:space="preserve"> se consuma el 50% de las Garantías por Posición de un Swap Estándar de los </w:t>
      </w:r>
      <w:proofErr w:type="spellStart"/>
      <w:r w:rsidRPr="005F10B9">
        <w:rPr>
          <w:rFonts w:ascii="Arial Narrow" w:hAnsi="Arial Narrow"/>
        </w:rPr>
        <w:t>buckets</w:t>
      </w:r>
      <w:proofErr w:type="spellEnd"/>
      <w:r w:rsidRPr="005F10B9">
        <w:rPr>
          <w:rFonts w:ascii="Arial Narrow" w:hAnsi="Arial Narrow"/>
        </w:rPr>
        <w:t xml:space="preserve"> 1Y, 2Y, 5Y, 10Y y 15Y, se lanzará una Petición de Garantías Extraordinarias. </w:t>
      </w:r>
    </w:p>
    <w:p w14:paraId="71987515" w14:textId="77777777" w:rsidR="007968EC" w:rsidRPr="005F10B9" w:rsidRDefault="007968EC" w:rsidP="007968EC">
      <w:pPr>
        <w:jc w:val="both"/>
        <w:rPr>
          <w:rFonts w:ascii="Arial Narrow" w:hAnsi="Arial Narrow"/>
        </w:rPr>
      </w:pPr>
    </w:p>
    <w:p w14:paraId="00D08831" w14:textId="77777777" w:rsidR="007968EC" w:rsidRPr="005F10B9" w:rsidRDefault="007968EC" w:rsidP="007968EC">
      <w:pPr>
        <w:jc w:val="both"/>
        <w:rPr>
          <w:rFonts w:ascii="Arial Narrow" w:hAnsi="Arial Narrow"/>
        </w:rPr>
      </w:pPr>
      <w:r w:rsidRPr="005F10B9">
        <w:rPr>
          <w:rFonts w:ascii="Arial Narrow" w:hAnsi="Arial Narrow"/>
        </w:rPr>
        <w:t>La Cámara comunicará al Miembro Liquidador por correo electrónico o vía telefónica el valor de la Garantía Extraordinaria que deberá constituir en un plazo no superior a una (1) hora contado a partir de la hora de envío del correo electrónico o de la hora de la comunicación telefónica, según el caso.</w:t>
      </w:r>
    </w:p>
    <w:p w14:paraId="5B057706" w14:textId="77777777" w:rsidR="007968EC" w:rsidRPr="005F10B9" w:rsidRDefault="007968EC" w:rsidP="007968EC">
      <w:pPr>
        <w:jc w:val="both"/>
        <w:rPr>
          <w:rFonts w:ascii="Arial Narrow" w:hAnsi="Arial Narrow"/>
        </w:rPr>
      </w:pPr>
    </w:p>
    <w:p w14:paraId="7BB3F5FF" w14:textId="77777777" w:rsidR="007968EC" w:rsidRPr="005F10B9" w:rsidRDefault="007968EC" w:rsidP="007968EC">
      <w:pPr>
        <w:pStyle w:val="ARTICULO0"/>
      </w:pPr>
      <w:bookmarkStart w:id="6411" w:name="_Toc31716534"/>
      <w:r w:rsidRPr="005F10B9">
        <w:lastRenderedPageBreak/>
        <w:t>Artículo. 5.5.2.9. Cálculo del riesgo del Miembro Liquidador en situación de estrés test.</w:t>
      </w:r>
      <w:bookmarkEnd w:id="6411"/>
      <w:r w:rsidRPr="005F10B9">
        <w:t xml:space="preserve"> </w:t>
      </w:r>
    </w:p>
    <w:p w14:paraId="41F1349E" w14:textId="77777777" w:rsidR="007968EC" w:rsidRPr="005F10B9" w:rsidRDefault="007968EC" w:rsidP="007968EC">
      <w:pPr>
        <w:keepNext/>
        <w:tabs>
          <w:tab w:val="left" w:pos="1701"/>
        </w:tabs>
        <w:jc w:val="both"/>
        <w:outlineLvl w:val="2"/>
        <w:rPr>
          <w:rFonts w:ascii="Arial Narrow" w:hAnsi="Arial Narrow" w:cs="Arial"/>
          <w:b/>
          <w:color w:val="000000" w:themeColor="text1"/>
          <w:u w:val="single"/>
          <w:lang w:eastAsia="es-ES"/>
        </w:rPr>
      </w:pPr>
    </w:p>
    <w:p w14:paraId="5D7C6A56" w14:textId="77777777" w:rsidR="007968EC" w:rsidRPr="005F10B9" w:rsidRDefault="007968EC" w:rsidP="007968EC">
      <w:pPr>
        <w:jc w:val="both"/>
        <w:rPr>
          <w:rFonts w:ascii="Arial Narrow" w:hAnsi="Arial Narrow"/>
        </w:rPr>
      </w:pPr>
      <w:r w:rsidRPr="005F10B9">
        <w:rPr>
          <w:rFonts w:ascii="Arial Narrow" w:hAnsi="Arial Narrow"/>
        </w:rPr>
        <w:t>El cálculo del Riesgo de los Miembros Liquidadores en situación de estrés test se basa en un modelo que contempla:</w:t>
      </w:r>
    </w:p>
    <w:p w14:paraId="09085663" w14:textId="77777777" w:rsidR="007968EC" w:rsidRPr="005F10B9" w:rsidRDefault="007968EC" w:rsidP="007968EC">
      <w:pPr>
        <w:jc w:val="both"/>
        <w:rPr>
          <w:rFonts w:ascii="Arial Narrow" w:hAnsi="Arial Narrow"/>
        </w:rPr>
      </w:pPr>
    </w:p>
    <w:p w14:paraId="1FE6D215" w14:textId="77777777" w:rsidR="007968EC" w:rsidRPr="005F10B9" w:rsidRDefault="007968EC" w:rsidP="00DA7472">
      <w:pPr>
        <w:numPr>
          <w:ilvl w:val="0"/>
          <w:numId w:val="354"/>
        </w:numPr>
        <w:jc w:val="both"/>
        <w:rPr>
          <w:rFonts w:ascii="Arial Narrow" w:hAnsi="Arial Narrow" w:cs="Arial"/>
          <w:b/>
          <w:lang w:eastAsia="es-CO"/>
        </w:rPr>
      </w:pPr>
      <w:r w:rsidRPr="005F10B9">
        <w:rPr>
          <w:rFonts w:ascii="Arial Narrow" w:hAnsi="Arial Narrow" w:cs="Arial"/>
          <w:lang w:eastAsia="es-CO"/>
        </w:rPr>
        <w:t>Los Peores Escenarios basados en información histórica del mercado durante todo el tiempo en que se haya podido disponer de datos fiables, y en función de las condiciones de mercado en cada momento.</w:t>
      </w:r>
    </w:p>
    <w:p w14:paraId="7516395B" w14:textId="77777777" w:rsidR="007968EC" w:rsidRPr="005F10B9" w:rsidRDefault="007968EC" w:rsidP="007968EC">
      <w:pPr>
        <w:ind w:left="720"/>
        <w:jc w:val="both"/>
        <w:rPr>
          <w:rFonts w:ascii="Arial Narrow" w:hAnsi="Arial Narrow" w:cs="Arial"/>
          <w:b/>
          <w:lang w:eastAsia="es-CO"/>
        </w:rPr>
      </w:pPr>
    </w:p>
    <w:p w14:paraId="70A34E11" w14:textId="77777777" w:rsidR="007968EC" w:rsidRPr="005F10B9" w:rsidRDefault="007968EC" w:rsidP="00DA7472">
      <w:pPr>
        <w:numPr>
          <w:ilvl w:val="0"/>
          <w:numId w:val="354"/>
        </w:numPr>
        <w:jc w:val="both"/>
        <w:rPr>
          <w:rFonts w:ascii="Arial Narrow" w:hAnsi="Arial Narrow" w:cs="Arial"/>
          <w:b/>
          <w:lang w:eastAsia="es-CO"/>
        </w:rPr>
      </w:pPr>
      <w:r w:rsidRPr="005F10B9">
        <w:rPr>
          <w:rFonts w:ascii="Arial Narrow" w:hAnsi="Arial Narrow" w:cs="Arial"/>
          <w:lang w:eastAsia="es-CO"/>
        </w:rPr>
        <w:t>Escenarios hipotéticos que recrean fluctuaciones extremas no históricas pero verosímiles.</w:t>
      </w:r>
    </w:p>
    <w:p w14:paraId="43F6E5AD" w14:textId="77777777" w:rsidR="007968EC" w:rsidRPr="005F10B9" w:rsidRDefault="007968EC" w:rsidP="007968EC">
      <w:pPr>
        <w:jc w:val="both"/>
        <w:rPr>
          <w:rFonts w:ascii="Arial Narrow" w:hAnsi="Arial Narrow"/>
        </w:rPr>
      </w:pPr>
    </w:p>
    <w:p w14:paraId="71D5EF4B" w14:textId="77777777" w:rsidR="007968EC" w:rsidRPr="005F10B9" w:rsidRDefault="007968EC" w:rsidP="007968EC">
      <w:pPr>
        <w:jc w:val="both"/>
        <w:rPr>
          <w:rFonts w:ascii="Arial Narrow" w:hAnsi="Arial Narrow"/>
        </w:rPr>
      </w:pPr>
      <w:r w:rsidRPr="005F10B9">
        <w:rPr>
          <w:rFonts w:ascii="Arial Narrow" w:hAnsi="Arial Narrow"/>
        </w:rPr>
        <w:t xml:space="preserve">Se calcula la pérdida de valor de cada Posición abierta en cada uno de los escenarios de estrés test, de acuerdo con los escenarios especificados en el artículo 5.5.2.10. </w:t>
      </w:r>
      <w:proofErr w:type="gramStart"/>
      <w:r w:rsidRPr="005F10B9">
        <w:rPr>
          <w:rFonts w:ascii="Arial Narrow" w:hAnsi="Arial Narrow"/>
        </w:rPr>
        <w:t>Escenarios a utilizar</w:t>
      </w:r>
      <w:proofErr w:type="gramEnd"/>
      <w:r w:rsidRPr="005F10B9">
        <w:rPr>
          <w:rFonts w:ascii="Arial Narrow" w:hAnsi="Arial Narrow"/>
        </w:rPr>
        <w:t xml:space="preserve"> para el cálculo de pruebas de stress.</w:t>
      </w:r>
    </w:p>
    <w:p w14:paraId="3749FB18" w14:textId="77777777" w:rsidR="007968EC" w:rsidRPr="005F10B9" w:rsidRDefault="007968EC" w:rsidP="007968EC">
      <w:pPr>
        <w:jc w:val="both"/>
        <w:rPr>
          <w:rFonts w:ascii="Arial Narrow" w:hAnsi="Arial Narrow"/>
        </w:rPr>
      </w:pPr>
    </w:p>
    <w:p w14:paraId="2C32A275" w14:textId="77777777" w:rsidR="007968EC" w:rsidRPr="005F10B9" w:rsidRDefault="007968EC" w:rsidP="007968EC">
      <w:pPr>
        <w:jc w:val="both"/>
        <w:rPr>
          <w:rFonts w:ascii="Arial Narrow" w:hAnsi="Arial Narrow"/>
        </w:rPr>
      </w:pPr>
      <w:r w:rsidRPr="005F10B9">
        <w:rPr>
          <w:rFonts w:ascii="Arial Narrow" w:hAnsi="Arial Narrow"/>
        </w:rPr>
        <w:t xml:space="preserve">Riesgo de estrés test histórico: El riesgo en situación de estrés test de cada cuenta </w:t>
      </w:r>
      <m:oMath>
        <m:r>
          <m:rPr>
            <m:sty m:val="bi"/>
          </m:rPr>
          <w:rPr>
            <w:rFonts w:ascii="Cambria Math" w:hAnsi="Cambria Math"/>
          </w:rPr>
          <m:t>i</m:t>
        </m:r>
      </m:oMath>
      <w:r w:rsidRPr="005F10B9">
        <w:rPr>
          <w:rFonts w:ascii="Arial Narrow" w:hAnsi="Arial Narrow"/>
        </w:rPr>
        <w:t xml:space="preserve"> se obtiene aplicando la siguiente fórmula:</w:t>
      </w:r>
    </w:p>
    <w:p w14:paraId="2D8F3B12" w14:textId="77777777" w:rsidR="007968EC" w:rsidRPr="005F10B9" w:rsidRDefault="007968EC" w:rsidP="007968EC">
      <w:pPr>
        <w:jc w:val="both"/>
        <w:rPr>
          <w:rFonts w:ascii="Arial Narrow" w:hAnsi="Arial Narrow"/>
        </w:rPr>
      </w:pPr>
    </w:p>
    <w:p w14:paraId="6AD9EFD6" w14:textId="77777777" w:rsidR="007968EC" w:rsidRPr="005F10B9" w:rsidRDefault="007968EC" w:rsidP="007968EC">
      <w:pPr>
        <w:jc w:val="both"/>
        <w:rPr>
          <w:rFonts w:ascii="Arial Narrow" w:hAnsi="Arial Narrow"/>
        </w:rPr>
      </w:pPr>
      <m:oMathPara>
        <m:oMath>
          <m:r>
            <m:rPr>
              <m:sty m:val="bi"/>
            </m:rPr>
            <w:rPr>
              <w:rFonts w:ascii="Cambria Math" w:hAnsi="Cambria Math"/>
            </w:rPr>
            <m:t>Riesgo de la cuenta i en el escenario j=NPV del escenario j-NPV a cierre de sesión-Garantía por posición</m:t>
          </m:r>
        </m:oMath>
      </m:oMathPara>
    </w:p>
    <w:p w14:paraId="45D2DDD4" w14:textId="77777777" w:rsidR="007968EC" w:rsidRPr="005F10B9" w:rsidRDefault="007968EC" w:rsidP="007968EC">
      <w:pPr>
        <w:jc w:val="both"/>
        <w:rPr>
          <w:rFonts w:ascii="Arial Narrow" w:hAnsi="Arial Narrow"/>
        </w:rPr>
      </w:pPr>
    </w:p>
    <w:p w14:paraId="4594D5DF" w14:textId="77777777" w:rsidR="007968EC" w:rsidRPr="005F10B9" w:rsidRDefault="007968EC" w:rsidP="007968EC">
      <w:pPr>
        <w:jc w:val="both"/>
        <w:rPr>
          <w:rFonts w:ascii="Arial Narrow" w:hAnsi="Arial Narrow"/>
        </w:rPr>
      </w:pPr>
      <w:r w:rsidRPr="005F10B9">
        <w:rPr>
          <w:rFonts w:ascii="Arial Narrow" w:hAnsi="Arial Narrow"/>
        </w:rPr>
        <w:t>Los escenarios se aplican a la Posición Abierta registrada a cierre del día, y las pérdidas registradas en cada escenario, se comparan con las Garantías por Posición (IM) de la Cuenta.</w:t>
      </w:r>
    </w:p>
    <w:p w14:paraId="79DDAD44" w14:textId="77777777" w:rsidR="007968EC" w:rsidRPr="005F10B9" w:rsidRDefault="007968EC" w:rsidP="007968EC">
      <w:pPr>
        <w:jc w:val="both"/>
        <w:rPr>
          <w:rFonts w:ascii="Arial Narrow" w:hAnsi="Arial Narrow"/>
        </w:rPr>
      </w:pPr>
    </w:p>
    <w:p w14:paraId="484D0110" w14:textId="77777777" w:rsidR="007968EC" w:rsidRPr="005F10B9" w:rsidRDefault="007968EC" w:rsidP="007968EC">
      <w:pPr>
        <w:jc w:val="both"/>
        <w:rPr>
          <w:rFonts w:ascii="Arial Narrow" w:hAnsi="Arial Narrow"/>
        </w:rPr>
      </w:pPr>
      <w:r w:rsidRPr="005F10B9">
        <w:rPr>
          <w:rFonts w:ascii="Arial Narrow" w:hAnsi="Arial Narrow"/>
        </w:rPr>
        <w:t>El Riesgo de un Miembro Liquidador en el escenario j corresponde a : Riesgo de su cuenta propia escenario j.</w:t>
      </w:r>
    </w:p>
    <w:p w14:paraId="4D2EAA4A" w14:textId="77777777" w:rsidR="007968EC" w:rsidRPr="005F10B9" w:rsidRDefault="007968EC" w:rsidP="007968EC">
      <w:pPr>
        <w:jc w:val="both"/>
        <w:rPr>
          <w:rFonts w:ascii="Arial Narrow" w:hAnsi="Arial Narrow"/>
        </w:rPr>
      </w:pPr>
    </w:p>
    <w:p w14:paraId="1247ACCE" w14:textId="77777777" w:rsidR="007968EC" w:rsidRPr="005F10B9" w:rsidRDefault="007968EC" w:rsidP="007968EC">
      <w:pPr>
        <w:jc w:val="both"/>
        <w:rPr>
          <w:rFonts w:ascii="Arial Narrow" w:hAnsi="Arial Narrow"/>
        </w:rPr>
      </w:pPr>
      <w:r w:rsidRPr="005F10B9">
        <w:rPr>
          <w:rFonts w:ascii="Arial Narrow" w:hAnsi="Arial Narrow"/>
        </w:rPr>
        <w:t>El escenario seleccionado de estrés test histórico de un Miembro Liquidador es el peor escenario histórico. El Riesgo de estrés test hipotético, se calcula con la misma fórmula del Riesgo de la cuenta y las mismas reglas explicadas para el estrés test histórico, se calcula el Riesgo del Miembro Liquidador para cada escenario hipotético.</w:t>
      </w:r>
    </w:p>
    <w:p w14:paraId="62BD1F18" w14:textId="77777777" w:rsidR="007968EC" w:rsidRPr="005F10B9" w:rsidRDefault="007968EC" w:rsidP="007968EC">
      <w:pPr>
        <w:jc w:val="both"/>
        <w:rPr>
          <w:rFonts w:ascii="Arial Narrow" w:hAnsi="Arial Narrow"/>
        </w:rPr>
      </w:pPr>
    </w:p>
    <w:p w14:paraId="0C5EC7C5" w14:textId="77777777" w:rsidR="007968EC" w:rsidRPr="005F10B9" w:rsidRDefault="007968EC" w:rsidP="007968EC">
      <w:pPr>
        <w:jc w:val="both"/>
        <w:rPr>
          <w:rFonts w:ascii="Arial Narrow" w:hAnsi="Arial Narrow"/>
        </w:rPr>
      </w:pPr>
      <w:r w:rsidRPr="005F10B9">
        <w:rPr>
          <w:rFonts w:ascii="Arial Narrow" w:hAnsi="Arial Narrow"/>
        </w:rPr>
        <w:t>El escenario seleccionado de estrés test hipotético de un Miembro Compensador es el peor escenario hipotético.</w:t>
      </w:r>
    </w:p>
    <w:p w14:paraId="2B228132" w14:textId="77777777" w:rsidR="007968EC" w:rsidRPr="005F10B9" w:rsidRDefault="007968EC" w:rsidP="007968EC">
      <w:pPr>
        <w:jc w:val="both"/>
        <w:rPr>
          <w:rFonts w:ascii="Arial Narrow" w:hAnsi="Arial Narrow"/>
        </w:rPr>
      </w:pPr>
    </w:p>
    <w:p w14:paraId="65C33095" w14:textId="77777777" w:rsidR="007968EC" w:rsidRPr="005F10B9" w:rsidRDefault="007968EC" w:rsidP="007968EC">
      <w:pPr>
        <w:jc w:val="both"/>
        <w:rPr>
          <w:rFonts w:ascii="Arial Narrow" w:hAnsi="Arial Narrow"/>
        </w:rPr>
      </w:pPr>
      <w:r w:rsidRPr="005F10B9">
        <w:rPr>
          <w:rFonts w:ascii="Arial Narrow" w:hAnsi="Arial Narrow"/>
        </w:rPr>
        <w:t xml:space="preserve">El Riesgo de Estrés Test del Miembro Liquidador, es el máximo entre su peor escenario histórico y su peor escenario hipotético, más el Ajuste por Riesgo de Concentración a nivel de Miembro Liquidador, sólo si éste es positivo. </w:t>
      </w:r>
    </w:p>
    <w:p w14:paraId="0C2BA0AB" w14:textId="77777777" w:rsidR="007968EC" w:rsidRPr="005F10B9" w:rsidRDefault="007968EC" w:rsidP="007968EC">
      <w:pPr>
        <w:jc w:val="both"/>
        <w:rPr>
          <w:rFonts w:ascii="Arial Narrow" w:hAnsi="Arial Narrow"/>
        </w:rPr>
      </w:pPr>
    </w:p>
    <w:p w14:paraId="00BF801D" w14:textId="77777777" w:rsidR="007968EC" w:rsidRPr="005F10B9" w:rsidRDefault="007968EC" w:rsidP="007968EC">
      <w:pPr>
        <w:jc w:val="both"/>
        <w:rPr>
          <w:rFonts w:ascii="Arial Narrow" w:hAnsi="Arial Narrow"/>
        </w:rPr>
      </w:pPr>
      <w:r w:rsidRPr="005F10B9">
        <w:rPr>
          <w:rFonts w:ascii="Arial Narrow" w:hAnsi="Arial Narrow"/>
        </w:rPr>
        <w:t xml:space="preserve">El Ajuste por Riesgo de Concentración a nivel de Miembro Liquidador se calcula, a cierre del día, como la diferencia entre el Ajuste por Tamaño de la Posición a nivel Miembro Liquidador, y la suma de Ajustes por Tamaño de la Posición aplicados a cada cuenta del Miembro Liquidador, multiplicando finalmente dicha </w:t>
      </w:r>
      <w:r w:rsidRPr="005F10B9">
        <w:rPr>
          <w:rFonts w:ascii="Arial Narrow" w:hAnsi="Arial Narrow"/>
        </w:rPr>
        <w:lastRenderedPageBreak/>
        <w:t xml:space="preserve">diferencia por el ratio entre (1) el Valor Presente Neto en el peor escenario de estrés test menos el Valor Presente Neto a cierre de sesión respecto (2) el IM a nivel de Miembro Liquidador. </w:t>
      </w:r>
    </w:p>
    <w:p w14:paraId="4DA290A8" w14:textId="77777777" w:rsidR="007968EC" w:rsidRPr="005F10B9" w:rsidRDefault="007968EC" w:rsidP="007968EC">
      <w:pPr>
        <w:jc w:val="both"/>
        <w:rPr>
          <w:rFonts w:ascii="Arial Narrow" w:hAnsi="Arial Narrow"/>
        </w:rPr>
      </w:pPr>
    </w:p>
    <w:p w14:paraId="709458BE" w14:textId="77777777" w:rsidR="007968EC" w:rsidRPr="005F10B9" w:rsidRDefault="007968EC" w:rsidP="007968EC">
      <w:pPr>
        <w:jc w:val="both"/>
        <w:rPr>
          <w:rFonts w:ascii="Arial Narrow" w:hAnsi="Arial Narrow"/>
        </w:rPr>
      </w:pPr>
      <w:r w:rsidRPr="005F10B9">
        <w:rPr>
          <w:rFonts w:ascii="Arial Narrow" w:hAnsi="Arial Narrow"/>
        </w:rPr>
        <w:t xml:space="preserve">El Ajuste por Tamaño de la Posición a nivel de Miembro Liquidador parte de dividir de forma agregada toda la Posición de sus cuentas en receptor de Tasa Fija y en pagador de Tasa Fija. Para cada </w:t>
      </w:r>
      <w:proofErr w:type="spellStart"/>
      <w:r w:rsidRPr="005F10B9">
        <w:rPr>
          <w:rFonts w:ascii="Arial Narrow" w:hAnsi="Arial Narrow"/>
        </w:rPr>
        <w:t>Bucket</w:t>
      </w:r>
      <w:proofErr w:type="spellEnd"/>
      <w:r w:rsidRPr="005F10B9">
        <w:rPr>
          <w:rFonts w:ascii="Arial Narrow" w:hAnsi="Arial Narrow"/>
        </w:rPr>
        <w:t xml:space="preserve">, se selecciona el máximo entre el Ajuste por Tamaño de la Posición calculado para cada lado. El valor resultante se suma a los máximos obtenidos de igual forma en el resto de </w:t>
      </w:r>
      <w:proofErr w:type="spellStart"/>
      <w:r w:rsidRPr="005F10B9">
        <w:rPr>
          <w:rFonts w:ascii="Arial Narrow" w:hAnsi="Arial Narrow"/>
        </w:rPr>
        <w:t>Buckets</w:t>
      </w:r>
      <w:proofErr w:type="spellEnd"/>
      <w:r w:rsidRPr="005F10B9">
        <w:rPr>
          <w:rFonts w:ascii="Arial Narrow" w:hAnsi="Arial Narrow"/>
        </w:rPr>
        <w:t>. El algoritmo de cálculo es el mismo que el descrito para la Garantía Inicial (IM).</w:t>
      </w:r>
    </w:p>
    <w:p w14:paraId="061D62EB" w14:textId="77777777" w:rsidR="007968EC" w:rsidRPr="005F10B9" w:rsidRDefault="007968EC" w:rsidP="007968EC">
      <w:pPr>
        <w:jc w:val="both"/>
        <w:rPr>
          <w:rFonts w:ascii="Arial Narrow" w:hAnsi="Arial Narrow"/>
        </w:rPr>
      </w:pPr>
    </w:p>
    <w:p w14:paraId="30688872" w14:textId="77777777" w:rsidR="007968EC" w:rsidRPr="00C16E02" w:rsidRDefault="007968EC" w:rsidP="007968EC">
      <w:pPr>
        <w:pStyle w:val="ARTICULO0"/>
      </w:pPr>
      <w:bookmarkStart w:id="6412" w:name="_Toc31716535"/>
      <w:r w:rsidRPr="005F10B9">
        <w:t>Artículo 5.5.2.10. Escenarios para el cálculo del riesgo en situación de estrés para el Segmento Swaps.</w:t>
      </w:r>
      <w:bookmarkEnd w:id="6412"/>
      <w:r w:rsidRPr="005F10B9">
        <w:t xml:space="preserve"> </w:t>
      </w:r>
    </w:p>
    <w:p w14:paraId="3547444C" w14:textId="77777777" w:rsidR="007968EC" w:rsidRDefault="007968EC" w:rsidP="007968EC">
      <w:pPr>
        <w:jc w:val="both"/>
        <w:rPr>
          <w:rFonts w:ascii="Arial Narrow" w:hAnsi="Arial Narrow"/>
        </w:rPr>
      </w:pPr>
    </w:p>
    <w:p w14:paraId="0A13EB02" w14:textId="77777777" w:rsidR="007968EC" w:rsidRPr="005F10B9" w:rsidRDefault="007968EC" w:rsidP="007968EC">
      <w:pPr>
        <w:jc w:val="both"/>
        <w:rPr>
          <w:rFonts w:ascii="Arial Narrow" w:hAnsi="Arial Narrow"/>
        </w:rPr>
      </w:pPr>
      <w:r w:rsidRPr="005F10B9">
        <w:rPr>
          <w:rFonts w:ascii="Arial Narrow" w:hAnsi="Arial Narrow"/>
        </w:rPr>
        <w:t>Para realizar el cálculo del riesgo en situación de estrés de conformidad con lo establecido en el artículo 5.5.2.9. de la presente Circular, se definieron los siguientes escenarios de variación de tasa para el Segmento Swaps:</w:t>
      </w:r>
    </w:p>
    <w:p w14:paraId="392B6592" w14:textId="77777777" w:rsidR="007968EC" w:rsidRPr="005F10B9" w:rsidRDefault="007968EC" w:rsidP="007968EC">
      <w:pPr>
        <w:rPr>
          <w:rFonts w:ascii="Arial Narrow" w:hAnsi="Arial Narrow"/>
        </w:rPr>
      </w:pPr>
    </w:p>
    <w:p w14:paraId="50E47492" w14:textId="77777777" w:rsidR="007968EC" w:rsidRPr="005F10B9" w:rsidRDefault="007968EC" w:rsidP="007968EC">
      <w:pPr>
        <w:rPr>
          <w:rFonts w:ascii="Arial Narrow" w:hAnsi="Arial Narrow"/>
        </w:rPr>
      </w:pPr>
      <w:r w:rsidRPr="005F10B9">
        <w:rPr>
          <w:rFonts w:ascii="Arial Narrow" w:hAnsi="Arial Narrow"/>
        </w:rPr>
        <w:t>Escenarios para la Curva IBR Overnight:</w:t>
      </w:r>
    </w:p>
    <w:p w14:paraId="6758D968" w14:textId="77777777" w:rsidR="007968EC" w:rsidRPr="005F10B9" w:rsidRDefault="007968EC" w:rsidP="007968EC">
      <w:pPr>
        <w:rPr>
          <w:rFonts w:ascii="Arial Narrow" w:hAnsi="Arial Narrow"/>
        </w:rPr>
      </w:pPr>
      <w:r w:rsidRPr="005F10B9">
        <w:rPr>
          <w:rFonts w:ascii="Arial Narrow" w:hAnsi="Arial Narrow"/>
          <w:noProof/>
          <w:lang w:eastAsia="es-CO"/>
        </w:rPr>
        <w:drawing>
          <wp:anchor distT="0" distB="0" distL="114300" distR="114300" simplePos="0" relativeHeight="251660288" behindDoc="0" locked="0" layoutInCell="1" allowOverlap="1" wp14:anchorId="290EBF13" wp14:editId="35C50901">
            <wp:simplePos x="0" y="0"/>
            <wp:positionH relativeFrom="margin">
              <wp:align>center</wp:align>
            </wp:positionH>
            <wp:positionV relativeFrom="paragraph">
              <wp:posOffset>215316</wp:posOffset>
            </wp:positionV>
            <wp:extent cx="5972810" cy="3096260"/>
            <wp:effectExtent l="19050" t="19050" r="27940" b="27940"/>
            <wp:wrapTopAndBottom/>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2810" cy="3096260"/>
                    </a:xfrm>
                    <a:prstGeom prst="rect">
                      <a:avLst/>
                    </a:prstGeom>
                    <a:ln w="6350">
                      <a:solidFill>
                        <a:sysClr val="windowText" lastClr="000000"/>
                      </a:solidFill>
                    </a:ln>
                  </pic:spPr>
                </pic:pic>
              </a:graphicData>
            </a:graphic>
          </wp:anchor>
        </w:drawing>
      </w:r>
    </w:p>
    <w:p w14:paraId="569958DA" w14:textId="77777777" w:rsidR="007968EC" w:rsidRPr="005F10B9" w:rsidRDefault="007968EC" w:rsidP="007968EC">
      <w:pPr>
        <w:jc w:val="both"/>
        <w:rPr>
          <w:rFonts w:ascii="Arial Narrow" w:hAnsi="Arial Narrow"/>
        </w:rPr>
      </w:pPr>
    </w:p>
    <w:p w14:paraId="53F27684" w14:textId="77777777" w:rsidR="007968EC" w:rsidRPr="005F10B9" w:rsidRDefault="007968EC" w:rsidP="007968EC">
      <w:pPr>
        <w:jc w:val="both"/>
        <w:rPr>
          <w:rFonts w:ascii="Arial Narrow" w:hAnsi="Arial Narrow"/>
        </w:rPr>
      </w:pPr>
      <w:r w:rsidRPr="005F10B9">
        <w:rPr>
          <w:rFonts w:ascii="Arial Narrow" w:hAnsi="Arial Narrow"/>
        </w:rPr>
        <w:t>Escenarios para la Curva IBR 1 Mes:</w:t>
      </w:r>
    </w:p>
    <w:p w14:paraId="17B97F32" w14:textId="77777777" w:rsidR="007968EC" w:rsidRPr="005F10B9" w:rsidRDefault="007968EC" w:rsidP="007968EC">
      <w:pPr>
        <w:jc w:val="both"/>
        <w:rPr>
          <w:rFonts w:ascii="Arial Narrow" w:hAnsi="Arial Narrow"/>
        </w:rPr>
      </w:pPr>
    </w:p>
    <w:p w14:paraId="42516174" w14:textId="77777777" w:rsidR="007968EC" w:rsidRPr="005F10B9" w:rsidRDefault="007968EC" w:rsidP="007968EC">
      <w:pPr>
        <w:jc w:val="both"/>
        <w:rPr>
          <w:rFonts w:ascii="Arial Narrow" w:hAnsi="Arial Narrow"/>
        </w:rPr>
      </w:pPr>
      <w:r w:rsidRPr="005F10B9">
        <w:rPr>
          <w:rFonts w:ascii="Arial Narrow" w:hAnsi="Arial Narrow"/>
          <w:noProof/>
          <w:lang w:eastAsia="es-CO"/>
        </w:rPr>
        <w:lastRenderedPageBreak/>
        <w:drawing>
          <wp:inline distT="0" distB="0" distL="0" distR="0" wp14:anchorId="62F741AE" wp14:editId="429F93A4">
            <wp:extent cx="5972810" cy="2543810"/>
            <wp:effectExtent l="19050" t="19050" r="27940" b="2794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972810" cy="2543810"/>
                    </a:xfrm>
                    <a:prstGeom prst="rect">
                      <a:avLst/>
                    </a:prstGeom>
                    <a:ln w="6350">
                      <a:solidFill>
                        <a:sysClr val="windowText" lastClr="000000"/>
                      </a:solidFill>
                    </a:ln>
                  </pic:spPr>
                </pic:pic>
              </a:graphicData>
            </a:graphic>
          </wp:inline>
        </w:drawing>
      </w:r>
    </w:p>
    <w:p w14:paraId="47147323" w14:textId="77777777" w:rsidR="007968EC" w:rsidRPr="005F10B9" w:rsidRDefault="007968EC" w:rsidP="007968EC">
      <w:pPr>
        <w:rPr>
          <w:rFonts w:ascii="Arial Narrow" w:hAnsi="Arial Narrow"/>
        </w:rPr>
      </w:pPr>
    </w:p>
    <w:p w14:paraId="7691D0F1" w14:textId="77777777" w:rsidR="007968EC" w:rsidRPr="005F10B9" w:rsidRDefault="007968EC" w:rsidP="007968EC">
      <w:pPr>
        <w:jc w:val="both"/>
        <w:rPr>
          <w:rFonts w:ascii="Arial Narrow" w:hAnsi="Arial Narrow"/>
        </w:rPr>
      </w:pPr>
      <w:r w:rsidRPr="005F10B9">
        <w:rPr>
          <w:rFonts w:ascii="Arial Narrow" w:hAnsi="Arial Narrow"/>
        </w:rPr>
        <w:t>Escenarios para la Curva IBR 3 Meses:</w:t>
      </w:r>
    </w:p>
    <w:p w14:paraId="5309957A" w14:textId="77777777" w:rsidR="007968EC" w:rsidRPr="005F10B9" w:rsidRDefault="007968EC" w:rsidP="007968EC">
      <w:pPr>
        <w:jc w:val="both"/>
        <w:rPr>
          <w:rFonts w:ascii="Arial Narrow" w:hAnsi="Arial Narrow"/>
        </w:rPr>
      </w:pPr>
    </w:p>
    <w:p w14:paraId="31B840C3" w14:textId="77777777" w:rsidR="007968EC" w:rsidRPr="005F10B9" w:rsidRDefault="007968EC" w:rsidP="007968EC">
      <w:pPr>
        <w:jc w:val="both"/>
        <w:rPr>
          <w:rFonts w:ascii="Arial Narrow" w:hAnsi="Arial Narrow"/>
        </w:rPr>
      </w:pPr>
      <w:r w:rsidRPr="005F10B9">
        <w:rPr>
          <w:rFonts w:ascii="Arial Narrow" w:hAnsi="Arial Narrow"/>
          <w:noProof/>
          <w:lang w:eastAsia="es-CO"/>
        </w:rPr>
        <w:drawing>
          <wp:inline distT="0" distB="0" distL="0" distR="0" wp14:anchorId="7EEFD5D6" wp14:editId="51EB7C16">
            <wp:extent cx="5972810" cy="2346325"/>
            <wp:effectExtent l="19050" t="19050" r="27940" b="158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972810" cy="2346325"/>
                    </a:xfrm>
                    <a:prstGeom prst="rect">
                      <a:avLst/>
                    </a:prstGeom>
                    <a:ln w="6350">
                      <a:solidFill>
                        <a:sysClr val="windowText" lastClr="000000"/>
                      </a:solidFill>
                    </a:ln>
                  </pic:spPr>
                </pic:pic>
              </a:graphicData>
            </a:graphic>
          </wp:inline>
        </w:drawing>
      </w:r>
    </w:p>
    <w:p w14:paraId="049951B5" w14:textId="77777777" w:rsidR="007968EC" w:rsidRPr="005F10B9" w:rsidRDefault="007968EC" w:rsidP="007968EC">
      <w:pPr>
        <w:jc w:val="both"/>
        <w:rPr>
          <w:rFonts w:ascii="Arial Narrow" w:hAnsi="Arial Narrow"/>
        </w:rPr>
      </w:pPr>
    </w:p>
    <w:p w14:paraId="08E05091" w14:textId="77777777" w:rsidR="007968EC" w:rsidRPr="005F10B9" w:rsidRDefault="007968EC" w:rsidP="007968EC">
      <w:pPr>
        <w:jc w:val="both"/>
        <w:rPr>
          <w:rFonts w:ascii="Arial Narrow" w:hAnsi="Arial Narrow"/>
        </w:rPr>
      </w:pPr>
      <w:r w:rsidRPr="005F10B9">
        <w:rPr>
          <w:rFonts w:ascii="Arial Narrow" w:hAnsi="Arial Narrow"/>
        </w:rPr>
        <w:t>Escenarios para la Curva IBR 6 Meses:</w:t>
      </w:r>
    </w:p>
    <w:p w14:paraId="207F8CEA" w14:textId="77777777" w:rsidR="007968EC" w:rsidRPr="005F10B9" w:rsidRDefault="007968EC" w:rsidP="007968EC">
      <w:pPr>
        <w:jc w:val="both"/>
        <w:rPr>
          <w:rFonts w:ascii="Arial Narrow" w:hAnsi="Arial Narrow"/>
        </w:rPr>
      </w:pPr>
    </w:p>
    <w:p w14:paraId="584DB65D" w14:textId="77777777" w:rsidR="007968EC" w:rsidRPr="005F10B9" w:rsidRDefault="007968EC" w:rsidP="007968EC">
      <w:pPr>
        <w:jc w:val="both"/>
        <w:rPr>
          <w:rFonts w:ascii="Arial Narrow" w:hAnsi="Arial Narrow"/>
        </w:rPr>
      </w:pPr>
      <w:r w:rsidRPr="005F10B9">
        <w:rPr>
          <w:rFonts w:ascii="Arial Narrow" w:hAnsi="Arial Narrow"/>
          <w:noProof/>
          <w:lang w:eastAsia="es-CO"/>
        </w:rPr>
        <w:lastRenderedPageBreak/>
        <w:drawing>
          <wp:inline distT="0" distB="0" distL="0" distR="0" wp14:anchorId="52042FE2" wp14:editId="05ADCD6B">
            <wp:extent cx="5972810" cy="2384425"/>
            <wp:effectExtent l="19050" t="19050" r="27940" b="1587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972810" cy="2384425"/>
                    </a:xfrm>
                    <a:prstGeom prst="rect">
                      <a:avLst/>
                    </a:prstGeom>
                    <a:ln w="6350">
                      <a:solidFill>
                        <a:sysClr val="windowText" lastClr="000000"/>
                      </a:solidFill>
                    </a:ln>
                  </pic:spPr>
                </pic:pic>
              </a:graphicData>
            </a:graphic>
          </wp:inline>
        </w:drawing>
      </w:r>
    </w:p>
    <w:p w14:paraId="3859E0F5" w14:textId="77777777" w:rsidR="007968EC" w:rsidRPr="005F10B9" w:rsidRDefault="007968EC" w:rsidP="007968EC">
      <w:pPr>
        <w:jc w:val="both"/>
        <w:rPr>
          <w:rFonts w:ascii="Arial Narrow" w:hAnsi="Arial Narrow"/>
        </w:rPr>
      </w:pPr>
    </w:p>
    <w:p w14:paraId="6B17E24E" w14:textId="77777777" w:rsidR="007968EC" w:rsidRPr="00C16E02" w:rsidRDefault="007968EC" w:rsidP="007968EC">
      <w:pPr>
        <w:pStyle w:val="ARTICULO0"/>
      </w:pPr>
      <w:bookmarkStart w:id="6413" w:name="_Toc31716536"/>
      <w:r w:rsidRPr="005F10B9">
        <w:t>Artículo 5.5.2.11. Aportación mínima al Fondo de Garantía Colectiva de los Miembros para el Segmento Swaps.</w:t>
      </w:r>
      <w:bookmarkEnd w:id="6413"/>
    </w:p>
    <w:p w14:paraId="0E51B93C" w14:textId="77777777" w:rsidR="007968EC" w:rsidRDefault="007968EC" w:rsidP="007968EC">
      <w:pPr>
        <w:jc w:val="both"/>
        <w:rPr>
          <w:rFonts w:ascii="Arial Narrow" w:eastAsia="Calibri" w:hAnsi="Arial Narrow"/>
          <w:b/>
          <w:i/>
          <w:color w:val="000000" w:themeColor="text1"/>
        </w:rPr>
      </w:pPr>
    </w:p>
    <w:p w14:paraId="703BDFAD" w14:textId="77777777" w:rsidR="007968EC" w:rsidRPr="001D71BE" w:rsidRDefault="007968EC" w:rsidP="007968EC">
      <w:pPr>
        <w:jc w:val="both"/>
        <w:rPr>
          <w:rFonts w:eastAsia="Calibri"/>
          <w:b/>
          <w:i/>
        </w:rPr>
      </w:pPr>
      <w:r w:rsidRPr="001D71BE">
        <w:rPr>
          <w:rFonts w:ascii="Arial Narrow" w:eastAsia="Calibri" w:hAnsi="Arial Narrow"/>
          <w:b/>
          <w:i/>
          <w:color w:val="000000" w:themeColor="text1"/>
        </w:rPr>
        <w:t>(Este artículo fue modificado mediante Circular 1 del 15 de enero de 2019, publicada en el Boletín Normativo No. 001 del 15 de enero de 2019</w:t>
      </w:r>
      <w:r w:rsidRPr="00095F41">
        <w:rPr>
          <w:rFonts w:ascii="Arial Narrow" w:eastAsia="Calibri" w:hAnsi="Arial Narrow"/>
          <w:b/>
          <w:i/>
          <w:color w:val="000000" w:themeColor="text1"/>
        </w:rPr>
        <w:t xml:space="preserve"> </w:t>
      </w:r>
      <w:r>
        <w:rPr>
          <w:rFonts w:ascii="Arial Narrow" w:eastAsia="Calibri" w:hAnsi="Arial Narrow"/>
          <w:b/>
          <w:i/>
          <w:color w:val="000000" w:themeColor="text1"/>
        </w:rPr>
        <w:t>y mediante Circular 1 del 10 de enero de 2020, publicada en el Boletín Normativo No. 001 del 10 de enero de 2020</w:t>
      </w:r>
      <w:r w:rsidRPr="001D71BE">
        <w:rPr>
          <w:rFonts w:ascii="Arial Narrow" w:eastAsia="Calibri" w:hAnsi="Arial Narrow"/>
          <w:b/>
          <w:i/>
          <w:color w:val="000000" w:themeColor="text1"/>
        </w:rPr>
        <w:t>. Rige a partir del 1</w:t>
      </w:r>
      <w:r>
        <w:rPr>
          <w:rFonts w:ascii="Arial Narrow" w:eastAsia="Calibri" w:hAnsi="Arial Narrow"/>
          <w:b/>
          <w:i/>
          <w:color w:val="000000" w:themeColor="text1"/>
        </w:rPr>
        <w:t>3</w:t>
      </w:r>
      <w:r w:rsidRPr="001D71BE">
        <w:rPr>
          <w:rFonts w:ascii="Arial Narrow" w:eastAsia="Calibri" w:hAnsi="Arial Narrow"/>
          <w:b/>
          <w:i/>
          <w:color w:val="000000" w:themeColor="text1"/>
        </w:rPr>
        <w:t xml:space="preserve"> de enero de 20</w:t>
      </w:r>
      <w:r>
        <w:rPr>
          <w:rFonts w:ascii="Arial Narrow" w:eastAsia="Calibri" w:hAnsi="Arial Narrow"/>
          <w:b/>
          <w:i/>
          <w:color w:val="000000" w:themeColor="text1"/>
        </w:rPr>
        <w:t>20</w:t>
      </w:r>
      <w:r w:rsidRPr="001D71BE">
        <w:rPr>
          <w:rFonts w:ascii="Arial Narrow" w:eastAsia="Calibri" w:hAnsi="Arial Narrow"/>
          <w:b/>
          <w:i/>
          <w:color w:val="000000" w:themeColor="text1"/>
        </w:rPr>
        <w:t>.)</w:t>
      </w:r>
    </w:p>
    <w:p w14:paraId="4400E87B" w14:textId="77777777" w:rsidR="007968EC" w:rsidRDefault="007968EC" w:rsidP="007968EC">
      <w:pPr>
        <w:jc w:val="both"/>
        <w:rPr>
          <w:rFonts w:ascii="Arial Narrow" w:hAnsi="Arial Narrow"/>
        </w:rPr>
      </w:pPr>
    </w:p>
    <w:p w14:paraId="71E3A19B" w14:textId="77777777" w:rsidR="007968EC" w:rsidRPr="005F10B9" w:rsidRDefault="007968EC" w:rsidP="007968EC">
      <w:pPr>
        <w:jc w:val="both"/>
        <w:rPr>
          <w:rFonts w:ascii="Arial Narrow" w:hAnsi="Arial Narrow"/>
        </w:rPr>
      </w:pPr>
      <w:r w:rsidRPr="005F10B9">
        <w:rPr>
          <w:rFonts w:ascii="Arial Narrow" w:hAnsi="Arial Narrow"/>
        </w:rPr>
        <w:t>De conformidad con el artículo 1.6.2.10. la aportación mínima al Fondo de Garantía Colectiva según la calidad de Miembro Liquidador para participar en el presente Segmento es la siguiente:</w:t>
      </w:r>
    </w:p>
    <w:p w14:paraId="44BB98DE" w14:textId="77777777" w:rsidR="007968EC" w:rsidRPr="005F10B9" w:rsidRDefault="007968EC" w:rsidP="007968EC">
      <w:pPr>
        <w:rPr>
          <w:rFonts w:ascii="Arial Narrow" w:hAnsi="Arial Narrow"/>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5812"/>
      </w:tblGrid>
      <w:tr w:rsidR="007968EC" w:rsidRPr="005F10B9" w14:paraId="51CFDA28" w14:textId="77777777" w:rsidTr="007968EC">
        <w:trPr>
          <w:trHeight w:val="167"/>
          <w:jc w:val="center"/>
        </w:trPr>
        <w:tc>
          <w:tcPr>
            <w:tcW w:w="3539" w:type="dxa"/>
          </w:tcPr>
          <w:p w14:paraId="6BE4434E" w14:textId="77777777" w:rsidR="007968EC" w:rsidRPr="005F10B9" w:rsidRDefault="007968EC" w:rsidP="007968EC">
            <w:pPr>
              <w:jc w:val="center"/>
              <w:rPr>
                <w:rFonts w:ascii="Arial Narrow" w:hAnsi="Arial Narrow"/>
                <w:b/>
              </w:rPr>
            </w:pPr>
            <w:r w:rsidRPr="005F10B9">
              <w:rPr>
                <w:rFonts w:ascii="Arial Narrow" w:hAnsi="Arial Narrow"/>
                <w:b/>
              </w:rPr>
              <w:t>Modalidad de Miembro Liquidador</w:t>
            </w:r>
          </w:p>
        </w:tc>
        <w:tc>
          <w:tcPr>
            <w:tcW w:w="5812" w:type="dxa"/>
          </w:tcPr>
          <w:p w14:paraId="2EF6EC31" w14:textId="77777777" w:rsidR="007968EC" w:rsidRPr="005F10B9" w:rsidRDefault="007968EC" w:rsidP="007968EC">
            <w:pPr>
              <w:jc w:val="center"/>
              <w:rPr>
                <w:rFonts w:ascii="Arial Narrow" w:hAnsi="Arial Narrow"/>
                <w:b/>
              </w:rPr>
            </w:pPr>
            <w:r w:rsidRPr="005F10B9">
              <w:rPr>
                <w:rFonts w:ascii="Arial Narrow" w:hAnsi="Arial Narrow"/>
                <w:b/>
              </w:rPr>
              <w:t>Aportación Mínima al Fondo De Garantía Colectiva</w:t>
            </w:r>
          </w:p>
        </w:tc>
      </w:tr>
      <w:tr w:rsidR="007968EC" w:rsidRPr="005F10B9" w14:paraId="158F8B16" w14:textId="77777777" w:rsidTr="007968EC">
        <w:trPr>
          <w:trHeight w:val="178"/>
          <w:jc w:val="center"/>
        </w:trPr>
        <w:tc>
          <w:tcPr>
            <w:tcW w:w="3539" w:type="dxa"/>
          </w:tcPr>
          <w:p w14:paraId="2DF11FE0" w14:textId="77777777" w:rsidR="007968EC" w:rsidRPr="005F10B9" w:rsidRDefault="007968EC" w:rsidP="007968EC">
            <w:pPr>
              <w:rPr>
                <w:rFonts w:ascii="Arial Narrow" w:hAnsi="Arial Narrow"/>
              </w:rPr>
            </w:pPr>
            <w:r w:rsidRPr="005F10B9">
              <w:rPr>
                <w:rFonts w:ascii="Arial Narrow" w:hAnsi="Arial Narrow"/>
              </w:rPr>
              <w:t>Miembro Liquidador Individual</w:t>
            </w:r>
          </w:p>
        </w:tc>
        <w:tc>
          <w:tcPr>
            <w:tcW w:w="5812" w:type="dxa"/>
          </w:tcPr>
          <w:p w14:paraId="1660AB12" w14:textId="77777777" w:rsidR="007968EC" w:rsidRPr="005F10B9" w:rsidRDefault="007968EC" w:rsidP="007968EC">
            <w:pPr>
              <w:rPr>
                <w:rFonts w:ascii="Arial Narrow" w:hAnsi="Arial Narrow"/>
              </w:rPr>
            </w:pPr>
            <w:r w:rsidRPr="005F10B9">
              <w:rPr>
                <w:rFonts w:ascii="Arial Narrow" w:hAnsi="Arial Narrow"/>
              </w:rPr>
              <w:t xml:space="preserve">Quinientos </w:t>
            </w:r>
            <w:r>
              <w:rPr>
                <w:rFonts w:ascii="Arial Narrow" w:hAnsi="Arial Narrow"/>
              </w:rPr>
              <w:t>sesenta</w:t>
            </w:r>
            <w:r w:rsidRPr="005F10B9">
              <w:rPr>
                <w:rFonts w:ascii="Arial Narrow" w:hAnsi="Arial Narrow"/>
              </w:rPr>
              <w:t xml:space="preserve"> millones de pesos ($5</w:t>
            </w:r>
            <w:r>
              <w:rPr>
                <w:rFonts w:ascii="Arial Narrow" w:hAnsi="Arial Narrow"/>
              </w:rPr>
              <w:t>6</w:t>
            </w:r>
            <w:r w:rsidRPr="005F10B9">
              <w:rPr>
                <w:rFonts w:ascii="Arial Narrow" w:hAnsi="Arial Narrow"/>
              </w:rPr>
              <w:t>0.000.000) moneda corriente.</w:t>
            </w:r>
          </w:p>
        </w:tc>
      </w:tr>
      <w:tr w:rsidR="007968EC" w:rsidRPr="005F10B9" w14:paraId="1468A7EE" w14:textId="77777777" w:rsidTr="007968EC">
        <w:trPr>
          <w:trHeight w:val="178"/>
          <w:jc w:val="center"/>
        </w:trPr>
        <w:tc>
          <w:tcPr>
            <w:tcW w:w="3539" w:type="dxa"/>
          </w:tcPr>
          <w:p w14:paraId="3ED791A6" w14:textId="77777777" w:rsidR="007968EC" w:rsidRPr="005F10B9" w:rsidRDefault="007968EC" w:rsidP="007968EC">
            <w:pPr>
              <w:rPr>
                <w:rFonts w:ascii="Arial Narrow" w:hAnsi="Arial Narrow"/>
              </w:rPr>
            </w:pPr>
            <w:r w:rsidRPr="005F10B9">
              <w:rPr>
                <w:rFonts w:ascii="Arial Narrow" w:hAnsi="Arial Narrow"/>
              </w:rPr>
              <w:t>Miembro Liquidador General</w:t>
            </w:r>
          </w:p>
          <w:p w14:paraId="6EFB7228" w14:textId="77777777" w:rsidR="007968EC" w:rsidRPr="005F10B9" w:rsidRDefault="007968EC" w:rsidP="007968EC">
            <w:pPr>
              <w:rPr>
                <w:rFonts w:ascii="Arial Narrow" w:hAnsi="Arial Narrow"/>
              </w:rPr>
            </w:pPr>
          </w:p>
        </w:tc>
        <w:tc>
          <w:tcPr>
            <w:tcW w:w="5812" w:type="dxa"/>
          </w:tcPr>
          <w:p w14:paraId="3F57551A" w14:textId="77777777" w:rsidR="007968EC" w:rsidRPr="005F10B9" w:rsidRDefault="007968EC" w:rsidP="007968EC">
            <w:pPr>
              <w:rPr>
                <w:rFonts w:ascii="Arial Narrow" w:hAnsi="Arial Narrow"/>
              </w:rPr>
            </w:pPr>
            <w:r w:rsidRPr="005F10B9">
              <w:rPr>
                <w:rFonts w:ascii="Arial Narrow" w:hAnsi="Arial Narrow"/>
              </w:rPr>
              <w:t xml:space="preserve">Quinientos </w:t>
            </w:r>
            <w:r>
              <w:rPr>
                <w:rFonts w:ascii="Arial Narrow" w:hAnsi="Arial Narrow"/>
              </w:rPr>
              <w:t>sesenta</w:t>
            </w:r>
            <w:r w:rsidRPr="005F10B9">
              <w:rPr>
                <w:rFonts w:ascii="Arial Narrow" w:hAnsi="Arial Narrow"/>
              </w:rPr>
              <w:t xml:space="preserve"> millones de pesos ($5</w:t>
            </w:r>
            <w:r>
              <w:rPr>
                <w:rFonts w:ascii="Arial Narrow" w:hAnsi="Arial Narrow"/>
              </w:rPr>
              <w:t>6</w:t>
            </w:r>
            <w:r w:rsidRPr="005F10B9">
              <w:rPr>
                <w:rFonts w:ascii="Arial Narrow" w:hAnsi="Arial Narrow"/>
              </w:rPr>
              <w:t>0.000.000) moneda corriente.</w:t>
            </w:r>
          </w:p>
        </w:tc>
      </w:tr>
    </w:tbl>
    <w:p w14:paraId="0DFF1501" w14:textId="77777777" w:rsidR="007968EC" w:rsidRPr="005F10B9" w:rsidRDefault="007968EC" w:rsidP="007968EC">
      <w:pPr>
        <w:rPr>
          <w:rFonts w:ascii="Arial Narrow" w:hAnsi="Arial Narrow"/>
        </w:rPr>
      </w:pPr>
    </w:p>
    <w:p w14:paraId="0DD57C0B" w14:textId="77777777" w:rsidR="007968EC" w:rsidRPr="005F10B9" w:rsidRDefault="007968EC" w:rsidP="007968EC">
      <w:pPr>
        <w:pStyle w:val="ARTICULO0"/>
      </w:pPr>
      <w:bookmarkStart w:id="6414" w:name="_Toc31716537"/>
      <w:r w:rsidRPr="005F10B9">
        <w:t xml:space="preserve">Artículo 5.5.2.12.  </w:t>
      </w:r>
      <w:proofErr w:type="gramStart"/>
      <w:r w:rsidRPr="005F10B9">
        <w:t>Importe mínimo a aportar</w:t>
      </w:r>
      <w:proofErr w:type="gramEnd"/>
      <w:r w:rsidRPr="005F10B9">
        <w:t xml:space="preserve"> para la constitución del Fondo de Garantía Colectiva y tamaño mínimo del Fondo.</w:t>
      </w:r>
      <w:bookmarkEnd w:id="6414"/>
      <w:r w:rsidRPr="005F10B9">
        <w:t xml:space="preserve"> </w:t>
      </w:r>
    </w:p>
    <w:p w14:paraId="520459B5" w14:textId="77777777" w:rsidR="007968EC" w:rsidRPr="005F10B9" w:rsidRDefault="007968EC" w:rsidP="007968EC">
      <w:pPr>
        <w:jc w:val="both"/>
        <w:rPr>
          <w:rFonts w:ascii="Arial Narrow" w:hAnsi="Arial Narrow"/>
          <w:b/>
        </w:rPr>
      </w:pPr>
    </w:p>
    <w:p w14:paraId="0BF258F0" w14:textId="77777777" w:rsidR="007968EC" w:rsidRPr="005F10B9" w:rsidRDefault="007968EC" w:rsidP="007968EC">
      <w:pPr>
        <w:jc w:val="both"/>
        <w:rPr>
          <w:rFonts w:ascii="Arial Narrow" w:hAnsi="Arial Narrow"/>
        </w:rPr>
      </w:pPr>
      <w:r w:rsidRPr="005F10B9">
        <w:rPr>
          <w:rFonts w:ascii="Arial Narrow" w:hAnsi="Arial Narrow"/>
        </w:rPr>
        <w:t>A partir del ingreso al Segmento, el importe mínimo que le corresponderá aportar a cada Miembro Liquidador al Fondo de Garantía Colectiva será el mayor valor entre la aportación mínima definida para el Segmento según la calidad de Miembro Liquidador establecida en el artículo anterior y el valor que resulte de la distribución proporcional, en función de su participación en el riesgo, del importe del Fondo de Garantía Colectiva calculado según la metodología descrita en el artículo 1.6.2.9 de la presente Circular.</w:t>
      </w:r>
    </w:p>
    <w:p w14:paraId="6B4A9D0B" w14:textId="77777777" w:rsidR="007968EC" w:rsidRPr="005F10B9" w:rsidRDefault="007968EC" w:rsidP="007968EC">
      <w:pPr>
        <w:jc w:val="both"/>
        <w:rPr>
          <w:rFonts w:ascii="Arial Narrow" w:hAnsi="Arial Narrow"/>
        </w:rPr>
      </w:pPr>
    </w:p>
    <w:p w14:paraId="28778F22" w14:textId="77777777" w:rsidR="007968EC" w:rsidRPr="005F10B9" w:rsidRDefault="007968EC" w:rsidP="007968EC">
      <w:pPr>
        <w:jc w:val="both"/>
        <w:rPr>
          <w:rFonts w:ascii="Arial Narrow" w:hAnsi="Arial Narrow"/>
        </w:rPr>
      </w:pPr>
      <w:r w:rsidRPr="005F10B9">
        <w:rPr>
          <w:rFonts w:ascii="Arial Narrow" w:hAnsi="Arial Narrow"/>
        </w:rPr>
        <w:t xml:space="preserve">El tamaño mínimo del Fondo de Garantía Colectiva es la suma de todas las aportaciones mínimas de los Miembros Liquidadores pertenecientes al Segmento. A partir del segundo año, el tamaño mínimo del Fondo de Garantía Colectiva para este segmento será el máximo entre el valor promedio del fondo para el año </w:t>
      </w:r>
      <w:r w:rsidRPr="005F10B9">
        <w:rPr>
          <w:rFonts w:ascii="Arial Narrow" w:hAnsi="Arial Narrow"/>
        </w:rPr>
        <w:lastRenderedPageBreak/>
        <w:t>anterior o la suma de todas las aportaciones mínimas de los Miembros Liquidadores. Este valor se revisará anualmente.</w:t>
      </w:r>
    </w:p>
    <w:p w14:paraId="0DBAC0A1" w14:textId="77777777" w:rsidR="007968EC" w:rsidRPr="005F10B9" w:rsidRDefault="007968EC" w:rsidP="007968EC">
      <w:pPr>
        <w:jc w:val="both"/>
        <w:rPr>
          <w:rFonts w:ascii="Arial Narrow" w:hAnsi="Arial Narrow"/>
        </w:rPr>
      </w:pPr>
    </w:p>
    <w:p w14:paraId="507C9995" w14:textId="77777777" w:rsidR="007968EC" w:rsidRPr="005F10B9" w:rsidRDefault="007968EC" w:rsidP="007968EC">
      <w:pPr>
        <w:pStyle w:val="ARTICULO0"/>
      </w:pPr>
      <w:bookmarkStart w:id="6415" w:name="_Toc31716538"/>
      <w:r w:rsidRPr="005F10B9">
        <w:t>Artículo 5.5.2.13. Constitución, actualización y reposición del Fondo de Garantía Colectiva.</w:t>
      </w:r>
      <w:bookmarkEnd w:id="6415"/>
      <w:r w:rsidRPr="005F10B9">
        <w:t xml:space="preserve"> </w:t>
      </w:r>
    </w:p>
    <w:p w14:paraId="571CD2B4" w14:textId="77777777" w:rsidR="007968EC" w:rsidRPr="005F10B9" w:rsidRDefault="007968EC" w:rsidP="007968EC">
      <w:pPr>
        <w:jc w:val="both"/>
        <w:rPr>
          <w:rFonts w:ascii="Arial Narrow" w:hAnsi="Arial Narrow"/>
          <w:b/>
        </w:rPr>
      </w:pPr>
    </w:p>
    <w:p w14:paraId="07CC1A9C" w14:textId="77777777" w:rsidR="007968EC" w:rsidRPr="005F10B9" w:rsidRDefault="007968EC" w:rsidP="007968EC">
      <w:pPr>
        <w:jc w:val="both"/>
        <w:rPr>
          <w:rFonts w:ascii="Arial Narrow" w:hAnsi="Arial Narrow"/>
        </w:rPr>
      </w:pPr>
      <w:r w:rsidRPr="005F10B9">
        <w:rPr>
          <w:rFonts w:ascii="Arial Narrow" w:hAnsi="Arial Narrow"/>
        </w:rPr>
        <w:t>El procedimiento para la constitución, actualización y reposición del Fondo de Garantía Colectiva del Segmento Swaps se sujetará a lo dispuesto en los artículos 1.6.2.12. y 1.6.2.13. de la presente Circular.</w:t>
      </w:r>
    </w:p>
    <w:p w14:paraId="3C2596A2" w14:textId="77777777" w:rsidR="007968EC" w:rsidRPr="005F10B9" w:rsidRDefault="007968EC" w:rsidP="007968EC">
      <w:pPr>
        <w:jc w:val="both"/>
        <w:rPr>
          <w:rFonts w:ascii="Arial Narrow" w:hAnsi="Arial Narrow"/>
        </w:rPr>
      </w:pPr>
    </w:p>
    <w:p w14:paraId="09109507" w14:textId="77777777" w:rsidR="007968EC" w:rsidRPr="00C16E02" w:rsidRDefault="007968EC" w:rsidP="007968EC">
      <w:pPr>
        <w:pStyle w:val="ARTICULO0"/>
      </w:pPr>
      <w:bookmarkStart w:id="6416" w:name="_Toc31716539"/>
      <w:r w:rsidRPr="00C16E02">
        <w:t>Artículo 5.5.2.14. Contribuciones para la continuidad del servicio.</w:t>
      </w:r>
      <w:bookmarkEnd w:id="6416"/>
      <w:r w:rsidRPr="00C16E02">
        <w:t xml:space="preserve"> </w:t>
      </w:r>
    </w:p>
    <w:p w14:paraId="5C31EEA7" w14:textId="77777777" w:rsidR="007968EC" w:rsidRPr="005F10B9" w:rsidRDefault="007968EC" w:rsidP="007968EC">
      <w:pPr>
        <w:keepNext/>
        <w:tabs>
          <w:tab w:val="left" w:pos="1701"/>
        </w:tabs>
        <w:jc w:val="both"/>
        <w:outlineLvl w:val="2"/>
        <w:rPr>
          <w:rFonts w:ascii="Arial Narrow" w:hAnsi="Arial Narrow" w:cs="Arial"/>
          <w:b/>
          <w:color w:val="000000" w:themeColor="text1"/>
          <w:u w:val="single"/>
          <w:lang w:eastAsia="es-ES"/>
        </w:rPr>
      </w:pPr>
    </w:p>
    <w:p w14:paraId="029D76F4" w14:textId="77777777" w:rsidR="007968EC" w:rsidRPr="005F10B9" w:rsidRDefault="007968EC" w:rsidP="007968EC">
      <w:pPr>
        <w:rPr>
          <w:rFonts w:ascii="Arial Narrow" w:hAnsi="Arial Narrow"/>
        </w:rPr>
      </w:pPr>
      <w:r w:rsidRPr="005F10B9">
        <w:rPr>
          <w:rFonts w:ascii="Arial Narrow" w:hAnsi="Arial Narrow"/>
        </w:rPr>
        <w:t>Las Contribuciones de los Miembros para la continuidad del servicio para el Segmento Swaps se regirán por lo dispuesto en los artículos 1.6.2.14. y siguientes de la presente Circular.</w:t>
      </w:r>
    </w:p>
    <w:p w14:paraId="6DE932E6" w14:textId="77777777" w:rsidR="007968EC" w:rsidRPr="005F10B9" w:rsidRDefault="007968EC" w:rsidP="007968EC">
      <w:pPr>
        <w:rPr>
          <w:rFonts w:ascii="Arial Narrow" w:hAnsi="Arial Narrow"/>
        </w:rPr>
      </w:pPr>
    </w:p>
    <w:p w14:paraId="26528D9B" w14:textId="77777777" w:rsidR="007968EC" w:rsidRPr="00C16E02" w:rsidRDefault="007968EC" w:rsidP="007968EC">
      <w:pPr>
        <w:pStyle w:val="ARTICULO0"/>
      </w:pPr>
      <w:bookmarkStart w:id="6417" w:name="_Toc31716540"/>
      <w:r w:rsidRPr="00C16E02">
        <w:rPr>
          <w:rStyle w:val="ARTICULOCar"/>
          <w:b/>
        </w:rPr>
        <w:t>Artículo 5.5.2.15. Recursos Propios Específicos</w:t>
      </w:r>
      <w:r w:rsidRPr="00C16E02">
        <w:t>.</w:t>
      </w:r>
      <w:bookmarkEnd w:id="6417"/>
      <w:r w:rsidRPr="00C16E02">
        <w:t xml:space="preserve"> </w:t>
      </w:r>
    </w:p>
    <w:p w14:paraId="480F3B04" w14:textId="77777777" w:rsidR="007968EC" w:rsidRPr="005F10B9" w:rsidRDefault="007968EC" w:rsidP="007968EC">
      <w:pPr>
        <w:keepNext/>
        <w:tabs>
          <w:tab w:val="left" w:pos="1701"/>
        </w:tabs>
        <w:jc w:val="both"/>
        <w:outlineLvl w:val="2"/>
        <w:rPr>
          <w:rFonts w:ascii="Arial Narrow" w:hAnsi="Arial Narrow" w:cs="Arial"/>
          <w:b/>
          <w:color w:val="000000" w:themeColor="text1"/>
          <w:u w:val="single"/>
          <w:lang w:eastAsia="es-ES"/>
        </w:rPr>
      </w:pPr>
    </w:p>
    <w:p w14:paraId="0B57DBC7" w14:textId="77777777" w:rsidR="007968EC" w:rsidRPr="005F10B9" w:rsidRDefault="007968EC" w:rsidP="007968EC">
      <w:pPr>
        <w:rPr>
          <w:rFonts w:ascii="Arial Narrow" w:hAnsi="Arial Narrow"/>
        </w:rPr>
      </w:pPr>
      <w:r w:rsidRPr="005F10B9">
        <w:rPr>
          <w:rFonts w:ascii="Arial Narrow" w:hAnsi="Arial Narrow"/>
        </w:rPr>
        <w:t>El importe de los Recursos Propios Específicos para el Segmento Swaps se informará mediante Boletín Informativo.</w:t>
      </w:r>
    </w:p>
    <w:p w14:paraId="4497142B" w14:textId="77777777" w:rsidR="007968EC" w:rsidRPr="005F10B9" w:rsidRDefault="007968EC" w:rsidP="007968EC">
      <w:pPr>
        <w:rPr>
          <w:rFonts w:ascii="Arial Narrow" w:hAnsi="Arial Narrow"/>
        </w:rPr>
      </w:pPr>
    </w:p>
    <w:p w14:paraId="72ED9C45" w14:textId="77777777" w:rsidR="007968EC" w:rsidRPr="005F10B9" w:rsidRDefault="007968EC" w:rsidP="007968EC">
      <w:pPr>
        <w:rPr>
          <w:rFonts w:ascii="Arial Narrow" w:hAnsi="Arial Narrow"/>
        </w:rPr>
      </w:pPr>
    </w:p>
    <w:p w14:paraId="2090FD6D" w14:textId="77777777" w:rsidR="007968EC" w:rsidRPr="005F10B9" w:rsidRDefault="007968EC" w:rsidP="007968EC">
      <w:pPr>
        <w:pStyle w:val="TTULO"/>
      </w:pPr>
      <w:bookmarkStart w:id="6418" w:name="_Toc31716541"/>
      <w:r w:rsidRPr="005F10B9">
        <w:t>CAPÍTULO TERCERO</w:t>
      </w:r>
      <w:bookmarkEnd w:id="6418"/>
    </w:p>
    <w:p w14:paraId="755709E6" w14:textId="77777777" w:rsidR="007968EC" w:rsidRPr="005F10B9" w:rsidRDefault="007968EC" w:rsidP="007968EC">
      <w:pPr>
        <w:pStyle w:val="TTULO"/>
      </w:pPr>
    </w:p>
    <w:p w14:paraId="2723AB73" w14:textId="77777777" w:rsidR="007968EC" w:rsidRPr="005F10B9" w:rsidRDefault="007968EC" w:rsidP="007968EC">
      <w:pPr>
        <w:pStyle w:val="TTULO"/>
      </w:pPr>
      <w:bookmarkStart w:id="6419" w:name="_Toc31716542"/>
      <w:r w:rsidRPr="005F10B9">
        <w:t>VALOR PRESENTE NETO</w:t>
      </w:r>
      <w:bookmarkEnd w:id="6419"/>
    </w:p>
    <w:p w14:paraId="1E752E06" w14:textId="77777777" w:rsidR="007968EC" w:rsidRPr="005F10B9" w:rsidRDefault="007968EC" w:rsidP="007968EC">
      <w:pPr>
        <w:keepNext/>
        <w:tabs>
          <w:tab w:val="left" w:pos="1701"/>
        </w:tabs>
        <w:jc w:val="both"/>
        <w:outlineLvl w:val="2"/>
        <w:rPr>
          <w:rFonts w:ascii="Arial Narrow" w:hAnsi="Arial Narrow" w:cs="Arial"/>
          <w:b/>
          <w:color w:val="000000" w:themeColor="text1"/>
          <w:u w:val="single"/>
          <w:lang w:eastAsia="es-ES"/>
        </w:rPr>
      </w:pPr>
    </w:p>
    <w:p w14:paraId="10736E74" w14:textId="77777777" w:rsidR="007968EC" w:rsidRPr="00C16E02" w:rsidRDefault="007968EC" w:rsidP="007968EC">
      <w:pPr>
        <w:pStyle w:val="ARTICULO0"/>
      </w:pPr>
      <w:bookmarkStart w:id="6420" w:name="_Toc31716543"/>
      <w:r w:rsidRPr="005F10B9">
        <w:t>Artículo 5.5.3.1. Parámetros para el cálculo del Valor Presente Neto.</w:t>
      </w:r>
      <w:bookmarkEnd w:id="6420"/>
    </w:p>
    <w:p w14:paraId="37611C8D" w14:textId="77777777" w:rsidR="007968EC" w:rsidRDefault="007968EC" w:rsidP="007968EC">
      <w:pPr>
        <w:jc w:val="both"/>
        <w:rPr>
          <w:rFonts w:ascii="Arial Narrow" w:hAnsi="Arial Narrow"/>
          <w:b/>
        </w:rPr>
      </w:pPr>
    </w:p>
    <w:p w14:paraId="239120D8" w14:textId="77777777" w:rsidR="007968EC" w:rsidRPr="000C31A5" w:rsidRDefault="007968EC" w:rsidP="007968EC">
      <w:pPr>
        <w:pStyle w:val="ARTICULO0"/>
        <w:rPr>
          <w:u w:val="none"/>
        </w:rPr>
      </w:pPr>
      <w:bookmarkStart w:id="6421" w:name="_Toc31716544"/>
      <w:r w:rsidRPr="00D044D5">
        <w:rPr>
          <w:bCs/>
          <w:u w:val="none"/>
        </w:rPr>
        <w:t xml:space="preserve">(Este artículo fue modificado mediante Circular 11 del 3 de agosto de 2018, publicada en el Boletín Normativo No. 17 del 3 de agosto de 2018 y mediante Circular 19 del 22 de noviembre de 2019, publicada en el </w:t>
      </w:r>
      <w:r w:rsidRPr="000C31A5">
        <w:rPr>
          <w:u w:val="none"/>
        </w:rPr>
        <w:t>Boletín Normativo No. 034 del 22 de noviembre de 2019. Rige a partir del 25 de noviembre de 2019).</w:t>
      </w:r>
      <w:bookmarkEnd w:id="6421"/>
    </w:p>
    <w:p w14:paraId="11A5CD39" w14:textId="77777777" w:rsidR="007968EC" w:rsidRPr="00AF2413" w:rsidRDefault="007968EC" w:rsidP="007968EC">
      <w:pPr>
        <w:jc w:val="both"/>
        <w:rPr>
          <w:rFonts w:ascii="Arial Narrow" w:hAnsi="Arial Narrow"/>
          <w:b/>
        </w:rPr>
      </w:pPr>
    </w:p>
    <w:p w14:paraId="20BEB383" w14:textId="77777777" w:rsidR="007968EC" w:rsidRDefault="007968EC" w:rsidP="007968EC">
      <w:pPr>
        <w:jc w:val="both"/>
        <w:rPr>
          <w:rFonts w:ascii="Arial Narrow" w:hAnsi="Arial Narrow"/>
        </w:rPr>
      </w:pPr>
    </w:p>
    <w:p w14:paraId="4EF97E15" w14:textId="77777777" w:rsidR="007968EC" w:rsidRPr="005F10B9" w:rsidRDefault="007968EC" w:rsidP="007968EC">
      <w:pPr>
        <w:jc w:val="both"/>
        <w:rPr>
          <w:rFonts w:ascii="Arial Narrow" w:hAnsi="Arial Narrow"/>
        </w:rPr>
      </w:pPr>
      <w:r w:rsidRPr="005F10B9">
        <w:rPr>
          <w:rFonts w:ascii="Arial Narrow" w:hAnsi="Arial Narrow"/>
        </w:rPr>
        <w:t>El cálculo del Valor Presente Neto de los Swaps se realiza proyectando y descontando cada uno de sus flujos a Valor Presente.</w:t>
      </w:r>
    </w:p>
    <w:p w14:paraId="5466CF22" w14:textId="77777777" w:rsidR="007968EC" w:rsidRDefault="007968EC" w:rsidP="007968EC">
      <w:pPr>
        <w:rPr>
          <w:rFonts w:ascii="Arial Narrow" w:hAnsi="Arial Narrow"/>
        </w:rPr>
      </w:pPr>
    </w:p>
    <w:p w14:paraId="07252D96" w14:textId="77777777" w:rsidR="007968EC" w:rsidRDefault="007968EC" w:rsidP="007968EC">
      <w:pPr>
        <w:jc w:val="both"/>
        <w:rPr>
          <w:rFonts w:ascii="Arial Narrow" w:hAnsi="Arial Narrow"/>
        </w:rPr>
      </w:pPr>
      <w:r w:rsidRPr="00D86081">
        <w:rPr>
          <w:rFonts w:ascii="Arial Narrow" w:hAnsi="Arial Narrow"/>
        </w:rPr>
        <w:t>La curva utilizada para proyectar y descontar los flujos en COP en los procesos intradía y en los procesos de Fin de Día es la Curva Cero Cupón IBR Compuesta Continua Base 365</w:t>
      </w:r>
      <w:r>
        <w:rPr>
          <w:rFonts w:ascii="Arial Narrow" w:hAnsi="Arial Narrow"/>
        </w:rPr>
        <w:t xml:space="preserve">, entregada por el </w:t>
      </w:r>
      <w:r w:rsidRPr="005F10B9">
        <w:rPr>
          <w:rFonts w:ascii="Arial Narrow" w:hAnsi="Arial Narrow"/>
        </w:rPr>
        <w:t>Proveedor Oficial de Precios para Valoración</w:t>
      </w:r>
      <w:r>
        <w:rPr>
          <w:rFonts w:ascii="Arial Narrow" w:hAnsi="Arial Narrow"/>
        </w:rPr>
        <w:t>.</w:t>
      </w:r>
    </w:p>
    <w:p w14:paraId="38528BFD" w14:textId="77777777" w:rsidR="007968EC" w:rsidRDefault="007968EC" w:rsidP="007968EC">
      <w:pPr>
        <w:rPr>
          <w:rFonts w:ascii="Arial Narrow" w:hAnsi="Arial Narrow"/>
        </w:rPr>
      </w:pPr>
    </w:p>
    <w:p w14:paraId="51D1411A" w14:textId="77777777" w:rsidR="007968EC" w:rsidRDefault="007968EC" w:rsidP="007968EC">
      <w:pPr>
        <w:jc w:val="both"/>
        <w:rPr>
          <w:rFonts w:ascii="Arial Narrow" w:hAnsi="Arial Narrow"/>
        </w:rPr>
      </w:pPr>
      <w:r w:rsidRPr="00D86081">
        <w:rPr>
          <w:rFonts w:ascii="Arial Narrow" w:hAnsi="Arial Narrow"/>
        </w:rPr>
        <w:t>Las curvas utilizadas para proyectar los flujos en USD son las Curvas Cero Cupón LIBOR Compuesta Continua Base 365</w:t>
      </w:r>
      <w:r>
        <w:rPr>
          <w:rFonts w:ascii="Arial Narrow" w:hAnsi="Arial Narrow"/>
        </w:rPr>
        <w:t xml:space="preserve"> en sus diferentes plazos</w:t>
      </w:r>
      <w:r w:rsidRPr="00D86081">
        <w:rPr>
          <w:rFonts w:ascii="Arial Narrow" w:hAnsi="Arial Narrow"/>
        </w:rPr>
        <w:t xml:space="preserve"> (1 Mes, 3 Meses, 6 Meses y 12 Meses)</w:t>
      </w:r>
      <w:r>
        <w:rPr>
          <w:rFonts w:ascii="Arial Narrow" w:hAnsi="Arial Narrow"/>
        </w:rPr>
        <w:t xml:space="preserve">, así mismo, </w:t>
      </w:r>
      <w:r w:rsidRPr="00D86081">
        <w:rPr>
          <w:rFonts w:ascii="Arial Narrow" w:hAnsi="Arial Narrow"/>
        </w:rPr>
        <w:t>la curva utilizada para descontar los flujos en USD en los procesos de Fin de Día es la Curva Cero Cupón IBRLIBOR Compuesta Continua Base 365</w:t>
      </w:r>
      <w:r>
        <w:rPr>
          <w:rFonts w:ascii="Arial Narrow" w:hAnsi="Arial Narrow"/>
        </w:rPr>
        <w:t xml:space="preserve">, entregada por el </w:t>
      </w:r>
      <w:r w:rsidRPr="005F10B9">
        <w:rPr>
          <w:rFonts w:ascii="Arial Narrow" w:hAnsi="Arial Narrow"/>
        </w:rPr>
        <w:t>Proveedor Oficial de Precios para Valoración</w:t>
      </w:r>
    </w:p>
    <w:p w14:paraId="63BB5444" w14:textId="77777777" w:rsidR="007968EC" w:rsidRDefault="007968EC" w:rsidP="007968EC">
      <w:pPr>
        <w:jc w:val="both"/>
        <w:rPr>
          <w:rFonts w:ascii="Arial Narrow" w:hAnsi="Arial Narrow"/>
        </w:rPr>
      </w:pPr>
    </w:p>
    <w:p w14:paraId="249C9C08" w14:textId="77777777" w:rsidR="007968EC" w:rsidRDefault="007968EC" w:rsidP="007968EC">
      <w:pPr>
        <w:jc w:val="both"/>
        <w:rPr>
          <w:rFonts w:ascii="Arial Narrow" w:hAnsi="Arial Narrow"/>
        </w:rPr>
      </w:pPr>
      <w:r w:rsidRPr="005F10B9">
        <w:rPr>
          <w:rFonts w:ascii="Arial Narrow" w:hAnsi="Arial Narrow"/>
        </w:rPr>
        <w:lastRenderedPageBreak/>
        <w:t xml:space="preserve">Los </w:t>
      </w:r>
      <w:r>
        <w:rPr>
          <w:rFonts w:ascii="Arial Narrow" w:hAnsi="Arial Narrow"/>
        </w:rPr>
        <w:t>plazos</w:t>
      </w:r>
      <w:r w:rsidRPr="005F10B9">
        <w:rPr>
          <w:rFonts w:ascii="Arial Narrow" w:hAnsi="Arial Narrow"/>
        </w:rPr>
        <w:t xml:space="preserve"> definidos para la Curva Cero Cupón IBR</w:t>
      </w:r>
      <w:r>
        <w:rPr>
          <w:rFonts w:ascii="Arial Narrow" w:hAnsi="Arial Narrow"/>
        </w:rPr>
        <w:t xml:space="preserve"> </w:t>
      </w:r>
      <w:r w:rsidRPr="00E22240">
        <w:rPr>
          <w:rFonts w:ascii="Arial Narrow" w:hAnsi="Arial Narrow"/>
        </w:rPr>
        <w:t>Compuesta Continua Base 365</w:t>
      </w:r>
      <w:r w:rsidRPr="005F10B9">
        <w:rPr>
          <w:rFonts w:ascii="Arial Narrow" w:hAnsi="Arial Narrow"/>
        </w:rPr>
        <w:t xml:space="preserve"> </w:t>
      </w:r>
      <w:r>
        <w:rPr>
          <w:rFonts w:ascii="Arial Narrow" w:hAnsi="Arial Narrow"/>
        </w:rPr>
        <w:t>son los siguientes:</w:t>
      </w:r>
    </w:p>
    <w:p w14:paraId="271AA4E4" w14:textId="77777777" w:rsidR="007968EC" w:rsidRPr="005F10B9" w:rsidRDefault="007968EC" w:rsidP="007968EC">
      <w:pPr>
        <w:jc w:val="both"/>
        <w:rPr>
          <w:rFonts w:ascii="Arial Narrow" w:hAnsi="Arial Narrow"/>
        </w:rPr>
      </w:pPr>
    </w:p>
    <w:tbl>
      <w:tblPr>
        <w:tblW w:w="0" w:type="auto"/>
        <w:tblCellMar>
          <w:left w:w="0" w:type="dxa"/>
          <w:right w:w="0" w:type="dxa"/>
        </w:tblCellMar>
        <w:tblLook w:val="04A0" w:firstRow="1" w:lastRow="0" w:firstColumn="1" w:lastColumn="0" w:noHBand="0" w:noVBand="1"/>
      </w:tblPr>
      <w:tblGrid>
        <w:gridCol w:w="2263"/>
        <w:gridCol w:w="7082"/>
      </w:tblGrid>
      <w:tr w:rsidR="007968EC" w:rsidRPr="005F10B9" w14:paraId="49760999" w14:textId="77777777" w:rsidTr="007968EC">
        <w:tc>
          <w:tcPr>
            <w:tcW w:w="2263" w:type="dxa"/>
            <w:tcBorders>
              <w:top w:val="single" w:sz="8" w:space="0" w:color="000000"/>
              <w:left w:val="single" w:sz="8" w:space="0" w:color="000000"/>
              <w:bottom w:val="single" w:sz="8" w:space="0" w:color="000000"/>
              <w:right w:val="single" w:sz="8" w:space="0" w:color="000000"/>
            </w:tcBorders>
            <w:shd w:val="clear" w:color="auto" w:fill="1F4E79"/>
            <w:tcMar>
              <w:top w:w="0" w:type="dxa"/>
              <w:left w:w="108" w:type="dxa"/>
              <w:bottom w:w="0" w:type="dxa"/>
              <w:right w:w="108" w:type="dxa"/>
            </w:tcMar>
            <w:hideMark/>
          </w:tcPr>
          <w:p w14:paraId="44348B54" w14:textId="77777777" w:rsidR="007968EC" w:rsidRPr="001716F1" w:rsidRDefault="007968EC" w:rsidP="007968EC">
            <w:pPr>
              <w:jc w:val="center"/>
              <w:rPr>
                <w:rFonts w:ascii="Arial Narrow" w:hAnsi="Arial Narrow"/>
                <w:b/>
                <w:bCs/>
                <w:color w:val="FFFFFF" w:themeColor="background1"/>
              </w:rPr>
            </w:pPr>
            <w:r w:rsidRPr="001716F1">
              <w:rPr>
                <w:rFonts w:ascii="Arial Narrow" w:hAnsi="Arial Narrow"/>
                <w:b/>
                <w:bCs/>
                <w:color w:val="FFFFFF" w:themeColor="background1"/>
              </w:rPr>
              <w:t>Referencia</w:t>
            </w:r>
          </w:p>
        </w:tc>
        <w:tc>
          <w:tcPr>
            <w:tcW w:w="7082" w:type="dxa"/>
            <w:tcBorders>
              <w:top w:val="single" w:sz="8" w:space="0" w:color="000000"/>
              <w:left w:val="nil"/>
              <w:bottom w:val="single" w:sz="8" w:space="0" w:color="000000"/>
              <w:right w:val="single" w:sz="8" w:space="0" w:color="000000"/>
            </w:tcBorders>
            <w:shd w:val="clear" w:color="auto" w:fill="1F4E79"/>
            <w:tcMar>
              <w:top w:w="0" w:type="dxa"/>
              <w:left w:w="108" w:type="dxa"/>
              <w:bottom w:w="0" w:type="dxa"/>
              <w:right w:w="108" w:type="dxa"/>
            </w:tcMar>
            <w:hideMark/>
          </w:tcPr>
          <w:p w14:paraId="2ED200D0" w14:textId="77777777" w:rsidR="007968EC" w:rsidRPr="001716F1" w:rsidRDefault="007968EC" w:rsidP="007968EC">
            <w:pPr>
              <w:jc w:val="center"/>
              <w:rPr>
                <w:rFonts w:ascii="Arial Narrow" w:hAnsi="Arial Narrow"/>
                <w:b/>
                <w:bCs/>
                <w:color w:val="FFFFFF" w:themeColor="background1"/>
              </w:rPr>
            </w:pPr>
            <w:r w:rsidRPr="001716F1">
              <w:rPr>
                <w:rFonts w:ascii="Arial Narrow" w:hAnsi="Arial Narrow"/>
                <w:b/>
                <w:bCs/>
                <w:color w:val="FFFFFF" w:themeColor="background1"/>
              </w:rPr>
              <w:t>Plazo</w:t>
            </w:r>
          </w:p>
        </w:tc>
      </w:tr>
      <w:tr w:rsidR="007968EC" w:rsidRPr="005F10B9" w14:paraId="7A4A59F7" w14:textId="77777777" w:rsidTr="007968EC">
        <w:tc>
          <w:tcPr>
            <w:tcW w:w="226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05B0AD9" w14:textId="77777777" w:rsidR="007968EC" w:rsidRPr="005F10B9" w:rsidRDefault="007968EC" w:rsidP="007968EC">
            <w:pPr>
              <w:jc w:val="both"/>
              <w:rPr>
                <w:rFonts w:ascii="Arial Narrow" w:hAnsi="Arial Narrow"/>
              </w:rPr>
            </w:pPr>
            <w:r w:rsidRPr="005F10B9">
              <w:rPr>
                <w:rFonts w:ascii="Arial Narrow" w:hAnsi="Arial Narrow"/>
              </w:rPr>
              <w:t>IBR O/N</w:t>
            </w:r>
          </w:p>
        </w:tc>
        <w:tc>
          <w:tcPr>
            <w:tcW w:w="7082" w:type="dxa"/>
            <w:tcBorders>
              <w:top w:val="nil"/>
              <w:left w:val="nil"/>
              <w:bottom w:val="single" w:sz="8" w:space="0" w:color="000000"/>
              <w:right w:val="single" w:sz="8" w:space="0" w:color="000000"/>
            </w:tcBorders>
            <w:tcMar>
              <w:top w:w="0" w:type="dxa"/>
              <w:left w:w="108" w:type="dxa"/>
              <w:bottom w:w="0" w:type="dxa"/>
              <w:right w:w="108" w:type="dxa"/>
            </w:tcMar>
            <w:hideMark/>
          </w:tcPr>
          <w:p w14:paraId="4FBBFF9F" w14:textId="77777777" w:rsidR="007968EC" w:rsidRPr="005F10B9" w:rsidRDefault="007968EC" w:rsidP="007968EC">
            <w:pPr>
              <w:autoSpaceDE w:val="0"/>
              <w:autoSpaceDN w:val="0"/>
              <w:rPr>
                <w:rFonts w:ascii="Arial Narrow" w:hAnsi="Arial Narrow"/>
              </w:rPr>
            </w:pPr>
            <w:r w:rsidRPr="005F10B9">
              <w:rPr>
                <w:rFonts w:ascii="Arial Narrow" w:hAnsi="Arial Narrow"/>
              </w:rPr>
              <w:t>1, 2 días, 1, 2, 3 semanas, 1, 2, 3, 4, 5, 6, 7, 8, 9, 10, 11, 12, 15, 18, 21 meses, 2, 3, 4, 5, 6, 7, 8, 9, 10, 11, 12 y 15 años.</w:t>
            </w:r>
          </w:p>
        </w:tc>
      </w:tr>
      <w:tr w:rsidR="007968EC" w:rsidRPr="005F10B9" w14:paraId="0BCD27D4" w14:textId="77777777" w:rsidTr="007968EC">
        <w:tc>
          <w:tcPr>
            <w:tcW w:w="226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16A4574" w14:textId="77777777" w:rsidR="007968EC" w:rsidRPr="005F10B9" w:rsidRDefault="007968EC" w:rsidP="007968EC">
            <w:pPr>
              <w:jc w:val="both"/>
              <w:rPr>
                <w:rFonts w:ascii="Arial Narrow" w:hAnsi="Arial Narrow"/>
              </w:rPr>
            </w:pPr>
            <w:r w:rsidRPr="005F10B9">
              <w:rPr>
                <w:rFonts w:ascii="Arial Narrow" w:hAnsi="Arial Narrow"/>
              </w:rPr>
              <w:t>IBR 1M</w:t>
            </w:r>
          </w:p>
        </w:tc>
        <w:tc>
          <w:tcPr>
            <w:tcW w:w="7082" w:type="dxa"/>
            <w:tcBorders>
              <w:top w:val="nil"/>
              <w:left w:val="nil"/>
              <w:bottom w:val="single" w:sz="8" w:space="0" w:color="000000"/>
              <w:right w:val="single" w:sz="8" w:space="0" w:color="000000"/>
            </w:tcBorders>
            <w:tcMar>
              <w:top w:w="0" w:type="dxa"/>
              <w:left w:w="108" w:type="dxa"/>
              <w:bottom w:w="0" w:type="dxa"/>
              <w:right w:w="108" w:type="dxa"/>
            </w:tcMar>
            <w:hideMark/>
          </w:tcPr>
          <w:p w14:paraId="34F73C32" w14:textId="77777777" w:rsidR="007968EC" w:rsidRPr="005F10B9" w:rsidRDefault="007968EC" w:rsidP="007968EC">
            <w:pPr>
              <w:autoSpaceDE w:val="0"/>
              <w:autoSpaceDN w:val="0"/>
              <w:rPr>
                <w:rFonts w:ascii="Arial Narrow" w:hAnsi="Arial Narrow"/>
              </w:rPr>
            </w:pPr>
            <w:r w:rsidRPr="005F10B9">
              <w:rPr>
                <w:rFonts w:ascii="Arial Narrow" w:hAnsi="Arial Narrow"/>
              </w:rPr>
              <w:t>1, 2, 3, 4, 5, 6, 7, 8, 9, 10, 12, 15,18, 21 meses, 2, 3, 4, 5, 6, 7, 8, 9, 10, 11, 12 y 15 años.</w:t>
            </w:r>
          </w:p>
        </w:tc>
      </w:tr>
      <w:tr w:rsidR="007968EC" w:rsidRPr="005F10B9" w14:paraId="3656B1F6" w14:textId="77777777" w:rsidTr="007968EC">
        <w:tc>
          <w:tcPr>
            <w:tcW w:w="226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87DA570" w14:textId="77777777" w:rsidR="007968EC" w:rsidRPr="005F10B9" w:rsidRDefault="007968EC" w:rsidP="007968EC">
            <w:pPr>
              <w:jc w:val="both"/>
              <w:rPr>
                <w:rFonts w:ascii="Arial Narrow" w:hAnsi="Arial Narrow"/>
              </w:rPr>
            </w:pPr>
            <w:r w:rsidRPr="005F10B9">
              <w:rPr>
                <w:rFonts w:ascii="Arial Narrow" w:hAnsi="Arial Narrow"/>
              </w:rPr>
              <w:t>IBR 3M</w:t>
            </w:r>
          </w:p>
        </w:tc>
        <w:tc>
          <w:tcPr>
            <w:tcW w:w="7082" w:type="dxa"/>
            <w:tcBorders>
              <w:top w:val="nil"/>
              <w:left w:val="nil"/>
              <w:bottom w:val="single" w:sz="8" w:space="0" w:color="000000"/>
              <w:right w:val="single" w:sz="8" w:space="0" w:color="000000"/>
            </w:tcBorders>
            <w:tcMar>
              <w:top w:w="0" w:type="dxa"/>
              <w:left w:w="108" w:type="dxa"/>
              <w:bottom w:w="0" w:type="dxa"/>
              <w:right w:w="108" w:type="dxa"/>
            </w:tcMar>
            <w:hideMark/>
          </w:tcPr>
          <w:p w14:paraId="6740A715" w14:textId="77777777" w:rsidR="007968EC" w:rsidRPr="005F10B9" w:rsidRDefault="007968EC" w:rsidP="007968EC">
            <w:pPr>
              <w:autoSpaceDE w:val="0"/>
              <w:autoSpaceDN w:val="0"/>
              <w:rPr>
                <w:rFonts w:ascii="Arial Narrow" w:hAnsi="Arial Narrow"/>
              </w:rPr>
            </w:pPr>
            <w:r w:rsidRPr="005F10B9">
              <w:rPr>
                <w:rFonts w:ascii="Arial Narrow" w:hAnsi="Arial Narrow"/>
              </w:rPr>
              <w:t>3, 4, 5, 6, 7, 8, 9, 10, 11, 12, 13, 14, 15, 18, 21 meses, 2, 3, 4, 5, 6, 7, 8, 9, 10, 12 y 15 años.</w:t>
            </w:r>
          </w:p>
        </w:tc>
      </w:tr>
      <w:tr w:rsidR="007968EC" w:rsidRPr="005F10B9" w14:paraId="05C3A439" w14:textId="77777777" w:rsidTr="007968EC">
        <w:tc>
          <w:tcPr>
            <w:tcW w:w="226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6F60255" w14:textId="77777777" w:rsidR="007968EC" w:rsidRPr="005F10B9" w:rsidRDefault="007968EC" w:rsidP="007968EC">
            <w:pPr>
              <w:jc w:val="both"/>
              <w:rPr>
                <w:rFonts w:ascii="Arial Narrow" w:hAnsi="Arial Narrow"/>
              </w:rPr>
            </w:pPr>
            <w:r w:rsidRPr="005F10B9">
              <w:rPr>
                <w:rFonts w:ascii="Arial Narrow" w:hAnsi="Arial Narrow"/>
              </w:rPr>
              <w:t>IBR 6M</w:t>
            </w:r>
          </w:p>
        </w:tc>
        <w:tc>
          <w:tcPr>
            <w:tcW w:w="7082" w:type="dxa"/>
            <w:tcBorders>
              <w:top w:val="nil"/>
              <w:left w:val="nil"/>
              <w:bottom w:val="single" w:sz="8" w:space="0" w:color="000000"/>
              <w:right w:val="single" w:sz="8" w:space="0" w:color="000000"/>
            </w:tcBorders>
            <w:tcMar>
              <w:top w:w="0" w:type="dxa"/>
              <w:left w:w="108" w:type="dxa"/>
              <w:bottom w:w="0" w:type="dxa"/>
              <w:right w:w="108" w:type="dxa"/>
            </w:tcMar>
            <w:hideMark/>
          </w:tcPr>
          <w:p w14:paraId="16C45A29" w14:textId="77777777" w:rsidR="007968EC" w:rsidRPr="005F10B9" w:rsidRDefault="007968EC" w:rsidP="007968EC">
            <w:pPr>
              <w:autoSpaceDE w:val="0"/>
              <w:autoSpaceDN w:val="0"/>
              <w:rPr>
                <w:rFonts w:ascii="Arial Narrow" w:hAnsi="Arial Narrow"/>
              </w:rPr>
            </w:pPr>
            <w:r w:rsidRPr="005F10B9">
              <w:rPr>
                <w:rFonts w:ascii="Arial Narrow" w:hAnsi="Arial Narrow"/>
              </w:rPr>
              <w:t>6, 7, 8, 9, 10, 11, 12, 13, 14, 15, 16, 17, 18 meses, 2, 3, 4, 5, 6, 7, 8, 9, 10, 12 y 15 años</w:t>
            </w:r>
          </w:p>
        </w:tc>
      </w:tr>
    </w:tbl>
    <w:p w14:paraId="3D7FE391" w14:textId="77777777" w:rsidR="007968EC" w:rsidRPr="005F10B9" w:rsidRDefault="007968EC" w:rsidP="007968EC">
      <w:pPr>
        <w:jc w:val="both"/>
        <w:rPr>
          <w:rFonts w:ascii="Arial Narrow" w:hAnsi="Arial Narrow"/>
        </w:rPr>
      </w:pPr>
    </w:p>
    <w:p w14:paraId="6E4A08BD" w14:textId="77777777" w:rsidR="007968EC" w:rsidRDefault="007968EC" w:rsidP="007968EC">
      <w:pPr>
        <w:jc w:val="both"/>
        <w:rPr>
          <w:rFonts w:ascii="Arial Narrow" w:hAnsi="Arial Narrow" w:cs="Verdana-Bold"/>
          <w:bCs/>
        </w:rPr>
      </w:pPr>
      <w:r w:rsidRPr="005F10B9">
        <w:rPr>
          <w:rFonts w:ascii="Arial Narrow" w:hAnsi="Arial Narrow"/>
        </w:rPr>
        <w:t xml:space="preserve">En consideración a que </w:t>
      </w:r>
      <w:r w:rsidRPr="005F10B9">
        <w:rPr>
          <w:rFonts w:ascii="Arial Narrow" w:hAnsi="Arial Narrow" w:cs="Verdana-Bold"/>
          <w:bCs/>
        </w:rPr>
        <w:t>no se tienen Curvas Cero Cupón IBR para cada un</w:t>
      </w:r>
      <w:r>
        <w:rPr>
          <w:rFonts w:ascii="Arial Narrow" w:hAnsi="Arial Narrow" w:cs="Verdana-Bold"/>
          <w:bCs/>
        </w:rPr>
        <w:t>a</w:t>
      </w:r>
      <w:r w:rsidRPr="005F10B9">
        <w:rPr>
          <w:rFonts w:ascii="Arial Narrow" w:hAnsi="Arial Narrow" w:cs="Verdana-Bold"/>
          <w:bCs/>
        </w:rPr>
        <w:t xml:space="preserve"> de l</w:t>
      </w:r>
      <w:r>
        <w:rPr>
          <w:rFonts w:ascii="Arial Narrow" w:hAnsi="Arial Narrow" w:cs="Verdana-Bold"/>
          <w:bCs/>
        </w:rPr>
        <w:t>a</w:t>
      </w:r>
      <w:r w:rsidRPr="005F10B9">
        <w:rPr>
          <w:rFonts w:ascii="Arial Narrow" w:hAnsi="Arial Narrow" w:cs="Verdana-Bold"/>
          <w:bCs/>
        </w:rPr>
        <w:t xml:space="preserve">s </w:t>
      </w:r>
      <w:r>
        <w:rPr>
          <w:rFonts w:ascii="Arial Narrow" w:hAnsi="Arial Narrow" w:cs="Verdana-Bold"/>
          <w:bCs/>
        </w:rPr>
        <w:t>referencias</w:t>
      </w:r>
      <w:r w:rsidRPr="005F10B9">
        <w:rPr>
          <w:rFonts w:ascii="Arial Narrow" w:hAnsi="Arial Narrow" w:cs="Verdana-Bold"/>
          <w:bCs/>
        </w:rPr>
        <w:t xml:space="preserve"> (1M, 3M y 6M)</w:t>
      </w:r>
      <w:r>
        <w:rPr>
          <w:rFonts w:ascii="Arial Narrow" w:hAnsi="Arial Narrow" w:cs="Verdana-Bold"/>
          <w:bCs/>
        </w:rPr>
        <w:t xml:space="preserve">, </w:t>
      </w:r>
      <w:r w:rsidRPr="005F10B9">
        <w:rPr>
          <w:rFonts w:ascii="Arial Narrow" w:hAnsi="Arial Narrow" w:cs="Verdana-Bold"/>
          <w:bCs/>
        </w:rPr>
        <w:t xml:space="preserve">tanto la proyección como el descuento de los flujos se hace con la misma Curva Cero Cupón, aunque utilizando los </w:t>
      </w:r>
      <w:r>
        <w:rPr>
          <w:rFonts w:ascii="Arial Narrow" w:hAnsi="Arial Narrow" w:cs="Verdana-Bold"/>
          <w:bCs/>
        </w:rPr>
        <w:t>plazos</w:t>
      </w:r>
      <w:r w:rsidRPr="005F10B9">
        <w:rPr>
          <w:rFonts w:ascii="Arial Narrow" w:hAnsi="Arial Narrow" w:cs="Verdana-Bold"/>
          <w:bCs/>
        </w:rPr>
        <w:t xml:space="preserve"> indicados en el cuadro anterior para cada </w:t>
      </w:r>
      <w:r>
        <w:rPr>
          <w:rFonts w:ascii="Arial Narrow" w:hAnsi="Arial Narrow" w:cs="Verdana-Bold"/>
          <w:bCs/>
        </w:rPr>
        <w:t>referencia</w:t>
      </w:r>
      <w:r w:rsidRPr="005F10B9">
        <w:rPr>
          <w:rFonts w:ascii="Arial Narrow" w:hAnsi="Arial Narrow" w:cs="Verdana-Bold"/>
          <w:bCs/>
        </w:rPr>
        <w:t>.</w:t>
      </w:r>
    </w:p>
    <w:p w14:paraId="293E3D69" w14:textId="77777777" w:rsidR="007968EC" w:rsidRDefault="007968EC" w:rsidP="007968EC">
      <w:pPr>
        <w:jc w:val="both"/>
        <w:rPr>
          <w:rFonts w:ascii="Arial Narrow" w:hAnsi="Arial Narrow" w:cs="Verdana-Bold"/>
          <w:bCs/>
        </w:rPr>
      </w:pPr>
    </w:p>
    <w:p w14:paraId="53C6BDA2" w14:textId="77777777" w:rsidR="007968EC" w:rsidRPr="005F10B9" w:rsidRDefault="007968EC" w:rsidP="007968EC">
      <w:pPr>
        <w:jc w:val="both"/>
        <w:rPr>
          <w:rFonts w:ascii="Arial Narrow" w:hAnsi="Arial Narrow"/>
        </w:rPr>
      </w:pPr>
      <w:proofErr w:type="gramStart"/>
      <w:r w:rsidRPr="00D86081">
        <w:rPr>
          <w:rFonts w:ascii="Arial Narrow" w:hAnsi="Arial Narrow"/>
        </w:rPr>
        <w:t xml:space="preserve">Los </w:t>
      </w:r>
      <w:r>
        <w:rPr>
          <w:rFonts w:ascii="Arial Narrow" w:hAnsi="Arial Narrow"/>
        </w:rPr>
        <w:t xml:space="preserve"> plazos</w:t>
      </w:r>
      <w:proofErr w:type="gramEnd"/>
      <w:r w:rsidRPr="00D86081">
        <w:rPr>
          <w:rFonts w:ascii="Arial Narrow" w:hAnsi="Arial Narrow"/>
        </w:rPr>
        <w:t xml:space="preserve"> definidos para la</w:t>
      </w:r>
      <w:r>
        <w:rPr>
          <w:rFonts w:ascii="Arial Narrow" w:hAnsi="Arial Narrow"/>
        </w:rPr>
        <w:t>s</w:t>
      </w:r>
      <w:r w:rsidRPr="00D86081">
        <w:rPr>
          <w:rFonts w:ascii="Arial Narrow" w:hAnsi="Arial Narrow"/>
        </w:rPr>
        <w:t xml:space="preserve"> Curva</w:t>
      </w:r>
      <w:r>
        <w:rPr>
          <w:rFonts w:ascii="Arial Narrow" w:hAnsi="Arial Narrow"/>
        </w:rPr>
        <w:t>s</w:t>
      </w:r>
      <w:r w:rsidRPr="00D86081">
        <w:rPr>
          <w:rFonts w:ascii="Arial Narrow" w:hAnsi="Arial Narrow"/>
        </w:rPr>
        <w:t xml:space="preserve"> Cero Cupón LIBOR</w:t>
      </w:r>
      <w:r>
        <w:rPr>
          <w:rFonts w:ascii="Arial Narrow" w:hAnsi="Arial Narrow"/>
        </w:rPr>
        <w:t xml:space="preserve"> </w:t>
      </w:r>
      <w:r w:rsidRPr="00E22240">
        <w:rPr>
          <w:rFonts w:ascii="Arial Narrow" w:hAnsi="Arial Narrow"/>
        </w:rPr>
        <w:t>Compuesta Continua Base 365</w:t>
      </w:r>
      <w:r w:rsidRPr="005F10B9">
        <w:rPr>
          <w:rFonts w:ascii="Arial Narrow" w:hAnsi="Arial Narrow"/>
        </w:rPr>
        <w:t xml:space="preserve"> </w:t>
      </w:r>
      <w:r w:rsidRPr="00D86081">
        <w:rPr>
          <w:rFonts w:ascii="Arial Narrow" w:hAnsi="Arial Narrow"/>
        </w:rPr>
        <w:t>son los siguientes:</w:t>
      </w:r>
      <w:r w:rsidRPr="005F10B9">
        <w:rPr>
          <w:rFonts w:ascii="Arial Narrow" w:hAnsi="Arial Narrow"/>
        </w:rPr>
        <w:t xml:space="preserve"> </w:t>
      </w:r>
    </w:p>
    <w:p w14:paraId="0A65DD8D" w14:textId="77777777" w:rsidR="007968EC" w:rsidRDefault="007968EC" w:rsidP="007968EC">
      <w:pPr>
        <w:jc w:val="both"/>
        <w:rPr>
          <w:rFonts w:ascii="Arial Narrow" w:hAnsi="Arial Narrow"/>
        </w:rPr>
      </w:pPr>
    </w:p>
    <w:tbl>
      <w:tblPr>
        <w:tblW w:w="0" w:type="auto"/>
        <w:tblCellMar>
          <w:left w:w="0" w:type="dxa"/>
          <w:right w:w="0" w:type="dxa"/>
        </w:tblCellMar>
        <w:tblLook w:val="04A0" w:firstRow="1" w:lastRow="0" w:firstColumn="1" w:lastColumn="0" w:noHBand="0" w:noVBand="1"/>
      </w:tblPr>
      <w:tblGrid>
        <w:gridCol w:w="2263"/>
        <w:gridCol w:w="7082"/>
      </w:tblGrid>
      <w:tr w:rsidR="007968EC" w:rsidRPr="005F10B9" w14:paraId="029E79CC" w14:textId="77777777" w:rsidTr="007968EC">
        <w:tc>
          <w:tcPr>
            <w:tcW w:w="2263" w:type="dxa"/>
            <w:tcBorders>
              <w:top w:val="single" w:sz="8" w:space="0" w:color="000000"/>
              <w:left w:val="single" w:sz="8" w:space="0" w:color="000000"/>
              <w:bottom w:val="single" w:sz="8" w:space="0" w:color="000000"/>
              <w:right w:val="single" w:sz="8" w:space="0" w:color="000000"/>
            </w:tcBorders>
            <w:shd w:val="clear" w:color="auto" w:fill="1F4E79"/>
            <w:tcMar>
              <w:top w:w="0" w:type="dxa"/>
              <w:left w:w="108" w:type="dxa"/>
              <w:bottom w:w="0" w:type="dxa"/>
              <w:right w:w="108" w:type="dxa"/>
            </w:tcMar>
            <w:hideMark/>
          </w:tcPr>
          <w:p w14:paraId="00F11AB5" w14:textId="77777777" w:rsidR="007968EC" w:rsidRPr="008F2FE5" w:rsidRDefault="007968EC" w:rsidP="007968EC">
            <w:pPr>
              <w:jc w:val="center"/>
              <w:rPr>
                <w:rFonts w:ascii="Arial Narrow" w:hAnsi="Arial Narrow"/>
                <w:b/>
                <w:bCs/>
                <w:color w:val="FFFFFF" w:themeColor="background1"/>
              </w:rPr>
            </w:pPr>
            <w:r w:rsidRPr="008F2FE5">
              <w:rPr>
                <w:rFonts w:ascii="Arial Narrow" w:hAnsi="Arial Narrow"/>
                <w:b/>
                <w:bCs/>
                <w:color w:val="FFFFFF" w:themeColor="background1"/>
              </w:rPr>
              <w:t>Referencia</w:t>
            </w:r>
          </w:p>
        </w:tc>
        <w:tc>
          <w:tcPr>
            <w:tcW w:w="7082" w:type="dxa"/>
            <w:tcBorders>
              <w:top w:val="single" w:sz="8" w:space="0" w:color="000000"/>
              <w:left w:val="nil"/>
              <w:bottom w:val="single" w:sz="8" w:space="0" w:color="000000"/>
              <w:right w:val="single" w:sz="8" w:space="0" w:color="000000"/>
            </w:tcBorders>
            <w:shd w:val="clear" w:color="auto" w:fill="1F4E79"/>
            <w:tcMar>
              <w:top w:w="0" w:type="dxa"/>
              <w:left w:w="108" w:type="dxa"/>
              <w:bottom w:w="0" w:type="dxa"/>
              <w:right w:w="108" w:type="dxa"/>
            </w:tcMar>
            <w:hideMark/>
          </w:tcPr>
          <w:p w14:paraId="3C9A32DF" w14:textId="77777777" w:rsidR="007968EC" w:rsidRPr="008F2FE5" w:rsidRDefault="007968EC" w:rsidP="007968EC">
            <w:pPr>
              <w:jc w:val="center"/>
              <w:rPr>
                <w:rFonts w:ascii="Arial Narrow" w:hAnsi="Arial Narrow"/>
                <w:b/>
                <w:bCs/>
                <w:color w:val="FFFFFF" w:themeColor="background1"/>
              </w:rPr>
            </w:pPr>
            <w:r w:rsidRPr="008F2FE5">
              <w:rPr>
                <w:rFonts w:ascii="Arial Narrow" w:hAnsi="Arial Narrow"/>
                <w:b/>
                <w:bCs/>
                <w:color w:val="FFFFFF" w:themeColor="background1"/>
              </w:rPr>
              <w:t>Plazo</w:t>
            </w:r>
          </w:p>
        </w:tc>
      </w:tr>
      <w:tr w:rsidR="007968EC" w:rsidRPr="005F10B9" w14:paraId="0928D3BD" w14:textId="77777777" w:rsidTr="007968EC">
        <w:tc>
          <w:tcPr>
            <w:tcW w:w="226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B32B74" w14:textId="77777777" w:rsidR="007968EC" w:rsidRPr="005F10B9" w:rsidRDefault="007968EC" w:rsidP="007968EC">
            <w:pPr>
              <w:jc w:val="both"/>
              <w:rPr>
                <w:rFonts w:ascii="Arial Narrow" w:hAnsi="Arial Narrow"/>
              </w:rPr>
            </w:pPr>
            <w:r>
              <w:rPr>
                <w:rFonts w:ascii="Arial Narrow" w:hAnsi="Arial Narrow"/>
              </w:rPr>
              <w:t>LIBOR</w:t>
            </w:r>
            <w:r w:rsidRPr="005F10B9">
              <w:rPr>
                <w:rFonts w:ascii="Arial Narrow" w:hAnsi="Arial Narrow"/>
              </w:rPr>
              <w:t xml:space="preserve"> 1M</w:t>
            </w:r>
          </w:p>
        </w:tc>
        <w:tc>
          <w:tcPr>
            <w:tcW w:w="7082" w:type="dxa"/>
            <w:tcBorders>
              <w:top w:val="nil"/>
              <w:left w:val="nil"/>
              <w:bottom w:val="single" w:sz="8" w:space="0" w:color="000000"/>
              <w:right w:val="single" w:sz="8" w:space="0" w:color="000000"/>
            </w:tcBorders>
            <w:tcMar>
              <w:top w:w="0" w:type="dxa"/>
              <w:left w:w="108" w:type="dxa"/>
              <w:bottom w:w="0" w:type="dxa"/>
              <w:right w:w="108" w:type="dxa"/>
            </w:tcMar>
            <w:hideMark/>
          </w:tcPr>
          <w:p w14:paraId="3896B84A" w14:textId="77777777" w:rsidR="007968EC" w:rsidRPr="005F10B9" w:rsidRDefault="007968EC" w:rsidP="007968EC">
            <w:pPr>
              <w:autoSpaceDE w:val="0"/>
              <w:autoSpaceDN w:val="0"/>
              <w:rPr>
                <w:rFonts w:ascii="Arial Narrow" w:hAnsi="Arial Narrow"/>
              </w:rPr>
            </w:pPr>
            <w:r w:rsidRPr="005F10B9">
              <w:rPr>
                <w:rFonts w:ascii="Arial Narrow" w:hAnsi="Arial Narrow"/>
              </w:rPr>
              <w:t>1, 2 días, 1, 2, 3 semanas, 1, 2, 3, 4, 5, 6, 7, 8, 9, 10, 11, 12, 15, 18, 21 meses, 2, 3, 4, 5, 6, 7, 8, 9, 10, 11, 12 y 15 años.</w:t>
            </w:r>
          </w:p>
        </w:tc>
      </w:tr>
      <w:tr w:rsidR="007968EC" w:rsidRPr="005F10B9" w14:paraId="6216BD05" w14:textId="77777777" w:rsidTr="007968EC">
        <w:tc>
          <w:tcPr>
            <w:tcW w:w="226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E4FBFDD" w14:textId="77777777" w:rsidR="007968EC" w:rsidRPr="005F10B9" w:rsidRDefault="007968EC" w:rsidP="007968EC">
            <w:pPr>
              <w:jc w:val="both"/>
              <w:rPr>
                <w:rFonts w:ascii="Arial Narrow" w:hAnsi="Arial Narrow"/>
              </w:rPr>
            </w:pPr>
            <w:r>
              <w:rPr>
                <w:rFonts w:ascii="Arial Narrow" w:hAnsi="Arial Narrow"/>
              </w:rPr>
              <w:t>LIBOR</w:t>
            </w:r>
            <w:r w:rsidRPr="005F10B9">
              <w:rPr>
                <w:rFonts w:ascii="Arial Narrow" w:hAnsi="Arial Narrow"/>
              </w:rPr>
              <w:t xml:space="preserve"> 3M</w:t>
            </w:r>
          </w:p>
        </w:tc>
        <w:tc>
          <w:tcPr>
            <w:tcW w:w="7082" w:type="dxa"/>
            <w:tcBorders>
              <w:top w:val="nil"/>
              <w:left w:val="nil"/>
              <w:bottom w:val="single" w:sz="8" w:space="0" w:color="000000"/>
              <w:right w:val="single" w:sz="8" w:space="0" w:color="000000"/>
            </w:tcBorders>
            <w:tcMar>
              <w:top w:w="0" w:type="dxa"/>
              <w:left w:w="108" w:type="dxa"/>
              <w:bottom w:w="0" w:type="dxa"/>
              <w:right w:w="108" w:type="dxa"/>
            </w:tcMar>
            <w:hideMark/>
          </w:tcPr>
          <w:p w14:paraId="5480890E" w14:textId="77777777" w:rsidR="007968EC" w:rsidRPr="005F10B9" w:rsidRDefault="007968EC" w:rsidP="007968EC">
            <w:pPr>
              <w:autoSpaceDE w:val="0"/>
              <w:autoSpaceDN w:val="0"/>
              <w:rPr>
                <w:rFonts w:ascii="Arial Narrow" w:hAnsi="Arial Narrow"/>
              </w:rPr>
            </w:pPr>
            <w:r w:rsidRPr="005F10B9">
              <w:rPr>
                <w:rFonts w:ascii="Arial Narrow" w:hAnsi="Arial Narrow"/>
              </w:rPr>
              <w:t>1, 2, 3, 4, 5, 6, 7, 8, 9, 10, 12, 15,18, 21 meses, 2, 3, 4, 5, 6, 7, 8, 9, 10, 11, 12 y 15 años.</w:t>
            </w:r>
          </w:p>
        </w:tc>
      </w:tr>
      <w:tr w:rsidR="007968EC" w:rsidRPr="005F10B9" w14:paraId="14EC4905" w14:textId="77777777" w:rsidTr="007968EC">
        <w:tc>
          <w:tcPr>
            <w:tcW w:w="226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D5E47FA" w14:textId="77777777" w:rsidR="007968EC" w:rsidRPr="005F10B9" w:rsidRDefault="007968EC" w:rsidP="007968EC">
            <w:pPr>
              <w:jc w:val="both"/>
              <w:rPr>
                <w:rFonts w:ascii="Arial Narrow" w:hAnsi="Arial Narrow"/>
              </w:rPr>
            </w:pPr>
            <w:r>
              <w:rPr>
                <w:rFonts w:ascii="Arial Narrow" w:hAnsi="Arial Narrow"/>
              </w:rPr>
              <w:t>LIBOR</w:t>
            </w:r>
            <w:r w:rsidRPr="005F10B9">
              <w:rPr>
                <w:rFonts w:ascii="Arial Narrow" w:hAnsi="Arial Narrow"/>
              </w:rPr>
              <w:t xml:space="preserve"> 6M</w:t>
            </w:r>
          </w:p>
        </w:tc>
        <w:tc>
          <w:tcPr>
            <w:tcW w:w="7082" w:type="dxa"/>
            <w:tcBorders>
              <w:top w:val="nil"/>
              <w:left w:val="nil"/>
              <w:bottom w:val="single" w:sz="8" w:space="0" w:color="000000"/>
              <w:right w:val="single" w:sz="8" w:space="0" w:color="000000"/>
            </w:tcBorders>
            <w:tcMar>
              <w:top w:w="0" w:type="dxa"/>
              <w:left w:w="108" w:type="dxa"/>
              <w:bottom w:w="0" w:type="dxa"/>
              <w:right w:w="108" w:type="dxa"/>
            </w:tcMar>
            <w:hideMark/>
          </w:tcPr>
          <w:p w14:paraId="44FC0F85" w14:textId="77777777" w:rsidR="007968EC" w:rsidRPr="005F10B9" w:rsidRDefault="007968EC" w:rsidP="007968EC">
            <w:pPr>
              <w:autoSpaceDE w:val="0"/>
              <w:autoSpaceDN w:val="0"/>
              <w:rPr>
                <w:rFonts w:ascii="Arial Narrow" w:hAnsi="Arial Narrow"/>
              </w:rPr>
            </w:pPr>
            <w:r w:rsidRPr="005F10B9">
              <w:rPr>
                <w:rFonts w:ascii="Arial Narrow" w:hAnsi="Arial Narrow"/>
              </w:rPr>
              <w:t>3, 4, 5, 6, 7, 8, 9, 10, 11, 12, 13, 14, 15, 18, 21 meses, 2, 3, 4, 5, 6, 7, 8, 9, 10, 12 y 15 años.</w:t>
            </w:r>
          </w:p>
        </w:tc>
      </w:tr>
      <w:tr w:rsidR="007968EC" w:rsidRPr="005F10B9" w14:paraId="511F98E4" w14:textId="77777777" w:rsidTr="007968EC">
        <w:tc>
          <w:tcPr>
            <w:tcW w:w="226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7BA0747" w14:textId="77777777" w:rsidR="007968EC" w:rsidRPr="005F10B9" w:rsidRDefault="007968EC" w:rsidP="007968EC">
            <w:pPr>
              <w:jc w:val="both"/>
              <w:rPr>
                <w:rFonts w:ascii="Arial Narrow" w:hAnsi="Arial Narrow"/>
              </w:rPr>
            </w:pPr>
            <w:r>
              <w:rPr>
                <w:rFonts w:ascii="Arial Narrow" w:hAnsi="Arial Narrow"/>
              </w:rPr>
              <w:t>LIBOR 12</w:t>
            </w:r>
            <w:r w:rsidRPr="005F10B9">
              <w:rPr>
                <w:rFonts w:ascii="Arial Narrow" w:hAnsi="Arial Narrow"/>
              </w:rPr>
              <w:t>M</w:t>
            </w:r>
          </w:p>
        </w:tc>
        <w:tc>
          <w:tcPr>
            <w:tcW w:w="7082" w:type="dxa"/>
            <w:tcBorders>
              <w:top w:val="nil"/>
              <w:left w:val="nil"/>
              <w:bottom w:val="single" w:sz="8" w:space="0" w:color="000000"/>
              <w:right w:val="single" w:sz="8" w:space="0" w:color="000000"/>
            </w:tcBorders>
            <w:tcMar>
              <w:top w:w="0" w:type="dxa"/>
              <w:left w:w="108" w:type="dxa"/>
              <w:bottom w:w="0" w:type="dxa"/>
              <w:right w:w="108" w:type="dxa"/>
            </w:tcMar>
            <w:hideMark/>
          </w:tcPr>
          <w:p w14:paraId="46B60D0D" w14:textId="77777777" w:rsidR="007968EC" w:rsidRPr="005F10B9" w:rsidRDefault="007968EC" w:rsidP="007968EC">
            <w:pPr>
              <w:autoSpaceDE w:val="0"/>
              <w:autoSpaceDN w:val="0"/>
              <w:rPr>
                <w:rFonts w:ascii="Arial Narrow" w:hAnsi="Arial Narrow"/>
              </w:rPr>
            </w:pPr>
            <w:r w:rsidRPr="005F10B9">
              <w:rPr>
                <w:rFonts w:ascii="Arial Narrow" w:hAnsi="Arial Narrow"/>
              </w:rPr>
              <w:t>6, 7, 8, 9, 10, 11, 12, 13, 14, 15, 16, 17, 18 meses, 2, 3, 4, 5, 6, 7, 8, 9, 10, 12 y 15 años</w:t>
            </w:r>
          </w:p>
        </w:tc>
      </w:tr>
    </w:tbl>
    <w:p w14:paraId="4439559E" w14:textId="77777777" w:rsidR="007968EC" w:rsidRDefault="007968EC" w:rsidP="007968EC">
      <w:pPr>
        <w:jc w:val="both"/>
        <w:rPr>
          <w:rFonts w:ascii="Arial Narrow" w:hAnsi="Arial Narrow" w:cs="Verdana-Bold"/>
          <w:bCs/>
        </w:rPr>
      </w:pPr>
    </w:p>
    <w:p w14:paraId="669672BA" w14:textId="77777777" w:rsidR="007968EC" w:rsidRPr="005F10B9" w:rsidRDefault="007968EC" w:rsidP="007968EC">
      <w:pPr>
        <w:jc w:val="both"/>
        <w:rPr>
          <w:rFonts w:ascii="Arial Narrow" w:hAnsi="Arial Narrow"/>
        </w:rPr>
      </w:pPr>
      <w:r w:rsidRPr="00D86081">
        <w:rPr>
          <w:rFonts w:ascii="Arial Narrow" w:hAnsi="Arial Narrow"/>
        </w:rPr>
        <w:t xml:space="preserve">Los </w:t>
      </w:r>
      <w:r>
        <w:rPr>
          <w:rFonts w:ascii="Arial Narrow" w:hAnsi="Arial Narrow"/>
        </w:rPr>
        <w:t>plazos</w:t>
      </w:r>
      <w:r w:rsidRPr="00D86081">
        <w:rPr>
          <w:rFonts w:ascii="Arial Narrow" w:hAnsi="Arial Narrow"/>
        </w:rPr>
        <w:t xml:space="preserve"> definidos para la Curva Cero Cupón IBRLIBOR </w:t>
      </w:r>
      <w:r w:rsidRPr="00F23976">
        <w:rPr>
          <w:rFonts w:ascii="Arial Narrow" w:hAnsi="Arial Narrow"/>
        </w:rPr>
        <w:t>Compuesta Continua Base 365</w:t>
      </w:r>
      <w:r w:rsidRPr="00D86081">
        <w:rPr>
          <w:rFonts w:ascii="Arial Narrow" w:hAnsi="Arial Narrow"/>
        </w:rPr>
        <w:t xml:space="preserve"> son los siguientes:</w:t>
      </w:r>
      <w:r w:rsidRPr="005F10B9">
        <w:rPr>
          <w:rFonts w:ascii="Arial Narrow" w:hAnsi="Arial Narrow"/>
        </w:rPr>
        <w:t xml:space="preserve"> </w:t>
      </w:r>
    </w:p>
    <w:p w14:paraId="34BC2BBA" w14:textId="77777777" w:rsidR="007968EC" w:rsidRPr="005F10B9" w:rsidRDefault="007968EC" w:rsidP="007968EC">
      <w:pPr>
        <w:jc w:val="both"/>
        <w:rPr>
          <w:rFonts w:ascii="Arial Narrow" w:hAnsi="Arial Narrow" w:cs="Verdana-Bold"/>
          <w:bCs/>
        </w:rPr>
      </w:pPr>
    </w:p>
    <w:tbl>
      <w:tblPr>
        <w:tblW w:w="0" w:type="auto"/>
        <w:tblCellMar>
          <w:left w:w="0" w:type="dxa"/>
          <w:right w:w="0" w:type="dxa"/>
        </w:tblCellMar>
        <w:tblLook w:val="04A0" w:firstRow="1" w:lastRow="0" w:firstColumn="1" w:lastColumn="0" w:noHBand="0" w:noVBand="1"/>
      </w:tblPr>
      <w:tblGrid>
        <w:gridCol w:w="2263"/>
        <w:gridCol w:w="7082"/>
      </w:tblGrid>
      <w:tr w:rsidR="007968EC" w:rsidRPr="005F10B9" w14:paraId="6325BB28" w14:textId="77777777" w:rsidTr="007968EC">
        <w:tc>
          <w:tcPr>
            <w:tcW w:w="2263" w:type="dxa"/>
            <w:tcBorders>
              <w:top w:val="single" w:sz="8" w:space="0" w:color="000000"/>
              <w:left w:val="single" w:sz="8" w:space="0" w:color="000000"/>
              <w:bottom w:val="single" w:sz="8" w:space="0" w:color="000000"/>
              <w:right w:val="single" w:sz="8" w:space="0" w:color="000000"/>
            </w:tcBorders>
            <w:shd w:val="clear" w:color="auto" w:fill="1F4E79"/>
            <w:tcMar>
              <w:top w:w="0" w:type="dxa"/>
              <w:left w:w="108" w:type="dxa"/>
              <w:bottom w:w="0" w:type="dxa"/>
              <w:right w:w="108" w:type="dxa"/>
            </w:tcMar>
            <w:hideMark/>
          </w:tcPr>
          <w:p w14:paraId="31E65676" w14:textId="77777777" w:rsidR="007968EC" w:rsidRPr="008F2FE5" w:rsidRDefault="007968EC" w:rsidP="007968EC">
            <w:pPr>
              <w:jc w:val="center"/>
              <w:rPr>
                <w:rFonts w:ascii="Arial Narrow" w:hAnsi="Arial Narrow"/>
                <w:b/>
                <w:bCs/>
                <w:color w:val="FFFFFF" w:themeColor="background1"/>
              </w:rPr>
            </w:pPr>
            <w:r w:rsidRPr="008F2FE5">
              <w:rPr>
                <w:rFonts w:ascii="Arial Narrow" w:hAnsi="Arial Narrow"/>
                <w:b/>
                <w:bCs/>
                <w:color w:val="FFFFFF" w:themeColor="background1"/>
              </w:rPr>
              <w:t>Referencia</w:t>
            </w:r>
          </w:p>
        </w:tc>
        <w:tc>
          <w:tcPr>
            <w:tcW w:w="7082" w:type="dxa"/>
            <w:tcBorders>
              <w:top w:val="single" w:sz="8" w:space="0" w:color="000000"/>
              <w:left w:val="nil"/>
              <w:bottom w:val="single" w:sz="8" w:space="0" w:color="000000"/>
              <w:right w:val="single" w:sz="8" w:space="0" w:color="000000"/>
            </w:tcBorders>
            <w:shd w:val="clear" w:color="auto" w:fill="1F4E79"/>
            <w:tcMar>
              <w:top w:w="0" w:type="dxa"/>
              <w:left w:w="108" w:type="dxa"/>
              <w:bottom w:w="0" w:type="dxa"/>
              <w:right w:w="108" w:type="dxa"/>
            </w:tcMar>
            <w:hideMark/>
          </w:tcPr>
          <w:p w14:paraId="6C8FC92D" w14:textId="77777777" w:rsidR="007968EC" w:rsidRPr="008F2FE5" w:rsidRDefault="007968EC" w:rsidP="007968EC">
            <w:pPr>
              <w:jc w:val="center"/>
              <w:rPr>
                <w:rFonts w:ascii="Arial Narrow" w:hAnsi="Arial Narrow"/>
                <w:b/>
                <w:bCs/>
                <w:color w:val="FFFFFF" w:themeColor="background1"/>
              </w:rPr>
            </w:pPr>
            <w:r w:rsidRPr="008F2FE5">
              <w:rPr>
                <w:rFonts w:ascii="Arial Narrow" w:hAnsi="Arial Narrow"/>
                <w:b/>
                <w:bCs/>
                <w:color w:val="FFFFFF" w:themeColor="background1"/>
              </w:rPr>
              <w:t>Plazo</w:t>
            </w:r>
          </w:p>
        </w:tc>
      </w:tr>
      <w:tr w:rsidR="007968EC" w:rsidRPr="005F10B9" w14:paraId="0CCA888A" w14:textId="77777777" w:rsidTr="007968EC">
        <w:tc>
          <w:tcPr>
            <w:tcW w:w="226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989D874" w14:textId="77777777" w:rsidR="007968EC" w:rsidRPr="005F10B9" w:rsidRDefault="007968EC" w:rsidP="007968EC">
            <w:pPr>
              <w:jc w:val="both"/>
              <w:rPr>
                <w:rFonts w:ascii="Arial Narrow" w:hAnsi="Arial Narrow"/>
              </w:rPr>
            </w:pPr>
            <w:r>
              <w:rPr>
                <w:rFonts w:ascii="Arial Narrow" w:hAnsi="Arial Narrow"/>
              </w:rPr>
              <w:t>IBRLIBOR</w:t>
            </w:r>
          </w:p>
        </w:tc>
        <w:tc>
          <w:tcPr>
            <w:tcW w:w="7082" w:type="dxa"/>
            <w:tcBorders>
              <w:top w:val="nil"/>
              <w:left w:val="nil"/>
              <w:bottom w:val="single" w:sz="8" w:space="0" w:color="000000"/>
              <w:right w:val="single" w:sz="8" w:space="0" w:color="000000"/>
            </w:tcBorders>
            <w:tcMar>
              <w:top w:w="0" w:type="dxa"/>
              <w:left w:w="108" w:type="dxa"/>
              <w:bottom w:w="0" w:type="dxa"/>
              <w:right w:w="108" w:type="dxa"/>
            </w:tcMar>
            <w:hideMark/>
          </w:tcPr>
          <w:p w14:paraId="7841BBB2" w14:textId="77777777" w:rsidR="007968EC" w:rsidRPr="005F10B9" w:rsidRDefault="007968EC" w:rsidP="007968EC">
            <w:pPr>
              <w:autoSpaceDE w:val="0"/>
              <w:autoSpaceDN w:val="0"/>
              <w:rPr>
                <w:rFonts w:ascii="Arial Narrow" w:hAnsi="Arial Narrow"/>
              </w:rPr>
            </w:pPr>
            <w:r w:rsidRPr="005F10B9">
              <w:rPr>
                <w:rFonts w:ascii="Arial Narrow" w:hAnsi="Arial Narrow"/>
              </w:rPr>
              <w:t>1, 2 días, 1, 2, 3 semanas, 1, 2, 3, 4, 5, 6, 7, 8, 9, 10, 11, 12, 15, 18, 21 meses, 2, 3, 4, 5, 6, 7, 8, 9, 10, 11, 12 y 15 años.</w:t>
            </w:r>
          </w:p>
        </w:tc>
      </w:tr>
    </w:tbl>
    <w:p w14:paraId="50E4C6C3" w14:textId="77777777" w:rsidR="007968EC" w:rsidRDefault="007968EC" w:rsidP="007968EC">
      <w:pPr>
        <w:jc w:val="both"/>
        <w:rPr>
          <w:rFonts w:ascii="Arial Narrow" w:hAnsi="Arial Narrow" w:cs="Arial"/>
          <w:lang w:val="es-ES" w:eastAsia="es-ES"/>
        </w:rPr>
      </w:pPr>
    </w:p>
    <w:p w14:paraId="73A9FC41" w14:textId="77777777" w:rsidR="007968EC" w:rsidRDefault="007968EC" w:rsidP="007968EC">
      <w:pPr>
        <w:jc w:val="both"/>
        <w:rPr>
          <w:rFonts w:ascii="Arial Narrow" w:hAnsi="Arial Narrow"/>
        </w:rPr>
      </w:pPr>
      <w:r w:rsidRPr="005F10B9">
        <w:rPr>
          <w:rFonts w:ascii="Arial Narrow" w:hAnsi="Arial Narrow"/>
        </w:rPr>
        <w:t xml:space="preserve">Para los plazos intermedios </w:t>
      </w:r>
      <w:r>
        <w:rPr>
          <w:rFonts w:ascii="Arial Narrow" w:hAnsi="Arial Narrow"/>
        </w:rPr>
        <w:t xml:space="preserve">en cada una de las curvas señaladas anteriormente, </w:t>
      </w:r>
      <w:r w:rsidRPr="005F10B9">
        <w:rPr>
          <w:rFonts w:ascii="Arial Narrow" w:hAnsi="Arial Narrow"/>
        </w:rPr>
        <w:t>se realiza un proceso de interpolación lineal simple entre los</w:t>
      </w:r>
      <w:r>
        <w:rPr>
          <w:rFonts w:ascii="Arial Narrow" w:hAnsi="Arial Narrow"/>
        </w:rPr>
        <w:t xml:space="preserve"> plazos</w:t>
      </w:r>
      <w:r w:rsidRPr="005F10B9">
        <w:rPr>
          <w:rFonts w:ascii="Arial Narrow" w:hAnsi="Arial Narrow"/>
        </w:rPr>
        <w:t xml:space="preserve"> más cercanos. </w:t>
      </w:r>
    </w:p>
    <w:p w14:paraId="5B3F4C83" w14:textId="77777777" w:rsidR="007968EC" w:rsidRPr="005F10B9" w:rsidRDefault="007968EC" w:rsidP="007968EC">
      <w:pPr>
        <w:jc w:val="both"/>
        <w:rPr>
          <w:rFonts w:ascii="Arial Narrow" w:hAnsi="Arial Narrow" w:cs="Verdana-Bold"/>
          <w:bCs/>
        </w:rPr>
      </w:pPr>
    </w:p>
    <w:p w14:paraId="26672405" w14:textId="77777777" w:rsidR="007968EC" w:rsidRPr="005F10B9" w:rsidRDefault="007968EC" w:rsidP="007968EC">
      <w:pPr>
        <w:jc w:val="both"/>
        <w:rPr>
          <w:rFonts w:ascii="Arial Narrow" w:hAnsi="Arial Narrow" w:cs="Arial"/>
          <w:lang w:val="es-ES" w:eastAsia="es-ES"/>
        </w:rPr>
      </w:pPr>
      <w:r w:rsidRPr="005F10B9">
        <w:rPr>
          <w:rFonts w:ascii="Arial Narrow" w:hAnsi="Arial Narrow" w:cs="Arial"/>
          <w:lang w:val="es-ES" w:eastAsia="es-ES"/>
        </w:rPr>
        <w:t xml:space="preserve">El factor de descuento que se usará para descontar cada uno de los flujos en las Operaciones Swaps Aceptadas, es: </w:t>
      </w:r>
    </w:p>
    <w:p w14:paraId="5DDD92E8" w14:textId="77777777" w:rsidR="007968EC" w:rsidRPr="005F10B9" w:rsidRDefault="007968EC" w:rsidP="007968EC">
      <w:pPr>
        <w:jc w:val="both"/>
        <w:rPr>
          <w:rFonts w:ascii="Arial Narrow" w:hAnsi="Arial Narrow"/>
          <w:lang w:val="es-ES"/>
        </w:rPr>
      </w:pPr>
    </w:p>
    <w:p w14:paraId="1859A5E0" w14:textId="77777777" w:rsidR="007968EC" w:rsidRPr="005F10B9" w:rsidRDefault="007968EC" w:rsidP="007968EC">
      <w:pPr>
        <w:jc w:val="center"/>
        <w:rPr>
          <w:rFonts w:ascii="Arial Narrow" w:hAnsi="Arial Narrow"/>
        </w:rPr>
      </w:pPr>
      <m:oMathPara>
        <m:oMath>
          <m:r>
            <m:rPr>
              <m:sty m:val="bi"/>
            </m:rPr>
            <w:rPr>
              <w:rFonts w:ascii="Cambria Math" w:hAnsi="Cambria Math"/>
            </w:rPr>
            <m:t>FD=</m:t>
          </m:r>
          <m:sSup>
            <m:sSupPr>
              <m:ctrlPr>
                <w:rPr>
                  <w:rFonts w:ascii="Cambria Math" w:hAnsi="Cambria Math"/>
                  <w:i/>
                </w:rPr>
              </m:ctrlPr>
            </m:sSupPr>
            <m:e>
              <m:r>
                <m:rPr>
                  <m:sty m:val="bi"/>
                </m:rPr>
                <w:rPr>
                  <w:rFonts w:ascii="Cambria Math" w:hAnsi="Cambria Math"/>
                </w:rPr>
                <m:t>e</m:t>
              </m:r>
            </m:e>
            <m:sup>
              <m:r>
                <m:rPr>
                  <m:sty m:val="bi"/>
                </m:rPr>
                <w:rPr>
                  <w:rFonts w:ascii="Cambria Math" w:hAnsi="Cambria Math"/>
                </w:rPr>
                <m:t>-</m:t>
              </m:r>
              <m:d>
                <m:dPr>
                  <m:ctrlPr>
                    <w:rPr>
                      <w:rFonts w:ascii="Cambria Math" w:hAnsi="Cambria Math"/>
                      <w:i/>
                    </w:rPr>
                  </m:ctrlPr>
                </m:dPr>
                <m:e>
                  <m:r>
                    <m:rPr>
                      <m:sty m:val="bi"/>
                    </m:rPr>
                    <w:rPr>
                      <w:rFonts w:ascii="Cambria Math" w:hAnsi="Cambria Math"/>
                    </w:rPr>
                    <m:t>i*</m:t>
                  </m:r>
                  <m:f>
                    <m:fPr>
                      <m:ctrlPr>
                        <w:rPr>
                          <w:rFonts w:ascii="Cambria Math" w:hAnsi="Cambria Math"/>
                          <w:i/>
                        </w:rPr>
                      </m:ctrlPr>
                    </m:fPr>
                    <m:num>
                      <m:r>
                        <m:rPr>
                          <m:sty m:val="bi"/>
                        </m:rPr>
                        <w:rPr>
                          <w:rFonts w:ascii="Cambria Math" w:hAnsi="Cambria Math"/>
                        </w:rPr>
                        <m:t>k</m:t>
                      </m:r>
                    </m:num>
                    <m:den>
                      <m:r>
                        <m:rPr>
                          <m:sty m:val="bi"/>
                        </m:rPr>
                        <w:rPr>
                          <w:rFonts w:ascii="Cambria Math" w:hAnsi="Cambria Math"/>
                        </w:rPr>
                        <m:t>365</m:t>
                      </m:r>
                    </m:den>
                  </m:f>
                </m:e>
              </m:d>
            </m:sup>
          </m:sSup>
        </m:oMath>
      </m:oMathPara>
    </w:p>
    <w:p w14:paraId="423D42D0" w14:textId="77777777" w:rsidR="007968EC" w:rsidRPr="005F10B9" w:rsidRDefault="007968EC" w:rsidP="007968EC">
      <w:pPr>
        <w:jc w:val="both"/>
        <w:rPr>
          <w:rFonts w:ascii="Arial Narrow" w:hAnsi="Arial Narrow"/>
        </w:rPr>
      </w:pPr>
      <w:r w:rsidRPr="005F10B9">
        <w:rPr>
          <w:rFonts w:ascii="Arial Narrow" w:hAnsi="Arial Narrow"/>
        </w:rPr>
        <w:lastRenderedPageBreak/>
        <w:t>Donde:</w:t>
      </w:r>
    </w:p>
    <w:p w14:paraId="4339077E" w14:textId="77777777" w:rsidR="007968EC" w:rsidRPr="005F10B9" w:rsidRDefault="007968EC" w:rsidP="007968EC">
      <w:pPr>
        <w:jc w:val="both"/>
        <w:rPr>
          <w:rFonts w:ascii="Arial Narrow" w:hAnsi="Arial Narrow"/>
        </w:rPr>
      </w:pPr>
    </w:p>
    <w:p w14:paraId="7DE1561F" w14:textId="77777777" w:rsidR="007968EC" w:rsidRPr="005F10B9" w:rsidRDefault="007968EC" w:rsidP="007968EC">
      <w:pPr>
        <w:jc w:val="both"/>
        <w:rPr>
          <w:rFonts w:ascii="Arial Narrow" w:hAnsi="Arial Narrow"/>
        </w:rPr>
      </w:pPr>
      <m:oMath>
        <m:r>
          <m:rPr>
            <m:sty m:val="bi"/>
          </m:rPr>
          <w:rPr>
            <w:rFonts w:ascii="Cambria Math" w:hAnsi="Cambria Math"/>
          </w:rPr>
          <m:t>FD</m:t>
        </m:r>
      </m:oMath>
      <w:r w:rsidRPr="005F10B9">
        <w:rPr>
          <w:rFonts w:ascii="Arial Narrow" w:hAnsi="Arial Narrow"/>
        </w:rPr>
        <w:t xml:space="preserve">: Factor de descuento para la fecha </w:t>
      </w:r>
      <m:oMath>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i</m:t>
            </m:r>
          </m:sub>
        </m:sSub>
      </m:oMath>
      <w:r w:rsidRPr="005F10B9">
        <w:rPr>
          <w:rFonts w:ascii="Arial Narrow" w:eastAsiaTheme="minorEastAsia" w:hAnsi="Arial Narrow"/>
        </w:rPr>
        <w:t>.</w:t>
      </w:r>
      <w:r w:rsidRPr="005F10B9">
        <w:rPr>
          <w:rFonts w:ascii="Arial Narrow" w:hAnsi="Arial Narrow"/>
        </w:rPr>
        <w:t xml:space="preserve"> </w:t>
      </w:r>
    </w:p>
    <w:p w14:paraId="48B1CBF0" w14:textId="77777777" w:rsidR="007968EC" w:rsidRPr="005F10B9" w:rsidRDefault="007968EC" w:rsidP="007968EC">
      <w:pPr>
        <w:jc w:val="both"/>
        <w:rPr>
          <w:rFonts w:ascii="Arial Narrow" w:hAnsi="Arial Narrow"/>
        </w:rPr>
      </w:pPr>
      <m:oMath>
        <m:r>
          <m:rPr>
            <m:sty m:val="bi"/>
          </m:rPr>
          <w:rPr>
            <w:rFonts w:ascii="Cambria Math" w:hAnsi="Cambria Math"/>
          </w:rPr>
          <m:t>i</m:t>
        </m:r>
      </m:oMath>
      <w:r w:rsidRPr="005F10B9">
        <w:rPr>
          <w:rFonts w:ascii="Arial Narrow" w:hAnsi="Arial Narrow"/>
        </w:rPr>
        <w:t>: Tasa de Interés Efectiva anual de descuento.</w:t>
      </w:r>
    </w:p>
    <w:p w14:paraId="67E98695" w14:textId="77777777" w:rsidR="007968EC" w:rsidRPr="005F10B9" w:rsidRDefault="007968EC" w:rsidP="007968EC">
      <w:pPr>
        <w:jc w:val="both"/>
        <w:rPr>
          <w:rFonts w:ascii="Arial Narrow" w:hAnsi="Arial Narrow"/>
        </w:rPr>
      </w:pPr>
      <m:oMath>
        <m:r>
          <m:rPr>
            <m:sty m:val="bi"/>
          </m:rPr>
          <w:rPr>
            <w:rFonts w:ascii="Cambria Math" w:hAnsi="Cambria Math"/>
          </w:rPr>
          <m:t>k</m:t>
        </m:r>
      </m:oMath>
      <w:r w:rsidRPr="005F10B9">
        <w:rPr>
          <w:rFonts w:ascii="Arial Narrow" w:hAnsi="Arial Narrow"/>
        </w:rPr>
        <w:t>: Días entre la Fecha de Valoración y la Fecha de Vencimiento.</w:t>
      </w:r>
    </w:p>
    <w:p w14:paraId="04DCFE84" w14:textId="77777777" w:rsidR="007968EC" w:rsidRPr="005F10B9" w:rsidRDefault="007968EC" w:rsidP="007968EC">
      <w:pPr>
        <w:jc w:val="both"/>
        <w:rPr>
          <w:rFonts w:ascii="Arial Narrow" w:hAnsi="Arial Narrow"/>
        </w:rPr>
      </w:pPr>
    </w:p>
    <w:p w14:paraId="2D1CAF26" w14:textId="77777777" w:rsidR="007968EC" w:rsidRPr="005F10B9" w:rsidRDefault="007968EC" w:rsidP="007968EC">
      <w:pPr>
        <w:jc w:val="both"/>
        <w:rPr>
          <w:rFonts w:ascii="Arial Narrow" w:hAnsi="Arial Narrow"/>
          <w:lang w:val="es-ES"/>
        </w:rPr>
      </w:pPr>
      <w:r w:rsidRPr="005F10B9">
        <w:rPr>
          <w:rFonts w:ascii="Arial Narrow" w:hAnsi="Arial Narrow"/>
          <w:lang w:val="es-ES"/>
        </w:rPr>
        <w:t>Las Tasas empleadas en todos los cálculos son Tasas Continuas y de esta forma se emplean en los cálculos. Sin embargo, se deja de forma explícita la equivalencia entre Tasas Simples y Continuas:</w:t>
      </w:r>
    </w:p>
    <w:p w14:paraId="40780A30" w14:textId="77777777" w:rsidR="007968EC" w:rsidRPr="005F10B9" w:rsidRDefault="007968EC" w:rsidP="007968EC">
      <w:pPr>
        <w:jc w:val="both"/>
        <w:rPr>
          <w:rFonts w:ascii="Arial Narrow" w:hAnsi="Arial Narrow"/>
          <w:lang w:val="es-ES"/>
        </w:rPr>
      </w:pPr>
    </w:p>
    <w:p w14:paraId="582BB4EB" w14:textId="77777777" w:rsidR="007968EC" w:rsidRPr="005F10B9" w:rsidRDefault="00682D97" w:rsidP="007968EC">
      <w:pPr>
        <w:jc w:val="center"/>
        <w:rPr>
          <w:rFonts w:ascii="Arial Narrow" w:hAnsi="Arial Narrow" w:cs="Arial"/>
          <w:b/>
          <w:lang w:val="es-ES" w:eastAsia="es-ES"/>
        </w:rPr>
      </w:pPr>
      <m:oMathPara>
        <m:oMath>
          <m:sSub>
            <m:sSubPr>
              <m:ctrlPr>
                <w:rPr>
                  <w:rFonts w:ascii="Cambria Math" w:hAnsi="Cambria Math" w:cs="Arial"/>
                  <w:b/>
                  <w:i/>
                  <w:lang w:val="es-ES" w:eastAsia="es-ES"/>
                </w:rPr>
              </m:ctrlPr>
            </m:sSubPr>
            <m:e>
              <m:r>
                <m:rPr>
                  <m:sty m:val="bi"/>
                </m:rPr>
                <w:rPr>
                  <w:rFonts w:ascii="Cambria Math" w:hAnsi="Cambria Math" w:cs="Arial"/>
                  <w:lang w:val="es-ES" w:eastAsia="es-ES"/>
                </w:rPr>
                <m:t xml:space="preserve">Tasa </m:t>
              </m:r>
            </m:e>
            <m:sub>
              <m:r>
                <m:rPr>
                  <m:sty m:val="bi"/>
                </m:rPr>
                <w:rPr>
                  <w:rFonts w:ascii="Cambria Math" w:hAnsi="Cambria Math" w:cs="Arial"/>
                  <w:lang w:val="es-ES" w:eastAsia="es-ES"/>
                </w:rPr>
                <m:t>Continua</m:t>
              </m:r>
            </m:sub>
          </m:sSub>
          <m:r>
            <m:rPr>
              <m:sty m:val="bi"/>
            </m:rPr>
            <w:rPr>
              <w:rFonts w:ascii="Cambria Math" w:hAnsi="Cambria Math" w:cs="Arial"/>
              <w:lang w:val="es-ES" w:eastAsia="es-ES"/>
            </w:rPr>
            <m:t>=</m:t>
          </m:r>
          <m:f>
            <m:fPr>
              <m:ctrlPr>
                <w:rPr>
                  <w:rFonts w:ascii="Cambria Math" w:hAnsi="Cambria Math" w:cs="Arial"/>
                  <w:b/>
                  <w:i/>
                  <w:lang w:val="es-ES" w:eastAsia="es-ES"/>
                </w:rPr>
              </m:ctrlPr>
            </m:fPr>
            <m:num>
              <m:r>
                <m:rPr>
                  <m:sty m:val="b"/>
                </m:rPr>
                <w:rPr>
                  <w:rFonts w:ascii="Cambria Math" w:hAnsi="Cambria Math" w:cs="Arial"/>
                  <w:lang w:val="es-ES" w:eastAsia="es-ES"/>
                </w:rPr>
                <m:t>ln⁡</m:t>
              </m:r>
              <m:r>
                <m:rPr>
                  <m:sty m:val="bi"/>
                </m:rPr>
                <w:rPr>
                  <w:rFonts w:ascii="Cambria Math" w:hAnsi="Cambria Math" w:cs="Arial"/>
                  <w:lang w:val="es-ES" w:eastAsia="es-ES"/>
                </w:rPr>
                <m:t>(1+</m:t>
              </m:r>
              <m:sSub>
                <m:sSubPr>
                  <m:ctrlPr>
                    <w:rPr>
                      <w:rFonts w:ascii="Cambria Math" w:hAnsi="Cambria Math" w:cs="Arial"/>
                      <w:b/>
                      <w:i/>
                      <w:lang w:val="es-ES" w:eastAsia="es-ES"/>
                    </w:rPr>
                  </m:ctrlPr>
                </m:sSubPr>
                <m:e>
                  <m:r>
                    <m:rPr>
                      <m:sty m:val="bi"/>
                    </m:rPr>
                    <w:rPr>
                      <w:rFonts w:ascii="Cambria Math" w:hAnsi="Cambria Math" w:cs="Arial"/>
                      <w:lang w:val="es-ES" w:eastAsia="es-ES"/>
                    </w:rPr>
                    <m:t>Tasa</m:t>
                  </m:r>
                </m:e>
                <m:sub>
                  <m:r>
                    <m:rPr>
                      <m:sty m:val="bi"/>
                    </m:rPr>
                    <w:rPr>
                      <w:rFonts w:ascii="Cambria Math" w:hAnsi="Cambria Math" w:cs="Arial"/>
                      <w:lang w:val="es-ES" w:eastAsia="es-ES"/>
                    </w:rPr>
                    <m:t>Nominal</m:t>
                  </m:r>
                </m:sub>
              </m:sSub>
              <m:r>
                <m:rPr>
                  <m:sty m:val="bi"/>
                </m:rPr>
                <w:rPr>
                  <w:rFonts w:ascii="Cambria Math" w:hAnsi="Cambria Math" w:cs="Arial"/>
                  <w:lang w:val="es-ES" w:eastAsia="es-ES"/>
                </w:rPr>
                <m:t>*</m:t>
              </m:r>
              <m:f>
                <m:fPr>
                  <m:ctrlPr>
                    <w:rPr>
                      <w:rFonts w:ascii="Cambria Math" w:hAnsi="Cambria Math" w:cs="Arial"/>
                      <w:b/>
                      <w:i/>
                      <w:lang w:val="es-ES" w:eastAsia="es-ES"/>
                    </w:rPr>
                  </m:ctrlPr>
                </m:fPr>
                <m:num>
                  <m:r>
                    <m:rPr>
                      <m:sty m:val="bi"/>
                    </m:rPr>
                    <w:rPr>
                      <w:rFonts w:ascii="Cambria Math" w:hAnsi="Cambria Math" w:cs="Arial"/>
                      <w:lang w:val="es-ES" w:eastAsia="es-ES"/>
                    </w:rPr>
                    <m:t>t</m:t>
                  </m:r>
                </m:num>
                <m:den>
                  <m:r>
                    <m:rPr>
                      <m:sty m:val="bi"/>
                    </m:rPr>
                    <w:rPr>
                      <w:rFonts w:ascii="Cambria Math" w:hAnsi="Cambria Math" w:cs="Arial"/>
                      <w:lang w:val="es-ES" w:eastAsia="es-ES"/>
                    </w:rPr>
                    <m:t>360</m:t>
                  </m:r>
                </m:den>
              </m:f>
              <m:r>
                <m:rPr>
                  <m:sty m:val="bi"/>
                </m:rPr>
                <w:rPr>
                  <w:rFonts w:ascii="Cambria Math" w:hAnsi="Cambria Math" w:cs="Arial"/>
                  <w:lang w:val="es-ES" w:eastAsia="es-ES"/>
                </w:rPr>
                <m:t>)</m:t>
              </m:r>
            </m:num>
            <m:den>
              <m:f>
                <m:fPr>
                  <m:ctrlPr>
                    <w:rPr>
                      <w:rFonts w:ascii="Cambria Math" w:hAnsi="Cambria Math" w:cs="Arial"/>
                      <w:b/>
                      <w:i/>
                      <w:lang w:val="es-ES" w:eastAsia="es-ES"/>
                    </w:rPr>
                  </m:ctrlPr>
                </m:fPr>
                <m:num>
                  <m:r>
                    <m:rPr>
                      <m:sty m:val="bi"/>
                    </m:rPr>
                    <w:rPr>
                      <w:rFonts w:ascii="Cambria Math" w:hAnsi="Cambria Math" w:cs="Arial"/>
                      <w:lang w:val="es-ES" w:eastAsia="es-ES"/>
                    </w:rPr>
                    <m:t>t</m:t>
                  </m:r>
                </m:num>
                <m:den>
                  <m:r>
                    <m:rPr>
                      <m:sty m:val="bi"/>
                    </m:rPr>
                    <w:rPr>
                      <w:rFonts w:ascii="Cambria Math" w:hAnsi="Cambria Math" w:cs="Arial"/>
                      <w:lang w:val="es-ES" w:eastAsia="es-ES"/>
                    </w:rPr>
                    <m:t>365</m:t>
                  </m:r>
                </m:den>
              </m:f>
            </m:den>
          </m:f>
        </m:oMath>
      </m:oMathPara>
    </w:p>
    <w:p w14:paraId="1FC88147" w14:textId="77777777" w:rsidR="007968EC" w:rsidRPr="005F10B9" w:rsidRDefault="007968EC" w:rsidP="007968EC">
      <w:pPr>
        <w:jc w:val="center"/>
        <w:rPr>
          <w:rFonts w:ascii="Arial Narrow" w:hAnsi="Arial Narrow" w:cs="Arial"/>
          <w:b/>
          <w:lang w:val="es-ES" w:eastAsia="es-ES"/>
        </w:rPr>
      </w:pPr>
    </w:p>
    <w:p w14:paraId="6A143577" w14:textId="77777777" w:rsidR="007968EC" w:rsidRPr="005F10B9" w:rsidRDefault="00682D97" w:rsidP="007968EC">
      <w:pPr>
        <w:jc w:val="center"/>
        <w:rPr>
          <w:rFonts w:ascii="Arial Narrow" w:hAnsi="Arial Narrow" w:cs="Arial"/>
          <w:b/>
          <w:lang w:val="es-ES" w:eastAsia="es-ES"/>
        </w:rPr>
      </w:pPr>
      <m:oMathPara>
        <m:oMath>
          <m:sSub>
            <m:sSubPr>
              <m:ctrlPr>
                <w:rPr>
                  <w:rFonts w:ascii="Cambria Math" w:hAnsi="Cambria Math" w:cs="Arial"/>
                  <w:b/>
                  <w:i/>
                  <w:lang w:val="es-ES" w:eastAsia="es-ES"/>
                </w:rPr>
              </m:ctrlPr>
            </m:sSubPr>
            <m:e>
              <m:r>
                <m:rPr>
                  <m:sty m:val="bi"/>
                </m:rPr>
                <w:rPr>
                  <w:rFonts w:ascii="Cambria Math" w:hAnsi="Cambria Math" w:cs="Arial"/>
                  <w:lang w:val="es-ES" w:eastAsia="es-ES"/>
                </w:rPr>
                <m:t xml:space="preserve">Tasa </m:t>
              </m:r>
            </m:e>
            <m:sub>
              <m:r>
                <m:rPr>
                  <m:sty m:val="bi"/>
                </m:rPr>
                <w:rPr>
                  <w:rFonts w:ascii="Cambria Math" w:hAnsi="Cambria Math" w:cs="Arial"/>
                  <w:lang w:val="es-ES" w:eastAsia="es-ES"/>
                </w:rPr>
                <m:t>Nominal</m:t>
              </m:r>
            </m:sub>
          </m:sSub>
          <m:r>
            <m:rPr>
              <m:sty m:val="bi"/>
            </m:rPr>
            <w:rPr>
              <w:rFonts w:ascii="Cambria Math" w:hAnsi="Cambria Math" w:cs="Arial"/>
              <w:lang w:val="es-ES" w:eastAsia="es-ES"/>
            </w:rPr>
            <m:t>=</m:t>
          </m:r>
          <m:d>
            <m:dPr>
              <m:begChr m:val="["/>
              <m:endChr m:val="]"/>
              <m:ctrlPr>
                <w:rPr>
                  <w:rFonts w:ascii="Cambria Math" w:hAnsi="Cambria Math" w:cs="Arial"/>
                  <w:b/>
                  <w:i/>
                  <w:lang w:val="es-ES" w:eastAsia="es-ES"/>
                </w:rPr>
              </m:ctrlPr>
            </m:dPr>
            <m:e>
              <m:sSup>
                <m:sSupPr>
                  <m:ctrlPr>
                    <w:rPr>
                      <w:rFonts w:ascii="Cambria Math" w:hAnsi="Cambria Math" w:cs="Arial"/>
                      <w:b/>
                      <w:i/>
                      <w:lang w:val="es-ES" w:eastAsia="es-ES"/>
                    </w:rPr>
                  </m:ctrlPr>
                </m:sSupPr>
                <m:e>
                  <m:r>
                    <m:rPr>
                      <m:sty m:val="bi"/>
                    </m:rPr>
                    <w:rPr>
                      <w:rFonts w:ascii="Cambria Math" w:hAnsi="Cambria Math" w:cs="Arial"/>
                      <w:lang w:val="es-ES" w:eastAsia="es-ES"/>
                    </w:rPr>
                    <m:t>e</m:t>
                  </m:r>
                </m:e>
                <m:sup>
                  <m:d>
                    <m:dPr>
                      <m:ctrlPr>
                        <w:rPr>
                          <w:rFonts w:ascii="Cambria Math" w:hAnsi="Cambria Math" w:cs="Arial"/>
                          <w:b/>
                          <w:i/>
                          <w:lang w:val="es-ES" w:eastAsia="es-ES"/>
                        </w:rPr>
                      </m:ctrlPr>
                    </m:dPr>
                    <m:e>
                      <m:sSub>
                        <m:sSubPr>
                          <m:ctrlPr>
                            <w:rPr>
                              <w:rFonts w:ascii="Cambria Math" w:hAnsi="Cambria Math" w:cs="Arial"/>
                              <w:b/>
                              <w:i/>
                              <w:lang w:val="es-ES" w:eastAsia="es-ES"/>
                            </w:rPr>
                          </m:ctrlPr>
                        </m:sSubPr>
                        <m:e>
                          <m:r>
                            <m:rPr>
                              <m:sty m:val="bi"/>
                            </m:rPr>
                            <w:rPr>
                              <w:rFonts w:ascii="Cambria Math" w:hAnsi="Cambria Math" w:cs="Arial"/>
                              <w:lang w:val="es-ES" w:eastAsia="es-ES"/>
                            </w:rPr>
                            <m:t>Tasa</m:t>
                          </m:r>
                        </m:e>
                        <m:sub>
                          <m:r>
                            <m:rPr>
                              <m:sty m:val="bi"/>
                            </m:rPr>
                            <w:rPr>
                              <w:rFonts w:ascii="Cambria Math" w:hAnsi="Cambria Math" w:cs="Arial"/>
                              <w:lang w:val="es-ES" w:eastAsia="es-ES"/>
                            </w:rPr>
                            <m:t>Continua</m:t>
                          </m:r>
                        </m:sub>
                      </m:sSub>
                      <m:r>
                        <m:rPr>
                          <m:sty m:val="bi"/>
                        </m:rPr>
                        <w:rPr>
                          <w:rFonts w:ascii="Cambria Math" w:hAnsi="Cambria Math" w:cs="Arial"/>
                          <w:lang w:val="es-ES" w:eastAsia="es-ES"/>
                        </w:rPr>
                        <m:t>*</m:t>
                      </m:r>
                      <m:f>
                        <m:fPr>
                          <m:ctrlPr>
                            <w:rPr>
                              <w:rFonts w:ascii="Cambria Math" w:hAnsi="Cambria Math" w:cs="Arial"/>
                              <w:b/>
                              <w:i/>
                              <w:lang w:val="es-ES" w:eastAsia="es-ES"/>
                            </w:rPr>
                          </m:ctrlPr>
                        </m:fPr>
                        <m:num>
                          <m:r>
                            <m:rPr>
                              <m:sty m:val="bi"/>
                            </m:rPr>
                            <w:rPr>
                              <w:rFonts w:ascii="Cambria Math" w:hAnsi="Cambria Math" w:cs="Arial"/>
                              <w:lang w:val="es-ES" w:eastAsia="es-ES"/>
                            </w:rPr>
                            <m:t>t</m:t>
                          </m:r>
                        </m:num>
                        <m:den>
                          <m:r>
                            <m:rPr>
                              <m:sty m:val="bi"/>
                            </m:rPr>
                            <w:rPr>
                              <w:rFonts w:ascii="Cambria Math" w:hAnsi="Cambria Math" w:cs="Arial"/>
                              <w:lang w:val="es-ES" w:eastAsia="es-ES"/>
                            </w:rPr>
                            <m:t>365</m:t>
                          </m:r>
                        </m:den>
                      </m:f>
                    </m:e>
                  </m:d>
                </m:sup>
              </m:sSup>
              <m:r>
                <m:rPr>
                  <m:sty m:val="bi"/>
                </m:rPr>
                <w:rPr>
                  <w:rFonts w:ascii="Cambria Math" w:hAnsi="Cambria Math" w:cs="Arial"/>
                  <w:lang w:val="es-ES" w:eastAsia="es-ES"/>
                </w:rPr>
                <m:t>-1</m:t>
              </m:r>
            </m:e>
          </m:d>
          <m:r>
            <m:rPr>
              <m:sty m:val="bi"/>
            </m:rPr>
            <w:rPr>
              <w:rFonts w:ascii="Cambria Math" w:hAnsi="Cambria Math" w:cs="Arial"/>
              <w:lang w:val="es-ES" w:eastAsia="es-ES"/>
            </w:rPr>
            <m:t>*</m:t>
          </m:r>
          <m:f>
            <m:fPr>
              <m:ctrlPr>
                <w:rPr>
                  <w:rFonts w:ascii="Cambria Math" w:hAnsi="Cambria Math" w:cs="Arial"/>
                  <w:b/>
                  <w:i/>
                  <w:lang w:val="es-ES" w:eastAsia="es-ES"/>
                </w:rPr>
              </m:ctrlPr>
            </m:fPr>
            <m:num>
              <m:r>
                <m:rPr>
                  <m:sty m:val="bi"/>
                </m:rPr>
                <w:rPr>
                  <w:rFonts w:ascii="Cambria Math" w:hAnsi="Cambria Math" w:cs="Arial"/>
                  <w:lang w:val="es-ES" w:eastAsia="es-ES"/>
                </w:rPr>
                <m:t>360</m:t>
              </m:r>
            </m:num>
            <m:den>
              <m:r>
                <m:rPr>
                  <m:sty m:val="bi"/>
                </m:rPr>
                <w:rPr>
                  <w:rFonts w:ascii="Cambria Math" w:hAnsi="Cambria Math" w:cs="Arial"/>
                  <w:lang w:val="es-ES" w:eastAsia="es-ES"/>
                </w:rPr>
                <m:t>t</m:t>
              </m:r>
            </m:den>
          </m:f>
        </m:oMath>
      </m:oMathPara>
    </w:p>
    <w:p w14:paraId="24540AAC" w14:textId="77777777" w:rsidR="007968EC" w:rsidRPr="005F10B9" w:rsidRDefault="007968EC" w:rsidP="007968EC">
      <w:pPr>
        <w:jc w:val="both"/>
        <w:rPr>
          <w:rFonts w:ascii="Arial Narrow" w:hAnsi="Arial Narrow" w:cs="Arial"/>
          <w:b/>
          <w:lang w:val="es-ES" w:eastAsia="es-ES"/>
        </w:rPr>
      </w:pPr>
    </w:p>
    <w:p w14:paraId="472A264D" w14:textId="77777777" w:rsidR="007968EC" w:rsidRPr="005F10B9" w:rsidRDefault="007968EC" w:rsidP="007968EC">
      <w:pPr>
        <w:jc w:val="both"/>
        <w:rPr>
          <w:rFonts w:ascii="Arial Narrow" w:hAnsi="Arial Narrow" w:cs="Arial"/>
          <w:b/>
          <w:lang w:val="es-ES" w:eastAsia="es-ES"/>
        </w:rPr>
      </w:pPr>
    </w:p>
    <w:p w14:paraId="370C2C31" w14:textId="77777777" w:rsidR="007968EC" w:rsidRPr="005F10B9" w:rsidRDefault="007968EC" w:rsidP="007968EC">
      <w:pPr>
        <w:jc w:val="both"/>
        <w:rPr>
          <w:rFonts w:ascii="Arial Narrow" w:hAnsi="Arial Narrow" w:cs="Arial"/>
          <w:lang w:val="es-ES" w:eastAsia="es-ES"/>
        </w:rPr>
      </w:pPr>
      <w:r w:rsidRPr="005F10B9">
        <w:rPr>
          <w:rFonts w:ascii="Arial Narrow" w:hAnsi="Arial Narrow" w:cs="Arial"/>
          <w:lang w:val="es-ES" w:eastAsia="es-ES"/>
        </w:rPr>
        <w:t>La interpolación se debe hacer sobre la Curva de Tasas Cero Cupón.</w:t>
      </w:r>
    </w:p>
    <w:p w14:paraId="690833EE" w14:textId="77777777" w:rsidR="007968EC" w:rsidRPr="005F10B9" w:rsidRDefault="007968EC" w:rsidP="007968EC">
      <w:pPr>
        <w:jc w:val="both"/>
        <w:rPr>
          <w:rFonts w:ascii="Arial Narrow" w:hAnsi="Arial Narrow" w:cs="Arial"/>
          <w:b/>
          <w:lang w:val="es-ES" w:eastAsia="es-ES"/>
        </w:rPr>
      </w:pPr>
    </w:p>
    <w:p w14:paraId="7ABD3362" w14:textId="77777777" w:rsidR="007968EC" w:rsidRPr="005F10B9" w:rsidRDefault="007968EC" w:rsidP="007968EC">
      <w:pPr>
        <w:autoSpaceDE w:val="0"/>
        <w:autoSpaceDN w:val="0"/>
        <w:adjustRightInd w:val="0"/>
        <w:jc w:val="both"/>
        <w:rPr>
          <w:rFonts w:ascii="Arial Narrow" w:hAnsi="Arial Narrow" w:cs="Verdana"/>
        </w:rPr>
      </w:pPr>
      <w:r w:rsidRPr="005F10B9">
        <w:rPr>
          <w:rFonts w:ascii="Arial Narrow" w:hAnsi="Arial Narrow" w:cs="Verdana"/>
        </w:rPr>
        <w:t xml:space="preserve">Para determinar el Valor </w:t>
      </w:r>
      <w:r>
        <w:rPr>
          <w:rFonts w:ascii="Arial Narrow" w:hAnsi="Arial Narrow" w:cs="Verdana"/>
        </w:rPr>
        <w:t xml:space="preserve">Presente </w:t>
      </w:r>
      <w:r w:rsidRPr="005F10B9">
        <w:rPr>
          <w:rFonts w:ascii="Arial Narrow" w:hAnsi="Arial Narrow" w:cs="Verdana"/>
        </w:rPr>
        <w:t>de los Swaps, la Tasa de Descuento utilizada proviene de la</w:t>
      </w:r>
      <w:r>
        <w:rPr>
          <w:rFonts w:ascii="Arial Narrow" w:hAnsi="Arial Narrow" w:cs="Verdana"/>
        </w:rPr>
        <w:t>s</w:t>
      </w:r>
      <w:r w:rsidRPr="005F10B9">
        <w:rPr>
          <w:rFonts w:ascii="Arial Narrow" w:hAnsi="Arial Narrow" w:cs="Verdana"/>
        </w:rPr>
        <w:t xml:space="preserve"> Curva Cero Cupón. Para la proyección se emplean las Tasas Futuras implícitas, las cuales se estiman con base </w:t>
      </w:r>
      <w:r w:rsidRPr="00F23976">
        <w:rPr>
          <w:rFonts w:ascii="Arial Narrow" w:hAnsi="Arial Narrow" w:cs="Verdana"/>
        </w:rPr>
        <w:t>en las curvas de proyección</w:t>
      </w:r>
      <w:r>
        <w:rPr>
          <w:rFonts w:ascii="Arial Narrow" w:hAnsi="Arial Narrow" w:cs="Verdana"/>
        </w:rPr>
        <w:t>.</w:t>
      </w:r>
    </w:p>
    <w:p w14:paraId="47693574" w14:textId="77777777" w:rsidR="007968EC" w:rsidRDefault="007968EC" w:rsidP="007968EC">
      <w:pPr>
        <w:autoSpaceDE w:val="0"/>
        <w:autoSpaceDN w:val="0"/>
        <w:adjustRightInd w:val="0"/>
        <w:jc w:val="both"/>
        <w:rPr>
          <w:rFonts w:ascii="Arial Narrow" w:hAnsi="Arial Narrow" w:cs="Verdana"/>
        </w:rPr>
      </w:pPr>
    </w:p>
    <w:p w14:paraId="2A3490EA" w14:textId="77777777" w:rsidR="007968EC" w:rsidRPr="005F10B9" w:rsidRDefault="007968EC" w:rsidP="007968EC">
      <w:pPr>
        <w:autoSpaceDE w:val="0"/>
        <w:autoSpaceDN w:val="0"/>
        <w:adjustRightInd w:val="0"/>
        <w:jc w:val="both"/>
        <w:rPr>
          <w:rFonts w:ascii="Arial Narrow" w:hAnsi="Arial Narrow" w:cs="Verdana"/>
        </w:rPr>
      </w:pPr>
    </w:p>
    <w:p w14:paraId="3DA81875" w14:textId="77777777" w:rsidR="007968EC" w:rsidRPr="005F10B9" w:rsidRDefault="007968EC" w:rsidP="007968EC">
      <w:pPr>
        <w:autoSpaceDE w:val="0"/>
        <w:autoSpaceDN w:val="0"/>
        <w:adjustRightInd w:val="0"/>
        <w:jc w:val="both"/>
        <w:rPr>
          <w:rFonts w:ascii="Arial Narrow" w:hAnsi="Arial Narrow" w:cs="Verdana"/>
        </w:rPr>
      </w:pPr>
      <w:r w:rsidRPr="005F10B9">
        <w:rPr>
          <w:rFonts w:ascii="Arial Narrow" w:hAnsi="Arial Narrow" w:cs="Verdana"/>
        </w:rPr>
        <w:t>El proceso para la estimación de la Tasa de Proyección es el siguiente:</w:t>
      </w:r>
    </w:p>
    <w:p w14:paraId="74BF03DD" w14:textId="77777777" w:rsidR="007968EC" w:rsidRPr="005F10B9" w:rsidRDefault="007968EC" w:rsidP="007968EC">
      <w:pPr>
        <w:autoSpaceDE w:val="0"/>
        <w:autoSpaceDN w:val="0"/>
        <w:adjustRightInd w:val="0"/>
        <w:jc w:val="both"/>
        <w:rPr>
          <w:rFonts w:ascii="Arial Narrow" w:hAnsi="Arial Narrow" w:cs="Verdana"/>
        </w:rPr>
      </w:pPr>
    </w:p>
    <w:p w14:paraId="5F041A70" w14:textId="77777777" w:rsidR="007968EC" w:rsidRPr="00FC7E85" w:rsidRDefault="007968EC" w:rsidP="00DA7472">
      <w:pPr>
        <w:numPr>
          <w:ilvl w:val="0"/>
          <w:numId w:val="355"/>
        </w:numPr>
        <w:autoSpaceDE w:val="0"/>
        <w:autoSpaceDN w:val="0"/>
        <w:adjustRightInd w:val="0"/>
        <w:contextualSpacing/>
        <w:jc w:val="both"/>
        <w:rPr>
          <w:rFonts w:ascii="Arial Narrow" w:eastAsia="Calibri" w:hAnsi="Arial Narrow" w:cs="Verdana"/>
        </w:rPr>
      </w:pPr>
      <w:r w:rsidRPr="005F10B9">
        <w:rPr>
          <w:rFonts w:ascii="Arial Narrow" w:hAnsi="Arial Narrow" w:cs="Verdana"/>
          <w:lang w:eastAsia="es-CO"/>
        </w:rPr>
        <w:t>A partir de la</w:t>
      </w:r>
      <w:r>
        <w:rPr>
          <w:rFonts w:ascii="Arial Narrow" w:hAnsi="Arial Narrow" w:cs="Verdana"/>
          <w:lang w:eastAsia="es-CO"/>
        </w:rPr>
        <w:t>s</w:t>
      </w:r>
      <w:r w:rsidRPr="005F10B9">
        <w:rPr>
          <w:rFonts w:ascii="Arial Narrow" w:hAnsi="Arial Narrow" w:cs="Verdana"/>
          <w:lang w:eastAsia="es-CO"/>
        </w:rPr>
        <w:t xml:space="preserve"> Curva</w:t>
      </w:r>
      <w:r>
        <w:rPr>
          <w:rFonts w:ascii="Arial Narrow" w:hAnsi="Arial Narrow" w:cs="Verdana"/>
          <w:lang w:eastAsia="es-CO"/>
        </w:rPr>
        <w:t>s</w:t>
      </w:r>
      <w:r w:rsidRPr="005F10B9">
        <w:rPr>
          <w:rFonts w:ascii="Arial Narrow" w:hAnsi="Arial Narrow" w:cs="Verdana"/>
          <w:lang w:eastAsia="es-CO"/>
        </w:rPr>
        <w:t xml:space="preserve"> Cero Cupón</w:t>
      </w:r>
      <w:r>
        <w:rPr>
          <w:rFonts w:ascii="Arial Narrow" w:hAnsi="Arial Narrow" w:cs="Verdana"/>
          <w:lang w:eastAsia="es-CO"/>
        </w:rPr>
        <w:t xml:space="preserve"> de proyección</w:t>
      </w:r>
      <w:r w:rsidRPr="005F10B9">
        <w:rPr>
          <w:rFonts w:ascii="Arial Narrow" w:hAnsi="Arial Narrow" w:cs="Verdana"/>
          <w:lang w:eastAsia="es-CO"/>
        </w:rPr>
        <w:t xml:space="preserve"> se calculan las tasas futuras implícitas o </w:t>
      </w:r>
      <w:proofErr w:type="spellStart"/>
      <w:proofErr w:type="gramStart"/>
      <w:r w:rsidRPr="005F10B9">
        <w:rPr>
          <w:rFonts w:ascii="Arial Narrow" w:hAnsi="Arial Narrow" w:cs="Verdana"/>
          <w:lang w:eastAsia="es-CO"/>
        </w:rPr>
        <w:t>FRA’s</w:t>
      </w:r>
      <w:proofErr w:type="spellEnd"/>
      <w:r w:rsidRPr="005F10B9">
        <w:rPr>
          <w:rFonts w:ascii="Arial Narrow" w:hAnsi="Arial Narrow" w:cs="Verdana"/>
          <w:lang w:eastAsia="es-CO"/>
        </w:rPr>
        <w:t xml:space="preserve">  </w:t>
      </w:r>
      <w:r>
        <w:rPr>
          <w:rFonts w:ascii="Arial Narrow" w:hAnsi="Arial Narrow" w:cs="Verdana"/>
          <w:lang w:eastAsia="es-CO"/>
        </w:rPr>
        <w:t>para</w:t>
      </w:r>
      <w:proofErr w:type="gramEnd"/>
      <w:r>
        <w:rPr>
          <w:rFonts w:ascii="Arial Narrow" w:hAnsi="Arial Narrow" w:cs="Verdana"/>
          <w:lang w:eastAsia="es-CO"/>
        </w:rPr>
        <w:t xml:space="preserve"> cada uno de los periodos de cálculo. </w:t>
      </w:r>
      <w:r w:rsidRPr="00FC7E85">
        <w:rPr>
          <w:rFonts w:ascii="Arial Narrow" w:eastAsia="Calibri" w:hAnsi="Arial Narrow" w:cs="Verdana"/>
        </w:rPr>
        <w:t xml:space="preserve">Las Tasas de Interés Implícitas suponen que en condiciones de equilibrio debe cumplirse que el rendimiento de una inversión a un plazo </w:t>
      </w:r>
      <m:oMath>
        <m:sSub>
          <m:sSubPr>
            <m:ctrlPr>
              <w:rPr>
                <w:rFonts w:ascii="Cambria Math" w:eastAsia="Calibri" w:hAnsi="Cambria Math" w:cs="Verdana"/>
              </w:rPr>
            </m:ctrlPr>
          </m:sSubPr>
          <m:e>
            <m:r>
              <m:rPr>
                <m:sty m:val="bi"/>
              </m:rPr>
              <w:rPr>
                <w:rFonts w:ascii="Cambria Math" w:eastAsia="Calibri" w:hAnsi="Cambria Math" w:cs="Verdana"/>
              </w:rPr>
              <m:t>t</m:t>
            </m:r>
          </m:e>
          <m:sub>
            <m:r>
              <m:rPr>
                <m:sty m:val="bi"/>
              </m:rPr>
              <w:rPr>
                <w:rFonts w:ascii="Cambria Math" w:eastAsia="Calibri" w:hAnsi="Cambria Math" w:cs="Verdana"/>
              </w:rPr>
              <m:t>2</m:t>
            </m:r>
          </m:sub>
        </m:sSub>
      </m:oMath>
      <w:r w:rsidRPr="00FC7E85">
        <w:rPr>
          <w:rFonts w:ascii="Arial Narrow" w:eastAsia="Calibri" w:hAnsi="Arial Narrow" w:cs="Verdana"/>
        </w:rPr>
        <w:t xml:space="preserve"> debe igualar el rendimiento de una inversión a un plazo </w:t>
      </w:r>
      <m:oMath>
        <m:sSub>
          <m:sSubPr>
            <m:ctrlPr>
              <w:rPr>
                <w:rFonts w:ascii="Cambria Math" w:eastAsia="Calibri" w:hAnsi="Cambria Math" w:cs="Verdana"/>
              </w:rPr>
            </m:ctrlPr>
          </m:sSubPr>
          <m:e>
            <m:r>
              <m:rPr>
                <m:sty m:val="bi"/>
              </m:rPr>
              <w:rPr>
                <w:rFonts w:ascii="Cambria Math" w:eastAsia="Calibri" w:hAnsi="Cambria Math" w:cs="Verdana"/>
              </w:rPr>
              <m:t>t</m:t>
            </m:r>
          </m:e>
          <m:sub>
            <m:r>
              <m:rPr>
                <m:sty m:val="bi"/>
              </m:rPr>
              <w:rPr>
                <w:rFonts w:ascii="Cambria Math" w:eastAsia="Calibri" w:hAnsi="Cambria Math" w:cs="Verdana"/>
              </w:rPr>
              <m:t>1</m:t>
            </m:r>
          </m:sub>
        </m:sSub>
      </m:oMath>
      <w:r w:rsidRPr="00FC7E85">
        <w:rPr>
          <w:rFonts w:ascii="Arial Narrow" w:eastAsia="Calibri" w:hAnsi="Arial Narrow" w:cs="Verdana"/>
        </w:rPr>
        <w:t xml:space="preserve"> que se reinvierte desde </w:t>
      </w:r>
      <m:oMath>
        <m:sSub>
          <m:sSubPr>
            <m:ctrlPr>
              <w:rPr>
                <w:rFonts w:ascii="Cambria Math" w:eastAsia="Calibri" w:hAnsi="Cambria Math" w:cs="Verdana"/>
              </w:rPr>
            </m:ctrlPr>
          </m:sSubPr>
          <m:e>
            <m:r>
              <m:rPr>
                <m:sty m:val="bi"/>
              </m:rPr>
              <w:rPr>
                <w:rFonts w:ascii="Cambria Math" w:eastAsia="Calibri" w:hAnsi="Cambria Math" w:cs="Verdana"/>
              </w:rPr>
              <m:t>t</m:t>
            </m:r>
          </m:e>
          <m:sub>
            <m:r>
              <m:rPr>
                <m:sty m:val="bi"/>
              </m:rPr>
              <w:rPr>
                <w:rFonts w:ascii="Cambria Math" w:eastAsia="Calibri" w:hAnsi="Cambria Math" w:cs="Verdana"/>
              </w:rPr>
              <m:t>1</m:t>
            </m:r>
          </m:sub>
        </m:sSub>
      </m:oMath>
      <w:r w:rsidRPr="00FC7E85">
        <w:rPr>
          <w:rFonts w:ascii="Arial Narrow" w:eastAsia="Calibri" w:hAnsi="Arial Narrow" w:cs="Verdana"/>
        </w:rPr>
        <w:t xml:space="preserve"> hasta </w:t>
      </w:r>
      <m:oMath>
        <m:sSub>
          <m:sSubPr>
            <m:ctrlPr>
              <w:rPr>
                <w:rFonts w:ascii="Cambria Math" w:eastAsia="Calibri" w:hAnsi="Cambria Math" w:cs="Verdana"/>
              </w:rPr>
            </m:ctrlPr>
          </m:sSubPr>
          <m:e>
            <m:r>
              <m:rPr>
                <m:sty m:val="bi"/>
              </m:rPr>
              <w:rPr>
                <w:rFonts w:ascii="Cambria Math" w:eastAsia="Calibri" w:hAnsi="Cambria Math" w:cs="Verdana"/>
              </w:rPr>
              <m:t>t</m:t>
            </m:r>
          </m:e>
          <m:sub>
            <m:r>
              <m:rPr>
                <m:sty m:val="bi"/>
              </m:rPr>
              <w:rPr>
                <w:rFonts w:ascii="Cambria Math" w:eastAsia="Calibri" w:hAnsi="Cambria Math" w:cs="Verdana"/>
              </w:rPr>
              <m:t>2</m:t>
            </m:r>
          </m:sub>
        </m:sSub>
      </m:oMath>
      <w:r w:rsidRPr="00FC7E85">
        <w:rPr>
          <w:rFonts w:ascii="Arial Narrow" w:eastAsia="Calibri" w:hAnsi="Arial Narrow" w:cs="Verdana"/>
        </w:rPr>
        <w:t>.</w:t>
      </w:r>
    </w:p>
    <w:p w14:paraId="3B771CEB" w14:textId="77777777" w:rsidR="007968EC" w:rsidRPr="005F10B9" w:rsidRDefault="007968EC" w:rsidP="007968EC">
      <w:pPr>
        <w:autoSpaceDE w:val="0"/>
        <w:autoSpaceDN w:val="0"/>
        <w:adjustRightInd w:val="0"/>
        <w:ind w:left="708"/>
        <w:jc w:val="both"/>
        <w:rPr>
          <w:rFonts w:ascii="Arial Narrow" w:hAnsi="Arial Narrow" w:cs="Verdana"/>
          <w:b/>
          <w:lang w:eastAsia="es-CO"/>
        </w:rPr>
      </w:pPr>
    </w:p>
    <w:p w14:paraId="639D423A" w14:textId="77777777" w:rsidR="007968EC" w:rsidRPr="005F10B9" w:rsidRDefault="007968EC" w:rsidP="007968EC">
      <w:pPr>
        <w:jc w:val="both"/>
        <w:rPr>
          <w:rFonts w:ascii="Arial Narrow" w:eastAsia="Calibri" w:hAnsi="Arial Narrow" w:cs="Verdana"/>
        </w:rPr>
      </w:pPr>
    </w:p>
    <w:p w14:paraId="2302A9A0" w14:textId="77777777" w:rsidR="007968EC" w:rsidRPr="005F10B9" w:rsidRDefault="007968EC" w:rsidP="007968EC">
      <w:pPr>
        <w:autoSpaceDE w:val="0"/>
        <w:autoSpaceDN w:val="0"/>
        <w:adjustRightInd w:val="0"/>
        <w:jc w:val="both"/>
        <w:rPr>
          <w:rFonts w:ascii="Arial Narrow" w:hAnsi="Arial Narrow" w:cs="Verdana"/>
        </w:rPr>
      </w:pPr>
      <w:r w:rsidRPr="005F10B9">
        <w:rPr>
          <w:rFonts w:ascii="Arial Narrow" w:hAnsi="Arial Narrow" w:cs="Verdana"/>
        </w:rPr>
        <w:t xml:space="preserve">Es decir, la Tasa futura existente entre el momento </w:t>
      </w:r>
      <m:oMath>
        <m:sSub>
          <m:sSubPr>
            <m:ctrlPr>
              <w:rPr>
                <w:rFonts w:ascii="Cambria Math" w:eastAsia="Calibri" w:hAnsi="Cambria Math" w:cs="Verdana"/>
              </w:rPr>
            </m:ctrlPr>
          </m:sSubPr>
          <m:e>
            <m:r>
              <m:rPr>
                <m:sty m:val="bi"/>
              </m:rPr>
              <w:rPr>
                <w:rFonts w:ascii="Cambria Math" w:eastAsia="Calibri" w:hAnsi="Cambria Math" w:cs="Verdana"/>
              </w:rPr>
              <m:t>t</m:t>
            </m:r>
          </m:e>
          <m:sub>
            <m:r>
              <m:rPr>
                <m:sty m:val="b"/>
              </m:rPr>
              <w:rPr>
                <w:rFonts w:ascii="Cambria Math" w:eastAsia="Calibri" w:hAnsi="Cambria Math" w:cs="Verdana"/>
              </w:rPr>
              <m:t>1</m:t>
            </m:r>
          </m:sub>
        </m:sSub>
      </m:oMath>
      <w:r w:rsidRPr="005F10B9">
        <w:rPr>
          <w:rFonts w:ascii="Arial Narrow" w:hAnsi="Arial Narrow" w:cs="Verdana"/>
        </w:rPr>
        <w:t xml:space="preserve">y el momento </w:t>
      </w:r>
      <m:oMath>
        <m:sSub>
          <m:sSubPr>
            <m:ctrlPr>
              <w:rPr>
                <w:rFonts w:ascii="Cambria Math" w:eastAsia="Calibri" w:hAnsi="Cambria Math" w:cs="Verdana"/>
              </w:rPr>
            </m:ctrlPr>
          </m:sSubPr>
          <m:e>
            <m:r>
              <m:rPr>
                <m:sty m:val="bi"/>
              </m:rPr>
              <w:rPr>
                <w:rFonts w:ascii="Cambria Math" w:eastAsia="Calibri" w:hAnsi="Cambria Math" w:cs="Verdana"/>
              </w:rPr>
              <m:t>t</m:t>
            </m:r>
          </m:e>
          <m:sub>
            <m:r>
              <m:rPr>
                <m:sty m:val="b"/>
              </m:rPr>
              <w:rPr>
                <w:rFonts w:ascii="Cambria Math" w:eastAsia="Calibri" w:hAnsi="Cambria Math" w:cs="Verdana"/>
              </w:rPr>
              <m:t>2</m:t>
            </m:r>
          </m:sub>
        </m:sSub>
      </m:oMath>
      <w:r w:rsidRPr="005F10B9">
        <w:rPr>
          <w:rFonts w:ascii="Arial Narrow" w:hAnsi="Arial Narrow" w:cs="Verdana"/>
        </w:rPr>
        <w:t xml:space="preserve">, sería igual a: </w:t>
      </w:r>
    </w:p>
    <w:p w14:paraId="383230F3" w14:textId="77777777" w:rsidR="007968EC" w:rsidRPr="005F10B9" w:rsidRDefault="007968EC" w:rsidP="007968EC">
      <w:pPr>
        <w:autoSpaceDE w:val="0"/>
        <w:autoSpaceDN w:val="0"/>
        <w:adjustRightInd w:val="0"/>
        <w:ind w:left="708"/>
        <w:jc w:val="both"/>
        <w:rPr>
          <w:rFonts w:ascii="Arial Narrow" w:hAnsi="Arial Narrow" w:cs="Verdana"/>
          <w:b/>
          <w:lang w:eastAsia="es-CO"/>
        </w:rPr>
      </w:pPr>
    </w:p>
    <w:p w14:paraId="788C9B3D" w14:textId="77777777" w:rsidR="007968EC" w:rsidRPr="005F10B9" w:rsidRDefault="007968EC" w:rsidP="007968EC">
      <w:pPr>
        <w:autoSpaceDE w:val="0"/>
        <w:autoSpaceDN w:val="0"/>
        <w:adjustRightInd w:val="0"/>
        <w:ind w:left="708"/>
        <w:jc w:val="both"/>
        <w:rPr>
          <w:rFonts w:ascii="Arial Narrow" w:eastAsiaTheme="minorEastAsia" w:hAnsi="Arial Narrow" w:cs="Verdana"/>
          <w:b/>
          <w:lang w:eastAsia="es-CO"/>
        </w:rPr>
      </w:pPr>
      <m:oMathPara>
        <m:oMath>
          <m:r>
            <m:rPr>
              <m:sty m:val="bi"/>
            </m:rPr>
            <w:rPr>
              <w:rFonts w:ascii="Cambria Math" w:hAnsi="Cambria Math" w:cs="Verdana"/>
              <w:lang w:eastAsia="es-CO"/>
            </w:rPr>
            <m:t>FRA=</m:t>
          </m:r>
          <m:d>
            <m:dPr>
              <m:ctrlPr>
                <w:rPr>
                  <w:rFonts w:ascii="Cambria Math" w:hAnsi="Cambria Math" w:cs="Verdana"/>
                  <w:b/>
                  <w:i/>
                  <w:lang w:eastAsia="es-CO"/>
                </w:rPr>
              </m:ctrlPr>
            </m:dPr>
            <m:e>
              <m:f>
                <m:fPr>
                  <m:ctrlPr>
                    <w:rPr>
                      <w:rFonts w:ascii="Cambria Math" w:hAnsi="Cambria Math" w:cs="Verdana"/>
                      <w:b/>
                      <w:i/>
                      <w:lang w:eastAsia="es-CO"/>
                    </w:rPr>
                  </m:ctrlPr>
                </m:fPr>
                <m:num>
                  <m:sSup>
                    <m:sSupPr>
                      <m:ctrlPr>
                        <w:rPr>
                          <w:rFonts w:ascii="Cambria Math" w:hAnsi="Cambria Math" w:cs="Verdana"/>
                          <w:b/>
                          <w:i/>
                          <w:lang w:eastAsia="es-CO"/>
                        </w:rPr>
                      </m:ctrlPr>
                    </m:sSupPr>
                    <m:e>
                      <m:r>
                        <m:rPr>
                          <m:sty m:val="bi"/>
                        </m:rPr>
                        <w:rPr>
                          <w:rFonts w:ascii="Cambria Math" w:hAnsi="Cambria Math" w:cs="Verdana"/>
                          <w:lang w:eastAsia="es-CO"/>
                        </w:rPr>
                        <m:t>e</m:t>
                      </m:r>
                    </m:e>
                    <m:sup>
                      <m:r>
                        <m:rPr>
                          <m:sty m:val="bi"/>
                        </m:rPr>
                        <w:rPr>
                          <w:rFonts w:ascii="Cambria Math" w:hAnsi="Cambria Math" w:cs="Verdana"/>
                          <w:lang w:eastAsia="es-CO"/>
                        </w:rPr>
                        <m:t>-(</m:t>
                      </m:r>
                      <m:sSub>
                        <m:sSubPr>
                          <m:ctrlPr>
                            <w:rPr>
                              <w:rFonts w:ascii="Cambria Math" w:hAnsi="Cambria Math" w:cs="Verdana"/>
                              <w:b/>
                              <w:i/>
                              <w:lang w:eastAsia="es-CO"/>
                            </w:rPr>
                          </m:ctrlPr>
                        </m:sSubPr>
                        <m:e>
                          <m:r>
                            <m:rPr>
                              <m:sty m:val="bi"/>
                            </m:rPr>
                            <w:rPr>
                              <w:rFonts w:ascii="Cambria Math" w:hAnsi="Cambria Math" w:cs="Verdana"/>
                              <w:lang w:eastAsia="es-CO"/>
                            </w:rPr>
                            <m:t>R</m:t>
                          </m:r>
                        </m:e>
                        <m:sub>
                          <m:r>
                            <m:rPr>
                              <m:sty m:val="bi"/>
                            </m:rPr>
                            <w:rPr>
                              <w:rFonts w:ascii="Cambria Math" w:hAnsi="Cambria Math" w:cs="Verdana"/>
                              <w:lang w:eastAsia="es-CO"/>
                            </w:rPr>
                            <m:t>t</m:t>
                          </m:r>
                          <m:r>
                            <m:rPr>
                              <m:sty m:val="bi"/>
                            </m:rPr>
                            <w:rPr>
                              <w:rFonts w:ascii="Cambria Math" w:hAnsi="Cambria Math" w:cs="Verdana"/>
                              <w:lang w:eastAsia="es-CO"/>
                            </w:rPr>
                            <m:t>1</m:t>
                          </m:r>
                        </m:sub>
                      </m:sSub>
                      <m:r>
                        <m:rPr>
                          <m:sty m:val="bi"/>
                        </m:rPr>
                        <w:rPr>
                          <w:rFonts w:ascii="Cambria Math" w:hAnsi="Cambria Math" w:cs="Verdana"/>
                          <w:lang w:eastAsia="es-CO"/>
                        </w:rPr>
                        <m:t>*</m:t>
                      </m:r>
                      <m:sSub>
                        <m:sSubPr>
                          <m:ctrlPr>
                            <w:rPr>
                              <w:rFonts w:ascii="Cambria Math" w:hAnsi="Cambria Math" w:cs="Verdana"/>
                              <w:b/>
                              <w:i/>
                              <w:lang w:eastAsia="es-CO"/>
                            </w:rPr>
                          </m:ctrlPr>
                        </m:sSubPr>
                        <m:e>
                          <m:r>
                            <m:rPr>
                              <m:sty m:val="bi"/>
                            </m:rPr>
                            <w:rPr>
                              <w:rFonts w:ascii="Cambria Math" w:hAnsi="Cambria Math" w:cs="Verdana"/>
                              <w:lang w:eastAsia="es-CO"/>
                            </w:rPr>
                            <m:t>t</m:t>
                          </m:r>
                        </m:e>
                        <m:sub>
                          <m:r>
                            <m:rPr>
                              <m:sty m:val="bi"/>
                            </m:rPr>
                            <w:rPr>
                              <w:rFonts w:ascii="Cambria Math" w:hAnsi="Cambria Math" w:cs="Verdana"/>
                              <w:lang w:eastAsia="es-CO"/>
                            </w:rPr>
                            <m:t>1</m:t>
                          </m:r>
                        </m:sub>
                      </m:sSub>
                      <m:r>
                        <m:rPr>
                          <m:sty m:val="bi"/>
                        </m:rPr>
                        <w:rPr>
                          <w:rFonts w:ascii="Cambria Math" w:hAnsi="Cambria Math" w:cs="Verdana"/>
                          <w:lang w:eastAsia="es-CO"/>
                        </w:rPr>
                        <m:t>/365)</m:t>
                      </m:r>
                    </m:sup>
                  </m:sSup>
                </m:num>
                <m:den>
                  <m:sSup>
                    <m:sSupPr>
                      <m:ctrlPr>
                        <w:rPr>
                          <w:rFonts w:ascii="Cambria Math" w:hAnsi="Cambria Math" w:cs="Verdana"/>
                          <w:b/>
                          <w:i/>
                          <w:lang w:eastAsia="es-CO"/>
                        </w:rPr>
                      </m:ctrlPr>
                    </m:sSupPr>
                    <m:e>
                      <m:r>
                        <m:rPr>
                          <m:sty m:val="bi"/>
                        </m:rPr>
                        <w:rPr>
                          <w:rFonts w:ascii="Cambria Math" w:hAnsi="Cambria Math" w:cs="Verdana"/>
                          <w:lang w:eastAsia="es-CO"/>
                        </w:rPr>
                        <m:t>e</m:t>
                      </m:r>
                    </m:e>
                    <m:sup>
                      <m:r>
                        <m:rPr>
                          <m:sty m:val="bi"/>
                        </m:rPr>
                        <w:rPr>
                          <w:rFonts w:ascii="Cambria Math" w:hAnsi="Cambria Math" w:cs="Verdana"/>
                          <w:lang w:eastAsia="es-CO"/>
                        </w:rPr>
                        <m:t>-(</m:t>
                      </m:r>
                      <m:sSub>
                        <m:sSubPr>
                          <m:ctrlPr>
                            <w:rPr>
                              <w:rFonts w:ascii="Cambria Math" w:hAnsi="Cambria Math" w:cs="Verdana"/>
                              <w:b/>
                              <w:i/>
                              <w:lang w:eastAsia="es-CO"/>
                            </w:rPr>
                          </m:ctrlPr>
                        </m:sSubPr>
                        <m:e>
                          <m:r>
                            <m:rPr>
                              <m:sty m:val="bi"/>
                            </m:rPr>
                            <w:rPr>
                              <w:rFonts w:ascii="Cambria Math" w:hAnsi="Cambria Math" w:cs="Verdana"/>
                              <w:lang w:eastAsia="es-CO"/>
                            </w:rPr>
                            <m:t>R</m:t>
                          </m:r>
                        </m:e>
                        <m:sub>
                          <m:r>
                            <m:rPr>
                              <m:sty m:val="bi"/>
                            </m:rPr>
                            <w:rPr>
                              <w:rFonts w:ascii="Cambria Math" w:hAnsi="Cambria Math" w:cs="Verdana"/>
                              <w:lang w:eastAsia="es-CO"/>
                            </w:rPr>
                            <m:t>t</m:t>
                          </m:r>
                          <m:r>
                            <m:rPr>
                              <m:sty m:val="bi"/>
                            </m:rPr>
                            <w:rPr>
                              <w:rFonts w:ascii="Cambria Math" w:hAnsi="Cambria Math" w:cs="Verdana"/>
                              <w:lang w:eastAsia="es-CO"/>
                            </w:rPr>
                            <m:t>2</m:t>
                          </m:r>
                        </m:sub>
                      </m:sSub>
                      <m:r>
                        <m:rPr>
                          <m:sty m:val="bi"/>
                        </m:rPr>
                        <w:rPr>
                          <w:rFonts w:ascii="Cambria Math" w:hAnsi="Cambria Math" w:cs="Verdana"/>
                          <w:lang w:eastAsia="es-CO"/>
                        </w:rPr>
                        <m:t>*</m:t>
                      </m:r>
                      <m:sSub>
                        <m:sSubPr>
                          <m:ctrlPr>
                            <w:rPr>
                              <w:rFonts w:ascii="Cambria Math" w:hAnsi="Cambria Math" w:cs="Verdana"/>
                              <w:b/>
                              <w:i/>
                              <w:lang w:eastAsia="es-CO"/>
                            </w:rPr>
                          </m:ctrlPr>
                        </m:sSubPr>
                        <m:e>
                          <m:r>
                            <m:rPr>
                              <m:sty m:val="bi"/>
                            </m:rPr>
                            <w:rPr>
                              <w:rFonts w:ascii="Cambria Math" w:hAnsi="Cambria Math" w:cs="Verdana"/>
                              <w:lang w:eastAsia="es-CO"/>
                            </w:rPr>
                            <m:t>t</m:t>
                          </m:r>
                        </m:e>
                        <m:sub>
                          <m:r>
                            <m:rPr>
                              <m:sty m:val="bi"/>
                            </m:rPr>
                            <w:rPr>
                              <w:rFonts w:ascii="Cambria Math" w:hAnsi="Cambria Math" w:cs="Verdana"/>
                              <w:lang w:eastAsia="es-CO"/>
                            </w:rPr>
                            <m:t>2</m:t>
                          </m:r>
                        </m:sub>
                      </m:sSub>
                      <m:r>
                        <m:rPr>
                          <m:sty m:val="bi"/>
                        </m:rPr>
                        <w:rPr>
                          <w:rFonts w:ascii="Cambria Math" w:hAnsi="Cambria Math" w:cs="Verdana"/>
                          <w:lang w:eastAsia="es-CO"/>
                        </w:rPr>
                        <m:t>/365)</m:t>
                      </m:r>
                    </m:sup>
                  </m:sSup>
                </m:den>
              </m:f>
              <m:r>
                <m:rPr>
                  <m:sty m:val="bi"/>
                </m:rPr>
                <w:rPr>
                  <w:rFonts w:ascii="Cambria Math" w:hAnsi="Cambria Math" w:cs="Verdana"/>
                  <w:lang w:eastAsia="es-CO"/>
                </w:rPr>
                <m:t>-1</m:t>
              </m:r>
            </m:e>
          </m:d>
          <m:r>
            <m:rPr>
              <m:sty m:val="bi"/>
            </m:rPr>
            <w:rPr>
              <w:rFonts w:ascii="Cambria Math" w:hAnsi="Cambria Math" w:cs="Verdana"/>
              <w:lang w:eastAsia="es-CO"/>
            </w:rPr>
            <m:t>*</m:t>
          </m:r>
          <m:f>
            <m:fPr>
              <m:ctrlPr>
                <w:rPr>
                  <w:rFonts w:ascii="Cambria Math" w:hAnsi="Cambria Math" w:cs="Verdana"/>
                  <w:b/>
                  <w:i/>
                  <w:lang w:eastAsia="es-CO"/>
                </w:rPr>
              </m:ctrlPr>
            </m:fPr>
            <m:num>
              <m:r>
                <m:rPr>
                  <m:sty m:val="bi"/>
                </m:rPr>
                <w:rPr>
                  <w:rFonts w:ascii="Cambria Math" w:hAnsi="Cambria Math" w:cs="Verdana"/>
                  <w:lang w:eastAsia="es-CO"/>
                </w:rPr>
                <m:t>360</m:t>
              </m:r>
            </m:num>
            <m:den>
              <m:sSub>
                <m:sSubPr>
                  <m:ctrlPr>
                    <w:rPr>
                      <w:rFonts w:ascii="Cambria Math" w:hAnsi="Cambria Math" w:cs="Verdana"/>
                      <w:b/>
                      <w:i/>
                      <w:lang w:eastAsia="es-CO"/>
                    </w:rPr>
                  </m:ctrlPr>
                </m:sSubPr>
                <m:e>
                  <m:r>
                    <m:rPr>
                      <m:sty m:val="bi"/>
                    </m:rPr>
                    <w:rPr>
                      <w:rFonts w:ascii="Cambria Math" w:hAnsi="Cambria Math" w:cs="Verdana"/>
                      <w:lang w:eastAsia="es-CO"/>
                    </w:rPr>
                    <m:t>t</m:t>
                  </m:r>
                </m:e>
                <m:sub>
                  <m:r>
                    <m:rPr>
                      <m:sty m:val="bi"/>
                    </m:rPr>
                    <w:rPr>
                      <w:rFonts w:ascii="Cambria Math" w:hAnsi="Cambria Math" w:cs="Verdana"/>
                      <w:lang w:eastAsia="es-CO"/>
                    </w:rPr>
                    <m:t>2</m:t>
                  </m:r>
                </m:sub>
              </m:sSub>
              <m:r>
                <m:rPr>
                  <m:sty m:val="bi"/>
                </m:rPr>
                <w:rPr>
                  <w:rFonts w:ascii="Cambria Math" w:hAnsi="Cambria Math" w:cs="Verdana"/>
                  <w:lang w:eastAsia="es-CO"/>
                </w:rPr>
                <m:t>-</m:t>
              </m:r>
              <m:sSub>
                <m:sSubPr>
                  <m:ctrlPr>
                    <w:rPr>
                      <w:rFonts w:ascii="Cambria Math" w:hAnsi="Cambria Math" w:cs="Verdana"/>
                      <w:b/>
                      <w:i/>
                      <w:lang w:eastAsia="es-CO"/>
                    </w:rPr>
                  </m:ctrlPr>
                </m:sSubPr>
                <m:e>
                  <m:r>
                    <m:rPr>
                      <m:sty m:val="bi"/>
                    </m:rPr>
                    <w:rPr>
                      <w:rFonts w:ascii="Cambria Math" w:hAnsi="Cambria Math" w:cs="Verdana"/>
                      <w:lang w:eastAsia="es-CO"/>
                    </w:rPr>
                    <m:t>t</m:t>
                  </m:r>
                </m:e>
                <m:sub>
                  <m:r>
                    <m:rPr>
                      <m:sty m:val="bi"/>
                    </m:rPr>
                    <w:rPr>
                      <w:rFonts w:ascii="Cambria Math" w:hAnsi="Cambria Math" w:cs="Verdana"/>
                      <w:lang w:eastAsia="es-CO"/>
                    </w:rPr>
                    <m:t>1</m:t>
                  </m:r>
                </m:sub>
              </m:sSub>
            </m:den>
          </m:f>
          <m:r>
            <m:rPr>
              <m:sty m:val="bi"/>
            </m:rPr>
            <w:rPr>
              <w:rFonts w:ascii="Cambria Math" w:hAnsi="Cambria Math" w:cs="Verdana"/>
              <w:lang w:eastAsia="es-CO"/>
            </w:rPr>
            <m:t xml:space="preserve">   </m:t>
          </m:r>
        </m:oMath>
      </m:oMathPara>
    </w:p>
    <w:p w14:paraId="452C5F82" w14:textId="77777777" w:rsidR="007968EC" w:rsidRDefault="007968EC" w:rsidP="007968EC">
      <w:pPr>
        <w:jc w:val="both"/>
        <w:rPr>
          <w:rFonts w:ascii="Arial Narrow" w:hAnsi="Arial Narrow" w:cs="Arial"/>
          <w:b/>
          <w:u w:val="single"/>
          <w:lang w:val="es-ES" w:eastAsia="es-ES"/>
        </w:rPr>
      </w:pPr>
    </w:p>
    <w:p w14:paraId="5258CAE1" w14:textId="77777777" w:rsidR="007968EC" w:rsidRPr="005F10B9" w:rsidRDefault="007968EC" w:rsidP="007968EC">
      <w:pPr>
        <w:jc w:val="both"/>
        <w:rPr>
          <w:rFonts w:ascii="Arial Narrow" w:hAnsi="Arial Narrow" w:cs="Arial"/>
          <w:b/>
          <w:u w:val="single"/>
          <w:lang w:val="es-ES" w:eastAsia="es-ES"/>
        </w:rPr>
      </w:pPr>
    </w:p>
    <w:p w14:paraId="336BEC9C" w14:textId="77777777" w:rsidR="007968EC" w:rsidRPr="005F10B9" w:rsidRDefault="007968EC" w:rsidP="007968EC">
      <w:pPr>
        <w:pStyle w:val="ARTICULO0"/>
      </w:pPr>
      <w:bookmarkStart w:id="6422" w:name="_Toc31716545"/>
      <w:r w:rsidRPr="005F10B9">
        <w:t>Artículo 5.5.3.2. Procedimiento para el cálculo del Valor Presente Neto de los IRS.</w:t>
      </w:r>
      <w:bookmarkEnd w:id="6422"/>
    </w:p>
    <w:p w14:paraId="4E60F277" w14:textId="77777777" w:rsidR="007968EC" w:rsidRPr="005F10B9" w:rsidRDefault="007968EC" w:rsidP="007968EC">
      <w:pPr>
        <w:jc w:val="both"/>
        <w:rPr>
          <w:rFonts w:ascii="Arial Narrow" w:hAnsi="Arial Narrow" w:cs="Arial"/>
          <w:b/>
          <w:lang w:val="es-ES" w:eastAsia="es-ES"/>
        </w:rPr>
      </w:pPr>
    </w:p>
    <w:p w14:paraId="7842983E" w14:textId="77777777" w:rsidR="007968EC" w:rsidRPr="000C31A5" w:rsidRDefault="007968EC" w:rsidP="007968EC">
      <w:pPr>
        <w:pStyle w:val="ARTICULO0"/>
        <w:rPr>
          <w:u w:val="none"/>
        </w:rPr>
      </w:pPr>
      <w:bookmarkStart w:id="6423" w:name="_Toc31716546"/>
      <w:r>
        <w:rPr>
          <w:u w:val="none"/>
        </w:rPr>
        <w:lastRenderedPageBreak/>
        <w:t xml:space="preserve">(Este artículo fue modificado </w:t>
      </w:r>
      <w:r w:rsidRPr="000C31A5">
        <w:rPr>
          <w:u w:val="none"/>
        </w:rPr>
        <w:t>mediante Circular 19 del 22 de noviembre de 2019, publicada en el Boletín Normativo No. 034 del 22 de noviembre de 2019. Rige a partir del 25 de noviembre de 2019).</w:t>
      </w:r>
      <w:bookmarkEnd w:id="6423"/>
    </w:p>
    <w:p w14:paraId="2DD77AA3" w14:textId="77777777" w:rsidR="007968EC" w:rsidRDefault="007968EC" w:rsidP="007968EC">
      <w:pPr>
        <w:jc w:val="both"/>
        <w:rPr>
          <w:rFonts w:ascii="Arial Narrow" w:hAnsi="Arial Narrow"/>
        </w:rPr>
      </w:pPr>
    </w:p>
    <w:p w14:paraId="3E887949" w14:textId="77777777" w:rsidR="007968EC" w:rsidRPr="005F10B9" w:rsidRDefault="007968EC" w:rsidP="007968EC">
      <w:pPr>
        <w:jc w:val="both"/>
        <w:rPr>
          <w:rFonts w:ascii="Arial Narrow" w:hAnsi="Arial Narrow"/>
        </w:rPr>
      </w:pPr>
      <w:r w:rsidRPr="005F10B9">
        <w:rPr>
          <w:rFonts w:ascii="Arial Narrow" w:hAnsi="Arial Narrow"/>
        </w:rPr>
        <w:t>Para determinar el Valor de un IRS en una fecha determinada, se calcula el valor de cada una de las ramas que lo componen. Cuando se trata de un Swap donde se intercambian flujos atados a una Tasa Fija y una Tasa Variable, la Rama Fija está dada por:</w:t>
      </w:r>
    </w:p>
    <w:p w14:paraId="14A1B698" w14:textId="77777777" w:rsidR="007968EC" w:rsidRPr="005F10B9" w:rsidRDefault="007968EC" w:rsidP="007968EC">
      <w:pPr>
        <w:jc w:val="both"/>
        <w:rPr>
          <w:rFonts w:ascii="Arial Narrow" w:hAnsi="Arial Narrow"/>
        </w:rPr>
      </w:pPr>
    </w:p>
    <w:p w14:paraId="1AE6AD3A" w14:textId="77777777" w:rsidR="007968EC" w:rsidRPr="005F10B9" w:rsidRDefault="00682D97" w:rsidP="007968EC">
      <w:pPr>
        <w:jc w:val="both"/>
        <w:rPr>
          <w:rFonts w:ascii="Arial Narrow" w:hAnsi="Arial Narrow"/>
        </w:rPr>
      </w:pPr>
      <m:oMathPara>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fix</m:t>
              </m:r>
            </m:sub>
          </m:sSub>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i=1</m:t>
              </m:r>
            </m:sub>
            <m:sup>
              <m:r>
                <m:rPr>
                  <m:sty m:val="bi"/>
                </m:rPr>
                <w:rPr>
                  <w:rFonts w:ascii="Cambria Math" w:hAnsi="Cambria Math"/>
                </w:rPr>
                <m:t>n</m:t>
              </m:r>
            </m:sup>
            <m:e>
              <m:d>
                <m:dPr>
                  <m:begChr m:val="["/>
                  <m:endChr m:val="]"/>
                  <m:ctrlPr>
                    <w:rPr>
                      <w:rFonts w:ascii="Cambria Math" w:hAnsi="Cambria Math"/>
                      <w:i/>
                    </w:rPr>
                  </m:ctrlPr>
                </m:dPr>
                <m:e>
                  <m:r>
                    <m:rPr>
                      <m:sty m:val="bi"/>
                    </m:rPr>
                    <w:rPr>
                      <w:rFonts w:ascii="Cambria Math" w:hAnsi="Cambria Math"/>
                    </w:rPr>
                    <m:t>N</m:t>
                  </m:r>
                  <m:f>
                    <m:fPr>
                      <m:type m:val="lin"/>
                      <m:ctrlPr>
                        <w:rPr>
                          <w:rFonts w:ascii="Cambria Math" w:hAnsi="Cambria Math"/>
                          <w:i/>
                        </w:rPr>
                      </m:ctrlPr>
                    </m:fPr>
                    <m:num>
                      <m:r>
                        <m:rPr>
                          <m:sty m:val="bi"/>
                        </m:rPr>
                        <w:rPr>
                          <w:rFonts w:ascii="Cambria Math" w:hAnsi="Cambria Math"/>
                        </w:rPr>
                        <m:t>*</m:t>
                      </m:r>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fix</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δ</m:t>
                          </m:r>
                        </m:e>
                        <m:sub>
                          <m:r>
                            <m:rPr>
                              <m:sty m:val="bi"/>
                            </m:rPr>
                            <w:rPr>
                              <w:rFonts w:ascii="Cambria Math" w:hAnsi="Cambria Math"/>
                            </w:rPr>
                            <m:t>i</m:t>
                          </m:r>
                        </m:sub>
                      </m:sSub>
                    </m:num>
                    <m:den>
                      <m:r>
                        <m:rPr>
                          <m:sty m:val="bi"/>
                        </m:rPr>
                        <w:rPr>
                          <w:rFonts w:ascii="Cambria Math" w:hAnsi="Cambria Math"/>
                        </w:rPr>
                        <m:t>base</m:t>
                      </m:r>
                    </m:den>
                  </m:f>
                </m:e>
              </m:d>
            </m:e>
          </m:nary>
          <m:r>
            <m:rPr>
              <m:sty m:val="bi"/>
            </m:rPr>
            <w:rPr>
              <w:rFonts w:ascii="Cambria Math" w:hAnsi="Cambria Math"/>
            </w:rPr>
            <m:t>*</m:t>
          </m:r>
          <m:sSup>
            <m:sSupPr>
              <m:ctrlPr>
                <w:rPr>
                  <w:rFonts w:ascii="Cambria Math" w:hAnsi="Cambria Math"/>
                  <w:i/>
                </w:rPr>
              </m:ctrlPr>
            </m:sSupPr>
            <m:e>
              <m:r>
                <m:rPr>
                  <m:sty m:val="bi"/>
                </m:rPr>
                <w:rPr>
                  <w:rFonts w:ascii="Cambria Math" w:hAnsi="Cambria Math"/>
                </w:rPr>
                <m:t>e</m:t>
              </m:r>
            </m:e>
            <m:sup>
              <m:r>
                <m:rPr>
                  <m:sty m:val="bi"/>
                </m:rPr>
                <w:rPr>
                  <w:rFonts w:ascii="Cambria Math" w:hAnsi="Cambria Math"/>
                </w:rPr>
                <m:t>-(</m:t>
              </m:r>
              <m:sSub>
                <m:sSubPr>
                  <m:ctrlPr>
                    <w:rPr>
                      <w:rFonts w:ascii="Cambria Math" w:hAnsi="Cambria Math"/>
                      <w:i/>
                    </w:rPr>
                  </m:ctrlPr>
                </m:sSubPr>
                <m:e>
                  <m:r>
                    <m:rPr>
                      <m:sty m:val="bi"/>
                    </m:rPr>
                    <w:rPr>
                      <w:rFonts w:ascii="Cambria Math" w:hAnsi="Cambria Math"/>
                    </w:rPr>
                    <m:t>r</m:t>
                  </m:r>
                </m:e>
                <m:sub>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i</m:t>
                      </m:r>
                    </m:sub>
                  </m:sSub>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i</m:t>
                  </m:r>
                </m:sub>
              </m:sSub>
              <m:r>
                <m:rPr>
                  <m:sty m:val="bi"/>
                </m:rPr>
                <w:rPr>
                  <w:rFonts w:ascii="Cambria Math" w:hAnsi="Cambria Math"/>
                </w:rPr>
                <m:t>/365)</m:t>
              </m:r>
            </m:sup>
          </m:sSup>
          <m:r>
            <m:rPr>
              <m:sty m:val="bi"/>
            </m:rPr>
            <w:rPr>
              <w:rFonts w:ascii="Cambria Math" w:hAnsi="Cambria Math"/>
            </w:rPr>
            <m:t xml:space="preserve">   </m:t>
          </m:r>
        </m:oMath>
      </m:oMathPara>
    </w:p>
    <w:p w14:paraId="1E9052E7" w14:textId="77777777" w:rsidR="007968EC" w:rsidRPr="005F10B9" w:rsidRDefault="007968EC" w:rsidP="007968EC">
      <w:pPr>
        <w:jc w:val="both"/>
        <w:rPr>
          <w:rFonts w:ascii="Arial Narrow" w:hAnsi="Arial Narrow"/>
        </w:rPr>
      </w:pPr>
    </w:p>
    <w:p w14:paraId="21C930AD" w14:textId="77777777" w:rsidR="007968EC" w:rsidRPr="005F10B9" w:rsidRDefault="007968EC" w:rsidP="007968EC">
      <w:pPr>
        <w:jc w:val="both"/>
        <w:rPr>
          <w:rFonts w:ascii="Arial Narrow" w:hAnsi="Arial Narrow"/>
        </w:rPr>
      </w:pPr>
      <w:r w:rsidRPr="005F10B9">
        <w:rPr>
          <w:rFonts w:ascii="Arial Narrow" w:hAnsi="Arial Narrow"/>
        </w:rPr>
        <w:t>Donde:</w:t>
      </w:r>
    </w:p>
    <w:p w14:paraId="3E5D1EA3" w14:textId="77777777" w:rsidR="007968EC" w:rsidRPr="005F10B9" w:rsidRDefault="007968EC" w:rsidP="007968EC">
      <w:pPr>
        <w:jc w:val="both"/>
        <w:rPr>
          <w:rFonts w:ascii="Arial Narrow" w:hAnsi="Arial Narrow"/>
        </w:rPr>
      </w:pPr>
    </w:p>
    <w:p w14:paraId="156D1920" w14:textId="77777777" w:rsidR="007968EC" w:rsidRPr="005F10B9" w:rsidRDefault="00682D97" w:rsidP="007968EC">
      <w:pPr>
        <w:jc w:val="both"/>
        <w:rPr>
          <w:rFonts w:ascii="Arial Narrow" w:hAnsi="Arial Narrow"/>
        </w:rPr>
      </w:pPr>
      <m:oMathPara>
        <m:oMathParaPr>
          <m:jc m:val="left"/>
        </m:oMathParaP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fix</m:t>
              </m:r>
            </m:sub>
          </m:sSub>
          <m:r>
            <m:rPr>
              <m:sty m:val="bi"/>
            </m:rPr>
            <w:rPr>
              <w:rFonts w:ascii="Cambria Math" w:hAnsi="Cambria Math"/>
            </w:rPr>
            <m:t xml:space="preserve">=Valor Presente de los flujos de interés de la Rama Fija del Swap  </m:t>
          </m:r>
        </m:oMath>
      </m:oMathPara>
    </w:p>
    <w:p w14:paraId="1569A629" w14:textId="77777777" w:rsidR="007968EC" w:rsidRPr="005F10B9" w:rsidRDefault="007968EC" w:rsidP="007968EC">
      <w:pPr>
        <w:jc w:val="both"/>
        <w:rPr>
          <w:rFonts w:ascii="Arial Narrow" w:hAnsi="Arial Narrow"/>
        </w:rPr>
      </w:pPr>
      <m:oMathPara>
        <m:oMathParaPr>
          <m:jc m:val="left"/>
        </m:oMathParaPr>
        <m:oMath>
          <m:r>
            <m:rPr>
              <m:sty m:val="bi"/>
            </m:rPr>
            <w:rPr>
              <w:rFonts w:ascii="Cambria Math" w:hAnsi="Cambria Math"/>
            </w:rPr>
            <m:t xml:space="preserve">N=Monto Nominal del contrato </m:t>
          </m:r>
        </m:oMath>
      </m:oMathPara>
    </w:p>
    <w:p w14:paraId="11183BF4" w14:textId="77777777" w:rsidR="007968EC" w:rsidRPr="005F10B9" w:rsidRDefault="00682D97" w:rsidP="007968EC">
      <w:pPr>
        <w:jc w:val="both"/>
        <w:rPr>
          <w:rFonts w:ascii="Arial Narrow" w:hAnsi="Arial Narrow"/>
        </w:rPr>
      </w:pPr>
      <m:oMathPara>
        <m:oMathParaPr>
          <m:jc m:val="left"/>
        </m:oMathParaP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fix</m:t>
              </m:r>
            </m:sub>
          </m:sSub>
          <m:r>
            <m:rPr>
              <m:sty m:val="bi"/>
            </m:rPr>
            <w:rPr>
              <w:rFonts w:ascii="Cambria Math" w:hAnsi="Cambria Math"/>
            </w:rPr>
            <m:t xml:space="preserve">=Tasa de Interés de la Rama Fija del Swap </m:t>
          </m:r>
        </m:oMath>
      </m:oMathPara>
    </w:p>
    <w:p w14:paraId="69C0B6EF" w14:textId="77777777" w:rsidR="007968EC" w:rsidRPr="005F10B9" w:rsidRDefault="00682D97" w:rsidP="007968EC">
      <w:pPr>
        <w:jc w:val="both"/>
        <w:rPr>
          <w:rFonts w:ascii="Arial Narrow" w:hAnsi="Arial Narrow"/>
        </w:rPr>
      </w:pPr>
      <m:oMathPara>
        <m:oMathParaPr>
          <m:jc m:val="left"/>
        </m:oMathParaPr>
        <m:oMath>
          <m:sSub>
            <m:sSubPr>
              <m:ctrlPr>
                <w:rPr>
                  <w:rFonts w:ascii="Cambria Math" w:hAnsi="Cambria Math"/>
                  <w:i/>
                </w:rPr>
              </m:ctrlPr>
            </m:sSubPr>
            <m:e>
              <m:r>
                <m:rPr>
                  <m:sty m:val="bi"/>
                </m:rPr>
                <w:rPr>
                  <w:rFonts w:ascii="Cambria Math" w:hAnsi="Cambria Math"/>
                </w:rPr>
                <m:t>δ</m:t>
              </m:r>
            </m:e>
            <m:sub>
              <m:r>
                <m:rPr>
                  <m:sty m:val="bi"/>
                </m:rPr>
                <w:rPr>
                  <w:rFonts w:ascii="Cambria Math" w:hAnsi="Cambria Math"/>
                </w:rPr>
                <m:t>i</m:t>
              </m:r>
            </m:sub>
          </m:sSub>
          <m:r>
            <m:rPr>
              <m:sty m:val="bi"/>
            </m:rPr>
            <w:rPr>
              <w:rFonts w:ascii="Cambria Math" w:hAnsi="Cambria Math"/>
            </w:rPr>
            <m:t>=Número de días asociado al flujo i de la Rama Fija del contrato</m:t>
          </m:r>
        </m:oMath>
      </m:oMathPara>
    </w:p>
    <w:p w14:paraId="2136F0FA" w14:textId="77777777" w:rsidR="007968EC" w:rsidRPr="005F10B9" w:rsidRDefault="00682D97" w:rsidP="007968EC">
      <w:pPr>
        <w:jc w:val="both"/>
        <w:rPr>
          <w:rFonts w:ascii="Arial Narrow" w:hAnsi="Arial Narrow"/>
        </w:rPr>
      </w:pPr>
      <m:oMathPara>
        <m:oMathParaPr>
          <m:jc m:val="left"/>
        </m:oMathParaPr>
        <m:oMath>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i</m:t>
              </m:r>
            </m:sub>
          </m:sSub>
          <m:r>
            <m:rPr>
              <m:sty m:val="bi"/>
            </m:rPr>
            <w:rPr>
              <w:rFonts w:ascii="Cambria Math" w:hAnsi="Cambria Math"/>
            </w:rPr>
            <m:t>=Días entre la Fecha de Valoración y la Fecha de Pago del flujo i de la Rama Fija</m:t>
          </m:r>
        </m:oMath>
      </m:oMathPara>
    </w:p>
    <w:p w14:paraId="53C76DDA" w14:textId="77777777" w:rsidR="007968EC" w:rsidRPr="005F10B9" w:rsidRDefault="00682D97" w:rsidP="007968EC">
      <w:pPr>
        <w:jc w:val="both"/>
        <w:rPr>
          <w:rFonts w:ascii="Arial Narrow" w:hAnsi="Arial Narrow"/>
        </w:rPr>
      </w:pPr>
      <m:oMathPara>
        <m:oMathParaPr>
          <m:jc m:val="left"/>
        </m:oMathParaPr>
        <m:oMath>
          <m:sSub>
            <m:sSubPr>
              <m:ctrlPr>
                <w:rPr>
                  <w:rFonts w:ascii="Cambria Math" w:hAnsi="Cambria Math"/>
                  <w:i/>
                </w:rPr>
              </m:ctrlPr>
            </m:sSubPr>
            <m:e>
              <m:r>
                <m:rPr>
                  <m:sty m:val="bi"/>
                </m:rPr>
                <w:rPr>
                  <w:rFonts w:ascii="Cambria Math" w:hAnsi="Cambria Math"/>
                </w:rPr>
                <m:t>r</m:t>
              </m:r>
            </m:e>
            <m:sub>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i</m:t>
                  </m:r>
                </m:sub>
              </m:sSub>
            </m:sub>
          </m:sSub>
          <m:r>
            <m:rPr>
              <m:sty m:val="b"/>
            </m:rPr>
            <w:rPr>
              <w:rFonts w:ascii="Cambria Math" w:hAnsi="Cambria Math"/>
            </w:rPr>
            <m:t xml:space="preserve">=Tasa de Interés Continua Compuesta de descuento al plazo </m:t>
          </m:r>
          <m:sSub>
            <m:sSubPr>
              <m:ctrlPr>
                <w:rPr>
                  <w:rFonts w:ascii="Cambria Math" w:hAnsi="Cambria Math"/>
                </w:rPr>
              </m:ctrlPr>
            </m:sSubPr>
            <m:e>
              <m:r>
                <m:rPr>
                  <m:sty m:val="b"/>
                </m:rPr>
                <w:rPr>
                  <w:rFonts w:ascii="Cambria Math" w:hAnsi="Cambria Math"/>
                </w:rPr>
                <m:t>d</m:t>
              </m:r>
            </m:e>
            <m:sub>
              <m:r>
                <m:rPr>
                  <m:sty m:val="b"/>
                </m:rPr>
                <w:rPr>
                  <w:rFonts w:ascii="Cambria Math" w:hAnsi="Cambria Math"/>
                </w:rPr>
                <m:t>i</m:t>
              </m:r>
            </m:sub>
          </m:sSub>
        </m:oMath>
      </m:oMathPara>
    </w:p>
    <w:p w14:paraId="24CE2587" w14:textId="77777777" w:rsidR="007968EC" w:rsidRPr="005F10B9" w:rsidRDefault="007968EC" w:rsidP="007968EC">
      <w:pPr>
        <w:jc w:val="both"/>
        <w:rPr>
          <w:rFonts w:ascii="Arial Narrow" w:hAnsi="Arial Narrow"/>
        </w:rPr>
      </w:pPr>
      <m:oMathPara>
        <m:oMathParaPr>
          <m:jc m:val="left"/>
        </m:oMathParaPr>
        <m:oMath>
          <m:r>
            <m:rPr>
              <m:sty m:val="bi"/>
            </m:rPr>
            <w:rPr>
              <w:rFonts w:ascii="Cambria Math" w:hAnsi="Cambria Math"/>
            </w:rPr>
            <m:t>n=Número de pagos de la Rama Fija del contrato</m:t>
          </m:r>
        </m:oMath>
      </m:oMathPara>
    </w:p>
    <w:p w14:paraId="13828403" w14:textId="77777777" w:rsidR="007968EC" w:rsidRPr="005F10B9" w:rsidRDefault="007968EC" w:rsidP="007968EC">
      <w:pPr>
        <w:jc w:val="both"/>
        <w:rPr>
          <w:rFonts w:ascii="Arial Narrow" w:hAnsi="Arial Narrow"/>
        </w:rPr>
      </w:pPr>
      <m:oMathPara>
        <m:oMathParaPr>
          <m:jc m:val="left"/>
        </m:oMathParaPr>
        <m:oMath>
          <m:r>
            <m:rPr>
              <m:sty m:val="bi"/>
            </m:rPr>
            <w:rPr>
              <w:rFonts w:ascii="Cambria Math" w:hAnsi="Cambria Math"/>
            </w:rPr>
            <m:t>base=Número de días en un año</m:t>
          </m:r>
        </m:oMath>
      </m:oMathPara>
    </w:p>
    <w:p w14:paraId="110F2402" w14:textId="77777777" w:rsidR="007968EC" w:rsidRPr="005F10B9" w:rsidRDefault="007968EC" w:rsidP="007968EC">
      <w:pPr>
        <w:jc w:val="both"/>
        <w:rPr>
          <w:rFonts w:ascii="Arial Narrow" w:hAnsi="Arial Narrow"/>
        </w:rPr>
      </w:pPr>
    </w:p>
    <w:p w14:paraId="0CE52E0E" w14:textId="77777777" w:rsidR="007968EC" w:rsidRPr="005F10B9" w:rsidRDefault="007968EC" w:rsidP="007968EC">
      <w:pPr>
        <w:jc w:val="both"/>
        <w:rPr>
          <w:rFonts w:ascii="Cambria Math" w:hAnsi="Cambria Math"/>
          <w:b/>
          <w:i/>
        </w:rPr>
      </w:pPr>
    </w:p>
    <w:p w14:paraId="4F2493F2" w14:textId="77777777" w:rsidR="007968EC" w:rsidRPr="005F10B9" w:rsidRDefault="007968EC" w:rsidP="007968EC">
      <w:pPr>
        <w:jc w:val="both"/>
        <w:rPr>
          <w:rFonts w:ascii="Arial Narrow" w:hAnsi="Arial Narrow"/>
        </w:rPr>
      </w:pPr>
      <w:r w:rsidRPr="005F10B9">
        <w:rPr>
          <w:rFonts w:ascii="Arial Narrow" w:hAnsi="Arial Narrow"/>
        </w:rPr>
        <w:t>La Rama Variable está dada por:</w:t>
      </w:r>
    </w:p>
    <w:p w14:paraId="494C81FB" w14:textId="77777777" w:rsidR="007968EC" w:rsidRPr="005F10B9" w:rsidRDefault="007968EC" w:rsidP="007968EC">
      <w:pPr>
        <w:jc w:val="both"/>
        <w:rPr>
          <w:rFonts w:ascii="Arial Narrow" w:hAnsi="Arial Narrow"/>
        </w:rPr>
      </w:pPr>
    </w:p>
    <w:p w14:paraId="17235693" w14:textId="77777777" w:rsidR="007968EC" w:rsidRPr="005F10B9" w:rsidRDefault="00682D97" w:rsidP="007968EC">
      <w:pPr>
        <w:jc w:val="both"/>
        <w:rPr>
          <w:rFonts w:ascii="Arial Narrow" w:hAnsi="Arial Narrow"/>
        </w:rPr>
      </w:pPr>
      <m:oMathPara>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float</m:t>
              </m:r>
            </m:sub>
          </m:sSub>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i=1</m:t>
              </m:r>
            </m:sub>
            <m:sup>
              <m:r>
                <m:rPr>
                  <m:sty m:val="bi"/>
                </m:rPr>
                <w:rPr>
                  <w:rFonts w:ascii="Cambria Math" w:hAnsi="Cambria Math"/>
                </w:rPr>
                <m:t>n</m:t>
              </m:r>
            </m:sup>
            <m:e>
              <m:d>
                <m:dPr>
                  <m:begChr m:val="["/>
                  <m:endChr m:val="]"/>
                  <m:ctrlPr>
                    <w:rPr>
                      <w:rFonts w:ascii="Cambria Math" w:hAnsi="Cambria Math"/>
                      <w:i/>
                    </w:rPr>
                  </m:ctrlPr>
                </m:dPr>
                <m:e>
                  <m:f>
                    <m:fPr>
                      <m:type m:val="lin"/>
                      <m:ctrlPr>
                        <w:rPr>
                          <w:rFonts w:ascii="Cambria Math" w:hAnsi="Cambria Math"/>
                          <w:i/>
                        </w:rPr>
                      </m:ctrlPr>
                    </m:fPr>
                    <m:num>
                      <m:r>
                        <m:rPr>
                          <m:sty m:val="bi"/>
                        </m:rPr>
                        <w:rPr>
                          <w:rFonts w:ascii="Cambria Math" w:hAnsi="Cambria Math"/>
                        </w:rPr>
                        <m:t>N*</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float</m:t>
                              </m:r>
                            </m:sub>
                          </m:sSub>
                          <m:d>
                            <m:dPr>
                              <m:ctrlPr>
                                <w:rPr>
                                  <w:rFonts w:ascii="Cambria Math" w:hAnsi="Cambria Math"/>
                                  <w:i/>
                                </w:rPr>
                              </m:ctrlPr>
                            </m:dPr>
                            <m:e>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i-1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i</m:t>
                                  </m:r>
                                </m:sub>
                              </m:sSub>
                            </m:e>
                          </m:d>
                          <m:r>
                            <m:rPr>
                              <m:sty m:val="bi"/>
                            </m:rPr>
                            <w:rPr>
                              <w:rFonts w:ascii="Cambria Math" w:hAnsi="Cambria Math"/>
                            </w:rPr>
                            <m:t>+s</m:t>
                          </m:r>
                        </m:e>
                      </m:d>
                      <m:r>
                        <m:rPr>
                          <m:sty m:val="bi"/>
                        </m:rPr>
                        <w:rPr>
                          <w:rFonts w:ascii="Cambria Math" w:hAnsi="Cambria Math"/>
                        </w:rPr>
                        <m:t>*</m:t>
                      </m:r>
                      <m:sSub>
                        <m:sSubPr>
                          <m:ctrlPr>
                            <w:rPr>
                              <w:rFonts w:ascii="Cambria Math" w:hAnsi="Cambria Math"/>
                              <w:i/>
                            </w:rPr>
                          </m:ctrlPr>
                        </m:sSubPr>
                        <m:e>
                          <m:r>
                            <m:rPr>
                              <m:sty m:val="bi"/>
                            </m:rPr>
                            <w:rPr>
                              <w:rFonts w:ascii="Cambria Math" w:hAnsi="Cambria Math"/>
                            </w:rPr>
                            <m:t>δ</m:t>
                          </m:r>
                        </m:e>
                        <m:sub>
                          <m:r>
                            <m:rPr>
                              <m:sty m:val="bi"/>
                            </m:rPr>
                            <w:rPr>
                              <w:rFonts w:ascii="Cambria Math" w:hAnsi="Cambria Math"/>
                            </w:rPr>
                            <m:t>i</m:t>
                          </m:r>
                        </m:sub>
                      </m:sSub>
                    </m:num>
                    <m:den>
                      <m:r>
                        <m:rPr>
                          <m:sty m:val="bi"/>
                        </m:rPr>
                        <w:rPr>
                          <w:rFonts w:ascii="Cambria Math" w:hAnsi="Cambria Math"/>
                        </w:rPr>
                        <m:t>base</m:t>
                      </m:r>
                    </m:den>
                  </m:f>
                </m:e>
              </m:d>
            </m:e>
          </m:nary>
          <m:r>
            <m:rPr>
              <m:sty m:val="bi"/>
            </m:rPr>
            <w:rPr>
              <w:rFonts w:ascii="Cambria Math" w:hAnsi="Cambria Math"/>
            </w:rPr>
            <m:t xml:space="preserve">* </m:t>
          </m:r>
          <m:sSup>
            <m:sSupPr>
              <m:ctrlPr>
                <w:rPr>
                  <w:rFonts w:ascii="Cambria Math" w:hAnsi="Cambria Math"/>
                  <w:i/>
                </w:rPr>
              </m:ctrlPr>
            </m:sSupPr>
            <m:e>
              <m:r>
                <m:rPr>
                  <m:sty m:val="bi"/>
                </m:rPr>
                <w:rPr>
                  <w:rFonts w:ascii="Cambria Math" w:hAnsi="Cambria Math"/>
                </w:rPr>
                <m:t>e</m:t>
              </m:r>
            </m:e>
            <m:sup>
              <m:r>
                <m:rPr>
                  <m:sty m:val="bi"/>
                </m:rPr>
                <w:rPr>
                  <w:rFonts w:ascii="Cambria Math" w:hAnsi="Cambria Math"/>
                </w:rPr>
                <m:t>-(</m:t>
              </m:r>
              <m:sSub>
                <m:sSubPr>
                  <m:ctrlPr>
                    <w:rPr>
                      <w:rFonts w:ascii="Cambria Math" w:hAnsi="Cambria Math"/>
                      <w:i/>
                    </w:rPr>
                  </m:ctrlPr>
                </m:sSubPr>
                <m:e>
                  <m:r>
                    <m:rPr>
                      <m:sty m:val="bi"/>
                    </m:rPr>
                    <w:rPr>
                      <w:rFonts w:ascii="Cambria Math" w:hAnsi="Cambria Math"/>
                    </w:rPr>
                    <m:t>r</m:t>
                  </m:r>
                </m:e>
                <m:sub>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i</m:t>
                      </m:r>
                    </m:sub>
                  </m:sSub>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i</m:t>
                  </m:r>
                </m:sub>
              </m:sSub>
              <m:r>
                <m:rPr>
                  <m:sty m:val="bi"/>
                </m:rPr>
                <w:rPr>
                  <w:rFonts w:ascii="Cambria Math" w:hAnsi="Cambria Math"/>
                </w:rPr>
                <m:t>/365)</m:t>
              </m:r>
            </m:sup>
          </m:sSup>
          <m:r>
            <m:rPr>
              <m:sty m:val="bi"/>
            </m:rPr>
            <w:rPr>
              <w:rFonts w:ascii="Cambria Math" w:hAnsi="Cambria Math"/>
            </w:rPr>
            <m:t xml:space="preserve">  </m:t>
          </m:r>
        </m:oMath>
      </m:oMathPara>
    </w:p>
    <w:p w14:paraId="41BCF774" w14:textId="77777777" w:rsidR="007968EC" w:rsidRPr="005F10B9" w:rsidRDefault="007968EC" w:rsidP="007968EC">
      <w:pPr>
        <w:jc w:val="both"/>
        <w:rPr>
          <w:rFonts w:ascii="Arial Narrow" w:hAnsi="Arial Narrow"/>
        </w:rPr>
      </w:pPr>
    </w:p>
    <w:p w14:paraId="096E03DF" w14:textId="77777777" w:rsidR="007968EC" w:rsidRPr="005F10B9" w:rsidRDefault="007968EC" w:rsidP="007968EC">
      <w:pPr>
        <w:jc w:val="both"/>
        <w:rPr>
          <w:rFonts w:ascii="Arial Narrow" w:hAnsi="Arial Narrow"/>
        </w:rPr>
      </w:pPr>
      <w:r w:rsidRPr="005F10B9">
        <w:rPr>
          <w:rFonts w:ascii="Arial Narrow" w:hAnsi="Arial Narrow"/>
        </w:rPr>
        <w:t>Donde:</w:t>
      </w:r>
    </w:p>
    <w:p w14:paraId="5C97369C" w14:textId="77777777" w:rsidR="007968EC" w:rsidRPr="005F10B9" w:rsidRDefault="00682D97" w:rsidP="007968EC">
      <w:pPr>
        <w:jc w:val="both"/>
        <w:rPr>
          <w:rFonts w:ascii="Arial Narrow" w:hAnsi="Arial Narrow"/>
        </w:rPr>
      </w:pPr>
      <m:oMathPara>
        <m:oMathParaPr>
          <m:jc m:val="left"/>
        </m:oMathParaP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float</m:t>
              </m:r>
            </m:sub>
          </m:sSub>
          <m:r>
            <m:rPr>
              <m:sty m:val="bi"/>
            </m:rPr>
            <w:rPr>
              <w:rFonts w:ascii="Cambria Math" w:hAnsi="Cambria Math"/>
            </w:rPr>
            <m:t xml:space="preserve">=Valor Presente de los flujos de interés de la Rama Variable del Swap  </m:t>
          </m:r>
        </m:oMath>
      </m:oMathPara>
    </w:p>
    <w:p w14:paraId="3016EC25" w14:textId="77777777" w:rsidR="007968EC" w:rsidRPr="005F10B9" w:rsidRDefault="007968EC" w:rsidP="007968EC">
      <w:pPr>
        <w:jc w:val="both"/>
        <w:rPr>
          <w:rFonts w:ascii="Arial Narrow" w:hAnsi="Arial Narrow"/>
        </w:rPr>
      </w:pPr>
      <m:oMathPara>
        <m:oMathParaPr>
          <m:jc m:val="left"/>
        </m:oMathParaPr>
        <m:oMath>
          <m:r>
            <m:rPr>
              <m:sty m:val="bi"/>
            </m:rPr>
            <w:rPr>
              <w:rFonts w:ascii="Cambria Math" w:hAnsi="Cambria Math"/>
            </w:rPr>
            <m:t xml:space="preserve">N=Monto Nominal del contrato </m:t>
          </m:r>
        </m:oMath>
      </m:oMathPara>
    </w:p>
    <w:p w14:paraId="7A6E0960" w14:textId="77777777" w:rsidR="007968EC" w:rsidRPr="005F10B9" w:rsidRDefault="00682D97" w:rsidP="007968EC">
      <w:pPr>
        <w:jc w:val="both"/>
        <w:rPr>
          <w:rFonts w:ascii="Arial Narrow" w:hAnsi="Arial Narrow"/>
          <w:sz w:val="20"/>
          <w:szCs w:val="20"/>
        </w:rPr>
      </w:pPr>
      <m:oMathPara>
        <m:oMathParaPr>
          <m:jc m:val="left"/>
        </m:oMathParaPr>
        <m:oMath>
          <m:sSub>
            <m:sSubPr>
              <m:ctrlPr>
                <w:rPr>
                  <w:rFonts w:ascii="Cambria Math" w:hAnsi="Cambria Math"/>
                  <w:i/>
                  <w:sz w:val="20"/>
                  <w:szCs w:val="20"/>
                </w:rPr>
              </m:ctrlPr>
            </m:sSubPr>
            <m:e>
              <m:r>
                <m:rPr>
                  <m:sty m:val="bi"/>
                </m:rPr>
                <w:rPr>
                  <w:rFonts w:ascii="Cambria Math" w:hAnsi="Cambria Math"/>
                  <w:sz w:val="20"/>
                  <w:szCs w:val="20"/>
                </w:rPr>
                <m:t>R</m:t>
              </m:r>
            </m:e>
            <m:sub>
              <m:r>
                <m:rPr>
                  <m:sty m:val="bi"/>
                </m:rPr>
                <w:rPr>
                  <w:rFonts w:ascii="Cambria Math" w:hAnsi="Cambria Math"/>
                  <w:sz w:val="20"/>
                  <w:szCs w:val="20"/>
                </w:rPr>
                <m:t>float</m:t>
              </m:r>
            </m:sub>
          </m:sSub>
          <m:d>
            <m:dPr>
              <m:ctrlPr>
                <w:rPr>
                  <w:rFonts w:ascii="Cambria Math" w:hAnsi="Cambria Math"/>
                  <w:i/>
                  <w:sz w:val="20"/>
                  <w:szCs w:val="20"/>
                </w:rPr>
              </m:ctrlPr>
            </m:dPr>
            <m:e>
              <m:sSub>
                <m:sSubPr>
                  <m:ctrlPr>
                    <w:rPr>
                      <w:rFonts w:ascii="Cambria Math" w:hAnsi="Cambria Math"/>
                      <w:i/>
                      <w:sz w:val="20"/>
                      <w:szCs w:val="20"/>
                    </w:rPr>
                  </m:ctrlPr>
                </m:sSubPr>
                <m:e>
                  <m:r>
                    <m:rPr>
                      <m:sty m:val="bi"/>
                    </m:rPr>
                    <w:rPr>
                      <w:rFonts w:ascii="Cambria Math" w:hAnsi="Cambria Math"/>
                      <w:sz w:val="20"/>
                      <w:szCs w:val="20"/>
                    </w:rPr>
                    <m:t>T</m:t>
                  </m:r>
                </m:e>
                <m:sub>
                  <m:r>
                    <m:rPr>
                      <m:sty m:val="bi"/>
                    </m:rPr>
                    <w:rPr>
                      <w:rFonts w:ascii="Cambria Math" w:hAnsi="Cambria Math"/>
                      <w:sz w:val="20"/>
                      <w:szCs w:val="20"/>
                    </w:rPr>
                    <m:t>i-1</m:t>
                  </m:r>
                </m:sub>
              </m:sSub>
              <m:r>
                <m:rPr>
                  <m:sty m:val="bi"/>
                </m:rPr>
                <w:rPr>
                  <w:rFonts w:ascii="Cambria Math" w:hAnsi="Cambria Math"/>
                  <w:sz w:val="20"/>
                  <w:szCs w:val="20"/>
                </w:rPr>
                <m:t>,</m:t>
              </m:r>
              <m:sSub>
                <m:sSubPr>
                  <m:ctrlPr>
                    <w:rPr>
                      <w:rFonts w:ascii="Cambria Math" w:hAnsi="Cambria Math"/>
                      <w:i/>
                      <w:sz w:val="20"/>
                      <w:szCs w:val="20"/>
                    </w:rPr>
                  </m:ctrlPr>
                </m:sSubPr>
                <m:e>
                  <m:r>
                    <m:rPr>
                      <m:sty m:val="bi"/>
                    </m:rPr>
                    <w:rPr>
                      <w:rFonts w:ascii="Cambria Math" w:hAnsi="Cambria Math"/>
                      <w:sz w:val="20"/>
                      <w:szCs w:val="20"/>
                    </w:rPr>
                    <m:t>T</m:t>
                  </m:r>
                </m:e>
                <m:sub>
                  <m:r>
                    <m:rPr>
                      <m:sty m:val="bi"/>
                    </m:rPr>
                    <w:rPr>
                      <w:rFonts w:ascii="Cambria Math" w:hAnsi="Cambria Math"/>
                      <w:sz w:val="20"/>
                      <w:szCs w:val="20"/>
                    </w:rPr>
                    <m:t>i</m:t>
                  </m:r>
                </m:sub>
              </m:sSub>
            </m:e>
          </m:d>
          <m:r>
            <m:rPr>
              <m:sty m:val="bi"/>
            </m:rPr>
            <w:rPr>
              <w:rFonts w:ascii="Cambria Math" w:hAnsi="Cambria Math"/>
              <w:sz w:val="20"/>
              <w:szCs w:val="20"/>
            </w:rPr>
            <m:t>=Tasa de Interés Variable Continua Compuesta de la Rama Variable del Swap para el periodo</m:t>
          </m:r>
        </m:oMath>
      </m:oMathPara>
    </w:p>
    <w:p w14:paraId="6A6AA215" w14:textId="77777777" w:rsidR="007968EC" w:rsidRPr="005F10B9" w:rsidRDefault="007968EC" w:rsidP="007968EC">
      <w:pPr>
        <w:jc w:val="both"/>
        <w:rPr>
          <w:rFonts w:ascii="Arial Narrow" w:hAnsi="Arial Narrow"/>
        </w:rPr>
      </w:pPr>
      <m:oMathPara>
        <m:oMathParaPr>
          <m:jc m:val="left"/>
        </m:oMathParaPr>
        <m:oMath>
          <m:r>
            <m:rPr>
              <m:sty m:val="bi"/>
            </m:rPr>
            <w:rPr>
              <w:rFonts w:ascii="Cambria Math" w:hAnsi="Cambria Math"/>
            </w:rPr>
            <m:t xml:space="preserve">entre </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i-1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i</m:t>
                  </m:r>
                </m:sub>
              </m:sSub>
            </m:e>
          </m:d>
          <m:r>
            <m:rPr>
              <m:sty m:val="bi"/>
            </m:rPr>
            <w:rPr>
              <w:rFonts w:ascii="Cambria Math" w:hAnsi="Cambria Math"/>
            </w:rPr>
            <m:t>. se tiene que:</m:t>
          </m:r>
        </m:oMath>
      </m:oMathPara>
    </w:p>
    <w:p w14:paraId="17D8E35C" w14:textId="77777777" w:rsidR="007968EC" w:rsidRPr="005F10B9" w:rsidRDefault="007968EC" w:rsidP="007968EC">
      <w:pPr>
        <w:ind w:left="1416" w:firstLine="708"/>
        <w:jc w:val="both"/>
        <w:rPr>
          <w:rFonts w:ascii="Arial Narrow" w:hAnsi="Arial Narrow"/>
        </w:rPr>
      </w:pPr>
    </w:p>
    <w:p w14:paraId="76971131" w14:textId="77777777" w:rsidR="007968EC" w:rsidRPr="005F10B9" w:rsidRDefault="00682D97" w:rsidP="007968EC">
      <w:pPr>
        <w:jc w:val="both"/>
        <w:rPr>
          <w:rFonts w:ascii="Arial Narrow" w:hAnsi="Arial Narrow"/>
        </w:rPr>
      </w:pPr>
      <m:oMathPara>
        <m:oMathParaPr>
          <m:jc m:val="center"/>
        </m:oMathParaP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float</m:t>
              </m:r>
            </m:sub>
          </m:sSub>
          <m:d>
            <m:dPr>
              <m:ctrlPr>
                <w:rPr>
                  <w:rFonts w:ascii="Cambria Math" w:hAnsi="Cambria Math"/>
                  <w:i/>
                </w:rPr>
              </m:ctrlPr>
            </m:dPr>
            <m:e>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i-1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i</m:t>
                  </m:r>
                </m:sub>
              </m:sSub>
            </m:e>
          </m:d>
          <m:r>
            <m:rPr>
              <m:sty m:val="bi"/>
            </m:rP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obs</m:t>
                      </m:r>
                    </m:sub>
                  </m:sSub>
                  <m:d>
                    <m:dPr>
                      <m:ctrlPr>
                        <w:rPr>
                          <w:rFonts w:ascii="Cambria Math" w:hAnsi="Cambria Math"/>
                          <w:i/>
                        </w:rPr>
                      </m:ctrlPr>
                    </m:dPr>
                    <m:e>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i-1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i</m:t>
                          </m:r>
                        </m:sub>
                      </m:sSub>
                    </m:e>
                  </m:d>
                  <m:r>
                    <m:rPr>
                      <m:sty m:val="bi"/>
                    </m:rPr>
                    <w:rPr>
                      <w:rFonts w:ascii="Cambria Math" w:hAnsi="Cambria Math"/>
                    </w:rPr>
                    <m:t xml:space="preserve">                para i=1</m:t>
                  </m:r>
                </m:e>
                <m:e>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fwd</m:t>
                      </m:r>
                    </m:sub>
                  </m:sSub>
                  <m:d>
                    <m:dPr>
                      <m:ctrlPr>
                        <w:rPr>
                          <w:rFonts w:ascii="Cambria Math" w:hAnsi="Cambria Math"/>
                          <w:i/>
                        </w:rPr>
                      </m:ctrlPr>
                    </m:dPr>
                    <m:e>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i-1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i</m:t>
                          </m:r>
                        </m:sub>
                      </m:sSub>
                    </m:e>
                  </m:d>
                  <m:r>
                    <m:rPr>
                      <m:sty m:val="bi"/>
                    </m:rPr>
                    <w:rPr>
                      <w:rFonts w:ascii="Cambria Math" w:hAnsi="Cambria Math"/>
                    </w:rPr>
                    <m:t xml:space="preserve">       para i=2,…n</m:t>
                  </m:r>
                </m:e>
              </m:eqArr>
            </m:e>
          </m:d>
        </m:oMath>
      </m:oMathPara>
    </w:p>
    <w:p w14:paraId="1C7B7DAA" w14:textId="77777777" w:rsidR="007968EC" w:rsidRPr="005F10B9" w:rsidRDefault="007968EC" w:rsidP="007968EC">
      <w:pPr>
        <w:ind w:left="1416" w:firstLine="708"/>
        <w:jc w:val="both"/>
        <w:rPr>
          <w:rFonts w:ascii="Arial Narrow" w:hAnsi="Arial Narrow"/>
        </w:rPr>
      </w:pPr>
    </w:p>
    <w:p w14:paraId="489095C9" w14:textId="77777777" w:rsidR="007968EC" w:rsidRPr="005F10B9" w:rsidRDefault="00682D97" w:rsidP="007968EC">
      <w:pPr>
        <w:ind w:left="720" w:hanging="360"/>
        <w:jc w:val="both"/>
        <w:rPr>
          <w:rFonts w:ascii="Arial Narrow" w:hAnsi="Arial Narrow"/>
          <w:lang w:val="es-ES" w:eastAsia="es-ES"/>
        </w:rPr>
      </w:pPr>
      <m:oMathPara>
        <m:oMath>
          <m:sSub>
            <m:sSubPr>
              <m:ctrlPr>
                <w:rPr>
                  <w:rFonts w:ascii="Cambria Math" w:hAnsi="Cambria Math"/>
                  <w:lang w:val="es-ES" w:eastAsia="es-ES"/>
                </w:rPr>
              </m:ctrlPr>
            </m:sSubPr>
            <m:e>
              <m:r>
                <m:rPr>
                  <m:sty m:val="bi"/>
                </m:rPr>
                <w:rPr>
                  <w:rFonts w:ascii="Cambria Math" w:hAnsi="Cambria Math"/>
                  <w:lang w:val="es-ES" w:eastAsia="es-ES"/>
                </w:rPr>
                <m:t>R</m:t>
              </m:r>
            </m:e>
            <m:sub>
              <m:r>
                <m:rPr>
                  <m:sty m:val="bi"/>
                </m:rPr>
                <w:rPr>
                  <w:rFonts w:ascii="Cambria Math" w:hAnsi="Cambria Math"/>
                  <w:lang w:val="es-ES" w:eastAsia="es-ES"/>
                </w:rPr>
                <m:t>fwd</m:t>
              </m:r>
            </m:sub>
          </m:sSub>
          <m:d>
            <m:dPr>
              <m:ctrlPr>
                <w:rPr>
                  <w:rFonts w:ascii="Cambria Math" w:hAnsi="Cambria Math"/>
                  <w:lang w:val="es-ES" w:eastAsia="es-ES"/>
                </w:rPr>
              </m:ctrlPr>
            </m:dPr>
            <m:e>
              <m:sSub>
                <m:sSubPr>
                  <m:ctrlPr>
                    <w:rPr>
                      <w:rFonts w:ascii="Cambria Math" w:hAnsi="Cambria Math"/>
                      <w:lang w:val="es-ES" w:eastAsia="es-ES"/>
                    </w:rPr>
                  </m:ctrlPr>
                </m:sSubPr>
                <m:e>
                  <m:r>
                    <m:rPr>
                      <m:sty m:val="bi"/>
                    </m:rPr>
                    <w:rPr>
                      <w:rFonts w:ascii="Cambria Math" w:hAnsi="Cambria Math"/>
                      <w:lang w:val="es-ES" w:eastAsia="es-ES"/>
                    </w:rPr>
                    <m:t>T</m:t>
                  </m:r>
                </m:e>
                <m:sub>
                  <m:r>
                    <m:rPr>
                      <m:sty m:val="bi"/>
                    </m:rPr>
                    <w:rPr>
                      <w:rFonts w:ascii="Cambria Math" w:hAnsi="Cambria Math"/>
                      <w:lang w:val="es-ES" w:eastAsia="es-ES"/>
                    </w:rPr>
                    <m:t>i</m:t>
                  </m:r>
                  <m:r>
                    <m:rPr>
                      <m:sty m:val="b"/>
                    </m:rPr>
                    <w:rPr>
                      <w:rFonts w:ascii="Cambria Math" w:hAnsi="Cambria Math"/>
                      <w:lang w:val="es-ES" w:eastAsia="es-ES"/>
                    </w:rPr>
                    <m:t>-1</m:t>
                  </m:r>
                </m:sub>
              </m:sSub>
              <m:r>
                <m:rPr>
                  <m:sty m:val="b"/>
                </m:rPr>
                <w:rPr>
                  <w:rFonts w:ascii="Cambria Math" w:hAnsi="Cambria Math"/>
                  <w:lang w:val="es-ES" w:eastAsia="es-ES"/>
                </w:rPr>
                <m:t>,</m:t>
              </m:r>
              <m:sSub>
                <m:sSubPr>
                  <m:ctrlPr>
                    <w:rPr>
                      <w:rFonts w:ascii="Cambria Math" w:hAnsi="Cambria Math"/>
                      <w:lang w:val="es-ES" w:eastAsia="es-ES"/>
                    </w:rPr>
                  </m:ctrlPr>
                </m:sSubPr>
                <m:e>
                  <m:r>
                    <m:rPr>
                      <m:sty m:val="bi"/>
                    </m:rPr>
                    <w:rPr>
                      <w:rFonts w:ascii="Cambria Math" w:hAnsi="Cambria Math"/>
                      <w:lang w:val="es-ES" w:eastAsia="es-ES"/>
                    </w:rPr>
                    <m:t>T</m:t>
                  </m:r>
                </m:e>
                <m:sub>
                  <m:r>
                    <m:rPr>
                      <m:sty m:val="bi"/>
                    </m:rPr>
                    <w:rPr>
                      <w:rFonts w:ascii="Cambria Math" w:hAnsi="Cambria Math"/>
                      <w:lang w:val="es-ES" w:eastAsia="es-ES"/>
                    </w:rPr>
                    <m:t>i</m:t>
                  </m:r>
                </m:sub>
              </m:sSub>
            </m:e>
          </m:d>
          <m:r>
            <m:rPr>
              <m:sty m:val="b"/>
            </m:rPr>
            <w:rPr>
              <w:rFonts w:ascii="Cambria Math" w:hAnsi="Cambria Math"/>
              <w:lang w:val="es-ES" w:eastAsia="es-ES"/>
            </w:rPr>
            <m:t xml:space="preserve"> </m:t>
          </m:r>
          <m:r>
            <m:rPr>
              <m:sty m:val="bi"/>
            </m:rPr>
            <w:rPr>
              <w:rFonts w:ascii="Cambria Math" w:hAnsi="Cambria Math"/>
              <w:lang w:val="es-ES" w:eastAsia="es-ES"/>
            </w:rPr>
            <m:t>es</m:t>
          </m:r>
          <m:r>
            <m:rPr>
              <m:sty m:val="b"/>
            </m:rPr>
            <w:rPr>
              <w:rFonts w:ascii="Cambria Math" w:hAnsi="Cambria Math"/>
              <w:lang w:val="es-ES" w:eastAsia="es-ES"/>
            </w:rPr>
            <m:t xml:space="preserve"> </m:t>
          </m:r>
          <m:r>
            <m:rPr>
              <m:sty m:val="bi"/>
            </m:rPr>
            <w:rPr>
              <w:rFonts w:ascii="Cambria Math" w:hAnsi="Cambria Math"/>
              <w:lang w:val="es-ES" w:eastAsia="es-ES"/>
            </w:rPr>
            <m:t>una</m:t>
          </m:r>
          <m:r>
            <m:rPr>
              <m:sty m:val="b"/>
            </m:rPr>
            <w:rPr>
              <w:rFonts w:ascii="Cambria Math" w:hAnsi="Cambria Math"/>
              <w:lang w:val="es-ES" w:eastAsia="es-ES"/>
            </w:rPr>
            <m:t xml:space="preserve"> </m:t>
          </m:r>
          <m:r>
            <m:rPr>
              <m:sty m:val="bi"/>
            </m:rPr>
            <w:rPr>
              <w:rFonts w:ascii="Cambria Math" w:hAnsi="Cambria Math"/>
              <w:lang w:val="es-ES" w:eastAsia="es-ES"/>
            </w:rPr>
            <m:t>Tasa</m:t>
          </m:r>
          <m:r>
            <m:rPr>
              <m:sty m:val="b"/>
            </m:rPr>
            <w:rPr>
              <w:rFonts w:ascii="Cambria Math" w:hAnsi="Cambria Math"/>
              <w:lang w:val="es-ES" w:eastAsia="es-ES"/>
            </w:rPr>
            <m:t xml:space="preserve"> </m:t>
          </m:r>
          <m:r>
            <m:rPr>
              <m:sty m:val="bi"/>
            </m:rPr>
            <w:rPr>
              <w:rFonts w:ascii="Cambria Math" w:hAnsi="Cambria Math"/>
              <w:lang w:val="es-ES" w:eastAsia="es-ES"/>
            </w:rPr>
            <m:t>Futura</m:t>
          </m:r>
          <m:r>
            <m:rPr>
              <m:sty m:val="b"/>
            </m:rPr>
            <w:rPr>
              <w:rFonts w:ascii="Cambria Math" w:hAnsi="Cambria Math"/>
              <w:lang w:val="es-ES" w:eastAsia="es-ES"/>
            </w:rPr>
            <m:t xml:space="preserve"> I</m:t>
          </m:r>
          <m:r>
            <m:rPr>
              <m:sty m:val="bi"/>
            </m:rPr>
            <w:rPr>
              <w:rFonts w:ascii="Cambria Math" w:hAnsi="Cambria Math"/>
              <w:lang w:val="es-ES" w:eastAsia="es-ES"/>
            </w:rPr>
            <m:t>mpl</m:t>
          </m:r>
          <m:r>
            <m:rPr>
              <m:sty m:val="b"/>
            </m:rPr>
            <w:rPr>
              <w:rFonts w:ascii="Cambria Math" w:hAnsi="Cambria Math"/>
              <w:lang w:val="es-ES" w:eastAsia="es-ES"/>
            </w:rPr>
            <m:t>í</m:t>
          </m:r>
          <m:r>
            <m:rPr>
              <m:sty m:val="bi"/>
            </m:rPr>
            <w:rPr>
              <w:rFonts w:ascii="Cambria Math" w:hAnsi="Cambria Math"/>
              <w:lang w:val="es-ES" w:eastAsia="es-ES"/>
            </w:rPr>
            <m:t>cita</m:t>
          </m:r>
          <m:r>
            <m:rPr>
              <m:sty m:val="b"/>
            </m:rPr>
            <w:rPr>
              <w:rFonts w:ascii="Cambria Math" w:hAnsi="Cambria Math"/>
              <w:lang w:val="es-ES" w:eastAsia="es-ES"/>
            </w:rPr>
            <m:t xml:space="preserve"> </m:t>
          </m:r>
          <m:d>
            <m:dPr>
              <m:ctrlPr>
                <w:rPr>
                  <w:rFonts w:ascii="Cambria Math" w:hAnsi="Cambria Math"/>
                  <w:lang w:val="es-ES" w:eastAsia="es-ES"/>
                </w:rPr>
              </m:ctrlPr>
            </m:dPr>
            <m:e>
              <m:r>
                <m:rPr>
                  <m:sty m:val="bi"/>
                </m:rPr>
                <w:rPr>
                  <w:rFonts w:ascii="Cambria Math" w:hAnsi="Cambria Math"/>
                  <w:lang w:val="es-ES" w:eastAsia="es-ES"/>
                </w:rPr>
                <m:t>Forward</m:t>
              </m:r>
            </m:e>
          </m:d>
          <m:r>
            <m:rPr>
              <m:sty m:val="b"/>
            </m:rPr>
            <w:rPr>
              <w:rFonts w:ascii="Cambria Math" w:hAnsi="Cambria Math"/>
              <w:lang w:val="es-ES" w:eastAsia="es-ES"/>
            </w:rPr>
            <m:t xml:space="preserve"> </m:t>
          </m:r>
          <m:r>
            <m:rPr>
              <m:sty m:val="bi"/>
            </m:rPr>
            <w:rPr>
              <w:rFonts w:ascii="Cambria Math" w:hAnsi="Cambria Math"/>
              <w:lang w:val="es-ES" w:eastAsia="es-ES"/>
            </w:rPr>
            <m:t>entre</m:t>
          </m:r>
          <m:r>
            <m:rPr>
              <m:sty m:val="b"/>
            </m:rPr>
            <w:rPr>
              <w:rFonts w:ascii="Cambria Math" w:hAnsi="Cambria Math"/>
              <w:lang w:val="es-ES" w:eastAsia="es-ES"/>
            </w:rPr>
            <m:t xml:space="preserve"> </m:t>
          </m:r>
          <m:sSub>
            <m:sSubPr>
              <m:ctrlPr>
                <w:rPr>
                  <w:rFonts w:ascii="Cambria Math" w:hAnsi="Cambria Math"/>
                  <w:lang w:val="es-ES" w:eastAsia="es-ES"/>
                </w:rPr>
              </m:ctrlPr>
            </m:sSubPr>
            <m:e>
              <m:r>
                <m:rPr>
                  <m:sty m:val="bi"/>
                </m:rPr>
                <w:rPr>
                  <w:rFonts w:ascii="Cambria Math" w:hAnsi="Cambria Math"/>
                  <w:lang w:val="es-ES" w:eastAsia="es-ES"/>
                </w:rPr>
                <m:t>T</m:t>
              </m:r>
            </m:e>
            <m:sub>
              <m:r>
                <m:rPr>
                  <m:sty m:val="bi"/>
                </m:rPr>
                <w:rPr>
                  <w:rFonts w:ascii="Cambria Math" w:hAnsi="Cambria Math"/>
                  <w:lang w:val="es-ES" w:eastAsia="es-ES"/>
                </w:rPr>
                <m:t>i</m:t>
              </m:r>
              <m:r>
                <m:rPr>
                  <m:sty m:val="b"/>
                </m:rPr>
                <w:rPr>
                  <w:rFonts w:ascii="Cambria Math" w:hAnsi="Cambria Math"/>
                  <w:lang w:val="es-ES" w:eastAsia="es-ES"/>
                </w:rPr>
                <m:t>-1</m:t>
              </m:r>
            </m:sub>
          </m:sSub>
          <m:r>
            <m:rPr>
              <m:sty m:val="b"/>
            </m:rPr>
            <w:rPr>
              <w:rFonts w:ascii="Cambria Math" w:hAnsi="Cambria Math"/>
              <w:lang w:val="es-ES" w:eastAsia="es-ES"/>
            </w:rPr>
            <m:t xml:space="preserve"> </m:t>
          </m:r>
          <m:r>
            <m:rPr>
              <m:sty m:val="bi"/>
            </m:rPr>
            <w:rPr>
              <w:rFonts w:ascii="Cambria Math" w:hAnsi="Cambria Math"/>
              <w:lang w:val="es-ES" w:eastAsia="es-ES"/>
            </w:rPr>
            <m:t>y</m:t>
          </m:r>
          <m:r>
            <m:rPr>
              <m:sty m:val="b"/>
            </m:rPr>
            <w:rPr>
              <w:rFonts w:ascii="Cambria Math" w:hAnsi="Cambria Math"/>
              <w:lang w:val="es-ES" w:eastAsia="es-ES"/>
            </w:rPr>
            <m:t xml:space="preserve"> </m:t>
          </m:r>
          <m:sSub>
            <m:sSubPr>
              <m:ctrlPr>
                <w:rPr>
                  <w:rFonts w:ascii="Cambria Math" w:hAnsi="Cambria Math"/>
                  <w:lang w:val="es-ES" w:eastAsia="es-ES"/>
                </w:rPr>
              </m:ctrlPr>
            </m:sSubPr>
            <m:e>
              <m:r>
                <m:rPr>
                  <m:sty m:val="bi"/>
                </m:rPr>
                <w:rPr>
                  <w:rFonts w:ascii="Cambria Math" w:hAnsi="Cambria Math"/>
                  <w:lang w:val="es-ES" w:eastAsia="es-ES"/>
                </w:rPr>
                <m:t>T</m:t>
              </m:r>
            </m:e>
            <m:sub>
              <m:r>
                <m:rPr>
                  <m:sty m:val="bi"/>
                </m:rPr>
                <w:rPr>
                  <w:rFonts w:ascii="Cambria Math" w:hAnsi="Cambria Math"/>
                  <w:lang w:val="es-ES" w:eastAsia="es-ES"/>
                </w:rPr>
                <m:t>i</m:t>
              </m:r>
            </m:sub>
          </m:sSub>
        </m:oMath>
      </m:oMathPara>
    </w:p>
    <w:p w14:paraId="6DCF0E3E" w14:textId="77777777" w:rsidR="007968EC" w:rsidRPr="005F10B9" w:rsidRDefault="00682D97" w:rsidP="007968EC">
      <w:pPr>
        <w:ind w:left="720" w:hanging="360"/>
        <w:jc w:val="both"/>
        <w:rPr>
          <w:rFonts w:ascii="Arial Narrow" w:hAnsi="Arial Narrow"/>
          <w:lang w:val="es-ES" w:eastAsia="es-ES"/>
        </w:rPr>
      </w:pPr>
      <m:oMathPara>
        <m:oMath>
          <m:sSub>
            <m:sSubPr>
              <m:ctrlPr>
                <w:rPr>
                  <w:rFonts w:ascii="Cambria Math" w:hAnsi="Cambria Math"/>
                  <w:lang w:val="es-ES" w:eastAsia="es-ES"/>
                </w:rPr>
              </m:ctrlPr>
            </m:sSubPr>
            <m:e>
              <m:r>
                <m:rPr>
                  <m:sty m:val="bi"/>
                </m:rPr>
                <w:rPr>
                  <w:rFonts w:ascii="Cambria Math" w:hAnsi="Cambria Math"/>
                  <w:lang w:val="es-ES" w:eastAsia="es-ES"/>
                </w:rPr>
                <m:t>R</m:t>
              </m:r>
            </m:e>
            <m:sub>
              <m:r>
                <m:rPr>
                  <m:sty m:val="bi"/>
                </m:rPr>
                <w:rPr>
                  <w:rFonts w:ascii="Cambria Math" w:hAnsi="Cambria Math"/>
                  <w:lang w:val="es-ES" w:eastAsia="es-ES"/>
                </w:rPr>
                <m:t>obs</m:t>
              </m:r>
            </m:sub>
          </m:sSub>
          <m:d>
            <m:dPr>
              <m:ctrlPr>
                <w:rPr>
                  <w:rFonts w:ascii="Cambria Math" w:hAnsi="Cambria Math"/>
                  <w:lang w:val="es-ES" w:eastAsia="es-ES"/>
                </w:rPr>
              </m:ctrlPr>
            </m:dPr>
            <m:e>
              <m:sSub>
                <m:sSubPr>
                  <m:ctrlPr>
                    <w:rPr>
                      <w:rFonts w:ascii="Cambria Math" w:hAnsi="Cambria Math"/>
                      <w:lang w:val="es-ES" w:eastAsia="es-ES"/>
                    </w:rPr>
                  </m:ctrlPr>
                </m:sSubPr>
                <m:e>
                  <m:r>
                    <m:rPr>
                      <m:sty m:val="bi"/>
                    </m:rPr>
                    <w:rPr>
                      <w:rFonts w:ascii="Cambria Math" w:hAnsi="Cambria Math"/>
                      <w:lang w:val="es-ES" w:eastAsia="es-ES"/>
                    </w:rPr>
                    <m:t>T</m:t>
                  </m:r>
                </m:e>
                <m:sub>
                  <m:r>
                    <m:rPr>
                      <m:sty m:val="bi"/>
                    </m:rPr>
                    <w:rPr>
                      <w:rFonts w:ascii="Cambria Math" w:hAnsi="Cambria Math"/>
                      <w:lang w:val="es-ES" w:eastAsia="es-ES"/>
                    </w:rPr>
                    <m:t>i</m:t>
                  </m:r>
                  <m:r>
                    <m:rPr>
                      <m:sty m:val="b"/>
                    </m:rPr>
                    <w:rPr>
                      <w:rFonts w:ascii="Cambria Math" w:hAnsi="Cambria Math"/>
                      <w:lang w:val="es-ES" w:eastAsia="es-ES"/>
                    </w:rPr>
                    <m:t>-1</m:t>
                  </m:r>
                </m:sub>
              </m:sSub>
              <m:r>
                <m:rPr>
                  <m:sty m:val="b"/>
                </m:rPr>
                <w:rPr>
                  <w:rFonts w:ascii="Cambria Math" w:hAnsi="Cambria Math"/>
                  <w:lang w:val="es-ES" w:eastAsia="es-ES"/>
                </w:rPr>
                <m:t>,</m:t>
              </m:r>
              <m:sSub>
                <m:sSubPr>
                  <m:ctrlPr>
                    <w:rPr>
                      <w:rFonts w:ascii="Cambria Math" w:hAnsi="Cambria Math"/>
                      <w:lang w:val="es-ES" w:eastAsia="es-ES"/>
                    </w:rPr>
                  </m:ctrlPr>
                </m:sSubPr>
                <m:e>
                  <m:r>
                    <m:rPr>
                      <m:sty m:val="bi"/>
                    </m:rPr>
                    <w:rPr>
                      <w:rFonts w:ascii="Cambria Math" w:hAnsi="Cambria Math"/>
                      <w:lang w:val="es-ES" w:eastAsia="es-ES"/>
                    </w:rPr>
                    <m:t>T</m:t>
                  </m:r>
                </m:e>
                <m:sub>
                  <m:r>
                    <m:rPr>
                      <m:sty m:val="bi"/>
                    </m:rPr>
                    <w:rPr>
                      <w:rFonts w:ascii="Cambria Math" w:hAnsi="Cambria Math"/>
                      <w:lang w:val="es-ES" w:eastAsia="es-ES"/>
                    </w:rPr>
                    <m:t>i</m:t>
                  </m:r>
                </m:sub>
              </m:sSub>
            </m:e>
          </m:d>
          <m:r>
            <m:rPr>
              <m:sty m:val="b"/>
            </m:rPr>
            <w:rPr>
              <w:rFonts w:ascii="Cambria Math" w:hAnsi="Cambria Math"/>
              <w:lang w:val="es-ES" w:eastAsia="es-ES"/>
            </w:rPr>
            <m:t xml:space="preserve"> </m:t>
          </m:r>
          <m:r>
            <m:rPr>
              <m:sty m:val="bi"/>
            </m:rPr>
            <w:rPr>
              <w:rFonts w:ascii="Cambria Math" w:hAnsi="Cambria Math"/>
              <w:lang w:val="es-ES" w:eastAsia="es-ES"/>
            </w:rPr>
            <m:t>es</m:t>
          </m:r>
          <m:r>
            <m:rPr>
              <m:sty m:val="b"/>
            </m:rPr>
            <w:rPr>
              <w:rFonts w:ascii="Cambria Math" w:hAnsi="Cambria Math"/>
              <w:lang w:val="es-ES" w:eastAsia="es-ES"/>
            </w:rPr>
            <m:t xml:space="preserve"> </m:t>
          </m:r>
          <m:r>
            <m:rPr>
              <m:sty m:val="bi"/>
            </m:rPr>
            <w:rPr>
              <w:rFonts w:ascii="Cambria Math" w:hAnsi="Cambria Math"/>
              <w:lang w:val="es-ES" w:eastAsia="es-ES"/>
            </w:rPr>
            <m:t>una</m:t>
          </m:r>
          <m:r>
            <m:rPr>
              <m:sty m:val="b"/>
            </m:rPr>
            <w:rPr>
              <w:rFonts w:ascii="Cambria Math" w:hAnsi="Cambria Math"/>
              <w:lang w:val="es-ES" w:eastAsia="es-ES"/>
            </w:rPr>
            <m:t xml:space="preserve"> </m:t>
          </m:r>
          <m:r>
            <m:rPr>
              <m:sty m:val="bi"/>
            </m:rPr>
            <w:rPr>
              <w:rFonts w:ascii="Cambria Math" w:hAnsi="Cambria Math"/>
              <w:lang w:val="es-ES" w:eastAsia="es-ES"/>
            </w:rPr>
            <m:t>Tasa</m:t>
          </m:r>
          <m:r>
            <m:rPr>
              <m:sty m:val="b"/>
            </m:rPr>
            <w:rPr>
              <w:rFonts w:ascii="Cambria Math" w:hAnsi="Cambria Math"/>
              <w:lang w:val="es-ES" w:eastAsia="es-ES"/>
            </w:rPr>
            <m:t xml:space="preserve"> </m:t>
          </m:r>
          <m:r>
            <m:rPr>
              <m:sty m:val="bi"/>
            </m:rPr>
            <w:rPr>
              <w:rFonts w:ascii="Cambria Math" w:hAnsi="Cambria Math"/>
              <w:lang w:val="es-ES" w:eastAsia="es-ES"/>
            </w:rPr>
            <m:t>de</m:t>
          </m:r>
          <m:r>
            <m:rPr>
              <m:sty m:val="b"/>
            </m:rPr>
            <w:rPr>
              <w:rFonts w:ascii="Cambria Math" w:hAnsi="Cambria Math"/>
              <w:lang w:val="es-ES" w:eastAsia="es-ES"/>
            </w:rPr>
            <m:t xml:space="preserve"> </m:t>
          </m:r>
          <m:r>
            <m:rPr>
              <m:sty m:val="bi"/>
            </m:rPr>
            <w:rPr>
              <w:rFonts w:ascii="Cambria Math" w:hAnsi="Cambria Math"/>
              <w:lang w:val="es-ES" w:eastAsia="es-ES"/>
            </w:rPr>
            <m:t>mercado</m:t>
          </m:r>
          <m:r>
            <m:rPr>
              <m:sty m:val="b"/>
            </m:rPr>
            <w:rPr>
              <w:rFonts w:ascii="Cambria Math" w:hAnsi="Cambria Math"/>
              <w:lang w:val="es-ES" w:eastAsia="es-ES"/>
            </w:rPr>
            <m:t xml:space="preserve"> </m:t>
          </m:r>
          <m:r>
            <m:rPr>
              <m:sty m:val="bi"/>
            </m:rPr>
            <w:rPr>
              <w:rFonts w:ascii="Cambria Math" w:hAnsi="Cambria Math"/>
              <w:lang w:val="es-ES" w:eastAsia="es-ES"/>
            </w:rPr>
            <m:t>observada</m:t>
          </m:r>
          <m:r>
            <m:rPr>
              <m:sty m:val="b"/>
            </m:rPr>
            <w:rPr>
              <w:rFonts w:ascii="Cambria Math" w:hAnsi="Cambria Math"/>
              <w:lang w:val="es-ES" w:eastAsia="es-ES"/>
            </w:rPr>
            <m:t xml:space="preserve"> </m:t>
          </m:r>
          <m:r>
            <m:rPr>
              <m:sty m:val="bi"/>
            </m:rPr>
            <w:rPr>
              <w:rFonts w:ascii="Cambria Math" w:hAnsi="Cambria Math"/>
              <w:lang w:val="es-ES" w:eastAsia="es-ES"/>
            </w:rPr>
            <m:t>para</m:t>
          </m:r>
          <m:r>
            <m:rPr>
              <m:sty m:val="b"/>
            </m:rPr>
            <w:rPr>
              <w:rFonts w:ascii="Cambria Math" w:hAnsi="Cambria Math"/>
              <w:lang w:val="es-ES" w:eastAsia="es-ES"/>
            </w:rPr>
            <m:t xml:space="preserve"> </m:t>
          </m:r>
          <m:r>
            <m:rPr>
              <m:sty m:val="bi"/>
            </m:rPr>
            <w:rPr>
              <w:rFonts w:ascii="Cambria Math" w:hAnsi="Cambria Math"/>
              <w:lang w:val="es-ES" w:eastAsia="es-ES"/>
            </w:rPr>
            <m:t>el</m:t>
          </m:r>
          <m:r>
            <m:rPr>
              <m:sty m:val="b"/>
            </m:rPr>
            <w:rPr>
              <w:rFonts w:ascii="Cambria Math" w:hAnsi="Cambria Math"/>
              <w:lang w:val="es-ES" w:eastAsia="es-ES"/>
            </w:rPr>
            <m:t xml:space="preserve"> </m:t>
          </m:r>
          <m:r>
            <m:rPr>
              <m:sty m:val="bi"/>
            </m:rPr>
            <w:rPr>
              <w:rFonts w:ascii="Cambria Math" w:hAnsi="Cambria Math"/>
              <w:lang w:val="es-ES" w:eastAsia="es-ES"/>
            </w:rPr>
            <m:t>per</m:t>
          </m:r>
          <m:r>
            <m:rPr>
              <m:sty m:val="b"/>
            </m:rPr>
            <w:rPr>
              <w:rFonts w:ascii="Cambria Math" w:hAnsi="Cambria Math"/>
              <w:lang w:val="es-ES" w:eastAsia="es-ES"/>
            </w:rPr>
            <m:t>í</m:t>
          </m:r>
          <m:r>
            <m:rPr>
              <m:sty m:val="bi"/>
            </m:rPr>
            <w:rPr>
              <w:rFonts w:ascii="Cambria Math" w:hAnsi="Cambria Math"/>
              <w:lang w:val="es-ES" w:eastAsia="es-ES"/>
            </w:rPr>
            <m:t>odo</m:t>
          </m:r>
          <m:r>
            <m:rPr>
              <m:sty m:val="b"/>
            </m:rPr>
            <w:rPr>
              <w:rFonts w:ascii="Cambria Math" w:hAnsi="Cambria Math"/>
              <w:lang w:val="es-ES" w:eastAsia="es-ES"/>
            </w:rPr>
            <m:t xml:space="preserve"> </m:t>
          </m:r>
          <m:r>
            <m:rPr>
              <m:sty m:val="bi"/>
            </m:rPr>
            <w:rPr>
              <w:rFonts w:ascii="Cambria Math" w:hAnsi="Cambria Math"/>
              <w:lang w:val="es-ES" w:eastAsia="es-ES"/>
            </w:rPr>
            <m:t>entre</m:t>
          </m:r>
          <m:r>
            <m:rPr>
              <m:sty m:val="b"/>
            </m:rPr>
            <w:rPr>
              <w:rFonts w:ascii="Cambria Math" w:hAnsi="Cambria Math"/>
              <w:lang w:val="es-ES" w:eastAsia="es-ES"/>
            </w:rPr>
            <m:t xml:space="preserve"> </m:t>
          </m:r>
          <m:sSub>
            <m:sSubPr>
              <m:ctrlPr>
                <w:rPr>
                  <w:rFonts w:ascii="Cambria Math" w:hAnsi="Cambria Math"/>
                  <w:lang w:val="es-ES" w:eastAsia="es-ES"/>
                </w:rPr>
              </m:ctrlPr>
            </m:sSubPr>
            <m:e>
              <m:r>
                <m:rPr>
                  <m:sty m:val="bi"/>
                </m:rPr>
                <w:rPr>
                  <w:rFonts w:ascii="Cambria Math" w:hAnsi="Cambria Math"/>
                  <w:lang w:val="es-ES" w:eastAsia="es-ES"/>
                </w:rPr>
                <m:t>T</m:t>
              </m:r>
            </m:e>
            <m:sub>
              <m:r>
                <m:rPr>
                  <m:sty m:val="bi"/>
                </m:rPr>
                <w:rPr>
                  <w:rFonts w:ascii="Cambria Math" w:hAnsi="Cambria Math"/>
                  <w:lang w:val="es-ES" w:eastAsia="es-ES"/>
                </w:rPr>
                <m:t>i</m:t>
              </m:r>
              <m:r>
                <m:rPr>
                  <m:sty m:val="b"/>
                </m:rPr>
                <w:rPr>
                  <w:rFonts w:ascii="Cambria Math" w:hAnsi="Cambria Math"/>
                  <w:lang w:val="es-ES" w:eastAsia="es-ES"/>
                </w:rPr>
                <m:t>-1</m:t>
              </m:r>
            </m:sub>
          </m:sSub>
          <m:r>
            <m:rPr>
              <m:sty m:val="b"/>
            </m:rPr>
            <w:rPr>
              <w:rFonts w:ascii="Cambria Math" w:hAnsi="Cambria Math"/>
              <w:lang w:val="es-ES" w:eastAsia="es-ES"/>
            </w:rPr>
            <m:t xml:space="preserve"> </m:t>
          </m:r>
          <m:r>
            <m:rPr>
              <m:sty m:val="bi"/>
            </m:rPr>
            <w:rPr>
              <w:rFonts w:ascii="Cambria Math" w:hAnsi="Cambria Math"/>
              <w:lang w:val="es-ES" w:eastAsia="es-ES"/>
            </w:rPr>
            <m:t>y</m:t>
          </m:r>
          <m:r>
            <m:rPr>
              <m:sty m:val="b"/>
            </m:rPr>
            <w:rPr>
              <w:rFonts w:ascii="Cambria Math" w:hAnsi="Cambria Math"/>
              <w:lang w:val="es-ES" w:eastAsia="es-ES"/>
            </w:rPr>
            <m:t xml:space="preserve"> </m:t>
          </m:r>
          <m:sSub>
            <m:sSubPr>
              <m:ctrlPr>
                <w:rPr>
                  <w:rFonts w:ascii="Cambria Math" w:hAnsi="Cambria Math"/>
                  <w:lang w:val="es-ES" w:eastAsia="es-ES"/>
                </w:rPr>
              </m:ctrlPr>
            </m:sSubPr>
            <m:e>
              <m:r>
                <m:rPr>
                  <m:sty m:val="bi"/>
                </m:rPr>
                <w:rPr>
                  <w:rFonts w:ascii="Cambria Math" w:hAnsi="Cambria Math"/>
                  <w:lang w:val="es-ES" w:eastAsia="es-ES"/>
                </w:rPr>
                <m:t>T</m:t>
              </m:r>
            </m:e>
            <m:sub>
              <m:r>
                <m:rPr>
                  <m:sty m:val="bi"/>
                </m:rPr>
                <w:rPr>
                  <w:rFonts w:ascii="Cambria Math" w:hAnsi="Cambria Math"/>
                  <w:lang w:val="es-ES" w:eastAsia="es-ES"/>
                </w:rPr>
                <m:t>i</m:t>
              </m:r>
            </m:sub>
          </m:sSub>
        </m:oMath>
      </m:oMathPara>
    </w:p>
    <w:p w14:paraId="3B6252A4" w14:textId="77777777" w:rsidR="007968EC" w:rsidRPr="005F10B9" w:rsidRDefault="007968EC" w:rsidP="007968EC">
      <w:pPr>
        <w:jc w:val="both"/>
        <w:rPr>
          <w:rFonts w:ascii="Arial Narrow" w:hAnsi="Arial Narrow"/>
        </w:rPr>
      </w:pPr>
    </w:p>
    <w:p w14:paraId="460929A1" w14:textId="77777777" w:rsidR="007968EC" w:rsidRPr="005F10B9" w:rsidRDefault="00682D97" w:rsidP="007968EC">
      <w:pPr>
        <w:jc w:val="both"/>
        <w:rPr>
          <w:rFonts w:ascii="Arial Narrow" w:hAnsi="Arial Narrow"/>
        </w:rPr>
      </w:pPr>
      <m:oMathPara>
        <m:oMathParaPr>
          <m:jc m:val="left"/>
        </m:oMathParaPr>
        <m:oMath>
          <m:sSub>
            <m:sSubPr>
              <m:ctrlPr>
                <w:rPr>
                  <w:rFonts w:ascii="Cambria Math" w:hAnsi="Cambria Math"/>
                  <w:i/>
                </w:rPr>
              </m:ctrlPr>
            </m:sSubPr>
            <m:e>
              <m:r>
                <m:rPr>
                  <m:sty m:val="bi"/>
                </m:rPr>
                <w:rPr>
                  <w:rFonts w:ascii="Cambria Math" w:hAnsi="Cambria Math"/>
                </w:rPr>
                <m:t>δ</m:t>
              </m:r>
            </m:e>
            <m:sub>
              <m:r>
                <m:rPr>
                  <m:sty m:val="bi"/>
                </m:rPr>
                <w:rPr>
                  <w:rFonts w:ascii="Cambria Math" w:hAnsi="Cambria Math"/>
                </w:rPr>
                <m:t>i</m:t>
              </m:r>
            </m:sub>
          </m:sSub>
          <m:r>
            <m:rPr>
              <m:sty m:val="bi"/>
            </m:rPr>
            <w:rPr>
              <w:rFonts w:ascii="Cambria Math" w:hAnsi="Cambria Math"/>
            </w:rPr>
            <m:t>=Número de días asociado al flujo i de la Rama Variable del contrato</m:t>
          </m:r>
        </m:oMath>
      </m:oMathPara>
    </w:p>
    <w:p w14:paraId="688EED56" w14:textId="77777777" w:rsidR="007968EC" w:rsidRPr="005F10B9" w:rsidRDefault="00682D97" w:rsidP="007968EC">
      <w:pPr>
        <w:jc w:val="both"/>
        <w:rPr>
          <w:rFonts w:ascii="Arial Narrow" w:hAnsi="Arial Narrow"/>
        </w:rPr>
      </w:pPr>
      <m:oMathPara>
        <m:oMathParaPr>
          <m:jc m:val="left"/>
        </m:oMathParaPr>
        <m:oMath>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i</m:t>
              </m:r>
            </m:sub>
          </m:sSub>
          <m:r>
            <m:rPr>
              <m:sty m:val="bi"/>
            </m:rPr>
            <w:rPr>
              <w:rFonts w:ascii="Cambria Math" w:hAnsi="Cambria Math"/>
            </w:rPr>
            <m:t>=Días entre la Fecha de Valoración y la Fecha de Pago del flujo i de la Rama Variable</m:t>
          </m:r>
        </m:oMath>
      </m:oMathPara>
    </w:p>
    <w:p w14:paraId="4E33F301" w14:textId="77777777" w:rsidR="007968EC" w:rsidRPr="005F10B9" w:rsidRDefault="00682D97" w:rsidP="007968EC">
      <w:pPr>
        <w:jc w:val="both"/>
        <w:rPr>
          <w:rFonts w:ascii="Arial Narrow" w:hAnsi="Arial Narrow"/>
        </w:rPr>
      </w:pPr>
      <m:oMathPara>
        <m:oMathParaPr>
          <m:jc m:val="left"/>
        </m:oMathParaPr>
        <m:oMath>
          <m:sSub>
            <m:sSubPr>
              <m:ctrlPr>
                <w:rPr>
                  <w:rFonts w:ascii="Cambria Math" w:hAnsi="Cambria Math"/>
                  <w:i/>
                </w:rPr>
              </m:ctrlPr>
            </m:sSubPr>
            <m:e>
              <m:r>
                <m:rPr>
                  <m:sty m:val="bi"/>
                </m:rPr>
                <w:rPr>
                  <w:rFonts w:ascii="Cambria Math" w:hAnsi="Cambria Math"/>
                </w:rPr>
                <m:t>r</m:t>
              </m:r>
            </m:e>
            <m:sub>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i</m:t>
                  </m:r>
                </m:sub>
              </m:sSub>
            </m:sub>
          </m:sSub>
          <m:r>
            <m:rPr>
              <m:sty m:val="bi"/>
            </m:rPr>
            <w:rPr>
              <w:rFonts w:ascii="Cambria Math" w:hAnsi="Cambria Math"/>
            </w:rPr>
            <m:t xml:space="preserve">=Tasa de Interés Continua Compuesta de descuento al plazo </m:t>
          </m:r>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i</m:t>
              </m:r>
            </m:sub>
          </m:sSub>
        </m:oMath>
      </m:oMathPara>
    </w:p>
    <w:p w14:paraId="39FE4362" w14:textId="77777777" w:rsidR="007968EC" w:rsidRPr="005F10B9" w:rsidRDefault="007968EC" w:rsidP="007968EC">
      <w:pPr>
        <w:jc w:val="both"/>
        <w:rPr>
          <w:rFonts w:ascii="Arial Narrow" w:hAnsi="Arial Narrow"/>
        </w:rPr>
      </w:pPr>
      <m:oMathPara>
        <m:oMathParaPr>
          <m:jc m:val="left"/>
        </m:oMathParaPr>
        <m:oMath>
          <m:r>
            <m:rPr>
              <m:sty m:val="bi"/>
            </m:rPr>
            <w:rPr>
              <w:rFonts w:ascii="Cambria Math" w:hAnsi="Cambria Math"/>
            </w:rPr>
            <m:t>n=Número de pagos de la Rama Flotante del contrato</m:t>
          </m:r>
        </m:oMath>
      </m:oMathPara>
    </w:p>
    <w:p w14:paraId="6A6BCE28" w14:textId="77777777" w:rsidR="007968EC" w:rsidRPr="005F10B9" w:rsidRDefault="007968EC" w:rsidP="007968EC">
      <w:pPr>
        <w:jc w:val="both"/>
        <w:rPr>
          <w:rFonts w:ascii="Arial Narrow" w:hAnsi="Arial Narrow"/>
        </w:rPr>
      </w:pPr>
      <m:oMathPara>
        <m:oMathParaPr>
          <m:jc m:val="left"/>
        </m:oMathParaPr>
        <m:oMath>
          <m:r>
            <m:rPr>
              <m:sty m:val="bi"/>
            </m:rPr>
            <w:rPr>
              <w:rFonts w:ascii="Cambria Math" w:hAnsi="Cambria Math"/>
            </w:rPr>
            <m:t>s=Spread sobre la Tasa Variable</m:t>
          </m:r>
        </m:oMath>
      </m:oMathPara>
    </w:p>
    <w:p w14:paraId="44D0C047" w14:textId="77777777" w:rsidR="007968EC" w:rsidRPr="005F10B9" w:rsidRDefault="007968EC" w:rsidP="007968EC">
      <w:pPr>
        <w:jc w:val="both"/>
        <w:rPr>
          <w:rFonts w:ascii="Cambria Math" w:hAnsi="Cambria Math"/>
          <w:b/>
          <w:i/>
        </w:rPr>
      </w:pPr>
      <m:oMathPara>
        <m:oMath>
          <m:r>
            <m:rPr>
              <m:sty m:val="bi"/>
            </m:rPr>
            <w:rPr>
              <w:rFonts w:ascii="Cambria Math" w:hAnsi="Cambria Math"/>
            </w:rPr>
            <m:t>base=Número de días en un año</m:t>
          </m:r>
        </m:oMath>
      </m:oMathPara>
    </w:p>
    <w:p w14:paraId="176D4547" w14:textId="77777777" w:rsidR="007968EC" w:rsidRPr="005F10B9" w:rsidRDefault="007968EC" w:rsidP="007968EC">
      <w:pPr>
        <w:autoSpaceDE w:val="0"/>
        <w:autoSpaceDN w:val="0"/>
        <w:adjustRightInd w:val="0"/>
        <w:jc w:val="both"/>
        <w:rPr>
          <w:rFonts w:ascii="Arial Narrow" w:hAnsi="Arial Narrow" w:cs="CMR10"/>
        </w:rPr>
      </w:pPr>
      <w:r w:rsidRPr="005F10B9">
        <w:rPr>
          <w:rFonts w:ascii="Arial Narrow" w:hAnsi="Arial Narrow" w:cs="CMR10"/>
        </w:rPr>
        <w:t xml:space="preserve">El valor </w:t>
      </w:r>
      <w:r>
        <w:rPr>
          <w:rFonts w:ascii="Arial Narrow" w:hAnsi="Arial Narrow" w:cs="CMR10"/>
        </w:rPr>
        <w:t xml:space="preserve">presente neto </w:t>
      </w:r>
      <w:r w:rsidRPr="005F10B9">
        <w:rPr>
          <w:rFonts w:ascii="Arial Narrow" w:hAnsi="Arial Narrow" w:cs="CMR10"/>
        </w:rPr>
        <w:t>de un IRS es igual a la diferencia entre el Valor de la Rama Variable y la Rama Fija o viceversa, según los flujos que se reciban.</w:t>
      </w:r>
    </w:p>
    <w:p w14:paraId="56077455" w14:textId="77777777" w:rsidR="007968EC" w:rsidRPr="005F10B9" w:rsidRDefault="007968EC" w:rsidP="007968EC">
      <w:pPr>
        <w:autoSpaceDE w:val="0"/>
        <w:autoSpaceDN w:val="0"/>
        <w:adjustRightInd w:val="0"/>
        <w:jc w:val="both"/>
        <w:rPr>
          <w:rFonts w:ascii="Arial Narrow" w:hAnsi="Arial Narrow" w:cs="CMR10"/>
        </w:rPr>
      </w:pPr>
    </w:p>
    <w:p w14:paraId="7706BBEA" w14:textId="77777777" w:rsidR="007968EC" w:rsidRPr="005F10B9" w:rsidRDefault="00682D97" w:rsidP="007968EC">
      <w:pPr>
        <w:jc w:val="both"/>
        <w:rPr>
          <w:rFonts w:ascii="Arial Narrow" w:eastAsiaTheme="minorEastAsia" w:hAnsi="Arial Narrow" w:cs="CMR10"/>
        </w:rPr>
      </w:pPr>
      <m:oMathPara>
        <m:oMath>
          <m:sSub>
            <m:sSubPr>
              <m:ctrlPr>
                <w:rPr>
                  <w:rFonts w:ascii="Cambria Math" w:hAnsi="Cambria Math"/>
                  <w:i/>
                </w:rPr>
              </m:ctrlPr>
            </m:sSubPr>
            <m:e>
              <m:r>
                <m:rPr>
                  <m:sty m:val="bi"/>
                </m:rPr>
                <w:rPr>
                  <w:rFonts w:ascii="Cambria Math" w:hAnsi="Cambria Math"/>
                </w:rPr>
                <m:t>NPV</m:t>
              </m:r>
            </m:e>
            <m:sub>
              <m:r>
                <m:rPr>
                  <m:sty m:val="bi"/>
                </m:rPr>
                <w:rPr>
                  <w:rFonts w:ascii="Cambria Math" w:hAnsi="Cambria Math"/>
                </w:rPr>
                <m:t>IRS</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float</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fix</m:t>
              </m:r>
            </m:sub>
          </m:sSub>
          <m:r>
            <m:rPr>
              <m:sty m:val="bi"/>
            </m:rPr>
            <w:rPr>
              <w:rFonts w:ascii="Cambria Math" w:hAnsi="Cambria Math"/>
            </w:rPr>
            <m:t xml:space="preserve">   </m:t>
          </m:r>
        </m:oMath>
      </m:oMathPara>
    </w:p>
    <w:p w14:paraId="5863F472" w14:textId="77777777" w:rsidR="007968EC" w:rsidRPr="005F10B9" w:rsidRDefault="007968EC" w:rsidP="007968EC">
      <w:pPr>
        <w:jc w:val="both"/>
        <w:rPr>
          <w:rFonts w:ascii="Arial Narrow" w:eastAsiaTheme="minorEastAsia" w:hAnsi="Arial Narrow" w:cs="CMR10"/>
        </w:rPr>
      </w:pPr>
    </w:p>
    <w:p w14:paraId="0DA59DBF" w14:textId="77777777" w:rsidR="007968EC" w:rsidRPr="005F10B9" w:rsidRDefault="007968EC" w:rsidP="007968EC">
      <w:pPr>
        <w:pStyle w:val="ARTICULO0"/>
      </w:pPr>
      <w:bookmarkStart w:id="6424" w:name="_Toc31716547"/>
      <w:r w:rsidRPr="005F10B9">
        <w:t>Artículo 5.5.3.3. Procedimiento para el cálculo del Valor Pr</w:t>
      </w:r>
      <w:r>
        <w:t>esente Neto de los OIS</w:t>
      </w:r>
      <w:r w:rsidRPr="005F10B9">
        <w:t>.</w:t>
      </w:r>
      <w:bookmarkEnd w:id="6424"/>
    </w:p>
    <w:p w14:paraId="25A1642E" w14:textId="77777777" w:rsidR="007968EC" w:rsidRDefault="007968EC" w:rsidP="007968EC">
      <w:pPr>
        <w:jc w:val="both"/>
        <w:rPr>
          <w:rFonts w:ascii="Arial Narrow" w:hAnsi="Arial Narrow"/>
          <w:b/>
        </w:rPr>
      </w:pPr>
    </w:p>
    <w:p w14:paraId="3B8D109A" w14:textId="77777777" w:rsidR="007968EC" w:rsidRPr="00D044D5" w:rsidRDefault="007968EC" w:rsidP="007968EC">
      <w:pPr>
        <w:pStyle w:val="ARTICULO0"/>
        <w:rPr>
          <w:u w:val="none"/>
        </w:rPr>
      </w:pPr>
      <w:bookmarkStart w:id="6425" w:name="_Toc31716548"/>
      <w:r w:rsidRPr="00D044D5">
        <w:rPr>
          <w:bCs/>
          <w:u w:val="none"/>
        </w:rPr>
        <w:t xml:space="preserve">(Este artículo fue modificado mediante Circular 11 del 3 de agosto de 2018, publicada en el Boletín Normativo No. 17 del 3 de agosto de 2018, y mediante Circular 19 del 22 de noviembre de 2019, publicada en el </w:t>
      </w:r>
      <w:r w:rsidRPr="000C31A5">
        <w:rPr>
          <w:u w:val="none"/>
        </w:rPr>
        <w:t>Boletín Normativo No. 034 del 22 de noviembre de 2019. Rige a partir del 25 de noviembre de 2019).</w:t>
      </w:r>
      <w:bookmarkEnd w:id="6425"/>
    </w:p>
    <w:p w14:paraId="2DC2C042" w14:textId="77777777" w:rsidR="007968EC" w:rsidRPr="005F10B9" w:rsidRDefault="007968EC" w:rsidP="007968EC">
      <w:pPr>
        <w:jc w:val="both"/>
        <w:rPr>
          <w:rFonts w:ascii="Arial Narrow" w:hAnsi="Arial Narrow" w:cs="Arial"/>
          <w:b/>
          <w:color w:val="000000" w:themeColor="text1"/>
          <w:u w:val="single"/>
          <w:lang w:val="es-ES" w:eastAsia="es-CO"/>
        </w:rPr>
      </w:pPr>
    </w:p>
    <w:p w14:paraId="2356756D" w14:textId="77777777" w:rsidR="007968EC" w:rsidRPr="005F10B9" w:rsidRDefault="007968EC" w:rsidP="007968EC">
      <w:pPr>
        <w:jc w:val="both"/>
        <w:rPr>
          <w:rFonts w:ascii="Arial Narrow" w:hAnsi="Arial Narrow"/>
        </w:rPr>
      </w:pPr>
      <w:r w:rsidRPr="005F10B9">
        <w:rPr>
          <w:rFonts w:ascii="Arial Narrow" w:hAnsi="Arial Narrow"/>
        </w:rPr>
        <w:t>Para determinar el Valor</w:t>
      </w:r>
      <w:r>
        <w:rPr>
          <w:rFonts w:ascii="Arial Narrow" w:hAnsi="Arial Narrow"/>
        </w:rPr>
        <w:t xml:space="preserve"> presente neto</w:t>
      </w:r>
      <w:r w:rsidRPr="005F10B9">
        <w:rPr>
          <w:rFonts w:ascii="Arial Narrow" w:hAnsi="Arial Narrow"/>
        </w:rPr>
        <w:t xml:space="preserve"> de un </w:t>
      </w:r>
      <w:r>
        <w:rPr>
          <w:rFonts w:ascii="Arial Narrow" w:hAnsi="Arial Narrow"/>
        </w:rPr>
        <w:t>OIS</w:t>
      </w:r>
      <w:r w:rsidRPr="005F10B9">
        <w:rPr>
          <w:rFonts w:ascii="Arial Narrow" w:hAnsi="Arial Narrow"/>
        </w:rPr>
        <w:t xml:space="preserve"> en una Fecha determinada, se calcula el Valor de cada una de las ramas que lo componen. Cuando se trata de un Swap donde se intercambian flujos atados a una Tasa Fija y una Tasa Variable, la Rama Fija está dada por la fórmula:</w:t>
      </w:r>
    </w:p>
    <w:p w14:paraId="46E39B15" w14:textId="77777777" w:rsidR="007968EC" w:rsidRPr="005F10B9" w:rsidRDefault="007968EC" w:rsidP="007968EC">
      <w:pPr>
        <w:jc w:val="both"/>
        <w:rPr>
          <w:rFonts w:ascii="Arial Narrow" w:hAnsi="Arial Narrow"/>
        </w:rPr>
      </w:pPr>
    </w:p>
    <w:p w14:paraId="24C14F38" w14:textId="77777777" w:rsidR="007968EC" w:rsidRPr="005F10B9" w:rsidRDefault="00682D97" w:rsidP="007968EC">
      <w:pPr>
        <w:jc w:val="both"/>
        <w:rPr>
          <w:rFonts w:ascii="Arial Narrow" w:eastAsiaTheme="minorEastAsia" w:hAnsi="Arial Narrow"/>
        </w:rPr>
      </w:pPr>
      <m:oMathPara>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fix</m:t>
              </m:r>
            </m:sub>
          </m:sSub>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i=1</m:t>
              </m:r>
            </m:sub>
            <m:sup>
              <m:r>
                <m:rPr>
                  <m:sty m:val="bi"/>
                </m:rPr>
                <w:rPr>
                  <w:rFonts w:ascii="Cambria Math" w:hAnsi="Cambria Math"/>
                </w:rPr>
                <m:t>n</m:t>
              </m:r>
            </m:sup>
            <m:e>
              <m:r>
                <m:rPr>
                  <m:sty m:val="bi"/>
                </m:rPr>
                <w:rPr>
                  <w:rFonts w:ascii="Cambria Math" w:hAnsi="Cambria Math"/>
                </w:rPr>
                <m:t>N</m:t>
              </m:r>
              <m:f>
                <m:fPr>
                  <m:type m:val="lin"/>
                  <m:ctrlPr>
                    <w:rPr>
                      <w:rFonts w:ascii="Cambria Math" w:hAnsi="Cambria Math"/>
                      <w:i/>
                    </w:rPr>
                  </m:ctrlPr>
                </m:fPr>
                <m:num>
                  <m:r>
                    <m:rPr>
                      <m:sty m:val="bi"/>
                    </m:rPr>
                    <w:rPr>
                      <w:rFonts w:ascii="Cambria Math" w:hAnsi="Cambria Math"/>
                    </w:rPr>
                    <m:t>*</m:t>
                  </m:r>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fix</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δ</m:t>
                      </m:r>
                    </m:e>
                    <m:sub>
                      <m:r>
                        <m:rPr>
                          <m:sty m:val="bi"/>
                        </m:rPr>
                        <w:rPr>
                          <w:rFonts w:ascii="Cambria Math" w:hAnsi="Cambria Math"/>
                        </w:rPr>
                        <m:t>i</m:t>
                      </m:r>
                    </m:sub>
                  </m:sSub>
                </m:num>
                <m:den>
                  <m:r>
                    <m:rPr>
                      <m:sty m:val="bi"/>
                    </m:rPr>
                    <w:rPr>
                      <w:rFonts w:ascii="Cambria Math" w:hAnsi="Cambria Math"/>
                    </w:rPr>
                    <m:t>base</m:t>
                  </m:r>
                </m:den>
              </m:f>
            </m:e>
          </m:nary>
          <m:r>
            <m:rPr>
              <m:sty m:val="bi"/>
            </m:rPr>
            <w:rPr>
              <w:rFonts w:ascii="Cambria Math" w:hAnsi="Cambria Math"/>
            </w:rPr>
            <m:t>*</m:t>
          </m:r>
          <m:sSup>
            <m:sSupPr>
              <m:ctrlPr>
                <w:rPr>
                  <w:rFonts w:ascii="Cambria Math" w:hAnsi="Cambria Math"/>
                  <w:i/>
                </w:rPr>
              </m:ctrlPr>
            </m:sSupPr>
            <m:e>
              <m:r>
                <m:rPr>
                  <m:sty m:val="bi"/>
                </m:rPr>
                <w:rPr>
                  <w:rFonts w:ascii="Cambria Math" w:hAnsi="Cambria Math"/>
                </w:rPr>
                <m:t>e</m:t>
              </m:r>
            </m:e>
            <m:sup>
              <m:r>
                <m:rPr>
                  <m:sty m:val="bi"/>
                </m:rPr>
                <w:rPr>
                  <w:rFonts w:ascii="Cambria Math" w:hAnsi="Cambria Math"/>
                </w:rPr>
                <m:t>-(</m:t>
              </m:r>
              <m:sSub>
                <m:sSubPr>
                  <m:ctrlPr>
                    <w:rPr>
                      <w:rFonts w:ascii="Cambria Math" w:hAnsi="Cambria Math"/>
                      <w:i/>
                    </w:rPr>
                  </m:ctrlPr>
                </m:sSubPr>
                <m:e>
                  <m:r>
                    <m:rPr>
                      <m:sty m:val="bi"/>
                    </m:rPr>
                    <w:rPr>
                      <w:rFonts w:ascii="Cambria Math" w:hAnsi="Cambria Math"/>
                    </w:rPr>
                    <m:t>r</m:t>
                  </m:r>
                </m:e>
                <m:sub>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i</m:t>
                      </m:r>
                    </m:sub>
                  </m:sSub>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i</m:t>
                  </m:r>
                </m:sub>
              </m:sSub>
              <m:r>
                <m:rPr>
                  <m:sty m:val="bi"/>
                </m:rPr>
                <w:rPr>
                  <w:rFonts w:ascii="Cambria Math" w:hAnsi="Cambria Math"/>
                </w:rPr>
                <m:t>/365)</m:t>
              </m:r>
            </m:sup>
          </m:sSup>
          <m:r>
            <m:rPr>
              <m:sty m:val="bi"/>
            </m:rPr>
            <w:rPr>
              <w:rFonts w:ascii="Cambria Math" w:hAnsi="Cambria Math"/>
            </w:rPr>
            <m:t xml:space="preserve">   </m:t>
          </m:r>
        </m:oMath>
      </m:oMathPara>
    </w:p>
    <w:p w14:paraId="2708E1F9" w14:textId="77777777" w:rsidR="007968EC" w:rsidRPr="005F10B9" w:rsidRDefault="007968EC" w:rsidP="007968EC">
      <w:pPr>
        <w:jc w:val="both"/>
        <w:rPr>
          <w:rFonts w:ascii="Arial Narrow" w:eastAsiaTheme="minorEastAsia" w:hAnsi="Arial Narrow"/>
        </w:rPr>
      </w:pPr>
    </w:p>
    <w:p w14:paraId="1AD1E400" w14:textId="77777777" w:rsidR="007968EC" w:rsidRPr="005F10B9" w:rsidRDefault="007968EC" w:rsidP="007968EC">
      <w:pPr>
        <w:jc w:val="both"/>
        <w:rPr>
          <w:rFonts w:ascii="Arial Narrow" w:hAnsi="Arial Narrow"/>
        </w:rPr>
      </w:pPr>
      <w:r w:rsidRPr="005F10B9">
        <w:rPr>
          <w:rFonts w:ascii="Arial Narrow" w:hAnsi="Arial Narrow"/>
        </w:rPr>
        <w:t>Donde:</w:t>
      </w:r>
    </w:p>
    <w:p w14:paraId="0124A5FA" w14:textId="77777777" w:rsidR="007968EC" w:rsidRPr="005F10B9" w:rsidRDefault="007968EC" w:rsidP="007968EC">
      <w:pPr>
        <w:jc w:val="both"/>
        <w:rPr>
          <w:rFonts w:ascii="Arial Narrow" w:hAnsi="Arial Narrow"/>
        </w:rPr>
      </w:pPr>
    </w:p>
    <w:p w14:paraId="7600105B" w14:textId="77777777" w:rsidR="007968EC" w:rsidRPr="005F10B9" w:rsidRDefault="00682D97" w:rsidP="007968EC">
      <w:pPr>
        <w:jc w:val="both"/>
        <w:rPr>
          <w:rFonts w:ascii="Arial Narrow" w:hAnsi="Arial Narrow"/>
        </w:rPr>
      </w:pPr>
      <m:oMathPara>
        <m:oMathParaPr>
          <m:jc m:val="left"/>
        </m:oMathParaP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fix</m:t>
              </m:r>
            </m:sub>
          </m:sSub>
          <m:r>
            <m:rPr>
              <m:sty m:val="bi"/>
            </m:rPr>
            <w:rPr>
              <w:rFonts w:ascii="Cambria Math" w:hAnsi="Cambria Math"/>
            </w:rPr>
            <m:t xml:space="preserve">=Valor Presente de los flujos de interés de la Rama Fija del Swap  </m:t>
          </m:r>
        </m:oMath>
      </m:oMathPara>
    </w:p>
    <w:p w14:paraId="7B805729" w14:textId="77777777" w:rsidR="007968EC" w:rsidRPr="005F10B9" w:rsidRDefault="007968EC" w:rsidP="007968EC">
      <w:pPr>
        <w:jc w:val="both"/>
        <w:rPr>
          <w:rFonts w:ascii="Arial Narrow" w:hAnsi="Arial Narrow"/>
        </w:rPr>
      </w:pPr>
      <m:oMathPara>
        <m:oMathParaPr>
          <m:jc m:val="left"/>
        </m:oMathParaPr>
        <m:oMath>
          <m:r>
            <m:rPr>
              <m:sty m:val="bi"/>
            </m:rPr>
            <w:rPr>
              <w:rFonts w:ascii="Cambria Math" w:hAnsi="Cambria Math"/>
            </w:rPr>
            <m:t xml:space="preserve">N=Monto Nominal del contrato </m:t>
          </m:r>
        </m:oMath>
      </m:oMathPara>
    </w:p>
    <w:p w14:paraId="059CBF0D" w14:textId="77777777" w:rsidR="007968EC" w:rsidRPr="005F10B9" w:rsidRDefault="00682D97" w:rsidP="007968EC">
      <w:pPr>
        <w:jc w:val="both"/>
        <w:rPr>
          <w:rFonts w:ascii="Arial Narrow" w:hAnsi="Arial Narrow"/>
        </w:rPr>
      </w:pPr>
      <m:oMathPara>
        <m:oMathParaPr>
          <m:jc m:val="left"/>
        </m:oMathParaP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fix</m:t>
              </m:r>
            </m:sub>
          </m:sSub>
          <m:r>
            <m:rPr>
              <m:sty m:val="bi"/>
            </m:rPr>
            <w:rPr>
              <w:rFonts w:ascii="Cambria Math" w:hAnsi="Cambria Math"/>
            </w:rPr>
            <m:t xml:space="preserve">=Tasa de Interés de la Rama Fija del Swap </m:t>
          </m:r>
        </m:oMath>
      </m:oMathPara>
    </w:p>
    <w:p w14:paraId="695A12A3" w14:textId="77777777" w:rsidR="007968EC" w:rsidRPr="005F10B9" w:rsidRDefault="00682D97" w:rsidP="007968EC">
      <w:pPr>
        <w:jc w:val="both"/>
        <w:rPr>
          <w:rFonts w:ascii="Arial Narrow" w:hAnsi="Arial Narrow"/>
        </w:rPr>
      </w:pPr>
      <m:oMathPara>
        <m:oMathParaPr>
          <m:jc m:val="left"/>
        </m:oMathParaPr>
        <m:oMath>
          <m:sSub>
            <m:sSubPr>
              <m:ctrlPr>
                <w:rPr>
                  <w:rFonts w:ascii="Cambria Math" w:hAnsi="Cambria Math"/>
                  <w:i/>
                </w:rPr>
              </m:ctrlPr>
            </m:sSubPr>
            <m:e>
              <m:r>
                <m:rPr>
                  <m:sty m:val="bi"/>
                </m:rPr>
                <w:rPr>
                  <w:rFonts w:ascii="Cambria Math" w:hAnsi="Cambria Math"/>
                </w:rPr>
                <m:t>δ</m:t>
              </m:r>
            </m:e>
            <m:sub>
              <m:r>
                <m:rPr>
                  <m:sty m:val="bi"/>
                </m:rPr>
                <w:rPr>
                  <w:rFonts w:ascii="Cambria Math" w:hAnsi="Cambria Math"/>
                </w:rPr>
                <m:t>i</m:t>
              </m:r>
            </m:sub>
          </m:sSub>
          <m:r>
            <m:rPr>
              <m:sty m:val="bi"/>
            </m:rPr>
            <w:rPr>
              <w:rFonts w:ascii="Cambria Math" w:hAnsi="Cambria Math"/>
            </w:rPr>
            <m:t>=Número de días asociado al flujo i de la Rama Fija del contrato</m:t>
          </m:r>
        </m:oMath>
      </m:oMathPara>
    </w:p>
    <w:p w14:paraId="3F89EAE8" w14:textId="77777777" w:rsidR="007968EC" w:rsidRPr="005F10B9" w:rsidRDefault="00682D97" w:rsidP="007968EC">
      <w:pPr>
        <w:jc w:val="both"/>
        <w:rPr>
          <w:rFonts w:ascii="Arial Narrow" w:hAnsi="Arial Narrow"/>
        </w:rPr>
      </w:pPr>
      <m:oMathPara>
        <m:oMathParaPr>
          <m:jc m:val="left"/>
        </m:oMathParaPr>
        <m:oMath>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i</m:t>
              </m:r>
            </m:sub>
          </m:sSub>
          <m:r>
            <m:rPr>
              <m:sty m:val="bi"/>
            </m:rPr>
            <w:rPr>
              <w:rFonts w:ascii="Cambria Math" w:hAnsi="Cambria Math"/>
            </w:rPr>
            <m:t>=Días entre la Fecha de Valoración y la Fecha de Pago del flujo i de la Rama Fija</m:t>
          </m:r>
        </m:oMath>
      </m:oMathPara>
    </w:p>
    <w:p w14:paraId="29058B24" w14:textId="77777777" w:rsidR="007968EC" w:rsidRPr="005F10B9" w:rsidRDefault="00682D97" w:rsidP="007968EC">
      <w:pPr>
        <w:jc w:val="both"/>
        <w:rPr>
          <w:rFonts w:ascii="Arial Narrow" w:hAnsi="Arial Narrow"/>
        </w:rPr>
      </w:pPr>
      <m:oMathPara>
        <m:oMathParaPr>
          <m:jc m:val="left"/>
        </m:oMathParaPr>
        <m:oMath>
          <m:sSub>
            <m:sSubPr>
              <m:ctrlPr>
                <w:rPr>
                  <w:rFonts w:ascii="Cambria Math" w:hAnsi="Cambria Math"/>
                  <w:i/>
                </w:rPr>
              </m:ctrlPr>
            </m:sSubPr>
            <m:e>
              <m:r>
                <m:rPr>
                  <m:sty m:val="bi"/>
                </m:rPr>
                <w:rPr>
                  <w:rFonts w:ascii="Cambria Math" w:hAnsi="Cambria Math"/>
                </w:rPr>
                <m:t>r</m:t>
              </m:r>
            </m:e>
            <m:sub>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i</m:t>
                  </m:r>
                </m:sub>
              </m:sSub>
            </m:sub>
          </m:sSub>
          <m:r>
            <m:rPr>
              <m:sty m:val="b"/>
            </m:rPr>
            <w:rPr>
              <w:rFonts w:ascii="Cambria Math" w:hAnsi="Cambria Math"/>
            </w:rPr>
            <m:t xml:space="preserve">=Tasa de Interés Continua Compuesta de descuento al plazo </m:t>
          </m:r>
          <m:sSub>
            <m:sSubPr>
              <m:ctrlPr>
                <w:rPr>
                  <w:rFonts w:ascii="Cambria Math" w:hAnsi="Cambria Math"/>
                </w:rPr>
              </m:ctrlPr>
            </m:sSubPr>
            <m:e>
              <m:r>
                <m:rPr>
                  <m:sty m:val="b"/>
                </m:rPr>
                <w:rPr>
                  <w:rFonts w:ascii="Cambria Math" w:hAnsi="Cambria Math"/>
                </w:rPr>
                <m:t>d</m:t>
              </m:r>
            </m:e>
            <m:sub>
              <m:r>
                <m:rPr>
                  <m:sty m:val="b"/>
                </m:rPr>
                <w:rPr>
                  <w:rFonts w:ascii="Cambria Math" w:hAnsi="Cambria Math"/>
                </w:rPr>
                <m:t>i</m:t>
              </m:r>
            </m:sub>
          </m:sSub>
        </m:oMath>
      </m:oMathPara>
    </w:p>
    <w:p w14:paraId="54B7BB25" w14:textId="77777777" w:rsidR="007968EC" w:rsidRPr="00AB6174" w:rsidRDefault="007968EC" w:rsidP="007968EC">
      <w:pPr>
        <w:jc w:val="both"/>
        <w:rPr>
          <w:rFonts w:ascii="Arial Narrow" w:hAnsi="Arial Narrow"/>
          <w:b/>
        </w:rPr>
      </w:pPr>
      <m:oMathPara>
        <m:oMathParaPr>
          <m:jc m:val="left"/>
        </m:oMathParaPr>
        <m:oMath>
          <m:r>
            <m:rPr>
              <m:sty m:val="bi"/>
            </m:rPr>
            <w:rPr>
              <w:rFonts w:ascii="Cambria Math" w:hAnsi="Cambria Math"/>
            </w:rPr>
            <m:t>n=Número de pagos de la Rama Fija del contrato</m:t>
          </m:r>
        </m:oMath>
      </m:oMathPara>
    </w:p>
    <w:p w14:paraId="279356D4" w14:textId="77777777" w:rsidR="007968EC" w:rsidRPr="005F10B9" w:rsidRDefault="007968EC" w:rsidP="007968EC">
      <w:pPr>
        <w:jc w:val="both"/>
        <w:rPr>
          <w:rFonts w:ascii="Arial Narrow" w:hAnsi="Arial Narrow"/>
        </w:rPr>
      </w:pPr>
      <m:oMathPara>
        <m:oMathParaPr>
          <m:jc m:val="left"/>
        </m:oMathParaPr>
        <m:oMath>
          <m:r>
            <m:rPr>
              <m:sty m:val="bi"/>
            </m:rPr>
            <w:rPr>
              <w:rFonts w:ascii="Cambria Math" w:hAnsi="Cambria Math"/>
            </w:rPr>
            <m:t>base=Número de días en un año</m:t>
          </m:r>
        </m:oMath>
      </m:oMathPara>
    </w:p>
    <w:p w14:paraId="5A76DB6E" w14:textId="77777777" w:rsidR="007968EC" w:rsidRDefault="007968EC" w:rsidP="007968EC">
      <w:pPr>
        <w:jc w:val="both"/>
        <w:rPr>
          <w:rFonts w:ascii="Arial Narrow" w:hAnsi="Arial Narrow"/>
        </w:rPr>
      </w:pPr>
    </w:p>
    <w:p w14:paraId="1CCCF1B1" w14:textId="77777777" w:rsidR="007968EC" w:rsidRPr="005F10B9" w:rsidRDefault="007968EC" w:rsidP="007968EC">
      <w:pPr>
        <w:jc w:val="both"/>
        <w:rPr>
          <w:rFonts w:ascii="Arial Narrow" w:hAnsi="Arial Narrow"/>
        </w:rPr>
      </w:pPr>
      <w:r w:rsidRPr="005F10B9">
        <w:rPr>
          <w:rFonts w:ascii="Arial Narrow" w:hAnsi="Arial Narrow"/>
        </w:rPr>
        <w:t>Y el Valor Presente de la Rama Variable está dado por la siguiente fórmula:</w:t>
      </w:r>
    </w:p>
    <w:p w14:paraId="7D60C7E6" w14:textId="77777777" w:rsidR="007968EC" w:rsidRPr="00CF63C1" w:rsidRDefault="007968EC" w:rsidP="007968EC">
      <w:pPr>
        <w:ind w:left="-567" w:right="-1106"/>
        <w:jc w:val="both"/>
        <w:rPr>
          <w:rFonts w:ascii="Arial Narrow" w:hAnsi="Arial Narrow"/>
        </w:rPr>
      </w:pPr>
    </w:p>
    <w:p w14:paraId="04E1B007" w14:textId="77777777" w:rsidR="007968EC" w:rsidRDefault="00682D97" w:rsidP="007968EC">
      <w:pPr>
        <w:ind w:left="-567" w:right="-1106"/>
        <w:jc w:val="both"/>
        <w:rPr>
          <w:rFonts w:ascii="Arial Narrow" w:hAnsi="Arial Narrow"/>
        </w:rPr>
      </w:pPr>
      <m:oMathPara>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float</m:t>
              </m:r>
            </m:sub>
          </m:sSub>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i=1</m:t>
              </m:r>
            </m:sub>
            <m:sup>
              <m:r>
                <m:rPr>
                  <m:sty m:val="bi"/>
                </m:rPr>
                <w:rPr>
                  <w:rFonts w:ascii="Cambria Math" w:hAnsi="Cambria Math"/>
                </w:rPr>
                <m:t>n</m:t>
              </m:r>
            </m:sup>
            <m:e>
              <m:r>
                <m:rPr>
                  <m:sty m:val="bi"/>
                </m:rPr>
                <w:rPr>
                  <w:rFonts w:ascii="Cambria Math" w:hAnsi="Cambria Math"/>
                </w:rPr>
                <m:t>N*</m:t>
              </m:r>
              <m:d>
                <m:dPr>
                  <m:begChr m:val="["/>
                  <m:endChr m:val="]"/>
                  <m:ctrlPr>
                    <w:rPr>
                      <w:rFonts w:ascii="Cambria Math" w:hAnsi="Cambria Math"/>
                      <w:i/>
                    </w:rPr>
                  </m:ctrlPr>
                </m:dPr>
                <m:e>
                  <m:d>
                    <m:dPr>
                      <m:ctrlPr>
                        <w:rPr>
                          <w:rFonts w:ascii="Cambria Math" w:hAnsi="Cambria Math"/>
                          <w:i/>
                        </w:rPr>
                      </m:ctrlPr>
                    </m:dPr>
                    <m:e>
                      <m:nary>
                        <m:naryPr>
                          <m:chr m:val="∏"/>
                          <m:limLoc m:val="undOvr"/>
                          <m:ctrlPr>
                            <w:rPr>
                              <w:rFonts w:ascii="Cambria Math" w:hAnsi="Cambria Math"/>
                              <w:i/>
                            </w:rPr>
                          </m:ctrlPr>
                        </m:naryPr>
                        <m:sub>
                          <m:r>
                            <m:rPr>
                              <m:sty m:val="bi"/>
                            </m:rPr>
                            <w:rPr>
                              <w:rFonts w:ascii="Cambria Math" w:hAnsi="Cambria Math"/>
                            </w:rPr>
                            <m:t>j=1</m:t>
                          </m:r>
                        </m:sub>
                        <m:sup>
                          <m:r>
                            <m:rPr>
                              <m:sty m:val="bi"/>
                            </m:rPr>
                            <w:rPr>
                              <w:rFonts w:ascii="Cambria Math" w:hAnsi="Cambria Math"/>
                            </w:rPr>
                            <m:t>m</m:t>
                          </m:r>
                        </m:sup>
                        <m:e>
                          <m:d>
                            <m:dPr>
                              <m:ctrlPr>
                                <w:rPr>
                                  <w:rFonts w:ascii="Cambria Math" w:hAnsi="Cambria Math"/>
                                  <w:i/>
                                </w:rPr>
                              </m:ctrlPr>
                            </m:dPr>
                            <m:e>
                              <m:r>
                                <m:rPr>
                                  <m:sty m:val="bi"/>
                                </m:rPr>
                                <w:rPr>
                                  <w:rFonts w:ascii="Cambria Math" w:hAnsi="Cambria Math"/>
                                </w:rPr>
                                <m:t>1+</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obs,j</m:t>
                                      </m:r>
                                    </m:sub>
                                  </m:sSub>
                                </m:e>
                              </m:d>
                              <m:r>
                                <m:rPr>
                                  <m:sty m:val="bi"/>
                                </m:rPr>
                                <w:rPr>
                                  <w:rFonts w:ascii="Cambria Math" w:hAnsi="Cambria Math"/>
                                </w:rPr>
                                <m:t>*</m:t>
                              </m:r>
                              <m:f>
                                <m:fPr>
                                  <m:ctrlPr>
                                    <w:rPr>
                                      <w:rFonts w:ascii="Cambria Math" w:hAnsi="Cambria Math"/>
                                      <w:i/>
                                    </w:rPr>
                                  </m:ctrlPr>
                                </m:fPr>
                                <m:num>
                                  <m:sSub>
                                    <m:sSubPr>
                                      <m:ctrlPr>
                                        <w:rPr>
                                          <w:rFonts w:ascii="Cambria Math" w:hAnsi="Cambria Math"/>
                                          <w:i/>
                                        </w:rPr>
                                      </m:ctrlPr>
                                    </m:sSubPr>
                                    <m:e>
                                      <m:r>
                                        <m:rPr>
                                          <m:sty m:val="bi"/>
                                        </m:rPr>
                                        <w:rPr>
                                          <w:rFonts w:ascii="Cambria Math" w:hAnsi="Cambria Math"/>
                                        </w:rPr>
                                        <m:t>δ</m:t>
                                      </m:r>
                                    </m:e>
                                    <m:sub>
                                      <m:r>
                                        <m:rPr>
                                          <m:sty m:val="bi"/>
                                        </m:rPr>
                                        <w:rPr>
                                          <w:rFonts w:ascii="Cambria Math" w:hAnsi="Cambria Math"/>
                                        </w:rPr>
                                        <m:t>j</m:t>
                                      </m:r>
                                    </m:sub>
                                  </m:sSub>
                                </m:num>
                                <m:den>
                                  <m:r>
                                    <m:rPr>
                                      <m:sty m:val="bi"/>
                                    </m:rPr>
                                    <w:rPr>
                                      <w:rFonts w:ascii="Cambria Math" w:hAnsi="Cambria Math"/>
                                    </w:rPr>
                                    <m:t>base</m:t>
                                  </m:r>
                                </m:den>
                              </m:f>
                            </m:e>
                          </m:d>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k=1</m:t>
                              </m:r>
                            </m:sub>
                            <m:sup>
                              <m:r>
                                <m:rPr>
                                  <m:sty m:val="bi"/>
                                </m:rPr>
                                <w:rPr>
                                  <w:rFonts w:ascii="Cambria Math" w:hAnsi="Cambria Math"/>
                                </w:rPr>
                                <m:t>l</m:t>
                              </m:r>
                            </m:sup>
                            <m:e>
                              <m:d>
                                <m:dPr>
                                  <m:ctrlPr>
                                    <w:rPr>
                                      <w:rFonts w:ascii="Cambria Math" w:hAnsi="Cambria Math"/>
                                      <w:i/>
                                    </w:rPr>
                                  </m:ctrlPr>
                                </m:dPr>
                                <m:e>
                                  <m:r>
                                    <m:rPr>
                                      <m:sty m:val="bi"/>
                                    </m:rPr>
                                    <w:rPr>
                                      <w:rFonts w:ascii="Cambria Math" w:hAnsi="Cambria Math"/>
                                    </w:rPr>
                                    <m:t>1+</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fwd</m:t>
                                          </m:r>
                                        </m:sub>
                                      </m:sSub>
                                      <m:d>
                                        <m:dPr>
                                          <m:ctrlPr>
                                            <w:rPr>
                                              <w:rFonts w:ascii="Cambria Math" w:hAnsi="Cambria Math"/>
                                              <w:i/>
                                            </w:rPr>
                                          </m:ctrlPr>
                                        </m:dPr>
                                        <m:e>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k-1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k</m:t>
                                              </m:r>
                                            </m:sub>
                                          </m:sSub>
                                        </m:e>
                                      </m:d>
                                    </m:e>
                                  </m:d>
                                  <m:r>
                                    <m:rPr>
                                      <m:sty m:val="bi"/>
                                    </m:rPr>
                                    <w:rPr>
                                      <w:rFonts w:ascii="Cambria Math" w:hAnsi="Cambria Math"/>
                                    </w:rPr>
                                    <m:t>*</m:t>
                                  </m:r>
                                  <m:f>
                                    <m:fPr>
                                      <m:ctrlPr>
                                        <w:rPr>
                                          <w:rFonts w:ascii="Cambria Math" w:hAnsi="Cambria Math"/>
                                          <w:i/>
                                        </w:rPr>
                                      </m:ctrlPr>
                                    </m:fPr>
                                    <m:num>
                                      <m:sSub>
                                        <m:sSubPr>
                                          <m:ctrlPr>
                                            <w:rPr>
                                              <w:rFonts w:ascii="Cambria Math" w:hAnsi="Cambria Math"/>
                                              <w:i/>
                                            </w:rPr>
                                          </m:ctrlPr>
                                        </m:sSubPr>
                                        <m:e>
                                          <m:r>
                                            <m:rPr>
                                              <m:sty m:val="bi"/>
                                            </m:rPr>
                                            <w:rPr>
                                              <w:rFonts w:ascii="Cambria Math" w:hAnsi="Cambria Math"/>
                                            </w:rPr>
                                            <m:t>δ</m:t>
                                          </m:r>
                                        </m:e>
                                        <m:sub>
                                          <m:r>
                                            <m:rPr>
                                              <m:sty m:val="bi"/>
                                            </m:rPr>
                                            <w:rPr>
                                              <w:rFonts w:ascii="Cambria Math" w:hAnsi="Cambria Math"/>
                                            </w:rPr>
                                            <m:t>k</m:t>
                                          </m:r>
                                        </m:sub>
                                      </m:sSub>
                                    </m:num>
                                    <m:den>
                                      <m:r>
                                        <m:rPr>
                                          <m:sty m:val="bi"/>
                                        </m:rPr>
                                        <w:rPr>
                                          <w:rFonts w:ascii="Cambria Math" w:hAnsi="Cambria Math"/>
                                        </w:rPr>
                                        <m:t>base</m:t>
                                      </m:r>
                                    </m:den>
                                  </m:f>
                                </m:e>
                              </m:d>
                            </m:e>
                          </m:nary>
                        </m:e>
                      </m:nary>
                    </m:e>
                  </m:d>
                  <m:r>
                    <m:rPr>
                      <m:sty m:val="bi"/>
                    </m:rPr>
                    <w:rPr>
                      <w:rFonts w:ascii="Cambria Math" w:hAnsi="Cambria Math"/>
                    </w:rPr>
                    <m:t>-1</m:t>
                  </m:r>
                </m:e>
              </m:d>
            </m:e>
          </m:nary>
          <m:r>
            <m:rPr>
              <m:sty m:val="bi"/>
            </m:rPr>
            <w:rPr>
              <w:rFonts w:ascii="Cambria Math" w:hAnsi="Cambria Math"/>
            </w:rPr>
            <m:t>*</m:t>
          </m:r>
          <m:f>
            <m:fPr>
              <m:ctrlPr>
                <w:rPr>
                  <w:rFonts w:ascii="Cambria Math" w:hAnsi="Cambria Math"/>
                  <w:i/>
                </w:rPr>
              </m:ctrlPr>
            </m:fPr>
            <m:num>
              <m:sSub>
                <m:sSubPr>
                  <m:ctrlPr>
                    <w:rPr>
                      <w:rFonts w:ascii="Cambria Math" w:hAnsi="Cambria Math"/>
                      <w:i/>
                    </w:rPr>
                  </m:ctrlPr>
                </m:sSubPr>
                <m:e>
                  <m:r>
                    <m:rPr>
                      <m:sty m:val="bi"/>
                    </m:rPr>
                    <w:rPr>
                      <w:rFonts w:ascii="Cambria Math" w:hAnsi="Cambria Math"/>
                    </w:rPr>
                    <m:t>δ</m:t>
                  </m:r>
                </m:e>
                <m:sub>
                  <m:r>
                    <m:rPr>
                      <m:sty m:val="bi"/>
                    </m:rPr>
                    <w:rPr>
                      <w:rFonts w:ascii="Cambria Math" w:hAnsi="Cambria Math"/>
                    </w:rPr>
                    <m:t>k</m:t>
                  </m:r>
                </m:sub>
              </m:sSub>
            </m:num>
            <m:den>
              <m:r>
                <m:rPr>
                  <m:sty m:val="bi"/>
                </m:rPr>
                <w:rPr>
                  <w:rFonts w:ascii="Cambria Math" w:hAnsi="Cambria Math"/>
                </w:rPr>
                <m:t>base</m:t>
              </m:r>
            </m:den>
          </m:f>
          <m:r>
            <m:rPr>
              <m:sty m:val="bi"/>
            </m:rPr>
            <w:rPr>
              <w:rFonts w:ascii="Cambria Math" w:hAnsi="Cambria Math"/>
            </w:rPr>
            <m:t>*</m:t>
          </m:r>
          <m:sSup>
            <m:sSupPr>
              <m:ctrlPr>
                <w:rPr>
                  <w:rFonts w:ascii="Cambria Math" w:hAnsi="Cambria Math"/>
                  <w:i/>
                </w:rPr>
              </m:ctrlPr>
            </m:sSupPr>
            <m:e>
              <m:r>
                <m:rPr>
                  <m:sty m:val="bi"/>
                </m:rPr>
                <w:rPr>
                  <w:rFonts w:ascii="Cambria Math" w:hAnsi="Cambria Math"/>
                </w:rPr>
                <m:t>e</m:t>
              </m:r>
            </m:e>
            <m:sup>
              <m:r>
                <m:rPr>
                  <m:sty m:val="bi"/>
                </m:rPr>
                <w:rPr>
                  <w:rFonts w:ascii="Cambria Math" w:hAnsi="Cambria Math"/>
                </w:rPr>
                <m:t>-(</m:t>
              </m:r>
              <m:sSub>
                <m:sSubPr>
                  <m:ctrlPr>
                    <w:rPr>
                      <w:rFonts w:ascii="Cambria Math" w:hAnsi="Cambria Math"/>
                      <w:i/>
                    </w:rPr>
                  </m:ctrlPr>
                </m:sSubPr>
                <m:e>
                  <m:r>
                    <m:rPr>
                      <m:sty m:val="bi"/>
                    </m:rPr>
                    <w:rPr>
                      <w:rFonts w:ascii="Cambria Math" w:hAnsi="Cambria Math"/>
                    </w:rPr>
                    <m:t>r</m:t>
                  </m:r>
                </m:e>
                <m:sub>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i</m:t>
                      </m:r>
                    </m:sub>
                  </m:sSub>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i</m:t>
                  </m:r>
                </m:sub>
              </m:sSub>
              <m:r>
                <m:rPr>
                  <m:sty m:val="bi"/>
                </m:rPr>
                <w:rPr>
                  <w:rFonts w:ascii="Cambria Math" w:hAnsi="Cambria Math"/>
                </w:rPr>
                <m:t>/365)</m:t>
              </m:r>
            </m:sup>
          </m:sSup>
        </m:oMath>
      </m:oMathPara>
    </w:p>
    <w:p w14:paraId="612ABE8E" w14:textId="77777777" w:rsidR="007968EC" w:rsidRDefault="007968EC" w:rsidP="007968EC">
      <w:pPr>
        <w:ind w:right="-1106"/>
        <w:jc w:val="both"/>
        <w:rPr>
          <w:rFonts w:ascii="Arial Narrow" w:hAnsi="Arial Narrow"/>
        </w:rPr>
      </w:pPr>
    </w:p>
    <w:p w14:paraId="3FDD2866" w14:textId="77777777" w:rsidR="007968EC" w:rsidRPr="00CF63C1" w:rsidRDefault="007968EC" w:rsidP="007968EC">
      <w:pPr>
        <w:ind w:right="-1106"/>
        <w:jc w:val="both"/>
        <w:rPr>
          <w:rFonts w:ascii="Arial Narrow" w:hAnsi="Arial Narrow"/>
        </w:rPr>
      </w:pPr>
    </w:p>
    <w:p w14:paraId="2263B097" w14:textId="77777777" w:rsidR="007968EC" w:rsidRPr="005F10B9" w:rsidRDefault="007968EC" w:rsidP="007968EC">
      <w:pPr>
        <w:jc w:val="both"/>
        <w:rPr>
          <w:rFonts w:ascii="Arial Narrow" w:hAnsi="Arial Narrow"/>
        </w:rPr>
      </w:pPr>
      <w:r w:rsidRPr="005F10B9">
        <w:rPr>
          <w:rFonts w:ascii="Arial Narrow" w:hAnsi="Arial Narrow"/>
        </w:rPr>
        <w:t>Donde:</w:t>
      </w:r>
    </w:p>
    <w:p w14:paraId="657A5B08" w14:textId="77777777" w:rsidR="007968EC" w:rsidRPr="005F10B9" w:rsidRDefault="00682D97" w:rsidP="007968EC">
      <w:pPr>
        <w:jc w:val="both"/>
        <w:rPr>
          <w:rFonts w:ascii="Arial Narrow" w:hAnsi="Arial Narrow"/>
        </w:rPr>
      </w:pPr>
      <m:oMathPara>
        <m:oMathParaPr>
          <m:jc m:val="left"/>
        </m:oMathParaP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float</m:t>
              </m:r>
            </m:sub>
          </m:sSub>
          <m:r>
            <m:rPr>
              <m:sty m:val="bi"/>
            </m:rPr>
            <w:rPr>
              <w:rFonts w:ascii="Cambria Math" w:hAnsi="Cambria Math"/>
            </w:rPr>
            <m:t xml:space="preserve">=Valor Presente de los flujos de Interés de la Rama Flotante del Swap  </m:t>
          </m:r>
        </m:oMath>
      </m:oMathPara>
    </w:p>
    <w:p w14:paraId="22033B5E" w14:textId="77777777" w:rsidR="007968EC" w:rsidRPr="005F10B9" w:rsidRDefault="007968EC" w:rsidP="007968EC">
      <w:pPr>
        <w:jc w:val="both"/>
        <w:rPr>
          <w:rFonts w:ascii="Arial Narrow" w:hAnsi="Arial Narrow"/>
        </w:rPr>
      </w:pPr>
      <m:oMathPara>
        <m:oMathParaPr>
          <m:jc m:val="left"/>
        </m:oMathParaPr>
        <m:oMath>
          <m:r>
            <m:rPr>
              <m:sty m:val="bi"/>
            </m:rPr>
            <w:rPr>
              <w:rFonts w:ascii="Cambria Math" w:hAnsi="Cambria Math"/>
            </w:rPr>
            <m:t xml:space="preserve">N=Monto Nominal del contrato </m:t>
          </m:r>
        </m:oMath>
      </m:oMathPara>
    </w:p>
    <w:p w14:paraId="7109497B" w14:textId="77777777" w:rsidR="007968EC" w:rsidRPr="005F10B9" w:rsidRDefault="00682D97" w:rsidP="007968EC">
      <w:pPr>
        <w:jc w:val="both"/>
        <w:rPr>
          <w:rFonts w:ascii="Arial Narrow" w:hAnsi="Arial Narrow"/>
        </w:rPr>
      </w:pPr>
      <m:oMathPara>
        <m:oMathParaPr>
          <m:jc m:val="left"/>
        </m:oMathParaP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obs, j</m:t>
              </m:r>
            </m:sub>
          </m:sSub>
          <m:r>
            <m:rPr>
              <m:sty m:val="bi"/>
            </m:rPr>
            <w:rPr>
              <w:rFonts w:ascii="Cambria Math" w:hAnsi="Cambria Math"/>
            </w:rPr>
            <m:t>=Tasa observada el j-ésimo día hábil despúes del inicio del contrato</m:t>
          </m:r>
        </m:oMath>
      </m:oMathPara>
    </w:p>
    <w:p w14:paraId="0C54E6B4" w14:textId="77777777" w:rsidR="007968EC" w:rsidRPr="005F10B9" w:rsidRDefault="00682D97" w:rsidP="007968EC">
      <w:pPr>
        <w:jc w:val="both"/>
        <w:rPr>
          <w:rFonts w:ascii="Arial Narrow" w:hAnsi="Arial Narrow"/>
        </w:rPr>
      </w:pPr>
      <m:oMathPara>
        <m:oMathParaPr>
          <m:jc m:val="left"/>
        </m:oMathParaP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fwd, k</m:t>
              </m:r>
            </m:sub>
          </m:sSub>
          <m:r>
            <m:rPr>
              <m:sty m:val="bi"/>
            </m:rPr>
            <w:rPr>
              <w:rFonts w:ascii="Cambria Math" w:hAnsi="Cambria Math"/>
            </w:rPr>
            <m:t>=Tasa implícita observada para el k-esimo día hábil a partir de la f valoración</m:t>
          </m:r>
        </m:oMath>
      </m:oMathPara>
    </w:p>
    <w:p w14:paraId="302333F9" w14:textId="77777777" w:rsidR="007968EC" w:rsidRPr="005F10B9" w:rsidRDefault="007968EC" w:rsidP="007968EC">
      <w:pPr>
        <w:jc w:val="both"/>
        <w:rPr>
          <w:rFonts w:ascii="Arial Narrow" w:hAnsi="Arial Narrow"/>
        </w:rPr>
      </w:pPr>
      <m:oMathPara>
        <m:oMathParaPr>
          <m:jc m:val="left"/>
        </m:oMathParaPr>
        <m:oMath>
          <m:r>
            <m:rPr>
              <m:sty m:val="bi"/>
            </m:rPr>
            <w:rPr>
              <w:rFonts w:ascii="Cambria Math" w:hAnsi="Cambria Math"/>
            </w:rPr>
            <m:t>m=Días entre la Fecha de Valoración y la Fecha de Inicio del contrato</m:t>
          </m:r>
        </m:oMath>
      </m:oMathPara>
    </w:p>
    <w:p w14:paraId="518DB438" w14:textId="77777777" w:rsidR="007968EC" w:rsidRPr="005F10B9" w:rsidRDefault="007968EC" w:rsidP="007968EC">
      <w:pPr>
        <w:jc w:val="both"/>
        <w:rPr>
          <w:rFonts w:ascii="Arial Narrow" w:hAnsi="Arial Narrow"/>
        </w:rPr>
      </w:pPr>
      <m:oMathPara>
        <m:oMathParaPr>
          <m:jc m:val="left"/>
        </m:oMathParaPr>
        <m:oMath>
          <m:r>
            <m:rPr>
              <m:sty m:val="bi"/>
            </m:rPr>
            <w:rPr>
              <w:rFonts w:ascii="Cambria Math" w:hAnsi="Cambria Math"/>
            </w:rPr>
            <m:t>l=Días entre la Fecha de Vencimiento y la Fecha de Valoración</m:t>
          </m:r>
        </m:oMath>
      </m:oMathPara>
    </w:p>
    <w:p w14:paraId="44479D3D" w14:textId="77777777" w:rsidR="007968EC" w:rsidRPr="005F10B9" w:rsidRDefault="00682D97" w:rsidP="007968EC">
      <w:pPr>
        <w:jc w:val="both"/>
        <w:rPr>
          <w:rFonts w:ascii="Arial Narrow" w:hAnsi="Arial Narrow"/>
        </w:rPr>
      </w:pPr>
      <m:oMathPara>
        <m:oMathParaPr>
          <m:jc m:val="left"/>
        </m:oMathParaPr>
        <m:oMath>
          <m:sSub>
            <m:sSubPr>
              <m:ctrlPr>
                <w:rPr>
                  <w:rFonts w:ascii="Cambria Math" w:hAnsi="Cambria Math"/>
                  <w:i/>
                </w:rPr>
              </m:ctrlPr>
            </m:sSubPr>
            <m:e>
              <m:r>
                <m:rPr>
                  <m:sty m:val="bi"/>
                </m:rPr>
                <w:rPr>
                  <w:rFonts w:ascii="Cambria Math" w:hAnsi="Cambria Math"/>
                </w:rPr>
                <m:t>δ</m:t>
              </m:r>
            </m:e>
            <m:sub>
              <m:r>
                <m:rPr>
                  <m:sty m:val="bi"/>
                </m:rPr>
                <w:rPr>
                  <w:rFonts w:ascii="Cambria Math" w:hAnsi="Cambria Math"/>
                </w:rPr>
                <m:t>i</m:t>
              </m:r>
            </m:sub>
          </m:sSub>
          <m:r>
            <m:rPr>
              <m:sty m:val="bi"/>
            </m:rPr>
            <w:rPr>
              <w:rFonts w:ascii="Cambria Math" w:hAnsi="Cambria Math"/>
            </w:rPr>
            <m:t xml:space="preserve">=Número de días correspondientes a la tasa </m:t>
          </m:r>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obs,j</m:t>
              </m:r>
            </m:sub>
          </m:sSub>
          <m:r>
            <m:rPr>
              <m:sty m:val="bi"/>
            </m:rPr>
            <w:rPr>
              <w:rFonts w:ascii="Cambria Math" w:hAnsi="Cambria Math"/>
            </w:rPr>
            <m:t xml:space="preserve"> o </m:t>
          </m:r>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fwd,j</m:t>
              </m:r>
            </m:sub>
          </m:sSub>
        </m:oMath>
      </m:oMathPara>
    </w:p>
    <w:p w14:paraId="0A67FF49" w14:textId="77777777" w:rsidR="007968EC" w:rsidRPr="005F10B9" w:rsidRDefault="00682D97" w:rsidP="007968EC">
      <w:pPr>
        <w:jc w:val="both"/>
        <w:rPr>
          <w:rFonts w:ascii="Arial Narrow" w:eastAsiaTheme="minorEastAsia" w:hAnsi="Arial Narrow"/>
        </w:rPr>
      </w:pPr>
      <m:oMathPara>
        <m:oMath>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i</m:t>
              </m:r>
            </m:sub>
          </m:sSub>
          <m:r>
            <m:rPr>
              <m:sty m:val="bi"/>
            </m:rPr>
            <w:rPr>
              <w:rFonts w:ascii="Cambria Math" w:hAnsi="Cambria Math"/>
            </w:rPr>
            <m:t>=Días entre la Fecha de Valoración y la Fecha de Pago del flujo i de la Rama Variable</m:t>
          </m:r>
        </m:oMath>
      </m:oMathPara>
    </w:p>
    <w:p w14:paraId="52B949FE" w14:textId="77777777" w:rsidR="007968EC" w:rsidRPr="005F10B9" w:rsidRDefault="00682D97" w:rsidP="007968EC">
      <w:pPr>
        <w:jc w:val="both"/>
        <w:rPr>
          <w:rFonts w:ascii="Arial Narrow" w:hAnsi="Arial Narrow"/>
        </w:rPr>
      </w:pPr>
      <m:oMathPara>
        <m:oMathParaPr>
          <m:jc m:val="left"/>
        </m:oMathParaPr>
        <m:oMath>
          <m:sSub>
            <m:sSubPr>
              <m:ctrlPr>
                <w:rPr>
                  <w:rFonts w:ascii="Cambria Math" w:hAnsi="Cambria Math"/>
                  <w:i/>
                </w:rPr>
              </m:ctrlPr>
            </m:sSubPr>
            <m:e>
              <m:r>
                <m:rPr>
                  <m:sty m:val="bi"/>
                </m:rPr>
                <w:rPr>
                  <w:rFonts w:ascii="Cambria Math" w:hAnsi="Cambria Math"/>
                </w:rPr>
                <m:t>r</m:t>
              </m:r>
            </m:e>
            <m:sub>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i</m:t>
                  </m:r>
                </m:sub>
              </m:sSub>
            </m:sub>
          </m:sSub>
          <m:r>
            <m:rPr>
              <m:sty m:val="bi"/>
            </m:rPr>
            <w:rPr>
              <w:rFonts w:ascii="Cambria Math" w:hAnsi="Cambria Math"/>
            </w:rPr>
            <m:t xml:space="preserve">=Tasa de Interés Continua compuesta de descuento al plazo </m:t>
          </m:r>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i</m:t>
              </m:r>
            </m:sub>
          </m:sSub>
        </m:oMath>
      </m:oMathPara>
    </w:p>
    <w:p w14:paraId="29587123" w14:textId="77777777" w:rsidR="007968EC" w:rsidRPr="005F10B9" w:rsidRDefault="007968EC" w:rsidP="007968EC">
      <w:pPr>
        <w:jc w:val="both"/>
        <w:rPr>
          <w:rFonts w:ascii="Arial Narrow" w:hAnsi="Arial Narrow"/>
        </w:rPr>
      </w:pPr>
      <m:oMathPara>
        <m:oMathParaPr>
          <m:jc m:val="left"/>
        </m:oMathParaPr>
        <m:oMath>
          <m:r>
            <m:rPr>
              <m:sty m:val="bi"/>
            </m:rPr>
            <w:rPr>
              <w:rFonts w:ascii="Cambria Math" w:hAnsi="Cambria Math"/>
            </w:rPr>
            <m:t>n=Número de pagos de la Rama Variable del contrato</m:t>
          </m:r>
        </m:oMath>
      </m:oMathPara>
    </w:p>
    <w:p w14:paraId="40F919B7" w14:textId="77777777" w:rsidR="007968EC" w:rsidRPr="005F10B9" w:rsidRDefault="007968EC" w:rsidP="007968EC">
      <w:pPr>
        <w:jc w:val="both"/>
        <w:rPr>
          <w:rFonts w:ascii="Arial Narrow" w:hAnsi="Arial Narrow"/>
        </w:rPr>
      </w:pPr>
      <m:oMathPara>
        <m:oMathParaPr>
          <m:jc m:val="left"/>
        </m:oMathParaPr>
        <m:oMath>
          <m:r>
            <m:rPr>
              <m:sty m:val="bi"/>
            </m:rPr>
            <w:rPr>
              <w:rFonts w:ascii="Cambria Math" w:hAnsi="Cambria Math"/>
            </w:rPr>
            <m:t>base=Número de días en un año</m:t>
          </m:r>
        </m:oMath>
      </m:oMathPara>
    </w:p>
    <w:p w14:paraId="2F5C5EB1" w14:textId="77777777" w:rsidR="007968EC" w:rsidRPr="005F10B9" w:rsidRDefault="007968EC" w:rsidP="007968EC">
      <w:pPr>
        <w:jc w:val="both"/>
        <w:rPr>
          <w:rFonts w:ascii="Arial Narrow" w:hAnsi="Arial Narrow"/>
        </w:rPr>
      </w:pPr>
    </w:p>
    <w:p w14:paraId="05A984A5" w14:textId="77777777" w:rsidR="007968EC" w:rsidRPr="005F10B9" w:rsidRDefault="007968EC" w:rsidP="007968EC">
      <w:pPr>
        <w:autoSpaceDE w:val="0"/>
        <w:autoSpaceDN w:val="0"/>
        <w:adjustRightInd w:val="0"/>
        <w:jc w:val="both"/>
        <w:rPr>
          <w:rFonts w:ascii="Arial Narrow" w:hAnsi="Arial Narrow" w:cs="CMR10"/>
        </w:rPr>
      </w:pPr>
      <w:r w:rsidRPr="005F10B9">
        <w:rPr>
          <w:rFonts w:ascii="Arial Narrow" w:hAnsi="Arial Narrow" w:cs="CMR10"/>
        </w:rPr>
        <w:t xml:space="preserve">El valor </w:t>
      </w:r>
      <w:r>
        <w:rPr>
          <w:rFonts w:ascii="Arial Narrow" w:hAnsi="Arial Narrow" w:cs="CMR10"/>
        </w:rPr>
        <w:t xml:space="preserve">presente neto </w:t>
      </w:r>
      <w:r w:rsidRPr="005F10B9">
        <w:rPr>
          <w:rFonts w:ascii="Arial Narrow" w:hAnsi="Arial Narrow" w:cs="CMR10"/>
        </w:rPr>
        <w:t xml:space="preserve">de un </w:t>
      </w:r>
      <w:r>
        <w:rPr>
          <w:rFonts w:ascii="Arial Narrow" w:hAnsi="Arial Narrow" w:cs="CMR10"/>
        </w:rPr>
        <w:t>OIS</w:t>
      </w:r>
      <w:r w:rsidRPr="005F10B9">
        <w:rPr>
          <w:rFonts w:ascii="Arial Narrow" w:hAnsi="Arial Narrow" w:cs="CMR10"/>
        </w:rPr>
        <w:t xml:space="preserve"> es igual a la diferencia entre el Valor de la Rama Variable y la Rama Fija o viceversa, según los flujos que se reciban</w:t>
      </w:r>
    </w:p>
    <w:p w14:paraId="53526756" w14:textId="77777777" w:rsidR="007968EC" w:rsidRDefault="007968EC" w:rsidP="007968EC">
      <w:pPr>
        <w:jc w:val="both"/>
        <w:rPr>
          <w:rFonts w:ascii="Arial Narrow" w:hAnsi="Arial Narrow" w:cs="CMR10"/>
        </w:rPr>
      </w:pPr>
    </w:p>
    <w:p w14:paraId="1B532D54" w14:textId="77777777" w:rsidR="007968EC" w:rsidRPr="00046D3A" w:rsidRDefault="00682D97" w:rsidP="007968EC">
      <w:pPr>
        <w:jc w:val="both"/>
        <w:rPr>
          <w:rFonts w:ascii="Arial Narrow" w:eastAsia="Calibri" w:hAnsi="Arial Narrow" w:cs="Verdana"/>
          <w:b/>
        </w:rPr>
      </w:pPr>
      <m:oMathPara>
        <m:oMath>
          <m:sSub>
            <m:sSubPr>
              <m:ctrlPr>
                <w:rPr>
                  <w:rFonts w:ascii="Cambria Math" w:hAnsi="Cambria Math"/>
                  <w:i/>
                </w:rPr>
              </m:ctrlPr>
            </m:sSubPr>
            <m:e>
              <w:bookmarkStart w:id="6426" w:name="_Hlk15568474"/>
              <m:r>
                <m:rPr>
                  <m:sty m:val="bi"/>
                </m:rPr>
                <w:rPr>
                  <w:rFonts w:ascii="Cambria Math" w:hAnsi="Cambria Math"/>
                </w:rPr>
                <m:t>NPV</m:t>
              </m:r>
              <w:bookmarkEnd w:id="6426"/>
            </m:e>
            <m:sub>
              <m:r>
                <m:rPr>
                  <m:sty m:val="bi"/>
                </m:rPr>
                <w:rPr>
                  <w:rFonts w:ascii="Cambria Math" w:hAnsi="Cambria Math"/>
                </w:rPr>
                <m:t>OIS</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float</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fix</m:t>
              </m:r>
            </m:sub>
          </m:sSub>
          <m:r>
            <m:rPr>
              <m:sty m:val="bi"/>
            </m:rPr>
            <w:rPr>
              <w:rFonts w:ascii="Cambria Math" w:hAnsi="Cambria Math"/>
            </w:rPr>
            <m:t xml:space="preserve">   </m:t>
          </m:r>
        </m:oMath>
      </m:oMathPara>
    </w:p>
    <w:p w14:paraId="60FEB63F" w14:textId="77777777" w:rsidR="007968EC" w:rsidRDefault="007968EC" w:rsidP="007968EC">
      <w:pPr>
        <w:autoSpaceDE w:val="0"/>
        <w:autoSpaceDN w:val="0"/>
        <w:adjustRightInd w:val="0"/>
        <w:ind w:left="708"/>
        <w:jc w:val="both"/>
        <w:rPr>
          <w:rFonts w:ascii="Arial Narrow" w:hAnsi="Arial Narrow" w:cs="Verdana"/>
          <w:b/>
          <w:lang w:eastAsia="es-CO"/>
        </w:rPr>
      </w:pPr>
    </w:p>
    <w:p w14:paraId="26A27AB6" w14:textId="77777777" w:rsidR="007968EC" w:rsidRPr="005F10B9" w:rsidRDefault="007968EC" w:rsidP="007968EC">
      <w:pPr>
        <w:autoSpaceDE w:val="0"/>
        <w:autoSpaceDN w:val="0"/>
        <w:adjustRightInd w:val="0"/>
        <w:ind w:left="708"/>
        <w:jc w:val="both"/>
        <w:rPr>
          <w:rFonts w:ascii="Arial Narrow" w:hAnsi="Arial Narrow" w:cs="Verdana"/>
          <w:b/>
          <w:lang w:eastAsia="es-CO"/>
        </w:rPr>
      </w:pPr>
    </w:p>
    <w:p w14:paraId="424A5A34" w14:textId="77777777" w:rsidR="007968EC" w:rsidRDefault="007968EC" w:rsidP="007968EC">
      <w:pPr>
        <w:pStyle w:val="ARTICULO0"/>
      </w:pPr>
      <w:bookmarkStart w:id="6427" w:name="_Toc31716549"/>
      <w:r>
        <w:t>Artículo 5.5.3.4. Procedimiento para el cálculo del Valor Presente Neto de los OIS</w:t>
      </w:r>
      <w:bookmarkEnd w:id="6427"/>
    </w:p>
    <w:p w14:paraId="39735EAC" w14:textId="77777777" w:rsidR="007968EC" w:rsidRDefault="007968EC" w:rsidP="007968EC">
      <w:pPr>
        <w:pStyle w:val="ARTICULO0"/>
      </w:pPr>
    </w:p>
    <w:p w14:paraId="1A03C7E6" w14:textId="77777777" w:rsidR="007968EC" w:rsidRPr="000C31A5" w:rsidRDefault="007968EC" w:rsidP="007968EC">
      <w:pPr>
        <w:pStyle w:val="ARTICULO0"/>
        <w:rPr>
          <w:u w:val="none"/>
        </w:rPr>
      </w:pPr>
      <w:bookmarkStart w:id="6428" w:name="_Toc31716550"/>
      <w:r w:rsidRPr="00D044D5">
        <w:rPr>
          <w:bCs/>
          <w:u w:val="none"/>
        </w:rPr>
        <w:t xml:space="preserve">(Este artículo fue </w:t>
      </w:r>
      <w:r>
        <w:rPr>
          <w:bCs/>
          <w:u w:val="none"/>
        </w:rPr>
        <w:t xml:space="preserve">adicionado </w:t>
      </w:r>
      <w:r w:rsidRPr="00D044D5">
        <w:rPr>
          <w:bCs/>
          <w:u w:val="none"/>
        </w:rPr>
        <w:t xml:space="preserve">mediante Circular 19 del 22 de noviembre de 2019, publicada en el </w:t>
      </w:r>
      <w:r w:rsidRPr="000C31A5">
        <w:rPr>
          <w:u w:val="none"/>
        </w:rPr>
        <w:t>Boletín Normativo No. 034 del 22 de noviembre de 2019. Rige a partir del 25 de noviembre de 2019).</w:t>
      </w:r>
      <w:bookmarkEnd w:id="6428"/>
    </w:p>
    <w:p w14:paraId="1E188D1C" w14:textId="77777777" w:rsidR="007968EC" w:rsidRDefault="007968EC" w:rsidP="007968EC">
      <w:pPr>
        <w:pStyle w:val="ARTICULO0"/>
      </w:pPr>
    </w:p>
    <w:p w14:paraId="2EEA3ABF" w14:textId="77777777" w:rsidR="007968EC" w:rsidRDefault="007968EC" w:rsidP="007968EC">
      <w:pPr>
        <w:jc w:val="both"/>
        <w:rPr>
          <w:rFonts w:ascii="Arial Narrow" w:hAnsi="Arial Narrow"/>
          <w:color w:val="000000" w:themeColor="text1"/>
        </w:rPr>
      </w:pPr>
      <w:r w:rsidRPr="00371515">
        <w:rPr>
          <w:rFonts w:ascii="Arial Narrow" w:hAnsi="Arial Narrow"/>
          <w:color w:val="000000" w:themeColor="text1"/>
        </w:rPr>
        <w:t xml:space="preserve">Para determinar </w:t>
      </w:r>
      <w:r>
        <w:rPr>
          <w:rFonts w:ascii="Arial Narrow" w:hAnsi="Arial Narrow"/>
          <w:color w:val="000000" w:themeColor="text1"/>
        </w:rPr>
        <w:t xml:space="preserve">el valor de un </w:t>
      </w:r>
      <w:r w:rsidRPr="00E410E7">
        <w:rPr>
          <w:rFonts w:ascii="Arial Narrow" w:hAnsi="Arial Narrow"/>
          <w:color w:val="000000" w:themeColor="text1"/>
        </w:rPr>
        <w:t xml:space="preserve">Cross Currency Basis Swap </w:t>
      </w:r>
      <w:r>
        <w:rPr>
          <w:rFonts w:ascii="Arial Narrow" w:hAnsi="Arial Narrow"/>
          <w:color w:val="000000" w:themeColor="text1"/>
        </w:rPr>
        <w:t xml:space="preserve">Overnight (CCSBO) </w:t>
      </w:r>
      <w:r w:rsidRPr="00371515">
        <w:rPr>
          <w:rFonts w:ascii="Arial Narrow" w:hAnsi="Arial Narrow"/>
          <w:color w:val="000000" w:themeColor="text1"/>
        </w:rPr>
        <w:t>en una fecha</w:t>
      </w:r>
      <w:r>
        <w:rPr>
          <w:rFonts w:ascii="Arial Narrow" w:hAnsi="Arial Narrow"/>
          <w:color w:val="000000" w:themeColor="text1"/>
        </w:rPr>
        <w:t xml:space="preserve"> </w:t>
      </w:r>
      <w:r w:rsidRPr="00371515">
        <w:rPr>
          <w:rFonts w:ascii="Arial Narrow" w:hAnsi="Arial Narrow"/>
          <w:color w:val="000000" w:themeColor="text1"/>
        </w:rPr>
        <w:t xml:space="preserve">determinada, se calcula el valor de cada una de las </w:t>
      </w:r>
      <w:r>
        <w:rPr>
          <w:rFonts w:ascii="Arial Narrow" w:hAnsi="Arial Narrow"/>
          <w:color w:val="000000" w:themeColor="text1"/>
        </w:rPr>
        <w:t>ramas</w:t>
      </w:r>
      <w:r w:rsidRPr="00371515">
        <w:rPr>
          <w:rFonts w:ascii="Arial Narrow" w:hAnsi="Arial Narrow"/>
          <w:color w:val="000000" w:themeColor="text1"/>
        </w:rPr>
        <w:t xml:space="preserve"> que lo componen. Cuando se trata de un swap donde se intercambian flujos atados a </w:t>
      </w:r>
      <w:r>
        <w:rPr>
          <w:rFonts w:ascii="Arial Narrow" w:hAnsi="Arial Narrow"/>
          <w:color w:val="000000" w:themeColor="text1"/>
        </w:rPr>
        <w:t>dos tasas variables</w:t>
      </w:r>
      <w:r w:rsidRPr="00371515">
        <w:rPr>
          <w:rFonts w:ascii="Arial Narrow" w:hAnsi="Arial Narrow"/>
          <w:color w:val="000000" w:themeColor="text1"/>
        </w:rPr>
        <w:t>,</w:t>
      </w:r>
      <w:r w:rsidRPr="00E001A5">
        <w:rPr>
          <w:rFonts w:ascii="Arial Narrow" w:eastAsiaTheme="majorEastAsia" w:hAnsi="Arial Narrow" w:cs="Arial"/>
          <w:bCs/>
        </w:rPr>
        <w:t xml:space="preserve"> </w:t>
      </w:r>
      <w:r w:rsidRPr="00EA347A">
        <w:rPr>
          <w:rFonts w:ascii="Arial Narrow" w:eastAsiaTheme="majorEastAsia" w:hAnsi="Arial Narrow" w:cs="Arial"/>
          <w:bCs/>
        </w:rPr>
        <w:t>donde cada rama está denominada en dos divisas diferentes</w:t>
      </w:r>
      <w:r>
        <w:rPr>
          <w:rFonts w:ascii="Arial Narrow" w:eastAsiaTheme="majorEastAsia" w:hAnsi="Arial Narrow" w:cs="Arial"/>
          <w:bCs/>
        </w:rPr>
        <w:t>, el valor de la rama variable denominada en COP está atado a la composición diaria del índice IBR O/N y está dado por:</w:t>
      </w:r>
    </w:p>
    <w:p w14:paraId="6ADC877A" w14:textId="77777777" w:rsidR="007968EC" w:rsidRDefault="007968EC" w:rsidP="007968EC">
      <w:pPr>
        <w:jc w:val="both"/>
        <w:rPr>
          <w:rFonts w:ascii="Arial Narrow" w:eastAsia="Calibri" w:hAnsi="Arial Narrow" w:cs="Verdana"/>
        </w:rPr>
      </w:pPr>
    </w:p>
    <w:p w14:paraId="29464836" w14:textId="77777777" w:rsidR="007968EC" w:rsidRPr="005B49E2" w:rsidRDefault="007968EC" w:rsidP="007968EC">
      <w:pPr>
        <w:jc w:val="both"/>
        <w:rPr>
          <w:rFonts w:ascii="Arial Narrow" w:hAnsi="Arial Narrow"/>
        </w:rPr>
      </w:pPr>
    </w:p>
    <w:p w14:paraId="084D00E2" w14:textId="77777777" w:rsidR="007968EC" w:rsidRPr="00FE49DE" w:rsidRDefault="00682D97" w:rsidP="007968EC">
      <w:pPr>
        <w:ind w:right="-255"/>
        <w:jc w:val="both"/>
        <w:rPr>
          <w:rFonts w:ascii="Arial Narrow" w:hAnsi="Arial Narrow"/>
          <w:sz w:val="22"/>
        </w:rPr>
      </w:pPr>
      <m:oMathPara>
        <m:oMath>
          <m:sSub>
            <m:sSubPr>
              <m:ctrlPr>
                <w:rPr>
                  <w:rFonts w:ascii="Cambria Math" w:hAnsi="Cambria Math"/>
                  <w:i/>
                </w:rPr>
              </m:ctrlPr>
            </m:sSubPr>
            <m:e>
              <m:r>
                <w:rPr>
                  <w:rFonts w:ascii="Cambria Math" w:hAnsi="Cambria Math"/>
                </w:rPr>
                <m:t>P</m:t>
              </m:r>
            </m:e>
            <m:sub>
              <m:r>
                <w:rPr>
                  <w:rFonts w:ascii="Cambria Math" w:hAnsi="Cambria Math"/>
                </w:rPr>
                <m:t>float1</m:t>
              </m:r>
            </m:sub>
          </m:sSub>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Nm1*</m:t>
                  </m:r>
                  <m:d>
                    <m:dPr>
                      <m:begChr m:val="["/>
                      <m:endChr m:val="]"/>
                      <m:ctrlPr>
                        <w:rPr>
                          <w:rFonts w:ascii="Cambria Math" w:hAnsi="Cambria Math"/>
                          <w:i/>
                        </w:rPr>
                      </m:ctrlPr>
                    </m:dPr>
                    <m:e>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d>
                                <m:dPr>
                                  <m:ctrlPr>
                                    <w:rPr>
                                      <w:rFonts w:ascii="Cambria Math" w:hAnsi="Cambria Math"/>
                                      <w:i/>
                                    </w:rPr>
                                  </m:ctrlPr>
                                </m:dPr>
                                <m:e>
                                  <m:r>
                                    <w:rPr>
                                      <w:rFonts w:ascii="Cambria Math" w:hAnsi="Cambria Math"/>
                                    </w:rPr>
                                    <m:t>1+</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obs,j</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δ</m:t>
                                          </m:r>
                                        </m:e>
                                        <m:sub>
                                          <m:r>
                                            <w:rPr>
                                              <w:rFonts w:ascii="Cambria Math" w:hAnsi="Cambria Math"/>
                                            </w:rPr>
                                            <m:t>j</m:t>
                                          </m:r>
                                        </m:sub>
                                      </m:sSub>
                                    </m:num>
                                    <m:den>
                                      <m:r>
                                        <w:rPr>
                                          <w:rFonts w:ascii="Cambria Math" w:hAnsi="Cambria Math"/>
                                          <w:sz w:val="22"/>
                                        </w:rPr>
                                        <m:t>base</m:t>
                                      </m:r>
                                    </m:den>
                                  </m:f>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l</m:t>
                                  </m:r>
                                </m:sup>
                                <m:e>
                                  <m:d>
                                    <m:dPr>
                                      <m:ctrlPr>
                                        <w:rPr>
                                          <w:rFonts w:ascii="Cambria Math" w:hAnsi="Cambria Math"/>
                                          <w:i/>
                                        </w:rPr>
                                      </m:ctrlPr>
                                    </m:dPr>
                                    <m:e>
                                      <m:r>
                                        <w:rPr>
                                          <w:rFonts w:ascii="Cambria Math" w:hAnsi="Cambria Math"/>
                                        </w:rPr>
                                        <m:t>1+</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fwd</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k</m:t>
                                                  </m:r>
                                                </m:sub>
                                              </m:sSub>
                                            </m:e>
                                          </m:d>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δ</m:t>
                                              </m:r>
                                            </m:e>
                                            <m:sub>
                                              <m:r>
                                                <w:rPr>
                                                  <w:rFonts w:ascii="Cambria Math" w:hAnsi="Cambria Math"/>
                                                </w:rPr>
                                                <m:t>k</m:t>
                                              </m:r>
                                            </m:sub>
                                          </m:sSub>
                                        </m:num>
                                        <m:den>
                                          <m:r>
                                            <w:rPr>
                                              <w:rFonts w:ascii="Cambria Math" w:hAnsi="Cambria Math"/>
                                              <w:sz w:val="22"/>
                                            </w:rPr>
                                            <m:t>base</m:t>
                                          </m:r>
                                        </m:den>
                                      </m:f>
                                    </m:e>
                                  </m:d>
                                </m:e>
                              </m:nary>
                            </m:e>
                          </m:nary>
                        </m:e>
                      </m:d>
                      <m:r>
                        <w:rPr>
                          <w:rFonts w:ascii="Cambria Math" w:hAnsi="Cambria Math"/>
                        </w:rPr>
                        <m:t>-1</m:t>
                      </m:r>
                    </m:e>
                  </m:d>
                  <m:r>
                    <m:rPr>
                      <m:sty m:val="bi"/>
                    </m:rPr>
                    <w:rPr>
                      <w:rFonts w:ascii="Cambria Math" w:hAnsi="Cambria Math"/>
                    </w:rPr>
                    <m:t>*</m:t>
                  </m:r>
                  <m:f>
                    <m:fPr>
                      <m:ctrlPr>
                        <w:rPr>
                          <w:rFonts w:ascii="Cambria Math" w:hAnsi="Cambria Math"/>
                          <w:i/>
                        </w:rPr>
                      </m:ctrlPr>
                    </m:fPr>
                    <m:num>
                      <m:sSub>
                        <m:sSubPr>
                          <m:ctrlPr>
                            <w:rPr>
                              <w:rFonts w:ascii="Cambria Math" w:hAnsi="Cambria Math"/>
                              <w:i/>
                            </w:rPr>
                          </m:ctrlPr>
                        </m:sSubPr>
                        <m:e>
                          <m:r>
                            <m:rPr>
                              <m:sty m:val="bi"/>
                            </m:rPr>
                            <w:rPr>
                              <w:rFonts w:ascii="Cambria Math" w:hAnsi="Cambria Math"/>
                            </w:rPr>
                            <m:t>δ</m:t>
                          </m:r>
                        </m:e>
                        <m:sub>
                          <m:r>
                            <m:rPr>
                              <m:sty m:val="bi"/>
                            </m:rPr>
                            <w:rPr>
                              <w:rFonts w:ascii="Cambria Math" w:hAnsi="Cambria Math"/>
                            </w:rPr>
                            <m:t>k</m:t>
                          </m:r>
                        </m:sub>
                      </m:sSub>
                    </m:num>
                    <m:den>
                      <m:r>
                        <m:rPr>
                          <m:sty m:val="bi"/>
                        </m:rPr>
                        <w:rPr>
                          <w:rFonts w:ascii="Cambria Math" w:hAnsi="Cambria Math"/>
                        </w:rPr>
                        <m:t>base</m:t>
                      </m:r>
                    </m:den>
                  </m:f>
                </m:e>
              </m:nary>
              <m:r>
                <w:rPr>
                  <w:rFonts w:ascii="Cambria Math" w:hAnsi="Cambria Math"/>
                </w:rPr>
                <m:t>*</m:t>
              </m:r>
              <m:sSup>
                <m:sSupPr>
                  <m:ctrlPr>
                    <w:rPr>
                      <w:rFonts w:ascii="Cambria Math" w:hAnsi="Cambria Math"/>
                      <w:i/>
                      <w:sz w:val="22"/>
                    </w:rPr>
                  </m:ctrlPr>
                </m:sSupPr>
                <m:e>
                  <m:r>
                    <w:rPr>
                      <w:rFonts w:ascii="Cambria Math" w:hAnsi="Cambria Math"/>
                      <w:sz w:val="22"/>
                    </w:rPr>
                    <m:t>e</m:t>
                  </m:r>
                </m:e>
                <m:sup>
                  <m:r>
                    <w:rPr>
                      <w:rFonts w:ascii="Cambria Math" w:hAnsi="Cambria Math"/>
                      <w:sz w:val="22"/>
                    </w:rPr>
                    <m:t>-</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r</m:t>
                          </m:r>
                        </m:e>
                        <m:sub>
                          <m:sSub>
                            <m:sSubPr>
                              <m:ctrlPr>
                                <w:rPr>
                                  <w:rFonts w:ascii="Cambria Math" w:hAnsi="Cambria Math"/>
                                  <w:i/>
                                  <w:sz w:val="22"/>
                                </w:rPr>
                              </m:ctrlPr>
                            </m:sSubPr>
                            <m:e>
                              <m:r>
                                <w:rPr>
                                  <w:rFonts w:ascii="Cambria Math" w:hAnsi="Cambria Math"/>
                                  <w:sz w:val="22"/>
                                </w:rPr>
                                <m:t>d</m:t>
                              </m:r>
                            </m:e>
                            <m:sub>
                              <m:r>
                                <w:rPr>
                                  <w:rFonts w:ascii="Cambria Math" w:hAnsi="Cambria Math"/>
                                  <w:sz w:val="22"/>
                                </w:rPr>
                                <m:t>i</m:t>
                              </m:r>
                            </m:sub>
                          </m:sSub>
                        </m:sub>
                      </m:sSub>
                      <m:r>
                        <w:rPr>
                          <w:rFonts w:ascii="Cambria Math" w:hAnsi="Cambria Math"/>
                          <w:sz w:val="22"/>
                        </w:rPr>
                        <m:t>*</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d</m:t>
                              </m:r>
                            </m:e>
                            <m:sub>
                              <m:r>
                                <w:rPr>
                                  <w:rFonts w:ascii="Cambria Math" w:hAnsi="Cambria Math"/>
                                  <w:sz w:val="22"/>
                                </w:rPr>
                                <m:t>i</m:t>
                              </m:r>
                            </m:sub>
                          </m:sSub>
                        </m:num>
                        <m:den>
                          <m:r>
                            <w:rPr>
                              <w:rFonts w:ascii="Cambria Math" w:hAnsi="Cambria Math"/>
                              <w:sz w:val="22"/>
                            </w:rPr>
                            <m:t>365</m:t>
                          </m:r>
                        </m:den>
                      </m:f>
                    </m:e>
                  </m:d>
                </m:sup>
              </m:sSup>
              <m:r>
                <w:rPr>
                  <w:rFonts w:ascii="Cambria Math" w:hAnsi="Cambria Math"/>
                  <w:sz w:val="22"/>
                </w:rPr>
                <m:t xml:space="preserve"> + </m:t>
              </m:r>
              <m:d>
                <m:dPr>
                  <m:begChr m:val="["/>
                  <m:endChr m:val="]"/>
                  <m:ctrlPr>
                    <w:rPr>
                      <w:rFonts w:ascii="Cambria Math" w:hAnsi="Cambria Math"/>
                      <w:i/>
                      <w:sz w:val="22"/>
                    </w:rPr>
                  </m:ctrlPr>
                </m:dPr>
                <m:e>
                  <m:r>
                    <w:rPr>
                      <w:rFonts w:ascii="Cambria Math" w:hAnsi="Cambria Math"/>
                      <w:sz w:val="22"/>
                    </w:rPr>
                    <m:t>Nm1*</m:t>
                  </m:r>
                  <m:sSup>
                    <m:sSupPr>
                      <m:ctrlPr>
                        <w:rPr>
                          <w:rFonts w:ascii="Cambria Math" w:hAnsi="Cambria Math"/>
                          <w:i/>
                          <w:sz w:val="22"/>
                        </w:rPr>
                      </m:ctrlPr>
                    </m:sSupPr>
                    <m:e>
                      <m:r>
                        <w:rPr>
                          <w:rFonts w:ascii="Cambria Math" w:hAnsi="Cambria Math"/>
                          <w:sz w:val="22"/>
                        </w:rPr>
                        <m:t>e</m:t>
                      </m:r>
                    </m:e>
                    <m:sup>
                      <m:r>
                        <w:rPr>
                          <w:rFonts w:ascii="Cambria Math" w:hAnsi="Cambria Math"/>
                          <w:sz w:val="22"/>
                        </w:rPr>
                        <m:t>-(</m:t>
                      </m:r>
                      <m:sSub>
                        <m:sSubPr>
                          <m:ctrlPr>
                            <w:rPr>
                              <w:rFonts w:ascii="Cambria Math" w:hAnsi="Cambria Math"/>
                              <w:i/>
                              <w:sz w:val="22"/>
                            </w:rPr>
                          </m:ctrlPr>
                        </m:sSubPr>
                        <m:e>
                          <m:r>
                            <w:rPr>
                              <w:rFonts w:ascii="Cambria Math" w:hAnsi="Cambria Math"/>
                              <w:sz w:val="22"/>
                            </w:rPr>
                            <m:t>rd</m:t>
                          </m:r>
                        </m:e>
                        <m:sub>
                          <m:r>
                            <w:rPr>
                              <w:rFonts w:ascii="Cambria Math" w:hAnsi="Cambria Math"/>
                              <w:sz w:val="22"/>
                            </w:rPr>
                            <m:t>n</m:t>
                          </m:r>
                        </m:sub>
                      </m:sSub>
                      <m:r>
                        <w:rPr>
                          <w:rFonts w:ascii="Cambria Math" w:hAnsi="Cambria Math"/>
                          <w:sz w:val="22"/>
                        </w:rPr>
                        <m:t>*</m:t>
                      </m:r>
                      <m:sSub>
                        <m:sSubPr>
                          <m:ctrlPr>
                            <w:rPr>
                              <w:rFonts w:ascii="Cambria Math" w:hAnsi="Cambria Math"/>
                              <w:i/>
                              <w:sz w:val="22"/>
                            </w:rPr>
                          </m:ctrlPr>
                        </m:sSubPr>
                        <m:e>
                          <m:r>
                            <w:rPr>
                              <w:rFonts w:ascii="Cambria Math" w:hAnsi="Cambria Math"/>
                              <w:sz w:val="22"/>
                            </w:rPr>
                            <m:t>d</m:t>
                          </m:r>
                        </m:e>
                        <m:sub>
                          <m:r>
                            <w:rPr>
                              <w:rFonts w:ascii="Cambria Math" w:hAnsi="Cambria Math"/>
                              <w:sz w:val="22"/>
                            </w:rPr>
                            <m:t>n</m:t>
                          </m:r>
                        </m:sub>
                      </m:sSub>
                      <m:r>
                        <w:rPr>
                          <w:rFonts w:ascii="Cambria Math" w:hAnsi="Cambria Math"/>
                          <w:sz w:val="22"/>
                        </w:rPr>
                        <m:t>/365)</m:t>
                      </m:r>
                    </m:sup>
                  </m:sSup>
                </m:e>
              </m:d>
            </m:e>
          </m:d>
        </m:oMath>
      </m:oMathPara>
    </w:p>
    <w:p w14:paraId="0D279999" w14:textId="77777777" w:rsidR="007968EC" w:rsidRPr="005B49E2" w:rsidRDefault="007968EC" w:rsidP="007968EC">
      <w:pPr>
        <w:jc w:val="both"/>
        <w:rPr>
          <w:rFonts w:ascii="Arial Narrow" w:hAnsi="Arial Narrow"/>
          <w:sz w:val="22"/>
        </w:rPr>
      </w:pPr>
    </w:p>
    <w:p w14:paraId="433C3E9A" w14:textId="77777777" w:rsidR="007968EC" w:rsidRPr="005B49E2" w:rsidRDefault="007968EC" w:rsidP="007968EC">
      <w:pPr>
        <w:jc w:val="both"/>
        <w:rPr>
          <w:rFonts w:ascii="Arial Narrow" w:hAnsi="Arial Narrow"/>
        </w:rPr>
      </w:pPr>
      <w:r w:rsidRPr="005B49E2">
        <w:rPr>
          <w:rFonts w:ascii="Arial Narrow" w:hAnsi="Arial Narrow"/>
        </w:rPr>
        <w:t>Donde:</w:t>
      </w:r>
    </w:p>
    <w:p w14:paraId="793A6060" w14:textId="77777777" w:rsidR="007968EC" w:rsidRPr="005B49E2" w:rsidRDefault="007968EC" w:rsidP="007968EC">
      <w:pPr>
        <w:jc w:val="both"/>
        <w:rPr>
          <w:rFonts w:ascii="Arial Narrow" w:hAnsi="Arial Narrow"/>
          <w:sz w:val="22"/>
        </w:rPr>
      </w:pPr>
    </w:p>
    <w:p w14:paraId="4F903930" w14:textId="77777777" w:rsidR="007968EC" w:rsidRPr="00D536BF" w:rsidRDefault="00682D97" w:rsidP="007968EC">
      <w:pPr>
        <w:rPr>
          <w:rFonts w:ascii="Arial Narrow" w:hAnsi="Arial Narrow"/>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float1</m:t>
              </m:r>
            </m:sub>
          </m:sSub>
          <m:r>
            <w:rPr>
              <w:rFonts w:ascii="Cambria Math" w:hAnsi="Cambria Math"/>
              <w:sz w:val="22"/>
              <w:szCs w:val="22"/>
            </w:rPr>
            <m:t>=Valor presente de los flujos de interés de la rama variable COP del swap teniendo en cuenta el</m:t>
          </m:r>
        </m:oMath>
      </m:oMathPara>
    </w:p>
    <w:p w14:paraId="6AEEB915" w14:textId="77777777" w:rsidR="007968EC" w:rsidRPr="00D536BF" w:rsidRDefault="007968EC" w:rsidP="007968EC">
      <w:pPr>
        <w:rPr>
          <w:rFonts w:ascii="Arial Narrow" w:hAnsi="Arial Narrow"/>
          <w:sz w:val="22"/>
          <w:szCs w:val="22"/>
        </w:rPr>
      </w:pPr>
      <m:oMathPara>
        <m:oMathParaPr>
          <m:jc m:val="left"/>
        </m:oMathParaPr>
        <m:oMath>
          <m:r>
            <w:rPr>
              <w:rFonts w:ascii="Cambria Math" w:hAnsi="Cambria Math"/>
              <w:sz w:val="22"/>
              <w:szCs w:val="22"/>
            </w:rPr>
            <m:t xml:space="preserve">valor del principal al vencimiento del CCS </m:t>
          </m:r>
        </m:oMath>
      </m:oMathPara>
    </w:p>
    <w:p w14:paraId="633F41E1" w14:textId="77777777" w:rsidR="007968EC" w:rsidRPr="005B49E2" w:rsidRDefault="007968EC" w:rsidP="007968EC">
      <w:pPr>
        <w:jc w:val="both"/>
        <w:rPr>
          <w:rFonts w:ascii="Arial Narrow" w:hAnsi="Arial Narrow"/>
          <w:sz w:val="22"/>
          <w:szCs w:val="22"/>
        </w:rPr>
      </w:pPr>
      <m:oMathPara>
        <m:oMathParaPr>
          <m:jc m:val="left"/>
        </m:oMathParaPr>
        <m:oMath>
          <m:r>
            <w:rPr>
              <w:rFonts w:ascii="Cambria Math" w:hAnsi="Cambria Math"/>
              <w:sz w:val="22"/>
              <w:szCs w:val="22"/>
            </w:rPr>
            <m:t xml:space="preserve">  Nm1=Monto nominal  denominado en COP moneda 1</m:t>
          </m:r>
        </m:oMath>
      </m:oMathPara>
    </w:p>
    <w:p w14:paraId="0CCF3A45" w14:textId="77777777" w:rsidR="007968EC" w:rsidRPr="005B49E2" w:rsidRDefault="00682D97" w:rsidP="007968EC">
      <w:pPr>
        <w:jc w:val="both"/>
        <w:rPr>
          <w:rFonts w:ascii="Arial Narrow" w:hAnsi="Arial Narrow"/>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obs, j</m:t>
              </m:r>
            </m:sub>
          </m:sSub>
          <m:r>
            <w:rPr>
              <w:rFonts w:ascii="Cambria Math" w:hAnsi="Cambria Math"/>
              <w:sz w:val="22"/>
              <w:szCs w:val="22"/>
            </w:rPr>
            <m:t>=Tasa observada el j-ésimo día hábil despúes del inicio del contrato</m:t>
          </m:r>
        </m:oMath>
      </m:oMathPara>
    </w:p>
    <w:p w14:paraId="04FB2144" w14:textId="77777777" w:rsidR="007968EC" w:rsidRPr="005B49E2" w:rsidRDefault="00682D97" w:rsidP="007968EC">
      <w:pPr>
        <w:jc w:val="both"/>
        <w:rPr>
          <w:rFonts w:ascii="Arial Narrow" w:hAnsi="Arial Narrow"/>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fwd, k</m:t>
              </m:r>
            </m:sub>
          </m:sSub>
          <m:r>
            <w:rPr>
              <w:rFonts w:ascii="Cambria Math" w:hAnsi="Cambria Math"/>
              <w:sz w:val="22"/>
              <w:szCs w:val="22"/>
            </w:rPr>
            <m:t>=Tasa implícita observada para el k-esimo día hábil a partir de la f valoración</m:t>
          </m:r>
        </m:oMath>
      </m:oMathPara>
    </w:p>
    <w:p w14:paraId="3137EA06" w14:textId="77777777" w:rsidR="007968EC" w:rsidRPr="005B49E2" w:rsidRDefault="007968EC" w:rsidP="007968EC">
      <w:pPr>
        <w:rPr>
          <w:rFonts w:ascii="Arial Narrow" w:hAnsi="Arial Narrow"/>
          <w:sz w:val="22"/>
          <w:szCs w:val="22"/>
        </w:rPr>
      </w:pPr>
      <m:oMathPara>
        <m:oMathParaPr>
          <m:jc m:val="left"/>
        </m:oMathParaPr>
        <m:oMath>
          <m:r>
            <w:rPr>
              <w:rFonts w:ascii="Cambria Math" w:hAnsi="Cambria Math"/>
              <w:sz w:val="22"/>
              <w:szCs w:val="22"/>
            </w:rPr>
            <m:t>m=Días entre la fecha de valoración y la fecha de inicio del contrato</m:t>
          </m:r>
        </m:oMath>
      </m:oMathPara>
    </w:p>
    <w:p w14:paraId="4919A41F" w14:textId="77777777" w:rsidR="007968EC" w:rsidRPr="005B49E2" w:rsidRDefault="007968EC" w:rsidP="007968EC">
      <w:pPr>
        <w:rPr>
          <w:rFonts w:ascii="Arial Narrow" w:hAnsi="Arial Narrow"/>
          <w:sz w:val="22"/>
          <w:szCs w:val="22"/>
        </w:rPr>
      </w:pPr>
      <m:oMathPara>
        <m:oMathParaPr>
          <m:jc m:val="left"/>
        </m:oMathParaPr>
        <m:oMath>
          <m:r>
            <w:rPr>
              <w:rFonts w:ascii="Cambria Math" w:hAnsi="Cambria Math"/>
              <w:sz w:val="22"/>
              <w:szCs w:val="22"/>
            </w:rPr>
            <m:t>l=Días entre la fecha de vencimiento y la fecha de valoración</m:t>
          </m:r>
        </m:oMath>
      </m:oMathPara>
    </w:p>
    <w:p w14:paraId="77BA1F16" w14:textId="77777777" w:rsidR="007968EC" w:rsidRPr="005B49E2" w:rsidRDefault="00682D97" w:rsidP="007968EC">
      <w:pPr>
        <w:jc w:val="both"/>
        <w:rPr>
          <w:rFonts w:ascii="Arial Narrow" w:hAnsi="Arial Narrow"/>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i</m:t>
              </m:r>
            </m:sub>
          </m:sSub>
          <m:r>
            <w:rPr>
              <w:rFonts w:ascii="Cambria Math" w:hAnsi="Cambria Math"/>
              <w:sz w:val="22"/>
              <w:szCs w:val="22"/>
            </w:rPr>
            <m:t xml:space="preserve">=Número de días correspondientes a la tasa </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obs,j</m:t>
              </m:r>
            </m:sub>
          </m:sSub>
          <m:r>
            <w:rPr>
              <w:rFonts w:ascii="Cambria Math" w:hAnsi="Cambria Math"/>
              <w:sz w:val="22"/>
              <w:szCs w:val="22"/>
            </w:rPr>
            <m:t xml:space="preserve"> o </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fwd,j</m:t>
              </m:r>
            </m:sub>
          </m:sSub>
        </m:oMath>
      </m:oMathPara>
    </w:p>
    <w:p w14:paraId="3A47896D" w14:textId="77777777" w:rsidR="007968EC" w:rsidRPr="005B49E2" w:rsidRDefault="00682D97" w:rsidP="007968EC">
      <w:pPr>
        <w:jc w:val="both"/>
        <w:rPr>
          <w:rFonts w:ascii="Arial Narrow" w:hAnsi="Arial Narrow"/>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i</m:t>
              </m:r>
            </m:sub>
          </m:sSub>
          <m:r>
            <w:rPr>
              <w:rFonts w:ascii="Cambria Math" w:hAnsi="Cambria Math"/>
              <w:sz w:val="22"/>
              <w:szCs w:val="22"/>
            </w:rPr>
            <m:t>=Días entre la fecha de valoración y la fecha de pago del flujo i de la rama variable 1</m:t>
          </m:r>
        </m:oMath>
      </m:oMathPara>
    </w:p>
    <w:p w14:paraId="656FECF1" w14:textId="77777777" w:rsidR="007968EC" w:rsidRPr="005B49E2" w:rsidRDefault="00682D97" w:rsidP="007968EC">
      <w:pPr>
        <w:jc w:val="both"/>
        <w:rPr>
          <w:rFonts w:ascii="Arial Narrow" w:hAnsi="Arial Narrow"/>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r</m:t>
              </m:r>
            </m:e>
            <m:sub>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i</m:t>
                  </m:r>
                </m:sub>
              </m:sSub>
            </m:sub>
          </m:sSub>
          <m:r>
            <w:rPr>
              <w:rFonts w:ascii="Cambria Math" w:hAnsi="Cambria Math"/>
              <w:sz w:val="22"/>
              <w:szCs w:val="22"/>
            </w:rPr>
            <m:t xml:space="preserve">=Tasa de interés continua compuesta de descuento al plazo </m:t>
          </m:r>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i</m:t>
              </m:r>
            </m:sub>
          </m:sSub>
        </m:oMath>
      </m:oMathPara>
    </w:p>
    <w:p w14:paraId="11E1CB4C" w14:textId="77777777" w:rsidR="007968EC" w:rsidRPr="00FE49DE" w:rsidRDefault="007968EC" w:rsidP="007968EC">
      <w:pPr>
        <w:jc w:val="both"/>
        <w:rPr>
          <w:rFonts w:ascii="Arial Narrow" w:hAnsi="Arial Narrow"/>
          <w:sz w:val="22"/>
          <w:szCs w:val="22"/>
        </w:rPr>
      </w:pPr>
      <m:oMathPara>
        <m:oMathParaPr>
          <m:jc m:val="left"/>
        </m:oMathParaPr>
        <m:oMath>
          <m:r>
            <w:rPr>
              <w:rFonts w:ascii="Cambria Math" w:hAnsi="Cambria Math"/>
              <w:sz w:val="22"/>
              <w:szCs w:val="22"/>
            </w:rPr>
            <m:t>n=Número de pagos de la rama variable COP del contrato</m:t>
          </m:r>
        </m:oMath>
      </m:oMathPara>
    </w:p>
    <w:p w14:paraId="1E40CBBF" w14:textId="77777777" w:rsidR="007968EC" w:rsidRDefault="007968EC" w:rsidP="007968EC">
      <w:pPr>
        <w:jc w:val="both"/>
        <w:rPr>
          <w:rFonts w:ascii="Arial Narrow" w:hAnsi="Arial Narrow"/>
          <w:sz w:val="22"/>
          <w:szCs w:val="22"/>
        </w:rPr>
      </w:pPr>
    </w:p>
    <w:p w14:paraId="36D52D83" w14:textId="77777777" w:rsidR="007968EC" w:rsidRDefault="007968EC" w:rsidP="007968EC">
      <w:pPr>
        <w:jc w:val="both"/>
        <w:rPr>
          <w:rFonts w:ascii="Arial Narrow" w:hAnsi="Arial Narrow"/>
          <w:sz w:val="22"/>
          <w:szCs w:val="22"/>
        </w:rPr>
      </w:pPr>
    </w:p>
    <w:p w14:paraId="2B3FCD3D" w14:textId="77777777" w:rsidR="007968EC" w:rsidRPr="005B49E2" w:rsidRDefault="007968EC" w:rsidP="007968EC">
      <w:pPr>
        <w:jc w:val="both"/>
        <w:rPr>
          <w:rFonts w:ascii="Arial Narrow" w:hAnsi="Arial Narrow"/>
        </w:rPr>
      </w:pPr>
      <w:r>
        <w:rPr>
          <w:rFonts w:ascii="Arial Narrow" w:hAnsi="Arial Narrow"/>
        </w:rPr>
        <w:t xml:space="preserve">La rama </w:t>
      </w:r>
      <w:r w:rsidRPr="005B49E2">
        <w:rPr>
          <w:rFonts w:ascii="Arial Narrow" w:hAnsi="Arial Narrow"/>
        </w:rPr>
        <w:t xml:space="preserve">variable </w:t>
      </w:r>
      <w:r>
        <w:rPr>
          <w:rFonts w:ascii="Arial Narrow" w:hAnsi="Arial Narrow"/>
        </w:rPr>
        <w:t xml:space="preserve">USD </w:t>
      </w:r>
      <w:r w:rsidRPr="005B49E2">
        <w:rPr>
          <w:rFonts w:ascii="Arial Narrow" w:hAnsi="Arial Narrow"/>
        </w:rPr>
        <w:t xml:space="preserve">está </w:t>
      </w:r>
      <w:proofErr w:type="gramStart"/>
      <w:r w:rsidRPr="005B49E2">
        <w:rPr>
          <w:rFonts w:ascii="Arial Narrow" w:hAnsi="Arial Narrow"/>
        </w:rPr>
        <w:t>dada</w:t>
      </w:r>
      <w:proofErr w:type="gramEnd"/>
      <w:r w:rsidRPr="005B49E2">
        <w:rPr>
          <w:rFonts w:ascii="Arial Narrow" w:hAnsi="Arial Narrow"/>
        </w:rPr>
        <w:t xml:space="preserve"> por:</w:t>
      </w:r>
    </w:p>
    <w:p w14:paraId="49B15E0C" w14:textId="77777777" w:rsidR="007968EC" w:rsidRDefault="007968EC" w:rsidP="007968EC">
      <w:pPr>
        <w:jc w:val="both"/>
        <w:rPr>
          <w:rFonts w:ascii="Arial Narrow" w:hAnsi="Arial Narrow"/>
          <w:sz w:val="22"/>
          <w:szCs w:val="22"/>
        </w:rPr>
      </w:pPr>
    </w:p>
    <w:p w14:paraId="3471D7BD" w14:textId="77777777" w:rsidR="007968EC" w:rsidRPr="00FE49DE" w:rsidRDefault="00682D97" w:rsidP="007968EC">
      <w:pPr>
        <w:jc w:val="both"/>
        <w:rPr>
          <w:rFonts w:ascii="Arial Narrow" w:hAnsi="Arial Narrow"/>
          <w:sz w:val="22"/>
        </w:rPr>
      </w:pPr>
      <m:oMathPara>
        <m:oMath>
          <m:sSub>
            <m:sSubPr>
              <m:ctrlPr>
                <w:rPr>
                  <w:rFonts w:ascii="Cambria Math" w:hAnsi="Cambria Math"/>
                  <w:i/>
                </w:rPr>
              </m:ctrlPr>
            </m:sSubPr>
            <m:e>
              <m:r>
                <w:rPr>
                  <w:rFonts w:ascii="Cambria Math" w:hAnsi="Cambria Math"/>
                </w:rPr>
                <m:t>P</m:t>
              </m:r>
            </m:e>
            <m:sub>
              <m:r>
                <w:rPr>
                  <w:rFonts w:ascii="Cambria Math" w:hAnsi="Cambria Math"/>
                </w:rPr>
                <m:t>float,2</m:t>
              </m:r>
            </m:sub>
          </m:sSub>
          <m:r>
            <w:rPr>
              <w:rFonts w:ascii="Cambria Math" w:hAnsi="Cambria Math"/>
            </w:rPr>
            <m:t>=</m:t>
          </m:r>
          <m:d>
            <m:dPr>
              <m:begChr m:val="["/>
              <m:endChr m:val="]"/>
              <m:ctrlPr>
                <w:rPr>
                  <w:rFonts w:ascii="Cambria Math" w:hAnsi="Cambria Math"/>
                  <w:i/>
                  <w:sz w:val="22"/>
                </w:rPr>
              </m:ctrlPr>
            </m:dPr>
            <m:e>
              <m:nary>
                <m:naryPr>
                  <m:chr m:val="∑"/>
                  <m:limLoc m:val="undOvr"/>
                  <m:ctrlPr>
                    <w:rPr>
                      <w:rFonts w:ascii="Cambria Math" w:hAnsi="Cambria Math"/>
                      <w:i/>
                      <w:sz w:val="22"/>
                    </w:rPr>
                  </m:ctrlPr>
                </m:naryPr>
                <m:sub>
                  <m:r>
                    <w:rPr>
                      <w:rFonts w:ascii="Cambria Math" w:hAnsi="Cambria Math"/>
                      <w:sz w:val="22"/>
                    </w:rPr>
                    <m:t>i=1</m:t>
                  </m:r>
                </m:sub>
                <m:sup>
                  <m:r>
                    <w:rPr>
                      <w:rFonts w:ascii="Cambria Math" w:hAnsi="Cambria Math"/>
                      <w:sz w:val="22"/>
                    </w:rPr>
                    <m:t>n</m:t>
                  </m:r>
                </m:sup>
                <m:e>
                  <m:d>
                    <m:dPr>
                      <m:begChr m:val="["/>
                      <m:endChr m:val="]"/>
                      <m:ctrlPr>
                        <w:rPr>
                          <w:rFonts w:ascii="Cambria Math" w:hAnsi="Cambria Math"/>
                          <w:i/>
                          <w:sz w:val="22"/>
                        </w:rPr>
                      </m:ctrlPr>
                    </m:dPr>
                    <m:e>
                      <m:f>
                        <m:fPr>
                          <m:type m:val="lin"/>
                          <m:ctrlPr>
                            <w:rPr>
                              <w:rFonts w:ascii="Cambria Math" w:hAnsi="Cambria Math"/>
                              <w:i/>
                              <w:sz w:val="22"/>
                            </w:rPr>
                          </m:ctrlPr>
                        </m:fPr>
                        <m:num>
                          <m:r>
                            <w:rPr>
                              <w:rFonts w:ascii="Cambria Math" w:hAnsi="Cambria Math"/>
                              <w:sz w:val="22"/>
                            </w:rPr>
                            <m:t>Nm2*</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R</m:t>
                                  </m:r>
                                </m:e>
                                <m:sub>
                                  <m:r>
                                    <w:rPr>
                                      <w:rFonts w:ascii="Cambria Math" w:hAnsi="Cambria Math"/>
                                      <w:sz w:val="22"/>
                                    </w:rPr>
                                    <m:t>float</m:t>
                                  </m:r>
                                </m:sub>
                              </m:sSub>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T</m:t>
                                      </m:r>
                                    </m:e>
                                    <m:sub>
                                      <m:r>
                                        <w:rPr>
                                          <w:rFonts w:ascii="Cambria Math" w:hAnsi="Cambria Math"/>
                                          <w:sz w:val="22"/>
                                        </w:rPr>
                                        <m:t>i-1</m:t>
                                      </m:r>
                                    </m:sub>
                                  </m:sSub>
                                  <m:r>
                                    <w:rPr>
                                      <w:rFonts w:ascii="Cambria Math" w:hAnsi="Cambria Math"/>
                                      <w:sz w:val="22"/>
                                    </w:rPr>
                                    <m:t>,</m:t>
                                  </m:r>
                                  <m:sSub>
                                    <m:sSubPr>
                                      <m:ctrlPr>
                                        <w:rPr>
                                          <w:rFonts w:ascii="Cambria Math" w:hAnsi="Cambria Math"/>
                                          <w:i/>
                                          <w:sz w:val="22"/>
                                        </w:rPr>
                                      </m:ctrlPr>
                                    </m:sSubPr>
                                    <m:e>
                                      <m:r>
                                        <w:rPr>
                                          <w:rFonts w:ascii="Cambria Math" w:hAnsi="Cambria Math"/>
                                          <w:sz w:val="22"/>
                                        </w:rPr>
                                        <m:t>T</m:t>
                                      </m:r>
                                    </m:e>
                                    <m:sub>
                                      <m:r>
                                        <w:rPr>
                                          <w:rFonts w:ascii="Cambria Math" w:hAnsi="Cambria Math"/>
                                          <w:sz w:val="22"/>
                                        </w:rPr>
                                        <m:t>i</m:t>
                                      </m:r>
                                    </m:sub>
                                  </m:sSub>
                                </m:e>
                              </m:d>
                              <m:r>
                                <w:rPr>
                                  <w:rFonts w:ascii="Cambria Math" w:hAnsi="Cambria Math"/>
                                  <w:sz w:val="22"/>
                                </w:rPr>
                                <m:t>+s</m:t>
                              </m:r>
                            </m:e>
                          </m:d>
                          <m:r>
                            <w:rPr>
                              <w:rFonts w:ascii="Cambria Math" w:hAnsi="Cambria Math"/>
                              <w:sz w:val="22"/>
                            </w:rPr>
                            <m:t>*</m:t>
                          </m:r>
                          <m:sSub>
                            <m:sSubPr>
                              <m:ctrlPr>
                                <w:rPr>
                                  <w:rFonts w:ascii="Cambria Math" w:hAnsi="Cambria Math"/>
                                  <w:i/>
                                  <w:sz w:val="22"/>
                                </w:rPr>
                              </m:ctrlPr>
                            </m:sSubPr>
                            <m:e>
                              <m:r>
                                <w:rPr>
                                  <w:rFonts w:ascii="Cambria Math" w:hAnsi="Cambria Math"/>
                                  <w:sz w:val="22"/>
                                </w:rPr>
                                <m:t>δ</m:t>
                              </m:r>
                            </m:e>
                            <m:sub>
                              <m:r>
                                <w:rPr>
                                  <w:rFonts w:ascii="Cambria Math" w:hAnsi="Cambria Math"/>
                                  <w:sz w:val="22"/>
                                </w:rPr>
                                <m:t>i</m:t>
                              </m:r>
                            </m:sub>
                          </m:sSub>
                        </m:num>
                        <m:den>
                          <m:r>
                            <w:rPr>
                              <w:rFonts w:ascii="Cambria Math" w:hAnsi="Cambria Math"/>
                              <w:sz w:val="22"/>
                            </w:rPr>
                            <m:t>base</m:t>
                          </m:r>
                        </m:den>
                      </m:f>
                    </m:e>
                  </m:d>
                </m:e>
              </m:nary>
              <m:r>
                <w:rPr>
                  <w:rFonts w:ascii="Cambria Math" w:hAnsi="Cambria Math"/>
                  <w:sz w:val="22"/>
                </w:rPr>
                <m:t>*</m:t>
              </m:r>
              <m:sSup>
                <m:sSupPr>
                  <m:ctrlPr>
                    <w:rPr>
                      <w:rFonts w:ascii="Cambria Math" w:hAnsi="Cambria Math"/>
                      <w:i/>
                      <w:sz w:val="22"/>
                    </w:rPr>
                  </m:ctrlPr>
                </m:sSupPr>
                <m:e>
                  <m:r>
                    <w:rPr>
                      <w:rFonts w:ascii="Cambria Math" w:hAnsi="Cambria Math"/>
                      <w:sz w:val="22"/>
                    </w:rPr>
                    <m:t>e</m:t>
                  </m:r>
                </m:e>
                <m:sup>
                  <m:r>
                    <w:rPr>
                      <w:rFonts w:ascii="Cambria Math" w:hAnsi="Cambria Math"/>
                      <w:sz w:val="22"/>
                    </w:rPr>
                    <m:t>-(</m:t>
                  </m:r>
                  <m:sSub>
                    <m:sSubPr>
                      <m:ctrlPr>
                        <w:rPr>
                          <w:rFonts w:ascii="Cambria Math" w:hAnsi="Cambria Math"/>
                          <w:i/>
                          <w:sz w:val="22"/>
                        </w:rPr>
                      </m:ctrlPr>
                    </m:sSubPr>
                    <m:e>
                      <m:r>
                        <w:rPr>
                          <w:rFonts w:ascii="Cambria Math" w:hAnsi="Cambria Math"/>
                          <w:sz w:val="22"/>
                        </w:rPr>
                        <m:t>r</m:t>
                      </m:r>
                    </m:e>
                    <m:sub>
                      <m:sSub>
                        <m:sSubPr>
                          <m:ctrlPr>
                            <w:rPr>
                              <w:rFonts w:ascii="Cambria Math" w:hAnsi="Cambria Math"/>
                              <w:i/>
                              <w:sz w:val="22"/>
                            </w:rPr>
                          </m:ctrlPr>
                        </m:sSubPr>
                        <m:e>
                          <m:r>
                            <w:rPr>
                              <w:rFonts w:ascii="Cambria Math" w:hAnsi="Cambria Math"/>
                              <w:sz w:val="22"/>
                            </w:rPr>
                            <m:t>d</m:t>
                          </m:r>
                        </m:e>
                        <m:sub>
                          <m:r>
                            <w:rPr>
                              <w:rFonts w:ascii="Cambria Math" w:hAnsi="Cambria Math"/>
                              <w:sz w:val="22"/>
                            </w:rPr>
                            <m:t>i</m:t>
                          </m:r>
                        </m:sub>
                      </m:sSub>
                    </m:sub>
                  </m:sSub>
                  <m:r>
                    <w:rPr>
                      <w:rFonts w:ascii="Cambria Math" w:hAnsi="Cambria Math"/>
                      <w:sz w:val="22"/>
                    </w:rPr>
                    <m:t>*</m:t>
                  </m:r>
                  <m:sSub>
                    <m:sSubPr>
                      <m:ctrlPr>
                        <w:rPr>
                          <w:rFonts w:ascii="Cambria Math" w:hAnsi="Cambria Math"/>
                          <w:i/>
                          <w:sz w:val="22"/>
                        </w:rPr>
                      </m:ctrlPr>
                    </m:sSubPr>
                    <m:e>
                      <m:r>
                        <w:rPr>
                          <w:rFonts w:ascii="Cambria Math" w:hAnsi="Cambria Math"/>
                          <w:sz w:val="22"/>
                        </w:rPr>
                        <m:t>d</m:t>
                      </m:r>
                    </m:e>
                    <m:sub>
                      <m:r>
                        <w:rPr>
                          <w:rFonts w:ascii="Cambria Math" w:hAnsi="Cambria Math"/>
                          <w:sz w:val="22"/>
                        </w:rPr>
                        <m:t>i</m:t>
                      </m:r>
                    </m:sub>
                  </m:sSub>
                  <m:r>
                    <w:rPr>
                      <w:rFonts w:ascii="Cambria Math" w:hAnsi="Cambria Math"/>
                      <w:sz w:val="22"/>
                    </w:rPr>
                    <m:t>/365)</m:t>
                  </m:r>
                </m:sup>
              </m:sSup>
              <m:r>
                <w:rPr>
                  <w:rFonts w:ascii="Cambria Math" w:hAnsi="Cambria Math"/>
                  <w:sz w:val="22"/>
                </w:rPr>
                <m:t xml:space="preserve"> + </m:t>
              </m:r>
              <m:d>
                <m:dPr>
                  <m:begChr m:val="["/>
                  <m:endChr m:val="]"/>
                  <m:ctrlPr>
                    <w:rPr>
                      <w:rFonts w:ascii="Cambria Math" w:hAnsi="Cambria Math"/>
                      <w:i/>
                      <w:sz w:val="22"/>
                    </w:rPr>
                  </m:ctrlPr>
                </m:dPr>
                <m:e>
                  <m:r>
                    <w:rPr>
                      <w:rFonts w:ascii="Cambria Math" w:hAnsi="Cambria Math"/>
                      <w:sz w:val="22"/>
                    </w:rPr>
                    <m:t>Nm2*</m:t>
                  </m:r>
                  <m:sSup>
                    <m:sSupPr>
                      <m:ctrlPr>
                        <w:rPr>
                          <w:rFonts w:ascii="Cambria Math" w:hAnsi="Cambria Math"/>
                          <w:i/>
                          <w:sz w:val="22"/>
                        </w:rPr>
                      </m:ctrlPr>
                    </m:sSupPr>
                    <m:e>
                      <m:r>
                        <w:rPr>
                          <w:rFonts w:ascii="Cambria Math" w:hAnsi="Cambria Math"/>
                          <w:sz w:val="22"/>
                        </w:rPr>
                        <m:t>e</m:t>
                      </m:r>
                    </m:e>
                    <m:sup>
                      <m:r>
                        <w:rPr>
                          <w:rFonts w:ascii="Cambria Math" w:hAnsi="Cambria Math"/>
                          <w:sz w:val="22"/>
                        </w:rPr>
                        <m:t>-(</m:t>
                      </m:r>
                      <m:sSub>
                        <m:sSubPr>
                          <m:ctrlPr>
                            <w:rPr>
                              <w:rFonts w:ascii="Cambria Math" w:hAnsi="Cambria Math"/>
                              <w:i/>
                              <w:sz w:val="22"/>
                            </w:rPr>
                          </m:ctrlPr>
                        </m:sSubPr>
                        <m:e>
                          <m:r>
                            <w:rPr>
                              <w:rFonts w:ascii="Cambria Math" w:hAnsi="Cambria Math"/>
                              <w:sz w:val="22"/>
                            </w:rPr>
                            <m:t>r</m:t>
                          </m:r>
                        </m:e>
                        <m:sub>
                          <m:r>
                            <w:rPr>
                              <w:rFonts w:ascii="Cambria Math" w:hAnsi="Cambria Math"/>
                              <w:sz w:val="22"/>
                            </w:rPr>
                            <m:t>n</m:t>
                          </m:r>
                        </m:sub>
                      </m:sSub>
                      <m:r>
                        <w:rPr>
                          <w:rFonts w:ascii="Cambria Math" w:hAnsi="Cambria Math"/>
                          <w:sz w:val="22"/>
                        </w:rPr>
                        <m:t>*</m:t>
                      </m:r>
                      <m:sSub>
                        <m:sSubPr>
                          <m:ctrlPr>
                            <w:rPr>
                              <w:rFonts w:ascii="Cambria Math" w:hAnsi="Cambria Math"/>
                              <w:i/>
                              <w:sz w:val="22"/>
                            </w:rPr>
                          </m:ctrlPr>
                        </m:sSubPr>
                        <m:e>
                          <m:r>
                            <w:rPr>
                              <w:rFonts w:ascii="Cambria Math" w:hAnsi="Cambria Math"/>
                              <w:sz w:val="22"/>
                            </w:rPr>
                            <m:t>d</m:t>
                          </m:r>
                        </m:e>
                        <m:sub>
                          <m:r>
                            <w:rPr>
                              <w:rFonts w:ascii="Cambria Math" w:hAnsi="Cambria Math"/>
                              <w:sz w:val="22"/>
                            </w:rPr>
                            <m:t>n</m:t>
                          </m:r>
                        </m:sub>
                      </m:sSub>
                      <m:r>
                        <w:rPr>
                          <w:rFonts w:ascii="Cambria Math" w:hAnsi="Cambria Math"/>
                          <w:sz w:val="22"/>
                        </w:rPr>
                        <m:t>/365)</m:t>
                      </m:r>
                    </m:sup>
                  </m:sSup>
                </m:e>
              </m:d>
            </m:e>
          </m:d>
        </m:oMath>
      </m:oMathPara>
    </w:p>
    <w:p w14:paraId="0E6E3E49" w14:textId="77777777" w:rsidR="007968EC" w:rsidRPr="005B49E2" w:rsidRDefault="007968EC" w:rsidP="007968EC">
      <w:pPr>
        <w:jc w:val="both"/>
        <w:rPr>
          <w:rFonts w:ascii="Arial Narrow" w:hAnsi="Arial Narrow"/>
        </w:rPr>
      </w:pPr>
    </w:p>
    <w:p w14:paraId="36583B14" w14:textId="77777777" w:rsidR="007968EC" w:rsidRPr="005B49E2" w:rsidRDefault="007968EC" w:rsidP="007968EC">
      <w:pPr>
        <w:jc w:val="both"/>
        <w:rPr>
          <w:rFonts w:ascii="Arial Narrow" w:hAnsi="Arial Narrow"/>
        </w:rPr>
      </w:pPr>
      <w:r w:rsidRPr="005B49E2">
        <w:rPr>
          <w:rFonts w:ascii="Arial Narrow" w:hAnsi="Arial Narrow"/>
        </w:rPr>
        <w:t>Donde:</w:t>
      </w:r>
    </w:p>
    <w:p w14:paraId="71DF4FD2" w14:textId="77777777" w:rsidR="007968EC" w:rsidRPr="005B49E2" w:rsidRDefault="007968EC" w:rsidP="007968EC">
      <w:pPr>
        <w:jc w:val="both"/>
        <w:rPr>
          <w:rFonts w:ascii="Arial Narrow" w:hAnsi="Arial Narrow"/>
          <w:sz w:val="22"/>
          <w:szCs w:val="22"/>
        </w:rPr>
      </w:pPr>
    </w:p>
    <w:p w14:paraId="1F06182A" w14:textId="77777777" w:rsidR="007968EC" w:rsidRPr="00D536BF" w:rsidRDefault="00682D97" w:rsidP="007968EC">
      <w:pPr>
        <w:rPr>
          <w:rFonts w:ascii="Arial Narrow" w:hAnsi="Arial Narrow"/>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float2</m:t>
              </m:r>
            </m:sub>
          </m:sSub>
          <m:r>
            <w:rPr>
              <w:rFonts w:ascii="Cambria Math" w:hAnsi="Cambria Math"/>
              <w:sz w:val="22"/>
              <w:szCs w:val="22"/>
            </w:rPr>
            <m:t>=Valor presente de los flujos de interés de la rama variable USD del swap teniendo</m:t>
          </m:r>
        </m:oMath>
      </m:oMathPara>
    </w:p>
    <w:p w14:paraId="47D9B3E3" w14:textId="77777777" w:rsidR="007968EC" w:rsidRPr="00D536BF" w:rsidRDefault="007968EC" w:rsidP="007968EC">
      <w:pPr>
        <w:rPr>
          <w:rFonts w:ascii="Arial Narrow" w:hAnsi="Arial Narrow"/>
          <w:sz w:val="22"/>
          <w:szCs w:val="22"/>
        </w:rPr>
      </w:pPr>
      <m:oMathPara>
        <m:oMathParaPr>
          <m:jc m:val="left"/>
        </m:oMathParaPr>
        <m:oMath>
          <m:r>
            <w:rPr>
              <w:rFonts w:ascii="Cambria Math" w:hAnsi="Cambria Math"/>
              <w:sz w:val="22"/>
              <w:szCs w:val="22"/>
            </w:rPr>
            <m:t xml:space="preserve">en cuenta el valor del principal al vencimiento del CCS  </m:t>
          </m:r>
        </m:oMath>
      </m:oMathPara>
    </w:p>
    <w:p w14:paraId="05D6E0E3" w14:textId="77777777" w:rsidR="007968EC" w:rsidRPr="005B49E2" w:rsidRDefault="007968EC" w:rsidP="007968EC">
      <w:pPr>
        <w:jc w:val="both"/>
        <w:rPr>
          <w:rFonts w:ascii="Arial Narrow" w:hAnsi="Arial Narrow"/>
          <w:sz w:val="22"/>
          <w:szCs w:val="22"/>
        </w:rPr>
      </w:pPr>
      <m:oMathPara>
        <m:oMathParaPr>
          <m:jc m:val="left"/>
        </m:oMathParaPr>
        <m:oMath>
          <m:r>
            <w:rPr>
              <w:rFonts w:ascii="Cambria Math" w:hAnsi="Cambria Math"/>
              <w:sz w:val="22"/>
              <w:szCs w:val="22"/>
            </w:rPr>
            <m:t>Nm2=Monto nominal  denominado en USD moneda 2</m:t>
          </m:r>
        </m:oMath>
      </m:oMathPara>
    </w:p>
    <w:p w14:paraId="1F7E1AA4" w14:textId="77777777" w:rsidR="007968EC" w:rsidRPr="005B49E2" w:rsidRDefault="00682D97" w:rsidP="007968EC">
      <w:pPr>
        <w:jc w:val="both"/>
        <w:rPr>
          <w:rFonts w:ascii="Arial Narrow" w:hAnsi="Arial Narrow"/>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float</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m:t>
                  </m:r>
                </m:sub>
              </m:sSub>
            </m:e>
          </m:d>
          <m:r>
            <w:rPr>
              <w:rFonts w:ascii="Cambria Math" w:hAnsi="Cambria Math"/>
              <w:sz w:val="22"/>
              <w:szCs w:val="22"/>
            </w:rPr>
            <m:t>=Tasa de interés variable de la rama variable USD del swap para el periodo</m:t>
          </m:r>
        </m:oMath>
      </m:oMathPara>
    </w:p>
    <w:p w14:paraId="43D0C591" w14:textId="77777777" w:rsidR="007968EC" w:rsidRPr="005B49E2" w:rsidRDefault="007968EC" w:rsidP="007968EC">
      <w:pPr>
        <w:jc w:val="both"/>
        <w:rPr>
          <w:rFonts w:ascii="Arial Narrow" w:hAnsi="Arial Narrow"/>
          <w:sz w:val="22"/>
          <w:szCs w:val="22"/>
        </w:rPr>
      </w:pPr>
      <m:oMathPara>
        <m:oMathParaPr>
          <m:jc m:val="left"/>
        </m:oMathParaPr>
        <m:oMath>
          <m:r>
            <w:rPr>
              <w:rFonts w:ascii="Cambria Math" w:hAnsi="Cambria Math"/>
              <w:sz w:val="22"/>
              <w:szCs w:val="22"/>
            </w:rPr>
            <m:t xml:space="preserve">entre </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m:t>
                  </m:r>
                </m:sub>
              </m:sSub>
            </m:e>
          </m:d>
          <m:r>
            <w:rPr>
              <w:rFonts w:ascii="Cambria Math" w:hAnsi="Cambria Math"/>
              <w:sz w:val="22"/>
              <w:szCs w:val="22"/>
            </w:rPr>
            <m:t>. se tiene que:</m:t>
          </m:r>
        </m:oMath>
      </m:oMathPara>
    </w:p>
    <w:p w14:paraId="3B382A29" w14:textId="77777777" w:rsidR="007968EC" w:rsidRPr="005B49E2" w:rsidRDefault="007968EC" w:rsidP="007968EC">
      <w:pPr>
        <w:ind w:left="1416" w:firstLine="708"/>
        <w:jc w:val="both"/>
        <w:rPr>
          <w:rFonts w:ascii="Arial Narrow" w:hAnsi="Arial Narrow"/>
          <w:sz w:val="22"/>
          <w:szCs w:val="22"/>
        </w:rPr>
      </w:pPr>
    </w:p>
    <w:p w14:paraId="74B6429B" w14:textId="77777777" w:rsidR="007968EC" w:rsidRPr="00232A82" w:rsidRDefault="00682D97" w:rsidP="007968EC">
      <w:pPr>
        <w:jc w:val="center"/>
        <w:rPr>
          <w:rFonts w:ascii="Arial Narrow" w:hAnsi="Arial Narrow"/>
          <w:sz w:val="22"/>
          <w:szCs w:val="22"/>
        </w:rPr>
      </w:pPr>
      <m:oMathPara>
        <m:oMathParaPr>
          <m:jc m:val="center"/>
        </m:oMathParaP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float,2</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m:t>
                  </m:r>
                </m:sub>
              </m:sSub>
            </m:e>
          </m:d>
          <m:r>
            <w:rPr>
              <w:rFonts w:ascii="Cambria Math" w:hAnsi="Cambria Math"/>
              <w:sz w:val="22"/>
              <w:szCs w:val="22"/>
            </w:rPr>
            <m:t>=</m:t>
          </m:r>
          <m:d>
            <m:dPr>
              <m:begChr m:val="{"/>
              <m:endChr m:val=""/>
              <m:ctrlPr>
                <w:rPr>
                  <w:rFonts w:ascii="Cambria Math" w:hAnsi="Cambria Math"/>
                  <w:i/>
                  <w:sz w:val="22"/>
                  <w:szCs w:val="22"/>
                </w:rPr>
              </m:ctrlPr>
            </m:dPr>
            <m:e>
              <m:eqArr>
                <m:eqArrPr>
                  <m:ctrlPr>
                    <w:rPr>
                      <w:rFonts w:ascii="Cambria Math" w:hAnsi="Cambria Math"/>
                      <w:i/>
                      <w:sz w:val="22"/>
                      <w:szCs w:val="22"/>
                    </w:rPr>
                  </m:ctrlPr>
                </m:eqArrPr>
                <m:e>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obs</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m:t>
                          </m:r>
                        </m:sub>
                      </m:sSub>
                    </m:e>
                  </m:d>
                  <m:r>
                    <w:rPr>
                      <w:rFonts w:ascii="Cambria Math" w:hAnsi="Cambria Math"/>
                      <w:sz w:val="22"/>
                      <w:szCs w:val="22"/>
                    </w:rPr>
                    <m:t xml:space="preserve">                para i=1</m:t>
                  </m:r>
                </m:e>
                <m:e>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fwd</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m:t>
                          </m:r>
                        </m:sub>
                      </m:sSub>
                    </m:e>
                  </m:d>
                  <m:r>
                    <w:rPr>
                      <w:rFonts w:ascii="Cambria Math" w:hAnsi="Cambria Math"/>
                      <w:sz w:val="22"/>
                      <w:szCs w:val="22"/>
                    </w:rPr>
                    <m:t xml:space="preserve">       para i=2,…n</m:t>
                  </m:r>
                </m:e>
              </m:eqArr>
            </m:e>
          </m:d>
        </m:oMath>
      </m:oMathPara>
    </w:p>
    <w:p w14:paraId="0F261ABD" w14:textId="77777777" w:rsidR="007968EC" w:rsidRPr="005B49E2" w:rsidRDefault="007968EC" w:rsidP="007968EC">
      <w:pPr>
        <w:ind w:left="1416" w:firstLine="708"/>
        <w:jc w:val="both"/>
        <w:rPr>
          <w:rFonts w:ascii="Arial Narrow" w:hAnsi="Arial Narrow"/>
          <w:sz w:val="22"/>
          <w:szCs w:val="22"/>
        </w:rPr>
      </w:pPr>
    </w:p>
    <w:p w14:paraId="43DC83D3" w14:textId="77777777" w:rsidR="007968EC" w:rsidRPr="005B49E2" w:rsidRDefault="00682D97" w:rsidP="007968EC">
      <w:pPr>
        <w:pStyle w:val="Bullet-BodyText"/>
        <w:rPr>
          <w:rFonts w:ascii="Arial Narrow" w:hAnsi="Arial Narrow"/>
        </w:rPr>
      </w:pPr>
      <m:oMath>
        <m:sSub>
          <m:sSubPr>
            <m:ctrlPr>
              <w:rPr>
                <w:rFonts w:ascii="Cambria Math" w:hAnsi="Cambria Math"/>
              </w:rPr>
            </m:ctrlPr>
          </m:sSubPr>
          <m:e>
            <m:r>
              <w:rPr>
                <w:rFonts w:ascii="Cambria Math" w:hAnsi="Cambria Math"/>
              </w:rPr>
              <m:t>R</m:t>
            </m:r>
          </m:e>
          <m:sub>
            <m:r>
              <w:rPr>
                <w:rFonts w:ascii="Cambria Math" w:hAnsi="Cambria Math"/>
              </w:rPr>
              <m:t>fwd</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m:t>
                </m:r>
              </m:sub>
            </m:sSub>
          </m:e>
        </m:d>
        <m:r>
          <m:rPr>
            <m:sty m:val="p"/>
          </m:rPr>
          <w:rPr>
            <w:rFonts w:ascii="Cambria Math" w:hAnsi="Cambria Math"/>
          </w:rPr>
          <m:t xml:space="preserve"> </m:t>
        </m:r>
        <m:r>
          <w:rPr>
            <w:rFonts w:ascii="Cambria Math" w:hAnsi="Cambria Math"/>
          </w:rPr>
          <m:t>es</m:t>
        </m:r>
        <m:r>
          <m:rPr>
            <m:sty m:val="p"/>
          </m:rPr>
          <w:rPr>
            <w:rFonts w:ascii="Cambria Math" w:hAnsi="Cambria Math"/>
          </w:rPr>
          <m:t xml:space="preserve"> </m:t>
        </m:r>
        <m:r>
          <w:rPr>
            <w:rFonts w:ascii="Cambria Math" w:hAnsi="Cambria Math"/>
          </w:rPr>
          <m:t>una</m:t>
        </m:r>
        <m:r>
          <m:rPr>
            <m:sty m:val="p"/>
          </m:rPr>
          <w:rPr>
            <w:rFonts w:ascii="Cambria Math" w:hAnsi="Cambria Math"/>
          </w:rPr>
          <m:t xml:space="preserve"> </m:t>
        </m:r>
        <m:r>
          <w:rPr>
            <w:rFonts w:ascii="Cambria Math" w:hAnsi="Cambria Math"/>
          </w:rPr>
          <m:t>tasa</m:t>
        </m:r>
        <m:r>
          <m:rPr>
            <m:sty m:val="p"/>
          </m:rPr>
          <w:rPr>
            <w:rFonts w:ascii="Cambria Math" w:hAnsi="Cambria Math"/>
          </w:rPr>
          <m:t xml:space="preserve"> </m:t>
        </m:r>
        <m:r>
          <w:rPr>
            <w:rFonts w:ascii="Cambria Math" w:hAnsi="Cambria Math"/>
          </w:rPr>
          <m:t>futura</m:t>
        </m:r>
        <m:r>
          <m:rPr>
            <m:sty m:val="p"/>
          </m:rPr>
          <w:rPr>
            <w:rFonts w:ascii="Cambria Math" w:hAnsi="Cambria Math"/>
          </w:rPr>
          <m:t xml:space="preserve"> </m:t>
        </m:r>
        <m:r>
          <w:rPr>
            <w:rFonts w:ascii="Cambria Math" w:hAnsi="Cambria Math"/>
          </w:rPr>
          <m:t>impl</m:t>
        </m:r>
        <m:r>
          <m:rPr>
            <m:sty m:val="p"/>
          </m:rPr>
          <w:rPr>
            <w:rFonts w:ascii="Cambria Math" w:hAnsi="Cambria Math"/>
          </w:rPr>
          <m:t>í</m:t>
        </m:r>
        <m:r>
          <w:rPr>
            <w:rFonts w:ascii="Cambria Math" w:hAnsi="Cambria Math"/>
          </w:rPr>
          <m:t>cita</m:t>
        </m:r>
        <m:r>
          <m:rPr>
            <m:sty m:val="p"/>
          </m:rPr>
          <w:rPr>
            <w:rFonts w:ascii="Cambria Math" w:hAnsi="Cambria Math"/>
          </w:rPr>
          <m:t xml:space="preserve"> </m:t>
        </m:r>
        <m:d>
          <m:dPr>
            <m:ctrlPr>
              <w:rPr>
                <w:rFonts w:ascii="Cambria Math" w:hAnsi="Cambria Math"/>
              </w:rPr>
            </m:ctrlPr>
          </m:dPr>
          <m:e>
            <m:r>
              <w:rPr>
                <w:rFonts w:ascii="Cambria Math" w:hAnsi="Cambria Math"/>
              </w:rPr>
              <m:t>forward</m:t>
            </m:r>
          </m:e>
        </m:d>
        <m:r>
          <m:rPr>
            <m:sty m:val="p"/>
          </m:rPr>
          <w:rPr>
            <w:rFonts w:ascii="Cambria Math" w:hAnsi="Cambria Math"/>
          </w:rPr>
          <m:t xml:space="preserve"> </m:t>
        </m:r>
        <m:r>
          <w:rPr>
            <w:rFonts w:ascii="Cambria Math" w:hAnsi="Cambria Math"/>
          </w:rPr>
          <m:t>entre</m:t>
        </m:r>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i</m:t>
            </m:r>
            <m:r>
              <m:rPr>
                <m:sty m:val="p"/>
              </m:rPr>
              <w:rPr>
                <w:rFonts w:ascii="Cambria Math" w:hAnsi="Cambria Math"/>
              </w:rPr>
              <m:t>-1</m:t>
            </m:r>
          </m:sub>
        </m:sSub>
        <m:r>
          <m:rPr>
            <m:sty m:val="p"/>
          </m:rPr>
          <w:rPr>
            <w:rFonts w:ascii="Cambria Math" w:hAnsi="Cambria Math"/>
          </w:rPr>
          <m:t xml:space="preserve"> </m:t>
        </m:r>
        <m:r>
          <w:rPr>
            <w:rFonts w:ascii="Cambria Math" w:hAnsi="Cambria Math"/>
          </w:rPr>
          <m:t>y</m:t>
        </m:r>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i</m:t>
            </m:r>
          </m:sub>
        </m:sSub>
      </m:oMath>
    </w:p>
    <w:p w14:paraId="7DBA1435" w14:textId="77777777" w:rsidR="007968EC" w:rsidRPr="005B49E2" w:rsidRDefault="00682D97" w:rsidP="007968EC">
      <w:pPr>
        <w:pStyle w:val="Bullet-BodyText"/>
        <w:rPr>
          <w:rFonts w:ascii="Arial Narrow" w:hAnsi="Arial Narrow"/>
        </w:rPr>
      </w:pPr>
      <m:oMath>
        <m:sSub>
          <m:sSubPr>
            <m:ctrlPr>
              <w:rPr>
                <w:rFonts w:ascii="Cambria Math" w:hAnsi="Cambria Math"/>
              </w:rPr>
            </m:ctrlPr>
          </m:sSubPr>
          <m:e>
            <m:r>
              <w:rPr>
                <w:rFonts w:ascii="Cambria Math" w:hAnsi="Cambria Math"/>
              </w:rPr>
              <m:t>R</m:t>
            </m:r>
          </m:e>
          <m:sub>
            <m:r>
              <w:rPr>
                <w:rFonts w:ascii="Cambria Math" w:hAnsi="Cambria Math"/>
              </w:rPr>
              <m:t>obs</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m:t>
                </m:r>
              </m:sub>
            </m:sSub>
          </m:e>
        </m:d>
        <m:r>
          <m:rPr>
            <m:sty m:val="p"/>
          </m:rPr>
          <w:rPr>
            <w:rFonts w:ascii="Cambria Math" w:hAnsi="Cambria Math"/>
          </w:rPr>
          <m:t xml:space="preserve"> </m:t>
        </m:r>
        <m:r>
          <w:rPr>
            <w:rFonts w:ascii="Cambria Math" w:hAnsi="Cambria Math"/>
          </w:rPr>
          <m:t>es</m:t>
        </m:r>
        <m:r>
          <m:rPr>
            <m:sty m:val="p"/>
          </m:rPr>
          <w:rPr>
            <w:rFonts w:ascii="Cambria Math" w:hAnsi="Cambria Math"/>
          </w:rPr>
          <m:t xml:space="preserve"> </m:t>
        </m:r>
        <m:r>
          <w:rPr>
            <w:rFonts w:ascii="Cambria Math" w:hAnsi="Cambria Math"/>
          </w:rPr>
          <m:t>una</m:t>
        </m:r>
        <m:r>
          <m:rPr>
            <m:sty m:val="p"/>
          </m:rPr>
          <w:rPr>
            <w:rFonts w:ascii="Cambria Math" w:hAnsi="Cambria Math"/>
          </w:rPr>
          <m:t xml:space="preserve"> </m:t>
        </m:r>
        <m:r>
          <w:rPr>
            <w:rFonts w:ascii="Cambria Math" w:hAnsi="Cambria Math"/>
          </w:rPr>
          <m:t>tasa</m:t>
        </m:r>
        <m:r>
          <m:rPr>
            <m:sty m:val="p"/>
          </m:rPr>
          <w:rPr>
            <w:rFonts w:ascii="Cambria Math" w:hAnsi="Cambria Math"/>
          </w:rPr>
          <m:t xml:space="preserve"> </m:t>
        </m:r>
        <m:r>
          <w:rPr>
            <w:rFonts w:ascii="Cambria Math" w:hAnsi="Cambria Math"/>
          </w:rPr>
          <m:t>de</m:t>
        </m:r>
        <m:r>
          <m:rPr>
            <m:sty m:val="p"/>
          </m:rPr>
          <w:rPr>
            <w:rFonts w:ascii="Cambria Math" w:hAnsi="Cambria Math"/>
          </w:rPr>
          <m:t xml:space="preserve"> </m:t>
        </m:r>
        <m:r>
          <w:rPr>
            <w:rFonts w:ascii="Cambria Math" w:hAnsi="Cambria Math"/>
          </w:rPr>
          <m:t>mercado</m:t>
        </m:r>
        <m:r>
          <m:rPr>
            <m:sty m:val="p"/>
          </m:rPr>
          <w:rPr>
            <w:rFonts w:ascii="Cambria Math" w:hAnsi="Cambria Math"/>
          </w:rPr>
          <m:t xml:space="preserve"> </m:t>
        </m:r>
        <m:r>
          <w:rPr>
            <w:rFonts w:ascii="Cambria Math" w:hAnsi="Cambria Math"/>
          </w:rPr>
          <m:t>observada</m:t>
        </m:r>
        <m:r>
          <m:rPr>
            <m:sty m:val="p"/>
          </m:rPr>
          <w:rPr>
            <w:rFonts w:ascii="Cambria Math" w:hAnsi="Cambria Math"/>
          </w:rPr>
          <m:t xml:space="preserve"> </m:t>
        </m:r>
        <m:r>
          <w:rPr>
            <w:rFonts w:ascii="Cambria Math" w:hAnsi="Cambria Math"/>
          </w:rPr>
          <m:t>para</m:t>
        </m:r>
        <m:r>
          <m:rPr>
            <m:sty m:val="p"/>
          </m:rPr>
          <w:rPr>
            <w:rFonts w:ascii="Cambria Math" w:hAnsi="Cambria Math"/>
          </w:rPr>
          <m:t xml:space="preserve"> </m:t>
        </m:r>
        <m:r>
          <w:rPr>
            <w:rFonts w:ascii="Cambria Math" w:hAnsi="Cambria Math"/>
          </w:rPr>
          <m:t>el</m:t>
        </m:r>
        <m:r>
          <m:rPr>
            <m:sty m:val="p"/>
          </m:rPr>
          <w:rPr>
            <w:rFonts w:ascii="Cambria Math" w:hAnsi="Cambria Math"/>
          </w:rPr>
          <m:t xml:space="preserve"> </m:t>
        </m:r>
        <m:r>
          <w:rPr>
            <w:rFonts w:ascii="Cambria Math" w:hAnsi="Cambria Math"/>
          </w:rPr>
          <m:t>per</m:t>
        </m:r>
        <m:r>
          <m:rPr>
            <m:sty m:val="p"/>
          </m:rPr>
          <w:rPr>
            <w:rFonts w:ascii="Cambria Math" w:hAnsi="Cambria Math"/>
          </w:rPr>
          <m:t>í</m:t>
        </m:r>
        <m:r>
          <w:rPr>
            <w:rFonts w:ascii="Cambria Math" w:hAnsi="Cambria Math"/>
          </w:rPr>
          <m:t>odo</m:t>
        </m:r>
        <m:r>
          <m:rPr>
            <m:sty m:val="p"/>
          </m:rPr>
          <w:rPr>
            <w:rFonts w:ascii="Cambria Math" w:hAnsi="Cambria Math"/>
          </w:rPr>
          <m:t xml:space="preserve"> </m:t>
        </m:r>
        <m:r>
          <w:rPr>
            <w:rFonts w:ascii="Cambria Math" w:hAnsi="Cambria Math"/>
          </w:rPr>
          <m:t>entre</m:t>
        </m:r>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i</m:t>
            </m:r>
            <m:r>
              <m:rPr>
                <m:sty m:val="p"/>
              </m:rPr>
              <w:rPr>
                <w:rFonts w:ascii="Cambria Math" w:hAnsi="Cambria Math"/>
              </w:rPr>
              <m:t>-1</m:t>
            </m:r>
          </m:sub>
        </m:sSub>
        <m:r>
          <m:rPr>
            <m:sty m:val="p"/>
          </m:rPr>
          <w:rPr>
            <w:rFonts w:ascii="Cambria Math" w:hAnsi="Cambria Math"/>
          </w:rPr>
          <m:t xml:space="preserve"> </m:t>
        </m:r>
        <m:r>
          <w:rPr>
            <w:rFonts w:ascii="Cambria Math" w:hAnsi="Cambria Math"/>
          </w:rPr>
          <m:t>y</m:t>
        </m:r>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i</m:t>
            </m:r>
          </m:sub>
        </m:sSub>
      </m:oMath>
    </w:p>
    <w:p w14:paraId="66A63E4C" w14:textId="77777777" w:rsidR="007968EC" w:rsidRPr="005B49E2" w:rsidRDefault="007968EC" w:rsidP="007968EC">
      <w:pPr>
        <w:jc w:val="both"/>
        <w:rPr>
          <w:rFonts w:ascii="Arial Narrow" w:hAnsi="Arial Narrow"/>
          <w:sz w:val="22"/>
          <w:szCs w:val="22"/>
        </w:rPr>
      </w:pPr>
    </w:p>
    <w:p w14:paraId="12B0CBFE" w14:textId="77777777" w:rsidR="007968EC" w:rsidRPr="005B49E2" w:rsidRDefault="00682D97" w:rsidP="007968EC">
      <w:pPr>
        <w:jc w:val="both"/>
        <w:rPr>
          <w:rFonts w:ascii="Arial Narrow" w:hAnsi="Arial Narrow"/>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i</m:t>
              </m:r>
            </m:sub>
          </m:sSub>
          <m:r>
            <w:rPr>
              <w:rFonts w:ascii="Cambria Math" w:hAnsi="Cambria Math"/>
              <w:sz w:val="22"/>
              <w:szCs w:val="22"/>
            </w:rPr>
            <m:t>=Número de días asociado al flujo i de la rama variable USD del Swap</m:t>
          </m:r>
        </m:oMath>
      </m:oMathPara>
    </w:p>
    <w:p w14:paraId="238E95B5" w14:textId="77777777" w:rsidR="007968EC" w:rsidRPr="005B49E2" w:rsidRDefault="00682D97" w:rsidP="007968EC">
      <w:pPr>
        <w:jc w:val="both"/>
        <w:rPr>
          <w:rFonts w:ascii="Arial Narrow" w:hAnsi="Arial Narrow"/>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i</m:t>
              </m:r>
            </m:sub>
          </m:sSub>
          <m:r>
            <w:rPr>
              <w:rFonts w:ascii="Cambria Math" w:hAnsi="Cambria Math"/>
              <w:sz w:val="22"/>
              <w:szCs w:val="22"/>
            </w:rPr>
            <m:t xml:space="preserve">=Días entre la fecha de valoración y la fecha de pago del flujo i de la rama variable USD </m:t>
          </m:r>
        </m:oMath>
      </m:oMathPara>
    </w:p>
    <w:p w14:paraId="301210B4" w14:textId="77777777" w:rsidR="007968EC" w:rsidRPr="005B49E2" w:rsidRDefault="00682D97" w:rsidP="007968EC">
      <w:pPr>
        <w:jc w:val="both"/>
        <w:rPr>
          <w:rFonts w:ascii="Arial Narrow" w:hAnsi="Arial Narrow"/>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r</m:t>
              </m:r>
            </m:e>
            <m:sub>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i</m:t>
                  </m:r>
                </m:sub>
              </m:sSub>
            </m:sub>
          </m:sSub>
          <m:r>
            <w:rPr>
              <w:rFonts w:ascii="Cambria Math" w:hAnsi="Cambria Math"/>
              <w:sz w:val="22"/>
              <w:szCs w:val="22"/>
            </w:rPr>
            <m:t xml:space="preserve">=Tasa de interés de descuento al plazo </m:t>
          </m:r>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i</m:t>
              </m:r>
            </m:sub>
          </m:sSub>
        </m:oMath>
      </m:oMathPara>
    </w:p>
    <w:p w14:paraId="40179BF6" w14:textId="77777777" w:rsidR="007968EC" w:rsidRPr="005B49E2" w:rsidRDefault="007968EC" w:rsidP="007968EC">
      <w:pPr>
        <w:jc w:val="both"/>
        <w:rPr>
          <w:rFonts w:ascii="Arial Narrow" w:hAnsi="Arial Narrow"/>
          <w:sz w:val="22"/>
          <w:szCs w:val="22"/>
        </w:rPr>
      </w:pPr>
      <m:oMathPara>
        <m:oMathParaPr>
          <m:jc m:val="left"/>
        </m:oMathParaPr>
        <m:oMath>
          <m:r>
            <w:rPr>
              <w:rFonts w:ascii="Cambria Math" w:hAnsi="Cambria Math"/>
              <w:sz w:val="22"/>
              <w:szCs w:val="22"/>
            </w:rPr>
            <m:t>Base=Número de días en un año</m:t>
          </m:r>
        </m:oMath>
      </m:oMathPara>
    </w:p>
    <w:p w14:paraId="64C70CA6" w14:textId="77777777" w:rsidR="007968EC" w:rsidRPr="005B49E2" w:rsidRDefault="007968EC" w:rsidP="007968EC">
      <w:pPr>
        <w:jc w:val="both"/>
        <w:rPr>
          <w:rFonts w:ascii="Arial Narrow" w:hAnsi="Arial Narrow"/>
          <w:sz w:val="22"/>
          <w:szCs w:val="22"/>
        </w:rPr>
      </w:pPr>
      <m:oMathPara>
        <m:oMathParaPr>
          <m:jc m:val="left"/>
        </m:oMathParaPr>
        <m:oMath>
          <m:r>
            <w:rPr>
              <w:rFonts w:ascii="Cambria Math" w:hAnsi="Cambria Math"/>
              <w:sz w:val="22"/>
              <w:szCs w:val="22"/>
            </w:rPr>
            <m:t>n=Número de pagos de la rama variable USD del swap</m:t>
          </m:r>
        </m:oMath>
      </m:oMathPara>
    </w:p>
    <w:p w14:paraId="433D25CE" w14:textId="77777777" w:rsidR="007968EC" w:rsidRPr="005B49E2" w:rsidRDefault="007968EC" w:rsidP="007968EC">
      <w:pPr>
        <w:jc w:val="both"/>
        <w:rPr>
          <w:rFonts w:ascii="Arial Narrow" w:hAnsi="Arial Narrow"/>
          <w:sz w:val="22"/>
          <w:szCs w:val="22"/>
        </w:rPr>
      </w:pPr>
      <m:oMathPara>
        <m:oMathParaPr>
          <m:jc m:val="left"/>
        </m:oMathParaPr>
        <m:oMath>
          <m:r>
            <w:rPr>
              <w:rFonts w:ascii="Cambria Math" w:hAnsi="Cambria Math"/>
              <w:sz w:val="22"/>
              <w:szCs w:val="22"/>
            </w:rPr>
            <m:t>s=Spread sobre la tasa variable del swap</m:t>
          </m:r>
        </m:oMath>
      </m:oMathPara>
    </w:p>
    <w:p w14:paraId="1BE02016" w14:textId="77777777" w:rsidR="007968EC" w:rsidRPr="00911D7E" w:rsidRDefault="007968EC" w:rsidP="007968EC">
      <w:pPr>
        <w:autoSpaceDE w:val="0"/>
        <w:autoSpaceDN w:val="0"/>
        <w:adjustRightInd w:val="0"/>
        <w:rPr>
          <w:rFonts w:ascii="Arial Narrow" w:eastAsiaTheme="minorHAnsi" w:hAnsi="Arial Narrow" w:cs="Arial"/>
          <w:lang w:eastAsia="en-US"/>
        </w:rPr>
      </w:pPr>
    </w:p>
    <w:p w14:paraId="003BB414" w14:textId="77777777" w:rsidR="007968EC" w:rsidRPr="00EE4992" w:rsidRDefault="007968EC" w:rsidP="007968EC">
      <w:pPr>
        <w:rPr>
          <w:rFonts w:eastAsiaTheme="minorHAnsi" w:cs="Arial"/>
          <w:lang w:val="es-ES_tradnl" w:eastAsia="en-US"/>
        </w:rPr>
      </w:pPr>
    </w:p>
    <w:p w14:paraId="0D780CB4" w14:textId="77777777" w:rsidR="007968EC" w:rsidRPr="005B49E2" w:rsidRDefault="007968EC" w:rsidP="007968EC">
      <w:pPr>
        <w:autoSpaceDE w:val="0"/>
        <w:autoSpaceDN w:val="0"/>
        <w:adjustRightInd w:val="0"/>
        <w:jc w:val="both"/>
        <w:rPr>
          <w:rFonts w:ascii="Arial Narrow" w:hAnsi="Arial Narrow" w:cs="CMR10"/>
        </w:rPr>
      </w:pPr>
      <w:r>
        <w:rPr>
          <w:rFonts w:ascii="Arial Narrow" w:hAnsi="Arial Narrow" w:cs="CMR10"/>
        </w:rPr>
        <w:t>El V</w:t>
      </w:r>
      <w:r w:rsidRPr="005B49E2">
        <w:rPr>
          <w:rFonts w:ascii="Arial Narrow" w:hAnsi="Arial Narrow" w:cs="CMR10"/>
        </w:rPr>
        <w:t>alor</w:t>
      </w:r>
      <w:r>
        <w:rPr>
          <w:rFonts w:ascii="Arial Narrow" w:hAnsi="Arial Narrow" w:cs="CMR10"/>
        </w:rPr>
        <w:t xml:space="preserve"> Presente Neto</w:t>
      </w:r>
      <w:r w:rsidRPr="005B49E2">
        <w:rPr>
          <w:rFonts w:ascii="Arial Narrow" w:hAnsi="Arial Narrow" w:cs="CMR10"/>
        </w:rPr>
        <w:t xml:space="preserve"> de </w:t>
      </w:r>
      <w:r>
        <w:rPr>
          <w:rFonts w:ascii="Arial Narrow" w:hAnsi="Arial Narrow" w:cs="CMR10"/>
        </w:rPr>
        <w:t>un Cross Currency Basis Swap</w:t>
      </w:r>
      <w:r w:rsidRPr="005B49E2">
        <w:rPr>
          <w:rFonts w:ascii="Arial Narrow" w:hAnsi="Arial Narrow" w:cs="CMR10"/>
        </w:rPr>
        <w:t xml:space="preserve"> </w:t>
      </w:r>
      <w:r>
        <w:rPr>
          <w:rFonts w:ascii="Arial Narrow" w:hAnsi="Arial Narrow" w:cs="CMR10"/>
        </w:rPr>
        <w:t xml:space="preserve">Overnight (CCBSO) </w:t>
      </w:r>
      <w:r w:rsidRPr="005B49E2">
        <w:rPr>
          <w:rFonts w:ascii="Arial Narrow" w:hAnsi="Arial Narrow" w:cs="CMR10"/>
        </w:rPr>
        <w:t xml:space="preserve">es igual a la diferencia entre el valor de </w:t>
      </w:r>
      <w:r>
        <w:rPr>
          <w:rFonts w:ascii="Arial Narrow" w:hAnsi="Arial Narrow" w:cs="CMR10"/>
        </w:rPr>
        <w:t>la rama variable COP y el valor de la rama variable USD,</w:t>
      </w:r>
      <w:r w:rsidRPr="0056163F">
        <w:rPr>
          <w:rFonts w:ascii="Arial Narrow" w:hAnsi="Arial Narrow" w:cs="CMR10"/>
        </w:rPr>
        <w:t xml:space="preserve"> </w:t>
      </w:r>
      <w:r w:rsidRPr="005F10B9">
        <w:rPr>
          <w:rFonts w:ascii="Arial Narrow" w:hAnsi="Arial Narrow" w:cs="CMR10"/>
        </w:rPr>
        <w:t>según los flujos que se reci</w:t>
      </w:r>
      <w:r>
        <w:rPr>
          <w:rFonts w:ascii="Arial Narrow" w:hAnsi="Arial Narrow" w:cs="CMR10"/>
        </w:rPr>
        <w:t>ban, expresada en la misma moneda:</w:t>
      </w:r>
    </w:p>
    <w:p w14:paraId="518C1A07" w14:textId="77777777" w:rsidR="007968EC" w:rsidRPr="005B49E2" w:rsidRDefault="007968EC" w:rsidP="007968EC">
      <w:pPr>
        <w:autoSpaceDE w:val="0"/>
        <w:autoSpaceDN w:val="0"/>
        <w:adjustRightInd w:val="0"/>
        <w:rPr>
          <w:rFonts w:ascii="Arial Narrow" w:hAnsi="Arial Narrow" w:cs="CMR10"/>
        </w:rPr>
      </w:pPr>
    </w:p>
    <w:p w14:paraId="06CF4F13" w14:textId="77777777" w:rsidR="007968EC" w:rsidRDefault="00682D97" w:rsidP="007968EC">
      <w:pPr>
        <w:jc w:val="both"/>
        <w:rPr>
          <w:rFonts w:ascii="Arial Narrow" w:hAnsi="Arial Narrow" w:cs="CMR10"/>
        </w:rPr>
      </w:pPr>
      <m:oMathPara>
        <m:oMath>
          <m:sSub>
            <m:sSubPr>
              <m:ctrlPr>
                <w:rPr>
                  <w:rFonts w:ascii="Cambria Math" w:hAnsi="Cambria Math"/>
                  <w:i/>
                </w:rPr>
              </m:ctrlPr>
            </m:sSubPr>
            <m:e>
              <m:r>
                <m:rPr>
                  <m:sty m:val="bi"/>
                </m:rPr>
                <w:rPr>
                  <w:rFonts w:ascii="Cambria Math" w:hAnsi="Cambria Math"/>
                </w:rPr>
                <m:t>NPV</m:t>
              </m:r>
            </m:e>
            <m:sub>
              <m:r>
                <w:rPr>
                  <w:rFonts w:ascii="Cambria Math" w:hAnsi="Cambria Math"/>
                </w:rPr>
                <m:t>CCBSO</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float, 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float,  2</m:t>
              </m:r>
            </m:sub>
          </m:sSub>
          <m:r>
            <w:rPr>
              <w:rFonts w:ascii="Cambria Math" w:hAnsi="Cambria Math"/>
            </w:rPr>
            <m:t xml:space="preserve">  *TCm2,m1</m:t>
          </m:r>
        </m:oMath>
      </m:oMathPara>
    </w:p>
    <w:p w14:paraId="5A19515C" w14:textId="77777777" w:rsidR="007968EC" w:rsidRPr="000242EC" w:rsidRDefault="007968EC" w:rsidP="007968EC">
      <w:pPr>
        <w:jc w:val="both"/>
        <w:rPr>
          <w:rFonts w:ascii="Arial Narrow" w:hAnsi="Arial Narrow" w:cs="CMR10"/>
        </w:rPr>
      </w:pPr>
    </w:p>
    <w:p w14:paraId="18531EE0" w14:textId="77777777" w:rsidR="007968EC" w:rsidRPr="00175A55" w:rsidRDefault="007968EC" w:rsidP="007968EC">
      <w:pPr>
        <w:rPr>
          <w:rFonts w:ascii="Arial Narrow" w:hAnsi="Arial Narrow" w:cs="Verdana"/>
        </w:rPr>
      </w:pPr>
      <w:r>
        <w:rPr>
          <w:rFonts w:ascii="Arial Narrow" w:hAnsi="Arial Narrow" w:cs="CMR10"/>
        </w:rPr>
        <w:t xml:space="preserve">Donde </w:t>
      </w:r>
      <m:oMath>
        <m:r>
          <w:rPr>
            <w:rFonts w:ascii="Cambria Math" w:hAnsi="Cambria Math"/>
          </w:rPr>
          <m:t>TCm2,m1</m:t>
        </m:r>
      </m:oMath>
      <w:r>
        <w:rPr>
          <w:rFonts w:ascii="Arial Narrow" w:hAnsi="Arial Narrow" w:cs="CMR10"/>
        </w:rPr>
        <w:t xml:space="preserve"> es la tasa de cambio a la fecha de valoración de la moneda foránea expresada en COP para el proceso de valoración intradía como al final de día.</w:t>
      </w:r>
    </w:p>
    <w:p w14:paraId="47D432CB" w14:textId="77777777" w:rsidR="007968EC" w:rsidRDefault="007968EC" w:rsidP="007968EC">
      <w:pPr>
        <w:pStyle w:val="ARTICULO0"/>
      </w:pPr>
    </w:p>
    <w:p w14:paraId="32AD7129" w14:textId="77777777" w:rsidR="007968EC" w:rsidRDefault="007968EC" w:rsidP="007968EC">
      <w:pPr>
        <w:pStyle w:val="ARTICULO0"/>
      </w:pPr>
    </w:p>
    <w:p w14:paraId="42DAFC73" w14:textId="77777777" w:rsidR="007968EC" w:rsidRPr="00C16E02" w:rsidRDefault="007968EC" w:rsidP="007968EC">
      <w:pPr>
        <w:pStyle w:val="ARTICULO0"/>
      </w:pPr>
      <w:bookmarkStart w:id="6429" w:name="_Toc31716551"/>
      <w:r w:rsidRPr="00C16E02">
        <w:t>Artículo 5.5.3.</w:t>
      </w:r>
      <w:r>
        <w:t>5</w:t>
      </w:r>
      <w:r w:rsidRPr="00C16E02">
        <w:t>. Fijación del Fixing.</w:t>
      </w:r>
      <w:bookmarkEnd w:id="6429"/>
    </w:p>
    <w:p w14:paraId="66139759" w14:textId="77777777" w:rsidR="007968EC" w:rsidRDefault="007968EC" w:rsidP="007968EC">
      <w:pPr>
        <w:autoSpaceDE w:val="0"/>
        <w:autoSpaceDN w:val="0"/>
        <w:adjustRightInd w:val="0"/>
        <w:jc w:val="both"/>
        <w:rPr>
          <w:rFonts w:ascii="Arial Narrow" w:hAnsi="Arial Narrow"/>
        </w:rPr>
      </w:pPr>
    </w:p>
    <w:p w14:paraId="18A22DCA" w14:textId="77777777" w:rsidR="007968EC" w:rsidRPr="000C31A5" w:rsidRDefault="007968EC" w:rsidP="007968EC">
      <w:pPr>
        <w:pStyle w:val="ARTICULO0"/>
        <w:rPr>
          <w:u w:val="none"/>
        </w:rPr>
      </w:pPr>
      <w:bookmarkStart w:id="6430" w:name="_Toc31716552"/>
      <w:r w:rsidRPr="00D044D5">
        <w:rPr>
          <w:bCs/>
          <w:u w:val="none"/>
        </w:rPr>
        <w:t xml:space="preserve">(Este artículo fue modificado mediante Circular 11 del 3 de agosto de 2018, publicada en el Boletín Normativo No. 17 del 3 de agosto de 2018, y </w:t>
      </w:r>
      <w:r>
        <w:rPr>
          <w:bCs/>
          <w:u w:val="none"/>
        </w:rPr>
        <w:t xml:space="preserve">renumerado y modificado </w:t>
      </w:r>
      <w:r w:rsidRPr="00D044D5">
        <w:rPr>
          <w:bCs/>
          <w:u w:val="none"/>
        </w:rPr>
        <w:t xml:space="preserve">mediante Circular 19 del 22 de noviembre de 2019, publicada en el </w:t>
      </w:r>
      <w:r w:rsidRPr="000C31A5">
        <w:rPr>
          <w:u w:val="none"/>
        </w:rPr>
        <w:t>Boletín Normativo No. 034 del 22 de noviembre de 2019. Rige a partir del 25 de noviembre de 2019).</w:t>
      </w:r>
      <w:bookmarkEnd w:id="6430"/>
    </w:p>
    <w:p w14:paraId="20C36CE9" w14:textId="77777777" w:rsidR="007968EC" w:rsidRDefault="007968EC" w:rsidP="007968EC">
      <w:pPr>
        <w:autoSpaceDE w:val="0"/>
        <w:autoSpaceDN w:val="0"/>
        <w:adjustRightInd w:val="0"/>
        <w:jc w:val="both"/>
        <w:rPr>
          <w:rFonts w:ascii="Arial Narrow" w:hAnsi="Arial Narrow"/>
        </w:rPr>
      </w:pPr>
    </w:p>
    <w:p w14:paraId="0435E7E9" w14:textId="77777777" w:rsidR="007968EC" w:rsidRDefault="007968EC" w:rsidP="007968EC">
      <w:pPr>
        <w:autoSpaceDE w:val="0"/>
        <w:autoSpaceDN w:val="0"/>
        <w:adjustRightInd w:val="0"/>
        <w:jc w:val="both"/>
        <w:rPr>
          <w:rFonts w:ascii="Arial Narrow" w:hAnsi="Arial Narrow"/>
        </w:rPr>
      </w:pPr>
      <w:r w:rsidRPr="005F10B9">
        <w:rPr>
          <w:rFonts w:ascii="Arial Narrow" w:hAnsi="Arial Narrow"/>
        </w:rPr>
        <w:t xml:space="preserve">La Cámara </w:t>
      </w:r>
      <w:r>
        <w:rPr>
          <w:rFonts w:ascii="Arial Narrow" w:hAnsi="Arial Narrow"/>
        </w:rPr>
        <w:t>notificará</w:t>
      </w:r>
      <w:r w:rsidRPr="00DE5EB2">
        <w:rPr>
          <w:rFonts w:ascii="Arial Narrow" w:hAnsi="Arial Narrow"/>
        </w:rPr>
        <w:t xml:space="preserve"> a los Miembros vía </w:t>
      </w:r>
      <w:r>
        <w:rPr>
          <w:rFonts w:ascii="Arial Narrow" w:hAnsi="Arial Narrow"/>
        </w:rPr>
        <w:t>tablas</w:t>
      </w:r>
      <w:r w:rsidRPr="00DE5EB2">
        <w:rPr>
          <w:rFonts w:ascii="Arial Narrow" w:hAnsi="Arial Narrow"/>
        </w:rPr>
        <w:t xml:space="preserve">, el valor del </w:t>
      </w:r>
      <w:r>
        <w:rPr>
          <w:rFonts w:ascii="Arial Narrow" w:hAnsi="Arial Narrow"/>
        </w:rPr>
        <w:t>índice</w:t>
      </w:r>
      <w:r w:rsidRPr="00DE5EB2">
        <w:rPr>
          <w:rFonts w:ascii="Arial Narrow" w:hAnsi="Arial Narrow"/>
        </w:rPr>
        <w:t xml:space="preserve"> a</w:t>
      </w:r>
      <w:r>
        <w:rPr>
          <w:rFonts w:ascii="Arial Narrow" w:hAnsi="Arial Narrow"/>
        </w:rPr>
        <w:t xml:space="preserve"> </w:t>
      </w:r>
      <w:r w:rsidRPr="00DE5EB2">
        <w:rPr>
          <w:rFonts w:ascii="Arial Narrow" w:hAnsi="Arial Narrow"/>
        </w:rPr>
        <w:t xml:space="preserve">fijar para cada día hábil y las fechas de fijación de la </w:t>
      </w:r>
      <w:r>
        <w:rPr>
          <w:rFonts w:ascii="Arial Narrow" w:hAnsi="Arial Narrow"/>
        </w:rPr>
        <w:t>rama variable</w:t>
      </w:r>
      <w:r w:rsidRPr="00DE5EB2">
        <w:rPr>
          <w:rFonts w:ascii="Arial Narrow" w:hAnsi="Arial Narrow"/>
        </w:rPr>
        <w:t xml:space="preserve"> </w:t>
      </w:r>
      <w:r>
        <w:rPr>
          <w:rFonts w:ascii="Arial Narrow" w:hAnsi="Arial Narrow"/>
        </w:rPr>
        <w:t>de las operaciones Swaps, que se utilizará</w:t>
      </w:r>
      <w:r w:rsidRPr="00DE5EB2">
        <w:rPr>
          <w:rFonts w:ascii="Arial Narrow" w:hAnsi="Arial Narrow"/>
        </w:rPr>
        <w:t xml:space="preserve"> para el cálcul</w:t>
      </w:r>
      <w:r>
        <w:rPr>
          <w:rFonts w:ascii="Arial Narrow" w:hAnsi="Arial Narrow"/>
        </w:rPr>
        <w:t>o de los cupones de aquellos Swaps</w:t>
      </w:r>
      <w:r w:rsidRPr="00DE5EB2">
        <w:rPr>
          <w:rFonts w:ascii="Arial Narrow" w:hAnsi="Arial Narrow"/>
        </w:rPr>
        <w:t xml:space="preserve"> q</w:t>
      </w:r>
      <w:r>
        <w:rPr>
          <w:rFonts w:ascii="Arial Narrow" w:hAnsi="Arial Narrow"/>
        </w:rPr>
        <w:t>ue estén referenciados a algunas de las siguientes tasas</w:t>
      </w:r>
      <w:r w:rsidRPr="00DE5EB2">
        <w:rPr>
          <w:rFonts w:ascii="Arial Narrow" w:hAnsi="Arial Narrow"/>
        </w:rPr>
        <w:t xml:space="preserve"> de interés</w:t>
      </w:r>
      <w:r>
        <w:rPr>
          <w:rFonts w:ascii="Arial Narrow" w:hAnsi="Arial Narrow"/>
        </w:rPr>
        <w:t xml:space="preserve"> o moneda</w:t>
      </w:r>
      <w:r w:rsidRPr="00DE5EB2">
        <w:rPr>
          <w:rFonts w:ascii="Arial Narrow" w:hAnsi="Arial Narrow"/>
        </w:rPr>
        <w:t>:</w:t>
      </w:r>
    </w:p>
    <w:p w14:paraId="230E9124" w14:textId="77777777" w:rsidR="007968EC" w:rsidRDefault="007968EC" w:rsidP="007968EC">
      <w:pPr>
        <w:autoSpaceDE w:val="0"/>
        <w:autoSpaceDN w:val="0"/>
        <w:adjustRightInd w:val="0"/>
        <w:jc w:val="both"/>
        <w:rPr>
          <w:rFonts w:ascii="Arial Narrow" w:hAnsi="Arial Narrow"/>
        </w:rPr>
      </w:pPr>
    </w:p>
    <w:p w14:paraId="00E2CE1A" w14:textId="77777777" w:rsidR="007968EC" w:rsidRPr="00F0135F" w:rsidRDefault="007968EC" w:rsidP="007968EC">
      <w:pPr>
        <w:autoSpaceDE w:val="0"/>
        <w:autoSpaceDN w:val="0"/>
        <w:adjustRightInd w:val="0"/>
        <w:jc w:val="both"/>
        <w:rPr>
          <w:rFonts w:ascii="Arial" w:eastAsiaTheme="minorHAnsi" w:hAnsi="Arial" w:cs="Arial"/>
          <w:sz w:val="21"/>
          <w:szCs w:val="21"/>
          <w:lang w:eastAsia="en-US"/>
        </w:rPr>
      </w:pPr>
      <w:r w:rsidRPr="00F0135F">
        <w:rPr>
          <w:rFonts w:ascii="Arial Narrow" w:hAnsi="Arial Narrow"/>
        </w:rPr>
        <w:t>IBR: T</w:t>
      </w:r>
      <w:r w:rsidRPr="004D12B1">
        <w:rPr>
          <w:rFonts w:ascii="Arial Narrow" w:hAnsi="Arial Narrow"/>
        </w:rPr>
        <w:t>asa de interés de referencia del me</w:t>
      </w:r>
      <w:r w:rsidRPr="00F0135F">
        <w:rPr>
          <w:rFonts w:ascii="Arial Narrow" w:hAnsi="Arial Narrow"/>
        </w:rPr>
        <w:t>rcado int</w:t>
      </w:r>
      <w:r>
        <w:rPr>
          <w:rFonts w:ascii="Arial Narrow" w:hAnsi="Arial Narrow"/>
        </w:rPr>
        <w:t xml:space="preserve">erbancario colombiano operada </w:t>
      </w:r>
      <w:r w:rsidRPr="00F0135F">
        <w:rPr>
          <w:rFonts w:ascii="Arial Narrow" w:hAnsi="Arial Narrow"/>
        </w:rPr>
        <w:t xml:space="preserve">para los </w:t>
      </w:r>
      <w:r w:rsidRPr="004D12B1">
        <w:rPr>
          <w:rFonts w:ascii="Arial Narrow" w:hAnsi="Arial Narrow"/>
        </w:rPr>
        <w:t xml:space="preserve">plazos de cotización </w:t>
      </w:r>
      <w:r w:rsidRPr="00F0135F">
        <w:rPr>
          <w:rFonts w:ascii="Arial Narrow" w:hAnsi="Arial Narrow"/>
        </w:rPr>
        <w:t>a un (1) mes, a tres (3) meses y a seis (6) meses, publicados diariamente por el Banco de la República</w:t>
      </w:r>
      <w:r>
        <w:rPr>
          <w:rFonts w:ascii="Arial Narrow" w:hAnsi="Arial Narrow"/>
        </w:rPr>
        <w:t xml:space="preserve"> a</w:t>
      </w:r>
      <w:r w:rsidRPr="00F0135F">
        <w:rPr>
          <w:rFonts w:ascii="Arial Narrow" w:hAnsi="Arial Narrow"/>
        </w:rPr>
        <w:t xml:space="preserve"> través de la plataforma tecnológica que este disponga</w:t>
      </w:r>
      <w:r>
        <w:rPr>
          <w:rFonts w:ascii="Arial Narrow" w:hAnsi="Arial Narrow"/>
        </w:rPr>
        <w:t xml:space="preserve"> para el efecto, </w:t>
      </w:r>
      <w:r w:rsidRPr="00F0135F">
        <w:rPr>
          <w:rFonts w:ascii="Arial Narrow" w:hAnsi="Arial Narrow"/>
        </w:rPr>
        <w:t>en el día hábil que es</w:t>
      </w:r>
      <w:r>
        <w:rPr>
          <w:rFonts w:ascii="Arial Narrow" w:hAnsi="Arial Narrow"/>
        </w:rPr>
        <w:t xml:space="preserve"> dos</w:t>
      </w:r>
      <w:r w:rsidRPr="00F0135F">
        <w:rPr>
          <w:rFonts w:ascii="Arial Narrow" w:hAnsi="Arial Narrow"/>
        </w:rPr>
        <w:t xml:space="preserve"> </w:t>
      </w:r>
      <w:r>
        <w:rPr>
          <w:rFonts w:ascii="Arial Narrow" w:hAnsi="Arial Narrow"/>
        </w:rPr>
        <w:t>(</w:t>
      </w:r>
      <w:r w:rsidRPr="00F0135F">
        <w:rPr>
          <w:rFonts w:ascii="Arial Narrow" w:hAnsi="Arial Narrow"/>
        </w:rPr>
        <w:t>2</w:t>
      </w:r>
      <w:r>
        <w:rPr>
          <w:rFonts w:ascii="Arial Narrow" w:hAnsi="Arial Narrow"/>
        </w:rPr>
        <w:t>)</w:t>
      </w:r>
      <w:r w:rsidRPr="00F0135F">
        <w:rPr>
          <w:rFonts w:ascii="Arial Narrow" w:hAnsi="Arial Narrow"/>
        </w:rPr>
        <w:t xml:space="preserve"> días</w:t>
      </w:r>
      <w:r>
        <w:rPr>
          <w:rFonts w:ascii="Arial Narrow" w:hAnsi="Arial Narrow"/>
        </w:rPr>
        <w:t xml:space="preserve"> hábiles</w:t>
      </w:r>
      <w:r w:rsidRPr="00F0135F">
        <w:rPr>
          <w:rFonts w:ascii="Arial Narrow" w:hAnsi="Arial Narrow"/>
        </w:rPr>
        <w:t xml:space="preserve"> anteriores al día de fijación o ajuste </w:t>
      </w:r>
      <w:r>
        <w:rPr>
          <w:rFonts w:ascii="Arial Narrow" w:hAnsi="Arial Narrow"/>
        </w:rPr>
        <w:t>de la tasa</w:t>
      </w:r>
      <w:r w:rsidRPr="00F0135F">
        <w:rPr>
          <w:rFonts w:ascii="Arial Narrow" w:hAnsi="Arial Narrow"/>
        </w:rPr>
        <w:t xml:space="preserve"> (</w:t>
      </w:r>
      <w:proofErr w:type="spellStart"/>
      <w:r w:rsidRPr="00F0135F">
        <w:rPr>
          <w:rFonts w:ascii="Arial Narrow" w:hAnsi="Arial Narrow"/>
        </w:rPr>
        <w:t>Reset</w:t>
      </w:r>
      <w:proofErr w:type="spellEnd"/>
      <w:r w:rsidRPr="00F0135F">
        <w:rPr>
          <w:rFonts w:ascii="Arial Narrow" w:hAnsi="Arial Narrow"/>
        </w:rPr>
        <w:t xml:space="preserve"> Date).</w:t>
      </w:r>
    </w:p>
    <w:p w14:paraId="18095B84" w14:textId="77777777" w:rsidR="007968EC" w:rsidRPr="00F0135F" w:rsidRDefault="007968EC" w:rsidP="007968EC">
      <w:pPr>
        <w:pStyle w:val="Default"/>
        <w:rPr>
          <w:rFonts w:ascii="Cambria" w:eastAsiaTheme="minorHAnsi" w:hAnsi="Cambria" w:cs="Cambria"/>
          <w:lang w:val="es-CO" w:eastAsia="en-US"/>
        </w:rPr>
      </w:pPr>
    </w:p>
    <w:p w14:paraId="3A08A6E7" w14:textId="77777777" w:rsidR="007968EC" w:rsidRDefault="007968EC" w:rsidP="007968EC">
      <w:pPr>
        <w:autoSpaceDE w:val="0"/>
        <w:autoSpaceDN w:val="0"/>
        <w:adjustRightInd w:val="0"/>
        <w:jc w:val="both"/>
        <w:rPr>
          <w:rFonts w:ascii="Arial Narrow" w:hAnsi="Arial Narrow"/>
        </w:rPr>
      </w:pPr>
      <w:r w:rsidRPr="00F0135F">
        <w:rPr>
          <w:rFonts w:ascii="Arial Narrow" w:hAnsi="Arial Narrow"/>
        </w:rPr>
        <w:t>IBR</w:t>
      </w:r>
      <w:r>
        <w:rPr>
          <w:rFonts w:ascii="Arial Narrow" w:hAnsi="Arial Narrow"/>
        </w:rPr>
        <w:t xml:space="preserve"> Overnight: </w:t>
      </w:r>
      <w:r w:rsidRPr="00F0135F">
        <w:rPr>
          <w:rFonts w:ascii="Arial Narrow" w:hAnsi="Arial Narrow"/>
        </w:rPr>
        <w:t>T</w:t>
      </w:r>
      <w:r w:rsidRPr="004D12B1">
        <w:rPr>
          <w:rFonts w:ascii="Arial Narrow" w:hAnsi="Arial Narrow"/>
        </w:rPr>
        <w:t>asa de interés de referencia del me</w:t>
      </w:r>
      <w:r w:rsidRPr="00F0135F">
        <w:rPr>
          <w:rFonts w:ascii="Arial Narrow" w:hAnsi="Arial Narrow"/>
        </w:rPr>
        <w:t>rcado int</w:t>
      </w:r>
      <w:r>
        <w:rPr>
          <w:rFonts w:ascii="Arial Narrow" w:hAnsi="Arial Narrow"/>
        </w:rPr>
        <w:t>erbancario colombiano operada para el</w:t>
      </w:r>
      <w:r w:rsidRPr="00F0135F">
        <w:rPr>
          <w:rFonts w:ascii="Arial Narrow" w:hAnsi="Arial Narrow"/>
        </w:rPr>
        <w:t xml:space="preserve"> </w:t>
      </w:r>
      <w:r>
        <w:rPr>
          <w:rFonts w:ascii="Arial Narrow" w:hAnsi="Arial Narrow"/>
        </w:rPr>
        <w:t>plazo</w:t>
      </w:r>
      <w:r w:rsidRPr="004D12B1">
        <w:rPr>
          <w:rFonts w:ascii="Arial Narrow" w:hAnsi="Arial Narrow"/>
        </w:rPr>
        <w:t xml:space="preserve"> de cotización </w:t>
      </w:r>
      <w:r>
        <w:rPr>
          <w:rFonts w:ascii="Arial Narrow" w:hAnsi="Arial Narrow"/>
        </w:rPr>
        <w:t>a un (1) día (overnight), publicada</w:t>
      </w:r>
      <w:r w:rsidRPr="00F0135F">
        <w:rPr>
          <w:rFonts w:ascii="Arial Narrow" w:hAnsi="Arial Narrow"/>
        </w:rPr>
        <w:t xml:space="preserve"> diariamente por el Banco de la República</w:t>
      </w:r>
      <w:r>
        <w:rPr>
          <w:rFonts w:ascii="Arial Narrow" w:hAnsi="Arial Narrow"/>
        </w:rPr>
        <w:t xml:space="preserve"> a</w:t>
      </w:r>
      <w:r w:rsidRPr="00F0135F">
        <w:rPr>
          <w:rFonts w:ascii="Arial Narrow" w:hAnsi="Arial Narrow"/>
        </w:rPr>
        <w:t xml:space="preserve"> través de la plataforma tecnológica que este disponga</w:t>
      </w:r>
      <w:r>
        <w:rPr>
          <w:rFonts w:ascii="Arial Narrow" w:hAnsi="Arial Narrow"/>
        </w:rPr>
        <w:t xml:space="preserve"> para el efecto, </w:t>
      </w:r>
      <w:r w:rsidRPr="00F0135F">
        <w:rPr>
          <w:rFonts w:ascii="Arial Narrow" w:hAnsi="Arial Narrow"/>
        </w:rPr>
        <w:t xml:space="preserve">en el día hábil </w:t>
      </w:r>
      <w:r>
        <w:rPr>
          <w:rFonts w:ascii="Arial Narrow" w:hAnsi="Arial Narrow"/>
        </w:rPr>
        <w:t>se utilizará la tasa publicada en el día de la fijación</w:t>
      </w:r>
    </w:p>
    <w:p w14:paraId="78F7C9FD" w14:textId="77777777" w:rsidR="007968EC" w:rsidRDefault="007968EC" w:rsidP="007968EC">
      <w:pPr>
        <w:autoSpaceDE w:val="0"/>
        <w:autoSpaceDN w:val="0"/>
        <w:adjustRightInd w:val="0"/>
        <w:jc w:val="both"/>
        <w:rPr>
          <w:rFonts w:ascii="Arial Narrow" w:hAnsi="Arial Narrow"/>
        </w:rPr>
      </w:pPr>
    </w:p>
    <w:p w14:paraId="550CDDCE" w14:textId="77777777" w:rsidR="007968EC" w:rsidRDefault="007968EC" w:rsidP="007968EC">
      <w:pPr>
        <w:pStyle w:val="Default"/>
        <w:jc w:val="both"/>
        <w:rPr>
          <w:rFonts w:ascii="Arial Narrow" w:hAnsi="Arial Narrow" w:cs="Times New Roman"/>
          <w:lang w:eastAsia="es-ES_tradnl"/>
        </w:rPr>
      </w:pPr>
      <w:r w:rsidRPr="00645FFE">
        <w:rPr>
          <w:rFonts w:ascii="Arial Narrow" w:hAnsi="Arial Narrow" w:cs="Times New Roman"/>
          <w:color w:val="auto"/>
          <w:lang w:val="es-CO" w:eastAsia="es-ES_tradnl"/>
        </w:rPr>
        <w:t xml:space="preserve">LIBOR: Tasa de interés determinada por las tasas que los bancos, </w:t>
      </w:r>
      <w:r>
        <w:rPr>
          <w:rFonts w:ascii="Arial Narrow" w:hAnsi="Arial Narrow" w:cs="Times New Roman"/>
          <w:color w:val="auto"/>
          <w:lang w:val="es-CO" w:eastAsia="es-ES_tradnl"/>
        </w:rPr>
        <w:t xml:space="preserve">que participan en el mercado de </w:t>
      </w:r>
      <w:r w:rsidRPr="00645FFE">
        <w:rPr>
          <w:rFonts w:ascii="Arial Narrow" w:hAnsi="Arial Narrow" w:cs="Times New Roman"/>
          <w:color w:val="auto"/>
          <w:lang w:val="es-CO" w:eastAsia="es-ES_tradnl"/>
        </w:rPr>
        <w:t xml:space="preserve">Londres, se ofrecen entre ellos para depósitos a corto plazo, proporcionada por el Proveedor Oficial de Precios para </w:t>
      </w:r>
      <w:r w:rsidRPr="00645FFE">
        <w:rPr>
          <w:rFonts w:ascii="Arial Narrow" w:hAnsi="Arial Narrow" w:cs="Times New Roman"/>
          <w:color w:val="auto"/>
          <w:lang w:val="es-CO" w:eastAsia="es-ES_tradnl"/>
        </w:rPr>
        <w:lastRenderedPageBreak/>
        <w:t>Valoración</w:t>
      </w:r>
      <w:r>
        <w:rPr>
          <w:rFonts w:ascii="Arial Narrow" w:hAnsi="Arial Narrow" w:cs="Times New Roman"/>
          <w:color w:val="auto"/>
          <w:lang w:val="es-CO" w:eastAsia="es-ES_tradnl"/>
        </w:rPr>
        <w:t>,</w:t>
      </w:r>
      <w:r w:rsidRPr="00645FFE">
        <w:rPr>
          <w:rFonts w:ascii="Arial Narrow" w:hAnsi="Arial Narrow" w:cs="Times New Roman"/>
          <w:lang w:eastAsia="es-ES_tradnl"/>
        </w:rPr>
        <w:t xml:space="preserve"> </w:t>
      </w:r>
      <w:r w:rsidRPr="00F0135F">
        <w:rPr>
          <w:rFonts w:ascii="Arial Narrow" w:hAnsi="Arial Narrow" w:cs="Times New Roman"/>
          <w:lang w:eastAsia="es-ES_tradnl"/>
        </w:rPr>
        <w:t xml:space="preserve">en el día hábil que es </w:t>
      </w:r>
      <w:r>
        <w:rPr>
          <w:rFonts w:ascii="Arial Narrow" w:hAnsi="Arial Narrow" w:cs="Times New Roman"/>
          <w:lang w:eastAsia="es-ES_tradnl"/>
        </w:rPr>
        <w:t>dos (</w:t>
      </w:r>
      <w:r w:rsidRPr="00F0135F">
        <w:rPr>
          <w:rFonts w:ascii="Arial Narrow" w:hAnsi="Arial Narrow" w:cs="Times New Roman"/>
          <w:lang w:eastAsia="es-ES_tradnl"/>
        </w:rPr>
        <w:t>2</w:t>
      </w:r>
      <w:r>
        <w:rPr>
          <w:rFonts w:ascii="Arial Narrow" w:hAnsi="Arial Narrow" w:cs="Times New Roman"/>
          <w:lang w:eastAsia="es-ES_tradnl"/>
        </w:rPr>
        <w:t>)</w:t>
      </w:r>
      <w:r w:rsidRPr="00F0135F">
        <w:rPr>
          <w:rFonts w:ascii="Arial Narrow" w:hAnsi="Arial Narrow" w:cs="Times New Roman"/>
          <w:lang w:eastAsia="es-ES_tradnl"/>
        </w:rPr>
        <w:t xml:space="preserve"> días </w:t>
      </w:r>
      <w:r>
        <w:rPr>
          <w:rFonts w:ascii="Arial Narrow" w:hAnsi="Arial Narrow" w:cs="Times New Roman"/>
          <w:lang w:eastAsia="es-ES_tradnl"/>
        </w:rPr>
        <w:t xml:space="preserve">hábiles </w:t>
      </w:r>
      <w:r w:rsidRPr="00F0135F">
        <w:rPr>
          <w:rFonts w:ascii="Arial Narrow" w:hAnsi="Arial Narrow" w:cs="Times New Roman"/>
          <w:lang w:eastAsia="es-ES_tradnl"/>
        </w:rPr>
        <w:t xml:space="preserve">anteriores al día de fijación o ajuste </w:t>
      </w:r>
      <w:r>
        <w:rPr>
          <w:rFonts w:ascii="Arial Narrow" w:hAnsi="Arial Narrow"/>
        </w:rPr>
        <w:t>de la tasa</w:t>
      </w:r>
      <w:r w:rsidRPr="00F0135F">
        <w:rPr>
          <w:rFonts w:ascii="Arial Narrow" w:hAnsi="Arial Narrow" w:cs="Times New Roman"/>
          <w:lang w:eastAsia="es-ES_tradnl"/>
        </w:rPr>
        <w:t xml:space="preserve"> (</w:t>
      </w:r>
      <w:proofErr w:type="spellStart"/>
      <w:r w:rsidRPr="00F0135F">
        <w:rPr>
          <w:rFonts w:ascii="Arial Narrow" w:hAnsi="Arial Narrow" w:cs="Times New Roman"/>
          <w:lang w:eastAsia="es-ES_tradnl"/>
        </w:rPr>
        <w:t>Reset</w:t>
      </w:r>
      <w:proofErr w:type="spellEnd"/>
      <w:r w:rsidRPr="00F0135F">
        <w:rPr>
          <w:rFonts w:ascii="Arial Narrow" w:hAnsi="Arial Narrow" w:cs="Times New Roman"/>
          <w:lang w:eastAsia="es-ES_tradnl"/>
        </w:rPr>
        <w:t xml:space="preserve"> Date).</w:t>
      </w:r>
    </w:p>
    <w:p w14:paraId="69A5FB14" w14:textId="77777777" w:rsidR="007968EC" w:rsidRPr="00752F89" w:rsidRDefault="007968EC" w:rsidP="007968EC">
      <w:pPr>
        <w:pStyle w:val="Default"/>
        <w:jc w:val="both"/>
        <w:rPr>
          <w:rFonts w:ascii="Arial Narrow" w:hAnsi="Arial Narrow" w:cs="Times New Roman"/>
          <w:color w:val="auto"/>
          <w:lang w:val="es-CO" w:eastAsia="es-ES_tradnl"/>
        </w:rPr>
      </w:pPr>
    </w:p>
    <w:p w14:paraId="1F9E26E7" w14:textId="77777777" w:rsidR="007968EC" w:rsidRDefault="007968EC" w:rsidP="007968EC">
      <w:pPr>
        <w:autoSpaceDE w:val="0"/>
        <w:autoSpaceDN w:val="0"/>
        <w:jc w:val="both"/>
      </w:pPr>
      <w:r w:rsidRPr="00752F89">
        <w:rPr>
          <w:rFonts w:ascii="Arial Narrow" w:hAnsi="Arial Narrow"/>
        </w:rPr>
        <w:t xml:space="preserve">TRM: La tasa de cambio representativa del mercado (TRM) es la cantidad de pesos colombianos por un dólar de los Estados Unidos. La TRM </w:t>
      </w:r>
      <w:r>
        <w:rPr>
          <w:rFonts w:ascii="Arial Narrow" w:hAnsi="Arial Narrow"/>
        </w:rPr>
        <w:t xml:space="preserve">calculada y publicada por la </w:t>
      </w:r>
      <w:r w:rsidRPr="00633A97">
        <w:rPr>
          <w:rFonts w:ascii="Arial Narrow" w:hAnsi="Arial Narrow"/>
        </w:rPr>
        <w:t>Superintendencia Financiera de Colombia (SFC)</w:t>
      </w:r>
      <w:r>
        <w:rPr>
          <w:rFonts w:ascii="Arial Narrow" w:hAnsi="Arial Narrow"/>
        </w:rPr>
        <w:t xml:space="preserve"> </w:t>
      </w:r>
      <w:r w:rsidRPr="00633A97">
        <w:rPr>
          <w:rFonts w:ascii="Arial Narrow" w:hAnsi="Arial Narrow"/>
        </w:rPr>
        <w:t>corresponde al promedio ponderado de las operaciones de compra y venta de contado de dólares de los Estados Unidos de América a cambio de moneda legal colombiana, realizadas entre Intermediarios del Mercado Cambiario (IMC), así como de las operaciones que efectúan los IMC con las demás entidades vigiladas por la SFC, distintas de IMC y aquellas que hacen los IMC con el Banco de la República o el Ministerio de Hacienda y Crédito Público-MHCP.</w:t>
      </w:r>
      <w:r>
        <w:rPr>
          <w:sz w:val="22"/>
          <w:szCs w:val="22"/>
          <w:lang w:eastAsia="es-CO"/>
        </w:rPr>
        <w:t xml:space="preserve">, </w:t>
      </w:r>
      <w:r>
        <w:rPr>
          <w:rFonts w:ascii="Arial Narrow" w:hAnsi="Arial Narrow"/>
        </w:rPr>
        <w:t xml:space="preserve">publicada </w:t>
      </w:r>
      <w:r w:rsidRPr="00F0135F">
        <w:rPr>
          <w:rFonts w:ascii="Arial Narrow" w:hAnsi="Arial Narrow"/>
        </w:rPr>
        <w:t xml:space="preserve">el </w:t>
      </w:r>
      <w:r>
        <w:rPr>
          <w:rFonts w:ascii="Arial Narrow" w:hAnsi="Arial Narrow"/>
        </w:rPr>
        <w:t xml:space="preserve">antepenúltimo </w:t>
      </w:r>
      <w:r w:rsidRPr="00F0135F">
        <w:rPr>
          <w:rFonts w:ascii="Arial Narrow" w:hAnsi="Arial Narrow"/>
        </w:rPr>
        <w:t>día hábil</w:t>
      </w:r>
      <w:r>
        <w:rPr>
          <w:rFonts w:ascii="Arial Narrow" w:hAnsi="Arial Narrow"/>
        </w:rPr>
        <w:t xml:space="preserve"> (t-2)</w:t>
      </w:r>
      <w:r w:rsidRPr="00F0135F">
        <w:rPr>
          <w:rFonts w:ascii="Arial Narrow" w:hAnsi="Arial Narrow"/>
        </w:rPr>
        <w:t xml:space="preserve"> </w:t>
      </w:r>
      <w:r>
        <w:rPr>
          <w:rFonts w:ascii="Arial Narrow" w:hAnsi="Arial Narrow"/>
        </w:rPr>
        <w:t>respecto del</w:t>
      </w:r>
      <w:r w:rsidRPr="00F0135F">
        <w:rPr>
          <w:rFonts w:ascii="Arial Narrow" w:hAnsi="Arial Narrow"/>
        </w:rPr>
        <w:t xml:space="preserve"> día de</w:t>
      </w:r>
      <w:r>
        <w:rPr>
          <w:rFonts w:ascii="Arial Narrow" w:hAnsi="Arial Narrow"/>
        </w:rPr>
        <w:t xml:space="preserve"> pago de cupón.</w:t>
      </w:r>
    </w:p>
    <w:p w14:paraId="11473055" w14:textId="77777777" w:rsidR="007968EC" w:rsidRDefault="007968EC" w:rsidP="007968EC">
      <w:pPr>
        <w:autoSpaceDE w:val="0"/>
        <w:autoSpaceDN w:val="0"/>
      </w:pPr>
      <w:r>
        <w:rPr>
          <w:sz w:val="20"/>
          <w:szCs w:val="20"/>
        </w:rPr>
        <w:t> </w:t>
      </w:r>
    </w:p>
    <w:p w14:paraId="7315DA22" w14:textId="77777777" w:rsidR="007968EC" w:rsidRDefault="007968EC" w:rsidP="007968EC">
      <w:pPr>
        <w:autoSpaceDE w:val="0"/>
        <w:autoSpaceDN w:val="0"/>
        <w:adjustRightInd w:val="0"/>
        <w:jc w:val="both"/>
        <w:rPr>
          <w:rFonts w:ascii="Arial Narrow" w:hAnsi="Arial Narrow"/>
        </w:rPr>
      </w:pPr>
      <w:r w:rsidRPr="00645FFE">
        <w:rPr>
          <w:rFonts w:ascii="Arial Narrow" w:hAnsi="Arial Narrow"/>
        </w:rPr>
        <w:t xml:space="preserve">En el caso de que no haya disponible </w:t>
      </w:r>
      <w:r>
        <w:rPr>
          <w:rFonts w:ascii="Arial Narrow" w:hAnsi="Arial Narrow"/>
        </w:rPr>
        <w:t xml:space="preserve">una de las Tasas de interés anteriormente definidas, la Cámara </w:t>
      </w:r>
      <w:r w:rsidRPr="00645FFE">
        <w:rPr>
          <w:rFonts w:ascii="Arial Narrow" w:hAnsi="Arial Narrow"/>
        </w:rPr>
        <w:t xml:space="preserve">determinara bajo su criterio, </w:t>
      </w:r>
      <w:r>
        <w:rPr>
          <w:rFonts w:ascii="Arial Narrow" w:hAnsi="Arial Narrow"/>
        </w:rPr>
        <w:t>la tasa</w:t>
      </w:r>
      <w:r w:rsidRPr="00645FFE">
        <w:rPr>
          <w:rFonts w:ascii="Arial Narrow" w:hAnsi="Arial Narrow"/>
        </w:rPr>
        <w:t xml:space="preserve"> de interés a aplicar.</w:t>
      </w:r>
    </w:p>
    <w:p w14:paraId="285E3F77" w14:textId="77777777" w:rsidR="007968EC" w:rsidRPr="00C16E02" w:rsidRDefault="007968EC" w:rsidP="007968EC">
      <w:pPr>
        <w:autoSpaceDE w:val="0"/>
        <w:autoSpaceDN w:val="0"/>
        <w:adjustRightInd w:val="0"/>
        <w:jc w:val="both"/>
        <w:rPr>
          <w:rFonts w:ascii="Arial Narrow" w:hAnsi="Arial Narrow"/>
        </w:rPr>
      </w:pPr>
    </w:p>
    <w:p w14:paraId="42B58E79" w14:textId="77777777" w:rsidR="007968EC" w:rsidRPr="005F10B9" w:rsidRDefault="007968EC" w:rsidP="007968EC">
      <w:pPr>
        <w:pStyle w:val="TTULO"/>
        <w:rPr>
          <w:rFonts w:eastAsia="Calibri"/>
        </w:rPr>
      </w:pPr>
      <w:bookmarkStart w:id="6431" w:name="_Toc31716553"/>
      <w:bookmarkStart w:id="6432" w:name="_Toc493253280"/>
      <w:r w:rsidRPr="005F10B9">
        <w:rPr>
          <w:rFonts w:eastAsia="Calibri"/>
        </w:rPr>
        <w:t>TÍTULO SEXTO</w:t>
      </w:r>
      <w:bookmarkEnd w:id="6431"/>
      <w:r w:rsidRPr="005F10B9">
        <w:rPr>
          <w:rFonts w:eastAsia="Calibri"/>
        </w:rPr>
        <w:t xml:space="preserve"> </w:t>
      </w:r>
      <w:bookmarkEnd w:id="6432"/>
    </w:p>
    <w:p w14:paraId="4A27946B" w14:textId="77777777" w:rsidR="007968EC" w:rsidRPr="005F10B9" w:rsidRDefault="007968EC" w:rsidP="007968EC">
      <w:pPr>
        <w:pStyle w:val="TTULO"/>
        <w:rPr>
          <w:rFonts w:eastAsia="Calibri"/>
        </w:rPr>
      </w:pPr>
    </w:p>
    <w:p w14:paraId="6B75AC41" w14:textId="77777777" w:rsidR="007968EC" w:rsidRPr="005F10B9" w:rsidRDefault="007968EC" w:rsidP="007968EC">
      <w:pPr>
        <w:pStyle w:val="TTULO"/>
        <w:rPr>
          <w:rFonts w:eastAsia="Calibri"/>
        </w:rPr>
      </w:pPr>
      <w:bookmarkStart w:id="6433" w:name="_Toc493253281"/>
      <w:bookmarkStart w:id="6434" w:name="_Toc31716554"/>
      <w:r w:rsidRPr="005F10B9">
        <w:rPr>
          <w:rFonts w:eastAsia="Calibri"/>
        </w:rPr>
        <w:t>HORARIOS DE LAS SESIONES DE CÁMARA</w:t>
      </w:r>
      <w:bookmarkEnd w:id="6433"/>
      <w:bookmarkEnd w:id="6434"/>
    </w:p>
    <w:p w14:paraId="1C5E1C39" w14:textId="77777777" w:rsidR="007968EC" w:rsidRPr="005F10B9" w:rsidRDefault="007968EC" w:rsidP="007968EC">
      <w:pPr>
        <w:pStyle w:val="TTULO"/>
        <w:rPr>
          <w:rFonts w:eastAsia="Calibri"/>
        </w:rPr>
      </w:pPr>
    </w:p>
    <w:p w14:paraId="616D6BAE" w14:textId="77777777" w:rsidR="007968EC" w:rsidRPr="005F10B9" w:rsidRDefault="007968EC" w:rsidP="007968EC">
      <w:pPr>
        <w:pStyle w:val="TTULO"/>
        <w:rPr>
          <w:rFonts w:eastAsia="Calibri"/>
        </w:rPr>
      </w:pPr>
      <w:bookmarkStart w:id="6435" w:name="_Toc493253282"/>
      <w:bookmarkStart w:id="6436" w:name="_Toc31716555"/>
      <w:r w:rsidRPr="005F10B9">
        <w:rPr>
          <w:rFonts w:eastAsia="Calibri"/>
        </w:rPr>
        <w:t>CAPITULO PRIMERO</w:t>
      </w:r>
      <w:bookmarkEnd w:id="6435"/>
      <w:bookmarkEnd w:id="6436"/>
    </w:p>
    <w:p w14:paraId="3DC8DC29" w14:textId="77777777" w:rsidR="007968EC" w:rsidRPr="005F10B9" w:rsidRDefault="007968EC" w:rsidP="007968EC">
      <w:pPr>
        <w:outlineLvl w:val="1"/>
        <w:rPr>
          <w:rFonts w:ascii="Arial Narrow" w:eastAsia="Calibri" w:hAnsi="Arial Narrow"/>
          <w:b/>
          <w:color w:val="000000" w:themeColor="text1"/>
          <w:u w:val="single"/>
        </w:rPr>
      </w:pPr>
    </w:p>
    <w:p w14:paraId="5DB2E497" w14:textId="77777777" w:rsidR="007968EC" w:rsidRPr="005F10B9" w:rsidRDefault="007968EC" w:rsidP="007968EC">
      <w:pPr>
        <w:pStyle w:val="ARTICULO0"/>
      </w:pPr>
      <w:bookmarkStart w:id="6437" w:name="_Toc493253283"/>
      <w:bookmarkStart w:id="6438" w:name="_Toc31716556"/>
      <w:r w:rsidRPr="005F10B9">
        <w:t>Artículo 5.6.1.1. Horarios de Sesiones de Operación de Cámara.</w:t>
      </w:r>
      <w:bookmarkEnd w:id="6437"/>
      <w:bookmarkEnd w:id="6438"/>
      <w:r w:rsidRPr="005F10B9">
        <w:t xml:space="preserve"> </w:t>
      </w:r>
    </w:p>
    <w:p w14:paraId="32F84A93" w14:textId="77777777" w:rsidR="007968EC" w:rsidRDefault="007968EC" w:rsidP="007968EC">
      <w:pPr>
        <w:jc w:val="both"/>
        <w:rPr>
          <w:rFonts w:ascii="Arial Narrow" w:hAnsi="Arial Narrow"/>
          <w:b/>
        </w:rPr>
      </w:pPr>
    </w:p>
    <w:p w14:paraId="7A51BB72" w14:textId="77777777" w:rsidR="007968EC" w:rsidRPr="00D044D5" w:rsidRDefault="007968EC" w:rsidP="007968EC">
      <w:pPr>
        <w:pStyle w:val="ARTICULO0"/>
        <w:rPr>
          <w:u w:val="none"/>
        </w:rPr>
      </w:pPr>
      <w:bookmarkStart w:id="6439" w:name="_Toc31716557"/>
      <w:r w:rsidRPr="00D044D5">
        <w:rPr>
          <w:u w:val="none"/>
        </w:rPr>
        <w:t>(Este artículo fue modificado mediante Circular 11 del 3 de agosto de 2018, publicada en el Boletín Normativo No. 17 del 3 de agosto de 2018</w:t>
      </w:r>
      <w:r>
        <w:rPr>
          <w:u w:val="none"/>
        </w:rPr>
        <w:t>,</w:t>
      </w:r>
      <w:r w:rsidRPr="00D044D5">
        <w:rPr>
          <w:u w:val="none"/>
        </w:rPr>
        <w:t xml:space="preserve"> mediante Circular 15 del 30 de septiembre de 2019, publicada en el Boletín Normativo No. 028 del 30 de septiembre de 2019, y mediante Circular 19 del 22 de noviembre de 2019, publicada en el Boletín Normativo No. 034 del 22 de noviembre de 2019. Rige a partir del 25 de noviembre de 2019).</w:t>
      </w:r>
      <w:bookmarkEnd w:id="6439"/>
    </w:p>
    <w:p w14:paraId="2C9100A6" w14:textId="77777777" w:rsidR="007968EC" w:rsidRPr="005F10B9" w:rsidRDefault="007968EC" w:rsidP="007968EC">
      <w:pPr>
        <w:contextualSpacing/>
        <w:jc w:val="both"/>
        <w:rPr>
          <w:rFonts w:ascii="Arial Narrow" w:hAnsi="Arial Narrow" w:cs="Arial"/>
          <w:b/>
          <w:color w:val="000000" w:themeColor="text1"/>
          <w:u w:val="single"/>
          <w:lang w:eastAsia="es-ES"/>
        </w:rPr>
      </w:pPr>
    </w:p>
    <w:p w14:paraId="51D29A13" w14:textId="77777777" w:rsidR="007968EC" w:rsidRPr="005F10B9" w:rsidRDefault="007968EC" w:rsidP="007968EC">
      <w:pPr>
        <w:autoSpaceDE w:val="0"/>
        <w:autoSpaceDN w:val="0"/>
        <w:adjustRightInd w:val="0"/>
        <w:contextualSpacing/>
        <w:jc w:val="both"/>
        <w:rPr>
          <w:rFonts w:ascii="Arial Narrow" w:eastAsia="Calibri" w:hAnsi="Arial Narrow"/>
          <w:color w:val="000000" w:themeColor="text1"/>
        </w:rPr>
      </w:pPr>
      <w:r w:rsidRPr="005F10B9">
        <w:rPr>
          <w:rFonts w:ascii="Arial Narrow" w:eastAsia="Calibri" w:hAnsi="Arial Narrow"/>
          <w:color w:val="000000" w:themeColor="text1"/>
        </w:rPr>
        <w:t>De conformidad con el artículo 1.3.6. del Reglamento de Funcionamiento de la Cámara y el Artículo 1.8.1.1. de la presente Circular, el horario de funcionamiento para el Segmento de Swaps tendrá las siguientes sesiones particulares:</w:t>
      </w:r>
    </w:p>
    <w:p w14:paraId="176DA678" w14:textId="77777777" w:rsidR="007968EC" w:rsidRPr="005F10B9" w:rsidRDefault="007968EC" w:rsidP="007968EC">
      <w:pPr>
        <w:tabs>
          <w:tab w:val="num" w:pos="5040"/>
        </w:tabs>
        <w:ind w:left="426"/>
        <w:jc w:val="both"/>
        <w:rPr>
          <w:rFonts w:ascii="Arial Narrow" w:eastAsia="Calibri" w:hAnsi="Arial Narrow"/>
          <w:color w:val="000000" w:themeColor="text1"/>
          <w:u w:val="single"/>
        </w:rPr>
      </w:pPr>
    </w:p>
    <w:p w14:paraId="6497FBB8" w14:textId="77777777" w:rsidR="007968EC" w:rsidRPr="005F10B9" w:rsidRDefault="007968EC" w:rsidP="00DA7472">
      <w:pPr>
        <w:numPr>
          <w:ilvl w:val="3"/>
          <w:numId w:val="357"/>
        </w:numPr>
        <w:tabs>
          <w:tab w:val="left" w:pos="567"/>
        </w:tabs>
        <w:ind w:left="426" w:hanging="426"/>
        <w:jc w:val="both"/>
        <w:rPr>
          <w:rFonts w:ascii="Arial Narrow" w:eastAsia="Calibri" w:hAnsi="Arial Narrow"/>
          <w:b/>
          <w:color w:val="000000" w:themeColor="text1"/>
          <w:u w:val="single"/>
          <w:lang w:eastAsia="es-CO"/>
        </w:rPr>
      </w:pPr>
      <w:r w:rsidRPr="005F10B9">
        <w:rPr>
          <w:rFonts w:ascii="Arial Narrow" w:eastAsia="Calibri" w:hAnsi="Arial Narrow"/>
          <w:color w:val="000000" w:themeColor="text1"/>
          <w:u w:val="single"/>
          <w:lang w:eastAsia="es-CO"/>
        </w:rPr>
        <w:t>Sesión de Aceptación de Operaciones:</w:t>
      </w:r>
    </w:p>
    <w:p w14:paraId="35A0AF8A" w14:textId="77777777" w:rsidR="007968EC" w:rsidRPr="005F10B9" w:rsidRDefault="007968EC" w:rsidP="007968EC">
      <w:pPr>
        <w:rPr>
          <w:rFonts w:ascii="Arial Narrow" w:eastAsia="Calibri" w:hAnsi="Arial Narrow" w:cs="Arial"/>
          <w:b/>
          <w:lang w:eastAsia="es-ES"/>
        </w:rPr>
      </w:pP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78"/>
        <w:gridCol w:w="3686"/>
      </w:tblGrid>
      <w:tr w:rsidR="007968EC" w:rsidRPr="005F10B9" w14:paraId="18FB8219" w14:textId="77777777" w:rsidTr="007968EC">
        <w:trPr>
          <w:trHeight w:val="151"/>
          <w:jc w:val="center"/>
        </w:trPr>
        <w:tc>
          <w:tcPr>
            <w:tcW w:w="467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07B17F9" w14:textId="77777777" w:rsidR="007968EC" w:rsidRPr="005F10B9" w:rsidRDefault="007968EC" w:rsidP="007968EC">
            <w:pPr>
              <w:ind w:left="96"/>
              <w:jc w:val="center"/>
              <w:rPr>
                <w:rFonts w:ascii="Arial Narrow" w:eastAsia="Calibri" w:hAnsi="Arial Narrow"/>
                <w:bCs/>
                <w:color w:val="000000" w:themeColor="text1"/>
              </w:rPr>
            </w:pPr>
            <w:r w:rsidRPr="005F10B9">
              <w:rPr>
                <w:rFonts w:ascii="Arial Narrow" w:eastAsia="Calibri" w:hAnsi="Arial Narrow"/>
                <w:bCs/>
                <w:color w:val="000000" w:themeColor="text1"/>
              </w:rPr>
              <w:t>Activo</w:t>
            </w:r>
          </w:p>
        </w:tc>
        <w:tc>
          <w:tcPr>
            <w:tcW w:w="368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D53994D" w14:textId="77777777" w:rsidR="007968EC" w:rsidRPr="005F10B9" w:rsidRDefault="007968EC" w:rsidP="007968EC">
            <w:pPr>
              <w:jc w:val="center"/>
              <w:rPr>
                <w:rFonts w:ascii="Arial Narrow" w:eastAsia="Calibri" w:hAnsi="Arial Narrow"/>
                <w:bCs/>
                <w:color w:val="000000" w:themeColor="text1"/>
              </w:rPr>
            </w:pPr>
            <w:r w:rsidRPr="005F10B9">
              <w:rPr>
                <w:rFonts w:ascii="Arial Narrow" w:eastAsia="Calibri" w:hAnsi="Arial Narrow"/>
                <w:bCs/>
                <w:color w:val="000000" w:themeColor="text1"/>
              </w:rPr>
              <w:t xml:space="preserve"> Sesión de Aceptación</w:t>
            </w:r>
          </w:p>
          <w:p w14:paraId="4B2D03E7" w14:textId="77777777" w:rsidR="007968EC" w:rsidRPr="005F10B9" w:rsidRDefault="007968EC" w:rsidP="007968EC">
            <w:pPr>
              <w:jc w:val="center"/>
              <w:rPr>
                <w:rFonts w:ascii="Arial Narrow" w:eastAsia="Calibri" w:hAnsi="Arial Narrow"/>
                <w:bCs/>
                <w:color w:val="000000" w:themeColor="text1"/>
              </w:rPr>
            </w:pPr>
            <w:r w:rsidRPr="005F10B9">
              <w:rPr>
                <w:rFonts w:ascii="Arial Narrow" w:eastAsia="Calibri" w:hAnsi="Arial Narrow"/>
                <w:bCs/>
                <w:color w:val="000000" w:themeColor="text1"/>
              </w:rPr>
              <w:t xml:space="preserve"> de Operaciones           </w:t>
            </w:r>
          </w:p>
        </w:tc>
      </w:tr>
      <w:tr w:rsidR="007968EC" w:rsidRPr="005F10B9" w14:paraId="6F23A31E" w14:textId="77777777" w:rsidTr="007968EC">
        <w:trPr>
          <w:trHeight w:val="300"/>
          <w:jc w:val="center"/>
        </w:trPr>
        <w:tc>
          <w:tcPr>
            <w:tcW w:w="4678" w:type="dxa"/>
            <w:tcBorders>
              <w:top w:val="single" w:sz="4" w:space="0" w:color="auto"/>
              <w:left w:val="single" w:sz="4" w:space="0" w:color="auto"/>
              <w:bottom w:val="single" w:sz="4" w:space="0" w:color="auto"/>
              <w:right w:val="single" w:sz="4" w:space="0" w:color="auto"/>
            </w:tcBorders>
            <w:vAlign w:val="center"/>
            <w:hideMark/>
          </w:tcPr>
          <w:p w14:paraId="03BAB002" w14:textId="77777777" w:rsidR="007968EC" w:rsidRPr="005F10B9" w:rsidRDefault="007968EC" w:rsidP="007968EC">
            <w:pPr>
              <w:rPr>
                <w:rFonts w:ascii="Arial Narrow" w:eastAsia="Calibri" w:hAnsi="Arial Narrow"/>
                <w:bCs/>
                <w:color w:val="000000" w:themeColor="text1"/>
              </w:rPr>
            </w:pPr>
            <w:r w:rsidRPr="005F10B9">
              <w:rPr>
                <w:rFonts w:ascii="Arial Narrow" w:eastAsia="Calibri" w:hAnsi="Arial Narrow"/>
                <w:bCs/>
                <w:color w:val="000000" w:themeColor="text1"/>
              </w:rPr>
              <w:t>IRS</w:t>
            </w:r>
          </w:p>
        </w:tc>
        <w:tc>
          <w:tcPr>
            <w:tcW w:w="3686" w:type="dxa"/>
            <w:vMerge w:val="restart"/>
            <w:tcBorders>
              <w:top w:val="single" w:sz="4" w:space="0" w:color="auto"/>
              <w:left w:val="single" w:sz="4" w:space="0" w:color="auto"/>
              <w:right w:val="single" w:sz="4" w:space="0" w:color="auto"/>
            </w:tcBorders>
            <w:vAlign w:val="center"/>
            <w:hideMark/>
          </w:tcPr>
          <w:p w14:paraId="2BFEF5AC" w14:textId="77777777" w:rsidR="007968EC" w:rsidRPr="005F10B9" w:rsidRDefault="007968EC" w:rsidP="007968EC">
            <w:pPr>
              <w:jc w:val="center"/>
              <w:rPr>
                <w:rFonts w:ascii="Arial Narrow" w:eastAsia="Calibri" w:hAnsi="Arial Narrow"/>
                <w:bCs/>
                <w:color w:val="000000" w:themeColor="text1"/>
              </w:rPr>
            </w:pPr>
            <w:r w:rsidRPr="005F10B9">
              <w:rPr>
                <w:rFonts w:ascii="Arial Narrow" w:eastAsia="Calibri" w:hAnsi="Arial Narrow"/>
                <w:bCs/>
                <w:color w:val="000000" w:themeColor="text1"/>
              </w:rPr>
              <w:t>8:00 a.m. a 4:30 p.m.</w:t>
            </w:r>
          </w:p>
        </w:tc>
      </w:tr>
      <w:tr w:rsidR="007968EC" w:rsidRPr="005F10B9" w14:paraId="027E7ED5" w14:textId="77777777" w:rsidTr="007968EC">
        <w:trPr>
          <w:trHeight w:val="300"/>
          <w:jc w:val="center"/>
        </w:trPr>
        <w:tc>
          <w:tcPr>
            <w:tcW w:w="4678" w:type="dxa"/>
            <w:tcBorders>
              <w:top w:val="single" w:sz="4" w:space="0" w:color="auto"/>
              <w:left w:val="single" w:sz="4" w:space="0" w:color="auto"/>
              <w:bottom w:val="single" w:sz="4" w:space="0" w:color="auto"/>
              <w:right w:val="single" w:sz="4" w:space="0" w:color="auto"/>
            </w:tcBorders>
            <w:vAlign w:val="center"/>
            <w:hideMark/>
          </w:tcPr>
          <w:p w14:paraId="4535BBB8" w14:textId="77777777" w:rsidR="007968EC" w:rsidRPr="005F10B9" w:rsidRDefault="007968EC" w:rsidP="007968EC">
            <w:pPr>
              <w:rPr>
                <w:rFonts w:ascii="Arial Narrow" w:eastAsia="Calibri" w:hAnsi="Arial Narrow"/>
                <w:bCs/>
                <w:color w:val="000000" w:themeColor="text1"/>
              </w:rPr>
            </w:pPr>
            <w:r>
              <w:rPr>
                <w:rFonts w:ascii="Arial Narrow" w:eastAsia="Calibri" w:hAnsi="Arial Narrow"/>
                <w:bCs/>
                <w:color w:val="000000" w:themeColor="text1"/>
              </w:rPr>
              <w:t>OIS</w:t>
            </w:r>
            <w:r w:rsidRPr="005F10B9">
              <w:rPr>
                <w:rFonts w:ascii="Arial Narrow" w:eastAsia="Calibri" w:hAnsi="Arial Narrow"/>
                <w:bCs/>
                <w:color w:val="000000" w:themeColor="text1"/>
              </w:rPr>
              <w:t xml:space="preserve"> </w:t>
            </w:r>
          </w:p>
        </w:tc>
        <w:tc>
          <w:tcPr>
            <w:tcW w:w="3686" w:type="dxa"/>
            <w:vMerge/>
            <w:tcBorders>
              <w:left w:val="single" w:sz="4" w:space="0" w:color="auto"/>
              <w:right w:val="single" w:sz="4" w:space="0" w:color="auto"/>
            </w:tcBorders>
            <w:vAlign w:val="center"/>
            <w:hideMark/>
          </w:tcPr>
          <w:p w14:paraId="396F6B91" w14:textId="77777777" w:rsidR="007968EC" w:rsidRPr="005F10B9" w:rsidRDefault="007968EC" w:rsidP="007968EC">
            <w:pPr>
              <w:rPr>
                <w:rFonts w:ascii="Arial Narrow" w:eastAsia="Calibri" w:hAnsi="Arial Narrow"/>
                <w:bCs/>
                <w:color w:val="000000" w:themeColor="text1"/>
              </w:rPr>
            </w:pPr>
          </w:p>
        </w:tc>
      </w:tr>
      <w:tr w:rsidR="007968EC" w:rsidRPr="00C703B6" w14:paraId="04B402CE" w14:textId="77777777" w:rsidTr="007968EC">
        <w:trPr>
          <w:trHeight w:val="300"/>
          <w:jc w:val="center"/>
        </w:trPr>
        <w:tc>
          <w:tcPr>
            <w:tcW w:w="4678" w:type="dxa"/>
            <w:tcBorders>
              <w:top w:val="single" w:sz="4" w:space="0" w:color="auto"/>
              <w:left w:val="single" w:sz="4" w:space="0" w:color="auto"/>
              <w:bottom w:val="single" w:sz="4" w:space="0" w:color="auto"/>
              <w:right w:val="single" w:sz="4" w:space="0" w:color="auto"/>
            </w:tcBorders>
            <w:vAlign w:val="center"/>
          </w:tcPr>
          <w:p w14:paraId="49D46D19" w14:textId="77777777" w:rsidR="007968EC" w:rsidRPr="008378C8" w:rsidRDefault="007968EC" w:rsidP="007968EC">
            <w:pPr>
              <w:rPr>
                <w:rFonts w:ascii="Arial Narrow" w:eastAsia="Calibri" w:hAnsi="Arial Narrow"/>
                <w:bCs/>
                <w:color w:val="000000" w:themeColor="text1"/>
                <w:lang w:val="en-US"/>
              </w:rPr>
            </w:pPr>
            <w:r w:rsidRPr="008378C8">
              <w:rPr>
                <w:rFonts w:ascii="Arial Narrow" w:hAnsi="Arial Narrow"/>
                <w:lang w:val="en-US"/>
              </w:rPr>
              <w:t>Cross Currency Basis Swap O</w:t>
            </w:r>
            <w:r>
              <w:rPr>
                <w:rFonts w:ascii="Arial Narrow" w:hAnsi="Arial Narrow"/>
                <w:lang w:val="en-US"/>
              </w:rPr>
              <w:t>vernight (CCBSO)</w:t>
            </w:r>
          </w:p>
        </w:tc>
        <w:tc>
          <w:tcPr>
            <w:tcW w:w="3686" w:type="dxa"/>
            <w:vMerge/>
            <w:tcBorders>
              <w:left w:val="single" w:sz="4" w:space="0" w:color="auto"/>
              <w:right w:val="single" w:sz="4" w:space="0" w:color="auto"/>
            </w:tcBorders>
            <w:vAlign w:val="center"/>
          </w:tcPr>
          <w:p w14:paraId="756A2901" w14:textId="77777777" w:rsidR="007968EC" w:rsidRPr="008378C8" w:rsidRDefault="007968EC" w:rsidP="007968EC">
            <w:pPr>
              <w:rPr>
                <w:rFonts w:ascii="Arial Narrow" w:eastAsia="Calibri" w:hAnsi="Arial Narrow"/>
                <w:bCs/>
                <w:color w:val="000000" w:themeColor="text1"/>
                <w:lang w:val="en-US"/>
              </w:rPr>
            </w:pPr>
          </w:p>
        </w:tc>
      </w:tr>
    </w:tbl>
    <w:p w14:paraId="08DC3AA2" w14:textId="77777777" w:rsidR="007968EC" w:rsidRPr="00C13052" w:rsidRDefault="007968EC" w:rsidP="007968EC">
      <w:pPr>
        <w:tabs>
          <w:tab w:val="num" w:pos="5040"/>
        </w:tabs>
        <w:jc w:val="both"/>
        <w:rPr>
          <w:rFonts w:ascii="Arial Narrow" w:eastAsia="Calibri" w:hAnsi="Arial Narrow"/>
          <w:bCs/>
          <w:color w:val="000000" w:themeColor="text1"/>
          <w:lang w:val="en-US"/>
        </w:rPr>
      </w:pPr>
    </w:p>
    <w:p w14:paraId="03C20942" w14:textId="77777777" w:rsidR="007968EC" w:rsidRPr="005F10B9" w:rsidRDefault="007968EC" w:rsidP="00DA7472">
      <w:pPr>
        <w:numPr>
          <w:ilvl w:val="3"/>
          <w:numId w:val="357"/>
        </w:numPr>
        <w:ind w:left="426" w:hanging="426"/>
        <w:contextualSpacing/>
        <w:jc w:val="both"/>
        <w:rPr>
          <w:rFonts w:ascii="Arial Narrow" w:eastAsia="Calibri" w:hAnsi="Arial Narrow"/>
          <w:bCs/>
          <w:color w:val="000000" w:themeColor="text1"/>
          <w:u w:val="single"/>
          <w:lang w:eastAsia="es-CO"/>
        </w:rPr>
      </w:pPr>
      <w:r w:rsidRPr="005F10B9">
        <w:rPr>
          <w:rFonts w:ascii="Arial Narrow" w:eastAsia="Calibri" w:hAnsi="Arial Narrow"/>
          <w:bCs/>
          <w:color w:val="000000" w:themeColor="text1"/>
          <w:u w:val="single"/>
          <w:lang w:eastAsia="es-CO"/>
        </w:rPr>
        <w:lastRenderedPageBreak/>
        <w:t xml:space="preserve">Sesión de Gestión de Garantías: </w:t>
      </w:r>
      <w:r w:rsidRPr="005F10B9">
        <w:rPr>
          <w:rFonts w:ascii="Arial Narrow" w:eastAsia="Calibri" w:hAnsi="Arial Narrow"/>
          <w:bCs/>
          <w:color w:val="000000" w:themeColor="text1"/>
          <w:lang w:eastAsia="es-CO"/>
        </w:rPr>
        <w:t xml:space="preserve">La Sesión de Gestión de Garantías del presente Segmento se sujetará a lo dispuesto en el artículo 1.8.1.1. numeral 4, de la presente Circular. No obstante lo anterior, la Petición de Garantía Variable Intradía se llevará a cabo de 1:00 p.m. a 2:00 p.m. Dentro de este horario la Cámara exigirá al Miembro Liquidador la constitución de la Garantía Variable en efectivo, para tal fin, la Cámara realizará un </w:t>
      </w:r>
      <w:r w:rsidRPr="005F10B9">
        <w:rPr>
          <w:rFonts w:ascii="Arial Narrow" w:hAnsi="Arial Narrow" w:cs="Arial"/>
          <w:color w:val="000000" w:themeColor="text1"/>
          <w:lang w:val="es-ES" w:eastAsia="es-ES"/>
        </w:rPr>
        <w:t>débito automático en la cuenta de depósito del Banco de la República (CUD) del Miembro Liquidador</w:t>
      </w:r>
      <w:r w:rsidRPr="005F10B9">
        <w:rPr>
          <w:rFonts w:ascii="Arial Narrow" w:eastAsia="Calibri" w:hAnsi="Arial Narrow"/>
          <w:bCs/>
          <w:color w:val="000000" w:themeColor="text1"/>
          <w:lang w:eastAsia="es-CO"/>
        </w:rPr>
        <w:t xml:space="preserve">. En caso de presentarse el evento de retardo previsto en el artículo </w:t>
      </w:r>
      <w:r w:rsidRPr="005F10B9">
        <w:rPr>
          <w:rFonts w:ascii="Arial Narrow" w:hAnsi="Arial Narrow" w:cs="Arial"/>
          <w:color w:val="000000"/>
          <w:lang w:eastAsia="es-CO"/>
        </w:rPr>
        <w:t>5.8.1.1.</w:t>
      </w:r>
      <w:r w:rsidRPr="005F10B9">
        <w:rPr>
          <w:rFonts w:ascii="Arial Narrow" w:eastAsia="Calibri" w:hAnsi="Arial Narrow"/>
          <w:bCs/>
          <w:color w:val="000000" w:themeColor="text1"/>
          <w:lang w:eastAsia="es-CO"/>
        </w:rPr>
        <w:t xml:space="preserve"> de la Circular Única, referente a la </w:t>
      </w:r>
      <w:r w:rsidRPr="005F10B9">
        <w:rPr>
          <w:rFonts w:ascii="Arial Narrow" w:eastAsia="Calibri" w:hAnsi="Arial Narrow" w:cs="Arial"/>
          <w:lang w:eastAsia="es-ES"/>
        </w:rPr>
        <w:t xml:space="preserve">no constitución de las Garantías por Posición en la parte correspondiente a la Garantía Variable intradía, el horario de la </w:t>
      </w:r>
      <w:r w:rsidRPr="005F10B9">
        <w:rPr>
          <w:rFonts w:ascii="Arial Narrow" w:eastAsia="Calibri" w:hAnsi="Arial Narrow"/>
          <w:bCs/>
          <w:color w:val="000000" w:themeColor="text1"/>
          <w:lang w:eastAsia="es-CO"/>
        </w:rPr>
        <w:t xml:space="preserve">Petición de Garantía Variable Intradía se extenderá hasta las 3:00 p.m. Así mismo, respecto de </w:t>
      </w:r>
      <w:r w:rsidRPr="005F10B9" w:rsidDel="001C2573">
        <w:rPr>
          <w:rFonts w:ascii="Arial Narrow" w:eastAsia="Calibri" w:hAnsi="Arial Narrow" w:cs="Arial"/>
          <w:lang w:eastAsia="es-ES"/>
        </w:rPr>
        <w:t>las Garantías en efectivo solicitadas en la Petición de Garantía Variable intradía, se gestionarán las solicitudes de liberación de Garantías</w:t>
      </w:r>
      <w:r w:rsidRPr="005F10B9">
        <w:rPr>
          <w:rFonts w:ascii="Arial Narrow" w:eastAsia="Calibri" w:hAnsi="Arial Narrow" w:cs="Arial"/>
          <w:lang w:eastAsia="es-ES"/>
        </w:rPr>
        <w:t>,</w:t>
      </w:r>
      <w:r w:rsidRPr="005F10B9" w:rsidDel="001C2573">
        <w:rPr>
          <w:rFonts w:ascii="Arial Narrow" w:eastAsia="Calibri" w:hAnsi="Arial Narrow" w:cs="Arial"/>
          <w:lang w:eastAsia="es-ES"/>
        </w:rPr>
        <w:t xml:space="preserve"> el día hábil siguiente por solicitud del Miembro Liquidad</w:t>
      </w:r>
      <w:r w:rsidRPr="005F10B9">
        <w:rPr>
          <w:rFonts w:ascii="Arial Narrow" w:eastAsia="Calibri" w:hAnsi="Arial Narrow" w:cs="Arial"/>
          <w:lang w:eastAsia="es-ES"/>
        </w:rPr>
        <w:t>or, en el horario de Sesión de Gestión de G</w:t>
      </w:r>
      <w:r w:rsidRPr="005F10B9" w:rsidDel="001C2573">
        <w:rPr>
          <w:rFonts w:ascii="Arial Narrow" w:eastAsia="Calibri" w:hAnsi="Arial Narrow" w:cs="Arial"/>
          <w:lang w:eastAsia="es-ES"/>
        </w:rPr>
        <w:t>arantías</w:t>
      </w:r>
      <w:r w:rsidRPr="005F10B9">
        <w:rPr>
          <w:rFonts w:ascii="Arial Narrow" w:eastAsia="Calibri" w:hAnsi="Arial Narrow" w:cs="Arial"/>
          <w:lang w:eastAsia="es-ES"/>
        </w:rPr>
        <w:t xml:space="preserve"> establecido en el Artículo 1.8.1.1 de la presente Circular.</w:t>
      </w:r>
    </w:p>
    <w:p w14:paraId="45E9E97D" w14:textId="77777777" w:rsidR="007968EC" w:rsidRPr="005F10B9" w:rsidRDefault="007968EC" w:rsidP="007968EC">
      <w:pPr>
        <w:ind w:left="426"/>
        <w:contextualSpacing/>
        <w:jc w:val="both"/>
        <w:rPr>
          <w:rFonts w:ascii="Arial Narrow" w:eastAsia="Calibri" w:hAnsi="Arial Narrow"/>
          <w:bCs/>
          <w:color w:val="000000" w:themeColor="text1"/>
          <w:u w:val="single"/>
          <w:lang w:eastAsia="es-CO"/>
        </w:rPr>
      </w:pPr>
    </w:p>
    <w:p w14:paraId="39AF494F" w14:textId="77777777" w:rsidR="007968EC" w:rsidRPr="00866B91" w:rsidRDefault="007968EC" w:rsidP="00DA7472">
      <w:pPr>
        <w:numPr>
          <w:ilvl w:val="3"/>
          <w:numId w:val="357"/>
        </w:numPr>
        <w:ind w:left="426" w:hanging="426"/>
        <w:contextualSpacing/>
        <w:jc w:val="both"/>
        <w:rPr>
          <w:rFonts w:ascii="Arial Narrow" w:eastAsia="Calibri" w:hAnsi="Arial Narrow"/>
          <w:b/>
          <w:bCs/>
          <w:color w:val="000000" w:themeColor="text1"/>
          <w:u w:val="single"/>
          <w:lang w:eastAsia="es-CO"/>
        </w:rPr>
      </w:pPr>
      <w:r w:rsidRPr="005F10B9">
        <w:rPr>
          <w:rFonts w:ascii="Arial Narrow" w:eastAsia="Calibri" w:hAnsi="Arial Narrow"/>
          <w:bCs/>
          <w:color w:val="000000" w:themeColor="text1"/>
          <w:u w:val="single"/>
          <w:lang w:eastAsia="es-CO"/>
        </w:rPr>
        <w:t>Sesión de Liquidación al Vencimiento cuando las Operaciones Aceptadas deban ser cumplidas con Liquidación por Diferencias:</w:t>
      </w:r>
      <w:r w:rsidRPr="005F10B9">
        <w:rPr>
          <w:rFonts w:ascii="Arial Narrow" w:eastAsia="Calibri" w:hAnsi="Arial Narrow"/>
          <w:bCs/>
          <w:color w:val="000000" w:themeColor="text1"/>
          <w:lang w:eastAsia="es-CO"/>
        </w:rPr>
        <w:t xml:space="preserve"> De 7:00 a.m. a 8:00 a.m. el día hábil siguiente al Vencimiento del contrato. Proceso de cobro y pago de la Liquidación por Diferencias por parte de la Cámara. En caso de presentarse el evento de retardo previsto en el numeral 2 del artículo 1.7.1.1. de la Circular Única, referente al no pago del efectivo correspondiente a la Liquidación al Vencimiento por Diferencias, el horario de la Sesión de Liquidación al Vencimiento cuando las Operaciones Aceptadas deban ser cumplidas con Liquidación por Diferencias se extenderá hasta las 2:00 p.m.</w:t>
      </w:r>
    </w:p>
    <w:p w14:paraId="149C40EE" w14:textId="77777777" w:rsidR="007968EC" w:rsidRPr="00C16E02" w:rsidRDefault="007968EC" w:rsidP="007968EC">
      <w:pPr>
        <w:contextualSpacing/>
        <w:jc w:val="both"/>
        <w:rPr>
          <w:rFonts w:ascii="Arial Narrow" w:eastAsia="Calibri" w:hAnsi="Arial Narrow"/>
          <w:b/>
          <w:bCs/>
          <w:color w:val="000000" w:themeColor="text1"/>
          <w:u w:val="single"/>
          <w:lang w:eastAsia="es-CO"/>
        </w:rPr>
      </w:pPr>
    </w:p>
    <w:p w14:paraId="4973AD26" w14:textId="77777777" w:rsidR="007968EC" w:rsidRDefault="007968EC" w:rsidP="007968EC">
      <w:pPr>
        <w:contextualSpacing/>
        <w:jc w:val="both"/>
        <w:rPr>
          <w:rFonts w:ascii="Arial Narrow" w:eastAsia="Calibri" w:hAnsi="Arial Narrow"/>
          <w:b/>
          <w:bCs/>
          <w:color w:val="000000" w:themeColor="text1"/>
          <w:u w:val="single"/>
          <w:lang w:eastAsia="es-CO"/>
        </w:rPr>
      </w:pPr>
    </w:p>
    <w:p w14:paraId="75C6579A" w14:textId="77777777" w:rsidR="007968EC" w:rsidRPr="00C16E02" w:rsidRDefault="007968EC" w:rsidP="007968EC">
      <w:pPr>
        <w:contextualSpacing/>
        <w:jc w:val="both"/>
        <w:rPr>
          <w:rFonts w:ascii="Arial Narrow" w:eastAsia="Calibri" w:hAnsi="Arial Narrow"/>
          <w:b/>
          <w:bCs/>
          <w:color w:val="000000" w:themeColor="text1"/>
          <w:u w:val="single"/>
          <w:lang w:eastAsia="es-CO"/>
        </w:rPr>
      </w:pPr>
    </w:p>
    <w:p w14:paraId="551BB61D" w14:textId="77777777" w:rsidR="007968EC" w:rsidRPr="005F10B9" w:rsidRDefault="007968EC" w:rsidP="007968EC">
      <w:pPr>
        <w:pStyle w:val="TTULO"/>
        <w:rPr>
          <w:rFonts w:eastAsia="Calibri"/>
        </w:rPr>
      </w:pPr>
      <w:bookmarkStart w:id="6440" w:name="_Toc493253284"/>
      <w:bookmarkStart w:id="6441" w:name="_Toc31716558"/>
      <w:r w:rsidRPr="005F10B9">
        <w:rPr>
          <w:rFonts w:eastAsia="Calibri"/>
        </w:rPr>
        <w:t>TÍTULO SÉPTIMO</w:t>
      </w:r>
      <w:bookmarkEnd w:id="6440"/>
      <w:bookmarkEnd w:id="6441"/>
    </w:p>
    <w:p w14:paraId="23266A74" w14:textId="77777777" w:rsidR="007968EC" w:rsidRPr="005F10B9" w:rsidRDefault="007968EC" w:rsidP="007968EC">
      <w:pPr>
        <w:pStyle w:val="TTULO"/>
        <w:rPr>
          <w:rFonts w:eastAsia="Calibri"/>
        </w:rPr>
      </w:pPr>
    </w:p>
    <w:p w14:paraId="13CE978B" w14:textId="77777777" w:rsidR="007968EC" w:rsidRPr="005F10B9" w:rsidRDefault="007968EC" w:rsidP="007968EC">
      <w:pPr>
        <w:pStyle w:val="TTULO"/>
        <w:rPr>
          <w:rFonts w:eastAsia="Calibri"/>
        </w:rPr>
      </w:pPr>
      <w:bookmarkStart w:id="6442" w:name="_Toc493253285"/>
      <w:bookmarkStart w:id="6443" w:name="_Toc31716559"/>
      <w:r w:rsidRPr="005F10B9">
        <w:rPr>
          <w:rFonts w:eastAsia="Calibri"/>
        </w:rPr>
        <w:t>ACTIVOS</w:t>
      </w:r>
      <w:bookmarkEnd w:id="6442"/>
      <w:bookmarkEnd w:id="6443"/>
    </w:p>
    <w:p w14:paraId="77987A32" w14:textId="77777777" w:rsidR="007968EC" w:rsidRPr="005F10B9" w:rsidRDefault="007968EC" w:rsidP="007968EC">
      <w:pPr>
        <w:pStyle w:val="TTULO"/>
        <w:rPr>
          <w:rFonts w:eastAsia="Calibri"/>
        </w:rPr>
      </w:pPr>
    </w:p>
    <w:p w14:paraId="2F94D40A" w14:textId="77777777" w:rsidR="007968EC" w:rsidRPr="005F10B9" w:rsidRDefault="007968EC" w:rsidP="007968EC">
      <w:pPr>
        <w:pStyle w:val="TTULO"/>
        <w:rPr>
          <w:rFonts w:eastAsia="Calibri"/>
        </w:rPr>
      </w:pPr>
      <w:bookmarkStart w:id="6444" w:name="_Toc493253286"/>
      <w:bookmarkStart w:id="6445" w:name="_Toc31716560"/>
      <w:r w:rsidRPr="005F10B9">
        <w:rPr>
          <w:rFonts w:eastAsia="Calibri"/>
        </w:rPr>
        <w:t>CAPÍTULO PRIMERO</w:t>
      </w:r>
      <w:bookmarkEnd w:id="6444"/>
      <w:bookmarkEnd w:id="6445"/>
    </w:p>
    <w:p w14:paraId="7B97517B" w14:textId="77777777" w:rsidR="007968EC" w:rsidRPr="005F10B9" w:rsidRDefault="007968EC" w:rsidP="007968EC">
      <w:pPr>
        <w:pStyle w:val="TTULO"/>
        <w:rPr>
          <w:rFonts w:eastAsia="Calibri"/>
        </w:rPr>
      </w:pPr>
    </w:p>
    <w:p w14:paraId="771DD151" w14:textId="77777777" w:rsidR="007968EC" w:rsidRPr="005F10B9" w:rsidRDefault="007968EC" w:rsidP="007968EC">
      <w:pPr>
        <w:pStyle w:val="TTULO"/>
        <w:rPr>
          <w:rFonts w:eastAsia="Calibri"/>
        </w:rPr>
      </w:pPr>
      <w:bookmarkStart w:id="6446" w:name="_Toc493253287"/>
      <w:bookmarkStart w:id="6447" w:name="_Toc31716561"/>
      <w:r w:rsidRPr="005F10B9">
        <w:rPr>
          <w:rFonts w:eastAsia="Calibri"/>
        </w:rPr>
        <w:t>PROCESO DE AUTORIZACIÓN</w:t>
      </w:r>
      <w:bookmarkEnd w:id="6446"/>
      <w:bookmarkEnd w:id="6447"/>
    </w:p>
    <w:p w14:paraId="4DF41785" w14:textId="77777777" w:rsidR="007968EC" w:rsidRPr="005F10B9" w:rsidRDefault="007968EC" w:rsidP="007968EC">
      <w:pPr>
        <w:keepNext/>
        <w:tabs>
          <w:tab w:val="left" w:pos="1701"/>
        </w:tabs>
        <w:jc w:val="both"/>
        <w:outlineLvl w:val="2"/>
        <w:rPr>
          <w:rFonts w:ascii="Arial Narrow" w:eastAsia="Calibri" w:hAnsi="Arial Narrow"/>
          <w:color w:val="000000" w:themeColor="text1"/>
          <w:u w:val="single"/>
        </w:rPr>
      </w:pPr>
    </w:p>
    <w:p w14:paraId="28373657" w14:textId="77777777" w:rsidR="007968EC" w:rsidRPr="005F10B9" w:rsidRDefault="007968EC" w:rsidP="007968EC">
      <w:pPr>
        <w:pStyle w:val="ARTICULO0"/>
      </w:pPr>
      <w:bookmarkStart w:id="6448" w:name="_Toc493253288"/>
      <w:bookmarkStart w:id="6449" w:name="_Toc31716562"/>
      <w:r w:rsidRPr="005F10B9">
        <w:t>Artículo 5.7.1.1. Autorización de Activos por parte de la Junta Directiva de la Cámara.</w:t>
      </w:r>
      <w:bookmarkEnd w:id="6448"/>
      <w:bookmarkEnd w:id="6449"/>
    </w:p>
    <w:p w14:paraId="692C6618" w14:textId="77777777" w:rsidR="007968EC" w:rsidRPr="00D044D5" w:rsidRDefault="007968EC" w:rsidP="007968EC">
      <w:pPr>
        <w:jc w:val="both"/>
        <w:rPr>
          <w:rFonts w:ascii="Arial Narrow" w:hAnsi="Arial Narrow"/>
          <w:b/>
        </w:rPr>
      </w:pPr>
    </w:p>
    <w:p w14:paraId="6755934A" w14:textId="77777777" w:rsidR="007968EC" w:rsidRPr="00D044D5" w:rsidRDefault="007968EC" w:rsidP="007968EC">
      <w:pPr>
        <w:pStyle w:val="ARTICULO0"/>
        <w:rPr>
          <w:u w:val="none"/>
        </w:rPr>
      </w:pPr>
      <w:bookmarkStart w:id="6450" w:name="_Toc31716563"/>
      <w:r w:rsidRPr="00D044D5">
        <w:rPr>
          <w:u w:val="none"/>
        </w:rPr>
        <w:t>(Este artículo fue modificado mediante Circular 11 del 3 de agosto de 2018, publicada en el Boletín Normativo No. 17 del 3 de agosto de 2018, y mediante Circular 19 del 22 de noviembre de 2019, publicada en el Boletín Normativo No. 034 del 22 de noviembre de 2019. Rige a partir del 25 de noviembre de 2019).</w:t>
      </w:r>
      <w:bookmarkEnd w:id="6450"/>
    </w:p>
    <w:p w14:paraId="59005F4A" w14:textId="77777777" w:rsidR="007968EC" w:rsidRPr="005F10B9" w:rsidRDefault="007968EC" w:rsidP="007968EC">
      <w:pPr>
        <w:rPr>
          <w:rFonts w:ascii="Arial Narrow" w:eastAsia="Calibri" w:hAnsi="Arial Narrow" w:cs="Arial"/>
          <w:b/>
          <w:lang w:eastAsia="es-ES"/>
        </w:rPr>
      </w:pPr>
    </w:p>
    <w:p w14:paraId="7E5478D0" w14:textId="77777777" w:rsidR="007968EC" w:rsidRPr="005F10B9" w:rsidRDefault="007968EC" w:rsidP="007968EC">
      <w:pPr>
        <w:jc w:val="both"/>
        <w:rPr>
          <w:rFonts w:ascii="Arial Narrow" w:eastAsia="Calibri" w:hAnsi="Arial Narrow"/>
          <w:bCs/>
          <w:color w:val="000000" w:themeColor="text1"/>
        </w:rPr>
      </w:pPr>
      <w:r w:rsidRPr="005F10B9">
        <w:rPr>
          <w:rFonts w:ascii="Arial Narrow" w:eastAsia="Calibri" w:hAnsi="Arial Narrow"/>
          <w:bCs/>
          <w:color w:val="000000" w:themeColor="text1"/>
        </w:rPr>
        <w:t xml:space="preserve">De conformidad con lo establecido en el artículo 1.3.3. del Reglamento de Funcionamiento de la Cámara, la Junta Directiva autorizó la Compensación y Liquidación actuando como Contraparte de los siguientes Activos: </w:t>
      </w:r>
    </w:p>
    <w:p w14:paraId="09ABC917" w14:textId="77777777" w:rsidR="007968EC" w:rsidRPr="005F10B9" w:rsidRDefault="007968EC" w:rsidP="007968EC">
      <w:pPr>
        <w:jc w:val="both"/>
        <w:rPr>
          <w:rFonts w:ascii="Arial Narrow" w:eastAsia="Calibri" w:hAnsi="Arial Narrow"/>
          <w:bCs/>
          <w:color w:val="000000" w:themeColor="text1"/>
        </w:rPr>
      </w:pPr>
    </w:p>
    <w:p w14:paraId="1E4E1ED8" w14:textId="77777777" w:rsidR="007968EC" w:rsidRPr="005F10B9" w:rsidRDefault="007968EC" w:rsidP="00DA7472">
      <w:pPr>
        <w:numPr>
          <w:ilvl w:val="0"/>
          <w:numId w:val="54"/>
        </w:numPr>
        <w:ind w:left="576" w:hanging="425"/>
        <w:jc w:val="both"/>
        <w:rPr>
          <w:rFonts w:ascii="Arial Narrow" w:eastAsia="Calibri" w:hAnsi="Arial Narrow"/>
          <w:color w:val="000000" w:themeColor="text1"/>
        </w:rPr>
      </w:pPr>
      <w:r w:rsidRPr="005F10B9">
        <w:rPr>
          <w:rFonts w:ascii="Arial Narrow" w:eastAsia="Calibri" w:hAnsi="Arial Narrow"/>
          <w:color w:val="000000" w:themeColor="text1"/>
        </w:rPr>
        <w:t>IRS</w:t>
      </w:r>
    </w:p>
    <w:p w14:paraId="360213BE" w14:textId="77777777" w:rsidR="007968EC" w:rsidRPr="005F10B9" w:rsidRDefault="007968EC" w:rsidP="00DA7472">
      <w:pPr>
        <w:numPr>
          <w:ilvl w:val="0"/>
          <w:numId w:val="54"/>
        </w:numPr>
        <w:ind w:left="576" w:hanging="425"/>
        <w:jc w:val="both"/>
        <w:rPr>
          <w:rFonts w:ascii="Arial Narrow" w:eastAsia="Calibri" w:hAnsi="Arial Narrow"/>
          <w:bCs/>
          <w:color w:val="000000" w:themeColor="text1"/>
          <w:kern w:val="32"/>
          <w:u w:val="single"/>
          <w:lang w:val="en-US"/>
        </w:rPr>
      </w:pPr>
      <w:r>
        <w:rPr>
          <w:rFonts w:ascii="Arial Narrow" w:eastAsia="Calibri" w:hAnsi="Arial Narrow"/>
          <w:bCs/>
          <w:color w:val="000000" w:themeColor="text1"/>
          <w:lang w:val="en-US"/>
        </w:rPr>
        <w:lastRenderedPageBreak/>
        <w:t>OIS</w:t>
      </w:r>
    </w:p>
    <w:p w14:paraId="08BC409C" w14:textId="77777777" w:rsidR="007968EC" w:rsidRPr="00BB6522" w:rsidRDefault="007968EC" w:rsidP="00DA7472">
      <w:pPr>
        <w:numPr>
          <w:ilvl w:val="0"/>
          <w:numId w:val="54"/>
        </w:numPr>
        <w:ind w:left="576" w:hanging="425"/>
        <w:jc w:val="both"/>
        <w:rPr>
          <w:rFonts w:ascii="Arial Narrow" w:eastAsia="Calibri" w:hAnsi="Arial Narrow"/>
          <w:bCs/>
          <w:color w:val="000000" w:themeColor="text1"/>
          <w:kern w:val="32"/>
          <w:u w:val="single"/>
          <w:lang w:val="en-US"/>
        </w:rPr>
      </w:pPr>
      <w:r w:rsidRPr="00BE46BF">
        <w:rPr>
          <w:rFonts w:ascii="Arial Narrow" w:hAnsi="Arial Narrow"/>
          <w:lang w:val="en-US"/>
        </w:rPr>
        <w:t>Cross Currency Basis Swap</w:t>
      </w:r>
      <w:r w:rsidRPr="00BB6522">
        <w:rPr>
          <w:rFonts w:ascii="Arial Narrow" w:hAnsi="Arial Narrow"/>
          <w:lang w:val="en-US"/>
        </w:rPr>
        <w:t xml:space="preserve"> O</w:t>
      </w:r>
      <w:r>
        <w:rPr>
          <w:rFonts w:ascii="Arial Narrow" w:hAnsi="Arial Narrow"/>
          <w:lang w:val="en-US"/>
        </w:rPr>
        <w:t>vernight (CCBSO)</w:t>
      </w:r>
    </w:p>
    <w:p w14:paraId="39075952" w14:textId="77777777" w:rsidR="007968EC" w:rsidRPr="008F2FE5" w:rsidRDefault="007968EC" w:rsidP="007968EC">
      <w:pPr>
        <w:jc w:val="both"/>
        <w:rPr>
          <w:rFonts w:ascii="Arial Narrow" w:eastAsia="Calibri" w:hAnsi="Arial Narrow"/>
          <w:bCs/>
          <w:color w:val="000000" w:themeColor="text1"/>
          <w:lang w:val="en-US"/>
        </w:rPr>
      </w:pPr>
    </w:p>
    <w:p w14:paraId="69FA5E8D" w14:textId="77777777" w:rsidR="007968EC" w:rsidRPr="005F10B9" w:rsidRDefault="007968EC" w:rsidP="007968EC">
      <w:pPr>
        <w:jc w:val="both"/>
        <w:rPr>
          <w:rFonts w:ascii="Arial Narrow" w:eastAsia="Calibri" w:hAnsi="Arial Narrow"/>
          <w:color w:val="000000" w:themeColor="text1"/>
        </w:rPr>
      </w:pPr>
      <w:r w:rsidRPr="005F10B9">
        <w:rPr>
          <w:rFonts w:ascii="Arial Narrow" w:eastAsia="Calibri" w:hAnsi="Arial Narrow"/>
          <w:bCs/>
          <w:color w:val="000000" w:themeColor="text1"/>
        </w:rPr>
        <w:t xml:space="preserve">En consecuencia, </w:t>
      </w:r>
      <w:r w:rsidRPr="005F10B9">
        <w:rPr>
          <w:rFonts w:ascii="Arial Narrow" w:eastAsia="Calibri" w:hAnsi="Arial Narrow"/>
          <w:color w:val="000000" w:themeColor="text1"/>
        </w:rPr>
        <w:t>la Cámara, para el Segmento Swaps, está facultada para aceptar Operaciones que versen sobre tales Activos para su Compensación y Liquidación actuando como Contraparte, los cuales deberán cumplir con las normas y autorizaciones expedidas por la Superintendencia Financiera de Colombia.</w:t>
      </w:r>
    </w:p>
    <w:p w14:paraId="450A372A" w14:textId="77777777" w:rsidR="007968EC" w:rsidRPr="005F10B9" w:rsidRDefault="007968EC" w:rsidP="007968EC">
      <w:pPr>
        <w:jc w:val="both"/>
        <w:rPr>
          <w:rFonts w:ascii="Arial Narrow" w:eastAsia="Calibri" w:hAnsi="Arial Narrow"/>
          <w:bCs/>
          <w:color w:val="000000" w:themeColor="text1"/>
          <w:kern w:val="32"/>
          <w:u w:val="single"/>
        </w:rPr>
      </w:pPr>
    </w:p>
    <w:p w14:paraId="33F32E56" w14:textId="77777777" w:rsidR="007968EC" w:rsidRPr="005F10B9" w:rsidRDefault="007968EC" w:rsidP="007968EC">
      <w:pPr>
        <w:keepNext/>
        <w:jc w:val="center"/>
        <w:outlineLvl w:val="0"/>
        <w:rPr>
          <w:rFonts w:ascii="Arial Narrow" w:eastAsia="Calibri" w:hAnsi="Arial Narrow" w:cs="Arial"/>
          <w:b/>
          <w:kern w:val="32"/>
        </w:rPr>
      </w:pPr>
    </w:p>
    <w:p w14:paraId="1345582F" w14:textId="77777777" w:rsidR="007968EC" w:rsidRPr="005F10B9" w:rsidRDefault="007968EC" w:rsidP="007968EC">
      <w:pPr>
        <w:pStyle w:val="TTULO"/>
        <w:rPr>
          <w:rFonts w:eastAsia="Calibri"/>
        </w:rPr>
      </w:pPr>
      <w:bookmarkStart w:id="6451" w:name="_Toc493253291"/>
      <w:bookmarkStart w:id="6452" w:name="_Toc31716564"/>
      <w:r w:rsidRPr="005F10B9">
        <w:rPr>
          <w:rFonts w:eastAsia="Calibri"/>
        </w:rPr>
        <w:t>CAPÍTULO SEGUNDO</w:t>
      </w:r>
      <w:bookmarkEnd w:id="6451"/>
      <w:bookmarkEnd w:id="6452"/>
    </w:p>
    <w:p w14:paraId="6654CCBA" w14:textId="77777777" w:rsidR="007968EC" w:rsidRPr="005F10B9" w:rsidRDefault="007968EC" w:rsidP="007968EC">
      <w:pPr>
        <w:pStyle w:val="TTULO"/>
        <w:rPr>
          <w:rFonts w:eastAsia="Calibri"/>
        </w:rPr>
      </w:pPr>
    </w:p>
    <w:p w14:paraId="5E3EEA9D" w14:textId="77777777" w:rsidR="007968EC" w:rsidRPr="005F10B9" w:rsidRDefault="007968EC" w:rsidP="007968EC">
      <w:pPr>
        <w:pStyle w:val="TTULO"/>
        <w:rPr>
          <w:rFonts w:eastAsia="Calibri"/>
        </w:rPr>
      </w:pPr>
      <w:bookmarkStart w:id="6453" w:name="_Toc493253292"/>
      <w:bookmarkStart w:id="6454" w:name="_Toc31716565"/>
      <w:r w:rsidRPr="005F10B9">
        <w:rPr>
          <w:rFonts w:eastAsia="Calibri"/>
        </w:rPr>
        <w:t>ESPECIFICACIÓN DE LOS ACTIVOS</w:t>
      </w:r>
      <w:bookmarkEnd w:id="6453"/>
      <w:bookmarkEnd w:id="6454"/>
    </w:p>
    <w:p w14:paraId="2EBB6A38" w14:textId="77777777" w:rsidR="007968EC" w:rsidRPr="005F10B9" w:rsidRDefault="007968EC" w:rsidP="007968EC">
      <w:pPr>
        <w:outlineLvl w:val="1"/>
        <w:rPr>
          <w:rFonts w:ascii="Arial Narrow" w:eastAsia="Calibri" w:hAnsi="Arial Narrow" w:cs="Arial"/>
          <w:b/>
          <w:color w:val="000000" w:themeColor="text1"/>
          <w:lang w:eastAsia="es-ES"/>
        </w:rPr>
      </w:pPr>
    </w:p>
    <w:p w14:paraId="66E6B05F" w14:textId="77777777" w:rsidR="007968EC" w:rsidRPr="00C16E02" w:rsidRDefault="007968EC" w:rsidP="007968EC">
      <w:pPr>
        <w:pStyle w:val="ARTICULO0"/>
        <w:rPr>
          <w:rFonts w:eastAsia="Calibri"/>
        </w:rPr>
      </w:pPr>
      <w:bookmarkStart w:id="6455" w:name="_Toc31716566"/>
      <w:r w:rsidRPr="005F10B9">
        <w:t>Artículo 5.7.2.1. Términos propios de las Operaciones Swaps</w:t>
      </w:r>
      <w:r w:rsidRPr="005F10B9">
        <w:rPr>
          <w:rFonts w:eastAsia="Calibri"/>
        </w:rPr>
        <w:t>.</w:t>
      </w:r>
      <w:bookmarkEnd w:id="6455"/>
    </w:p>
    <w:p w14:paraId="3B091809" w14:textId="77777777" w:rsidR="007968EC" w:rsidRDefault="007968EC" w:rsidP="007968EC">
      <w:pPr>
        <w:jc w:val="both"/>
        <w:rPr>
          <w:rFonts w:ascii="Arial Narrow" w:hAnsi="Arial Narrow"/>
          <w:b/>
        </w:rPr>
      </w:pPr>
    </w:p>
    <w:p w14:paraId="66EBDDD8" w14:textId="77777777" w:rsidR="007968EC" w:rsidRPr="00D044D5" w:rsidRDefault="007968EC" w:rsidP="007968EC">
      <w:pPr>
        <w:pStyle w:val="ARTICULO0"/>
        <w:rPr>
          <w:u w:val="none"/>
        </w:rPr>
      </w:pPr>
      <w:bookmarkStart w:id="6456" w:name="_Toc31716567"/>
      <w:r w:rsidRPr="00D044D5">
        <w:rPr>
          <w:bCs/>
          <w:u w:val="none"/>
        </w:rPr>
        <w:t xml:space="preserve">(Este artículo fue modificado mediante Circular 11 del 3 de agosto de 2018, publicada en el Boletín Normativo No. 17 del 3 de agosto de 2018, y mediante Circular 19 del 22 de noviembre de 2019, publicada en el </w:t>
      </w:r>
      <w:r w:rsidRPr="000C31A5">
        <w:rPr>
          <w:u w:val="none"/>
        </w:rPr>
        <w:t>Boletín Normativo No. 034 del 22 de noviembre de 2019. Rige a partir del 25 de noviembre de 2019).</w:t>
      </w:r>
      <w:bookmarkEnd w:id="6456"/>
    </w:p>
    <w:p w14:paraId="01AA99BD" w14:textId="77777777" w:rsidR="007968EC" w:rsidRDefault="007968EC" w:rsidP="007968EC">
      <w:pPr>
        <w:jc w:val="both"/>
        <w:rPr>
          <w:rFonts w:ascii="Arial Narrow" w:eastAsia="Calibri" w:hAnsi="Arial Narrow"/>
          <w:color w:val="000000" w:themeColor="text1"/>
        </w:rPr>
      </w:pPr>
    </w:p>
    <w:p w14:paraId="08D89B37" w14:textId="77777777" w:rsidR="007968EC" w:rsidRPr="005F10B9" w:rsidRDefault="007968EC" w:rsidP="007968EC">
      <w:pPr>
        <w:jc w:val="both"/>
        <w:rPr>
          <w:rFonts w:ascii="Arial Narrow" w:eastAsia="Calibri" w:hAnsi="Arial Narrow"/>
          <w:color w:val="000000" w:themeColor="text1"/>
        </w:rPr>
      </w:pPr>
      <w:r w:rsidRPr="005F10B9">
        <w:rPr>
          <w:rFonts w:ascii="Arial Narrow" w:eastAsia="Calibri" w:hAnsi="Arial Narrow"/>
          <w:color w:val="000000" w:themeColor="text1"/>
        </w:rPr>
        <w:t xml:space="preserve">Los términos genéricos y los términos específicos de las Operaciones Swaps son los siguientes: </w:t>
      </w:r>
    </w:p>
    <w:p w14:paraId="78C73F42" w14:textId="77777777" w:rsidR="007968EC" w:rsidRPr="00C16E02" w:rsidRDefault="007968EC" w:rsidP="007968EC">
      <w:pPr>
        <w:jc w:val="both"/>
        <w:rPr>
          <w:rFonts w:ascii="Arial Narrow" w:eastAsia="Calibri" w:hAnsi="Arial Narrow"/>
          <w:color w:val="000000" w:themeColor="text1"/>
        </w:rPr>
      </w:pPr>
    </w:p>
    <w:p w14:paraId="0ED2B33E" w14:textId="77777777" w:rsidR="007968EC" w:rsidRPr="005F10B9" w:rsidRDefault="007968EC" w:rsidP="007968EC">
      <w:pPr>
        <w:keepNext/>
        <w:tabs>
          <w:tab w:val="left" w:pos="1701"/>
        </w:tabs>
        <w:jc w:val="both"/>
        <w:outlineLvl w:val="2"/>
        <w:rPr>
          <w:rFonts w:ascii="Arial Narrow" w:hAnsi="Arial Narrow" w:cs="Arial"/>
          <w:color w:val="000000" w:themeColor="text1"/>
          <w:u w:val="single"/>
          <w:lang w:eastAsia="es-ES"/>
        </w:rPr>
      </w:pPr>
      <w:r w:rsidRPr="005F10B9">
        <w:rPr>
          <w:rFonts w:ascii="Arial Narrow" w:eastAsia="Calibri" w:hAnsi="Arial Narrow" w:cs="Arial"/>
          <w:color w:val="000000" w:themeColor="text1"/>
          <w:u w:val="single"/>
          <w:lang w:eastAsia="es-ES"/>
        </w:rPr>
        <w:t>1. Términos genéricos:</w:t>
      </w:r>
    </w:p>
    <w:p w14:paraId="443307D9" w14:textId="77777777" w:rsidR="007968EC" w:rsidRPr="00C16E02" w:rsidRDefault="007968EC" w:rsidP="007968EC">
      <w:pPr>
        <w:jc w:val="both"/>
        <w:rPr>
          <w:rFonts w:ascii="Arial Narrow" w:eastAsia="Calibri" w:hAnsi="Arial Narrow"/>
          <w:color w:val="000000" w:themeColor="text1"/>
        </w:rPr>
      </w:pPr>
    </w:p>
    <w:tbl>
      <w:tblPr>
        <w:tblW w:w="9606" w:type="dxa"/>
        <w:tblInd w:w="-13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23"/>
        <w:gridCol w:w="4465"/>
        <w:gridCol w:w="5118"/>
      </w:tblGrid>
      <w:tr w:rsidR="007968EC" w:rsidRPr="005F10B9" w14:paraId="23683C62" w14:textId="77777777" w:rsidTr="007968EC">
        <w:trPr>
          <w:gridBefore w:val="1"/>
          <w:wBefore w:w="23" w:type="dxa"/>
          <w:trHeight w:val="209"/>
        </w:trPr>
        <w:tc>
          <w:tcPr>
            <w:tcW w:w="4465" w:type="dxa"/>
            <w:shd w:val="clear" w:color="auto" w:fill="BFBFBF" w:themeFill="background1" w:themeFillShade="BF"/>
            <w:vAlign w:val="center"/>
          </w:tcPr>
          <w:p w14:paraId="74C0DDC1" w14:textId="77777777" w:rsidR="007968EC" w:rsidRPr="005F10B9" w:rsidRDefault="007968EC" w:rsidP="007968EC">
            <w:pPr>
              <w:rPr>
                <w:rFonts w:ascii="Arial Narrow" w:hAnsi="Arial Narrow"/>
                <w:b/>
                <w:bCs/>
              </w:rPr>
            </w:pPr>
            <w:r w:rsidRPr="005F10B9">
              <w:rPr>
                <w:rFonts w:ascii="Arial Narrow" w:hAnsi="Arial Narrow"/>
                <w:b/>
                <w:bCs/>
              </w:rPr>
              <w:t>Contrapartida</w:t>
            </w:r>
            <w:r w:rsidRPr="005F10B9" w:rsidDel="00C12240">
              <w:rPr>
                <w:rFonts w:ascii="Arial Narrow" w:hAnsi="Arial Narrow"/>
                <w:b/>
                <w:bCs/>
              </w:rPr>
              <w:t xml:space="preserve"> </w:t>
            </w:r>
            <w:r w:rsidRPr="005F10B9">
              <w:rPr>
                <w:rFonts w:ascii="Arial Narrow" w:hAnsi="Arial Narrow"/>
                <w:b/>
                <w:bCs/>
              </w:rPr>
              <w:t xml:space="preserve">/ </w:t>
            </w:r>
            <w:proofErr w:type="spellStart"/>
            <w:r w:rsidRPr="005F10B9">
              <w:rPr>
                <w:rFonts w:ascii="Arial Narrow" w:hAnsi="Arial Narrow"/>
                <w:b/>
                <w:bCs/>
              </w:rPr>
              <w:t>Counterparty</w:t>
            </w:r>
            <w:proofErr w:type="spellEnd"/>
            <w:r w:rsidRPr="005F10B9">
              <w:rPr>
                <w:rFonts w:ascii="Arial Narrow" w:hAnsi="Arial Narrow"/>
                <w:b/>
                <w:bCs/>
              </w:rPr>
              <w:t xml:space="preserve"> </w:t>
            </w:r>
          </w:p>
        </w:tc>
        <w:tc>
          <w:tcPr>
            <w:tcW w:w="5118" w:type="dxa"/>
          </w:tcPr>
          <w:p w14:paraId="260831B9" w14:textId="77777777" w:rsidR="007968EC" w:rsidRPr="005F10B9" w:rsidRDefault="007968EC" w:rsidP="007968EC">
            <w:pPr>
              <w:jc w:val="both"/>
              <w:rPr>
                <w:rFonts w:ascii="Arial Narrow" w:hAnsi="Arial Narrow"/>
              </w:rPr>
            </w:pPr>
            <w:r w:rsidRPr="005F10B9">
              <w:rPr>
                <w:rFonts w:ascii="Arial Narrow" w:hAnsi="Arial Narrow"/>
              </w:rPr>
              <w:t>Nombre que identifica a las partes que están contratando un Swap.</w:t>
            </w:r>
          </w:p>
        </w:tc>
      </w:tr>
      <w:tr w:rsidR="007968EC" w:rsidRPr="005F10B9" w14:paraId="2A3F5B65" w14:textId="77777777" w:rsidTr="007968EC">
        <w:trPr>
          <w:gridBefore w:val="1"/>
          <w:wBefore w:w="23" w:type="dxa"/>
          <w:trHeight w:val="208"/>
        </w:trPr>
        <w:tc>
          <w:tcPr>
            <w:tcW w:w="4465" w:type="dxa"/>
            <w:shd w:val="clear" w:color="auto" w:fill="BFBFBF" w:themeFill="background1" w:themeFillShade="BF"/>
            <w:vAlign w:val="center"/>
          </w:tcPr>
          <w:p w14:paraId="70E13B96" w14:textId="77777777" w:rsidR="007968EC" w:rsidRPr="005F10B9" w:rsidRDefault="007968EC" w:rsidP="007968EC">
            <w:pPr>
              <w:rPr>
                <w:rFonts w:ascii="Arial Narrow" w:hAnsi="Arial Narrow"/>
                <w:b/>
                <w:bCs/>
              </w:rPr>
            </w:pPr>
            <w:r w:rsidRPr="005F10B9">
              <w:rPr>
                <w:rFonts w:ascii="Arial Narrow" w:hAnsi="Arial Narrow"/>
                <w:b/>
                <w:bCs/>
              </w:rPr>
              <w:t xml:space="preserve">Fecha de Operación o Fecha de Celebración / </w:t>
            </w:r>
            <w:proofErr w:type="spellStart"/>
            <w:r w:rsidRPr="005F10B9">
              <w:rPr>
                <w:rFonts w:ascii="Arial Narrow" w:hAnsi="Arial Narrow"/>
                <w:b/>
                <w:bCs/>
              </w:rPr>
              <w:t>Trade</w:t>
            </w:r>
            <w:proofErr w:type="spellEnd"/>
            <w:r w:rsidRPr="005F10B9">
              <w:rPr>
                <w:rFonts w:ascii="Arial Narrow" w:hAnsi="Arial Narrow"/>
                <w:b/>
                <w:bCs/>
              </w:rPr>
              <w:t xml:space="preserve"> Date </w:t>
            </w:r>
          </w:p>
        </w:tc>
        <w:tc>
          <w:tcPr>
            <w:tcW w:w="5118" w:type="dxa"/>
          </w:tcPr>
          <w:p w14:paraId="0BB7EE58" w14:textId="77777777" w:rsidR="007968EC" w:rsidRPr="005F10B9" w:rsidRDefault="007968EC" w:rsidP="007968EC">
            <w:pPr>
              <w:jc w:val="both"/>
              <w:rPr>
                <w:rFonts w:ascii="Arial Narrow" w:hAnsi="Arial Narrow"/>
              </w:rPr>
            </w:pPr>
            <w:r w:rsidRPr="005F10B9">
              <w:rPr>
                <w:rFonts w:ascii="Arial Narrow" w:hAnsi="Arial Narrow"/>
              </w:rPr>
              <w:t xml:space="preserve">Fecha en la que se realiza la operación y se acuerdan los términos esenciales. </w:t>
            </w:r>
          </w:p>
        </w:tc>
      </w:tr>
      <w:tr w:rsidR="007968EC" w:rsidRPr="005F10B9" w14:paraId="0E01301A" w14:textId="77777777" w:rsidTr="007968EC">
        <w:trPr>
          <w:gridBefore w:val="1"/>
          <w:wBefore w:w="23" w:type="dxa"/>
          <w:trHeight w:val="208"/>
        </w:trPr>
        <w:tc>
          <w:tcPr>
            <w:tcW w:w="4465" w:type="dxa"/>
            <w:shd w:val="clear" w:color="auto" w:fill="BFBFBF" w:themeFill="background1" w:themeFillShade="BF"/>
            <w:vAlign w:val="center"/>
          </w:tcPr>
          <w:p w14:paraId="5BA1F8B9" w14:textId="77777777" w:rsidR="007968EC" w:rsidRPr="005F10B9" w:rsidRDefault="007968EC" w:rsidP="007968EC">
            <w:pPr>
              <w:rPr>
                <w:rFonts w:ascii="Arial Narrow" w:hAnsi="Arial Narrow"/>
                <w:b/>
                <w:bCs/>
              </w:rPr>
            </w:pPr>
            <w:r w:rsidRPr="005F10B9">
              <w:rPr>
                <w:rFonts w:ascii="Arial Narrow" w:hAnsi="Arial Narrow"/>
                <w:b/>
                <w:bCs/>
              </w:rPr>
              <w:t xml:space="preserve">Fecha de Registro / </w:t>
            </w:r>
            <w:proofErr w:type="spellStart"/>
            <w:r w:rsidRPr="005F10B9">
              <w:rPr>
                <w:rFonts w:ascii="Arial Narrow" w:hAnsi="Arial Narrow"/>
                <w:b/>
                <w:bCs/>
              </w:rPr>
              <w:t>Registration</w:t>
            </w:r>
            <w:proofErr w:type="spellEnd"/>
            <w:r w:rsidRPr="005F10B9">
              <w:rPr>
                <w:rFonts w:ascii="Arial Narrow" w:hAnsi="Arial Narrow"/>
                <w:b/>
                <w:bCs/>
              </w:rPr>
              <w:t xml:space="preserve"> Date</w:t>
            </w:r>
          </w:p>
        </w:tc>
        <w:tc>
          <w:tcPr>
            <w:tcW w:w="5118" w:type="dxa"/>
          </w:tcPr>
          <w:p w14:paraId="6FCFB289" w14:textId="77777777" w:rsidR="007968EC" w:rsidRPr="005F10B9" w:rsidRDefault="007968EC" w:rsidP="007968EC">
            <w:pPr>
              <w:jc w:val="both"/>
              <w:rPr>
                <w:rFonts w:ascii="Arial Narrow" w:hAnsi="Arial Narrow"/>
              </w:rPr>
            </w:pPr>
            <w:r w:rsidRPr="005F10B9">
              <w:rPr>
                <w:rFonts w:ascii="Arial Narrow" w:hAnsi="Arial Narrow"/>
              </w:rPr>
              <w:t>Fecha en la que la Operación se registra en un sistema de registro.</w:t>
            </w:r>
          </w:p>
        </w:tc>
      </w:tr>
      <w:tr w:rsidR="007968EC" w:rsidRPr="005F10B9" w14:paraId="7191BC2C" w14:textId="77777777" w:rsidTr="007968EC">
        <w:trPr>
          <w:gridBefore w:val="1"/>
          <w:wBefore w:w="23" w:type="dxa"/>
          <w:trHeight w:val="542"/>
        </w:trPr>
        <w:tc>
          <w:tcPr>
            <w:tcW w:w="4465" w:type="dxa"/>
            <w:shd w:val="clear" w:color="auto" w:fill="BFBFBF" w:themeFill="background1" w:themeFillShade="BF"/>
            <w:vAlign w:val="center"/>
          </w:tcPr>
          <w:p w14:paraId="5E9F1283" w14:textId="77777777" w:rsidR="007968EC" w:rsidRPr="005F10B9" w:rsidRDefault="007968EC" w:rsidP="007968EC">
            <w:pPr>
              <w:rPr>
                <w:rFonts w:ascii="Arial Narrow" w:hAnsi="Arial Narrow"/>
                <w:b/>
                <w:bCs/>
              </w:rPr>
            </w:pPr>
            <w:r w:rsidRPr="005F10B9">
              <w:rPr>
                <w:rFonts w:ascii="Arial Narrow" w:hAnsi="Arial Narrow"/>
                <w:b/>
                <w:bCs/>
              </w:rPr>
              <w:t xml:space="preserve">Fecha Efectiva o Fecha de Inicio/ </w:t>
            </w:r>
            <w:proofErr w:type="spellStart"/>
            <w:r w:rsidRPr="005F10B9">
              <w:rPr>
                <w:rFonts w:ascii="Arial Narrow" w:hAnsi="Arial Narrow"/>
                <w:b/>
                <w:bCs/>
              </w:rPr>
              <w:t>Effective</w:t>
            </w:r>
            <w:proofErr w:type="spellEnd"/>
            <w:r w:rsidRPr="005F10B9">
              <w:rPr>
                <w:rFonts w:ascii="Arial Narrow" w:hAnsi="Arial Narrow"/>
                <w:b/>
                <w:bCs/>
              </w:rPr>
              <w:t xml:space="preserve"> Date </w:t>
            </w:r>
          </w:p>
        </w:tc>
        <w:tc>
          <w:tcPr>
            <w:tcW w:w="5118" w:type="dxa"/>
          </w:tcPr>
          <w:p w14:paraId="179606DB" w14:textId="77777777" w:rsidR="007968EC" w:rsidRPr="005F10B9" w:rsidRDefault="007968EC" w:rsidP="007968EC">
            <w:pPr>
              <w:jc w:val="both"/>
              <w:rPr>
                <w:rFonts w:ascii="Arial Narrow" w:hAnsi="Arial Narrow"/>
              </w:rPr>
            </w:pPr>
            <w:r w:rsidRPr="005F10B9">
              <w:rPr>
                <w:rFonts w:ascii="Arial Narrow" w:hAnsi="Arial Narrow"/>
              </w:rPr>
              <w:t xml:space="preserve">Fecha en la que el contrato entra en vigencia y se hacen efectivas sus obligaciones. </w:t>
            </w:r>
          </w:p>
        </w:tc>
      </w:tr>
      <w:tr w:rsidR="007968EC" w:rsidRPr="005F10B9" w14:paraId="5D999AEF" w14:textId="77777777" w:rsidTr="007968EC">
        <w:trPr>
          <w:gridBefore w:val="1"/>
          <w:wBefore w:w="23" w:type="dxa"/>
          <w:trHeight w:val="439"/>
        </w:trPr>
        <w:tc>
          <w:tcPr>
            <w:tcW w:w="4465" w:type="dxa"/>
            <w:shd w:val="clear" w:color="auto" w:fill="BFBFBF" w:themeFill="background1" w:themeFillShade="BF"/>
            <w:vAlign w:val="center"/>
          </w:tcPr>
          <w:p w14:paraId="7EECE229" w14:textId="77777777" w:rsidR="007968EC" w:rsidRPr="005F10B9" w:rsidRDefault="007968EC" w:rsidP="007968EC">
            <w:pPr>
              <w:rPr>
                <w:rFonts w:ascii="Arial Narrow" w:hAnsi="Arial Narrow"/>
                <w:b/>
                <w:bCs/>
              </w:rPr>
            </w:pPr>
            <w:r w:rsidRPr="005F10B9">
              <w:rPr>
                <w:rFonts w:ascii="Arial Narrow" w:hAnsi="Arial Narrow"/>
                <w:b/>
                <w:bCs/>
              </w:rPr>
              <w:t xml:space="preserve">Fecha de Vencimiento / </w:t>
            </w:r>
            <w:proofErr w:type="spellStart"/>
            <w:r w:rsidRPr="005F10B9">
              <w:rPr>
                <w:rFonts w:ascii="Arial Narrow" w:hAnsi="Arial Narrow"/>
                <w:b/>
                <w:bCs/>
              </w:rPr>
              <w:t>Termination</w:t>
            </w:r>
            <w:proofErr w:type="spellEnd"/>
            <w:r w:rsidRPr="005F10B9">
              <w:rPr>
                <w:rFonts w:ascii="Arial Narrow" w:hAnsi="Arial Narrow"/>
                <w:b/>
                <w:bCs/>
              </w:rPr>
              <w:t xml:space="preserve"> Date </w:t>
            </w:r>
          </w:p>
        </w:tc>
        <w:tc>
          <w:tcPr>
            <w:tcW w:w="5118" w:type="dxa"/>
          </w:tcPr>
          <w:p w14:paraId="60AD3A99" w14:textId="77777777" w:rsidR="007968EC" w:rsidRPr="005F10B9" w:rsidRDefault="007968EC" w:rsidP="007968EC">
            <w:pPr>
              <w:jc w:val="both"/>
              <w:rPr>
                <w:rFonts w:ascii="Arial Narrow" w:hAnsi="Arial Narrow"/>
              </w:rPr>
            </w:pPr>
            <w:r w:rsidRPr="005F10B9">
              <w:rPr>
                <w:rFonts w:ascii="Arial Narrow" w:hAnsi="Arial Narrow"/>
              </w:rPr>
              <w:t xml:space="preserve">Fecha de Vencimiento de la Operación. </w:t>
            </w:r>
          </w:p>
          <w:p w14:paraId="70ADFB96" w14:textId="77777777" w:rsidR="007968EC" w:rsidRPr="005F10B9" w:rsidRDefault="007968EC" w:rsidP="007968EC">
            <w:pPr>
              <w:jc w:val="both"/>
              <w:rPr>
                <w:rFonts w:ascii="Arial Narrow" w:hAnsi="Arial Narrow"/>
              </w:rPr>
            </w:pPr>
            <w:r w:rsidRPr="005F10B9">
              <w:rPr>
                <w:rFonts w:ascii="Arial Narrow" w:hAnsi="Arial Narrow"/>
              </w:rPr>
              <w:t xml:space="preserve">La Fecha de Vencimiento será ajustada de acuerdo con la Convención de Días Hábiles </w:t>
            </w:r>
            <w:proofErr w:type="spellStart"/>
            <w:r w:rsidRPr="005F10B9">
              <w:rPr>
                <w:rFonts w:ascii="Arial Narrow" w:hAnsi="Arial Narrow"/>
              </w:rPr>
              <w:t>Modified</w:t>
            </w:r>
            <w:proofErr w:type="spellEnd"/>
            <w:r w:rsidRPr="005F10B9">
              <w:rPr>
                <w:rFonts w:ascii="Arial Narrow" w:hAnsi="Arial Narrow"/>
              </w:rPr>
              <w:t xml:space="preserve"> Following.</w:t>
            </w:r>
          </w:p>
        </w:tc>
      </w:tr>
      <w:tr w:rsidR="007968EC" w:rsidRPr="005F10B9" w14:paraId="3F49B7EA" w14:textId="77777777" w:rsidTr="007968EC">
        <w:trPr>
          <w:gridBefore w:val="1"/>
          <w:wBefore w:w="23" w:type="dxa"/>
          <w:trHeight w:val="439"/>
        </w:trPr>
        <w:tc>
          <w:tcPr>
            <w:tcW w:w="4465" w:type="dxa"/>
            <w:shd w:val="clear" w:color="auto" w:fill="BFBFBF" w:themeFill="background1" w:themeFillShade="BF"/>
            <w:vAlign w:val="center"/>
          </w:tcPr>
          <w:p w14:paraId="68D99CF6" w14:textId="77777777" w:rsidR="007968EC" w:rsidRPr="005F10B9" w:rsidRDefault="007968EC" w:rsidP="007968EC">
            <w:pPr>
              <w:rPr>
                <w:rFonts w:ascii="Arial Narrow" w:hAnsi="Arial Narrow"/>
                <w:b/>
                <w:bCs/>
              </w:rPr>
            </w:pPr>
            <w:r w:rsidRPr="005F10B9">
              <w:rPr>
                <w:rFonts w:ascii="Arial Narrow" w:hAnsi="Arial Narrow"/>
                <w:b/>
                <w:bCs/>
              </w:rPr>
              <w:t xml:space="preserve">Fecha de Aceptación / </w:t>
            </w:r>
            <w:proofErr w:type="spellStart"/>
            <w:r w:rsidRPr="005F10B9">
              <w:rPr>
                <w:rFonts w:ascii="Arial Narrow" w:hAnsi="Arial Narrow"/>
                <w:b/>
                <w:bCs/>
              </w:rPr>
              <w:t>Acceptance</w:t>
            </w:r>
            <w:proofErr w:type="spellEnd"/>
            <w:r w:rsidRPr="005F10B9">
              <w:rPr>
                <w:rFonts w:ascii="Arial Narrow" w:hAnsi="Arial Narrow"/>
                <w:b/>
                <w:bCs/>
              </w:rPr>
              <w:t xml:space="preserve"> Date </w:t>
            </w:r>
          </w:p>
        </w:tc>
        <w:tc>
          <w:tcPr>
            <w:tcW w:w="5118" w:type="dxa"/>
          </w:tcPr>
          <w:p w14:paraId="7F6776E9" w14:textId="77777777" w:rsidR="007968EC" w:rsidRPr="005F10B9" w:rsidRDefault="007968EC" w:rsidP="007968EC">
            <w:pPr>
              <w:jc w:val="both"/>
              <w:rPr>
                <w:rFonts w:ascii="Arial Narrow" w:hAnsi="Arial Narrow"/>
              </w:rPr>
            </w:pPr>
            <w:r w:rsidRPr="005F10B9">
              <w:rPr>
                <w:rFonts w:ascii="Arial Narrow" w:hAnsi="Arial Narrow"/>
              </w:rPr>
              <w:t xml:space="preserve">Es la Fecha en la que la Operación se Acepta por la Cámara. </w:t>
            </w:r>
          </w:p>
        </w:tc>
      </w:tr>
      <w:tr w:rsidR="007968EC" w:rsidRPr="005F10B9" w14:paraId="044EC5AC" w14:textId="77777777" w:rsidTr="007968EC">
        <w:trPr>
          <w:gridBefore w:val="1"/>
          <w:wBefore w:w="23" w:type="dxa"/>
          <w:trHeight w:val="439"/>
        </w:trPr>
        <w:tc>
          <w:tcPr>
            <w:tcW w:w="4465" w:type="dxa"/>
            <w:shd w:val="clear" w:color="auto" w:fill="BFBFBF" w:themeFill="background1" w:themeFillShade="BF"/>
            <w:vAlign w:val="center"/>
          </w:tcPr>
          <w:p w14:paraId="0A215BCF" w14:textId="77777777" w:rsidR="007968EC" w:rsidRPr="005F10B9" w:rsidRDefault="007968EC" w:rsidP="007968EC">
            <w:pPr>
              <w:rPr>
                <w:rFonts w:ascii="Arial Narrow" w:hAnsi="Arial Narrow"/>
                <w:b/>
                <w:bCs/>
              </w:rPr>
            </w:pPr>
            <w:r w:rsidRPr="005F10B9">
              <w:rPr>
                <w:rFonts w:ascii="Arial Narrow" w:hAnsi="Arial Narrow"/>
                <w:b/>
                <w:bCs/>
              </w:rPr>
              <w:t xml:space="preserve">Plazo Mínimo en días / Mínimum </w:t>
            </w:r>
            <w:proofErr w:type="spellStart"/>
            <w:r w:rsidRPr="005F10B9">
              <w:rPr>
                <w:rFonts w:ascii="Arial Narrow" w:hAnsi="Arial Narrow"/>
                <w:b/>
                <w:bCs/>
              </w:rPr>
              <w:t>Term</w:t>
            </w:r>
            <w:proofErr w:type="spellEnd"/>
            <w:r w:rsidRPr="005F10B9">
              <w:rPr>
                <w:rFonts w:ascii="Arial Narrow" w:hAnsi="Arial Narrow"/>
                <w:b/>
                <w:bCs/>
              </w:rPr>
              <w:t xml:space="preserve"> (in </w:t>
            </w:r>
            <w:proofErr w:type="spellStart"/>
            <w:r w:rsidRPr="005F10B9">
              <w:rPr>
                <w:rFonts w:ascii="Arial Narrow" w:hAnsi="Arial Narrow"/>
                <w:b/>
                <w:bCs/>
              </w:rPr>
              <w:t>days</w:t>
            </w:r>
            <w:proofErr w:type="spellEnd"/>
            <w:r w:rsidRPr="005F10B9">
              <w:rPr>
                <w:rFonts w:ascii="Arial Narrow" w:hAnsi="Arial Narrow"/>
                <w:b/>
                <w:bCs/>
              </w:rPr>
              <w:t xml:space="preserve">) </w:t>
            </w:r>
          </w:p>
        </w:tc>
        <w:tc>
          <w:tcPr>
            <w:tcW w:w="5118" w:type="dxa"/>
          </w:tcPr>
          <w:p w14:paraId="3CCBD8D6" w14:textId="77777777" w:rsidR="007968EC" w:rsidRPr="005F10B9" w:rsidRDefault="007968EC" w:rsidP="007968EC">
            <w:pPr>
              <w:jc w:val="both"/>
              <w:rPr>
                <w:rFonts w:ascii="Arial Narrow" w:hAnsi="Arial Narrow"/>
              </w:rPr>
            </w:pPr>
            <w:r w:rsidRPr="005F10B9">
              <w:rPr>
                <w:rFonts w:ascii="Arial Narrow" w:hAnsi="Arial Narrow"/>
              </w:rPr>
              <w:t xml:space="preserve">Define el plazo mínimo de terminación de un Swap (medido en días) para que sea posible su compensación en la Cámara. </w:t>
            </w:r>
          </w:p>
          <w:p w14:paraId="734A4BE7" w14:textId="77777777" w:rsidR="007968EC" w:rsidRPr="005F10B9" w:rsidRDefault="007968EC" w:rsidP="007968EC">
            <w:pPr>
              <w:jc w:val="both"/>
              <w:rPr>
                <w:rFonts w:ascii="Arial Narrow" w:hAnsi="Arial Narrow"/>
              </w:rPr>
            </w:pPr>
            <w:r w:rsidRPr="005F10B9">
              <w:rPr>
                <w:rFonts w:ascii="Arial Narrow" w:hAnsi="Arial Narrow"/>
              </w:rPr>
              <w:lastRenderedPageBreak/>
              <w:t>El "Plazo Mínimo" de un intercambio es igual a la "Fecha de Vencimiento" de la Operación, menos la “Fecha Efectiva”.</w:t>
            </w:r>
          </w:p>
        </w:tc>
      </w:tr>
      <w:tr w:rsidR="007968EC" w:rsidRPr="005F10B9" w14:paraId="66FF9BEA" w14:textId="77777777" w:rsidTr="007968EC">
        <w:trPr>
          <w:gridBefore w:val="1"/>
          <w:wBefore w:w="23" w:type="dxa"/>
          <w:trHeight w:val="439"/>
        </w:trPr>
        <w:tc>
          <w:tcPr>
            <w:tcW w:w="4465" w:type="dxa"/>
            <w:shd w:val="clear" w:color="auto" w:fill="BFBFBF" w:themeFill="background1" w:themeFillShade="BF"/>
            <w:vAlign w:val="center"/>
          </w:tcPr>
          <w:p w14:paraId="5D020890" w14:textId="77777777" w:rsidR="007968EC" w:rsidRPr="005F10B9" w:rsidRDefault="007968EC" w:rsidP="007968EC">
            <w:pPr>
              <w:rPr>
                <w:rFonts w:ascii="Arial Narrow" w:hAnsi="Arial Narrow"/>
                <w:b/>
                <w:bCs/>
              </w:rPr>
            </w:pPr>
            <w:r w:rsidRPr="005F10B9">
              <w:rPr>
                <w:rFonts w:ascii="Arial Narrow" w:hAnsi="Arial Narrow"/>
                <w:b/>
                <w:bCs/>
              </w:rPr>
              <w:lastRenderedPageBreak/>
              <w:t xml:space="preserve">Plazo Residual Mínimo en días / Mínimum Residual </w:t>
            </w:r>
            <w:proofErr w:type="spellStart"/>
            <w:r w:rsidRPr="005F10B9">
              <w:rPr>
                <w:rFonts w:ascii="Arial Narrow" w:hAnsi="Arial Narrow"/>
                <w:b/>
                <w:bCs/>
              </w:rPr>
              <w:t>Term</w:t>
            </w:r>
            <w:proofErr w:type="spellEnd"/>
            <w:r w:rsidRPr="005F10B9">
              <w:rPr>
                <w:rFonts w:ascii="Arial Narrow" w:hAnsi="Arial Narrow"/>
                <w:b/>
                <w:bCs/>
              </w:rPr>
              <w:t xml:space="preserve"> (in </w:t>
            </w:r>
            <w:proofErr w:type="spellStart"/>
            <w:r w:rsidRPr="005F10B9">
              <w:rPr>
                <w:rFonts w:ascii="Arial Narrow" w:hAnsi="Arial Narrow"/>
                <w:b/>
                <w:bCs/>
              </w:rPr>
              <w:t>days</w:t>
            </w:r>
            <w:proofErr w:type="spellEnd"/>
            <w:r w:rsidRPr="005F10B9">
              <w:rPr>
                <w:rFonts w:ascii="Arial Narrow" w:hAnsi="Arial Narrow"/>
                <w:b/>
                <w:bCs/>
              </w:rPr>
              <w:t xml:space="preserve">) </w:t>
            </w:r>
          </w:p>
        </w:tc>
        <w:tc>
          <w:tcPr>
            <w:tcW w:w="5118" w:type="dxa"/>
          </w:tcPr>
          <w:p w14:paraId="320F552E" w14:textId="77777777" w:rsidR="007968EC" w:rsidRPr="005F10B9" w:rsidRDefault="007968EC" w:rsidP="007968EC">
            <w:pPr>
              <w:jc w:val="both"/>
              <w:rPr>
                <w:rFonts w:ascii="Arial Narrow" w:hAnsi="Arial Narrow"/>
              </w:rPr>
            </w:pPr>
            <w:r w:rsidRPr="005F10B9">
              <w:rPr>
                <w:rFonts w:ascii="Arial Narrow" w:hAnsi="Arial Narrow"/>
              </w:rPr>
              <w:t>Define el plazo residual mínimo (medido en días) que se puede seleccionar (elegir) para que un Swap se compense en la Cámara.</w:t>
            </w:r>
          </w:p>
          <w:p w14:paraId="11438986" w14:textId="77777777" w:rsidR="007968EC" w:rsidRPr="005F10B9" w:rsidRDefault="007968EC" w:rsidP="007968EC">
            <w:pPr>
              <w:jc w:val="both"/>
              <w:rPr>
                <w:rFonts w:ascii="Arial Narrow" w:hAnsi="Arial Narrow"/>
              </w:rPr>
            </w:pPr>
            <w:r w:rsidRPr="005F10B9">
              <w:rPr>
                <w:rFonts w:ascii="Arial Narrow" w:hAnsi="Arial Narrow"/>
              </w:rPr>
              <w:t xml:space="preserve">El "Plazo Residual Mínimo" de un intercambio es igual a la "Fecha de Vencimiento" de la Operación, menos la “Fecha de Aceptación”. </w:t>
            </w:r>
          </w:p>
        </w:tc>
      </w:tr>
      <w:tr w:rsidR="007968EC" w:rsidRPr="005F10B9" w14:paraId="1B8D1FCA" w14:textId="77777777" w:rsidTr="007968EC">
        <w:trPr>
          <w:gridBefore w:val="1"/>
          <w:wBefore w:w="23" w:type="dxa"/>
          <w:trHeight w:val="439"/>
        </w:trPr>
        <w:tc>
          <w:tcPr>
            <w:tcW w:w="4465" w:type="dxa"/>
            <w:shd w:val="clear" w:color="auto" w:fill="BFBFBF" w:themeFill="background1" w:themeFillShade="BF"/>
            <w:vAlign w:val="center"/>
          </w:tcPr>
          <w:p w14:paraId="770D4FB9" w14:textId="77777777" w:rsidR="007968EC" w:rsidRPr="005F10B9" w:rsidRDefault="007968EC" w:rsidP="007968EC">
            <w:pPr>
              <w:rPr>
                <w:rFonts w:ascii="Arial Narrow" w:hAnsi="Arial Narrow"/>
                <w:b/>
                <w:bCs/>
              </w:rPr>
            </w:pPr>
            <w:r w:rsidRPr="005F10B9">
              <w:rPr>
                <w:rFonts w:ascii="Arial Narrow" w:hAnsi="Arial Narrow"/>
                <w:b/>
                <w:bCs/>
              </w:rPr>
              <w:t xml:space="preserve">Plazo Residual Máximo en días / </w:t>
            </w:r>
            <w:proofErr w:type="spellStart"/>
            <w:r w:rsidRPr="005F10B9">
              <w:rPr>
                <w:rFonts w:ascii="Arial Narrow" w:hAnsi="Arial Narrow"/>
                <w:b/>
                <w:bCs/>
              </w:rPr>
              <w:t>Maximum</w:t>
            </w:r>
            <w:proofErr w:type="spellEnd"/>
            <w:r w:rsidRPr="005F10B9">
              <w:rPr>
                <w:rFonts w:ascii="Arial Narrow" w:hAnsi="Arial Narrow"/>
                <w:b/>
                <w:bCs/>
              </w:rPr>
              <w:t xml:space="preserve"> Residual </w:t>
            </w:r>
            <w:proofErr w:type="spellStart"/>
            <w:r w:rsidRPr="005F10B9">
              <w:rPr>
                <w:rFonts w:ascii="Arial Narrow" w:hAnsi="Arial Narrow"/>
                <w:b/>
                <w:bCs/>
              </w:rPr>
              <w:t>Term</w:t>
            </w:r>
            <w:proofErr w:type="spellEnd"/>
            <w:r w:rsidRPr="005F10B9">
              <w:rPr>
                <w:rFonts w:ascii="Arial Narrow" w:hAnsi="Arial Narrow"/>
                <w:b/>
                <w:bCs/>
              </w:rPr>
              <w:t xml:space="preserve"> (in </w:t>
            </w:r>
            <w:proofErr w:type="spellStart"/>
            <w:r w:rsidRPr="005F10B9">
              <w:rPr>
                <w:rFonts w:ascii="Arial Narrow" w:hAnsi="Arial Narrow"/>
                <w:b/>
                <w:bCs/>
              </w:rPr>
              <w:t>days</w:t>
            </w:r>
            <w:proofErr w:type="spellEnd"/>
            <w:r w:rsidRPr="005F10B9">
              <w:rPr>
                <w:rFonts w:ascii="Arial Narrow" w:hAnsi="Arial Narrow"/>
                <w:b/>
                <w:bCs/>
              </w:rPr>
              <w:t xml:space="preserve">) </w:t>
            </w:r>
          </w:p>
        </w:tc>
        <w:tc>
          <w:tcPr>
            <w:tcW w:w="5118" w:type="dxa"/>
          </w:tcPr>
          <w:p w14:paraId="54B865BD" w14:textId="77777777" w:rsidR="007968EC" w:rsidRPr="005F10B9" w:rsidRDefault="007968EC" w:rsidP="007968EC">
            <w:pPr>
              <w:jc w:val="both"/>
              <w:rPr>
                <w:rFonts w:ascii="Arial Narrow" w:hAnsi="Arial Narrow"/>
              </w:rPr>
            </w:pPr>
            <w:r w:rsidRPr="005F10B9">
              <w:rPr>
                <w:rFonts w:ascii="Arial Narrow" w:hAnsi="Arial Narrow"/>
              </w:rPr>
              <w:t xml:space="preserve">Define el plazo residual máximo de un Swap (medido en días) que se puede seleccionar (elegir) para que un Swap se compense en la Cámara. </w:t>
            </w:r>
          </w:p>
          <w:p w14:paraId="4123F57A" w14:textId="77777777" w:rsidR="007968EC" w:rsidRPr="005F10B9" w:rsidRDefault="007968EC" w:rsidP="007968EC">
            <w:pPr>
              <w:jc w:val="both"/>
              <w:rPr>
                <w:rFonts w:ascii="Arial Narrow" w:hAnsi="Arial Narrow"/>
              </w:rPr>
            </w:pPr>
            <w:r w:rsidRPr="005F10B9">
              <w:rPr>
                <w:rFonts w:ascii="Arial Narrow" w:hAnsi="Arial Narrow"/>
              </w:rPr>
              <w:t>El “Plazo Residual Máximo" es igual a la "Fecha de Vencimiento" menos la “Fecha de Aceptación”.</w:t>
            </w:r>
          </w:p>
        </w:tc>
      </w:tr>
      <w:tr w:rsidR="007968EC" w:rsidRPr="005F10B9" w14:paraId="0F0DA692" w14:textId="77777777" w:rsidTr="007968EC">
        <w:trPr>
          <w:gridBefore w:val="1"/>
          <w:wBefore w:w="23" w:type="dxa"/>
          <w:trHeight w:val="439"/>
        </w:trPr>
        <w:tc>
          <w:tcPr>
            <w:tcW w:w="4465" w:type="dxa"/>
            <w:shd w:val="clear" w:color="auto" w:fill="BFBFBF" w:themeFill="background1" w:themeFillShade="BF"/>
            <w:vAlign w:val="center"/>
          </w:tcPr>
          <w:p w14:paraId="10095364" w14:textId="77777777" w:rsidR="007968EC" w:rsidRPr="005F10B9" w:rsidRDefault="007968EC" w:rsidP="007968EC">
            <w:pPr>
              <w:rPr>
                <w:rFonts w:ascii="Arial Narrow" w:hAnsi="Arial Narrow"/>
                <w:b/>
                <w:bCs/>
              </w:rPr>
            </w:pPr>
            <w:r w:rsidRPr="005F10B9">
              <w:rPr>
                <w:rFonts w:ascii="Arial Narrow" w:hAnsi="Arial Narrow"/>
                <w:b/>
                <w:bCs/>
              </w:rPr>
              <w:t xml:space="preserve">Plazo Residual Máximo en años / </w:t>
            </w:r>
            <w:proofErr w:type="spellStart"/>
            <w:r w:rsidRPr="005F10B9">
              <w:rPr>
                <w:rFonts w:ascii="Arial Narrow" w:hAnsi="Arial Narrow"/>
                <w:b/>
                <w:bCs/>
              </w:rPr>
              <w:t>Maximum</w:t>
            </w:r>
            <w:proofErr w:type="spellEnd"/>
            <w:r w:rsidRPr="005F10B9">
              <w:rPr>
                <w:rFonts w:ascii="Arial Narrow" w:hAnsi="Arial Narrow"/>
                <w:b/>
                <w:bCs/>
              </w:rPr>
              <w:t xml:space="preserve"> Residual </w:t>
            </w:r>
            <w:proofErr w:type="spellStart"/>
            <w:r w:rsidRPr="005F10B9">
              <w:rPr>
                <w:rFonts w:ascii="Arial Narrow" w:hAnsi="Arial Narrow"/>
                <w:b/>
                <w:bCs/>
              </w:rPr>
              <w:t>Term</w:t>
            </w:r>
            <w:proofErr w:type="spellEnd"/>
            <w:r w:rsidRPr="005F10B9">
              <w:rPr>
                <w:rFonts w:ascii="Arial Narrow" w:hAnsi="Arial Narrow"/>
                <w:b/>
                <w:bCs/>
              </w:rPr>
              <w:t xml:space="preserve"> (in </w:t>
            </w:r>
            <w:proofErr w:type="spellStart"/>
            <w:r w:rsidRPr="005F10B9">
              <w:rPr>
                <w:rFonts w:ascii="Arial Narrow" w:hAnsi="Arial Narrow"/>
                <w:b/>
                <w:bCs/>
              </w:rPr>
              <w:t>years</w:t>
            </w:r>
            <w:proofErr w:type="spellEnd"/>
            <w:r w:rsidRPr="005F10B9">
              <w:rPr>
                <w:rFonts w:ascii="Arial Narrow" w:hAnsi="Arial Narrow"/>
                <w:b/>
                <w:bCs/>
              </w:rPr>
              <w:t xml:space="preserve">) </w:t>
            </w:r>
          </w:p>
        </w:tc>
        <w:tc>
          <w:tcPr>
            <w:tcW w:w="5118" w:type="dxa"/>
          </w:tcPr>
          <w:p w14:paraId="50D0CFFC" w14:textId="77777777" w:rsidR="007968EC" w:rsidRPr="005F10B9" w:rsidRDefault="007968EC" w:rsidP="007968EC">
            <w:pPr>
              <w:jc w:val="both"/>
              <w:rPr>
                <w:rFonts w:ascii="Arial Narrow" w:hAnsi="Arial Narrow"/>
              </w:rPr>
            </w:pPr>
            <w:r w:rsidRPr="005F10B9">
              <w:rPr>
                <w:rFonts w:ascii="Arial Narrow" w:hAnsi="Arial Narrow"/>
              </w:rPr>
              <w:t>Define el plazo residual máximo de un Swap (medido en años) que se puede seleccionar (elegir) para que un Swap se compense en la Cámara.</w:t>
            </w:r>
          </w:p>
          <w:p w14:paraId="75C7DA46" w14:textId="77777777" w:rsidR="007968EC" w:rsidRPr="005F10B9" w:rsidRDefault="007968EC" w:rsidP="007968EC">
            <w:pPr>
              <w:jc w:val="both"/>
              <w:rPr>
                <w:rFonts w:ascii="Arial Narrow" w:hAnsi="Arial Narrow"/>
              </w:rPr>
            </w:pPr>
            <w:r w:rsidRPr="005F10B9">
              <w:rPr>
                <w:rFonts w:ascii="Arial Narrow" w:hAnsi="Arial Narrow"/>
              </w:rPr>
              <w:t xml:space="preserve">El “Plazo Residual Máximo" es igual a la "Fecha de Vencimiento" menos la “Fecha de Aceptación”. </w:t>
            </w:r>
          </w:p>
        </w:tc>
      </w:tr>
      <w:tr w:rsidR="007968EC" w:rsidRPr="005F10B9" w14:paraId="7AA92502" w14:textId="77777777" w:rsidTr="007968EC">
        <w:trPr>
          <w:gridBefore w:val="1"/>
          <w:wBefore w:w="23" w:type="dxa"/>
          <w:trHeight w:val="439"/>
        </w:trPr>
        <w:tc>
          <w:tcPr>
            <w:tcW w:w="4465" w:type="dxa"/>
            <w:shd w:val="clear" w:color="auto" w:fill="BFBFBF" w:themeFill="background1" w:themeFillShade="BF"/>
            <w:vAlign w:val="center"/>
          </w:tcPr>
          <w:p w14:paraId="19BBDB53" w14:textId="77777777" w:rsidR="007968EC" w:rsidRPr="005F10B9" w:rsidRDefault="007968EC" w:rsidP="007968EC">
            <w:pPr>
              <w:rPr>
                <w:rFonts w:ascii="Arial Narrow" w:hAnsi="Arial Narrow"/>
                <w:b/>
                <w:bCs/>
              </w:rPr>
            </w:pPr>
            <w:r w:rsidRPr="005F10B9">
              <w:rPr>
                <w:rFonts w:ascii="Arial Narrow" w:hAnsi="Arial Narrow"/>
                <w:b/>
                <w:bCs/>
              </w:rPr>
              <w:t xml:space="preserve">Inicio Diferido / Forward </w:t>
            </w:r>
            <w:proofErr w:type="spellStart"/>
            <w:r w:rsidRPr="005F10B9">
              <w:rPr>
                <w:rFonts w:ascii="Arial Narrow" w:hAnsi="Arial Narrow"/>
                <w:b/>
                <w:bCs/>
              </w:rPr>
              <w:t>Starting</w:t>
            </w:r>
            <w:proofErr w:type="spellEnd"/>
            <w:r w:rsidRPr="005F10B9">
              <w:rPr>
                <w:rFonts w:ascii="Arial Narrow" w:hAnsi="Arial Narrow"/>
                <w:b/>
                <w:bCs/>
              </w:rPr>
              <w:t xml:space="preserve"> </w:t>
            </w:r>
          </w:p>
        </w:tc>
        <w:tc>
          <w:tcPr>
            <w:tcW w:w="5118" w:type="dxa"/>
          </w:tcPr>
          <w:p w14:paraId="56D9C00A" w14:textId="77777777" w:rsidR="007968EC" w:rsidRPr="005F10B9" w:rsidRDefault="007968EC" w:rsidP="007968EC">
            <w:pPr>
              <w:jc w:val="both"/>
              <w:rPr>
                <w:rFonts w:ascii="Arial Narrow" w:hAnsi="Arial Narrow"/>
              </w:rPr>
            </w:pPr>
            <w:r w:rsidRPr="005F10B9">
              <w:rPr>
                <w:rFonts w:ascii="Arial Narrow" w:hAnsi="Arial Narrow"/>
              </w:rPr>
              <w:t xml:space="preserve">Se entiende como el comienzo a futuro de una Operación (es decir, cuando la Fecha Efectiva se produce en el futuro), aplicándose el mismo Plazo Residual Máximo. </w:t>
            </w:r>
          </w:p>
        </w:tc>
      </w:tr>
      <w:tr w:rsidR="007968EC" w:rsidRPr="005F10B9" w14:paraId="7E048230" w14:textId="77777777" w:rsidTr="007968EC">
        <w:trPr>
          <w:gridBefore w:val="1"/>
          <w:wBefore w:w="23" w:type="dxa"/>
          <w:trHeight w:val="439"/>
        </w:trPr>
        <w:tc>
          <w:tcPr>
            <w:tcW w:w="4465" w:type="dxa"/>
            <w:shd w:val="clear" w:color="auto" w:fill="BFBFBF" w:themeFill="background1" w:themeFillShade="BF"/>
            <w:vAlign w:val="center"/>
          </w:tcPr>
          <w:p w14:paraId="45FDB4B6" w14:textId="77777777" w:rsidR="007968EC" w:rsidRPr="005F10B9" w:rsidRDefault="007968EC" w:rsidP="007968EC">
            <w:pPr>
              <w:rPr>
                <w:rFonts w:ascii="Arial Narrow" w:hAnsi="Arial Narrow"/>
                <w:b/>
                <w:bCs/>
              </w:rPr>
            </w:pPr>
            <w:r w:rsidRPr="005F10B9">
              <w:rPr>
                <w:rFonts w:ascii="Arial Narrow" w:hAnsi="Arial Narrow"/>
                <w:b/>
                <w:bCs/>
              </w:rPr>
              <w:t xml:space="preserve">Nominal o Nocional/ </w:t>
            </w:r>
            <w:proofErr w:type="spellStart"/>
            <w:r w:rsidRPr="005F10B9">
              <w:rPr>
                <w:rFonts w:ascii="Arial Narrow" w:hAnsi="Arial Narrow"/>
                <w:b/>
                <w:bCs/>
              </w:rPr>
              <w:t>Notional</w:t>
            </w:r>
            <w:proofErr w:type="spellEnd"/>
            <w:r w:rsidRPr="005F10B9">
              <w:rPr>
                <w:rFonts w:ascii="Arial Narrow" w:hAnsi="Arial Narrow"/>
                <w:b/>
                <w:bCs/>
              </w:rPr>
              <w:t xml:space="preserve"> </w:t>
            </w:r>
            <w:proofErr w:type="spellStart"/>
            <w:r w:rsidRPr="005F10B9">
              <w:rPr>
                <w:rFonts w:ascii="Arial Narrow" w:hAnsi="Arial Narrow"/>
                <w:b/>
                <w:bCs/>
              </w:rPr>
              <w:t>Amount</w:t>
            </w:r>
            <w:proofErr w:type="spellEnd"/>
            <w:r w:rsidRPr="005F10B9">
              <w:rPr>
                <w:rFonts w:ascii="Arial Narrow" w:hAnsi="Arial Narrow"/>
                <w:b/>
                <w:bCs/>
              </w:rPr>
              <w:t xml:space="preserve"> </w:t>
            </w:r>
          </w:p>
        </w:tc>
        <w:tc>
          <w:tcPr>
            <w:tcW w:w="5118" w:type="dxa"/>
          </w:tcPr>
          <w:p w14:paraId="310A950B" w14:textId="77777777" w:rsidR="007968EC" w:rsidRPr="005F10B9" w:rsidRDefault="007968EC" w:rsidP="007968EC">
            <w:pPr>
              <w:jc w:val="both"/>
              <w:rPr>
                <w:rFonts w:ascii="Arial Narrow" w:hAnsi="Arial Narrow"/>
              </w:rPr>
            </w:pPr>
            <w:r w:rsidRPr="005F10B9">
              <w:rPr>
                <w:rFonts w:ascii="Arial Narrow" w:hAnsi="Arial Narrow"/>
              </w:rPr>
              <w:t xml:space="preserve">El atributo "Nominal" define si el Nominal puede cambiar a lo largo del plazo del Swap. La Cámara acepta Swaps de Nominal Variable donde i) el calendario de nominales es conocido antes del registro en la Cámara, ii) el Nominal puede incrementarse, reducirse o ambos a la vez y iii) el Nominal vivo al inicio del periodo de cálculo sea el mismo para ambas ramas del Swap. Ej.: Swap 3M Vs 6M el Nominal solo podrá variar cada 6 meses. </w:t>
            </w:r>
          </w:p>
        </w:tc>
      </w:tr>
      <w:tr w:rsidR="007968EC" w:rsidRPr="005F10B9" w14:paraId="3D644CB8" w14:textId="77777777" w:rsidTr="007968EC">
        <w:trPr>
          <w:gridBefore w:val="1"/>
          <w:wBefore w:w="23" w:type="dxa"/>
          <w:trHeight w:val="439"/>
        </w:trPr>
        <w:tc>
          <w:tcPr>
            <w:tcW w:w="4465" w:type="dxa"/>
            <w:shd w:val="clear" w:color="auto" w:fill="BFBFBF" w:themeFill="background1" w:themeFillShade="BF"/>
            <w:vAlign w:val="center"/>
          </w:tcPr>
          <w:p w14:paraId="0E035850" w14:textId="77777777" w:rsidR="007968EC" w:rsidRPr="005F10B9" w:rsidRDefault="007968EC" w:rsidP="007968EC">
            <w:pPr>
              <w:rPr>
                <w:rFonts w:ascii="Arial Narrow" w:hAnsi="Arial Narrow"/>
                <w:b/>
                <w:bCs/>
              </w:rPr>
            </w:pPr>
            <w:r w:rsidRPr="005F10B9">
              <w:rPr>
                <w:rFonts w:ascii="Arial Narrow" w:hAnsi="Arial Narrow"/>
                <w:b/>
                <w:bCs/>
              </w:rPr>
              <w:t xml:space="preserve">Importe Mínimo de Nominal / Mínimum </w:t>
            </w:r>
            <w:proofErr w:type="spellStart"/>
            <w:r w:rsidRPr="005F10B9">
              <w:rPr>
                <w:rFonts w:ascii="Arial Narrow" w:hAnsi="Arial Narrow"/>
                <w:b/>
                <w:bCs/>
              </w:rPr>
              <w:t>Notional</w:t>
            </w:r>
            <w:proofErr w:type="spellEnd"/>
            <w:r w:rsidRPr="005F10B9">
              <w:rPr>
                <w:rFonts w:ascii="Arial Narrow" w:hAnsi="Arial Narrow"/>
                <w:b/>
                <w:bCs/>
              </w:rPr>
              <w:t xml:space="preserve"> </w:t>
            </w:r>
            <w:proofErr w:type="spellStart"/>
            <w:r w:rsidRPr="005F10B9">
              <w:rPr>
                <w:rFonts w:ascii="Arial Narrow" w:hAnsi="Arial Narrow"/>
                <w:b/>
                <w:bCs/>
              </w:rPr>
              <w:t>Amount</w:t>
            </w:r>
            <w:proofErr w:type="spellEnd"/>
            <w:r w:rsidRPr="005F10B9">
              <w:rPr>
                <w:rFonts w:ascii="Arial Narrow" w:hAnsi="Arial Narrow"/>
                <w:b/>
                <w:bCs/>
              </w:rPr>
              <w:t xml:space="preserve"> </w:t>
            </w:r>
          </w:p>
        </w:tc>
        <w:tc>
          <w:tcPr>
            <w:tcW w:w="5118" w:type="dxa"/>
          </w:tcPr>
          <w:p w14:paraId="315FA5B1" w14:textId="77777777" w:rsidR="007968EC" w:rsidRPr="005F10B9" w:rsidRDefault="007968EC" w:rsidP="007968EC">
            <w:pPr>
              <w:jc w:val="both"/>
              <w:rPr>
                <w:rFonts w:ascii="Arial Narrow" w:hAnsi="Arial Narrow"/>
              </w:rPr>
            </w:pPr>
            <w:r w:rsidRPr="005F10B9">
              <w:rPr>
                <w:rFonts w:ascii="Arial Narrow" w:hAnsi="Arial Narrow"/>
              </w:rPr>
              <w:t xml:space="preserve">El atributo “Importe Mínimo de Nominal " define el tamaño mínimo que es elegible para la Cámara. </w:t>
            </w:r>
          </w:p>
        </w:tc>
      </w:tr>
      <w:tr w:rsidR="007968EC" w:rsidRPr="005F10B9" w14:paraId="369C7557" w14:textId="77777777" w:rsidTr="007968EC">
        <w:trPr>
          <w:gridBefore w:val="1"/>
          <w:wBefore w:w="23" w:type="dxa"/>
          <w:trHeight w:val="439"/>
        </w:trPr>
        <w:tc>
          <w:tcPr>
            <w:tcW w:w="4465" w:type="dxa"/>
            <w:shd w:val="clear" w:color="auto" w:fill="BFBFBF" w:themeFill="background1" w:themeFillShade="BF"/>
            <w:vAlign w:val="center"/>
          </w:tcPr>
          <w:p w14:paraId="4BE00B61" w14:textId="77777777" w:rsidR="007968EC" w:rsidRPr="005F10B9" w:rsidRDefault="007968EC" w:rsidP="007968EC">
            <w:pPr>
              <w:rPr>
                <w:rFonts w:ascii="Arial Narrow" w:hAnsi="Arial Narrow"/>
                <w:b/>
                <w:bCs/>
              </w:rPr>
            </w:pPr>
            <w:r w:rsidRPr="005F10B9">
              <w:rPr>
                <w:rFonts w:ascii="Arial Narrow" w:hAnsi="Arial Narrow"/>
                <w:b/>
                <w:bCs/>
              </w:rPr>
              <w:t xml:space="preserve">Importe Máximo de Nominal / Máximum </w:t>
            </w:r>
            <w:proofErr w:type="spellStart"/>
            <w:r w:rsidRPr="005F10B9">
              <w:rPr>
                <w:rFonts w:ascii="Arial Narrow" w:hAnsi="Arial Narrow"/>
                <w:b/>
                <w:bCs/>
              </w:rPr>
              <w:t>Notional</w:t>
            </w:r>
            <w:proofErr w:type="spellEnd"/>
            <w:r w:rsidRPr="005F10B9">
              <w:rPr>
                <w:rFonts w:ascii="Arial Narrow" w:hAnsi="Arial Narrow"/>
                <w:b/>
                <w:bCs/>
              </w:rPr>
              <w:t xml:space="preserve"> </w:t>
            </w:r>
            <w:proofErr w:type="spellStart"/>
            <w:r w:rsidRPr="005F10B9">
              <w:rPr>
                <w:rFonts w:ascii="Arial Narrow" w:hAnsi="Arial Narrow"/>
                <w:b/>
                <w:bCs/>
              </w:rPr>
              <w:t>Amount</w:t>
            </w:r>
            <w:proofErr w:type="spellEnd"/>
            <w:r w:rsidRPr="005F10B9">
              <w:rPr>
                <w:rFonts w:ascii="Arial Narrow" w:hAnsi="Arial Narrow"/>
                <w:b/>
                <w:bCs/>
              </w:rPr>
              <w:t xml:space="preserve"> </w:t>
            </w:r>
          </w:p>
        </w:tc>
        <w:tc>
          <w:tcPr>
            <w:tcW w:w="5118" w:type="dxa"/>
          </w:tcPr>
          <w:p w14:paraId="6D216E97" w14:textId="77777777" w:rsidR="007968EC" w:rsidRPr="005F10B9" w:rsidRDefault="007968EC" w:rsidP="007968EC">
            <w:pPr>
              <w:jc w:val="both"/>
              <w:rPr>
                <w:rFonts w:ascii="Arial Narrow" w:hAnsi="Arial Narrow"/>
              </w:rPr>
            </w:pPr>
            <w:r w:rsidRPr="005F10B9">
              <w:rPr>
                <w:rFonts w:ascii="Arial Narrow" w:hAnsi="Arial Narrow"/>
              </w:rPr>
              <w:t>El atributo “Importe Máximo de Nominal" define el tamaño máximo que es elegible para la Cámara.</w:t>
            </w:r>
          </w:p>
        </w:tc>
      </w:tr>
      <w:tr w:rsidR="007968EC" w:rsidRPr="005F10B9" w14:paraId="14BE558B" w14:textId="77777777" w:rsidTr="007968EC">
        <w:trPr>
          <w:gridBefore w:val="1"/>
          <w:wBefore w:w="23" w:type="dxa"/>
          <w:trHeight w:val="439"/>
        </w:trPr>
        <w:tc>
          <w:tcPr>
            <w:tcW w:w="446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2B4E6665" w14:textId="77777777" w:rsidR="007968EC" w:rsidRPr="005F10B9" w:rsidRDefault="007968EC" w:rsidP="007968EC">
            <w:pPr>
              <w:rPr>
                <w:rFonts w:ascii="Arial Narrow" w:hAnsi="Arial Narrow"/>
                <w:b/>
                <w:bCs/>
              </w:rPr>
            </w:pPr>
            <w:r w:rsidRPr="005F10B9">
              <w:rPr>
                <w:rFonts w:ascii="Arial Narrow" w:hAnsi="Arial Narrow"/>
                <w:b/>
                <w:bCs/>
              </w:rPr>
              <w:t xml:space="preserve">Amortización / </w:t>
            </w:r>
            <w:proofErr w:type="spellStart"/>
            <w:r w:rsidRPr="005F10B9">
              <w:rPr>
                <w:rFonts w:ascii="Arial Narrow" w:hAnsi="Arial Narrow"/>
                <w:b/>
                <w:bCs/>
              </w:rPr>
              <w:t>Amortization</w:t>
            </w:r>
            <w:proofErr w:type="spellEnd"/>
            <w:r w:rsidRPr="005F10B9">
              <w:rPr>
                <w:rFonts w:ascii="Arial Narrow" w:hAnsi="Arial Narrow"/>
                <w:b/>
                <w:bCs/>
              </w:rPr>
              <w:t xml:space="preserve"> </w:t>
            </w:r>
          </w:p>
        </w:tc>
        <w:tc>
          <w:tcPr>
            <w:tcW w:w="5118" w:type="dxa"/>
            <w:tcBorders>
              <w:top w:val="single" w:sz="18" w:space="0" w:color="auto"/>
              <w:left w:val="single" w:sz="18" w:space="0" w:color="auto"/>
              <w:bottom w:val="single" w:sz="18" w:space="0" w:color="auto"/>
              <w:right w:val="single" w:sz="18" w:space="0" w:color="auto"/>
            </w:tcBorders>
          </w:tcPr>
          <w:p w14:paraId="79BAF7B8" w14:textId="77777777" w:rsidR="007968EC" w:rsidRPr="005F10B9" w:rsidRDefault="007968EC" w:rsidP="007968EC">
            <w:pPr>
              <w:jc w:val="both"/>
              <w:rPr>
                <w:rFonts w:ascii="Arial Narrow" w:hAnsi="Arial Narrow"/>
              </w:rPr>
            </w:pPr>
            <w:r w:rsidRPr="005F10B9">
              <w:rPr>
                <w:rFonts w:ascii="Arial Narrow" w:hAnsi="Arial Narrow"/>
              </w:rPr>
              <w:t xml:space="preserve">Fracción del Nominal de la operación que incrementa o disminuye en una Fecha </w:t>
            </w:r>
            <w:proofErr w:type="gramStart"/>
            <w:r w:rsidRPr="005F10B9">
              <w:rPr>
                <w:rFonts w:ascii="Arial Narrow" w:hAnsi="Arial Narrow"/>
              </w:rPr>
              <w:t>determinada</w:t>
            </w:r>
            <w:r>
              <w:rPr>
                <w:rFonts w:ascii="Arial Narrow" w:hAnsi="Arial Narrow"/>
              </w:rPr>
              <w:t>.</w:t>
            </w:r>
            <w:r w:rsidRPr="005F10B9">
              <w:rPr>
                <w:rFonts w:ascii="Arial Narrow" w:hAnsi="Arial Narrow"/>
              </w:rPr>
              <w:t>.</w:t>
            </w:r>
            <w:proofErr w:type="gramEnd"/>
            <w:r w:rsidRPr="005F10B9">
              <w:rPr>
                <w:rFonts w:ascii="Arial Narrow" w:hAnsi="Arial Narrow"/>
              </w:rPr>
              <w:t xml:space="preserve"> </w:t>
            </w:r>
          </w:p>
        </w:tc>
      </w:tr>
      <w:tr w:rsidR="007968EC" w:rsidRPr="005F10B9" w14:paraId="06D7E001" w14:textId="77777777" w:rsidTr="007968EC">
        <w:trPr>
          <w:gridBefore w:val="1"/>
          <w:wBefore w:w="23" w:type="dxa"/>
          <w:trHeight w:val="439"/>
        </w:trPr>
        <w:tc>
          <w:tcPr>
            <w:tcW w:w="446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64E4672C" w14:textId="77777777" w:rsidR="007968EC" w:rsidRPr="005F10B9" w:rsidRDefault="007968EC" w:rsidP="007968EC">
            <w:pPr>
              <w:rPr>
                <w:rFonts w:ascii="Arial Narrow" w:hAnsi="Arial Narrow"/>
                <w:b/>
                <w:bCs/>
              </w:rPr>
            </w:pPr>
            <w:r w:rsidRPr="005F10B9">
              <w:rPr>
                <w:rFonts w:ascii="Arial Narrow" w:hAnsi="Arial Narrow"/>
                <w:b/>
                <w:bCs/>
              </w:rPr>
              <w:t xml:space="preserve">Lado / </w:t>
            </w:r>
            <w:proofErr w:type="spellStart"/>
            <w:r w:rsidRPr="005F10B9">
              <w:rPr>
                <w:rFonts w:ascii="Arial Narrow" w:hAnsi="Arial Narrow"/>
                <w:b/>
                <w:bCs/>
              </w:rPr>
              <w:t>Side</w:t>
            </w:r>
            <w:proofErr w:type="spellEnd"/>
            <w:r w:rsidRPr="005F10B9">
              <w:rPr>
                <w:rFonts w:ascii="Arial Narrow" w:hAnsi="Arial Narrow"/>
                <w:b/>
                <w:bCs/>
              </w:rPr>
              <w:t xml:space="preserve"> </w:t>
            </w:r>
          </w:p>
        </w:tc>
        <w:tc>
          <w:tcPr>
            <w:tcW w:w="5118" w:type="dxa"/>
            <w:tcBorders>
              <w:top w:val="single" w:sz="18" w:space="0" w:color="auto"/>
              <w:left w:val="single" w:sz="18" w:space="0" w:color="auto"/>
              <w:bottom w:val="single" w:sz="18" w:space="0" w:color="auto"/>
              <w:right w:val="single" w:sz="18" w:space="0" w:color="auto"/>
            </w:tcBorders>
          </w:tcPr>
          <w:p w14:paraId="2956ED3C" w14:textId="77777777" w:rsidR="007968EC" w:rsidRPr="005F10B9" w:rsidRDefault="007968EC" w:rsidP="007968EC">
            <w:pPr>
              <w:jc w:val="both"/>
              <w:rPr>
                <w:rFonts w:ascii="Arial Narrow" w:hAnsi="Arial Narrow"/>
              </w:rPr>
            </w:pPr>
            <w:r w:rsidRPr="005F10B9">
              <w:rPr>
                <w:rFonts w:ascii="Arial Narrow" w:hAnsi="Arial Narrow"/>
              </w:rPr>
              <w:t xml:space="preserve">Identifica el sentido de las ramas del Swap, comprador o vendedor, pagador o recibidor. </w:t>
            </w:r>
          </w:p>
        </w:tc>
      </w:tr>
      <w:tr w:rsidR="007968EC" w:rsidRPr="005F10B9" w14:paraId="4A8FB9C5" w14:textId="77777777" w:rsidTr="007968EC">
        <w:trPr>
          <w:gridBefore w:val="1"/>
          <w:wBefore w:w="23" w:type="dxa"/>
          <w:trHeight w:val="439"/>
        </w:trPr>
        <w:tc>
          <w:tcPr>
            <w:tcW w:w="446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22B94B99" w14:textId="77777777" w:rsidR="007968EC" w:rsidRPr="005F10B9" w:rsidRDefault="007968EC" w:rsidP="007968EC">
            <w:pPr>
              <w:rPr>
                <w:rFonts w:ascii="Arial Narrow" w:hAnsi="Arial Narrow"/>
                <w:b/>
                <w:bCs/>
              </w:rPr>
            </w:pPr>
            <w:r w:rsidRPr="005F10B9">
              <w:rPr>
                <w:rFonts w:ascii="Arial Narrow" w:hAnsi="Arial Narrow"/>
                <w:b/>
                <w:bCs/>
              </w:rPr>
              <w:t xml:space="preserve">Tipo de Rama / </w:t>
            </w:r>
            <w:proofErr w:type="spellStart"/>
            <w:r w:rsidRPr="005F10B9">
              <w:rPr>
                <w:rFonts w:ascii="Arial Narrow" w:hAnsi="Arial Narrow"/>
                <w:b/>
                <w:bCs/>
              </w:rPr>
              <w:t>Leg</w:t>
            </w:r>
            <w:proofErr w:type="spellEnd"/>
            <w:r w:rsidRPr="005F10B9">
              <w:rPr>
                <w:rFonts w:ascii="Arial Narrow" w:hAnsi="Arial Narrow"/>
                <w:b/>
                <w:bCs/>
              </w:rPr>
              <w:t xml:space="preserve"> </w:t>
            </w:r>
            <w:proofErr w:type="spellStart"/>
            <w:r w:rsidRPr="005F10B9">
              <w:rPr>
                <w:rFonts w:ascii="Arial Narrow" w:hAnsi="Arial Narrow"/>
                <w:b/>
                <w:bCs/>
              </w:rPr>
              <w:t>Type</w:t>
            </w:r>
            <w:proofErr w:type="spellEnd"/>
            <w:r w:rsidRPr="005F10B9">
              <w:rPr>
                <w:rFonts w:ascii="Arial Narrow" w:hAnsi="Arial Narrow"/>
                <w:b/>
                <w:bCs/>
              </w:rPr>
              <w:t xml:space="preserve"> </w:t>
            </w:r>
          </w:p>
        </w:tc>
        <w:tc>
          <w:tcPr>
            <w:tcW w:w="5118" w:type="dxa"/>
            <w:tcBorders>
              <w:top w:val="single" w:sz="18" w:space="0" w:color="auto"/>
              <w:left w:val="single" w:sz="18" w:space="0" w:color="auto"/>
              <w:bottom w:val="single" w:sz="18" w:space="0" w:color="auto"/>
              <w:right w:val="single" w:sz="18" w:space="0" w:color="auto"/>
            </w:tcBorders>
          </w:tcPr>
          <w:p w14:paraId="39960021" w14:textId="77777777" w:rsidR="007968EC" w:rsidRPr="005F10B9" w:rsidRDefault="007968EC" w:rsidP="007968EC">
            <w:pPr>
              <w:jc w:val="both"/>
              <w:rPr>
                <w:rFonts w:ascii="Arial Narrow" w:hAnsi="Arial Narrow"/>
              </w:rPr>
            </w:pPr>
            <w:r w:rsidRPr="005F10B9">
              <w:rPr>
                <w:rFonts w:ascii="Arial Narrow" w:hAnsi="Arial Narrow"/>
              </w:rPr>
              <w:t xml:space="preserve">Identificación de la Rama, Variable o Fija. </w:t>
            </w:r>
          </w:p>
        </w:tc>
      </w:tr>
      <w:tr w:rsidR="007968EC" w:rsidRPr="005F10B9" w14:paraId="771E55DF" w14:textId="77777777" w:rsidTr="007968EC">
        <w:trPr>
          <w:gridBefore w:val="1"/>
          <w:wBefore w:w="23" w:type="dxa"/>
          <w:trHeight w:val="439"/>
        </w:trPr>
        <w:tc>
          <w:tcPr>
            <w:tcW w:w="446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06D694DC" w14:textId="77777777" w:rsidR="007968EC" w:rsidRPr="005F10B9" w:rsidRDefault="007968EC" w:rsidP="007968EC">
            <w:pPr>
              <w:rPr>
                <w:rFonts w:ascii="Arial Narrow" w:hAnsi="Arial Narrow"/>
                <w:b/>
                <w:bCs/>
              </w:rPr>
            </w:pPr>
            <w:r w:rsidRPr="005F10B9">
              <w:rPr>
                <w:rFonts w:ascii="Arial Narrow" w:hAnsi="Arial Narrow"/>
                <w:b/>
                <w:bCs/>
              </w:rPr>
              <w:lastRenderedPageBreak/>
              <w:t xml:space="preserve">Divisa o Moneda / Currency </w:t>
            </w:r>
          </w:p>
        </w:tc>
        <w:tc>
          <w:tcPr>
            <w:tcW w:w="5118" w:type="dxa"/>
            <w:tcBorders>
              <w:top w:val="single" w:sz="18" w:space="0" w:color="auto"/>
              <w:left w:val="single" w:sz="18" w:space="0" w:color="auto"/>
              <w:bottom w:val="single" w:sz="18" w:space="0" w:color="auto"/>
              <w:right w:val="single" w:sz="18" w:space="0" w:color="auto"/>
            </w:tcBorders>
          </w:tcPr>
          <w:p w14:paraId="71196AAD" w14:textId="77777777" w:rsidR="007968EC" w:rsidRPr="005F10B9" w:rsidRDefault="007968EC" w:rsidP="007968EC">
            <w:pPr>
              <w:jc w:val="both"/>
              <w:rPr>
                <w:rFonts w:ascii="Arial Narrow" w:hAnsi="Arial Narrow"/>
              </w:rPr>
            </w:pPr>
            <w:r w:rsidRPr="005F10B9">
              <w:rPr>
                <w:rFonts w:ascii="Arial Narrow" w:hAnsi="Arial Narrow"/>
              </w:rPr>
              <w:t xml:space="preserve">Divisa o Moneda en la que se negocia el Swap y se intercambian los flujos de efectivo. </w:t>
            </w:r>
          </w:p>
        </w:tc>
      </w:tr>
      <w:tr w:rsidR="007968EC" w:rsidRPr="005F10B9" w14:paraId="7D73416B" w14:textId="77777777" w:rsidTr="007968EC">
        <w:trPr>
          <w:gridBefore w:val="1"/>
          <w:wBefore w:w="23" w:type="dxa"/>
          <w:trHeight w:val="439"/>
        </w:trPr>
        <w:tc>
          <w:tcPr>
            <w:tcW w:w="446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61D142EC" w14:textId="77777777" w:rsidR="007968EC" w:rsidRPr="00BE46BF" w:rsidRDefault="007968EC" w:rsidP="007968EC">
            <w:pPr>
              <w:rPr>
                <w:rFonts w:ascii="Arial Narrow" w:hAnsi="Arial Narrow"/>
                <w:b/>
                <w:bCs/>
              </w:rPr>
            </w:pPr>
            <w:proofErr w:type="spellStart"/>
            <w:r w:rsidRPr="00BE46BF">
              <w:rPr>
                <w:rFonts w:ascii="Arial Narrow" w:hAnsi="Arial Narrow"/>
                <w:b/>
                <w:bCs/>
              </w:rPr>
              <w:t>Multi-divisa</w:t>
            </w:r>
            <w:proofErr w:type="spellEnd"/>
            <w:r w:rsidRPr="00BE46BF">
              <w:rPr>
                <w:rFonts w:ascii="Arial Narrow" w:hAnsi="Arial Narrow"/>
                <w:b/>
                <w:bCs/>
              </w:rPr>
              <w:t xml:space="preserve"> / </w:t>
            </w:r>
            <w:proofErr w:type="spellStart"/>
            <w:r w:rsidRPr="00BE46BF">
              <w:rPr>
                <w:rFonts w:ascii="Arial Narrow" w:hAnsi="Arial Narrow"/>
                <w:b/>
                <w:bCs/>
              </w:rPr>
              <w:t>Multi-currency</w:t>
            </w:r>
            <w:proofErr w:type="spellEnd"/>
            <w:r w:rsidRPr="00BE46BF">
              <w:rPr>
                <w:rFonts w:ascii="Arial Narrow" w:hAnsi="Arial Narrow"/>
                <w:b/>
                <w:bCs/>
              </w:rPr>
              <w:t xml:space="preserve"> </w:t>
            </w:r>
          </w:p>
          <w:p w14:paraId="34013BC4" w14:textId="77777777" w:rsidR="007968EC" w:rsidRPr="002A2E60" w:rsidRDefault="007968EC" w:rsidP="007968EC">
            <w:pPr>
              <w:rPr>
                <w:rFonts w:ascii="Arial Narrow" w:hAnsi="Arial Narrow"/>
                <w:b/>
                <w:bCs/>
              </w:rPr>
            </w:pPr>
          </w:p>
        </w:tc>
        <w:tc>
          <w:tcPr>
            <w:tcW w:w="5118" w:type="dxa"/>
            <w:tcBorders>
              <w:top w:val="single" w:sz="18" w:space="0" w:color="auto"/>
              <w:left w:val="single" w:sz="18" w:space="0" w:color="auto"/>
              <w:bottom w:val="single" w:sz="18" w:space="0" w:color="auto"/>
              <w:right w:val="single" w:sz="18" w:space="0" w:color="auto"/>
            </w:tcBorders>
          </w:tcPr>
          <w:p w14:paraId="2E5E947D" w14:textId="77777777" w:rsidR="007968EC" w:rsidRPr="002A2E60" w:rsidRDefault="007968EC" w:rsidP="007968EC">
            <w:pPr>
              <w:jc w:val="both"/>
              <w:rPr>
                <w:rFonts w:ascii="Arial Narrow" w:hAnsi="Arial Narrow"/>
              </w:rPr>
            </w:pPr>
            <w:r w:rsidRPr="00BE46BF">
              <w:rPr>
                <w:rFonts w:ascii="Arial Narrow" w:hAnsi="Arial Narrow" w:cs="Arial"/>
                <w:color w:val="000000"/>
                <w:lang w:val="es-ES" w:eastAsia="es-ES"/>
              </w:rPr>
              <w:t>Divisas diferentes en las ramas Fijas y Variables de los swaps</w:t>
            </w:r>
          </w:p>
        </w:tc>
      </w:tr>
      <w:tr w:rsidR="007968EC" w:rsidRPr="005F10B9" w14:paraId="5E1C595E" w14:textId="77777777" w:rsidTr="007968EC">
        <w:trPr>
          <w:gridBefore w:val="1"/>
          <w:wBefore w:w="23" w:type="dxa"/>
          <w:trHeight w:val="439"/>
        </w:trPr>
        <w:tc>
          <w:tcPr>
            <w:tcW w:w="446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49A1A70C" w14:textId="77777777" w:rsidR="007968EC" w:rsidRPr="005F10B9" w:rsidRDefault="007968EC" w:rsidP="007968EC">
            <w:pPr>
              <w:rPr>
                <w:rFonts w:ascii="Arial Narrow" w:hAnsi="Arial Narrow"/>
                <w:b/>
                <w:bCs/>
              </w:rPr>
            </w:pPr>
            <w:r w:rsidRPr="005F10B9">
              <w:rPr>
                <w:rFonts w:ascii="Arial Narrow" w:hAnsi="Arial Narrow"/>
                <w:b/>
                <w:bCs/>
              </w:rPr>
              <w:t>Calendario</w:t>
            </w:r>
            <w:r>
              <w:rPr>
                <w:rFonts w:ascii="Arial Narrow" w:hAnsi="Arial Narrow"/>
                <w:b/>
                <w:bCs/>
              </w:rPr>
              <w:t>s</w:t>
            </w:r>
            <w:r w:rsidRPr="005F10B9">
              <w:rPr>
                <w:rFonts w:ascii="Arial Narrow" w:hAnsi="Arial Narrow"/>
                <w:b/>
                <w:bCs/>
              </w:rPr>
              <w:t xml:space="preserve"> de Festivos / Holiday </w:t>
            </w:r>
            <w:proofErr w:type="spellStart"/>
            <w:r w:rsidRPr="005F10B9">
              <w:rPr>
                <w:rFonts w:ascii="Arial Narrow" w:hAnsi="Arial Narrow"/>
                <w:b/>
                <w:bCs/>
              </w:rPr>
              <w:t>Calendars</w:t>
            </w:r>
            <w:proofErr w:type="spellEnd"/>
            <w:r w:rsidRPr="005F10B9">
              <w:rPr>
                <w:rFonts w:ascii="Arial Narrow" w:hAnsi="Arial Narrow"/>
                <w:b/>
                <w:bCs/>
              </w:rPr>
              <w:t xml:space="preserve"> </w:t>
            </w:r>
          </w:p>
        </w:tc>
        <w:tc>
          <w:tcPr>
            <w:tcW w:w="5118" w:type="dxa"/>
            <w:tcBorders>
              <w:top w:val="single" w:sz="18" w:space="0" w:color="auto"/>
              <w:left w:val="single" w:sz="18" w:space="0" w:color="auto"/>
              <w:bottom w:val="single" w:sz="18" w:space="0" w:color="auto"/>
              <w:right w:val="single" w:sz="18" w:space="0" w:color="auto"/>
            </w:tcBorders>
          </w:tcPr>
          <w:p w14:paraId="599256E4" w14:textId="77777777" w:rsidR="007968EC" w:rsidRPr="005F10B9" w:rsidRDefault="007968EC" w:rsidP="007968EC">
            <w:pPr>
              <w:jc w:val="both"/>
              <w:rPr>
                <w:rFonts w:ascii="Arial Narrow" w:hAnsi="Arial Narrow"/>
              </w:rPr>
            </w:pPr>
            <w:r w:rsidRPr="002A2E60">
              <w:rPr>
                <w:rFonts w:ascii="Arial Narrow" w:hAnsi="Arial Narrow"/>
              </w:rPr>
              <w:t xml:space="preserve">Calendario de días festivos para computar las duraciones de los periodos,  </w:t>
            </w:r>
            <w:r w:rsidRPr="00BE46BF">
              <w:rPr>
                <w:rFonts w:ascii="Arial Narrow" w:hAnsi="Arial Narrow"/>
              </w:rPr>
              <w:t>las fechas de fijación y las fechas de pago.</w:t>
            </w:r>
            <w:r w:rsidRPr="005F10B9">
              <w:rPr>
                <w:rFonts w:ascii="Arial Narrow" w:hAnsi="Arial Narrow"/>
                <w:color w:val="FF0000"/>
              </w:rPr>
              <w:t xml:space="preserve"> </w:t>
            </w:r>
          </w:p>
        </w:tc>
      </w:tr>
      <w:tr w:rsidR="007968EC" w:rsidRPr="005F10B9" w14:paraId="1F140E62" w14:textId="77777777" w:rsidTr="007968EC">
        <w:trPr>
          <w:gridBefore w:val="1"/>
          <w:wBefore w:w="23" w:type="dxa"/>
          <w:trHeight w:val="439"/>
        </w:trPr>
        <w:tc>
          <w:tcPr>
            <w:tcW w:w="446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009D649D" w14:textId="77777777" w:rsidR="007968EC" w:rsidRPr="005F10B9" w:rsidRDefault="007968EC" w:rsidP="007968EC">
            <w:pPr>
              <w:rPr>
                <w:rFonts w:ascii="Arial Narrow" w:hAnsi="Arial Narrow"/>
                <w:b/>
                <w:bCs/>
              </w:rPr>
            </w:pPr>
            <w:r w:rsidRPr="005F10B9">
              <w:rPr>
                <w:rFonts w:ascii="Arial Narrow" w:hAnsi="Arial Narrow"/>
                <w:b/>
                <w:bCs/>
              </w:rPr>
              <w:t xml:space="preserve">Días Hábiles / Business Day </w:t>
            </w:r>
          </w:p>
        </w:tc>
        <w:tc>
          <w:tcPr>
            <w:tcW w:w="5118" w:type="dxa"/>
            <w:tcBorders>
              <w:top w:val="single" w:sz="18" w:space="0" w:color="auto"/>
              <w:left w:val="single" w:sz="18" w:space="0" w:color="auto"/>
              <w:bottom w:val="single" w:sz="18" w:space="0" w:color="auto"/>
              <w:right w:val="single" w:sz="18" w:space="0" w:color="auto"/>
            </w:tcBorders>
          </w:tcPr>
          <w:p w14:paraId="31297902" w14:textId="77777777" w:rsidR="007968EC" w:rsidRPr="005F10B9" w:rsidRDefault="007968EC" w:rsidP="007968EC">
            <w:pPr>
              <w:jc w:val="both"/>
              <w:rPr>
                <w:rFonts w:ascii="Arial Narrow" w:hAnsi="Arial Narrow"/>
              </w:rPr>
            </w:pPr>
            <w:r w:rsidRPr="005F10B9">
              <w:rPr>
                <w:rFonts w:ascii="Arial Narrow" w:hAnsi="Arial Narrow"/>
              </w:rPr>
              <w:t xml:space="preserve">Día hábil u operativo para el cómputo de los periodos de una operación o el intercambio de flujos de efectivo. </w:t>
            </w:r>
          </w:p>
        </w:tc>
      </w:tr>
      <w:tr w:rsidR="007968EC" w:rsidRPr="005F10B9" w14:paraId="065F6801" w14:textId="77777777" w:rsidTr="007968EC">
        <w:trPr>
          <w:gridBefore w:val="1"/>
          <w:wBefore w:w="23" w:type="dxa"/>
          <w:trHeight w:val="439"/>
        </w:trPr>
        <w:tc>
          <w:tcPr>
            <w:tcW w:w="446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5F787D9C" w14:textId="77777777" w:rsidR="007968EC" w:rsidRPr="005F10B9" w:rsidRDefault="007968EC" w:rsidP="007968EC">
            <w:pPr>
              <w:rPr>
                <w:rFonts w:ascii="Arial Narrow" w:hAnsi="Arial Narrow"/>
                <w:b/>
                <w:bCs/>
              </w:rPr>
            </w:pPr>
            <w:r w:rsidRPr="005F10B9">
              <w:rPr>
                <w:rFonts w:ascii="Arial Narrow" w:hAnsi="Arial Narrow"/>
                <w:b/>
                <w:bCs/>
              </w:rPr>
              <w:t xml:space="preserve">Calendario de Días Hábiles / Business Center </w:t>
            </w:r>
          </w:p>
        </w:tc>
        <w:tc>
          <w:tcPr>
            <w:tcW w:w="5118" w:type="dxa"/>
            <w:tcBorders>
              <w:top w:val="single" w:sz="18" w:space="0" w:color="auto"/>
              <w:left w:val="single" w:sz="18" w:space="0" w:color="auto"/>
              <w:bottom w:val="single" w:sz="18" w:space="0" w:color="auto"/>
              <w:right w:val="single" w:sz="18" w:space="0" w:color="auto"/>
            </w:tcBorders>
          </w:tcPr>
          <w:p w14:paraId="2C77AE1D" w14:textId="77777777" w:rsidR="007968EC" w:rsidRPr="005F10B9" w:rsidRDefault="007968EC" w:rsidP="007968EC">
            <w:pPr>
              <w:jc w:val="both"/>
              <w:rPr>
                <w:rFonts w:ascii="Arial Narrow" w:hAnsi="Arial Narrow"/>
              </w:rPr>
            </w:pPr>
            <w:proofErr w:type="gramStart"/>
            <w:r w:rsidRPr="005F10B9">
              <w:rPr>
                <w:rFonts w:ascii="Arial Narrow" w:hAnsi="Arial Narrow"/>
              </w:rPr>
              <w:t xml:space="preserve">calendario </w:t>
            </w:r>
            <w:r w:rsidRPr="002F3BB8">
              <w:rPr>
                <w:rFonts w:ascii="Arial Narrow" w:hAnsi="Arial Narrow"/>
              </w:rPr>
              <w:t xml:space="preserve"> La</w:t>
            </w:r>
            <w:proofErr w:type="gramEnd"/>
            <w:r w:rsidRPr="002F3BB8">
              <w:rPr>
                <w:rFonts w:ascii="Arial Narrow" w:hAnsi="Arial Narrow"/>
              </w:rPr>
              <w:t xml:space="preserve"> Cámara seguirá como calendarios de días hábiles Colombia (COBO), Estados Unidos (USNY) y Londres (GBLO)</w:t>
            </w:r>
          </w:p>
        </w:tc>
      </w:tr>
      <w:tr w:rsidR="007968EC" w:rsidRPr="005F10B9" w14:paraId="3B96C77F" w14:textId="77777777" w:rsidTr="007968EC">
        <w:trPr>
          <w:gridBefore w:val="1"/>
          <w:wBefore w:w="23" w:type="dxa"/>
          <w:trHeight w:val="439"/>
        </w:trPr>
        <w:tc>
          <w:tcPr>
            <w:tcW w:w="446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15259D32" w14:textId="77777777" w:rsidR="007968EC" w:rsidRPr="005F10B9" w:rsidRDefault="007968EC" w:rsidP="007968EC">
            <w:pPr>
              <w:rPr>
                <w:rFonts w:ascii="Arial Narrow" w:hAnsi="Arial Narrow"/>
                <w:b/>
                <w:bCs/>
              </w:rPr>
            </w:pPr>
            <w:r w:rsidRPr="005F10B9">
              <w:rPr>
                <w:rFonts w:ascii="Arial Narrow" w:hAnsi="Arial Narrow"/>
                <w:b/>
                <w:bCs/>
              </w:rPr>
              <w:t xml:space="preserve">Convención de Días Hábiles / Business Day </w:t>
            </w:r>
            <w:proofErr w:type="spellStart"/>
            <w:r w:rsidRPr="005F10B9">
              <w:rPr>
                <w:rFonts w:ascii="Arial Narrow" w:hAnsi="Arial Narrow"/>
                <w:b/>
                <w:bCs/>
              </w:rPr>
              <w:t>Convention</w:t>
            </w:r>
            <w:proofErr w:type="spellEnd"/>
            <w:r w:rsidRPr="005F10B9">
              <w:rPr>
                <w:rFonts w:ascii="Arial Narrow" w:hAnsi="Arial Narrow"/>
                <w:b/>
                <w:bCs/>
              </w:rPr>
              <w:t xml:space="preserve"> </w:t>
            </w:r>
          </w:p>
        </w:tc>
        <w:tc>
          <w:tcPr>
            <w:tcW w:w="5118" w:type="dxa"/>
            <w:tcBorders>
              <w:top w:val="single" w:sz="18" w:space="0" w:color="auto"/>
              <w:left w:val="single" w:sz="18" w:space="0" w:color="auto"/>
              <w:bottom w:val="single" w:sz="18" w:space="0" w:color="auto"/>
              <w:right w:val="single" w:sz="18" w:space="0" w:color="auto"/>
            </w:tcBorders>
          </w:tcPr>
          <w:p w14:paraId="5F0C4ECB" w14:textId="77777777" w:rsidR="007968EC" w:rsidRPr="005F10B9" w:rsidRDefault="007968EC" w:rsidP="007968EC">
            <w:pPr>
              <w:jc w:val="both"/>
              <w:rPr>
                <w:rFonts w:ascii="Arial Narrow" w:hAnsi="Arial Narrow"/>
              </w:rPr>
            </w:pPr>
            <w:r w:rsidRPr="005F10B9">
              <w:rPr>
                <w:rFonts w:ascii="Arial Narrow" w:hAnsi="Arial Narrow"/>
              </w:rPr>
              <w:t xml:space="preserve">Convención del Día Hábil que ajusta cualquier Fecha relevante que de otro modo hubiera caído en un día que no es un Día Hábil. </w:t>
            </w:r>
          </w:p>
          <w:p w14:paraId="7637B475" w14:textId="77777777" w:rsidR="007968EC" w:rsidRPr="005F10B9" w:rsidRDefault="007968EC" w:rsidP="007968EC">
            <w:pPr>
              <w:jc w:val="both"/>
              <w:rPr>
                <w:rFonts w:ascii="Arial Narrow" w:hAnsi="Arial Narrow"/>
              </w:rPr>
            </w:pPr>
            <w:r w:rsidRPr="005F10B9">
              <w:rPr>
                <w:rFonts w:ascii="Arial Narrow" w:hAnsi="Arial Narrow"/>
              </w:rPr>
              <w:t xml:space="preserve">Se realizará un ajuste del día que de otro modo hubiera caído en un día que no es un Día Hábil con la siguiente convención: </w:t>
            </w:r>
          </w:p>
          <w:p w14:paraId="5212F03A" w14:textId="77777777" w:rsidR="007968EC" w:rsidRPr="005F10B9" w:rsidRDefault="007968EC" w:rsidP="007968EC">
            <w:pPr>
              <w:jc w:val="both"/>
              <w:rPr>
                <w:rFonts w:ascii="Arial Narrow" w:hAnsi="Arial Narrow"/>
              </w:rPr>
            </w:pPr>
            <w:r w:rsidRPr="005F10B9">
              <w:rPr>
                <w:rFonts w:ascii="Arial Narrow" w:hAnsi="Arial Narrow"/>
              </w:rPr>
              <w:t xml:space="preserve">- </w:t>
            </w:r>
            <w:proofErr w:type="spellStart"/>
            <w:r w:rsidRPr="005F10B9">
              <w:rPr>
                <w:rFonts w:ascii="Arial Narrow" w:hAnsi="Arial Narrow"/>
              </w:rPr>
              <w:t>Modified</w:t>
            </w:r>
            <w:proofErr w:type="spellEnd"/>
            <w:r w:rsidRPr="005F10B9">
              <w:rPr>
                <w:rFonts w:ascii="Arial Narrow" w:hAnsi="Arial Narrow"/>
              </w:rPr>
              <w:t xml:space="preserve"> Following/Siguiente Modificado. Con esta convención, la fecha será el siguiente día que sea un Día Hábil, excepto si ese día se sitúa en el siguiente mes natural, en cuyo caso esa fecha será el primer día precedente que sea un Día Hábil. </w:t>
            </w:r>
          </w:p>
        </w:tc>
      </w:tr>
      <w:tr w:rsidR="007968EC" w:rsidRPr="005F10B9" w14:paraId="66448C37" w14:textId="77777777" w:rsidTr="007968EC">
        <w:trPr>
          <w:gridBefore w:val="1"/>
          <w:wBefore w:w="23" w:type="dxa"/>
          <w:trHeight w:val="439"/>
        </w:trPr>
        <w:tc>
          <w:tcPr>
            <w:tcW w:w="446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22703897" w14:textId="77777777" w:rsidR="007968EC" w:rsidRPr="005F10B9" w:rsidRDefault="007968EC" w:rsidP="007968EC">
            <w:pPr>
              <w:rPr>
                <w:rFonts w:ascii="Arial Narrow" w:hAnsi="Arial Narrow"/>
                <w:b/>
                <w:bCs/>
              </w:rPr>
            </w:pPr>
            <w:r w:rsidRPr="005F10B9">
              <w:rPr>
                <w:rFonts w:ascii="Arial Narrow" w:hAnsi="Arial Narrow"/>
                <w:b/>
                <w:bCs/>
              </w:rPr>
              <w:t xml:space="preserve">Fechas Ajustadas / </w:t>
            </w:r>
            <w:proofErr w:type="spellStart"/>
            <w:r w:rsidRPr="005F10B9">
              <w:rPr>
                <w:rFonts w:ascii="Arial Narrow" w:hAnsi="Arial Narrow"/>
                <w:b/>
                <w:bCs/>
              </w:rPr>
              <w:t>Adjusted</w:t>
            </w:r>
            <w:proofErr w:type="spellEnd"/>
            <w:r w:rsidRPr="005F10B9">
              <w:rPr>
                <w:rFonts w:ascii="Arial Narrow" w:hAnsi="Arial Narrow"/>
                <w:b/>
                <w:bCs/>
              </w:rPr>
              <w:t xml:space="preserve"> Date </w:t>
            </w:r>
          </w:p>
        </w:tc>
        <w:tc>
          <w:tcPr>
            <w:tcW w:w="5118" w:type="dxa"/>
            <w:tcBorders>
              <w:top w:val="single" w:sz="18" w:space="0" w:color="auto"/>
              <w:left w:val="single" w:sz="18" w:space="0" w:color="auto"/>
              <w:bottom w:val="single" w:sz="18" w:space="0" w:color="auto"/>
              <w:right w:val="single" w:sz="18" w:space="0" w:color="auto"/>
            </w:tcBorders>
          </w:tcPr>
          <w:p w14:paraId="4637D072" w14:textId="77777777" w:rsidR="007968EC" w:rsidRPr="005F10B9" w:rsidRDefault="007968EC" w:rsidP="007968EC">
            <w:pPr>
              <w:jc w:val="both"/>
              <w:rPr>
                <w:rFonts w:ascii="Arial Narrow" w:hAnsi="Arial Narrow"/>
              </w:rPr>
            </w:pPr>
            <w:r w:rsidRPr="005F10B9">
              <w:rPr>
                <w:rFonts w:ascii="Arial Narrow" w:hAnsi="Arial Narrow"/>
              </w:rPr>
              <w:t xml:space="preserve">Todas las fechas, para cada una de las ramas de la operación serán Ajustadas de acuerdo a la Convención de Días Hábiles.  </w:t>
            </w:r>
          </w:p>
        </w:tc>
      </w:tr>
      <w:tr w:rsidR="007968EC" w:rsidRPr="005F10B9" w14:paraId="0213B31A" w14:textId="77777777" w:rsidTr="007968EC">
        <w:trPr>
          <w:gridBefore w:val="1"/>
          <w:wBefore w:w="23" w:type="dxa"/>
          <w:trHeight w:val="439"/>
        </w:trPr>
        <w:tc>
          <w:tcPr>
            <w:tcW w:w="446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6EC3FBE9" w14:textId="77777777" w:rsidR="007968EC" w:rsidRPr="005F10B9" w:rsidRDefault="007968EC" w:rsidP="007968EC">
            <w:pPr>
              <w:rPr>
                <w:rFonts w:ascii="Arial Narrow" w:hAnsi="Arial Narrow"/>
                <w:b/>
                <w:bCs/>
              </w:rPr>
            </w:pPr>
            <w:r w:rsidRPr="005F10B9">
              <w:rPr>
                <w:rFonts w:ascii="Arial Narrow" w:hAnsi="Arial Narrow"/>
                <w:b/>
                <w:bCs/>
              </w:rPr>
              <w:t xml:space="preserve">Plazo del Índice de Referencia Variable / </w:t>
            </w:r>
            <w:proofErr w:type="spellStart"/>
            <w:r w:rsidRPr="005F10B9">
              <w:rPr>
                <w:rFonts w:ascii="Arial Narrow" w:hAnsi="Arial Narrow"/>
                <w:b/>
                <w:bCs/>
              </w:rPr>
              <w:t>Designated</w:t>
            </w:r>
            <w:proofErr w:type="spellEnd"/>
            <w:r w:rsidRPr="005F10B9">
              <w:rPr>
                <w:rFonts w:ascii="Arial Narrow" w:hAnsi="Arial Narrow"/>
                <w:b/>
                <w:bCs/>
              </w:rPr>
              <w:t xml:space="preserve"> </w:t>
            </w:r>
            <w:proofErr w:type="spellStart"/>
            <w:r w:rsidRPr="005F10B9">
              <w:rPr>
                <w:rFonts w:ascii="Arial Narrow" w:hAnsi="Arial Narrow"/>
                <w:b/>
                <w:bCs/>
              </w:rPr>
              <w:t>Maturity</w:t>
            </w:r>
            <w:proofErr w:type="spellEnd"/>
            <w:r w:rsidRPr="005F10B9">
              <w:rPr>
                <w:rFonts w:ascii="Arial Narrow" w:hAnsi="Arial Narrow"/>
                <w:b/>
                <w:bCs/>
              </w:rPr>
              <w:t xml:space="preserve"> </w:t>
            </w:r>
          </w:p>
        </w:tc>
        <w:tc>
          <w:tcPr>
            <w:tcW w:w="5118" w:type="dxa"/>
            <w:tcBorders>
              <w:top w:val="single" w:sz="18" w:space="0" w:color="auto"/>
              <w:left w:val="single" w:sz="18" w:space="0" w:color="auto"/>
              <w:bottom w:val="single" w:sz="18" w:space="0" w:color="auto"/>
              <w:right w:val="single" w:sz="18" w:space="0" w:color="auto"/>
            </w:tcBorders>
          </w:tcPr>
          <w:p w14:paraId="6FA402FE" w14:textId="77777777" w:rsidR="007968EC" w:rsidRPr="005F10B9" w:rsidRDefault="007968EC" w:rsidP="007968EC">
            <w:pPr>
              <w:jc w:val="both"/>
              <w:rPr>
                <w:rFonts w:ascii="Arial Narrow" w:hAnsi="Arial Narrow"/>
              </w:rPr>
            </w:pPr>
            <w:r w:rsidRPr="005F10B9">
              <w:rPr>
                <w:rFonts w:ascii="Arial Narrow" w:hAnsi="Arial Narrow"/>
              </w:rPr>
              <w:t xml:space="preserve">Define los diferentes Plazos del Índice de Referencia Variable. </w:t>
            </w:r>
          </w:p>
        </w:tc>
      </w:tr>
      <w:tr w:rsidR="007968EC" w:rsidRPr="005F10B9" w14:paraId="5A92419D" w14:textId="77777777" w:rsidTr="007968EC">
        <w:trPr>
          <w:gridBefore w:val="1"/>
          <w:wBefore w:w="23" w:type="dxa"/>
          <w:trHeight w:val="439"/>
        </w:trPr>
        <w:tc>
          <w:tcPr>
            <w:tcW w:w="446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48CAA46B" w14:textId="77777777" w:rsidR="007968EC" w:rsidRPr="005F10B9" w:rsidRDefault="007968EC" w:rsidP="007968EC">
            <w:pPr>
              <w:rPr>
                <w:rFonts w:ascii="Arial Narrow" w:hAnsi="Arial Narrow"/>
                <w:b/>
                <w:bCs/>
              </w:rPr>
            </w:pPr>
            <w:r w:rsidRPr="005F10B9">
              <w:rPr>
                <w:rFonts w:ascii="Arial Narrow" w:hAnsi="Arial Narrow"/>
                <w:b/>
                <w:bCs/>
              </w:rPr>
              <w:t xml:space="preserve">Fecha de corte de los periodos / Roll Day </w:t>
            </w:r>
          </w:p>
        </w:tc>
        <w:tc>
          <w:tcPr>
            <w:tcW w:w="5118" w:type="dxa"/>
            <w:tcBorders>
              <w:top w:val="single" w:sz="18" w:space="0" w:color="auto"/>
              <w:left w:val="single" w:sz="18" w:space="0" w:color="auto"/>
              <w:bottom w:val="single" w:sz="18" w:space="0" w:color="auto"/>
              <w:right w:val="single" w:sz="18" w:space="0" w:color="auto"/>
            </w:tcBorders>
          </w:tcPr>
          <w:p w14:paraId="21126AA7" w14:textId="77777777" w:rsidR="007968EC" w:rsidRPr="005F10B9" w:rsidRDefault="007968EC" w:rsidP="007968EC">
            <w:pPr>
              <w:jc w:val="both"/>
              <w:rPr>
                <w:rFonts w:ascii="Arial Narrow" w:hAnsi="Arial Narrow"/>
              </w:rPr>
            </w:pPr>
            <w:r w:rsidRPr="005F10B9">
              <w:rPr>
                <w:rFonts w:ascii="Arial Narrow" w:hAnsi="Arial Narrow"/>
              </w:rPr>
              <w:t xml:space="preserve">Define el día en que se establece la Fecha de inicio y fin de los periodos de cálculo en las Operaciones Swaps. </w:t>
            </w:r>
          </w:p>
        </w:tc>
      </w:tr>
      <w:tr w:rsidR="007968EC" w:rsidRPr="005F10B9" w14:paraId="19472F21" w14:textId="77777777" w:rsidTr="007968EC">
        <w:trPr>
          <w:gridBefore w:val="1"/>
          <w:wBefore w:w="23" w:type="dxa"/>
          <w:trHeight w:val="439"/>
        </w:trPr>
        <w:tc>
          <w:tcPr>
            <w:tcW w:w="446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37EBFFAC" w14:textId="77777777" w:rsidR="007968EC" w:rsidRPr="005F10B9" w:rsidRDefault="007968EC" w:rsidP="007968EC">
            <w:pPr>
              <w:rPr>
                <w:rFonts w:ascii="Arial Narrow" w:hAnsi="Arial Narrow"/>
                <w:b/>
                <w:bCs/>
              </w:rPr>
            </w:pPr>
            <w:r w:rsidRPr="005F10B9">
              <w:rPr>
                <w:rFonts w:ascii="Arial Narrow" w:hAnsi="Arial Narrow"/>
                <w:b/>
                <w:bCs/>
              </w:rPr>
              <w:t xml:space="preserve">Tasa de Interés Negativa / </w:t>
            </w:r>
            <w:proofErr w:type="spellStart"/>
            <w:r w:rsidRPr="005F10B9">
              <w:rPr>
                <w:rFonts w:ascii="Arial Narrow" w:hAnsi="Arial Narrow"/>
                <w:b/>
                <w:bCs/>
              </w:rPr>
              <w:t>Negative</w:t>
            </w:r>
            <w:proofErr w:type="spellEnd"/>
            <w:r w:rsidRPr="005F10B9">
              <w:rPr>
                <w:rFonts w:ascii="Arial Narrow" w:hAnsi="Arial Narrow"/>
                <w:b/>
                <w:bCs/>
              </w:rPr>
              <w:t xml:space="preserve"> Interest Rate </w:t>
            </w:r>
          </w:p>
        </w:tc>
        <w:tc>
          <w:tcPr>
            <w:tcW w:w="5118" w:type="dxa"/>
            <w:tcBorders>
              <w:top w:val="single" w:sz="18" w:space="0" w:color="auto"/>
              <w:left w:val="single" w:sz="18" w:space="0" w:color="auto"/>
              <w:bottom w:val="single" w:sz="18" w:space="0" w:color="auto"/>
              <w:right w:val="single" w:sz="18" w:space="0" w:color="auto"/>
            </w:tcBorders>
          </w:tcPr>
          <w:p w14:paraId="73BC48F1" w14:textId="77777777" w:rsidR="007968EC" w:rsidRPr="005F10B9" w:rsidRDefault="007968EC" w:rsidP="007968EC">
            <w:pPr>
              <w:jc w:val="both"/>
              <w:rPr>
                <w:rFonts w:ascii="Arial Narrow" w:hAnsi="Arial Narrow"/>
              </w:rPr>
            </w:pPr>
            <w:r w:rsidRPr="005F10B9">
              <w:rPr>
                <w:rFonts w:ascii="Arial Narrow" w:hAnsi="Arial Narrow"/>
              </w:rPr>
              <w:t xml:space="preserve">Es el valor negativo de la Tasa de Interés referenciado a un Índice Variable o a una Tasa Fija. </w:t>
            </w:r>
          </w:p>
        </w:tc>
      </w:tr>
      <w:tr w:rsidR="007968EC" w:rsidRPr="005F10B9" w14:paraId="17632D07" w14:textId="77777777" w:rsidTr="007968EC">
        <w:trPr>
          <w:gridBefore w:val="1"/>
          <w:wBefore w:w="23" w:type="dxa"/>
          <w:trHeight w:val="439"/>
        </w:trPr>
        <w:tc>
          <w:tcPr>
            <w:tcW w:w="446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5AE7B5EA" w14:textId="77777777" w:rsidR="007968EC" w:rsidRPr="005F10B9" w:rsidRDefault="007968EC" w:rsidP="007968EC">
            <w:pPr>
              <w:rPr>
                <w:rFonts w:ascii="Arial Narrow" w:hAnsi="Arial Narrow"/>
                <w:b/>
                <w:bCs/>
              </w:rPr>
            </w:pPr>
            <w:proofErr w:type="spellStart"/>
            <w:r w:rsidRPr="005F10B9">
              <w:rPr>
                <w:rFonts w:ascii="Arial Narrow" w:hAnsi="Arial Narrow"/>
                <w:b/>
                <w:bCs/>
              </w:rPr>
              <w:t>Diferenicial</w:t>
            </w:r>
            <w:proofErr w:type="spellEnd"/>
            <w:r w:rsidRPr="005F10B9">
              <w:rPr>
                <w:rFonts w:ascii="Arial Narrow" w:hAnsi="Arial Narrow"/>
                <w:b/>
                <w:bCs/>
              </w:rPr>
              <w:t xml:space="preserve"> / Spread </w:t>
            </w:r>
          </w:p>
        </w:tc>
        <w:tc>
          <w:tcPr>
            <w:tcW w:w="5118" w:type="dxa"/>
            <w:tcBorders>
              <w:top w:val="single" w:sz="18" w:space="0" w:color="auto"/>
              <w:left w:val="single" w:sz="18" w:space="0" w:color="auto"/>
              <w:bottom w:val="single" w:sz="18" w:space="0" w:color="auto"/>
              <w:right w:val="single" w:sz="18" w:space="0" w:color="auto"/>
            </w:tcBorders>
          </w:tcPr>
          <w:p w14:paraId="063AC34E" w14:textId="77777777" w:rsidR="007968EC" w:rsidRPr="005F10B9" w:rsidRDefault="007968EC" w:rsidP="007968EC">
            <w:pPr>
              <w:jc w:val="both"/>
              <w:rPr>
                <w:rFonts w:ascii="Arial Narrow" w:hAnsi="Arial Narrow"/>
              </w:rPr>
            </w:pPr>
            <w:r w:rsidRPr="005F10B9">
              <w:rPr>
                <w:rFonts w:ascii="Arial Narrow" w:hAnsi="Arial Narrow"/>
              </w:rPr>
              <w:t>Diferencial aplicado a la Tasa de Interés Variable.</w:t>
            </w:r>
          </w:p>
        </w:tc>
      </w:tr>
      <w:tr w:rsidR="007968EC" w:rsidRPr="005F10B9" w14:paraId="2BA63C5B" w14:textId="77777777" w:rsidTr="007968EC">
        <w:trPr>
          <w:gridBefore w:val="1"/>
          <w:wBefore w:w="23" w:type="dxa"/>
          <w:trHeight w:val="439"/>
        </w:trPr>
        <w:tc>
          <w:tcPr>
            <w:tcW w:w="446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52C32708" w14:textId="77777777" w:rsidR="007968EC" w:rsidRPr="005F10B9" w:rsidRDefault="007968EC" w:rsidP="007968EC">
            <w:pPr>
              <w:rPr>
                <w:rFonts w:ascii="Arial Narrow" w:hAnsi="Arial Narrow"/>
                <w:b/>
                <w:bCs/>
              </w:rPr>
            </w:pPr>
            <w:r w:rsidRPr="005F10B9">
              <w:rPr>
                <w:rFonts w:ascii="Arial Narrow" w:hAnsi="Arial Narrow"/>
                <w:b/>
                <w:bCs/>
              </w:rPr>
              <w:t>Punto Básico (pb) / Basis Point (</w:t>
            </w:r>
            <w:proofErr w:type="spellStart"/>
            <w:r w:rsidRPr="005F10B9">
              <w:rPr>
                <w:rFonts w:ascii="Arial Narrow" w:hAnsi="Arial Narrow"/>
                <w:b/>
                <w:bCs/>
              </w:rPr>
              <w:t>bp</w:t>
            </w:r>
            <w:proofErr w:type="spellEnd"/>
            <w:r w:rsidRPr="005F10B9">
              <w:rPr>
                <w:rFonts w:ascii="Arial Narrow" w:hAnsi="Arial Narrow"/>
                <w:b/>
                <w:bCs/>
              </w:rPr>
              <w:t xml:space="preserve">) </w:t>
            </w:r>
          </w:p>
        </w:tc>
        <w:tc>
          <w:tcPr>
            <w:tcW w:w="5118" w:type="dxa"/>
            <w:tcBorders>
              <w:top w:val="single" w:sz="18" w:space="0" w:color="auto"/>
              <w:left w:val="single" w:sz="18" w:space="0" w:color="auto"/>
              <w:bottom w:val="single" w:sz="18" w:space="0" w:color="auto"/>
              <w:right w:val="single" w:sz="18" w:space="0" w:color="auto"/>
            </w:tcBorders>
          </w:tcPr>
          <w:p w14:paraId="23BD2E4E" w14:textId="77777777" w:rsidR="007968EC" w:rsidRPr="005F10B9" w:rsidRDefault="007968EC" w:rsidP="007968EC">
            <w:pPr>
              <w:jc w:val="both"/>
              <w:rPr>
                <w:rFonts w:ascii="Arial Narrow" w:hAnsi="Arial Narrow"/>
              </w:rPr>
            </w:pPr>
            <w:r w:rsidRPr="005F10B9">
              <w:rPr>
                <w:rFonts w:ascii="Arial Narrow" w:hAnsi="Arial Narrow"/>
              </w:rPr>
              <w:t xml:space="preserve">Unidad de medida. 1bp es equivalente a 0.01% </w:t>
            </w:r>
            <w:proofErr w:type="spellStart"/>
            <w:r w:rsidRPr="005F10B9">
              <w:rPr>
                <w:rFonts w:ascii="Arial Narrow" w:hAnsi="Arial Narrow"/>
              </w:rPr>
              <w:t>ó</w:t>
            </w:r>
            <w:proofErr w:type="spellEnd"/>
            <w:r w:rsidRPr="005F10B9">
              <w:rPr>
                <w:rFonts w:ascii="Arial Narrow" w:hAnsi="Arial Narrow"/>
              </w:rPr>
              <w:t xml:space="preserve"> 0,0001 </w:t>
            </w:r>
          </w:p>
        </w:tc>
      </w:tr>
      <w:tr w:rsidR="007968EC" w:rsidRPr="005F10B9" w14:paraId="6B72AA23" w14:textId="77777777" w:rsidTr="007968EC">
        <w:trPr>
          <w:gridBefore w:val="1"/>
          <w:wBefore w:w="23" w:type="dxa"/>
          <w:trHeight w:val="439"/>
        </w:trPr>
        <w:tc>
          <w:tcPr>
            <w:tcW w:w="446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2366369E" w14:textId="77777777" w:rsidR="007968EC" w:rsidRPr="005F10B9" w:rsidRDefault="007968EC" w:rsidP="007968EC">
            <w:pPr>
              <w:rPr>
                <w:rFonts w:ascii="Arial Narrow" w:hAnsi="Arial Narrow"/>
                <w:b/>
                <w:bCs/>
              </w:rPr>
            </w:pPr>
            <w:r w:rsidRPr="005F10B9">
              <w:rPr>
                <w:rFonts w:ascii="Arial Narrow" w:hAnsi="Arial Narrow"/>
                <w:b/>
                <w:bCs/>
              </w:rPr>
              <w:t xml:space="preserve">Fecha de Inicio de Periodo / </w:t>
            </w:r>
            <w:proofErr w:type="spellStart"/>
            <w:r w:rsidRPr="005F10B9">
              <w:rPr>
                <w:rFonts w:ascii="Arial Narrow" w:hAnsi="Arial Narrow"/>
                <w:b/>
                <w:bCs/>
              </w:rPr>
              <w:t>Period</w:t>
            </w:r>
            <w:proofErr w:type="spellEnd"/>
            <w:r w:rsidRPr="005F10B9">
              <w:rPr>
                <w:rFonts w:ascii="Arial Narrow" w:hAnsi="Arial Narrow"/>
                <w:b/>
                <w:bCs/>
              </w:rPr>
              <w:t xml:space="preserve"> </w:t>
            </w:r>
            <w:proofErr w:type="spellStart"/>
            <w:r w:rsidRPr="005F10B9">
              <w:rPr>
                <w:rFonts w:ascii="Arial Narrow" w:hAnsi="Arial Narrow"/>
                <w:b/>
                <w:bCs/>
              </w:rPr>
              <w:t>Start</w:t>
            </w:r>
            <w:proofErr w:type="spellEnd"/>
            <w:r w:rsidRPr="005F10B9">
              <w:rPr>
                <w:rFonts w:ascii="Arial Narrow" w:hAnsi="Arial Narrow"/>
                <w:b/>
                <w:bCs/>
              </w:rPr>
              <w:t xml:space="preserve"> Date </w:t>
            </w:r>
          </w:p>
        </w:tc>
        <w:tc>
          <w:tcPr>
            <w:tcW w:w="5118" w:type="dxa"/>
            <w:tcBorders>
              <w:top w:val="single" w:sz="18" w:space="0" w:color="auto"/>
              <w:left w:val="single" w:sz="18" w:space="0" w:color="auto"/>
              <w:bottom w:val="single" w:sz="18" w:space="0" w:color="auto"/>
              <w:right w:val="single" w:sz="18" w:space="0" w:color="auto"/>
            </w:tcBorders>
          </w:tcPr>
          <w:p w14:paraId="234A10C9" w14:textId="77777777" w:rsidR="007968EC" w:rsidRPr="005F10B9" w:rsidRDefault="007968EC" w:rsidP="007968EC">
            <w:pPr>
              <w:jc w:val="both"/>
              <w:rPr>
                <w:rFonts w:ascii="Arial Narrow" w:hAnsi="Arial Narrow"/>
              </w:rPr>
            </w:pPr>
            <w:r w:rsidRPr="005F10B9">
              <w:rPr>
                <w:rFonts w:ascii="Arial Narrow" w:hAnsi="Arial Narrow"/>
              </w:rPr>
              <w:t xml:space="preserve">Fecha en la que inicia o comienza el periodo del flujo para el cálculo de intereses. </w:t>
            </w:r>
          </w:p>
        </w:tc>
      </w:tr>
      <w:tr w:rsidR="007968EC" w:rsidRPr="005F10B9" w14:paraId="317294C4" w14:textId="77777777" w:rsidTr="007968EC">
        <w:trPr>
          <w:gridBefore w:val="1"/>
          <w:wBefore w:w="23" w:type="dxa"/>
          <w:trHeight w:val="439"/>
        </w:trPr>
        <w:tc>
          <w:tcPr>
            <w:tcW w:w="446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28F5E69E" w14:textId="77777777" w:rsidR="007968EC" w:rsidRPr="005F10B9" w:rsidRDefault="007968EC" w:rsidP="007968EC">
            <w:pPr>
              <w:rPr>
                <w:rFonts w:ascii="Arial Narrow" w:hAnsi="Arial Narrow"/>
                <w:b/>
                <w:bCs/>
              </w:rPr>
            </w:pPr>
            <w:r w:rsidRPr="005F10B9">
              <w:rPr>
                <w:rFonts w:ascii="Arial Narrow" w:hAnsi="Arial Narrow"/>
                <w:b/>
                <w:bCs/>
              </w:rPr>
              <w:t xml:space="preserve">Fecha de Fin de Periodo / </w:t>
            </w:r>
            <w:proofErr w:type="spellStart"/>
            <w:r w:rsidRPr="005F10B9">
              <w:rPr>
                <w:rFonts w:ascii="Arial Narrow" w:hAnsi="Arial Narrow"/>
                <w:b/>
                <w:bCs/>
              </w:rPr>
              <w:t>Period</w:t>
            </w:r>
            <w:proofErr w:type="spellEnd"/>
            <w:r w:rsidRPr="005F10B9">
              <w:rPr>
                <w:rFonts w:ascii="Arial Narrow" w:hAnsi="Arial Narrow"/>
                <w:b/>
                <w:bCs/>
              </w:rPr>
              <w:t xml:space="preserve"> End Date </w:t>
            </w:r>
          </w:p>
        </w:tc>
        <w:tc>
          <w:tcPr>
            <w:tcW w:w="5118" w:type="dxa"/>
            <w:tcBorders>
              <w:top w:val="single" w:sz="18" w:space="0" w:color="auto"/>
              <w:left w:val="single" w:sz="18" w:space="0" w:color="auto"/>
              <w:bottom w:val="single" w:sz="18" w:space="0" w:color="auto"/>
              <w:right w:val="single" w:sz="18" w:space="0" w:color="auto"/>
            </w:tcBorders>
          </w:tcPr>
          <w:p w14:paraId="7C9D166F" w14:textId="77777777" w:rsidR="007968EC" w:rsidRPr="005F10B9" w:rsidRDefault="007968EC" w:rsidP="007968EC">
            <w:pPr>
              <w:jc w:val="both"/>
              <w:rPr>
                <w:rFonts w:ascii="Arial Narrow" w:hAnsi="Arial Narrow"/>
              </w:rPr>
            </w:pPr>
            <w:r w:rsidRPr="005F10B9">
              <w:rPr>
                <w:rFonts w:ascii="Arial Narrow" w:hAnsi="Arial Narrow"/>
              </w:rPr>
              <w:t xml:space="preserve">Fecha en la que finaliza o termina el periodo del flujo para el cálculo de intereses. </w:t>
            </w:r>
          </w:p>
        </w:tc>
      </w:tr>
      <w:tr w:rsidR="007968EC" w:rsidRPr="005F10B9" w14:paraId="54D87A2F" w14:textId="77777777" w:rsidTr="007968EC">
        <w:trPr>
          <w:gridBefore w:val="1"/>
          <w:wBefore w:w="23" w:type="dxa"/>
          <w:trHeight w:val="439"/>
        </w:trPr>
        <w:tc>
          <w:tcPr>
            <w:tcW w:w="446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13C1E12C" w14:textId="77777777" w:rsidR="007968EC" w:rsidRPr="005F10B9" w:rsidRDefault="007968EC" w:rsidP="007968EC">
            <w:pPr>
              <w:rPr>
                <w:rFonts w:ascii="Arial Narrow" w:hAnsi="Arial Narrow"/>
                <w:b/>
                <w:bCs/>
              </w:rPr>
            </w:pPr>
            <w:r w:rsidRPr="005F10B9">
              <w:rPr>
                <w:rFonts w:ascii="Arial Narrow" w:hAnsi="Arial Narrow"/>
                <w:b/>
                <w:bCs/>
              </w:rPr>
              <w:lastRenderedPageBreak/>
              <w:t xml:space="preserve">Periodo de cálculo o cómputo / </w:t>
            </w:r>
            <w:proofErr w:type="spellStart"/>
            <w:r w:rsidRPr="005F10B9">
              <w:rPr>
                <w:rFonts w:ascii="Arial Narrow" w:hAnsi="Arial Narrow"/>
                <w:b/>
                <w:bCs/>
              </w:rPr>
              <w:t>Calculation</w:t>
            </w:r>
            <w:proofErr w:type="spellEnd"/>
            <w:r w:rsidRPr="005F10B9">
              <w:rPr>
                <w:rFonts w:ascii="Arial Narrow" w:hAnsi="Arial Narrow"/>
                <w:b/>
                <w:bCs/>
              </w:rPr>
              <w:t xml:space="preserve"> </w:t>
            </w:r>
            <w:proofErr w:type="spellStart"/>
            <w:r w:rsidRPr="005F10B9">
              <w:rPr>
                <w:rFonts w:ascii="Arial Narrow" w:hAnsi="Arial Narrow"/>
                <w:b/>
                <w:bCs/>
              </w:rPr>
              <w:t>period</w:t>
            </w:r>
            <w:proofErr w:type="spellEnd"/>
            <w:r w:rsidRPr="005F10B9">
              <w:rPr>
                <w:rFonts w:ascii="Arial Narrow" w:hAnsi="Arial Narrow"/>
                <w:b/>
                <w:bCs/>
              </w:rPr>
              <w:t xml:space="preserve"> </w:t>
            </w:r>
          </w:p>
        </w:tc>
        <w:tc>
          <w:tcPr>
            <w:tcW w:w="5118" w:type="dxa"/>
            <w:tcBorders>
              <w:top w:val="single" w:sz="18" w:space="0" w:color="auto"/>
              <w:left w:val="single" w:sz="18" w:space="0" w:color="auto"/>
              <w:bottom w:val="single" w:sz="18" w:space="0" w:color="auto"/>
              <w:right w:val="single" w:sz="18" w:space="0" w:color="auto"/>
            </w:tcBorders>
          </w:tcPr>
          <w:p w14:paraId="0FE810C8" w14:textId="77777777" w:rsidR="007968EC" w:rsidRPr="005F10B9" w:rsidRDefault="007968EC" w:rsidP="007968EC">
            <w:pPr>
              <w:jc w:val="both"/>
              <w:rPr>
                <w:rFonts w:ascii="Arial Narrow" w:hAnsi="Arial Narrow"/>
              </w:rPr>
            </w:pPr>
            <w:r w:rsidRPr="005F10B9">
              <w:rPr>
                <w:rFonts w:ascii="Arial Narrow" w:hAnsi="Arial Narrow"/>
              </w:rPr>
              <w:t xml:space="preserve">Periodo entre la Fecha de Inicio de Período y la Fecha de Final de Periodo. </w:t>
            </w:r>
          </w:p>
        </w:tc>
      </w:tr>
      <w:tr w:rsidR="007968EC" w:rsidRPr="005F10B9" w14:paraId="6F61438C" w14:textId="77777777" w:rsidTr="007968EC">
        <w:trPr>
          <w:gridBefore w:val="1"/>
          <w:wBefore w:w="23" w:type="dxa"/>
          <w:trHeight w:val="439"/>
        </w:trPr>
        <w:tc>
          <w:tcPr>
            <w:tcW w:w="446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0FD43964" w14:textId="77777777" w:rsidR="007968EC" w:rsidRPr="005F10B9" w:rsidRDefault="007968EC" w:rsidP="007968EC">
            <w:pPr>
              <w:rPr>
                <w:rFonts w:ascii="Arial Narrow" w:hAnsi="Arial Narrow"/>
                <w:b/>
                <w:bCs/>
                <w:lang w:val="en-US"/>
              </w:rPr>
            </w:pPr>
            <w:r w:rsidRPr="005F10B9">
              <w:rPr>
                <w:rFonts w:ascii="Arial Narrow" w:hAnsi="Arial Narrow"/>
                <w:b/>
                <w:bCs/>
                <w:lang w:val="en-US"/>
              </w:rPr>
              <w:t xml:space="preserve">Base de </w:t>
            </w:r>
            <w:proofErr w:type="spellStart"/>
            <w:r w:rsidRPr="005F10B9">
              <w:rPr>
                <w:rFonts w:ascii="Arial Narrow" w:hAnsi="Arial Narrow"/>
                <w:b/>
                <w:bCs/>
                <w:lang w:val="en-US"/>
              </w:rPr>
              <w:t>Cálculo</w:t>
            </w:r>
            <w:proofErr w:type="spellEnd"/>
            <w:r w:rsidRPr="005F10B9">
              <w:rPr>
                <w:rFonts w:ascii="Arial Narrow" w:hAnsi="Arial Narrow"/>
                <w:b/>
                <w:bCs/>
                <w:lang w:val="en-US"/>
              </w:rPr>
              <w:t xml:space="preserve"> / Day Count Fraction </w:t>
            </w:r>
          </w:p>
        </w:tc>
        <w:tc>
          <w:tcPr>
            <w:tcW w:w="5118" w:type="dxa"/>
            <w:tcBorders>
              <w:top w:val="single" w:sz="18" w:space="0" w:color="auto"/>
              <w:left w:val="single" w:sz="18" w:space="0" w:color="auto"/>
              <w:bottom w:val="single" w:sz="18" w:space="0" w:color="auto"/>
              <w:right w:val="single" w:sz="18" w:space="0" w:color="auto"/>
            </w:tcBorders>
          </w:tcPr>
          <w:p w14:paraId="5BAA5C69" w14:textId="77777777" w:rsidR="007968EC" w:rsidRPr="005F10B9" w:rsidRDefault="007968EC" w:rsidP="007968EC">
            <w:pPr>
              <w:jc w:val="both"/>
              <w:rPr>
                <w:rFonts w:ascii="Arial Narrow" w:hAnsi="Arial Narrow"/>
              </w:rPr>
            </w:pPr>
            <w:r w:rsidRPr="005F10B9">
              <w:rPr>
                <w:rFonts w:ascii="Arial Narrow" w:hAnsi="Arial Narrow"/>
              </w:rPr>
              <w:t>Convención del cálculo de días del periodo de cómputo de intereses que determinara la fracción de año, usándose para calcular los importes Fijos y Variables. La Base de Cálculo se aplica a cada rama de forma independiente. Las convenciones admitidas en la Cámara son:</w:t>
            </w:r>
          </w:p>
          <w:p w14:paraId="31A812FE" w14:textId="77777777" w:rsidR="007968EC" w:rsidRPr="005F10B9" w:rsidRDefault="007968EC" w:rsidP="007968EC">
            <w:pPr>
              <w:jc w:val="both"/>
              <w:rPr>
                <w:rFonts w:ascii="Arial Narrow" w:hAnsi="Arial Narrow"/>
              </w:rPr>
            </w:pPr>
          </w:p>
          <w:p w14:paraId="17ED74DD" w14:textId="77777777" w:rsidR="007968EC" w:rsidRPr="005F10B9" w:rsidRDefault="007968EC" w:rsidP="00DA7472">
            <w:pPr>
              <w:numPr>
                <w:ilvl w:val="0"/>
                <w:numId w:val="316"/>
              </w:numPr>
              <w:ind w:left="194" w:hanging="101"/>
              <w:contextualSpacing/>
              <w:jc w:val="both"/>
              <w:rPr>
                <w:rFonts w:ascii="Arial Narrow" w:hAnsi="Arial Narrow" w:cs="Arial"/>
                <w:lang w:eastAsia="es-CO"/>
              </w:rPr>
            </w:pPr>
            <w:r w:rsidRPr="005F10B9">
              <w:rPr>
                <w:rFonts w:ascii="Arial Narrow" w:hAnsi="Arial Narrow" w:cs="Arial"/>
                <w:lang w:eastAsia="es-CO"/>
              </w:rPr>
              <w:t>Actual/Actual, 30/360, Actual/360, Actual/365</w:t>
            </w:r>
          </w:p>
          <w:p w14:paraId="0BA90CEB" w14:textId="77777777" w:rsidR="007968EC" w:rsidRPr="005F10B9" w:rsidRDefault="007968EC" w:rsidP="007968EC">
            <w:pPr>
              <w:ind w:left="194"/>
              <w:contextualSpacing/>
              <w:jc w:val="both"/>
              <w:rPr>
                <w:rFonts w:ascii="Arial Narrow" w:hAnsi="Arial Narrow" w:cs="Arial"/>
                <w:lang w:eastAsia="es-CO"/>
              </w:rPr>
            </w:pPr>
          </w:p>
        </w:tc>
      </w:tr>
      <w:tr w:rsidR="007968EC" w:rsidRPr="005F10B9" w14:paraId="02301CAA" w14:textId="77777777" w:rsidTr="007968EC">
        <w:trPr>
          <w:gridBefore w:val="1"/>
          <w:wBefore w:w="23" w:type="dxa"/>
          <w:trHeight w:val="439"/>
        </w:trPr>
        <w:tc>
          <w:tcPr>
            <w:tcW w:w="446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01694A33" w14:textId="77777777" w:rsidR="007968EC" w:rsidRPr="005F10B9" w:rsidRDefault="007968EC" w:rsidP="007968EC">
            <w:pPr>
              <w:rPr>
                <w:rFonts w:ascii="Arial Narrow" w:hAnsi="Arial Narrow"/>
                <w:b/>
                <w:bCs/>
              </w:rPr>
            </w:pPr>
            <w:r w:rsidRPr="005F10B9">
              <w:rPr>
                <w:rFonts w:ascii="Arial Narrow" w:hAnsi="Arial Narrow"/>
                <w:b/>
                <w:bCs/>
              </w:rPr>
              <w:t xml:space="preserve">Fecha de Liquidación o Pago / </w:t>
            </w:r>
            <w:proofErr w:type="spellStart"/>
            <w:r w:rsidRPr="005F10B9">
              <w:rPr>
                <w:rFonts w:ascii="Arial Narrow" w:hAnsi="Arial Narrow"/>
                <w:b/>
                <w:bCs/>
              </w:rPr>
              <w:t>Settlement</w:t>
            </w:r>
            <w:proofErr w:type="spellEnd"/>
            <w:r w:rsidRPr="005F10B9">
              <w:rPr>
                <w:rFonts w:ascii="Arial Narrow" w:hAnsi="Arial Narrow"/>
                <w:b/>
                <w:bCs/>
              </w:rPr>
              <w:t xml:space="preserve"> / </w:t>
            </w:r>
            <w:proofErr w:type="spellStart"/>
            <w:r w:rsidRPr="005F10B9">
              <w:rPr>
                <w:rFonts w:ascii="Arial Narrow" w:hAnsi="Arial Narrow"/>
                <w:b/>
                <w:bCs/>
              </w:rPr>
              <w:t>Payment</w:t>
            </w:r>
            <w:proofErr w:type="spellEnd"/>
            <w:r w:rsidRPr="005F10B9">
              <w:rPr>
                <w:rFonts w:ascii="Arial Narrow" w:hAnsi="Arial Narrow"/>
                <w:b/>
                <w:bCs/>
              </w:rPr>
              <w:t xml:space="preserve"> Date </w:t>
            </w:r>
          </w:p>
        </w:tc>
        <w:tc>
          <w:tcPr>
            <w:tcW w:w="5118" w:type="dxa"/>
            <w:tcBorders>
              <w:top w:val="single" w:sz="18" w:space="0" w:color="auto"/>
              <w:left w:val="single" w:sz="18" w:space="0" w:color="auto"/>
              <w:bottom w:val="single" w:sz="18" w:space="0" w:color="auto"/>
              <w:right w:val="single" w:sz="18" w:space="0" w:color="auto"/>
            </w:tcBorders>
          </w:tcPr>
          <w:p w14:paraId="3F502F37" w14:textId="77777777" w:rsidR="007968EC" w:rsidRPr="005F10B9" w:rsidRDefault="007968EC" w:rsidP="007968EC">
            <w:pPr>
              <w:jc w:val="both"/>
              <w:rPr>
                <w:rFonts w:ascii="Arial Narrow" w:hAnsi="Arial Narrow"/>
              </w:rPr>
            </w:pPr>
            <w:r w:rsidRPr="005F10B9">
              <w:rPr>
                <w:rFonts w:ascii="Arial Narrow" w:hAnsi="Arial Narrow" w:cs="Arial"/>
                <w:color w:val="000000"/>
              </w:rPr>
              <w:t xml:space="preserve">Define las Fechas en las que se producen las liquidaciones o los pagos de las ramas de la Operación. </w:t>
            </w:r>
          </w:p>
        </w:tc>
      </w:tr>
      <w:tr w:rsidR="007968EC" w:rsidRPr="005F10B9" w14:paraId="1E664BA5" w14:textId="77777777" w:rsidTr="007968EC">
        <w:trPr>
          <w:gridBefore w:val="1"/>
          <w:wBefore w:w="23" w:type="dxa"/>
          <w:trHeight w:val="439"/>
        </w:trPr>
        <w:tc>
          <w:tcPr>
            <w:tcW w:w="446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0AC84FDF" w14:textId="77777777" w:rsidR="007968EC" w:rsidRPr="005F10B9" w:rsidRDefault="007968EC" w:rsidP="007968EC">
            <w:pPr>
              <w:rPr>
                <w:rFonts w:ascii="Arial Narrow" w:hAnsi="Arial Narrow"/>
                <w:b/>
                <w:bCs/>
              </w:rPr>
            </w:pPr>
            <w:r w:rsidRPr="005F10B9">
              <w:rPr>
                <w:rFonts w:ascii="Arial Narrow" w:hAnsi="Arial Narrow"/>
                <w:b/>
                <w:bCs/>
              </w:rPr>
              <w:t xml:space="preserve">Periodo Regular / Regular </w:t>
            </w:r>
            <w:proofErr w:type="spellStart"/>
            <w:r w:rsidRPr="005F10B9">
              <w:rPr>
                <w:rFonts w:ascii="Arial Narrow" w:hAnsi="Arial Narrow"/>
                <w:b/>
                <w:bCs/>
              </w:rPr>
              <w:t>Period</w:t>
            </w:r>
            <w:proofErr w:type="spellEnd"/>
            <w:r w:rsidRPr="005F10B9">
              <w:rPr>
                <w:rFonts w:ascii="Arial Narrow" w:hAnsi="Arial Narrow"/>
                <w:b/>
                <w:bCs/>
              </w:rPr>
              <w:t xml:space="preserve"> </w:t>
            </w:r>
          </w:p>
        </w:tc>
        <w:tc>
          <w:tcPr>
            <w:tcW w:w="5118" w:type="dxa"/>
            <w:tcBorders>
              <w:top w:val="single" w:sz="18" w:space="0" w:color="auto"/>
              <w:left w:val="single" w:sz="18" w:space="0" w:color="auto"/>
              <w:bottom w:val="single" w:sz="18" w:space="0" w:color="auto"/>
              <w:right w:val="single" w:sz="18" w:space="0" w:color="auto"/>
            </w:tcBorders>
          </w:tcPr>
          <w:p w14:paraId="41ACD4A3" w14:textId="77777777" w:rsidR="007968EC" w:rsidRPr="005F10B9" w:rsidRDefault="007968EC" w:rsidP="007968EC">
            <w:pPr>
              <w:jc w:val="both"/>
              <w:rPr>
                <w:rFonts w:ascii="Arial Narrow" w:hAnsi="Arial Narrow"/>
              </w:rPr>
            </w:pPr>
            <w:r w:rsidRPr="005F10B9">
              <w:rPr>
                <w:rFonts w:ascii="Arial Narrow" w:hAnsi="Arial Narrow" w:cs="Arial"/>
                <w:color w:val="000000"/>
              </w:rPr>
              <w:t xml:space="preserve">Es aquel periodo que comprende una cantidad de días acorde al Vencimiento designado.  </w:t>
            </w:r>
          </w:p>
        </w:tc>
      </w:tr>
      <w:tr w:rsidR="007968EC" w:rsidRPr="005F10B9" w14:paraId="7DF832C2" w14:textId="77777777" w:rsidTr="007968EC">
        <w:trPr>
          <w:gridBefore w:val="1"/>
          <w:wBefore w:w="23" w:type="dxa"/>
          <w:trHeight w:val="439"/>
        </w:trPr>
        <w:tc>
          <w:tcPr>
            <w:tcW w:w="446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5570CCB6" w14:textId="77777777" w:rsidR="007968EC" w:rsidRPr="005F10B9" w:rsidRDefault="007968EC" w:rsidP="007968EC">
            <w:pPr>
              <w:rPr>
                <w:rFonts w:ascii="Arial Narrow" w:hAnsi="Arial Narrow"/>
                <w:b/>
                <w:bCs/>
              </w:rPr>
            </w:pPr>
            <w:r w:rsidRPr="005F10B9">
              <w:rPr>
                <w:rFonts w:ascii="Arial Narrow" w:hAnsi="Arial Narrow"/>
                <w:b/>
                <w:bCs/>
              </w:rPr>
              <w:t xml:space="preserve">Periodo Roto / </w:t>
            </w:r>
            <w:proofErr w:type="spellStart"/>
            <w:r w:rsidRPr="005F10B9">
              <w:rPr>
                <w:rFonts w:ascii="Arial Narrow" w:hAnsi="Arial Narrow"/>
                <w:b/>
                <w:bCs/>
              </w:rPr>
              <w:t>Stub</w:t>
            </w:r>
            <w:proofErr w:type="spellEnd"/>
            <w:r w:rsidRPr="005F10B9">
              <w:rPr>
                <w:rFonts w:ascii="Arial Narrow" w:hAnsi="Arial Narrow"/>
                <w:b/>
                <w:bCs/>
              </w:rPr>
              <w:t xml:space="preserve"> </w:t>
            </w:r>
            <w:proofErr w:type="spellStart"/>
            <w:r w:rsidRPr="005F10B9">
              <w:rPr>
                <w:rFonts w:ascii="Arial Narrow" w:hAnsi="Arial Narrow"/>
                <w:b/>
                <w:bCs/>
              </w:rPr>
              <w:t>Period</w:t>
            </w:r>
            <w:proofErr w:type="spellEnd"/>
            <w:r w:rsidRPr="005F10B9">
              <w:rPr>
                <w:rFonts w:ascii="Arial Narrow" w:hAnsi="Arial Narrow"/>
                <w:b/>
                <w:bCs/>
              </w:rPr>
              <w:t xml:space="preserve">  </w:t>
            </w:r>
          </w:p>
        </w:tc>
        <w:tc>
          <w:tcPr>
            <w:tcW w:w="5118" w:type="dxa"/>
            <w:tcBorders>
              <w:top w:val="single" w:sz="18" w:space="0" w:color="auto"/>
              <w:left w:val="single" w:sz="18" w:space="0" w:color="auto"/>
              <w:bottom w:val="single" w:sz="18" w:space="0" w:color="auto"/>
              <w:right w:val="single" w:sz="18" w:space="0" w:color="auto"/>
            </w:tcBorders>
          </w:tcPr>
          <w:p w14:paraId="636A3ECD" w14:textId="77777777" w:rsidR="007968EC" w:rsidRPr="005F10B9" w:rsidRDefault="007968EC" w:rsidP="007968EC">
            <w:pPr>
              <w:jc w:val="both"/>
              <w:rPr>
                <w:rFonts w:ascii="Arial Narrow" w:hAnsi="Arial Narrow" w:cs="Arial"/>
                <w:color w:val="000000"/>
              </w:rPr>
            </w:pPr>
            <w:r w:rsidRPr="005F10B9">
              <w:rPr>
                <w:rFonts w:ascii="Arial Narrow" w:hAnsi="Arial Narrow" w:cs="Arial"/>
                <w:color w:val="000000"/>
              </w:rPr>
              <w:t>Se define como un período al inicio o final de la vida de la operación, que difiere del período regular a los definidos por la frecuencia del índice.</w:t>
            </w:r>
          </w:p>
        </w:tc>
      </w:tr>
      <w:tr w:rsidR="007968EC" w:rsidRPr="005F10B9" w14:paraId="5C93C951" w14:textId="77777777" w:rsidTr="007968EC">
        <w:trPr>
          <w:gridBefore w:val="1"/>
          <w:wBefore w:w="23" w:type="dxa"/>
          <w:trHeight w:val="439"/>
        </w:trPr>
        <w:tc>
          <w:tcPr>
            <w:tcW w:w="446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35C03915" w14:textId="77777777" w:rsidR="007968EC" w:rsidRPr="005F10B9" w:rsidRDefault="007968EC" w:rsidP="007968EC">
            <w:pPr>
              <w:rPr>
                <w:rFonts w:ascii="Arial Narrow" w:hAnsi="Arial Narrow"/>
                <w:b/>
                <w:bCs/>
              </w:rPr>
            </w:pPr>
            <w:bookmarkStart w:id="6457" w:name="_Hlk3276233"/>
            <w:r w:rsidRPr="005F10B9">
              <w:rPr>
                <w:rFonts w:ascii="Arial Narrow" w:hAnsi="Arial Narrow"/>
                <w:b/>
                <w:bCs/>
              </w:rPr>
              <w:t xml:space="preserve">Terminación Anticipada / Break </w:t>
            </w:r>
            <w:proofErr w:type="spellStart"/>
            <w:r w:rsidRPr="005F10B9">
              <w:rPr>
                <w:rFonts w:ascii="Arial Narrow" w:hAnsi="Arial Narrow"/>
                <w:b/>
                <w:bCs/>
              </w:rPr>
              <w:t>Clause</w:t>
            </w:r>
            <w:proofErr w:type="spellEnd"/>
            <w:r w:rsidRPr="005F10B9">
              <w:rPr>
                <w:rFonts w:ascii="Arial Narrow" w:hAnsi="Arial Narrow"/>
                <w:b/>
                <w:bCs/>
              </w:rPr>
              <w:t xml:space="preserve"> </w:t>
            </w:r>
          </w:p>
        </w:tc>
        <w:tc>
          <w:tcPr>
            <w:tcW w:w="5118" w:type="dxa"/>
            <w:tcBorders>
              <w:top w:val="single" w:sz="18" w:space="0" w:color="auto"/>
              <w:left w:val="single" w:sz="18" w:space="0" w:color="auto"/>
              <w:bottom w:val="single" w:sz="18" w:space="0" w:color="auto"/>
              <w:right w:val="single" w:sz="18" w:space="0" w:color="auto"/>
            </w:tcBorders>
          </w:tcPr>
          <w:p w14:paraId="2A5AB72B" w14:textId="77777777" w:rsidR="007968EC" w:rsidRDefault="007968EC" w:rsidP="007968EC">
            <w:pPr>
              <w:autoSpaceDE w:val="0"/>
              <w:autoSpaceDN w:val="0"/>
              <w:adjustRightInd w:val="0"/>
              <w:jc w:val="both"/>
              <w:rPr>
                <w:rFonts w:ascii="Arial Narrow" w:hAnsi="Arial Narrow" w:cs="Arial"/>
                <w:color w:val="000000"/>
              </w:rPr>
            </w:pPr>
            <w:r w:rsidRPr="00BE46BF">
              <w:rPr>
                <w:rFonts w:ascii="Arial Narrow" w:hAnsi="Arial Narrow" w:cs="Arial"/>
                <w:color w:val="000000"/>
              </w:rPr>
              <w:t>La Terminación Anticipada se refiere a la liquidación del instrumento financiero derivado antes de su</w:t>
            </w:r>
            <w:r>
              <w:rPr>
                <w:rFonts w:ascii="Arial Narrow" w:hAnsi="Arial Narrow" w:cs="Arial"/>
                <w:color w:val="000000"/>
              </w:rPr>
              <w:t xml:space="preserve"> </w:t>
            </w:r>
            <w:r w:rsidRPr="00BE46BF">
              <w:rPr>
                <w:rFonts w:ascii="Arial Narrow" w:hAnsi="Arial Narrow" w:cs="Arial"/>
                <w:color w:val="000000"/>
              </w:rPr>
              <w:t>vencimiento, en las fechas determinadas o determinables que acuerden las partes</w:t>
            </w:r>
            <w:r>
              <w:rPr>
                <w:rFonts w:ascii="Arial Narrow" w:hAnsi="Arial Narrow" w:cs="Arial"/>
                <w:color w:val="000000"/>
              </w:rPr>
              <w:t xml:space="preserve"> originales de la operación</w:t>
            </w:r>
            <w:r w:rsidRPr="00BE46BF">
              <w:rPr>
                <w:rFonts w:ascii="Arial Narrow" w:hAnsi="Arial Narrow" w:cs="Arial"/>
                <w:color w:val="000000"/>
              </w:rPr>
              <w:t>. Las partes pueden acordar la</w:t>
            </w:r>
            <w:r>
              <w:rPr>
                <w:rFonts w:ascii="Arial Narrow" w:hAnsi="Arial Narrow" w:cs="Arial"/>
                <w:color w:val="000000"/>
              </w:rPr>
              <w:t xml:space="preserve"> </w:t>
            </w:r>
            <w:r w:rsidRPr="00BE46BF">
              <w:rPr>
                <w:rFonts w:ascii="Arial Narrow" w:hAnsi="Arial Narrow" w:cs="Arial"/>
                <w:color w:val="000000"/>
              </w:rPr>
              <w:t xml:space="preserve">Terminación Anticipada obligatoria, de mutuo acuerdo u opcional. La Terminación Anticipada </w:t>
            </w:r>
            <w:r>
              <w:rPr>
                <w:rFonts w:ascii="Arial Narrow" w:hAnsi="Arial Narrow" w:cs="Arial"/>
                <w:color w:val="000000"/>
              </w:rPr>
              <w:t xml:space="preserve">de Operaciones SWAP en el OTC </w:t>
            </w:r>
            <w:r w:rsidRPr="00BE46BF">
              <w:rPr>
                <w:rFonts w:ascii="Arial Narrow" w:hAnsi="Arial Narrow" w:cs="Arial"/>
                <w:color w:val="000000"/>
              </w:rPr>
              <w:t>debe constar dentro</w:t>
            </w:r>
            <w:r>
              <w:rPr>
                <w:rFonts w:ascii="Arial Narrow" w:hAnsi="Arial Narrow" w:cs="Arial"/>
                <w:color w:val="000000"/>
              </w:rPr>
              <w:t xml:space="preserve"> </w:t>
            </w:r>
            <w:r w:rsidRPr="00BE46BF">
              <w:rPr>
                <w:rFonts w:ascii="Arial Narrow" w:hAnsi="Arial Narrow" w:cs="Arial"/>
                <w:color w:val="000000"/>
              </w:rPr>
              <w:t>del contrato marco</w:t>
            </w:r>
            <w:r>
              <w:rPr>
                <w:rFonts w:ascii="Arial Narrow" w:hAnsi="Arial Narrow" w:cs="Arial"/>
                <w:color w:val="000000"/>
              </w:rPr>
              <w:t xml:space="preserve"> o documentos relacionados y hará parte de los Términos Económicos de la Operación</w:t>
            </w:r>
            <w:r w:rsidRPr="00BE46BF">
              <w:rPr>
                <w:rFonts w:ascii="Arial Narrow" w:hAnsi="Arial Narrow" w:cs="Arial"/>
                <w:color w:val="000000"/>
              </w:rPr>
              <w:t>.</w:t>
            </w:r>
          </w:p>
          <w:p w14:paraId="7531AC9B" w14:textId="77777777" w:rsidR="007968EC" w:rsidRPr="005F10B9" w:rsidRDefault="007968EC" w:rsidP="007968EC">
            <w:pPr>
              <w:autoSpaceDE w:val="0"/>
              <w:autoSpaceDN w:val="0"/>
              <w:adjustRightInd w:val="0"/>
              <w:jc w:val="both"/>
              <w:rPr>
                <w:rFonts w:ascii="Arial Narrow" w:hAnsi="Arial Narrow" w:cs="Arial"/>
                <w:color w:val="000000"/>
              </w:rPr>
            </w:pPr>
            <w:r w:rsidRPr="005F10B9">
              <w:rPr>
                <w:rFonts w:ascii="Arial Narrow" w:hAnsi="Arial Narrow" w:cs="Arial"/>
                <w:color w:val="000000"/>
              </w:rPr>
              <w:t xml:space="preserve">La Cámara acepta para registro y novación </w:t>
            </w:r>
            <w:r>
              <w:rPr>
                <w:rFonts w:ascii="Arial Narrow" w:hAnsi="Arial Narrow" w:cs="Arial"/>
                <w:color w:val="000000"/>
              </w:rPr>
              <w:t>O</w:t>
            </w:r>
            <w:r w:rsidRPr="005F10B9">
              <w:rPr>
                <w:rFonts w:ascii="Arial Narrow" w:hAnsi="Arial Narrow" w:cs="Arial"/>
                <w:color w:val="000000"/>
              </w:rPr>
              <w:t xml:space="preserve">peraciones </w:t>
            </w:r>
            <w:r>
              <w:rPr>
                <w:rFonts w:ascii="Arial Narrow" w:hAnsi="Arial Narrow" w:cs="Arial"/>
                <w:color w:val="000000"/>
              </w:rPr>
              <w:t xml:space="preserve">SWAP </w:t>
            </w:r>
            <w:r w:rsidRPr="005F10B9">
              <w:rPr>
                <w:rFonts w:ascii="Arial Narrow" w:hAnsi="Arial Narrow" w:cs="Arial"/>
                <w:color w:val="000000"/>
              </w:rPr>
              <w:t>con cláusulas de Terminación Anticipada</w:t>
            </w:r>
            <w:r>
              <w:rPr>
                <w:rFonts w:ascii="Arial Narrow" w:hAnsi="Arial Narrow" w:cs="Arial"/>
                <w:color w:val="000000"/>
              </w:rPr>
              <w:t>.</w:t>
            </w:r>
          </w:p>
          <w:p w14:paraId="0DB7BB29" w14:textId="77777777" w:rsidR="007968EC" w:rsidRPr="005F10B9" w:rsidRDefault="007968EC" w:rsidP="007968EC">
            <w:pPr>
              <w:autoSpaceDE w:val="0"/>
              <w:autoSpaceDN w:val="0"/>
              <w:adjustRightInd w:val="0"/>
              <w:jc w:val="both"/>
              <w:rPr>
                <w:rFonts w:ascii="Arial Narrow" w:hAnsi="Arial Narrow" w:cs="Arial"/>
                <w:color w:val="000000"/>
              </w:rPr>
            </w:pPr>
          </w:p>
        </w:tc>
      </w:tr>
      <w:bookmarkEnd w:id="6457"/>
      <w:tr w:rsidR="007968EC" w:rsidRPr="005F10B9" w14:paraId="35DF7DBA" w14:textId="77777777" w:rsidTr="007968EC">
        <w:trPr>
          <w:gridBefore w:val="1"/>
          <w:wBefore w:w="23" w:type="dxa"/>
          <w:trHeight w:val="439"/>
        </w:trPr>
        <w:tc>
          <w:tcPr>
            <w:tcW w:w="446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2C9F15D3" w14:textId="77777777" w:rsidR="007968EC" w:rsidRPr="005F10B9" w:rsidRDefault="007968EC" w:rsidP="007968EC">
            <w:pPr>
              <w:rPr>
                <w:rFonts w:ascii="Arial Narrow" w:hAnsi="Arial Narrow"/>
                <w:b/>
                <w:bCs/>
              </w:rPr>
            </w:pPr>
            <w:r w:rsidRPr="005F10B9">
              <w:rPr>
                <w:rFonts w:ascii="Arial Narrow" w:hAnsi="Arial Narrow"/>
                <w:b/>
                <w:bCs/>
              </w:rPr>
              <w:t xml:space="preserve">Periodo Roto al Inicio y al Final / </w:t>
            </w:r>
            <w:proofErr w:type="spellStart"/>
            <w:r w:rsidRPr="005F10B9">
              <w:rPr>
                <w:rFonts w:ascii="Arial Narrow" w:hAnsi="Arial Narrow"/>
                <w:b/>
                <w:bCs/>
              </w:rPr>
              <w:t>Stub</w:t>
            </w:r>
            <w:proofErr w:type="spellEnd"/>
            <w:r w:rsidRPr="005F10B9">
              <w:rPr>
                <w:rFonts w:ascii="Arial Narrow" w:hAnsi="Arial Narrow"/>
                <w:b/>
                <w:bCs/>
              </w:rPr>
              <w:t xml:space="preserve"> </w:t>
            </w:r>
            <w:proofErr w:type="spellStart"/>
            <w:r w:rsidRPr="005F10B9">
              <w:rPr>
                <w:rFonts w:ascii="Arial Narrow" w:hAnsi="Arial Narrow"/>
                <w:b/>
                <w:bCs/>
              </w:rPr>
              <w:t>on</w:t>
            </w:r>
            <w:proofErr w:type="spellEnd"/>
            <w:r w:rsidRPr="005F10B9">
              <w:rPr>
                <w:rFonts w:ascii="Arial Narrow" w:hAnsi="Arial Narrow"/>
                <w:b/>
                <w:bCs/>
              </w:rPr>
              <w:t xml:space="preserve"> Front &amp; Back </w:t>
            </w:r>
          </w:p>
        </w:tc>
        <w:tc>
          <w:tcPr>
            <w:tcW w:w="5118" w:type="dxa"/>
            <w:tcBorders>
              <w:top w:val="single" w:sz="18" w:space="0" w:color="auto"/>
              <w:left w:val="single" w:sz="18" w:space="0" w:color="auto"/>
              <w:bottom w:val="single" w:sz="18" w:space="0" w:color="auto"/>
              <w:right w:val="single" w:sz="18" w:space="0" w:color="auto"/>
            </w:tcBorders>
          </w:tcPr>
          <w:p w14:paraId="6E14FA9E" w14:textId="77777777" w:rsidR="007968EC" w:rsidRPr="005F10B9" w:rsidRDefault="007968EC" w:rsidP="007968EC">
            <w:pPr>
              <w:jc w:val="both"/>
              <w:rPr>
                <w:rFonts w:ascii="Arial Narrow" w:hAnsi="Arial Narrow" w:cs="Arial"/>
                <w:color w:val="000000"/>
              </w:rPr>
            </w:pPr>
            <w:r w:rsidRPr="005F10B9">
              <w:rPr>
                <w:rFonts w:ascii="Arial Narrow" w:hAnsi="Arial Narrow" w:cs="Arial"/>
                <w:color w:val="000000"/>
              </w:rPr>
              <w:t xml:space="preserve">La Cámara acepta Operaciones con Periodos Rotos al Inicio y al final del Swap simultáneamente. </w:t>
            </w:r>
          </w:p>
        </w:tc>
      </w:tr>
      <w:tr w:rsidR="007968EC" w:rsidRPr="005F10B9" w14:paraId="6D420851" w14:textId="77777777" w:rsidTr="007968EC">
        <w:trPr>
          <w:gridBefore w:val="1"/>
          <w:wBefore w:w="23" w:type="dxa"/>
          <w:trHeight w:val="439"/>
        </w:trPr>
        <w:tc>
          <w:tcPr>
            <w:tcW w:w="446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59E72C00" w14:textId="77777777" w:rsidR="007968EC" w:rsidRPr="005F10B9" w:rsidRDefault="007968EC" w:rsidP="007968EC">
            <w:pPr>
              <w:rPr>
                <w:rFonts w:ascii="Arial Narrow" w:hAnsi="Arial Narrow"/>
                <w:b/>
                <w:bCs/>
              </w:rPr>
            </w:pPr>
            <w:r w:rsidRPr="005F10B9">
              <w:rPr>
                <w:rFonts w:ascii="Arial Narrow" w:hAnsi="Arial Narrow"/>
                <w:b/>
                <w:bCs/>
              </w:rPr>
              <w:t xml:space="preserve">Periodo Roto en días / </w:t>
            </w:r>
            <w:proofErr w:type="spellStart"/>
            <w:r w:rsidRPr="005F10B9">
              <w:rPr>
                <w:rFonts w:ascii="Arial Narrow" w:hAnsi="Arial Narrow"/>
                <w:b/>
                <w:bCs/>
              </w:rPr>
              <w:t>Stub</w:t>
            </w:r>
            <w:proofErr w:type="spellEnd"/>
            <w:r w:rsidRPr="005F10B9">
              <w:rPr>
                <w:rFonts w:ascii="Arial Narrow" w:hAnsi="Arial Narrow"/>
                <w:b/>
                <w:bCs/>
              </w:rPr>
              <w:t xml:space="preserve"> </w:t>
            </w:r>
            <w:proofErr w:type="spellStart"/>
            <w:r w:rsidRPr="005F10B9">
              <w:rPr>
                <w:rFonts w:ascii="Arial Narrow" w:hAnsi="Arial Narrow"/>
                <w:b/>
                <w:bCs/>
              </w:rPr>
              <w:t>Period</w:t>
            </w:r>
            <w:proofErr w:type="spellEnd"/>
            <w:r w:rsidRPr="005F10B9">
              <w:rPr>
                <w:rFonts w:ascii="Arial Narrow" w:hAnsi="Arial Narrow"/>
                <w:b/>
                <w:bCs/>
              </w:rPr>
              <w:t xml:space="preserve"> (in </w:t>
            </w:r>
            <w:proofErr w:type="spellStart"/>
            <w:r w:rsidRPr="005F10B9">
              <w:rPr>
                <w:rFonts w:ascii="Arial Narrow" w:hAnsi="Arial Narrow"/>
                <w:b/>
                <w:bCs/>
              </w:rPr>
              <w:t>days</w:t>
            </w:r>
            <w:proofErr w:type="spellEnd"/>
            <w:r w:rsidRPr="005F10B9">
              <w:rPr>
                <w:rFonts w:ascii="Arial Narrow" w:hAnsi="Arial Narrow"/>
                <w:b/>
                <w:bCs/>
              </w:rPr>
              <w:t xml:space="preserve">) </w:t>
            </w:r>
          </w:p>
        </w:tc>
        <w:tc>
          <w:tcPr>
            <w:tcW w:w="5118" w:type="dxa"/>
            <w:tcBorders>
              <w:top w:val="single" w:sz="18" w:space="0" w:color="auto"/>
              <w:left w:val="single" w:sz="18" w:space="0" w:color="auto"/>
              <w:bottom w:val="single" w:sz="18" w:space="0" w:color="auto"/>
              <w:right w:val="single" w:sz="18" w:space="0" w:color="auto"/>
            </w:tcBorders>
          </w:tcPr>
          <w:p w14:paraId="148FD744" w14:textId="77777777" w:rsidR="007968EC" w:rsidRPr="005F10B9" w:rsidRDefault="007968EC" w:rsidP="007968EC">
            <w:pPr>
              <w:jc w:val="both"/>
              <w:rPr>
                <w:rFonts w:ascii="Arial Narrow" w:hAnsi="Arial Narrow" w:cs="Arial"/>
                <w:color w:val="000000"/>
              </w:rPr>
            </w:pPr>
            <w:r w:rsidRPr="005F10B9">
              <w:rPr>
                <w:rFonts w:ascii="Arial Narrow" w:hAnsi="Arial Narrow" w:cs="Arial"/>
                <w:color w:val="000000"/>
              </w:rPr>
              <w:t xml:space="preserve">El período de duración del “Periodo Roto” para que un Swap pueda ser tratado en la Cámara debe ser mayor o igual a 1 día y no superior a 6 meses. </w:t>
            </w:r>
          </w:p>
        </w:tc>
      </w:tr>
      <w:tr w:rsidR="007968EC" w:rsidRPr="005F10B9" w14:paraId="151B603D" w14:textId="77777777" w:rsidTr="007968EC">
        <w:trPr>
          <w:gridBefore w:val="1"/>
          <w:wBefore w:w="23" w:type="dxa"/>
          <w:trHeight w:val="439"/>
        </w:trPr>
        <w:tc>
          <w:tcPr>
            <w:tcW w:w="446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1946099C" w14:textId="77777777" w:rsidR="007968EC" w:rsidRPr="005F10B9" w:rsidRDefault="007968EC" w:rsidP="007968EC">
            <w:pPr>
              <w:rPr>
                <w:rFonts w:ascii="Arial Narrow" w:hAnsi="Arial Narrow"/>
                <w:b/>
                <w:bCs/>
              </w:rPr>
            </w:pPr>
            <w:r w:rsidRPr="005F10B9">
              <w:rPr>
                <w:rFonts w:ascii="Arial Narrow" w:hAnsi="Arial Narrow"/>
                <w:b/>
                <w:bCs/>
              </w:rPr>
              <w:t xml:space="preserve">Fechas de Corte de los periodos / Roll </w:t>
            </w:r>
            <w:proofErr w:type="spellStart"/>
            <w:r w:rsidRPr="005F10B9">
              <w:rPr>
                <w:rFonts w:ascii="Arial Narrow" w:hAnsi="Arial Narrow"/>
                <w:b/>
                <w:bCs/>
              </w:rPr>
              <w:t>Convention</w:t>
            </w:r>
            <w:proofErr w:type="spellEnd"/>
            <w:r w:rsidRPr="005F10B9">
              <w:rPr>
                <w:rFonts w:ascii="Arial Narrow" w:hAnsi="Arial Narrow"/>
                <w:b/>
                <w:bCs/>
              </w:rPr>
              <w:t xml:space="preserve">  </w:t>
            </w:r>
          </w:p>
        </w:tc>
        <w:tc>
          <w:tcPr>
            <w:tcW w:w="5118" w:type="dxa"/>
            <w:tcBorders>
              <w:top w:val="single" w:sz="18" w:space="0" w:color="auto"/>
              <w:left w:val="single" w:sz="18" w:space="0" w:color="auto"/>
              <w:bottom w:val="single" w:sz="18" w:space="0" w:color="auto"/>
              <w:right w:val="single" w:sz="18" w:space="0" w:color="auto"/>
            </w:tcBorders>
          </w:tcPr>
          <w:p w14:paraId="2EEB54A7" w14:textId="77777777" w:rsidR="007968EC" w:rsidRPr="005F10B9" w:rsidRDefault="007968EC" w:rsidP="007968EC">
            <w:pPr>
              <w:jc w:val="both"/>
              <w:rPr>
                <w:rFonts w:ascii="Arial Narrow" w:hAnsi="Arial Narrow" w:cs="Arial"/>
                <w:color w:val="000000"/>
              </w:rPr>
            </w:pPr>
            <w:r w:rsidRPr="005F10B9">
              <w:rPr>
                <w:rFonts w:ascii="Arial Narrow" w:hAnsi="Arial Narrow" w:cs="Arial"/>
                <w:color w:val="000000"/>
              </w:rPr>
              <w:t xml:space="preserve">Se refiere a la Fecha estandarizada de finalización de los periodos regulares. EOM: End </w:t>
            </w:r>
            <w:proofErr w:type="spellStart"/>
            <w:r w:rsidRPr="005F10B9">
              <w:rPr>
                <w:rFonts w:ascii="Arial Narrow" w:hAnsi="Arial Narrow" w:cs="Arial"/>
                <w:color w:val="000000"/>
              </w:rPr>
              <w:t>of</w:t>
            </w:r>
            <w:proofErr w:type="spellEnd"/>
            <w:r w:rsidRPr="005F10B9">
              <w:rPr>
                <w:rFonts w:ascii="Arial Narrow" w:hAnsi="Arial Narrow" w:cs="Arial"/>
                <w:color w:val="000000"/>
              </w:rPr>
              <w:t xml:space="preserve"> </w:t>
            </w:r>
            <w:proofErr w:type="spellStart"/>
            <w:r w:rsidRPr="005F10B9">
              <w:rPr>
                <w:rFonts w:ascii="Arial Narrow" w:hAnsi="Arial Narrow" w:cs="Arial"/>
                <w:color w:val="000000"/>
              </w:rPr>
              <w:t>Month</w:t>
            </w:r>
            <w:proofErr w:type="spellEnd"/>
            <w:r w:rsidRPr="005F10B9">
              <w:rPr>
                <w:rFonts w:ascii="Arial Narrow" w:hAnsi="Arial Narrow" w:cs="Arial"/>
                <w:color w:val="000000"/>
              </w:rPr>
              <w:t xml:space="preserve">. </w:t>
            </w:r>
          </w:p>
        </w:tc>
      </w:tr>
      <w:tr w:rsidR="007968EC" w:rsidRPr="005F10B9" w14:paraId="5963E695" w14:textId="77777777" w:rsidTr="007968EC">
        <w:trPr>
          <w:gridBefore w:val="1"/>
          <w:wBefore w:w="23" w:type="dxa"/>
          <w:trHeight w:val="439"/>
        </w:trPr>
        <w:tc>
          <w:tcPr>
            <w:tcW w:w="446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5647C845" w14:textId="77777777" w:rsidR="007968EC" w:rsidRPr="005F10B9" w:rsidRDefault="007968EC" w:rsidP="007968EC">
            <w:pPr>
              <w:rPr>
                <w:rFonts w:ascii="Arial Narrow" w:hAnsi="Arial Narrow"/>
                <w:b/>
                <w:bCs/>
              </w:rPr>
            </w:pPr>
            <w:r w:rsidRPr="005F10B9">
              <w:rPr>
                <w:rFonts w:ascii="Arial Narrow" w:hAnsi="Arial Narrow"/>
                <w:b/>
                <w:bCs/>
              </w:rPr>
              <w:t xml:space="preserve">Fecha de Pago Adicional. Valor Mínimo / </w:t>
            </w:r>
            <w:proofErr w:type="spellStart"/>
            <w:r w:rsidRPr="005F10B9">
              <w:rPr>
                <w:rFonts w:ascii="Arial Narrow" w:hAnsi="Arial Narrow"/>
                <w:b/>
                <w:bCs/>
              </w:rPr>
              <w:t>Additional</w:t>
            </w:r>
            <w:proofErr w:type="spellEnd"/>
            <w:r w:rsidRPr="005F10B9">
              <w:rPr>
                <w:rFonts w:ascii="Arial Narrow" w:hAnsi="Arial Narrow"/>
                <w:b/>
                <w:bCs/>
              </w:rPr>
              <w:t xml:space="preserve"> </w:t>
            </w:r>
            <w:proofErr w:type="spellStart"/>
            <w:r w:rsidRPr="005F10B9">
              <w:rPr>
                <w:rFonts w:ascii="Arial Narrow" w:hAnsi="Arial Narrow"/>
                <w:b/>
                <w:bCs/>
              </w:rPr>
              <w:t>Payment</w:t>
            </w:r>
            <w:proofErr w:type="spellEnd"/>
            <w:r w:rsidRPr="005F10B9">
              <w:rPr>
                <w:rFonts w:ascii="Arial Narrow" w:hAnsi="Arial Narrow"/>
                <w:b/>
                <w:bCs/>
              </w:rPr>
              <w:t xml:space="preserve"> date. </w:t>
            </w:r>
            <w:r w:rsidRPr="005F10B9">
              <w:rPr>
                <w:rFonts w:ascii="Arial Narrow" w:hAnsi="Arial Narrow"/>
                <w:b/>
                <w:bCs/>
                <w:lang w:val="en-US"/>
              </w:rPr>
              <w:t xml:space="preserve">Minimum Value Date </w:t>
            </w:r>
          </w:p>
        </w:tc>
        <w:tc>
          <w:tcPr>
            <w:tcW w:w="5118" w:type="dxa"/>
            <w:tcBorders>
              <w:top w:val="single" w:sz="18" w:space="0" w:color="auto"/>
              <w:left w:val="single" w:sz="18" w:space="0" w:color="auto"/>
              <w:bottom w:val="single" w:sz="18" w:space="0" w:color="auto"/>
              <w:right w:val="single" w:sz="18" w:space="0" w:color="auto"/>
            </w:tcBorders>
          </w:tcPr>
          <w:p w14:paraId="1ADADD2E" w14:textId="77777777" w:rsidR="007968EC" w:rsidRPr="005F10B9" w:rsidRDefault="007968EC" w:rsidP="007968EC">
            <w:pPr>
              <w:jc w:val="both"/>
              <w:rPr>
                <w:rFonts w:ascii="Arial Narrow" w:hAnsi="Arial Narrow" w:cs="Arial"/>
                <w:color w:val="000000"/>
              </w:rPr>
            </w:pPr>
            <w:r w:rsidRPr="005F10B9">
              <w:rPr>
                <w:rFonts w:ascii="Arial Narrow" w:hAnsi="Arial Narrow" w:cs="Arial"/>
                <w:color w:val="000000"/>
              </w:rPr>
              <w:t xml:space="preserve">Se refiere a la Fecha más cercana en el que se admite realizar el pago de un flujo adicional de la Operación novada. La Cámara acepta Operaciones con Pagos </w:t>
            </w:r>
            <w:r w:rsidRPr="005F10B9">
              <w:rPr>
                <w:rFonts w:ascii="Arial Narrow" w:hAnsi="Arial Narrow" w:cs="Arial"/>
                <w:color w:val="000000"/>
              </w:rPr>
              <w:lastRenderedPageBreak/>
              <w:t xml:space="preserve">Adicionales ya causados, no haciéndose cargo de las liquidaciones de Pagos Adicionales que coincidan con la Fecha de Registro. </w:t>
            </w:r>
          </w:p>
        </w:tc>
      </w:tr>
      <w:tr w:rsidR="007968EC" w:rsidRPr="005F10B9" w14:paraId="65B60973" w14:textId="77777777" w:rsidTr="007968EC">
        <w:trPr>
          <w:gridBefore w:val="1"/>
          <w:wBefore w:w="23" w:type="dxa"/>
          <w:trHeight w:val="439"/>
        </w:trPr>
        <w:tc>
          <w:tcPr>
            <w:tcW w:w="446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6891B6CC" w14:textId="77777777" w:rsidR="007968EC" w:rsidRPr="005F10B9" w:rsidRDefault="007968EC" w:rsidP="007968EC">
            <w:pPr>
              <w:rPr>
                <w:rFonts w:ascii="Arial Narrow" w:hAnsi="Arial Narrow"/>
                <w:b/>
                <w:bCs/>
              </w:rPr>
            </w:pPr>
            <w:r w:rsidRPr="005F10B9">
              <w:rPr>
                <w:rFonts w:ascii="Arial Narrow" w:hAnsi="Arial Narrow"/>
                <w:b/>
                <w:bCs/>
              </w:rPr>
              <w:lastRenderedPageBreak/>
              <w:t xml:space="preserve">Fecha de Pago Adicional. Valor Máximo / </w:t>
            </w:r>
            <w:proofErr w:type="spellStart"/>
            <w:r w:rsidRPr="005F10B9">
              <w:rPr>
                <w:rFonts w:ascii="Arial Narrow" w:hAnsi="Arial Narrow"/>
                <w:b/>
                <w:bCs/>
              </w:rPr>
              <w:t>Additional</w:t>
            </w:r>
            <w:proofErr w:type="spellEnd"/>
            <w:r w:rsidRPr="005F10B9">
              <w:rPr>
                <w:rFonts w:ascii="Arial Narrow" w:hAnsi="Arial Narrow"/>
                <w:b/>
                <w:bCs/>
              </w:rPr>
              <w:t xml:space="preserve"> </w:t>
            </w:r>
            <w:proofErr w:type="spellStart"/>
            <w:r w:rsidRPr="005F10B9">
              <w:rPr>
                <w:rFonts w:ascii="Arial Narrow" w:hAnsi="Arial Narrow"/>
                <w:b/>
                <w:bCs/>
              </w:rPr>
              <w:t>Payment</w:t>
            </w:r>
            <w:proofErr w:type="spellEnd"/>
            <w:r w:rsidRPr="005F10B9">
              <w:rPr>
                <w:rFonts w:ascii="Arial Narrow" w:hAnsi="Arial Narrow"/>
                <w:b/>
                <w:bCs/>
              </w:rPr>
              <w:t xml:space="preserve"> date. Máximum </w:t>
            </w:r>
            <w:proofErr w:type="spellStart"/>
            <w:r w:rsidRPr="005F10B9">
              <w:rPr>
                <w:rFonts w:ascii="Arial Narrow" w:hAnsi="Arial Narrow"/>
                <w:b/>
                <w:bCs/>
              </w:rPr>
              <w:t>Value</w:t>
            </w:r>
            <w:proofErr w:type="spellEnd"/>
            <w:r w:rsidRPr="005F10B9">
              <w:rPr>
                <w:rFonts w:ascii="Arial Narrow" w:hAnsi="Arial Narrow"/>
                <w:b/>
                <w:bCs/>
              </w:rPr>
              <w:t xml:space="preserve"> Date </w:t>
            </w:r>
          </w:p>
        </w:tc>
        <w:tc>
          <w:tcPr>
            <w:tcW w:w="5118" w:type="dxa"/>
            <w:tcBorders>
              <w:top w:val="single" w:sz="18" w:space="0" w:color="auto"/>
              <w:left w:val="single" w:sz="18" w:space="0" w:color="auto"/>
              <w:bottom w:val="single" w:sz="18" w:space="0" w:color="auto"/>
              <w:right w:val="single" w:sz="18" w:space="0" w:color="auto"/>
            </w:tcBorders>
          </w:tcPr>
          <w:p w14:paraId="391E93B1" w14:textId="77777777" w:rsidR="007968EC" w:rsidRPr="005F10B9" w:rsidRDefault="007968EC" w:rsidP="007968EC">
            <w:pPr>
              <w:autoSpaceDE w:val="0"/>
              <w:autoSpaceDN w:val="0"/>
              <w:adjustRightInd w:val="0"/>
              <w:jc w:val="both"/>
              <w:rPr>
                <w:rFonts w:ascii="Arial Narrow" w:hAnsi="Arial Narrow" w:cs="Arial"/>
                <w:color w:val="000000"/>
              </w:rPr>
            </w:pPr>
            <w:r w:rsidRPr="005F10B9">
              <w:rPr>
                <w:rFonts w:ascii="Arial Narrow" w:hAnsi="Arial Narrow" w:cs="Arial"/>
                <w:color w:val="000000"/>
              </w:rPr>
              <w:t xml:space="preserve">Se refiere a la Fecha más lejana en el que se admite realizar el pago de un flujo adicional de la Operación novada. </w:t>
            </w:r>
          </w:p>
          <w:p w14:paraId="6514B023" w14:textId="77777777" w:rsidR="007968EC" w:rsidRPr="005F10B9" w:rsidRDefault="007968EC" w:rsidP="007968EC">
            <w:pPr>
              <w:jc w:val="both"/>
              <w:rPr>
                <w:rFonts w:ascii="Arial Narrow" w:hAnsi="Arial Narrow" w:cs="Arial"/>
                <w:color w:val="000000"/>
              </w:rPr>
            </w:pPr>
            <w:r w:rsidRPr="005F10B9">
              <w:rPr>
                <w:rFonts w:ascii="Arial Narrow" w:hAnsi="Arial Narrow" w:cs="Arial"/>
                <w:color w:val="000000"/>
              </w:rPr>
              <w:t>La Cámara acepta Operaciones con Pagos Adicionales ya causados, no haciéndose cargo de las liquidaciones de Pagos Adicionales que coincidan con la Fecha de Registro.</w:t>
            </w:r>
          </w:p>
        </w:tc>
      </w:tr>
      <w:tr w:rsidR="007968EC" w:rsidRPr="005F10B9" w14:paraId="660818CE" w14:textId="77777777" w:rsidTr="007968EC">
        <w:trPr>
          <w:gridBefore w:val="1"/>
          <w:wBefore w:w="23" w:type="dxa"/>
          <w:trHeight w:val="439"/>
        </w:trPr>
        <w:tc>
          <w:tcPr>
            <w:tcW w:w="446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13957FB5" w14:textId="77777777" w:rsidR="007968EC" w:rsidRPr="005F10B9" w:rsidRDefault="007968EC" w:rsidP="007968EC">
            <w:pPr>
              <w:rPr>
                <w:rFonts w:ascii="Arial Narrow" w:hAnsi="Arial Narrow"/>
                <w:b/>
                <w:bCs/>
              </w:rPr>
            </w:pPr>
            <w:r w:rsidRPr="005F10B9">
              <w:rPr>
                <w:rFonts w:ascii="Arial Narrow" w:hAnsi="Arial Narrow"/>
                <w:b/>
                <w:bCs/>
              </w:rPr>
              <w:t xml:space="preserve">Divisa o Moneda del Pago Adicional / </w:t>
            </w:r>
            <w:proofErr w:type="spellStart"/>
            <w:r w:rsidRPr="005F10B9">
              <w:rPr>
                <w:rFonts w:ascii="Arial Narrow" w:hAnsi="Arial Narrow"/>
                <w:b/>
                <w:bCs/>
              </w:rPr>
              <w:t>Additional</w:t>
            </w:r>
            <w:proofErr w:type="spellEnd"/>
            <w:r w:rsidRPr="005F10B9">
              <w:rPr>
                <w:rFonts w:ascii="Arial Narrow" w:hAnsi="Arial Narrow"/>
                <w:b/>
                <w:bCs/>
              </w:rPr>
              <w:t xml:space="preserve"> </w:t>
            </w:r>
            <w:proofErr w:type="spellStart"/>
            <w:r w:rsidRPr="005F10B9">
              <w:rPr>
                <w:rFonts w:ascii="Arial Narrow" w:hAnsi="Arial Narrow"/>
                <w:b/>
                <w:bCs/>
              </w:rPr>
              <w:t>Payment</w:t>
            </w:r>
            <w:proofErr w:type="spellEnd"/>
            <w:r w:rsidRPr="005F10B9">
              <w:rPr>
                <w:rFonts w:ascii="Arial Narrow" w:hAnsi="Arial Narrow"/>
                <w:b/>
                <w:bCs/>
              </w:rPr>
              <w:t xml:space="preserve"> Currency </w:t>
            </w:r>
          </w:p>
        </w:tc>
        <w:tc>
          <w:tcPr>
            <w:tcW w:w="5118" w:type="dxa"/>
            <w:tcBorders>
              <w:top w:val="single" w:sz="18" w:space="0" w:color="auto"/>
              <w:left w:val="single" w:sz="18" w:space="0" w:color="auto"/>
              <w:bottom w:val="single" w:sz="18" w:space="0" w:color="auto"/>
              <w:right w:val="single" w:sz="18" w:space="0" w:color="auto"/>
            </w:tcBorders>
          </w:tcPr>
          <w:p w14:paraId="6951110D" w14:textId="77777777" w:rsidR="007968EC" w:rsidRPr="005F10B9" w:rsidRDefault="007968EC" w:rsidP="007968EC">
            <w:pPr>
              <w:jc w:val="both"/>
              <w:rPr>
                <w:rFonts w:ascii="Arial Narrow" w:hAnsi="Arial Narrow" w:cs="Arial"/>
                <w:color w:val="000000"/>
              </w:rPr>
            </w:pPr>
            <w:r w:rsidRPr="005F10B9">
              <w:rPr>
                <w:rFonts w:ascii="Arial Narrow" w:hAnsi="Arial Narrow" w:cs="Arial"/>
                <w:color w:val="000000"/>
              </w:rPr>
              <w:t xml:space="preserve">Se refiere a la Divisa o Moneda en la que se admite realizar el pago de un flujo adicional de la Operación registrada. </w:t>
            </w:r>
          </w:p>
        </w:tc>
      </w:tr>
      <w:tr w:rsidR="007968EC" w:rsidRPr="005F10B9" w14:paraId="604C3FF7" w14:textId="77777777" w:rsidTr="007968EC">
        <w:trPr>
          <w:gridBefore w:val="1"/>
          <w:wBefore w:w="23" w:type="dxa"/>
          <w:trHeight w:val="439"/>
        </w:trPr>
        <w:tc>
          <w:tcPr>
            <w:tcW w:w="446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5FAC850E" w14:textId="77777777" w:rsidR="007968EC" w:rsidRPr="005F10B9" w:rsidRDefault="007968EC" w:rsidP="007968EC">
            <w:pPr>
              <w:rPr>
                <w:rFonts w:ascii="Arial Narrow" w:hAnsi="Arial Narrow"/>
                <w:b/>
                <w:bCs/>
              </w:rPr>
            </w:pPr>
            <w:r w:rsidRPr="005F10B9">
              <w:rPr>
                <w:rFonts w:ascii="Arial Narrow" w:hAnsi="Arial Narrow"/>
                <w:b/>
                <w:bCs/>
              </w:rPr>
              <w:t xml:space="preserve">Número de Pagos Adicionales / </w:t>
            </w:r>
            <w:proofErr w:type="spellStart"/>
            <w:r w:rsidRPr="005F10B9">
              <w:rPr>
                <w:rFonts w:ascii="Arial Narrow" w:hAnsi="Arial Narrow"/>
                <w:b/>
                <w:bCs/>
              </w:rPr>
              <w:t>Number</w:t>
            </w:r>
            <w:proofErr w:type="spellEnd"/>
            <w:r w:rsidRPr="005F10B9">
              <w:rPr>
                <w:rFonts w:ascii="Arial Narrow" w:hAnsi="Arial Narrow"/>
                <w:b/>
                <w:bCs/>
              </w:rPr>
              <w:t xml:space="preserve"> </w:t>
            </w:r>
            <w:proofErr w:type="spellStart"/>
            <w:r w:rsidRPr="005F10B9">
              <w:rPr>
                <w:rFonts w:ascii="Arial Narrow" w:hAnsi="Arial Narrow"/>
                <w:b/>
                <w:bCs/>
              </w:rPr>
              <w:t>of</w:t>
            </w:r>
            <w:proofErr w:type="spellEnd"/>
            <w:r w:rsidRPr="005F10B9">
              <w:rPr>
                <w:rFonts w:ascii="Arial Narrow" w:hAnsi="Arial Narrow"/>
                <w:b/>
                <w:bCs/>
              </w:rPr>
              <w:t xml:space="preserve"> </w:t>
            </w:r>
            <w:proofErr w:type="spellStart"/>
            <w:r w:rsidRPr="005F10B9">
              <w:rPr>
                <w:rFonts w:ascii="Arial Narrow" w:hAnsi="Arial Narrow"/>
                <w:b/>
                <w:bCs/>
              </w:rPr>
              <w:t>Additional</w:t>
            </w:r>
            <w:proofErr w:type="spellEnd"/>
            <w:r w:rsidRPr="005F10B9">
              <w:rPr>
                <w:rFonts w:ascii="Arial Narrow" w:hAnsi="Arial Narrow"/>
                <w:b/>
                <w:bCs/>
              </w:rPr>
              <w:t xml:space="preserve"> </w:t>
            </w:r>
            <w:proofErr w:type="spellStart"/>
            <w:r w:rsidRPr="005F10B9">
              <w:rPr>
                <w:rFonts w:ascii="Arial Narrow" w:hAnsi="Arial Narrow"/>
                <w:b/>
                <w:bCs/>
              </w:rPr>
              <w:t>Payments</w:t>
            </w:r>
            <w:proofErr w:type="spellEnd"/>
            <w:r w:rsidRPr="005F10B9">
              <w:rPr>
                <w:rFonts w:ascii="Arial Narrow" w:hAnsi="Arial Narrow"/>
                <w:b/>
                <w:bCs/>
              </w:rPr>
              <w:t xml:space="preserve"> </w:t>
            </w:r>
          </w:p>
        </w:tc>
        <w:tc>
          <w:tcPr>
            <w:tcW w:w="5118" w:type="dxa"/>
            <w:tcBorders>
              <w:top w:val="single" w:sz="18" w:space="0" w:color="auto"/>
              <w:left w:val="single" w:sz="18" w:space="0" w:color="auto"/>
              <w:bottom w:val="single" w:sz="18" w:space="0" w:color="auto"/>
              <w:right w:val="single" w:sz="18" w:space="0" w:color="auto"/>
            </w:tcBorders>
          </w:tcPr>
          <w:p w14:paraId="78794B57" w14:textId="77777777" w:rsidR="007968EC" w:rsidRPr="005F10B9" w:rsidRDefault="007968EC" w:rsidP="007968EC">
            <w:pPr>
              <w:jc w:val="both"/>
              <w:rPr>
                <w:rFonts w:ascii="Arial Narrow" w:hAnsi="Arial Narrow" w:cs="Arial"/>
                <w:color w:val="000000"/>
              </w:rPr>
            </w:pPr>
            <w:r w:rsidRPr="005F10B9">
              <w:rPr>
                <w:rFonts w:ascii="Arial Narrow" w:hAnsi="Arial Narrow" w:cs="Arial"/>
                <w:color w:val="000000"/>
              </w:rPr>
              <w:t xml:space="preserve">Se refiere al Número máximo de Pagos Adicionales que se pueden realizar por Operación registrada. </w:t>
            </w:r>
          </w:p>
        </w:tc>
      </w:tr>
      <w:tr w:rsidR="007968EC" w:rsidRPr="005F10B9" w14:paraId="7042D19B" w14:textId="77777777" w:rsidTr="007968EC">
        <w:trPr>
          <w:gridBefore w:val="1"/>
          <w:wBefore w:w="23" w:type="dxa"/>
          <w:trHeight w:val="439"/>
        </w:trPr>
        <w:tc>
          <w:tcPr>
            <w:tcW w:w="446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683ECE34" w14:textId="77777777" w:rsidR="007968EC" w:rsidRPr="005F10B9" w:rsidRDefault="007968EC" w:rsidP="007968EC">
            <w:pPr>
              <w:rPr>
                <w:rFonts w:ascii="Arial Narrow" w:hAnsi="Arial Narrow"/>
                <w:b/>
                <w:bCs/>
              </w:rPr>
            </w:pPr>
            <w:r w:rsidRPr="005F10B9">
              <w:rPr>
                <w:rFonts w:ascii="Arial Narrow" w:hAnsi="Arial Narrow"/>
                <w:b/>
                <w:bCs/>
              </w:rPr>
              <w:t xml:space="preserve">Fecha de Valoración / </w:t>
            </w:r>
            <w:proofErr w:type="spellStart"/>
            <w:r w:rsidRPr="005F10B9">
              <w:rPr>
                <w:rFonts w:ascii="Arial Narrow" w:hAnsi="Arial Narrow"/>
                <w:b/>
                <w:bCs/>
              </w:rPr>
              <w:t>Valuation</w:t>
            </w:r>
            <w:proofErr w:type="spellEnd"/>
            <w:r w:rsidRPr="005F10B9">
              <w:rPr>
                <w:rFonts w:ascii="Arial Narrow" w:hAnsi="Arial Narrow"/>
                <w:b/>
                <w:bCs/>
              </w:rPr>
              <w:t xml:space="preserve"> Date </w:t>
            </w:r>
          </w:p>
        </w:tc>
        <w:tc>
          <w:tcPr>
            <w:tcW w:w="5118" w:type="dxa"/>
            <w:tcBorders>
              <w:top w:val="single" w:sz="18" w:space="0" w:color="auto"/>
              <w:left w:val="single" w:sz="18" w:space="0" w:color="auto"/>
              <w:bottom w:val="single" w:sz="18" w:space="0" w:color="auto"/>
              <w:right w:val="single" w:sz="18" w:space="0" w:color="auto"/>
            </w:tcBorders>
          </w:tcPr>
          <w:p w14:paraId="4C799B2C" w14:textId="77777777" w:rsidR="007968EC" w:rsidRPr="005F10B9" w:rsidRDefault="007968EC" w:rsidP="007968EC">
            <w:pPr>
              <w:jc w:val="both"/>
              <w:rPr>
                <w:rFonts w:ascii="Arial Narrow" w:hAnsi="Arial Narrow" w:cs="Arial"/>
                <w:color w:val="000000"/>
              </w:rPr>
            </w:pPr>
            <w:r w:rsidRPr="005F10B9">
              <w:rPr>
                <w:rFonts w:ascii="Arial Narrow" w:hAnsi="Arial Narrow" w:cs="Arial"/>
                <w:color w:val="000000"/>
              </w:rPr>
              <w:t xml:space="preserve">Fecha dónde se quiere calcular el Valor Presente Neto del flujo. </w:t>
            </w:r>
          </w:p>
        </w:tc>
      </w:tr>
      <w:tr w:rsidR="007968EC" w:rsidRPr="005F10B9" w14:paraId="3CA36133" w14:textId="77777777" w:rsidTr="007968EC">
        <w:tblPrEx>
          <w:tblBorders>
            <w:top w:val="nil"/>
            <w:left w:val="nil"/>
            <w:bottom w:val="nil"/>
            <w:right w:val="nil"/>
            <w:insideH w:val="none" w:sz="0" w:space="0" w:color="auto"/>
            <w:insideV w:val="none" w:sz="0" w:space="0" w:color="auto"/>
          </w:tblBorders>
        </w:tblPrEx>
        <w:trPr>
          <w:trHeight w:val="208"/>
        </w:trPr>
        <w:tc>
          <w:tcPr>
            <w:tcW w:w="9606" w:type="dxa"/>
            <w:gridSpan w:val="3"/>
          </w:tcPr>
          <w:p w14:paraId="4E70135B" w14:textId="77777777" w:rsidR="007968EC" w:rsidRPr="005F10B9" w:rsidRDefault="007968EC" w:rsidP="007968EC">
            <w:pPr>
              <w:autoSpaceDE w:val="0"/>
              <w:autoSpaceDN w:val="0"/>
              <w:adjustRightInd w:val="0"/>
              <w:jc w:val="both"/>
              <w:rPr>
                <w:rFonts w:ascii="Arial Narrow" w:hAnsi="Arial Narrow" w:cs="Arial"/>
                <w:color w:val="000000"/>
              </w:rPr>
            </w:pPr>
          </w:p>
        </w:tc>
      </w:tr>
    </w:tbl>
    <w:p w14:paraId="62D4C4E1" w14:textId="77777777" w:rsidR="007968EC" w:rsidRPr="005F10B9" w:rsidRDefault="007968EC" w:rsidP="007968EC">
      <w:pPr>
        <w:rPr>
          <w:rFonts w:ascii="Arial Narrow" w:eastAsia="Calibri" w:hAnsi="Arial Narrow"/>
          <w:color w:val="000000" w:themeColor="text1"/>
          <w:lang w:eastAsia="es-ES"/>
        </w:rPr>
      </w:pPr>
    </w:p>
    <w:p w14:paraId="1791E666" w14:textId="77777777" w:rsidR="007968EC" w:rsidRPr="005F10B9" w:rsidRDefault="007968EC" w:rsidP="007968EC">
      <w:pPr>
        <w:keepNext/>
        <w:tabs>
          <w:tab w:val="left" w:pos="1701"/>
        </w:tabs>
        <w:jc w:val="both"/>
        <w:outlineLvl w:val="2"/>
        <w:rPr>
          <w:rFonts w:ascii="Arial Narrow" w:hAnsi="Arial Narrow" w:cs="Arial"/>
          <w:b/>
          <w:color w:val="000000" w:themeColor="text1"/>
          <w:u w:val="single"/>
          <w:lang w:eastAsia="es-ES"/>
        </w:rPr>
      </w:pPr>
      <w:r w:rsidRPr="005F10B9">
        <w:rPr>
          <w:rFonts w:ascii="Arial Narrow" w:hAnsi="Arial Narrow" w:cs="Arial"/>
          <w:color w:val="000000" w:themeColor="text1"/>
          <w:u w:val="single"/>
          <w:lang w:eastAsia="es-ES"/>
        </w:rPr>
        <w:t xml:space="preserve">2. Términos Específicos </w:t>
      </w:r>
    </w:p>
    <w:p w14:paraId="534097CB" w14:textId="77777777" w:rsidR="007968EC" w:rsidRPr="005F10B9" w:rsidRDefault="007968EC" w:rsidP="007968EC">
      <w:pPr>
        <w:rPr>
          <w:rFonts w:ascii="Arial Narrow" w:eastAsia="Calibri" w:hAnsi="Arial Narrow"/>
          <w:color w:val="000000" w:themeColor="text1"/>
          <w:lang w:eastAsia="es-ES"/>
        </w:rPr>
      </w:pPr>
    </w:p>
    <w:p w14:paraId="700C1E2F" w14:textId="77777777" w:rsidR="007968EC" w:rsidRPr="005F10B9" w:rsidRDefault="007968EC" w:rsidP="007968EC">
      <w:pPr>
        <w:rPr>
          <w:rFonts w:ascii="Arial Narrow" w:eastAsia="Calibri" w:hAnsi="Arial Narrow"/>
          <w:color w:val="000000" w:themeColor="text1"/>
          <w:u w:val="single"/>
          <w:lang w:eastAsia="es-ES"/>
        </w:rPr>
      </w:pPr>
      <w:r w:rsidRPr="005F10B9">
        <w:rPr>
          <w:rFonts w:ascii="Arial Narrow" w:eastAsia="Calibri" w:hAnsi="Arial Narrow"/>
          <w:color w:val="000000" w:themeColor="text1"/>
          <w:u w:val="single"/>
          <w:lang w:eastAsia="es-ES"/>
        </w:rPr>
        <w:t>Rama Variable</w:t>
      </w:r>
    </w:p>
    <w:p w14:paraId="1BEEF04E" w14:textId="77777777" w:rsidR="007968EC" w:rsidRPr="005F10B9" w:rsidRDefault="007968EC" w:rsidP="007968EC">
      <w:pPr>
        <w:rPr>
          <w:rFonts w:ascii="Arial Narrow" w:eastAsia="Calibri" w:hAnsi="Arial Narrow"/>
          <w:color w:val="000000" w:themeColor="text1"/>
          <w:u w:val="single"/>
          <w:lang w:eastAsia="es-ES"/>
        </w:rPr>
      </w:pPr>
    </w:p>
    <w:tbl>
      <w:tblPr>
        <w:tblW w:w="9583"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23"/>
        <w:gridCol w:w="4740"/>
        <w:gridCol w:w="4820"/>
      </w:tblGrid>
      <w:tr w:rsidR="007968EC" w:rsidRPr="005F10B9" w14:paraId="71892B21" w14:textId="77777777" w:rsidTr="007968EC">
        <w:trPr>
          <w:gridBefore w:val="1"/>
          <w:wBefore w:w="23" w:type="dxa"/>
          <w:trHeight w:val="209"/>
        </w:trPr>
        <w:tc>
          <w:tcPr>
            <w:tcW w:w="4740" w:type="dxa"/>
            <w:shd w:val="clear" w:color="auto" w:fill="BFBFBF" w:themeFill="background1" w:themeFillShade="BF"/>
            <w:vAlign w:val="center"/>
          </w:tcPr>
          <w:p w14:paraId="3885A44C" w14:textId="77777777" w:rsidR="007968EC" w:rsidRPr="005F10B9" w:rsidRDefault="007968EC" w:rsidP="007968EC">
            <w:pPr>
              <w:rPr>
                <w:rFonts w:ascii="Arial Narrow" w:hAnsi="Arial Narrow"/>
                <w:b/>
                <w:bCs/>
              </w:rPr>
            </w:pPr>
            <w:r w:rsidRPr="005F10B9">
              <w:rPr>
                <w:rFonts w:ascii="Arial Narrow" w:hAnsi="Arial Narrow"/>
                <w:b/>
                <w:bCs/>
              </w:rPr>
              <w:t xml:space="preserve">Pagador de Tasa Variable / </w:t>
            </w:r>
            <w:proofErr w:type="spellStart"/>
            <w:r w:rsidRPr="005F10B9">
              <w:rPr>
                <w:rFonts w:ascii="Arial Narrow" w:hAnsi="Arial Narrow"/>
                <w:b/>
                <w:bCs/>
              </w:rPr>
              <w:t>Floating</w:t>
            </w:r>
            <w:proofErr w:type="spellEnd"/>
            <w:r w:rsidRPr="005F10B9">
              <w:rPr>
                <w:rFonts w:ascii="Arial Narrow" w:hAnsi="Arial Narrow"/>
                <w:b/>
                <w:bCs/>
              </w:rPr>
              <w:t xml:space="preserve"> Rate </w:t>
            </w:r>
            <w:proofErr w:type="spellStart"/>
            <w:r w:rsidRPr="005F10B9">
              <w:rPr>
                <w:rFonts w:ascii="Arial Narrow" w:hAnsi="Arial Narrow"/>
                <w:b/>
                <w:bCs/>
              </w:rPr>
              <w:t>Payer</w:t>
            </w:r>
            <w:proofErr w:type="spellEnd"/>
            <w:r w:rsidRPr="005F10B9">
              <w:rPr>
                <w:rFonts w:ascii="Arial Narrow" w:hAnsi="Arial Narrow"/>
                <w:b/>
                <w:bCs/>
              </w:rPr>
              <w:t xml:space="preserve"> o </w:t>
            </w:r>
            <w:proofErr w:type="spellStart"/>
            <w:r w:rsidRPr="005F10B9">
              <w:rPr>
                <w:rFonts w:ascii="Arial Narrow" w:hAnsi="Arial Narrow"/>
                <w:b/>
                <w:bCs/>
              </w:rPr>
              <w:t>Floating</w:t>
            </w:r>
            <w:proofErr w:type="spellEnd"/>
            <w:r w:rsidRPr="005F10B9">
              <w:rPr>
                <w:rFonts w:ascii="Arial Narrow" w:hAnsi="Arial Narrow"/>
                <w:b/>
                <w:bCs/>
              </w:rPr>
              <w:t xml:space="preserve"> </w:t>
            </w:r>
            <w:proofErr w:type="spellStart"/>
            <w:r w:rsidRPr="005F10B9">
              <w:rPr>
                <w:rFonts w:ascii="Arial Narrow" w:hAnsi="Arial Narrow"/>
                <w:b/>
                <w:bCs/>
              </w:rPr>
              <w:t>Amount</w:t>
            </w:r>
            <w:proofErr w:type="spellEnd"/>
            <w:r w:rsidRPr="005F10B9">
              <w:rPr>
                <w:rFonts w:ascii="Arial Narrow" w:hAnsi="Arial Narrow"/>
                <w:b/>
                <w:bCs/>
              </w:rPr>
              <w:t xml:space="preserve"> </w:t>
            </w:r>
            <w:proofErr w:type="spellStart"/>
            <w:r w:rsidRPr="005F10B9">
              <w:rPr>
                <w:rFonts w:ascii="Arial Narrow" w:hAnsi="Arial Narrow"/>
                <w:b/>
                <w:bCs/>
              </w:rPr>
              <w:t>Payer</w:t>
            </w:r>
            <w:proofErr w:type="spellEnd"/>
            <w:r w:rsidRPr="005F10B9">
              <w:rPr>
                <w:rFonts w:ascii="Arial Narrow" w:hAnsi="Arial Narrow"/>
                <w:b/>
                <w:bCs/>
              </w:rPr>
              <w:t xml:space="preserve"> </w:t>
            </w:r>
          </w:p>
        </w:tc>
        <w:tc>
          <w:tcPr>
            <w:tcW w:w="4820" w:type="dxa"/>
          </w:tcPr>
          <w:p w14:paraId="79FCC7C8" w14:textId="77777777" w:rsidR="007968EC" w:rsidRPr="005F10B9" w:rsidRDefault="007968EC" w:rsidP="007968EC">
            <w:pPr>
              <w:jc w:val="both"/>
              <w:rPr>
                <w:rFonts w:ascii="Arial Narrow" w:hAnsi="Arial Narrow"/>
              </w:rPr>
            </w:pPr>
            <w:r w:rsidRPr="005F10B9">
              <w:rPr>
                <w:rFonts w:ascii="Arial Narrow" w:hAnsi="Arial Narrow"/>
              </w:rPr>
              <w:t xml:space="preserve">Es la contraparte obligada a realizar pagos, con una frecuencia acordada durante la vigencia de una Operación, sobre cantidades calculadas con base en un Índice Variable con uno o más pagos de un importe Variable. </w:t>
            </w:r>
          </w:p>
        </w:tc>
      </w:tr>
      <w:tr w:rsidR="007968EC" w:rsidRPr="005F10B9" w14:paraId="371D55BF" w14:textId="77777777" w:rsidTr="007968EC">
        <w:trPr>
          <w:gridBefore w:val="1"/>
          <w:wBefore w:w="23" w:type="dxa"/>
          <w:trHeight w:val="208"/>
        </w:trPr>
        <w:tc>
          <w:tcPr>
            <w:tcW w:w="4740" w:type="dxa"/>
            <w:shd w:val="clear" w:color="auto" w:fill="BFBFBF" w:themeFill="background1" w:themeFillShade="BF"/>
            <w:vAlign w:val="center"/>
          </w:tcPr>
          <w:p w14:paraId="36488B59" w14:textId="77777777" w:rsidR="007968EC" w:rsidRPr="005F10B9" w:rsidRDefault="007968EC" w:rsidP="007968EC">
            <w:pPr>
              <w:rPr>
                <w:rFonts w:ascii="Arial Narrow" w:hAnsi="Arial Narrow"/>
                <w:b/>
                <w:bCs/>
                <w:lang w:val="en-US"/>
              </w:rPr>
            </w:pPr>
            <w:proofErr w:type="spellStart"/>
            <w:r w:rsidRPr="005F10B9">
              <w:rPr>
                <w:rFonts w:ascii="Arial Narrow" w:hAnsi="Arial Narrow"/>
                <w:b/>
                <w:bCs/>
                <w:lang w:val="en-US"/>
              </w:rPr>
              <w:t>Índice</w:t>
            </w:r>
            <w:proofErr w:type="spellEnd"/>
            <w:r w:rsidRPr="005F10B9">
              <w:rPr>
                <w:rFonts w:ascii="Arial Narrow" w:hAnsi="Arial Narrow"/>
                <w:b/>
                <w:bCs/>
                <w:lang w:val="en-US"/>
              </w:rPr>
              <w:t xml:space="preserve"> Variable / Denomination / Index Rate </w:t>
            </w:r>
          </w:p>
        </w:tc>
        <w:tc>
          <w:tcPr>
            <w:tcW w:w="4820" w:type="dxa"/>
          </w:tcPr>
          <w:p w14:paraId="1816A0A3" w14:textId="77777777" w:rsidR="007968EC" w:rsidRPr="005F10B9" w:rsidRDefault="007968EC" w:rsidP="007968EC">
            <w:pPr>
              <w:jc w:val="both"/>
              <w:rPr>
                <w:rFonts w:ascii="Arial Narrow" w:hAnsi="Arial Narrow"/>
              </w:rPr>
            </w:pPr>
            <w:r w:rsidRPr="005F10B9">
              <w:rPr>
                <w:rFonts w:ascii="Arial Narrow" w:hAnsi="Arial Narrow"/>
              </w:rPr>
              <w:t xml:space="preserve">Define el Índice de la Tasa de interés variable que se utiliza para fijar los pagos periódicos de la Rama Variable. </w:t>
            </w:r>
          </w:p>
        </w:tc>
      </w:tr>
      <w:tr w:rsidR="007968EC" w:rsidRPr="005F10B9" w14:paraId="00F0D030" w14:textId="77777777" w:rsidTr="007968EC">
        <w:trPr>
          <w:gridBefore w:val="1"/>
          <w:wBefore w:w="23" w:type="dxa"/>
          <w:trHeight w:val="668"/>
        </w:trPr>
        <w:tc>
          <w:tcPr>
            <w:tcW w:w="4740" w:type="dxa"/>
            <w:shd w:val="clear" w:color="auto" w:fill="BFBFBF" w:themeFill="background1" w:themeFillShade="BF"/>
            <w:vAlign w:val="center"/>
          </w:tcPr>
          <w:p w14:paraId="7B6F53A1" w14:textId="77777777" w:rsidR="007968EC" w:rsidRPr="005F10B9" w:rsidRDefault="007968EC" w:rsidP="007968EC">
            <w:pPr>
              <w:rPr>
                <w:rFonts w:ascii="Arial Narrow" w:hAnsi="Arial Narrow"/>
                <w:b/>
                <w:bCs/>
              </w:rPr>
            </w:pPr>
            <w:r w:rsidRPr="005F10B9">
              <w:rPr>
                <w:rFonts w:ascii="Arial Narrow" w:hAnsi="Arial Narrow"/>
                <w:b/>
                <w:bCs/>
              </w:rPr>
              <w:t xml:space="preserve">Fecha de Fijación de la Tasa Variable / </w:t>
            </w:r>
            <w:proofErr w:type="spellStart"/>
            <w:r w:rsidRPr="005F10B9">
              <w:rPr>
                <w:rFonts w:ascii="Arial Narrow" w:hAnsi="Arial Narrow"/>
                <w:b/>
                <w:bCs/>
              </w:rPr>
              <w:t>Reset</w:t>
            </w:r>
            <w:proofErr w:type="spellEnd"/>
            <w:r w:rsidRPr="005F10B9">
              <w:rPr>
                <w:rFonts w:ascii="Arial Narrow" w:hAnsi="Arial Narrow"/>
                <w:b/>
                <w:bCs/>
              </w:rPr>
              <w:t xml:space="preserve"> Date </w:t>
            </w:r>
          </w:p>
        </w:tc>
        <w:tc>
          <w:tcPr>
            <w:tcW w:w="4820" w:type="dxa"/>
          </w:tcPr>
          <w:p w14:paraId="78E8401F" w14:textId="77777777" w:rsidR="007968EC" w:rsidRPr="005F10B9" w:rsidRDefault="007968EC" w:rsidP="007968EC">
            <w:pPr>
              <w:jc w:val="both"/>
              <w:rPr>
                <w:rFonts w:ascii="Arial Narrow" w:hAnsi="Arial Narrow"/>
              </w:rPr>
            </w:pPr>
            <w:r w:rsidRPr="005F10B9">
              <w:rPr>
                <w:rFonts w:ascii="Arial Narrow" w:hAnsi="Arial Narrow"/>
              </w:rPr>
              <w:t>Define la Fecha en la que se hace efectiva la aplicación de una nueva Tasa de interés variable</w:t>
            </w:r>
            <w:r>
              <w:rPr>
                <w:rFonts w:ascii="Arial Narrow" w:hAnsi="Arial Narrow"/>
              </w:rPr>
              <w:t xml:space="preserve"> o TRM</w:t>
            </w:r>
            <w:r w:rsidRPr="005F10B9">
              <w:rPr>
                <w:rFonts w:ascii="Arial Narrow" w:hAnsi="Arial Narrow"/>
              </w:rPr>
              <w:t xml:space="preserve">. </w:t>
            </w:r>
          </w:p>
        </w:tc>
      </w:tr>
      <w:tr w:rsidR="007968EC" w:rsidRPr="005F10B9" w14:paraId="08D92ABC" w14:textId="77777777" w:rsidTr="007968EC">
        <w:trPr>
          <w:gridBefore w:val="1"/>
          <w:wBefore w:w="23" w:type="dxa"/>
          <w:trHeight w:val="399"/>
        </w:trPr>
        <w:tc>
          <w:tcPr>
            <w:tcW w:w="4740" w:type="dxa"/>
            <w:shd w:val="clear" w:color="auto" w:fill="BFBFBF" w:themeFill="background1" w:themeFillShade="BF"/>
            <w:vAlign w:val="center"/>
          </w:tcPr>
          <w:p w14:paraId="316F7CB5" w14:textId="77777777" w:rsidR="007968EC" w:rsidRPr="005F10B9" w:rsidRDefault="007968EC" w:rsidP="007968EC">
            <w:pPr>
              <w:rPr>
                <w:rFonts w:ascii="Arial Narrow" w:hAnsi="Arial Narrow"/>
                <w:b/>
                <w:bCs/>
              </w:rPr>
            </w:pPr>
            <w:r w:rsidRPr="005F10B9">
              <w:rPr>
                <w:rFonts w:ascii="Arial Narrow" w:hAnsi="Arial Narrow"/>
                <w:b/>
                <w:bCs/>
              </w:rPr>
              <w:t xml:space="preserve">Fijación / Fixing </w:t>
            </w:r>
          </w:p>
        </w:tc>
        <w:tc>
          <w:tcPr>
            <w:tcW w:w="4820" w:type="dxa"/>
          </w:tcPr>
          <w:p w14:paraId="1D0FF93C" w14:textId="77777777" w:rsidR="007968EC" w:rsidRPr="005F10B9" w:rsidRDefault="007968EC" w:rsidP="007968EC">
            <w:pPr>
              <w:jc w:val="both"/>
              <w:rPr>
                <w:rFonts w:ascii="Arial Narrow" w:hAnsi="Arial Narrow"/>
              </w:rPr>
            </w:pPr>
            <w:r w:rsidRPr="005F10B9">
              <w:rPr>
                <w:rFonts w:ascii="Arial Narrow" w:hAnsi="Arial Narrow"/>
              </w:rPr>
              <w:t xml:space="preserve">Valor de la tasa o Índice de Referencia Variable. </w:t>
            </w:r>
          </w:p>
        </w:tc>
      </w:tr>
      <w:tr w:rsidR="007968EC" w:rsidRPr="005F10B9" w14:paraId="00404F09" w14:textId="77777777" w:rsidTr="007968EC">
        <w:trPr>
          <w:gridBefore w:val="1"/>
          <w:wBefore w:w="23" w:type="dxa"/>
          <w:trHeight w:val="439"/>
        </w:trPr>
        <w:tc>
          <w:tcPr>
            <w:tcW w:w="4740" w:type="dxa"/>
            <w:shd w:val="clear" w:color="auto" w:fill="BFBFBF" w:themeFill="background1" w:themeFillShade="BF"/>
            <w:vAlign w:val="center"/>
          </w:tcPr>
          <w:p w14:paraId="0E492569" w14:textId="77777777" w:rsidR="007968EC" w:rsidRPr="005F10B9" w:rsidRDefault="007968EC" w:rsidP="007968EC">
            <w:pPr>
              <w:rPr>
                <w:rFonts w:ascii="Arial Narrow" w:hAnsi="Arial Narrow"/>
                <w:b/>
                <w:bCs/>
              </w:rPr>
            </w:pPr>
            <w:r w:rsidRPr="005F10B9">
              <w:rPr>
                <w:rFonts w:ascii="Arial Narrow" w:hAnsi="Arial Narrow"/>
                <w:b/>
                <w:bCs/>
              </w:rPr>
              <w:t xml:space="preserve">Fijación al Final / Fixing in </w:t>
            </w:r>
            <w:proofErr w:type="spellStart"/>
            <w:r w:rsidRPr="005F10B9">
              <w:rPr>
                <w:rFonts w:ascii="Arial Narrow" w:hAnsi="Arial Narrow"/>
                <w:b/>
                <w:bCs/>
              </w:rPr>
              <w:t>Arrears</w:t>
            </w:r>
            <w:proofErr w:type="spellEnd"/>
            <w:r w:rsidRPr="005F10B9">
              <w:rPr>
                <w:rFonts w:ascii="Arial Narrow" w:hAnsi="Arial Narrow"/>
                <w:b/>
                <w:bCs/>
              </w:rPr>
              <w:t xml:space="preserve"> </w:t>
            </w:r>
          </w:p>
        </w:tc>
        <w:tc>
          <w:tcPr>
            <w:tcW w:w="4820" w:type="dxa"/>
          </w:tcPr>
          <w:p w14:paraId="272CE455" w14:textId="77777777" w:rsidR="007968EC" w:rsidRPr="005F10B9" w:rsidRDefault="007968EC" w:rsidP="007968EC">
            <w:pPr>
              <w:autoSpaceDE w:val="0"/>
              <w:autoSpaceDN w:val="0"/>
              <w:adjustRightInd w:val="0"/>
              <w:jc w:val="both"/>
              <w:rPr>
                <w:rFonts w:ascii="Arial Narrow" w:hAnsi="Arial Narrow" w:cs="Arial"/>
                <w:color w:val="000000"/>
                <w:lang w:val="es-ES" w:eastAsia="es-ES"/>
              </w:rPr>
            </w:pPr>
            <w:r w:rsidRPr="005F10B9">
              <w:rPr>
                <w:rFonts w:ascii="Arial Narrow" w:hAnsi="Arial Narrow" w:cs="Arial"/>
                <w:color w:val="000000"/>
                <w:lang w:val="es-ES" w:eastAsia="es-ES"/>
              </w:rPr>
              <w:t xml:space="preserve">La fijación del índice variable para los </w:t>
            </w:r>
            <w:r>
              <w:rPr>
                <w:rFonts w:ascii="Arial Narrow" w:hAnsi="Arial Narrow" w:cs="Arial"/>
                <w:color w:val="000000"/>
                <w:lang w:val="es-ES" w:eastAsia="es-ES"/>
              </w:rPr>
              <w:t xml:space="preserve">OIS </w:t>
            </w:r>
            <w:r w:rsidRPr="005F10B9">
              <w:rPr>
                <w:rFonts w:ascii="Arial Narrow" w:hAnsi="Arial Narrow" w:cs="Arial"/>
                <w:color w:val="000000"/>
                <w:lang w:val="es-ES" w:eastAsia="es-ES"/>
              </w:rPr>
              <w:t xml:space="preserve">se realiza al final del periodo de cálculo. </w:t>
            </w:r>
          </w:p>
        </w:tc>
      </w:tr>
      <w:tr w:rsidR="007968EC" w:rsidRPr="005F10B9" w14:paraId="2680857B" w14:textId="77777777" w:rsidTr="007968EC">
        <w:trPr>
          <w:gridBefore w:val="1"/>
          <w:wBefore w:w="23" w:type="dxa"/>
          <w:trHeight w:val="439"/>
        </w:trPr>
        <w:tc>
          <w:tcPr>
            <w:tcW w:w="4740" w:type="dxa"/>
            <w:shd w:val="clear" w:color="auto" w:fill="BFBFBF" w:themeFill="background1" w:themeFillShade="BF"/>
            <w:vAlign w:val="center"/>
          </w:tcPr>
          <w:p w14:paraId="3E24C64D" w14:textId="77777777" w:rsidR="007968EC" w:rsidRPr="005F10B9" w:rsidRDefault="007968EC" w:rsidP="007968EC">
            <w:pPr>
              <w:rPr>
                <w:rFonts w:ascii="Arial Narrow" w:hAnsi="Arial Narrow"/>
                <w:b/>
                <w:bCs/>
              </w:rPr>
            </w:pPr>
            <w:r w:rsidRPr="005F10B9">
              <w:rPr>
                <w:rFonts w:ascii="Arial Narrow" w:hAnsi="Arial Narrow"/>
                <w:b/>
                <w:bCs/>
              </w:rPr>
              <w:t xml:space="preserve">Importe a Tasa de Interés Variable / </w:t>
            </w:r>
            <w:proofErr w:type="spellStart"/>
            <w:r w:rsidRPr="005F10B9">
              <w:rPr>
                <w:rFonts w:ascii="Arial Narrow" w:hAnsi="Arial Narrow"/>
                <w:b/>
                <w:bCs/>
              </w:rPr>
              <w:t>Floating</w:t>
            </w:r>
            <w:proofErr w:type="spellEnd"/>
            <w:r w:rsidRPr="005F10B9">
              <w:rPr>
                <w:rFonts w:ascii="Arial Narrow" w:hAnsi="Arial Narrow"/>
                <w:b/>
                <w:bCs/>
              </w:rPr>
              <w:t xml:space="preserve"> </w:t>
            </w:r>
            <w:proofErr w:type="spellStart"/>
            <w:r w:rsidRPr="005F10B9">
              <w:rPr>
                <w:rFonts w:ascii="Arial Narrow" w:hAnsi="Arial Narrow"/>
                <w:b/>
                <w:bCs/>
              </w:rPr>
              <w:t>Amount</w:t>
            </w:r>
            <w:proofErr w:type="spellEnd"/>
            <w:r w:rsidRPr="005F10B9">
              <w:rPr>
                <w:rFonts w:ascii="Arial Narrow" w:hAnsi="Arial Narrow"/>
                <w:b/>
                <w:bCs/>
              </w:rPr>
              <w:t xml:space="preserve"> </w:t>
            </w:r>
          </w:p>
        </w:tc>
        <w:tc>
          <w:tcPr>
            <w:tcW w:w="4820" w:type="dxa"/>
          </w:tcPr>
          <w:p w14:paraId="23D858BF" w14:textId="77777777" w:rsidR="007968EC" w:rsidRPr="005F10B9" w:rsidRDefault="007968EC" w:rsidP="007968EC">
            <w:pPr>
              <w:autoSpaceDE w:val="0"/>
              <w:autoSpaceDN w:val="0"/>
              <w:adjustRightInd w:val="0"/>
              <w:jc w:val="both"/>
              <w:rPr>
                <w:rFonts w:ascii="Arial Narrow" w:hAnsi="Arial Narrow" w:cs="Arial"/>
                <w:color w:val="000000"/>
                <w:lang w:val="es-ES" w:eastAsia="es-ES"/>
              </w:rPr>
            </w:pPr>
            <w:r w:rsidRPr="005F10B9">
              <w:rPr>
                <w:rFonts w:ascii="Arial Narrow" w:hAnsi="Arial Narrow" w:cs="Arial"/>
                <w:color w:val="000000"/>
                <w:lang w:val="es-ES" w:eastAsia="es-ES"/>
              </w:rPr>
              <w:t xml:space="preserve">En relación a una operación y a un Pagador de Tasa Variable, es la cantidad que, sujeta a cualquier condición establecida en el momento de registro y </w:t>
            </w:r>
            <w:r w:rsidRPr="005F10B9">
              <w:rPr>
                <w:rFonts w:ascii="Arial Narrow" w:hAnsi="Arial Narrow" w:cs="Arial"/>
                <w:color w:val="000000"/>
                <w:lang w:val="es-ES" w:eastAsia="es-ES"/>
              </w:rPr>
              <w:lastRenderedPageBreak/>
              <w:t>aceptada por la Cámara, debe pagar dicha contraparte en la Fecha de Pago.</w:t>
            </w:r>
          </w:p>
          <w:p w14:paraId="3DD15C9F" w14:textId="77777777" w:rsidR="007968EC" w:rsidRPr="005F10B9" w:rsidRDefault="007968EC" w:rsidP="007968EC">
            <w:pPr>
              <w:autoSpaceDE w:val="0"/>
              <w:autoSpaceDN w:val="0"/>
              <w:adjustRightInd w:val="0"/>
              <w:jc w:val="both"/>
              <w:rPr>
                <w:rFonts w:ascii="Arial Narrow" w:hAnsi="Arial Narrow" w:cs="Arial"/>
                <w:color w:val="000000"/>
                <w:lang w:val="es-ES" w:eastAsia="es-ES"/>
              </w:rPr>
            </w:pPr>
            <w:r w:rsidRPr="005F10B9">
              <w:rPr>
                <w:rFonts w:ascii="Arial Narrow" w:hAnsi="Arial Narrow" w:cs="Arial"/>
                <w:color w:val="000000"/>
                <w:lang w:val="es-ES" w:eastAsia="es-ES"/>
              </w:rPr>
              <w:t xml:space="preserve"> </w:t>
            </w:r>
          </w:p>
          <w:p w14:paraId="23DB134F" w14:textId="77777777" w:rsidR="007968EC" w:rsidRPr="005F10B9" w:rsidRDefault="007968EC" w:rsidP="007968EC">
            <w:pPr>
              <w:autoSpaceDE w:val="0"/>
              <w:autoSpaceDN w:val="0"/>
              <w:adjustRightInd w:val="0"/>
              <w:jc w:val="both"/>
              <w:rPr>
                <w:rFonts w:ascii="Arial Narrow" w:hAnsi="Arial Narrow" w:cs="Arial"/>
                <w:color w:val="000000"/>
                <w:lang w:val="es-ES" w:eastAsia="es-ES"/>
              </w:rPr>
            </w:pPr>
            <w:r w:rsidRPr="005F10B9">
              <w:rPr>
                <w:rFonts w:ascii="Arial Narrow" w:hAnsi="Arial Narrow" w:cs="Arial"/>
                <w:color w:val="000000"/>
                <w:lang w:val="es-ES" w:eastAsia="es-ES"/>
              </w:rPr>
              <w:t xml:space="preserve">Dicha cantidad se determina con base a una Tasa Variable y se calcula con un método definido por la Cámara en el artículo 5.4.4.2. Procedimiento de Cálculo de los Cupones de la presente Circular. </w:t>
            </w:r>
          </w:p>
        </w:tc>
      </w:tr>
      <w:tr w:rsidR="007968EC" w:rsidRPr="005F10B9" w14:paraId="50FA806E" w14:textId="77777777" w:rsidTr="007968EC">
        <w:trPr>
          <w:gridBefore w:val="1"/>
          <w:wBefore w:w="23" w:type="dxa"/>
          <w:trHeight w:val="439"/>
        </w:trPr>
        <w:tc>
          <w:tcPr>
            <w:tcW w:w="4740" w:type="dxa"/>
            <w:shd w:val="clear" w:color="auto" w:fill="BFBFBF" w:themeFill="background1" w:themeFillShade="BF"/>
            <w:vAlign w:val="center"/>
          </w:tcPr>
          <w:p w14:paraId="2B8D99F9" w14:textId="77777777" w:rsidR="007968EC" w:rsidRPr="005F10B9" w:rsidRDefault="007968EC" w:rsidP="007968EC">
            <w:pPr>
              <w:rPr>
                <w:rFonts w:ascii="Arial Narrow" w:hAnsi="Arial Narrow"/>
                <w:b/>
                <w:bCs/>
              </w:rPr>
            </w:pPr>
            <w:r w:rsidRPr="005F10B9">
              <w:rPr>
                <w:rFonts w:ascii="Arial Narrow" w:hAnsi="Arial Narrow"/>
                <w:b/>
                <w:bCs/>
              </w:rPr>
              <w:lastRenderedPageBreak/>
              <w:t xml:space="preserve">Composición / </w:t>
            </w:r>
            <w:proofErr w:type="spellStart"/>
            <w:r w:rsidRPr="005F10B9">
              <w:rPr>
                <w:rFonts w:ascii="Arial Narrow" w:hAnsi="Arial Narrow"/>
                <w:b/>
                <w:bCs/>
              </w:rPr>
              <w:t>Compounding</w:t>
            </w:r>
            <w:proofErr w:type="spellEnd"/>
            <w:r w:rsidRPr="005F10B9">
              <w:rPr>
                <w:rFonts w:ascii="Arial Narrow" w:hAnsi="Arial Narrow"/>
                <w:b/>
                <w:bCs/>
              </w:rPr>
              <w:t xml:space="preserve"> </w:t>
            </w:r>
          </w:p>
        </w:tc>
        <w:tc>
          <w:tcPr>
            <w:tcW w:w="4820" w:type="dxa"/>
          </w:tcPr>
          <w:p w14:paraId="7258BA93" w14:textId="77777777" w:rsidR="007968EC" w:rsidRPr="005F10B9" w:rsidRDefault="007968EC" w:rsidP="007968EC">
            <w:pPr>
              <w:autoSpaceDE w:val="0"/>
              <w:autoSpaceDN w:val="0"/>
              <w:adjustRightInd w:val="0"/>
              <w:jc w:val="both"/>
              <w:rPr>
                <w:rFonts w:ascii="Arial Narrow" w:hAnsi="Arial Narrow" w:cs="Arial"/>
                <w:color w:val="000000"/>
                <w:lang w:val="es-ES" w:eastAsia="es-ES"/>
              </w:rPr>
            </w:pPr>
            <w:r w:rsidRPr="005F10B9">
              <w:rPr>
                <w:rFonts w:ascii="Arial Narrow" w:hAnsi="Arial Narrow" w:cs="Arial"/>
                <w:color w:val="000000"/>
                <w:lang w:val="es-ES" w:eastAsia="es-ES"/>
              </w:rPr>
              <w:t>Es la situación en la que varios periodos de cálculo de intereses se pagan en una sola Fecha periódicamente.</w:t>
            </w:r>
          </w:p>
        </w:tc>
      </w:tr>
      <w:tr w:rsidR="007968EC" w:rsidRPr="005F10B9" w14:paraId="2BF17964" w14:textId="77777777" w:rsidTr="007968EC">
        <w:trPr>
          <w:gridBefore w:val="1"/>
          <w:wBefore w:w="23" w:type="dxa"/>
          <w:trHeight w:val="439"/>
        </w:trPr>
        <w:tc>
          <w:tcPr>
            <w:tcW w:w="4740" w:type="dxa"/>
            <w:shd w:val="clear" w:color="auto" w:fill="BFBFBF" w:themeFill="background1" w:themeFillShade="BF"/>
            <w:vAlign w:val="center"/>
          </w:tcPr>
          <w:p w14:paraId="351DCC83" w14:textId="77777777" w:rsidR="007968EC" w:rsidRPr="005F10B9" w:rsidRDefault="007968EC" w:rsidP="007968EC">
            <w:pPr>
              <w:rPr>
                <w:rFonts w:ascii="Arial Narrow" w:hAnsi="Arial Narrow"/>
                <w:b/>
                <w:bCs/>
              </w:rPr>
            </w:pPr>
            <w:r w:rsidRPr="005F10B9">
              <w:rPr>
                <w:rFonts w:ascii="Arial Narrow" w:hAnsi="Arial Narrow"/>
                <w:b/>
                <w:bCs/>
              </w:rPr>
              <w:t xml:space="preserve">Plazo del Índice Variable / </w:t>
            </w:r>
            <w:proofErr w:type="spellStart"/>
            <w:r w:rsidRPr="005F10B9">
              <w:rPr>
                <w:rFonts w:ascii="Arial Narrow" w:hAnsi="Arial Narrow"/>
                <w:b/>
                <w:bCs/>
              </w:rPr>
              <w:t>Floating</w:t>
            </w:r>
            <w:proofErr w:type="spellEnd"/>
            <w:r w:rsidRPr="005F10B9">
              <w:rPr>
                <w:rFonts w:ascii="Arial Narrow" w:hAnsi="Arial Narrow"/>
                <w:b/>
                <w:bCs/>
              </w:rPr>
              <w:t xml:space="preserve"> </w:t>
            </w:r>
            <w:proofErr w:type="spellStart"/>
            <w:r w:rsidRPr="005F10B9">
              <w:rPr>
                <w:rFonts w:ascii="Arial Narrow" w:hAnsi="Arial Narrow"/>
                <w:b/>
                <w:bCs/>
              </w:rPr>
              <w:t>Leg</w:t>
            </w:r>
            <w:proofErr w:type="spellEnd"/>
            <w:r w:rsidRPr="005F10B9">
              <w:rPr>
                <w:rFonts w:ascii="Arial Narrow" w:hAnsi="Arial Narrow"/>
                <w:b/>
                <w:bCs/>
              </w:rPr>
              <w:t xml:space="preserve"> </w:t>
            </w:r>
            <w:proofErr w:type="spellStart"/>
            <w:r w:rsidRPr="005F10B9">
              <w:rPr>
                <w:rFonts w:ascii="Arial Narrow" w:hAnsi="Arial Narrow"/>
                <w:b/>
                <w:bCs/>
              </w:rPr>
              <w:t>Index</w:t>
            </w:r>
            <w:proofErr w:type="spellEnd"/>
            <w:r w:rsidRPr="005F10B9">
              <w:rPr>
                <w:rFonts w:ascii="Arial Narrow" w:hAnsi="Arial Narrow"/>
                <w:b/>
                <w:bCs/>
              </w:rPr>
              <w:t xml:space="preserve"> Tenor (Regular </w:t>
            </w:r>
            <w:proofErr w:type="spellStart"/>
            <w:r w:rsidRPr="005F10B9">
              <w:rPr>
                <w:rFonts w:ascii="Arial Narrow" w:hAnsi="Arial Narrow"/>
                <w:b/>
                <w:bCs/>
              </w:rPr>
              <w:t>Period</w:t>
            </w:r>
            <w:proofErr w:type="spellEnd"/>
            <w:r w:rsidRPr="005F10B9">
              <w:rPr>
                <w:rFonts w:ascii="Arial Narrow" w:hAnsi="Arial Narrow"/>
                <w:b/>
                <w:bCs/>
              </w:rPr>
              <w:t xml:space="preserve">) </w:t>
            </w:r>
          </w:p>
        </w:tc>
        <w:tc>
          <w:tcPr>
            <w:tcW w:w="4820" w:type="dxa"/>
          </w:tcPr>
          <w:p w14:paraId="533B7B2E" w14:textId="77777777" w:rsidR="007968EC" w:rsidRPr="005F10B9" w:rsidRDefault="007968EC" w:rsidP="007968EC">
            <w:pPr>
              <w:jc w:val="both"/>
              <w:rPr>
                <w:rFonts w:ascii="Arial Narrow" w:hAnsi="Arial Narrow"/>
              </w:rPr>
            </w:pPr>
            <w:r w:rsidRPr="005F10B9">
              <w:rPr>
                <w:rFonts w:ascii="Arial Narrow" w:hAnsi="Arial Narrow"/>
              </w:rPr>
              <w:t xml:space="preserve">Es el plazo del Índice Variable específico que se utiliza para fijar los pagos periódicos de la Rama Variable. </w:t>
            </w:r>
          </w:p>
        </w:tc>
      </w:tr>
      <w:tr w:rsidR="007968EC" w:rsidRPr="005F10B9" w14:paraId="24B966D3" w14:textId="77777777" w:rsidTr="007968EC">
        <w:trPr>
          <w:gridBefore w:val="1"/>
          <w:wBefore w:w="23" w:type="dxa"/>
          <w:trHeight w:val="439"/>
        </w:trPr>
        <w:tc>
          <w:tcPr>
            <w:tcW w:w="4740" w:type="dxa"/>
            <w:shd w:val="clear" w:color="auto" w:fill="BFBFBF" w:themeFill="background1" w:themeFillShade="BF"/>
            <w:vAlign w:val="center"/>
          </w:tcPr>
          <w:p w14:paraId="69CAB775" w14:textId="77777777" w:rsidR="007968EC" w:rsidRPr="005F10B9" w:rsidRDefault="007968EC" w:rsidP="007968EC">
            <w:pPr>
              <w:rPr>
                <w:rFonts w:ascii="Arial Narrow" w:hAnsi="Arial Narrow"/>
                <w:b/>
                <w:bCs/>
              </w:rPr>
            </w:pPr>
            <w:r w:rsidRPr="005F10B9">
              <w:rPr>
                <w:rFonts w:ascii="Arial Narrow" w:hAnsi="Arial Narrow"/>
                <w:b/>
                <w:bCs/>
              </w:rPr>
              <w:t xml:space="preserve">Diferencial de la Rama Variable / </w:t>
            </w:r>
            <w:proofErr w:type="spellStart"/>
            <w:r w:rsidRPr="005F10B9">
              <w:rPr>
                <w:rFonts w:ascii="Arial Narrow" w:hAnsi="Arial Narrow"/>
                <w:b/>
                <w:bCs/>
              </w:rPr>
              <w:t>Floating</w:t>
            </w:r>
            <w:proofErr w:type="spellEnd"/>
            <w:r w:rsidRPr="005F10B9">
              <w:rPr>
                <w:rFonts w:ascii="Arial Narrow" w:hAnsi="Arial Narrow"/>
                <w:b/>
                <w:bCs/>
              </w:rPr>
              <w:t xml:space="preserve"> </w:t>
            </w:r>
            <w:proofErr w:type="spellStart"/>
            <w:r w:rsidRPr="005F10B9">
              <w:rPr>
                <w:rFonts w:ascii="Arial Narrow" w:hAnsi="Arial Narrow"/>
                <w:b/>
                <w:bCs/>
              </w:rPr>
              <w:t>Leg</w:t>
            </w:r>
            <w:proofErr w:type="spellEnd"/>
            <w:r w:rsidRPr="005F10B9">
              <w:rPr>
                <w:rFonts w:ascii="Arial Narrow" w:hAnsi="Arial Narrow"/>
                <w:b/>
                <w:bCs/>
              </w:rPr>
              <w:t xml:space="preserve"> Spread </w:t>
            </w:r>
          </w:p>
        </w:tc>
        <w:tc>
          <w:tcPr>
            <w:tcW w:w="4820" w:type="dxa"/>
          </w:tcPr>
          <w:p w14:paraId="20ED044F" w14:textId="77777777" w:rsidR="007968EC" w:rsidRPr="005F10B9" w:rsidRDefault="007968EC" w:rsidP="00DA7472">
            <w:pPr>
              <w:numPr>
                <w:ilvl w:val="0"/>
                <w:numId w:val="317"/>
              </w:numPr>
              <w:autoSpaceDE w:val="0"/>
              <w:autoSpaceDN w:val="0"/>
              <w:adjustRightInd w:val="0"/>
              <w:ind w:left="336"/>
              <w:jc w:val="both"/>
              <w:rPr>
                <w:rFonts w:ascii="Arial Narrow" w:hAnsi="Arial Narrow" w:cs="Arial"/>
                <w:color w:val="000000"/>
                <w:lang w:val="es-ES" w:eastAsia="es-ES"/>
              </w:rPr>
            </w:pPr>
            <w:r w:rsidRPr="005F10B9">
              <w:rPr>
                <w:rFonts w:ascii="Arial Narrow" w:hAnsi="Arial Narrow" w:cs="Arial"/>
                <w:color w:val="000000"/>
                <w:lang w:val="es-ES" w:eastAsia="es-ES"/>
              </w:rPr>
              <w:t xml:space="preserve">Es el diferencial sobre el Índice Variable (Período Regular). </w:t>
            </w:r>
          </w:p>
          <w:p w14:paraId="3FCB0764" w14:textId="77777777" w:rsidR="007968EC" w:rsidRPr="005F10B9" w:rsidRDefault="007968EC" w:rsidP="00DA7472">
            <w:pPr>
              <w:numPr>
                <w:ilvl w:val="0"/>
                <w:numId w:val="318"/>
              </w:numPr>
              <w:autoSpaceDE w:val="0"/>
              <w:autoSpaceDN w:val="0"/>
              <w:adjustRightInd w:val="0"/>
              <w:ind w:left="336"/>
              <w:jc w:val="both"/>
              <w:rPr>
                <w:rFonts w:ascii="Arial Narrow" w:hAnsi="Arial Narrow" w:cs="Arial"/>
                <w:color w:val="000000"/>
                <w:lang w:val="es-ES" w:eastAsia="es-ES"/>
              </w:rPr>
            </w:pPr>
            <w:r w:rsidRPr="005F10B9">
              <w:rPr>
                <w:rFonts w:ascii="Arial Narrow" w:hAnsi="Arial Narrow" w:cs="Arial"/>
                <w:color w:val="000000"/>
                <w:lang w:val="es-ES" w:eastAsia="es-ES"/>
              </w:rPr>
              <w:t xml:space="preserve">La Cámara acepta Operaciones con un diferencial que puede ser positivo, cero o negativo. </w:t>
            </w:r>
          </w:p>
          <w:p w14:paraId="6AE7661C" w14:textId="77777777" w:rsidR="007968EC" w:rsidRPr="005F10B9" w:rsidRDefault="007968EC" w:rsidP="00DA7472">
            <w:pPr>
              <w:numPr>
                <w:ilvl w:val="0"/>
                <w:numId w:val="319"/>
              </w:numPr>
              <w:autoSpaceDE w:val="0"/>
              <w:autoSpaceDN w:val="0"/>
              <w:adjustRightInd w:val="0"/>
              <w:ind w:left="336"/>
              <w:jc w:val="both"/>
              <w:rPr>
                <w:rFonts w:ascii="Arial Narrow" w:hAnsi="Arial Narrow" w:cs="Arial"/>
                <w:color w:val="000000"/>
                <w:lang w:val="es-ES" w:eastAsia="es-ES"/>
              </w:rPr>
            </w:pPr>
            <w:r w:rsidRPr="005F10B9">
              <w:rPr>
                <w:rFonts w:ascii="Arial Narrow" w:hAnsi="Arial Narrow" w:cs="Arial"/>
                <w:color w:val="000000"/>
                <w:lang w:val="es-ES" w:eastAsia="es-ES"/>
              </w:rPr>
              <w:t xml:space="preserve">Este diferencial puede variar, incrementándose, decreciendo o ambos simultáneamente durante la vida de la operación. </w:t>
            </w:r>
          </w:p>
          <w:p w14:paraId="4A4537C2" w14:textId="77777777" w:rsidR="007968EC" w:rsidRPr="005F10B9" w:rsidRDefault="007968EC" w:rsidP="00DA7472">
            <w:pPr>
              <w:numPr>
                <w:ilvl w:val="0"/>
                <w:numId w:val="319"/>
              </w:numPr>
              <w:autoSpaceDE w:val="0"/>
              <w:autoSpaceDN w:val="0"/>
              <w:adjustRightInd w:val="0"/>
              <w:ind w:left="336"/>
              <w:jc w:val="both"/>
              <w:rPr>
                <w:rFonts w:ascii="Arial Narrow" w:hAnsi="Arial Narrow" w:cs="Arial"/>
                <w:color w:val="000000"/>
                <w:lang w:val="es-ES" w:eastAsia="es-ES"/>
              </w:rPr>
            </w:pPr>
            <w:r w:rsidRPr="005F10B9">
              <w:rPr>
                <w:rFonts w:ascii="Arial Narrow" w:hAnsi="Arial Narrow" w:cs="Arial"/>
                <w:color w:val="000000"/>
                <w:lang w:val="es-ES" w:eastAsia="es-ES"/>
              </w:rPr>
              <w:t>“4DPS” significa que el diferencial (Spread) no podrá tener más de 4 decimales y se expresa en puntos básicos (</w:t>
            </w:r>
            <w:proofErr w:type="spellStart"/>
            <w:r w:rsidRPr="005F10B9">
              <w:rPr>
                <w:rFonts w:ascii="Arial Narrow" w:hAnsi="Arial Narrow" w:cs="Arial"/>
                <w:color w:val="000000"/>
                <w:lang w:val="es-ES" w:eastAsia="es-ES"/>
              </w:rPr>
              <w:t>bp</w:t>
            </w:r>
            <w:proofErr w:type="spellEnd"/>
            <w:r w:rsidRPr="005F10B9">
              <w:rPr>
                <w:rFonts w:ascii="Arial Narrow" w:hAnsi="Arial Narrow" w:cs="Arial"/>
                <w:color w:val="000000"/>
                <w:lang w:val="es-ES" w:eastAsia="es-ES"/>
              </w:rPr>
              <w:t xml:space="preserve">). </w:t>
            </w:r>
          </w:p>
          <w:p w14:paraId="5C78E36B" w14:textId="77777777" w:rsidR="007968EC" w:rsidRPr="005F10B9" w:rsidRDefault="007968EC" w:rsidP="007968EC">
            <w:pPr>
              <w:autoSpaceDE w:val="0"/>
              <w:autoSpaceDN w:val="0"/>
              <w:adjustRightInd w:val="0"/>
              <w:ind w:left="336"/>
              <w:jc w:val="both"/>
              <w:rPr>
                <w:rFonts w:ascii="Arial Narrow" w:hAnsi="Arial Narrow" w:cs="Arial"/>
                <w:color w:val="000000"/>
                <w:lang w:val="es-ES" w:eastAsia="es-ES"/>
              </w:rPr>
            </w:pPr>
          </w:p>
        </w:tc>
      </w:tr>
      <w:tr w:rsidR="007968EC" w:rsidRPr="005F10B9" w14:paraId="160EFFA4" w14:textId="77777777" w:rsidTr="007968EC">
        <w:trPr>
          <w:gridBefore w:val="1"/>
          <w:wBefore w:w="23" w:type="dxa"/>
          <w:trHeight w:val="439"/>
        </w:trPr>
        <w:tc>
          <w:tcPr>
            <w:tcW w:w="4740"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77AA7627" w14:textId="77777777" w:rsidR="007968EC" w:rsidRPr="005F10B9" w:rsidRDefault="007968EC" w:rsidP="007968EC">
            <w:pPr>
              <w:rPr>
                <w:rFonts w:ascii="Arial Narrow" w:hAnsi="Arial Narrow"/>
                <w:b/>
                <w:bCs/>
              </w:rPr>
            </w:pPr>
            <w:r w:rsidRPr="005F10B9">
              <w:rPr>
                <w:rFonts w:ascii="Arial Narrow" w:hAnsi="Arial Narrow"/>
                <w:b/>
                <w:bCs/>
              </w:rPr>
              <w:t xml:space="preserve">Tasa Negativa de la Rama Variable / </w:t>
            </w:r>
            <w:proofErr w:type="spellStart"/>
            <w:r w:rsidRPr="005F10B9">
              <w:rPr>
                <w:rFonts w:ascii="Arial Narrow" w:hAnsi="Arial Narrow"/>
                <w:b/>
                <w:bCs/>
              </w:rPr>
              <w:t>Floating</w:t>
            </w:r>
            <w:proofErr w:type="spellEnd"/>
            <w:r w:rsidRPr="005F10B9">
              <w:rPr>
                <w:rFonts w:ascii="Arial Narrow" w:hAnsi="Arial Narrow"/>
                <w:b/>
                <w:bCs/>
              </w:rPr>
              <w:t xml:space="preserve"> Rate </w:t>
            </w:r>
            <w:proofErr w:type="spellStart"/>
            <w:r w:rsidRPr="005F10B9">
              <w:rPr>
                <w:rFonts w:ascii="Arial Narrow" w:hAnsi="Arial Narrow"/>
                <w:b/>
                <w:bCs/>
              </w:rPr>
              <w:t>Negative</w:t>
            </w:r>
            <w:proofErr w:type="spellEnd"/>
            <w:r w:rsidRPr="005F10B9">
              <w:rPr>
                <w:rFonts w:ascii="Arial Narrow" w:hAnsi="Arial Narrow"/>
                <w:b/>
                <w:bCs/>
              </w:rPr>
              <w:t xml:space="preserve"> </w:t>
            </w:r>
            <w:proofErr w:type="spellStart"/>
            <w:r w:rsidRPr="005F10B9">
              <w:rPr>
                <w:rFonts w:ascii="Arial Narrow" w:hAnsi="Arial Narrow"/>
                <w:b/>
                <w:bCs/>
              </w:rPr>
              <w:t>Value</w:t>
            </w:r>
            <w:proofErr w:type="spellEnd"/>
            <w:r w:rsidRPr="005F10B9">
              <w:rPr>
                <w:rFonts w:ascii="Arial Narrow" w:hAnsi="Arial Narrow"/>
                <w:b/>
                <w:bCs/>
              </w:rPr>
              <w:t xml:space="preserve"> </w:t>
            </w:r>
            <w:proofErr w:type="spellStart"/>
            <w:r w:rsidRPr="005F10B9">
              <w:rPr>
                <w:rFonts w:ascii="Arial Narrow" w:hAnsi="Arial Narrow"/>
                <w:b/>
                <w:bCs/>
              </w:rPr>
              <w:t>Reset</w:t>
            </w:r>
            <w:proofErr w:type="spellEnd"/>
            <w:r w:rsidRPr="005F10B9">
              <w:rPr>
                <w:rFonts w:ascii="Arial Narrow" w:hAnsi="Arial Narrow"/>
                <w:b/>
                <w:bCs/>
              </w:rPr>
              <w:t xml:space="preserve">  </w:t>
            </w:r>
          </w:p>
        </w:tc>
        <w:tc>
          <w:tcPr>
            <w:tcW w:w="4820" w:type="dxa"/>
            <w:tcBorders>
              <w:top w:val="single" w:sz="18" w:space="0" w:color="auto"/>
              <w:left w:val="single" w:sz="18" w:space="0" w:color="auto"/>
              <w:bottom w:val="single" w:sz="18" w:space="0" w:color="auto"/>
              <w:right w:val="single" w:sz="18" w:space="0" w:color="auto"/>
            </w:tcBorders>
          </w:tcPr>
          <w:p w14:paraId="6183BDA3" w14:textId="77777777" w:rsidR="007968EC" w:rsidRPr="005F10B9" w:rsidRDefault="007968EC" w:rsidP="007968EC">
            <w:pPr>
              <w:jc w:val="both"/>
              <w:rPr>
                <w:rFonts w:ascii="Arial Narrow" w:hAnsi="Arial Narrow"/>
              </w:rPr>
            </w:pPr>
            <w:r w:rsidRPr="005F10B9">
              <w:rPr>
                <w:rFonts w:ascii="Arial Narrow" w:hAnsi="Arial Narrow"/>
              </w:rPr>
              <w:t xml:space="preserve">Se define si el valor del Índice Variable (Período Regular) puede ser negativo (ya sea como resultado de un diferencial o no) para la Rama Variable. </w:t>
            </w:r>
          </w:p>
        </w:tc>
      </w:tr>
      <w:tr w:rsidR="007968EC" w:rsidRPr="005F10B9" w14:paraId="218E060D" w14:textId="77777777" w:rsidTr="007968EC">
        <w:trPr>
          <w:gridBefore w:val="1"/>
          <w:wBefore w:w="23" w:type="dxa"/>
          <w:trHeight w:val="439"/>
        </w:trPr>
        <w:tc>
          <w:tcPr>
            <w:tcW w:w="4740"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5871FFDB" w14:textId="77777777" w:rsidR="007968EC" w:rsidRPr="005F10B9" w:rsidRDefault="007968EC" w:rsidP="007968EC">
            <w:pPr>
              <w:rPr>
                <w:rFonts w:ascii="Arial Narrow" w:hAnsi="Arial Narrow"/>
                <w:b/>
                <w:bCs/>
              </w:rPr>
            </w:pPr>
            <w:r w:rsidRPr="005F10B9">
              <w:rPr>
                <w:rFonts w:ascii="Arial Narrow" w:hAnsi="Arial Narrow"/>
                <w:b/>
                <w:bCs/>
              </w:rPr>
              <w:t xml:space="preserve">Días de Retraso para la fijación de la Tasa Variable (Standard) / </w:t>
            </w:r>
            <w:proofErr w:type="spellStart"/>
            <w:r w:rsidRPr="005F10B9">
              <w:rPr>
                <w:rFonts w:ascii="Arial Narrow" w:hAnsi="Arial Narrow"/>
                <w:b/>
                <w:bCs/>
              </w:rPr>
              <w:t>Floating</w:t>
            </w:r>
            <w:proofErr w:type="spellEnd"/>
            <w:r w:rsidRPr="005F10B9">
              <w:rPr>
                <w:rFonts w:ascii="Arial Narrow" w:hAnsi="Arial Narrow"/>
                <w:b/>
                <w:bCs/>
              </w:rPr>
              <w:t xml:space="preserve"> </w:t>
            </w:r>
            <w:proofErr w:type="spellStart"/>
            <w:r w:rsidRPr="005F10B9">
              <w:rPr>
                <w:rFonts w:ascii="Arial Narrow" w:hAnsi="Arial Narrow"/>
                <w:b/>
                <w:bCs/>
              </w:rPr>
              <w:t>Leg</w:t>
            </w:r>
            <w:proofErr w:type="spellEnd"/>
            <w:r w:rsidRPr="005F10B9">
              <w:rPr>
                <w:rFonts w:ascii="Arial Narrow" w:hAnsi="Arial Narrow"/>
                <w:b/>
                <w:bCs/>
              </w:rPr>
              <w:t xml:space="preserve"> Fixing </w:t>
            </w:r>
            <w:proofErr w:type="spellStart"/>
            <w:r w:rsidRPr="005F10B9">
              <w:rPr>
                <w:rFonts w:ascii="Arial Narrow" w:hAnsi="Arial Narrow"/>
                <w:b/>
                <w:bCs/>
              </w:rPr>
              <w:t>Lag</w:t>
            </w:r>
            <w:proofErr w:type="spellEnd"/>
            <w:r w:rsidRPr="005F10B9">
              <w:rPr>
                <w:rFonts w:ascii="Arial Narrow" w:hAnsi="Arial Narrow"/>
                <w:b/>
                <w:bCs/>
              </w:rPr>
              <w:t xml:space="preserve"> (Standard) </w:t>
            </w:r>
          </w:p>
        </w:tc>
        <w:tc>
          <w:tcPr>
            <w:tcW w:w="4820" w:type="dxa"/>
            <w:tcBorders>
              <w:top w:val="single" w:sz="18" w:space="0" w:color="auto"/>
              <w:left w:val="single" w:sz="18" w:space="0" w:color="auto"/>
              <w:bottom w:val="single" w:sz="18" w:space="0" w:color="auto"/>
              <w:right w:val="single" w:sz="18" w:space="0" w:color="auto"/>
            </w:tcBorders>
          </w:tcPr>
          <w:p w14:paraId="28716720" w14:textId="77777777" w:rsidR="007968EC" w:rsidRPr="005F10B9" w:rsidRDefault="007968EC" w:rsidP="007968EC">
            <w:pPr>
              <w:jc w:val="both"/>
              <w:rPr>
                <w:rFonts w:ascii="Arial Narrow" w:hAnsi="Arial Narrow"/>
              </w:rPr>
            </w:pPr>
            <w:r w:rsidRPr="005F10B9">
              <w:rPr>
                <w:rFonts w:ascii="Arial Narrow" w:hAnsi="Arial Narrow"/>
              </w:rPr>
              <w:t xml:space="preserve">Número de días de retraso que se utilizan para fijar la nueva Tasa para el cálculo de intereses del nuevo periodo, definido por las prácticas de mercado. </w:t>
            </w:r>
          </w:p>
        </w:tc>
      </w:tr>
      <w:tr w:rsidR="007968EC" w:rsidRPr="005F10B9" w14:paraId="5675F9BD" w14:textId="77777777" w:rsidTr="007968EC">
        <w:trPr>
          <w:gridBefore w:val="1"/>
          <w:wBefore w:w="23" w:type="dxa"/>
          <w:trHeight w:val="439"/>
        </w:trPr>
        <w:tc>
          <w:tcPr>
            <w:tcW w:w="4740"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608AE8E0" w14:textId="77777777" w:rsidR="007968EC" w:rsidRPr="005F10B9" w:rsidRDefault="007968EC" w:rsidP="007968EC">
            <w:pPr>
              <w:rPr>
                <w:rFonts w:ascii="Arial Narrow" w:hAnsi="Arial Narrow"/>
                <w:b/>
                <w:bCs/>
              </w:rPr>
            </w:pPr>
            <w:r w:rsidRPr="005F10B9">
              <w:rPr>
                <w:rFonts w:ascii="Arial Narrow" w:hAnsi="Arial Narrow"/>
                <w:b/>
                <w:bCs/>
              </w:rPr>
              <w:t xml:space="preserve">Días de Retraso para la fijación de la Tasa Variable (Non-standard) / </w:t>
            </w:r>
            <w:proofErr w:type="spellStart"/>
            <w:r w:rsidRPr="005F10B9">
              <w:rPr>
                <w:rFonts w:ascii="Arial Narrow" w:hAnsi="Arial Narrow"/>
                <w:b/>
                <w:bCs/>
              </w:rPr>
              <w:t>Floating</w:t>
            </w:r>
            <w:proofErr w:type="spellEnd"/>
            <w:r w:rsidRPr="005F10B9">
              <w:rPr>
                <w:rFonts w:ascii="Arial Narrow" w:hAnsi="Arial Narrow"/>
                <w:b/>
                <w:bCs/>
              </w:rPr>
              <w:t xml:space="preserve"> </w:t>
            </w:r>
            <w:proofErr w:type="spellStart"/>
            <w:r w:rsidRPr="005F10B9">
              <w:rPr>
                <w:rFonts w:ascii="Arial Narrow" w:hAnsi="Arial Narrow"/>
                <w:b/>
                <w:bCs/>
              </w:rPr>
              <w:t>Leg</w:t>
            </w:r>
            <w:proofErr w:type="spellEnd"/>
            <w:r w:rsidRPr="005F10B9">
              <w:rPr>
                <w:rFonts w:ascii="Arial Narrow" w:hAnsi="Arial Narrow"/>
                <w:b/>
                <w:bCs/>
              </w:rPr>
              <w:t xml:space="preserve"> Fixing </w:t>
            </w:r>
            <w:proofErr w:type="spellStart"/>
            <w:r w:rsidRPr="005F10B9">
              <w:rPr>
                <w:rFonts w:ascii="Arial Narrow" w:hAnsi="Arial Narrow"/>
                <w:b/>
                <w:bCs/>
              </w:rPr>
              <w:t>Lag</w:t>
            </w:r>
            <w:proofErr w:type="spellEnd"/>
            <w:r w:rsidRPr="005F10B9">
              <w:rPr>
                <w:rFonts w:ascii="Arial Narrow" w:hAnsi="Arial Narrow"/>
                <w:b/>
                <w:bCs/>
              </w:rPr>
              <w:t xml:space="preserve"> (Non-standard) </w:t>
            </w:r>
          </w:p>
        </w:tc>
        <w:tc>
          <w:tcPr>
            <w:tcW w:w="4820" w:type="dxa"/>
            <w:tcBorders>
              <w:top w:val="single" w:sz="18" w:space="0" w:color="auto"/>
              <w:left w:val="single" w:sz="18" w:space="0" w:color="auto"/>
              <w:bottom w:val="single" w:sz="18" w:space="0" w:color="auto"/>
              <w:right w:val="single" w:sz="18" w:space="0" w:color="auto"/>
            </w:tcBorders>
          </w:tcPr>
          <w:p w14:paraId="4C14D681" w14:textId="77777777" w:rsidR="007968EC" w:rsidRPr="005F10B9" w:rsidRDefault="007968EC" w:rsidP="007968EC">
            <w:pPr>
              <w:jc w:val="both"/>
              <w:rPr>
                <w:rFonts w:ascii="Arial Narrow" w:hAnsi="Arial Narrow"/>
              </w:rPr>
            </w:pPr>
            <w:r w:rsidRPr="005F10B9">
              <w:rPr>
                <w:rFonts w:ascii="Arial Narrow" w:hAnsi="Arial Narrow"/>
              </w:rPr>
              <w:t xml:space="preserve">Número de días de retraso que se utilizan para fijar la nueva Tasa para el cálculo de intereses del nuevo periodo, definido por las contrapartidas. </w:t>
            </w:r>
          </w:p>
        </w:tc>
      </w:tr>
      <w:tr w:rsidR="007968EC" w:rsidRPr="005F10B9" w14:paraId="6DA1FE65" w14:textId="77777777" w:rsidTr="007968EC">
        <w:trPr>
          <w:gridBefore w:val="1"/>
          <w:wBefore w:w="23" w:type="dxa"/>
          <w:trHeight w:val="439"/>
        </w:trPr>
        <w:tc>
          <w:tcPr>
            <w:tcW w:w="4740"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06FAB090" w14:textId="77777777" w:rsidR="007968EC" w:rsidRPr="005F10B9" w:rsidRDefault="007968EC" w:rsidP="007968EC">
            <w:pPr>
              <w:rPr>
                <w:rFonts w:ascii="Arial Narrow" w:hAnsi="Arial Narrow"/>
                <w:b/>
                <w:bCs/>
              </w:rPr>
            </w:pPr>
            <w:r w:rsidRPr="005F10B9">
              <w:rPr>
                <w:rFonts w:ascii="Arial Narrow" w:hAnsi="Arial Narrow"/>
                <w:b/>
                <w:bCs/>
              </w:rPr>
              <w:t xml:space="preserve">Frecuencia de Fijación de la Rama Variable / </w:t>
            </w:r>
            <w:proofErr w:type="spellStart"/>
            <w:r w:rsidRPr="005F10B9">
              <w:rPr>
                <w:rFonts w:ascii="Arial Narrow" w:hAnsi="Arial Narrow"/>
                <w:b/>
                <w:bCs/>
              </w:rPr>
              <w:t>Floating</w:t>
            </w:r>
            <w:proofErr w:type="spellEnd"/>
            <w:r w:rsidRPr="005F10B9">
              <w:rPr>
                <w:rFonts w:ascii="Arial Narrow" w:hAnsi="Arial Narrow"/>
                <w:b/>
                <w:bCs/>
              </w:rPr>
              <w:t xml:space="preserve"> </w:t>
            </w:r>
            <w:proofErr w:type="spellStart"/>
            <w:r w:rsidRPr="005F10B9">
              <w:rPr>
                <w:rFonts w:ascii="Arial Narrow" w:hAnsi="Arial Narrow"/>
                <w:b/>
                <w:bCs/>
              </w:rPr>
              <w:t>Leg</w:t>
            </w:r>
            <w:proofErr w:type="spellEnd"/>
            <w:r w:rsidRPr="005F10B9">
              <w:rPr>
                <w:rFonts w:ascii="Arial Narrow" w:hAnsi="Arial Narrow"/>
                <w:b/>
                <w:bCs/>
              </w:rPr>
              <w:t xml:space="preserve"> </w:t>
            </w:r>
            <w:proofErr w:type="spellStart"/>
            <w:r w:rsidRPr="005F10B9">
              <w:rPr>
                <w:rFonts w:ascii="Arial Narrow" w:hAnsi="Arial Narrow"/>
                <w:b/>
                <w:bCs/>
              </w:rPr>
              <w:t>Reset</w:t>
            </w:r>
            <w:proofErr w:type="spellEnd"/>
            <w:r w:rsidRPr="005F10B9">
              <w:rPr>
                <w:rFonts w:ascii="Arial Narrow" w:hAnsi="Arial Narrow"/>
                <w:b/>
                <w:bCs/>
              </w:rPr>
              <w:t xml:space="preserve"> </w:t>
            </w:r>
            <w:proofErr w:type="spellStart"/>
            <w:r w:rsidRPr="005F10B9">
              <w:rPr>
                <w:rFonts w:ascii="Arial Narrow" w:hAnsi="Arial Narrow"/>
                <w:b/>
                <w:bCs/>
              </w:rPr>
              <w:t>Frequency</w:t>
            </w:r>
            <w:proofErr w:type="spellEnd"/>
            <w:r w:rsidRPr="005F10B9">
              <w:rPr>
                <w:rFonts w:ascii="Arial Narrow" w:hAnsi="Arial Narrow"/>
                <w:b/>
                <w:bCs/>
              </w:rPr>
              <w:t xml:space="preserve"> </w:t>
            </w:r>
          </w:p>
        </w:tc>
        <w:tc>
          <w:tcPr>
            <w:tcW w:w="4820" w:type="dxa"/>
            <w:tcBorders>
              <w:top w:val="single" w:sz="18" w:space="0" w:color="auto"/>
              <w:left w:val="single" w:sz="18" w:space="0" w:color="auto"/>
              <w:bottom w:val="single" w:sz="18" w:space="0" w:color="auto"/>
              <w:right w:val="single" w:sz="18" w:space="0" w:color="auto"/>
            </w:tcBorders>
          </w:tcPr>
          <w:p w14:paraId="5A54432D" w14:textId="77777777" w:rsidR="007968EC" w:rsidRPr="005F10B9" w:rsidRDefault="007968EC" w:rsidP="007968EC">
            <w:pPr>
              <w:jc w:val="both"/>
              <w:rPr>
                <w:rFonts w:ascii="Arial Narrow" w:hAnsi="Arial Narrow"/>
              </w:rPr>
            </w:pPr>
            <w:r w:rsidRPr="005F10B9">
              <w:rPr>
                <w:rFonts w:ascii="Arial Narrow" w:hAnsi="Arial Narrow"/>
              </w:rPr>
              <w:t xml:space="preserve">Define con qué frecuencia se fija la Tasa de interés en la Rama Variable. Por ejemplo, un valor de "1m" significa que la tasa de interés en la Rama Variable se fija cada mes. </w:t>
            </w:r>
          </w:p>
        </w:tc>
      </w:tr>
      <w:tr w:rsidR="007968EC" w:rsidRPr="005F10B9" w14:paraId="7F4AE0A4" w14:textId="77777777" w:rsidTr="007968EC">
        <w:trPr>
          <w:gridBefore w:val="1"/>
          <w:wBefore w:w="23" w:type="dxa"/>
          <w:trHeight w:val="439"/>
        </w:trPr>
        <w:tc>
          <w:tcPr>
            <w:tcW w:w="4740"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7AA95BDA" w14:textId="77777777" w:rsidR="007968EC" w:rsidRPr="005F10B9" w:rsidRDefault="007968EC" w:rsidP="007968EC">
            <w:pPr>
              <w:rPr>
                <w:rFonts w:ascii="Arial Narrow" w:hAnsi="Arial Narrow"/>
                <w:b/>
                <w:bCs/>
              </w:rPr>
            </w:pPr>
            <w:r w:rsidRPr="005F10B9">
              <w:rPr>
                <w:rFonts w:ascii="Arial Narrow" w:hAnsi="Arial Narrow"/>
                <w:b/>
                <w:bCs/>
              </w:rPr>
              <w:t xml:space="preserve">Frecuencia de Pago de la Rama Flotante / </w:t>
            </w:r>
            <w:proofErr w:type="spellStart"/>
            <w:r w:rsidRPr="005F10B9">
              <w:rPr>
                <w:rFonts w:ascii="Arial Narrow" w:hAnsi="Arial Narrow"/>
                <w:b/>
                <w:bCs/>
              </w:rPr>
              <w:t>Floating</w:t>
            </w:r>
            <w:proofErr w:type="spellEnd"/>
            <w:r w:rsidRPr="005F10B9">
              <w:rPr>
                <w:rFonts w:ascii="Arial Narrow" w:hAnsi="Arial Narrow"/>
                <w:b/>
                <w:bCs/>
              </w:rPr>
              <w:t xml:space="preserve"> </w:t>
            </w:r>
            <w:proofErr w:type="spellStart"/>
            <w:r w:rsidRPr="005F10B9">
              <w:rPr>
                <w:rFonts w:ascii="Arial Narrow" w:hAnsi="Arial Narrow"/>
                <w:b/>
                <w:bCs/>
              </w:rPr>
              <w:t>Leg</w:t>
            </w:r>
            <w:proofErr w:type="spellEnd"/>
            <w:r w:rsidRPr="005F10B9">
              <w:rPr>
                <w:rFonts w:ascii="Arial Narrow" w:hAnsi="Arial Narrow"/>
                <w:b/>
                <w:bCs/>
              </w:rPr>
              <w:t xml:space="preserve"> </w:t>
            </w:r>
            <w:proofErr w:type="spellStart"/>
            <w:r w:rsidRPr="005F10B9">
              <w:rPr>
                <w:rFonts w:ascii="Arial Narrow" w:hAnsi="Arial Narrow"/>
                <w:b/>
                <w:bCs/>
              </w:rPr>
              <w:t>Payment</w:t>
            </w:r>
            <w:proofErr w:type="spellEnd"/>
            <w:r w:rsidRPr="005F10B9">
              <w:rPr>
                <w:rFonts w:ascii="Arial Narrow" w:hAnsi="Arial Narrow"/>
                <w:b/>
                <w:bCs/>
              </w:rPr>
              <w:t xml:space="preserve"> </w:t>
            </w:r>
            <w:proofErr w:type="spellStart"/>
            <w:r w:rsidRPr="005F10B9">
              <w:rPr>
                <w:rFonts w:ascii="Arial Narrow" w:hAnsi="Arial Narrow"/>
                <w:b/>
                <w:bCs/>
              </w:rPr>
              <w:t>Frequency</w:t>
            </w:r>
            <w:proofErr w:type="spellEnd"/>
            <w:r w:rsidRPr="005F10B9">
              <w:rPr>
                <w:rFonts w:ascii="Arial Narrow" w:hAnsi="Arial Narrow"/>
                <w:b/>
                <w:bCs/>
              </w:rPr>
              <w:t xml:space="preserve"> </w:t>
            </w:r>
          </w:p>
        </w:tc>
        <w:tc>
          <w:tcPr>
            <w:tcW w:w="4820" w:type="dxa"/>
            <w:tcBorders>
              <w:top w:val="single" w:sz="18" w:space="0" w:color="auto"/>
              <w:left w:val="single" w:sz="18" w:space="0" w:color="auto"/>
              <w:bottom w:val="single" w:sz="18" w:space="0" w:color="auto"/>
              <w:right w:val="single" w:sz="18" w:space="0" w:color="auto"/>
            </w:tcBorders>
          </w:tcPr>
          <w:p w14:paraId="4E35C171" w14:textId="77777777" w:rsidR="007968EC" w:rsidRPr="005F10B9" w:rsidRDefault="007968EC" w:rsidP="007968EC">
            <w:pPr>
              <w:jc w:val="both"/>
              <w:rPr>
                <w:rFonts w:ascii="Arial Narrow" w:hAnsi="Arial Narrow"/>
              </w:rPr>
            </w:pPr>
            <w:r w:rsidRPr="005F10B9">
              <w:rPr>
                <w:rFonts w:ascii="Arial Narrow" w:hAnsi="Arial Narrow"/>
              </w:rPr>
              <w:t xml:space="preserve">Define la frecuencia de pago de la Rama Variable de la Operación. La frecuencia de pago no podrá ser </w:t>
            </w:r>
            <w:r w:rsidRPr="005F10B9">
              <w:rPr>
                <w:rFonts w:ascii="Arial Narrow" w:hAnsi="Arial Narrow"/>
              </w:rPr>
              <w:lastRenderedPageBreak/>
              <w:t xml:space="preserve">inferior a la Frecuencia de fijación de la tasa de interés variable. </w:t>
            </w:r>
          </w:p>
        </w:tc>
      </w:tr>
      <w:tr w:rsidR="007968EC" w:rsidRPr="005F10B9" w14:paraId="1A4BEAF0" w14:textId="77777777" w:rsidTr="007968EC">
        <w:trPr>
          <w:gridBefore w:val="1"/>
          <w:wBefore w:w="23" w:type="dxa"/>
          <w:trHeight w:val="439"/>
        </w:trPr>
        <w:tc>
          <w:tcPr>
            <w:tcW w:w="4740"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7698F68D" w14:textId="77777777" w:rsidR="007968EC" w:rsidRPr="005F10B9" w:rsidRDefault="007968EC" w:rsidP="007968EC">
            <w:pPr>
              <w:rPr>
                <w:rFonts w:ascii="Arial Narrow" w:hAnsi="Arial Narrow"/>
                <w:b/>
                <w:bCs/>
              </w:rPr>
            </w:pPr>
            <w:r w:rsidRPr="005F10B9">
              <w:rPr>
                <w:rFonts w:ascii="Arial Narrow" w:hAnsi="Arial Narrow"/>
                <w:b/>
                <w:bCs/>
              </w:rPr>
              <w:lastRenderedPageBreak/>
              <w:t xml:space="preserve">Convención de Base de Cálculo de la Rama Flotante / </w:t>
            </w:r>
            <w:proofErr w:type="spellStart"/>
            <w:r w:rsidRPr="005F10B9">
              <w:rPr>
                <w:rFonts w:ascii="Arial Narrow" w:hAnsi="Arial Narrow"/>
                <w:b/>
                <w:bCs/>
              </w:rPr>
              <w:t>Floating</w:t>
            </w:r>
            <w:proofErr w:type="spellEnd"/>
            <w:r w:rsidRPr="005F10B9">
              <w:rPr>
                <w:rFonts w:ascii="Arial Narrow" w:hAnsi="Arial Narrow"/>
                <w:b/>
                <w:bCs/>
              </w:rPr>
              <w:t xml:space="preserve"> </w:t>
            </w:r>
            <w:proofErr w:type="spellStart"/>
            <w:r w:rsidRPr="005F10B9">
              <w:rPr>
                <w:rFonts w:ascii="Arial Narrow" w:hAnsi="Arial Narrow"/>
                <w:b/>
                <w:bCs/>
              </w:rPr>
              <w:t>Leg</w:t>
            </w:r>
            <w:proofErr w:type="spellEnd"/>
            <w:r w:rsidRPr="005F10B9">
              <w:rPr>
                <w:rFonts w:ascii="Arial Narrow" w:hAnsi="Arial Narrow"/>
                <w:b/>
                <w:bCs/>
              </w:rPr>
              <w:t xml:space="preserve"> Day </w:t>
            </w:r>
            <w:proofErr w:type="spellStart"/>
            <w:r w:rsidRPr="005F10B9">
              <w:rPr>
                <w:rFonts w:ascii="Arial Narrow" w:hAnsi="Arial Narrow"/>
                <w:b/>
                <w:bCs/>
              </w:rPr>
              <w:t>Count</w:t>
            </w:r>
            <w:proofErr w:type="spellEnd"/>
            <w:r w:rsidRPr="005F10B9">
              <w:rPr>
                <w:rFonts w:ascii="Arial Narrow" w:hAnsi="Arial Narrow"/>
                <w:b/>
                <w:bCs/>
              </w:rPr>
              <w:t xml:space="preserve"> </w:t>
            </w:r>
            <w:proofErr w:type="spellStart"/>
            <w:r w:rsidRPr="005F10B9">
              <w:rPr>
                <w:rFonts w:ascii="Arial Narrow" w:hAnsi="Arial Narrow"/>
                <w:b/>
                <w:bCs/>
              </w:rPr>
              <w:t>Fraction</w:t>
            </w:r>
            <w:proofErr w:type="spellEnd"/>
            <w:r w:rsidRPr="005F10B9">
              <w:rPr>
                <w:rFonts w:ascii="Arial Narrow" w:hAnsi="Arial Narrow"/>
                <w:b/>
                <w:bCs/>
              </w:rPr>
              <w:t xml:space="preserve"> </w:t>
            </w:r>
          </w:p>
        </w:tc>
        <w:tc>
          <w:tcPr>
            <w:tcW w:w="4820" w:type="dxa"/>
            <w:tcBorders>
              <w:top w:val="single" w:sz="18" w:space="0" w:color="auto"/>
              <w:left w:val="single" w:sz="18" w:space="0" w:color="auto"/>
              <w:bottom w:val="single" w:sz="18" w:space="0" w:color="auto"/>
              <w:right w:val="single" w:sz="18" w:space="0" w:color="auto"/>
            </w:tcBorders>
          </w:tcPr>
          <w:p w14:paraId="65376C8B" w14:textId="77777777" w:rsidR="007968EC" w:rsidRPr="005F10B9" w:rsidRDefault="007968EC" w:rsidP="007968EC">
            <w:pPr>
              <w:jc w:val="both"/>
              <w:rPr>
                <w:rFonts w:ascii="Arial Narrow" w:hAnsi="Arial Narrow"/>
              </w:rPr>
            </w:pPr>
            <w:r w:rsidRPr="005F10B9">
              <w:rPr>
                <w:rFonts w:ascii="Arial Narrow" w:hAnsi="Arial Narrow"/>
              </w:rPr>
              <w:t xml:space="preserve">Define el método de recuento de días utilizado para calcular el interés en la Rama Variable del Swap. </w:t>
            </w:r>
          </w:p>
        </w:tc>
      </w:tr>
      <w:tr w:rsidR="007968EC" w:rsidRPr="005F10B9" w14:paraId="700080F9" w14:textId="77777777" w:rsidTr="007968EC">
        <w:trPr>
          <w:gridBefore w:val="1"/>
          <w:wBefore w:w="23" w:type="dxa"/>
          <w:trHeight w:val="439"/>
        </w:trPr>
        <w:tc>
          <w:tcPr>
            <w:tcW w:w="4740"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6D80B5E1" w14:textId="77777777" w:rsidR="007968EC" w:rsidRPr="005F10B9" w:rsidRDefault="007968EC" w:rsidP="007968EC">
            <w:pPr>
              <w:rPr>
                <w:rFonts w:ascii="Arial Narrow" w:hAnsi="Arial Narrow"/>
                <w:b/>
                <w:bCs/>
              </w:rPr>
            </w:pPr>
            <w:r w:rsidRPr="005F10B9">
              <w:rPr>
                <w:rFonts w:ascii="Arial Narrow" w:hAnsi="Arial Narrow"/>
                <w:b/>
                <w:bCs/>
              </w:rPr>
              <w:t xml:space="preserve">Método de Composición de la Rama Variable / </w:t>
            </w:r>
            <w:proofErr w:type="spellStart"/>
            <w:r w:rsidRPr="005F10B9">
              <w:rPr>
                <w:rFonts w:ascii="Arial Narrow" w:hAnsi="Arial Narrow"/>
                <w:b/>
                <w:bCs/>
              </w:rPr>
              <w:t>Floating</w:t>
            </w:r>
            <w:proofErr w:type="spellEnd"/>
            <w:r w:rsidRPr="005F10B9">
              <w:rPr>
                <w:rFonts w:ascii="Arial Narrow" w:hAnsi="Arial Narrow"/>
                <w:b/>
                <w:bCs/>
              </w:rPr>
              <w:t xml:space="preserve"> </w:t>
            </w:r>
            <w:proofErr w:type="spellStart"/>
            <w:r w:rsidRPr="005F10B9">
              <w:rPr>
                <w:rFonts w:ascii="Arial Narrow" w:hAnsi="Arial Narrow"/>
                <w:b/>
                <w:bCs/>
              </w:rPr>
              <w:t>Leg</w:t>
            </w:r>
            <w:proofErr w:type="spellEnd"/>
            <w:r w:rsidRPr="005F10B9">
              <w:rPr>
                <w:rFonts w:ascii="Arial Narrow" w:hAnsi="Arial Narrow"/>
                <w:b/>
                <w:bCs/>
              </w:rPr>
              <w:t xml:space="preserve"> </w:t>
            </w:r>
            <w:proofErr w:type="spellStart"/>
            <w:r w:rsidRPr="005F10B9">
              <w:rPr>
                <w:rFonts w:ascii="Arial Narrow" w:hAnsi="Arial Narrow"/>
                <w:b/>
                <w:bCs/>
              </w:rPr>
              <w:t>Compounding</w:t>
            </w:r>
            <w:proofErr w:type="spellEnd"/>
            <w:r w:rsidRPr="005F10B9">
              <w:rPr>
                <w:rFonts w:ascii="Arial Narrow" w:hAnsi="Arial Narrow"/>
                <w:b/>
                <w:bCs/>
              </w:rPr>
              <w:t xml:space="preserve"> </w:t>
            </w:r>
          </w:p>
        </w:tc>
        <w:tc>
          <w:tcPr>
            <w:tcW w:w="4820" w:type="dxa"/>
            <w:tcBorders>
              <w:top w:val="single" w:sz="18" w:space="0" w:color="auto"/>
              <w:left w:val="single" w:sz="18" w:space="0" w:color="auto"/>
              <w:bottom w:val="single" w:sz="18" w:space="0" w:color="auto"/>
              <w:right w:val="single" w:sz="18" w:space="0" w:color="auto"/>
            </w:tcBorders>
          </w:tcPr>
          <w:p w14:paraId="7DCE5785" w14:textId="77777777" w:rsidR="007968EC" w:rsidRPr="005F10B9" w:rsidRDefault="007968EC" w:rsidP="007968EC">
            <w:pPr>
              <w:autoSpaceDE w:val="0"/>
              <w:autoSpaceDN w:val="0"/>
              <w:adjustRightInd w:val="0"/>
              <w:jc w:val="both"/>
              <w:rPr>
                <w:rFonts w:ascii="Arial Narrow" w:hAnsi="Arial Narrow" w:cs="Arial"/>
                <w:color w:val="000000"/>
                <w:lang w:val="es-ES" w:eastAsia="es-ES"/>
              </w:rPr>
            </w:pPr>
            <w:r w:rsidRPr="005F10B9">
              <w:rPr>
                <w:rFonts w:ascii="Arial Narrow" w:hAnsi="Arial Narrow" w:cs="Arial"/>
                <w:color w:val="000000"/>
                <w:lang w:val="es-ES" w:eastAsia="es-ES"/>
              </w:rPr>
              <w:t>Define el método de capitalización utilizado, para el cálculo de intereses.</w:t>
            </w:r>
          </w:p>
        </w:tc>
      </w:tr>
      <w:tr w:rsidR="007968EC" w:rsidRPr="005F10B9" w14:paraId="7C8C65D7" w14:textId="77777777" w:rsidTr="007968EC">
        <w:trPr>
          <w:gridBefore w:val="1"/>
          <w:wBefore w:w="23" w:type="dxa"/>
          <w:trHeight w:val="439"/>
        </w:trPr>
        <w:tc>
          <w:tcPr>
            <w:tcW w:w="4740"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5E60D3CE" w14:textId="77777777" w:rsidR="007968EC" w:rsidRPr="005F10B9" w:rsidRDefault="007968EC" w:rsidP="007968EC">
            <w:pPr>
              <w:rPr>
                <w:rFonts w:ascii="Arial Narrow" w:hAnsi="Arial Narrow"/>
                <w:b/>
                <w:bCs/>
              </w:rPr>
            </w:pPr>
            <w:r w:rsidRPr="005F10B9">
              <w:rPr>
                <w:rFonts w:ascii="Arial Narrow" w:hAnsi="Arial Narrow"/>
                <w:b/>
                <w:bCs/>
              </w:rPr>
              <w:t xml:space="preserve">Fecha de Liquidación de la Rama Variable / </w:t>
            </w:r>
            <w:proofErr w:type="spellStart"/>
            <w:r w:rsidRPr="005F10B9">
              <w:rPr>
                <w:rFonts w:ascii="Arial Narrow" w:hAnsi="Arial Narrow"/>
                <w:b/>
                <w:bCs/>
              </w:rPr>
              <w:t>Floating</w:t>
            </w:r>
            <w:proofErr w:type="spellEnd"/>
            <w:r w:rsidRPr="005F10B9">
              <w:rPr>
                <w:rFonts w:ascii="Arial Narrow" w:hAnsi="Arial Narrow"/>
                <w:b/>
                <w:bCs/>
              </w:rPr>
              <w:t xml:space="preserve"> </w:t>
            </w:r>
            <w:proofErr w:type="spellStart"/>
            <w:r w:rsidRPr="005F10B9">
              <w:rPr>
                <w:rFonts w:ascii="Arial Narrow" w:hAnsi="Arial Narrow"/>
                <w:b/>
                <w:bCs/>
              </w:rPr>
              <w:t>Leg</w:t>
            </w:r>
            <w:proofErr w:type="spellEnd"/>
            <w:r w:rsidRPr="005F10B9">
              <w:rPr>
                <w:rFonts w:ascii="Arial Narrow" w:hAnsi="Arial Narrow"/>
                <w:b/>
                <w:bCs/>
              </w:rPr>
              <w:t xml:space="preserve"> </w:t>
            </w:r>
            <w:proofErr w:type="spellStart"/>
            <w:r w:rsidRPr="005F10B9">
              <w:rPr>
                <w:rFonts w:ascii="Arial Narrow" w:hAnsi="Arial Narrow"/>
                <w:b/>
                <w:bCs/>
              </w:rPr>
              <w:t>Settlement</w:t>
            </w:r>
            <w:proofErr w:type="spellEnd"/>
            <w:r w:rsidRPr="005F10B9">
              <w:rPr>
                <w:rFonts w:ascii="Arial Narrow" w:hAnsi="Arial Narrow"/>
                <w:b/>
                <w:bCs/>
              </w:rPr>
              <w:t xml:space="preserve"> Date </w:t>
            </w:r>
          </w:p>
        </w:tc>
        <w:tc>
          <w:tcPr>
            <w:tcW w:w="4820" w:type="dxa"/>
            <w:tcBorders>
              <w:top w:val="single" w:sz="18" w:space="0" w:color="auto"/>
              <w:left w:val="single" w:sz="18" w:space="0" w:color="auto"/>
              <w:bottom w:val="single" w:sz="18" w:space="0" w:color="auto"/>
              <w:right w:val="single" w:sz="18" w:space="0" w:color="auto"/>
            </w:tcBorders>
          </w:tcPr>
          <w:p w14:paraId="43AA6FB6" w14:textId="77777777" w:rsidR="007968EC" w:rsidRPr="005F10B9" w:rsidRDefault="007968EC" w:rsidP="007968EC">
            <w:pPr>
              <w:autoSpaceDE w:val="0"/>
              <w:autoSpaceDN w:val="0"/>
              <w:adjustRightInd w:val="0"/>
              <w:jc w:val="both"/>
              <w:rPr>
                <w:rFonts w:ascii="Arial Narrow" w:hAnsi="Arial Narrow" w:cs="Arial"/>
                <w:color w:val="000000"/>
                <w:lang w:val="es-ES" w:eastAsia="es-ES"/>
              </w:rPr>
            </w:pPr>
            <w:r w:rsidRPr="005F10B9">
              <w:rPr>
                <w:rFonts w:ascii="Arial Narrow" w:hAnsi="Arial Narrow" w:cs="Arial"/>
                <w:color w:val="000000"/>
                <w:lang w:val="es-ES" w:eastAsia="es-ES"/>
              </w:rPr>
              <w:t>Define la fecha en que se efectúa el pago final.</w:t>
            </w:r>
          </w:p>
        </w:tc>
      </w:tr>
      <w:tr w:rsidR="007968EC" w:rsidRPr="005F10B9" w14:paraId="7981EEC5" w14:textId="77777777" w:rsidTr="007968EC">
        <w:trPr>
          <w:gridBefore w:val="1"/>
          <w:wBefore w:w="23" w:type="dxa"/>
          <w:trHeight w:val="439"/>
        </w:trPr>
        <w:tc>
          <w:tcPr>
            <w:tcW w:w="4740"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312BE94F" w14:textId="77777777" w:rsidR="007968EC" w:rsidRPr="005F10B9" w:rsidRDefault="007968EC" w:rsidP="007968EC">
            <w:pPr>
              <w:rPr>
                <w:rFonts w:ascii="Arial Narrow" w:hAnsi="Arial Narrow"/>
                <w:b/>
                <w:bCs/>
              </w:rPr>
            </w:pPr>
            <w:r w:rsidRPr="005F10B9">
              <w:rPr>
                <w:rFonts w:ascii="Arial Narrow" w:hAnsi="Arial Narrow"/>
                <w:b/>
                <w:bCs/>
              </w:rPr>
              <w:t xml:space="preserve">Redondeo de la Rama Variable / </w:t>
            </w:r>
            <w:proofErr w:type="spellStart"/>
            <w:r w:rsidRPr="005F10B9">
              <w:rPr>
                <w:rFonts w:ascii="Arial Narrow" w:hAnsi="Arial Narrow"/>
                <w:b/>
                <w:bCs/>
              </w:rPr>
              <w:t>Floating</w:t>
            </w:r>
            <w:proofErr w:type="spellEnd"/>
            <w:r w:rsidRPr="005F10B9">
              <w:rPr>
                <w:rFonts w:ascii="Arial Narrow" w:hAnsi="Arial Narrow"/>
                <w:b/>
                <w:bCs/>
              </w:rPr>
              <w:t xml:space="preserve"> </w:t>
            </w:r>
            <w:proofErr w:type="spellStart"/>
            <w:r w:rsidRPr="005F10B9">
              <w:rPr>
                <w:rFonts w:ascii="Arial Narrow" w:hAnsi="Arial Narrow"/>
                <w:b/>
                <w:bCs/>
              </w:rPr>
              <w:t>Leg</w:t>
            </w:r>
            <w:proofErr w:type="spellEnd"/>
            <w:r w:rsidRPr="005F10B9">
              <w:rPr>
                <w:rFonts w:ascii="Arial Narrow" w:hAnsi="Arial Narrow"/>
                <w:b/>
                <w:bCs/>
              </w:rPr>
              <w:t xml:space="preserve"> </w:t>
            </w:r>
            <w:proofErr w:type="spellStart"/>
            <w:r w:rsidRPr="005F10B9">
              <w:rPr>
                <w:rFonts w:ascii="Arial Narrow" w:hAnsi="Arial Narrow"/>
                <w:b/>
                <w:bCs/>
              </w:rPr>
              <w:t>Rounding</w:t>
            </w:r>
            <w:proofErr w:type="spellEnd"/>
            <w:r w:rsidRPr="005F10B9">
              <w:rPr>
                <w:rFonts w:ascii="Arial Narrow" w:hAnsi="Arial Narrow"/>
                <w:b/>
                <w:bCs/>
              </w:rPr>
              <w:t xml:space="preserve">  </w:t>
            </w:r>
          </w:p>
        </w:tc>
        <w:tc>
          <w:tcPr>
            <w:tcW w:w="4820" w:type="dxa"/>
            <w:tcBorders>
              <w:top w:val="single" w:sz="18" w:space="0" w:color="auto"/>
              <w:left w:val="single" w:sz="18" w:space="0" w:color="auto"/>
              <w:bottom w:val="single" w:sz="18" w:space="0" w:color="auto"/>
              <w:right w:val="single" w:sz="18" w:space="0" w:color="auto"/>
            </w:tcBorders>
          </w:tcPr>
          <w:p w14:paraId="7CA24D71" w14:textId="77777777" w:rsidR="007968EC" w:rsidRPr="005F10B9" w:rsidRDefault="007968EC" w:rsidP="007968EC">
            <w:pPr>
              <w:jc w:val="both"/>
              <w:rPr>
                <w:rFonts w:ascii="Arial Narrow" w:hAnsi="Arial Narrow"/>
              </w:rPr>
            </w:pPr>
            <w:r w:rsidRPr="005F10B9">
              <w:rPr>
                <w:rFonts w:ascii="Arial Narrow" w:hAnsi="Arial Narrow"/>
              </w:rPr>
              <w:t xml:space="preserve">Define la metodología de redondeo que se aplica a la tasa de interés variable. “5DPS” significa que la tasa se redondea a 5 decimales. </w:t>
            </w:r>
          </w:p>
        </w:tc>
      </w:tr>
      <w:tr w:rsidR="007968EC" w:rsidRPr="005F10B9" w14:paraId="11C09691" w14:textId="77777777" w:rsidTr="007968EC">
        <w:trPr>
          <w:gridBefore w:val="1"/>
          <w:wBefore w:w="23" w:type="dxa"/>
          <w:trHeight w:val="439"/>
        </w:trPr>
        <w:tc>
          <w:tcPr>
            <w:tcW w:w="4740"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08B1EC30" w14:textId="77777777" w:rsidR="007968EC" w:rsidRPr="005F10B9" w:rsidRDefault="007968EC" w:rsidP="007968EC">
            <w:pPr>
              <w:rPr>
                <w:rFonts w:ascii="Arial Narrow" w:hAnsi="Arial Narrow"/>
                <w:b/>
                <w:bCs/>
              </w:rPr>
            </w:pPr>
            <w:r w:rsidRPr="005F10B9">
              <w:rPr>
                <w:rFonts w:ascii="Arial Narrow" w:hAnsi="Arial Narrow"/>
                <w:b/>
                <w:bCs/>
              </w:rPr>
              <w:t xml:space="preserve">Método de Interpolación de la Rama Variable con Periodos Rotos / </w:t>
            </w:r>
            <w:proofErr w:type="spellStart"/>
            <w:r w:rsidRPr="005F10B9">
              <w:rPr>
                <w:rFonts w:ascii="Arial Narrow" w:hAnsi="Arial Narrow"/>
                <w:b/>
                <w:bCs/>
              </w:rPr>
              <w:t>Floating</w:t>
            </w:r>
            <w:proofErr w:type="spellEnd"/>
            <w:r w:rsidRPr="005F10B9">
              <w:rPr>
                <w:rFonts w:ascii="Arial Narrow" w:hAnsi="Arial Narrow"/>
                <w:b/>
                <w:bCs/>
              </w:rPr>
              <w:t xml:space="preserve"> </w:t>
            </w:r>
            <w:proofErr w:type="spellStart"/>
            <w:r w:rsidRPr="005F10B9">
              <w:rPr>
                <w:rFonts w:ascii="Arial Narrow" w:hAnsi="Arial Narrow"/>
                <w:b/>
                <w:bCs/>
              </w:rPr>
              <w:t>Leg</w:t>
            </w:r>
            <w:proofErr w:type="spellEnd"/>
            <w:r w:rsidRPr="005F10B9">
              <w:rPr>
                <w:rFonts w:ascii="Arial Narrow" w:hAnsi="Arial Narrow"/>
                <w:b/>
                <w:bCs/>
              </w:rPr>
              <w:t xml:space="preserve"> </w:t>
            </w:r>
            <w:proofErr w:type="spellStart"/>
            <w:r w:rsidRPr="005F10B9">
              <w:rPr>
                <w:rFonts w:ascii="Arial Narrow" w:hAnsi="Arial Narrow"/>
                <w:b/>
                <w:bCs/>
              </w:rPr>
              <w:t>Stub</w:t>
            </w:r>
            <w:proofErr w:type="spellEnd"/>
            <w:r w:rsidRPr="005F10B9">
              <w:rPr>
                <w:rFonts w:ascii="Arial Narrow" w:hAnsi="Arial Narrow"/>
                <w:b/>
                <w:bCs/>
              </w:rPr>
              <w:t xml:space="preserve"> </w:t>
            </w:r>
            <w:proofErr w:type="spellStart"/>
            <w:r w:rsidRPr="005F10B9">
              <w:rPr>
                <w:rFonts w:ascii="Arial Narrow" w:hAnsi="Arial Narrow"/>
                <w:b/>
                <w:bCs/>
              </w:rPr>
              <w:t>Interpolation</w:t>
            </w:r>
            <w:proofErr w:type="spellEnd"/>
            <w:r w:rsidRPr="005F10B9">
              <w:rPr>
                <w:rFonts w:ascii="Arial Narrow" w:hAnsi="Arial Narrow"/>
                <w:b/>
                <w:bCs/>
              </w:rPr>
              <w:t xml:space="preserve">  </w:t>
            </w:r>
          </w:p>
        </w:tc>
        <w:tc>
          <w:tcPr>
            <w:tcW w:w="4820" w:type="dxa"/>
            <w:tcBorders>
              <w:top w:val="single" w:sz="18" w:space="0" w:color="auto"/>
              <w:left w:val="single" w:sz="18" w:space="0" w:color="auto"/>
              <w:bottom w:val="single" w:sz="18" w:space="0" w:color="auto"/>
              <w:right w:val="single" w:sz="18" w:space="0" w:color="auto"/>
            </w:tcBorders>
          </w:tcPr>
          <w:p w14:paraId="2CBEA137" w14:textId="77777777" w:rsidR="007968EC" w:rsidRPr="005F10B9" w:rsidRDefault="007968EC" w:rsidP="007968EC">
            <w:pPr>
              <w:jc w:val="both"/>
              <w:rPr>
                <w:rFonts w:ascii="Arial Narrow" w:hAnsi="Arial Narrow"/>
              </w:rPr>
            </w:pPr>
            <w:r w:rsidRPr="005F10B9">
              <w:rPr>
                <w:rFonts w:ascii="Arial Narrow" w:hAnsi="Arial Narrow"/>
              </w:rPr>
              <w:t xml:space="preserve">Se producen en un período al inicio o final de la vida de la operación, conocido como periodo roto o </w:t>
            </w:r>
            <w:proofErr w:type="spellStart"/>
            <w:r w:rsidRPr="005F10B9">
              <w:rPr>
                <w:rFonts w:ascii="Arial Narrow" w:hAnsi="Arial Narrow"/>
              </w:rPr>
              <w:t>Stub</w:t>
            </w:r>
            <w:proofErr w:type="spellEnd"/>
            <w:r w:rsidRPr="005F10B9">
              <w:rPr>
                <w:rFonts w:ascii="Arial Narrow" w:hAnsi="Arial Narrow"/>
              </w:rPr>
              <w:t>, que difiere del período regular definido por la frecuencia del índice.</w:t>
            </w:r>
          </w:p>
          <w:p w14:paraId="283B822A" w14:textId="77777777" w:rsidR="007968EC" w:rsidRPr="005F10B9" w:rsidRDefault="007968EC" w:rsidP="007968EC">
            <w:pPr>
              <w:autoSpaceDE w:val="0"/>
              <w:autoSpaceDN w:val="0"/>
              <w:adjustRightInd w:val="0"/>
              <w:jc w:val="both"/>
              <w:rPr>
                <w:rFonts w:ascii="Arial Narrow" w:hAnsi="Arial Narrow" w:cs="Arial"/>
                <w:color w:val="000000"/>
                <w:lang w:val="es-ES" w:eastAsia="es-ES"/>
              </w:rPr>
            </w:pPr>
            <w:r w:rsidRPr="005F10B9">
              <w:rPr>
                <w:rFonts w:ascii="Arial Narrow" w:hAnsi="Arial Narrow" w:cs="Arial"/>
                <w:color w:val="000000"/>
                <w:lang w:val="es-ES" w:eastAsia="es-ES"/>
              </w:rPr>
              <w:t>La duración del periodo roto tanto al inicio como al final no puede superar los (6) seis meses</w:t>
            </w:r>
            <w:r>
              <w:rPr>
                <w:rFonts w:ascii="Arial Narrow" w:hAnsi="Arial Narrow" w:cs="Arial"/>
                <w:color w:val="000000"/>
                <w:lang w:val="es-ES" w:eastAsia="es-ES"/>
              </w:rPr>
              <w:t xml:space="preserve">, para la rama en COP. </w:t>
            </w:r>
            <w:r w:rsidRPr="005F10B9">
              <w:rPr>
                <w:rFonts w:ascii="Arial Narrow" w:hAnsi="Arial Narrow" w:cs="Arial"/>
                <w:color w:val="000000"/>
                <w:lang w:val="es-ES" w:eastAsia="es-ES"/>
              </w:rPr>
              <w:t xml:space="preserve"> </w:t>
            </w:r>
          </w:p>
          <w:p w14:paraId="0DFD4E2B" w14:textId="77777777" w:rsidR="007968EC" w:rsidRDefault="007968EC" w:rsidP="007968EC">
            <w:pPr>
              <w:jc w:val="both"/>
              <w:rPr>
                <w:rFonts w:ascii="Arial Narrow" w:hAnsi="Arial Narrow"/>
              </w:rPr>
            </w:pPr>
          </w:p>
          <w:p w14:paraId="49AC70FB" w14:textId="77777777" w:rsidR="007968EC" w:rsidRPr="005F10B9" w:rsidRDefault="007968EC" w:rsidP="007968EC">
            <w:pPr>
              <w:autoSpaceDE w:val="0"/>
              <w:autoSpaceDN w:val="0"/>
              <w:adjustRightInd w:val="0"/>
              <w:jc w:val="both"/>
              <w:rPr>
                <w:rFonts w:ascii="Arial Narrow" w:hAnsi="Arial Narrow" w:cs="Arial"/>
                <w:color w:val="000000"/>
                <w:lang w:val="es-ES" w:eastAsia="es-ES"/>
              </w:rPr>
            </w:pPr>
            <w:r w:rsidRPr="005F10B9">
              <w:rPr>
                <w:rFonts w:ascii="Arial Narrow" w:hAnsi="Arial Narrow" w:cs="Arial"/>
                <w:color w:val="000000"/>
                <w:lang w:val="es-ES" w:eastAsia="es-ES"/>
              </w:rPr>
              <w:t>La duración del periodo roto tanto al inicio como al final no puede super</w:t>
            </w:r>
            <w:r>
              <w:rPr>
                <w:rFonts w:ascii="Arial Narrow" w:hAnsi="Arial Narrow" w:cs="Arial"/>
                <w:color w:val="000000"/>
                <w:lang w:val="es-ES" w:eastAsia="es-ES"/>
              </w:rPr>
              <w:t>ar los (12) doce</w:t>
            </w:r>
            <w:r w:rsidRPr="005F10B9">
              <w:rPr>
                <w:rFonts w:ascii="Arial Narrow" w:hAnsi="Arial Narrow" w:cs="Arial"/>
                <w:color w:val="000000"/>
                <w:lang w:val="es-ES" w:eastAsia="es-ES"/>
              </w:rPr>
              <w:t xml:space="preserve"> meses</w:t>
            </w:r>
            <w:r>
              <w:rPr>
                <w:rFonts w:ascii="Arial Narrow" w:hAnsi="Arial Narrow" w:cs="Arial"/>
                <w:color w:val="000000"/>
                <w:lang w:val="es-ES" w:eastAsia="es-ES"/>
              </w:rPr>
              <w:t xml:space="preserve">, para la rama en USD. </w:t>
            </w:r>
            <w:r w:rsidRPr="005F10B9">
              <w:rPr>
                <w:rFonts w:ascii="Arial Narrow" w:hAnsi="Arial Narrow" w:cs="Arial"/>
                <w:color w:val="000000"/>
                <w:lang w:val="es-ES" w:eastAsia="es-ES"/>
              </w:rPr>
              <w:t xml:space="preserve"> </w:t>
            </w:r>
          </w:p>
          <w:p w14:paraId="77773136" w14:textId="77777777" w:rsidR="007968EC" w:rsidRPr="00BC13A4" w:rsidRDefault="007968EC" w:rsidP="007968EC">
            <w:pPr>
              <w:jc w:val="both"/>
              <w:rPr>
                <w:rFonts w:ascii="Arial Narrow" w:hAnsi="Arial Narrow"/>
                <w:lang w:val="es-ES"/>
              </w:rPr>
            </w:pPr>
          </w:p>
          <w:p w14:paraId="32A7D144" w14:textId="77777777" w:rsidR="007968EC" w:rsidRPr="005F10B9" w:rsidRDefault="007968EC" w:rsidP="007968EC">
            <w:pPr>
              <w:autoSpaceDE w:val="0"/>
              <w:autoSpaceDN w:val="0"/>
              <w:adjustRightInd w:val="0"/>
              <w:jc w:val="both"/>
              <w:rPr>
                <w:rFonts w:ascii="Arial Narrow" w:hAnsi="Arial Narrow" w:cs="Arial"/>
                <w:color w:val="000000"/>
                <w:lang w:val="es-ES" w:eastAsia="es-ES"/>
              </w:rPr>
            </w:pPr>
            <w:r w:rsidRPr="005F10B9">
              <w:rPr>
                <w:rFonts w:ascii="Arial Narrow" w:hAnsi="Arial Narrow" w:cs="Arial"/>
                <w:color w:val="000000"/>
                <w:lang w:val="es-ES" w:eastAsia="es-ES"/>
              </w:rPr>
              <w:t xml:space="preserve">La Cámara no acepta interpolaciones en los Overnight </w:t>
            </w:r>
            <w:proofErr w:type="spellStart"/>
            <w:r w:rsidRPr="005F10B9">
              <w:rPr>
                <w:rFonts w:ascii="Arial Narrow" w:hAnsi="Arial Narrow" w:cs="Arial"/>
                <w:color w:val="000000"/>
                <w:lang w:val="es-ES" w:eastAsia="es-ES"/>
              </w:rPr>
              <w:t>Indexed</w:t>
            </w:r>
            <w:proofErr w:type="spellEnd"/>
            <w:r w:rsidRPr="005F10B9">
              <w:rPr>
                <w:rFonts w:ascii="Arial Narrow" w:hAnsi="Arial Narrow" w:cs="Arial"/>
                <w:color w:val="000000"/>
                <w:lang w:val="es-ES" w:eastAsia="es-ES"/>
              </w:rPr>
              <w:t xml:space="preserve"> Swaps (OIS). Las tasas que aplica a elección de las contrapartidas pueden ser: </w:t>
            </w:r>
          </w:p>
          <w:p w14:paraId="6B13DFDD" w14:textId="77777777" w:rsidR="007968EC" w:rsidRPr="005F10B9" w:rsidRDefault="007968EC" w:rsidP="007968EC">
            <w:pPr>
              <w:autoSpaceDE w:val="0"/>
              <w:autoSpaceDN w:val="0"/>
              <w:adjustRightInd w:val="0"/>
              <w:jc w:val="both"/>
              <w:rPr>
                <w:rFonts w:ascii="Arial Narrow" w:hAnsi="Arial Narrow" w:cs="Arial"/>
                <w:color w:val="000000"/>
                <w:lang w:val="es-ES" w:eastAsia="es-ES"/>
              </w:rPr>
            </w:pPr>
          </w:p>
          <w:p w14:paraId="74800A08" w14:textId="77777777" w:rsidR="007968EC" w:rsidRPr="005F10B9" w:rsidRDefault="007968EC" w:rsidP="00DA7472">
            <w:pPr>
              <w:numPr>
                <w:ilvl w:val="0"/>
                <w:numId w:val="321"/>
              </w:numPr>
              <w:autoSpaceDE w:val="0"/>
              <w:autoSpaceDN w:val="0"/>
              <w:adjustRightInd w:val="0"/>
              <w:ind w:left="336"/>
              <w:jc w:val="both"/>
              <w:rPr>
                <w:rFonts w:ascii="Arial Narrow" w:hAnsi="Arial Narrow" w:cs="Arial"/>
                <w:color w:val="000000"/>
                <w:lang w:val="es-ES" w:eastAsia="es-ES"/>
              </w:rPr>
            </w:pPr>
            <w:r w:rsidRPr="005F10B9">
              <w:rPr>
                <w:rFonts w:ascii="Arial Narrow" w:hAnsi="Arial Narrow" w:cs="Arial"/>
                <w:b/>
                <w:bCs/>
                <w:color w:val="000000"/>
                <w:lang w:val="es-ES" w:eastAsia="es-ES"/>
              </w:rPr>
              <w:t>Flujo al inicio de la operación pactada (Periodo Roto al Inicio)</w:t>
            </w:r>
            <w:r w:rsidRPr="005F10B9">
              <w:rPr>
                <w:rFonts w:ascii="Arial Narrow" w:hAnsi="Arial Narrow" w:cs="Arial"/>
                <w:color w:val="000000"/>
                <w:lang w:val="es-ES" w:eastAsia="es-ES"/>
              </w:rPr>
              <w:t>:</w:t>
            </w:r>
          </w:p>
          <w:p w14:paraId="6F0DD2B5" w14:textId="77777777" w:rsidR="007968EC" w:rsidRPr="005F10B9" w:rsidRDefault="007968EC" w:rsidP="007968EC">
            <w:pPr>
              <w:autoSpaceDE w:val="0"/>
              <w:autoSpaceDN w:val="0"/>
              <w:adjustRightInd w:val="0"/>
              <w:ind w:left="336"/>
              <w:jc w:val="both"/>
              <w:rPr>
                <w:rFonts w:ascii="Arial Narrow" w:hAnsi="Arial Narrow" w:cs="Arial"/>
                <w:color w:val="000000"/>
                <w:lang w:val="es-ES" w:eastAsia="es-ES"/>
              </w:rPr>
            </w:pPr>
          </w:p>
          <w:p w14:paraId="00596910" w14:textId="77777777" w:rsidR="007968EC" w:rsidRPr="005F10B9" w:rsidRDefault="007968EC" w:rsidP="007968EC">
            <w:pPr>
              <w:autoSpaceDE w:val="0"/>
              <w:autoSpaceDN w:val="0"/>
              <w:adjustRightInd w:val="0"/>
              <w:jc w:val="both"/>
              <w:rPr>
                <w:rFonts w:ascii="Arial Narrow" w:hAnsi="Arial Narrow" w:cs="Arial"/>
                <w:color w:val="000000"/>
                <w:lang w:val="es-ES" w:eastAsia="es-ES"/>
              </w:rPr>
            </w:pPr>
            <w:r w:rsidRPr="005F10B9">
              <w:rPr>
                <w:rFonts w:ascii="Arial Narrow" w:hAnsi="Arial Narrow" w:cs="Arial"/>
                <w:color w:val="000000"/>
                <w:lang w:val="es-ES" w:eastAsia="es-ES"/>
              </w:rPr>
              <w:t xml:space="preserve">i. El Fixing según referencia seleccionada (1M, 3M </w:t>
            </w:r>
            <w:r>
              <w:rPr>
                <w:rFonts w:ascii="Arial Narrow" w:hAnsi="Arial Narrow" w:cs="Arial"/>
                <w:color w:val="000000"/>
                <w:lang w:val="es-ES" w:eastAsia="es-ES"/>
              </w:rPr>
              <w:t>,</w:t>
            </w:r>
            <w:r w:rsidRPr="005F10B9">
              <w:rPr>
                <w:rFonts w:ascii="Arial Narrow" w:hAnsi="Arial Narrow" w:cs="Arial"/>
                <w:color w:val="000000"/>
                <w:lang w:val="es-ES" w:eastAsia="es-ES"/>
              </w:rPr>
              <w:t xml:space="preserve"> 6M</w:t>
            </w:r>
            <w:r>
              <w:rPr>
                <w:rFonts w:ascii="Arial Narrow" w:hAnsi="Arial Narrow" w:cs="Arial"/>
                <w:color w:val="000000"/>
                <w:lang w:val="es-ES" w:eastAsia="es-ES"/>
              </w:rPr>
              <w:t xml:space="preserve"> y 12M</w:t>
            </w:r>
            <w:r w:rsidRPr="005F10B9">
              <w:rPr>
                <w:rFonts w:ascii="Arial Narrow" w:hAnsi="Arial Narrow" w:cs="Arial"/>
                <w:color w:val="000000"/>
                <w:lang w:val="es-ES" w:eastAsia="es-ES"/>
              </w:rPr>
              <w:t>).</w:t>
            </w:r>
          </w:p>
          <w:p w14:paraId="01202F4F" w14:textId="77777777" w:rsidR="007968EC" w:rsidRPr="005F10B9" w:rsidRDefault="007968EC" w:rsidP="007968EC">
            <w:pPr>
              <w:autoSpaceDE w:val="0"/>
              <w:autoSpaceDN w:val="0"/>
              <w:adjustRightInd w:val="0"/>
              <w:jc w:val="both"/>
              <w:rPr>
                <w:rFonts w:ascii="Arial Narrow" w:hAnsi="Arial Narrow" w:cs="Arial"/>
                <w:color w:val="000000"/>
                <w:lang w:val="es-ES" w:eastAsia="es-ES"/>
              </w:rPr>
            </w:pPr>
          </w:p>
          <w:p w14:paraId="4AC3886C" w14:textId="77777777" w:rsidR="007968EC" w:rsidRPr="005F10B9" w:rsidRDefault="007968EC" w:rsidP="007968EC">
            <w:pPr>
              <w:autoSpaceDE w:val="0"/>
              <w:autoSpaceDN w:val="0"/>
              <w:adjustRightInd w:val="0"/>
              <w:jc w:val="both"/>
              <w:rPr>
                <w:rFonts w:ascii="Arial Narrow" w:hAnsi="Arial Narrow" w:cs="Arial"/>
                <w:color w:val="000000"/>
                <w:lang w:val="es-ES" w:eastAsia="es-ES"/>
              </w:rPr>
            </w:pPr>
            <w:r w:rsidRPr="005F10B9">
              <w:rPr>
                <w:rFonts w:ascii="Arial Narrow" w:hAnsi="Arial Narrow" w:cs="Arial"/>
                <w:color w:val="000000"/>
                <w:lang w:val="es-ES" w:eastAsia="es-ES"/>
              </w:rPr>
              <w:t>ii. El resultante de interpolar linealmente entre los 2 Fixing de referencia (1M, 3M</w:t>
            </w:r>
            <w:r>
              <w:rPr>
                <w:rFonts w:ascii="Arial Narrow" w:hAnsi="Arial Narrow" w:cs="Arial"/>
                <w:color w:val="000000"/>
                <w:lang w:val="es-ES" w:eastAsia="es-ES"/>
              </w:rPr>
              <w:t>,</w:t>
            </w:r>
            <w:r w:rsidRPr="005F10B9">
              <w:rPr>
                <w:rFonts w:ascii="Arial Narrow" w:hAnsi="Arial Narrow" w:cs="Arial"/>
                <w:color w:val="000000"/>
                <w:lang w:val="es-ES" w:eastAsia="es-ES"/>
              </w:rPr>
              <w:t xml:space="preserve">  6M</w:t>
            </w:r>
            <w:r>
              <w:rPr>
                <w:rFonts w:ascii="Arial Narrow" w:hAnsi="Arial Narrow" w:cs="Arial"/>
                <w:color w:val="000000"/>
                <w:lang w:val="es-ES" w:eastAsia="es-ES"/>
              </w:rPr>
              <w:t xml:space="preserve"> y 12M</w:t>
            </w:r>
            <w:r w:rsidRPr="005F10B9">
              <w:rPr>
                <w:rFonts w:ascii="Arial Narrow" w:hAnsi="Arial Narrow" w:cs="Arial"/>
                <w:color w:val="000000"/>
                <w:lang w:val="es-ES" w:eastAsia="es-ES"/>
              </w:rPr>
              <w:t>) entre los más próximos al periodo roto.</w:t>
            </w:r>
          </w:p>
          <w:p w14:paraId="4A556B37" w14:textId="77777777" w:rsidR="007968EC" w:rsidRPr="005F10B9" w:rsidRDefault="007968EC" w:rsidP="007968EC">
            <w:pPr>
              <w:autoSpaceDE w:val="0"/>
              <w:autoSpaceDN w:val="0"/>
              <w:adjustRightInd w:val="0"/>
              <w:jc w:val="both"/>
              <w:rPr>
                <w:rFonts w:ascii="Arial Narrow" w:hAnsi="Arial Narrow" w:cs="Arial"/>
                <w:lang w:val="es-ES" w:eastAsia="es-ES"/>
              </w:rPr>
            </w:pPr>
          </w:p>
          <w:p w14:paraId="49FF032F" w14:textId="77777777" w:rsidR="007968EC" w:rsidRPr="005F10B9" w:rsidRDefault="007968EC" w:rsidP="00DA7472">
            <w:pPr>
              <w:numPr>
                <w:ilvl w:val="0"/>
                <w:numId w:val="321"/>
              </w:numPr>
              <w:autoSpaceDE w:val="0"/>
              <w:autoSpaceDN w:val="0"/>
              <w:adjustRightInd w:val="0"/>
              <w:ind w:left="336"/>
              <w:jc w:val="both"/>
              <w:rPr>
                <w:rFonts w:ascii="Arial Narrow" w:hAnsi="Arial Narrow" w:cs="Arial"/>
                <w:color w:val="000000"/>
                <w:lang w:val="es-ES" w:eastAsia="es-ES"/>
              </w:rPr>
            </w:pPr>
            <w:r w:rsidRPr="005F10B9">
              <w:rPr>
                <w:rFonts w:ascii="Arial Narrow" w:hAnsi="Arial Narrow" w:cs="Arial"/>
                <w:b/>
                <w:bCs/>
                <w:color w:val="000000"/>
                <w:lang w:val="es-ES" w:eastAsia="es-ES"/>
              </w:rPr>
              <w:t>Flujo al final de la operación pactada. (Periodo Roto al Final):</w:t>
            </w:r>
          </w:p>
          <w:p w14:paraId="5729F29F" w14:textId="77777777" w:rsidR="007968EC" w:rsidRPr="005F10B9" w:rsidRDefault="007968EC" w:rsidP="007968EC">
            <w:pPr>
              <w:autoSpaceDE w:val="0"/>
              <w:autoSpaceDN w:val="0"/>
              <w:adjustRightInd w:val="0"/>
              <w:ind w:left="-24"/>
              <w:jc w:val="both"/>
              <w:rPr>
                <w:rFonts w:ascii="Arial Narrow" w:hAnsi="Arial Narrow" w:cs="Arial"/>
                <w:b/>
                <w:bCs/>
                <w:color w:val="000000"/>
                <w:lang w:val="es-ES" w:eastAsia="es-ES"/>
              </w:rPr>
            </w:pPr>
          </w:p>
          <w:p w14:paraId="7F4DA1B6" w14:textId="77777777" w:rsidR="007968EC" w:rsidRPr="005F10B9" w:rsidRDefault="007968EC" w:rsidP="007968EC">
            <w:pPr>
              <w:autoSpaceDE w:val="0"/>
              <w:autoSpaceDN w:val="0"/>
              <w:adjustRightInd w:val="0"/>
              <w:ind w:left="-24"/>
              <w:jc w:val="both"/>
              <w:rPr>
                <w:rFonts w:ascii="Arial Narrow" w:hAnsi="Arial Narrow" w:cs="Arial"/>
                <w:color w:val="000000"/>
                <w:lang w:val="es-ES" w:eastAsia="es-ES"/>
              </w:rPr>
            </w:pPr>
            <w:r w:rsidRPr="005F10B9">
              <w:rPr>
                <w:rFonts w:ascii="Arial Narrow" w:hAnsi="Arial Narrow" w:cs="Arial"/>
                <w:color w:val="000000"/>
                <w:lang w:val="es-ES" w:eastAsia="es-ES"/>
              </w:rPr>
              <w:lastRenderedPageBreak/>
              <w:t>Las tasas que aplica</w:t>
            </w:r>
            <w:r>
              <w:rPr>
                <w:rFonts w:ascii="Arial Narrow" w:hAnsi="Arial Narrow" w:cs="Arial"/>
                <w:color w:val="000000"/>
                <w:lang w:val="es-ES" w:eastAsia="es-ES"/>
              </w:rPr>
              <w:t>n</w:t>
            </w:r>
            <w:r w:rsidRPr="005F10B9">
              <w:rPr>
                <w:rFonts w:ascii="Arial Narrow" w:hAnsi="Arial Narrow" w:cs="Arial"/>
                <w:color w:val="000000"/>
                <w:lang w:val="es-ES" w:eastAsia="es-ES"/>
              </w:rPr>
              <w:t xml:space="preserve"> a elección de las contrapartidas pueden ser: </w:t>
            </w:r>
          </w:p>
          <w:p w14:paraId="6041CF28" w14:textId="77777777" w:rsidR="007968EC" w:rsidRPr="005F10B9" w:rsidRDefault="007968EC" w:rsidP="007968EC">
            <w:pPr>
              <w:autoSpaceDE w:val="0"/>
              <w:autoSpaceDN w:val="0"/>
              <w:adjustRightInd w:val="0"/>
              <w:ind w:left="-24"/>
              <w:jc w:val="both"/>
              <w:rPr>
                <w:rFonts w:ascii="Arial Narrow" w:hAnsi="Arial Narrow" w:cs="Arial"/>
                <w:color w:val="000000"/>
                <w:lang w:val="es-ES" w:eastAsia="es-ES"/>
              </w:rPr>
            </w:pPr>
          </w:p>
          <w:p w14:paraId="57B51E1A" w14:textId="77777777" w:rsidR="007968EC" w:rsidRPr="005F10B9" w:rsidRDefault="007968EC" w:rsidP="007968EC">
            <w:pPr>
              <w:autoSpaceDE w:val="0"/>
              <w:autoSpaceDN w:val="0"/>
              <w:adjustRightInd w:val="0"/>
              <w:jc w:val="both"/>
              <w:rPr>
                <w:rFonts w:ascii="Arial Narrow" w:hAnsi="Arial Narrow" w:cs="Arial"/>
                <w:color w:val="000000"/>
                <w:lang w:val="es-ES" w:eastAsia="es-ES"/>
              </w:rPr>
            </w:pPr>
            <w:r w:rsidRPr="005F10B9">
              <w:rPr>
                <w:rFonts w:ascii="Arial Narrow" w:hAnsi="Arial Narrow" w:cs="Arial"/>
                <w:color w:val="000000"/>
                <w:lang w:val="es-ES" w:eastAsia="es-ES"/>
              </w:rPr>
              <w:t xml:space="preserve">i. El </w:t>
            </w:r>
            <w:proofErr w:type="spellStart"/>
            <w:r w:rsidRPr="005F10B9">
              <w:rPr>
                <w:rFonts w:ascii="Arial Narrow" w:hAnsi="Arial Narrow" w:cs="Arial"/>
                <w:color w:val="000000"/>
                <w:lang w:val="es-ES" w:eastAsia="es-ES"/>
              </w:rPr>
              <w:t>fixing</w:t>
            </w:r>
            <w:proofErr w:type="spellEnd"/>
            <w:r w:rsidRPr="005F10B9">
              <w:rPr>
                <w:rFonts w:ascii="Arial Narrow" w:hAnsi="Arial Narrow" w:cs="Arial"/>
                <w:color w:val="000000"/>
                <w:lang w:val="es-ES" w:eastAsia="es-ES"/>
              </w:rPr>
              <w:t xml:space="preserve"> según referencia seleccionada (1M, 3M</w:t>
            </w:r>
            <w:r>
              <w:rPr>
                <w:rFonts w:ascii="Arial Narrow" w:hAnsi="Arial Narrow" w:cs="Arial"/>
                <w:color w:val="000000"/>
                <w:lang w:val="es-ES" w:eastAsia="es-ES"/>
              </w:rPr>
              <w:t>,</w:t>
            </w:r>
            <w:r w:rsidRPr="005F10B9">
              <w:rPr>
                <w:rFonts w:ascii="Arial Narrow" w:hAnsi="Arial Narrow" w:cs="Arial"/>
                <w:color w:val="000000"/>
                <w:lang w:val="es-ES" w:eastAsia="es-ES"/>
              </w:rPr>
              <w:t xml:space="preserve">  6M</w:t>
            </w:r>
            <w:r>
              <w:rPr>
                <w:rFonts w:ascii="Arial Narrow" w:hAnsi="Arial Narrow" w:cs="Arial"/>
                <w:color w:val="000000"/>
                <w:lang w:val="es-ES" w:eastAsia="es-ES"/>
              </w:rPr>
              <w:t xml:space="preserve"> y 12M</w:t>
            </w:r>
            <w:r w:rsidRPr="005F10B9">
              <w:rPr>
                <w:rFonts w:ascii="Arial Narrow" w:hAnsi="Arial Narrow" w:cs="Arial"/>
                <w:color w:val="000000"/>
                <w:lang w:val="es-ES" w:eastAsia="es-ES"/>
              </w:rPr>
              <w:t xml:space="preserve">). La referencia seleccionada debe de coincidir con la duración del periodo roto. </w:t>
            </w:r>
          </w:p>
          <w:p w14:paraId="5A50ACDA" w14:textId="77777777" w:rsidR="007968EC" w:rsidRPr="005F10B9" w:rsidRDefault="007968EC" w:rsidP="007968EC">
            <w:pPr>
              <w:autoSpaceDE w:val="0"/>
              <w:autoSpaceDN w:val="0"/>
              <w:adjustRightInd w:val="0"/>
              <w:jc w:val="both"/>
              <w:rPr>
                <w:rFonts w:ascii="Arial Narrow" w:hAnsi="Arial Narrow" w:cs="Arial"/>
                <w:color w:val="000000"/>
                <w:lang w:val="es-ES" w:eastAsia="es-ES"/>
              </w:rPr>
            </w:pPr>
          </w:p>
          <w:p w14:paraId="64040621" w14:textId="77777777" w:rsidR="007968EC" w:rsidRPr="005F10B9" w:rsidRDefault="007968EC" w:rsidP="007968EC">
            <w:pPr>
              <w:autoSpaceDE w:val="0"/>
              <w:autoSpaceDN w:val="0"/>
              <w:adjustRightInd w:val="0"/>
              <w:jc w:val="both"/>
              <w:rPr>
                <w:rFonts w:ascii="Arial Narrow" w:hAnsi="Arial Narrow" w:cs="Arial"/>
                <w:color w:val="000000"/>
                <w:lang w:val="es-ES" w:eastAsia="es-ES"/>
              </w:rPr>
            </w:pPr>
            <w:r w:rsidRPr="005F10B9">
              <w:rPr>
                <w:rFonts w:ascii="Arial Narrow" w:hAnsi="Arial Narrow" w:cs="Arial"/>
                <w:color w:val="000000"/>
                <w:lang w:val="es-ES" w:eastAsia="es-ES"/>
              </w:rPr>
              <w:t xml:space="preserve">ii. El resultante de interpolar linealmente entre los </w:t>
            </w:r>
            <w:proofErr w:type="spellStart"/>
            <w:r w:rsidRPr="005F10B9">
              <w:rPr>
                <w:rFonts w:ascii="Arial Narrow" w:hAnsi="Arial Narrow" w:cs="Arial"/>
                <w:color w:val="000000"/>
                <w:lang w:val="es-ES" w:eastAsia="es-ES"/>
              </w:rPr>
              <w:t>fixings</w:t>
            </w:r>
            <w:proofErr w:type="spellEnd"/>
            <w:r w:rsidRPr="005F10B9">
              <w:rPr>
                <w:rFonts w:ascii="Arial Narrow" w:hAnsi="Arial Narrow" w:cs="Arial"/>
                <w:color w:val="000000"/>
                <w:lang w:val="es-ES" w:eastAsia="es-ES"/>
              </w:rPr>
              <w:t xml:space="preserve"> (1M, 3M</w:t>
            </w:r>
            <w:r>
              <w:rPr>
                <w:rFonts w:ascii="Arial Narrow" w:hAnsi="Arial Narrow" w:cs="Arial"/>
                <w:color w:val="000000"/>
                <w:lang w:val="es-ES" w:eastAsia="es-ES"/>
              </w:rPr>
              <w:t>,</w:t>
            </w:r>
            <w:r w:rsidRPr="005F10B9">
              <w:rPr>
                <w:rFonts w:ascii="Arial Narrow" w:hAnsi="Arial Narrow" w:cs="Arial"/>
                <w:color w:val="000000"/>
                <w:lang w:val="es-ES" w:eastAsia="es-ES"/>
              </w:rPr>
              <w:t xml:space="preserve">  6M</w:t>
            </w:r>
            <w:r>
              <w:rPr>
                <w:rFonts w:ascii="Arial Narrow" w:hAnsi="Arial Narrow" w:cs="Arial"/>
                <w:color w:val="000000"/>
                <w:lang w:val="es-ES" w:eastAsia="es-ES"/>
              </w:rPr>
              <w:t xml:space="preserve"> y 12M</w:t>
            </w:r>
            <w:r w:rsidRPr="005F10B9">
              <w:rPr>
                <w:rFonts w:ascii="Arial Narrow" w:hAnsi="Arial Narrow" w:cs="Arial"/>
                <w:color w:val="000000"/>
                <w:lang w:val="es-ES" w:eastAsia="es-ES"/>
              </w:rPr>
              <w:t>) más próximos al periodo roto.</w:t>
            </w:r>
          </w:p>
          <w:p w14:paraId="096BFF27" w14:textId="77777777" w:rsidR="007968EC" w:rsidRPr="005F10B9" w:rsidRDefault="007968EC" w:rsidP="007968EC">
            <w:pPr>
              <w:autoSpaceDE w:val="0"/>
              <w:autoSpaceDN w:val="0"/>
              <w:adjustRightInd w:val="0"/>
              <w:jc w:val="both"/>
              <w:rPr>
                <w:rFonts w:ascii="Arial Narrow" w:hAnsi="Arial Narrow" w:cs="Arial"/>
                <w:color w:val="000000"/>
                <w:lang w:val="es-ES" w:eastAsia="es-ES"/>
              </w:rPr>
            </w:pPr>
            <w:r w:rsidRPr="005F10B9">
              <w:rPr>
                <w:rFonts w:ascii="Arial Narrow" w:hAnsi="Arial Narrow" w:cs="Arial"/>
                <w:color w:val="000000"/>
                <w:lang w:val="es-ES" w:eastAsia="es-ES"/>
              </w:rPr>
              <w:t xml:space="preserve"> </w:t>
            </w:r>
          </w:p>
          <w:p w14:paraId="0F282282" w14:textId="77777777" w:rsidR="007968EC" w:rsidRPr="005F10B9" w:rsidRDefault="007968EC" w:rsidP="00DA7472">
            <w:pPr>
              <w:numPr>
                <w:ilvl w:val="0"/>
                <w:numId w:val="321"/>
              </w:numPr>
              <w:autoSpaceDE w:val="0"/>
              <w:autoSpaceDN w:val="0"/>
              <w:adjustRightInd w:val="0"/>
              <w:ind w:left="336"/>
              <w:jc w:val="both"/>
              <w:rPr>
                <w:rFonts w:ascii="Arial Narrow" w:hAnsi="Arial Narrow" w:cs="Arial"/>
                <w:color w:val="000000"/>
                <w:lang w:val="es-ES" w:eastAsia="es-ES"/>
              </w:rPr>
            </w:pPr>
            <w:r w:rsidRPr="005F10B9">
              <w:rPr>
                <w:rFonts w:ascii="Arial Narrow" w:hAnsi="Arial Narrow" w:cs="Arial"/>
                <w:b/>
                <w:bCs/>
                <w:color w:val="000000"/>
                <w:lang w:val="es-ES" w:eastAsia="es-ES"/>
              </w:rPr>
              <w:t xml:space="preserve">Flujo con Inicio Diferido, </w:t>
            </w:r>
            <w:r w:rsidRPr="005F10B9">
              <w:rPr>
                <w:rFonts w:ascii="Arial Narrow" w:hAnsi="Arial Narrow" w:cs="Arial"/>
                <w:color w:val="000000"/>
                <w:lang w:val="es-ES" w:eastAsia="es-ES"/>
              </w:rPr>
              <w:t xml:space="preserve">Se aplicarán las mismas reglas que a los periodos rotos al final. </w:t>
            </w:r>
          </w:p>
        </w:tc>
      </w:tr>
      <w:tr w:rsidR="007968EC" w:rsidRPr="005F10B9" w14:paraId="183E7CA1" w14:textId="77777777" w:rsidTr="007968EC">
        <w:trPr>
          <w:gridBefore w:val="1"/>
          <w:wBefore w:w="23" w:type="dxa"/>
          <w:trHeight w:val="439"/>
        </w:trPr>
        <w:tc>
          <w:tcPr>
            <w:tcW w:w="4740"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245CFB24" w14:textId="77777777" w:rsidR="007968EC" w:rsidRPr="005F10B9" w:rsidRDefault="007968EC" w:rsidP="007968EC">
            <w:pPr>
              <w:rPr>
                <w:rFonts w:ascii="Arial Narrow" w:hAnsi="Arial Narrow"/>
                <w:b/>
                <w:bCs/>
              </w:rPr>
            </w:pPr>
            <w:r w:rsidRPr="005F10B9">
              <w:rPr>
                <w:rFonts w:ascii="Arial Narrow" w:hAnsi="Arial Narrow"/>
                <w:b/>
                <w:bCs/>
              </w:rPr>
              <w:lastRenderedPageBreak/>
              <w:t xml:space="preserve">Plazo del Índice Variable para el Periodo Roto Inicial / </w:t>
            </w:r>
            <w:proofErr w:type="spellStart"/>
            <w:r w:rsidRPr="005F10B9">
              <w:rPr>
                <w:rFonts w:ascii="Arial Narrow" w:hAnsi="Arial Narrow"/>
                <w:b/>
                <w:bCs/>
              </w:rPr>
              <w:t>Floating</w:t>
            </w:r>
            <w:proofErr w:type="spellEnd"/>
            <w:r w:rsidRPr="005F10B9">
              <w:rPr>
                <w:rFonts w:ascii="Arial Narrow" w:hAnsi="Arial Narrow"/>
                <w:b/>
                <w:bCs/>
              </w:rPr>
              <w:t xml:space="preserve"> </w:t>
            </w:r>
            <w:proofErr w:type="spellStart"/>
            <w:r w:rsidRPr="005F10B9">
              <w:rPr>
                <w:rFonts w:ascii="Arial Narrow" w:hAnsi="Arial Narrow"/>
                <w:b/>
                <w:bCs/>
              </w:rPr>
              <w:t>Leg</w:t>
            </w:r>
            <w:proofErr w:type="spellEnd"/>
            <w:r w:rsidRPr="005F10B9">
              <w:rPr>
                <w:rFonts w:ascii="Arial Narrow" w:hAnsi="Arial Narrow"/>
                <w:b/>
                <w:bCs/>
              </w:rPr>
              <w:t xml:space="preserve"> </w:t>
            </w:r>
            <w:proofErr w:type="spellStart"/>
            <w:r w:rsidRPr="005F10B9">
              <w:rPr>
                <w:rFonts w:ascii="Arial Narrow" w:hAnsi="Arial Narrow"/>
                <w:b/>
                <w:bCs/>
              </w:rPr>
              <w:t>Stub</w:t>
            </w:r>
            <w:proofErr w:type="spellEnd"/>
            <w:r w:rsidRPr="005F10B9">
              <w:rPr>
                <w:rFonts w:ascii="Arial Narrow" w:hAnsi="Arial Narrow"/>
                <w:b/>
                <w:bCs/>
              </w:rPr>
              <w:t xml:space="preserve"> </w:t>
            </w:r>
            <w:proofErr w:type="spellStart"/>
            <w:r w:rsidRPr="005F10B9">
              <w:rPr>
                <w:rFonts w:ascii="Arial Narrow" w:hAnsi="Arial Narrow"/>
                <w:b/>
                <w:bCs/>
              </w:rPr>
              <w:t>Index</w:t>
            </w:r>
            <w:proofErr w:type="spellEnd"/>
            <w:r w:rsidRPr="005F10B9">
              <w:rPr>
                <w:rFonts w:ascii="Arial Narrow" w:hAnsi="Arial Narrow"/>
                <w:b/>
                <w:bCs/>
              </w:rPr>
              <w:t xml:space="preserve"> Tenor (Front </w:t>
            </w:r>
            <w:proofErr w:type="spellStart"/>
            <w:r w:rsidRPr="005F10B9">
              <w:rPr>
                <w:rFonts w:ascii="Arial Narrow" w:hAnsi="Arial Narrow"/>
                <w:b/>
                <w:bCs/>
              </w:rPr>
              <w:t>Period</w:t>
            </w:r>
            <w:proofErr w:type="spellEnd"/>
            <w:r w:rsidRPr="005F10B9">
              <w:rPr>
                <w:rFonts w:ascii="Arial Narrow" w:hAnsi="Arial Narrow"/>
                <w:b/>
                <w:bCs/>
              </w:rPr>
              <w:t xml:space="preserve">) </w:t>
            </w:r>
          </w:p>
        </w:tc>
        <w:tc>
          <w:tcPr>
            <w:tcW w:w="4820" w:type="dxa"/>
            <w:tcBorders>
              <w:top w:val="single" w:sz="18" w:space="0" w:color="auto"/>
              <w:left w:val="single" w:sz="18" w:space="0" w:color="auto"/>
              <w:bottom w:val="single" w:sz="18" w:space="0" w:color="auto"/>
              <w:right w:val="single" w:sz="18" w:space="0" w:color="auto"/>
            </w:tcBorders>
          </w:tcPr>
          <w:p w14:paraId="1E1B4BFA" w14:textId="77777777" w:rsidR="007968EC" w:rsidRPr="005F10B9" w:rsidRDefault="007968EC" w:rsidP="007968EC">
            <w:pPr>
              <w:jc w:val="both"/>
              <w:rPr>
                <w:rFonts w:ascii="Arial Narrow" w:hAnsi="Arial Narrow"/>
              </w:rPr>
            </w:pPr>
            <w:r w:rsidRPr="005F10B9">
              <w:rPr>
                <w:rFonts w:ascii="Arial Narrow" w:hAnsi="Arial Narrow"/>
              </w:rPr>
              <w:t>Este atributo indica el Fixing de la Rama Variable para el período roto al inicio. Los valores elegibles se representan tal y como se establecen en el criterio Método de Interpolación de la Rama Variable con Periodos Rotos.</w:t>
            </w:r>
          </w:p>
        </w:tc>
      </w:tr>
      <w:tr w:rsidR="007968EC" w:rsidRPr="005F10B9" w14:paraId="3E357E66" w14:textId="77777777" w:rsidTr="007968EC">
        <w:trPr>
          <w:gridBefore w:val="1"/>
          <w:wBefore w:w="23" w:type="dxa"/>
          <w:trHeight w:val="439"/>
        </w:trPr>
        <w:tc>
          <w:tcPr>
            <w:tcW w:w="4740"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303FF8EB" w14:textId="77777777" w:rsidR="007968EC" w:rsidRPr="005F10B9" w:rsidRDefault="007968EC" w:rsidP="007968EC">
            <w:pPr>
              <w:rPr>
                <w:rFonts w:ascii="Arial Narrow" w:hAnsi="Arial Narrow"/>
                <w:b/>
                <w:bCs/>
              </w:rPr>
            </w:pPr>
            <w:r w:rsidRPr="005F10B9">
              <w:rPr>
                <w:rFonts w:ascii="Arial Narrow" w:hAnsi="Arial Narrow"/>
                <w:b/>
                <w:bCs/>
              </w:rPr>
              <w:t xml:space="preserve">Plazo del Índice Variable para el Periodo Roto Final / </w:t>
            </w:r>
            <w:proofErr w:type="spellStart"/>
            <w:r w:rsidRPr="005F10B9">
              <w:rPr>
                <w:rFonts w:ascii="Arial Narrow" w:hAnsi="Arial Narrow"/>
                <w:b/>
                <w:bCs/>
              </w:rPr>
              <w:t>Floating</w:t>
            </w:r>
            <w:proofErr w:type="spellEnd"/>
            <w:r w:rsidRPr="005F10B9">
              <w:rPr>
                <w:rFonts w:ascii="Arial Narrow" w:hAnsi="Arial Narrow"/>
                <w:b/>
                <w:bCs/>
              </w:rPr>
              <w:t xml:space="preserve"> </w:t>
            </w:r>
            <w:proofErr w:type="spellStart"/>
            <w:r w:rsidRPr="005F10B9">
              <w:rPr>
                <w:rFonts w:ascii="Arial Narrow" w:hAnsi="Arial Narrow"/>
                <w:b/>
                <w:bCs/>
              </w:rPr>
              <w:t>Leg</w:t>
            </w:r>
            <w:proofErr w:type="spellEnd"/>
            <w:r w:rsidRPr="005F10B9">
              <w:rPr>
                <w:rFonts w:ascii="Arial Narrow" w:hAnsi="Arial Narrow"/>
                <w:b/>
                <w:bCs/>
              </w:rPr>
              <w:t xml:space="preserve"> </w:t>
            </w:r>
            <w:proofErr w:type="spellStart"/>
            <w:r w:rsidRPr="005F10B9">
              <w:rPr>
                <w:rFonts w:ascii="Arial Narrow" w:hAnsi="Arial Narrow"/>
                <w:b/>
                <w:bCs/>
              </w:rPr>
              <w:t>Stub</w:t>
            </w:r>
            <w:proofErr w:type="spellEnd"/>
            <w:r w:rsidRPr="005F10B9">
              <w:rPr>
                <w:rFonts w:ascii="Arial Narrow" w:hAnsi="Arial Narrow"/>
                <w:b/>
                <w:bCs/>
              </w:rPr>
              <w:t xml:space="preserve"> </w:t>
            </w:r>
            <w:proofErr w:type="spellStart"/>
            <w:r w:rsidRPr="005F10B9">
              <w:rPr>
                <w:rFonts w:ascii="Arial Narrow" w:hAnsi="Arial Narrow"/>
                <w:b/>
                <w:bCs/>
              </w:rPr>
              <w:t>Index</w:t>
            </w:r>
            <w:proofErr w:type="spellEnd"/>
            <w:r w:rsidRPr="005F10B9">
              <w:rPr>
                <w:rFonts w:ascii="Arial Narrow" w:hAnsi="Arial Narrow"/>
                <w:b/>
                <w:bCs/>
              </w:rPr>
              <w:t xml:space="preserve"> Tenor (Back </w:t>
            </w:r>
            <w:proofErr w:type="spellStart"/>
            <w:r w:rsidRPr="005F10B9">
              <w:rPr>
                <w:rFonts w:ascii="Arial Narrow" w:hAnsi="Arial Narrow"/>
                <w:b/>
                <w:bCs/>
              </w:rPr>
              <w:t>Period</w:t>
            </w:r>
            <w:proofErr w:type="spellEnd"/>
            <w:r w:rsidRPr="005F10B9">
              <w:rPr>
                <w:rFonts w:ascii="Arial Narrow" w:hAnsi="Arial Narrow"/>
                <w:b/>
                <w:bCs/>
              </w:rPr>
              <w:t xml:space="preserve">) </w:t>
            </w:r>
          </w:p>
        </w:tc>
        <w:tc>
          <w:tcPr>
            <w:tcW w:w="4820" w:type="dxa"/>
            <w:tcBorders>
              <w:top w:val="single" w:sz="18" w:space="0" w:color="auto"/>
              <w:left w:val="single" w:sz="18" w:space="0" w:color="auto"/>
              <w:bottom w:val="single" w:sz="18" w:space="0" w:color="auto"/>
              <w:right w:val="single" w:sz="18" w:space="0" w:color="auto"/>
            </w:tcBorders>
          </w:tcPr>
          <w:p w14:paraId="213D0D57" w14:textId="77777777" w:rsidR="007968EC" w:rsidRPr="005F10B9" w:rsidRDefault="007968EC" w:rsidP="007968EC">
            <w:pPr>
              <w:jc w:val="both"/>
              <w:rPr>
                <w:rFonts w:ascii="Arial Narrow" w:hAnsi="Arial Narrow"/>
              </w:rPr>
            </w:pPr>
            <w:r w:rsidRPr="005F10B9">
              <w:rPr>
                <w:rFonts w:ascii="Arial Narrow" w:hAnsi="Arial Narrow"/>
              </w:rPr>
              <w:t xml:space="preserve">Este atributo indica el Fixing de la Rama Variable con el que se calculan las tasas futuras implícitas para el período roto al final, al igual que para las operaciones con Inicio Diferido. Los valores elegibles se representan tal y como se establecen en el criterio Método de Interpolación de la Rama Variable. </w:t>
            </w:r>
          </w:p>
        </w:tc>
      </w:tr>
      <w:tr w:rsidR="007968EC" w:rsidRPr="005F10B9" w14:paraId="0EDEB885" w14:textId="77777777" w:rsidTr="007968EC">
        <w:trPr>
          <w:gridBefore w:val="1"/>
          <w:wBefore w:w="23" w:type="dxa"/>
          <w:trHeight w:val="439"/>
        </w:trPr>
        <w:tc>
          <w:tcPr>
            <w:tcW w:w="4740"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253EE6F3" w14:textId="77777777" w:rsidR="007968EC" w:rsidRPr="005F10B9" w:rsidRDefault="007968EC" w:rsidP="007968EC">
            <w:pPr>
              <w:rPr>
                <w:rFonts w:ascii="Arial Narrow" w:hAnsi="Arial Narrow"/>
                <w:b/>
                <w:bCs/>
              </w:rPr>
            </w:pPr>
            <w:r w:rsidRPr="005F10B9">
              <w:rPr>
                <w:rFonts w:ascii="Arial Narrow" w:hAnsi="Arial Narrow"/>
                <w:b/>
                <w:bCs/>
              </w:rPr>
              <w:t xml:space="preserve">Convención de Días Hábiles Usada para la Rama Variable para el Periodo Final y para la Fecha de Vencimiento / </w:t>
            </w:r>
            <w:proofErr w:type="spellStart"/>
            <w:r w:rsidRPr="005F10B9">
              <w:rPr>
                <w:rFonts w:ascii="Arial Narrow" w:hAnsi="Arial Narrow"/>
                <w:b/>
                <w:bCs/>
              </w:rPr>
              <w:t>Conventions</w:t>
            </w:r>
            <w:proofErr w:type="spellEnd"/>
            <w:r w:rsidRPr="005F10B9">
              <w:rPr>
                <w:rFonts w:ascii="Arial Narrow" w:hAnsi="Arial Narrow"/>
                <w:b/>
                <w:bCs/>
              </w:rPr>
              <w:t xml:space="preserve"> </w:t>
            </w:r>
            <w:proofErr w:type="spellStart"/>
            <w:r w:rsidRPr="005F10B9">
              <w:rPr>
                <w:rFonts w:ascii="Arial Narrow" w:hAnsi="Arial Narrow"/>
                <w:b/>
                <w:bCs/>
              </w:rPr>
              <w:t>used</w:t>
            </w:r>
            <w:proofErr w:type="spellEnd"/>
            <w:r w:rsidRPr="005F10B9">
              <w:rPr>
                <w:rFonts w:ascii="Arial Narrow" w:hAnsi="Arial Narrow"/>
                <w:b/>
                <w:bCs/>
              </w:rPr>
              <w:t xml:space="preserve"> </w:t>
            </w:r>
            <w:proofErr w:type="spellStart"/>
            <w:r w:rsidRPr="005F10B9">
              <w:rPr>
                <w:rFonts w:ascii="Arial Narrow" w:hAnsi="Arial Narrow"/>
                <w:b/>
                <w:bCs/>
              </w:rPr>
              <w:t>for</w:t>
            </w:r>
            <w:proofErr w:type="spellEnd"/>
            <w:r w:rsidRPr="005F10B9">
              <w:rPr>
                <w:rFonts w:ascii="Arial Narrow" w:hAnsi="Arial Narrow"/>
                <w:b/>
                <w:bCs/>
              </w:rPr>
              <w:t xml:space="preserve"> </w:t>
            </w:r>
            <w:proofErr w:type="spellStart"/>
            <w:r w:rsidRPr="005F10B9">
              <w:rPr>
                <w:rFonts w:ascii="Arial Narrow" w:hAnsi="Arial Narrow"/>
                <w:b/>
                <w:bCs/>
              </w:rPr>
              <w:t>float</w:t>
            </w:r>
            <w:proofErr w:type="spellEnd"/>
            <w:r w:rsidRPr="005F10B9">
              <w:rPr>
                <w:rFonts w:ascii="Arial Narrow" w:hAnsi="Arial Narrow"/>
                <w:b/>
                <w:bCs/>
              </w:rPr>
              <w:t xml:space="preserve"> </w:t>
            </w:r>
            <w:proofErr w:type="spellStart"/>
            <w:r w:rsidRPr="005F10B9">
              <w:rPr>
                <w:rFonts w:ascii="Arial Narrow" w:hAnsi="Arial Narrow"/>
                <w:b/>
                <w:bCs/>
              </w:rPr>
              <w:t>period</w:t>
            </w:r>
            <w:proofErr w:type="spellEnd"/>
            <w:r w:rsidRPr="005F10B9">
              <w:rPr>
                <w:rFonts w:ascii="Arial Narrow" w:hAnsi="Arial Narrow"/>
                <w:b/>
                <w:bCs/>
              </w:rPr>
              <w:t xml:space="preserve"> </w:t>
            </w:r>
            <w:proofErr w:type="spellStart"/>
            <w:r w:rsidRPr="005F10B9">
              <w:rPr>
                <w:rFonts w:ascii="Arial Narrow" w:hAnsi="Arial Narrow"/>
                <w:b/>
                <w:bCs/>
              </w:rPr>
              <w:t>end</w:t>
            </w:r>
            <w:proofErr w:type="spellEnd"/>
            <w:r w:rsidRPr="005F10B9">
              <w:rPr>
                <w:rFonts w:ascii="Arial Narrow" w:hAnsi="Arial Narrow"/>
                <w:b/>
                <w:bCs/>
              </w:rPr>
              <w:t xml:space="preserve"> dates &amp; </w:t>
            </w:r>
            <w:proofErr w:type="spellStart"/>
            <w:r w:rsidRPr="005F10B9">
              <w:rPr>
                <w:rFonts w:ascii="Arial Narrow" w:hAnsi="Arial Narrow"/>
                <w:b/>
                <w:bCs/>
              </w:rPr>
              <w:t>termination</w:t>
            </w:r>
            <w:proofErr w:type="spellEnd"/>
            <w:r w:rsidRPr="005F10B9">
              <w:rPr>
                <w:rFonts w:ascii="Arial Narrow" w:hAnsi="Arial Narrow"/>
                <w:b/>
                <w:bCs/>
              </w:rPr>
              <w:t xml:space="preserve"> date </w:t>
            </w:r>
          </w:p>
        </w:tc>
        <w:tc>
          <w:tcPr>
            <w:tcW w:w="4820" w:type="dxa"/>
            <w:tcBorders>
              <w:top w:val="single" w:sz="18" w:space="0" w:color="auto"/>
              <w:left w:val="single" w:sz="18" w:space="0" w:color="auto"/>
              <w:bottom w:val="single" w:sz="18" w:space="0" w:color="auto"/>
              <w:right w:val="single" w:sz="18" w:space="0" w:color="auto"/>
            </w:tcBorders>
          </w:tcPr>
          <w:p w14:paraId="792EAE39" w14:textId="77777777" w:rsidR="007968EC" w:rsidRPr="005F10B9" w:rsidRDefault="007968EC" w:rsidP="007968EC">
            <w:pPr>
              <w:jc w:val="both"/>
              <w:rPr>
                <w:rFonts w:ascii="Arial Narrow" w:hAnsi="Arial Narrow" w:cs="Arial"/>
                <w:color w:val="000000"/>
              </w:rPr>
            </w:pPr>
            <w:r w:rsidRPr="005F10B9">
              <w:rPr>
                <w:rFonts w:ascii="Arial Narrow" w:hAnsi="Arial Narrow"/>
              </w:rPr>
              <w:t xml:space="preserve">Se define como la convención de día hábil que se aplica para las fechas de fin de los periodos de pago y para la fecha de vencimiento, para la Rama Variable de la operación. </w:t>
            </w:r>
          </w:p>
        </w:tc>
      </w:tr>
      <w:tr w:rsidR="007968EC" w:rsidRPr="005F10B9" w14:paraId="333194EF" w14:textId="77777777" w:rsidTr="007968EC">
        <w:tblPrEx>
          <w:tblBorders>
            <w:top w:val="nil"/>
            <w:left w:val="nil"/>
            <w:bottom w:val="nil"/>
            <w:right w:val="nil"/>
            <w:insideH w:val="none" w:sz="0" w:space="0" w:color="auto"/>
            <w:insideV w:val="none" w:sz="0" w:space="0" w:color="auto"/>
          </w:tblBorders>
        </w:tblPrEx>
        <w:trPr>
          <w:trHeight w:val="208"/>
        </w:trPr>
        <w:tc>
          <w:tcPr>
            <w:tcW w:w="9583" w:type="dxa"/>
            <w:gridSpan w:val="3"/>
          </w:tcPr>
          <w:p w14:paraId="11598AE1" w14:textId="77777777" w:rsidR="007968EC" w:rsidRPr="005F10B9" w:rsidRDefault="007968EC" w:rsidP="007968EC">
            <w:pPr>
              <w:autoSpaceDE w:val="0"/>
              <w:autoSpaceDN w:val="0"/>
              <w:adjustRightInd w:val="0"/>
              <w:jc w:val="both"/>
              <w:rPr>
                <w:rFonts w:ascii="Arial Narrow" w:hAnsi="Arial Narrow" w:cs="Arial"/>
                <w:color w:val="000000"/>
              </w:rPr>
            </w:pPr>
          </w:p>
        </w:tc>
      </w:tr>
    </w:tbl>
    <w:p w14:paraId="102B5B56" w14:textId="77777777" w:rsidR="007968EC" w:rsidRPr="005F10B9" w:rsidRDefault="007968EC" w:rsidP="007968EC">
      <w:pPr>
        <w:rPr>
          <w:rFonts w:ascii="Arial Narrow" w:hAnsi="Arial Narrow"/>
        </w:rPr>
      </w:pPr>
    </w:p>
    <w:p w14:paraId="6A5BA2CB" w14:textId="77777777" w:rsidR="007968EC" w:rsidRPr="005F10B9" w:rsidRDefault="007968EC" w:rsidP="007968EC">
      <w:pPr>
        <w:rPr>
          <w:rFonts w:ascii="Arial Narrow" w:hAnsi="Arial Narrow"/>
        </w:rPr>
      </w:pPr>
      <w:r w:rsidRPr="005F10B9">
        <w:rPr>
          <w:rFonts w:ascii="Arial Narrow" w:hAnsi="Arial Narrow" w:cs="Arial"/>
          <w:color w:val="000000"/>
          <w:u w:val="single"/>
        </w:rPr>
        <w:t>Rama Fija</w:t>
      </w:r>
    </w:p>
    <w:p w14:paraId="58813A8F" w14:textId="77777777" w:rsidR="007968EC" w:rsidRPr="005F10B9" w:rsidRDefault="007968EC" w:rsidP="007968EC">
      <w:pPr>
        <w:rPr>
          <w:rFonts w:ascii="Arial Narrow" w:hAnsi="Arial Narrow"/>
        </w:rPr>
      </w:pPr>
    </w:p>
    <w:tbl>
      <w:tblPr>
        <w:tblW w:w="9560" w:type="dxa"/>
        <w:tblInd w:w="-8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4740"/>
        <w:gridCol w:w="4820"/>
      </w:tblGrid>
      <w:tr w:rsidR="007968EC" w:rsidRPr="005F10B9" w14:paraId="2552D29A" w14:textId="77777777" w:rsidTr="007968EC">
        <w:trPr>
          <w:trHeight w:val="209"/>
        </w:trPr>
        <w:tc>
          <w:tcPr>
            <w:tcW w:w="4740" w:type="dxa"/>
            <w:shd w:val="clear" w:color="auto" w:fill="BFBFBF" w:themeFill="background1" w:themeFillShade="BF"/>
            <w:vAlign w:val="center"/>
          </w:tcPr>
          <w:p w14:paraId="70B0609B" w14:textId="77777777" w:rsidR="007968EC" w:rsidRPr="005F10B9" w:rsidRDefault="007968EC" w:rsidP="007968EC">
            <w:pPr>
              <w:rPr>
                <w:rFonts w:ascii="Arial Narrow" w:hAnsi="Arial Narrow"/>
                <w:b/>
                <w:bCs/>
              </w:rPr>
            </w:pPr>
            <w:r w:rsidRPr="005F10B9">
              <w:rPr>
                <w:rFonts w:ascii="Arial Narrow" w:hAnsi="Arial Narrow"/>
                <w:b/>
                <w:bCs/>
              </w:rPr>
              <w:t xml:space="preserve">Pagador de la Tasa Fija / </w:t>
            </w:r>
            <w:proofErr w:type="spellStart"/>
            <w:r w:rsidRPr="005F10B9">
              <w:rPr>
                <w:rFonts w:ascii="Arial Narrow" w:hAnsi="Arial Narrow"/>
                <w:b/>
                <w:bCs/>
              </w:rPr>
              <w:t>Fixed</w:t>
            </w:r>
            <w:proofErr w:type="spellEnd"/>
            <w:r w:rsidRPr="005F10B9">
              <w:rPr>
                <w:rFonts w:ascii="Arial Narrow" w:hAnsi="Arial Narrow"/>
                <w:b/>
                <w:bCs/>
              </w:rPr>
              <w:t xml:space="preserve"> Rate </w:t>
            </w:r>
            <w:proofErr w:type="spellStart"/>
            <w:r w:rsidRPr="005F10B9">
              <w:rPr>
                <w:rFonts w:ascii="Arial Narrow" w:hAnsi="Arial Narrow"/>
                <w:b/>
                <w:bCs/>
              </w:rPr>
              <w:t>Payer</w:t>
            </w:r>
            <w:proofErr w:type="spellEnd"/>
            <w:r w:rsidRPr="005F10B9">
              <w:rPr>
                <w:rFonts w:ascii="Arial Narrow" w:hAnsi="Arial Narrow"/>
                <w:b/>
                <w:bCs/>
              </w:rPr>
              <w:t xml:space="preserve"> o </w:t>
            </w:r>
            <w:proofErr w:type="spellStart"/>
            <w:r w:rsidRPr="005F10B9">
              <w:rPr>
                <w:rFonts w:ascii="Arial Narrow" w:hAnsi="Arial Narrow"/>
                <w:b/>
                <w:bCs/>
              </w:rPr>
              <w:t>Fixed</w:t>
            </w:r>
            <w:proofErr w:type="spellEnd"/>
            <w:r w:rsidRPr="005F10B9">
              <w:rPr>
                <w:rFonts w:ascii="Arial Narrow" w:hAnsi="Arial Narrow"/>
                <w:b/>
                <w:bCs/>
              </w:rPr>
              <w:t xml:space="preserve"> </w:t>
            </w:r>
            <w:proofErr w:type="spellStart"/>
            <w:r w:rsidRPr="005F10B9">
              <w:rPr>
                <w:rFonts w:ascii="Arial Narrow" w:hAnsi="Arial Narrow"/>
                <w:b/>
                <w:bCs/>
              </w:rPr>
              <w:t>Amount</w:t>
            </w:r>
            <w:proofErr w:type="spellEnd"/>
            <w:r w:rsidRPr="005F10B9">
              <w:rPr>
                <w:rFonts w:ascii="Arial Narrow" w:hAnsi="Arial Narrow"/>
                <w:b/>
                <w:bCs/>
              </w:rPr>
              <w:t xml:space="preserve"> </w:t>
            </w:r>
            <w:proofErr w:type="spellStart"/>
            <w:r w:rsidRPr="005F10B9">
              <w:rPr>
                <w:rFonts w:ascii="Arial Narrow" w:hAnsi="Arial Narrow"/>
                <w:b/>
                <w:bCs/>
              </w:rPr>
              <w:t>Payer</w:t>
            </w:r>
            <w:proofErr w:type="spellEnd"/>
            <w:r w:rsidRPr="005F10B9">
              <w:rPr>
                <w:rFonts w:ascii="Arial Narrow" w:hAnsi="Arial Narrow"/>
                <w:b/>
                <w:bCs/>
              </w:rPr>
              <w:t xml:space="preserve"> </w:t>
            </w:r>
          </w:p>
        </w:tc>
        <w:tc>
          <w:tcPr>
            <w:tcW w:w="4820" w:type="dxa"/>
          </w:tcPr>
          <w:p w14:paraId="39770049" w14:textId="77777777" w:rsidR="007968EC" w:rsidRPr="005F10B9" w:rsidRDefault="007968EC" w:rsidP="007968EC">
            <w:pPr>
              <w:jc w:val="both"/>
              <w:rPr>
                <w:rFonts w:ascii="Arial Narrow" w:hAnsi="Arial Narrow"/>
              </w:rPr>
            </w:pPr>
            <w:r w:rsidRPr="005F10B9">
              <w:rPr>
                <w:rFonts w:ascii="Arial Narrow" w:hAnsi="Arial Narrow"/>
              </w:rPr>
              <w:t xml:space="preserve">Es la contraparte obligada a realizar pagos, con una frecuencia acordada durante la vigencia de una operación, sobre cantidades calculadas con base en una Tasa Fija con uno o más pagos de un importe fijo. </w:t>
            </w:r>
          </w:p>
        </w:tc>
      </w:tr>
      <w:tr w:rsidR="007968EC" w:rsidRPr="005F10B9" w14:paraId="5B9CD650" w14:textId="77777777" w:rsidTr="007968EC">
        <w:trPr>
          <w:trHeight w:val="208"/>
        </w:trPr>
        <w:tc>
          <w:tcPr>
            <w:tcW w:w="4740" w:type="dxa"/>
            <w:shd w:val="clear" w:color="auto" w:fill="BFBFBF" w:themeFill="background1" w:themeFillShade="BF"/>
            <w:vAlign w:val="center"/>
          </w:tcPr>
          <w:p w14:paraId="75662EDD" w14:textId="77777777" w:rsidR="007968EC" w:rsidRPr="005F10B9" w:rsidRDefault="007968EC" w:rsidP="007968EC">
            <w:pPr>
              <w:rPr>
                <w:rFonts w:ascii="Arial Narrow" w:hAnsi="Arial Narrow"/>
                <w:b/>
                <w:bCs/>
              </w:rPr>
            </w:pPr>
            <w:r w:rsidRPr="005F10B9">
              <w:rPr>
                <w:rFonts w:ascii="Arial Narrow" w:hAnsi="Arial Narrow"/>
                <w:b/>
                <w:bCs/>
              </w:rPr>
              <w:t xml:space="preserve">Importe a Tasa de Interés Fija / </w:t>
            </w:r>
            <w:proofErr w:type="spellStart"/>
            <w:r w:rsidRPr="005F10B9">
              <w:rPr>
                <w:rFonts w:ascii="Arial Narrow" w:hAnsi="Arial Narrow"/>
                <w:b/>
                <w:bCs/>
              </w:rPr>
              <w:t>Fixed</w:t>
            </w:r>
            <w:proofErr w:type="spellEnd"/>
            <w:r w:rsidRPr="005F10B9">
              <w:rPr>
                <w:rFonts w:ascii="Arial Narrow" w:hAnsi="Arial Narrow"/>
                <w:b/>
                <w:bCs/>
              </w:rPr>
              <w:t xml:space="preserve"> </w:t>
            </w:r>
            <w:proofErr w:type="spellStart"/>
            <w:r w:rsidRPr="005F10B9">
              <w:rPr>
                <w:rFonts w:ascii="Arial Narrow" w:hAnsi="Arial Narrow"/>
                <w:b/>
                <w:bCs/>
              </w:rPr>
              <w:t>Amount</w:t>
            </w:r>
            <w:proofErr w:type="spellEnd"/>
            <w:r w:rsidRPr="005F10B9">
              <w:rPr>
                <w:rFonts w:ascii="Arial Narrow" w:hAnsi="Arial Narrow"/>
                <w:b/>
                <w:bCs/>
              </w:rPr>
              <w:t xml:space="preserve"> </w:t>
            </w:r>
          </w:p>
        </w:tc>
        <w:tc>
          <w:tcPr>
            <w:tcW w:w="4820" w:type="dxa"/>
          </w:tcPr>
          <w:p w14:paraId="6C20DB14" w14:textId="77777777" w:rsidR="007968EC" w:rsidRPr="005F10B9" w:rsidRDefault="007968EC" w:rsidP="007968EC">
            <w:pPr>
              <w:autoSpaceDE w:val="0"/>
              <w:autoSpaceDN w:val="0"/>
              <w:adjustRightInd w:val="0"/>
              <w:jc w:val="both"/>
              <w:rPr>
                <w:rFonts w:ascii="Arial Narrow" w:hAnsi="Arial Narrow" w:cs="Arial"/>
                <w:color w:val="000000"/>
                <w:lang w:val="es-ES" w:eastAsia="es-ES"/>
              </w:rPr>
            </w:pPr>
            <w:r w:rsidRPr="005F10B9">
              <w:rPr>
                <w:rFonts w:ascii="Arial Narrow" w:hAnsi="Arial Narrow" w:cs="Arial"/>
                <w:color w:val="000000"/>
                <w:lang w:val="es-ES" w:eastAsia="es-ES"/>
              </w:rPr>
              <w:t xml:space="preserve">En relación a una operación y a un pagador de Tasa Fija, es la cantidad que, sujeta a cualquier condición establecida en el momento de registro y aceptada por </w:t>
            </w:r>
            <w:r w:rsidRPr="005F10B9">
              <w:rPr>
                <w:rFonts w:ascii="Arial Narrow" w:hAnsi="Arial Narrow" w:cs="Arial"/>
                <w:color w:val="000000"/>
                <w:lang w:val="es-ES" w:eastAsia="es-ES"/>
              </w:rPr>
              <w:lastRenderedPageBreak/>
              <w:t>la Cámara, debe pagar dicha contraparte en la Fecha de Pago.</w:t>
            </w:r>
          </w:p>
          <w:p w14:paraId="438185C7" w14:textId="77777777" w:rsidR="007968EC" w:rsidRPr="005F10B9" w:rsidRDefault="007968EC" w:rsidP="007968EC">
            <w:pPr>
              <w:autoSpaceDE w:val="0"/>
              <w:autoSpaceDN w:val="0"/>
              <w:adjustRightInd w:val="0"/>
              <w:jc w:val="both"/>
              <w:rPr>
                <w:rFonts w:ascii="Arial Narrow" w:hAnsi="Arial Narrow" w:cs="Arial"/>
                <w:color w:val="000000"/>
                <w:lang w:val="es-ES" w:eastAsia="es-ES"/>
              </w:rPr>
            </w:pPr>
            <w:r w:rsidRPr="005F10B9">
              <w:rPr>
                <w:rFonts w:ascii="Arial Narrow" w:hAnsi="Arial Narrow" w:cs="Arial"/>
                <w:color w:val="000000"/>
                <w:lang w:val="es-ES" w:eastAsia="es-ES"/>
              </w:rPr>
              <w:t xml:space="preserve"> </w:t>
            </w:r>
          </w:p>
          <w:p w14:paraId="5AF5F257" w14:textId="77777777" w:rsidR="007968EC" w:rsidRPr="005F10B9" w:rsidRDefault="007968EC" w:rsidP="007968EC">
            <w:pPr>
              <w:autoSpaceDE w:val="0"/>
              <w:autoSpaceDN w:val="0"/>
              <w:adjustRightInd w:val="0"/>
              <w:jc w:val="both"/>
              <w:rPr>
                <w:rFonts w:ascii="Arial Narrow" w:hAnsi="Arial Narrow" w:cs="Arial"/>
                <w:color w:val="000000"/>
                <w:lang w:val="es-ES" w:eastAsia="es-ES"/>
              </w:rPr>
            </w:pPr>
            <w:r w:rsidRPr="005F10B9">
              <w:rPr>
                <w:rFonts w:ascii="Arial Narrow" w:hAnsi="Arial Narrow" w:cs="Arial"/>
                <w:color w:val="000000"/>
                <w:lang w:val="es-ES" w:eastAsia="es-ES"/>
              </w:rPr>
              <w:t xml:space="preserve">Dicha cantidad se determina con base a una Tasa Fija y se calcula con un método definido por la Cámara en el artículo 5.4.4.2. Procedimiento de Cálculo de los Cupones de la presente Circular. </w:t>
            </w:r>
          </w:p>
          <w:p w14:paraId="285EE5A6" w14:textId="77777777" w:rsidR="007968EC" w:rsidRPr="005F10B9" w:rsidRDefault="007968EC" w:rsidP="007968EC">
            <w:pPr>
              <w:autoSpaceDE w:val="0"/>
              <w:autoSpaceDN w:val="0"/>
              <w:adjustRightInd w:val="0"/>
              <w:jc w:val="both"/>
              <w:rPr>
                <w:rFonts w:ascii="Arial Narrow" w:hAnsi="Arial Narrow" w:cs="Arial"/>
                <w:color w:val="000000"/>
                <w:lang w:val="es-ES" w:eastAsia="es-ES"/>
              </w:rPr>
            </w:pPr>
          </w:p>
        </w:tc>
      </w:tr>
      <w:tr w:rsidR="007968EC" w:rsidRPr="005F10B9" w14:paraId="2E92A2F5" w14:textId="77777777" w:rsidTr="007968EC">
        <w:trPr>
          <w:trHeight w:val="668"/>
        </w:trPr>
        <w:tc>
          <w:tcPr>
            <w:tcW w:w="4740" w:type="dxa"/>
            <w:shd w:val="clear" w:color="auto" w:fill="BFBFBF" w:themeFill="background1" w:themeFillShade="BF"/>
            <w:vAlign w:val="center"/>
          </w:tcPr>
          <w:p w14:paraId="2AD6A011" w14:textId="77777777" w:rsidR="007968EC" w:rsidRPr="005F10B9" w:rsidRDefault="007968EC" w:rsidP="007968EC">
            <w:pPr>
              <w:rPr>
                <w:rFonts w:ascii="Arial Narrow" w:hAnsi="Arial Narrow"/>
                <w:b/>
                <w:bCs/>
              </w:rPr>
            </w:pPr>
            <w:r w:rsidRPr="005F10B9">
              <w:rPr>
                <w:rFonts w:ascii="Arial Narrow" w:hAnsi="Arial Narrow"/>
                <w:b/>
                <w:bCs/>
              </w:rPr>
              <w:lastRenderedPageBreak/>
              <w:t xml:space="preserve">Base de Cálculo de la Rama fija / </w:t>
            </w:r>
            <w:proofErr w:type="spellStart"/>
            <w:r w:rsidRPr="005F10B9">
              <w:rPr>
                <w:rFonts w:ascii="Arial Narrow" w:hAnsi="Arial Narrow"/>
                <w:b/>
                <w:bCs/>
              </w:rPr>
              <w:t>Fixed</w:t>
            </w:r>
            <w:proofErr w:type="spellEnd"/>
            <w:r w:rsidRPr="005F10B9">
              <w:rPr>
                <w:rFonts w:ascii="Arial Narrow" w:hAnsi="Arial Narrow"/>
                <w:b/>
                <w:bCs/>
              </w:rPr>
              <w:t xml:space="preserve"> </w:t>
            </w:r>
            <w:proofErr w:type="spellStart"/>
            <w:r w:rsidRPr="005F10B9">
              <w:rPr>
                <w:rFonts w:ascii="Arial Narrow" w:hAnsi="Arial Narrow"/>
                <w:b/>
                <w:bCs/>
              </w:rPr>
              <w:t>Leg</w:t>
            </w:r>
            <w:proofErr w:type="spellEnd"/>
            <w:r w:rsidRPr="005F10B9">
              <w:rPr>
                <w:rFonts w:ascii="Arial Narrow" w:hAnsi="Arial Narrow"/>
                <w:b/>
                <w:bCs/>
              </w:rPr>
              <w:t xml:space="preserve"> Day </w:t>
            </w:r>
            <w:proofErr w:type="spellStart"/>
            <w:r w:rsidRPr="005F10B9">
              <w:rPr>
                <w:rFonts w:ascii="Arial Narrow" w:hAnsi="Arial Narrow"/>
                <w:b/>
                <w:bCs/>
              </w:rPr>
              <w:t>Count</w:t>
            </w:r>
            <w:proofErr w:type="spellEnd"/>
            <w:r w:rsidRPr="005F10B9">
              <w:rPr>
                <w:rFonts w:ascii="Arial Narrow" w:hAnsi="Arial Narrow"/>
                <w:b/>
                <w:bCs/>
              </w:rPr>
              <w:t xml:space="preserve"> </w:t>
            </w:r>
            <w:proofErr w:type="spellStart"/>
            <w:r w:rsidRPr="005F10B9">
              <w:rPr>
                <w:rFonts w:ascii="Arial Narrow" w:hAnsi="Arial Narrow"/>
                <w:b/>
                <w:bCs/>
              </w:rPr>
              <w:t>Fraction</w:t>
            </w:r>
            <w:proofErr w:type="spellEnd"/>
            <w:r w:rsidRPr="005F10B9">
              <w:rPr>
                <w:rFonts w:ascii="Arial Narrow" w:hAnsi="Arial Narrow"/>
                <w:b/>
                <w:bCs/>
              </w:rPr>
              <w:t xml:space="preserve"> </w:t>
            </w:r>
          </w:p>
        </w:tc>
        <w:tc>
          <w:tcPr>
            <w:tcW w:w="4820" w:type="dxa"/>
          </w:tcPr>
          <w:p w14:paraId="06C78053" w14:textId="77777777" w:rsidR="007968EC" w:rsidRPr="005F10B9" w:rsidRDefault="007968EC" w:rsidP="007968EC">
            <w:pPr>
              <w:jc w:val="both"/>
              <w:rPr>
                <w:rFonts w:ascii="Arial Narrow" w:hAnsi="Arial Narrow"/>
              </w:rPr>
            </w:pPr>
            <w:r w:rsidRPr="005F10B9">
              <w:rPr>
                <w:rFonts w:ascii="Arial Narrow" w:hAnsi="Arial Narrow"/>
              </w:rPr>
              <w:t xml:space="preserve">La "Base de Cálculo para el cómputo de días en la Rama Fija" define el método de recuento de días utilizado para calcular el interés en la Rama Fija del Swap. </w:t>
            </w:r>
          </w:p>
        </w:tc>
      </w:tr>
      <w:tr w:rsidR="007968EC" w:rsidRPr="005F10B9" w14:paraId="1AE463EC" w14:textId="77777777" w:rsidTr="007968EC">
        <w:trPr>
          <w:trHeight w:val="439"/>
        </w:trPr>
        <w:tc>
          <w:tcPr>
            <w:tcW w:w="4740" w:type="dxa"/>
            <w:shd w:val="clear" w:color="auto" w:fill="BFBFBF" w:themeFill="background1" w:themeFillShade="BF"/>
            <w:vAlign w:val="center"/>
          </w:tcPr>
          <w:p w14:paraId="4A824A53" w14:textId="77777777" w:rsidR="007968EC" w:rsidRPr="005F10B9" w:rsidRDefault="007968EC" w:rsidP="007968EC">
            <w:pPr>
              <w:rPr>
                <w:rFonts w:ascii="Arial Narrow" w:hAnsi="Arial Narrow"/>
                <w:b/>
                <w:bCs/>
              </w:rPr>
            </w:pPr>
            <w:r w:rsidRPr="005F10B9">
              <w:rPr>
                <w:rFonts w:ascii="Arial Narrow" w:hAnsi="Arial Narrow"/>
                <w:b/>
                <w:bCs/>
              </w:rPr>
              <w:t xml:space="preserve">Frecuencia de Pago de la Rama Fija / </w:t>
            </w:r>
            <w:proofErr w:type="spellStart"/>
            <w:r w:rsidRPr="005F10B9">
              <w:rPr>
                <w:rFonts w:ascii="Arial Narrow" w:hAnsi="Arial Narrow"/>
                <w:b/>
                <w:bCs/>
              </w:rPr>
              <w:t>Fixed</w:t>
            </w:r>
            <w:proofErr w:type="spellEnd"/>
            <w:r w:rsidRPr="005F10B9">
              <w:rPr>
                <w:rFonts w:ascii="Arial Narrow" w:hAnsi="Arial Narrow"/>
                <w:b/>
                <w:bCs/>
              </w:rPr>
              <w:t xml:space="preserve"> </w:t>
            </w:r>
            <w:proofErr w:type="spellStart"/>
            <w:r w:rsidRPr="005F10B9">
              <w:rPr>
                <w:rFonts w:ascii="Arial Narrow" w:hAnsi="Arial Narrow"/>
                <w:b/>
                <w:bCs/>
              </w:rPr>
              <w:t>Leg</w:t>
            </w:r>
            <w:proofErr w:type="spellEnd"/>
            <w:r w:rsidRPr="005F10B9">
              <w:rPr>
                <w:rFonts w:ascii="Arial Narrow" w:hAnsi="Arial Narrow"/>
                <w:b/>
                <w:bCs/>
              </w:rPr>
              <w:t xml:space="preserve"> </w:t>
            </w:r>
            <w:proofErr w:type="spellStart"/>
            <w:r w:rsidRPr="005F10B9">
              <w:rPr>
                <w:rFonts w:ascii="Arial Narrow" w:hAnsi="Arial Narrow"/>
                <w:b/>
                <w:bCs/>
              </w:rPr>
              <w:t>Payment</w:t>
            </w:r>
            <w:proofErr w:type="spellEnd"/>
            <w:r w:rsidRPr="005F10B9">
              <w:rPr>
                <w:rFonts w:ascii="Arial Narrow" w:hAnsi="Arial Narrow"/>
                <w:b/>
                <w:bCs/>
              </w:rPr>
              <w:t xml:space="preserve"> </w:t>
            </w:r>
            <w:proofErr w:type="spellStart"/>
            <w:r w:rsidRPr="005F10B9">
              <w:rPr>
                <w:rFonts w:ascii="Arial Narrow" w:hAnsi="Arial Narrow"/>
                <w:b/>
                <w:bCs/>
              </w:rPr>
              <w:t>Frequency</w:t>
            </w:r>
            <w:proofErr w:type="spellEnd"/>
            <w:r w:rsidRPr="005F10B9">
              <w:rPr>
                <w:rFonts w:ascii="Arial Narrow" w:hAnsi="Arial Narrow"/>
                <w:b/>
                <w:bCs/>
              </w:rPr>
              <w:t xml:space="preserve"> </w:t>
            </w:r>
          </w:p>
        </w:tc>
        <w:tc>
          <w:tcPr>
            <w:tcW w:w="4820" w:type="dxa"/>
          </w:tcPr>
          <w:p w14:paraId="036A2A46" w14:textId="77777777" w:rsidR="007968EC" w:rsidRPr="005F10B9" w:rsidRDefault="007968EC" w:rsidP="007968EC">
            <w:pPr>
              <w:jc w:val="both"/>
              <w:rPr>
                <w:rFonts w:ascii="Arial Narrow" w:hAnsi="Arial Narrow"/>
              </w:rPr>
            </w:pPr>
            <w:r w:rsidRPr="005F10B9">
              <w:rPr>
                <w:rFonts w:ascii="Arial Narrow" w:hAnsi="Arial Narrow"/>
              </w:rPr>
              <w:t xml:space="preserve">Define la frecuencia de pago de la Rama Fija del Swap. Puede que la frecuencia de pago de la rama fija no coincida con la frecuencia de pago de la Rama Variable. </w:t>
            </w:r>
          </w:p>
        </w:tc>
      </w:tr>
      <w:tr w:rsidR="007968EC" w:rsidRPr="005F10B9" w14:paraId="53D0A202" w14:textId="77777777" w:rsidTr="007968EC">
        <w:trPr>
          <w:trHeight w:val="439"/>
        </w:trPr>
        <w:tc>
          <w:tcPr>
            <w:tcW w:w="4740" w:type="dxa"/>
            <w:shd w:val="clear" w:color="auto" w:fill="BFBFBF" w:themeFill="background1" w:themeFillShade="BF"/>
            <w:vAlign w:val="center"/>
          </w:tcPr>
          <w:p w14:paraId="46DA19D1" w14:textId="77777777" w:rsidR="007968EC" w:rsidRPr="005F10B9" w:rsidRDefault="007968EC" w:rsidP="007968EC">
            <w:pPr>
              <w:rPr>
                <w:rFonts w:ascii="Arial Narrow" w:hAnsi="Arial Narrow"/>
                <w:b/>
                <w:bCs/>
              </w:rPr>
            </w:pPr>
            <w:r w:rsidRPr="005F10B9">
              <w:rPr>
                <w:rFonts w:ascii="Arial Narrow" w:hAnsi="Arial Narrow"/>
                <w:b/>
                <w:bCs/>
              </w:rPr>
              <w:t xml:space="preserve">Tasa de interés de la Rama Fija / </w:t>
            </w:r>
            <w:proofErr w:type="spellStart"/>
            <w:r w:rsidRPr="005F10B9">
              <w:rPr>
                <w:rFonts w:ascii="Arial Narrow" w:hAnsi="Arial Narrow"/>
                <w:b/>
                <w:bCs/>
              </w:rPr>
              <w:t>Fixed</w:t>
            </w:r>
            <w:proofErr w:type="spellEnd"/>
            <w:r w:rsidRPr="005F10B9">
              <w:rPr>
                <w:rFonts w:ascii="Arial Narrow" w:hAnsi="Arial Narrow"/>
                <w:b/>
                <w:bCs/>
              </w:rPr>
              <w:t xml:space="preserve"> </w:t>
            </w:r>
            <w:proofErr w:type="spellStart"/>
            <w:r w:rsidRPr="005F10B9">
              <w:rPr>
                <w:rFonts w:ascii="Arial Narrow" w:hAnsi="Arial Narrow"/>
                <w:b/>
                <w:bCs/>
              </w:rPr>
              <w:t>Leg</w:t>
            </w:r>
            <w:proofErr w:type="spellEnd"/>
            <w:r w:rsidRPr="005F10B9">
              <w:rPr>
                <w:rFonts w:ascii="Arial Narrow" w:hAnsi="Arial Narrow"/>
                <w:b/>
                <w:bCs/>
              </w:rPr>
              <w:t xml:space="preserve"> Rate </w:t>
            </w:r>
          </w:p>
        </w:tc>
        <w:tc>
          <w:tcPr>
            <w:tcW w:w="4820" w:type="dxa"/>
          </w:tcPr>
          <w:p w14:paraId="381D52E6" w14:textId="77777777" w:rsidR="007968EC" w:rsidRPr="005F10B9" w:rsidRDefault="007968EC" w:rsidP="00DA7472">
            <w:pPr>
              <w:numPr>
                <w:ilvl w:val="0"/>
                <w:numId w:val="320"/>
              </w:numPr>
              <w:autoSpaceDE w:val="0"/>
              <w:autoSpaceDN w:val="0"/>
              <w:adjustRightInd w:val="0"/>
              <w:ind w:left="336"/>
              <w:jc w:val="both"/>
              <w:rPr>
                <w:rFonts w:ascii="Arial Narrow" w:hAnsi="Arial Narrow" w:cs="Arial"/>
                <w:color w:val="000000"/>
                <w:lang w:val="es-ES" w:eastAsia="es-ES"/>
              </w:rPr>
            </w:pPr>
            <w:r w:rsidRPr="005F10B9">
              <w:rPr>
                <w:rFonts w:ascii="Arial Narrow" w:hAnsi="Arial Narrow" w:cs="Arial"/>
                <w:color w:val="000000"/>
                <w:lang w:val="es-ES" w:eastAsia="es-ES"/>
              </w:rPr>
              <w:t xml:space="preserve">La Cámara acepta Operaciones con cualquier valor de la Tasa Fija, incluida Tasas negativas o valor 0. </w:t>
            </w:r>
          </w:p>
          <w:p w14:paraId="58021194" w14:textId="77777777" w:rsidR="007968EC" w:rsidRPr="005F10B9" w:rsidRDefault="007968EC" w:rsidP="00DA7472">
            <w:pPr>
              <w:numPr>
                <w:ilvl w:val="0"/>
                <w:numId w:val="320"/>
              </w:numPr>
              <w:autoSpaceDE w:val="0"/>
              <w:autoSpaceDN w:val="0"/>
              <w:adjustRightInd w:val="0"/>
              <w:ind w:left="336"/>
              <w:jc w:val="both"/>
              <w:rPr>
                <w:rFonts w:ascii="Arial Narrow" w:hAnsi="Arial Narrow" w:cs="Arial"/>
                <w:color w:val="000000"/>
                <w:lang w:val="es-ES" w:eastAsia="es-ES"/>
              </w:rPr>
            </w:pPr>
            <w:r w:rsidRPr="005F10B9">
              <w:rPr>
                <w:rFonts w:ascii="Arial Narrow" w:hAnsi="Arial Narrow" w:cs="Arial"/>
                <w:color w:val="000000"/>
                <w:lang w:val="es-ES" w:eastAsia="es-ES"/>
              </w:rPr>
              <w:t xml:space="preserve">La Tasa Fija puede variar, incrementándose, decreciendo o ambos simultáneamente durante la vida de la Operación. </w:t>
            </w:r>
          </w:p>
          <w:p w14:paraId="6269344E" w14:textId="77777777" w:rsidR="007968EC" w:rsidRPr="005F10B9" w:rsidRDefault="007968EC" w:rsidP="00DA7472">
            <w:pPr>
              <w:numPr>
                <w:ilvl w:val="0"/>
                <w:numId w:val="320"/>
              </w:numPr>
              <w:autoSpaceDE w:val="0"/>
              <w:autoSpaceDN w:val="0"/>
              <w:adjustRightInd w:val="0"/>
              <w:ind w:left="336"/>
              <w:jc w:val="both"/>
              <w:rPr>
                <w:rFonts w:ascii="Arial Narrow" w:hAnsi="Arial Narrow" w:cs="Arial"/>
                <w:color w:val="000000"/>
                <w:lang w:val="es-ES" w:eastAsia="es-ES"/>
              </w:rPr>
            </w:pPr>
            <w:r w:rsidRPr="005F10B9">
              <w:rPr>
                <w:rFonts w:ascii="Arial Narrow" w:hAnsi="Arial Narrow" w:cs="Arial"/>
                <w:color w:val="000000"/>
                <w:lang w:val="es-ES" w:eastAsia="es-ES"/>
              </w:rPr>
              <w:t xml:space="preserve">6DPS, significa que la Tasa Fija no podrá tener más de 6 decimales y se expresa en porcentaje. </w:t>
            </w:r>
          </w:p>
          <w:p w14:paraId="7908707F" w14:textId="77777777" w:rsidR="007968EC" w:rsidRPr="005F10B9" w:rsidRDefault="007968EC" w:rsidP="007968EC">
            <w:pPr>
              <w:autoSpaceDE w:val="0"/>
              <w:autoSpaceDN w:val="0"/>
              <w:adjustRightInd w:val="0"/>
              <w:ind w:left="336"/>
              <w:jc w:val="both"/>
              <w:rPr>
                <w:rFonts w:ascii="Arial Narrow" w:hAnsi="Arial Narrow" w:cs="Arial"/>
                <w:color w:val="000000"/>
                <w:lang w:val="es-ES" w:eastAsia="es-ES"/>
              </w:rPr>
            </w:pPr>
          </w:p>
        </w:tc>
      </w:tr>
      <w:tr w:rsidR="007968EC" w:rsidRPr="005F10B9" w14:paraId="246ADAC5" w14:textId="77777777" w:rsidTr="007968EC">
        <w:trPr>
          <w:trHeight w:val="439"/>
        </w:trPr>
        <w:tc>
          <w:tcPr>
            <w:tcW w:w="4740" w:type="dxa"/>
            <w:shd w:val="clear" w:color="auto" w:fill="BFBFBF" w:themeFill="background1" w:themeFillShade="BF"/>
            <w:vAlign w:val="center"/>
          </w:tcPr>
          <w:p w14:paraId="05E419E5" w14:textId="77777777" w:rsidR="007968EC" w:rsidRPr="005F10B9" w:rsidRDefault="007968EC" w:rsidP="007968EC">
            <w:pPr>
              <w:rPr>
                <w:rFonts w:ascii="Arial Narrow" w:hAnsi="Arial Narrow"/>
                <w:b/>
                <w:bCs/>
              </w:rPr>
            </w:pPr>
            <w:r w:rsidRPr="005F10B9">
              <w:rPr>
                <w:rFonts w:ascii="Arial Narrow" w:hAnsi="Arial Narrow"/>
                <w:b/>
                <w:bCs/>
              </w:rPr>
              <w:t xml:space="preserve">Convención de Días Hábiles Usada para la Rama Fija para el Periodo Final y para la Fecha de Vencimiento / </w:t>
            </w:r>
            <w:proofErr w:type="spellStart"/>
            <w:r w:rsidRPr="005F10B9">
              <w:rPr>
                <w:rFonts w:ascii="Arial Narrow" w:hAnsi="Arial Narrow"/>
                <w:b/>
                <w:bCs/>
              </w:rPr>
              <w:t>conventions</w:t>
            </w:r>
            <w:proofErr w:type="spellEnd"/>
            <w:r w:rsidRPr="005F10B9">
              <w:rPr>
                <w:rFonts w:ascii="Arial Narrow" w:hAnsi="Arial Narrow"/>
                <w:b/>
                <w:bCs/>
              </w:rPr>
              <w:t xml:space="preserve"> </w:t>
            </w:r>
            <w:proofErr w:type="spellStart"/>
            <w:r w:rsidRPr="005F10B9">
              <w:rPr>
                <w:rFonts w:ascii="Arial Narrow" w:hAnsi="Arial Narrow"/>
                <w:b/>
                <w:bCs/>
              </w:rPr>
              <w:t>used</w:t>
            </w:r>
            <w:proofErr w:type="spellEnd"/>
            <w:r w:rsidRPr="005F10B9">
              <w:rPr>
                <w:rFonts w:ascii="Arial Narrow" w:hAnsi="Arial Narrow"/>
                <w:b/>
                <w:bCs/>
              </w:rPr>
              <w:t xml:space="preserve"> </w:t>
            </w:r>
            <w:proofErr w:type="spellStart"/>
            <w:r w:rsidRPr="005F10B9">
              <w:rPr>
                <w:rFonts w:ascii="Arial Narrow" w:hAnsi="Arial Narrow"/>
                <w:b/>
                <w:bCs/>
              </w:rPr>
              <w:t>for</w:t>
            </w:r>
            <w:proofErr w:type="spellEnd"/>
            <w:r w:rsidRPr="005F10B9">
              <w:rPr>
                <w:rFonts w:ascii="Arial Narrow" w:hAnsi="Arial Narrow"/>
                <w:b/>
                <w:bCs/>
              </w:rPr>
              <w:t xml:space="preserve"> </w:t>
            </w:r>
            <w:proofErr w:type="spellStart"/>
            <w:r w:rsidRPr="005F10B9">
              <w:rPr>
                <w:rFonts w:ascii="Arial Narrow" w:hAnsi="Arial Narrow"/>
                <w:b/>
                <w:bCs/>
              </w:rPr>
              <w:t>fixed</w:t>
            </w:r>
            <w:proofErr w:type="spellEnd"/>
            <w:r w:rsidRPr="005F10B9">
              <w:rPr>
                <w:rFonts w:ascii="Arial Narrow" w:hAnsi="Arial Narrow"/>
                <w:b/>
                <w:bCs/>
              </w:rPr>
              <w:t xml:space="preserve"> </w:t>
            </w:r>
            <w:proofErr w:type="spellStart"/>
            <w:r w:rsidRPr="005F10B9">
              <w:rPr>
                <w:rFonts w:ascii="Arial Narrow" w:hAnsi="Arial Narrow"/>
                <w:b/>
                <w:bCs/>
              </w:rPr>
              <w:t>period</w:t>
            </w:r>
            <w:proofErr w:type="spellEnd"/>
            <w:r w:rsidRPr="005F10B9">
              <w:rPr>
                <w:rFonts w:ascii="Arial Narrow" w:hAnsi="Arial Narrow"/>
                <w:b/>
                <w:bCs/>
              </w:rPr>
              <w:t xml:space="preserve"> </w:t>
            </w:r>
            <w:proofErr w:type="spellStart"/>
            <w:r w:rsidRPr="005F10B9">
              <w:rPr>
                <w:rFonts w:ascii="Arial Narrow" w:hAnsi="Arial Narrow"/>
                <w:b/>
                <w:bCs/>
              </w:rPr>
              <w:t>end</w:t>
            </w:r>
            <w:proofErr w:type="spellEnd"/>
            <w:r w:rsidRPr="005F10B9">
              <w:rPr>
                <w:rFonts w:ascii="Arial Narrow" w:hAnsi="Arial Narrow"/>
                <w:b/>
                <w:bCs/>
              </w:rPr>
              <w:t xml:space="preserve"> dates &amp; </w:t>
            </w:r>
            <w:proofErr w:type="spellStart"/>
            <w:r w:rsidRPr="005F10B9">
              <w:rPr>
                <w:rFonts w:ascii="Arial Narrow" w:hAnsi="Arial Narrow"/>
                <w:b/>
                <w:bCs/>
              </w:rPr>
              <w:t>termination</w:t>
            </w:r>
            <w:proofErr w:type="spellEnd"/>
            <w:r w:rsidRPr="005F10B9">
              <w:rPr>
                <w:rFonts w:ascii="Arial Narrow" w:hAnsi="Arial Narrow"/>
                <w:b/>
                <w:bCs/>
              </w:rPr>
              <w:t xml:space="preserve"> date </w:t>
            </w:r>
          </w:p>
        </w:tc>
        <w:tc>
          <w:tcPr>
            <w:tcW w:w="4820" w:type="dxa"/>
          </w:tcPr>
          <w:p w14:paraId="1AC220A3" w14:textId="77777777" w:rsidR="007968EC" w:rsidRPr="005F10B9" w:rsidRDefault="007968EC" w:rsidP="007968EC">
            <w:pPr>
              <w:autoSpaceDE w:val="0"/>
              <w:autoSpaceDN w:val="0"/>
              <w:adjustRightInd w:val="0"/>
              <w:jc w:val="both"/>
              <w:rPr>
                <w:rFonts w:ascii="Arial Narrow" w:hAnsi="Arial Narrow" w:cs="Arial"/>
                <w:color w:val="000000"/>
                <w:lang w:val="es-ES" w:eastAsia="es-ES"/>
              </w:rPr>
            </w:pPr>
            <w:r w:rsidRPr="005F10B9">
              <w:rPr>
                <w:rFonts w:ascii="Arial Narrow" w:hAnsi="Arial Narrow" w:cs="Arial"/>
                <w:color w:val="000000"/>
                <w:lang w:val="es-ES" w:eastAsia="es-ES"/>
              </w:rPr>
              <w:t xml:space="preserve">Se define como la convención de Día Hábil que se aplica para las Fechas de fin de los periodos de pago y para la Fecha de Vencimiento, para la Rama Fija de la Operación. </w:t>
            </w:r>
          </w:p>
        </w:tc>
      </w:tr>
    </w:tbl>
    <w:p w14:paraId="32576AF8" w14:textId="77777777" w:rsidR="007968EC" w:rsidRPr="005F10B9" w:rsidRDefault="007968EC" w:rsidP="007968EC">
      <w:pPr>
        <w:rPr>
          <w:rFonts w:ascii="Arial Narrow" w:eastAsia="Calibri" w:hAnsi="Arial Narrow"/>
          <w:color w:val="000000" w:themeColor="text1"/>
          <w:lang w:eastAsia="es-ES"/>
        </w:rPr>
      </w:pPr>
    </w:p>
    <w:p w14:paraId="5EAF76CC" w14:textId="77777777" w:rsidR="007968EC" w:rsidRPr="005F10B9" w:rsidRDefault="007968EC" w:rsidP="007968EC">
      <w:pPr>
        <w:pStyle w:val="ARTICULO0"/>
      </w:pPr>
      <w:bookmarkStart w:id="6458" w:name="_Toc31716568"/>
      <w:r w:rsidRPr="005F10B9">
        <w:t>Artículo 5.7.2.2. Términos Económicos (Criterios de Elegibilidad).</w:t>
      </w:r>
      <w:bookmarkEnd w:id="6458"/>
    </w:p>
    <w:p w14:paraId="0C6D4DA0" w14:textId="77777777" w:rsidR="007968EC" w:rsidRDefault="007968EC" w:rsidP="007968EC">
      <w:pPr>
        <w:jc w:val="both"/>
        <w:rPr>
          <w:rFonts w:ascii="Arial Narrow" w:hAnsi="Arial Narrow"/>
          <w:b/>
        </w:rPr>
      </w:pPr>
    </w:p>
    <w:p w14:paraId="58479A9C" w14:textId="77777777" w:rsidR="007968EC" w:rsidRPr="00175A55" w:rsidRDefault="007968EC" w:rsidP="007968EC">
      <w:pPr>
        <w:pStyle w:val="ARTICULO0"/>
        <w:rPr>
          <w:u w:val="none"/>
        </w:rPr>
      </w:pPr>
      <w:bookmarkStart w:id="6459" w:name="_Toc31716569"/>
      <w:r w:rsidRPr="00D044D5">
        <w:rPr>
          <w:bCs/>
          <w:u w:val="none"/>
        </w:rPr>
        <w:t>(Este artículo fue modificado mediante Circular 11 del 3 de agosto de 2018, publicada en el Boletín Normativo No. 17 del 3 de agosto de 2018,</w:t>
      </w:r>
      <w:r w:rsidRPr="00D044D5">
        <w:rPr>
          <w:u w:val="none"/>
        </w:rPr>
        <w:t xml:space="preserve"> </w:t>
      </w:r>
      <w:r>
        <w:rPr>
          <w:u w:val="none"/>
        </w:rPr>
        <w:t xml:space="preserve">y </w:t>
      </w:r>
      <w:r w:rsidRPr="000C31A5">
        <w:rPr>
          <w:u w:val="none"/>
        </w:rPr>
        <w:t>mediante Circular 19 del 22 de noviembre de 2019, publicada en el Boletín Normativo No. 034 del 22 de noviembre de 2019. Rige a partir del 25 de noviembre de 2019).</w:t>
      </w:r>
      <w:bookmarkEnd w:id="6459"/>
    </w:p>
    <w:p w14:paraId="4E03484F" w14:textId="77777777" w:rsidR="007968EC" w:rsidRPr="005F10B9" w:rsidRDefault="007968EC" w:rsidP="007968EC">
      <w:pPr>
        <w:rPr>
          <w:rFonts w:ascii="Arial Narrow" w:hAnsi="Arial Narrow" w:cs="Arial"/>
          <w:b/>
          <w:color w:val="000000" w:themeColor="text1"/>
          <w:u w:val="single"/>
          <w:lang w:eastAsia="es-ES"/>
        </w:rPr>
      </w:pPr>
    </w:p>
    <w:p w14:paraId="6EF9DF47" w14:textId="77777777" w:rsidR="007968EC" w:rsidRPr="005F10B9" w:rsidRDefault="007968EC" w:rsidP="007968EC">
      <w:pPr>
        <w:keepNext/>
        <w:tabs>
          <w:tab w:val="left" w:pos="1701"/>
        </w:tabs>
        <w:jc w:val="both"/>
        <w:outlineLvl w:val="2"/>
        <w:rPr>
          <w:rFonts w:ascii="Arial Narrow" w:eastAsia="Calibri" w:hAnsi="Arial Narrow"/>
          <w:color w:val="000000" w:themeColor="text1"/>
        </w:rPr>
      </w:pPr>
      <w:r w:rsidRPr="005F10B9">
        <w:rPr>
          <w:rFonts w:ascii="Arial Narrow" w:eastAsia="Calibri" w:hAnsi="Arial Narrow"/>
          <w:color w:val="000000" w:themeColor="text1"/>
        </w:rPr>
        <w:lastRenderedPageBreak/>
        <w:t>La Cámara se interpondrá y aceptará Operaciones sobre Swaps que cumplan con los siguientes Términos Económicos (Criterios de Elegibilidad) y cuyas especificaciones se ajusten a las definiciones establecidas en el artículo 5.7.2.1. de la presente Circular:</w:t>
      </w:r>
    </w:p>
    <w:p w14:paraId="02F7AC2B" w14:textId="77777777" w:rsidR="007968EC" w:rsidRPr="005F10B9" w:rsidRDefault="007968EC" w:rsidP="007968EC">
      <w:pPr>
        <w:keepNext/>
        <w:tabs>
          <w:tab w:val="left" w:pos="1701"/>
        </w:tabs>
        <w:jc w:val="both"/>
        <w:outlineLvl w:val="2"/>
        <w:rPr>
          <w:rFonts w:ascii="Arial Narrow" w:eastAsia="Calibri" w:hAnsi="Arial Narrow"/>
          <w:color w:val="000000" w:themeColor="text1"/>
        </w:rPr>
      </w:pPr>
    </w:p>
    <w:p w14:paraId="7294AD62" w14:textId="77777777" w:rsidR="007968EC" w:rsidRPr="005F10B9" w:rsidRDefault="007968EC" w:rsidP="00DA7472">
      <w:pPr>
        <w:numPr>
          <w:ilvl w:val="0"/>
          <w:numId w:val="54"/>
        </w:numPr>
        <w:ind w:left="576" w:hanging="425"/>
        <w:jc w:val="both"/>
        <w:rPr>
          <w:rFonts w:ascii="Arial Narrow" w:eastAsia="Calibri" w:hAnsi="Arial Narrow"/>
          <w:b/>
          <w:color w:val="000000" w:themeColor="text1"/>
          <w:u w:val="single"/>
        </w:rPr>
      </w:pPr>
      <w:r w:rsidRPr="005F10B9">
        <w:rPr>
          <w:rFonts w:ascii="Arial Narrow" w:eastAsia="Calibri" w:hAnsi="Arial Narrow"/>
          <w:b/>
          <w:color w:val="000000" w:themeColor="text1"/>
          <w:u w:val="single"/>
        </w:rPr>
        <w:t>IRS</w:t>
      </w:r>
    </w:p>
    <w:p w14:paraId="4CCC788C" w14:textId="77777777" w:rsidR="007968EC" w:rsidRPr="005F10B9" w:rsidRDefault="007968EC" w:rsidP="007968EC">
      <w:pPr>
        <w:keepNext/>
        <w:tabs>
          <w:tab w:val="left" w:pos="1701"/>
        </w:tabs>
        <w:jc w:val="both"/>
        <w:outlineLvl w:val="2"/>
        <w:rPr>
          <w:rFonts w:ascii="Arial Narrow" w:hAnsi="Arial Narrow" w:cs="Arial"/>
          <w:b/>
          <w:color w:val="000000" w:themeColor="text1"/>
          <w:u w:val="single"/>
          <w:lang w:eastAsia="es-ES"/>
        </w:rPr>
      </w:pPr>
    </w:p>
    <w:tbl>
      <w:tblPr>
        <w:tblStyle w:val="Tabladecuadrcula4-nfasis11"/>
        <w:tblW w:w="9374" w:type="dxa"/>
        <w:tblInd w:w="-23" w:type="dxa"/>
        <w:tblBorders>
          <w:top w:val="single" w:sz="18" w:space="0" w:color="auto"/>
          <w:left w:val="single" w:sz="18" w:space="0" w:color="auto"/>
          <w:bottom w:val="single" w:sz="18" w:space="0" w:color="auto"/>
          <w:right w:val="single" w:sz="18" w:space="0" w:color="auto"/>
          <w:insideH w:val="single" w:sz="12" w:space="0" w:color="auto"/>
          <w:insideV w:val="single" w:sz="18" w:space="0" w:color="auto"/>
        </w:tblBorders>
        <w:tblLook w:val="04A0" w:firstRow="1" w:lastRow="0" w:firstColumn="1" w:lastColumn="0" w:noHBand="0" w:noVBand="1"/>
      </w:tblPr>
      <w:tblGrid>
        <w:gridCol w:w="1682"/>
        <w:gridCol w:w="562"/>
        <w:gridCol w:w="2942"/>
        <w:gridCol w:w="4188"/>
      </w:tblGrid>
      <w:tr w:rsidR="007968EC" w:rsidRPr="005F10B9" w14:paraId="10064AD2" w14:textId="77777777" w:rsidTr="007968E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2" w:type="dxa"/>
            <w:shd w:val="clear" w:color="auto" w:fill="auto"/>
            <w:vAlign w:val="center"/>
          </w:tcPr>
          <w:p w14:paraId="5B396BA6" w14:textId="77777777" w:rsidR="007968EC" w:rsidRPr="005F10B9" w:rsidRDefault="007968EC" w:rsidP="007968EC">
            <w:pPr>
              <w:jc w:val="center"/>
              <w:rPr>
                <w:rFonts w:ascii="Arial Narrow" w:eastAsia="Calibri" w:hAnsi="Arial Narrow" w:cs="Calibri"/>
                <w:lang w:val="es-CO"/>
              </w:rPr>
            </w:pPr>
            <w:r w:rsidRPr="005F10B9">
              <w:rPr>
                <w:rFonts w:ascii="Arial Narrow" w:eastAsia="Calibri" w:hAnsi="Arial Narrow" w:cs="Calibri"/>
                <w:lang w:val="es-CO"/>
              </w:rPr>
              <w:t>GRUPO</w:t>
            </w:r>
          </w:p>
        </w:tc>
        <w:tc>
          <w:tcPr>
            <w:tcW w:w="566" w:type="dxa"/>
            <w:shd w:val="clear" w:color="auto" w:fill="auto"/>
            <w:vAlign w:val="center"/>
          </w:tcPr>
          <w:p w14:paraId="44E3A283" w14:textId="77777777" w:rsidR="007968EC" w:rsidRPr="005F10B9" w:rsidRDefault="007968EC" w:rsidP="007968EC">
            <w:pPr>
              <w:jc w:val="center"/>
              <w:cnfStyle w:val="100000000000" w:firstRow="1" w:lastRow="0" w:firstColumn="0" w:lastColumn="0" w:oddVBand="0" w:evenVBand="0" w:oddHBand="0" w:evenHBand="0" w:firstRowFirstColumn="0" w:firstRowLastColumn="0" w:lastRowFirstColumn="0" w:lastRowLastColumn="0"/>
              <w:rPr>
                <w:rFonts w:ascii="Arial Narrow" w:hAnsi="Arial Narrow"/>
                <w:snapToGrid w:val="0"/>
                <w:lang w:val="es-CO"/>
              </w:rPr>
            </w:pPr>
            <w:proofErr w:type="spellStart"/>
            <w:r w:rsidRPr="005F10B9">
              <w:rPr>
                <w:rFonts w:ascii="Arial Narrow" w:hAnsi="Arial Narrow"/>
                <w:snapToGrid w:val="0"/>
                <w:lang w:val="es-CO"/>
              </w:rPr>
              <w:t>Nº</w:t>
            </w:r>
            <w:proofErr w:type="spellEnd"/>
          </w:p>
        </w:tc>
        <w:tc>
          <w:tcPr>
            <w:tcW w:w="2975" w:type="dxa"/>
            <w:shd w:val="clear" w:color="auto" w:fill="auto"/>
            <w:vAlign w:val="center"/>
          </w:tcPr>
          <w:p w14:paraId="6BDE41F2" w14:textId="77777777" w:rsidR="007968EC" w:rsidRPr="005F10B9" w:rsidRDefault="007968EC" w:rsidP="007968EC">
            <w:pPr>
              <w:jc w:val="center"/>
              <w:cnfStyle w:val="100000000000" w:firstRow="1" w:lastRow="0" w:firstColumn="0" w:lastColumn="0" w:oddVBand="0" w:evenVBand="0" w:oddHBand="0" w:evenHBand="0" w:firstRowFirstColumn="0" w:firstRowLastColumn="0" w:lastRowFirstColumn="0" w:lastRowLastColumn="0"/>
              <w:rPr>
                <w:rFonts w:ascii="Arial Narrow" w:hAnsi="Arial Narrow"/>
                <w:snapToGrid w:val="0"/>
                <w:lang w:val="es-CO"/>
              </w:rPr>
            </w:pPr>
            <w:r w:rsidRPr="005F10B9">
              <w:rPr>
                <w:rFonts w:ascii="Arial Narrow" w:hAnsi="Arial Narrow"/>
                <w:snapToGrid w:val="0"/>
                <w:lang w:val="es-CO"/>
              </w:rPr>
              <w:t>ATRIBUTO</w:t>
            </w:r>
          </w:p>
        </w:tc>
        <w:tc>
          <w:tcPr>
            <w:tcW w:w="4271" w:type="dxa"/>
            <w:shd w:val="clear" w:color="auto" w:fill="auto"/>
            <w:vAlign w:val="center"/>
          </w:tcPr>
          <w:p w14:paraId="4894D042" w14:textId="77777777" w:rsidR="007968EC" w:rsidRPr="005F10B9" w:rsidRDefault="007968EC" w:rsidP="007968EC">
            <w:pPr>
              <w:cnfStyle w:val="100000000000" w:firstRow="1" w:lastRow="0" w:firstColumn="0" w:lastColumn="0" w:oddVBand="0" w:evenVBand="0" w:oddHBand="0" w:evenHBand="0" w:firstRowFirstColumn="0" w:firstRowLastColumn="0" w:lastRowFirstColumn="0" w:lastRowLastColumn="0"/>
              <w:rPr>
                <w:rFonts w:ascii="Arial Narrow" w:hAnsi="Arial Narrow"/>
                <w:snapToGrid w:val="0"/>
                <w:lang w:val="es-CO"/>
              </w:rPr>
            </w:pPr>
            <w:r w:rsidRPr="005F10B9">
              <w:rPr>
                <w:rFonts w:ascii="Arial Narrow" w:hAnsi="Arial Narrow"/>
                <w:snapToGrid w:val="0"/>
                <w:lang w:val="es-CO"/>
              </w:rPr>
              <w:t>VALOR CRCC</w:t>
            </w:r>
          </w:p>
        </w:tc>
      </w:tr>
      <w:tr w:rsidR="007968EC" w:rsidRPr="005F10B9" w14:paraId="1A044B6D"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vMerge w:val="restart"/>
            <w:shd w:val="clear" w:color="auto" w:fill="BFBFBF" w:themeFill="background1" w:themeFillShade="BF"/>
            <w:vAlign w:val="center"/>
          </w:tcPr>
          <w:p w14:paraId="5C7121C5" w14:textId="77777777" w:rsidR="007968EC" w:rsidRPr="005F10B9" w:rsidRDefault="007968EC" w:rsidP="007968EC">
            <w:pPr>
              <w:jc w:val="center"/>
              <w:rPr>
                <w:rFonts w:ascii="Arial Narrow" w:eastAsia="Calibri" w:hAnsi="Arial Narrow"/>
                <w:color w:val="000000" w:themeColor="text1"/>
                <w:lang w:val="es-CO" w:eastAsia="en-US"/>
              </w:rPr>
            </w:pPr>
            <w:r w:rsidRPr="005F10B9">
              <w:rPr>
                <w:rFonts w:ascii="Arial Narrow" w:eastAsia="Calibri" w:hAnsi="Arial Narrow"/>
                <w:color w:val="000000" w:themeColor="text1"/>
              </w:rPr>
              <w:t>Divisa</w:t>
            </w:r>
          </w:p>
        </w:tc>
        <w:tc>
          <w:tcPr>
            <w:tcW w:w="566" w:type="dxa"/>
            <w:shd w:val="clear" w:color="auto" w:fill="auto"/>
            <w:vAlign w:val="center"/>
          </w:tcPr>
          <w:p w14:paraId="7B296757"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hAnsi="Arial Narrow"/>
                <w:lang w:val="es-CO"/>
              </w:rPr>
            </w:pPr>
          </w:p>
          <w:p w14:paraId="7E6E8091"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1</w:t>
            </w:r>
          </w:p>
        </w:tc>
        <w:tc>
          <w:tcPr>
            <w:tcW w:w="2975" w:type="dxa"/>
            <w:shd w:val="clear" w:color="auto" w:fill="auto"/>
            <w:vAlign w:val="center"/>
          </w:tcPr>
          <w:p w14:paraId="70474690"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Divisa</w:t>
            </w:r>
          </w:p>
        </w:tc>
        <w:tc>
          <w:tcPr>
            <w:tcW w:w="4271" w:type="dxa"/>
            <w:shd w:val="clear" w:color="auto" w:fill="auto"/>
            <w:vAlign w:val="center"/>
          </w:tcPr>
          <w:p w14:paraId="796B074F"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COP</w:t>
            </w:r>
          </w:p>
        </w:tc>
      </w:tr>
      <w:tr w:rsidR="007968EC" w:rsidRPr="005F10B9" w14:paraId="0C1CAB4D" w14:textId="77777777" w:rsidTr="007968EC">
        <w:tc>
          <w:tcPr>
            <w:cnfStyle w:val="001000000000" w:firstRow="0" w:lastRow="0" w:firstColumn="1" w:lastColumn="0" w:oddVBand="0" w:evenVBand="0" w:oddHBand="0" w:evenHBand="0" w:firstRowFirstColumn="0" w:firstRowLastColumn="0" w:lastRowFirstColumn="0" w:lastRowLastColumn="0"/>
            <w:tcW w:w="1562" w:type="dxa"/>
            <w:vMerge/>
            <w:shd w:val="clear" w:color="auto" w:fill="BFBFBF" w:themeFill="background1" w:themeFillShade="BF"/>
            <w:vAlign w:val="center"/>
          </w:tcPr>
          <w:p w14:paraId="31CE5377" w14:textId="77777777" w:rsidR="007968EC" w:rsidRPr="005F10B9" w:rsidRDefault="007968EC" w:rsidP="007968EC">
            <w:pPr>
              <w:jc w:val="center"/>
              <w:rPr>
                <w:rFonts w:ascii="Arial Narrow" w:eastAsia="Calibri" w:hAnsi="Arial Narrow"/>
                <w:color w:val="000000" w:themeColor="text1"/>
                <w:lang w:val="es-CO" w:eastAsia="en-US"/>
              </w:rPr>
            </w:pPr>
          </w:p>
        </w:tc>
        <w:tc>
          <w:tcPr>
            <w:tcW w:w="566" w:type="dxa"/>
            <w:shd w:val="clear" w:color="auto" w:fill="auto"/>
            <w:vAlign w:val="center"/>
          </w:tcPr>
          <w:p w14:paraId="5364BEEA"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2</w:t>
            </w:r>
          </w:p>
        </w:tc>
        <w:tc>
          <w:tcPr>
            <w:tcW w:w="2975" w:type="dxa"/>
            <w:shd w:val="clear" w:color="auto" w:fill="auto"/>
            <w:vAlign w:val="center"/>
          </w:tcPr>
          <w:p w14:paraId="5AFD0A2C"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Calendario de Festivos</w:t>
            </w:r>
          </w:p>
        </w:tc>
        <w:tc>
          <w:tcPr>
            <w:tcW w:w="4271" w:type="dxa"/>
            <w:shd w:val="clear" w:color="auto" w:fill="auto"/>
            <w:vAlign w:val="center"/>
          </w:tcPr>
          <w:p w14:paraId="387C1ACB" w14:textId="77777777" w:rsidR="007968EC" w:rsidRPr="005F10B9" w:rsidRDefault="007968EC" w:rsidP="007968EC">
            <w:pPr>
              <w:jc w:val="both"/>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Siempre se utilizará el calendario aplicado a la Divisa de la Operación, la Cámara usará el calendario COBO.</w:t>
            </w:r>
          </w:p>
        </w:tc>
      </w:tr>
      <w:tr w:rsidR="007968EC" w:rsidRPr="005F10B9" w14:paraId="27353638"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vMerge w:val="restart"/>
            <w:shd w:val="clear" w:color="auto" w:fill="BFBFBF" w:themeFill="background1" w:themeFillShade="BF"/>
            <w:vAlign w:val="center"/>
          </w:tcPr>
          <w:p w14:paraId="42E45C60" w14:textId="77777777" w:rsidR="007968EC" w:rsidRPr="005F10B9" w:rsidRDefault="007968EC" w:rsidP="007968EC">
            <w:pPr>
              <w:jc w:val="center"/>
              <w:rPr>
                <w:rFonts w:ascii="Arial Narrow" w:eastAsia="Calibri" w:hAnsi="Arial Narrow"/>
                <w:color w:val="000000" w:themeColor="text1"/>
                <w:lang w:val="es-CO" w:eastAsia="en-US"/>
              </w:rPr>
            </w:pPr>
            <w:r w:rsidRPr="005F10B9">
              <w:rPr>
                <w:rFonts w:ascii="Arial Narrow" w:eastAsia="Calibri" w:hAnsi="Arial Narrow"/>
                <w:color w:val="000000" w:themeColor="text1"/>
              </w:rPr>
              <w:t>Plazos</w:t>
            </w:r>
          </w:p>
        </w:tc>
        <w:tc>
          <w:tcPr>
            <w:tcW w:w="566" w:type="dxa"/>
            <w:shd w:val="clear" w:color="auto" w:fill="auto"/>
            <w:vAlign w:val="center"/>
          </w:tcPr>
          <w:p w14:paraId="4DB89994"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3</w:t>
            </w:r>
          </w:p>
        </w:tc>
        <w:tc>
          <w:tcPr>
            <w:tcW w:w="2975" w:type="dxa"/>
            <w:shd w:val="clear" w:color="auto" w:fill="auto"/>
            <w:vAlign w:val="center"/>
          </w:tcPr>
          <w:p w14:paraId="3DE8A047"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 xml:space="preserve">Plazo Mínimo en Días </w:t>
            </w:r>
          </w:p>
        </w:tc>
        <w:tc>
          <w:tcPr>
            <w:tcW w:w="4271" w:type="dxa"/>
            <w:shd w:val="clear" w:color="auto" w:fill="auto"/>
            <w:vAlign w:val="center"/>
          </w:tcPr>
          <w:p w14:paraId="205991A5"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28 días</w:t>
            </w:r>
          </w:p>
        </w:tc>
      </w:tr>
      <w:tr w:rsidR="007968EC" w:rsidRPr="005F10B9" w14:paraId="34DBD439" w14:textId="77777777" w:rsidTr="007968EC">
        <w:tc>
          <w:tcPr>
            <w:cnfStyle w:val="001000000000" w:firstRow="0" w:lastRow="0" w:firstColumn="1" w:lastColumn="0" w:oddVBand="0" w:evenVBand="0" w:oddHBand="0" w:evenHBand="0" w:firstRowFirstColumn="0" w:firstRowLastColumn="0" w:lastRowFirstColumn="0" w:lastRowLastColumn="0"/>
            <w:tcW w:w="1562" w:type="dxa"/>
            <w:vMerge/>
            <w:shd w:val="clear" w:color="auto" w:fill="BFBFBF" w:themeFill="background1" w:themeFillShade="BF"/>
            <w:vAlign w:val="center"/>
          </w:tcPr>
          <w:p w14:paraId="3F6DBC90" w14:textId="77777777" w:rsidR="007968EC" w:rsidRPr="005F10B9" w:rsidRDefault="007968EC" w:rsidP="007968EC">
            <w:pPr>
              <w:jc w:val="center"/>
              <w:rPr>
                <w:rFonts w:ascii="Arial Narrow" w:eastAsia="Calibri" w:hAnsi="Arial Narrow"/>
                <w:color w:val="000000" w:themeColor="text1"/>
                <w:lang w:val="es-CO" w:eastAsia="en-US"/>
              </w:rPr>
            </w:pPr>
          </w:p>
        </w:tc>
        <w:tc>
          <w:tcPr>
            <w:tcW w:w="566" w:type="dxa"/>
            <w:shd w:val="clear" w:color="auto" w:fill="auto"/>
            <w:vAlign w:val="center"/>
          </w:tcPr>
          <w:p w14:paraId="6FE7BF52"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4</w:t>
            </w:r>
          </w:p>
        </w:tc>
        <w:tc>
          <w:tcPr>
            <w:tcW w:w="2975" w:type="dxa"/>
            <w:shd w:val="clear" w:color="auto" w:fill="auto"/>
            <w:vAlign w:val="center"/>
          </w:tcPr>
          <w:p w14:paraId="28A392EB"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Plazo Residual Mínimo en Días</w:t>
            </w:r>
          </w:p>
        </w:tc>
        <w:tc>
          <w:tcPr>
            <w:tcW w:w="4271" w:type="dxa"/>
            <w:shd w:val="clear" w:color="auto" w:fill="auto"/>
            <w:vAlign w:val="center"/>
          </w:tcPr>
          <w:p w14:paraId="26480B07"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2 días</w:t>
            </w:r>
          </w:p>
        </w:tc>
      </w:tr>
      <w:tr w:rsidR="007968EC" w:rsidRPr="005F10B9" w14:paraId="50856F28"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vMerge/>
            <w:shd w:val="clear" w:color="auto" w:fill="BFBFBF" w:themeFill="background1" w:themeFillShade="BF"/>
            <w:vAlign w:val="center"/>
          </w:tcPr>
          <w:p w14:paraId="70696FE3" w14:textId="77777777" w:rsidR="007968EC" w:rsidRPr="005F10B9" w:rsidRDefault="007968EC" w:rsidP="007968EC">
            <w:pPr>
              <w:jc w:val="center"/>
              <w:rPr>
                <w:rFonts w:ascii="Arial Narrow" w:eastAsia="Calibri" w:hAnsi="Arial Narrow"/>
                <w:color w:val="000000" w:themeColor="text1"/>
                <w:lang w:val="es-CO" w:eastAsia="en-US"/>
              </w:rPr>
            </w:pPr>
          </w:p>
        </w:tc>
        <w:tc>
          <w:tcPr>
            <w:tcW w:w="566" w:type="dxa"/>
            <w:shd w:val="clear" w:color="auto" w:fill="auto"/>
            <w:vAlign w:val="center"/>
          </w:tcPr>
          <w:p w14:paraId="17F647DC"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5</w:t>
            </w:r>
          </w:p>
        </w:tc>
        <w:tc>
          <w:tcPr>
            <w:tcW w:w="2975" w:type="dxa"/>
            <w:shd w:val="clear" w:color="auto" w:fill="auto"/>
            <w:vAlign w:val="center"/>
          </w:tcPr>
          <w:p w14:paraId="5E2F8814"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Plazo Residual Máximo en Días</w:t>
            </w:r>
          </w:p>
        </w:tc>
        <w:tc>
          <w:tcPr>
            <w:tcW w:w="4271" w:type="dxa"/>
            <w:shd w:val="clear" w:color="auto" w:fill="auto"/>
            <w:vAlign w:val="center"/>
          </w:tcPr>
          <w:p w14:paraId="60845A34"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5484 días</w:t>
            </w:r>
          </w:p>
        </w:tc>
      </w:tr>
      <w:tr w:rsidR="007968EC" w:rsidRPr="005F10B9" w14:paraId="74D1C79F" w14:textId="77777777" w:rsidTr="007968EC">
        <w:tc>
          <w:tcPr>
            <w:cnfStyle w:val="001000000000" w:firstRow="0" w:lastRow="0" w:firstColumn="1" w:lastColumn="0" w:oddVBand="0" w:evenVBand="0" w:oddHBand="0" w:evenHBand="0" w:firstRowFirstColumn="0" w:firstRowLastColumn="0" w:lastRowFirstColumn="0" w:lastRowLastColumn="0"/>
            <w:tcW w:w="1562" w:type="dxa"/>
            <w:vMerge/>
            <w:shd w:val="clear" w:color="auto" w:fill="BFBFBF" w:themeFill="background1" w:themeFillShade="BF"/>
            <w:vAlign w:val="center"/>
          </w:tcPr>
          <w:p w14:paraId="2A062B72" w14:textId="77777777" w:rsidR="007968EC" w:rsidRPr="005F10B9" w:rsidRDefault="007968EC" w:rsidP="007968EC">
            <w:pPr>
              <w:jc w:val="center"/>
              <w:rPr>
                <w:rFonts w:ascii="Arial Narrow" w:eastAsia="Calibri" w:hAnsi="Arial Narrow"/>
                <w:color w:val="000000" w:themeColor="text1"/>
                <w:lang w:val="es-CO" w:eastAsia="en-US"/>
              </w:rPr>
            </w:pPr>
          </w:p>
        </w:tc>
        <w:tc>
          <w:tcPr>
            <w:tcW w:w="566" w:type="dxa"/>
            <w:shd w:val="clear" w:color="auto" w:fill="auto"/>
            <w:vAlign w:val="center"/>
          </w:tcPr>
          <w:p w14:paraId="49BD8D0E"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6</w:t>
            </w:r>
          </w:p>
        </w:tc>
        <w:tc>
          <w:tcPr>
            <w:tcW w:w="2975" w:type="dxa"/>
            <w:shd w:val="clear" w:color="auto" w:fill="auto"/>
            <w:vAlign w:val="center"/>
          </w:tcPr>
          <w:p w14:paraId="07D9275C"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Plazo Residual Máximo en Años</w:t>
            </w:r>
          </w:p>
        </w:tc>
        <w:tc>
          <w:tcPr>
            <w:tcW w:w="4271" w:type="dxa"/>
            <w:shd w:val="clear" w:color="auto" w:fill="auto"/>
            <w:vAlign w:val="center"/>
          </w:tcPr>
          <w:p w14:paraId="30C79CA9"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15 años</w:t>
            </w:r>
          </w:p>
        </w:tc>
      </w:tr>
      <w:tr w:rsidR="007968EC" w:rsidRPr="005F10B9" w14:paraId="0F5F1235"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vMerge/>
            <w:shd w:val="clear" w:color="auto" w:fill="BFBFBF" w:themeFill="background1" w:themeFillShade="BF"/>
            <w:vAlign w:val="center"/>
          </w:tcPr>
          <w:p w14:paraId="2EE422DD" w14:textId="77777777" w:rsidR="007968EC" w:rsidRPr="005F10B9" w:rsidRDefault="007968EC" w:rsidP="007968EC">
            <w:pPr>
              <w:jc w:val="center"/>
              <w:rPr>
                <w:rFonts w:ascii="Arial Narrow" w:eastAsia="Calibri" w:hAnsi="Arial Narrow"/>
                <w:color w:val="000000" w:themeColor="text1"/>
                <w:lang w:val="es-CO" w:eastAsia="en-US"/>
              </w:rPr>
            </w:pPr>
          </w:p>
        </w:tc>
        <w:tc>
          <w:tcPr>
            <w:tcW w:w="566" w:type="dxa"/>
            <w:shd w:val="clear" w:color="auto" w:fill="auto"/>
            <w:vAlign w:val="center"/>
          </w:tcPr>
          <w:p w14:paraId="011A34C2"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7</w:t>
            </w:r>
          </w:p>
        </w:tc>
        <w:tc>
          <w:tcPr>
            <w:tcW w:w="2975" w:type="dxa"/>
            <w:shd w:val="clear" w:color="auto" w:fill="auto"/>
            <w:vAlign w:val="center"/>
          </w:tcPr>
          <w:p w14:paraId="656699FE"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Inicio Diferido</w:t>
            </w:r>
          </w:p>
        </w:tc>
        <w:tc>
          <w:tcPr>
            <w:tcW w:w="4271" w:type="dxa"/>
            <w:shd w:val="clear" w:color="auto" w:fill="auto"/>
            <w:vAlign w:val="center"/>
          </w:tcPr>
          <w:p w14:paraId="2C2E82DD"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Y</w:t>
            </w:r>
          </w:p>
        </w:tc>
      </w:tr>
      <w:tr w:rsidR="007968EC" w:rsidRPr="005F10B9" w14:paraId="38E1867D" w14:textId="77777777" w:rsidTr="007968EC">
        <w:tc>
          <w:tcPr>
            <w:cnfStyle w:val="001000000000" w:firstRow="0" w:lastRow="0" w:firstColumn="1" w:lastColumn="0" w:oddVBand="0" w:evenVBand="0" w:oddHBand="0" w:evenHBand="0" w:firstRowFirstColumn="0" w:firstRowLastColumn="0" w:lastRowFirstColumn="0" w:lastRowLastColumn="0"/>
            <w:tcW w:w="1562" w:type="dxa"/>
            <w:vMerge w:val="restart"/>
            <w:shd w:val="clear" w:color="auto" w:fill="BFBFBF" w:themeFill="background1" w:themeFillShade="BF"/>
            <w:vAlign w:val="center"/>
          </w:tcPr>
          <w:p w14:paraId="4D4A3E64" w14:textId="77777777" w:rsidR="007968EC" w:rsidRPr="005F10B9" w:rsidRDefault="007968EC" w:rsidP="007968EC">
            <w:pPr>
              <w:jc w:val="center"/>
              <w:rPr>
                <w:rFonts w:ascii="Arial Narrow" w:eastAsia="Calibri" w:hAnsi="Arial Narrow"/>
                <w:color w:val="000000" w:themeColor="text1"/>
                <w:lang w:val="es-CO" w:eastAsia="en-US"/>
              </w:rPr>
            </w:pPr>
            <w:r w:rsidRPr="005F10B9">
              <w:rPr>
                <w:rFonts w:ascii="Arial Narrow" w:eastAsia="Calibri" w:hAnsi="Arial Narrow"/>
                <w:color w:val="000000" w:themeColor="text1"/>
              </w:rPr>
              <w:t>Nocional</w:t>
            </w:r>
          </w:p>
        </w:tc>
        <w:tc>
          <w:tcPr>
            <w:tcW w:w="566" w:type="dxa"/>
            <w:shd w:val="clear" w:color="auto" w:fill="auto"/>
            <w:vAlign w:val="center"/>
          </w:tcPr>
          <w:p w14:paraId="34485294"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8</w:t>
            </w:r>
          </w:p>
        </w:tc>
        <w:tc>
          <w:tcPr>
            <w:tcW w:w="2975" w:type="dxa"/>
            <w:shd w:val="clear" w:color="auto" w:fill="auto"/>
            <w:vAlign w:val="center"/>
          </w:tcPr>
          <w:p w14:paraId="5594BFD8"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Nominal</w:t>
            </w:r>
          </w:p>
        </w:tc>
        <w:tc>
          <w:tcPr>
            <w:tcW w:w="4271" w:type="dxa"/>
            <w:shd w:val="clear" w:color="auto" w:fill="auto"/>
            <w:vAlign w:val="center"/>
          </w:tcPr>
          <w:p w14:paraId="4690B7A1"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Y</w:t>
            </w:r>
          </w:p>
        </w:tc>
      </w:tr>
      <w:tr w:rsidR="007968EC" w:rsidRPr="005F10B9" w14:paraId="6ED11D58"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vMerge/>
            <w:shd w:val="clear" w:color="auto" w:fill="BFBFBF" w:themeFill="background1" w:themeFillShade="BF"/>
            <w:vAlign w:val="center"/>
          </w:tcPr>
          <w:p w14:paraId="3EF12B92" w14:textId="77777777" w:rsidR="007968EC" w:rsidRPr="005F10B9" w:rsidRDefault="007968EC" w:rsidP="007968EC">
            <w:pPr>
              <w:jc w:val="center"/>
              <w:rPr>
                <w:rFonts w:ascii="Arial Narrow" w:hAnsi="Arial Narrow"/>
                <w:snapToGrid w:val="0"/>
                <w:color w:val="000000"/>
                <w:lang w:val="es-CO"/>
              </w:rPr>
            </w:pPr>
          </w:p>
        </w:tc>
        <w:tc>
          <w:tcPr>
            <w:tcW w:w="566" w:type="dxa"/>
            <w:shd w:val="clear" w:color="auto" w:fill="auto"/>
            <w:vAlign w:val="center"/>
          </w:tcPr>
          <w:p w14:paraId="452168CA"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9</w:t>
            </w:r>
          </w:p>
        </w:tc>
        <w:tc>
          <w:tcPr>
            <w:tcW w:w="2975" w:type="dxa"/>
            <w:shd w:val="clear" w:color="auto" w:fill="auto"/>
            <w:vAlign w:val="center"/>
          </w:tcPr>
          <w:p w14:paraId="2DBDE4AD"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 xml:space="preserve">Importe Mínimo de Nominal </w:t>
            </w:r>
          </w:p>
        </w:tc>
        <w:tc>
          <w:tcPr>
            <w:tcW w:w="4271" w:type="dxa"/>
            <w:shd w:val="clear" w:color="auto" w:fill="auto"/>
            <w:vAlign w:val="center"/>
          </w:tcPr>
          <w:p w14:paraId="68FA8BC6"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1COP</w:t>
            </w:r>
          </w:p>
        </w:tc>
      </w:tr>
      <w:tr w:rsidR="007968EC" w:rsidRPr="005F10B9" w14:paraId="00E2651B" w14:textId="77777777" w:rsidTr="007968EC">
        <w:tc>
          <w:tcPr>
            <w:cnfStyle w:val="001000000000" w:firstRow="0" w:lastRow="0" w:firstColumn="1" w:lastColumn="0" w:oddVBand="0" w:evenVBand="0" w:oddHBand="0" w:evenHBand="0" w:firstRowFirstColumn="0" w:firstRowLastColumn="0" w:lastRowFirstColumn="0" w:lastRowLastColumn="0"/>
            <w:tcW w:w="1562" w:type="dxa"/>
            <w:vMerge/>
            <w:shd w:val="clear" w:color="auto" w:fill="BFBFBF" w:themeFill="background1" w:themeFillShade="BF"/>
            <w:vAlign w:val="center"/>
          </w:tcPr>
          <w:p w14:paraId="675FA0D1" w14:textId="77777777" w:rsidR="007968EC" w:rsidRPr="005F10B9" w:rsidRDefault="007968EC" w:rsidP="007968EC">
            <w:pPr>
              <w:jc w:val="center"/>
              <w:rPr>
                <w:rFonts w:ascii="Arial Narrow" w:hAnsi="Arial Narrow"/>
                <w:snapToGrid w:val="0"/>
                <w:color w:val="000000"/>
                <w:lang w:val="es-CO"/>
              </w:rPr>
            </w:pPr>
          </w:p>
        </w:tc>
        <w:tc>
          <w:tcPr>
            <w:tcW w:w="566" w:type="dxa"/>
            <w:shd w:val="clear" w:color="auto" w:fill="auto"/>
            <w:vAlign w:val="center"/>
          </w:tcPr>
          <w:p w14:paraId="5AA968D6"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10</w:t>
            </w:r>
          </w:p>
        </w:tc>
        <w:tc>
          <w:tcPr>
            <w:tcW w:w="2975" w:type="dxa"/>
            <w:shd w:val="clear" w:color="auto" w:fill="auto"/>
            <w:vAlign w:val="center"/>
          </w:tcPr>
          <w:p w14:paraId="3027BDB3"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 xml:space="preserve">Importe Máximo de Nominal </w:t>
            </w:r>
          </w:p>
        </w:tc>
        <w:tc>
          <w:tcPr>
            <w:tcW w:w="4271" w:type="dxa"/>
            <w:shd w:val="clear" w:color="auto" w:fill="auto"/>
            <w:vAlign w:val="center"/>
          </w:tcPr>
          <w:p w14:paraId="7FA53B57"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1 billón COP- 1x10</w:t>
            </w:r>
            <w:r w:rsidRPr="005F10B9">
              <w:rPr>
                <w:rFonts w:ascii="Arial Narrow" w:hAnsi="Arial Narrow"/>
                <w:snapToGrid w:val="0"/>
                <w:color w:val="000000"/>
                <w:vertAlign w:val="superscript"/>
                <w:lang w:val="es-CO"/>
              </w:rPr>
              <w:t>12</w:t>
            </w:r>
          </w:p>
        </w:tc>
      </w:tr>
      <w:tr w:rsidR="007968EC" w:rsidRPr="005F10B9" w14:paraId="69999276"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vMerge w:val="restart"/>
            <w:shd w:val="clear" w:color="auto" w:fill="BFBFBF" w:themeFill="background1" w:themeFillShade="BF"/>
            <w:vAlign w:val="center"/>
          </w:tcPr>
          <w:p w14:paraId="084D70E3" w14:textId="77777777" w:rsidR="007968EC" w:rsidRPr="005F10B9" w:rsidRDefault="007968EC" w:rsidP="007968EC">
            <w:pPr>
              <w:jc w:val="center"/>
              <w:rPr>
                <w:rFonts w:ascii="Arial Narrow" w:hAnsi="Arial Narrow"/>
                <w:snapToGrid w:val="0"/>
                <w:color w:val="000000"/>
                <w:lang w:val="es-CO"/>
              </w:rPr>
            </w:pPr>
            <w:r w:rsidRPr="005F10B9">
              <w:rPr>
                <w:rFonts w:ascii="Arial Narrow" w:hAnsi="Arial Narrow"/>
                <w:snapToGrid w:val="0"/>
                <w:color w:val="000000"/>
                <w:lang w:val="es-CO"/>
              </w:rPr>
              <w:t>Rama Variable</w:t>
            </w:r>
          </w:p>
        </w:tc>
        <w:tc>
          <w:tcPr>
            <w:tcW w:w="566" w:type="dxa"/>
            <w:shd w:val="clear" w:color="auto" w:fill="auto"/>
            <w:vAlign w:val="center"/>
          </w:tcPr>
          <w:p w14:paraId="1DF07129"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11</w:t>
            </w:r>
          </w:p>
        </w:tc>
        <w:tc>
          <w:tcPr>
            <w:tcW w:w="2975" w:type="dxa"/>
            <w:shd w:val="clear" w:color="auto" w:fill="auto"/>
            <w:vAlign w:val="center"/>
          </w:tcPr>
          <w:p w14:paraId="2C31F5D2"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Índice Tasa de Interés Variable</w:t>
            </w:r>
          </w:p>
        </w:tc>
        <w:tc>
          <w:tcPr>
            <w:tcW w:w="4271" w:type="dxa"/>
            <w:shd w:val="clear" w:color="auto" w:fill="auto"/>
            <w:vAlign w:val="center"/>
          </w:tcPr>
          <w:p w14:paraId="13B032CD"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IBR</w:t>
            </w:r>
          </w:p>
        </w:tc>
      </w:tr>
      <w:tr w:rsidR="007968EC" w:rsidRPr="005F10B9" w14:paraId="209AEBB9" w14:textId="77777777" w:rsidTr="007968EC">
        <w:tc>
          <w:tcPr>
            <w:cnfStyle w:val="001000000000" w:firstRow="0" w:lastRow="0" w:firstColumn="1" w:lastColumn="0" w:oddVBand="0" w:evenVBand="0" w:oddHBand="0" w:evenHBand="0" w:firstRowFirstColumn="0" w:firstRowLastColumn="0" w:lastRowFirstColumn="0" w:lastRowLastColumn="0"/>
            <w:tcW w:w="1562" w:type="dxa"/>
            <w:vMerge/>
            <w:shd w:val="clear" w:color="auto" w:fill="BFBFBF" w:themeFill="background1" w:themeFillShade="BF"/>
            <w:vAlign w:val="center"/>
          </w:tcPr>
          <w:p w14:paraId="4394B2F7" w14:textId="77777777" w:rsidR="007968EC" w:rsidRPr="005F10B9" w:rsidRDefault="007968EC" w:rsidP="007968EC">
            <w:pPr>
              <w:jc w:val="center"/>
              <w:rPr>
                <w:rFonts w:ascii="Arial Narrow" w:hAnsi="Arial Narrow"/>
                <w:snapToGrid w:val="0"/>
                <w:color w:val="000000"/>
                <w:lang w:val="es-CO"/>
              </w:rPr>
            </w:pPr>
          </w:p>
        </w:tc>
        <w:tc>
          <w:tcPr>
            <w:tcW w:w="566" w:type="dxa"/>
            <w:shd w:val="clear" w:color="auto" w:fill="auto"/>
            <w:vAlign w:val="center"/>
          </w:tcPr>
          <w:p w14:paraId="3AA273B7"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12</w:t>
            </w:r>
          </w:p>
        </w:tc>
        <w:tc>
          <w:tcPr>
            <w:tcW w:w="2975" w:type="dxa"/>
            <w:shd w:val="clear" w:color="auto" w:fill="auto"/>
            <w:vAlign w:val="center"/>
          </w:tcPr>
          <w:p w14:paraId="053DFFFC"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Plazo del índice Variable (Periodo Regular)</w:t>
            </w:r>
          </w:p>
        </w:tc>
        <w:tc>
          <w:tcPr>
            <w:tcW w:w="4271" w:type="dxa"/>
            <w:shd w:val="clear" w:color="auto" w:fill="auto"/>
            <w:vAlign w:val="center"/>
          </w:tcPr>
          <w:p w14:paraId="36922B7B"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 xml:space="preserve">1m, 3m, 6m </w:t>
            </w:r>
          </w:p>
        </w:tc>
      </w:tr>
      <w:tr w:rsidR="007968EC" w:rsidRPr="005F10B9" w14:paraId="7683C0B5"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vMerge/>
            <w:shd w:val="clear" w:color="auto" w:fill="BFBFBF" w:themeFill="background1" w:themeFillShade="BF"/>
            <w:vAlign w:val="center"/>
          </w:tcPr>
          <w:p w14:paraId="7251CA1B" w14:textId="77777777" w:rsidR="007968EC" w:rsidRPr="005F10B9" w:rsidRDefault="007968EC" w:rsidP="007968EC">
            <w:pPr>
              <w:jc w:val="center"/>
              <w:rPr>
                <w:rFonts w:ascii="Arial Narrow" w:hAnsi="Arial Narrow"/>
                <w:snapToGrid w:val="0"/>
                <w:color w:val="000000"/>
                <w:lang w:val="es-CO"/>
              </w:rPr>
            </w:pPr>
          </w:p>
        </w:tc>
        <w:tc>
          <w:tcPr>
            <w:tcW w:w="566" w:type="dxa"/>
            <w:shd w:val="clear" w:color="auto" w:fill="auto"/>
            <w:vAlign w:val="center"/>
          </w:tcPr>
          <w:p w14:paraId="46C36CF6"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13</w:t>
            </w:r>
          </w:p>
        </w:tc>
        <w:tc>
          <w:tcPr>
            <w:tcW w:w="2975" w:type="dxa"/>
            <w:shd w:val="clear" w:color="auto" w:fill="auto"/>
            <w:vAlign w:val="center"/>
          </w:tcPr>
          <w:p w14:paraId="5237FCA5"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Diferencial/Spread de la Rama Variable</w:t>
            </w:r>
          </w:p>
        </w:tc>
        <w:tc>
          <w:tcPr>
            <w:tcW w:w="4271" w:type="dxa"/>
            <w:shd w:val="clear" w:color="auto" w:fill="auto"/>
            <w:vAlign w:val="center"/>
          </w:tcPr>
          <w:p w14:paraId="48E439A1"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Y: 4DPS</w:t>
            </w:r>
          </w:p>
        </w:tc>
      </w:tr>
      <w:tr w:rsidR="007968EC" w:rsidRPr="005F10B9" w14:paraId="6C69F849" w14:textId="77777777" w:rsidTr="007968EC">
        <w:tc>
          <w:tcPr>
            <w:cnfStyle w:val="001000000000" w:firstRow="0" w:lastRow="0" w:firstColumn="1" w:lastColumn="0" w:oddVBand="0" w:evenVBand="0" w:oddHBand="0" w:evenHBand="0" w:firstRowFirstColumn="0" w:firstRowLastColumn="0" w:lastRowFirstColumn="0" w:lastRowLastColumn="0"/>
            <w:tcW w:w="1562" w:type="dxa"/>
            <w:vMerge/>
            <w:shd w:val="clear" w:color="auto" w:fill="BFBFBF" w:themeFill="background1" w:themeFillShade="BF"/>
            <w:vAlign w:val="center"/>
          </w:tcPr>
          <w:p w14:paraId="3784DD2F" w14:textId="77777777" w:rsidR="007968EC" w:rsidRPr="005F10B9" w:rsidRDefault="007968EC" w:rsidP="007968EC">
            <w:pPr>
              <w:jc w:val="center"/>
              <w:rPr>
                <w:rFonts w:ascii="Arial Narrow" w:hAnsi="Arial Narrow"/>
                <w:snapToGrid w:val="0"/>
                <w:color w:val="000000"/>
                <w:lang w:val="es-CO"/>
              </w:rPr>
            </w:pPr>
          </w:p>
        </w:tc>
        <w:tc>
          <w:tcPr>
            <w:tcW w:w="566" w:type="dxa"/>
            <w:shd w:val="clear" w:color="auto" w:fill="auto"/>
            <w:vAlign w:val="center"/>
          </w:tcPr>
          <w:p w14:paraId="7F26309B"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14</w:t>
            </w:r>
          </w:p>
        </w:tc>
        <w:tc>
          <w:tcPr>
            <w:tcW w:w="2975" w:type="dxa"/>
            <w:shd w:val="clear" w:color="auto" w:fill="auto"/>
            <w:vAlign w:val="center"/>
          </w:tcPr>
          <w:p w14:paraId="7723B705"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Tasa Negativa de la Rama Variable</w:t>
            </w:r>
          </w:p>
        </w:tc>
        <w:tc>
          <w:tcPr>
            <w:tcW w:w="4271" w:type="dxa"/>
            <w:shd w:val="clear" w:color="auto" w:fill="auto"/>
            <w:vAlign w:val="center"/>
          </w:tcPr>
          <w:p w14:paraId="30313FD1"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Y</w:t>
            </w:r>
          </w:p>
        </w:tc>
      </w:tr>
      <w:tr w:rsidR="007968EC" w:rsidRPr="005F10B9" w14:paraId="1A5DC8EF"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vMerge/>
            <w:shd w:val="clear" w:color="auto" w:fill="BFBFBF" w:themeFill="background1" w:themeFillShade="BF"/>
            <w:vAlign w:val="center"/>
          </w:tcPr>
          <w:p w14:paraId="3866EDAC" w14:textId="77777777" w:rsidR="007968EC" w:rsidRPr="005F10B9" w:rsidRDefault="007968EC" w:rsidP="007968EC">
            <w:pPr>
              <w:jc w:val="center"/>
              <w:rPr>
                <w:rFonts w:ascii="Arial Narrow" w:hAnsi="Arial Narrow"/>
                <w:snapToGrid w:val="0"/>
                <w:color w:val="000000"/>
                <w:lang w:val="es-CO"/>
              </w:rPr>
            </w:pPr>
          </w:p>
        </w:tc>
        <w:tc>
          <w:tcPr>
            <w:tcW w:w="566" w:type="dxa"/>
            <w:shd w:val="clear" w:color="auto" w:fill="auto"/>
            <w:vAlign w:val="center"/>
          </w:tcPr>
          <w:p w14:paraId="5FB8C1B7"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15</w:t>
            </w:r>
          </w:p>
        </w:tc>
        <w:tc>
          <w:tcPr>
            <w:tcW w:w="2975" w:type="dxa"/>
            <w:shd w:val="clear" w:color="auto" w:fill="auto"/>
            <w:vAlign w:val="center"/>
          </w:tcPr>
          <w:p w14:paraId="4DEC6857" w14:textId="77777777" w:rsidR="007968EC" w:rsidRPr="005F10B9" w:rsidRDefault="007968EC" w:rsidP="007968E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eastAsia="en-US"/>
              </w:rPr>
            </w:pPr>
            <w:r w:rsidRPr="005F10B9">
              <w:rPr>
                <w:rFonts w:ascii="Arial Narrow" w:eastAsia="Calibri" w:hAnsi="Arial Narrow" w:cs="Calibri"/>
                <w:lang w:eastAsia="en-US"/>
              </w:rPr>
              <w:t xml:space="preserve">Días de Retraso para la Fijación de la Tasa Variable </w:t>
            </w:r>
            <w:r w:rsidRPr="005F10B9">
              <w:rPr>
                <w:rFonts w:ascii="Arial Narrow" w:hAnsi="Arial Narrow" w:cs="Arial"/>
                <w:color w:val="000000"/>
              </w:rPr>
              <w:t>(Standard)</w:t>
            </w:r>
          </w:p>
        </w:tc>
        <w:tc>
          <w:tcPr>
            <w:tcW w:w="4271" w:type="dxa"/>
            <w:shd w:val="clear" w:color="auto" w:fill="auto"/>
            <w:vAlign w:val="center"/>
          </w:tcPr>
          <w:p w14:paraId="016BA9CD"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-2 (2 días hábiles antes)</w:t>
            </w:r>
          </w:p>
        </w:tc>
      </w:tr>
      <w:tr w:rsidR="007968EC" w:rsidRPr="005F10B9" w14:paraId="5B586A0A" w14:textId="77777777" w:rsidTr="007968EC">
        <w:tc>
          <w:tcPr>
            <w:cnfStyle w:val="001000000000" w:firstRow="0" w:lastRow="0" w:firstColumn="1" w:lastColumn="0" w:oddVBand="0" w:evenVBand="0" w:oddHBand="0" w:evenHBand="0" w:firstRowFirstColumn="0" w:firstRowLastColumn="0" w:lastRowFirstColumn="0" w:lastRowLastColumn="0"/>
            <w:tcW w:w="1562" w:type="dxa"/>
            <w:vMerge/>
            <w:shd w:val="clear" w:color="auto" w:fill="BFBFBF" w:themeFill="background1" w:themeFillShade="BF"/>
            <w:vAlign w:val="center"/>
          </w:tcPr>
          <w:p w14:paraId="1AF239CA" w14:textId="77777777" w:rsidR="007968EC" w:rsidRPr="005F10B9" w:rsidRDefault="007968EC" w:rsidP="007968EC">
            <w:pPr>
              <w:jc w:val="center"/>
              <w:rPr>
                <w:rFonts w:ascii="Arial Narrow" w:hAnsi="Arial Narrow"/>
                <w:snapToGrid w:val="0"/>
                <w:color w:val="000000"/>
                <w:lang w:val="es-CO"/>
              </w:rPr>
            </w:pPr>
          </w:p>
        </w:tc>
        <w:tc>
          <w:tcPr>
            <w:tcW w:w="566" w:type="dxa"/>
            <w:shd w:val="clear" w:color="auto" w:fill="auto"/>
            <w:vAlign w:val="center"/>
          </w:tcPr>
          <w:p w14:paraId="599FCBDE"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16</w:t>
            </w:r>
          </w:p>
        </w:tc>
        <w:tc>
          <w:tcPr>
            <w:tcW w:w="2975" w:type="dxa"/>
            <w:shd w:val="clear" w:color="auto" w:fill="auto"/>
            <w:vAlign w:val="center"/>
          </w:tcPr>
          <w:p w14:paraId="625CDECC"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Días de Retraso para la Fijación de la Tasa Variable (Non-Standard)</w:t>
            </w:r>
          </w:p>
        </w:tc>
        <w:tc>
          <w:tcPr>
            <w:tcW w:w="4271" w:type="dxa"/>
            <w:shd w:val="clear" w:color="auto" w:fill="auto"/>
            <w:vAlign w:val="center"/>
          </w:tcPr>
          <w:p w14:paraId="1FDC23DC"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-2 (2 días hábiles antes)</w:t>
            </w:r>
          </w:p>
        </w:tc>
      </w:tr>
      <w:tr w:rsidR="007968EC" w:rsidRPr="005F10B9" w14:paraId="76849DE3"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vMerge/>
            <w:shd w:val="clear" w:color="auto" w:fill="BFBFBF" w:themeFill="background1" w:themeFillShade="BF"/>
            <w:vAlign w:val="center"/>
          </w:tcPr>
          <w:p w14:paraId="69E8E788" w14:textId="77777777" w:rsidR="007968EC" w:rsidRPr="005F10B9" w:rsidRDefault="007968EC" w:rsidP="007968EC">
            <w:pPr>
              <w:jc w:val="center"/>
              <w:rPr>
                <w:rFonts w:ascii="Arial Narrow" w:hAnsi="Arial Narrow"/>
                <w:snapToGrid w:val="0"/>
                <w:color w:val="000000"/>
                <w:lang w:val="es-CO"/>
              </w:rPr>
            </w:pPr>
          </w:p>
        </w:tc>
        <w:tc>
          <w:tcPr>
            <w:tcW w:w="566" w:type="dxa"/>
            <w:shd w:val="clear" w:color="auto" w:fill="auto"/>
            <w:vAlign w:val="center"/>
          </w:tcPr>
          <w:p w14:paraId="27074DCF"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17</w:t>
            </w:r>
          </w:p>
        </w:tc>
        <w:tc>
          <w:tcPr>
            <w:tcW w:w="2975" w:type="dxa"/>
            <w:shd w:val="clear" w:color="auto" w:fill="auto"/>
            <w:vAlign w:val="center"/>
          </w:tcPr>
          <w:p w14:paraId="5E40CC46" w14:textId="77777777" w:rsidR="007968EC" w:rsidRPr="005F10B9" w:rsidRDefault="007968EC" w:rsidP="007968E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eastAsia="en-US"/>
              </w:rPr>
            </w:pPr>
            <w:r w:rsidRPr="005F10B9">
              <w:rPr>
                <w:rFonts w:ascii="Arial Narrow" w:eastAsia="Calibri" w:hAnsi="Arial Narrow" w:cs="Calibri"/>
                <w:lang w:eastAsia="en-US"/>
              </w:rPr>
              <w:t>Frecuencia de Observación de la Rama Variable</w:t>
            </w:r>
          </w:p>
        </w:tc>
        <w:tc>
          <w:tcPr>
            <w:tcW w:w="4271" w:type="dxa"/>
            <w:shd w:val="clear" w:color="auto" w:fill="auto"/>
            <w:vAlign w:val="center"/>
          </w:tcPr>
          <w:p w14:paraId="76E97D9B"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 xml:space="preserve">1m, 3m, 6m </w:t>
            </w:r>
          </w:p>
        </w:tc>
      </w:tr>
      <w:tr w:rsidR="007968EC" w:rsidRPr="005F10B9" w14:paraId="319C3F81" w14:textId="77777777" w:rsidTr="007968EC">
        <w:tc>
          <w:tcPr>
            <w:cnfStyle w:val="001000000000" w:firstRow="0" w:lastRow="0" w:firstColumn="1" w:lastColumn="0" w:oddVBand="0" w:evenVBand="0" w:oddHBand="0" w:evenHBand="0" w:firstRowFirstColumn="0" w:firstRowLastColumn="0" w:lastRowFirstColumn="0" w:lastRowLastColumn="0"/>
            <w:tcW w:w="1562" w:type="dxa"/>
            <w:vMerge/>
            <w:shd w:val="clear" w:color="auto" w:fill="BFBFBF" w:themeFill="background1" w:themeFillShade="BF"/>
            <w:vAlign w:val="center"/>
          </w:tcPr>
          <w:p w14:paraId="58AA13F6" w14:textId="77777777" w:rsidR="007968EC" w:rsidRPr="005F10B9" w:rsidRDefault="007968EC" w:rsidP="007968EC">
            <w:pPr>
              <w:jc w:val="center"/>
              <w:rPr>
                <w:rFonts w:ascii="Arial Narrow" w:hAnsi="Arial Narrow"/>
                <w:snapToGrid w:val="0"/>
                <w:color w:val="000000"/>
                <w:lang w:val="es-CO"/>
              </w:rPr>
            </w:pPr>
          </w:p>
        </w:tc>
        <w:tc>
          <w:tcPr>
            <w:tcW w:w="566" w:type="dxa"/>
            <w:shd w:val="clear" w:color="auto" w:fill="auto"/>
            <w:vAlign w:val="center"/>
          </w:tcPr>
          <w:p w14:paraId="0FCCA002"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18</w:t>
            </w:r>
          </w:p>
        </w:tc>
        <w:tc>
          <w:tcPr>
            <w:tcW w:w="2975" w:type="dxa"/>
            <w:shd w:val="clear" w:color="auto" w:fill="auto"/>
            <w:vAlign w:val="center"/>
          </w:tcPr>
          <w:p w14:paraId="382325D3" w14:textId="77777777" w:rsidR="007968EC" w:rsidRPr="005F10B9" w:rsidRDefault="007968EC" w:rsidP="007968E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eastAsia="en-US"/>
              </w:rPr>
            </w:pPr>
            <w:r w:rsidRPr="005F10B9">
              <w:rPr>
                <w:rFonts w:ascii="Arial Narrow" w:eastAsia="Calibri" w:hAnsi="Arial Narrow" w:cs="Calibri"/>
                <w:lang w:eastAsia="en-US"/>
              </w:rPr>
              <w:t>Frecuencia de Pago de la Rama Variable</w:t>
            </w:r>
          </w:p>
        </w:tc>
        <w:tc>
          <w:tcPr>
            <w:tcW w:w="4271" w:type="dxa"/>
            <w:shd w:val="clear" w:color="auto" w:fill="auto"/>
            <w:vAlign w:val="center"/>
          </w:tcPr>
          <w:p w14:paraId="376ED2DD"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 xml:space="preserve">1m, 3m, 6m </w:t>
            </w:r>
          </w:p>
        </w:tc>
      </w:tr>
      <w:tr w:rsidR="007968EC" w:rsidRPr="005F10B9" w14:paraId="375986E8"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vMerge/>
            <w:shd w:val="clear" w:color="auto" w:fill="BFBFBF" w:themeFill="background1" w:themeFillShade="BF"/>
            <w:vAlign w:val="center"/>
          </w:tcPr>
          <w:p w14:paraId="523CFBD3" w14:textId="77777777" w:rsidR="007968EC" w:rsidRPr="005F10B9" w:rsidRDefault="007968EC" w:rsidP="007968EC">
            <w:pPr>
              <w:jc w:val="center"/>
              <w:rPr>
                <w:rFonts w:ascii="Arial Narrow" w:hAnsi="Arial Narrow"/>
                <w:snapToGrid w:val="0"/>
                <w:color w:val="000000"/>
                <w:lang w:val="es-CO"/>
              </w:rPr>
            </w:pPr>
          </w:p>
        </w:tc>
        <w:tc>
          <w:tcPr>
            <w:tcW w:w="566" w:type="dxa"/>
            <w:shd w:val="clear" w:color="auto" w:fill="auto"/>
            <w:vAlign w:val="center"/>
          </w:tcPr>
          <w:p w14:paraId="08959DD4"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19</w:t>
            </w:r>
          </w:p>
        </w:tc>
        <w:tc>
          <w:tcPr>
            <w:tcW w:w="2975" w:type="dxa"/>
            <w:shd w:val="clear" w:color="auto" w:fill="auto"/>
            <w:vAlign w:val="center"/>
          </w:tcPr>
          <w:p w14:paraId="6ED48F20" w14:textId="77777777" w:rsidR="007968EC" w:rsidRPr="005F10B9" w:rsidRDefault="007968EC" w:rsidP="007968E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eastAsia="en-US"/>
              </w:rPr>
            </w:pPr>
            <w:r w:rsidRPr="005F10B9">
              <w:rPr>
                <w:rFonts w:ascii="Arial Narrow" w:eastAsia="Calibri" w:hAnsi="Arial Narrow" w:cs="Calibri"/>
                <w:lang w:eastAsia="en-US"/>
              </w:rPr>
              <w:t>Convención de Base de Cálculo de la Rama Variable</w:t>
            </w:r>
          </w:p>
        </w:tc>
        <w:tc>
          <w:tcPr>
            <w:tcW w:w="4271" w:type="dxa"/>
            <w:shd w:val="clear" w:color="auto" w:fill="auto"/>
            <w:vAlign w:val="center"/>
          </w:tcPr>
          <w:p w14:paraId="6B83B8E8"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ACT/360</w:t>
            </w:r>
          </w:p>
        </w:tc>
      </w:tr>
      <w:tr w:rsidR="007968EC" w:rsidRPr="005F10B9" w14:paraId="57D3B24D" w14:textId="77777777" w:rsidTr="007968EC">
        <w:tc>
          <w:tcPr>
            <w:cnfStyle w:val="001000000000" w:firstRow="0" w:lastRow="0" w:firstColumn="1" w:lastColumn="0" w:oddVBand="0" w:evenVBand="0" w:oddHBand="0" w:evenHBand="0" w:firstRowFirstColumn="0" w:firstRowLastColumn="0" w:lastRowFirstColumn="0" w:lastRowLastColumn="0"/>
            <w:tcW w:w="1562" w:type="dxa"/>
            <w:vMerge/>
            <w:shd w:val="clear" w:color="auto" w:fill="BFBFBF" w:themeFill="background1" w:themeFillShade="BF"/>
            <w:vAlign w:val="center"/>
          </w:tcPr>
          <w:p w14:paraId="0099380B" w14:textId="77777777" w:rsidR="007968EC" w:rsidRPr="005F10B9" w:rsidRDefault="007968EC" w:rsidP="007968EC">
            <w:pPr>
              <w:jc w:val="center"/>
              <w:rPr>
                <w:rFonts w:ascii="Arial Narrow" w:hAnsi="Arial Narrow"/>
                <w:snapToGrid w:val="0"/>
                <w:color w:val="000000"/>
                <w:lang w:val="es-CO"/>
              </w:rPr>
            </w:pPr>
          </w:p>
        </w:tc>
        <w:tc>
          <w:tcPr>
            <w:tcW w:w="566" w:type="dxa"/>
            <w:shd w:val="clear" w:color="auto" w:fill="auto"/>
            <w:vAlign w:val="center"/>
          </w:tcPr>
          <w:p w14:paraId="1107B599"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20</w:t>
            </w:r>
          </w:p>
        </w:tc>
        <w:tc>
          <w:tcPr>
            <w:tcW w:w="2975" w:type="dxa"/>
            <w:shd w:val="clear" w:color="auto" w:fill="auto"/>
            <w:vAlign w:val="center"/>
          </w:tcPr>
          <w:p w14:paraId="6FCE5984" w14:textId="77777777" w:rsidR="007968EC" w:rsidRPr="005F10B9" w:rsidRDefault="007968EC" w:rsidP="007968E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eastAsia="en-US"/>
              </w:rPr>
            </w:pPr>
            <w:r w:rsidRPr="005F10B9">
              <w:rPr>
                <w:rFonts w:ascii="Arial Narrow" w:eastAsia="Calibri" w:hAnsi="Arial Narrow" w:cs="Calibri"/>
                <w:lang w:eastAsia="en-US"/>
              </w:rPr>
              <w:t>Redondeo Tasa de Interés de la Rama Variable</w:t>
            </w:r>
          </w:p>
        </w:tc>
        <w:tc>
          <w:tcPr>
            <w:tcW w:w="4271" w:type="dxa"/>
            <w:shd w:val="clear" w:color="auto" w:fill="auto"/>
            <w:vAlign w:val="center"/>
          </w:tcPr>
          <w:p w14:paraId="5A4D055D"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Y: 5DPS</w:t>
            </w:r>
          </w:p>
        </w:tc>
      </w:tr>
      <w:tr w:rsidR="007968EC" w:rsidRPr="005F10B9" w14:paraId="17109B75"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vMerge w:val="restart"/>
            <w:shd w:val="clear" w:color="auto" w:fill="BFBFBF" w:themeFill="background1" w:themeFillShade="BF"/>
            <w:vAlign w:val="center"/>
          </w:tcPr>
          <w:p w14:paraId="6F6C14ED" w14:textId="77777777" w:rsidR="007968EC" w:rsidRPr="005F10B9" w:rsidRDefault="007968EC" w:rsidP="007968EC">
            <w:pPr>
              <w:jc w:val="center"/>
              <w:rPr>
                <w:rFonts w:ascii="Arial Narrow" w:hAnsi="Arial Narrow"/>
                <w:snapToGrid w:val="0"/>
                <w:color w:val="000000"/>
                <w:lang w:val="es-CO"/>
              </w:rPr>
            </w:pPr>
            <w:r w:rsidRPr="005F10B9">
              <w:rPr>
                <w:rFonts w:ascii="Arial Narrow" w:hAnsi="Arial Narrow"/>
                <w:snapToGrid w:val="0"/>
                <w:color w:val="000000"/>
                <w:lang w:val="es-CO"/>
              </w:rPr>
              <w:t>Rama Fija</w:t>
            </w:r>
          </w:p>
        </w:tc>
        <w:tc>
          <w:tcPr>
            <w:tcW w:w="566" w:type="dxa"/>
            <w:shd w:val="clear" w:color="auto" w:fill="auto"/>
            <w:vAlign w:val="center"/>
          </w:tcPr>
          <w:p w14:paraId="206BC9F3"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21</w:t>
            </w:r>
          </w:p>
        </w:tc>
        <w:tc>
          <w:tcPr>
            <w:tcW w:w="2975" w:type="dxa"/>
            <w:shd w:val="clear" w:color="auto" w:fill="auto"/>
            <w:vAlign w:val="center"/>
          </w:tcPr>
          <w:p w14:paraId="622F40DF" w14:textId="77777777" w:rsidR="007968EC" w:rsidRPr="005F10B9" w:rsidRDefault="007968EC" w:rsidP="007968E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eastAsia="en-US"/>
              </w:rPr>
            </w:pPr>
            <w:r w:rsidRPr="005F10B9">
              <w:rPr>
                <w:rFonts w:ascii="Arial Narrow" w:eastAsia="Calibri" w:hAnsi="Arial Narrow" w:cs="Calibri"/>
                <w:lang w:eastAsia="en-US"/>
              </w:rPr>
              <w:t xml:space="preserve">Base de Cálculo de la Rama Fija </w:t>
            </w:r>
          </w:p>
        </w:tc>
        <w:tc>
          <w:tcPr>
            <w:tcW w:w="4271" w:type="dxa"/>
            <w:shd w:val="clear" w:color="auto" w:fill="auto"/>
            <w:vAlign w:val="center"/>
          </w:tcPr>
          <w:p w14:paraId="49D8A3CC"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30/360, ACT/360, ACT/365,</w:t>
            </w:r>
            <w:r w:rsidRPr="005F10B9">
              <w:rPr>
                <w:rFonts w:ascii="Arial Narrow" w:eastAsia="Calibri" w:hAnsi="Arial Narrow" w:cs="Calibri"/>
                <w:spacing w:val="-17"/>
                <w:lang w:val="es-CO"/>
              </w:rPr>
              <w:t xml:space="preserve"> </w:t>
            </w:r>
            <w:r w:rsidRPr="005F10B9">
              <w:rPr>
                <w:rFonts w:ascii="Arial Narrow" w:eastAsia="Calibri" w:hAnsi="Arial Narrow" w:cs="Calibri"/>
                <w:lang w:val="es-CO"/>
              </w:rPr>
              <w:t>ACT/ACT</w:t>
            </w:r>
          </w:p>
        </w:tc>
      </w:tr>
      <w:tr w:rsidR="007968EC" w:rsidRPr="005F10B9" w14:paraId="09EE6B17" w14:textId="77777777" w:rsidTr="007968EC">
        <w:tc>
          <w:tcPr>
            <w:cnfStyle w:val="001000000000" w:firstRow="0" w:lastRow="0" w:firstColumn="1" w:lastColumn="0" w:oddVBand="0" w:evenVBand="0" w:oddHBand="0" w:evenHBand="0" w:firstRowFirstColumn="0" w:firstRowLastColumn="0" w:lastRowFirstColumn="0" w:lastRowLastColumn="0"/>
            <w:tcW w:w="1562" w:type="dxa"/>
            <w:vMerge/>
            <w:shd w:val="clear" w:color="auto" w:fill="BFBFBF" w:themeFill="background1" w:themeFillShade="BF"/>
            <w:vAlign w:val="center"/>
          </w:tcPr>
          <w:p w14:paraId="7328A2E1" w14:textId="77777777" w:rsidR="007968EC" w:rsidRPr="005F10B9" w:rsidRDefault="007968EC" w:rsidP="007968EC">
            <w:pPr>
              <w:jc w:val="center"/>
              <w:rPr>
                <w:rFonts w:ascii="Arial Narrow" w:hAnsi="Arial Narrow"/>
                <w:snapToGrid w:val="0"/>
                <w:color w:val="000000"/>
                <w:lang w:val="es-CO"/>
              </w:rPr>
            </w:pPr>
          </w:p>
        </w:tc>
        <w:tc>
          <w:tcPr>
            <w:tcW w:w="566" w:type="dxa"/>
            <w:shd w:val="clear" w:color="auto" w:fill="auto"/>
            <w:vAlign w:val="center"/>
          </w:tcPr>
          <w:p w14:paraId="78FD8799"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22</w:t>
            </w:r>
          </w:p>
        </w:tc>
        <w:tc>
          <w:tcPr>
            <w:tcW w:w="2975" w:type="dxa"/>
            <w:shd w:val="clear" w:color="auto" w:fill="auto"/>
            <w:vAlign w:val="center"/>
          </w:tcPr>
          <w:p w14:paraId="3147EE25" w14:textId="77777777" w:rsidR="007968EC" w:rsidRPr="005F10B9" w:rsidRDefault="007968EC" w:rsidP="007968E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rPr>
            </w:pPr>
            <w:r w:rsidRPr="005F10B9">
              <w:rPr>
                <w:rFonts w:ascii="Arial Narrow" w:eastAsia="Calibri" w:hAnsi="Arial Narrow" w:cs="Calibri"/>
                <w:lang w:eastAsia="en-US"/>
              </w:rPr>
              <w:t>Frecuencia de Pago de la Rama Fija</w:t>
            </w:r>
            <w:r w:rsidRPr="005F10B9">
              <w:rPr>
                <w:rFonts w:ascii="Arial Narrow" w:hAnsi="Arial Narrow" w:cs="Arial"/>
                <w:b/>
                <w:bCs/>
                <w:color w:val="000000"/>
              </w:rPr>
              <w:t xml:space="preserve"> </w:t>
            </w:r>
          </w:p>
        </w:tc>
        <w:tc>
          <w:tcPr>
            <w:tcW w:w="4271" w:type="dxa"/>
            <w:shd w:val="clear" w:color="auto" w:fill="auto"/>
            <w:vAlign w:val="center"/>
          </w:tcPr>
          <w:p w14:paraId="2F87DB22"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1m, 3m, 6m, 12m</w:t>
            </w:r>
          </w:p>
        </w:tc>
      </w:tr>
      <w:tr w:rsidR="007968EC" w:rsidRPr="005F10B9" w14:paraId="088351D8"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vMerge/>
            <w:shd w:val="clear" w:color="auto" w:fill="BFBFBF" w:themeFill="background1" w:themeFillShade="BF"/>
            <w:vAlign w:val="center"/>
          </w:tcPr>
          <w:p w14:paraId="1A8F0CA0" w14:textId="77777777" w:rsidR="007968EC" w:rsidRPr="005F10B9" w:rsidRDefault="007968EC" w:rsidP="007968EC">
            <w:pPr>
              <w:jc w:val="center"/>
              <w:rPr>
                <w:rFonts w:ascii="Arial Narrow" w:hAnsi="Arial Narrow"/>
                <w:snapToGrid w:val="0"/>
                <w:color w:val="000000"/>
                <w:lang w:val="es-CO"/>
              </w:rPr>
            </w:pPr>
          </w:p>
        </w:tc>
        <w:tc>
          <w:tcPr>
            <w:tcW w:w="566" w:type="dxa"/>
            <w:shd w:val="clear" w:color="auto" w:fill="auto"/>
            <w:vAlign w:val="center"/>
          </w:tcPr>
          <w:p w14:paraId="7CE42399"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23</w:t>
            </w:r>
          </w:p>
        </w:tc>
        <w:tc>
          <w:tcPr>
            <w:tcW w:w="2975" w:type="dxa"/>
            <w:shd w:val="clear" w:color="auto" w:fill="auto"/>
            <w:vAlign w:val="center"/>
          </w:tcPr>
          <w:p w14:paraId="57369DBD" w14:textId="77777777" w:rsidR="007968EC" w:rsidRPr="005F10B9" w:rsidRDefault="007968EC" w:rsidP="007968E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005F10B9">
              <w:rPr>
                <w:rFonts w:ascii="Arial Narrow" w:eastAsia="Calibri" w:hAnsi="Arial Narrow" w:cs="Calibri"/>
                <w:lang w:eastAsia="en-US"/>
              </w:rPr>
              <w:t>Tasa de la Rama Fija</w:t>
            </w:r>
            <w:r w:rsidRPr="005F10B9">
              <w:rPr>
                <w:rFonts w:ascii="Arial Narrow" w:hAnsi="Arial Narrow" w:cs="Arial"/>
                <w:b/>
                <w:bCs/>
                <w:color w:val="000000"/>
              </w:rPr>
              <w:t xml:space="preserve"> </w:t>
            </w:r>
          </w:p>
        </w:tc>
        <w:tc>
          <w:tcPr>
            <w:tcW w:w="4271" w:type="dxa"/>
            <w:shd w:val="clear" w:color="auto" w:fill="auto"/>
            <w:vAlign w:val="center"/>
          </w:tcPr>
          <w:p w14:paraId="654E50EC"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Y: 6DPS</w:t>
            </w:r>
          </w:p>
        </w:tc>
      </w:tr>
      <w:tr w:rsidR="007968EC" w:rsidRPr="005F10B9" w14:paraId="5F18FA46" w14:textId="77777777" w:rsidTr="007968EC">
        <w:tc>
          <w:tcPr>
            <w:cnfStyle w:val="001000000000" w:firstRow="0" w:lastRow="0" w:firstColumn="1" w:lastColumn="0" w:oddVBand="0" w:evenVBand="0" w:oddHBand="0" w:evenHBand="0" w:firstRowFirstColumn="0" w:firstRowLastColumn="0" w:lastRowFirstColumn="0" w:lastRowLastColumn="0"/>
            <w:tcW w:w="1562" w:type="dxa"/>
            <w:vMerge w:val="restart"/>
            <w:shd w:val="clear" w:color="auto" w:fill="BFBFBF" w:themeFill="background1" w:themeFillShade="BF"/>
            <w:vAlign w:val="center"/>
          </w:tcPr>
          <w:p w14:paraId="30E7725C" w14:textId="77777777" w:rsidR="007968EC" w:rsidRPr="005F10B9" w:rsidRDefault="007968EC" w:rsidP="007968EC">
            <w:pPr>
              <w:jc w:val="center"/>
              <w:rPr>
                <w:rFonts w:ascii="Arial Narrow" w:hAnsi="Arial Narrow"/>
                <w:snapToGrid w:val="0"/>
                <w:color w:val="000000"/>
                <w:lang w:val="es-CO"/>
              </w:rPr>
            </w:pPr>
            <w:r w:rsidRPr="005F10B9">
              <w:rPr>
                <w:rFonts w:ascii="Arial Narrow" w:hAnsi="Arial Narrow"/>
                <w:snapToGrid w:val="0"/>
                <w:color w:val="000000"/>
                <w:lang w:val="es-CO"/>
              </w:rPr>
              <w:t>Periodo Roto</w:t>
            </w:r>
          </w:p>
        </w:tc>
        <w:tc>
          <w:tcPr>
            <w:tcW w:w="566" w:type="dxa"/>
            <w:shd w:val="clear" w:color="auto" w:fill="auto"/>
            <w:vAlign w:val="center"/>
          </w:tcPr>
          <w:p w14:paraId="3A1AF150"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24</w:t>
            </w:r>
          </w:p>
        </w:tc>
        <w:tc>
          <w:tcPr>
            <w:tcW w:w="2975" w:type="dxa"/>
            <w:shd w:val="clear" w:color="auto" w:fill="auto"/>
            <w:vAlign w:val="center"/>
          </w:tcPr>
          <w:p w14:paraId="36A86540"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Método de Interpolación de la Rama Variable con Periodos Rotos (Y/N)</w:t>
            </w:r>
          </w:p>
        </w:tc>
        <w:tc>
          <w:tcPr>
            <w:tcW w:w="4271" w:type="dxa"/>
            <w:shd w:val="clear" w:color="auto" w:fill="auto"/>
            <w:vAlign w:val="center"/>
          </w:tcPr>
          <w:p w14:paraId="75412442"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 xml:space="preserve">N </w:t>
            </w:r>
          </w:p>
        </w:tc>
      </w:tr>
      <w:tr w:rsidR="007968EC" w:rsidRPr="005F10B9" w14:paraId="0CCFA858"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vMerge/>
            <w:shd w:val="clear" w:color="auto" w:fill="BFBFBF" w:themeFill="background1" w:themeFillShade="BF"/>
            <w:vAlign w:val="center"/>
          </w:tcPr>
          <w:p w14:paraId="5C464AD6" w14:textId="77777777" w:rsidR="007968EC" w:rsidRPr="005F10B9" w:rsidRDefault="007968EC" w:rsidP="007968EC">
            <w:pPr>
              <w:jc w:val="center"/>
              <w:rPr>
                <w:rFonts w:ascii="Arial Narrow" w:hAnsi="Arial Narrow"/>
                <w:snapToGrid w:val="0"/>
                <w:color w:val="000000"/>
                <w:lang w:val="es-CO"/>
              </w:rPr>
            </w:pPr>
          </w:p>
        </w:tc>
        <w:tc>
          <w:tcPr>
            <w:tcW w:w="566" w:type="dxa"/>
            <w:shd w:val="clear" w:color="auto" w:fill="auto"/>
            <w:vAlign w:val="center"/>
          </w:tcPr>
          <w:p w14:paraId="0FB1D3CE"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25</w:t>
            </w:r>
          </w:p>
        </w:tc>
        <w:tc>
          <w:tcPr>
            <w:tcW w:w="2975" w:type="dxa"/>
            <w:shd w:val="clear" w:color="auto" w:fill="auto"/>
            <w:vAlign w:val="center"/>
          </w:tcPr>
          <w:p w14:paraId="34173411"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Periodo Roto al Inicio y al Final (Y/N)</w:t>
            </w:r>
          </w:p>
        </w:tc>
        <w:tc>
          <w:tcPr>
            <w:tcW w:w="4271" w:type="dxa"/>
            <w:shd w:val="clear" w:color="auto" w:fill="auto"/>
            <w:vAlign w:val="center"/>
          </w:tcPr>
          <w:p w14:paraId="79354CC9"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N</w:t>
            </w:r>
          </w:p>
        </w:tc>
      </w:tr>
      <w:tr w:rsidR="007968EC" w:rsidRPr="005F10B9" w14:paraId="42DF2B39" w14:textId="77777777" w:rsidTr="007968EC">
        <w:tc>
          <w:tcPr>
            <w:cnfStyle w:val="001000000000" w:firstRow="0" w:lastRow="0" w:firstColumn="1" w:lastColumn="0" w:oddVBand="0" w:evenVBand="0" w:oddHBand="0" w:evenHBand="0" w:firstRowFirstColumn="0" w:firstRowLastColumn="0" w:lastRowFirstColumn="0" w:lastRowLastColumn="0"/>
            <w:tcW w:w="1562" w:type="dxa"/>
            <w:vMerge/>
            <w:shd w:val="clear" w:color="auto" w:fill="BFBFBF" w:themeFill="background1" w:themeFillShade="BF"/>
            <w:vAlign w:val="center"/>
          </w:tcPr>
          <w:p w14:paraId="1579EC0C" w14:textId="77777777" w:rsidR="007968EC" w:rsidRPr="005F10B9" w:rsidRDefault="007968EC" w:rsidP="007968EC">
            <w:pPr>
              <w:jc w:val="center"/>
              <w:rPr>
                <w:rFonts w:ascii="Arial Narrow" w:hAnsi="Arial Narrow"/>
                <w:snapToGrid w:val="0"/>
                <w:color w:val="000000"/>
                <w:lang w:val="es-CO"/>
              </w:rPr>
            </w:pPr>
          </w:p>
        </w:tc>
        <w:tc>
          <w:tcPr>
            <w:tcW w:w="566" w:type="dxa"/>
            <w:shd w:val="clear" w:color="auto" w:fill="auto"/>
            <w:vAlign w:val="center"/>
          </w:tcPr>
          <w:p w14:paraId="0161450E"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26</w:t>
            </w:r>
          </w:p>
        </w:tc>
        <w:tc>
          <w:tcPr>
            <w:tcW w:w="2975" w:type="dxa"/>
            <w:shd w:val="clear" w:color="auto" w:fill="auto"/>
            <w:vAlign w:val="center"/>
          </w:tcPr>
          <w:p w14:paraId="0BA2E283"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Plazo del Índice Variable para el Periodo Roto al Inicio</w:t>
            </w:r>
          </w:p>
        </w:tc>
        <w:tc>
          <w:tcPr>
            <w:tcW w:w="4271" w:type="dxa"/>
            <w:shd w:val="clear" w:color="auto" w:fill="auto"/>
            <w:vAlign w:val="center"/>
          </w:tcPr>
          <w:p w14:paraId="02D86674"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N</w:t>
            </w:r>
          </w:p>
        </w:tc>
      </w:tr>
      <w:tr w:rsidR="007968EC" w:rsidRPr="005F10B9" w14:paraId="5EE5836E"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vMerge/>
            <w:shd w:val="clear" w:color="auto" w:fill="BFBFBF" w:themeFill="background1" w:themeFillShade="BF"/>
            <w:vAlign w:val="center"/>
          </w:tcPr>
          <w:p w14:paraId="0689F8F3" w14:textId="77777777" w:rsidR="007968EC" w:rsidRPr="005F10B9" w:rsidRDefault="007968EC" w:rsidP="007968EC">
            <w:pPr>
              <w:jc w:val="center"/>
              <w:rPr>
                <w:rFonts w:ascii="Arial Narrow" w:hAnsi="Arial Narrow"/>
                <w:snapToGrid w:val="0"/>
                <w:color w:val="000000"/>
                <w:lang w:val="es-CO"/>
              </w:rPr>
            </w:pPr>
          </w:p>
        </w:tc>
        <w:tc>
          <w:tcPr>
            <w:tcW w:w="566" w:type="dxa"/>
            <w:shd w:val="clear" w:color="auto" w:fill="auto"/>
            <w:vAlign w:val="center"/>
          </w:tcPr>
          <w:p w14:paraId="76203CCB"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27</w:t>
            </w:r>
          </w:p>
        </w:tc>
        <w:tc>
          <w:tcPr>
            <w:tcW w:w="2975" w:type="dxa"/>
            <w:shd w:val="clear" w:color="auto" w:fill="auto"/>
            <w:vAlign w:val="center"/>
          </w:tcPr>
          <w:p w14:paraId="4DC932A1"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Plazo del Índice Variable para el Periodo Roto al Final</w:t>
            </w:r>
          </w:p>
        </w:tc>
        <w:tc>
          <w:tcPr>
            <w:tcW w:w="4271" w:type="dxa"/>
            <w:shd w:val="clear" w:color="auto" w:fill="auto"/>
            <w:vAlign w:val="center"/>
          </w:tcPr>
          <w:p w14:paraId="3AA82022"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 xml:space="preserve">N </w:t>
            </w:r>
          </w:p>
        </w:tc>
      </w:tr>
      <w:tr w:rsidR="007968EC" w:rsidRPr="005F10B9" w14:paraId="66DCDA2F" w14:textId="77777777" w:rsidTr="007968EC">
        <w:tc>
          <w:tcPr>
            <w:cnfStyle w:val="001000000000" w:firstRow="0" w:lastRow="0" w:firstColumn="1" w:lastColumn="0" w:oddVBand="0" w:evenVBand="0" w:oddHBand="0" w:evenHBand="0" w:firstRowFirstColumn="0" w:firstRowLastColumn="0" w:lastRowFirstColumn="0" w:lastRowLastColumn="0"/>
            <w:tcW w:w="1562" w:type="dxa"/>
            <w:vMerge/>
            <w:shd w:val="clear" w:color="auto" w:fill="BFBFBF" w:themeFill="background1" w:themeFillShade="BF"/>
            <w:vAlign w:val="center"/>
          </w:tcPr>
          <w:p w14:paraId="25EFECF4" w14:textId="77777777" w:rsidR="007968EC" w:rsidRPr="005F10B9" w:rsidRDefault="007968EC" w:rsidP="007968EC">
            <w:pPr>
              <w:jc w:val="center"/>
              <w:rPr>
                <w:rFonts w:ascii="Arial Narrow" w:hAnsi="Arial Narrow"/>
                <w:snapToGrid w:val="0"/>
                <w:color w:val="000000"/>
                <w:lang w:val="es-CO"/>
              </w:rPr>
            </w:pPr>
          </w:p>
        </w:tc>
        <w:tc>
          <w:tcPr>
            <w:tcW w:w="566" w:type="dxa"/>
            <w:shd w:val="clear" w:color="auto" w:fill="auto"/>
            <w:vAlign w:val="center"/>
          </w:tcPr>
          <w:p w14:paraId="006205E4"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28</w:t>
            </w:r>
          </w:p>
        </w:tc>
        <w:tc>
          <w:tcPr>
            <w:tcW w:w="2975" w:type="dxa"/>
            <w:shd w:val="clear" w:color="auto" w:fill="auto"/>
            <w:vAlign w:val="center"/>
          </w:tcPr>
          <w:p w14:paraId="4B88A69D"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 xml:space="preserve">Periodo Roto Mínimo en Días </w:t>
            </w:r>
          </w:p>
        </w:tc>
        <w:tc>
          <w:tcPr>
            <w:tcW w:w="4271" w:type="dxa"/>
            <w:shd w:val="clear" w:color="auto" w:fill="auto"/>
            <w:vAlign w:val="center"/>
          </w:tcPr>
          <w:p w14:paraId="546CA403"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N</w:t>
            </w:r>
          </w:p>
        </w:tc>
      </w:tr>
      <w:tr w:rsidR="007968EC" w:rsidRPr="005F10B9" w14:paraId="6C80D196"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vMerge w:val="restart"/>
            <w:shd w:val="clear" w:color="auto" w:fill="BFBFBF" w:themeFill="background1" w:themeFillShade="BF"/>
            <w:vAlign w:val="center"/>
          </w:tcPr>
          <w:p w14:paraId="41AB27C6" w14:textId="77777777" w:rsidR="007968EC" w:rsidRPr="005F10B9" w:rsidRDefault="007968EC" w:rsidP="007968EC">
            <w:pPr>
              <w:jc w:val="center"/>
              <w:rPr>
                <w:rFonts w:ascii="Arial Narrow" w:hAnsi="Arial Narrow"/>
                <w:snapToGrid w:val="0"/>
                <w:color w:val="000000"/>
                <w:lang w:val="es-CO"/>
              </w:rPr>
            </w:pPr>
            <w:r w:rsidRPr="005F10B9">
              <w:rPr>
                <w:rFonts w:ascii="Arial Narrow" w:hAnsi="Arial Narrow"/>
                <w:snapToGrid w:val="0"/>
                <w:color w:val="000000"/>
                <w:lang w:val="es-CO"/>
              </w:rPr>
              <w:t>Pagos Adicionales</w:t>
            </w:r>
          </w:p>
        </w:tc>
        <w:tc>
          <w:tcPr>
            <w:tcW w:w="566" w:type="dxa"/>
            <w:shd w:val="clear" w:color="auto" w:fill="auto"/>
            <w:vAlign w:val="center"/>
          </w:tcPr>
          <w:p w14:paraId="5E21A394"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29</w:t>
            </w:r>
          </w:p>
        </w:tc>
        <w:tc>
          <w:tcPr>
            <w:tcW w:w="2975" w:type="dxa"/>
            <w:shd w:val="clear" w:color="auto" w:fill="auto"/>
            <w:vAlign w:val="center"/>
          </w:tcPr>
          <w:p w14:paraId="4B8D5E00"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Fecha de Pago Adicional. Valor Mínimo</w:t>
            </w:r>
          </w:p>
        </w:tc>
        <w:tc>
          <w:tcPr>
            <w:tcW w:w="4271" w:type="dxa"/>
            <w:shd w:val="clear" w:color="auto" w:fill="auto"/>
            <w:vAlign w:val="center"/>
          </w:tcPr>
          <w:p w14:paraId="095BFBCC"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Y (Fecha Pago Adicional &gt; d)</w:t>
            </w:r>
          </w:p>
          <w:p w14:paraId="28D773C3"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 xml:space="preserve">d = Fecha de Registro de la Operación </w:t>
            </w:r>
          </w:p>
        </w:tc>
      </w:tr>
      <w:tr w:rsidR="007968EC" w:rsidRPr="005F10B9" w14:paraId="0E3F6958" w14:textId="77777777" w:rsidTr="007968EC">
        <w:tc>
          <w:tcPr>
            <w:cnfStyle w:val="001000000000" w:firstRow="0" w:lastRow="0" w:firstColumn="1" w:lastColumn="0" w:oddVBand="0" w:evenVBand="0" w:oddHBand="0" w:evenHBand="0" w:firstRowFirstColumn="0" w:firstRowLastColumn="0" w:lastRowFirstColumn="0" w:lastRowLastColumn="0"/>
            <w:tcW w:w="1562" w:type="dxa"/>
            <w:vMerge/>
            <w:shd w:val="clear" w:color="auto" w:fill="BFBFBF" w:themeFill="background1" w:themeFillShade="BF"/>
            <w:vAlign w:val="center"/>
          </w:tcPr>
          <w:p w14:paraId="24F547DA" w14:textId="77777777" w:rsidR="007968EC" w:rsidRPr="005F10B9" w:rsidRDefault="007968EC" w:rsidP="007968EC">
            <w:pPr>
              <w:jc w:val="center"/>
              <w:rPr>
                <w:rFonts w:ascii="Arial Narrow" w:hAnsi="Arial Narrow"/>
                <w:snapToGrid w:val="0"/>
                <w:color w:val="000000"/>
                <w:lang w:val="es-CO"/>
              </w:rPr>
            </w:pPr>
          </w:p>
        </w:tc>
        <w:tc>
          <w:tcPr>
            <w:tcW w:w="566" w:type="dxa"/>
            <w:shd w:val="clear" w:color="auto" w:fill="auto"/>
            <w:vAlign w:val="center"/>
          </w:tcPr>
          <w:p w14:paraId="70D24072"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30</w:t>
            </w:r>
          </w:p>
        </w:tc>
        <w:tc>
          <w:tcPr>
            <w:tcW w:w="2975" w:type="dxa"/>
            <w:shd w:val="clear" w:color="auto" w:fill="auto"/>
            <w:vAlign w:val="center"/>
          </w:tcPr>
          <w:p w14:paraId="4CFF55D7"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Fecha de Pago Adicional. Valor Máximo</w:t>
            </w:r>
          </w:p>
        </w:tc>
        <w:tc>
          <w:tcPr>
            <w:tcW w:w="4271" w:type="dxa"/>
            <w:shd w:val="clear" w:color="auto" w:fill="auto"/>
            <w:vAlign w:val="center"/>
          </w:tcPr>
          <w:p w14:paraId="7A8CFFD4"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(Fecha Pago Adicional &lt;= Fecha de Vencimiento)</w:t>
            </w:r>
          </w:p>
        </w:tc>
      </w:tr>
      <w:tr w:rsidR="007968EC" w:rsidRPr="005F10B9" w14:paraId="77E82B2E"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vMerge/>
            <w:shd w:val="clear" w:color="auto" w:fill="BFBFBF" w:themeFill="background1" w:themeFillShade="BF"/>
            <w:vAlign w:val="center"/>
          </w:tcPr>
          <w:p w14:paraId="31B91C3A" w14:textId="77777777" w:rsidR="007968EC" w:rsidRPr="005F10B9" w:rsidRDefault="007968EC" w:rsidP="007968EC">
            <w:pPr>
              <w:jc w:val="center"/>
              <w:rPr>
                <w:rFonts w:ascii="Arial Narrow" w:hAnsi="Arial Narrow"/>
                <w:snapToGrid w:val="0"/>
                <w:color w:val="000000"/>
                <w:lang w:val="es-CO"/>
              </w:rPr>
            </w:pPr>
          </w:p>
        </w:tc>
        <w:tc>
          <w:tcPr>
            <w:tcW w:w="566" w:type="dxa"/>
            <w:shd w:val="clear" w:color="auto" w:fill="auto"/>
            <w:vAlign w:val="center"/>
          </w:tcPr>
          <w:p w14:paraId="257CACF2"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31</w:t>
            </w:r>
          </w:p>
        </w:tc>
        <w:tc>
          <w:tcPr>
            <w:tcW w:w="2975" w:type="dxa"/>
            <w:shd w:val="clear" w:color="auto" w:fill="auto"/>
            <w:vAlign w:val="center"/>
          </w:tcPr>
          <w:p w14:paraId="3B038B84"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 xml:space="preserve">Divisa del Pago Adicional </w:t>
            </w:r>
          </w:p>
        </w:tc>
        <w:tc>
          <w:tcPr>
            <w:tcW w:w="4271" w:type="dxa"/>
            <w:shd w:val="clear" w:color="auto" w:fill="auto"/>
            <w:vAlign w:val="center"/>
          </w:tcPr>
          <w:p w14:paraId="120C2B5C"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COP</w:t>
            </w:r>
          </w:p>
        </w:tc>
      </w:tr>
      <w:tr w:rsidR="007968EC" w:rsidRPr="005F10B9" w14:paraId="6824A254" w14:textId="77777777" w:rsidTr="007968EC">
        <w:trPr>
          <w:trHeight w:val="610"/>
        </w:trPr>
        <w:tc>
          <w:tcPr>
            <w:cnfStyle w:val="001000000000" w:firstRow="0" w:lastRow="0" w:firstColumn="1" w:lastColumn="0" w:oddVBand="0" w:evenVBand="0" w:oddHBand="0" w:evenHBand="0" w:firstRowFirstColumn="0" w:firstRowLastColumn="0" w:lastRowFirstColumn="0" w:lastRowLastColumn="0"/>
            <w:tcW w:w="1562" w:type="dxa"/>
            <w:vMerge/>
            <w:shd w:val="clear" w:color="auto" w:fill="BFBFBF" w:themeFill="background1" w:themeFillShade="BF"/>
            <w:vAlign w:val="center"/>
          </w:tcPr>
          <w:p w14:paraId="20CD7DD9" w14:textId="77777777" w:rsidR="007968EC" w:rsidRPr="005F10B9" w:rsidRDefault="007968EC" w:rsidP="007968EC">
            <w:pPr>
              <w:jc w:val="center"/>
              <w:rPr>
                <w:rFonts w:ascii="Arial Narrow" w:hAnsi="Arial Narrow"/>
                <w:snapToGrid w:val="0"/>
                <w:color w:val="000000"/>
                <w:lang w:val="es-CO"/>
              </w:rPr>
            </w:pPr>
          </w:p>
        </w:tc>
        <w:tc>
          <w:tcPr>
            <w:tcW w:w="566" w:type="dxa"/>
            <w:shd w:val="clear" w:color="auto" w:fill="auto"/>
            <w:vAlign w:val="center"/>
          </w:tcPr>
          <w:p w14:paraId="0661A44F"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32</w:t>
            </w:r>
          </w:p>
        </w:tc>
        <w:tc>
          <w:tcPr>
            <w:tcW w:w="2975" w:type="dxa"/>
            <w:shd w:val="clear" w:color="auto" w:fill="auto"/>
            <w:vAlign w:val="center"/>
          </w:tcPr>
          <w:p w14:paraId="6AE92032"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Número de Pagos Adicionales</w:t>
            </w:r>
          </w:p>
        </w:tc>
        <w:tc>
          <w:tcPr>
            <w:tcW w:w="4271" w:type="dxa"/>
            <w:shd w:val="clear" w:color="auto" w:fill="auto"/>
            <w:vAlign w:val="center"/>
          </w:tcPr>
          <w:p w14:paraId="0C851288"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 xml:space="preserve">Máximo </w:t>
            </w:r>
            <w:r>
              <w:rPr>
                <w:rFonts w:ascii="Arial Narrow" w:eastAsia="Calibri" w:hAnsi="Arial Narrow" w:cs="Calibri"/>
                <w:lang w:val="es-CO"/>
              </w:rPr>
              <w:t>1</w:t>
            </w:r>
          </w:p>
        </w:tc>
      </w:tr>
      <w:tr w:rsidR="007968EC" w:rsidRPr="005F10B9" w14:paraId="0DED09EE"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vMerge w:val="restart"/>
            <w:shd w:val="clear" w:color="auto" w:fill="BFBFBF" w:themeFill="background1" w:themeFillShade="BF"/>
            <w:vAlign w:val="center"/>
          </w:tcPr>
          <w:p w14:paraId="60744FD3" w14:textId="77777777" w:rsidR="007968EC" w:rsidRPr="005F10B9" w:rsidRDefault="007968EC" w:rsidP="007968EC">
            <w:pPr>
              <w:jc w:val="center"/>
              <w:rPr>
                <w:rFonts w:ascii="Arial Narrow" w:hAnsi="Arial Narrow"/>
                <w:snapToGrid w:val="0"/>
                <w:color w:val="000000"/>
                <w:lang w:val="es-CO"/>
              </w:rPr>
            </w:pPr>
            <w:r w:rsidRPr="005F10B9">
              <w:rPr>
                <w:rFonts w:ascii="Arial Narrow" w:hAnsi="Arial Narrow"/>
                <w:snapToGrid w:val="0"/>
                <w:color w:val="000000"/>
                <w:lang w:val="es-CO"/>
              </w:rPr>
              <w:t>Fechas Ajustadas &amp; Fecha de Corte de los Periodos</w:t>
            </w:r>
          </w:p>
        </w:tc>
        <w:tc>
          <w:tcPr>
            <w:tcW w:w="566" w:type="dxa"/>
            <w:shd w:val="clear" w:color="auto" w:fill="auto"/>
            <w:vAlign w:val="center"/>
          </w:tcPr>
          <w:p w14:paraId="69272D4A"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33</w:t>
            </w:r>
          </w:p>
        </w:tc>
        <w:tc>
          <w:tcPr>
            <w:tcW w:w="2975" w:type="dxa"/>
            <w:shd w:val="clear" w:color="auto" w:fill="auto"/>
            <w:vAlign w:val="center"/>
          </w:tcPr>
          <w:p w14:paraId="1F014F58"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Convención de Días Hábiles</w:t>
            </w:r>
          </w:p>
        </w:tc>
        <w:tc>
          <w:tcPr>
            <w:tcW w:w="4271" w:type="dxa"/>
            <w:shd w:val="clear" w:color="auto" w:fill="auto"/>
            <w:vAlign w:val="center"/>
          </w:tcPr>
          <w:p w14:paraId="104DA62F"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proofErr w:type="spellStart"/>
            <w:r w:rsidRPr="005F10B9">
              <w:rPr>
                <w:rFonts w:ascii="Arial Narrow" w:eastAsia="Calibri" w:hAnsi="Arial Narrow" w:cs="Calibri"/>
                <w:lang w:val="es-CO"/>
              </w:rPr>
              <w:t>Modified</w:t>
            </w:r>
            <w:proofErr w:type="spellEnd"/>
            <w:r w:rsidRPr="005F10B9">
              <w:rPr>
                <w:rFonts w:ascii="Arial Narrow" w:eastAsia="Calibri" w:hAnsi="Arial Narrow" w:cs="Calibri"/>
                <w:lang w:val="es-CO"/>
              </w:rPr>
              <w:t xml:space="preserve"> Following </w:t>
            </w:r>
          </w:p>
        </w:tc>
      </w:tr>
      <w:tr w:rsidR="007968EC" w:rsidRPr="005F10B9" w14:paraId="45E2F9D0" w14:textId="77777777" w:rsidTr="007968EC">
        <w:tc>
          <w:tcPr>
            <w:cnfStyle w:val="001000000000" w:firstRow="0" w:lastRow="0" w:firstColumn="1" w:lastColumn="0" w:oddVBand="0" w:evenVBand="0" w:oddHBand="0" w:evenHBand="0" w:firstRowFirstColumn="0" w:firstRowLastColumn="0" w:lastRowFirstColumn="0" w:lastRowLastColumn="0"/>
            <w:tcW w:w="1562" w:type="dxa"/>
            <w:vMerge/>
            <w:shd w:val="clear" w:color="auto" w:fill="BFBFBF" w:themeFill="background1" w:themeFillShade="BF"/>
            <w:vAlign w:val="center"/>
          </w:tcPr>
          <w:p w14:paraId="59A2B36B" w14:textId="77777777" w:rsidR="007968EC" w:rsidRPr="005F10B9" w:rsidRDefault="007968EC" w:rsidP="007968EC">
            <w:pPr>
              <w:jc w:val="center"/>
              <w:rPr>
                <w:rFonts w:ascii="Arial Narrow" w:hAnsi="Arial Narrow"/>
                <w:snapToGrid w:val="0"/>
                <w:color w:val="000000"/>
                <w:lang w:val="es-CO"/>
              </w:rPr>
            </w:pPr>
          </w:p>
        </w:tc>
        <w:tc>
          <w:tcPr>
            <w:tcW w:w="566" w:type="dxa"/>
            <w:shd w:val="clear" w:color="auto" w:fill="auto"/>
            <w:vAlign w:val="center"/>
          </w:tcPr>
          <w:p w14:paraId="51CA0668"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34</w:t>
            </w:r>
          </w:p>
        </w:tc>
        <w:tc>
          <w:tcPr>
            <w:tcW w:w="2975" w:type="dxa"/>
            <w:shd w:val="clear" w:color="auto" w:fill="auto"/>
            <w:vAlign w:val="center"/>
          </w:tcPr>
          <w:p w14:paraId="4E64AB42"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 xml:space="preserve">Fechas Ajustadas </w:t>
            </w:r>
          </w:p>
        </w:tc>
        <w:tc>
          <w:tcPr>
            <w:tcW w:w="4271" w:type="dxa"/>
            <w:shd w:val="clear" w:color="auto" w:fill="auto"/>
            <w:vAlign w:val="center"/>
          </w:tcPr>
          <w:p w14:paraId="070AD6E6"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hAnsi="Arial Narrow"/>
                <w:lang w:val="es-CO"/>
              </w:rPr>
            </w:pPr>
            <w:r w:rsidRPr="005F10B9">
              <w:rPr>
                <w:rFonts w:ascii="Arial Narrow" w:hAnsi="Arial Narrow"/>
                <w:lang w:val="es-CO"/>
              </w:rPr>
              <w:t>Las Ramas Fija y Variable tendrán ajustadas las siguientes fechas: i) Fecha Efectiva, ii) Fecha fin de periodo, iii) Fecha de Vencimiento y iv) Fecha de Liquidación.</w:t>
            </w:r>
          </w:p>
        </w:tc>
      </w:tr>
      <w:tr w:rsidR="007968EC" w:rsidRPr="005F10B9" w14:paraId="787A1C73"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vMerge/>
            <w:shd w:val="clear" w:color="auto" w:fill="BFBFBF" w:themeFill="background1" w:themeFillShade="BF"/>
            <w:vAlign w:val="center"/>
          </w:tcPr>
          <w:p w14:paraId="2F968C9C" w14:textId="77777777" w:rsidR="007968EC" w:rsidRPr="005F10B9" w:rsidRDefault="007968EC" w:rsidP="007968EC">
            <w:pPr>
              <w:jc w:val="center"/>
              <w:rPr>
                <w:rFonts w:ascii="Arial Narrow" w:hAnsi="Arial Narrow"/>
                <w:snapToGrid w:val="0"/>
                <w:color w:val="000000"/>
                <w:lang w:val="es-CO"/>
              </w:rPr>
            </w:pPr>
          </w:p>
        </w:tc>
        <w:tc>
          <w:tcPr>
            <w:tcW w:w="566" w:type="dxa"/>
            <w:shd w:val="clear" w:color="auto" w:fill="auto"/>
            <w:vAlign w:val="center"/>
          </w:tcPr>
          <w:p w14:paraId="3D9D13AA"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35</w:t>
            </w:r>
          </w:p>
        </w:tc>
        <w:tc>
          <w:tcPr>
            <w:tcW w:w="2975" w:type="dxa"/>
            <w:shd w:val="clear" w:color="auto" w:fill="auto"/>
            <w:vAlign w:val="center"/>
          </w:tcPr>
          <w:p w14:paraId="4E08362D"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Fechas de Corte de los Períodos</w:t>
            </w:r>
          </w:p>
        </w:tc>
        <w:tc>
          <w:tcPr>
            <w:tcW w:w="4271" w:type="dxa"/>
            <w:shd w:val="clear" w:color="auto" w:fill="auto"/>
            <w:vAlign w:val="center"/>
          </w:tcPr>
          <w:p w14:paraId="2C1338E3"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hAnsi="Arial Narrow"/>
                <w:lang w:val="es-CO"/>
              </w:rPr>
            </w:pPr>
            <w:r w:rsidRPr="005F10B9">
              <w:rPr>
                <w:rFonts w:ascii="Arial Narrow" w:hAnsi="Arial Narrow"/>
                <w:lang w:val="es-CO"/>
              </w:rPr>
              <w:t>Y: Días del Mes (1-30) / EOM</w:t>
            </w:r>
          </w:p>
        </w:tc>
      </w:tr>
      <w:tr w:rsidR="007968EC" w:rsidRPr="005F10B9" w14:paraId="3D281296" w14:textId="77777777" w:rsidTr="007968EC">
        <w:tc>
          <w:tcPr>
            <w:cnfStyle w:val="001000000000" w:firstRow="0" w:lastRow="0" w:firstColumn="1" w:lastColumn="0" w:oddVBand="0" w:evenVBand="0" w:oddHBand="0" w:evenHBand="0" w:firstRowFirstColumn="0" w:firstRowLastColumn="0" w:lastRowFirstColumn="0" w:lastRowLastColumn="0"/>
            <w:tcW w:w="1562" w:type="dxa"/>
            <w:vMerge/>
            <w:shd w:val="clear" w:color="auto" w:fill="BFBFBF" w:themeFill="background1" w:themeFillShade="BF"/>
            <w:vAlign w:val="center"/>
          </w:tcPr>
          <w:p w14:paraId="7FA26C9F" w14:textId="77777777" w:rsidR="007968EC" w:rsidRPr="005F10B9" w:rsidRDefault="007968EC" w:rsidP="007968EC">
            <w:pPr>
              <w:jc w:val="center"/>
              <w:rPr>
                <w:rFonts w:ascii="Arial Narrow" w:hAnsi="Arial Narrow"/>
                <w:snapToGrid w:val="0"/>
                <w:color w:val="000000"/>
                <w:lang w:val="es-CO"/>
              </w:rPr>
            </w:pPr>
          </w:p>
        </w:tc>
        <w:tc>
          <w:tcPr>
            <w:tcW w:w="566" w:type="dxa"/>
            <w:shd w:val="clear" w:color="auto" w:fill="auto"/>
            <w:vAlign w:val="center"/>
          </w:tcPr>
          <w:p w14:paraId="152E11EA"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36</w:t>
            </w:r>
          </w:p>
        </w:tc>
        <w:tc>
          <w:tcPr>
            <w:tcW w:w="2975" w:type="dxa"/>
            <w:shd w:val="clear" w:color="auto" w:fill="auto"/>
            <w:vAlign w:val="center"/>
          </w:tcPr>
          <w:p w14:paraId="2372051E"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Terminación Anticipada</w:t>
            </w:r>
          </w:p>
        </w:tc>
        <w:tc>
          <w:tcPr>
            <w:tcW w:w="4271" w:type="dxa"/>
            <w:shd w:val="clear" w:color="auto" w:fill="auto"/>
            <w:vAlign w:val="center"/>
          </w:tcPr>
          <w:p w14:paraId="683B11D5" w14:textId="77777777" w:rsidR="007968EC" w:rsidRPr="005F10B9" w:rsidRDefault="007968EC" w:rsidP="007968EC">
            <w:pPr>
              <w:ind w:left="709" w:hanging="709"/>
              <w:cnfStyle w:val="000000000000" w:firstRow="0" w:lastRow="0" w:firstColumn="0" w:lastColumn="0" w:oddVBand="0" w:evenVBand="0" w:oddHBand="0" w:evenHBand="0" w:firstRowFirstColumn="0" w:firstRowLastColumn="0" w:lastRowFirstColumn="0" w:lastRowLastColumn="0"/>
              <w:rPr>
                <w:rFonts w:ascii="Arial Narrow" w:hAnsi="Arial Narrow"/>
                <w:lang w:val="es-CO"/>
              </w:rPr>
            </w:pPr>
            <w:r>
              <w:rPr>
                <w:rFonts w:ascii="Arial Narrow" w:hAnsi="Arial Narrow"/>
                <w:lang w:val="es-CO"/>
              </w:rPr>
              <w:t>Y</w:t>
            </w:r>
          </w:p>
        </w:tc>
      </w:tr>
      <w:tr w:rsidR="007968EC" w:rsidRPr="005F10B9" w14:paraId="57D93A6E"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vMerge/>
            <w:shd w:val="clear" w:color="auto" w:fill="BFBFBF" w:themeFill="background1" w:themeFillShade="BF"/>
            <w:vAlign w:val="center"/>
          </w:tcPr>
          <w:p w14:paraId="455DE826" w14:textId="77777777" w:rsidR="007968EC" w:rsidRPr="005F10B9" w:rsidRDefault="007968EC" w:rsidP="007968EC">
            <w:pPr>
              <w:jc w:val="center"/>
              <w:rPr>
                <w:rFonts w:ascii="Arial Narrow" w:hAnsi="Arial Narrow"/>
                <w:snapToGrid w:val="0"/>
                <w:color w:val="000000"/>
                <w:lang w:val="es-CO"/>
              </w:rPr>
            </w:pPr>
          </w:p>
        </w:tc>
        <w:tc>
          <w:tcPr>
            <w:tcW w:w="566" w:type="dxa"/>
            <w:shd w:val="clear" w:color="auto" w:fill="auto"/>
            <w:vAlign w:val="center"/>
          </w:tcPr>
          <w:p w14:paraId="3E9FC39C"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37</w:t>
            </w:r>
          </w:p>
        </w:tc>
        <w:tc>
          <w:tcPr>
            <w:tcW w:w="2975" w:type="dxa"/>
            <w:shd w:val="clear" w:color="auto" w:fill="auto"/>
            <w:vAlign w:val="center"/>
          </w:tcPr>
          <w:p w14:paraId="12200E4B"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Retraso del Pago</w:t>
            </w:r>
          </w:p>
        </w:tc>
        <w:tc>
          <w:tcPr>
            <w:tcW w:w="4271" w:type="dxa"/>
            <w:shd w:val="clear" w:color="auto" w:fill="auto"/>
            <w:vAlign w:val="center"/>
          </w:tcPr>
          <w:p w14:paraId="72D105D2"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0 días</w:t>
            </w:r>
          </w:p>
        </w:tc>
      </w:tr>
      <w:tr w:rsidR="007968EC" w:rsidRPr="005F10B9" w14:paraId="3DFFA635" w14:textId="77777777" w:rsidTr="007968EC">
        <w:tc>
          <w:tcPr>
            <w:cnfStyle w:val="001000000000" w:firstRow="0" w:lastRow="0" w:firstColumn="1" w:lastColumn="0" w:oddVBand="0" w:evenVBand="0" w:oddHBand="0" w:evenHBand="0" w:firstRowFirstColumn="0" w:firstRowLastColumn="0" w:lastRowFirstColumn="0" w:lastRowLastColumn="0"/>
            <w:tcW w:w="1562" w:type="dxa"/>
            <w:vMerge w:val="restart"/>
            <w:shd w:val="clear" w:color="auto" w:fill="BFBFBF" w:themeFill="background1" w:themeFillShade="BF"/>
            <w:vAlign w:val="center"/>
          </w:tcPr>
          <w:p w14:paraId="43A37297" w14:textId="77777777" w:rsidR="007968EC" w:rsidRPr="005F10B9" w:rsidRDefault="007968EC" w:rsidP="007968EC">
            <w:pPr>
              <w:jc w:val="center"/>
              <w:rPr>
                <w:rFonts w:ascii="Arial Narrow" w:hAnsi="Arial Narrow"/>
                <w:snapToGrid w:val="0"/>
                <w:color w:val="000000"/>
                <w:lang w:val="es-CO"/>
              </w:rPr>
            </w:pPr>
            <w:r w:rsidRPr="005F10B9">
              <w:rPr>
                <w:rFonts w:ascii="Arial Narrow" w:hAnsi="Arial Narrow"/>
                <w:snapToGrid w:val="0"/>
                <w:color w:val="000000"/>
                <w:lang w:val="es-CO"/>
              </w:rPr>
              <w:t>Calendario de Pagos</w:t>
            </w:r>
          </w:p>
          <w:p w14:paraId="706FE285" w14:textId="77777777" w:rsidR="007968EC" w:rsidRPr="005F10B9" w:rsidRDefault="007968EC" w:rsidP="007968EC">
            <w:pPr>
              <w:jc w:val="center"/>
              <w:rPr>
                <w:rFonts w:ascii="Arial Narrow" w:hAnsi="Arial Narrow"/>
                <w:snapToGrid w:val="0"/>
                <w:color w:val="000000"/>
                <w:lang w:val="es-CO"/>
              </w:rPr>
            </w:pPr>
            <w:r w:rsidRPr="005F10B9">
              <w:rPr>
                <w:rFonts w:ascii="Arial Narrow" w:hAnsi="Arial Narrow"/>
                <w:snapToGrid w:val="0"/>
                <w:color w:val="000000"/>
                <w:lang w:val="es-CO"/>
              </w:rPr>
              <w:t>Amortizaciones</w:t>
            </w:r>
          </w:p>
        </w:tc>
        <w:tc>
          <w:tcPr>
            <w:tcW w:w="566" w:type="dxa"/>
            <w:shd w:val="clear" w:color="auto" w:fill="auto"/>
            <w:vAlign w:val="center"/>
          </w:tcPr>
          <w:p w14:paraId="0F51F617"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38</w:t>
            </w:r>
          </w:p>
        </w:tc>
        <w:tc>
          <w:tcPr>
            <w:tcW w:w="2975" w:type="dxa"/>
            <w:shd w:val="clear" w:color="auto" w:fill="auto"/>
            <w:vAlign w:val="center"/>
          </w:tcPr>
          <w:p w14:paraId="565A87E0"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Calendario de Pagos Tasa Fija</w:t>
            </w:r>
          </w:p>
        </w:tc>
        <w:tc>
          <w:tcPr>
            <w:tcW w:w="4271" w:type="dxa"/>
            <w:shd w:val="clear" w:color="auto" w:fill="auto"/>
            <w:vAlign w:val="center"/>
          </w:tcPr>
          <w:p w14:paraId="6A1B8D11"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Y</w:t>
            </w:r>
          </w:p>
        </w:tc>
      </w:tr>
      <w:tr w:rsidR="007968EC" w:rsidRPr="005F10B9" w14:paraId="3ADA32BA"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vMerge/>
            <w:shd w:val="clear" w:color="auto" w:fill="BFBFBF" w:themeFill="background1" w:themeFillShade="BF"/>
            <w:vAlign w:val="center"/>
          </w:tcPr>
          <w:p w14:paraId="139821B6" w14:textId="77777777" w:rsidR="007968EC" w:rsidRPr="005F10B9" w:rsidRDefault="007968EC" w:rsidP="007968EC">
            <w:pPr>
              <w:rPr>
                <w:rFonts w:ascii="Arial Narrow" w:hAnsi="Arial Narrow"/>
                <w:snapToGrid w:val="0"/>
                <w:color w:val="000000"/>
                <w:lang w:val="es-CO"/>
              </w:rPr>
            </w:pPr>
          </w:p>
        </w:tc>
        <w:tc>
          <w:tcPr>
            <w:tcW w:w="566" w:type="dxa"/>
            <w:shd w:val="clear" w:color="auto" w:fill="auto"/>
            <w:vAlign w:val="center"/>
          </w:tcPr>
          <w:p w14:paraId="4E521084"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snapToGrid w:val="0"/>
                <w:color w:val="000000"/>
                <w:lang w:val="es-CO"/>
              </w:rPr>
            </w:pPr>
            <w:r w:rsidRPr="005F10B9">
              <w:rPr>
                <w:rFonts w:ascii="Arial Narrow" w:hAnsi="Arial Narrow"/>
                <w:bCs/>
                <w:snapToGrid w:val="0"/>
                <w:color w:val="000000"/>
                <w:lang w:val="es-CO"/>
              </w:rPr>
              <w:t>39</w:t>
            </w:r>
          </w:p>
        </w:tc>
        <w:tc>
          <w:tcPr>
            <w:tcW w:w="2975" w:type="dxa"/>
            <w:shd w:val="clear" w:color="auto" w:fill="auto"/>
            <w:vAlign w:val="center"/>
          </w:tcPr>
          <w:p w14:paraId="3D508A25"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Calendario de Pagos Diferencial/Spread</w:t>
            </w:r>
          </w:p>
        </w:tc>
        <w:tc>
          <w:tcPr>
            <w:tcW w:w="4271" w:type="dxa"/>
            <w:shd w:val="clear" w:color="auto" w:fill="auto"/>
            <w:vAlign w:val="center"/>
          </w:tcPr>
          <w:p w14:paraId="55D08063"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Y</w:t>
            </w:r>
          </w:p>
        </w:tc>
      </w:tr>
    </w:tbl>
    <w:p w14:paraId="5FD8DE76" w14:textId="77777777" w:rsidR="007968EC" w:rsidRPr="005F10B9" w:rsidRDefault="007968EC" w:rsidP="007968EC">
      <w:pPr>
        <w:autoSpaceDE w:val="0"/>
        <w:autoSpaceDN w:val="0"/>
        <w:adjustRightInd w:val="0"/>
        <w:rPr>
          <w:rFonts w:ascii="Arial Narrow" w:hAnsi="Arial Narrow" w:cs="Arial"/>
          <w:color w:val="000000"/>
        </w:rPr>
      </w:pPr>
    </w:p>
    <w:p w14:paraId="1DDB4D5B" w14:textId="77777777" w:rsidR="007968EC" w:rsidRPr="005F10B9" w:rsidRDefault="007968EC" w:rsidP="00DA7472">
      <w:pPr>
        <w:numPr>
          <w:ilvl w:val="0"/>
          <w:numId w:val="54"/>
        </w:numPr>
        <w:ind w:left="576" w:hanging="425"/>
        <w:jc w:val="both"/>
        <w:rPr>
          <w:rFonts w:ascii="Arial Narrow" w:eastAsia="Calibri" w:hAnsi="Arial Narrow"/>
          <w:b/>
          <w:color w:val="000000" w:themeColor="text1"/>
          <w:u w:val="single"/>
          <w:lang w:val="en-US"/>
        </w:rPr>
      </w:pPr>
      <w:r>
        <w:rPr>
          <w:rFonts w:ascii="Arial Narrow" w:eastAsia="Calibri" w:hAnsi="Arial Narrow"/>
          <w:b/>
          <w:bCs/>
          <w:color w:val="000000" w:themeColor="text1"/>
          <w:u w:val="single"/>
          <w:lang w:val="en-US"/>
        </w:rPr>
        <w:lastRenderedPageBreak/>
        <w:t>OIS</w:t>
      </w:r>
      <w:r w:rsidRPr="005F10B9">
        <w:rPr>
          <w:rFonts w:ascii="Arial Narrow" w:eastAsia="Calibri" w:hAnsi="Arial Narrow"/>
          <w:b/>
          <w:bCs/>
          <w:color w:val="000000" w:themeColor="text1"/>
          <w:u w:val="single"/>
          <w:lang w:val="en-US"/>
        </w:rPr>
        <w:t xml:space="preserve"> </w:t>
      </w:r>
    </w:p>
    <w:p w14:paraId="01335289" w14:textId="77777777" w:rsidR="007968EC" w:rsidRPr="005F10B9" w:rsidRDefault="007968EC" w:rsidP="007968EC">
      <w:pPr>
        <w:rPr>
          <w:rFonts w:ascii="Arial Narrow" w:eastAsia="Calibri" w:hAnsi="Arial Narrow"/>
          <w:color w:val="000000" w:themeColor="text1"/>
          <w:lang w:eastAsia="es-ES"/>
        </w:rPr>
      </w:pPr>
    </w:p>
    <w:tbl>
      <w:tblPr>
        <w:tblStyle w:val="Tabladecuadrcula4-nfasis11"/>
        <w:tblW w:w="9374" w:type="dxa"/>
        <w:tblInd w:w="-23" w:type="dxa"/>
        <w:tblBorders>
          <w:top w:val="single" w:sz="18" w:space="0" w:color="auto"/>
          <w:left w:val="single" w:sz="18" w:space="0" w:color="auto"/>
          <w:bottom w:val="single" w:sz="18" w:space="0" w:color="auto"/>
          <w:right w:val="single" w:sz="18" w:space="0" w:color="auto"/>
          <w:insideH w:val="single" w:sz="12" w:space="0" w:color="auto"/>
          <w:insideV w:val="single" w:sz="18" w:space="0" w:color="auto"/>
        </w:tblBorders>
        <w:tblLook w:val="04A0" w:firstRow="1" w:lastRow="0" w:firstColumn="1" w:lastColumn="0" w:noHBand="0" w:noVBand="1"/>
      </w:tblPr>
      <w:tblGrid>
        <w:gridCol w:w="1549"/>
        <w:gridCol w:w="578"/>
        <w:gridCol w:w="2976"/>
        <w:gridCol w:w="4271"/>
      </w:tblGrid>
      <w:tr w:rsidR="007968EC" w:rsidRPr="005F10B9" w14:paraId="6F94B586" w14:textId="77777777" w:rsidTr="007968E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49" w:type="dxa"/>
            <w:shd w:val="clear" w:color="auto" w:fill="auto"/>
            <w:vAlign w:val="center"/>
          </w:tcPr>
          <w:p w14:paraId="28F20745" w14:textId="77777777" w:rsidR="007968EC" w:rsidRPr="005F10B9" w:rsidRDefault="007968EC" w:rsidP="007968EC">
            <w:pPr>
              <w:jc w:val="center"/>
              <w:rPr>
                <w:rFonts w:ascii="Arial Narrow" w:eastAsia="Calibri" w:hAnsi="Arial Narrow" w:cs="Calibri"/>
                <w:lang w:val="es-CO"/>
              </w:rPr>
            </w:pPr>
            <w:r w:rsidRPr="005F10B9">
              <w:rPr>
                <w:rFonts w:ascii="Arial Narrow" w:eastAsia="Calibri" w:hAnsi="Arial Narrow" w:cs="Calibri"/>
                <w:lang w:val="es-CO"/>
              </w:rPr>
              <w:t>GRUPO</w:t>
            </w:r>
          </w:p>
        </w:tc>
        <w:tc>
          <w:tcPr>
            <w:tcW w:w="578" w:type="dxa"/>
            <w:shd w:val="clear" w:color="auto" w:fill="auto"/>
            <w:vAlign w:val="center"/>
          </w:tcPr>
          <w:p w14:paraId="680DB011" w14:textId="77777777" w:rsidR="007968EC" w:rsidRPr="005F10B9" w:rsidRDefault="007968EC" w:rsidP="007968EC">
            <w:pPr>
              <w:jc w:val="center"/>
              <w:cnfStyle w:val="100000000000" w:firstRow="1" w:lastRow="0" w:firstColumn="0" w:lastColumn="0" w:oddVBand="0" w:evenVBand="0" w:oddHBand="0" w:evenHBand="0" w:firstRowFirstColumn="0" w:firstRowLastColumn="0" w:lastRowFirstColumn="0" w:lastRowLastColumn="0"/>
              <w:rPr>
                <w:rFonts w:ascii="Arial Narrow" w:hAnsi="Arial Narrow"/>
                <w:snapToGrid w:val="0"/>
                <w:lang w:val="es-CO"/>
              </w:rPr>
            </w:pPr>
            <w:proofErr w:type="spellStart"/>
            <w:r w:rsidRPr="005F10B9">
              <w:rPr>
                <w:rFonts w:ascii="Arial Narrow" w:hAnsi="Arial Narrow"/>
                <w:snapToGrid w:val="0"/>
                <w:lang w:val="es-CO"/>
              </w:rPr>
              <w:t>Nº</w:t>
            </w:r>
            <w:proofErr w:type="spellEnd"/>
          </w:p>
        </w:tc>
        <w:tc>
          <w:tcPr>
            <w:tcW w:w="2976" w:type="dxa"/>
            <w:shd w:val="clear" w:color="auto" w:fill="auto"/>
            <w:vAlign w:val="center"/>
          </w:tcPr>
          <w:p w14:paraId="702864E3" w14:textId="77777777" w:rsidR="007968EC" w:rsidRPr="005F10B9" w:rsidRDefault="007968EC" w:rsidP="007968EC">
            <w:pPr>
              <w:jc w:val="center"/>
              <w:cnfStyle w:val="100000000000" w:firstRow="1" w:lastRow="0" w:firstColumn="0" w:lastColumn="0" w:oddVBand="0" w:evenVBand="0" w:oddHBand="0" w:evenHBand="0" w:firstRowFirstColumn="0" w:firstRowLastColumn="0" w:lastRowFirstColumn="0" w:lastRowLastColumn="0"/>
              <w:rPr>
                <w:rFonts w:ascii="Arial Narrow" w:hAnsi="Arial Narrow"/>
                <w:snapToGrid w:val="0"/>
                <w:lang w:val="es-CO"/>
              </w:rPr>
            </w:pPr>
            <w:r w:rsidRPr="005F10B9">
              <w:rPr>
                <w:rFonts w:ascii="Arial Narrow" w:hAnsi="Arial Narrow"/>
                <w:snapToGrid w:val="0"/>
                <w:lang w:val="es-CO"/>
              </w:rPr>
              <w:t>ATRIBUTO</w:t>
            </w:r>
          </w:p>
        </w:tc>
        <w:tc>
          <w:tcPr>
            <w:tcW w:w="4271" w:type="dxa"/>
            <w:shd w:val="clear" w:color="auto" w:fill="auto"/>
            <w:vAlign w:val="center"/>
          </w:tcPr>
          <w:p w14:paraId="58B33F6A" w14:textId="77777777" w:rsidR="007968EC" w:rsidRPr="005F10B9" w:rsidRDefault="007968EC" w:rsidP="007968EC">
            <w:pPr>
              <w:cnfStyle w:val="100000000000" w:firstRow="1" w:lastRow="0" w:firstColumn="0" w:lastColumn="0" w:oddVBand="0" w:evenVBand="0" w:oddHBand="0" w:evenHBand="0" w:firstRowFirstColumn="0" w:firstRowLastColumn="0" w:lastRowFirstColumn="0" w:lastRowLastColumn="0"/>
              <w:rPr>
                <w:rFonts w:ascii="Arial Narrow" w:hAnsi="Arial Narrow"/>
                <w:snapToGrid w:val="0"/>
                <w:lang w:val="es-CO"/>
              </w:rPr>
            </w:pPr>
            <w:r w:rsidRPr="005F10B9">
              <w:rPr>
                <w:rFonts w:ascii="Arial Narrow" w:hAnsi="Arial Narrow"/>
                <w:snapToGrid w:val="0"/>
                <w:lang w:val="es-CO"/>
              </w:rPr>
              <w:t>VALOR CRCC</w:t>
            </w:r>
          </w:p>
        </w:tc>
      </w:tr>
      <w:tr w:rsidR="007968EC" w:rsidRPr="005F10B9" w14:paraId="654EA457"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vMerge w:val="restart"/>
            <w:shd w:val="clear" w:color="auto" w:fill="BFBFBF" w:themeFill="background1" w:themeFillShade="BF"/>
            <w:vAlign w:val="center"/>
          </w:tcPr>
          <w:p w14:paraId="3704C4B9" w14:textId="77777777" w:rsidR="007968EC" w:rsidRPr="005F10B9" w:rsidRDefault="007968EC" w:rsidP="007968EC">
            <w:pPr>
              <w:jc w:val="center"/>
              <w:rPr>
                <w:rFonts w:ascii="Arial Narrow" w:eastAsia="Calibri" w:hAnsi="Arial Narrow"/>
                <w:color w:val="000000" w:themeColor="text1"/>
                <w:lang w:val="es-CO" w:eastAsia="en-US"/>
              </w:rPr>
            </w:pPr>
            <w:r w:rsidRPr="005F10B9">
              <w:rPr>
                <w:rFonts w:ascii="Arial Narrow" w:eastAsia="Calibri" w:hAnsi="Arial Narrow"/>
                <w:color w:val="000000" w:themeColor="text1"/>
              </w:rPr>
              <w:t>Divisa</w:t>
            </w:r>
          </w:p>
        </w:tc>
        <w:tc>
          <w:tcPr>
            <w:tcW w:w="578" w:type="dxa"/>
            <w:shd w:val="clear" w:color="auto" w:fill="auto"/>
            <w:vAlign w:val="center"/>
          </w:tcPr>
          <w:p w14:paraId="4CFBCE8A"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hAnsi="Arial Narrow"/>
                <w:lang w:val="es-CO"/>
              </w:rPr>
            </w:pPr>
          </w:p>
          <w:p w14:paraId="732F5C19"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1</w:t>
            </w:r>
          </w:p>
        </w:tc>
        <w:tc>
          <w:tcPr>
            <w:tcW w:w="2976" w:type="dxa"/>
            <w:shd w:val="clear" w:color="auto" w:fill="auto"/>
            <w:vAlign w:val="center"/>
          </w:tcPr>
          <w:p w14:paraId="7AED0E5C"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Divisa</w:t>
            </w:r>
          </w:p>
        </w:tc>
        <w:tc>
          <w:tcPr>
            <w:tcW w:w="4271" w:type="dxa"/>
            <w:shd w:val="clear" w:color="auto" w:fill="auto"/>
            <w:vAlign w:val="center"/>
          </w:tcPr>
          <w:p w14:paraId="734CD32F"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COP</w:t>
            </w:r>
          </w:p>
        </w:tc>
      </w:tr>
      <w:tr w:rsidR="007968EC" w:rsidRPr="005F10B9" w14:paraId="11B95F82" w14:textId="77777777" w:rsidTr="007968EC">
        <w:tc>
          <w:tcPr>
            <w:cnfStyle w:val="001000000000" w:firstRow="0" w:lastRow="0" w:firstColumn="1" w:lastColumn="0" w:oddVBand="0" w:evenVBand="0" w:oddHBand="0" w:evenHBand="0" w:firstRowFirstColumn="0" w:firstRowLastColumn="0" w:lastRowFirstColumn="0" w:lastRowLastColumn="0"/>
            <w:tcW w:w="1549" w:type="dxa"/>
            <w:vMerge/>
            <w:shd w:val="clear" w:color="auto" w:fill="BFBFBF" w:themeFill="background1" w:themeFillShade="BF"/>
            <w:vAlign w:val="center"/>
          </w:tcPr>
          <w:p w14:paraId="15037799" w14:textId="77777777" w:rsidR="007968EC" w:rsidRPr="005F10B9" w:rsidRDefault="007968EC" w:rsidP="007968EC">
            <w:pPr>
              <w:jc w:val="center"/>
              <w:rPr>
                <w:rFonts w:ascii="Arial Narrow" w:eastAsia="Calibri" w:hAnsi="Arial Narrow"/>
                <w:color w:val="000000" w:themeColor="text1"/>
                <w:lang w:val="es-CO" w:eastAsia="en-US"/>
              </w:rPr>
            </w:pPr>
          </w:p>
        </w:tc>
        <w:tc>
          <w:tcPr>
            <w:tcW w:w="578" w:type="dxa"/>
            <w:shd w:val="clear" w:color="auto" w:fill="auto"/>
            <w:vAlign w:val="center"/>
          </w:tcPr>
          <w:p w14:paraId="410FE1D4"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2</w:t>
            </w:r>
          </w:p>
        </w:tc>
        <w:tc>
          <w:tcPr>
            <w:tcW w:w="2976" w:type="dxa"/>
            <w:shd w:val="clear" w:color="auto" w:fill="auto"/>
            <w:vAlign w:val="center"/>
          </w:tcPr>
          <w:p w14:paraId="1957532A"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Calendario de Festivos</w:t>
            </w:r>
          </w:p>
        </w:tc>
        <w:tc>
          <w:tcPr>
            <w:tcW w:w="4271" w:type="dxa"/>
            <w:shd w:val="clear" w:color="auto" w:fill="auto"/>
            <w:vAlign w:val="center"/>
          </w:tcPr>
          <w:p w14:paraId="461E413B" w14:textId="77777777" w:rsidR="007968EC" w:rsidRPr="005F10B9" w:rsidRDefault="007968EC" w:rsidP="007968EC">
            <w:pPr>
              <w:jc w:val="both"/>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Siempre se utilizará el calendario aplicado a la Divisa de la Operación, la Cámara usará el calendario COBO.</w:t>
            </w:r>
          </w:p>
        </w:tc>
      </w:tr>
      <w:tr w:rsidR="007968EC" w:rsidRPr="005F10B9" w14:paraId="60D8F04A"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vMerge w:val="restart"/>
            <w:shd w:val="clear" w:color="auto" w:fill="BFBFBF" w:themeFill="background1" w:themeFillShade="BF"/>
            <w:vAlign w:val="center"/>
          </w:tcPr>
          <w:p w14:paraId="0F91C75C" w14:textId="77777777" w:rsidR="007968EC" w:rsidRPr="005F10B9" w:rsidRDefault="007968EC" w:rsidP="007968EC">
            <w:pPr>
              <w:jc w:val="center"/>
              <w:rPr>
                <w:rFonts w:ascii="Arial Narrow" w:eastAsia="Calibri" w:hAnsi="Arial Narrow"/>
                <w:color w:val="000000" w:themeColor="text1"/>
                <w:lang w:val="es-CO" w:eastAsia="en-US"/>
              </w:rPr>
            </w:pPr>
            <w:r w:rsidRPr="005F10B9">
              <w:rPr>
                <w:rFonts w:ascii="Arial Narrow" w:eastAsia="Calibri" w:hAnsi="Arial Narrow"/>
                <w:color w:val="000000" w:themeColor="text1"/>
              </w:rPr>
              <w:t>Plazos</w:t>
            </w:r>
          </w:p>
        </w:tc>
        <w:tc>
          <w:tcPr>
            <w:tcW w:w="578" w:type="dxa"/>
            <w:shd w:val="clear" w:color="auto" w:fill="auto"/>
            <w:vAlign w:val="center"/>
          </w:tcPr>
          <w:p w14:paraId="6699D2AF"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3</w:t>
            </w:r>
          </w:p>
        </w:tc>
        <w:tc>
          <w:tcPr>
            <w:tcW w:w="2976" w:type="dxa"/>
            <w:shd w:val="clear" w:color="auto" w:fill="auto"/>
            <w:vAlign w:val="center"/>
          </w:tcPr>
          <w:p w14:paraId="3634819B"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 xml:space="preserve">Plazo Mínimo en Días </w:t>
            </w:r>
          </w:p>
        </w:tc>
        <w:tc>
          <w:tcPr>
            <w:tcW w:w="4271" w:type="dxa"/>
            <w:shd w:val="clear" w:color="auto" w:fill="auto"/>
            <w:vAlign w:val="center"/>
          </w:tcPr>
          <w:p w14:paraId="175CDEB8"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28 días</w:t>
            </w:r>
          </w:p>
        </w:tc>
      </w:tr>
      <w:tr w:rsidR="007968EC" w:rsidRPr="005F10B9" w14:paraId="1F2FA2BF" w14:textId="77777777" w:rsidTr="007968EC">
        <w:tc>
          <w:tcPr>
            <w:cnfStyle w:val="001000000000" w:firstRow="0" w:lastRow="0" w:firstColumn="1" w:lastColumn="0" w:oddVBand="0" w:evenVBand="0" w:oddHBand="0" w:evenHBand="0" w:firstRowFirstColumn="0" w:firstRowLastColumn="0" w:lastRowFirstColumn="0" w:lastRowLastColumn="0"/>
            <w:tcW w:w="1549" w:type="dxa"/>
            <w:vMerge/>
            <w:shd w:val="clear" w:color="auto" w:fill="BFBFBF" w:themeFill="background1" w:themeFillShade="BF"/>
            <w:vAlign w:val="center"/>
          </w:tcPr>
          <w:p w14:paraId="7D87309A" w14:textId="77777777" w:rsidR="007968EC" w:rsidRPr="005F10B9" w:rsidRDefault="007968EC" w:rsidP="007968EC">
            <w:pPr>
              <w:jc w:val="center"/>
              <w:rPr>
                <w:rFonts w:ascii="Arial Narrow" w:eastAsia="Calibri" w:hAnsi="Arial Narrow"/>
                <w:color w:val="000000" w:themeColor="text1"/>
                <w:lang w:val="es-CO" w:eastAsia="en-US"/>
              </w:rPr>
            </w:pPr>
          </w:p>
        </w:tc>
        <w:tc>
          <w:tcPr>
            <w:tcW w:w="578" w:type="dxa"/>
            <w:shd w:val="clear" w:color="auto" w:fill="auto"/>
            <w:vAlign w:val="center"/>
          </w:tcPr>
          <w:p w14:paraId="46608F76"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4</w:t>
            </w:r>
          </w:p>
        </w:tc>
        <w:tc>
          <w:tcPr>
            <w:tcW w:w="2976" w:type="dxa"/>
            <w:shd w:val="clear" w:color="auto" w:fill="auto"/>
            <w:vAlign w:val="center"/>
          </w:tcPr>
          <w:p w14:paraId="016C841A"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Plazo Residual Mínimo en Días</w:t>
            </w:r>
          </w:p>
        </w:tc>
        <w:tc>
          <w:tcPr>
            <w:tcW w:w="4271" w:type="dxa"/>
            <w:shd w:val="clear" w:color="auto" w:fill="auto"/>
            <w:vAlign w:val="center"/>
          </w:tcPr>
          <w:p w14:paraId="3B1491F1"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2 días</w:t>
            </w:r>
          </w:p>
        </w:tc>
      </w:tr>
      <w:tr w:rsidR="007968EC" w:rsidRPr="005F10B9" w14:paraId="1838C949"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vMerge/>
            <w:shd w:val="clear" w:color="auto" w:fill="BFBFBF" w:themeFill="background1" w:themeFillShade="BF"/>
            <w:vAlign w:val="center"/>
          </w:tcPr>
          <w:p w14:paraId="01833050" w14:textId="77777777" w:rsidR="007968EC" w:rsidRPr="005F10B9" w:rsidRDefault="007968EC" w:rsidP="007968EC">
            <w:pPr>
              <w:jc w:val="center"/>
              <w:rPr>
                <w:rFonts w:ascii="Arial Narrow" w:eastAsia="Calibri" w:hAnsi="Arial Narrow"/>
                <w:color w:val="000000" w:themeColor="text1"/>
                <w:lang w:val="es-CO" w:eastAsia="en-US"/>
              </w:rPr>
            </w:pPr>
          </w:p>
        </w:tc>
        <w:tc>
          <w:tcPr>
            <w:tcW w:w="578" w:type="dxa"/>
            <w:shd w:val="clear" w:color="auto" w:fill="auto"/>
            <w:vAlign w:val="center"/>
          </w:tcPr>
          <w:p w14:paraId="20E12603"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5</w:t>
            </w:r>
          </w:p>
        </w:tc>
        <w:tc>
          <w:tcPr>
            <w:tcW w:w="2976" w:type="dxa"/>
            <w:shd w:val="clear" w:color="auto" w:fill="auto"/>
            <w:vAlign w:val="center"/>
          </w:tcPr>
          <w:p w14:paraId="787BF65D"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Plazo Residual Máximo en Días</w:t>
            </w:r>
          </w:p>
        </w:tc>
        <w:tc>
          <w:tcPr>
            <w:tcW w:w="4271" w:type="dxa"/>
            <w:shd w:val="clear" w:color="auto" w:fill="auto"/>
            <w:vAlign w:val="center"/>
          </w:tcPr>
          <w:p w14:paraId="46A738BF"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5484 días</w:t>
            </w:r>
          </w:p>
        </w:tc>
      </w:tr>
      <w:tr w:rsidR="007968EC" w:rsidRPr="005F10B9" w14:paraId="78B08BB0" w14:textId="77777777" w:rsidTr="007968EC">
        <w:tc>
          <w:tcPr>
            <w:cnfStyle w:val="001000000000" w:firstRow="0" w:lastRow="0" w:firstColumn="1" w:lastColumn="0" w:oddVBand="0" w:evenVBand="0" w:oddHBand="0" w:evenHBand="0" w:firstRowFirstColumn="0" w:firstRowLastColumn="0" w:lastRowFirstColumn="0" w:lastRowLastColumn="0"/>
            <w:tcW w:w="1549" w:type="dxa"/>
            <w:vMerge/>
            <w:shd w:val="clear" w:color="auto" w:fill="BFBFBF" w:themeFill="background1" w:themeFillShade="BF"/>
            <w:vAlign w:val="center"/>
          </w:tcPr>
          <w:p w14:paraId="558EBD73" w14:textId="77777777" w:rsidR="007968EC" w:rsidRPr="005F10B9" w:rsidRDefault="007968EC" w:rsidP="007968EC">
            <w:pPr>
              <w:jc w:val="center"/>
              <w:rPr>
                <w:rFonts w:ascii="Arial Narrow" w:eastAsia="Calibri" w:hAnsi="Arial Narrow"/>
                <w:color w:val="000000" w:themeColor="text1"/>
                <w:lang w:val="es-CO" w:eastAsia="en-US"/>
              </w:rPr>
            </w:pPr>
          </w:p>
        </w:tc>
        <w:tc>
          <w:tcPr>
            <w:tcW w:w="578" w:type="dxa"/>
            <w:shd w:val="clear" w:color="auto" w:fill="auto"/>
            <w:vAlign w:val="center"/>
          </w:tcPr>
          <w:p w14:paraId="6006CD00"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6</w:t>
            </w:r>
          </w:p>
        </w:tc>
        <w:tc>
          <w:tcPr>
            <w:tcW w:w="2976" w:type="dxa"/>
            <w:shd w:val="clear" w:color="auto" w:fill="auto"/>
            <w:vAlign w:val="center"/>
          </w:tcPr>
          <w:p w14:paraId="7FF36C3C"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Plazo Residual Máximo en años</w:t>
            </w:r>
          </w:p>
        </w:tc>
        <w:tc>
          <w:tcPr>
            <w:tcW w:w="4271" w:type="dxa"/>
            <w:shd w:val="clear" w:color="auto" w:fill="auto"/>
            <w:vAlign w:val="center"/>
          </w:tcPr>
          <w:p w14:paraId="388C47F0"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15 años</w:t>
            </w:r>
          </w:p>
        </w:tc>
      </w:tr>
      <w:tr w:rsidR="007968EC" w:rsidRPr="005F10B9" w14:paraId="781E91E1"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vMerge/>
            <w:shd w:val="clear" w:color="auto" w:fill="BFBFBF" w:themeFill="background1" w:themeFillShade="BF"/>
            <w:vAlign w:val="center"/>
          </w:tcPr>
          <w:p w14:paraId="27EBE669" w14:textId="77777777" w:rsidR="007968EC" w:rsidRPr="005F10B9" w:rsidRDefault="007968EC" w:rsidP="007968EC">
            <w:pPr>
              <w:jc w:val="center"/>
              <w:rPr>
                <w:rFonts w:ascii="Arial Narrow" w:eastAsia="Calibri" w:hAnsi="Arial Narrow"/>
                <w:color w:val="000000" w:themeColor="text1"/>
                <w:lang w:val="es-CO" w:eastAsia="en-US"/>
              </w:rPr>
            </w:pPr>
          </w:p>
        </w:tc>
        <w:tc>
          <w:tcPr>
            <w:tcW w:w="578" w:type="dxa"/>
            <w:shd w:val="clear" w:color="auto" w:fill="auto"/>
            <w:vAlign w:val="center"/>
          </w:tcPr>
          <w:p w14:paraId="1FF30D35"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7</w:t>
            </w:r>
          </w:p>
        </w:tc>
        <w:tc>
          <w:tcPr>
            <w:tcW w:w="2976" w:type="dxa"/>
            <w:shd w:val="clear" w:color="auto" w:fill="auto"/>
            <w:vAlign w:val="center"/>
          </w:tcPr>
          <w:p w14:paraId="4A4E7389"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Inicio Diferido</w:t>
            </w:r>
          </w:p>
        </w:tc>
        <w:tc>
          <w:tcPr>
            <w:tcW w:w="4271" w:type="dxa"/>
            <w:shd w:val="clear" w:color="auto" w:fill="auto"/>
            <w:vAlign w:val="center"/>
          </w:tcPr>
          <w:p w14:paraId="3EB31AF9"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Y</w:t>
            </w:r>
          </w:p>
        </w:tc>
      </w:tr>
      <w:tr w:rsidR="007968EC" w:rsidRPr="005F10B9" w14:paraId="47EE3350" w14:textId="77777777" w:rsidTr="007968EC">
        <w:tc>
          <w:tcPr>
            <w:cnfStyle w:val="001000000000" w:firstRow="0" w:lastRow="0" w:firstColumn="1" w:lastColumn="0" w:oddVBand="0" w:evenVBand="0" w:oddHBand="0" w:evenHBand="0" w:firstRowFirstColumn="0" w:firstRowLastColumn="0" w:lastRowFirstColumn="0" w:lastRowLastColumn="0"/>
            <w:tcW w:w="1549" w:type="dxa"/>
            <w:vMerge w:val="restart"/>
            <w:shd w:val="clear" w:color="auto" w:fill="BFBFBF" w:themeFill="background1" w:themeFillShade="BF"/>
            <w:vAlign w:val="center"/>
          </w:tcPr>
          <w:p w14:paraId="47CF5342" w14:textId="77777777" w:rsidR="007968EC" w:rsidRPr="005F10B9" w:rsidRDefault="007968EC" w:rsidP="007968EC">
            <w:pPr>
              <w:jc w:val="center"/>
              <w:rPr>
                <w:rFonts w:ascii="Arial Narrow" w:eastAsia="Calibri" w:hAnsi="Arial Narrow"/>
                <w:color w:val="000000" w:themeColor="text1"/>
                <w:lang w:val="es-CO" w:eastAsia="en-US"/>
              </w:rPr>
            </w:pPr>
            <w:r w:rsidRPr="005F10B9">
              <w:rPr>
                <w:rFonts w:ascii="Arial Narrow" w:eastAsia="Calibri" w:hAnsi="Arial Narrow"/>
                <w:color w:val="000000" w:themeColor="text1"/>
              </w:rPr>
              <w:t>Nocional</w:t>
            </w:r>
          </w:p>
        </w:tc>
        <w:tc>
          <w:tcPr>
            <w:tcW w:w="578" w:type="dxa"/>
            <w:shd w:val="clear" w:color="auto" w:fill="auto"/>
            <w:vAlign w:val="center"/>
          </w:tcPr>
          <w:p w14:paraId="77B9E1D1"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8</w:t>
            </w:r>
          </w:p>
        </w:tc>
        <w:tc>
          <w:tcPr>
            <w:tcW w:w="2976" w:type="dxa"/>
            <w:shd w:val="clear" w:color="auto" w:fill="auto"/>
            <w:vAlign w:val="center"/>
          </w:tcPr>
          <w:p w14:paraId="3118FCC6"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Nominal</w:t>
            </w:r>
          </w:p>
        </w:tc>
        <w:tc>
          <w:tcPr>
            <w:tcW w:w="4271" w:type="dxa"/>
            <w:shd w:val="clear" w:color="auto" w:fill="auto"/>
            <w:vAlign w:val="center"/>
          </w:tcPr>
          <w:p w14:paraId="26A5F67F"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N</w:t>
            </w:r>
          </w:p>
        </w:tc>
      </w:tr>
      <w:tr w:rsidR="007968EC" w:rsidRPr="005F10B9" w14:paraId="16529C44"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vMerge/>
            <w:shd w:val="clear" w:color="auto" w:fill="BFBFBF" w:themeFill="background1" w:themeFillShade="BF"/>
            <w:vAlign w:val="center"/>
          </w:tcPr>
          <w:p w14:paraId="1833615A" w14:textId="77777777" w:rsidR="007968EC" w:rsidRPr="005F10B9" w:rsidRDefault="007968EC" w:rsidP="007968EC">
            <w:pPr>
              <w:jc w:val="center"/>
              <w:rPr>
                <w:rFonts w:ascii="Arial Narrow" w:hAnsi="Arial Narrow"/>
                <w:snapToGrid w:val="0"/>
                <w:color w:val="000000"/>
                <w:lang w:val="es-CO"/>
              </w:rPr>
            </w:pPr>
          </w:p>
        </w:tc>
        <w:tc>
          <w:tcPr>
            <w:tcW w:w="578" w:type="dxa"/>
            <w:shd w:val="clear" w:color="auto" w:fill="auto"/>
            <w:vAlign w:val="center"/>
          </w:tcPr>
          <w:p w14:paraId="062A72A5"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9</w:t>
            </w:r>
          </w:p>
        </w:tc>
        <w:tc>
          <w:tcPr>
            <w:tcW w:w="2976" w:type="dxa"/>
            <w:shd w:val="clear" w:color="auto" w:fill="auto"/>
            <w:vAlign w:val="center"/>
          </w:tcPr>
          <w:p w14:paraId="257CD938"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 xml:space="preserve">Importe Mínimo de Nominal </w:t>
            </w:r>
          </w:p>
        </w:tc>
        <w:tc>
          <w:tcPr>
            <w:tcW w:w="4271" w:type="dxa"/>
            <w:shd w:val="clear" w:color="auto" w:fill="auto"/>
            <w:vAlign w:val="center"/>
          </w:tcPr>
          <w:p w14:paraId="41A5F270"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1COP</w:t>
            </w:r>
          </w:p>
        </w:tc>
      </w:tr>
      <w:tr w:rsidR="007968EC" w:rsidRPr="005F10B9" w14:paraId="43E67E3A" w14:textId="77777777" w:rsidTr="007968EC">
        <w:tc>
          <w:tcPr>
            <w:cnfStyle w:val="001000000000" w:firstRow="0" w:lastRow="0" w:firstColumn="1" w:lastColumn="0" w:oddVBand="0" w:evenVBand="0" w:oddHBand="0" w:evenHBand="0" w:firstRowFirstColumn="0" w:firstRowLastColumn="0" w:lastRowFirstColumn="0" w:lastRowLastColumn="0"/>
            <w:tcW w:w="1549" w:type="dxa"/>
            <w:vMerge/>
            <w:shd w:val="clear" w:color="auto" w:fill="BFBFBF" w:themeFill="background1" w:themeFillShade="BF"/>
            <w:vAlign w:val="center"/>
          </w:tcPr>
          <w:p w14:paraId="7A418D8E" w14:textId="77777777" w:rsidR="007968EC" w:rsidRPr="005F10B9" w:rsidRDefault="007968EC" w:rsidP="007968EC">
            <w:pPr>
              <w:jc w:val="center"/>
              <w:rPr>
                <w:rFonts w:ascii="Arial Narrow" w:hAnsi="Arial Narrow"/>
                <w:snapToGrid w:val="0"/>
                <w:color w:val="000000"/>
                <w:lang w:val="es-CO"/>
              </w:rPr>
            </w:pPr>
          </w:p>
        </w:tc>
        <w:tc>
          <w:tcPr>
            <w:tcW w:w="578" w:type="dxa"/>
            <w:shd w:val="clear" w:color="auto" w:fill="auto"/>
            <w:vAlign w:val="center"/>
          </w:tcPr>
          <w:p w14:paraId="3FE06AE9"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10</w:t>
            </w:r>
          </w:p>
        </w:tc>
        <w:tc>
          <w:tcPr>
            <w:tcW w:w="2976" w:type="dxa"/>
            <w:shd w:val="clear" w:color="auto" w:fill="auto"/>
            <w:vAlign w:val="center"/>
          </w:tcPr>
          <w:p w14:paraId="1F723CE5"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 xml:space="preserve">Importe Máximo de Nominal </w:t>
            </w:r>
          </w:p>
        </w:tc>
        <w:tc>
          <w:tcPr>
            <w:tcW w:w="4271" w:type="dxa"/>
            <w:shd w:val="clear" w:color="auto" w:fill="auto"/>
            <w:vAlign w:val="center"/>
          </w:tcPr>
          <w:p w14:paraId="7C96E545"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1 billón COP- 1x10</w:t>
            </w:r>
            <w:r w:rsidRPr="005F10B9">
              <w:rPr>
                <w:rFonts w:ascii="Arial Narrow" w:hAnsi="Arial Narrow"/>
                <w:snapToGrid w:val="0"/>
                <w:color w:val="000000"/>
                <w:vertAlign w:val="superscript"/>
                <w:lang w:val="es-CO"/>
              </w:rPr>
              <w:t>12</w:t>
            </w:r>
          </w:p>
        </w:tc>
      </w:tr>
      <w:tr w:rsidR="007968EC" w:rsidRPr="005F10B9" w14:paraId="4ADA9ACA"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vMerge w:val="restart"/>
            <w:shd w:val="clear" w:color="auto" w:fill="BFBFBF" w:themeFill="background1" w:themeFillShade="BF"/>
            <w:vAlign w:val="center"/>
          </w:tcPr>
          <w:p w14:paraId="7C856224" w14:textId="77777777" w:rsidR="007968EC" w:rsidRPr="005F10B9" w:rsidRDefault="007968EC" w:rsidP="007968EC">
            <w:pPr>
              <w:jc w:val="center"/>
              <w:rPr>
                <w:rFonts w:ascii="Arial Narrow" w:hAnsi="Arial Narrow"/>
                <w:snapToGrid w:val="0"/>
                <w:color w:val="000000"/>
                <w:lang w:val="es-CO"/>
              </w:rPr>
            </w:pPr>
            <w:r w:rsidRPr="005F10B9">
              <w:rPr>
                <w:rFonts w:ascii="Arial Narrow" w:hAnsi="Arial Narrow"/>
                <w:snapToGrid w:val="0"/>
                <w:color w:val="000000"/>
                <w:lang w:val="es-CO"/>
              </w:rPr>
              <w:t>Rama Variable</w:t>
            </w:r>
          </w:p>
        </w:tc>
        <w:tc>
          <w:tcPr>
            <w:tcW w:w="578" w:type="dxa"/>
            <w:shd w:val="clear" w:color="auto" w:fill="auto"/>
            <w:vAlign w:val="center"/>
          </w:tcPr>
          <w:p w14:paraId="2412EE93"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11</w:t>
            </w:r>
          </w:p>
        </w:tc>
        <w:tc>
          <w:tcPr>
            <w:tcW w:w="2976" w:type="dxa"/>
            <w:shd w:val="clear" w:color="auto" w:fill="auto"/>
            <w:vAlign w:val="center"/>
          </w:tcPr>
          <w:p w14:paraId="05573BAC"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Índice Tasa de Interés Variable</w:t>
            </w:r>
          </w:p>
        </w:tc>
        <w:tc>
          <w:tcPr>
            <w:tcW w:w="4271" w:type="dxa"/>
            <w:shd w:val="clear" w:color="auto" w:fill="auto"/>
            <w:vAlign w:val="center"/>
          </w:tcPr>
          <w:p w14:paraId="7E98E6C9"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IBR Overnight</w:t>
            </w:r>
          </w:p>
        </w:tc>
      </w:tr>
      <w:tr w:rsidR="007968EC" w:rsidRPr="005F10B9" w14:paraId="6B219B07" w14:textId="77777777" w:rsidTr="007968EC">
        <w:tc>
          <w:tcPr>
            <w:cnfStyle w:val="001000000000" w:firstRow="0" w:lastRow="0" w:firstColumn="1" w:lastColumn="0" w:oddVBand="0" w:evenVBand="0" w:oddHBand="0" w:evenHBand="0" w:firstRowFirstColumn="0" w:firstRowLastColumn="0" w:lastRowFirstColumn="0" w:lastRowLastColumn="0"/>
            <w:tcW w:w="1549" w:type="dxa"/>
            <w:vMerge/>
            <w:shd w:val="clear" w:color="auto" w:fill="BFBFBF" w:themeFill="background1" w:themeFillShade="BF"/>
            <w:vAlign w:val="center"/>
          </w:tcPr>
          <w:p w14:paraId="3F711545" w14:textId="77777777" w:rsidR="007968EC" w:rsidRPr="005F10B9" w:rsidRDefault="007968EC" w:rsidP="007968EC">
            <w:pPr>
              <w:jc w:val="center"/>
              <w:rPr>
                <w:rFonts w:ascii="Arial Narrow" w:hAnsi="Arial Narrow"/>
                <w:snapToGrid w:val="0"/>
                <w:color w:val="000000"/>
                <w:lang w:val="es-CO"/>
              </w:rPr>
            </w:pPr>
          </w:p>
        </w:tc>
        <w:tc>
          <w:tcPr>
            <w:tcW w:w="578" w:type="dxa"/>
            <w:shd w:val="clear" w:color="auto" w:fill="auto"/>
            <w:vAlign w:val="center"/>
          </w:tcPr>
          <w:p w14:paraId="7049C265"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12</w:t>
            </w:r>
          </w:p>
        </w:tc>
        <w:tc>
          <w:tcPr>
            <w:tcW w:w="2976" w:type="dxa"/>
            <w:shd w:val="clear" w:color="auto" w:fill="auto"/>
            <w:vAlign w:val="center"/>
          </w:tcPr>
          <w:p w14:paraId="58B37DB9"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Plazo del índice Variable (Periodo Regular)</w:t>
            </w:r>
          </w:p>
        </w:tc>
        <w:tc>
          <w:tcPr>
            <w:tcW w:w="4271" w:type="dxa"/>
            <w:shd w:val="clear" w:color="auto" w:fill="auto"/>
            <w:vAlign w:val="center"/>
          </w:tcPr>
          <w:p w14:paraId="78EB04BC"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Diario</w:t>
            </w:r>
          </w:p>
        </w:tc>
      </w:tr>
      <w:tr w:rsidR="007968EC" w:rsidRPr="005F10B9" w14:paraId="4332EE93"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vMerge/>
            <w:shd w:val="clear" w:color="auto" w:fill="BFBFBF" w:themeFill="background1" w:themeFillShade="BF"/>
            <w:vAlign w:val="center"/>
          </w:tcPr>
          <w:p w14:paraId="034549C4" w14:textId="77777777" w:rsidR="007968EC" w:rsidRPr="005F10B9" w:rsidRDefault="007968EC" w:rsidP="007968EC">
            <w:pPr>
              <w:jc w:val="center"/>
              <w:rPr>
                <w:rFonts w:ascii="Arial Narrow" w:hAnsi="Arial Narrow"/>
                <w:snapToGrid w:val="0"/>
                <w:color w:val="000000"/>
                <w:lang w:val="es-CO"/>
              </w:rPr>
            </w:pPr>
          </w:p>
        </w:tc>
        <w:tc>
          <w:tcPr>
            <w:tcW w:w="578" w:type="dxa"/>
            <w:shd w:val="clear" w:color="auto" w:fill="auto"/>
            <w:vAlign w:val="center"/>
          </w:tcPr>
          <w:p w14:paraId="142B9F2D"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13</w:t>
            </w:r>
          </w:p>
        </w:tc>
        <w:tc>
          <w:tcPr>
            <w:tcW w:w="2976" w:type="dxa"/>
            <w:shd w:val="clear" w:color="auto" w:fill="auto"/>
            <w:vAlign w:val="center"/>
          </w:tcPr>
          <w:p w14:paraId="688632F3"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Diferencial/Spread de la Rama Variable</w:t>
            </w:r>
          </w:p>
        </w:tc>
        <w:tc>
          <w:tcPr>
            <w:tcW w:w="4271" w:type="dxa"/>
            <w:shd w:val="clear" w:color="auto" w:fill="auto"/>
            <w:vAlign w:val="center"/>
          </w:tcPr>
          <w:p w14:paraId="7F5D8E8F"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N</w:t>
            </w:r>
          </w:p>
        </w:tc>
      </w:tr>
      <w:tr w:rsidR="007968EC" w:rsidRPr="005F10B9" w14:paraId="57BB036C" w14:textId="77777777" w:rsidTr="007968EC">
        <w:tc>
          <w:tcPr>
            <w:cnfStyle w:val="001000000000" w:firstRow="0" w:lastRow="0" w:firstColumn="1" w:lastColumn="0" w:oddVBand="0" w:evenVBand="0" w:oddHBand="0" w:evenHBand="0" w:firstRowFirstColumn="0" w:firstRowLastColumn="0" w:lastRowFirstColumn="0" w:lastRowLastColumn="0"/>
            <w:tcW w:w="1549" w:type="dxa"/>
            <w:vMerge/>
            <w:shd w:val="clear" w:color="auto" w:fill="BFBFBF" w:themeFill="background1" w:themeFillShade="BF"/>
            <w:vAlign w:val="center"/>
          </w:tcPr>
          <w:p w14:paraId="13F7432A" w14:textId="77777777" w:rsidR="007968EC" w:rsidRPr="005F10B9" w:rsidRDefault="007968EC" w:rsidP="007968EC">
            <w:pPr>
              <w:jc w:val="center"/>
              <w:rPr>
                <w:rFonts w:ascii="Arial Narrow" w:hAnsi="Arial Narrow"/>
                <w:snapToGrid w:val="0"/>
                <w:color w:val="000000"/>
                <w:lang w:val="es-CO"/>
              </w:rPr>
            </w:pPr>
          </w:p>
        </w:tc>
        <w:tc>
          <w:tcPr>
            <w:tcW w:w="578" w:type="dxa"/>
            <w:shd w:val="clear" w:color="auto" w:fill="auto"/>
            <w:vAlign w:val="center"/>
          </w:tcPr>
          <w:p w14:paraId="0FD859DC"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14</w:t>
            </w:r>
          </w:p>
        </w:tc>
        <w:tc>
          <w:tcPr>
            <w:tcW w:w="2976" w:type="dxa"/>
            <w:shd w:val="clear" w:color="auto" w:fill="auto"/>
            <w:vAlign w:val="center"/>
          </w:tcPr>
          <w:p w14:paraId="79FBF7DA"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Tasa Negativa de la Rama Variable</w:t>
            </w:r>
          </w:p>
        </w:tc>
        <w:tc>
          <w:tcPr>
            <w:tcW w:w="4271" w:type="dxa"/>
            <w:shd w:val="clear" w:color="auto" w:fill="auto"/>
            <w:vAlign w:val="center"/>
          </w:tcPr>
          <w:p w14:paraId="52606978"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Y</w:t>
            </w:r>
          </w:p>
        </w:tc>
      </w:tr>
      <w:tr w:rsidR="007968EC" w:rsidRPr="005F10B9" w14:paraId="3BC0AE8A"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vMerge/>
            <w:shd w:val="clear" w:color="auto" w:fill="BFBFBF" w:themeFill="background1" w:themeFillShade="BF"/>
            <w:vAlign w:val="center"/>
          </w:tcPr>
          <w:p w14:paraId="3C7F367A" w14:textId="77777777" w:rsidR="007968EC" w:rsidRPr="005F10B9" w:rsidRDefault="007968EC" w:rsidP="007968EC">
            <w:pPr>
              <w:jc w:val="center"/>
              <w:rPr>
                <w:rFonts w:ascii="Arial Narrow" w:hAnsi="Arial Narrow"/>
                <w:snapToGrid w:val="0"/>
                <w:color w:val="000000"/>
                <w:lang w:val="es-CO"/>
              </w:rPr>
            </w:pPr>
          </w:p>
        </w:tc>
        <w:tc>
          <w:tcPr>
            <w:tcW w:w="578" w:type="dxa"/>
            <w:shd w:val="clear" w:color="auto" w:fill="auto"/>
            <w:vAlign w:val="center"/>
          </w:tcPr>
          <w:p w14:paraId="7759C3E7"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15</w:t>
            </w:r>
          </w:p>
        </w:tc>
        <w:tc>
          <w:tcPr>
            <w:tcW w:w="2976" w:type="dxa"/>
            <w:shd w:val="clear" w:color="auto" w:fill="auto"/>
            <w:vAlign w:val="center"/>
          </w:tcPr>
          <w:p w14:paraId="49BD701A" w14:textId="77777777" w:rsidR="007968EC" w:rsidRPr="005F10B9" w:rsidRDefault="007968EC" w:rsidP="007968E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eastAsia="en-US"/>
              </w:rPr>
            </w:pPr>
            <w:r w:rsidRPr="005F10B9">
              <w:rPr>
                <w:rFonts w:ascii="Arial Narrow" w:eastAsia="Calibri" w:hAnsi="Arial Narrow" w:cs="Calibri"/>
                <w:lang w:eastAsia="en-US"/>
              </w:rPr>
              <w:t xml:space="preserve">Días de Retraso para la Fijación de la Tasa Variable </w:t>
            </w:r>
            <w:r w:rsidRPr="005F10B9">
              <w:rPr>
                <w:rFonts w:ascii="Arial Narrow" w:hAnsi="Arial Narrow" w:cs="Arial"/>
                <w:color w:val="000000"/>
              </w:rPr>
              <w:t>(Standard)</w:t>
            </w:r>
          </w:p>
        </w:tc>
        <w:tc>
          <w:tcPr>
            <w:tcW w:w="4271" w:type="dxa"/>
            <w:shd w:val="clear" w:color="auto" w:fill="auto"/>
            <w:vAlign w:val="center"/>
          </w:tcPr>
          <w:p w14:paraId="0382609A"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0 días</w:t>
            </w:r>
          </w:p>
        </w:tc>
      </w:tr>
      <w:tr w:rsidR="007968EC" w:rsidRPr="005F10B9" w14:paraId="3F07F7F9" w14:textId="77777777" w:rsidTr="007968EC">
        <w:tc>
          <w:tcPr>
            <w:cnfStyle w:val="001000000000" w:firstRow="0" w:lastRow="0" w:firstColumn="1" w:lastColumn="0" w:oddVBand="0" w:evenVBand="0" w:oddHBand="0" w:evenHBand="0" w:firstRowFirstColumn="0" w:firstRowLastColumn="0" w:lastRowFirstColumn="0" w:lastRowLastColumn="0"/>
            <w:tcW w:w="1549" w:type="dxa"/>
            <w:vMerge/>
            <w:shd w:val="clear" w:color="auto" w:fill="BFBFBF" w:themeFill="background1" w:themeFillShade="BF"/>
            <w:vAlign w:val="center"/>
          </w:tcPr>
          <w:p w14:paraId="69F4BF9E" w14:textId="77777777" w:rsidR="007968EC" w:rsidRPr="005F10B9" w:rsidRDefault="007968EC" w:rsidP="007968EC">
            <w:pPr>
              <w:jc w:val="center"/>
              <w:rPr>
                <w:rFonts w:ascii="Arial Narrow" w:hAnsi="Arial Narrow"/>
                <w:snapToGrid w:val="0"/>
                <w:color w:val="000000"/>
                <w:lang w:val="es-CO"/>
              </w:rPr>
            </w:pPr>
          </w:p>
        </w:tc>
        <w:tc>
          <w:tcPr>
            <w:tcW w:w="578" w:type="dxa"/>
            <w:shd w:val="clear" w:color="auto" w:fill="auto"/>
            <w:vAlign w:val="center"/>
          </w:tcPr>
          <w:p w14:paraId="6D680848"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16</w:t>
            </w:r>
          </w:p>
        </w:tc>
        <w:tc>
          <w:tcPr>
            <w:tcW w:w="2976" w:type="dxa"/>
            <w:shd w:val="clear" w:color="auto" w:fill="auto"/>
            <w:vAlign w:val="center"/>
          </w:tcPr>
          <w:p w14:paraId="4B12A3F9"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Días de Retraso para la Fijación de la Tasa Variable (Non-standard)</w:t>
            </w:r>
          </w:p>
        </w:tc>
        <w:tc>
          <w:tcPr>
            <w:tcW w:w="4271" w:type="dxa"/>
            <w:shd w:val="clear" w:color="auto" w:fill="auto"/>
            <w:vAlign w:val="center"/>
          </w:tcPr>
          <w:p w14:paraId="25295E00"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N</w:t>
            </w:r>
          </w:p>
        </w:tc>
      </w:tr>
      <w:tr w:rsidR="007968EC" w:rsidRPr="005F10B9" w14:paraId="60D641DF"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vMerge/>
            <w:shd w:val="clear" w:color="auto" w:fill="BFBFBF" w:themeFill="background1" w:themeFillShade="BF"/>
            <w:vAlign w:val="center"/>
          </w:tcPr>
          <w:p w14:paraId="2FC0DA5C" w14:textId="77777777" w:rsidR="007968EC" w:rsidRPr="005F10B9" w:rsidRDefault="007968EC" w:rsidP="007968EC">
            <w:pPr>
              <w:jc w:val="center"/>
              <w:rPr>
                <w:rFonts w:ascii="Arial Narrow" w:hAnsi="Arial Narrow"/>
                <w:snapToGrid w:val="0"/>
                <w:color w:val="000000"/>
                <w:lang w:val="es-CO"/>
              </w:rPr>
            </w:pPr>
          </w:p>
        </w:tc>
        <w:tc>
          <w:tcPr>
            <w:tcW w:w="578" w:type="dxa"/>
            <w:shd w:val="clear" w:color="auto" w:fill="auto"/>
            <w:vAlign w:val="center"/>
          </w:tcPr>
          <w:p w14:paraId="1485B92A"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17</w:t>
            </w:r>
          </w:p>
        </w:tc>
        <w:tc>
          <w:tcPr>
            <w:tcW w:w="2976" w:type="dxa"/>
            <w:shd w:val="clear" w:color="auto" w:fill="auto"/>
            <w:vAlign w:val="center"/>
          </w:tcPr>
          <w:p w14:paraId="691D4D82" w14:textId="77777777" w:rsidR="007968EC" w:rsidRPr="005F10B9" w:rsidRDefault="007968EC" w:rsidP="007968E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eastAsia="en-US"/>
              </w:rPr>
            </w:pPr>
            <w:r w:rsidRPr="005F10B9">
              <w:rPr>
                <w:rFonts w:ascii="Arial Narrow" w:eastAsia="Calibri" w:hAnsi="Arial Narrow" w:cs="Calibri"/>
                <w:lang w:eastAsia="en-US"/>
              </w:rPr>
              <w:t>Frecuencia de Observación de la Rama Variable</w:t>
            </w:r>
          </w:p>
        </w:tc>
        <w:tc>
          <w:tcPr>
            <w:tcW w:w="4271" w:type="dxa"/>
            <w:shd w:val="clear" w:color="auto" w:fill="auto"/>
            <w:vAlign w:val="center"/>
          </w:tcPr>
          <w:p w14:paraId="2433587C"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 xml:space="preserve">1D </w:t>
            </w:r>
          </w:p>
        </w:tc>
      </w:tr>
      <w:tr w:rsidR="007968EC" w:rsidRPr="005F10B9" w14:paraId="535CCD60" w14:textId="77777777" w:rsidTr="007968EC">
        <w:tc>
          <w:tcPr>
            <w:cnfStyle w:val="001000000000" w:firstRow="0" w:lastRow="0" w:firstColumn="1" w:lastColumn="0" w:oddVBand="0" w:evenVBand="0" w:oddHBand="0" w:evenHBand="0" w:firstRowFirstColumn="0" w:firstRowLastColumn="0" w:lastRowFirstColumn="0" w:lastRowLastColumn="0"/>
            <w:tcW w:w="1549" w:type="dxa"/>
            <w:vMerge/>
            <w:shd w:val="clear" w:color="auto" w:fill="BFBFBF" w:themeFill="background1" w:themeFillShade="BF"/>
            <w:vAlign w:val="center"/>
          </w:tcPr>
          <w:p w14:paraId="16A9E407" w14:textId="77777777" w:rsidR="007968EC" w:rsidRPr="005F10B9" w:rsidRDefault="007968EC" w:rsidP="007968EC">
            <w:pPr>
              <w:jc w:val="center"/>
              <w:rPr>
                <w:rFonts w:ascii="Arial Narrow" w:hAnsi="Arial Narrow"/>
                <w:snapToGrid w:val="0"/>
                <w:color w:val="000000"/>
                <w:lang w:val="es-CO"/>
              </w:rPr>
            </w:pPr>
          </w:p>
        </w:tc>
        <w:tc>
          <w:tcPr>
            <w:tcW w:w="578" w:type="dxa"/>
            <w:shd w:val="clear" w:color="auto" w:fill="auto"/>
            <w:vAlign w:val="center"/>
          </w:tcPr>
          <w:p w14:paraId="0E9D961F"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18</w:t>
            </w:r>
          </w:p>
        </w:tc>
        <w:tc>
          <w:tcPr>
            <w:tcW w:w="2976" w:type="dxa"/>
            <w:shd w:val="clear" w:color="auto" w:fill="auto"/>
            <w:vAlign w:val="center"/>
          </w:tcPr>
          <w:p w14:paraId="4E94D1DE" w14:textId="77777777" w:rsidR="007968EC" w:rsidRPr="005F10B9" w:rsidRDefault="007968EC" w:rsidP="007968E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eastAsia="en-US"/>
              </w:rPr>
            </w:pPr>
            <w:r w:rsidRPr="005F10B9">
              <w:rPr>
                <w:rFonts w:ascii="Arial Narrow" w:eastAsia="Calibri" w:hAnsi="Arial Narrow" w:cs="Calibri"/>
                <w:lang w:eastAsia="en-US"/>
              </w:rPr>
              <w:t>Frecuencia de Pago de la Rama Variable</w:t>
            </w:r>
          </w:p>
        </w:tc>
        <w:tc>
          <w:tcPr>
            <w:tcW w:w="4271" w:type="dxa"/>
            <w:shd w:val="clear" w:color="auto" w:fill="auto"/>
            <w:vAlign w:val="center"/>
          </w:tcPr>
          <w:p w14:paraId="3E440ABD"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1m, 3m, 6m, 12m y 1T (al vencimiento)</w:t>
            </w:r>
          </w:p>
        </w:tc>
      </w:tr>
      <w:tr w:rsidR="007968EC" w:rsidRPr="005F10B9" w14:paraId="4EEF35E8"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vMerge/>
            <w:shd w:val="clear" w:color="auto" w:fill="BFBFBF" w:themeFill="background1" w:themeFillShade="BF"/>
            <w:vAlign w:val="center"/>
          </w:tcPr>
          <w:p w14:paraId="2A3FB81D" w14:textId="77777777" w:rsidR="007968EC" w:rsidRPr="005F10B9" w:rsidRDefault="007968EC" w:rsidP="007968EC">
            <w:pPr>
              <w:jc w:val="center"/>
              <w:rPr>
                <w:rFonts w:ascii="Arial Narrow" w:hAnsi="Arial Narrow"/>
                <w:snapToGrid w:val="0"/>
                <w:color w:val="000000"/>
                <w:lang w:val="es-CO"/>
              </w:rPr>
            </w:pPr>
          </w:p>
        </w:tc>
        <w:tc>
          <w:tcPr>
            <w:tcW w:w="578" w:type="dxa"/>
            <w:shd w:val="clear" w:color="auto" w:fill="auto"/>
            <w:vAlign w:val="center"/>
          </w:tcPr>
          <w:p w14:paraId="6986FB03"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19</w:t>
            </w:r>
          </w:p>
        </w:tc>
        <w:tc>
          <w:tcPr>
            <w:tcW w:w="2976" w:type="dxa"/>
            <w:shd w:val="clear" w:color="auto" w:fill="auto"/>
            <w:vAlign w:val="center"/>
          </w:tcPr>
          <w:p w14:paraId="7A58910E" w14:textId="77777777" w:rsidR="007968EC" w:rsidRPr="005F10B9" w:rsidRDefault="007968EC" w:rsidP="007968E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eastAsia="en-US"/>
              </w:rPr>
            </w:pPr>
            <w:r w:rsidRPr="005F10B9">
              <w:rPr>
                <w:rFonts w:ascii="Arial Narrow" w:eastAsia="Calibri" w:hAnsi="Arial Narrow" w:cs="Calibri"/>
                <w:lang w:eastAsia="en-US"/>
              </w:rPr>
              <w:t>Convención de Base de Cálculo de la Rama Variable</w:t>
            </w:r>
          </w:p>
        </w:tc>
        <w:tc>
          <w:tcPr>
            <w:tcW w:w="4271" w:type="dxa"/>
            <w:shd w:val="clear" w:color="auto" w:fill="auto"/>
            <w:vAlign w:val="center"/>
          </w:tcPr>
          <w:p w14:paraId="32C1C6AA"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ACT/360</w:t>
            </w:r>
          </w:p>
        </w:tc>
      </w:tr>
      <w:tr w:rsidR="007968EC" w:rsidRPr="005F10B9" w14:paraId="75B5463E" w14:textId="77777777" w:rsidTr="007968EC">
        <w:tc>
          <w:tcPr>
            <w:cnfStyle w:val="001000000000" w:firstRow="0" w:lastRow="0" w:firstColumn="1" w:lastColumn="0" w:oddVBand="0" w:evenVBand="0" w:oddHBand="0" w:evenHBand="0" w:firstRowFirstColumn="0" w:firstRowLastColumn="0" w:lastRowFirstColumn="0" w:lastRowLastColumn="0"/>
            <w:tcW w:w="1549" w:type="dxa"/>
            <w:vMerge/>
            <w:shd w:val="clear" w:color="auto" w:fill="BFBFBF" w:themeFill="background1" w:themeFillShade="BF"/>
            <w:vAlign w:val="center"/>
          </w:tcPr>
          <w:p w14:paraId="49F3F06E" w14:textId="77777777" w:rsidR="007968EC" w:rsidRPr="005F10B9" w:rsidRDefault="007968EC" w:rsidP="007968EC">
            <w:pPr>
              <w:jc w:val="center"/>
              <w:rPr>
                <w:rFonts w:ascii="Arial Narrow" w:hAnsi="Arial Narrow"/>
                <w:snapToGrid w:val="0"/>
                <w:color w:val="000000"/>
                <w:lang w:val="es-CO"/>
              </w:rPr>
            </w:pPr>
          </w:p>
        </w:tc>
        <w:tc>
          <w:tcPr>
            <w:tcW w:w="578" w:type="dxa"/>
            <w:shd w:val="clear" w:color="auto" w:fill="auto"/>
            <w:vAlign w:val="center"/>
          </w:tcPr>
          <w:p w14:paraId="2E5B7C10"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20</w:t>
            </w:r>
          </w:p>
        </w:tc>
        <w:tc>
          <w:tcPr>
            <w:tcW w:w="2976" w:type="dxa"/>
            <w:shd w:val="clear" w:color="auto" w:fill="auto"/>
            <w:vAlign w:val="center"/>
          </w:tcPr>
          <w:p w14:paraId="06B32BF6" w14:textId="77777777" w:rsidR="007968EC" w:rsidRPr="005F10B9" w:rsidRDefault="007968EC" w:rsidP="007968E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rPr>
            </w:pPr>
            <w:r w:rsidRPr="005F10B9">
              <w:rPr>
                <w:rFonts w:ascii="Arial Narrow" w:eastAsia="Calibri" w:hAnsi="Arial Narrow" w:cs="Calibri"/>
              </w:rPr>
              <w:t>Método de Composición de la Rama Variable</w:t>
            </w:r>
          </w:p>
        </w:tc>
        <w:tc>
          <w:tcPr>
            <w:tcW w:w="4271" w:type="dxa"/>
            <w:shd w:val="clear" w:color="auto" w:fill="auto"/>
            <w:vAlign w:val="center"/>
          </w:tcPr>
          <w:p w14:paraId="22AA2E0C"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Y: Diario</w:t>
            </w:r>
          </w:p>
        </w:tc>
      </w:tr>
      <w:tr w:rsidR="007968EC" w:rsidRPr="005F10B9" w14:paraId="49E380E9"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vMerge/>
            <w:shd w:val="clear" w:color="auto" w:fill="BFBFBF" w:themeFill="background1" w:themeFillShade="BF"/>
            <w:vAlign w:val="center"/>
          </w:tcPr>
          <w:p w14:paraId="4654A817" w14:textId="77777777" w:rsidR="007968EC" w:rsidRPr="005F10B9" w:rsidRDefault="007968EC" w:rsidP="007968EC">
            <w:pPr>
              <w:jc w:val="center"/>
              <w:rPr>
                <w:rFonts w:ascii="Arial Narrow" w:hAnsi="Arial Narrow"/>
                <w:snapToGrid w:val="0"/>
                <w:color w:val="000000"/>
                <w:lang w:val="es-CO"/>
              </w:rPr>
            </w:pPr>
          </w:p>
        </w:tc>
        <w:tc>
          <w:tcPr>
            <w:tcW w:w="578" w:type="dxa"/>
            <w:shd w:val="clear" w:color="auto" w:fill="auto"/>
            <w:vAlign w:val="center"/>
          </w:tcPr>
          <w:p w14:paraId="38C16607"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21</w:t>
            </w:r>
          </w:p>
        </w:tc>
        <w:tc>
          <w:tcPr>
            <w:tcW w:w="2976" w:type="dxa"/>
            <w:shd w:val="clear" w:color="auto" w:fill="auto"/>
            <w:vAlign w:val="center"/>
          </w:tcPr>
          <w:p w14:paraId="6E73F50E" w14:textId="77777777" w:rsidR="007968EC" w:rsidRPr="005F10B9" w:rsidRDefault="007968EC" w:rsidP="007968E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eastAsia="en-US"/>
              </w:rPr>
            </w:pPr>
            <w:r w:rsidRPr="005F10B9">
              <w:rPr>
                <w:rFonts w:ascii="Arial Narrow" w:eastAsia="Calibri" w:hAnsi="Arial Narrow" w:cs="Calibri"/>
                <w:lang w:eastAsia="en-US"/>
              </w:rPr>
              <w:t>Redondeo Tasa de Interés de la Rama Variable</w:t>
            </w:r>
          </w:p>
        </w:tc>
        <w:tc>
          <w:tcPr>
            <w:tcW w:w="4271" w:type="dxa"/>
            <w:shd w:val="clear" w:color="auto" w:fill="auto"/>
            <w:vAlign w:val="center"/>
          </w:tcPr>
          <w:p w14:paraId="718D041B"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Y: 5DPS</w:t>
            </w:r>
          </w:p>
        </w:tc>
      </w:tr>
      <w:tr w:rsidR="007968EC" w:rsidRPr="005F10B9" w14:paraId="0771A608" w14:textId="77777777" w:rsidTr="007968EC">
        <w:tc>
          <w:tcPr>
            <w:cnfStyle w:val="001000000000" w:firstRow="0" w:lastRow="0" w:firstColumn="1" w:lastColumn="0" w:oddVBand="0" w:evenVBand="0" w:oddHBand="0" w:evenHBand="0" w:firstRowFirstColumn="0" w:firstRowLastColumn="0" w:lastRowFirstColumn="0" w:lastRowLastColumn="0"/>
            <w:tcW w:w="1549" w:type="dxa"/>
            <w:vMerge/>
            <w:shd w:val="clear" w:color="auto" w:fill="BFBFBF" w:themeFill="background1" w:themeFillShade="BF"/>
            <w:vAlign w:val="center"/>
          </w:tcPr>
          <w:p w14:paraId="37D54349" w14:textId="77777777" w:rsidR="007968EC" w:rsidRPr="005F10B9" w:rsidRDefault="007968EC" w:rsidP="007968EC">
            <w:pPr>
              <w:jc w:val="center"/>
              <w:rPr>
                <w:rFonts w:ascii="Arial Narrow" w:hAnsi="Arial Narrow"/>
                <w:snapToGrid w:val="0"/>
                <w:color w:val="000000"/>
                <w:lang w:val="es-CO"/>
              </w:rPr>
            </w:pPr>
          </w:p>
        </w:tc>
        <w:tc>
          <w:tcPr>
            <w:tcW w:w="578" w:type="dxa"/>
            <w:shd w:val="clear" w:color="auto" w:fill="auto"/>
            <w:vAlign w:val="center"/>
          </w:tcPr>
          <w:p w14:paraId="0B831CCB"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22</w:t>
            </w:r>
          </w:p>
        </w:tc>
        <w:tc>
          <w:tcPr>
            <w:tcW w:w="2976" w:type="dxa"/>
            <w:shd w:val="clear" w:color="auto" w:fill="auto"/>
            <w:vAlign w:val="center"/>
          </w:tcPr>
          <w:p w14:paraId="3FF43FFC" w14:textId="77777777" w:rsidR="007968EC" w:rsidRPr="005F10B9" w:rsidRDefault="007968EC" w:rsidP="007968E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rPr>
            </w:pPr>
            <w:r w:rsidRPr="005F10B9">
              <w:rPr>
                <w:rFonts w:ascii="Arial Narrow" w:eastAsia="Calibri" w:hAnsi="Arial Narrow" w:cs="Calibri"/>
              </w:rPr>
              <w:t xml:space="preserve">Fijación al Final </w:t>
            </w:r>
          </w:p>
        </w:tc>
        <w:tc>
          <w:tcPr>
            <w:tcW w:w="4271" w:type="dxa"/>
            <w:shd w:val="clear" w:color="auto" w:fill="auto"/>
            <w:vAlign w:val="center"/>
          </w:tcPr>
          <w:p w14:paraId="18476EC8"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Y</w:t>
            </w:r>
          </w:p>
        </w:tc>
      </w:tr>
      <w:tr w:rsidR="007968EC" w:rsidRPr="005F10B9" w14:paraId="3E819D9E"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vMerge w:val="restart"/>
            <w:shd w:val="clear" w:color="auto" w:fill="BFBFBF" w:themeFill="background1" w:themeFillShade="BF"/>
            <w:vAlign w:val="center"/>
          </w:tcPr>
          <w:p w14:paraId="2DFB3D4D" w14:textId="77777777" w:rsidR="007968EC" w:rsidRPr="005F10B9" w:rsidRDefault="007968EC" w:rsidP="007968EC">
            <w:pPr>
              <w:jc w:val="center"/>
              <w:rPr>
                <w:rFonts w:ascii="Arial Narrow" w:hAnsi="Arial Narrow"/>
                <w:snapToGrid w:val="0"/>
                <w:color w:val="000000"/>
                <w:lang w:val="es-CO"/>
              </w:rPr>
            </w:pPr>
            <w:r w:rsidRPr="005F10B9">
              <w:rPr>
                <w:rFonts w:ascii="Arial Narrow" w:hAnsi="Arial Narrow"/>
                <w:snapToGrid w:val="0"/>
                <w:color w:val="000000"/>
                <w:lang w:val="es-CO"/>
              </w:rPr>
              <w:t>Rama Fija</w:t>
            </w:r>
          </w:p>
        </w:tc>
        <w:tc>
          <w:tcPr>
            <w:tcW w:w="578" w:type="dxa"/>
            <w:shd w:val="clear" w:color="auto" w:fill="auto"/>
            <w:vAlign w:val="center"/>
          </w:tcPr>
          <w:p w14:paraId="1A6B75E3"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23</w:t>
            </w:r>
          </w:p>
        </w:tc>
        <w:tc>
          <w:tcPr>
            <w:tcW w:w="2976" w:type="dxa"/>
            <w:shd w:val="clear" w:color="auto" w:fill="auto"/>
            <w:vAlign w:val="center"/>
          </w:tcPr>
          <w:p w14:paraId="279640CF" w14:textId="77777777" w:rsidR="007968EC" w:rsidRPr="005F10B9" w:rsidRDefault="007968EC" w:rsidP="007968E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eastAsia="en-US"/>
              </w:rPr>
            </w:pPr>
            <w:r w:rsidRPr="005F10B9">
              <w:rPr>
                <w:rFonts w:ascii="Arial Narrow" w:eastAsia="Calibri" w:hAnsi="Arial Narrow" w:cs="Calibri"/>
                <w:lang w:eastAsia="en-US"/>
              </w:rPr>
              <w:t xml:space="preserve">Base de Cálculo de la Rama Fija </w:t>
            </w:r>
          </w:p>
        </w:tc>
        <w:tc>
          <w:tcPr>
            <w:tcW w:w="4271" w:type="dxa"/>
            <w:shd w:val="clear" w:color="auto" w:fill="auto"/>
            <w:vAlign w:val="center"/>
          </w:tcPr>
          <w:p w14:paraId="4A4119A5"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30/360, ACT/360, ACT/365</w:t>
            </w:r>
            <w:r w:rsidRPr="005F10B9">
              <w:rPr>
                <w:rFonts w:ascii="Arial Narrow" w:eastAsia="Calibri" w:hAnsi="Arial Narrow" w:cs="Calibri"/>
                <w:spacing w:val="-24"/>
                <w:lang w:val="es-CO"/>
              </w:rPr>
              <w:t xml:space="preserve">, </w:t>
            </w:r>
            <w:r w:rsidRPr="005F10B9">
              <w:rPr>
                <w:rFonts w:ascii="Arial Narrow" w:eastAsia="Calibri" w:hAnsi="Arial Narrow" w:cs="Calibri"/>
                <w:lang w:val="es-CO"/>
              </w:rPr>
              <w:t>ACT/ACT</w:t>
            </w:r>
          </w:p>
        </w:tc>
      </w:tr>
      <w:tr w:rsidR="007968EC" w:rsidRPr="005F10B9" w14:paraId="4FC32540" w14:textId="77777777" w:rsidTr="007968EC">
        <w:tc>
          <w:tcPr>
            <w:cnfStyle w:val="001000000000" w:firstRow="0" w:lastRow="0" w:firstColumn="1" w:lastColumn="0" w:oddVBand="0" w:evenVBand="0" w:oddHBand="0" w:evenHBand="0" w:firstRowFirstColumn="0" w:firstRowLastColumn="0" w:lastRowFirstColumn="0" w:lastRowLastColumn="0"/>
            <w:tcW w:w="1549" w:type="dxa"/>
            <w:vMerge/>
            <w:shd w:val="clear" w:color="auto" w:fill="BFBFBF" w:themeFill="background1" w:themeFillShade="BF"/>
            <w:vAlign w:val="center"/>
          </w:tcPr>
          <w:p w14:paraId="0D88859A" w14:textId="77777777" w:rsidR="007968EC" w:rsidRPr="005F10B9" w:rsidRDefault="007968EC" w:rsidP="007968EC">
            <w:pPr>
              <w:jc w:val="center"/>
              <w:rPr>
                <w:rFonts w:ascii="Arial Narrow" w:hAnsi="Arial Narrow"/>
                <w:snapToGrid w:val="0"/>
                <w:color w:val="000000"/>
                <w:lang w:val="es-CO"/>
              </w:rPr>
            </w:pPr>
          </w:p>
        </w:tc>
        <w:tc>
          <w:tcPr>
            <w:tcW w:w="578" w:type="dxa"/>
            <w:shd w:val="clear" w:color="auto" w:fill="auto"/>
            <w:vAlign w:val="center"/>
          </w:tcPr>
          <w:p w14:paraId="497A1832"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24</w:t>
            </w:r>
          </w:p>
        </w:tc>
        <w:tc>
          <w:tcPr>
            <w:tcW w:w="2976" w:type="dxa"/>
            <w:shd w:val="clear" w:color="auto" w:fill="auto"/>
            <w:vAlign w:val="center"/>
          </w:tcPr>
          <w:p w14:paraId="6BFF194B" w14:textId="77777777" w:rsidR="007968EC" w:rsidRPr="005F10B9" w:rsidRDefault="007968EC" w:rsidP="007968E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rPr>
            </w:pPr>
            <w:r w:rsidRPr="005F10B9">
              <w:rPr>
                <w:rFonts w:ascii="Arial Narrow" w:eastAsia="Calibri" w:hAnsi="Arial Narrow" w:cs="Calibri"/>
                <w:lang w:eastAsia="en-US"/>
              </w:rPr>
              <w:t>Frecuencia de Pago de la Rama Fija</w:t>
            </w:r>
            <w:r w:rsidRPr="005F10B9">
              <w:rPr>
                <w:rFonts w:ascii="Arial Narrow" w:hAnsi="Arial Narrow" w:cs="Arial"/>
                <w:b/>
                <w:bCs/>
                <w:color w:val="000000"/>
              </w:rPr>
              <w:t xml:space="preserve"> </w:t>
            </w:r>
          </w:p>
        </w:tc>
        <w:tc>
          <w:tcPr>
            <w:tcW w:w="4271" w:type="dxa"/>
            <w:shd w:val="clear" w:color="auto" w:fill="auto"/>
            <w:vAlign w:val="center"/>
          </w:tcPr>
          <w:p w14:paraId="347A3800"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1m, 3m, 6m, 12m y 1T (al vencimiento)</w:t>
            </w:r>
          </w:p>
        </w:tc>
      </w:tr>
      <w:tr w:rsidR="007968EC" w:rsidRPr="005F10B9" w14:paraId="01B114C5"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vMerge/>
            <w:shd w:val="clear" w:color="auto" w:fill="BFBFBF" w:themeFill="background1" w:themeFillShade="BF"/>
            <w:vAlign w:val="center"/>
          </w:tcPr>
          <w:p w14:paraId="0C78EC82" w14:textId="77777777" w:rsidR="007968EC" w:rsidRPr="005F10B9" w:rsidRDefault="007968EC" w:rsidP="007968EC">
            <w:pPr>
              <w:jc w:val="center"/>
              <w:rPr>
                <w:rFonts w:ascii="Arial Narrow" w:hAnsi="Arial Narrow"/>
                <w:snapToGrid w:val="0"/>
                <w:color w:val="000000"/>
                <w:lang w:val="es-CO"/>
              </w:rPr>
            </w:pPr>
          </w:p>
        </w:tc>
        <w:tc>
          <w:tcPr>
            <w:tcW w:w="578" w:type="dxa"/>
            <w:shd w:val="clear" w:color="auto" w:fill="auto"/>
            <w:vAlign w:val="center"/>
          </w:tcPr>
          <w:p w14:paraId="1615EC0E"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25</w:t>
            </w:r>
          </w:p>
        </w:tc>
        <w:tc>
          <w:tcPr>
            <w:tcW w:w="2976" w:type="dxa"/>
            <w:shd w:val="clear" w:color="auto" w:fill="auto"/>
            <w:vAlign w:val="center"/>
          </w:tcPr>
          <w:p w14:paraId="620D8ABC" w14:textId="77777777" w:rsidR="007968EC" w:rsidRPr="005F10B9" w:rsidRDefault="007968EC" w:rsidP="007968E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rPr>
            </w:pPr>
            <w:r w:rsidRPr="005F10B9">
              <w:rPr>
                <w:rFonts w:ascii="Arial Narrow" w:eastAsia="Calibri" w:hAnsi="Arial Narrow" w:cs="Calibri"/>
                <w:lang w:eastAsia="en-US"/>
              </w:rPr>
              <w:t>Tasa de la Rama Fija</w:t>
            </w:r>
            <w:r w:rsidRPr="005F10B9">
              <w:rPr>
                <w:rFonts w:ascii="Arial Narrow" w:hAnsi="Arial Narrow" w:cs="Arial"/>
                <w:b/>
                <w:bCs/>
                <w:color w:val="000000"/>
              </w:rPr>
              <w:t xml:space="preserve"> </w:t>
            </w:r>
          </w:p>
        </w:tc>
        <w:tc>
          <w:tcPr>
            <w:tcW w:w="4271" w:type="dxa"/>
            <w:shd w:val="clear" w:color="auto" w:fill="auto"/>
            <w:vAlign w:val="center"/>
          </w:tcPr>
          <w:p w14:paraId="3C902A3C"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Y: 6DPS</w:t>
            </w:r>
          </w:p>
        </w:tc>
      </w:tr>
      <w:tr w:rsidR="007968EC" w:rsidRPr="005F10B9" w14:paraId="3FEA1B3C" w14:textId="77777777" w:rsidTr="007968EC">
        <w:tc>
          <w:tcPr>
            <w:cnfStyle w:val="001000000000" w:firstRow="0" w:lastRow="0" w:firstColumn="1" w:lastColumn="0" w:oddVBand="0" w:evenVBand="0" w:oddHBand="0" w:evenHBand="0" w:firstRowFirstColumn="0" w:firstRowLastColumn="0" w:lastRowFirstColumn="0" w:lastRowLastColumn="0"/>
            <w:tcW w:w="1549" w:type="dxa"/>
            <w:vMerge w:val="restart"/>
            <w:shd w:val="clear" w:color="auto" w:fill="BFBFBF" w:themeFill="background1" w:themeFillShade="BF"/>
            <w:vAlign w:val="center"/>
          </w:tcPr>
          <w:p w14:paraId="01767C4C" w14:textId="77777777" w:rsidR="007968EC" w:rsidRPr="005F10B9" w:rsidRDefault="007968EC" w:rsidP="007968EC">
            <w:pPr>
              <w:jc w:val="center"/>
              <w:rPr>
                <w:rFonts w:ascii="Arial Narrow" w:hAnsi="Arial Narrow"/>
                <w:snapToGrid w:val="0"/>
                <w:color w:val="000000"/>
                <w:lang w:val="es-CO"/>
              </w:rPr>
            </w:pPr>
            <w:r w:rsidRPr="005F10B9">
              <w:rPr>
                <w:rFonts w:ascii="Arial Narrow" w:hAnsi="Arial Narrow"/>
                <w:snapToGrid w:val="0"/>
                <w:color w:val="000000"/>
                <w:lang w:val="es-CO"/>
              </w:rPr>
              <w:t>Pagos Adicionales</w:t>
            </w:r>
          </w:p>
        </w:tc>
        <w:tc>
          <w:tcPr>
            <w:tcW w:w="578" w:type="dxa"/>
            <w:shd w:val="clear" w:color="auto" w:fill="auto"/>
            <w:vAlign w:val="center"/>
          </w:tcPr>
          <w:p w14:paraId="398B21F7"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26</w:t>
            </w:r>
          </w:p>
        </w:tc>
        <w:tc>
          <w:tcPr>
            <w:tcW w:w="2976" w:type="dxa"/>
            <w:shd w:val="clear" w:color="auto" w:fill="auto"/>
            <w:vAlign w:val="center"/>
          </w:tcPr>
          <w:p w14:paraId="29A2CD9A"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Fecha de Pago Adicional. Valor Mínimo</w:t>
            </w:r>
          </w:p>
        </w:tc>
        <w:tc>
          <w:tcPr>
            <w:tcW w:w="4271" w:type="dxa"/>
            <w:shd w:val="clear" w:color="auto" w:fill="auto"/>
            <w:vAlign w:val="center"/>
          </w:tcPr>
          <w:p w14:paraId="65B6619D"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Y (Fecha Pago Adicional &gt; d)</w:t>
            </w:r>
          </w:p>
          <w:p w14:paraId="20CBA79E"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d = Fecha de Registro de la operación</w:t>
            </w:r>
          </w:p>
        </w:tc>
      </w:tr>
      <w:tr w:rsidR="007968EC" w:rsidRPr="005F10B9" w14:paraId="55E50733"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vMerge/>
            <w:shd w:val="clear" w:color="auto" w:fill="BFBFBF" w:themeFill="background1" w:themeFillShade="BF"/>
            <w:vAlign w:val="center"/>
          </w:tcPr>
          <w:p w14:paraId="1323A78A" w14:textId="77777777" w:rsidR="007968EC" w:rsidRPr="005F10B9" w:rsidRDefault="007968EC" w:rsidP="007968EC">
            <w:pPr>
              <w:jc w:val="center"/>
              <w:rPr>
                <w:rFonts w:ascii="Arial Narrow" w:hAnsi="Arial Narrow"/>
                <w:snapToGrid w:val="0"/>
                <w:color w:val="000000"/>
                <w:lang w:val="es-CO"/>
              </w:rPr>
            </w:pPr>
          </w:p>
        </w:tc>
        <w:tc>
          <w:tcPr>
            <w:tcW w:w="578" w:type="dxa"/>
            <w:shd w:val="clear" w:color="auto" w:fill="auto"/>
            <w:vAlign w:val="center"/>
          </w:tcPr>
          <w:p w14:paraId="59DF0B55"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27</w:t>
            </w:r>
          </w:p>
        </w:tc>
        <w:tc>
          <w:tcPr>
            <w:tcW w:w="2976" w:type="dxa"/>
            <w:shd w:val="clear" w:color="auto" w:fill="auto"/>
            <w:vAlign w:val="center"/>
          </w:tcPr>
          <w:p w14:paraId="5CC2B08A"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Fecha de Pago Adicional. Valor Máximo</w:t>
            </w:r>
          </w:p>
        </w:tc>
        <w:tc>
          <w:tcPr>
            <w:tcW w:w="4271" w:type="dxa"/>
            <w:shd w:val="clear" w:color="auto" w:fill="auto"/>
            <w:vAlign w:val="center"/>
          </w:tcPr>
          <w:p w14:paraId="33FB9738"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Y (Fecha de Pago Adicional &lt;= Fecha de Vencimiento)</w:t>
            </w:r>
          </w:p>
        </w:tc>
      </w:tr>
      <w:tr w:rsidR="007968EC" w:rsidRPr="005F10B9" w14:paraId="4E060FF8" w14:textId="77777777" w:rsidTr="007968EC">
        <w:tc>
          <w:tcPr>
            <w:cnfStyle w:val="001000000000" w:firstRow="0" w:lastRow="0" w:firstColumn="1" w:lastColumn="0" w:oddVBand="0" w:evenVBand="0" w:oddHBand="0" w:evenHBand="0" w:firstRowFirstColumn="0" w:firstRowLastColumn="0" w:lastRowFirstColumn="0" w:lastRowLastColumn="0"/>
            <w:tcW w:w="1549" w:type="dxa"/>
            <w:vMerge/>
            <w:shd w:val="clear" w:color="auto" w:fill="BFBFBF" w:themeFill="background1" w:themeFillShade="BF"/>
            <w:vAlign w:val="center"/>
          </w:tcPr>
          <w:p w14:paraId="4E5210C9" w14:textId="77777777" w:rsidR="007968EC" w:rsidRPr="005F10B9" w:rsidRDefault="007968EC" w:rsidP="007968EC">
            <w:pPr>
              <w:jc w:val="center"/>
              <w:rPr>
                <w:rFonts w:ascii="Arial Narrow" w:hAnsi="Arial Narrow"/>
                <w:snapToGrid w:val="0"/>
                <w:color w:val="000000"/>
                <w:lang w:val="es-CO"/>
              </w:rPr>
            </w:pPr>
          </w:p>
        </w:tc>
        <w:tc>
          <w:tcPr>
            <w:tcW w:w="578" w:type="dxa"/>
            <w:shd w:val="clear" w:color="auto" w:fill="auto"/>
            <w:vAlign w:val="center"/>
          </w:tcPr>
          <w:p w14:paraId="3D5AC004"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28</w:t>
            </w:r>
          </w:p>
        </w:tc>
        <w:tc>
          <w:tcPr>
            <w:tcW w:w="2976" w:type="dxa"/>
            <w:shd w:val="clear" w:color="auto" w:fill="auto"/>
            <w:vAlign w:val="center"/>
          </w:tcPr>
          <w:p w14:paraId="5D8540DA"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 xml:space="preserve">Divisa del Pago Adicional </w:t>
            </w:r>
          </w:p>
        </w:tc>
        <w:tc>
          <w:tcPr>
            <w:tcW w:w="4271" w:type="dxa"/>
            <w:shd w:val="clear" w:color="auto" w:fill="auto"/>
            <w:vAlign w:val="center"/>
          </w:tcPr>
          <w:p w14:paraId="5C15DE82"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COP</w:t>
            </w:r>
          </w:p>
        </w:tc>
      </w:tr>
      <w:tr w:rsidR="007968EC" w:rsidRPr="005F10B9" w14:paraId="5B46CAA3" w14:textId="77777777" w:rsidTr="007968EC">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549" w:type="dxa"/>
            <w:vMerge/>
            <w:shd w:val="clear" w:color="auto" w:fill="BFBFBF" w:themeFill="background1" w:themeFillShade="BF"/>
            <w:vAlign w:val="center"/>
          </w:tcPr>
          <w:p w14:paraId="599F88C4" w14:textId="77777777" w:rsidR="007968EC" w:rsidRPr="005F10B9" w:rsidRDefault="007968EC" w:rsidP="007968EC">
            <w:pPr>
              <w:jc w:val="center"/>
              <w:rPr>
                <w:rFonts w:ascii="Arial Narrow" w:hAnsi="Arial Narrow"/>
                <w:snapToGrid w:val="0"/>
                <w:color w:val="000000"/>
                <w:lang w:val="es-CO"/>
              </w:rPr>
            </w:pPr>
          </w:p>
        </w:tc>
        <w:tc>
          <w:tcPr>
            <w:tcW w:w="578" w:type="dxa"/>
            <w:shd w:val="clear" w:color="auto" w:fill="auto"/>
            <w:vAlign w:val="center"/>
          </w:tcPr>
          <w:p w14:paraId="584EA1B7"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29</w:t>
            </w:r>
          </w:p>
        </w:tc>
        <w:tc>
          <w:tcPr>
            <w:tcW w:w="2976" w:type="dxa"/>
            <w:shd w:val="clear" w:color="auto" w:fill="auto"/>
            <w:vAlign w:val="center"/>
          </w:tcPr>
          <w:p w14:paraId="5B9ED381"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Número de Pagos Adicionales</w:t>
            </w:r>
          </w:p>
        </w:tc>
        <w:tc>
          <w:tcPr>
            <w:tcW w:w="4271" w:type="dxa"/>
            <w:shd w:val="clear" w:color="auto" w:fill="auto"/>
            <w:vAlign w:val="center"/>
          </w:tcPr>
          <w:p w14:paraId="7724D686"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 xml:space="preserve">Máximo </w:t>
            </w:r>
            <w:r>
              <w:rPr>
                <w:rFonts w:ascii="Arial Narrow" w:eastAsia="Calibri" w:hAnsi="Arial Narrow" w:cs="Calibri"/>
                <w:lang w:val="es-CO"/>
              </w:rPr>
              <w:t>1</w:t>
            </w:r>
          </w:p>
        </w:tc>
      </w:tr>
      <w:tr w:rsidR="007968EC" w:rsidRPr="005F10B9" w14:paraId="03173FE5" w14:textId="77777777" w:rsidTr="007968EC">
        <w:tc>
          <w:tcPr>
            <w:cnfStyle w:val="001000000000" w:firstRow="0" w:lastRow="0" w:firstColumn="1" w:lastColumn="0" w:oddVBand="0" w:evenVBand="0" w:oddHBand="0" w:evenHBand="0" w:firstRowFirstColumn="0" w:firstRowLastColumn="0" w:lastRowFirstColumn="0" w:lastRowLastColumn="0"/>
            <w:tcW w:w="1549" w:type="dxa"/>
            <w:vMerge w:val="restart"/>
            <w:shd w:val="clear" w:color="auto" w:fill="BFBFBF" w:themeFill="background1" w:themeFillShade="BF"/>
            <w:vAlign w:val="center"/>
          </w:tcPr>
          <w:p w14:paraId="45D8C813" w14:textId="77777777" w:rsidR="007968EC" w:rsidRPr="005F10B9" w:rsidRDefault="007968EC" w:rsidP="007968EC">
            <w:pPr>
              <w:jc w:val="center"/>
              <w:rPr>
                <w:rFonts w:ascii="Arial Narrow" w:hAnsi="Arial Narrow"/>
                <w:snapToGrid w:val="0"/>
                <w:color w:val="000000"/>
                <w:lang w:val="es-CO"/>
              </w:rPr>
            </w:pPr>
            <w:r w:rsidRPr="005F10B9">
              <w:rPr>
                <w:rFonts w:ascii="Arial Narrow" w:hAnsi="Arial Narrow"/>
                <w:snapToGrid w:val="0"/>
                <w:color w:val="000000"/>
                <w:lang w:val="es-CO"/>
              </w:rPr>
              <w:t>Fechas Ajustadas &amp; Fecha de Corte de los Periodos</w:t>
            </w:r>
          </w:p>
        </w:tc>
        <w:tc>
          <w:tcPr>
            <w:tcW w:w="578" w:type="dxa"/>
            <w:shd w:val="clear" w:color="auto" w:fill="auto"/>
            <w:vAlign w:val="center"/>
          </w:tcPr>
          <w:p w14:paraId="28805A38"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30</w:t>
            </w:r>
          </w:p>
        </w:tc>
        <w:tc>
          <w:tcPr>
            <w:tcW w:w="2976" w:type="dxa"/>
            <w:shd w:val="clear" w:color="auto" w:fill="auto"/>
            <w:vAlign w:val="center"/>
          </w:tcPr>
          <w:p w14:paraId="5F11DD99"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Convención de Días Hábiles</w:t>
            </w:r>
          </w:p>
        </w:tc>
        <w:tc>
          <w:tcPr>
            <w:tcW w:w="4271" w:type="dxa"/>
            <w:shd w:val="clear" w:color="auto" w:fill="auto"/>
            <w:vAlign w:val="center"/>
          </w:tcPr>
          <w:p w14:paraId="4B6F2CD2"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proofErr w:type="spellStart"/>
            <w:r w:rsidRPr="005F10B9">
              <w:rPr>
                <w:rFonts w:ascii="Arial Narrow" w:eastAsia="Calibri" w:hAnsi="Arial Narrow" w:cs="Calibri"/>
                <w:lang w:val="es-CO"/>
              </w:rPr>
              <w:t>Modified</w:t>
            </w:r>
            <w:proofErr w:type="spellEnd"/>
            <w:r w:rsidRPr="005F10B9">
              <w:rPr>
                <w:rFonts w:ascii="Arial Narrow" w:eastAsia="Calibri" w:hAnsi="Arial Narrow" w:cs="Calibri"/>
                <w:lang w:val="es-CO"/>
              </w:rPr>
              <w:t xml:space="preserve"> Following </w:t>
            </w:r>
          </w:p>
        </w:tc>
      </w:tr>
      <w:tr w:rsidR="007968EC" w:rsidRPr="005F10B9" w14:paraId="5548D9C4"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vMerge/>
            <w:shd w:val="clear" w:color="auto" w:fill="BFBFBF" w:themeFill="background1" w:themeFillShade="BF"/>
            <w:vAlign w:val="center"/>
          </w:tcPr>
          <w:p w14:paraId="2DFAF23C" w14:textId="77777777" w:rsidR="007968EC" w:rsidRPr="005F10B9" w:rsidRDefault="007968EC" w:rsidP="007968EC">
            <w:pPr>
              <w:jc w:val="center"/>
              <w:rPr>
                <w:rFonts w:ascii="Arial Narrow" w:hAnsi="Arial Narrow"/>
                <w:snapToGrid w:val="0"/>
                <w:color w:val="000000"/>
                <w:lang w:val="es-CO"/>
              </w:rPr>
            </w:pPr>
          </w:p>
        </w:tc>
        <w:tc>
          <w:tcPr>
            <w:tcW w:w="578" w:type="dxa"/>
            <w:shd w:val="clear" w:color="auto" w:fill="auto"/>
            <w:vAlign w:val="center"/>
          </w:tcPr>
          <w:p w14:paraId="0F2BAA90"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31</w:t>
            </w:r>
          </w:p>
        </w:tc>
        <w:tc>
          <w:tcPr>
            <w:tcW w:w="2976" w:type="dxa"/>
            <w:shd w:val="clear" w:color="auto" w:fill="auto"/>
            <w:vAlign w:val="center"/>
          </w:tcPr>
          <w:p w14:paraId="193B1ABA"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Fechas Ajustadas</w:t>
            </w:r>
          </w:p>
        </w:tc>
        <w:tc>
          <w:tcPr>
            <w:tcW w:w="4271" w:type="dxa"/>
            <w:shd w:val="clear" w:color="auto" w:fill="auto"/>
            <w:vAlign w:val="center"/>
          </w:tcPr>
          <w:p w14:paraId="0B7CFED5"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hAnsi="Arial Narrow"/>
                <w:lang w:val="es-CO"/>
              </w:rPr>
            </w:pPr>
            <w:r w:rsidRPr="005F10B9">
              <w:rPr>
                <w:rFonts w:ascii="Arial Narrow" w:hAnsi="Arial Narrow"/>
                <w:lang w:val="es-CO"/>
              </w:rPr>
              <w:t>Las Ramas Fija y Variable tendrán ajustadas las siguientes Fechas: i) Fecha Efectiva, ii) Fecha Fin de Periodo, iii) Fecha de Vencimiento y iv) Fecha de Liquidación.</w:t>
            </w:r>
          </w:p>
        </w:tc>
      </w:tr>
      <w:tr w:rsidR="007968EC" w:rsidRPr="005F10B9" w14:paraId="26A3F9AD" w14:textId="77777777" w:rsidTr="007968EC">
        <w:tc>
          <w:tcPr>
            <w:cnfStyle w:val="001000000000" w:firstRow="0" w:lastRow="0" w:firstColumn="1" w:lastColumn="0" w:oddVBand="0" w:evenVBand="0" w:oddHBand="0" w:evenHBand="0" w:firstRowFirstColumn="0" w:firstRowLastColumn="0" w:lastRowFirstColumn="0" w:lastRowLastColumn="0"/>
            <w:tcW w:w="1549" w:type="dxa"/>
            <w:vMerge/>
            <w:shd w:val="clear" w:color="auto" w:fill="BFBFBF" w:themeFill="background1" w:themeFillShade="BF"/>
            <w:vAlign w:val="center"/>
          </w:tcPr>
          <w:p w14:paraId="66D70A5E" w14:textId="77777777" w:rsidR="007968EC" w:rsidRPr="005F10B9" w:rsidRDefault="007968EC" w:rsidP="007968EC">
            <w:pPr>
              <w:jc w:val="center"/>
              <w:rPr>
                <w:rFonts w:ascii="Arial Narrow" w:hAnsi="Arial Narrow"/>
                <w:snapToGrid w:val="0"/>
                <w:color w:val="000000"/>
                <w:lang w:val="es-CO"/>
              </w:rPr>
            </w:pPr>
          </w:p>
        </w:tc>
        <w:tc>
          <w:tcPr>
            <w:tcW w:w="578" w:type="dxa"/>
            <w:shd w:val="clear" w:color="auto" w:fill="auto"/>
            <w:vAlign w:val="center"/>
          </w:tcPr>
          <w:p w14:paraId="62B5B401"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32</w:t>
            </w:r>
          </w:p>
        </w:tc>
        <w:tc>
          <w:tcPr>
            <w:tcW w:w="2976" w:type="dxa"/>
            <w:shd w:val="clear" w:color="auto" w:fill="auto"/>
            <w:vAlign w:val="center"/>
          </w:tcPr>
          <w:p w14:paraId="6FC76DDE"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Fechas de Corte de los Períodos</w:t>
            </w:r>
          </w:p>
        </w:tc>
        <w:tc>
          <w:tcPr>
            <w:tcW w:w="4271" w:type="dxa"/>
            <w:shd w:val="clear" w:color="auto" w:fill="auto"/>
            <w:vAlign w:val="center"/>
          </w:tcPr>
          <w:p w14:paraId="50CEBFE1"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hAnsi="Arial Narrow"/>
                <w:lang w:val="es-CO"/>
              </w:rPr>
            </w:pPr>
            <w:r w:rsidRPr="005F10B9">
              <w:rPr>
                <w:rFonts w:ascii="Arial Narrow" w:hAnsi="Arial Narrow"/>
                <w:lang w:val="es-CO"/>
              </w:rPr>
              <w:t xml:space="preserve">Y: </w:t>
            </w:r>
            <w:proofErr w:type="spellStart"/>
            <w:r w:rsidRPr="005F10B9">
              <w:rPr>
                <w:rFonts w:ascii="Arial Narrow" w:hAnsi="Arial Narrow"/>
                <w:lang w:val="es-CO"/>
              </w:rPr>
              <w:t>Dias</w:t>
            </w:r>
            <w:proofErr w:type="spellEnd"/>
            <w:r w:rsidRPr="005F10B9">
              <w:rPr>
                <w:rFonts w:ascii="Arial Narrow" w:hAnsi="Arial Narrow"/>
                <w:lang w:val="es-CO"/>
              </w:rPr>
              <w:t xml:space="preserve"> del Mes (1-30) / EOM</w:t>
            </w:r>
          </w:p>
        </w:tc>
      </w:tr>
      <w:tr w:rsidR="007968EC" w:rsidRPr="005F10B9" w14:paraId="04CA418E"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vMerge/>
            <w:shd w:val="clear" w:color="auto" w:fill="BFBFBF" w:themeFill="background1" w:themeFillShade="BF"/>
            <w:vAlign w:val="center"/>
          </w:tcPr>
          <w:p w14:paraId="7BAE1AA4" w14:textId="77777777" w:rsidR="007968EC" w:rsidRPr="005F10B9" w:rsidRDefault="007968EC" w:rsidP="007968EC">
            <w:pPr>
              <w:jc w:val="center"/>
              <w:rPr>
                <w:rFonts w:ascii="Arial Narrow" w:hAnsi="Arial Narrow"/>
                <w:snapToGrid w:val="0"/>
                <w:color w:val="000000"/>
                <w:lang w:val="es-CO"/>
              </w:rPr>
            </w:pPr>
          </w:p>
        </w:tc>
        <w:tc>
          <w:tcPr>
            <w:tcW w:w="578" w:type="dxa"/>
            <w:shd w:val="clear" w:color="auto" w:fill="auto"/>
            <w:vAlign w:val="center"/>
          </w:tcPr>
          <w:p w14:paraId="6140F9A4"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33</w:t>
            </w:r>
          </w:p>
        </w:tc>
        <w:tc>
          <w:tcPr>
            <w:tcW w:w="2976" w:type="dxa"/>
            <w:shd w:val="clear" w:color="auto" w:fill="auto"/>
            <w:vAlign w:val="center"/>
          </w:tcPr>
          <w:p w14:paraId="14B5F05B"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Terminación Anticipada</w:t>
            </w:r>
          </w:p>
        </w:tc>
        <w:tc>
          <w:tcPr>
            <w:tcW w:w="4271" w:type="dxa"/>
            <w:shd w:val="clear" w:color="auto" w:fill="auto"/>
            <w:vAlign w:val="center"/>
          </w:tcPr>
          <w:p w14:paraId="22D29C7E"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hAnsi="Arial Narrow"/>
                <w:lang w:val="es-CO"/>
              </w:rPr>
            </w:pPr>
            <w:r>
              <w:rPr>
                <w:rFonts w:ascii="Arial Narrow" w:hAnsi="Arial Narrow"/>
                <w:lang w:val="es-CO"/>
              </w:rPr>
              <w:t>Y</w:t>
            </w:r>
          </w:p>
        </w:tc>
      </w:tr>
      <w:tr w:rsidR="007968EC" w:rsidRPr="005F10B9" w14:paraId="0F9E68E2" w14:textId="77777777" w:rsidTr="007968EC">
        <w:tc>
          <w:tcPr>
            <w:cnfStyle w:val="001000000000" w:firstRow="0" w:lastRow="0" w:firstColumn="1" w:lastColumn="0" w:oddVBand="0" w:evenVBand="0" w:oddHBand="0" w:evenHBand="0" w:firstRowFirstColumn="0" w:firstRowLastColumn="0" w:lastRowFirstColumn="0" w:lastRowLastColumn="0"/>
            <w:tcW w:w="1549" w:type="dxa"/>
            <w:vMerge/>
            <w:shd w:val="clear" w:color="auto" w:fill="BFBFBF" w:themeFill="background1" w:themeFillShade="BF"/>
            <w:vAlign w:val="center"/>
          </w:tcPr>
          <w:p w14:paraId="5E418567" w14:textId="77777777" w:rsidR="007968EC" w:rsidRPr="005F10B9" w:rsidRDefault="007968EC" w:rsidP="007968EC">
            <w:pPr>
              <w:jc w:val="center"/>
              <w:rPr>
                <w:rFonts w:ascii="Arial Narrow" w:hAnsi="Arial Narrow"/>
                <w:snapToGrid w:val="0"/>
                <w:color w:val="000000"/>
                <w:lang w:val="es-CO"/>
              </w:rPr>
            </w:pPr>
          </w:p>
        </w:tc>
        <w:tc>
          <w:tcPr>
            <w:tcW w:w="578" w:type="dxa"/>
            <w:shd w:val="clear" w:color="auto" w:fill="auto"/>
            <w:vAlign w:val="center"/>
          </w:tcPr>
          <w:p w14:paraId="12A7AFB1"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34</w:t>
            </w:r>
          </w:p>
        </w:tc>
        <w:tc>
          <w:tcPr>
            <w:tcW w:w="2976" w:type="dxa"/>
            <w:shd w:val="clear" w:color="auto" w:fill="auto"/>
            <w:vAlign w:val="center"/>
          </w:tcPr>
          <w:p w14:paraId="460BC2A9"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Retraso del Pago</w:t>
            </w:r>
          </w:p>
        </w:tc>
        <w:tc>
          <w:tcPr>
            <w:tcW w:w="4271" w:type="dxa"/>
            <w:shd w:val="clear" w:color="auto" w:fill="auto"/>
            <w:vAlign w:val="center"/>
          </w:tcPr>
          <w:p w14:paraId="4C37B16C"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0 días</w:t>
            </w:r>
          </w:p>
        </w:tc>
      </w:tr>
    </w:tbl>
    <w:p w14:paraId="4B2A681D" w14:textId="77777777" w:rsidR="007968EC" w:rsidRDefault="007968EC" w:rsidP="007968EC">
      <w:pPr>
        <w:autoSpaceDE w:val="0"/>
        <w:autoSpaceDN w:val="0"/>
        <w:adjustRightInd w:val="0"/>
        <w:rPr>
          <w:rFonts w:ascii="Arial Narrow" w:hAnsi="Arial Narrow" w:cs="Arial"/>
          <w:color w:val="000000"/>
        </w:rPr>
      </w:pPr>
    </w:p>
    <w:p w14:paraId="34E8FB59" w14:textId="77777777" w:rsidR="007968EC" w:rsidRPr="00C16E02" w:rsidRDefault="007968EC" w:rsidP="007968EC">
      <w:pPr>
        <w:autoSpaceDE w:val="0"/>
        <w:autoSpaceDN w:val="0"/>
        <w:adjustRightInd w:val="0"/>
        <w:rPr>
          <w:rFonts w:ascii="Arial Narrow" w:hAnsi="Arial Narrow" w:cs="Arial"/>
          <w:color w:val="000000"/>
        </w:rPr>
      </w:pPr>
    </w:p>
    <w:p w14:paraId="68FF64DD" w14:textId="77777777" w:rsidR="007968EC" w:rsidRPr="008F2FE5" w:rsidRDefault="007968EC" w:rsidP="00DA7472">
      <w:pPr>
        <w:numPr>
          <w:ilvl w:val="0"/>
          <w:numId w:val="54"/>
        </w:numPr>
        <w:ind w:left="576" w:hanging="425"/>
        <w:jc w:val="both"/>
        <w:rPr>
          <w:rFonts w:ascii="Arial Narrow" w:hAnsi="Arial Narrow" w:cs="Arial"/>
          <w:color w:val="000000"/>
          <w:lang w:val="en-US"/>
        </w:rPr>
      </w:pPr>
      <w:r w:rsidRPr="00F511E9">
        <w:rPr>
          <w:rFonts w:ascii="Arial Narrow" w:eastAsia="Calibri" w:hAnsi="Arial Narrow"/>
          <w:b/>
          <w:bCs/>
          <w:color w:val="000000" w:themeColor="text1"/>
          <w:u w:val="single"/>
          <w:lang w:val="en-US"/>
        </w:rPr>
        <w:t xml:space="preserve">Cross Currency </w:t>
      </w:r>
      <w:r>
        <w:rPr>
          <w:rFonts w:ascii="Arial Narrow" w:eastAsia="Calibri" w:hAnsi="Arial Narrow"/>
          <w:b/>
          <w:bCs/>
          <w:color w:val="000000" w:themeColor="text1"/>
          <w:u w:val="single"/>
          <w:lang w:val="en-US"/>
        </w:rPr>
        <w:t xml:space="preserve">Basis </w:t>
      </w:r>
      <w:r w:rsidRPr="00F511E9">
        <w:rPr>
          <w:rFonts w:ascii="Arial Narrow" w:eastAsia="Calibri" w:hAnsi="Arial Narrow"/>
          <w:b/>
          <w:bCs/>
          <w:color w:val="000000" w:themeColor="text1"/>
          <w:u w:val="single"/>
          <w:lang w:val="en-US"/>
        </w:rPr>
        <w:t>Swap O</w:t>
      </w:r>
      <w:r>
        <w:rPr>
          <w:rFonts w:ascii="Arial Narrow" w:eastAsia="Calibri" w:hAnsi="Arial Narrow"/>
          <w:b/>
          <w:bCs/>
          <w:color w:val="000000" w:themeColor="text1"/>
          <w:u w:val="single"/>
          <w:lang w:val="en-US"/>
        </w:rPr>
        <w:t>vernight (CCBSO)</w:t>
      </w:r>
    </w:p>
    <w:p w14:paraId="28CD62D4" w14:textId="77777777" w:rsidR="007968EC" w:rsidRPr="008F2FE5" w:rsidRDefault="007968EC" w:rsidP="007968EC">
      <w:pPr>
        <w:pStyle w:val="ARTICULO0"/>
        <w:rPr>
          <w:lang w:val="en-US"/>
        </w:rPr>
      </w:pPr>
    </w:p>
    <w:p w14:paraId="6A55321C" w14:textId="77777777" w:rsidR="007968EC" w:rsidRPr="008F2FE5" w:rsidRDefault="007968EC" w:rsidP="007968EC">
      <w:pPr>
        <w:pStyle w:val="ARTICULO0"/>
        <w:rPr>
          <w:lang w:val="en-US"/>
        </w:rPr>
      </w:pPr>
    </w:p>
    <w:tbl>
      <w:tblPr>
        <w:tblStyle w:val="Tabladecuadrcula4-nfasis11"/>
        <w:tblW w:w="9374" w:type="dxa"/>
        <w:tblInd w:w="-23" w:type="dxa"/>
        <w:tblBorders>
          <w:top w:val="single" w:sz="18" w:space="0" w:color="auto"/>
          <w:left w:val="single" w:sz="18" w:space="0" w:color="auto"/>
          <w:bottom w:val="single" w:sz="18" w:space="0" w:color="auto"/>
          <w:right w:val="single" w:sz="18" w:space="0" w:color="auto"/>
          <w:insideH w:val="single" w:sz="12" w:space="0" w:color="auto"/>
          <w:insideV w:val="single" w:sz="18" w:space="0" w:color="auto"/>
        </w:tblBorders>
        <w:tblLook w:val="04A0" w:firstRow="1" w:lastRow="0" w:firstColumn="1" w:lastColumn="0" w:noHBand="0" w:noVBand="1"/>
      </w:tblPr>
      <w:tblGrid>
        <w:gridCol w:w="1682"/>
        <w:gridCol w:w="562"/>
        <w:gridCol w:w="2942"/>
        <w:gridCol w:w="4188"/>
      </w:tblGrid>
      <w:tr w:rsidR="007968EC" w:rsidRPr="005F10B9" w14:paraId="2FE8E63F" w14:textId="77777777" w:rsidTr="007968E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82" w:type="dxa"/>
            <w:shd w:val="clear" w:color="auto" w:fill="auto"/>
            <w:vAlign w:val="center"/>
          </w:tcPr>
          <w:p w14:paraId="617046DE" w14:textId="77777777" w:rsidR="007968EC" w:rsidRPr="005F10B9" w:rsidRDefault="007968EC" w:rsidP="007968EC">
            <w:pPr>
              <w:jc w:val="center"/>
              <w:rPr>
                <w:rFonts w:ascii="Arial Narrow" w:eastAsia="Calibri" w:hAnsi="Arial Narrow" w:cs="Calibri"/>
                <w:lang w:val="es-CO"/>
              </w:rPr>
            </w:pPr>
            <w:r w:rsidRPr="005F10B9">
              <w:rPr>
                <w:rFonts w:ascii="Arial Narrow" w:eastAsia="Calibri" w:hAnsi="Arial Narrow" w:cs="Calibri"/>
                <w:lang w:val="es-CO"/>
              </w:rPr>
              <w:t>GRUPO</w:t>
            </w:r>
          </w:p>
        </w:tc>
        <w:tc>
          <w:tcPr>
            <w:tcW w:w="562" w:type="dxa"/>
            <w:shd w:val="clear" w:color="auto" w:fill="auto"/>
            <w:vAlign w:val="center"/>
          </w:tcPr>
          <w:p w14:paraId="2B5BA5AA" w14:textId="77777777" w:rsidR="007968EC" w:rsidRPr="005F10B9" w:rsidRDefault="007968EC" w:rsidP="007968EC">
            <w:pPr>
              <w:jc w:val="center"/>
              <w:cnfStyle w:val="100000000000" w:firstRow="1" w:lastRow="0" w:firstColumn="0" w:lastColumn="0" w:oddVBand="0" w:evenVBand="0" w:oddHBand="0" w:evenHBand="0" w:firstRowFirstColumn="0" w:firstRowLastColumn="0" w:lastRowFirstColumn="0" w:lastRowLastColumn="0"/>
              <w:rPr>
                <w:rFonts w:ascii="Arial Narrow" w:hAnsi="Arial Narrow"/>
                <w:snapToGrid w:val="0"/>
                <w:lang w:val="es-CO"/>
              </w:rPr>
            </w:pPr>
            <w:proofErr w:type="spellStart"/>
            <w:r w:rsidRPr="005F10B9">
              <w:rPr>
                <w:rFonts w:ascii="Arial Narrow" w:hAnsi="Arial Narrow"/>
                <w:snapToGrid w:val="0"/>
                <w:lang w:val="es-CO"/>
              </w:rPr>
              <w:t>Nº</w:t>
            </w:r>
            <w:proofErr w:type="spellEnd"/>
          </w:p>
        </w:tc>
        <w:tc>
          <w:tcPr>
            <w:tcW w:w="2942" w:type="dxa"/>
            <w:shd w:val="clear" w:color="auto" w:fill="auto"/>
            <w:vAlign w:val="center"/>
          </w:tcPr>
          <w:p w14:paraId="75EF3DA0" w14:textId="77777777" w:rsidR="007968EC" w:rsidRPr="005F10B9" w:rsidRDefault="007968EC" w:rsidP="007968EC">
            <w:pPr>
              <w:jc w:val="center"/>
              <w:cnfStyle w:val="100000000000" w:firstRow="1" w:lastRow="0" w:firstColumn="0" w:lastColumn="0" w:oddVBand="0" w:evenVBand="0" w:oddHBand="0" w:evenHBand="0" w:firstRowFirstColumn="0" w:firstRowLastColumn="0" w:lastRowFirstColumn="0" w:lastRowLastColumn="0"/>
              <w:rPr>
                <w:rFonts w:ascii="Arial Narrow" w:hAnsi="Arial Narrow"/>
                <w:snapToGrid w:val="0"/>
                <w:lang w:val="es-CO"/>
              </w:rPr>
            </w:pPr>
            <w:r w:rsidRPr="005F10B9">
              <w:rPr>
                <w:rFonts w:ascii="Arial Narrow" w:hAnsi="Arial Narrow"/>
                <w:snapToGrid w:val="0"/>
                <w:lang w:val="es-CO"/>
              </w:rPr>
              <w:t>ATRIBUTO</w:t>
            </w:r>
          </w:p>
        </w:tc>
        <w:tc>
          <w:tcPr>
            <w:tcW w:w="4188" w:type="dxa"/>
            <w:shd w:val="clear" w:color="auto" w:fill="auto"/>
            <w:vAlign w:val="center"/>
          </w:tcPr>
          <w:p w14:paraId="761C1F47" w14:textId="77777777" w:rsidR="007968EC" w:rsidRPr="005F10B9" w:rsidRDefault="007968EC" w:rsidP="007968EC">
            <w:pPr>
              <w:cnfStyle w:val="100000000000" w:firstRow="1" w:lastRow="0" w:firstColumn="0" w:lastColumn="0" w:oddVBand="0" w:evenVBand="0" w:oddHBand="0" w:evenHBand="0" w:firstRowFirstColumn="0" w:firstRowLastColumn="0" w:lastRowFirstColumn="0" w:lastRowLastColumn="0"/>
              <w:rPr>
                <w:rFonts w:ascii="Arial Narrow" w:hAnsi="Arial Narrow"/>
                <w:snapToGrid w:val="0"/>
                <w:lang w:val="es-CO"/>
              </w:rPr>
            </w:pPr>
            <w:r w:rsidRPr="005F10B9">
              <w:rPr>
                <w:rFonts w:ascii="Arial Narrow" w:hAnsi="Arial Narrow"/>
                <w:snapToGrid w:val="0"/>
                <w:lang w:val="es-CO"/>
              </w:rPr>
              <w:t>VALOR CRCC</w:t>
            </w:r>
          </w:p>
        </w:tc>
      </w:tr>
      <w:tr w:rsidR="007968EC" w:rsidRPr="005F10B9" w14:paraId="45528896"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Merge w:val="restart"/>
            <w:shd w:val="clear" w:color="auto" w:fill="BFBFBF" w:themeFill="background1" w:themeFillShade="BF"/>
            <w:vAlign w:val="center"/>
          </w:tcPr>
          <w:p w14:paraId="14D5D7AE" w14:textId="77777777" w:rsidR="007968EC" w:rsidRPr="005F10B9" w:rsidRDefault="007968EC" w:rsidP="007968EC">
            <w:pPr>
              <w:jc w:val="center"/>
              <w:rPr>
                <w:rFonts w:ascii="Arial Narrow" w:eastAsia="Calibri" w:hAnsi="Arial Narrow"/>
                <w:color w:val="000000" w:themeColor="text1"/>
                <w:lang w:val="es-CO" w:eastAsia="en-US"/>
              </w:rPr>
            </w:pPr>
            <w:r w:rsidRPr="005F10B9">
              <w:rPr>
                <w:rFonts w:ascii="Arial Narrow" w:eastAsia="Calibri" w:hAnsi="Arial Narrow"/>
                <w:color w:val="000000" w:themeColor="text1"/>
              </w:rPr>
              <w:t>Divisa</w:t>
            </w:r>
          </w:p>
        </w:tc>
        <w:tc>
          <w:tcPr>
            <w:tcW w:w="562" w:type="dxa"/>
            <w:shd w:val="clear" w:color="auto" w:fill="auto"/>
            <w:vAlign w:val="center"/>
          </w:tcPr>
          <w:p w14:paraId="6ABFEB0D"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hAnsi="Arial Narrow"/>
                <w:lang w:val="es-CO"/>
              </w:rPr>
            </w:pPr>
          </w:p>
          <w:p w14:paraId="5FA93E71"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1</w:t>
            </w:r>
          </w:p>
        </w:tc>
        <w:tc>
          <w:tcPr>
            <w:tcW w:w="2942" w:type="dxa"/>
            <w:shd w:val="clear" w:color="auto" w:fill="auto"/>
            <w:vAlign w:val="center"/>
          </w:tcPr>
          <w:p w14:paraId="7ACD6464"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Pr>
                <w:rFonts w:ascii="Arial Narrow" w:eastAsia="Calibri" w:hAnsi="Arial Narrow" w:cs="Calibri"/>
                <w:lang w:val="es-CO"/>
              </w:rPr>
              <w:t>Multi-D</w:t>
            </w:r>
            <w:r w:rsidRPr="005F10B9">
              <w:rPr>
                <w:rFonts w:ascii="Arial Narrow" w:eastAsia="Calibri" w:hAnsi="Arial Narrow" w:cs="Calibri"/>
                <w:lang w:val="es-CO"/>
              </w:rPr>
              <w:t>ivisa</w:t>
            </w:r>
          </w:p>
        </w:tc>
        <w:tc>
          <w:tcPr>
            <w:tcW w:w="4188" w:type="dxa"/>
            <w:shd w:val="clear" w:color="auto" w:fill="auto"/>
            <w:vAlign w:val="center"/>
          </w:tcPr>
          <w:p w14:paraId="34914D62"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Pr>
                <w:rFonts w:ascii="Arial Narrow" w:eastAsia="Calibri" w:hAnsi="Arial Narrow" w:cs="Calibri"/>
                <w:lang w:val="es-CO"/>
              </w:rPr>
              <w:t>USD - COP</w:t>
            </w:r>
          </w:p>
        </w:tc>
      </w:tr>
      <w:tr w:rsidR="007968EC" w:rsidRPr="00B65837" w14:paraId="2D1921F3" w14:textId="77777777" w:rsidTr="007968EC">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0A4EB01F" w14:textId="77777777" w:rsidR="007968EC" w:rsidRPr="005F10B9" w:rsidRDefault="007968EC" w:rsidP="007968EC">
            <w:pPr>
              <w:jc w:val="center"/>
              <w:rPr>
                <w:rFonts w:ascii="Arial Narrow" w:eastAsia="Calibri" w:hAnsi="Arial Narrow"/>
                <w:color w:val="000000" w:themeColor="text1"/>
                <w:lang w:val="es-CO" w:eastAsia="en-US"/>
              </w:rPr>
            </w:pPr>
          </w:p>
        </w:tc>
        <w:tc>
          <w:tcPr>
            <w:tcW w:w="562" w:type="dxa"/>
            <w:shd w:val="clear" w:color="auto" w:fill="auto"/>
            <w:vAlign w:val="center"/>
          </w:tcPr>
          <w:p w14:paraId="07C74FA2"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2</w:t>
            </w:r>
          </w:p>
        </w:tc>
        <w:tc>
          <w:tcPr>
            <w:tcW w:w="2942" w:type="dxa"/>
            <w:shd w:val="clear" w:color="auto" w:fill="auto"/>
            <w:vAlign w:val="center"/>
          </w:tcPr>
          <w:p w14:paraId="0446C070" w14:textId="77777777" w:rsidR="007968EC" w:rsidRPr="00294E08"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294E08">
              <w:rPr>
                <w:rFonts w:ascii="Arial Narrow" w:hAnsi="Arial Narrow"/>
                <w:snapToGrid w:val="0"/>
                <w:color w:val="000000"/>
              </w:rPr>
              <w:t>Calendario de Festivos</w:t>
            </w:r>
          </w:p>
        </w:tc>
        <w:tc>
          <w:tcPr>
            <w:tcW w:w="4188" w:type="dxa"/>
            <w:shd w:val="clear" w:color="auto" w:fill="auto"/>
            <w:vAlign w:val="center"/>
          </w:tcPr>
          <w:p w14:paraId="29514036" w14:textId="77777777" w:rsidR="007968EC" w:rsidRPr="00294E08" w:rsidRDefault="007968EC" w:rsidP="007968EC">
            <w:pPr>
              <w:jc w:val="both"/>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294E08">
              <w:rPr>
                <w:rFonts w:ascii="Arial Narrow" w:hAnsi="Arial Narrow"/>
              </w:rPr>
              <w:t>Colombia (COBO), Estados Unidos (USNY) y Londres (GBLO)</w:t>
            </w:r>
          </w:p>
        </w:tc>
      </w:tr>
      <w:tr w:rsidR="007968EC" w:rsidRPr="005F10B9" w14:paraId="65D690B0"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Merge w:val="restart"/>
            <w:shd w:val="clear" w:color="auto" w:fill="BFBFBF" w:themeFill="background1" w:themeFillShade="BF"/>
            <w:vAlign w:val="center"/>
          </w:tcPr>
          <w:p w14:paraId="383821F2" w14:textId="77777777" w:rsidR="007968EC" w:rsidRPr="005F10B9" w:rsidRDefault="007968EC" w:rsidP="007968EC">
            <w:pPr>
              <w:jc w:val="center"/>
              <w:rPr>
                <w:rFonts w:ascii="Arial Narrow" w:eastAsia="Calibri" w:hAnsi="Arial Narrow"/>
                <w:color w:val="000000" w:themeColor="text1"/>
                <w:lang w:val="es-CO" w:eastAsia="en-US"/>
              </w:rPr>
            </w:pPr>
            <w:r w:rsidRPr="005F10B9">
              <w:rPr>
                <w:rFonts w:ascii="Arial Narrow" w:eastAsia="Calibri" w:hAnsi="Arial Narrow"/>
                <w:color w:val="000000" w:themeColor="text1"/>
              </w:rPr>
              <w:t>Plazos</w:t>
            </w:r>
          </w:p>
        </w:tc>
        <w:tc>
          <w:tcPr>
            <w:tcW w:w="562" w:type="dxa"/>
            <w:shd w:val="clear" w:color="auto" w:fill="auto"/>
            <w:vAlign w:val="center"/>
          </w:tcPr>
          <w:p w14:paraId="5C7B235E"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3</w:t>
            </w:r>
          </w:p>
        </w:tc>
        <w:tc>
          <w:tcPr>
            <w:tcW w:w="2942" w:type="dxa"/>
            <w:shd w:val="clear" w:color="auto" w:fill="auto"/>
            <w:vAlign w:val="center"/>
          </w:tcPr>
          <w:p w14:paraId="7B08C0E9"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 xml:space="preserve">Plazo Mínimo en Días </w:t>
            </w:r>
          </w:p>
        </w:tc>
        <w:tc>
          <w:tcPr>
            <w:tcW w:w="4188" w:type="dxa"/>
            <w:shd w:val="clear" w:color="auto" w:fill="auto"/>
            <w:vAlign w:val="center"/>
          </w:tcPr>
          <w:p w14:paraId="19DD9CD7"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28 días</w:t>
            </w:r>
          </w:p>
        </w:tc>
      </w:tr>
      <w:tr w:rsidR="007968EC" w:rsidRPr="005F10B9" w14:paraId="02241473" w14:textId="77777777" w:rsidTr="007968EC">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73798CB2" w14:textId="77777777" w:rsidR="007968EC" w:rsidRPr="005F10B9" w:rsidRDefault="007968EC" w:rsidP="007968EC">
            <w:pPr>
              <w:jc w:val="center"/>
              <w:rPr>
                <w:rFonts w:ascii="Arial Narrow" w:eastAsia="Calibri" w:hAnsi="Arial Narrow"/>
                <w:color w:val="000000" w:themeColor="text1"/>
                <w:lang w:val="es-CO" w:eastAsia="en-US"/>
              </w:rPr>
            </w:pPr>
          </w:p>
        </w:tc>
        <w:tc>
          <w:tcPr>
            <w:tcW w:w="562" w:type="dxa"/>
            <w:shd w:val="clear" w:color="auto" w:fill="auto"/>
            <w:vAlign w:val="center"/>
          </w:tcPr>
          <w:p w14:paraId="191783EC"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4</w:t>
            </w:r>
          </w:p>
        </w:tc>
        <w:tc>
          <w:tcPr>
            <w:tcW w:w="2942" w:type="dxa"/>
            <w:shd w:val="clear" w:color="auto" w:fill="auto"/>
            <w:vAlign w:val="center"/>
          </w:tcPr>
          <w:p w14:paraId="362CC6EE"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Plazo Residual Mínimo en Días</w:t>
            </w:r>
          </w:p>
        </w:tc>
        <w:tc>
          <w:tcPr>
            <w:tcW w:w="4188" w:type="dxa"/>
            <w:shd w:val="clear" w:color="auto" w:fill="auto"/>
            <w:vAlign w:val="center"/>
          </w:tcPr>
          <w:p w14:paraId="6ED87C43"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2 días</w:t>
            </w:r>
          </w:p>
        </w:tc>
      </w:tr>
      <w:tr w:rsidR="007968EC" w:rsidRPr="005F10B9" w14:paraId="50AF6A1C"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3D3127DD" w14:textId="77777777" w:rsidR="007968EC" w:rsidRPr="005F10B9" w:rsidRDefault="007968EC" w:rsidP="007968EC">
            <w:pPr>
              <w:jc w:val="center"/>
              <w:rPr>
                <w:rFonts w:ascii="Arial Narrow" w:eastAsia="Calibri" w:hAnsi="Arial Narrow"/>
                <w:color w:val="000000" w:themeColor="text1"/>
                <w:lang w:val="es-CO" w:eastAsia="en-US"/>
              </w:rPr>
            </w:pPr>
          </w:p>
        </w:tc>
        <w:tc>
          <w:tcPr>
            <w:tcW w:w="562" w:type="dxa"/>
            <w:shd w:val="clear" w:color="auto" w:fill="auto"/>
            <w:vAlign w:val="center"/>
          </w:tcPr>
          <w:p w14:paraId="21D329F2"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5</w:t>
            </w:r>
          </w:p>
        </w:tc>
        <w:tc>
          <w:tcPr>
            <w:tcW w:w="2942" w:type="dxa"/>
            <w:shd w:val="clear" w:color="auto" w:fill="auto"/>
            <w:vAlign w:val="center"/>
          </w:tcPr>
          <w:p w14:paraId="3CFCFF88"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Plazo Residual Máximo en Días</w:t>
            </w:r>
          </w:p>
        </w:tc>
        <w:tc>
          <w:tcPr>
            <w:tcW w:w="4188" w:type="dxa"/>
            <w:shd w:val="clear" w:color="auto" w:fill="auto"/>
            <w:vAlign w:val="center"/>
          </w:tcPr>
          <w:p w14:paraId="50E3DD58"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5484 días</w:t>
            </w:r>
          </w:p>
        </w:tc>
      </w:tr>
      <w:tr w:rsidR="007968EC" w:rsidRPr="005F10B9" w14:paraId="1C68EA8C" w14:textId="77777777" w:rsidTr="007968EC">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748698A6" w14:textId="77777777" w:rsidR="007968EC" w:rsidRPr="005F10B9" w:rsidRDefault="007968EC" w:rsidP="007968EC">
            <w:pPr>
              <w:jc w:val="center"/>
              <w:rPr>
                <w:rFonts w:ascii="Arial Narrow" w:eastAsia="Calibri" w:hAnsi="Arial Narrow"/>
                <w:color w:val="000000" w:themeColor="text1"/>
                <w:lang w:val="es-CO" w:eastAsia="en-US"/>
              </w:rPr>
            </w:pPr>
          </w:p>
        </w:tc>
        <w:tc>
          <w:tcPr>
            <w:tcW w:w="562" w:type="dxa"/>
            <w:shd w:val="clear" w:color="auto" w:fill="auto"/>
            <w:vAlign w:val="center"/>
          </w:tcPr>
          <w:p w14:paraId="6A9B0865"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6</w:t>
            </w:r>
          </w:p>
        </w:tc>
        <w:tc>
          <w:tcPr>
            <w:tcW w:w="2942" w:type="dxa"/>
            <w:shd w:val="clear" w:color="auto" w:fill="auto"/>
            <w:vAlign w:val="center"/>
          </w:tcPr>
          <w:p w14:paraId="589E00B4"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Plazo Residual Máximo en Años</w:t>
            </w:r>
          </w:p>
        </w:tc>
        <w:tc>
          <w:tcPr>
            <w:tcW w:w="4188" w:type="dxa"/>
            <w:shd w:val="clear" w:color="auto" w:fill="auto"/>
            <w:vAlign w:val="center"/>
          </w:tcPr>
          <w:p w14:paraId="408DD674"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15 años</w:t>
            </w:r>
          </w:p>
        </w:tc>
      </w:tr>
      <w:tr w:rsidR="007968EC" w:rsidRPr="005F10B9" w14:paraId="11B6498B"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7FFABE7E" w14:textId="77777777" w:rsidR="007968EC" w:rsidRPr="005F10B9" w:rsidRDefault="007968EC" w:rsidP="007968EC">
            <w:pPr>
              <w:jc w:val="center"/>
              <w:rPr>
                <w:rFonts w:ascii="Arial Narrow" w:eastAsia="Calibri" w:hAnsi="Arial Narrow"/>
                <w:color w:val="000000" w:themeColor="text1"/>
                <w:lang w:val="es-CO" w:eastAsia="en-US"/>
              </w:rPr>
            </w:pPr>
          </w:p>
        </w:tc>
        <w:tc>
          <w:tcPr>
            <w:tcW w:w="562" w:type="dxa"/>
            <w:shd w:val="clear" w:color="auto" w:fill="auto"/>
            <w:vAlign w:val="center"/>
          </w:tcPr>
          <w:p w14:paraId="516AEC79"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7</w:t>
            </w:r>
          </w:p>
        </w:tc>
        <w:tc>
          <w:tcPr>
            <w:tcW w:w="2942" w:type="dxa"/>
            <w:shd w:val="clear" w:color="auto" w:fill="auto"/>
            <w:vAlign w:val="center"/>
          </w:tcPr>
          <w:p w14:paraId="0DFEABD0"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Inicio Diferido</w:t>
            </w:r>
          </w:p>
        </w:tc>
        <w:tc>
          <w:tcPr>
            <w:tcW w:w="4188" w:type="dxa"/>
            <w:shd w:val="clear" w:color="auto" w:fill="auto"/>
            <w:vAlign w:val="center"/>
          </w:tcPr>
          <w:p w14:paraId="7E11F378"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Y</w:t>
            </w:r>
          </w:p>
        </w:tc>
      </w:tr>
      <w:tr w:rsidR="007968EC" w:rsidRPr="005F10B9" w14:paraId="4961F8D0" w14:textId="77777777" w:rsidTr="007968EC">
        <w:tc>
          <w:tcPr>
            <w:cnfStyle w:val="001000000000" w:firstRow="0" w:lastRow="0" w:firstColumn="1" w:lastColumn="0" w:oddVBand="0" w:evenVBand="0" w:oddHBand="0" w:evenHBand="0" w:firstRowFirstColumn="0" w:firstRowLastColumn="0" w:lastRowFirstColumn="0" w:lastRowLastColumn="0"/>
            <w:tcW w:w="1682" w:type="dxa"/>
            <w:vMerge w:val="restart"/>
            <w:shd w:val="clear" w:color="auto" w:fill="BFBFBF" w:themeFill="background1" w:themeFillShade="BF"/>
            <w:vAlign w:val="center"/>
          </w:tcPr>
          <w:p w14:paraId="19301238" w14:textId="77777777" w:rsidR="007968EC" w:rsidRPr="005F10B9" w:rsidRDefault="007968EC" w:rsidP="007968EC">
            <w:pPr>
              <w:jc w:val="center"/>
              <w:rPr>
                <w:rFonts w:ascii="Arial Narrow" w:eastAsia="Calibri" w:hAnsi="Arial Narrow"/>
                <w:color w:val="000000" w:themeColor="text1"/>
                <w:lang w:val="es-CO" w:eastAsia="en-US"/>
              </w:rPr>
            </w:pPr>
            <w:r w:rsidRPr="005F10B9">
              <w:rPr>
                <w:rFonts w:ascii="Arial Narrow" w:eastAsia="Calibri" w:hAnsi="Arial Narrow"/>
                <w:color w:val="000000" w:themeColor="text1"/>
              </w:rPr>
              <w:t>Nocional</w:t>
            </w:r>
          </w:p>
        </w:tc>
        <w:tc>
          <w:tcPr>
            <w:tcW w:w="562" w:type="dxa"/>
            <w:shd w:val="clear" w:color="auto" w:fill="auto"/>
            <w:vAlign w:val="center"/>
          </w:tcPr>
          <w:p w14:paraId="6437B513"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8</w:t>
            </w:r>
          </w:p>
        </w:tc>
        <w:tc>
          <w:tcPr>
            <w:tcW w:w="2942" w:type="dxa"/>
            <w:shd w:val="clear" w:color="auto" w:fill="auto"/>
            <w:vAlign w:val="center"/>
          </w:tcPr>
          <w:p w14:paraId="482A85B9"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Nominal</w:t>
            </w:r>
          </w:p>
        </w:tc>
        <w:tc>
          <w:tcPr>
            <w:tcW w:w="4188" w:type="dxa"/>
            <w:shd w:val="clear" w:color="auto" w:fill="auto"/>
            <w:vAlign w:val="center"/>
          </w:tcPr>
          <w:p w14:paraId="2258F2A9"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Pr>
                <w:rFonts w:ascii="Arial Narrow" w:hAnsi="Arial Narrow"/>
                <w:snapToGrid w:val="0"/>
                <w:color w:val="000000"/>
                <w:lang w:val="es-CO"/>
              </w:rPr>
              <w:t>N</w:t>
            </w:r>
          </w:p>
        </w:tc>
      </w:tr>
      <w:tr w:rsidR="007968EC" w:rsidRPr="005F10B9" w14:paraId="0ADB2B48"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4E931EF9" w14:textId="77777777" w:rsidR="007968EC" w:rsidRPr="005F10B9" w:rsidRDefault="007968EC" w:rsidP="007968EC">
            <w:pPr>
              <w:jc w:val="center"/>
              <w:rPr>
                <w:rFonts w:ascii="Arial Narrow" w:hAnsi="Arial Narrow"/>
                <w:snapToGrid w:val="0"/>
                <w:color w:val="000000"/>
                <w:lang w:val="es-CO"/>
              </w:rPr>
            </w:pPr>
          </w:p>
        </w:tc>
        <w:tc>
          <w:tcPr>
            <w:tcW w:w="562" w:type="dxa"/>
            <w:shd w:val="clear" w:color="auto" w:fill="auto"/>
            <w:vAlign w:val="center"/>
          </w:tcPr>
          <w:p w14:paraId="7D18275F"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9</w:t>
            </w:r>
          </w:p>
        </w:tc>
        <w:tc>
          <w:tcPr>
            <w:tcW w:w="2942" w:type="dxa"/>
            <w:shd w:val="clear" w:color="auto" w:fill="auto"/>
            <w:vAlign w:val="center"/>
          </w:tcPr>
          <w:p w14:paraId="22AB5D73" w14:textId="77777777" w:rsidR="007968EC" w:rsidRPr="00F511E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F511E9">
              <w:rPr>
                <w:rFonts w:ascii="Arial Narrow" w:hAnsi="Arial Narrow"/>
                <w:snapToGrid w:val="0"/>
                <w:color w:val="000000"/>
                <w:lang w:val="es-CO"/>
              </w:rPr>
              <w:t xml:space="preserve">Importe Mínimo de Nominal </w:t>
            </w:r>
          </w:p>
        </w:tc>
        <w:tc>
          <w:tcPr>
            <w:tcW w:w="4188" w:type="dxa"/>
            <w:shd w:val="clear" w:color="auto" w:fill="auto"/>
            <w:vAlign w:val="center"/>
          </w:tcPr>
          <w:p w14:paraId="232CDB06" w14:textId="77777777" w:rsidR="007968EC" w:rsidRPr="00F511E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294E08">
              <w:rPr>
                <w:rFonts w:ascii="Arial Narrow" w:hAnsi="Arial Narrow"/>
                <w:snapToGrid w:val="0"/>
                <w:color w:val="000000"/>
              </w:rPr>
              <w:t>1COP o su equivalente en USD</w:t>
            </w:r>
          </w:p>
        </w:tc>
      </w:tr>
      <w:tr w:rsidR="007968EC" w:rsidRPr="005F10B9" w14:paraId="0C471E44" w14:textId="77777777" w:rsidTr="007968EC">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1518222E" w14:textId="77777777" w:rsidR="007968EC" w:rsidRPr="005F10B9" w:rsidRDefault="007968EC" w:rsidP="007968EC">
            <w:pPr>
              <w:jc w:val="center"/>
              <w:rPr>
                <w:rFonts w:ascii="Arial Narrow" w:hAnsi="Arial Narrow"/>
                <w:snapToGrid w:val="0"/>
                <w:color w:val="000000"/>
                <w:lang w:val="es-CO"/>
              </w:rPr>
            </w:pPr>
          </w:p>
        </w:tc>
        <w:tc>
          <w:tcPr>
            <w:tcW w:w="562" w:type="dxa"/>
            <w:shd w:val="clear" w:color="auto" w:fill="auto"/>
            <w:vAlign w:val="center"/>
          </w:tcPr>
          <w:p w14:paraId="59E3FAF4"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10</w:t>
            </w:r>
          </w:p>
        </w:tc>
        <w:tc>
          <w:tcPr>
            <w:tcW w:w="2942" w:type="dxa"/>
            <w:shd w:val="clear" w:color="auto" w:fill="auto"/>
            <w:vAlign w:val="center"/>
          </w:tcPr>
          <w:p w14:paraId="1A1F3DFB" w14:textId="77777777" w:rsidR="007968EC" w:rsidRPr="00F511E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F511E9">
              <w:rPr>
                <w:rFonts w:ascii="Arial Narrow" w:hAnsi="Arial Narrow"/>
                <w:snapToGrid w:val="0"/>
                <w:color w:val="000000"/>
                <w:lang w:val="es-CO"/>
              </w:rPr>
              <w:t xml:space="preserve">Importe Máximo de Nominal </w:t>
            </w:r>
          </w:p>
        </w:tc>
        <w:tc>
          <w:tcPr>
            <w:tcW w:w="4188" w:type="dxa"/>
            <w:shd w:val="clear" w:color="auto" w:fill="auto"/>
            <w:vAlign w:val="center"/>
          </w:tcPr>
          <w:p w14:paraId="3B9989C5" w14:textId="77777777" w:rsidR="007968EC" w:rsidRPr="00F511E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294E08">
              <w:rPr>
                <w:rFonts w:ascii="Arial Narrow" w:hAnsi="Arial Narrow"/>
                <w:snapToGrid w:val="0"/>
                <w:color w:val="000000"/>
              </w:rPr>
              <w:t>1 billón COP- 1x10</w:t>
            </w:r>
            <w:r w:rsidRPr="00294E08">
              <w:rPr>
                <w:rFonts w:ascii="Arial Narrow" w:hAnsi="Arial Narrow"/>
                <w:snapToGrid w:val="0"/>
                <w:color w:val="000000"/>
                <w:vertAlign w:val="superscript"/>
              </w:rPr>
              <w:t xml:space="preserve">12   </w:t>
            </w:r>
            <w:r w:rsidRPr="00294E08">
              <w:rPr>
                <w:rFonts w:ascii="Arial Narrow" w:hAnsi="Arial Narrow"/>
                <w:snapToGrid w:val="0"/>
                <w:color w:val="000000"/>
              </w:rPr>
              <w:t>o su equivalente en USD con la TRM del día de negociación</w:t>
            </w:r>
          </w:p>
        </w:tc>
      </w:tr>
      <w:tr w:rsidR="007968EC" w:rsidRPr="005F10B9" w14:paraId="0F434823"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Merge w:val="restart"/>
            <w:shd w:val="clear" w:color="auto" w:fill="BFBFBF" w:themeFill="background1" w:themeFillShade="BF"/>
            <w:vAlign w:val="center"/>
          </w:tcPr>
          <w:p w14:paraId="1F60C60F" w14:textId="77777777" w:rsidR="007968EC" w:rsidRDefault="007968EC" w:rsidP="007968EC">
            <w:pPr>
              <w:rPr>
                <w:rFonts w:ascii="Arial Narrow" w:hAnsi="Arial Narrow"/>
                <w:snapToGrid w:val="0"/>
                <w:color w:val="000000"/>
                <w:lang w:val="es-CO"/>
              </w:rPr>
            </w:pPr>
          </w:p>
          <w:p w14:paraId="5E9AFF7F" w14:textId="77777777" w:rsidR="007968EC" w:rsidRDefault="007968EC" w:rsidP="007968EC">
            <w:pPr>
              <w:jc w:val="center"/>
              <w:rPr>
                <w:rFonts w:ascii="Arial Narrow" w:hAnsi="Arial Narrow"/>
                <w:snapToGrid w:val="0"/>
                <w:color w:val="000000"/>
                <w:lang w:val="es-CO"/>
              </w:rPr>
            </w:pPr>
            <w:r w:rsidRPr="005F10B9">
              <w:rPr>
                <w:rFonts w:ascii="Arial Narrow" w:hAnsi="Arial Narrow"/>
                <w:snapToGrid w:val="0"/>
                <w:color w:val="000000"/>
                <w:lang w:val="es-CO"/>
              </w:rPr>
              <w:t>Rama Variable</w:t>
            </w:r>
          </w:p>
          <w:p w14:paraId="7B488100" w14:textId="77777777" w:rsidR="007968EC" w:rsidRPr="005F10B9" w:rsidRDefault="007968EC" w:rsidP="007968EC">
            <w:pPr>
              <w:jc w:val="center"/>
              <w:rPr>
                <w:rFonts w:ascii="Arial Narrow" w:hAnsi="Arial Narrow"/>
                <w:snapToGrid w:val="0"/>
                <w:color w:val="000000"/>
                <w:lang w:val="es-CO"/>
              </w:rPr>
            </w:pPr>
            <w:r>
              <w:rPr>
                <w:rFonts w:ascii="Arial Narrow" w:hAnsi="Arial Narrow"/>
                <w:snapToGrid w:val="0"/>
                <w:color w:val="000000"/>
                <w:lang w:val="es-CO"/>
              </w:rPr>
              <w:t>USD</w:t>
            </w:r>
          </w:p>
        </w:tc>
        <w:tc>
          <w:tcPr>
            <w:tcW w:w="562" w:type="dxa"/>
            <w:shd w:val="clear" w:color="auto" w:fill="auto"/>
            <w:vAlign w:val="center"/>
          </w:tcPr>
          <w:p w14:paraId="2789E359"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11</w:t>
            </w:r>
          </w:p>
        </w:tc>
        <w:tc>
          <w:tcPr>
            <w:tcW w:w="2942" w:type="dxa"/>
            <w:shd w:val="clear" w:color="auto" w:fill="auto"/>
            <w:vAlign w:val="center"/>
          </w:tcPr>
          <w:p w14:paraId="6FE39B08"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Índice Tasa de Interés Variable</w:t>
            </w:r>
          </w:p>
        </w:tc>
        <w:tc>
          <w:tcPr>
            <w:tcW w:w="4188" w:type="dxa"/>
            <w:shd w:val="clear" w:color="auto" w:fill="auto"/>
            <w:vAlign w:val="center"/>
          </w:tcPr>
          <w:p w14:paraId="09BF699C"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Pr>
                <w:rFonts w:ascii="Arial Narrow" w:hAnsi="Arial Narrow"/>
                <w:snapToGrid w:val="0"/>
                <w:color w:val="000000"/>
                <w:lang w:val="es-CO"/>
              </w:rPr>
              <w:t>LIBOR</w:t>
            </w:r>
          </w:p>
        </w:tc>
      </w:tr>
      <w:tr w:rsidR="007968EC" w:rsidRPr="005F10B9" w14:paraId="6A480A78" w14:textId="77777777" w:rsidTr="007968EC">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23331E9D" w14:textId="77777777" w:rsidR="007968EC" w:rsidRPr="005F10B9" w:rsidRDefault="007968EC" w:rsidP="007968EC">
            <w:pPr>
              <w:jc w:val="center"/>
              <w:rPr>
                <w:rFonts w:ascii="Arial Narrow" w:hAnsi="Arial Narrow"/>
                <w:snapToGrid w:val="0"/>
                <w:color w:val="000000"/>
                <w:lang w:val="es-CO"/>
              </w:rPr>
            </w:pPr>
          </w:p>
        </w:tc>
        <w:tc>
          <w:tcPr>
            <w:tcW w:w="562" w:type="dxa"/>
            <w:shd w:val="clear" w:color="auto" w:fill="auto"/>
            <w:vAlign w:val="center"/>
          </w:tcPr>
          <w:p w14:paraId="7B2A33D7"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12</w:t>
            </w:r>
          </w:p>
        </w:tc>
        <w:tc>
          <w:tcPr>
            <w:tcW w:w="2942" w:type="dxa"/>
            <w:shd w:val="clear" w:color="auto" w:fill="auto"/>
            <w:vAlign w:val="center"/>
          </w:tcPr>
          <w:p w14:paraId="1D13B1E6"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Plazo del índice Variable (Periodo Regular)</w:t>
            </w:r>
          </w:p>
        </w:tc>
        <w:tc>
          <w:tcPr>
            <w:tcW w:w="4188" w:type="dxa"/>
            <w:shd w:val="clear" w:color="auto" w:fill="auto"/>
            <w:vAlign w:val="center"/>
          </w:tcPr>
          <w:p w14:paraId="179C8286"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 xml:space="preserve">1m, </w:t>
            </w:r>
            <w:r>
              <w:rPr>
                <w:rFonts w:ascii="Arial Narrow" w:hAnsi="Arial Narrow"/>
                <w:snapToGrid w:val="0"/>
                <w:color w:val="000000"/>
                <w:lang w:val="es-CO"/>
              </w:rPr>
              <w:t>3m, 6m y 12m</w:t>
            </w:r>
          </w:p>
        </w:tc>
      </w:tr>
      <w:tr w:rsidR="007968EC" w:rsidRPr="005F10B9" w14:paraId="272256A7"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68C69BD9" w14:textId="77777777" w:rsidR="007968EC" w:rsidRPr="005F10B9" w:rsidRDefault="007968EC" w:rsidP="007968EC">
            <w:pPr>
              <w:jc w:val="center"/>
              <w:rPr>
                <w:rFonts w:ascii="Arial Narrow" w:hAnsi="Arial Narrow"/>
                <w:snapToGrid w:val="0"/>
                <w:color w:val="000000"/>
                <w:lang w:val="es-CO"/>
              </w:rPr>
            </w:pPr>
          </w:p>
        </w:tc>
        <w:tc>
          <w:tcPr>
            <w:tcW w:w="562" w:type="dxa"/>
            <w:shd w:val="clear" w:color="auto" w:fill="auto"/>
            <w:vAlign w:val="center"/>
          </w:tcPr>
          <w:p w14:paraId="2655B025"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13</w:t>
            </w:r>
          </w:p>
        </w:tc>
        <w:tc>
          <w:tcPr>
            <w:tcW w:w="2942" w:type="dxa"/>
            <w:shd w:val="clear" w:color="auto" w:fill="auto"/>
            <w:vAlign w:val="center"/>
          </w:tcPr>
          <w:p w14:paraId="40534CE4"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Diferencial/Spread de la Rama Variable</w:t>
            </w:r>
          </w:p>
        </w:tc>
        <w:tc>
          <w:tcPr>
            <w:tcW w:w="4188" w:type="dxa"/>
            <w:shd w:val="clear" w:color="auto" w:fill="auto"/>
            <w:vAlign w:val="center"/>
          </w:tcPr>
          <w:p w14:paraId="56B98B50"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hAnsi="Arial Narrow"/>
                <w:snapToGrid w:val="0"/>
                <w:color w:val="000000"/>
                <w:lang w:val="es-CO"/>
              </w:rPr>
            </w:pPr>
            <w:r w:rsidRPr="005F10B9">
              <w:rPr>
                <w:rFonts w:ascii="Arial Narrow" w:hAnsi="Arial Narrow"/>
                <w:snapToGrid w:val="0"/>
                <w:color w:val="000000"/>
                <w:lang w:val="es-CO"/>
              </w:rPr>
              <w:t>Y: 4DPS</w:t>
            </w:r>
          </w:p>
        </w:tc>
      </w:tr>
      <w:tr w:rsidR="007968EC" w:rsidRPr="005F10B9" w14:paraId="1B8226D1" w14:textId="77777777" w:rsidTr="007968EC">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6B630F4B" w14:textId="77777777" w:rsidR="007968EC" w:rsidRPr="005F10B9" w:rsidRDefault="007968EC" w:rsidP="007968EC">
            <w:pPr>
              <w:jc w:val="center"/>
              <w:rPr>
                <w:rFonts w:ascii="Arial Narrow" w:hAnsi="Arial Narrow"/>
                <w:snapToGrid w:val="0"/>
                <w:color w:val="000000"/>
                <w:lang w:val="es-CO"/>
              </w:rPr>
            </w:pPr>
          </w:p>
        </w:tc>
        <w:tc>
          <w:tcPr>
            <w:tcW w:w="562" w:type="dxa"/>
            <w:shd w:val="clear" w:color="auto" w:fill="auto"/>
            <w:vAlign w:val="center"/>
          </w:tcPr>
          <w:p w14:paraId="524EAD27"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14</w:t>
            </w:r>
          </w:p>
        </w:tc>
        <w:tc>
          <w:tcPr>
            <w:tcW w:w="2942" w:type="dxa"/>
            <w:shd w:val="clear" w:color="auto" w:fill="auto"/>
            <w:vAlign w:val="center"/>
          </w:tcPr>
          <w:p w14:paraId="2F558337"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Tasa Negativa de la Rama Variable</w:t>
            </w:r>
          </w:p>
        </w:tc>
        <w:tc>
          <w:tcPr>
            <w:tcW w:w="4188" w:type="dxa"/>
            <w:shd w:val="clear" w:color="auto" w:fill="auto"/>
            <w:vAlign w:val="center"/>
          </w:tcPr>
          <w:p w14:paraId="7E97AAD8"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Y</w:t>
            </w:r>
          </w:p>
        </w:tc>
      </w:tr>
      <w:tr w:rsidR="007968EC" w:rsidRPr="005F10B9" w14:paraId="7D1CC9EF"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6B17EDA0" w14:textId="77777777" w:rsidR="007968EC" w:rsidRPr="005F10B9" w:rsidRDefault="007968EC" w:rsidP="007968EC">
            <w:pPr>
              <w:jc w:val="center"/>
              <w:rPr>
                <w:rFonts w:ascii="Arial Narrow" w:hAnsi="Arial Narrow"/>
                <w:snapToGrid w:val="0"/>
                <w:color w:val="000000"/>
                <w:lang w:val="es-CO"/>
              </w:rPr>
            </w:pPr>
          </w:p>
        </w:tc>
        <w:tc>
          <w:tcPr>
            <w:tcW w:w="562" w:type="dxa"/>
            <w:shd w:val="clear" w:color="auto" w:fill="auto"/>
            <w:vAlign w:val="center"/>
          </w:tcPr>
          <w:p w14:paraId="1003FAD4"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15</w:t>
            </w:r>
          </w:p>
        </w:tc>
        <w:tc>
          <w:tcPr>
            <w:tcW w:w="2942" w:type="dxa"/>
            <w:shd w:val="clear" w:color="auto" w:fill="auto"/>
            <w:vAlign w:val="center"/>
          </w:tcPr>
          <w:p w14:paraId="03BA597B" w14:textId="77777777" w:rsidR="007968EC" w:rsidRPr="005F10B9" w:rsidRDefault="007968EC" w:rsidP="007968E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eastAsia="en-US"/>
              </w:rPr>
            </w:pPr>
            <w:r w:rsidRPr="005F10B9">
              <w:rPr>
                <w:rFonts w:ascii="Arial Narrow" w:eastAsia="Calibri" w:hAnsi="Arial Narrow" w:cs="Calibri"/>
                <w:lang w:eastAsia="en-US"/>
              </w:rPr>
              <w:t xml:space="preserve">Días de Retraso para la Fijación de la Tasa Variable </w:t>
            </w:r>
            <w:r w:rsidRPr="005F10B9">
              <w:rPr>
                <w:rFonts w:ascii="Arial Narrow" w:hAnsi="Arial Narrow" w:cs="Arial"/>
                <w:color w:val="000000"/>
              </w:rPr>
              <w:t>(Standard)</w:t>
            </w:r>
          </w:p>
        </w:tc>
        <w:tc>
          <w:tcPr>
            <w:tcW w:w="4188" w:type="dxa"/>
            <w:shd w:val="clear" w:color="auto" w:fill="auto"/>
            <w:vAlign w:val="center"/>
          </w:tcPr>
          <w:p w14:paraId="1F077B95"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-2 (2 días hábiles antes)</w:t>
            </w:r>
          </w:p>
        </w:tc>
      </w:tr>
      <w:tr w:rsidR="007968EC" w:rsidRPr="005F10B9" w14:paraId="3674445D" w14:textId="77777777" w:rsidTr="007968EC">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547BC89D" w14:textId="77777777" w:rsidR="007968EC" w:rsidRPr="005F10B9" w:rsidRDefault="007968EC" w:rsidP="007968EC">
            <w:pPr>
              <w:jc w:val="center"/>
              <w:rPr>
                <w:rFonts w:ascii="Arial Narrow" w:hAnsi="Arial Narrow"/>
                <w:snapToGrid w:val="0"/>
                <w:color w:val="000000"/>
                <w:lang w:val="es-CO"/>
              </w:rPr>
            </w:pPr>
          </w:p>
        </w:tc>
        <w:tc>
          <w:tcPr>
            <w:tcW w:w="562" w:type="dxa"/>
            <w:shd w:val="clear" w:color="auto" w:fill="auto"/>
            <w:vAlign w:val="center"/>
          </w:tcPr>
          <w:p w14:paraId="2BCC135E"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16</w:t>
            </w:r>
          </w:p>
        </w:tc>
        <w:tc>
          <w:tcPr>
            <w:tcW w:w="2942" w:type="dxa"/>
            <w:shd w:val="clear" w:color="auto" w:fill="auto"/>
            <w:vAlign w:val="center"/>
          </w:tcPr>
          <w:p w14:paraId="4F0FB8F1"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Días de Retraso para la Fijación de la Tasa Variable (Non-Standard)</w:t>
            </w:r>
          </w:p>
        </w:tc>
        <w:tc>
          <w:tcPr>
            <w:tcW w:w="4188" w:type="dxa"/>
            <w:shd w:val="clear" w:color="auto" w:fill="auto"/>
            <w:vAlign w:val="center"/>
          </w:tcPr>
          <w:p w14:paraId="2936CD72"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-2 (2 días hábiles antes)</w:t>
            </w:r>
          </w:p>
        </w:tc>
      </w:tr>
      <w:tr w:rsidR="007968EC" w:rsidRPr="005F10B9" w14:paraId="298704FF"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256F753C" w14:textId="77777777" w:rsidR="007968EC" w:rsidRPr="005F10B9" w:rsidRDefault="007968EC" w:rsidP="007968EC">
            <w:pPr>
              <w:jc w:val="center"/>
              <w:rPr>
                <w:rFonts w:ascii="Arial Narrow" w:hAnsi="Arial Narrow"/>
                <w:snapToGrid w:val="0"/>
                <w:color w:val="000000"/>
                <w:lang w:val="es-CO"/>
              </w:rPr>
            </w:pPr>
          </w:p>
        </w:tc>
        <w:tc>
          <w:tcPr>
            <w:tcW w:w="562" w:type="dxa"/>
            <w:shd w:val="clear" w:color="auto" w:fill="auto"/>
            <w:vAlign w:val="center"/>
          </w:tcPr>
          <w:p w14:paraId="3FF14348"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17</w:t>
            </w:r>
          </w:p>
        </w:tc>
        <w:tc>
          <w:tcPr>
            <w:tcW w:w="2942" w:type="dxa"/>
            <w:shd w:val="clear" w:color="auto" w:fill="auto"/>
            <w:vAlign w:val="center"/>
          </w:tcPr>
          <w:p w14:paraId="25AEFBBF" w14:textId="77777777" w:rsidR="007968EC" w:rsidRPr="005F10B9" w:rsidRDefault="007968EC" w:rsidP="007968E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eastAsia="en-US"/>
              </w:rPr>
            </w:pPr>
            <w:r w:rsidRPr="005F10B9">
              <w:rPr>
                <w:rFonts w:ascii="Arial Narrow" w:eastAsia="Calibri" w:hAnsi="Arial Narrow" w:cs="Calibri"/>
                <w:lang w:eastAsia="en-US"/>
              </w:rPr>
              <w:t>Frecuencia de Observación de la Rama Variable</w:t>
            </w:r>
          </w:p>
        </w:tc>
        <w:tc>
          <w:tcPr>
            <w:tcW w:w="4188" w:type="dxa"/>
            <w:shd w:val="clear" w:color="auto" w:fill="auto"/>
            <w:vAlign w:val="center"/>
          </w:tcPr>
          <w:p w14:paraId="44FC9904"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 xml:space="preserve">1m, 3m, 6m </w:t>
            </w:r>
            <w:r>
              <w:rPr>
                <w:rFonts w:ascii="Arial Narrow" w:eastAsia="Calibri" w:hAnsi="Arial Narrow" w:cs="Calibri"/>
                <w:lang w:val="es-CO"/>
              </w:rPr>
              <w:t>y 12m</w:t>
            </w:r>
          </w:p>
        </w:tc>
      </w:tr>
      <w:tr w:rsidR="007968EC" w:rsidRPr="005F10B9" w14:paraId="35DC36A1" w14:textId="77777777" w:rsidTr="007968EC">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3BD77C9C" w14:textId="77777777" w:rsidR="007968EC" w:rsidRPr="005F10B9" w:rsidRDefault="007968EC" w:rsidP="007968EC">
            <w:pPr>
              <w:jc w:val="center"/>
              <w:rPr>
                <w:rFonts w:ascii="Arial Narrow" w:hAnsi="Arial Narrow"/>
                <w:snapToGrid w:val="0"/>
                <w:color w:val="000000"/>
                <w:lang w:val="es-CO"/>
              </w:rPr>
            </w:pPr>
          </w:p>
        </w:tc>
        <w:tc>
          <w:tcPr>
            <w:tcW w:w="562" w:type="dxa"/>
            <w:shd w:val="clear" w:color="auto" w:fill="auto"/>
            <w:vAlign w:val="center"/>
          </w:tcPr>
          <w:p w14:paraId="54D43B92"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18</w:t>
            </w:r>
          </w:p>
        </w:tc>
        <w:tc>
          <w:tcPr>
            <w:tcW w:w="2942" w:type="dxa"/>
            <w:shd w:val="clear" w:color="auto" w:fill="auto"/>
            <w:vAlign w:val="center"/>
          </w:tcPr>
          <w:p w14:paraId="6CFE3424" w14:textId="77777777" w:rsidR="007968EC" w:rsidRPr="005F10B9" w:rsidRDefault="007968EC" w:rsidP="007968E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eastAsia="en-US"/>
              </w:rPr>
            </w:pPr>
            <w:r w:rsidRPr="005F10B9">
              <w:rPr>
                <w:rFonts w:ascii="Arial Narrow" w:eastAsia="Calibri" w:hAnsi="Arial Narrow" w:cs="Calibri"/>
                <w:lang w:eastAsia="en-US"/>
              </w:rPr>
              <w:t>Frecuencia de Pago de la Rama Variable</w:t>
            </w:r>
          </w:p>
        </w:tc>
        <w:tc>
          <w:tcPr>
            <w:tcW w:w="4188" w:type="dxa"/>
            <w:shd w:val="clear" w:color="auto" w:fill="auto"/>
            <w:vAlign w:val="center"/>
          </w:tcPr>
          <w:p w14:paraId="6F233CB1"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 xml:space="preserve">1m, 3m, 6m </w:t>
            </w:r>
            <w:r>
              <w:rPr>
                <w:rFonts w:ascii="Arial Narrow" w:eastAsia="Calibri" w:hAnsi="Arial Narrow" w:cs="Calibri"/>
                <w:lang w:val="es-CO"/>
              </w:rPr>
              <w:t>y 12m</w:t>
            </w:r>
          </w:p>
        </w:tc>
      </w:tr>
      <w:tr w:rsidR="007968EC" w:rsidRPr="005F10B9" w14:paraId="2DA0B09B"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5C28A0B8" w14:textId="77777777" w:rsidR="007968EC" w:rsidRPr="005F10B9" w:rsidRDefault="007968EC" w:rsidP="007968EC">
            <w:pPr>
              <w:jc w:val="center"/>
              <w:rPr>
                <w:rFonts w:ascii="Arial Narrow" w:hAnsi="Arial Narrow"/>
                <w:snapToGrid w:val="0"/>
                <w:color w:val="000000"/>
                <w:lang w:val="es-CO"/>
              </w:rPr>
            </w:pPr>
          </w:p>
        </w:tc>
        <w:tc>
          <w:tcPr>
            <w:tcW w:w="562" w:type="dxa"/>
            <w:shd w:val="clear" w:color="auto" w:fill="auto"/>
            <w:vAlign w:val="center"/>
          </w:tcPr>
          <w:p w14:paraId="1DAA91B5" w14:textId="77777777" w:rsidR="007968EC" w:rsidRPr="00F511E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F511E9">
              <w:rPr>
                <w:rFonts w:ascii="Arial Narrow" w:eastAsia="Calibri" w:hAnsi="Arial Narrow" w:cs="Calibri"/>
                <w:lang w:val="es-CO"/>
              </w:rPr>
              <w:t>19</w:t>
            </w:r>
          </w:p>
        </w:tc>
        <w:tc>
          <w:tcPr>
            <w:tcW w:w="2942" w:type="dxa"/>
            <w:shd w:val="clear" w:color="auto" w:fill="auto"/>
            <w:vAlign w:val="center"/>
          </w:tcPr>
          <w:p w14:paraId="33A47E95" w14:textId="77777777" w:rsidR="007968EC" w:rsidRPr="0054674A" w:rsidRDefault="007968EC" w:rsidP="007968E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eastAsia="en-US"/>
              </w:rPr>
            </w:pPr>
            <w:r w:rsidRPr="0054674A">
              <w:rPr>
                <w:rFonts w:ascii="Arial Narrow" w:eastAsia="Calibri" w:hAnsi="Arial Narrow" w:cs="Calibri"/>
                <w:lang w:eastAsia="en-US"/>
              </w:rPr>
              <w:t>Convención de Base de Cálculo de la Rama Variable</w:t>
            </w:r>
          </w:p>
        </w:tc>
        <w:tc>
          <w:tcPr>
            <w:tcW w:w="4188" w:type="dxa"/>
            <w:shd w:val="clear" w:color="auto" w:fill="auto"/>
            <w:vAlign w:val="center"/>
          </w:tcPr>
          <w:p w14:paraId="4898EBF3" w14:textId="77777777" w:rsidR="007968EC" w:rsidRPr="00F511E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294E08">
              <w:rPr>
                <w:rFonts w:ascii="Arial Narrow" w:eastAsia="Calibri" w:hAnsi="Arial Narrow" w:cs="Calibri"/>
              </w:rPr>
              <w:t>ACT/360</w:t>
            </w:r>
          </w:p>
        </w:tc>
      </w:tr>
      <w:tr w:rsidR="007968EC" w:rsidRPr="005F10B9" w14:paraId="77280AEF" w14:textId="77777777" w:rsidTr="007968EC">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08A3F04C" w14:textId="77777777" w:rsidR="007968EC" w:rsidRPr="005F10B9" w:rsidRDefault="007968EC" w:rsidP="007968EC">
            <w:pPr>
              <w:jc w:val="center"/>
              <w:rPr>
                <w:rFonts w:ascii="Arial Narrow" w:hAnsi="Arial Narrow"/>
                <w:snapToGrid w:val="0"/>
                <w:color w:val="000000"/>
                <w:lang w:val="es-CO"/>
              </w:rPr>
            </w:pPr>
          </w:p>
        </w:tc>
        <w:tc>
          <w:tcPr>
            <w:tcW w:w="562" w:type="dxa"/>
            <w:shd w:val="clear" w:color="auto" w:fill="auto"/>
            <w:vAlign w:val="center"/>
          </w:tcPr>
          <w:p w14:paraId="144639C0" w14:textId="77777777" w:rsidR="007968EC" w:rsidRPr="00F511E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F511E9">
              <w:rPr>
                <w:rFonts w:ascii="Arial Narrow" w:eastAsia="Calibri" w:hAnsi="Arial Narrow" w:cs="Calibri"/>
                <w:lang w:val="es-CO"/>
              </w:rPr>
              <w:t>20</w:t>
            </w:r>
          </w:p>
        </w:tc>
        <w:tc>
          <w:tcPr>
            <w:tcW w:w="2942" w:type="dxa"/>
            <w:shd w:val="clear" w:color="auto" w:fill="auto"/>
            <w:vAlign w:val="center"/>
          </w:tcPr>
          <w:p w14:paraId="65223FAF" w14:textId="77777777" w:rsidR="007968EC" w:rsidRPr="0054674A" w:rsidRDefault="007968EC" w:rsidP="007968E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eastAsia="en-US"/>
              </w:rPr>
            </w:pPr>
            <w:r w:rsidRPr="0054674A">
              <w:rPr>
                <w:rFonts w:ascii="Arial Narrow" w:eastAsia="Calibri" w:hAnsi="Arial Narrow" w:cs="Calibri"/>
                <w:lang w:eastAsia="en-US"/>
              </w:rPr>
              <w:t>Redondeo Tasa de Interés de la Rama Variable</w:t>
            </w:r>
          </w:p>
        </w:tc>
        <w:tc>
          <w:tcPr>
            <w:tcW w:w="4188" w:type="dxa"/>
            <w:shd w:val="clear" w:color="auto" w:fill="auto"/>
            <w:vAlign w:val="center"/>
          </w:tcPr>
          <w:p w14:paraId="6DF1FA9B" w14:textId="77777777" w:rsidR="007968EC" w:rsidRPr="00CA3EBB"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CA3EBB">
              <w:rPr>
                <w:rFonts w:ascii="Arial Narrow" w:eastAsia="Calibri" w:hAnsi="Arial Narrow" w:cs="Calibri"/>
                <w:lang w:val="es-CO"/>
              </w:rPr>
              <w:t>Y: 5DPS</w:t>
            </w:r>
          </w:p>
        </w:tc>
      </w:tr>
      <w:tr w:rsidR="007968EC" w:rsidRPr="005F10B9" w14:paraId="7AD44042"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56387220" w14:textId="77777777" w:rsidR="007968EC" w:rsidRPr="005F10B9" w:rsidRDefault="007968EC" w:rsidP="007968EC">
            <w:pPr>
              <w:jc w:val="center"/>
              <w:rPr>
                <w:rFonts w:ascii="Arial Narrow" w:hAnsi="Arial Narrow"/>
                <w:snapToGrid w:val="0"/>
                <w:color w:val="000000"/>
              </w:rPr>
            </w:pPr>
          </w:p>
        </w:tc>
        <w:tc>
          <w:tcPr>
            <w:tcW w:w="562" w:type="dxa"/>
            <w:shd w:val="clear" w:color="auto" w:fill="auto"/>
            <w:vAlign w:val="center"/>
          </w:tcPr>
          <w:p w14:paraId="4E7F26D7" w14:textId="77777777" w:rsidR="007968EC" w:rsidRPr="00F511E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rPr>
            </w:pPr>
            <w:r w:rsidRPr="00294E08">
              <w:rPr>
                <w:rFonts w:ascii="Arial Narrow" w:eastAsia="Calibri" w:hAnsi="Arial Narrow" w:cs="Calibri"/>
              </w:rPr>
              <w:t>21</w:t>
            </w:r>
          </w:p>
        </w:tc>
        <w:tc>
          <w:tcPr>
            <w:tcW w:w="2942" w:type="dxa"/>
            <w:shd w:val="clear" w:color="auto" w:fill="auto"/>
            <w:vAlign w:val="center"/>
          </w:tcPr>
          <w:p w14:paraId="7F01F18D" w14:textId="77777777" w:rsidR="007968EC" w:rsidRPr="00F511E9" w:rsidRDefault="007968EC" w:rsidP="007968E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eastAsia="en-US"/>
              </w:rPr>
            </w:pPr>
            <w:r w:rsidRPr="00294E08">
              <w:rPr>
                <w:rFonts w:ascii="Arial Narrow" w:eastAsia="Calibri" w:hAnsi="Arial Narrow" w:cs="Calibri"/>
                <w:lang w:eastAsia="en-US"/>
              </w:rPr>
              <w:t xml:space="preserve">Calendario de Fijación </w:t>
            </w:r>
          </w:p>
        </w:tc>
        <w:tc>
          <w:tcPr>
            <w:tcW w:w="4188" w:type="dxa"/>
            <w:shd w:val="clear" w:color="auto" w:fill="auto"/>
            <w:vAlign w:val="center"/>
          </w:tcPr>
          <w:p w14:paraId="089C9A33" w14:textId="77777777" w:rsidR="007968EC" w:rsidRPr="00F511E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rPr>
            </w:pPr>
            <w:r w:rsidRPr="00294E08">
              <w:rPr>
                <w:rFonts w:ascii="Arial Narrow" w:eastAsia="Calibri" w:hAnsi="Arial Narrow" w:cs="Calibri"/>
              </w:rPr>
              <w:t xml:space="preserve">Londres (GBLO) </w:t>
            </w:r>
          </w:p>
        </w:tc>
      </w:tr>
      <w:tr w:rsidR="007968EC" w:rsidRPr="005F10B9" w14:paraId="43FD3A2B" w14:textId="77777777" w:rsidTr="007968EC">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3BB22AD9" w14:textId="77777777" w:rsidR="007968EC" w:rsidRPr="005F10B9" w:rsidRDefault="007968EC" w:rsidP="007968EC">
            <w:pPr>
              <w:jc w:val="center"/>
              <w:rPr>
                <w:rFonts w:ascii="Arial Narrow" w:hAnsi="Arial Narrow"/>
                <w:snapToGrid w:val="0"/>
                <w:color w:val="000000"/>
              </w:rPr>
            </w:pPr>
          </w:p>
        </w:tc>
        <w:tc>
          <w:tcPr>
            <w:tcW w:w="562" w:type="dxa"/>
            <w:shd w:val="clear" w:color="auto" w:fill="auto"/>
            <w:vAlign w:val="center"/>
          </w:tcPr>
          <w:p w14:paraId="3D229EE0" w14:textId="77777777" w:rsidR="007968EC" w:rsidRPr="00F511E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rPr>
            </w:pPr>
            <w:r w:rsidRPr="00294E08">
              <w:rPr>
                <w:rFonts w:ascii="Arial Narrow" w:eastAsia="Calibri" w:hAnsi="Arial Narrow" w:cs="Calibri"/>
              </w:rPr>
              <w:t>22</w:t>
            </w:r>
          </w:p>
        </w:tc>
        <w:tc>
          <w:tcPr>
            <w:tcW w:w="2942" w:type="dxa"/>
            <w:shd w:val="clear" w:color="auto" w:fill="auto"/>
            <w:vAlign w:val="center"/>
          </w:tcPr>
          <w:p w14:paraId="7435BB42" w14:textId="77777777" w:rsidR="007968EC" w:rsidRPr="00F511E9" w:rsidRDefault="007968EC" w:rsidP="007968E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eastAsia="en-US"/>
              </w:rPr>
            </w:pPr>
            <w:r w:rsidRPr="00294E08">
              <w:rPr>
                <w:rFonts w:ascii="Arial Narrow" w:eastAsia="Calibri" w:hAnsi="Arial Narrow" w:cs="Calibri"/>
                <w:lang w:eastAsia="en-US"/>
              </w:rPr>
              <w:t>Calendario de Pago</w:t>
            </w:r>
          </w:p>
        </w:tc>
        <w:tc>
          <w:tcPr>
            <w:tcW w:w="4188" w:type="dxa"/>
            <w:shd w:val="clear" w:color="auto" w:fill="auto"/>
            <w:vAlign w:val="center"/>
          </w:tcPr>
          <w:p w14:paraId="4C5DC28B" w14:textId="77777777" w:rsidR="007968EC" w:rsidRPr="00F511E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rPr>
            </w:pPr>
            <w:r w:rsidRPr="00294E08">
              <w:rPr>
                <w:rFonts w:ascii="Arial Narrow" w:eastAsia="Calibri" w:hAnsi="Arial Narrow" w:cs="Calibri"/>
              </w:rPr>
              <w:t>Colombia (COBO) y Estados Unidos (USNY)</w:t>
            </w:r>
          </w:p>
        </w:tc>
      </w:tr>
      <w:tr w:rsidR="007968EC" w:rsidRPr="005F10B9" w14:paraId="6A4A7D67"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64AD5E22" w14:textId="77777777" w:rsidR="007968EC" w:rsidRPr="005F10B9" w:rsidRDefault="007968EC" w:rsidP="007968EC">
            <w:pPr>
              <w:jc w:val="center"/>
              <w:rPr>
                <w:rFonts w:ascii="Arial Narrow" w:hAnsi="Arial Narrow"/>
                <w:snapToGrid w:val="0"/>
                <w:color w:val="000000"/>
              </w:rPr>
            </w:pPr>
          </w:p>
        </w:tc>
        <w:tc>
          <w:tcPr>
            <w:tcW w:w="562" w:type="dxa"/>
            <w:shd w:val="clear" w:color="auto" w:fill="auto"/>
            <w:vAlign w:val="center"/>
          </w:tcPr>
          <w:p w14:paraId="6A01285F" w14:textId="77777777" w:rsidR="007968EC" w:rsidRPr="00F511E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rPr>
            </w:pPr>
            <w:r w:rsidRPr="00294E08">
              <w:rPr>
                <w:rFonts w:ascii="Arial Narrow" w:eastAsia="Calibri" w:hAnsi="Arial Narrow" w:cs="Calibri"/>
              </w:rPr>
              <w:t>23</w:t>
            </w:r>
          </w:p>
        </w:tc>
        <w:tc>
          <w:tcPr>
            <w:tcW w:w="2942" w:type="dxa"/>
            <w:shd w:val="clear" w:color="auto" w:fill="auto"/>
            <w:vAlign w:val="center"/>
          </w:tcPr>
          <w:p w14:paraId="4976C58A" w14:textId="77777777" w:rsidR="007968EC" w:rsidRPr="00294E08" w:rsidRDefault="007968EC" w:rsidP="007968E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eastAsia="en-US"/>
              </w:rPr>
            </w:pPr>
            <w:r w:rsidRPr="00294E08">
              <w:rPr>
                <w:rFonts w:ascii="Arial Narrow" w:eastAsia="Calibri" w:hAnsi="Arial Narrow" w:cs="Calibri"/>
                <w:lang w:eastAsia="en-US"/>
              </w:rPr>
              <w:t>Calendario de Valoración</w:t>
            </w:r>
          </w:p>
          <w:p w14:paraId="6C8510BA" w14:textId="77777777" w:rsidR="007968EC" w:rsidRPr="00F511E9" w:rsidRDefault="007968EC" w:rsidP="007968E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eastAsia="en-US"/>
              </w:rPr>
            </w:pPr>
            <w:r w:rsidRPr="00294E08">
              <w:rPr>
                <w:rFonts w:ascii="Arial Narrow" w:eastAsia="Calibri" w:hAnsi="Arial Narrow" w:cs="Calibri"/>
                <w:lang w:eastAsia="en-US"/>
              </w:rPr>
              <w:t>(</w:t>
            </w:r>
            <w:proofErr w:type="spellStart"/>
            <w:r w:rsidRPr="00294E08">
              <w:rPr>
                <w:rFonts w:ascii="Arial Narrow" w:eastAsia="Calibri" w:hAnsi="Arial Narrow" w:cs="Calibri"/>
                <w:lang w:eastAsia="en-US"/>
              </w:rPr>
              <w:t>Accrual</w:t>
            </w:r>
            <w:proofErr w:type="spellEnd"/>
            <w:r w:rsidRPr="00294E08">
              <w:rPr>
                <w:rFonts w:ascii="Arial Narrow" w:eastAsia="Calibri" w:hAnsi="Arial Narrow" w:cs="Calibri"/>
                <w:lang w:eastAsia="en-US"/>
              </w:rPr>
              <w:t>)</w:t>
            </w:r>
          </w:p>
        </w:tc>
        <w:tc>
          <w:tcPr>
            <w:tcW w:w="4188" w:type="dxa"/>
            <w:shd w:val="clear" w:color="auto" w:fill="auto"/>
            <w:vAlign w:val="center"/>
          </w:tcPr>
          <w:p w14:paraId="47DFA85B" w14:textId="77777777" w:rsidR="007968EC" w:rsidRPr="00F511E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rPr>
            </w:pPr>
            <w:r w:rsidRPr="00294E08">
              <w:rPr>
                <w:rFonts w:ascii="Arial Narrow" w:eastAsia="Calibri" w:hAnsi="Arial Narrow" w:cs="Calibri"/>
              </w:rPr>
              <w:t>Colombia (COBO) y Estados Unidos (USNY)</w:t>
            </w:r>
          </w:p>
        </w:tc>
      </w:tr>
      <w:tr w:rsidR="007968EC" w:rsidRPr="005F10B9" w14:paraId="5877D369" w14:textId="77777777" w:rsidTr="007968EC">
        <w:tc>
          <w:tcPr>
            <w:cnfStyle w:val="001000000000" w:firstRow="0" w:lastRow="0" w:firstColumn="1" w:lastColumn="0" w:oddVBand="0" w:evenVBand="0" w:oddHBand="0" w:evenHBand="0" w:firstRowFirstColumn="0" w:firstRowLastColumn="0" w:lastRowFirstColumn="0" w:lastRowLastColumn="0"/>
            <w:tcW w:w="1682" w:type="dxa"/>
            <w:vMerge w:val="restart"/>
            <w:shd w:val="clear" w:color="auto" w:fill="BFBFBF" w:themeFill="background1" w:themeFillShade="BF"/>
            <w:vAlign w:val="center"/>
          </w:tcPr>
          <w:p w14:paraId="46B9CA29" w14:textId="77777777" w:rsidR="007968EC" w:rsidRDefault="007968EC" w:rsidP="007968EC">
            <w:pPr>
              <w:jc w:val="center"/>
              <w:rPr>
                <w:rFonts w:ascii="Arial Narrow" w:hAnsi="Arial Narrow"/>
                <w:snapToGrid w:val="0"/>
                <w:color w:val="000000"/>
                <w:lang w:val="es-CO"/>
              </w:rPr>
            </w:pPr>
            <w:r w:rsidRPr="005F10B9">
              <w:rPr>
                <w:rFonts w:ascii="Arial Narrow" w:hAnsi="Arial Narrow"/>
                <w:snapToGrid w:val="0"/>
                <w:color w:val="000000"/>
                <w:lang w:val="es-CO"/>
              </w:rPr>
              <w:t>Rama Variable</w:t>
            </w:r>
          </w:p>
          <w:p w14:paraId="608D5664" w14:textId="77777777" w:rsidR="007968EC" w:rsidRPr="005F10B9" w:rsidRDefault="007968EC" w:rsidP="007968EC">
            <w:pPr>
              <w:jc w:val="center"/>
              <w:rPr>
                <w:rFonts w:ascii="Arial Narrow" w:hAnsi="Arial Narrow"/>
                <w:snapToGrid w:val="0"/>
                <w:color w:val="000000"/>
                <w:lang w:val="es-CO"/>
              </w:rPr>
            </w:pPr>
            <w:r>
              <w:rPr>
                <w:rFonts w:ascii="Arial Narrow" w:hAnsi="Arial Narrow"/>
                <w:snapToGrid w:val="0"/>
                <w:color w:val="000000"/>
                <w:lang w:val="es-CO"/>
              </w:rPr>
              <w:t>COP</w:t>
            </w:r>
          </w:p>
        </w:tc>
        <w:tc>
          <w:tcPr>
            <w:tcW w:w="562" w:type="dxa"/>
            <w:shd w:val="clear" w:color="auto" w:fill="auto"/>
            <w:vAlign w:val="center"/>
          </w:tcPr>
          <w:p w14:paraId="29382FD1"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Pr>
                <w:rFonts w:ascii="Arial Narrow" w:eastAsia="Calibri" w:hAnsi="Arial Narrow" w:cs="Calibri"/>
                <w:lang w:val="es-CO"/>
              </w:rPr>
              <w:t>24</w:t>
            </w:r>
          </w:p>
        </w:tc>
        <w:tc>
          <w:tcPr>
            <w:tcW w:w="2942" w:type="dxa"/>
            <w:shd w:val="clear" w:color="auto" w:fill="auto"/>
            <w:vAlign w:val="center"/>
          </w:tcPr>
          <w:p w14:paraId="6B8F3792" w14:textId="77777777" w:rsidR="007968EC" w:rsidRPr="005F10B9" w:rsidRDefault="007968EC" w:rsidP="007968E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eastAsia="en-US"/>
              </w:rPr>
            </w:pPr>
            <w:r w:rsidRPr="005F10B9">
              <w:rPr>
                <w:rFonts w:ascii="Arial Narrow" w:eastAsia="Calibri" w:hAnsi="Arial Narrow" w:cs="Calibri"/>
                <w:lang w:val="es-CO"/>
              </w:rPr>
              <w:t>Índice Tasa de Interés Variable</w:t>
            </w:r>
          </w:p>
        </w:tc>
        <w:tc>
          <w:tcPr>
            <w:tcW w:w="4188" w:type="dxa"/>
            <w:shd w:val="clear" w:color="auto" w:fill="auto"/>
            <w:vAlign w:val="center"/>
          </w:tcPr>
          <w:p w14:paraId="7053C34A"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hAnsi="Arial Narrow"/>
                <w:snapToGrid w:val="0"/>
                <w:color w:val="000000"/>
                <w:lang w:val="es-CO"/>
              </w:rPr>
              <w:t>IBR Overnight</w:t>
            </w:r>
          </w:p>
        </w:tc>
      </w:tr>
      <w:tr w:rsidR="007968EC" w:rsidRPr="005F10B9" w14:paraId="189B540D"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07F641C8" w14:textId="77777777" w:rsidR="007968EC" w:rsidRPr="005F10B9" w:rsidRDefault="007968EC" w:rsidP="007968EC">
            <w:pPr>
              <w:jc w:val="center"/>
              <w:rPr>
                <w:rFonts w:ascii="Arial Narrow" w:hAnsi="Arial Narrow"/>
                <w:snapToGrid w:val="0"/>
                <w:color w:val="000000"/>
                <w:lang w:val="es-CO"/>
              </w:rPr>
            </w:pPr>
          </w:p>
        </w:tc>
        <w:tc>
          <w:tcPr>
            <w:tcW w:w="562" w:type="dxa"/>
            <w:shd w:val="clear" w:color="auto" w:fill="auto"/>
            <w:vAlign w:val="center"/>
          </w:tcPr>
          <w:p w14:paraId="0D4658F2"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Pr>
                <w:rFonts w:ascii="Arial Narrow" w:eastAsia="Calibri" w:hAnsi="Arial Narrow" w:cs="Calibri"/>
                <w:lang w:val="es-CO"/>
              </w:rPr>
              <w:t>25</w:t>
            </w:r>
          </w:p>
        </w:tc>
        <w:tc>
          <w:tcPr>
            <w:tcW w:w="2942" w:type="dxa"/>
            <w:shd w:val="clear" w:color="auto" w:fill="auto"/>
            <w:vAlign w:val="center"/>
          </w:tcPr>
          <w:p w14:paraId="5ECEF3BC" w14:textId="77777777" w:rsidR="007968EC" w:rsidRPr="005F10B9" w:rsidRDefault="007968EC" w:rsidP="007968E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005F10B9">
              <w:rPr>
                <w:rFonts w:ascii="Arial Narrow" w:eastAsia="Calibri" w:hAnsi="Arial Narrow" w:cs="Calibri"/>
                <w:lang w:val="es-CO"/>
              </w:rPr>
              <w:t>Plazo del índice Variable (Periodo Regular)</w:t>
            </w:r>
          </w:p>
        </w:tc>
        <w:tc>
          <w:tcPr>
            <w:tcW w:w="4188" w:type="dxa"/>
            <w:shd w:val="clear" w:color="auto" w:fill="auto"/>
            <w:vAlign w:val="center"/>
          </w:tcPr>
          <w:p w14:paraId="44695980"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hAnsi="Arial Narrow"/>
                <w:snapToGrid w:val="0"/>
                <w:color w:val="000000"/>
                <w:lang w:val="es-CO"/>
              </w:rPr>
              <w:t>Diario</w:t>
            </w:r>
          </w:p>
        </w:tc>
      </w:tr>
      <w:tr w:rsidR="007968EC" w:rsidRPr="005F10B9" w14:paraId="3456DA26" w14:textId="77777777" w:rsidTr="007968EC">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19F43451" w14:textId="77777777" w:rsidR="007968EC" w:rsidRPr="005F10B9" w:rsidRDefault="007968EC" w:rsidP="007968EC">
            <w:pPr>
              <w:jc w:val="center"/>
              <w:rPr>
                <w:rFonts w:ascii="Arial Narrow" w:hAnsi="Arial Narrow"/>
                <w:snapToGrid w:val="0"/>
                <w:color w:val="000000"/>
              </w:rPr>
            </w:pPr>
          </w:p>
        </w:tc>
        <w:tc>
          <w:tcPr>
            <w:tcW w:w="562" w:type="dxa"/>
            <w:shd w:val="clear" w:color="auto" w:fill="auto"/>
            <w:vAlign w:val="center"/>
          </w:tcPr>
          <w:p w14:paraId="4887C6BD"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rPr>
            </w:pPr>
            <w:r>
              <w:rPr>
                <w:rFonts w:ascii="Arial Narrow" w:eastAsia="Calibri" w:hAnsi="Arial Narrow" w:cs="Calibri"/>
              </w:rPr>
              <w:t>26</w:t>
            </w:r>
          </w:p>
        </w:tc>
        <w:tc>
          <w:tcPr>
            <w:tcW w:w="2942" w:type="dxa"/>
            <w:shd w:val="clear" w:color="auto" w:fill="auto"/>
            <w:vAlign w:val="center"/>
          </w:tcPr>
          <w:p w14:paraId="1BE02D29" w14:textId="77777777" w:rsidR="007968EC" w:rsidRPr="005F10B9" w:rsidRDefault="007968EC" w:rsidP="007968E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eastAsia="en-US"/>
              </w:rPr>
            </w:pPr>
            <w:r w:rsidRPr="005F10B9">
              <w:rPr>
                <w:rFonts w:ascii="Arial Narrow" w:eastAsia="Calibri" w:hAnsi="Arial Narrow" w:cs="Calibri"/>
                <w:lang w:val="es-CO"/>
              </w:rPr>
              <w:t>Diferencial/Spread de la Rama Variable</w:t>
            </w:r>
          </w:p>
        </w:tc>
        <w:tc>
          <w:tcPr>
            <w:tcW w:w="4188" w:type="dxa"/>
            <w:shd w:val="clear" w:color="auto" w:fill="auto"/>
            <w:vAlign w:val="center"/>
          </w:tcPr>
          <w:p w14:paraId="023131F9"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rPr>
            </w:pPr>
            <w:r w:rsidRPr="005F10B9">
              <w:rPr>
                <w:rFonts w:ascii="Arial Narrow" w:hAnsi="Arial Narrow"/>
                <w:snapToGrid w:val="0"/>
                <w:color w:val="000000"/>
                <w:lang w:val="es-CO"/>
              </w:rPr>
              <w:t>N</w:t>
            </w:r>
          </w:p>
        </w:tc>
      </w:tr>
      <w:tr w:rsidR="007968EC" w:rsidRPr="005F10B9" w14:paraId="05B5B24F"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02FBC298" w14:textId="77777777" w:rsidR="007968EC" w:rsidRPr="005F10B9" w:rsidRDefault="007968EC" w:rsidP="007968EC">
            <w:pPr>
              <w:jc w:val="center"/>
              <w:rPr>
                <w:rFonts w:ascii="Arial Narrow" w:hAnsi="Arial Narrow"/>
                <w:snapToGrid w:val="0"/>
                <w:color w:val="000000"/>
              </w:rPr>
            </w:pPr>
          </w:p>
        </w:tc>
        <w:tc>
          <w:tcPr>
            <w:tcW w:w="562" w:type="dxa"/>
            <w:shd w:val="clear" w:color="auto" w:fill="auto"/>
            <w:vAlign w:val="center"/>
          </w:tcPr>
          <w:p w14:paraId="0F650316"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rPr>
            </w:pPr>
            <w:r>
              <w:rPr>
                <w:rFonts w:ascii="Arial Narrow" w:eastAsia="Calibri" w:hAnsi="Arial Narrow" w:cs="Calibri"/>
              </w:rPr>
              <w:t>27</w:t>
            </w:r>
          </w:p>
        </w:tc>
        <w:tc>
          <w:tcPr>
            <w:tcW w:w="2942" w:type="dxa"/>
            <w:shd w:val="clear" w:color="auto" w:fill="auto"/>
            <w:vAlign w:val="center"/>
          </w:tcPr>
          <w:p w14:paraId="31340982" w14:textId="77777777" w:rsidR="007968EC" w:rsidRPr="005F10B9" w:rsidRDefault="007968EC" w:rsidP="007968E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eastAsia="en-US"/>
              </w:rPr>
            </w:pPr>
            <w:r w:rsidRPr="005F10B9">
              <w:rPr>
                <w:rFonts w:ascii="Arial Narrow" w:eastAsia="Calibri" w:hAnsi="Arial Narrow" w:cs="Calibri"/>
                <w:lang w:val="es-CO"/>
              </w:rPr>
              <w:t>Tasa Negativa de la Rama Variable</w:t>
            </w:r>
          </w:p>
        </w:tc>
        <w:tc>
          <w:tcPr>
            <w:tcW w:w="4188" w:type="dxa"/>
            <w:shd w:val="clear" w:color="auto" w:fill="auto"/>
            <w:vAlign w:val="center"/>
          </w:tcPr>
          <w:p w14:paraId="345D98A5"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rPr>
            </w:pPr>
            <w:r w:rsidRPr="005F10B9">
              <w:rPr>
                <w:rFonts w:ascii="Arial Narrow" w:eastAsia="Calibri" w:hAnsi="Arial Narrow" w:cs="Calibri"/>
                <w:lang w:val="es-CO"/>
              </w:rPr>
              <w:t>Y</w:t>
            </w:r>
          </w:p>
        </w:tc>
      </w:tr>
      <w:tr w:rsidR="007968EC" w:rsidRPr="002C45A7" w14:paraId="4A6FA10C" w14:textId="77777777" w:rsidTr="007968EC">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2686354D" w14:textId="77777777" w:rsidR="007968EC" w:rsidRPr="005F10B9" w:rsidRDefault="007968EC" w:rsidP="007968EC">
            <w:pPr>
              <w:jc w:val="center"/>
              <w:rPr>
                <w:rFonts w:ascii="Arial Narrow" w:hAnsi="Arial Narrow"/>
                <w:snapToGrid w:val="0"/>
                <w:color w:val="000000"/>
              </w:rPr>
            </w:pPr>
          </w:p>
        </w:tc>
        <w:tc>
          <w:tcPr>
            <w:tcW w:w="562" w:type="dxa"/>
            <w:shd w:val="clear" w:color="auto" w:fill="auto"/>
            <w:vAlign w:val="center"/>
          </w:tcPr>
          <w:p w14:paraId="05B79215"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rPr>
            </w:pPr>
            <w:r>
              <w:rPr>
                <w:rFonts w:ascii="Arial Narrow" w:eastAsia="Calibri" w:hAnsi="Arial Narrow" w:cs="Calibri"/>
              </w:rPr>
              <w:t>28</w:t>
            </w:r>
          </w:p>
        </w:tc>
        <w:tc>
          <w:tcPr>
            <w:tcW w:w="2942" w:type="dxa"/>
            <w:shd w:val="clear" w:color="auto" w:fill="auto"/>
            <w:vAlign w:val="center"/>
          </w:tcPr>
          <w:p w14:paraId="6E6BF190" w14:textId="77777777" w:rsidR="007968EC" w:rsidRPr="005F10B9" w:rsidRDefault="007968EC" w:rsidP="007968E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eastAsia="en-US"/>
              </w:rPr>
            </w:pPr>
            <w:r w:rsidRPr="005F10B9">
              <w:rPr>
                <w:rFonts w:ascii="Arial Narrow" w:eastAsia="Calibri" w:hAnsi="Arial Narrow" w:cs="Calibri"/>
                <w:lang w:eastAsia="en-US"/>
              </w:rPr>
              <w:t xml:space="preserve">Días de Retraso para la Fijación de la Tasa Variable </w:t>
            </w:r>
            <w:r w:rsidRPr="005F10B9">
              <w:rPr>
                <w:rFonts w:ascii="Arial Narrow" w:hAnsi="Arial Narrow" w:cs="Arial"/>
                <w:color w:val="000000"/>
              </w:rPr>
              <w:t>(Standard)</w:t>
            </w:r>
          </w:p>
        </w:tc>
        <w:tc>
          <w:tcPr>
            <w:tcW w:w="4188" w:type="dxa"/>
            <w:shd w:val="clear" w:color="auto" w:fill="auto"/>
            <w:vAlign w:val="center"/>
          </w:tcPr>
          <w:p w14:paraId="3E1F1B85" w14:textId="77777777" w:rsidR="007968EC" w:rsidRPr="002C45A7"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highlight w:val="yellow"/>
              </w:rPr>
            </w:pPr>
            <w:r w:rsidRPr="005F10B9">
              <w:rPr>
                <w:rFonts w:ascii="Arial Narrow" w:eastAsia="Calibri" w:hAnsi="Arial Narrow" w:cs="Calibri"/>
                <w:lang w:val="es-CO"/>
              </w:rPr>
              <w:t>0 días</w:t>
            </w:r>
          </w:p>
        </w:tc>
      </w:tr>
      <w:tr w:rsidR="007968EC" w:rsidRPr="002C45A7" w14:paraId="7396C4AF"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37821A22" w14:textId="77777777" w:rsidR="007968EC" w:rsidRPr="005F10B9" w:rsidRDefault="007968EC" w:rsidP="007968EC">
            <w:pPr>
              <w:jc w:val="center"/>
              <w:rPr>
                <w:rFonts w:ascii="Arial Narrow" w:hAnsi="Arial Narrow"/>
                <w:snapToGrid w:val="0"/>
                <w:color w:val="000000"/>
              </w:rPr>
            </w:pPr>
          </w:p>
        </w:tc>
        <w:tc>
          <w:tcPr>
            <w:tcW w:w="562" w:type="dxa"/>
            <w:shd w:val="clear" w:color="auto" w:fill="auto"/>
            <w:vAlign w:val="center"/>
          </w:tcPr>
          <w:p w14:paraId="15315CDA"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rPr>
            </w:pPr>
            <w:r>
              <w:rPr>
                <w:rFonts w:ascii="Arial Narrow" w:eastAsia="Calibri" w:hAnsi="Arial Narrow" w:cs="Calibri"/>
              </w:rPr>
              <w:t>29</w:t>
            </w:r>
          </w:p>
        </w:tc>
        <w:tc>
          <w:tcPr>
            <w:tcW w:w="2942" w:type="dxa"/>
            <w:shd w:val="clear" w:color="auto" w:fill="auto"/>
            <w:vAlign w:val="center"/>
          </w:tcPr>
          <w:p w14:paraId="21C3CA26" w14:textId="77777777" w:rsidR="007968EC" w:rsidRPr="005F10B9" w:rsidRDefault="007968EC" w:rsidP="007968E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eastAsia="en-US"/>
              </w:rPr>
            </w:pPr>
            <w:r w:rsidRPr="005F10B9">
              <w:rPr>
                <w:rFonts w:ascii="Arial Narrow" w:eastAsia="Calibri" w:hAnsi="Arial Narrow" w:cs="Calibri"/>
                <w:lang w:val="es-CO"/>
              </w:rPr>
              <w:t>Días de Retraso para la Fijación de la Tasa Variable (Non-Standard)</w:t>
            </w:r>
          </w:p>
        </w:tc>
        <w:tc>
          <w:tcPr>
            <w:tcW w:w="4188" w:type="dxa"/>
            <w:shd w:val="clear" w:color="auto" w:fill="auto"/>
            <w:vAlign w:val="center"/>
          </w:tcPr>
          <w:p w14:paraId="6F2EDB0F" w14:textId="77777777" w:rsidR="007968EC" w:rsidRPr="002C45A7"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highlight w:val="yellow"/>
              </w:rPr>
            </w:pPr>
            <w:r w:rsidRPr="005F10B9">
              <w:rPr>
                <w:rFonts w:ascii="Arial Narrow" w:eastAsia="Calibri" w:hAnsi="Arial Narrow" w:cs="Calibri"/>
                <w:lang w:val="es-CO"/>
              </w:rPr>
              <w:t>N</w:t>
            </w:r>
          </w:p>
        </w:tc>
      </w:tr>
      <w:tr w:rsidR="007968EC" w:rsidRPr="005F10B9" w14:paraId="5DF18FE2" w14:textId="77777777" w:rsidTr="007968EC">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7A045FB0" w14:textId="77777777" w:rsidR="007968EC" w:rsidRPr="005F10B9" w:rsidRDefault="007968EC" w:rsidP="007968EC">
            <w:pPr>
              <w:jc w:val="center"/>
              <w:rPr>
                <w:rFonts w:ascii="Arial Narrow" w:hAnsi="Arial Narrow"/>
                <w:snapToGrid w:val="0"/>
                <w:color w:val="000000"/>
              </w:rPr>
            </w:pPr>
          </w:p>
        </w:tc>
        <w:tc>
          <w:tcPr>
            <w:tcW w:w="562" w:type="dxa"/>
            <w:shd w:val="clear" w:color="auto" w:fill="auto"/>
            <w:vAlign w:val="center"/>
          </w:tcPr>
          <w:p w14:paraId="14D7D55B"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rPr>
            </w:pPr>
            <w:r>
              <w:rPr>
                <w:rFonts w:ascii="Arial Narrow" w:eastAsia="Calibri" w:hAnsi="Arial Narrow" w:cs="Calibri"/>
              </w:rPr>
              <w:t>30</w:t>
            </w:r>
          </w:p>
        </w:tc>
        <w:tc>
          <w:tcPr>
            <w:tcW w:w="2942" w:type="dxa"/>
            <w:shd w:val="clear" w:color="auto" w:fill="auto"/>
            <w:vAlign w:val="center"/>
          </w:tcPr>
          <w:p w14:paraId="3720C59F" w14:textId="77777777" w:rsidR="007968EC" w:rsidRPr="005F10B9" w:rsidRDefault="007968EC" w:rsidP="007968E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eastAsia="en-US"/>
              </w:rPr>
            </w:pPr>
            <w:r w:rsidRPr="005F10B9">
              <w:rPr>
                <w:rFonts w:ascii="Arial Narrow" w:eastAsia="Calibri" w:hAnsi="Arial Narrow" w:cs="Calibri"/>
                <w:lang w:eastAsia="en-US"/>
              </w:rPr>
              <w:t>Frecuencia de Observación de la Rama Variable</w:t>
            </w:r>
          </w:p>
        </w:tc>
        <w:tc>
          <w:tcPr>
            <w:tcW w:w="4188" w:type="dxa"/>
            <w:shd w:val="clear" w:color="auto" w:fill="auto"/>
            <w:vAlign w:val="center"/>
          </w:tcPr>
          <w:p w14:paraId="7F4A3C20"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rPr>
            </w:pPr>
            <w:r w:rsidRPr="005F10B9">
              <w:rPr>
                <w:rFonts w:ascii="Arial Narrow" w:eastAsia="Calibri" w:hAnsi="Arial Narrow" w:cs="Calibri"/>
                <w:lang w:val="es-CO"/>
              </w:rPr>
              <w:t xml:space="preserve">1D </w:t>
            </w:r>
          </w:p>
        </w:tc>
      </w:tr>
      <w:tr w:rsidR="007968EC" w:rsidRPr="005F10B9" w14:paraId="53E6578E"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1729BF79" w14:textId="77777777" w:rsidR="007968EC" w:rsidRPr="005F10B9" w:rsidRDefault="007968EC" w:rsidP="007968EC">
            <w:pPr>
              <w:jc w:val="center"/>
              <w:rPr>
                <w:rFonts w:ascii="Arial Narrow" w:hAnsi="Arial Narrow"/>
                <w:snapToGrid w:val="0"/>
                <w:color w:val="000000"/>
              </w:rPr>
            </w:pPr>
          </w:p>
        </w:tc>
        <w:tc>
          <w:tcPr>
            <w:tcW w:w="562" w:type="dxa"/>
            <w:shd w:val="clear" w:color="auto" w:fill="auto"/>
            <w:vAlign w:val="center"/>
          </w:tcPr>
          <w:p w14:paraId="37A34DCA"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rPr>
            </w:pPr>
            <w:r>
              <w:rPr>
                <w:rFonts w:ascii="Arial Narrow" w:eastAsia="Calibri" w:hAnsi="Arial Narrow" w:cs="Calibri"/>
              </w:rPr>
              <w:t>31</w:t>
            </w:r>
          </w:p>
        </w:tc>
        <w:tc>
          <w:tcPr>
            <w:tcW w:w="2942" w:type="dxa"/>
            <w:shd w:val="clear" w:color="auto" w:fill="auto"/>
            <w:vAlign w:val="center"/>
          </w:tcPr>
          <w:p w14:paraId="0EEC0724" w14:textId="77777777" w:rsidR="007968EC" w:rsidRPr="005F10B9" w:rsidRDefault="007968EC" w:rsidP="007968E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eastAsia="en-US"/>
              </w:rPr>
            </w:pPr>
            <w:r w:rsidRPr="005F10B9">
              <w:rPr>
                <w:rFonts w:ascii="Arial Narrow" w:eastAsia="Calibri" w:hAnsi="Arial Narrow" w:cs="Calibri"/>
                <w:lang w:eastAsia="en-US"/>
              </w:rPr>
              <w:t>Frecuencia de Pago de la Rama Variable</w:t>
            </w:r>
          </w:p>
        </w:tc>
        <w:tc>
          <w:tcPr>
            <w:tcW w:w="4188" w:type="dxa"/>
            <w:shd w:val="clear" w:color="auto" w:fill="auto"/>
            <w:vAlign w:val="center"/>
          </w:tcPr>
          <w:p w14:paraId="0FDAB1DE"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rPr>
            </w:pPr>
            <w:r w:rsidRPr="005F10B9">
              <w:rPr>
                <w:rFonts w:ascii="Arial Narrow" w:eastAsia="Calibri" w:hAnsi="Arial Narrow" w:cs="Calibri"/>
                <w:lang w:val="es-CO"/>
              </w:rPr>
              <w:t>1m, 3m, 6m, 12m y 1T (al vencimiento)</w:t>
            </w:r>
          </w:p>
        </w:tc>
      </w:tr>
      <w:tr w:rsidR="007968EC" w:rsidRPr="005F10B9" w14:paraId="5251BE9D" w14:textId="77777777" w:rsidTr="007968EC">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46B9CE7C" w14:textId="77777777" w:rsidR="007968EC" w:rsidRPr="005F10B9" w:rsidRDefault="007968EC" w:rsidP="007968EC">
            <w:pPr>
              <w:jc w:val="center"/>
              <w:rPr>
                <w:rFonts w:ascii="Arial Narrow" w:hAnsi="Arial Narrow"/>
                <w:snapToGrid w:val="0"/>
                <w:color w:val="000000"/>
              </w:rPr>
            </w:pPr>
          </w:p>
        </w:tc>
        <w:tc>
          <w:tcPr>
            <w:tcW w:w="562" w:type="dxa"/>
            <w:shd w:val="clear" w:color="auto" w:fill="auto"/>
            <w:vAlign w:val="center"/>
          </w:tcPr>
          <w:p w14:paraId="6133341A"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rPr>
            </w:pPr>
            <w:r>
              <w:rPr>
                <w:rFonts w:ascii="Arial Narrow" w:eastAsia="Calibri" w:hAnsi="Arial Narrow" w:cs="Calibri"/>
              </w:rPr>
              <w:t>32</w:t>
            </w:r>
          </w:p>
        </w:tc>
        <w:tc>
          <w:tcPr>
            <w:tcW w:w="2942" w:type="dxa"/>
            <w:shd w:val="clear" w:color="auto" w:fill="auto"/>
            <w:vAlign w:val="center"/>
          </w:tcPr>
          <w:p w14:paraId="0462A71C" w14:textId="77777777" w:rsidR="007968EC" w:rsidRPr="005F10B9" w:rsidRDefault="007968EC" w:rsidP="007968E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eastAsia="en-US"/>
              </w:rPr>
            </w:pPr>
            <w:r w:rsidRPr="005F10B9">
              <w:rPr>
                <w:rFonts w:ascii="Arial Narrow" w:eastAsia="Calibri" w:hAnsi="Arial Narrow" w:cs="Calibri"/>
                <w:lang w:eastAsia="en-US"/>
              </w:rPr>
              <w:t>Convención de Base de Cálculo de la Rama Variable</w:t>
            </w:r>
          </w:p>
        </w:tc>
        <w:tc>
          <w:tcPr>
            <w:tcW w:w="4188" w:type="dxa"/>
            <w:shd w:val="clear" w:color="auto" w:fill="auto"/>
            <w:vAlign w:val="center"/>
          </w:tcPr>
          <w:p w14:paraId="57B19298"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rPr>
            </w:pPr>
            <w:r w:rsidRPr="005F10B9">
              <w:rPr>
                <w:rFonts w:ascii="Arial Narrow" w:eastAsia="Calibri" w:hAnsi="Arial Narrow" w:cs="Calibri"/>
                <w:lang w:val="es-CO"/>
              </w:rPr>
              <w:t>ACT/360</w:t>
            </w:r>
          </w:p>
        </w:tc>
      </w:tr>
      <w:tr w:rsidR="007968EC" w:rsidRPr="005F10B9" w14:paraId="700A8C78"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250A6E5E" w14:textId="77777777" w:rsidR="007968EC" w:rsidRPr="005F10B9" w:rsidRDefault="007968EC" w:rsidP="007968EC">
            <w:pPr>
              <w:jc w:val="center"/>
              <w:rPr>
                <w:rFonts w:ascii="Arial Narrow" w:hAnsi="Arial Narrow"/>
                <w:snapToGrid w:val="0"/>
                <w:color w:val="000000"/>
              </w:rPr>
            </w:pPr>
          </w:p>
        </w:tc>
        <w:tc>
          <w:tcPr>
            <w:tcW w:w="562" w:type="dxa"/>
            <w:shd w:val="clear" w:color="auto" w:fill="auto"/>
            <w:vAlign w:val="center"/>
          </w:tcPr>
          <w:p w14:paraId="1C38E41E"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rPr>
            </w:pPr>
            <w:r>
              <w:rPr>
                <w:rFonts w:ascii="Arial Narrow" w:eastAsia="Calibri" w:hAnsi="Arial Narrow" w:cs="Calibri"/>
              </w:rPr>
              <w:t>33</w:t>
            </w:r>
          </w:p>
        </w:tc>
        <w:tc>
          <w:tcPr>
            <w:tcW w:w="2942" w:type="dxa"/>
            <w:shd w:val="clear" w:color="auto" w:fill="auto"/>
            <w:vAlign w:val="center"/>
          </w:tcPr>
          <w:p w14:paraId="4D940FD1" w14:textId="77777777" w:rsidR="007968EC" w:rsidRPr="005F10B9" w:rsidRDefault="007968EC" w:rsidP="007968E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eastAsia="en-US"/>
              </w:rPr>
            </w:pPr>
            <w:r w:rsidRPr="005F10B9">
              <w:rPr>
                <w:rFonts w:ascii="Arial Narrow" w:eastAsia="Calibri" w:hAnsi="Arial Narrow" w:cs="Calibri"/>
              </w:rPr>
              <w:t>Método de Composición de la Rama Variable</w:t>
            </w:r>
          </w:p>
        </w:tc>
        <w:tc>
          <w:tcPr>
            <w:tcW w:w="4188" w:type="dxa"/>
            <w:shd w:val="clear" w:color="auto" w:fill="auto"/>
            <w:vAlign w:val="center"/>
          </w:tcPr>
          <w:p w14:paraId="442F9240"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rPr>
            </w:pPr>
            <w:r w:rsidRPr="005F10B9">
              <w:rPr>
                <w:rFonts w:ascii="Arial Narrow" w:eastAsia="Calibri" w:hAnsi="Arial Narrow" w:cs="Calibri"/>
                <w:lang w:val="es-CO"/>
              </w:rPr>
              <w:t>Y: Diario</w:t>
            </w:r>
          </w:p>
        </w:tc>
      </w:tr>
      <w:tr w:rsidR="007968EC" w:rsidRPr="005F10B9" w14:paraId="6D5C0FFF" w14:textId="77777777" w:rsidTr="007968EC">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5FBBD506" w14:textId="77777777" w:rsidR="007968EC" w:rsidRPr="005F10B9" w:rsidRDefault="007968EC" w:rsidP="007968EC">
            <w:pPr>
              <w:jc w:val="center"/>
              <w:rPr>
                <w:rFonts w:ascii="Arial Narrow" w:hAnsi="Arial Narrow"/>
                <w:snapToGrid w:val="0"/>
                <w:color w:val="000000"/>
              </w:rPr>
            </w:pPr>
          </w:p>
        </w:tc>
        <w:tc>
          <w:tcPr>
            <w:tcW w:w="562" w:type="dxa"/>
            <w:shd w:val="clear" w:color="auto" w:fill="auto"/>
            <w:vAlign w:val="center"/>
          </w:tcPr>
          <w:p w14:paraId="43E823B7" w14:textId="77777777" w:rsidR="007968EC"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rPr>
            </w:pPr>
            <w:r>
              <w:rPr>
                <w:rFonts w:ascii="Arial Narrow" w:eastAsia="Calibri" w:hAnsi="Arial Narrow" w:cs="Calibri"/>
              </w:rPr>
              <w:t>34</w:t>
            </w:r>
          </w:p>
        </w:tc>
        <w:tc>
          <w:tcPr>
            <w:tcW w:w="2942" w:type="dxa"/>
            <w:shd w:val="clear" w:color="auto" w:fill="auto"/>
            <w:vAlign w:val="center"/>
          </w:tcPr>
          <w:p w14:paraId="3BAF09D5"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rPr>
            </w:pPr>
            <w:r w:rsidRPr="005F10B9">
              <w:rPr>
                <w:rFonts w:ascii="Arial Narrow" w:eastAsia="Calibri" w:hAnsi="Arial Narrow" w:cs="Calibri"/>
                <w:lang w:eastAsia="en-US"/>
              </w:rPr>
              <w:t>Redondeo Tasa de Interés de la Rama Variable</w:t>
            </w:r>
          </w:p>
        </w:tc>
        <w:tc>
          <w:tcPr>
            <w:tcW w:w="4188" w:type="dxa"/>
            <w:shd w:val="clear" w:color="auto" w:fill="auto"/>
            <w:vAlign w:val="center"/>
          </w:tcPr>
          <w:p w14:paraId="45190EDD"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rPr>
            </w:pPr>
            <w:r w:rsidRPr="005F10B9">
              <w:rPr>
                <w:rFonts w:ascii="Arial Narrow" w:eastAsia="Calibri" w:hAnsi="Arial Narrow" w:cs="Calibri"/>
                <w:lang w:val="es-CO"/>
              </w:rPr>
              <w:t>Y: 5DPS</w:t>
            </w:r>
          </w:p>
        </w:tc>
      </w:tr>
      <w:tr w:rsidR="007968EC" w:rsidRPr="005F10B9" w14:paraId="7343CB62"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7FDE900F" w14:textId="77777777" w:rsidR="007968EC" w:rsidRPr="005F10B9" w:rsidRDefault="007968EC" w:rsidP="007968EC">
            <w:pPr>
              <w:jc w:val="center"/>
              <w:rPr>
                <w:rFonts w:ascii="Arial Narrow" w:hAnsi="Arial Narrow"/>
                <w:snapToGrid w:val="0"/>
                <w:color w:val="000000"/>
              </w:rPr>
            </w:pPr>
          </w:p>
        </w:tc>
        <w:tc>
          <w:tcPr>
            <w:tcW w:w="562" w:type="dxa"/>
            <w:shd w:val="clear" w:color="auto" w:fill="auto"/>
            <w:vAlign w:val="center"/>
          </w:tcPr>
          <w:p w14:paraId="18499B58" w14:textId="77777777" w:rsidR="007968EC"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rPr>
            </w:pPr>
            <w:r>
              <w:rPr>
                <w:rFonts w:ascii="Arial Narrow" w:eastAsia="Calibri" w:hAnsi="Arial Narrow" w:cs="Calibri"/>
              </w:rPr>
              <w:t>35</w:t>
            </w:r>
          </w:p>
        </w:tc>
        <w:tc>
          <w:tcPr>
            <w:tcW w:w="2942" w:type="dxa"/>
            <w:shd w:val="clear" w:color="auto" w:fill="auto"/>
            <w:vAlign w:val="center"/>
          </w:tcPr>
          <w:p w14:paraId="5AD9373D"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rPr>
            </w:pPr>
            <w:r w:rsidRPr="005F10B9">
              <w:rPr>
                <w:rFonts w:ascii="Arial Narrow" w:eastAsia="Calibri" w:hAnsi="Arial Narrow" w:cs="Calibri"/>
              </w:rPr>
              <w:t xml:space="preserve">Fijación al Final </w:t>
            </w:r>
          </w:p>
        </w:tc>
        <w:tc>
          <w:tcPr>
            <w:tcW w:w="4188" w:type="dxa"/>
            <w:shd w:val="clear" w:color="auto" w:fill="auto"/>
            <w:vAlign w:val="center"/>
          </w:tcPr>
          <w:p w14:paraId="5A2908CF"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rPr>
            </w:pPr>
            <w:r w:rsidRPr="005F10B9">
              <w:rPr>
                <w:rFonts w:ascii="Arial Narrow" w:eastAsia="Calibri" w:hAnsi="Arial Narrow" w:cs="Calibri"/>
                <w:lang w:val="es-CO"/>
              </w:rPr>
              <w:t>Y</w:t>
            </w:r>
          </w:p>
        </w:tc>
      </w:tr>
      <w:tr w:rsidR="007968EC" w:rsidRPr="005F10B9" w14:paraId="133DB9D7" w14:textId="77777777" w:rsidTr="007968EC">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0ADE54CF" w14:textId="77777777" w:rsidR="007968EC" w:rsidRPr="005F10B9" w:rsidRDefault="007968EC" w:rsidP="007968EC">
            <w:pPr>
              <w:jc w:val="center"/>
              <w:rPr>
                <w:rFonts w:ascii="Arial Narrow" w:hAnsi="Arial Narrow"/>
                <w:snapToGrid w:val="0"/>
                <w:color w:val="000000"/>
              </w:rPr>
            </w:pPr>
          </w:p>
        </w:tc>
        <w:tc>
          <w:tcPr>
            <w:tcW w:w="562" w:type="dxa"/>
            <w:shd w:val="clear" w:color="auto" w:fill="auto"/>
            <w:vAlign w:val="center"/>
          </w:tcPr>
          <w:p w14:paraId="0E683363" w14:textId="77777777" w:rsidR="007968EC" w:rsidRPr="00294E08"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rPr>
            </w:pPr>
            <w:r w:rsidRPr="00294E08">
              <w:rPr>
                <w:rFonts w:ascii="Arial Narrow" w:eastAsia="Calibri" w:hAnsi="Arial Narrow" w:cs="Calibri"/>
              </w:rPr>
              <w:t>36</w:t>
            </w:r>
          </w:p>
        </w:tc>
        <w:tc>
          <w:tcPr>
            <w:tcW w:w="2942" w:type="dxa"/>
            <w:shd w:val="clear" w:color="auto" w:fill="auto"/>
            <w:vAlign w:val="center"/>
          </w:tcPr>
          <w:p w14:paraId="4E881A8E" w14:textId="77777777" w:rsidR="007968EC" w:rsidRPr="0054674A"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rPr>
            </w:pPr>
            <w:r w:rsidRPr="00294E08">
              <w:rPr>
                <w:rFonts w:ascii="Arial Narrow" w:eastAsia="Calibri" w:hAnsi="Arial Narrow" w:cs="Calibri"/>
                <w:lang w:eastAsia="en-US"/>
              </w:rPr>
              <w:t xml:space="preserve">Calendario de Fijación </w:t>
            </w:r>
          </w:p>
        </w:tc>
        <w:tc>
          <w:tcPr>
            <w:tcW w:w="4188" w:type="dxa"/>
            <w:shd w:val="clear" w:color="auto" w:fill="auto"/>
            <w:vAlign w:val="center"/>
          </w:tcPr>
          <w:p w14:paraId="566F9F43" w14:textId="77777777" w:rsidR="007968EC" w:rsidRPr="0054674A"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rPr>
            </w:pPr>
            <w:r w:rsidRPr="00294E08">
              <w:rPr>
                <w:rFonts w:ascii="Arial Narrow" w:eastAsia="Calibri" w:hAnsi="Arial Narrow" w:cs="Calibri"/>
              </w:rPr>
              <w:t>Colombia (COBO)</w:t>
            </w:r>
          </w:p>
        </w:tc>
      </w:tr>
      <w:tr w:rsidR="007968EC" w:rsidRPr="005F10B9" w14:paraId="2EF0964C"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420F212E" w14:textId="77777777" w:rsidR="007968EC" w:rsidRPr="005F10B9" w:rsidRDefault="007968EC" w:rsidP="007968EC">
            <w:pPr>
              <w:jc w:val="center"/>
              <w:rPr>
                <w:rFonts w:ascii="Arial Narrow" w:hAnsi="Arial Narrow"/>
                <w:snapToGrid w:val="0"/>
                <w:color w:val="000000"/>
              </w:rPr>
            </w:pPr>
          </w:p>
        </w:tc>
        <w:tc>
          <w:tcPr>
            <w:tcW w:w="562" w:type="dxa"/>
            <w:shd w:val="clear" w:color="auto" w:fill="auto"/>
            <w:vAlign w:val="center"/>
          </w:tcPr>
          <w:p w14:paraId="5978C4C4" w14:textId="77777777" w:rsidR="007968EC" w:rsidRPr="00294E08"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rPr>
            </w:pPr>
            <w:r w:rsidRPr="00294E08">
              <w:rPr>
                <w:rFonts w:ascii="Arial Narrow" w:eastAsia="Calibri" w:hAnsi="Arial Narrow" w:cs="Calibri"/>
              </w:rPr>
              <w:t>37</w:t>
            </w:r>
          </w:p>
        </w:tc>
        <w:tc>
          <w:tcPr>
            <w:tcW w:w="2942" w:type="dxa"/>
            <w:shd w:val="clear" w:color="auto" w:fill="auto"/>
            <w:vAlign w:val="center"/>
          </w:tcPr>
          <w:p w14:paraId="092171FE" w14:textId="77777777" w:rsidR="007968EC" w:rsidRPr="0054674A"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rPr>
            </w:pPr>
            <w:r w:rsidRPr="00294E08">
              <w:rPr>
                <w:rFonts w:ascii="Arial Narrow" w:eastAsia="Calibri" w:hAnsi="Arial Narrow" w:cs="Calibri"/>
                <w:lang w:eastAsia="en-US"/>
              </w:rPr>
              <w:t>Calendario de Pago</w:t>
            </w:r>
          </w:p>
        </w:tc>
        <w:tc>
          <w:tcPr>
            <w:tcW w:w="4188" w:type="dxa"/>
            <w:shd w:val="clear" w:color="auto" w:fill="auto"/>
            <w:vAlign w:val="center"/>
          </w:tcPr>
          <w:p w14:paraId="631EC821" w14:textId="77777777" w:rsidR="007968EC" w:rsidRPr="0054674A"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rPr>
            </w:pPr>
            <w:r w:rsidRPr="00294E08">
              <w:rPr>
                <w:rFonts w:ascii="Arial Narrow" w:eastAsia="Calibri" w:hAnsi="Arial Narrow" w:cs="Calibri"/>
              </w:rPr>
              <w:t>Colombia (COBO) y Estados Unidos (USNY)</w:t>
            </w:r>
          </w:p>
        </w:tc>
      </w:tr>
      <w:tr w:rsidR="007968EC" w:rsidRPr="005F10B9" w14:paraId="65DABEDE" w14:textId="77777777" w:rsidTr="007968EC">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5EC2A232" w14:textId="77777777" w:rsidR="007968EC" w:rsidRPr="005F10B9" w:rsidRDefault="007968EC" w:rsidP="007968EC">
            <w:pPr>
              <w:jc w:val="center"/>
              <w:rPr>
                <w:rFonts w:ascii="Arial Narrow" w:hAnsi="Arial Narrow"/>
                <w:snapToGrid w:val="0"/>
                <w:color w:val="000000"/>
              </w:rPr>
            </w:pPr>
          </w:p>
        </w:tc>
        <w:tc>
          <w:tcPr>
            <w:tcW w:w="562" w:type="dxa"/>
            <w:shd w:val="clear" w:color="auto" w:fill="auto"/>
            <w:vAlign w:val="center"/>
          </w:tcPr>
          <w:p w14:paraId="6BD54808" w14:textId="77777777" w:rsidR="007968EC" w:rsidRPr="00294E08"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rPr>
            </w:pPr>
            <w:r w:rsidRPr="00294E08">
              <w:rPr>
                <w:rFonts w:ascii="Arial Narrow" w:eastAsia="Calibri" w:hAnsi="Arial Narrow" w:cs="Calibri"/>
              </w:rPr>
              <w:t>38</w:t>
            </w:r>
          </w:p>
        </w:tc>
        <w:tc>
          <w:tcPr>
            <w:tcW w:w="2942" w:type="dxa"/>
            <w:shd w:val="clear" w:color="auto" w:fill="auto"/>
            <w:vAlign w:val="center"/>
          </w:tcPr>
          <w:p w14:paraId="70393C03" w14:textId="77777777" w:rsidR="007968EC" w:rsidRPr="00294E08" w:rsidRDefault="007968EC" w:rsidP="007968E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eastAsia="en-US"/>
              </w:rPr>
            </w:pPr>
            <w:r w:rsidRPr="00294E08">
              <w:rPr>
                <w:rFonts w:ascii="Arial Narrow" w:eastAsia="Calibri" w:hAnsi="Arial Narrow" w:cs="Calibri"/>
                <w:lang w:eastAsia="en-US"/>
              </w:rPr>
              <w:t>Calendario de Valoración</w:t>
            </w:r>
          </w:p>
          <w:p w14:paraId="5EC02883" w14:textId="77777777" w:rsidR="007968EC" w:rsidRPr="0054674A"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rPr>
            </w:pPr>
            <w:r w:rsidRPr="00294E08">
              <w:rPr>
                <w:rFonts w:ascii="Arial Narrow" w:eastAsia="Calibri" w:hAnsi="Arial Narrow" w:cs="Calibri"/>
                <w:lang w:eastAsia="en-US"/>
              </w:rPr>
              <w:t>(</w:t>
            </w:r>
            <w:proofErr w:type="spellStart"/>
            <w:r w:rsidRPr="00294E08">
              <w:rPr>
                <w:rFonts w:ascii="Arial Narrow" w:eastAsia="Calibri" w:hAnsi="Arial Narrow" w:cs="Calibri"/>
                <w:lang w:eastAsia="en-US"/>
              </w:rPr>
              <w:t>Accrual</w:t>
            </w:r>
            <w:proofErr w:type="spellEnd"/>
            <w:r w:rsidRPr="00294E08">
              <w:rPr>
                <w:rFonts w:ascii="Arial Narrow" w:eastAsia="Calibri" w:hAnsi="Arial Narrow" w:cs="Calibri"/>
                <w:lang w:eastAsia="en-US"/>
              </w:rPr>
              <w:t>)</w:t>
            </w:r>
          </w:p>
        </w:tc>
        <w:tc>
          <w:tcPr>
            <w:tcW w:w="4188" w:type="dxa"/>
            <w:shd w:val="clear" w:color="auto" w:fill="auto"/>
            <w:vAlign w:val="center"/>
          </w:tcPr>
          <w:p w14:paraId="0CDF1950" w14:textId="77777777" w:rsidR="007968EC" w:rsidRPr="0054674A"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rPr>
            </w:pPr>
            <w:r w:rsidRPr="00294E08">
              <w:rPr>
                <w:rFonts w:ascii="Arial Narrow" w:eastAsia="Calibri" w:hAnsi="Arial Narrow" w:cs="Calibri"/>
              </w:rPr>
              <w:t>Colombia (COBO) y Estados Unidos (USNY)</w:t>
            </w:r>
          </w:p>
        </w:tc>
      </w:tr>
      <w:tr w:rsidR="007968EC" w:rsidRPr="005F10B9" w14:paraId="7434EB16"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Merge w:val="restart"/>
            <w:shd w:val="clear" w:color="auto" w:fill="BFBFBF" w:themeFill="background1" w:themeFillShade="BF"/>
            <w:vAlign w:val="center"/>
          </w:tcPr>
          <w:p w14:paraId="13D93C51" w14:textId="77777777" w:rsidR="007968EC" w:rsidRPr="005F10B9" w:rsidRDefault="007968EC" w:rsidP="007968EC">
            <w:pPr>
              <w:jc w:val="center"/>
              <w:rPr>
                <w:rFonts w:ascii="Arial Narrow" w:hAnsi="Arial Narrow"/>
                <w:snapToGrid w:val="0"/>
                <w:color w:val="000000"/>
                <w:lang w:val="es-CO"/>
              </w:rPr>
            </w:pPr>
            <w:r w:rsidRPr="005F10B9">
              <w:rPr>
                <w:rFonts w:ascii="Arial Narrow" w:hAnsi="Arial Narrow"/>
                <w:snapToGrid w:val="0"/>
                <w:color w:val="000000"/>
                <w:lang w:val="es-CO"/>
              </w:rPr>
              <w:t>Periodo Roto</w:t>
            </w:r>
          </w:p>
        </w:tc>
        <w:tc>
          <w:tcPr>
            <w:tcW w:w="562" w:type="dxa"/>
            <w:shd w:val="clear" w:color="auto" w:fill="auto"/>
            <w:vAlign w:val="center"/>
          </w:tcPr>
          <w:p w14:paraId="0FEBB7F6"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Pr>
                <w:rFonts w:ascii="Arial Narrow" w:eastAsia="Calibri" w:hAnsi="Arial Narrow" w:cs="Calibri"/>
              </w:rPr>
              <w:t>39</w:t>
            </w:r>
          </w:p>
        </w:tc>
        <w:tc>
          <w:tcPr>
            <w:tcW w:w="2942" w:type="dxa"/>
            <w:shd w:val="clear" w:color="auto" w:fill="auto"/>
            <w:vAlign w:val="center"/>
          </w:tcPr>
          <w:p w14:paraId="60FD053F"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Método de Interpolación de la Rama Variable con Periodos Rotos (Y/N)</w:t>
            </w:r>
          </w:p>
        </w:tc>
        <w:tc>
          <w:tcPr>
            <w:tcW w:w="4188" w:type="dxa"/>
            <w:shd w:val="clear" w:color="auto" w:fill="auto"/>
            <w:vAlign w:val="center"/>
          </w:tcPr>
          <w:p w14:paraId="65BF3A85"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 xml:space="preserve">N </w:t>
            </w:r>
          </w:p>
        </w:tc>
      </w:tr>
      <w:tr w:rsidR="007968EC" w:rsidRPr="005F10B9" w14:paraId="1BFC1CB6" w14:textId="77777777" w:rsidTr="007968EC">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2D2BA4FA" w14:textId="77777777" w:rsidR="007968EC" w:rsidRPr="005F10B9" w:rsidRDefault="007968EC" w:rsidP="007968EC">
            <w:pPr>
              <w:jc w:val="center"/>
              <w:rPr>
                <w:rFonts w:ascii="Arial Narrow" w:hAnsi="Arial Narrow"/>
                <w:snapToGrid w:val="0"/>
                <w:color w:val="000000"/>
                <w:lang w:val="es-CO"/>
              </w:rPr>
            </w:pPr>
          </w:p>
        </w:tc>
        <w:tc>
          <w:tcPr>
            <w:tcW w:w="562" w:type="dxa"/>
            <w:shd w:val="clear" w:color="auto" w:fill="auto"/>
            <w:vAlign w:val="center"/>
          </w:tcPr>
          <w:p w14:paraId="7E64D991"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Pr>
                <w:rFonts w:ascii="Arial Narrow" w:eastAsia="Calibri" w:hAnsi="Arial Narrow" w:cs="Calibri"/>
              </w:rPr>
              <w:t>40</w:t>
            </w:r>
          </w:p>
        </w:tc>
        <w:tc>
          <w:tcPr>
            <w:tcW w:w="2942" w:type="dxa"/>
            <w:shd w:val="clear" w:color="auto" w:fill="auto"/>
            <w:vAlign w:val="center"/>
          </w:tcPr>
          <w:p w14:paraId="7DFB8C34"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Periodo Roto al Inicio y al Final (Y/N)</w:t>
            </w:r>
          </w:p>
        </w:tc>
        <w:tc>
          <w:tcPr>
            <w:tcW w:w="4188" w:type="dxa"/>
            <w:shd w:val="clear" w:color="auto" w:fill="auto"/>
            <w:vAlign w:val="center"/>
          </w:tcPr>
          <w:p w14:paraId="363EA2E6"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N</w:t>
            </w:r>
          </w:p>
        </w:tc>
      </w:tr>
      <w:tr w:rsidR="007968EC" w:rsidRPr="005F10B9" w14:paraId="2B0913D9"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31E62CB6" w14:textId="77777777" w:rsidR="007968EC" w:rsidRPr="005F10B9" w:rsidRDefault="007968EC" w:rsidP="007968EC">
            <w:pPr>
              <w:jc w:val="center"/>
              <w:rPr>
                <w:rFonts w:ascii="Arial Narrow" w:hAnsi="Arial Narrow"/>
                <w:snapToGrid w:val="0"/>
                <w:color w:val="000000"/>
                <w:lang w:val="es-CO"/>
              </w:rPr>
            </w:pPr>
          </w:p>
        </w:tc>
        <w:tc>
          <w:tcPr>
            <w:tcW w:w="562" w:type="dxa"/>
            <w:shd w:val="clear" w:color="auto" w:fill="auto"/>
            <w:vAlign w:val="center"/>
          </w:tcPr>
          <w:p w14:paraId="664E1D9A"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Pr>
                <w:rFonts w:ascii="Arial Narrow" w:eastAsia="Calibri" w:hAnsi="Arial Narrow" w:cs="Calibri"/>
              </w:rPr>
              <w:t>41</w:t>
            </w:r>
          </w:p>
        </w:tc>
        <w:tc>
          <w:tcPr>
            <w:tcW w:w="2942" w:type="dxa"/>
            <w:shd w:val="clear" w:color="auto" w:fill="auto"/>
            <w:vAlign w:val="center"/>
          </w:tcPr>
          <w:p w14:paraId="5DD294D4"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Plazo del Índice Variable para el Periodo Roto al Inicio</w:t>
            </w:r>
          </w:p>
        </w:tc>
        <w:tc>
          <w:tcPr>
            <w:tcW w:w="4188" w:type="dxa"/>
            <w:shd w:val="clear" w:color="auto" w:fill="auto"/>
            <w:vAlign w:val="center"/>
          </w:tcPr>
          <w:p w14:paraId="72A47AD4"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N</w:t>
            </w:r>
          </w:p>
        </w:tc>
      </w:tr>
      <w:tr w:rsidR="007968EC" w:rsidRPr="005F10B9" w14:paraId="352B7FCC" w14:textId="77777777" w:rsidTr="007968EC">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164B36FD" w14:textId="77777777" w:rsidR="007968EC" w:rsidRPr="005F10B9" w:rsidRDefault="007968EC" w:rsidP="007968EC">
            <w:pPr>
              <w:jc w:val="center"/>
              <w:rPr>
                <w:rFonts w:ascii="Arial Narrow" w:hAnsi="Arial Narrow"/>
                <w:snapToGrid w:val="0"/>
                <w:color w:val="000000"/>
                <w:lang w:val="es-CO"/>
              </w:rPr>
            </w:pPr>
          </w:p>
        </w:tc>
        <w:tc>
          <w:tcPr>
            <w:tcW w:w="562" w:type="dxa"/>
            <w:shd w:val="clear" w:color="auto" w:fill="auto"/>
            <w:vAlign w:val="center"/>
          </w:tcPr>
          <w:p w14:paraId="5E894281"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Pr>
                <w:rFonts w:ascii="Arial Narrow" w:eastAsia="Calibri" w:hAnsi="Arial Narrow" w:cs="Calibri"/>
              </w:rPr>
              <w:t>42</w:t>
            </w:r>
          </w:p>
        </w:tc>
        <w:tc>
          <w:tcPr>
            <w:tcW w:w="2942" w:type="dxa"/>
            <w:shd w:val="clear" w:color="auto" w:fill="auto"/>
            <w:vAlign w:val="center"/>
          </w:tcPr>
          <w:p w14:paraId="52C92A5A"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Plazo del Índice Variable para el Periodo Roto al Final</w:t>
            </w:r>
          </w:p>
        </w:tc>
        <w:tc>
          <w:tcPr>
            <w:tcW w:w="4188" w:type="dxa"/>
            <w:shd w:val="clear" w:color="auto" w:fill="auto"/>
            <w:vAlign w:val="center"/>
          </w:tcPr>
          <w:p w14:paraId="0A6A9039"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 xml:space="preserve">N </w:t>
            </w:r>
          </w:p>
        </w:tc>
      </w:tr>
      <w:tr w:rsidR="007968EC" w:rsidRPr="005F10B9" w14:paraId="5958EC7A"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60D28B93" w14:textId="77777777" w:rsidR="007968EC" w:rsidRPr="005F10B9" w:rsidRDefault="007968EC" w:rsidP="007968EC">
            <w:pPr>
              <w:jc w:val="center"/>
              <w:rPr>
                <w:rFonts w:ascii="Arial Narrow" w:hAnsi="Arial Narrow"/>
                <w:snapToGrid w:val="0"/>
                <w:color w:val="000000"/>
                <w:lang w:val="es-CO"/>
              </w:rPr>
            </w:pPr>
          </w:p>
        </w:tc>
        <w:tc>
          <w:tcPr>
            <w:tcW w:w="562" w:type="dxa"/>
            <w:shd w:val="clear" w:color="auto" w:fill="auto"/>
            <w:vAlign w:val="center"/>
          </w:tcPr>
          <w:p w14:paraId="084177C6"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Pr>
                <w:rFonts w:ascii="Arial Narrow" w:eastAsia="Calibri" w:hAnsi="Arial Narrow" w:cs="Calibri"/>
              </w:rPr>
              <w:t>43</w:t>
            </w:r>
          </w:p>
        </w:tc>
        <w:tc>
          <w:tcPr>
            <w:tcW w:w="2942" w:type="dxa"/>
            <w:shd w:val="clear" w:color="auto" w:fill="auto"/>
            <w:vAlign w:val="center"/>
          </w:tcPr>
          <w:p w14:paraId="529C9396"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 xml:space="preserve">Periodo Roto Mínimo en Días </w:t>
            </w:r>
          </w:p>
        </w:tc>
        <w:tc>
          <w:tcPr>
            <w:tcW w:w="4188" w:type="dxa"/>
            <w:shd w:val="clear" w:color="auto" w:fill="auto"/>
            <w:vAlign w:val="center"/>
          </w:tcPr>
          <w:p w14:paraId="5BD6C538"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N</w:t>
            </w:r>
          </w:p>
        </w:tc>
      </w:tr>
      <w:tr w:rsidR="007968EC" w:rsidRPr="005F10B9" w14:paraId="103B39FE" w14:textId="77777777" w:rsidTr="007968EC">
        <w:tc>
          <w:tcPr>
            <w:cnfStyle w:val="001000000000" w:firstRow="0" w:lastRow="0" w:firstColumn="1" w:lastColumn="0" w:oddVBand="0" w:evenVBand="0" w:oddHBand="0" w:evenHBand="0" w:firstRowFirstColumn="0" w:firstRowLastColumn="0" w:lastRowFirstColumn="0" w:lastRowLastColumn="0"/>
            <w:tcW w:w="1682" w:type="dxa"/>
            <w:vMerge w:val="restart"/>
            <w:shd w:val="clear" w:color="auto" w:fill="BFBFBF" w:themeFill="background1" w:themeFillShade="BF"/>
            <w:vAlign w:val="center"/>
          </w:tcPr>
          <w:p w14:paraId="4374FD2E" w14:textId="77777777" w:rsidR="007968EC" w:rsidRPr="005F10B9" w:rsidRDefault="007968EC" w:rsidP="007968EC">
            <w:pPr>
              <w:jc w:val="center"/>
              <w:rPr>
                <w:rFonts w:ascii="Arial Narrow" w:hAnsi="Arial Narrow"/>
                <w:snapToGrid w:val="0"/>
                <w:color w:val="000000"/>
                <w:lang w:val="es-CO"/>
              </w:rPr>
            </w:pPr>
            <w:r w:rsidRPr="005F10B9">
              <w:rPr>
                <w:rFonts w:ascii="Arial Narrow" w:hAnsi="Arial Narrow"/>
                <w:snapToGrid w:val="0"/>
                <w:color w:val="000000"/>
                <w:lang w:val="es-CO"/>
              </w:rPr>
              <w:t>Pagos Adicionales</w:t>
            </w:r>
          </w:p>
        </w:tc>
        <w:tc>
          <w:tcPr>
            <w:tcW w:w="562" w:type="dxa"/>
            <w:shd w:val="clear" w:color="auto" w:fill="auto"/>
            <w:vAlign w:val="center"/>
          </w:tcPr>
          <w:p w14:paraId="7A21A706"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Pr>
                <w:rFonts w:ascii="Arial Narrow" w:eastAsia="Calibri" w:hAnsi="Arial Narrow" w:cs="Calibri"/>
              </w:rPr>
              <w:t>44</w:t>
            </w:r>
          </w:p>
        </w:tc>
        <w:tc>
          <w:tcPr>
            <w:tcW w:w="2942" w:type="dxa"/>
            <w:shd w:val="clear" w:color="auto" w:fill="auto"/>
            <w:vAlign w:val="center"/>
          </w:tcPr>
          <w:p w14:paraId="78117ECC"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Fecha de Pago Adicional. Valor Mínimo</w:t>
            </w:r>
          </w:p>
        </w:tc>
        <w:tc>
          <w:tcPr>
            <w:tcW w:w="4188" w:type="dxa"/>
            <w:shd w:val="clear" w:color="auto" w:fill="auto"/>
            <w:vAlign w:val="center"/>
          </w:tcPr>
          <w:p w14:paraId="523A4E6C"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Y (Fecha Pago Adicional &gt; d)</w:t>
            </w:r>
          </w:p>
          <w:p w14:paraId="21DF57E2"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 xml:space="preserve">d = Fecha de Registro de la Operación </w:t>
            </w:r>
          </w:p>
        </w:tc>
      </w:tr>
      <w:tr w:rsidR="007968EC" w:rsidRPr="005F10B9" w14:paraId="58F9B246"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4B2C844A" w14:textId="77777777" w:rsidR="007968EC" w:rsidRPr="005F10B9" w:rsidRDefault="007968EC" w:rsidP="007968EC">
            <w:pPr>
              <w:jc w:val="center"/>
              <w:rPr>
                <w:rFonts w:ascii="Arial Narrow" w:hAnsi="Arial Narrow"/>
                <w:snapToGrid w:val="0"/>
                <w:color w:val="000000"/>
                <w:lang w:val="es-CO"/>
              </w:rPr>
            </w:pPr>
          </w:p>
        </w:tc>
        <w:tc>
          <w:tcPr>
            <w:tcW w:w="562" w:type="dxa"/>
            <w:shd w:val="clear" w:color="auto" w:fill="auto"/>
            <w:vAlign w:val="center"/>
          </w:tcPr>
          <w:p w14:paraId="05DBDB82"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Pr>
                <w:rFonts w:ascii="Arial Narrow" w:eastAsia="Calibri" w:hAnsi="Arial Narrow" w:cs="Calibri"/>
              </w:rPr>
              <w:t>45</w:t>
            </w:r>
          </w:p>
        </w:tc>
        <w:tc>
          <w:tcPr>
            <w:tcW w:w="2942" w:type="dxa"/>
            <w:shd w:val="clear" w:color="auto" w:fill="auto"/>
            <w:vAlign w:val="center"/>
          </w:tcPr>
          <w:p w14:paraId="5E80CEC9"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Fecha de Pago Adicional. Valor Máximo</w:t>
            </w:r>
          </w:p>
        </w:tc>
        <w:tc>
          <w:tcPr>
            <w:tcW w:w="4188" w:type="dxa"/>
            <w:shd w:val="clear" w:color="auto" w:fill="auto"/>
            <w:vAlign w:val="center"/>
          </w:tcPr>
          <w:p w14:paraId="0E89D694"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(Fecha Pago Adicional &lt;= Fecha de Vencimiento)</w:t>
            </w:r>
          </w:p>
        </w:tc>
      </w:tr>
      <w:tr w:rsidR="007968EC" w:rsidRPr="005F10B9" w14:paraId="4B499566" w14:textId="77777777" w:rsidTr="007968EC">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7E38FE58" w14:textId="77777777" w:rsidR="007968EC" w:rsidRPr="005F10B9" w:rsidRDefault="007968EC" w:rsidP="007968EC">
            <w:pPr>
              <w:jc w:val="center"/>
              <w:rPr>
                <w:rFonts w:ascii="Arial Narrow" w:hAnsi="Arial Narrow"/>
                <w:snapToGrid w:val="0"/>
                <w:color w:val="000000"/>
                <w:lang w:val="es-CO"/>
              </w:rPr>
            </w:pPr>
          </w:p>
        </w:tc>
        <w:tc>
          <w:tcPr>
            <w:tcW w:w="562" w:type="dxa"/>
            <w:shd w:val="clear" w:color="auto" w:fill="auto"/>
            <w:vAlign w:val="center"/>
          </w:tcPr>
          <w:p w14:paraId="6B826AC8"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Pr>
                <w:rFonts w:ascii="Arial Narrow" w:eastAsia="Calibri" w:hAnsi="Arial Narrow" w:cs="Calibri"/>
                <w:lang w:val="es-CO"/>
              </w:rPr>
              <w:t>46</w:t>
            </w:r>
          </w:p>
        </w:tc>
        <w:tc>
          <w:tcPr>
            <w:tcW w:w="2942" w:type="dxa"/>
            <w:shd w:val="clear" w:color="auto" w:fill="auto"/>
            <w:vAlign w:val="center"/>
          </w:tcPr>
          <w:p w14:paraId="05475B65"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 xml:space="preserve">Divisa del Pago Adicional </w:t>
            </w:r>
          </w:p>
        </w:tc>
        <w:tc>
          <w:tcPr>
            <w:tcW w:w="4188" w:type="dxa"/>
            <w:shd w:val="clear" w:color="auto" w:fill="auto"/>
            <w:vAlign w:val="center"/>
          </w:tcPr>
          <w:p w14:paraId="1D89D1FD"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COP</w:t>
            </w:r>
          </w:p>
        </w:tc>
      </w:tr>
      <w:tr w:rsidR="007968EC" w:rsidRPr="005F10B9" w14:paraId="571431E7" w14:textId="77777777" w:rsidTr="007968EC">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60F556A0" w14:textId="77777777" w:rsidR="007968EC" w:rsidRPr="005F10B9" w:rsidRDefault="007968EC" w:rsidP="007968EC">
            <w:pPr>
              <w:jc w:val="center"/>
              <w:rPr>
                <w:rFonts w:ascii="Arial Narrow" w:hAnsi="Arial Narrow"/>
                <w:snapToGrid w:val="0"/>
                <w:color w:val="000000"/>
                <w:lang w:val="es-CO"/>
              </w:rPr>
            </w:pPr>
          </w:p>
        </w:tc>
        <w:tc>
          <w:tcPr>
            <w:tcW w:w="562" w:type="dxa"/>
            <w:shd w:val="clear" w:color="auto" w:fill="auto"/>
            <w:vAlign w:val="center"/>
          </w:tcPr>
          <w:p w14:paraId="3F091988"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Pr>
                <w:rFonts w:ascii="Arial Narrow" w:eastAsia="Calibri" w:hAnsi="Arial Narrow" w:cs="Calibri"/>
                <w:lang w:val="es-CO"/>
              </w:rPr>
              <w:t>47</w:t>
            </w:r>
          </w:p>
        </w:tc>
        <w:tc>
          <w:tcPr>
            <w:tcW w:w="2942" w:type="dxa"/>
            <w:shd w:val="clear" w:color="auto" w:fill="auto"/>
            <w:vAlign w:val="center"/>
          </w:tcPr>
          <w:p w14:paraId="5B255557"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Número de Pagos Adicionales</w:t>
            </w:r>
          </w:p>
        </w:tc>
        <w:tc>
          <w:tcPr>
            <w:tcW w:w="4188" w:type="dxa"/>
            <w:shd w:val="clear" w:color="auto" w:fill="auto"/>
            <w:vAlign w:val="center"/>
          </w:tcPr>
          <w:p w14:paraId="4247C9C4"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 xml:space="preserve">Máximo </w:t>
            </w:r>
            <w:r>
              <w:rPr>
                <w:rFonts w:ascii="Arial Narrow" w:eastAsia="Calibri" w:hAnsi="Arial Narrow" w:cs="Calibri"/>
                <w:lang w:val="es-CO"/>
              </w:rPr>
              <w:t>1</w:t>
            </w:r>
          </w:p>
        </w:tc>
      </w:tr>
      <w:tr w:rsidR="007968EC" w:rsidRPr="00625FDF" w14:paraId="7E6D226B" w14:textId="77777777" w:rsidTr="007968EC">
        <w:tc>
          <w:tcPr>
            <w:cnfStyle w:val="001000000000" w:firstRow="0" w:lastRow="0" w:firstColumn="1" w:lastColumn="0" w:oddVBand="0" w:evenVBand="0" w:oddHBand="0" w:evenHBand="0" w:firstRowFirstColumn="0" w:firstRowLastColumn="0" w:lastRowFirstColumn="0" w:lastRowLastColumn="0"/>
            <w:tcW w:w="1682" w:type="dxa"/>
            <w:vMerge w:val="restart"/>
            <w:shd w:val="clear" w:color="auto" w:fill="BFBFBF" w:themeFill="background1" w:themeFillShade="BF"/>
            <w:vAlign w:val="center"/>
          </w:tcPr>
          <w:p w14:paraId="3CCB529F" w14:textId="77777777" w:rsidR="007968EC" w:rsidRPr="005F10B9" w:rsidRDefault="007968EC" w:rsidP="007968EC">
            <w:pPr>
              <w:jc w:val="center"/>
              <w:rPr>
                <w:rFonts w:ascii="Arial Narrow" w:hAnsi="Arial Narrow"/>
                <w:snapToGrid w:val="0"/>
                <w:color w:val="000000"/>
                <w:lang w:val="es-CO"/>
              </w:rPr>
            </w:pPr>
            <w:r w:rsidRPr="005F10B9">
              <w:rPr>
                <w:rFonts w:ascii="Arial Narrow" w:hAnsi="Arial Narrow"/>
                <w:snapToGrid w:val="0"/>
                <w:color w:val="000000"/>
                <w:lang w:val="es-CO"/>
              </w:rPr>
              <w:t>Fechas Ajustadas &amp; Fecha de Corte de los Periodos</w:t>
            </w:r>
          </w:p>
        </w:tc>
        <w:tc>
          <w:tcPr>
            <w:tcW w:w="562" w:type="dxa"/>
            <w:shd w:val="clear" w:color="auto" w:fill="auto"/>
            <w:vAlign w:val="center"/>
          </w:tcPr>
          <w:p w14:paraId="5F2D6039"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Pr>
                <w:rFonts w:ascii="Arial Narrow" w:eastAsia="Calibri" w:hAnsi="Arial Narrow" w:cs="Calibri"/>
                <w:lang w:val="es-CO"/>
              </w:rPr>
              <w:t>48</w:t>
            </w:r>
          </w:p>
        </w:tc>
        <w:tc>
          <w:tcPr>
            <w:tcW w:w="2942" w:type="dxa"/>
            <w:shd w:val="clear" w:color="auto" w:fill="auto"/>
            <w:vAlign w:val="center"/>
          </w:tcPr>
          <w:p w14:paraId="6AD148F7"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Convención de Días Hábiles</w:t>
            </w:r>
          </w:p>
        </w:tc>
        <w:tc>
          <w:tcPr>
            <w:tcW w:w="4188" w:type="dxa"/>
            <w:shd w:val="clear" w:color="auto" w:fill="auto"/>
            <w:vAlign w:val="center"/>
          </w:tcPr>
          <w:p w14:paraId="79E918E6" w14:textId="77777777" w:rsidR="007968EC" w:rsidRPr="00625FDF"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n-US"/>
              </w:rPr>
            </w:pPr>
            <w:r w:rsidRPr="00625FDF">
              <w:rPr>
                <w:rFonts w:ascii="Arial Narrow" w:eastAsia="Calibri" w:hAnsi="Arial Narrow" w:cs="Calibri"/>
                <w:lang w:val="en-US"/>
              </w:rPr>
              <w:t>Modified Following</w:t>
            </w:r>
          </w:p>
        </w:tc>
      </w:tr>
      <w:tr w:rsidR="007968EC" w:rsidRPr="005F10B9" w14:paraId="023245D6"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3BCE4E3E" w14:textId="77777777" w:rsidR="007968EC" w:rsidRPr="00625FDF" w:rsidRDefault="007968EC" w:rsidP="007968EC">
            <w:pPr>
              <w:jc w:val="center"/>
              <w:rPr>
                <w:rFonts w:ascii="Arial Narrow" w:hAnsi="Arial Narrow"/>
                <w:snapToGrid w:val="0"/>
                <w:color w:val="000000"/>
                <w:lang w:val="en-US"/>
              </w:rPr>
            </w:pPr>
          </w:p>
        </w:tc>
        <w:tc>
          <w:tcPr>
            <w:tcW w:w="562" w:type="dxa"/>
            <w:shd w:val="clear" w:color="auto" w:fill="auto"/>
            <w:vAlign w:val="center"/>
          </w:tcPr>
          <w:p w14:paraId="749C8599"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Pr>
                <w:rFonts w:ascii="Arial Narrow" w:eastAsia="Calibri" w:hAnsi="Arial Narrow" w:cs="Calibri"/>
                <w:lang w:val="es-CO"/>
              </w:rPr>
              <w:t>49</w:t>
            </w:r>
          </w:p>
        </w:tc>
        <w:tc>
          <w:tcPr>
            <w:tcW w:w="2942" w:type="dxa"/>
            <w:shd w:val="clear" w:color="auto" w:fill="auto"/>
            <w:vAlign w:val="center"/>
          </w:tcPr>
          <w:p w14:paraId="33BE400F"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 xml:space="preserve">Fechas Ajustadas </w:t>
            </w:r>
          </w:p>
        </w:tc>
        <w:tc>
          <w:tcPr>
            <w:tcW w:w="4188" w:type="dxa"/>
            <w:shd w:val="clear" w:color="auto" w:fill="auto"/>
            <w:vAlign w:val="center"/>
          </w:tcPr>
          <w:p w14:paraId="24AC547F"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hAnsi="Arial Narrow"/>
                <w:lang w:val="es-CO"/>
              </w:rPr>
            </w:pPr>
            <w:r w:rsidRPr="005F10B9">
              <w:rPr>
                <w:rFonts w:ascii="Arial Narrow" w:hAnsi="Arial Narrow"/>
                <w:lang w:val="es-CO"/>
              </w:rPr>
              <w:t>Las Ramas Fija y Variable tendrán ajustadas las siguientes fechas: i) Fecha Efectiva, ii) Fecha fin de periodo, iii) Fecha de Vencimiento y iv) Fecha de Liquidación.</w:t>
            </w:r>
          </w:p>
        </w:tc>
      </w:tr>
      <w:tr w:rsidR="007968EC" w:rsidRPr="005F10B9" w14:paraId="1DEC92D7" w14:textId="77777777" w:rsidTr="007968EC">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5DADD0F9" w14:textId="77777777" w:rsidR="007968EC" w:rsidRPr="005F10B9" w:rsidRDefault="007968EC" w:rsidP="007968EC">
            <w:pPr>
              <w:jc w:val="center"/>
              <w:rPr>
                <w:rFonts w:ascii="Arial Narrow" w:hAnsi="Arial Narrow"/>
                <w:snapToGrid w:val="0"/>
                <w:color w:val="000000"/>
                <w:lang w:val="es-CO"/>
              </w:rPr>
            </w:pPr>
          </w:p>
        </w:tc>
        <w:tc>
          <w:tcPr>
            <w:tcW w:w="562" w:type="dxa"/>
            <w:shd w:val="clear" w:color="auto" w:fill="auto"/>
            <w:vAlign w:val="center"/>
          </w:tcPr>
          <w:p w14:paraId="7036BD11"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Pr>
                <w:rFonts w:ascii="Arial Narrow" w:eastAsia="Calibri" w:hAnsi="Arial Narrow" w:cs="Calibri"/>
                <w:lang w:val="es-CO"/>
              </w:rPr>
              <w:t>50</w:t>
            </w:r>
          </w:p>
        </w:tc>
        <w:tc>
          <w:tcPr>
            <w:tcW w:w="2942" w:type="dxa"/>
            <w:shd w:val="clear" w:color="auto" w:fill="auto"/>
            <w:vAlign w:val="center"/>
          </w:tcPr>
          <w:p w14:paraId="7F00397F"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Fechas de Corte de los Períodos</w:t>
            </w:r>
          </w:p>
        </w:tc>
        <w:tc>
          <w:tcPr>
            <w:tcW w:w="4188" w:type="dxa"/>
            <w:shd w:val="clear" w:color="auto" w:fill="auto"/>
            <w:vAlign w:val="center"/>
          </w:tcPr>
          <w:p w14:paraId="46AAB4F2"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hAnsi="Arial Narrow"/>
                <w:lang w:val="es-CO"/>
              </w:rPr>
            </w:pPr>
            <w:r w:rsidRPr="005F10B9">
              <w:rPr>
                <w:rFonts w:ascii="Arial Narrow" w:hAnsi="Arial Narrow"/>
                <w:lang w:val="es-CO"/>
              </w:rPr>
              <w:t>Y: Días del Mes (1-30) / EOM</w:t>
            </w:r>
          </w:p>
        </w:tc>
      </w:tr>
      <w:tr w:rsidR="007968EC" w:rsidRPr="005F10B9" w14:paraId="6DDB6759" w14:textId="77777777" w:rsidTr="00796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17C9FD4D" w14:textId="77777777" w:rsidR="007968EC" w:rsidRPr="005F10B9" w:rsidRDefault="007968EC" w:rsidP="007968EC">
            <w:pPr>
              <w:jc w:val="center"/>
              <w:rPr>
                <w:rFonts w:ascii="Arial Narrow" w:hAnsi="Arial Narrow"/>
                <w:snapToGrid w:val="0"/>
                <w:color w:val="000000"/>
                <w:lang w:val="es-CO"/>
              </w:rPr>
            </w:pPr>
          </w:p>
        </w:tc>
        <w:tc>
          <w:tcPr>
            <w:tcW w:w="562" w:type="dxa"/>
            <w:shd w:val="clear" w:color="auto" w:fill="auto"/>
            <w:vAlign w:val="center"/>
          </w:tcPr>
          <w:p w14:paraId="3B07397B" w14:textId="77777777" w:rsidR="007968EC" w:rsidRPr="005F10B9" w:rsidRDefault="007968EC" w:rsidP="007968EC">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Pr>
                <w:rFonts w:ascii="Arial Narrow" w:eastAsia="Calibri" w:hAnsi="Arial Narrow" w:cs="Calibri"/>
                <w:lang w:val="es-CO"/>
              </w:rPr>
              <w:t>51</w:t>
            </w:r>
          </w:p>
        </w:tc>
        <w:tc>
          <w:tcPr>
            <w:tcW w:w="2942" w:type="dxa"/>
            <w:shd w:val="clear" w:color="auto" w:fill="auto"/>
            <w:vAlign w:val="center"/>
          </w:tcPr>
          <w:p w14:paraId="1F34FA9A" w14:textId="77777777" w:rsidR="007968EC" w:rsidRPr="005F10B9" w:rsidRDefault="007968EC" w:rsidP="007968EC">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Terminación Anticipada</w:t>
            </w:r>
          </w:p>
        </w:tc>
        <w:tc>
          <w:tcPr>
            <w:tcW w:w="4188" w:type="dxa"/>
            <w:shd w:val="clear" w:color="auto" w:fill="auto"/>
            <w:vAlign w:val="center"/>
          </w:tcPr>
          <w:p w14:paraId="4E7EB465" w14:textId="77777777" w:rsidR="007968EC" w:rsidRPr="005F10B9" w:rsidRDefault="007968EC" w:rsidP="007968EC">
            <w:pPr>
              <w:ind w:left="709" w:hanging="709"/>
              <w:cnfStyle w:val="000000100000" w:firstRow="0" w:lastRow="0" w:firstColumn="0" w:lastColumn="0" w:oddVBand="0" w:evenVBand="0" w:oddHBand="1" w:evenHBand="0" w:firstRowFirstColumn="0" w:firstRowLastColumn="0" w:lastRowFirstColumn="0" w:lastRowLastColumn="0"/>
              <w:rPr>
                <w:rFonts w:ascii="Arial Narrow" w:hAnsi="Arial Narrow"/>
                <w:lang w:val="es-CO"/>
              </w:rPr>
            </w:pPr>
            <w:r>
              <w:rPr>
                <w:rFonts w:ascii="Arial Narrow" w:hAnsi="Arial Narrow"/>
                <w:lang w:val="es-CO"/>
              </w:rPr>
              <w:t>Y</w:t>
            </w:r>
          </w:p>
        </w:tc>
      </w:tr>
      <w:tr w:rsidR="007968EC" w:rsidRPr="005F10B9" w14:paraId="106E4BAE" w14:textId="77777777" w:rsidTr="007968EC">
        <w:tc>
          <w:tcPr>
            <w:cnfStyle w:val="001000000000" w:firstRow="0" w:lastRow="0" w:firstColumn="1" w:lastColumn="0" w:oddVBand="0" w:evenVBand="0" w:oddHBand="0" w:evenHBand="0" w:firstRowFirstColumn="0" w:firstRowLastColumn="0" w:lastRowFirstColumn="0" w:lastRowLastColumn="0"/>
            <w:tcW w:w="1682" w:type="dxa"/>
            <w:vMerge/>
            <w:shd w:val="clear" w:color="auto" w:fill="BFBFBF" w:themeFill="background1" w:themeFillShade="BF"/>
            <w:vAlign w:val="center"/>
          </w:tcPr>
          <w:p w14:paraId="1518A750" w14:textId="77777777" w:rsidR="007968EC" w:rsidRPr="005F10B9" w:rsidRDefault="007968EC" w:rsidP="007968EC">
            <w:pPr>
              <w:jc w:val="center"/>
              <w:rPr>
                <w:rFonts w:ascii="Arial Narrow" w:hAnsi="Arial Narrow"/>
                <w:snapToGrid w:val="0"/>
                <w:color w:val="000000"/>
                <w:lang w:val="es-CO"/>
              </w:rPr>
            </w:pPr>
          </w:p>
        </w:tc>
        <w:tc>
          <w:tcPr>
            <w:tcW w:w="562" w:type="dxa"/>
            <w:shd w:val="clear" w:color="auto" w:fill="auto"/>
            <w:vAlign w:val="center"/>
          </w:tcPr>
          <w:p w14:paraId="6DD763C7" w14:textId="77777777" w:rsidR="007968EC" w:rsidRPr="005F10B9" w:rsidRDefault="007968EC" w:rsidP="007968EC">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Pr>
                <w:rFonts w:ascii="Arial Narrow" w:eastAsia="Calibri" w:hAnsi="Arial Narrow" w:cs="Calibri"/>
                <w:lang w:val="es-CO"/>
              </w:rPr>
              <w:t>52</w:t>
            </w:r>
          </w:p>
        </w:tc>
        <w:tc>
          <w:tcPr>
            <w:tcW w:w="2942" w:type="dxa"/>
            <w:shd w:val="clear" w:color="auto" w:fill="auto"/>
            <w:vAlign w:val="center"/>
          </w:tcPr>
          <w:p w14:paraId="7B1BC093"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Retraso del Pago</w:t>
            </w:r>
          </w:p>
        </w:tc>
        <w:tc>
          <w:tcPr>
            <w:tcW w:w="4188" w:type="dxa"/>
            <w:shd w:val="clear" w:color="auto" w:fill="auto"/>
            <w:vAlign w:val="center"/>
          </w:tcPr>
          <w:p w14:paraId="72B7CE32" w14:textId="77777777" w:rsidR="007968EC" w:rsidRPr="005F10B9" w:rsidRDefault="007968EC" w:rsidP="007968EC">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lang w:val="es-CO"/>
              </w:rPr>
            </w:pPr>
            <w:r w:rsidRPr="005F10B9">
              <w:rPr>
                <w:rFonts w:ascii="Arial Narrow" w:eastAsia="Calibri" w:hAnsi="Arial Narrow" w:cs="Calibri"/>
                <w:lang w:val="es-CO"/>
              </w:rPr>
              <w:t>0 días</w:t>
            </w:r>
          </w:p>
        </w:tc>
      </w:tr>
    </w:tbl>
    <w:p w14:paraId="7259FAE5" w14:textId="77777777" w:rsidR="007968EC" w:rsidRPr="00C16E02" w:rsidRDefault="007968EC" w:rsidP="007968EC">
      <w:pPr>
        <w:autoSpaceDE w:val="0"/>
        <w:autoSpaceDN w:val="0"/>
        <w:adjustRightInd w:val="0"/>
        <w:rPr>
          <w:rFonts w:ascii="Arial Narrow" w:hAnsi="Arial Narrow" w:cs="Arial"/>
          <w:color w:val="000000"/>
        </w:rPr>
      </w:pPr>
    </w:p>
    <w:p w14:paraId="00FB153D" w14:textId="77777777" w:rsidR="007968EC" w:rsidRDefault="007968EC" w:rsidP="007968EC">
      <w:pPr>
        <w:pStyle w:val="ARTICULO0"/>
      </w:pPr>
      <w:bookmarkStart w:id="6460" w:name="_Toc31716570"/>
      <w:r w:rsidRPr="0065788F">
        <w:t>Artículo 5.7.2.3. Procedimiento para netear/adicionar varias Operaciones Swaps.</w:t>
      </w:r>
      <w:bookmarkEnd w:id="6460"/>
    </w:p>
    <w:p w14:paraId="3B6A63F5" w14:textId="77777777" w:rsidR="007968EC" w:rsidRDefault="007968EC" w:rsidP="007968EC">
      <w:pPr>
        <w:pStyle w:val="ARTICULO0"/>
      </w:pPr>
    </w:p>
    <w:p w14:paraId="7B897A94" w14:textId="77777777" w:rsidR="007968EC" w:rsidRPr="000C31A5" w:rsidRDefault="007968EC" w:rsidP="007968EC">
      <w:pPr>
        <w:pStyle w:val="ARTICULO0"/>
        <w:rPr>
          <w:u w:val="none"/>
        </w:rPr>
      </w:pPr>
      <w:bookmarkStart w:id="6461" w:name="_Toc31716571"/>
      <w:r w:rsidRPr="00D044D5">
        <w:rPr>
          <w:bCs/>
          <w:u w:val="none"/>
        </w:rPr>
        <w:t xml:space="preserve">(Este artículo fue modificado mediante Circular 14 del 30 de noviembre de 2018, publicada en el Boletín Normativo No. 27 del 30 de noviembre de 2018, y mediante Circular 19 del 22 de noviembre de 2019, </w:t>
      </w:r>
      <w:r w:rsidRPr="000C31A5">
        <w:rPr>
          <w:u w:val="none"/>
        </w:rPr>
        <w:t>publicada en el Boletín Normativo No. 034 del 22 de noviembre de 2019. Rige a partir del 25 de noviembre de 2019).</w:t>
      </w:r>
      <w:bookmarkEnd w:id="6461"/>
    </w:p>
    <w:p w14:paraId="64307D7E" w14:textId="77777777" w:rsidR="007968EC" w:rsidRPr="00C16E02" w:rsidRDefault="007968EC" w:rsidP="007968EC">
      <w:pPr>
        <w:autoSpaceDE w:val="0"/>
        <w:autoSpaceDN w:val="0"/>
        <w:adjustRightInd w:val="0"/>
        <w:jc w:val="both"/>
        <w:rPr>
          <w:rFonts w:ascii="Arial Narrow" w:hAnsi="Arial Narrow" w:cs="Arial"/>
          <w:color w:val="000000"/>
        </w:rPr>
      </w:pPr>
    </w:p>
    <w:p w14:paraId="334B432F" w14:textId="77777777" w:rsidR="007968EC" w:rsidRPr="005F10B9" w:rsidRDefault="007968EC" w:rsidP="007968EC">
      <w:pPr>
        <w:autoSpaceDE w:val="0"/>
        <w:autoSpaceDN w:val="0"/>
        <w:adjustRightInd w:val="0"/>
        <w:jc w:val="both"/>
        <w:rPr>
          <w:rFonts w:ascii="Arial Narrow" w:hAnsi="Arial Narrow" w:cs="Arial"/>
          <w:color w:val="000000"/>
        </w:rPr>
      </w:pPr>
      <w:r w:rsidRPr="005F10B9">
        <w:rPr>
          <w:rFonts w:ascii="Arial Narrow" w:hAnsi="Arial Narrow" w:cs="Arial"/>
          <w:color w:val="000000"/>
        </w:rPr>
        <w:t xml:space="preserve">La Cámara podrá incorporar al proceso de neteo o adición, aquellas Operaciones Swaps que coincidan de forma obligatoria en todos los atributos de los Términos Económicos (Criterios de Elegibilidad) que se detallan a continuación:  </w:t>
      </w:r>
    </w:p>
    <w:p w14:paraId="695D37F1" w14:textId="77777777" w:rsidR="007968EC" w:rsidRPr="005F10B9" w:rsidRDefault="007968EC" w:rsidP="007968EC">
      <w:pPr>
        <w:autoSpaceDE w:val="0"/>
        <w:autoSpaceDN w:val="0"/>
        <w:adjustRightInd w:val="0"/>
        <w:rPr>
          <w:rFonts w:ascii="Arial Narrow" w:hAnsi="Arial Narrow" w:cs="Arial"/>
          <w:color w:val="000000"/>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1261"/>
        <w:gridCol w:w="8080"/>
      </w:tblGrid>
      <w:tr w:rsidR="007968EC" w:rsidRPr="005F10B9" w14:paraId="66DF9C6C" w14:textId="77777777" w:rsidTr="007968EC">
        <w:trPr>
          <w:trHeight w:val="315"/>
        </w:trPr>
        <w:tc>
          <w:tcPr>
            <w:tcW w:w="1261" w:type="dxa"/>
            <w:shd w:val="clear" w:color="auto" w:fill="auto"/>
            <w:noWrap/>
            <w:tcMar>
              <w:top w:w="15" w:type="dxa"/>
              <w:left w:w="15" w:type="dxa"/>
              <w:bottom w:w="0" w:type="dxa"/>
              <w:right w:w="15" w:type="dxa"/>
            </w:tcMar>
            <w:vAlign w:val="bottom"/>
            <w:hideMark/>
          </w:tcPr>
          <w:p w14:paraId="3837F889" w14:textId="77777777" w:rsidR="007968EC" w:rsidRPr="005F10B9" w:rsidRDefault="007968EC" w:rsidP="007968EC">
            <w:pPr>
              <w:jc w:val="center"/>
              <w:rPr>
                <w:rFonts w:ascii="Arial Narrow" w:hAnsi="Arial Narrow"/>
                <w:b/>
                <w:bCs/>
                <w:snapToGrid w:val="0"/>
                <w:lang w:eastAsia="es-ES"/>
              </w:rPr>
            </w:pPr>
            <w:r w:rsidRPr="005F10B9">
              <w:rPr>
                <w:rFonts w:ascii="Arial Narrow" w:hAnsi="Arial Narrow"/>
                <w:b/>
                <w:snapToGrid w:val="0"/>
                <w:lang w:eastAsia="es-ES"/>
              </w:rPr>
              <w:t>GRUPO</w:t>
            </w:r>
          </w:p>
        </w:tc>
        <w:tc>
          <w:tcPr>
            <w:tcW w:w="8080" w:type="dxa"/>
            <w:shd w:val="clear" w:color="auto" w:fill="auto"/>
            <w:noWrap/>
            <w:tcMar>
              <w:top w:w="15" w:type="dxa"/>
              <w:left w:w="15" w:type="dxa"/>
              <w:bottom w:w="0" w:type="dxa"/>
              <w:right w:w="15" w:type="dxa"/>
            </w:tcMar>
            <w:vAlign w:val="bottom"/>
            <w:hideMark/>
          </w:tcPr>
          <w:p w14:paraId="56466D65" w14:textId="77777777" w:rsidR="007968EC" w:rsidRPr="005F10B9" w:rsidRDefault="007968EC" w:rsidP="007968EC">
            <w:pPr>
              <w:jc w:val="center"/>
              <w:rPr>
                <w:rFonts w:ascii="Arial Narrow" w:hAnsi="Arial Narrow"/>
                <w:b/>
                <w:snapToGrid w:val="0"/>
                <w:lang w:eastAsia="es-ES"/>
              </w:rPr>
            </w:pPr>
            <w:r w:rsidRPr="005F10B9">
              <w:rPr>
                <w:rFonts w:ascii="Arial Narrow" w:hAnsi="Arial Narrow"/>
                <w:b/>
                <w:snapToGrid w:val="0"/>
                <w:lang w:eastAsia="es-ES"/>
              </w:rPr>
              <w:t>ATRIBUTO</w:t>
            </w:r>
          </w:p>
        </w:tc>
      </w:tr>
      <w:tr w:rsidR="007968EC" w:rsidRPr="005F10B9" w14:paraId="53E239E9" w14:textId="77777777" w:rsidTr="007968EC">
        <w:trPr>
          <w:trHeight w:val="315"/>
        </w:trPr>
        <w:tc>
          <w:tcPr>
            <w:tcW w:w="1261" w:type="dxa"/>
            <w:vMerge w:val="restart"/>
            <w:shd w:val="clear" w:color="auto" w:fill="BFBFBF" w:themeFill="background1" w:themeFillShade="BF"/>
            <w:noWrap/>
            <w:tcMar>
              <w:top w:w="15" w:type="dxa"/>
              <w:left w:w="15" w:type="dxa"/>
              <w:bottom w:w="0" w:type="dxa"/>
              <w:right w:w="15" w:type="dxa"/>
            </w:tcMar>
            <w:vAlign w:val="center"/>
            <w:hideMark/>
          </w:tcPr>
          <w:p w14:paraId="2B80C82F" w14:textId="77777777" w:rsidR="007968EC" w:rsidRPr="005F10B9" w:rsidRDefault="007968EC" w:rsidP="007968EC">
            <w:pPr>
              <w:jc w:val="center"/>
              <w:rPr>
                <w:rFonts w:ascii="Arial Narrow" w:hAnsi="Arial Narrow"/>
                <w:bCs/>
                <w:snapToGrid w:val="0"/>
                <w:color w:val="000000"/>
                <w:lang w:eastAsia="es-ES"/>
              </w:rPr>
            </w:pPr>
            <w:r w:rsidRPr="005F10B9">
              <w:rPr>
                <w:rFonts w:ascii="Arial Narrow" w:hAnsi="Arial Narrow"/>
                <w:bCs/>
                <w:snapToGrid w:val="0"/>
                <w:color w:val="000000"/>
                <w:lang w:eastAsia="es-ES"/>
              </w:rPr>
              <w:t>Términos Generales</w:t>
            </w:r>
          </w:p>
        </w:tc>
        <w:tc>
          <w:tcPr>
            <w:tcW w:w="8080" w:type="dxa"/>
            <w:shd w:val="clear" w:color="auto" w:fill="auto"/>
            <w:noWrap/>
            <w:tcMar>
              <w:top w:w="15" w:type="dxa"/>
              <w:left w:w="15" w:type="dxa"/>
              <w:bottom w:w="0" w:type="dxa"/>
              <w:right w:w="15" w:type="dxa"/>
            </w:tcMar>
            <w:vAlign w:val="bottom"/>
            <w:hideMark/>
          </w:tcPr>
          <w:p w14:paraId="068C6A9A" w14:textId="77777777" w:rsidR="007968EC" w:rsidRPr="005F10B9" w:rsidRDefault="007968EC" w:rsidP="007968EC">
            <w:pPr>
              <w:ind w:left="128"/>
              <w:rPr>
                <w:rFonts w:ascii="Arial Narrow" w:hAnsi="Arial Narrow"/>
                <w:color w:val="000000"/>
              </w:rPr>
            </w:pPr>
            <w:r w:rsidRPr="005F10B9">
              <w:rPr>
                <w:rFonts w:ascii="Arial Narrow" w:hAnsi="Arial Narrow"/>
                <w:color w:val="000000"/>
              </w:rPr>
              <w:t xml:space="preserve">Divisa. </w:t>
            </w:r>
          </w:p>
        </w:tc>
      </w:tr>
      <w:tr w:rsidR="007968EC" w:rsidRPr="005F10B9" w14:paraId="2C4430BD" w14:textId="77777777" w:rsidTr="007968EC">
        <w:trPr>
          <w:trHeight w:val="315"/>
        </w:trPr>
        <w:tc>
          <w:tcPr>
            <w:tcW w:w="1261" w:type="dxa"/>
            <w:vMerge/>
            <w:shd w:val="clear" w:color="auto" w:fill="BFBFBF" w:themeFill="background1" w:themeFillShade="BF"/>
            <w:noWrap/>
            <w:tcMar>
              <w:top w:w="15" w:type="dxa"/>
              <w:left w:w="15" w:type="dxa"/>
              <w:bottom w:w="0" w:type="dxa"/>
              <w:right w:w="15" w:type="dxa"/>
            </w:tcMar>
            <w:vAlign w:val="center"/>
          </w:tcPr>
          <w:p w14:paraId="28D480AE" w14:textId="77777777" w:rsidR="007968EC" w:rsidRPr="005F10B9" w:rsidRDefault="007968EC" w:rsidP="007968EC">
            <w:pPr>
              <w:jc w:val="center"/>
              <w:rPr>
                <w:rFonts w:ascii="Arial Narrow" w:hAnsi="Arial Narrow"/>
                <w:bCs/>
                <w:snapToGrid w:val="0"/>
                <w:color w:val="000000"/>
                <w:lang w:eastAsia="es-ES"/>
              </w:rPr>
            </w:pPr>
          </w:p>
        </w:tc>
        <w:tc>
          <w:tcPr>
            <w:tcW w:w="8080" w:type="dxa"/>
            <w:shd w:val="clear" w:color="auto" w:fill="auto"/>
            <w:noWrap/>
            <w:tcMar>
              <w:top w:w="15" w:type="dxa"/>
              <w:left w:w="15" w:type="dxa"/>
              <w:bottom w:w="0" w:type="dxa"/>
              <w:right w:w="15" w:type="dxa"/>
            </w:tcMar>
            <w:vAlign w:val="bottom"/>
          </w:tcPr>
          <w:p w14:paraId="7B594F4D" w14:textId="77777777" w:rsidR="007968EC" w:rsidRPr="005F10B9" w:rsidRDefault="007968EC" w:rsidP="007968EC">
            <w:pPr>
              <w:ind w:left="128"/>
              <w:rPr>
                <w:rFonts w:ascii="Arial Narrow" w:hAnsi="Arial Narrow"/>
                <w:color w:val="000000"/>
              </w:rPr>
            </w:pPr>
            <w:r w:rsidRPr="005F10B9">
              <w:rPr>
                <w:rFonts w:ascii="Arial Narrow" w:hAnsi="Arial Narrow"/>
                <w:color w:val="000000"/>
              </w:rPr>
              <w:t xml:space="preserve">Fecha Efectiva    </w:t>
            </w:r>
          </w:p>
        </w:tc>
      </w:tr>
      <w:tr w:rsidR="007968EC" w:rsidRPr="005F10B9" w14:paraId="562EFDB6" w14:textId="77777777" w:rsidTr="007968EC">
        <w:trPr>
          <w:trHeight w:val="315"/>
        </w:trPr>
        <w:tc>
          <w:tcPr>
            <w:tcW w:w="1261" w:type="dxa"/>
            <w:vMerge/>
            <w:shd w:val="clear" w:color="auto" w:fill="BFBFBF" w:themeFill="background1" w:themeFillShade="BF"/>
            <w:noWrap/>
            <w:tcMar>
              <w:top w:w="15" w:type="dxa"/>
              <w:left w:w="15" w:type="dxa"/>
              <w:bottom w:w="0" w:type="dxa"/>
              <w:right w:w="15" w:type="dxa"/>
            </w:tcMar>
            <w:vAlign w:val="center"/>
          </w:tcPr>
          <w:p w14:paraId="4F0E8E90" w14:textId="77777777" w:rsidR="007968EC" w:rsidRPr="005F10B9" w:rsidRDefault="007968EC" w:rsidP="007968EC">
            <w:pPr>
              <w:jc w:val="center"/>
              <w:rPr>
                <w:rFonts w:ascii="Arial Narrow" w:hAnsi="Arial Narrow"/>
                <w:bCs/>
                <w:snapToGrid w:val="0"/>
                <w:color w:val="000000"/>
                <w:lang w:eastAsia="es-ES"/>
              </w:rPr>
            </w:pPr>
          </w:p>
        </w:tc>
        <w:tc>
          <w:tcPr>
            <w:tcW w:w="8080" w:type="dxa"/>
            <w:shd w:val="clear" w:color="auto" w:fill="auto"/>
            <w:noWrap/>
            <w:tcMar>
              <w:top w:w="15" w:type="dxa"/>
              <w:left w:w="15" w:type="dxa"/>
              <w:bottom w:w="0" w:type="dxa"/>
              <w:right w:w="15" w:type="dxa"/>
            </w:tcMar>
            <w:vAlign w:val="bottom"/>
          </w:tcPr>
          <w:p w14:paraId="7C800439" w14:textId="77777777" w:rsidR="007968EC" w:rsidRPr="005F10B9" w:rsidRDefault="007968EC" w:rsidP="007968EC">
            <w:pPr>
              <w:ind w:left="128"/>
              <w:rPr>
                <w:rFonts w:ascii="Arial Narrow" w:hAnsi="Arial Narrow"/>
                <w:color w:val="000000"/>
              </w:rPr>
            </w:pPr>
            <w:r w:rsidRPr="005F10B9">
              <w:rPr>
                <w:rFonts w:ascii="Arial Narrow" w:hAnsi="Arial Narrow"/>
                <w:color w:val="000000"/>
              </w:rPr>
              <w:t>Fecha de Vencimiento</w:t>
            </w:r>
          </w:p>
        </w:tc>
      </w:tr>
      <w:tr w:rsidR="007968EC" w:rsidRPr="005F10B9" w14:paraId="7BCAA4CB" w14:textId="77777777" w:rsidTr="007968EC">
        <w:trPr>
          <w:trHeight w:val="315"/>
        </w:trPr>
        <w:tc>
          <w:tcPr>
            <w:tcW w:w="1261" w:type="dxa"/>
            <w:vMerge/>
            <w:shd w:val="clear" w:color="auto" w:fill="BFBFBF" w:themeFill="background1" w:themeFillShade="BF"/>
            <w:noWrap/>
            <w:tcMar>
              <w:top w:w="15" w:type="dxa"/>
              <w:left w:w="15" w:type="dxa"/>
              <w:bottom w:w="0" w:type="dxa"/>
              <w:right w:w="15" w:type="dxa"/>
            </w:tcMar>
            <w:vAlign w:val="center"/>
          </w:tcPr>
          <w:p w14:paraId="63C80475" w14:textId="77777777" w:rsidR="007968EC" w:rsidRPr="005F10B9" w:rsidRDefault="007968EC" w:rsidP="007968EC">
            <w:pPr>
              <w:jc w:val="center"/>
              <w:rPr>
                <w:rFonts w:ascii="Arial Narrow" w:hAnsi="Arial Narrow"/>
                <w:bCs/>
                <w:snapToGrid w:val="0"/>
                <w:color w:val="000000"/>
                <w:lang w:eastAsia="es-ES"/>
              </w:rPr>
            </w:pPr>
          </w:p>
        </w:tc>
        <w:tc>
          <w:tcPr>
            <w:tcW w:w="8080" w:type="dxa"/>
            <w:shd w:val="clear" w:color="auto" w:fill="auto"/>
            <w:noWrap/>
            <w:tcMar>
              <w:top w:w="15" w:type="dxa"/>
              <w:left w:w="15" w:type="dxa"/>
              <w:bottom w:w="0" w:type="dxa"/>
              <w:right w:w="15" w:type="dxa"/>
            </w:tcMar>
            <w:vAlign w:val="bottom"/>
          </w:tcPr>
          <w:p w14:paraId="0B5FF870" w14:textId="77777777" w:rsidR="007968EC" w:rsidRPr="005F10B9" w:rsidRDefault="007968EC" w:rsidP="007968EC">
            <w:pPr>
              <w:ind w:left="128"/>
              <w:rPr>
                <w:rFonts w:ascii="Arial Narrow" w:hAnsi="Arial Narrow"/>
              </w:rPr>
            </w:pPr>
            <w:proofErr w:type="gramStart"/>
            <w:r w:rsidRPr="005F10B9">
              <w:rPr>
                <w:rFonts w:ascii="Arial Narrow" w:hAnsi="Arial Narrow"/>
              </w:rPr>
              <w:t>Convención de Días Hábiles</w:t>
            </w:r>
            <w:r w:rsidRPr="005F10B9">
              <w:rPr>
                <w:rFonts w:ascii="Arial Narrow" w:hAnsi="Arial Narrow"/>
                <w:color w:val="000000"/>
              </w:rPr>
              <w:t xml:space="preserve"> y Calendario a utilizar</w:t>
            </w:r>
            <w:proofErr w:type="gramEnd"/>
            <w:r w:rsidRPr="005F10B9">
              <w:rPr>
                <w:rFonts w:ascii="Arial Narrow" w:hAnsi="Arial Narrow"/>
                <w:color w:val="000000"/>
              </w:rPr>
              <w:t xml:space="preserve"> para todas las fechas</w:t>
            </w:r>
          </w:p>
        </w:tc>
      </w:tr>
      <w:tr w:rsidR="007968EC" w:rsidRPr="005F10B9" w14:paraId="77AE7D6E" w14:textId="77777777" w:rsidTr="007968EC">
        <w:trPr>
          <w:trHeight w:val="300"/>
        </w:trPr>
        <w:tc>
          <w:tcPr>
            <w:tcW w:w="1261" w:type="dxa"/>
            <w:vMerge w:val="restart"/>
            <w:shd w:val="clear" w:color="auto" w:fill="BFBFBF" w:themeFill="background1" w:themeFillShade="BF"/>
            <w:noWrap/>
            <w:tcMar>
              <w:top w:w="15" w:type="dxa"/>
              <w:left w:w="15" w:type="dxa"/>
              <w:bottom w:w="0" w:type="dxa"/>
              <w:right w:w="15" w:type="dxa"/>
            </w:tcMar>
            <w:vAlign w:val="center"/>
            <w:hideMark/>
          </w:tcPr>
          <w:p w14:paraId="28210439" w14:textId="77777777" w:rsidR="007968EC" w:rsidRPr="005F10B9" w:rsidRDefault="007968EC" w:rsidP="007968EC">
            <w:pPr>
              <w:jc w:val="center"/>
              <w:rPr>
                <w:rFonts w:ascii="Arial Narrow" w:hAnsi="Arial Narrow"/>
                <w:bCs/>
                <w:snapToGrid w:val="0"/>
                <w:color w:val="000000"/>
                <w:lang w:eastAsia="es-ES"/>
              </w:rPr>
            </w:pPr>
            <w:r>
              <w:rPr>
                <w:rFonts w:ascii="Arial Narrow" w:hAnsi="Arial Narrow"/>
                <w:bCs/>
                <w:snapToGrid w:val="0"/>
                <w:color w:val="000000"/>
                <w:lang w:eastAsia="es-ES"/>
              </w:rPr>
              <w:t>Rama</w:t>
            </w:r>
            <w:r w:rsidRPr="005F10B9">
              <w:rPr>
                <w:rFonts w:ascii="Arial Narrow" w:hAnsi="Arial Narrow"/>
                <w:bCs/>
                <w:snapToGrid w:val="0"/>
                <w:color w:val="000000"/>
                <w:lang w:eastAsia="es-ES"/>
              </w:rPr>
              <w:t xml:space="preserve"> Variable</w:t>
            </w:r>
          </w:p>
        </w:tc>
        <w:tc>
          <w:tcPr>
            <w:tcW w:w="8080" w:type="dxa"/>
            <w:shd w:val="clear" w:color="auto" w:fill="auto"/>
            <w:noWrap/>
            <w:tcMar>
              <w:top w:w="15" w:type="dxa"/>
              <w:left w:w="15" w:type="dxa"/>
              <w:bottom w:w="0" w:type="dxa"/>
              <w:right w:w="15" w:type="dxa"/>
            </w:tcMar>
            <w:vAlign w:val="bottom"/>
            <w:hideMark/>
          </w:tcPr>
          <w:p w14:paraId="15ABB795" w14:textId="77777777" w:rsidR="007968EC" w:rsidRPr="005F10B9" w:rsidRDefault="007968EC" w:rsidP="007968EC">
            <w:pPr>
              <w:autoSpaceDE w:val="0"/>
              <w:autoSpaceDN w:val="0"/>
              <w:adjustRightInd w:val="0"/>
              <w:ind w:left="128"/>
              <w:rPr>
                <w:rFonts w:ascii="Arial Narrow" w:hAnsi="Arial Narrow" w:cs="Arial"/>
                <w:bCs/>
                <w:color w:val="000000"/>
                <w:lang w:eastAsia="es-ES"/>
              </w:rPr>
            </w:pPr>
            <w:r w:rsidRPr="005F10B9">
              <w:rPr>
                <w:rFonts w:ascii="Arial Narrow" w:hAnsi="Arial Narrow" w:cs="Arial"/>
                <w:color w:val="000000"/>
                <w:lang w:eastAsia="es-ES"/>
              </w:rPr>
              <w:t>F</w:t>
            </w:r>
            <w:r w:rsidRPr="005F10B9">
              <w:rPr>
                <w:rFonts w:ascii="Arial Narrow" w:hAnsi="Arial Narrow" w:cs="Arial"/>
                <w:color w:val="000000"/>
                <w:lang w:val="es-ES" w:eastAsia="es-ES"/>
              </w:rPr>
              <w:t>echas de periodos regulares</w:t>
            </w:r>
          </w:p>
        </w:tc>
      </w:tr>
      <w:tr w:rsidR="007968EC" w:rsidRPr="005F10B9" w14:paraId="08D12296" w14:textId="77777777" w:rsidTr="007968EC">
        <w:trPr>
          <w:trHeight w:val="300"/>
        </w:trPr>
        <w:tc>
          <w:tcPr>
            <w:tcW w:w="1261" w:type="dxa"/>
            <w:vMerge/>
            <w:shd w:val="clear" w:color="auto" w:fill="BFBFBF" w:themeFill="background1" w:themeFillShade="BF"/>
            <w:vAlign w:val="center"/>
            <w:hideMark/>
          </w:tcPr>
          <w:p w14:paraId="7C0EEEE7" w14:textId="77777777" w:rsidR="007968EC" w:rsidRPr="005F10B9" w:rsidRDefault="007968EC" w:rsidP="007968EC">
            <w:pPr>
              <w:jc w:val="center"/>
              <w:rPr>
                <w:rFonts w:ascii="Arial Narrow" w:hAnsi="Arial Narrow"/>
                <w:bCs/>
                <w:snapToGrid w:val="0"/>
                <w:color w:val="000000"/>
                <w:lang w:val="en-US" w:eastAsia="es-ES"/>
              </w:rPr>
            </w:pPr>
          </w:p>
        </w:tc>
        <w:tc>
          <w:tcPr>
            <w:tcW w:w="8080" w:type="dxa"/>
            <w:shd w:val="clear" w:color="auto" w:fill="auto"/>
            <w:noWrap/>
            <w:tcMar>
              <w:top w:w="15" w:type="dxa"/>
              <w:left w:w="15" w:type="dxa"/>
              <w:bottom w:w="0" w:type="dxa"/>
              <w:right w:w="15" w:type="dxa"/>
            </w:tcMar>
            <w:vAlign w:val="bottom"/>
            <w:hideMark/>
          </w:tcPr>
          <w:p w14:paraId="63EFFD31" w14:textId="77777777" w:rsidR="007968EC" w:rsidRPr="005F10B9" w:rsidRDefault="007968EC" w:rsidP="007968EC">
            <w:pPr>
              <w:ind w:left="128"/>
              <w:rPr>
                <w:rFonts w:ascii="Arial Narrow" w:hAnsi="Arial Narrow"/>
                <w:color w:val="000000"/>
              </w:rPr>
            </w:pPr>
            <w:r w:rsidRPr="005F10B9">
              <w:rPr>
                <w:rFonts w:ascii="Arial Narrow" w:hAnsi="Arial Narrow"/>
                <w:color w:val="000000"/>
              </w:rPr>
              <w:t>Fechas de pago</w:t>
            </w:r>
          </w:p>
        </w:tc>
      </w:tr>
      <w:tr w:rsidR="007968EC" w:rsidRPr="005F10B9" w14:paraId="61D8164B" w14:textId="77777777" w:rsidTr="007968EC">
        <w:trPr>
          <w:trHeight w:val="300"/>
        </w:trPr>
        <w:tc>
          <w:tcPr>
            <w:tcW w:w="1261" w:type="dxa"/>
            <w:vMerge/>
            <w:shd w:val="clear" w:color="auto" w:fill="BFBFBF" w:themeFill="background1" w:themeFillShade="BF"/>
            <w:vAlign w:val="center"/>
            <w:hideMark/>
          </w:tcPr>
          <w:p w14:paraId="5A28898A" w14:textId="77777777" w:rsidR="007968EC" w:rsidRPr="005F10B9" w:rsidRDefault="007968EC" w:rsidP="007968EC">
            <w:pPr>
              <w:jc w:val="center"/>
              <w:rPr>
                <w:rFonts w:ascii="Arial Narrow" w:hAnsi="Arial Narrow"/>
                <w:bCs/>
                <w:snapToGrid w:val="0"/>
                <w:color w:val="000000"/>
                <w:lang w:eastAsia="es-ES"/>
              </w:rPr>
            </w:pPr>
          </w:p>
        </w:tc>
        <w:tc>
          <w:tcPr>
            <w:tcW w:w="8080" w:type="dxa"/>
            <w:shd w:val="clear" w:color="auto" w:fill="auto"/>
            <w:noWrap/>
            <w:tcMar>
              <w:top w:w="15" w:type="dxa"/>
              <w:left w:w="15" w:type="dxa"/>
              <w:bottom w:w="0" w:type="dxa"/>
              <w:right w:w="15" w:type="dxa"/>
            </w:tcMar>
            <w:vAlign w:val="bottom"/>
            <w:hideMark/>
          </w:tcPr>
          <w:p w14:paraId="6031640C" w14:textId="77777777" w:rsidR="007968EC" w:rsidRPr="005F10B9" w:rsidRDefault="007968EC" w:rsidP="007968EC">
            <w:pPr>
              <w:ind w:left="128"/>
              <w:rPr>
                <w:rFonts w:ascii="Arial Narrow" w:hAnsi="Arial Narrow"/>
                <w:color w:val="000000"/>
              </w:rPr>
            </w:pPr>
            <w:r w:rsidRPr="005F10B9">
              <w:rPr>
                <w:rFonts w:ascii="Arial Narrow" w:hAnsi="Arial Narrow"/>
                <w:color w:val="000000"/>
              </w:rPr>
              <w:t>Frecuencia de pagos</w:t>
            </w:r>
          </w:p>
        </w:tc>
      </w:tr>
      <w:tr w:rsidR="007968EC" w:rsidRPr="005F10B9" w14:paraId="6BAF72A2" w14:textId="77777777" w:rsidTr="007968EC">
        <w:trPr>
          <w:trHeight w:val="300"/>
        </w:trPr>
        <w:tc>
          <w:tcPr>
            <w:tcW w:w="1261" w:type="dxa"/>
            <w:vMerge/>
            <w:shd w:val="clear" w:color="auto" w:fill="BFBFBF" w:themeFill="background1" w:themeFillShade="BF"/>
            <w:vAlign w:val="center"/>
            <w:hideMark/>
          </w:tcPr>
          <w:p w14:paraId="39DC37B4" w14:textId="77777777" w:rsidR="007968EC" w:rsidRPr="005F10B9" w:rsidRDefault="007968EC" w:rsidP="007968EC">
            <w:pPr>
              <w:jc w:val="center"/>
              <w:rPr>
                <w:rFonts w:ascii="Arial Narrow" w:hAnsi="Arial Narrow"/>
                <w:bCs/>
                <w:snapToGrid w:val="0"/>
                <w:color w:val="000000"/>
                <w:lang w:eastAsia="es-ES"/>
              </w:rPr>
            </w:pPr>
          </w:p>
        </w:tc>
        <w:tc>
          <w:tcPr>
            <w:tcW w:w="8080" w:type="dxa"/>
            <w:shd w:val="clear" w:color="auto" w:fill="auto"/>
            <w:noWrap/>
            <w:tcMar>
              <w:top w:w="15" w:type="dxa"/>
              <w:left w:w="15" w:type="dxa"/>
              <w:bottom w:w="0" w:type="dxa"/>
              <w:right w:w="15" w:type="dxa"/>
            </w:tcMar>
            <w:vAlign w:val="bottom"/>
            <w:hideMark/>
          </w:tcPr>
          <w:p w14:paraId="5051C2EA" w14:textId="77777777" w:rsidR="007968EC" w:rsidRPr="005F10B9" w:rsidRDefault="007968EC" w:rsidP="007968EC">
            <w:pPr>
              <w:ind w:left="128"/>
              <w:rPr>
                <w:rFonts w:ascii="Arial Narrow" w:hAnsi="Arial Narrow"/>
                <w:color w:val="000000"/>
              </w:rPr>
            </w:pPr>
            <w:r w:rsidRPr="005F10B9">
              <w:rPr>
                <w:rFonts w:ascii="Arial Narrow" w:hAnsi="Arial Narrow"/>
                <w:color w:val="000000"/>
              </w:rPr>
              <w:t>Convención de Base de Cálculo</w:t>
            </w:r>
          </w:p>
        </w:tc>
      </w:tr>
      <w:tr w:rsidR="007968EC" w:rsidRPr="005F10B9" w14:paraId="211E20E4" w14:textId="77777777" w:rsidTr="007968EC">
        <w:trPr>
          <w:trHeight w:val="300"/>
        </w:trPr>
        <w:tc>
          <w:tcPr>
            <w:tcW w:w="1261" w:type="dxa"/>
            <w:vMerge/>
            <w:shd w:val="clear" w:color="auto" w:fill="BFBFBF" w:themeFill="background1" w:themeFillShade="BF"/>
            <w:vAlign w:val="center"/>
            <w:hideMark/>
          </w:tcPr>
          <w:p w14:paraId="44CD92B5" w14:textId="77777777" w:rsidR="007968EC" w:rsidRPr="005F10B9" w:rsidRDefault="007968EC" w:rsidP="007968EC">
            <w:pPr>
              <w:jc w:val="center"/>
              <w:rPr>
                <w:rFonts w:ascii="Arial Narrow" w:hAnsi="Arial Narrow"/>
                <w:bCs/>
                <w:snapToGrid w:val="0"/>
                <w:color w:val="000000"/>
                <w:lang w:eastAsia="es-ES"/>
              </w:rPr>
            </w:pPr>
          </w:p>
        </w:tc>
        <w:tc>
          <w:tcPr>
            <w:tcW w:w="8080" w:type="dxa"/>
            <w:shd w:val="clear" w:color="auto" w:fill="auto"/>
            <w:noWrap/>
            <w:tcMar>
              <w:top w:w="15" w:type="dxa"/>
              <w:left w:w="15" w:type="dxa"/>
              <w:bottom w:w="0" w:type="dxa"/>
              <w:right w:w="15" w:type="dxa"/>
            </w:tcMar>
            <w:vAlign w:val="bottom"/>
            <w:hideMark/>
          </w:tcPr>
          <w:p w14:paraId="1D820C49" w14:textId="77777777" w:rsidR="007968EC" w:rsidRPr="005F10B9" w:rsidRDefault="007968EC" w:rsidP="007968EC">
            <w:pPr>
              <w:ind w:left="128"/>
              <w:rPr>
                <w:rFonts w:ascii="Arial Narrow" w:hAnsi="Arial Narrow"/>
                <w:color w:val="000000"/>
              </w:rPr>
            </w:pPr>
            <w:r w:rsidRPr="005F10B9">
              <w:rPr>
                <w:rFonts w:ascii="Arial Narrow" w:hAnsi="Arial Narrow"/>
              </w:rPr>
              <w:t xml:space="preserve">Frecuencia de Fijación de la Rama Variable </w:t>
            </w:r>
          </w:p>
        </w:tc>
      </w:tr>
      <w:tr w:rsidR="007968EC" w:rsidRPr="005F10B9" w14:paraId="06CCFC99" w14:textId="77777777" w:rsidTr="007968EC">
        <w:trPr>
          <w:trHeight w:val="300"/>
        </w:trPr>
        <w:tc>
          <w:tcPr>
            <w:tcW w:w="1261" w:type="dxa"/>
            <w:vMerge/>
            <w:shd w:val="clear" w:color="auto" w:fill="BFBFBF" w:themeFill="background1" w:themeFillShade="BF"/>
            <w:vAlign w:val="center"/>
            <w:hideMark/>
          </w:tcPr>
          <w:p w14:paraId="1BE09289" w14:textId="77777777" w:rsidR="007968EC" w:rsidRPr="005F10B9" w:rsidRDefault="007968EC" w:rsidP="007968EC">
            <w:pPr>
              <w:jc w:val="center"/>
              <w:rPr>
                <w:rFonts w:ascii="Arial Narrow" w:hAnsi="Arial Narrow"/>
                <w:bCs/>
                <w:snapToGrid w:val="0"/>
                <w:color w:val="000000"/>
                <w:lang w:eastAsia="es-ES"/>
              </w:rPr>
            </w:pPr>
          </w:p>
        </w:tc>
        <w:tc>
          <w:tcPr>
            <w:tcW w:w="8080" w:type="dxa"/>
            <w:shd w:val="clear" w:color="auto" w:fill="auto"/>
            <w:noWrap/>
            <w:tcMar>
              <w:top w:w="15" w:type="dxa"/>
              <w:left w:w="15" w:type="dxa"/>
              <w:bottom w:w="0" w:type="dxa"/>
              <w:right w:w="15" w:type="dxa"/>
            </w:tcMar>
            <w:vAlign w:val="bottom"/>
            <w:hideMark/>
          </w:tcPr>
          <w:p w14:paraId="11626518" w14:textId="77777777" w:rsidR="007968EC" w:rsidRPr="005F10B9" w:rsidRDefault="007968EC" w:rsidP="007968EC">
            <w:pPr>
              <w:ind w:left="128"/>
              <w:rPr>
                <w:rFonts w:ascii="Arial Narrow" w:hAnsi="Arial Narrow"/>
                <w:color w:val="000000"/>
              </w:rPr>
            </w:pPr>
            <w:r w:rsidRPr="005F10B9">
              <w:rPr>
                <w:rFonts w:ascii="Arial Narrow" w:hAnsi="Arial Narrow"/>
                <w:color w:val="000000"/>
              </w:rPr>
              <w:t>Tasa de la Rama Variable</w:t>
            </w:r>
          </w:p>
        </w:tc>
      </w:tr>
      <w:tr w:rsidR="007968EC" w:rsidRPr="005F10B9" w14:paraId="0BD0BBF6" w14:textId="77777777" w:rsidTr="007968EC">
        <w:trPr>
          <w:trHeight w:val="300"/>
        </w:trPr>
        <w:tc>
          <w:tcPr>
            <w:tcW w:w="1261" w:type="dxa"/>
            <w:vMerge/>
            <w:shd w:val="clear" w:color="auto" w:fill="BFBFBF" w:themeFill="background1" w:themeFillShade="BF"/>
            <w:vAlign w:val="center"/>
            <w:hideMark/>
          </w:tcPr>
          <w:p w14:paraId="010339E0" w14:textId="77777777" w:rsidR="007968EC" w:rsidRPr="005F10B9" w:rsidRDefault="007968EC" w:rsidP="007968EC">
            <w:pPr>
              <w:jc w:val="center"/>
              <w:rPr>
                <w:rFonts w:ascii="Arial Narrow" w:hAnsi="Arial Narrow"/>
                <w:bCs/>
                <w:snapToGrid w:val="0"/>
                <w:color w:val="000000"/>
                <w:lang w:eastAsia="es-ES"/>
              </w:rPr>
            </w:pPr>
          </w:p>
        </w:tc>
        <w:tc>
          <w:tcPr>
            <w:tcW w:w="8080" w:type="dxa"/>
            <w:shd w:val="clear" w:color="auto" w:fill="auto"/>
            <w:noWrap/>
            <w:tcMar>
              <w:top w:w="15" w:type="dxa"/>
              <w:left w:w="15" w:type="dxa"/>
              <w:bottom w:w="0" w:type="dxa"/>
              <w:right w:w="15" w:type="dxa"/>
            </w:tcMar>
            <w:vAlign w:val="bottom"/>
            <w:hideMark/>
          </w:tcPr>
          <w:p w14:paraId="73CFF401" w14:textId="77777777" w:rsidR="007968EC" w:rsidRPr="005F10B9" w:rsidRDefault="007968EC" w:rsidP="007968EC">
            <w:pPr>
              <w:ind w:left="128"/>
              <w:rPr>
                <w:rFonts w:ascii="Arial Narrow" w:hAnsi="Arial Narrow"/>
                <w:color w:val="000000"/>
                <w:lang w:val="en-US"/>
              </w:rPr>
            </w:pPr>
            <w:proofErr w:type="spellStart"/>
            <w:r w:rsidRPr="005F10B9">
              <w:rPr>
                <w:rFonts w:ascii="Arial Narrow" w:hAnsi="Arial Narrow"/>
                <w:color w:val="000000"/>
                <w:lang w:val="en-US"/>
              </w:rPr>
              <w:t>Diferencial</w:t>
            </w:r>
            <w:proofErr w:type="spellEnd"/>
            <w:r w:rsidRPr="005F10B9">
              <w:rPr>
                <w:rFonts w:ascii="Arial Narrow" w:hAnsi="Arial Narrow"/>
                <w:color w:val="000000"/>
                <w:lang w:val="en-US"/>
              </w:rPr>
              <w:t xml:space="preserve"> /Spread </w:t>
            </w:r>
          </w:p>
        </w:tc>
      </w:tr>
      <w:tr w:rsidR="007968EC" w:rsidRPr="005F10B9" w14:paraId="4440140E" w14:textId="77777777" w:rsidTr="007968EC">
        <w:trPr>
          <w:trHeight w:val="300"/>
        </w:trPr>
        <w:tc>
          <w:tcPr>
            <w:tcW w:w="1261" w:type="dxa"/>
            <w:vMerge w:val="restart"/>
            <w:shd w:val="clear" w:color="auto" w:fill="BFBFBF" w:themeFill="background1" w:themeFillShade="BF"/>
            <w:noWrap/>
            <w:tcMar>
              <w:top w:w="15" w:type="dxa"/>
              <w:left w:w="15" w:type="dxa"/>
              <w:bottom w:w="0" w:type="dxa"/>
              <w:right w:w="15" w:type="dxa"/>
            </w:tcMar>
            <w:vAlign w:val="center"/>
            <w:hideMark/>
          </w:tcPr>
          <w:p w14:paraId="61C7731A" w14:textId="77777777" w:rsidR="007968EC" w:rsidRPr="005F10B9" w:rsidRDefault="007968EC" w:rsidP="007968EC">
            <w:pPr>
              <w:jc w:val="center"/>
              <w:rPr>
                <w:rFonts w:ascii="Arial Narrow" w:hAnsi="Arial Narrow"/>
                <w:bCs/>
                <w:snapToGrid w:val="0"/>
                <w:color w:val="000000"/>
                <w:lang w:eastAsia="es-ES"/>
              </w:rPr>
            </w:pPr>
            <w:r>
              <w:rPr>
                <w:rFonts w:ascii="Arial Narrow" w:hAnsi="Arial Narrow"/>
                <w:bCs/>
                <w:snapToGrid w:val="0"/>
                <w:color w:val="000000"/>
                <w:lang w:eastAsia="es-ES"/>
              </w:rPr>
              <w:t>Rama</w:t>
            </w:r>
            <w:r w:rsidRPr="005F10B9">
              <w:rPr>
                <w:rFonts w:ascii="Arial Narrow" w:hAnsi="Arial Narrow"/>
                <w:bCs/>
                <w:snapToGrid w:val="0"/>
                <w:color w:val="000000"/>
                <w:lang w:eastAsia="es-ES"/>
              </w:rPr>
              <w:t xml:space="preserve"> Fija</w:t>
            </w:r>
          </w:p>
        </w:tc>
        <w:tc>
          <w:tcPr>
            <w:tcW w:w="8080" w:type="dxa"/>
            <w:shd w:val="clear" w:color="auto" w:fill="auto"/>
            <w:noWrap/>
            <w:tcMar>
              <w:top w:w="15" w:type="dxa"/>
              <w:left w:w="15" w:type="dxa"/>
              <w:bottom w:w="0" w:type="dxa"/>
              <w:right w:w="15" w:type="dxa"/>
            </w:tcMar>
            <w:vAlign w:val="bottom"/>
            <w:hideMark/>
          </w:tcPr>
          <w:p w14:paraId="3B97A920" w14:textId="77777777" w:rsidR="007968EC" w:rsidRPr="005F10B9" w:rsidRDefault="007968EC" w:rsidP="007968EC">
            <w:pPr>
              <w:ind w:left="128"/>
              <w:rPr>
                <w:rFonts w:ascii="Arial Narrow" w:hAnsi="Arial Narrow"/>
                <w:color w:val="000000"/>
              </w:rPr>
            </w:pPr>
            <w:r w:rsidRPr="005F10B9">
              <w:rPr>
                <w:rFonts w:ascii="Arial Narrow" w:hAnsi="Arial Narrow"/>
                <w:color w:val="000000"/>
              </w:rPr>
              <w:t>Tasa Fija</w:t>
            </w:r>
          </w:p>
        </w:tc>
      </w:tr>
      <w:tr w:rsidR="007968EC" w:rsidRPr="005F10B9" w14:paraId="0DD781E2" w14:textId="77777777" w:rsidTr="007968EC">
        <w:trPr>
          <w:trHeight w:val="300"/>
        </w:trPr>
        <w:tc>
          <w:tcPr>
            <w:tcW w:w="1261" w:type="dxa"/>
            <w:vMerge/>
            <w:shd w:val="clear" w:color="auto" w:fill="BFBFBF" w:themeFill="background1" w:themeFillShade="BF"/>
            <w:vAlign w:val="center"/>
            <w:hideMark/>
          </w:tcPr>
          <w:p w14:paraId="694E3859" w14:textId="77777777" w:rsidR="007968EC" w:rsidRPr="005F10B9" w:rsidRDefault="007968EC" w:rsidP="007968EC">
            <w:pPr>
              <w:jc w:val="center"/>
              <w:rPr>
                <w:rFonts w:ascii="Arial Narrow" w:hAnsi="Arial Narrow"/>
                <w:bCs/>
                <w:snapToGrid w:val="0"/>
                <w:color w:val="000000"/>
                <w:lang w:val="en-US" w:eastAsia="es-ES"/>
              </w:rPr>
            </w:pPr>
          </w:p>
        </w:tc>
        <w:tc>
          <w:tcPr>
            <w:tcW w:w="8080" w:type="dxa"/>
            <w:shd w:val="clear" w:color="auto" w:fill="auto"/>
            <w:noWrap/>
            <w:tcMar>
              <w:top w:w="15" w:type="dxa"/>
              <w:left w:w="15" w:type="dxa"/>
              <w:bottom w:w="0" w:type="dxa"/>
              <w:right w:w="15" w:type="dxa"/>
            </w:tcMar>
            <w:vAlign w:val="bottom"/>
            <w:hideMark/>
          </w:tcPr>
          <w:p w14:paraId="78D4914F" w14:textId="77777777" w:rsidR="007968EC" w:rsidRPr="005F10B9" w:rsidRDefault="007968EC" w:rsidP="007968EC">
            <w:pPr>
              <w:ind w:left="128"/>
              <w:rPr>
                <w:rFonts w:ascii="Arial Narrow" w:hAnsi="Arial Narrow"/>
                <w:color w:val="000000"/>
              </w:rPr>
            </w:pPr>
            <w:r w:rsidRPr="005F10B9">
              <w:rPr>
                <w:rFonts w:ascii="Arial Narrow" w:hAnsi="Arial Narrow"/>
                <w:color w:val="000000"/>
              </w:rPr>
              <w:t>Fechas de pago</w:t>
            </w:r>
          </w:p>
        </w:tc>
      </w:tr>
      <w:tr w:rsidR="007968EC" w:rsidRPr="005F10B9" w14:paraId="2CC7D1A3" w14:textId="77777777" w:rsidTr="007968EC">
        <w:trPr>
          <w:trHeight w:val="300"/>
        </w:trPr>
        <w:tc>
          <w:tcPr>
            <w:tcW w:w="1261" w:type="dxa"/>
            <w:vMerge/>
            <w:shd w:val="clear" w:color="auto" w:fill="BFBFBF" w:themeFill="background1" w:themeFillShade="BF"/>
            <w:vAlign w:val="center"/>
            <w:hideMark/>
          </w:tcPr>
          <w:p w14:paraId="1F9E6A15" w14:textId="77777777" w:rsidR="007968EC" w:rsidRPr="005F10B9" w:rsidRDefault="007968EC" w:rsidP="007968EC">
            <w:pPr>
              <w:jc w:val="center"/>
              <w:rPr>
                <w:rFonts w:ascii="Arial Narrow" w:hAnsi="Arial Narrow"/>
                <w:bCs/>
                <w:snapToGrid w:val="0"/>
                <w:color w:val="000000"/>
                <w:lang w:eastAsia="es-ES"/>
              </w:rPr>
            </w:pPr>
          </w:p>
        </w:tc>
        <w:tc>
          <w:tcPr>
            <w:tcW w:w="8080" w:type="dxa"/>
            <w:shd w:val="clear" w:color="auto" w:fill="auto"/>
            <w:noWrap/>
            <w:tcMar>
              <w:top w:w="15" w:type="dxa"/>
              <w:left w:w="15" w:type="dxa"/>
              <w:bottom w:w="0" w:type="dxa"/>
              <w:right w:w="15" w:type="dxa"/>
            </w:tcMar>
            <w:vAlign w:val="bottom"/>
            <w:hideMark/>
          </w:tcPr>
          <w:p w14:paraId="1B587D33" w14:textId="77777777" w:rsidR="007968EC" w:rsidRPr="005F10B9" w:rsidRDefault="007968EC" w:rsidP="007968EC">
            <w:pPr>
              <w:ind w:left="128"/>
              <w:rPr>
                <w:rFonts w:ascii="Arial Narrow" w:hAnsi="Arial Narrow"/>
                <w:color w:val="000000"/>
                <w:lang w:val="en-US"/>
              </w:rPr>
            </w:pPr>
            <w:r w:rsidRPr="005F10B9">
              <w:rPr>
                <w:rFonts w:ascii="Arial Narrow" w:hAnsi="Arial Narrow"/>
                <w:color w:val="000000"/>
              </w:rPr>
              <w:t>Frecuencia de pagos</w:t>
            </w:r>
          </w:p>
        </w:tc>
      </w:tr>
      <w:tr w:rsidR="007968EC" w:rsidRPr="005F10B9" w14:paraId="40DD55A2" w14:textId="77777777" w:rsidTr="007968EC">
        <w:trPr>
          <w:trHeight w:val="300"/>
        </w:trPr>
        <w:tc>
          <w:tcPr>
            <w:tcW w:w="1261" w:type="dxa"/>
            <w:vMerge/>
            <w:shd w:val="clear" w:color="auto" w:fill="BFBFBF" w:themeFill="background1" w:themeFillShade="BF"/>
            <w:vAlign w:val="center"/>
            <w:hideMark/>
          </w:tcPr>
          <w:p w14:paraId="08C23854" w14:textId="77777777" w:rsidR="007968EC" w:rsidRPr="005F10B9" w:rsidRDefault="007968EC" w:rsidP="007968EC">
            <w:pPr>
              <w:jc w:val="center"/>
              <w:rPr>
                <w:rFonts w:ascii="Arial Narrow" w:hAnsi="Arial Narrow"/>
                <w:bCs/>
                <w:snapToGrid w:val="0"/>
                <w:color w:val="000000"/>
                <w:lang w:val="en-US" w:eastAsia="es-ES"/>
              </w:rPr>
            </w:pPr>
          </w:p>
        </w:tc>
        <w:tc>
          <w:tcPr>
            <w:tcW w:w="8080" w:type="dxa"/>
            <w:shd w:val="clear" w:color="auto" w:fill="auto"/>
            <w:noWrap/>
            <w:tcMar>
              <w:top w:w="15" w:type="dxa"/>
              <w:left w:w="15" w:type="dxa"/>
              <w:bottom w:w="0" w:type="dxa"/>
              <w:right w:w="15" w:type="dxa"/>
            </w:tcMar>
            <w:vAlign w:val="bottom"/>
            <w:hideMark/>
          </w:tcPr>
          <w:p w14:paraId="1DF7A763" w14:textId="77777777" w:rsidR="007968EC" w:rsidRPr="005F10B9" w:rsidRDefault="007968EC" w:rsidP="007968EC">
            <w:pPr>
              <w:ind w:left="128"/>
              <w:rPr>
                <w:rFonts w:ascii="Arial Narrow" w:hAnsi="Arial Narrow"/>
                <w:color w:val="000000"/>
              </w:rPr>
            </w:pPr>
            <w:r w:rsidRPr="005F10B9">
              <w:rPr>
                <w:rFonts w:ascii="Arial Narrow" w:hAnsi="Arial Narrow"/>
                <w:color w:val="000000"/>
              </w:rPr>
              <w:t>Convención de Base de Cálculo</w:t>
            </w:r>
          </w:p>
        </w:tc>
      </w:tr>
      <w:tr w:rsidR="007968EC" w:rsidRPr="005F10B9" w14:paraId="25A953A2" w14:textId="77777777" w:rsidTr="007968EC">
        <w:trPr>
          <w:trHeight w:val="300"/>
        </w:trPr>
        <w:tc>
          <w:tcPr>
            <w:tcW w:w="1261" w:type="dxa"/>
            <w:shd w:val="clear" w:color="auto" w:fill="BFBFBF" w:themeFill="background1" w:themeFillShade="BF"/>
            <w:vAlign w:val="center"/>
          </w:tcPr>
          <w:p w14:paraId="062B0B6F" w14:textId="77777777" w:rsidR="007968EC" w:rsidRPr="005F10B9" w:rsidRDefault="007968EC" w:rsidP="007968EC">
            <w:pPr>
              <w:jc w:val="center"/>
              <w:rPr>
                <w:rFonts w:ascii="Arial Narrow" w:hAnsi="Arial Narrow"/>
                <w:bCs/>
                <w:snapToGrid w:val="0"/>
                <w:color w:val="000000"/>
                <w:lang w:val="en-US" w:eastAsia="es-ES"/>
              </w:rPr>
            </w:pPr>
            <w:r w:rsidRPr="005F10B9">
              <w:rPr>
                <w:rFonts w:ascii="Arial Narrow" w:hAnsi="Arial Narrow"/>
                <w:bCs/>
                <w:snapToGrid w:val="0"/>
                <w:color w:val="000000"/>
                <w:lang w:val="en-US" w:eastAsia="es-ES"/>
              </w:rPr>
              <w:lastRenderedPageBreak/>
              <w:t>Stub</w:t>
            </w:r>
          </w:p>
        </w:tc>
        <w:tc>
          <w:tcPr>
            <w:tcW w:w="8080" w:type="dxa"/>
            <w:shd w:val="clear" w:color="auto" w:fill="auto"/>
            <w:noWrap/>
            <w:tcMar>
              <w:top w:w="15" w:type="dxa"/>
              <w:left w:w="15" w:type="dxa"/>
              <w:bottom w:w="0" w:type="dxa"/>
              <w:right w:w="15" w:type="dxa"/>
            </w:tcMar>
            <w:vAlign w:val="bottom"/>
          </w:tcPr>
          <w:p w14:paraId="3C626429" w14:textId="77777777" w:rsidR="007968EC" w:rsidRPr="005F10B9" w:rsidRDefault="007968EC" w:rsidP="007968EC">
            <w:pPr>
              <w:ind w:left="128"/>
              <w:rPr>
                <w:rFonts w:ascii="Arial Narrow" w:hAnsi="Arial Narrow"/>
                <w:color w:val="000000"/>
              </w:rPr>
            </w:pPr>
            <w:r w:rsidRPr="005F10B9">
              <w:rPr>
                <w:rFonts w:ascii="Arial Narrow" w:hAnsi="Arial Narrow"/>
                <w:color w:val="000000"/>
              </w:rPr>
              <w:t>Periodo Roto</w:t>
            </w:r>
          </w:p>
        </w:tc>
      </w:tr>
      <w:tr w:rsidR="007968EC" w:rsidRPr="005F10B9" w14:paraId="03A67BC9" w14:textId="77777777" w:rsidTr="007968EC">
        <w:trPr>
          <w:trHeight w:val="300"/>
        </w:trPr>
        <w:tc>
          <w:tcPr>
            <w:tcW w:w="1261" w:type="dxa"/>
            <w:shd w:val="clear" w:color="auto" w:fill="BFBFBF" w:themeFill="background1" w:themeFillShade="BF"/>
            <w:vAlign w:val="center"/>
          </w:tcPr>
          <w:p w14:paraId="6BFA466A" w14:textId="77777777" w:rsidR="007968EC" w:rsidRPr="005F10B9" w:rsidRDefault="007968EC" w:rsidP="007968EC">
            <w:pPr>
              <w:jc w:val="center"/>
              <w:rPr>
                <w:rFonts w:ascii="Arial Narrow" w:hAnsi="Arial Narrow"/>
                <w:bCs/>
                <w:snapToGrid w:val="0"/>
                <w:color w:val="000000"/>
                <w:lang w:val="en-US" w:eastAsia="es-ES"/>
              </w:rPr>
            </w:pPr>
            <w:proofErr w:type="spellStart"/>
            <w:r w:rsidRPr="005F10B9">
              <w:rPr>
                <w:rFonts w:ascii="Arial Narrow" w:hAnsi="Arial Narrow"/>
                <w:bCs/>
                <w:snapToGrid w:val="0"/>
                <w:color w:val="000000"/>
                <w:lang w:val="en-US" w:eastAsia="es-ES"/>
              </w:rPr>
              <w:t>Pagos</w:t>
            </w:r>
            <w:proofErr w:type="spellEnd"/>
            <w:r w:rsidRPr="005F10B9">
              <w:rPr>
                <w:rFonts w:ascii="Arial Narrow" w:hAnsi="Arial Narrow"/>
                <w:bCs/>
                <w:snapToGrid w:val="0"/>
                <w:color w:val="000000"/>
                <w:lang w:val="en-US" w:eastAsia="es-ES"/>
              </w:rPr>
              <w:t xml:space="preserve"> </w:t>
            </w:r>
            <w:proofErr w:type="spellStart"/>
            <w:r w:rsidRPr="005F10B9">
              <w:rPr>
                <w:rFonts w:ascii="Arial Narrow" w:hAnsi="Arial Narrow"/>
                <w:bCs/>
                <w:snapToGrid w:val="0"/>
                <w:color w:val="000000"/>
                <w:lang w:val="en-US" w:eastAsia="es-ES"/>
              </w:rPr>
              <w:t>Adicionales</w:t>
            </w:r>
            <w:proofErr w:type="spellEnd"/>
          </w:p>
        </w:tc>
        <w:tc>
          <w:tcPr>
            <w:tcW w:w="8080" w:type="dxa"/>
            <w:shd w:val="clear" w:color="auto" w:fill="auto"/>
            <w:noWrap/>
            <w:tcMar>
              <w:top w:w="15" w:type="dxa"/>
              <w:left w:w="15" w:type="dxa"/>
              <w:bottom w:w="0" w:type="dxa"/>
              <w:right w:w="15" w:type="dxa"/>
            </w:tcMar>
            <w:vAlign w:val="center"/>
          </w:tcPr>
          <w:p w14:paraId="7B6C452B" w14:textId="77777777" w:rsidR="007968EC" w:rsidRPr="005F10B9" w:rsidRDefault="007968EC" w:rsidP="007968EC">
            <w:pPr>
              <w:ind w:left="128"/>
              <w:rPr>
                <w:rFonts w:ascii="Arial Narrow" w:hAnsi="Arial Narrow"/>
                <w:color w:val="000000"/>
              </w:rPr>
            </w:pPr>
            <w:r w:rsidRPr="005F10B9">
              <w:rPr>
                <w:rFonts w:ascii="Arial Narrow" w:hAnsi="Arial Narrow"/>
                <w:color w:val="000000"/>
              </w:rPr>
              <w:t>Pagos Adicionales</w:t>
            </w:r>
          </w:p>
        </w:tc>
      </w:tr>
      <w:tr w:rsidR="007968EC" w:rsidRPr="005F10B9" w14:paraId="6ECC988D" w14:textId="77777777" w:rsidTr="007968EC">
        <w:trPr>
          <w:trHeight w:val="315"/>
        </w:trPr>
        <w:tc>
          <w:tcPr>
            <w:tcW w:w="1261" w:type="dxa"/>
            <w:shd w:val="clear" w:color="auto" w:fill="BFBFBF" w:themeFill="background1" w:themeFillShade="BF"/>
            <w:noWrap/>
            <w:tcMar>
              <w:top w:w="15" w:type="dxa"/>
              <w:left w:w="15" w:type="dxa"/>
              <w:bottom w:w="0" w:type="dxa"/>
              <w:right w:w="15" w:type="dxa"/>
            </w:tcMar>
            <w:vAlign w:val="center"/>
            <w:hideMark/>
          </w:tcPr>
          <w:p w14:paraId="24E7768F" w14:textId="77777777" w:rsidR="007968EC" w:rsidRPr="005F10B9" w:rsidRDefault="007968EC" w:rsidP="007968EC">
            <w:pPr>
              <w:jc w:val="center"/>
              <w:rPr>
                <w:rFonts w:ascii="Arial Narrow" w:hAnsi="Arial Narrow"/>
                <w:bCs/>
                <w:snapToGrid w:val="0"/>
                <w:color w:val="000000"/>
                <w:lang w:eastAsia="es-ES"/>
              </w:rPr>
            </w:pPr>
            <w:r w:rsidRPr="005F10B9">
              <w:rPr>
                <w:rFonts w:ascii="Arial Narrow" w:hAnsi="Arial Narrow"/>
                <w:bCs/>
                <w:snapToGrid w:val="0"/>
                <w:color w:val="000000"/>
                <w:lang w:eastAsia="es-ES"/>
              </w:rPr>
              <w:t xml:space="preserve">Roll Dates &amp; </w:t>
            </w:r>
            <w:proofErr w:type="spellStart"/>
            <w:r w:rsidRPr="005F10B9">
              <w:rPr>
                <w:rFonts w:ascii="Arial Narrow" w:hAnsi="Arial Narrow"/>
                <w:bCs/>
                <w:snapToGrid w:val="0"/>
                <w:color w:val="000000"/>
                <w:lang w:eastAsia="es-ES"/>
              </w:rPr>
              <w:t>Adjustments</w:t>
            </w:r>
            <w:proofErr w:type="spellEnd"/>
          </w:p>
        </w:tc>
        <w:tc>
          <w:tcPr>
            <w:tcW w:w="8080" w:type="dxa"/>
            <w:shd w:val="clear" w:color="auto" w:fill="auto"/>
            <w:noWrap/>
            <w:tcMar>
              <w:top w:w="15" w:type="dxa"/>
              <w:left w:w="15" w:type="dxa"/>
              <w:bottom w:w="0" w:type="dxa"/>
              <w:right w:w="15" w:type="dxa"/>
            </w:tcMar>
            <w:vAlign w:val="center"/>
            <w:hideMark/>
          </w:tcPr>
          <w:p w14:paraId="5EBC09B0" w14:textId="77777777" w:rsidR="007968EC" w:rsidRPr="005F10B9" w:rsidRDefault="007968EC" w:rsidP="007968EC">
            <w:pPr>
              <w:ind w:left="128"/>
              <w:rPr>
                <w:rFonts w:ascii="Arial Narrow" w:hAnsi="Arial Narrow"/>
                <w:color w:val="000000"/>
              </w:rPr>
            </w:pPr>
            <w:r w:rsidRPr="005F10B9">
              <w:rPr>
                <w:rFonts w:ascii="Arial Narrow" w:hAnsi="Arial Narrow"/>
              </w:rPr>
              <w:t>Fechas de Corte de los Períodos</w:t>
            </w:r>
            <w:r w:rsidRPr="005F10B9">
              <w:rPr>
                <w:rFonts w:ascii="Arial Narrow" w:hAnsi="Arial Narrow"/>
                <w:color w:val="000000"/>
                <w:highlight w:val="red"/>
              </w:rPr>
              <w:t xml:space="preserve"> </w:t>
            </w:r>
          </w:p>
        </w:tc>
      </w:tr>
    </w:tbl>
    <w:p w14:paraId="3A053D7A" w14:textId="77777777" w:rsidR="007968EC" w:rsidRPr="005F10B9" w:rsidRDefault="007968EC" w:rsidP="007968EC">
      <w:pPr>
        <w:rPr>
          <w:rFonts w:ascii="Arial Narrow" w:hAnsi="Arial Narrow" w:cs="Arial"/>
          <w:color w:val="000000"/>
        </w:rPr>
      </w:pPr>
      <w:r w:rsidRPr="005F10B9">
        <w:rPr>
          <w:rFonts w:ascii="Arial Narrow" w:hAnsi="Arial Narrow" w:cs="Arial"/>
          <w:color w:val="000000"/>
        </w:rPr>
        <w:t xml:space="preserve"> </w:t>
      </w:r>
    </w:p>
    <w:p w14:paraId="76144CA8" w14:textId="77777777" w:rsidR="007968EC" w:rsidRPr="005F10B9" w:rsidRDefault="007968EC" w:rsidP="007968EC">
      <w:pPr>
        <w:jc w:val="both"/>
        <w:rPr>
          <w:rFonts w:ascii="Arial Narrow" w:hAnsi="Arial Narrow" w:cs="Arial"/>
          <w:color w:val="000000"/>
        </w:rPr>
      </w:pPr>
      <w:r w:rsidRPr="005F10B9">
        <w:rPr>
          <w:rFonts w:ascii="Arial Narrow" w:hAnsi="Arial Narrow" w:cs="Arial"/>
          <w:color w:val="000000"/>
        </w:rPr>
        <w:t xml:space="preserve">La Cámara no neteará o adicionará las Operaciones sobre Swaps donde el Nominal se amortice durante la vida de la Operación. Las Operaciones sólo serán </w:t>
      </w:r>
      <w:proofErr w:type="spellStart"/>
      <w:r w:rsidRPr="005F10B9">
        <w:rPr>
          <w:rFonts w:ascii="Arial Narrow" w:hAnsi="Arial Narrow" w:cs="Arial"/>
          <w:color w:val="000000"/>
        </w:rPr>
        <w:t>neteables</w:t>
      </w:r>
      <w:proofErr w:type="spellEnd"/>
      <w:r w:rsidRPr="005F10B9">
        <w:rPr>
          <w:rFonts w:ascii="Arial Narrow" w:hAnsi="Arial Narrow" w:cs="Arial"/>
          <w:color w:val="000000"/>
        </w:rPr>
        <w:t xml:space="preserve"> o </w:t>
      </w:r>
      <w:proofErr w:type="spellStart"/>
      <w:r w:rsidRPr="005F10B9">
        <w:rPr>
          <w:rFonts w:ascii="Arial Narrow" w:hAnsi="Arial Narrow" w:cs="Arial"/>
          <w:color w:val="000000"/>
        </w:rPr>
        <w:t>adicionables</w:t>
      </w:r>
      <w:proofErr w:type="spellEnd"/>
      <w:r w:rsidRPr="005F10B9">
        <w:rPr>
          <w:rFonts w:ascii="Arial Narrow" w:hAnsi="Arial Narrow" w:cs="Arial"/>
          <w:color w:val="000000"/>
        </w:rPr>
        <w:t xml:space="preserve"> siempre que pertenezcan a una misma Cuenta.</w:t>
      </w:r>
    </w:p>
    <w:p w14:paraId="03CDB2FC" w14:textId="77777777" w:rsidR="007968EC" w:rsidRPr="005F10B9" w:rsidRDefault="007968EC" w:rsidP="007968EC">
      <w:pPr>
        <w:jc w:val="both"/>
        <w:rPr>
          <w:rFonts w:ascii="Arial Narrow" w:hAnsi="Arial Narrow" w:cs="Arial"/>
          <w:color w:val="000000"/>
        </w:rPr>
      </w:pPr>
    </w:p>
    <w:p w14:paraId="05581B08" w14:textId="77777777" w:rsidR="007968EC" w:rsidRPr="005F10B9" w:rsidRDefault="007968EC" w:rsidP="007968EC">
      <w:pPr>
        <w:jc w:val="both"/>
        <w:rPr>
          <w:rFonts w:ascii="Arial Narrow" w:hAnsi="Arial Narrow" w:cs="Arial"/>
          <w:color w:val="000000"/>
        </w:rPr>
      </w:pPr>
      <w:r w:rsidRPr="005F10B9">
        <w:rPr>
          <w:rFonts w:ascii="Arial Narrow" w:hAnsi="Arial Narrow" w:cs="Arial"/>
          <w:color w:val="000000"/>
        </w:rPr>
        <w:t>En el caso de que las Operaciones Swaps contemplen</w:t>
      </w:r>
      <w:r>
        <w:rPr>
          <w:rFonts w:ascii="Arial Narrow" w:hAnsi="Arial Narrow" w:cs="Arial"/>
          <w:color w:val="000000"/>
        </w:rPr>
        <w:t xml:space="preserve"> un</w:t>
      </w:r>
      <w:r w:rsidRPr="005F10B9">
        <w:rPr>
          <w:rFonts w:ascii="Arial Narrow" w:hAnsi="Arial Narrow" w:cs="Arial"/>
          <w:color w:val="000000"/>
        </w:rPr>
        <w:t xml:space="preserve"> Pago Adicional y sea susceptible de neteo o adición se debe tener en cuenta:</w:t>
      </w:r>
    </w:p>
    <w:p w14:paraId="2011BF33" w14:textId="77777777" w:rsidR="007968EC" w:rsidRPr="005F10B9" w:rsidRDefault="007968EC" w:rsidP="007968EC">
      <w:pPr>
        <w:autoSpaceDE w:val="0"/>
        <w:autoSpaceDN w:val="0"/>
        <w:adjustRightInd w:val="0"/>
        <w:rPr>
          <w:rFonts w:ascii="Arial Narrow" w:hAnsi="Arial Narrow" w:cs="Arial"/>
          <w:color w:val="000000"/>
        </w:rPr>
      </w:pPr>
    </w:p>
    <w:tbl>
      <w:tblPr>
        <w:tblW w:w="863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1403"/>
        <w:gridCol w:w="7229"/>
      </w:tblGrid>
      <w:tr w:rsidR="007968EC" w:rsidRPr="005F10B9" w14:paraId="42CB807F" w14:textId="77777777" w:rsidTr="007968EC">
        <w:trPr>
          <w:trHeight w:val="315"/>
          <w:jc w:val="center"/>
        </w:trPr>
        <w:tc>
          <w:tcPr>
            <w:tcW w:w="8632" w:type="dxa"/>
            <w:gridSpan w:val="2"/>
            <w:shd w:val="clear" w:color="auto" w:fill="auto"/>
            <w:noWrap/>
            <w:tcMar>
              <w:top w:w="15" w:type="dxa"/>
              <w:left w:w="15" w:type="dxa"/>
              <w:bottom w:w="0" w:type="dxa"/>
              <w:right w:w="15" w:type="dxa"/>
            </w:tcMar>
            <w:vAlign w:val="bottom"/>
            <w:hideMark/>
          </w:tcPr>
          <w:p w14:paraId="63E0D154" w14:textId="77777777" w:rsidR="007968EC" w:rsidRPr="005F10B9" w:rsidRDefault="007968EC" w:rsidP="007968EC">
            <w:pPr>
              <w:jc w:val="center"/>
              <w:rPr>
                <w:rFonts w:ascii="Arial Narrow" w:hAnsi="Arial Narrow"/>
                <w:b/>
                <w:snapToGrid w:val="0"/>
                <w:lang w:eastAsia="es-ES"/>
              </w:rPr>
            </w:pPr>
            <w:r w:rsidRPr="005F10B9">
              <w:rPr>
                <w:rFonts w:ascii="Arial Narrow" w:hAnsi="Arial Narrow"/>
                <w:b/>
                <w:snapToGrid w:val="0"/>
                <w:lang w:eastAsia="es-ES"/>
              </w:rPr>
              <w:t>Neteo</w:t>
            </w:r>
          </w:p>
        </w:tc>
      </w:tr>
      <w:tr w:rsidR="007968EC" w:rsidRPr="005F10B9" w14:paraId="45E5157A" w14:textId="77777777" w:rsidTr="007968EC">
        <w:trPr>
          <w:trHeight w:val="315"/>
          <w:jc w:val="center"/>
        </w:trPr>
        <w:tc>
          <w:tcPr>
            <w:tcW w:w="1403" w:type="dxa"/>
            <w:shd w:val="clear" w:color="auto" w:fill="BFBFBF" w:themeFill="background1" w:themeFillShade="BF"/>
            <w:noWrap/>
            <w:tcMar>
              <w:top w:w="15" w:type="dxa"/>
              <w:left w:w="15" w:type="dxa"/>
              <w:bottom w:w="0" w:type="dxa"/>
              <w:right w:w="15" w:type="dxa"/>
            </w:tcMar>
            <w:vAlign w:val="center"/>
            <w:hideMark/>
          </w:tcPr>
          <w:p w14:paraId="140D6114" w14:textId="77777777" w:rsidR="007968EC" w:rsidRPr="005F10B9" w:rsidRDefault="007968EC" w:rsidP="007968EC">
            <w:pPr>
              <w:jc w:val="center"/>
              <w:rPr>
                <w:rFonts w:ascii="Arial Narrow" w:hAnsi="Arial Narrow"/>
                <w:bCs/>
                <w:snapToGrid w:val="0"/>
                <w:color w:val="000000"/>
                <w:lang w:eastAsia="es-ES"/>
              </w:rPr>
            </w:pPr>
            <w:r w:rsidRPr="005F10B9">
              <w:rPr>
                <w:rFonts w:ascii="Arial Narrow" w:hAnsi="Arial Narrow"/>
                <w:bCs/>
                <w:snapToGrid w:val="0"/>
                <w:color w:val="000000"/>
                <w:lang w:eastAsia="es-ES"/>
              </w:rPr>
              <w:t>Parcial</w:t>
            </w:r>
          </w:p>
        </w:tc>
        <w:tc>
          <w:tcPr>
            <w:tcW w:w="7229" w:type="dxa"/>
            <w:shd w:val="clear" w:color="auto" w:fill="auto"/>
            <w:noWrap/>
            <w:tcMar>
              <w:top w:w="15" w:type="dxa"/>
              <w:left w:w="15" w:type="dxa"/>
              <w:bottom w:w="0" w:type="dxa"/>
              <w:right w:w="15" w:type="dxa"/>
            </w:tcMar>
            <w:vAlign w:val="bottom"/>
            <w:hideMark/>
          </w:tcPr>
          <w:p w14:paraId="6052070B" w14:textId="77777777" w:rsidR="007968EC" w:rsidRPr="005F10B9" w:rsidRDefault="007968EC" w:rsidP="007968EC">
            <w:pPr>
              <w:ind w:left="130"/>
              <w:rPr>
                <w:rFonts w:ascii="Arial Narrow" w:hAnsi="Arial Narrow" w:cs="Arial"/>
                <w:color w:val="000000"/>
                <w:lang w:val="es-ES"/>
              </w:rPr>
            </w:pPr>
            <w:r>
              <w:rPr>
                <w:rFonts w:ascii="Arial Narrow" w:hAnsi="Arial Narrow" w:cs="Arial"/>
                <w:color w:val="000000"/>
              </w:rPr>
              <w:t>El</w:t>
            </w:r>
            <w:r w:rsidRPr="005F10B9">
              <w:rPr>
                <w:rFonts w:ascii="Arial Narrow" w:hAnsi="Arial Narrow" w:cs="Arial"/>
                <w:color w:val="000000"/>
              </w:rPr>
              <w:t xml:space="preserve"> Pago Adicional será reflejado en la Operación resultante del Neteo.</w:t>
            </w:r>
          </w:p>
        </w:tc>
      </w:tr>
      <w:tr w:rsidR="007968EC" w:rsidRPr="005F10B9" w14:paraId="6ED41E92" w14:textId="77777777" w:rsidTr="007968EC">
        <w:trPr>
          <w:trHeight w:val="315"/>
          <w:jc w:val="center"/>
        </w:trPr>
        <w:tc>
          <w:tcPr>
            <w:tcW w:w="1403" w:type="dxa"/>
            <w:shd w:val="clear" w:color="auto" w:fill="BFBFBF" w:themeFill="background1" w:themeFillShade="BF"/>
            <w:noWrap/>
            <w:tcMar>
              <w:top w:w="15" w:type="dxa"/>
              <w:left w:w="15" w:type="dxa"/>
              <w:bottom w:w="0" w:type="dxa"/>
              <w:right w:w="15" w:type="dxa"/>
            </w:tcMar>
            <w:vAlign w:val="center"/>
          </w:tcPr>
          <w:p w14:paraId="0075B30E" w14:textId="77777777" w:rsidR="007968EC" w:rsidRPr="005F10B9" w:rsidRDefault="007968EC" w:rsidP="007968EC">
            <w:pPr>
              <w:jc w:val="center"/>
              <w:rPr>
                <w:rFonts w:ascii="Arial Narrow" w:hAnsi="Arial Narrow"/>
                <w:bCs/>
                <w:snapToGrid w:val="0"/>
                <w:color w:val="000000"/>
                <w:lang w:eastAsia="es-ES"/>
              </w:rPr>
            </w:pPr>
            <w:r w:rsidRPr="005F10B9">
              <w:rPr>
                <w:rFonts w:ascii="Arial Narrow" w:hAnsi="Arial Narrow"/>
                <w:bCs/>
                <w:snapToGrid w:val="0"/>
                <w:color w:val="000000"/>
                <w:lang w:eastAsia="es-ES"/>
              </w:rPr>
              <w:t>Total</w:t>
            </w:r>
          </w:p>
        </w:tc>
        <w:tc>
          <w:tcPr>
            <w:tcW w:w="7229" w:type="dxa"/>
            <w:shd w:val="clear" w:color="auto" w:fill="auto"/>
            <w:noWrap/>
            <w:tcMar>
              <w:top w:w="15" w:type="dxa"/>
              <w:left w:w="15" w:type="dxa"/>
              <w:bottom w:w="0" w:type="dxa"/>
              <w:right w:w="15" w:type="dxa"/>
            </w:tcMar>
            <w:vAlign w:val="bottom"/>
          </w:tcPr>
          <w:p w14:paraId="3E62C95F" w14:textId="77777777" w:rsidR="007968EC" w:rsidRPr="005F10B9" w:rsidRDefault="007968EC" w:rsidP="007968EC">
            <w:pPr>
              <w:ind w:left="130"/>
              <w:rPr>
                <w:rFonts w:ascii="Arial Narrow" w:hAnsi="Arial Narrow" w:cs="Arial"/>
                <w:color w:val="000000"/>
                <w:lang w:val="es-ES"/>
              </w:rPr>
            </w:pPr>
            <w:r>
              <w:rPr>
                <w:rFonts w:ascii="Arial Narrow" w:hAnsi="Arial Narrow" w:cs="Arial"/>
                <w:color w:val="000000"/>
                <w:lang w:val="es-ES"/>
              </w:rPr>
              <w:t>El</w:t>
            </w:r>
            <w:r w:rsidRPr="005F10B9">
              <w:rPr>
                <w:rFonts w:ascii="Arial Narrow" w:hAnsi="Arial Narrow" w:cs="Arial"/>
                <w:color w:val="000000"/>
                <w:lang w:val="es-ES"/>
              </w:rPr>
              <w:t xml:space="preserve"> Pago Adicional debe coincidir en Fecha de pago y ser de signo inverso.</w:t>
            </w:r>
          </w:p>
        </w:tc>
      </w:tr>
    </w:tbl>
    <w:p w14:paraId="5AA5C345" w14:textId="77777777" w:rsidR="007968EC" w:rsidRDefault="007968EC" w:rsidP="007968EC">
      <w:pPr>
        <w:autoSpaceDE w:val="0"/>
        <w:autoSpaceDN w:val="0"/>
        <w:adjustRightInd w:val="0"/>
        <w:rPr>
          <w:rFonts w:ascii="Arial Narrow" w:hAnsi="Arial Narrow" w:cs="Arial"/>
          <w:color w:val="000000"/>
        </w:rPr>
      </w:pPr>
    </w:p>
    <w:p w14:paraId="24410E34" w14:textId="77777777" w:rsidR="007968EC" w:rsidRDefault="007968EC" w:rsidP="007968EC">
      <w:pPr>
        <w:autoSpaceDE w:val="0"/>
        <w:autoSpaceDN w:val="0"/>
        <w:adjustRightInd w:val="0"/>
        <w:rPr>
          <w:rFonts w:ascii="Arial Narrow" w:hAnsi="Arial Narrow" w:cs="Arial"/>
          <w:color w:val="000000"/>
        </w:rPr>
      </w:pPr>
    </w:p>
    <w:tbl>
      <w:tblPr>
        <w:tblW w:w="863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1403"/>
        <w:gridCol w:w="7229"/>
      </w:tblGrid>
      <w:tr w:rsidR="007968EC" w:rsidRPr="005F10B9" w14:paraId="6CECC8D8" w14:textId="77777777" w:rsidTr="007968EC">
        <w:trPr>
          <w:trHeight w:val="315"/>
          <w:jc w:val="center"/>
        </w:trPr>
        <w:tc>
          <w:tcPr>
            <w:tcW w:w="8632" w:type="dxa"/>
            <w:gridSpan w:val="2"/>
            <w:shd w:val="clear" w:color="auto" w:fill="auto"/>
            <w:noWrap/>
            <w:tcMar>
              <w:top w:w="15" w:type="dxa"/>
              <w:left w:w="15" w:type="dxa"/>
              <w:bottom w:w="0" w:type="dxa"/>
              <w:right w:w="15" w:type="dxa"/>
            </w:tcMar>
            <w:vAlign w:val="bottom"/>
            <w:hideMark/>
          </w:tcPr>
          <w:p w14:paraId="6ECA9616" w14:textId="77777777" w:rsidR="007968EC" w:rsidRPr="005F10B9" w:rsidRDefault="007968EC" w:rsidP="007968EC">
            <w:pPr>
              <w:jc w:val="center"/>
              <w:rPr>
                <w:rFonts w:ascii="Arial Narrow" w:hAnsi="Arial Narrow"/>
                <w:b/>
                <w:snapToGrid w:val="0"/>
                <w:lang w:eastAsia="es-ES"/>
              </w:rPr>
            </w:pPr>
            <w:r w:rsidRPr="005F10B9">
              <w:rPr>
                <w:rFonts w:ascii="Arial Narrow" w:hAnsi="Arial Narrow"/>
                <w:b/>
                <w:snapToGrid w:val="0"/>
                <w:lang w:eastAsia="es-ES"/>
              </w:rPr>
              <w:t>Agregación</w:t>
            </w:r>
          </w:p>
        </w:tc>
      </w:tr>
      <w:tr w:rsidR="007968EC" w:rsidRPr="005F10B9" w14:paraId="26E5E4B1" w14:textId="77777777" w:rsidTr="007968EC">
        <w:trPr>
          <w:trHeight w:val="315"/>
          <w:jc w:val="center"/>
        </w:trPr>
        <w:tc>
          <w:tcPr>
            <w:tcW w:w="1403" w:type="dxa"/>
            <w:shd w:val="clear" w:color="auto" w:fill="BFBFBF" w:themeFill="background1" w:themeFillShade="BF"/>
            <w:noWrap/>
            <w:tcMar>
              <w:top w:w="15" w:type="dxa"/>
              <w:left w:w="15" w:type="dxa"/>
              <w:bottom w:w="0" w:type="dxa"/>
              <w:right w:w="15" w:type="dxa"/>
            </w:tcMar>
            <w:vAlign w:val="center"/>
          </w:tcPr>
          <w:p w14:paraId="52E1F43D" w14:textId="77777777" w:rsidR="007968EC" w:rsidRPr="005F10B9" w:rsidRDefault="007968EC" w:rsidP="007968EC">
            <w:pPr>
              <w:jc w:val="center"/>
              <w:rPr>
                <w:rFonts w:ascii="Arial Narrow" w:hAnsi="Arial Narrow"/>
                <w:bCs/>
                <w:snapToGrid w:val="0"/>
                <w:color w:val="000000"/>
                <w:lang w:eastAsia="es-ES"/>
              </w:rPr>
            </w:pPr>
            <w:r w:rsidRPr="005F10B9">
              <w:rPr>
                <w:rFonts w:ascii="Arial Narrow" w:hAnsi="Arial Narrow"/>
                <w:bCs/>
                <w:snapToGrid w:val="0"/>
                <w:color w:val="000000"/>
                <w:lang w:eastAsia="es-ES"/>
              </w:rPr>
              <w:t>Total</w:t>
            </w:r>
          </w:p>
        </w:tc>
        <w:tc>
          <w:tcPr>
            <w:tcW w:w="7229" w:type="dxa"/>
            <w:shd w:val="clear" w:color="auto" w:fill="auto"/>
            <w:noWrap/>
            <w:tcMar>
              <w:top w:w="15" w:type="dxa"/>
              <w:left w:w="15" w:type="dxa"/>
              <w:bottom w:w="0" w:type="dxa"/>
              <w:right w:w="15" w:type="dxa"/>
            </w:tcMar>
            <w:vAlign w:val="bottom"/>
          </w:tcPr>
          <w:p w14:paraId="4163A60C" w14:textId="77777777" w:rsidR="007968EC" w:rsidRPr="005F10B9" w:rsidRDefault="007968EC" w:rsidP="007968EC">
            <w:pPr>
              <w:ind w:left="130"/>
              <w:rPr>
                <w:rFonts w:ascii="Arial Narrow" w:hAnsi="Arial Narrow" w:cs="Arial"/>
                <w:color w:val="000000"/>
                <w:lang w:val="es-ES"/>
              </w:rPr>
            </w:pPr>
            <w:r>
              <w:rPr>
                <w:rFonts w:ascii="Arial Narrow" w:hAnsi="Arial Narrow" w:cs="Arial"/>
                <w:color w:val="000000"/>
                <w:lang w:val="es-ES"/>
              </w:rPr>
              <w:t>El</w:t>
            </w:r>
            <w:r w:rsidRPr="005F10B9">
              <w:rPr>
                <w:rFonts w:ascii="Arial Narrow" w:hAnsi="Arial Narrow" w:cs="Arial"/>
                <w:color w:val="000000"/>
                <w:lang w:val="es-ES"/>
              </w:rPr>
              <w:t xml:space="preserve"> Pago Adicional </w:t>
            </w:r>
            <w:r w:rsidRPr="005F10B9">
              <w:rPr>
                <w:rFonts w:ascii="Arial Narrow" w:hAnsi="Arial Narrow" w:cs="Arial"/>
                <w:color w:val="000000"/>
              </w:rPr>
              <w:t>será reflejado en la Operación resultante de la Agregación</w:t>
            </w:r>
            <w:r w:rsidRPr="005F10B9">
              <w:rPr>
                <w:rFonts w:ascii="Arial Narrow" w:hAnsi="Arial Narrow"/>
              </w:rPr>
              <w:t xml:space="preserve"> </w:t>
            </w:r>
          </w:p>
        </w:tc>
      </w:tr>
    </w:tbl>
    <w:p w14:paraId="5C8314F8" w14:textId="77777777" w:rsidR="007968EC" w:rsidRPr="005F10B9" w:rsidRDefault="007968EC" w:rsidP="007968EC">
      <w:pPr>
        <w:autoSpaceDE w:val="0"/>
        <w:autoSpaceDN w:val="0"/>
        <w:adjustRightInd w:val="0"/>
        <w:jc w:val="both"/>
        <w:rPr>
          <w:rFonts w:ascii="Arial Narrow" w:hAnsi="Arial Narrow" w:cs="Verdana"/>
          <w:bCs/>
        </w:rPr>
      </w:pPr>
    </w:p>
    <w:p w14:paraId="2BC8508D" w14:textId="77777777" w:rsidR="007968EC" w:rsidRPr="005F10B9" w:rsidRDefault="007968EC" w:rsidP="007968EC">
      <w:pPr>
        <w:pStyle w:val="ARTICULO0"/>
      </w:pPr>
      <w:bookmarkStart w:id="6462" w:name="_Toc31716572"/>
      <w:r w:rsidRPr="005F10B9">
        <w:t>Artículo 5.7.2.4. Liquidación al Vencimiento.</w:t>
      </w:r>
      <w:bookmarkEnd w:id="6462"/>
    </w:p>
    <w:p w14:paraId="3EC6FEA0" w14:textId="77777777" w:rsidR="007968EC" w:rsidRPr="00D044D5" w:rsidRDefault="007968EC" w:rsidP="007968EC">
      <w:pPr>
        <w:jc w:val="both"/>
        <w:rPr>
          <w:rFonts w:ascii="Arial Narrow" w:hAnsi="Arial Narrow"/>
          <w:b/>
        </w:rPr>
      </w:pPr>
    </w:p>
    <w:p w14:paraId="73230BF3" w14:textId="77777777" w:rsidR="007968EC" w:rsidRPr="00D044D5" w:rsidRDefault="007968EC" w:rsidP="007968EC">
      <w:pPr>
        <w:pStyle w:val="ARTICULO0"/>
        <w:rPr>
          <w:u w:val="none"/>
        </w:rPr>
      </w:pPr>
      <w:bookmarkStart w:id="6463" w:name="_Toc31716573"/>
      <w:r w:rsidRPr="00D044D5">
        <w:rPr>
          <w:u w:val="none"/>
        </w:rPr>
        <w:t>(Este artículo fue modificado mediante Circular 11 del 3 de agosto de 2018, publicada en el Boletín Normativo No. 17 del 3 de agosto de 2018, y mediante Circular 19 del 22 de noviembre de 2019, publicada en el Boletín Normativo No. 034 del 22 de noviembre de 2019. Rige a partir del 25 de noviembre de 2019).</w:t>
      </w:r>
      <w:bookmarkEnd w:id="6463"/>
    </w:p>
    <w:p w14:paraId="228E6297" w14:textId="77777777" w:rsidR="007968EC" w:rsidRPr="005F10B9" w:rsidRDefault="007968EC" w:rsidP="007968EC">
      <w:pPr>
        <w:jc w:val="both"/>
        <w:rPr>
          <w:rFonts w:ascii="Arial Narrow" w:hAnsi="Arial Narrow" w:cs="Arial"/>
          <w:b/>
          <w:color w:val="000000" w:themeColor="text1"/>
          <w:u w:val="single"/>
          <w:lang w:eastAsia="es-ES"/>
        </w:rPr>
      </w:pPr>
    </w:p>
    <w:p w14:paraId="4B68F154" w14:textId="77777777" w:rsidR="007968EC" w:rsidRPr="005F10B9" w:rsidRDefault="007968EC" w:rsidP="007968EC">
      <w:pPr>
        <w:keepNext/>
        <w:tabs>
          <w:tab w:val="left" w:pos="1701"/>
        </w:tabs>
        <w:jc w:val="both"/>
        <w:outlineLvl w:val="2"/>
        <w:rPr>
          <w:rFonts w:ascii="Arial Narrow" w:hAnsi="Arial Narrow" w:cs="Arial"/>
          <w:b/>
          <w:color w:val="000000" w:themeColor="text1"/>
          <w:u w:val="single"/>
          <w:lang w:eastAsia="es-ES"/>
        </w:rPr>
      </w:pPr>
      <w:r w:rsidRPr="00CA3EBB">
        <w:rPr>
          <w:rFonts w:ascii="Arial Narrow" w:hAnsi="Arial Narrow" w:cs="Arial"/>
          <w:color w:val="000000" w:themeColor="text1"/>
          <w:lang w:eastAsia="es-ES"/>
        </w:rPr>
        <w:t xml:space="preserve">El Método, Tipo y Fecha Liquidación al Vencimiento de los IRS,OIS, </w:t>
      </w:r>
      <w:r w:rsidRPr="00294E08">
        <w:rPr>
          <w:rFonts w:ascii="Arial Narrow" w:hAnsi="Arial Narrow" w:cs="Arial"/>
          <w:color w:val="000000" w:themeColor="text1"/>
          <w:lang w:eastAsia="es-ES"/>
        </w:rPr>
        <w:t xml:space="preserve">y Cross Currency Basis Swap </w:t>
      </w:r>
      <w:r w:rsidRPr="00CA3EBB">
        <w:rPr>
          <w:rFonts w:ascii="Arial Narrow" w:hAnsi="Arial Narrow" w:cs="Arial"/>
          <w:color w:val="000000" w:themeColor="text1"/>
          <w:lang w:eastAsia="es-ES"/>
        </w:rPr>
        <w:t>O</w:t>
      </w:r>
      <w:r>
        <w:rPr>
          <w:rFonts w:ascii="Arial Narrow" w:hAnsi="Arial Narrow" w:cs="Arial"/>
          <w:color w:val="000000" w:themeColor="text1"/>
          <w:lang w:eastAsia="es-ES"/>
        </w:rPr>
        <w:t xml:space="preserve">vernight (CCBSO) </w:t>
      </w:r>
      <w:r w:rsidRPr="00CA3EBB">
        <w:rPr>
          <w:rFonts w:ascii="Arial Narrow" w:hAnsi="Arial Narrow" w:cs="Arial"/>
          <w:color w:val="000000" w:themeColor="text1"/>
          <w:lang w:eastAsia="es-ES"/>
        </w:rPr>
        <w:t>son los siguientes:</w:t>
      </w:r>
    </w:p>
    <w:p w14:paraId="13FEFF61" w14:textId="77777777" w:rsidR="007968EC" w:rsidRPr="005F10B9" w:rsidRDefault="007968EC" w:rsidP="007968EC">
      <w:pPr>
        <w:outlineLvl w:val="1"/>
        <w:rPr>
          <w:rFonts w:ascii="Arial Narrow" w:eastAsia="Calibri" w:hAnsi="Arial Narrow" w:cs="Arial"/>
          <w:b/>
          <w:color w:val="000000" w:themeColor="text1"/>
          <w:lang w:eastAsia="es-ES"/>
        </w:rPr>
      </w:pPr>
    </w:p>
    <w:tbl>
      <w:tblPr>
        <w:tblW w:w="9583"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4751"/>
        <w:gridCol w:w="4832"/>
      </w:tblGrid>
      <w:tr w:rsidR="007968EC" w:rsidRPr="005F10B9" w14:paraId="5F24BBDA" w14:textId="77777777" w:rsidTr="007968EC">
        <w:trPr>
          <w:trHeight w:val="668"/>
        </w:trPr>
        <w:tc>
          <w:tcPr>
            <w:tcW w:w="4751" w:type="dxa"/>
            <w:shd w:val="clear" w:color="auto" w:fill="BFBFBF" w:themeFill="background1" w:themeFillShade="BF"/>
            <w:vAlign w:val="center"/>
          </w:tcPr>
          <w:p w14:paraId="3897FA3D" w14:textId="77777777" w:rsidR="007968EC" w:rsidRPr="005F10B9" w:rsidRDefault="007968EC" w:rsidP="007968EC">
            <w:pPr>
              <w:rPr>
                <w:rFonts w:ascii="Arial Narrow" w:hAnsi="Arial Narrow"/>
                <w:b/>
                <w:bCs/>
              </w:rPr>
            </w:pPr>
            <w:r w:rsidRPr="005F10B9">
              <w:rPr>
                <w:rFonts w:ascii="Arial Narrow" w:hAnsi="Arial Narrow"/>
                <w:b/>
              </w:rPr>
              <w:t>Método de Liquidación</w:t>
            </w:r>
          </w:p>
        </w:tc>
        <w:tc>
          <w:tcPr>
            <w:tcW w:w="4832" w:type="dxa"/>
          </w:tcPr>
          <w:p w14:paraId="3967D35F" w14:textId="77777777" w:rsidR="007968EC" w:rsidRPr="005F10B9" w:rsidRDefault="007968EC" w:rsidP="007968EC">
            <w:pPr>
              <w:jc w:val="both"/>
              <w:rPr>
                <w:rFonts w:ascii="Arial Narrow" w:hAnsi="Arial Narrow"/>
              </w:rPr>
            </w:pPr>
            <w:r w:rsidRPr="005F10B9">
              <w:rPr>
                <w:rFonts w:ascii="Arial Narrow" w:hAnsi="Arial Narrow"/>
              </w:rPr>
              <w:t>Liquidación por Diferencias que se realizará en pesos moneda legal colombiana.</w:t>
            </w:r>
          </w:p>
        </w:tc>
      </w:tr>
      <w:tr w:rsidR="007968EC" w:rsidRPr="005F10B9" w14:paraId="6D0AFA4D" w14:textId="77777777" w:rsidTr="007968EC">
        <w:trPr>
          <w:trHeight w:val="439"/>
        </w:trPr>
        <w:tc>
          <w:tcPr>
            <w:tcW w:w="4751" w:type="dxa"/>
            <w:shd w:val="clear" w:color="auto" w:fill="BFBFBF" w:themeFill="background1" w:themeFillShade="BF"/>
            <w:vAlign w:val="center"/>
          </w:tcPr>
          <w:p w14:paraId="1F4779F5" w14:textId="77777777" w:rsidR="007968EC" w:rsidRPr="005F10B9" w:rsidRDefault="007968EC" w:rsidP="007968EC">
            <w:pPr>
              <w:rPr>
                <w:rFonts w:ascii="Arial Narrow" w:hAnsi="Arial Narrow"/>
                <w:b/>
                <w:bCs/>
              </w:rPr>
            </w:pPr>
            <w:r w:rsidRPr="005F10B9">
              <w:rPr>
                <w:rFonts w:ascii="Arial Narrow" w:hAnsi="Arial Narrow"/>
                <w:b/>
              </w:rPr>
              <w:t>Tipo de Liquidación</w:t>
            </w:r>
          </w:p>
        </w:tc>
        <w:tc>
          <w:tcPr>
            <w:tcW w:w="4832" w:type="dxa"/>
          </w:tcPr>
          <w:p w14:paraId="141E64BA" w14:textId="77777777" w:rsidR="007968EC" w:rsidRPr="005F10B9" w:rsidRDefault="007968EC" w:rsidP="007968EC">
            <w:pPr>
              <w:jc w:val="both"/>
              <w:rPr>
                <w:rFonts w:ascii="Arial Narrow" w:hAnsi="Arial Narrow"/>
              </w:rPr>
            </w:pPr>
            <w:r w:rsidRPr="005F10B9">
              <w:rPr>
                <w:rFonts w:ascii="Arial Narrow" w:hAnsi="Arial Narrow"/>
              </w:rPr>
              <w:t>Liquidación Únicamente al Vencimiento</w:t>
            </w:r>
          </w:p>
        </w:tc>
      </w:tr>
      <w:tr w:rsidR="007968EC" w:rsidRPr="005F10B9" w14:paraId="266F6338" w14:textId="77777777" w:rsidTr="007968EC">
        <w:trPr>
          <w:trHeight w:val="439"/>
        </w:trPr>
        <w:tc>
          <w:tcPr>
            <w:tcW w:w="4751" w:type="dxa"/>
            <w:shd w:val="clear" w:color="auto" w:fill="BFBFBF" w:themeFill="background1" w:themeFillShade="BF"/>
            <w:vAlign w:val="center"/>
          </w:tcPr>
          <w:p w14:paraId="593147CB" w14:textId="77777777" w:rsidR="007968EC" w:rsidRPr="005F10B9" w:rsidRDefault="007968EC" w:rsidP="007968EC">
            <w:pPr>
              <w:rPr>
                <w:rFonts w:ascii="Arial Narrow" w:hAnsi="Arial Narrow"/>
                <w:b/>
                <w:bCs/>
              </w:rPr>
            </w:pPr>
            <w:r w:rsidRPr="005F10B9">
              <w:rPr>
                <w:rFonts w:ascii="Arial Narrow" w:hAnsi="Arial Narrow"/>
                <w:b/>
              </w:rPr>
              <w:t>Fecha de Liquidación al Vencimiento</w:t>
            </w:r>
          </w:p>
        </w:tc>
        <w:tc>
          <w:tcPr>
            <w:tcW w:w="4832" w:type="dxa"/>
          </w:tcPr>
          <w:p w14:paraId="529C1F45" w14:textId="77777777" w:rsidR="007968EC" w:rsidRPr="005F10B9" w:rsidRDefault="007968EC" w:rsidP="007968EC">
            <w:pPr>
              <w:autoSpaceDE w:val="0"/>
              <w:autoSpaceDN w:val="0"/>
              <w:adjustRightInd w:val="0"/>
              <w:jc w:val="both"/>
              <w:rPr>
                <w:rFonts w:ascii="Arial Narrow" w:hAnsi="Arial Narrow"/>
              </w:rPr>
            </w:pPr>
            <w:r w:rsidRPr="005F10B9">
              <w:rPr>
                <w:rFonts w:ascii="Arial Narrow" w:hAnsi="Arial Narrow"/>
              </w:rPr>
              <w:t xml:space="preserve">El día de la última liquidación será el día hábil siguiente a la fecha de vencimiento. </w:t>
            </w:r>
          </w:p>
          <w:p w14:paraId="4A6882D1" w14:textId="77777777" w:rsidR="007968EC" w:rsidRPr="005F10B9" w:rsidRDefault="007968EC" w:rsidP="007968EC">
            <w:pPr>
              <w:autoSpaceDE w:val="0"/>
              <w:autoSpaceDN w:val="0"/>
              <w:adjustRightInd w:val="0"/>
              <w:ind w:left="336"/>
              <w:jc w:val="both"/>
              <w:rPr>
                <w:rFonts w:ascii="Arial Narrow" w:hAnsi="Arial Narrow" w:cs="Arial"/>
                <w:color w:val="000000"/>
                <w:lang w:val="es-ES" w:eastAsia="es-ES"/>
              </w:rPr>
            </w:pPr>
          </w:p>
        </w:tc>
      </w:tr>
    </w:tbl>
    <w:p w14:paraId="1A3E2646" w14:textId="77777777" w:rsidR="007968EC" w:rsidRPr="005F10B9" w:rsidRDefault="007968EC" w:rsidP="007968EC">
      <w:pPr>
        <w:keepNext/>
        <w:outlineLvl w:val="0"/>
        <w:rPr>
          <w:rFonts w:ascii="Arial Narrow" w:eastAsia="Calibri" w:hAnsi="Arial Narrow" w:cs="Arial"/>
          <w:b/>
          <w:kern w:val="32"/>
        </w:rPr>
      </w:pPr>
    </w:p>
    <w:p w14:paraId="5D4F177B" w14:textId="77777777" w:rsidR="007968EC" w:rsidRPr="005F10B9" w:rsidRDefault="007968EC" w:rsidP="007968EC">
      <w:pPr>
        <w:keepNext/>
        <w:outlineLvl w:val="0"/>
        <w:rPr>
          <w:rFonts w:ascii="Arial Narrow" w:eastAsia="Calibri" w:hAnsi="Arial Narrow" w:cs="Arial"/>
          <w:b/>
          <w:kern w:val="32"/>
          <w:lang w:val="es-ES"/>
        </w:rPr>
      </w:pPr>
    </w:p>
    <w:p w14:paraId="3E44B189" w14:textId="77777777" w:rsidR="007968EC" w:rsidRPr="005F10B9" w:rsidRDefault="007968EC" w:rsidP="007968EC">
      <w:pPr>
        <w:pStyle w:val="TTULO"/>
        <w:rPr>
          <w:rFonts w:eastAsia="Calibri"/>
        </w:rPr>
      </w:pPr>
      <w:bookmarkStart w:id="6464" w:name="_Toc31716574"/>
      <w:r w:rsidRPr="005F10B9">
        <w:rPr>
          <w:rFonts w:eastAsia="Calibri"/>
        </w:rPr>
        <w:t>TÍTULO OCTAVO</w:t>
      </w:r>
      <w:bookmarkEnd w:id="6464"/>
    </w:p>
    <w:p w14:paraId="6C5BA52A" w14:textId="77777777" w:rsidR="007968EC" w:rsidRPr="005F10B9" w:rsidRDefault="007968EC" w:rsidP="007968EC">
      <w:pPr>
        <w:pStyle w:val="TTULO"/>
      </w:pPr>
    </w:p>
    <w:p w14:paraId="12DC38A4" w14:textId="77777777" w:rsidR="007968EC" w:rsidRPr="005F10B9" w:rsidRDefault="007968EC" w:rsidP="007968EC">
      <w:pPr>
        <w:pStyle w:val="TTULO"/>
        <w:rPr>
          <w:rFonts w:eastAsia="Calibri"/>
        </w:rPr>
      </w:pPr>
      <w:bookmarkStart w:id="6465" w:name="_Toc31716575"/>
      <w:r w:rsidRPr="005F10B9">
        <w:t>RETARDO, MEDIDAS PREVENTIVAS E INCUMPLIMIENTO</w:t>
      </w:r>
      <w:bookmarkEnd w:id="6465"/>
      <w:r w:rsidRPr="005F10B9">
        <w:t xml:space="preserve"> </w:t>
      </w:r>
      <w:r w:rsidRPr="005F10B9">
        <w:rPr>
          <w:rFonts w:eastAsia="Calibri"/>
        </w:rPr>
        <w:t xml:space="preserve"> </w:t>
      </w:r>
    </w:p>
    <w:p w14:paraId="2575B323" w14:textId="77777777" w:rsidR="007968EC" w:rsidRPr="005F10B9" w:rsidRDefault="007968EC" w:rsidP="007968EC">
      <w:pPr>
        <w:pStyle w:val="TTULO"/>
        <w:rPr>
          <w:rFonts w:eastAsia="Calibri"/>
        </w:rPr>
      </w:pPr>
    </w:p>
    <w:p w14:paraId="2F660B1A" w14:textId="77777777" w:rsidR="007968EC" w:rsidRPr="005F10B9" w:rsidRDefault="007968EC" w:rsidP="007968EC">
      <w:pPr>
        <w:pStyle w:val="TTULO"/>
        <w:rPr>
          <w:rFonts w:eastAsia="Calibri"/>
        </w:rPr>
      </w:pPr>
      <w:bookmarkStart w:id="6466" w:name="_Toc31716576"/>
      <w:r w:rsidRPr="005F10B9">
        <w:rPr>
          <w:rFonts w:eastAsia="Calibri"/>
        </w:rPr>
        <w:t>CAPÍTULO PRIMERO</w:t>
      </w:r>
      <w:bookmarkEnd w:id="6466"/>
    </w:p>
    <w:p w14:paraId="78C49F90" w14:textId="77777777" w:rsidR="007968EC" w:rsidRPr="005F10B9" w:rsidRDefault="007968EC" w:rsidP="007968EC">
      <w:pPr>
        <w:pStyle w:val="TTULO"/>
        <w:rPr>
          <w:rFonts w:eastAsia="Calibri"/>
        </w:rPr>
      </w:pPr>
    </w:p>
    <w:p w14:paraId="2A2A3D37" w14:textId="77777777" w:rsidR="007968EC" w:rsidRPr="005F10B9" w:rsidRDefault="007968EC" w:rsidP="007968EC">
      <w:pPr>
        <w:pStyle w:val="TTULO"/>
        <w:rPr>
          <w:rFonts w:eastAsia="Calibri"/>
          <w:u w:val="single"/>
        </w:rPr>
      </w:pPr>
      <w:bookmarkStart w:id="6467" w:name="_Toc31716577"/>
      <w:r w:rsidRPr="005F10B9">
        <w:rPr>
          <w:rFonts w:eastAsia="Calibri"/>
        </w:rPr>
        <w:t>RETARDO</w:t>
      </w:r>
      <w:bookmarkEnd w:id="6467"/>
    </w:p>
    <w:p w14:paraId="317B4205" w14:textId="77777777" w:rsidR="007968EC" w:rsidRPr="005F10B9" w:rsidRDefault="007968EC" w:rsidP="007968EC">
      <w:pPr>
        <w:jc w:val="center"/>
        <w:outlineLvl w:val="1"/>
        <w:rPr>
          <w:rFonts w:ascii="Arial Narrow" w:eastAsia="Calibri" w:hAnsi="Arial Narrow" w:cs="Arial"/>
          <w:b/>
          <w:u w:val="single"/>
          <w:lang w:eastAsia="es-ES"/>
        </w:rPr>
      </w:pPr>
    </w:p>
    <w:p w14:paraId="60A087E4" w14:textId="77777777" w:rsidR="007968EC" w:rsidRPr="005F10B9" w:rsidRDefault="007968EC" w:rsidP="007968EC">
      <w:pPr>
        <w:pStyle w:val="ARTICULO0"/>
      </w:pPr>
      <w:bookmarkStart w:id="6468" w:name="_Toc31716578"/>
      <w:r w:rsidRPr="005F10B9">
        <w:t>Artículo 5.8.1.1. Eventos de Retardo.</w:t>
      </w:r>
      <w:bookmarkEnd w:id="6468"/>
      <w:r w:rsidRPr="005F10B9">
        <w:t xml:space="preserve"> </w:t>
      </w:r>
    </w:p>
    <w:p w14:paraId="098A1A03" w14:textId="77777777" w:rsidR="007968EC" w:rsidRPr="005F10B9" w:rsidRDefault="007968EC" w:rsidP="007968EC">
      <w:pPr>
        <w:jc w:val="both"/>
        <w:rPr>
          <w:rFonts w:ascii="Arial Narrow" w:hAnsi="Arial Narrow" w:cs="Arial"/>
          <w:color w:val="000000"/>
        </w:rPr>
      </w:pPr>
    </w:p>
    <w:p w14:paraId="121492F3" w14:textId="77777777" w:rsidR="007968EC" w:rsidRPr="005F10B9" w:rsidRDefault="007968EC" w:rsidP="007968EC">
      <w:pPr>
        <w:jc w:val="both"/>
        <w:rPr>
          <w:rFonts w:ascii="Arial Narrow" w:hAnsi="Arial Narrow" w:cs="Arial"/>
          <w:color w:val="000000"/>
        </w:rPr>
      </w:pPr>
      <w:r w:rsidRPr="005F10B9">
        <w:rPr>
          <w:rFonts w:ascii="Arial Narrow" w:hAnsi="Arial Narrow" w:cs="Arial"/>
          <w:color w:val="000000"/>
        </w:rPr>
        <w:t>Además de los eventos de retardo señalados en el artículo 1.7.1.1 de la presente Circular aplicables al presente Segmento, se considera evento de retardo la no constitución de las Garantías por Posición Variable intradía exigidas al Miembro Liquidador cuando tenga en las Cuentas de Registro de la Cuenta Propia del mismo, en las Cuentas de Registro de la Cuenta Propia del Miembro No Liquidador una diferencia negativa y por la suma total de dicho importe, en el plazo establecido en el artículo 5.6.1.1. numeral 2 de la presente Circular.</w:t>
      </w:r>
    </w:p>
    <w:p w14:paraId="3A562E0C" w14:textId="77777777" w:rsidR="007968EC" w:rsidRPr="005F10B9" w:rsidRDefault="007968EC" w:rsidP="007968EC">
      <w:pPr>
        <w:jc w:val="both"/>
        <w:rPr>
          <w:rFonts w:ascii="Arial Narrow" w:hAnsi="Arial Narrow" w:cs="Arial"/>
          <w:color w:val="000000"/>
        </w:rPr>
      </w:pPr>
    </w:p>
    <w:p w14:paraId="17315DED" w14:textId="77777777" w:rsidR="007968EC" w:rsidRPr="005F10B9" w:rsidRDefault="007968EC" w:rsidP="007968EC">
      <w:pPr>
        <w:jc w:val="both"/>
        <w:rPr>
          <w:rFonts w:ascii="Arial Narrow" w:hAnsi="Arial Narrow" w:cs="Arial"/>
          <w:color w:val="000000"/>
        </w:rPr>
      </w:pPr>
    </w:p>
    <w:p w14:paraId="5BECFF39" w14:textId="77777777" w:rsidR="007968EC" w:rsidRPr="005F10B9" w:rsidRDefault="007968EC" w:rsidP="007968EC">
      <w:pPr>
        <w:pStyle w:val="TTULO"/>
        <w:rPr>
          <w:rFonts w:eastAsia="Calibri"/>
        </w:rPr>
      </w:pPr>
      <w:bookmarkStart w:id="6469" w:name="_Toc31716579"/>
      <w:r w:rsidRPr="005F10B9">
        <w:rPr>
          <w:rFonts w:eastAsia="Calibri"/>
        </w:rPr>
        <w:t>CAPÍTULO SEGUNDO</w:t>
      </w:r>
      <w:bookmarkEnd w:id="6469"/>
    </w:p>
    <w:p w14:paraId="2E081B67" w14:textId="77777777" w:rsidR="007968EC" w:rsidRPr="005F10B9" w:rsidRDefault="007968EC" w:rsidP="007968EC">
      <w:pPr>
        <w:pStyle w:val="TTULO"/>
        <w:rPr>
          <w:rFonts w:eastAsia="Calibri"/>
        </w:rPr>
      </w:pPr>
    </w:p>
    <w:p w14:paraId="08101543" w14:textId="77777777" w:rsidR="007968EC" w:rsidRPr="005F10B9" w:rsidRDefault="007968EC" w:rsidP="007968EC">
      <w:pPr>
        <w:pStyle w:val="TTULO"/>
        <w:rPr>
          <w:rFonts w:eastAsia="Calibri"/>
        </w:rPr>
      </w:pPr>
      <w:bookmarkStart w:id="6470" w:name="_Toc31716580"/>
      <w:r w:rsidRPr="005F10B9">
        <w:t>MEDIDAS PREVENTIVAS</w:t>
      </w:r>
      <w:bookmarkEnd w:id="6470"/>
    </w:p>
    <w:p w14:paraId="6C0C72D2" w14:textId="77777777" w:rsidR="007968EC" w:rsidRPr="005F10B9" w:rsidRDefault="007968EC" w:rsidP="007968EC">
      <w:pPr>
        <w:outlineLvl w:val="1"/>
        <w:rPr>
          <w:rFonts w:ascii="Arial Narrow" w:eastAsia="Calibri" w:hAnsi="Arial Narrow" w:cs="Arial"/>
          <w:b/>
          <w:lang w:val="es-ES" w:eastAsia="es-ES"/>
        </w:rPr>
      </w:pPr>
    </w:p>
    <w:p w14:paraId="349DC712" w14:textId="77777777" w:rsidR="007968EC" w:rsidRPr="005F10B9" w:rsidRDefault="007968EC" w:rsidP="007968EC">
      <w:pPr>
        <w:pStyle w:val="ARTICULO0"/>
      </w:pPr>
      <w:bookmarkStart w:id="6471" w:name="_Toc31716581"/>
      <w:r w:rsidRPr="005F10B9">
        <w:t>Artículo 5.8.2.1. Medidas Preventivas.</w:t>
      </w:r>
      <w:bookmarkEnd w:id="6471"/>
    </w:p>
    <w:p w14:paraId="23EABCDB" w14:textId="77777777" w:rsidR="007968EC" w:rsidRPr="005F10B9" w:rsidRDefault="007968EC" w:rsidP="007968EC">
      <w:pPr>
        <w:autoSpaceDE w:val="0"/>
        <w:autoSpaceDN w:val="0"/>
        <w:adjustRightInd w:val="0"/>
        <w:ind w:left="284"/>
        <w:jc w:val="both"/>
        <w:rPr>
          <w:rFonts w:ascii="Arial Narrow" w:eastAsia="Calibri" w:hAnsi="Arial Narrow"/>
          <w:lang w:eastAsia="es-ES"/>
        </w:rPr>
      </w:pPr>
    </w:p>
    <w:p w14:paraId="7F5BE3B0" w14:textId="77777777" w:rsidR="007968EC" w:rsidRPr="005F10B9" w:rsidRDefault="007968EC" w:rsidP="007968EC">
      <w:pPr>
        <w:autoSpaceDE w:val="0"/>
        <w:autoSpaceDN w:val="0"/>
        <w:adjustRightInd w:val="0"/>
        <w:jc w:val="both"/>
        <w:rPr>
          <w:rFonts w:ascii="Arial Narrow" w:hAnsi="Arial Narrow" w:cs="Arial"/>
          <w:lang w:val="es-ES" w:eastAsia="es-ES"/>
        </w:rPr>
      </w:pPr>
      <w:r w:rsidRPr="005F10B9">
        <w:rPr>
          <w:rFonts w:ascii="Arial Narrow" w:eastAsia="Calibri" w:hAnsi="Arial Narrow"/>
          <w:lang w:eastAsia="es-ES"/>
        </w:rPr>
        <w:t xml:space="preserve">Sin perjuicio de lo dispuesto </w:t>
      </w:r>
      <w:r w:rsidRPr="005F10B9">
        <w:rPr>
          <w:rFonts w:ascii="Arial Narrow" w:hAnsi="Arial Narrow" w:cs="Arial"/>
          <w:lang w:val="es-ES" w:eastAsia="es-ES"/>
        </w:rPr>
        <w:t>en el artículo 2.9.1. del Reglamento de Funcionamiento</w:t>
      </w:r>
      <w:r w:rsidRPr="005F10B9">
        <w:rPr>
          <w:rFonts w:ascii="Arial Narrow" w:eastAsia="Calibri" w:hAnsi="Arial Narrow"/>
          <w:lang w:eastAsia="es-ES"/>
        </w:rPr>
        <w:t xml:space="preserve"> y del artículo 1.7.4.1. de la Circular Única, l</w:t>
      </w:r>
      <w:r w:rsidRPr="005F10B9">
        <w:rPr>
          <w:rFonts w:ascii="Arial Narrow" w:hAnsi="Arial Narrow" w:cs="Arial"/>
          <w:lang w:val="es-ES" w:eastAsia="es-ES"/>
        </w:rPr>
        <w:t xml:space="preserve">a Cámara también podrá adoptar en forma simultánea o sucesiva, una o varias de las Medidas Preventivas establecidas en dichas normas, </w:t>
      </w:r>
      <w:r w:rsidRPr="005F10B9">
        <w:rPr>
          <w:rFonts w:ascii="Arial Narrow" w:eastAsia="Calibri" w:hAnsi="Arial Narrow"/>
          <w:lang w:eastAsia="es-ES"/>
        </w:rPr>
        <w:t xml:space="preserve">en caso de que el Miembro incurra en el evento de retardo establecido en el artículo </w:t>
      </w:r>
      <w:r w:rsidRPr="005F10B9">
        <w:rPr>
          <w:rFonts w:ascii="Arial Narrow" w:hAnsi="Arial Narrow" w:cs="Arial"/>
          <w:color w:val="000000"/>
        </w:rPr>
        <w:t>5.8.1.1.</w:t>
      </w:r>
      <w:r w:rsidRPr="005F10B9">
        <w:rPr>
          <w:rFonts w:ascii="Arial Narrow" w:hAnsi="Arial Narrow" w:cs="Arial"/>
          <w:b/>
          <w:color w:val="000000"/>
        </w:rPr>
        <w:t xml:space="preserve"> </w:t>
      </w:r>
      <w:r w:rsidRPr="005F10B9">
        <w:rPr>
          <w:rFonts w:ascii="Arial Narrow" w:eastAsia="Calibri" w:hAnsi="Arial Narrow"/>
          <w:lang w:eastAsia="es-ES"/>
        </w:rPr>
        <w:t>de la presente Circular</w:t>
      </w:r>
      <w:r w:rsidRPr="005F10B9">
        <w:rPr>
          <w:rFonts w:ascii="Arial Narrow" w:hAnsi="Arial Narrow" w:cs="Arial"/>
          <w:lang w:val="es-ES" w:eastAsia="es-ES"/>
        </w:rPr>
        <w:t>.</w:t>
      </w:r>
    </w:p>
    <w:p w14:paraId="033AD7BE" w14:textId="77777777" w:rsidR="007968EC" w:rsidRPr="005F10B9" w:rsidRDefault="007968EC" w:rsidP="007968EC">
      <w:pPr>
        <w:autoSpaceDE w:val="0"/>
        <w:autoSpaceDN w:val="0"/>
        <w:adjustRightInd w:val="0"/>
        <w:jc w:val="both"/>
        <w:rPr>
          <w:rFonts w:ascii="Arial Narrow" w:hAnsi="Arial Narrow" w:cs="Arial"/>
          <w:lang w:val="es-ES" w:eastAsia="es-ES"/>
        </w:rPr>
      </w:pPr>
    </w:p>
    <w:p w14:paraId="037350CB" w14:textId="77777777" w:rsidR="007968EC" w:rsidRPr="005F10B9" w:rsidRDefault="007968EC" w:rsidP="007968EC">
      <w:pPr>
        <w:jc w:val="both"/>
        <w:rPr>
          <w:rFonts w:ascii="Arial Narrow" w:eastAsia="Calibri" w:hAnsi="Arial Narrow"/>
          <w:bCs/>
          <w:color w:val="000000" w:themeColor="text1"/>
        </w:rPr>
      </w:pPr>
      <w:r w:rsidRPr="005F10B9">
        <w:rPr>
          <w:rFonts w:ascii="Arial Narrow" w:hAnsi="Arial Narrow" w:cs="Arial"/>
          <w:lang w:val="es-ES" w:eastAsia="es-ES"/>
        </w:rPr>
        <w:t xml:space="preserve">Así mismo, </w:t>
      </w:r>
      <w:r w:rsidRPr="005F10B9">
        <w:rPr>
          <w:rFonts w:ascii="Arial Narrow" w:eastAsia="Calibri" w:hAnsi="Arial Narrow"/>
          <w:bCs/>
          <w:color w:val="000000" w:themeColor="text1"/>
        </w:rPr>
        <w:t xml:space="preserve">de conformidad con lo </w:t>
      </w:r>
      <w:r w:rsidRPr="005F10B9">
        <w:rPr>
          <w:rFonts w:ascii="Arial Narrow" w:hAnsi="Arial Narrow" w:cs="Arial"/>
          <w:lang w:val="es-ES" w:eastAsia="es-ES"/>
        </w:rPr>
        <w:t>establecido en el artículo 5.8.3.5.,</w:t>
      </w:r>
      <w:r w:rsidRPr="005F10B9">
        <w:rPr>
          <w:rFonts w:ascii="Arial Narrow" w:eastAsia="Calibri" w:hAnsi="Arial Narrow"/>
          <w:bCs/>
          <w:color w:val="000000" w:themeColor="text1"/>
        </w:rPr>
        <w:t xml:space="preserve"> cuando el Miembro Liquidador no puje en la subasta respecto de las US asignadas o cuando la puja no cumpla con las condiciones específicas de la subasta fijadas por la Cámara mediante Instructivo Operativo,</w:t>
      </w:r>
      <w:r w:rsidRPr="005F10B9">
        <w:rPr>
          <w:rFonts w:ascii="Arial Narrow" w:hAnsi="Arial Narrow" w:cs="Arial"/>
          <w:lang w:val="es-ES" w:eastAsia="es-ES"/>
        </w:rPr>
        <w:t xml:space="preserve"> la Cámara podrá exigir como medida preventiva una aportación adicional al Fondo de Garantía Colectiva equivalente al importe que tenga dicho Miembro en el Fondo de Garantía Colectiva. En este caso la aportación deberá llevarse a cabo por el Miembro en el plazo establecido en el artículo 1.6.2.13 numeral 3 de la presente Circular, para la reposición del Fondo de Garantía Colectiva. Esta medida preventiva no se tendrá en cuenta como reposición del Fondo de Garantía Colectiva y estará vigente por el tiempo que determine la Cámara.</w:t>
      </w:r>
    </w:p>
    <w:p w14:paraId="79EF3B22" w14:textId="77777777" w:rsidR="007968EC" w:rsidRPr="005F10B9" w:rsidRDefault="007968EC" w:rsidP="007968EC">
      <w:pPr>
        <w:autoSpaceDE w:val="0"/>
        <w:autoSpaceDN w:val="0"/>
        <w:adjustRightInd w:val="0"/>
        <w:jc w:val="both"/>
        <w:rPr>
          <w:rFonts w:ascii="Arial Narrow" w:hAnsi="Arial Narrow" w:cs="Arial"/>
          <w:lang w:val="es-ES" w:eastAsia="es-ES"/>
        </w:rPr>
      </w:pPr>
    </w:p>
    <w:p w14:paraId="69BC91CF" w14:textId="77777777" w:rsidR="007968EC" w:rsidRPr="005F10B9" w:rsidRDefault="007968EC" w:rsidP="007968EC">
      <w:pPr>
        <w:jc w:val="center"/>
        <w:outlineLvl w:val="1"/>
        <w:rPr>
          <w:rFonts w:ascii="Arial Narrow" w:eastAsia="Calibri" w:hAnsi="Arial Narrow" w:cs="Arial"/>
          <w:b/>
          <w:lang w:eastAsia="es-ES"/>
        </w:rPr>
      </w:pPr>
    </w:p>
    <w:p w14:paraId="023296AF" w14:textId="77777777" w:rsidR="007968EC" w:rsidRPr="005F10B9" w:rsidRDefault="007968EC" w:rsidP="007968EC">
      <w:pPr>
        <w:pStyle w:val="TTULO"/>
        <w:rPr>
          <w:rFonts w:eastAsia="Calibri"/>
        </w:rPr>
      </w:pPr>
      <w:bookmarkStart w:id="6472" w:name="_Toc31716582"/>
      <w:r w:rsidRPr="005F10B9">
        <w:rPr>
          <w:rFonts w:eastAsia="Calibri"/>
        </w:rPr>
        <w:t>CAPÍTULO TERCERO</w:t>
      </w:r>
      <w:bookmarkEnd w:id="6472"/>
    </w:p>
    <w:p w14:paraId="69CB5AF0" w14:textId="77777777" w:rsidR="007968EC" w:rsidRPr="005F10B9" w:rsidRDefault="007968EC" w:rsidP="007968EC">
      <w:pPr>
        <w:pStyle w:val="TTULO"/>
        <w:rPr>
          <w:rFonts w:eastAsia="Calibri"/>
        </w:rPr>
      </w:pPr>
    </w:p>
    <w:p w14:paraId="396C9F34" w14:textId="77777777" w:rsidR="007968EC" w:rsidRPr="005F10B9" w:rsidRDefault="007968EC" w:rsidP="007968EC">
      <w:pPr>
        <w:pStyle w:val="TTULO"/>
        <w:rPr>
          <w:rFonts w:eastAsia="Calibri"/>
        </w:rPr>
      </w:pPr>
      <w:bookmarkStart w:id="6473" w:name="_Toc31716583"/>
      <w:r w:rsidRPr="005F10B9">
        <w:rPr>
          <w:rFonts w:eastAsia="Calibri"/>
        </w:rPr>
        <w:lastRenderedPageBreak/>
        <w:t>INCUMPLIMIENTOS</w:t>
      </w:r>
      <w:bookmarkEnd w:id="6473"/>
    </w:p>
    <w:p w14:paraId="17245B98" w14:textId="77777777" w:rsidR="007968EC" w:rsidRPr="005F10B9" w:rsidRDefault="007968EC" w:rsidP="007968EC">
      <w:pPr>
        <w:jc w:val="center"/>
        <w:outlineLvl w:val="1"/>
        <w:rPr>
          <w:rFonts w:ascii="Arial Narrow" w:eastAsia="Calibri" w:hAnsi="Arial Narrow" w:cs="Arial"/>
          <w:b/>
          <w:lang w:val="es-ES" w:eastAsia="es-ES"/>
        </w:rPr>
      </w:pPr>
    </w:p>
    <w:p w14:paraId="68DA978E" w14:textId="77777777" w:rsidR="007968EC" w:rsidRPr="005F10B9" w:rsidRDefault="007968EC" w:rsidP="007968EC">
      <w:pPr>
        <w:pStyle w:val="ARTICULO0"/>
        <w:rPr>
          <w:rFonts w:eastAsia="Calibri"/>
        </w:rPr>
      </w:pPr>
      <w:bookmarkStart w:id="6474" w:name="_Toc31716584"/>
      <w:r w:rsidRPr="005F10B9">
        <w:rPr>
          <w:rFonts w:eastAsia="Calibri"/>
        </w:rPr>
        <w:t>Artículo 5.8.3.1. Procedimiento para gestionar el Incumplimiento por parte de un Miembro Liquidador en el Segmento Swaps.</w:t>
      </w:r>
      <w:bookmarkEnd w:id="6474"/>
    </w:p>
    <w:p w14:paraId="24F50B6A" w14:textId="77777777" w:rsidR="007968EC" w:rsidRPr="005F10B9" w:rsidRDefault="007968EC" w:rsidP="007968EC">
      <w:pPr>
        <w:keepNext/>
        <w:tabs>
          <w:tab w:val="left" w:pos="1701"/>
        </w:tabs>
        <w:jc w:val="both"/>
        <w:outlineLvl w:val="2"/>
        <w:rPr>
          <w:rFonts w:ascii="Arial Narrow" w:hAnsi="Arial Narrow" w:cs="Arial"/>
          <w:b/>
          <w:color w:val="000000" w:themeColor="text1"/>
          <w:u w:val="single"/>
          <w:lang w:eastAsia="es-ES"/>
        </w:rPr>
      </w:pPr>
    </w:p>
    <w:p w14:paraId="67C39967" w14:textId="77777777" w:rsidR="007968EC" w:rsidRPr="005F10B9" w:rsidRDefault="007968EC" w:rsidP="007968EC">
      <w:pPr>
        <w:autoSpaceDE w:val="0"/>
        <w:autoSpaceDN w:val="0"/>
        <w:adjustRightInd w:val="0"/>
        <w:jc w:val="both"/>
        <w:rPr>
          <w:rFonts w:eastAsia="Calibri"/>
        </w:rPr>
      </w:pPr>
      <w:r w:rsidRPr="005F10B9">
        <w:rPr>
          <w:rFonts w:ascii="Arial Narrow" w:eastAsia="Calibri" w:hAnsi="Arial Narrow"/>
          <w:lang w:eastAsia="es-ES"/>
        </w:rPr>
        <w:t>Sin perjuicio de lo establecido en los artículos 2.8.6.y 2.8.7. del Reglamento de Funcionamiento de la Cámara y del Capítulo Segundo del Título Séptimo de la Parte I de la presente Circular, la Cámara para gestionar el incumplimiento del Miembro Liquidador en el presente Segmento podrá adoptar una o varias de las siguientes medidas:</w:t>
      </w:r>
    </w:p>
    <w:p w14:paraId="55E0F196" w14:textId="77777777" w:rsidR="007968EC" w:rsidRPr="005F10B9" w:rsidRDefault="007968EC" w:rsidP="007968EC">
      <w:pPr>
        <w:autoSpaceDE w:val="0"/>
        <w:autoSpaceDN w:val="0"/>
        <w:adjustRightInd w:val="0"/>
        <w:jc w:val="both"/>
        <w:rPr>
          <w:rFonts w:eastAsia="Calibri"/>
        </w:rPr>
      </w:pPr>
    </w:p>
    <w:p w14:paraId="31A0FA49" w14:textId="77777777" w:rsidR="007968EC" w:rsidRPr="005F10B9" w:rsidRDefault="007968EC" w:rsidP="00DA7472">
      <w:pPr>
        <w:numPr>
          <w:ilvl w:val="0"/>
          <w:numId w:val="360"/>
        </w:numPr>
        <w:autoSpaceDE w:val="0"/>
        <w:autoSpaceDN w:val="0"/>
        <w:adjustRightInd w:val="0"/>
        <w:contextualSpacing/>
        <w:jc w:val="both"/>
        <w:rPr>
          <w:rFonts w:ascii="Arial Narrow" w:hAnsi="Arial Narrow" w:cs="Arial Narrow"/>
          <w:color w:val="000000" w:themeColor="text1"/>
          <w:lang w:eastAsia="es-ES"/>
        </w:rPr>
      </w:pPr>
      <w:r w:rsidRPr="005F10B9">
        <w:rPr>
          <w:rFonts w:ascii="Arial Narrow" w:hAnsi="Arial Narrow" w:cs="Arial Narrow"/>
          <w:color w:val="000000" w:themeColor="text1"/>
          <w:lang w:eastAsia="es-ES"/>
        </w:rPr>
        <w:t xml:space="preserve">Comité de Gestión de Incumplimiento. </w:t>
      </w:r>
    </w:p>
    <w:p w14:paraId="07AE807D" w14:textId="77777777" w:rsidR="007968EC" w:rsidRPr="005F10B9" w:rsidRDefault="007968EC" w:rsidP="007968EC">
      <w:pPr>
        <w:autoSpaceDE w:val="0"/>
        <w:autoSpaceDN w:val="0"/>
        <w:adjustRightInd w:val="0"/>
        <w:jc w:val="both"/>
        <w:rPr>
          <w:rFonts w:eastAsia="Calibri"/>
        </w:rPr>
      </w:pPr>
    </w:p>
    <w:p w14:paraId="4C83F734" w14:textId="77777777" w:rsidR="007968EC" w:rsidRPr="005F10B9" w:rsidRDefault="007968EC" w:rsidP="007968EC">
      <w:pPr>
        <w:autoSpaceDE w:val="0"/>
        <w:autoSpaceDN w:val="0"/>
        <w:adjustRightInd w:val="0"/>
        <w:jc w:val="both"/>
        <w:rPr>
          <w:rFonts w:ascii="Arial Narrow" w:eastAsia="Calibri" w:hAnsi="Arial Narrow"/>
          <w:lang w:eastAsia="es-ES"/>
        </w:rPr>
      </w:pPr>
      <w:r w:rsidRPr="005F10B9">
        <w:rPr>
          <w:rFonts w:ascii="Arial Narrow" w:eastAsia="Calibri" w:hAnsi="Arial Narrow"/>
          <w:lang w:eastAsia="es-ES"/>
        </w:rPr>
        <w:t>Se conformará el Comité de Gestión de Incumplimiento, cuya actuación se definirá en el presente Capítulo. La elección de los representantes de los Miembros en el Comité de Gestión de Incumplimiento podrá ser por solicitud voluntaria del Miembro que participe en el Segmento Swaps o por designación de forma objetiva.</w:t>
      </w:r>
    </w:p>
    <w:p w14:paraId="7DAF5DC7" w14:textId="77777777" w:rsidR="007968EC" w:rsidRPr="005F10B9" w:rsidRDefault="007968EC" w:rsidP="007968EC">
      <w:pPr>
        <w:autoSpaceDE w:val="0"/>
        <w:autoSpaceDN w:val="0"/>
        <w:adjustRightInd w:val="0"/>
        <w:jc w:val="both"/>
        <w:rPr>
          <w:rFonts w:eastAsia="Calibri"/>
        </w:rPr>
      </w:pPr>
    </w:p>
    <w:p w14:paraId="4BAD9DF8" w14:textId="77777777" w:rsidR="007968EC" w:rsidRPr="005F10B9" w:rsidRDefault="007968EC" w:rsidP="00DA7472">
      <w:pPr>
        <w:numPr>
          <w:ilvl w:val="0"/>
          <w:numId w:val="360"/>
        </w:numPr>
        <w:autoSpaceDE w:val="0"/>
        <w:autoSpaceDN w:val="0"/>
        <w:adjustRightInd w:val="0"/>
        <w:contextualSpacing/>
        <w:jc w:val="both"/>
        <w:rPr>
          <w:rFonts w:ascii="Arial Narrow" w:hAnsi="Arial Narrow" w:cs="Arial Narrow"/>
          <w:color w:val="000000" w:themeColor="text1"/>
          <w:lang w:eastAsia="es-ES"/>
        </w:rPr>
      </w:pPr>
      <w:r w:rsidRPr="005F10B9">
        <w:rPr>
          <w:rFonts w:ascii="Arial Narrow" w:hAnsi="Arial Narrow" w:cs="Arial Narrow"/>
          <w:color w:val="000000" w:themeColor="text1"/>
          <w:lang w:eastAsia="es-ES"/>
        </w:rPr>
        <w:t>Celebrar operaciones para neutralizar el riesgo.</w:t>
      </w:r>
    </w:p>
    <w:p w14:paraId="5E92048A" w14:textId="77777777" w:rsidR="007968EC" w:rsidRPr="005F10B9" w:rsidRDefault="007968EC" w:rsidP="007968EC">
      <w:pPr>
        <w:autoSpaceDE w:val="0"/>
        <w:autoSpaceDN w:val="0"/>
        <w:adjustRightInd w:val="0"/>
        <w:jc w:val="both"/>
        <w:rPr>
          <w:rFonts w:eastAsia="Calibri"/>
        </w:rPr>
      </w:pPr>
      <w:r w:rsidRPr="005F10B9">
        <w:rPr>
          <w:rFonts w:ascii="Arial Narrow" w:eastAsia="Calibri" w:hAnsi="Arial Narrow"/>
          <w:lang w:eastAsia="es-ES"/>
        </w:rPr>
        <w:t xml:space="preserve"> </w:t>
      </w:r>
    </w:p>
    <w:p w14:paraId="22C50CFC" w14:textId="77777777" w:rsidR="007968EC" w:rsidRPr="005F10B9" w:rsidRDefault="007968EC" w:rsidP="007968EC">
      <w:pPr>
        <w:jc w:val="both"/>
        <w:rPr>
          <w:rFonts w:eastAsia="Calibri"/>
          <w:bCs/>
        </w:rPr>
      </w:pPr>
      <w:r w:rsidRPr="005F10B9">
        <w:rPr>
          <w:rFonts w:ascii="Arial Narrow" w:eastAsia="Calibri" w:hAnsi="Arial Narrow"/>
          <w:lang w:eastAsia="es-ES"/>
        </w:rPr>
        <w:t xml:space="preserve">La Cámara, si ello fuera posible, podrá reducir el riesgo asociado al incumplimiento de un Miembro Liquidador mediante la celebración de una o varias operaciones que cubran los efectos de dicho incumplimiento. La Cámara si fuese posible o aconsejable realizará </w:t>
      </w:r>
      <w:r w:rsidRPr="005F10B9">
        <w:rPr>
          <w:rFonts w:ascii="Arial Narrow" w:eastAsia="Calibri" w:hAnsi="Arial Narrow"/>
          <w:bCs/>
          <w:color w:val="000000" w:themeColor="text1"/>
        </w:rPr>
        <w:t>dichas operaciones previa consulta o no con el Comité de Gestión de Incumplimiento.</w:t>
      </w:r>
    </w:p>
    <w:p w14:paraId="7C8FD3C5" w14:textId="77777777" w:rsidR="007968EC" w:rsidRPr="005F10B9" w:rsidRDefault="007968EC" w:rsidP="007968EC">
      <w:pPr>
        <w:jc w:val="both"/>
        <w:rPr>
          <w:rFonts w:eastAsia="Calibri"/>
          <w:bCs/>
        </w:rPr>
      </w:pPr>
      <w:r w:rsidRPr="005F10B9">
        <w:rPr>
          <w:rFonts w:ascii="Arial Narrow" w:eastAsia="Calibri" w:hAnsi="Arial Narrow"/>
          <w:bCs/>
          <w:color w:val="000000" w:themeColor="text1"/>
        </w:rPr>
        <w:t>Dichas operaciones de cobertura deberán celebrarse con anterioridad o al mismo tiempo, en su caso, a las subastas indicadas en el numeral 4. siguiente.</w:t>
      </w:r>
    </w:p>
    <w:p w14:paraId="34BC1D8F" w14:textId="77777777" w:rsidR="007968EC" w:rsidRPr="005F10B9" w:rsidRDefault="007968EC" w:rsidP="007968EC">
      <w:pPr>
        <w:jc w:val="both"/>
        <w:rPr>
          <w:rFonts w:eastAsia="Calibri"/>
          <w:bCs/>
        </w:rPr>
      </w:pPr>
    </w:p>
    <w:p w14:paraId="2FC6CD7E" w14:textId="77777777" w:rsidR="007968EC" w:rsidRPr="005F10B9" w:rsidRDefault="007968EC" w:rsidP="00DA7472">
      <w:pPr>
        <w:numPr>
          <w:ilvl w:val="0"/>
          <w:numId w:val="360"/>
        </w:numPr>
        <w:autoSpaceDE w:val="0"/>
        <w:autoSpaceDN w:val="0"/>
        <w:adjustRightInd w:val="0"/>
        <w:contextualSpacing/>
        <w:jc w:val="both"/>
        <w:rPr>
          <w:rFonts w:ascii="Arial Narrow" w:hAnsi="Arial Narrow" w:cs="Arial Narrow"/>
          <w:color w:val="000000" w:themeColor="text1"/>
          <w:lang w:eastAsia="es-ES"/>
        </w:rPr>
      </w:pPr>
      <w:r w:rsidRPr="005F10B9">
        <w:rPr>
          <w:rFonts w:ascii="Arial Narrow" w:hAnsi="Arial Narrow" w:cs="Arial Narrow"/>
          <w:color w:val="000000" w:themeColor="text1"/>
          <w:lang w:eastAsia="es-ES"/>
        </w:rPr>
        <w:t xml:space="preserve">División del portafolio. </w:t>
      </w:r>
    </w:p>
    <w:p w14:paraId="78C62CBE" w14:textId="77777777" w:rsidR="007968EC" w:rsidRPr="005F10B9" w:rsidRDefault="007968EC" w:rsidP="007968EC">
      <w:pPr>
        <w:jc w:val="both"/>
        <w:rPr>
          <w:rFonts w:eastAsia="Calibri"/>
          <w:bCs/>
        </w:rPr>
      </w:pPr>
    </w:p>
    <w:p w14:paraId="65AF6A49" w14:textId="77777777" w:rsidR="007968EC" w:rsidRPr="005F10B9" w:rsidRDefault="007968EC" w:rsidP="007968EC">
      <w:pPr>
        <w:jc w:val="both"/>
        <w:rPr>
          <w:rFonts w:eastAsia="Calibri"/>
          <w:bCs/>
        </w:rPr>
      </w:pPr>
      <w:r w:rsidRPr="005F10B9">
        <w:rPr>
          <w:rFonts w:ascii="Arial Narrow" w:eastAsia="Calibri" w:hAnsi="Arial Narrow"/>
          <w:bCs/>
          <w:color w:val="000000" w:themeColor="text1"/>
        </w:rPr>
        <w:t>La Cámara, en caso de ser necesario previa consulta al Comité de Gestión de Incumplimiento</w:t>
      </w:r>
      <w:r w:rsidRPr="005F10B9" w:rsidDel="00855054">
        <w:rPr>
          <w:rFonts w:ascii="Arial Narrow" w:eastAsia="Calibri" w:hAnsi="Arial Narrow"/>
          <w:bCs/>
          <w:color w:val="000000" w:themeColor="text1"/>
        </w:rPr>
        <w:t>,</w:t>
      </w:r>
      <w:r w:rsidRPr="005F10B9">
        <w:rPr>
          <w:rFonts w:ascii="Arial Narrow" w:eastAsia="Calibri" w:hAnsi="Arial Narrow"/>
          <w:bCs/>
          <w:color w:val="000000" w:themeColor="text1"/>
        </w:rPr>
        <w:t xml:space="preserve"> y con el fin de llevar a cabo las subastas previstas en el numeral 4 siguiente, determinará la composición del Portafolio a Subastar, pudiendo a su absoluta discreción determinar que la Posición Abierta en Operaciones Swaps del Miembro Liquidador Incumplido constituye un único Portafolio a Subastar o dividir dicha Posición Abierta en dos o más Portafolios a Subastar. </w:t>
      </w:r>
    </w:p>
    <w:p w14:paraId="158D56B4" w14:textId="77777777" w:rsidR="007968EC" w:rsidRPr="005F10B9" w:rsidRDefault="007968EC" w:rsidP="007968EC">
      <w:pPr>
        <w:jc w:val="both"/>
        <w:rPr>
          <w:rFonts w:eastAsia="Calibri"/>
          <w:bCs/>
        </w:rPr>
      </w:pPr>
    </w:p>
    <w:p w14:paraId="6A43E53F" w14:textId="77777777" w:rsidR="007968EC" w:rsidRPr="005F10B9" w:rsidRDefault="007968EC" w:rsidP="00DA7472">
      <w:pPr>
        <w:numPr>
          <w:ilvl w:val="0"/>
          <w:numId w:val="360"/>
        </w:numPr>
        <w:autoSpaceDE w:val="0"/>
        <w:autoSpaceDN w:val="0"/>
        <w:adjustRightInd w:val="0"/>
        <w:contextualSpacing/>
        <w:jc w:val="both"/>
        <w:rPr>
          <w:rFonts w:ascii="Arial Narrow" w:hAnsi="Arial Narrow" w:cs="Arial Narrow"/>
          <w:color w:val="000000" w:themeColor="text1"/>
          <w:lang w:eastAsia="es-ES"/>
        </w:rPr>
      </w:pPr>
      <w:r w:rsidRPr="005F10B9">
        <w:rPr>
          <w:rFonts w:ascii="Arial Narrow" w:hAnsi="Arial Narrow" w:cs="Arial Narrow"/>
          <w:color w:val="000000" w:themeColor="text1"/>
          <w:lang w:eastAsia="es-ES"/>
        </w:rPr>
        <w:t xml:space="preserve">Cierre de las Posiciones Abiertas a través de subastas. </w:t>
      </w:r>
    </w:p>
    <w:p w14:paraId="49BE8205" w14:textId="77777777" w:rsidR="007968EC" w:rsidRPr="005F10B9" w:rsidRDefault="007968EC" w:rsidP="007968EC">
      <w:pPr>
        <w:jc w:val="both"/>
        <w:rPr>
          <w:rFonts w:eastAsia="Calibri"/>
          <w:bCs/>
        </w:rPr>
      </w:pPr>
    </w:p>
    <w:p w14:paraId="2C8ED561" w14:textId="77777777" w:rsidR="007968EC" w:rsidRPr="005F10B9" w:rsidRDefault="007968EC" w:rsidP="007968EC">
      <w:pPr>
        <w:jc w:val="both"/>
        <w:rPr>
          <w:rFonts w:eastAsia="Calibri"/>
          <w:bCs/>
        </w:rPr>
      </w:pPr>
      <w:r w:rsidRPr="005F10B9">
        <w:rPr>
          <w:rFonts w:ascii="Arial Narrow" w:eastAsia="Calibri" w:hAnsi="Arial Narrow"/>
          <w:bCs/>
          <w:color w:val="000000" w:themeColor="text1"/>
        </w:rPr>
        <w:t>La Cámara subastará el o los Portafolios a Subastar entre los Miembros Liquidadores que hayan cumplido con todas las obligaciones a su cargo y que hayan registrado en su Cuenta de Registro de la Cuenta Propia durante los seis (6) meses anteriores a la fecha del incumplimiento Operaciones Swaps o que tengan Operaciones Swaps registradas en la fecha de incumplimiento, con el propósito de Liquidar la Posición Abierta del Miembro Liquidador Incumplido.</w:t>
      </w:r>
    </w:p>
    <w:p w14:paraId="7E9CC2BA" w14:textId="77777777" w:rsidR="007968EC" w:rsidRPr="005F10B9" w:rsidRDefault="007968EC" w:rsidP="007968EC">
      <w:pPr>
        <w:jc w:val="both"/>
        <w:rPr>
          <w:rFonts w:eastAsia="Calibri"/>
          <w:bCs/>
        </w:rPr>
      </w:pPr>
    </w:p>
    <w:p w14:paraId="5EE74744" w14:textId="77777777" w:rsidR="007968EC" w:rsidRPr="005F10B9" w:rsidRDefault="007968EC" w:rsidP="007968EC">
      <w:pPr>
        <w:jc w:val="both"/>
        <w:rPr>
          <w:rFonts w:eastAsia="Calibri"/>
          <w:bCs/>
        </w:rPr>
      </w:pPr>
      <w:r w:rsidRPr="005F10B9">
        <w:rPr>
          <w:rFonts w:ascii="Arial Narrow" w:eastAsia="Calibri" w:hAnsi="Arial Narrow"/>
          <w:bCs/>
          <w:color w:val="000000" w:themeColor="text1"/>
        </w:rPr>
        <w:t xml:space="preserve">La Cámara, en caso de ser necesario previa consulta al Comité de Gestión de Incumplimiento, establecerá si se realizan una o varias subastas y las condiciones específicas en que estas se llevarán a cabo. </w:t>
      </w:r>
    </w:p>
    <w:p w14:paraId="69A5D28B" w14:textId="77777777" w:rsidR="007968EC" w:rsidRPr="005F10B9" w:rsidRDefault="007968EC" w:rsidP="007968EC">
      <w:pPr>
        <w:jc w:val="both"/>
        <w:rPr>
          <w:rFonts w:ascii="Arial Narrow" w:eastAsia="Calibri" w:hAnsi="Arial Narrow"/>
          <w:bCs/>
          <w:color w:val="000000" w:themeColor="text1"/>
        </w:rPr>
      </w:pPr>
      <w:bookmarkStart w:id="6475" w:name="_Hlk511741908"/>
    </w:p>
    <w:p w14:paraId="198B0C58" w14:textId="77777777" w:rsidR="007968EC" w:rsidRPr="005F10B9" w:rsidRDefault="007968EC" w:rsidP="007968EC">
      <w:pPr>
        <w:pStyle w:val="ARTICULO0"/>
        <w:rPr>
          <w:rFonts w:eastAsia="Calibri" w:cs="Times New Roman"/>
          <w:bCs/>
        </w:rPr>
      </w:pPr>
      <w:bookmarkStart w:id="6476" w:name="_Toc31716585"/>
      <w:r w:rsidRPr="005F10B9">
        <w:t>Artículo 5.8.3.2. Comité de Gestión de Incumplimiento (CGI).</w:t>
      </w:r>
      <w:bookmarkEnd w:id="6476"/>
    </w:p>
    <w:p w14:paraId="06654A63" w14:textId="77777777" w:rsidR="007968EC" w:rsidRPr="005F10B9" w:rsidRDefault="007968EC" w:rsidP="007968EC">
      <w:pPr>
        <w:jc w:val="both"/>
        <w:rPr>
          <w:rFonts w:eastAsia="Calibri"/>
          <w:bCs/>
        </w:rPr>
      </w:pPr>
    </w:p>
    <w:p w14:paraId="76E37734" w14:textId="77777777" w:rsidR="007968EC" w:rsidRPr="005F10B9" w:rsidRDefault="007968EC" w:rsidP="007968EC">
      <w:pPr>
        <w:jc w:val="both"/>
        <w:rPr>
          <w:rFonts w:ascii="Arial Narrow" w:eastAsia="Calibri" w:hAnsi="Arial Narrow"/>
          <w:bCs/>
          <w:color w:val="000000" w:themeColor="text1"/>
        </w:rPr>
      </w:pPr>
      <w:r w:rsidRPr="005F10B9">
        <w:rPr>
          <w:rFonts w:ascii="Arial Narrow" w:eastAsia="Calibri" w:hAnsi="Arial Narrow"/>
          <w:bCs/>
          <w:color w:val="000000" w:themeColor="text1"/>
        </w:rPr>
        <w:t>La Cámara podrá actuar durante la gestión de un Incumplimiento asesorada por un Comité de Gestión de Incumplimiento (CGI) integrado por Miembros Liquidadores Cumplidos (MLC) que se encuentren activos en el Segmento Swaps. Cada MLC elegido para integrar el CGI designará dos funcionarios para que lo representen en el CGI, uno que actuará como principal y otro que actuará como suplente personal del principal (Representantes en el CGI). Los Representantes en el CGI podrán participar simultáneamente en las reuniones, pero únicamente tendrá derecho al voto el Representante que actúe como principal.</w:t>
      </w:r>
    </w:p>
    <w:p w14:paraId="0F60EB6C" w14:textId="77777777" w:rsidR="007968EC" w:rsidRPr="005F10B9" w:rsidRDefault="007968EC" w:rsidP="007968EC">
      <w:pPr>
        <w:jc w:val="both"/>
        <w:rPr>
          <w:rFonts w:ascii="Arial Narrow" w:eastAsia="Calibri" w:hAnsi="Arial Narrow"/>
          <w:bCs/>
          <w:color w:val="000000" w:themeColor="text1"/>
        </w:rPr>
      </w:pPr>
    </w:p>
    <w:p w14:paraId="14344682" w14:textId="77777777" w:rsidR="007968EC" w:rsidRPr="005F10B9" w:rsidRDefault="007968EC" w:rsidP="00DA7472">
      <w:pPr>
        <w:numPr>
          <w:ilvl w:val="0"/>
          <w:numId w:val="361"/>
        </w:numPr>
        <w:autoSpaceDE w:val="0"/>
        <w:autoSpaceDN w:val="0"/>
        <w:adjustRightInd w:val="0"/>
        <w:contextualSpacing/>
        <w:jc w:val="both"/>
        <w:rPr>
          <w:rFonts w:ascii="Arial Narrow" w:hAnsi="Arial Narrow" w:cs="Arial Narrow"/>
          <w:color w:val="000000" w:themeColor="text1"/>
          <w:lang w:eastAsia="es-ES"/>
        </w:rPr>
      </w:pPr>
      <w:r w:rsidRPr="005F10B9">
        <w:rPr>
          <w:rFonts w:ascii="Arial Narrow" w:hAnsi="Arial Narrow" w:cs="Arial Narrow"/>
          <w:color w:val="000000" w:themeColor="text1"/>
          <w:lang w:eastAsia="es-ES"/>
        </w:rPr>
        <w:t>Funciones del Comité de Gestión de Incumplimiento:</w:t>
      </w:r>
    </w:p>
    <w:p w14:paraId="3481AC83" w14:textId="77777777" w:rsidR="007968EC" w:rsidRPr="005F10B9" w:rsidRDefault="007968EC" w:rsidP="007968EC">
      <w:pPr>
        <w:rPr>
          <w:rFonts w:ascii="Arial Narrow" w:eastAsia="Calibri" w:hAnsi="Arial Narrow"/>
          <w:bCs/>
          <w:color w:val="000000" w:themeColor="text1"/>
        </w:rPr>
      </w:pPr>
    </w:p>
    <w:p w14:paraId="6DC3FBC6" w14:textId="77777777" w:rsidR="007968EC" w:rsidRPr="005F10B9" w:rsidRDefault="007968EC" w:rsidP="007968EC">
      <w:pPr>
        <w:jc w:val="both"/>
        <w:rPr>
          <w:rFonts w:ascii="Arial Narrow" w:eastAsia="Calibri" w:hAnsi="Arial Narrow"/>
          <w:bCs/>
          <w:color w:val="000000" w:themeColor="text1"/>
        </w:rPr>
      </w:pPr>
      <w:r w:rsidRPr="005F10B9">
        <w:rPr>
          <w:rFonts w:ascii="Arial Narrow" w:eastAsia="Calibri" w:hAnsi="Arial Narrow"/>
          <w:bCs/>
          <w:color w:val="000000" w:themeColor="text1"/>
        </w:rPr>
        <w:t>El CGI tendrá la función de asesorar y orientar a la Cámara en la gestión del Incumplimiento, y en particular en los siguientes aspectos:</w:t>
      </w:r>
    </w:p>
    <w:p w14:paraId="129EC123" w14:textId="77777777" w:rsidR="007968EC" w:rsidRPr="005F10B9" w:rsidRDefault="007968EC" w:rsidP="007968EC">
      <w:pPr>
        <w:ind w:left="181"/>
        <w:jc w:val="both"/>
        <w:rPr>
          <w:rFonts w:ascii="Arial Narrow" w:eastAsia="Calibri" w:hAnsi="Arial Narrow"/>
          <w:bCs/>
          <w:color w:val="000000" w:themeColor="text1"/>
        </w:rPr>
      </w:pPr>
    </w:p>
    <w:p w14:paraId="6F6405E6" w14:textId="77777777" w:rsidR="007968EC" w:rsidRPr="005F10B9" w:rsidRDefault="007968EC" w:rsidP="00DA7472">
      <w:pPr>
        <w:widowControl w:val="0"/>
        <w:numPr>
          <w:ilvl w:val="1"/>
          <w:numId w:val="340"/>
        </w:numPr>
        <w:tabs>
          <w:tab w:val="left" w:pos="601"/>
        </w:tabs>
        <w:autoSpaceDE w:val="0"/>
        <w:autoSpaceDN w:val="0"/>
        <w:ind w:left="567"/>
        <w:jc w:val="both"/>
        <w:rPr>
          <w:rFonts w:ascii="Arial Narrow" w:eastAsia="Calibri" w:hAnsi="Arial Narrow"/>
          <w:bCs/>
          <w:color w:val="000000" w:themeColor="text1"/>
        </w:rPr>
      </w:pPr>
      <w:r w:rsidRPr="005F10B9">
        <w:rPr>
          <w:rFonts w:ascii="Arial Narrow" w:eastAsia="Calibri" w:hAnsi="Arial Narrow"/>
          <w:bCs/>
          <w:color w:val="000000" w:themeColor="text1"/>
        </w:rPr>
        <w:t>En el caso de que la Cámara lo solicitara, proponer la forma y el momento de realizar las operaciones de cobertura de un Portafolio a Subastar de acuerdo con lo definido en el artículo 5.8.3.3. Neutralización del Riesgo. En todo caso, la Cámara podrá realizar estas operaciones de cobertura sin consultar al CGI.</w:t>
      </w:r>
    </w:p>
    <w:p w14:paraId="6B432C82" w14:textId="77777777" w:rsidR="007968EC" w:rsidRPr="005F10B9" w:rsidRDefault="007968EC" w:rsidP="007968EC">
      <w:pPr>
        <w:widowControl w:val="0"/>
        <w:tabs>
          <w:tab w:val="left" w:pos="601"/>
        </w:tabs>
        <w:autoSpaceDE w:val="0"/>
        <w:autoSpaceDN w:val="0"/>
        <w:ind w:left="567"/>
        <w:jc w:val="right"/>
        <w:rPr>
          <w:rFonts w:ascii="Arial Narrow" w:eastAsia="Calibri" w:hAnsi="Arial Narrow"/>
          <w:bCs/>
          <w:color w:val="000000" w:themeColor="text1"/>
        </w:rPr>
      </w:pPr>
    </w:p>
    <w:p w14:paraId="0B0F5D0F" w14:textId="77777777" w:rsidR="007968EC" w:rsidRPr="005F10B9" w:rsidRDefault="007968EC" w:rsidP="00DA7472">
      <w:pPr>
        <w:widowControl w:val="0"/>
        <w:numPr>
          <w:ilvl w:val="1"/>
          <w:numId w:val="340"/>
        </w:numPr>
        <w:tabs>
          <w:tab w:val="left" w:pos="601"/>
          <w:tab w:val="left" w:pos="1018"/>
          <w:tab w:val="left" w:pos="1019"/>
        </w:tabs>
        <w:autoSpaceDE w:val="0"/>
        <w:autoSpaceDN w:val="0"/>
        <w:ind w:left="567"/>
        <w:rPr>
          <w:rFonts w:ascii="Arial Narrow" w:eastAsia="Calibri" w:hAnsi="Arial Narrow"/>
          <w:bCs/>
          <w:color w:val="000000" w:themeColor="text1"/>
        </w:rPr>
      </w:pPr>
      <w:r w:rsidRPr="005F10B9">
        <w:rPr>
          <w:rFonts w:ascii="Arial Narrow" w:eastAsia="Calibri" w:hAnsi="Arial Narrow"/>
          <w:bCs/>
          <w:color w:val="000000" w:themeColor="text1"/>
        </w:rPr>
        <w:t>En un evento de Incumplimiento sobre:</w:t>
      </w:r>
    </w:p>
    <w:p w14:paraId="6771B63A" w14:textId="77777777" w:rsidR="007968EC" w:rsidRPr="005F10B9" w:rsidRDefault="007968EC" w:rsidP="007968EC">
      <w:pPr>
        <w:rPr>
          <w:rFonts w:ascii="Arial Narrow" w:eastAsia="Calibri" w:hAnsi="Arial Narrow"/>
          <w:bCs/>
          <w:color w:val="000000" w:themeColor="text1"/>
        </w:rPr>
      </w:pPr>
    </w:p>
    <w:p w14:paraId="1068CE9A" w14:textId="77777777" w:rsidR="007968EC" w:rsidRPr="005F10B9" w:rsidRDefault="007968EC" w:rsidP="00DA7472">
      <w:pPr>
        <w:widowControl w:val="0"/>
        <w:numPr>
          <w:ilvl w:val="2"/>
          <w:numId w:val="340"/>
        </w:numPr>
        <w:autoSpaceDE w:val="0"/>
        <w:autoSpaceDN w:val="0"/>
        <w:ind w:left="851" w:hanging="284"/>
        <w:rPr>
          <w:rFonts w:ascii="Arial Narrow" w:eastAsia="Calibri" w:hAnsi="Arial Narrow"/>
          <w:bCs/>
          <w:color w:val="000000" w:themeColor="text1"/>
        </w:rPr>
      </w:pPr>
      <w:r w:rsidRPr="005F10B9">
        <w:rPr>
          <w:rFonts w:ascii="Arial Narrow" w:eastAsia="Calibri" w:hAnsi="Arial Narrow"/>
          <w:bCs/>
          <w:color w:val="000000" w:themeColor="text1"/>
        </w:rPr>
        <w:t>División o no del portafolio del Miembro Liquidador Incumplido.</w:t>
      </w:r>
    </w:p>
    <w:p w14:paraId="1FCAA345" w14:textId="77777777" w:rsidR="007968EC" w:rsidRPr="005F10B9" w:rsidRDefault="007968EC" w:rsidP="00DA7472">
      <w:pPr>
        <w:widowControl w:val="0"/>
        <w:numPr>
          <w:ilvl w:val="2"/>
          <w:numId w:val="340"/>
        </w:numPr>
        <w:autoSpaceDE w:val="0"/>
        <w:autoSpaceDN w:val="0"/>
        <w:ind w:left="851" w:hanging="284"/>
        <w:rPr>
          <w:rFonts w:ascii="Arial Narrow" w:eastAsia="Calibri" w:hAnsi="Arial Narrow"/>
          <w:bCs/>
          <w:color w:val="000000" w:themeColor="text1"/>
        </w:rPr>
      </w:pPr>
      <w:r w:rsidRPr="005F10B9">
        <w:rPr>
          <w:rFonts w:ascii="Arial Narrow" w:eastAsia="Calibri" w:hAnsi="Arial Narrow"/>
          <w:bCs/>
          <w:color w:val="000000" w:themeColor="text1"/>
        </w:rPr>
        <w:t>Desglose del portafolio en unidades de subasta y asignación de las unidades de subasta, según sea el caso.</w:t>
      </w:r>
    </w:p>
    <w:p w14:paraId="3BE63FD2" w14:textId="77777777" w:rsidR="007968EC" w:rsidRPr="005F10B9" w:rsidRDefault="007968EC" w:rsidP="007968EC">
      <w:pPr>
        <w:widowControl w:val="0"/>
        <w:autoSpaceDE w:val="0"/>
        <w:autoSpaceDN w:val="0"/>
        <w:ind w:left="851"/>
        <w:jc w:val="center"/>
        <w:rPr>
          <w:rFonts w:ascii="Arial Narrow" w:eastAsia="Calibri" w:hAnsi="Arial Narrow"/>
          <w:bCs/>
          <w:color w:val="000000" w:themeColor="text1"/>
        </w:rPr>
      </w:pPr>
    </w:p>
    <w:p w14:paraId="0B2B2625" w14:textId="77777777" w:rsidR="007968EC" w:rsidRPr="005F10B9" w:rsidRDefault="007968EC" w:rsidP="00DA7472">
      <w:pPr>
        <w:widowControl w:val="0"/>
        <w:numPr>
          <w:ilvl w:val="1"/>
          <w:numId w:val="340"/>
        </w:numPr>
        <w:tabs>
          <w:tab w:val="left" w:pos="601"/>
          <w:tab w:val="left" w:pos="1018"/>
          <w:tab w:val="left" w:pos="1019"/>
        </w:tabs>
        <w:autoSpaceDE w:val="0"/>
        <w:autoSpaceDN w:val="0"/>
        <w:ind w:left="567"/>
        <w:rPr>
          <w:rFonts w:ascii="Arial Narrow" w:eastAsia="Calibri" w:hAnsi="Arial Narrow"/>
          <w:bCs/>
          <w:color w:val="000000" w:themeColor="text1"/>
        </w:rPr>
      </w:pPr>
      <w:r w:rsidRPr="005F10B9">
        <w:rPr>
          <w:rFonts w:ascii="Arial Narrow" w:eastAsia="Calibri" w:hAnsi="Arial Narrow"/>
          <w:bCs/>
          <w:color w:val="000000" w:themeColor="text1"/>
        </w:rPr>
        <w:t xml:space="preserve">Fijar las condiciones generales de las subastas, entre otros temas: </w:t>
      </w:r>
    </w:p>
    <w:p w14:paraId="11631E87" w14:textId="77777777" w:rsidR="007968EC" w:rsidRPr="005F10B9" w:rsidRDefault="007968EC" w:rsidP="007968EC">
      <w:pPr>
        <w:widowControl w:val="0"/>
        <w:autoSpaceDE w:val="0"/>
        <w:autoSpaceDN w:val="0"/>
        <w:ind w:left="851"/>
        <w:jc w:val="right"/>
        <w:rPr>
          <w:rFonts w:ascii="Arial Narrow" w:eastAsia="Calibri" w:hAnsi="Arial Narrow"/>
          <w:bCs/>
          <w:color w:val="000000" w:themeColor="text1"/>
        </w:rPr>
      </w:pPr>
    </w:p>
    <w:p w14:paraId="2296E6A7" w14:textId="77777777" w:rsidR="007968EC" w:rsidRPr="005F10B9" w:rsidRDefault="007968EC" w:rsidP="00DA7472">
      <w:pPr>
        <w:widowControl w:val="0"/>
        <w:numPr>
          <w:ilvl w:val="2"/>
          <w:numId w:val="340"/>
        </w:numPr>
        <w:autoSpaceDE w:val="0"/>
        <w:autoSpaceDN w:val="0"/>
        <w:ind w:left="851" w:hanging="284"/>
        <w:rPr>
          <w:rFonts w:ascii="Arial Narrow" w:eastAsia="Calibri" w:hAnsi="Arial Narrow"/>
          <w:bCs/>
          <w:color w:val="000000" w:themeColor="text1"/>
        </w:rPr>
      </w:pPr>
      <w:r w:rsidRPr="005F10B9">
        <w:rPr>
          <w:rFonts w:ascii="Arial Narrow" w:eastAsia="Calibri" w:hAnsi="Arial Narrow"/>
          <w:bCs/>
          <w:color w:val="000000" w:themeColor="text1"/>
        </w:rPr>
        <w:t>Definir el modelo de subasta.</w:t>
      </w:r>
    </w:p>
    <w:p w14:paraId="121B64B2" w14:textId="77777777" w:rsidR="007968EC" w:rsidRPr="005F10B9" w:rsidRDefault="007968EC" w:rsidP="00DA7472">
      <w:pPr>
        <w:widowControl w:val="0"/>
        <w:numPr>
          <w:ilvl w:val="2"/>
          <w:numId w:val="340"/>
        </w:numPr>
        <w:autoSpaceDE w:val="0"/>
        <w:autoSpaceDN w:val="0"/>
        <w:ind w:left="851" w:hanging="284"/>
        <w:rPr>
          <w:rFonts w:ascii="Arial Narrow" w:eastAsia="Calibri" w:hAnsi="Arial Narrow"/>
          <w:bCs/>
          <w:color w:val="000000" w:themeColor="text1"/>
        </w:rPr>
      </w:pPr>
      <w:r w:rsidRPr="005F10B9">
        <w:rPr>
          <w:rFonts w:ascii="Arial Narrow" w:eastAsia="Calibri" w:hAnsi="Arial Narrow"/>
          <w:bCs/>
          <w:color w:val="000000" w:themeColor="text1"/>
        </w:rPr>
        <w:t>Calendario (fechas y horarios) de la subasta del Portafolio a Subastar.</w:t>
      </w:r>
    </w:p>
    <w:p w14:paraId="3FF2B3D7" w14:textId="77777777" w:rsidR="007968EC" w:rsidRPr="005F10B9" w:rsidRDefault="007968EC" w:rsidP="007968EC">
      <w:pPr>
        <w:widowControl w:val="0"/>
        <w:tabs>
          <w:tab w:val="left" w:pos="601"/>
          <w:tab w:val="left" w:pos="1018"/>
          <w:tab w:val="left" w:pos="1019"/>
        </w:tabs>
        <w:autoSpaceDE w:val="0"/>
        <w:autoSpaceDN w:val="0"/>
        <w:ind w:left="567"/>
        <w:jc w:val="right"/>
        <w:rPr>
          <w:rFonts w:ascii="Arial Narrow" w:eastAsia="Calibri" w:hAnsi="Arial Narrow"/>
          <w:bCs/>
          <w:color w:val="000000" w:themeColor="text1"/>
        </w:rPr>
      </w:pPr>
    </w:p>
    <w:p w14:paraId="5CEA1B44" w14:textId="77777777" w:rsidR="007968EC" w:rsidRPr="005F10B9" w:rsidRDefault="007968EC" w:rsidP="00DA7472">
      <w:pPr>
        <w:widowControl w:val="0"/>
        <w:numPr>
          <w:ilvl w:val="1"/>
          <w:numId w:val="340"/>
        </w:numPr>
        <w:autoSpaceDE w:val="0"/>
        <w:autoSpaceDN w:val="0"/>
        <w:ind w:left="567"/>
        <w:jc w:val="both"/>
        <w:rPr>
          <w:rFonts w:ascii="Arial Narrow" w:eastAsia="Calibri" w:hAnsi="Arial Narrow"/>
          <w:bCs/>
          <w:color w:val="000000" w:themeColor="text1"/>
        </w:rPr>
      </w:pPr>
      <w:r w:rsidRPr="005F10B9">
        <w:rPr>
          <w:rFonts w:ascii="Arial Narrow" w:eastAsia="Calibri" w:hAnsi="Arial Narrow"/>
          <w:bCs/>
          <w:color w:val="000000" w:themeColor="text1"/>
        </w:rPr>
        <w:t xml:space="preserve">El CGI, o alguno de sus miembros, o alguna persona delegada por el CGI podrá estar presente en el desarrollo de la subasta. En este caso, las pujas se comunicarán a estas personas de forma anónima. </w:t>
      </w:r>
    </w:p>
    <w:p w14:paraId="1C24E994" w14:textId="77777777" w:rsidR="007968EC" w:rsidRPr="005F10B9" w:rsidRDefault="007968EC" w:rsidP="007968EC">
      <w:pPr>
        <w:widowControl w:val="0"/>
        <w:autoSpaceDE w:val="0"/>
        <w:autoSpaceDN w:val="0"/>
        <w:ind w:left="567"/>
        <w:jc w:val="right"/>
        <w:rPr>
          <w:rFonts w:ascii="Arial Narrow" w:eastAsia="Calibri" w:hAnsi="Arial Narrow"/>
          <w:bCs/>
          <w:color w:val="000000" w:themeColor="text1"/>
        </w:rPr>
      </w:pPr>
    </w:p>
    <w:p w14:paraId="4F219F7E" w14:textId="77777777" w:rsidR="007968EC" w:rsidRPr="005F10B9" w:rsidRDefault="007968EC" w:rsidP="00DA7472">
      <w:pPr>
        <w:widowControl w:val="0"/>
        <w:numPr>
          <w:ilvl w:val="1"/>
          <w:numId w:val="340"/>
        </w:numPr>
        <w:autoSpaceDE w:val="0"/>
        <w:autoSpaceDN w:val="0"/>
        <w:ind w:left="567"/>
        <w:jc w:val="both"/>
        <w:rPr>
          <w:rFonts w:ascii="Arial Narrow" w:eastAsia="Calibri" w:hAnsi="Arial Narrow"/>
          <w:bCs/>
          <w:color w:val="000000" w:themeColor="text1"/>
        </w:rPr>
      </w:pPr>
      <w:r w:rsidRPr="005F10B9">
        <w:rPr>
          <w:rFonts w:ascii="Arial Narrow" w:eastAsia="Calibri" w:hAnsi="Arial Narrow"/>
          <w:bCs/>
          <w:color w:val="000000" w:themeColor="text1"/>
        </w:rPr>
        <w:t>Cualquier aspecto o materia relacionada con un evento de Incumplimiento sobre el que la Cámara le pida asesoramiento.</w:t>
      </w:r>
    </w:p>
    <w:p w14:paraId="57F07E9C" w14:textId="77777777" w:rsidR="007968EC" w:rsidRPr="005F10B9" w:rsidRDefault="007968EC" w:rsidP="007968EC">
      <w:pPr>
        <w:widowControl w:val="0"/>
        <w:autoSpaceDE w:val="0"/>
        <w:autoSpaceDN w:val="0"/>
        <w:ind w:left="747"/>
        <w:jc w:val="right"/>
        <w:rPr>
          <w:rFonts w:ascii="Arial Narrow" w:eastAsia="Calibri" w:hAnsi="Arial Narrow"/>
          <w:bCs/>
          <w:color w:val="000000" w:themeColor="text1"/>
        </w:rPr>
      </w:pPr>
    </w:p>
    <w:p w14:paraId="40361EB5" w14:textId="77777777" w:rsidR="007968EC" w:rsidRPr="005F10B9" w:rsidRDefault="007968EC" w:rsidP="00DA7472">
      <w:pPr>
        <w:numPr>
          <w:ilvl w:val="0"/>
          <w:numId w:val="361"/>
        </w:numPr>
        <w:autoSpaceDE w:val="0"/>
        <w:autoSpaceDN w:val="0"/>
        <w:adjustRightInd w:val="0"/>
        <w:contextualSpacing/>
        <w:jc w:val="both"/>
        <w:rPr>
          <w:rFonts w:ascii="Arial Narrow" w:hAnsi="Arial Narrow" w:cs="Arial Narrow"/>
          <w:color w:val="000000" w:themeColor="text1"/>
          <w:lang w:eastAsia="es-ES"/>
        </w:rPr>
      </w:pPr>
      <w:r w:rsidRPr="005F10B9">
        <w:rPr>
          <w:rFonts w:ascii="Arial Narrow" w:hAnsi="Arial Narrow" w:cs="Arial Narrow"/>
          <w:color w:val="000000" w:themeColor="text1"/>
          <w:lang w:eastAsia="es-ES"/>
        </w:rPr>
        <w:t>Obligación de Confidencialidad de la información de los Representantes del CGI:</w:t>
      </w:r>
    </w:p>
    <w:p w14:paraId="7744DF24" w14:textId="77777777" w:rsidR="007968EC" w:rsidRPr="005F10B9" w:rsidRDefault="007968EC" w:rsidP="007968EC">
      <w:pPr>
        <w:rPr>
          <w:rFonts w:ascii="Arial Narrow" w:hAnsi="Arial Narrow" w:cs="Arial"/>
          <w:lang w:eastAsia="es-ES"/>
        </w:rPr>
      </w:pPr>
    </w:p>
    <w:p w14:paraId="28315CAB" w14:textId="77777777" w:rsidR="007968EC" w:rsidRPr="005F10B9" w:rsidRDefault="007968EC" w:rsidP="00DA7472">
      <w:pPr>
        <w:widowControl w:val="0"/>
        <w:numPr>
          <w:ilvl w:val="0"/>
          <w:numId w:val="341"/>
        </w:numPr>
        <w:tabs>
          <w:tab w:val="left" w:pos="709"/>
        </w:tabs>
        <w:autoSpaceDE w:val="0"/>
        <w:autoSpaceDN w:val="0"/>
        <w:ind w:left="567"/>
        <w:jc w:val="both"/>
        <w:rPr>
          <w:rFonts w:ascii="Arial Narrow" w:hAnsi="Arial Narrow" w:cs="Arial"/>
          <w:lang w:eastAsia="es-CO"/>
        </w:rPr>
      </w:pPr>
      <w:r w:rsidRPr="005F10B9">
        <w:rPr>
          <w:rFonts w:ascii="Arial Narrow" w:hAnsi="Arial Narrow" w:cs="Arial"/>
          <w:lang w:eastAsia="es-CO"/>
        </w:rPr>
        <w:t>Los Representantes en el CGI que participen en la reunión del CGI, o reciban información con el objetivo de asesorar a la Cámara en las operaciones de cobertura, no podrán tener comunicación con ningún MLC, incluyendo al MLC al que representen en el CGI, en relación con la información proporcionada por la Cámara con motivo del evento de</w:t>
      </w:r>
      <w:r w:rsidRPr="005F10B9">
        <w:rPr>
          <w:rFonts w:ascii="Arial Narrow" w:hAnsi="Arial Narrow" w:cs="Arial"/>
          <w:spacing w:val="-27"/>
          <w:lang w:eastAsia="es-CO"/>
        </w:rPr>
        <w:t xml:space="preserve"> </w:t>
      </w:r>
      <w:r w:rsidRPr="005F10B9">
        <w:rPr>
          <w:rFonts w:ascii="Arial Narrow" w:hAnsi="Arial Narrow" w:cs="Arial"/>
          <w:lang w:eastAsia="es-CO"/>
        </w:rPr>
        <w:t>incumplimiento.</w:t>
      </w:r>
    </w:p>
    <w:p w14:paraId="08BCD7E1" w14:textId="77777777" w:rsidR="007968EC" w:rsidRPr="005F10B9" w:rsidRDefault="007968EC" w:rsidP="007968EC">
      <w:pPr>
        <w:rPr>
          <w:rFonts w:ascii="Arial Narrow" w:hAnsi="Arial Narrow" w:cs="Arial"/>
          <w:lang w:eastAsia="es-ES"/>
        </w:rPr>
      </w:pPr>
    </w:p>
    <w:p w14:paraId="4FB2785A" w14:textId="77777777" w:rsidR="007968EC" w:rsidRPr="005F10B9" w:rsidRDefault="007968EC" w:rsidP="00DA7472">
      <w:pPr>
        <w:widowControl w:val="0"/>
        <w:numPr>
          <w:ilvl w:val="0"/>
          <w:numId w:val="341"/>
        </w:numPr>
        <w:tabs>
          <w:tab w:val="left" w:pos="709"/>
        </w:tabs>
        <w:autoSpaceDE w:val="0"/>
        <w:autoSpaceDN w:val="0"/>
        <w:ind w:left="567"/>
        <w:jc w:val="both"/>
        <w:rPr>
          <w:rFonts w:ascii="Arial Narrow" w:hAnsi="Arial Narrow" w:cs="Arial"/>
          <w:lang w:eastAsia="es-CO"/>
        </w:rPr>
      </w:pPr>
      <w:r w:rsidRPr="005F10B9">
        <w:rPr>
          <w:rFonts w:ascii="Arial Narrow" w:hAnsi="Arial Narrow" w:cs="Arial"/>
          <w:lang w:eastAsia="es-CO"/>
        </w:rPr>
        <w:t>Los Representantes en el CGI que no participen en la reunión del CGI no podrán tener comunicación alguna con los Representantes en el CGI que participen en la reunión, excepto que alguno de ellos deba reunirse con su suplente para que lo sustituya.</w:t>
      </w:r>
    </w:p>
    <w:p w14:paraId="0CBFF595" w14:textId="77777777" w:rsidR="007968EC" w:rsidRPr="005F10B9" w:rsidRDefault="007968EC" w:rsidP="007968EC">
      <w:pPr>
        <w:rPr>
          <w:rFonts w:ascii="Arial Narrow" w:hAnsi="Arial Narrow" w:cs="Arial"/>
          <w:lang w:eastAsia="es-ES"/>
        </w:rPr>
      </w:pPr>
    </w:p>
    <w:p w14:paraId="3B3D0349" w14:textId="77777777" w:rsidR="007968EC" w:rsidRPr="005F10B9" w:rsidRDefault="007968EC" w:rsidP="00DA7472">
      <w:pPr>
        <w:widowControl w:val="0"/>
        <w:numPr>
          <w:ilvl w:val="0"/>
          <w:numId w:val="341"/>
        </w:numPr>
        <w:tabs>
          <w:tab w:val="left" w:pos="709"/>
        </w:tabs>
        <w:autoSpaceDE w:val="0"/>
        <w:autoSpaceDN w:val="0"/>
        <w:ind w:left="567"/>
        <w:jc w:val="both"/>
        <w:rPr>
          <w:rFonts w:ascii="Arial Narrow" w:hAnsi="Arial Narrow" w:cs="Arial"/>
          <w:lang w:eastAsia="es-CO"/>
        </w:rPr>
      </w:pPr>
      <w:r w:rsidRPr="005F10B9">
        <w:rPr>
          <w:rFonts w:ascii="Arial Narrow" w:hAnsi="Arial Narrow" w:cs="Arial"/>
          <w:lang w:eastAsia="es-CO"/>
        </w:rPr>
        <w:t>No está permitido que los Representantes en el CGI puedan llevar medios de comunicación electrónicos propios a la</w:t>
      </w:r>
      <w:r w:rsidRPr="005F10B9">
        <w:rPr>
          <w:rFonts w:ascii="Arial Narrow" w:hAnsi="Arial Narrow" w:cs="Arial"/>
          <w:spacing w:val="-6"/>
          <w:lang w:eastAsia="es-CO"/>
        </w:rPr>
        <w:t xml:space="preserve"> </w:t>
      </w:r>
      <w:r w:rsidRPr="005F10B9">
        <w:rPr>
          <w:rFonts w:ascii="Arial Narrow" w:hAnsi="Arial Narrow" w:cs="Arial"/>
          <w:lang w:eastAsia="es-CO"/>
        </w:rPr>
        <w:t>reunión.</w:t>
      </w:r>
    </w:p>
    <w:p w14:paraId="2EB3DD2A" w14:textId="77777777" w:rsidR="007968EC" w:rsidRPr="005F10B9" w:rsidRDefault="007968EC" w:rsidP="007968EC">
      <w:pPr>
        <w:ind w:left="708"/>
        <w:rPr>
          <w:rFonts w:ascii="Arial Narrow" w:hAnsi="Arial Narrow" w:cs="Arial"/>
          <w:lang w:eastAsia="es-CO"/>
        </w:rPr>
      </w:pPr>
    </w:p>
    <w:p w14:paraId="45385F56" w14:textId="77777777" w:rsidR="007968EC" w:rsidRPr="005F10B9" w:rsidRDefault="007968EC" w:rsidP="00DA7472">
      <w:pPr>
        <w:widowControl w:val="0"/>
        <w:numPr>
          <w:ilvl w:val="0"/>
          <w:numId w:val="341"/>
        </w:numPr>
        <w:tabs>
          <w:tab w:val="left" w:pos="709"/>
        </w:tabs>
        <w:autoSpaceDE w:val="0"/>
        <w:autoSpaceDN w:val="0"/>
        <w:ind w:left="567"/>
        <w:jc w:val="both"/>
        <w:rPr>
          <w:rFonts w:ascii="Arial Narrow" w:hAnsi="Arial Narrow" w:cs="Arial"/>
          <w:lang w:eastAsia="es-CO"/>
        </w:rPr>
      </w:pPr>
      <w:r w:rsidRPr="005F10B9">
        <w:rPr>
          <w:rFonts w:ascii="Arial Narrow" w:hAnsi="Arial Narrow" w:cs="Arial"/>
          <w:lang w:eastAsia="es-CO"/>
        </w:rPr>
        <w:t xml:space="preserve">Los Representantes en el CGI no podrán abandonar la reunión a menos de que se declare oficialmente cerrada por el secretario. </w:t>
      </w:r>
    </w:p>
    <w:p w14:paraId="1EAE403C" w14:textId="77777777" w:rsidR="007968EC" w:rsidRPr="005F10B9" w:rsidRDefault="007968EC" w:rsidP="007968EC">
      <w:pPr>
        <w:ind w:left="708"/>
        <w:rPr>
          <w:rFonts w:ascii="Arial Narrow" w:hAnsi="Arial Narrow" w:cs="Arial"/>
          <w:lang w:eastAsia="es-CO"/>
        </w:rPr>
      </w:pPr>
    </w:p>
    <w:p w14:paraId="1DE2F70B" w14:textId="77777777" w:rsidR="007968EC" w:rsidRPr="005F10B9" w:rsidRDefault="007968EC" w:rsidP="00DA7472">
      <w:pPr>
        <w:widowControl w:val="0"/>
        <w:numPr>
          <w:ilvl w:val="0"/>
          <w:numId w:val="341"/>
        </w:numPr>
        <w:tabs>
          <w:tab w:val="left" w:pos="709"/>
        </w:tabs>
        <w:autoSpaceDE w:val="0"/>
        <w:autoSpaceDN w:val="0"/>
        <w:ind w:left="567"/>
        <w:jc w:val="both"/>
        <w:rPr>
          <w:rFonts w:ascii="Arial Narrow" w:hAnsi="Arial Narrow" w:cs="Arial"/>
          <w:lang w:eastAsia="es-CO"/>
        </w:rPr>
      </w:pPr>
      <w:r w:rsidRPr="005F10B9">
        <w:rPr>
          <w:rFonts w:ascii="Arial Narrow" w:hAnsi="Arial Narrow" w:cs="Arial"/>
          <w:lang w:eastAsia="es-CO"/>
        </w:rPr>
        <w:t>Las prohibiciones y restricciones establecidas en los literales anteriores estarán vigentes hasta que la Cámara publique los Portafolios a Subastar, el modelo de subasta y en general todas condiciones de la subasta a realizar, excepto en lo referente al contenido de las deliberaciones y a las diferentes posturas de los miembros del CGI, respecto de las cuales deberán mantener la confidencialidad.</w:t>
      </w:r>
    </w:p>
    <w:p w14:paraId="272C3225" w14:textId="77777777" w:rsidR="007968EC" w:rsidRPr="005F10B9" w:rsidRDefault="007968EC" w:rsidP="007968EC">
      <w:pPr>
        <w:widowControl w:val="0"/>
        <w:tabs>
          <w:tab w:val="left" w:pos="962"/>
        </w:tabs>
        <w:autoSpaceDE w:val="0"/>
        <w:autoSpaceDN w:val="0"/>
        <w:ind w:left="961"/>
        <w:jc w:val="both"/>
        <w:rPr>
          <w:rFonts w:ascii="Arial Narrow" w:hAnsi="Arial Narrow" w:cs="Arial"/>
          <w:lang w:eastAsia="es-CO"/>
        </w:rPr>
      </w:pPr>
    </w:p>
    <w:p w14:paraId="658C846A" w14:textId="77777777" w:rsidR="007968EC" w:rsidRPr="005F10B9" w:rsidRDefault="007968EC" w:rsidP="00DA7472">
      <w:pPr>
        <w:numPr>
          <w:ilvl w:val="0"/>
          <w:numId w:val="361"/>
        </w:numPr>
        <w:autoSpaceDE w:val="0"/>
        <w:autoSpaceDN w:val="0"/>
        <w:adjustRightInd w:val="0"/>
        <w:contextualSpacing/>
        <w:jc w:val="both"/>
        <w:rPr>
          <w:rFonts w:ascii="Arial Narrow" w:hAnsi="Arial Narrow" w:cs="Arial Narrow"/>
          <w:color w:val="000000" w:themeColor="text1"/>
          <w:lang w:eastAsia="es-ES"/>
        </w:rPr>
      </w:pPr>
      <w:r w:rsidRPr="005F10B9">
        <w:rPr>
          <w:rFonts w:ascii="Arial Narrow" w:hAnsi="Arial Narrow" w:cs="Arial Narrow"/>
          <w:color w:val="000000" w:themeColor="text1"/>
          <w:lang w:eastAsia="es-ES"/>
        </w:rPr>
        <w:t>Composición del CGI:</w:t>
      </w:r>
    </w:p>
    <w:p w14:paraId="5AC0C194" w14:textId="77777777" w:rsidR="007968EC" w:rsidRPr="005F10B9" w:rsidRDefault="007968EC" w:rsidP="007968EC">
      <w:pPr>
        <w:ind w:left="709"/>
        <w:jc w:val="both"/>
        <w:rPr>
          <w:rFonts w:ascii="Arial Narrow" w:hAnsi="Arial Narrow"/>
          <w:b/>
        </w:rPr>
      </w:pPr>
      <w:r w:rsidRPr="005F10B9">
        <w:rPr>
          <w:rFonts w:ascii="Arial Narrow" w:hAnsi="Arial Narrow"/>
          <w:b/>
        </w:rPr>
        <w:t xml:space="preserve"> </w:t>
      </w:r>
    </w:p>
    <w:p w14:paraId="2FCF3A43" w14:textId="77777777" w:rsidR="007968EC" w:rsidRPr="005F10B9" w:rsidRDefault="007968EC" w:rsidP="00DA7472">
      <w:pPr>
        <w:numPr>
          <w:ilvl w:val="7"/>
          <w:numId w:val="359"/>
        </w:numPr>
        <w:ind w:left="709"/>
        <w:jc w:val="both"/>
        <w:rPr>
          <w:rFonts w:ascii="Arial Narrow" w:hAnsi="Arial Narrow"/>
          <w:b/>
        </w:rPr>
      </w:pPr>
      <w:r w:rsidRPr="005F10B9">
        <w:rPr>
          <w:rFonts w:ascii="Arial Narrow" w:hAnsi="Arial Narrow"/>
        </w:rPr>
        <w:t>Número de Representantes en el</w:t>
      </w:r>
      <w:r w:rsidRPr="005F10B9">
        <w:rPr>
          <w:rFonts w:ascii="Arial Narrow" w:hAnsi="Arial Narrow"/>
          <w:spacing w:val="-8"/>
        </w:rPr>
        <w:t xml:space="preserve"> </w:t>
      </w:r>
      <w:r w:rsidRPr="005F10B9">
        <w:rPr>
          <w:rFonts w:ascii="Arial Narrow" w:hAnsi="Arial Narrow"/>
        </w:rPr>
        <w:t>CGI:</w:t>
      </w:r>
    </w:p>
    <w:p w14:paraId="3BFADA9B" w14:textId="77777777" w:rsidR="007968EC" w:rsidRPr="005F10B9" w:rsidRDefault="007968EC" w:rsidP="007968EC">
      <w:pPr>
        <w:ind w:left="709"/>
        <w:jc w:val="both"/>
        <w:rPr>
          <w:rFonts w:ascii="Arial Narrow" w:hAnsi="Arial Narrow"/>
          <w:b/>
        </w:rPr>
      </w:pPr>
    </w:p>
    <w:p w14:paraId="21A143FA" w14:textId="77777777" w:rsidR="007968EC" w:rsidRPr="005F10B9" w:rsidRDefault="007968EC" w:rsidP="007968EC">
      <w:pPr>
        <w:ind w:left="709"/>
        <w:jc w:val="both"/>
        <w:rPr>
          <w:rFonts w:ascii="Arial Narrow" w:hAnsi="Arial Narrow" w:cs="Arial"/>
          <w:spacing w:val="-7"/>
          <w:lang w:eastAsia="es-ES"/>
        </w:rPr>
      </w:pPr>
      <w:r w:rsidRPr="005F10B9">
        <w:rPr>
          <w:rFonts w:ascii="Arial Narrow" w:hAnsi="Arial Narrow" w:cs="Arial"/>
          <w:lang w:eastAsia="es-ES"/>
        </w:rPr>
        <w:t>El CGI estará compuesto, según lo determine la Cámara, por 3 o 5 MLC activos en el Segmento Swaps quienes designarán para cada renglón a dos Representantes en el CGI, uno que actuará como miembro principal y otro que actuará como suplente personal del principal. El CGI designará un presidente del CGI entre sus miembros y podrá removerlo libremente en cualquier tiempo. La Cámara nombrará al secretario del</w:t>
      </w:r>
      <w:r w:rsidRPr="005F10B9">
        <w:rPr>
          <w:rFonts w:ascii="Arial Narrow" w:hAnsi="Arial Narrow" w:cs="Arial"/>
          <w:spacing w:val="-7"/>
          <w:lang w:eastAsia="es-ES"/>
        </w:rPr>
        <w:t xml:space="preserve"> </w:t>
      </w:r>
      <w:r w:rsidRPr="005F10B9">
        <w:rPr>
          <w:rFonts w:ascii="Arial Narrow" w:hAnsi="Arial Narrow" w:cs="Arial"/>
          <w:lang w:eastAsia="es-ES"/>
        </w:rPr>
        <w:t>CGI</w:t>
      </w:r>
      <w:r w:rsidRPr="005F10B9">
        <w:rPr>
          <w:rFonts w:ascii="Arial Narrow" w:hAnsi="Arial Narrow" w:cs="Arial"/>
          <w:spacing w:val="-10"/>
          <w:lang w:eastAsia="es-ES"/>
        </w:rPr>
        <w:t xml:space="preserve"> </w:t>
      </w:r>
      <w:r w:rsidRPr="005F10B9">
        <w:rPr>
          <w:rFonts w:ascii="Arial Narrow" w:hAnsi="Arial Narrow" w:cs="Arial"/>
          <w:lang w:eastAsia="es-ES"/>
        </w:rPr>
        <w:t>que</w:t>
      </w:r>
      <w:r w:rsidRPr="005F10B9">
        <w:rPr>
          <w:rFonts w:ascii="Arial Narrow" w:hAnsi="Arial Narrow" w:cs="Arial"/>
          <w:spacing w:val="-8"/>
          <w:lang w:eastAsia="es-ES"/>
        </w:rPr>
        <w:t xml:space="preserve"> </w:t>
      </w:r>
      <w:r w:rsidRPr="005F10B9">
        <w:rPr>
          <w:rFonts w:ascii="Arial Narrow" w:hAnsi="Arial Narrow" w:cs="Arial"/>
          <w:lang w:eastAsia="es-ES"/>
        </w:rPr>
        <w:t>tendrá</w:t>
      </w:r>
      <w:r w:rsidRPr="005F10B9">
        <w:rPr>
          <w:rFonts w:ascii="Arial Narrow" w:hAnsi="Arial Narrow" w:cs="Arial"/>
          <w:spacing w:val="-8"/>
          <w:lang w:eastAsia="es-ES"/>
        </w:rPr>
        <w:t xml:space="preserve"> </w:t>
      </w:r>
      <w:r w:rsidRPr="005F10B9">
        <w:rPr>
          <w:rFonts w:ascii="Arial Narrow" w:hAnsi="Arial Narrow" w:cs="Arial"/>
          <w:lang w:eastAsia="es-ES"/>
        </w:rPr>
        <w:t>voz</w:t>
      </w:r>
      <w:r w:rsidRPr="005F10B9">
        <w:rPr>
          <w:rFonts w:ascii="Arial Narrow" w:hAnsi="Arial Narrow" w:cs="Arial"/>
          <w:spacing w:val="-11"/>
          <w:lang w:eastAsia="es-ES"/>
        </w:rPr>
        <w:t xml:space="preserve"> </w:t>
      </w:r>
      <w:r w:rsidRPr="005F10B9">
        <w:rPr>
          <w:rFonts w:ascii="Arial Narrow" w:hAnsi="Arial Narrow" w:cs="Arial"/>
          <w:lang w:eastAsia="es-ES"/>
        </w:rPr>
        <w:t>pero</w:t>
      </w:r>
      <w:r w:rsidRPr="005F10B9">
        <w:rPr>
          <w:rFonts w:ascii="Arial Narrow" w:hAnsi="Arial Narrow" w:cs="Arial"/>
          <w:spacing w:val="-8"/>
          <w:lang w:eastAsia="es-ES"/>
        </w:rPr>
        <w:t xml:space="preserve"> </w:t>
      </w:r>
      <w:r w:rsidRPr="005F10B9">
        <w:rPr>
          <w:rFonts w:ascii="Arial Narrow" w:hAnsi="Arial Narrow" w:cs="Arial"/>
          <w:lang w:eastAsia="es-ES"/>
        </w:rPr>
        <w:t>no</w:t>
      </w:r>
      <w:r w:rsidRPr="005F10B9">
        <w:rPr>
          <w:rFonts w:ascii="Arial Narrow" w:hAnsi="Arial Narrow" w:cs="Arial"/>
          <w:spacing w:val="-8"/>
          <w:lang w:eastAsia="es-ES"/>
        </w:rPr>
        <w:t xml:space="preserve"> </w:t>
      </w:r>
      <w:r w:rsidRPr="005F10B9">
        <w:rPr>
          <w:rFonts w:ascii="Arial Narrow" w:hAnsi="Arial Narrow" w:cs="Arial"/>
          <w:lang w:eastAsia="es-ES"/>
        </w:rPr>
        <w:t>voto.</w:t>
      </w:r>
      <w:r w:rsidRPr="005F10B9">
        <w:rPr>
          <w:rFonts w:ascii="Arial Narrow" w:hAnsi="Arial Narrow" w:cs="Arial"/>
          <w:spacing w:val="-7"/>
          <w:lang w:eastAsia="es-ES"/>
        </w:rPr>
        <w:t xml:space="preserve"> </w:t>
      </w:r>
    </w:p>
    <w:p w14:paraId="42B9953A" w14:textId="77777777" w:rsidR="007968EC" w:rsidRPr="005F10B9" w:rsidRDefault="007968EC" w:rsidP="007968EC">
      <w:pPr>
        <w:ind w:left="709"/>
        <w:jc w:val="both"/>
        <w:rPr>
          <w:rFonts w:ascii="Arial Narrow" w:hAnsi="Arial Narrow" w:cs="Arial"/>
          <w:lang w:eastAsia="es-ES"/>
        </w:rPr>
      </w:pPr>
    </w:p>
    <w:p w14:paraId="649EAFE1" w14:textId="77777777" w:rsidR="007968EC" w:rsidRPr="005F10B9" w:rsidRDefault="007968EC" w:rsidP="007968EC">
      <w:pPr>
        <w:ind w:left="709"/>
        <w:jc w:val="both"/>
        <w:rPr>
          <w:rFonts w:ascii="Arial Narrow" w:hAnsi="Arial Narrow" w:cs="Arial"/>
          <w:lang w:eastAsia="es-ES"/>
        </w:rPr>
      </w:pPr>
      <w:r w:rsidRPr="005F10B9">
        <w:rPr>
          <w:rFonts w:ascii="Arial Narrow" w:hAnsi="Arial Narrow" w:cs="Arial"/>
          <w:lang w:eastAsia="es-ES"/>
        </w:rPr>
        <w:t>Los MLC serán clasificados en distintas categorías. Dichas categorías se establecerán con base en los porcentajes de riesgo que tiene cada MLC:</w:t>
      </w:r>
    </w:p>
    <w:p w14:paraId="36CE3477" w14:textId="77777777" w:rsidR="007968EC" w:rsidRPr="005F10B9" w:rsidRDefault="007968EC" w:rsidP="007968EC">
      <w:pPr>
        <w:ind w:left="1134"/>
        <w:jc w:val="both"/>
        <w:rPr>
          <w:rFonts w:ascii="Arial Narrow" w:hAnsi="Arial Narrow" w:cs="Arial"/>
          <w:lang w:eastAsia="es-ES"/>
        </w:rPr>
      </w:pPr>
    </w:p>
    <w:p w14:paraId="1FBF7806" w14:textId="77777777" w:rsidR="007968EC" w:rsidRPr="005F10B9" w:rsidRDefault="007968EC" w:rsidP="00DA7472">
      <w:pPr>
        <w:numPr>
          <w:ilvl w:val="0"/>
          <w:numId w:val="342"/>
        </w:numPr>
        <w:ind w:left="1134"/>
        <w:jc w:val="both"/>
        <w:rPr>
          <w:rFonts w:ascii="Arial Narrow" w:hAnsi="Arial Narrow" w:cs="Arial"/>
          <w:lang w:eastAsia="es-ES"/>
        </w:rPr>
      </w:pPr>
      <w:r w:rsidRPr="005F10B9">
        <w:rPr>
          <w:rFonts w:ascii="Arial Narrow" w:hAnsi="Arial Narrow" w:cs="Arial"/>
          <w:lang w:eastAsia="es-ES"/>
        </w:rPr>
        <w:t>Nivel</w:t>
      </w:r>
      <w:r w:rsidRPr="005F10B9">
        <w:rPr>
          <w:rFonts w:ascii="Arial Narrow" w:hAnsi="Arial Narrow" w:cs="Arial"/>
          <w:spacing w:val="-3"/>
          <w:lang w:eastAsia="es-ES"/>
        </w:rPr>
        <w:t xml:space="preserve"> </w:t>
      </w:r>
      <w:r w:rsidRPr="005F10B9">
        <w:rPr>
          <w:rFonts w:ascii="Arial Narrow" w:hAnsi="Arial Narrow" w:cs="Arial"/>
          <w:lang w:eastAsia="es-ES"/>
        </w:rPr>
        <w:t>1:</w:t>
      </w:r>
      <w:r w:rsidRPr="005F10B9">
        <w:rPr>
          <w:rFonts w:ascii="Arial Narrow" w:hAnsi="Arial Narrow" w:cs="Arial"/>
          <w:spacing w:val="-2"/>
          <w:lang w:eastAsia="es-ES"/>
        </w:rPr>
        <w:t xml:space="preserve"> </w:t>
      </w:r>
      <w:r w:rsidRPr="005F10B9">
        <w:rPr>
          <w:rFonts w:ascii="Arial Narrow" w:hAnsi="Arial Narrow" w:cs="Arial"/>
          <w:lang w:eastAsia="es-ES"/>
        </w:rPr>
        <w:t>Se</w:t>
      </w:r>
      <w:r w:rsidRPr="005F10B9">
        <w:rPr>
          <w:rFonts w:ascii="Arial Narrow" w:hAnsi="Arial Narrow" w:cs="Arial"/>
          <w:spacing w:val="-2"/>
          <w:lang w:eastAsia="es-ES"/>
        </w:rPr>
        <w:t xml:space="preserve"> </w:t>
      </w:r>
      <w:r w:rsidRPr="005F10B9">
        <w:rPr>
          <w:rFonts w:ascii="Arial Narrow" w:hAnsi="Arial Narrow" w:cs="Arial"/>
          <w:lang w:eastAsia="es-ES"/>
        </w:rPr>
        <w:t>refiere</w:t>
      </w:r>
      <w:r w:rsidRPr="005F10B9">
        <w:rPr>
          <w:rFonts w:ascii="Arial Narrow" w:hAnsi="Arial Narrow" w:cs="Arial"/>
          <w:spacing w:val="-4"/>
          <w:lang w:eastAsia="es-ES"/>
        </w:rPr>
        <w:t xml:space="preserve"> </w:t>
      </w:r>
      <w:r w:rsidRPr="005F10B9">
        <w:rPr>
          <w:rFonts w:ascii="Arial Narrow" w:hAnsi="Arial Narrow" w:cs="Arial"/>
          <w:lang w:eastAsia="es-ES"/>
        </w:rPr>
        <w:t>a</w:t>
      </w:r>
      <w:r w:rsidRPr="005F10B9">
        <w:rPr>
          <w:rFonts w:ascii="Arial Narrow" w:hAnsi="Arial Narrow" w:cs="Arial"/>
          <w:spacing w:val="-2"/>
          <w:lang w:eastAsia="es-ES"/>
        </w:rPr>
        <w:t xml:space="preserve"> </w:t>
      </w:r>
      <w:r w:rsidRPr="005F10B9">
        <w:rPr>
          <w:rFonts w:ascii="Arial Narrow" w:hAnsi="Arial Narrow" w:cs="Arial"/>
          <w:lang w:eastAsia="es-ES"/>
        </w:rPr>
        <w:t>los</w:t>
      </w:r>
      <w:r w:rsidRPr="005F10B9">
        <w:rPr>
          <w:rFonts w:ascii="Arial Narrow" w:hAnsi="Arial Narrow" w:cs="Arial"/>
          <w:spacing w:val="-2"/>
          <w:lang w:eastAsia="es-ES"/>
        </w:rPr>
        <w:t xml:space="preserve"> </w:t>
      </w:r>
      <w:r w:rsidRPr="005F10B9">
        <w:rPr>
          <w:rFonts w:ascii="Arial Narrow" w:hAnsi="Arial Narrow" w:cs="Arial"/>
          <w:lang w:eastAsia="es-ES"/>
        </w:rPr>
        <w:t>MLC</w:t>
      </w:r>
      <w:r w:rsidRPr="005F10B9">
        <w:rPr>
          <w:rFonts w:ascii="Arial Narrow" w:hAnsi="Arial Narrow" w:cs="Arial"/>
          <w:spacing w:val="-3"/>
          <w:lang w:eastAsia="es-ES"/>
        </w:rPr>
        <w:t xml:space="preserve"> </w:t>
      </w:r>
      <w:r w:rsidRPr="005F10B9">
        <w:rPr>
          <w:rFonts w:ascii="Arial Narrow" w:hAnsi="Arial Narrow" w:cs="Arial"/>
          <w:lang w:eastAsia="es-ES"/>
        </w:rPr>
        <w:t>con</w:t>
      </w:r>
      <w:r w:rsidRPr="005F10B9">
        <w:rPr>
          <w:rFonts w:ascii="Arial Narrow" w:hAnsi="Arial Narrow" w:cs="Arial"/>
          <w:spacing w:val="-4"/>
          <w:lang w:eastAsia="es-ES"/>
        </w:rPr>
        <w:t xml:space="preserve"> </w:t>
      </w:r>
      <w:r w:rsidRPr="005F10B9">
        <w:rPr>
          <w:rFonts w:ascii="Arial Narrow" w:hAnsi="Arial Narrow" w:cs="Arial"/>
          <w:lang w:eastAsia="es-ES"/>
        </w:rPr>
        <w:t>un</w:t>
      </w:r>
      <w:r w:rsidRPr="005F10B9">
        <w:rPr>
          <w:rFonts w:ascii="Arial Narrow" w:hAnsi="Arial Narrow" w:cs="Arial"/>
          <w:spacing w:val="-5"/>
          <w:lang w:eastAsia="es-ES"/>
        </w:rPr>
        <w:t xml:space="preserve"> </w:t>
      </w:r>
      <w:r w:rsidRPr="005F10B9">
        <w:rPr>
          <w:rFonts w:ascii="Arial Narrow" w:hAnsi="Arial Narrow" w:cs="Arial"/>
          <w:lang w:eastAsia="es-ES"/>
        </w:rPr>
        <w:t>porcentaje</w:t>
      </w:r>
      <w:r w:rsidRPr="005F10B9">
        <w:rPr>
          <w:rFonts w:ascii="Arial Narrow" w:hAnsi="Arial Narrow" w:cs="Arial"/>
          <w:spacing w:val="-2"/>
          <w:lang w:eastAsia="es-ES"/>
        </w:rPr>
        <w:t xml:space="preserve"> </w:t>
      </w:r>
      <w:r w:rsidRPr="005F10B9">
        <w:rPr>
          <w:rFonts w:ascii="Arial Narrow" w:hAnsi="Arial Narrow" w:cs="Arial"/>
          <w:lang w:eastAsia="es-ES"/>
        </w:rPr>
        <w:t>de</w:t>
      </w:r>
      <w:r w:rsidRPr="005F10B9">
        <w:rPr>
          <w:rFonts w:ascii="Arial Narrow" w:hAnsi="Arial Narrow" w:cs="Arial"/>
          <w:spacing w:val="-4"/>
          <w:lang w:eastAsia="es-ES"/>
        </w:rPr>
        <w:t xml:space="preserve"> </w:t>
      </w:r>
      <w:r w:rsidRPr="005F10B9">
        <w:rPr>
          <w:rFonts w:ascii="Arial Narrow" w:hAnsi="Arial Narrow" w:cs="Arial"/>
          <w:lang w:eastAsia="es-ES"/>
        </w:rPr>
        <w:t>riesgo</w:t>
      </w:r>
      <w:r w:rsidRPr="005F10B9">
        <w:rPr>
          <w:rFonts w:ascii="Arial Narrow" w:hAnsi="Arial Narrow" w:cs="Arial"/>
          <w:spacing w:val="-2"/>
          <w:lang w:eastAsia="es-ES"/>
        </w:rPr>
        <w:t xml:space="preserve"> </w:t>
      </w:r>
      <w:r w:rsidRPr="005F10B9">
        <w:rPr>
          <w:rFonts w:ascii="Arial Narrow" w:hAnsi="Arial Narrow" w:cs="Arial"/>
          <w:lang w:eastAsia="es-ES"/>
        </w:rPr>
        <w:t>superior</w:t>
      </w:r>
      <w:r w:rsidRPr="005F10B9">
        <w:rPr>
          <w:rFonts w:ascii="Arial Narrow" w:hAnsi="Arial Narrow" w:cs="Arial"/>
          <w:spacing w:val="-3"/>
          <w:lang w:eastAsia="es-ES"/>
        </w:rPr>
        <w:t xml:space="preserve"> </w:t>
      </w:r>
      <w:r w:rsidRPr="005F10B9">
        <w:rPr>
          <w:rFonts w:ascii="Arial Narrow" w:hAnsi="Arial Narrow" w:cs="Arial"/>
          <w:lang w:eastAsia="es-ES"/>
        </w:rPr>
        <w:t>o</w:t>
      </w:r>
      <w:r w:rsidRPr="005F10B9">
        <w:rPr>
          <w:rFonts w:ascii="Arial Narrow" w:hAnsi="Arial Narrow" w:cs="Arial"/>
          <w:spacing w:val="-5"/>
          <w:lang w:eastAsia="es-ES"/>
        </w:rPr>
        <w:t xml:space="preserve"> </w:t>
      </w:r>
      <w:r w:rsidRPr="005F10B9">
        <w:rPr>
          <w:rFonts w:ascii="Arial Narrow" w:hAnsi="Arial Narrow" w:cs="Arial"/>
          <w:lang w:eastAsia="es-ES"/>
        </w:rPr>
        <w:t>igual</w:t>
      </w:r>
      <w:r w:rsidRPr="005F10B9">
        <w:rPr>
          <w:rFonts w:ascii="Arial Narrow" w:hAnsi="Arial Narrow" w:cs="Arial"/>
          <w:spacing w:val="-3"/>
          <w:lang w:eastAsia="es-ES"/>
        </w:rPr>
        <w:t xml:space="preserve"> </w:t>
      </w:r>
      <w:r w:rsidRPr="005F10B9">
        <w:rPr>
          <w:rFonts w:ascii="Arial Narrow" w:hAnsi="Arial Narrow" w:cs="Arial"/>
          <w:lang w:eastAsia="es-ES"/>
        </w:rPr>
        <w:t>al</w:t>
      </w:r>
      <w:r w:rsidRPr="005F10B9">
        <w:rPr>
          <w:rFonts w:ascii="Arial Narrow" w:hAnsi="Arial Narrow" w:cs="Arial"/>
          <w:spacing w:val="-4"/>
          <w:lang w:eastAsia="es-ES"/>
        </w:rPr>
        <w:t xml:space="preserve"> </w:t>
      </w:r>
      <w:r w:rsidRPr="005F10B9">
        <w:rPr>
          <w:rFonts w:ascii="Arial Narrow" w:hAnsi="Arial Narrow" w:cs="Arial"/>
          <w:lang w:eastAsia="es-ES"/>
        </w:rPr>
        <w:t>10%</w:t>
      </w:r>
      <w:r w:rsidRPr="005F10B9">
        <w:rPr>
          <w:rFonts w:ascii="Arial Narrow" w:hAnsi="Arial Narrow" w:cs="Arial"/>
          <w:spacing w:val="-3"/>
          <w:lang w:eastAsia="es-ES"/>
        </w:rPr>
        <w:t xml:space="preserve"> </w:t>
      </w:r>
      <w:r w:rsidRPr="005F10B9">
        <w:rPr>
          <w:rFonts w:ascii="Arial Narrow" w:hAnsi="Arial Narrow" w:cs="Arial"/>
          <w:lang w:eastAsia="es-ES"/>
        </w:rPr>
        <w:t>respecto al riesgo total o a los MLC que estén en el grupo de Miembros Liquidadores que conforman el grupo superior o igual al 50 hasta el 60% del riesgo</w:t>
      </w:r>
      <w:r w:rsidRPr="005F10B9">
        <w:rPr>
          <w:rFonts w:ascii="Arial Narrow" w:hAnsi="Arial Narrow" w:cs="Arial"/>
          <w:spacing w:val="-14"/>
          <w:lang w:eastAsia="es-ES"/>
        </w:rPr>
        <w:t xml:space="preserve"> </w:t>
      </w:r>
      <w:r w:rsidRPr="005F10B9">
        <w:rPr>
          <w:rFonts w:ascii="Arial Narrow" w:hAnsi="Arial Narrow" w:cs="Arial"/>
          <w:lang w:eastAsia="es-ES"/>
        </w:rPr>
        <w:t>total.</w:t>
      </w:r>
    </w:p>
    <w:p w14:paraId="0F6C39E7" w14:textId="77777777" w:rsidR="007968EC" w:rsidRPr="005F10B9" w:rsidRDefault="007968EC" w:rsidP="007968EC">
      <w:pPr>
        <w:ind w:left="1134"/>
        <w:jc w:val="both"/>
        <w:rPr>
          <w:rFonts w:ascii="Arial Narrow" w:hAnsi="Arial Narrow" w:cs="Arial"/>
          <w:lang w:eastAsia="es-ES"/>
        </w:rPr>
      </w:pPr>
    </w:p>
    <w:p w14:paraId="45F5FD7A" w14:textId="77777777" w:rsidR="007968EC" w:rsidRPr="005F10B9" w:rsidRDefault="007968EC" w:rsidP="00DA7472">
      <w:pPr>
        <w:numPr>
          <w:ilvl w:val="0"/>
          <w:numId w:val="342"/>
        </w:numPr>
        <w:ind w:left="1134"/>
        <w:jc w:val="both"/>
        <w:rPr>
          <w:rFonts w:ascii="Arial Narrow" w:hAnsi="Arial Narrow" w:cs="Arial"/>
          <w:lang w:eastAsia="es-ES"/>
        </w:rPr>
      </w:pPr>
      <w:r w:rsidRPr="005F10B9">
        <w:rPr>
          <w:rFonts w:ascii="Arial Narrow" w:hAnsi="Arial Narrow" w:cs="Arial"/>
          <w:lang w:eastAsia="es-ES"/>
        </w:rPr>
        <w:t>Nivel 2: Se refiere a los MLC con un porcentaje de riesgo superior o igual al 5% respecto al riesgo total o a los MLC que estén en el grupo de Miembros Liquidadores que conforman el grupo entre el límite del Nivel 1 y el 80% y 90% del riesgo total.</w:t>
      </w:r>
    </w:p>
    <w:p w14:paraId="090A11C2" w14:textId="77777777" w:rsidR="007968EC" w:rsidRPr="005F10B9" w:rsidRDefault="007968EC" w:rsidP="007968EC">
      <w:pPr>
        <w:ind w:left="1134"/>
        <w:jc w:val="both"/>
        <w:rPr>
          <w:rFonts w:ascii="Arial Narrow" w:hAnsi="Arial Narrow" w:cs="Arial"/>
          <w:lang w:eastAsia="es-ES"/>
        </w:rPr>
      </w:pPr>
    </w:p>
    <w:p w14:paraId="6257EA2F" w14:textId="77777777" w:rsidR="007968EC" w:rsidRPr="005F10B9" w:rsidRDefault="007968EC" w:rsidP="00DA7472">
      <w:pPr>
        <w:numPr>
          <w:ilvl w:val="0"/>
          <w:numId w:val="342"/>
        </w:numPr>
        <w:ind w:left="1134"/>
        <w:jc w:val="both"/>
        <w:rPr>
          <w:rFonts w:ascii="Arial Narrow" w:hAnsi="Arial Narrow" w:cs="Arial"/>
          <w:lang w:eastAsia="es-ES"/>
        </w:rPr>
      </w:pPr>
      <w:r w:rsidRPr="005F10B9">
        <w:rPr>
          <w:rFonts w:ascii="Arial Narrow" w:hAnsi="Arial Narrow" w:cs="Arial"/>
          <w:lang w:eastAsia="es-ES"/>
        </w:rPr>
        <w:t>Nivel 3: Se refiere a los MLC con un porcentaje de riesgo inferior al 5% respecto al riesgo total o a los MLC que estén en el grupo de Miembros Liquidadores que conforman el grupo entre el límite del Nivel 2 y el 100% del riesgo total.</w:t>
      </w:r>
    </w:p>
    <w:p w14:paraId="61BFFB71" w14:textId="77777777" w:rsidR="007968EC" w:rsidRPr="005F10B9" w:rsidRDefault="007968EC" w:rsidP="007968EC">
      <w:pPr>
        <w:ind w:left="708"/>
        <w:rPr>
          <w:rFonts w:ascii="Arial Narrow" w:hAnsi="Arial Narrow" w:cs="Arial"/>
          <w:lang w:eastAsia="es-CO"/>
        </w:rPr>
      </w:pPr>
    </w:p>
    <w:p w14:paraId="1D1E0D3F" w14:textId="77777777" w:rsidR="007968EC" w:rsidRPr="005F10B9" w:rsidRDefault="007968EC" w:rsidP="007968EC">
      <w:pPr>
        <w:ind w:left="709"/>
        <w:jc w:val="both"/>
        <w:rPr>
          <w:rFonts w:ascii="Arial Narrow" w:hAnsi="Arial Narrow" w:cs="Arial"/>
          <w:lang w:eastAsia="es-ES"/>
        </w:rPr>
      </w:pPr>
      <w:r w:rsidRPr="005F10B9">
        <w:rPr>
          <w:rFonts w:ascii="Arial Narrow" w:hAnsi="Arial Narrow" w:cs="Arial"/>
          <w:lang w:eastAsia="es-ES"/>
        </w:rPr>
        <w:t>Los</w:t>
      </w:r>
      <w:r w:rsidRPr="005F10B9">
        <w:rPr>
          <w:rFonts w:ascii="Arial Narrow" w:hAnsi="Arial Narrow" w:cs="Arial"/>
          <w:spacing w:val="-8"/>
          <w:lang w:eastAsia="es-ES"/>
        </w:rPr>
        <w:t xml:space="preserve"> MLC del </w:t>
      </w:r>
      <w:r w:rsidRPr="005F10B9">
        <w:rPr>
          <w:rFonts w:ascii="Arial Narrow" w:hAnsi="Arial Narrow" w:cs="Arial"/>
          <w:lang w:eastAsia="es-ES"/>
        </w:rPr>
        <w:t>CGI</w:t>
      </w:r>
      <w:r w:rsidRPr="005F10B9">
        <w:rPr>
          <w:rFonts w:ascii="Arial Narrow" w:hAnsi="Arial Narrow" w:cs="Arial"/>
          <w:spacing w:val="-7"/>
          <w:lang w:eastAsia="es-ES"/>
        </w:rPr>
        <w:t xml:space="preserve"> </w:t>
      </w:r>
      <w:r w:rsidRPr="005F10B9">
        <w:rPr>
          <w:rFonts w:ascii="Arial Narrow" w:hAnsi="Arial Narrow" w:cs="Arial"/>
          <w:lang w:eastAsia="es-ES"/>
        </w:rPr>
        <w:t>se</w:t>
      </w:r>
      <w:r w:rsidRPr="005F10B9">
        <w:rPr>
          <w:rFonts w:ascii="Arial Narrow" w:hAnsi="Arial Narrow" w:cs="Arial"/>
          <w:spacing w:val="-5"/>
          <w:lang w:eastAsia="es-ES"/>
        </w:rPr>
        <w:t xml:space="preserve"> </w:t>
      </w:r>
      <w:r w:rsidRPr="005F10B9">
        <w:rPr>
          <w:rFonts w:ascii="Arial Narrow" w:hAnsi="Arial Narrow" w:cs="Arial"/>
          <w:lang w:eastAsia="es-ES"/>
        </w:rPr>
        <w:t>designarán por</w:t>
      </w:r>
      <w:r w:rsidRPr="005F10B9">
        <w:rPr>
          <w:rFonts w:ascii="Arial Narrow" w:hAnsi="Arial Narrow" w:cs="Arial"/>
          <w:spacing w:val="-5"/>
          <w:lang w:eastAsia="es-ES"/>
        </w:rPr>
        <w:t xml:space="preserve"> </w:t>
      </w:r>
      <w:r w:rsidRPr="005F10B9">
        <w:rPr>
          <w:rFonts w:ascii="Arial Narrow" w:hAnsi="Arial Narrow" w:cs="Arial"/>
          <w:lang w:eastAsia="es-ES"/>
        </w:rPr>
        <w:t>los</w:t>
      </w:r>
      <w:r w:rsidRPr="005F10B9">
        <w:rPr>
          <w:rFonts w:ascii="Arial Narrow" w:hAnsi="Arial Narrow" w:cs="Arial"/>
          <w:spacing w:val="-6"/>
          <w:lang w:eastAsia="es-ES"/>
        </w:rPr>
        <w:t xml:space="preserve"> </w:t>
      </w:r>
      <w:r w:rsidRPr="005F10B9">
        <w:rPr>
          <w:rFonts w:ascii="Arial Narrow" w:hAnsi="Arial Narrow" w:cs="Arial"/>
          <w:lang w:eastAsia="es-ES"/>
        </w:rPr>
        <w:t>niveles</w:t>
      </w:r>
      <w:r w:rsidRPr="005F10B9">
        <w:rPr>
          <w:rFonts w:ascii="Arial Narrow" w:hAnsi="Arial Narrow" w:cs="Arial"/>
          <w:spacing w:val="-7"/>
          <w:lang w:eastAsia="es-ES"/>
        </w:rPr>
        <w:t xml:space="preserve"> </w:t>
      </w:r>
      <w:r w:rsidRPr="005F10B9">
        <w:rPr>
          <w:rFonts w:ascii="Arial Narrow" w:hAnsi="Arial Narrow" w:cs="Arial"/>
          <w:lang w:eastAsia="es-ES"/>
        </w:rPr>
        <w:t>mencionados,</w:t>
      </w:r>
      <w:r w:rsidRPr="005F10B9">
        <w:rPr>
          <w:rFonts w:ascii="Arial Narrow" w:hAnsi="Arial Narrow" w:cs="Arial"/>
          <w:spacing w:val="-7"/>
          <w:lang w:eastAsia="es-ES"/>
        </w:rPr>
        <w:t xml:space="preserve"> </w:t>
      </w:r>
      <w:r w:rsidRPr="005F10B9">
        <w:rPr>
          <w:rFonts w:ascii="Arial Narrow" w:hAnsi="Arial Narrow" w:cs="Arial"/>
          <w:lang w:eastAsia="es-ES"/>
        </w:rPr>
        <w:t>pudiendo</w:t>
      </w:r>
      <w:r w:rsidRPr="005F10B9">
        <w:rPr>
          <w:rFonts w:ascii="Arial Narrow" w:hAnsi="Arial Narrow" w:cs="Arial"/>
          <w:spacing w:val="-5"/>
          <w:lang w:eastAsia="es-ES"/>
        </w:rPr>
        <w:t xml:space="preserve"> </w:t>
      </w:r>
      <w:r w:rsidRPr="005F10B9">
        <w:rPr>
          <w:rFonts w:ascii="Arial Narrow" w:hAnsi="Arial Narrow" w:cs="Arial"/>
          <w:lang w:eastAsia="es-ES"/>
        </w:rPr>
        <w:t>cada</w:t>
      </w:r>
      <w:r w:rsidRPr="005F10B9">
        <w:rPr>
          <w:rFonts w:ascii="Arial Narrow" w:hAnsi="Arial Narrow" w:cs="Arial"/>
          <w:spacing w:val="-6"/>
          <w:lang w:eastAsia="es-ES"/>
        </w:rPr>
        <w:t xml:space="preserve"> nivel </w:t>
      </w:r>
      <w:r w:rsidRPr="005F10B9">
        <w:rPr>
          <w:rFonts w:ascii="Arial Narrow" w:hAnsi="Arial Narrow" w:cs="Arial"/>
          <w:lang w:eastAsia="es-ES"/>
        </w:rPr>
        <w:t>tener el siguiente número de</w:t>
      </w:r>
      <w:r w:rsidRPr="005F10B9">
        <w:rPr>
          <w:rFonts w:ascii="Arial Narrow" w:hAnsi="Arial Narrow" w:cs="Arial"/>
          <w:spacing w:val="-6"/>
          <w:lang w:eastAsia="es-ES"/>
        </w:rPr>
        <w:t xml:space="preserve"> </w:t>
      </w:r>
      <w:r w:rsidRPr="005F10B9">
        <w:rPr>
          <w:rFonts w:ascii="Arial Narrow" w:hAnsi="Arial Narrow" w:cs="Arial"/>
          <w:lang w:eastAsia="es-ES"/>
        </w:rPr>
        <w:t>MLC:</w:t>
      </w:r>
    </w:p>
    <w:p w14:paraId="24EEF2A5" w14:textId="77777777" w:rsidR="007968EC" w:rsidRPr="005F10B9" w:rsidRDefault="007968EC" w:rsidP="007968EC">
      <w:pPr>
        <w:ind w:left="709"/>
        <w:jc w:val="both"/>
        <w:rPr>
          <w:rFonts w:ascii="Arial Narrow" w:hAnsi="Arial Narrow" w:cs="Arial"/>
          <w:lang w:eastAsia="es-ES"/>
        </w:rPr>
      </w:pPr>
    </w:p>
    <w:p w14:paraId="7DDF65BA" w14:textId="77777777" w:rsidR="007968EC" w:rsidRPr="005F10B9" w:rsidRDefault="007968EC" w:rsidP="00DA7472">
      <w:pPr>
        <w:numPr>
          <w:ilvl w:val="0"/>
          <w:numId w:val="343"/>
        </w:numPr>
        <w:ind w:left="1134"/>
        <w:jc w:val="both"/>
        <w:rPr>
          <w:rFonts w:ascii="Arial Narrow" w:hAnsi="Arial Narrow" w:cs="Arial"/>
          <w:lang w:eastAsia="es-ES"/>
        </w:rPr>
      </w:pPr>
      <w:r w:rsidRPr="005F10B9">
        <w:rPr>
          <w:rFonts w:ascii="Arial Narrow" w:hAnsi="Arial Narrow" w:cs="Arial"/>
          <w:lang w:eastAsia="es-ES"/>
        </w:rPr>
        <w:t xml:space="preserve">Nivel 1: 1 – 2 </w:t>
      </w:r>
    </w:p>
    <w:p w14:paraId="7E4E7CD7" w14:textId="77777777" w:rsidR="007968EC" w:rsidRPr="005F10B9" w:rsidRDefault="007968EC" w:rsidP="00DA7472">
      <w:pPr>
        <w:numPr>
          <w:ilvl w:val="0"/>
          <w:numId w:val="343"/>
        </w:numPr>
        <w:ind w:left="1134"/>
        <w:jc w:val="both"/>
        <w:rPr>
          <w:rFonts w:ascii="Arial Narrow" w:hAnsi="Arial Narrow" w:cs="Arial"/>
          <w:lang w:eastAsia="es-ES"/>
        </w:rPr>
      </w:pPr>
      <w:r w:rsidRPr="005F10B9">
        <w:rPr>
          <w:rFonts w:ascii="Arial Narrow" w:hAnsi="Arial Narrow" w:cs="Arial"/>
          <w:lang w:eastAsia="es-ES"/>
        </w:rPr>
        <w:t xml:space="preserve">Nivel 2: 1 – 2 </w:t>
      </w:r>
    </w:p>
    <w:p w14:paraId="24183014" w14:textId="77777777" w:rsidR="007968EC" w:rsidRPr="005F10B9" w:rsidRDefault="007968EC" w:rsidP="00DA7472">
      <w:pPr>
        <w:numPr>
          <w:ilvl w:val="0"/>
          <w:numId w:val="343"/>
        </w:numPr>
        <w:ind w:left="1134"/>
        <w:jc w:val="both"/>
        <w:rPr>
          <w:rFonts w:ascii="Arial Narrow" w:hAnsi="Arial Narrow" w:cs="Arial"/>
          <w:lang w:eastAsia="es-ES"/>
        </w:rPr>
      </w:pPr>
      <w:r w:rsidRPr="005F10B9">
        <w:rPr>
          <w:rFonts w:ascii="Arial Narrow" w:hAnsi="Arial Narrow" w:cs="Arial"/>
          <w:lang w:eastAsia="es-ES"/>
        </w:rPr>
        <w:t xml:space="preserve">Nivel 3: 0 – 1 </w:t>
      </w:r>
    </w:p>
    <w:p w14:paraId="4EF93F5D" w14:textId="77777777" w:rsidR="007968EC" w:rsidRPr="005F10B9" w:rsidRDefault="007968EC" w:rsidP="007968EC">
      <w:pPr>
        <w:jc w:val="both"/>
        <w:rPr>
          <w:rFonts w:ascii="Arial Narrow" w:hAnsi="Arial Narrow" w:cs="Arial"/>
          <w:lang w:eastAsia="es-ES"/>
        </w:rPr>
      </w:pPr>
    </w:p>
    <w:p w14:paraId="4B00B34B" w14:textId="77777777" w:rsidR="007968EC" w:rsidRPr="005F10B9" w:rsidRDefault="007968EC" w:rsidP="007968EC">
      <w:pPr>
        <w:ind w:left="709"/>
        <w:jc w:val="both"/>
        <w:rPr>
          <w:rFonts w:ascii="Arial Narrow" w:hAnsi="Arial Narrow" w:cs="Arial"/>
          <w:lang w:eastAsia="es-ES"/>
        </w:rPr>
      </w:pPr>
      <w:r w:rsidRPr="005F10B9">
        <w:rPr>
          <w:rFonts w:ascii="Arial Narrow" w:hAnsi="Arial Narrow" w:cs="Arial"/>
          <w:lang w:eastAsia="es-ES"/>
        </w:rPr>
        <w:t>La pérdida de la condición de Miembro Liquidador de la Cámara dará lugar automáticamente a la cesación en el ejercicio del cargo en el CGI.</w:t>
      </w:r>
    </w:p>
    <w:p w14:paraId="74EB1C49" w14:textId="77777777" w:rsidR="007968EC" w:rsidRPr="005F10B9" w:rsidRDefault="007968EC" w:rsidP="007968EC">
      <w:pPr>
        <w:ind w:left="709"/>
        <w:jc w:val="both"/>
        <w:rPr>
          <w:rFonts w:ascii="Arial Narrow" w:hAnsi="Arial Narrow" w:cs="Arial"/>
          <w:lang w:eastAsia="es-ES"/>
        </w:rPr>
      </w:pPr>
    </w:p>
    <w:p w14:paraId="7AA906C4" w14:textId="77777777" w:rsidR="007968EC" w:rsidRPr="005F10B9" w:rsidRDefault="007968EC" w:rsidP="007968EC">
      <w:pPr>
        <w:ind w:left="709"/>
        <w:jc w:val="both"/>
        <w:rPr>
          <w:rFonts w:ascii="Arial Narrow" w:hAnsi="Arial Narrow" w:cs="Arial"/>
          <w:lang w:eastAsia="es-ES"/>
        </w:rPr>
      </w:pPr>
      <w:r w:rsidRPr="005F10B9">
        <w:rPr>
          <w:rFonts w:ascii="Arial Narrow" w:hAnsi="Arial Narrow" w:cs="Arial"/>
          <w:lang w:eastAsia="es-ES"/>
        </w:rPr>
        <w:t>Tanto</w:t>
      </w:r>
      <w:r w:rsidRPr="005F10B9">
        <w:rPr>
          <w:rFonts w:ascii="Arial Narrow" w:hAnsi="Arial Narrow" w:cs="Arial"/>
          <w:spacing w:val="-8"/>
          <w:lang w:eastAsia="es-ES"/>
        </w:rPr>
        <w:t xml:space="preserve"> </w:t>
      </w:r>
      <w:r w:rsidRPr="005F10B9">
        <w:rPr>
          <w:rFonts w:ascii="Arial Narrow" w:hAnsi="Arial Narrow" w:cs="Arial"/>
          <w:lang w:eastAsia="es-ES"/>
        </w:rPr>
        <w:t>los</w:t>
      </w:r>
      <w:r w:rsidRPr="005F10B9">
        <w:rPr>
          <w:rFonts w:ascii="Arial Narrow" w:hAnsi="Arial Narrow" w:cs="Arial"/>
          <w:spacing w:val="-8"/>
          <w:lang w:eastAsia="es-ES"/>
        </w:rPr>
        <w:t xml:space="preserve"> </w:t>
      </w:r>
      <w:r w:rsidRPr="005F10B9">
        <w:rPr>
          <w:rFonts w:ascii="Arial Narrow" w:hAnsi="Arial Narrow" w:cs="Arial"/>
          <w:lang w:eastAsia="es-ES"/>
        </w:rPr>
        <w:t>Representantes principales como los suplentes del CGI deberán estar en disposición de reunirse durante el mismo día en que la Cámara</w:t>
      </w:r>
      <w:r w:rsidRPr="005F10B9">
        <w:rPr>
          <w:rFonts w:ascii="Arial Narrow" w:hAnsi="Arial Narrow" w:cs="Arial"/>
          <w:spacing w:val="-8"/>
          <w:lang w:eastAsia="es-ES"/>
        </w:rPr>
        <w:t xml:space="preserve"> </w:t>
      </w:r>
      <w:r w:rsidRPr="005F10B9">
        <w:rPr>
          <w:rFonts w:ascii="Arial Narrow" w:hAnsi="Arial Narrow" w:cs="Arial"/>
          <w:lang w:eastAsia="es-ES"/>
        </w:rPr>
        <w:t>declare</w:t>
      </w:r>
      <w:r w:rsidRPr="005F10B9">
        <w:rPr>
          <w:rFonts w:ascii="Arial Narrow" w:hAnsi="Arial Narrow" w:cs="Arial"/>
          <w:spacing w:val="-7"/>
          <w:lang w:eastAsia="es-ES"/>
        </w:rPr>
        <w:t xml:space="preserve"> </w:t>
      </w:r>
      <w:r w:rsidRPr="005F10B9">
        <w:rPr>
          <w:rFonts w:ascii="Arial Narrow" w:hAnsi="Arial Narrow" w:cs="Arial"/>
          <w:lang w:eastAsia="es-ES"/>
        </w:rPr>
        <w:t>el</w:t>
      </w:r>
      <w:r w:rsidRPr="005F10B9">
        <w:rPr>
          <w:rFonts w:ascii="Arial Narrow" w:hAnsi="Arial Narrow" w:cs="Arial"/>
          <w:spacing w:val="-8"/>
          <w:lang w:eastAsia="es-ES"/>
        </w:rPr>
        <w:t xml:space="preserve"> </w:t>
      </w:r>
      <w:r w:rsidRPr="005F10B9">
        <w:rPr>
          <w:rFonts w:ascii="Arial Narrow" w:hAnsi="Arial Narrow" w:cs="Arial"/>
          <w:lang w:eastAsia="es-ES"/>
        </w:rPr>
        <w:t>incumplimiento</w:t>
      </w:r>
      <w:r w:rsidRPr="005F10B9">
        <w:rPr>
          <w:rFonts w:ascii="Arial Narrow" w:hAnsi="Arial Narrow" w:cs="Arial"/>
          <w:spacing w:val="-7"/>
          <w:lang w:eastAsia="es-ES"/>
        </w:rPr>
        <w:t xml:space="preserve"> </w:t>
      </w:r>
      <w:r w:rsidRPr="005F10B9">
        <w:rPr>
          <w:rFonts w:ascii="Arial Narrow" w:hAnsi="Arial Narrow" w:cs="Arial"/>
          <w:lang w:eastAsia="es-ES"/>
        </w:rPr>
        <w:t>de</w:t>
      </w:r>
      <w:r w:rsidRPr="005F10B9">
        <w:rPr>
          <w:rFonts w:ascii="Arial Narrow" w:hAnsi="Arial Narrow" w:cs="Arial"/>
          <w:spacing w:val="-9"/>
          <w:lang w:eastAsia="es-ES"/>
        </w:rPr>
        <w:t xml:space="preserve"> </w:t>
      </w:r>
      <w:r w:rsidRPr="005F10B9">
        <w:rPr>
          <w:rFonts w:ascii="Arial Narrow" w:hAnsi="Arial Narrow" w:cs="Arial"/>
          <w:lang w:eastAsia="es-ES"/>
        </w:rPr>
        <w:t>uno</w:t>
      </w:r>
      <w:r w:rsidRPr="005F10B9">
        <w:rPr>
          <w:rFonts w:ascii="Arial Narrow" w:hAnsi="Arial Narrow" w:cs="Arial"/>
          <w:spacing w:val="-7"/>
          <w:lang w:eastAsia="es-ES"/>
        </w:rPr>
        <w:t xml:space="preserve"> </w:t>
      </w:r>
      <w:r w:rsidRPr="005F10B9">
        <w:rPr>
          <w:rFonts w:ascii="Arial Narrow" w:hAnsi="Arial Narrow" w:cs="Arial"/>
          <w:lang w:eastAsia="es-ES"/>
        </w:rPr>
        <w:t>de</w:t>
      </w:r>
      <w:r w:rsidRPr="005F10B9">
        <w:rPr>
          <w:rFonts w:ascii="Arial Narrow" w:hAnsi="Arial Narrow" w:cs="Arial"/>
          <w:spacing w:val="-6"/>
          <w:lang w:eastAsia="es-ES"/>
        </w:rPr>
        <w:t xml:space="preserve"> </w:t>
      </w:r>
      <w:r w:rsidRPr="005F10B9">
        <w:rPr>
          <w:rFonts w:ascii="Arial Narrow" w:hAnsi="Arial Narrow" w:cs="Arial"/>
          <w:lang w:eastAsia="es-ES"/>
        </w:rPr>
        <w:t>sus</w:t>
      </w:r>
      <w:r w:rsidRPr="005F10B9">
        <w:rPr>
          <w:rFonts w:ascii="Arial Narrow" w:hAnsi="Arial Narrow" w:cs="Arial"/>
          <w:spacing w:val="-7"/>
          <w:lang w:eastAsia="es-ES"/>
        </w:rPr>
        <w:t xml:space="preserve"> </w:t>
      </w:r>
      <w:r w:rsidRPr="005F10B9">
        <w:rPr>
          <w:rFonts w:ascii="Arial Narrow" w:hAnsi="Arial Narrow" w:cs="Arial"/>
          <w:lang w:eastAsia="es-ES"/>
        </w:rPr>
        <w:t>Miembros Liquidadores y en el horario que el secretario indique en la correspondiente convocatoria al CGI. Para ello, los MLC deberán proporcionar a la Cámara los datos de contacto (teléfono y correo electrónico) de sus</w:t>
      </w:r>
      <w:r w:rsidRPr="005F10B9">
        <w:rPr>
          <w:rFonts w:ascii="Arial Narrow" w:hAnsi="Arial Narrow" w:cs="Arial"/>
          <w:spacing w:val="-19"/>
          <w:lang w:eastAsia="es-ES"/>
        </w:rPr>
        <w:t xml:space="preserve"> </w:t>
      </w:r>
      <w:r w:rsidRPr="005F10B9">
        <w:rPr>
          <w:rFonts w:ascii="Arial Narrow" w:hAnsi="Arial Narrow" w:cs="Arial"/>
          <w:lang w:eastAsia="es-ES"/>
        </w:rPr>
        <w:t xml:space="preserve">Representantes en el CGI. </w:t>
      </w:r>
    </w:p>
    <w:p w14:paraId="41757CEC" w14:textId="77777777" w:rsidR="007968EC" w:rsidRPr="005F10B9" w:rsidRDefault="007968EC" w:rsidP="007968EC">
      <w:pPr>
        <w:ind w:left="709"/>
        <w:jc w:val="both"/>
        <w:rPr>
          <w:rFonts w:ascii="Arial Narrow" w:hAnsi="Arial Narrow" w:cs="Arial"/>
          <w:lang w:eastAsia="es-ES"/>
        </w:rPr>
      </w:pPr>
    </w:p>
    <w:p w14:paraId="53463CFB" w14:textId="77777777" w:rsidR="007968EC" w:rsidRPr="005F10B9" w:rsidRDefault="007968EC" w:rsidP="007968EC">
      <w:pPr>
        <w:ind w:left="709"/>
        <w:jc w:val="both"/>
        <w:rPr>
          <w:rFonts w:ascii="Arial Narrow" w:hAnsi="Arial Narrow" w:cs="Arial"/>
          <w:lang w:eastAsia="es-ES"/>
        </w:rPr>
      </w:pPr>
      <w:r w:rsidRPr="005F10B9">
        <w:rPr>
          <w:rFonts w:ascii="Arial Narrow" w:hAnsi="Arial Narrow" w:cs="Arial"/>
          <w:lang w:eastAsia="es-ES"/>
        </w:rPr>
        <w:t>En el momento que alguno de los Representantes en el CGI vaya a ser reemplazado por el MLC o renuncie debe notificarse por escrito al secretario del CGI con no menos de 30 días de antelación.</w:t>
      </w:r>
      <w:r w:rsidRPr="005F10B9">
        <w:rPr>
          <w:rFonts w:ascii="Arial Narrow" w:hAnsi="Arial Narrow" w:cs="Arial"/>
          <w:spacing w:val="-9"/>
          <w:lang w:eastAsia="es-ES"/>
        </w:rPr>
        <w:t xml:space="preserve"> </w:t>
      </w:r>
      <w:r w:rsidRPr="005F10B9">
        <w:rPr>
          <w:rFonts w:ascii="Arial Narrow" w:hAnsi="Arial Narrow" w:cs="Arial"/>
          <w:lang w:eastAsia="es-ES"/>
        </w:rPr>
        <w:t>El</w:t>
      </w:r>
      <w:r w:rsidRPr="005F10B9">
        <w:rPr>
          <w:rFonts w:ascii="Arial Narrow" w:hAnsi="Arial Narrow" w:cs="Arial"/>
          <w:spacing w:val="-7"/>
          <w:lang w:eastAsia="es-ES"/>
        </w:rPr>
        <w:t xml:space="preserve"> </w:t>
      </w:r>
      <w:r w:rsidRPr="005F10B9">
        <w:rPr>
          <w:rFonts w:ascii="Arial Narrow" w:hAnsi="Arial Narrow" w:cs="Arial"/>
          <w:lang w:eastAsia="es-ES"/>
        </w:rPr>
        <w:t>reemplazo</w:t>
      </w:r>
      <w:r w:rsidRPr="005F10B9">
        <w:rPr>
          <w:rFonts w:ascii="Arial Narrow" w:hAnsi="Arial Narrow" w:cs="Arial"/>
          <w:spacing w:val="-9"/>
          <w:lang w:eastAsia="es-ES"/>
        </w:rPr>
        <w:t xml:space="preserve"> </w:t>
      </w:r>
      <w:r w:rsidRPr="005F10B9">
        <w:rPr>
          <w:rFonts w:ascii="Arial Narrow" w:hAnsi="Arial Narrow" w:cs="Arial"/>
          <w:lang w:eastAsia="es-ES"/>
        </w:rPr>
        <w:t>o</w:t>
      </w:r>
      <w:r w:rsidRPr="005F10B9">
        <w:rPr>
          <w:rFonts w:ascii="Arial Narrow" w:hAnsi="Arial Narrow" w:cs="Arial"/>
          <w:spacing w:val="-8"/>
          <w:lang w:eastAsia="es-ES"/>
        </w:rPr>
        <w:t xml:space="preserve"> </w:t>
      </w:r>
      <w:r w:rsidRPr="005F10B9">
        <w:rPr>
          <w:rFonts w:ascii="Arial Narrow" w:hAnsi="Arial Narrow" w:cs="Arial"/>
          <w:lang w:eastAsia="es-ES"/>
        </w:rPr>
        <w:t>renuncia</w:t>
      </w:r>
      <w:r w:rsidRPr="005F10B9">
        <w:rPr>
          <w:rFonts w:ascii="Arial Narrow" w:hAnsi="Arial Narrow" w:cs="Arial"/>
          <w:spacing w:val="-7"/>
          <w:lang w:eastAsia="es-ES"/>
        </w:rPr>
        <w:t xml:space="preserve"> </w:t>
      </w:r>
      <w:r w:rsidRPr="005F10B9">
        <w:rPr>
          <w:rFonts w:ascii="Arial Narrow" w:hAnsi="Arial Narrow" w:cs="Arial"/>
          <w:lang w:eastAsia="es-ES"/>
        </w:rPr>
        <w:t>será</w:t>
      </w:r>
      <w:r w:rsidRPr="005F10B9">
        <w:rPr>
          <w:rFonts w:ascii="Arial Narrow" w:hAnsi="Arial Narrow" w:cs="Arial"/>
          <w:spacing w:val="-8"/>
          <w:lang w:eastAsia="es-ES"/>
        </w:rPr>
        <w:t xml:space="preserve"> </w:t>
      </w:r>
      <w:r w:rsidRPr="005F10B9">
        <w:rPr>
          <w:rFonts w:ascii="Arial Narrow" w:hAnsi="Arial Narrow" w:cs="Arial"/>
          <w:lang w:eastAsia="es-ES"/>
        </w:rPr>
        <w:t>efectiva</w:t>
      </w:r>
      <w:r w:rsidRPr="005F10B9">
        <w:rPr>
          <w:rFonts w:ascii="Arial Narrow" w:hAnsi="Arial Narrow" w:cs="Arial"/>
          <w:spacing w:val="-7"/>
          <w:lang w:eastAsia="es-ES"/>
        </w:rPr>
        <w:t xml:space="preserve"> </w:t>
      </w:r>
      <w:r w:rsidRPr="005F10B9">
        <w:rPr>
          <w:rFonts w:ascii="Arial Narrow" w:hAnsi="Arial Narrow" w:cs="Arial"/>
          <w:lang w:eastAsia="es-ES"/>
        </w:rPr>
        <w:t>solamente</w:t>
      </w:r>
      <w:r w:rsidRPr="005F10B9">
        <w:rPr>
          <w:rFonts w:ascii="Arial Narrow" w:hAnsi="Arial Narrow" w:cs="Arial"/>
          <w:spacing w:val="-8"/>
          <w:lang w:eastAsia="es-ES"/>
        </w:rPr>
        <w:t xml:space="preserve"> </w:t>
      </w:r>
      <w:r w:rsidRPr="005F10B9">
        <w:rPr>
          <w:rFonts w:ascii="Arial Narrow" w:hAnsi="Arial Narrow" w:cs="Arial"/>
          <w:lang w:eastAsia="es-ES"/>
        </w:rPr>
        <w:t>cuando</w:t>
      </w:r>
      <w:r w:rsidRPr="005F10B9">
        <w:rPr>
          <w:rFonts w:ascii="Arial Narrow" w:hAnsi="Arial Narrow" w:cs="Arial"/>
          <w:spacing w:val="-7"/>
          <w:lang w:eastAsia="es-ES"/>
        </w:rPr>
        <w:t xml:space="preserve"> </w:t>
      </w:r>
      <w:r w:rsidRPr="005F10B9">
        <w:rPr>
          <w:rFonts w:ascii="Arial Narrow" w:hAnsi="Arial Narrow" w:cs="Arial"/>
          <w:lang w:eastAsia="es-ES"/>
        </w:rPr>
        <w:t>el</w:t>
      </w:r>
      <w:r w:rsidRPr="005F10B9">
        <w:rPr>
          <w:rFonts w:ascii="Arial Narrow" w:hAnsi="Arial Narrow" w:cs="Arial"/>
          <w:spacing w:val="-7"/>
          <w:lang w:eastAsia="es-ES"/>
        </w:rPr>
        <w:t xml:space="preserve"> </w:t>
      </w:r>
      <w:r w:rsidRPr="005F10B9">
        <w:rPr>
          <w:rFonts w:ascii="Arial Narrow" w:hAnsi="Arial Narrow" w:cs="Arial"/>
          <w:lang w:eastAsia="es-ES"/>
        </w:rPr>
        <w:t>CGI</w:t>
      </w:r>
      <w:r w:rsidRPr="005F10B9">
        <w:rPr>
          <w:rFonts w:ascii="Arial Narrow" w:hAnsi="Arial Narrow" w:cs="Arial"/>
          <w:spacing w:val="-9"/>
          <w:lang w:eastAsia="es-ES"/>
        </w:rPr>
        <w:t xml:space="preserve"> </w:t>
      </w:r>
      <w:r w:rsidRPr="005F10B9">
        <w:rPr>
          <w:rFonts w:ascii="Arial Narrow" w:hAnsi="Arial Narrow" w:cs="Arial"/>
          <w:lang w:eastAsia="es-ES"/>
        </w:rPr>
        <w:t>acepte</w:t>
      </w:r>
      <w:r w:rsidRPr="005F10B9">
        <w:rPr>
          <w:rFonts w:ascii="Arial Narrow" w:hAnsi="Arial Narrow" w:cs="Arial"/>
          <w:spacing w:val="-7"/>
          <w:lang w:eastAsia="es-ES"/>
        </w:rPr>
        <w:t xml:space="preserve"> </w:t>
      </w:r>
      <w:r w:rsidRPr="005F10B9">
        <w:rPr>
          <w:rFonts w:ascii="Arial Narrow" w:hAnsi="Arial Narrow" w:cs="Arial"/>
          <w:lang w:eastAsia="es-ES"/>
        </w:rPr>
        <w:t>al</w:t>
      </w:r>
      <w:r w:rsidRPr="005F10B9">
        <w:rPr>
          <w:rFonts w:ascii="Arial Narrow" w:hAnsi="Arial Narrow" w:cs="Arial"/>
          <w:spacing w:val="-7"/>
          <w:lang w:eastAsia="es-ES"/>
        </w:rPr>
        <w:t xml:space="preserve"> </w:t>
      </w:r>
      <w:r w:rsidRPr="005F10B9">
        <w:rPr>
          <w:rFonts w:ascii="Arial Narrow" w:hAnsi="Arial Narrow" w:cs="Arial"/>
          <w:lang w:eastAsia="es-ES"/>
        </w:rPr>
        <w:t>nuevo Representante.</w:t>
      </w:r>
    </w:p>
    <w:p w14:paraId="489E3B74" w14:textId="77777777" w:rsidR="007968EC" w:rsidRPr="005F10B9" w:rsidRDefault="007968EC" w:rsidP="007968EC">
      <w:pPr>
        <w:ind w:left="709"/>
        <w:jc w:val="both"/>
        <w:rPr>
          <w:rFonts w:ascii="Arial Narrow" w:hAnsi="Arial Narrow" w:cs="Arial"/>
          <w:lang w:eastAsia="es-ES"/>
        </w:rPr>
      </w:pPr>
    </w:p>
    <w:p w14:paraId="795BBBE9" w14:textId="77777777" w:rsidR="007968EC" w:rsidRPr="005F10B9" w:rsidRDefault="007968EC" w:rsidP="007968EC">
      <w:pPr>
        <w:ind w:left="709"/>
        <w:jc w:val="both"/>
        <w:rPr>
          <w:rFonts w:ascii="Arial Narrow" w:hAnsi="Arial Narrow" w:cs="Arial"/>
          <w:i/>
          <w:lang w:eastAsia="es-ES"/>
        </w:rPr>
      </w:pPr>
      <w:r w:rsidRPr="005F10B9">
        <w:rPr>
          <w:rFonts w:ascii="Arial Narrow" w:hAnsi="Arial Narrow" w:cs="Arial"/>
          <w:lang w:eastAsia="es-ES"/>
        </w:rPr>
        <w:t>Los Representantes en el CGI podrán ser removidos del CGI en el momento en que incumplan con una o varias de las obligaciones a su cargo establecidas en la presente Circular.</w:t>
      </w:r>
    </w:p>
    <w:p w14:paraId="4F44D3A1" w14:textId="77777777" w:rsidR="007968EC" w:rsidRPr="005F10B9" w:rsidRDefault="007968EC" w:rsidP="007968EC">
      <w:pPr>
        <w:ind w:left="709"/>
        <w:jc w:val="both"/>
        <w:rPr>
          <w:rFonts w:ascii="Arial Narrow" w:hAnsi="Arial Narrow" w:cs="Arial"/>
          <w:lang w:eastAsia="es-ES"/>
        </w:rPr>
      </w:pPr>
    </w:p>
    <w:p w14:paraId="1E77963E" w14:textId="77777777" w:rsidR="007968EC" w:rsidRPr="005F10B9" w:rsidRDefault="007968EC" w:rsidP="007968EC">
      <w:pPr>
        <w:ind w:left="709"/>
        <w:jc w:val="both"/>
        <w:rPr>
          <w:rFonts w:ascii="Arial Narrow" w:hAnsi="Arial Narrow" w:cs="Arial"/>
          <w:lang w:eastAsia="es-ES"/>
        </w:rPr>
      </w:pPr>
      <w:r w:rsidRPr="005F10B9">
        <w:rPr>
          <w:rFonts w:ascii="Arial Narrow" w:hAnsi="Arial Narrow" w:cs="Arial"/>
          <w:lang w:eastAsia="es-ES"/>
        </w:rPr>
        <w:t>La Cámara podrá invitar a uno o varios expertos como asesores. Los asesores tendrán voz pero no voto. Así mismo, la Cámara podrá invitar a un representante del Miembro Liquidador Incumplido, quien tendrá voz pero no voto en las decisiones.</w:t>
      </w:r>
    </w:p>
    <w:p w14:paraId="6CCB7853" w14:textId="77777777" w:rsidR="007968EC" w:rsidRPr="005F10B9" w:rsidRDefault="007968EC" w:rsidP="007968EC">
      <w:pPr>
        <w:ind w:left="709"/>
        <w:jc w:val="both"/>
        <w:rPr>
          <w:rFonts w:ascii="Arial Narrow" w:hAnsi="Arial Narrow" w:cs="Arial"/>
          <w:lang w:eastAsia="es-ES"/>
        </w:rPr>
      </w:pPr>
    </w:p>
    <w:p w14:paraId="54D40402" w14:textId="77777777" w:rsidR="007968EC" w:rsidRPr="005F10B9" w:rsidRDefault="007968EC" w:rsidP="007968EC">
      <w:pPr>
        <w:ind w:left="709"/>
        <w:jc w:val="both"/>
        <w:rPr>
          <w:rFonts w:ascii="Arial Narrow" w:hAnsi="Arial Narrow" w:cs="Arial"/>
          <w:lang w:eastAsia="es-ES"/>
        </w:rPr>
      </w:pPr>
      <w:r w:rsidRPr="005F10B9">
        <w:rPr>
          <w:rFonts w:ascii="Arial Narrow" w:hAnsi="Arial Narrow" w:cs="Arial"/>
          <w:lang w:eastAsia="es-ES"/>
        </w:rPr>
        <w:t>Además del secretario del CGI, podrán participar otros funcionarios de la Cámara. Estos funcionarios tendrán voz, pero no voto.</w:t>
      </w:r>
    </w:p>
    <w:p w14:paraId="64AAA44E" w14:textId="77777777" w:rsidR="007968EC" w:rsidRPr="005F10B9" w:rsidRDefault="007968EC" w:rsidP="007968EC">
      <w:pPr>
        <w:jc w:val="both"/>
        <w:rPr>
          <w:rFonts w:ascii="Arial Narrow" w:hAnsi="Arial Narrow" w:cs="Arial"/>
          <w:lang w:eastAsia="es-ES"/>
        </w:rPr>
      </w:pPr>
    </w:p>
    <w:p w14:paraId="016E2D8A" w14:textId="77777777" w:rsidR="007968EC" w:rsidRPr="005F10B9" w:rsidRDefault="007968EC" w:rsidP="00DA7472">
      <w:pPr>
        <w:numPr>
          <w:ilvl w:val="7"/>
          <w:numId w:val="359"/>
        </w:numPr>
        <w:ind w:left="709"/>
        <w:jc w:val="both"/>
        <w:rPr>
          <w:rFonts w:ascii="Arial Narrow" w:hAnsi="Arial Narrow"/>
          <w:b/>
        </w:rPr>
      </w:pPr>
      <w:r w:rsidRPr="005F10B9">
        <w:rPr>
          <w:rFonts w:ascii="Arial Narrow" w:hAnsi="Arial Narrow"/>
        </w:rPr>
        <w:t>Elección de los MLC en el CGI:</w:t>
      </w:r>
    </w:p>
    <w:p w14:paraId="7AD5BB81" w14:textId="77777777" w:rsidR="007968EC" w:rsidRPr="005F10B9" w:rsidRDefault="007968EC" w:rsidP="007968EC">
      <w:pPr>
        <w:ind w:left="709"/>
        <w:jc w:val="both"/>
        <w:rPr>
          <w:rFonts w:ascii="Arial Narrow" w:hAnsi="Arial Narrow" w:cs="Arial"/>
          <w:lang w:eastAsia="es-ES"/>
        </w:rPr>
      </w:pPr>
    </w:p>
    <w:p w14:paraId="748742CA" w14:textId="77777777" w:rsidR="007968EC" w:rsidRPr="005F10B9" w:rsidRDefault="007968EC" w:rsidP="007968EC">
      <w:pPr>
        <w:ind w:left="709"/>
        <w:jc w:val="both"/>
        <w:rPr>
          <w:rFonts w:ascii="Arial Narrow" w:hAnsi="Arial Narrow" w:cs="Arial"/>
          <w:lang w:eastAsia="es-ES"/>
        </w:rPr>
      </w:pPr>
      <w:r w:rsidRPr="005F10B9">
        <w:rPr>
          <w:rFonts w:ascii="Arial Narrow" w:hAnsi="Arial Narrow" w:cs="Arial"/>
          <w:lang w:eastAsia="es-ES"/>
        </w:rPr>
        <w:t>La elección de los MLC en el CGI podrá ser por solicitud voluntaria del MLC o por designación objetiva.</w:t>
      </w:r>
    </w:p>
    <w:p w14:paraId="041A3F97" w14:textId="77777777" w:rsidR="007968EC" w:rsidRPr="005F10B9" w:rsidRDefault="007968EC" w:rsidP="007968EC">
      <w:pPr>
        <w:widowControl w:val="0"/>
        <w:tabs>
          <w:tab w:val="left" w:pos="889"/>
        </w:tabs>
        <w:autoSpaceDE w:val="0"/>
        <w:autoSpaceDN w:val="0"/>
        <w:jc w:val="both"/>
        <w:outlineLvl w:val="0"/>
        <w:rPr>
          <w:rFonts w:ascii="Arial Narrow" w:hAnsi="Arial Narrow" w:cs="Arial"/>
          <w:lang w:eastAsia="es-ES"/>
        </w:rPr>
      </w:pPr>
    </w:p>
    <w:p w14:paraId="7E062F3C" w14:textId="77777777" w:rsidR="007968EC" w:rsidRPr="005F10B9" w:rsidRDefault="007968EC" w:rsidP="00DA7472">
      <w:pPr>
        <w:widowControl w:val="0"/>
        <w:numPr>
          <w:ilvl w:val="8"/>
          <w:numId w:val="359"/>
        </w:numPr>
        <w:tabs>
          <w:tab w:val="left" w:pos="889"/>
        </w:tabs>
        <w:autoSpaceDE w:val="0"/>
        <w:autoSpaceDN w:val="0"/>
        <w:ind w:left="993"/>
        <w:jc w:val="both"/>
        <w:outlineLvl w:val="0"/>
        <w:rPr>
          <w:rFonts w:ascii="Arial Narrow" w:hAnsi="Arial Narrow" w:cs="Arial"/>
          <w:bCs/>
          <w:kern w:val="32"/>
          <w:lang w:eastAsia="es-ES"/>
        </w:rPr>
      </w:pPr>
      <w:r w:rsidRPr="005F10B9">
        <w:rPr>
          <w:rFonts w:ascii="Arial Narrow" w:hAnsi="Arial Narrow" w:cs="Arial"/>
          <w:bCs/>
          <w:kern w:val="32"/>
          <w:lang w:eastAsia="es-ES"/>
        </w:rPr>
        <w:t>Elección de los MLC por solicitud</w:t>
      </w:r>
      <w:r w:rsidRPr="005F10B9">
        <w:rPr>
          <w:rFonts w:ascii="Arial Narrow" w:hAnsi="Arial Narrow" w:cs="Arial"/>
          <w:bCs/>
          <w:spacing w:val="-10"/>
          <w:kern w:val="32"/>
          <w:lang w:eastAsia="es-ES"/>
        </w:rPr>
        <w:t xml:space="preserve"> </w:t>
      </w:r>
      <w:r w:rsidRPr="005F10B9">
        <w:rPr>
          <w:rFonts w:ascii="Arial Narrow" w:hAnsi="Arial Narrow" w:cs="Arial"/>
          <w:bCs/>
          <w:kern w:val="32"/>
          <w:lang w:eastAsia="es-ES"/>
        </w:rPr>
        <w:t>voluntaria:</w:t>
      </w:r>
    </w:p>
    <w:p w14:paraId="4E4F1784" w14:textId="77777777" w:rsidR="007968EC" w:rsidRPr="005F10B9" w:rsidRDefault="007968EC" w:rsidP="007968EC">
      <w:pPr>
        <w:jc w:val="both"/>
        <w:rPr>
          <w:rFonts w:ascii="Arial Narrow" w:hAnsi="Arial Narrow" w:cs="Arial"/>
          <w:lang w:eastAsia="es-ES"/>
        </w:rPr>
      </w:pPr>
    </w:p>
    <w:p w14:paraId="4B461392" w14:textId="77777777" w:rsidR="007968EC" w:rsidRPr="005F10B9" w:rsidRDefault="007968EC" w:rsidP="007968EC">
      <w:pPr>
        <w:ind w:left="709"/>
        <w:jc w:val="both"/>
        <w:rPr>
          <w:rFonts w:ascii="Arial Narrow" w:hAnsi="Arial Narrow" w:cs="Arial"/>
          <w:lang w:eastAsia="es-ES"/>
        </w:rPr>
      </w:pPr>
      <w:r w:rsidRPr="005F10B9">
        <w:rPr>
          <w:rFonts w:ascii="Arial Narrow" w:hAnsi="Arial Narrow" w:cs="Arial"/>
          <w:lang w:eastAsia="es-ES"/>
        </w:rPr>
        <w:t>Todos aquellos MLC que deseen formar parte del CGI pueden de forma voluntaria comunicárselo a la Cámara. La Cámara elaborará una lista de MLC voluntarios asignándoles un orden de elegibilidad, dentro de cada nivel, en función del volumen de Garantía por Posición o participación</w:t>
      </w:r>
      <w:r w:rsidRPr="005F10B9">
        <w:rPr>
          <w:rFonts w:ascii="Arial Narrow" w:hAnsi="Arial Narrow" w:cs="Arial"/>
          <w:spacing w:val="-10"/>
          <w:lang w:eastAsia="es-ES"/>
        </w:rPr>
        <w:t xml:space="preserve"> </w:t>
      </w:r>
      <w:r w:rsidRPr="005F10B9">
        <w:rPr>
          <w:rFonts w:ascii="Arial Narrow" w:hAnsi="Arial Narrow" w:cs="Arial"/>
          <w:lang w:eastAsia="es-ES"/>
        </w:rPr>
        <w:t>en</w:t>
      </w:r>
      <w:r w:rsidRPr="005F10B9">
        <w:rPr>
          <w:rFonts w:ascii="Arial Narrow" w:hAnsi="Arial Narrow" w:cs="Arial"/>
          <w:spacing w:val="-13"/>
          <w:lang w:eastAsia="es-ES"/>
        </w:rPr>
        <w:t xml:space="preserve"> el Fondo de </w:t>
      </w:r>
      <w:r w:rsidRPr="005F10B9">
        <w:rPr>
          <w:rFonts w:ascii="Arial Narrow" w:hAnsi="Arial Narrow" w:cs="Arial"/>
          <w:lang w:eastAsia="es-ES"/>
        </w:rPr>
        <w:t>Garantía</w:t>
      </w:r>
      <w:r w:rsidRPr="005F10B9">
        <w:rPr>
          <w:rFonts w:ascii="Arial Narrow" w:hAnsi="Arial Narrow" w:cs="Arial"/>
          <w:spacing w:val="-9"/>
          <w:lang w:eastAsia="es-ES"/>
        </w:rPr>
        <w:t xml:space="preserve"> </w:t>
      </w:r>
      <w:r w:rsidRPr="005F10B9">
        <w:rPr>
          <w:rFonts w:ascii="Arial Narrow" w:hAnsi="Arial Narrow" w:cs="Arial"/>
          <w:lang w:eastAsia="es-ES"/>
        </w:rPr>
        <w:t>Colectiva</w:t>
      </w:r>
      <w:r w:rsidRPr="005F10B9">
        <w:rPr>
          <w:rFonts w:ascii="Arial Narrow" w:hAnsi="Arial Narrow" w:cs="Arial"/>
          <w:spacing w:val="-10"/>
          <w:lang w:eastAsia="es-ES"/>
        </w:rPr>
        <w:t xml:space="preserve"> </w:t>
      </w:r>
      <w:r w:rsidRPr="005F10B9">
        <w:rPr>
          <w:rFonts w:ascii="Arial Narrow" w:hAnsi="Arial Narrow" w:cs="Arial"/>
          <w:lang w:eastAsia="es-ES"/>
        </w:rPr>
        <w:t>del</w:t>
      </w:r>
      <w:r w:rsidRPr="005F10B9">
        <w:rPr>
          <w:rFonts w:ascii="Arial Narrow" w:hAnsi="Arial Narrow" w:cs="Arial"/>
          <w:spacing w:val="-12"/>
          <w:lang w:eastAsia="es-ES"/>
        </w:rPr>
        <w:t xml:space="preserve"> </w:t>
      </w:r>
      <w:r w:rsidRPr="005F10B9">
        <w:rPr>
          <w:rFonts w:ascii="Arial Narrow" w:hAnsi="Arial Narrow" w:cs="Arial"/>
          <w:lang w:eastAsia="es-ES"/>
        </w:rPr>
        <w:t>Segmento</w:t>
      </w:r>
      <w:r w:rsidRPr="005F10B9">
        <w:rPr>
          <w:rFonts w:ascii="Arial Narrow" w:hAnsi="Arial Narrow" w:cs="Arial"/>
          <w:spacing w:val="-12"/>
          <w:lang w:eastAsia="es-ES"/>
        </w:rPr>
        <w:t xml:space="preserve"> </w:t>
      </w:r>
      <w:r w:rsidRPr="005F10B9">
        <w:rPr>
          <w:rFonts w:ascii="Arial Narrow" w:hAnsi="Arial Narrow" w:cs="Arial"/>
          <w:lang w:eastAsia="es-ES"/>
        </w:rPr>
        <w:t>en</w:t>
      </w:r>
      <w:r w:rsidRPr="005F10B9">
        <w:rPr>
          <w:rFonts w:ascii="Arial Narrow" w:hAnsi="Arial Narrow" w:cs="Arial"/>
          <w:spacing w:val="-10"/>
          <w:lang w:eastAsia="es-ES"/>
        </w:rPr>
        <w:t xml:space="preserve"> </w:t>
      </w:r>
      <w:r w:rsidRPr="005F10B9">
        <w:rPr>
          <w:rFonts w:ascii="Arial Narrow" w:hAnsi="Arial Narrow" w:cs="Arial"/>
          <w:lang w:eastAsia="es-ES"/>
        </w:rPr>
        <w:t>la Cámara</w:t>
      </w:r>
      <w:r w:rsidRPr="005F10B9">
        <w:rPr>
          <w:rFonts w:ascii="Arial Narrow" w:hAnsi="Arial Narrow" w:cs="Arial"/>
          <w:spacing w:val="-11"/>
          <w:lang w:eastAsia="es-ES"/>
        </w:rPr>
        <w:t xml:space="preserve"> </w:t>
      </w:r>
      <w:r w:rsidRPr="005F10B9">
        <w:rPr>
          <w:rFonts w:ascii="Arial Narrow" w:hAnsi="Arial Narrow" w:cs="Arial"/>
          <w:lang w:eastAsia="es-ES"/>
        </w:rPr>
        <w:t>durante</w:t>
      </w:r>
      <w:r w:rsidRPr="005F10B9">
        <w:rPr>
          <w:rFonts w:ascii="Arial Narrow" w:hAnsi="Arial Narrow" w:cs="Arial"/>
          <w:spacing w:val="-10"/>
          <w:lang w:eastAsia="es-ES"/>
        </w:rPr>
        <w:t xml:space="preserve"> </w:t>
      </w:r>
      <w:r w:rsidRPr="005F10B9">
        <w:rPr>
          <w:rFonts w:ascii="Arial Narrow" w:hAnsi="Arial Narrow" w:cs="Arial"/>
          <w:lang w:eastAsia="es-ES"/>
        </w:rPr>
        <w:t>los</w:t>
      </w:r>
      <w:r w:rsidRPr="005F10B9">
        <w:rPr>
          <w:rFonts w:ascii="Arial Narrow" w:hAnsi="Arial Narrow" w:cs="Arial"/>
          <w:spacing w:val="-13"/>
          <w:lang w:eastAsia="es-ES"/>
        </w:rPr>
        <w:t xml:space="preserve"> </w:t>
      </w:r>
      <w:r w:rsidRPr="005F10B9">
        <w:rPr>
          <w:rFonts w:ascii="Arial Narrow" w:hAnsi="Arial Narrow" w:cs="Arial"/>
          <w:lang w:eastAsia="es-ES"/>
        </w:rPr>
        <w:t>últimos 3 meses antes de la elección del</w:t>
      </w:r>
      <w:r w:rsidRPr="005F10B9">
        <w:rPr>
          <w:rFonts w:ascii="Arial Narrow" w:hAnsi="Arial Narrow" w:cs="Arial"/>
          <w:spacing w:val="-10"/>
          <w:lang w:eastAsia="es-ES"/>
        </w:rPr>
        <w:t xml:space="preserve"> C</w:t>
      </w:r>
      <w:r w:rsidRPr="005F10B9">
        <w:rPr>
          <w:rFonts w:ascii="Arial Narrow" w:hAnsi="Arial Narrow" w:cs="Arial"/>
          <w:lang w:eastAsia="es-ES"/>
        </w:rPr>
        <w:t xml:space="preserve">GI. En el evento en que el número de MLC postulados voluntariamente excedan el número máximo de MLC que pueden integrar el CGI según cada nivel, se elegirá el número máximo establecido de MLC de acuerdo con el orden de elegibilidad. La Cámara comunicará el resultado a los MLC que se hayan postulado voluntariamente. </w:t>
      </w:r>
    </w:p>
    <w:p w14:paraId="5A69A21A" w14:textId="77777777" w:rsidR="007968EC" w:rsidRPr="005F10B9" w:rsidRDefault="007968EC" w:rsidP="007968EC">
      <w:pPr>
        <w:ind w:left="709"/>
        <w:jc w:val="both"/>
        <w:rPr>
          <w:rFonts w:ascii="Arial Narrow" w:hAnsi="Arial Narrow" w:cs="Arial"/>
          <w:lang w:eastAsia="es-ES"/>
        </w:rPr>
      </w:pPr>
    </w:p>
    <w:p w14:paraId="217CA606" w14:textId="77777777" w:rsidR="007968EC" w:rsidRPr="005F10B9" w:rsidRDefault="007968EC" w:rsidP="007968EC">
      <w:pPr>
        <w:ind w:left="709"/>
        <w:jc w:val="both"/>
        <w:rPr>
          <w:rFonts w:ascii="Arial Narrow" w:hAnsi="Arial Narrow" w:cs="Arial"/>
          <w:lang w:eastAsia="es-ES"/>
        </w:rPr>
      </w:pPr>
      <w:r w:rsidRPr="005F10B9">
        <w:rPr>
          <w:rFonts w:ascii="Arial Narrow" w:hAnsi="Arial Narrow" w:cs="Arial"/>
          <w:lang w:eastAsia="es-ES"/>
        </w:rPr>
        <w:t>Una</w:t>
      </w:r>
      <w:r w:rsidRPr="005F10B9">
        <w:rPr>
          <w:rFonts w:ascii="Arial Narrow" w:hAnsi="Arial Narrow" w:cs="Arial"/>
          <w:spacing w:val="-14"/>
          <w:lang w:eastAsia="es-ES"/>
        </w:rPr>
        <w:t xml:space="preserve"> </w:t>
      </w:r>
      <w:r w:rsidRPr="005F10B9">
        <w:rPr>
          <w:rFonts w:ascii="Arial Narrow" w:hAnsi="Arial Narrow" w:cs="Arial"/>
          <w:lang w:eastAsia="es-ES"/>
        </w:rPr>
        <w:t>vez</w:t>
      </w:r>
      <w:r w:rsidRPr="005F10B9">
        <w:rPr>
          <w:rFonts w:ascii="Arial Narrow" w:hAnsi="Arial Narrow" w:cs="Arial"/>
          <w:spacing w:val="-17"/>
          <w:lang w:eastAsia="es-ES"/>
        </w:rPr>
        <w:t xml:space="preserve"> </w:t>
      </w:r>
      <w:r w:rsidRPr="005F10B9">
        <w:rPr>
          <w:rFonts w:ascii="Arial Narrow" w:hAnsi="Arial Narrow" w:cs="Arial"/>
          <w:lang w:eastAsia="es-ES"/>
        </w:rPr>
        <w:t>comunicada la elección a los</w:t>
      </w:r>
      <w:r w:rsidRPr="005F10B9">
        <w:rPr>
          <w:rFonts w:ascii="Arial Narrow" w:hAnsi="Arial Narrow" w:cs="Arial"/>
          <w:spacing w:val="-14"/>
          <w:lang w:eastAsia="es-ES"/>
        </w:rPr>
        <w:t xml:space="preserve"> </w:t>
      </w:r>
      <w:r w:rsidRPr="005F10B9">
        <w:rPr>
          <w:rFonts w:ascii="Arial Narrow" w:hAnsi="Arial Narrow" w:cs="Arial"/>
          <w:lang w:eastAsia="es-ES"/>
        </w:rPr>
        <w:t>MLC, estos designarán a sus Representantes en el CGI, tanto principales como suplentes, entregando a la Cámara la correspondiente hoja de vida.</w:t>
      </w:r>
    </w:p>
    <w:p w14:paraId="45FA0135" w14:textId="77777777" w:rsidR="007968EC" w:rsidRPr="005F10B9" w:rsidRDefault="007968EC" w:rsidP="007968EC">
      <w:pPr>
        <w:ind w:left="709"/>
        <w:jc w:val="both"/>
        <w:rPr>
          <w:rFonts w:ascii="Arial Narrow" w:hAnsi="Arial Narrow" w:cs="Arial"/>
          <w:lang w:eastAsia="es-ES"/>
        </w:rPr>
      </w:pPr>
    </w:p>
    <w:p w14:paraId="230D1D9B" w14:textId="77777777" w:rsidR="007968EC" w:rsidRPr="005F10B9" w:rsidRDefault="007968EC" w:rsidP="007968EC">
      <w:pPr>
        <w:ind w:left="709"/>
        <w:jc w:val="both"/>
        <w:rPr>
          <w:rFonts w:ascii="Arial Narrow" w:hAnsi="Arial Narrow" w:cs="Arial"/>
          <w:lang w:eastAsia="es-ES"/>
        </w:rPr>
      </w:pPr>
      <w:r w:rsidRPr="005F10B9">
        <w:rPr>
          <w:rFonts w:ascii="Arial Narrow" w:hAnsi="Arial Narrow" w:cs="Arial"/>
          <w:lang w:eastAsia="es-ES"/>
        </w:rPr>
        <w:t>En el evento en que no sea posible conformar el CGI con los MLC que lo hayan solicitado de forma voluntaria,</w:t>
      </w:r>
      <w:r w:rsidRPr="005F10B9">
        <w:rPr>
          <w:rFonts w:ascii="Arial Narrow" w:hAnsi="Arial Narrow" w:cs="Arial"/>
          <w:spacing w:val="-15"/>
          <w:lang w:eastAsia="es-ES"/>
        </w:rPr>
        <w:t xml:space="preserve"> </w:t>
      </w:r>
      <w:r w:rsidRPr="005F10B9">
        <w:rPr>
          <w:rFonts w:ascii="Arial Narrow" w:hAnsi="Arial Narrow" w:cs="Arial"/>
          <w:lang w:eastAsia="es-ES"/>
        </w:rPr>
        <w:t>se</w:t>
      </w:r>
      <w:r w:rsidRPr="005F10B9">
        <w:rPr>
          <w:rFonts w:ascii="Arial Narrow" w:hAnsi="Arial Narrow" w:cs="Arial"/>
          <w:spacing w:val="-15"/>
          <w:lang w:eastAsia="es-ES"/>
        </w:rPr>
        <w:t xml:space="preserve"> </w:t>
      </w:r>
      <w:r w:rsidRPr="005F10B9">
        <w:rPr>
          <w:rFonts w:ascii="Arial Narrow" w:hAnsi="Arial Narrow" w:cs="Arial"/>
          <w:lang w:eastAsia="es-ES"/>
        </w:rPr>
        <w:t>iniciará</w:t>
      </w:r>
      <w:r w:rsidRPr="005F10B9">
        <w:rPr>
          <w:rFonts w:ascii="Arial Narrow" w:hAnsi="Arial Narrow" w:cs="Arial"/>
          <w:spacing w:val="-14"/>
          <w:lang w:eastAsia="es-ES"/>
        </w:rPr>
        <w:t xml:space="preserve"> </w:t>
      </w:r>
      <w:r w:rsidRPr="005F10B9">
        <w:rPr>
          <w:rFonts w:ascii="Arial Narrow" w:hAnsi="Arial Narrow" w:cs="Arial"/>
          <w:lang w:eastAsia="es-ES"/>
        </w:rPr>
        <w:t>el</w:t>
      </w:r>
      <w:r w:rsidRPr="005F10B9">
        <w:rPr>
          <w:rFonts w:ascii="Arial Narrow" w:hAnsi="Arial Narrow" w:cs="Arial"/>
          <w:spacing w:val="-13"/>
          <w:lang w:eastAsia="es-ES"/>
        </w:rPr>
        <w:t xml:space="preserve"> </w:t>
      </w:r>
      <w:r w:rsidRPr="005F10B9">
        <w:rPr>
          <w:rFonts w:ascii="Arial Narrow" w:hAnsi="Arial Narrow" w:cs="Arial"/>
          <w:lang w:eastAsia="es-ES"/>
        </w:rPr>
        <w:t>procedimiento para la elección de</w:t>
      </w:r>
      <w:r w:rsidRPr="005F10B9">
        <w:rPr>
          <w:rFonts w:ascii="Arial Narrow" w:hAnsi="Arial Narrow" w:cs="Arial"/>
          <w:spacing w:val="-16"/>
          <w:lang w:eastAsia="es-ES"/>
        </w:rPr>
        <w:t xml:space="preserve"> </w:t>
      </w:r>
      <w:r w:rsidRPr="005F10B9">
        <w:rPr>
          <w:rFonts w:ascii="Arial Narrow" w:hAnsi="Arial Narrow" w:cs="Arial"/>
          <w:lang w:eastAsia="es-ES"/>
        </w:rPr>
        <w:t>los MLC por</w:t>
      </w:r>
      <w:r w:rsidRPr="005F10B9">
        <w:rPr>
          <w:rFonts w:ascii="Arial Narrow" w:hAnsi="Arial Narrow" w:cs="Arial"/>
          <w:spacing w:val="-15"/>
          <w:lang w:eastAsia="es-ES"/>
        </w:rPr>
        <w:t xml:space="preserve"> </w:t>
      </w:r>
      <w:r w:rsidRPr="005F10B9">
        <w:rPr>
          <w:rFonts w:ascii="Arial Narrow" w:hAnsi="Arial Narrow" w:cs="Arial"/>
          <w:lang w:eastAsia="es-ES"/>
        </w:rPr>
        <w:t>designación</w:t>
      </w:r>
      <w:r w:rsidRPr="005F10B9">
        <w:rPr>
          <w:rFonts w:ascii="Arial Narrow" w:hAnsi="Arial Narrow" w:cs="Arial"/>
          <w:spacing w:val="-14"/>
          <w:lang w:eastAsia="es-ES"/>
        </w:rPr>
        <w:t xml:space="preserve"> </w:t>
      </w:r>
      <w:r w:rsidRPr="005F10B9">
        <w:rPr>
          <w:rFonts w:ascii="Arial Narrow" w:hAnsi="Arial Narrow" w:cs="Arial"/>
          <w:lang w:eastAsia="es-ES"/>
        </w:rPr>
        <w:t>objetiva.</w:t>
      </w:r>
    </w:p>
    <w:p w14:paraId="4935847F" w14:textId="77777777" w:rsidR="007968EC" w:rsidRPr="005F10B9" w:rsidRDefault="007968EC" w:rsidP="007968EC">
      <w:pPr>
        <w:ind w:left="709"/>
        <w:jc w:val="both"/>
        <w:rPr>
          <w:rFonts w:ascii="Arial Narrow" w:hAnsi="Arial Narrow" w:cs="Arial"/>
          <w:lang w:eastAsia="es-ES"/>
        </w:rPr>
      </w:pPr>
    </w:p>
    <w:p w14:paraId="2528D707" w14:textId="77777777" w:rsidR="007968EC" w:rsidRPr="005F10B9" w:rsidRDefault="007968EC" w:rsidP="00DA7472">
      <w:pPr>
        <w:widowControl w:val="0"/>
        <w:numPr>
          <w:ilvl w:val="8"/>
          <w:numId w:val="359"/>
        </w:numPr>
        <w:autoSpaceDE w:val="0"/>
        <w:autoSpaceDN w:val="0"/>
        <w:ind w:left="993"/>
        <w:jc w:val="both"/>
        <w:outlineLvl w:val="0"/>
        <w:rPr>
          <w:rFonts w:ascii="Arial Narrow" w:hAnsi="Arial Narrow" w:cs="Arial"/>
          <w:bCs/>
          <w:kern w:val="32"/>
          <w:lang w:val="es-ES" w:eastAsia="es-ES"/>
        </w:rPr>
      </w:pPr>
      <w:r w:rsidRPr="005F10B9">
        <w:rPr>
          <w:rFonts w:ascii="Arial Narrow" w:hAnsi="Arial Narrow" w:cs="Arial"/>
          <w:bCs/>
          <w:kern w:val="32"/>
          <w:lang w:eastAsia="es-ES"/>
        </w:rPr>
        <w:t>Designación</w:t>
      </w:r>
      <w:r w:rsidRPr="005F10B9">
        <w:rPr>
          <w:rFonts w:ascii="Arial Narrow" w:hAnsi="Arial Narrow" w:cs="Arial"/>
          <w:bCs/>
          <w:kern w:val="32"/>
          <w:lang w:val="es-ES" w:eastAsia="es-ES"/>
        </w:rPr>
        <w:t xml:space="preserve"> objetiva de</w:t>
      </w:r>
      <w:r w:rsidRPr="005F10B9">
        <w:rPr>
          <w:rFonts w:ascii="Arial Narrow" w:hAnsi="Arial Narrow" w:cs="Arial"/>
          <w:bCs/>
          <w:spacing w:val="-4"/>
          <w:kern w:val="32"/>
          <w:lang w:val="es-ES" w:eastAsia="es-ES"/>
        </w:rPr>
        <w:t xml:space="preserve"> los </w:t>
      </w:r>
      <w:r w:rsidRPr="005F10B9">
        <w:rPr>
          <w:rFonts w:ascii="Arial Narrow" w:hAnsi="Arial Narrow"/>
          <w:bCs/>
          <w:kern w:val="32"/>
          <w:lang w:val="es-ES"/>
        </w:rPr>
        <w:t xml:space="preserve">MLC: </w:t>
      </w:r>
    </w:p>
    <w:p w14:paraId="2ACDE7AF" w14:textId="77777777" w:rsidR="007968EC" w:rsidRPr="005F10B9" w:rsidRDefault="007968EC" w:rsidP="007968EC">
      <w:pPr>
        <w:rPr>
          <w:rFonts w:ascii="Arial Narrow" w:hAnsi="Arial Narrow" w:cs="Arial"/>
          <w:lang w:val="es-ES" w:eastAsia="es-ES"/>
        </w:rPr>
      </w:pPr>
    </w:p>
    <w:p w14:paraId="383DEAA2" w14:textId="77777777" w:rsidR="007968EC" w:rsidRPr="005F10B9" w:rsidRDefault="007968EC" w:rsidP="007968EC">
      <w:pPr>
        <w:ind w:left="709"/>
        <w:jc w:val="both"/>
        <w:rPr>
          <w:rFonts w:ascii="Arial Narrow" w:hAnsi="Arial Narrow" w:cs="Arial"/>
          <w:lang w:eastAsia="es-ES"/>
        </w:rPr>
      </w:pPr>
      <w:r w:rsidRPr="005F10B9">
        <w:rPr>
          <w:rFonts w:ascii="Arial Narrow" w:hAnsi="Arial Narrow" w:cs="Arial"/>
          <w:lang w:val="es-ES" w:eastAsia="es-ES"/>
        </w:rPr>
        <w:t>La Cámara</w:t>
      </w:r>
      <w:r w:rsidRPr="005F10B9">
        <w:rPr>
          <w:rFonts w:ascii="Arial Narrow" w:hAnsi="Arial Narrow" w:cs="Arial"/>
          <w:lang w:eastAsia="es-ES"/>
        </w:rPr>
        <w:t xml:space="preserve"> elaborará una lista, diferenciada por niveles, de los MLC que aún no son parte del CGI, asignándoles dentro de cada nivel un orden de elegibilidad en función del volumen</w:t>
      </w:r>
      <w:r w:rsidRPr="005F10B9">
        <w:rPr>
          <w:rFonts w:ascii="Arial Narrow" w:hAnsi="Arial Narrow" w:cs="Arial"/>
          <w:spacing w:val="-8"/>
          <w:lang w:eastAsia="es-ES"/>
        </w:rPr>
        <w:t xml:space="preserve"> </w:t>
      </w:r>
      <w:r w:rsidRPr="005F10B9">
        <w:rPr>
          <w:rFonts w:ascii="Arial Narrow" w:hAnsi="Arial Narrow" w:cs="Arial"/>
          <w:lang w:eastAsia="es-ES"/>
        </w:rPr>
        <w:t>de</w:t>
      </w:r>
      <w:r w:rsidRPr="005F10B9">
        <w:rPr>
          <w:rFonts w:ascii="Arial Narrow" w:hAnsi="Arial Narrow" w:cs="Arial"/>
          <w:spacing w:val="-6"/>
          <w:lang w:eastAsia="es-ES"/>
        </w:rPr>
        <w:t xml:space="preserve"> </w:t>
      </w:r>
      <w:r w:rsidRPr="005F10B9">
        <w:rPr>
          <w:rFonts w:ascii="Arial Narrow" w:hAnsi="Arial Narrow" w:cs="Arial"/>
          <w:lang w:eastAsia="es-ES"/>
        </w:rPr>
        <w:t>Garantía</w:t>
      </w:r>
      <w:r w:rsidRPr="005F10B9">
        <w:rPr>
          <w:rFonts w:ascii="Arial Narrow" w:hAnsi="Arial Narrow" w:cs="Arial"/>
          <w:spacing w:val="-6"/>
          <w:lang w:eastAsia="es-ES"/>
        </w:rPr>
        <w:t xml:space="preserve"> </w:t>
      </w:r>
      <w:r w:rsidRPr="005F10B9">
        <w:rPr>
          <w:rFonts w:ascii="Arial Narrow" w:hAnsi="Arial Narrow" w:cs="Arial"/>
          <w:lang w:eastAsia="es-ES"/>
        </w:rPr>
        <w:t>por</w:t>
      </w:r>
      <w:r w:rsidRPr="005F10B9">
        <w:rPr>
          <w:rFonts w:ascii="Arial Narrow" w:hAnsi="Arial Narrow" w:cs="Arial"/>
          <w:spacing w:val="-8"/>
          <w:lang w:eastAsia="es-ES"/>
        </w:rPr>
        <w:t xml:space="preserve"> </w:t>
      </w:r>
      <w:r w:rsidRPr="005F10B9">
        <w:rPr>
          <w:rFonts w:ascii="Arial Narrow" w:hAnsi="Arial Narrow" w:cs="Arial"/>
          <w:lang w:eastAsia="es-ES"/>
        </w:rPr>
        <w:t>Posición</w:t>
      </w:r>
      <w:r w:rsidRPr="005F10B9">
        <w:rPr>
          <w:rFonts w:ascii="Arial Narrow" w:hAnsi="Arial Narrow" w:cs="Arial"/>
          <w:spacing w:val="-8"/>
          <w:lang w:eastAsia="es-ES"/>
        </w:rPr>
        <w:t xml:space="preserve"> </w:t>
      </w:r>
      <w:r w:rsidRPr="005F10B9">
        <w:rPr>
          <w:rFonts w:ascii="Arial Narrow" w:hAnsi="Arial Narrow" w:cs="Arial"/>
          <w:lang w:eastAsia="es-ES"/>
        </w:rPr>
        <w:t>o</w:t>
      </w:r>
      <w:r w:rsidRPr="005F10B9">
        <w:rPr>
          <w:rFonts w:ascii="Arial Narrow" w:hAnsi="Arial Narrow" w:cs="Arial"/>
          <w:spacing w:val="-6"/>
          <w:lang w:eastAsia="es-ES"/>
        </w:rPr>
        <w:t xml:space="preserve"> </w:t>
      </w:r>
      <w:r w:rsidRPr="005F10B9">
        <w:rPr>
          <w:rFonts w:ascii="Arial Narrow" w:hAnsi="Arial Narrow" w:cs="Arial"/>
          <w:lang w:eastAsia="es-ES"/>
        </w:rPr>
        <w:t>participación</w:t>
      </w:r>
      <w:r w:rsidRPr="005F10B9">
        <w:rPr>
          <w:rFonts w:ascii="Arial Narrow" w:hAnsi="Arial Narrow" w:cs="Arial"/>
          <w:spacing w:val="-7"/>
          <w:lang w:eastAsia="es-ES"/>
        </w:rPr>
        <w:t xml:space="preserve"> </w:t>
      </w:r>
      <w:r w:rsidRPr="005F10B9">
        <w:rPr>
          <w:rFonts w:ascii="Arial Narrow" w:hAnsi="Arial Narrow" w:cs="Arial"/>
          <w:lang w:eastAsia="es-ES"/>
        </w:rPr>
        <w:t>en</w:t>
      </w:r>
      <w:r w:rsidRPr="005F10B9">
        <w:rPr>
          <w:rFonts w:ascii="Arial Narrow" w:hAnsi="Arial Narrow" w:cs="Arial"/>
          <w:spacing w:val="-6"/>
          <w:lang w:eastAsia="es-ES"/>
        </w:rPr>
        <w:t xml:space="preserve"> el Fondo de </w:t>
      </w:r>
      <w:r w:rsidRPr="005F10B9">
        <w:rPr>
          <w:rFonts w:ascii="Arial Narrow" w:hAnsi="Arial Narrow" w:cs="Arial"/>
          <w:lang w:eastAsia="es-ES"/>
        </w:rPr>
        <w:t>Garantía</w:t>
      </w:r>
      <w:r w:rsidRPr="005F10B9">
        <w:rPr>
          <w:rFonts w:ascii="Arial Narrow" w:hAnsi="Arial Narrow" w:cs="Arial"/>
          <w:spacing w:val="-7"/>
          <w:lang w:eastAsia="es-ES"/>
        </w:rPr>
        <w:t xml:space="preserve"> </w:t>
      </w:r>
      <w:r w:rsidRPr="005F10B9">
        <w:rPr>
          <w:rFonts w:ascii="Arial Narrow" w:hAnsi="Arial Narrow" w:cs="Arial"/>
          <w:lang w:eastAsia="es-ES"/>
        </w:rPr>
        <w:t>Colectiva</w:t>
      </w:r>
      <w:r w:rsidRPr="005F10B9">
        <w:rPr>
          <w:rFonts w:ascii="Arial Narrow" w:hAnsi="Arial Narrow" w:cs="Arial"/>
          <w:spacing w:val="-6"/>
          <w:lang w:eastAsia="es-ES"/>
        </w:rPr>
        <w:t xml:space="preserve"> </w:t>
      </w:r>
      <w:r w:rsidRPr="005F10B9">
        <w:rPr>
          <w:rFonts w:ascii="Arial Narrow" w:hAnsi="Arial Narrow" w:cs="Arial"/>
          <w:lang w:eastAsia="es-ES"/>
        </w:rPr>
        <w:t>del</w:t>
      </w:r>
      <w:r w:rsidRPr="005F10B9">
        <w:rPr>
          <w:rFonts w:ascii="Arial Narrow" w:hAnsi="Arial Narrow" w:cs="Arial"/>
          <w:spacing w:val="-5"/>
          <w:lang w:eastAsia="es-ES"/>
        </w:rPr>
        <w:t xml:space="preserve"> </w:t>
      </w:r>
      <w:r w:rsidRPr="005F10B9">
        <w:rPr>
          <w:rFonts w:ascii="Arial Narrow" w:hAnsi="Arial Narrow" w:cs="Arial"/>
          <w:lang w:eastAsia="es-ES"/>
        </w:rPr>
        <w:t>Segmento</w:t>
      </w:r>
      <w:r w:rsidRPr="005F10B9">
        <w:rPr>
          <w:rFonts w:ascii="Arial Narrow" w:hAnsi="Arial Narrow" w:cs="Arial"/>
          <w:spacing w:val="-5"/>
          <w:lang w:eastAsia="es-ES"/>
        </w:rPr>
        <w:t xml:space="preserve"> </w:t>
      </w:r>
      <w:r w:rsidRPr="005F10B9">
        <w:rPr>
          <w:rFonts w:ascii="Arial Narrow" w:hAnsi="Arial Narrow" w:cs="Arial"/>
          <w:lang w:eastAsia="es-ES"/>
        </w:rPr>
        <w:t>en la Cámara durante los 3 meses inmediatamente anteriores a la fecha de la elección del CGI y designará el número de MLC necesarios para completar la composición mínima del CGI por cada nivel. Si respecto de algún nivel no pudiera completarse, por falta de MLC dentro</w:t>
      </w:r>
      <w:r w:rsidRPr="005F10B9">
        <w:rPr>
          <w:rFonts w:ascii="Arial Narrow" w:hAnsi="Arial Narrow" w:cs="Arial"/>
          <w:spacing w:val="-10"/>
          <w:lang w:eastAsia="es-ES"/>
        </w:rPr>
        <w:t xml:space="preserve"> </w:t>
      </w:r>
      <w:r w:rsidRPr="005F10B9">
        <w:rPr>
          <w:rFonts w:ascii="Arial Narrow" w:hAnsi="Arial Narrow" w:cs="Arial"/>
          <w:lang w:eastAsia="es-ES"/>
        </w:rPr>
        <w:t>del</w:t>
      </w:r>
      <w:r w:rsidRPr="005F10B9">
        <w:rPr>
          <w:rFonts w:ascii="Arial Narrow" w:hAnsi="Arial Narrow" w:cs="Arial"/>
          <w:spacing w:val="-11"/>
          <w:lang w:eastAsia="es-ES"/>
        </w:rPr>
        <w:t xml:space="preserve"> </w:t>
      </w:r>
      <w:r w:rsidRPr="005F10B9">
        <w:rPr>
          <w:rFonts w:ascii="Arial Narrow" w:hAnsi="Arial Narrow" w:cs="Arial"/>
          <w:lang w:eastAsia="es-ES"/>
        </w:rPr>
        <w:t>mismo</w:t>
      </w:r>
      <w:r w:rsidRPr="005F10B9">
        <w:rPr>
          <w:rFonts w:ascii="Arial Narrow" w:hAnsi="Arial Narrow" w:cs="Arial"/>
          <w:spacing w:val="-12"/>
          <w:lang w:eastAsia="es-ES"/>
        </w:rPr>
        <w:t xml:space="preserve"> </w:t>
      </w:r>
      <w:r w:rsidRPr="005F10B9">
        <w:rPr>
          <w:rFonts w:ascii="Arial Narrow" w:hAnsi="Arial Narrow" w:cs="Arial"/>
          <w:lang w:eastAsia="es-ES"/>
        </w:rPr>
        <w:t>que</w:t>
      </w:r>
      <w:r w:rsidRPr="005F10B9">
        <w:rPr>
          <w:rFonts w:ascii="Arial Narrow" w:hAnsi="Arial Narrow" w:cs="Arial"/>
          <w:spacing w:val="-12"/>
          <w:lang w:eastAsia="es-ES"/>
        </w:rPr>
        <w:t xml:space="preserve"> </w:t>
      </w:r>
      <w:r w:rsidRPr="005F10B9">
        <w:rPr>
          <w:rFonts w:ascii="Arial Narrow" w:hAnsi="Arial Narrow" w:cs="Arial"/>
          <w:lang w:eastAsia="es-ES"/>
        </w:rPr>
        <w:t>no</w:t>
      </w:r>
      <w:r w:rsidRPr="005F10B9">
        <w:rPr>
          <w:rFonts w:ascii="Arial Narrow" w:hAnsi="Arial Narrow" w:cs="Arial"/>
          <w:spacing w:val="-12"/>
          <w:lang w:eastAsia="es-ES"/>
        </w:rPr>
        <w:t xml:space="preserve"> </w:t>
      </w:r>
      <w:r w:rsidRPr="005F10B9">
        <w:rPr>
          <w:rFonts w:ascii="Arial Narrow" w:hAnsi="Arial Narrow" w:cs="Arial"/>
          <w:lang w:eastAsia="es-ES"/>
        </w:rPr>
        <w:t>formen</w:t>
      </w:r>
      <w:r w:rsidRPr="005F10B9">
        <w:rPr>
          <w:rFonts w:ascii="Arial Narrow" w:hAnsi="Arial Narrow" w:cs="Arial"/>
          <w:spacing w:val="-9"/>
          <w:lang w:eastAsia="es-ES"/>
        </w:rPr>
        <w:t xml:space="preserve"> </w:t>
      </w:r>
      <w:r w:rsidRPr="005F10B9">
        <w:rPr>
          <w:rFonts w:ascii="Arial Narrow" w:hAnsi="Arial Narrow" w:cs="Arial"/>
          <w:lang w:eastAsia="es-ES"/>
        </w:rPr>
        <w:t>ya</w:t>
      </w:r>
      <w:r w:rsidRPr="005F10B9">
        <w:rPr>
          <w:rFonts w:ascii="Arial Narrow" w:hAnsi="Arial Narrow" w:cs="Arial"/>
          <w:spacing w:val="-9"/>
          <w:lang w:eastAsia="es-ES"/>
        </w:rPr>
        <w:t xml:space="preserve"> </w:t>
      </w:r>
      <w:r w:rsidRPr="005F10B9">
        <w:rPr>
          <w:rFonts w:ascii="Arial Narrow" w:hAnsi="Arial Narrow" w:cs="Arial"/>
          <w:lang w:eastAsia="es-ES"/>
        </w:rPr>
        <w:t>parte</w:t>
      </w:r>
      <w:r w:rsidRPr="005F10B9">
        <w:rPr>
          <w:rFonts w:ascii="Arial Narrow" w:hAnsi="Arial Narrow" w:cs="Arial"/>
          <w:spacing w:val="-9"/>
          <w:lang w:eastAsia="es-ES"/>
        </w:rPr>
        <w:t xml:space="preserve"> </w:t>
      </w:r>
      <w:r w:rsidRPr="005F10B9">
        <w:rPr>
          <w:rFonts w:ascii="Arial Narrow" w:hAnsi="Arial Narrow" w:cs="Arial"/>
          <w:lang w:eastAsia="es-ES"/>
        </w:rPr>
        <w:t>del</w:t>
      </w:r>
      <w:r w:rsidRPr="005F10B9">
        <w:rPr>
          <w:rFonts w:ascii="Arial Narrow" w:hAnsi="Arial Narrow" w:cs="Arial"/>
          <w:spacing w:val="-8"/>
          <w:lang w:eastAsia="es-ES"/>
        </w:rPr>
        <w:t xml:space="preserve"> </w:t>
      </w:r>
      <w:r w:rsidRPr="005F10B9">
        <w:rPr>
          <w:rFonts w:ascii="Arial Narrow" w:hAnsi="Arial Narrow" w:cs="Arial"/>
          <w:lang w:eastAsia="es-ES"/>
        </w:rPr>
        <w:t>CGI,</w:t>
      </w:r>
      <w:r w:rsidRPr="005F10B9">
        <w:rPr>
          <w:rFonts w:ascii="Arial Narrow" w:hAnsi="Arial Narrow" w:cs="Arial"/>
          <w:spacing w:val="-11"/>
          <w:lang w:eastAsia="es-ES"/>
        </w:rPr>
        <w:t xml:space="preserve"> </w:t>
      </w:r>
      <w:r w:rsidRPr="005F10B9">
        <w:rPr>
          <w:rFonts w:ascii="Arial Narrow" w:hAnsi="Arial Narrow" w:cs="Arial"/>
          <w:lang w:eastAsia="es-ES"/>
        </w:rPr>
        <w:t>se</w:t>
      </w:r>
      <w:r w:rsidRPr="005F10B9">
        <w:rPr>
          <w:rFonts w:ascii="Arial Narrow" w:hAnsi="Arial Narrow" w:cs="Arial"/>
          <w:spacing w:val="-9"/>
          <w:lang w:eastAsia="es-ES"/>
        </w:rPr>
        <w:t xml:space="preserve"> </w:t>
      </w:r>
      <w:r w:rsidRPr="005F10B9">
        <w:rPr>
          <w:rFonts w:ascii="Arial Narrow" w:hAnsi="Arial Narrow" w:cs="Arial"/>
          <w:lang w:eastAsia="es-ES"/>
        </w:rPr>
        <w:t>designarán</w:t>
      </w:r>
      <w:r w:rsidRPr="005F10B9">
        <w:rPr>
          <w:rFonts w:ascii="Arial Narrow" w:hAnsi="Arial Narrow" w:cs="Arial"/>
          <w:spacing w:val="-12"/>
          <w:lang w:eastAsia="es-ES"/>
        </w:rPr>
        <w:t xml:space="preserve"> </w:t>
      </w:r>
      <w:r w:rsidRPr="005F10B9">
        <w:rPr>
          <w:rFonts w:ascii="Arial Narrow" w:hAnsi="Arial Narrow" w:cs="Arial"/>
          <w:lang w:eastAsia="es-ES"/>
        </w:rPr>
        <w:t>de</w:t>
      </w:r>
      <w:r w:rsidRPr="005F10B9">
        <w:rPr>
          <w:rFonts w:ascii="Arial Narrow" w:hAnsi="Arial Narrow" w:cs="Arial"/>
          <w:spacing w:val="-9"/>
          <w:lang w:eastAsia="es-ES"/>
        </w:rPr>
        <w:t xml:space="preserve"> </w:t>
      </w:r>
      <w:r w:rsidRPr="005F10B9">
        <w:rPr>
          <w:rFonts w:ascii="Arial Narrow" w:hAnsi="Arial Narrow" w:cs="Arial"/>
          <w:lang w:eastAsia="es-ES"/>
        </w:rPr>
        <w:t>entre</w:t>
      </w:r>
      <w:r w:rsidRPr="005F10B9">
        <w:rPr>
          <w:rFonts w:ascii="Arial Narrow" w:hAnsi="Arial Narrow" w:cs="Arial"/>
          <w:spacing w:val="-9"/>
          <w:lang w:eastAsia="es-ES"/>
        </w:rPr>
        <w:t xml:space="preserve"> </w:t>
      </w:r>
      <w:r w:rsidRPr="005F10B9">
        <w:rPr>
          <w:rFonts w:ascii="Arial Narrow" w:hAnsi="Arial Narrow" w:cs="Arial"/>
          <w:lang w:eastAsia="es-ES"/>
        </w:rPr>
        <w:t>los</w:t>
      </w:r>
      <w:r w:rsidRPr="005F10B9">
        <w:rPr>
          <w:rFonts w:ascii="Arial Narrow" w:hAnsi="Arial Narrow" w:cs="Arial"/>
          <w:spacing w:val="-12"/>
          <w:lang w:eastAsia="es-ES"/>
        </w:rPr>
        <w:t xml:space="preserve"> </w:t>
      </w:r>
      <w:r w:rsidRPr="005F10B9">
        <w:rPr>
          <w:rFonts w:ascii="Arial Narrow" w:hAnsi="Arial Narrow" w:cs="Arial"/>
          <w:lang w:eastAsia="es-ES"/>
        </w:rPr>
        <w:t>MLC</w:t>
      </w:r>
      <w:r w:rsidRPr="005F10B9">
        <w:rPr>
          <w:rFonts w:ascii="Arial Narrow" w:hAnsi="Arial Narrow" w:cs="Arial"/>
          <w:spacing w:val="-11"/>
          <w:lang w:eastAsia="es-ES"/>
        </w:rPr>
        <w:t xml:space="preserve"> </w:t>
      </w:r>
      <w:r w:rsidRPr="005F10B9">
        <w:rPr>
          <w:rFonts w:ascii="Arial Narrow" w:hAnsi="Arial Narrow" w:cs="Arial"/>
          <w:lang w:eastAsia="es-ES"/>
        </w:rPr>
        <w:t>del</w:t>
      </w:r>
      <w:r w:rsidRPr="005F10B9">
        <w:rPr>
          <w:rFonts w:ascii="Arial Narrow" w:hAnsi="Arial Narrow" w:cs="Arial"/>
          <w:spacing w:val="-9"/>
          <w:lang w:eastAsia="es-ES"/>
        </w:rPr>
        <w:t xml:space="preserve"> </w:t>
      </w:r>
      <w:r w:rsidRPr="005F10B9">
        <w:rPr>
          <w:rFonts w:ascii="Arial Narrow" w:hAnsi="Arial Narrow" w:cs="Arial"/>
          <w:lang w:eastAsia="es-ES"/>
        </w:rPr>
        <w:t>nivel superior, y si ello no fuera posible, dentro de los del nivel</w:t>
      </w:r>
      <w:r w:rsidRPr="005F10B9">
        <w:rPr>
          <w:rFonts w:ascii="Arial Narrow" w:hAnsi="Arial Narrow" w:cs="Arial"/>
          <w:spacing w:val="-18"/>
          <w:lang w:eastAsia="es-ES"/>
        </w:rPr>
        <w:t xml:space="preserve"> </w:t>
      </w:r>
      <w:r w:rsidRPr="005F10B9">
        <w:rPr>
          <w:rFonts w:ascii="Arial Narrow" w:hAnsi="Arial Narrow" w:cs="Arial"/>
          <w:lang w:eastAsia="es-ES"/>
        </w:rPr>
        <w:t>inferior.</w:t>
      </w:r>
    </w:p>
    <w:p w14:paraId="3A5F1C53" w14:textId="77777777" w:rsidR="007968EC" w:rsidRPr="005F10B9" w:rsidRDefault="007968EC" w:rsidP="007968EC">
      <w:pPr>
        <w:rPr>
          <w:rFonts w:ascii="Arial Narrow" w:hAnsi="Arial Narrow" w:cs="Arial"/>
          <w:lang w:eastAsia="es-ES"/>
        </w:rPr>
      </w:pPr>
    </w:p>
    <w:p w14:paraId="6DCE5CF6" w14:textId="77777777" w:rsidR="007968EC" w:rsidRPr="005F10B9" w:rsidRDefault="007968EC" w:rsidP="007968EC">
      <w:pPr>
        <w:ind w:left="709"/>
        <w:jc w:val="both"/>
        <w:rPr>
          <w:rFonts w:ascii="Arial Narrow" w:hAnsi="Arial Narrow" w:cs="Arial"/>
          <w:lang w:eastAsia="es-ES"/>
        </w:rPr>
      </w:pPr>
      <w:r w:rsidRPr="005F10B9">
        <w:rPr>
          <w:rFonts w:ascii="Arial Narrow" w:hAnsi="Arial Narrow" w:cs="Arial"/>
          <w:lang w:eastAsia="es-ES"/>
        </w:rPr>
        <w:t>La Cámara informará a los MLC seleccionados en este proceso. Los MLC tendrán que formar parte obligatoriamente del CGI.</w:t>
      </w:r>
    </w:p>
    <w:p w14:paraId="20D14E24" w14:textId="77777777" w:rsidR="007968EC" w:rsidRPr="005F10B9" w:rsidRDefault="007968EC" w:rsidP="007968EC">
      <w:pPr>
        <w:rPr>
          <w:rFonts w:ascii="Arial Narrow" w:hAnsi="Arial Narrow" w:cs="Arial"/>
          <w:lang w:eastAsia="es-ES"/>
        </w:rPr>
      </w:pPr>
    </w:p>
    <w:p w14:paraId="18AF8FD3" w14:textId="77777777" w:rsidR="007968EC" w:rsidRPr="005F10B9" w:rsidRDefault="007968EC" w:rsidP="00DA7472">
      <w:pPr>
        <w:numPr>
          <w:ilvl w:val="0"/>
          <w:numId w:val="361"/>
        </w:numPr>
        <w:autoSpaceDE w:val="0"/>
        <w:autoSpaceDN w:val="0"/>
        <w:adjustRightInd w:val="0"/>
        <w:contextualSpacing/>
        <w:jc w:val="both"/>
        <w:rPr>
          <w:rFonts w:ascii="Arial Narrow" w:hAnsi="Arial Narrow" w:cs="Arial Narrow"/>
          <w:color w:val="000000" w:themeColor="text1"/>
          <w:lang w:eastAsia="es-ES"/>
        </w:rPr>
      </w:pPr>
      <w:r w:rsidRPr="005F10B9">
        <w:rPr>
          <w:rFonts w:ascii="Arial Narrow" w:hAnsi="Arial Narrow" w:cs="Arial Narrow"/>
          <w:color w:val="000000" w:themeColor="text1"/>
          <w:lang w:eastAsia="es-ES"/>
        </w:rPr>
        <w:t>Criterios para la elección de los miembros del CGI:</w:t>
      </w:r>
    </w:p>
    <w:p w14:paraId="222D55D7" w14:textId="77777777" w:rsidR="007968EC" w:rsidRPr="005F10B9" w:rsidRDefault="007968EC" w:rsidP="007968EC">
      <w:pPr>
        <w:rPr>
          <w:rFonts w:ascii="Arial Narrow" w:hAnsi="Arial Narrow" w:cs="Arial"/>
          <w:lang w:eastAsia="es-ES"/>
        </w:rPr>
      </w:pPr>
    </w:p>
    <w:p w14:paraId="4042D7D2" w14:textId="77777777" w:rsidR="007968EC" w:rsidRPr="005F10B9" w:rsidRDefault="007968EC" w:rsidP="007968EC">
      <w:pPr>
        <w:ind w:left="284"/>
        <w:jc w:val="both"/>
        <w:rPr>
          <w:rFonts w:ascii="Arial Narrow" w:hAnsi="Arial Narrow" w:cs="Arial"/>
          <w:lang w:eastAsia="es-ES"/>
        </w:rPr>
      </w:pPr>
      <w:r w:rsidRPr="005F10B9">
        <w:rPr>
          <w:rFonts w:ascii="Arial Narrow" w:hAnsi="Arial Narrow" w:cs="Arial"/>
          <w:lang w:eastAsia="es-ES"/>
        </w:rPr>
        <w:t>Los Representantes en el CGI deben acreditar ante la Cámara las calidades generales que se enuncian a continuación:</w:t>
      </w:r>
    </w:p>
    <w:p w14:paraId="5F5E6E66" w14:textId="77777777" w:rsidR="007968EC" w:rsidRPr="005F10B9" w:rsidRDefault="007968EC" w:rsidP="007968EC">
      <w:pPr>
        <w:rPr>
          <w:rFonts w:ascii="Arial Narrow" w:hAnsi="Arial Narrow" w:cs="Arial"/>
          <w:lang w:eastAsia="es-ES"/>
        </w:rPr>
      </w:pPr>
    </w:p>
    <w:p w14:paraId="44BE3A76" w14:textId="77777777" w:rsidR="007968EC" w:rsidRPr="005F10B9" w:rsidRDefault="007968EC" w:rsidP="00DA7472">
      <w:pPr>
        <w:widowControl w:val="0"/>
        <w:numPr>
          <w:ilvl w:val="1"/>
          <w:numId w:val="344"/>
        </w:numPr>
        <w:tabs>
          <w:tab w:val="left" w:pos="890"/>
        </w:tabs>
        <w:autoSpaceDE w:val="0"/>
        <w:autoSpaceDN w:val="0"/>
        <w:ind w:left="851" w:right="338"/>
        <w:jc w:val="both"/>
        <w:rPr>
          <w:rFonts w:ascii="Arial Narrow" w:hAnsi="Arial Narrow" w:cs="Arial"/>
          <w:lang w:eastAsia="es-CO"/>
        </w:rPr>
      </w:pPr>
      <w:r w:rsidRPr="005F10B9">
        <w:rPr>
          <w:rFonts w:ascii="Arial Narrow" w:hAnsi="Arial Narrow" w:cs="Arial"/>
          <w:lang w:eastAsia="es-CO"/>
        </w:rPr>
        <w:t xml:space="preserve">Estar vinculado laboralmente al MLC que lo designa, ejerciendo cargos directivos en las áreas de tesorería, mesa de dinero o áreas de riesgos. </w:t>
      </w:r>
    </w:p>
    <w:p w14:paraId="50D5A0ED" w14:textId="77777777" w:rsidR="007968EC" w:rsidRPr="005F10B9" w:rsidRDefault="007968EC" w:rsidP="007968EC">
      <w:pPr>
        <w:widowControl w:val="0"/>
        <w:tabs>
          <w:tab w:val="left" w:pos="890"/>
        </w:tabs>
        <w:autoSpaceDE w:val="0"/>
        <w:autoSpaceDN w:val="0"/>
        <w:ind w:left="851" w:right="338"/>
        <w:jc w:val="both"/>
        <w:rPr>
          <w:rFonts w:ascii="Arial Narrow" w:hAnsi="Arial Narrow" w:cs="Arial"/>
          <w:lang w:eastAsia="es-CO"/>
        </w:rPr>
      </w:pPr>
    </w:p>
    <w:p w14:paraId="2E8B78B1" w14:textId="77777777" w:rsidR="007968EC" w:rsidRPr="005F10B9" w:rsidRDefault="007968EC" w:rsidP="00DA7472">
      <w:pPr>
        <w:widowControl w:val="0"/>
        <w:numPr>
          <w:ilvl w:val="1"/>
          <w:numId w:val="344"/>
        </w:numPr>
        <w:tabs>
          <w:tab w:val="left" w:pos="902"/>
        </w:tabs>
        <w:autoSpaceDE w:val="0"/>
        <w:autoSpaceDN w:val="0"/>
        <w:ind w:left="901" w:right="337"/>
        <w:jc w:val="both"/>
        <w:rPr>
          <w:rFonts w:ascii="Arial Narrow" w:hAnsi="Arial Narrow" w:cs="Arial"/>
          <w:lang w:eastAsia="es-CO"/>
        </w:rPr>
      </w:pPr>
      <w:r w:rsidRPr="005F10B9">
        <w:rPr>
          <w:rFonts w:ascii="Arial Narrow" w:hAnsi="Arial Narrow" w:cs="Arial"/>
          <w:lang w:eastAsia="es-CO"/>
        </w:rPr>
        <w:t xml:space="preserve">No haber sido sujeto de cancelación en el Registro Nacional de Profesionales del Mercado de Valores por decisión ejecutoriada de la Superintendencia Financiera de Colombia o no haber sido removido de un cargo en una institución financiera o de valores por decisión ejecutoriada de la Superintendencia Financiera de Colombia o no haber sido sancionado con pena de expulsión en firme impuesta por un organismo de autorregulación o no haber sido condenado por delito penal doloso mediante sentencia ejecutoriada.   </w:t>
      </w:r>
    </w:p>
    <w:p w14:paraId="37A1FAEA" w14:textId="77777777" w:rsidR="007968EC" w:rsidRPr="005F10B9" w:rsidRDefault="007968EC" w:rsidP="007968EC">
      <w:pPr>
        <w:ind w:left="708"/>
        <w:rPr>
          <w:rFonts w:ascii="Arial Narrow" w:hAnsi="Arial Narrow" w:cs="Arial"/>
          <w:lang w:eastAsia="es-CO"/>
        </w:rPr>
      </w:pPr>
    </w:p>
    <w:p w14:paraId="5C23A9F7" w14:textId="77777777" w:rsidR="007968EC" w:rsidRPr="005F10B9" w:rsidRDefault="007968EC" w:rsidP="00DA7472">
      <w:pPr>
        <w:widowControl w:val="0"/>
        <w:numPr>
          <w:ilvl w:val="1"/>
          <w:numId w:val="344"/>
        </w:numPr>
        <w:tabs>
          <w:tab w:val="left" w:pos="890"/>
        </w:tabs>
        <w:autoSpaceDE w:val="0"/>
        <w:autoSpaceDN w:val="0"/>
        <w:ind w:left="901" w:right="337"/>
        <w:jc w:val="both"/>
        <w:rPr>
          <w:rFonts w:ascii="Arial Narrow" w:hAnsi="Arial Narrow" w:cs="Arial"/>
          <w:lang w:eastAsia="es-CO"/>
        </w:rPr>
      </w:pPr>
      <w:r w:rsidRPr="005F10B9">
        <w:rPr>
          <w:rFonts w:ascii="Arial Narrow" w:hAnsi="Arial Narrow" w:cs="Arial"/>
          <w:lang w:eastAsia="es-CO"/>
        </w:rPr>
        <w:t>Al momento de iniciar el ejercicio del cargo tener una experiencia laboral o de ejercicio profesional independiente no inferior a cinco (5) años en las áreas del mercado de valores, tesorería, financiera, riesgos o economía, gestionando portafolios de derivados OTC de tipos de interés o con</w:t>
      </w:r>
      <w:r w:rsidRPr="005F10B9">
        <w:rPr>
          <w:rFonts w:ascii="Arial Narrow" w:hAnsi="Arial Narrow" w:cs="Arial"/>
          <w:i/>
          <w:lang w:eastAsia="es-CO"/>
        </w:rPr>
        <w:t xml:space="preserve"> </w:t>
      </w:r>
      <w:r w:rsidRPr="005F10B9">
        <w:rPr>
          <w:rFonts w:ascii="Arial Narrow" w:hAnsi="Arial Narrow" w:cs="Arial"/>
          <w:lang w:eastAsia="es-CO"/>
        </w:rPr>
        <w:t xml:space="preserve">experiencia en el tratamiento de derivados OTC de tipos de interés. </w:t>
      </w:r>
    </w:p>
    <w:p w14:paraId="5F3C4318" w14:textId="77777777" w:rsidR="007968EC" w:rsidRPr="005F10B9" w:rsidRDefault="007968EC" w:rsidP="007968EC">
      <w:pPr>
        <w:ind w:left="708"/>
        <w:rPr>
          <w:rFonts w:ascii="Arial Narrow" w:hAnsi="Arial Narrow" w:cs="Arial"/>
          <w:lang w:eastAsia="es-CO"/>
        </w:rPr>
      </w:pPr>
    </w:p>
    <w:p w14:paraId="25E6CBCF" w14:textId="77777777" w:rsidR="007968EC" w:rsidRPr="005F10B9" w:rsidRDefault="007968EC" w:rsidP="00DA7472">
      <w:pPr>
        <w:widowControl w:val="0"/>
        <w:numPr>
          <w:ilvl w:val="1"/>
          <w:numId w:val="344"/>
        </w:numPr>
        <w:tabs>
          <w:tab w:val="left" w:pos="902"/>
        </w:tabs>
        <w:autoSpaceDE w:val="0"/>
        <w:autoSpaceDN w:val="0"/>
        <w:ind w:left="901" w:right="337"/>
        <w:jc w:val="both"/>
        <w:rPr>
          <w:rFonts w:ascii="Arial Narrow" w:hAnsi="Arial Narrow" w:cs="Arial"/>
          <w:lang w:eastAsia="es-CO"/>
        </w:rPr>
      </w:pPr>
      <w:r w:rsidRPr="005F10B9">
        <w:rPr>
          <w:rFonts w:ascii="Arial Narrow" w:hAnsi="Arial Narrow" w:cs="Arial"/>
          <w:lang w:eastAsia="es-CO"/>
        </w:rPr>
        <w:t>Los Representantes en el CGI deberán informar a la Cámara cuando se encuentren ante una situación de conflicto de interés y abstenerse de participar en las reuniones del CGI.</w:t>
      </w:r>
    </w:p>
    <w:p w14:paraId="222580BE" w14:textId="77777777" w:rsidR="007968EC" w:rsidRPr="005F10B9" w:rsidRDefault="007968EC" w:rsidP="007968EC">
      <w:pPr>
        <w:ind w:left="708"/>
        <w:rPr>
          <w:rFonts w:ascii="Arial Narrow" w:hAnsi="Arial Narrow" w:cs="Arial"/>
          <w:lang w:eastAsia="es-CO"/>
        </w:rPr>
      </w:pPr>
    </w:p>
    <w:p w14:paraId="13C8C9E0" w14:textId="77777777" w:rsidR="007968EC" w:rsidRPr="005F10B9" w:rsidRDefault="007968EC" w:rsidP="007968EC">
      <w:pPr>
        <w:widowControl w:val="0"/>
        <w:tabs>
          <w:tab w:val="left" w:pos="902"/>
        </w:tabs>
        <w:autoSpaceDE w:val="0"/>
        <w:autoSpaceDN w:val="0"/>
        <w:ind w:right="332"/>
        <w:jc w:val="both"/>
        <w:rPr>
          <w:rFonts w:ascii="Arial Narrow" w:hAnsi="Arial Narrow"/>
        </w:rPr>
      </w:pPr>
      <w:r w:rsidRPr="005F10B9">
        <w:rPr>
          <w:rFonts w:ascii="Arial Narrow" w:hAnsi="Arial Narrow"/>
        </w:rPr>
        <w:t>La Cámara solicitará a los MLC la hoja de vida de las personas designadas como sus Representantes en el</w:t>
      </w:r>
      <w:r w:rsidRPr="005F10B9">
        <w:rPr>
          <w:rFonts w:ascii="Arial Narrow" w:hAnsi="Arial Narrow"/>
          <w:spacing w:val="-7"/>
        </w:rPr>
        <w:t xml:space="preserve"> C</w:t>
      </w:r>
      <w:r w:rsidRPr="005F10B9">
        <w:rPr>
          <w:rFonts w:ascii="Arial Narrow" w:hAnsi="Arial Narrow"/>
        </w:rPr>
        <w:t>GI.</w:t>
      </w:r>
    </w:p>
    <w:p w14:paraId="18F5497B" w14:textId="77777777" w:rsidR="007968EC" w:rsidRPr="005F10B9" w:rsidRDefault="007968EC" w:rsidP="007968EC">
      <w:pPr>
        <w:widowControl w:val="0"/>
        <w:tabs>
          <w:tab w:val="left" w:pos="902"/>
        </w:tabs>
        <w:autoSpaceDE w:val="0"/>
        <w:autoSpaceDN w:val="0"/>
        <w:ind w:right="332"/>
        <w:jc w:val="both"/>
        <w:rPr>
          <w:rFonts w:ascii="Arial Narrow" w:hAnsi="Arial Narrow"/>
          <w:b/>
        </w:rPr>
      </w:pPr>
    </w:p>
    <w:p w14:paraId="1510A284" w14:textId="77777777" w:rsidR="007968EC" w:rsidRPr="005F10B9" w:rsidRDefault="007968EC" w:rsidP="00DA7472">
      <w:pPr>
        <w:numPr>
          <w:ilvl w:val="0"/>
          <w:numId w:val="361"/>
        </w:numPr>
        <w:autoSpaceDE w:val="0"/>
        <w:autoSpaceDN w:val="0"/>
        <w:adjustRightInd w:val="0"/>
        <w:contextualSpacing/>
        <w:jc w:val="both"/>
        <w:rPr>
          <w:rFonts w:ascii="Arial Narrow" w:hAnsi="Arial Narrow" w:cs="Arial Narrow"/>
          <w:color w:val="000000" w:themeColor="text1"/>
          <w:lang w:eastAsia="es-ES"/>
        </w:rPr>
      </w:pPr>
      <w:r w:rsidRPr="005F10B9">
        <w:rPr>
          <w:rFonts w:ascii="Arial Narrow" w:hAnsi="Arial Narrow" w:cs="Arial Narrow"/>
          <w:color w:val="000000" w:themeColor="text1"/>
          <w:lang w:eastAsia="es-ES"/>
        </w:rPr>
        <w:t xml:space="preserve">Funcionamiento del CGI: </w:t>
      </w:r>
    </w:p>
    <w:p w14:paraId="3A376996" w14:textId="77777777" w:rsidR="007968EC" w:rsidRPr="005F10B9" w:rsidRDefault="007968EC" w:rsidP="007968EC">
      <w:pPr>
        <w:rPr>
          <w:rFonts w:ascii="Arial Narrow" w:hAnsi="Arial Narrow" w:cs="Arial"/>
          <w:lang w:val="es-ES" w:eastAsia="es-ES"/>
        </w:rPr>
      </w:pPr>
    </w:p>
    <w:p w14:paraId="7ADA6BD7" w14:textId="77777777" w:rsidR="007968EC" w:rsidRPr="005F10B9" w:rsidRDefault="007968EC" w:rsidP="007968EC">
      <w:pPr>
        <w:ind w:left="181" w:right="337"/>
        <w:jc w:val="both"/>
        <w:rPr>
          <w:rFonts w:ascii="Arial Narrow" w:hAnsi="Arial Narrow" w:cs="Arial"/>
          <w:lang w:eastAsia="es-ES"/>
        </w:rPr>
      </w:pPr>
      <w:r w:rsidRPr="005F10B9">
        <w:rPr>
          <w:rFonts w:ascii="Arial Narrow" w:hAnsi="Arial Narrow" w:cs="Arial"/>
          <w:lang w:eastAsia="es-ES"/>
        </w:rPr>
        <w:t>El CGI se reunirá el día, hora y lugar indicados en la convocatoria formulada por el Secretario del CGI.</w:t>
      </w:r>
      <w:r w:rsidRPr="005F10B9">
        <w:rPr>
          <w:rFonts w:ascii="Arial Narrow" w:hAnsi="Arial Narrow" w:cs="Arial"/>
          <w:b/>
          <w:lang w:val="es-ES" w:eastAsia="es-ES"/>
        </w:rPr>
        <w:t xml:space="preserve"> </w:t>
      </w:r>
      <w:r w:rsidRPr="005F10B9">
        <w:rPr>
          <w:rFonts w:ascii="Arial Narrow" w:hAnsi="Arial Narrow" w:cs="Arial"/>
          <w:lang w:eastAsia="es-ES"/>
        </w:rPr>
        <w:t>La convocatoria a las reuniones se efectuará mediante comunicación telefónica o correo electrónico con mínimo dos (2) horas de antelación a la hora de la reunión.</w:t>
      </w:r>
      <w:r w:rsidRPr="005F10B9">
        <w:rPr>
          <w:rFonts w:ascii="Arial Narrow" w:hAnsi="Arial Narrow" w:cs="Arial"/>
          <w:b/>
          <w:lang w:val="es-ES" w:eastAsia="es-ES"/>
        </w:rPr>
        <w:t xml:space="preserve"> </w:t>
      </w:r>
    </w:p>
    <w:p w14:paraId="28681AD5" w14:textId="77777777" w:rsidR="007968EC" w:rsidRPr="005F10B9" w:rsidRDefault="007968EC" w:rsidP="007968EC">
      <w:pPr>
        <w:ind w:left="181" w:right="337"/>
        <w:jc w:val="both"/>
        <w:rPr>
          <w:rFonts w:ascii="Arial Narrow" w:hAnsi="Arial Narrow" w:cs="Arial"/>
          <w:lang w:eastAsia="es-ES"/>
        </w:rPr>
      </w:pPr>
    </w:p>
    <w:p w14:paraId="3CDA1D71" w14:textId="77777777" w:rsidR="007968EC" w:rsidRPr="005F10B9" w:rsidRDefault="007968EC" w:rsidP="007968EC">
      <w:pPr>
        <w:ind w:left="181" w:right="337"/>
        <w:jc w:val="both"/>
        <w:rPr>
          <w:rFonts w:ascii="Arial Narrow" w:hAnsi="Arial Narrow" w:cs="Arial"/>
          <w:lang w:eastAsia="es-ES"/>
        </w:rPr>
      </w:pPr>
      <w:r w:rsidRPr="005F10B9">
        <w:rPr>
          <w:rFonts w:ascii="Arial Narrow" w:hAnsi="Arial Narrow" w:cs="Arial"/>
          <w:lang w:eastAsia="es-ES"/>
        </w:rPr>
        <w:t xml:space="preserve">Cada Representante en el CGI deberá asistir presencialmente salvo que en la convocatoria se haya autorizado otra forma de asistencia. </w:t>
      </w:r>
    </w:p>
    <w:p w14:paraId="16A85D82" w14:textId="77777777" w:rsidR="007968EC" w:rsidRPr="005F10B9" w:rsidRDefault="007968EC" w:rsidP="007968EC">
      <w:pPr>
        <w:ind w:left="181" w:right="337"/>
        <w:jc w:val="both"/>
        <w:rPr>
          <w:rFonts w:ascii="Arial Narrow" w:hAnsi="Arial Narrow" w:cs="Arial"/>
          <w:lang w:eastAsia="es-ES"/>
        </w:rPr>
      </w:pPr>
    </w:p>
    <w:p w14:paraId="5417F574" w14:textId="77777777" w:rsidR="007968EC" w:rsidRPr="005F10B9" w:rsidRDefault="007968EC" w:rsidP="007968EC">
      <w:pPr>
        <w:ind w:left="181" w:right="337"/>
        <w:jc w:val="both"/>
        <w:rPr>
          <w:rFonts w:ascii="Arial Narrow" w:hAnsi="Arial Narrow" w:cs="Arial"/>
          <w:lang w:eastAsia="es-ES"/>
        </w:rPr>
      </w:pPr>
      <w:r w:rsidRPr="005F10B9">
        <w:rPr>
          <w:rFonts w:ascii="Arial Narrow" w:hAnsi="Arial Narrow" w:cs="Arial"/>
          <w:lang w:eastAsia="es-ES"/>
        </w:rPr>
        <w:t xml:space="preserve">Los Representantes en el CGI podrán participar en las reuniones en forma no presencial haciendo uso de medios tecnológicos que le permitan comunicarse simultáneamente con los demás miembros del Comité y asegurar el cumplimiento de su obligación de confidencialidad, siempre que se cumplan con las reglas de convocatoria y quórum </w:t>
      </w:r>
      <w:proofErr w:type="spellStart"/>
      <w:r w:rsidRPr="005F10B9">
        <w:rPr>
          <w:rFonts w:ascii="Arial Narrow" w:hAnsi="Arial Narrow" w:cs="Arial"/>
          <w:lang w:eastAsia="es-ES"/>
        </w:rPr>
        <w:t>deliberatorio</w:t>
      </w:r>
      <w:proofErr w:type="spellEnd"/>
      <w:r w:rsidRPr="005F10B9">
        <w:rPr>
          <w:rFonts w:ascii="Arial Narrow" w:hAnsi="Arial Narrow" w:cs="Arial"/>
          <w:lang w:eastAsia="es-ES"/>
        </w:rPr>
        <w:t xml:space="preserve"> aquí establecidas.</w:t>
      </w:r>
    </w:p>
    <w:p w14:paraId="363049F1" w14:textId="77777777" w:rsidR="007968EC" w:rsidRPr="005F10B9" w:rsidRDefault="007968EC" w:rsidP="007968EC">
      <w:pPr>
        <w:ind w:left="181" w:right="337"/>
        <w:jc w:val="both"/>
        <w:rPr>
          <w:rFonts w:ascii="Arial Narrow" w:hAnsi="Arial Narrow" w:cs="Arial"/>
          <w:lang w:eastAsia="es-ES"/>
        </w:rPr>
      </w:pPr>
    </w:p>
    <w:p w14:paraId="7591847B" w14:textId="77777777" w:rsidR="007968EC" w:rsidRPr="005F10B9" w:rsidRDefault="007968EC" w:rsidP="007968EC">
      <w:pPr>
        <w:ind w:left="181" w:right="337"/>
        <w:jc w:val="both"/>
        <w:rPr>
          <w:rFonts w:ascii="Arial Narrow" w:hAnsi="Arial Narrow" w:cs="Arial"/>
          <w:lang w:eastAsia="es-ES"/>
        </w:rPr>
      </w:pPr>
      <w:r w:rsidRPr="005F10B9">
        <w:rPr>
          <w:rFonts w:ascii="Arial Narrow" w:hAnsi="Arial Narrow" w:cs="Arial"/>
          <w:lang w:eastAsia="es-ES"/>
        </w:rPr>
        <w:t>Habrá quórum para deliberar en las reuniones del CGI con la asistencia de la mitad más uno de los miembros principales o de sus respectivos suplentes y las decisiones se adoptarán con el voto favorable de la mayoría de los miembros asistentes en la reunión. Cada MLC del CGI tendrá derecho a un (1) voto, en caso de empate, el voto del Presidente del CGI es dirimente.</w:t>
      </w:r>
    </w:p>
    <w:p w14:paraId="6A944C08" w14:textId="77777777" w:rsidR="007968EC" w:rsidRPr="005F10B9" w:rsidRDefault="007968EC" w:rsidP="007968EC">
      <w:pPr>
        <w:rPr>
          <w:rFonts w:ascii="Arial Narrow" w:hAnsi="Arial Narrow" w:cs="Arial"/>
          <w:lang w:eastAsia="es-ES"/>
        </w:rPr>
      </w:pPr>
    </w:p>
    <w:p w14:paraId="5635B7BB" w14:textId="77777777" w:rsidR="007968EC" w:rsidRPr="005F10B9" w:rsidRDefault="007968EC" w:rsidP="007968EC">
      <w:pPr>
        <w:ind w:left="181" w:right="337"/>
        <w:jc w:val="both"/>
        <w:rPr>
          <w:rFonts w:ascii="Arial Narrow" w:hAnsi="Arial Narrow" w:cs="Arial"/>
          <w:color w:val="212121"/>
          <w:lang w:eastAsia="es-ES"/>
        </w:rPr>
      </w:pPr>
      <w:r w:rsidRPr="005F10B9">
        <w:rPr>
          <w:rFonts w:ascii="Arial Narrow" w:hAnsi="Arial Narrow" w:cs="Arial"/>
          <w:color w:val="212121"/>
          <w:lang w:eastAsia="es-ES"/>
        </w:rPr>
        <w:t>De todas las reuniones, deliberaciones, acuerdos y decisiones del CGI se dejará constancia en actas y éstas deberán ser firmadas por el Presidente y el Secretario de dicho CGI. En las actas se</w:t>
      </w:r>
    </w:p>
    <w:p w14:paraId="65D65F31" w14:textId="77777777" w:rsidR="007968EC" w:rsidRPr="005F10B9" w:rsidRDefault="007968EC" w:rsidP="007968EC">
      <w:pPr>
        <w:ind w:left="181" w:right="337"/>
        <w:jc w:val="both"/>
        <w:rPr>
          <w:rFonts w:ascii="Arial Narrow" w:hAnsi="Arial Narrow" w:cs="Arial"/>
          <w:color w:val="212121"/>
          <w:lang w:eastAsia="es-ES"/>
        </w:rPr>
      </w:pPr>
      <w:r w:rsidRPr="005F10B9">
        <w:rPr>
          <w:rFonts w:ascii="Arial Narrow" w:hAnsi="Arial Narrow" w:cs="Arial"/>
          <w:color w:val="212121"/>
          <w:lang w:eastAsia="es-ES"/>
        </w:rPr>
        <w:t>dejará constancia del lugar, fecha y hora de la reunión, de la forma en que se haya hecho la convocatoria y del número de miembros en la reunión.</w:t>
      </w:r>
    </w:p>
    <w:p w14:paraId="6C0EC7F8" w14:textId="77777777" w:rsidR="007968EC" w:rsidRPr="005F10B9" w:rsidRDefault="007968EC" w:rsidP="007968EC">
      <w:pPr>
        <w:ind w:left="181" w:right="337"/>
        <w:jc w:val="both"/>
        <w:rPr>
          <w:rFonts w:ascii="Arial Narrow" w:hAnsi="Arial Narrow" w:cs="Arial"/>
          <w:lang w:eastAsia="es-ES"/>
        </w:rPr>
      </w:pPr>
    </w:p>
    <w:p w14:paraId="0E1A67E3" w14:textId="77777777" w:rsidR="007968EC" w:rsidRPr="005F10B9" w:rsidRDefault="007968EC" w:rsidP="00DA7472">
      <w:pPr>
        <w:numPr>
          <w:ilvl w:val="0"/>
          <w:numId w:val="361"/>
        </w:numPr>
        <w:autoSpaceDE w:val="0"/>
        <w:autoSpaceDN w:val="0"/>
        <w:adjustRightInd w:val="0"/>
        <w:contextualSpacing/>
        <w:jc w:val="both"/>
        <w:rPr>
          <w:rFonts w:ascii="Arial Narrow" w:hAnsi="Arial Narrow" w:cs="Arial Narrow"/>
          <w:color w:val="000000" w:themeColor="text1"/>
          <w:lang w:eastAsia="es-ES"/>
        </w:rPr>
      </w:pPr>
      <w:r w:rsidRPr="005F10B9">
        <w:rPr>
          <w:rFonts w:ascii="Arial Narrow" w:hAnsi="Arial Narrow" w:cs="Arial Narrow"/>
          <w:color w:val="000000" w:themeColor="text1"/>
          <w:lang w:eastAsia="es-ES"/>
        </w:rPr>
        <w:t xml:space="preserve">Composición del CGI: </w:t>
      </w:r>
    </w:p>
    <w:p w14:paraId="26102D6F" w14:textId="77777777" w:rsidR="007968EC" w:rsidRPr="005F10B9" w:rsidRDefault="007968EC" w:rsidP="007968EC">
      <w:pPr>
        <w:ind w:left="181" w:right="337"/>
        <w:jc w:val="both"/>
        <w:rPr>
          <w:rFonts w:ascii="Arial Narrow" w:hAnsi="Arial Narrow" w:cs="Arial"/>
          <w:color w:val="212121"/>
          <w:lang w:eastAsia="es-ES"/>
        </w:rPr>
      </w:pPr>
    </w:p>
    <w:p w14:paraId="55ABB71E" w14:textId="77777777" w:rsidR="007968EC" w:rsidRPr="005F10B9" w:rsidRDefault="007968EC" w:rsidP="007968EC">
      <w:pPr>
        <w:ind w:left="181" w:right="337"/>
        <w:jc w:val="both"/>
        <w:rPr>
          <w:rFonts w:ascii="Arial Narrow" w:hAnsi="Arial Narrow" w:cs="Arial"/>
          <w:color w:val="212121"/>
          <w:lang w:eastAsia="es-ES"/>
        </w:rPr>
      </w:pPr>
      <w:r w:rsidRPr="005F10B9">
        <w:rPr>
          <w:rFonts w:ascii="Arial Narrow" w:hAnsi="Arial Narrow" w:cs="Arial"/>
          <w:color w:val="212121"/>
          <w:lang w:eastAsia="es-ES"/>
        </w:rPr>
        <w:t>La Cámara podrá conformar el CGI de manera permanente o para el proceso de gestión de incumplimiento o para realizar simulaciones del mismo. En caso de ser necesario para la composición inicial del CGI, la Cámara podrá tomar en consideración el porcentaje de garantías aportadas por los MLC en otros Segmentos de los que sean miembros participantes en la Cámara.</w:t>
      </w:r>
    </w:p>
    <w:p w14:paraId="379CD1CA" w14:textId="77777777" w:rsidR="007968EC" w:rsidRPr="005F10B9" w:rsidRDefault="007968EC" w:rsidP="007968EC">
      <w:pPr>
        <w:ind w:right="337"/>
        <w:jc w:val="both"/>
        <w:rPr>
          <w:rFonts w:ascii="Arial Narrow" w:hAnsi="Arial Narrow" w:cs="Arial"/>
          <w:lang w:eastAsia="es-ES"/>
        </w:rPr>
      </w:pPr>
    </w:p>
    <w:p w14:paraId="16290EB3" w14:textId="77777777" w:rsidR="007968EC" w:rsidRPr="005F10B9" w:rsidRDefault="007968EC" w:rsidP="00DA7472">
      <w:pPr>
        <w:numPr>
          <w:ilvl w:val="0"/>
          <w:numId w:val="361"/>
        </w:numPr>
        <w:autoSpaceDE w:val="0"/>
        <w:autoSpaceDN w:val="0"/>
        <w:adjustRightInd w:val="0"/>
        <w:contextualSpacing/>
        <w:jc w:val="both"/>
        <w:rPr>
          <w:rFonts w:ascii="Arial Narrow" w:hAnsi="Arial Narrow" w:cs="Arial Narrow"/>
          <w:color w:val="000000" w:themeColor="text1"/>
          <w:lang w:eastAsia="es-ES"/>
        </w:rPr>
      </w:pPr>
      <w:r w:rsidRPr="005F10B9">
        <w:rPr>
          <w:rFonts w:ascii="Arial Narrow" w:hAnsi="Arial Narrow" w:cs="Arial Narrow"/>
          <w:color w:val="000000" w:themeColor="text1"/>
          <w:lang w:eastAsia="es-ES"/>
        </w:rPr>
        <w:t>Periodo y otras reglas del CGI:</w:t>
      </w:r>
    </w:p>
    <w:p w14:paraId="4025941D" w14:textId="77777777" w:rsidR="007968EC" w:rsidRPr="005F10B9" w:rsidRDefault="007968EC" w:rsidP="007968EC">
      <w:pPr>
        <w:rPr>
          <w:rFonts w:ascii="Arial Narrow" w:hAnsi="Arial Narrow" w:cs="Arial"/>
          <w:lang w:eastAsia="es-ES"/>
        </w:rPr>
      </w:pPr>
    </w:p>
    <w:p w14:paraId="7CAFE104" w14:textId="77777777" w:rsidR="007968EC" w:rsidRPr="005F10B9" w:rsidRDefault="007968EC" w:rsidP="007968EC">
      <w:pPr>
        <w:ind w:left="181" w:right="339"/>
        <w:jc w:val="both"/>
        <w:rPr>
          <w:rFonts w:ascii="Arial Narrow" w:hAnsi="Arial Narrow" w:cs="Arial"/>
          <w:color w:val="212121"/>
          <w:lang w:eastAsia="es-ES"/>
        </w:rPr>
      </w:pPr>
      <w:r w:rsidRPr="005F10B9">
        <w:rPr>
          <w:rFonts w:ascii="Arial Narrow" w:hAnsi="Arial Narrow" w:cs="Arial"/>
          <w:color w:val="212121"/>
          <w:lang w:eastAsia="es-ES"/>
        </w:rPr>
        <w:t xml:space="preserve">La Cámara mediante Instructivo Operativo definirá el periodo de permanencia de los miembros del CGI y demás reglas de funcionamiento. </w:t>
      </w:r>
    </w:p>
    <w:p w14:paraId="02585769" w14:textId="77777777" w:rsidR="007968EC" w:rsidRPr="005F10B9" w:rsidRDefault="007968EC" w:rsidP="007968EC">
      <w:pPr>
        <w:rPr>
          <w:rFonts w:ascii="Arial Narrow" w:hAnsi="Arial Narrow" w:cs="Arial"/>
          <w:lang w:eastAsia="es-ES"/>
        </w:rPr>
      </w:pPr>
    </w:p>
    <w:p w14:paraId="121DFB7D" w14:textId="77777777" w:rsidR="007968EC" w:rsidRPr="005F10B9" w:rsidRDefault="007968EC" w:rsidP="00DA7472">
      <w:pPr>
        <w:numPr>
          <w:ilvl w:val="0"/>
          <w:numId w:val="361"/>
        </w:numPr>
        <w:autoSpaceDE w:val="0"/>
        <w:autoSpaceDN w:val="0"/>
        <w:adjustRightInd w:val="0"/>
        <w:contextualSpacing/>
        <w:jc w:val="both"/>
        <w:rPr>
          <w:rFonts w:ascii="Arial Narrow" w:hAnsi="Arial Narrow" w:cs="Arial Narrow"/>
          <w:color w:val="000000" w:themeColor="text1"/>
          <w:lang w:eastAsia="es-ES"/>
        </w:rPr>
      </w:pPr>
      <w:r w:rsidRPr="005F10B9">
        <w:rPr>
          <w:rFonts w:ascii="Arial Narrow" w:hAnsi="Arial Narrow" w:cs="Arial Narrow"/>
          <w:color w:val="000000" w:themeColor="text1"/>
          <w:lang w:eastAsia="es-ES"/>
        </w:rPr>
        <w:t>Colaboración y relación jurídica de los miembros del CGI:</w:t>
      </w:r>
    </w:p>
    <w:p w14:paraId="2345A190" w14:textId="77777777" w:rsidR="007968EC" w:rsidRPr="005F10B9" w:rsidRDefault="007968EC" w:rsidP="007968EC">
      <w:pPr>
        <w:rPr>
          <w:rFonts w:ascii="Arial Narrow" w:hAnsi="Arial Narrow" w:cs="Arial"/>
          <w:lang w:eastAsia="es-ES"/>
        </w:rPr>
      </w:pPr>
    </w:p>
    <w:p w14:paraId="4153CFCE" w14:textId="77777777" w:rsidR="007968EC" w:rsidRPr="005F10B9" w:rsidRDefault="007968EC" w:rsidP="00DA7472">
      <w:pPr>
        <w:widowControl w:val="0"/>
        <w:numPr>
          <w:ilvl w:val="7"/>
          <w:numId w:val="363"/>
        </w:numPr>
        <w:tabs>
          <w:tab w:val="left" w:pos="889"/>
        </w:tabs>
        <w:autoSpaceDE w:val="0"/>
        <w:autoSpaceDN w:val="0"/>
        <w:ind w:left="709"/>
        <w:jc w:val="both"/>
        <w:rPr>
          <w:rFonts w:ascii="Arial Narrow" w:hAnsi="Arial Narrow" w:cs="Arial"/>
          <w:lang w:eastAsia="es-CO"/>
        </w:rPr>
      </w:pPr>
      <w:r w:rsidRPr="005F10B9">
        <w:rPr>
          <w:rFonts w:ascii="Arial Narrow" w:hAnsi="Arial Narrow" w:cs="Arial"/>
          <w:lang w:eastAsia="es-CO"/>
        </w:rPr>
        <w:t xml:space="preserve">No obligatoriedad de la conformación y decisiones del CGI. </w:t>
      </w:r>
    </w:p>
    <w:p w14:paraId="4757D80B" w14:textId="77777777" w:rsidR="007968EC" w:rsidRPr="005F10B9" w:rsidRDefault="007968EC" w:rsidP="007968EC">
      <w:pPr>
        <w:widowControl w:val="0"/>
        <w:tabs>
          <w:tab w:val="left" w:pos="889"/>
        </w:tabs>
        <w:autoSpaceDE w:val="0"/>
        <w:autoSpaceDN w:val="0"/>
        <w:ind w:left="709"/>
        <w:jc w:val="both"/>
        <w:rPr>
          <w:rFonts w:ascii="Arial Narrow" w:hAnsi="Arial Narrow" w:cs="Arial"/>
          <w:lang w:eastAsia="es-CO"/>
        </w:rPr>
      </w:pPr>
    </w:p>
    <w:p w14:paraId="1007FF68" w14:textId="77777777" w:rsidR="007968EC" w:rsidRPr="005F10B9" w:rsidRDefault="007968EC" w:rsidP="007968EC">
      <w:pPr>
        <w:widowControl w:val="0"/>
        <w:tabs>
          <w:tab w:val="left" w:pos="889"/>
        </w:tabs>
        <w:autoSpaceDE w:val="0"/>
        <w:autoSpaceDN w:val="0"/>
        <w:ind w:left="349"/>
        <w:jc w:val="both"/>
        <w:rPr>
          <w:rFonts w:ascii="Arial Narrow" w:hAnsi="Arial Narrow" w:cs="Arial"/>
          <w:lang w:eastAsia="es-CO"/>
        </w:rPr>
      </w:pPr>
      <w:r w:rsidRPr="005F10B9">
        <w:rPr>
          <w:rFonts w:ascii="Arial Narrow" w:hAnsi="Arial Narrow" w:cs="Arial"/>
          <w:lang w:eastAsia="es-CO"/>
        </w:rPr>
        <w:t>La Cámara no está obligada a conformar el CGI y en el caso de conformarlo sus decisiones no obligan a la Cámara a ejecutarlas ni son vinculantes para la misma.</w:t>
      </w:r>
    </w:p>
    <w:p w14:paraId="1DDDF15B" w14:textId="77777777" w:rsidR="007968EC" w:rsidRPr="005F10B9" w:rsidRDefault="007968EC" w:rsidP="007968EC">
      <w:pPr>
        <w:widowControl w:val="0"/>
        <w:tabs>
          <w:tab w:val="left" w:pos="889"/>
        </w:tabs>
        <w:autoSpaceDE w:val="0"/>
        <w:autoSpaceDN w:val="0"/>
        <w:ind w:left="709"/>
        <w:jc w:val="both"/>
        <w:rPr>
          <w:rFonts w:ascii="Arial Narrow" w:hAnsi="Arial Narrow" w:cs="Arial"/>
          <w:lang w:eastAsia="es-CO"/>
        </w:rPr>
      </w:pPr>
      <w:r w:rsidRPr="005F10B9">
        <w:rPr>
          <w:rFonts w:ascii="Arial Narrow" w:hAnsi="Arial Narrow" w:cs="Arial"/>
          <w:lang w:eastAsia="es-CO"/>
        </w:rPr>
        <w:t xml:space="preserve"> </w:t>
      </w:r>
    </w:p>
    <w:p w14:paraId="6680E8DA" w14:textId="77777777" w:rsidR="007968EC" w:rsidRPr="005F10B9" w:rsidRDefault="007968EC" w:rsidP="00DA7472">
      <w:pPr>
        <w:widowControl w:val="0"/>
        <w:numPr>
          <w:ilvl w:val="7"/>
          <w:numId w:val="363"/>
        </w:numPr>
        <w:tabs>
          <w:tab w:val="left" w:pos="889"/>
        </w:tabs>
        <w:autoSpaceDE w:val="0"/>
        <w:autoSpaceDN w:val="0"/>
        <w:ind w:left="709"/>
        <w:jc w:val="both"/>
        <w:rPr>
          <w:rFonts w:ascii="Arial Narrow" w:hAnsi="Arial Narrow" w:cs="Arial"/>
          <w:lang w:eastAsia="es-CO"/>
        </w:rPr>
      </w:pPr>
      <w:r w:rsidRPr="005F10B9">
        <w:rPr>
          <w:rFonts w:ascii="Arial Narrow" w:hAnsi="Arial Narrow" w:cs="Arial"/>
          <w:lang w:eastAsia="es-CO"/>
        </w:rPr>
        <w:t>Colaboración de los Miembros del</w:t>
      </w:r>
      <w:r w:rsidRPr="005F10B9">
        <w:rPr>
          <w:rFonts w:ascii="Arial Narrow" w:hAnsi="Arial Narrow" w:cs="Arial"/>
          <w:spacing w:val="-5"/>
          <w:lang w:eastAsia="es-CO"/>
        </w:rPr>
        <w:t xml:space="preserve"> </w:t>
      </w:r>
      <w:r w:rsidRPr="005F10B9">
        <w:rPr>
          <w:rFonts w:ascii="Arial Narrow" w:hAnsi="Arial Narrow" w:cs="Arial"/>
          <w:lang w:eastAsia="es-CO"/>
        </w:rPr>
        <w:t>CGI.</w:t>
      </w:r>
    </w:p>
    <w:p w14:paraId="7A71E742" w14:textId="77777777" w:rsidR="007968EC" w:rsidRPr="005F10B9" w:rsidRDefault="007968EC" w:rsidP="007968EC">
      <w:pPr>
        <w:rPr>
          <w:rFonts w:ascii="Arial Narrow" w:hAnsi="Arial Narrow" w:cs="Arial"/>
          <w:lang w:eastAsia="es-ES"/>
        </w:rPr>
      </w:pPr>
    </w:p>
    <w:p w14:paraId="7EC1B6AC" w14:textId="77777777" w:rsidR="007968EC" w:rsidRPr="005F10B9" w:rsidRDefault="007968EC" w:rsidP="007968EC">
      <w:pPr>
        <w:widowControl w:val="0"/>
        <w:tabs>
          <w:tab w:val="left" w:pos="889"/>
        </w:tabs>
        <w:autoSpaceDE w:val="0"/>
        <w:autoSpaceDN w:val="0"/>
        <w:ind w:left="349"/>
        <w:jc w:val="both"/>
        <w:rPr>
          <w:rFonts w:ascii="Arial Narrow" w:hAnsi="Arial Narrow" w:cs="Arial"/>
          <w:lang w:eastAsia="es-CO"/>
        </w:rPr>
      </w:pPr>
      <w:r w:rsidRPr="005F10B9">
        <w:rPr>
          <w:rFonts w:ascii="Arial Narrow" w:hAnsi="Arial Narrow" w:cs="Arial"/>
          <w:lang w:eastAsia="es-CO"/>
        </w:rPr>
        <w:t>La Cámara podrá solicitar a los representantes en el CGI su colaboración en la ejecución de las operaciones de cobertura o en otro tipo de actuaciones. Dicha colaboración no significará en ningún caso que dichos representantes en el CGI tienen la condición de apoderados o de representantes legales.</w:t>
      </w:r>
    </w:p>
    <w:p w14:paraId="6889F3AC" w14:textId="77777777" w:rsidR="007968EC" w:rsidRPr="005F10B9" w:rsidRDefault="007968EC" w:rsidP="007968EC">
      <w:pPr>
        <w:rPr>
          <w:rFonts w:ascii="Arial Narrow" w:hAnsi="Arial Narrow" w:cs="Arial"/>
          <w:lang w:eastAsia="es-ES"/>
        </w:rPr>
      </w:pPr>
    </w:p>
    <w:p w14:paraId="0F55EBD3" w14:textId="77777777" w:rsidR="007968EC" w:rsidRPr="005F10B9" w:rsidRDefault="007968EC" w:rsidP="00DA7472">
      <w:pPr>
        <w:widowControl w:val="0"/>
        <w:numPr>
          <w:ilvl w:val="7"/>
          <w:numId w:val="363"/>
        </w:numPr>
        <w:tabs>
          <w:tab w:val="left" w:pos="889"/>
        </w:tabs>
        <w:autoSpaceDE w:val="0"/>
        <w:autoSpaceDN w:val="0"/>
        <w:ind w:left="709"/>
        <w:jc w:val="both"/>
        <w:rPr>
          <w:rFonts w:ascii="Arial Narrow" w:hAnsi="Arial Narrow" w:cs="Arial"/>
          <w:color w:val="212121"/>
          <w:lang w:eastAsia="es-CO"/>
        </w:rPr>
      </w:pPr>
      <w:r w:rsidRPr="005F10B9">
        <w:rPr>
          <w:rFonts w:ascii="Arial Narrow" w:hAnsi="Arial Narrow" w:cs="Arial"/>
          <w:color w:val="212121"/>
          <w:lang w:eastAsia="es-CO"/>
        </w:rPr>
        <w:t xml:space="preserve">Relación </w:t>
      </w:r>
      <w:r w:rsidRPr="005F10B9">
        <w:rPr>
          <w:rFonts w:ascii="Arial Narrow" w:hAnsi="Arial Narrow" w:cs="Arial"/>
          <w:lang w:eastAsia="es-CO"/>
        </w:rPr>
        <w:t>jurídica</w:t>
      </w:r>
      <w:r w:rsidRPr="005F10B9">
        <w:rPr>
          <w:rFonts w:ascii="Arial Narrow" w:hAnsi="Arial Narrow" w:cs="Arial"/>
          <w:color w:val="212121"/>
          <w:lang w:eastAsia="es-CO"/>
        </w:rPr>
        <w:t xml:space="preserve"> de los miembros del</w:t>
      </w:r>
      <w:r w:rsidRPr="005F10B9">
        <w:rPr>
          <w:rFonts w:ascii="Arial Narrow" w:hAnsi="Arial Narrow" w:cs="Arial"/>
          <w:color w:val="212121"/>
          <w:spacing w:val="-9"/>
          <w:lang w:eastAsia="es-CO"/>
        </w:rPr>
        <w:t xml:space="preserve"> </w:t>
      </w:r>
      <w:r w:rsidRPr="005F10B9">
        <w:rPr>
          <w:rFonts w:ascii="Arial Narrow" w:hAnsi="Arial Narrow" w:cs="Arial"/>
          <w:color w:val="212121"/>
          <w:lang w:eastAsia="es-CO"/>
        </w:rPr>
        <w:t>CGI.</w:t>
      </w:r>
    </w:p>
    <w:p w14:paraId="6E44A510" w14:textId="77777777" w:rsidR="007968EC" w:rsidRPr="005F10B9" w:rsidRDefault="007968EC" w:rsidP="007968EC">
      <w:pPr>
        <w:rPr>
          <w:rFonts w:ascii="Arial Narrow" w:hAnsi="Arial Narrow" w:cs="Arial"/>
          <w:lang w:eastAsia="es-ES"/>
        </w:rPr>
      </w:pPr>
    </w:p>
    <w:p w14:paraId="5A7D457B" w14:textId="77777777" w:rsidR="007968EC" w:rsidRPr="005F10B9" w:rsidRDefault="007968EC" w:rsidP="007968EC">
      <w:pPr>
        <w:widowControl w:val="0"/>
        <w:tabs>
          <w:tab w:val="left" w:pos="889"/>
        </w:tabs>
        <w:autoSpaceDE w:val="0"/>
        <w:autoSpaceDN w:val="0"/>
        <w:ind w:left="349"/>
        <w:jc w:val="both"/>
        <w:rPr>
          <w:rFonts w:ascii="Arial Narrow" w:hAnsi="Arial Narrow" w:cs="Arial"/>
          <w:lang w:eastAsia="es-CO"/>
        </w:rPr>
      </w:pPr>
      <w:r w:rsidRPr="005F10B9">
        <w:rPr>
          <w:rFonts w:ascii="Arial Narrow" w:hAnsi="Arial Narrow" w:cs="Arial"/>
          <w:lang w:eastAsia="es-CO"/>
        </w:rPr>
        <w:t>Los Representantes en el CGI conservarán en todo momento la relación laboral o de servicios con el MLC que los designó y nunca podrán ser considerados como empleados de la Cámara o con cualquier relación profesional o de servicios con ésta.</w:t>
      </w:r>
    </w:p>
    <w:p w14:paraId="12DF6477" w14:textId="77777777" w:rsidR="007968EC" w:rsidRPr="005F10B9" w:rsidRDefault="007968EC" w:rsidP="007968EC">
      <w:pPr>
        <w:widowControl w:val="0"/>
        <w:tabs>
          <w:tab w:val="left" w:pos="889"/>
        </w:tabs>
        <w:autoSpaceDE w:val="0"/>
        <w:autoSpaceDN w:val="0"/>
        <w:ind w:left="349"/>
        <w:jc w:val="both"/>
        <w:rPr>
          <w:rFonts w:ascii="Arial Narrow" w:hAnsi="Arial Narrow" w:cs="Arial"/>
          <w:lang w:eastAsia="es-CO"/>
        </w:rPr>
      </w:pPr>
    </w:p>
    <w:p w14:paraId="1F1DE879" w14:textId="77777777" w:rsidR="007968EC" w:rsidRPr="005F10B9" w:rsidRDefault="007968EC" w:rsidP="007968EC">
      <w:pPr>
        <w:widowControl w:val="0"/>
        <w:tabs>
          <w:tab w:val="left" w:pos="889"/>
        </w:tabs>
        <w:autoSpaceDE w:val="0"/>
        <w:autoSpaceDN w:val="0"/>
        <w:ind w:left="349"/>
        <w:jc w:val="both"/>
        <w:rPr>
          <w:rFonts w:ascii="Arial Narrow" w:hAnsi="Arial Narrow" w:cs="Arial"/>
          <w:lang w:eastAsia="es-CO"/>
        </w:rPr>
      </w:pPr>
      <w:r w:rsidRPr="005F10B9">
        <w:rPr>
          <w:rFonts w:ascii="Arial Narrow" w:hAnsi="Arial Narrow" w:cs="Arial"/>
          <w:lang w:eastAsia="es-CO"/>
        </w:rPr>
        <w:t>En las reuniones del CGI, los Representantes en el CGI deberán actuar con independencia, sin seguir las instrucciones o vigilar los intereses del MLC que les designó.</w:t>
      </w:r>
    </w:p>
    <w:bookmarkEnd w:id="6475"/>
    <w:p w14:paraId="596C291F" w14:textId="77777777" w:rsidR="007968EC" w:rsidRPr="005F10B9" w:rsidRDefault="007968EC" w:rsidP="007968EC">
      <w:pPr>
        <w:autoSpaceDE w:val="0"/>
        <w:autoSpaceDN w:val="0"/>
        <w:adjustRightInd w:val="0"/>
        <w:jc w:val="both"/>
        <w:rPr>
          <w:rFonts w:eastAsia="Calibri"/>
        </w:rPr>
      </w:pPr>
    </w:p>
    <w:p w14:paraId="257268D3" w14:textId="77777777" w:rsidR="007968EC" w:rsidRPr="005F10B9" w:rsidRDefault="007968EC" w:rsidP="007968EC">
      <w:pPr>
        <w:pStyle w:val="ARTICULO0"/>
        <w:rPr>
          <w:rFonts w:eastAsia="Calibri"/>
          <w:bCs/>
        </w:rPr>
      </w:pPr>
      <w:bookmarkStart w:id="6477" w:name="_Toc31716586"/>
      <w:r w:rsidRPr="005F10B9">
        <w:rPr>
          <w:rFonts w:eastAsia="Calibri"/>
          <w:bCs/>
        </w:rPr>
        <w:t xml:space="preserve">Artículo 5.8.3.3. </w:t>
      </w:r>
      <w:r w:rsidRPr="005F10B9">
        <w:rPr>
          <w:rFonts w:eastAsia="Calibri"/>
        </w:rPr>
        <w:t>Neutralización del Riesgo.</w:t>
      </w:r>
      <w:bookmarkEnd w:id="6477"/>
    </w:p>
    <w:p w14:paraId="312C22F9" w14:textId="77777777" w:rsidR="007968EC" w:rsidRPr="005F10B9" w:rsidRDefault="007968EC" w:rsidP="007968EC">
      <w:pPr>
        <w:jc w:val="both"/>
        <w:rPr>
          <w:rFonts w:ascii="Arial Narrow" w:eastAsia="Calibri" w:hAnsi="Arial Narrow"/>
          <w:bCs/>
          <w:color w:val="000000" w:themeColor="text1"/>
        </w:rPr>
      </w:pPr>
    </w:p>
    <w:p w14:paraId="05466667" w14:textId="77777777" w:rsidR="007968EC" w:rsidRPr="005F10B9" w:rsidRDefault="007968EC" w:rsidP="007968EC">
      <w:pPr>
        <w:jc w:val="both"/>
        <w:rPr>
          <w:rFonts w:ascii="Arial Narrow" w:eastAsia="Calibri" w:hAnsi="Arial Narrow"/>
          <w:bCs/>
          <w:color w:val="000000" w:themeColor="text1"/>
        </w:rPr>
      </w:pPr>
      <w:r w:rsidRPr="005F10B9">
        <w:rPr>
          <w:rFonts w:ascii="Arial Narrow" w:eastAsia="Calibri" w:hAnsi="Arial Narrow"/>
          <w:bCs/>
          <w:color w:val="000000" w:themeColor="text1"/>
        </w:rPr>
        <w:t>La Cámara reducirá en la medida que sea posible y razonable el riesgo de mercado, de las Posiciones Abiertas del Miembro Liquidador Incumplido mediante operaciones de cobertura por cuenta propia o por cuenta del Miembro Liquidador Incumplido con operaciones sobre Swaps a precio de mercado, que puedan ser registrados en el Segmento Swaps de la Cámara.</w:t>
      </w:r>
    </w:p>
    <w:p w14:paraId="78D33CE1" w14:textId="77777777" w:rsidR="007968EC" w:rsidRPr="005F10B9" w:rsidRDefault="007968EC" w:rsidP="007968EC">
      <w:pPr>
        <w:jc w:val="both"/>
        <w:rPr>
          <w:rFonts w:ascii="Arial Narrow" w:eastAsia="Calibri" w:hAnsi="Arial Narrow"/>
          <w:bCs/>
          <w:color w:val="000000" w:themeColor="text1"/>
        </w:rPr>
      </w:pPr>
    </w:p>
    <w:p w14:paraId="5AD37E2B" w14:textId="77777777" w:rsidR="007968EC" w:rsidRPr="005F10B9" w:rsidRDefault="007968EC" w:rsidP="007968EC">
      <w:pPr>
        <w:jc w:val="both"/>
        <w:rPr>
          <w:rFonts w:ascii="Arial Narrow" w:eastAsia="Calibri" w:hAnsi="Arial Narrow"/>
          <w:bCs/>
          <w:color w:val="000000" w:themeColor="text1"/>
        </w:rPr>
      </w:pPr>
      <w:r w:rsidRPr="005F10B9">
        <w:rPr>
          <w:rFonts w:ascii="Arial Narrow" w:eastAsia="Calibri" w:hAnsi="Arial Narrow"/>
          <w:bCs/>
          <w:color w:val="000000" w:themeColor="text1"/>
        </w:rPr>
        <w:t>El objetivo de las operaciones de cobertura es reducir y dejar el riesgo de mercado dentro de unos límites de tolerancia expresados en términos de sensibilidad u otras medidas de riesgo de mercado, establecidas previamente por la Cámara, si fuera el caso con la asesoría del CGI, una vez que el incumplimiento se haya declarado. Las operaciones de cobertura se podrán hacer antes o al mismo tiempo que se haya realizado la división del portafolio del Miembro Liquidador Incumplido, en su caso.</w:t>
      </w:r>
    </w:p>
    <w:p w14:paraId="7E9C3054" w14:textId="77777777" w:rsidR="007968EC" w:rsidRPr="005F10B9" w:rsidRDefault="007968EC" w:rsidP="007968EC">
      <w:pPr>
        <w:jc w:val="both"/>
        <w:rPr>
          <w:rFonts w:ascii="Arial Narrow" w:eastAsia="Calibri" w:hAnsi="Arial Narrow"/>
          <w:bCs/>
          <w:color w:val="000000" w:themeColor="text1"/>
        </w:rPr>
      </w:pPr>
    </w:p>
    <w:p w14:paraId="48F6F842" w14:textId="77777777" w:rsidR="007968EC" w:rsidRPr="005F10B9" w:rsidRDefault="007968EC" w:rsidP="007968EC">
      <w:pPr>
        <w:jc w:val="both"/>
        <w:rPr>
          <w:rFonts w:ascii="Arial Narrow" w:eastAsia="Calibri" w:hAnsi="Arial Narrow"/>
          <w:bCs/>
          <w:color w:val="000000" w:themeColor="text1"/>
        </w:rPr>
      </w:pPr>
      <w:r w:rsidRPr="005F10B9">
        <w:rPr>
          <w:rFonts w:ascii="Arial Narrow" w:eastAsia="Calibri" w:hAnsi="Arial Narrow"/>
          <w:bCs/>
          <w:color w:val="000000" w:themeColor="text1"/>
        </w:rPr>
        <w:t xml:space="preserve">En todo caso, siempre que la Cámara lo solicite, los Miembros Liquidadores cumplidos que participen en el Segmento Swaps estarán obligados a presentar posturas a la Cámara para la celebración de operaciones de cobertura. </w:t>
      </w:r>
    </w:p>
    <w:p w14:paraId="459ECBA0" w14:textId="77777777" w:rsidR="007968EC" w:rsidRPr="005F10B9" w:rsidRDefault="007968EC" w:rsidP="007968EC">
      <w:pPr>
        <w:jc w:val="both"/>
        <w:rPr>
          <w:rFonts w:ascii="Arial Narrow" w:eastAsia="Calibri" w:hAnsi="Arial Narrow"/>
          <w:bCs/>
          <w:color w:val="000000" w:themeColor="text1"/>
        </w:rPr>
      </w:pPr>
    </w:p>
    <w:p w14:paraId="77F6962F" w14:textId="77777777" w:rsidR="007968EC" w:rsidRPr="005F10B9" w:rsidRDefault="007968EC" w:rsidP="007968EC">
      <w:pPr>
        <w:pStyle w:val="ARTICULO0"/>
        <w:rPr>
          <w:rFonts w:eastAsia="Calibri"/>
        </w:rPr>
      </w:pPr>
      <w:bookmarkStart w:id="6478" w:name="_Toc31716587"/>
      <w:r w:rsidRPr="005F10B9">
        <w:rPr>
          <w:rFonts w:eastAsia="Calibri"/>
          <w:bCs/>
        </w:rPr>
        <w:t xml:space="preserve">Artículo 5.8.3.4. </w:t>
      </w:r>
      <w:r w:rsidRPr="005F10B9">
        <w:rPr>
          <w:rFonts w:eastAsia="Calibri"/>
        </w:rPr>
        <w:t>División de la Posición Abierta del Miembro Liquidador Incumplido.</w:t>
      </w:r>
      <w:bookmarkEnd w:id="6478"/>
    </w:p>
    <w:p w14:paraId="49EC79D7" w14:textId="77777777" w:rsidR="007968EC" w:rsidRPr="005F10B9" w:rsidRDefault="007968EC" w:rsidP="007968EC">
      <w:pPr>
        <w:jc w:val="both"/>
        <w:rPr>
          <w:rFonts w:ascii="Arial Narrow" w:eastAsia="Calibri" w:hAnsi="Arial Narrow"/>
          <w:b/>
          <w:color w:val="000000" w:themeColor="text1"/>
          <w:u w:val="single"/>
        </w:rPr>
      </w:pPr>
    </w:p>
    <w:p w14:paraId="100B152F" w14:textId="77777777" w:rsidR="007968EC" w:rsidRPr="005F10B9" w:rsidRDefault="007968EC" w:rsidP="007968EC">
      <w:pPr>
        <w:jc w:val="both"/>
        <w:rPr>
          <w:rFonts w:ascii="Arial Narrow" w:eastAsia="Calibri" w:hAnsi="Arial Narrow"/>
          <w:bCs/>
          <w:color w:val="000000" w:themeColor="text1"/>
        </w:rPr>
      </w:pPr>
      <w:r w:rsidRPr="005F10B9">
        <w:rPr>
          <w:rFonts w:ascii="Arial Narrow" w:eastAsia="Calibri" w:hAnsi="Arial Narrow"/>
          <w:bCs/>
          <w:color w:val="000000" w:themeColor="text1"/>
        </w:rPr>
        <w:t xml:space="preserve">La Cámara, si fuere el caso con la asesoría del CGI, determinará la composición de cada Portafolio a Subastar y a su absoluta discreción podrá determinar que la Posición Abierta en Operaciones Swaps del Miembro Liquidador Incumplido constituye un único Portafolio a Subastar (PAS) o dividir dicha Posición Abierta en dos o más Portafolios a Subastar con el objetivo de facilitar la eficiencia de la subasta, así como decidir cuál es la composición de cualquiera de los Portafolios a Subastar. En todo caso, las operaciones de </w:t>
      </w:r>
      <w:r w:rsidRPr="005F10B9">
        <w:rPr>
          <w:rFonts w:ascii="Arial Narrow" w:eastAsia="Calibri" w:hAnsi="Arial Narrow"/>
          <w:bCs/>
          <w:color w:val="000000" w:themeColor="text1"/>
        </w:rPr>
        <w:lastRenderedPageBreak/>
        <w:t xml:space="preserve">cobertura que se hayan realizado de conformidad con el artículo anterior harán parte del o de los respectivos Portafolios a Subastar. </w:t>
      </w:r>
    </w:p>
    <w:p w14:paraId="14386B04" w14:textId="77777777" w:rsidR="007968EC" w:rsidRPr="005F10B9" w:rsidRDefault="007968EC" w:rsidP="007968EC">
      <w:pPr>
        <w:jc w:val="both"/>
        <w:rPr>
          <w:rFonts w:ascii="Arial Narrow" w:eastAsia="Calibri" w:hAnsi="Arial Narrow"/>
          <w:bCs/>
        </w:rPr>
      </w:pPr>
    </w:p>
    <w:p w14:paraId="536E421B" w14:textId="77777777" w:rsidR="007968EC" w:rsidRPr="005F10B9" w:rsidRDefault="007968EC" w:rsidP="007968EC">
      <w:pPr>
        <w:jc w:val="both"/>
        <w:rPr>
          <w:rFonts w:ascii="Arial Narrow" w:eastAsia="Calibri" w:hAnsi="Arial Narrow"/>
          <w:bCs/>
          <w:color w:val="000000" w:themeColor="text1"/>
        </w:rPr>
      </w:pPr>
      <w:r w:rsidRPr="005F10B9">
        <w:rPr>
          <w:rFonts w:ascii="Arial Narrow" w:eastAsia="Calibri" w:hAnsi="Arial Narrow"/>
          <w:bCs/>
          <w:color w:val="000000" w:themeColor="text1"/>
        </w:rPr>
        <w:t>De igual manera, la Cámara podrá dividir la Posición Abierta del Miembro Liquidador incumplido en varios Portafolios a Subastar, con el objetivo de conseguir una gestión del Incumplimiento de un Miembro Liquidador que proteja de la manera más eficiente a la Cámara y a los Miembros Liquidadores cumplidos. La Cámara no tiene la obligación de dividir la Posición Abierta y puede proceder con una única subasta (independientemente del número de operaciones que tenga la Posición Abierta del Miembro Liquidador Incumplido).</w:t>
      </w:r>
    </w:p>
    <w:p w14:paraId="47EAF4DA" w14:textId="77777777" w:rsidR="007968EC" w:rsidRPr="005F10B9" w:rsidRDefault="007968EC" w:rsidP="007968EC">
      <w:pPr>
        <w:jc w:val="both"/>
        <w:rPr>
          <w:rFonts w:ascii="Arial Narrow" w:eastAsia="Calibri" w:hAnsi="Arial Narrow"/>
          <w:bCs/>
          <w:color w:val="000000" w:themeColor="text1"/>
        </w:rPr>
      </w:pPr>
    </w:p>
    <w:p w14:paraId="1BC03061" w14:textId="77777777" w:rsidR="007968EC" w:rsidRPr="005F10B9" w:rsidRDefault="007968EC" w:rsidP="007968EC">
      <w:pPr>
        <w:jc w:val="both"/>
        <w:rPr>
          <w:rFonts w:ascii="Arial Narrow" w:eastAsia="Calibri" w:hAnsi="Arial Narrow"/>
          <w:bCs/>
          <w:color w:val="000000" w:themeColor="text1"/>
        </w:rPr>
      </w:pPr>
      <w:r w:rsidRPr="005F10B9">
        <w:rPr>
          <w:rFonts w:ascii="Arial Narrow" w:eastAsia="Calibri" w:hAnsi="Arial Narrow"/>
          <w:bCs/>
          <w:color w:val="000000" w:themeColor="text1"/>
        </w:rPr>
        <w:t>Así mismo, la Cámara, pudiendo contar con la asesoría del CGI, determinará si el Portafolio a Subastar o los Portafolios a Subastar se harán bajo el modelo de un único ganador o de varios ganadores. Con el modelo de un único ganador cada PAS tendrá un solo ganador que será el Miembro Liquidador que haya realizado la mejor puja. Con el modelo de varios ganadores cada PAS podrá tener más de un ganador.</w:t>
      </w:r>
    </w:p>
    <w:p w14:paraId="370CC345" w14:textId="77777777" w:rsidR="007968EC" w:rsidRPr="005F10B9" w:rsidRDefault="007968EC" w:rsidP="007968EC">
      <w:pPr>
        <w:jc w:val="both"/>
        <w:rPr>
          <w:rFonts w:ascii="Arial Narrow" w:eastAsia="Calibri" w:hAnsi="Arial Narrow"/>
          <w:b/>
          <w:bCs/>
          <w:color w:val="000000" w:themeColor="text1"/>
          <w:u w:val="single"/>
        </w:rPr>
      </w:pPr>
    </w:p>
    <w:p w14:paraId="7FABF339" w14:textId="77777777" w:rsidR="007968EC" w:rsidRPr="005F10B9" w:rsidRDefault="007968EC" w:rsidP="007968EC">
      <w:pPr>
        <w:jc w:val="both"/>
        <w:rPr>
          <w:rFonts w:ascii="Arial Narrow" w:eastAsia="Calibri" w:hAnsi="Arial Narrow"/>
          <w:bCs/>
          <w:color w:val="000000" w:themeColor="text1"/>
        </w:rPr>
      </w:pPr>
      <w:r w:rsidRPr="005F10B9">
        <w:rPr>
          <w:rFonts w:ascii="Arial Narrow" w:eastAsia="Calibri" w:hAnsi="Arial Narrow"/>
          <w:bCs/>
          <w:color w:val="000000" w:themeColor="text1"/>
        </w:rPr>
        <w:t>En el caso de que el Portafolio a Subastar tenga un número excesivo de Operaciones Swaps por lo que los Miembros Liquidadores ganadores podrían no tener capacidad, o podrían tener dificultades para gestionar dicho número de Operaciones Swaps:</w:t>
      </w:r>
    </w:p>
    <w:p w14:paraId="029EC4A7" w14:textId="77777777" w:rsidR="007968EC" w:rsidRPr="005F10B9" w:rsidRDefault="007968EC" w:rsidP="007968EC">
      <w:pPr>
        <w:jc w:val="both"/>
        <w:rPr>
          <w:rFonts w:ascii="Arial Narrow" w:eastAsia="Calibri" w:hAnsi="Arial Narrow"/>
          <w:bCs/>
          <w:color w:val="000000" w:themeColor="text1"/>
        </w:rPr>
      </w:pPr>
    </w:p>
    <w:p w14:paraId="1FEAE05C" w14:textId="77777777" w:rsidR="007968EC" w:rsidRPr="005F10B9" w:rsidRDefault="007968EC" w:rsidP="00DA7472">
      <w:pPr>
        <w:numPr>
          <w:ilvl w:val="0"/>
          <w:numId w:val="334"/>
        </w:numPr>
        <w:jc w:val="both"/>
        <w:rPr>
          <w:rFonts w:ascii="Arial Narrow" w:eastAsia="Calibri" w:hAnsi="Arial Narrow"/>
          <w:bCs/>
          <w:color w:val="000000" w:themeColor="text1"/>
          <w:lang w:eastAsia="es-CO"/>
        </w:rPr>
      </w:pPr>
      <w:r w:rsidRPr="005F10B9">
        <w:rPr>
          <w:rFonts w:ascii="Arial Narrow" w:eastAsia="Calibri" w:hAnsi="Arial Narrow"/>
          <w:bCs/>
          <w:color w:val="000000" w:themeColor="text1"/>
          <w:lang w:eastAsia="es-CO"/>
        </w:rPr>
        <w:t>La Cámara podrá dividir el Portafolio a Subastar en Sub-Portafolios que contengan entre todos ellos el total de las Operaciones Swaps que contenía el Portafolio a Subastar. El conjunto de estos Sub-Portafolios se llamarán Portafolios a Subastar Semejantes.</w:t>
      </w:r>
    </w:p>
    <w:p w14:paraId="10ADEAEA" w14:textId="77777777" w:rsidR="007968EC" w:rsidRPr="005F10B9" w:rsidRDefault="007968EC" w:rsidP="007968EC">
      <w:pPr>
        <w:jc w:val="both"/>
        <w:rPr>
          <w:rFonts w:ascii="Arial Narrow" w:eastAsia="Calibri" w:hAnsi="Arial Narrow"/>
          <w:bCs/>
          <w:color w:val="000000" w:themeColor="text1"/>
        </w:rPr>
      </w:pPr>
    </w:p>
    <w:p w14:paraId="7B19D40B" w14:textId="77777777" w:rsidR="007968EC" w:rsidRPr="005F10B9" w:rsidRDefault="007968EC" w:rsidP="00DA7472">
      <w:pPr>
        <w:numPr>
          <w:ilvl w:val="0"/>
          <w:numId w:val="334"/>
        </w:numPr>
        <w:jc w:val="both"/>
        <w:rPr>
          <w:rFonts w:ascii="Arial Narrow" w:eastAsia="Calibri" w:hAnsi="Arial Narrow"/>
          <w:bCs/>
          <w:color w:val="000000" w:themeColor="text1"/>
          <w:lang w:eastAsia="es-CO"/>
        </w:rPr>
      </w:pPr>
      <w:proofErr w:type="gramStart"/>
      <w:r w:rsidRPr="005F10B9">
        <w:rPr>
          <w:rFonts w:ascii="Arial Narrow" w:eastAsia="Calibri" w:hAnsi="Arial Narrow"/>
          <w:bCs/>
          <w:color w:val="000000" w:themeColor="text1"/>
          <w:lang w:eastAsia="es-CO"/>
        </w:rPr>
        <w:t>Los Portafolios a Subastar</w:t>
      </w:r>
      <w:proofErr w:type="gramEnd"/>
      <w:r w:rsidRPr="005F10B9">
        <w:rPr>
          <w:rFonts w:ascii="Arial Narrow" w:eastAsia="Calibri" w:hAnsi="Arial Narrow"/>
          <w:bCs/>
          <w:color w:val="000000" w:themeColor="text1"/>
          <w:lang w:eastAsia="es-CO"/>
        </w:rPr>
        <w:t xml:space="preserve"> Semejantes deberán tener valores semejantes de Nominal, Valor Presente Neto, Garantía por Posición y sensibilidad a un punto básico.</w:t>
      </w:r>
    </w:p>
    <w:p w14:paraId="28E89D50" w14:textId="77777777" w:rsidR="007968EC" w:rsidRPr="005F10B9" w:rsidRDefault="007968EC" w:rsidP="007968EC">
      <w:pPr>
        <w:jc w:val="both"/>
        <w:rPr>
          <w:rFonts w:ascii="Arial Narrow" w:eastAsia="Calibri" w:hAnsi="Arial Narrow"/>
          <w:bCs/>
          <w:color w:val="000000" w:themeColor="text1"/>
        </w:rPr>
      </w:pPr>
    </w:p>
    <w:p w14:paraId="7EE7CE84" w14:textId="77777777" w:rsidR="007968EC" w:rsidRPr="005F10B9" w:rsidRDefault="007968EC" w:rsidP="00DA7472">
      <w:pPr>
        <w:numPr>
          <w:ilvl w:val="0"/>
          <w:numId w:val="334"/>
        </w:numPr>
        <w:jc w:val="both"/>
        <w:rPr>
          <w:rFonts w:ascii="Arial Narrow" w:eastAsia="Calibri" w:hAnsi="Arial Narrow"/>
          <w:bCs/>
          <w:color w:val="000000" w:themeColor="text1"/>
          <w:lang w:eastAsia="es-CO"/>
        </w:rPr>
      </w:pPr>
      <w:r w:rsidRPr="005F10B9">
        <w:rPr>
          <w:rFonts w:ascii="Arial Narrow" w:eastAsia="Calibri" w:hAnsi="Arial Narrow"/>
          <w:bCs/>
          <w:color w:val="000000" w:themeColor="text1"/>
          <w:lang w:eastAsia="es-CO"/>
        </w:rPr>
        <w:t>En el caso de que se opte por un modelo de Portafolios a Subastar Semejantes, con varios ganadores, las Unidades de Subasta, tal y como se definen más adelante, asignadas al Miembro Liquidador se pueden dejar asignadas al conjunto de Portafolios a Subastar Semejantes.</w:t>
      </w:r>
    </w:p>
    <w:p w14:paraId="1DEA9099" w14:textId="77777777" w:rsidR="007968EC" w:rsidRPr="005F10B9" w:rsidRDefault="007968EC" w:rsidP="007968EC">
      <w:pPr>
        <w:jc w:val="both"/>
        <w:rPr>
          <w:rFonts w:ascii="Arial Narrow" w:eastAsia="Calibri" w:hAnsi="Arial Narrow"/>
          <w:bCs/>
          <w:color w:val="000000" w:themeColor="text1"/>
        </w:rPr>
      </w:pPr>
      <w:r w:rsidRPr="005F10B9">
        <w:rPr>
          <w:rFonts w:ascii="Arial Narrow" w:eastAsia="Calibri" w:hAnsi="Arial Narrow"/>
          <w:bCs/>
          <w:color w:val="000000" w:themeColor="text1"/>
        </w:rPr>
        <w:t xml:space="preserve"> </w:t>
      </w:r>
    </w:p>
    <w:p w14:paraId="4AB9EDC3" w14:textId="77777777" w:rsidR="007968EC" w:rsidRPr="005F10B9" w:rsidRDefault="007968EC" w:rsidP="007968EC">
      <w:pPr>
        <w:pStyle w:val="ARTICULO0"/>
        <w:rPr>
          <w:rFonts w:eastAsia="Calibri"/>
        </w:rPr>
      </w:pPr>
      <w:bookmarkStart w:id="6479" w:name="_Toc31716588"/>
      <w:r w:rsidRPr="005F10B9">
        <w:rPr>
          <w:rFonts w:eastAsia="Calibri"/>
        </w:rPr>
        <w:t>Artículo 5.8.3.5. Cierre de las Posiciones Abiertas a través de subastas.</w:t>
      </w:r>
      <w:bookmarkEnd w:id="6479"/>
    </w:p>
    <w:p w14:paraId="59E323CF" w14:textId="77777777" w:rsidR="007968EC" w:rsidRPr="00692F28" w:rsidRDefault="007968EC" w:rsidP="007968EC">
      <w:pPr>
        <w:jc w:val="both"/>
        <w:rPr>
          <w:rFonts w:ascii="Arial Narrow" w:eastAsia="Calibri" w:hAnsi="Arial Narrow"/>
          <w:bCs/>
          <w:color w:val="000000" w:themeColor="text1"/>
        </w:rPr>
      </w:pPr>
    </w:p>
    <w:p w14:paraId="79E1B175" w14:textId="77777777" w:rsidR="007968EC" w:rsidRPr="005F10B9" w:rsidRDefault="007968EC" w:rsidP="007968EC">
      <w:pPr>
        <w:jc w:val="both"/>
        <w:rPr>
          <w:rFonts w:ascii="Arial Narrow" w:eastAsia="Calibri" w:hAnsi="Arial Narrow"/>
          <w:bCs/>
          <w:color w:val="000000" w:themeColor="text1"/>
        </w:rPr>
      </w:pPr>
      <w:r w:rsidRPr="005F10B9">
        <w:rPr>
          <w:rFonts w:ascii="Arial Narrow" w:eastAsia="Calibri" w:hAnsi="Arial Narrow"/>
          <w:bCs/>
          <w:color w:val="000000" w:themeColor="text1"/>
        </w:rPr>
        <w:t>Una vez realizado el proceso de neutralización del riesgo y la posible división de la Posición Abierta del Miembro Liquidador Incumplido, la Cámara subastará el o los PAS entre los Miembros Liquidadores cumplidos. La Cámara, si fuere el caso con la asesoría del CGI, establecerá las condiciones específicas de la subasta a realizar.</w:t>
      </w:r>
    </w:p>
    <w:p w14:paraId="6261DFF8" w14:textId="77777777" w:rsidR="007968EC" w:rsidRPr="005F10B9" w:rsidRDefault="007968EC" w:rsidP="007968EC">
      <w:pPr>
        <w:jc w:val="both"/>
        <w:rPr>
          <w:rFonts w:ascii="Arial Narrow" w:eastAsia="Calibri" w:hAnsi="Arial Narrow"/>
          <w:bCs/>
          <w:color w:val="000000" w:themeColor="text1"/>
        </w:rPr>
      </w:pPr>
    </w:p>
    <w:p w14:paraId="5FDA20B5" w14:textId="77777777" w:rsidR="007968EC" w:rsidRPr="005F10B9" w:rsidRDefault="007968EC" w:rsidP="007968EC">
      <w:pPr>
        <w:jc w:val="both"/>
        <w:rPr>
          <w:rFonts w:ascii="Arial Narrow" w:eastAsia="Calibri" w:hAnsi="Arial Narrow"/>
          <w:bCs/>
          <w:color w:val="000000" w:themeColor="text1"/>
        </w:rPr>
      </w:pPr>
      <w:r w:rsidRPr="005F10B9">
        <w:rPr>
          <w:rFonts w:ascii="Arial Narrow" w:eastAsia="Calibri" w:hAnsi="Arial Narrow"/>
          <w:bCs/>
          <w:color w:val="000000" w:themeColor="text1"/>
        </w:rPr>
        <w:t xml:space="preserve">Para la realización de la subasta se adelantarán las siguientes etapas: </w:t>
      </w:r>
    </w:p>
    <w:p w14:paraId="4E25A402" w14:textId="77777777" w:rsidR="007968EC" w:rsidRPr="005F10B9" w:rsidRDefault="007968EC" w:rsidP="007968EC">
      <w:pPr>
        <w:jc w:val="both"/>
        <w:rPr>
          <w:rFonts w:ascii="Arial Narrow" w:eastAsia="Calibri" w:hAnsi="Arial Narrow"/>
          <w:bCs/>
          <w:color w:val="000000" w:themeColor="text1"/>
        </w:rPr>
      </w:pPr>
    </w:p>
    <w:p w14:paraId="1511BBEB" w14:textId="77777777" w:rsidR="007968EC" w:rsidRPr="005F10B9" w:rsidRDefault="007968EC" w:rsidP="00DA7472">
      <w:pPr>
        <w:numPr>
          <w:ilvl w:val="0"/>
          <w:numId w:val="362"/>
        </w:numPr>
        <w:autoSpaceDE w:val="0"/>
        <w:autoSpaceDN w:val="0"/>
        <w:adjustRightInd w:val="0"/>
        <w:contextualSpacing/>
        <w:jc w:val="both"/>
        <w:rPr>
          <w:rFonts w:ascii="Arial Narrow" w:hAnsi="Arial Narrow" w:cs="Arial Narrow"/>
          <w:color w:val="000000" w:themeColor="text1"/>
          <w:lang w:eastAsia="es-ES"/>
        </w:rPr>
      </w:pPr>
      <w:r w:rsidRPr="005F10B9">
        <w:rPr>
          <w:rFonts w:ascii="Arial Narrow" w:hAnsi="Arial Narrow" w:cs="Arial Narrow"/>
          <w:color w:val="000000" w:themeColor="text1"/>
          <w:lang w:eastAsia="es-ES"/>
        </w:rPr>
        <w:t xml:space="preserve">Procedimiento previo a las subastas: </w:t>
      </w:r>
    </w:p>
    <w:p w14:paraId="6462DC05" w14:textId="77777777" w:rsidR="007968EC" w:rsidRPr="005F10B9" w:rsidRDefault="007968EC" w:rsidP="007968EC">
      <w:pPr>
        <w:jc w:val="both"/>
        <w:rPr>
          <w:rFonts w:ascii="Arial Narrow" w:eastAsia="Calibri" w:hAnsi="Arial Narrow"/>
          <w:bCs/>
          <w:color w:val="000000" w:themeColor="text1"/>
        </w:rPr>
      </w:pPr>
    </w:p>
    <w:p w14:paraId="3F9F87C1" w14:textId="77777777" w:rsidR="007968EC" w:rsidRPr="005F10B9" w:rsidRDefault="007968EC" w:rsidP="007968EC">
      <w:pPr>
        <w:jc w:val="both"/>
        <w:rPr>
          <w:rFonts w:ascii="Arial Narrow" w:eastAsia="Calibri" w:hAnsi="Arial Narrow"/>
          <w:bCs/>
          <w:color w:val="000000" w:themeColor="text1"/>
        </w:rPr>
      </w:pPr>
      <w:r w:rsidRPr="005F10B9">
        <w:rPr>
          <w:rFonts w:ascii="Arial Narrow" w:eastAsia="Calibri" w:hAnsi="Arial Narrow"/>
          <w:bCs/>
          <w:color w:val="000000" w:themeColor="text1"/>
        </w:rPr>
        <w:lastRenderedPageBreak/>
        <w:t xml:space="preserve">En el caso de que se </w:t>
      </w:r>
      <w:proofErr w:type="gramStart"/>
      <w:r w:rsidRPr="005F10B9">
        <w:rPr>
          <w:rFonts w:ascii="Arial Narrow" w:eastAsia="Calibri" w:hAnsi="Arial Narrow"/>
          <w:bCs/>
          <w:color w:val="000000" w:themeColor="text1"/>
        </w:rPr>
        <w:t>optara</w:t>
      </w:r>
      <w:proofErr w:type="gramEnd"/>
      <w:r w:rsidRPr="005F10B9">
        <w:rPr>
          <w:rFonts w:ascii="Arial Narrow" w:eastAsia="Calibri" w:hAnsi="Arial Narrow"/>
          <w:bCs/>
          <w:color w:val="000000" w:themeColor="text1"/>
        </w:rPr>
        <w:t xml:space="preserve"> por un modelo de subasta en el que haya varios ganadores y se haya dividido la Posición Abierta en varios PAS, la Cámara asignará para cada PAS un número de Unidades de Subasta (US) a cada Miembro Liquidador. Para la asignación de US se procederá de la siguiente manera:</w:t>
      </w:r>
    </w:p>
    <w:p w14:paraId="6627CC14" w14:textId="77777777" w:rsidR="007968EC" w:rsidRPr="005F10B9" w:rsidRDefault="007968EC" w:rsidP="007968EC">
      <w:pPr>
        <w:jc w:val="both"/>
        <w:rPr>
          <w:rFonts w:ascii="Arial Narrow" w:eastAsia="Calibri" w:hAnsi="Arial Narrow"/>
          <w:bCs/>
          <w:color w:val="000000" w:themeColor="text1"/>
        </w:rPr>
      </w:pPr>
    </w:p>
    <w:p w14:paraId="1FCD1AB9" w14:textId="77777777" w:rsidR="007968EC" w:rsidRPr="005F10B9" w:rsidRDefault="007968EC" w:rsidP="00DA7472">
      <w:pPr>
        <w:numPr>
          <w:ilvl w:val="0"/>
          <w:numId w:val="335"/>
        </w:numPr>
        <w:ind w:left="709" w:hanging="349"/>
        <w:jc w:val="both"/>
        <w:rPr>
          <w:rFonts w:ascii="Arial Narrow" w:eastAsia="Calibri" w:hAnsi="Arial Narrow"/>
          <w:bCs/>
          <w:color w:val="000000" w:themeColor="text1"/>
          <w:lang w:eastAsia="es-CO"/>
        </w:rPr>
      </w:pPr>
      <w:r w:rsidRPr="005F10B9">
        <w:rPr>
          <w:rFonts w:ascii="Arial Narrow" w:eastAsia="Calibri" w:hAnsi="Arial Narrow"/>
          <w:bCs/>
          <w:color w:val="000000" w:themeColor="text1"/>
          <w:lang w:eastAsia="es-CO"/>
        </w:rPr>
        <w:t>Se dividirá la Posición Abierta de los Miembros Liquidadores cumplidos en Sub-Portafolios Semejantes a los Portafolios a Subastar.</w:t>
      </w:r>
    </w:p>
    <w:p w14:paraId="1A86DD90" w14:textId="77777777" w:rsidR="007968EC" w:rsidRPr="005F10B9" w:rsidRDefault="007968EC" w:rsidP="007968EC">
      <w:pPr>
        <w:ind w:left="709" w:hanging="349"/>
        <w:jc w:val="both"/>
        <w:rPr>
          <w:rFonts w:ascii="Arial Narrow" w:eastAsia="Calibri" w:hAnsi="Arial Narrow"/>
          <w:bCs/>
          <w:color w:val="000000" w:themeColor="text1"/>
        </w:rPr>
      </w:pPr>
    </w:p>
    <w:p w14:paraId="42EE9330" w14:textId="77777777" w:rsidR="007968EC" w:rsidRPr="005F10B9" w:rsidRDefault="007968EC" w:rsidP="00DA7472">
      <w:pPr>
        <w:numPr>
          <w:ilvl w:val="0"/>
          <w:numId w:val="335"/>
        </w:numPr>
        <w:ind w:left="709" w:hanging="349"/>
        <w:jc w:val="both"/>
        <w:rPr>
          <w:rFonts w:ascii="Arial Narrow" w:eastAsia="Calibri" w:hAnsi="Arial Narrow"/>
          <w:bCs/>
          <w:color w:val="000000" w:themeColor="text1"/>
          <w:lang w:eastAsia="es-CO"/>
        </w:rPr>
      </w:pPr>
      <w:r w:rsidRPr="005F10B9">
        <w:rPr>
          <w:rFonts w:ascii="Arial Narrow" w:eastAsia="Calibri" w:hAnsi="Arial Narrow"/>
          <w:bCs/>
          <w:color w:val="000000" w:themeColor="text1"/>
          <w:lang w:eastAsia="es-CO"/>
        </w:rPr>
        <w:t>Se calculará el riesgo que tiene cada Miembro Liquidador cumplido en cada Sub-Portafolio Semejante a los Portafolios a Subastar.</w:t>
      </w:r>
    </w:p>
    <w:p w14:paraId="559162EA" w14:textId="77777777" w:rsidR="007968EC" w:rsidRPr="005F10B9" w:rsidRDefault="007968EC" w:rsidP="007968EC">
      <w:pPr>
        <w:ind w:left="709" w:hanging="349"/>
        <w:jc w:val="both"/>
        <w:rPr>
          <w:rFonts w:ascii="Arial Narrow" w:eastAsia="Calibri" w:hAnsi="Arial Narrow"/>
          <w:bCs/>
          <w:color w:val="000000" w:themeColor="text1"/>
        </w:rPr>
      </w:pPr>
    </w:p>
    <w:p w14:paraId="458C99FA" w14:textId="77777777" w:rsidR="007968EC" w:rsidRPr="005F10B9" w:rsidRDefault="007968EC" w:rsidP="00DA7472">
      <w:pPr>
        <w:numPr>
          <w:ilvl w:val="0"/>
          <w:numId w:val="335"/>
        </w:numPr>
        <w:ind w:left="709" w:hanging="349"/>
        <w:jc w:val="both"/>
        <w:rPr>
          <w:rFonts w:ascii="Arial Narrow" w:eastAsia="Calibri" w:hAnsi="Arial Narrow"/>
          <w:bCs/>
          <w:color w:val="000000" w:themeColor="text1"/>
          <w:lang w:eastAsia="es-CO"/>
        </w:rPr>
      </w:pPr>
      <w:r w:rsidRPr="005F10B9">
        <w:rPr>
          <w:rFonts w:ascii="Arial Narrow" w:eastAsia="Calibri" w:hAnsi="Arial Narrow"/>
          <w:bCs/>
          <w:color w:val="000000" w:themeColor="text1"/>
          <w:lang w:eastAsia="es-CO"/>
        </w:rPr>
        <w:t>La asignación de Unidades de Subasta de cada Miembro Liquidador cumplido se realizará para cada Portafolio a Subastar en relación con el riesgo del Miembro Liquidador en cada Sub-Portafolio Semejante al Portafolio a Subastar y el riesgo total de todos los Miembros Liquidadores cumplidos en cada Sub-Portafolio Semejante. Para obtener las Unidades de Subasta se multiplicará el resultado obtenido por riesgo por un coeficiente como mínimo de 1 o 2 y como máximo de 3, con el objeto de lograr subastas más competitivas.</w:t>
      </w:r>
    </w:p>
    <w:p w14:paraId="3DFBE609" w14:textId="77777777" w:rsidR="007968EC" w:rsidRPr="005F10B9" w:rsidRDefault="007968EC" w:rsidP="007968EC">
      <w:pPr>
        <w:jc w:val="both"/>
        <w:rPr>
          <w:rFonts w:ascii="Arial Narrow" w:eastAsia="Calibri" w:hAnsi="Arial Narrow"/>
          <w:bCs/>
          <w:color w:val="000000" w:themeColor="text1"/>
        </w:rPr>
      </w:pPr>
    </w:p>
    <w:p w14:paraId="03B4B56C" w14:textId="77777777" w:rsidR="007968EC" w:rsidRPr="005F10B9" w:rsidRDefault="007968EC" w:rsidP="007968EC">
      <w:pPr>
        <w:jc w:val="both"/>
        <w:rPr>
          <w:rFonts w:ascii="Arial Narrow" w:eastAsia="Calibri" w:hAnsi="Arial Narrow"/>
          <w:bCs/>
          <w:color w:val="000000" w:themeColor="text1"/>
        </w:rPr>
      </w:pPr>
      <w:r w:rsidRPr="005F10B9">
        <w:rPr>
          <w:rFonts w:ascii="Arial Narrow" w:eastAsia="Calibri" w:hAnsi="Arial Narrow"/>
          <w:bCs/>
          <w:color w:val="000000" w:themeColor="text1"/>
        </w:rPr>
        <w:t xml:space="preserve">Las Unidades de Subasta asignadas a cada Miembro Liquidador en cada Portafolio a Subastar establecen el mínimo de US por las que el Miembro Liquidador tendrá que pujar en cada Portafolio a Subastar. En todo caso, los Miembros Liquidadores podrán pujar por más Unidades de Subasta de las que tienen asignadas. </w:t>
      </w:r>
      <w:proofErr w:type="gramStart"/>
      <w:r w:rsidRPr="005F10B9">
        <w:rPr>
          <w:rFonts w:ascii="Arial Narrow" w:eastAsia="Calibri" w:hAnsi="Arial Narrow"/>
          <w:bCs/>
          <w:color w:val="000000" w:themeColor="text1"/>
        </w:rPr>
        <w:t>Los diferentes Portafolios a Subastar</w:t>
      </w:r>
      <w:proofErr w:type="gramEnd"/>
      <w:r w:rsidRPr="005F10B9">
        <w:rPr>
          <w:rFonts w:ascii="Arial Narrow" w:eastAsia="Calibri" w:hAnsi="Arial Narrow"/>
          <w:bCs/>
          <w:color w:val="000000" w:themeColor="text1"/>
        </w:rPr>
        <w:t xml:space="preserve"> se pueden subastar en diferentes horas o días, o todos ellos simultáneamente.</w:t>
      </w:r>
    </w:p>
    <w:p w14:paraId="46A0B505" w14:textId="77777777" w:rsidR="007968EC" w:rsidRPr="005F10B9" w:rsidRDefault="007968EC" w:rsidP="007968EC">
      <w:pPr>
        <w:jc w:val="both"/>
        <w:rPr>
          <w:rFonts w:ascii="Arial Narrow" w:eastAsia="Calibri" w:hAnsi="Arial Narrow"/>
          <w:bCs/>
          <w:color w:val="000000" w:themeColor="text1"/>
        </w:rPr>
      </w:pPr>
    </w:p>
    <w:p w14:paraId="1E4D50EB" w14:textId="77777777" w:rsidR="007968EC" w:rsidRPr="005F10B9" w:rsidRDefault="007968EC" w:rsidP="007968EC">
      <w:pPr>
        <w:jc w:val="both"/>
        <w:rPr>
          <w:rFonts w:ascii="Arial Narrow" w:eastAsia="Calibri" w:hAnsi="Arial Narrow"/>
          <w:bCs/>
          <w:color w:val="000000" w:themeColor="text1"/>
        </w:rPr>
      </w:pPr>
      <w:r w:rsidRPr="005F10B9">
        <w:rPr>
          <w:rFonts w:ascii="Arial Narrow" w:eastAsia="Calibri" w:hAnsi="Arial Narrow"/>
          <w:bCs/>
          <w:color w:val="000000" w:themeColor="text1"/>
        </w:rPr>
        <w:t>La Cámara informará mediante Instructivo Operativo las condiciones específicas de la subasta a todos los Miembros Liquidadores cumplidos:</w:t>
      </w:r>
    </w:p>
    <w:p w14:paraId="17260185" w14:textId="77777777" w:rsidR="007968EC" w:rsidRPr="005F10B9" w:rsidRDefault="007968EC" w:rsidP="007968EC">
      <w:pPr>
        <w:jc w:val="both"/>
        <w:rPr>
          <w:rFonts w:ascii="Arial Narrow" w:eastAsia="Calibri" w:hAnsi="Arial Narrow"/>
          <w:bCs/>
          <w:color w:val="000000" w:themeColor="text1"/>
        </w:rPr>
      </w:pPr>
    </w:p>
    <w:p w14:paraId="2814FCFF" w14:textId="77777777" w:rsidR="007968EC" w:rsidRPr="005F10B9" w:rsidRDefault="007968EC" w:rsidP="00DA7472">
      <w:pPr>
        <w:numPr>
          <w:ilvl w:val="0"/>
          <w:numId w:val="336"/>
        </w:numPr>
        <w:jc w:val="both"/>
        <w:rPr>
          <w:rFonts w:ascii="Arial Narrow" w:eastAsia="Calibri" w:hAnsi="Arial Narrow"/>
          <w:bCs/>
          <w:color w:val="000000" w:themeColor="text1"/>
          <w:lang w:eastAsia="es-CO"/>
        </w:rPr>
      </w:pPr>
      <w:r w:rsidRPr="005F10B9">
        <w:rPr>
          <w:rFonts w:ascii="Arial Narrow" w:eastAsia="Calibri" w:hAnsi="Arial Narrow"/>
          <w:bCs/>
          <w:color w:val="000000" w:themeColor="text1"/>
          <w:lang w:eastAsia="es-CO"/>
        </w:rPr>
        <w:t>Todos los detalles de los Portafolios a Subastar.</w:t>
      </w:r>
    </w:p>
    <w:p w14:paraId="483A8686" w14:textId="77777777" w:rsidR="007968EC" w:rsidRPr="005F10B9" w:rsidRDefault="007968EC" w:rsidP="007968EC">
      <w:pPr>
        <w:ind w:left="720"/>
        <w:jc w:val="both"/>
        <w:rPr>
          <w:rFonts w:ascii="Arial Narrow" w:eastAsia="Calibri" w:hAnsi="Arial Narrow"/>
          <w:bCs/>
          <w:color w:val="000000" w:themeColor="text1"/>
          <w:lang w:eastAsia="es-CO"/>
        </w:rPr>
      </w:pPr>
    </w:p>
    <w:p w14:paraId="08478BE3" w14:textId="77777777" w:rsidR="007968EC" w:rsidRPr="005F10B9" w:rsidRDefault="007968EC" w:rsidP="00DA7472">
      <w:pPr>
        <w:numPr>
          <w:ilvl w:val="0"/>
          <w:numId w:val="336"/>
        </w:numPr>
        <w:jc w:val="both"/>
        <w:rPr>
          <w:rFonts w:ascii="Arial Narrow" w:eastAsia="Calibri" w:hAnsi="Arial Narrow"/>
          <w:bCs/>
          <w:color w:val="000000" w:themeColor="text1"/>
          <w:lang w:eastAsia="es-CO"/>
        </w:rPr>
      </w:pPr>
      <w:r w:rsidRPr="005F10B9">
        <w:rPr>
          <w:rFonts w:ascii="Arial Narrow" w:eastAsia="Calibri" w:hAnsi="Arial Narrow"/>
          <w:bCs/>
          <w:color w:val="000000" w:themeColor="text1"/>
          <w:lang w:eastAsia="es-CO"/>
        </w:rPr>
        <w:t>Si la subasta se realiza con el modelo de un único ganador o de varios ganadores.</w:t>
      </w:r>
    </w:p>
    <w:p w14:paraId="3BCE48B3" w14:textId="77777777" w:rsidR="007968EC" w:rsidRPr="005F10B9" w:rsidRDefault="007968EC" w:rsidP="007968EC">
      <w:pPr>
        <w:jc w:val="both"/>
        <w:rPr>
          <w:rFonts w:ascii="Arial Narrow" w:eastAsia="Calibri" w:hAnsi="Arial Narrow"/>
          <w:bCs/>
          <w:color w:val="000000" w:themeColor="text1"/>
        </w:rPr>
      </w:pPr>
    </w:p>
    <w:p w14:paraId="73C7CE92" w14:textId="77777777" w:rsidR="007968EC" w:rsidRPr="005F10B9" w:rsidRDefault="007968EC" w:rsidP="00DA7472">
      <w:pPr>
        <w:numPr>
          <w:ilvl w:val="0"/>
          <w:numId w:val="336"/>
        </w:numPr>
        <w:jc w:val="both"/>
        <w:rPr>
          <w:rFonts w:ascii="Arial Narrow" w:eastAsia="Calibri" w:hAnsi="Arial Narrow"/>
          <w:bCs/>
          <w:color w:val="000000" w:themeColor="text1"/>
          <w:lang w:eastAsia="es-CO"/>
        </w:rPr>
      </w:pPr>
      <w:r w:rsidRPr="005F10B9">
        <w:rPr>
          <w:rFonts w:ascii="Arial Narrow" w:eastAsia="Calibri" w:hAnsi="Arial Narrow"/>
          <w:bCs/>
          <w:color w:val="000000" w:themeColor="text1"/>
          <w:lang w:eastAsia="es-CO"/>
        </w:rPr>
        <w:t>En su caso, el total de Unidades de Subasta para cada Portafolio a Subastar, y a cada uno de los Miembros Liquidadores cumplidos, las Unidades de Subasta que corresponden a cada Miembro Liquidador cumplido para cada Portafolio a Subastar.</w:t>
      </w:r>
    </w:p>
    <w:p w14:paraId="534CA52F" w14:textId="77777777" w:rsidR="007968EC" w:rsidRPr="005F10B9" w:rsidRDefault="007968EC" w:rsidP="007968EC">
      <w:pPr>
        <w:jc w:val="both"/>
        <w:rPr>
          <w:rFonts w:ascii="Arial Narrow" w:eastAsia="Calibri" w:hAnsi="Arial Narrow"/>
          <w:bCs/>
          <w:color w:val="000000" w:themeColor="text1"/>
        </w:rPr>
      </w:pPr>
    </w:p>
    <w:p w14:paraId="3E69D683" w14:textId="77777777" w:rsidR="007968EC" w:rsidRPr="005F10B9" w:rsidRDefault="007968EC" w:rsidP="00DA7472">
      <w:pPr>
        <w:numPr>
          <w:ilvl w:val="0"/>
          <w:numId w:val="336"/>
        </w:numPr>
        <w:jc w:val="both"/>
        <w:rPr>
          <w:rFonts w:ascii="Arial Narrow" w:eastAsia="Calibri" w:hAnsi="Arial Narrow"/>
          <w:bCs/>
          <w:color w:val="000000" w:themeColor="text1"/>
          <w:lang w:eastAsia="es-CO"/>
        </w:rPr>
      </w:pPr>
      <w:r w:rsidRPr="005F10B9">
        <w:rPr>
          <w:rFonts w:ascii="Arial Narrow" w:eastAsia="Calibri" w:hAnsi="Arial Narrow"/>
          <w:bCs/>
          <w:color w:val="000000" w:themeColor="text1"/>
          <w:lang w:eastAsia="es-CO"/>
        </w:rPr>
        <w:t>En caso de ser procedente, la indicación del conjunto de Portafolios a Subastar Semejantes.</w:t>
      </w:r>
    </w:p>
    <w:p w14:paraId="7D5742A4" w14:textId="77777777" w:rsidR="007968EC" w:rsidRPr="005F10B9" w:rsidRDefault="007968EC" w:rsidP="007968EC">
      <w:pPr>
        <w:jc w:val="both"/>
        <w:rPr>
          <w:rFonts w:ascii="Arial Narrow" w:eastAsia="Calibri" w:hAnsi="Arial Narrow"/>
          <w:bCs/>
          <w:color w:val="000000" w:themeColor="text1"/>
        </w:rPr>
      </w:pPr>
    </w:p>
    <w:p w14:paraId="17A492BA" w14:textId="77777777" w:rsidR="007968EC" w:rsidRPr="005F10B9" w:rsidRDefault="007968EC" w:rsidP="00DA7472">
      <w:pPr>
        <w:numPr>
          <w:ilvl w:val="0"/>
          <w:numId w:val="336"/>
        </w:numPr>
        <w:jc w:val="both"/>
        <w:rPr>
          <w:rFonts w:ascii="Arial Narrow" w:eastAsia="Calibri" w:hAnsi="Arial Narrow"/>
          <w:bCs/>
          <w:color w:val="000000" w:themeColor="text1"/>
          <w:lang w:eastAsia="es-CO"/>
        </w:rPr>
      </w:pPr>
      <w:r w:rsidRPr="005F10B9">
        <w:rPr>
          <w:rFonts w:ascii="Arial Narrow" w:eastAsia="Calibri" w:hAnsi="Arial Narrow"/>
          <w:bCs/>
          <w:color w:val="000000" w:themeColor="text1"/>
          <w:lang w:eastAsia="es-CO"/>
        </w:rPr>
        <w:t>El formato de la subasta.</w:t>
      </w:r>
    </w:p>
    <w:p w14:paraId="1F9DBADF" w14:textId="77777777" w:rsidR="007968EC" w:rsidRPr="005F10B9" w:rsidRDefault="007968EC" w:rsidP="007968EC">
      <w:pPr>
        <w:ind w:left="720"/>
        <w:jc w:val="both"/>
        <w:rPr>
          <w:rFonts w:ascii="Arial Narrow" w:eastAsia="Calibri" w:hAnsi="Arial Narrow"/>
          <w:bCs/>
          <w:color w:val="000000" w:themeColor="text1"/>
          <w:lang w:eastAsia="es-CO"/>
        </w:rPr>
      </w:pPr>
    </w:p>
    <w:p w14:paraId="0116B390" w14:textId="77777777" w:rsidR="007968EC" w:rsidRPr="005F10B9" w:rsidRDefault="007968EC" w:rsidP="00DA7472">
      <w:pPr>
        <w:numPr>
          <w:ilvl w:val="0"/>
          <w:numId w:val="336"/>
        </w:numPr>
        <w:jc w:val="both"/>
        <w:rPr>
          <w:rFonts w:ascii="Arial Narrow" w:eastAsia="Calibri" w:hAnsi="Arial Narrow"/>
          <w:bCs/>
          <w:color w:val="000000" w:themeColor="text1"/>
          <w:lang w:eastAsia="es-CO"/>
        </w:rPr>
      </w:pPr>
      <w:r w:rsidRPr="005F10B9">
        <w:rPr>
          <w:rFonts w:ascii="Arial Narrow" w:eastAsia="Calibri" w:hAnsi="Arial Narrow"/>
          <w:bCs/>
          <w:color w:val="000000" w:themeColor="text1"/>
          <w:lang w:eastAsia="es-CO"/>
        </w:rPr>
        <w:t>La fecha, hora de inicio y de finalización de la subasta previsto para cada Portafolio a Subastar.</w:t>
      </w:r>
    </w:p>
    <w:p w14:paraId="5EF357C7" w14:textId="77777777" w:rsidR="007968EC" w:rsidRPr="005F10B9" w:rsidRDefault="007968EC" w:rsidP="007968EC">
      <w:pPr>
        <w:ind w:left="720"/>
        <w:jc w:val="both"/>
        <w:rPr>
          <w:rFonts w:ascii="Arial Narrow" w:eastAsia="Calibri" w:hAnsi="Arial Narrow"/>
          <w:bCs/>
          <w:color w:val="000000" w:themeColor="text1"/>
          <w:lang w:eastAsia="es-CO"/>
        </w:rPr>
      </w:pPr>
    </w:p>
    <w:p w14:paraId="387B5D8A" w14:textId="77777777" w:rsidR="007968EC" w:rsidRPr="005F10B9" w:rsidRDefault="007968EC" w:rsidP="00DA7472">
      <w:pPr>
        <w:numPr>
          <w:ilvl w:val="0"/>
          <w:numId w:val="336"/>
        </w:numPr>
        <w:jc w:val="both"/>
        <w:rPr>
          <w:rFonts w:ascii="Arial Narrow" w:eastAsia="Calibri" w:hAnsi="Arial Narrow"/>
          <w:bCs/>
          <w:color w:val="000000" w:themeColor="text1"/>
          <w:lang w:eastAsia="es-CO"/>
        </w:rPr>
      </w:pPr>
      <w:r w:rsidRPr="005F10B9">
        <w:rPr>
          <w:rFonts w:ascii="Arial Narrow" w:eastAsia="Calibri" w:hAnsi="Arial Narrow"/>
          <w:bCs/>
          <w:color w:val="000000" w:themeColor="text1"/>
          <w:lang w:eastAsia="es-CO"/>
        </w:rPr>
        <w:t>La fecha de Liquidación del resultado de la subasta.</w:t>
      </w:r>
    </w:p>
    <w:p w14:paraId="6FC039D1" w14:textId="77777777" w:rsidR="007968EC" w:rsidRPr="005F10B9" w:rsidRDefault="007968EC" w:rsidP="007968EC">
      <w:pPr>
        <w:ind w:left="720"/>
        <w:jc w:val="both"/>
        <w:rPr>
          <w:rFonts w:ascii="Arial Narrow" w:eastAsia="Calibri" w:hAnsi="Arial Narrow"/>
          <w:bCs/>
          <w:color w:val="000000" w:themeColor="text1"/>
          <w:lang w:eastAsia="es-CO"/>
        </w:rPr>
      </w:pPr>
    </w:p>
    <w:p w14:paraId="3C76FA17" w14:textId="77777777" w:rsidR="007968EC" w:rsidRPr="005F10B9" w:rsidRDefault="007968EC" w:rsidP="00DA7472">
      <w:pPr>
        <w:numPr>
          <w:ilvl w:val="0"/>
          <w:numId w:val="336"/>
        </w:numPr>
        <w:jc w:val="both"/>
        <w:rPr>
          <w:rFonts w:ascii="Arial Narrow" w:eastAsia="Calibri" w:hAnsi="Arial Narrow"/>
          <w:bCs/>
          <w:color w:val="000000" w:themeColor="text1"/>
        </w:rPr>
      </w:pPr>
      <w:r w:rsidRPr="005F10B9">
        <w:rPr>
          <w:rFonts w:ascii="Arial Narrow" w:eastAsia="Calibri" w:hAnsi="Arial Narrow"/>
          <w:bCs/>
          <w:color w:val="000000" w:themeColor="text1"/>
          <w:lang w:eastAsia="es-CO"/>
        </w:rPr>
        <w:t>En general, todos los términos de la subasta.</w:t>
      </w:r>
    </w:p>
    <w:p w14:paraId="3B65253D" w14:textId="77777777" w:rsidR="007968EC" w:rsidRPr="005F10B9" w:rsidRDefault="007968EC" w:rsidP="007968EC">
      <w:pPr>
        <w:jc w:val="both"/>
        <w:rPr>
          <w:rFonts w:ascii="Arial Narrow" w:eastAsia="Calibri" w:hAnsi="Arial Narrow"/>
          <w:bCs/>
          <w:color w:val="000000" w:themeColor="text1"/>
        </w:rPr>
      </w:pPr>
    </w:p>
    <w:p w14:paraId="325269AE" w14:textId="77777777" w:rsidR="007968EC" w:rsidRPr="005F10B9" w:rsidRDefault="007968EC" w:rsidP="00DA7472">
      <w:pPr>
        <w:numPr>
          <w:ilvl w:val="0"/>
          <w:numId w:val="362"/>
        </w:numPr>
        <w:autoSpaceDE w:val="0"/>
        <w:autoSpaceDN w:val="0"/>
        <w:adjustRightInd w:val="0"/>
        <w:contextualSpacing/>
        <w:jc w:val="both"/>
        <w:rPr>
          <w:rFonts w:ascii="Arial Narrow" w:hAnsi="Arial Narrow" w:cs="Arial Narrow"/>
          <w:color w:val="000000" w:themeColor="text1"/>
          <w:lang w:eastAsia="es-ES"/>
        </w:rPr>
      </w:pPr>
      <w:r w:rsidRPr="005F10B9">
        <w:rPr>
          <w:rFonts w:ascii="Arial Narrow" w:hAnsi="Arial Narrow" w:cs="Arial Narrow"/>
          <w:color w:val="000000" w:themeColor="text1"/>
          <w:lang w:eastAsia="es-ES"/>
        </w:rPr>
        <w:t>Cantidad de Recursos Disponibles Asignada a cada Portafolio a Subastar (CAPS):</w:t>
      </w:r>
    </w:p>
    <w:p w14:paraId="1EAD0DDB" w14:textId="77777777" w:rsidR="007968EC" w:rsidRPr="005F10B9" w:rsidRDefault="007968EC" w:rsidP="007968EC">
      <w:pPr>
        <w:jc w:val="both"/>
        <w:rPr>
          <w:rFonts w:ascii="Arial Narrow" w:eastAsia="Calibri" w:hAnsi="Arial Narrow"/>
          <w:b/>
          <w:color w:val="000000" w:themeColor="text1"/>
          <w:u w:val="single"/>
        </w:rPr>
      </w:pPr>
    </w:p>
    <w:p w14:paraId="6FF955A2" w14:textId="77777777" w:rsidR="007968EC" w:rsidRPr="005F10B9" w:rsidRDefault="007968EC" w:rsidP="007968EC">
      <w:pPr>
        <w:jc w:val="both"/>
        <w:rPr>
          <w:rFonts w:ascii="Arial Narrow" w:eastAsia="Calibri" w:hAnsi="Arial Narrow"/>
          <w:bCs/>
          <w:color w:val="000000" w:themeColor="text1"/>
        </w:rPr>
      </w:pPr>
      <w:r w:rsidRPr="005F10B9">
        <w:rPr>
          <w:rFonts w:ascii="Arial Narrow" w:eastAsia="Calibri" w:hAnsi="Arial Narrow"/>
          <w:bCs/>
          <w:color w:val="000000" w:themeColor="text1"/>
        </w:rPr>
        <w:t xml:space="preserve">En el caso de que haya más de un PAS, antes del inicio de cada subasta, la Cámara calculará la Cantidad Asignada a Cada Portafolio a Subastar (CAPS). La finalidad de las CAPS es informar del reparto inicial de los recursos potencialmente disponibles en el caso de producirse pérdidas en la subasta de cada PAS. No obstante, este reparto inicial, los recursos definitivos se repartirán de acuerdo con las reglas definidas en el numeral 5. del presente artículo referente al reparto de las pérdidas con recursos en posesión de la Cámara. </w:t>
      </w:r>
    </w:p>
    <w:p w14:paraId="4B572834" w14:textId="77777777" w:rsidR="007968EC" w:rsidRPr="005F10B9" w:rsidRDefault="007968EC" w:rsidP="007968EC">
      <w:pPr>
        <w:jc w:val="both"/>
        <w:rPr>
          <w:rFonts w:ascii="Arial Narrow" w:eastAsia="Calibri" w:hAnsi="Arial Narrow"/>
          <w:bCs/>
          <w:color w:val="000000" w:themeColor="text1"/>
        </w:rPr>
      </w:pPr>
    </w:p>
    <w:p w14:paraId="69AE3292" w14:textId="77777777" w:rsidR="007968EC" w:rsidRPr="005F10B9" w:rsidRDefault="007968EC" w:rsidP="007968EC">
      <w:pPr>
        <w:jc w:val="both"/>
        <w:rPr>
          <w:rFonts w:ascii="Arial Narrow" w:eastAsia="Calibri" w:hAnsi="Arial Narrow"/>
          <w:bCs/>
          <w:color w:val="000000" w:themeColor="text1"/>
        </w:rPr>
      </w:pPr>
      <w:r w:rsidRPr="005F10B9">
        <w:rPr>
          <w:rFonts w:ascii="Arial Narrow" w:eastAsia="Calibri" w:hAnsi="Arial Narrow"/>
          <w:bCs/>
          <w:color w:val="000000" w:themeColor="text1"/>
        </w:rPr>
        <w:t>Para cada PAS existirá una CAP, en tres niveles, que se repartirá de la siguiente manera.</w:t>
      </w:r>
    </w:p>
    <w:p w14:paraId="5AD70984" w14:textId="77777777" w:rsidR="007968EC" w:rsidRPr="005F10B9" w:rsidRDefault="007968EC" w:rsidP="007968EC">
      <w:pPr>
        <w:jc w:val="both"/>
        <w:rPr>
          <w:rFonts w:ascii="Arial Narrow" w:eastAsia="Calibri" w:hAnsi="Arial Narrow"/>
          <w:bCs/>
          <w:color w:val="000000" w:themeColor="text1"/>
        </w:rPr>
      </w:pPr>
    </w:p>
    <w:p w14:paraId="0694FE2C" w14:textId="77777777" w:rsidR="007968EC" w:rsidRPr="005F10B9" w:rsidRDefault="007968EC" w:rsidP="007968EC">
      <w:pPr>
        <w:ind w:left="705"/>
        <w:jc w:val="both"/>
        <w:rPr>
          <w:rFonts w:ascii="Arial Narrow" w:eastAsia="Calibri" w:hAnsi="Arial Narrow"/>
          <w:bCs/>
          <w:color w:val="000000" w:themeColor="text1"/>
        </w:rPr>
      </w:pPr>
      <w:r w:rsidRPr="005F10B9">
        <w:rPr>
          <w:rFonts w:ascii="Arial Narrow" w:eastAsia="Calibri" w:hAnsi="Arial Narrow"/>
          <w:bCs/>
          <w:color w:val="000000" w:themeColor="text1"/>
          <w:u w:val="single"/>
        </w:rPr>
        <w:t>Nivel 1.</w:t>
      </w:r>
      <w:r w:rsidRPr="005F10B9">
        <w:rPr>
          <w:rFonts w:ascii="Arial Narrow" w:eastAsia="Calibri" w:hAnsi="Arial Narrow"/>
          <w:bCs/>
          <w:color w:val="000000" w:themeColor="text1"/>
        </w:rPr>
        <w:t xml:space="preserve"> Las Garantías aportadas por el Miembro incumplido en la forma de Garantías por Posición, Garantía Individual, Garantía Extraordinaria, si existiera, aportación al Fondo de la Garantía Colectiva del Segmento Swaps y cualquier otra Garantía aportada por el Miembro Liquidador Incumplido que se asigne al Segmento Swaps, de acuerdo con la normativa de la Cámara, así como los aportes del Miembro Liquidador Incumplido en los Fondos de Garantía Colectiva no utilizados de todos los demás Segmentos, así como cualquier otra Garantía, del tipo que fuere, que el Miembro incumplido tuviere constituida a favor de la Cámara. El total aportado por el Miembro Liquidador incumplido se repartirá en cada Portafolio a Subastar en función del riesgo que cada PAS tenga en relación con el riesgo total de todos los Portafolios a Subastar, de acuerdo con la siguiente fórmula:</w:t>
      </w:r>
    </w:p>
    <w:p w14:paraId="1CE7A312" w14:textId="77777777" w:rsidR="007968EC" w:rsidRPr="005F10B9" w:rsidRDefault="007968EC" w:rsidP="007968EC">
      <w:pPr>
        <w:ind w:left="705"/>
        <w:jc w:val="both"/>
        <w:rPr>
          <w:rFonts w:ascii="Arial Narrow" w:eastAsia="Calibri" w:hAnsi="Arial Narrow"/>
          <w:bCs/>
          <w:color w:val="000000" w:themeColor="text1"/>
        </w:rPr>
      </w:pPr>
    </w:p>
    <w:p w14:paraId="7D67AF25" w14:textId="77777777" w:rsidR="007968EC" w:rsidRPr="005F10B9" w:rsidRDefault="007968EC" w:rsidP="007968EC">
      <w:pPr>
        <w:jc w:val="center"/>
        <w:rPr>
          <w:rFonts w:ascii="Arial Narrow" w:eastAsia="Calibri" w:hAnsi="Arial Narrow"/>
          <w:bCs/>
          <w:color w:val="000000" w:themeColor="text1"/>
        </w:rPr>
      </w:pPr>
      <m:oMathPara>
        <m:oMath>
          <m:r>
            <m:rPr>
              <m:sty m:val="bi"/>
            </m:rPr>
            <w:rPr>
              <w:rFonts w:ascii="Cambria Math" w:eastAsia="Calibri" w:hAnsi="Cambria Math"/>
              <w:color w:val="000000" w:themeColor="text1"/>
            </w:rPr>
            <m:t>Porcentaje Reparto=</m:t>
          </m:r>
          <m:f>
            <m:fPr>
              <m:ctrlPr>
                <w:rPr>
                  <w:rFonts w:ascii="Cambria Math" w:eastAsia="Calibri" w:hAnsi="Cambria Math"/>
                  <w:bCs/>
                  <w:i/>
                  <w:color w:val="000000" w:themeColor="text1"/>
                </w:rPr>
              </m:ctrlPr>
            </m:fPr>
            <m:num>
              <m:r>
                <m:rPr>
                  <m:sty m:val="bi"/>
                </m:rPr>
                <w:rPr>
                  <w:rFonts w:ascii="Cambria Math" w:eastAsia="Calibri" w:hAnsi="Cambria Math"/>
                  <w:color w:val="000000" w:themeColor="text1"/>
                </w:rPr>
                <m:t>Riesgo</m:t>
              </m:r>
              <m:r>
                <m:rPr>
                  <m:sty m:val="b"/>
                </m:rPr>
                <w:rPr>
                  <w:rFonts w:ascii="Cambria Math" w:eastAsia="Calibri" w:hAnsi="Cambria Math"/>
                  <w:color w:val="000000" w:themeColor="text1"/>
                </w:rPr>
                <m:t xml:space="preserve"> Portafolios a Subastar</m:t>
              </m:r>
              <m:sSub>
                <m:sSubPr>
                  <m:ctrlPr>
                    <w:rPr>
                      <w:rFonts w:ascii="Cambria Math" w:eastAsia="Calibri" w:hAnsi="Cambria Math"/>
                      <w:bCs/>
                      <w:color w:val="000000" w:themeColor="text1"/>
                    </w:rPr>
                  </m:ctrlPr>
                </m:sSubPr>
                <m:e>
                  <m:r>
                    <m:rPr>
                      <m:sty m:val="b"/>
                    </m:rPr>
                    <w:rPr>
                      <w:rFonts w:ascii="Cambria Math" w:eastAsia="Calibri" w:hAnsi="Cambria Math"/>
                      <w:color w:val="000000" w:themeColor="text1"/>
                    </w:rPr>
                    <m:t>(PAS)</m:t>
                  </m:r>
                </m:e>
                <m:sub>
                  <m:r>
                    <m:rPr>
                      <m:sty m:val="bi"/>
                    </m:rPr>
                    <w:rPr>
                      <w:rFonts w:ascii="Cambria Math" w:eastAsia="Calibri" w:hAnsi="Cambria Math"/>
                      <w:color w:val="000000" w:themeColor="text1"/>
                    </w:rPr>
                    <m:t>i</m:t>
                  </m:r>
                </m:sub>
              </m:sSub>
              <m:r>
                <m:rPr>
                  <m:sty m:val="b"/>
                </m:rPr>
                <w:rPr>
                  <w:rFonts w:ascii="Cambria Math" w:eastAsia="Calibri" w:hAnsi="Cambria Math"/>
                  <w:color w:val="000000" w:themeColor="text1"/>
                </w:rPr>
                <m:t xml:space="preserve"> </m:t>
              </m:r>
            </m:num>
            <m:den>
              <m:r>
                <m:rPr>
                  <m:sty m:val="bi"/>
                </m:rPr>
                <w:rPr>
                  <w:rFonts w:ascii="Cambria Math" w:eastAsia="Calibri" w:hAnsi="Cambria Math"/>
                  <w:color w:val="000000" w:themeColor="text1"/>
                </w:rPr>
                <m:t xml:space="preserve">Total Riesgo </m:t>
              </m:r>
              <m:r>
                <m:rPr>
                  <m:sty m:val="b"/>
                </m:rPr>
                <w:rPr>
                  <w:rFonts w:ascii="Cambria Math" w:eastAsia="Calibri" w:hAnsi="Cambria Math"/>
                  <w:color w:val="000000" w:themeColor="text1"/>
                </w:rPr>
                <m:t>Portafolios a Subastar (PAS)</m:t>
              </m:r>
            </m:den>
          </m:f>
        </m:oMath>
      </m:oMathPara>
    </w:p>
    <w:p w14:paraId="0DB714D5" w14:textId="77777777" w:rsidR="007968EC" w:rsidRPr="005F10B9" w:rsidRDefault="007968EC" w:rsidP="007968EC">
      <w:pPr>
        <w:jc w:val="both"/>
        <w:rPr>
          <w:rFonts w:ascii="Arial Narrow" w:eastAsia="Calibri" w:hAnsi="Arial Narrow"/>
          <w:bCs/>
          <w:color w:val="000000" w:themeColor="text1"/>
        </w:rPr>
      </w:pPr>
    </w:p>
    <w:p w14:paraId="43A6E28E" w14:textId="77777777" w:rsidR="007968EC" w:rsidRPr="005F10B9" w:rsidRDefault="007968EC" w:rsidP="007968EC">
      <w:pPr>
        <w:ind w:left="705"/>
        <w:jc w:val="both"/>
        <w:rPr>
          <w:rFonts w:ascii="Arial Narrow" w:eastAsia="Calibri" w:hAnsi="Arial Narrow"/>
          <w:bCs/>
          <w:color w:val="000000" w:themeColor="text1"/>
        </w:rPr>
      </w:pPr>
      <w:r w:rsidRPr="005F10B9">
        <w:rPr>
          <w:rFonts w:ascii="Arial Narrow" w:eastAsia="Calibri" w:hAnsi="Arial Narrow"/>
          <w:bCs/>
          <w:color w:val="000000" w:themeColor="text1"/>
          <w:u w:val="single"/>
        </w:rPr>
        <w:t>Nivel 2.</w:t>
      </w:r>
      <w:r w:rsidRPr="005F10B9">
        <w:rPr>
          <w:rFonts w:ascii="Arial Narrow" w:eastAsia="Calibri" w:hAnsi="Arial Narrow"/>
          <w:bCs/>
          <w:color w:val="000000" w:themeColor="text1"/>
        </w:rPr>
        <w:t xml:space="preserve"> Los Recursos Propios Específicos de la Cámara en el Segmento Swaps. Esta cantidad se repartirá en cada Portafolio a Subastar en función del riesgo que cada PAS tenga en relación con el riesgo total de todos los Portafolios a Subastar, de acuerdo con la siguiente fórmula:</w:t>
      </w:r>
    </w:p>
    <w:p w14:paraId="744E3DBF" w14:textId="77777777" w:rsidR="007968EC" w:rsidRPr="005F10B9" w:rsidRDefault="007968EC" w:rsidP="007968EC">
      <w:pPr>
        <w:ind w:left="705"/>
        <w:jc w:val="both"/>
        <w:rPr>
          <w:rFonts w:ascii="Arial Narrow" w:eastAsia="Calibri" w:hAnsi="Arial Narrow"/>
          <w:bCs/>
          <w:color w:val="000000" w:themeColor="text1"/>
        </w:rPr>
      </w:pPr>
    </w:p>
    <w:p w14:paraId="78A3B242" w14:textId="77777777" w:rsidR="007968EC" w:rsidRPr="005F10B9" w:rsidRDefault="007968EC" w:rsidP="007968EC">
      <w:pPr>
        <w:jc w:val="center"/>
        <w:rPr>
          <w:rFonts w:ascii="Arial Narrow" w:eastAsia="Calibri" w:hAnsi="Arial Narrow"/>
          <w:bCs/>
          <w:color w:val="000000" w:themeColor="text1"/>
        </w:rPr>
      </w:pPr>
      <w:bookmarkStart w:id="6480" w:name="_Hlk501706752"/>
      <m:oMathPara>
        <m:oMath>
          <m:r>
            <m:rPr>
              <m:sty m:val="bi"/>
            </m:rPr>
            <w:rPr>
              <w:rFonts w:ascii="Cambria Math" w:eastAsia="Calibri" w:hAnsi="Cambria Math"/>
              <w:color w:val="000000" w:themeColor="text1"/>
            </w:rPr>
            <m:t>Porcentaje Reparto=</m:t>
          </m:r>
          <m:f>
            <m:fPr>
              <m:ctrlPr>
                <w:rPr>
                  <w:rFonts w:ascii="Cambria Math" w:eastAsia="Calibri" w:hAnsi="Cambria Math"/>
                  <w:bCs/>
                  <w:i/>
                  <w:color w:val="000000" w:themeColor="text1"/>
                </w:rPr>
              </m:ctrlPr>
            </m:fPr>
            <m:num>
              <m:r>
                <m:rPr>
                  <m:sty m:val="bi"/>
                </m:rPr>
                <w:rPr>
                  <w:rFonts w:ascii="Cambria Math" w:eastAsia="Calibri" w:hAnsi="Cambria Math"/>
                  <w:color w:val="000000" w:themeColor="text1"/>
                </w:rPr>
                <m:t>Riesgo</m:t>
              </m:r>
              <m:r>
                <m:rPr>
                  <m:sty m:val="b"/>
                </m:rPr>
                <w:rPr>
                  <w:rFonts w:ascii="Cambria Math" w:eastAsia="Calibri" w:hAnsi="Cambria Math"/>
                  <w:color w:val="000000" w:themeColor="text1"/>
                </w:rPr>
                <m:t xml:space="preserve"> Portafolios a Subastar</m:t>
              </m:r>
              <m:sSub>
                <m:sSubPr>
                  <m:ctrlPr>
                    <w:rPr>
                      <w:rFonts w:ascii="Cambria Math" w:eastAsia="Calibri" w:hAnsi="Cambria Math"/>
                      <w:bCs/>
                      <w:color w:val="000000" w:themeColor="text1"/>
                    </w:rPr>
                  </m:ctrlPr>
                </m:sSubPr>
                <m:e>
                  <m:r>
                    <m:rPr>
                      <m:sty m:val="b"/>
                    </m:rPr>
                    <w:rPr>
                      <w:rFonts w:ascii="Cambria Math" w:eastAsia="Calibri" w:hAnsi="Cambria Math"/>
                      <w:color w:val="000000" w:themeColor="text1"/>
                    </w:rPr>
                    <m:t>(PAS)</m:t>
                  </m:r>
                </m:e>
                <m:sub>
                  <m:r>
                    <m:rPr>
                      <m:sty m:val="bi"/>
                    </m:rPr>
                    <w:rPr>
                      <w:rFonts w:ascii="Cambria Math" w:eastAsia="Calibri" w:hAnsi="Cambria Math"/>
                      <w:color w:val="000000" w:themeColor="text1"/>
                    </w:rPr>
                    <m:t>i</m:t>
                  </m:r>
                </m:sub>
              </m:sSub>
              <m:r>
                <m:rPr>
                  <m:sty m:val="b"/>
                </m:rPr>
                <w:rPr>
                  <w:rFonts w:ascii="Cambria Math" w:eastAsia="Calibri" w:hAnsi="Cambria Math"/>
                  <w:color w:val="000000" w:themeColor="text1"/>
                </w:rPr>
                <m:t xml:space="preserve"> </m:t>
              </m:r>
            </m:num>
            <m:den>
              <m:r>
                <m:rPr>
                  <m:sty m:val="bi"/>
                </m:rPr>
                <w:rPr>
                  <w:rFonts w:ascii="Cambria Math" w:eastAsia="Calibri" w:hAnsi="Cambria Math"/>
                  <w:color w:val="000000" w:themeColor="text1"/>
                </w:rPr>
                <m:t xml:space="preserve">Total Riesgo </m:t>
              </m:r>
              <m:r>
                <m:rPr>
                  <m:sty m:val="b"/>
                </m:rPr>
                <w:rPr>
                  <w:rFonts w:ascii="Cambria Math" w:eastAsia="Calibri" w:hAnsi="Cambria Math"/>
                  <w:color w:val="000000" w:themeColor="text1"/>
                </w:rPr>
                <m:t>Portafolios a Subastar (PAS)</m:t>
              </m:r>
            </m:den>
          </m:f>
        </m:oMath>
      </m:oMathPara>
      <w:bookmarkEnd w:id="6480"/>
    </w:p>
    <w:p w14:paraId="3AFA8124" w14:textId="77777777" w:rsidR="007968EC" w:rsidRPr="005F10B9" w:rsidRDefault="007968EC" w:rsidP="007968EC">
      <w:pPr>
        <w:jc w:val="both"/>
        <w:rPr>
          <w:rFonts w:ascii="Arial Narrow" w:eastAsia="Calibri" w:hAnsi="Arial Narrow"/>
          <w:bCs/>
          <w:color w:val="000000" w:themeColor="text1"/>
        </w:rPr>
      </w:pPr>
    </w:p>
    <w:p w14:paraId="373922F6" w14:textId="77777777" w:rsidR="007968EC" w:rsidRPr="005F10B9" w:rsidRDefault="007968EC" w:rsidP="007968EC">
      <w:pPr>
        <w:ind w:left="705"/>
        <w:jc w:val="both"/>
        <w:rPr>
          <w:rFonts w:ascii="Arial Narrow" w:eastAsia="Calibri" w:hAnsi="Arial Narrow"/>
          <w:bCs/>
          <w:color w:val="000000" w:themeColor="text1"/>
        </w:rPr>
      </w:pPr>
      <w:r w:rsidRPr="005F10B9">
        <w:rPr>
          <w:rFonts w:ascii="Arial Narrow" w:eastAsia="Calibri" w:hAnsi="Arial Narrow"/>
          <w:bCs/>
          <w:color w:val="000000" w:themeColor="text1"/>
          <w:u w:val="single"/>
        </w:rPr>
        <w:t>Nivel 3.</w:t>
      </w:r>
      <w:r w:rsidRPr="005F10B9">
        <w:rPr>
          <w:rFonts w:ascii="Arial Narrow" w:eastAsia="Calibri" w:hAnsi="Arial Narrow"/>
          <w:bCs/>
          <w:color w:val="000000" w:themeColor="text1"/>
        </w:rPr>
        <w:t xml:space="preserve"> Los aportes al Fondo de Garantía Colectiva de los Miembros Liquidadores cumplidos en el Segmento Swaps. El Fondo de Garantía Colectiva de cada Miembro Liquidador se repartirá para cada Portafolio a Subastar de la siguiente forma:</w:t>
      </w:r>
    </w:p>
    <w:p w14:paraId="25FF0BE3" w14:textId="77777777" w:rsidR="007968EC" w:rsidRPr="005F10B9" w:rsidRDefault="007968EC" w:rsidP="007968EC">
      <w:pPr>
        <w:tabs>
          <w:tab w:val="left" w:pos="1276"/>
        </w:tabs>
        <w:jc w:val="both"/>
        <w:rPr>
          <w:rFonts w:ascii="Arial Narrow" w:eastAsia="Calibri" w:hAnsi="Arial Narrow"/>
          <w:bCs/>
          <w:color w:val="000000" w:themeColor="text1"/>
        </w:rPr>
      </w:pPr>
      <w:r w:rsidRPr="005F10B9">
        <w:rPr>
          <w:rFonts w:ascii="Arial Narrow" w:eastAsia="Calibri" w:hAnsi="Arial Narrow"/>
          <w:bCs/>
          <w:color w:val="000000" w:themeColor="text1"/>
        </w:rPr>
        <w:tab/>
      </w:r>
    </w:p>
    <w:p w14:paraId="4477D91C" w14:textId="77777777" w:rsidR="007968EC" w:rsidRPr="005F10B9" w:rsidRDefault="007968EC" w:rsidP="00DA7472">
      <w:pPr>
        <w:numPr>
          <w:ilvl w:val="0"/>
          <w:numId w:val="337"/>
        </w:numPr>
        <w:tabs>
          <w:tab w:val="left" w:pos="1276"/>
        </w:tabs>
        <w:ind w:left="1134"/>
        <w:jc w:val="both"/>
        <w:rPr>
          <w:rFonts w:ascii="Arial Narrow" w:eastAsia="Calibri" w:hAnsi="Arial Narrow"/>
          <w:bCs/>
          <w:color w:val="000000" w:themeColor="text1"/>
          <w:lang w:eastAsia="es-CO"/>
        </w:rPr>
      </w:pPr>
      <w:r w:rsidRPr="005F10B9">
        <w:rPr>
          <w:rFonts w:ascii="Arial Narrow" w:eastAsia="Calibri" w:hAnsi="Arial Narrow"/>
          <w:bCs/>
          <w:color w:val="000000" w:themeColor="text1"/>
          <w:lang w:eastAsia="es-CO"/>
        </w:rPr>
        <w:t>Se dividirá el Portafolio de los Miembros Liquidadores cumplidos en Sub-Portafolios   Semejantes a los Portafolios a Subastar.</w:t>
      </w:r>
    </w:p>
    <w:p w14:paraId="44D0D240" w14:textId="77777777" w:rsidR="007968EC" w:rsidRPr="005F10B9" w:rsidRDefault="007968EC" w:rsidP="007968EC">
      <w:pPr>
        <w:ind w:left="1134"/>
        <w:jc w:val="both"/>
        <w:rPr>
          <w:rFonts w:ascii="Arial Narrow" w:eastAsia="Calibri" w:hAnsi="Arial Narrow"/>
          <w:bCs/>
          <w:color w:val="000000" w:themeColor="text1"/>
        </w:rPr>
      </w:pPr>
    </w:p>
    <w:p w14:paraId="1A1EBB3E" w14:textId="77777777" w:rsidR="007968EC" w:rsidRPr="005F10B9" w:rsidRDefault="007968EC" w:rsidP="00DA7472">
      <w:pPr>
        <w:numPr>
          <w:ilvl w:val="0"/>
          <w:numId w:val="337"/>
        </w:numPr>
        <w:tabs>
          <w:tab w:val="left" w:pos="1276"/>
        </w:tabs>
        <w:ind w:left="1134"/>
        <w:jc w:val="both"/>
        <w:rPr>
          <w:rFonts w:ascii="Arial Narrow" w:eastAsia="Calibri" w:hAnsi="Arial Narrow"/>
          <w:bCs/>
          <w:color w:val="000000" w:themeColor="text1"/>
          <w:lang w:eastAsia="es-CO"/>
        </w:rPr>
      </w:pPr>
      <w:r w:rsidRPr="005F10B9">
        <w:rPr>
          <w:rFonts w:ascii="Arial Narrow" w:eastAsia="Calibri" w:hAnsi="Arial Narrow"/>
          <w:bCs/>
          <w:color w:val="000000" w:themeColor="text1"/>
          <w:lang w:eastAsia="es-CO"/>
        </w:rPr>
        <w:t>Se calculará el riesgo que tiene cada Miembro Liquidador en cada Sub-Portafolio Semejante al Portafolio a Subastar.</w:t>
      </w:r>
    </w:p>
    <w:p w14:paraId="2801F2C5" w14:textId="77777777" w:rsidR="007968EC" w:rsidRPr="005F10B9" w:rsidRDefault="007968EC" w:rsidP="007968EC">
      <w:pPr>
        <w:ind w:left="774"/>
        <w:jc w:val="both"/>
        <w:rPr>
          <w:rFonts w:ascii="Arial Narrow" w:eastAsia="Calibri" w:hAnsi="Arial Narrow"/>
          <w:bCs/>
          <w:color w:val="000000" w:themeColor="text1"/>
        </w:rPr>
      </w:pPr>
    </w:p>
    <w:p w14:paraId="6DCB40B6" w14:textId="77777777" w:rsidR="007968EC" w:rsidRPr="005F10B9" w:rsidRDefault="007968EC" w:rsidP="00DA7472">
      <w:pPr>
        <w:numPr>
          <w:ilvl w:val="0"/>
          <w:numId w:val="337"/>
        </w:numPr>
        <w:tabs>
          <w:tab w:val="left" w:pos="1276"/>
        </w:tabs>
        <w:ind w:left="1134"/>
        <w:jc w:val="both"/>
        <w:rPr>
          <w:rFonts w:ascii="Arial Narrow" w:eastAsia="Calibri" w:hAnsi="Arial Narrow"/>
          <w:bCs/>
          <w:color w:val="000000" w:themeColor="text1"/>
          <w:lang w:eastAsia="es-CO"/>
        </w:rPr>
      </w:pPr>
      <w:r w:rsidRPr="005F10B9">
        <w:rPr>
          <w:rFonts w:ascii="Arial Narrow" w:eastAsia="Calibri" w:hAnsi="Arial Narrow"/>
          <w:bCs/>
          <w:color w:val="000000" w:themeColor="text1"/>
          <w:lang w:eastAsia="es-CO"/>
        </w:rPr>
        <w:lastRenderedPageBreak/>
        <w:t>La contribución del Miembro Liquidador cumplido al Fondo de Garantía Colectiva se repartirá en cada Portafolio a Subastar en relación al riesgo del Miembro Liquidador en cada Sub-Portafolio Semejante al Portafolio a Subastar y el riesgo total de todos los Sub-Portafolios Semejantes, de acuerdo con la siguiente fórmula:</w:t>
      </w:r>
    </w:p>
    <w:p w14:paraId="297E7B75" w14:textId="77777777" w:rsidR="007968EC" w:rsidRPr="005F10B9" w:rsidRDefault="007968EC" w:rsidP="007968EC">
      <w:pPr>
        <w:jc w:val="both"/>
        <w:rPr>
          <w:rFonts w:ascii="Arial Narrow" w:eastAsia="Calibri" w:hAnsi="Arial Narrow"/>
          <w:bCs/>
          <w:color w:val="000000" w:themeColor="text1"/>
        </w:rPr>
      </w:pPr>
    </w:p>
    <w:p w14:paraId="7452FC5C" w14:textId="77777777" w:rsidR="007968EC" w:rsidRPr="005F10B9" w:rsidRDefault="007968EC" w:rsidP="007968EC">
      <w:pPr>
        <w:jc w:val="both"/>
        <w:rPr>
          <w:rFonts w:ascii="Arial Narrow" w:eastAsia="Calibri" w:hAnsi="Arial Narrow"/>
          <w:bCs/>
          <w:color w:val="000000" w:themeColor="text1"/>
        </w:rPr>
      </w:pPr>
      <m:oMathPara>
        <m:oMathParaPr>
          <m:jc m:val="center"/>
        </m:oMathParaPr>
        <m:oMath>
          <m:r>
            <m:rPr>
              <m:sty m:val="bi"/>
            </m:rPr>
            <w:rPr>
              <w:rFonts w:ascii="Cambria Math" w:eastAsia="Calibri" w:hAnsi="Cambria Math"/>
              <w:color w:val="000000" w:themeColor="text1"/>
            </w:rPr>
            <m:t xml:space="preserve">Porcentaje Reparto= </m:t>
          </m:r>
          <m:f>
            <m:fPr>
              <m:ctrlPr>
                <w:rPr>
                  <w:rFonts w:ascii="Cambria Math" w:eastAsia="Calibri" w:hAnsi="Cambria Math"/>
                  <w:bCs/>
                  <w:i/>
                  <w:color w:val="000000" w:themeColor="text1"/>
                </w:rPr>
              </m:ctrlPr>
            </m:fPr>
            <m:num>
              <m:r>
                <m:rPr>
                  <m:sty m:val="bi"/>
                </m:rPr>
                <w:rPr>
                  <w:rFonts w:ascii="Cambria Math" w:eastAsia="Calibri" w:hAnsi="Cambria Math"/>
                  <w:color w:val="000000" w:themeColor="text1"/>
                </w:rPr>
                <m:t>Riesgo Miembro Liquidador  Sub-</m:t>
              </m:r>
              <m:sSub>
                <m:sSubPr>
                  <m:ctrlPr>
                    <w:rPr>
                      <w:rFonts w:ascii="Cambria Math" w:eastAsia="Calibri" w:hAnsi="Cambria Math"/>
                      <w:bCs/>
                      <w:color w:val="000000" w:themeColor="text1"/>
                    </w:rPr>
                  </m:ctrlPr>
                </m:sSubPr>
                <m:e>
                  <m:r>
                    <m:rPr>
                      <m:sty m:val="b"/>
                    </m:rPr>
                    <w:rPr>
                      <w:rFonts w:ascii="Cambria Math" w:eastAsia="Calibri" w:hAnsi="Cambria Math"/>
                      <w:color w:val="000000" w:themeColor="text1"/>
                    </w:rPr>
                    <m:t>Portafolio</m:t>
                  </m:r>
                </m:e>
                <m:sub>
                  <m:r>
                    <m:rPr>
                      <m:sty m:val="bi"/>
                    </m:rPr>
                    <w:rPr>
                      <w:rFonts w:ascii="Cambria Math" w:eastAsia="Calibri" w:hAnsi="Cambria Math"/>
                      <w:color w:val="000000" w:themeColor="text1"/>
                    </w:rPr>
                    <m:t>i</m:t>
                  </m:r>
                </m:sub>
              </m:sSub>
              <m:r>
                <m:rPr>
                  <m:sty m:val="b"/>
                </m:rPr>
                <w:rPr>
                  <w:rFonts w:ascii="Cambria Math" w:eastAsia="Calibri" w:hAnsi="Cambria Math"/>
                  <w:color w:val="000000" w:themeColor="text1"/>
                </w:rPr>
                <m:t xml:space="preserve"> </m:t>
              </m:r>
            </m:num>
            <m:den>
              <m:r>
                <m:rPr>
                  <m:sty m:val="b"/>
                </m:rPr>
                <w:rPr>
                  <w:rFonts w:ascii="Cambria Math" w:eastAsia="Calibri" w:hAnsi="Cambria Math"/>
                  <w:color w:val="000000" w:themeColor="text1"/>
                </w:rPr>
                <m:t>Total Riesgo Miembro Liquidador en todos los Sub-Portafolios</m:t>
              </m:r>
            </m:den>
          </m:f>
        </m:oMath>
      </m:oMathPara>
    </w:p>
    <w:p w14:paraId="2EA852DA" w14:textId="77777777" w:rsidR="007968EC" w:rsidRPr="005F10B9" w:rsidRDefault="007968EC" w:rsidP="007968EC">
      <w:pPr>
        <w:jc w:val="both"/>
        <w:rPr>
          <w:rFonts w:ascii="Arial Narrow" w:eastAsia="Calibri" w:hAnsi="Arial Narrow"/>
          <w:bCs/>
          <w:color w:val="000000" w:themeColor="text1"/>
        </w:rPr>
      </w:pPr>
    </w:p>
    <w:p w14:paraId="0A7F51BC" w14:textId="77777777" w:rsidR="007968EC" w:rsidRPr="005F10B9" w:rsidRDefault="007968EC" w:rsidP="00DA7472">
      <w:pPr>
        <w:numPr>
          <w:ilvl w:val="0"/>
          <w:numId w:val="337"/>
        </w:numPr>
        <w:ind w:left="1134"/>
        <w:jc w:val="both"/>
        <w:rPr>
          <w:rFonts w:ascii="Arial Narrow" w:eastAsia="Calibri" w:hAnsi="Arial Narrow"/>
          <w:bCs/>
          <w:color w:val="000000" w:themeColor="text1"/>
          <w:lang w:eastAsia="es-CO"/>
        </w:rPr>
      </w:pPr>
      <w:r w:rsidRPr="005F10B9">
        <w:rPr>
          <w:rFonts w:ascii="Arial Narrow" w:eastAsia="Calibri" w:hAnsi="Arial Narrow"/>
          <w:bCs/>
          <w:color w:val="000000" w:themeColor="text1"/>
          <w:lang w:eastAsia="es-CO"/>
        </w:rPr>
        <w:t>En el caso de que se haya optado por Portafolios a Subastar Semejantes, la cantidad asignada a cada Portafolio a Subastar se puede dejar asignada al conjunto de Portafolios a Subastar Semejantes.</w:t>
      </w:r>
    </w:p>
    <w:p w14:paraId="516F5949" w14:textId="77777777" w:rsidR="007968EC" w:rsidRPr="005F10B9" w:rsidRDefault="007968EC" w:rsidP="007968EC">
      <w:pPr>
        <w:jc w:val="both"/>
        <w:rPr>
          <w:rFonts w:ascii="Arial Narrow" w:eastAsia="Calibri" w:hAnsi="Arial Narrow"/>
          <w:bCs/>
          <w:color w:val="000000" w:themeColor="text1"/>
        </w:rPr>
      </w:pPr>
    </w:p>
    <w:p w14:paraId="37C12401" w14:textId="77777777" w:rsidR="007968EC" w:rsidRPr="005F10B9" w:rsidRDefault="007968EC" w:rsidP="00DA7472">
      <w:pPr>
        <w:numPr>
          <w:ilvl w:val="0"/>
          <w:numId w:val="362"/>
        </w:numPr>
        <w:autoSpaceDE w:val="0"/>
        <w:autoSpaceDN w:val="0"/>
        <w:adjustRightInd w:val="0"/>
        <w:contextualSpacing/>
        <w:jc w:val="both"/>
        <w:rPr>
          <w:rFonts w:ascii="Arial Narrow" w:hAnsi="Arial Narrow" w:cs="Arial Narrow"/>
          <w:color w:val="000000" w:themeColor="text1"/>
          <w:lang w:eastAsia="es-ES"/>
        </w:rPr>
      </w:pPr>
      <w:r w:rsidRPr="005F10B9">
        <w:rPr>
          <w:rFonts w:ascii="Arial Narrow" w:hAnsi="Arial Narrow" w:cs="Arial Narrow"/>
          <w:color w:val="000000" w:themeColor="text1"/>
          <w:lang w:eastAsia="es-ES"/>
        </w:rPr>
        <w:t>Subasta:</w:t>
      </w:r>
    </w:p>
    <w:p w14:paraId="078F1614" w14:textId="77777777" w:rsidR="007968EC" w:rsidRPr="005F10B9" w:rsidRDefault="007968EC" w:rsidP="007968EC">
      <w:pPr>
        <w:jc w:val="both"/>
        <w:rPr>
          <w:rFonts w:eastAsia="Calibri"/>
        </w:rPr>
      </w:pPr>
    </w:p>
    <w:p w14:paraId="174EBD55" w14:textId="77777777" w:rsidR="007968EC" w:rsidRPr="005F10B9" w:rsidRDefault="007968EC" w:rsidP="007968EC">
      <w:pPr>
        <w:jc w:val="both"/>
        <w:rPr>
          <w:rFonts w:ascii="Arial Narrow" w:eastAsia="Calibri" w:hAnsi="Arial Narrow"/>
          <w:bCs/>
          <w:color w:val="000000" w:themeColor="text1"/>
        </w:rPr>
      </w:pPr>
      <w:r w:rsidRPr="005F10B9">
        <w:rPr>
          <w:rFonts w:ascii="Arial Narrow" w:eastAsia="Calibri" w:hAnsi="Arial Narrow"/>
          <w:bCs/>
          <w:color w:val="000000" w:themeColor="text1"/>
        </w:rPr>
        <w:t>Los Miembros Liquidadores cumplidos presentarán sus pujas a la Cámara. Los Miembros Liquidadores tienen la obligación de pujar en la subasta. En el caso de que se hayan asignado US, los Miembros Liquidadores deberán incluir en la puja las US por la que pujan. Para un mismo Portafolio a Subastar, un mismo Miembro Liquidador no podrá poner distintos precios a diversas US. Los Miembros Liquidadores presentarán las pujas en el formato de la subasta y en el tiempo establecido para la misma. Las pujas podrán ser positivas o negativas:</w:t>
      </w:r>
    </w:p>
    <w:p w14:paraId="42C224F8" w14:textId="77777777" w:rsidR="007968EC" w:rsidRPr="005F10B9" w:rsidRDefault="007968EC" w:rsidP="007968EC">
      <w:pPr>
        <w:ind w:left="426"/>
        <w:jc w:val="both"/>
        <w:rPr>
          <w:rFonts w:ascii="Arial Narrow" w:eastAsia="Calibri" w:hAnsi="Arial Narrow"/>
          <w:bCs/>
          <w:color w:val="000000" w:themeColor="text1"/>
          <w:lang w:eastAsia="es-CO"/>
        </w:rPr>
      </w:pPr>
    </w:p>
    <w:p w14:paraId="2D1115B0" w14:textId="77777777" w:rsidR="007968EC" w:rsidRPr="005F10B9" w:rsidRDefault="007968EC" w:rsidP="00DA7472">
      <w:pPr>
        <w:widowControl w:val="0"/>
        <w:numPr>
          <w:ilvl w:val="0"/>
          <w:numId w:val="358"/>
        </w:numPr>
        <w:tabs>
          <w:tab w:val="left" w:pos="1276"/>
        </w:tabs>
        <w:autoSpaceDE w:val="0"/>
        <w:autoSpaceDN w:val="0"/>
        <w:ind w:right="112"/>
        <w:jc w:val="both"/>
        <w:rPr>
          <w:rFonts w:ascii="Arial Narrow" w:hAnsi="Arial Narrow" w:cs="Arial"/>
          <w:b/>
          <w:lang w:eastAsia="es-CO"/>
        </w:rPr>
      </w:pPr>
      <w:r w:rsidRPr="005F10B9">
        <w:rPr>
          <w:rFonts w:ascii="Arial Narrow" w:hAnsi="Arial Narrow" w:cs="Arial"/>
          <w:lang w:eastAsia="es-CO"/>
        </w:rPr>
        <w:t>Una puja positiva significará que el Miembro Liquidador, en el caso de que resulte ganador, pagará a la Cámara por el Portafolio a Subastar (o por las Unidades de Subasta en su caso) que</w:t>
      </w:r>
      <w:r w:rsidRPr="005F10B9">
        <w:rPr>
          <w:rFonts w:ascii="Arial Narrow" w:hAnsi="Arial Narrow" w:cs="Arial"/>
          <w:b/>
          <w:lang w:eastAsia="es-CO"/>
        </w:rPr>
        <w:t xml:space="preserve"> </w:t>
      </w:r>
      <w:r w:rsidRPr="005F10B9">
        <w:rPr>
          <w:rFonts w:ascii="Arial Narrow" w:hAnsi="Arial Narrow" w:cs="Arial"/>
          <w:lang w:eastAsia="es-CO"/>
        </w:rPr>
        <w:t>haya pujado y ganado.</w:t>
      </w:r>
    </w:p>
    <w:p w14:paraId="0379C161" w14:textId="77777777" w:rsidR="007968EC" w:rsidRPr="005F10B9" w:rsidRDefault="007968EC" w:rsidP="007968EC">
      <w:pPr>
        <w:tabs>
          <w:tab w:val="left" w:pos="1276"/>
        </w:tabs>
        <w:ind w:left="851" w:hanging="284"/>
        <w:jc w:val="both"/>
        <w:rPr>
          <w:rFonts w:ascii="Arial Narrow" w:hAnsi="Arial Narrow" w:cs="Arial"/>
          <w:lang w:eastAsia="es-ES"/>
        </w:rPr>
      </w:pPr>
    </w:p>
    <w:p w14:paraId="70FC61CE" w14:textId="77777777" w:rsidR="007968EC" w:rsidRPr="005F10B9" w:rsidRDefault="007968EC" w:rsidP="00DA7472">
      <w:pPr>
        <w:widowControl w:val="0"/>
        <w:numPr>
          <w:ilvl w:val="0"/>
          <w:numId w:val="358"/>
        </w:numPr>
        <w:tabs>
          <w:tab w:val="left" w:pos="1276"/>
        </w:tabs>
        <w:autoSpaceDE w:val="0"/>
        <w:autoSpaceDN w:val="0"/>
        <w:ind w:right="112"/>
        <w:jc w:val="both"/>
        <w:rPr>
          <w:rFonts w:ascii="Arial Narrow" w:hAnsi="Arial Narrow" w:cs="Arial"/>
          <w:lang w:eastAsia="es-CO"/>
        </w:rPr>
      </w:pPr>
      <w:r w:rsidRPr="005F10B9">
        <w:rPr>
          <w:rFonts w:ascii="Arial Narrow" w:hAnsi="Arial Narrow" w:cs="Arial"/>
          <w:lang w:eastAsia="es-CO"/>
        </w:rPr>
        <w:t>Una</w:t>
      </w:r>
      <w:r w:rsidRPr="005F10B9">
        <w:rPr>
          <w:rFonts w:ascii="Arial Narrow" w:hAnsi="Arial Narrow" w:cs="Arial"/>
          <w:spacing w:val="-16"/>
          <w:lang w:eastAsia="es-CO"/>
        </w:rPr>
        <w:t xml:space="preserve"> </w:t>
      </w:r>
      <w:r w:rsidRPr="005F10B9">
        <w:rPr>
          <w:rFonts w:ascii="Arial Narrow" w:hAnsi="Arial Narrow" w:cs="Arial"/>
          <w:lang w:eastAsia="es-CO"/>
        </w:rPr>
        <w:t>puja</w:t>
      </w:r>
      <w:r w:rsidRPr="005F10B9">
        <w:rPr>
          <w:rFonts w:ascii="Arial Narrow" w:hAnsi="Arial Narrow" w:cs="Arial"/>
          <w:spacing w:val="-16"/>
          <w:lang w:eastAsia="es-CO"/>
        </w:rPr>
        <w:t xml:space="preserve"> </w:t>
      </w:r>
      <w:r w:rsidRPr="005F10B9">
        <w:rPr>
          <w:rFonts w:ascii="Arial Narrow" w:hAnsi="Arial Narrow" w:cs="Arial"/>
          <w:lang w:eastAsia="es-CO"/>
        </w:rPr>
        <w:t>negativa</w:t>
      </w:r>
      <w:r w:rsidRPr="005F10B9">
        <w:rPr>
          <w:rFonts w:ascii="Arial Narrow" w:hAnsi="Arial Narrow" w:cs="Arial"/>
          <w:spacing w:val="-16"/>
          <w:lang w:eastAsia="es-CO"/>
        </w:rPr>
        <w:t xml:space="preserve"> </w:t>
      </w:r>
      <w:r w:rsidRPr="005F10B9">
        <w:rPr>
          <w:rFonts w:ascii="Arial Narrow" w:hAnsi="Arial Narrow" w:cs="Arial"/>
          <w:lang w:eastAsia="es-CO"/>
        </w:rPr>
        <w:t>significará</w:t>
      </w:r>
      <w:r w:rsidRPr="005F10B9">
        <w:rPr>
          <w:rFonts w:ascii="Arial Narrow" w:hAnsi="Arial Narrow" w:cs="Arial"/>
          <w:spacing w:val="-16"/>
          <w:lang w:eastAsia="es-CO"/>
        </w:rPr>
        <w:t xml:space="preserve"> </w:t>
      </w:r>
      <w:r w:rsidRPr="005F10B9">
        <w:rPr>
          <w:rFonts w:ascii="Arial Narrow" w:hAnsi="Arial Narrow" w:cs="Arial"/>
          <w:lang w:eastAsia="es-CO"/>
        </w:rPr>
        <w:t>que</w:t>
      </w:r>
      <w:r w:rsidRPr="005F10B9">
        <w:rPr>
          <w:rFonts w:ascii="Arial Narrow" w:hAnsi="Arial Narrow" w:cs="Arial"/>
          <w:spacing w:val="-16"/>
          <w:lang w:eastAsia="es-CO"/>
        </w:rPr>
        <w:t xml:space="preserve"> </w:t>
      </w:r>
      <w:r w:rsidRPr="005F10B9">
        <w:rPr>
          <w:rFonts w:ascii="Arial Narrow" w:hAnsi="Arial Narrow" w:cs="Arial"/>
          <w:lang w:eastAsia="es-CO"/>
        </w:rPr>
        <w:t>la Cámara</w:t>
      </w:r>
      <w:r w:rsidRPr="005F10B9">
        <w:rPr>
          <w:rFonts w:ascii="Arial Narrow" w:hAnsi="Arial Narrow" w:cs="Arial"/>
          <w:spacing w:val="-15"/>
          <w:lang w:eastAsia="es-CO"/>
        </w:rPr>
        <w:t xml:space="preserve"> </w:t>
      </w:r>
      <w:r w:rsidRPr="005F10B9">
        <w:rPr>
          <w:rFonts w:ascii="Arial Narrow" w:hAnsi="Arial Narrow" w:cs="Arial"/>
          <w:lang w:eastAsia="es-CO"/>
        </w:rPr>
        <w:t>pagará</w:t>
      </w:r>
      <w:r w:rsidRPr="005F10B9">
        <w:rPr>
          <w:rFonts w:ascii="Arial Narrow" w:hAnsi="Arial Narrow" w:cs="Arial"/>
          <w:spacing w:val="-16"/>
          <w:lang w:eastAsia="es-CO"/>
        </w:rPr>
        <w:t xml:space="preserve"> </w:t>
      </w:r>
      <w:r w:rsidRPr="005F10B9">
        <w:rPr>
          <w:rFonts w:ascii="Arial Narrow" w:hAnsi="Arial Narrow" w:cs="Arial"/>
          <w:lang w:eastAsia="es-CO"/>
        </w:rPr>
        <w:t>al</w:t>
      </w:r>
      <w:r w:rsidRPr="005F10B9">
        <w:rPr>
          <w:rFonts w:ascii="Arial Narrow" w:hAnsi="Arial Narrow" w:cs="Arial"/>
          <w:spacing w:val="-17"/>
          <w:lang w:eastAsia="es-CO"/>
        </w:rPr>
        <w:t xml:space="preserve"> </w:t>
      </w:r>
      <w:r w:rsidRPr="005F10B9">
        <w:rPr>
          <w:rFonts w:ascii="Arial Narrow" w:hAnsi="Arial Narrow" w:cs="Arial"/>
          <w:lang w:eastAsia="es-CO"/>
        </w:rPr>
        <w:t>Miembro Liquidador,</w:t>
      </w:r>
      <w:r w:rsidRPr="005F10B9">
        <w:rPr>
          <w:rFonts w:ascii="Arial Narrow" w:hAnsi="Arial Narrow" w:cs="Arial"/>
          <w:spacing w:val="-16"/>
          <w:lang w:eastAsia="es-CO"/>
        </w:rPr>
        <w:t xml:space="preserve"> </w:t>
      </w:r>
      <w:r w:rsidRPr="005F10B9">
        <w:rPr>
          <w:rFonts w:ascii="Arial Narrow" w:hAnsi="Arial Narrow" w:cs="Arial"/>
          <w:lang w:eastAsia="es-CO"/>
        </w:rPr>
        <w:t>en</w:t>
      </w:r>
      <w:r w:rsidRPr="005F10B9">
        <w:rPr>
          <w:rFonts w:ascii="Arial Narrow" w:hAnsi="Arial Narrow" w:cs="Arial"/>
          <w:spacing w:val="-16"/>
          <w:lang w:eastAsia="es-CO"/>
        </w:rPr>
        <w:t xml:space="preserve"> </w:t>
      </w:r>
      <w:r w:rsidRPr="005F10B9">
        <w:rPr>
          <w:rFonts w:ascii="Arial Narrow" w:hAnsi="Arial Narrow" w:cs="Arial"/>
          <w:lang w:eastAsia="es-CO"/>
        </w:rPr>
        <w:t>el</w:t>
      </w:r>
      <w:r w:rsidRPr="005F10B9">
        <w:rPr>
          <w:rFonts w:ascii="Arial Narrow" w:hAnsi="Arial Narrow" w:cs="Arial"/>
          <w:spacing w:val="-17"/>
          <w:lang w:eastAsia="es-CO"/>
        </w:rPr>
        <w:t xml:space="preserve"> </w:t>
      </w:r>
      <w:r w:rsidRPr="005F10B9">
        <w:rPr>
          <w:rFonts w:ascii="Arial Narrow" w:hAnsi="Arial Narrow" w:cs="Arial"/>
          <w:lang w:eastAsia="es-CO"/>
        </w:rPr>
        <w:t>caso</w:t>
      </w:r>
      <w:r w:rsidRPr="005F10B9">
        <w:rPr>
          <w:rFonts w:ascii="Arial Narrow" w:hAnsi="Arial Narrow" w:cs="Arial"/>
          <w:spacing w:val="-16"/>
          <w:lang w:eastAsia="es-CO"/>
        </w:rPr>
        <w:t xml:space="preserve"> </w:t>
      </w:r>
      <w:r w:rsidRPr="005F10B9">
        <w:rPr>
          <w:rFonts w:ascii="Arial Narrow" w:hAnsi="Arial Narrow" w:cs="Arial"/>
          <w:lang w:eastAsia="es-CO"/>
        </w:rPr>
        <w:t>de</w:t>
      </w:r>
      <w:r w:rsidRPr="005F10B9">
        <w:rPr>
          <w:rFonts w:ascii="Arial Narrow" w:hAnsi="Arial Narrow" w:cs="Arial"/>
          <w:spacing w:val="-16"/>
          <w:lang w:eastAsia="es-CO"/>
        </w:rPr>
        <w:t xml:space="preserve"> </w:t>
      </w:r>
      <w:r w:rsidRPr="005F10B9">
        <w:rPr>
          <w:rFonts w:ascii="Arial Narrow" w:hAnsi="Arial Narrow" w:cs="Arial"/>
          <w:lang w:eastAsia="es-CO"/>
        </w:rPr>
        <w:t>que</w:t>
      </w:r>
      <w:r w:rsidRPr="005F10B9">
        <w:rPr>
          <w:rFonts w:ascii="Arial Narrow" w:hAnsi="Arial Narrow" w:cs="Arial"/>
          <w:spacing w:val="-16"/>
          <w:lang w:eastAsia="es-CO"/>
        </w:rPr>
        <w:t xml:space="preserve"> </w:t>
      </w:r>
      <w:r w:rsidRPr="005F10B9">
        <w:rPr>
          <w:rFonts w:ascii="Arial Narrow" w:hAnsi="Arial Narrow" w:cs="Arial"/>
          <w:lang w:eastAsia="es-CO"/>
        </w:rPr>
        <w:t>éste</w:t>
      </w:r>
      <w:r w:rsidRPr="005F10B9">
        <w:rPr>
          <w:rFonts w:ascii="Arial Narrow" w:hAnsi="Arial Narrow" w:cs="Arial"/>
          <w:spacing w:val="-16"/>
          <w:lang w:eastAsia="es-CO"/>
        </w:rPr>
        <w:t xml:space="preserve"> </w:t>
      </w:r>
      <w:r w:rsidRPr="005F10B9">
        <w:rPr>
          <w:rFonts w:ascii="Arial Narrow" w:hAnsi="Arial Narrow" w:cs="Arial"/>
          <w:lang w:eastAsia="es-CO"/>
        </w:rPr>
        <w:t>resulte ganador, por el Portafolio a Subastar (o por las Unidades de Subasta en su caso) que haya pujado y ganado.</w:t>
      </w:r>
    </w:p>
    <w:p w14:paraId="1D410530" w14:textId="77777777" w:rsidR="007968EC" w:rsidRPr="005F10B9" w:rsidRDefault="007968EC" w:rsidP="007968EC">
      <w:pPr>
        <w:jc w:val="both"/>
        <w:rPr>
          <w:rFonts w:ascii="Arial Narrow" w:eastAsia="Calibri" w:hAnsi="Arial Narrow"/>
          <w:bCs/>
          <w:color w:val="000000" w:themeColor="text1"/>
        </w:rPr>
      </w:pPr>
    </w:p>
    <w:p w14:paraId="6270C4E6" w14:textId="77777777" w:rsidR="007968EC" w:rsidRPr="005F10B9" w:rsidRDefault="007968EC" w:rsidP="007968EC">
      <w:pPr>
        <w:jc w:val="both"/>
        <w:rPr>
          <w:rFonts w:ascii="Arial Narrow" w:eastAsia="Calibri" w:hAnsi="Arial Narrow"/>
          <w:bCs/>
          <w:color w:val="000000" w:themeColor="text1"/>
        </w:rPr>
      </w:pPr>
      <w:r w:rsidRPr="005F10B9">
        <w:rPr>
          <w:rFonts w:ascii="Arial Narrow" w:eastAsia="Calibri" w:hAnsi="Arial Narrow"/>
          <w:bCs/>
          <w:color w:val="000000" w:themeColor="text1"/>
        </w:rPr>
        <w:t>En ambos casos el Miembro Liquidador ganador adquiere el Portafolio a Subastar por el que haya pujado (o las Unidades de Subasta en su caso) incorporándose la Posición Abierta ganada a la Posición Abierta de su Cuenta de Registro de su Cuenta Propia y asumirá en ese momento la titularidad de la Posición Abierta ganada en la subasta.</w:t>
      </w:r>
    </w:p>
    <w:p w14:paraId="1B3E89D1" w14:textId="77777777" w:rsidR="007968EC" w:rsidRPr="005F10B9" w:rsidRDefault="007968EC" w:rsidP="007968EC">
      <w:pPr>
        <w:jc w:val="both"/>
        <w:rPr>
          <w:rFonts w:ascii="Arial Narrow" w:eastAsia="Calibri" w:hAnsi="Arial Narrow"/>
          <w:bCs/>
          <w:color w:val="000000" w:themeColor="text1"/>
        </w:rPr>
      </w:pPr>
    </w:p>
    <w:p w14:paraId="4939DDBC" w14:textId="77777777" w:rsidR="007968EC" w:rsidRPr="005F10B9" w:rsidRDefault="007968EC" w:rsidP="007968EC">
      <w:pPr>
        <w:jc w:val="both"/>
        <w:rPr>
          <w:rFonts w:ascii="Arial Narrow" w:eastAsia="Calibri" w:hAnsi="Arial Narrow"/>
          <w:bCs/>
          <w:color w:val="000000" w:themeColor="text1"/>
        </w:rPr>
      </w:pPr>
      <w:r w:rsidRPr="005F10B9">
        <w:rPr>
          <w:rFonts w:ascii="Arial Narrow" w:eastAsia="Calibri" w:hAnsi="Arial Narrow"/>
          <w:bCs/>
          <w:color w:val="000000" w:themeColor="text1"/>
        </w:rPr>
        <w:t>La Cámara, si fuere necesario previa consulta con el CGI, podrá rechazar una puja por motivos de riesgo cuando el importe de la puja sea significativo en relación con la Garantía por Posición mantenida por el Miembro Liquidador que ha realizado la puja en cuestión. La Cámara podrá rechazar las pujas que no cumplan el formato de la subasta o las propias reglas de la subasta.</w:t>
      </w:r>
    </w:p>
    <w:p w14:paraId="4BFC41B9" w14:textId="77777777" w:rsidR="007968EC" w:rsidRPr="005F10B9" w:rsidRDefault="007968EC" w:rsidP="007968EC">
      <w:pPr>
        <w:jc w:val="both"/>
        <w:rPr>
          <w:rFonts w:ascii="Arial Narrow" w:eastAsia="Calibri" w:hAnsi="Arial Narrow"/>
          <w:bCs/>
          <w:color w:val="000000" w:themeColor="text1"/>
        </w:rPr>
      </w:pPr>
    </w:p>
    <w:p w14:paraId="27723A8A" w14:textId="77777777" w:rsidR="007968EC" w:rsidRPr="005F10B9" w:rsidRDefault="007968EC" w:rsidP="007968EC">
      <w:pPr>
        <w:jc w:val="both"/>
        <w:rPr>
          <w:rFonts w:ascii="Arial Narrow" w:eastAsia="Calibri" w:hAnsi="Arial Narrow"/>
          <w:bCs/>
          <w:color w:val="000000" w:themeColor="text1"/>
        </w:rPr>
      </w:pPr>
      <w:r w:rsidRPr="005F10B9">
        <w:rPr>
          <w:rFonts w:ascii="Arial Narrow" w:eastAsia="Calibri" w:hAnsi="Arial Narrow"/>
          <w:bCs/>
          <w:color w:val="000000" w:themeColor="text1"/>
        </w:rPr>
        <w:t xml:space="preserve">En el caso de que un Portafolio a Subastar no reciba ninguna puja, o en el caso de que se opte por un modelo de varios ganadores, y un Portafolio a Subastar no reciba pujas suficientes por el total del Portafolio a </w:t>
      </w:r>
      <w:r w:rsidRPr="005F10B9">
        <w:rPr>
          <w:rFonts w:ascii="Arial Narrow" w:eastAsia="Calibri" w:hAnsi="Arial Narrow"/>
          <w:bCs/>
          <w:color w:val="000000" w:themeColor="text1"/>
        </w:rPr>
        <w:lastRenderedPageBreak/>
        <w:t>Subastar, la Cámara volverá a subastar los mencionados Portafolios a Subastar. Estas subastas podrán realizarse en días diferentes a los de la subasta original.</w:t>
      </w:r>
    </w:p>
    <w:p w14:paraId="643C7BEC" w14:textId="77777777" w:rsidR="007968EC" w:rsidRPr="005F10B9" w:rsidRDefault="007968EC" w:rsidP="007968EC">
      <w:pPr>
        <w:jc w:val="both"/>
        <w:rPr>
          <w:rFonts w:ascii="Arial Narrow" w:eastAsia="Calibri" w:hAnsi="Arial Narrow"/>
          <w:bCs/>
          <w:color w:val="000000" w:themeColor="text1"/>
        </w:rPr>
      </w:pPr>
    </w:p>
    <w:p w14:paraId="7F6B0AFC" w14:textId="77777777" w:rsidR="007968EC" w:rsidRPr="005F10B9" w:rsidRDefault="007968EC" w:rsidP="007968EC">
      <w:pPr>
        <w:jc w:val="both"/>
        <w:rPr>
          <w:rFonts w:ascii="Arial Narrow" w:eastAsia="Calibri" w:hAnsi="Arial Narrow"/>
          <w:bCs/>
          <w:color w:val="000000" w:themeColor="text1"/>
        </w:rPr>
      </w:pPr>
      <w:r w:rsidRPr="005F10B9">
        <w:rPr>
          <w:rFonts w:ascii="Arial Narrow" w:eastAsia="Calibri" w:hAnsi="Arial Narrow"/>
          <w:bCs/>
          <w:color w:val="000000" w:themeColor="text1"/>
        </w:rPr>
        <w:t>La Cámara podrá, en cualquier momento, adoptar medidas preventivas de conformidad con lo dispuesto en el artículo 5.8.2.1. cuando el Miembro Liquidador no puje en la subasta respecto de las US asignadas o cuando la puja no cumpla con las condiciones específicas de la subasta fijadas por la Cámara mediante Instructivo Operativo.</w:t>
      </w:r>
    </w:p>
    <w:p w14:paraId="48916839" w14:textId="77777777" w:rsidR="007968EC" w:rsidRPr="005F10B9" w:rsidRDefault="007968EC" w:rsidP="007968EC">
      <w:pPr>
        <w:jc w:val="both"/>
        <w:rPr>
          <w:rFonts w:ascii="Arial Narrow" w:eastAsia="Calibri" w:hAnsi="Arial Narrow"/>
          <w:bCs/>
          <w:color w:val="000000" w:themeColor="text1"/>
        </w:rPr>
      </w:pPr>
    </w:p>
    <w:p w14:paraId="0D582428" w14:textId="77777777" w:rsidR="007968EC" w:rsidRPr="005F10B9" w:rsidRDefault="007968EC" w:rsidP="00DA7472">
      <w:pPr>
        <w:numPr>
          <w:ilvl w:val="0"/>
          <w:numId w:val="362"/>
        </w:numPr>
        <w:autoSpaceDE w:val="0"/>
        <w:autoSpaceDN w:val="0"/>
        <w:adjustRightInd w:val="0"/>
        <w:contextualSpacing/>
        <w:jc w:val="both"/>
        <w:rPr>
          <w:rFonts w:ascii="Arial Narrow" w:hAnsi="Arial Narrow" w:cs="Arial Narrow"/>
          <w:color w:val="000000" w:themeColor="text1"/>
          <w:lang w:eastAsia="es-ES"/>
        </w:rPr>
      </w:pPr>
      <w:r w:rsidRPr="005F10B9">
        <w:rPr>
          <w:rFonts w:ascii="Arial Narrow" w:hAnsi="Arial Narrow" w:cs="Arial Narrow"/>
          <w:color w:val="000000" w:themeColor="text1"/>
          <w:lang w:eastAsia="es-ES"/>
        </w:rPr>
        <w:t>Determinación de las pujas ganadoras:</w:t>
      </w:r>
    </w:p>
    <w:p w14:paraId="096FD705" w14:textId="77777777" w:rsidR="007968EC" w:rsidRPr="005F10B9" w:rsidRDefault="007968EC" w:rsidP="007968EC">
      <w:pPr>
        <w:jc w:val="both"/>
        <w:rPr>
          <w:rFonts w:ascii="Arial Narrow" w:eastAsia="Calibri" w:hAnsi="Arial Narrow"/>
          <w:bCs/>
          <w:color w:val="000000" w:themeColor="text1"/>
        </w:rPr>
      </w:pPr>
    </w:p>
    <w:p w14:paraId="22988F0B" w14:textId="77777777" w:rsidR="007968EC" w:rsidRPr="005F10B9" w:rsidRDefault="007968EC" w:rsidP="007968EC">
      <w:pPr>
        <w:jc w:val="both"/>
        <w:rPr>
          <w:rFonts w:ascii="Arial Narrow" w:eastAsia="Calibri" w:hAnsi="Arial Narrow"/>
          <w:bCs/>
          <w:color w:val="000000" w:themeColor="text1"/>
        </w:rPr>
      </w:pPr>
      <w:r w:rsidRPr="005F10B9">
        <w:rPr>
          <w:rFonts w:ascii="Arial Narrow" w:eastAsia="Calibri" w:hAnsi="Arial Narrow"/>
          <w:bCs/>
          <w:color w:val="000000" w:themeColor="text1"/>
        </w:rPr>
        <w:t>En el caso de que se haya optado por un modelo de único ganador, el Miembro Liquidador que haya realizado la mejor puja admitida, se llevará la totalidad del portafolio de cada PAS. En este momento, el Portafolio a Subastar pasa a considerarse un Portafolio Subastado.</w:t>
      </w:r>
    </w:p>
    <w:p w14:paraId="51B463A0" w14:textId="77777777" w:rsidR="007968EC" w:rsidRPr="005F10B9" w:rsidRDefault="007968EC" w:rsidP="007968EC">
      <w:pPr>
        <w:jc w:val="both"/>
        <w:rPr>
          <w:rFonts w:ascii="Arial Narrow" w:eastAsia="Calibri" w:hAnsi="Arial Narrow"/>
          <w:bCs/>
          <w:color w:val="000000" w:themeColor="text1"/>
        </w:rPr>
      </w:pPr>
    </w:p>
    <w:p w14:paraId="105EC7AC" w14:textId="77777777" w:rsidR="007968EC" w:rsidRPr="005F10B9" w:rsidRDefault="007968EC" w:rsidP="007968EC">
      <w:pPr>
        <w:jc w:val="both"/>
        <w:rPr>
          <w:rFonts w:ascii="Arial Narrow" w:eastAsia="Calibri" w:hAnsi="Arial Narrow"/>
          <w:bCs/>
          <w:color w:val="000000" w:themeColor="text1"/>
        </w:rPr>
      </w:pPr>
      <w:r w:rsidRPr="005F10B9">
        <w:rPr>
          <w:rFonts w:ascii="Arial Narrow" w:eastAsia="Calibri" w:hAnsi="Arial Narrow"/>
          <w:bCs/>
          <w:color w:val="000000" w:themeColor="text1"/>
        </w:rPr>
        <w:t>En el caso de que se haya optado por un modelo de varios ganadores, los Miembros Liquidadores que hayan realizado las mejores pujas, se llevarán las Unidades de Subasta por las que haya pujado, al precio de la puja realizada por cada Miembro Liquidador ganador. El CGI asignará a los diversos ganadores desde la puja con el mejor precio hasta la puja ganadora con peor precio. En la peor puja que sea ganadora se podrá reducir las Unidades de Subasta adjudicadas para que el total de Unidades de Subastas adjudicadas sea igual al total de Unidades de Subasta del Portafolio Subastado.</w:t>
      </w:r>
    </w:p>
    <w:p w14:paraId="1F1EBD18" w14:textId="77777777" w:rsidR="007968EC" w:rsidRPr="005F10B9" w:rsidRDefault="007968EC" w:rsidP="007968EC">
      <w:pPr>
        <w:jc w:val="both"/>
        <w:rPr>
          <w:rFonts w:ascii="Arial Narrow" w:eastAsia="Calibri" w:hAnsi="Arial Narrow"/>
          <w:bCs/>
          <w:color w:val="000000" w:themeColor="text1"/>
        </w:rPr>
      </w:pPr>
    </w:p>
    <w:p w14:paraId="7949109D" w14:textId="77777777" w:rsidR="007968EC" w:rsidRPr="005F10B9" w:rsidRDefault="007968EC" w:rsidP="007968EC">
      <w:pPr>
        <w:jc w:val="both"/>
        <w:rPr>
          <w:rFonts w:ascii="Arial Narrow" w:eastAsia="Calibri" w:hAnsi="Arial Narrow"/>
          <w:bCs/>
          <w:color w:val="000000" w:themeColor="text1"/>
        </w:rPr>
      </w:pPr>
      <w:r w:rsidRPr="005F10B9">
        <w:rPr>
          <w:rFonts w:ascii="Arial Narrow" w:eastAsia="Calibri" w:hAnsi="Arial Narrow"/>
          <w:bCs/>
          <w:color w:val="000000" w:themeColor="text1"/>
        </w:rPr>
        <w:t xml:space="preserve">En ambos casos, si más de un Miembro Liquidador realizara ofertas por el mismo precio y dicho precio </w:t>
      </w:r>
      <w:proofErr w:type="gramStart"/>
      <w:r w:rsidRPr="005F10B9">
        <w:rPr>
          <w:rFonts w:ascii="Arial Narrow" w:eastAsia="Calibri" w:hAnsi="Arial Narrow"/>
          <w:bCs/>
          <w:color w:val="000000" w:themeColor="text1"/>
        </w:rPr>
        <w:t>resultara</w:t>
      </w:r>
      <w:proofErr w:type="gramEnd"/>
      <w:r w:rsidRPr="005F10B9">
        <w:rPr>
          <w:rFonts w:ascii="Arial Narrow" w:eastAsia="Calibri" w:hAnsi="Arial Narrow"/>
          <w:bCs/>
          <w:color w:val="000000" w:themeColor="text1"/>
        </w:rPr>
        <w:t xml:space="preserve"> la puja ganadora, la Cámara podrá seleccionar la puja recibida en primer lugar y rechazar las otras pujas.</w:t>
      </w:r>
    </w:p>
    <w:p w14:paraId="030F6182" w14:textId="77777777" w:rsidR="007968EC" w:rsidRPr="005F10B9" w:rsidRDefault="007968EC" w:rsidP="007968EC">
      <w:pPr>
        <w:jc w:val="both"/>
        <w:rPr>
          <w:rFonts w:ascii="Arial Narrow" w:eastAsia="Calibri" w:hAnsi="Arial Narrow"/>
          <w:bCs/>
          <w:color w:val="000000" w:themeColor="text1"/>
        </w:rPr>
      </w:pPr>
    </w:p>
    <w:p w14:paraId="001C5F1E" w14:textId="77777777" w:rsidR="007968EC" w:rsidRPr="005F10B9" w:rsidRDefault="007968EC" w:rsidP="007968EC">
      <w:pPr>
        <w:jc w:val="both"/>
        <w:rPr>
          <w:rFonts w:ascii="Arial Narrow" w:eastAsia="Calibri" w:hAnsi="Arial Narrow"/>
          <w:bCs/>
          <w:color w:val="000000" w:themeColor="text1"/>
        </w:rPr>
      </w:pPr>
      <w:r w:rsidRPr="005F10B9">
        <w:rPr>
          <w:rFonts w:ascii="Arial Narrow" w:eastAsia="Calibri" w:hAnsi="Arial Narrow"/>
          <w:bCs/>
          <w:color w:val="000000" w:themeColor="text1"/>
        </w:rPr>
        <w:t>El Miembro Liquidador adquiere el Portafolio Subastado que haya pujado y ganado (o las Unidades de Subasta en su caso) de acuerdo con lo estipulado en el numeral 5 Registro de las posiciones ganadas en la subasta del presente artículo, desde el momento que la Cámara le confirme que su puja ha sido declarada ganadora.</w:t>
      </w:r>
    </w:p>
    <w:p w14:paraId="5B79BFCA" w14:textId="77777777" w:rsidR="007968EC" w:rsidRPr="005F10B9" w:rsidRDefault="007968EC" w:rsidP="007968EC">
      <w:pPr>
        <w:jc w:val="both"/>
        <w:rPr>
          <w:rFonts w:ascii="Arial Narrow" w:eastAsia="Calibri" w:hAnsi="Arial Narrow"/>
          <w:bCs/>
          <w:color w:val="000000" w:themeColor="text1"/>
        </w:rPr>
      </w:pPr>
    </w:p>
    <w:p w14:paraId="68BF9A91" w14:textId="77777777" w:rsidR="007968EC" w:rsidRPr="005F10B9" w:rsidRDefault="007968EC" w:rsidP="007968EC">
      <w:pPr>
        <w:jc w:val="both"/>
        <w:rPr>
          <w:rFonts w:ascii="Arial Narrow" w:eastAsia="Calibri" w:hAnsi="Arial Narrow"/>
          <w:bCs/>
          <w:color w:val="000000" w:themeColor="text1"/>
        </w:rPr>
      </w:pPr>
      <w:r w:rsidRPr="005F10B9">
        <w:rPr>
          <w:rFonts w:ascii="Arial Narrow" w:eastAsia="Calibri" w:hAnsi="Arial Narrow"/>
          <w:bCs/>
          <w:color w:val="000000" w:themeColor="text1"/>
        </w:rPr>
        <w:t>La Cámara informará a todos los Miembros Liquidadores del resultado de cada subasta realizada. Los ganadores de cada portafolio subastado serán anónimos, excepto para los propios ganadores, respecto al Portafolio Subastado, o las unidades de subasta que hayan ganado.</w:t>
      </w:r>
    </w:p>
    <w:p w14:paraId="199995BA" w14:textId="77777777" w:rsidR="007968EC" w:rsidRPr="005F10B9" w:rsidRDefault="007968EC" w:rsidP="007968EC">
      <w:pPr>
        <w:jc w:val="both"/>
        <w:rPr>
          <w:rFonts w:ascii="Arial Narrow" w:eastAsia="Calibri" w:hAnsi="Arial Narrow"/>
          <w:bCs/>
          <w:color w:val="000000" w:themeColor="text1"/>
        </w:rPr>
      </w:pPr>
    </w:p>
    <w:p w14:paraId="3411CD5F" w14:textId="77777777" w:rsidR="007968EC" w:rsidRPr="005F10B9" w:rsidRDefault="007968EC" w:rsidP="00DA7472">
      <w:pPr>
        <w:numPr>
          <w:ilvl w:val="0"/>
          <w:numId w:val="362"/>
        </w:numPr>
        <w:autoSpaceDE w:val="0"/>
        <w:autoSpaceDN w:val="0"/>
        <w:adjustRightInd w:val="0"/>
        <w:contextualSpacing/>
        <w:jc w:val="both"/>
        <w:rPr>
          <w:rFonts w:ascii="Arial Narrow" w:hAnsi="Arial Narrow" w:cs="Arial Narrow"/>
          <w:color w:val="000000" w:themeColor="text1"/>
          <w:lang w:eastAsia="es-ES"/>
        </w:rPr>
      </w:pPr>
      <w:r w:rsidRPr="005F10B9">
        <w:rPr>
          <w:rFonts w:ascii="Arial Narrow" w:hAnsi="Arial Narrow" w:cs="Arial Narrow"/>
          <w:color w:val="000000" w:themeColor="text1"/>
          <w:lang w:eastAsia="es-ES"/>
        </w:rPr>
        <w:t>Registro de las Posiciones Abiertas ganadas en la subasta:</w:t>
      </w:r>
    </w:p>
    <w:p w14:paraId="2A009652" w14:textId="77777777" w:rsidR="007968EC" w:rsidRPr="005F10B9" w:rsidRDefault="007968EC" w:rsidP="007968EC">
      <w:pPr>
        <w:jc w:val="both"/>
        <w:rPr>
          <w:rFonts w:ascii="Arial Narrow" w:eastAsia="Calibri" w:hAnsi="Arial Narrow"/>
          <w:b/>
          <w:bCs/>
          <w:color w:val="000000" w:themeColor="text1"/>
          <w:u w:val="single"/>
          <w:lang w:val="es-ES"/>
        </w:rPr>
      </w:pPr>
    </w:p>
    <w:p w14:paraId="73939556" w14:textId="77777777" w:rsidR="007968EC" w:rsidRPr="005F10B9" w:rsidRDefault="007968EC" w:rsidP="007968EC">
      <w:pPr>
        <w:jc w:val="both"/>
        <w:rPr>
          <w:rFonts w:ascii="Arial Narrow" w:eastAsia="Calibri" w:hAnsi="Arial Narrow"/>
          <w:bCs/>
          <w:color w:val="000000" w:themeColor="text1"/>
        </w:rPr>
      </w:pPr>
      <w:r w:rsidRPr="005F10B9">
        <w:rPr>
          <w:rFonts w:ascii="Arial Narrow" w:eastAsia="Calibri" w:hAnsi="Arial Narrow"/>
          <w:bCs/>
          <w:color w:val="000000" w:themeColor="text1"/>
        </w:rPr>
        <w:t xml:space="preserve">Una vez realizada la subasta de un portafolio a subastar, e independientemente de que pueda haber otros portafolios pendientes de subastar, la Cámara transferirá la Posición Abierta del portafolio subastado a la Cuenta de Registro de la Cuenta Propia del Miembro Liquidador o a las Cuentas de Registro de la Cuenta Propia de los Miembros Liquidadores cuyas pujas hayan resultado ganadoras. Dicha transferencia se podrá hacer i) para facilitar técnicamente la transferencia, registrando nuevas Posiciones Abiertas en la Cuenta de Registro de la Cuenta Propia de los Miembros Liquidadores ganadores o ii) traspasando las Posiciones Abiertas originales correspondientes al Portafolio Subastado del Miembro Liquidador Incumplido al Miembro </w:t>
      </w:r>
      <w:r w:rsidRPr="005F10B9">
        <w:rPr>
          <w:rFonts w:ascii="Arial Narrow" w:eastAsia="Calibri" w:hAnsi="Arial Narrow"/>
          <w:bCs/>
          <w:color w:val="000000" w:themeColor="text1"/>
        </w:rPr>
        <w:lastRenderedPageBreak/>
        <w:t>Liquidador ganador. En el caso de que un Miembro Liquidador haya ganado varias Unidades de Subasta de un mismo Portafolio Subastado, la Cámara agregará las Unidades de Subasta de cada Operación Swap. Los Miembros Liquidadores ganadores colaborarán con la Cámara en el registro de las Posiciones Abiertas ganadas en la subasta.</w:t>
      </w:r>
    </w:p>
    <w:p w14:paraId="7FD5045E" w14:textId="77777777" w:rsidR="007968EC" w:rsidRPr="005F10B9" w:rsidRDefault="007968EC" w:rsidP="007968EC">
      <w:pPr>
        <w:jc w:val="both"/>
        <w:rPr>
          <w:rFonts w:ascii="Arial Narrow" w:eastAsia="Calibri" w:hAnsi="Arial Narrow"/>
          <w:bCs/>
          <w:color w:val="000000" w:themeColor="text1"/>
        </w:rPr>
      </w:pPr>
    </w:p>
    <w:p w14:paraId="2A157B5E" w14:textId="77777777" w:rsidR="007968EC" w:rsidRPr="005F10B9" w:rsidRDefault="007968EC" w:rsidP="007968EC">
      <w:pPr>
        <w:jc w:val="both"/>
        <w:rPr>
          <w:rFonts w:ascii="Arial Narrow" w:eastAsia="Calibri" w:hAnsi="Arial Narrow"/>
          <w:bCs/>
          <w:color w:val="000000" w:themeColor="text1"/>
        </w:rPr>
      </w:pPr>
      <w:r w:rsidRPr="005F10B9">
        <w:rPr>
          <w:rFonts w:ascii="Arial Narrow" w:eastAsia="Calibri" w:hAnsi="Arial Narrow"/>
          <w:bCs/>
          <w:color w:val="000000" w:themeColor="text1"/>
        </w:rPr>
        <w:t>La Cámara confirmará a los ganadores de cada Portafolio Subastado, la fecha y el importe de la liquidación del resultado de la subasta.</w:t>
      </w:r>
    </w:p>
    <w:p w14:paraId="152A8A4F" w14:textId="77777777" w:rsidR="007968EC" w:rsidRPr="005F10B9" w:rsidRDefault="007968EC" w:rsidP="007968EC">
      <w:pPr>
        <w:jc w:val="both"/>
        <w:rPr>
          <w:rFonts w:ascii="Arial Narrow" w:eastAsia="Calibri" w:hAnsi="Arial Narrow"/>
          <w:bCs/>
          <w:color w:val="000000" w:themeColor="text1"/>
        </w:rPr>
      </w:pPr>
    </w:p>
    <w:p w14:paraId="1C08C547" w14:textId="77777777" w:rsidR="007968EC" w:rsidRPr="005F10B9" w:rsidRDefault="007968EC" w:rsidP="007968EC">
      <w:pPr>
        <w:jc w:val="both"/>
        <w:rPr>
          <w:rFonts w:ascii="Arial Narrow" w:eastAsia="Calibri" w:hAnsi="Arial Narrow"/>
          <w:bCs/>
          <w:color w:val="000000" w:themeColor="text1"/>
        </w:rPr>
      </w:pPr>
      <w:r w:rsidRPr="005F10B9">
        <w:rPr>
          <w:rFonts w:ascii="Arial Narrow" w:eastAsia="Calibri" w:hAnsi="Arial Narrow"/>
          <w:bCs/>
          <w:color w:val="000000" w:themeColor="text1"/>
        </w:rPr>
        <w:t>Para evitar cualquier duda, el pago de Cupones, pagos adicionales y PA de los Portafolios Subastados corresponde al Miembro Liquidador Incumplido hasta que se registre la Posición Abierta ganada en el Miembro Liquidador ganador.</w:t>
      </w:r>
    </w:p>
    <w:p w14:paraId="178500B3" w14:textId="77777777" w:rsidR="007968EC" w:rsidRPr="005F10B9" w:rsidRDefault="007968EC" w:rsidP="007968EC">
      <w:pPr>
        <w:jc w:val="both"/>
        <w:rPr>
          <w:rFonts w:ascii="Arial Narrow" w:eastAsia="Calibri" w:hAnsi="Arial Narrow"/>
          <w:bCs/>
          <w:color w:val="000000" w:themeColor="text1"/>
        </w:rPr>
      </w:pPr>
    </w:p>
    <w:p w14:paraId="64788693" w14:textId="77777777" w:rsidR="007968EC" w:rsidRPr="005F10B9" w:rsidRDefault="007968EC" w:rsidP="007968EC">
      <w:pPr>
        <w:jc w:val="both"/>
        <w:rPr>
          <w:rFonts w:ascii="Arial Narrow" w:eastAsia="Calibri" w:hAnsi="Arial Narrow"/>
          <w:bCs/>
          <w:color w:val="000000" w:themeColor="text1"/>
        </w:rPr>
      </w:pPr>
      <w:r w:rsidRPr="005F10B9">
        <w:rPr>
          <w:rFonts w:ascii="Arial Narrow" w:eastAsia="Calibri" w:hAnsi="Arial Narrow"/>
          <w:bCs/>
          <w:color w:val="000000" w:themeColor="text1"/>
        </w:rPr>
        <w:t>Los Miembros Liquidadores ganadores estarán obligados a pagar a la Cámara las cantidades resultantes de las pujas positivas, así como constituir la Garantía por Posición relacionada con la Posición Abierta ganada en la subasta.</w:t>
      </w:r>
    </w:p>
    <w:p w14:paraId="7ECFB467" w14:textId="77777777" w:rsidR="007968EC" w:rsidRPr="005F10B9" w:rsidRDefault="007968EC" w:rsidP="007968EC">
      <w:pPr>
        <w:jc w:val="both"/>
        <w:rPr>
          <w:rFonts w:ascii="Arial Narrow" w:eastAsia="Calibri" w:hAnsi="Arial Narrow"/>
          <w:bCs/>
          <w:color w:val="000000" w:themeColor="text1"/>
        </w:rPr>
      </w:pPr>
    </w:p>
    <w:p w14:paraId="0148CF0E" w14:textId="77777777" w:rsidR="007968EC" w:rsidRPr="005F10B9" w:rsidRDefault="007968EC" w:rsidP="007968EC">
      <w:pPr>
        <w:jc w:val="both"/>
        <w:rPr>
          <w:rFonts w:ascii="Arial Narrow" w:eastAsia="Calibri" w:hAnsi="Arial Narrow"/>
          <w:bCs/>
          <w:color w:val="000000" w:themeColor="text1"/>
        </w:rPr>
      </w:pPr>
      <w:r w:rsidRPr="005F10B9">
        <w:rPr>
          <w:rFonts w:ascii="Arial Narrow" w:eastAsia="Calibri" w:hAnsi="Arial Narrow"/>
          <w:bCs/>
          <w:color w:val="000000" w:themeColor="text1"/>
        </w:rPr>
        <w:t>La Cámara estará obligada a pagar a los Miembros Liquidadores ganadores las cantidades resultantes de las pujas negativas. El registro de la Posición Abierta se realizará simultáneamente al pago neto correspondiente a la subasta (Garantía por Posición relacionada con la Posición Abierta ganada en la subasta que tiene que constituir el Miembro Liquidador ganador menos el importe de la puja ganadora que tiene que pagar la Cámara).</w:t>
      </w:r>
    </w:p>
    <w:p w14:paraId="613BF478" w14:textId="77777777" w:rsidR="007968EC" w:rsidRPr="005F10B9" w:rsidRDefault="007968EC" w:rsidP="007968EC">
      <w:pPr>
        <w:jc w:val="both"/>
        <w:rPr>
          <w:rFonts w:ascii="Arial Narrow" w:eastAsia="Calibri" w:hAnsi="Arial Narrow"/>
          <w:bCs/>
          <w:color w:val="000000" w:themeColor="text1"/>
        </w:rPr>
      </w:pPr>
    </w:p>
    <w:p w14:paraId="541E9C20" w14:textId="77777777" w:rsidR="007968EC" w:rsidRPr="005F10B9" w:rsidRDefault="007968EC" w:rsidP="00DA7472">
      <w:pPr>
        <w:numPr>
          <w:ilvl w:val="0"/>
          <w:numId w:val="362"/>
        </w:numPr>
        <w:autoSpaceDE w:val="0"/>
        <w:autoSpaceDN w:val="0"/>
        <w:adjustRightInd w:val="0"/>
        <w:contextualSpacing/>
        <w:jc w:val="both"/>
        <w:rPr>
          <w:rFonts w:ascii="Arial Narrow" w:hAnsi="Arial Narrow" w:cs="Arial Narrow"/>
          <w:color w:val="000000" w:themeColor="text1"/>
          <w:lang w:eastAsia="es-ES"/>
        </w:rPr>
      </w:pPr>
      <w:r w:rsidRPr="005F10B9">
        <w:rPr>
          <w:rFonts w:ascii="Arial Narrow" w:hAnsi="Arial Narrow" w:cs="Arial Narrow"/>
          <w:color w:val="000000" w:themeColor="text1"/>
          <w:lang w:eastAsia="es-ES"/>
        </w:rPr>
        <w:t>Reparto de las pérdidas con recursos en posesión de la Cámara:</w:t>
      </w:r>
    </w:p>
    <w:p w14:paraId="35585895" w14:textId="77777777" w:rsidR="007968EC" w:rsidRPr="005F10B9" w:rsidRDefault="007968EC" w:rsidP="007968EC">
      <w:pPr>
        <w:jc w:val="both"/>
        <w:rPr>
          <w:rFonts w:ascii="Arial Narrow" w:eastAsia="Calibri" w:hAnsi="Arial Narrow"/>
          <w:b/>
          <w:bCs/>
          <w:color w:val="000000" w:themeColor="text1"/>
          <w:u w:val="single"/>
          <w:lang w:val="es-ES"/>
        </w:rPr>
      </w:pPr>
    </w:p>
    <w:p w14:paraId="194B279E" w14:textId="77777777" w:rsidR="007968EC" w:rsidRPr="005F10B9" w:rsidRDefault="007968EC" w:rsidP="007968EC">
      <w:pPr>
        <w:jc w:val="both"/>
        <w:rPr>
          <w:rFonts w:ascii="Arial Narrow" w:eastAsia="Calibri" w:hAnsi="Arial Narrow"/>
          <w:bCs/>
          <w:color w:val="000000" w:themeColor="text1"/>
          <w:lang w:val="es-ES"/>
        </w:rPr>
      </w:pPr>
      <w:r w:rsidRPr="005F10B9">
        <w:rPr>
          <w:rFonts w:ascii="Arial Narrow" w:eastAsia="Calibri" w:hAnsi="Arial Narrow"/>
          <w:bCs/>
          <w:color w:val="000000" w:themeColor="text1"/>
          <w:lang w:val="es-ES"/>
        </w:rPr>
        <w:t>Una vez finalizadas todas las subastas, la Cámara determinará si en alguna de ellas ha tenido lugar pérdidas, de modo que las CAPS deban usarse. En caso de producirse estas pérdidas la Cámara realizará una distribución de las pérdidas que está condicionada, en primer lugar, por el orden de reparto de los distintos Portafolios (en el caso de que exista más de un Portafolio), y en segundo lugar, por el propio Método de Reparto.</w:t>
      </w:r>
    </w:p>
    <w:p w14:paraId="733BA9EB" w14:textId="77777777" w:rsidR="007968EC" w:rsidRPr="005F10B9" w:rsidRDefault="007968EC" w:rsidP="007968EC">
      <w:pPr>
        <w:jc w:val="both"/>
        <w:rPr>
          <w:rFonts w:ascii="Arial Narrow" w:eastAsia="Calibri" w:hAnsi="Arial Narrow"/>
          <w:bCs/>
          <w:color w:val="000000" w:themeColor="text1"/>
          <w:lang w:val="es-ES"/>
        </w:rPr>
      </w:pPr>
    </w:p>
    <w:p w14:paraId="52F28E30" w14:textId="77777777" w:rsidR="007968EC" w:rsidRPr="005F10B9" w:rsidRDefault="007968EC" w:rsidP="007968EC">
      <w:pPr>
        <w:jc w:val="both"/>
        <w:rPr>
          <w:rFonts w:ascii="Arial Narrow" w:eastAsia="Calibri" w:hAnsi="Arial Narrow"/>
          <w:bCs/>
          <w:color w:val="000000" w:themeColor="text1"/>
          <w:lang w:val="es-ES"/>
        </w:rPr>
      </w:pPr>
      <w:r w:rsidRPr="005F10B9">
        <w:rPr>
          <w:rFonts w:ascii="Arial Narrow" w:eastAsia="Calibri" w:hAnsi="Arial Narrow"/>
          <w:bCs/>
          <w:color w:val="000000" w:themeColor="text1"/>
          <w:lang w:val="es-ES"/>
        </w:rPr>
        <w:t>El orden de reparto y método de reparto es el siguiente:</w:t>
      </w:r>
    </w:p>
    <w:p w14:paraId="3E459DFB" w14:textId="77777777" w:rsidR="007968EC" w:rsidRPr="005F10B9" w:rsidRDefault="007968EC" w:rsidP="007968EC">
      <w:pPr>
        <w:jc w:val="both"/>
        <w:rPr>
          <w:rFonts w:ascii="Arial Narrow" w:eastAsia="Calibri" w:hAnsi="Arial Narrow"/>
          <w:bCs/>
          <w:color w:val="000000" w:themeColor="text1"/>
          <w:lang w:val="es-ES"/>
        </w:rPr>
      </w:pPr>
    </w:p>
    <w:p w14:paraId="0FCA7829" w14:textId="77777777" w:rsidR="007968EC" w:rsidRPr="005F10B9" w:rsidRDefault="007968EC" w:rsidP="00DA7472">
      <w:pPr>
        <w:widowControl w:val="0"/>
        <w:numPr>
          <w:ilvl w:val="1"/>
          <w:numId w:val="345"/>
        </w:numPr>
        <w:tabs>
          <w:tab w:val="left" w:pos="1599"/>
        </w:tabs>
        <w:autoSpaceDE w:val="0"/>
        <w:autoSpaceDN w:val="0"/>
        <w:ind w:left="889"/>
        <w:jc w:val="both"/>
        <w:rPr>
          <w:rFonts w:ascii="Arial Narrow" w:eastAsia="Calibri" w:hAnsi="Arial Narrow"/>
          <w:bCs/>
          <w:color w:val="000000" w:themeColor="text1"/>
          <w:lang w:val="es-ES"/>
        </w:rPr>
      </w:pPr>
      <w:r w:rsidRPr="005F10B9">
        <w:rPr>
          <w:rFonts w:ascii="Arial Narrow" w:eastAsia="Calibri" w:hAnsi="Arial Narrow"/>
          <w:bCs/>
          <w:color w:val="000000" w:themeColor="text1"/>
          <w:lang w:val="es-ES"/>
        </w:rPr>
        <w:t>Portafolios subastados con beneficio.</w:t>
      </w:r>
    </w:p>
    <w:p w14:paraId="6570656E" w14:textId="77777777" w:rsidR="007968EC" w:rsidRPr="005F10B9" w:rsidRDefault="007968EC" w:rsidP="007968EC">
      <w:pPr>
        <w:widowControl w:val="0"/>
        <w:tabs>
          <w:tab w:val="left" w:pos="1599"/>
        </w:tabs>
        <w:autoSpaceDE w:val="0"/>
        <w:autoSpaceDN w:val="0"/>
        <w:ind w:left="1183"/>
        <w:jc w:val="both"/>
        <w:rPr>
          <w:rFonts w:ascii="Arial Narrow" w:eastAsia="Calibri" w:hAnsi="Arial Narrow"/>
          <w:bCs/>
          <w:color w:val="000000" w:themeColor="text1"/>
          <w:lang w:val="es-ES"/>
        </w:rPr>
      </w:pPr>
    </w:p>
    <w:p w14:paraId="23F01111" w14:textId="77777777" w:rsidR="007968EC" w:rsidRPr="005F10B9" w:rsidRDefault="007968EC" w:rsidP="00DA7472">
      <w:pPr>
        <w:numPr>
          <w:ilvl w:val="2"/>
          <w:numId w:val="345"/>
        </w:numPr>
        <w:tabs>
          <w:tab w:val="left" w:pos="1134"/>
        </w:tabs>
        <w:ind w:left="1172"/>
        <w:jc w:val="both"/>
        <w:rPr>
          <w:rFonts w:ascii="Arial Narrow" w:eastAsia="Calibri" w:hAnsi="Arial Narrow"/>
          <w:bCs/>
          <w:color w:val="000000" w:themeColor="text1"/>
          <w:lang w:eastAsia="es-CO"/>
        </w:rPr>
      </w:pPr>
      <w:r w:rsidRPr="005F10B9">
        <w:rPr>
          <w:rFonts w:ascii="Arial Narrow" w:eastAsia="Calibri" w:hAnsi="Arial Narrow"/>
          <w:bCs/>
          <w:color w:val="000000" w:themeColor="text1"/>
          <w:lang w:eastAsia="es-CO"/>
        </w:rPr>
        <w:t>En el caso de que se hayan producido beneficios en algún Portafolio Subastado no será necesario utilizar en este portafolio ninguna de las CAPS de los 3 niveles, y adicionalmente el beneficio y las CAPS asignadas al Portafolio Subastado con beneficios se podrá utilizar para compensar pérdidas de otros Portafolios Subastados en los que se hayan producido pérdidas en la subasta. El reparto de los beneficios y de las CAPS de Nivel 1 por una parte y de las CAPS de Nivel 2 por otra, entre los Portafolios Subastados con pérdidas pendientes de compensar, se realizará utilizando el mismo algoritmo utilizado para la asignación de las CAPS del Nivel 1 y 2, de acuerdo con numeral 2 del presente artículo referente a la c</w:t>
      </w:r>
      <w:r w:rsidRPr="005F10B9">
        <w:rPr>
          <w:rFonts w:ascii="Arial Narrow" w:eastAsia="Calibri" w:hAnsi="Arial Narrow"/>
          <w:color w:val="000000" w:themeColor="text1"/>
          <w:lang w:eastAsia="es-CO"/>
        </w:rPr>
        <w:t>antidad de recursos disponibles asignada a cada Portafolio a Subastar</w:t>
      </w:r>
      <w:r w:rsidRPr="005F10B9">
        <w:rPr>
          <w:rFonts w:ascii="Arial Narrow" w:eastAsia="Calibri" w:hAnsi="Arial Narrow"/>
          <w:bCs/>
          <w:color w:val="000000" w:themeColor="text1"/>
          <w:lang w:eastAsia="es-CO"/>
        </w:rPr>
        <w:t xml:space="preserve">. Los beneficios se considerarán </w:t>
      </w:r>
      <w:r w:rsidRPr="005F10B9">
        <w:rPr>
          <w:rFonts w:ascii="Arial Narrow" w:eastAsia="Calibri" w:hAnsi="Arial Narrow"/>
          <w:bCs/>
          <w:color w:val="000000" w:themeColor="text1"/>
          <w:lang w:eastAsia="es-CO"/>
        </w:rPr>
        <w:lastRenderedPageBreak/>
        <w:t>como CAPS de Nivel 1 a estos efectos. Las CAPS de Nivel 3 no se reparten en este momento, y se quedan para cada Miembro Liquidador como CAPS de Nivel 3 no utilizados pendientes de repartir en una bolsa de CAPS de Nivel 3 no utilizados para el caso de que sea necesario dicho reparto.</w:t>
      </w:r>
    </w:p>
    <w:p w14:paraId="4BCB866D" w14:textId="77777777" w:rsidR="007968EC" w:rsidRPr="005F10B9" w:rsidRDefault="007968EC" w:rsidP="007968EC">
      <w:pPr>
        <w:tabs>
          <w:tab w:val="left" w:pos="1134"/>
        </w:tabs>
        <w:ind w:left="1172"/>
        <w:jc w:val="both"/>
        <w:rPr>
          <w:rFonts w:ascii="Arial Narrow" w:eastAsia="Calibri" w:hAnsi="Arial Narrow"/>
          <w:bCs/>
          <w:color w:val="000000" w:themeColor="text1"/>
        </w:rPr>
      </w:pPr>
    </w:p>
    <w:p w14:paraId="59F0E7DA" w14:textId="77777777" w:rsidR="007968EC" w:rsidRPr="005F10B9" w:rsidRDefault="007968EC" w:rsidP="00DA7472">
      <w:pPr>
        <w:widowControl w:val="0"/>
        <w:numPr>
          <w:ilvl w:val="1"/>
          <w:numId w:val="345"/>
        </w:numPr>
        <w:tabs>
          <w:tab w:val="left" w:pos="1599"/>
        </w:tabs>
        <w:autoSpaceDE w:val="0"/>
        <w:autoSpaceDN w:val="0"/>
        <w:ind w:left="889"/>
        <w:jc w:val="both"/>
        <w:rPr>
          <w:rFonts w:ascii="Arial Narrow" w:eastAsia="Calibri" w:hAnsi="Arial Narrow"/>
          <w:bCs/>
          <w:color w:val="000000" w:themeColor="text1"/>
          <w:lang w:eastAsia="es-CO"/>
        </w:rPr>
      </w:pPr>
      <w:r w:rsidRPr="005F10B9">
        <w:rPr>
          <w:rFonts w:ascii="Arial Narrow" w:eastAsia="Calibri" w:hAnsi="Arial Narrow"/>
          <w:bCs/>
          <w:color w:val="000000" w:themeColor="text1"/>
          <w:lang w:eastAsia="es-CO"/>
        </w:rPr>
        <w:t xml:space="preserve">Portafolios subastados cuyas </w:t>
      </w:r>
      <w:r w:rsidRPr="005F10B9">
        <w:rPr>
          <w:rFonts w:ascii="Arial Narrow" w:eastAsia="Calibri" w:hAnsi="Arial Narrow"/>
          <w:bCs/>
          <w:color w:val="000000" w:themeColor="text1"/>
          <w:lang w:val="es-ES"/>
        </w:rPr>
        <w:t>pérdidas</w:t>
      </w:r>
      <w:r w:rsidRPr="005F10B9">
        <w:rPr>
          <w:rFonts w:ascii="Arial Narrow" w:eastAsia="Calibri" w:hAnsi="Arial Narrow"/>
          <w:bCs/>
          <w:color w:val="000000" w:themeColor="text1"/>
          <w:lang w:eastAsia="es-CO"/>
        </w:rPr>
        <w:t xml:space="preserve"> se cubren con parte de las CAPS de Nivel 1.</w:t>
      </w:r>
    </w:p>
    <w:p w14:paraId="09FB7163" w14:textId="77777777" w:rsidR="007968EC" w:rsidRPr="005F10B9" w:rsidRDefault="007968EC" w:rsidP="007968EC">
      <w:pPr>
        <w:ind w:left="463"/>
        <w:jc w:val="both"/>
        <w:rPr>
          <w:rFonts w:ascii="Arial Narrow" w:eastAsia="Calibri" w:hAnsi="Arial Narrow"/>
          <w:bCs/>
          <w:color w:val="000000" w:themeColor="text1"/>
        </w:rPr>
      </w:pPr>
    </w:p>
    <w:p w14:paraId="0E39989E" w14:textId="77777777" w:rsidR="007968EC" w:rsidRPr="005F10B9" w:rsidRDefault="007968EC" w:rsidP="00DA7472">
      <w:pPr>
        <w:numPr>
          <w:ilvl w:val="2"/>
          <w:numId w:val="345"/>
        </w:numPr>
        <w:ind w:left="1314"/>
        <w:jc w:val="both"/>
        <w:rPr>
          <w:rFonts w:ascii="Arial Narrow" w:eastAsia="Calibri" w:hAnsi="Arial Narrow"/>
          <w:bCs/>
          <w:color w:val="000000" w:themeColor="text1"/>
          <w:lang w:eastAsia="es-CO"/>
        </w:rPr>
      </w:pPr>
      <w:r w:rsidRPr="005F10B9">
        <w:rPr>
          <w:rFonts w:ascii="Arial Narrow" w:eastAsia="Calibri" w:hAnsi="Arial Narrow"/>
          <w:bCs/>
          <w:color w:val="000000" w:themeColor="text1"/>
          <w:lang w:eastAsia="es-CO"/>
        </w:rPr>
        <w:t>En el caso de que se hayan producido pérdidas en un Portafolio Subastado, pero éstas hayan sido inferiores a las CAPS de Nivel 1 asignadas a este Portafolio, será necesario utilizar en este portafolio parte de las CAPS de Nivel 1.</w:t>
      </w:r>
    </w:p>
    <w:p w14:paraId="52A09AF9" w14:textId="77777777" w:rsidR="007968EC" w:rsidRPr="005F10B9" w:rsidRDefault="007968EC" w:rsidP="007968EC">
      <w:pPr>
        <w:tabs>
          <w:tab w:val="left" w:pos="1134"/>
        </w:tabs>
        <w:ind w:left="1597"/>
        <w:jc w:val="both"/>
        <w:rPr>
          <w:rFonts w:ascii="Arial Narrow" w:eastAsia="Calibri" w:hAnsi="Arial Narrow"/>
          <w:bCs/>
          <w:color w:val="000000" w:themeColor="text1"/>
        </w:rPr>
      </w:pPr>
    </w:p>
    <w:p w14:paraId="7666176C" w14:textId="77777777" w:rsidR="007968EC" w:rsidRPr="005F10B9" w:rsidRDefault="007968EC" w:rsidP="00DA7472">
      <w:pPr>
        <w:numPr>
          <w:ilvl w:val="2"/>
          <w:numId w:val="345"/>
        </w:numPr>
        <w:ind w:left="1314"/>
        <w:jc w:val="both"/>
        <w:rPr>
          <w:rFonts w:ascii="Arial Narrow" w:eastAsia="Calibri" w:hAnsi="Arial Narrow"/>
          <w:bCs/>
          <w:color w:val="000000" w:themeColor="text1"/>
          <w:lang w:eastAsia="es-CO"/>
        </w:rPr>
      </w:pPr>
      <w:r w:rsidRPr="005F10B9">
        <w:rPr>
          <w:rFonts w:ascii="Arial Narrow" w:eastAsia="Calibri" w:hAnsi="Arial Narrow"/>
          <w:bCs/>
          <w:color w:val="000000" w:themeColor="text1"/>
          <w:lang w:eastAsia="es-CO"/>
        </w:rPr>
        <w:t xml:space="preserve">Las cantidades no utilizadas de las CAPS de Nivel 1 y todas las cantidades de las CAPS de Nivel 2 y Nivel 3 se repartirán entre los Portafolios en los que se hayan producido pérdidas superiores a las CAPS de Nivel 1. El reparto de las CAPS sobrantes de Nivel 1, de Nivel 2, y de Nivel 3 se realizará según lo establecido en el apartado a. </w:t>
      </w:r>
    </w:p>
    <w:p w14:paraId="459D89B0" w14:textId="77777777" w:rsidR="007968EC" w:rsidRPr="005F10B9" w:rsidRDefault="007968EC" w:rsidP="007968EC">
      <w:pPr>
        <w:ind w:left="1171"/>
        <w:rPr>
          <w:rFonts w:ascii="Arial Narrow" w:eastAsia="Calibri" w:hAnsi="Arial Narrow"/>
          <w:bCs/>
          <w:color w:val="000000" w:themeColor="text1"/>
          <w:lang w:eastAsia="es-CO"/>
        </w:rPr>
      </w:pPr>
    </w:p>
    <w:p w14:paraId="47B7FDBA" w14:textId="77777777" w:rsidR="007968EC" w:rsidRPr="005F10B9" w:rsidRDefault="007968EC" w:rsidP="00DA7472">
      <w:pPr>
        <w:widowControl w:val="0"/>
        <w:numPr>
          <w:ilvl w:val="1"/>
          <w:numId w:val="345"/>
        </w:numPr>
        <w:tabs>
          <w:tab w:val="left" w:pos="1599"/>
        </w:tabs>
        <w:autoSpaceDE w:val="0"/>
        <w:autoSpaceDN w:val="0"/>
        <w:ind w:left="889"/>
        <w:jc w:val="both"/>
        <w:rPr>
          <w:rFonts w:ascii="Arial Narrow" w:eastAsia="Calibri" w:hAnsi="Arial Narrow"/>
          <w:bCs/>
          <w:color w:val="000000" w:themeColor="text1"/>
          <w:lang w:eastAsia="es-CO"/>
        </w:rPr>
      </w:pPr>
      <w:r w:rsidRPr="005F10B9">
        <w:rPr>
          <w:rFonts w:ascii="Arial Narrow" w:eastAsia="Calibri" w:hAnsi="Arial Narrow"/>
          <w:bCs/>
          <w:color w:val="000000" w:themeColor="text1"/>
          <w:lang w:val="es-ES"/>
        </w:rPr>
        <w:t>Portafolios</w:t>
      </w:r>
      <w:r w:rsidRPr="005F10B9">
        <w:rPr>
          <w:rFonts w:ascii="Arial Narrow" w:eastAsia="Calibri" w:hAnsi="Arial Narrow"/>
          <w:bCs/>
          <w:color w:val="000000" w:themeColor="text1"/>
          <w:lang w:eastAsia="es-CO"/>
        </w:rPr>
        <w:t xml:space="preserve"> subastados cuyas pérdidas no se cubren con las CAPS de Nivel 1, pero se cubren utilizando parte de las CAPS de Nivel 2.</w:t>
      </w:r>
    </w:p>
    <w:p w14:paraId="788DABC6" w14:textId="77777777" w:rsidR="007968EC" w:rsidRPr="005F10B9" w:rsidRDefault="007968EC" w:rsidP="007968EC">
      <w:pPr>
        <w:tabs>
          <w:tab w:val="left" w:pos="1134"/>
        </w:tabs>
        <w:ind w:left="463"/>
        <w:jc w:val="both"/>
        <w:rPr>
          <w:rFonts w:ascii="Arial Narrow" w:eastAsia="Calibri" w:hAnsi="Arial Narrow"/>
          <w:bCs/>
          <w:color w:val="000000" w:themeColor="text1"/>
        </w:rPr>
      </w:pPr>
    </w:p>
    <w:p w14:paraId="6E03B7A6" w14:textId="77777777" w:rsidR="007968EC" w:rsidRPr="005F10B9" w:rsidRDefault="007968EC" w:rsidP="00DA7472">
      <w:pPr>
        <w:numPr>
          <w:ilvl w:val="2"/>
          <w:numId w:val="345"/>
        </w:numPr>
        <w:ind w:left="1314"/>
        <w:jc w:val="both"/>
        <w:rPr>
          <w:rFonts w:ascii="Arial Narrow" w:eastAsia="Calibri" w:hAnsi="Arial Narrow"/>
          <w:bCs/>
          <w:color w:val="000000" w:themeColor="text1"/>
          <w:lang w:eastAsia="es-CO"/>
        </w:rPr>
      </w:pPr>
      <w:r w:rsidRPr="005F10B9">
        <w:rPr>
          <w:rFonts w:ascii="Arial Narrow" w:eastAsia="Calibri" w:hAnsi="Arial Narrow"/>
          <w:bCs/>
          <w:color w:val="000000" w:themeColor="text1"/>
          <w:lang w:eastAsia="es-CO"/>
        </w:rPr>
        <w:t>En el caso de que se hayan producido pérdidas en un Portafolio Subastado y éstas hayan sido mayores que las CAPS de Nivel 1, pero inferiores a la suma de las CAPS de Nivel 1 y Nivel 2, será necesario utilizar en este Portafolio todos las CAPS de Nivel 1 y parte de las CAPS de Nivel 2.</w:t>
      </w:r>
    </w:p>
    <w:p w14:paraId="1FA94ABA" w14:textId="77777777" w:rsidR="007968EC" w:rsidRPr="005F10B9" w:rsidRDefault="007968EC" w:rsidP="007968EC">
      <w:pPr>
        <w:tabs>
          <w:tab w:val="left" w:pos="993"/>
        </w:tabs>
        <w:ind w:left="1532"/>
        <w:jc w:val="both"/>
        <w:rPr>
          <w:rFonts w:ascii="Arial Narrow" w:eastAsia="Calibri" w:hAnsi="Arial Narrow"/>
          <w:b/>
          <w:bCs/>
          <w:color w:val="000000" w:themeColor="text1"/>
          <w:lang w:eastAsia="es-CO"/>
        </w:rPr>
      </w:pPr>
    </w:p>
    <w:p w14:paraId="3CA478F1" w14:textId="77777777" w:rsidR="007968EC" w:rsidRPr="005F10B9" w:rsidRDefault="007968EC" w:rsidP="00DA7472">
      <w:pPr>
        <w:numPr>
          <w:ilvl w:val="2"/>
          <w:numId w:val="345"/>
        </w:numPr>
        <w:ind w:left="1314"/>
        <w:jc w:val="both"/>
        <w:rPr>
          <w:rFonts w:ascii="Arial Narrow" w:eastAsia="Calibri" w:hAnsi="Arial Narrow"/>
          <w:bCs/>
          <w:color w:val="000000" w:themeColor="text1"/>
          <w:lang w:eastAsia="es-CO"/>
        </w:rPr>
      </w:pPr>
      <w:r w:rsidRPr="005F10B9">
        <w:rPr>
          <w:rFonts w:ascii="Arial Narrow" w:eastAsia="Calibri" w:hAnsi="Arial Narrow"/>
          <w:bCs/>
          <w:color w:val="000000" w:themeColor="text1"/>
          <w:lang w:eastAsia="es-CO"/>
        </w:rPr>
        <w:t>Las cantidades no utilizadas de las CAPS de Nivel 2 y todas las cantidades de las CAPS de Nivel 3 se repartirán entre los Portafolios en los que se hayan producido pérdidas superiores a las CAPS de Nivel 1 y Nivel 2. El reparto de las CAPS sobrantes de Nivel 2 y de Nivel 3 se realizará según lo establecido en el apartado a.</w:t>
      </w:r>
    </w:p>
    <w:p w14:paraId="0CC0984F" w14:textId="77777777" w:rsidR="007968EC" w:rsidRPr="005F10B9" w:rsidRDefault="007968EC" w:rsidP="007968EC">
      <w:pPr>
        <w:tabs>
          <w:tab w:val="left" w:pos="993"/>
        </w:tabs>
        <w:ind w:left="1172"/>
        <w:jc w:val="both"/>
        <w:rPr>
          <w:rFonts w:ascii="Arial Narrow" w:eastAsia="Calibri" w:hAnsi="Arial Narrow"/>
          <w:bCs/>
          <w:color w:val="000000" w:themeColor="text1"/>
        </w:rPr>
      </w:pPr>
    </w:p>
    <w:p w14:paraId="539FD19C" w14:textId="77777777" w:rsidR="007968EC" w:rsidRPr="005F10B9" w:rsidRDefault="007968EC" w:rsidP="00DA7472">
      <w:pPr>
        <w:widowControl w:val="0"/>
        <w:numPr>
          <w:ilvl w:val="1"/>
          <w:numId w:val="345"/>
        </w:numPr>
        <w:tabs>
          <w:tab w:val="left" w:pos="1599"/>
        </w:tabs>
        <w:autoSpaceDE w:val="0"/>
        <w:autoSpaceDN w:val="0"/>
        <w:ind w:left="889"/>
        <w:jc w:val="both"/>
        <w:rPr>
          <w:rFonts w:ascii="Arial Narrow" w:eastAsia="Calibri" w:hAnsi="Arial Narrow"/>
          <w:bCs/>
          <w:color w:val="000000" w:themeColor="text1"/>
        </w:rPr>
      </w:pPr>
      <w:r w:rsidRPr="005F10B9">
        <w:rPr>
          <w:rFonts w:ascii="Arial Narrow" w:eastAsia="Calibri" w:hAnsi="Arial Narrow"/>
          <w:bCs/>
          <w:color w:val="000000" w:themeColor="text1"/>
          <w:lang w:eastAsia="es-CO"/>
        </w:rPr>
        <w:t>Portafolios</w:t>
      </w:r>
      <w:r w:rsidRPr="005F10B9">
        <w:rPr>
          <w:rFonts w:ascii="Arial Narrow" w:eastAsia="Calibri" w:hAnsi="Arial Narrow"/>
          <w:bCs/>
          <w:color w:val="000000" w:themeColor="text1"/>
        </w:rPr>
        <w:t xml:space="preserve"> subastados cuyas pérdidas no se cubren con las CAPS de Nivel 1 y de Nivel 2, pero se </w:t>
      </w:r>
      <w:r w:rsidRPr="005F10B9">
        <w:rPr>
          <w:rFonts w:ascii="Arial Narrow" w:eastAsia="Calibri" w:hAnsi="Arial Narrow"/>
          <w:bCs/>
          <w:color w:val="000000" w:themeColor="text1"/>
          <w:lang w:eastAsia="es-CO"/>
        </w:rPr>
        <w:t>cubren</w:t>
      </w:r>
      <w:r w:rsidRPr="005F10B9">
        <w:rPr>
          <w:rFonts w:ascii="Arial Narrow" w:eastAsia="Calibri" w:hAnsi="Arial Narrow"/>
          <w:bCs/>
          <w:color w:val="000000" w:themeColor="text1"/>
        </w:rPr>
        <w:t xml:space="preserve"> utilizando parte de las CAPS de Nivel 3. </w:t>
      </w:r>
    </w:p>
    <w:p w14:paraId="35392F61" w14:textId="77777777" w:rsidR="007968EC" w:rsidRPr="005F10B9" w:rsidRDefault="007968EC" w:rsidP="007968EC">
      <w:pPr>
        <w:widowControl w:val="0"/>
        <w:tabs>
          <w:tab w:val="left" w:pos="1599"/>
        </w:tabs>
        <w:autoSpaceDE w:val="0"/>
        <w:autoSpaceDN w:val="0"/>
        <w:ind w:left="889"/>
        <w:jc w:val="both"/>
        <w:rPr>
          <w:rFonts w:ascii="Arial Narrow" w:eastAsia="Calibri" w:hAnsi="Arial Narrow"/>
          <w:bCs/>
          <w:color w:val="000000" w:themeColor="text1"/>
        </w:rPr>
      </w:pPr>
    </w:p>
    <w:p w14:paraId="6DDB70AE" w14:textId="77777777" w:rsidR="007968EC" w:rsidRPr="005F10B9" w:rsidRDefault="007968EC" w:rsidP="00DA7472">
      <w:pPr>
        <w:numPr>
          <w:ilvl w:val="2"/>
          <w:numId w:val="345"/>
        </w:numPr>
        <w:ind w:left="1314"/>
        <w:jc w:val="both"/>
        <w:rPr>
          <w:rFonts w:ascii="Arial Narrow" w:eastAsia="Calibri" w:hAnsi="Arial Narrow"/>
          <w:bCs/>
          <w:color w:val="000000" w:themeColor="text1"/>
          <w:lang w:eastAsia="es-CO"/>
        </w:rPr>
      </w:pPr>
      <w:r w:rsidRPr="005F10B9">
        <w:rPr>
          <w:rFonts w:ascii="Arial Narrow" w:eastAsia="Calibri" w:hAnsi="Arial Narrow"/>
          <w:bCs/>
          <w:color w:val="000000" w:themeColor="text1"/>
          <w:lang w:eastAsia="es-CO"/>
        </w:rPr>
        <w:t>En el caso de que se hayan producido pérdidas en un Portafolio Subastado y éstas hayan sido mayores que las CAPS de Nivel 1 y Nivel 2, pero inferiores a la suma de las CAPS de Nivel 1, Nivel 2 y Nivel 3, será necesario utilizar en este portafolio todos las CAPS de Nivel 1, Nivel 2 y parte de las CAPS de Nivel 3.</w:t>
      </w:r>
    </w:p>
    <w:p w14:paraId="167EB840" w14:textId="77777777" w:rsidR="007968EC" w:rsidRPr="005F10B9" w:rsidRDefault="007968EC" w:rsidP="007968EC">
      <w:pPr>
        <w:ind w:left="1597"/>
        <w:jc w:val="both"/>
        <w:rPr>
          <w:rFonts w:ascii="Arial Narrow" w:eastAsia="Calibri" w:hAnsi="Arial Narrow"/>
          <w:bCs/>
          <w:color w:val="000000" w:themeColor="text1"/>
          <w:lang w:eastAsia="es-CO"/>
        </w:rPr>
      </w:pPr>
    </w:p>
    <w:p w14:paraId="166F3E9A" w14:textId="77777777" w:rsidR="007968EC" w:rsidRPr="005F10B9" w:rsidRDefault="007968EC" w:rsidP="00DA7472">
      <w:pPr>
        <w:numPr>
          <w:ilvl w:val="2"/>
          <w:numId w:val="345"/>
        </w:numPr>
        <w:ind w:left="1314"/>
        <w:jc w:val="both"/>
        <w:rPr>
          <w:rFonts w:ascii="Arial Narrow" w:eastAsia="Calibri" w:hAnsi="Arial Narrow"/>
          <w:bCs/>
          <w:color w:val="000000" w:themeColor="text1"/>
          <w:lang w:eastAsia="es-CO"/>
        </w:rPr>
      </w:pPr>
      <w:r w:rsidRPr="005F10B9">
        <w:rPr>
          <w:rFonts w:ascii="Arial Narrow" w:eastAsia="Calibri" w:hAnsi="Arial Narrow"/>
          <w:bCs/>
          <w:color w:val="000000" w:themeColor="text1"/>
          <w:lang w:eastAsia="es-CO"/>
        </w:rPr>
        <w:t>Las cantidades no utilizadas de las CAPS sobrantes de Nivel 3 se repartirán entre los Portafolios en los que se hayan producido pérdidas superiores a la suma de las CAPS de Nivel 1, Nivel 2 y Nivel 3.</w:t>
      </w:r>
    </w:p>
    <w:p w14:paraId="44C15B22" w14:textId="77777777" w:rsidR="007968EC" w:rsidRPr="005F10B9" w:rsidRDefault="007968EC" w:rsidP="007968EC">
      <w:pPr>
        <w:ind w:left="1171"/>
        <w:rPr>
          <w:rFonts w:ascii="Arial Narrow" w:eastAsia="Calibri" w:hAnsi="Arial Narrow"/>
          <w:bCs/>
          <w:color w:val="000000" w:themeColor="text1"/>
          <w:lang w:eastAsia="es-CO"/>
        </w:rPr>
      </w:pPr>
    </w:p>
    <w:p w14:paraId="48D2023D" w14:textId="77777777" w:rsidR="007968EC" w:rsidRPr="005F10B9" w:rsidRDefault="007968EC" w:rsidP="00DA7472">
      <w:pPr>
        <w:numPr>
          <w:ilvl w:val="2"/>
          <w:numId w:val="345"/>
        </w:numPr>
        <w:ind w:left="1314" w:hanging="142"/>
        <w:jc w:val="both"/>
        <w:rPr>
          <w:rFonts w:ascii="Arial Narrow" w:eastAsia="Calibri" w:hAnsi="Arial Narrow"/>
          <w:bCs/>
          <w:color w:val="000000" w:themeColor="text1"/>
          <w:lang w:eastAsia="es-CO"/>
        </w:rPr>
      </w:pPr>
      <w:r w:rsidRPr="005F10B9">
        <w:rPr>
          <w:rFonts w:ascii="Arial Narrow" w:eastAsia="Calibri" w:hAnsi="Arial Narrow"/>
          <w:bCs/>
          <w:color w:val="000000" w:themeColor="text1"/>
          <w:lang w:eastAsia="es-CO"/>
        </w:rPr>
        <w:t xml:space="preserve">Para determinar la utilización de las CAPS de Nivel 3 correspondientes a los aportes en el Fondo de Garantía Colectiva del Segmento Swaps de los Miembros Liquidadores Cumplidos </w:t>
      </w:r>
      <w:r w:rsidRPr="005F10B9">
        <w:rPr>
          <w:rFonts w:ascii="Arial Narrow" w:eastAsia="Calibri" w:hAnsi="Arial Narrow"/>
          <w:bCs/>
          <w:color w:val="000000" w:themeColor="text1"/>
          <w:lang w:eastAsia="es-CO"/>
        </w:rPr>
        <w:lastRenderedPageBreak/>
        <w:t>se seguirá lo dispuesto en el numeral 3 del artículo 2.7.6. del Reglamento de Funcionamiento, es decir, se imputará proporcionalmente a los Miembros Liquidadores Cumplidos en función del importe de las aportaciones de cada uno de ellos en el último periodo de actualización o reposición para este Segmento.</w:t>
      </w:r>
    </w:p>
    <w:p w14:paraId="3BACC4AA" w14:textId="77777777" w:rsidR="007968EC" w:rsidRPr="005F10B9" w:rsidRDefault="007968EC" w:rsidP="007968EC">
      <w:pPr>
        <w:ind w:left="1171"/>
        <w:rPr>
          <w:rFonts w:ascii="Arial Narrow" w:eastAsia="Calibri" w:hAnsi="Arial Narrow"/>
          <w:bCs/>
          <w:color w:val="000000" w:themeColor="text1"/>
          <w:lang w:eastAsia="es-CO"/>
        </w:rPr>
      </w:pPr>
    </w:p>
    <w:p w14:paraId="6E0173D0" w14:textId="77777777" w:rsidR="007968EC" w:rsidRPr="005F10B9" w:rsidRDefault="007968EC" w:rsidP="00DA7472">
      <w:pPr>
        <w:widowControl w:val="0"/>
        <w:numPr>
          <w:ilvl w:val="1"/>
          <w:numId w:val="345"/>
        </w:numPr>
        <w:tabs>
          <w:tab w:val="left" w:pos="1599"/>
        </w:tabs>
        <w:autoSpaceDE w:val="0"/>
        <w:autoSpaceDN w:val="0"/>
        <w:ind w:left="889"/>
        <w:jc w:val="both"/>
        <w:rPr>
          <w:rFonts w:ascii="Arial Narrow" w:eastAsia="Calibri" w:hAnsi="Arial Narrow"/>
          <w:bCs/>
          <w:color w:val="000000" w:themeColor="text1"/>
        </w:rPr>
      </w:pPr>
      <w:r w:rsidRPr="005F10B9">
        <w:rPr>
          <w:rFonts w:ascii="Arial Narrow" w:eastAsia="Calibri" w:hAnsi="Arial Narrow"/>
          <w:bCs/>
          <w:color w:val="000000" w:themeColor="text1"/>
        </w:rPr>
        <w:t xml:space="preserve">Portafolios Subastados cuyas pérdidas no se cubren con las CAPS de Nivel 1 y Nivel 2 y Nivel 3, pero se pueden cubrir con las CAPS sobrantes de otros Portafolios Subastados, obtenidos de acuerdo con la aplicación de los literales </w:t>
      </w:r>
      <w:proofErr w:type="spellStart"/>
      <w:r w:rsidRPr="005F10B9">
        <w:rPr>
          <w:rFonts w:ascii="Arial Narrow" w:eastAsia="Calibri" w:hAnsi="Arial Narrow"/>
          <w:bCs/>
          <w:color w:val="000000" w:themeColor="text1"/>
        </w:rPr>
        <w:t>a.i</w:t>
      </w:r>
      <w:proofErr w:type="spellEnd"/>
      <w:r w:rsidRPr="005F10B9">
        <w:rPr>
          <w:rFonts w:ascii="Arial Narrow" w:eastAsia="Calibri" w:hAnsi="Arial Narrow"/>
          <w:bCs/>
          <w:color w:val="000000" w:themeColor="text1"/>
        </w:rPr>
        <w:t xml:space="preserve">), </w:t>
      </w:r>
      <w:proofErr w:type="spellStart"/>
      <w:r w:rsidRPr="005F10B9">
        <w:rPr>
          <w:rFonts w:ascii="Arial Narrow" w:eastAsia="Calibri" w:hAnsi="Arial Narrow"/>
          <w:bCs/>
          <w:color w:val="000000" w:themeColor="text1"/>
        </w:rPr>
        <w:t>b.ii</w:t>
      </w:r>
      <w:proofErr w:type="spellEnd"/>
      <w:r w:rsidRPr="005F10B9">
        <w:rPr>
          <w:rFonts w:ascii="Arial Narrow" w:eastAsia="Calibri" w:hAnsi="Arial Narrow"/>
          <w:bCs/>
          <w:color w:val="000000" w:themeColor="text1"/>
        </w:rPr>
        <w:t xml:space="preserve">), </w:t>
      </w:r>
      <w:proofErr w:type="spellStart"/>
      <w:r w:rsidRPr="005F10B9">
        <w:rPr>
          <w:rFonts w:ascii="Arial Narrow" w:eastAsia="Calibri" w:hAnsi="Arial Narrow"/>
          <w:bCs/>
          <w:color w:val="000000" w:themeColor="text1"/>
        </w:rPr>
        <w:t>c.ii</w:t>
      </w:r>
      <w:proofErr w:type="spellEnd"/>
      <w:r w:rsidRPr="005F10B9">
        <w:rPr>
          <w:rFonts w:ascii="Arial Narrow" w:eastAsia="Calibri" w:hAnsi="Arial Narrow"/>
          <w:bCs/>
          <w:color w:val="000000" w:themeColor="text1"/>
        </w:rPr>
        <w:t>) y d ii).</w:t>
      </w:r>
    </w:p>
    <w:p w14:paraId="48C4EC65" w14:textId="77777777" w:rsidR="007968EC" w:rsidRPr="005F10B9" w:rsidRDefault="007968EC" w:rsidP="007968EC">
      <w:pPr>
        <w:tabs>
          <w:tab w:val="left" w:pos="851"/>
          <w:tab w:val="left" w:pos="992"/>
          <w:tab w:val="left" w:pos="1134"/>
        </w:tabs>
        <w:ind w:left="1183"/>
        <w:jc w:val="both"/>
        <w:rPr>
          <w:rFonts w:ascii="Arial Narrow" w:eastAsia="Calibri" w:hAnsi="Arial Narrow"/>
          <w:bCs/>
          <w:color w:val="000000" w:themeColor="text1"/>
        </w:rPr>
      </w:pPr>
    </w:p>
    <w:p w14:paraId="45ADC604" w14:textId="77777777" w:rsidR="007968EC" w:rsidRPr="005F10B9" w:rsidRDefault="007968EC" w:rsidP="00DA7472">
      <w:pPr>
        <w:numPr>
          <w:ilvl w:val="2"/>
          <w:numId w:val="345"/>
        </w:numPr>
        <w:ind w:left="1314"/>
        <w:jc w:val="both"/>
        <w:rPr>
          <w:rFonts w:ascii="Arial Narrow" w:eastAsia="Calibri" w:hAnsi="Arial Narrow"/>
          <w:bCs/>
          <w:color w:val="000000" w:themeColor="text1"/>
          <w:lang w:eastAsia="es-CO"/>
        </w:rPr>
      </w:pPr>
      <w:r w:rsidRPr="005F10B9">
        <w:rPr>
          <w:rFonts w:ascii="Arial Narrow" w:eastAsia="Calibri" w:hAnsi="Arial Narrow"/>
          <w:bCs/>
          <w:color w:val="000000" w:themeColor="text1"/>
          <w:lang w:eastAsia="es-CO"/>
        </w:rPr>
        <w:t>En primer lugar, habrá que repartir las CAPS sobrantes de otros Portafolios Subastados entre los Portafolios Subastados cuyas pérdidas hayan sido superiores a la suma de las CAPS de Nivel 1, Nivel 2 y Nivel 3 asignadas según las reglas anteriormente descritas. El método de reparto será el establecido en el numeral 2 del presente artículo referente a la cantidad de recursos disponibles asignada a cada Portafolio a Subastar, para el Nivel 3, utilizando las CAPS sobrantes de cada Miembro Liquidador y los Portafolios Subastados que estén en esta situación.</w:t>
      </w:r>
    </w:p>
    <w:p w14:paraId="369273CD" w14:textId="77777777" w:rsidR="007968EC" w:rsidRPr="005F10B9" w:rsidRDefault="007968EC" w:rsidP="007968EC">
      <w:pPr>
        <w:tabs>
          <w:tab w:val="left" w:pos="851"/>
          <w:tab w:val="left" w:pos="992"/>
          <w:tab w:val="left" w:pos="1134"/>
        </w:tabs>
        <w:ind w:left="1543"/>
        <w:jc w:val="both"/>
        <w:rPr>
          <w:rFonts w:ascii="Arial Narrow" w:eastAsia="Calibri" w:hAnsi="Arial Narrow"/>
          <w:bCs/>
          <w:color w:val="000000" w:themeColor="text1"/>
        </w:rPr>
      </w:pPr>
    </w:p>
    <w:p w14:paraId="2B714BFA" w14:textId="77777777" w:rsidR="007968EC" w:rsidRPr="005F10B9" w:rsidRDefault="007968EC" w:rsidP="00DA7472">
      <w:pPr>
        <w:numPr>
          <w:ilvl w:val="2"/>
          <w:numId w:val="345"/>
        </w:numPr>
        <w:ind w:left="1314"/>
        <w:jc w:val="both"/>
        <w:rPr>
          <w:rFonts w:ascii="Arial Narrow" w:eastAsia="Calibri" w:hAnsi="Arial Narrow"/>
          <w:bCs/>
          <w:color w:val="000000" w:themeColor="text1"/>
          <w:lang w:eastAsia="es-CO"/>
        </w:rPr>
      </w:pPr>
      <w:r w:rsidRPr="005F10B9">
        <w:rPr>
          <w:rFonts w:ascii="Arial Narrow" w:eastAsia="Calibri" w:hAnsi="Arial Narrow"/>
          <w:bCs/>
          <w:color w:val="000000" w:themeColor="text1"/>
          <w:lang w:eastAsia="es-CO"/>
        </w:rPr>
        <w:t>Una vez asignadas las nuevas CAPS a los Portafolios Subastados con pérdidas pendientes de compensar, se repetirán los procesos de reparto detallados en el literal</w:t>
      </w:r>
      <w:r w:rsidRPr="009C7241">
        <w:rPr>
          <w:rFonts w:ascii="Arial Narrow" w:eastAsia="Calibri" w:hAnsi="Arial Narrow"/>
          <w:bCs/>
          <w:color w:val="000000" w:themeColor="text1"/>
          <w:lang w:eastAsia="es-CO"/>
        </w:rPr>
        <w:t xml:space="preserve"> </w:t>
      </w:r>
      <w:r w:rsidRPr="005F10B9">
        <w:rPr>
          <w:rFonts w:ascii="Arial Narrow" w:eastAsia="Calibri" w:hAnsi="Arial Narrow"/>
          <w:bCs/>
          <w:color w:val="000000" w:themeColor="text1"/>
          <w:lang w:eastAsia="es-CO"/>
        </w:rPr>
        <w:t>d</w:t>
      </w:r>
      <w:r w:rsidRPr="009C7241">
        <w:rPr>
          <w:rFonts w:ascii="Arial Narrow" w:eastAsia="Calibri" w:hAnsi="Arial Narrow"/>
          <w:bCs/>
          <w:color w:val="000000" w:themeColor="text1"/>
          <w:lang w:eastAsia="es-CO"/>
        </w:rPr>
        <w:t>.</w:t>
      </w:r>
      <w:r w:rsidRPr="005F10B9">
        <w:rPr>
          <w:rFonts w:ascii="Arial Narrow" w:eastAsia="Calibri" w:hAnsi="Arial Narrow"/>
          <w:bCs/>
          <w:color w:val="000000" w:themeColor="text1"/>
          <w:lang w:eastAsia="es-CO"/>
        </w:rPr>
        <w:t xml:space="preserve"> anterior</w:t>
      </w:r>
    </w:p>
    <w:p w14:paraId="347C7AC1" w14:textId="77777777" w:rsidR="007968EC" w:rsidRPr="005F10B9" w:rsidRDefault="007968EC" w:rsidP="007968EC">
      <w:pPr>
        <w:ind w:left="1171"/>
        <w:rPr>
          <w:rFonts w:ascii="Arial Narrow" w:eastAsia="Calibri" w:hAnsi="Arial Narrow"/>
          <w:b/>
          <w:bCs/>
          <w:color w:val="000000" w:themeColor="text1"/>
          <w:lang w:eastAsia="es-CO"/>
        </w:rPr>
      </w:pPr>
    </w:p>
    <w:p w14:paraId="267E1C26" w14:textId="77777777" w:rsidR="007968EC" w:rsidRPr="005F10B9" w:rsidRDefault="007968EC" w:rsidP="00DA7472">
      <w:pPr>
        <w:numPr>
          <w:ilvl w:val="2"/>
          <w:numId w:val="345"/>
        </w:numPr>
        <w:ind w:left="1314"/>
        <w:jc w:val="both"/>
        <w:rPr>
          <w:rFonts w:ascii="Arial Narrow" w:eastAsia="Calibri" w:hAnsi="Arial Narrow"/>
          <w:bCs/>
          <w:color w:val="000000" w:themeColor="text1"/>
          <w:lang w:eastAsia="es-CO"/>
        </w:rPr>
      </w:pPr>
      <w:r w:rsidRPr="005F10B9">
        <w:rPr>
          <w:rFonts w:ascii="Arial Narrow" w:eastAsia="Calibri" w:hAnsi="Arial Narrow"/>
          <w:bCs/>
          <w:color w:val="000000" w:themeColor="text1"/>
          <w:lang w:eastAsia="es-CO"/>
        </w:rPr>
        <w:t>En el caso de que todavía hubiera Portafolios con pérdidas pendientes de compensar y todavía hubiera CAPS sobrantes de otros Portafolios Subastados, se dejará en este momento de repartir las pérdidas Portafolio a Portafolio:</w:t>
      </w:r>
    </w:p>
    <w:p w14:paraId="4F0AB612" w14:textId="77777777" w:rsidR="007968EC" w:rsidRPr="005F10B9" w:rsidRDefault="007968EC" w:rsidP="007968EC">
      <w:pPr>
        <w:ind w:left="1171"/>
        <w:rPr>
          <w:rFonts w:ascii="Arial Narrow" w:eastAsia="Calibri" w:hAnsi="Arial Narrow"/>
          <w:bCs/>
          <w:color w:val="000000" w:themeColor="text1"/>
        </w:rPr>
      </w:pPr>
    </w:p>
    <w:p w14:paraId="68F7A954" w14:textId="77777777" w:rsidR="007968EC" w:rsidRPr="005F10B9" w:rsidRDefault="007968EC" w:rsidP="00DA7472">
      <w:pPr>
        <w:numPr>
          <w:ilvl w:val="2"/>
          <w:numId w:val="338"/>
        </w:numPr>
        <w:ind w:left="1739" w:hanging="283"/>
        <w:jc w:val="both"/>
        <w:rPr>
          <w:rFonts w:ascii="Arial Narrow" w:eastAsia="Calibri" w:hAnsi="Arial Narrow"/>
          <w:bCs/>
          <w:color w:val="000000" w:themeColor="text1"/>
        </w:rPr>
      </w:pPr>
      <w:r w:rsidRPr="005F10B9">
        <w:rPr>
          <w:rFonts w:ascii="Arial Narrow" w:eastAsia="Calibri" w:hAnsi="Arial Narrow"/>
          <w:bCs/>
          <w:color w:val="000000" w:themeColor="text1"/>
        </w:rPr>
        <w:t xml:space="preserve">Se sumarán todas las pérdidas </w:t>
      </w:r>
      <w:r w:rsidRPr="005F10B9">
        <w:rPr>
          <w:rFonts w:ascii="Arial Narrow" w:eastAsia="Calibri" w:hAnsi="Arial Narrow"/>
          <w:bCs/>
          <w:color w:val="000000" w:themeColor="text1"/>
          <w:lang w:eastAsia="es-CO"/>
        </w:rPr>
        <w:t>pendientes</w:t>
      </w:r>
      <w:r w:rsidRPr="005F10B9">
        <w:rPr>
          <w:rFonts w:ascii="Arial Narrow" w:eastAsia="Calibri" w:hAnsi="Arial Narrow"/>
          <w:bCs/>
          <w:color w:val="000000" w:themeColor="text1"/>
        </w:rPr>
        <w:t xml:space="preserve"> de compensar.</w:t>
      </w:r>
    </w:p>
    <w:p w14:paraId="0027DEBA" w14:textId="77777777" w:rsidR="007968EC" w:rsidRPr="005F10B9" w:rsidRDefault="007968EC" w:rsidP="007968EC">
      <w:pPr>
        <w:ind w:left="1543"/>
        <w:jc w:val="both"/>
        <w:rPr>
          <w:rFonts w:ascii="Arial Narrow" w:eastAsia="Calibri" w:hAnsi="Arial Narrow"/>
          <w:bCs/>
          <w:color w:val="000000" w:themeColor="text1"/>
        </w:rPr>
      </w:pPr>
    </w:p>
    <w:p w14:paraId="14982591" w14:textId="77777777" w:rsidR="007968EC" w:rsidRPr="005F10B9" w:rsidRDefault="007968EC" w:rsidP="00DA7472">
      <w:pPr>
        <w:numPr>
          <w:ilvl w:val="2"/>
          <w:numId w:val="338"/>
        </w:numPr>
        <w:ind w:left="1739" w:hanging="283"/>
        <w:jc w:val="both"/>
        <w:rPr>
          <w:rFonts w:ascii="Arial Narrow" w:eastAsia="Calibri" w:hAnsi="Arial Narrow"/>
          <w:bCs/>
          <w:color w:val="000000" w:themeColor="text1"/>
        </w:rPr>
      </w:pPr>
      <w:r w:rsidRPr="005F10B9">
        <w:rPr>
          <w:rFonts w:ascii="Arial Narrow" w:eastAsia="Calibri" w:hAnsi="Arial Narrow"/>
          <w:bCs/>
          <w:color w:val="000000" w:themeColor="text1"/>
        </w:rPr>
        <w:t xml:space="preserve">Se sumarán todas las CAPS </w:t>
      </w:r>
      <w:r w:rsidRPr="005F10B9">
        <w:rPr>
          <w:rFonts w:ascii="Arial Narrow" w:eastAsia="Calibri" w:hAnsi="Arial Narrow"/>
          <w:bCs/>
          <w:color w:val="000000" w:themeColor="text1"/>
          <w:lang w:eastAsia="es-CO"/>
        </w:rPr>
        <w:t>sobrantes</w:t>
      </w:r>
      <w:r w:rsidRPr="005F10B9">
        <w:rPr>
          <w:rFonts w:ascii="Arial Narrow" w:eastAsia="Calibri" w:hAnsi="Arial Narrow"/>
          <w:bCs/>
          <w:color w:val="000000" w:themeColor="text1"/>
        </w:rPr>
        <w:t xml:space="preserve"> de otros Portafolios Subastados.</w:t>
      </w:r>
    </w:p>
    <w:p w14:paraId="2BE5F4A9" w14:textId="77777777" w:rsidR="007968EC" w:rsidRPr="005F10B9" w:rsidRDefault="007968EC" w:rsidP="007968EC">
      <w:pPr>
        <w:ind w:left="1543"/>
        <w:jc w:val="both"/>
        <w:rPr>
          <w:rFonts w:ascii="Arial Narrow" w:eastAsia="Calibri" w:hAnsi="Arial Narrow"/>
          <w:bCs/>
          <w:color w:val="000000" w:themeColor="text1"/>
        </w:rPr>
      </w:pPr>
    </w:p>
    <w:p w14:paraId="2FE7B618" w14:textId="77777777" w:rsidR="007968EC" w:rsidRPr="005F10B9" w:rsidRDefault="007968EC" w:rsidP="00DA7472">
      <w:pPr>
        <w:numPr>
          <w:ilvl w:val="2"/>
          <w:numId w:val="338"/>
        </w:numPr>
        <w:ind w:left="1739" w:hanging="283"/>
        <w:jc w:val="both"/>
        <w:rPr>
          <w:rFonts w:ascii="Arial Narrow" w:eastAsia="Calibri" w:hAnsi="Arial Narrow"/>
          <w:bCs/>
          <w:color w:val="000000" w:themeColor="text1"/>
        </w:rPr>
      </w:pPr>
      <w:r w:rsidRPr="005F10B9">
        <w:rPr>
          <w:rFonts w:ascii="Arial Narrow" w:eastAsia="Calibri" w:hAnsi="Arial Narrow"/>
          <w:bCs/>
          <w:color w:val="000000" w:themeColor="text1"/>
        </w:rPr>
        <w:t xml:space="preserve">Las CAPS utilizadas en este momento de las CAPS sobrantes de cada Miembro Liquidador con CAPS sobrantes se calcularán </w:t>
      </w:r>
      <w:r w:rsidRPr="005F10B9">
        <w:rPr>
          <w:rFonts w:ascii="Arial Narrow" w:eastAsia="Calibri" w:hAnsi="Arial Narrow"/>
          <w:bCs/>
          <w:color w:val="000000" w:themeColor="text1"/>
          <w:lang w:eastAsia="es-CO"/>
        </w:rPr>
        <w:t>multiplicando</w:t>
      </w:r>
      <w:r w:rsidRPr="005F10B9">
        <w:rPr>
          <w:rFonts w:ascii="Arial Narrow" w:eastAsia="Calibri" w:hAnsi="Arial Narrow"/>
          <w:bCs/>
          <w:color w:val="000000" w:themeColor="text1"/>
        </w:rPr>
        <w:t xml:space="preserve"> el total de pérdidas pendientes de compensar obtenido de la sumatoria de todas las pérdidas pendientes de compensar (e. iii) por las CAPS sobrantes del Miembro Liquidador y dividiendo por la suma de todos las CAPS sobrantes.</w:t>
      </w:r>
    </w:p>
    <w:p w14:paraId="67417355" w14:textId="77777777" w:rsidR="007968EC" w:rsidRPr="005F10B9" w:rsidRDefault="007968EC" w:rsidP="007968EC">
      <w:pPr>
        <w:tabs>
          <w:tab w:val="left" w:pos="851"/>
          <w:tab w:val="left" w:pos="992"/>
          <w:tab w:val="left" w:pos="1134"/>
        </w:tabs>
        <w:ind w:left="1080"/>
        <w:jc w:val="both"/>
        <w:rPr>
          <w:rFonts w:ascii="Arial Narrow" w:eastAsia="Calibri" w:hAnsi="Arial Narrow"/>
          <w:bCs/>
          <w:color w:val="000000" w:themeColor="text1"/>
        </w:rPr>
      </w:pPr>
    </w:p>
    <w:p w14:paraId="54F2820F" w14:textId="77777777" w:rsidR="007968EC" w:rsidRPr="005F10B9" w:rsidRDefault="007968EC" w:rsidP="00DA7472">
      <w:pPr>
        <w:numPr>
          <w:ilvl w:val="0"/>
          <w:numId w:val="362"/>
        </w:numPr>
        <w:autoSpaceDE w:val="0"/>
        <w:autoSpaceDN w:val="0"/>
        <w:adjustRightInd w:val="0"/>
        <w:contextualSpacing/>
        <w:jc w:val="both"/>
        <w:rPr>
          <w:rFonts w:ascii="Arial Narrow" w:hAnsi="Arial Narrow" w:cs="Arial Narrow"/>
          <w:color w:val="000000" w:themeColor="text1"/>
          <w:lang w:eastAsia="es-ES"/>
        </w:rPr>
      </w:pPr>
      <w:bookmarkStart w:id="6481" w:name="_Hlk501995120"/>
      <w:r w:rsidRPr="005F10B9">
        <w:rPr>
          <w:rFonts w:ascii="Arial Narrow" w:hAnsi="Arial Narrow" w:cs="Arial Narrow"/>
          <w:color w:val="000000" w:themeColor="text1"/>
          <w:lang w:eastAsia="es-ES"/>
        </w:rPr>
        <w:t xml:space="preserve">Distribución de las pérdidas pendientes de compensar: </w:t>
      </w:r>
    </w:p>
    <w:p w14:paraId="76744ECA" w14:textId="77777777" w:rsidR="007968EC" w:rsidRPr="005F10B9" w:rsidRDefault="007968EC" w:rsidP="007968EC">
      <w:pPr>
        <w:keepNext/>
        <w:tabs>
          <w:tab w:val="left" w:pos="1701"/>
        </w:tabs>
        <w:jc w:val="both"/>
        <w:outlineLvl w:val="2"/>
        <w:rPr>
          <w:rFonts w:ascii="Arial Narrow" w:eastAsia="Calibri" w:hAnsi="Arial Narrow" w:cs="Arial"/>
          <w:b/>
          <w:color w:val="000000" w:themeColor="text1"/>
          <w:u w:val="single"/>
          <w:lang w:eastAsia="es-ES"/>
        </w:rPr>
      </w:pPr>
    </w:p>
    <w:bookmarkEnd w:id="6481"/>
    <w:p w14:paraId="66FF9750" w14:textId="77777777" w:rsidR="007968EC" w:rsidRPr="0065788F" w:rsidRDefault="007968EC" w:rsidP="007968EC">
      <w:pPr>
        <w:ind w:left="284"/>
        <w:jc w:val="both"/>
        <w:rPr>
          <w:rFonts w:ascii="Arial Narrow" w:eastAsia="Calibri" w:hAnsi="Arial Narrow"/>
          <w:bCs/>
          <w:color w:val="000000" w:themeColor="text1"/>
          <w:lang w:val="es-ES"/>
        </w:rPr>
      </w:pPr>
      <w:r w:rsidRPr="0065788F">
        <w:rPr>
          <w:rFonts w:ascii="Arial Narrow" w:eastAsia="Calibri" w:hAnsi="Arial Narrow"/>
          <w:bCs/>
          <w:color w:val="000000" w:themeColor="text1"/>
          <w:lang w:val="es-ES"/>
        </w:rPr>
        <w:t>En el caso de que existieran todavía pérdidas pendientes de compensar, la Cámara continuará con la ejecución de las demás Garantías y recursos de conformidad con lo previsto los numerales 6 y siguientes del artículo 1.7.2.10. de la presente Circular.</w:t>
      </w:r>
    </w:p>
    <w:p w14:paraId="765CC2AF" w14:textId="77777777" w:rsidR="007968EC" w:rsidRPr="002C0D19" w:rsidRDefault="007968EC" w:rsidP="007968EC">
      <w:pPr>
        <w:rPr>
          <w:rFonts w:ascii="Arial Narrow" w:hAnsi="Arial Narrow" w:cs="Arial"/>
          <w:b/>
          <w:color w:val="000000" w:themeColor="text1"/>
          <w:lang w:val="es-ES" w:eastAsia="es-ES"/>
        </w:rPr>
      </w:pPr>
    </w:p>
    <w:p w14:paraId="5FA59F9F" w14:textId="77777777" w:rsidR="007968EC" w:rsidRPr="002C0D19" w:rsidRDefault="007968EC" w:rsidP="007968EC">
      <w:pPr>
        <w:rPr>
          <w:rFonts w:ascii="Arial Narrow" w:hAnsi="Arial Narrow" w:cs="Arial"/>
          <w:b/>
          <w:color w:val="000000" w:themeColor="text1"/>
          <w:lang w:val="es-ES" w:eastAsia="es-ES"/>
        </w:rPr>
      </w:pPr>
    </w:p>
    <w:p w14:paraId="6FE96DE7" w14:textId="77777777" w:rsidR="007968EC" w:rsidRPr="002C0D19" w:rsidRDefault="007968EC" w:rsidP="007968EC">
      <w:pPr>
        <w:rPr>
          <w:rFonts w:ascii="Arial Narrow" w:hAnsi="Arial Narrow" w:cs="Arial"/>
          <w:b/>
          <w:color w:val="000000" w:themeColor="text1"/>
          <w:lang w:val="es-ES" w:eastAsia="es-ES"/>
        </w:rPr>
      </w:pPr>
    </w:p>
    <w:p w14:paraId="692A1A45" w14:textId="77777777" w:rsidR="007968EC" w:rsidRPr="002C0D19" w:rsidRDefault="007968EC" w:rsidP="007968EC">
      <w:pPr>
        <w:rPr>
          <w:rFonts w:ascii="Arial Narrow" w:hAnsi="Arial Narrow" w:cs="Arial"/>
          <w:b/>
          <w:color w:val="000000" w:themeColor="text1"/>
          <w:lang w:val="es-ES" w:eastAsia="es-ES"/>
        </w:rPr>
      </w:pPr>
    </w:p>
    <w:p w14:paraId="0F3EC3E1" w14:textId="77777777" w:rsidR="007968EC" w:rsidRPr="00991BD9" w:rsidRDefault="007968EC" w:rsidP="007968EC">
      <w:pPr>
        <w:pStyle w:val="TTULO"/>
        <w:rPr>
          <w:lang w:val="es-ES"/>
        </w:rPr>
      </w:pPr>
      <w:bookmarkStart w:id="6482" w:name="_Toc479057302"/>
      <w:bookmarkStart w:id="6483" w:name="_Toc490066768"/>
      <w:bookmarkStart w:id="6484" w:name="_Toc31716589"/>
      <w:r w:rsidRPr="00991BD9">
        <w:rPr>
          <w:lang w:val="es-ES"/>
        </w:rPr>
        <w:lastRenderedPageBreak/>
        <w:t>ANEXOS</w:t>
      </w:r>
      <w:bookmarkEnd w:id="6482"/>
      <w:bookmarkEnd w:id="6483"/>
      <w:bookmarkEnd w:id="6484"/>
    </w:p>
    <w:p w14:paraId="75ED370C" w14:textId="77777777" w:rsidR="007968EC" w:rsidRPr="002C0D19" w:rsidRDefault="007968EC" w:rsidP="007968EC">
      <w:pPr>
        <w:pStyle w:val="TTULO"/>
        <w:rPr>
          <w:lang w:val="es-ES"/>
        </w:rPr>
      </w:pPr>
    </w:p>
    <w:p w14:paraId="2865BCEC" w14:textId="77777777" w:rsidR="007968EC" w:rsidRPr="005C4274" w:rsidRDefault="007968EC" w:rsidP="007968EC">
      <w:pPr>
        <w:pStyle w:val="TTULO"/>
        <w:rPr>
          <w:lang w:val="es-ES"/>
        </w:rPr>
      </w:pPr>
      <w:bookmarkStart w:id="6485" w:name="_Toc31716590"/>
      <w:r w:rsidRPr="005C4274">
        <w:rPr>
          <w:lang w:val="es-ES"/>
        </w:rPr>
        <w:t>ANEXO 1</w:t>
      </w:r>
      <w:bookmarkEnd w:id="6485"/>
    </w:p>
    <w:p w14:paraId="620D836C" w14:textId="77777777" w:rsidR="007968EC" w:rsidRPr="005C4274" w:rsidRDefault="007968EC" w:rsidP="007968EC">
      <w:pPr>
        <w:pStyle w:val="TTULO"/>
        <w:rPr>
          <w:lang w:val="es-ES"/>
        </w:rPr>
      </w:pPr>
    </w:p>
    <w:p w14:paraId="3B77B055" w14:textId="77777777" w:rsidR="007968EC" w:rsidRPr="0065788F" w:rsidRDefault="007968EC" w:rsidP="007968EC">
      <w:pPr>
        <w:ind w:firstLine="708"/>
        <w:jc w:val="center"/>
        <w:rPr>
          <w:rFonts w:ascii="Arial Narrow" w:hAnsi="Arial Narrow"/>
          <w:b/>
        </w:rPr>
      </w:pPr>
      <w:r w:rsidRPr="0065788F">
        <w:rPr>
          <w:rFonts w:ascii="Arial Narrow" w:hAnsi="Arial Narrow"/>
          <w:b/>
        </w:rPr>
        <w:t>SOLICITUD DE ADMISIÓN Y MODIFICACIÓN COMO MIEMBRO</w:t>
      </w:r>
    </w:p>
    <w:p w14:paraId="79B48E82" w14:textId="77777777" w:rsidR="007968EC" w:rsidRPr="002C0D19" w:rsidRDefault="007968EC" w:rsidP="007968EC">
      <w:pPr>
        <w:jc w:val="center"/>
        <w:rPr>
          <w:rFonts w:ascii="Arial Narrow" w:hAnsi="Arial Narrow" w:cs="Arial"/>
          <w:b/>
          <w:color w:val="000000" w:themeColor="text1"/>
          <w:lang w:val="es-ES" w:eastAsia="es-ES"/>
        </w:rPr>
      </w:pPr>
    </w:p>
    <w:p w14:paraId="1ECC0511" w14:textId="77777777" w:rsidR="007968EC" w:rsidRPr="005C4274" w:rsidRDefault="007968EC" w:rsidP="007968EC">
      <w:pPr>
        <w:jc w:val="center"/>
        <w:rPr>
          <w:rFonts w:ascii="Arial Narrow" w:hAnsi="Arial Narrow" w:cs="Arial"/>
          <w:b/>
          <w:i/>
          <w:color w:val="000000" w:themeColor="text1"/>
          <w:lang w:val="es-ES" w:eastAsia="es-ES"/>
        </w:rPr>
      </w:pPr>
      <w:r w:rsidRPr="005C4274">
        <w:rPr>
          <w:rFonts w:ascii="Arial Narrow" w:hAnsi="Arial Narrow" w:cs="Arial"/>
          <w:b/>
          <w:i/>
          <w:color w:val="000000" w:themeColor="text1"/>
          <w:lang w:val="es-ES" w:eastAsia="es-ES"/>
        </w:rPr>
        <w:t>Anexo 1.1. Carta de solicitud de admisión como Miembro</w:t>
      </w:r>
    </w:p>
    <w:p w14:paraId="13EB3020" w14:textId="77777777" w:rsidR="007968EC" w:rsidRPr="002C0D19" w:rsidRDefault="007968EC" w:rsidP="007968EC">
      <w:pPr>
        <w:jc w:val="center"/>
        <w:rPr>
          <w:rFonts w:ascii="Arial Narrow" w:hAnsi="Arial Narrow" w:cs="Arial"/>
          <w:color w:val="000000" w:themeColor="text1"/>
          <w:lang w:val="es-ES" w:eastAsia="es-ES"/>
        </w:rPr>
      </w:pPr>
    </w:p>
    <w:p w14:paraId="40A1F206" w14:textId="77777777" w:rsidR="007968EC" w:rsidRPr="002C0D19" w:rsidRDefault="007968EC" w:rsidP="007968EC">
      <w:pPr>
        <w:jc w:val="center"/>
        <w:rPr>
          <w:rFonts w:ascii="Arial Narrow" w:hAnsi="Arial Narrow" w:cs="Arial"/>
          <w:color w:val="000000" w:themeColor="text1"/>
          <w:lang w:val="es-ES" w:eastAsia="es-ES"/>
        </w:rPr>
      </w:pPr>
      <w:r w:rsidRPr="002C0D19">
        <w:rPr>
          <w:rFonts w:ascii="Arial Narrow" w:eastAsia="Calibri" w:hAnsi="Arial Narrow"/>
          <w:b/>
          <w:i/>
        </w:rPr>
        <w:t>(Este Anexo fue modificado mediante Circular 14 del 8 de agosto de 2017, publicada en el Boletín Normativo No. 015 del 8 de agosto de 2017</w:t>
      </w:r>
      <w:r>
        <w:rPr>
          <w:rFonts w:ascii="Arial Narrow" w:eastAsia="Calibri" w:hAnsi="Arial Narrow"/>
          <w:b/>
          <w:i/>
        </w:rPr>
        <w:t xml:space="preserve"> y mediante Circular 7 del 9 de mayo de 2018, publicada en el Boletín Normativo No. 010 del 9 de mayo de 2018. Rige a partir del 21</w:t>
      </w:r>
      <w:r w:rsidRPr="002C0D19">
        <w:rPr>
          <w:rFonts w:ascii="Arial Narrow" w:eastAsia="Calibri" w:hAnsi="Arial Narrow"/>
          <w:b/>
          <w:i/>
        </w:rPr>
        <w:t xml:space="preserve"> de </w:t>
      </w:r>
      <w:r>
        <w:rPr>
          <w:rFonts w:ascii="Arial Narrow" w:eastAsia="Calibri" w:hAnsi="Arial Narrow"/>
          <w:b/>
          <w:i/>
        </w:rPr>
        <w:t>mayo de 2018</w:t>
      </w:r>
      <w:r w:rsidRPr="002C0D19">
        <w:rPr>
          <w:rFonts w:ascii="Arial Narrow" w:eastAsia="Calibri" w:hAnsi="Arial Narrow"/>
          <w:b/>
          <w:i/>
        </w:rPr>
        <w:t>.)</w:t>
      </w:r>
    </w:p>
    <w:p w14:paraId="1FCEA513" w14:textId="77777777" w:rsidR="007968EC" w:rsidRPr="002C0D19" w:rsidRDefault="007968EC" w:rsidP="007968EC">
      <w:pPr>
        <w:jc w:val="both"/>
        <w:rPr>
          <w:rFonts w:ascii="Arial Narrow" w:hAnsi="Arial Narrow" w:cs="Arial"/>
          <w:color w:val="000000" w:themeColor="text1"/>
          <w:lang w:val="es-ES" w:eastAsia="es-ES"/>
        </w:rPr>
      </w:pPr>
    </w:p>
    <w:p w14:paraId="559F9C06" w14:textId="77777777" w:rsidR="007968EC" w:rsidRDefault="007968EC" w:rsidP="007968EC">
      <w:pPr>
        <w:jc w:val="both"/>
        <w:rPr>
          <w:rFonts w:ascii="Arial Narrow" w:hAnsi="Arial Narrow" w:cs="Arial"/>
          <w:b/>
          <w:bCs/>
          <w:i/>
          <w:color w:val="000000" w:themeColor="text1"/>
          <w:lang w:val="es-ES"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FFFFFF"/>
        <w:tblLayout w:type="fixed"/>
        <w:tblCellMar>
          <w:left w:w="70" w:type="dxa"/>
          <w:right w:w="70" w:type="dxa"/>
        </w:tblCellMar>
        <w:tblLook w:val="0000" w:firstRow="0" w:lastRow="0" w:firstColumn="0" w:lastColumn="0" w:noHBand="0" w:noVBand="0"/>
      </w:tblPr>
      <w:tblGrid>
        <w:gridCol w:w="1980"/>
        <w:gridCol w:w="5103"/>
        <w:gridCol w:w="2268"/>
      </w:tblGrid>
      <w:tr w:rsidR="007968EC" w:rsidRPr="003302FD" w14:paraId="3E93C7E2" w14:textId="77777777" w:rsidTr="007968EC">
        <w:trPr>
          <w:cantSplit/>
          <w:trHeight w:val="221"/>
        </w:trPr>
        <w:tc>
          <w:tcPr>
            <w:tcW w:w="1980" w:type="dxa"/>
            <w:vMerge w:val="restart"/>
            <w:shd w:val="clear" w:color="auto" w:fill="FFFFFF"/>
            <w:vAlign w:val="center"/>
          </w:tcPr>
          <w:p w14:paraId="67316F04" w14:textId="77777777" w:rsidR="007968EC" w:rsidRPr="003302FD" w:rsidRDefault="007968EC" w:rsidP="007968EC">
            <w:pPr>
              <w:tabs>
                <w:tab w:val="center" w:pos="4252"/>
                <w:tab w:val="right" w:pos="8504"/>
              </w:tabs>
              <w:jc w:val="center"/>
              <w:rPr>
                <w:rFonts w:ascii="Arial Narrow" w:hAnsi="Arial Narrow" w:cs="Arial"/>
                <w:b/>
                <w:i/>
                <w:lang w:val="es-ES" w:eastAsia="es-ES"/>
              </w:rPr>
            </w:pPr>
            <w:r w:rsidRPr="003302FD">
              <w:rPr>
                <w:rFonts w:ascii="Arial Narrow" w:hAnsi="Arial Narrow" w:cs="Arial"/>
                <w:b/>
                <w:noProof/>
                <w:lang w:eastAsia="es-CO"/>
              </w:rPr>
              <w:drawing>
                <wp:inline distT="0" distB="0" distL="0" distR="0" wp14:anchorId="77AE2CF4" wp14:editId="6FFF777C">
                  <wp:extent cx="871534" cy="432000"/>
                  <wp:effectExtent l="0" t="0" r="5080" b="6350"/>
                  <wp:docPr id="1" name="Imagen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71534" cy="432000"/>
                          </a:xfrm>
                          <a:prstGeom prst="rect">
                            <a:avLst/>
                          </a:prstGeom>
                          <a:noFill/>
                          <a:ln>
                            <a:noFill/>
                          </a:ln>
                        </pic:spPr>
                      </pic:pic>
                    </a:graphicData>
                  </a:graphic>
                </wp:inline>
              </w:drawing>
            </w:r>
          </w:p>
        </w:tc>
        <w:tc>
          <w:tcPr>
            <w:tcW w:w="5103" w:type="dxa"/>
            <w:shd w:val="clear" w:color="auto" w:fill="FFFFFF"/>
            <w:vAlign w:val="center"/>
          </w:tcPr>
          <w:p w14:paraId="6E7CC850" w14:textId="77777777" w:rsidR="007968EC" w:rsidRPr="003302FD" w:rsidRDefault="007968EC" w:rsidP="007968EC">
            <w:pPr>
              <w:tabs>
                <w:tab w:val="center" w:pos="4252"/>
                <w:tab w:val="right" w:pos="8504"/>
              </w:tabs>
              <w:jc w:val="center"/>
              <w:rPr>
                <w:rFonts w:ascii="Arial Narrow" w:hAnsi="Arial Narrow" w:cs="Arial"/>
                <w:b/>
                <w:lang w:val="es-ES" w:eastAsia="es-ES"/>
              </w:rPr>
            </w:pPr>
            <w:r w:rsidRPr="003302FD">
              <w:rPr>
                <w:rFonts w:ascii="Arial Narrow" w:hAnsi="Arial Narrow" w:cs="Arial"/>
                <w:b/>
                <w:lang w:val="es-ES" w:eastAsia="es-ES"/>
              </w:rPr>
              <w:t>FORMATO</w:t>
            </w:r>
          </w:p>
        </w:tc>
        <w:tc>
          <w:tcPr>
            <w:tcW w:w="2268" w:type="dxa"/>
            <w:shd w:val="clear" w:color="auto" w:fill="FFFFFF"/>
            <w:vAlign w:val="center"/>
          </w:tcPr>
          <w:p w14:paraId="441D996D" w14:textId="77777777" w:rsidR="007968EC" w:rsidRPr="003302FD" w:rsidRDefault="007968EC" w:rsidP="007968EC">
            <w:pPr>
              <w:tabs>
                <w:tab w:val="center" w:pos="4252"/>
                <w:tab w:val="right" w:pos="8504"/>
              </w:tabs>
              <w:rPr>
                <w:rFonts w:ascii="Arial Narrow" w:hAnsi="Arial Narrow" w:cs="Arial"/>
                <w:b/>
                <w:lang w:val="es-ES" w:eastAsia="es-ES"/>
              </w:rPr>
            </w:pPr>
            <w:r w:rsidRPr="003302FD">
              <w:rPr>
                <w:rFonts w:ascii="Arial Narrow" w:hAnsi="Arial Narrow" w:cs="Arial"/>
                <w:b/>
                <w:lang w:val="es-ES" w:eastAsia="es-ES"/>
              </w:rPr>
              <w:t>Código: FO GMI 010</w:t>
            </w:r>
          </w:p>
        </w:tc>
      </w:tr>
      <w:tr w:rsidR="007968EC" w:rsidRPr="003302FD" w14:paraId="21E7711C" w14:textId="77777777" w:rsidTr="007968EC">
        <w:trPr>
          <w:cantSplit/>
          <w:trHeight w:val="272"/>
        </w:trPr>
        <w:tc>
          <w:tcPr>
            <w:tcW w:w="1980" w:type="dxa"/>
            <w:vMerge/>
            <w:tcBorders>
              <w:bottom w:val="single" w:sz="4" w:space="0" w:color="auto"/>
            </w:tcBorders>
            <w:shd w:val="clear" w:color="auto" w:fill="FFFFFF"/>
          </w:tcPr>
          <w:p w14:paraId="46680869" w14:textId="77777777" w:rsidR="007968EC" w:rsidRPr="003302FD" w:rsidRDefault="007968EC" w:rsidP="007968EC">
            <w:pPr>
              <w:tabs>
                <w:tab w:val="center" w:pos="4252"/>
                <w:tab w:val="right" w:pos="8504"/>
              </w:tabs>
              <w:jc w:val="center"/>
              <w:rPr>
                <w:rFonts w:ascii="Arial Narrow" w:hAnsi="Arial Narrow" w:cs="Arial"/>
                <w:lang w:val="es-ES" w:eastAsia="es-ES"/>
              </w:rPr>
            </w:pPr>
          </w:p>
        </w:tc>
        <w:tc>
          <w:tcPr>
            <w:tcW w:w="5103" w:type="dxa"/>
            <w:vMerge w:val="restart"/>
            <w:tcBorders>
              <w:bottom w:val="single" w:sz="4" w:space="0" w:color="auto"/>
            </w:tcBorders>
            <w:shd w:val="clear" w:color="auto" w:fill="FFFFFF"/>
            <w:vAlign w:val="center"/>
          </w:tcPr>
          <w:p w14:paraId="20177FC9" w14:textId="77777777" w:rsidR="007968EC" w:rsidRPr="003302FD" w:rsidRDefault="007968EC" w:rsidP="007968EC">
            <w:pPr>
              <w:jc w:val="center"/>
              <w:rPr>
                <w:rFonts w:ascii="Arial Narrow" w:eastAsia="Calibri" w:hAnsi="Arial Narrow" w:cs="Arial"/>
                <w:b/>
                <w:lang w:eastAsia="es-ES"/>
              </w:rPr>
            </w:pPr>
            <w:r w:rsidRPr="003302FD">
              <w:rPr>
                <w:rFonts w:ascii="Arial Narrow" w:eastAsia="Calibri" w:hAnsi="Arial Narrow" w:cs="Arial"/>
                <w:b/>
                <w:lang w:eastAsia="es-ES"/>
              </w:rPr>
              <w:t>SOLICITUD DE ADMISIÓN COMO MIEMBRO DE LA CRCC S.A.</w:t>
            </w:r>
          </w:p>
        </w:tc>
        <w:tc>
          <w:tcPr>
            <w:tcW w:w="2268" w:type="dxa"/>
            <w:tcBorders>
              <w:bottom w:val="single" w:sz="4" w:space="0" w:color="auto"/>
            </w:tcBorders>
            <w:shd w:val="clear" w:color="auto" w:fill="FFFFFF"/>
            <w:vAlign w:val="center"/>
          </w:tcPr>
          <w:p w14:paraId="408DFB1D" w14:textId="77777777" w:rsidR="007968EC" w:rsidRPr="003302FD" w:rsidRDefault="007968EC" w:rsidP="007968EC">
            <w:pPr>
              <w:tabs>
                <w:tab w:val="center" w:pos="4252"/>
                <w:tab w:val="right" w:pos="8504"/>
              </w:tabs>
              <w:rPr>
                <w:rFonts w:ascii="Arial Narrow" w:hAnsi="Arial Narrow" w:cs="Arial"/>
                <w:b/>
                <w:lang w:val="es-ES" w:eastAsia="es-ES"/>
              </w:rPr>
            </w:pPr>
            <w:r w:rsidRPr="003302FD">
              <w:rPr>
                <w:rFonts w:ascii="Arial Narrow" w:hAnsi="Arial Narrow" w:cs="Arial"/>
                <w:b/>
                <w:lang w:val="es-ES" w:eastAsia="es-ES"/>
              </w:rPr>
              <w:t>Versión: 1.0</w:t>
            </w:r>
          </w:p>
        </w:tc>
      </w:tr>
      <w:tr w:rsidR="007968EC" w:rsidRPr="003302FD" w14:paraId="32591990" w14:textId="77777777" w:rsidTr="007968EC">
        <w:trPr>
          <w:cantSplit/>
          <w:trHeight w:val="375"/>
        </w:trPr>
        <w:tc>
          <w:tcPr>
            <w:tcW w:w="1980" w:type="dxa"/>
            <w:vMerge/>
            <w:shd w:val="clear" w:color="auto" w:fill="FFFFFF"/>
          </w:tcPr>
          <w:p w14:paraId="46EB1663" w14:textId="77777777" w:rsidR="007968EC" w:rsidRPr="003302FD" w:rsidRDefault="007968EC" w:rsidP="007968EC">
            <w:pPr>
              <w:tabs>
                <w:tab w:val="center" w:pos="4252"/>
                <w:tab w:val="right" w:pos="8504"/>
              </w:tabs>
              <w:jc w:val="center"/>
              <w:rPr>
                <w:rFonts w:ascii="Arial Narrow" w:hAnsi="Arial Narrow" w:cs="Arial"/>
                <w:lang w:val="es-ES" w:eastAsia="es-ES"/>
              </w:rPr>
            </w:pPr>
          </w:p>
        </w:tc>
        <w:tc>
          <w:tcPr>
            <w:tcW w:w="5103" w:type="dxa"/>
            <w:vMerge/>
            <w:shd w:val="clear" w:color="auto" w:fill="FFFFFF"/>
            <w:vAlign w:val="center"/>
          </w:tcPr>
          <w:p w14:paraId="43C6BE4A" w14:textId="77777777" w:rsidR="007968EC" w:rsidRPr="003302FD" w:rsidRDefault="007968EC" w:rsidP="007968EC">
            <w:pPr>
              <w:tabs>
                <w:tab w:val="center" w:pos="4252"/>
                <w:tab w:val="right" w:pos="8504"/>
              </w:tabs>
              <w:jc w:val="center"/>
              <w:rPr>
                <w:rFonts w:ascii="Arial Narrow" w:hAnsi="Arial Narrow" w:cs="Arial"/>
                <w:b/>
                <w:lang w:val="es-ES" w:eastAsia="es-ES"/>
              </w:rPr>
            </w:pPr>
          </w:p>
        </w:tc>
        <w:tc>
          <w:tcPr>
            <w:tcW w:w="2268" w:type="dxa"/>
            <w:shd w:val="clear" w:color="auto" w:fill="FFFFFF"/>
            <w:vAlign w:val="center"/>
          </w:tcPr>
          <w:p w14:paraId="3A7EED0F" w14:textId="77777777" w:rsidR="007968EC" w:rsidRPr="003302FD" w:rsidRDefault="007968EC" w:rsidP="007968EC">
            <w:pPr>
              <w:tabs>
                <w:tab w:val="center" w:pos="4252"/>
                <w:tab w:val="right" w:pos="8504"/>
              </w:tabs>
              <w:rPr>
                <w:rFonts w:ascii="Arial Narrow" w:hAnsi="Arial Narrow" w:cs="Arial"/>
                <w:b/>
                <w:lang w:val="es-ES" w:eastAsia="es-ES"/>
              </w:rPr>
            </w:pPr>
            <w:r w:rsidRPr="003302FD">
              <w:rPr>
                <w:rFonts w:ascii="Arial Narrow" w:hAnsi="Arial Narrow" w:cs="Arial"/>
                <w:b/>
                <w:lang w:val="es-ES" w:eastAsia="es-ES"/>
              </w:rPr>
              <w:t>Página 1 de 4</w:t>
            </w:r>
          </w:p>
        </w:tc>
      </w:tr>
    </w:tbl>
    <w:p w14:paraId="1F367D3C" w14:textId="77777777" w:rsidR="007968EC" w:rsidRPr="003302FD" w:rsidRDefault="007968EC" w:rsidP="007968EC">
      <w:pPr>
        <w:jc w:val="both"/>
        <w:rPr>
          <w:rFonts w:ascii="Arial Narrow" w:hAnsi="Arial Narrow" w:cs="Arial"/>
          <w:lang w:val="es-ES" w:eastAsia="es-ES"/>
        </w:rPr>
      </w:pPr>
    </w:p>
    <w:p w14:paraId="086F2B0F" w14:textId="77777777" w:rsidR="007968EC" w:rsidRPr="003302FD" w:rsidRDefault="007968EC" w:rsidP="007968EC">
      <w:pPr>
        <w:ind w:left="851"/>
        <w:jc w:val="both"/>
        <w:rPr>
          <w:rFonts w:ascii="Arial Narrow" w:hAnsi="Arial Narrow" w:cs="Arial"/>
          <w:lang w:val="es-MX" w:eastAsia="es-ES"/>
        </w:rPr>
      </w:pPr>
      <w:r w:rsidRPr="003302FD">
        <w:rPr>
          <w:rFonts w:ascii="Arial Narrow" w:hAnsi="Arial Narrow" w:cs="Arial"/>
          <w:lang w:val="es-MX" w:eastAsia="es-ES"/>
        </w:rPr>
        <w:t>Bogotá,</w:t>
      </w:r>
    </w:p>
    <w:p w14:paraId="2BD3A422" w14:textId="77777777" w:rsidR="007968EC" w:rsidRPr="003302FD" w:rsidRDefault="007968EC" w:rsidP="007968EC">
      <w:pPr>
        <w:ind w:left="851"/>
        <w:jc w:val="both"/>
        <w:rPr>
          <w:rFonts w:ascii="Arial Narrow" w:hAnsi="Arial Narrow" w:cs="Arial"/>
          <w:lang w:val="es-ES" w:eastAsia="es-ES"/>
        </w:rPr>
      </w:pPr>
    </w:p>
    <w:p w14:paraId="714C8357" w14:textId="77777777" w:rsidR="007968EC" w:rsidRPr="003302FD" w:rsidRDefault="007968EC" w:rsidP="007968EC">
      <w:pPr>
        <w:jc w:val="both"/>
        <w:rPr>
          <w:rFonts w:ascii="Arial Narrow" w:hAnsi="Arial Narrow" w:cs="Arial"/>
          <w:lang w:val="es-ES" w:eastAsia="es-ES"/>
        </w:rPr>
      </w:pPr>
    </w:p>
    <w:p w14:paraId="1F579C64" w14:textId="77777777" w:rsidR="007968EC" w:rsidRPr="003302FD" w:rsidRDefault="007968EC" w:rsidP="007968EC">
      <w:pPr>
        <w:jc w:val="both"/>
        <w:rPr>
          <w:rFonts w:ascii="Arial Narrow" w:hAnsi="Arial Narrow" w:cs="Arial"/>
          <w:lang w:val="es-ES" w:eastAsia="es-ES"/>
        </w:rPr>
      </w:pPr>
    </w:p>
    <w:p w14:paraId="7F175E7F" w14:textId="77777777" w:rsidR="007968EC" w:rsidRPr="003302FD" w:rsidRDefault="007968EC" w:rsidP="007968EC">
      <w:pPr>
        <w:ind w:left="851"/>
        <w:jc w:val="both"/>
        <w:rPr>
          <w:rFonts w:ascii="Arial Narrow" w:hAnsi="Arial Narrow" w:cs="Arial"/>
          <w:lang w:val="es-ES" w:eastAsia="es-ES"/>
        </w:rPr>
      </w:pPr>
      <w:bookmarkStart w:id="6486" w:name="_Toc470781235"/>
      <w:bookmarkStart w:id="6487" w:name="_Toc470784819"/>
      <w:bookmarkStart w:id="6488" w:name="_Toc470785357"/>
      <w:bookmarkStart w:id="6489" w:name="_Toc470791751"/>
      <w:bookmarkStart w:id="6490" w:name="_Toc471831963"/>
      <w:bookmarkStart w:id="6491" w:name="_Toc490079570"/>
      <w:r w:rsidRPr="003302FD">
        <w:rPr>
          <w:rFonts w:ascii="Arial Narrow" w:hAnsi="Arial Narrow" w:cs="Arial"/>
          <w:lang w:val="es-ES" w:eastAsia="es-ES"/>
        </w:rPr>
        <w:t>Doctor</w:t>
      </w:r>
      <w:bookmarkEnd w:id="6486"/>
      <w:bookmarkEnd w:id="6487"/>
      <w:bookmarkEnd w:id="6488"/>
      <w:bookmarkEnd w:id="6489"/>
      <w:bookmarkEnd w:id="6490"/>
      <w:bookmarkEnd w:id="6491"/>
    </w:p>
    <w:p w14:paraId="3E913ADA" w14:textId="77777777" w:rsidR="007968EC" w:rsidRPr="003302FD" w:rsidRDefault="007968EC" w:rsidP="007968EC">
      <w:pPr>
        <w:ind w:left="851"/>
        <w:jc w:val="both"/>
        <w:rPr>
          <w:rFonts w:ascii="Arial Narrow" w:hAnsi="Arial Narrow" w:cs="Arial"/>
          <w:lang w:val="es-ES" w:eastAsia="es-ES"/>
        </w:rPr>
      </w:pPr>
      <w:bookmarkStart w:id="6492" w:name="_Toc470781236"/>
      <w:bookmarkStart w:id="6493" w:name="_Toc470784820"/>
      <w:bookmarkStart w:id="6494" w:name="_Toc470785358"/>
      <w:bookmarkStart w:id="6495" w:name="_Toc470791752"/>
      <w:bookmarkStart w:id="6496" w:name="_Toc471831964"/>
      <w:bookmarkStart w:id="6497" w:name="_Toc490079571"/>
      <w:r w:rsidRPr="003302FD">
        <w:rPr>
          <w:rFonts w:ascii="Arial Narrow" w:hAnsi="Arial Narrow" w:cs="Arial"/>
          <w:lang w:val="es-ES" w:eastAsia="es-ES"/>
        </w:rPr>
        <w:t>__________________</w:t>
      </w:r>
      <w:bookmarkEnd w:id="6492"/>
      <w:bookmarkEnd w:id="6493"/>
      <w:bookmarkEnd w:id="6494"/>
      <w:bookmarkEnd w:id="6495"/>
      <w:bookmarkEnd w:id="6496"/>
      <w:bookmarkEnd w:id="6497"/>
    </w:p>
    <w:p w14:paraId="648B9BD4" w14:textId="77777777" w:rsidR="007968EC" w:rsidRPr="003302FD" w:rsidRDefault="007968EC" w:rsidP="007968EC">
      <w:pPr>
        <w:ind w:left="851"/>
        <w:jc w:val="both"/>
        <w:rPr>
          <w:rFonts w:ascii="Arial Narrow" w:hAnsi="Arial Narrow" w:cs="Arial"/>
          <w:lang w:val="es-ES" w:eastAsia="es-ES"/>
        </w:rPr>
      </w:pPr>
      <w:bookmarkStart w:id="6498" w:name="_Toc470781237"/>
      <w:bookmarkStart w:id="6499" w:name="_Toc470784821"/>
      <w:bookmarkStart w:id="6500" w:name="_Toc470785359"/>
      <w:bookmarkStart w:id="6501" w:name="_Toc470791753"/>
      <w:bookmarkStart w:id="6502" w:name="_Toc471831965"/>
      <w:bookmarkStart w:id="6503" w:name="_Toc490079572"/>
      <w:r w:rsidRPr="003302FD">
        <w:rPr>
          <w:rFonts w:ascii="Arial Narrow" w:hAnsi="Arial Narrow" w:cs="Arial"/>
          <w:lang w:val="es-ES" w:eastAsia="es-ES"/>
        </w:rPr>
        <w:t>Gerente</w:t>
      </w:r>
      <w:bookmarkEnd w:id="6498"/>
      <w:bookmarkEnd w:id="6499"/>
      <w:bookmarkEnd w:id="6500"/>
      <w:bookmarkEnd w:id="6501"/>
      <w:bookmarkEnd w:id="6502"/>
      <w:bookmarkEnd w:id="6503"/>
    </w:p>
    <w:p w14:paraId="5AE5FDAA" w14:textId="77777777" w:rsidR="007968EC" w:rsidRPr="003302FD" w:rsidRDefault="007968EC" w:rsidP="007968EC">
      <w:pPr>
        <w:ind w:left="851"/>
        <w:jc w:val="both"/>
        <w:rPr>
          <w:rFonts w:ascii="Arial Narrow" w:hAnsi="Arial Narrow" w:cs="Arial"/>
          <w:lang w:val="es-ES" w:eastAsia="es-ES"/>
        </w:rPr>
      </w:pPr>
      <w:bookmarkStart w:id="6504" w:name="_Toc470781238"/>
      <w:bookmarkStart w:id="6505" w:name="_Toc470784822"/>
      <w:bookmarkStart w:id="6506" w:name="_Toc470785360"/>
      <w:bookmarkStart w:id="6507" w:name="_Toc470791754"/>
      <w:bookmarkStart w:id="6508" w:name="_Toc471831966"/>
      <w:bookmarkStart w:id="6509" w:name="_Toc490079573"/>
      <w:r w:rsidRPr="003302FD">
        <w:rPr>
          <w:rFonts w:ascii="Arial Narrow" w:hAnsi="Arial Narrow" w:cs="Arial"/>
          <w:lang w:val="es-ES" w:eastAsia="es-ES"/>
        </w:rPr>
        <w:t>Cámara de Riesgo Central de Contraparte de Colombia S.A.</w:t>
      </w:r>
      <w:bookmarkEnd w:id="6504"/>
      <w:bookmarkEnd w:id="6505"/>
      <w:bookmarkEnd w:id="6506"/>
      <w:bookmarkEnd w:id="6507"/>
      <w:bookmarkEnd w:id="6508"/>
      <w:bookmarkEnd w:id="6509"/>
      <w:r w:rsidRPr="003302FD">
        <w:rPr>
          <w:rFonts w:ascii="Arial Narrow" w:hAnsi="Arial Narrow" w:cs="Arial"/>
          <w:lang w:val="es-ES" w:eastAsia="es-ES"/>
        </w:rPr>
        <w:t xml:space="preserve"> </w:t>
      </w:r>
    </w:p>
    <w:p w14:paraId="444140F1" w14:textId="77777777" w:rsidR="007968EC" w:rsidRPr="003302FD" w:rsidRDefault="007968EC" w:rsidP="007968EC">
      <w:pPr>
        <w:ind w:left="851"/>
        <w:jc w:val="both"/>
        <w:rPr>
          <w:rFonts w:ascii="Arial Narrow" w:hAnsi="Arial Narrow" w:cs="Arial"/>
          <w:lang w:val="es-ES" w:eastAsia="es-ES"/>
        </w:rPr>
      </w:pPr>
      <w:r w:rsidRPr="003302FD">
        <w:rPr>
          <w:rFonts w:ascii="Arial Narrow" w:hAnsi="Arial Narrow" w:cs="Arial"/>
          <w:lang w:val="es-ES" w:eastAsia="es-ES"/>
        </w:rPr>
        <w:t>Ciudad</w:t>
      </w:r>
    </w:p>
    <w:p w14:paraId="166543C1" w14:textId="77777777" w:rsidR="007968EC" w:rsidRPr="003302FD" w:rsidRDefault="007968EC" w:rsidP="007968EC">
      <w:pPr>
        <w:ind w:left="851"/>
        <w:jc w:val="both"/>
        <w:rPr>
          <w:rFonts w:ascii="Arial Narrow" w:hAnsi="Arial Narrow" w:cs="Arial"/>
          <w:b/>
          <w:lang w:val="es-ES" w:eastAsia="es-ES"/>
        </w:rPr>
      </w:pPr>
    </w:p>
    <w:p w14:paraId="45E513A9" w14:textId="77777777" w:rsidR="007968EC" w:rsidRPr="003302FD" w:rsidRDefault="007968EC" w:rsidP="007968EC">
      <w:pPr>
        <w:ind w:left="851"/>
        <w:jc w:val="both"/>
        <w:rPr>
          <w:rFonts w:ascii="Arial Narrow" w:hAnsi="Arial Narrow" w:cs="Arial"/>
          <w:b/>
          <w:lang w:val="es-ES" w:eastAsia="es-ES"/>
        </w:rPr>
      </w:pPr>
    </w:p>
    <w:p w14:paraId="00301E5A" w14:textId="77777777" w:rsidR="007968EC" w:rsidRPr="003302FD" w:rsidRDefault="007968EC" w:rsidP="007968EC">
      <w:pPr>
        <w:jc w:val="both"/>
        <w:rPr>
          <w:rFonts w:ascii="Arial Narrow" w:hAnsi="Arial Narrow" w:cs="Arial"/>
          <w:b/>
          <w:lang w:val="es-ES" w:eastAsia="es-ES"/>
        </w:rPr>
      </w:pPr>
      <w:r w:rsidRPr="003302FD">
        <w:rPr>
          <w:rFonts w:ascii="Arial Narrow" w:hAnsi="Arial Narrow" w:cs="Arial"/>
          <w:lang w:val="es-ES" w:eastAsia="es-ES"/>
        </w:rPr>
        <w:t xml:space="preserve">               </w:t>
      </w:r>
      <w:r w:rsidRPr="003302FD">
        <w:rPr>
          <w:rFonts w:ascii="Arial Narrow" w:hAnsi="Arial Narrow" w:cs="Arial"/>
          <w:b/>
          <w:lang w:val="es-ES" w:eastAsia="es-ES"/>
        </w:rPr>
        <w:t>Asunto:   Solicitud de Admisión como Miembro</w:t>
      </w:r>
    </w:p>
    <w:p w14:paraId="51092202" w14:textId="77777777" w:rsidR="007968EC" w:rsidRPr="003302FD" w:rsidRDefault="007968EC" w:rsidP="007968EC">
      <w:pPr>
        <w:ind w:left="851"/>
        <w:jc w:val="both"/>
        <w:rPr>
          <w:rFonts w:ascii="Arial Narrow" w:hAnsi="Arial Narrow" w:cs="Arial"/>
          <w:b/>
          <w:lang w:val="es-ES" w:eastAsia="es-ES"/>
        </w:rPr>
      </w:pPr>
    </w:p>
    <w:p w14:paraId="666A9339" w14:textId="77777777" w:rsidR="007968EC" w:rsidRPr="003302FD" w:rsidRDefault="007968EC" w:rsidP="007968EC">
      <w:pPr>
        <w:ind w:left="851"/>
        <w:jc w:val="both"/>
        <w:rPr>
          <w:rFonts w:ascii="Arial Narrow" w:hAnsi="Arial Narrow" w:cs="Arial"/>
          <w:lang w:val="es-ES" w:eastAsia="es-ES"/>
        </w:rPr>
      </w:pPr>
    </w:p>
    <w:p w14:paraId="219EDA89" w14:textId="77777777" w:rsidR="007968EC" w:rsidRPr="003302FD" w:rsidRDefault="007968EC" w:rsidP="007968EC">
      <w:pPr>
        <w:ind w:left="851"/>
        <w:jc w:val="both"/>
        <w:rPr>
          <w:rFonts w:ascii="Arial Narrow" w:hAnsi="Arial Narrow" w:cs="Arial"/>
          <w:lang w:val="es-ES" w:eastAsia="es-ES"/>
        </w:rPr>
      </w:pPr>
      <w:r w:rsidRPr="003302FD">
        <w:rPr>
          <w:rFonts w:ascii="Arial Narrow" w:hAnsi="Arial Narrow" w:cs="Arial"/>
          <w:lang w:val="es-ES" w:eastAsia="es-ES"/>
        </w:rPr>
        <w:t>El/La suscrito (a), _________________________, identificado (a) con la Cédula de Ciudadanía No. _______________ expedida en la ciudad de ___________, obrando en nombre y representación de _____________________, sociedad legalmente constituida, con domicilio principal en ______________, con NIT. _______________, en mi calidad de representante legal, atentamente solicito que la sociedad que represento sea admitida como Miembro de la Cámara de Riesgo Central de Contraparte de Colombia S.A. - CRCC S.A. en la modalidad de Miembro</w:t>
      </w:r>
      <w:r w:rsidRPr="003302FD">
        <w:rPr>
          <w:rFonts w:ascii="Arial Narrow" w:hAnsi="Arial Narrow" w:cs="Arial"/>
          <w:i/>
          <w:lang w:val="es-ES" w:eastAsia="es-ES"/>
        </w:rPr>
        <w:t xml:space="preserve"> (Liquidador General, Liquidador Individual, No Liquidador) en el (los) segmento(s) de (Derivados Financieros, Renta Fija</w:t>
      </w:r>
      <w:r w:rsidRPr="003302FD">
        <w:rPr>
          <w:rFonts w:ascii="Arial Narrow" w:hAnsi="Arial Narrow" w:cs="Arial"/>
          <w:i/>
          <w:lang w:val="es-ES" w:eastAsia="es-CO"/>
        </w:rPr>
        <w:t>, Renta Variable, Swaps).</w:t>
      </w:r>
    </w:p>
    <w:p w14:paraId="663271AA" w14:textId="77777777" w:rsidR="007968EC" w:rsidRPr="003302FD" w:rsidRDefault="007968EC" w:rsidP="007968EC">
      <w:pPr>
        <w:ind w:left="851"/>
        <w:jc w:val="both"/>
        <w:rPr>
          <w:rFonts w:ascii="Arial Narrow" w:hAnsi="Arial Narrow" w:cs="Arial"/>
          <w:b/>
          <w:lang w:val="es-ES" w:eastAsia="es-ES"/>
        </w:rPr>
      </w:pPr>
    </w:p>
    <w:p w14:paraId="383F73EE" w14:textId="77777777" w:rsidR="007968EC" w:rsidRPr="003302FD" w:rsidRDefault="007968EC" w:rsidP="007968EC">
      <w:pPr>
        <w:ind w:left="851"/>
        <w:jc w:val="both"/>
        <w:rPr>
          <w:rFonts w:ascii="Arial Narrow" w:hAnsi="Arial Narrow" w:cs="Arial"/>
          <w:b/>
          <w:lang w:val="es-ES" w:eastAsia="es-ES"/>
        </w:rPr>
      </w:pPr>
      <w:r w:rsidRPr="003302FD">
        <w:rPr>
          <w:rFonts w:ascii="Arial Narrow" w:hAnsi="Arial Narrow" w:cs="Arial"/>
          <w:lang w:val="es-ES" w:eastAsia="es-ES"/>
        </w:rPr>
        <w:t xml:space="preserve">Así mismo certifico que la sociedad cumple con todos los requisitos establecidos en el Reglamento de Funcionamiento de la Cámara de Riesgo Central de Contraparte de Colombia S.A. - CRCC S.A., </w:t>
      </w:r>
      <w:r w:rsidRPr="003302FD">
        <w:rPr>
          <w:rFonts w:ascii="Arial Narrow" w:hAnsi="Arial Narrow" w:cs="Arial"/>
          <w:lang w:val="es-ES" w:eastAsia="es-ES"/>
        </w:rPr>
        <w:lastRenderedPageBreak/>
        <w:t xml:space="preserve">y demás normas aplicables, para solicitar ser admitido a la misma en la calidad de </w:t>
      </w:r>
      <w:r w:rsidRPr="003302FD">
        <w:rPr>
          <w:rFonts w:ascii="Arial Narrow" w:hAnsi="Arial Narrow" w:cs="Arial"/>
          <w:b/>
          <w:lang w:val="es-ES" w:eastAsia="es-ES"/>
        </w:rPr>
        <w:t xml:space="preserve">Miembro </w:t>
      </w:r>
      <w:r w:rsidRPr="003302FD">
        <w:rPr>
          <w:rFonts w:ascii="Arial Narrow" w:hAnsi="Arial Narrow" w:cs="Arial"/>
          <w:b/>
          <w:i/>
          <w:lang w:val="es-ES" w:eastAsia="es-ES"/>
        </w:rPr>
        <w:t>(Liquidador General, Liquidador Individual, No Liquidador).</w:t>
      </w:r>
      <w:r w:rsidRPr="003302FD">
        <w:rPr>
          <w:rFonts w:ascii="Arial Narrow" w:hAnsi="Arial Narrow" w:cs="Arial"/>
          <w:b/>
          <w:lang w:val="es-ES" w:eastAsia="es-ES"/>
        </w:rPr>
        <w:t xml:space="preserve"> </w:t>
      </w:r>
    </w:p>
    <w:p w14:paraId="754F3DE3" w14:textId="77777777" w:rsidR="007968EC" w:rsidRPr="003302FD" w:rsidRDefault="007968EC" w:rsidP="007968EC">
      <w:pPr>
        <w:ind w:left="851"/>
        <w:jc w:val="both"/>
        <w:rPr>
          <w:rFonts w:ascii="Arial Narrow" w:hAnsi="Arial Narrow" w:cs="Arial"/>
          <w:lang w:val="es-ES" w:eastAsia="es-ES"/>
        </w:rPr>
      </w:pPr>
    </w:p>
    <w:p w14:paraId="7C0611CA" w14:textId="77777777" w:rsidR="007968EC" w:rsidRPr="003302FD" w:rsidRDefault="007968EC" w:rsidP="007968EC">
      <w:pPr>
        <w:ind w:left="851"/>
        <w:jc w:val="both"/>
        <w:rPr>
          <w:rFonts w:ascii="Arial Narrow" w:hAnsi="Arial Narrow" w:cs="Arial"/>
          <w:lang w:val="es-ES" w:eastAsia="es-ES"/>
        </w:rPr>
      </w:pPr>
      <w:r w:rsidRPr="003302FD">
        <w:rPr>
          <w:rFonts w:ascii="Arial Narrow" w:hAnsi="Arial Narrow" w:cs="Arial"/>
          <w:lang w:val="es-ES" w:eastAsia="es-ES"/>
        </w:rPr>
        <w:t xml:space="preserve">En cumplimiento de los requisitos de vinculación exigidos por la CRCC S.A., me permito allegar los documentos relacionados en la Lista de Verificación de Documentos, necesarios para el trámite de la presente solicitud. </w:t>
      </w:r>
    </w:p>
    <w:p w14:paraId="0FE57AFB" w14:textId="77777777" w:rsidR="007968EC" w:rsidRPr="003302FD" w:rsidRDefault="007968EC" w:rsidP="007968EC">
      <w:pPr>
        <w:ind w:left="851"/>
        <w:jc w:val="both"/>
        <w:rPr>
          <w:rFonts w:ascii="Arial Narrow" w:hAnsi="Arial Narrow" w:cs="Arial"/>
          <w:b/>
          <w:lang w:val="es-ES" w:eastAsia="es-ES"/>
        </w:rPr>
      </w:pPr>
    </w:p>
    <w:p w14:paraId="71ABA7C0" w14:textId="77777777" w:rsidR="007968EC" w:rsidRPr="003302FD" w:rsidRDefault="007968EC" w:rsidP="007968EC">
      <w:pPr>
        <w:ind w:left="851"/>
        <w:rPr>
          <w:rFonts w:ascii="Arial Narrow" w:hAnsi="Arial Narrow" w:cs="Arial"/>
          <w:b/>
          <w:lang w:val="es-ES" w:eastAsia="es-ES"/>
        </w:rPr>
      </w:pPr>
    </w:p>
    <w:p w14:paraId="614F7645" w14:textId="77777777" w:rsidR="007968EC" w:rsidRPr="003302FD" w:rsidRDefault="007968EC" w:rsidP="007968EC">
      <w:pPr>
        <w:ind w:left="851"/>
        <w:rPr>
          <w:rFonts w:ascii="Arial Narrow" w:hAnsi="Arial Narrow" w:cs="Arial"/>
          <w:b/>
          <w:lang w:val="es-ES" w:eastAsia="es-ES"/>
        </w:rPr>
      </w:pPr>
      <w:r w:rsidRPr="003302FD">
        <w:rPr>
          <w:rFonts w:ascii="Arial Narrow" w:hAnsi="Arial Narrow" w:cs="Arial"/>
          <w:b/>
          <w:lang w:val="es-ES" w:eastAsia="es-ES"/>
        </w:rPr>
        <w:t>Cordialmente,</w:t>
      </w:r>
    </w:p>
    <w:p w14:paraId="40792948" w14:textId="77777777" w:rsidR="007968EC" w:rsidRPr="003302FD" w:rsidRDefault="007968EC" w:rsidP="007968EC">
      <w:pPr>
        <w:ind w:left="851"/>
        <w:rPr>
          <w:rFonts w:ascii="Arial Narrow" w:hAnsi="Arial Narrow" w:cs="Arial"/>
          <w:b/>
          <w:lang w:val="es-ES" w:eastAsia="es-ES"/>
        </w:rPr>
      </w:pPr>
    </w:p>
    <w:p w14:paraId="03317E6F" w14:textId="77777777" w:rsidR="007968EC" w:rsidRPr="003302FD" w:rsidRDefault="007968EC" w:rsidP="007968EC">
      <w:pPr>
        <w:ind w:left="851"/>
        <w:rPr>
          <w:rFonts w:ascii="Arial Narrow" w:hAnsi="Arial Narrow" w:cs="Arial"/>
          <w:b/>
          <w:lang w:eastAsia="es-ES"/>
        </w:rPr>
      </w:pPr>
    </w:p>
    <w:p w14:paraId="1CCC228C" w14:textId="77777777" w:rsidR="007968EC" w:rsidRPr="003302FD" w:rsidRDefault="007968EC" w:rsidP="007968EC">
      <w:pPr>
        <w:ind w:left="851"/>
        <w:rPr>
          <w:rFonts w:ascii="Arial Narrow" w:hAnsi="Arial Narrow" w:cs="Arial"/>
          <w:b/>
          <w:lang w:eastAsia="es-ES"/>
        </w:rPr>
      </w:pPr>
      <w:r w:rsidRPr="003302FD">
        <w:rPr>
          <w:rFonts w:ascii="Arial Narrow" w:hAnsi="Arial Narrow" w:cs="Arial"/>
          <w:b/>
          <w:lang w:val="es-ES" w:eastAsia="es-ES"/>
        </w:rPr>
        <w:t>___________________________________________ </w:t>
      </w:r>
    </w:p>
    <w:p w14:paraId="5E560D82" w14:textId="77777777" w:rsidR="007968EC" w:rsidRPr="003302FD" w:rsidRDefault="007968EC" w:rsidP="007968EC">
      <w:pPr>
        <w:ind w:left="709" w:firstLine="142"/>
        <w:rPr>
          <w:rFonts w:ascii="Arial Narrow" w:hAnsi="Arial Narrow" w:cs="Arial"/>
          <w:b/>
          <w:lang w:val="es-ES" w:eastAsia="es-ES"/>
        </w:rPr>
      </w:pPr>
      <w:r w:rsidRPr="003302FD">
        <w:rPr>
          <w:rFonts w:ascii="Arial Narrow" w:hAnsi="Arial Narrow" w:cs="Arial"/>
          <w:b/>
          <w:lang w:val="es-ES" w:eastAsia="es-ES"/>
        </w:rPr>
        <w:t>(Nombre y Cédula)</w:t>
      </w:r>
    </w:p>
    <w:p w14:paraId="26510AFF" w14:textId="77777777" w:rsidR="007968EC" w:rsidRPr="003302FD" w:rsidRDefault="007968EC" w:rsidP="007968EC">
      <w:pPr>
        <w:ind w:hanging="720"/>
        <w:rPr>
          <w:rFonts w:ascii="Arial Narrow" w:hAnsi="Arial Narrow" w:cs="Arial"/>
          <w:lang w:val="es-ES" w:eastAsia="es-ES"/>
        </w:rPr>
      </w:pPr>
    </w:p>
    <w:p w14:paraId="0E1F9927" w14:textId="77777777" w:rsidR="007968EC" w:rsidRPr="003302FD" w:rsidRDefault="007968EC" w:rsidP="007968EC">
      <w:pPr>
        <w:rPr>
          <w:rFonts w:ascii="Arial Narrow" w:hAnsi="Arial Narrow" w:cs="Arial"/>
          <w:lang w:val="es-ES" w:eastAsia="es-ES"/>
        </w:rPr>
      </w:pPr>
    </w:p>
    <w:p w14:paraId="6D432FB4" w14:textId="77777777" w:rsidR="007968EC" w:rsidRPr="003302FD" w:rsidRDefault="007968EC" w:rsidP="007968EC">
      <w:pPr>
        <w:ind w:hanging="720"/>
        <w:rPr>
          <w:rFonts w:ascii="Arial Narrow" w:hAnsi="Arial Narrow" w:cs="Arial"/>
          <w:lang w:val="es-ES" w:eastAsia="es-ES"/>
        </w:rPr>
      </w:pPr>
    </w:p>
    <w:tbl>
      <w:tblPr>
        <w:tblpPr w:leftFromText="141" w:rightFromText="141" w:vertAnchor="text" w:horzAnchor="page" w:tblpX="1853" w:tblpY="25"/>
        <w:tblW w:w="9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99"/>
        <w:gridCol w:w="387"/>
        <w:gridCol w:w="518"/>
        <w:gridCol w:w="1335"/>
        <w:gridCol w:w="425"/>
        <w:gridCol w:w="445"/>
        <w:gridCol w:w="3234"/>
        <w:gridCol w:w="403"/>
        <w:gridCol w:w="387"/>
        <w:gridCol w:w="415"/>
        <w:gridCol w:w="324"/>
      </w:tblGrid>
      <w:tr w:rsidR="007968EC" w:rsidRPr="003302FD" w14:paraId="1C772ADE" w14:textId="77777777" w:rsidTr="007968EC">
        <w:trPr>
          <w:cantSplit/>
          <w:trHeight w:val="79"/>
        </w:trPr>
        <w:tc>
          <w:tcPr>
            <w:tcW w:w="1299" w:type="dxa"/>
            <w:tcBorders>
              <w:top w:val="single" w:sz="4" w:space="0" w:color="auto"/>
              <w:left w:val="single" w:sz="4" w:space="0" w:color="auto"/>
              <w:right w:val="single" w:sz="4" w:space="0" w:color="auto"/>
            </w:tcBorders>
            <w:shd w:val="clear" w:color="auto" w:fill="auto"/>
            <w:vAlign w:val="center"/>
          </w:tcPr>
          <w:p w14:paraId="4589F19E"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Creación</w:t>
            </w:r>
          </w:p>
        </w:tc>
        <w:tc>
          <w:tcPr>
            <w:tcW w:w="387" w:type="dxa"/>
            <w:tcBorders>
              <w:top w:val="single" w:sz="4" w:space="0" w:color="auto"/>
              <w:left w:val="single" w:sz="4" w:space="0" w:color="auto"/>
              <w:right w:val="single" w:sz="4" w:space="0" w:color="auto"/>
            </w:tcBorders>
            <w:shd w:val="clear" w:color="auto" w:fill="auto"/>
            <w:vAlign w:val="center"/>
          </w:tcPr>
          <w:p w14:paraId="58072386" w14:textId="77777777" w:rsidR="007968EC" w:rsidRPr="003302FD" w:rsidRDefault="007968EC" w:rsidP="007968EC">
            <w:pPr>
              <w:rPr>
                <w:rFonts w:ascii="Arial Narrow" w:hAnsi="Arial Narrow" w:cs="Arial"/>
                <w:lang w:eastAsia="es-ES"/>
              </w:rPr>
            </w:pPr>
          </w:p>
        </w:tc>
        <w:tc>
          <w:tcPr>
            <w:tcW w:w="518" w:type="dxa"/>
            <w:tcBorders>
              <w:top w:val="nil"/>
              <w:left w:val="single" w:sz="4" w:space="0" w:color="auto"/>
              <w:bottom w:val="nil"/>
              <w:right w:val="single" w:sz="4" w:space="0" w:color="auto"/>
            </w:tcBorders>
            <w:shd w:val="clear" w:color="auto" w:fill="auto"/>
            <w:vAlign w:val="center"/>
          </w:tcPr>
          <w:p w14:paraId="24EA9F74" w14:textId="77777777" w:rsidR="007968EC" w:rsidRPr="003302FD" w:rsidRDefault="007968EC" w:rsidP="007968EC">
            <w:pPr>
              <w:rPr>
                <w:rFonts w:ascii="Arial Narrow" w:hAnsi="Arial Narrow" w:cs="Arial"/>
                <w:lang w:eastAsia="es-ES"/>
              </w:rPr>
            </w:pPr>
          </w:p>
        </w:tc>
        <w:tc>
          <w:tcPr>
            <w:tcW w:w="1335" w:type="dxa"/>
            <w:tcBorders>
              <w:top w:val="single" w:sz="4" w:space="0" w:color="auto"/>
              <w:left w:val="single" w:sz="4" w:space="0" w:color="auto"/>
              <w:right w:val="single" w:sz="4" w:space="0" w:color="auto"/>
            </w:tcBorders>
            <w:shd w:val="clear" w:color="auto" w:fill="auto"/>
            <w:vAlign w:val="center"/>
          </w:tcPr>
          <w:p w14:paraId="57F3DB76"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Modificación</w:t>
            </w:r>
          </w:p>
        </w:tc>
        <w:tc>
          <w:tcPr>
            <w:tcW w:w="425" w:type="dxa"/>
            <w:tcBorders>
              <w:top w:val="single" w:sz="4" w:space="0" w:color="auto"/>
              <w:left w:val="single" w:sz="4" w:space="0" w:color="auto"/>
              <w:right w:val="single" w:sz="4" w:space="0" w:color="auto"/>
            </w:tcBorders>
            <w:vAlign w:val="center"/>
          </w:tcPr>
          <w:p w14:paraId="41373228" w14:textId="77777777" w:rsidR="007968EC" w:rsidRPr="003302FD" w:rsidRDefault="007968EC" w:rsidP="007968EC">
            <w:pPr>
              <w:rPr>
                <w:rFonts w:ascii="Arial Narrow" w:hAnsi="Arial Narrow" w:cs="Arial"/>
                <w:lang w:eastAsia="es-ES"/>
              </w:rPr>
            </w:pPr>
          </w:p>
        </w:tc>
        <w:tc>
          <w:tcPr>
            <w:tcW w:w="445" w:type="dxa"/>
            <w:tcBorders>
              <w:top w:val="nil"/>
              <w:left w:val="single" w:sz="4" w:space="0" w:color="auto"/>
              <w:bottom w:val="nil"/>
              <w:right w:val="single" w:sz="4" w:space="0" w:color="auto"/>
            </w:tcBorders>
            <w:vAlign w:val="center"/>
          </w:tcPr>
          <w:p w14:paraId="7D8BFEC5" w14:textId="77777777" w:rsidR="007968EC" w:rsidRPr="003302FD" w:rsidRDefault="007968EC" w:rsidP="007968EC">
            <w:pPr>
              <w:rPr>
                <w:rFonts w:ascii="Arial Narrow" w:hAnsi="Arial Narrow" w:cs="Arial"/>
                <w:lang w:eastAsia="es-ES"/>
              </w:rPr>
            </w:pPr>
          </w:p>
        </w:tc>
        <w:tc>
          <w:tcPr>
            <w:tcW w:w="3234" w:type="dxa"/>
            <w:tcBorders>
              <w:top w:val="single" w:sz="4" w:space="0" w:color="auto"/>
              <w:left w:val="single" w:sz="4" w:space="0" w:color="auto"/>
              <w:right w:val="single" w:sz="4" w:space="0" w:color="auto"/>
            </w:tcBorders>
            <w:vAlign w:val="center"/>
          </w:tcPr>
          <w:p w14:paraId="7EB9CE63"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Código de Miembro Asignado por la CRCC</w:t>
            </w:r>
          </w:p>
        </w:tc>
        <w:tc>
          <w:tcPr>
            <w:tcW w:w="403" w:type="dxa"/>
            <w:tcBorders>
              <w:top w:val="single" w:sz="4" w:space="0" w:color="auto"/>
              <w:left w:val="single" w:sz="4" w:space="0" w:color="auto"/>
              <w:right w:val="single" w:sz="4" w:space="0" w:color="auto"/>
            </w:tcBorders>
          </w:tcPr>
          <w:p w14:paraId="392FB1DD" w14:textId="77777777" w:rsidR="007968EC" w:rsidRPr="003302FD" w:rsidRDefault="007968EC" w:rsidP="007968EC">
            <w:pPr>
              <w:jc w:val="center"/>
              <w:rPr>
                <w:rFonts w:ascii="Arial Narrow" w:hAnsi="Arial Narrow" w:cs="Arial"/>
                <w:lang w:eastAsia="es-ES"/>
              </w:rPr>
            </w:pPr>
          </w:p>
        </w:tc>
        <w:tc>
          <w:tcPr>
            <w:tcW w:w="387" w:type="dxa"/>
            <w:tcBorders>
              <w:top w:val="single" w:sz="4" w:space="0" w:color="auto"/>
              <w:left w:val="single" w:sz="4" w:space="0" w:color="auto"/>
              <w:right w:val="single" w:sz="4" w:space="0" w:color="auto"/>
            </w:tcBorders>
          </w:tcPr>
          <w:p w14:paraId="75C73589" w14:textId="77777777" w:rsidR="007968EC" w:rsidRPr="003302FD" w:rsidRDefault="007968EC" w:rsidP="007968EC">
            <w:pPr>
              <w:jc w:val="center"/>
              <w:rPr>
                <w:rFonts w:ascii="Arial Narrow" w:hAnsi="Arial Narrow" w:cs="Arial"/>
                <w:lang w:eastAsia="es-ES"/>
              </w:rPr>
            </w:pPr>
          </w:p>
        </w:tc>
        <w:tc>
          <w:tcPr>
            <w:tcW w:w="415" w:type="dxa"/>
            <w:tcBorders>
              <w:top w:val="single" w:sz="4" w:space="0" w:color="auto"/>
              <w:left w:val="single" w:sz="4" w:space="0" w:color="auto"/>
              <w:right w:val="single" w:sz="4" w:space="0" w:color="auto"/>
            </w:tcBorders>
          </w:tcPr>
          <w:p w14:paraId="765DC932" w14:textId="77777777" w:rsidR="007968EC" w:rsidRPr="003302FD" w:rsidRDefault="007968EC" w:rsidP="007968EC">
            <w:pPr>
              <w:jc w:val="center"/>
              <w:rPr>
                <w:rFonts w:ascii="Arial Narrow" w:hAnsi="Arial Narrow" w:cs="Arial"/>
                <w:lang w:eastAsia="es-ES"/>
              </w:rPr>
            </w:pPr>
          </w:p>
        </w:tc>
        <w:tc>
          <w:tcPr>
            <w:tcW w:w="324" w:type="dxa"/>
            <w:tcBorders>
              <w:top w:val="single" w:sz="4" w:space="0" w:color="auto"/>
              <w:left w:val="single" w:sz="4" w:space="0" w:color="auto"/>
              <w:right w:val="single" w:sz="4" w:space="0" w:color="auto"/>
            </w:tcBorders>
          </w:tcPr>
          <w:p w14:paraId="06FC69E5" w14:textId="77777777" w:rsidR="007968EC" w:rsidRPr="003302FD" w:rsidRDefault="007968EC" w:rsidP="007968EC">
            <w:pPr>
              <w:jc w:val="center"/>
              <w:rPr>
                <w:rFonts w:ascii="Arial Narrow" w:hAnsi="Arial Narrow" w:cs="Arial"/>
                <w:lang w:eastAsia="es-ES"/>
              </w:rPr>
            </w:pPr>
          </w:p>
        </w:tc>
      </w:tr>
    </w:tbl>
    <w:p w14:paraId="22B454BA" w14:textId="77777777" w:rsidR="007968EC" w:rsidRPr="003302FD" w:rsidRDefault="007968EC" w:rsidP="007968EC">
      <w:pPr>
        <w:ind w:hanging="720"/>
        <w:rPr>
          <w:rFonts w:ascii="Arial Narrow" w:hAnsi="Arial Narrow" w:cs="Arial"/>
          <w:lang w:val="es-ES" w:eastAsia="es-ES"/>
        </w:rPr>
      </w:pPr>
    </w:p>
    <w:tbl>
      <w:tblPr>
        <w:tblW w:w="895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45"/>
        <w:gridCol w:w="378"/>
        <w:gridCol w:w="504"/>
        <w:gridCol w:w="2524"/>
        <w:gridCol w:w="363"/>
        <w:gridCol w:w="389"/>
        <w:gridCol w:w="2275"/>
        <w:gridCol w:w="377"/>
      </w:tblGrid>
      <w:tr w:rsidR="007968EC" w:rsidRPr="003302FD" w14:paraId="171A9347" w14:textId="77777777" w:rsidTr="007968EC">
        <w:trPr>
          <w:cantSplit/>
          <w:trHeight w:val="79"/>
        </w:trPr>
        <w:tc>
          <w:tcPr>
            <w:tcW w:w="2145" w:type="dxa"/>
            <w:tcBorders>
              <w:top w:val="single" w:sz="4" w:space="0" w:color="auto"/>
              <w:left w:val="single" w:sz="4" w:space="0" w:color="auto"/>
              <w:right w:val="single" w:sz="4" w:space="0" w:color="auto"/>
            </w:tcBorders>
            <w:shd w:val="clear" w:color="auto" w:fill="auto"/>
            <w:vAlign w:val="center"/>
          </w:tcPr>
          <w:p w14:paraId="7B232162"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Miembro Liquidador General</w:t>
            </w:r>
          </w:p>
        </w:tc>
        <w:tc>
          <w:tcPr>
            <w:tcW w:w="378" w:type="dxa"/>
            <w:tcBorders>
              <w:top w:val="single" w:sz="4" w:space="0" w:color="auto"/>
              <w:left w:val="single" w:sz="4" w:space="0" w:color="auto"/>
              <w:right w:val="single" w:sz="4" w:space="0" w:color="auto"/>
            </w:tcBorders>
            <w:shd w:val="clear" w:color="auto" w:fill="auto"/>
            <w:vAlign w:val="center"/>
          </w:tcPr>
          <w:p w14:paraId="0DC4A730" w14:textId="77777777" w:rsidR="007968EC" w:rsidRPr="003302FD" w:rsidRDefault="007968EC" w:rsidP="007968EC">
            <w:pPr>
              <w:rPr>
                <w:rFonts w:ascii="Arial Narrow" w:hAnsi="Arial Narrow" w:cs="Arial"/>
                <w:lang w:eastAsia="es-ES"/>
              </w:rPr>
            </w:pPr>
          </w:p>
        </w:tc>
        <w:tc>
          <w:tcPr>
            <w:tcW w:w="504" w:type="dxa"/>
            <w:tcBorders>
              <w:top w:val="nil"/>
              <w:left w:val="single" w:sz="4" w:space="0" w:color="auto"/>
              <w:bottom w:val="nil"/>
              <w:right w:val="single" w:sz="4" w:space="0" w:color="auto"/>
            </w:tcBorders>
            <w:shd w:val="clear" w:color="auto" w:fill="auto"/>
            <w:vAlign w:val="center"/>
          </w:tcPr>
          <w:p w14:paraId="4C4E9635" w14:textId="77777777" w:rsidR="007968EC" w:rsidRPr="003302FD" w:rsidRDefault="007968EC" w:rsidP="007968EC">
            <w:pPr>
              <w:rPr>
                <w:rFonts w:ascii="Arial Narrow" w:hAnsi="Arial Narrow" w:cs="Arial"/>
                <w:lang w:eastAsia="es-ES"/>
              </w:rPr>
            </w:pPr>
          </w:p>
        </w:tc>
        <w:tc>
          <w:tcPr>
            <w:tcW w:w="2524" w:type="dxa"/>
            <w:tcBorders>
              <w:top w:val="single" w:sz="4" w:space="0" w:color="auto"/>
              <w:left w:val="single" w:sz="4" w:space="0" w:color="auto"/>
              <w:right w:val="single" w:sz="4" w:space="0" w:color="auto"/>
            </w:tcBorders>
            <w:shd w:val="clear" w:color="auto" w:fill="auto"/>
            <w:vAlign w:val="center"/>
          </w:tcPr>
          <w:p w14:paraId="7DE54AD0"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Miembro Liquidador Individual</w:t>
            </w:r>
          </w:p>
        </w:tc>
        <w:tc>
          <w:tcPr>
            <w:tcW w:w="363" w:type="dxa"/>
            <w:tcBorders>
              <w:top w:val="single" w:sz="4" w:space="0" w:color="auto"/>
              <w:left w:val="single" w:sz="4" w:space="0" w:color="auto"/>
              <w:right w:val="single" w:sz="4" w:space="0" w:color="auto"/>
            </w:tcBorders>
            <w:vAlign w:val="center"/>
          </w:tcPr>
          <w:p w14:paraId="60740C6A" w14:textId="77777777" w:rsidR="007968EC" w:rsidRPr="003302FD" w:rsidRDefault="007968EC" w:rsidP="007968EC">
            <w:pPr>
              <w:rPr>
                <w:rFonts w:ascii="Arial Narrow" w:hAnsi="Arial Narrow" w:cs="Arial"/>
                <w:lang w:eastAsia="es-ES"/>
              </w:rPr>
            </w:pPr>
          </w:p>
        </w:tc>
        <w:tc>
          <w:tcPr>
            <w:tcW w:w="389" w:type="dxa"/>
            <w:tcBorders>
              <w:top w:val="nil"/>
              <w:left w:val="single" w:sz="4" w:space="0" w:color="auto"/>
              <w:bottom w:val="nil"/>
              <w:right w:val="single" w:sz="4" w:space="0" w:color="auto"/>
            </w:tcBorders>
            <w:vAlign w:val="center"/>
          </w:tcPr>
          <w:p w14:paraId="5F0D2C47" w14:textId="77777777" w:rsidR="007968EC" w:rsidRPr="003302FD" w:rsidRDefault="007968EC" w:rsidP="007968EC">
            <w:pPr>
              <w:rPr>
                <w:rFonts w:ascii="Arial Narrow" w:hAnsi="Arial Narrow" w:cs="Arial"/>
                <w:lang w:eastAsia="es-ES"/>
              </w:rPr>
            </w:pPr>
          </w:p>
        </w:tc>
        <w:tc>
          <w:tcPr>
            <w:tcW w:w="2275" w:type="dxa"/>
            <w:tcBorders>
              <w:top w:val="single" w:sz="4" w:space="0" w:color="auto"/>
              <w:left w:val="single" w:sz="4" w:space="0" w:color="auto"/>
              <w:right w:val="single" w:sz="4" w:space="0" w:color="auto"/>
            </w:tcBorders>
            <w:vAlign w:val="center"/>
          </w:tcPr>
          <w:p w14:paraId="17687D9B" w14:textId="77777777" w:rsidR="007968EC" w:rsidRPr="003302FD" w:rsidRDefault="007968EC" w:rsidP="007968EC">
            <w:pPr>
              <w:jc w:val="center"/>
              <w:rPr>
                <w:rFonts w:ascii="Arial Narrow" w:hAnsi="Arial Narrow" w:cs="Arial"/>
                <w:lang w:eastAsia="es-ES"/>
              </w:rPr>
            </w:pPr>
            <w:r w:rsidRPr="003302FD">
              <w:rPr>
                <w:rFonts w:ascii="Arial Narrow" w:hAnsi="Arial Narrow" w:cs="Arial"/>
                <w:lang w:eastAsia="es-ES"/>
              </w:rPr>
              <w:t>Miembro No Liquidador</w:t>
            </w:r>
          </w:p>
        </w:tc>
        <w:tc>
          <w:tcPr>
            <w:tcW w:w="377" w:type="dxa"/>
            <w:tcBorders>
              <w:top w:val="single" w:sz="4" w:space="0" w:color="auto"/>
              <w:left w:val="single" w:sz="4" w:space="0" w:color="auto"/>
              <w:right w:val="single" w:sz="4" w:space="0" w:color="auto"/>
            </w:tcBorders>
          </w:tcPr>
          <w:p w14:paraId="1EA766AC" w14:textId="77777777" w:rsidR="007968EC" w:rsidRPr="003302FD" w:rsidRDefault="007968EC" w:rsidP="007968EC">
            <w:pPr>
              <w:jc w:val="center"/>
              <w:rPr>
                <w:rFonts w:ascii="Arial Narrow" w:hAnsi="Arial Narrow" w:cs="Arial"/>
                <w:lang w:eastAsia="es-ES"/>
              </w:rPr>
            </w:pPr>
          </w:p>
        </w:tc>
      </w:tr>
    </w:tbl>
    <w:p w14:paraId="7190C682" w14:textId="77777777" w:rsidR="007968EC" w:rsidRPr="003302FD" w:rsidRDefault="007968EC" w:rsidP="007968EC">
      <w:pPr>
        <w:ind w:left="-720"/>
        <w:rPr>
          <w:rFonts w:ascii="Arial Narrow" w:hAnsi="Arial Narrow" w:cs="Arial"/>
          <w:lang w:val="es-ES" w:eastAsia="es-ES"/>
        </w:rPr>
      </w:pPr>
    </w:p>
    <w:tbl>
      <w:tblPr>
        <w:tblW w:w="895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45"/>
        <w:gridCol w:w="378"/>
        <w:gridCol w:w="504"/>
        <w:gridCol w:w="2524"/>
        <w:gridCol w:w="363"/>
        <w:gridCol w:w="389"/>
        <w:gridCol w:w="2275"/>
        <w:gridCol w:w="377"/>
      </w:tblGrid>
      <w:tr w:rsidR="007968EC" w:rsidRPr="003302FD" w14:paraId="38ED10AA" w14:textId="77777777" w:rsidTr="007968EC">
        <w:trPr>
          <w:cantSplit/>
          <w:trHeight w:val="79"/>
        </w:trPr>
        <w:tc>
          <w:tcPr>
            <w:tcW w:w="2145" w:type="dxa"/>
            <w:tcBorders>
              <w:top w:val="single" w:sz="4" w:space="0" w:color="auto"/>
              <w:left w:val="single" w:sz="4" w:space="0" w:color="auto"/>
              <w:right w:val="single" w:sz="4" w:space="0" w:color="auto"/>
            </w:tcBorders>
            <w:shd w:val="clear" w:color="auto" w:fill="auto"/>
            <w:vAlign w:val="center"/>
          </w:tcPr>
          <w:p w14:paraId="5A1C6083"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Segmento Derivados Financieros</w:t>
            </w:r>
          </w:p>
        </w:tc>
        <w:tc>
          <w:tcPr>
            <w:tcW w:w="378" w:type="dxa"/>
            <w:tcBorders>
              <w:top w:val="single" w:sz="4" w:space="0" w:color="auto"/>
              <w:left w:val="single" w:sz="4" w:space="0" w:color="auto"/>
              <w:right w:val="single" w:sz="4" w:space="0" w:color="auto"/>
            </w:tcBorders>
            <w:shd w:val="clear" w:color="auto" w:fill="auto"/>
            <w:vAlign w:val="center"/>
          </w:tcPr>
          <w:p w14:paraId="0DAF6207" w14:textId="77777777" w:rsidR="007968EC" w:rsidRPr="003302FD" w:rsidRDefault="007968EC" w:rsidP="007968EC">
            <w:pPr>
              <w:rPr>
                <w:rFonts w:ascii="Arial Narrow" w:hAnsi="Arial Narrow" w:cs="Arial"/>
                <w:lang w:eastAsia="es-ES"/>
              </w:rPr>
            </w:pPr>
          </w:p>
        </w:tc>
        <w:tc>
          <w:tcPr>
            <w:tcW w:w="504" w:type="dxa"/>
            <w:tcBorders>
              <w:top w:val="nil"/>
              <w:left w:val="single" w:sz="4" w:space="0" w:color="auto"/>
              <w:bottom w:val="nil"/>
              <w:right w:val="single" w:sz="4" w:space="0" w:color="auto"/>
            </w:tcBorders>
            <w:shd w:val="clear" w:color="auto" w:fill="auto"/>
            <w:vAlign w:val="center"/>
          </w:tcPr>
          <w:p w14:paraId="1C505141" w14:textId="77777777" w:rsidR="007968EC" w:rsidRPr="003302FD" w:rsidRDefault="007968EC" w:rsidP="007968EC">
            <w:pPr>
              <w:rPr>
                <w:rFonts w:ascii="Arial Narrow" w:hAnsi="Arial Narrow" w:cs="Arial"/>
                <w:lang w:eastAsia="es-ES"/>
              </w:rPr>
            </w:pPr>
          </w:p>
        </w:tc>
        <w:tc>
          <w:tcPr>
            <w:tcW w:w="2524" w:type="dxa"/>
            <w:tcBorders>
              <w:top w:val="single" w:sz="4" w:space="0" w:color="auto"/>
              <w:left w:val="single" w:sz="4" w:space="0" w:color="auto"/>
              <w:right w:val="single" w:sz="4" w:space="0" w:color="auto"/>
            </w:tcBorders>
            <w:shd w:val="clear" w:color="auto" w:fill="auto"/>
            <w:vAlign w:val="center"/>
          </w:tcPr>
          <w:p w14:paraId="5049F29E"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Segmento Renta Fija</w:t>
            </w:r>
          </w:p>
        </w:tc>
        <w:tc>
          <w:tcPr>
            <w:tcW w:w="363" w:type="dxa"/>
            <w:tcBorders>
              <w:top w:val="single" w:sz="4" w:space="0" w:color="auto"/>
              <w:left w:val="single" w:sz="4" w:space="0" w:color="auto"/>
              <w:right w:val="single" w:sz="4" w:space="0" w:color="auto"/>
            </w:tcBorders>
            <w:vAlign w:val="center"/>
          </w:tcPr>
          <w:p w14:paraId="3FED8698" w14:textId="77777777" w:rsidR="007968EC" w:rsidRPr="003302FD" w:rsidRDefault="007968EC" w:rsidP="007968EC">
            <w:pPr>
              <w:rPr>
                <w:rFonts w:ascii="Arial Narrow" w:hAnsi="Arial Narrow" w:cs="Arial"/>
                <w:lang w:eastAsia="es-ES"/>
              </w:rPr>
            </w:pPr>
          </w:p>
        </w:tc>
        <w:tc>
          <w:tcPr>
            <w:tcW w:w="389" w:type="dxa"/>
            <w:tcBorders>
              <w:top w:val="nil"/>
              <w:left w:val="single" w:sz="4" w:space="0" w:color="auto"/>
              <w:bottom w:val="nil"/>
              <w:right w:val="single" w:sz="4" w:space="0" w:color="auto"/>
            </w:tcBorders>
            <w:vAlign w:val="center"/>
          </w:tcPr>
          <w:p w14:paraId="16513DFA" w14:textId="77777777" w:rsidR="007968EC" w:rsidRPr="003302FD" w:rsidRDefault="007968EC" w:rsidP="007968EC">
            <w:pPr>
              <w:rPr>
                <w:rFonts w:ascii="Arial Narrow" w:hAnsi="Arial Narrow" w:cs="Arial"/>
                <w:lang w:eastAsia="es-ES"/>
              </w:rPr>
            </w:pPr>
          </w:p>
        </w:tc>
        <w:tc>
          <w:tcPr>
            <w:tcW w:w="2275" w:type="dxa"/>
            <w:tcBorders>
              <w:top w:val="single" w:sz="4" w:space="0" w:color="auto"/>
              <w:left w:val="single" w:sz="4" w:space="0" w:color="auto"/>
              <w:right w:val="single" w:sz="4" w:space="0" w:color="auto"/>
            </w:tcBorders>
            <w:vAlign w:val="center"/>
          </w:tcPr>
          <w:p w14:paraId="45C3619B" w14:textId="77777777" w:rsidR="007968EC" w:rsidRPr="003302FD" w:rsidRDefault="007968EC" w:rsidP="007968EC">
            <w:pPr>
              <w:jc w:val="center"/>
              <w:rPr>
                <w:rFonts w:ascii="Arial Narrow" w:hAnsi="Arial Narrow" w:cs="Arial"/>
                <w:lang w:eastAsia="es-ES"/>
              </w:rPr>
            </w:pPr>
            <w:r w:rsidRPr="003302FD">
              <w:rPr>
                <w:rFonts w:ascii="Arial Narrow" w:hAnsi="Arial Narrow" w:cs="Arial"/>
                <w:lang w:eastAsia="es-ES"/>
              </w:rPr>
              <w:t>Segmento Renta Variable</w:t>
            </w:r>
          </w:p>
        </w:tc>
        <w:tc>
          <w:tcPr>
            <w:tcW w:w="377" w:type="dxa"/>
            <w:tcBorders>
              <w:top w:val="single" w:sz="4" w:space="0" w:color="auto"/>
              <w:left w:val="single" w:sz="4" w:space="0" w:color="auto"/>
              <w:right w:val="single" w:sz="4" w:space="0" w:color="auto"/>
            </w:tcBorders>
          </w:tcPr>
          <w:p w14:paraId="73846394" w14:textId="77777777" w:rsidR="007968EC" w:rsidRPr="003302FD" w:rsidRDefault="007968EC" w:rsidP="007968EC">
            <w:pPr>
              <w:jc w:val="center"/>
              <w:rPr>
                <w:rFonts w:ascii="Arial Narrow" w:hAnsi="Arial Narrow" w:cs="Arial"/>
                <w:lang w:eastAsia="es-ES"/>
              </w:rPr>
            </w:pPr>
          </w:p>
        </w:tc>
      </w:tr>
    </w:tbl>
    <w:p w14:paraId="79A512CF" w14:textId="77777777" w:rsidR="007968EC" w:rsidRPr="003302FD" w:rsidRDefault="007968EC" w:rsidP="007968EC">
      <w:pPr>
        <w:ind w:left="-720"/>
        <w:rPr>
          <w:rFonts w:ascii="Arial Narrow" w:hAnsi="Arial Narrow" w:cs="Arial"/>
          <w:lang w:val="es-ES" w:eastAsia="es-ES"/>
        </w:rPr>
      </w:pPr>
    </w:p>
    <w:tbl>
      <w:tblPr>
        <w:tblW w:w="2523"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45"/>
        <w:gridCol w:w="378"/>
      </w:tblGrid>
      <w:tr w:rsidR="007968EC" w:rsidRPr="003302FD" w14:paraId="5A9107E9" w14:textId="77777777" w:rsidTr="007968EC">
        <w:trPr>
          <w:cantSplit/>
          <w:trHeight w:val="79"/>
        </w:trPr>
        <w:tc>
          <w:tcPr>
            <w:tcW w:w="2145" w:type="dxa"/>
            <w:tcBorders>
              <w:top w:val="single" w:sz="4" w:space="0" w:color="auto"/>
              <w:left w:val="single" w:sz="4" w:space="0" w:color="auto"/>
              <w:right w:val="single" w:sz="4" w:space="0" w:color="auto"/>
            </w:tcBorders>
            <w:shd w:val="clear" w:color="auto" w:fill="auto"/>
            <w:vAlign w:val="center"/>
          </w:tcPr>
          <w:p w14:paraId="4CCF9339"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Segmento Swaps</w:t>
            </w:r>
          </w:p>
        </w:tc>
        <w:tc>
          <w:tcPr>
            <w:tcW w:w="378" w:type="dxa"/>
            <w:tcBorders>
              <w:top w:val="single" w:sz="4" w:space="0" w:color="auto"/>
              <w:left w:val="single" w:sz="4" w:space="0" w:color="auto"/>
              <w:right w:val="single" w:sz="4" w:space="0" w:color="auto"/>
            </w:tcBorders>
            <w:shd w:val="clear" w:color="auto" w:fill="auto"/>
            <w:vAlign w:val="center"/>
          </w:tcPr>
          <w:p w14:paraId="524FCDA5" w14:textId="77777777" w:rsidR="007968EC" w:rsidRPr="003302FD" w:rsidRDefault="007968EC" w:rsidP="007968EC">
            <w:pPr>
              <w:rPr>
                <w:rFonts w:ascii="Arial Narrow" w:hAnsi="Arial Narrow" w:cs="Arial"/>
                <w:lang w:eastAsia="es-ES"/>
              </w:rPr>
            </w:pPr>
          </w:p>
        </w:tc>
      </w:tr>
    </w:tbl>
    <w:p w14:paraId="08E94EBD" w14:textId="77777777" w:rsidR="007968EC" w:rsidRPr="003302FD" w:rsidRDefault="007968EC" w:rsidP="007968EC">
      <w:pPr>
        <w:rPr>
          <w:rFonts w:ascii="Arial Narrow" w:hAnsi="Arial Narrow" w:cs="Arial"/>
          <w:lang w:val="es-ES" w:eastAsia="es-ES"/>
        </w:rPr>
      </w:pPr>
    </w:p>
    <w:p w14:paraId="797E5B02" w14:textId="77777777" w:rsidR="007968EC" w:rsidRPr="003302FD" w:rsidRDefault="007968EC" w:rsidP="00DA7472">
      <w:pPr>
        <w:numPr>
          <w:ilvl w:val="0"/>
          <w:numId w:val="114"/>
        </w:numPr>
        <w:ind w:left="851" w:hanging="425"/>
        <w:rPr>
          <w:rFonts w:ascii="Arial Narrow" w:hAnsi="Arial Narrow" w:cs="Arial"/>
          <w:lang w:val="es-ES" w:eastAsia="es-ES"/>
        </w:rPr>
      </w:pPr>
      <w:r w:rsidRPr="003302FD">
        <w:rPr>
          <w:rFonts w:ascii="Arial Narrow" w:hAnsi="Arial Narrow" w:cs="Arial"/>
          <w:lang w:val="es-ES" w:eastAsia="es-ES"/>
        </w:rPr>
        <w:t xml:space="preserve"> Datos Generales.</w:t>
      </w:r>
    </w:p>
    <w:p w14:paraId="7F765E53" w14:textId="77777777" w:rsidR="007968EC" w:rsidRPr="003302FD" w:rsidRDefault="007968EC" w:rsidP="007968EC">
      <w:pPr>
        <w:tabs>
          <w:tab w:val="num" w:pos="720"/>
        </w:tabs>
        <w:ind w:left="426"/>
        <w:rPr>
          <w:rFonts w:ascii="Arial Narrow" w:hAnsi="Arial Narrow" w:cs="Arial"/>
          <w:lang w:val="es-ES" w:eastAsia="es-ES"/>
        </w:rPr>
      </w:pPr>
    </w:p>
    <w:tbl>
      <w:tblPr>
        <w:tblW w:w="8997"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2977"/>
        <w:gridCol w:w="1559"/>
        <w:gridCol w:w="567"/>
        <w:gridCol w:w="634"/>
      </w:tblGrid>
      <w:tr w:rsidR="007968EC" w:rsidRPr="003302FD" w14:paraId="3831C6CF" w14:textId="77777777" w:rsidTr="007968EC">
        <w:trPr>
          <w:trHeight w:val="70"/>
        </w:trPr>
        <w:tc>
          <w:tcPr>
            <w:tcW w:w="3260" w:type="dxa"/>
            <w:tcBorders>
              <w:top w:val="single" w:sz="4" w:space="0" w:color="auto"/>
              <w:left w:val="single" w:sz="4" w:space="0" w:color="auto"/>
              <w:bottom w:val="single" w:sz="4" w:space="0" w:color="auto"/>
              <w:right w:val="single" w:sz="4" w:space="0" w:color="auto"/>
            </w:tcBorders>
            <w:vAlign w:val="center"/>
          </w:tcPr>
          <w:p w14:paraId="7B0D8711"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 xml:space="preserve">1. Nombre Comercial </w:t>
            </w:r>
          </w:p>
        </w:tc>
        <w:tc>
          <w:tcPr>
            <w:tcW w:w="2977" w:type="dxa"/>
            <w:tcBorders>
              <w:top w:val="single" w:sz="4" w:space="0" w:color="auto"/>
              <w:left w:val="single" w:sz="4" w:space="0" w:color="auto"/>
              <w:bottom w:val="single" w:sz="4" w:space="0" w:color="auto"/>
              <w:right w:val="single" w:sz="4" w:space="0" w:color="auto"/>
            </w:tcBorders>
            <w:vAlign w:val="center"/>
          </w:tcPr>
          <w:p w14:paraId="51038D30" w14:textId="77777777" w:rsidR="007968EC" w:rsidRPr="003302FD" w:rsidRDefault="007968EC" w:rsidP="007968EC">
            <w:pPr>
              <w:rPr>
                <w:rFonts w:ascii="Arial Narrow" w:hAnsi="Arial Narrow" w:cs="Arial"/>
                <w:b/>
                <w:lang w:eastAsia="es-ES"/>
              </w:rPr>
            </w:pPr>
          </w:p>
        </w:tc>
        <w:tc>
          <w:tcPr>
            <w:tcW w:w="1559" w:type="dxa"/>
            <w:tcBorders>
              <w:top w:val="single" w:sz="4" w:space="0" w:color="auto"/>
              <w:left w:val="single" w:sz="4" w:space="0" w:color="auto"/>
              <w:bottom w:val="single" w:sz="4" w:space="0" w:color="auto"/>
              <w:right w:val="single" w:sz="4" w:space="0" w:color="auto"/>
            </w:tcBorders>
            <w:vAlign w:val="center"/>
          </w:tcPr>
          <w:p w14:paraId="104C4794"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2. NIT.</w:t>
            </w:r>
          </w:p>
        </w:tc>
        <w:tc>
          <w:tcPr>
            <w:tcW w:w="1201" w:type="dxa"/>
            <w:gridSpan w:val="2"/>
            <w:tcBorders>
              <w:top w:val="single" w:sz="4" w:space="0" w:color="auto"/>
              <w:left w:val="single" w:sz="4" w:space="0" w:color="auto"/>
              <w:bottom w:val="single" w:sz="4" w:space="0" w:color="auto"/>
              <w:right w:val="single" w:sz="4" w:space="0" w:color="auto"/>
            </w:tcBorders>
            <w:vAlign w:val="center"/>
          </w:tcPr>
          <w:p w14:paraId="5962A3C6" w14:textId="77777777" w:rsidR="007968EC" w:rsidRPr="003302FD" w:rsidRDefault="007968EC" w:rsidP="007968EC">
            <w:pPr>
              <w:rPr>
                <w:rFonts w:ascii="Arial Narrow" w:hAnsi="Arial Narrow" w:cs="Arial"/>
                <w:b/>
                <w:lang w:eastAsia="es-ES"/>
              </w:rPr>
            </w:pPr>
          </w:p>
        </w:tc>
      </w:tr>
      <w:tr w:rsidR="007968EC" w:rsidRPr="003302FD" w14:paraId="56F0CE9E" w14:textId="77777777" w:rsidTr="007968EC">
        <w:trPr>
          <w:cantSplit/>
          <w:trHeight w:val="70"/>
        </w:trPr>
        <w:tc>
          <w:tcPr>
            <w:tcW w:w="3260" w:type="dxa"/>
            <w:vAlign w:val="center"/>
          </w:tcPr>
          <w:p w14:paraId="68A4D1E8"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 xml:space="preserve">3. Razón Social </w:t>
            </w:r>
          </w:p>
        </w:tc>
        <w:tc>
          <w:tcPr>
            <w:tcW w:w="5737" w:type="dxa"/>
            <w:gridSpan w:val="4"/>
            <w:vAlign w:val="center"/>
          </w:tcPr>
          <w:p w14:paraId="1615A1E7" w14:textId="77777777" w:rsidR="007968EC" w:rsidRPr="003302FD" w:rsidRDefault="007968EC" w:rsidP="007968EC">
            <w:pPr>
              <w:rPr>
                <w:rFonts w:ascii="Arial Narrow" w:hAnsi="Arial Narrow" w:cs="Arial"/>
                <w:b/>
                <w:lang w:eastAsia="es-ES"/>
              </w:rPr>
            </w:pPr>
          </w:p>
        </w:tc>
      </w:tr>
      <w:tr w:rsidR="007968EC" w:rsidRPr="003302FD" w14:paraId="0D441C2F" w14:textId="77777777" w:rsidTr="007968EC">
        <w:trPr>
          <w:cantSplit/>
          <w:trHeight w:val="70"/>
        </w:trPr>
        <w:tc>
          <w:tcPr>
            <w:tcW w:w="3260" w:type="dxa"/>
            <w:vAlign w:val="center"/>
          </w:tcPr>
          <w:p w14:paraId="6F3369F9"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4.  Fecha de Constitución</w:t>
            </w:r>
          </w:p>
        </w:tc>
        <w:tc>
          <w:tcPr>
            <w:tcW w:w="5737" w:type="dxa"/>
            <w:gridSpan w:val="4"/>
            <w:vAlign w:val="center"/>
          </w:tcPr>
          <w:p w14:paraId="227568D9" w14:textId="77777777" w:rsidR="007968EC" w:rsidRPr="003302FD" w:rsidRDefault="007968EC" w:rsidP="007968EC">
            <w:pPr>
              <w:rPr>
                <w:rFonts w:ascii="Arial Narrow" w:hAnsi="Arial Narrow" w:cs="Arial"/>
                <w:b/>
                <w:lang w:eastAsia="es-ES"/>
              </w:rPr>
            </w:pPr>
          </w:p>
        </w:tc>
      </w:tr>
      <w:tr w:rsidR="007968EC" w:rsidRPr="003302FD" w14:paraId="0ED57B6A" w14:textId="77777777" w:rsidTr="007968EC">
        <w:trPr>
          <w:trHeight w:val="70"/>
        </w:trPr>
        <w:tc>
          <w:tcPr>
            <w:tcW w:w="3260" w:type="dxa"/>
            <w:tcBorders>
              <w:right w:val="single" w:sz="4" w:space="0" w:color="auto"/>
            </w:tcBorders>
            <w:vAlign w:val="center"/>
          </w:tcPr>
          <w:p w14:paraId="08F9F844"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5. Dirección Oficina Principal</w:t>
            </w:r>
          </w:p>
        </w:tc>
        <w:tc>
          <w:tcPr>
            <w:tcW w:w="2977" w:type="dxa"/>
            <w:tcBorders>
              <w:left w:val="single" w:sz="4" w:space="0" w:color="auto"/>
              <w:right w:val="single" w:sz="4" w:space="0" w:color="auto"/>
            </w:tcBorders>
            <w:vAlign w:val="center"/>
          </w:tcPr>
          <w:p w14:paraId="78B5FD3A" w14:textId="77777777" w:rsidR="007968EC" w:rsidRPr="003302FD" w:rsidRDefault="007968EC" w:rsidP="007968EC">
            <w:pPr>
              <w:rPr>
                <w:rFonts w:ascii="Arial Narrow" w:hAnsi="Arial Narrow" w:cs="Arial"/>
                <w:b/>
                <w:lang w:eastAsia="es-ES"/>
              </w:rPr>
            </w:pPr>
          </w:p>
        </w:tc>
        <w:tc>
          <w:tcPr>
            <w:tcW w:w="1559" w:type="dxa"/>
            <w:tcBorders>
              <w:top w:val="single" w:sz="4" w:space="0" w:color="auto"/>
              <w:left w:val="single" w:sz="4" w:space="0" w:color="auto"/>
              <w:bottom w:val="single" w:sz="4" w:space="0" w:color="auto"/>
              <w:right w:val="single" w:sz="4" w:space="0" w:color="auto"/>
            </w:tcBorders>
            <w:vAlign w:val="center"/>
          </w:tcPr>
          <w:p w14:paraId="78C08092"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6. Ciudad:</w:t>
            </w:r>
          </w:p>
        </w:tc>
        <w:tc>
          <w:tcPr>
            <w:tcW w:w="1201" w:type="dxa"/>
            <w:gridSpan w:val="2"/>
            <w:tcBorders>
              <w:top w:val="single" w:sz="4" w:space="0" w:color="auto"/>
              <w:left w:val="single" w:sz="4" w:space="0" w:color="auto"/>
              <w:bottom w:val="single" w:sz="4" w:space="0" w:color="auto"/>
              <w:right w:val="single" w:sz="4" w:space="0" w:color="auto"/>
            </w:tcBorders>
            <w:vAlign w:val="center"/>
          </w:tcPr>
          <w:p w14:paraId="0C114D77" w14:textId="77777777" w:rsidR="007968EC" w:rsidRPr="003302FD" w:rsidRDefault="007968EC" w:rsidP="007968EC">
            <w:pPr>
              <w:rPr>
                <w:rFonts w:ascii="Arial Narrow" w:hAnsi="Arial Narrow" w:cs="Arial"/>
                <w:b/>
                <w:lang w:eastAsia="es-ES"/>
              </w:rPr>
            </w:pPr>
          </w:p>
        </w:tc>
      </w:tr>
      <w:tr w:rsidR="007968EC" w:rsidRPr="003302FD" w14:paraId="40BE016E" w14:textId="77777777" w:rsidTr="007968EC">
        <w:trPr>
          <w:trHeight w:val="70"/>
        </w:trPr>
        <w:tc>
          <w:tcPr>
            <w:tcW w:w="3260" w:type="dxa"/>
            <w:tcBorders>
              <w:right w:val="single" w:sz="4" w:space="0" w:color="auto"/>
            </w:tcBorders>
            <w:vAlign w:val="center"/>
          </w:tcPr>
          <w:p w14:paraId="2EEC594A"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7. Teléfono Oficina Principal</w:t>
            </w:r>
          </w:p>
        </w:tc>
        <w:tc>
          <w:tcPr>
            <w:tcW w:w="2977" w:type="dxa"/>
            <w:tcBorders>
              <w:left w:val="single" w:sz="4" w:space="0" w:color="auto"/>
              <w:right w:val="single" w:sz="4" w:space="0" w:color="auto"/>
            </w:tcBorders>
            <w:vAlign w:val="center"/>
          </w:tcPr>
          <w:p w14:paraId="3C2A462C" w14:textId="77777777" w:rsidR="007968EC" w:rsidRPr="003302FD" w:rsidRDefault="007968EC" w:rsidP="007968EC">
            <w:pPr>
              <w:rPr>
                <w:rFonts w:ascii="Arial Narrow" w:hAnsi="Arial Narrow" w:cs="Arial"/>
                <w:b/>
                <w:lang w:eastAsia="es-ES"/>
              </w:rPr>
            </w:pPr>
          </w:p>
        </w:tc>
        <w:tc>
          <w:tcPr>
            <w:tcW w:w="1559" w:type="dxa"/>
            <w:tcBorders>
              <w:top w:val="single" w:sz="4" w:space="0" w:color="auto"/>
              <w:left w:val="single" w:sz="4" w:space="0" w:color="auto"/>
              <w:bottom w:val="single" w:sz="4" w:space="0" w:color="auto"/>
              <w:right w:val="single" w:sz="4" w:space="0" w:color="auto"/>
            </w:tcBorders>
            <w:vAlign w:val="center"/>
          </w:tcPr>
          <w:p w14:paraId="3CD2DB1A"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8. Fax:</w:t>
            </w:r>
          </w:p>
        </w:tc>
        <w:tc>
          <w:tcPr>
            <w:tcW w:w="1201" w:type="dxa"/>
            <w:gridSpan w:val="2"/>
            <w:tcBorders>
              <w:top w:val="single" w:sz="4" w:space="0" w:color="auto"/>
              <w:left w:val="single" w:sz="4" w:space="0" w:color="auto"/>
              <w:bottom w:val="single" w:sz="4" w:space="0" w:color="auto"/>
              <w:right w:val="single" w:sz="4" w:space="0" w:color="auto"/>
            </w:tcBorders>
            <w:vAlign w:val="center"/>
          </w:tcPr>
          <w:p w14:paraId="002C5B7A" w14:textId="77777777" w:rsidR="007968EC" w:rsidRPr="003302FD" w:rsidRDefault="007968EC" w:rsidP="007968EC">
            <w:pPr>
              <w:rPr>
                <w:rFonts w:ascii="Arial Narrow" w:hAnsi="Arial Narrow" w:cs="Arial"/>
                <w:b/>
                <w:lang w:eastAsia="es-ES"/>
              </w:rPr>
            </w:pPr>
          </w:p>
        </w:tc>
      </w:tr>
      <w:tr w:rsidR="007968EC" w:rsidRPr="003302FD" w14:paraId="6E5B8F68" w14:textId="77777777" w:rsidTr="007968EC">
        <w:trPr>
          <w:trHeight w:val="70"/>
        </w:trPr>
        <w:tc>
          <w:tcPr>
            <w:tcW w:w="3260" w:type="dxa"/>
            <w:tcBorders>
              <w:right w:val="single" w:sz="4" w:space="0" w:color="auto"/>
            </w:tcBorders>
            <w:vAlign w:val="center"/>
          </w:tcPr>
          <w:p w14:paraId="5449B5F3"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 xml:space="preserve">9. </w:t>
            </w:r>
            <w:proofErr w:type="spellStart"/>
            <w:r w:rsidRPr="003302FD">
              <w:rPr>
                <w:rFonts w:ascii="Arial Narrow" w:hAnsi="Arial Narrow" w:cs="Arial"/>
                <w:lang w:eastAsia="es-ES"/>
              </w:rPr>
              <w:t>Website</w:t>
            </w:r>
            <w:proofErr w:type="spellEnd"/>
            <w:r w:rsidRPr="003302FD">
              <w:rPr>
                <w:rFonts w:ascii="Arial Narrow" w:hAnsi="Arial Narrow" w:cs="Arial"/>
                <w:lang w:eastAsia="es-ES"/>
              </w:rPr>
              <w:t>.</w:t>
            </w:r>
          </w:p>
        </w:tc>
        <w:tc>
          <w:tcPr>
            <w:tcW w:w="5737" w:type="dxa"/>
            <w:gridSpan w:val="4"/>
            <w:tcBorders>
              <w:left w:val="single" w:sz="4" w:space="0" w:color="auto"/>
              <w:right w:val="single" w:sz="4" w:space="0" w:color="auto"/>
            </w:tcBorders>
            <w:vAlign w:val="center"/>
          </w:tcPr>
          <w:p w14:paraId="2AD5FD1A" w14:textId="77777777" w:rsidR="007968EC" w:rsidRPr="003302FD" w:rsidRDefault="007968EC" w:rsidP="007968EC">
            <w:pPr>
              <w:rPr>
                <w:rFonts w:ascii="Arial Narrow" w:hAnsi="Arial Narrow" w:cs="Arial"/>
                <w:b/>
                <w:lang w:eastAsia="es-ES"/>
              </w:rPr>
            </w:pPr>
          </w:p>
        </w:tc>
      </w:tr>
      <w:tr w:rsidR="007968EC" w:rsidRPr="003302FD" w14:paraId="72A94972" w14:textId="77777777" w:rsidTr="007968EC">
        <w:trPr>
          <w:trHeight w:val="345"/>
        </w:trPr>
        <w:tc>
          <w:tcPr>
            <w:tcW w:w="3260" w:type="dxa"/>
            <w:tcBorders>
              <w:right w:val="single" w:sz="4" w:space="0" w:color="auto"/>
            </w:tcBorders>
            <w:vAlign w:val="center"/>
          </w:tcPr>
          <w:p w14:paraId="49997521"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10. Tipo de Entidad</w:t>
            </w:r>
          </w:p>
        </w:tc>
        <w:tc>
          <w:tcPr>
            <w:tcW w:w="5737" w:type="dxa"/>
            <w:gridSpan w:val="4"/>
            <w:tcBorders>
              <w:left w:val="single" w:sz="4" w:space="0" w:color="auto"/>
              <w:right w:val="single" w:sz="4" w:space="0" w:color="auto"/>
            </w:tcBorders>
            <w:vAlign w:val="center"/>
          </w:tcPr>
          <w:p w14:paraId="1F2F3FA4" w14:textId="77777777" w:rsidR="007968EC" w:rsidRPr="003302FD" w:rsidRDefault="007968EC" w:rsidP="007968EC">
            <w:pPr>
              <w:rPr>
                <w:rFonts w:ascii="Arial Narrow" w:hAnsi="Arial Narrow" w:cs="Arial"/>
                <w:b/>
                <w:lang w:eastAsia="es-ES"/>
              </w:rPr>
            </w:pPr>
          </w:p>
        </w:tc>
      </w:tr>
      <w:tr w:rsidR="007968EC" w:rsidRPr="003302FD" w14:paraId="73CA22B3" w14:textId="77777777" w:rsidTr="007968EC">
        <w:trPr>
          <w:trHeight w:val="345"/>
        </w:trPr>
        <w:tc>
          <w:tcPr>
            <w:tcW w:w="3260" w:type="dxa"/>
            <w:tcBorders>
              <w:top w:val="single" w:sz="4" w:space="0" w:color="auto"/>
              <w:right w:val="single" w:sz="4" w:space="0" w:color="auto"/>
            </w:tcBorders>
            <w:vAlign w:val="center"/>
          </w:tcPr>
          <w:p w14:paraId="63739692"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11. Código Superintendencia Financiera.</w:t>
            </w:r>
          </w:p>
        </w:tc>
        <w:tc>
          <w:tcPr>
            <w:tcW w:w="5737" w:type="dxa"/>
            <w:gridSpan w:val="4"/>
            <w:tcBorders>
              <w:top w:val="single" w:sz="4" w:space="0" w:color="auto"/>
              <w:left w:val="single" w:sz="4" w:space="0" w:color="auto"/>
              <w:right w:val="single" w:sz="4" w:space="0" w:color="auto"/>
            </w:tcBorders>
            <w:vAlign w:val="center"/>
          </w:tcPr>
          <w:p w14:paraId="64643820" w14:textId="77777777" w:rsidR="007968EC" w:rsidRPr="003302FD" w:rsidRDefault="007968EC" w:rsidP="007968EC">
            <w:pPr>
              <w:rPr>
                <w:rFonts w:ascii="Arial Narrow" w:hAnsi="Arial Narrow" w:cs="Arial"/>
                <w:b/>
                <w:lang w:eastAsia="es-ES"/>
              </w:rPr>
            </w:pPr>
          </w:p>
        </w:tc>
      </w:tr>
      <w:tr w:rsidR="007968EC" w:rsidRPr="003302FD" w14:paraId="4B63BB92" w14:textId="77777777" w:rsidTr="007968EC">
        <w:trPr>
          <w:trHeight w:val="70"/>
        </w:trPr>
        <w:tc>
          <w:tcPr>
            <w:tcW w:w="3260" w:type="dxa"/>
            <w:tcBorders>
              <w:top w:val="single" w:sz="4" w:space="0" w:color="auto"/>
              <w:right w:val="single" w:sz="4" w:space="0" w:color="auto"/>
            </w:tcBorders>
            <w:vAlign w:val="center"/>
          </w:tcPr>
          <w:p w14:paraId="2CA22FA1"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12. Nombre del Representante Legal</w:t>
            </w:r>
          </w:p>
        </w:tc>
        <w:tc>
          <w:tcPr>
            <w:tcW w:w="5737" w:type="dxa"/>
            <w:gridSpan w:val="4"/>
            <w:tcBorders>
              <w:top w:val="single" w:sz="4" w:space="0" w:color="auto"/>
              <w:left w:val="single" w:sz="4" w:space="0" w:color="auto"/>
              <w:right w:val="single" w:sz="4" w:space="0" w:color="auto"/>
            </w:tcBorders>
            <w:vAlign w:val="center"/>
          </w:tcPr>
          <w:p w14:paraId="6509FE0A" w14:textId="77777777" w:rsidR="007968EC" w:rsidRPr="003302FD" w:rsidRDefault="007968EC" w:rsidP="007968EC">
            <w:pPr>
              <w:rPr>
                <w:rFonts w:ascii="Arial Narrow" w:hAnsi="Arial Narrow" w:cs="Arial"/>
                <w:b/>
                <w:lang w:eastAsia="es-ES"/>
              </w:rPr>
            </w:pPr>
          </w:p>
        </w:tc>
      </w:tr>
      <w:tr w:rsidR="007968EC" w:rsidRPr="003302FD" w14:paraId="7CC055CF" w14:textId="77777777" w:rsidTr="007968EC">
        <w:trPr>
          <w:trHeight w:val="70"/>
        </w:trPr>
        <w:tc>
          <w:tcPr>
            <w:tcW w:w="3260" w:type="dxa"/>
            <w:tcBorders>
              <w:right w:val="single" w:sz="4" w:space="0" w:color="auto"/>
            </w:tcBorders>
            <w:vAlign w:val="center"/>
          </w:tcPr>
          <w:p w14:paraId="4C1FA622"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lastRenderedPageBreak/>
              <w:t>13. Tipo de Identificación del Representante Legal</w:t>
            </w:r>
          </w:p>
        </w:tc>
        <w:tc>
          <w:tcPr>
            <w:tcW w:w="2977" w:type="dxa"/>
            <w:tcBorders>
              <w:left w:val="single" w:sz="4" w:space="0" w:color="auto"/>
              <w:right w:val="single" w:sz="4" w:space="0" w:color="auto"/>
            </w:tcBorders>
            <w:vAlign w:val="center"/>
          </w:tcPr>
          <w:p w14:paraId="753534E0" w14:textId="77777777" w:rsidR="007968EC" w:rsidRPr="003302FD" w:rsidRDefault="007968EC" w:rsidP="007968EC">
            <w:pPr>
              <w:rPr>
                <w:rFonts w:ascii="Arial Narrow" w:hAnsi="Arial Narrow" w:cs="Arial"/>
                <w:b/>
                <w:lang w:eastAsia="es-ES"/>
              </w:rPr>
            </w:pPr>
          </w:p>
        </w:tc>
        <w:tc>
          <w:tcPr>
            <w:tcW w:w="2126" w:type="dxa"/>
            <w:gridSpan w:val="2"/>
            <w:tcBorders>
              <w:left w:val="single" w:sz="4" w:space="0" w:color="auto"/>
              <w:right w:val="single" w:sz="4" w:space="0" w:color="auto"/>
            </w:tcBorders>
            <w:shd w:val="clear" w:color="auto" w:fill="auto"/>
            <w:vAlign w:val="center"/>
          </w:tcPr>
          <w:p w14:paraId="153A5D01"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14. No. de Identificación del Representante Legal</w:t>
            </w:r>
          </w:p>
        </w:tc>
        <w:tc>
          <w:tcPr>
            <w:tcW w:w="634" w:type="dxa"/>
            <w:tcBorders>
              <w:left w:val="single" w:sz="4" w:space="0" w:color="auto"/>
              <w:right w:val="single" w:sz="4" w:space="0" w:color="auto"/>
            </w:tcBorders>
            <w:shd w:val="clear" w:color="auto" w:fill="auto"/>
            <w:vAlign w:val="center"/>
          </w:tcPr>
          <w:p w14:paraId="7B0EAAEE" w14:textId="77777777" w:rsidR="007968EC" w:rsidRPr="003302FD" w:rsidRDefault="007968EC" w:rsidP="007968EC">
            <w:pPr>
              <w:rPr>
                <w:rFonts w:ascii="Arial Narrow" w:hAnsi="Arial Narrow" w:cs="Arial"/>
                <w:b/>
                <w:lang w:eastAsia="es-ES"/>
              </w:rPr>
            </w:pPr>
          </w:p>
        </w:tc>
      </w:tr>
      <w:tr w:rsidR="007968EC" w:rsidRPr="003302FD" w14:paraId="119650CF" w14:textId="77777777" w:rsidTr="007968EC">
        <w:trPr>
          <w:trHeight w:val="378"/>
        </w:trPr>
        <w:tc>
          <w:tcPr>
            <w:tcW w:w="3260" w:type="dxa"/>
            <w:tcBorders>
              <w:right w:val="single" w:sz="4" w:space="0" w:color="auto"/>
            </w:tcBorders>
            <w:vAlign w:val="center"/>
          </w:tcPr>
          <w:p w14:paraId="79A8CF05"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 xml:space="preserve">15. Cargo </w:t>
            </w:r>
          </w:p>
        </w:tc>
        <w:tc>
          <w:tcPr>
            <w:tcW w:w="5737" w:type="dxa"/>
            <w:gridSpan w:val="4"/>
            <w:tcBorders>
              <w:left w:val="single" w:sz="4" w:space="0" w:color="auto"/>
            </w:tcBorders>
            <w:vAlign w:val="center"/>
          </w:tcPr>
          <w:p w14:paraId="5C1AF783" w14:textId="77777777" w:rsidR="007968EC" w:rsidRPr="003302FD" w:rsidRDefault="007968EC" w:rsidP="007968EC">
            <w:pPr>
              <w:rPr>
                <w:rFonts w:ascii="Arial Narrow" w:hAnsi="Arial Narrow" w:cs="Arial"/>
                <w:b/>
                <w:lang w:eastAsia="es-ES"/>
              </w:rPr>
            </w:pPr>
          </w:p>
        </w:tc>
      </w:tr>
      <w:tr w:rsidR="007968EC" w:rsidRPr="003302FD" w14:paraId="163A8320" w14:textId="77777777" w:rsidTr="007968EC">
        <w:trPr>
          <w:trHeight w:val="70"/>
        </w:trPr>
        <w:tc>
          <w:tcPr>
            <w:tcW w:w="3260" w:type="dxa"/>
            <w:tcBorders>
              <w:right w:val="single" w:sz="4" w:space="0" w:color="auto"/>
            </w:tcBorders>
            <w:vAlign w:val="center"/>
          </w:tcPr>
          <w:p w14:paraId="4EA6BE1C"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16.  Nombre de la Entidad Auditora (Si aplica)</w:t>
            </w:r>
          </w:p>
        </w:tc>
        <w:tc>
          <w:tcPr>
            <w:tcW w:w="5737" w:type="dxa"/>
            <w:gridSpan w:val="4"/>
            <w:tcBorders>
              <w:left w:val="single" w:sz="4" w:space="0" w:color="auto"/>
              <w:right w:val="single" w:sz="4" w:space="0" w:color="auto"/>
            </w:tcBorders>
            <w:vAlign w:val="center"/>
          </w:tcPr>
          <w:p w14:paraId="6DD818C1" w14:textId="77777777" w:rsidR="007968EC" w:rsidRPr="003302FD" w:rsidRDefault="007968EC" w:rsidP="007968EC">
            <w:pPr>
              <w:rPr>
                <w:rFonts w:ascii="Arial Narrow" w:hAnsi="Arial Narrow" w:cs="Arial"/>
                <w:b/>
                <w:lang w:eastAsia="es-ES"/>
              </w:rPr>
            </w:pPr>
          </w:p>
        </w:tc>
      </w:tr>
      <w:tr w:rsidR="007968EC" w:rsidRPr="003302FD" w14:paraId="1B65EF5C" w14:textId="77777777" w:rsidTr="007968EC">
        <w:trPr>
          <w:trHeight w:val="345"/>
        </w:trPr>
        <w:tc>
          <w:tcPr>
            <w:tcW w:w="3260" w:type="dxa"/>
            <w:tcBorders>
              <w:right w:val="single" w:sz="4" w:space="0" w:color="auto"/>
            </w:tcBorders>
            <w:vAlign w:val="center"/>
          </w:tcPr>
          <w:p w14:paraId="5DC52263"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17.  Nombre de la Entidad de Revisoría Fiscal (Si aplica)</w:t>
            </w:r>
          </w:p>
        </w:tc>
        <w:tc>
          <w:tcPr>
            <w:tcW w:w="5737" w:type="dxa"/>
            <w:gridSpan w:val="4"/>
            <w:tcBorders>
              <w:left w:val="single" w:sz="4" w:space="0" w:color="auto"/>
              <w:right w:val="single" w:sz="4" w:space="0" w:color="auto"/>
            </w:tcBorders>
            <w:vAlign w:val="center"/>
          </w:tcPr>
          <w:p w14:paraId="6EC51FE8" w14:textId="77777777" w:rsidR="007968EC" w:rsidRPr="003302FD" w:rsidRDefault="007968EC" w:rsidP="007968EC">
            <w:pPr>
              <w:rPr>
                <w:rFonts w:ascii="Arial Narrow" w:hAnsi="Arial Narrow" w:cs="Arial"/>
                <w:b/>
                <w:lang w:eastAsia="es-ES"/>
              </w:rPr>
            </w:pPr>
          </w:p>
        </w:tc>
      </w:tr>
      <w:tr w:rsidR="007968EC" w:rsidRPr="003302FD" w14:paraId="309B822B" w14:textId="77777777" w:rsidTr="007968EC">
        <w:trPr>
          <w:trHeight w:val="70"/>
        </w:trPr>
        <w:tc>
          <w:tcPr>
            <w:tcW w:w="3260" w:type="dxa"/>
            <w:tcBorders>
              <w:right w:val="single" w:sz="4" w:space="0" w:color="auto"/>
            </w:tcBorders>
            <w:vAlign w:val="center"/>
          </w:tcPr>
          <w:p w14:paraId="309C5B70"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18.  Nombre del Revisor Fiscal Principal</w:t>
            </w:r>
          </w:p>
        </w:tc>
        <w:tc>
          <w:tcPr>
            <w:tcW w:w="2977" w:type="dxa"/>
            <w:tcBorders>
              <w:left w:val="single" w:sz="4" w:space="0" w:color="auto"/>
              <w:right w:val="single" w:sz="4" w:space="0" w:color="auto"/>
            </w:tcBorders>
            <w:vAlign w:val="center"/>
          </w:tcPr>
          <w:p w14:paraId="796CA84F" w14:textId="77777777" w:rsidR="007968EC" w:rsidRPr="003302FD" w:rsidRDefault="007968EC" w:rsidP="007968EC">
            <w:pPr>
              <w:rPr>
                <w:rFonts w:ascii="Arial Narrow" w:hAnsi="Arial Narrow" w:cs="Arial"/>
                <w:b/>
                <w:lang w:eastAsia="es-ES"/>
              </w:rPr>
            </w:pPr>
          </w:p>
        </w:tc>
        <w:tc>
          <w:tcPr>
            <w:tcW w:w="2126" w:type="dxa"/>
            <w:gridSpan w:val="2"/>
            <w:tcBorders>
              <w:left w:val="single" w:sz="4" w:space="0" w:color="auto"/>
              <w:right w:val="single" w:sz="4" w:space="0" w:color="auto"/>
            </w:tcBorders>
            <w:shd w:val="clear" w:color="auto" w:fill="auto"/>
            <w:vAlign w:val="center"/>
          </w:tcPr>
          <w:p w14:paraId="5881C99F"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19. No. De Identificación</w:t>
            </w:r>
          </w:p>
        </w:tc>
        <w:tc>
          <w:tcPr>
            <w:tcW w:w="634" w:type="dxa"/>
            <w:tcBorders>
              <w:left w:val="single" w:sz="4" w:space="0" w:color="auto"/>
              <w:right w:val="single" w:sz="4" w:space="0" w:color="auto"/>
            </w:tcBorders>
            <w:shd w:val="clear" w:color="auto" w:fill="auto"/>
            <w:vAlign w:val="center"/>
          </w:tcPr>
          <w:p w14:paraId="0620BA66" w14:textId="77777777" w:rsidR="007968EC" w:rsidRPr="003302FD" w:rsidRDefault="007968EC" w:rsidP="007968EC">
            <w:pPr>
              <w:rPr>
                <w:rFonts w:ascii="Arial Narrow" w:hAnsi="Arial Narrow" w:cs="Arial"/>
                <w:b/>
                <w:lang w:eastAsia="es-ES"/>
              </w:rPr>
            </w:pPr>
          </w:p>
        </w:tc>
      </w:tr>
      <w:tr w:rsidR="007968EC" w:rsidRPr="003302FD" w14:paraId="5891A959" w14:textId="77777777" w:rsidTr="007968EC">
        <w:trPr>
          <w:trHeight w:val="70"/>
        </w:trPr>
        <w:tc>
          <w:tcPr>
            <w:tcW w:w="3260" w:type="dxa"/>
            <w:tcBorders>
              <w:top w:val="single" w:sz="4" w:space="0" w:color="auto"/>
              <w:left w:val="single" w:sz="4" w:space="0" w:color="auto"/>
              <w:bottom w:val="single" w:sz="4" w:space="0" w:color="auto"/>
              <w:right w:val="single" w:sz="4" w:space="0" w:color="auto"/>
            </w:tcBorders>
            <w:vAlign w:val="center"/>
          </w:tcPr>
          <w:p w14:paraId="58DD7E6A"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20.  Nombre del Revisor Fiscal Suplente</w:t>
            </w:r>
          </w:p>
        </w:tc>
        <w:tc>
          <w:tcPr>
            <w:tcW w:w="2977" w:type="dxa"/>
            <w:tcBorders>
              <w:top w:val="single" w:sz="4" w:space="0" w:color="auto"/>
              <w:left w:val="single" w:sz="4" w:space="0" w:color="auto"/>
              <w:bottom w:val="single" w:sz="4" w:space="0" w:color="auto"/>
              <w:right w:val="single" w:sz="4" w:space="0" w:color="auto"/>
            </w:tcBorders>
            <w:vAlign w:val="center"/>
          </w:tcPr>
          <w:p w14:paraId="44479DB2" w14:textId="77777777" w:rsidR="007968EC" w:rsidRPr="003302FD" w:rsidRDefault="007968EC" w:rsidP="007968EC">
            <w:pPr>
              <w:rPr>
                <w:rFonts w:ascii="Arial Narrow" w:hAnsi="Arial Narrow" w:cs="Arial"/>
                <w:b/>
                <w:lang w:eastAsia="es-ES"/>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7992CE"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21. No. De Identificación</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750193D8" w14:textId="77777777" w:rsidR="007968EC" w:rsidRPr="003302FD" w:rsidRDefault="007968EC" w:rsidP="007968EC">
            <w:pPr>
              <w:rPr>
                <w:rFonts w:ascii="Arial Narrow" w:hAnsi="Arial Narrow" w:cs="Arial"/>
                <w:b/>
                <w:lang w:eastAsia="es-ES"/>
              </w:rPr>
            </w:pPr>
          </w:p>
        </w:tc>
      </w:tr>
    </w:tbl>
    <w:p w14:paraId="671A9A1D" w14:textId="77777777" w:rsidR="007968EC" w:rsidRPr="003302FD" w:rsidRDefault="007968EC" w:rsidP="007968EC">
      <w:pPr>
        <w:rPr>
          <w:rFonts w:ascii="Arial Narrow" w:hAnsi="Arial Narrow" w:cs="Arial"/>
          <w:lang w:val="es-ES" w:eastAsia="es-ES"/>
        </w:rPr>
      </w:pPr>
    </w:p>
    <w:p w14:paraId="02974220" w14:textId="77777777" w:rsidR="007968EC" w:rsidRPr="003302FD" w:rsidRDefault="007968EC" w:rsidP="00DA7472">
      <w:pPr>
        <w:numPr>
          <w:ilvl w:val="0"/>
          <w:numId w:val="114"/>
        </w:numPr>
        <w:ind w:left="851" w:hanging="425"/>
        <w:rPr>
          <w:rFonts w:ascii="Arial Narrow" w:hAnsi="Arial Narrow" w:cs="Arial"/>
          <w:lang w:val="es-ES" w:eastAsia="es-ES"/>
        </w:rPr>
      </w:pPr>
      <w:r w:rsidRPr="003302FD">
        <w:rPr>
          <w:rFonts w:ascii="Arial Narrow" w:hAnsi="Arial Narrow" w:cs="Arial"/>
          <w:lang w:val="es-ES" w:eastAsia="es-ES"/>
        </w:rPr>
        <w:t>Información Financiera. (último corte envío Superintendencia Financiera)</w:t>
      </w:r>
    </w:p>
    <w:tbl>
      <w:tblPr>
        <w:tblpPr w:leftFromText="141" w:rightFromText="141" w:vertAnchor="text" w:horzAnchor="margin" w:tblpX="496" w:tblpY="141"/>
        <w:tblW w:w="9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56"/>
        <w:gridCol w:w="5989"/>
      </w:tblGrid>
      <w:tr w:rsidR="007968EC" w:rsidRPr="003302FD" w14:paraId="1004690E" w14:textId="77777777" w:rsidTr="007968EC">
        <w:trPr>
          <w:cantSplit/>
          <w:trHeight w:val="74"/>
        </w:trPr>
        <w:tc>
          <w:tcPr>
            <w:tcW w:w="3056" w:type="dxa"/>
            <w:vAlign w:val="center"/>
          </w:tcPr>
          <w:p w14:paraId="7FD07533"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22. Patrimonio Técnico o Adecuado</w:t>
            </w:r>
          </w:p>
        </w:tc>
        <w:tc>
          <w:tcPr>
            <w:tcW w:w="5989" w:type="dxa"/>
            <w:vAlign w:val="center"/>
          </w:tcPr>
          <w:p w14:paraId="7B2D32D7" w14:textId="77777777" w:rsidR="007968EC" w:rsidRPr="003302FD" w:rsidRDefault="007968EC" w:rsidP="007968EC">
            <w:pPr>
              <w:rPr>
                <w:rFonts w:ascii="Arial Narrow" w:hAnsi="Arial Narrow" w:cs="Arial"/>
                <w:b/>
                <w:lang w:eastAsia="es-ES"/>
              </w:rPr>
            </w:pPr>
          </w:p>
        </w:tc>
      </w:tr>
      <w:tr w:rsidR="007968EC" w:rsidRPr="003302FD" w14:paraId="65487B48" w14:textId="77777777" w:rsidTr="007968EC">
        <w:trPr>
          <w:cantSplit/>
          <w:trHeight w:val="430"/>
        </w:trPr>
        <w:tc>
          <w:tcPr>
            <w:tcW w:w="3056" w:type="dxa"/>
            <w:vAlign w:val="center"/>
          </w:tcPr>
          <w:p w14:paraId="143EF6CF"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23. Gastos Operacionales Totales/ Margen Financiero Bruto.</w:t>
            </w:r>
          </w:p>
        </w:tc>
        <w:tc>
          <w:tcPr>
            <w:tcW w:w="5989" w:type="dxa"/>
            <w:vAlign w:val="center"/>
          </w:tcPr>
          <w:p w14:paraId="4E8F29EE" w14:textId="77777777" w:rsidR="007968EC" w:rsidRPr="003302FD" w:rsidRDefault="007968EC" w:rsidP="007968EC">
            <w:pPr>
              <w:rPr>
                <w:rFonts w:ascii="Arial Narrow" w:hAnsi="Arial Narrow" w:cs="Arial"/>
                <w:b/>
                <w:lang w:eastAsia="es-ES"/>
              </w:rPr>
            </w:pPr>
          </w:p>
        </w:tc>
      </w:tr>
      <w:tr w:rsidR="007968EC" w:rsidRPr="003302FD" w14:paraId="60DDA2C4" w14:textId="77777777" w:rsidTr="007968EC">
        <w:trPr>
          <w:cantSplit/>
          <w:trHeight w:val="74"/>
        </w:trPr>
        <w:tc>
          <w:tcPr>
            <w:tcW w:w="3056" w:type="dxa"/>
            <w:vAlign w:val="center"/>
          </w:tcPr>
          <w:p w14:paraId="28AE619C" w14:textId="77777777" w:rsidR="007968EC" w:rsidRPr="003302FD" w:rsidRDefault="007968EC" w:rsidP="007968EC">
            <w:pPr>
              <w:rPr>
                <w:rFonts w:ascii="Arial Narrow" w:hAnsi="Arial Narrow" w:cs="Arial"/>
                <w:lang w:val="es-ES" w:eastAsia="es-ES"/>
              </w:rPr>
            </w:pPr>
            <w:r w:rsidRPr="003302FD">
              <w:rPr>
                <w:rFonts w:ascii="Arial Narrow" w:hAnsi="Arial Narrow" w:cs="Arial"/>
                <w:lang w:val="es-ES" w:eastAsia="es-ES"/>
              </w:rPr>
              <w:t>24. ROA</w:t>
            </w:r>
          </w:p>
        </w:tc>
        <w:tc>
          <w:tcPr>
            <w:tcW w:w="5989" w:type="dxa"/>
            <w:vAlign w:val="center"/>
          </w:tcPr>
          <w:p w14:paraId="44E35917" w14:textId="77777777" w:rsidR="007968EC" w:rsidRPr="003302FD" w:rsidRDefault="007968EC" w:rsidP="007968EC">
            <w:pPr>
              <w:rPr>
                <w:rFonts w:ascii="Arial Narrow" w:hAnsi="Arial Narrow" w:cs="Arial"/>
                <w:b/>
                <w:lang w:eastAsia="es-ES"/>
              </w:rPr>
            </w:pPr>
          </w:p>
        </w:tc>
      </w:tr>
      <w:tr w:rsidR="007968EC" w:rsidRPr="003302FD" w14:paraId="59E905D5" w14:textId="77777777" w:rsidTr="007968EC">
        <w:trPr>
          <w:cantSplit/>
          <w:trHeight w:val="155"/>
        </w:trPr>
        <w:tc>
          <w:tcPr>
            <w:tcW w:w="3056" w:type="dxa"/>
            <w:vAlign w:val="center"/>
          </w:tcPr>
          <w:p w14:paraId="31BA2A1F"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25.  ROE</w:t>
            </w:r>
          </w:p>
        </w:tc>
        <w:tc>
          <w:tcPr>
            <w:tcW w:w="5989" w:type="dxa"/>
            <w:vAlign w:val="center"/>
          </w:tcPr>
          <w:p w14:paraId="4DEEB6D6" w14:textId="77777777" w:rsidR="007968EC" w:rsidRPr="003302FD" w:rsidRDefault="007968EC" w:rsidP="007968EC">
            <w:pPr>
              <w:rPr>
                <w:rFonts w:ascii="Arial Narrow" w:hAnsi="Arial Narrow" w:cs="Arial"/>
                <w:b/>
                <w:lang w:eastAsia="es-ES"/>
              </w:rPr>
            </w:pPr>
          </w:p>
        </w:tc>
      </w:tr>
      <w:tr w:rsidR="007968EC" w:rsidRPr="003302FD" w14:paraId="641E295F" w14:textId="77777777" w:rsidTr="007968EC">
        <w:trPr>
          <w:cantSplit/>
          <w:trHeight w:val="74"/>
        </w:trPr>
        <w:tc>
          <w:tcPr>
            <w:tcW w:w="3056" w:type="dxa"/>
            <w:vAlign w:val="center"/>
          </w:tcPr>
          <w:p w14:paraId="5B91B144"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26.  Relación de Solvencia</w:t>
            </w:r>
          </w:p>
        </w:tc>
        <w:tc>
          <w:tcPr>
            <w:tcW w:w="5989" w:type="dxa"/>
            <w:vAlign w:val="center"/>
          </w:tcPr>
          <w:p w14:paraId="7F4A6553" w14:textId="77777777" w:rsidR="007968EC" w:rsidRPr="003302FD" w:rsidRDefault="007968EC" w:rsidP="007968EC">
            <w:pPr>
              <w:rPr>
                <w:rFonts w:ascii="Arial Narrow" w:hAnsi="Arial Narrow" w:cs="Arial"/>
                <w:b/>
                <w:lang w:eastAsia="es-ES"/>
              </w:rPr>
            </w:pPr>
          </w:p>
        </w:tc>
      </w:tr>
    </w:tbl>
    <w:p w14:paraId="7426040A" w14:textId="77777777" w:rsidR="007968EC" w:rsidRPr="003302FD" w:rsidRDefault="007968EC" w:rsidP="007968EC">
      <w:pPr>
        <w:tabs>
          <w:tab w:val="num" w:pos="720"/>
        </w:tabs>
        <w:rPr>
          <w:rFonts w:ascii="Arial Narrow" w:hAnsi="Arial Narrow" w:cs="Arial"/>
          <w:lang w:val="es-ES" w:eastAsia="es-ES"/>
        </w:rPr>
      </w:pPr>
    </w:p>
    <w:p w14:paraId="7175EE5D" w14:textId="77777777" w:rsidR="007968EC" w:rsidRPr="003302FD" w:rsidRDefault="007968EC" w:rsidP="00DA7472">
      <w:pPr>
        <w:numPr>
          <w:ilvl w:val="0"/>
          <w:numId w:val="114"/>
        </w:numPr>
        <w:ind w:left="851" w:hanging="425"/>
        <w:rPr>
          <w:rFonts w:ascii="Arial Narrow" w:hAnsi="Arial Narrow" w:cs="Arial"/>
          <w:lang w:val="es-ES" w:eastAsia="es-ES"/>
        </w:rPr>
      </w:pPr>
      <w:r w:rsidRPr="003302FD">
        <w:rPr>
          <w:rFonts w:ascii="Arial Narrow" w:hAnsi="Arial Narrow" w:cs="Arial"/>
          <w:lang w:val="es-ES" w:eastAsia="es-ES"/>
        </w:rPr>
        <w:t>Calificación.</w:t>
      </w:r>
    </w:p>
    <w:p w14:paraId="54465401" w14:textId="77777777" w:rsidR="007968EC" w:rsidRPr="003302FD" w:rsidRDefault="007968EC" w:rsidP="007968EC">
      <w:pPr>
        <w:tabs>
          <w:tab w:val="num" w:pos="720"/>
        </w:tabs>
        <w:ind w:left="-720"/>
        <w:rPr>
          <w:rFonts w:ascii="Arial Narrow" w:hAnsi="Arial Narrow" w:cs="Arial"/>
          <w:lang w:val="es-ES" w:eastAsia="es-ES"/>
        </w:rPr>
      </w:pPr>
    </w:p>
    <w:tbl>
      <w:tblPr>
        <w:tblW w:w="90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3"/>
        <w:gridCol w:w="2666"/>
        <w:gridCol w:w="3174"/>
      </w:tblGrid>
      <w:tr w:rsidR="007968EC" w:rsidRPr="003302FD" w14:paraId="0378C4E5" w14:textId="77777777" w:rsidTr="007968EC">
        <w:trPr>
          <w:trHeight w:val="248"/>
        </w:trPr>
        <w:tc>
          <w:tcPr>
            <w:tcW w:w="3173" w:type="dxa"/>
            <w:vAlign w:val="center"/>
          </w:tcPr>
          <w:p w14:paraId="29118BB2" w14:textId="77777777" w:rsidR="007968EC" w:rsidRPr="003302FD" w:rsidRDefault="007968EC" w:rsidP="007968EC">
            <w:pPr>
              <w:jc w:val="center"/>
              <w:rPr>
                <w:rFonts w:ascii="Arial Narrow" w:hAnsi="Arial Narrow" w:cs="Arial"/>
                <w:lang w:val="es-ES" w:eastAsia="es-ES"/>
              </w:rPr>
            </w:pPr>
            <w:r w:rsidRPr="003302FD">
              <w:rPr>
                <w:rFonts w:ascii="Arial Narrow" w:hAnsi="Arial Narrow" w:cs="Arial"/>
                <w:lang w:val="es-ES" w:eastAsia="es-ES"/>
              </w:rPr>
              <w:t>AGENCIA CALIFICADORA</w:t>
            </w:r>
          </w:p>
        </w:tc>
        <w:tc>
          <w:tcPr>
            <w:tcW w:w="2666" w:type="dxa"/>
          </w:tcPr>
          <w:p w14:paraId="212903A2" w14:textId="77777777" w:rsidR="007968EC" w:rsidRPr="003302FD" w:rsidRDefault="007968EC" w:rsidP="007968EC">
            <w:pPr>
              <w:jc w:val="center"/>
              <w:rPr>
                <w:rFonts w:ascii="Arial Narrow" w:hAnsi="Arial Narrow" w:cs="Arial"/>
                <w:lang w:val="es-ES" w:eastAsia="es-ES"/>
              </w:rPr>
            </w:pPr>
            <w:r w:rsidRPr="003302FD">
              <w:rPr>
                <w:rFonts w:ascii="Arial Narrow" w:hAnsi="Arial Narrow" w:cs="Arial"/>
                <w:lang w:val="es-ES" w:eastAsia="es-ES"/>
              </w:rPr>
              <w:t>CONCEPTO</w:t>
            </w:r>
          </w:p>
        </w:tc>
        <w:tc>
          <w:tcPr>
            <w:tcW w:w="3174" w:type="dxa"/>
          </w:tcPr>
          <w:p w14:paraId="3D7D1AC5" w14:textId="77777777" w:rsidR="007968EC" w:rsidRPr="003302FD" w:rsidRDefault="007968EC" w:rsidP="007968EC">
            <w:pPr>
              <w:tabs>
                <w:tab w:val="num" w:pos="720"/>
              </w:tabs>
              <w:jc w:val="center"/>
              <w:rPr>
                <w:rFonts w:ascii="Arial Narrow" w:hAnsi="Arial Narrow" w:cs="Arial"/>
                <w:lang w:val="es-ES" w:eastAsia="es-ES"/>
              </w:rPr>
            </w:pPr>
            <w:r w:rsidRPr="003302FD">
              <w:rPr>
                <w:rFonts w:ascii="Arial Narrow" w:hAnsi="Arial Narrow" w:cs="Arial"/>
                <w:lang w:val="es-ES" w:eastAsia="es-ES"/>
              </w:rPr>
              <w:t>CALIFICACIÓN</w:t>
            </w:r>
          </w:p>
        </w:tc>
      </w:tr>
      <w:tr w:rsidR="007968EC" w:rsidRPr="003302FD" w14:paraId="604B9DFB" w14:textId="77777777" w:rsidTr="007968EC">
        <w:trPr>
          <w:trHeight w:val="263"/>
        </w:trPr>
        <w:tc>
          <w:tcPr>
            <w:tcW w:w="3173" w:type="dxa"/>
          </w:tcPr>
          <w:p w14:paraId="4B264A0D" w14:textId="77777777" w:rsidR="007968EC" w:rsidRPr="003302FD" w:rsidRDefault="007968EC" w:rsidP="007968EC">
            <w:pPr>
              <w:tabs>
                <w:tab w:val="num" w:pos="720"/>
              </w:tabs>
              <w:rPr>
                <w:rFonts w:ascii="Arial Narrow" w:hAnsi="Arial Narrow" w:cs="Arial"/>
                <w:lang w:val="es-ES" w:eastAsia="es-ES"/>
              </w:rPr>
            </w:pPr>
            <w:r w:rsidRPr="003302FD">
              <w:rPr>
                <w:rFonts w:ascii="Arial Narrow" w:hAnsi="Arial Narrow" w:cs="Arial"/>
                <w:lang w:val="es-ES" w:eastAsia="es-ES"/>
              </w:rPr>
              <w:t>27.</w:t>
            </w:r>
          </w:p>
        </w:tc>
        <w:tc>
          <w:tcPr>
            <w:tcW w:w="2666" w:type="dxa"/>
          </w:tcPr>
          <w:p w14:paraId="16F3ABCB" w14:textId="77777777" w:rsidR="007968EC" w:rsidRPr="003302FD" w:rsidRDefault="007968EC" w:rsidP="007968EC">
            <w:pPr>
              <w:tabs>
                <w:tab w:val="num" w:pos="720"/>
              </w:tabs>
              <w:rPr>
                <w:rFonts w:ascii="Arial Narrow" w:hAnsi="Arial Narrow" w:cs="Arial"/>
                <w:lang w:val="es-ES" w:eastAsia="es-ES"/>
              </w:rPr>
            </w:pPr>
            <w:r w:rsidRPr="003302FD">
              <w:rPr>
                <w:rFonts w:ascii="Arial Narrow" w:hAnsi="Arial Narrow" w:cs="Arial"/>
                <w:lang w:val="es-ES" w:eastAsia="es-ES"/>
              </w:rPr>
              <w:t>28.</w:t>
            </w:r>
          </w:p>
        </w:tc>
        <w:tc>
          <w:tcPr>
            <w:tcW w:w="3174" w:type="dxa"/>
          </w:tcPr>
          <w:p w14:paraId="1D1240C6" w14:textId="77777777" w:rsidR="007968EC" w:rsidRPr="003302FD" w:rsidRDefault="007968EC" w:rsidP="007968EC">
            <w:pPr>
              <w:tabs>
                <w:tab w:val="num" w:pos="720"/>
              </w:tabs>
              <w:rPr>
                <w:rFonts w:ascii="Arial Narrow" w:hAnsi="Arial Narrow" w:cs="Arial"/>
                <w:lang w:val="es-ES" w:eastAsia="es-ES"/>
              </w:rPr>
            </w:pPr>
            <w:r w:rsidRPr="003302FD">
              <w:rPr>
                <w:rFonts w:ascii="Arial Narrow" w:hAnsi="Arial Narrow" w:cs="Arial"/>
                <w:lang w:val="es-ES" w:eastAsia="es-ES"/>
              </w:rPr>
              <w:t>29.</w:t>
            </w:r>
          </w:p>
        </w:tc>
      </w:tr>
      <w:tr w:rsidR="007968EC" w:rsidRPr="003302FD" w14:paraId="0E444E99" w14:textId="77777777" w:rsidTr="007968EC">
        <w:trPr>
          <w:trHeight w:val="248"/>
        </w:trPr>
        <w:tc>
          <w:tcPr>
            <w:tcW w:w="3173" w:type="dxa"/>
          </w:tcPr>
          <w:p w14:paraId="4FF88CE9" w14:textId="77777777" w:rsidR="007968EC" w:rsidRPr="003302FD" w:rsidRDefault="007968EC" w:rsidP="007968EC">
            <w:pPr>
              <w:rPr>
                <w:rFonts w:ascii="Arial Narrow" w:hAnsi="Arial Narrow" w:cs="Arial"/>
                <w:lang w:val="es-ES" w:eastAsia="es-ES"/>
              </w:rPr>
            </w:pPr>
          </w:p>
        </w:tc>
        <w:tc>
          <w:tcPr>
            <w:tcW w:w="2666" w:type="dxa"/>
          </w:tcPr>
          <w:p w14:paraId="0D42A19C" w14:textId="77777777" w:rsidR="007968EC" w:rsidRPr="003302FD" w:rsidRDefault="007968EC" w:rsidP="007968EC">
            <w:pPr>
              <w:tabs>
                <w:tab w:val="num" w:pos="720"/>
              </w:tabs>
              <w:rPr>
                <w:rFonts w:ascii="Arial Narrow" w:hAnsi="Arial Narrow" w:cs="Arial"/>
                <w:lang w:val="es-ES" w:eastAsia="es-ES"/>
              </w:rPr>
            </w:pPr>
          </w:p>
        </w:tc>
        <w:tc>
          <w:tcPr>
            <w:tcW w:w="3174" w:type="dxa"/>
          </w:tcPr>
          <w:p w14:paraId="503EA4C7" w14:textId="77777777" w:rsidR="007968EC" w:rsidRPr="003302FD" w:rsidRDefault="007968EC" w:rsidP="007968EC">
            <w:pPr>
              <w:tabs>
                <w:tab w:val="num" w:pos="720"/>
              </w:tabs>
              <w:rPr>
                <w:rFonts w:ascii="Arial Narrow" w:hAnsi="Arial Narrow" w:cs="Arial"/>
                <w:lang w:val="es-ES" w:eastAsia="es-ES"/>
              </w:rPr>
            </w:pPr>
          </w:p>
        </w:tc>
      </w:tr>
      <w:tr w:rsidR="007968EC" w:rsidRPr="003302FD" w14:paraId="0062766B" w14:textId="77777777" w:rsidTr="007968EC">
        <w:trPr>
          <w:trHeight w:val="263"/>
        </w:trPr>
        <w:tc>
          <w:tcPr>
            <w:tcW w:w="3173" w:type="dxa"/>
          </w:tcPr>
          <w:p w14:paraId="6D87F110" w14:textId="77777777" w:rsidR="007968EC" w:rsidRPr="003302FD" w:rsidRDefault="007968EC" w:rsidP="007968EC">
            <w:pPr>
              <w:rPr>
                <w:rFonts w:ascii="Arial Narrow" w:hAnsi="Arial Narrow" w:cs="Arial"/>
                <w:lang w:val="es-ES" w:eastAsia="es-ES"/>
              </w:rPr>
            </w:pPr>
          </w:p>
        </w:tc>
        <w:tc>
          <w:tcPr>
            <w:tcW w:w="2666" w:type="dxa"/>
          </w:tcPr>
          <w:p w14:paraId="1337D678" w14:textId="77777777" w:rsidR="007968EC" w:rsidRPr="003302FD" w:rsidRDefault="007968EC" w:rsidP="007968EC">
            <w:pPr>
              <w:tabs>
                <w:tab w:val="num" w:pos="720"/>
              </w:tabs>
              <w:rPr>
                <w:rFonts w:ascii="Arial Narrow" w:hAnsi="Arial Narrow" w:cs="Arial"/>
                <w:lang w:val="es-ES" w:eastAsia="es-ES"/>
              </w:rPr>
            </w:pPr>
          </w:p>
        </w:tc>
        <w:tc>
          <w:tcPr>
            <w:tcW w:w="3174" w:type="dxa"/>
          </w:tcPr>
          <w:p w14:paraId="602B838C" w14:textId="77777777" w:rsidR="007968EC" w:rsidRPr="003302FD" w:rsidRDefault="007968EC" w:rsidP="007968EC">
            <w:pPr>
              <w:tabs>
                <w:tab w:val="num" w:pos="720"/>
              </w:tabs>
              <w:rPr>
                <w:rFonts w:ascii="Arial Narrow" w:hAnsi="Arial Narrow" w:cs="Arial"/>
                <w:lang w:val="es-ES" w:eastAsia="es-ES"/>
              </w:rPr>
            </w:pPr>
          </w:p>
        </w:tc>
      </w:tr>
      <w:tr w:rsidR="007968EC" w:rsidRPr="003302FD" w14:paraId="57E375C5" w14:textId="77777777" w:rsidTr="007968EC">
        <w:trPr>
          <w:trHeight w:val="248"/>
        </w:trPr>
        <w:tc>
          <w:tcPr>
            <w:tcW w:w="3173" w:type="dxa"/>
          </w:tcPr>
          <w:p w14:paraId="5C659134" w14:textId="77777777" w:rsidR="007968EC" w:rsidRPr="003302FD" w:rsidRDefault="007968EC" w:rsidP="007968EC">
            <w:pPr>
              <w:rPr>
                <w:rFonts w:ascii="Arial Narrow" w:hAnsi="Arial Narrow" w:cs="Arial"/>
                <w:b/>
                <w:lang w:val="es-ES" w:eastAsia="es-ES"/>
              </w:rPr>
            </w:pPr>
          </w:p>
        </w:tc>
        <w:tc>
          <w:tcPr>
            <w:tcW w:w="2666" w:type="dxa"/>
          </w:tcPr>
          <w:p w14:paraId="3F8069C9" w14:textId="77777777" w:rsidR="007968EC" w:rsidRPr="003302FD" w:rsidRDefault="007968EC" w:rsidP="007968EC">
            <w:pPr>
              <w:tabs>
                <w:tab w:val="num" w:pos="720"/>
              </w:tabs>
              <w:rPr>
                <w:rFonts w:ascii="Arial Narrow" w:hAnsi="Arial Narrow" w:cs="Arial"/>
                <w:lang w:val="es-ES" w:eastAsia="es-ES"/>
              </w:rPr>
            </w:pPr>
          </w:p>
        </w:tc>
        <w:tc>
          <w:tcPr>
            <w:tcW w:w="3174" w:type="dxa"/>
          </w:tcPr>
          <w:p w14:paraId="3C67097B" w14:textId="77777777" w:rsidR="007968EC" w:rsidRPr="003302FD" w:rsidRDefault="007968EC" w:rsidP="007968EC">
            <w:pPr>
              <w:tabs>
                <w:tab w:val="num" w:pos="720"/>
              </w:tabs>
              <w:rPr>
                <w:rFonts w:ascii="Arial Narrow" w:hAnsi="Arial Narrow" w:cs="Arial"/>
                <w:lang w:val="es-ES" w:eastAsia="es-ES"/>
              </w:rPr>
            </w:pPr>
          </w:p>
        </w:tc>
      </w:tr>
    </w:tbl>
    <w:p w14:paraId="4C29E859" w14:textId="77777777" w:rsidR="007968EC" w:rsidRPr="003302FD" w:rsidRDefault="007968EC" w:rsidP="007968EC">
      <w:pPr>
        <w:tabs>
          <w:tab w:val="num" w:pos="720"/>
        </w:tabs>
        <w:ind w:left="-720"/>
        <w:rPr>
          <w:rFonts w:ascii="Arial Narrow" w:hAnsi="Arial Narrow" w:cs="Arial"/>
          <w:lang w:val="es-ES" w:eastAsia="es-ES"/>
        </w:rPr>
      </w:pPr>
    </w:p>
    <w:p w14:paraId="7EC379BE" w14:textId="77777777" w:rsidR="007968EC" w:rsidRPr="003302FD" w:rsidRDefault="007968EC" w:rsidP="00DA7472">
      <w:pPr>
        <w:numPr>
          <w:ilvl w:val="0"/>
          <w:numId w:val="114"/>
        </w:numPr>
        <w:ind w:left="851" w:hanging="425"/>
        <w:rPr>
          <w:rFonts w:ascii="Arial Narrow" w:hAnsi="Arial Narrow" w:cs="Arial"/>
          <w:lang w:val="es-ES" w:eastAsia="es-ES"/>
        </w:rPr>
      </w:pPr>
      <w:r w:rsidRPr="003302FD">
        <w:rPr>
          <w:rFonts w:ascii="Arial Narrow" w:hAnsi="Arial Narrow" w:cs="Arial"/>
          <w:lang w:val="es-ES" w:eastAsia="es-ES"/>
        </w:rPr>
        <w:t>Registro de Cuentas de Compensación y Liquidación.</w:t>
      </w:r>
    </w:p>
    <w:p w14:paraId="2C225EF1" w14:textId="77777777" w:rsidR="007968EC" w:rsidRPr="003302FD" w:rsidRDefault="007968EC" w:rsidP="007968EC">
      <w:pPr>
        <w:ind w:left="-720"/>
        <w:rPr>
          <w:rFonts w:ascii="Arial Narrow" w:hAnsi="Arial Narrow" w:cs="Arial"/>
          <w:lang w:val="es-ES" w:eastAsia="es-ES"/>
        </w:rPr>
      </w:pPr>
    </w:p>
    <w:p w14:paraId="3DA11333" w14:textId="77777777" w:rsidR="007968EC" w:rsidRPr="003302FD" w:rsidRDefault="007968EC" w:rsidP="007968EC">
      <w:pPr>
        <w:tabs>
          <w:tab w:val="left" w:pos="-72"/>
          <w:tab w:val="left" w:pos="3189"/>
          <w:tab w:val="left" w:pos="4039"/>
          <w:tab w:val="left" w:pos="4820"/>
        </w:tabs>
        <w:ind w:left="426"/>
        <w:rPr>
          <w:rFonts w:ascii="Arial Narrow" w:hAnsi="Arial Narrow" w:cs="Arial"/>
          <w:lang w:eastAsia="es-ES"/>
        </w:rPr>
      </w:pPr>
      <w:r w:rsidRPr="003302FD">
        <w:rPr>
          <w:rFonts w:ascii="Arial Narrow" w:hAnsi="Arial Narrow" w:cs="Arial"/>
          <w:lang w:eastAsia="es-ES"/>
        </w:rPr>
        <w:t>CUENTA DE DEPÓSITO DECEVAL</w:t>
      </w:r>
    </w:p>
    <w:p w14:paraId="676A6896" w14:textId="77777777" w:rsidR="007968EC" w:rsidRPr="003302FD" w:rsidRDefault="007968EC" w:rsidP="007968EC">
      <w:pPr>
        <w:tabs>
          <w:tab w:val="left" w:pos="-72"/>
          <w:tab w:val="left" w:pos="3189"/>
          <w:tab w:val="left" w:pos="4039"/>
          <w:tab w:val="left" w:pos="4820"/>
        </w:tabs>
        <w:ind w:left="426"/>
        <w:rPr>
          <w:rFonts w:ascii="Arial Narrow" w:hAnsi="Arial Narrow" w:cs="Arial"/>
          <w:lang w:eastAsia="es-ES"/>
        </w:rPr>
      </w:pPr>
    </w:p>
    <w:tbl>
      <w:tblPr>
        <w:tblW w:w="9027"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88"/>
        <w:gridCol w:w="1907"/>
        <w:gridCol w:w="382"/>
        <w:gridCol w:w="2543"/>
        <w:gridCol w:w="1907"/>
      </w:tblGrid>
      <w:tr w:rsidR="007968EC" w:rsidRPr="003302FD" w14:paraId="75EB54CE" w14:textId="77777777" w:rsidTr="007968EC">
        <w:trPr>
          <w:cantSplit/>
          <w:trHeight w:val="43"/>
        </w:trPr>
        <w:tc>
          <w:tcPr>
            <w:tcW w:w="2288" w:type="dxa"/>
            <w:tcBorders>
              <w:top w:val="single" w:sz="4" w:space="0" w:color="auto"/>
              <w:left w:val="single" w:sz="4" w:space="0" w:color="auto"/>
              <w:right w:val="single" w:sz="4" w:space="0" w:color="auto"/>
            </w:tcBorders>
            <w:shd w:val="clear" w:color="auto" w:fill="auto"/>
            <w:vAlign w:val="center"/>
          </w:tcPr>
          <w:p w14:paraId="783B3342" w14:textId="77777777" w:rsidR="007968EC" w:rsidRPr="003302FD" w:rsidRDefault="007968EC" w:rsidP="007968EC">
            <w:pPr>
              <w:rPr>
                <w:rFonts w:ascii="Arial Narrow" w:hAnsi="Arial Narrow" w:cs="Arial"/>
                <w:lang w:eastAsia="es-ES"/>
              </w:rPr>
            </w:pPr>
            <w:r w:rsidRPr="003302FD">
              <w:rPr>
                <w:rFonts w:ascii="Arial Narrow" w:hAnsi="Arial Narrow" w:cs="Arial"/>
                <w:lang w:val="es-ES" w:eastAsia="es-ES"/>
              </w:rPr>
              <w:t xml:space="preserve">30. </w:t>
            </w:r>
            <w:r w:rsidRPr="003302FD">
              <w:rPr>
                <w:rFonts w:ascii="Arial Narrow" w:hAnsi="Arial Narrow" w:cs="Arial"/>
                <w:b/>
                <w:lang w:val="es-ES" w:eastAsia="es-ES"/>
              </w:rPr>
              <w:t>Código de Entidad</w:t>
            </w:r>
          </w:p>
        </w:tc>
        <w:tc>
          <w:tcPr>
            <w:tcW w:w="1907" w:type="dxa"/>
            <w:tcBorders>
              <w:top w:val="single" w:sz="4" w:space="0" w:color="auto"/>
              <w:left w:val="single" w:sz="4" w:space="0" w:color="auto"/>
              <w:right w:val="single" w:sz="4" w:space="0" w:color="auto"/>
            </w:tcBorders>
            <w:shd w:val="clear" w:color="auto" w:fill="auto"/>
            <w:vAlign w:val="center"/>
          </w:tcPr>
          <w:p w14:paraId="122A52FB" w14:textId="77777777" w:rsidR="007968EC" w:rsidRPr="003302FD" w:rsidRDefault="007968EC" w:rsidP="007968EC">
            <w:pPr>
              <w:jc w:val="center"/>
              <w:rPr>
                <w:rFonts w:ascii="Arial Narrow" w:hAnsi="Arial Narrow" w:cs="Arial"/>
                <w:lang w:eastAsia="es-ES"/>
              </w:rPr>
            </w:pPr>
          </w:p>
        </w:tc>
        <w:tc>
          <w:tcPr>
            <w:tcW w:w="382" w:type="dxa"/>
            <w:tcBorders>
              <w:top w:val="nil"/>
              <w:left w:val="single" w:sz="4" w:space="0" w:color="auto"/>
              <w:bottom w:val="nil"/>
              <w:right w:val="single" w:sz="4" w:space="0" w:color="auto"/>
            </w:tcBorders>
            <w:shd w:val="clear" w:color="auto" w:fill="auto"/>
            <w:vAlign w:val="center"/>
          </w:tcPr>
          <w:p w14:paraId="7CBE1F27" w14:textId="77777777" w:rsidR="007968EC" w:rsidRPr="003302FD" w:rsidRDefault="007968EC" w:rsidP="007968EC">
            <w:pPr>
              <w:jc w:val="center"/>
              <w:rPr>
                <w:rFonts w:ascii="Arial Narrow" w:hAnsi="Arial Narrow" w:cs="Arial"/>
                <w:lang w:eastAsia="es-ES"/>
              </w:rPr>
            </w:pPr>
          </w:p>
        </w:tc>
        <w:tc>
          <w:tcPr>
            <w:tcW w:w="2543" w:type="dxa"/>
            <w:tcBorders>
              <w:top w:val="single" w:sz="4" w:space="0" w:color="auto"/>
              <w:left w:val="single" w:sz="4" w:space="0" w:color="auto"/>
              <w:right w:val="single" w:sz="4" w:space="0" w:color="auto"/>
            </w:tcBorders>
            <w:shd w:val="clear" w:color="auto" w:fill="auto"/>
            <w:vAlign w:val="center"/>
          </w:tcPr>
          <w:p w14:paraId="24BE0F4F"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 xml:space="preserve">31. </w:t>
            </w:r>
            <w:r w:rsidRPr="003302FD">
              <w:rPr>
                <w:rFonts w:ascii="Arial Narrow" w:hAnsi="Arial Narrow" w:cs="Arial"/>
                <w:b/>
                <w:lang w:eastAsia="es-ES"/>
              </w:rPr>
              <w:t>Código de Depositante Directo</w:t>
            </w:r>
          </w:p>
        </w:tc>
        <w:tc>
          <w:tcPr>
            <w:tcW w:w="1907" w:type="dxa"/>
            <w:tcBorders>
              <w:top w:val="single" w:sz="4" w:space="0" w:color="auto"/>
              <w:left w:val="single" w:sz="4" w:space="0" w:color="auto"/>
              <w:right w:val="single" w:sz="4" w:space="0" w:color="auto"/>
            </w:tcBorders>
            <w:shd w:val="clear" w:color="auto" w:fill="auto"/>
            <w:vAlign w:val="center"/>
          </w:tcPr>
          <w:p w14:paraId="2A5E1228" w14:textId="77777777" w:rsidR="007968EC" w:rsidRPr="003302FD" w:rsidRDefault="007968EC" w:rsidP="007968EC">
            <w:pPr>
              <w:jc w:val="center"/>
              <w:rPr>
                <w:rFonts w:ascii="Arial Narrow" w:hAnsi="Arial Narrow" w:cs="Arial"/>
                <w:lang w:eastAsia="es-ES"/>
              </w:rPr>
            </w:pPr>
          </w:p>
        </w:tc>
      </w:tr>
    </w:tbl>
    <w:p w14:paraId="60215F97" w14:textId="77777777" w:rsidR="007968EC" w:rsidRPr="003302FD" w:rsidRDefault="007968EC" w:rsidP="007968EC">
      <w:pPr>
        <w:tabs>
          <w:tab w:val="left" w:pos="-72"/>
          <w:tab w:val="left" w:pos="3189"/>
          <w:tab w:val="left" w:pos="4039"/>
          <w:tab w:val="left" w:pos="4820"/>
        </w:tabs>
        <w:ind w:left="-639"/>
        <w:rPr>
          <w:rFonts w:ascii="Arial Narrow" w:hAnsi="Arial Narrow" w:cs="Arial"/>
          <w:lang w:eastAsia="es-ES"/>
        </w:rPr>
      </w:pPr>
      <w:r w:rsidRPr="003302FD">
        <w:rPr>
          <w:rFonts w:ascii="Arial Narrow" w:hAnsi="Arial Narrow" w:cs="Arial"/>
          <w:lang w:eastAsia="es-ES"/>
        </w:rPr>
        <w:tab/>
      </w:r>
    </w:p>
    <w:p w14:paraId="7B5D0E53" w14:textId="77777777" w:rsidR="007968EC" w:rsidRPr="003302FD" w:rsidRDefault="007968EC" w:rsidP="007968EC">
      <w:pPr>
        <w:tabs>
          <w:tab w:val="left" w:pos="-72"/>
          <w:tab w:val="left" w:pos="3189"/>
          <w:tab w:val="left" w:pos="4039"/>
          <w:tab w:val="left" w:pos="4820"/>
        </w:tabs>
        <w:ind w:left="-639"/>
        <w:rPr>
          <w:rFonts w:ascii="Arial Narrow" w:hAnsi="Arial Narrow" w:cs="Arial"/>
          <w:lang w:eastAsia="es-ES"/>
        </w:rPr>
      </w:pPr>
      <w:r w:rsidRPr="003302FD">
        <w:rPr>
          <w:rFonts w:ascii="Arial Narrow" w:hAnsi="Arial Narrow" w:cs="Arial"/>
          <w:lang w:eastAsia="es-ES"/>
        </w:rPr>
        <w:tab/>
      </w:r>
      <w:r w:rsidRPr="003302FD">
        <w:rPr>
          <w:rFonts w:ascii="Arial Narrow" w:hAnsi="Arial Narrow" w:cs="Arial"/>
          <w:lang w:eastAsia="es-ES"/>
        </w:rPr>
        <w:tab/>
      </w:r>
    </w:p>
    <w:p w14:paraId="3BFB8AA0" w14:textId="77777777" w:rsidR="007968EC" w:rsidRPr="003302FD" w:rsidRDefault="007968EC" w:rsidP="007968EC">
      <w:pPr>
        <w:tabs>
          <w:tab w:val="left" w:pos="-72"/>
          <w:tab w:val="left" w:pos="3189"/>
          <w:tab w:val="left" w:pos="4039"/>
          <w:tab w:val="left" w:pos="4820"/>
        </w:tabs>
        <w:ind w:left="-639"/>
        <w:rPr>
          <w:rFonts w:ascii="Arial Narrow" w:hAnsi="Arial Narrow" w:cs="Arial"/>
          <w:lang w:eastAsia="es-ES"/>
        </w:rPr>
      </w:pPr>
    </w:p>
    <w:p w14:paraId="3C01FB5C" w14:textId="77777777" w:rsidR="007968EC" w:rsidRPr="003302FD" w:rsidRDefault="007968EC" w:rsidP="007968EC">
      <w:pPr>
        <w:tabs>
          <w:tab w:val="left" w:pos="-72"/>
          <w:tab w:val="left" w:pos="3189"/>
          <w:tab w:val="left" w:pos="4039"/>
          <w:tab w:val="left" w:pos="4820"/>
        </w:tabs>
        <w:ind w:left="426"/>
        <w:rPr>
          <w:rFonts w:ascii="Arial Narrow" w:hAnsi="Arial Narrow" w:cs="Arial"/>
          <w:lang w:eastAsia="es-ES"/>
        </w:rPr>
      </w:pPr>
      <w:r w:rsidRPr="003302FD">
        <w:rPr>
          <w:rFonts w:ascii="Arial Narrow" w:hAnsi="Arial Narrow" w:cs="Arial"/>
          <w:lang w:eastAsia="es-ES"/>
        </w:rPr>
        <w:t>CUENTA BANCO REPUBLICA</w:t>
      </w:r>
    </w:p>
    <w:p w14:paraId="3314CD18" w14:textId="77777777" w:rsidR="007968EC" w:rsidRPr="003302FD" w:rsidRDefault="007968EC" w:rsidP="007968EC">
      <w:pPr>
        <w:tabs>
          <w:tab w:val="left" w:pos="-72"/>
          <w:tab w:val="left" w:pos="3189"/>
          <w:tab w:val="left" w:pos="4039"/>
          <w:tab w:val="left" w:pos="4820"/>
        </w:tabs>
        <w:ind w:left="426"/>
        <w:rPr>
          <w:rFonts w:ascii="Arial Narrow" w:hAnsi="Arial Narrow" w:cs="Arial"/>
          <w:lang w:eastAsia="es-ES"/>
        </w:rPr>
      </w:pPr>
    </w:p>
    <w:tbl>
      <w:tblPr>
        <w:tblW w:w="9084"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7"/>
        <w:gridCol w:w="1535"/>
        <w:gridCol w:w="384"/>
        <w:gridCol w:w="2174"/>
        <w:gridCol w:w="2304"/>
      </w:tblGrid>
      <w:tr w:rsidR="007968EC" w:rsidRPr="003302FD" w14:paraId="07E93622" w14:textId="77777777" w:rsidTr="007968EC">
        <w:trPr>
          <w:cantSplit/>
          <w:trHeight w:val="333"/>
        </w:trPr>
        <w:tc>
          <w:tcPr>
            <w:tcW w:w="2687" w:type="dxa"/>
            <w:tcBorders>
              <w:top w:val="single" w:sz="4" w:space="0" w:color="auto"/>
              <w:left w:val="single" w:sz="4" w:space="0" w:color="auto"/>
              <w:right w:val="single" w:sz="4" w:space="0" w:color="auto"/>
            </w:tcBorders>
            <w:shd w:val="clear" w:color="auto" w:fill="auto"/>
            <w:vAlign w:val="center"/>
          </w:tcPr>
          <w:p w14:paraId="400CCEEF" w14:textId="77777777" w:rsidR="007968EC" w:rsidRPr="003302FD" w:rsidRDefault="007968EC" w:rsidP="007968EC">
            <w:pPr>
              <w:rPr>
                <w:rFonts w:ascii="Arial Narrow" w:hAnsi="Arial Narrow" w:cs="Arial"/>
                <w:lang w:eastAsia="es-ES"/>
              </w:rPr>
            </w:pPr>
            <w:r w:rsidRPr="003302FD">
              <w:rPr>
                <w:rFonts w:ascii="Arial Narrow" w:hAnsi="Arial Narrow" w:cs="Arial"/>
                <w:lang w:val="es-ES" w:eastAsia="es-ES"/>
              </w:rPr>
              <w:t xml:space="preserve">32. </w:t>
            </w:r>
            <w:r w:rsidRPr="003302FD">
              <w:rPr>
                <w:rFonts w:ascii="Arial Narrow" w:hAnsi="Arial Narrow" w:cs="Arial"/>
                <w:b/>
                <w:lang w:val="es-ES" w:eastAsia="es-ES"/>
              </w:rPr>
              <w:t>Código Depositante Directo DCV</w:t>
            </w:r>
          </w:p>
        </w:tc>
        <w:tc>
          <w:tcPr>
            <w:tcW w:w="1535" w:type="dxa"/>
            <w:tcBorders>
              <w:top w:val="single" w:sz="4" w:space="0" w:color="auto"/>
              <w:left w:val="single" w:sz="4" w:space="0" w:color="auto"/>
              <w:right w:val="single" w:sz="4" w:space="0" w:color="auto"/>
            </w:tcBorders>
            <w:shd w:val="clear" w:color="auto" w:fill="auto"/>
            <w:vAlign w:val="center"/>
          </w:tcPr>
          <w:p w14:paraId="466B9006" w14:textId="77777777" w:rsidR="007968EC" w:rsidRPr="003302FD" w:rsidRDefault="007968EC" w:rsidP="007968EC">
            <w:pPr>
              <w:jc w:val="center"/>
              <w:rPr>
                <w:rFonts w:ascii="Arial Narrow" w:hAnsi="Arial Narrow" w:cs="Arial"/>
                <w:lang w:eastAsia="es-ES"/>
              </w:rPr>
            </w:pPr>
          </w:p>
        </w:tc>
        <w:tc>
          <w:tcPr>
            <w:tcW w:w="384" w:type="dxa"/>
            <w:tcBorders>
              <w:top w:val="nil"/>
              <w:left w:val="single" w:sz="4" w:space="0" w:color="auto"/>
              <w:bottom w:val="nil"/>
              <w:right w:val="single" w:sz="4" w:space="0" w:color="auto"/>
            </w:tcBorders>
            <w:shd w:val="clear" w:color="auto" w:fill="auto"/>
            <w:vAlign w:val="center"/>
          </w:tcPr>
          <w:p w14:paraId="278110EB" w14:textId="77777777" w:rsidR="007968EC" w:rsidRPr="003302FD" w:rsidRDefault="007968EC" w:rsidP="007968EC">
            <w:pPr>
              <w:jc w:val="center"/>
              <w:rPr>
                <w:rFonts w:ascii="Arial Narrow" w:hAnsi="Arial Narrow" w:cs="Arial"/>
                <w:lang w:eastAsia="es-ES"/>
              </w:rPr>
            </w:pPr>
          </w:p>
        </w:tc>
        <w:tc>
          <w:tcPr>
            <w:tcW w:w="2174" w:type="dxa"/>
            <w:tcBorders>
              <w:top w:val="single" w:sz="4" w:space="0" w:color="auto"/>
              <w:left w:val="single" w:sz="4" w:space="0" w:color="auto"/>
              <w:right w:val="single" w:sz="4" w:space="0" w:color="auto"/>
            </w:tcBorders>
            <w:shd w:val="clear" w:color="auto" w:fill="auto"/>
            <w:vAlign w:val="center"/>
          </w:tcPr>
          <w:p w14:paraId="1D72DFF0"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 xml:space="preserve">33. </w:t>
            </w:r>
            <w:r w:rsidRPr="003302FD">
              <w:rPr>
                <w:rFonts w:ascii="Arial Narrow" w:hAnsi="Arial Narrow" w:cs="Arial"/>
                <w:b/>
                <w:lang w:eastAsia="es-ES"/>
              </w:rPr>
              <w:t>Código entidad</w:t>
            </w:r>
          </w:p>
        </w:tc>
        <w:tc>
          <w:tcPr>
            <w:tcW w:w="2304" w:type="dxa"/>
            <w:tcBorders>
              <w:top w:val="single" w:sz="4" w:space="0" w:color="auto"/>
              <w:left w:val="single" w:sz="4" w:space="0" w:color="auto"/>
              <w:right w:val="single" w:sz="4" w:space="0" w:color="auto"/>
            </w:tcBorders>
            <w:shd w:val="clear" w:color="auto" w:fill="auto"/>
            <w:vAlign w:val="center"/>
          </w:tcPr>
          <w:p w14:paraId="5B05C87C" w14:textId="77777777" w:rsidR="007968EC" w:rsidRPr="003302FD" w:rsidRDefault="007968EC" w:rsidP="007968EC">
            <w:pPr>
              <w:jc w:val="center"/>
              <w:rPr>
                <w:rFonts w:ascii="Arial Narrow" w:hAnsi="Arial Narrow" w:cs="Arial"/>
                <w:lang w:eastAsia="es-ES"/>
              </w:rPr>
            </w:pPr>
          </w:p>
        </w:tc>
      </w:tr>
      <w:tr w:rsidR="007968EC" w:rsidRPr="003302FD" w14:paraId="18EAB4D3" w14:textId="77777777" w:rsidTr="007968EC">
        <w:trPr>
          <w:cantSplit/>
          <w:trHeight w:val="72"/>
        </w:trPr>
        <w:tc>
          <w:tcPr>
            <w:tcW w:w="2687" w:type="dxa"/>
            <w:tcBorders>
              <w:top w:val="single" w:sz="4" w:space="0" w:color="auto"/>
              <w:left w:val="single" w:sz="4" w:space="0" w:color="auto"/>
              <w:right w:val="single" w:sz="4" w:space="0" w:color="auto"/>
            </w:tcBorders>
            <w:shd w:val="clear" w:color="auto" w:fill="auto"/>
            <w:vAlign w:val="center"/>
          </w:tcPr>
          <w:p w14:paraId="18CE7E36" w14:textId="77777777" w:rsidR="007968EC" w:rsidRPr="003302FD" w:rsidRDefault="007968EC" w:rsidP="007968EC">
            <w:pPr>
              <w:rPr>
                <w:rFonts w:ascii="Arial Narrow" w:hAnsi="Arial Narrow" w:cs="Arial"/>
                <w:lang w:eastAsia="es-ES"/>
              </w:rPr>
            </w:pPr>
            <w:r w:rsidRPr="003302FD">
              <w:rPr>
                <w:rFonts w:ascii="Arial Narrow" w:hAnsi="Arial Narrow" w:cs="Arial"/>
                <w:lang w:val="es-ES" w:eastAsia="es-ES"/>
              </w:rPr>
              <w:t xml:space="preserve">34. </w:t>
            </w:r>
            <w:r w:rsidRPr="003302FD">
              <w:rPr>
                <w:rFonts w:ascii="Arial Narrow" w:hAnsi="Arial Narrow" w:cs="Arial"/>
                <w:b/>
                <w:lang w:val="es-ES" w:eastAsia="es-ES"/>
              </w:rPr>
              <w:t>Código Entidad en el CUD</w:t>
            </w:r>
          </w:p>
        </w:tc>
        <w:tc>
          <w:tcPr>
            <w:tcW w:w="1535" w:type="dxa"/>
            <w:tcBorders>
              <w:top w:val="single" w:sz="4" w:space="0" w:color="auto"/>
              <w:left w:val="single" w:sz="4" w:space="0" w:color="auto"/>
              <w:right w:val="single" w:sz="4" w:space="0" w:color="auto"/>
            </w:tcBorders>
            <w:shd w:val="clear" w:color="auto" w:fill="auto"/>
            <w:vAlign w:val="center"/>
          </w:tcPr>
          <w:p w14:paraId="44CC9883" w14:textId="77777777" w:rsidR="007968EC" w:rsidRPr="003302FD" w:rsidRDefault="007968EC" w:rsidP="007968EC">
            <w:pPr>
              <w:jc w:val="center"/>
              <w:rPr>
                <w:rFonts w:ascii="Arial Narrow" w:hAnsi="Arial Narrow" w:cs="Arial"/>
                <w:lang w:eastAsia="es-ES"/>
              </w:rPr>
            </w:pPr>
          </w:p>
        </w:tc>
        <w:tc>
          <w:tcPr>
            <w:tcW w:w="384" w:type="dxa"/>
            <w:tcBorders>
              <w:top w:val="nil"/>
              <w:left w:val="single" w:sz="4" w:space="0" w:color="auto"/>
              <w:bottom w:val="nil"/>
              <w:right w:val="single" w:sz="4" w:space="0" w:color="auto"/>
            </w:tcBorders>
            <w:shd w:val="clear" w:color="auto" w:fill="auto"/>
            <w:vAlign w:val="center"/>
          </w:tcPr>
          <w:p w14:paraId="7803AA96" w14:textId="77777777" w:rsidR="007968EC" w:rsidRPr="003302FD" w:rsidRDefault="007968EC" w:rsidP="007968EC">
            <w:pPr>
              <w:jc w:val="center"/>
              <w:rPr>
                <w:rFonts w:ascii="Arial Narrow" w:hAnsi="Arial Narrow" w:cs="Arial"/>
                <w:lang w:eastAsia="es-ES"/>
              </w:rPr>
            </w:pPr>
          </w:p>
        </w:tc>
        <w:tc>
          <w:tcPr>
            <w:tcW w:w="2174" w:type="dxa"/>
            <w:tcBorders>
              <w:top w:val="single" w:sz="4" w:space="0" w:color="auto"/>
              <w:left w:val="single" w:sz="4" w:space="0" w:color="auto"/>
              <w:right w:val="single" w:sz="4" w:space="0" w:color="auto"/>
            </w:tcBorders>
            <w:shd w:val="clear" w:color="auto" w:fill="auto"/>
            <w:vAlign w:val="center"/>
          </w:tcPr>
          <w:p w14:paraId="3FB423E5"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 xml:space="preserve">35. </w:t>
            </w:r>
            <w:r w:rsidRPr="003302FD">
              <w:rPr>
                <w:rFonts w:ascii="Arial Narrow" w:hAnsi="Arial Narrow" w:cs="Arial"/>
                <w:b/>
                <w:lang w:eastAsia="es-ES"/>
              </w:rPr>
              <w:t>No. Cuenta CUD</w:t>
            </w:r>
          </w:p>
        </w:tc>
        <w:tc>
          <w:tcPr>
            <w:tcW w:w="2304" w:type="dxa"/>
            <w:tcBorders>
              <w:top w:val="single" w:sz="4" w:space="0" w:color="auto"/>
              <w:left w:val="single" w:sz="4" w:space="0" w:color="auto"/>
              <w:right w:val="single" w:sz="4" w:space="0" w:color="auto"/>
            </w:tcBorders>
            <w:shd w:val="clear" w:color="auto" w:fill="auto"/>
            <w:vAlign w:val="center"/>
          </w:tcPr>
          <w:p w14:paraId="7CD1D524" w14:textId="77777777" w:rsidR="007968EC" w:rsidRPr="003302FD" w:rsidRDefault="007968EC" w:rsidP="007968EC">
            <w:pPr>
              <w:jc w:val="center"/>
              <w:rPr>
                <w:rFonts w:ascii="Arial Narrow" w:hAnsi="Arial Narrow" w:cs="Arial"/>
                <w:lang w:eastAsia="es-ES"/>
              </w:rPr>
            </w:pPr>
          </w:p>
        </w:tc>
      </w:tr>
    </w:tbl>
    <w:p w14:paraId="7F27C81B" w14:textId="77777777" w:rsidR="007968EC" w:rsidRPr="003302FD" w:rsidRDefault="007968EC" w:rsidP="007968EC">
      <w:pPr>
        <w:tabs>
          <w:tab w:val="left" w:pos="-72"/>
          <w:tab w:val="left" w:pos="3189"/>
          <w:tab w:val="left" w:pos="4039"/>
          <w:tab w:val="left" w:pos="4820"/>
        </w:tabs>
        <w:ind w:left="-639"/>
        <w:rPr>
          <w:rFonts w:ascii="Arial Narrow" w:hAnsi="Arial Narrow" w:cs="Arial"/>
          <w:lang w:eastAsia="es-ES"/>
        </w:rPr>
      </w:pPr>
      <w:r w:rsidRPr="003302FD">
        <w:rPr>
          <w:rFonts w:ascii="Arial Narrow" w:hAnsi="Arial Narrow" w:cs="Arial"/>
          <w:lang w:eastAsia="es-ES"/>
        </w:rPr>
        <w:tab/>
      </w:r>
    </w:p>
    <w:p w14:paraId="3434C29F" w14:textId="77777777" w:rsidR="007968EC" w:rsidRPr="003302FD" w:rsidRDefault="007968EC" w:rsidP="007968EC">
      <w:pPr>
        <w:tabs>
          <w:tab w:val="left" w:pos="567"/>
        </w:tabs>
        <w:ind w:left="426"/>
        <w:rPr>
          <w:rFonts w:ascii="Arial Narrow" w:hAnsi="Arial Narrow" w:cs="Arial"/>
          <w:lang w:eastAsia="es-ES"/>
        </w:rPr>
      </w:pPr>
      <w:r w:rsidRPr="003302FD">
        <w:rPr>
          <w:rFonts w:ascii="Arial Narrow" w:hAnsi="Arial Narrow" w:cs="Arial"/>
          <w:lang w:eastAsia="es-ES"/>
        </w:rPr>
        <w:t>AGENTE DE PAGOS</w:t>
      </w:r>
    </w:p>
    <w:p w14:paraId="671B2FB1" w14:textId="77777777" w:rsidR="007968EC" w:rsidRPr="003302FD" w:rsidRDefault="007968EC" w:rsidP="007968EC">
      <w:pPr>
        <w:tabs>
          <w:tab w:val="left" w:pos="-72"/>
          <w:tab w:val="left" w:pos="3189"/>
          <w:tab w:val="left" w:pos="4039"/>
          <w:tab w:val="left" w:pos="4820"/>
        </w:tabs>
        <w:ind w:left="426" w:hanging="1065"/>
        <w:rPr>
          <w:rFonts w:ascii="Arial Narrow" w:hAnsi="Arial Narrow" w:cs="Arial"/>
          <w:lang w:eastAsia="es-ES"/>
        </w:rPr>
      </w:pPr>
    </w:p>
    <w:tbl>
      <w:tblPr>
        <w:tblW w:w="8997"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6"/>
        <w:gridCol w:w="1701"/>
        <w:gridCol w:w="426"/>
        <w:gridCol w:w="2409"/>
        <w:gridCol w:w="1485"/>
      </w:tblGrid>
      <w:tr w:rsidR="007968EC" w:rsidRPr="003302FD" w14:paraId="056A16F8" w14:textId="77777777" w:rsidTr="007968EC">
        <w:trPr>
          <w:cantSplit/>
          <w:trHeight w:val="70"/>
        </w:trPr>
        <w:tc>
          <w:tcPr>
            <w:tcW w:w="2976" w:type="dxa"/>
            <w:tcBorders>
              <w:top w:val="single" w:sz="4" w:space="0" w:color="auto"/>
              <w:left w:val="single" w:sz="4" w:space="0" w:color="auto"/>
              <w:right w:val="single" w:sz="4" w:space="0" w:color="auto"/>
            </w:tcBorders>
            <w:shd w:val="clear" w:color="auto" w:fill="auto"/>
            <w:vAlign w:val="center"/>
          </w:tcPr>
          <w:p w14:paraId="190182A7"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 xml:space="preserve">36. </w:t>
            </w:r>
            <w:r w:rsidRPr="003302FD">
              <w:rPr>
                <w:rFonts w:ascii="Arial Narrow" w:hAnsi="Arial Narrow" w:cs="Arial"/>
                <w:b/>
                <w:lang w:eastAsia="es-ES"/>
              </w:rPr>
              <w:t>Nombre Entidad</w:t>
            </w:r>
          </w:p>
        </w:tc>
        <w:tc>
          <w:tcPr>
            <w:tcW w:w="1701" w:type="dxa"/>
            <w:tcBorders>
              <w:top w:val="single" w:sz="4" w:space="0" w:color="auto"/>
              <w:left w:val="single" w:sz="4" w:space="0" w:color="auto"/>
              <w:right w:val="single" w:sz="4" w:space="0" w:color="auto"/>
            </w:tcBorders>
            <w:shd w:val="clear" w:color="auto" w:fill="auto"/>
            <w:vAlign w:val="center"/>
          </w:tcPr>
          <w:p w14:paraId="69FE02FA" w14:textId="77777777" w:rsidR="007968EC" w:rsidRPr="003302FD" w:rsidRDefault="007968EC" w:rsidP="007968EC">
            <w:pPr>
              <w:jc w:val="center"/>
              <w:rPr>
                <w:rFonts w:ascii="Arial Narrow" w:hAnsi="Arial Narrow" w:cs="Arial"/>
                <w:lang w:eastAsia="es-ES"/>
              </w:rPr>
            </w:pPr>
          </w:p>
        </w:tc>
        <w:tc>
          <w:tcPr>
            <w:tcW w:w="426" w:type="dxa"/>
            <w:tcBorders>
              <w:top w:val="nil"/>
              <w:left w:val="single" w:sz="4" w:space="0" w:color="auto"/>
              <w:bottom w:val="nil"/>
              <w:right w:val="single" w:sz="4" w:space="0" w:color="auto"/>
            </w:tcBorders>
            <w:shd w:val="clear" w:color="auto" w:fill="auto"/>
            <w:vAlign w:val="center"/>
          </w:tcPr>
          <w:p w14:paraId="50C52782" w14:textId="77777777" w:rsidR="007968EC" w:rsidRPr="003302FD" w:rsidRDefault="007968EC" w:rsidP="007968EC">
            <w:pPr>
              <w:jc w:val="center"/>
              <w:rPr>
                <w:rFonts w:ascii="Arial Narrow" w:hAnsi="Arial Narrow" w:cs="Arial"/>
                <w:lang w:eastAsia="es-ES"/>
              </w:rPr>
            </w:pPr>
          </w:p>
        </w:tc>
        <w:tc>
          <w:tcPr>
            <w:tcW w:w="2409" w:type="dxa"/>
            <w:tcBorders>
              <w:top w:val="single" w:sz="4" w:space="0" w:color="auto"/>
              <w:left w:val="single" w:sz="4" w:space="0" w:color="auto"/>
              <w:right w:val="single" w:sz="4" w:space="0" w:color="auto"/>
            </w:tcBorders>
            <w:shd w:val="clear" w:color="auto" w:fill="auto"/>
            <w:vAlign w:val="center"/>
          </w:tcPr>
          <w:p w14:paraId="36897547"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 xml:space="preserve">37. </w:t>
            </w:r>
            <w:proofErr w:type="gramStart"/>
            <w:r w:rsidRPr="003302FD">
              <w:rPr>
                <w:rFonts w:ascii="Arial Narrow" w:hAnsi="Arial Narrow" w:cs="Arial"/>
                <w:b/>
                <w:lang w:eastAsia="es-ES"/>
              </w:rPr>
              <w:t>Nit  Agente</w:t>
            </w:r>
            <w:proofErr w:type="gramEnd"/>
            <w:r w:rsidRPr="003302FD">
              <w:rPr>
                <w:rFonts w:ascii="Arial Narrow" w:hAnsi="Arial Narrow" w:cs="Arial"/>
                <w:b/>
                <w:lang w:eastAsia="es-ES"/>
              </w:rPr>
              <w:t xml:space="preserve"> de Pagos</w:t>
            </w:r>
          </w:p>
        </w:tc>
        <w:tc>
          <w:tcPr>
            <w:tcW w:w="1485" w:type="dxa"/>
            <w:tcBorders>
              <w:top w:val="single" w:sz="4" w:space="0" w:color="auto"/>
              <w:left w:val="single" w:sz="4" w:space="0" w:color="auto"/>
              <w:right w:val="single" w:sz="4" w:space="0" w:color="auto"/>
            </w:tcBorders>
            <w:shd w:val="clear" w:color="auto" w:fill="auto"/>
            <w:vAlign w:val="center"/>
          </w:tcPr>
          <w:p w14:paraId="5264F078" w14:textId="77777777" w:rsidR="007968EC" w:rsidRPr="003302FD" w:rsidRDefault="007968EC" w:rsidP="007968EC">
            <w:pPr>
              <w:jc w:val="center"/>
              <w:rPr>
                <w:rFonts w:ascii="Arial Narrow" w:hAnsi="Arial Narrow" w:cs="Arial"/>
                <w:lang w:eastAsia="es-ES"/>
              </w:rPr>
            </w:pPr>
          </w:p>
        </w:tc>
      </w:tr>
      <w:tr w:rsidR="007968EC" w:rsidRPr="003302FD" w14:paraId="1F3D441A" w14:textId="77777777" w:rsidTr="007968EC">
        <w:trPr>
          <w:cantSplit/>
          <w:trHeight w:val="70"/>
        </w:trPr>
        <w:tc>
          <w:tcPr>
            <w:tcW w:w="2976" w:type="dxa"/>
            <w:tcBorders>
              <w:top w:val="single" w:sz="4" w:space="0" w:color="auto"/>
              <w:left w:val="single" w:sz="4" w:space="0" w:color="auto"/>
              <w:right w:val="single" w:sz="4" w:space="0" w:color="auto"/>
            </w:tcBorders>
            <w:shd w:val="clear" w:color="auto" w:fill="auto"/>
            <w:vAlign w:val="center"/>
          </w:tcPr>
          <w:p w14:paraId="51FFE6BC" w14:textId="77777777" w:rsidR="007968EC" w:rsidRPr="003302FD" w:rsidRDefault="007968EC" w:rsidP="007968EC">
            <w:pPr>
              <w:rPr>
                <w:rFonts w:ascii="Arial Narrow" w:hAnsi="Arial Narrow" w:cs="Arial"/>
                <w:lang w:eastAsia="es-ES"/>
              </w:rPr>
            </w:pPr>
            <w:r w:rsidRPr="003302FD">
              <w:rPr>
                <w:rFonts w:ascii="Arial Narrow" w:hAnsi="Arial Narrow" w:cs="Arial"/>
                <w:lang w:val="es-ES" w:eastAsia="es-ES"/>
              </w:rPr>
              <w:t xml:space="preserve">38. </w:t>
            </w:r>
            <w:r w:rsidRPr="003302FD">
              <w:rPr>
                <w:rFonts w:ascii="Arial Narrow" w:hAnsi="Arial Narrow" w:cs="Arial"/>
                <w:b/>
                <w:lang w:val="es-ES" w:eastAsia="es-ES"/>
              </w:rPr>
              <w:t>Código Entidad en el CUD</w:t>
            </w:r>
          </w:p>
        </w:tc>
        <w:tc>
          <w:tcPr>
            <w:tcW w:w="1701" w:type="dxa"/>
            <w:tcBorders>
              <w:top w:val="single" w:sz="4" w:space="0" w:color="auto"/>
              <w:left w:val="single" w:sz="4" w:space="0" w:color="auto"/>
              <w:right w:val="single" w:sz="4" w:space="0" w:color="auto"/>
            </w:tcBorders>
            <w:shd w:val="clear" w:color="auto" w:fill="auto"/>
            <w:vAlign w:val="center"/>
          </w:tcPr>
          <w:p w14:paraId="61438E71" w14:textId="77777777" w:rsidR="007968EC" w:rsidRPr="003302FD" w:rsidRDefault="007968EC" w:rsidP="007968EC">
            <w:pPr>
              <w:jc w:val="center"/>
              <w:rPr>
                <w:rFonts w:ascii="Arial Narrow" w:hAnsi="Arial Narrow" w:cs="Arial"/>
                <w:lang w:eastAsia="es-ES"/>
              </w:rPr>
            </w:pPr>
          </w:p>
        </w:tc>
        <w:tc>
          <w:tcPr>
            <w:tcW w:w="426" w:type="dxa"/>
            <w:tcBorders>
              <w:top w:val="nil"/>
              <w:left w:val="single" w:sz="4" w:space="0" w:color="auto"/>
              <w:bottom w:val="nil"/>
              <w:right w:val="single" w:sz="4" w:space="0" w:color="auto"/>
            </w:tcBorders>
            <w:shd w:val="clear" w:color="auto" w:fill="auto"/>
            <w:vAlign w:val="center"/>
          </w:tcPr>
          <w:p w14:paraId="77BC5E36" w14:textId="77777777" w:rsidR="007968EC" w:rsidRPr="003302FD" w:rsidRDefault="007968EC" w:rsidP="007968EC">
            <w:pPr>
              <w:jc w:val="center"/>
              <w:rPr>
                <w:rFonts w:ascii="Arial Narrow" w:hAnsi="Arial Narrow" w:cs="Arial"/>
                <w:lang w:eastAsia="es-ES"/>
              </w:rPr>
            </w:pPr>
          </w:p>
        </w:tc>
        <w:tc>
          <w:tcPr>
            <w:tcW w:w="2409" w:type="dxa"/>
            <w:tcBorders>
              <w:top w:val="single" w:sz="4" w:space="0" w:color="auto"/>
              <w:left w:val="single" w:sz="4" w:space="0" w:color="auto"/>
              <w:right w:val="single" w:sz="4" w:space="0" w:color="auto"/>
            </w:tcBorders>
            <w:shd w:val="clear" w:color="auto" w:fill="auto"/>
            <w:vAlign w:val="center"/>
          </w:tcPr>
          <w:p w14:paraId="107743AB"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 xml:space="preserve">39. </w:t>
            </w:r>
            <w:r w:rsidRPr="003302FD">
              <w:rPr>
                <w:rFonts w:ascii="Arial Narrow" w:hAnsi="Arial Narrow" w:cs="Arial"/>
                <w:b/>
                <w:lang w:eastAsia="es-ES"/>
              </w:rPr>
              <w:t>No. Cuenta CUD</w:t>
            </w:r>
          </w:p>
        </w:tc>
        <w:tc>
          <w:tcPr>
            <w:tcW w:w="1485" w:type="dxa"/>
            <w:tcBorders>
              <w:top w:val="single" w:sz="4" w:space="0" w:color="auto"/>
              <w:left w:val="single" w:sz="4" w:space="0" w:color="auto"/>
              <w:right w:val="single" w:sz="4" w:space="0" w:color="auto"/>
            </w:tcBorders>
            <w:shd w:val="clear" w:color="auto" w:fill="auto"/>
            <w:vAlign w:val="center"/>
          </w:tcPr>
          <w:p w14:paraId="4A6BA8F3" w14:textId="77777777" w:rsidR="007968EC" w:rsidRPr="003302FD" w:rsidRDefault="007968EC" w:rsidP="007968EC">
            <w:pPr>
              <w:jc w:val="center"/>
              <w:rPr>
                <w:rFonts w:ascii="Arial Narrow" w:hAnsi="Arial Narrow" w:cs="Arial"/>
                <w:lang w:eastAsia="es-ES"/>
              </w:rPr>
            </w:pPr>
          </w:p>
        </w:tc>
      </w:tr>
    </w:tbl>
    <w:p w14:paraId="0C6A5A69" w14:textId="77777777" w:rsidR="007968EC" w:rsidRPr="003302FD" w:rsidRDefault="007968EC" w:rsidP="007968EC">
      <w:pPr>
        <w:tabs>
          <w:tab w:val="left" w:pos="-72"/>
          <w:tab w:val="left" w:pos="3189"/>
          <w:tab w:val="left" w:pos="4039"/>
          <w:tab w:val="left" w:pos="4820"/>
        </w:tabs>
        <w:ind w:left="-639"/>
        <w:rPr>
          <w:rFonts w:ascii="Arial Narrow" w:hAnsi="Arial Narrow" w:cs="Arial"/>
          <w:lang w:eastAsia="es-ES"/>
        </w:rPr>
      </w:pPr>
    </w:p>
    <w:p w14:paraId="671B3420" w14:textId="77777777" w:rsidR="007968EC" w:rsidRPr="003302FD" w:rsidRDefault="007968EC" w:rsidP="007968EC">
      <w:pPr>
        <w:tabs>
          <w:tab w:val="left" w:pos="567"/>
        </w:tabs>
        <w:ind w:left="426"/>
        <w:rPr>
          <w:rFonts w:ascii="Arial Narrow" w:hAnsi="Arial Narrow" w:cs="Arial"/>
          <w:lang w:eastAsia="es-ES"/>
        </w:rPr>
      </w:pPr>
      <w:r w:rsidRPr="003302FD">
        <w:rPr>
          <w:rFonts w:ascii="Arial Narrow" w:hAnsi="Arial Narrow" w:cs="Arial"/>
          <w:lang w:eastAsia="es-ES"/>
        </w:rPr>
        <w:t>AGENTE CUSTODIO</w:t>
      </w:r>
    </w:p>
    <w:p w14:paraId="19ABA27E" w14:textId="77777777" w:rsidR="007968EC" w:rsidRPr="003302FD" w:rsidRDefault="007968EC" w:rsidP="007968EC">
      <w:pPr>
        <w:tabs>
          <w:tab w:val="left" w:pos="-72"/>
          <w:tab w:val="left" w:pos="3189"/>
          <w:tab w:val="left" w:pos="4039"/>
          <w:tab w:val="left" w:pos="4820"/>
        </w:tabs>
        <w:ind w:left="-639"/>
        <w:rPr>
          <w:rFonts w:ascii="Arial Narrow" w:hAnsi="Arial Narrow" w:cs="Arial"/>
          <w:lang w:eastAsia="es-ES"/>
        </w:rPr>
      </w:pPr>
    </w:p>
    <w:tbl>
      <w:tblPr>
        <w:tblW w:w="8997"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6"/>
        <w:gridCol w:w="1701"/>
        <w:gridCol w:w="426"/>
        <w:gridCol w:w="2409"/>
        <w:gridCol w:w="1485"/>
      </w:tblGrid>
      <w:tr w:rsidR="007968EC" w:rsidRPr="003302FD" w14:paraId="6129D874" w14:textId="77777777" w:rsidTr="007968EC">
        <w:trPr>
          <w:cantSplit/>
          <w:trHeight w:val="70"/>
        </w:trPr>
        <w:tc>
          <w:tcPr>
            <w:tcW w:w="2976" w:type="dxa"/>
            <w:tcBorders>
              <w:top w:val="single" w:sz="4" w:space="0" w:color="auto"/>
              <w:left w:val="single" w:sz="4" w:space="0" w:color="auto"/>
              <w:right w:val="single" w:sz="4" w:space="0" w:color="auto"/>
            </w:tcBorders>
            <w:shd w:val="clear" w:color="auto" w:fill="auto"/>
            <w:vAlign w:val="center"/>
          </w:tcPr>
          <w:p w14:paraId="688580B5"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 xml:space="preserve">40. </w:t>
            </w:r>
            <w:r w:rsidRPr="003302FD">
              <w:rPr>
                <w:rFonts w:ascii="Arial Narrow" w:hAnsi="Arial Narrow" w:cs="Arial"/>
                <w:b/>
                <w:lang w:eastAsia="es-ES"/>
              </w:rPr>
              <w:t>Nombre Entidad</w:t>
            </w:r>
          </w:p>
        </w:tc>
        <w:tc>
          <w:tcPr>
            <w:tcW w:w="1701" w:type="dxa"/>
            <w:tcBorders>
              <w:top w:val="single" w:sz="4" w:space="0" w:color="auto"/>
              <w:left w:val="single" w:sz="4" w:space="0" w:color="auto"/>
              <w:right w:val="single" w:sz="4" w:space="0" w:color="auto"/>
            </w:tcBorders>
            <w:shd w:val="clear" w:color="auto" w:fill="auto"/>
            <w:vAlign w:val="center"/>
          </w:tcPr>
          <w:p w14:paraId="64A77DC9" w14:textId="77777777" w:rsidR="007968EC" w:rsidRPr="003302FD" w:rsidRDefault="007968EC" w:rsidP="007968EC">
            <w:pPr>
              <w:jc w:val="center"/>
              <w:rPr>
                <w:rFonts w:ascii="Arial Narrow" w:hAnsi="Arial Narrow" w:cs="Arial"/>
                <w:lang w:eastAsia="es-ES"/>
              </w:rPr>
            </w:pPr>
          </w:p>
        </w:tc>
        <w:tc>
          <w:tcPr>
            <w:tcW w:w="426" w:type="dxa"/>
            <w:tcBorders>
              <w:top w:val="nil"/>
              <w:left w:val="single" w:sz="4" w:space="0" w:color="auto"/>
              <w:bottom w:val="nil"/>
              <w:right w:val="single" w:sz="4" w:space="0" w:color="auto"/>
            </w:tcBorders>
            <w:shd w:val="clear" w:color="auto" w:fill="auto"/>
            <w:vAlign w:val="center"/>
          </w:tcPr>
          <w:p w14:paraId="089186A7" w14:textId="77777777" w:rsidR="007968EC" w:rsidRPr="003302FD" w:rsidRDefault="007968EC" w:rsidP="007968EC">
            <w:pPr>
              <w:jc w:val="center"/>
              <w:rPr>
                <w:rFonts w:ascii="Arial Narrow" w:hAnsi="Arial Narrow" w:cs="Arial"/>
                <w:lang w:eastAsia="es-ES"/>
              </w:rPr>
            </w:pPr>
          </w:p>
        </w:tc>
        <w:tc>
          <w:tcPr>
            <w:tcW w:w="2409" w:type="dxa"/>
            <w:tcBorders>
              <w:top w:val="single" w:sz="4" w:space="0" w:color="auto"/>
              <w:left w:val="single" w:sz="4" w:space="0" w:color="auto"/>
              <w:right w:val="single" w:sz="4" w:space="0" w:color="auto"/>
            </w:tcBorders>
            <w:shd w:val="clear" w:color="auto" w:fill="auto"/>
            <w:vAlign w:val="center"/>
          </w:tcPr>
          <w:p w14:paraId="51E76718"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 xml:space="preserve">41. </w:t>
            </w:r>
            <w:proofErr w:type="gramStart"/>
            <w:r w:rsidRPr="003302FD">
              <w:rPr>
                <w:rFonts w:ascii="Arial Narrow" w:hAnsi="Arial Narrow" w:cs="Arial"/>
                <w:b/>
                <w:lang w:eastAsia="es-ES"/>
              </w:rPr>
              <w:t>Nit  Agente</w:t>
            </w:r>
            <w:proofErr w:type="gramEnd"/>
            <w:r w:rsidRPr="003302FD">
              <w:rPr>
                <w:rFonts w:ascii="Arial Narrow" w:hAnsi="Arial Narrow" w:cs="Arial"/>
                <w:b/>
                <w:lang w:eastAsia="es-ES"/>
              </w:rPr>
              <w:t xml:space="preserve"> Custodio</w:t>
            </w:r>
          </w:p>
        </w:tc>
        <w:tc>
          <w:tcPr>
            <w:tcW w:w="1485" w:type="dxa"/>
            <w:tcBorders>
              <w:top w:val="single" w:sz="4" w:space="0" w:color="auto"/>
              <w:left w:val="single" w:sz="4" w:space="0" w:color="auto"/>
              <w:right w:val="single" w:sz="4" w:space="0" w:color="auto"/>
            </w:tcBorders>
            <w:shd w:val="clear" w:color="auto" w:fill="auto"/>
            <w:vAlign w:val="center"/>
          </w:tcPr>
          <w:p w14:paraId="356AE6ED" w14:textId="77777777" w:rsidR="007968EC" w:rsidRPr="003302FD" w:rsidRDefault="007968EC" w:rsidP="007968EC">
            <w:pPr>
              <w:jc w:val="center"/>
              <w:rPr>
                <w:rFonts w:ascii="Arial Narrow" w:hAnsi="Arial Narrow" w:cs="Arial"/>
                <w:lang w:eastAsia="es-ES"/>
              </w:rPr>
            </w:pPr>
          </w:p>
        </w:tc>
      </w:tr>
      <w:tr w:rsidR="007968EC" w:rsidRPr="003302FD" w14:paraId="0B3AEA87" w14:textId="77777777" w:rsidTr="007968EC">
        <w:trPr>
          <w:cantSplit/>
          <w:trHeight w:val="70"/>
        </w:trPr>
        <w:tc>
          <w:tcPr>
            <w:tcW w:w="2976" w:type="dxa"/>
            <w:tcBorders>
              <w:top w:val="single" w:sz="4" w:space="0" w:color="auto"/>
              <w:left w:val="single" w:sz="4" w:space="0" w:color="auto"/>
              <w:right w:val="single" w:sz="4" w:space="0" w:color="auto"/>
            </w:tcBorders>
            <w:shd w:val="clear" w:color="auto" w:fill="auto"/>
            <w:vAlign w:val="center"/>
          </w:tcPr>
          <w:p w14:paraId="1D61C97D" w14:textId="77777777" w:rsidR="007968EC" w:rsidRPr="003302FD" w:rsidRDefault="007968EC" w:rsidP="007968EC">
            <w:pPr>
              <w:rPr>
                <w:rFonts w:ascii="Arial Narrow" w:hAnsi="Arial Narrow" w:cs="Arial"/>
                <w:lang w:eastAsia="es-ES"/>
              </w:rPr>
            </w:pPr>
            <w:r w:rsidRPr="003302FD">
              <w:rPr>
                <w:rFonts w:ascii="Arial Narrow" w:hAnsi="Arial Narrow" w:cs="Arial"/>
                <w:lang w:val="es-ES" w:eastAsia="es-ES"/>
              </w:rPr>
              <w:t xml:space="preserve">42. </w:t>
            </w:r>
            <w:r w:rsidRPr="003302FD">
              <w:rPr>
                <w:rFonts w:ascii="Arial Narrow" w:hAnsi="Arial Narrow" w:cs="Arial"/>
                <w:b/>
                <w:lang w:val="es-ES" w:eastAsia="es-ES"/>
              </w:rPr>
              <w:t>Código Depositante Directo DVL</w:t>
            </w:r>
          </w:p>
        </w:tc>
        <w:tc>
          <w:tcPr>
            <w:tcW w:w="1701" w:type="dxa"/>
            <w:tcBorders>
              <w:top w:val="single" w:sz="4" w:space="0" w:color="auto"/>
              <w:left w:val="single" w:sz="4" w:space="0" w:color="auto"/>
              <w:right w:val="single" w:sz="4" w:space="0" w:color="auto"/>
            </w:tcBorders>
            <w:shd w:val="clear" w:color="auto" w:fill="auto"/>
            <w:vAlign w:val="center"/>
          </w:tcPr>
          <w:p w14:paraId="4B7B70BD" w14:textId="77777777" w:rsidR="007968EC" w:rsidRPr="003302FD" w:rsidRDefault="007968EC" w:rsidP="007968EC">
            <w:pPr>
              <w:jc w:val="center"/>
              <w:rPr>
                <w:rFonts w:ascii="Arial Narrow" w:hAnsi="Arial Narrow" w:cs="Arial"/>
                <w:lang w:eastAsia="es-ES"/>
              </w:rPr>
            </w:pPr>
          </w:p>
        </w:tc>
        <w:tc>
          <w:tcPr>
            <w:tcW w:w="426" w:type="dxa"/>
            <w:tcBorders>
              <w:top w:val="nil"/>
              <w:left w:val="single" w:sz="4" w:space="0" w:color="auto"/>
              <w:bottom w:val="nil"/>
              <w:right w:val="single" w:sz="4" w:space="0" w:color="auto"/>
            </w:tcBorders>
            <w:shd w:val="clear" w:color="auto" w:fill="auto"/>
            <w:vAlign w:val="center"/>
          </w:tcPr>
          <w:p w14:paraId="59A0E291" w14:textId="77777777" w:rsidR="007968EC" w:rsidRPr="003302FD" w:rsidRDefault="007968EC" w:rsidP="007968EC">
            <w:pPr>
              <w:jc w:val="center"/>
              <w:rPr>
                <w:rFonts w:ascii="Arial Narrow" w:hAnsi="Arial Narrow" w:cs="Arial"/>
                <w:lang w:eastAsia="es-ES"/>
              </w:rPr>
            </w:pPr>
          </w:p>
        </w:tc>
        <w:tc>
          <w:tcPr>
            <w:tcW w:w="2409" w:type="dxa"/>
            <w:tcBorders>
              <w:top w:val="single" w:sz="4" w:space="0" w:color="auto"/>
              <w:left w:val="single" w:sz="4" w:space="0" w:color="auto"/>
              <w:right w:val="single" w:sz="4" w:space="0" w:color="auto"/>
            </w:tcBorders>
            <w:shd w:val="clear" w:color="auto" w:fill="auto"/>
            <w:vAlign w:val="center"/>
          </w:tcPr>
          <w:p w14:paraId="0C20C1B3"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 xml:space="preserve">43. </w:t>
            </w:r>
            <w:r w:rsidRPr="003302FD">
              <w:rPr>
                <w:rFonts w:ascii="Arial Narrow" w:hAnsi="Arial Narrow" w:cs="Arial"/>
                <w:b/>
                <w:lang w:eastAsia="es-ES"/>
              </w:rPr>
              <w:t>Código de Entidad</w:t>
            </w:r>
          </w:p>
        </w:tc>
        <w:tc>
          <w:tcPr>
            <w:tcW w:w="1485" w:type="dxa"/>
            <w:tcBorders>
              <w:top w:val="single" w:sz="4" w:space="0" w:color="auto"/>
              <w:left w:val="single" w:sz="4" w:space="0" w:color="auto"/>
              <w:right w:val="single" w:sz="4" w:space="0" w:color="auto"/>
            </w:tcBorders>
            <w:shd w:val="clear" w:color="auto" w:fill="auto"/>
            <w:vAlign w:val="center"/>
          </w:tcPr>
          <w:p w14:paraId="5FB3AE84" w14:textId="77777777" w:rsidR="007968EC" w:rsidRPr="003302FD" w:rsidRDefault="007968EC" w:rsidP="007968EC">
            <w:pPr>
              <w:jc w:val="center"/>
              <w:rPr>
                <w:rFonts w:ascii="Arial Narrow" w:hAnsi="Arial Narrow" w:cs="Arial"/>
                <w:lang w:eastAsia="es-ES"/>
              </w:rPr>
            </w:pPr>
          </w:p>
        </w:tc>
      </w:tr>
      <w:tr w:rsidR="007968EC" w:rsidRPr="003302FD" w14:paraId="29EE01E3" w14:textId="77777777" w:rsidTr="007968EC">
        <w:trPr>
          <w:cantSplit/>
          <w:trHeight w:val="70"/>
        </w:trPr>
        <w:tc>
          <w:tcPr>
            <w:tcW w:w="2976" w:type="dxa"/>
            <w:tcBorders>
              <w:top w:val="single" w:sz="4" w:space="0" w:color="auto"/>
              <w:left w:val="single" w:sz="4" w:space="0" w:color="auto"/>
              <w:right w:val="single" w:sz="4" w:space="0" w:color="auto"/>
            </w:tcBorders>
            <w:shd w:val="clear" w:color="auto" w:fill="auto"/>
            <w:vAlign w:val="center"/>
          </w:tcPr>
          <w:p w14:paraId="6E43F815" w14:textId="77777777" w:rsidR="007968EC" w:rsidRPr="003302FD" w:rsidRDefault="007968EC" w:rsidP="007968EC">
            <w:pPr>
              <w:rPr>
                <w:rFonts w:ascii="Arial Narrow" w:hAnsi="Arial Narrow" w:cs="Arial"/>
                <w:lang w:eastAsia="es-ES"/>
              </w:rPr>
            </w:pPr>
            <w:r w:rsidRPr="003302FD">
              <w:rPr>
                <w:rFonts w:ascii="Arial Narrow" w:hAnsi="Arial Narrow" w:cs="Arial"/>
                <w:lang w:val="es-ES" w:eastAsia="es-ES"/>
              </w:rPr>
              <w:t xml:space="preserve">44. </w:t>
            </w:r>
            <w:r w:rsidRPr="003302FD">
              <w:rPr>
                <w:rFonts w:ascii="Arial Narrow" w:hAnsi="Arial Narrow" w:cs="Arial"/>
                <w:b/>
                <w:lang w:val="es-ES" w:eastAsia="es-ES"/>
              </w:rPr>
              <w:t>Código Depositante Directo DCV</w:t>
            </w:r>
          </w:p>
        </w:tc>
        <w:tc>
          <w:tcPr>
            <w:tcW w:w="1701" w:type="dxa"/>
            <w:tcBorders>
              <w:top w:val="single" w:sz="4" w:space="0" w:color="auto"/>
              <w:left w:val="single" w:sz="4" w:space="0" w:color="auto"/>
              <w:right w:val="single" w:sz="4" w:space="0" w:color="auto"/>
            </w:tcBorders>
            <w:shd w:val="clear" w:color="auto" w:fill="auto"/>
            <w:vAlign w:val="center"/>
          </w:tcPr>
          <w:p w14:paraId="409142ED" w14:textId="77777777" w:rsidR="007968EC" w:rsidRPr="003302FD" w:rsidRDefault="007968EC" w:rsidP="007968EC">
            <w:pPr>
              <w:jc w:val="center"/>
              <w:rPr>
                <w:rFonts w:ascii="Arial Narrow" w:hAnsi="Arial Narrow" w:cs="Arial"/>
                <w:lang w:eastAsia="es-ES"/>
              </w:rPr>
            </w:pPr>
          </w:p>
        </w:tc>
        <w:tc>
          <w:tcPr>
            <w:tcW w:w="426" w:type="dxa"/>
            <w:tcBorders>
              <w:top w:val="nil"/>
              <w:left w:val="single" w:sz="4" w:space="0" w:color="auto"/>
              <w:bottom w:val="nil"/>
              <w:right w:val="single" w:sz="4" w:space="0" w:color="auto"/>
            </w:tcBorders>
            <w:shd w:val="clear" w:color="auto" w:fill="auto"/>
            <w:vAlign w:val="center"/>
          </w:tcPr>
          <w:p w14:paraId="1FC15D55" w14:textId="77777777" w:rsidR="007968EC" w:rsidRPr="003302FD" w:rsidRDefault="007968EC" w:rsidP="007968EC">
            <w:pPr>
              <w:jc w:val="center"/>
              <w:rPr>
                <w:rFonts w:ascii="Arial Narrow" w:hAnsi="Arial Narrow" w:cs="Arial"/>
                <w:lang w:eastAsia="es-ES"/>
              </w:rPr>
            </w:pPr>
          </w:p>
        </w:tc>
        <w:tc>
          <w:tcPr>
            <w:tcW w:w="2409" w:type="dxa"/>
            <w:tcBorders>
              <w:top w:val="single" w:sz="4" w:space="0" w:color="auto"/>
              <w:left w:val="single" w:sz="4" w:space="0" w:color="auto"/>
              <w:right w:val="single" w:sz="4" w:space="0" w:color="auto"/>
            </w:tcBorders>
            <w:shd w:val="clear" w:color="auto" w:fill="auto"/>
            <w:vAlign w:val="center"/>
          </w:tcPr>
          <w:p w14:paraId="58265A8C"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 xml:space="preserve">45. </w:t>
            </w:r>
            <w:r w:rsidRPr="003302FD">
              <w:rPr>
                <w:rFonts w:ascii="Arial Narrow" w:hAnsi="Arial Narrow" w:cs="Arial"/>
                <w:b/>
                <w:lang w:eastAsia="es-ES"/>
              </w:rPr>
              <w:t>Código de entidad</w:t>
            </w:r>
          </w:p>
        </w:tc>
        <w:tc>
          <w:tcPr>
            <w:tcW w:w="1485" w:type="dxa"/>
            <w:tcBorders>
              <w:top w:val="single" w:sz="4" w:space="0" w:color="auto"/>
              <w:left w:val="single" w:sz="4" w:space="0" w:color="auto"/>
              <w:right w:val="single" w:sz="4" w:space="0" w:color="auto"/>
            </w:tcBorders>
            <w:shd w:val="clear" w:color="auto" w:fill="auto"/>
            <w:vAlign w:val="center"/>
          </w:tcPr>
          <w:p w14:paraId="526C9070" w14:textId="77777777" w:rsidR="007968EC" w:rsidRPr="003302FD" w:rsidRDefault="007968EC" w:rsidP="007968EC">
            <w:pPr>
              <w:jc w:val="center"/>
              <w:rPr>
                <w:rFonts w:ascii="Arial Narrow" w:hAnsi="Arial Narrow" w:cs="Arial"/>
                <w:lang w:eastAsia="es-ES"/>
              </w:rPr>
            </w:pPr>
          </w:p>
        </w:tc>
      </w:tr>
    </w:tbl>
    <w:p w14:paraId="2ACB3C34" w14:textId="77777777" w:rsidR="007968EC" w:rsidRPr="003302FD" w:rsidRDefault="007968EC" w:rsidP="007968EC">
      <w:pPr>
        <w:tabs>
          <w:tab w:val="left" w:pos="-72"/>
          <w:tab w:val="left" w:pos="3189"/>
          <w:tab w:val="left" w:pos="4039"/>
          <w:tab w:val="left" w:pos="4820"/>
        </w:tabs>
        <w:ind w:left="-639"/>
        <w:rPr>
          <w:rFonts w:ascii="Arial Narrow" w:hAnsi="Arial Narrow" w:cs="Arial"/>
          <w:lang w:eastAsia="es-ES"/>
        </w:rPr>
      </w:pPr>
    </w:p>
    <w:p w14:paraId="51D16F75" w14:textId="77777777" w:rsidR="007968EC" w:rsidRPr="003302FD" w:rsidRDefault="007968EC" w:rsidP="007968EC">
      <w:pPr>
        <w:tabs>
          <w:tab w:val="left" w:pos="-72"/>
          <w:tab w:val="left" w:pos="3189"/>
          <w:tab w:val="left" w:pos="4039"/>
          <w:tab w:val="left" w:pos="4820"/>
        </w:tabs>
        <w:ind w:left="-639"/>
        <w:rPr>
          <w:rFonts w:ascii="Arial Narrow" w:hAnsi="Arial Narrow" w:cs="Arial"/>
          <w:lang w:eastAsia="es-ES"/>
        </w:rPr>
      </w:pPr>
    </w:p>
    <w:tbl>
      <w:tblPr>
        <w:tblpPr w:leftFromText="141" w:rightFromText="141" w:vertAnchor="text" w:horzAnchor="margin" w:tblpX="534" w:tblpY="-43"/>
        <w:tblW w:w="4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4"/>
        <w:gridCol w:w="916"/>
        <w:gridCol w:w="1015"/>
        <w:gridCol w:w="1081"/>
        <w:gridCol w:w="840"/>
        <w:gridCol w:w="709"/>
        <w:gridCol w:w="1715"/>
        <w:gridCol w:w="1190"/>
      </w:tblGrid>
      <w:tr w:rsidR="007968EC" w:rsidRPr="003302FD" w14:paraId="2201D3E8" w14:textId="77777777" w:rsidTr="007968EC">
        <w:trPr>
          <w:trHeight w:val="134"/>
        </w:trPr>
        <w:tc>
          <w:tcPr>
            <w:tcW w:w="625" w:type="pct"/>
            <w:shd w:val="clear" w:color="auto" w:fill="auto"/>
            <w:vAlign w:val="center"/>
          </w:tcPr>
          <w:p w14:paraId="6AADA9CD" w14:textId="77777777" w:rsidR="007968EC" w:rsidRPr="003302FD" w:rsidRDefault="007968EC" w:rsidP="007968EC">
            <w:pPr>
              <w:jc w:val="center"/>
              <w:rPr>
                <w:rFonts w:ascii="Arial Narrow" w:hAnsi="Arial Narrow" w:cs="Arial"/>
                <w:lang w:eastAsia="es-ES"/>
              </w:rPr>
            </w:pPr>
            <w:r w:rsidRPr="003302FD">
              <w:rPr>
                <w:rFonts w:ascii="Arial Narrow" w:hAnsi="Arial Narrow" w:cs="Arial"/>
                <w:lang w:eastAsia="es-ES"/>
              </w:rPr>
              <w:lastRenderedPageBreak/>
              <w:t> </w:t>
            </w:r>
          </w:p>
        </w:tc>
        <w:tc>
          <w:tcPr>
            <w:tcW w:w="556" w:type="pct"/>
            <w:shd w:val="clear" w:color="auto" w:fill="auto"/>
            <w:vAlign w:val="center"/>
          </w:tcPr>
          <w:p w14:paraId="2358168F" w14:textId="77777777" w:rsidR="007968EC" w:rsidRPr="003302FD" w:rsidRDefault="007968EC" w:rsidP="007968EC">
            <w:pPr>
              <w:jc w:val="center"/>
              <w:rPr>
                <w:rFonts w:ascii="Arial Narrow" w:hAnsi="Arial Narrow" w:cs="Arial"/>
                <w:lang w:eastAsia="es-ES"/>
              </w:rPr>
            </w:pPr>
            <w:r w:rsidRPr="003302FD">
              <w:rPr>
                <w:rFonts w:ascii="Arial Narrow" w:hAnsi="Arial Narrow" w:cs="Arial"/>
                <w:lang w:eastAsia="es-ES"/>
              </w:rPr>
              <w:t>46. Nombre del Cargo</w:t>
            </w:r>
          </w:p>
        </w:tc>
        <w:tc>
          <w:tcPr>
            <w:tcW w:w="556" w:type="pct"/>
            <w:shd w:val="clear" w:color="auto" w:fill="auto"/>
            <w:vAlign w:val="center"/>
          </w:tcPr>
          <w:p w14:paraId="056633CF" w14:textId="77777777" w:rsidR="007968EC" w:rsidRPr="003302FD" w:rsidRDefault="007968EC" w:rsidP="007968EC">
            <w:pPr>
              <w:jc w:val="center"/>
              <w:rPr>
                <w:rFonts w:ascii="Arial Narrow" w:hAnsi="Arial Narrow" w:cs="Arial"/>
                <w:lang w:eastAsia="es-ES"/>
              </w:rPr>
            </w:pPr>
            <w:r w:rsidRPr="003302FD">
              <w:rPr>
                <w:rFonts w:ascii="Arial Narrow" w:hAnsi="Arial Narrow" w:cs="Arial"/>
                <w:lang w:eastAsia="es-ES"/>
              </w:rPr>
              <w:t>47. Nombres y Apellidos</w:t>
            </w:r>
          </w:p>
        </w:tc>
        <w:tc>
          <w:tcPr>
            <w:tcW w:w="626" w:type="pct"/>
            <w:shd w:val="clear" w:color="auto" w:fill="auto"/>
            <w:vAlign w:val="center"/>
          </w:tcPr>
          <w:p w14:paraId="3CDE4718" w14:textId="77777777" w:rsidR="007968EC" w:rsidRPr="003302FD" w:rsidRDefault="007968EC" w:rsidP="007968EC">
            <w:pPr>
              <w:jc w:val="center"/>
              <w:rPr>
                <w:rFonts w:ascii="Arial Narrow" w:hAnsi="Arial Narrow" w:cs="Arial"/>
                <w:lang w:eastAsia="es-ES"/>
              </w:rPr>
            </w:pPr>
            <w:r w:rsidRPr="003302FD">
              <w:rPr>
                <w:rFonts w:ascii="Arial Narrow" w:hAnsi="Arial Narrow" w:cs="Arial"/>
                <w:lang w:eastAsia="es-ES"/>
              </w:rPr>
              <w:t>48. Teléfono y Extensión</w:t>
            </w:r>
          </w:p>
        </w:tc>
        <w:tc>
          <w:tcPr>
            <w:tcW w:w="625" w:type="pct"/>
            <w:shd w:val="clear" w:color="auto" w:fill="auto"/>
            <w:vAlign w:val="center"/>
          </w:tcPr>
          <w:p w14:paraId="365A34B8" w14:textId="77777777" w:rsidR="007968EC" w:rsidRPr="003302FD" w:rsidRDefault="007968EC" w:rsidP="007968EC">
            <w:pPr>
              <w:jc w:val="center"/>
              <w:rPr>
                <w:rFonts w:ascii="Arial Narrow" w:hAnsi="Arial Narrow" w:cs="Arial"/>
                <w:lang w:eastAsia="es-ES"/>
              </w:rPr>
            </w:pPr>
            <w:r w:rsidRPr="003302FD">
              <w:rPr>
                <w:rFonts w:ascii="Arial Narrow" w:hAnsi="Arial Narrow" w:cs="Arial"/>
                <w:lang w:eastAsia="es-ES"/>
              </w:rPr>
              <w:t>49. Celular</w:t>
            </w:r>
          </w:p>
        </w:tc>
        <w:tc>
          <w:tcPr>
            <w:tcW w:w="762" w:type="pct"/>
            <w:shd w:val="clear" w:color="auto" w:fill="auto"/>
            <w:vAlign w:val="center"/>
          </w:tcPr>
          <w:p w14:paraId="3DA537E2" w14:textId="77777777" w:rsidR="007968EC" w:rsidRPr="003302FD" w:rsidRDefault="007968EC" w:rsidP="007968EC">
            <w:pPr>
              <w:jc w:val="center"/>
              <w:rPr>
                <w:rFonts w:ascii="Arial Narrow" w:hAnsi="Arial Narrow" w:cs="Arial"/>
                <w:lang w:eastAsia="es-ES"/>
              </w:rPr>
            </w:pPr>
            <w:r w:rsidRPr="003302FD">
              <w:rPr>
                <w:rFonts w:ascii="Arial Narrow" w:hAnsi="Arial Narrow" w:cs="Arial"/>
                <w:lang w:eastAsia="es-ES"/>
              </w:rPr>
              <w:t>50. Email</w:t>
            </w:r>
          </w:p>
        </w:tc>
        <w:tc>
          <w:tcPr>
            <w:tcW w:w="693" w:type="pct"/>
            <w:shd w:val="clear" w:color="auto" w:fill="auto"/>
            <w:vAlign w:val="center"/>
          </w:tcPr>
          <w:p w14:paraId="065DA60F"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51. Dirección Correspondencia</w:t>
            </w:r>
          </w:p>
        </w:tc>
        <w:tc>
          <w:tcPr>
            <w:tcW w:w="557" w:type="pct"/>
            <w:vAlign w:val="center"/>
          </w:tcPr>
          <w:p w14:paraId="51B82F77" w14:textId="77777777" w:rsidR="007968EC" w:rsidRPr="003302FD" w:rsidRDefault="007968EC" w:rsidP="007968EC">
            <w:pPr>
              <w:jc w:val="center"/>
              <w:rPr>
                <w:rFonts w:ascii="Arial Narrow" w:hAnsi="Arial Narrow" w:cs="Arial"/>
                <w:lang w:eastAsia="es-ES"/>
              </w:rPr>
            </w:pPr>
            <w:r w:rsidRPr="003302FD">
              <w:rPr>
                <w:rFonts w:ascii="Arial Narrow" w:hAnsi="Arial Narrow" w:cs="Arial"/>
                <w:lang w:eastAsia="es-ES"/>
              </w:rPr>
              <w:t>52. Teléfono Residencia</w:t>
            </w:r>
          </w:p>
        </w:tc>
      </w:tr>
      <w:tr w:rsidR="007968EC" w:rsidRPr="003302FD" w14:paraId="77BAD159" w14:textId="77777777" w:rsidTr="007968EC">
        <w:trPr>
          <w:trHeight w:val="70"/>
        </w:trPr>
        <w:tc>
          <w:tcPr>
            <w:tcW w:w="625" w:type="pct"/>
            <w:shd w:val="clear" w:color="auto" w:fill="auto"/>
          </w:tcPr>
          <w:p w14:paraId="3B2B1F6F"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Gerente o Director de Riesgos</w:t>
            </w:r>
          </w:p>
        </w:tc>
        <w:tc>
          <w:tcPr>
            <w:tcW w:w="556" w:type="pct"/>
            <w:shd w:val="clear" w:color="auto" w:fill="auto"/>
            <w:vAlign w:val="center"/>
          </w:tcPr>
          <w:p w14:paraId="0061A8FD"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c>
          <w:tcPr>
            <w:tcW w:w="556" w:type="pct"/>
            <w:shd w:val="clear" w:color="auto" w:fill="auto"/>
            <w:vAlign w:val="center"/>
          </w:tcPr>
          <w:p w14:paraId="3D9CA636"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c>
          <w:tcPr>
            <w:tcW w:w="626" w:type="pct"/>
            <w:shd w:val="clear" w:color="auto" w:fill="auto"/>
            <w:vAlign w:val="center"/>
          </w:tcPr>
          <w:p w14:paraId="3DA13737"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c>
          <w:tcPr>
            <w:tcW w:w="625" w:type="pct"/>
            <w:shd w:val="clear" w:color="auto" w:fill="auto"/>
            <w:vAlign w:val="center"/>
          </w:tcPr>
          <w:p w14:paraId="6CD019C9" w14:textId="77777777" w:rsidR="007968EC" w:rsidRPr="003302FD" w:rsidRDefault="007968EC" w:rsidP="007968EC">
            <w:pPr>
              <w:rPr>
                <w:rFonts w:ascii="Arial Narrow" w:hAnsi="Arial Narrow" w:cs="Arial"/>
                <w:b/>
                <w:lang w:eastAsia="es-ES"/>
              </w:rPr>
            </w:pPr>
            <w:r w:rsidRPr="003302FD">
              <w:rPr>
                <w:rFonts w:ascii="Arial Narrow" w:hAnsi="Arial Narrow" w:cs="Arial"/>
                <w:b/>
                <w:lang w:eastAsia="es-ES"/>
              </w:rPr>
              <w:t> </w:t>
            </w:r>
          </w:p>
        </w:tc>
        <w:tc>
          <w:tcPr>
            <w:tcW w:w="762" w:type="pct"/>
            <w:shd w:val="clear" w:color="auto" w:fill="auto"/>
            <w:vAlign w:val="center"/>
          </w:tcPr>
          <w:p w14:paraId="067A27F0"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c>
          <w:tcPr>
            <w:tcW w:w="693" w:type="pct"/>
            <w:shd w:val="clear" w:color="auto" w:fill="auto"/>
            <w:vAlign w:val="center"/>
          </w:tcPr>
          <w:p w14:paraId="175AD5AB"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c>
          <w:tcPr>
            <w:tcW w:w="557" w:type="pct"/>
            <w:vAlign w:val="center"/>
          </w:tcPr>
          <w:p w14:paraId="12C3AC6F"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r>
      <w:tr w:rsidR="007968EC" w:rsidRPr="003302FD" w14:paraId="3C50B2EC" w14:textId="77777777" w:rsidTr="007968EC">
        <w:trPr>
          <w:trHeight w:val="174"/>
        </w:trPr>
        <w:tc>
          <w:tcPr>
            <w:tcW w:w="625" w:type="pct"/>
            <w:shd w:val="clear" w:color="auto" w:fill="auto"/>
          </w:tcPr>
          <w:p w14:paraId="54FE37EB"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Gerente o Director de Operaciones</w:t>
            </w:r>
          </w:p>
        </w:tc>
        <w:tc>
          <w:tcPr>
            <w:tcW w:w="556" w:type="pct"/>
            <w:shd w:val="clear" w:color="auto" w:fill="auto"/>
            <w:vAlign w:val="center"/>
          </w:tcPr>
          <w:p w14:paraId="37B4247D"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c>
          <w:tcPr>
            <w:tcW w:w="556" w:type="pct"/>
            <w:shd w:val="clear" w:color="auto" w:fill="auto"/>
            <w:vAlign w:val="center"/>
          </w:tcPr>
          <w:p w14:paraId="14E89B64"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c>
          <w:tcPr>
            <w:tcW w:w="626" w:type="pct"/>
            <w:shd w:val="clear" w:color="auto" w:fill="auto"/>
            <w:vAlign w:val="center"/>
          </w:tcPr>
          <w:p w14:paraId="3A9E05D9"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c>
          <w:tcPr>
            <w:tcW w:w="625" w:type="pct"/>
            <w:shd w:val="clear" w:color="auto" w:fill="auto"/>
            <w:vAlign w:val="center"/>
          </w:tcPr>
          <w:p w14:paraId="5B532A5A"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c>
          <w:tcPr>
            <w:tcW w:w="762" w:type="pct"/>
            <w:shd w:val="clear" w:color="auto" w:fill="auto"/>
            <w:vAlign w:val="center"/>
          </w:tcPr>
          <w:p w14:paraId="208C9457"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c>
          <w:tcPr>
            <w:tcW w:w="693" w:type="pct"/>
            <w:shd w:val="clear" w:color="auto" w:fill="auto"/>
            <w:vAlign w:val="center"/>
          </w:tcPr>
          <w:p w14:paraId="4C2398AF"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c>
          <w:tcPr>
            <w:tcW w:w="557" w:type="pct"/>
            <w:vAlign w:val="center"/>
          </w:tcPr>
          <w:p w14:paraId="0CA54B91"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r>
      <w:tr w:rsidR="007968EC" w:rsidRPr="003302FD" w14:paraId="448509A2" w14:textId="77777777" w:rsidTr="007968EC">
        <w:trPr>
          <w:trHeight w:val="70"/>
        </w:trPr>
        <w:tc>
          <w:tcPr>
            <w:tcW w:w="625" w:type="pct"/>
            <w:shd w:val="clear" w:color="auto" w:fill="auto"/>
          </w:tcPr>
          <w:p w14:paraId="7EECD8E1"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Gerente o Director del Departamento Jurídico</w:t>
            </w:r>
          </w:p>
        </w:tc>
        <w:tc>
          <w:tcPr>
            <w:tcW w:w="556" w:type="pct"/>
            <w:shd w:val="clear" w:color="auto" w:fill="auto"/>
            <w:vAlign w:val="center"/>
          </w:tcPr>
          <w:p w14:paraId="5F492513"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c>
          <w:tcPr>
            <w:tcW w:w="556" w:type="pct"/>
            <w:shd w:val="clear" w:color="auto" w:fill="auto"/>
            <w:vAlign w:val="center"/>
          </w:tcPr>
          <w:p w14:paraId="14203521"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c>
          <w:tcPr>
            <w:tcW w:w="626" w:type="pct"/>
            <w:shd w:val="clear" w:color="auto" w:fill="auto"/>
            <w:vAlign w:val="center"/>
          </w:tcPr>
          <w:p w14:paraId="32A2E3B1"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c>
          <w:tcPr>
            <w:tcW w:w="625" w:type="pct"/>
            <w:shd w:val="clear" w:color="auto" w:fill="auto"/>
            <w:vAlign w:val="center"/>
          </w:tcPr>
          <w:p w14:paraId="2E05D9B0"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c>
          <w:tcPr>
            <w:tcW w:w="762" w:type="pct"/>
            <w:shd w:val="clear" w:color="auto" w:fill="auto"/>
            <w:vAlign w:val="center"/>
          </w:tcPr>
          <w:p w14:paraId="317D0D5B"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c>
          <w:tcPr>
            <w:tcW w:w="693" w:type="pct"/>
            <w:shd w:val="clear" w:color="auto" w:fill="auto"/>
            <w:vAlign w:val="center"/>
          </w:tcPr>
          <w:p w14:paraId="25761C6D"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c>
          <w:tcPr>
            <w:tcW w:w="557" w:type="pct"/>
            <w:vAlign w:val="center"/>
          </w:tcPr>
          <w:p w14:paraId="3F2D3633"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r>
      <w:tr w:rsidR="007968EC" w:rsidRPr="003302FD" w14:paraId="02229990" w14:textId="77777777" w:rsidTr="007968EC">
        <w:trPr>
          <w:trHeight w:val="70"/>
        </w:trPr>
        <w:tc>
          <w:tcPr>
            <w:tcW w:w="625" w:type="pct"/>
            <w:shd w:val="clear" w:color="auto" w:fill="auto"/>
          </w:tcPr>
          <w:p w14:paraId="3ECF7427"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Gerente o Director del Departamento de Contabilidad</w:t>
            </w:r>
          </w:p>
        </w:tc>
        <w:tc>
          <w:tcPr>
            <w:tcW w:w="556" w:type="pct"/>
            <w:shd w:val="clear" w:color="auto" w:fill="auto"/>
            <w:vAlign w:val="center"/>
          </w:tcPr>
          <w:p w14:paraId="37A7D003"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c>
          <w:tcPr>
            <w:tcW w:w="556" w:type="pct"/>
            <w:shd w:val="clear" w:color="auto" w:fill="auto"/>
            <w:vAlign w:val="center"/>
          </w:tcPr>
          <w:p w14:paraId="3BE3E6BF"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c>
          <w:tcPr>
            <w:tcW w:w="626" w:type="pct"/>
            <w:shd w:val="clear" w:color="auto" w:fill="auto"/>
            <w:vAlign w:val="center"/>
          </w:tcPr>
          <w:p w14:paraId="3117F731"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c>
          <w:tcPr>
            <w:tcW w:w="625" w:type="pct"/>
            <w:shd w:val="clear" w:color="auto" w:fill="auto"/>
            <w:vAlign w:val="center"/>
          </w:tcPr>
          <w:p w14:paraId="7F72E96A"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c>
          <w:tcPr>
            <w:tcW w:w="762" w:type="pct"/>
            <w:shd w:val="clear" w:color="auto" w:fill="auto"/>
            <w:vAlign w:val="center"/>
          </w:tcPr>
          <w:p w14:paraId="767186CF"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c>
          <w:tcPr>
            <w:tcW w:w="693" w:type="pct"/>
            <w:shd w:val="clear" w:color="auto" w:fill="auto"/>
            <w:vAlign w:val="center"/>
          </w:tcPr>
          <w:p w14:paraId="7C4DA46A"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c>
          <w:tcPr>
            <w:tcW w:w="557" w:type="pct"/>
            <w:vAlign w:val="center"/>
          </w:tcPr>
          <w:p w14:paraId="49A96208"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r>
      <w:tr w:rsidR="007968EC" w:rsidRPr="003302FD" w14:paraId="7D23557A" w14:textId="77777777" w:rsidTr="007968EC">
        <w:trPr>
          <w:trHeight w:val="542"/>
        </w:trPr>
        <w:tc>
          <w:tcPr>
            <w:tcW w:w="625" w:type="pct"/>
            <w:shd w:val="clear" w:color="auto" w:fill="auto"/>
          </w:tcPr>
          <w:p w14:paraId="0469D5D3"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Oficial de Cumplimiento.</w:t>
            </w:r>
          </w:p>
        </w:tc>
        <w:tc>
          <w:tcPr>
            <w:tcW w:w="556" w:type="pct"/>
            <w:shd w:val="clear" w:color="auto" w:fill="auto"/>
            <w:vAlign w:val="center"/>
          </w:tcPr>
          <w:p w14:paraId="6B3CAF15"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c>
          <w:tcPr>
            <w:tcW w:w="556" w:type="pct"/>
            <w:shd w:val="clear" w:color="auto" w:fill="auto"/>
            <w:vAlign w:val="center"/>
          </w:tcPr>
          <w:p w14:paraId="1215A8A4"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c>
          <w:tcPr>
            <w:tcW w:w="626" w:type="pct"/>
            <w:shd w:val="clear" w:color="auto" w:fill="auto"/>
            <w:vAlign w:val="center"/>
          </w:tcPr>
          <w:p w14:paraId="63F3550C"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c>
          <w:tcPr>
            <w:tcW w:w="625" w:type="pct"/>
            <w:shd w:val="clear" w:color="auto" w:fill="auto"/>
            <w:vAlign w:val="center"/>
          </w:tcPr>
          <w:p w14:paraId="0912936A"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c>
          <w:tcPr>
            <w:tcW w:w="762" w:type="pct"/>
            <w:shd w:val="clear" w:color="auto" w:fill="auto"/>
            <w:vAlign w:val="center"/>
          </w:tcPr>
          <w:p w14:paraId="28AE0C1F"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c>
          <w:tcPr>
            <w:tcW w:w="693" w:type="pct"/>
            <w:shd w:val="clear" w:color="auto" w:fill="auto"/>
            <w:vAlign w:val="center"/>
          </w:tcPr>
          <w:p w14:paraId="3813C718"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c>
          <w:tcPr>
            <w:tcW w:w="557" w:type="pct"/>
            <w:vAlign w:val="center"/>
          </w:tcPr>
          <w:p w14:paraId="69C9C8A5"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r>
      <w:tr w:rsidR="007968EC" w:rsidRPr="003302FD" w14:paraId="79F7E951" w14:textId="77777777" w:rsidTr="007968EC">
        <w:trPr>
          <w:trHeight w:val="321"/>
        </w:trPr>
        <w:tc>
          <w:tcPr>
            <w:tcW w:w="625" w:type="pct"/>
            <w:shd w:val="clear" w:color="auto" w:fill="auto"/>
          </w:tcPr>
          <w:p w14:paraId="4F932CF8"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Contralor Normativo</w:t>
            </w:r>
          </w:p>
        </w:tc>
        <w:tc>
          <w:tcPr>
            <w:tcW w:w="556" w:type="pct"/>
            <w:shd w:val="clear" w:color="auto" w:fill="auto"/>
            <w:vAlign w:val="center"/>
          </w:tcPr>
          <w:p w14:paraId="5C31057A" w14:textId="77777777" w:rsidR="007968EC" w:rsidRPr="003302FD" w:rsidRDefault="007968EC" w:rsidP="007968EC">
            <w:pPr>
              <w:jc w:val="center"/>
              <w:rPr>
                <w:rFonts w:ascii="Arial Narrow" w:hAnsi="Arial Narrow" w:cs="Arial"/>
                <w:b/>
                <w:lang w:eastAsia="es-ES"/>
              </w:rPr>
            </w:pPr>
          </w:p>
        </w:tc>
        <w:tc>
          <w:tcPr>
            <w:tcW w:w="556" w:type="pct"/>
            <w:shd w:val="clear" w:color="auto" w:fill="auto"/>
            <w:vAlign w:val="center"/>
          </w:tcPr>
          <w:p w14:paraId="5FABFBED" w14:textId="77777777" w:rsidR="007968EC" w:rsidRPr="003302FD" w:rsidRDefault="007968EC" w:rsidP="007968EC">
            <w:pPr>
              <w:jc w:val="center"/>
              <w:rPr>
                <w:rFonts w:ascii="Arial Narrow" w:hAnsi="Arial Narrow" w:cs="Arial"/>
                <w:b/>
                <w:lang w:eastAsia="es-ES"/>
              </w:rPr>
            </w:pPr>
          </w:p>
        </w:tc>
        <w:tc>
          <w:tcPr>
            <w:tcW w:w="626" w:type="pct"/>
            <w:shd w:val="clear" w:color="auto" w:fill="auto"/>
            <w:vAlign w:val="center"/>
          </w:tcPr>
          <w:p w14:paraId="63EC8E6F" w14:textId="77777777" w:rsidR="007968EC" w:rsidRPr="003302FD" w:rsidRDefault="007968EC" w:rsidP="007968EC">
            <w:pPr>
              <w:jc w:val="center"/>
              <w:rPr>
                <w:rFonts w:ascii="Arial Narrow" w:hAnsi="Arial Narrow" w:cs="Arial"/>
                <w:b/>
                <w:lang w:eastAsia="es-ES"/>
              </w:rPr>
            </w:pPr>
          </w:p>
        </w:tc>
        <w:tc>
          <w:tcPr>
            <w:tcW w:w="625" w:type="pct"/>
            <w:shd w:val="clear" w:color="auto" w:fill="auto"/>
            <w:vAlign w:val="center"/>
          </w:tcPr>
          <w:p w14:paraId="05212247" w14:textId="77777777" w:rsidR="007968EC" w:rsidRPr="003302FD" w:rsidRDefault="007968EC" w:rsidP="007968EC">
            <w:pPr>
              <w:jc w:val="center"/>
              <w:rPr>
                <w:rFonts w:ascii="Arial Narrow" w:hAnsi="Arial Narrow" w:cs="Arial"/>
                <w:b/>
                <w:lang w:eastAsia="es-ES"/>
              </w:rPr>
            </w:pPr>
          </w:p>
        </w:tc>
        <w:tc>
          <w:tcPr>
            <w:tcW w:w="762" w:type="pct"/>
            <w:shd w:val="clear" w:color="auto" w:fill="auto"/>
            <w:vAlign w:val="center"/>
          </w:tcPr>
          <w:p w14:paraId="632CAB1F" w14:textId="77777777" w:rsidR="007968EC" w:rsidRPr="003302FD" w:rsidRDefault="007968EC" w:rsidP="007968EC">
            <w:pPr>
              <w:jc w:val="center"/>
              <w:rPr>
                <w:rFonts w:ascii="Arial Narrow" w:hAnsi="Arial Narrow" w:cs="Arial"/>
                <w:b/>
                <w:lang w:eastAsia="es-ES"/>
              </w:rPr>
            </w:pPr>
          </w:p>
        </w:tc>
        <w:tc>
          <w:tcPr>
            <w:tcW w:w="693" w:type="pct"/>
            <w:shd w:val="clear" w:color="auto" w:fill="auto"/>
            <w:vAlign w:val="center"/>
          </w:tcPr>
          <w:p w14:paraId="43ADC058" w14:textId="77777777" w:rsidR="007968EC" w:rsidRPr="003302FD" w:rsidRDefault="007968EC" w:rsidP="007968EC">
            <w:pPr>
              <w:jc w:val="center"/>
              <w:rPr>
                <w:rFonts w:ascii="Arial Narrow" w:hAnsi="Arial Narrow" w:cs="Arial"/>
                <w:b/>
                <w:lang w:eastAsia="es-ES"/>
              </w:rPr>
            </w:pPr>
          </w:p>
        </w:tc>
        <w:tc>
          <w:tcPr>
            <w:tcW w:w="557" w:type="pct"/>
            <w:vAlign w:val="center"/>
          </w:tcPr>
          <w:p w14:paraId="7BB8C203" w14:textId="77777777" w:rsidR="007968EC" w:rsidRPr="003302FD" w:rsidRDefault="007968EC" w:rsidP="007968EC">
            <w:pPr>
              <w:jc w:val="center"/>
              <w:rPr>
                <w:rFonts w:ascii="Arial Narrow" w:hAnsi="Arial Narrow" w:cs="Arial"/>
                <w:b/>
                <w:lang w:eastAsia="es-ES"/>
              </w:rPr>
            </w:pPr>
          </w:p>
        </w:tc>
      </w:tr>
      <w:tr w:rsidR="007968EC" w:rsidRPr="003302FD" w14:paraId="5DD2DD9E" w14:textId="77777777" w:rsidTr="007968EC">
        <w:trPr>
          <w:trHeight w:val="213"/>
        </w:trPr>
        <w:tc>
          <w:tcPr>
            <w:tcW w:w="625" w:type="pct"/>
            <w:shd w:val="clear" w:color="auto" w:fill="auto"/>
          </w:tcPr>
          <w:p w14:paraId="36BECEEC"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Oficial de Cumplimiento</w:t>
            </w:r>
          </w:p>
        </w:tc>
        <w:tc>
          <w:tcPr>
            <w:tcW w:w="556" w:type="pct"/>
            <w:shd w:val="clear" w:color="auto" w:fill="auto"/>
            <w:vAlign w:val="center"/>
          </w:tcPr>
          <w:p w14:paraId="51150F5F" w14:textId="77777777" w:rsidR="007968EC" w:rsidRPr="003302FD" w:rsidRDefault="007968EC" w:rsidP="007968EC">
            <w:pPr>
              <w:jc w:val="center"/>
              <w:rPr>
                <w:rFonts w:ascii="Arial Narrow" w:hAnsi="Arial Narrow" w:cs="Arial"/>
                <w:b/>
                <w:lang w:eastAsia="es-ES"/>
              </w:rPr>
            </w:pPr>
          </w:p>
        </w:tc>
        <w:tc>
          <w:tcPr>
            <w:tcW w:w="556" w:type="pct"/>
            <w:shd w:val="clear" w:color="auto" w:fill="auto"/>
            <w:vAlign w:val="center"/>
          </w:tcPr>
          <w:p w14:paraId="2FFB8EF9" w14:textId="77777777" w:rsidR="007968EC" w:rsidRPr="003302FD" w:rsidRDefault="007968EC" w:rsidP="007968EC">
            <w:pPr>
              <w:jc w:val="center"/>
              <w:rPr>
                <w:rFonts w:ascii="Arial Narrow" w:hAnsi="Arial Narrow" w:cs="Arial"/>
                <w:b/>
                <w:lang w:eastAsia="es-ES"/>
              </w:rPr>
            </w:pPr>
          </w:p>
        </w:tc>
        <w:tc>
          <w:tcPr>
            <w:tcW w:w="626" w:type="pct"/>
            <w:shd w:val="clear" w:color="auto" w:fill="auto"/>
            <w:vAlign w:val="center"/>
          </w:tcPr>
          <w:p w14:paraId="60A8A9AB" w14:textId="77777777" w:rsidR="007968EC" w:rsidRPr="003302FD" w:rsidRDefault="007968EC" w:rsidP="007968EC">
            <w:pPr>
              <w:jc w:val="center"/>
              <w:rPr>
                <w:rFonts w:ascii="Arial Narrow" w:hAnsi="Arial Narrow" w:cs="Arial"/>
                <w:b/>
                <w:lang w:eastAsia="es-ES"/>
              </w:rPr>
            </w:pPr>
          </w:p>
        </w:tc>
        <w:tc>
          <w:tcPr>
            <w:tcW w:w="625" w:type="pct"/>
            <w:shd w:val="clear" w:color="auto" w:fill="auto"/>
            <w:vAlign w:val="center"/>
          </w:tcPr>
          <w:p w14:paraId="4181DC56" w14:textId="77777777" w:rsidR="007968EC" w:rsidRPr="003302FD" w:rsidRDefault="007968EC" w:rsidP="007968EC">
            <w:pPr>
              <w:jc w:val="center"/>
              <w:rPr>
                <w:rFonts w:ascii="Arial Narrow" w:hAnsi="Arial Narrow" w:cs="Arial"/>
                <w:b/>
                <w:lang w:eastAsia="es-ES"/>
              </w:rPr>
            </w:pPr>
          </w:p>
        </w:tc>
        <w:tc>
          <w:tcPr>
            <w:tcW w:w="762" w:type="pct"/>
            <w:shd w:val="clear" w:color="auto" w:fill="auto"/>
            <w:vAlign w:val="center"/>
          </w:tcPr>
          <w:p w14:paraId="2DEEB991" w14:textId="77777777" w:rsidR="007968EC" w:rsidRPr="003302FD" w:rsidRDefault="007968EC" w:rsidP="007968EC">
            <w:pPr>
              <w:jc w:val="center"/>
              <w:rPr>
                <w:rFonts w:ascii="Arial Narrow" w:hAnsi="Arial Narrow" w:cs="Arial"/>
                <w:b/>
                <w:lang w:eastAsia="es-ES"/>
              </w:rPr>
            </w:pPr>
          </w:p>
        </w:tc>
        <w:tc>
          <w:tcPr>
            <w:tcW w:w="693" w:type="pct"/>
            <w:shd w:val="clear" w:color="auto" w:fill="auto"/>
            <w:vAlign w:val="center"/>
          </w:tcPr>
          <w:p w14:paraId="3A51BFDA" w14:textId="77777777" w:rsidR="007968EC" w:rsidRPr="003302FD" w:rsidRDefault="007968EC" w:rsidP="007968EC">
            <w:pPr>
              <w:jc w:val="center"/>
              <w:rPr>
                <w:rFonts w:ascii="Arial Narrow" w:hAnsi="Arial Narrow" w:cs="Arial"/>
                <w:b/>
                <w:lang w:eastAsia="es-ES"/>
              </w:rPr>
            </w:pPr>
          </w:p>
        </w:tc>
        <w:tc>
          <w:tcPr>
            <w:tcW w:w="557" w:type="pct"/>
            <w:vAlign w:val="center"/>
          </w:tcPr>
          <w:p w14:paraId="6D39CF4E" w14:textId="77777777" w:rsidR="007968EC" w:rsidRPr="003302FD" w:rsidRDefault="007968EC" w:rsidP="007968EC">
            <w:pPr>
              <w:jc w:val="center"/>
              <w:rPr>
                <w:rFonts w:ascii="Arial Narrow" w:hAnsi="Arial Narrow" w:cs="Arial"/>
                <w:b/>
                <w:lang w:eastAsia="es-ES"/>
              </w:rPr>
            </w:pPr>
          </w:p>
        </w:tc>
      </w:tr>
      <w:tr w:rsidR="007968EC" w:rsidRPr="003302FD" w14:paraId="5036748C" w14:textId="77777777" w:rsidTr="007968EC">
        <w:trPr>
          <w:trHeight w:val="799"/>
        </w:trPr>
        <w:tc>
          <w:tcPr>
            <w:tcW w:w="625" w:type="pct"/>
            <w:shd w:val="clear" w:color="auto" w:fill="auto"/>
          </w:tcPr>
          <w:p w14:paraId="7D8CE105"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Gerente o Director del Departamento de Tecnología.</w:t>
            </w:r>
          </w:p>
        </w:tc>
        <w:tc>
          <w:tcPr>
            <w:tcW w:w="556" w:type="pct"/>
            <w:shd w:val="clear" w:color="auto" w:fill="auto"/>
            <w:vAlign w:val="center"/>
          </w:tcPr>
          <w:p w14:paraId="20A168DE"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c>
          <w:tcPr>
            <w:tcW w:w="556" w:type="pct"/>
            <w:shd w:val="clear" w:color="auto" w:fill="auto"/>
            <w:vAlign w:val="center"/>
          </w:tcPr>
          <w:p w14:paraId="6B40BD6D"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c>
          <w:tcPr>
            <w:tcW w:w="626" w:type="pct"/>
            <w:shd w:val="clear" w:color="auto" w:fill="auto"/>
            <w:vAlign w:val="center"/>
          </w:tcPr>
          <w:p w14:paraId="2DAFE1F4"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c>
          <w:tcPr>
            <w:tcW w:w="625" w:type="pct"/>
            <w:shd w:val="clear" w:color="auto" w:fill="auto"/>
            <w:vAlign w:val="center"/>
          </w:tcPr>
          <w:p w14:paraId="4F7C2216"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c>
          <w:tcPr>
            <w:tcW w:w="762" w:type="pct"/>
            <w:shd w:val="clear" w:color="auto" w:fill="auto"/>
            <w:vAlign w:val="center"/>
          </w:tcPr>
          <w:p w14:paraId="683474AA"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c>
          <w:tcPr>
            <w:tcW w:w="693" w:type="pct"/>
            <w:shd w:val="clear" w:color="auto" w:fill="auto"/>
            <w:vAlign w:val="center"/>
          </w:tcPr>
          <w:p w14:paraId="3F6C9352"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c>
          <w:tcPr>
            <w:tcW w:w="557" w:type="pct"/>
            <w:vAlign w:val="center"/>
          </w:tcPr>
          <w:p w14:paraId="435C8A67" w14:textId="77777777" w:rsidR="007968EC" w:rsidRPr="003302FD" w:rsidRDefault="007968EC" w:rsidP="007968EC">
            <w:pPr>
              <w:jc w:val="center"/>
              <w:rPr>
                <w:rFonts w:ascii="Arial Narrow" w:hAnsi="Arial Narrow" w:cs="Arial"/>
                <w:b/>
                <w:lang w:eastAsia="es-ES"/>
              </w:rPr>
            </w:pPr>
            <w:r w:rsidRPr="003302FD">
              <w:rPr>
                <w:rFonts w:ascii="Arial Narrow" w:hAnsi="Arial Narrow" w:cs="Arial"/>
                <w:b/>
                <w:lang w:eastAsia="es-ES"/>
              </w:rPr>
              <w:t> </w:t>
            </w:r>
          </w:p>
        </w:tc>
      </w:tr>
    </w:tbl>
    <w:p w14:paraId="5422049C" w14:textId="77777777" w:rsidR="007968EC" w:rsidRPr="003302FD" w:rsidRDefault="007968EC" w:rsidP="007968EC">
      <w:pPr>
        <w:tabs>
          <w:tab w:val="left" w:pos="-72"/>
          <w:tab w:val="left" w:pos="3189"/>
          <w:tab w:val="left" w:pos="4039"/>
          <w:tab w:val="left" w:pos="4820"/>
        </w:tabs>
        <w:ind w:left="-639"/>
        <w:rPr>
          <w:rFonts w:ascii="Arial Narrow" w:hAnsi="Arial Narrow" w:cs="Arial"/>
          <w:lang w:eastAsia="es-ES"/>
        </w:rPr>
      </w:pPr>
    </w:p>
    <w:p w14:paraId="3817C823" w14:textId="77777777" w:rsidR="007968EC" w:rsidRPr="003302FD" w:rsidRDefault="007968EC" w:rsidP="007968EC">
      <w:pPr>
        <w:ind w:left="851"/>
        <w:rPr>
          <w:rFonts w:ascii="Arial Narrow" w:hAnsi="Arial Narrow" w:cs="Arial"/>
          <w:lang w:val="es-ES" w:eastAsia="es-ES"/>
        </w:rPr>
      </w:pPr>
    </w:p>
    <w:p w14:paraId="0365BD09" w14:textId="77777777" w:rsidR="007968EC" w:rsidRPr="003302FD" w:rsidRDefault="007968EC" w:rsidP="00DA7472">
      <w:pPr>
        <w:numPr>
          <w:ilvl w:val="0"/>
          <w:numId w:val="114"/>
        </w:numPr>
        <w:ind w:left="851" w:hanging="425"/>
        <w:rPr>
          <w:rFonts w:ascii="Arial Narrow" w:hAnsi="Arial Narrow" w:cs="Arial"/>
          <w:lang w:val="es-ES" w:eastAsia="es-ES"/>
        </w:rPr>
      </w:pPr>
      <w:r w:rsidRPr="003302FD">
        <w:rPr>
          <w:rFonts w:ascii="Arial Narrow" w:hAnsi="Arial Narrow" w:cs="Arial"/>
          <w:lang w:val="es-ES" w:eastAsia="es-ES"/>
        </w:rPr>
        <w:t>Información de Referencia.</w:t>
      </w:r>
    </w:p>
    <w:p w14:paraId="7111BF55" w14:textId="77777777" w:rsidR="007968EC" w:rsidRPr="003302FD" w:rsidRDefault="007968EC" w:rsidP="007968EC">
      <w:pPr>
        <w:tabs>
          <w:tab w:val="num" w:pos="720"/>
        </w:tabs>
        <w:ind w:left="-720"/>
        <w:rPr>
          <w:rFonts w:ascii="Arial Narrow" w:hAnsi="Arial Narrow" w:cs="Arial"/>
          <w:lang w:val="es-ES" w:eastAsia="es-ES"/>
        </w:rPr>
      </w:pPr>
    </w:p>
    <w:p w14:paraId="50E62181" w14:textId="77777777" w:rsidR="007968EC" w:rsidRPr="003302FD" w:rsidRDefault="007968EC" w:rsidP="007968EC">
      <w:pPr>
        <w:tabs>
          <w:tab w:val="num" w:pos="360"/>
        </w:tabs>
        <w:ind w:left="426"/>
        <w:rPr>
          <w:rFonts w:ascii="Arial Narrow" w:hAnsi="Arial Narrow" w:cs="Arial"/>
          <w:lang w:val="es-ES" w:eastAsia="es-ES"/>
        </w:rPr>
      </w:pPr>
      <w:r w:rsidRPr="003302FD">
        <w:rPr>
          <w:rFonts w:ascii="Arial Narrow" w:hAnsi="Arial Narrow" w:cs="Arial"/>
          <w:lang w:val="es-ES" w:eastAsia="es-ES"/>
        </w:rPr>
        <w:t>Anexe el resumen de la hoja de vida del recurso humano asociado a las funciones de compensación y liquidación de operaciones</w:t>
      </w:r>
      <w:r w:rsidRPr="003302FD">
        <w:rPr>
          <w:rFonts w:ascii="Arial Narrow" w:hAnsi="Arial Narrow" w:cs="Arial"/>
          <w:vertAlign w:val="superscript"/>
          <w:lang w:val="es-ES" w:eastAsia="es-ES"/>
        </w:rPr>
        <w:footnoteReference w:id="2"/>
      </w:r>
      <w:r w:rsidRPr="003302FD">
        <w:rPr>
          <w:rFonts w:ascii="Arial Narrow" w:hAnsi="Arial Narrow" w:cs="Arial"/>
          <w:lang w:val="es-ES" w:eastAsia="es-ES"/>
        </w:rPr>
        <w:t xml:space="preserve">.  </w:t>
      </w:r>
    </w:p>
    <w:p w14:paraId="27A034FF" w14:textId="77777777" w:rsidR="007968EC" w:rsidRPr="003302FD" w:rsidRDefault="007968EC" w:rsidP="007968EC">
      <w:pPr>
        <w:ind w:left="-720" w:hanging="900"/>
        <w:rPr>
          <w:rFonts w:ascii="Arial Narrow" w:hAnsi="Arial Narrow" w:cs="Arial"/>
          <w:lang w:val="es-ES" w:eastAsia="es-ES"/>
        </w:rPr>
      </w:pPr>
    </w:p>
    <w:p w14:paraId="481DDA07" w14:textId="77777777" w:rsidR="007968EC" w:rsidRPr="003302FD" w:rsidRDefault="007968EC" w:rsidP="00DA7472">
      <w:pPr>
        <w:numPr>
          <w:ilvl w:val="0"/>
          <w:numId w:val="115"/>
        </w:numPr>
        <w:ind w:left="709" w:hanging="283"/>
        <w:rPr>
          <w:rFonts w:ascii="Arial Narrow" w:hAnsi="Arial Narrow" w:cs="Arial"/>
          <w:lang w:val="es-ES" w:eastAsia="es-ES"/>
        </w:rPr>
      </w:pPr>
      <w:r w:rsidRPr="003302FD">
        <w:rPr>
          <w:rFonts w:ascii="Arial Narrow" w:hAnsi="Arial Narrow" w:cs="Arial"/>
          <w:lang w:val="es-ES" w:eastAsia="es-ES"/>
        </w:rPr>
        <w:t>Las actividades de Back Office están ubicadas en:</w:t>
      </w:r>
    </w:p>
    <w:p w14:paraId="3C420BA5" w14:textId="77777777" w:rsidR="007968EC" w:rsidRPr="003302FD" w:rsidRDefault="007968EC" w:rsidP="007968EC">
      <w:pPr>
        <w:tabs>
          <w:tab w:val="num" w:pos="-360"/>
        </w:tabs>
        <w:ind w:left="-360" w:hanging="360"/>
        <w:rPr>
          <w:rFonts w:ascii="Arial Narrow" w:hAnsi="Arial Narrow" w:cs="Arial"/>
          <w:lang w:val="es-ES" w:eastAsia="es-ES"/>
        </w:rPr>
      </w:pPr>
    </w:p>
    <w:p w14:paraId="4CC58F42" w14:textId="77777777" w:rsidR="007968EC" w:rsidRPr="003302FD" w:rsidRDefault="007968EC" w:rsidP="007968EC">
      <w:pPr>
        <w:tabs>
          <w:tab w:val="num" w:pos="-360"/>
        </w:tabs>
        <w:ind w:left="426"/>
        <w:rPr>
          <w:rFonts w:ascii="Arial Narrow" w:hAnsi="Arial Narrow" w:cs="Arial"/>
          <w:lang w:val="es-ES" w:eastAsia="es-ES"/>
        </w:rPr>
      </w:pPr>
      <w:r w:rsidRPr="003302FD">
        <w:rPr>
          <w:rFonts w:ascii="Arial Narrow" w:hAnsi="Arial Narrow" w:cs="Arial"/>
          <w:noProof/>
          <w:color w:val="000000"/>
          <w:lang w:eastAsia="es-CO"/>
        </w:rPr>
        <mc:AlternateContent>
          <mc:Choice Requires="wps">
            <w:drawing>
              <wp:anchor distT="0" distB="0" distL="114300" distR="114300" simplePos="0" relativeHeight="251663360" behindDoc="0" locked="0" layoutInCell="1" allowOverlap="1" wp14:anchorId="3697D126" wp14:editId="793F7771">
                <wp:simplePos x="0" y="0"/>
                <wp:positionH relativeFrom="column">
                  <wp:posOffset>4114800</wp:posOffset>
                </wp:positionH>
                <wp:positionV relativeFrom="paragraph">
                  <wp:posOffset>8890</wp:posOffset>
                </wp:positionV>
                <wp:extent cx="114300" cy="114300"/>
                <wp:effectExtent l="0" t="0" r="0" b="0"/>
                <wp:wrapNone/>
                <wp:docPr id="9" name="Elips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369553" id="Elipse 9" o:spid="_x0000_s1026" style="position:absolute;margin-left:324pt;margin-top:.7pt;width:9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"/>
            </w:pict>
          </mc:Fallback>
        </mc:AlternateContent>
      </w:r>
      <w:r w:rsidRPr="003302FD">
        <w:rPr>
          <w:rFonts w:ascii="Arial Narrow" w:hAnsi="Arial Narrow" w:cs="Arial"/>
          <w:noProof/>
          <w:lang w:eastAsia="es-CO"/>
        </w:rPr>
        <mc:AlternateContent>
          <mc:Choice Requires="wps">
            <w:drawing>
              <wp:anchor distT="0" distB="0" distL="114300" distR="114300" simplePos="0" relativeHeight="251662336" behindDoc="0" locked="0" layoutInCell="1" allowOverlap="1" wp14:anchorId="12D625B0" wp14:editId="3C707953">
                <wp:simplePos x="0" y="0"/>
                <wp:positionH relativeFrom="column">
                  <wp:posOffset>4114800</wp:posOffset>
                </wp:positionH>
                <wp:positionV relativeFrom="paragraph">
                  <wp:posOffset>8890</wp:posOffset>
                </wp:positionV>
                <wp:extent cx="114300" cy="114300"/>
                <wp:effectExtent l="0" t="0" r="0" b="0"/>
                <wp:wrapNone/>
                <wp:docPr id="17" name="Elips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19ABBC" id="Elipse 17" o:spid="_x0000_s1026" style="position:absolute;margin-left:324pt;margin-top:.7pt;width:9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"/>
            </w:pict>
          </mc:Fallback>
        </mc:AlternateContent>
      </w:r>
      <w:r w:rsidRPr="003302FD">
        <w:rPr>
          <w:rFonts w:ascii="Arial Narrow" w:hAnsi="Arial Narrow" w:cs="Arial"/>
          <w:lang w:val="es-ES" w:eastAsia="es-ES"/>
        </w:rPr>
        <w:t>La Oficina de la Dirección General registrada en el punto 1.</w:t>
      </w:r>
      <w:r w:rsidRPr="003302FD">
        <w:rPr>
          <w:rFonts w:ascii="Arial Narrow" w:hAnsi="Arial Narrow" w:cs="Arial"/>
          <w:lang w:val="es-ES" w:eastAsia="es-ES"/>
        </w:rPr>
        <w:tab/>
      </w:r>
      <w:r w:rsidRPr="003302FD">
        <w:rPr>
          <w:rFonts w:ascii="Arial Narrow" w:hAnsi="Arial Narrow" w:cs="Arial"/>
          <w:lang w:val="es-ES" w:eastAsia="es-ES"/>
        </w:rPr>
        <w:tab/>
      </w:r>
      <w:r w:rsidRPr="003302FD">
        <w:rPr>
          <w:rFonts w:ascii="Arial Narrow" w:hAnsi="Arial Narrow" w:cs="Arial"/>
          <w:lang w:val="es-ES" w:eastAsia="es-ES"/>
        </w:rPr>
        <w:tab/>
      </w:r>
    </w:p>
    <w:p w14:paraId="5215BA68" w14:textId="77777777" w:rsidR="007968EC" w:rsidRPr="003302FD" w:rsidRDefault="007968EC" w:rsidP="007968EC">
      <w:pPr>
        <w:tabs>
          <w:tab w:val="num" w:pos="-360"/>
        </w:tabs>
        <w:ind w:left="360" w:hanging="360"/>
        <w:rPr>
          <w:rFonts w:ascii="Arial Narrow" w:hAnsi="Arial Narrow" w:cs="Arial"/>
          <w:lang w:val="es-ES" w:eastAsia="es-ES"/>
        </w:rPr>
      </w:pPr>
      <w:r w:rsidRPr="003302FD">
        <w:rPr>
          <w:rFonts w:ascii="Arial Narrow" w:hAnsi="Arial Narrow" w:cs="Arial"/>
          <w:noProof/>
          <w:lang w:eastAsia="es-CO"/>
        </w:rPr>
        <mc:AlternateContent>
          <mc:Choice Requires="wps">
            <w:drawing>
              <wp:anchor distT="0" distB="0" distL="114300" distR="114300" simplePos="0" relativeHeight="251661312" behindDoc="0" locked="0" layoutInCell="1" allowOverlap="1" wp14:anchorId="41EB3B52" wp14:editId="784F8E47">
                <wp:simplePos x="0" y="0"/>
                <wp:positionH relativeFrom="column">
                  <wp:posOffset>4114800</wp:posOffset>
                </wp:positionH>
                <wp:positionV relativeFrom="paragraph">
                  <wp:posOffset>113665</wp:posOffset>
                </wp:positionV>
                <wp:extent cx="114300" cy="114300"/>
                <wp:effectExtent l="0" t="0" r="0" b="0"/>
                <wp:wrapNone/>
                <wp:docPr id="7" name="E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7A76F0" id="Elipse 7" o:spid="_x0000_s1026" style="position:absolute;margin-left:324pt;margin-top:8.95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"/>
            </w:pict>
          </mc:Fallback>
        </mc:AlternateContent>
      </w:r>
    </w:p>
    <w:p w14:paraId="269D030C" w14:textId="77777777" w:rsidR="007968EC" w:rsidRPr="003302FD" w:rsidRDefault="007968EC" w:rsidP="007968EC">
      <w:pPr>
        <w:tabs>
          <w:tab w:val="num" w:pos="-360"/>
        </w:tabs>
        <w:ind w:left="360" w:hanging="360"/>
        <w:rPr>
          <w:rFonts w:ascii="Arial Narrow" w:hAnsi="Arial Narrow" w:cs="Arial"/>
          <w:lang w:val="es-ES" w:eastAsia="es-ES"/>
        </w:rPr>
      </w:pPr>
      <w:r w:rsidRPr="003302FD">
        <w:rPr>
          <w:rFonts w:ascii="Arial Narrow" w:hAnsi="Arial Narrow" w:cs="Arial"/>
          <w:lang w:val="es-ES" w:eastAsia="es-ES"/>
        </w:rPr>
        <w:lastRenderedPageBreak/>
        <w:tab/>
        <w:t>Otra ubicación</w:t>
      </w:r>
      <w:r w:rsidRPr="003302FD">
        <w:rPr>
          <w:rFonts w:ascii="Arial Narrow" w:hAnsi="Arial Narrow" w:cs="Arial"/>
          <w:lang w:val="es-ES" w:eastAsia="es-ES"/>
        </w:rPr>
        <w:tab/>
      </w:r>
    </w:p>
    <w:p w14:paraId="708A9FF9" w14:textId="77777777" w:rsidR="007968EC" w:rsidRPr="003302FD" w:rsidRDefault="007968EC" w:rsidP="007968EC">
      <w:pPr>
        <w:tabs>
          <w:tab w:val="num" w:pos="-360"/>
        </w:tabs>
        <w:ind w:left="360" w:hanging="360"/>
        <w:rPr>
          <w:rFonts w:ascii="Arial Narrow" w:hAnsi="Arial Narrow" w:cs="Arial"/>
          <w:lang w:val="es-ES" w:eastAsia="es-ES"/>
        </w:rPr>
      </w:pPr>
      <w:r w:rsidRPr="003302FD">
        <w:rPr>
          <w:rFonts w:ascii="Arial Narrow" w:hAnsi="Arial Narrow" w:cs="Arial"/>
          <w:lang w:val="es-ES" w:eastAsia="es-ES"/>
        </w:rPr>
        <w:tab/>
      </w:r>
      <w:r w:rsidRPr="003302FD">
        <w:rPr>
          <w:rFonts w:ascii="Arial Narrow" w:hAnsi="Arial Narrow" w:cs="Arial"/>
          <w:lang w:val="es-ES" w:eastAsia="es-ES"/>
        </w:rPr>
        <w:tab/>
      </w:r>
      <w:r w:rsidRPr="003302FD">
        <w:rPr>
          <w:rFonts w:ascii="Arial Narrow" w:hAnsi="Arial Narrow" w:cs="Arial"/>
          <w:lang w:val="es-ES" w:eastAsia="es-ES"/>
        </w:rPr>
        <w:tab/>
      </w:r>
      <w:r w:rsidRPr="003302FD">
        <w:rPr>
          <w:rFonts w:ascii="Arial Narrow" w:hAnsi="Arial Narrow" w:cs="Arial"/>
          <w:lang w:val="es-ES" w:eastAsia="es-ES"/>
        </w:rPr>
        <w:tab/>
      </w:r>
      <w:r w:rsidRPr="003302FD">
        <w:rPr>
          <w:rFonts w:ascii="Arial Narrow" w:hAnsi="Arial Narrow" w:cs="Arial"/>
          <w:lang w:val="es-ES" w:eastAsia="es-ES"/>
        </w:rPr>
        <w:tab/>
      </w:r>
      <w:r w:rsidRPr="003302FD">
        <w:rPr>
          <w:rFonts w:ascii="Arial Narrow" w:hAnsi="Arial Narrow" w:cs="Arial"/>
          <w:lang w:val="es-ES" w:eastAsia="es-ES"/>
        </w:rPr>
        <w:tab/>
      </w:r>
    </w:p>
    <w:tbl>
      <w:tblPr>
        <w:tblpPr w:leftFromText="141" w:rightFromText="141" w:vertAnchor="text" w:horzAnchor="margin" w:tblpX="496" w:tblpY="57"/>
        <w:tblW w:w="9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63"/>
        <w:gridCol w:w="2186"/>
        <w:gridCol w:w="976"/>
        <w:gridCol w:w="1642"/>
        <w:gridCol w:w="896"/>
        <w:gridCol w:w="771"/>
      </w:tblGrid>
      <w:tr w:rsidR="007968EC" w:rsidRPr="003302FD" w14:paraId="3B799685" w14:textId="77777777" w:rsidTr="007968EC">
        <w:trPr>
          <w:trHeight w:val="67"/>
        </w:trPr>
        <w:tc>
          <w:tcPr>
            <w:tcW w:w="2563" w:type="dxa"/>
            <w:tcBorders>
              <w:right w:val="single" w:sz="4" w:space="0" w:color="auto"/>
            </w:tcBorders>
            <w:vAlign w:val="center"/>
          </w:tcPr>
          <w:p w14:paraId="112811A4"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 xml:space="preserve">Dirección </w:t>
            </w:r>
          </w:p>
        </w:tc>
        <w:tc>
          <w:tcPr>
            <w:tcW w:w="6471" w:type="dxa"/>
            <w:gridSpan w:val="5"/>
            <w:tcBorders>
              <w:left w:val="single" w:sz="4" w:space="0" w:color="auto"/>
              <w:right w:val="single" w:sz="4" w:space="0" w:color="auto"/>
            </w:tcBorders>
            <w:vAlign w:val="center"/>
          </w:tcPr>
          <w:p w14:paraId="49396F8F" w14:textId="77777777" w:rsidR="007968EC" w:rsidRPr="003302FD" w:rsidRDefault="007968EC" w:rsidP="007968EC">
            <w:pPr>
              <w:rPr>
                <w:rFonts w:ascii="Arial Narrow" w:hAnsi="Arial Narrow" w:cs="Arial"/>
                <w:b/>
                <w:lang w:eastAsia="es-ES"/>
              </w:rPr>
            </w:pPr>
          </w:p>
        </w:tc>
      </w:tr>
      <w:tr w:rsidR="007968EC" w:rsidRPr="003302FD" w14:paraId="4A30B55C" w14:textId="77777777" w:rsidTr="007968EC">
        <w:trPr>
          <w:trHeight w:val="327"/>
        </w:trPr>
        <w:tc>
          <w:tcPr>
            <w:tcW w:w="2563" w:type="dxa"/>
            <w:tcBorders>
              <w:right w:val="single" w:sz="4" w:space="0" w:color="auto"/>
            </w:tcBorders>
            <w:vAlign w:val="center"/>
          </w:tcPr>
          <w:p w14:paraId="4290306D"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Ciudad</w:t>
            </w:r>
          </w:p>
        </w:tc>
        <w:tc>
          <w:tcPr>
            <w:tcW w:w="2186" w:type="dxa"/>
            <w:tcBorders>
              <w:left w:val="single" w:sz="4" w:space="0" w:color="auto"/>
              <w:right w:val="single" w:sz="4" w:space="0" w:color="auto"/>
            </w:tcBorders>
            <w:vAlign w:val="center"/>
          </w:tcPr>
          <w:p w14:paraId="309EA3B5" w14:textId="77777777" w:rsidR="007968EC" w:rsidRPr="003302FD" w:rsidRDefault="007968EC" w:rsidP="007968EC">
            <w:pPr>
              <w:rPr>
                <w:rFonts w:ascii="Arial Narrow" w:hAnsi="Arial Narrow" w:cs="Arial"/>
                <w:b/>
                <w:lang w:eastAsia="es-ES"/>
              </w:rPr>
            </w:pPr>
          </w:p>
        </w:tc>
        <w:tc>
          <w:tcPr>
            <w:tcW w:w="976" w:type="dxa"/>
            <w:tcBorders>
              <w:left w:val="single" w:sz="4" w:space="0" w:color="auto"/>
              <w:right w:val="single" w:sz="4" w:space="0" w:color="auto"/>
            </w:tcBorders>
            <w:shd w:val="clear" w:color="auto" w:fill="auto"/>
            <w:vAlign w:val="center"/>
          </w:tcPr>
          <w:p w14:paraId="50FB35FD"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Teléfono:</w:t>
            </w:r>
          </w:p>
        </w:tc>
        <w:tc>
          <w:tcPr>
            <w:tcW w:w="1642" w:type="dxa"/>
            <w:tcBorders>
              <w:left w:val="single" w:sz="4" w:space="0" w:color="auto"/>
              <w:right w:val="single" w:sz="4" w:space="0" w:color="auto"/>
            </w:tcBorders>
            <w:shd w:val="clear" w:color="auto" w:fill="auto"/>
            <w:vAlign w:val="center"/>
          </w:tcPr>
          <w:p w14:paraId="5052FF94" w14:textId="77777777" w:rsidR="007968EC" w:rsidRPr="003302FD" w:rsidRDefault="007968EC" w:rsidP="007968EC">
            <w:pPr>
              <w:rPr>
                <w:rFonts w:ascii="Arial Narrow" w:hAnsi="Arial Narrow" w:cs="Arial"/>
                <w:b/>
                <w:lang w:eastAsia="es-ES"/>
              </w:rPr>
            </w:pPr>
          </w:p>
        </w:tc>
        <w:tc>
          <w:tcPr>
            <w:tcW w:w="896" w:type="dxa"/>
            <w:tcBorders>
              <w:left w:val="single" w:sz="4" w:space="0" w:color="auto"/>
              <w:right w:val="single" w:sz="4" w:space="0" w:color="auto"/>
            </w:tcBorders>
            <w:shd w:val="clear" w:color="auto" w:fill="auto"/>
            <w:vAlign w:val="center"/>
          </w:tcPr>
          <w:p w14:paraId="1B23B459"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Extensión</w:t>
            </w:r>
          </w:p>
        </w:tc>
        <w:tc>
          <w:tcPr>
            <w:tcW w:w="769" w:type="dxa"/>
            <w:tcBorders>
              <w:left w:val="single" w:sz="4" w:space="0" w:color="auto"/>
              <w:right w:val="single" w:sz="4" w:space="0" w:color="auto"/>
            </w:tcBorders>
            <w:shd w:val="clear" w:color="auto" w:fill="auto"/>
            <w:vAlign w:val="center"/>
          </w:tcPr>
          <w:p w14:paraId="43CA7D2B" w14:textId="77777777" w:rsidR="007968EC" w:rsidRPr="003302FD" w:rsidRDefault="007968EC" w:rsidP="007968EC">
            <w:pPr>
              <w:rPr>
                <w:rFonts w:ascii="Arial Narrow" w:hAnsi="Arial Narrow" w:cs="Arial"/>
                <w:b/>
                <w:lang w:eastAsia="es-ES"/>
              </w:rPr>
            </w:pPr>
          </w:p>
        </w:tc>
      </w:tr>
      <w:tr w:rsidR="007968EC" w:rsidRPr="003302FD" w14:paraId="53F8D120" w14:textId="77777777" w:rsidTr="007968EC">
        <w:trPr>
          <w:trHeight w:val="67"/>
        </w:trPr>
        <w:tc>
          <w:tcPr>
            <w:tcW w:w="2563" w:type="dxa"/>
            <w:tcBorders>
              <w:right w:val="single" w:sz="4" w:space="0" w:color="auto"/>
            </w:tcBorders>
            <w:vAlign w:val="center"/>
          </w:tcPr>
          <w:p w14:paraId="49AA62FD"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Nombre del Responsable.</w:t>
            </w:r>
          </w:p>
        </w:tc>
        <w:tc>
          <w:tcPr>
            <w:tcW w:w="2186" w:type="dxa"/>
            <w:tcBorders>
              <w:left w:val="single" w:sz="4" w:space="0" w:color="auto"/>
              <w:right w:val="single" w:sz="4" w:space="0" w:color="auto"/>
            </w:tcBorders>
            <w:vAlign w:val="center"/>
          </w:tcPr>
          <w:p w14:paraId="28A45236" w14:textId="77777777" w:rsidR="007968EC" w:rsidRPr="003302FD" w:rsidRDefault="007968EC" w:rsidP="007968EC">
            <w:pPr>
              <w:rPr>
                <w:rFonts w:ascii="Arial Narrow" w:hAnsi="Arial Narrow" w:cs="Arial"/>
                <w:b/>
                <w:lang w:eastAsia="es-ES"/>
              </w:rPr>
            </w:pPr>
          </w:p>
        </w:tc>
        <w:tc>
          <w:tcPr>
            <w:tcW w:w="976" w:type="dxa"/>
            <w:tcBorders>
              <w:left w:val="single" w:sz="4" w:space="0" w:color="auto"/>
              <w:right w:val="single" w:sz="4" w:space="0" w:color="auto"/>
            </w:tcBorders>
            <w:vAlign w:val="center"/>
          </w:tcPr>
          <w:p w14:paraId="42F2B457"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Cargo</w:t>
            </w:r>
          </w:p>
        </w:tc>
        <w:tc>
          <w:tcPr>
            <w:tcW w:w="3308" w:type="dxa"/>
            <w:gridSpan w:val="3"/>
            <w:tcBorders>
              <w:left w:val="single" w:sz="4" w:space="0" w:color="auto"/>
              <w:right w:val="single" w:sz="4" w:space="0" w:color="auto"/>
            </w:tcBorders>
            <w:vAlign w:val="center"/>
          </w:tcPr>
          <w:p w14:paraId="73FD3575" w14:textId="77777777" w:rsidR="007968EC" w:rsidRPr="003302FD" w:rsidRDefault="007968EC" w:rsidP="007968EC">
            <w:pPr>
              <w:rPr>
                <w:rFonts w:ascii="Arial Narrow" w:hAnsi="Arial Narrow" w:cs="Arial"/>
                <w:b/>
                <w:lang w:eastAsia="es-ES"/>
              </w:rPr>
            </w:pPr>
          </w:p>
        </w:tc>
      </w:tr>
      <w:tr w:rsidR="007968EC" w:rsidRPr="003302FD" w14:paraId="36DD6BFE" w14:textId="77777777" w:rsidTr="007968EC">
        <w:trPr>
          <w:trHeight w:val="67"/>
        </w:trPr>
        <w:tc>
          <w:tcPr>
            <w:tcW w:w="2563" w:type="dxa"/>
            <w:tcBorders>
              <w:right w:val="single" w:sz="4" w:space="0" w:color="auto"/>
            </w:tcBorders>
            <w:vAlign w:val="center"/>
          </w:tcPr>
          <w:p w14:paraId="0B7B89C7"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Email del Responsable.</w:t>
            </w:r>
          </w:p>
        </w:tc>
        <w:tc>
          <w:tcPr>
            <w:tcW w:w="6471" w:type="dxa"/>
            <w:gridSpan w:val="5"/>
            <w:tcBorders>
              <w:left w:val="single" w:sz="4" w:space="0" w:color="auto"/>
              <w:right w:val="single" w:sz="4" w:space="0" w:color="auto"/>
            </w:tcBorders>
            <w:vAlign w:val="center"/>
          </w:tcPr>
          <w:p w14:paraId="1D613FE8" w14:textId="77777777" w:rsidR="007968EC" w:rsidRPr="003302FD" w:rsidRDefault="007968EC" w:rsidP="007968EC">
            <w:pPr>
              <w:rPr>
                <w:rFonts w:ascii="Arial Narrow" w:hAnsi="Arial Narrow" w:cs="Arial"/>
                <w:b/>
                <w:lang w:eastAsia="es-ES"/>
              </w:rPr>
            </w:pPr>
          </w:p>
        </w:tc>
      </w:tr>
    </w:tbl>
    <w:p w14:paraId="6784B867" w14:textId="77777777" w:rsidR="007968EC" w:rsidRPr="003302FD" w:rsidRDefault="007968EC" w:rsidP="007968EC">
      <w:pPr>
        <w:ind w:left="405"/>
        <w:rPr>
          <w:rFonts w:ascii="Arial Narrow" w:hAnsi="Arial Narrow" w:cs="Arial"/>
          <w:lang w:val="es-ES" w:eastAsia="es-ES"/>
        </w:rPr>
      </w:pPr>
    </w:p>
    <w:p w14:paraId="69A32C0B" w14:textId="77777777" w:rsidR="007968EC" w:rsidRPr="003302FD" w:rsidRDefault="007968EC" w:rsidP="007968EC">
      <w:pPr>
        <w:rPr>
          <w:rFonts w:ascii="Arial Narrow" w:hAnsi="Arial Narrow" w:cs="Arial"/>
          <w:lang w:val="es-ES" w:eastAsia="es-ES"/>
        </w:rPr>
      </w:pPr>
    </w:p>
    <w:p w14:paraId="33DDA007" w14:textId="77777777" w:rsidR="007968EC" w:rsidRPr="003302FD" w:rsidRDefault="007968EC" w:rsidP="00DA7472">
      <w:pPr>
        <w:numPr>
          <w:ilvl w:val="0"/>
          <w:numId w:val="115"/>
        </w:numPr>
        <w:ind w:left="709" w:hanging="283"/>
        <w:rPr>
          <w:rFonts w:ascii="Arial Narrow" w:hAnsi="Arial Narrow" w:cs="Arial"/>
          <w:lang w:val="es-ES" w:eastAsia="es-ES"/>
        </w:rPr>
      </w:pPr>
      <w:proofErr w:type="gramStart"/>
      <w:r w:rsidRPr="003302FD">
        <w:rPr>
          <w:rFonts w:ascii="Arial Narrow" w:hAnsi="Arial Narrow" w:cs="Arial"/>
          <w:lang w:val="es-ES" w:eastAsia="es-ES"/>
        </w:rPr>
        <w:t>En caso que</w:t>
      </w:r>
      <w:proofErr w:type="gramEnd"/>
      <w:r w:rsidRPr="003302FD">
        <w:rPr>
          <w:rFonts w:ascii="Arial Narrow" w:hAnsi="Arial Narrow" w:cs="Arial"/>
          <w:lang w:val="es-ES" w:eastAsia="es-ES"/>
        </w:rPr>
        <w:t xml:space="preserve"> las actividades de Back Office estén subcontratadas.</w:t>
      </w:r>
    </w:p>
    <w:p w14:paraId="5850F3F3" w14:textId="77777777" w:rsidR="007968EC" w:rsidRPr="003302FD" w:rsidRDefault="007968EC" w:rsidP="007968EC">
      <w:pPr>
        <w:ind w:left="-720"/>
        <w:rPr>
          <w:rFonts w:ascii="Arial Narrow" w:hAnsi="Arial Narrow" w:cs="Arial"/>
          <w:lang w:val="es-ES" w:eastAsia="es-ES"/>
        </w:rPr>
      </w:pPr>
    </w:p>
    <w:tbl>
      <w:tblPr>
        <w:tblW w:w="9103"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64"/>
        <w:gridCol w:w="2187"/>
        <w:gridCol w:w="976"/>
        <w:gridCol w:w="1569"/>
        <w:gridCol w:w="1105"/>
        <w:gridCol w:w="702"/>
      </w:tblGrid>
      <w:tr w:rsidR="007968EC" w:rsidRPr="003302FD" w14:paraId="0C2FD9A3" w14:textId="77777777" w:rsidTr="007968EC">
        <w:trPr>
          <w:trHeight w:val="100"/>
        </w:trPr>
        <w:tc>
          <w:tcPr>
            <w:tcW w:w="2564" w:type="dxa"/>
            <w:tcBorders>
              <w:right w:val="single" w:sz="4" w:space="0" w:color="auto"/>
            </w:tcBorders>
            <w:vAlign w:val="center"/>
          </w:tcPr>
          <w:p w14:paraId="34AB8F17"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 xml:space="preserve">Nombre de la Entidad </w:t>
            </w:r>
          </w:p>
        </w:tc>
        <w:tc>
          <w:tcPr>
            <w:tcW w:w="6539" w:type="dxa"/>
            <w:gridSpan w:val="5"/>
            <w:tcBorders>
              <w:left w:val="single" w:sz="4" w:space="0" w:color="auto"/>
              <w:right w:val="single" w:sz="4" w:space="0" w:color="auto"/>
            </w:tcBorders>
            <w:vAlign w:val="center"/>
          </w:tcPr>
          <w:p w14:paraId="349D28B8" w14:textId="77777777" w:rsidR="007968EC" w:rsidRPr="003302FD" w:rsidRDefault="007968EC" w:rsidP="007968EC">
            <w:pPr>
              <w:rPr>
                <w:rFonts w:ascii="Arial Narrow" w:hAnsi="Arial Narrow" w:cs="Arial"/>
                <w:b/>
                <w:lang w:eastAsia="es-ES"/>
              </w:rPr>
            </w:pPr>
          </w:p>
        </w:tc>
      </w:tr>
      <w:tr w:rsidR="007968EC" w:rsidRPr="003302FD" w14:paraId="43E5A1D2" w14:textId="77777777" w:rsidTr="007968EC">
        <w:trPr>
          <w:trHeight w:val="72"/>
        </w:trPr>
        <w:tc>
          <w:tcPr>
            <w:tcW w:w="2564" w:type="dxa"/>
            <w:tcBorders>
              <w:right w:val="single" w:sz="4" w:space="0" w:color="auto"/>
            </w:tcBorders>
            <w:vAlign w:val="center"/>
          </w:tcPr>
          <w:p w14:paraId="22BCFDEF"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Dirección</w:t>
            </w:r>
          </w:p>
        </w:tc>
        <w:tc>
          <w:tcPr>
            <w:tcW w:w="6539" w:type="dxa"/>
            <w:gridSpan w:val="5"/>
            <w:tcBorders>
              <w:left w:val="single" w:sz="4" w:space="0" w:color="auto"/>
              <w:right w:val="single" w:sz="4" w:space="0" w:color="auto"/>
            </w:tcBorders>
            <w:vAlign w:val="center"/>
          </w:tcPr>
          <w:p w14:paraId="47668ABF" w14:textId="77777777" w:rsidR="007968EC" w:rsidRPr="003302FD" w:rsidRDefault="007968EC" w:rsidP="007968EC">
            <w:pPr>
              <w:rPr>
                <w:rFonts w:ascii="Arial Narrow" w:hAnsi="Arial Narrow" w:cs="Arial"/>
                <w:b/>
                <w:lang w:eastAsia="es-ES"/>
              </w:rPr>
            </w:pPr>
          </w:p>
        </w:tc>
      </w:tr>
      <w:tr w:rsidR="007968EC" w:rsidRPr="003302FD" w14:paraId="39813CD5" w14:textId="77777777" w:rsidTr="007968EC">
        <w:trPr>
          <w:trHeight w:val="72"/>
        </w:trPr>
        <w:tc>
          <w:tcPr>
            <w:tcW w:w="2564" w:type="dxa"/>
            <w:tcBorders>
              <w:right w:val="single" w:sz="4" w:space="0" w:color="auto"/>
            </w:tcBorders>
            <w:vAlign w:val="center"/>
          </w:tcPr>
          <w:p w14:paraId="5B7DC65C"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Ciudad</w:t>
            </w:r>
          </w:p>
        </w:tc>
        <w:tc>
          <w:tcPr>
            <w:tcW w:w="2187" w:type="dxa"/>
            <w:tcBorders>
              <w:left w:val="single" w:sz="4" w:space="0" w:color="auto"/>
              <w:right w:val="single" w:sz="4" w:space="0" w:color="auto"/>
            </w:tcBorders>
            <w:vAlign w:val="center"/>
          </w:tcPr>
          <w:p w14:paraId="032FA5CC" w14:textId="77777777" w:rsidR="007968EC" w:rsidRPr="003302FD" w:rsidRDefault="007968EC" w:rsidP="007968EC">
            <w:pPr>
              <w:rPr>
                <w:rFonts w:ascii="Arial Narrow" w:hAnsi="Arial Narrow" w:cs="Arial"/>
                <w:b/>
                <w:lang w:eastAsia="es-ES"/>
              </w:rPr>
            </w:pPr>
          </w:p>
        </w:tc>
        <w:tc>
          <w:tcPr>
            <w:tcW w:w="976" w:type="dxa"/>
            <w:tcBorders>
              <w:left w:val="single" w:sz="4" w:space="0" w:color="auto"/>
              <w:right w:val="single" w:sz="4" w:space="0" w:color="auto"/>
            </w:tcBorders>
            <w:shd w:val="clear" w:color="auto" w:fill="auto"/>
            <w:vAlign w:val="center"/>
          </w:tcPr>
          <w:p w14:paraId="55F82593"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Teléfono:</w:t>
            </w:r>
          </w:p>
        </w:tc>
        <w:tc>
          <w:tcPr>
            <w:tcW w:w="1569" w:type="dxa"/>
            <w:tcBorders>
              <w:left w:val="single" w:sz="4" w:space="0" w:color="auto"/>
              <w:right w:val="single" w:sz="4" w:space="0" w:color="auto"/>
            </w:tcBorders>
            <w:shd w:val="clear" w:color="auto" w:fill="auto"/>
            <w:vAlign w:val="center"/>
          </w:tcPr>
          <w:p w14:paraId="2BC66786" w14:textId="77777777" w:rsidR="007968EC" w:rsidRPr="003302FD" w:rsidRDefault="007968EC" w:rsidP="007968EC">
            <w:pPr>
              <w:rPr>
                <w:rFonts w:ascii="Arial Narrow" w:hAnsi="Arial Narrow" w:cs="Arial"/>
                <w:b/>
                <w:lang w:eastAsia="es-ES"/>
              </w:rPr>
            </w:pPr>
          </w:p>
        </w:tc>
        <w:tc>
          <w:tcPr>
            <w:tcW w:w="1105" w:type="dxa"/>
            <w:tcBorders>
              <w:left w:val="single" w:sz="4" w:space="0" w:color="auto"/>
              <w:right w:val="single" w:sz="4" w:space="0" w:color="auto"/>
            </w:tcBorders>
            <w:shd w:val="clear" w:color="auto" w:fill="auto"/>
            <w:vAlign w:val="center"/>
          </w:tcPr>
          <w:p w14:paraId="757E5877"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Extensión</w:t>
            </w:r>
          </w:p>
        </w:tc>
        <w:tc>
          <w:tcPr>
            <w:tcW w:w="702" w:type="dxa"/>
            <w:tcBorders>
              <w:left w:val="single" w:sz="4" w:space="0" w:color="auto"/>
              <w:right w:val="single" w:sz="4" w:space="0" w:color="auto"/>
            </w:tcBorders>
            <w:shd w:val="clear" w:color="auto" w:fill="auto"/>
            <w:vAlign w:val="center"/>
          </w:tcPr>
          <w:p w14:paraId="0B14D6CD" w14:textId="77777777" w:rsidR="007968EC" w:rsidRPr="003302FD" w:rsidRDefault="007968EC" w:rsidP="007968EC">
            <w:pPr>
              <w:rPr>
                <w:rFonts w:ascii="Arial Narrow" w:hAnsi="Arial Narrow" w:cs="Arial"/>
                <w:b/>
                <w:lang w:eastAsia="es-ES"/>
              </w:rPr>
            </w:pPr>
          </w:p>
        </w:tc>
      </w:tr>
      <w:tr w:rsidR="007968EC" w:rsidRPr="003302FD" w14:paraId="6F921B64" w14:textId="77777777" w:rsidTr="007968EC">
        <w:trPr>
          <w:trHeight w:val="72"/>
        </w:trPr>
        <w:tc>
          <w:tcPr>
            <w:tcW w:w="2564" w:type="dxa"/>
            <w:tcBorders>
              <w:right w:val="single" w:sz="4" w:space="0" w:color="auto"/>
            </w:tcBorders>
            <w:vAlign w:val="center"/>
          </w:tcPr>
          <w:p w14:paraId="2E07805C"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 xml:space="preserve">Nombre del Administrador </w:t>
            </w:r>
          </w:p>
        </w:tc>
        <w:tc>
          <w:tcPr>
            <w:tcW w:w="2187" w:type="dxa"/>
            <w:tcBorders>
              <w:left w:val="single" w:sz="4" w:space="0" w:color="auto"/>
              <w:right w:val="single" w:sz="4" w:space="0" w:color="auto"/>
            </w:tcBorders>
            <w:vAlign w:val="center"/>
          </w:tcPr>
          <w:p w14:paraId="70D4201C" w14:textId="77777777" w:rsidR="007968EC" w:rsidRPr="003302FD" w:rsidRDefault="007968EC" w:rsidP="007968EC">
            <w:pPr>
              <w:rPr>
                <w:rFonts w:ascii="Arial Narrow" w:hAnsi="Arial Narrow" w:cs="Arial"/>
                <w:b/>
                <w:lang w:eastAsia="es-ES"/>
              </w:rPr>
            </w:pPr>
          </w:p>
        </w:tc>
        <w:tc>
          <w:tcPr>
            <w:tcW w:w="976" w:type="dxa"/>
            <w:tcBorders>
              <w:left w:val="single" w:sz="4" w:space="0" w:color="auto"/>
              <w:right w:val="single" w:sz="4" w:space="0" w:color="auto"/>
            </w:tcBorders>
            <w:vAlign w:val="center"/>
          </w:tcPr>
          <w:p w14:paraId="14E0D872"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Cargo</w:t>
            </w:r>
          </w:p>
        </w:tc>
        <w:tc>
          <w:tcPr>
            <w:tcW w:w="3376" w:type="dxa"/>
            <w:gridSpan w:val="3"/>
            <w:tcBorders>
              <w:left w:val="single" w:sz="4" w:space="0" w:color="auto"/>
              <w:right w:val="single" w:sz="4" w:space="0" w:color="auto"/>
            </w:tcBorders>
            <w:vAlign w:val="center"/>
          </w:tcPr>
          <w:p w14:paraId="10DC5413" w14:textId="77777777" w:rsidR="007968EC" w:rsidRPr="003302FD" w:rsidRDefault="007968EC" w:rsidP="007968EC">
            <w:pPr>
              <w:rPr>
                <w:rFonts w:ascii="Arial Narrow" w:hAnsi="Arial Narrow" w:cs="Arial"/>
                <w:b/>
                <w:lang w:eastAsia="es-ES"/>
              </w:rPr>
            </w:pPr>
          </w:p>
        </w:tc>
      </w:tr>
      <w:tr w:rsidR="007968EC" w:rsidRPr="003302FD" w14:paraId="2FE002F8" w14:textId="77777777" w:rsidTr="007968EC">
        <w:trPr>
          <w:trHeight w:val="72"/>
        </w:trPr>
        <w:tc>
          <w:tcPr>
            <w:tcW w:w="2564" w:type="dxa"/>
            <w:tcBorders>
              <w:right w:val="single" w:sz="4" w:space="0" w:color="auto"/>
            </w:tcBorders>
            <w:vAlign w:val="center"/>
          </w:tcPr>
          <w:p w14:paraId="5331B7E6"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Email del Administrador</w:t>
            </w:r>
          </w:p>
        </w:tc>
        <w:tc>
          <w:tcPr>
            <w:tcW w:w="2187" w:type="dxa"/>
            <w:tcBorders>
              <w:left w:val="single" w:sz="4" w:space="0" w:color="auto"/>
              <w:right w:val="single" w:sz="4" w:space="0" w:color="auto"/>
            </w:tcBorders>
            <w:vAlign w:val="center"/>
          </w:tcPr>
          <w:p w14:paraId="3568D40A" w14:textId="77777777" w:rsidR="007968EC" w:rsidRPr="003302FD" w:rsidRDefault="007968EC" w:rsidP="007968EC">
            <w:pPr>
              <w:rPr>
                <w:rFonts w:ascii="Arial Narrow" w:hAnsi="Arial Narrow" w:cs="Arial"/>
                <w:b/>
                <w:lang w:eastAsia="es-ES"/>
              </w:rPr>
            </w:pPr>
          </w:p>
        </w:tc>
        <w:tc>
          <w:tcPr>
            <w:tcW w:w="976" w:type="dxa"/>
            <w:tcBorders>
              <w:left w:val="single" w:sz="4" w:space="0" w:color="auto"/>
              <w:right w:val="single" w:sz="4" w:space="0" w:color="auto"/>
            </w:tcBorders>
            <w:shd w:val="clear" w:color="auto" w:fill="auto"/>
            <w:vAlign w:val="center"/>
          </w:tcPr>
          <w:p w14:paraId="119B432D"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Teléfono:</w:t>
            </w:r>
          </w:p>
        </w:tc>
        <w:tc>
          <w:tcPr>
            <w:tcW w:w="1569" w:type="dxa"/>
            <w:tcBorders>
              <w:left w:val="single" w:sz="4" w:space="0" w:color="auto"/>
              <w:right w:val="single" w:sz="4" w:space="0" w:color="auto"/>
            </w:tcBorders>
            <w:shd w:val="clear" w:color="auto" w:fill="auto"/>
            <w:vAlign w:val="center"/>
          </w:tcPr>
          <w:p w14:paraId="0C6CCA07" w14:textId="77777777" w:rsidR="007968EC" w:rsidRPr="003302FD" w:rsidRDefault="007968EC" w:rsidP="007968EC">
            <w:pPr>
              <w:rPr>
                <w:rFonts w:ascii="Arial Narrow" w:hAnsi="Arial Narrow" w:cs="Arial"/>
                <w:b/>
                <w:lang w:eastAsia="es-ES"/>
              </w:rPr>
            </w:pPr>
          </w:p>
        </w:tc>
        <w:tc>
          <w:tcPr>
            <w:tcW w:w="1105" w:type="dxa"/>
            <w:tcBorders>
              <w:left w:val="single" w:sz="4" w:space="0" w:color="auto"/>
              <w:right w:val="single" w:sz="4" w:space="0" w:color="auto"/>
            </w:tcBorders>
            <w:shd w:val="clear" w:color="auto" w:fill="auto"/>
            <w:vAlign w:val="center"/>
          </w:tcPr>
          <w:p w14:paraId="448F1641" w14:textId="77777777" w:rsidR="007968EC" w:rsidRPr="003302FD" w:rsidRDefault="007968EC" w:rsidP="007968EC">
            <w:pPr>
              <w:rPr>
                <w:rFonts w:ascii="Arial Narrow" w:hAnsi="Arial Narrow" w:cs="Arial"/>
                <w:lang w:eastAsia="es-ES"/>
              </w:rPr>
            </w:pPr>
            <w:r w:rsidRPr="003302FD">
              <w:rPr>
                <w:rFonts w:ascii="Arial Narrow" w:hAnsi="Arial Narrow" w:cs="Arial"/>
                <w:lang w:eastAsia="es-ES"/>
              </w:rPr>
              <w:t>Extensión</w:t>
            </w:r>
          </w:p>
        </w:tc>
        <w:tc>
          <w:tcPr>
            <w:tcW w:w="702" w:type="dxa"/>
            <w:tcBorders>
              <w:left w:val="single" w:sz="4" w:space="0" w:color="auto"/>
              <w:right w:val="single" w:sz="4" w:space="0" w:color="auto"/>
            </w:tcBorders>
            <w:shd w:val="clear" w:color="auto" w:fill="auto"/>
            <w:vAlign w:val="center"/>
          </w:tcPr>
          <w:p w14:paraId="40559FCB" w14:textId="77777777" w:rsidR="007968EC" w:rsidRPr="003302FD" w:rsidRDefault="007968EC" w:rsidP="007968EC">
            <w:pPr>
              <w:rPr>
                <w:rFonts w:ascii="Arial Narrow" w:hAnsi="Arial Narrow" w:cs="Arial"/>
                <w:b/>
                <w:lang w:eastAsia="es-ES"/>
              </w:rPr>
            </w:pPr>
          </w:p>
        </w:tc>
      </w:tr>
    </w:tbl>
    <w:p w14:paraId="3FDE9DDD" w14:textId="77777777" w:rsidR="007968EC" w:rsidRPr="003302FD" w:rsidRDefault="007968EC" w:rsidP="007968EC">
      <w:pPr>
        <w:tabs>
          <w:tab w:val="num" w:pos="720"/>
        </w:tabs>
        <w:ind w:left="-720"/>
        <w:rPr>
          <w:rFonts w:ascii="Arial Narrow" w:hAnsi="Arial Narrow" w:cs="Arial"/>
          <w:lang w:val="es-ES" w:eastAsia="es-ES"/>
        </w:rPr>
      </w:pPr>
    </w:p>
    <w:p w14:paraId="5A5B02D9" w14:textId="77777777" w:rsidR="007968EC" w:rsidRPr="003302FD" w:rsidRDefault="007968EC" w:rsidP="007968EC">
      <w:pPr>
        <w:ind w:left="-720"/>
        <w:rPr>
          <w:rFonts w:ascii="Arial Narrow" w:hAnsi="Arial Narrow" w:cs="Arial"/>
          <w:lang w:val="es-ES" w:eastAsia="es-ES"/>
        </w:rPr>
      </w:pPr>
    </w:p>
    <w:p w14:paraId="70891752" w14:textId="77777777" w:rsidR="007968EC" w:rsidRPr="003302FD" w:rsidRDefault="007968EC" w:rsidP="007968EC">
      <w:pPr>
        <w:tabs>
          <w:tab w:val="num" w:pos="720"/>
        </w:tabs>
        <w:ind w:left="-720"/>
        <w:rPr>
          <w:rFonts w:ascii="Arial Narrow" w:hAnsi="Arial Narrow" w:cs="Arial"/>
          <w:lang w:val="es-ES" w:eastAsia="es-ES"/>
        </w:rPr>
      </w:pPr>
    </w:p>
    <w:p w14:paraId="5650927C" w14:textId="77777777" w:rsidR="007968EC" w:rsidRPr="003302FD" w:rsidRDefault="007968EC" w:rsidP="007968EC">
      <w:pPr>
        <w:tabs>
          <w:tab w:val="num" w:pos="720"/>
        </w:tabs>
        <w:rPr>
          <w:rFonts w:ascii="Arial Narrow" w:hAnsi="Arial Narrow" w:cs="Arial"/>
          <w:lang w:val="es-ES" w:eastAsia="es-ES"/>
        </w:rPr>
      </w:pPr>
    </w:p>
    <w:p w14:paraId="6C1075E3" w14:textId="77777777" w:rsidR="007968EC" w:rsidRPr="003302FD" w:rsidRDefault="007968EC" w:rsidP="007968EC">
      <w:pPr>
        <w:tabs>
          <w:tab w:val="num" w:pos="720"/>
        </w:tabs>
        <w:ind w:left="-720"/>
        <w:rPr>
          <w:rFonts w:ascii="Arial Narrow" w:hAnsi="Arial Narrow" w:cs="Arial"/>
          <w:color w:val="000000" w:themeColor="text1"/>
          <w:lang w:val="es-ES" w:eastAsia="es-ES"/>
        </w:rPr>
      </w:pPr>
    </w:p>
    <w:p w14:paraId="4E87734F" w14:textId="77777777" w:rsidR="007968EC" w:rsidRPr="003302FD" w:rsidRDefault="007968EC" w:rsidP="007968EC">
      <w:pPr>
        <w:tabs>
          <w:tab w:val="num" w:pos="720"/>
        </w:tabs>
        <w:ind w:left="709" w:hanging="283"/>
        <w:rPr>
          <w:rFonts w:ascii="Arial Narrow" w:hAnsi="Arial Narrow" w:cs="Arial"/>
          <w:color w:val="000000" w:themeColor="text1"/>
          <w:lang w:val="es-ES" w:eastAsia="es-ES"/>
        </w:rPr>
      </w:pPr>
      <w:r w:rsidRPr="003302FD">
        <w:rPr>
          <w:rFonts w:ascii="Arial Narrow" w:hAnsi="Arial Narrow" w:cs="Arial"/>
          <w:color w:val="000000" w:themeColor="text1"/>
          <w:lang w:val="es-ES" w:eastAsia="es-ES"/>
        </w:rPr>
        <w:t>_____________________</w:t>
      </w:r>
    </w:p>
    <w:p w14:paraId="3D5F82A1" w14:textId="77777777" w:rsidR="007968EC" w:rsidRPr="003302FD" w:rsidRDefault="007968EC" w:rsidP="007968EC">
      <w:pPr>
        <w:tabs>
          <w:tab w:val="num" w:pos="720"/>
        </w:tabs>
        <w:ind w:left="709" w:hanging="283"/>
        <w:rPr>
          <w:rFonts w:ascii="Arial Narrow" w:hAnsi="Arial Narrow" w:cs="Arial"/>
          <w:color w:val="000000" w:themeColor="text1"/>
          <w:lang w:val="es-ES" w:eastAsia="es-ES"/>
        </w:rPr>
      </w:pPr>
      <w:r w:rsidRPr="003302FD">
        <w:rPr>
          <w:rFonts w:ascii="Arial Narrow" w:hAnsi="Arial Narrow" w:cs="Arial"/>
          <w:color w:val="000000" w:themeColor="text1"/>
          <w:lang w:val="es-ES" w:eastAsia="es-ES"/>
        </w:rPr>
        <w:t>Representante Legal</w:t>
      </w:r>
    </w:p>
    <w:p w14:paraId="142327AB" w14:textId="77777777" w:rsidR="007968EC" w:rsidRPr="002C0D19" w:rsidRDefault="007968EC" w:rsidP="007968EC">
      <w:pPr>
        <w:ind w:firstLine="426"/>
        <w:jc w:val="both"/>
        <w:rPr>
          <w:rFonts w:ascii="Arial Narrow" w:hAnsi="Arial Narrow" w:cs="Arial"/>
          <w:b/>
          <w:bCs/>
          <w:i/>
          <w:color w:val="000000" w:themeColor="text1"/>
          <w:lang w:val="es-ES" w:eastAsia="es-ES"/>
        </w:rPr>
        <w:sectPr w:rsidR="007968EC" w:rsidRPr="002C0D19" w:rsidSect="007968EC">
          <w:headerReference w:type="default" r:id="rId30"/>
          <w:footerReference w:type="even" r:id="rId31"/>
          <w:footerReference w:type="default" r:id="rId32"/>
          <w:headerReference w:type="first" r:id="rId33"/>
          <w:pgSz w:w="12242" w:h="15842" w:code="1"/>
          <w:pgMar w:top="1985" w:right="1418" w:bottom="1985" w:left="1418" w:header="851" w:footer="1021" w:gutter="0"/>
          <w:cols w:space="708"/>
          <w:titlePg/>
          <w:docGrid w:linePitch="360"/>
        </w:sectPr>
      </w:pPr>
      <w:r w:rsidRPr="003302FD">
        <w:rPr>
          <w:rFonts w:ascii="Arial Narrow" w:hAnsi="Arial Narrow" w:cs="Arial"/>
          <w:color w:val="000000" w:themeColor="text1"/>
          <w:lang w:val="es-ES" w:eastAsia="es-ES"/>
        </w:rPr>
        <w:t>C.C.</w:t>
      </w:r>
    </w:p>
    <w:p w14:paraId="23B5820C" w14:textId="77777777" w:rsidR="007968EC" w:rsidRPr="002C0D19" w:rsidRDefault="007968EC" w:rsidP="007968EC">
      <w:pPr>
        <w:jc w:val="both"/>
        <w:rPr>
          <w:rFonts w:ascii="Arial Narrow" w:hAnsi="Arial Narrow" w:cs="Arial"/>
          <w:b/>
          <w:bCs/>
          <w:i/>
          <w:color w:val="000000" w:themeColor="text1"/>
          <w:lang w:val="es-ES" w:eastAsia="es-ES"/>
        </w:rPr>
      </w:pPr>
    </w:p>
    <w:p w14:paraId="054ABF4F" w14:textId="77777777" w:rsidR="007968EC" w:rsidRPr="002C0D19" w:rsidRDefault="007968EC" w:rsidP="007968EC">
      <w:pPr>
        <w:autoSpaceDE w:val="0"/>
        <w:autoSpaceDN w:val="0"/>
        <w:jc w:val="center"/>
        <w:rPr>
          <w:rFonts w:ascii="Arial Narrow" w:hAnsi="Arial Narrow" w:cs="Arial"/>
          <w:bCs/>
          <w:i/>
          <w:color w:val="000000" w:themeColor="text1"/>
          <w:lang w:val="es-ES" w:eastAsia="es-ES"/>
        </w:rPr>
      </w:pPr>
      <w:r w:rsidRPr="002C0D19">
        <w:rPr>
          <w:rFonts w:ascii="Arial Narrow" w:hAnsi="Arial Narrow" w:cs="Arial"/>
          <w:b/>
          <w:bCs/>
          <w:i/>
          <w:color w:val="000000" w:themeColor="text1"/>
          <w:lang w:val="es-ES" w:eastAsia="es-ES"/>
        </w:rPr>
        <w:t>Anexo 1.2. Carta de solicitud de modificación de la condición de Miembro no Liquidador a Miembro Liquidador.</w:t>
      </w:r>
    </w:p>
    <w:p w14:paraId="1F99EEFA"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6F71A5EA"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Doctor</w:t>
      </w:r>
    </w:p>
    <w:p w14:paraId="75F6EB94"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______________</w:t>
      </w:r>
    </w:p>
    <w:p w14:paraId="1CB88A6C"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Gerente</w:t>
      </w:r>
    </w:p>
    <w:p w14:paraId="6EA31C3C"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Cámara de Riesgo Central de</w:t>
      </w:r>
    </w:p>
    <w:p w14:paraId="027F232F"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xml:space="preserve">Contraparte de Colombia S.A. </w:t>
      </w:r>
    </w:p>
    <w:p w14:paraId="62757F70"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Ciudad</w:t>
      </w:r>
    </w:p>
    <w:p w14:paraId="50A6E2D3"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2D58A227"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Asunto:   Solicitud de admisión de un Miembro no Liquidador en la modalidad de Miembro Liquidador. </w:t>
      </w:r>
    </w:p>
    <w:p w14:paraId="3C51826B"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1E050AF4"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El/La suscrito (a), _________________________, identificado (a) con la Cédula de Ciudadanía No. _______________ expedida en la ciudad de _____________, obrando en nombre y representación de _____________________, con NIT. _______________, Miembro no Liquidador de la Cámara de Riesgo Central de Contraparte de Colombia S.A. – CRCC S.A., de conformidad con lo dispuesto en el artículo 2.1.12. de la Circular Única de la CRCC S.A., atentamente solicito la modificación de la condición de la sociedad que represento de Miembro no Liquidador a Miembro Liquidador ___________________ (Liquidador General o Individual).</w:t>
      </w:r>
    </w:p>
    <w:p w14:paraId="42820270"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10A46DB0"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Certifico que la sociedad cumple con todos los requisitos establecidos en el Reglamento de Funcionamiento de la CRCC S.A., y demás normas aplicables para ser admitido como Miembro Liquidador ___________________ (Liquidador General o Individual)</w:t>
      </w:r>
    </w:p>
    <w:p w14:paraId="0F10BB1A"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0FE696D6"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xml:space="preserve">En cumplimiento de los requisitos exigidos por la CRCC S.A., me permito allegar los documentos relacionados en la Lista de Chequeo para </w:t>
      </w:r>
      <w:r w:rsidRPr="002C0D19">
        <w:rPr>
          <w:rFonts w:ascii="Arial Narrow" w:hAnsi="Arial Narrow" w:cs="Arial"/>
          <w:bCs/>
          <w:color w:val="000000" w:themeColor="text1"/>
          <w:lang w:eastAsia="es-ES"/>
        </w:rPr>
        <w:t>solicitar el cambio de condición</w:t>
      </w:r>
      <w:r w:rsidRPr="002C0D19">
        <w:rPr>
          <w:rFonts w:ascii="Arial Narrow" w:hAnsi="Arial Narrow" w:cs="Arial"/>
          <w:bCs/>
          <w:color w:val="000000" w:themeColor="text1"/>
          <w:lang w:val="es-ES" w:eastAsia="es-ES"/>
        </w:rPr>
        <w:t xml:space="preserve"> de Miembro no Liquidador a Miembro Liquidador, necesarios para el trámite de la presente solicitud.</w:t>
      </w:r>
    </w:p>
    <w:p w14:paraId="1C3540AC"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41FED16A"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67B49B8F"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Cordialmente,</w:t>
      </w:r>
    </w:p>
    <w:p w14:paraId="16C0A4CD"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777F1CDE"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____________________________________ </w:t>
      </w:r>
    </w:p>
    <w:p w14:paraId="62836D07" w14:textId="77777777" w:rsidR="007968EC" w:rsidRPr="002C0D19" w:rsidRDefault="007968EC" w:rsidP="007968EC">
      <w:pPr>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(Nombre y Cédula)</w:t>
      </w:r>
    </w:p>
    <w:p w14:paraId="66FA9376" w14:textId="77777777" w:rsidR="007968EC" w:rsidRPr="002C0D19" w:rsidRDefault="007968EC" w:rsidP="007968EC">
      <w:pPr>
        <w:jc w:val="center"/>
        <w:rPr>
          <w:rFonts w:ascii="Arial Narrow" w:hAnsi="Arial Narrow" w:cs="Arial"/>
          <w:b/>
          <w:color w:val="000000" w:themeColor="text1"/>
          <w:lang w:val="es-ES" w:eastAsia="es-ES"/>
        </w:rPr>
      </w:pPr>
    </w:p>
    <w:p w14:paraId="35F8019D" w14:textId="77777777" w:rsidR="007968EC" w:rsidRPr="002C0D19" w:rsidRDefault="007968EC" w:rsidP="007968EC">
      <w:pPr>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br w:type="page"/>
      </w:r>
    </w:p>
    <w:p w14:paraId="0662C585" w14:textId="77777777" w:rsidR="007968EC" w:rsidRPr="002C0D19" w:rsidRDefault="007968EC" w:rsidP="007968EC">
      <w:pPr>
        <w:autoSpaceDE w:val="0"/>
        <w:autoSpaceDN w:val="0"/>
        <w:jc w:val="center"/>
        <w:rPr>
          <w:rFonts w:ascii="Arial Narrow" w:hAnsi="Arial Narrow" w:cs="Arial"/>
          <w:b/>
          <w:bCs/>
          <w:i/>
          <w:color w:val="000000" w:themeColor="text1"/>
          <w:lang w:val="es-ES" w:eastAsia="es-ES"/>
        </w:rPr>
      </w:pPr>
      <w:r w:rsidRPr="002C0D19">
        <w:rPr>
          <w:rFonts w:ascii="Arial Narrow" w:hAnsi="Arial Narrow" w:cs="Arial"/>
          <w:b/>
          <w:bCs/>
          <w:i/>
          <w:color w:val="000000" w:themeColor="text1"/>
          <w:lang w:val="es-ES" w:eastAsia="es-ES"/>
        </w:rPr>
        <w:lastRenderedPageBreak/>
        <w:t>Anexo 1.3. Carta de solicitud de modificación de la condición de Miembro Liquidador Individual a Miembro Liquidador General.</w:t>
      </w:r>
    </w:p>
    <w:p w14:paraId="16403EDC" w14:textId="77777777" w:rsidR="007968EC" w:rsidRPr="002C0D19" w:rsidRDefault="007968EC" w:rsidP="007968EC">
      <w:pPr>
        <w:autoSpaceDE w:val="0"/>
        <w:autoSpaceDN w:val="0"/>
        <w:jc w:val="center"/>
        <w:rPr>
          <w:rFonts w:ascii="Arial Narrow" w:hAnsi="Arial Narrow" w:cs="Arial"/>
          <w:bCs/>
          <w:i/>
          <w:color w:val="000000" w:themeColor="text1"/>
          <w:lang w:val="es-ES" w:eastAsia="es-ES"/>
        </w:rPr>
      </w:pPr>
    </w:p>
    <w:p w14:paraId="39B83299"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6A79E5A8"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Doctor</w:t>
      </w:r>
    </w:p>
    <w:p w14:paraId="616C4235"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______________</w:t>
      </w:r>
    </w:p>
    <w:p w14:paraId="1134E5D7"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Gerente</w:t>
      </w:r>
    </w:p>
    <w:p w14:paraId="356222E0"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Cámara de Riesgo Central de</w:t>
      </w:r>
    </w:p>
    <w:p w14:paraId="10E0C6F1"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xml:space="preserve">Contraparte de Colombia S.A. </w:t>
      </w:r>
    </w:p>
    <w:p w14:paraId="1A3CBDAE"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Ciudad</w:t>
      </w:r>
    </w:p>
    <w:p w14:paraId="2745838B"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30D44257"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5A01CB16" w14:textId="77777777" w:rsidR="007968EC" w:rsidRPr="002C0D19" w:rsidRDefault="007968EC" w:rsidP="007968EC">
      <w:pPr>
        <w:autoSpaceDE w:val="0"/>
        <w:autoSpaceDN w:val="0"/>
        <w:ind w:left="851" w:hanging="851"/>
        <w:jc w:val="both"/>
        <w:rPr>
          <w:rFonts w:ascii="Arial Narrow" w:hAnsi="Arial Narrow" w:cs="Arial"/>
          <w:bCs/>
          <w:color w:val="000000" w:themeColor="text1"/>
          <w:lang w:val="es-ES" w:eastAsia="es-ES"/>
        </w:rPr>
      </w:pPr>
      <w:r w:rsidRPr="002C0D19">
        <w:rPr>
          <w:rFonts w:ascii="Arial Narrow" w:hAnsi="Arial Narrow" w:cs="Arial"/>
          <w:b/>
          <w:bCs/>
          <w:color w:val="000000" w:themeColor="text1"/>
          <w:lang w:val="es-ES" w:eastAsia="es-ES"/>
        </w:rPr>
        <w:t>Asunto:</w:t>
      </w:r>
      <w:r w:rsidRPr="002C0D19">
        <w:rPr>
          <w:rFonts w:ascii="Arial Narrow" w:hAnsi="Arial Narrow" w:cs="Arial"/>
          <w:bCs/>
          <w:color w:val="000000" w:themeColor="text1"/>
          <w:lang w:val="es-ES" w:eastAsia="es-ES"/>
        </w:rPr>
        <w:t xml:space="preserve"> Solicitud de admisión de un Miembro Liquidador Individual en la modalidad de Miembro Liquidador General. </w:t>
      </w:r>
    </w:p>
    <w:p w14:paraId="11D8EFC6"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4A733E2B"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El/La suscrito (a), _________________________, identificado (a) con la Cédula de Ciudadanía No. _______________ expedida en la ciudad de _____________, obrando en nombre y representación de _____________________, con NIT. _______________, Miembro Liquidador Individual de la Cámara de Riesgo Central de Contraparte de Colombia S.A. – CRCC S.A., de conformidad con lo dispuesto en el artículo 2.1.13. de la Circular Única de la CRCC S.A., atentamente solicito la modificación de la condición de la sociedad que represento de Miembro Liquidador Individual a Miembro Liquidador General.</w:t>
      </w:r>
    </w:p>
    <w:p w14:paraId="4224DD26"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1B44D95E"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Certifico que la sociedad cumple con todos los requisitos establecidos en el Reglamento de Funcionamiento de la CRCC S.A., y demás normas aplicables para ser admitido como Miembro Liquidador General.</w:t>
      </w:r>
    </w:p>
    <w:p w14:paraId="3B53A777"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134C628A"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xml:space="preserve">En cumplimiento de los requisitos exigidos por la CRCC S.A., me permito allegar los documentos relacionados en la Lista de Chequeo para </w:t>
      </w:r>
      <w:r w:rsidRPr="002C0D19">
        <w:rPr>
          <w:rFonts w:ascii="Arial Narrow" w:hAnsi="Arial Narrow" w:cs="Arial"/>
          <w:bCs/>
          <w:color w:val="000000" w:themeColor="text1"/>
          <w:lang w:eastAsia="es-ES"/>
        </w:rPr>
        <w:t>solicitar el cambio de condición</w:t>
      </w:r>
      <w:r w:rsidRPr="002C0D19">
        <w:rPr>
          <w:rFonts w:ascii="Arial Narrow" w:hAnsi="Arial Narrow" w:cs="Arial"/>
          <w:bCs/>
          <w:color w:val="000000" w:themeColor="text1"/>
          <w:lang w:val="es-ES" w:eastAsia="es-ES"/>
        </w:rPr>
        <w:t xml:space="preserve"> de Miembro Liquidador Individual a Miembro Liquidador General, necesarios para el trámite de la presente solicitud.</w:t>
      </w:r>
    </w:p>
    <w:p w14:paraId="746D0798"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15C94CA8"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668E7503"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Cordialmente,</w:t>
      </w:r>
    </w:p>
    <w:p w14:paraId="022BE5D6"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691CEBE0"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____________________________________ </w:t>
      </w:r>
    </w:p>
    <w:p w14:paraId="1591E5DE" w14:textId="77777777" w:rsidR="007968EC" w:rsidRPr="002C0D19" w:rsidRDefault="007968EC" w:rsidP="007968EC">
      <w:pPr>
        <w:rPr>
          <w:rFonts w:ascii="Arial Narrow" w:hAnsi="Arial Narrow" w:cs="Arial"/>
          <w:b/>
          <w:color w:val="000000" w:themeColor="text1"/>
          <w:lang w:val="es-ES" w:eastAsia="es-ES"/>
        </w:rPr>
      </w:pPr>
      <w:r w:rsidRPr="002C0D19">
        <w:rPr>
          <w:rFonts w:ascii="Arial Narrow" w:hAnsi="Arial Narrow" w:cs="Arial"/>
          <w:bCs/>
          <w:color w:val="000000" w:themeColor="text1"/>
          <w:lang w:val="es-ES" w:eastAsia="es-ES"/>
        </w:rPr>
        <w:t>(Nombre y Cédula)</w:t>
      </w:r>
    </w:p>
    <w:p w14:paraId="192C38F0" w14:textId="77777777" w:rsidR="007968EC" w:rsidRPr="002C0D19" w:rsidRDefault="007968EC" w:rsidP="007968EC">
      <w:pPr>
        <w:jc w:val="center"/>
        <w:rPr>
          <w:rFonts w:ascii="Arial Narrow" w:hAnsi="Arial Narrow" w:cs="Arial"/>
          <w:b/>
          <w:color w:val="000000" w:themeColor="text1"/>
          <w:lang w:val="es-ES" w:eastAsia="es-ES"/>
        </w:rPr>
      </w:pPr>
    </w:p>
    <w:p w14:paraId="50910702" w14:textId="77777777" w:rsidR="007968EC" w:rsidRPr="002C0D19" w:rsidRDefault="007968EC" w:rsidP="007968EC">
      <w:pPr>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br w:type="page"/>
      </w:r>
    </w:p>
    <w:p w14:paraId="66C6BDED" w14:textId="77777777" w:rsidR="007968EC" w:rsidRPr="002C0D19" w:rsidRDefault="007968EC" w:rsidP="007968EC">
      <w:pPr>
        <w:rPr>
          <w:rFonts w:ascii="Arial Narrow" w:hAnsi="Arial Narrow" w:cs="Arial"/>
          <w:b/>
          <w:bCs/>
          <w:i/>
          <w:color w:val="000000" w:themeColor="text1"/>
          <w:lang w:val="es-ES" w:eastAsia="es-ES"/>
        </w:rPr>
      </w:pPr>
      <w:r w:rsidRPr="002C0D19">
        <w:rPr>
          <w:rFonts w:ascii="Arial Narrow" w:hAnsi="Arial Narrow" w:cs="Arial"/>
          <w:b/>
          <w:bCs/>
          <w:i/>
          <w:color w:val="000000" w:themeColor="text1"/>
          <w:lang w:val="es-ES" w:eastAsia="es-ES"/>
        </w:rPr>
        <w:lastRenderedPageBreak/>
        <w:t>Anexo 1.4. Carta de solicitud de modificación de la condición de Miembro Liquidador a Miembro No Liquidador.</w:t>
      </w:r>
    </w:p>
    <w:p w14:paraId="71712402" w14:textId="77777777" w:rsidR="007968EC" w:rsidRPr="002C0D19" w:rsidRDefault="007968EC" w:rsidP="007968EC">
      <w:pPr>
        <w:autoSpaceDE w:val="0"/>
        <w:autoSpaceDN w:val="0"/>
        <w:jc w:val="center"/>
        <w:rPr>
          <w:rFonts w:ascii="Arial Narrow" w:hAnsi="Arial Narrow" w:cs="Arial"/>
          <w:bCs/>
          <w:i/>
          <w:color w:val="000000" w:themeColor="text1"/>
          <w:lang w:val="es-ES" w:eastAsia="es-ES"/>
        </w:rPr>
      </w:pPr>
    </w:p>
    <w:p w14:paraId="1C7F44AF" w14:textId="77777777" w:rsidR="007968EC" w:rsidRPr="002C0D19" w:rsidRDefault="007968EC" w:rsidP="007968EC">
      <w:pPr>
        <w:autoSpaceDE w:val="0"/>
        <w:autoSpaceDN w:val="0"/>
        <w:jc w:val="center"/>
        <w:rPr>
          <w:rFonts w:ascii="Arial Narrow" w:hAnsi="Arial Narrow" w:cs="Arial"/>
          <w:b/>
          <w:bCs/>
          <w:i/>
          <w:color w:val="000000" w:themeColor="text1"/>
          <w:lang w:val="es-ES" w:eastAsia="es-ES"/>
        </w:rPr>
      </w:pPr>
    </w:p>
    <w:tbl>
      <w:tblPr>
        <w:tblStyle w:val="Tablaconcuadrcula4"/>
        <w:tblW w:w="0" w:type="auto"/>
        <w:jc w:val="center"/>
        <w:tblLayout w:type="fixed"/>
        <w:tblLook w:val="04A0" w:firstRow="1" w:lastRow="0" w:firstColumn="1" w:lastColumn="0" w:noHBand="0" w:noVBand="1"/>
      </w:tblPr>
      <w:tblGrid>
        <w:gridCol w:w="1986"/>
        <w:gridCol w:w="5380"/>
        <w:gridCol w:w="1985"/>
      </w:tblGrid>
      <w:tr w:rsidR="007968EC" w:rsidRPr="002C0D19" w14:paraId="4CCDA94C" w14:textId="77777777" w:rsidTr="007968EC">
        <w:trPr>
          <w:jc w:val="center"/>
        </w:trPr>
        <w:tc>
          <w:tcPr>
            <w:tcW w:w="1986" w:type="dxa"/>
            <w:vMerge w:val="restart"/>
            <w:vAlign w:val="center"/>
          </w:tcPr>
          <w:p w14:paraId="597AAD0A" w14:textId="77777777" w:rsidR="007968EC" w:rsidRPr="002C0D19" w:rsidRDefault="007968EC" w:rsidP="007968EC">
            <w:pPr>
              <w:autoSpaceDE w:val="0"/>
              <w:autoSpaceDN w:val="0"/>
              <w:jc w:val="both"/>
              <w:rPr>
                <w:rFonts w:ascii="Arial Narrow" w:hAnsi="Arial Narrow" w:cs="Arial"/>
                <w:b/>
                <w:bCs/>
                <w:color w:val="000000" w:themeColor="text1"/>
                <w:lang w:val="es-ES" w:eastAsia="es-ES"/>
              </w:rPr>
            </w:pPr>
            <w:r w:rsidRPr="002C0D19">
              <w:rPr>
                <w:rFonts w:ascii="Arial Narrow" w:hAnsi="Arial Narrow"/>
                <w:b/>
                <w:noProof/>
                <w:color w:val="000000" w:themeColor="text1"/>
                <w:lang w:eastAsia="es-CO"/>
              </w:rPr>
              <w:drawing>
                <wp:inline distT="0" distB="0" distL="0" distR="0" wp14:anchorId="1F1243AA" wp14:editId="1ABA8CA1">
                  <wp:extent cx="1098981" cy="540000"/>
                  <wp:effectExtent l="0" t="0" r="6350" b="0"/>
                  <wp:docPr id="4" name="Imagen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8981" cy="540000"/>
                          </a:xfrm>
                          <a:prstGeom prst="rect">
                            <a:avLst/>
                          </a:prstGeom>
                          <a:noFill/>
                          <a:ln>
                            <a:noFill/>
                          </a:ln>
                        </pic:spPr>
                      </pic:pic>
                    </a:graphicData>
                  </a:graphic>
                </wp:inline>
              </w:drawing>
            </w:r>
          </w:p>
        </w:tc>
        <w:tc>
          <w:tcPr>
            <w:tcW w:w="5380" w:type="dxa"/>
            <w:vAlign w:val="center"/>
          </w:tcPr>
          <w:p w14:paraId="524D2CB4" w14:textId="77777777" w:rsidR="007968EC" w:rsidRPr="002C0D19" w:rsidRDefault="007968EC" w:rsidP="007968EC">
            <w:pPr>
              <w:autoSpaceDE w:val="0"/>
              <w:autoSpaceDN w:val="0"/>
              <w:jc w:val="center"/>
              <w:rPr>
                <w:rFonts w:ascii="Arial Narrow" w:hAnsi="Arial Narrow" w:cs="Arial"/>
                <w:b/>
                <w:bCs/>
                <w:color w:val="000000" w:themeColor="text1"/>
                <w:lang w:val="es-ES" w:eastAsia="es-ES"/>
              </w:rPr>
            </w:pPr>
            <w:r w:rsidRPr="002C0D19">
              <w:rPr>
                <w:rFonts w:ascii="Arial Narrow" w:hAnsi="Arial Narrow" w:cs="Arial"/>
                <w:b/>
                <w:bCs/>
                <w:color w:val="000000" w:themeColor="text1"/>
                <w:lang w:val="es-ES" w:eastAsia="es-ES"/>
              </w:rPr>
              <w:t>FORMATO</w:t>
            </w:r>
          </w:p>
        </w:tc>
        <w:tc>
          <w:tcPr>
            <w:tcW w:w="1985" w:type="dxa"/>
            <w:vAlign w:val="center"/>
          </w:tcPr>
          <w:p w14:paraId="75B8C796" w14:textId="77777777" w:rsidR="007968EC" w:rsidRPr="002C0D19" w:rsidRDefault="007968EC" w:rsidP="007968EC">
            <w:pPr>
              <w:autoSpaceDE w:val="0"/>
              <w:autoSpaceDN w:val="0"/>
              <w:jc w:val="both"/>
              <w:rPr>
                <w:rFonts w:ascii="Arial Narrow" w:hAnsi="Arial Narrow" w:cs="Arial"/>
                <w:b/>
                <w:bCs/>
                <w:color w:val="000000" w:themeColor="text1"/>
                <w:lang w:val="es-ES" w:eastAsia="es-ES"/>
              </w:rPr>
            </w:pPr>
            <w:r w:rsidRPr="002C0D19">
              <w:rPr>
                <w:rFonts w:ascii="Arial Narrow" w:hAnsi="Arial Narrow" w:cs="Arial"/>
                <w:b/>
                <w:bCs/>
                <w:color w:val="000000" w:themeColor="text1"/>
                <w:lang w:val="es-ES" w:eastAsia="es-ES"/>
              </w:rPr>
              <w:t>Código: FO GMI 035</w:t>
            </w:r>
          </w:p>
        </w:tc>
      </w:tr>
      <w:tr w:rsidR="007968EC" w:rsidRPr="002C0D19" w14:paraId="0DFE7A2C" w14:textId="77777777" w:rsidTr="007968EC">
        <w:trPr>
          <w:jc w:val="center"/>
        </w:trPr>
        <w:tc>
          <w:tcPr>
            <w:tcW w:w="1986" w:type="dxa"/>
            <w:vMerge/>
            <w:vAlign w:val="center"/>
          </w:tcPr>
          <w:p w14:paraId="08E4A05B" w14:textId="77777777" w:rsidR="007968EC" w:rsidRPr="002C0D19" w:rsidRDefault="007968EC" w:rsidP="007968EC">
            <w:pPr>
              <w:autoSpaceDE w:val="0"/>
              <w:autoSpaceDN w:val="0"/>
              <w:jc w:val="both"/>
              <w:rPr>
                <w:rFonts w:ascii="Arial Narrow" w:hAnsi="Arial Narrow" w:cs="Arial"/>
                <w:b/>
                <w:bCs/>
                <w:color w:val="000000" w:themeColor="text1"/>
                <w:lang w:val="es-ES" w:eastAsia="es-ES"/>
              </w:rPr>
            </w:pPr>
          </w:p>
        </w:tc>
        <w:tc>
          <w:tcPr>
            <w:tcW w:w="5380" w:type="dxa"/>
            <w:vMerge w:val="restart"/>
            <w:vAlign w:val="center"/>
          </w:tcPr>
          <w:p w14:paraId="45E86B12" w14:textId="77777777" w:rsidR="007968EC" w:rsidRPr="002C0D19" w:rsidRDefault="007968EC" w:rsidP="007968EC">
            <w:pPr>
              <w:autoSpaceDE w:val="0"/>
              <w:autoSpaceDN w:val="0"/>
              <w:jc w:val="center"/>
              <w:rPr>
                <w:rFonts w:ascii="Arial Narrow" w:hAnsi="Arial Narrow" w:cs="Arial"/>
                <w:b/>
                <w:bCs/>
                <w:color w:val="000000" w:themeColor="text1"/>
                <w:lang w:val="es-ES" w:eastAsia="es-ES"/>
              </w:rPr>
            </w:pPr>
            <w:r w:rsidRPr="002C0D19">
              <w:rPr>
                <w:rFonts w:ascii="Arial Narrow" w:hAnsi="Arial Narrow" w:cs="Arial"/>
                <w:b/>
                <w:bCs/>
                <w:color w:val="000000" w:themeColor="text1"/>
                <w:lang w:val="es-ES" w:eastAsia="es-ES"/>
              </w:rPr>
              <w:t xml:space="preserve">SOLICITUD DE MODIFICACIÓN DE LA CONDICIÓN DE MIEMBRO LIQUIDADOR A MIEMBRO NO LIQUIDADOR </w:t>
            </w:r>
          </w:p>
        </w:tc>
        <w:tc>
          <w:tcPr>
            <w:tcW w:w="1985" w:type="dxa"/>
            <w:vAlign w:val="center"/>
          </w:tcPr>
          <w:p w14:paraId="00606B3C" w14:textId="77777777" w:rsidR="007968EC" w:rsidRPr="002C0D19" w:rsidRDefault="007968EC" w:rsidP="007968EC">
            <w:pPr>
              <w:autoSpaceDE w:val="0"/>
              <w:autoSpaceDN w:val="0"/>
              <w:jc w:val="both"/>
              <w:rPr>
                <w:rFonts w:ascii="Arial Narrow" w:hAnsi="Arial Narrow" w:cs="Arial"/>
                <w:b/>
                <w:bCs/>
                <w:color w:val="000000" w:themeColor="text1"/>
                <w:lang w:val="es-ES" w:eastAsia="es-ES"/>
              </w:rPr>
            </w:pPr>
            <w:r w:rsidRPr="002C0D19">
              <w:rPr>
                <w:rFonts w:ascii="Arial Narrow" w:hAnsi="Arial Narrow" w:cs="Arial"/>
                <w:b/>
                <w:bCs/>
                <w:color w:val="000000" w:themeColor="text1"/>
                <w:lang w:val="es-ES" w:eastAsia="es-ES"/>
              </w:rPr>
              <w:t>Versión: 1.0</w:t>
            </w:r>
          </w:p>
        </w:tc>
      </w:tr>
      <w:tr w:rsidR="007968EC" w:rsidRPr="002C0D19" w14:paraId="2ADD7C5E" w14:textId="77777777" w:rsidTr="007968EC">
        <w:trPr>
          <w:jc w:val="center"/>
        </w:trPr>
        <w:tc>
          <w:tcPr>
            <w:tcW w:w="1986" w:type="dxa"/>
            <w:vMerge/>
            <w:vAlign w:val="center"/>
          </w:tcPr>
          <w:p w14:paraId="76A1A540" w14:textId="77777777" w:rsidR="007968EC" w:rsidRPr="002C0D19" w:rsidRDefault="007968EC" w:rsidP="007968EC">
            <w:pPr>
              <w:autoSpaceDE w:val="0"/>
              <w:autoSpaceDN w:val="0"/>
              <w:jc w:val="both"/>
              <w:rPr>
                <w:rFonts w:ascii="Arial Narrow" w:hAnsi="Arial Narrow" w:cs="Arial"/>
                <w:b/>
                <w:bCs/>
                <w:color w:val="000000" w:themeColor="text1"/>
                <w:lang w:val="es-ES" w:eastAsia="es-ES"/>
              </w:rPr>
            </w:pPr>
          </w:p>
        </w:tc>
        <w:tc>
          <w:tcPr>
            <w:tcW w:w="5380" w:type="dxa"/>
            <w:vMerge/>
            <w:vAlign w:val="center"/>
          </w:tcPr>
          <w:p w14:paraId="324D8A75" w14:textId="77777777" w:rsidR="007968EC" w:rsidRPr="002C0D19" w:rsidRDefault="007968EC" w:rsidP="007968EC">
            <w:pPr>
              <w:autoSpaceDE w:val="0"/>
              <w:autoSpaceDN w:val="0"/>
              <w:jc w:val="both"/>
              <w:rPr>
                <w:rFonts w:ascii="Arial Narrow" w:hAnsi="Arial Narrow" w:cs="Arial"/>
                <w:b/>
                <w:bCs/>
                <w:color w:val="000000" w:themeColor="text1"/>
                <w:lang w:val="es-ES" w:eastAsia="es-ES"/>
              </w:rPr>
            </w:pPr>
          </w:p>
        </w:tc>
        <w:tc>
          <w:tcPr>
            <w:tcW w:w="1985" w:type="dxa"/>
            <w:vAlign w:val="center"/>
          </w:tcPr>
          <w:p w14:paraId="63C58072" w14:textId="77777777" w:rsidR="007968EC" w:rsidRPr="002C0D19" w:rsidRDefault="007968EC" w:rsidP="007968EC">
            <w:pPr>
              <w:autoSpaceDE w:val="0"/>
              <w:autoSpaceDN w:val="0"/>
              <w:jc w:val="both"/>
              <w:rPr>
                <w:rFonts w:ascii="Arial Narrow" w:hAnsi="Arial Narrow" w:cs="Arial"/>
                <w:b/>
                <w:bCs/>
                <w:color w:val="000000" w:themeColor="text1"/>
                <w:lang w:val="es-ES" w:eastAsia="es-ES"/>
              </w:rPr>
            </w:pPr>
            <w:r w:rsidRPr="002C0D19">
              <w:rPr>
                <w:rFonts w:ascii="Arial Narrow" w:hAnsi="Arial Narrow" w:cs="Arial"/>
                <w:b/>
                <w:bCs/>
                <w:color w:val="000000" w:themeColor="text1"/>
                <w:lang w:val="es-ES" w:eastAsia="es-ES"/>
              </w:rPr>
              <w:t>Página 1 de 1</w:t>
            </w:r>
          </w:p>
        </w:tc>
      </w:tr>
    </w:tbl>
    <w:p w14:paraId="0DF8EBA8" w14:textId="77777777" w:rsidR="007968EC" w:rsidRPr="002C0D19" w:rsidRDefault="007968EC" w:rsidP="007968EC">
      <w:pPr>
        <w:autoSpaceDE w:val="0"/>
        <w:autoSpaceDN w:val="0"/>
        <w:jc w:val="center"/>
        <w:rPr>
          <w:rFonts w:ascii="Arial Narrow" w:hAnsi="Arial Narrow" w:cs="Arial"/>
          <w:b/>
          <w:bCs/>
          <w:i/>
          <w:color w:val="000000" w:themeColor="text1"/>
          <w:lang w:val="es-ES" w:eastAsia="es-ES"/>
        </w:rPr>
      </w:pPr>
    </w:p>
    <w:p w14:paraId="217546C7"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Doctor</w:t>
      </w:r>
    </w:p>
    <w:p w14:paraId="2B29035B"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______________</w:t>
      </w:r>
    </w:p>
    <w:p w14:paraId="5F728356"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Gerente</w:t>
      </w:r>
    </w:p>
    <w:p w14:paraId="47256CCF"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xml:space="preserve">Cámara de Riesgo Central de Contraparte de Colombia S.A. </w:t>
      </w:r>
    </w:p>
    <w:p w14:paraId="01CC10A1"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Ciudad</w:t>
      </w:r>
    </w:p>
    <w:p w14:paraId="0CA69249"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6D46AAEC" w14:textId="77777777" w:rsidR="007968EC" w:rsidRPr="002C0D19" w:rsidRDefault="007968EC" w:rsidP="007968EC">
      <w:pPr>
        <w:autoSpaceDE w:val="0"/>
        <w:autoSpaceDN w:val="0"/>
        <w:ind w:left="851" w:hanging="851"/>
        <w:jc w:val="both"/>
        <w:rPr>
          <w:rFonts w:ascii="Arial Narrow" w:hAnsi="Arial Narrow" w:cs="Arial"/>
          <w:bCs/>
          <w:color w:val="000000" w:themeColor="text1"/>
          <w:lang w:val="es-ES" w:eastAsia="es-ES"/>
        </w:rPr>
      </w:pPr>
      <w:r w:rsidRPr="002C0D19">
        <w:rPr>
          <w:rFonts w:ascii="Arial Narrow" w:hAnsi="Arial Narrow" w:cs="Arial"/>
          <w:b/>
          <w:bCs/>
          <w:color w:val="000000" w:themeColor="text1"/>
          <w:lang w:val="es-ES" w:eastAsia="es-ES"/>
        </w:rPr>
        <w:t>Asunto:</w:t>
      </w:r>
      <w:r w:rsidRPr="002C0D19">
        <w:rPr>
          <w:rFonts w:ascii="Arial Narrow" w:hAnsi="Arial Narrow" w:cs="Arial"/>
          <w:bCs/>
          <w:color w:val="000000" w:themeColor="text1"/>
          <w:lang w:val="es-ES" w:eastAsia="es-ES"/>
        </w:rPr>
        <w:t xml:space="preserve"> Solicitud de admisión de un Miembro Liquidador en la modalidad de Miembro No Liquidador. </w:t>
      </w:r>
    </w:p>
    <w:p w14:paraId="4B181D9B"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77349401"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El/La suscrito (a), _________________________, identificado (a) con la Cédula de Ciudadanía No. _______________ expedida en la ciudad de _____________, obrando en nombre y representación de _____________________, con NIT. _______________, Miembro Liquidador de la Cámara de Riesgo Central de Contraparte de Colombia S.A. – CRCC S.A., de conformidad con lo dispuesto en el artículo 2.1.14. de la Circular Única de la CRCC S.A., atentamente solicito la modificación de la condición de la sociedad que represento de Miembro Liquidador a Miembro No Liquidador.</w:t>
      </w:r>
    </w:p>
    <w:p w14:paraId="371EDC41"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35F4870D"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Certifico que la sociedad cumple con todos los requisitos establecidos en el Reglamento de Funcionamiento de la CRCC S.A., y demás normas aplicables para ser admitido como Miembro No Liquidador.</w:t>
      </w:r>
    </w:p>
    <w:p w14:paraId="00EDC49C"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3C9C41B4"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xml:space="preserve">En cumplimiento de los requisitos exigidos por la CRCC S.A., me permito allegar los documentos relacionados en la Lista de Chequeo para </w:t>
      </w:r>
      <w:r w:rsidRPr="002C0D19">
        <w:rPr>
          <w:rFonts w:ascii="Arial Narrow" w:hAnsi="Arial Narrow" w:cs="Arial"/>
          <w:bCs/>
          <w:color w:val="000000" w:themeColor="text1"/>
          <w:lang w:eastAsia="es-ES"/>
        </w:rPr>
        <w:t>solicitar el cambio de condición</w:t>
      </w:r>
      <w:r w:rsidRPr="002C0D19">
        <w:rPr>
          <w:rFonts w:ascii="Arial Narrow" w:hAnsi="Arial Narrow" w:cs="Arial"/>
          <w:bCs/>
          <w:color w:val="000000" w:themeColor="text1"/>
          <w:lang w:val="es-ES" w:eastAsia="es-ES"/>
        </w:rPr>
        <w:t xml:space="preserve"> de Miembro Liquidador a Miembro No Liquidador, necesarios para el trámite de la presente solicitud.</w:t>
      </w:r>
    </w:p>
    <w:p w14:paraId="51917699"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547FB993"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Cordialmente,</w:t>
      </w:r>
    </w:p>
    <w:p w14:paraId="42FF2F1E"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52BF6F42"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151C1D42"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____________________________________ </w:t>
      </w:r>
    </w:p>
    <w:p w14:paraId="729B1E20" w14:textId="77777777" w:rsidR="007968EC" w:rsidRPr="002C0D19" w:rsidRDefault="007968EC" w:rsidP="007968EC">
      <w:pPr>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(Nombre y Cédula)”</w:t>
      </w:r>
    </w:p>
    <w:p w14:paraId="43DFB7D2" w14:textId="77777777" w:rsidR="007968EC" w:rsidRPr="002C0D19" w:rsidRDefault="007968EC" w:rsidP="007968EC">
      <w:pPr>
        <w:jc w:val="both"/>
        <w:rPr>
          <w:rFonts w:ascii="Arial Narrow" w:hAnsi="Arial Narrow" w:cs="Arial"/>
          <w:bCs/>
          <w:color w:val="000000" w:themeColor="text1"/>
          <w:lang w:val="es-ES" w:eastAsia="es-ES"/>
        </w:rPr>
      </w:pPr>
    </w:p>
    <w:p w14:paraId="789BD96A" w14:textId="77777777" w:rsidR="007968EC" w:rsidRPr="002C0D19" w:rsidRDefault="007968EC" w:rsidP="007968EC">
      <w:pPr>
        <w:jc w:val="both"/>
        <w:rPr>
          <w:rFonts w:ascii="Arial Narrow" w:hAnsi="Arial Narrow" w:cs="Arial"/>
          <w:bCs/>
          <w:color w:val="000000" w:themeColor="text1"/>
          <w:lang w:val="es-ES" w:eastAsia="es-ES"/>
        </w:rPr>
      </w:pPr>
    </w:p>
    <w:p w14:paraId="0DF0A774" w14:textId="77777777" w:rsidR="007968EC" w:rsidRPr="002C0D19" w:rsidRDefault="007968EC" w:rsidP="007968EC">
      <w:pPr>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br w:type="page"/>
      </w:r>
    </w:p>
    <w:p w14:paraId="6454CF00" w14:textId="77777777" w:rsidR="007968EC" w:rsidRPr="002C0D19" w:rsidRDefault="007968EC" w:rsidP="007968EC">
      <w:pPr>
        <w:jc w:val="center"/>
        <w:rPr>
          <w:rFonts w:ascii="Arial Narrow" w:hAnsi="Arial Narrow" w:cs="Arial"/>
          <w:b/>
          <w:bCs/>
          <w:color w:val="000000" w:themeColor="text1"/>
          <w:lang w:val="es-ES" w:eastAsia="es-ES"/>
        </w:rPr>
      </w:pPr>
      <w:r w:rsidRPr="002C0D19">
        <w:rPr>
          <w:rFonts w:ascii="Arial Narrow" w:hAnsi="Arial Narrow" w:cs="Arial"/>
          <w:b/>
          <w:bCs/>
          <w:i/>
          <w:color w:val="000000" w:themeColor="text1"/>
          <w:lang w:val="es-ES" w:eastAsia="es-ES"/>
        </w:rPr>
        <w:lastRenderedPageBreak/>
        <w:t>Anexo 1.5. Solicitud de ingreso a uno o varios segmentos</w:t>
      </w:r>
    </w:p>
    <w:p w14:paraId="2496263E" w14:textId="77777777" w:rsidR="007968EC" w:rsidRPr="002C0D19" w:rsidRDefault="007968EC" w:rsidP="007968EC">
      <w:pPr>
        <w:jc w:val="center"/>
        <w:rPr>
          <w:rFonts w:ascii="Arial Narrow" w:hAnsi="Arial Narrow" w:cs="Arial"/>
          <w:b/>
          <w:bCs/>
          <w:color w:val="000000" w:themeColor="text1"/>
          <w:lang w:val="es-ES" w:eastAsia="es-ES"/>
        </w:rPr>
      </w:pPr>
    </w:p>
    <w:p w14:paraId="2F45D9F0" w14:textId="77777777" w:rsidR="007968EC" w:rsidRPr="002C0D19" w:rsidRDefault="007968EC" w:rsidP="007968EC">
      <w:pPr>
        <w:jc w:val="center"/>
        <w:rPr>
          <w:rFonts w:ascii="Arial Narrow" w:hAnsi="Arial Narrow" w:cs="Arial"/>
          <w:color w:val="000000" w:themeColor="text1"/>
          <w:lang w:val="es-ES" w:eastAsia="es-ES"/>
        </w:rPr>
      </w:pPr>
      <w:r w:rsidRPr="002C0D19">
        <w:rPr>
          <w:rFonts w:ascii="Arial Narrow" w:eastAsia="Calibri" w:hAnsi="Arial Narrow"/>
          <w:b/>
          <w:i/>
        </w:rPr>
        <w:t>(Este Anexo fue modificado mediante Circular 14 del 8 de agosto de 2017, publicada en el Boletín Normativo No. 015 del 8 de agosto de 2017</w:t>
      </w:r>
      <w:r w:rsidRPr="000A7D22">
        <w:rPr>
          <w:rFonts w:ascii="Arial Narrow" w:eastAsia="Calibri" w:hAnsi="Arial Narrow"/>
          <w:b/>
          <w:i/>
        </w:rPr>
        <w:t xml:space="preserve"> </w:t>
      </w:r>
      <w:r>
        <w:rPr>
          <w:rFonts w:ascii="Arial Narrow" w:eastAsia="Calibri" w:hAnsi="Arial Narrow"/>
          <w:b/>
          <w:i/>
        </w:rPr>
        <w:t>y mediante Circular 7 del 9 de mayo de 2018, publicada en el Boletín Normativo No. 010 del 9 de mayo de 2018. Rige a partir del 21</w:t>
      </w:r>
      <w:r w:rsidRPr="002C0D19">
        <w:rPr>
          <w:rFonts w:ascii="Arial Narrow" w:eastAsia="Calibri" w:hAnsi="Arial Narrow"/>
          <w:b/>
          <w:i/>
        </w:rPr>
        <w:t xml:space="preserve"> de </w:t>
      </w:r>
      <w:r>
        <w:rPr>
          <w:rFonts w:ascii="Arial Narrow" w:eastAsia="Calibri" w:hAnsi="Arial Narrow"/>
          <w:b/>
          <w:i/>
        </w:rPr>
        <w:t>mayo de 2018</w:t>
      </w:r>
      <w:r w:rsidRPr="002C0D19">
        <w:rPr>
          <w:rFonts w:ascii="Arial Narrow" w:eastAsia="Calibri" w:hAnsi="Arial Narrow"/>
          <w:b/>
          <w:i/>
        </w:rPr>
        <w:t>.)</w:t>
      </w:r>
    </w:p>
    <w:p w14:paraId="25C6959F" w14:textId="77777777" w:rsidR="007968EC" w:rsidRPr="002C0D19" w:rsidRDefault="007968EC" w:rsidP="007968EC">
      <w:pPr>
        <w:jc w:val="center"/>
        <w:rPr>
          <w:rFonts w:ascii="Arial Narrow" w:hAnsi="Arial Narrow" w:cs="Arial"/>
          <w:b/>
          <w:bCs/>
          <w:color w:val="000000" w:themeColor="text1"/>
          <w:lang w:val="es-ES" w:eastAsia="es-ES"/>
        </w:rPr>
      </w:pPr>
    </w:p>
    <w:p w14:paraId="4E66A889"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535C7D50" w14:textId="77777777" w:rsidR="007968EC" w:rsidRPr="000A7D22" w:rsidRDefault="007968EC" w:rsidP="007968EC">
      <w:pPr>
        <w:autoSpaceDE w:val="0"/>
        <w:autoSpaceDN w:val="0"/>
        <w:jc w:val="both"/>
        <w:rPr>
          <w:rFonts w:ascii="Arial Narrow" w:hAnsi="Arial Narrow" w:cs="Arial"/>
          <w:lang w:val="es-ES" w:eastAsia="es-ES"/>
        </w:rPr>
      </w:pPr>
      <w:r w:rsidRPr="000A7D22">
        <w:rPr>
          <w:rFonts w:ascii="Arial Narrow" w:hAnsi="Arial Narrow" w:cs="Arial"/>
          <w:lang w:val="es-ES" w:eastAsia="es-ES"/>
        </w:rPr>
        <w:t>Doctor</w:t>
      </w:r>
    </w:p>
    <w:p w14:paraId="1E405555" w14:textId="77777777" w:rsidR="007968EC" w:rsidRPr="000A7D22" w:rsidRDefault="007968EC" w:rsidP="007968EC">
      <w:pPr>
        <w:autoSpaceDE w:val="0"/>
        <w:autoSpaceDN w:val="0"/>
        <w:jc w:val="both"/>
        <w:rPr>
          <w:rFonts w:ascii="Arial Narrow" w:hAnsi="Arial Narrow" w:cs="Arial"/>
          <w:lang w:val="es-ES" w:eastAsia="es-ES"/>
        </w:rPr>
      </w:pPr>
      <w:r w:rsidRPr="000A7D22">
        <w:rPr>
          <w:rFonts w:ascii="Arial Narrow" w:hAnsi="Arial Narrow" w:cs="Arial"/>
          <w:lang w:val="es-ES" w:eastAsia="es-ES"/>
        </w:rPr>
        <w:t>______________</w:t>
      </w:r>
    </w:p>
    <w:p w14:paraId="25166D9B" w14:textId="77777777" w:rsidR="007968EC" w:rsidRPr="000A7D22" w:rsidRDefault="007968EC" w:rsidP="007968EC">
      <w:pPr>
        <w:autoSpaceDE w:val="0"/>
        <w:autoSpaceDN w:val="0"/>
        <w:jc w:val="both"/>
        <w:rPr>
          <w:rFonts w:ascii="Arial Narrow" w:hAnsi="Arial Narrow" w:cs="Arial"/>
          <w:lang w:val="es-ES" w:eastAsia="es-ES"/>
        </w:rPr>
      </w:pPr>
      <w:r w:rsidRPr="000A7D22">
        <w:rPr>
          <w:rFonts w:ascii="Arial Narrow" w:hAnsi="Arial Narrow" w:cs="Arial"/>
          <w:lang w:val="es-ES" w:eastAsia="es-ES"/>
        </w:rPr>
        <w:t>Gerente</w:t>
      </w:r>
    </w:p>
    <w:p w14:paraId="687790F9" w14:textId="77777777" w:rsidR="007968EC" w:rsidRPr="000A7D22" w:rsidRDefault="007968EC" w:rsidP="007968EC">
      <w:pPr>
        <w:autoSpaceDE w:val="0"/>
        <w:autoSpaceDN w:val="0"/>
        <w:jc w:val="both"/>
        <w:rPr>
          <w:rFonts w:ascii="Arial Narrow" w:hAnsi="Arial Narrow" w:cs="Arial"/>
          <w:lang w:val="es-ES" w:eastAsia="es-ES"/>
        </w:rPr>
      </w:pPr>
      <w:r w:rsidRPr="000A7D22">
        <w:rPr>
          <w:rFonts w:ascii="Arial Narrow" w:hAnsi="Arial Narrow" w:cs="Arial"/>
          <w:lang w:val="es-ES" w:eastAsia="es-ES"/>
        </w:rPr>
        <w:t xml:space="preserve">Cámara de Riesgo Central de Contraparte de Colombia S.A. </w:t>
      </w:r>
    </w:p>
    <w:p w14:paraId="4E018D1A" w14:textId="77777777" w:rsidR="007968EC" w:rsidRPr="000A7D22" w:rsidRDefault="007968EC" w:rsidP="007968EC">
      <w:pPr>
        <w:autoSpaceDE w:val="0"/>
        <w:autoSpaceDN w:val="0"/>
        <w:jc w:val="both"/>
        <w:rPr>
          <w:rFonts w:ascii="Arial Narrow" w:hAnsi="Arial Narrow" w:cs="Arial"/>
          <w:lang w:val="es-ES" w:eastAsia="es-ES"/>
        </w:rPr>
      </w:pPr>
      <w:r w:rsidRPr="000A7D22">
        <w:rPr>
          <w:rFonts w:ascii="Arial Narrow" w:hAnsi="Arial Narrow" w:cs="Arial"/>
          <w:lang w:val="es-ES" w:eastAsia="es-ES"/>
        </w:rPr>
        <w:t>Ciudad</w:t>
      </w:r>
    </w:p>
    <w:p w14:paraId="2C8F06D2" w14:textId="77777777" w:rsidR="007968EC" w:rsidRPr="000A7D22" w:rsidRDefault="007968EC" w:rsidP="007968EC">
      <w:pPr>
        <w:autoSpaceDE w:val="0"/>
        <w:autoSpaceDN w:val="0"/>
        <w:jc w:val="both"/>
        <w:rPr>
          <w:rFonts w:ascii="Arial Narrow" w:hAnsi="Arial Narrow" w:cs="Arial"/>
          <w:lang w:val="es-ES" w:eastAsia="es-ES"/>
        </w:rPr>
      </w:pPr>
    </w:p>
    <w:p w14:paraId="0605811B" w14:textId="77777777" w:rsidR="007968EC" w:rsidRPr="000A7D22" w:rsidRDefault="007968EC" w:rsidP="007968EC">
      <w:pPr>
        <w:autoSpaceDE w:val="0"/>
        <w:autoSpaceDN w:val="0"/>
        <w:jc w:val="both"/>
        <w:rPr>
          <w:rFonts w:ascii="Arial Narrow" w:hAnsi="Arial Narrow" w:cs="Arial"/>
          <w:lang w:val="es-ES" w:eastAsia="es-ES"/>
        </w:rPr>
      </w:pPr>
    </w:p>
    <w:p w14:paraId="1C36A1FB" w14:textId="77777777" w:rsidR="007968EC" w:rsidRPr="000A7D22" w:rsidRDefault="007968EC" w:rsidP="007968EC">
      <w:pPr>
        <w:autoSpaceDE w:val="0"/>
        <w:autoSpaceDN w:val="0"/>
        <w:jc w:val="both"/>
        <w:rPr>
          <w:rFonts w:ascii="Arial Narrow" w:hAnsi="Arial Narrow" w:cs="Arial"/>
          <w:lang w:val="es-ES" w:eastAsia="es-ES"/>
        </w:rPr>
      </w:pPr>
    </w:p>
    <w:p w14:paraId="76F0E45C" w14:textId="77777777" w:rsidR="007968EC" w:rsidRPr="000A7D22" w:rsidRDefault="007968EC" w:rsidP="007968EC">
      <w:pPr>
        <w:autoSpaceDE w:val="0"/>
        <w:autoSpaceDN w:val="0"/>
        <w:ind w:left="851" w:hanging="851"/>
        <w:jc w:val="both"/>
        <w:rPr>
          <w:rFonts w:ascii="Arial Narrow" w:hAnsi="Arial Narrow" w:cs="Arial"/>
          <w:lang w:val="es-ES" w:eastAsia="es-ES"/>
        </w:rPr>
      </w:pPr>
      <w:r w:rsidRPr="000A7D22">
        <w:rPr>
          <w:rFonts w:ascii="Arial Narrow" w:hAnsi="Arial Narrow" w:cs="Arial"/>
          <w:b/>
          <w:lang w:val="es-ES" w:eastAsia="es-ES"/>
        </w:rPr>
        <w:t>Asunto:</w:t>
      </w:r>
      <w:r w:rsidRPr="000A7D22">
        <w:rPr>
          <w:rFonts w:ascii="Arial Narrow" w:hAnsi="Arial Narrow" w:cs="Arial"/>
          <w:lang w:val="es-ES" w:eastAsia="es-ES"/>
        </w:rPr>
        <w:t xml:space="preserve"> Solicitud de ingreso a uno o varios segmentos </w:t>
      </w:r>
    </w:p>
    <w:p w14:paraId="127596E2" w14:textId="77777777" w:rsidR="007968EC" w:rsidRPr="000A7D22" w:rsidRDefault="007968EC" w:rsidP="007968EC">
      <w:pPr>
        <w:autoSpaceDE w:val="0"/>
        <w:autoSpaceDN w:val="0"/>
        <w:jc w:val="both"/>
        <w:rPr>
          <w:rFonts w:ascii="Arial Narrow" w:hAnsi="Arial Narrow" w:cs="Arial"/>
          <w:lang w:val="es-ES" w:eastAsia="es-ES"/>
        </w:rPr>
      </w:pPr>
    </w:p>
    <w:p w14:paraId="442A2083" w14:textId="77777777" w:rsidR="007968EC" w:rsidRPr="000A7D22" w:rsidRDefault="007968EC" w:rsidP="007968EC">
      <w:pPr>
        <w:autoSpaceDE w:val="0"/>
        <w:autoSpaceDN w:val="0"/>
        <w:jc w:val="both"/>
        <w:rPr>
          <w:rFonts w:ascii="Arial Narrow" w:hAnsi="Arial Narrow" w:cs="Arial"/>
          <w:lang w:val="es-ES" w:eastAsia="es-ES"/>
        </w:rPr>
      </w:pPr>
    </w:p>
    <w:p w14:paraId="1F2E1536" w14:textId="77777777" w:rsidR="007968EC" w:rsidRPr="000A7D22" w:rsidRDefault="007968EC" w:rsidP="007968EC">
      <w:pPr>
        <w:autoSpaceDE w:val="0"/>
        <w:autoSpaceDN w:val="0"/>
        <w:jc w:val="both"/>
        <w:rPr>
          <w:rFonts w:ascii="Arial Narrow" w:hAnsi="Arial Narrow" w:cs="Arial"/>
          <w:lang w:val="es-ES" w:eastAsia="es-ES"/>
        </w:rPr>
      </w:pPr>
    </w:p>
    <w:p w14:paraId="45F0875E" w14:textId="77777777" w:rsidR="007968EC" w:rsidRPr="000A7D22" w:rsidRDefault="007968EC" w:rsidP="007968EC">
      <w:pPr>
        <w:autoSpaceDE w:val="0"/>
        <w:autoSpaceDN w:val="0"/>
        <w:jc w:val="both"/>
        <w:rPr>
          <w:rFonts w:ascii="Arial Narrow" w:hAnsi="Arial Narrow" w:cs="Arial"/>
          <w:lang w:val="es-ES" w:eastAsia="es-ES"/>
        </w:rPr>
      </w:pPr>
      <w:r w:rsidRPr="000A7D22">
        <w:rPr>
          <w:rFonts w:ascii="Arial Narrow" w:hAnsi="Arial Narrow" w:cs="Arial"/>
          <w:lang w:val="es-ES" w:eastAsia="es-ES"/>
        </w:rPr>
        <w:t>El/La suscrito (a), _________________________, identificado (a) con la Cédula de Ciudadanía No. _______________ expedida en la ciudad de _____________, obrando en nombre y representación de _____________________, con NIT. _______________, en la modalidad de</w:t>
      </w:r>
      <w:r w:rsidRPr="000A7D22">
        <w:rPr>
          <w:rFonts w:ascii="Arial Narrow" w:hAnsi="Arial Narrow" w:cs="Arial"/>
          <w:b/>
          <w:lang w:val="es-ES" w:eastAsia="es-ES"/>
        </w:rPr>
        <w:t xml:space="preserve"> Miembro</w:t>
      </w:r>
      <w:r w:rsidRPr="000A7D22">
        <w:rPr>
          <w:rFonts w:ascii="Arial Narrow" w:hAnsi="Arial Narrow" w:cs="Arial"/>
          <w:b/>
          <w:i/>
          <w:lang w:val="es-ES" w:eastAsia="es-ES"/>
        </w:rPr>
        <w:t xml:space="preserve"> (Liquidador General, Liquidador Individual, No Liquidador) </w:t>
      </w:r>
      <w:r w:rsidRPr="000A7D22">
        <w:rPr>
          <w:rFonts w:ascii="Arial Narrow" w:hAnsi="Arial Narrow" w:cs="Arial"/>
          <w:lang w:val="es-ES" w:eastAsia="es-ES"/>
        </w:rPr>
        <w:t>de la Cámara de Riesgo Central de Contraparte de Colombia S.A. – CRCC S.A., de conformidad con lo dispuesto en el artículo 1.2.1.</w:t>
      </w:r>
      <w:r w:rsidRPr="000A7D22">
        <w:rPr>
          <w:rFonts w:ascii="Arial Narrow" w:hAnsi="Arial Narrow" w:cs="Arial"/>
          <w:bCs/>
          <w:lang w:val="es-ES" w:eastAsia="es-ES"/>
        </w:rPr>
        <w:t>15</w:t>
      </w:r>
      <w:r w:rsidRPr="000A7D22">
        <w:rPr>
          <w:rFonts w:ascii="Arial Narrow" w:hAnsi="Arial Narrow" w:cs="Arial"/>
          <w:lang w:val="es-ES" w:eastAsia="es-ES"/>
        </w:rPr>
        <w:t>. de la Circular Única de la CRCC S.A., atentamente solicito el ingreso al/los siguiente(s) segmento(s):</w:t>
      </w:r>
    </w:p>
    <w:p w14:paraId="3785F751" w14:textId="77777777" w:rsidR="007968EC" w:rsidRPr="000A7D22" w:rsidRDefault="007968EC" w:rsidP="007968EC">
      <w:pPr>
        <w:autoSpaceDE w:val="0"/>
        <w:autoSpaceDN w:val="0"/>
        <w:jc w:val="both"/>
        <w:rPr>
          <w:rFonts w:ascii="Arial Narrow" w:hAnsi="Arial Narrow" w:cs="Arial"/>
          <w:lang w:val="es-ES" w:eastAsia="es-ES"/>
        </w:rPr>
      </w:pPr>
      <w:r w:rsidRPr="000A7D22">
        <w:rPr>
          <w:rFonts w:ascii="Arial Narrow" w:hAnsi="Arial Narrow" w:cs="Arial"/>
          <w:lang w:val="es-ES" w:eastAsia="es-ES"/>
        </w:rPr>
        <w:t xml:space="preserve"> </w:t>
      </w:r>
    </w:p>
    <w:p w14:paraId="296DB3EC" w14:textId="77777777" w:rsidR="007968EC" w:rsidRPr="000A7D22" w:rsidRDefault="007968EC" w:rsidP="007968EC">
      <w:pPr>
        <w:autoSpaceDE w:val="0"/>
        <w:autoSpaceDN w:val="0"/>
        <w:jc w:val="both"/>
        <w:rPr>
          <w:rFonts w:ascii="Arial Narrow" w:hAnsi="Arial Narrow" w:cs="Arial"/>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850"/>
      </w:tblGrid>
      <w:tr w:rsidR="007968EC" w:rsidRPr="000A7D22" w14:paraId="30CC709B" w14:textId="77777777" w:rsidTr="007968EC">
        <w:trPr>
          <w:jc w:val="center"/>
        </w:trPr>
        <w:tc>
          <w:tcPr>
            <w:tcW w:w="3085" w:type="dxa"/>
            <w:gridSpan w:val="2"/>
            <w:shd w:val="clear" w:color="auto" w:fill="auto"/>
          </w:tcPr>
          <w:p w14:paraId="709C21E0" w14:textId="77777777" w:rsidR="007968EC" w:rsidRPr="000A7D22" w:rsidRDefault="007968EC" w:rsidP="007968EC">
            <w:pPr>
              <w:autoSpaceDE w:val="0"/>
              <w:autoSpaceDN w:val="0"/>
              <w:jc w:val="center"/>
              <w:rPr>
                <w:rFonts w:ascii="Arial Narrow" w:hAnsi="Arial Narrow" w:cs="Arial"/>
                <w:b/>
                <w:lang w:val="es-ES" w:eastAsia="es-ES"/>
              </w:rPr>
            </w:pPr>
            <w:r w:rsidRPr="000A7D22">
              <w:rPr>
                <w:rFonts w:ascii="Arial Narrow" w:hAnsi="Arial Narrow" w:cs="Arial"/>
                <w:b/>
                <w:lang w:val="es-ES" w:eastAsia="es-ES"/>
              </w:rPr>
              <w:t>SEGMENTOS</w:t>
            </w:r>
          </w:p>
        </w:tc>
      </w:tr>
      <w:tr w:rsidR="007968EC" w:rsidRPr="000A7D22" w14:paraId="5494BD46" w14:textId="77777777" w:rsidTr="007968EC">
        <w:trPr>
          <w:jc w:val="center"/>
        </w:trPr>
        <w:tc>
          <w:tcPr>
            <w:tcW w:w="2235" w:type="dxa"/>
            <w:shd w:val="clear" w:color="auto" w:fill="auto"/>
          </w:tcPr>
          <w:p w14:paraId="2E08C93F" w14:textId="77777777" w:rsidR="007968EC" w:rsidRPr="000A7D22" w:rsidRDefault="007968EC" w:rsidP="007968EC">
            <w:pPr>
              <w:autoSpaceDE w:val="0"/>
              <w:autoSpaceDN w:val="0"/>
              <w:jc w:val="both"/>
              <w:rPr>
                <w:rFonts w:ascii="Arial Narrow" w:hAnsi="Arial Narrow" w:cs="Arial"/>
                <w:lang w:val="es-ES" w:eastAsia="es-ES"/>
              </w:rPr>
            </w:pPr>
            <w:r w:rsidRPr="000A7D22">
              <w:rPr>
                <w:rFonts w:ascii="Arial Narrow" w:hAnsi="Arial Narrow" w:cs="Arial"/>
                <w:lang w:val="es-ES" w:eastAsia="es-ES"/>
              </w:rPr>
              <w:t>Derivados Financieros</w:t>
            </w:r>
          </w:p>
        </w:tc>
        <w:tc>
          <w:tcPr>
            <w:tcW w:w="850" w:type="dxa"/>
            <w:shd w:val="clear" w:color="auto" w:fill="auto"/>
          </w:tcPr>
          <w:p w14:paraId="221D2EAF" w14:textId="77777777" w:rsidR="007968EC" w:rsidRPr="000A7D22" w:rsidRDefault="007968EC" w:rsidP="007968EC">
            <w:pPr>
              <w:autoSpaceDE w:val="0"/>
              <w:autoSpaceDN w:val="0"/>
              <w:jc w:val="both"/>
              <w:rPr>
                <w:rFonts w:ascii="Arial Narrow" w:hAnsi="Arial Narrow" w:cs="Arial"/>
                <w:lang w:val="es-ES" w:eastAsia="es-ES"/>
              </w:rPr>
            </w:pPr>
          </w:p>
        </w:tc>
      </w:tr>
      <w:tr w:rsidR="007968EC" w:rsidRPr="000A7D22" w14:paraId="1E8339D3" w14:textId="77777777" w:rsidTr="007968EC">
        <w:trPr>
          <w:jc w:val="center"/>
        </w:trPr>
        <w:tc>
          <w:tcPr>
            <w:tcW w:w="2235" w:type="dxa"/>
            <w:shd w:val="clear" w:color="auto" w:fill="auto"/>
          </w:tcPr>
          <w:p w14:paraId="692E0E21" w14:textId="77777777" w:rsidR="007968EC" w:rsidRPr="000A7D22" w:rsidRDefault="007968EC" w:rsidP="007968EC">
            <w:pPr>
              <w:autoSpaceDE w:val="0"/>
              <w:autoSpaceDN w:val="0"/>
              <w:jc w:val="both"/>
              <w:rPr>
                <w:rFonts w:ascii="Arial Narrow" w:hAnsi="Arial Narrow" w:cs="Arial"/>
                <w:lang w:val="es-ES" w:eastAsia="es-ES"/>
              </w:rPr>
            </w:pPr>
            <w:r w:rsidRPr="000A7D22">
              <w:rPr>
                <w:rFonts w:ascii="Arial Narrow" w:hAnsi="Arial Narrow" w:cs="Arial"/>
                <w:lang w:val="es-ES" w:eastAsia="es-ES"/>
              </w:rPr>
              <w:t>Renta Fija</w:t>
            </w:r>
          </w:p>
        </w:tc>
        <w:tc>
          <w:tcPr>
            <w:tcW w:w="850" w:type="dxa"/>
            <w:shd w:val="clear" w:color="auto" w:fill="auto"/>
          </w:tcPr>
          <w:p w14:paraId="26E0F0D1" w14:textId="77777777" w:rsidR="007968EC" w:rsidRPr="000A7D22" w:rsidRDefault="007968EC" w:rsidP="007968EC">
            <w:pPr>
              <w:autoSpaceDE w:val="0"/>
              <w:autoSpaceDN w:val="0"/>
              <w:jc w:val="both"/>
              <w:rPr>
                <w:rFonts w:ascii="Arial Narrow" w:hAnsi="Arial Narrow" w:cs="Arial"/>
                <w:lang w:val="es-ES" w:eastAsia="es-ES"/>
              </w:rPr>
            </w:pPr>
          </w:p>
        </w:tc>
      </w:tr>
      <w:tr w:rsidR="007968EC" w:rsidRPr="000A7D22" w14:paraId="0AF13A94" w14:textId="77777777" w:rsidTr="007968EC">
        <w:trPr>
          <w:jc w:val="center"/>
        </w:trPr>
        <w:tc>
          <w:tcPr>
            <w:tcW w:w="2235" w:type="dxa"/>
            <w:shd w:val="clear" w:color="auto" w:fill="auto"/>
          </w:tcPr>
          <w:p w14:paraId="2B4E1A76" w14:textId="77777777" w:rsidR="007968EC" w:rsidRPr="000A7D22" w:rsidRDefault="007968EC" w:rsidP="007968EC">
            <w:pPr>
              <w:autoSpaceDE w:val="0"/>
              <w:autoSpaceDN w:val="0"/>
              <w:jc w:val="both"/>
              <w:rPr>
                <w:rFonts w:ascii="Arial Narrow" w:hAnsi="Arial Narrow" w:cs="Arial"/>
                <w:bCs/>
                <w:lang w:val="es-ES" w:eastAsia="es-ES"/>
              </w:rPr>
            </w:pPr>
            <w:r w:rsidRPr="000A7D22">
              <w:rPr>
                <w:rFonts w:ascii="Arial Narrow" w:hAnsi="Arial Narrow" w:cs="Arial"/>
                <w:bCs/>
                <w:lang w:val="es-ES" w:eastAsia="es-ES"/>
              </w:rPr>
              <w:t>Renta Variable</w:t>
            </w:r>
          </w:p>
        </w:tc>
        <w:tc>
          <w:tcPr>
            <w:tcW w:w="850" w:type="dxa"/>
            <w:shd w:val="clear" w:color="auto" w:fill="auto"/>
          </w:tcPr>
          <w:p w14:paraId="6E59ED4B" w14:textId="77777777" w:rsidR="007968EC" w:rsidRPr="000A7D22" w:rsidRDefault="007968EC" w:rsidP="007968EC">
            <w:pPr>
              <w:autoSpaceDE w:val="0"/>
              <w:autoSpaceDN w:val="0"/>
              <w:jc w:val="both"/>
              <w:rPr>
                <w:rFonts w:ascii="Arial Narrow" w:hAnsi="Arial Narrow" w:cs="Arial"/>
                <w:bCs/>
                <w:lang w:val="es-ES" w:eastAsia="es-ES"/>
              </w:rPr>
            </w:pPr>
          </w:p>
        </w:tc>
      </w:tr>
      <w:tr w:rsidR="007968EC" w:rsidRPr="000A7D22" w14:paraId="6098A24E" w14:textId="77777777" w:rsidTr="007968EC">
        <w:trPr>
          <w:jc w:val="center"/>
        </w:trPr>
        <w:tc>
          <w:tcPr>
            <w:tcW w:w="2235" w:type="dxa"/>
            <w:shd w:val="clear" w:color="auto" w:fill="auto"/>
          </w:tcPr>
          <w:p w14:paraId="6360FBA2" w14:textId="77777777" w:rsidR="007968EC" w:rsidRPr="000A7D22" w:rsidRDefault="007968EC" w:rsidP="007968EC">
            <w:pPr>
              <w:autoSpaceDE w:val="0"/>
              <w:autoSpaceDN w:val="0"/>
              <w:jc w:val="both"/>
              <w:rPr>
                <w:rFonts w:ascii="Arial Narrow" w:hAnsi="Arial Narrow" w:cs="Arial"/>
                <w:bCs/>
                <w:lang w:val="es-ES" w:eastAsia="es-ES"/>
              </w:rPr>
            </w:pPr>
            <w:r w:rsidRPr="000A7D22">
              <w:rPr>
                <w:rFonts w:ascii="Arial Narrow" w:hAnsi="Arial Narrow" w:cs="Arial"/>
                <w:bCs/>
                <w:lang w:val="es-ES" w:eastAsia="es-ES"/>
              </w:rPr>
              <w:t>Swaps</w:t>
            </w:r>
          </w:p>
        </w:tc>
        <w:tc>
          <w:tcPr>
            <w:tcW w:w="850" w:type="dxa"/>
            <w:shd w:val="clear" w:color="auto" w:fill="auto"/>
          </w:tcPr>
          <w:p w14:paraId="1AA254B7" w14:textId="77777777" w:rsidR="007968EC" w:rsidRPr="000A7D22" w:rsidRDefault="007968EC" w:rsidP="007968EC">
            <w:pPr>
              <w:autoSpaceDE w:val="0"/>
              <w:autoSpaceDN w:val="0"/>
              <w:jc w:val="both"/>
              <w:rPr>
                <w:rFonts w:ascii="Arial Narrow" w:hAnsi="Arial Narrow" w:cs="Arial"/>
                <w:bCs/>
                <w:lang w:val="es-ES" w:eastAsia="es-ES"/>
              </w:rPr>
            </w:pPr>
          </w:p>
        </w:tc>
      </w:tr>
    </w:tbl>
    <w:p w14:paraId="5A978285" w14:textId="77777777" w:rsidR="007968EC" w:rsidRPr="000A7D22" w:rsidRDefault="007968EC" w:rsidP="007968EC">
      <w:pPr>
        <w:autoSpaceDE w:val="0"/>
        <w:autoSpaceDN w:val="0"/>
        <w:jc w:val="both"/>
        <w:rPr>
          <w:rFonts w:ascii="Arial Narrow" w:hAnsi="Arial Narrow" w:cs="Arial"/>
          <w:lang w:val="es-ES" w:eastAsia="es-ES"/>
        </w:rPr>
      </w:pPr>
    </w:p>
    <w:p w14:paraId="01770FA6" w14:textId="77777777" w:rsidR="007968EC" w:rsidRPr="000A7D22" w:rsidRDefault="007968EC" w:rsidP="007968EC">
      <w:pPr>
        <w:autoSpaceDE w:val="0"/>
        <w:autoSpaceDN w:val="0"/>
        <w:jc w:val="both"/>
        <w:rPr>
          <w:rFonts w:ascii="Arial Narrow" w:hAnsi="Arial Narrow" w:cs="Arial"/>
          <w:lang w:val="es-ES" w:eastAsia="es-ES"/>
        </w:rPr>
      </w:pPr>
    </w:p>
    <w:p w14:paraId="4F9FF2EC" w14:textId="77777777" w:rsidR="007968EC" w:rsidRPr="000A7D22" w:rsidRDefault="007968EC" w:rsidP="007968EC">
      <w:pPr>
        <w:autoSpaceDE w:val="0"/>
        <w:autoSpaceDN w:val="0"/>
        <w:jc w:val="both"/>
        <w:rPr>
          <w:rFonts w:ascii="Arial Narrow" w:hAnsi="Arial Narrow" w:cs="Arial"/>
          <w:lang w:val="es-ES" w:eastAsia="es-ES"/>
        </w:rPr>
      </w:pPr>
      <w:r w:rsidRPr="000A7D22">
        <w:rPr>
          <w:rFonts w:ascii="Arial Narrow" w:hAnsi="Arial Narrow" w:cs="Arial"/>
          <w:lang w:val="es-ES" w:eastAsia="es-ES"/>
        </w:rPr>
        <w:t>En cumplimiento de los requisitos exigidos por la CRCC S.A., para cada uno de los Segmentos me permito informar que el patrimonio técnico de la entidad es ____________ necesario para el trámite de la presente solicitud.</w:t>
      </w:r>
    </w:p>
    <w:p w14:paraId="46373A9A" w14:textId="77777777" w:rsidR="007968EC" w:rsidRPr="000A7D22" w:rsidRDefault="007968EC" w:rsidP="007968EC">
      <w:pPr>
        <w:autoSpaceDE w:val="0"/>
        <w:autoSpaceDN w:val="0"/>
        <w:jc w:val="both"/>
        <w:rPr>
          <w:rFonts w:ascii="Arial Narrow" w:hAnsi="Arial Narrow" w:cs="Arial"/>
          <w:lang w:val="es-ES" w:eastAsia="es-ES"/>
        </w:rPr>
      </w:pPr>
    </w:p>
    <w:p w14:paraId="4FCFF658" w14:textId="77777777" w:rsidR="007968EC" w:rsidRPr="000A7D22" w:rsidRDefault="007968EC" w:rsidP="007968EC">
      <w:pPr>
        <w:autoSpaceDE w:val="0"/>
        <w:autoSpaceDN w:val="0"/>
        <w:jc w:val="both"/>
        <w:rPr>
          <w:rFonts w:ascii="Arial Narrow" w:hAnsi="Arial Narrow" w:cs="Arial"/>
          <w:lang w:val="es-ES" w:eastAsia="es-ES"/>
        </w:rPr>
      </w:pPr>
      <w:r w:rsidRPr="000A7D22">
        <w:rPr>
          <w:rFonts w:ascii="Arial Narrow" w:hAnsi="Arial Narrow" w:cs="Arial"/>
          <w:lang w:val="es-ES" w:eastAsia="es-ES"/>
        </w:rPr>
        <w:t>Cordialmente,</w:t>
      </w:r>
    </w:p>
    <w:p w14:paraId="782A63FC" w14:textId="77777777" w:rsidR="007968EC" w:rsidRPr="000A7D22" w:rsidRDefault="007968EC" w:rsidP="007968EC">
      <w:pPr>
        <w:autoSpaceDE w:val="0"/>
        <w:autoSpaceDN w:val="0"/>
        <w:jc w:val="both"/>
        <w:rPr>
          <w:rFonts w:ascii="Arial Narrow" w:hAnsi="Arial Narrow" w:cs="Arial"/>
          <w:lang w:val="es-ES" w:eastAsia="es-ES"/>
        </w:rPr>
      </w:pPr>
    </w:p>
    <w:p w14:paraId="0D4AA878" w14:textId="77777777" w:rsidR="007968EC" w:rsidRPr="000A7D22" w:rsidRDefault="007968EC" w:rsidP="007968EC">
      <w:pPr>
        <w:autoSpaceDE w:val="0"/>
        <w:autoSpaceDN w:val="0"/>
        <w:jc w:val="both"/>
        <w:rPr>
          <w:rFonts w:ascii="Arial Narrow" w:hAnsi="Arial Narrow" w:cs="Arial"/>
          <w:lang w:val="es-ES" w:eastAsia="es-ES"/>
        </w:rPr>
      </w:pPr>
    </w:p>
    <w:p w14:paraId="042DC90E" w14:textId="77777777" w:rsidR="007968EC" w:rsidRPr="000A7D22" w:rsidRDefault="007968EC" w:rsidP="007968EC">
      <w:pPr>
        <w:autoSpaceDE w:val="0"/>
        <w:autoSpaceDN w:val="0"/>
        <w:jc w:val="both"/>
        <w:rPr>
          <w:rFonts w:ascii="Arial Narrow" w:hAnsi="Arial Narrow" w:cs="Arial"/>
          <w:lang w:val="es-ES" w:eastAsia="es-ES"/>
        </w:rPr>
      </w:pPr>
    </w:p>
    <w:p w14:paraId="6B86E02C" w14:textId="77777777" w:rsidR="007968EC" w:rsidRPr="000A7D22" w:rsidRDefault="007968EC" w:rsidP="007968EC">
      <w:pPr>
        <w:autoSpaceDE w:val="0"/>
        <w:autoSpaceDN w:val="0"/>
        <w:jc w:val="both"/>
        <w:rPr>
          <w:rFonts w:ascii="Arial Narrow" w:hAnsi="Arial Narrow" w:cs="Arial"/>
          <w:lang w:val="es-ES" w:eastAsia="es-ES"/>
        </w:rPr>
      </w:pPr>
      <w:r w:rsidRPr="000A7D22">
        <w:rPr>
          <w:rFonts w:ascii="Arial Narrow" w:hAnsi="Arial Narrow" w:cs="Arial"/>
          <w:lang w:val="es-ES" w:eastAsia="es-ES"/>
        </w:rPr>
        <w:lastRenderedPageBreak/>
        <w:t>____________________________________ </w:t>
      </w:r>
    </w:p>
    <w:p w14:paraId="3052D9C4" w14:textId="77777777" w:rsidR="007968EC" w:rsidRPr="000A7D22" w:rsidRDefault="007968EC" w:rsidP="007968EC">
      <w:pPr>
        <w:jc w:val="both"/>
        <w:rPr>
          <w:rFonts w:ascii="Arial Narrow" w:hAnsi="Arial Narrow" w:cs="Arial"/>
          <w:lang w:val="es-ES" w:eastAsia="es-ES"/>
        </w:rPr>
      </w:pPr>
      <w:r w:rsidRPr="000A7D22">
        <w:rPr>
          <w:rFonts w:ascii="Arial Narrow" w:hAnsi="Arial Narrow" w:cs="Arial"/>
          <w:lang w:val="es-ES" w:eastAsia="es-ES"/>
        </w:rPr>
        <w:t>(Nombre y Cédula)</w:t>
      </w:r>
    </w:p>
    <w:p w14:paraId="75790FB0" w14:textId="77777777" w:rsidR="007968EC" w:rsidRPr="000A7D22" w:rsidRDefault="007968EC" w:rsidP="007968EC">
      <w:pPr>
        <w:jc w:val="both"/>
        <w:rPr>
          <w:rFonts w:ascii="Arial Narrow" w:hAnsi="Arial Narrow" w:cs="Arial"/>
          <w:b/>
          <w:lang w:val="es-ES" w:eastAsia="es-ES"/>
        </w:rPr>
      </w:pPr>
    </w:p>
    <w:p w14:paraId="405BCAD3" w14:textId="77777777" w:rsidR="007968EC" w:rsidRPr="002C0D19" w:rsidRDefault="007968EC" w:rsidP="007968EC">
      <w:pPr>
        <w:jc w:val="both"/>
        <w:rPr>
          <w:rFonts w:ascii="Arial Narrow" w:hAnsi="Arial Narrow" w:cs="Arial"/>
          <w:color w:val="000000" w:themeColor="text1"/>
          <w:lang w:val="es-ES" w:eastAsia="es-ES"/>
        </w:rPr>
      </w:pPr>
      <w:r w:rsidRPr="000A7D22">
        <w:rPr>
          <w:rFonts w:ascii="Arial Narrow" w:hAnsi="Arial Narrow" w:cs="Arial"/>
          <w:b/>
          <w:lang w:val="es-ES" w:eastAsia="es-ES"/>
        </w:rPr>
        <w:t xml:space="preserve">NOTA: </w:t>
      </w:r>
      <w:r w:rsidRPr="000A7D22">
        <w:rPr>
          <w:rFonts w:ascii="Arial Narrow" w:hAnsi="Arial Narrow" w:cs="Arial"/>
          <w:lang w:val="es-ES" w:eastAsia="es-ES"/>
        </w:rPr>
        <w:t>Cuando se trate de la solicitud de ingreso de un Miembro No Liquidador a un nuevo Segmento, será indispensable contar con la aceptación de su Miembro Liquidador General y que este último ingrese o se encuentre participando en el respectivo Segmento.</w:t>
      </w:r>
    </w:p>
    <w:p w14:paraId="1C80CC1C" w14:textId="77777777" w:rsidR="007968EC" w:rsidRPr="002C0D19" w:rsidRDefault="007968EC" w:rsidP="007968EC">
      <w:pPr>
        <w:jc w:val="both"/>
        <w:rPr>
          <w:rFonts w:ascii="Arial Narrow" w:hAnsi="Arial Narrow" w:cs="Arial"/>
          <w:color w:val="000000" w:themeColor="text1"/>
          <w:lang w:val="es-ES" w:eastAsia="es-ES"/>
        </w:rPr>
      </w:pPr>
    </w:p>
    <w:p w14:paraId="1422FE47" w14:textId="77777777" w:rsidR="007968EC" w:rsidRPr="002C0D19" w:rsidRDefault="007968EC" w:rsidP="007968EC">
      <w:pPr>
        <w:rPr>
          <w:rFonts w:ascii="Arial Narrow" w:hAnsi="Arial Narrow" w:cs="Arial"/>
          <w:b/>
          <w:bCs/>
          <w:i/>
          <w:color w:val="000000" w:themeColor="text1"/>
          <w:lang w:val="es-ES" w:eastAsia="es-ES"/>
        </w:rPr>
      </w:pPr>
      <w:r w:rsidRPr="002C0D19">
        <w:rPr>
          <w:rFonts w:ascii="Arial Narrow" w:hAnsi="Arial Narrow" w:cs="Arial"/>
          <w:b/>
          <w:bCs/>
          <w:i/>
          <w:color w:val="000000" w:themeColor="text1"/>
          <w:lang w:val="es-ES" w:eastAsia="es-ES"/>
        </w:rPr>
        <w:br w:type="page"/>
      </w:r>
    </w:p>
    <w:p w14:paraId="1D81B4CC" w14:textId="77777777" w:rsidR="007968EC" w:rsidRPr="002C0D19" w:rsidRDefault="007968EC" w:rsidP="007968EC">
      <w:pPr>
        <w:jc w:val="center"/>
        <w:rPr>
          <w:rFonts w:ascii="Arial Narrow" w:hAnsi="Arial Narrow" w:cs="Arial"/>
          <w:b/>
          <w:bCs/>
          <w:i/>
          <w:color w:val="000000" w:themeColor="text1"/>
          <w:lang w:val="es-ES" w:eastAsia="es-ES"/>
        </w:rPr>
      </w:pPr>
      <w:r w:rsidRPr="002C0D19">
        <w:rPr>
          <w:rFonts w:ascii="Arial Narrow" w:hAnsi="Arial Narrow" w:cs="Arial"/>
          <w:b/>
          <w:bCs/>
          <w:i/>
          <w:color w:val="000000" w:themeColor="text1"/>
          <w:lang w:val="es-ES" w:eastAsia="es-ES"/>
        </w:rPr>
        <w:lastRenderedPageBreak/>
        <w:t>Anexo 1.6. Solicitud de retiro de segmentos</w:t>
      </w:r>
    </w:p>
    <w:p w14:paraId="1401C922" w14:textId="77777777" w:rsidR="007968EC" w:rsidRPr="002C0D19" w:rsidRDefault="007968EC" w:rsidP="007968EC">
      <w:pPr>
        <w:jc w:val="center"/>
        <w:rPr>
          <w:rFonts w:ascii="Arial Narrow" w:hAnsi="Arial Narrow" w:cs="Arial"/>
          <w:b/>
          <w:bCs/>
          <w:i/>
          <w:color w:val="000000" w:themeColor="text1"/>
          <w:lang w:val="es-ES" w:eastAsia="es-ES"/>
        </w:rPr>
      </w:pPr>
    </w:p>
    <w:p w14:paraId="238DDAB8" w14:textId="77777777" w:rsidR="007968EC" w:rsidRPr="002C0D19" w:rsidRDefault="007968EC" w:rsidP="007968EC">
      <w:pPr>
        <w:pStyle w:val="ANTECEDENTES"/>
        <w:jc w:val="center"/>
        <w:rPr>
          <w:bCs/>
          <w:color w:val="000000" w:themeColor="text1"/>
          <w:lang w:val="es-ES"/>
        </w:rPr>
      </w:pPr>
      <w:r w:rsidRPr="002C0D19">
        <w:rPr>
          <w:rFonts w:eastAsia="Calibri"/>
        </w:rPr>
        <w:t>(Este Anexo fue modificado mediante Circular 14 del 8 de agosto de 2017, publicada en el Boletín Normativo No. 015 del 8 de agosto de 20172017</w:t>
      </w:r>
      <w:r w:rsidRPr="000A7D22">
        <w:rPr>
          <w:rFonts w:eastAsia="Calibri"/>
        </w:rPr>
        <w:t xml:space="preserve"> </w:t>
      </w:r>
      <w:r>
        <w:rPr>
          <w:rFonts w:eastAsia="Calibri"/>
        </w:rPr>
        <w:t>y mediante Circular 7 del 9 de mayo de 2018, publicada en el Boletín Normativo No. 010 del 9 de mayo de 2018. Rige a partir del 21</w:t>
      </w:r>
      <w:r w:rsidRPr="002C0D19">
        <w:rPr>
          <w:rFonts w:eastAsia="Calibri"/>
        </w:rPr>
        <w:t xml:space="preserve"> de </w:t>
      </w:r>
      <w:r>
        <w:rPr>
          <w:rFonts w:eastAsia="Calibri"/>
        </w:rPr>
        <w:t>mayo de 2018</w:t>
      </w:r>
      <w:r w:rsidRPr="002C0D19">
        <w:rPr>
          <w:rFonts w:eastAsia="Calibri"/>
        </w:rPr>
        <w:t>.)</w:t>
      </w:r>
    </w:p>
    <w:p w14:paraId="140C959F"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41D4A0E5" w14:textId="77777777" w:rsidR="007968EC" w:rsidRPr="002C0D19" w:rsidRDefault="007968EC" w:rsidP="007968EC">
      <w:pPr>
        <w:autoSpaceDE w:val="0"/>
        <w:autoSpaceDN w:val="0"/>
        <w:jc w:val="both"/>
        <w:rPr>
          <w:rFonts w:ascii="Arial Narrow" w:hAnsi="Arial Narrow" w:cs="Arial"/>
          <w:lang w:val="es-ES" w:eastAsia="es-ES"/>
        </w:rPr>
      </w:pPr>
      <w:r w:rsidRPr="002C0D19">
        <w:rPr>
          <w:rFonts w:ascii="Arial Narrow" w:hAnsi="Arial Narrow" w:cs="Arial"/>
          <w:lang w:val="es-ES" w:eastAsia="es-ES"/>
        </w:rPr>
        <w:t>Doctor</w:t>
      </w:r>
    </w:p>
    <w:p w14:paraId="152D4A82" w14:textId="77777777" w:rsidR="007968EC" w:rsidRPr="002C0D19" w:rsidRDefault="007968EC" w:rsidP="007968EC">
      <w:pPr>
        <w:autoSpaceDE w:val="0"/>
        <w:autoSpaceDN w:val="0"/>
        <w:jc w:val="both"/>
        <w:rPr>
          <w:rFonts w:ascii="Arial Narrow" w:hAnsi="Arial Narrow" w:cs="Arial"/>
          <w:lang w:val="es-ES" w:eastAsia="es-ES"/>
        </w:rPr>
      </w:pPr>
      <w:r w:rsidRPr="002C0D19">
        <w:rPr>
          <w:rFonts w:ascii="Arial Narrow" w:hAnsi="Arial Narrow" w:cs="Arial"/>
          <w:lang w:val="es-ES" w:eastAsia="es-ES"/>
        </w:rPr>
        <w:t>______________</w:t>
      </w:r>
    </w:p>
    <w:p w14:paraId="0590247D" w14:textId="77777777" w:rsidR="007968EC" w:rsidRPr="002C0D19" w:rsidRDefault="007968EC" w:rsidP="007968EC">
      <w:pPr>
        <w:autoSpaceDE w:val="0"/>
        <w:autoSpaceDN w:val="0"/>
        <w:jc w:val="both"/>
        <w:rPr>
          <w:rFonts w:ascii="Arial Narrow" w:hAnsi="Arial Narrow" w:cs="Arial"/>
          <w:lang w:val="es-ES" w:eastAsia="es-ES"/>
        </w:rPr>
      </w:pPr>
      <w:r w:rsidRPr="002C0D19">
        <w:rPr>
          <w:rFonts w:ascii="Arial Narrow" w:hAnsi="Arial Narrow" w:cs="Arial"/>
          <w:lang w:val="es-ES" w:eastAsia="es-ES"/>
        </w:rPr>
        <w:t>Gerente</w:t>
      </w:r>
    </w:p>
    <w:p w14:paraId="05D478ED" w14:textId="77777777" w:rsidR="007968EC" w:rsidRPr="002C0D19" w:rsidRDefault="007968EC" w:rsidP="007968EC">
      <w:pPr>
        <w:autoSpaceDE w:val="0"/>
        <w:autoSpaceDN w:val="0"/>
        <w:jc w:val="both"/>
        <w:rPr>
          <w:rFonts w:ascii="Arial Narrow" w:hAnsi="Arial Narrow" w:cs="Arial"/>
          <w:lang w:val="es-ES" w:eastAsia="es-ES"/>
        </w:rPr>
      </w:pPr>
      <w:r w:rsidRPr="002C0D19">
        <w:rPr>
          <w:rFonts w:ascii="Arial Narrow" w:hAnsi="Arial Narrow" w:cs="Arial"/>
          <w:lang w:val="es-ES" w:eastAsia="es-ES"/>
        </w:rPr>
        <w:t xml:space="preserve">Cámara de Riesgo Central de Contraparte de Colombia S.A. </w:t>
      </w:r>
    </w:p>
    <w:p w14:paraId="432FC156" w14:textId="77777777" w:rsidR="007968EC" w:rsidRPr="002C0D19" w:rsidRDefault="007968EC" w:rsidP="007968EC">
      <w:pPr>
        <w:autoSpaceDE w:val="0"/>
        <w:autoSpaceDN w:val="0"/>
        <w:jc w:val="both"/>
        <w:rPr>
          <w:rFonts w:ascii="Arial Narrow" w:hAnsi="Arial Narrow" w:cs="Arial"/>
          <w:lang w:val="es-ES" w:eastAsia="es-ES"/>
        </w:rPr>
      </w:pPr>
      <w:r w:rsidRPr="002C0D19">
        <w:rPr>
          <w:rFonts w:ascii="Arial Narrow" w:hAnsi="Arial Narrow" w:cs="Arial"/>
          <w:lang w:val="es-ES" w:eastAsia="es-ES"/>
        </w:rPr>
        <w:t>Ciudad</w:t>
      </w:r>
    </w:p>
    <w:p w14:paraId="1A18E4A6" w14:textId="77777777" w:rsidR="007968EC" w:rsidRPr="002C0D19" w:rsidRDefault="007968EC" w:rsidP="007968EC">
      <w:pPr>
        <w:autoSpaceDE w:val="0"/>
        <w:autoSpaceDN w:val="0"/>
        <w:jc w:val="both"/>
        <w:rPr>
          <w:rFonts w:ascii="Arial Narrow" w:hAnsi="Arial Narrow" w:cs="Arial"/>
          <w:lang w:val="es-ES" w:eastAsia="es-ES"/>
        </w:rPr>
      </w:pPr>
    </w:p>
    <w:p w14:paraId="48087711" w14:textId="77777777" w:rsidR="007968EC" w:rsidRPr="002C0D19" w:rsidRDefault="007968EC" w:rsidP="007968EC">
      <w:pPr>
        <w:autoSpaceDE w:val="0"/>
        <w:autoSpaceDN w:val="0"/>
        <w:ind w:left="851" w:hanging="851"/>
        <w:jc w:val="both"/>
        <w:rPr>
          <w:rFonts w:ascii="Arial Narrow" w:hAnsi="Arial Narrow" w:cs="Arial"/>
          <w:lang w:val="es-ES" w:eastAsia="es-ES"/>
        </w:rPr>
      </w:pPr>
      <w:r w:rsidRPr="002C0D19">
        <w:rPr>
          <w:rFonts w:ascii="Arial Narrow" w:hAnsi="Arial Narrow" w:cs="Arial"/>
          <w:b/>
          <w:lang w:val="es-ES" w:eastAsia="es-ES"/>
        </w:rPr>
        <w:t>Asunto:</w:t>
      </w:r>
      <w:r w:rsidRPr="002C0D19">
        <w:rPr>
          <w:rFonts w:ascii="Arial Narrow" w:hAnsi="Arial Narrow" w:cs="Arial"/>
          <w:lang w:val="es-ES" w:eastAsia="es-ES"/>
        </w:rPr>
        <w:t xml:space="preserve"> Solicitud de retiro de segmentos </w:t>
      </w:r>
    </w:p>
    <w:p w14:paraId="07CC9AF3" w14:textId="77777777" w:rsidR="007968EC" w:rsidRPr="002C0D19" w:rsidRDefault="007968EC" w:rsidP="007968EC">
      <w:pPr>
        <w:autoSpaceDE w:val="0"/>
        <w:autoSpaceDN w:val="0"/>
        <w:jc w:val="both"/>
        <w:rPr>
          <w:rFonts w:ascii="Arial Narrow" w:hAnsi="Arial Narrow" w:cs="Arial"/>
          <w:lang w:val="es-ES" w:eastAsia="es-ES"/>
        </w:rPr>
      </w:pPr>
    </w:p>
    <w:p w14:paraId="4F61129A" w14:textId="77777777" w:rsidR="007968EC" w:rsidRPr="002C0D19" w:rsidRDefault="007968EC" w:rsidP="007968EC">
      <w:pPr>
        <w:autoSpaceDE w:val="0"/>
        <w:autoSpaceDN w:val="0"/>
        <w:jc w:val="both"/>
        <w:rPr>
          <w:rFonts w:ascii="Arial Narrow" w:hAnsi="Arial Narrow" w:cs="Arial"/>
          <w:lang w:val="es-ES" w:eastAsia="es-ES"/>
        </w:rPr>
      </w:pPr>
    </w:p>
    <w:p w14:paraId="5A136BDF" w14:textId="77777777" w:rsidR="007968EC" w:rsidRPr="002C0D19" w:rsidRDefault="007968EC" w:rsidP="007968EC">
      <w:pPr>
        <w:autoSpaceDE w:val="0"/>
        <w:autoSpaceDN w:val="0"/>
        <w:jc w:val="both"/>
        <w:rPr>
          <w:rFonts w:ascii="Arial Narrow" w:hAnsi="Arial Narrow" w:cs="Arial"/>
          <w:lang w:val="es-ES" w:eastAsia="es-ES"/>
        </w:rPr>
      </w:pPr>
      <w:r w:rsidRPr="002C0D19">
        <w:rPr>
          <w:rFonts w:ascii="Arial Narrow" w:hAnsi="Arial Narrow" w:cs="Arial"/>
          <w:lang w:val="es-ES" w:eastAsia="es-ES"/>
        </w:rPr>
        <w:t>El/La suscrito (a), _________________________, identificado (a) con la Cédula de Ciudadanía No. _______________ expedida en la ciudad de _____________, obrando en nombre y representación de _____________________, con NIT. _______________, en la modalidad de</w:t>
      </w:r>
      <w:r w:rsidRPr="002C0D19">
        <w:rPr>
          <w:rFonts w:ascii="Arial Narrow" w:hAnsi="Arial Narrow" w:cs="Arial"/>
          <w:b/>
          <w:lang w:val="es-ES" w:eastAsia="es-ES"/>
        </w:rPr>
        <w:t xml:space="preserve"> Miembro</w:t>
      </w:r>
      <w:r w:rsidRPr="002C0D19">
        <w:rPr>
          <w:rFonts w:ascii="Arial Narrow" w:hAnsi="Arial Narrow" w:cs="Arial"/>
          <w:b/>
          <w:i/>
          <w:lang w:val="es-ES" w:eastAsia="es-ES"/>
        </w:rPr>
        <w:t xml:space="preserve"> (Liquidador General, Liquidador Individual, No Liquidador) </w:t>
      </w:r>
      <w:r w:rsidRPr="002C0D19">
        <w:rPr>
          <w:rFonts w:ascii="Arial Narrow" w:hAnsi="Arial Narrow" w:cs="Arial"/>
          <w:lang w:val="es-ES" w:eastAsia="es-ES"/>
        </w:rPr>
        <w:t>de la Cámara de Riesgo Central de Contraparte de Colombia S.A. – CRCC S.A., de conformidad con lo dispuesto en el artículo 1.2.4.3. de la Circular Única de la CRCC S.A., atentamente solicito el retiro del/los siguiente(s) segmento(s):</w:t>
      </w:r>
    </w:p>
    <w:p w14:paraId="361E2041" w14:textId="77777777" w:rsidR="007968EC" w:rsidRPr="002C0D19" w:rsidRDefault="007968EC" w:rsidP="007968EC">
      <w:pPr>
        <w:autoSpaceDE w:val="0"/>
        <w:autoSpaceDN w:val="0"/>
        <w:jc w:val="both"/>
        <w:rPr>
          <w:rFonts w:ascii="Arial Narrow" w:hAnsi="Arial Narrow" w:cs="Arial"/>
          <w:lang w:val="es-ES" w:eastAsia="es-ES"/>
        </w:rPr>
      </w:pPr>
      <w:r>
        <w:rPr>
          <w:rFonts w:ascii="Arial Narrow" w:hAnsi="Arial Narrow" w:cs="Arial"/>
          <w:lang w:val="es-ES" w:eastAsia="es-E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850"/>
      </w:tblGrid>
      <w:tr w:rsidR="007968EC" w:rsidRPr="002C0D19" w14:paraId="6868CA49" w14:textId="77777777" w:rsidTr="007968EC">
        <w:trPr>
          <w:jc w:val="center"/>
        </w:trPr>
        <w:tc>
          <w:tcPr>
            <w:tcW w:w="3085" w:type="dxa"/>
            <w:gridSpan w:val="2"/>
            <w:shd w:val="clear" w:color="auto" w:fill="auto"/>
          </w:tcPr>
          <w:p w14:paraId="3CC83A13" w14:textId="77777777" w:rsidR="007968EC" w:rsidRPr="002C0D19" w:rsidRDefault="007968EC" w:rsidP="007968EC">
            <w:pPr>
              <w:autoSpaceDE w:val="0"/>
              <w:autoSpaceDN w:val="0"/>
              <w:jc w:val="center"/>
              <w:rPr>
                <w:rFonts w:ascii="Arial Narrow" w:hAnsi="Arial Narrow" w:cs="Arial"/>
                <w:b/>
                <w:lang w:val="es-ES" w:eastAsia="es-ES"/>
              </w:rPr>
            </w:pPr>
            <w:r w:rsidRPr="002C0D19">
              <w:rPr>
                <w:rFonts w:ascii="Arial Narrow" w:hAnsi="Arial Narrow" w:cs="Arial"/>
                <w:b/>
                <w:lang w:val="es-ES" w:eastAsia="es-ES"/>
              </w:rPr>
              <w:t>SEGMENTOS</w:t>
            </w:r>
          </w:p>
        </w:tc>
      </w:tr>
      <w:tr w:rsidR="007968EC" w:rsidRPr="002C0D19" w14:paraId="3E96B251" w14:textId="77777777" w:rsidTr="007968EC">
        <w:trPr>
          <w:jc w:val="center"/>
        </w:trPr>
        <w:tc>
          <w:tcPr>
            <w:tcW w:w="2235" w:type="dxa"/>
            <w:shd w:val="clear" w:color="auto" w:fill="auto"/>
          </w:tcPr>
          <w:p w14:paraId="17253521" w14:textId="77777777" w:rsidR="007968EC" w:rsidRPr="002C0D19" w:rsidRDefault="007968EC" w:rsidP="007968EC">
            <w:pPr>
              <w:autoSpaceDE w:val="0"/>
              <w:autoSpaceDN w:val="0"/>
              <w:jc w:val="both"/>
              <w:rPr>
                <w:rFonts w:ascii="Arial Narrow" w:hAnsi="Arial Narrow" w:cs="Arial"/>
                <w:lang w:val="es-ES" w:eastAsia="es-ES"/>
              </w:rPr>
            </w:pPr>
            <w:r w:rsidRPr="002C0D19">
              <w:rPr>
                <w:rFonts w:ascii="Arial Narrow" w:hAnsi="Arial Narrow" w:cs="Arial"/>
                <w:lang w:val="es-ES" w:eastAsia="es-ES"/>
              </w:rPr>
              <w:t>Derivados Financieros</w:t>
            </w:r>
          </w:p>
        </w:tc>
        <w:tc>
          <w:tcPr>
            <w:tcW w:w="850" w:type="dxa"/>
            <w:shd w:val="clear" w:color="auto" w:fill="auto"/>
          </w:tcPr>
          <w:p w14:paraId="0973E7F7" w14:textId="77777777" w:rsidR="007968EC" w:rsidRPr="002C0D19" w:rsidRDefault="007968EC" w:rsidP="007968EC">
            <w:pPr>
              <w:autoSpaceDE w:val="0"/>
              <w:autoSpaceDN w:val="0"/>
              <w:jc w:val="both"/>
              <w:rPr>
                <w:rFonts w:ascii="Arial Narrow" w:hAnsi="Arial Narrow" w:cs="Arial"/>
                <w:lang w:val="es-ES" w:eastAsia="es-ES"/>
              </w:rPr>
            </w:pPr>
          </w:p>
        </w:tc>
      </w:tr>
      <w:tr w:rsidR="007968EC" w:rsidRPr="002C0D19" w14:paraId="309E2A3B" w14:textId="77777777" w:rsidTr="007968EC">
        <w:trPr>
          <w:jc w:val="center"/>
        </w:trPr>
        <w:tc>
          <w:tcPr>
            <w:tcW w:w="2235" w:type="dxa"/>
            <w:shd w:val="clear" w:color="auto" w:fill="auto"/>
          </w:tcPr>
          <w:p w14:paraId="3643A11F" w14:textId="77777777" w:rsidR="007968EC" w:rsidRPr="002C0D19" w:rsidRDefault="007968EC" w:rsidP="007968EC">
            <w:pPr>
              <w:autoSpaceDE w:val="0"/>
              <w:autoSpaceDN w:val="0"/>
              <w:jc w:val="both"/>
              <w:rPr>
                <w:rFonts w:ascii="Arial Narrow" w:hAnsi="Arial Narrow" w:cs="Arial"/>
                <w:lang w:val="es-ES" w:eastAsia="es-ES"/>
              </w:rPr>
            </w:pPr>
            <w:r w:rsidRPr="002C0D19">
              <w:rPr>
                <w:rFonts w:ascii="Arial Narrow" w:hAnsi="Arial Narrow" w:cs="Arial"/>
                <w:lang w:val="es-ES" w:eastAsia="es-ES"/>
              </w:rPr>
              <w:t>Renta Fija</w:t>
            </w:r>
          </w:p>
        </w:tc>
        <w:tc>
          <w:tcPr>
            <w:tcW w:w="850" w:type="dxa"/>
            <w:shd w:val="clear" w:color="auto" w:fill="auto"/>
          </w:tcPr>
          <w:p w14:paraId="5B88F7FA" w14:textId="77777777" w:rsidR="007968EC" w:rsidRPr="002C0D19" w:rsidRDefault="007968EC" w:rsidP="007968EC">
            <w:pPr>
              <w:autoSpaceDE w:val="0"/>
              <w:autoSpaceDN w:val="0"/>
              <w:jc w:val="both"/>
              <w:rPr>
                <w:rFonts w:ascii="Arial Narrow" w:hAnsi="Arial Narrow" w:cs="Arial"/>
                <w:lang w:val="es-ES" w:eastAsia="es-ES"/>
              </w:rPr>
            </w:pPr>
          </w:p>
        </w:tc>
      </w:tr>
      <w:tr w:rsidR="007968EC" w:rsidRPr="002C0D19" w14:paraId="0C4A50A2" w14:textId="77777777" w:rsidTr="007968EC">
        <w:trPr>
          <w:jc w:val="center"/>
        </w:trPr>
        <w:tc>
          <w:tcPr>
            <w:tcW w:w="2235" w:type="dxa"/>
            <w:shd w:val="clear" w:color="auto" w:fill="auto"/>
          </w:tcPr>
          <w:p w14:paraId="3EC6EF4D" w14:textId="77777777" w:rsidR="007968EC" w:rsidRPr="002C0D19" w:rsidRDefault="007968EC" w:rsidP="007968EC">
            <w:pPr>
              <w:autoSpaceDE w:val="0"/>
              <w:autoSpaceDN w:val="0"/>
              <w:jc w:val="both"/>
              <w:rPr>
                <w:rFonts w:ascii="Arial Narrow" w:hAnsi="Arial Narrow" w:cs="Arial"/>
                <w:bCs/>
                <w:lang w:val="es-ES" w:eastAsia="es-ES"/>
              </w:rPr>
            </w:pPr>
            <w:r w:rsidRPr="002C0D19">
              <w:rPr>
                <w:rFonts w:ascii="Arial Narrow" w:hAnsi="Arial Narrow" w:cs="Arial"/>
                <w:bCs/>
                <w:lang w:val="es-ES" w:eastAsia="es-ES"/>
              </w:rPr>
              <w:t>Renta Variable</w:t>
            </w:r>
          </w:p>
        </w:tc>
        <w:tc>
          <w:tcPr>
            <w:tcW w:w="850" w:type="dxa"/>
            <w:shd w:val="clear" w:color="auto" w:fill="auto"/>
          </w:tcPr>
          <w:p w14:paraId="70D73CF4" w14:textId="77777777" w:rsidR="007968EC" w:rsidRPr="002C0D19" w:rsidRDefault="007968EC" w:rsidP="007968EC">
            <w:pPr>
              <w:autoSpaceDE w:val="0"/>
              <w:autoSpaceDN w:val="0"/>
              <w:jc w:val="both"/>
              <w:rPr>
                <w:rFonts w:ascii="Arial Narrow" w:hAnsi="Arial Narrow" w:cs="Arial"/>
                <w:bCs/>
                <w:lang w:val="es-ES" w:eastAsia="es-ES"/>
              </w:rPr>
            </w:pPr>
          </w:p>
        </w:tc>
      </w:tr>
    </w:tbl>
    <w:p w14:paraId="1A041139" w14:textId="77777777" w:rsidR="007968EC" w:rsidRPr="002C0D19" w:rsidRDefault="007968EC" w:rsidP="007968EC">
      <w:pPr>
        <w:autoSpaceDE w:val="0"/>
        <w:autoSpaceDN w:val="0"/>
        <w:jc w:val="both"/>
        <w:rPr>
          <w:rFonts w:ascii="Arial Narrow" w:hAnsi="Arial Narrow" w:cs="Arial"/>
          <w:lang w:val="es-ES" w:eastAsia="es-ES"/>
        </w:rPr>
      </w:pPr>
    </w:p>
    <w:p w14:paraId="29157E4B" w14:textId="77777777" w:rsidR="007968EC" w:rsidRPr="002C0D19" w:rsidRDefault="007968EC" w:rsidP="007968EC">
      <w:pPr>
        <w:autoSpaceDE w:val="0"/>
        <w:autoSpaceDN w:val="0"/>
        <w:jc w:val="both"/>
        <w:rPr>
          <w:rFonts w:ascii="Arial Narrow" w:hAnsi="Arial Narrow" w:cs="Arial"/>
          <w:lang w:val="es-ES" w:eastAsia="es-ES"/>
        </w:rPr>
      </w:pPr>
      <w:r w:rsidRPr="002C0D19">
        <w:rPr>
          <w:rFonts w:ascii="Arial Narrow" w:hAnsi="Arial Narrow" w:cs="Arial"/>
          <w:lang w:val="es-ES" w:eastAsia="es-ES"/>
        </w:rPr>
        <w:t xml:space="preserve">Certifico que la sociedad cumple con todos los requisitos establecidos en el Reglamento de Funcionamiento de la CRCC S.A., y demás normas aplicables para el retiro de cada uno de los segmentos </w:t>
      </w:r>
    </w:p>
    <w:p w14:paraId="389ABAC5" w14:textId="77777777" w:rsidR="007968EC" w:rsidRPr="002C0D19" w:rsidRDefault="007968EC" w:rsidP="007968EC">
      <w:pPr>
        <w:autoSpaceDE w:val="0"/>
        <w:autoSpaceDN w:val="0"/>
        <w:jc w:val="both"/>
        <w:rPr>
          <w:rFonts w:ascii="Arial Narrow" w:hAnsi="Arial Narrow" w:cs="Arial"/>
          <w:lang w:val="es-ES" w:eastAsia="es-ES"/>
        </w:rPr>
      </w:pPr>
    </w:p>
    <w:p w14:paraId="22FBE1E6" w14:textId="77777777" w:rsidR="007968EC" w:rsidRPr="002C0D19" w:rsidRDefault="007968EC" w:rsidP="007968EC">
      <w:pPr>
        <w:autoSpaceDE w:val="0"/>
        <w:autoSpaceDN w:val="0"/>
        <w:jc w:val="both"/>
        <w:rPr>
          <w:rFonts w:ascii="Arial Narrow" w:hAnsi="Arial Narrow" w:cs="Arial"/>
          <w:lang w:val="es-ES" w:eastAsia="es-ES"/>
        </w:rPr>
      </w:pPr>
      <w:r w:rsidRPr="002C0D19">
        <w:rPr>
          <w:rFonts w:ascii="Arial Narrow" w:hAnsi="Arial Narrow" w:cs="Arial"/>
          <w:lang w:val="es-ES" w:eastAsia="es-ES"/>
        </w:rPr>
        <w:t>En cumplimiento de los requisitos exigidos por la CRCC S.A en el artículo 1.2.4.3. de la Circular Única, y en el (artículo 2.1.1.4</w:t>
      </w:r>
      <w:r w:rsidRPr="002C0D19">
        <w:rPr>
          <w:rFonts w:ascii="Arial Narrow" w:hAnsi="Arial Narrow" w:cs="Arial"/>
          <w:bCs/>
          <w:lang w:val="es-ES" w:eastAsia="es-ES"/>
        </w:rPr>
        <w:t>.</w:t>
      </w:r>
      <w:r w:rsidRPr="002C0D19">
        <w:rPr>
          <w:rFonts w:ascii="Arial Narrow" w:hAnsi="Arial Narrow" w:cs="Arial"/>
          <w:lang w:val="es-ES" w:eastAsia="es-ES"/>
        </w:rPr>
        <w:t xml:space="preserve"> Segmento de Derivados Financieros</w:t>
      </w:r>
      <w:r w:rsidRPr="002C0D19">
        <w:rPr>
          <w:rFonts w:ascii="Arial Narrow" w:hAnsi="Arial Narrow" w:cs="Arial"/>
          <w:bCs/>
          <w:lang w:val="es-ES" w:eastAsia="es-ES"/>
        </w:rPr>
        <w:t>,</w:t>
      </w:r>
      <w:r w:rsidRPr="002C0D19">
        <w:rPr>
          <w:rFonts w:ascii="Arial Narrow" w:hAnsi="Arial Narrow" w:cs="Arial"/>
          <w:lang w:val="es-ES" w:eastAsia="es-ES"/>
        </w:rPr>
        <w:t xml:space="preserve"> artículo 3.1.1.4</w:t>
      </w:r>
      <w:r w:rsidRPr="002C0D19">
        <w:rPr>
          <w:rFonts w:ascii="Arial Narrow" w:hAnsi="Arial Narrow" w:cs="Arial"/>
          <w:bCs/>
          <w:lang w:val="es-ES" w:eastAsia="es-ES"/>
        </w:rPr>
        <w:t>.</w:t>
      </w:r>
      <w:r w:rsidRPr="002C0D19">
        <w:rPr>
          <w:rFonts w:ascii="Arial Narrow" w:hAnsi="Arial Narrow" w:cs="Arial"/>
          <w:lang w:val="es-ES" w:eastAsia="es-ES"/>
        </w:rPr>
        <w:t xml:space="preserve"> Segmento de Renta Fija</w:t>
      </w:r>
      <w:r w:rsidRPr="002C0D19">
        <w:rPr>
          <w:rFonts w:ascii="Arial Narrow" w:hAnsi="Arial Narrow" w:cs="Arial"/>
          <w:bCs/>
          <w:lang w:val="es-ES" w:eastAsia="es-ES"/>
        </w:rPr>
        <w:t>, artículo 4.1.1.5. Segmento de Renta Variable</w:t>
      </w:r>
      <w:r w:rsidRPr="002C0D19">
        <w:rPr>
          <w:rFonts w:ascii="Arial Narrow" w:hAnsi="Arial Narrow" w:cs="Arial"/>
          <w:lang w:val="es-ES" w:eastAsia="es-ES"/>
        </w:rPr>
        <w:t>), me permito allegar los documentos relacionados necesarios para el trámite de la presente solicitud.</w:t>
      </w:r>
    </w:p>
    <w:p w14:paraId="3415EF39" w14:textId="77777777" w:rsidR="007968EC" w:rsidRPr="002C0D19" w:rsidRDefault="007968EC" w:rsidP="007968EC">
      <w:pPr>
        <w:autoSpaceDE w:val="0"/>
        <w:autoSpaceDN w:val="0"/>
        <w:jc w:val="both"/>
        <w:rPr>
          <w:rFonts w:ascii="Arial Narrow" w:hAnsi="Arial Narrow" w:cs="Arial"/>
          <w:lang w:val="es-ES" w:eastAsia="es-ES"/>
        </w:rPr>
      </w:pPr>
    </w:p>
    <w:p w14:paraId="4887402A" w14:textId="77777777" w:rsidR="007968EC" w:rsidRPr="002C0D19" w:rsidRDefault="007968EC" w:rsidP="007968EC">
      <w:pPr>
        <w:autoSpaceDE w:val="0"/>
        <w:autoSpaceDN w:val="0"/>
        <w:jc w:val="both"/>
        <w:rPr>
          <w:rFonts w:ascii="Arial Narrow" w:hAnsi="Arial Narrow" w:cs="Arial"/>
          <w:lang w:val="es-ES" w:eastAsia="es-ES"/>
        </w:rPr>
      </w:pPr>
      <w:r w:rsidRPr="002C0D19">
        <w:rPr>
          <w:rFonts w:ascii="Arial Narrow" w:hAnsi="Arial Narrow" w:cs="Arial"/>
          <w:lang w:val="es-ES" w:eastAsia="es-ES"/>
        </w:rPr>
        <w:t>Cordialmente,</w:t>
      </w:r>
    </w:p>
    <w:p w14:paraId="07B558AA" w14:textId="77777777" w:rsidR="007968EC" w:rsidRPr="002C0D19" w:rsidRDefault="007968EC" w:rsidP="007968EC">
      <w:pPr>
        <w:autoSpaceDE w:val="0"/>
        <w:autoSpaceDN w:val="0"/>
        <w:jc w:val="both"/>
        <w:rPr>
          <w:rFonts w:ascii="Arial Narrow" w:hAnsi="Arial Narrow" w:cs="Arial"/>
          <w:lang w:val="es-ES" w:eastAsia="es-ES"/>
        </w:rPr>
      </w:pPr>
    </w:p>
    <w:p w14:paraId="53171739" w14:textId="77777777" w:rsidR="007968EC" w:rsidRPr="002C0D19" w:rsidRDefault="007968EC" w:rsidP="007968EC">
      <w:pPr>
        <w:autoSpaceDE w:val="0"/>
        <w:autoSpaceDN w:val="0"/>
        <w:jc w:val="both"/>
        <w:rPr>
          <w:rFonts w:ascii="Arial Narrow" w:hAnsi="Arial Narrow" w:cs="Arial"/>
          <w:lang w:val="es-ES" w:eastAsia="es-ES"/>
        </w:rPr>
      </w:pPr>
    </w:p>
    <w:p w14:paraId="37E2B8A7" w14:textId="77777777" w:rsidR="007968EC" w:rsidRPr="002C0D19" w:rsidRDefault="007968EC" w:rsidP="007968EC">
      <w:pPr>
        <w:autoSpaceDE w:val="0"/>
        <w:autoSpaceDN w:val="0"/>
        <w:jc w:val="both"/>
        <w:rPr>
          <w:rFonts w:ascii="Arial Narrow" w:hAnsi="Arial Narrow" w:cs="Arial"/>
          <w:lang w:val="es-ES" w:eastAsia="es-ES"/>
        </w:rPr>
      </w:pPr>
      <w:r w:rsidRPr="002C0D19">
        <w:rPr>
          <w:rFonts w:ascii="Arial Narrow" w:hAnsi="Arial Narrow" w:cs="Arial"/>
          <w:lang w:val="es-ES" w:eastAsia="es-ES"/>
        </w:rPr>
        <w:t>____________________________________ </w:t>
      </w:r>
    </w:p>
    <w:p w14:paraId="0FD2BB6F" w14:textId="77777777" w:rsidR="007968EC" w:rsidRPr="002C0D19" w:rsidRDefault="007968EC" w:rsidP="007968EC">
      <w:pPr>
        <w:keepNext/>
        <w:autoSpaceDE w:val="0"/>
        <w:autoSpaceDN w:val="0"/>
        <w:contextualSpacing/>
        <w:jc w:val="both"/>
        <w:rPr>
          <w:rFonts w:ascii="Arial Narrow" w:hAnsi="Arial Narrow" w:cs="Arial"/>
          <w:b/>
          <w:bCs/>
          <w:lang w:val="es-ES" w:eastAsia="es-ES"/>
        </w:rPr>
      </w:pPr>
      <w:r w:rsidRPr="002C0D19">
        <w:rPr>
          <w:rFonts w:ascii="Arial Narrow" w:hAnsi="Arial Narrow" w:cs="Arial"/>
          <w:lang w:val="es-ES" w:eastAsia="es-ES"/>
        </w:rPr>
        <w:t>(Nombre y Cédula)”</w:t>
      </w:r>
    </w:p>
    <w:p w14:paraId="226D3FDB" w14:textId="77777777" w:rsidR="007968EC" w:rsidRDefault="007968EC" w:rsidP="007968EC">
      <w:pPr>
        <w:pStyle w:val="TTULO"/>
        <w:jc w:val="left"/>
        <w:rPr>
          <w:lang w:val="es-ES"/>
        </w:rPr>
      </w:pPr>
    </w:p>
    <w:p w14:paraId="543786AE" w14:textId="77777777" w:rsidR="007968EC" w:rsidRPr="005C4274" w:rsidRDefault="007968EC" w:rsidP="007968EC">
      <w:pPr>
        <w:pStyle w:val="TTULO"/>
        <w:rPr>
          <w:lang w:val="es-ES"/>
        </w:rPr>
      </w:pPr>
      <w:bookmarkStart w:id="6510" w:name="_Toc31716591"/>
      <w:r w:rsidRPr="005C4274">
        <w:rPr>
          <w:lang w:val="es-ES"/>
        </w:rPr>
        <w:lastRenderedPageBreak/>
        <w:t>ANEXO 2</w:t>
      </w:r>
      <w:bookmarkEnd w:id="6510"/>
    </w:p>
    <w:p w14:paraId="71369E0B" w14:textId="77777777" w:rsidR="007968EC" w:rsidRPr="005C4274" w:rsidRDefault="007968EC" w:rsidP="007968EC">
      <w:pPr>
        <w:jc w:val="center"/>
        <w:rPr>
          <w:rFonts w:ascii="Arial Narrow" w:hAnsi="Arial Narrow" w:cs="Arial"/>
          <w:b/>
          <w:color w:val="000000" w:themeColor="text1"/>
          <w:lang w:val="es-ES" w:eastAsia="es-ES"/>
        </w:rPr>
      </w:pPr>
    </w:p>
    <w:p w14:paraId="575A0E38" w14:textId="77777777" w:rsidR="007968EC" w:rsidRPr="005C4274" w:rsidRDefault="007968EC" w:rsidP="007968EC">
      <w:pPr>
        <w:jc w:val="center"/>
        <w:rPr>
          <w:rFonts w:ascii="Arial Narrow" w:hAnsi="Arial Narrow" w:cs="Arial"/>
          <w:b/>
          <w:color w:val="000000" w:themeColor="text1"/>
          <w:lang w:val="es-ES" w:eastAsia="es-ES"/>
        </w:rPr>
      </w:pPr>
      <w:r w:rsidRPr="005C4274">
        <w:rPr>
          <w:rFonts w:ascii="Arial Narrow" w:hAnsi="Arial Narrow" w:cs="Arial"/>
          <w:b/>
          <w:color w:val="000000" w:themeColor="text1"/>
          <w:lang w:val="es-ES" w:eastAsia="es-ES"/>
        </w:rPr>
        <w:t>FORMULARIO DE SOLICITUD DE ADMISIÓN COMO MIEMBRO</w:t>
      </w:r>
    </w:p>
    <w:p w14:paraId="34E06EDC" w14:textId="77777777" w:rsidR="007968EC" w:rsidRPr="002C0D19" w:rsidRDefault="007968EC" w:rsidP="007968EC">
      <w:pPr>
        <w:keepNext/>
        <w:jc w:val="both"/>
        <w:outlineLvl w:val="2"/>
        <w:rPr>
          <w:rFonts w:ascii="Arial Narrow" w:hAnsi="Arial Narrow" w:cs="Arial"/>
          <w:b/>
          <w:bCs/>
          <w:i/>
          <w:iCs/>
          <w:color w:val="000000" w:themeColor="text1"/>
          <w:lang w:eastAsia="es-ES"/>
        </w:rPr>
      </w:pPr>
    </w:p>
    <w:p w14:paraId="2109B2B5" w14:textId="77777777" w:rsidR="007968EC" w:rsidRPr="002C0D19" w:rsidRDefault="007968EC" w:rsidP="007968EC">
      <w:pPr>
        <w:jc w:val="center"/>
        <w:rPr>
          <w:rFonts w:ascii="Arial Narrow" w:hAnsi="Arial Narrow" w:cs="Arial"/>
          <w:color w:val="000000" w:themeColor="text1"/>
          <w:lang w:val="es-ES"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FFFFFF"/>
        <w:tblLayout w:type="fixed"/>
        <w:tblCellMar>
          <w:left w:w="70" w:type="dxa"/>
          <w:right w:w="70" w:type="dxa"/>
        </w:tblCellMar>
        <w:tblLook w:val="0000" w:firstRow="0" w:lastRow="0" w:firstColumn="0" w:lastColumn="0" w:noHBand="0" w:noVBand="0"/>
      </w:tblPr>
      <w:tblGrid>
        <w:gridCol w:w="1729"/>
        <w:gridCol w:w="5496"/>
        <w:gridCol w:w="2126"/>
      </w:tblGrid>
      <w:tr w:rsidR="007968EC" w:rsidRPr="002C0D19" w14:paraId="7367A7D2" w14:textId="77777777" w:rsidTr="007968EC">
        <w:trPr>
          <w:cantSplit/>
          <w:trHeight w:val="416"/>
        </w:trPr>
        <w:tc>
          <w:tcPr>
            <w:tcW w:w="1729" w:type="dxa"/>
            <w:vMerge w:val="restart"/>
            <w:shd w:val="clear" w:color="auto" w:fill="FFFFFF"/>
          </w:tcPr>
          <w:p w14:paraId="0C1999DB" w14:textId="77777777" w:rsidR="007968EC" w:rsidRPr="002C0D19" w:rsidRDefault="007968EC" w:rsidP="007968EC">
            <w:pPr>
              <w:rPr>
                <w:rFonts w:ascii="Arial Narrow" w:eastAsia="Calibri" w:hAnsi="Arial Narrow"/>
                <w:color w:val="000000" w:themeColor="text1"/>
              </w:rPr>
            </w:pPr>
          </w:p>
          <w:p w14:paraId="4D3020B4" w14:textId="77777777" w:rsidR="007968EC" w:rsidRPr="002C0D19" w:rsidRDefault="007968EC" w:rsidP="007968EC">
            <w:pPr>
              <w:rPr>
                <w:rFonts w:ascii="Arial Narrow" w:eastAsia="Calibri" w:hAnsi="Arial Narrow"/>
                <w:color w:val="000000" w:themeColor="text1"/>
              </w:rPr>
            </w:pPr>
            <w:r w:rsidRPr="002C0D19">
              <w:rPr>
                <w:rFonts w:ascii="Arial Narrow" w:eastAsia="Calibri" w:hAnsi="Arial Narrow"/>
                <w:noProof/>
                <w:color w:val="000000" w:themeColor="text1"/>
                <w:lang w:eastAsia="es-CO"/>
              </w:rPr>
              <w:drawing>
                <wp:inline distT="0" distB="0" distL="0" distR="0" wp14:anchorId="01B1B4FD" wp14:editId="1978FFBD">
                  <wp:extent cx="1007610" cy="504000"/>
                  <wp:effectExtent l="0" t="0" r="2540" b="0"/>
                  <wp:docPr id="10" name="Imagen 10" descr="logoal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alta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7610" cy="504000"/>
                          </a:xfrm>
                          <a:prstGeom prst="rect">
                            <a:avLst/>
                          </a:prstGeom>
                          <a:noFill/>
                          <a:ln>
                            <a:noFill/>
                          </a:ln>
                        </pic:spPr>
                      </pic:pic>
                    </a:graphicData>
                  </a:graphic>
                </wp:inline>
              </w:drawing>
            </w:r>
          </w:p>
        </w:tc>
        <w:tc>
          <w:tcPr>
            <w:tcW w:w="5496" w:type="dxa"/>
            <w:shd w:val="clear" w:color="auto" w:fill="FFFFFF"/>
            <w:vAlign w:val="center"/>
          </w:tcPr>
          <w:p w14:paraId="4A63716E" w14:textId="77777777" w:rsidR="007968EC" w:rsidRPr="002C0D19" w:rsidRDefault="007968EC" w:rsidP="007968EC">
            <w:pPr>
              <w:tabs>
                <w:tab w:val="center" w:pos="4252"/>
                <w:tab w:val="right" w:pos="8504"/>
              </w:tabs>
              <w:jc w:val="center"/>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FORMATO</w:t>
            </w:r>
          </w:p>
        </w:tc>
        <w:tc>
          <w:tcPr>
            <w:tcW w:w="2126" w:type="dxa"/>
            <w:shd w:val="clear" w:color="auto" w:fill="FFFFFF"/>
            <w:vAlign w:val="center"/>
          </w:tcPr>
          <w:p w14:paraId="64037335" w14:textId="77777777" w:rsidR="007968EC" w:rsidRPr="002C0D19" w:rsidRDefault="007968EC" w:rsidP="007968EC">
            <w:pPr>
              <w:tabs>
                <w:tab w:val="center" w:pos="4252"/>
                <w:tab w:val="right" w:pos="8504"/>
              </w:tabs>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Código:  FO GMI 031</w:t>
            </w:r>
          </w:p>
        </w:tc>
      </w:tr>
      <w:tr w:rsidR="007968EC" w:rsidRPr="002C0D19" w14:paraId="14DE354E" w14:textId="77777777" w:rsidTr="007968EC">
        <w:trPr>
          <w:cantSplit/>
          <w:trHeight w:val="378"/>
        </w:trPr>
        <w:tc>
          <w:tcPr>
            <w:tcW w:w="1729" w:type="dxa"/>
            <w:vMerge/>
            <w:tcBorders>
              <w:bottom w:val="single" w:sz="4" w:space="0" w:color="auto"/>
            </w:tcBorders>
            <w:shd w:val="clear" w:color="auto" w:fill="FFFFFF"/>
          </w:tcPr>
          <w:p w14:paraId="6A9E0EE2" w14:textId="77777777" w:rsidR="007968EC" w:rsidRPr="002C0D19" w:rsidRDefault="007968EC" w:rsidP="007968EC">
            <w:pPr>
              <w:tabs>
                <w:tab w:val="center" w:pos="4252"/>
                <w:tab w:val="right" w:pos="8504"/>
              </w:tabs>
              <w:jc w:val="center"/>
              <w:rPr>
                <w:rFonts w:ascii="Arial Narrow" w:hAnsi="Arial Narrow" w:cs="Arial"/>
                <w:color w:val="000000" w:themeColor="text1"/>
                <w:sz w:val="16"/>
                <w:szCs w:val="16"/>
                <w:lang w:val="es-ES" w:eastAsia="es-ES"/>
              </w:rPr>
            </w:pPr>
          </w:p>
        </w:tc>
        <w:tc>
          <w:tcPr>
            <w:tcW w:w="5496" w:type="dxa"/>
            <w:vMerge w:val="restart"/>
            <w:tcBorders>
              <w:bottom w:val="single" w:sz="4" w:space="0" w:color="auto"/>
            </w:tcBorders>
            <w:shd w:val="clear" w:color="auto" w:fill="FFFFFF"/>
            <w:vAlign w:val="center"/>
          </w:tcPr>
          <w:p w14:paraId="4CADEE02" w14:textId="77777777" w:rsidR="007968EC" w:rsidRPr="002C0D19" w:rsidRDefault="007968EC" w:rsidP="007968EC">
            <w:pPr>
              <w:jc w:val="center"/>
              <w:rPr>
                <w:rFonts w:ascii="Arial Narrow" w:eastAsia="Calibri" w:hAnsi="Arial Narrow" w:cs="Arial"/>
                <w:b/>
                <w:color w:val="000000" w:themeColor="text1"/>
                <w:lang w:val="es-MX"/>
              </w:rPr>
            </w:pPr>
            <w:r w:rsidRPr="002C0D19">
              <w:rPr>
                <w:rFonts w:ascii="Arial Narrow" w:eastAsia="Calibri" w:hAnsi="Arial Narrow"/>
                <w:b/>
                <w:color w:val="000000" w:themeColor="text1"/>
                <w:lang w:val="es-MX"/>
              </w:rPr>
              <w:t xml:space="preserve">DECLARACIÓN DEL CUMPLIMIENTO DE LOS REQUISITOS TECNOLÓGICOS DEL AGENTE </w:t>
            </w:r>
          </w:p>
        </w:tc>
        <w:tc>
          <w:tcPr>
            <w:tcW w:w="2126" w:type="dxa"/>
            <w:tcBorders>
              <w:bottom w:val="single" w:sz="4" w:space="0" w:color="auto"/>
            </w:tcBorders>
            <w:shd w:val="clear" w:color="auto" w:fill="FFFFFF"/>
            <w:vAlign w:val="center"/>
          </w:tcPr>
          <w:p w14:paraId="4790B0DF" w14:textId="77777777" w:rsidR="007968EC" w:rsidRPr="002C0D19" w:rsidRDefault="007968EC" w:rsidP="007968EC">
            <w:pPr>
              <w:tabs>
                <w:tab w:val="center" w:pos="4252"/>
                <w:tab w:val="right" w:pos="8504"/>
              </w:tabs>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Versión: 1.0</w:t>
            </w:r>
          </w:p>
        </w:tc>
      </w:tr>
      <w:tr w:rsidR="007968EC" w:rsidRPr="002C0D19" w14:paraId="310636E4" w14:textId="77777777" w:rsidTr="007968EC">
        <w:trPr>
          <w:cantSplit/>
          <w:trHeight w:val="375"/>
        </w:trPr>
        <w:tc>
          <w:tcPr>
            <w:tcW w:w="1729" w:type="dxa"/>
            <w:vMerge/>
            <w:shd w:val="clear" w:color="auto" w:fill="FFFFFF"/>
          </w:tcPr>
          <w:p w14:paraId="2BAFA018" w14:textId="77777777" w:rsidR="007968EC" w:rsidRPr="002C0D19" w:rsidRDefault="007968EC" w:rsidP="007968EC">
            <w:pPr>
              <w:tabs>
                <w:tab w:val="center" w:pos="4252"/>
                <w:tab w:val="right" w:pos="8504"/>
              </w:tabs>
              <w:jc w:val="center"/>
              <w:rPr>
                <w:rFonts w:ascii="Arial Narrow" w:hAnsi="Arial Narrow" w:cs="Arial"/>
                <w:color w:val="000000" w:themeColor="text1"/>
                <w:sz w:val="16"/>
                <w:szCs w:val="16"/>
                <w:lang w:val="es-ES" w:eastAsia="es-ES"/>
              </w:rPr>
            </w:pPr>
          </w:p>
        </w:tc>
        <w:tc>
          <w:tcPr>
            <w:tcW w:w="5496" w:type="dxa"/>
            <w:vMerge/>
            <w:shd w:val="clear" w:color="auto" w:fill="FFFFFF"/>
            <w:vAlign w:val="center"/>
          </w:tcPr>
          <w:p w14:paraId="0B9D7963" w14:textId="77777777" w:rsidR="007968EC" w:rsidRPr="002C0D19" w:rsidRDefault="007968EC" w:rsidP="007968EC">
            <w:pPr>
              <w:tabs>
                <w:tab w:val="center" w:pos="4252"/>
                <w:tab w:val="right" w:pos="8504"/>
              </w:tabs>
              <w:jc w:val="center"/>
              <w:rPr>
                <w:rFonts w:ascii="Arial Narrow" w:hAnsi="Arial Narrow" w:cs="Arial"/>
                <w:b/>
                <w:color w:val="000000" w:themeColor="text1"/>
                <w:lang w:val="es-ES" w:eastAsia="es-ES"/>
              </w:rPr>
            </w:pPr>
          </w:p>
        </w:tc>
        <w:tc>
          <w:tcPr>
            <w:tcW w:w="2126" w:type="dxa"/>
            <w:shd w:val="clear" w:color="auto" w:fill="FFFFFF"/>
            <w:vAlign w:val="center"/>
          </w:tcPr>
          <w:p w14:paraId="33467513" w14:textId="77777777" w:rsidR="007968EC" w:rsidRPr="002C0D19" w:rsidRDefault="007968EC" w:rsidP="007968EC">
            <w:pPr>
              <w:tabs>
                <w:tab w:val="center" w:pos="4252"/>
                <w:tab w:val="right" w:pos="8504"/>
              </w:tabs>
              <w:rPr>
                <w:rFonts w:ascii="Arial Narrow" w:hAnsi="Arial Narrow" w:cs="Arial"/>
                <w:b/>
                <w:color w:val="000000" w:themeColor="text1"/>
                <w:lang w:val="es-ES" w:eastAsia="es-ES"/>
              </w:rPr>
            </w:pPr>
            <w:r w:rsidRPr="002C0D19">
              <w:rPr>
                <w:rFonts w:ascii="Arial Narrow" w:hAnsi="Arial Narrow" w:cs="Arial"/>
                <w:b/>
                <w:snapToGrid w:val="0"/>
                <w:color w:val="000000" w:themeColor="text1"/>
                <w:lang w:val="es-ES" w:eastAsia="es-ES"/>
              </w:rPr>
              <w:t>Página 1 de 1</w:t>
            </w:r>
          </w:p>
        </w:tc>
      </w:tr>
    </w:tbl>
    <w:p w14:paraId="56748C43" w14:textId="77777777" w:rsidR="007968EC" w:rsidRPr="002C0D19" w:rsidRDefault="007968EC" w:rsidP="007968EC">
      <w:pPr>
        <w:ind w:left="-720"/>
        <w:jc w:val="right"/>
        <w:rPr>
          <w:rFonts w:ascii="Arial Narrow" w:hAnsi="Arial Narrow" w:cs="Arial"/>
          <w:color w:val="000000" w:themeColor="text1"/>
          <w:lang w:val="es-ES" w:eastAsia="es-ES"/>
        </w:rPr>
      </w:pPr>
    </w:p>
    <w:p w14:paraId="5035D276" w14:textId="77777777" w:rsidR="007968EC" w:rsidRPr="002C0D19" w:rsidRDefault="007968EC" w:rsidP="007968EC">
      <w:pPr>
        <w:ind w:left="-720"/>
        <w:jc w:val="right"/>
        <w:rPr>
          <w:rFonts w:ascii="Arial Narrow" w:hAnsi="Arial Narrow" w:cs="Arial"/>
          <w:color w:val="000000" w:themeColor="text1"/>
          <w:lang w:val="es-ES" w:eastAsia="es-ES"/>
        </w:rPr>
      </w:pPr>
    </w:p>
    <w:p w14:paraId="3BD7D6D4" w14:textId="77777777" w:rsidR="007968EC" w:rsidRPr="002C0D19" w:rsidRDefault="007968EC" w:rsidP="007968EC">
      <w:pPr>
        <w:jc w:val="center"/>
        <w:rPr>
          <w:rFonts w:ascii="Arial Narrow" w:hAnsi="Arial Narrow"/>
          <w:b/>
          <w:color w:val="000000" w:themeColor="text1"/>
          <w:lang w:eastAsia="es-ES"/>
        </w:rPr>
      </w:pPr>
      <w:r w:rsidRPr="002C0D19">
        <w:rPr>
          <w:rFonts w:ascii="Arial Narrow" w:hAnsi="Arial Narrow"/>
          <w:b/>
          <w:color w:val="000000" w:themeColor="text1"/>
          <w:lang w:eastAsia="es-ES"/>
        </w:rPr>
        <w:t>DECLARACIÓN DEL CUMPLIMIENTO DE LOS REQUISITOS TECNOLÓGICOS</w:t>
      </w:r>
    </w:p>
    <w:p w14:paraId="62595450" w14:textId="77777777" w:rsidR="007968EC" w:rsidRPr="002C0D19" w:rsidRDefault="007968EC" w:rsidP="007968EC">
      <w:pPr>
        <w:jc w:val="both"/>
        <w:rPr>
          <w:rFonts w:ascii="Arial Narrow" w:hAnsi="Arial Narrow" w:cs="Arial"/>
          <w:b/>
          <w:color w:val="000000" w:themeColor="text1"/>
          <w:lang w:eastAsia="es-CO"/>
        </w:rPr>
      </w:pPr>
    </w:p>
    <w:p w14:paraId="18045DFA" w14:textId="77777777" w:rsidR="007968EC" w:rsidRPr="002C0D19" w:rsidRDefault="007968EC" w:rsidP="007968EC">
      <w:pPr>
        <w:jc w:val="both"/>
        <w:rPr>
          <w:rFonts w:ascii="Arial Narrow" w:hAnsi="Arial Narrow" w:cs="Arial"/>
          <w:b/>
          <w:color w:val="000000" w:themeColor="text1"/>
          <w:lang w:eastAsia="es-CO"/>
        </w:rPr>
      </w:pPr>
    </w:p>
    <w:p w14:paraId="7A95FC49" w14:textId="77777777" w:rsidR="007968EC" w:rsidRPr="002C0D19" w:rsidRDefault="007968EC" w:rsidP="007968EC">
      <w:pPr>
        <w:jc w:val="both"/>
        <w:rPr>
          <w:rFonts w:ascii="Arial Narrow" w:hAnsi="Arial Narrow" w:cs="Arial"/>
          <w:b/>
          <w:color w:val="000000" w:themeColor="text1"/>
          <w:lang w:eastAsia="es-CO"/>
        </w:rPr>
      </w:pPr>
    </w:p>
    <w:p w14:paraId="66FC6CC3" w14:textId="77777777" w:rsidR="007968EC" w:rsidRPr="002C0D19" w:rsidRDefault="007968EC" w:rsidP="007968EC">
      <w:pPr>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El/La suscrito (a), _________________________, identificado (a) con la Cédula de Ciudadanía No. _______________ expedida en la ciudad de ___________, obrando en nombre y representación de _____________________, sociedad legalmente constituida, con domicilio principal en ______________, con NIT. _______________, en mi calidad de representante legal, certifico que la sociedad cumple con </w:t>
      </w:r>
      <w:proofErr w:type="spellStart"/>
      <w:r w:rsidRPr="002C0D19">
        <w:rPr>
          <w:rFonts w:ascii="Arial Narrow" w:hAnsi="Arial Narrow" w:cs="Arial"/>
          <w:color w:val="000000" w:themeColor="text1"/>
          <w:lang w:eastAsia="es-CO"/>
        </w:rPr>
        <w:t>lo</w:t>
      </w:r>
      <w:proofErr w:type="spellEnd"/>
      <w:r w:rsidRPr="002C0D19">
        <w:rPr>
          <w:rFonts w:ascii="Arial Narrow" w:hAnsi="Arial Narrow" w:cs="Arial"/>
          <w:color w:val="000000" w:themeColor="text1"/>
          <w:lang w:eastAsia="es-CO"/>
        </w:rPr>
        <w:t xml:space="preserve"> siguientes requerimientos tecnológicos exigidos por la Cámara de Riesgo de Contraparte de Colombia S.A. – CRCC S.A. para la admisión de la sociedad como Agente de la CRCC S.A., en los términos establecidos a continuación: </w:t>
      </w:r>
    </w:p>
    <w:p w14:paraId="7CE55292" w14:textId="77777777" w:rsidR="007968EC" w:rsidRPr="002C0D19" w:rsidRDefault="007968EC" w:rsidP="007968EC">
      <w:pPr>
        <w:rPr>
          <w:rFonts w:ascii="Arial Narrow" w:hAnsi="Arial Narrow" w:cs="Arial"/>
          <w:b/>
          <w:color w:val="000000" w:themeColor="text1"/>
          <w:lang w:eastAsia="es-ES"/>
        </w:rPr>
      </w:pPr>
    </w:p>
    <w:p w14:paraId="049DB429" w14:textId="77777777" w:rsidR="007968EC" w:rsidRPr="002C0D19" w:rsidRDefault="007968EC" w:rsidP="007968EC">
      <w:pPr>
        <w:autoSpaceDE w:val="0"/>
        <w:autoSpaceDN w:val="0"/>
        <w:adjustRightInd w:val="0"/>
        <w:rPr>
          <w:rFonts w:ascii="Arial Narrow" w:hAnsi="Arial Narrow" w:cs="Verdana"/>
          <w:b/>
          <w:color w:val="000000" w:themeColor="text1"/>
          <w:lang w:eastAsia="es-ES"/>
        </w:rPr>
      </w:pPr>
      <w:r w:rsidRPr="002C0D19">
        <w:rPr>
          <w:rFonts w:ascii="Arial Narrow" w:hAnsi="Arial Narrow" w:cs="Verdana"/>
          <w:b/>
          <w:color w:val="000000" w:themeColor="text1"/>
          <w:lang w:eastAsia="es-ES"/>
        </w:rPr>
        <w:t>Infraestructura:</w:t>
      </w:r>
    </w:p>
    <w:p w14:paraId="31154BF5" w14:textId="77777777" w:rsidR="007968EC" w:rsidRPr="002C0D19" w:rsidRDefault="007968EC" w:rsidP="007968EC">
      <w:pPr>
        <w:autoSpaceDE w:val="0"/>
        <w:autoSpaceDN w:val="0"/>
        <w:adjustRightInd w:val="0"/>
        <w:ind w:left="360"/>
        <w:jc w:val="both"/>
        <w:rPr>
          <w:rFonts w:ascii="Arial Narrow" w:hAnsi="Arial Narrow" w:cs="Verdana"/>
          <w:b/>
          <w:color w:val="000000" w:themeColor="text1"/>
          <w:lang w:eastAsia="es-ES"/>
        </w:rPr>
      </w:pPr>
    </w:p>
    <w:p w14:paraId="190FBF49" w14:textId="77777777" w:rsidR="007968EC" w:rsidRPr="002C0D19" w:rsidRDefault="007968EC" w:rsidP="00DA7472">
      <w:pPr>
        <w:numPr>
          <w:ilvl w:val="0"/>
          <w:numId w:val="15"/>
        </w:numPr>
        <w:tabs>
          <w:tab w:val="num" w:pos="567"/>
        </w:tabs>
        <w:autoSpaceDE w:val="0"/>
        <w:autoSpaceDN w:val="0"/>
        <w:adjustRightInd w:val="0"/>
        <w:ind w:left="567" w:hanging="567"/>
        <w:jc w:val="both"/>
        <w:rPr>
          <w:rFonts w:ascii="Arial Narrow" w:hAnsi="Arial Narrow" w:cs="Verdana"/>
          <w:b/>
          <w:bCs/>
          <w:color w:val="000000" w:themeColor="text1"/>
          <w:lang w:eastAsia="es-ES"/>
        </w:rPr>
      </w:pPr>
      <w:r w:rsidRPr="002C0D19">
        <w:rPr>
          <w:rFonts w:ascii="Arial Narrow" w:hAnsi="Arial Narrow" w:cs="Verdana"/>
          <w:b/>
          <w:bCs/>
          <w:color w:val="000000" w:themeColor="text1"/>
          <w:lang w:eastAsia="es-ES"/>
        </w:rPr>
        <w:t>Redes y Comunicaciones.</w:t>
      </w:r>
    </w:p>
    <w:p w14:paraId="0C2A1FBA" w14:textId="77777777" w:rsidR="007968EC" w:rsidRPr="002C0D19" w:rsidRDefault="007968EC" w:rsidP="007968EC">
      <w:pPr>
        <w:autoSpaceDE w:val="0"/>
        <w:autoSpaceDN w:val="0"/>
        <w:adjustRightInd w:val="0"/>
        <w:jc w:val="both"/>
        <w:rPr>
          <w:rFonts w:ascii="Arial Narrow" w:hAnsi="Arial Narrow" w:cs="Verdana"/>
          <w:bCs/>
          <w:color w:val="000000" w:themeColor="text1"/>
          <w:lang w:eastAsia="es-ES"/>
        </w:rPr>
      </w:pPr>
    </w:p>
    <w:p w14:paraId="470FCBA2" w14:textId="77777777" w:rsidR="007968EC" w:rsidRPr="002C0D19" w:rsidRDefault="007968EC" w:rsidP="00DA7472">
      <w:pPr>
        <w:numPr>
          <w:ilvl w:val="0"/>
          <w:numId w:val="232"/>
        </w:numPr>
        <w:tabs>
          <w:tab w:val="left" w:pos="851"/>
        </w:tabs>
        <w:autoSpaceDE w:val="0"/>
        <w:autoSpaceDN w:val="0"/>
        <w:adjustRightInd w:val="0"/>
        <w:ind w:left="851" w:hanging="284"/>
        <w:jc w:val="both"/>
        <w:rPr>
          <w:rFonts w:ascii="Arial Narrow" w:hAnsi="Arial Narrow" w:cs="Arial"/>
          <w:color w:val="000000" w:themeColor="text1"/>
          <w:lang w:eastAsia="es-ES"/>
        </w:rPr>
      </w:pPr>
      <w:r w:rsidRPr="002C0D19">
        <w:rPr>
          <w:rFonts w:ascii="Arial Narrow" w:hAnsi="Arial Narrow" w:cs="Verdana"/>
          <w:color w:val="000000" w:themeColor="text1"/>
          <w:lang w:eastAsia="es-ES"/>
        </w:rPr>
        <w:t>Ha otorgado a la CRCC S.A. la IP pública para obtener los permisos de acceso al Portal Web:</w:t>
      </w:r>
    </w:p>
    <w:p w14:paraId="4403CE02" w14:textId="77777777" w:rsidR="007968EC" w:rsidRPr="002C0D19" w:rsidRDefault="007968EC" w:rsidP="007968EC">
      <w:pPr>
        <w:tabs>
          <w:tab w:val="left" w:pos="851"/>
        </w:tabs>
        <w:autoSpaceDE w:val="0"/>
        <w:autoSpaceDN w:val="0"/>
        <w:adjustRightInd w:val="0"/>
        <w:jc w:val="both"/>
        <w:rPr>
          <w:rFonts w:ascii="Arial Narrow" w:hAnsi="Arial Narrow" w:cs="Arial"/>
          <w:color w:val="000000" w:themeColor="text1"/>
          <w:lang w:eastAsia="es-ES"/>
        </w:rPr>
      </w:pPr>
    </w:p>
    <w:p w14:paraId="6102F97E" w14:textId="77777777" w:rsidR="007968EC" w:rsidRPr="002C0D19" w:rsidRDefault="007968EC" w:rsidP="007968EC">
      <w:pPr>
        <w:tabs>
          <w:tab w:val="left" w:pos="851"/>
        </w:tabs>
        <w:autoSpaceDE w:val="0"/>
        <w:autoSpaceDN w:val="0"/>
        <w:adjustRightInd w:val="0"/>
        <w:ind w:left="851"/>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IP pública: _________________________</w:t>
      </w:r>
    </w:p>
    <w:p w14:paraId="4A2A3DA6" w14:textId="77777777" w:rsidR="007968EC" w:rsidRPr="002C0D19" w:rsidRDefault="007968EC" w:rsidP="007968EC">
      <w:pPr>
        <w:autoSpaceDE w:val="0"/>
        <w:autoSpaceDN w:val="0"/>
        <w:adjustRightInd w:val="0"/>
        <w:jc w:val="both"/>
        <w:rPr>
          <w:rFonts w:ascii="Arial Narrow" w:hAnsi="Arial Narrow" w:cs="Verdana"/>
          <w:b/>
          <w:color w:val="000000" w:themeColor="text1"/>
          <w:lang w:eastAsia="es-ES"/>
        </w:rPr>
      </w:pPr>
    </w:p>
    <w:p w14:paraId="518BF234" w14:textId="77777777" w:rsidR="007968EC" w:rsidRPr="002C0D19" w:rsidRDefault="007968EC" w:rsidP="00DA7472">
      <w:pPr>
        <w:numPr>
          <w:ilvl w:val="0"/>
          <w:numId w:val="15"/>
        </w:numPr>
        <w:tabs>
          <w:tab w:val="num" w:pos="567"/>
        </w:tabs>
        <w:autoSpaceDE w:val="0"/>
        <w:autoSpaceDN w:val="0"/>
        <w:adjustRightInd w:val="0"/>
        <w:ind w:left="567" w:hanging="567"/>
        <w:jc w:val="both"/>
        <w:rPr>
          <w:rFonts w:ascii="Arial Narrow" w:hAnsi="Arial Narrow" w:cs="Verdana"/>
          <w:b/>
          <w:bCs/>
          <w:color w:val="000000" w:themeColor="text1"/>
          <w:lang w:eastAsia="es-ES"/>
        </w:rPr>
      </w:pPr>
      <w:r w:rsidRPr="002C0D19">
        <w:rPr>
          <w:rFonts w:ascii="Arial Narrow" w:hAnsi="Arial Narrow" w:cs="Verdana"/>
          <w:b/>
          <w:bCs/>
          <w:color w:val="000000" w:themeColor="text1"/>
          <w:lang w:eastAsia="es-ES"/>
        </w:rPr>
        <w:t xml:space="preserve">REQUERIMIENTOS MÍNIMOS HARDWARE Y SOFTWARE </w:t>
      </w:r>
    </w:p>
    <w:p w14:paraId="00D79A1F" w14:textId="77777777" w:rsidR="007968EC" w:rsidRPr="002C0D19" w:rsidRDefault="007968EC" w:rsidP="007968EC">
      <w:pPr>
        <w:autoSpaceDE w:val="0"/>
        <w:autoSpaceDN w:val="0"/>
        <w:adjustRightInd w:val="0"/>
        <w:rPr>
          <w:rFonts w:ascii="Arial Narrow" w:hAnsi="Arial Narrow" w:cs="Verdana"/>
          <w:bCs/>
          <w:color w:val="000000" w:themeColor="text1"/>
          <w:lang w:eastAsia="es-ES"/>
        </w:rPr>
      </w:pPr>
    </w:p>
    <w:p w14:paraId="6A4059F2" w14:textId="77777777" w:rsidR="007968EC" w:rsidRPr="002C0D19" w:rsidRDefault="007968EC" w:rsidP="00DA7472">
      <w:pPr>
        <w:numPr>
          <w:ilvl w:val="1"/>
          <w:numId w:val="15"/>
        </w:numPr>
        <w:tabs>
          <w:tab w:val="num" w:pos="851"/>
        </w:tabs>
        <w:autoSpaceDE w:val="0"/>
        <w:autoSpaceDN w:val="0"/>
        <w:adjustRightInd w:val="0"/>
        <w:ind w:left="851" w:hanging="284"/>
        <w:rPr>
          <w:rFonts w:ascii="Arial Narrow" w:hAnsi="Arial Narrow" w:cs="Verdana"/>
          <w:b/>
          <w:bCs/>
          <w:color w:val="000000" w:themeColor="text1"/>
          <w:lang w:eastAsia="es-ES"/>
        </w:rPr>
      </w:pPr>
      <w:r w:rsidRPr="002C0D19">
        <w:rPr>
          <w:rFonts w:ascii="Arial Narrow" w:hAnsi="Arial Narrow" w:cs="Verdana"/>
          <w:b/>
          <w:bCs/>
          <w:color w:val="000000" w:themeColor="text1"/>
          <w:lang w:eastAsia="es-ES"/>
        </w:rPr>
        <w:t>Portal Web</w:t>
      </w:r>
    </w:p>
    <w:p w14:paraId="41C78C15" w14:textId="77777777" w:rsidR="007968EC" w:rsidRPr="002C0D19" w:rsidRDefault="007968EC" w:rsidP="007968EC">
      <w:pPr>
        <w:autoSpaceDE w:val="0"/>
        <w:autoSpaceDN w:val="0"/>
        <w:adjustRightInd w:val="0"/>
        <w:rPr>
          <w:rFonts w:ascii="Arial Narrow" w:hAnsi="Arial Narrow" w:cs="Verdana"/>
          <w:bCs/>
          <w:color w:val="000000" w:themeColor="text1"/>
          <w:lang w:eastAsia="es-ES"/>
        </w:rPr>
      </w:pPr>
    </w:p>
    <w:p w14:paraId="1F55C78A" w14:textId="77777777" w:rsidR="007968EC" w:rsidRPr="002C0D19" w:rsidRDefault="007968EC" w:rsidP="00DA7472">
      <w:pPr>
        <w:numPr>
          <w:ilvl w:val="0"/>
          <w:numId w:val="232"/>
        </w:numPr>
        <w:tabs>
          <w:tab w:val="left" w:pos="851"/>
        </w:tabs>
        <w:autoSpaceDE w:val="0"/>
        <w:autoSpaceDN w:val="0"/>
        <w:adjustRightInd w:val="0"/>
        <w:ind w:left="851" w:hanging="284"/>
        <w:jc w:val="both"/>
        <w:rPr>
          <w:rFonts w:ascii="Arial Narrow" w:hAnsi="Arial Narrow" w:cs="Verdana"/>
          <w:color w:val="000000" w:themeColor="text1"/>
          <w:lang w:eastAsia="es-ES"/>
        </w:rPr>
      </w:pPr>
      <w:r w:rsidRPr="002C0D19">
        <w:rPr>
          <w:rFonts w:ascii="Arial Narrow" w:hAnsi="Arial Narrow" w:cs="Verdana"/>
          <w:color w:val="000000" w:themeColor="text1"/>
          <w:lang w:eastAsia="es-ES"/>
        </w:rPr>
        <w:t xml:space="preserve">Los equipos donde se va a ejecutar el Portal Web deben contar como mínimo con las siguientes características: </w:t>
      </w:r>
    </w:p>
    <w:p w14:paraId="38D4BEAB" w14:textId="77777777" w:rsidR="007968EC" w:rsidRPr="002C0D19" w:rsidRDefault="007968EC" w:rsidP="007968EC">
      <w:pPr>
        <w:autoSpaceDE w:val="0"/>
        <w:autoSpaceDN w:val="0"/>
        <w:adjustRightInd w:val="0"/>
        <w:rPr>
          <w:rFonts w:ascii="Arial Narrow" w:hAnsi="Arial Narrow" w:cs="Verdana"/>
          <w:color w:val="000000" w:themeColor="text1"/>
          <w:lang w:eastAsia="es-ES"/>
        </w:rPr>
      </w:pPr>
    </w:p>
    <w:p w14:paraId="54A36F2D" w14:textId="77777777" w:rsidR="007968EC" w:rsidRPr="002C0D19" w:rsidRDefault="007968EC" w:rsidP="00DA7472">
      <w:pPr>
        <w:numPr>
          <w:ilvl w:val="0"/>
          <w:numId w:val="116"/>
        </w:numPr>
        <w:ind w:left="1134" w:hanging="283"/>
        <w:contextualSpacing/>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Resolución gráfica mínimo 1024*768</w:t>
      </w:r>
    </w:p>
    <w:p w14:paraId="1CECEF03" w14:textId="77777777" w:rsidR="007968EC" w:rsidRPr="002C0D19" w:rsidRDefault="007968EC" w:rsidP="00DA7472">
      <w:pPr>
        <w:numPr>
          <w:ilvl w:val="0"/>
          <w:numId w:val="116"/>
        </w:numPr>
        <w:ind w:left="1134" w:hanging="283"/>
        <w:contextualSpacing/>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Mínimo 2 GB de memoria RAM</w:t>
      </w:r>
    </w:p>
    <w:p w14:paraId="4899FB83" w14:textId="77777777" w:rsidR="007968EC" w:rsidRPr="002C0D19" w:rsidRDefault="007968EC" w:rsidP="00DA7472">
      <w:pPr>
        <w:numPr>
          <w:ilvl w:val="0"/>
          <w:numId w:val="116"/>
        </w:numPr>
        <w:ind w:left="1134" w:hanging="283"/>
        <w:contextualSpacing/>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Sistema operativo mínimo Windows </w:t>
      </w:r>
      <w:proofErr w:type="spellStart"/>
      <w:r w:rsidRPr="002C0D19">
        <w:rPr>
          <w:rFonts w:ascii="Arial Narrow" w:hAnsi="Arial Narrow" w:cs="Arial"/>
          <w:color w:val="000000" w:themeColor="text1"/>
          <w:lang w:eastAsia="es-CO"/>
        </w:rPr>
        <w:t>Seven</w:t>
      </w:r>
      <w:proofErr w:type="spellEnd"/>
      <w:r w:rsidRPr="002C0D19">
        <w:rPr>
          <w:rFonts w:ascii="Arial Narrow" w:hAnsi="Arial Narrow" w:cs="Arial"/>
          <w:color w:val="000000" w:themeColor="text1"/>
          <w:lang w:eastAsia="es-CO"/>
        </w:rPr>
        <w:t xml:space="preserve"> 32 o 64 Bits</w:t>
      </w:r>
    </w:p>
    <w:p w14:paraId="5652BDFC" w14:textId="77777777" w:rsidR="007968EC" w:rsidRPr="002C0D19" w:rsidRDefault="007968EC" w:rsidP="00DA7472">
      <w:pPr>
        <w:numPr>
          <w:ilvl w:val="0"/>
          <w:numId w:val="116"/>
        </w:numPr>
        <w:ind w:left="1134" w:hanging="283"/>
        <w:contextualSpacing/>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Navegador de Internet:</w:t>
      </w:r>
    </w:p>
    <w:p w14:paraId="3F4F4DE1" w14:textId="77777777" w:rsidR="007968EC" w:rsidRPr="002C0D19" w:rsidRDefault="007968EC" w:rsidP="00DA7472">
      <w:pPr>
        <w:numPr>
          <w:ilvl w:val="1"/>
          <w:numId w:val="116"/>
        </w:numPr>
        <w:ind w:left="1560" w:hanging="426"/>
        <w:contextualSpacing/>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lastRenderedPageBreak/>
        <w:t>Microsoft Internet Explorer Versión 10.0 o posterior</w:t>
      </w:r>
    </w:p>
    <w:p w14:paraId="606B88B4" w14:textId="77777777" w:rsidR="007968EC" w:rsidRPr="002C0D19" w:rsidRDefault="007968EC" w:rsidP="00DA7472">
      <w:pPr>
        <w:numPr>
          <w:ilvl w:val="1"/>
          <w:numId w:val="116"/>
        </w:numPr>
        <w:ind w:left="1560" w:hanging="426"/>
        <w:contextualSpacing/>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Firefox 49x o posterior</w:t>
      </w:r>
    </w:p>
    <w:p w14:paraId="186844AC" w14:textId="77777777" w:rsidR="007968EC" w:rsidRPr="002C0D19" w:rsidRDefault="007968EC" w:rsidP="00DA7472">
      <w:pPr>
        <w:numPr>
          <w:ilvl w:val="1"/>
          <w:numId w:val="116"/>
        </w:numPr>
        <w:ind w:left="1560" w:hanging="426"/>
        <w:contextualSpacing/>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Chrome 54x o posterior</w:t>
      </w:r>
    </w:p>
    <w:p w14:paraId="731F47CF" w14:textId="77777777" w:rsidR="007968EC" w:rsidRPr="002C0D19" w:rsidRDefault="007968EC" w:rsidP="007968EC">
      <w:pPr>
        <w:autoSpaceDE w:val="0"/>
        <w:autoSpaceDN w:val="0"/>
        <w:adjustRightInd w:val="0"/>
        <w:rPr>
          <w:rFonts w:ascii="Arial Narrow" w:hAnsi="Arial Narrow" w:cs="Verdana"/>
          <w:color w:val="000000" w:themeColor="text1"/>
          <w:lang w:eastAsia="es-ES"/>
        </w:rPr>
      </w:pPr>
    </w:p>
    <w:p w14:paraId="1212BB6D" w14:textId="77777777" w:rsidR="007968EC" w:rsidRPr="002C0D19" w:rsidRDefault="007968EC" w:rsidP="007968EC">
      <w:pPr>
        <w:autoSpaceDE w:val="0"/>
        <w:autoSpaceDN w:val="0"/>
        <w:adjustRightInd w:val="0"/>
        <w:rPr>
          <w:rFonts w:ascii="Arial Narrow" w:hAnsi="Arial Narrow" w:cs="Verdana"/>
          <w:b/>
          <w:color w:val="000000" w:themeColor="text1"/>
          <w:lang w:eastAsia="es-ES"/>
        </w:rPr>
      </w:pPr>
    </w:p>
    <w:p w14:paraId="73ACF560" w14:textId="77777777" w:rsidR="007968EC" w:rsidRPr="002C0D19" w:rsidRDefault="007968EC" w:rsidP="007968EC">
      <w:pPr>
        <w:rPr>
          <w:rFonts w:ascii="Arial Narrow" w:hAnsi="Arial Narrow" w:cs="Arial"/>
          <w:b/>
          <w:color w:val="000000" w:themeColor="text1"/>
          <w:lang w:eastAsia="es-CO"/>
        </w:rPr>
      </w:pPr>
    </w:p>
    <w:p w14:paraId="4D4E473B" w14:textId="77777777" w:rsidR="007968EC" w:rsidRPr="002C0D19" w:rsidRDefault="007968EC" w:rsidP="007968EC">
      <w:pPr>
        <w:rPr>
          <w:rFonts w:ascii="Arial Narrow" w:hAnsi="Arial Narrow" w:cs="Arial"/>
          <w:b/>
          <w:color w:val="000000" w:themeColor="text1"/>
          <w:lang w:eastAsia="es-CO"/>
        </w:rPr>
      </w:pPr>
    </w:p>
    <w:p w14:paraId="4F0F76E1" w14:textId="77777777" w:rsidR="007968EC" w:rsidRPr="002C0D19" w:rsidRDefault="007968EC" w:rsidP="007968EC">
      <w:pPr>
        <w:rPr>
          <w:rFonts w:ascii="Arial Narrow" w:hAnsi="Arial Narrow" w:cs="Arial"/>
          <w:color w:val="000000" w:themeColor="text1"/>
          <w:lang w:eastAsia="es-CO"/>
        </w:rPr>
      </w:pPr>
      <w:r w:rsidRPr="002C0D19">
        <w:rPr>
          <w:rFonts w:ascii="Arial Narrow" w:hAnsi="Arial Narrow" w:cs="Arial"/>
          <w:color w:val="000000" w:themeColor="text1"/>
          <w:lang w:eastAsia="es-CO"/>
        </w:rPr>
        <w:t>Cordialmente,</w:t>
      </w:r>
    </w:p>
    <w:p w14:paraId="1F50646A" w14:textId="77777777" w:rsidR="007968EC" w:rsidRPr="002C0D19" w:rsidRDefault="007968EC" w:rsidP="007968EC">
      <w:pPr>
        <w:rPr>
          <w:rFonts w:ascii="Arial Narrow" w:hAnsi="Arial Narrow" w:cs="Arial"/>
          <w:b/>
          <w:color w:val="000000" w:themeColor="text1"/>
          <w:lang w:eastAsia="es-CO"/>
        </w:rPr>
      </w:pPr>
    </w:p>
    <w:p w14:paraId="6A2905B4" w14:textId="77777777" w:rsidR="007968EC" w:rsidRPr="002C0D19" w:rsidRDefault="007968EC" w:rsidP="007968EC">
      <w:pPr>
        <w:rPr>
          <w:rFonts w:ascii="Arial Narrow" w:hAnsi="Arial Narrow" w:cs="Arial"/>
          <w:b/>
          <w:color w:val="000000" w:themeColor="text1"/>
          <w:lang w:eastAsia="es-CO"/>
        </w:rPr>
      </w:pPr>
    </w:p>
    <w:p w14:paraId="42CCCA5E" w14:textId="77777777" w:rsidR="007968EC" w:rsidRPr="002C0D19" w:rsidRDefault="007968EC" w:rsidP="007968EC">
      <w:pPr>
        <w:rPr>
          <w:rFonts w:ascii="Arial Narrow" w:hAnsi="Arial Narrow" w:cs="Arial"/>
          <w:b/>
          <w:color w:val="000000" w:themeColor="text1"/>
          <w:lang w:eastAsia="es-CO"/>
        </w:rPr>
      </w:pPr>
      <w:r w:rsidRPr="002C0D19">
        <w:rPr>
          <w:rFonts w:ascii="Arial Narrow" w:hAnsi="Arial Narrow" w:cs="Arial"/>
          <w:b/>
          <w:color w:val="000000" w:themeColor="text1"/>
          <w:lang w:eastAsia="es-CO"/>
        </w:rPr>
        <w:t>___________________________________________ </w:t>
      </w:r>
    </w:p>
    <w:p w14:paraId="457C5B47" w14:textId="77777777" w:rsidR="007968EC" w:rsidRPr="002C0D19" w:rsidRDefault="007968EC" w:rsidP="007968EC">
      <w:pPr>
        <w:rPr>
          <w:rFonts w:ascii="Arial Narrow" w:hAnsi="Arial Narrow" w:cs="Arial"/>
          <w:b/>
          <w:color w:val="000000" w:themeColor="text1"/>
          <w:lang w:eastAsia="es-ES"/>
        </w:rPr>
      </w:pPr>
      <w:r w:rsidRPr="002C0D19">
        <w:rPr>
          <w:rFonts w:ascii="Arial Narrow" w:hAnsi="Arial Narrow" w:cs="Arial"/>
          <w:b/>
          <w:color w:val="000000" w:themeColor="text1"/>
          <w:lang w:eastAsia="es-ES"/>
        </w:rPr>
        <w:t>Representante Legal</w:t>
      </w:r>
    </w:p>
    <w:p w14:paraId="4EC6988C" w14:textId="77777777" w:rsidR="007968EC" w:rsidRPr="002C0D19" w:rsidRDefault="007968EC" w:rsidP="007968EC">
      <w:pPr>
        <w:rPr>
          <w:rFonts w:ascii="Arial Narrow" w:hAnsi="Arial Narrow" w:cs="Arial"/>
          <w:b/>
          <w:color w:val="000000" w:themeColor="text1"/>
          <w:lang w:eastAsia="es-ES"/>
        </w:rPr>
      </w:pPr>
      <w:r w:rsidRPr="002C0D19">
        <w:rPr>
          <w:rFonts w:ascii="Arial Narrow" w:hAnsi="Arial Narrow" w:cs="Arial"/>
          <w:b/>
          <w:color w:val="000000" w:themeColor="text1"/>
          <w:lang w:eastAsia="es-ES"/>
        </w:rPr>
        <w:t>(Nombre y Cédula)</w:t>
      </w:r>
    </w:p>
    <w:p w14:paraId="33D6FFF6" w14:textId="77777777" w:rsidR="007968EC" w:rsidRPr="002C0D19" w:rsidRDefault="007968EC" w:rsidP="007968EC">
      <w:pPr>
        <w:autoSpaceDE w:val="0"/>
        <w:autoSpaceDN w:val="0"/>
        <w:adjustRightInd w:val="0"/>
        <w:rPr>
          <w:rFonts w:ascii="Arial Narrow" w:hAnsi="Arial Narrow" w:cs="Verdana"/>
          <w:b/>
          <w:color w:val="000000" w:themeColor="text1"/>
          <w:lang w:eastAsia="es-ES"/>
        </w:rPr>
      </w:pPr>
    </w:p>
    <w:p w14:paraId="5A2656AF" w14:textId="77777777" w:rsidR="007968EC" w:rsidRPr="002C0D19" w:rsidRDefault="007968EC" w:rsidP="007968EC">
      <w:pPr>
        <w:jc w:val="both"/>
        <w:rPr>
          <w:rFonts w:ascii="Arial Narrow" w:hAnsi="Arial Narrow" w:cs="Arial"/>
          <w:color w:val="000000" w:themeColor="text1"/>
          <w:lang w:val="es-ES" w:eastAsia="es-ES"/>
        </w:rPr>
      </w:pPr>
    </w:p>
    <w:p w14:paraId="0BD85B02" w14:textId="77777777" w:rsidR="007968EC" w:rsidRPr="002C0D19" w:rsidRDefault="007968EC" w:rsidP="007968EC">
      <w:pPr>
        <w:jc w:val="both"/>
        <w:rPr>
          <w:rFonts w:ascii="Arial Narrow" w:hAnsi="Arial Narrow" w:cs="Arial"/>
          <w:color w:val="000000" w:themeColor="text1"/>
          <w:lang w:val="es-ES" w:eastAsia="es-ES"/>
        </w:rPr>
      </w:pPr>
    </w:p>
    <w:p w14:paraId="062810A1" w14:textId="77777777" w:rsidR="007968EC" w:rsidRPr="002C0D19" w:rsidRDefault="007968EC" w:rsidP="007968EC">
      <w:pPr>
        <w:jc w:val="both"/>
        <w:rPr>
          <w:rFonts w:ascii="Arial Narrow" w:hAnsi="Arial Narrow" w:cs="Arial"/>
          <w:color w:val="000000" w:themeColor="text1"/>
          <w:lang w:val="es-ES" w:eastAsia="es-ES"/>
        </w:rPr>
      </w:pPr>
    </w:p>
    <w:p w14:paraId="4A12AD1B" w14:textId="77777777" w:rsidR="007968EC" w:rsidRPr="002C0D19" w:rsidRDefault="007968EC" w:rsidP="007968EC">
      <w:pPr>
        <w:rPr>
          <w:rFonts w:ascii="Arial Narrow" w:hAnsi="Arial Narrow" w:cs="Arial"/>
          <w:color w:val="000000" w:themeColor="text1"/>
          <w:lang w:val="es-ES" w:eastAsia="es-ES"/>
        </w:rPr>
      </w:pPr>
    </w:p>
    <w:p w14:paraId="4987BCA0" w14:textId="77777777" w:rsidR="007968EC" w:rsidRPr="002C0D19" w:rsidRDefault="007968EC" w:rsidP="007968EC">
      <w:pPr>
        <w:jc w:val="both"/>
        <w:rPr>
          <w:rFonts w:ascii="Arial Narrow" w:hAnsi="Arial Narrow" w:cs="Arial"/>
          <w:color w:val="000000" w:themeColor="text1"/>
          <w:lang w:val="es-ES" w:eastAsia="es-ES"/>
        </w:rPr>
      </w:pPr>
    </w:p>
    <w:p w14:paraId="775C1B77" w14:textId="77777777" w:rsidR="007968EC" w:rsidRPr="002C0D19" w:rsidRDefault="007968EC" w:rsidP="007968EC">
      <w:pPr>
        <w:rPr>
          <w:rFonts w:ascii="Arial Narrow" w:hAnsi="Arial Narrow" w:cs="Arial"/>
          <w:color w:val="000000" w:themeColor="text1"/>
          <w:lang w:val="es-ES" w:eastAsia="es-ES"/>
        </w:rPr>
      </w:pPr>
    </w:p>
    <w:p w14:paraId="2396A02A" w14:textId="77777777" w:rsidR="007968EC" w:rsidRPr="005C4274" w:rsidRDefault="007968EC" w:rsidP="007968EC">
      <w:pPr>
        <w:pStyle w:val="TTULO"/>
        <w:rPr>
          <w:lang w:val="es-ES"/>
        </w:rPr>
      </w:pPr>
      <w:r w:rsidRPr="002C0D19">
        <w:rPr>
          <w:lang w:val="es-ES"/>
        </w:rPr>
        <w:br w:type="page"/>
      </w:r>
      <w:bookmarkStart w:id="6511" w:name="_Toc31716592"/>
      <w:r w:rsidRPr="005C4274">
        <w:rPr>
          <w:lang w:val="es-ES"/>
        </w:rPr>
        <w:lastRenderedPageBreak/>
        <w:t>ANEXO 3</w:t>
      </w:r>
      <w:bookmarkEnd w:id="6511"/>
    </w:p>
    <w:p w14:paraId="648B2F84" w14:textId="77777777" w:rsidR="007968EC" w:rsidRPr="005C4274" w:rsidRDefault="007968EC" w:rsidP="007968EC">
      <w:pPr>
        <w:jc w:val="center"/>
        <w:rPr>
          <w:rFonts w:ascii="Arial Narrow" w:hAnsi="Arial Narrow" w:cs="Arial"/>
          <w:b/>
          <w:color w:val="000000" w:themeColor="text1"/>
          <w:lang w:val="es-ES" w:eastAsia="es-ES"/>
        </w:rPr>
      </w:pPr>
    </w:p>
    <w:p w14:paraId="4AAAC700" w14:textId="77777777" w:rsidR="007968EC" w:rsidRPr="005C4274" w:rsidRDefault="007968EC" w:rsidP="007968EC">
      <w:pPr>
        <w:jc w:val="center"/>
        <w:rPr>
          <w:rFonts w:ascii="Arial Narrow" w:hAnsi="Arial Narrow" w:cs="Arial"/>
          <w:b/>
          <w:color w:val="000000" w:themeColor="text1"/>
          <w:lang w:val="es-ES" w:eastAsia="es-ES"/>
        </w:rPr>
      </w:pPr>
      <w:r w:rsidRPr="005C4274">
        <w:rPr>
          <w:rFonts w:ascii="Arial Narrow" w:hAnsi="Arial Narrow" w:cs="Arial"/>
          <w:b/>
          <w:color w:val="000000" w:themeColor="text1"/>
          <w:lang w:val="es-ES" w:eastAsia="es-ES"/>
        </w:rPr>
        <w:t xml:space="preserve">FORMATO DE REQUERIMIENTOS </w:t>
      </w:r>
    </w:p>
    <w:p w14:paraId="14A121FF" w14:textId="77777777" w:rsidR="007968EC" w:rsidRPr="002C0D19" w:rsidRDefault="007968EC" w:rsidP="007968EC">
      <w:pPr>
        <w:jc w:val="both"/>
        <w:rPr>
          <w:rFonts w:ascii="Arial Narrow" w:hAnsi="Arial Narrow" w:cs="Arial"/>
          <w:color w:val="000000" w:themeColor="text1"/>
          <w:lang w:val="es-ES" w:eastAsia="es-CO"/>
        </w:rPr>
      </w:pPr>
    </w:p>
    <w:p w14:paraId="04A1E2B2" w14:textId="77777777" w:rsidR="007968EC" w:rsidRPr="002C0D19" w:rsidRDefault="007968EC" w:rsidP="007968EC">
      <w:pPr>
        <w:jc w:val="both"/>
        <w:rPr>
          <w:rFonts w:ascii="Arial Narrow" w:hAnsi="Arial Narrow" w:cs="Arial"/>
          <w:color w:val="000000" w:themeColor="text1"/>
          <w:lang w:val="es-ES" w:eastAsia="es-CO"/>
        </w:rPr>
      </w:pPr>
    </w:p>
    <w:p w14:paraId="51827CD6" w14:textId="77777777" w:rsidR="007968EC" w:rsidRPr="002C0D19" w:rsidRDefault="007968EC" w:rsidP="007968EC">
      <w:pPr>
        <w:jc w:val="both"/>
        <w:rPr>
          <w:rFonts w:ascii="Arial Narrow" w:hAnsi="Arial Narrow" w:cs="Arial"/>
          <w:color w:val="000000" w:themeColor="text1"/>
          <w:lang w:val="es-ES" w:eastAsia="es-CO"/>
        </w:rPr>
      </w:pPr>
      <w:r w:rsidRPr="002C0D19">
        <w:rPr>
          <w:rFonts w:ascii="Arial Narrow" w:hAnsi="Arial Narrow" w:cs="Arial"/>
          <w:color w:val="000000" w:themeColor="text1"/>
          <w:lang w:val="es-ES" w:eastAsia="es-CO"/>
        </w:rPr>
        <w:t>Formulario:</w:t>
      </w:r>
    </w:p>
    <w:p w14:paraId="15FC0419" w14:textId="77777777" w:rsidR="007968EC" w:rsidRPr="002C0D19" w:rsidRDefault="007968EC" w:rsidP="007968EC">
      <w:pPr>
        <w:jc w:val="both"/>
        <w:rPr>
          <w:rFonts w:ascii="Arial Narrow" w:hAnsi="Arial Narrow" w:cs="Arial"/>
          <w:color w:val="000000" w:themeColor="text1"/>
          <w:lang w:val="es-ES" w:eastAsia="es-CO"/>
        </w:rPr>
      </w:pPr>
    </w:p>
    <w:p w14:paraId="0035EB35" w14:textId="77777777" w:rsidR="007968EC" w:rsidRPr="002C0D19" w:rsidRDefault="007968EC" w:rsidP="007968EC">
      <w:pPr>
        <w:jc w:val="center"/>
        <w:rPr>
          <w:rFonts w:ascii="Arial Narrow" w:hAnsi="Arial Narrow" w:cs="Arial"/>
          <w:color w:val="000000" w:themeColor="text1"/>
          <w:lang w:val="es-ES" w:eastAsia="es-CO"/>
        </w:rPr>
      </w:pPr>
      <w:r w:rsidRPr="002C0D19">
        <w:rPr>
          <w:rFonts w:ascii="Arial Narrow" w:hAnsi="Arial Narrow" w:cs="Arial"/>
          <w:b/>
          <w:noProof/>
          <w:color w:val="000000" w:themeColor="text1"/>
          <w:lang w:eastAsia="es-CO"/>
        </w:rPr>
        <w:drawing>
          <wp:inline distT="0" distB="0" distL="0" distR="0" wp14:anchorId="51F7C77C" wp14:editId="29ACB804">
            <wp:extent cx="5108857" cy="5580000"/>
            <wp:effectExtent l="0" t="0" r="0" b="190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08857" cy="5580000"/>
                    </a:xfrm>
                    <a:prstGeom prst="rect">
                      <a:avLst/>
                    </a:prstGeom>
                    <a:noFill/>
                    <a:ln>
                      <a:noFill/>
                    </a:ln>
                  </pic:spPr>
                </pic:pic>
              </a:graphicData>
            </a:graphic>
          </wp:inline>
        </w:drawing>
      </w:r>
    </w:p>
    <w:p w14:paraId="2F8D059B" w14:textId="77777777" w:rsidR="007968EC" w:rsidRPr="002C0D19" w:rsidRDefault="007968EC" w:rsidP="007968EC">
      <w:pPr>
        <w:jc w:val="both"/>
        <w:rPr>
          <w:rFonts w:ascii="Arial Narrow" w:hAnsi="Arial Narrow" w:cs="Arial"/>
          <w:color w:val="000000" w:themeColor="text1"/>
          <w:lang w:val="es-ES" w:eastAsia="es-CO"/>
        </w:rPr>
      </w:pPr>
    </w:p>
    <w:p w14:paraId="501CCB60" w14:textId="77777777" w:rsidR="007968EC" w:rsidRPr="002C0D19" w:rsidRDefault="007968EC" w:rsidP="007968EC">
      <w:pPr>
        <w:jc w:val="both"/>
        <w:rPr>
          <w:rFonts w:ascii="Arial Narrow" w:hAnsi="Arial Narrow" w:cs="Arial"/>
          <w:color w:val="000000" w:themeColor="text1"/>
          <w:lang w:val="es-ES" w:eastAsia="es-CO"/>
        </w:rPr>
      </w:pPr>
      <w:r w:rsidRPr="002C0D19">
        <w:rPr>
          <w:rFonts w:ascii="Arial Narrow" w:hAnsi="Arial Narrow" w:cs="Arial"/>
          <w:color w:val="000000" w:themeColor="text1"/>
          <w:lang w:val="es-ES" w:eastAsia="es-CO"/>
        </w:rPr>
        <w:t>Tabla 1: Políticas de Riesgo</w:t>
      </w:r>
    </w:p>
    <w:p w14:paraId="7BB2EF59" w14:textId="77777777" w:rsidR="007968EC" w:rsidRPr="002C0D19" w:rsidRDefault="007968EC" w:rsidP="007968EC">
      <w:pPr>
        <w:jc w:val="both"/>
        <w:rPr>
          <w:rFonts w:ascii="Arial Narrow" w:hAnsi="Arial Narrow" w:cs="Arial"/>
          <w:color w:val="000000" w:themeColor="text1"/>
          <w:lang w:val="es-ES" w:eastAsia="es-CO"/>
        </w:rPr>
      </w:pPr>
    </w:p>
    <w:p w14:paraId="1A95227E" w14:textId="77777777" w:rsidR="007968EC" w:rsidRPr="002C0D19" w:rsidRDefault="007968EC" w:rsidP="007968EC">
      <w:pPr>
        <w:jc w:val="both"/>
        <w:rPr>
          <w:rFonts w:ascii="Arial Narrow" w:hAnsi="Arial Narrow" w:cs="Arial"/>
          <w:color w:val="000000" w:themeColor="text1"/>
          <w:lang w:val="es-ES" w:eastAsia="es-CO"/>
        </w:rPr>
      </w:pPr>
      <w:r w:rsidRPr="002C0D19">
        <w:rPr>
          <w:rFonts w:ascii="Arial Narrow" w:hAnsi="Arial Narrow" w:cs="Arial"/>
          <w:b/>
          <w:noProof/>
          <w:color w:val="000000" w:themeColor="text1"/>
          <w:lang w:eastAsia="es-CO"/>
        </w:rPr>
        <w:lastRenderedPageBreak/>
        <w:drawing>
          <wp:inline distT="0" distB="0" distL="0" distR="0" wp14:anchorId="621C2E5E" wp14:editId="6E2BBFD6">
            <wp:extent cx="5972810" cy="3400936"/>
            <wp:effectExtent l="19050" t="19050" r="8890" b="285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72810" cy="3400936"/>
                    </a:xfrm>
                    <a:prstGeom prst="rect">
                      <a:avLst/>
                    </a:prstGeom>
                    <a:noFill/>
                    <a:ln>
                      <a:solidFill>
                        <a:sysClr val="window" lastClr="FFFFFF"/>
                      </a:solidFill>
                    </a:ln>
                  </pic:spPr>
                </pic:pic>
              </a:graphicData>
            </a:graphic>
          </wp:inline>
        </w:drawing>
      </w:r>
    </w:p>
    <w:p w14:paraId="66590AAC" w14:textId="77777777" w:rsidR="007968EC" w:rsidRPr="002C0D19" w:rsidRDefault="007968EC" w:rsidP="007968EC">
      <w:pPr>
        <w:jc w:val="both"/>
        <w:rPr>
          <w:rFonts w:ascii="Arial Narrow" w:hAnsi="Arial Narrow" w:cs="Arial"/>
          <w:color w:val="000000" w:themeColor="text1"/>
          <w:lang w:val="es-ES" w:eastAsia="es-CO"/>
        </w:rPr>
      </w:pPr>
    </w:p>
    <w:p w14:paraId="00FB4C98" w14:textId="77777777" w:rsidR="007968EC" w:rsidRPr="002C0D19" w:rsidRDefault="007968EC" w:rsidP="007968EC">
      <w:pPr>
        <w:jc w:val="both"/>
        <w:rPr>
          <w:rFonts w:ascii="Arial Narrow" w:hAnsi="Arial Narrow" w:cs="Arial"/>
          <w:color w:val="000000" w:themeColor="text1"/>
          <w:lang w:val="es-ES" w:eastAsia="es-CO"/>
        </w:rPr>
      </w:pPr>
      <w:r w:rsidRPr="002C0D19">
        <w:rPr>
          <w:rFonts w:ascii="Arial Narrow" w:hAnsi="Arial Narrow" w:cs="Arial"/>
          <w:color w:val="000000" w:themeColor="text1"/>
          <w:lang w:val="es-ES" w:eastAsia="es-CO"/>
        </w:rPr>
        <w:t>Tabla 2: Soluciones / Software</w:t>
      </w:r>
    </w:p>
    <w:p w14:paraId="43B60A1B" w14:textId="77777777" w:rsidR="007968EC" w:rsidRPr="002C0D19" w:rsidRDefault="007968EC" w:rsidP="007968EC">
      <w:pPr>
        <w:jc w:val="both"/>
        <w:rPr>
          <w:rFonts w:ascii="Arial Narrow" w:hAnsi="Arial Narrow" w:cs="Arial"/>
          <w:color w:val="000000" w:themeColor="text1"/>
          <w:lang w:val="es-ES" w:eastAsia="es-CO"/>
        </w:rPr>
      </w:pPr>
    </w:p>
    <w:p w14:paraId="39AE9211"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noProof/>
          <w:color w:val="000000" w:themeColor="text1"/>
          <w:lang w:eastAsia="es-CO"/>
        </w:rPr>
        <w:drawing>
          <wp:inline distT="0" distB="0" distL="0" distR="0" wp14:anchorId="1F6B5FF8" wp14:editId="754D5DDF">
            <wp:extent cx="5972810" cy="2435230"/>
            <wp:effectExtent l="0" t="0" r="889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72810" cy="2435230"/>
                    </a:xfrm>
                    <a:prstGeom prst="rect">
                      <a:avLst/>
                    </a:prstGeom>
                    <a:noFill/>
                    <a:ln>
                      <a:noFill/>
                    </a:ln>
                  </pic:spPr>
                </pic:pic>
              </a:graphicData>
            </a:graphic>
          </wp:inline>
        </w:drawing>
      </w:r>
    </w:p>
    <w:p w14:paraId="79265676" w14:textId="77777777" w:rsidR="007968EC" w:rsidRPr="002C0D19" w:rsidRDefault="007968EC" w:rsidP="007968EC">
      <w:pPr>
        <w:jc w:val="both"/>
        <w:rPr>
          <w:rFonts w:ascii="Arial Narrow" w:hAnsi="Arial Narrow" w:cs="Arial"/>
          <w:color w:val="000000" w:themeColor="text1"/>
          <w:lang w:val="es-ES" w:eastAsia="es-CO"/>
        </w:rPr>
      </w:pPr>
    </w:p>
    <w:p w14:paraId="4ECFE739" w14:textId="77777777" w:rsidR="007968EC" w:rsidRPr="002C0D19" w:rsidRDefault="007968EC" w:rsidP="007968EC">
      <w:pPr>
        <w:jc w:val="both"/>
        <w:rPr>
          <w:rFonts w:ascii="Arial Narrow" w:hAnsi="Arial Narrow" w:cs="Arial"/>
          <w:color w:val="000000" w:themeColor="text1"/>
          <w:lang w:val="es-ES" w:eastAsia="es-CO"/>
        </w:rPr>
      </w:pPr>
      <w:r w:rsidRPr="002C0D19">
        <w:rPr>
          <w:rFonts w:ascii="Arial Narrow" w:hAnsi="Arial Narrow" w:cs="Arial"/>
          <w:color w:val="000000" w:themeColor="text1"/>
          <w:lang w:val="es-ES" w:eastAsia="es-CO"/>
        </w:rPr>
        <w:br w:type="page"/>
      </w:r>
    </w:p>
    <w:p w14:paraId="18E66760" w14:textId="77777777" w:rsidR="007968EC" w:rsidRPr="002C0D19" w:rsidRDefault="007968EC" w:rsidP="007968EC">
      <w:pPr>
        <w:jc w:val="both"/>
        <w:rPr>
          <w:rFonts w:ascii="Arial Narrow" w:hAnsi="Arial Narrow" w:cs="Arial"/>
          <w:color w:val="000000" w:themeColor="text1"/>
          <w:lang w:val="es-ES" w:eastAsia="es-CO"/>
        </w:rPr>
      </w:pPr>
      <w:r w:rsidRPr="002C0D19">
        <w:rPr>
          <w:rFonts w:ascii="Arial Narrow" w:hAnsi="Arial Narrow" w:cs="Arial"/>
          <w:color w:val="000000" w:themeColor="text1"/>
          <w:lang w:val="es-ES" w:eastAsia="es-CO"/>
        </w:rPr>
        <w:lastRenderedPageBreak/>
        <w:t>Tabla 3: Plan de Contingencia</w:t>
      </w:r>
    </w:p>
    <w:p w14:paraId="5A189668" w14:textId="77777777" w:rsidR="007968EC" w:rsidRPr="002C0D19" w:rsidRDefault="007968EC" w:rsidP="007968EC">
      <w:pPr>
        <w:jc w:val="both"/>
        <w:rPr>
          <w:rFonts w:ascii="Arial Narrow" w:hAnsi="Arial Narrow" w:cs="Arial"/>
          <w:color w:val="000000" w:themeColor="text1"/>
          <w:lang w:val="es-ES" w:eastAsia="es-CO"/>
        </w:rPr>
      </w:pPr>
    </w:p>
    <w:p w14:paraId="7C4EE706"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noProof/>
          <w:color w:val="000000" w:themeColor="text1"/>
          <w:lang w:eastAsia="es-CO"/>
        </w:rPr>
        <w:drawing>
          <wp:inline distT="0" distB="0" distL="0" distR="0" wp14:anchorId="3417175E" wp14:editId="74E84597">
            <wp:extent cx="5972810" cy="2719372"/>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72810" cy="2719372"/>
                    </a:xfrm>
                    <a:prstGeom prst="rect">
                      <a:avLst/>
                    </a:prstGeom>
                    <a:noFill/>
                    <a:ln>
                      <a:noFill/>
                    </a:ln>
                  </pic:spPr>
                </pic:pic>
              </a:graphicData>
            </a:graphic>
          </wp:inline>
        </w:drawing>
      </w:r>
    </w:p>
    <w:p w14:paraId="7A01C9D0" w14:textId="77777777" w:rsidR="007968EC" w:rsidRPr="002C0D19" w:rsidRDefault="007968EC" w:rsidP="007968EC">
      <w:pPr>
        <w:jc w:val="both"/>
        <w:rPr>
          <w:rFonts w:ascii="Arial Narrow" w:hAnsi="Arial Narrow" w:cs="Arial"/>
          <w:color w:val="000000" w:themeColor="text1"/>
          <w:lang w:val="es-ES" w:eastAsia="es-ES"/>
        </w:rPr>
      </w:pPr>
    </w:p>
    <w:p w14:paraId="31A81B7D" w14:textId="77777777" w:rsidR="007968EC" w:rsidRPr="002C0D19" w:rsidRDefault="007968EC" w:rsidP="007968EC">
      <w:pPr>
        <w:jc w:val="both"/>
        <w:rPr>
          <w:rFonts w:ascii="Arial Narrow" w:hAnsi="Arial Narrow" w:cs="Arial"/>
          <w:color w:val="000000" w:themeColor="text1"/>
          <w:lang w:val="es-ES" w:eastAsia="es-CO"/>
        </w:rPr>
      </w:pPr>
      <w:r w:rsidRPr="002C0D19">
        <w:rPr>
          <w:rFonts w:ascii="Arial Narrow" w:hAnsi="Arial Narrow" w:cs="Arial"/>
          <w:color w:val="000000" w:themeColor="text1"/>
          <w:lang w:val="es-ES" w:eastAsia="es-CO"/>
        </w:rPr>
        <w:t>Tabla 4: Efectividad en Plan de Contingencia</w:t>
      </w:r>
    </w:p>
    <w:p w14:paraId="193345AE" w14:textId="77777777" w:rsidR="007968EC" w:rsidRPr="002C0D19" w:rsidRDefault="007968EC" w:rsidP="007968EC">
      <w:pPr>
        <w:jc w:val="both"/>
        <w:rPr>
          <w:rFonts w:ascii="Arial Narrow" w:hAnsi="Arial Narrow" w:cs="Arial"/>
          <w:color w:val="000000" w:themeColor="text1"/>
          <w:lang w:val="es-ES" w:eastAsia="es-ES"/>
        </w:rPr>
      </w:pPr>
    </w:p>
    <w:p w14:paraId="5F04F1AF"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noProof/>
          <w:color w:val="000000" w:themeColor="text1"/>
          <w:lang w:eastAsia="es-CO"/>
        </w:rPr>
        <w:drawing>
          <wp:inline distT="0" distB="0" distL="0" distR="0" wp14:anchorId="0DC2A6E6" wp14:editId="7F896E89">
            <wp:extent cx="5972810" cy="2685779"/>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72810" cy="2685779"/>
                    </a:xfrm>
                    <a:prstGeom prst="rect">
                      <a:avLst/>
                    </a:prstGeom>
                    <a:noFill/>
                    <a:ln>
                      <a:noFill/>
                    </a:ln>
                  </pic:spPr>
                </pic:pic>
              </a:graphicData>
            </a:graphic>
          </wp:inline>
        </w:drawing>
      </w:r>
    </w:p>
    <w:p w14:paraId="5BB8BFBB" w14:textId="77777777" w:rsidR="007968EC" w:rsidRPr="002C0D19" w:rsidRDefault="007968EC" w:rsidP="007968EC">
      <w:pPr>
        <w:jc w:val="both"/>
        <w:rPr>
          <w:rFonts w:ascii="Arial Narrow" w:hAnsi="Arial Narrow" w:cs="Arial"/>
          <w:color w:val="000000" w:themeColor="text1"/>
          <w:lang w:val="es-ES" w:eastAsia="es-CO"/>
        </w:rPr>
      </w:pPr>
    </w:p>
    <w:p w14:paraId="59A05E1F" w14:textId="77777777" w:rsidR="007968EC" w:rsidRPr="005C4274" w:rsidRDefault="007968EC" w:rsidP="007968EC">
      <w:pPr>
        <w:pStyle w:val="TTULO"/>
        <w:rPr>
          <w:lang w:val="es-ES"/>
        </w:rPr>
      </w:pPr>
      <w:r w:rsidRPr="002C0D19">
        <w:rPr>
          <w:lang w:val="es-ES" w:eastAsia="es-CO"/>
        </w:rPr>
        <w:br w:type="page"/>
      </w:r>
      <w:bookmarkStart w:id="6512" w:name="_Toc31716593"/>
      <w:r w:rsidRPr="005C4274">
        <w:rPr>
          <w:lang w:val="es-ES"/>
        </w:rPr>
        <w:lastRenderedPageBreak/>
        <w:t>ANEXO 4</w:t>
      </w:r>
      <w:bookmarkEnd w:id="6512"/>
    </w:p>
    <w:p w14:paraId="7847A865" w14:textId="77777777" w:rsidR="007968EC" w:rsidRPr="005C4274" w:rsidRDefault="007968EC" w:rsidP="007968EC">
      <w:pPr>
        <w:jc w:val="center"/>
        <w:rPr>
          <w:rFonts w:ascii="Arial Narrow" w:hAnsi="Arial Narrow" w:cs="Arial"/>
          <w:b/>
          <w:color w:val="000000" w:themeColor="text1"/>
          <w:lang w:val="es-ES" w:eastAsia="es-ES"/>
        </w:rPr>
      </w:pPr>
    </w:p>
    <w:p w14:paraId="7014226D" w14:textId="77777777" w:rsidR="007968EC" w:rsidRPr="005C4274" w:rsidRDefault="007968EC" w:rsidP="007968EC">
      <w:pPr>
        <w:jc w:val="center"/>
        <w:rPr>
          <w:rFonts w:ascii="Arial Narrow" w:hAnsi="Arial Narrow" w:cs="Arial"/>
          <w:b/>
          <w:color w:val="000000" w:themeColor="text1"/>
          <w:lang w:val="es-ES" w:eastAsia="es-ES"/>
        </w:rPr>
      </w:pPr>
      <w:r w:rsidRPr="005C4274">
        <w:rPr>
          <w:rFonts w:ascii="Arial Narrow" w:hAnsi="Arial Narrow" w:cs="Arial"/>
          <w:b/>
          <w:color w:val="000000" w:themeColor="text1"/>
          <w:lang w:val="es-ES" w:eastAsia="es-ES"/>
        </w:rPr>
        <w:t>CONVENIO CON EL AGENTE DE PAGO</w:t>
      </w:r>
    </w:p>
    <w:p w14:paraId="4F7993A0" w14:textId="77777777" w:rsidR="007968EC" w:rsidRPr="002C0D19" w:rsidRDefault="007968EC" w:rsidP="007968EC">
      <w:pPr>
        <w:jc w:val="both"/>
        <w:rPr>
          <w:rFonts w:ascii="Arial Narrow" w:hAnsi="Arial Narrow" w:cs="Arial"/>
          <w:color w:val="000000" w:themeColor="text1"/>
          <w:lang w:val="es-ES" w:eastAsia="es-ES"/>
        </w:rPr>
      </w:pPr>
    </w:p>
    <w:p w14:paraId="06214DDA" w14:textId="77777777" w:rsidR="007968EC" w:rsidRPr="002C0D19" w:rsidRDefault="007968EC" w:rsidP="007968EC">
      <w:pPr>
        <w:jc w:val="center"/>
        <w:rPr>
          <w:rFonts w:ascii="Arial Narrow" w:hAnsi="Arial Narrow" w:cs="Arial"/>
          <w:color w:val="000000" w:themeColor="text1"/>
          <w:lang w:val="es-MX" w:eastAsia="es-ES"/>
        </w:rPr>
      </w:pPr>
      <w:r w:rsidRPr="002C0D19">
        <w:rPr>
          <w:rFonts w:ascii="Arial Narrow" w:hAnsi="Arial Narrow" w:cs="Arial"/>
          <w:b/>
          <w:bCs/>
          <w:color w:val="000000" w:themeColor="text1"/>
          <w:lang w:eastAsia="es-ES"/>
        </w:rPr>
        <w:t>OFERTA DE SERVICIOS PARA ACTUAR COMO AGENTE DE PAGO</w:t>
      </w:r>
      <w:r w:rsidRPr="002C0D19">
        <w:rPr>
          <w:rFonts w:ascii="Arial Narrow" w:hAnsi="Arial Narrow" w:cs="Arial"/>
          <w:color w:val="000000" w:themeColor="text1"/>
          <w:lang w:val="es-ES" w:eastAsia="es-ES"/>
        </w:rPr>
        <w:t xml:space="preserve"> </w:t>
      </w:r>
      <w:r w:rsidRPr="002C0D19">
        <w:rPr>
          <w:rFonts w:ascii="Arial Narrow" w:hAnsi="Arial Narrow" w:cs="Arial"/>
          <w:b/>
          <w:bCs/>
          <w:color w:val="000000" w:themeColor="text1"/>
          <w:lang w:eastAsia="es-ES"/>
        </w:rPr>
        <w:t>EN EL SISTEMA DE COMPENSACIÓN Y LIQUIDACIÓN DE LA CÁMARA DE RIESGO CENTRAL DE CONTRAPARTE DE COLOMBIA S.A. – CRCC S.A.</w:t>
      </w:r>
    </w:p>
    <w:p w14:paraId="46B446D0" w14:textId="77777777" w:rsidR="007968EC" w:rsidRPr="002C0D19" w:rsidRDefault="007968EC" w:rsidP="007968EC">
      <w:pPr>
        <w:jc w:val="both"/>
        <w:rPr>
          <w:rFonts w:ascii="Arial Narrow" w:hAnsi="Arial Narrow" w:cs="Arial"/>
          <w:color w:val="000000" w:themeColor="text1"/>
          <w:spacing w:val="-3"/>
          <w:lang w:val="fr-FR" w:eastAsia="es-ES"/>
        </w:rPr>
      </w:pPr>
    </w:p>
    <w:p w14:paraId="0D0D7042"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Esta Oferta de Servicios para actuar como </w:t>
      </w:r>
      <w:r w:rsidRPr="002C0D19">
        <w:rPr>
          <w:rFonts w:ascii="Arial Narrow" w:hAnsi="Arial Narrow" w:cs="Arial"/>
          <w:b/>
          <w:color w:val="000000" w:themeColor="text1"/>
          <w:lang w:val="es-ES" w:eastAsia="es-ES"/>
        </w:rPr>
        <w:t>AGENTE DE PAGO</w:t>
      </w:r>
      <w:r w:rsidRPr="002C0D19">
        <w:rPr>
          <w:rFonts w:ascii="Arial Narrow" w:hAnsi="Arial Narrow" w:cs="Arial"/>
          <w:color w:val="000000" w:themeColor="text1"/>
          <w:lang w:val="es-ES" w:eastAsia="es-ES"/>
        </w:rPr>
        <w:t xml:space="preserve"> en el </w:t>
      </w:r>
      <w:r w:rsidRPr="002C0D19">
        <w:rPr>
          <w:rFonts w:ascii="Arial Narrow" w:hAnsi="Arial Narrow" w:cs="Arial"/>
          <w:bCs/>
          <w:color w:val="000000" w:themeColor="text1"/>
          <w:lang w:eastAsia="es-ES"/>
        </w:rPr>
        <w:t xml:space="preserve">Sistema de Compensación y Liquidación </w:t>
      </w:r>
      <w:r w:rsidRPr="002C0D19">
        <w:rPr>
          <w:rFonts w:ascii="Arial Narrow" w:hAnsi="Arial Narrow" w:cs="Arial"/>
          <w:color w:val="000000" w:themeColor="text1"/>
          <w:lang w:val="es-ES" w:eastAsia="es-ES"/>
        </w:rPr>
        <w:t>de la Cámara de Riesgo Central de Contraparte de Colombia S.A. – CRCC S.A., en adelante “</w:t>
      </w:r>
      <w:r w:rsidRPr="002C0D19">
        <w:rPr>
          <w:rFonts w:ascii="Arial Narrow" w:hAnsi="Arial Narrow" w:cs="Arial"/>
          <w:b/>
          <w:color w:val="000000" w:themeColor="text1"/>
          <w:lang w:val="es-ES" w:eastAsia="es-ES"/>
        </w:rPr>
        <w:t>EL SISTEMA</w:t>
      </w:r>
      <w:r w:rsidRPr="002C0D19">
        <w:rPr>
          <w:rFonts w:ascii="Arial Narrow" w:hAnsi="Arial Narrow" w:cs="Arial"/>
          <w:color w:val="000000" w:themeColor="text1"/>
          <w:lang w:val="es-ES" w:eastAsia="es-ES"/>
        </w:rPr>
        <w:t xml:space="preserve">”, se somete por </w:t>
      </w:r>
      <w:r w:rsidRPr="002C0D19">
        <w:rPr>
          <w:rFonts w:ascii="Arial Narrow" w:hAnsi="Arial Narrow" w:cs="Arial"/>
          <w:b/>
          <w:bCs/>
          <w:color w:val="000000" w:themeColor="text1"/>
          <w:lang w:val="es-ES" w:eastAsia="es-ES"/>
        </w:rPr>
        <w:t>LA CÁMARA DE RIESGO CENTRAL DE CONTRAPARTE DE COLOMBIA S.A.</w:t>
      </w:r>
      <w:r w:rsidRPr="002C0D19">
        <w:rPr>
          <w:rFonts w:ascii="Arial Narrow" w:hAnsi="Arial Narrow" w:cs="Arial"/>
          <w:color w:val="000000" w:themeColor="text1"/>
          <w:lang w:val="es-ES" w:eastAsia="es-ES"/>
        </w:rPr>
        <w:t xml:space="preserve">, en adelante </w:t>
      </w:r>
      <w:r w:rsidRPr="002C0D19">
        <w:rPr>
          <w:rFonts w:ascii="Arial Narrow" w:hAnsi="Arial Narrow" w:cs="Arial"/>
          <w:b/>
          <w:color w:val="000000" w:themeColor="text1"/>
          <w:lang w:val="es-ES" w:eastAsia="es-ES"/>
        </w:rPr>
        <w:t>LA</w:t>
      </w:r>
      <w:r w:rsidRPr="002C0D19">
        <w:rPr>
          <w:rFonts w:ascii="Arial Narrow" w:hAnsi="Arial Narrow" w:cs="Arial"/>
          <w:color w:val="000000" w:themeColor="text1"/>
          <w:lang w:val="es-ES" w:eastAsia="es-ES"/>
        </w:rPr>
        <w:t xml:space="preserve"> </w:t>
      </w:r>
      <w:r w:rsidRPr="002C0D19">
        <w:rPr>
          <w:rFonts w:ascii="Arial Narrow" w:hAnsi="Arial Narrow" w:cs="Arial"/>
          <w:b/>
          <w:bCs/>
          <w:color w:val="000000" w:themeColor="text1"/>
          <w:lang w:val="es-ES" w:eastAsia="es-ES"/>
        </w:rPr>
        <w:t>CRCC</w:t>
      </w:r>
      <w:r w:rsidRPr="002C0D19">
        <w:rPr>
          <w:rFonts w:ascii="Arial Narrow" w:hAnsi="Arial Narrow" w:cs="Arial"/>
          <w:color w:val="000000" w:themeColor="text1"/>
          <w:lang w:val="es-ES" w:eastAsia="es-ES"/>
        </w:rPr>
        <w:t xml:space="preserve">, a consideración de </w:t>
      </w:r>
      <w:r w:rsidRPr="002C0D19">
        <w:rPr>
          <w:rFonts w:ascii="Arial Narrow" w:hAnsi="Arial Narrow" w:cs="Arial"/>
          <w:b/>
          <w:bCs/>
          <w:color w:val="000000" w:themeColor="text1"/>
          <w:lang w:val="es-ES" w:eastAsia="es-ES"/>
        </w:rPr>
        <w:t xml:space="preserve">__________________________________, </w:t>
      </w:r>
      <w:r w:rsidRPr="002C0D19">
        <w:rPr>
          <w:rFonts w:ascii="Arial Narrow" w:hAnsi="Arial Narrow" w:cs="Arial"/>
          <w:color w:val="000000" w:themeColor="text1"/>
          <w:lang w:val="es-ES" w:eastAsia="es-ES"/>
        </w:rPr>
        <w:t xml:space="preserve">en adelante </w:t>
      </w:r>
      <w:r w:rsidRPr="002C0D19">
        <w:rPr>
          <w:rFonts w:ascii="Arial Narrow" w:hAnsi="Arial Narrow" w:cs="Arial"/>
          <w:b/>
          <w:bCs/>
          <w:color w:val="000000" w:themeColor="text1"/>
          <w:lang w:val="es-ES" w:eastAsia="es-ES"/>
        </w:rPr>
        <w:t>EL AGENTE DE PAGO</w:t>
      </w:r>
      <w:r w:rsidRPr="002C0D19">
        <w:rPr>
          <w:rFonts w:ascii="Arial Narrow" w:hAnsi="Arial Narrow" w:cs="Arial"/>
          <w:color w:val="000000" w:themeColor="text1"/>
          <w:lang w:val="es-ES" w:eastAsia="es-ES"/>
        </w:rPr>
        <w:t xml:space="preserve">. </w:t>
      </w:r>
    </w:p>
    <w:p w14:paraId="57984D85" w14:textId="77777777" w:rsidR="007968EC" w:rsidRPr="002C0D19" w:rsidRDefault="007968EC" w:rsidP="007968EC">
      <w:pPr>
        <w:jc w:val="both"/>
        <w:rPr>
          <w:rFonts w:ascii="Arial Narrow" w:hAnsi="Arial Narrow" w:cs="Arial"/>
          <w:b/>
          <w:bCs/>
          <w:color w:val="000000" w:themeColor="text1"/>
          <w:lang w:val="es-ES" w:eastAsia="es-ES"/>
        </w:rPr>
      </w:pPr>
    </w:p>
    <w:p w14:paraId="08E2D457" w14:textId="77777777" w:rsidR="007968EC" w:rsidRPr="002C0D19" w:rsidRDefault="007968EC" w:rsidP="007968EC">
      <w:pPr>
        <w:jc w:val="center"/>
        <w:rPr>
          <w:rFonts w:ascii="Arial Narrow" w:hAnsi="Arial Narrow" w:cs="Arial"/>
          <w:b/>
          <w:bCs/>
          <w:color w:val="000000" w:themeColor="text1"/>
          <w:lang w:val="es-ES" w:eastAsia="es-ES"/>
        </w:rPr>
      </w:pPr>
      <w:r w:rsidRPr="002C0D19">
        <w:rPr>
          <w:rFonts w:ascii="Arial Narrow" w:hAnsi="Arial Narrow" w:cs="Arial"/>
          <w:b/>
          <w:bCs/>
          <w:iCs/>
          <w:color w:val="000000" w:themeColor="text1"/>
          <w:lang w:val="es-ES" w:eastAsia="es-ES"/>
        </w:rPr>
        <w:t>TÉRMINOS Y CONDICIONES DE LA OFERTA</w:t>
      </w:r>
    </w:p>
    <w:p w14:paraId="00F8CC1A" w14:textId="77777777" w:rsidR="007968EC" w:rsidRPr="002C0D19" w:rsidRDefault="007968EC" w:rsidP="007968EC">
      <w:pPr>
        <w:tabs>
          <w:tab w:val="num" w:pos="0"/>
        </w:tabs>
        <w:jc w:val="both"/>
        <w:rPr>
          <w:rFonts w:ascii="Arial Narrow" w:hAnsi="Arial Narrow" w:cs="Arial"/>
          <w:b/>
          <w:bCs/>
          <w:color w:val="000000" w:themeColor="text1"/>
          <w:lang w:val="es-ES" w:eastAsia="es-ES"/>
        </w:rPr>
      </w:pPr>
    </w:p>
    <w:p w14:paraId="63BAA14A" w14:textId="77777777" w:rsidR="007968EC" w:rsidRPr="002C0D19" w:rsidRDefault="007968EC" w:rsidP="007968EC">
      <w:pPr>
        <w:tabs>
          <w:tab w:val="num" w:pos="0"/>
        </w:tabs>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es-ES" w:eastAsia="es-ES"/>
        </w:rPr>
        <w:t>PRIMERA. Objeto</w:t>
      </w:r>
      <w:r w:rsidRPr="002C0D19">
        <w:rPr>
          <w:rFonts w:ascii="Arial Narrow" w:hAnsi="Arial Narrow" w:cs="Arial"/>
          <w:b/>
          <w:bCs/>
          <w:color w:val="000000" w:themeColor="text1"/>
          <w:lang w:val="es-ES" w:eastAsia="es-ES"/>
        </w:rPr>
        <w:t>.</w:t>
      </w:r>
      <w:r w:rsidRPr="002C0D19">
        <w:rPr>
          <w:rFonts w:ascii="Arial Narrow" w:hAnsi="Arial Narrow" w:cs="Arial"/>
          <w:color w:val="000000" w:themeColor="text1"/>
          <w:lang w:val="es-ES" w:eastAsia="es-ES"/>
        </w:rPr>
        <w:t xml:space="preserve"> En virtud de la aceptación de la presente Oferta de Servicios, </w:t>
      </w:r>
      <w:r w:rsidRPr="002C0D19">
        <w:rPr>
          <w:rFonts w:ascii="Arial Narrow" w:hAnsi="Arial Narrow" w:cs="Arial"/>
          <w:b/>
          <w:bCs/>
          <w:color w:val="000000" w:themeColor="text1"/>
          <w:lang w:val="es-ES" w:eastAsia="es-ES"/>
        </w:rPr>
        <w:t>EL AGENTE DE PAGO</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podrá</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eastAsia="es-ES"/>
        </w:rPr>
        <w:t xml:space="preserve">recibir y custodiar dinero en efectivo por cuenta de </w:t>
      </w:r>
      <w:r w:rsidRPr="002C0D19">
        <w:rPr>
          <w:rFonts w:ascii="Arial Narrow" w:eastAsia="Calibri" w:hAnsi="Arial Narrow"/>
          <w:color w:val="000000" w:themeColor="text1"/>
        </w:rPr>
        <w:t xml:space="preserve">los Terceros de </w:t>
      </w:r>
      <w:r w:rsidRPr="002C0D19">
        <w:rPr>
          <w:rFonts w:ascii="Arial Narrow" w:hAnsi="Arial Narrow" w:cs="Arial"/>
          <w:color w:val="000000" w:themeColor="text1"/>
          <w:lang w:eastAsia="es-ES"/>
        </w:rPr>
        <w:t xml:space="preserve">los </w:t>
      </w:r>
      <w:r w:rsidRPr="002C0D19">
        <w:rPr>
          <w:rFonts w:ascii="Arial Narrow" w:hAnsi="Arial Narrow" w:cs="Arial"/>
          <w:color w:val="000000" w:themeColor="text1"/>
          <w:lang w:val="es-ES" w:eastAsia="es-ES"/>
        </w:rPr>
        <w:t xml:space="preserve">Miembros </w:t>
      </w:r>
      <w:r w:rsidRPr="002C0D19">
        <w:rPr>
          <w:rFonts w:ascii="Arial Narrow" w:eastAsia="Calibri" w:hAnsi="Arial Narrow"/>
          <w:color w:val="000000" w:themeColor="text1"/>
        </w:rPr>
        <w:t>y de toda su estructura de cuentas</w:t>
      </w:r>
      <w:r w:rsidRPr="002C0D19">
        <w:rPr>
          <w:rFonts w:ascii="Arial Narrow" w:hAnsi="Arial Narrow" w:cs="Arial"/>
          <w:color w:val="000000" w:themeColor="text1"/>
          <w:lang w:val="es-ES" w:eastAsia="es-ES"/>
        </w:rPr>
        <w:t xml:space="preserve"> que lo designen en tal calidad, así como </w:t>
      </w:r>
      <w:r w:rsidRPr="002C0D19">
        <w:rPr>
          <w:rFonts w:ascii="Arial Narrow" w:hAnsi="Arial Narrow" w:cs="Arial"/>
          <w:color w:val="000000" w:themeColor="text1"/>
          <w:lang w:eastAsia="es-ES"/>
        </w:rPr>
        <w:t xml:space="preserve">realizar pagos de efectivo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eastAsia="es-ES"/>
        </w:rPr>
        <w:t xml:space="preserve"> para el cumplimiento de las obligaciones a cargo de </w:t>
      </w:r>
      <w:r w:rsidRPr="002C0D19">
        <w:rPr>
          <w:rFonts w:ascii="Arial Narrow" w:eastAsia="Calibri" w:hAnsi="Arial Narrow"/>
          <w:color w:val="000000" w:themeColor="text1"/>
        </w:rPr>
        <w:t xml:space="preserve">los Terceros </w:t>
      </w:r>
      <w:r w:rsidRPr="002C0D19">
        <w:rPr>
          <w:rFonts w:ascii="Arial Narrow" w:hAnsi="Arial Narrow" w:cs="Arial"/>
          <w:color w:val="000000" w:themeColor="text1"/>
          <w:lang w:eastAsia="es-ES"/>
        </w:rPr>
        <w:t xml:space="preserve">de los </w:t>
      </w:r>
      <w:r w:rsidRPr="002C0D19">
        <w:rPr>
          <w:rFonts w:ascii="Arial Narrow" w:hAnsi="Arial Narrow" w:cs="Arial"/>
          <w:color w:val="000000" w:themeColor="text1"/>
          <w:lang w:val="es-ES" w:eastAsia="es-ES"/>
        </w:rPr>
        <w:t xml:space="preserve">Miembros, </w:t>
      </w:r>
      <w:r w:rsidRPr="002C0D19">
        <w:rPr>
          <w:rFonts w:ascii="Arial Narrow" w:hAnsi="Arial Narrow" w:cs="Arial"/>
          <w:color w:val="000000" w:themeColor="text1"/>
          <w:lang w:eastAsia="es-ES"/>
        </w:rPr>
        <w:t>derivadas de la Compensación y Liquidación de operaciones,</w:t>
      </w:r>
      <w:r w:rsidRPr="002C0D19">
        <w:rPr>
          <w:rFonts w:ascii="Arial Narrow" w:hAnsi="Arial Narrow" w:cs="Arial"/>
          <w:color w:val="000000" w:themeColor="text1"/>
          <w:lang w:val="es-ES" w:eastAsia="es-ES"/>
        </w:rPr>
        <w:t xml:space="preserve"> todo ello de conformidad con los términos y condiciones establecidos en el Reglamento de Funcionamiento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en adelante el “Reglamento”.</w:t>
      </w:r>
    </w:p>
    <w:p w14:paraId="09CA754B" w14:textId="77777777" w:rsidR="007968EC" w:rsidRPr="002C0D19" w:rsidRDefault="007968EC" w:rsidP="007968EC">
      <w:pPr>
        <w:rPr>
          <w:rFonts w:ascii="Arial Narrow" w:hAnsi="Arial Narrow" w:cs="Arial"/>
          <w:bCs/>
          <w:color w:val="000000" w:themeColor="text1"/>
          <w:lang w:eastAsia="es-ES"/>
        </w:rPr>
      </w:pPr>
    </w:p>
    <w:p w14:paraId="37028248" w14:textId="77777777" w:rsidR="007968EC" w:rsidRPr="002C0D19" w:rsidRDefault="007968EC" w:rsidP="007968EC">
      <w:pPr>
        <w:jc w:val="both"/>
        <w:rPr>
          <w:rFonts w:ascii="Arial Narrow" w:hAnsi="Arial Narrow" w:cs="Arial"/>
          <w:bCs/>
          <w:color w:val="000000" w:themeColor="text1"/>
          <w:lang w:eastAsia="es-ES"/>
        </w:rPr>
      </w:pPr>
      <w:r w:rsidRPr="002C0D19">
        <w:rPr>
          <w:rFonts w:ascii="Arial Narrow" w:hAnsi="Arial Narrow" w:cs="Arial"/>
          <w:bCs/>
          <w:color w:val="000000" w:themeColor="text1"/>
          <w:lang w:eastAsia="es-ES"/>
        </w:rPr>
        <w:t xml:space="preserve">Las Cuentas de Depósito de las que es titular </w:t>
      </w:r>
      <w:r w:rsidRPr="002C0D19">
        <w:rPr>
          <w:rFonts w:ascii="Arial Narrow" w:hAnsi="Arial Narrow" w:cs="Arial"/>
          <w:b/>
          <w:bCs/>
          <w:color w:val="000000" w:themeColor="text1"/>
          <w:lang w:val="es-ES" w:eastAsia="es-ES"/>
        </w:rPr>
        <w:t>EL AGENTE DE PAGO</w:t>
      </w:r>
      <w:r w:rsidRPr="002C0D19">
        <w:rPr>
          <w:rFonts w:ascii="Arial Narrow" w:hAnsi="Arial Narrow" w:cs="Arial"/>
          <w:bCs/>
          <w:color w:val="000000" w:themeColor="text1"/>
          <w:lang w:eastAsia="es-ES"/>
        </w:rPr>
        <w:t xml:space="preserve"> ante el Banco de la República y a través de las cuales desarrollará sus funciones, son las siguientes:</w:t>
      </w:r>
    </w:p>
    <w:p w14:paraId="764CDB4B" w14:textId="77777777" w:rsidR="007968EC" w:rsidRPr="002C0D19" w:rsidRDefault="007968EC" w:rsidP="007968EC">
      <w:pPr>
        <w:rPr>
          <w:rFonts w:ascii="Arial Narrow" w:hAnsi="Arial Narrow" w:cs="Arial"/>
          <w:b/>
          <w:bCs/>
          <w:iCs/>
          <w:color w:val="000000" w:themeColor="text1"/>
          <w:lang w:val="es-ES" w:eastAsia="es-ES"/>
        </w:rPr>
      </w:pPr>
    </w:p>
    <w:p w14:paraId="7D85D5F6" w14:textId="77777777" w:rsidR="007968EC" w:rsidRPr="002C0D19" w:rsidRDefault="007968EC" w:rsidP="007968EC">
      <w:pPr>
        <w:rPr>
          <w:rFonts w:ascii="Arial Narrow" w:hAnsi="Arial Narrow" w:cs="Arial"/>
          <w:bCs/>
          <w:color w:val="000000" w:themeColor="text1"/>
          <w:lang w:eastAsia="es-ES"/>
        </w:rPr>
      </w:pPr>
      <w:r w:rsidRPr="002C0D19">
        <w:rPr>
          <w:rFonts w:ascii="Arial Narrow" w:hAnsi="Arial Narrow" w:cs="Arial"/>
          <w:b/>
          <w:bCs/>
          <w:iCs/>
          <w:color w:val="000000" w:themeColor="text1"/>
          <w:lang w:val="es-ES" w:eastAsia="es-ES"/>
        </w:rPr>
        <w:t>________________________________________________________________________________________________________________________________________________________________________________________________________________________</w:t>
      </w:r>
    </w:p>
    <w:p w14:paraId="126E392E" w14:textId="77777777" w:rsidR="007968EC" w:rsidRPr="002C0D19" w:rsidRDefault="007968EC" w:rsidP="007968EC">
      <w:pPr>
        <w:jc w:val="both"/>
        <w:rPr>
          <w:rFonts w:ascii="Arial Narrow" w:hAnsi="Arial Narrow" w:cs="Arial"/>
          <w:b/>
          <w:color w:val="000000" w:themeColor="text1"/>
          <w:lang w:val="es-ES" w:eastAsia="es-ES"/>
        </w:rPr>
      </w:pPr>
    </w:p>
    <w:p w14:paraId="29944219"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 w:eastAsia="es-ES"/>
        </w:rPr>
        <w:t>PARÁGRAFO.</w:t>
      </w:r>
      <w:r w:rsidRPr="002C0D19">
        <w:rPr>
          <w:rFonts w:ascii="Arial Narrow" w:hAnsi="Arial Narrow" w:cs="Arial"/>
          <w:color w:val="000000" w:themeColor="text1"/>
          <w:lang w:val="es-ES" w:eastAsia="es-ES"/>
        </w:rPr>
        <w:t xml:space="preserve"> Los términos que se utilizan en esta Oferta de Servicios, cuya primera letra sea una mayúscula, y que no se encuentren expresamente definidos en esta Oferta, tendrán el significado que se les atribuye en el Reglamento.  </w:t>
      </w:r>
    </w:p>
    <w:p w14:paraId="37B88F40" w14:textId="77777777" w:rsidR="007968EC" w:rsidRPr="002C0D19" w:rsidRDefault="007968EC" w:rsidP="007968EC">
      <w:pPr>
        <w:jc w:val="both"/>
        <w:rPr>
          <w:rFonts w:ascii="Arial Narrow" w:hAnsi="Arial Narrow" w:cs="Arial"/>
          <w:b/>
          <w:color w:val="000000" w:themeColor="text1"/>
          <w:lang w:val="es-ES" w:eastAsia="es-ES"/>
        </w:rPr>
      </w:pPr>
    </w:p>
    <w:p w14:paraId="3E5C5FBE" w14:textId="77777777" w:rsidR="007968EC" w:rsidRPr="002C0D19" w:rsidRDefault="007968EC" w:rsidP="007968EC">
      <w:pPr>
        <w:jc w:val="both"/>
        <w:rPr>
          <w:rFonts w:ascii="Arial Narrow" w:hAnsi="Arial Narrow" w:cs="Arial"/>
          <w:b/>
          <w:color w:val="000000" w:themeColor="text1"/>
          <w:lang w:val="es-ES" w:eastAsia="es-ES"/>
        </w:rPr>
      </w:pPr>
      <w:r w:rsidRPr="002C0D19">
        <w:rPr>
          <w:rFonts w:ascii="Arial Narrow" w:hAnsi="Arial Narrow" w:cs="Arial"/>
          <w:b/>
          <w:color w:val="000000" w:themeColor="text1"/>
          <w:u w:val="single"/>
          <w:lang w:val="es-ES" w:eastAsia="es-ES"/>
        </w:rPr>
        <w:t>SEGUNDA. Declaraciones, Manifestaciones y Autorizaciones</w:t>
      </w:r>
      <w:r w:rsidRPr="002C0D19">
        <w:rPr>
          <w:rFonts w:ascii="Arial Narrow" w:hAnsi="Arial Narrow" w:cs="Arial"/>
          <w:b/>
          <w:color w:val="000000" w:themeColor="text1"/>
          <w:lang w:val="es-ES" w:eastAsia="es-ES"/>
        </w:rPr>
        <w:t>.</w:t>
      </w:r>
      <w:r w:rsidRPr="002C0D19">
        <w:rPr>
          <w:rFonts w:ascii="Arial Narrow" w:hAnsi="Arial Narrow" w:cs="Arial"/>
          <w:color w:val="000000" w:themeColor="text1"/>
          <w:lang w:val="es-ES" w:eastAsia="es-ES"/>
        </w:rPr>
        <w:t xml:space="preserve"> Mediante la aceptación de la presente Oferta, </w:t>
      </w:r>
      <w:r w:rsidRPr="002C0D19">
        <w:rPr>
          <w:rFonts w:ascii="Arial Narrow" w:hAnsi="Arial Narrow" w:cs="Arial"/>
          <w:b/>
          <w:color w:val="000000" w:themeColor="text1"/>
          <w:lang w:val="es-ES" w:eastAsia="es-ES"/>
        </w:rPr>
        <w:t>EL AGENTE DE PAGO:</w:t>
      </w:r>
    </w:p>
    <w:p w14:paraId="78D1DF86" w14:textId="77777777" w:rsidR="007968EC" w:rsidRPr="002C0D19" w:rsidRDefault="007968EC" w:rsidP="007968EC">
      <w:pPr>
        <w:jc w:val="both"/>
        <w:rPr>
          <w:rFonts w:ascii="Arial Narrow" w:hAnsi="Arial Narrow" w:cs="Arial"/>
          <w:color w:val="000000" w:themeColor="text1"/>
          <w:lang w:val="es-ES" w:eastAsia="es-ES"/>
        </w:rPr>
      </w:pPr>
    </w:p>
    <w:p w14:paraId="26792047" w14:textId="77777777" w:rsidR="007968EC" w:rsidRPr="002C0D19" w:rsidRDefault="007968EC" w:rsidP="00DA7472">
      <w:pPr>
        <w:numPr>
          <w:ilvl w:val="0"/>
          <w:numId w:val="121"/>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Declara expresamente conocer y aceptar en su integridad el Reglamento, las Circulares y los Instructivos Operativos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los cuales se consideran parte integral de la presente Oferta de Servicios. </w:t>
      </w:r>
    </w:p>
    <w:p w14:paraId="0FD7FC5E" w14:textId="77777777" w:rsidR="007968EC" w:rsidRPr="002C0D19" w:rsidRDefault="007968EC" w:rsidP="00DA7472">
      <w:pPr>
        <w:numPr>
          <w:ilvl w:val="0"/>
          <w:numId w:val="121"/>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Declara conocer la reglamentación de las bolsas, sistemas de negociación y registro, del mercado mostrador y cualquier Mecanismo de Contratación en donde se transen los Activos Compensados y Liquidados a través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w:t>
      </w:r>
    </w:p>
    <w:p w14:paraId="6BF95AF1" w14:textId="77777777" w:rsidR="007968EC" w:rsidRPr="002C0D19" w:rsidRDefault="007968EC" w:rsidP="00DA7472">
      <w:pPr>
        <w:numPr>
          <w:ilvl w:val="0"/>
          <w:numId w:val="121"/>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lastRenderedPageBreak/>
        <w:t>Manifiesta y acepta que en lo no previsto expresamente en la presente Oferta, se aplicará lo dispuesto en el Reglamento.</w:t>
      </w:r>
    </w:p>
    <w:p w14:paraId="5822C39D" w14:textId="77777777" w:rsidR="007968EC" w:rsidRPr="002C0D19" w:rsidRDefault="007968EC" w:rsidP="00DA7472">
      <w:pPr>
        <w:numPr>
          <w:ilvl w:val="0"/>
          <w:numId w:val="121"/>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Manifiesta que cumple con las condiciones y requisitos establecidos en el Reglamento para  tener la calidad de Agente de Pago</w:t>
      </w:r>
      <w:r w:rsidRPr="002C0D19">
        <w:rPr>
          <w:rFonts w:ascii="Arial Narrow" w:hAnsi="Arial Narrow" w:cs="Arial"/>
          <w:b/>
          <w:color w:val="000000" w:themeColor="text1"/>
          <w:lang w:val="es-ES" w:eastAsia="es-ES"/>
        </w:rPr>
        <w:t>.</w:t>
      </w:r>
    </w:p>
    <w:p w14:paraId="48B745D0" w14:textId="77777777" w:rsidR="007968EC" w:rsidRPr="002C0D19" w:rsidRDefault="007968EC" w:rsidP="00DA7472">
      <w:pPr>
        <w:numPr>
          <w:ilvl w:val="0"/>
          <w:numId w:val="121"/>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Autoriza a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para</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 xml:space="preserve">verificar, en cualquier momento, </w:t>
      </w:r>
      <w:r w:rsidRPr="002C0D19">
        <w:rPr>
          <w:rFonts w:ascii="Arial Narrow" w:hAnsi="Arial Narrow" w:cs="Arial"/>
          <w:color w:val="000000" w:themeColor="text1"/>
          <w:lang w:eastAsia="es-ES"/>
        </w:rPr>
        <w:t xml:space="preserve">el cumplimiento de los requisitos y condiciones que dieron lugar a su admisión como Agente. La verificación la puede hacer </w:t>
      </w:r>
      <w:r w:rsidRPr="002C0D19">
        <w:rPr>
          <w:rFonts w:ascii="Arial Narrow" w:hAnsi="Arial Narrow" w:cs="Arial"/>
          <w:b/>
          <w:color w:val="000000" w:themeColor="text1"/>
          <w:lang w:eastAsia="es-ES"/>
        </w:rPr>
        <w:t xml:space="preserve">LA CRCC </w:t>
      </w:r>
      <w:r w:rsidRPr="002C0D19">
        <w:rPr>
          <w:rFonts w:ascii="Arial Narrow" w:hAnsi="Arial Narrow" w:cs="Arial"/>
          <w:color w:val="000000" w:themeColor="text1"/>
          <w:lang w:eastAsia="es-ES"/>
        </w:rPr>
        <w:t xml:space="preserve">directamente o a través de un tercero especializado, según la materia o asunto a verificar, y el costo de dicha verificación podrá ser a cargo de </w:t>
      </w:r>
      <w:r w:rsidRPr="002C0D19">
        <w:rPr>
          <w:rFonts w:ascii="Arial Narrow" w:hAnsi="Arial Narrow" w:cs="Arial"/>
          <w:b/>
          <w:color w:val="000000" w:themeColor="text1"/>
          <w:lang w:eastAsia="es-ES"/>
        </w:rPr>
        <w:t>EL AGENTE DE PAGO.</w:t>
      </w:r>
    </w:p>
    <w:p w14:paraId="39FE05FE" w14:textId="77777777" w:rsidR="007968EC" w:rsidRPr="002C0D19" w:rsidRDefault="007968EC" w:rsidP="00DA7472">
      <w:pPr>
        <w:numPr>
          <w:ilvl w:val="0"/>
          <w:numId w:val="121"/>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Autoriza expresa y formalmente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para que, en ejercicio de sus funciones, </w:t>
      </w:r>
      <w:r w:rsidRPr="002C0D19">
        <w:rPr>
          <w:rFonts w:ascii="Arial Narrow" w:eastAsia="Calibri" w:hAnsi="Arial Narrow"/>
          <w:color w:val="000000" w:themeColor="text1"/>
        </w:rPr>
        <w:t xml:space="preserve">en su calidad de </w:t>
      </w:r>
      <w:r w:rsidRPr="002C0D19">
        <w:rPr>
          <w:rFonts w:ascii="Arial Narrow" w:eastAsia="Calibri" w:hAnsi="Arial Narrow"/>
          <w:b/>
          <w:color w:val="000000" w:themeColor="text1"/>
        </w:rPr>
        <w:t>AGENTE DE PAGO</w:t>
      </w:r>
      <w:r w:rsidRPr="002C0D19">
        <w:rPr>
          <w:rFonts w:ascii="Arial Narrow" w:eastAsia="Calibri" w:hAnsi="Arial Narrow"/>
          <w:color w:val="000000" w:themeColor="text1"/>
        </w:rPr>
        <w:t xml:space="preserve"> de los Terceros de los Miembros Liquidadores y de los Miembros No Liquidadores, </w:t>
      </w:r>
      <w:r w:rsidRPr="002C0D19">
        <w:rPr>
          <w:rFonts w:ascii="Arial Narrow" w:hAnsi="Arial Narrow" w:cs="Arial"/>
          <w:color w:val="000000" w:themeColor="text1"/>
          <w:lang w:val="es-ES" w:eastAsia="es-ES"/>
        </w:rPr>
        <w:t xml:space="preserve">pueda debitar o acreditar automáticamente las cuentas de efectivo </w:t>
      </w:r>
      <w:r w:rsidRPr="002C0D19">
        <w:rPr>
          <w:rFonts w:ascii="Arial Narrow" w:eastAsia="Calibri" w:hAnsi="Arial Narrow"/>
          <w:color w:val="000000" w:themeColor="text1"/>
        </w:rPr>
        <w:t xml:space="preserve">de </w:t>
      </w:r>
      <w:r w:rsidRPr="002C0D19">
        <w:rPr>
          <w:rFonts w:ascii="Arial Narrow" w:hAnsi="Arial Narrow" w:cs="Arial"/>
          <w:b/>
          <w:color w:val="000000" w:themeColor="text1"/>
          <w:lang w:eastAsia="es-ES"/>
        </w:rPr>
        <w:t>EL AGENTE DE PAGO</w:t>
      </w:r>
      <w:r w:rsidRPr="002C0D19">
        <w:rPr>
          <w:rFonts w:ascii="Arial Narrow" w:hAnsi="Arial Narrow" w:cs="Arial"/>
          <w:color w:val="000000" w:themeColor="text1"/>
          <w:lang w:val="es-ES" w:eastAsia="es-ES"/>
        </w:rPr>
        <w:t xml:space="preserve"> ante el Banco de la República</w:t>
      </w:r>
      <w:r w:rsidRPr="002C0D19">
        <w:rPr>
          <w:rFonts w:ascii="Arial Narrow" w:eastAsia="Calibri" w:hAnsi="Arial Narrow"/>
          <w:color w:val="000000" w:themeColor="text1"/>
        </w:rPr>
        <w:t>.</w:t>
      </w:r>
    </w:p>
    <w:p w14:paraId="6138BB69" w14:textId="77777777" w:rsidR="007968EC" w:rsidRPr="002C0D19" w:rsidRDefault="007968EC" w:rsidP="00DA7472">
      <w:pPr>
        <w:numPr>
          <w:ilvl w:val="0"/>
          <w:numId w:val="121"/>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Autoriza a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 xml:space="preserve">para transmitir información de </w:t>
      </w:r>
      <w:r w:rsidRPr="002C0D19">
        <w:rPr>
          <w:rFonts w:ascii="Arial Narrow" w:hAnsi="Arial Narrow" w:cs="Arial"/>
          <w:b/>
          <w:color w:val="000000" w:themeColor="text1"/>
          <w:lang w:eastAsia="es-ES"/>
        </w:rPr>
        <w:t>EL AGENTE DE PAGO</w:t>
      </w:r>
      <w:r w:rsidRPr="002C0D19">
        <w:rPr>
          <w:rFonts w:ascii="Arial Narrow" w:hAnsi="Arial Narrow" w:cs="Arial"/>
          <w:color w:val="000000" w:themeColor="text1"/>
          <w:lang w:val="es-ES" w:eastAsia="es-ES"/>
        </w:rPr>
        <w:t xml:space="preserve"> a las autoridades u organismos competentes que se lo soliciten. </w:t>
      </w:r>
    </w:p>
    <w:p w14:paraId="587A98B0" w14:textId="77777777" w:rsidR="007968EC" w:rsidRPr="002C0D19" w:rsidRDefault="007968EC" w:rsidP="00DA7472">
      <w:pPr>
        <w:numPr>
          <w:ilvl w:val="0"/>
          <w:numId w:val="121"/>
        </w:numPr>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Acepta expresamente que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informe a las Autoridades Competentes sobre el incumplimiento de las obligaciones a su cargo.</w:t>
      </w:r>
    </w:p>
    <w:p w14:paraId="72408734" w14:textId="77777777" w:rsidR="007968EC" w:rsidRPr="002C0D19" w:rsidRDefault="007968EC" w:rsidP="00DA7472">
      <w:pPr>
        <w:numPr>
          <w:ilvl w:val="0"/>
          <w:numId w:val="121"/>
        </w:numPr>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Autoriza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y a los Miembros Liquidadores con quienes </w:t>
      </w:r>
      <w:r w:rsidRPr="002C0D19">
        <w:rPr>
          <w:rFonts w:ascii="Arial Narrow" w:hAnsi="Arial Narrow" w:cs="Arial"/>
          <w:b/>
          <w:color w:val="000000" w:themeColor="text1"/>
          <w:lang w:eastAsia="es-ES"/>
        </w:rPr>
        <w:t>EL AGENTE DE PAGO</w:t>
      </w:r>
      <w:r w:rsidRPr="002C0D19">
        <w:rPr>
          <w:rFonts w:ascii="Arial Narrow" w:hAnsi="Arial Narrow" w:cs="Arial"/>
          <w:color w:val="000000" w:themeColor="text1"/>
          <w:lang w:val="es-ES" w:eastAsia="es-ES"/>
        </w:rPr>
        <w:t xml:space="preserve"> tiene Convenio,</w:t>
      </w:r>
      <w:r w:rsidRPr="002C0D19">
        <w:rPr>
          <w:rFonts w:ascii="Arial Narrow" w:hAnsi="Arial Narrow" w:cs="Arial"/>
          <w:color w:val="000000" w:themeColor="text1"/>
          <w:lang w:eastAsia="es-ES"/>
        </w:rPr>
        <w:t xml:space="preserve"> para que todas las comunicaciones telefónicas que </w:t>
      </w:r>
      <w:r w:rsidRPr="002C0D19">
        <w:rPr>
          <w:rFonts w:ascii="Arial Narrow" w:hAnsi="Arial Narrow" w:cs="Arial"/>
          <w:color w:val="000000" w:themeColor="text1"/>
          <w:lang w:val="es-ES" w:eastAsia="es-ES"/>
        </w:rPr>
        <w:t>sus funcionarios, operadores, empleados, contratistas, subcontratistas y/o dependientes</w:t>
      </w:r>
      <w:r w:rsidRPr="002C0D19">
        <w:rPr>
          <w:rFonts w:ascii="Arial Narrow" w:hAnsi="Arial Narrow" w:cs="Arial"/>
          <w:color w:val="000000" w:themeColor="text1"/>
          <w:lang w:eastAsia="es-ES"/>
        </w:rPr>
        <w:t xml:space="preserve"> tengan con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y/o con los </w:t>
      </w:r>
      <w:r w:rsidRPr="002C0D19">
        <w:rPr>
          <w:rFonts w:ascii="Arial Narrow" w:hAnsi="Arial Narrow" w:cs="Arial"/>
          <w:color w:val="000000" w:themeColor="text1"/>
          <w:lang w:val="es-ES" w:eastAsia="es-ES"/>
        </w:rPr>
        <w:t xml:space="preserve">Miembros Liquidadores con quienes </w:t>
      </w:r>
      <w:r w:rsidRPr="002C0D19">
        <w:rPr>
          <w:rFonts w:ascii="Arial Narrow" w:hAnsi="Arial Narrow" w:cs="Arial"/>
          <w:b/>
          <w:color w:val="000000" w:themeColor="text1"/>
          <w:lang w:eastAsia="es-ES"/>
        </w:rPr>
        <w:t>EL AGENTE DE PAGO</w:t>
      </w:r>
      <w:r w:rsidRPr="002C0D19">
        <w:rPr>
          <w:rFonts w:ascii="Arial Narrow" w:hAnsi="Arial Narrow" w:cs="Arial"/>
          <w:color w:val="000000" w:themeColor="text1"/>
          <w:lang w:val="es-ES" w:eastAsia="es-ES"/>
        </w:rPr>
        <w:t xml:space="preserve"> tiene Convenio,</w:t>
      </w:r>
      <w:r w:rsidRPr="002C0D19">
        <w:rPr>
          <w:rFonts w:ascii="Arial Narrow" w:hAnsi="Arial Narrow" w:cs="Arial"/>
          <w:color w:val="000000" w:themeColor="text1"/>
          <w:lang w:eastAsia="es-ES"/>
        </w:rPr>
        <w:t xml:space="preserve"> sean grabadas y que las mismas, en caso de requerirse, puedan ser presentadas como medio de prueba. </w:t>
      </w:r>
    </w:p>
    <w:p w14:paraId="308FCBFB" w14:textId="77777777" w:rsidR="007968EC" w:rsidRPr="002C0D19" w:rsidRDefault="007968EC" w:rsidP="007968EC">
      <w:pPr>
        <w:ind w:left="360"/>
        <w:jc w:val="both"/>
        <w:rPr>
          <w:rFonts w:ascii="Arial Narrow" w:hAnsi="Arial Narrow" w:cs="Arial"/>
          <w:color w:val="000000" w:themeColor="text1"/>
          <w:lang w:eastAsia="es-ES"/>
        </w:rPr>
      </w:pPr>
    </w:p>
    <w:p w14:paraId="179119DA" w14:textId="77777777" w:rsidR="007968EC" w:rsidRPr="002C0D19" w:rsidRDefault="007968EC" w:rsidP="007968EC">
      <w:pPr>
        <w:jc w:val="both"/>
        <w:rPr>
          <w:rFonts w:ascii="Arial Narrow" w:hAnsi="Arial Narrow" w:cs="Arial"/>
          <w:b/>
          <w:color w:val="000000" w:themeColor="text1"/>
          <w:lang w:val="es-ES" w:eastAsia="es-ES"/>
        </w:rPr>
      </w:pPr>
      <w:r w:rsidRPr="002C0D19">
        <w:rPr>
          <w:rFonts w:ascii="Arial Narrow" w:hAnsi="Arial Narrow" w:cs="Arial"/>
          <w:b/>
          <w:color w:val="000000" w:themeColor="text1"/>
          <w:u w:val="single"/>
          <w:lang w:val="es-ES" w:eastAsia="es-ES"/>
        </w:rPr>
        <w:t>TERCERA. Obligaciones de EL AGENTE DE PAGO</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Sin perjuicio</w:t>
      </w:r>
      <w:r w:rsidRPr="002C0D19">
        <w:rPr>
          <w:rFonts w:ascii="Arial Narrow" w:hAnsi="Arial Narrow" w:cs="Arial"/>
          <w:b/>
          <w:color w:val="000000" w:themeColor="text1"/>
          <w:lang w:val="es-ES" w:eastAsia="es-ES"/>
        </w:rPr>
        <w:t xml:space="preserve"> </w:t>
      </w:r>
      <w:r w:rsidRPr="002C0D19">
        <w:rPr>
          <w:rFonts w:ascii="Arial Narrow" w:hAnsi="Arial Narrow" w:cs="Arial"/>
          <w:bCs/>
          <w:color w:val="000000" w:themeColor="text1"/>
          <w:lang w:eastAsia="es-ES"/>
        </w:rPr>
        <w:t xml:space="preserve">de las obligaciones previstas en las demás cláusulas de la presente Oferta, en el </w:t>
      </w:r>
      <w:r w:rsidRPr="002C0D19">
        <w:rPr>
          <w:rFonts w:ascii="Arial Narrow" w:hAnsi="Arial Narrow" w:cs="Arial"/>
          <w:color w:val="000000" w:themeColor="text1"/>
          <w:lang w:val="es-ES" w:eastAsia="es-ES"/>
        </w:rPr>
        <w:t xml:space="preserve">Reglamento, en las Circulares y en los Instructivos Operativos de </w:t>
      </w:r>
      <w:r w:rsidRPr="002C0D19">
        <w:rPr>
          <w:rFonts w:ascii="Arial Narrow" w:hAnsi="Arial Narrow" w:cs="Arial"/>
          <w:b/>
          <w:color w:val="000000" w:themeColor="text1"/>
          <w:lang w:val="es-ES" w:eastAsia="es-ES"/>
        </w:rPr>
        <w:t>LA CRCC,</w:t>
      </w:r>
      <w:r w:rsidRPr="002C0D19">
        <w:rPr>
          <w:rFonts w:ascii="Arial Narrow" w:hAnsi="Arial Narrow" w:cs="Arial"/>
          <w:bCs/>
          <w:color w:val="000000" w:themeColor="text1"/>
          <w:lang w:eastAsia="es-ES"/>
        </w:rPr>
        <w:t xml:space="preserve"> son obligaciones principales de </w:t>
      </w:r>
      <w:r w:rsidRPr="002C0D19">
        <w:rPr>
          <w:rFonts w:ascii="Arial Narrow" w:hAnsi="Arial Narrow" w:cs="Arial"/>
          <w:b/>
          <w:bCs/>
          <w:color w:val="000000" w:themeColor="text1"/>
          <w:lang w:eastAsia="es-ES"/>
        </w:rPr>
        <w:t xml:space="preserve">EL AGENTE DE PAGO, </w:t>
      </w:r>
      <w:r w:rsidRPr="002C0D19">
        <w:rPr>
          <w:rFonts w:ascii="Arial Narrow" w:hAnsi="Arial Narrow" w:cs="Arial"/>
          <w:bCs/>
          <w:color w:val="000000" w:themeColor="text1"/>
          <w:lang w:eastAsia="es-ES"/>
        </w:rPr>
        <w:t>las siguientes:</w:t>
      </w:r>
      <w:r w:rsidRPr="002C0D19">
        <w:rPr>
          <w:rFonts w:ascii="Arial Narrow" w:hAnsi="Arial Narrow" w:cs="Arial"/>
          <w:b/>
          <w:color w:val="000000" w:themeColor="text1"/>
          <w:lang w:val="es-ES" w:eastAsia="es-ES"/>
        </w:rPr>
        <w:t xml:space="preserve"> </w:t>
      </w:r>
    </w:p>
    <w:p w14:paraId="3499867B" w14:textId="77777777" w:rsidR="007968EC" w:rsidRPr="002C0D19" w:rsidRDefault="007968EC" w:rsidP="007968EC">
      <w:pPr>
        <w:jc w:val="both"/>
        <w:rPr>
          <w:rFonts w:ascii="Arial Narrow" w:hAnsi="Arial Narrow" w:cs="Arial"/>
          <w:b/>
          <w:color w:val="000000" w:themeColor="text1"/>
          <w:lang w:val="es-ES" w:eastAsia="es-ES"/>
        </w:rPr>
      </w:pPr>
    </w:p>
    <w:p w14:paraId="00C8DEB3" w14:textId="77777777" w:rsidR="007968EC" w:rsidRPr="002C0D19" w:rsidRDefault="007968EC" w:rsidP="00DA7472">
      <w:pPr>
        <w:numPr>
          <w:ilvl w:val="0"/>
          <w:numId w:val="122"/>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Cumplir y mantener en todo momento los requisitos generales y especiales de admisión como Agente.</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 xml:space="preserve"> </w:t>
      </w:r>
    </w:p>
    <w:p w14:paraId="35142D7A" w14:textId="77777777" w:rsidR="007968EC" w:rsidRPr="002C0D19" w:rsidRDefault="007968EC" w:rsidP="00DA7472">
      <w:pPr>
        <w:numPr>
          <w:ilvl w:val="0"/>
          <w:numId w:val="122"/>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Cumplir y hacer cumplir estrictamente a las personas vinculadas a </w:t>
      </w:r>
      <w:r w:rsidRPr="002C0D19">
        <w:rPr>
          <w:rFonts w:ascii="Arial Narrow" w:hAnsi="Arial Narrow" w:cs="Arial"/>
          <w:b/>
          <w:color w:val="000000" w:themeColor="text1"/>
          <w:lang w:eastAsia="es-ES"/>
        </w:rPr>
        <w:t>EL AGENTE DE PAGO</w:t>
      </w:r>
      <w:r w:rsidRPr="002C0D19">
        <w:rPr>
          <w:rFonts w:ascii="Arial Narrow" w:hAnsi="Arial Narrow" w:cs="Arial"/>
          <w:color w:val="000000" w:themeColor="text1"/>
          <w:lang w:val="es-ES" w:eastAsia="es-ES"/>
        </w:rPr>
        <w:t xml:space="preserve">, sin restricciones ni reservas, la Ley, las instrucciones de las Autoridades Competentes, el Reglamento, las Circulares e Instructivos Operativos, la presente Oferta de Servicios, los Convenios con los Miembros Liquidadores y  todas aquellas decisiones que, en uso de sus atribuciones, adopten la Junta Directiva y/o el Gerente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para reglamentar su funcionamiento, divulgadas de conformidad con el Reglamento, sin que sirva de excusa o defensa la ignorancia de dichas normas o instrucciones. Lo anterior se extiende a cualquier modificación o adición que cualquier autoridad competente pueda imponer, así como a las modificaciones que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pueda introducir con la autorización de la Superintendencia Financiera de Colombia.</w:t>
      </w:r>
    </w:p>
    <w:p w14:paraId="622180DA" w14:textId="77777777" w:rsidR="007968EC" w:rsidRPr="002C0D19" w:rsidRDefault="007968EC" w:rsidP="00DA7472">
      <w:pPr>
        <w:numPr>
          <w:ilvl w:val="0"/>
          <w:numId w:val="122"/>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Informar inmediatamente y por escrito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w:t>
      </w:r>
      <w:r w:rsidRPr="002C0D19">
        <w:rPr>
          <w:rFonts w:ascii="Arial Narrow" w:hAnsi="Arial Narrow" w:cs="Arial"/>
          <w:color w:val="000000" w:themeColor="text1"/>
          <w:lang w:eastAsia="es-ES"/>
        </w:rPr>
        <w:t xml:space="preserve">sobre </w:t>
      </w:r>
      <w:r w:rsidRPr="002C0D19">
        <w:rPr>
          <w:rFonts w:ascii="Arial Narrow" w:hAnsi="Arial Narrow" w:cs="Arial"/>
          <w:color w:val="000000" w:themeColor="text1"/>
          <w:lang w:val="es-ES" w:eastAsia="es-ES"/>
        </w:rPr>
        <w:t>cualquier modificación que afecte los requisitos especiales que llevaron a su admisión como Agente.</w:t>
      </w:r>
    </w:p>
    <w:p w14:paraId="3A59273D" w14:textId="77777777" w:rsidR="007968EC" w:rsidRPr="002C0D19" w:rsidRDefault="007968EC" w:rsidP="00DA7472">
      <w:pPr>
        <w:numPr>
          <w:ilvl w:val="0"/>
          <w:numId w:val="122"/>
        </w:numPr>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Celebrar un Convenio con cada uno de los Miembros Liquidadores </w:t>
      </w:r>
      <w:r w:rsidRPr="002C0D19">
        <w:rPr>
          <w:rFonts w:ascii="Arial Narrow" w:eastAsia="Calibri" w:hAnsi="Arial Narrow"/>
          <w:color w:val="000000" w:themeColor="text1"/>
        </w:rPr>
        <w:t>por cuenta de los Terceros</w:t>
      </w:r>
      <w:r w:rsidRPr="002C0D19">
        <w:rPr>
          <w:rFonts w:ascii="Arial Narrow" w:hAnsi="Arial Narrow" w:cs="Arial"/>
          <w:color w:val="000000" w:themeColor="text1"/>
          <w:lang w:val="es-ES" w:eastAsia="es-ES"/>
        </w:rPr>
        <w:t xml:space="preserve"> que lo designen para actuar como </w:t>
      </w:r>
      <w:r w:rsidRPr="002C0D19">
        <w:rPr>
          <w:rFonts w:ascii="Arial Narrow" w:hAnsi="Arial Narrow" w:cs="Arial"/>
          <w:b/>
          <w:color w:val="000000" w:themeColor="text1"/>
          <w:lang w:val="es-ES" w:eastAsia="es-ES"/>
        </w:rPr>
        <w:t>AGENTE DE PAGO</w:t>
      </w:r>
      <w:r w:rsidRPr="002C0D19">
        <w:rPr>
          <w:rFonts w:ascii="Arial Narrow" w:hAnsi="Arial Narrow" w:cs="Arial"/>
          <w:color w:val="000000" w:themeColor="text1"/>
          <w:lang w:val="es-ES" w:eastAsia="es-ES"/>
        </w:rPr>
        <w:t xml:space="preserve">, según modelo establecido por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el cual deberá incluir las condiciones mínimas establecidas en el Reglamento. </w:t>
      </w:r>
    </w:p>
    <w:p w14:paraId="094330DF" w14:textId="77777777" w:rsidR="007968EC" w:rsidRPr="002C0D19" w:rsidRDefault="007968EC" w:rsidP="00DA7472">
      <w:pPr>
        <w:numPr>
          <w:ilvl w:val="0"/>
          <w:numId w:val="122"/>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Informar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sobre los Convenios que suscriba o termine con cualquier Miembro Liquidador </w:t>
      </w:r>
      <w:r w:rsidRPr="002C0D19">
        <w:rPr>
          <w:rFonts w:ascii="Arial Narrow" w:eastAsia="Calibri" w:hAnsi="Arial Narrow"/>
          <w:color w:val="000000" w:themeColor="text1"/>
        </w:rPr>
        <w:t>por cuenta de los Terceros</w:t>
      </w:r>
      <w:r w:rsidRPr="002C0D19">
        <w:rPr>
          <w:rFonts w:ascii="Arial Narrow" w:hAnsi="Arial Narrow" w:cs="Arial"/>
          <w:color w:val="000000" w:themeColor="text1"/>
          <w:lang w:val="es-ES" w:eastAsia="es-ES"/>
        </w:rPr>
        <w:t>.</w:t>
      </w:r>
    </w:p>
    <w:p w14:paraId="71B68917" w14:textId="77777777" w:rsidR="007968EC" w:rsidRPr="002C0D19" w:rsidRDefault="007968EC" w:rsidP="00DA7472">
      <w:pPr>
        <w:numPr>
          <w:ilvl w:val="0"/>
          <w:numId w:val="122"/>
        </w:numPr>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lastRenderedPageBreak/>
        <w:t xml:space="preserve">Entregar a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a</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los Miembros Liquidadores</w:t>
      </w:r>
      <w:r w:rsidRPr="002C0D19">
        <w:rPr>
          <w:rFonts w:ascii="Arial Narrow" w:hAnsi="Arial Narrow" w:cs="Arial"/>
          <w:b/>
          <w:color w:val="000000" w:themeColor="text1"/>
          <w:lang w:val="es-ES" w:eastAsia="es-ES"/>
        </w:rPr>
        <w:t>,</w:t>
      </w:r>
      <w:r w:rsidRPr="002C0D19">
        <w:rPr>
          <w:rFonts w:ascii="Arial Narrow" w:hAnsi="Arial Narrow" w:cs="Arial"/>
          <w:color w:val="000000" w:themeColor="text1"/>
          <w:lang w:val="es-ES" w:eastAsia="es-ES"/>
        </w:rPr>
        <w:t xml:space="preserve"> o a las Autoridades Competentes directamente, la información que se le solicite sobre los Miembros y sus Terceros, con quienes </w:t>
      </w:r>
      <w:r w:rsidRPr="002C0D19">
        <w:rPr>
          <w:rFonts w:ascii="Arial Narrow" w:hAnsi="Arial Narrow" w:cs="Arial"/>
          <w:b/>
          <w:color w:val="000000" w:themeColor="text1"/>
          <w:lang w:eastAsia="es-ES"/>
        </w:rPr>
        <w:t>EL AGENTE DE PAGO</w:t>
      </w:r>
      <w:r w:rsidRPr="002C0D19">
        <w:rPr>
          <w:rFonts w:ascii="Arial Narrow" w:hAnsi="Arial Narrow" w:cs="Arial"/>
          <w:color w:val="000000" w:themeColor="text1"/>
          <w:lang w:val="es-ES" w:eastAsia="es-ES"/>
        </w:rPr>
        <w:t xml:space="preserve"> tiene Convenio</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 xml:space="preserve">para la atención de requerimientos que las Autoridades Competentes le hagan a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 xml:space="preserve">o a los Miembros Liquidadores.  </w:t>
      </w:r>
    </w:p>
    <w:p w14:paraId="02B62C66" w14:textId="77777777" w:rsidR="007968EC" w:rsidRPr="002C0D19" w:rsidRDefault="007968EC" w:rsidP="00DA7472">
      <w:pPr>
        <w:numPr>
          <w:ilvl w:val="0"/>
          <w:numId w:val="122"/>
        </w:numPr>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Entregar efectivamente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el efectivo entregado por los Terceros de los Miembros Liquidadores y/o Miembros No Liquidadores que lo designen como Agente de Pago,</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 xml:space="preserve">para cumplir con obligaciones derivadas de la compensación y liquidación de sus cuentas. Así mismo, entregar el efectivo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en el evento en que ésta, en aplicación del Reglamento, se lo demande. En todo caso,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podrá, en cualquier momento, ordenar a </w:t>
      </w:r>
      <w:r w:rsidRPr="002C0D19">
        <w:rPr>
          <w:rFonts w:ascii="Arial Narrow" w:hAnsi="Arial Narrow" w:cs="Arial"/>
          <w:b/>
          <w:color w:val="000000" w:themeColor="text1"/>
          <w:lang w:val="es-ES" w:eastAsia="es-ES"/>
        </w:rPr>
        <w:t xml:space="preserve">EL AGENTE DE PAGO </w:t>
      </w:r>
      <w:r w:rsidRPr="002C0D19">
        <w:rPr>
          <w:rFonts w:ascii="Arial Narrow" w:hAnsi="Arial Narrow" w:cs="Arial"/>
          <w:color w:val="000000" w:themeColor="text1"/>
          <w:lang w:val="es-ES" w:eastAsia="es-ES"/>
        </w:rPr>
        <w:t>el traslado del efectivo a otra cuenta.</w:t>
      </w:r>
    </w:p>
    <w:p w14:paraId="21D1EE0B" w14:textId="77777777" w:rsidR="007968EC" w:rsidRPr="002C0D19" w:rsidRDefault="007968EC" w:rsidP="00DA7472">
      <w:pPr>
        <w:numPr>
          <w:ilvl w:val="0"/>
          <w:numId w:val="122"/>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Responder ante los </w:t>
      </w:r>
      <w:r w:rsidRPr="002C0D19">
        <w:rPr>
          <w:rFonts w:ascii="Arial Narrow" w:eastAsia="Calibri" w:hAnsi="Arial Narrow"/>
          <w:color w:val="000000" w:themeColor="text1"/>
        </w:rPr>
        <w:t xml:space="preserve">Terceros de los </w:t>
      </w:r>
      <w:r w:rsidRPr="002C0D19">
        <w:rPr>
          <w:rFonts w:ascii="Arial Narrow" w:hAnsi="Arial Narrow" w:cs="Arial"/>
          <w:color w:val="000000" w:themeColor="text1"/>
          <w:lang w:val="es-ES" w:eastAsia="es-ES"/>
        </w:rPr>
        <w:t xml:space="preserve">Miembros, frente a los que actúa en su calidad de Agente de Pago, por las obligaciones establecidas en los Convenios celebrados con los Miembros </w:t>
      </w:r>
      <w:r w:rsidRPr="002C0D19">
        <w:rPr>
          <w:rFonts w:ascii="Arial Narrow" w:eastAsia="Calibri" w:hAnsi="Arial Narrow"/>
          <w:color w:val="000000" w:themeColor="text1"/>
        </w:rPr>
        <w:t>por cuenta de sus Terceros</w:t>
      </w:r>
      <w:r w:rsidRPr="002C0D19">
        <w:rPr>
          <w:rFonts w:ascii="Arial Narrow" w:hAnsi="Arial Narrow" w:cs="Arial"/>
          <w:color w:val="000000" w:themeColor="text1"/>
          <w:lang w:val="es-ES" w:eastAsia="es-ES"/>
        </w:rPr>
        <w:t xml:space="preserve">, con el fin de que éstos cumplan las obligaciones resultantes de las Operaciones Aceptadas por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w:t>
      </w:r>
      <w:r w:rsidRPr="002C0D19">
        <w:rPr>
          <w:rFonts w:ascii="Arial Narrow" w:eastAsia="Calibri" w:hAnsi="Arial Narrow"/>
          <w:color w:val="000000" w:themeColor="text1"/>
        </w:rPr>
        <w:t xml:space="preserve">sin perjuicio de las obligaciones de los Miembros frente a </w:t>
      </w:r>
      <w:r w:rsidRPr="002C0D19">
        <w:rPr>
          <w:rFonts w:ascii="Arial Narrow" w:eastAsia="Calibri" w:hAnsi="Arial Narrow"/>
          <w:b/>
          <w:color w:val="000000" w:themeColor="text1"/>
        </w:rPr>
        <w:t>LA CRCC</w:t>
      </w:r>
      <w:r w:rsidRPr="002C0D19">
        <w:rPr>
          <w:rFonts w:ascii="Arial Narrow" w:eastAsia="Calibri" w:hAnsi="Arial Narrow"/>
          <w:color w:val="000000" w:themeColor="text1"/>
        </w:rPr>
        <w:t xml:space="preserve"> establecidas en el Reglamento.</w:t>
      </w:r>
    </w:p>
    <w:p w14:paraId="0DA5DD30" w14:textId="77777777" w:rsidR="007968EC" w:rsidRPr="002C0D19" w:rsidRDefault="007968EC" w:rsidP="00DA7472">
      <w:pPr>
        <w:numPr>
          <w:ilvl w:val="0"/>
          <w:numId w:val="122"/>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Reportar a los Miembros el Incumplimiento de los Terceros </w:t>
      </w:r>
      <w:r w:rsidRPr="002C0D19">
        <w:rPr>
          <w:rFonts w:ascii="Arial Narrow" w:eastAsia="Calibri" w:hAnsi="Arial Narrow"/>
          <w:color w:val="000000" w:themeColor="text1"/>
        </w:rPr>
        <w:t>y de toda su estructura de cuentas que lo designaron como Agente de Pago</w:t>
      </w:r>
      <w:r w:rsidRPr="002C0D19">
        <w:rPr>
          <w:rFonts w:ascii="Arial Narrow" w:hAnsi="Arial Narrow" w:cs="Arial"/>
          <w:color w:val="000000" w:themeColor="text1"/>
          <w:lang w:val="es-ES" w:eastAsia="es-ES"/>
        </w:rPr>
        <w:t>, si es el caso, respecto de la entrega de fondos que les corresponda en virtud de las operaciones registradas en las cuentas que liquidan los Miembros Liquidadores.</w:t>
      </w:r>
    </w:p>
    <w:p w14:paraId="2F2345F7" w14:textId="77777777" w:rsidR="007968EC" w:rsidRPr="002C0D19" w:rsidRDefault="007968EC" w:rsidP="00DA7472">
      <w:pPr>
        <w:numPr>
          <w:ilvl w:val="0"/>
          <w:numId w:val="122"/>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Mantener las cuentas de depósito de efectivo arriba indicadas, de las que es titular directo en el Banco de la República. </w:t>
      </w:r>
    </w:p>
    <w:p w14:paraId="773FF22A" w14:textId="77777777" w:rsidR="007968EC" w:rsidRPr="002C0D19" w:rsidRDefault="007968EC" w:rsidP="00DA7472">
      <w:pPr>
        <w:numPr>
          <w:ilvl w:val="0"/>
          <w:numId w:val="122"/>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Facilitar las actividades de comprobación de requisitos, cumplimiento de obligaciones o similares, que lleve a cabo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 xml:space="preserve">en desarrollo de sus funciones. </w:t>
      </w:r>
    </w:p>
    <w:p w14:paraId="6B3A2280" w14:textId="77777777" w:rsidR="007968EC" w:rsidRPr="002C0D19" w:rsidRDefault="007968EC" w:rsidP="00DA7472">
      <w:pPr>
        <w:numPr>
          <w:ilvl w:val="0"/>
          <w:numId w:val="122"/>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Entregar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la información que ésta solicite en cumplimiento de sus funciones. </w:t>
      </w:r>
    </w:p>
    <w:p w14:paraId="304A8269" w14:textId="77777777" w:rsidR="007968EC" w:rsidRPr="002C0D19" w:rsidRDefault="007968EC" w:rsidP="00DA7472">
      <w:pPr>
        <w:numPr>
          <w:ilvl w:val="0"/>
          <w:numId w:val="122"/>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Cumplir en todo momento con las especificaciones técnicas establecidas por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w:t>
      </w:r>
    </w:p>
    <w:p w14:paraId="3579BE00" w14:textId="77777777" w:rsidR="007968EC" w:rsidRPr="002C0D19" w:rsidRDefault="007968EC" w:rsidP="007968EC">
      <w:pPr>
        <w:jc w:val="both"/>
        <w:rPr>
          <w:rFonts w:ascii="Arial Narrow" w:hAnsi="Arial Narrow" w:cs="Arial"/>
          <w:color w:val="000000" w:themeColor="text1"/>
          <w:lang w:val="es-ES" w:eastAsia="es-ES"/>
        </w:rPr>
      </w:pPr>
    </w:p>
    <w:p w14:paraId="1A7AE742" w14:textId="77777777" w:rsidR="007968EC" w:rsidRPr="002C0D19" w:rsidRDefault="007968EC" w:rsidP="007968EC">
      <w:pPr>
        <w:jc w:val="both"/>
        <w:rPr>
          <w:rFonts w:ascii="Arial Narrow" w:hAnsi="Arial Narrow" w:cs="Arial"/>
          <w:bCs/>
          <w:color w:val="000000" w:themeColor="text1"/>
          <w:lang w:eastAsia="es-ES"/>
        </w:rPr>
      </w:pPr>
      <w:r w:rsidRPr="002C0D19">
        <w:rPr>
          <w:rFonts w:ascii="Arial Narrow" w:hAnsi="Arial Narrow" w:cs="Arial"/>
          <w:b/>
          <w:bCs/>
          <w:color w:val="000000" w:themeColor="text1"/>
          <w:u w:val="single"/>
          <w:lang w:val="es-ES" w:eastAsia="es-ES"/>
        </w:rPr>
        <w:t>CUARTA. Obligaciones de la CRCC</w:t>
      </w:r>
      <w:r w:rsidRPr="002C0D19">
        <w:rPr>
          <w:rFonts w:ascii="Arial Narrow" w:hAnsi="Arial Narrow" w:cs="Arial"/>
          <w:b/>
          <w:bCs/>
          <w:color w:val="000000" w:themeColor="text1"/>
          <w:lang w:val="es-ES" w:eastAsia="es-ES"/>
        </w:rPr>
        <w:t>.</w:t>
      </w:r>
      <w:r w:rsidRPr="002C0D19">
        <w:rPr>
          <w:rFonts w:ascii="Arial Narrow" w:hAnsi="Arial Narrow" w:cs="Arial"/>
          <w:color w:val="000000" w:themeColor="text1"/>
          <w:lang w:val="es-ES" w:eastAsia="es-ES"/>
        </w:rPr>
        <w:t>  Sin perjuicio</w:t>
      </w:r>
      <w:r w:rsidRPr="002C0D19">
        <w:rPr>
          <w:rFonts w:ascii="Arial Narrow" w:hAnsi="Arial Narrow" w:cs="Arial"/>
          <w:b/>
          <w:color w:val="000000" w:themeColor="text1"/>
          <w:lang w:val="es-ES" w:eastAsia="es-ES"/>
        </w:rPr>
        <w:t xml:space="preserve"> </w:t>
      </w:r>
      <w:r w:rsidRPr="002C0D19">
        <w:rPr>
          <w:rFonts w:ascii="Arial Narrow" w:hAnsi="Arial Narrow" w:cs="Arial"/>
          <w:bCs/>
          <w:color w:val="000000" w:themeColor="text1"/>
          <w:lang w:eastAsia="es-ES"/>
        </w:rPr>
        <w:t xml:space="preserve">de las obligaciones previstas en las demás cláusulas de la presente Oferta, en el </w:t>
      </w:r>
      <w:r w:rsidRPr="002C0D19">
        <w:rPr>
          <w:rFonts w:ascii="Arial Narrow" w:hAnsi="Arial Narrow" w:cs="Arial"/>
          <w:color w:val="000000" w:themeColor="text1"/>
          <w:lang w:val="es-ES" w:eastAsia="es-ES"/>
        </w:rPr>
        <w:t xml:space="preserve">Reglamento, en las Circulares y en los Instructivos Operativos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w:t>
      </w:r>
      <w:r w:rsidRPr="002C0D19">
        <w:rPr>
          <w:rFonts w:ascii="Arial Narrow" w:hAnsi="Arial Narrow" w:cs="Arial"/>
          <w:bCs/>
          <w:color w:val="000000" w:themeColor="text1"/>
          <w:lang w:eastAsia="es-ES"/>
        </w:rPr>
        <w:t xml:space="preserve"> son obligaciones principales de </w:t>
      </w:r>
      <w:r w:rsidRPr="002C0D19">
        <w:rPr>
          <w:rFonts w:ascii="Arial Narrow" w:hAnsi="Arial Narrow" w:cs="Arial"/>
          <w:b/>
          <w:bCs/>
          <w:color w:val="000000" w:themeColor="text1"/>
          <w:lang w:eastAsia="es-ES"/>
        </w:rPr>
        <w:t>LA CRCC</w:t>
      </w:r>
      <w:r w:rsidRPr="002C0D19">
        <w:rPr>
          <w:rFonts w:ascii="Arial Narrow" w:hAnsi="Arial Narrow" w:cs="Arial"/>
          <w:bCs/>
          <w:color w:val="000000" w:themeColor="text1"/>
          <w:lang w:eastAsia="es-ES"/>
        </w:rPr>
        <w:t>,</w:t>
      </w:r>
      <w:r w:rsidRPr="002C0D19">
        <w:rPr>
          <w:rFonts w:ascii="Arial Narrow" w:hAnsi="Arial Narrow" w:cs="Arial"/>
          <w:b/>
          <w:bCs/>
          <w:color w:val="000000" w:themeColor="text1"/>
          <w:lang w:eastAsia="es-ES"/>
        </w:rPr>
        <w:t xml:space="preserve"> </w:t>
      </w:r>
      <w:r w:rsidRPr="002C0D19">
        <w:rPr>
          <w:rFonts w:ascii="Arial Narrow" w:hAnsi="Arial Narrow" w:cs="Arial"/>
          <w:bCs/>
          <w:color w:val="000000" w:themeColor="text1"/>
          <w:lang w:eastAsia="es-ES"/>
        </w:rPr>
        <w:t>las siguientes:</w:t>
      </w:r>
    </w:p>
    <w:p w14:paraId="78069FF9" w14:textId="77777777" w:rsidR="007968EC" w:rsidRPr="002C0D19" w:rsidRDefault="007968EC" w:rsidP="007968EC">
      <w:pPr>
        <w:jc w:val="both"/>
        <w:rPr>
          <w:rFonts w:ascii="Arial Narrow" w:hAnsi="Arial Narrow" w:cs="Arial"/>
          <w:color w:val="000000" w:themeColor="text1"/>
          <w:lang w:val="es-ES" w:eastAsia="es-ES"/>
        </w:rPr>
      </w:pPr>
    </w:p>
    <w:p w14:paraId="3133FADC" w14:textId="77777777" w:rsidR="007968EC" w:rsidRPr="002C0D19" w:rsidRDefault="007968EC" w:rsidP="00DA7472">
      <w:pPr>
        <w:numPr>
          <w:ilvl w:val="0"/>
          <w:numId w:val="239"/>
        </w:numPr>
        <w:ind w:left="426"/>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Reconocer a </w:t>
      </w:r>
      <w:r w:rsidRPr="002C0D19">
        <w:rPr>
          <w:rFonts w:ascii="Arial Narrow" w:hAnsi="Arial Narrow" w:cs="Arial"/>
          <w:b/>
          <w:color w:val="000000" w:themeColor="text1"/>
          <w:lang w:val="es-ES" w:eastAsia="es-ES"/>
        </w:rPr>
        <w:t>EL AGENTE DE PAGO</w:t>
      </w:r>
      <w:r w:rsidRPr="002C0D19">
        <w:rPr>
          <w:rFonts w:ascii="Arial Narrow" w:hAnsi="Arial Narrow" w:cs="Arial"/>
          <w:color w:val="000000" w:themeColor="text1"/>
          <w:lang w:val="es-ES" w:eastAsia="es-ES"/>
        </w:rPr>
        <w:t xml:space="preserve"> el derecho a actuar en tal calidad en relación con los Terceros de los Miembros Liquidadores </w:t>
      </w:r>
      <w:r w:rsidRPr="002C0D19">
        <w:rPr>
          <w:rFonts w:ascii="Arial Narrow" w:eastAsia="Calibri" w:hAnsi="Arial Narrow"/>
          <w:color w:val="000000" w:themeColor="text1"/>
        </w:rPr>
        <w:t xml:space="preserve">y Miembros no Liquidadores y de su estructura de cuentas </w:t>
      </w:r>
      <w:r w:rsidRPr="002C0D19">
        <w:rPr>
          <w:rFonts w:ascii="Arial Narrow" w:hAnsi="Arial Narrow" w:cs="Arial"/>
          <w:color w:val="000000" w:themeColor="text1"/>
          <w:lang w:val="es-ES" w:eastAsia="es-ES"/>
        </w:rPr>
        <w:t xml:space="preserve">que así lo designen, conforme a las disposiciones del Reglamento y a las estipulaciones de la presente Oferta. </w:t>
      </w:r>
    </w:p>
    <w:p w14:paraId="322B96E0" w14:textId="77777777" w:rsidR="007968EC" w:rsidRPr="002C0D19" w:rsidRDefault="007968EC" w:rsidP="00DA7472">
      <w:pPr>
        <w:numPr>
          <w:ilvl w:val="0"/>
          <w:numId w:val="239"/>
        </w:numPr>
        <w:tabs>
          <w:tab w:val="left" w:pos="426"/>
        </w:tabs>
        <w:ind w:left="426" w:right="-42" w:hanging="426"/>
        <w:jc w:val="both"/>
        <w:rPr>
          <w:rFonts w:ascii="Arial Narrow" w:hAnsi="Arial Narrow" w:cs="Arial"/>
          <w:color w:val="000000" w:themeColor="text1"/>
          <w:spacing w:val="-3"/>
          <w:lang w:eastAsia="es-ES"/>
        </w:rPr>
      </w:pPr>
      <w:r w:rsidRPr="002C0D19">
        <w:rPr>
          <w:rFonts w:ascii="Arial Narrow" w:hAnsi="Arial Narrow" w:cs="Arial"/>
          <w:color w:val="000000" w:themeColor="text1"/>
          <w:spacing w:val="-3"/>
          <w:lang w:eastAsia="es-ES"/>
        </w:rPr>
        <w:t xml:space="preserve">Hacer su mejor esfuerzo para que el Sistema a través del cual presta sus servicios, opere de manera eficaz y segura. </w:t>
      </w:r>
    </w:p>
    <w:p w14:paraId="4D47D7C1" w14:textId="77777777" w:rsidR="007968EC" w:rsidRPr="002C0D19" w:rsidRDefault="007968EC" w:rsidP="00DA7472">
      <w:pPr>
        <w:numPr>
          <w:ilvl w:val="0"/>
          <w:numId w:val="239"/>
        </w:numPr>
        <w:tabs>
          <w:tab w:val="left" w:pos="426"/>
        </w:tabs>
        <w:ind w:left="426" w:hanging="426"/>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Informar a EL AGENTE DE PAGO, en la medida en que sea legalmente posible, sobre las solicitudes que le hayan hecho las Autoridades Competentes en relación con información del mismo o de sus Terceros.</w:t>
      </w:r>
    </w:p>
    <w:p w14:paraId="582CF2C9" w14:textId="77777777" w:rsidR="007968EC" w:rsidRPr="002C0D19" w:rsidRDefault="007968EC" w:rsidP="007968EC">
      <w:pPr>
        <w:jc w:val="both"/>
        <w:rPr>
          <w:rFonts w:ascii="Arial Narrow" w:hAnsi="Arial Narrow" w:cs="Arial"/>
          <w:color w:val="000000" w:themeColor="text1"/>
          <w:lang w:val="es-ES" w:eastAsia="es-ES"/>
        </w:rPr>
      </w:pPr>
    </w:p>
    <w:p w14:paraId="4F6AE388"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b/>
          <w:bCs/>
          <w:color w:val="000000" w:themeColor="text1"/>
          <w:u w:val="single"/>
          <w:lang w:val="es-ES" w:eastAsia="es-ES"/>
        </w:rPr>
        <w:t>QUINTA. Vigencia</w:t>
      </w:r>
      <w:r w:rsidRPr="002C0D19">
        <w:rPr>
          <w:rFonts w:ascii="Arial Narrow" w:hAnsi="Arial Narrow" w:cs="Arial"/>
          <w:b/>
          <w:bCs/>
          <w:color w:val="000000" w:themeColor="text1"/>
          <w:lang w:val="es-ES" w:eastAsia="es-ES"/>
        </w:rPr>
        <w:t xml:space="preserve">.  </w:t>
      </w:r>
      <w:r w:rsidRPr="002C0D19">
        <w:rPr>
          <w:rFonts w:ascii="Arial Narrow" w:hAnsi="Arial Narrow" w:cs="Arial"/>
          <w:color w:val="000000" w:themeColor="text1"/>
          <w:lang w:eastAsia="es-ES"/>
        </w:rPr>
        <w:t xml:space="preserve">La presente Oferta estará vigente por un término de sesenta (60) días calendario, contados a partir del envío de la misma por parte de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a </w:t>
      </w:r>
      <w:r w:rsidRPr="002C0D19">
        <w:rPr>
          <w:rFonts w:ascii="Arial Narrow" w:hAnsi="Arial Narrow" w:cs="Arial"/>
          <w:b/>
          <w:color w:val="000000" w:themeColor="text1"/>
          <w:lang w:eastAsia="es-ES"/>
        </w:rPr>
        <w:t>EL AGENTE DE PAGO</w:t>
      </w:r>
      <w:r w:rsidRPr="002C0D19">
        <w:rPr>
          <w:rFonts w:ascii="Arial Narrow" w:hAnsi="Arial Narrow" w:cs="Arial"/>
          <w:color w:val="000000" w:themeColor="text1"/>
          <w:lang w:eastAsia="es-ES"/>
        </w:rPr>
        <w:t>,</w:t>
      </w:r>
      <w:r w:rsidRPr="002C0D19">
        <w:rPr>
          <w:rFonts w:ascii="Arial Narrow" w:hAnsi="Arial Narrow" w:cs="Arial"/>
          <w:b/>
          <w:color w:val="000000" w:themeColor="text1"/>
          <w:lang w:eastAsia="es-ES"/>
        </w:rPr>
        <w:t xml:space="preserve"> </w:t>
      </w:r>
      <w:r w:rsidRPr="002C0D19">
        <w:rPr>
          <w:rFonts w:ascii="Arial Narrow" w:hAnsi="Arial Narrow" w:cs="Arial"/>
          <w:color w:val="000000" w:themeColor="text1"/>
          <w:lang w:eastAsia="es-ES"/>
        </w:rPr>
        <w:t xml:space="preserve">transcurridos los cuales, de no haber aceptación a la misma por parte de </w:t>
      </w:r>
      <w:r w:rsidRPr="002C0D19">
        <w:rPr>
          <w:rFonts w:ascii="Arial Narrow" w:hAnsi="Arial Narrow" w:cs="Arial"/>
          <w:b/>
          <w:color w:val="000000" w:themeColor="text1"/>
          <w:lang w:eastAsia="es-ES"/>
        </w:rPr>
        <w:t>EL AGENTE DE PAGO,</w:t>
      </w:r>
      <w:r w:rsidRPr="002C0D19">
        <w:rPr>
          <w:rFonts w:ascii="Arial Narrow" w:hAnsi="Arial Narrow" w:cs="Arial"/>
          <w:color w:val="000000" w:themeColor="text1"/>
          <w:lang w:eastAsia="es-ES"/>
        </w:rPr>
        <w:t xml:space="preserve"> se entenderá revocada. En caso de aceptación de esta Oferta por parte de </w:t>
      </w:r>
      <w:r w:rsidRPr="002C0D19">
        <w:rPr>
          <w:rFonts w:ascii="Arial Narrow" w:hAnsi="Arial Narrow" w:cs="Arial"/>
          <w:b/>
          <w:color w:val="000000" w:themeColor="text1"/>
          <w:lang w:eastAsia="es-ES"/>
        </w:rPr>
        <w:t>EL AGENTE DE PAGO</w:t>
      </w:r>
      <w:r w:rsidRPr="002C0D19">
        <w:rPr>
          <w:rFonts w:ascii="Arial Narrow" w:hAnsi="Arial Narrow" w:cs="Arial"/>
          <w:color w:val="000000" w:themeColor="text1"/>
          <w:lang w:eastAsia="es-ES"/>
        </w:rPr>
        <w:t xml:space="preserve">, los términos y condiciones de la misma estarán vigentes en forma indefinida. </w:t>
      </w:r>
    </w:p>
    <w:p w14:paraId="52A7C26E" w14:textId="77777777" w:rsidR="007968EC" w:rsidRPr="002C0D19" w:rsidRDefault="007968EC" w:rsidP="007968EC">
      <w:pPr>
        <w:jc w:val="both"/>
        <w:rPr>
          <w:rFonts w:ascii="Arial Narrow" w:hAnsi="Arial Narrow" w:cs="Arial"/>
          <w:color w:val="000000" w:themeColor="text1"/>
          <w:lang w:eastAsia="es-ES"/>
        </w:rPr>
      </w:pPr>
    </w:p>
    <w:p w14:paraId="08DAD0A1"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lastRenderedPageBreak/>
        <w:t xml:space="preserve">No obstante lo anterior y sin perjuicio de lo dispuesto en el Reglamento, las partes podrán terminar en cualquier tiempo el presente Convenio, mediante la entrega a la otra parte de un aviso escrito en tal sentido, remitida con no menos de treinta (30) días calendario de anticipación al día hábil en el cual desea que dicha terminación tenga efecto. </w:t>
      </w:r>
    </w:p>
    <w:p w14:paraId="4D825BB9" w14:textId="77777777" w:rsidR="007968EC" w:rsidRPr="002C0D19" w:rsidRDefault="007968EC" w:rsidP="007968EC">
      <w:pPr>
        <w:jc w:val="both"/>
        <w:rPr>
          <w:rFonts w:ascii="Arial Narrow" w:hAnsi="Arial Narrow" w:cs="Arial"/>
          <w:color w:val="000000" w:themeColor="text1"/>
          <w:lang w:eastAsia="es-ES"/>
        </w:rPr>
      </w:pPr>
    </w:p>
    <w:p w14:paraId="1D059AA1"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Igualmente, habrá lugar a la terminación unilateral si se presenta un incumplimiento de alguna de las obligaciones a cargo de una de las partes.</w:t>
      </w:r>
    </w:p>
    <w:p w14:paraId="7B09E4D5" w14:textId="77777777" w:rsidR="007968EC" w:rsidRPr="002C0D19" w:rsidRDefault="007968EC" w:rsidP="007968EC">
      <w:pPr>
        <w:jc w:val="both"/>
        <w:rPr>
          <w:rFonts w:ascii="Arial Narrow" w:hAnsi="Arial Narrow" w:cs="Arial"/>
          <w:b/>
          <w:bCs/>
          <w:color w:val="000000" w:themeColor="text1"/>
          <w:lang w:val="es-ES" w:eastAsia="es-ES"/>
        </w:rPr>
      </w:pPr>
    </w:p>
    <w:p w14:paraId="459CB11F"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es-ES" w:eastAsia="es-ES"/>
        </w:rPr>
        <w:t>SEXTA. Tarifas</w:t>
      </w:r>
      <w:r w:rsidRPr="002C0D19">
        <w:rPr>
          <w:rFonts w:ascii="Arial Narrow" w:hAnsi="Arial Narrow" w:cs="Arial"/>
          <w:b/>
          <w:bCs/>
          <w:color w:val="000000" w:themeColor="text1"/>
          <w:lang w:val="es-ES" w:eastAsia="es-ES"/>
        </w:rPr>
        <w:t xml:space="preserve">. </w:t>
      </w:r>
      <w:r w:rsidRPr="002C0D19">
        <w:rPr>
          <w:rFonts w:ascii="Arial Narrow" w:hAnsi="Arial Narrow" w:cs="Arial"/>
          <w:b/>
          <w:color w:val="000000" w:themeColor="text1"/>
          <w:lang w:eastAsia="es-ES"/>
        </w:rPr>
        <w:t>EL AGENTE DE PAGO</w:t>
      </w:r>
      <w:r w:rsidRPr="002C0D19">
        <w:rPr>
          <w:rFonts w:ascii="Arial Narrow" w:hAnsi="Arial Narrow" w:cs="Arial"/>
          <w:color w:val="000000" w:themeColor="text1"/>
          <w:lang w:val="es-ES" w:eastAsia="es-ES"/>
        </w:rPr>
        <w:t xml:space="preserve"> es responsable frente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del pago de las tarifas y demás cargos que determine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 xml:space="preserve">por Circular. Dichos pagos se deberán efectuar en los términos y condiciones establecidos por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mediante Circular. </w:t>
      </w:r>
    </w:p>
    <w:p w14:paraId="2743C1EA"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El valor de las tarifas no incluye el impuesto al valor agregado, pero este será facturado de acuerdo con la tarifa y procedimientos vigentes al momento de su causación. </w:t>
      </w:r>
    </w:p>
    <w:p w14:paraId="6D72E4B4" w14:textId="77777777" w:rsidR="007968EC" w:rsidRPr="002C0D19" w:rsidRDefault="007968EC" w:rsidP="007968EC">
      <w:pPr>
        <w:jc w:val="both"/>
        <w:rPr>
          <w:rFonts w:ascii="Arial Narrow" w:hAnsi="Arial Narrow" w:cs="Arial"/>
          <w:b/>
          <w:color w:val="000000" w:themeColor="text1"/>
          <w:lang w:eastAsia="es-ES"/>
        </w:rPr>
      </w:pPr>
    </w:p>
    <w:p w14:paraId="6BBCBE28"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se reserva el derecho de revisar y ajustar la tarifa vigente de conformidad con lo dispuesto en el Reglamento. En todo caso, mientras </w:t>
      </w:r>
      <w:r w:rsidRPr="002C0D19">
        <w:rPr>
          <w:rFonts w:ascii="Arial Narrow" w:hAnsi="Arial Narrow" w:cs="Arial"/>
          <w:b/>
          <w:color w:val="000000" w:themeColor="text1"/>
          <w:lang w:eastAsia="es-ES"/>
        </w:rPr>
        <w:t xml:space="preserve">LA CRCC </w:t>
      </w:r>
      <w:r w:rsidRPr="002C0D19">
        <w:rPr>
          <w:rFonts w:ascii="Arial Narrow" w:hAnsi="Arial Narrow" w:cs="Arial"/>
          <w:color w:val="000000" w:themeColor="text1"/>
          <w:lang w:eastAsia="es-ES"/>
        </w:rPr>
        <w:t xml:space="preserve">no establezca </w:t>
      </w:r>
      <w:r w:rsidRPr="002C0D19">
        <w:rPr>
          <w:rFonts w:ascii="Arial Narrow" w:hAnsi="Arial Narrow" w:cs="Arial"/>
          <w:color w:val="000000" w:themeColor="text1"/>
          <w:lang w:val="es-ES" w:eastAsia="es-ES"/>
        </w:rPr>
        <w:t xml:space="preserve">las tarifas y demás cargos por Circular, </w:t>
      </w:r>
      <w:r w:rsidRPr="002C0D19">
        <w:rPr>
          <w:rFonts w:ascii="Arial Narrow" w:hAnsi="Arial Narrow" w:cs="Arial"/>
          <w:b/>
          <w:color w:val="000000" w:themeColor="text1"/>
          <w:lang w:eastAsia="es-ES"/>
        </w:rPr>
        <w:t xml:space="preserve">EL AGENTE DE PAGO </w:t>
      </w:r>
      <w:r w:rsidRPr="002C0D19">
        <w:rPr>
          <w:rFonts w:ascii="Arial Narrow" w:hAnsi="Arial Narrow" w:cs="Arial"/>
          <w:color w:val="000000" w:themeColor="text1"/>
          <w:lang w:eastAsia="es-ES"/>
        </w:rPr>
        <w:t xml:space="preserve">no estará obligado a pagar valor alguno por tales conceptos. </w:t>
      </w:r>
    </w:p>
    <w:p w14:paraId="42D7EC9B" w14:textId="77777777" w:rsidR="007968EC" w:rsidRPr="002C0D19" w:rsidRDefault="007968EC" w:rsidP="007968EC">
      <w:pPr>
        <w:jc w:val="both"/>
        <w:rPr>
          <w:rFonts w:ascii="Arial Narrow" w:hAnsi="Arial Narrow" w:cs="Arial"/>
          <w:b/>
          <w:bCs/>
          <w:color w:val="000000" w:themeColor="text1"/>
          <w:lang w:val="es-ES" w:eastAsia="es-ES"/>
        </w:rPr>
      </w:pPr>
    </w:p>
    <w:p w14:paraId="709CDBAF"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es-ES" w:eastAsia="es-ES"/>
        </w:rPr>
        <w:t>SÉPTIMA. Cesión y subcontratación</w:t>
      </w:r>
      <w:r w:rsidRPr="002C0D19">
        <w:rPr>
          <w:rFonts w:ascii="Arial Narrow" w:hAnsi="Arial Narrow" w:cs="Arial"/>
          <w:b/>
          <w:bCs/>
          <w:color w:val="000000" w:themeColor="text1"/>
          <w:lang w:val="es-ES" w:eastAsia="es-ES"/>
        </w:rPr>
        <w:t xml:space="preserve">. </w:t>
      </w:r>
      <w:r w:rsidRPr="002C0D19">
        <w:rPr>
          <w:rFonts w:ascii="Arial Narrow" w:hAnsi="Arial Narrow" w:cs="Arial"/>
          <w:b/>
          <w:color w:val="000000" w:themeColor="text1"/>
          <w:lang w:val="es-ES" w:eastAsia="es-ES"/>
        </w:rPr>
        <w:t>EL AGENTE DE PAGO</w:t>
      </w:r>
      <w:r w:rsidRPr="002C0D19">
        <w:rPr>
          <w:rFonts w:ascii="Arial Narrow" w:hAnsi="Arial Narrow" w:cs="Arial"/>
          <w:color w:val="000000" w:themeColor="text1"/>
          <w:lang w:val="es-ES" w:eastAsia="es-ES"/>
        </w:rPr>
        <w:t xml:space="preserve"> no podrá ceder ni subcontratar total o parcialmente la presente Oferta, antes o después de ser aceptada.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podrá hacerse sustituir por uno o varios terceros en la totalidad o parte de sus relaciones contractuales con </w:t>
      </w:r>
      <w:r w:rsidRPr="002C0D19">
        <w:rPr>
          <w:rFonts w:ascii="Arial Narrow" w:hAnsi="Arial Narrow" w:cs="Arial"/>
          <w:b/>
          <w:color w:val="000000" w:themeColor="text1"/>
          <w:lang w:val="es-ES" w:eastAsia="es-ES"/>
        </w:rPr>
        <w:t>EL AGENTE DE PAGO</w:t>
      </w:r>
      <w:r w:rsidRPr="002C0D19">
        <w:rPr>
          <w:rFonts w:ascii="Arial Narrow" w:hAnsi="Arial Narrow" w:cs="Arial"/>
          <w:color w:val="000000" w:themeColor="text1"/>
          <w:lang w:val="es-ES" w:eastAsia="es-ES"/>
        </w:rPr>
        <w:t xml:space="preserve">, sin necesidad de obtener la conformidad de </w:t>
      </w:r>
      <w:r w:rsidRPr="002C0D19">
        <w:rPr>
          <w:rFonts w:ascii="Arial Narrow" w:hAnsi="Arial Narrow" w:cs="Arial"/>
          <w:b/>
          <w:color w:val="000000" w:themeColor="text1"/>
          <w:lang w:val="es-ES" w:eastAsia="es-ES"/>
        </w:rPr>
        <w:t>EL AGENTE DE PAGO,</w:t>
      </w:r>
      <w:r w:rsidRPr="002C0D19">
        <w:rPr>
          <w:rFonts w:ascii="Arial Narrow" w:hAnsi="Arial Narrow" w:cs="Arial"/>
          <w:color w:val="000000" w:themeColor="text1"/>
          <w:lang w:val="es-ES" w:eastAsia="es-ES"/>
        </w:rPr>
        <w:t xml:space="preserve"> quien otorga desde ya su consentimiento para dicho efecto</w:t>
      </w:r>
      <w:r w:rsidRPr="002C0D19">
        <w:rPr>
          <w:rFonts w:ascii="Arial Narrow" w:hAnsi="Arial Narrow" w:cs="Arial"/>
          <w:b/>
          <w:bCs/>
          <w:color w:val="000000" w:themeColor="text1"/>
          <w:lang w:val="es-ES" w:eastAsia="es-ES"/>
        </w:rPr>
        <w:t xml:space="preserve">. </w:t>
      </w:r>
    </w:p>
    <w:p w14:paraId="4CA4BF8F" w14:textId="77777777" w:rsidR="007968EC" w:rsidRPr="002C0D19" w:rsidRDefault="007968EC" w:rsidP="007968EC">
      <w:pPr>
        <w:jc w:val="both"/>
        <w:rPr>
          <w:rFonts w:ascii="Arial Narrow" w:hAnsi="Arial Narrow" w:cs="Arial"/>
          <w:b/>
          <w:bCs/>
          <w:color w:val="000000" w:themeColor="text1"/>
          <w:lang w:eastAsia="es-ES"/>
        </w:rPr>
      </w:pPr>
    </w:p>
    <w:p w14:paraId="6755BBDF" w14:textId="77777777" w:rsidR="007968EC" w:rsidRPr="002C0D19" w:rsidRDefault="007968EC" w:rsidP="007968EC">
      <w:pPr>
        <w:jc w:val="both"/>
        <w:rPr>
          <w:rFonts w:ascii="Arial Narrow" w:hAnsi="Arial Narrow" w:cs="Arial"/>
          <w:bCs/>
          <w:color w:val="000000" w:themeColor="text1"/>
          <w:lang w:eastAsia="es-ES"/>
        </w:rPr>
      </w:pPr>
      <w:r w:rsidRPr="002C0D19">
        <w:rPr>
          <w:rFonts w:ascii="Arial Narrow" w:hAnsi="Arial Narrow" w:cs="Arial"/>
          <w:b/>
          <w:bCs/>
          <w:color w:val="000000" w:themeColor="text1"/>
          <w:u w:val="single"/>
          <w:lang w:eastAsia="es-ES"/>
        </w:rPr>
        <w:t>OCTAVA. Indemnidad</w:t>
      </w:r>
      <w:r w:rsidRPr="002C0D19">
        <w:rPr>
          <w:rFonts w:ascii="Arial Narrow" w:hAnsi="Arial Narrow" w:cs="Arial"/>
          <w:b/>
          <w:bCs/>
          <w:color w:val="000000" w:themeColor="text1"/>
          <w:lang w:eastAsia="es-ES"/>
        </w:rPr>
        <w:t>.</w:t>
      </w:r>
      <w:r w:rsidRPr="002C0D19">
        <w:rPr>
          <w:rFonts w:ascii="Arial Narrow" w:hAnsi="Arial Narrow" w:cs="Arial"/>
          <w:bCs/>
          <w:color w:val="000000" w:themeColor="text1"/>
          <w:lang w:eastAsia="es-ES"/>
        </w:rPr>
        <w:t xml:space="preserve"> Siempre que </w:t>
      </w:r>
      <w:r w:rsidRPr="002C0D19">
        <w:rPr>
          <w:rFonts w:ascii="Arial Narrow" w:hAnsi="Arial Narrow" w:cs="Arial"/>
          <w:b/>
          <w:bCs/>
          <w:color w:val="000000" w:themeColor="text1"/>
          <w:lang w:eastAsia="es-ES"/>
        </w:rPr>
        <w:t>LA CRCC</w:t>
      </w:r>
      <w:r w:rsidRPr="002C0D19">
        <w:rPr>
          <w:rFonts w:ascii="Arial Narrow" w:hAnsi="Arial Narrow" w:cs="Arial"/>
          <w:bCs/>
          <w:color w:val="000000" w:themeColor="text1"/>
          <w:lang w:eastAsia="es-ES"/>
        </w:rPr>
        <w:t xml:space="preserve"> haya cumplido con las normas y procedimientos aplicables en cada momento, </w:t>
      </w:r>
      <w:r w:rsidRPr="002C0D19">
        <w:rPr>
          <w:rFonts w:ascii="Arial Narrow" w:hAnsi="Arial Narrow" w:cs="Arial"/>
          <w:b/>
          <w:bCs/>
          <w:color w:val="000000" w:themeColor="text1"/>
          <w:lang w:eastAsia="es-ES"/>
        </w:rPr>
        <w:t xml:space="preserve">EL AGENTE DE PAGO </w:t>
      </w:r>
      <w:r w:rsidRPr="002C0D19">
        <w:rPr>
          <w:rFonts w:ascii="Arial Narrow" w:hAnsi="Arial Narrow" w:cs="Arial"/>
          <w:bCs/>
          <w:color w:val="000000" w:themeColor="text1"/>
          <w:lang w:eastAsia="es-ES"/>
        </w:rPr>
        <w:t xml:space="preserve">deberá mantener a </w:t>
      </w:r>
      <w:r w:rsidRPr="002C0D19">
        <w:rPr>
          <w:rFonts w:ascii="Arial Narrow" w:hAnsi="Arial Narrow" w:cs="Arial"/>
          <w:b/>
          <w:bCs/>
          <w:color w:val="000000" w:themeColor="text1"/>
          <w:lang w:eastAsia="es-ES"/>
        </w:rPr>
        <w:t>LA CRCC</w:t>
      </w:r>
      <w:r w:rsidRPr="002C0D19">
        <w:rPr>
          <w:rFonts w:ascii="Arial Narrow" w:hAnsi="Arial Narrow" w:cs="Arial"/>
          <w:bCs/>
          <w:color w:val="000000" w:themeColor="text1"/>
          <w:lang w:eastAsia="es-ES"/>
        </w:rPr>
        <w:t xml:space="preserve"> y a sus representantes, órganos o funcionarios, indemnes y libres de todo reclamo, demanda, litigio, acción legal y/o reivindicación de cualquier especie que se entable o pueda entablarse contra </w:t>
      </w:r>
      <w:r w:rsidRPr="002C0D19">
        <w:rPr>
          <w:rFonts w:ascii="Arial Narrow" w:hAnsi="Arial Narrow" w:cs="Arial"/>
          <w:b/>
          <w:bCs/>
          <w:color w:val="000000" w:themeColor="text1"/>
          <w:lang w:eastAsia="es-ES"/>
        </w:rPr>
        <w:t>LA CRCC</w:t>
      </w:r>
      <w:r w:rsidRPr="002C0D19">
        <w:rPr>
          <w:rFonts w:ascii="Arial Narrow" w:hAnsi="Arial Narrow" w:cs="Arial"/>
          <w:bCs/>
          <w:color w:val="000000" w:themeColor="text1"/>
          <w:lang w:eastAsia="es-ES"/>
        </w:rPr>
        <w:t xml:space="preserve">, por causa de acciones u omisiones en que incurra </w:t>
      </w:r>
      <w:r w:rsidRPr="002C0D19">
        <w:rPr>
          <w:rFonts w:ascii="Arial Narrow" w:hAnsi="Arial Narrow" w:cs="Arial"/>
          <w:b/>
          <w:bCs/>
          <w:color w:val="000000" w:themeColor="text1"/>
          <w:lang w:eastAsia="es-ES"/>
        </w:rPr>
        <w:t>EL AGENTE DE PAGO</w:t>
      </w:r>
      <w:r w:rsidRPr="002C0D19">
        <w:rPr>
          <w:rFonts w:ascii="Arial Narrow" w:hAnsi="Arial Narrow" w:cs="Arial"/>
          <w:bCs/>
          <w:color w:val="000000" w:themeColor="text1"/>
          <w:lang w:eastAsia="es-ES"/>
        </w:rPr>
        <w:t xml:space="preserve">, sus agentes, representantes o empleados, en la ejecución y desarrollo o con ocasión de la presente Oferta de Servicios. </w:t>
      </w:r>
    </w:p>
    <w:p w14:paraId="5F153B91" w14:textId="77777777" w:rsidR="007968EC" w:rsidRPr="002C0D19" w:rsidRDefault="007968EC" w:rsidP="007968EC">
      <w:pPr>
        <w:jc w:val="both"/>
        <w:rPr>
          <w:rFonts w:ascii="Arial Narrow" w:hAnsi="Arial Narrow" w:cs="Arial"/>
          <w:bCs/>
          <w:color w:val="000000" w:themeColor="text1"/>
          <w:lang w:eastAsia="es-ES"/>
        </w:rPr>
      </w:pPr>
    </w:p>
    <w:p w14:paraId="4C9B168C" w14:textId="77777777" w:rsidR="007968EC" w:rsidRPr="002C0D19" w:rsidRDefault="007968EC" w:rsidP="007968EC">
      <w:pPr>
        <w:jc w:val="both"/>
        <w:rPr>
          <w:rFonts w:ascii="Arial Narrow" w:hAnsi="Arial Narrow" w:cs="Arial"/>
          <w:bCs/>
          <w:color w:val="000000" w:themeColor="text1"/>
          <w:lang w:val="es-ES" w:eastAsia="es-ES"/>
        </w:rPr>
      </w:pPr>
      <w:r w:rsidRPr="002C0D19">
        <w:rPr>
          <w:rFonts w:ascii="Arial Narrow" w:hAnsi="Arial Narrow" w:cs="Arial"/>
          <w:b/>
          <w:bCs/>
          <w:color w:val="000000" w:themeColor="text1"/>
          <w:u w:val="single"/>
          <w:lang w:val="es-ES" w:eastAsia="es-ES"/>
        </w:rPr>
        <w:t>NOVENA. Responsabilidad de la CRCC</w:t>
      </w:r>
      <w:r w:rsidRPr="002C0D19">
        <w:rPr>
          <w:rFonts w:ascii="Arial Narrow" w:hAnsi="Arial Narrow" w:cs="Arial"/>
          <w:b/>
          <w:bCs/>
          <w:color w:val="000000" w:themeColor="text1"/>
          <w:lang w:val="es-ES" w:eastAsia="es-ES"/>
        </w:rPr>
        <w:t>.</w:t>
      </w:r>
      <w:r w:rsidRPr="002C0D19">
        <w:rPr>
          <w:rFonts w:ascii="Arial Narrow" w:hAnsi="Arial Narrow" w:cs="Arial"/>
          <w:bCs/>
          <w:color w:val="000000" w:themeColor="text1"/>
          <w:lang w:val="es-ES" w:eastAsia="es-ES"/>
        </w:rPr>
        <w:t xml:space="preserve"> </w:t>
      </w:r>
      <w:r w:rsidRPr="002C0D19">
        <w:rPr>
          <w:rFonts w:ascii="Arial Narrow" w:hAnsi="Arial Narrow" w:cs="Arial"/>
          <w:b/>
          <w:bCs/>
          <w:color w:val="000000" w:themeColor="text1"/>
          <w:lang w:val="es-ES" w:eastAsia="es-ES"/>
        </w:rPr>
        <w:t>LA CRCC</w:t>
      </w:r>
      <w:r w:rsidRPr="002C0D19">
        <w:rPr>
          <w:rFonts w:ascii="Arial Narrow" w:hAnsi="Arial Narrow" w:cs="Arial"/>
          <w:bCs/>
          <w:color w:val="000000" w:themeColor="text1"/>
          <w:lang w:val="es-ES" w:eastAsia="es-ES"/>
        </w:rPr>
        <w:t xml:space="preserve"> no será responsable de los daños y perjuicios que pueda sufrir </w:t>
      </w:r>
      <w:r w:rsidRPr="002C0D19">
        <w:rPr>
          <w:rFonts w:ascii="Arial Narrow" w:hAnsi="Arial Narrow" w:cs="Arial"/>
          <w:b/>
          <w:bCs/>
          <w:color w:val="000000" w:themeColor="text1"/>
          <w:lang w:eastAsia="es-ES"/>
        </w:rPr>
        <w:t xml:space="preserve">EL AGENTE DE PAGO, </w:t>
      </w:r>
      <w:r w:rsidRPr="002C0D19">
        <w:rPr>
          <w:rFonts w:ascii="Arial Narrow" w:hAnsi="Arial Narrow" w:cs="Arial"/>
          <w:bCs/>
          <w:color w:val="000000" w:themeColor="text1"/>
          <w:lang w:val="es-ES" w:eastAsia="es-ES"/>
        </w:rPr>
        <w:t>derivados de una situación de caso fortuito o fuerza mayor o, en general, de cualquier hecho en el que no haya mediado dolo o culpa grave por su parte o por parte de alguno de sus empleados.</w:t>
      </w:r>
    </w:p>
    <w:p w14:paraId="74BCCFC6" w14:textId="77777777" w:rsidR="007968EC" w:rsidRPr="002C0D19" w:rsidRDefault="007968EC" w:rsidP="007968EC">
      <w:pPr>
        <w:jc w:val="both"/>
        <w:rPr>
          <w:rFonts w:ascii="Arial Narrow" w:hAnsi="Arial Narrow" w:cs="Arial"/>
          <w:bCs/>
          <w:color w:val="000000" w:themeColor="text1"/>
          <w:lang w:eastAsia="es-ES"/>
        </w:rPr>
      </w:pPr>
    </w:p>
    <w:p w14:paraId="0A7BD3BF" w14:textId="77777777" w:rsidR="007968EC" w:rsidRPr="002C0D19" w:rsidRDefault="007968EC" w:rsidP="007968EC">
      <w:pPr>
        <w:jc w:val="both"/>
        <w:rPr>
          <w:rFonts w:ascii="Arial Narrow" w:hAnsi="Arial Narrow" w:cs="Arial"/>
          <w:color w:val="000000" w:themeColor="text1"/>
          <w:lang w:val="es-ES_tradnl" w:eastAsia="es-ES"/>
        </w:rPr>
      </w:pPr>
      <w:r w:rsidRPr="002C0D19">
        <w:rPr>
          <w:rFonts w:ascii="Arial Narrow" w:hAnsi="Arial Narrow" w:cs="Arial"/>
          <w:b/>
          <w:bCs/>
          <w:color w:val="000000" w:themeColor="text1"/>
          <w:u w:val="single"/>
          <w:lang w:val="es-ES" w:eastAsia="es-ES"/>
        </w:rPr>
        <w:t>DÉCIMA. Cláusula Compromisoria</w:t>
      </w:r>
      <w:r w:rsidRPr="002C0D19">
        <w:rPr>
          <w:rFonts w:ascii="Arial Narrow" w:hAnsi="Arial Narrow" w:cs="Arial"/>
          <w:b/>
          <w:bCs/>
          <w:color w:val="000000" w:themeColor="text1"/>
          <w:lang w:val="es-ES" w:eastAsia="es-ES"/>
        </w:rPr>
        <w:t>.</w:t>
      </w:r>
      <w:r w:rsidRPr="002C0D19">
        <w:rPr>
          <w:rFonts w:ascii="Arial Narrow" w:hAnsi="Arial Narrow" w:cs="Arial"/>
          <w:color w:val="000000" w:themeColor="text1"/>
          <w:lang w:val="es-ES" w:eastAsia="es-ES"/>
        </w:rPr>
        <w:t xml:space="preserve"> </w:t>
      </w:r>
      <w:r w:rsidRPr="002C0D19">
        <w:rPr>
          <w:rFonts w:ascii="Arial Narrow" w:hAnsi="Arial Narrow" w:cs="Arial"/>
          <w:color w:val="000000" w:themeColor="text1"/>
          <w:lang w:val="es-ES_tradnl" w:eastAsia="es-ES"/>
        </w:rPr>
        <w:t xml:space="preserve">Todas las diferencias que ocurran entre partes con ocasión de la presente Oferta, una vez aceptada, y que no puedan solucionarse por acuerdo directo entre las partes en un plazo que no podrá exceder de dos (2) meses contados a partir de la fecha del evento que generó la diferencia, serán resueltas por un Tribunal de Arbitramento. Cuando la cuantía de las pretensiones supere los mil (1000) salarios mínimos legales mensuales vigentes en Colombia, el Tribunal de Arbitramento estará conformado por tres (3) árbitros, los cuales serán designados por las partes dentro de los quince (15) días hábiles siguientes al vencimiento del plazo de dos (2) meses de acuerdo directo, o a falta de acuerdo, </w:t>
      </w:r>
      <w:r w:rsidRPr="002C0D19">
        <w:rPr>
          <w:rFonts w:ascii="Arial Narrow" w:hAnsi="Arial Narrow" w:cs="Arial"/>
          <w:color w:val="000000" w:themeColor="text1"/>
          <w:lang w:val="es-ES_tradnl" w:eastAsia="es-ES"/>
        </w:rPr>
        <w:lastRenderedPageBreak/>
        <w:t>mediante sorteo entre los árbitros inscritos en el Centro de Arbitraje y Conciliación de la Cámara de Comercio de Bogotá. En caso de que cuantía de las pretensiones sea igual o inferior a mil (1000) salarios mínimos legales mensuales vigentes en Colombia, el Tribunal de Arbitramento estará conformado por un (1) árbitro, el cual será designado por las partes dentro de los quince (15) días hábiles siguientes al vencimiento del plazo de dos (2) meses de acuerdo directo, o a falta de acuerdo, por sorteo entre los árbitros inscritos en el Centro de Arbitraje y Conciliación de la Cámara de Comercio de Bogotá. El o los árbitros designados serán Abogados inscritos y fallarán en derecho. El Tribunal de Arbitramento tendrá sede en la ciudad de Bogotá y se regirá por las leyes colombianas.</w:t>
      </w:r>
    </w:p>
    <w:p w14:paraId="4B7700C1" w14:textId="77777777" w:rsidR="007968EC" w:rsidRPr="002C0D19" w:rsidRDefault="007968EC" w:rsidP="007968EC">
      <w:pPr>
        <w:jc w:val="both"/>
        <w:rPr>
          <w:rFonts w:ascii="Arial Narrow" w:hAnsi="Arial Narrow" w:cs="Arial"/>
          <w:color w:val="000000" w:themeColor="text1"/>
          <w:lang w:val="es-ES" w:eastAsia="es-ES"/>
        </w:rPr>
      </w:pPr>
    </w:p>
    <w:p w14:paraId="2F64D90F" w14:textId="77777777" w:rsidR="007968EC" w:rsidRPr="002C0D19" w:rsidRDefault="007968EC" w:rsidP="007968EC">
      <w:pPr>
        <w:jc w:val="both"/>
        <w:rPr>
          <w:rFonts w:ascii="Arial Narrow" w:hAnsi="Arial Narrow" w:cs="Arial"/>
          <w:b/>
          <w:color w:val="000000" w:themeColor="text1"/>
          <w:lang w:val="es-ES" w:eastAsia="es-ES"/>
        </w:rPr>
      </w:pPr>
      <w:r w:rsidRPr="002C0D19">
        <w:rPr>
          <w:rFonts w:ascii="Arial Narrow" w:hAnsi="Arial Narrow" w:cs="Arial"/>
          <w:b/>
          <w:color w:val="000000" w:themeColor="text1"/>
          <w:u w:val="single"/>
          <w:lang w:val="es-ES" w:eastAsia="es-ES"/>
        </w:rPr>
        <w:t>DÉCIMA PRIMERA. Mérito Ejecutivo</w:t>
      </w:r>
      <w:r w:rsidRPr="002C0D19">
        <w:rPr>
          <w:rFonts w:ascii="Arial Narrow" w:hAnsi="Arial Narrow" w:cs="Arial"/>
          <w:b/>
          <w:color w:val="000000" w:themeColor="text1"/>
          <w:lang w:val="es-ES" w:eastAsia="es-ES"/>
        </w:rPr>
        <w:t xml:space="preserve">. EL AGENTE DE PAGO </w:t>
      </w:r>
      <w:r w:rsidRPr="002C0D19">
        <w:rPr>
          <w:rFonts w:ascii="Arial Narrow" w:hAnsi="Arial Narrow" w:cs="Arial"/>
          <w:color w:val="000000" w:themeColor="text1"/>
          <w:lang w:val="es-ES" w:eastAsia="es-ES"/>
        </w:rPr>
        <w:t>reconoce y acepta que la presente Oferta de Servicios, una vez aceptada mediante la expedición de la Orden de Compra de Servicios,</w:t>
      </w:r>
      <w:r w:rsidRPr="002C0D19" w:rsidDel="00CA2BCF">
        <w:rPr>
          <w:rFonts w:ascii="Arial Narrow" w:hAnsi="Arial Narrow" w:cs="Arial"/>
          <w:color w:val="000000" w:themeColor="text1"/>
          <w:lang w:val="es-ES" w:eastAsia="es-ES"/>
        </w:rPr>
        <w:t xml:space="preserve"> </w:t>
      </w:r>
      <w:r w:rsidRPr="002C0D19">
        <w:rPr>
          <w:rFonts w:ascii="Arial Narrow" w:hAnsi="Arial Narrow" w:cs="Arial"/>
          <w:color w:val="000000" w:themeColor="text1"/>
          <w:lang w:val="es-ES" w:eastAsia="es-ES"/>
        </w:rPr>
        <w:t>prestará mérito ejecutivo para solicitar el cumplimiento de las obligaciones a su cargo, sin necesidad de requerimiento en mora judicial o extrajudicial.</w:t>
      </w:r>
      <w:r w:rsidRPr="002C0D19">
        <w:rPr>
          <w:rFonts w:ascii="Arial Narrow" w:hAnsi="Arial Narrow" w:cs="Arial"/>
          <w:b/>
          <w:color w:val="000000" w:themeColor="text1"/>
          <w:highlight w:val="green"/>
          <w:lang w:val="es-ES" w:eastAsia="es-ES"/>
        </w:rPr>
        <w:t xml:space="preserve"> </w:t>
      </w:r>
    </w:p>
    <w:p w14:paraId="4AE7F256" w14:textId="77777777" w:rsidR="007968EC" w:rsidRPr="002C0D19" w:rsidRDefault="007968EC" w:rsidP="007968EC">
      <w:pPr>
        <w:jc w:val="both"/>
        <w:rPr>
          <w:rFonts w:ascii="Arial Narrow" w:hAnsi="Arial Narrow" w:cs="Arial"/>
          <w:color w:val="000000" w:themeColor="text1"/>
          <w:lang w:val="es-ES" w:eastAsia="es-ES"/>
        </w:rPr>
      </w:pPr>
    </w:p>
    <w:p w14:paraId="3F489792"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color w:val="000000" w:themeColor="text1"/>
          <w:u w:val="single"/>
          <w:lang w:val="es-ES" w:eastAsia="es-ES"/>
        </w:rPr>
        <w:t>DÉCIMA SEGUNDA. Notificaciones</w:t>
      </w:r>
      <w:r w:rsidRPr="002C0D19">
        <w:rPr>
          <w:rFonts w:ascii="Arial Narrow" w:hAnsi="Arial Narrow" w:cs="Arial"/>
          <w:b/>
          <w:color w:val="000000" w:themeColor="text1"/>
          <w:lang w:val="es-ES" w:eastAsia="es-ES"/>
        </w:rPr>
        <w:t>.</w:t>
      </w:r>
      <w:r w:rsidRPr="002C0D19">
        <w:rPr>
          <w:rFonts w:ascii="Arial Narrow" w:hAnsi="Arial Narrow" w:cs="Arial"/>
          <w:color w:val="000000" w:themeColor="text1"/>
          <w:lang w:val="es-ES" w:eastAsia="es-ES"/>
        </w:rPr>
        <w:t xml:space="preserve"> Todas las notificaciones y comunicaciones relacionadas con la presente Oferta de Servicios, se harán por escrito y se enviarán a las siguientes direcciones:</w:t>
      </w:r>
    </w:p>
    <w:p w14:paraId="5EEB9D12" w14:textId="77777777" w:rsidR="007968EC" w:rsidRPr="002C0D19" w:rsidRDefault="007968EC" w:rsidP="007968EC">
      <w:pPr>
        <w:tabs>
          <w:tab w:val="left" w:pos="567"/>
        </w:tabs>
        <w:ind w:right="-16"/>
        <w:jc w:val="both"/>
        <w:rPr>
          <w:rFonts w:ascii="Arial Narrow" w:hAnsi="Arial Narrow" w:cs="Arial"/>
          <w:color w:val="000000" w:themeColor="text1"/>
          <w:lang w:val="es-ES" w:eastAsia="es-ES"/>
        </w:rPr>
      </w:pPr>
    </w:p>
    <w:p w14:paraId="0FF59E00" w14:textId="77777777" w:rsidR="007968EC" w:rsidRPr="002C0D19" w:rsidRDefault="007968EC" w:rsidP="007968EC">
      <w:pPr>
        <w:tabs>
          <w:tab w:val="left" w:pos="567"/>
          <w:tab w:val="left" w:pos="2835"/>
        </w:tabs>
        <w:ind w:left="2805" w:right="-16" w:hanging="2805"/>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w:t>
      </w:r>
      <w:r w:rsidRPr="002C0D19">
        <w:rPr>
          <w:rFonts w:ascii="Arial Narrow" w:hAnsi="Arial Narrow" w:cs="Arial"/>
          <w:color w:val="000000" w:themeColor="text1"/>
          <w:lang w:val="es-ES" w:eastAsia="es-ES"/>
        </w:rPr>
        <w:tab/>
      </w:r>
      <w:r w:rsidRPr="002C0D19">
        <w:rPr>
          <w:rFonts w:ascii="Arial Narrow" w:hAnsi="Arial Narrow" w:cs="Arial"/>
          <w:b/>
          <w:color w:val="000000" w:themeColor="text1"/>
          <w:lang w:val="es-ES" w:eastAsia="es-ES"/>
        </w:rPr>
        <w:t xml:space="preserve">CÁMARA DE RIESGO CENTRAL DE CONTRAPARTE DE COLOMBIA S.A. </w:t>
      </w:r>
      <w:r w:rsidRPr="002C0D19">
        <w:rPr>
          <w:rFonts w:ascii="Arial Narrow" w:hAnsi="Arial Narrow" w:cs="Arial"/>
          <w:b/>
          <w:color w:val="000000" w:themeColor="text1"/>
          <w:lang w:val="es-ES" w:eastAsia="es-ES"/>
        </w:rPr>
        <w:tab/>
      </w:r>
    </w:p>
    <w:p w14:paraId="5CBB0D09" w14:textId="77777777" w:rsidR="007968EC" w:rsidRPr="002C0D19" w:rsidRDefault="007968EC" w:rsidP="007968EC">
      <w:pPr>
        <w:tabs>
          <w:tab w:val="left" w:pos="567"/>
          <w:tab w:val="left" w:pos="2835"/>
        </w:tabs>
        <w:ind w:right="51"/>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ab/>
      </w:r>
      <w:r w:rsidRPr="002C0D19">
        <w:rPr>
          <w:rFonts w:ascii="Arial Narrow" w:hAnsi="Arial Narrow" w:cs="Arial"/>
          <w:color w:val="000000" w:themeColor="text1"/>
          <w:lang w:val="es-ES" w:eastAsia="es-ES"/>
        </w:rPr>
        <w:tab/>
        <w:t xml:space="preserve">Fax: </w:t>
      </w:r>
    </w:p>
    <w:p w14:paraId="0EF00477" w14:textId="77777777" w:rsidR="007968EC" w:rsidRPr="002C0D19" w:rsidRDefault="007968EC" w:rsidP="007968EC">
      <w:pPr>
        <w:tabs>
          <w:tab w:val="left" w:pos="567"/>
          <w:tab w:val="left" w:pos="2835"/>
        </w:tabs>
        <w:ind w:right="-16"/>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ab/>
      </w:r>
      <w:r w:rsidRPr="002C0D19">
        <w:rPr>
          <w:rFonts w:ascii="Arial Narrow" w:hAnsi="Arial Narrow" w:cs="Arial"/>
          <w:color w:val="000000" w:themeColor="text1"/>
          <w:lang w:val="es-ES" w:eastAsia="es-ES"/>
        </w:rPr>
        <w:tab/>
        <w:t xml:space="preserve">Dirección: </w:t>
      </w:r>
    </w:p>
    <w:p w14:paraId="28E7F5D1" w14:textId="77777777" w:rsidR="007968EC" w:rsidRPr="002C0D19" w:rsidRDefault="007968EC" w:rsidP="007968EC">
      <w:pPr>
        <w:tabs>
          <w:tab w:val="left" w:pos="567"/>
          <w:tab w:val="left" w:pos="2835"/>
        </w:tabs>
        <w:ind w:right="-16"/>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ab/>
      </w:r>
      <w:r w:rsidRPr="002C0D19">
        <w:rPr>
          <w:rFonts w:ascii="Arial Narrow" w:hAnsi="Arial Narrow" w:cs="Arial"/>
          <w:color w:val="000000" w:themeColor="text1"/>
          <w:lang w:val="es-ES" w:eastAsia="es-ES"/>
        </w:rPr>
        <w:tab/>
        <w:t>Bogotá, D.C.</w:t>
      </w:r>
    </w:p>
    <w:p w14:paraId="65CE0952" w14:textId="77777777" w:rsidR="007968EC" w:rsidRPr="002C0D19" w:rsidRDefault="007968EC" w:rsidP="007968EC">
      <w:pPr>
        <w:tabs>
          <w:tab w:val="left" w:pos="567"/>
          <w:tab w:val="left" w:pos="2835"/>
        </w:tabs>
        <w:ind w:right="-16"/>
        <w:jc w:val="both"/>
        <w:rPr>
          <w:rFonts w:ascii="Arial Narrow" w:hAnsi="Arial Narrow" w:cs="Arial"/>
          <w:color w:val="000000" w:themeColor="text1"/>
          <w:lang w:val="es-ES" w:eastAsia="es-ES"/>
        </w:rPr>
      </w:pPr>
    </w:p>
    <w:p w14:paraId="2C488A0C" w14:textId="77777777" w:rsidR="007968EC" w:rsidRPr="002C0D19" w:rsidRDefault="007968EC" w:rsidP="007968EC">
      <w:pPr>
        <w:tabs>
          <w:tab w:val="left" w:pos="567"/>
          <w:tab w:val="left" w:pos="2835"/>
        </w:tabs>
        <w:ind w:right="-16"/>
        <w:jc w:val="both"/>
        <w:rPr>
          <w:rFonts w:ascii="Arial Narrow" w:hAnsi="Arial Narrow" w:cs="Arial"/>
          <w:b/>
          <w:color w:val="000000" w:themeColor="text1"/>
          <w:lang w:val="es-ES" w:eastAsia="es-ES"/>
        </w:rPr>
      </w:pPr>
    </w:p>
    <w:p w14:paraId="75E4C07A" w14:textId="77777777" w:rsidR="007968EC" w:rsidRPr="002C0D19" w:rsidRDefault="007968EC" w:rsidP="007968EC">
      <w:pPr>
        <w:tabs>
          <w:tab w:val="left" w:pos="567"/>
          <w:tab w:val="left" w:pos="2835"/>
        </w:tabs>
        <w:ind w:right="44"/>
        <w:jc w:val="both"/>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EL AGENTE DE PAGO:</w:t>
      </w:r>
      <w:r w:rsidRPr="002C0D19">
        <w:rPr>
          <w:rFonts w:ascii="Arial Narrow" w:hAnsi="Arial Narrow" w:cs="Arial"/>
          <w:b/>
          <w:color w:val="000000" w:themeColor="text1"/>
          <w:lang w:val="es-ES" w:eastAsia="es-ES"/>
        </w:rPr>
        <w:tab/>
      </w:r>
    </w:p>
    <w:p w14:paraId="63B90B85"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b/>
          <w:color w:val="000000" w:themeColor="text1"/>
          <w:lang w:val="es-ES" w:eastAsia="es-ES"/>
        </w:rPr>
        <w:tab/>
      </w:r>
      <w:r w:rsidRPr="002C0D19">
        <w:rPr>
          <w:rFonts w:ascii="Arial Narrow" w:hAnsi="Arial Narrow" w:cs="Arial"/>
          <w:b/>
          <w:color w:val="000000" w:themeColor="text1"/>
          <w:lang w:val="es-ES" w:eastAsia="es-ES"/>
        </w:rPr>
        <w:tab/>
      </w:r>
      <w:r w:rsidRPr="002C0D19">
        <w:rPr>
          <w:rFonts w:ascii="Arial Narrow" w:hAnsi="Arial Narrow" w:cs="Arial"/>
          <w:color w:val="000000" w:themeColor="text1"/>
          <w:lang w:eastAsia="es-ES"/>
        </w:rPr>
        <w:t xml:space="preserve">Fax:  </w:t>
      </w:r>
    </w:p>
    <w:p w14:paraId="4CFBC941"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r>
      <w:r w:rsidRPr="002C0D19">
        <w:rPr>
          <w:rFonts w:ascii="Arial Narrow" w:hAnsi="Arial Narrow" w:cs="Arial"/>
          <w:color w:val="000000" w:themeColor="text1"/>
          <w:lang w:val="es-ES" w:eastAsia="es-ES"/>
        </w:rPr>
        <w:t>Dirección</w:t>
      </w:r>
      <w:r w:rsidRPr="002C0D19">
        <w:rPr>
          <w:rFonts w:ascii="Arial Narrow" w:hAnsi="Arial Narrow" w:cs="Arial"/>
          <w:color w:val="000000" w:themeColor="text1"/>
          <w:lang w:eastAsia="es-ES"/>
        </w:rPr>
        <w:t xml:space="preserve">: </w:t>
      </w:r>
    </w:p>
    <w:p w14:paraId="72649794"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t xml:space="preserve">Ciudad: </w:t>
      </w:r>
    </w:p>
    <w:p w14:paraId="18180839" w14:textId="77777777" w:rsidR="007968EC" w:rsidRPr="002C0D19" w:rsidRDefault="007968EC" w:rsidP="007968EC">
      <w:pPr>
        <w:jc w:val="both"/>
        <w:rPr>
          <w:rFonts w:ascii="Arial Narrow" w:hAnsi="Arial Narrow" w:cs="Arial"/>
          <w:color w:val="000000" w:themeColor="text1"/>
          <w:lang w:val="es-ES" w:eastAsia="es-ES"/>
        </w:rPr>
      </w:pPr>
    </w:p>
    <w:p w14:paraId="6D002522"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es-ES" w:eastAsia="es-ES"/>
        </w:rPr>
        <w:t>DÉCIMA TERCERA. Aceptación de esta Oferta</w:t>
      </w:r>
      <w:r w:rsidRPr="002C0D19">
        <w:rPr>
          <w:rFonts w:ascii="Arial Narrow" w:hAnsi="Arial Narrow" w:cs="Arial"/>
          <w:b/>
          <w:bCs/>
          <w:color w:val="000000" w:themeColor="text1"/>
          <w:lang w:val="es-ES" w:eastAsia="es-ES"/>
        </w:rPr>
        <w:t>.</w:t>
      </w:r>
      <w:r w:rsidRPr="002C0D19">
        <w:rPr>
          <w:rFonts w:ascii="Arial Narrow" w:hAnsi="Arial Narrow" w:cs="Arial"/>
          <w:color w:val="000000" w:themeColor="text1"/>
          <w:lang w:val="es-ES" w:eastAsia="es-ES"/>
        </w:rPr>
        <w:t xml:space="preserve"> La presente Oferta se entenderá aceptada mediante la expedición, por parte de </w:t>
      </w:r>
      <w:r w:rsidRPr="002C0D19">
        <w:rPr>
          <w:rFonts w:ascii="Arial Narrow" w:hAnsi="Arial Narrow" w:cs="Arial"/>
          <w:b/>
          <w:color w:val="000000" w:themeColor="text1"/>
          <w:lang w:val="es-ES" w:eastAsia="es-ES"/>
        </w:rPr>
        <w:t>EL AGENTE DE PAGO</w:t>
      </w:r>
      <w:r w:rsidRPr="002C0D19">
        <w:rPr>
          <w:rFonts w:ascii="Arial Narrow" w:hAnsi="Arial Narrow" w:cs="Arial"/>
          <w:color w:val="000000" w:themeColor="text1"/>
          <w:lang w:val="es-ES" w:eastAsia="es-ES"/>
        </w:rPr>
        <w:t>, de una Orden de Compra de Servicios.</w:t>
      </w:r>
    </w:p>
    <w:p w14:paraId="399D6C8F" w14:textId="77777777" w:rsidR="007968EC" w:rsidRPr="002C0D19" w:rsidRDefault="007968EC" w:rsidP="007968EC">
      <w:pPr>
        <w:jc w:val="both"/>
        <w:rPr>
          <w:rFonts w:ascii="Arial Narrow" w:hAnsi="Arial Narrow" w:cs="Arial"/>
          <w:color w:val="000000" w:themeColor="text1"/>
          <w:lang w:val="es-ES" w:eastAsia="es-ES"/>
        </w:rPr>
      </w:pPr>
    </w:p>
    <w:p w14:paraId="675A704E"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es-ES" w:eastAsia="es-ES"/>
        </w:rPr>
        <w:t>DECIMA CUARTA. Impuestos</w:t>
      </w:r>
      <w:r w:rsidRPr="002C0D19">
        <w:rPr>
          <w:rFonts w:ascii="Arial Narrow" w:hAnsi="Arial Narrow" w:cs="Arial"/>
          <w:b/>
          <w:bCs/>
          <w:color w:val="000000" w:themeColor="text1"/>
          <w:lang w:val="es-ES" w:eastAsia="es-ES"/>
        </w:rPr>
        <w:t>.</w:t>
      </w:r>
      <w:r w:rsidRPr="002C0D19">
        <w:rPr>
          <w:rFonts w:ascii="Arial Narrow" w:hAnsi="Arial Narrow" w:cs="Arial"/>
          <w:color w:val="000000" w:themeColor="text1"/>
          <w:lang w:val="es-ES" w:eastAsia="es-ES"/>
        </w:rPr>
        <w:t xml:space="preserve"> De conformidad con el numeral 52 del artículo 530 del Estatuto Tributario, la presente Oferta y su posterior aceptación mediante Orden de Compra de Servicios no causan impuesto de timbre. En todo caso, todos los gastos e impuestos de cualquier naturaleza que se generen en relación con la presente oferta, serán de cargo de </w:t>
      </w:r>
      <w:r w:rsidRPr="002C0D19">
        <w:rPr>
          <w:rFonts w:ascii="Arial Narrow" w:hAnsi="Arial Narrow" w:cs="Arial"/>
          <w:b/>
          <w:color w:val="000000" w:themeColor="text1"/>
          <w:lang w:val="es-ES" w:eastAsia="es-ES"/>
        </w:rPr>
        <w:t>EL AGENTE DE PAGO</w:t>
      </w:r>
      <w:r w:rsidRPr="002C0D19">
        <w:rPr>
          <w:rFonts w:ascii="Arial Narrow" w:hAnsi="Arial Narrow" w:cs="Arial"/>
          <w:color w:val="000000" w:themeColor="text1"/>
          <w:lang w:val="es-ES" w:eastAsia="es-ES"/>
        </w:rPr>
        <w:t>.</w:t>
      </w:r>
    </w:p>
    <w:p w14:paraId="13934FAF" w14:textId="77777777" w:rsidR="007968EC" w:rsidRPr="002C0D19" w:rsidRDefault="007968EC" w:rsidP="007968EC">
      <w:pPr>
        <w:jc w:val="both"/>
        <w:rPr>
          <w:rFonts w:ascii="Arial Narrow" w:hAnsi="Arial Narrow" w:cs="Arial"/>
          <w:color w:val="000000" w:themeColor="text1"/>
          <w:lang w:val="es-ES" w:eastAsia="es-ES"/>
        </w:rPr>
      </w:pPr>
    </w:p>
    <w:p w14:paraId="15649CE8"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Para constancia, se firma en Bogotá D.C., el día ______________ (____) del mes de _____________ del año dos mil ___________ (____). </w:t>
      </w:r>
    </w:p>
    <w:p w14:paraId="4FE429D3" w14:textId="77777777" w:rsidR="007968EC" w:rsidRPr="002C0D19" w:rsidRDefault="007968EC" w:rsidP="007968EC">
      <w:pPr>
        <w:jc w:val="both"/>
        <w:rPr>
          <w:rFonts w:ascii="Arial Narrow" w:hAnsi="Arial Narrow" w:cs="Arial"/>
          <w:b/>
          <w:bCs/>
          <w:color w:val="000000" w:themeColor="text1"/>
          <w:lang w:val="es-ES" w:eastAsia="es-ES"/>
        </w:rPr>
      </w:pPr>
    </w:p>
    <w:p w14:paraId="7F2570AB" w14:textId="77777777" w:rsidR="007968EC" w:rsidRPr="002C0D19" w:rsidRDefault="007968EC" w:rsidP="007968EC">
      <w:pPr>
        <w:jc w:val="both"/>
        <w:rPr>
          <w:rFonts w:ascii="Arial Narrow" w:hAnsi="Arial Narrow" w:cs="Arial"/>
          <w:b/>
          <w:bCs/>
          <w:color w:val="000000" w:themeColor="text1"/>
          <w:lang w:val="es-ES" w:eastAsia="es-ES"/>
        </w:rPr>
      </w:pPr>
      <w:r w:rsidRPr="002C0D19">
        <w:rPr>
          <w:rFonts w:ascii="Arial Narrow" w:hAnsi="Arial Narrow" w:cs="Arial"/>
          <w:b/>
          <w:bCs/>
          <w:color w:val="000000" w:themeColor="text1"/>
          <w:lang w:val="es-ES" w:eastAsia="es-ES"/>
        </w:rPr>
        <w:t xml:space="preserve">LA CRCC </w:t>
      </w:r>
    </w:p>
    <w:p w14:paraId="5A605B56" w14:textId="77777777" w:rsidR="007968EC" w:rsidRPr="002C0D19" w:rsidRDefault="007968EC" w:rsidP="007968EC">
      <w:pPr>
        <w:jc w:val="both"/>
        <w:rPr>
          <w:rFonts w:ascii="Arial Narrow" w:hAnsi="Arial Narrow" w:cs="Arial"/>
          <w:color w:val="000000" w:themeColor="text1"/>
          <w:spacing w:val="-3"/>
          <w:lang w:val="es-ES" w:eastAsia="es-ES"/>
        </w:rPr>
      </w:pPr>
    </w:p>
    <w:p w14:paraId="3D9CDEF7"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Por:          ________________________________                      </w:t>
      </w:r>
    </w:p>
    <w:p w14:paraId="462272B6"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lastRenderedPageBreak/>
        <w:t xml:space="preserve">Nombre:                                               </w:t>
      </w:r>
    </w:p>
    <w:p w14:paraId="329786CF"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Cargo:       Representante Legal                                    </w:t>
      </w:r>
    </w:p>
    <w:p w14:paraId="7A1B931B" w14:textId="77777777" w:rsidR="007968EC" w:rsidRPr="002C0D19" w:rsidRDefault="007968EC" w:rsidP="007968EC">
      <w:pPr>
        <w:jc w:val="both"/>
        <w:rPr>
          <w:rFonts w:ascii="Arial Narrow" w:hAnsi="Arial Narrow" w:cs="Arial"/>
          <w:color w:val="000000" w:themeColor="text1"/>
          <w:spacing w:val="-3"/>
          <w:lang w:val="fr-FR" w:eastAsia="es-ES"/>
        </w:rPr>
      </w:pPr>
      <w:r w:rsidRPr="002C0D19">
        <w:rPr>
          <w:rFonts w:ascii="Arial Narrow" w:hAnsi="Arial Narrow" w:cs="Arial"/>
          <w:color w:val="000000" w:themeColor="text1"/>
          <w:spacing w:val="-3"/>
          <w:lang w:val="fr-FR" w:eastAsia="es-ES"/>
        </w:rPr>
        <w:t>C.C.</w:t>
      </w:r>
    </w:p>
    <w:p w14:paraId="0EE75FD5" w14:textId="77777777" w:rsidR="007968EC" w:rsidRPr="002C0D19" w:rsidRDefault="007968EC" w:rsidP="007968EC">
      <w:pPr>
        <w:jc w:val="both"/>
        <w:rPr>
          <w:rFonts w:ascii="Arial Narrow" w:hAnsi="Arial Narrow" w:cs="Arial"/>
          <w:color w:val="000000" w:themeColor="text1"/>
          <w:spacing w:val="-3"/>
          <w:lang w:val="fr-FR" w:eastAsia="es-ES"/>
        </w:rPr>
      </w:pPr>
    </w:p>
    <w:p w14:paraId="5D542CF1" w14:textId="77777777" w:rsidR="007968EC" w:rsidRPr="002C0D19" w:rsidRDefault="007968EC" w:rsidP="007968EC">
      <w:pPr>
        <w:jc w:val="both"/>
        <w:rPr>
          <w:rFonts w:ascii="Arial Narrow" w:hAnsi="Arial Narrow" w:cs="Arial"/>
          <w:color w:val="000000" w:themeColor="text1"/>
          <w:spacing w:val="-3"/>
          <w:lang w:val="fr-FR" w:eastAsia="es-ES"/>
        </w:rPr>
      </w:pPr>
    </w:p>
    <w:p w14:paraId="014D0D18" w14:textId="77777777" w:rsidR="007968EC" w:rsidRPr="005C4274" w:rsidRDefault="007968EC" w:rsidP="007968EC">
      <w:pPr>
        <w:pStyle w:val="TTULO"/>
        <w:rPr>
          <w:lang w:val="es-ES"/>
        </w:rPr>
      </w:pPr>
      <w:r w:rsidRPr="002C0D19">
        <w:rPr>
          <w:spacing w:val="-3"/>
          <w:lang w:val="fr-FR"/>
        </w:rPr>
        <w:br w:type="page"/>
      </w:r>
      <w:bookmarkStart w:id="6513" w:name="_Toc31716594"/>
      <w:r w:rsidRPr="005C4274">
        <w:rPr>
          <w:lang w:val="es-ES"/>
        </w:rPr>
        <w:lastRenderedPageBreak/>
        <w:t>ANEXO 5</w:t>
      </w:r>
      <w:bookmarkEnd w:id="6513"/>
    </w:p>
    <w:p w14:paraId="03FC08A5" w14:textId="77777777" w:rsidR="007968EC" w:rsidRPr="005C4274" w:rsidRDefault="007968EC" w:rsidP="007968EC">
      <w:pPr>
        <w:jc w:val="center"/>
        <w:rPr>
          <w:rFonts w:ascii="Arial Narrow" w:hAnsi="Arial Narrow" w:cs="Arial"/>
          <w:b/>
          <w:color w:val="000000" w:themeColor="text1"/>
          <w:lang w:val="es-ES" w:eastAsia="es-ES"/>
        </w:rPr>
      </w:pPr>
    </w:p>
    <w:p w14:paraId="76E45AE3" w14:textId="77777777" w:rsidR="007968EC" w:rsidRPr="005C4274" w:rsidRDefault="007968EC" w:rsidP="007968EC">
      <w:pPr>
        <w:jc w:val="center"/>
        <w:rPr>
          <w:rFonts w:ascii="Arial Narrow" w:hAnsi="Arial Narrow" w:cs="Arial"/>
          <w:b/>
          <w:color w:val="000000" w:themeColor="text1"/>
          <w:lang w:val="es-ES" w:eastAsia="es-ES"/>
        </w:rPr>
      </w:pPr>
      <w:r w:rsidRPr="005C4274">
        <w:rPr>
          <w:rFonts w:ascii="Arial Narrow" w:hAnsi="Arial Narrow" w:cs="Arial"/>
          <w:b/>
          <w:color w:val="000000" w:themeColor="text1"/>
          <w:lang w:val="es-ES" w:eastAsia="es-ES"/>
        </w:rPr>
        <w:t>CONVENIO CON EL AGENTE CUSTODIO</w:t>
      </w:r>
    </w:p>
    <w:p w14:paraId="317F9D9A" w14:textId="77777777" w:rsidR="007968EC" w:rsidRPr="002C0D19" w:rsidRDefault="007968EC" w:rsidP="007968EC">
      <w:pPr>
        <w:jc w:val="both"/>
        <w:rPr>
          <w:rFonts w:ascii="Arial Narrow" w:hAnsi="Arial Narrow" w:cs="Arial"/>
          <w:color w:val="000000" w:themeColor="text1"/>
          <w:spacing w:val="-3"/>
          <w:lang w:val="fr-FR" w:eastAsia="es-ES"/>
        </w:rPr>
      </w:pPr>
    </w:p>
    <w:p w14:paraId="07CDDD2A" w14:textId="77777777" w:rsidR="007968EC" w:rsidRPr="002C0D19" w:rsidRDefault="007968EC" w:rsidP="007968EC">
      <w:pPr>
        <w:jc w:val="center"/>
        <w:rPr>
          <w:rFonts w:ascii="Arial Narrow" w:hAnsi="Arial Narrow" w:cs="Arial"/>
          <w:b/>
          <w:bCs/>
          <w:color w:val="000000" w:themeColor="text1"/>
          <w:lang w:eastAsia="es-ES"/>
        </w:rPr>
      </w:pPr>
      <w:r w:rsidRPr="002C0D19">
        <w:rPr>
          <w:rFonts w:ascii="Arial Narrow" w:hAnsi="Arial Narrow" w:cs="Arial"/>
          <w:b/>
          <w:bCs/>
          <w:color w:val="000000" w:themeColor="text1"/>
          <w:lang w:eastAsia="es-ES"/>
        </w:rPr>
        <w:t>OFERTA DE SERVICIOS PARA ACTUAR COMO AGENTE CUSTODIO</w:t>
      </w:r>
      <w:r w:rsidRPr="002C0D19">
        <w:rPr>
          <w:rFonts w:ascii="Arial Narrow" w:hAnsi="Arial Narrow" w:cs="Arial"/>
          <w:color w:val="000000" w:themeColor="text1"/>
          <w:lang w:val="es-ES" w:eastAsia="es-ES"/>
        </w:rPr>
        <w:t xml:space="preserve"> </w:t>
      </w:r>
      <w:r w:rsidRPr="002C0D19">
        <w:rPr>
          <w:rFonts w:ascii="Arial Narrow" w:hAnsi="Arial Narrow" w:cs="Arial"/>
          <w:b/>
          <w:bCs/>
          <w:color w:val="000000" w:themeColor="text1"/>
          <w:lang w:eastAsia="es-ES"/>
        </w:rPr>
        <w:t>EN EL SISTEMA DE COMPENSACIÓN Y LIQUIDACIÓN DE LA CÁMARA DE RIESGO CENTRAL DE CONTRAPARTE DE COLOMBIA S.A. – CRCC S.A.</w:t>
      </w:r>
    </w:p>
    <w:p w14:paraId="7FAA3AEB" w14:textId="77777777" w:rsidR="007968EC" w:rsidRPr="002C0D19" w:rsidRDefault="007968EC" w:rsidP="007968EC">
      <w:pPr>
        <w:jc w:val="center"/>
        <w:rPr>
          <w:rFonts w:ascii="Arial Narrow" w:hAnsi="Arial Narrow" w:cs="Arial"/>
          <w:color w:val="000000" w:themeColor="text1"/>
          <w:lang w:val="es-MX" w:eastAsia="es-ES"/>
        </w:rPr>
      </w:pPr>
    </w:p>
    <w:p w14:paraId="40A33F15"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Esta Oferta de Servicios para actuar como </w:t>
      </w:r>
      <w:r w:rsidRPr="002C0D19">
        <w:rPr>
          <w:rFonts w:ascii="Arial Narrow" w:hAnsi="Arial Narrow" w:cs="Arial"/>
          <w:b/>
          <w:color w:val="000000" w:themeColor="text1"/>
          <w:lang w:val="es-ES" w:eastAsia="es-ES"/>
        </w:rPr>
        <w:t>AGENTE CUSTODIO</w:t>
      </w:r>
      <w:r w:rsidRPr="002C0D19">
        <w:rPr>
          <w:rFonts w:ascii="Arial Narrow" w:hAnsi="Arial Narrow" w:cs="Arial"/>
          <w:color w:val="000000" w:themeColor="text1"/>
          <w:lang w:val="es-ES" w:eastAsia="es-ES"/>
        </w:rPr>
        <w:t xml:space="preserve"> en el </w:t>
      </w:r>
      <w:r w:rsidRPr="002C0D19">
        <w:rPr>
          <w:rFonts w:ascii="Arial Narrow" w:hAnsi="Arial Narrow" w:cs="Arial"/>
          <w:bCs/>
          <w:color w:val="000000" w:themeColor="text1"/>
          <w:lang w:eastAsia="es-ES"/>
        </w:rPr>
        <w:t xml:space="preserve">Sistema de Compensación y Liquidación </w:t>
      </w:r>
      <w:r w:rsidRPr="002C0D19">
        <w:rPr>
          <w:rFonts w:ascii="Arial Narrow" w:hAnsi="Arial Narrow" w:cs="Arial"/>
          <w:color w:val="000000" w:themeColor="text1"/>
          <w:lang w:val="es-ES" w:eastAsia="es-ES"/>
        </w:rPr>
        <w:t>de la Cámara de Riesgo Central de Contraparte de Colombia S.A. – CRCC S.A., en adelante “</w:t>
      </w:r>
      <w:r w:rsidRPr="002C0D19">
        <w:rPr>
          <w:rFonts w:ascii="Arial Narrow" w:hAnsi="Arial Narrow" w:cs="Arial"/>
          <w:b/>
          <w:color w:val="000000" w:themeColor="text1"/>
          <w:lang w:val="es-ES" w:eastAsia="es-ES"/>
        </w:rPr>
        <w:t>EL SISTEMA</w:t>
      </w:r>
      <w:r w:rsidRPr="002C0D19">
        <w:rPr>
          <w:rFonts w:ascii="Arial Narrow" w:hAnsi="Arial Narrow" w:cs="Arial"/>
          <w:color w:val="000000" w:themeColor="text1"/>
          <w:lang w:val="es-ES" w:eastAsia="es-ES"/>
        </w:rPr>
        <w:t xml:space="preserve">”, se somete por </w:t>
      </w:r>
      <w:r w:rsidRPr="002C0D19">
        <w:rPr>
          <w:rFonts w:ascii="Arial Narrow" w:hAnsi="Arial Narrow" w:cs="Arial"/>
          <w:b/>
          <w:bCs/>
          <w:color w:val="000000" w:themeColor="text1"/>
          <w:lang w:val="es-ES" w:eastAsia="es-ES"/>
        </w:rPr>
        <w:t>LA CÁMARA DE RIESGO CENTRAL DE CONTRAPARTE DE COLOMBIA S.A.</w:t>
      </w:r>
      <w:r w:rsidRPr="002C0D19">
        <w:rPr>
          <w:rFonts w:ascii="Arial Narrow" w:hAnsi="Arial Narrow" w:cs="Arial"/>
          <w:color w:val="000000" w:themeColor="text1"/>
          <w:lang w:val="es-ES" w:eastAsia="es-ES"/>
        </w:rPr>
        <w:t xml:space="preserve">, en adelante </w:t>
      </w:r>
      <w:r w:rsidRPr="002C0D19">
        <w:rPr>
          <w:rFonts w:ascii="Arial Narrow" w:hAnsi="Arial Narrow" w:cs="Arial"/>
          <w:b/>
          <w:color w:val="000000" w:themeColor="text1"/>
          <w:lang w:val="es-ES" w:eastAsia="es-ES"/>
        </w:rPr>
        <w:t>LA</w:t>
      </w:r>
      <w:r w:rsidRPr="002C0D19">
        <w:rPr>
          <w:rFonts w:ascii="Arial Narrow" w:hAnsi="Arial Narrow" w:cs="Arial"/>
          <w:color w:val="000000" w:themeColor="text1"/>
          <w:lang w:val="es-ES" w:eastAsia="es-ES"/>
        </w:rPr>
        <w:t xml:space="preserve"> </w:t>
      </w:r>
      <w:r w:rsidRPr="002C0D19">
        <w:rPr>
          <w:rFonts w:ascii="Arial Narrow" w:hAnsi="Arial Narrow" w:cs="Arial"/>
          <w:b/>
          <w:bCs/>
          <w:color w:val="000000" w:themeColor="text1"/>
          <w:lang w:val="es-ES" w:eastAsia="es-ES"/>
        </w:rPr>
        <w:t>CRCC</w:t>
      </w:r>
      <w:r w:rsidRPr="002C0D19">
        <w:rPr>
          <w:rFonts w:ascii="Arial Narrow" w:hAnsi="Arial Narrow" w:cs="Arial"/>
          <w:color w:val="000000" w:themeColor="text1"/>
          <w:lang w:val="es-ES" w:eastAsia="es-ES"/>
        </w:rPr>
        <w:t xml:space="preserve">, a consideración de </w:t>
      </w:r>
      <w:r w:rsidRPr="002C0D19">
        <w:rPr>
          <w:rFonts w:ascii="Arial Narrow" w:hAnsi="Arial Narrow" w:cs="Arial"/>
          <w:b/>
          <w:bCs/>
          <w:color w:val="000000" w:themeColor="text1"/>
          <w:lang w:val="es-ES" w:eastAsia="es-ES"/>
        </w:rPr>
        <w:t xml:space="preserve">__________________________________ </w:t>
      </w:r>
      <w:r w:rsidRPr="002C0D19">
        <w:rPr>
          <w:rFonts w:ascii="Arial Narrow" w:hAnsi="Arial Narrow" w:cs="Arial"/>
          <w:color w:val="000000" w:themeColor="text1"/>
          <w:lang w:val="es-ES" w:eastAsia="es-ES"/>
        </w:rPr>
        <w:t xml:space="preserve">en adelante </w:t>
      </w:r>
      <w:r w:rsidRPr="002C0D19">
        <w:rPr>
          <w:rFonts w:ascii="Arial Narrow" w:hAnsi="Arial Narrow" w:cs="Arial"/>
          <w:b/>
          <w:bCs/>
          <w:color w:val="000000" w:themeColor="text1"/>
          <w:lang w:val="es-ES" w:eastAsia="es-ES"/>
        </w:rPr>
        <w:t>EL AGENTE CUSTODIO</w:t>
      </w:r>
      <w:r w:rsidRPr="002C0D19">
        <w:rPr>
          <w:rFonts w:ascii="Arial Narrow" w:hAnsi="Arial Narrow" w:cs="Arial"/>
          <w:color w:val="000000" w:themeColor="text1"/>
          <w:lang w:val="es-ES" w:eastAsia="es-ES"/>
        </w:rPr>
        <w:t xml:space="preserve">. </w:t>
      </w:r>
    </w:p>
    <w:p w14:paraId="51B7F041" w14:textId="77777777" w:rsidR="007968EC" w:rsidRPr="002C0D19" w:rsidRDefault="007968EC" w:rsidP="007968EC">
      <w:pPr>
        <w:jc w:val="both"/>
        <w:rPr>
          <w:rFonts w:ascii="Arial Narrow" w:hAnsi="Arial Narrow" w:cs="Arial"/>
          <w:b/>
          <w:bCs/>
          <w:color w:val="000000" w:themeColor="text1"/>
          <w:u w:val="single"/>
          <w:lang w:val="es-ES" w:eastAsia="es-ES"/>
        </w:rPr>
      </w:pPr>
    </w:p>
    <w:p w14:paraId="1888CF79" w14:textId="77777777" w:rsidR="007968EC" w:rsidRPr="002C0D19" w:rsidRDefault="007968EC" w:rsidP="007968EC">
      <w:pPr>
        <w:jc w:val="center"/>
        <w:rPr>
          <w:rFonts w:ascii="Arial Narrow" w:hAnsi="Arial Narrow" w:cs="Arial"/>
          <w:b/>
          <w:bCs/>
          <w:color w:val="000000" w:themeColor="text1"/>
          <w:lang w:val="es-ES" w:eastAsia="es-ES"/>
        </w:rPr>
      </w:pPr>
      <w:r w:rsidRPr="002C0D19">
        <w:rPr>
          <w:rFonts w:ascii="Arial Narrow" w:hAnsi="Arial Narrow" w:cs="Arial"/>
          <w:b/>
          <w:bCs/>
          <w:iCs/>
          <w:color w:val="000000" w:themeColor="text1"/>
          <w:lang w:val="es-ES" w:eastAsia="es-ES"/>
        </w:rPr>
        <w:t>TÉRMINOS Y CONDICIONES DE LA OFERTA</w:t>
      </w:r>
    </w:p>
    <w:p w14:paraId="538C10F9" w14:textId="77777777" w:rsidR="007968EC" w:rsidRPr="002C0D19" w:rsidRDefault="007968EC" w:rsidP="007968EC">
      <w:pPr>
        <w:tabs>
          <w:tab w:val="num" w:pos="0"/>
        </w:tabs>
        <w:jc w:val="both"/>
        <w:rPr>
          <w:rFonts w:ascii="Arial Narrow" w:hAnsi="Arial Narrow" w:cs="Arial"/>
          <w:b/>
          <w:bCs/>
          <w:color w:val="000000" w:themeColor="text1"/>
          <w:u w:val="single"/>
          <w:lang w:val="es-ES" w:eastAsia="es-ES"/>
        </w:rPr>
      </w:pPr>
    </w:p>
    <w:p w14:paraId="3F740D41" w14:textId="77777777" w:rsidR="007968EC" w:rsidRPr="002C0D19" w:rsidRDefault="007968EC" w:rsidP="007968EC">
      <w:pPr>
        <w:tabs>
          <w:tab w:val="num" w:pos="0"/>
        </w:tabs>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es-ES" w:eastAsia="es-ES"/>
        </w:rPr>
        <w:t>PRIMERA. Objeto.</w:t>
      </w:r>
      <w:r w:rsidRPr="002C0D19">
        <w:rPr>
          <w:rFonts w:ascii="Arial Narrow" w:hAnsi="Arial Narrow" w:cs="Arial"/>
          <w:color w:val="000000" w:themeColor="text1"/>
          <w:lang w:val="es-ES" w:eastAsia="es-ES"/>
        </w:rPr>
        <w:t xml:space="preserve"> En virtud de la aceptación de la presente Oferta de Servicios, </w:t>
      </w:r>
      <w:r w:rsidRPr="002C0D19">
        <w:rPr>
          <w:rFonts w:ascii="Arial Narrow" w:hAnsi="Arial Narrow" w:cs="Arial"/>
          <w:b/>
          <w:color w:val="000000" w:themeColor="text1"/>
          <w:lang w:val="es-ES" w:eastAsia="es-ES"/>
        </w:rPr>
        <w:t>EL</w:t>
      </w:r>
      <w:r w:rsidRPr="002C0D19">
        <w:rPr>
          <w:rFonts w:ascii="Arial Narrow" w:hAnsi="Arial Narrow" w:cs="Arial"/>
          <w:color w:val="000000" w:themeColor="text1"/>
          <w:lang w:val="es-ES" w:eastAsia="es-ES"/>
        </w:rPr>
        <w:t xml:space="preserve"> </w:t>
      </w:r>
      <w:r w:rsidRPr="002C0D19">
        <w:rPr>
          <w:rFonts w:ascii="Arial Narrow" w:hAnsi="Arial Narrow" w:cs="Arial"/>
          <w:b/>
          <w:color w:val="000000" w:themeColor="text1"/>
          <w:lang w:val="es-ES" w:eastAsia="es-ES"/>
        </w:rPr>
        <w:t>AGENTE CUSTODIO</w:t>
      </w:r>
      <w:r w:rsidRPr="002C0D19">
        <w:rPr>
          <w:rFonts w:ascii="Arial Narrow" w:hAnsi="Arial Narrow" w:cs="Arial"/>
          <w:color w:val="000000" w:themeColor="text1"/>
          <w:lang w:val="es-ES" w:eastAsia="es-ES"/>
        </w:rPr>
        <w:t xml:space="preserve"> podrá</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eastAsia="es-ES"/>
        </w:rPr>
        <w:t xml:space="preserve">recibir y custodiar valores por cuenta de los Terceros de los </w:t>
      </w:r>
      <w:r w:rsidRPr="002C0D19">
        <w:rPr>
          <w:rFonts w:ascii="Arial Narrow" w:hAnsi="Arial Narrow" w:cs="Arial"/>
          <w:color w:val="000000" w:themeColor="text1"/>
          <w:lang w:val="es-ES" w:eastAsia="es-ES"/>
        </w:rPr>
        <w:t xml:space="preserve">Miembros y de toda su estructura de cuentas que lo designen en tal calidad, así como </w:t>
      </w:r>
      <w:r w:rsidRPr="002C0D19">
        <w:rPr>
          <w:rFonts w:ascii="Arial Narrow" w:hAnsi="Arial Narrow" w:cs="Arial"/>
          <w:color w:val="000000" w:themeColor="text1"/>
          <w:lang w:eastAsia="es-ES"/>
        </w:rPr>
        <w:t xml:space="preserve">realizar la entrega de valores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eastAsia="es-ES"/>
        </w:rPr>
        <w:t xml:space="preserve"> para el cumplimiento de las obligaciones a cargo de los Terceros de los </w:t>
      </w:r>
      <w:r w:rsidRPr="002C0D19">
        <w:rPr>
          <w:rFonts w:ascii="Arial Narrow" w:hAnsi="Arial Narrow" w:cs="Arial"/>
          <w:color w:val="000000" w:themeColor="text1"/>
          <w:lang w:val="es-ES" w:eastAsia="es-ES"/>
        </w:rPr>
        <w:t xml:space="preserve">Miembros, </w:t>
      </w:r>
      <w:r w:rsidRPr="002C0D19">
        <w:rPr>
          <w:rFonts w:ascii="Arial Narrow" w:hAnsi="Arial Narrow" w:cs="Arial"/>
          <w:color w:val="000000" w:themeColor="text1"/>
          <w:lang w:eastAsia="es-ES"/>
        </w:rPr>
        <w:t>derivadas de la Compensación y Liquidación de operaciones,</w:t>
      </w:r>
      <w:r w:rsidRPr="002C0D19">
        <w:rPr>
          <w:rFonts w:ascii="Arial Narrow" w:hAnsi="Arial Narrow" w:cs="Arial"/>
          <w:color w:val="000000" w:themeColor="text1"/>
          <w:lang w:val="es-ES" w:eastAsia="es-ES"/>
        </w:rPr>
        <w:t xml:space="preserve"> todo ello de conformidad con los términos y condiciones establecidos en el Reglamento de Funcionamiento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en adelante el “Reglamento”.</w:t>
      </w:r>
    </w:p>
    <w:p w14:paraId="622D468F" w14:textId="77777777" w:rsidR="007968EC" w:rsidRPr="002C0D19" w:rsidRDefault="007968EC" w:rsidP="007968EC">
      <w:pPr>
        <w:rPr>
          <w:rFonts w:ascii="Arial Narrow" w:hAnsi="Arial Narrow" w:cs="Arial"/>
          <w:bCs/>
          <w:color w:val="000000" w:themeColor="text1"/>
          <w:lang w:eastAsia="es-ES"/>
        </w:rPr>
      </w:pPr>
    </w:p>
    <w:p w14:paraId="7DF8D4E1" w14:textId="77777777" w:rsidR="007968EC" w:rsidRPr="002C0D19" w:rsidRDefault="007968EC" w:rsidP="007968EC">
      <w:pPr>
        <w:jc w:val="both"/>
        <w:rPr>
          <w:rFonts w:ascii="Arial Narrow" w:hAnsi="Arial Narrow" w:cs="Arial"/>
          <w:b/>
          <w:bCs/>
          <w:iCs/>
          <w:color w:val="000000" w:themeColor="text1"/>
          <w:lang w:val="es-ES" w:eastAsia="es-ES"/>
        </w:rPr>
      </w:pPr>
      <w:r w:rsidRPr="002C0D19">
        <w:rPr>
          <w:rFonts w:ascii="Arial Narrow" w:hAnsi="Arial Narrow" w:cs="Arial"/>
          <w:bCs/>
          <w:color w:val="000000" w:themeColor="text1"/>
          <w:lang w:eastAsia="es-ES"/>
        </w:rPr>
        <w:t xml:space="preserve">Los depósitos centralizados de valores y las cuentas de las que es titular </w:t>
      </w:r>
      <w:r w:rsidRPr="002C0D19">
        <w:rPr>
          <w:rFonts w:ascii="Arial Narrow" w:hAnsi="Arial Narrow" w:cs="Arial"/>
          <w:b/>
          <w:bCs/>
          <w:color w:val="000000" w:themeColor="text1"/>
          <w:lang w:val="es-ES" w:eastAsia="es-ES"/>
        </w:rPr>
        <w:t xml:space="preserve">EL AGENTE CUSTODIO </w:t>
      </w:r>
      <w:r w:rsidRPr="002C0D19">
        <w:rPr>
          <w:rFonts w:ascii="Arial Narrow" w:hAnsi="Arial Narrow" w:cs="Arial"/>
          <w:bCs/>
          <w:color w:val="000000" w:themeColor="text1"/>
          <w:lang w:val="es-ES" w:eastAsia="es-ES"/>
        </w:rPr>
        <w:t>en los mismos</w:t>
      </w:r>
      <w:r w:rsidRPr="002C0D19">
        <w:rPr>
          <w:rFonts w:ascii="Arial Narrow" w:hAnsi="Arial Narrow" w:cs="Arial"/>
          <w:b/>
          <w:bCs/>
          <w:color w:val="000000" w:themeColor="text1"/>
          <w:lang w:val="es-ES" w:eastAsia="es-ES"/>
        </w:rPr>
        <w:t xml:space="preserve">, </w:t>
      </w:r>
      <w:r w:rsidRPr="002C0D19">
        <w:rPr>
          <w:rFonts w:ascii="Arial Narrow" w:hAnsi="Arial Narrow" w:cs="Arial"/>
          <w:bCs/>
          <w:color w:val="000000" w:themeColor="text1"/>
          <w:lang w:eastAsia="es-ES"/>
        </w:rPr>
        <w:t>y a través de las cuales desarrollará sus funciones, son las siguientes:</w:t>
      </w:r>
    </w:p>
    <w:p w14:paraId="4E0BC262" w14:textId="77777777" w:rsidR="007968EC" w:rsidRPr="002C0D19" w:rsidRDefault="007968EC" w:rsidP="007968EC">
      <w:pPr>
        <w:rPr>
          <w:rFonts w:ascii="Arial Narrow" w:hAnsi="Arial Narrow" w:cs="Arial"/>
          <w:b/>
          <w:bCs/>
          <w:iCs/>
          <w:color w:val="000000" w:themeColor="text1"/>
          <w:lang w:val="es-ES" w:eastAsia="es-ES"/>
        </w:rPr>
      </w:pPr>
      <w:r w:rsidRPr="002C0D19">
        <w:rPr>
          <w:rFonts w:ascii="Arial Narrow" w:hAnsi="Arial Narrow" w:cs="Arial"/>
          <w:b/>
          <w:bCs/>
          <w:iCs/>
          <w:color w:val="000000" w:themeColor="text1"/>
          <w:lang w:val="es-ES" w:eastAsia="es-ES"/>
        </w:rPr>
        <w:t>________________________________________________________________________________________________________________________________________________________________________________________________________________________</w:t>
      </w:r>
    </w:p>
    <w:p w14:paraId="342D132D"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 w:eastAsia="es-ES"/>
        </w:rPr>
        <w:t>PARÁGRAFO.</w:t>
      </w:r>
      <w:r w:rsidRPr="002C0D19">
        <w:rPr>
          <w:rFonts w:ascii="Arial Narrow" w:hAnsi="Arial Narrow" w:cs="Arial"/>
          <w:color w:val="000000" w:themeColor="text1"/>
          <w:lang w:val="es-ES" w:eastAsia="es-ES"/>
        </w:rPr>
        <w:t xml:space="preserve"> Los términos que se utilizan en esta Oferta de Servicios, cuya primera letra sea una mayúscula, y que no se encuentren expresamente definidos en esta Oferta, tendrán el significado que se le atribuye a tales términos en el Reglamento.  </w:t>
      </w:r>
    </w:p>
    <w:p w14:paraId="40457C91" w14:textId="77777777" w:rsidR="007968EC" w:rsidRPr="002C0D19" w:rsidRDefault="007968EC" w:rsidP="007968EC">
      <w:pPr>
        <w:jc w:val="both"/>
        <w:rPr>
          <w:rFonts w:ascii="Arial Narrow" w:hAnsi="Arial Narrow" w:cs="Arial"/>
          <w:b/>
          <w:color w:val="000000" w:themeColor="text1"/>
          <w:u w:val="single"/>
          <w:lang w:val="es-ES" w:eastAsia="es-ES"/>
        </w:rPr>
      </w:pPr>
    </w:p>
    <w:p w14:paraId="44C88AA3" w14:textId="77777777" w:rsidR="007968EC" w:rsidRPr="002C0D19" w:rsidRDefault="007968EC" w:rsidP="007968EC">
      <w:pPr>
        <w:jc w:val="both"/>
        <w:rPr>
          <w:rFonts w:ascii="Arial Narrow" w:hAnsi="Arial Narrow" w:cs="Arial"/>
          <w:b/>
          <w:color w:val="000000" w:themeColor="text1"/>
          <w:lang w:val="es-ES" w:eastAsia="es-ES"/>
        </w:rPr>
      </w:pPr>
      <w:r w:rsidRPr="002C0D19">
        <w:rPr>
          <w:rFonts w:ascii="Arial Narrow" w:hAnsi="Arial Narrow" w:cs="Arial"/>
          <w:b/>
          <w:color w:val="000000" w:themeColor="text1"/>
          <w:u w:val="single"/>
          <w:lang w:val="es-ES" w:eastAsia="es-ES"/>
        </w:rPr>
        <w:t>SEGUNDA. Declaraciones, Manifestaciones y Autorizaciones</w:t>
      </w:r>
      <w:r w:rsidRPr="002C0D19">
        <w:rPr>
          <w:rFonts w:ascii="Arial Narrow" w:hAnsi="Arial Narrow" w:cs="Arial"/>
          <w:b/>
          <w:color w:val="000000" w:themeColor="text1"/>
          <w:lang w:val="es-ES" w:eastAsia="es-ES"/>
        </w:rPr>
        <w:t>.</w:t>
      </w:r>
      <w:r w:rsidRPr="002C0D19">
        <w:rPr>
          <w:rFonts w:ascii="Arial Narrow" w:hAnsi="Arial Narrow" w:cs="Arial"/>
          <w:color w:val="000000" w:themeColor="text1"/>
          <w:lang w:val="es-ES" w:eastAsia="es-ES"/>
        </w:rPr>
        <w:t xml:space="preserve"> Mediante la aceptación de la presente Oferta, </w:t>
      </w:r>
      <w:r w:rsidRPr="002C0D19">
        <w:rPr>
          <w:rFonts w:ascii="Arial Narrow" w:hAnsi="Arial Narrow" w:cs="Arial"/>
          <w:b/>
          <w:color w:val="000000" w:themeColor="text1"/>
          <w:lang w:val="es-ES" w:eastAsia="es-ES"/>
        </w:rPr>
        <w:t>EL AGENTE CUSTODIO:</w:t>
      </w:r>
    </w:p>
    <w:p w14:paraId="5C7B5F63" w14:textId="77777777" w:rsidR="007968EC" w:rsidRPr="002C0D19" w:rsidRDefault="007968EC" w:rsidP="007968EC">
      <w:pPr>
        <w:jc w:val="both"/>
        <w:rPr>
          <w:rFonts w:ascii="Arial Narrow" w:hAnsi="Arial Narrow" w:cs="Arial"/>
          <w:color w:val="000000" w:themeColor="text1"/>
          <w:lang w:val="es-ES" w:eastAsia="es-ES"/>
        </w:rPr>
      </w:pPr>
    </w:p>
    <w:p w14:paraId="04074072" w14:textId="77777777" w:rsidR="007968EC" w:rsidRPr="002C0D19" w:rsidRDefault="007968EC" w:rsidP="00DA7472">
      <w:pPr>
        <w:numPr>
          <w:ilvl w:val="0"/>
          <w:numId w:val="123"/>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Declara expresamente conocer y aceptar en su integridad el Reglamento, las Circulares y los Instructivos Operativos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los cuales se consideran parte integral de la presente Oferta de Servicios. </w:t>
      </w:r>
    </w:p>
    <w:p w14:paraId="254002F9" w14:textId="77777777" w:rsidR="007968EC" w:rsidRPr="002C0D19" w:rsidRDefault="007968EC" w:rsidP="00DA7472">
      <w:pPr>
        <w:numPr>
          <w:ilvl w:val="0"/>
          <w:numId w:val="123"/>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Declara conocer la reglamentación de las bolsas, sistemas de negociación y registro, mercado mostrador y cualquier Mecanismo de Contratación en donde se transen, los Activos Compensados y Liquidados a través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w:t>
      </w:r>
    </w:p>
    <w:p w14:paraId="23BECEB8" w14:textId="77777777" w:rsidR="007968EC" w:rsidRPr="002C0D19" w:rsidRDefault="007968EC" w:rsidP="00DA7472">
      <w:pPr>
        <w:numPr>
          <w:ilvl w:val="0"/>
          <w:numId w:val="123"/>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Manifiesta y acepta que en lo no previsto expresamente en la presente Oferta, se aplicará lo dispuesto en el Reglamento.</w:t>
      </w:r>
    </w:p>
    <w:p w14:paraId="6A0D2E86" w14:textId="77777777" w:rsidR="007968EC" w:rsidRPr="002C0D19" w:rsidRDefault="007968EC" w:rsidP="00DA7472">
      <w:pPr>
        <w:numPr>
          <w:ilvl w:val="0"/>
          <w:numId w:val="123"/>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lastRenderedPageBreak/>
        <w:t>Manifiesta que cumple con las condiciones y requisitos establecidos en el Reglamento para tener la calidad de Agente Custodio</w:t>
      </w:r>
      <w:r w:rsidRPr="002C0D19">
        <w:rPr>
          <w:rFonts w:ascii="Arial Narrow" w:hAnsi="Arial Narrow" w:cs="Arial"/>
          <w:b/>
          <w:color w:val="000000" w:themeColor="text1"/>
          <w:lang w:val="es-ES" w:eastAsia="es-ES"/>
        </w:rPr>
        <w:t>.</w:t>
      </w:r>
    </w:p>
    <w:p w14:paraId="16BEC80A" w14:textId="77777777" w:rsidR="007968EC" w:rsidRPr="002C0D19" w:rsidRDefault="007968EC" w:rsidP="00DA7472">
      <w:pPr>
        <w:numPr>
          <w:ilvl w:val="0"/>
          <w:numId w:val="123"/>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Autoriza a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para</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 xml:space="preserve">verificar, en cualquier momento, </w:t>
      </w:r>
      <w:r w:rsidRPr="002C0D19">
        <w:rPr>
          <w:rFonts w:ascii="Arial Narrow" w:hAnsi="Arial Narrow" w:cs="Arial"/>
          <w:color w:val="000000" w:themeColor="text1"/>
          <w:lang w:eastAsia="es-ES"/>
        </w:rPr>
        <w:t xml:space="preserve">el cumplimiento de los requisitos y condiciones que dieron lugar a su admisión como Agente. La verificación la puede hacer </w:t>
      </w:r>
      <w:r w:rsidRPr="002C0D19">
        <w:rPr>
          <w:rFonts w:ascii="Arial Narrow" w:hAnsi="Arial Narrow" w:cs="Arial"/>
          <w:b/>
          <w:color w:val="000000" w:themeColor="text1"/>
          <w:lang w:eastAsia="es-ES"/>
        </w:rPr>
        <w:t xml:space="preserve">LA CRCC </w:t>
      </w:r>
      <w:r w:rsidRPr="002C0D19">
        <w:rPr>
          <w:rFonts w:ascii="Arial Narrow" w:hAnsi="Arial Narrow" w:cs="Arial"/>
          <w:color w:val="000000" w:themeColor="text1"/>
          <w:lang w:eastAsia="es-ES"/>
        </w:rPr>
        <w:t xml:space="preserve">directamente o a través de un tercero especializado, según la materia o asunto a verificar, y el costo de dicha verificación podrá ser a cargo de </w:t>
      </w:r>
      <w:r w:rsidRPr="002C0D19">
        <w:rPr>
          <w:rFonts w:ascii="Arial Narrow" w:hAnsi="Arial Narrow" w:cs="Arial"/>
          <w:b/>
          <w:color w:val="000000" w:themeColor="text1"/>
          <w:lang w:eastAsia="es-ES"/>
        </w:rPr>
        <w:t>EL AGENTE CUSTODIO.</w:t>
      </w:r>
    </w:p>
    <w:p w14:paraId="300CD6B0" w14:textId="77777777" w:rsidR="007968EC" w:rsidRPr="002C0D19" w:rsidRDefault="007968EC" w:rsidP="00DA7472">
      <w:pPr>
        <w:numPr>
          <w:ilvl w:val="0"/>
          <w:numId w:val="123"/>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Autoriza expresa y formalmente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para que, en ejercicio de sus funciones, en su calidad de </w:t>
      </w:r>
      <w:r w:rsidRPr="002C0D19">
        <w:rPr>
          <w:rFonts w:ascii="Arial Narrow" w:hAnsi="Arial Narrow" w:cs="Arial"/>
          <w:b/>
          <w:color w:val="000000" w:themeColor="text1"/>
          <w:lang w:val="es-ES" w:eastAsia="es-ES"/>
        </w:rPr>
        <w:t>AGENTE CUSTODIO</w:t>
      </w:r>
      <w:r w:rsidRPr="002C0D19">
        <w:rPr>
          <w:rFonts w:ascii="Arial Narrow" w:hAnsi="Arial Narrow" w:cs="Arial"/>
          <w:color w:val="000000" w:themeColor="text1"/>
          <w:lang w:val="es-ES" w:eastAsia="es-ES"/>
        </w:rPr>
        <w:t xml:space="preserve"> de los Terceros</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de los Miembros Liquidadores y de los Miembros No Liquidadores, pueda debitar o acreditar automáticamente las cuentas de depósito de valores de las que son titulares los Terceros del</w:t>
      </w:r>
      <w:r w:rsidRPr="002C0D19">
        <w:rPr>
          <w:rFonts w:ascii="Arial Narrow" w:hAnsi="Arial Narrow" w:cs="Arial"/>
          <w:b/>
          <w:color w:val="000000" w:themeColor="text1"/>
          <w:lang w:eastAsia="es-ES"/>
        </w:rPr>
        <w:t xml:space="preserve"> EL AGENTE CUSTODIO </w:t>
      </w:r>
      <w:r w:rsidRPr="002C0D19">
        <w:rPr>
          <w:rFonts w:ascii="Arial Narrow" w:hAnsi="Arial Narrow" w:cs="Arial"/>
          <w:color w:val="000000" w:themeColor="text1"/>
          <w:lang w:eastAsia="es-ES"/>
        </w:rPr>
        <w:t>ante los</w:t>
      </w:r>
      <w:r w:rsidRPr="002C0D19">
        <w:rPr>
          <w:rFonts w:ascii="Arial Narrow" w:hAnsi="Arial Narrow" w:cs="Arial"/>
          <w:b/>
          <w:color w:val="000000" w:themeColor="text1"/>
          <w:lang w:eastAsia="es-ES"/>
        </w:rPr>
        <w:t xml:space="preserve"> </w:t>
      </w:r>
      <w:r w:rsidRPr="002C0D19">
        <w:rPr>
          <w:rFonts w:ascii="Arial Narrow" w:hAnsi="Arial Narrow" w:cs="Arial"/>
          <w:color w:val="000000" w:themeColor="text1"/>
          <w:lang w:eastAsia="es-ES"/>
        </w:rPr>
        <w:t>depósitos</w:t>
      </w:r>
      <w:r w:rsidRPr="002C0D19">
        <w:rPr>
          <w:rFonts w:ascii="Arial Narrow" w:hAnsi="Arial Narrow" w:cs="Arial"/>
          <w:b/>
          <w:color w:val="000000" w:themeColor="text1"/>
          <w:lang w:eastAsia="es-ES"/>
        </w:rPr>
        <w:t xml:space="preserve"> </w:t>
      </w:r>
      <w:r w:rsidRPr="002C0D19">
        <w:rPr>
          <w:rFonts w:ascii="Arial Narrow" w:hAnsi="Arial Narrow" w:cs="Arial"/>
          <w:color w:val="000000" w:themeColor="text1"/>
          <w:lang w:val="es-ES" w:eastAsia="es-ES"/>
        </w:rPr>
        <w:t>centralizados de valores, incluyendo la cuentas de depósito de la que son titulares los Terceros en calidad de Depositantes Indirectos, sin perjuicio de las responsabilidades de los Miembros Liquidadores bajo el Reglamento.</w:t>
      </w:r>
    </w:p>
    <w:p w14:paraId="7794FA79" w14:textId="77777777" w:rsidR="007968EC" w:rsidRPr="002C0D19" w:rsidRDefault="007968EC" w:rsidP="00DA7472">
      <w:pPr>
        <w:numPr>
          <w:ilvl w:val="0"/>
          <w:numId w:val="123"/>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Autoriza a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 xml:space="preserve">para transmitir información de </w:t>
      </w:r>
      <w:r w:rsidRPr="002C0D19">
        <w:rPr>
          <w:rFonts w:ascii="Arial Narrow" w:hAnsi="Arial Narrow" w:cs="Arial"/>
          <w:b/>
          <w:color w:val="000000" w:themeColor="text1"/>
          <w:lang w:eastAsia="es-ES"/>
        </w:rPr>
        <w:t>EL AGENTE CUSTODIO</w:t>
      </w:r>
      <w:r w:rsidRPr="002C0D19">
        <w:rPr>
          <w:rFonts w:ascii="Arial Narrow" w:hAnsi="Arial Narrow" w:cs="Arial"/>
          <w:color w:val="000000" w:themeColor="text1"/>
          <w:lang w:val="es-ES" w:eastAsia="es-ES"/>
        </w:rPr>
        <w:t xml:space="preserve"> a las autoridades u organismos competentes que se lo soliciten. </w:t>
      </w:r>
    </w:p>
    <w:p w14:paraId="2959DA50" w14:textId="77777777" w:rsidR="007968EC" w:rsidRPr="002C0D19" w:rsidRDefault="007968EC" w:rsidP="00DA7472">
      <w:pPr>
        <w:numPr>
          <w:ilvl w:val="0"/>
          <w:numId w:val="123"/>
        </w:numPr>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Autoriza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w:t>
      </w:r>
      <w:r w:rsidRPr="002C0D19">
        <w:rPr>
          <w:rFonts w:ascii="Arial Narrow" w:hAnsi="Arial Narrow" w:cs="Arial"/>
          <w:color w:val="000000" w:themeColor="text1"/>
          <w:lang w:eastAsia="es-ES"/>
        </w:rPr>
        <w:t xml:space="preserve">para que todas las comunicaciones telefónicas que </w:t>
      </w:r>
      <w:r w:rsidRPr="002C0D19">
        <w:rPr>
          <w:rFonts w:ascii="Arial Narrow" w:hAnsi="Arial Narrow" w:cs="Arial"/>
          <w:color w:val="000000" w:themeColor="text1"/>
          <w:lang w:val="es-ES" w:eastAsia="es-ES"/>
        </w:rPr>
        <w:t>sus funcionarios, operadores, empleados, contratistas, subcontratistas y/o dependientes</w:t>
      </w:r>
      <w:r w:rsidRPr="002C0D19">
        <w:rPr>
          <w:rFonts w:ascii="Arial Narrow" w:hAnsi="Arial Narrow" w:cs="Arial"/>
          <w:color w:val="000000" w:themeColor="text1"/>
          <w:lang w:eastAsia="es-ES"/>
        </w:rPr>
        <w:t xml:space="preserve"> tengan con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sean grabadas y que las mismas, en caso de requerirse, puedan ser presentadas como medio de prueba. </w:t>
      </w:r>
    </w:p>
    <w:p w14:paraId="7718E755" w14:textId="77777777" w:rsidR="007968EC" w:rsidRPr="002C0D19" w:rsidRDefault="007968EC" w:rsidP="007968EC">
      <w:pPr>
        <w:jc w:val="both"/>
        <w:rPr>
          <w:rFonts w:ascii="Arial Narrow" w:hAnsi="Arial Narrow" w:cs="Arial"/>
          <w:b/>
          <w:color w:val="000000" w:themeColor="text1"/>
          <w:u w:val="single"/>
          <w:lang w:val="es-ES" w:eastAsia="es-ES"/>
        </w:rPr>
      </w:pPr>
    </w:p>
    <w:p w14:paraId="116F9188" w14:textId="77777777" w:rsidR="007968EC" w:rsidRPr="002C0D19" w:rsidRDefault="007968EC" w:rsidP="007968EC">
      <w:pPr>
        <w:jc w:val="both"/>
        <w:rPr>
          <w:rFonts w:ascii="Arial Narrow" w:hAnsi="Arial Narrow" w:cs="Arial"/>
          <w:b/>
          <w:color w:val="000000" w:themeColor="text1"/>
          <w:lang w:val="es-ES" w:eastAsia="es-ES"/>
        </w:rPr>
      </w:pPr>
      <w:r w:rsidRPr="002C0D19">
        <w:rPr>
          <w:rFonts w:ascii="Arial Narrow" w:hAnsi="Arial Narrow" w:cs="Arial"/>
          <w:b/>
          <w:color w:val="000000" w:themeColor="text1"/>
          <w:u w:val="single"/>
          <w:lang w:val="es-ES" w:eastAsia="es-ES"/>
        </w:rPr>
        <w:t>TERCERA. Obligaciones de EL AGENTE CUSTODIO.</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Sin perjuicio</w:t>
      </w:r>
      <w:r w:rsidRPr="002C0D19">
        <w:rPr>
          <w:rFonts w:ascii="Arial Narrow" w:hAnsi="Arial Narrow" w:cs="Arial"/>
          <w:b/>
          <w:color w:val="000000" w:themeColor="text1"/>
          <w:lang w:val="es-ES" w:eastAsia="es-ES"/>
        </w:rPr>
        <w:t xml:space="preserve"> </w:t>
      </w:r>
      <w:r w:rsidRPr="002C0D19">
        <w:rPr>
          <w:rFonts w:ascii="Arial Narrow" w:hAnsi="Arial Narrow" w:cs="Arial"/>
          <w:bCs/>
          <w:color w:val="000000" w:themeColor="text1"/>
          <w:lang w:eastAsia="es-ES"/>
        </w:rPr>
        <w:t xml:space="preserve">de las obligaciones previstas en las demás cláusulas de la presente Oferta, en el </w:t>
      </w:r>
      <w:r w:rsidRPr="002C0D19">
        <w:rPr>
          <w:rFonts w:ascii="Arial Narrow" w:hAnsi="Arial Narrow" w:cs="Arial"/>
          <w:color w:val="000000" w:themeColor="text1"/>
          <w:lang w:val="es-ES" w:eastAsia="es-ES"/>
        </w:rPr>
        <w:t xml:space="preserve">Reglamento, en las Circulares y en los Instructivos Operativos de </w:t>
      </w:r>
      <w:r w:rsidRPr="002C0D19">
        <w:rPr>
          <w:rFonts w:ascii="Arial Narrow" w:hAnsi="Arial Narrow" w:cs="Arial"/>
          <w:b/>
          <w:color w:val="000000" w:themeColor="text1"/>
          <w:lang w:val="es-ES" w:eastAsia="es-ES"/>
        </w:rPr>
        <w:t>LA CRCC,</w:t>
      </w:r>
      <w:r w:rsidRPr="002C0D19">
        <w:rPr>
          <w:rFonts w:ascii="Arial Narrow" w:hAnsi="Arial Narrow" w:cs="Arial"/>
          <w:bCs/>
          <w:color w:val="000000" w:themeColor="text1"/>
          <w:lang w:eastAsia="es-ES"/>
        </w:rPr>
        <w:t xml:space="preserve"> son obligaciones principales de </w:t>
      </w:r>
      <w:r w:rsidRPr="002C0D19">
        <w:rPr>
          <w:rFonts w:ascii="Arial Narrow" w:hAnsi="Arial Narrow" w:cs="Arial"/>
          <w:b/>
          <w:bCs/>
          <w:color w:val="000000" w:themeColor="text1"/>
          <w:lang w:eastAsia="es-ES"/>
        </w:rPr>
        <w:t xml:space="preserve">EL AGENTE CUSTODIO, </w:t>
      </w:r>
      <w:r w:rsidRPr="002C0D19">
        <w:rPr>
          <w:rFonts w:ascii="Arial Narrow" w:hAnsi="Arial Narrow" w:cs="Arial"/>
          <w:bCs/>
          <w:color w:val="000000" w:themeColor="text1"/>
          <w:lang w:eastAsia="es-ES"/>
        </w:rPr>
        <w:t>las siguientes:</w:t>
      </w:r>
      <w:r w:rsidRPr="002C0D19">
        <w:rPr>
          <w:rFonts w:ascii="Arial Narrow" w:hAnsi="Arial Narrow" w:cs="Arial"/>
          <w:b/>
          <w:color w:val="000000" w:themeColor="text1"/>
          <w:lang w:val="es-ES" w:eastAsia="es-ES"/>
        </w:rPr>
        <w:t xml:space="preserve"> </w:t>
      </w:r>
    </w:p>
    <w:p w14:paraId="002EC662" w14:textId="77777777" w:rsidR="007968EC" w:rsidRPr="002C0D19" w:rsidRDefault="007968EC" w:rsidP="007968EC">
      <w:pPr>
        <w:jc w:val="both"/>
        <w:rPr>
          <w:rFonts w:ascii="Arial Narrow" w:hAnsi="Arial Narrow" w:cs="Arial"/>
          <w:b/>
          <w:color w:val="000000" w:themeColor="text1"/>
          <w:lang w:val="es-ES" w:eastAsia="es-ES"/>
        </w:rPr>
      </w:pPr>
    </w:p>
    <w:p w14:paraId="1D7D4504" w14:textId="77777777" w:rsidR="007968EC" w:rsidRPr="002C0D19" w:rsidRDefault="007968EC" w:rsidP="00DA7472">
      <w:pPr>
        <w:numPr>
          <w:ilvl w:val="0"/>
          <w:numId w:val="124"/>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Cumplir y mantener en todo momento los requisitos generales y especiales de admisión como Agente.</w:t>
      </w:r>
    </w:p>
    <w:p w14:paraId="69CD72C2" w14:textId="77777777" w:rsidR="007968EC" w:rsidRPr="002C0D19" w:rsidRDefault="007968EC" w:rsidP="00DA7472">
      <w:pPr>
        <w:numPr>
          <w:ilvl w:val="0"/>
          <w:numId w:val="124"/>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Cumplir y hacer cumplir estrictamente a las personas vinculadas a </w:t>
      </w:r>
      <w:r w:rsidRPr="002C0D19">
        <w:rPr>
          <w:rFonts w:ascii="Arial Narrow" w:hAnsi="Arial Narrow" w:cs="Arial"/>
          <w:b/>
          <w:color w:val="000000" w:themeColor="text1"/>
          <w:lang w:eastAsia="es-ES"/>
        </w:rPr>
        <w:t>EL AGENTE CUSTODIO</w:t>
      </w:r>
      <w:r w:rsidRPr="002C0D19">
        <w:rPr>
          <w:rFonts w:ascii="Arial Narrow" w:hAnsi="Arial Narrow" w:cs="Arial"/>
          <w:color w:val="000000" w:themeColor="text1"/>
          <w:lang w:val="es-ES" w:eastAsia="es-ES"/>
        </w:rPr>
        <w:t xml:space="preserve">, sin restricciones ni reservas, la Ley, las instrucciones de las Autoridades Competentes, el Reglamento, las Circulares e Instructivos Operativos, la presente Oferta de Servicios, los Convenios con los Miembros y  todas aquellas decisiones que, en uso de sus atribuciones, adopten la Junta Directiva y/o el Gerente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para reglamentar su funcionamiento, divulgadas de conformidad con el Reglamento, sin que sirva de excusa o defensa la ignorancia de dichas normas o instrucciones. Lo anterior se extiende a cualquier modificación o adición que cualquier autoridad competente pueda imponer, así como a las modificaciones que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pueda introducir con la autorización de la Superintendencia Financiera de Colombia.</w:t>
      </w:r>
    </w:p>
    <w:p w14:paraId="09B86F92" w14:textId="77777777" w:rsidR="007968EC" w:rsidRPr="002C0D19" w:rsidRDefault="007968EC" w:rsidP="00DA7472">
      <w:pPr>
        <w:numPr>
          <w:ilvl w:val="0"/>
          <w:numId w:val="124"/>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Informar inmediatamente y por escrito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w:t>
      </w:r>
      <w:r w:rsidRPr="002C0D19">
        <w:rPr>
          <w:rFonts w:ascii="Arial Narrow" w:hAnsi="Arial Narrow" w:cs="Arial"/>
          <w:color w:val="000000" w:themeColor="text1"/>
          <w:lang w:eastAsia="es-ES"/>
        </w:rPr>
        <w:t xml:space="preserve">sobre </w:t>
      </w:r>
      <w:r w:rsidRPr="002C0D19">
        <w:rPr>
          <w:rFonts w:ascii="Arial Narrow" w:hAnsi="Arial Narrow" w:cs="Arial"/>
          <w:color w:val="000000" w:themeColor="text1"/>
          <w:lang w:val="es-ES" w:eastAsia="es-ES"/>
        </w:rPr>
        <w:t>cualquier modificación que afecte los requisitos especiales que llevaron a su admisión como Agente.</w:t>
      </w:r>
    </w:p>
    <w:p w14:paraId="039CE785" w14:textId="77777777" w:rsidR="007968EC" w:rsidRPr="002C0D19" w:rsidRDefault="007968EC" w:rsidP="00DA7472">
      <w:pPr>
        <w:numPr>
          <w:ilvl w:val="0"/>
          <w:numId w:val="124"/>
        </w:numPr>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Celebrar un Convenio con cada uno de los Miembros Liquidadores por cuenta de los Terceros que lo designen para actuar como </w:t>
      </w:r>
      <w:r w:rsidRPr="002C0D19">
        <w:rPr>
          <w:rFonts w:ascii="Arial Narrow" w:hAnsi="Arial Narrow" w:cs="Arial"/>
          <w:b/>
          <w:color w:val="000000" w:themeColor="text1"/>
          <w:lang w:val="es-ES" w:eastAsia="es-ES"/>
        </w:rPr>
        <w:t>AGENTE CUSTODIO,</w:t>
      </w:r>
      <w:r w:rsidRPr="002C0D19">
        <w:rPr>
          <w:rFonts w:ascii="Arial Narrow" w:hAnsi="Arial Narrow" w:cs="Arial"/>
          <w:color w:val="000000" w:themeColor="text1"/>
          <w:lang w:val="es-ES" w:eastAsia="es-ES"/>
        </w:rPr>
        <w:t xml:space="preserve"> según modelo establecido por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el cual deberá incluir las condiciones mínimas establecidas en el Reglamento. </w:t>
      </w:r>
    </w:p>
    <w:p w14:paraId="356A84A0" w14:textId="77777777" w:rsidR="007968EC" w:rsidRPr="002C0D19" w:rsidRDefault="007968EC" w:rsidP="00DA7472">
      <w:pPr>
        <w:numPr>
          <w:ilvl w:val="0"/>
          <w:numId w:val="124"/>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Informar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sobre los Convenios que suscriba o termine con cualquier Miembro Liquidador por cuenta de los Terceros.</w:t>
      </w:r>
    </w:p>
    <w:p w14:paraId="526EC783" w14:textId="77777777" w:rsidR="007968EC" w:rsidRPr="002C0D19" w:rsidRDefault="007968EC" w:rsidP="00DA7472">
      <w:pPr>
        <w:numPr>
          <w:ilvl w:val="0"/>
          <w:numId w:val="124"/>
        </w:numPr>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Entregar a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a</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los Miembros</w:t>
      </w:r>
      <w:r w:rsidRPr="002C0D19">
        <w:rPr>
          <w:rFonts w:ascii="Arial Narrow" w:hAnsi="Arial Narrow" w:cs="Arial"/>
          <w:b/>
          <w:color w:val="000000" w:themeColor="text1"/>
          <w:lang w:val="es-ES" w:eastAsia="es-ES"/>
        </w:rPr>
        <w:t>,</w:t>
      </w:r>
      <w:r w:rsidRPr="002C0D19">
        <w:rPr>
          <w:rFonts w:ascii="Arial Narrow" w:hAnsi="Arial Narrow" w:cs="Arial"/>
          <w:color w:val="000000" w:themeColor="text1"/>
          <w:lang w:val="es-ES" w:eastAsia="es-ES"/>
        </w:rPr>
        <w:t xml:space="preserve"> o a las Autoridades Competentes directamente, la información que se le solicite sobre los Miembros y sus Terceros, con quienes </w:t>
      </w:r>
      <w:r w:rsidRPr="002C0D19">
        <w:rPr>
          <w:rFonts w:ascii="Arial Narrow" w:hAnsi="Arial Narrow" w:cs="Arial"/>
          <w:b/>
          <w:color w:val="000000" w:themeColor="text1"/>
          <w:lang w:eastAsia="es-ES"/>
        </w:rPr>
        <w:t xml:space="preserve">EL AGENTE CUSTODIO </w:t>
      </w:r>
      <w:r w:rsidRPr="002C0D19">
        <w:rPr>
          <w:rFonts w:ascii="Arial Narrow" w:hAnsi="Arial Narrow" w:cs="Arial"/>
          <w:color w:val="000000" w:themeColor="text1"/>
          <w:lang w:val="es-ES" w:eastAsia="es-ES"/>
        </w:rPr>
        <w:t>tiene Convenio</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 xml:space="preserve">para la atención de requerimientos que las Autoridades Competentes le hagan a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o a los Miembros Liquidadores.</w:t>
      </w:r>
    </w:p>
    <w:p w14:paraId="7EE8E12D" w14:textId="77777777" w:rsidR="007968EC" w:rsidRPr="002C0D19" w:rsidRDefault="007968EC" w:rsidP="00DA7472">
      <w:pPr>
        <w:numPr>
          <w:ilvl w:val="0"/>
          <w:numId w:val="124"/>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lastRenderedPageBreak/>
        <w:t xml:space="preserve">Entregar efectivamente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los valores entregados por los Terceros, de los Miembros Liquidadores y/o Miembros no Liquidadores, que lo designen como Agente Custodio,</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 xml:space="preserve">para cumplir con obligaciones derivadas de la compensación y liquidación de sus cuentas. Así mismo, entregar los valores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en el evento en que ésta, en aplicación del Reglamento, se lo demande. En todo caso,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podrá, en cualquier momento, ordenar a </w:t>
      </w:r>
      <w:r w:rsidRPr="002C0D19">
        <w:rPr>
          <w:rFonts w:ascii="Arial Narrow" w:hAnsi="Arial Narrow" w:cs="Arial"/>
          <w:b/>
          <w:color w:val="000000" w:themeColor="text1"/>
          <w:lang w:val="es-ES" w:eastAsia="es-ES"/>
        </w:rPr>
        <w:t xml:space="preserve">EL AGENTE CUSTODIO </w:t>
      </w:r>
      <w:r w:rsidRPr="002C0D19">
        <w:rPr>
          <w:rFonts w:ascii="Arial Narrow" w:hAnsi="Arial Narrow" w:cs="Arial"/>
          <w:color w:val="000000" w:themeColor="text1"/>
          <w:lang w:val="es-ES" w:eastAsia="es-ES"/>
        </w:rPr>
        <w:t>el traslado de los valores a otra cuenta.</w:t>
      </w:r>
    </w:p>
    <w:p w14:paraId="47136D77" w14:textId="77777777" w:rsidR="007968EC" w:rsidRPr="002C0D19" w:rsidRDefault="007968EC" w:rsidP="00DA7472">
      <w:pPr>
        <w:numPr>
          <w:ilvl w:val="0"/>
          <w:numId w:val="124"/>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Responder ante los Terceros de los Miembros, frente a los que actúa en su calidad de Agente Custodio, por las obligaciones establecidas en los Convenios celebrados con los Miembros por cuenta de sus Terceros, con el fin de que éstos cumplan las obligaciones resultantes de las Operaciones Aceptadas por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sin perjuicio de las obligaciones de los Miembros frente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establecidas en el Reglamento.</w:t>
      </w:r>
    </w:p>
    <w:p w14:paraId="4F5B3A48" w14:textId="77777777" w:rsidR="007968EC" w:rsidRPr="002C0D19" w:rsidRDefault="007968EC" w:rsidP="00DA7472">
      <w:pPr>
        <w:numPr>
          <w:ilvl w:val="0"/>
          <w:numId w:val="124"/>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Reportar a los Miembros el Incumplimiento de los Terceros y de toda su estructura de cuentas que lo designaron como Agente Custodio, si es el caso, respecto de la entrega de valores que les corresponda en virtud de las operaciones registradas en las cuentas que liquidan los Miembros Liquidadores.</w:t>
      </w:r>
    </w:p>
    <w:p w14:paraId="79D7C401" w14:textId="77777777" w:rsidR="007968EC" w:rsidRPr="002C0D19" w:rsidRDefault="007968EC" w:rsidP="00DA7472">
      <w:pPr>
        <w:numPr>
          <w:ilvl w:val="0"/>
          <w:numId w:val="124"/>
        </w:numPr>
        <w:jc w:val="both"/>
        <w:rPr>
          <w:rFonts w:ascii="Arial Narrow" w:hAnsi="Arial Narrow" w:cs="Arial"/>
          <w:color w:val="000000" w:themeColor="text1"/>
          <w:lang w:val="es-ES" w:eastAsia="es-ES"/>
        </w:rPr>
      </w:pPr>
      <w:r w:rsidRPr="002C0D19">
        <w:rPr>
          <w:rFonts w:ascii="Arial Narrow" w:hAnsi="Arial Narrow" w:cs="Arial"/>
          <w:color w:val="000000" w:themeColor="text1"/>
          <w:lang w:eastAsia="es-ES"/>
        </w:rPr>
        <w:t>Mantener</w:t>
      </w:r>
      <w:r w:rsidRPr="002C0D19">
        <w:rPr>
          <w:rFonts w:ascii="Arial Narrow" w:hAnsi="Arial Narrow" w:cs="Arial"/>
          <w:color w:val="000000" w:themeColor="text1"/>
          <w:lang w:val="es-ES" w:eastAsia="es-ES"/>
        </w:rPr>
        <w:t xml:space="preserve"> las cuentas de depósito de valores arriba indicadas. </w:t>
      </w:r>
    </w:p>
    <w:p w14:paraId="6587511F" w14:textId="77777777" w:rsidR="007968EC" w:rsidRPr="002C0D19" w:rsidRDefault="007968EC" w:rsidP="00DA7472">
      <w:pPr>
        <w:numPr>
          <w:ilvl w:val="0"/>
          <w:numId w:val="124"/>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Facilitar las actividades de comprobación de requisitos, cumplimiento de obligaciones o similares, que lleve a cabo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 xml:space="preserve">en desarrollo de sus funciones. </w:t>
      </w:r>
    </w:p>
    <w:p w14:paraId="13400EB8" w14:textId="77777777" w:rsidR="007968EC" w:rsidRPr="002C0D19" w:rsidRDefault="007968EC" w:rsidP="00DA7472">
      <w:pPr>
        <w:numPr>
          <w:ilvl w:val="0"/>
          <w:numId w:val="124"/>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Entregar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la información que ésta solicite en cumplimiento de sus funciones. </w:t>
      </w:r>
    </w:p>
    <w:p w14:paraId="1B81775F" w14:textId="77777777" w:rsidR="007968EC" w:rsidRPr="002C0D19" w:rsidRDefault="007968EC" w:rsidP="00DA7472">
      <w:pPr>
        <w:numPr>
          <w:ilvl w:val="0"/>
          <w:numId w:val="124"/>
        </w:numPr>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Cumplir en todo momento con las especificaciones técnicas establecidas por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w:t>
      </w:r>
    </w:p>
    <w:p w14:paraId="50CD38C6" w14:textId="77777777" w:rsidR="007968EC" w:rsidRPr="002C0D19" w:rsidRDefault="007968EC" w:rsidP="007968EC">
      <w:pPr>
        <w:ind w:left="360"/>
        <w:jc w:val="both"/>
        <w:rPr>
          <w:rFonts w:ascii="Arial Narrow" w:hAnsi="Arial Narrow" w:cs="Arial"/>
          <w:color w:val="000000" w:themeColor="text1"/>
          <w:lang w:val="es-ES" w:eastAsia="es-ES"/>
        </w:rPr>
      </w:pPr>
    </w:p>
    <w:p w14:paraId="6C07E5C9" w14:textId="77777777" w:rsidR="007968EC" w:rsidRPr="002C0D19" w:rsidRDefault="007968EC" w:rsidP="007968EC">
      <w:pPr>
        <w:ind w:left="360"/>
        <w:jc w:val="both"/>
        <w:rPr>
          <w:rFonts w:ascii="Arial Narrow" w:hAnsi="Arial Narrow" w:cs="Arial"/>
          <w:color w:val="000000" w:themeColor="text1"/>
          <w:lang w:val="es-ES" w:eastAsia="es-ES"/>
        </w:rPr>
      </w:pPr>
    </w:p>
    <w:p w14:paraId="06073267"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es-ES" w:eastAsia="es-ES"/>
        </w:rPr>
        <w:t>CUARTA. Obligaciones de LA CRCC.</w:t>
      </w:r>
      <w:r w:rsidRPr="002C0D19">
        <w:rPr>
          <w:rFonts w:ascii="Arial Narrow" w:hAnsi="Arial Narrow" w:cs="Arial"/>
          <w:color w:val="000000" w:themeColor="text1"/>
          <w:lang w:val="es-ES" w:eastAsia="es-ES"/>
        </w:rPr>
        <w:t>  Sin perjuicio</w:t>
      </w:r>
      <w:r w:rsidRPr="002C0D19">
        <w:rPr>
          <w:rFonts w:ascii="Arial Narrow" w:hAnsi="Arial Narrow" w:cs="Arial"/>
          <w:b/>
          <w:color w:val="000000" w:themeColor="text1"/>
          <w:lang w:val="es-ES" w:eastAsia="es-ES"/>
        </w:rPr>
        <w:t xml:space="preserve"> </w:t>
      </w:r>
      <w:r w:rsidRPr="002C0D19">
        <w:rPr>
          <w:rFonts w:ascii="Arial Narrow" w:hAnsi="Arial Narrow" w:cs="Arial"/>
          <w:bCs/>
          <w:color w:val="000000" w:themeColor="text1"/>
          <w:lang w:eastAsia="es-ES"/>
        </w:rPr>
        <w:t xml:space="preserve">de las obligaciones previstas en las demás cláusulas de la presente Oferta, en el </w:t>
      </w:r>
      <w:r w:rsidRPr="002C0D19">
        <w:rPr>
          <w:rFonts w:ascii="Arial Narrow" w:hAnsi="Arial Narrow" w:cs="Arial"/>
          <w:color w:val="000000" w:themeColor="text1"/>
          <w:lang w:val="es-ES" w:eastAsia="es-ES"/>
        </w:rPr>
        <w:t xml:space="preserve">Reglamento, en las Circulares y en los Instructivos Operativos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w:t>
      </w:r>
      <w:r w:rsidRPr="002C0D19">
        <w:rPr>
          <w:rFonts w:ascii="Arial Narrow" w:hAnsi="Arial Narrow" w:cs="Arial"/>
          <w:bCs/>
          <w:color w:val="000000" w:themeColor="text1"/>
          <w:lang w:eastAsia="es-ES"/>
        </w:rPr>
        <w:t xml:space="preserve"> son obligaciones principales de </w:t>
      </w:r>
      <w:r w:rsidRPr="002C0D19">
        <w:rPr>
          <w:rFonts w:ascii="Arial Narrow" w:hAnsi="Arial Narrow" w:cs="Arial"/>
          <w:b/>
          <w:bCs/>
          <w:color w:val="000000" w:themeColor="text1"/>
          <w:lang w:eastAsia="es-ES"/>
        </w:rPr>
        <w:t>LA CRCC</w:t>
      </w:r>
      <w:r w:rsidRPr="002C0D19">
        <w:rPr>
          <w:rFonts w:ascii="Arial Narrow" w:hAnsi="Arial Narrow" w:cs="Arial"/>
          <w:bCs/>
          <w:color w:val="000000" w:themeColor="text1"/>
          <w:lang w:eastAsia="es-ES"/>
        </w:rPr>
        <w:t>,</w:t>
      </w:r>
      <w:r w:rsidRPr="002C0D19">
        <w:rPr>
          <w:rFonts w:ascii="Arial Narrow" w:hAnsi="Arial Narrow" w:cs="Arial"/>
          <w:b/>
          <w:bCs/>
          <w:color w:val="000000" w:themeColor="text1"/>
          <w:lang w:eastAsia="es-ES"/>
        </w:rPr>
        <w:t xml:space="preserve"> </w:t>
      </w:r>
      <w:r w:rsidRPr="002C0D19">
        <w:rPr>
          <w:rFonts w:ascii="Arial Narrow" w:hAnsi="Arial Narrow" w:cs="Arial"/>
          <w:bCs/>
          <w:color w:val="000000" w:themeColor="text1"/>
          <w:lang w:eastAsia="es-ES"/>
        </w:rPr>
        <w:t>las siguientes:</w:t>
      </w:r>
    </w:p>
    <w:p w14:paraId="5D255FED" w14:textId="77777777" w:rsidR="007968EC" w:rsidRPr="002C0D19" w:rsidRDefault="007968EC" w:rsidP="007968EC">
      <w:pPr>
        <w:ind w:left="720"/>
        <w:jc w:val="both"/>
        <w:rPr>
          <w:rFonts w:ascii="Arial Narrow" w:hAnsi="Arial Narrow" w:cs="Arial"/>
          <w:color w:val="000000" w:themeColor="text1"/>
          <w:lang w:val="es-ES" w:eastAsia="es-ES"/>
        </w:rPr>
      </w:pPr>
    </w:p>
    <w:p w14:paraId="7DDDDE03" w14:textId="77777777" w:rsidR="007968EC" w:rsidRPr="002C0D19" w:rsidRDefault="007968EC" w:rsidP="00DA7472">
      <w:pPr>
        <w:numPr>
          <w:ilvl w:val="0"/>
          <w:numId w:val="125"/>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Reconocer a </w:t>
      </w:r>
      <w:r w:rsidRPr="002C0D19">
        <w:rPr>
          <w:rFonts w:ascii="Arial Narrow" w:hAnsi="Arial Narrow" w:cs="Arial"/>
          <w:b/>
          <w:color w:val="000000" w:themeColor="text1"/>
          <w:lang w:val="es-ES" w:eastAsia="es-ES"/>
        </w:rPr>
        <w:t>EL AGENTE CUSTODIO</w:t>
      </w:r>
      <w:r w:rsidRPr="002C0D19">
        <w:rPr>
          <w:rFonts w:ascii="Arial Narrow" w:hAnsi="Arial Narrow" w:cs="Arial"/>
          <w:color w:val="000000" w:themeColor="text1"/>
          <w:lang w:val="es-ES" w:eastAsia="es-ES"/>
        </w:rPr>
        <w:t xml:space="preserve"> el derecho a actuar en tal calidad en relación con los Terceros de los Miembros Liquidadores y Miembros no Liquidadores y de su estructura de cuentas que así lo designen, conforme a las disposiciones del Reglamento y a las estipulaciones de la presente Oferta. </w:t>
      </w:r>
    </w:p>
    <w:p w14:paraId="439B0DE7" w14:textId="77777777" w:rsidR="007968EC" w:rsidRPr="002C0D19" w:rsidRDefault="007968EC" w:rsidP="00DA7472">
      <w:pPr>
        <w:numPr>
          <w:ilvl w:val="0"/>
          <w:numId w:val="125"/>
        </w:numPr>
        <w:ind w:right="-42"/>
        <w:jc w:val="both"/>
        <w:rPr>
          <w:rFonts w:ascii="Arial Narrow" w:hAnsi="Arial Narrow" w:cs="Arial"/>
          <w:color w:val="000000" w:themeColor="text1"/>
          <w:spacing w:val="-3"/>
          <w:lang w:eastAsia="es-ES"/>
        </w:rPr>
      </w:pPr>
      <w:r w:rsidRPr="002C0D19">
        <w:rPr>
          <w:rFonts w:ascii="Arial Narrow" w:hAnsi="Arial Narrow" w:cs="Arial"/>
          <w:color w:val="000000" w:themeColor="text1"/>
          <w:spacing w:val="-3"/>
          <w:lang w:eastAsia="es-ES"/>
        </w:rPr>
        <w:t xml:space="preserve">Velar porque el Sistema a través del cual presta sus servicios, opere de manera eficaz y segura. </w:t>
      </w:r>
    </w:p>
    <w:p w14:paraId="2E7137A7" w14:textId="77777777" w:rsidR="007968EC" w:rsidRPr="002C0D19" w:rsidRDefault="007968EC" w:rsidP="00DA7472">
      <w:pPr>
        <w:numPr>
          <w:ilvl w:val="0"/>
          <w:numId w:val="125"/>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Informar a </w:t>
      </w:r>
      <w:r w:rsidRPr="002C0D19">
        <w:rPr>
          <w:rFonts w:ascii="Arial Narrow" w:hAnsi="Arial Narrow" w:cs="Arial"/>
          <w:b/>
          <w:color w:val="000000" w:themeColor="text1"/>
          <w:lang w:val="es-ES" w:eastAsia="es-ES"/>
        </w:rPr>
        <w:t>EL AGENTE CUSTODIO,</w:t>
      </w:r>
      <w:r w:rsidRPr="002C0D19">
        <w:rPr>
          <w:rFonts w:ascii="Arial Narrow" w:hAnsi="Arial Narrow" w:cs="Arial"/>
          <w:color w:val="000000" w:themeColor="text1"/>
          <w:lang w:val="es-ES" w:eastAsia="es-ES"/>
        </w:rPr>
        <w:t xml:space="preserve"> en la medida que sea legalmente posible, sobre solicitudes que le hayan hecho las Autoridades Competentes en relación con información del mismo o de los Terceros.</w:t>
      </w:r>
    </w:p>
    <w:p w14:paraId="4870C840" w14:textId="77777777" w:rsidR="007968EC" w:rsidRPr="002C0D19" w:rsidRDefault="007968EC" w:rsidP="007968EC">
      <w:pPr>
        <w:jc w:val="both"/>
        <w:rPr>
          <w:rFonts w:ascii="Arial Narrow" w:hAnsi="Arial Narrow" w:cs="Arial"/>
          <w:b/>
          <w:bCs/>
          <w:color w:val="000000" w:themeColor="text1"/>
          <w:lang w:val="es-ES" w:eastAsia="es-ES"/>
        </w:rPr>
      </w:pPr>
    </w:p>
    <w:p w14:paraId="29BF1D23"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b/>
          <w:bCs/>
          <w:color w:val="000000" w:themeColor="text1"/>
          <w:u w:val="single"/>
          <w:lang w:val="es-ES" w:eastAsia="es-ES"/>
        </w:rPr>
        <w:t>QUINTA. Vigencia.</w:t>
      </w:r>
      <w:r w:rsidRPr="002C0D19">
        <w:rPr>
          <w:rFonts w:ascii="Arial Narrow" w:hAnsi="Arial Narrow" w:cs="Arial"/>
          <w:b/>
          <w:bCs/>
          <w:color w:val="000000" w:themeColor="text1"/>
          <w:lang w:val="es-ES" w:eastAsia="es-ES"/>
        </w:rPr>
        <w:t xml:space="preserve">  </w:t>
      </w:r>
      <w:r w:rsidRPr="002C0D19">
        <w:rPr>
          <w:rFonts w:ascii="Arial Narrow" w:hAnsi="Arial Narrow" w:cs="Arial"/>
          <w:color w:val="000000" w:themeColor="text1"/>
          <w:lang w:eastAsia="es-ES"/>
        </w:rPr>
        <w:t xml:space="preserve">La presente Oferta estará vigente por un término de sesenta (60) días calendario, contados a partir del envío de la misma por parte de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a </w:t>
      </w:r>
      <w:r w:rsidRPr="002C0D19">
        <w:rPr>
          <w:rFonts w:ascii="Arial Narrow" w:hAnsi="Arial Narrow" w:cs="Arial"/>
          <w:b/>
          <w:color w:val="000000" w:themeColor="text1"/>
          <w:lang w:eastAsia="es-ES"/>
        </w:rPr>
        <w:t xml:space="preserve">EL AGENTE CUSTODIO, </w:t>
      </w:r>
      <w:r w:rsidRPr="002C0D19">
        <w:rPr>
          <w:rFonts w:ascii="Arial Narrow" w:hAnsi="Arial Narrow" w:cs="Arial"/>
          <w:color w:val="000000" w:themeColor="text1"/>
          <w:lang w:eastAsia="es-ES"/>
        </w:rPr>
        <w:t xml:space="preserve"> transcurridos los cuales, de no haber aceptación a la misma por parte de </w:t>
      </w:r>
      <w:r w:rsidRPr="002C0D19">
        <w:rPr>
          <w:rFonts w:ascii="Arial Narrow" w:hAnsi="Arial Narrow" w:cs="Arial"/>
          <w:b/>
          <w:color w:val="000000" w:themeColor="text1"/>
          <w:lang w:eastAsia="es-ES"/>
        </w:rPr>
        <w:t>EL AGENTE CUSTODIO,</w:t>
      </w:r>
      <w:r w:rsidRPr="002C0D19">
        <w:rPr>
          <w:rFonts w:ascii="Arial Narrow" w:hAnsi="Arial Narrow" w:cs="Arial"/>
          <w:color w:val="000000" w:themeColor="text1"/>
          <w:lang w:eastAsia="es-ES"/>
        </w:rPr>
        <w:t xml:space="preserve"> se entenderá revocada. En caso de aceptación de esta Oferta por parte de </w:t>
      </w:r>
      <w:r w:rsidRPr="002C0D19">
        <w:rPr>
          <w:rFonts w:ascii="Arial Narrow" w:hAnsi="Arial Narrow" w:cs="Arial"/>
          <w:b/>
          <w:color w:val="000000" w:themeColor="text1"/>
          <w:lang w:eastAsia="es-ES"/>
        </w:rPr>
        <w:t>EL AGENTE CUSTODIO</w:t>
      </w:r>
      <w:r w:rsidRPr="002C0D19">
        <w:rPr>
          <w:rFonts w:ascii="Arial Narrow" w:hAnsi="Arial Narrow" w:cs="Arial"/>
          <w:color w:val="000000" w:themeColor="text1"/>
          <w:lang w:eastAsia="es-ES"/>
        </w:rPr>
        <w:t xml:space="preserve">, los términos y condiciones de la misma estarán vigentes en forma indefinida. </w:t>
      </w:r>
    </w:p>
    <w:p w14:paraId="23CD920C" w14:textId="77777777" w:rsidR="007968EC" w:rsidRPr="002C0D19" w:rsidRDefault="007968EC" w:rsidP="007968EC">
      <w:pPr>
        <w:jc w:val="both"/>
        <w:rPr>
          <w:rFonts w:ascii="Arial Narrow" w:hAnsi="Arial Narrow" w:cs="Arial"/>
          <w:color w:val="000000" w:themeColor="text1"/>
          <w:lang w:eastAsia="es-ES"/>
        </w:rPr>
      </w:pPr>
    </w:p>
    <w:p w14:paraId="20689108"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No obstante lo anterior y sin perjuicio de lo dispuesto en el Reglamento, las partes podrán terminar en cualquier tiempo el presente Convenio, mediante la entrega a la otra parte de un aviso escrito en tal sentido, remitida con no menos de treinta (30) días calendario de anticipación al día hábil en el cual desea que dicha terminación tenga efecto. </w:t>
      </w:r>
    </w:p>
    <w:p w14:paraId="66909BFF" w14:textId="77777777" w:rsidR="007968EC" w:rsidRPr="002C0D19" w:rsidRDefault="007968EC" w:rsidP="007968EC">
      <w:pPr>
        <w:jc w:val="both"/>
        <w:rPr>
          <w:rFonts w:ascii="Arial Narrow" w:hAnsi="Arial Narrow" w:cs="Arial"/>
          <w:color w:val="000000" w:themeColor="text1"/>
          <w:lang w:eastAsia="es-ES"/>
        </w:rPr>
      </w:pPr>
    </w:p>
    <w:p w14:paraId="54BD7966"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lastRenderedPageBreak/>
        <w:t>Igualmente, habrá lugar a la terminación unilateral si se presenta un incumplimiento de alguna de las obligaciones a cargo de una de las partes.</w:t>
      </w:r>
    </w:p>
    <w:p w14:paraId="03E73040" w14:textId="77777777" w:rsidR="007968EC" w:rsidRPr="002C0D19" w:rsidRDefault="007968EC" w:rsidP="007968EC">
      <w:pPr>
        <w:jc w:val="both"/>
        <w:rPr>
          <w:rFonts w:ascii="Arial Narrow" w:hAnsi="Arial Narrow" w:cs="Arial"/>
          <w:color w:val="000000" w:themeColor="text1"/>
          <w:lang w:eastAsia="es-ES"/>
        </w:rPr>
      </w:pPr>
    </w:p>
    <w:p w14:paraId="5732B3D5"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es-ES" w:eastAsia="es-ES"/>
        </w:rPr>
        <w:t>SEXTA. Tarifas.</w:t>
      </w:r>
      <w:r w:rsidRPr="002C0D19">
        <w:rPr>
          <w:rFonts w:ascii="Arial Narrow" w:hAnsi="Arial Narrow" w:cs="Arial"/>
          <w:b/>
          <w:bCs/>
          <w:color w:val="000000" w:themeColor="text1"/>
          <w:lang w:val="es-ES" w:eastAsia="es-ES"/>
        </w:rPr>
        <w:t xml:space="preserve"> </w:t>
      </w:r>
      <w:r w:rsidRPr="002C0D19">
        <w:rPr>
          <w:rFonts w:ascii="Arial Narrow" w:hAnsi="Arial Narrow" w:cs="Arial"/>
          <w:b/>
          <w:color w:val="000000" w:themeColor="text1"/>
          <w:lang w:eastAsia="es-ES"/>
        </w:rPr>
        <w:t>EL AGENTE CUSTODIO</w:t>
      </w:r>
      <w:r w:rsidRPr="002C0D19">
        <w:rPr>
          <w:rFonts w:ascii="Arial Narrow" w:hAnsi="Arial Narrow" w:cs="Arial"/>
          <w:color w:val="000000" w:themeColor="text1"/>
          <w:lang w:val="es-ES" w:eastAsia="es-ES"/>
        </w:rPr>
        <w:t xml:space="preserve"> es responsable frente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del pago de las tarifas y demás cargos que determine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 xml:space="preserve">por Circular. Dichos pagos se deberán efectuar en los términos y condiciones establecidos por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mediante Circular. </w:t>
      </w:r>
    </w:p>
    <w:p w14:paraId="4F29CF24" w14:textId="77777777" w:rsidR="007968EC" w:rsidRPr="002C0D19" w:rsidRDefault="007968EC" w:rsidP="007968EC">
      <w:pPr>
        <w:jc w:val="both"/>
        <w:rPr>
          <w:rFonts w:ascii="Arial Narrow" w:hAnsi="Arial Narrow" w:cs="Arial"/>
          <w:color w:val="000000" w:themeColor="text1"/>
          <w:lang w:val="es-ES" w:eastAsia="es-ES"/>
        </w:rPr>
      </w:pPr>
    </w:p>
    <w:p w14:paraId="11FC6CFA"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El valor de las tarifas no incluye el impuesto al valor agregado, pero este será facturado de acuerdo con la tarifa y procedimientos vigentes al momento de su causación. </w:t>
      </w:r>
    </w:p>
    <w:p w14:paraId="1BED5E95" w14:textId="77777777" w:rsidR="007968EC" w:rsidRPr="002C0D19" w:rsidRDefault="007968EC" w:rsidP="007968EC">
      <w:pPr>
        <w:jc w:val="both"/>
        <w:rPr>
          <w:rFonts w:ascii="Arial Narrow" w:hAnsi="Arial Narrow" w:cs="Arial"/>
          <w:color w:val="000000" w:themeColor="text1"/>
          <w:lang w:eastAsia="es-ES"/>
        </w:rPr>
      </w:pPr>
    </w:p>
    <w:p w14:paraId="7C523099"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se reserva el derecho de revisar y ajustar la tarifa vigente de conformidad con lo dispuesto en el Reglamento. En todo caso, mientras </w:t>
      </w:r>
      <w:r w:rsidRPr="002C0D19">
        <w:rPr>
          <w:rFonts w:ascii="Arial Narrow" w:hAnsi="Arial Narrow" w:cs="Arial"/>
          <w:b/>
          <w:color w:val="000000" w:themeColor="text1"/>
          <w:lang w:eastAsia="es-ES"/>
        </w:rPr>
        <w:t xml:space="preserve">LA CRCC </w:t>
      </w:r>
      <w:r w:rsidRPr="002C0D19">
        <w:rPr>
          <w:rFonts w:ascii="Arial Narrow" w:hAnsi="Arial Narrow" w:cs="Arial"/>
          <w:color w:val="000000" w:themeColor="text1"/>
          <w:lang w:eastAsia="es-ES"/>
        </w:rPr>
        <w:t xml:space="preserve">no establezca </w:t>
      </w:r>
      <w:r w:rsidRPr="002C0D19">
        <w:rPr>
          <w:rFonts w:ascii="Arial Narrow" w:hAnsi="Arial Narrow" w:cs="Arial"/>
          <w:color w:val="000000" w:themeColor="text1"/>
          <w:lang w:val="es-ES" w:eastAsia="es-ES"/>
        </w:rPr>
        <w:t xml:space="preserve">las tarifas y demás cargos por Circular, </w:t>
      </w:r>
      <w:r w:rsidRPr="002C0D19">
        <w:rPr>
          <w:rFonts w:ascii="Arial Narrow" w:hAnsi="Arial Narrow" w:cs="Arial"/>
          <w:b/>
          <w:color w:val="000000" w:themeColor="text1"/>
          <w:lang w:eastAsia="es-ES"/>
        </w:rPr>
        <w:t xml:space="preserve">EL AGENTE CUSTODIO </w:t>
      </w:r>
      <w:r w:rsidRPr="002C0D19">
        <w:rPr>
          <w:rFonts w:ascii="Arial Narrow" w:hAnsi="Arial Narrow" w:cs="Arial"/>
          <w:color w:val="000000" w:themeColor="text1"/>
          <w:lang w:eastAsia="es-ES"/>
        </w:rPr>
        <w:t xml:space="preserve">no estará obligado a pagar valor alguno por tales conceptos. </w:t>
      </w:r>
    </w:p>
    <w:p w14:paraId="781F5FCE" w14:textId="77777777" w:rsidR="007968EC" w:rsidRPr="002C0D19" w:rsidRDefault="007968EC" w:rsidP="007968EC">
      <w:pPr>
        <w:jc w:val="both"/>
        <w:rPr>
          <w:rFonts w:ascii="Arial Narrow" w:hAnsi="Arial Narrow" w:cs="Arial"/>
          <w:color w:val="000000" w:themeColor="text1"/>
          <w:lang w:eastAsia="es-ES"/>
        </w:rPr>
      </w:pPr>
    </w:p>
    <w:p w14:paraId="66AB5659" w14:textId="77777777" w:rsidR="007968EC" w:rsidRPr="002C0D19" w:rsidRDefault="007968EC" w:rsidP="007968EC">
      <w:pPr>
        <w:jc w:val="both"/>
        <w:rPr>
          <w:rFonts w:ascii="Arial Narrow" w:hAnsi="Arial Narrow" w:cs="Arial"/>
          <w:b/>
          <w:bCs/>
          <w:color w:val="000000" w:themeColor="text1"/>
          <w:lang w:val="es-ES" w:eastAsia="es-ES"/>
        </w:rPr>
      </w:pPr>
      <w:r w:rsidRPr="002C0D19">
        <w:rPr>
          <w:rFonts w:ascii="Arial Narrow" w:hAnsi="Arial Narrow" w:cs="Arial"/>
          <w:b/>
          <w:bCs/>
          <w:color w:val="000000" w:themeColor="text1"/>
          <w:u w:val="single"/>
          <w:lang w:val="es-ES" w:eastAsia="es-ES"/>
        </w:rPr>
        <w:t>SÉPTIMA. Cesión y subcontratación.</w:t>
      </w:r>
      <w:r w:rsidRPr="002C0D19">
        <w:rPr>
          <w:rFonts w:ascii="Arial Narrow" w:hAnsi="Arial Narrow" w:cs="Arial"/>
          <w:b/>
          <w:bCs/>
          <w:color w:val="000000" w:themeColor="text1"/>
          <w:lang w:val="es-ES" w:eastAsia="es-ES"/>
        </w:rPr>
        <w:t xml:space="preserve"> </w:t>
      </w:r>
      <w:r w:rsidRPr="002C0D19">
        <w:rPr>
          <w:rFonts w:ascii="Arial Narrow" w:hAnsi="Arial Narrow" w:cs="Arial"/>
          <w:b/>
          <w:color w:val="000000" w:themeColor="text1"/>
          <w:lang w:val="es-ES" w:eastAsia="es-ES"/>
        </w:rPr>
        <w:t>EL AGENTE CUSTODIO</w:t>
      </w:r>
      <w:r w:rsidRPr="002C0D19">
        <w:rPr>
          <w:rFonts w:ascii="Arial Narrow" w:hAnsi="Arial Narrow" w:cs="Arial"/>
          <w:color w:val="000000" w:themeColor="text1"/>
          <w:lang w:val="es-ES" w:eastAsia="es-ES"/>
        </w:rPr>
        <w:t xml:space="preserve"> no podrá ceder ni subcontratar total o parcialmente la presente Oferta, antes o después de ser aceptada.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podrá hacerse sustituir por uno o varios terceros en la totalidad o parte de sus relaciones contractuales con </w:t>
      </w:r>
      <w:r w:rsidRPr="002C0D19">
        <w:rPr>
          <w:rFonts w:ascii="Arial Narrow" w:hAnsi="Arial Narrow" w:cs="Arial"/>
          <w:b/>
          <w:color w:val="000000" w:themeColor="text1"/>
          <w:lang w:val="es-ES" w:eastAsia="es-ES"/>
        </w:rPr>
        <w:t>EL AGENTE CUSTODIO</w:t>
      </w:r>
      <w:r w:rsidRPr="002C0D19">
        <w:rPr>
          <w:rFonts w:ascii="Arial Narrow" w:hAnsi="Arial Narrow" w:cs="Arial"/>
          <w:color w:val="000000" w:themeColor="text1"/>
          <w:lang w:val="es-ES" w:eastAsia="es-ES"/>
        </w:rPr>
        <w:t xml:space="preserve">, sin necesidad de obtener la conformidad de </w:t>
      </w:r>
      <w:r w:rsidRPr="002C0D19">
        <w:rPr>
          <w:rFonts w:ascii="Arial Narrow" w:hAnsi="Arial Narrow" w:cs="Arial"/>
          <w:b/>
          <w:color w:val="000000" w:themeColor="text1"/>
          <w:lang w:val="es-ES" w:eastAsia="es-ES"/>
        </w:rPr>
        <w:t>EL AGENTE CUSTODIO,</w:t>
      </w:r>
      <w:r w:rsidRPr="002C0D19">
        <w:rPr>
          <w:rFonts w:ascii="Arial Narrow" w:hAnsi="Arial Narrow" w:cs="Arial"/>
          <w:color w:val="000000" w:themeColor="text1"/>
          <w:lang w:val="es-ES" w:eastAsia="es-ES"/>
        </w:rPr>
        <w:t xml:space="preserve"> quien otorga desde ya su consentimiento para dicho efecto</w:t>
      </w:r>
      <w:r w:rsidRPr="002C0D19">
        <w:rPr>
          <w:rFonts w:ascii="Arial Narrow" w:hAnsi="Arial Narrow" w:cs="Arial"/>
          <w:b/>
          <w:bCs/>
          <w:color w:val="000000" w:themeColor="text1"/>
          <w:lang w:val="es-ES" w:eastAsia="es-ES"/>
        </w:rPr>
        <w:t xml:space="preserve">. </w:t>
      </w:r>
    </w:p>
    <w:p w14:paraId="561C7F8E" w14:textId="77777777" w:rsidR="007968EC" w:rsidRPr="002C0D19" w:rsidRDefault="007968EC" w:rsidP="007968EC">
      <w:pPr>
        <w:jc w:val="both"/>
        <w:rPr>
          <w:rFonts w:ascii="Arial Narrow" w:hAnsi="Arial Narrow" w:cs="Arial"/>
          <w:color w:val="000000" w:themeColor="text1"/>
          <w:lang w:val="es-ES" w:eastAsia="es-ES"/>
        </w:rPr>
      </w:pPr>
    </w:p>
    <w:p w14:paraId="1E5641A8" w14:textId="77777777" w:rsidR="007968EC" w:rsidRPr="002C0D19" w:rsidRDefault="007968EC" w:rsidP="007968EC">
      <w:pPr>
        <w:jc w:val="both"/>
        <w:rPr>
          <w:rFonts w:ascii="Arial Narrow" w:hAnsi="Arial Narrow" w:cs="Arial"/>
          <w:bCs/>
          <w:color w:val="000000" w:themeColor="text1"/>
          <w:lang w:eastAsia="es-ES"/>
        </w:rPr>
      </w:pPr>
      <w:r w:rsidRPr="002C0D19">
        <w:rPr>
          <w:rFonts w:ascii="Arial Narrow" w:hAnsi="Arial Narrow" w:cs="Arial"/>
          <w:b/>
          <w:bCs/>
          <w:color w:val="000000" w:themeColor="text1"/>
          <w:u w:val="single"/>
          <w:lang w:eastAsia="es-ES"/>
        </w:rPr>
        <w:t>OCTAVA. Indemnidad.</w:t>
      </w:r>
      <w:r w:rsidRPr="002C0D19">
        <w:rPr>
          <w:rFonts w:ascii="Arial Narrow" w:hAnsi="Arial Narrow" w:cs="Arial"/>
          <w:bCs/>
          <w:color w:val="000000" w:themeColor="text1"/>
          <w:lang w:eastAsia="es-ES"/>
        </w:rPr>
        <w:t xml:space="preserve"> Siempre que </w:t>
      </w:r>
      <w:r w:rsidRPr="002C0D19">
        <w:rPr>
          <w:rFonts w:ascii="Arial Narrow" w:hAnsi="Arial Narrow" w:cs="Arial"/>
          <w:b/>
          <w:bCs/>
          <w:color w:val="000000" w:themeColor="text1"/>
          <w:lang w:eastAsia="es-ES"/>
        </w:rPr>
        <w:t>LA CRCC</w:t>
      </w:r>
      <w:r w:rsidRPr="002C0D19">
        <w:rPr>
          <w:rFonts w:ascii="Arial Narrow" w:hAnsi="Arial Narrow" w:cs="Arial"/>
          <w:bCs/>
          <w:color w:val="000000" w:themeColor="text1"/>
          <w:lang w:eastAsia="es-ES"/>
        </w:rPr>
        <w:t xml:space="preserve"> haya cumplido con las normas y procedimientos aplicables en cada momento, </w:t>
      </w:r>
      <w:r w:rsidRPr="002C0D19">
        <w:rPr>
          <w:rFonts w:ascii="Arial Narrow" w:hAnsi="Arial Narrow" w:cs="Arial"/>
          <w:b/>
          <w:bCs/>
          <w:color w:val="000000" w:themeColor="text1"/>
          <w:lang w:eastAsia="es-ES"/>
        </w:rPr>
        <w:t xml:space="preserve">EL AGENTE CUSTODIO </w:t>
      </w:r>
      <w:r w:rsidRPr="002C0D19">
        <w:rPr>
          <w:rFonts w:ascii="Arial Narrow" w:hAnsi="Arial Narrow" w:cs="Arial"/>
          <w:bCs/>
          <w:color w:val="000000" w:themeColor="text1"/>
          <w:lang w:eastAsia="es-ES"/>
        </w:rPr>
        <w:t xml:space="preserve">deberá mantener a </w:t>
      </w:r>
      <w:r w:rsidRPr="002C0D19">
        <w:rPr>
          <w:rFonts w:ascii="Arial Narrow" w:hAnsi="Arial Narrow" w:cs="Arial"/>
          <w:b/>
          <w:bCs/>
          <w:color w:val="000000" w:themeColor="text1"/>
          <w:lang w:eastAsia="es-ES"/>
        </w:rPr>
        <w:t>LA CRCC</w:t>
      </w:r>
      <w:r w:rsidRPr="002C0D19">
        <w:rPr>
          <w:rFonts w:ascii="Arial Narrow" w:hAnsi="Arial Narrow" w:cs="Arial"/>
          <w:bCs/>
          <w:color w:val="000000" w:themeColor="text1"/>
          <w:lang w:eastAsia="es-ES"/>
        </w:rPr>
        <w:t xml:space="preserve"> y a sus representantes, órganos o funcionarios, indemnes y libres de todo reclamo, demanda, litigio, acción legal y/o reivindicación de cualquier especie que se entable o pueda entablarse contra </w:t>
      </w:r>
      <w:r w:rsidRPr="002C0D19">
        <w:rPr>
          <w:rFonts w:ascii="Arial Narrow" w:hAnsi="Arial Narrow" w:cs="Arial"/>
          <w:b/>
          <w:bCs/>
          <w:color w:val="000000" w:themeColor="text1"/>
          <w:lang w:eastAsia="es-ES"/>
        </w:rPr>
        <w:t>LA CRCC</w:t>
      </w:r>
      <w:r w:rsidRPr="002C0D19">
        <w:rPr>
          <w:rFonts w:ascii="Arial Narrow" w:hAnsi="Arial Narrow" w:cs="Arial"/>
          <w:bCs/>
          <w:color w:val="000000" w:themeColor="text1"/>
          <w:lang w:eastAsia="es-ES"/>
        </w:rPr>
        <w:t xml:space="preserve">, por causa de acciones u omisiones en que incurra </w:t>
      </w:r>
      <w:r w:rsidRPr="002C0D19">
        <w:rPr>
          <w:rFonts w:ascii="Arial Narrow" w:hAnsi="Arial Narrow" w:cs="Arial"/>
          <w:b/>
          <w:bCs/>
          <w:color w:val="000000" w:themeColor="text1"/>
          <w:lang w:eastAsia="es-ES"/>
        </w:rPr>
        <w:t>EL AGENTE CUSTODIO</w:t>
      </w:r>
      <w:r w:rsidRPr="002C0D19">
        <w:rPr>
          <w:rFonts w:ascii="Arial Narrow" w:hAnsi="Arial Narrow" w:cs="Arial"/>
          <w:bCs/>
          <w:color w:val="000000" w:themeColor="text1"/>
          <w:lang w:eastAsia="es-ES"/>
        </w:rPr>
        <w:t xml:space="preserve">, sus agentes, representantes o empleados, en la ejecución y desarrollo o con ocasión de la presente Oferta de servicios. </w:t>
      </w:r>
    </w:p>
    <w:p w14:paraId="6E21800D" w14:textId="77777777" w:rsidR="007968EC" w:rsidRPr="002C0D19" w:rsidRDefault="007968EC" w:rsidP="007968EC">
      <w:pPr>
        <w:jc w:val="both"/>
        <w:rPr>
          <w:rFonts w:ascii="Arial Narrow" w:hAnsi="Arial Narrow" w:cs="Arial"/>
          <w:bCs/>
          <w:color w:val="000000" w:themeColor="text1"/>
          <w:lang w:eastAsia="es-ES"/>
        </w:rPr>
      </w:pPr>
    </w:p>
    <w:p w14:paraId="163A7181" w14:textId="77777777" w:rsidR="007968EC" w:rsidRPr="002C0D19" w:rsidRDefault="007968EC" w:rsidP="007968EC">
      <w:pPr>
        <w:jc w:val="both"/>
        <w:rPr>
          <w:rFonts w:ascii="Arial Narrow" w:hAnsi="Arial Narrow" w:cs="Arial"/>
          <w:bCs/>
          <w:color w:val="000000" w:themeColor="text1"/>
          <w:lang w:val="es-ES" w:eastAsia="es-ES"/>
        </w:rPr>
      </w:pPr>
      <w:r w:rsidRPr="002C0D19">
        <w:rPr>
          <w:rFonts w:ascii="Arial Narrow" w:hAnsi="Arial Narrow" w:cs="Arial"/>
          <w:b/>
          <w:bCs/>
          <w:color w:val="000000" w:themeColor="text1"/>
          <w:u w:val="single"/>
          <w:lang w:val="es-ES" w:eastAsia="es-ES"/>
        </w:rPr>
        <w:t>NOVENA. Responsabilidad de la CRCC.</w:t>
      </w:r>
      <w:r w:rsidRPr="002C0D19">
        <w:rPr>
          <w:rFonts w:ascii="Arial Narrow" w:hAnsi="Arial Narrow" w:cs="Arial"/>
          <w:bCs/>
          <w:color w:val="000000" w:themeColor="text1"/>
          <w:lang w:val="es-ES" w:eastAsia="es-ES"/>
        </w:rPr>
        <w:t xml:space="preserve"> </w:t>
      </w:r>
      <w:r w:rsidRPr="002C0D19">
        <w:rPr>
          <w:rFonts w:ascii="Arial Narrow" w:hAnsi="Arial Narrow" w:cs="Arial"/>
          <w:b/>
          <w:bCs/>
          <w:color w:val="000000" w:themeColor="text1"/>
          <w:lang w:val="es-ES" w:eastAsia="es-ES"/>
        </w:rPr>
        <w:t>LA CRCC</w:t>
      </w:r>
      <w:r w:rsidRPr="002C0D19">
        <w:rPr>
          <w:rFonts w:ascii="Arial Narrow" w:hAnsi="Arial Narrow" w:cs="Arial"/>
          <w:bCs/>
          <w:color w:val="000000" w:themeColor="text1"/>
          <w:lang w:val="es-ES" w:eastAsia="es-ES"/>
        </w:rPr>
        <w:t xml:space="preserve"> no será responsable de los daños y perjuicios que pueda sufrir </w:t>
      </w:r>
      <w:r w:rsidRPr="002C0D19">
        <w:rPr>
          <w:rFonts w:ascii="Arial Narrow" w:hAnsi="Arial Narrow" w:cs="Arial"/>
          <w:b/>
          <w:bCs/>
          <w:color w:val="000000" w:themeColor="text1"/>
          <w:lang w:eastAsia="es-ES"/>
        </w:rPr>
        <w:t>EL AGENTE CUSTODIO,</w:t>
      </w:r>
      <w:r w:rsidRPr="002C0D19">
        <w:rPr>
          <w:rFonts w:ascii="Arial Narrow" w:hAnsi="Arial Narrow" w:cs="Arial"/>
          <w:bCs/>
          <w:color w:val="000000" w:themeColor="text1"/>
          <w:lang w:val="es-ES" w:eastAsia="es-ES"/>
        </w:rPr>
        <w:t xml:space="preserve"> derivados de una situación de caso fortuito o fuerza mayor o, en general, de cualquier hecho en el que no haya mediado dolo o culpa grave por su parte o por parte de alguno de sus empleados.</w:t>
      </w:r>
    </w:p>
    <w:p w14:paraId="5B21223A" w14:textId="77777777" w:rsidR="007968EC" w:rsidRPr="002C0D19" w:rsidRDefault="007968EC" w:rsidP="007968EC">
      <w:pPr>
        <w:jc w:val="both"/>
        <w:rPr>
          <w:rFonts w:ascii="Arial Narrow" w:hAnsi="Arial Narrow" w:cs="Arial"/>
          <w:bCs/>
          <w:color w:val="000000" w:themeColor="text1"/>
          <w:lang w:eastAsia="es-ES"/>
        </w:rPr>
      </w:pPr>
    </w:p>
    <w:p w14:paraId="212AE609" w14:textId="77777777" w:rsidR="007968EC" w:rsidRPr="002C0D19" w:rsidRDefault="007968EC" w:rsidP="007968EC">
      <w:pPr>
        <w:jc w:val="both"/>
        <w:rPr>
          <w:rFonts w:ascii="Arial Narrow" w:hAnsi="Arial Narrow" w:cs="Arial"/>
          <w:color w:val="000000" w:themeColor="text1"/>
          <w:lang w:val="es-ES_tradnl" w:eastAsia="es-ES"/>
        </w:rPr>
      </w:pPr>
      <w:r w:rsidRPr="002C0D19">
        <w:rPr>
          <w:rFonts w:ascii="Arial Narrow" w:hAnsi="Arial Narrow" w:cs="Arial"/>
          <w:b/>
          <w:bCs/>
          <w:color w:val="000000" w:themeColor="text1"/>
          <w:u w:val="single"/>
          <w:lang w:val="es-ES" w:eastAsia="es-ES"/>
        </w:rPr>
        <w:t>DÉCIMA. Cláusula Compromisoria</w:t>
      </w:r>
      <w:r w:rsidRPr="002C0D19">
        <w:rPr>
          <w:rFonts w:ascii="Arial Narrow" w:hAnsi="Arial Narrow" w:cs="Arial"/>
          <w:b/>
          <w:bCs/>
          <w:color w:val="000000" w:themeColor="text1"/>
          <w:lang w:val="es-ES" w:eastAsia="es-ES"/>
        </w:rPr>
        <w:t>.</w:t>
      </w:r>
      <w:r w:rsidRPr="002C0D19">
        <w:rPr>
          <w:rFonts w:ascii="Arial Narrow" w:hAnsi="Arial Narrow" w:cs="Arial"/>
          <w:color w:val="000000" w:themeColor="text1"/>
          <w:lang w:val="es-ES" w:eastAsia="es-ES"/>
        </w:rPr>
        <w:t xml:space="preserve"> </w:t>
      </w:r>
      <w:r w:rsidRPr="002C0D19">
        <w:rPr>
          <w:rFonts w:ascii="Arial Narrow" w:hAnsi="Arial Narrow" w:cs="Arial"/>
          <w:color w:val="000000" w:themeColor="text1"/>
          <w:lang w:val="es-ES_tradnl" w:eastAsia="es-ES"/>
        </w:rPr>
        <w:t xml:space="preserve">Todas las diferencias que ocurran entre partes con ocasión de la presente Oferta, una vez aceptada, y que no puedan solucionarse por acuerdo directo entre las partes en un plazo que no podrá exceder de dos (2) meses contados a partir de la fecha del evento que generó la diferencia, serán resueltas por un Tribunal de Arbitramento. Cuando la cuantía de las pretensiones supere los mil (1000) salarios mínimos legales mensuales vigentes en Colombia, el Tribunal de Arbitramento estará conformado por tres (3) árbitros, los cuales serán designados por las partes dentro de los quince (15) días hábiles siguientes al vencimiento del plazo de dos (2) meses de acuerdo directo, o a falta de acuerdo, mediante sorteo entre los árbitros inscritos en el Centro de Arbitraje y Conciliación de la Cámara de Comercio de Bogotá. En caso de que la cuantía de las pretensiones sea igual o inferior a mil (1000) salarios mínimos legales mensuales vigentes en Colombia, el Tribunal de Arbitramento estará conformado por un (1) árbitro, el cual será designado por las partes dentro de los quince (15) días hábiles siguientes al vencimiento del </w:t>
      </w:r>
      <w:r w:rsidRPr="002C0D19">
        <w:rPr>
          <w:rFonts w:ascii="Arial Narrow" w:hAnsi="Arial Narrow" w:cs="Arial"/>
          <w:color w:val="000000" w:themeColor="text1"/>
          <w:lang w:val="es-ES_tradnl" w:eastAsia="es-ES"/>
        </w:rPr>
        <w:lastRenderedPageBreak/>
        <w:t>plazo de dos (2) meses de acuerdo directo, o a falta de acuerdo, por sorteo entre los árbitros inscritos en el Centro de Arbitraje y Conciliación de la Cámara de Comercio de Bogotá. El o los árbitros designados serán Abogados inscritos y fallarán en derecho. El Tribunal de Arbitramento tendrá sede en la ciudad de Bogotá y se regirá por las leyes colombianas.</w:t>
      </w:r>
    </w:p>
    <w:p w14:paraId="05C7AE61" w14:textId="77777777" w:rsidR="007968EC" w:rsidRPr="002C0D19" w:rsidRDefault="007968EC" w:rsidP="007968EC">
      <w:pPr>
        <w:jc w:val="both"/>
        <w:rPr>
          <w:rFonts w:ascii="Arial Narrow" w:hAnsi="Arial Narrow" w:cs="Arial"/>
          <w:color w:val="000000" w:themeColor="text1"/>
          <w:lang w:val="es-ES" w:eastAsia="es-ES"/>
        </w:rPr>
      </w:pPr>
    </w:p>
    <w:p w14:paraId="5879812D" w14:textId="77777777" w:rsidR="007968EC" w:rsidRPr="002C0D19" w:rsidRDefault="007968EC" w:rsidP="007968EC">
      <w:pPr>
        <w:jc w:val="both"/>
        <w:rPr>
          <w:rFonts w:ascii="Arial Narrow" w:hAnsi="Arial Narrow" w:cs="Arial"/>
          <w:b/>
          <w:color w:val="000000" w:themeColor="text1"/>
          <w:highlight w:val="green"/>
          <w:lang w:val="es-ES" w:eastAsia="es-ES"/>
        </w:rPr>
      </w:pPr>
      <w:r w:rsidRPr="002C0D19">
        <w:rPr>
          <w:rFonts w:ascii="Arial Narrow" w:hAnsi="Arial Narrow" w:cs="Arial"/>
          <w:b/>
          <w:color w:val="000000" w:themeColor="text1"/>
          <w:u w:val="single"/>
          <w:lang w:val="es-ES" w:eastAsia="es-ES"/>
        </w:rPr>
        <w:t>DÉCIMA PRIMERA. Mérito Ejecutivo.</w:t>
      </w:r>
      <w:r w:rsidRPr="002C0D19">
        <w:rPr>
          <w:rFonts w:ascii="Arial Narrow" w:hAnsi="Arial Narrow" w:cs="Arial"/>
          <w:b/>
          <w:color w:val="000000" w:themeColor="text1"/>
          <w:lang w:val="es-ES" w:eastAsia="es-ES"/>
        </w:rPr>
        <w:t xml:space="preserve"> EL AGENTE CUSTODIO </w:t>
      </w:r>
      <w:r w:rsidRPr="002C0D19">
        <w:rPr>
          <w:rFonts w:ascii="Arial Narrow" w:hAnsi="Arial Narrow" w:cs="Arial"/>
          <w:color w:val="000000" w:themeColor="text1"/>
          <w:lang w:val="es-ES" w:eastAsia="es-ES"/>
        </w:rPr>
        <w:t>reconoce y acepta que la presente Oferta de Servicios una vez aceptada mediante la expedición de la Orden de Compra de Servicios,</w:t>
      </w:r>
      <w:r w:rsidRPr="002C0D19" w:rsidDel="00CA2BCF">
        <w:rPr>
          <w:rFonts w:ascii="Arial Narrow" w:hAnsi="Arial Narrow" w:cs="Arial"/>
          <w:color w:val="000000" w:themeColor="text1"/>
          <w:lang w:val="es-ES" w:eastAsia="es-ES"/>
        </w:rPr>
        <w:t xml:space="preserve"> </w:t>
      </w:r>
      <w:r w:rsidRPr="002C0D19">
        <w:rPr>
          <w:rFonts w:ascii="Arial Narrow" w:hAnsi="Arial Narrow" w:cs="Arial"/>
          <w:color w:val="000000" w:themeColor="text1"/>
          <w:lang w:val="es-ES" w:eastAsia="es-ES"/>
        </w:rPr>
        <w:t>prestará mérito ejecutivo para solicitar el cumplimiento de las obligaciones a su cargo, sin necesidad de requerimiento en mora judicial o extrajudicial.</w:t>
      </w:r>
      <w:r w:rsidRPr="002C0D19">
        <w:rPr>
          <w:rFonts w:ascii="Arial Narrow" w:hAnsi="Arial Narrow" w:cs="Arial"/>
          <w:b/>
          <w:color w:val="000000" w:themeColor="text1"/>
          <w:highlight w:val="green"/>
          <w:lang w:val="es-ES" w:eastAsia="es-ES"/>
        </w:rPr>
        <w:t xml:space="preserve"> </w:t>
      </w:r>
    </w:p>
    <w:p w14:paraId="485D6F31" w14:textId="77777777" w:rsidR="007968EC" w:rsidRPr="002C0D19" w:rsidRDefault="007968EC" w:rsidP="007968EC">
      <w:pPr>
        <w:jc w:val="both"/>
        <w:rPr>
          <w:rFonts w:ascii="Arial Narrow" w:hAnsi="Arial Narrow" w:cs="Arial"/>
          <w:b/>
          <w:color w:val="000000" w:themeColor="text1"/>
          <w:highlight w:val="green"/>
          <w:lang w:val="es-ES" w:eastAsia="es-ES"/>
        </w:rPr>
      </w:pPr>
    </w:p>
    <w:p w14:paraId="437F8E75"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color w:val="000000" w:themeColor="text1"/>
          <w:u w:val="single"/>
          <w:lang w:val="es-ES" w:eastAsia="es-ES"/>
        </w:rPr>
        <w:t>DÉCIMA SEGUNDA. Notificaciones.</w:t>
      </w:r>
      <w:r w:rsidRPr="002C0D19">
        <w:rPr>
          <w:rFonts w:ascii="Arial Narrow" w:hAnsi="Arial Narrow" w:cs="Arial"/>
          <w:color w:val="000000" w:themeColor="text1"/>
          <w:lang w:val="es-ES" w:eastAsia="es-ES"/>
        </w:rPr>
        <w:t xml:space="preserve"> Todas las notificaciones y comunicaciones relacionadas con la presente Oferta de Servicios, se harán por escrito y se enviarán a las siguientes direcciones:</w:t>
      </w:r>
    </w:p>
    <w:p w14:paraId="0F88E850" w14:textId="77777777" w:rsidR="007968EC" w:rsidRPr="002C0D19" w:rsidRDefault="007968EC" w:rsidP="007968EC">
      <w:pPr>
        <w:tabs>
          <w:tab w:val="left" w:pos="567"/>
        </w:tabs>
        <w:ind w:right="-16"/>
        <w:jc w:val="both"/>
        <w:rPr>
          <w:rFonts w:ascii="Arial Narrow" w:hAnsi="Arial Narrow" w:cs="Arial"/>
          <w:color w:val="000000" w:themeColor="text1"/>
          <w:lang w:val="es-ES" w:eastAsia="es-ES"/>
        </w:rPr>
      </w:pPr>
    </w:p>
    <w:p w14:paraId="1244F552" w14:textId="77777777" w:rsidR="007968EC" w:rsidRPr="002C0D19" w:rsidRDefault="007968EC" w:rsidP="007968EC">
      <w:pPr>
        <w:tabs>
          <w:tab w:val="left" w:pos="567"/>
          <w:tab w:val="left" w:pos="2835"/>
        </w:tabs>
        <w:ind w:left="2805" w:right="-16" w:hanging="2805"/>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w:t>
      </w:r>
      <w:r w:rsidRPr="002C0D19">
        <w:rPr>
          <w:rFonts w:ascii="Arial Narrow" w:hAnsi="Arial Narrow" w:cs="Arial"/>
          <w:color w:val="000000" w:themeColor="text1"/>
          <w:lang w:val="es-ES" w:eastAsia="es-ES"/>
        </w:rPr>
        <w:tab/>
      </w:r>
      <w:r w:rsidRPr="002C0D19">
        <w:rPr>
          <w:rFonts w:ascii="Arial Narrow" w:hAnsi="Arial Narrow" w:cs="Arial"/>
          <w:b/>
          <w:color w:val="000000" w:themeColor="text1"/>
          <w:lang w:val="es-ES" w:eastAsia="es-ES"/>
        </w:rPr>
        <w:t xml:space="preserve">CÁMARA DE RIESGO CENTRAL DE CONTRAPARTE DE COLOMBIA S.A. </w:t>
      </w:r>
      <w:r w:rsidRPr="002C0D19">
        <w:rPr>
          <w:rFonts w:ascii="Arial Narrow" w:hAnsi="Arial Narrow" w:cs="Arial"/>
          <w:b/>
          <w:color w:val="000000" w:themeColor="text1"/>
          <w:lang w:val="es-ES" w:eastAsia="es-ES"/>
        </w:rPr>
        <w:tab/>
      </w:r>
    </w:p>
    <w:p w14:paraId="7A83FD5D" w14:textId="77777777" w:rsidR="007968EC" w:rsidRPr="002C0D19" w:rsidRDefault="007968EC" w:rsidP="007968EC">
      <w:pPr>
        <w:tabs>
          <w:tab w:val="left" w:pos="567"/>
          <w:tab w:val="left" w:pos="2835"/>
        </w:tabs>
        <w:ind w:right="51"/>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ab/>
      </w:r>
      <w:r w:rsidRPr="002C0D19">
        <w:rPr>
          <w:rFonts w:ascii="Arial Narrow" w:hAnsi="Arial Narrow" w:cs="Arial"/>
          <w:color w:val="000000" w:themeColor="text1"/>
          <w:lang w:val="es-ES" w:eastAsia="es-ES"/>
        </w:rPr>
        <w:tab/>
        <w:t xml:space="preserve">Fax: </w:t>
      </w:r>
    </w:p>
    <w:p w14:paraId="349BC9EE" w14:textId="77777777" w:rsidR="007968EC" w:rsidRPr="002C0D19" w:rsidRDefault="007968EC" w:rsidP="007968EC">
      <w:pPr>
        <w:tabs>
          <w:tab w:val="left" w:pos="567"/>
          <w:tab w:val="left" w:pos="2835"/>
        </w:tabs>
        <w:ind w:right="-16"/>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ab/>
      </w:r>
      <w:r w:rsidRPr="002C0D19">
        <w:rPr>
          <w:rFonts w:ascii="Arial Narrow" w:hAnsi="Arial Narrow" w:cs="Arial"/>
          <w:color w:val="000000" w:themeColor="text1"/>
          <w:lang w:val="es-ES" w:eastAsia="es-ES"/>
        </w:rPr>
        <w:tab/>
        <w:t xml:space="preserve">Dirección: </w:t>
      </w:r>
    </w:p>
    <w:p w14:paraId="579E6DBA" w14:textId="77777777" w:rsidR="007968EC" w:rsidRPr="002C0D19" w:rsidRDefault="007968EC" w:rsidP="007968EC">
      <w:pPr>
        <w:tabs>
          <w:tab w:val="left" w:pos="567"/>
          <w:tab w:val="left" w:pos="2835"/>
        </w:tabs>
        <w:ind w:right="-16"/>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ab/>
      </w:r>
      <w:r w:rsidRPr="002C0D19">
        <w:rPr>
          <w:rFonts w:ascii="Arial Narrow" w:hAnsi="Arial Narrow" w:cs="Arial"/>
          <w:color w:val="000000" w:themeColor="text1"/>
          <w:lang w:val="es-ES" w:eastAsia="es-ES"/>
        </w:rPr>
        <w:tab/>
        <w:t>Bogotá, D.C.</w:t>
      </w:r>
    </w:p>
    <w:p w14:paraId="73E4503C" w14:textId="77777777" w:rsidR="007968EC" w:rsidRPr="002C0D19" w:rsidRDefault="007968EC" w:rsidP="007968EC">
      <w:pPr>
        <w:tabs>
          <w:tab w:val="left" w:pos="567"/>
          <w:tab w:val="left" w:pos="2835"/>
        </w:tabs>
        <w:ind w:right="-16"/>
        <w:jc w:val="both"/>
        <w:rPr>
          <w:rFonts w:ascii="Arial Narrow" w:hAnsi="Arial Narrow" w:cs="Arial"/>
          <w:color w:val="000000" w:themeColor="text1"/>
          <w:lang w:val="es-ES" w:eastAsia="es-ES"/>
        </w:rPr>
      </w:pPr>
    </w:p>
    <w:p w14:paraId="18E6FB92" w14:textId="77777777" w:rsidR="007968EC" w:rsidRPr="002C0D19" w:rsidRDefault="007968EC" w:rsidP="007968EC">
      <w:pPr>
        <w:tabs>
          <w:tab w:val="left" w:pos="567"/>
          <w:tab w:val="left" w:pos="2835"/>
        </w:tabs>
        <w:ind w:right="-16"/>
        <w:jc w:val="both"/>
        <w:rPr>
          <w:rFonts w:ascii="Arial Narrow" w:hAnsi="Arial Narrow" w:cs="Arial"/>
          <w:b/>
          <w:color w:val="000000" w:themeColor="text1"/>
          <w:lang w:val="es-ES" w:eastAsia="es-ES"/>
        </w:rPr>
      </w:pPr>
    </w:p>
    <w:p w14:paraId="704DC78F" w14:textId="77777777" w:rsidR="007968EC" w:rsidRPr="002C0D19" w:rsidRDefault="007968EC" w:rsidP="007968EC">
      <w:pPr>
        <w:tabs>
          <w:tab w:val="left" w:pos="567"/>
          <w:tab w:val="left" w:pos="2835"/>
        </w:tabs>
        <w:ind w:right="44"/>
        <w:jc w:val="both"/>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EL AGENTE CUSTODIO:</w:t>
      </w:r>
      <w:r w:rsidRPr="002C0D19">
        <w:rPr>
          <w:rFonts w:ascii="Arial Narrow" w:hAnsi="Arial Narrow" w:cs="Arial"/>
          <w:b/>
          <w:color w:val="000000" w:themeColor="text1"/>
          <w:lang w:val="es-ES" w:eastAsia="es-ES"/>
        </w:rPr>
        <w:tab/>
      </w:r>
    </w:p>
    <w:p w14:paraId="72EDA9A3"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b/>
          <w:color w:val="000000" w:themeColor="text1"/>
          <w:lang w:val="es-ES" w:eastAsia="es-ES"/>
        </w:rPr>
        <w:tab/>
      </w:r>
      <w:r w:rsidRPr="002C0D19">
        <w:rPr>
          <w:rFonts w:ascii="Arial Narrow" w:hAnsi="Arial Narrow" w:cs="Arial"/>
          <w:b/>
          <w:color w:val="000000" w:themeColor="text1"/>
          <w:lang w:val="es-ES" w:eastAsia="es-ES"/>
        </w:rPr>
        <w:tab/>
      </w:r>
      <w:r w:rsidRPr="002C0D19">
        <w:rPr>
          <w:rFonts w:ascii="Arial Narrow" w:hAnsi="Arial Narrow" w:cs="Arial"/>
          <w:color w:val="000000" w:themeColor="text1"/>
          <w:lang w:eastAsia="es-ES"/>
        </w:rPr>
        <w:t xml:space="preserve">Fax:  </w:t>
      </w:r>
    </w:p>
    <w:p w14:paraId="2291D99D"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r>
      <w:r w:rsidRPr="002C0D19">
        <w:rPr>
          <w:rFonts w:ascii="Arial Narrow" w:hAnsi="Arial Narrow" w:cs="Arial"/>
          <w:color w:val="000000" w:themeColor="text1"/>
          <w:lang w:val="es-ES" w:eastAsia="es-ES"/>
        </w:rPr>
        <w:t>Dirección</w:t>
      </w:r>
      <w:r w:rsidRPr="002C0D19">
        <w:rPr>
          <w:rFonts w:ascii="Arial Narrow" w:hAnsi="Arial Narrow" w:cs="Arial"/>
          <w:color w:val="000000" w:themeColor="text1"/>
          <w:lang w:eastAsia="es-ES"/>
        </w:rPr>
        <w:t xml:space="preserve">: </w:t>
      </w:r>
    </w:p>
    <w:p w14:paraId="50561834"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t xml:space="preserve">Ciudad: </w:t>
      </w:r>
    </w:p>
    <w:p w14:paraId="11EB5743" w14:textId="77777777" w:rsidR="007968EC" w:rsidRPr="002C0D19" w:rsidRDefault="007968EC" w:rsidP="007968EC">
      <w:pPr>
        <w:jc w:val="both"/>
        <w:rPr>
          <w:rFonts w:ascii="Arial Narrow" w:hAnsi="Arial Narrow" w:cs="Arial"/>
          <w:color w:val="000000" w:themeColor="text1"/>
          <w:lang w:val="es-ES" w:eastAsia="es-ES"/>
        </w:rPr>
      </w:pPr>
    </w:p>
    <w:p w14:paraId="0C7F6D0D"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es-ES" w:eastAsia="es-ES"/>
        </w:rPr>
        <w:t>DÉCIMA TERCERA. Aceptación de esta Oferta.</w:t>
      </w:r>
      <w:r w:rsidRPr="002C0D19">
        <w:rPr>
          <w:rFonts w:ascii="Arial Narrow" w:hAnsi="Arial Narrow" w:cs="Arial"/>
          <w:color w:val="000000" w:themeColor="text1"/>
          <w:lang w:val="es-ES" w:eastAsia="es-ES"/>
        </w:rPr>
        <w:t xml:space="preserve"> La presente Oferta se entenderá aceptada mediante la expedición, por parte de </w:t>
      </w:r>
      <w:r w:rsidRPr="002C0D19">
        <w:rPr>
          <w:rFonts w:ascii="Arial Narrow" w:hAnsi="Arial Narrow" w:cs="Arial"/>
          <w:b/>
          <w:color w:val="000000" w:themeColor="text1"/>
          <w:lang w:val="es-ES" w:eastAsia="es-ES"/>
        </w:rPr>
        <w:t>EL AGENTE CUSTODIO</w:t>
      </w:r>
      <w:r w:rsidRPr="002C0D19">
        <w:rPr>
          <w:rFonts w:ascii="Arial Narrow" w:hAnsi="Arial Narrow" w:cs="Arial"/>
          <w:color w:val="000000" w:themeColor="text1"/>
          <w:lang w:val="es-ES" w:eastAsia="es-ES"/>
        </w:rPr>
        <w:t>, de una Orden de Compra de Servicios.</w:t>
      </w:r>
    </w:p>
    <w:p w14:paraId="0F8738AF" w14:textId="77777777" w:rsidR="007968EC" w:rsidRPr="002C0D19" w:rsidRDefault="007968EC" w:rsidP="007968EC">
      <w:pPr>
        <w:jc w:val="both"/>
        <w:rPr>
          <w:rFonts w:ascii="Arial Narrow" w:hAnsi="Arial Narrow" w:cs="Arial"/>
          <w:b/>
          <w:bCs/>
          <w:color w:val="000000" w:themeColor="text1"/>
          <w:u w:val="single"/>
          <w:lang w:val="es-ES" w:eastAsia="es-ES"/>
        </w:rPr>
      </w:pPr>
    </w:p>
    <w:p w14:paraId="51964473"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es-ES" w:eastAsia="es-ES"/>
        </w:rPr>
        <w:t>DECIMA CUARTA. Impuestos.</w:t>
      </w:r>
      <w:r w:rsidRPr="002C0D19">
        <w:rPr>
          <w:rFonts w:ascii="Arial Narrow" w:hAnsi="Arial Narrow" w:cs="Arial"/>
          <w:color w:val="000000" w:themeColor="text1"/>
          <w:lang w:val="es-ES" w:eastAsia="es-ES"/>
        </w:rPr>
        <w:t xml:space="preserve"> De conformidad con el numeral 52 del artículo 530 del Estatuto Tributario, la presente Oferta y su posterior aceptación mediante Orden de Compra de Servicios no causan impuesto de timbre. En todo caso, todos los gastos e impuestos de cualquier naturaleza que se generen en relación con la presente oferta, serán de cargo de </w:t>
      </w:r>
      <w:r w:rsidRPr="002C0D19">
        <w:rPr>
          <w:rFonts w:ascii="Arial Narrow" w:hAnsi="Arial Narrow" w:cs="Arial"/>
          <w:b/>
          <w:color w:val="000000" w:themeColor="text1"/>
          <w:lang w:val="es-ES" w:eastAsia="es-ES"/>
        </w:rPr>
        <w:t>EL AGENTE CUSTODIO</w:t>
      </w:r>
      <w:r w:rsidRPr="002C0D19">
        <w:rPr>
          <w:rFonts w:ascii="Arial Narrow" w:hAnsi="Arial Narrow" w:cs="Arial"/>
          <w:color w:val="000000" w:themeColor="text1"/>
          <w:lang w:val="es-ES" w:eastAsia="es-ES"/>
        </w:rPr>
        <w:t>.</w:t>
      </w:r>
    </w:p>
    <w:p w14:paraId="0CCCD66F" w14:textId="77777777" w:rsidR="007968EC" w:rsidRPr="002C0D19" w:rsidRDefault="007968EC" w:rsidP="007968EC">
      <w:pPr>
        <w:jc w:val="both"/>
        <w:rPr>
          <w:rFonts w:ascii="Arial Narrow" w:hAnsi="Arial Narrow" w:cs="Arial"/>
          <w:color w:val="000000" w:themeColor="text1"/>
          <w:lang w:val="es-ES" w:eastAsia="es-ES"/>
        </w:rPr>
      </w:pPr>
    </w:p>
    <w:p w14:paraId="294B0DF5"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Para constancia, se firma en Bogotá D.C., el día ______________ (____) del mes de _____________ del año dos mil ___________ (____). </w:t>
      </w:r>
    </w:p>
    <w:p w14:paraId="3F633B3B" w14:textId="77777777" w:rsidR="007968EC" w:rsidRPr="002C0D19" w:rsidRDefault="007968EC" w:rsidP="007968EC">
      <w:pPr>
        <w:jc w:val="both"/>
        <w:rPr>
          <w:rFonts w:ascii="Arial Narrow" w:hAnsi="Arial Narrow" w:cs="Arial"/>
          <w:color w:val="000000" w:themeColor="text1"/>
          <w:lang w:val="es-ES" w:eastAsia="es-ES"/>
        </w:rPr>
      </w:pPr>
    </w:p>
    <w:p w14:paraId="5CE42E5C"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b/>
          <w:bCs/>
          <w:color w:val="000000" w:themeColor="text1"/>
          <w:lang w:val="es-ES" w:eastAsia="es-ES"/>
        </w:rPr>
        <w:t xml:space="preserve">LA CRCC </w:t>
      </w:r>
    </w:p>
    <w:p w14:paraId="38D356CA"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Por:          ________________________________                      </w:t>
      </w:r>
    </w:p>
    <w:p w14:paraId="1EB55548"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Nombre:                                               </w:t>
      </w:r>
    </w:p>
    <w:p w14:paraId="2D957317"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Cargo:       Representante Legal                                    </w:t>
      </w:r>
    </w:p>
    <w:p w14:paraId="596CFB37" w14:textId="77777777" w:rsidR="007968EC" w:rsidRPr="002C0D19" w:rsidRDefault="007968EC" w:rsidP="007968EC">
      <w:pPr>
        <w:jc w:val="both"/>
        <w:rPr>
          <w:rFonts w:ascii="Arial Narrow" w:hAnsi="Arial Narrow" w:cs="Arial"/>
          <w:color w:val="000000" w:themeColor="text1"/>
          <w:spacing w:val="-3"/>
          <w:lang w:val="fr-FR" w:eastAsia="es-ES"/>
        </w:rPr>
      </w:pPr>
      <w:r w:rsidRPr="002C0D19">
        <w:rPr>
          <w:rFonts w:ascii="Arial Narrow" w:hAnsi="Arial Narrow" w:cs="Arial"/>
          <w:color w:val="000000" w:themeColor="text1"/>
          <w:spacing w:val="-3"/>
          <w:lang w:val="fr-FR" w:eastAsia="es-ES"/>
        </w:rPr>
        <w:t>C.C.</w:t>
      </w:r>
    </w:p>
    <w:p w14:paraId="44EE6038" w14:textId="77777777" w:rsidR="007968EC" w:rsidRPr="002C0D19" w:rsidRDefault="007968EC" w:rsidP="007968EC">
      <w:pPr>
        <w:jc w:val="both"/>
        <w:rPr>
          <w:rFonts w:ascii="Arial Narrow" w:hAnsi="Arial Narrow" w:cs="Arial"/>
          <w:color w:val="000000" w:themeColor="text1"/>
          <w:spacing w:val="-3"/>
          <w:lang w:val="fr-FR" w:eastAsia="es-ES"/>
        </w:rPr>
      </w:pPr>
    </w:p>
    <w:p w14:paraId="07EE2C20" w14:textId="77777777" w:rsidR="007968EC" w:rsidRPr="002C0D19" w:rsidRDefault="007968EC" w:rsidP="007968EC">
      <w:pPr>
        <w:jc w:val="both"/>
        <w:rPr>
          <w:rFonts w:ascii="Arial Narrow" w:hAnsi="Arial Narrow" w:cs="Arial"/>
          <w:color w:val="000000" w:themeColor="text1"/>
          <w:spacing w:val="-3"/>
          <w:lang w:val="fr-FR" w:eastAsia="es-ES"/>
        </w:rPr>
      </w:pPr>
    </w:p>
    <w:p w14:paraId="571F6AB1" w14:textId="77777777" w:rsidR="007968EC" w:rsidRPr="005C4274" w:rsidRDefault="007968EC" w:rsidP="007968EC">
      <w:pPr>
        <w:pStyle w:val="TTULO"/>
        <w:rPr>
          <w:lang w:val="es-ES"/>
        </w:rPr>
      </w:pPr>
      <w:bookmarkStart w:id="6514" w:name="_Toc31716595"/>
      <w:r w:rsidRPr="005C4274">
        <w:rPr>
          <w:lang w:val="es-ES"/>
        </w:rPr>
        <w:lastRenderedPageBreak/>
        <w:t>ANEXO 5A</w:t>
      </w:r>
      <w:bookmarkEnd w:id="6514"/>
    </w:p>
    <w:p w14:paraId="6B4CE270" w14:textId="77777777" w:rsidR="007968EC" w:rsidRPr="005C4274" w:rsidRDefault="007968EC" w:rsidP="007968EC">
      <w:pPr>
        <w:jc w:val="center"/>
        <w:rPr>
          <w:rFonts w:ascii="Arial Narrow" w:hAnsi="Arial Narrow" w:cs="Arial"/>
          <w:b/>
          <w:color w:val="000000" w:themeColor="text1"/>
          <w:lang w:val="es-ES" w:eastAsia="es-ES"/>
        </w:rPr>
      </w:pPr>
    </w:p>
    <w:p w14:paraId="7F97D03B" w14:textId="77777777" w:rsidR="007968EC" w:rsidRPr="005C4274" w:rsidRDefault="007968EC" w:rsidP="007968EC">
      <w:pPr>
        <w:jc w:val="center"/>
        <w:rPr>
          <w:rFonts w:ascii="Arial Narrow" w:hAnsi="Arial Narrow" w:cs="Arial"/>
          <w:b/>
          <w:color w:val="000000" w:themeColor="text1"/>
          <w:lang w:val="es-ES" w:eastAsia="es-ES"/>
        </w:rPr>
      </w:pPr>
      <w:r w:rsidRPr="005C4274">
        <w:rPr>
          <w:rFonts w:ascii="Arial Narrow" w:hAnsi="Arial Narrow" w:cs="Arial"/>
          <w:b/>
          <w:color w:val="000000" w:themeColor="text1"/>
          <w:lang w:val="es-ES" w:eastAsia="es-ES"/>
        </w:rPr>
        <w:t>CONVENIO CON EL AGENTE CUSTODIO Y DE PAGOS</w:t>
      </w:r>
    </w:p>
    <w:p w14:paraId="7E1C56D9" w14:textId="77777777" w:rsidR="007968EC" w:rsidRPr="002C0D19" w:rsidRDefault="007968EC" w:rsidP="007968EC">
      <w:pPr>
        <w:jc w:val="center"/>
        <w:rPr>
          <w:rFonts w:ascii="Arial Narrow" w:eastAsia="Calibri" w:hAnsi="Arial Narrow"/>
          <w:b/>
        </w:rPr>
      </w:pPr>
    </w:p>
    <w:p w14:paraId="203CC6EF" w14:textId="77777777" w:rsidR="007968EC" w:rsidRPr="002C0D19" w:rsidRDefault="007968EC" w:rsidP="007968EC">
      <w:pPr>
        <w:jc w:val="center"/>
        <w:rPr>
          <w:rFonts w:ascii="Arial Narrow" w:eastAsia="Calibri" w:hAnsi="Arial Narrow"/>
          <w:b/>
          <w:i/>
        </w:rPr>
      </w:pPr>
      <w:r w:rsidRPr="002C0D19">
        <w:rPr>
          <w:rFonts w:ascii="Arial Narrow" w:eastAsia="Calibri" w:hAnsi="Arial Narrow"/>
          <w:b/>
          <w:i/>
        </w:rPr>
        <w:t>(Este Anexo fue adicionado mediante Circular 14 del 8 de agosto de 2017, publicada en el Boletín Normativo No. 015 del 8 de agosto de 2017. Rige a partir del 9 de agosto de 2017.)</w:t>
      </w:r>
    </w:p>
    <w:p w14:paraId="56A87B4A" w14:textId="77777777" w:rsidR="007968EC" w:rsidRPr="002C0D19" w:rsidRDefault="007968EC" w:rsidP="007968EC">
      <w:pPr>
        <w:jc w:val="center"/>
        <w:rPr>
          <w:rFonts w:ascii="Arial Narrow" w:eastAsia="Calibri" w:hAnsi="Arial Narrow"/>
          <w:b/>
        </w:rPr>
      </w:pPr>
    </w:p>
    <w:p w14:paraId="188EB621" w14:textId="77777777" w:rsidR="007968EC" w:rsidRPr="002C0D19" w:rsidRDefault="007968EC" w:rsidP="007968EC">
      <w:pPr>
        <w:jc w:val="center"/>
        <w:rPr>
          <w:rFonts w:ascii="Arial Narrow" w:eastAsia="Calibri" w:hAnsi="Arial Narrow"/>
          <w:b/>
        </w:rPr>
      </w:pPr>
      <w:r w:rsidRPr="002C0D19">
        <w:rPr>
          <w:rFonts w:ascii="Arial Narrow" w:eastAsia="Calibri" w:hAnsi="Arial Narrow"/>
          <w:b/>
        </w:rPr>
        <w:t>OFERTA DE SERVICIOS PARA ACTUAR COMO AGENTE CUSTODIO Y DE PAGOS EN EL SISTEMA DE COMPENSACIÓN Y LIQUIDACIÓN DE LA CÁMARA DE RIESGO CENTRAL DE CONTRAPARTE DE COLOMBIA S.A. – CRCC S.A.</w:t>
      </w:r>
    </w:p>
    <w:p w14:paraId="35EDC736" w14:textId="77777777" w:rsidR="007968EC" w:rsidRPr="002C0D19" w:rsidRDefault="007968EC" w:rsidP="007968EC">
      <w:pPr>
        <w:jc w:val="both"/>
        <w:rPr>
          <w:rFonts w:ascii="Arial Narrow" w:eastAsia="Calibri" w:hAnsi="Arial Narrow"/>
        </w:rPr>
      </w:pPr>
    </w:p>
    <w:p w14:paraId="7E00376F" w14:textId="77777777" w:rsidR="007968EC" w:rsidRPr="002C0D19" w:rsidRDefault="007968EC" w:rsidP="007968EC">
      <w:pPr>
        <w:jc w:val="both"/>
        <w:rPr>
          <w:rFonts w:ascii="Arial Narrow" w:eastAsia="Calibri" w:hAnsi="Arial Narrow"/>
        </w:rPr>
      </w:pPr>
      <w:r w:rsidRPr="002C0D19">
        <w:rPr>
          <w:rFonts w:ascii="Arial Narrow" w:eastAsia="Calibri" w:hAnsi="Arial Narrow"/>
        </w:rPr>
        <w:t>Esta Oferta de Servicios para actuar como Agente Custodio y de Pagos en el Sistema de Compensación y Liquidación de la Cámara de Riesgo Central de Contraparte de Colombia S.A. – CRCC S.A., en adelante “</w:t>
      </w:r>
      <w:r w:rsidRPr="002C0D19">
        <w:rPr>
          <w:rFonts w:ascii="Arial Narrow" w:eastAsia="Calibri" w:hAnsi="Arial Narrow"/>
          <w:b/>
        </w:rPr>
        <w:t>EL SISTEMA</w:t>
      </w:r>
      <w:r w:rsidRPr="002C0D19">
        <w:rPr>
          <w:rFonts w:ascii="Arial Narrow" w:eastAsia="Calibri" w:hAnsi="Arial Narrow"/>
        </w:rPr>
        <w:t xml:space="preserve">”, se somete por </w:t>
      </w:r>
      <w:r w:rsidRPr="002C0D19">
        <w:rPr>
          <w:rFonts w:ascii="Arial Narrow" w:eastAsia="Calibri" w:hAnsi="Arial Narrow"/>
          <w:b/>
        </w:rPr>
        <w:t>LA CÁMARA DE RIESGO CENTRAL DE CONTRAPARTE DE COLOMBIA S.A.</w:t>
      </w:r>
      <w:r w:rsidRPr="002C0D19">
        <w:rPr>
          <w:rFonts w:ascii="Arial Narrow" w:eastAsia="Calibri" w:hAnsi="Arial Narrow"/>
        </w:rPr>
        <w:t xml:space="preserve">, en adelante </w:t>
      </w:r>
      <w:r w:rsidRPr="002C0D19">
        <w:rPr>
          <w:rFonts w:ascii="Arial Narrow" w:eastAsia="Calibri" w:hAnsi="Arial Narrow"/>
          <w:b/>
        </w:rPr>
        <w:t>LA CRCC</w:t>
      </w:r>
      <w:r w:rsidRPr="002C0D19">
        <w:rPr>
          <w:rFonts w:ascii="Arial Narrow" w:eastAsia="Calibri" w:hAnsi="Arial Narrow"/>
        </w:rPr>
        <w:t xml:space="preserve">, a consideración de __________________________________ en adelante </w:t>
      </w:r>
      <w:r w:rsidRPr="002C0D19">
        <w:rPr>
          <w:rFonts w:ascii="Arial Narrow" w:eastAsia="Calibri" w:hAnsi="Arial Narrow"/>
          <w:b/>
        </w:rPr>
        <w:t>EL AGENTE</w:t>
      </w:r>
      <w:r w:rsidRPr="002C0D19">
        <w:rPr>
          <w:rFonts w:ascii="Arial Narrow" w:eastAsia="Calibri" w:hAnsi="Arial Narrow"/>
        </w:rPr>
        <w:t>.</w:t>
      </w:r>
    </w:p>
    <w:p w14:paraId="695B8ED7" w14:textId="77777777" w:rsidR="007968EC" w:rsidRPr="002C0D19" w:rsidRDefault="007968EC" w:rsidP="007968EC">
      <w:pPr>
        <w:jc w:val="both"/>
        <w:rPr>
          <w:rFonts w:ascii="Arial Narrow" w:eastAsia="Calibri" w:hAnsi="Arial Narrow"/>
        </w:rPr>
      </w:pPr>
    </w:p>
    <w:p w14:paraId="7883AF22" w14:textId="77777777" w:rsidR="007968EC" w:rsidRPr="002C0D19" w:rsidRDefault="007968EC" w:rsidP="007968EC">
      <w:pPr>
        <w:jc w:val="center"/>
        <w:rPr>
          <w:rFonts w:ascii="Arial Narrow" w:eastAsia="Calibri" w:hAnsi="Arial Narrow"/>
          <w:b/>
        </w:rPr>
      </w:pPr>
      <w:r w:rsidRPr="002C0D19">
        <w:rPr>
          <w:rFonts w:ascii="Arial Narrow" w:eastAsia="Calibri" w:hAnsi="Arial Narrow"/>
          <w:b/>
        </w:rPr>
        <w:t>TÉRMINOS Y CONDICIONES DE LA OFERTA</w:t>
      </w:r>
    </w:p>
    <w:p w14:paraId="6EE2B42B" w14:textId="77777777" w:rsidR="007968EC" w:rsidRPr="002C0D19" w:rsidRDefault="007968EC" w:rsidP="007968EC">
      <w:pPr>
        <w:jc w:val="both"/>
        <w:rPr>
          <w:rFonts w:ascii="Arial Narrow" w:eastAsia="Calibri" w:hAnsi="Arial Narrow"/>
        </w:rPr>
      </w:pPr>
    </w:p>
    <w:p w14:paraId="0A26C98A" w14:textId="77777777" w:rsidR="007968EC" w:rsidRPr="002C0D19" w:rsidRDefault="007968EC" w:rsidP="007968EC">
      <w:pPr>
        <w:jc w:val="both"/>
        <w:rPr>
          <w:rFonts w:ascii="Arial Narrow" w:eastAsia="Calibri" w:hAnsi="Arial Narrow"/>
        </w:rPr>
      </w:pPr>
      <w:r w:rsidRPr="002C0D19">
        <w:rPr>
          <w:rFonts w:ascii="Arial Narrow" w:eastAsia="Calibri" w:hAnsi="Arial Narrow"/>
          <w:b/>
          <w:u w:val="single"/>
        </w:rPr>
        <w:t>PRIMERA. Objeto.</w:t>
      </w:r>
      <w:r w:rsidRPr="002C0D19">
        <w:rPr>
          <w:rFonts w:ascii="Arial Narrow" w:eastAsia="Calibri" w:hAnsi="Arial Narrow"/>
        </w:rPr>
        <w:t xml:space="preserve"> En virtud de la aceptación de la presente Oferta de Servicios, </w:t>
      </w:r>
      <w:r w:rsidRPr="002C0D19">
        <w:rPr>
          <w:rFonts w:ascii="Arial Narrow" w:eastAsia="Calibri" w:hAnsi="Arial Narrow"/>
          <w:b/>
        </w:rPr>
        <w:t xml:space="preserve">EL AGENTE </w:t>
      </w:r>
      <w:r w:rsidRPr="002C0D19">
        <w:rPr>
          <w:rFonts w:ascii="Arial Narrow" w:eastAsia="Calibri" w:hAnsi="Arial Narrow"/>
        </w:rPr>
        <w:t xml:space="preserve">podrá recibir y custodiar valores y dinero en efectivo por cuenta de los Terceros de los Miembros y de toda su estructura de cuentas que lo designen en tal calidad, así como realizar la entrega de valores y los pagos de efectivo a </w:t>
      </w:r>
      <w:r w:rsidRPr="002C0D19">
        <w:rPr>
          <w:rFonts w:ascii="Arial Narrow" w:eastAsia="Calibri" w:hAnsi="Arial Narrow"/>
          <w:b/>
        </w:rPr>
        <w:t>LA CRCC</w:t>
      </w:r>
      <w:r w:rsidRPr="002C0D19">
        <w:rPr>
          <w:rFonts w:ascii="Arial Narrow" w:eastAsia="Calibri" w:hAnsi="Arial Narrow"/>
        </w:rPr>
        <w:t xml:space="preserve"> para el cumplimiento de las obligaciones a cargo de los Terceros de los Miembros, derivadas de la Compensación y Liquidación de operaciones, todo ello de conformidad con los términos y condiciones establecidos en el Reglamento de Funcionamiento de </w:t>
      </w:r>
      <w:r w:rsidRPr="002C0D19">
        <w:rPr>
          <w:rFonts w:ascii="Arial Narrow" w:eastAsia="Calibri" w:hAnsi="Arial Narrow"/>
          <w:b/>
        </w:rPr>
        <w:t>LA CRCC</w:t>
      </w:r>
      <w:r w:rsidRPr="002C0D19">
        <w:rPr>
          <w:rFonts w:ascii="Arial Narrow" w:eastAsia="Calibri" w:hAnsi="Arial Narrow"/>
        </w:rPr>
        <w:t>, en adelante el “Reglamento”.</w:t>
      </w:r>
    </w:p>
    <w:p w14:paraId="0D0E669D" w14:textId="77777777" w:rsidR="007968EC" w:rsidRPr="002C0D19" w:rsidRDefault="007968EC" w:rsidP="007968EC">
      <w:pPr>
        <w:jc w:val="both"/>
        <w:rPr>
          <w:rFonts w:ascii="Arial Narrow" w:eastAsia="Calibri" w:hAnsi="Arial Narrow"/>
        </w:rPr>
      </w:pPr>
    </w:p>
    <w:p w14:paraId="7C834057" w14:textId="77777777" w:rsidR="007968EC" w:rsidRPr="002C0D19" w:rsidRDefault="007968EC" w:rsidP="007968EC">
      <w:pPr>
        <w:jc w:val="both"/>
        <w:rPr>
          <w:rFonts w:ascii="Arial Narrow" w:eastAsia="Calibri" w:hAnsi="Arial Narrow"/>
        </w:rPr>
      </w:pPr>
      <w:r w:rsidRPr="002C0D19">
        <w:rPr>
          <w:rFonts w:ascii="Arial Narrow" w:eastAsia="Calibri" w:hAnsi="Arial Narrow"/>
        </w:rPr>
        <w:t xml:space="preserve">Los depósitos centralizados de valores y las Cuentas de las que es titular </w:t>
      </w:r>
      <w:r w:rsidRPr="002C0D19">
        <w:rPr>
          <w:rFonts w:ascii="Arial Narrow" w:eastAsia="Calibri" w:hAnsi="Arial Narrow"/>
          <w:b/>
        </w:rPr>
        <w:t>EL AGENTE</w:t>
      </w:r>
      <w:r w:rsidRPr="002C0D19">
        <w:rPr>
          <w:rFonts w:ascii="Arial Narrow" w:eastAsia="Calibri" w:hAnsi="Arial Narrow"/>
        </w:rPr>
        <w:t xml:space="preserve"> en los mismos, y a través de las cuales desarrollará sus funciones, son las siguientes:</w:t>
      </w:r>
    </w:p>
    <w:p w14:paraId="5248495B" w14:textId="77777777" w:rsidR="007968EC" w:rsidRPr="002C0D19" w:rsidRDefault="007968EC" w:rsidP="007968EC">
      <w:pPr>
        <w:jc w:val="both"/>
        <w:rPr>
          <w:rFonts w:ascii="Arial Narrow" w:eastAsia="Calibri" w:hAnsi="Arial Narrow"/>
        </w:rPr>
      </w:pPr>
      <w:r w:rsidRPr="002C0D19">
        <w:rPr>
          <w:rFonts w:ascii="Arial Narrow" w:eastAsia="Calibri" w:hAnsi="Arial Narrow"/>
        </w:rPr>
        <w:t>________________________________________________________________________________________________________________________________________________________________________________________________________________________</w:t>
      </w:r>
    </w:p>
    <w:p w14:paraId="3A331CB9" w14:textId="77777777" w:rsidR="007968EC" w:rsidRPr="002C0D19" w:rsidRDefault="007968EC" w:rsidP="007968EC">
      <w:pPr>
        <w:jc w:val="both"/>
        <w:rPr>
          <w:rFonts w:ascii="Arial Narrow" w:eastAsia="Calibri" w:hAnsi="Arial Narrow"/>
          <w:lang w:val="es-ES"/>
        </w:rPr>
      </w:pPr>
    </w:p>
    <w:p w14:paraId="55E1B7ED" w14:textId="77777777" w:rsidR="007968EC" w:rsidRPr="002C0D19" w:rsidRDefault="007968EC" w:rsidP="007968EC">
      <w:pPr>
        <w:jc w:val="both"/>
        <w:rPr>
          <w:rFonts w:ascii="Arial Narrow" w:eastAsia="Calibri" w:hAnsi="Arial Narrow"/>
          <w:lang w:val="es-ES"/>
        </w:rPr>
      </w:pPr>
      <w:r w:rsidRPr="002C0D19">
        <w:rPr>
          <w:rFonts w:ascii="Arial Narrow" w:eastAsia="Calibri" w:hAnsi="Arial Narrow"/>
          <w:lang w:val="es-ES"/>
        </w:rPr>
        <w:t xml:space="preserve">Las Cuentas de Depósito de las que es titular </w:t>
      </w:r>
      <w:r w:rsidRPr="002C0D19">
        <w:rPr>
          <w:rFonts w:ascii="Arial Narrow" w:eastAsia="Calibri" w:hAnsi="Arial Narrow"/>
          <w:b/>
          <w:lang w:val="es-ES"/>
        </w:rPr>
        <w:t>EL AGENTE</w:t>
      </w:r>
      <w:r w:rsidRPr="002C0D19">
        <w:rPr>
          <w:rFonts w:ascii="Arial Narrow" w:eastAsia="Calibri" w:hAnsi="Arial Narrow"/>
          <w:lang w:val="es-ES"/>
        </w:rPr>
        <w:t xml:space="preserve"> ante el Banco de la República y a través de las cuales desarrollará sus funciones, son las siguientes:</w:t>
      </w:r>
    </w:p>
    <w:p w14:paraId="4F59ED51" w14:textId="77777777" w:rsidR="007968EC" w:rsidRPr="002C0D19" w:rsidRDefault="007968EC" w:rsidP="007968EC">
      <w:pPr>
        <w:jc w:val="both"/>
        <w:rPr>
          <w:rFonts w:ascii="Arial Narrow" w:eastAsia="Calibri" w:hAnsi="Arial Narrow"/>
          <w:lang w:val="es-ES"/>
        </w:rPr>
      </w:pPr>
    </w:p>
    <w:p w14:paraId="47F21DAF" w14:textId="77777777" w:rsidR="007968EC" w:rsidRPr="002C0D19" w:rsidRDefault="007968EC" w:rsidP="007968EC">
      <w:pPr>
        <w:jc w:val="both"/>
        <w:rPr>
          <w:rFonts w:ascii="Arial Narrow" w:eastAsia="Calibri" w:hAnsi="Arial Narrow"/>
          <w:lang w:val="es-ES"/>
        </w:rPr>
      </w:pPr>
      <w:r w:rsidRPr="002C0D19">
        <w:rPr>
          <w:rFonts w:ascii="Arial Narrow" w:eastAsia="Calibri" w:hAnsi="Arial Narrow"/>
          <w:lang w:val="es-ES"/>
        </w:rPr>
        <w:t>________________________________________________________________________________________________________________________________________________________________________________________________________________________</w:t>
      </w:r>
    </w:p>
    <w:p w14:paraId="2E699393" w14:textId="77777777" w:rsidR="007968EC" w:rsidRPr="002C0D19" w:rsidRDefault="007968EC" w:rsidP="007968EC">
      <w:pPr>
        <w:jc w:val="both"/>
        <w:rPr>
          <w:rFonts w:ascii="Arial Narrow" w:eastAsia="Calibri" w:hAnsi="Arial Narrow"/>
          <w:lang w:val="es-ES"/>
        </w:rPr>
      </w:pPr>
    </w:p>
    <w:p w14:paraId="234F2F71" w14:textId="77777777" w:rsidR="007968EC" w:rsidRPr="002C0D19" w:rsidRDefault="007968EC" w:rsidP="007968EC">
      <w:pPr>
        <w:jc w:val="both"/>
        <w:rPr>
          <w:rFonts w:ascii="Arial Narrow" w:eastAsia="Calibri" w:hAnsi="Arial Narrow"/>
        </w:rPr>
      </w:pPr>
      <w:r w:rsidRPr="002C0D19">
        <w:rPr>
          <w:rFonts w:ascii="Arial Narrow" w:eastAsia="Calibri" w:hAnsi="Arial Narrow"/>
          <w:b/>
        </w:rPr>
        <w:t>PARÁGRAFO.</w:t>
      </w:r>
      <w:r w:rsidRPr="002C0D19">
        <w:rPr>
          <w:rFonts w:ascii="Arial Narrow" w:eastAsia="Calibri" w:hAnsi="Arial Narrow"/>
        </w:rPr>
        <w:t xml:space="preserve"> Los términos que se utilizan en esta Oferta de Servicios, cuya primera letra sea una mayúscula, y que no se encuentren expresamente definidos en esta Oferta, tendrán el significado que se le atribuye a tales términos en el Reglamento.</w:t>
      </w:r>
    </w:p>
    <w:p w14:paraId="2FDBCF01" w14:textId="77777777" w:rsidR="007968EC" w:rsidRPr="002C0D19" w:rsidRDefault="007968EC" w:rsidP="007968EC">
      <w:pPr>
        <w:jc w:val="both"/>
        <w:rPr>
          <w:rFonts w:ascii="Arial Narrow" w:eastAsia="Calibri" w:hAnsi="Arial Narrow"/>
        </w:rPr>
      </w:pPr>
    </w:p>
    <w:p w14:paraId="1EA121BF" w14:textId="77777777" w:rsidR="007968EC" w:rsidRPr="002C0D19" w:rsidRDefault="007968EC" w:rsidP="007968EC">
      <w:pPr>
        <w:jc w:val="both"/>
        <w:rPr>
          <w:rFonts w:ascii="Arial Narrow" w:eastAsia="Calibri" w:hAnsi="Arial Narrow"/>
        </w:rPr>
      </w:pPr>
      <w:r w:rsidRPr="002C0D19">
        <w:rPr>
          <w:rFonts w:ascii="Arial Narrow" w:eastAsia="Calibri" w:hAnsi="Arial Narrow"/>
          <w:b/>
          <w:u w:val="single"/>
        </w:rPr>
        <w:lastRenderedPageBreak/>
        <w:t>SEGUNDA. Declaraciones, Manifestaciones y Autorizaciones.</w:t>
      </w:r>
      <w:r w:rsidRPr="002C0D19">
        <w:rPr>
          <w:rFonts w:ascii="Arial Narrow" w:eastAsia="Calibri" w:hAnsi="Arial Narrow"/>
        </w:rPr>
        <w:t xml:space="preserve"> Mediante la aceptación de la presente Oferta, </w:t>
      </w:r>
      <w:r w:rsidRPr="002C0D19">
        <w:rPr>
          <w:rFonts w:ascii="Arial Narrow" w:eastAsia="Calibri" w:hAnsi="Arial Narrow"/>
          <w:b/>
        </w:rPr>
        <w:t>EL AGENTE</w:t>
      </w:r>
      <w:r w:rsidRPr="002C0D19">
        <w:rPr>
          <w:rFonts w:ascii="Arial Narrow" w:eastAsia="Calibri" w:hAnsi="Arial Narrow"/>
        </w:rPr>
        <w:t>:</w:t>
      </w:r>
    </w:p>
    <w:p w14:paraId="269861B3" w14:textId="77777777" w:rsidR="007968EC" w:rsidRPr="002C0D19" w:rsidRDefault="007968EC" w:rsidP="007968EC">
      <w:pPr>
        <w:jc w:val="both"/>
        <w:rPr>
          <w:rFonts w:ascii="Arial Narrow" w:eastAsia="Calibri" w:hAnsi="Arial Narrow"/>
        </w:rPr>
      </w:pPr>
    </w:p>
    <w:p w14:paraId="3EE8C42E" w14:textId="77777777" w:rsidR="007968EC" w:rsidRPr="002C0D19" w:rsidRDefault="007968EC" w:rsidP="00DA7472">
      <w:pPr>
        <w:numPr>
          <w:ilvl w:val="0"/>
          <w:numId w:val="288"/>
        </w:numPr>
        <w:ind w:left="426" w:hanging="426"/>
        <w:jc w:val="both"/>
        <w:rPr>
          <w:rFonts w:ascii="Arial Narrow" w:eastAsia="Calibri" w:hAnsi="Arial Narrow"/>
        </w:rPr>
      </w:pPr>
      <w:r w:rsidRPr="002C0D19">
        <w:rPr>
          <w:rFonts w:ascii="Arial Narrow" w:eastAsia="Calibri" w:hAnsi="Arial Narrow"/>
        </w:rPr>
        <w:t xml:space="preserve">Declara expresamente conocer y aceptar en su integridad el Reglamento, las Circulares y los Instructivos Operativos de </w:t>
      </w:r>
      <w:r w:rsidRPr="002C0D19">
        <w:rPr>
          <w:rFonts w:ascii="Arial Narrow" w:eastAsia="Calibri" w:hAnsi="Arial Narrow"/>
          <w:b/>
        </w:rPr>
        <w:t>LA CRCC</w:t>
      </w:r>
      <w:r w:rsidRPr="002C0D19">
        <w:rPr>
          <w:rFonts w:ascii="Arial Narrow" w:eastAsia="Calibri" w:hAnsi="Arial Narrow"/>
        </w:rPr>
        <w:t>, los cuales se consideran parte integral de la presente Oferta de Servicios.</w:t>
      </w:r>
    </w:p>
    <w:p w14:paraId="02BADC60" w14:textId="77777777" w:rsidR="007968EC" w:rsidRPr="002C0D19" w:rsidRDefault="007968EC" w:rsidP="00DA7472">
      <w:pPr>
        <w:numPr>
          <w:ilvl w:val="0"/>
          <w:numId w:val="288"/>
        </w:numPr>
        <w:ind w:left="426" w:hanging="426"/>
        <w:jc w:val="both"/>
        <w:rPr>
          <w:rFonts w:ascii="Arial Narrow" w:eastAsia="Calibri" w:hAnsi="Arial Narrow"/>
        </w:rPr>
      </w:pPr>
      <w:r w:rsidRPr="002C0D19">
        <w:rPr>
          <w:rFonts w:ascii="Arial Narrow" w:eastAsia="Calibri" w:hAnsi="Arial Narrow"/>
        </w:rPr>
        <w:t xml:space="preserve">Declara conocer la reglamentación de las bolsas, sistemas de negociación y registro, mercado mostrador y cualquier Mecanismo de Contratación en donde se transen, los Activos Compensados y Liquidados a través de </w:t>
      </w:r>
      <w:r w:rsidRPr="002C0D19">
        <w:rPr>
          <w:rFonts w:ascii="Arial Narrow" w:eastAsia="Calibri" w:hAnsi="Arial Narrow"/>
          <w:b/>
        </w:rPr>
        <w:t>LA CRCC</w:t>
      </w:r>
      <w:r w:rsidRPr="002C0D19">
        <w:rPr>
          <w:rFonts w:ascii="Arial Narrow" w:eastAsia="Calibri" w:hAnsi="Arial Narrow"/>
        </w:rPr>
        <w:t>.</w:t>
      </w:r>
    </w:p>
    <w:p w14:paraId="55A5032D" w14:textId="77777777" w:rsidR="007968EC" w:rsidRPr="002C0D19" w:rsidRDefault="007968EC" w:rsidP="00DA7472">
      <w:pPr>
        <w:numPr>
          <w:ilvl w:val="0"/>
          <w:numId w:val="288"/>
        </w:numPr>
        <w:ind w:left="426" w:hanging="426"/>
        <w:jc w:val="both"/>
        <w:rPr>
          <w:rFonts w:ascii="Arial Narrow" w:eastAsia="Calibri" w:hAnsi="Arial Narrow"/>
        </w:rPr>
      </w:pPr>
      <w:r w:rsidRPr="002C0D19">
        <w:rPr>
          <w:rFonts w:ascii="Arial Narrow" w:eastAsia="Calibri" w:hAnsi="Arial Narrow"/>
        </w:rPr>
        <w:t>Manifiesta y acepta que en lo no previsto expresamente en la presente Oferta, se aplicará lo dispuesto en el Reglamento.</w:t>
      </w:r>
    </w:p>
    <w:p w14:paraId="3677A6F3" w14:textId="77777777" w:rsidR="007968EC" w:rsidRPr="002C0D19" w:rsidRDefault="007968EC" w:rsidP="00DA7472">
      <w:pPr>
        <w:numPr>
          <w:ilvl w:val="0"/>
          <w:numId w:val="288"/>
        </w:numPr>
        <w:ind w:left="426" w:hanging="426"/>
        <w:jc w:val="both"/>
        <w:rPr>
          <w:rFonts w:ascii="Arial Narrow" w:eastAsia="Calibri" w:hAnsi="Arial Narrow"/>
        </w:rPr>
      </w:pPr>
      <w:r w:rsidRPr="002C0D19">
        <w:rPr>
          <w:rFonts w:ascii="Arial Narrow" w:eastAsia="Calibri" w:hAnsi="Arial Narrow"/>
        </w:rPr>
        <w:t>Manifiesta que cumple con las condiciones y requisitos establecidos en el Reglamento para tener la calidad de Agente.</w:t>
      </w:r>
    </w:p>
    <w:p w14:paraId="274C7B57" w14:textId="77777777" w:rsidR="007968EC" w:rsidRPr="002C0D19" w:rsidRDefault="007968EC" w:rsidP="00DA7472">
      <w:pPr>
        <w:numPr>
          <w:ilvl w:val="0"/>
          <w:numId w:val="288"/>
        </w:numPr>
        <w:ind w:left="426" w:hanging="426"/>
        <w:jc w:val="both"/>
        <w:rPr>
          <w:rFonts w:ascii="Arial Narrow" w:eastAsia="Calibri" w:hAnsi="Arial Narrow"/>
        </w:rPr>
      </w:pPr>
      <w:r w:rsidRPr="002C0D19">
        <w:rPr>
          <w:rFonts w:ascii="Arial Narrow" w:eastAsia="Calibri" w:hAnsi="Arial Narrow"/>
        </w:rPr>
        <w:t xml:space="preserve">Autoriza a </w:t>
      </w:r>
      <w:r w:rsidRPr="002C0D19">
        <w:rPr>
          <w:rFonts w:ascii="Arial Narrow" w:eastAsia="Calibri" w:hAnsi="Arial Narrow"/>
          <w:b/>
        </w:rPr>
        <w:t>LA CRCC</w:t>
      </w:r>
      <w:r w:rsidRPr="002C0D19">
        <w:rPr>
          <w:rFonts w:ascii="Arial Narrow" w:eastAsia="Calibri" w:hAnsi="Arial Narrow"/>
        </w:rPr>
        <w:t xml:space="preserve"> para verificar, en cualquier momento, el cumplimiento de los requisitos y condiciones que dieron lugar a su admisión como Agente. La verificación la puede hacer </w:t>
      </w:r>
      <w:r w:rsidRPr="002C0D19">
        <w:rPr>
          <w:rFonts w:ascii="Arial Narrow" w:eastAsia="Calibri" w:hAnsi="Arial Narrow"/>
          <w:b/>
        </w:rPr>
        <w:t>LA CRCC</w:t>
      </w:r>
      <w:r w:rsidRPr="002C0D19">
        <w:rPr>
          <w:rFonts w:ascii="Arial Narrow" w:eastAsia="Calibri" w:hAnsi="Arial Narrow"/>
        </w:rPr>
        <w:t xml:space="preserve"> directamente o a través de un tercero especializado, según la materia o asunto a verificar, y el costo de dicha verificación podrá ser a cargo de </w:t>
      </w:r>
      <w:r w:rsidRPr="002C0D19">
        <w:rPr>
          <w:rFonts w:ascii="Arial Narrow" w:eastAsia="Calibri" w:hAnsi="Arial Narrow"/>
          <w:b/>
        </w:rPr>
        <w:t>EL AGENTE</w:t>
      </w:r>
      <w:r w:rsidRPr="002C0D19">
        <w:rPr>
          <w:rFonts w:ascii="Arial Narrow" w:eastAsia="Calibri" w:hAnsi="Arial Narrow"/>
        </w:rPr>
        <w:t>.</w:t>
      </w:r>
    </w:p>
    <w:p w14:paraId="3C2481E3" w14:textId="77777777" w:rsidR="007968EC" w:rsidRPr="002C0D19" w:rsidRDefault="007968EC" w:rsidP="00DA7472">
      <w:pPr>
        <w:numPr>
          <w:ilvl w:val="0"/>
          <w:numId w:val="288"/>
        </w:numPr>
        <w:ind w:left="426" w:hanging="426"/>
        <w:jc w:val="both"/>
        <w:rPr>
          <w:rFonts w:ascii="Arial Narrow" w:eastAsia="Calibri" w:hAnsi="Arial Narrow"/>
        </w:rPr>
      </w:pPr>
      <w:r w:rsidRPr="002C0D19">
        <w:rPr>
          <w:rFonts w:ascii="Arial Narrow" w:eastAsia="Calibri" w:hAnsi="Arial Narrow"/>
        </w:rPr>
        <w:t xml:space="preserve">Autoriza expresa y formalmente a </w:t>
      </w:r>
      <w:r w:rsidRPr="002C0D19">
        <w:rPr>
          <w:rFonts w:ascii="Arial Narrow" w:eastAsia="Calibri" w:hAnsi="Arial Narrow"/>
          <w:b/>
        </w:rPr>
        <w:t>LA CRCC</w:t>
      </w:r>
      <w:r w:rsidRPr="002C0D19">
        <w:rPr>
          <w:rFonts w:ascii="Arial Narrow" w:eastAsia="Calibri" w:hAnsi="Arial Narrow"/>
        </w:rPr>
        <w:t xml:space="preserve"> para que, en ejercicio de sus funciones, en su calidad de </w:t>
      </w:r>
      <w:r w:rsidRPr="002C0D19">
        <w:rPr>
          <w:rFonts w:ascii="Arial Narrow" w:eastAsia="Calibri" w:hAnsi="Arial Narrow"/>
          <w:b/>
        </w:rPr>
        <w:t xml:space="preserve">AGENTE </w:t>
      </w:r>
      <w:r w:rsidRPr="002C0D19">
        <w:rPr>
          <w:rFonts w:ascii="Arial Narrow" w:eastAsia="Calibri" w:hAnsi="Arial Narrow"/>
        </w:rPr>
        <w:t xml:space="preserve">de los Terceros de los Miembros Liquidadores y de los Miembros No Liquidadores, pueda debitar o acreditar automáticamente las cuentas de depósito de valores de las que son titulares los Terceros del </w:t>
      </w:r>
      <w:r w:rsidRPr="002C0D19">
        <w:rPr>
          <w:rFonts w:ascii="Arial Narrow" w:eastAsia="Calibri" w:hAnsi="Arial Narrow"/>
          <w:b/>
        </w:rPr>
        <w:t xml:space="preserve">EL AGENTE </w:t>
      </w:r>
      <w:r w:rsidRPr="002C0D19">
        <w:rPr>
          <w:rFonts w:ascii="Arial Narrow" w:eastAsia="Calibri" w:hAnsi="Arial Narrow"/>
        </w:rPr>
        <w:t>ante los depósitos centralizados de valores, incluyendo la cuentas de depósito de la que son titulares los Terceros en calidad de Depositantes Indirectos, sin perjuicio de las responsabilidades de los Miembros Liquidadores bajo el Reglamento.</w:t>
      </w:r>
    </w:p>
    <w:p w14:paraId="5F97ADAA" w14:textId="77777777" w:rsidR="007968EC" w:rsidRPr="002C0D19" w:rsidRDefault="007968EC" w:rsidP="00DA7472">
      <w:pPr>
        <w:numPr>
          <w:ilvl w:val="0"/>
          <w:numId w:val="288"/>
        </w:numPr>
        <w:ind w:left="426" w:hanging="426"/>
        <w:jc w:val="both"/>
        <w:rPr>
          <w:rFonts w:ascii="Arial Narrow" w:eastAsia="Calibri" w:hAnsi="Arial Narrow"/>
        </w:rPr>
      </w:pPr>
      <w:r w:rsidRPr="002C0D19">
        <w:rPr>
          <w:rFonts w:ascii="Arial Narrow" w:eastAsia="Calibri" w:hAnsi="Arial Narrow"/>
        </w:rPr>
        <w:t xml:space="preserve">Autoriza expresa y formalmente a </w:t>
      </w:r>
      <w:r w:rsidRPr="002C0D19">
        <w:rPr>
          <w:rFonts w:ascii="Arial Narrow" w:eastAsia="Calibri" w:hAnsi="Arial Narrow"/>
          <w:b/>
        </w:rPr>
        <w:t>LA CRCC</w:t>
      </w:r>
      <w:r w:rsidRPr="002C0D19">
        <w:rPr>
          <w:rFonts w:ascii="Arial Narrow" w:eastAsia="Calibri" w:hAnsi="Arial Narrow"/>
        </w:rPr>
        <w:t xml:space="preserve"> para que, en ejercicio de sus funciones, en su calidad de </w:t>
      </w:r>
      <w:r w:rsidRPr="002C0D19">
        <w:rPr>
          <w:rFonts w:ascii="Arial Narrow" w:eastAsia="Calibri" w:hAnsi="Arial Narrow"/>
          <w:b/>
        </w:rPr>
        <w:t xml:space="preserve">AGENTE </w:t>
      </w:r>
      <w:r w:rsidRPr="002C0D19">
        <w:rPr>
          <w:rFonts w:ascii="Arial Narrow" w:eastAsia="Calibri" w:hAnsi="Arial Narrow"/>
        </w:rPr>
        <w:t xml:space="preserve">de los Terceros de los Miembros Liquidadores y de los Miembros No Liquidadores, pueda debitar o acreditar automáticamente las cuentas de efectivo de </w:t>
      </w:r>
      <w:r w:rsidRPr="002C0D19">
        <w:rPr>
          <w:rFonts w:ascii="Arial Narrow" w:eastAsia="Calibri" w:hAnsi="Arial Narrow"/>
          <w:b/>
        </w:rPr>
        <w:t xml:space="preserve">EL AGENTE </w:t>
      </w:r>
      <w:r w:rsidRPr="002C0D19">
        <w:rPr>
          <w:rFonts w:ascii="Arial Narrow" w:eastAsia="Calibri" w:hAnsi="Arial Narrow"/>
        </w:rPr>
        <w:t>ante el Banco de la República.</w:t>
      </w:r>
    </w:p>
    <w:p w14:paraId="58EE488B" w14:textId="77777777" w:rsidR="007968EC" w:rsidRPr="002C0D19" w:rsidRDefault="007968EC" w:rsidP="00DA7472">
      <w:pPr>
        <w:numPr>
          <w:ilvl w:val="0"/>
          <w:numId w:val="288"/>
        </w:numPr>
        <w:ind w:left="426" w:hanging="426"/>
        <w:jc w:val="both"/>
        <w:rPr>
          <w:rFonts w:ascii="Arial Narrow" w:eastAsia="Calibri" w:hAnsi="Arial Narrow"/>
        </w:rPr>
      </w:pPr>
      <w:r w:rsidRPr="002C0D19">
        <w:rPr>
          <w:rFonts w:ascii="Arial Narrow" w:eastAsia="Calibri" w:hAnsi="Arial Narrow"/>
        </w:rPr>
        <w:t xml:space="preserve">Autoriza a </w:t>
      </w:r>
      <w:r w:rsidRPr="002C0D19">
        <w:rPr>
          <w:rFonts w:ascii="Arial Narrow" w:eastAsia="Calibri" w:hAnsi="Arial Narrow"/>
          <w:b/>
        </w:rPr>
        <w:t>LA CRCC</w:t>
      </w:r>
      <w:r w:rsidRPr="002C0D19">
        <w:rPr>
          <w:rFonts w:ascii="Arial Narrow" w:eastAsia="Calibri" w:hAnsi="Arial Narrow"/>
        </w:rPr>
        <w:t xml:space="preserve"> para transmitir información de </w:t>
      </w:r>
      <w:r w:rsidRPr="002C0D19">
        <w:rPr>
          <w:rFonts w:ascii="Arial Narrow" w:eastAsia="Calibri" w:hAnsi="Arial Narrow"/>
          <w:b/>
        </w:rPr>
        <w:t xml:space="preserve">EL AGENTE </w:t>
      </w:r>
      <w:r w:rsidRPr="002C0D19">
        <w:rPr>
          <w:rFonts w:ascii="Arial Narrow" w:eastAsia="Calibri" w:hAnsi="Arial Narrow"/>
        </w:rPr>
        <w:t>a las autoridades u organismos competentes que se lo soliciten.</w:t>
      </w:r>
    </w:p>
    <w:p w14:paraId="4861EB04" w14:textId="77777777" w:rsidR="007968EC" w:rsidRPr="002C0D19" w:rsidRDefault="007968EC" w:rsidP="00DA7472">
      <w:pPr>
        <w:numPr>
          <w:ilvl w:val="0"/>
          <w:numId w:val="288"/>
        </w:numPr>
        <w:ind w:left="426" w:hanging="426"/>
        <w:jc w:val="both"/>
        <w:rPr>
          <w:rFonts w:ascii="Arial Narrow" w:eastAsia="Calibri" w:hAnsi="Arial Narrow"/>
        </w:rPr>
      </w:pPr>
      <w:r w:rsidRPr="002C0D19">
        <w:rPr>
          <w:rFonts w:ascii="Arial Narrow" w:eastAsia="Calibri" w:hAnsi="Arial Narrow"/>
        </w:rPr>
        <w:t xml:space="preserve">Acepta expresamente que </w:t>
      </w:r>
      <w:r w:rsidRPr="002C0D19">
        <w:rPr>
          <w:rFonts w:ascii="Arial Narrow" w:eastAsia="Calibri" w:hAnsi="Arial Narrow"/>
          <w:b/>
        </w:rPr>
        <w:t>LA CRCC</w:t>
      </w:r>
      <w:r w:rsidRPr="002C0D19">
        <w:rPr>
          <w:rFonts w:ascii="Arial Narrow" w:eastAsia="Calibri" w:hAnsi="Arial Narrow"/>
        </w:rPr>
        <w:t xml:space="preserve"> informe a las Autoridades Competentes sobre el incumplimiento de las obligaciones a su cargo.</w:t>
      </w:r>
    </w:p>
    <w:p w14:paraId="6F81CF38" w14:textId="77777777" w:rsidR="007968EC" w:rsidRPr="002C0D19" w:rsidRDefault="007968EC" w:rsidP="00DA7472">
      <w:pPr>
        <w:numPr>
          <w:ilvl w:val="0"/>
          <w:numId w:val="288"/>
        </w:numPr>
        <w:ind w:left="426" w:hanging="426"/>
        <w:jc w:val="both"/>
        <w:rPr>
          <w:rFonts w:ascii="Arial Narrow" w:eastAsia="Calibri" w:hAnsi="Arial Narrow"/>
        </w:rPr>
      </w:pPr>
      <w:r w:rsidRPr="002C0D19">
        <w:rPr>
          <w:rFonts w:ascii="Arial Narrow" w:eastAsia="Calibri" w:hAnsi="Arial Narrow"/>
        </w:rPr>
        <w:t xml:space="preserve">Autoriza a </w:t>
      </w:r>
      <w:r w:rsidRPr="002C0D19">
        <w:rPr>
          <w:rFonts w:ascii="Arial Narrow" w:eastAsia="Calibri" w:hAnsi="Arial Narrow"/>
          <w:b/>
        </w:rPr>
        <w:t>LA CRCC</w:t>
      </w:r>
      <w:r w:rsidRPr="002C0D19">
        <w:rPr>
          <w:rFonts w:ascii="Arial Narrow" w:eastAsia="Calibri" w:hAnsi="Arial Narrow"/>
        </w:rPr>
        <w:t xml:space="preserve"> y a los Miembros Liquidadores con quienes </w:t>
      </w:r>
      <w:r w:rsidRPr="002C0D19">
        <w:rPr>
          <w:rFonts w:ascii="Arial Narrow" w:eastAsia="Calibri" w:hAnsi="Arial Narrow"/>
          <w:b/>
        </w:rPr>
        <w:t>EL AGENTE</w:t>
      </w:r>
      <w:r w:rsidRPr="002C0D19">
        <w:rPr>
          <w:rFonts w:ascii="Arial Narrow" w:eastAsia="Calibri" w:hAnsi="Arial Narrow"/>
        </w:rPr>
        <w:t xml:space="preserve"> tiene Convenio, para que todas las comunicaciones telefónicas que sus funcionarios, operadores, empleados, contratistas, subcontratistas y/o dependientes tengan con </w:t>
      </w:r>
      <w:r w:rsidRPr="002C0D19">
        <w:rPr>
          <w:rFonts w:ascii="Arial Narrow" w:eastAsia="Calibri" w:hAnsi="Arial Narrow"/>
          <w:b/>
        </w:rPr>
        <w:t>LA CRCC</w:t>
      </w:r>
      <w:r w:rsidRPr="002C0D19">
        <w:rPr>
          <w:rFonts w:ascii="Arial Narrow" w:eastAsia="Calibri" w:hAnsi="Arial Narrow"/>
        </w:rPr>
        <w:t xml:space="preserve"> sean grabadas y que las mismas, en caso de requerirse, puedan ser presentadas como medio de prueba.</w:t>
      </w:r>
    </w:p>
    <w:p w14:paraId="61F77E38" w14:textId="77777777" w:rsidR="007968EC" w:rsidRPr="002C0D19" w:rsidRDefault="007968EC" w:rsidP="007968EC">
      <w:pPr>
        <w:jc w:val="both"/>
        <w:rPr>
          <w:rFonts w:ascii="Arial Narrow" w:eastAsia="Calibri" w:hAnsi="Arial Narrow"/>
        </w:rPr>
      </w:pPr>
    </w:p>
    <w:p w14:paraId="6EB21351" w14:textId="77777777" w:rsidR="007968EC" w:rsidRPr="002C0D19" w:rsidRDefault="007968EC" w:rsidP="007968EC">
      <w:pPr>
        <w:jc w:val="both"/>
        <w:rPr>
          <w:rFonts w:ascii="Arial Narrow" w:eastAsia="Calibri" w:hAnsi="Arial Narrow"/>
        </w:rPr>
      </w:pPr>
      <w:r w:rsidRPr="002C0D19">
        <w:rPr>
          <w:rFonts w:ascii="Arial Narrow" w:eastAsia="Calibri" w:hAnsi="Arial Narrow"/>
          <w:b/>
          <w:u w:val="single"/>
        </w:rPr>
        <w:t>TERCERA. Obligaciones de EL AGENTE.</w:t>
      </w:r>
      <w:r w:rsidRPr="002C0D19">
        <w:rPr>
          <w:rFonts w:ascii="Arial Narrow" w:eastAsia="Calibri" w:hAnsi="Arial Narrow"/>
        </w:rPr>
        <w:t xml:space="preserve"> Sin perjuicio de las obligaciones previstas en las demás cláusulas de la presente Oferta, en el Reglamento, en las Circulares y en los Instructivos Operativos de </w:t>
      </w:r>
      <w:r w:rsidRPr="002C0D19">
        <w:rPr>
          <w:rFonts w:ascii="Arial Narrow" w:eastAsia="Calibri" w:hAnsi="Arial Narrow"/>
          <w:b/>
        </w:rPr>
        <w:t>LA CRCC</w:t>
      </w:r>
      <w:r w:rsidRPr="002C0D19">
        <w:rPr>
          <w:rFonts w:ascii="Arial Narrow" w:eastAsia="Calibri" w:hAnsi="Arial Narrow"/>
        </w:rPr>
        <w:t xml:space="preserve">, son obligaciones principales de </w:t>
      </w:r>
      <w:r w:rsidRPr="002C0D19">
        <w:rPr>
          <w:rFonts w:ascii="Arial Narrow" w:eastAsia="Calibri" w:hAnsi="Arial Narrow"/>
          <w:b/>
        </w:rPr>
        <w:t>EL AGENTE</w:t>
      </w:r>
      <w:r w:rsidRPr="002C0D19">
        <w:rPr>
          <w:rFonts w:ascii="Arial Narrow" w:eastAsia="Calibri" w:hAnsi="Arial Narrow"/>
        </w:rPr>
        <w:t>, las siguientes:</w:t>
      </w:r>
    </w:p>
    <w:p w14:paraId="409BF69F" w14:textId="77777777" w:rsidR="007968EC" w:rsidRPr="002C0D19" w:rsidRDefault="007968EC" w:rsidP="007968EC">
      <w:pPr>
        <w:jc w:val="both"/>
        <w:rPr>
          <w:rFonts w:ascii="Arial Narrow" w:eastAsia="Calibri" w:hAnsi="Arial Narrow"/>
        </w:rPr>
      </w:pPr>
    </w:p>
    <w:p w14:paraId="3A5116B1" w14:textId="77777777" w:rsidR="007968EC" w:rsidRPr="002C0D19" w:rsidRDefault="007968EC" w:rsidP="00DA7472">
      <w:pPr>
        <w:numPr>
          <w:ilvl w:val="0"/>
          <w:numId w:val="289"/>
        </w:numPr>
        <w:ind w:left="426" w:hanging="426"/>
        <w:jc w:val="both"/>
        <w:rPr>
          <w:rFonts w:ascii="Arial Narrow" w:eastAsia="Calibri" w:hAnsi="Arial Narrow"/>
        </w:rPr>
      </w:pPr>
      <w:r w:rsidRPr="002C0D19">
        <w:rPr>
          <w:rFonts w:ascii="Arial Narrow" w:eastAsia="Calibri" w:hAnsi="Arial Narrow"/>
        </w:rPr>
        <w:t>Cumplir y mantener en todo momento los requisitos generales y especiales de admisión como Agente.</w:t>
      </w:r>
    </w:p>
    <w:p w14:paraId="53E0517A" w14:textId="77777777" w:rsidR="007968EC" w:rsidRPr="002C0D19" w:rsidRDefault="007968EC" w:rsidP="00DA7472">
      <w:pPr>
        <w:numPr>
          <w:ilvl w:val="0"/>
          <w:numId w:val="289"/>
        </w:numPr>
        <w:ind w:left="426" w:hanging="426"/>
        <w:jc w:val="both"/>
        <w:rPr>
          <w:rFonts w:ascii="Arial Narrow" w:eastAsia="Calibri" w:hAnsi="Arial Narrow"/>
        </w:rPr>
      </w:pPr>
      <w:r w:rsidRPr="002C0D19">
        <w:rPr>
          <w:rFonts w:ascii="Arial Narrow" w:eastAsia="Calibri" w:hAnsi="Arial Narrow"/>
        </w:rPr>
        <w:t xml:space="preserve">Cumplir y hacer cumplir estrictamente a las personas vinculadas a </w:t>
      </w:r>
      <w:r w:rsidRPr="002C0D19">
        <w:rPr>
          <w:rFonts w:ascii="Arial Narrow" w:eastAsia="Calibri" w:hAnsi="Arial Narrow"/>
          <w:b/>
        </w:rPr>
        <w:t>EL AGENTE</w:t>
      </w:r>
      <w:r w:rsidRPr="002C0D19">
        <w:rPr>
          <w:rFonts w:ascii="Arial Narrow" w:eastAsia="Calibri" w:hAnsi="Arial Narrow"/>
        </w:rPr>
        <w:t xml:space="preserve">, sin restricciones ni reservas, la Ley, las instrucciones de las Autoridades Competentes, el Reglamento, las Circulares e </w:t>
      </w:r>
      <w:r w:rsidRPr="002C0D19">
        <w:rPr>
          <w:rFonts w:ascii="Arial Narrow" w:eastAsia="Calibri" w:hAnsi="Arial Narrow"/>
        </w:rPr>
        <w:lastRenderedPageBreak/>
        <w:t xml:space="preserve">Instructivos Operativos, la presente Oferta de Servicios, los Convenios con los Miembros y todas aquellas decisiones que, en uso de sus atribuciones, adopten la Junta Directiva y/o el Gerente de </w:t>
      </w:r>
      <w:r w:rsidRPr="002C0D19">
        <w:rPr>
          <w:rFonts w:ascii="Arial Narrow" w:eastAsia="Calibri" w:hAnsi="Arial Narrow"/>
          <w:b/>
        </w:rPr>
        <w:t>LA CRCC</w:t>
      </w:r>
      <w:r w:rsidRPr="002C0D19">
        <w:rPr>
          <w:rFonts w:ascii="Arial Narrow" w:eastAsia="Calibri" w:hAnsi="Arial Narrow"/>
        </w:rPr>
        <w:t xml:space="preserve"> para reglamentar su funcionamiento, divulgadas de conformidad con el Reglamento, sin que sirva de excusa o defensa la ignorancia de dichas normas o instrucciones. Lo anterior se extiende a cualquier modificación o adición que cualquier autoridad competente pueda imponer, así como a las modificaciones que </w:t>
      </w:r>
      <w:r w:rsidRPr="002C0D19">
        <w:rPr>
          <w:rFonts w:ascii="Arial Narrow" w:eastAsia="Calibri" w:hAnsi="Arial Narrow"/>
          <w:b/>
        </w:rPr>
        <w:t>LA CRCC</w:t>
      </w:r>
      <w:r w:rsidRPr="002C0D19">
        <w:rPr>
          <w:rFonts w:ascii="Arial Narrow" w:eastAsia="Calibri" w:hAnsi="Arial Narrow"/>
        </w:rPr>
        <w:t xml:space="preserve"> pueda introducir con la autorización de la Superintendencia Financiera de Colombia.</w:t>
      </w:r>
    </w:p>
    <w:p w14:paraId="5FA2929B" w14:textId="77777777" w:rsidR="007968EC" w:rsidRPr="002C0D19" w:rsidRDefault="007968EC" w:rsidP="00DA7472">
      <w:pPr>
        <w:numPr>
          <w:ilvl w:val="0"/>
          <w:numId w:val="289"/>
        </w:numPr>
        <w:ind w:left="426" w:hanging="426"/>
        <w:jc w:val="both"/>
        <w:rPr>
          <w:rFonts w:ascii="Arial Narrow" w:eastAsia="Calibri" w:hAnsi="Arial Narrow"/>
        </w:rPr>
      </w:pPr>
      <w:r w:rsidRPr="002C0D19">
        <w:rPr>
          <w:rFonts w:ascii="Arial Narrow" w:eastAsia="Calibri" w:hAnsi="Arial Narrow"/>
        </w:rPr>
        <w:t xml:space="preserve">Informar inmediatamente y por escrito a </w:t>
      </w:r>
      <w:r w:rsidRPr="002C0D19">
        <w:rPr>
          <w:rFonts w:ascii="Arial Narrow" w:eastAsia="Calibri" w:hAnsi="Arial Narrow"/>
          <w:b/>
        </w:rPr>
        <w:t>LA CRCC</w:t>
      </w:r>
      <w:r w:rsidRPr="002C0D19">
        <w:rPr>
          <w:rFonts w:ascii="Arial Narrow" w:eastAsia="Calibri" w:hAnsi="Arial Narrow"/>
        </w:rPr>
        <w:t xml:space="preserve"> sobre cualquier modificación que afecte los requisitos especiales que llevaron a su admisión como Agente.</w:t>
      </w:r>
    </w:p>
    <w:p w14:paraId="7ADF239D" w14:textId="77777777" w:rsidR="007968EC" w:rsidRPr="002C0D19" w:rsidRDefault="007968EC" w:rsidP="00DA7472">
      <w:pPr>
        <w:numPr>
          <w:ilvl w:val="0"/>
          <w:numId w:val="289"/>
        </w:numPr>
        <w:ind w:left="426" w:hanging="426"/>
        <w:jc w:val="both"/>
        <w:rPr>
          <w:rFonts w:ascii="Arial Narrow" w:eastAsia="Calibri" w:hAnsi="Arial Narrow"/>
        </w:rPr>
      </w:pPr>
      <w:r w:rsidRPr="002C0D19">
        <w:rPr>
          <w:rFonts w:ascii="Arial Narrow" w:eastAsia="Calibri" w:hAnsi="Arial Narrow"/>
        </w:rPr>
        <w:t xml:space="preserve">Celebrar un Convenio con cada uno de los Miembros Liquidadores por cuenta de los Terceros que lo designen para actuar como </w:t>
      </w:r>
      <w:r w:rsidRPr="002C0D19">
        <w:rPr>
          <w:rFonts w:ascii="Arial Narrow" w:eastAsia="Calibri" w:hAnsi="Arial Narrow"/>
          <w:b/>
        </w:rPr>
        <w:t>AGENTE</w:t>
      </w:r>
      <w:r w:rsidRPr="002C0D19">
        <w:rPr>
          <w:rFonts w:ascii="Arial Narrow" w:eastAsia="Calibri" w:hAnsi="Arial Narrow"/>
        </w:rPr>
        <w:t xml:space="preserve">, según modelo establecido por </w:t>
      </w:r>
      <w:r w:rsidRPr="002C0D19">
        <w:rPr>
          <w:rFonts w:ascii="Arial Narrow" w:eastAsia="Calibri" w:hAnsi="Arial Narrow"/>
          <w:b/>
        </w:rPr>
        <w:t>LA CRCC</w:t>
      </w:r>
      <w:r w:rsidRPr="002C0D19">
        <w:rPr>
          <w:rFonts w:ascii="Arial Narrow" w:eastAsia="Calibri" w:hAnsi="Arial Narrow"/>
        </w:rPr>
        <w:t>, el cual deberá incluir las condiciones mínimas establecidas en el Reglamento.</w:t>
      </w:r>
    </w:p>
    <w:p w14:paraId="5D664009" w14:textId="77777777" w:rsidR="007968EC" w:rsidRPr="002C0D19" w:rsidRDefault="007968EC" w:rsidP="00DA7472">
      <w:pPr>
        <w:numPr>
          <w:ilvl w:val="0"/>
          <w:numId w:val="289"/>
        </w:numPr>
        <w:ind w:left="426" w:hanging="426"/>
        <w:jc w:val="both"/>
        <w:rPr>
          <w:rFonts w:ascii="Arial Narrow" w:eastAsia="Calibri" w:hAnsi="Arial Narrow"/>
        </w:rPr>
      </w:pPr>
      <w:r w:rsidRPr="002C0D19">
        <w:rPr>
          <w:rFonts w:ascii="Arial Narrow" w:eastAsia="Calibri" w:hAnsi="Arial Narrow"/>
        </w:rPr>
        <w:t xml:space="preserve">Informar a </w:t>
      </w:r>
      <w:r w:rsidRPr="002C0D19">
        <w:rPr>
          <w:rFonts w:ascii="Arial Narrow" w:eastAsia="Calibri" w:hAnsi="Arial Narrow"/>
          <w:b/>
        </w:rPr>
        <w:t>LA CRCC</w:t>
      </w:r>
      <w:r w:rsidRPr="002C0D19">
        <w:rPr>
          <w:rFonts w:ascii="Arial Narrow" w:eastAsia="Calibri" w:hAnsi="Arial Narrow"/>
        </w:rPr>
        <w:t xml:space="preserve"> sobre los Convenios que suscriba o termine con cualquier Miembro Liquidador por cuenta de los Terceros.</w:t>
      </w:r>
    </w:p>
    <w:p w14:paraId="36B378CE" w14:textId="77777777" w:rsidR="007968EC" w:rsidRPr="002C0D19" w:rsidRDefault="007968EC" w:rsidP="00DA7472">
      <w:pPr>
        <w:numPr>
          <w:ilvl w:val="0"/>
          <w:numId w:val="289"/>
        </w:numPr>
        <w:ind w:left="426" w:hanging="426"/>
        <w:jc w:val="both"/>
        <w:rPr>
          <w:rFonts w:ascii="Arial Narrow" w:eastAsia="Calibri" w:hAnsi="Arial Narrow"/>
        </w:rPr>
      </w:pPr>
      <w:r w:rsidRPr="002C0D19">
        <w:rPr>
          <w:rFonts w:ascii="Arial Narrow" w:eastAsia="Calibri" w:hAnsi="Arial Narrow"/>
        </w:rPr>
        <w:t xml:space="preserve">Entregar a </w:t>
      </w:r>
      <w:r w:rsidRPr="002C0D19">
        <w:rPr>
          <w:rFonts w:ascii="Arial Narrow" w:eastAsia="Calibri" w:hAnsi="Arial Narrow"/>
          <w:b/>
        </w:rPr>
        <w:t>LA CRCC</w:t>
      </w:r>
      <w:r w:rsidRPr="002C0D19">
        <w:rPr>
          <w:rFonts w:ascii="Arial Narrow" w:eastAsia="Calibri" w:hAnsi="Arial Narrow"/>
        </w:rPr>
        <w:t xml:space="preserve">, a los Miembros, o a las Autoridades Competentes directamente, la información que se le solicite sobre los Miembros y sus Terceros, con quienes </w:t>
      </w:r>
      <w:r w:rsidRPr="002C0D19">
        <w:rPr>
          <w:rFonts w:ascii="Arial Narrow" w:eastAsia="Calibri" w:hAnsi="Arial Narrow"/>
          <w:b/>
        </w:rPr>
        <w:t xml:space="preserve">EL AGENTE </w:t>
      </w:r>
      <w:r w:rsidRPr="002C0D19">
        <w:rPr>
          <w:rFonts w:ascii="Arial Narrow" w:eastAsia="Calibri" w:hAnsi="Arial Narrow"/>
        </w:rPr>
        <w:t xml:space="preserve">tiene Convenio, para la atención de requerimientos que las Autoridades Competentes le hagan a </w:t>
      </w:r>
      <w:r w:rsidRPr="002C0D19">
        <w:rPr>
          <w:rFonts w:ascii="Arial Narrow" w:eastAsia="Calibri" w:hAnsi="Arial Narrow"/>
          <w:b/>
        </w:rPr>
        <w:t>LA CRCC</w:t>
      </w:r>
      <w:r w:rsidRPr="002C0D19">
        <w:rPr>
          <w:rFonts w:ascii="Arial Narrow" w:eastAsia="Calibri" w:hAnsi="Arial Narrow"/>
        </w:rPr>
        <w:t xml:space="preserve"> o a los Miembros Liquidadores.</w:t>
      </w:r>
    </w:p>
    <w:p w14:paraId="1E2E4104" w14:textId="77777777" w:rsidR="007968EC" w:rsidRPr="002C0D19" w:rsidRDefault="007968EC" w:rsidP="00DA7472">
      <w:pPr>
        <w:numPr>
          <w:ilvl w:val="0"/>
          <w:numId w:val="289"/>
        </w:numPr>
        <w:ind w:left="426" w:hanging="426"/>
        <w:jc w:val="both"/>
        <w:rPr>
          <w:rFonts w:ascii="Arial Narrow" w:eastAsia="Calibri" w:hAnsi="Arial Narrow"/>
        </w:rPr>
      </w:pPr>
      <w:r w:rsidRPr="002C0D19">
        <w:rPr>
          <w:rFonts w:ascii="Arial Narrow" w:eastAsia="Calibri" w:hAnsi="Arial Narrow"/>
        </w:rPr>
        <w:t xml:space="preserve">Entregar efectivamente a </w:t>
      </w:r>
      <w:r w:rsidRPr="002C0D19">
        <w:rPr>
          <w:rFonts w:ascii="Arial Narrow" w:eastAsia="Calibri" w:hAnsi="Arial Narrow"/>
          <w:b/>
        </w:rPr>
        <w:t>LA CRCC</w:t>
      </w:r>
      <w:r w:rsidRPr="002C0D19">
        <w:rPr>
          <w:rFonts w:ascii="Arial Narrow" w:eastAsia="Calibri" w:hAnsi="Arial Narrow"/>
        </w:rPr>
        <w:t xml:space="preserve"> los valores y/o el efectivo, según sea el caso, entregados por los Terceros, de los Miembros Liquidadores y/o Miembros no Liquidadores, que lo designen como Agente, para cumplir con obligaciones derivadas de la compensación y liquidación de sus cuentas. Así mismo, entregar los valores y/o el efectivo, según sea el caso, a </w:t>
      </w:r>
      <w:r w:rsidRPr="002C0D19">
        <w:rPr>
          <w:rFonts w:ascii="Arial Narrow" w:eastAsia="Calibri" w:hAnsi="Arial Narrow"/>
          <w:b/>
        </w:rPr>
        <w:t>LA CRCC</w:t>
      </w:r>
      <w:r w:rsidRPr="002C0D19">
        <w:rPr>
          <w:rFonts w:ascii="Arial Narrow" w:eastAsia="Calibri" w:hAnsi="Arial Narrow"/>
        </w:rPr>
        <w:t xml:space="preserve"> en el evento en que ésta, en aplicación del Reglamento, se lo demande. En todo caso, </w:t>
      </w:r>
      <w:r w:rsidRPr="002C0D19">
        <w:rPr>
          <w:rFonts w:ascii="Arial Narrow" w:eastAsia="Calibri" w:hAnsi="Arial Narrow"/>
          <w:b/>
        </w:rPr>
        <w:t>LA CRCC</w:t>
      </w:r>
      <w:r w:rsidRPr="002C0D19">
        <w:rPr>
          <w:rFonts w:ascii="Arial Narrow" w:eastAsia="Calibri" w:hAnsi="Arial Narrow"/>
        </w:rPr>
        <w:t xml:space="preserve"> podrá, en cualquier momento, ordenar a </w:t>
      </w:r>
      <w:r w:rsidRPr="002C0D19">
        <w:rPr>
          <w:rFonts w:ascii="Arial Narrow" w:eastAsia="Calibri" w:hAnsi="Arial Narrow"/>
          <w:b/>
        </w:rPr>
        <w:t xml:space="preserve">EL AGENTE </w:t>
      </w:r>
      <w:r w:rsidRPr="002C0D19">
        <w:rPr>
          <w:rFonts w:ascii="Arial Narrow" w:eastAsia="Calibri" w:hAnsi="Arial Narrow"/>
        </w:rPr>
        <w:t>el traslado de los valores a otra cuenta.</w:t>
      </w:r>
    </w:p>
    <w:p w14:paraId="6F81098C" w14:textId="77777777" w:rsidR="007968EC" w:rsidRPr="002C0D19" w:rsidRDefault="007968EC" w:rsidP="00DA7472">
      <w:pPr>
        <w:numPr>
          <w:ilvl w:val="0"/>
          <w:numId w:val="289"/>
        </w:numPr>
        <w:ind w:left="426" w:hanging="426"/>
        <w:jc w:val="both"/>
        <w:rPr>
          <w:rFonts w:ascii="Arial Narrow" w:eastAsia="Calibri" w:hAnsi="Arial Narrow"/>
        </w:rPr>
      </w:pPr>
      <w:r w:rsidRPr="002C0D19">
        <w:rPr>
          <w:rFonts w:ascii="Arial Narrow" w:eastAsia="Calibri" w:hAnsi="Arial Narrow"/>
        </w:rPr>
        <w:t xml:space="preserve">Responder ante los Terceros de los Miembros, frente a los que actúa en su calidad de Agente, por las obligaciones establecidas en los Convenios celebrados con los Miembros por cuenta de sus Terceros, con el fin de que éstos cumplan las obligaciones resultantes de las Operaciones Aceptadas por </w:t>
      </w:r>
      <w:r w:rsidRPr="002C0D19">
        <w:rPr>
          <w:rFonts w:ascii="Arial Narrow" w:eastAsia="Calibri" w:hAnsi="Arial Narrow"/>
          <w:b/>
        </w:rPr>
        <w:t>LA CRCC</w:t>
      </w:r>
      <w:r w:rsidRPr="002C0D19">
        <w:rPr>
          <w:rFonts w:ascii="Arial Narrow" w:eastAsia="Calibri" w:hAnsi="Arial Narrow"/>
        </w:rPr>
        <w:t xml:space="preserve">, sin perjuicio de las obligaciones de los Miembros frente a </w:t>
      </w:r>
      <w:r w:rsidRPr="002C0D19">
        <w:rPr>
          <w:rFonts w:ascii="Arial Narrow" w:eastAsia="Calibri" w:hAnsi="Arial Narrow"/>
          <w:b/>
        </w:rPr>
        <w:t>LA CRCC</w:t>
      </w:r>
      <w:r w:rsidRPr="002C0D19">
        <w:rPr>
          <w:rFonts w:ascii="Arial Narrow" w:eastAsia="Calibri" w:hAnsi="Arial Narrow"/>
        </w:rPr>
        <w:t xml:space="preserve"> establecidas en el Reglamento.</w:t>
      </w:r>
    </w:p>
    <w:p w14:paraId="44582A8F" w14:textId="77777777" w:rsidR="007968EC" w:rsidRPr="002C0D19" w:rsidRDefault="007968EC" w:rsidP="00DA7472">
      <w:pPr>
        <w:numPr>
          <w:ilvl w:val="0"/>
          <w:numId w:val="289"/>
        </w:numPr>
        <w:ind w:left="426" w:hanging="426"/>
        <w:jc w:val="both"/>
        <w:rPr>
          <w:rFonts w:ascii="Arial Narrow" w:eastAsia="Calibri" w:hAnsi="Arial Narrow"/>
        </w:rPr>
      </w:pPr>
      <w:r w:rsidRPr="002C0D19">
        <w:rPr>
          <w:rFonts w:ascii="Arial Narrow" w:eastAsia="Calibri" w:hAnsi="Arial Narrow"/>
        </w:rPr>
        <w:t>Reportar a los Miembros el Incumplimiento de los Terceros y de toda su estructura de cuentas que lo designaron como Agente, si es el caso, respecto de la entrega de valores que les corresponda en virtud de las operaciones registradas en las cuentas que liquidan los Miembros Liquidadores.</w:t>
      </w:r>
    </w:p>
    <w:p w14:paraId="05657C9B" w14:textId="77777777" w:rsidR="007968EC" w:rsidRPr="002C0D19" w:rsidRDefault="007968EC" w:rsidP="00DA7472">
      <w:pPr>
        <w:numPr>
          <w:ilvl w:val="0"/>
          <w:numId w:val="289"/>
        </w:numPr>
        <w:ind w:left="426" w:hanging="426"/>
        <w:jc w:val="both"/>
        <w:rPr>
          <w:rFonts w:ascii="Arial Narrow" w:eastAsia="Calibri" w:hAnsi="Arial Narrow"/>
        </w:rPr>
      </w:pPr>
      <w:r w:rsidRPr="002C0D19">
        <w:rPr>
          <w:rFonts w:ascii="Arial Narrow" w:eastAsia="Calibri" w:hAnsi="Arial Narrow"/>
        </w:rPr>
        <w:t>Mantener las cuentas de depósito de efectivo y de valores arriba indicadas, de las que es titular en el Banco de la República y en los depósitos centralizados de valores.</w:t>
      </w:r>
    </w:p>
    <w:p w14:paraId="2169F2D1" w14:textId="77777777" w:rsidR="007968EC" w:rsidRPr="002C0D19" w:rsidRDefault="007968EC" w:rsidP="00DA7472">
      <w:pPr>
        <w:numPr>
          <w:ilvl w:val="0"/>
          <w:numId w:val="289"/>
        </w:numPr>
        <w:ind w:left="426" w:hanging="426"/>
        <w:jc w:val="both"/>
        <w:rPr>
          <w:rFonts w:ascii="Arial Narrow" w:eastAsia="Calibri" w:hAnsi="Arial Narrow"/>
        </w:rPr>
      </w:pPr>
      <w:r w:rsidRPr="002C0D19">
        <w:rPr>
          <w:rFonts w:ascii="Arial Narrow" w:eastAsia="Calibri" w:hAnsi="Arial Narrow"/>
        </w:rPr>
        <w:t xml:space="preserve">Facilitar las actividades de comprobación de requisitos, cumplimiento de obligaciones o similares, que lleve a cabo </w:t>
      </w:r>
      <w:r w:rsidRPr="002C0D19">
        <w:rPr>
          <w:rFonts w:ascii="Arial Narrow" w:eastAsia="Calibri" w:hAnsi="Arial Narrow"/>
          <w:b/>
        </w:rPr>
        <w:t>LA CRCC</w:t>
      </w:r>
      <w:r w:rsidRPr="002C0D19">
        <w:rPr>
          <w:rFonts w:ascii="Arial Narrow" w:eastAsia="Calibri" w:hAnsi="Arial Narrow"/>
        </w:rPr>
        <w:t xml:space="preserve"> en desarrollo de sus funciones.</w:t>
      </w:r>
    </w:p>
    <w:p w14:paraId="789511B7" w14:textId="77777777" w:rsidR="007968EC" w:rsidRPr="002C0D19" w:rsidRDefault="007968EC" w:rsidP="00DA7472">
      <w:pPr>
        <w:numPr>
          <w:ilvl w:val="0"/>
          <w:numId w:val="289"/>
        </w:numPr>
        <w:ind w:left="426" w:hanging="426"/>
        <w:jc w:val="both"/>
        <w:rPr>
          <w:rFonts w:ascii="Arial Narrow" w:eastAsia="Calibri" w:hAnsi="Arial Narrow"/>
        </w:rPr>
      </w:pPr>
      <w:r w:rsidRPr="002C0D19">
        <w:rPr>
          <w:rFonts w:ascii="Arial Narrow" w:eastAsia="Calibri" w:hAnsi="Arial Narrow"/>
        </w:rPr>
        <w:t xml:space="preserve">Entregar a </w:t>
      </w:r>
      <w:r w:rsidRPr="002C0D19">
        <w:rPr>
          <w:rFonts w:ascii="Arial Narrow" w:eastAsia="Calibri" w:hAnsi="Arial Narrow"/>
          <w:b/>
        </w:rPr>
        <w:t>LA CRCC</w:t>
      </w:r>
      <w:r w:rsidRPr="002C0D19">
        <w:rPr>
          <w:rFonts w:ascii="Arial Narrow" w:eastAsia="Calibri" w:hAnsi="Arial Narrow"/>
        </w:rPr>
        <w:t xml:space="preserve"> la información que ésta solicite en cumplimiento de sus funciones.</w:t>
      </w:r>
    </w:p>
    <w:p w14:paraId="09D598DD" w14:textId="77777777" w:rsidR="007968EC" w:rsidRPr="002C0D19" w:rsidRDefault="007968EC" w:rsidP="00DA7472">
      <w:pPr>
        <w:numPr>
          <w:ilvl w:val="0"/>
          <w:numId w:val="289"/>
        </w:numPr>
        <w:ind w:left="426" w:hanging="426"/>
        <w:jc w:val="both"/>
        <w:rPr>
          <w:rFonts w:ascii="Arial Narrow" w:eastAsia="Calibri" w:hAnsi="Arial Narrow"/>
        </w:rPr>
      </w:pPr>
      <w:r w:rsidRPr="002C0D19">
        <w:rPr>
          <w:rFonts w:ascii="Arial Narrow" w:eastAsia="Calibri" w:hAnsi="Arial Narrow"/>
        </w:rPr>
        <w:t xml:space="preserve">Cumplir en todo momento con las especificaciones técnicas establecidas por </w:t>
      </w:r>
      <w:r w:rsidRPr="002C0D19">
        <w:rPr>
          <w:rFonts w:ascii="Arial Narrow" w:eastAsia="Calibri" w:hAnsi="Arial Narrow"/>
          <w:b/>
        </w:rPr>
        <w:t>LA CRCC</w:t>
      </w:r>
      <w:r w:rsidRPr="002C0D19">
        <w:rPr>
          <w:rFonts w:ascii="Arial Narrow" w:eastAsia="Calibri" w:hAnsi="Arial Narrow"/>
        </w:rPr>
        <w:t>.</w:t>
      </w:r>
    </w:p>
    <w:p w14:paraId="625601AB" w14:textId="77777777" w:rsidR="007968EC" w:rsidRPr="002C0D19" w:rsidRDefault="007968EC" w:rsidP="007968EC">
      <w:pPr>
        <w:jc w:val="both"/>
        <w:rPr>
          <w:rFonts w:ascii="Arial Narrow" w:eastAsia="Calibri" w:hAnsi="Arial Narrow"/>
        </w:rPr>
      </w:pPr>
    </w:p>
    <w:p w14:paraId="188ADD7B" w14:textId="77777777" w:rsidR="007968EC" w:rsidRPr="002C0D19" w:rsidRDefault="007968EC" w:rsidP="007968EC">
      <w:pPr>
        <w:jc w:val="both"/>
        <w:rPr>
          <w:rFonts w:ascii="Arial Narrow" w:eastAsia="Calibri" w:hAnsi="Arial Narrow"/>
        </w:rPr>
      </w:pPr>
      <w:r w:rsidRPr="002C0D19">
        <w:rPr>
          <w:rFonts w:ascii="Arial Narrow" w:eastAsia="Calibri" w:hAnsi="Arial Narrow"/>
          <w:b/>
          <w:u w:val="single"/>
        </w:rPr>
        <w:t>CUARTA. Obligaciones de LA CRCC.</w:t>
      </w:r>
      <w:r w:rsidRPr="002C0D19">
        <w:rPr>
          <w:rFonts w:ascii="Arial Narrow" w:eastAsia="Calibri" w:hAnsi="Arial Narrow"/>
        </w:rPr>
        <w:t xml:space="preserve"> Sin perjuicio de las obligaciones previstas en las demás cláusulas de la presente Oferta, en el Reglamento, en las Circulares y en los Instructivos Operativos de </w:t>
      </w:r>
      <w:r w:rsidRPr="002C0D19">
        <w:rPr>
          <w:rFonts w:ascii="Arial Narrow" w:eastAsia="Calibri" w:hAnsi="Arial Narrow"/>
          <w:b/>
        </w:rPr>
        <w:t>LA CRCC</w:t>
      </w:r>
      <w:r w:rsidRPr="002C0D19">
        <w:rPr>
          <w:rFonts w:ascii="Arial Narrow" w:eastAsia="Calibri" w:hAnsi="Arial Narrow"/>
        </w:rPr>
        <w:t xml:space="preserve">, son obligaciones principales de </w:t>
      </w:r>
      <w:r w:rsidRPr="002C0D19">
        <w:rPr>
          <w:rFonts w:ascii="Arial Narrow" w:eastAsia="Calibri" w:hAnsi="Arial Narrow"/>
          <w:b/>
        </w:rPr>
        <w:t>LA CRCC</w:t>
      </w:r>
      <w:r w:rsidRPr="002C0D19">
        <w:rPr>
          <w:rFonts w:ascii="Arial Narrow" w:eastAsia="Calibri" w:hAnsi="Arial Narrow"/>
        </w:rPr>
        <w:t>, las siguientes:</w:t>
      </w:r>
    </w:p>
    <w:p w14:paraId="225F81CA" w14:textId="77777777" w:rsidR="007968EC" w:rsidRPr="002C0D19" w:rsidRDefault="007968EC" w:rsidP="007968EC">
      <w:pPr>
        <w:jc w:val="both"/>
        <w:rPr>
          <w:rFonts w:ascii="Arial Narrow" w:eastAsia="Calibri" w:hAnsi="Arial Narrow"/>
        </w:rPr>
      </w:pPr>
    </w:p>
    <w:p w14:paraId="4502EE83" w14:textId="77777777" w:rsidR="007968EC" w:rsidRPr="002C0D19" w:rsidRDefault="007968EC" w:rsidP="00DA7472">
      <w:pPr>
        <w:numPr>
          <w:ilvl w:val="0"/>
          <w:numId w:val="290"/>
        </w:numPr>
        <w:ind w:left="426" w:hanging="426"/>
        <w:jc w:val="both"/>
        <w:rPr>
          <w:rFonts w:ascii="Arial Narrow" w:eastAsia="Calibri" w:hAnsi="Arial Narrow"/>
        </w:rPr>
      </w:pPr>
      <w:r w:rsidRPr="002C0D19">
        <w:rPr>
          <w:rFonts w:ascii="Arial Narrow" w:eastAsia="Calibri" w:hAnsi="Arial Narrow"/>
        </w:rPr>
        <w:lastRenderedPageBreak/>
        <w:t xml:space="preserve">Reconocer a </w:t>
      </w:r>
      <w:r w:rsidRPr="002C0D19">
        <w:rPr>
          <w:rFonts w:ascii="Arial Narrow" w:eastAsia="Calibri" w:hAnsi="Arial Narrow"/>
          <w:b/>
        </w:rPr>
        <w:t xml:space="preserve">EL AGENTE </w:t>
      </w:r>
      <w:r w:rsidRPr="002C0D19">
        <w:rPr>
          <w:rFonts w:ascii="Arial Narrow" w:eastAsia="Calibri" w:hAnsi="Arial Narrow"/>
        </w:rPr>
        <w:t>el derecho a actuar en tal calidad en relación con los Terceros de los Miembros Liquidadores y Miembros no Liquidadores y de su estructura de cuentas que así lo designen, conforme a las disposiciones del Reglamento y a las estipulaciones de la presente Oferta.</w:t>
      </w:r>
    </w:p>
    <w:p w14:paraId="1C84E00C" w14:textId="77777777" w:rsidR="007968EC" w:rsidRPr="002C0D19" w:rsidRDefault="007968EC" w:rsidP="00DA7472">
      <w:pPr>
        <w:numPr>
          <w:ilvl w:val="0"/>
          <w:numId w:val="290"/>
        </w:numPr>
        <w:ind w:left="426" w:hanging="426"/>
        <w:jc w:val="both"/>
        <w:rPr>
          <w:rFonts w:ascii="Arial Narrow" w:eastAsia="Calibri" w:hAnsi="Arial Narrow"/>
        </w:rPr>
      </w:pPr>
      <w:r w:rsidRPr="002C0D19">
        <w:rPr>
          <w:rFonts w:ascii="Arial Narrow" w:eastAsia="Calibri" w:hAnsi="Arial Narrow"/>
        </w:rPr>
        <w:t>Velar porque el Sistema a través del cual presta sus servicios, opere de manera eficaz y segura.</w:t>
      </w:r>
    </w:p>
    <w:p w14:paraId="3093F8A3" w14:textId="77777777" w:rsidR="007968EC" w:rsidRPr="002C0D19" w:rsidRDefault="007968EC" w:rsidP="00DA7472">
      <w:pPr>
        <w:numPr>
          <w:ilvl w:val="0"/>
          <w:numId w:val="290"/>
        </w:numPr>
        <w:ind w:left="426" w:hanging="426"/>
        <w:jc w:val="both"/>
        <w:rPr>
          <w:rFonts w:ascii="Arial Narrow" w:eastAsia="Calibri" w:hAnsi="Arial Narrow"/>
        </w:rPr>
      </w:pPr>
      <w:r w:rsidRPr="002C0D19">
        <w:rPr>
          <w:rFonts w:ascii="Arial Narrow" w:eastAsia="Calibri" w:hAnsi="Arial Narrow"/>
        </w:rPr>
        <w:t xml:space="preserve">Informar a </w:t>
      </w:r>
      <w:r w:rsidRPr="002C0D19">
        <w:rPr>
          <w:rFonts w:ascii="Arial Narrow" w:eastAsia="Calibri" w:hAnsi="Arial Narrow"/>
          <w:b/>
        </w:rPr>
        <w:t>EL AGENTE</w:t>
      </w:r>
      <w:r w:rsidRPr="002C0D19">
        <w:rPr>
          <w:rFonts w:ascii="Arial Narrow" w:eastAsia="Calibri" w:hAnsi="Arial Narrow"/>
        </w:rPr>
        <w:t>, en la medida que sea legalmente posible, sobre solicitudes que le hayan hecho las Autoridades Competentes en relación con información del mismo o de sus Terceros.</w:t>
      </w:r>
    </w:p>
    <w:p w14:paraId="37B65B9C" w14:textId="77777777" w:rsidR="007968EC" w:rsidRPr="002C0D19" w:rsidRDefault="007968EC" w:rsidP="007968EC">
      <w:pPr>
        <w:jc w:val="both"/>
        <w:rPr>
          <w:rFonts w:ascii="Arial Narrow" w:eastAsia="Calibri" w:hAnsi="Arial Narrow"/>
        </w:rPr>
      </w:pPr>
    </w:p>
    <w:p w14:paraId="69E533B4" w14:textId="77777777" w:rsidR="007968EC" w:rsidRPr="002C0D19" w:rsidRDefault="007968EC" w:rsidP="007968EC">
      <w:pPr>
        <w:jc w:val="both"/>
        <w:rPr>
          <w:rFonts w:ascii="Arial Narrow" w:eastAsia="Calibri" w:hAnsi="Arial Narrow"/>
        </w:rPr>
      </w:pPr>
      <w:r w:rsidRPr="002C0D19">
        <w:rPr>
          <w:rFonts w:ascii="Arial Narrow" w:eastAsia="Calibri" w:hAnsi="Arial Narrow"/>
          <w:b/>
          <w:u w:val="single"/>
        </w:rPr>
        <w:t>QUINTA. Vigencia.</w:t>
      </w:r>
      <w:r w:rsidRPr="002C0D19">
        <w:rPr>
          <w:rFonts w:ascii="Arial Narrow" w:eastAsia="Calibri" w:hAnsi="Arial Narrow"/>
        </w:rPr>
        <w:t xml:space="preserve"> La presente Oferta estará vigente por un término de sesenta (60) días calendario, contados a partir del envío de la misma por parte de </w:t>
      </w:r>
      <w:r w:rsidRPr="002C0D19">
        <w:rPr>
          <w:rFonts w:ascii="Arial Narrow" w:eastAsia="Calibri" w:hAnsi="Arial Narrow"/>
          <w:b/>
        </w:rPr>
        <w:t>LA CRCC</w:t>
      </w:r>
      <w:r w:rsidRPr="002C0D19">
        <w:rPr>
          <w:rFonts w:ascii="Arial Narrow" w:eastAsia="Calibri" w:hAnsi="Arial Narrow"/>
        </w:rPr>
        <w:t xml:space="preserve"> a </w:t>
      </w:r>
      <w:r w:rsidRPr="002C0D19">
        <w:rPr>
          <w:rFonts w:ascii="Arial Narrow" w:eastAsia="Calibri" w:hAnsi="Arial Narrow"/>
          <w:b/>
        </w:rPr>
        <w:t>EL AGENTE</w:t>
      </w:r>
      <w:r w:rsidRPr="002C0D19">
        <w:rPr>
          <w:rFonts w:ascii="Arial Narrow" w:eastAsia="Calibri" w:hAnsi="Arial Narrow"/>
        </w:rPr>
        <w:t xml:space="preserve">, transcurridos los cuales, de no haber aceptación a la misma por parte de </w:t>
      </w:r>
      <w:r w:rsidRPr="002C0D19">
        <w:rPr>
          <w:rFonts w:ascii="Arial Narrow" w:eastAsia="Calibri" w:hAnsi="Arial Narrow"/>
          <w:b/>
        </w:rPr>
        <w:t>EL AGENTE</w:t>
      </w:r>
      <w:r w:rsidRPr="002C0D19">
        <w:rPr>
          <w:rFonts w:ascii="Arial Narrow" w:eastAsia="Calibri" w:hAnsi="Arial Narrow"/>
        </w:rPr>
        <w:t xml:space="preserve">, se entenderá revocada. En caso de aceptación de esta Oferta por parte de </w:t>
      </w:r>
      <w:r w:rsidRPr="002C0D19">
        <w:rPr>
          <w:rFonts w:ascii="Arial Narrow" w:eastAsia="Calibri" w:hAnsi="Arial Narrow"/>
          <w:b/>
        </w:rPr>
        <w:t>EL AGENTE</w:t>
      </w:r>
      <w:r w:rsidRPr="002C0D19">
        <w:rPr>
          <w:rFonts w:ascii="Arial Narrow" w:eastAsia="Calibri" w:hAnsi="Arial Narrow"/>
        </w:rPr>
        <w:t>, los términos y condiciones de la misma estarán vigentes en forma indefinida.</w:t>
      </w:r>
    </w:p>
    <w:p w14:paraId="18FD7DE6" w14:textId="77777777" w:rsidR="007968EC" w:rsidRPr="002C0D19" w:rsidRDefault="007968EC" w:rsidP="007968EC">
      <w:pPr>
        <w:jc w:val="both"/>
        <w:rPr>
          <w:rFonts w:ascii="Arial Narrow" w:eastAsia="Calibri" w:hAnsi="Arial Narrow"/>
        </w:rPr>
      </w:pPr>
    </w:p>
    <w:p w14:paraId="4FD39D8C" w14:textId="77777777" w:rsidR="007968EC" w:rsidRPr="002C0D19" w:rsidRDefault="007968EC" w:rsidP="007968EC">
      <w:pPr>
        <w:jc w:val="both"/>
        <w:rPr>
          <w:rFonts w:ascii="Arial Narrow" w:eastAsia="Calibri" w:hAnsi="Arial Narrow"/>
        </w:rPr>
      </w:pPr>
      <w:r w:rsidRPr="002C0D19">
        <w:rPr>
          <w:rFonts w:ascii="Arial Narrow" w:eastAsia="Calibri" w:hAnsi="Arial Narrow"/>
        </w:rPr>
        <w:t>No obstante lo anterior y sin perjuicio de lo dispuesto en el Reglamento, las partes podrán terminar en cualquier tiempo el presente Convenio, mediante la entrega a la otra parte de un aviso escrito en tal sentido, remitida con no menos de treinta (30) días calendario de anticipación al día hábil en el cual desea que dicha terminación tenga efecto.</w:t>
      </w:r>
    </w:p>
    <w:p w14:paraId="044FD828" w14:textId="77777777" w:rsidR="007968EC" w:rsidRPr="002C0D19" w:rsidRDefault="007968EC" w:rsidP="007968EC">
      <w:pPr>
        <w:jc w:val="both"/>
        <w:rPr>
          <w:rFonts w:ascii="Arial Narrow" w:eastAsia="Calibri" w:hAnsi="Arial Narrow"/>
        </w:rPr>
      </w:pPr>
    </w:p>
    <w:p w14:paraId="06243746" w14:textId="77777777" w:rsidR="007968EC" w:rsidRPr="002C0D19" w:rsidRDefault="007968EC" w:rsidP="007968EC">
      <w:pPr>
        <w:jc w:val="both"/>
        <w:rPr>
          <w:rFonts w:ascii="Arial Narrow" w:eastAsia="Calibri" w:hAnsi="Arial Narrow"/>
        </w:rPr>
      </w:pPr>
      <w:r w:rsidRPr="002C0D19">
        <w:rPr>
          <w:rFonts w:ascii="Arial Narrow" w:eastAsia="Calibri" w:hAnsi="Arial Narrow"/>
        </w:rPr>
        <w:t>Igualmente, habrá lugar a la terminación unilateral si se presenta un incumplimiento de alguna de las obligaciones a cargo de una de las partes.</w:t>
      </w:r>
    </w:p>
    <w:p w14:paraId="36692982" w14:textId="77777777" w:rsidR="007968EC" w:rsidRPr="002C0D19" w:rsidRDefault="007968EC" w:rsidP="007968EC">
      <w:pPr>
        <w:jc w:val="both"/>
        <w:rPr>
          <w:rFonts w:ascii="Arial Narrow" w:eastAsia="Calibri" w:hAnsi="Arial Narrow"/>
        </w:rPr>
      </w:pPr>
    </w:p>
    <w:p w14:paraId="7B6A3917" w14:textId="77777777" w:rsidR="007968EC" w:rsidRPr="002C0D19" w:rsidRDefault="007968EC" w:rsidP="007968EC">
      <w:pPr>
        <w:jc w:val="both"/>
        <w:rPr>
          <w:rFonts w:ascii="Arial Narrow" w:eastAsia="Calibri" w:hAnsi="Arial Narrow"/>
        </w:rPr>
      </w:pPr>
      <w:r w:rsidRPr="002C0D19">
        <w:rPr>
          <w:rFonts w:ascii="Arial Narrow" w:eastAsia="Calibri" w:hAnsi="Arial Narrow"/>
          <w:b/>
          <w:u w:val="single"/>
        </w:rPr>
        <w:t>SEXTA. Tarifas.</w:t>
      </w:r>
      <w:r w:rsidRPr="002C0D19">
        <w:rPr>
          <w:rFonts w:ascii="Arial Narrow" w:eastAsia="Calibri" w:hAnsi="Arial Narrow"/>
        </w:rPr>
        <w:t xml:space="preserve"> </w:t>
      </w:r>
      <w:r w:rsidRPr="002C0D19">
        <w:rPr>
          <w:rFonts w:ascii="Arial Narrow" w:eastAsia="Calibri" w:hAnsi="Arial Narrow"/>
          <w:b/>
        </w:rPr>
        <w:t xml:space="preserve">EL AGENTE </w:t>
      </w:r>
      <w:r w:rsidRPr="002C0D19">
        <w:rPr>
          <w:rFonts w:ascii="Arial Narrow" w:eastAsia="Calibri" w:hAnsi="Arial Narrow"/>
        </w:rPr>
        <w:t xml:space="preserve">es responsable frente a </w:t>
      </w:r>
      <w:r w:rsidRPr="002C0D19">
        <w:rPr>
          <w:rFonts w:ascii="Arial Narrow" w:eastAsia="Calibri" w:hAnsi="Arial Narrow"/>
          <w:b/>
        </w:rPr>
        <w:t>LA CRCC</w:t>
      </w:r>
      <w:r w:rsidRPr="002C0D19">
        <w:rPr>
          <w:rFonts w:ascii="Arial Narrow" w:eastAsia="Calibri" w:hAnsi="Arial Narrow"/>
        </w:rPr>
        <w:t xml:space="preserve"> del pago de las tarifas y demás cargos que determine </w:t>
      </w:r>
      <w:r w:rsidRPr="002C0D19">
        <w:rPr>
          <w:rFonts w:ascii="Arial Narrow" w:eastAsia="Calibri" w:hAnsi="Arial Narrow"/>
          <w:b/>
        </w:rPr>
        <w:t>LA CRCC</w:t>
      </w:r>
      <w:r w:rsidRPr="002C0D19">
        <w:rPr>
          <w:rFonts w:ascii="Arial Narrow" w:eastAsia="Calibri" w:hAnsi="Arial Narrow"/>
        </w:rPr>
        <w:t xml:space="preserve"> por Circular. Dichos pagos se deberán efectuar en los términos y condiciones establecidos por </w:t>
      </w:r>
      <w:r w:rsidRPr="002C0D19">
        <w:rPr>
          <w:rFonts w:ascii="Arial Narrow" w:eastAsia="Calibri" w:hAnsi="Arial Narrow"/>
          <w:b/>
        </w:rPr>
        <w:t>LA CRCC</w:t>
      </w:r>
      <w:r w:rsidRPr="002C0D19">
        <w:rPr>
          <w:rFonts w:ascii="Arial Narrow" w:eastAsia="Calibri" w:hAnsi="Arial Narrow"/>
        </w:rPr>
        <w:t xml:space="preserve"> mediante Circular.</w:t>
      </w:r>
    </w:p>
    <w:p w14:paraId="351D1188" w14:textId="77777777" w:rsidR="007968EC" w:rsidRPr="002C0D19" w:rsidRDefault="007968EC" w:rsidP="007968EC">
      <w:pPr>
        <w:jc w:val="both"/>
        <w:rPr>
          <w:rFonts w:ascii="Arial Narrow" w:eastAsia="Calibri" w:hAnsi="Arial Narrow"/>
        </w:rPr>
      </w:pPr>
    </w:p>
    <w:p w14:paraId="373650B8" w14:textId="77777777" w:rsidR="007968EC" w:rsidRPr="002C0D19" w:rsidRDefault="007968EC" w:rsidP="007968EC">
      <w:pPr>
        <w:jc w:val="both"/>
        <w:rPr>
          <w:rFonts w:ascii="Arial Narrow" w:eastAsia="Calibri" w:hAnsi="Arial Narrow"/>
        </w:rPr>
      </w:pPr>
      <w:r w:rsidRPr="002C0D19">
        <w:rPr>
          <w:rFonts w:ascii="Arial Narrow" w:eastAsia="Calibri" w:hAnsi="Arial Narrow"/>
        </w:rPr>
        <w:t>El valor de las tarifas no incluye el impuesto al valor agregado, pero este será facturado de acuerdo con la tarifa y procedimientos vigentes al momento de su causación.</w:t>
      </w:r>
    </w:p>
    <w:p w14:paraId="39C3732B" w14:textId="77777777" w:rsidR="007968EC" w:rsidRPr="002C0D19" w:rsidRDefault="007968EC" w:rsidP="007968EC">
      <w:pPr>
        <w:jc w:val="both"/>
        <w:rPr>
          <w:rFonts w:ascii="Arial Narrow" w:eastAsia="Calibri" w:hAnsi="Arial Narrow"/>
        </w:rPr>
      </w:pPr>
    </w:p>
    <w:p w14:paraId="1A2607AC" w14:textId="77777777" w:rsidR="007968EC" w:rsidRPr="002C0D19" w:rsidRDefault="007968EC" w:rsidP="007968EC">
      <w:pPr>
        <w:jc w:val="both"/>
        <w:rPr>
          <w:rFonts w:ascii="Arial Narrow" w:eastAsia="Calibri" w:hAnsi="Arial Narrow"/>
        </w:rPr>
      </w:pPr>
      <w:r w:rsidRPr="002C0D19">
        <w:rPr>
          <w:rFonts w:ascii="Arial Narrow" w:eastAsia="Calibri" w:hAnsi="Arial Narrow"/>
          <w:b/>
        </w:rPr>
        <w:t>LA CRCC</w:t>
      </w:r>
      <w:r w:rsidRPr="002C0D19">
        <w:rPr>
          <w:rFonts w:ascii="Arial Narrow" w:eastAsia="Calibri" w:hAnsi="Arial Narrow"/>
        </w:rPr>
        <w:t xml:space="preserve"> se reserva el derecho de revisar y ajustar la tarifa vigente de conformidad con lo dispuesto en el Reglamento. En todo caso, mientras </w:t>
      </w:r>
      <w:r w:rsidRPr="002C0D19">
        <w:rPr>
          <w:rFonts w:ascii="Arial Narrow" w:eastAsia="Calibri" w:hAnsi="Arial Narrow"/>
          <w:b/>
        </w:rPr>
        <w:t>LA CRCC</w:t>
      </w:r>
      <w:r w:rsidRPr="002C0D19">
        <w:rPr>
          <w:rFonts w:ascii="Arial Narrow" w:eastAsia="Calibri" w:hAnsi="Arial Narrow"/>
        </w:rPr>
        <w:t xml:space="preserve"> no establezca las tarifas y demás cargos por Circular, </w:t>
      </w:r>
      <w:r w:rsidRPr="002C0D19">
        <w:rPr>
          <w:rFonts w:ascii="Arial Narrow" w:eastAsia="Calibri" w:hAnsi="Arial Narrow"/>
          <w:b/>
        </w:rPr>
        <w:t xml:space="preserve">EL AGENTE </w:t>
      </w:r>
      <w:r w:rsidRPr="002C0D19">
        <w:rPr>
          <w:rFonts w:ascii="Arial Narrow" w:eastAsia="Calibri" w:hAnsi="Arial Narrow"/>
        </w:rPr>
        <w:t>no estará obligado a pagar valor alguno por tales conceptos.</w:t>
      </w:r>
    </w:p>
    <w:p w14:paraId="40011D2A" w14:textId="77777777" w:rsidR="007968EC" w:rsidRPr="002C0D19" w:rsidRDefault="007968EC" w:rsidP="007968EC">
      <w:pPr>
        <w:jc w:val="both"/>
        <w:rPr>
          <w:rFonts w:ascii="Arial Narrow" w:eastAsia="Calibri" w:hAnsi="Arial Narrow"/>
        </w:rPr>
      </w:pPr>
    </w:p>
    <w:p w14:paraId="05C89945" w14:textId="77777777" w:rsidR="007968EC" w:rsidRPr="002C0D19" w:rsidRDefault="007968EC" w:rsidP="007968EC">
      <w:pPr>
        <w:jc w:val="both"/>
        <w:rPr>
          <w:rFonts w:ascii="Arial Narrow" w:eastAsia="Calibri" w:hAnsi="Arial Narrow"/>
        </w:rPr>
      </w:pPr>
      <w:r w:rsidRPr="002C0D19">
        <w:rPr>
          <w:rFonts w:ascii="Arial Narrow" w:eastAsia="Calibri" w:hAnsi="Arial Narrow"/>
          <w:b/>
          <w:u w:val="single"/>
        </w:rPr>
        <w:t>SÉPTIMA. Cesión y subcontratación.</w:t>
      </w:r>
      <w:r w:rsidRPr="002C0D19">
        <w:rPr>
          <w:rFonts w:ascii="Arial Narrow" w:eastAsia="Calibri" w:hAnsi="Arial Narrow"/>
        </w:rPr>
        <w:t xml:space="preserve"> </w:t>
      </w:r>
      <w:r w:rsidRPr="002C0D19">
        <w:rPr>
          <w:rFonts w:ascii="Arial Narrow" w:eastAsia="Calibri" w:hAnsi="Arial Narrow"/>
          <w:b/>
        </w:rPr>
        <w:t xml:space="preserve">EL AGENTE </w:t>
      </w:r>
      <w:r w:rsidRPr="002C0D19">
        <w:rPr>
          <w:rFonts w:ascii="Arial Narrow" w:eastAsia="Calibri" w:hAnsi="Arial Narrow"/>
        </w:rPr>
        <w:t xml:space="preserve">no podrá ceder ni subcontratar total o parcialmente la presente Oferta, antes o después de ser aceptada. </w:t>
      </w:r>
      <w:r w:rsidRPr="002C0D19">
        <w:rPr>
          <w:rFonts w:ascii="Arial Narrow" w:eastAsia="Calibri" w:hAnsi="Arial Narrow"/>
          <w:b/>
        </w:rPr>
        <w:t>LA CRCC</w:t>
      </w:r>
      <w:r w:rsidRPr="002C0D19">
        <w:rPr>
          <w:rFonts w:ascii="Arial Narrow" w:eastAsia="Calibri" w:hAnsi="Arial Narrow"/>
        </w:rPr>
        <w:t xml:space="preserve"> podrá hacerse sustituir por uno o varios terceros en la totalidad o parte de sus relaciones contractuales con </w:t>
      </w:r>
      <w:r w:rsidRPr="002C0D19">
        <w:rPr>
          <w:rFonts w:ascii="Arial Narrow" w:eastAsia="Calibri" w:hAnsi="Arial Narrow"/>
          <w:b/>
        </w:rPr>
        <w:t>EL AGENTE</w:t>
      </w:r>
      <w:r w:rsidRPr="002C0D19">
        <w:rPr>
          <w:rFonts w:ascii="Arial Narrow" w:eastAsia="Calibri" w:hAnsi="Arial Narrow"/>
        </w:rPr>
        <w:t xml:space="preserve">, sin necesidad de obtener la conformidad de </w:t>
      </w:r>
      <w:r w:rsidRPr="002C0D19">
        <w:rPr>
          <w:rFonts w:ascii="Arial Narrow" w:eastAsia="Calibri" w:hAnsi="Arial Narrow"/>
          <w:b/>
        </w:rPr>
        <w:t>EL AGENTE</w:t>
      </w:r>
      <w:r w:rsidRPr="002C0D19">
        <w:rPr>
          <w:rFonts w:ascii="Arial Narrow" w:eastAsia="Calibri" w:hAnsi="Arial Narrow"/>
        </w:rPr>
        <w:t>, quien otorga desde ya su consentimiento para dicho efecto.</w:t>
      </w:r>
    </w:p>
    <w:p w14:paraId="7BACAAB4" w14:textId="77777777" w:rsidR="007968EC" w:rsidRPr="002C0D19" w:rsidRDefault="007968EC" w:rsidP="007968EC">
      <w:pPr>
        <w:jc w:val="both"/>
        <w:rPr>
          <w:rFonts w:ascii="Arial Narrow" w:eastAsia="Calibri" w:hAnsi="Arial Narrow"/>
        </w:rPr>
      </w:pPr>
    </w:p>
    <w:p w14:paraId="2A1DB5E6" w14:textId="77777777" w:rsidR="007968EC" w:rsidRPr="002C0D19" w:rsidRDefault="007968EC" w:rsidP="007968EC">
      <w:pPr>
        <w:jc w:val="both"/>
        <w:rPr>
          <w:rFonts w:ascii="Arial Narrow" w:eastAsia="Calibri" w:hAnsi="Arial Narrow"/>
        </w:rPr>
      </w:pPr>
      <w:r w:rsidRPr="002C0D19">
        <w:rPr>
          <w:rFonts w:ascii="Arial Narrow" w:eastAsia="Calibri" w:hAnsi="Arial Narrow"/>
          <w:b/>
          <w:u w:val="single"/>
        </w:rPr>
        <w:t>OCTAVA. Indemnidad.</w:t>
      </w:r>
      <w:r w:rsidRPr="002C0D19">
        <w:rPr>
          <w:rFonts w:ascii="Arial Narrow" w:eastAsia="Calibri" w:hAnsi="Arial Narrow"/>
        </w:rPr>
        <w:t xml:space="preserve"> Siempre que </w:t>
      </w:r>
      <w:r w:rsidRPr="002C0D19">
        <w:rPr>
          <w:rFonts w:ascii="Arial Narrow" w:eastAsia="Calibri" w:hAnsi="Arial Narrow"/>
          <w:b/>
        </w:rPr>
        <w:t>LA CRCC</w:t>
      </w:r>
      <w:r w:rsidRPr="002C0D19">
        <w:rPr>
          <w:rFonts w:ascii="Arial Narrow" w:eastAsia="Calibri" w:hAnsi="Arial Narrow"/>
        </w:rPr>
        <w:t xml:space="preserve"> haya cumplido con las normas y procedimientos aplicables en cada momento, </w:t>
      </w:r>
      <w:r w:rsidRPr="002C0D19">
        <w:rPr>
          <w:rFonts w:ascii="Arial Narrow" w:eastAsia="Calibri" w:hAnsi="Arial Narrow"/>
          <w:b/>
        </w:rPr>
        <w:t xml:space="preserve">EL AGENTE </w:t>
      </w:r>
      <w:r w:rsidRPr="002C0D19">
        <w:rPr>
          <w:rFonts w:ascii="Arial Narrow" w:eastAsia="Calibri" w:hAnsi="Arial Narrow"/>
        </w:rPr>
        <w:t xml:space="preserve">deberá mantener a </w:t>
      </w:r>
      <w:r w:rsidRPr="002C0D19">
        <w:rPr>
          <w:rFonts w:ascii="Arial Narrow" w:eastAsia="Calibri" w:hAnsi="Arial Narrow"/>
          <w:b/>
        </w:rPr>
        <w:t>LA CRCC</w:t>
      </w:r>
      <w:r w:rsidRPr="002C0D19">
        <w:rPr>
          <w:rFonts w:ascii="Arial Narrow" w:eastAsia="Calibri" w:hAnsi="Arial Narrow"/>
        </w:rPr>
        <w:t xml:space="preserve"> y a sus representantes, órganos o funcionarios, indemnes y libres de todo reclamo, demanda, litigio, acción legal y/o reivindicación de cualquier especie que se entable o pueda entablarse contra </w:t>
      </w:r>
      <w:r w:rsidRPr="002C0D19">
        <w:rPr>
          <w:rFonts w:ascii="Arial Narrow" w:eastAsia="Calibri" w:hAnsi="Arial Narrow"/>
          <w:b/>
        </w:rPr>
        <w:t>LA CRCC</w:t>
      </w:r>
      <w:r w:rsidRPr="002C0D19">
        <w:rPr>
          <w:rFonts w:ascii="Arial Narrow" w:eastAsia="Calibri" w:hAnsi="Arial Narrow"/>
        </w:rPr>
        <w:t xml:space="preserve">, por causa de acciones u omisiones en que incurra </w:t>
      </w:r>
      <w:r w:rsidRPr="002C0D19">
        <w:rPr>
          <w:rFonts w:ascii="Arial Narrow" w:eastAsia="Calibri" w:hAnsi="Arial Narrow"/>
          <w:b/>
        </w:rPr>
        <w:t>EL AGENTE</w:t>
      </w:r>
      <w:r w:rsidRPr="002C0D19">
        <w:rPr>
          <w:rFonts w:ascii="Arial Narrow" w:eastAsia="Calibri" w:hAnsi="Arial Narrow"/>
        </w:rPr>
        <w:t>, sus agentes, representantes o empleados, en la ejecución y desarrollo o con ocasión de la presente Oferta de Servicios.</w:t>
      </w:r>
    </w:p>
    <w:p w14:paraId="50D811CB" w14:textId="77777777" w:rsidR="007968EC" w:rsidRPr="002C0D19" w:rsidRDefault="007968EC" w:rsidP="007968EC">
      <w:pPr>
        <w:jc w:val="both"/>
        <w:rPr>
          <w:rFonts w:ascii="Arial Narrow" w:eastAsia="Calibri" w:hAnsi="Arial Narrow"/>
        </w:rPr>
      </w:pPr>
    </w:p>
    <w:p w14:paraId="0C2F7F67" w14:textId="77777777" w:rsidR="007968EC" w:rsidRPr="002C0D19" w:rsidRDefault="007968EC" w:rsidP="007968EC">
      <w:pPr>
        <w:jc w:val="both"/>
        <w:rPr>
          <w:rFonts w:ascii="Arial Narrow" w:eastAsia="Calibri" w:hAnsi="Arial Narrow"/>
        </w:rPr>
      </w:pPr>
      <w:r w:rsidRPr="002C0D19">
        <w:rPr>
          <w:rFonts w:ascii="Arial Narrow" w:eastAsia="Calibri" w:hAnsi="Arial Narrow"/>
          <w:b/>
          <w:u w:val="single"/>
        </w:rPr>
        <w:t>NOVENA. Responsabilidad de la CRCC.</w:t>
      </w:r>
      <w:r w:rsidRPr="002C0D19">
        <w:rPr>
          <w:rFonts w:ascii="Arial Narrow" w:eastAsia="Calibri" w:hAnsi="Arial Narrow"/>
        </w:rPr>
        <w:t xml:space="preserve"> </w:t>
      </w:r>
      <w:r w:rsidRPr="002C0D19">
        <w:rPr>
          <w:rFonts w:ascii="Arial Narrow" w:eastAsia="Calibri" w:hAnsi="Arial Narrow"/>
          <w:b/>
        </w:rPr>
        <w:t>LA CRCC</w:t>
      </w:r>
      <w:r w:rsidRPr="002C0D19">
        <w:rPr>
          <w:rFonts w:ascii="Arial Narrow" w:eastAsia="Calibri" w:hAnsi="Arial Narrow"/>
        </w:rPr>
        <w:t xml:space="preserve"> no será responsable de los daños y perjuicios que pueda sufrir </w:t>
      </w:r>
      <w:r w:rsidRPr="002C0D19">
        <w:rPr>
          <w:rFonts w:ascii="Arial Narrow" w:eastAsia="Calibri" w:hAnsi="Arial Narrow"/>
          <w:b/>
        </w:rPr>
        <w:t>EL AGENTE</w:t>
      </w:r>
      <w:r w:rsidRPr="002C0D19">
        <w:rPr>
          <w:rFonts w:ascii="Arial Narrow" w:eastAsia="Calibri" w:hAnsi="Arial Narrow"/>
        </w:rPr>
        <w:t>, derivados de una situación de caso fortuito o fuerza mayor o, en general, de cualquier hecho en el que no haya mediado dolo o culpa grave por su parte o por parte de alguno de sus empleados.</w:t>
      </w:r>
    </w:p>
    <w:p w14:paraId="1537400D" w14:textId="77777777" w:rsidR="007968EC" w:rsidRPr="002C0D19" w:rsidRDefault="007968EC" w:rsidP="007968EC">
      <w:pPr>
        <w:jc w:val="both"/>
        <w:rPr>
          <w:rFonts w:ascii="Arial Narrow" w:eastAsia="Calibri" w:hAnsi="Arial Narrow"/>
        </w:rPr>
      </w:pPr>
    </w:p>
    <w:p w14:paraId="03A0FDF4" w14:textId="77777777" w:rsidR="007968EC" w:rsidRPr="002C0D19" w:rsidRDefault="007968EC" w:rsidP="007968EC">
      <w:pPr>
        <w:jc w:val="both"/>
        <w:rPr>
          <w:rFonts w:ascii="Arial Narrow" w:eastAsia="Calibri" w:hAnsi="Arial Narrow"/>
        </w:rPr>
      </w:pPr>
      <w:r w:rsidRPr="002C0D19">
        <w:rPr>
          <w:rFonts w:ascii="Arial Narrow" w:eastAsia="Calibri" w:hAnsi="Arial Narrow"/>
          <w:b/>
          <w:u w:val="single"/>
        </w:rPr>
        <w:t>DÉCIMA. Cláusula Compromisoria.</w:t>
      </w:r>
      <w:r w:rsidRPr="002C0D19">
        <w:rPr>
          <w:rFonts w:ascii="Arial Narrow" w:eastAsia="Calibri" w:hAnsi="Arial Narrow"/>
        </w:rPr>
        <w:t xml:space="preserve"> Todas las diferencias que ocurran entre partes con ocasión de la presente Oferta, una vez aceptada, y que no puedan solucionarse por acuerdo directo entre las partes en un plazo que no podrá exceder de dos (2) meses contados a partir de la fecha del evento que generó la diferencia, serán resueltas por un Tribunal de Arbitramento. Cuando la cuantía de las pretensiones supere los mil (1000) salarios mínimos legales mensuales vigentes en Colombia, el Tribunal de Arbitramento estará conformado por tres (3) árbitros, los cuales serán designados por las partes dentro de los quince (15) días hábiles siguientes al vencimiento del plazo de dos (2) meses de acuerdo directo, o a falta de acuerdo, mediante sorteo entre los árbitros inscritos en el Centro de Arbitraje y Conciliación de la Cámara de Comercio de Bogotá. En caso de que la cuantía de las pretensiones sea igual o inferior a mil (1000) salarios mínimos legales mensuales vigentes en Colombia, el Tribunal de Arbitramento estará conformado por un (1) árbitro, el cual será designado por las partes dentro de los quince (15) días hábiles siguientes al vencimiento del plazo de dos (2) meses de acuerdo directo, o a falta de acuerdo, por sorteo entre los árbitros inscritos en el Centro de Arbitraje y Conciliación de la Cámara de Comercio de Bogotá. El o los árbitros designados serán Abogados inscritos y fallarán en derecho. El Tribunal de Arbitramento tendrá sede en la ciudad de Bogotá y se regirá por las leyes colombianas.</w:t>
      </w:r>
    </w:p>
    <w:p w14:paraId="523B3B34" w14:textId="77777777" w:rsidR="007968EC" w:rsidRPr="002C0D19" w:rsidRDefault="007968EC" w:rsidP="007968EC">
      <w:pPr>
        <w:jc w:val="both"/>
        <w:rPr>
          <w:rFonts w:ascii="Arial Narrow" w:eastAsia="Calibri" w:hAnsi="Arial Narrow"/>
        </w:rPr>
      </w:pPr>
    </w:p>
    <w:p w14:paraId="455B1142" w14:textId="77777777" w:rsidR="007968EC" w:rsidRPr="002C0D19" w:rsidRDefault="007968EC" w:rsidP="007968EC">
      <w:pPr>
        <w:jc w:val="both"/>
        <w:rPr>
          <w:rFonts w:ascii="Arial Narrow" w:eastAsia="Calibri" w:hAnsi="Arial Narrow"/>
        </w:rPr>
      </w:pPr>
      <w:r w:rsidRPr="002C0D19">
        <w:rPr>
          <w:rFonts w:ascii="Arial Narrow" w:eastAsia="Calibri" w:hAnsi="Arial Narrow"/>
          <w:b/>
          <w:u w:val="single"/>
        </w:rPr>
        <w:t>DÉCIMA PRIMERA. Mérito Ejecutivo.</w:t>
      </w:r>
      <w:r w:rsidRPr="002C0D19">
        <w:rPr>
          <w:rFonts w:ascii="Arial Narrow" w:eastAsia="Calibri" w:hAnsi="Arial Narrow"/>
        </w:rPr>
        <w:t xml:space="preserve"> </w:t>
      </w:r>
      <w:r w:rsidRPr="002C0D19">
        <w:rPr>
          <w:rFonts w:ascii="Arial Narrow" w:eastAsia="Calibri" w:hAnsi="Arial Narrow"/>
          <w:b/>
        </w:rPr>
        <w:t xml:space="preserve">EL AGENTE </w:t>
      </w:r>
      <w:r w:rsidRPr="002C0D19">
        <w:rPr>
          <w:rFonts w:ascii="Arial Narrow" w:eastAsia="Calibri" w:hAnsi="Arial Narrow"/>
        </w:rPr>
        <w:t>reconoce y acepta que la presente Oferta de Servicios una vez aceptada mediante la expedición de la Orden de Compra de Servicios, prestará mérito ejecutivo para solicitar el cumplimiento de las obligaciones a su cargo, sin necesidad de requerimiento en mora judicial o extrajudicial.</w:t>
      </w:r>
    </w:p>
    <w:p w14:paraId="51B1E2DF" w14:textId="77777777" w:rsidR="007968EC" w:rsidRPr="002C0D19" w:rsidRDefault="007968EC" w:rsidP="007968EC">
      <w:pPr>
        <w:jc w:val="both"/>
        <w:rPr>
          <w:rFonts w:ascii="Arial Narrow" w:eastAsia="Calibri" w:hAnsi="Arial Narrow"/>
        </w:rPr>
      </w:pPr>
    </w:p>
    <w:p w14:paraId="3059734F" w14:textId="77777777" w:rsidR="007968EC" w:rsidRPr="002C0D19" w:rsidRDefault="007968EC" w:rsidP="007968EC">
      <w:pPr>
        <w:jc w:val="both"/>
        <w:rPr>
          <w:rFonts w:ascii="Arial Narrow" w:eastAsia="Calibri" w:hAnsi="Arial Narrow"/>
        </w:rPr>
      </w:pPr>
      <w:r w:rsidRPr="002C0D19">
        <w:rPr>
          <w:rFonts w:ascii="Arial Narrow" w:eastAsia="Calibri" w:hAnsi="Arial Narrow"/>
          <w:b/>
          <w:u w:val="single"/>
        </w:rPr>
        <w:t>DÉCIMA SEGUNDA. Notificaciones.</w:t>
      </w:r>
      <w:r w:rsidRPr="002C0D19">
        <w:rPr>
          <w:rFonts w:ascii="Arial Narrow" w:eastAsia="Calibri" w:hAnsi="Arial Narrow"/>
        </w:rPr>
        <w:t xml:space="preserve"> Todas las notificaciones y comunicaciones relacionadas con la presente Oferta de Servicios, se harán por escrito y se enviarán a las siguientes direcciones:</w:t>
      </w:r>
    </w:p>
    <w:p w14:paraId="72A95F8F" w14:textId="77777777" w:rsidR="007968EC" w:rsidRPr="002C0D19" w:rsidRDefault="007968EC" w:rsidP="007968EC">
      <w:pPr>
        <w:jc w:val="both"/>
        <w:rPr>
          <w:rFonts w:ascii="Arial Narrow" w:eastAsia="Calibri" w:hAnsi="Arial Narrow"/>
        </w:rPr>
      </w:pPr>
    </w:p>
    <w:p w14:paraId="66C3E430" w14:textId="77777777" w:rsidR="007968EC" w:rsidRPr="002C0D19" w:rsidRDefault="007968EC" w:rsidP="007968EC">
      <w:pPr>
        <w:jc w:val="both"/>
        <w:rPr>
          <w:rFonts w:ascii="Arial Narrow" w:eastAsia="Calibri" w:hAnsi="Arial Narrow"/>
          <w:b/>
        </w:rPr>
      </w:pPr>
      <w:r w:rsidRPr="002C0D19">
        <w:rPr>
          <w:rFonts w:ascii="Arial Narrow" w:eastAsia="Calibri" w:hAnsi="Arial Narrow"/>
          <w:b/>
        </w:rPr>
        <w:t xml:space="preserve">LA CRCC: </w:t>
      </w:r>
      <w:r w:rsidRPr="002C0D19">
        <w:rPr>
          <w:rFonts w:ascii="Arial Narrow" w:eastAsia="Calibri" w:hAnsi="Arial Narrow"/>
          <w:b/>
        </w:rPr>
        <w:tab/>
      </w:r>
      <w:r w:rsidRPr="002C0D19">
        <w:rPr>
          <w:rFonts w:ascii="Arial Narrow" w:eastAsia="Calibri" w:hAnsi="Arial Narrow"/>
          <w:b/>
        </w:rPr>
        <w:tab/>
      </w:r>
      <w:r w:rsidRPr="002C0D19">
        <w:rPr>
          <w:rFonts w:ascii="Arial Narrow" w:eastAsia="Calibri" w:hAnsi="Arial Narrow"/>
          <w:b/>
        </w:rPr>
        <w:tab/>
        <w:t>CÁMARA DE RIESGO CENTRAL DE CONTRAPARTE DE COLOMBIA</w:t>
      </w:r>
    </w:p>
    <w:p w14:paraId="0415ED5E" w14:textId="77777777" w:rsidR="007968EC" w:rsidRPr="002C0D19" w:rsidRDefault="007968EC" w:rsidP="007968EC">
      <w:pPr>
        <w:ind w:left="2160" w:firstLine="720"/>
        <w:jc w:val="both"/>
        <w:rPr>
          <w:rFonts w:ascii="Arial Narrow" w:eastAsia="Calibri" w:hAnsi="Arial Narrow"/>
          <w:b/>
        </w:rPr>
      </w:pPr>
      <w:r w:rsidRPr="002C0D19">
        <w:rPr>
          <w:rFonts w:ascii="Arial Narrow" w:eastAsia="Calibri" w:hAnsi="Arial Narrow"/>
          <w:b/>
        </w:rPr>
        <w:t>S.A.</w:t>
      </w:r>
    </w:p>
    <w:p w14:paraId="583FE027" w14:textId="77777777" w:rsidR="007968EC" w:rsidRPr="002C0D19" w:rsidRDefault="007968EC" w:rsidP="007968EC">
      <w:pPr>
        <w:ind w:left="2160" w:firstLine="720"/>
        <w:jc w:val="both"/>
        <w:rPr>
          <w:rFonts w:ascii="Arial Narrow" w:eastAsia="Calibri" w:hAnsi="Arial Narrow"/>
        </w:rPr>
      </w:pPr>
      <w:r w:rsidRPr="002C0D19">
        <w:rPr>
          <w:rFonts w:ascii="Arial Narrow" w:eastAsia="Calibri" w:hAnsi="Arial Narrow"/>
        </w:rPr>
        <w:t>Fax:</w:t>
      </w:r>
    </w:p>
    <w:p w14:paraId="25870A11" w14:textId="77777777" w:rsidR="007968EC" w:rsidRPr="002C0D19" w:rsidRDefault="007968EC" w:rsidP="007968EC">
      <w:pPr>
        <w:ind w:left="2160" w:firstLine="720"/>
        <w:jc w:val="both"/>
        <w:rPr>
          <w:rFonts w:ascii="Arial Narrow" w:eastAsia="Calibri" w:hAnsi="Arial Narrow"/>
        </w:rPr>
      </w:pPr>
      <w:r w:rsidRPr="002C0D19">
        <w:rPr>
          <w:rFonts w:ascii="Arial Narrow" w:eastAsia="Calibri" w:hAnsi="Arial Narrow"/>
        </w:rPr>
        <w:t>Dirección:</w:t>
      </w:r>
    </w:p>
    <w:p w14:paraId="4899F61B" w14:textId="77777777" w:rsidR="007968EC" w:rsidRPr="002C0D19" w:rsidRDefault="007968EC" w:rsidP="007968EC">
      <w:pPr>
        <w:ind w:left="2160" w:firstLine="720"/>
        <w:jc w:val="both"/>
        <w:rPr>
          <w:rFonts w:ascii="Arial Narrow" w:eastAsia="Calibri" w:hAnsi="Arial Narrow"/>
        </w:rPr>
      </w:pPr>
      <w:r w:rsidRPr="002C0D19">
        <w:rPr>
          <w:rFonts w:ascii="Arial Narrow" w:eastAsia="Calibri" w:hAnsi="Arial Narrow"/>
        </w:rPr>
        <w:t>Bogotá, D.C.</w:t>
      </w:r>
    </w:p>
    <w:p w14:paraId="55835208" w14:textId="77777777" w:rsidR="007968EC" w:rsidRPr="002C0D19" w:rsidRDefault="007968EC" w:rsidP="007968EC">
      <w:pPr>
        <w:ind w:left="2160" w:firstLine="720"/>
        <w:jc w:val="both"/>
        <w:rPr>
          <w:rFonts w:ascii="Arial Narrow" w:eastAsia="Calibri" w:hAnsi="Arial Narrow"/>
        </w:rPr>
      </w:pPr>
    </w:p>
    <w:p w14:paraId="29EEF026" w14:textId="77777777" w:rsidR="007968EC" w:rsidRPr="002C0D19" w:rsidRDefault="007968EC" w:rsidP="007968EC">
      <w:pPr>
        <w:ind w:left="2160" w:firstLine="720"/>
        <w:jc w:val="both"/>
        <w:rPr>
          <w:rFonts w:ascii="Arial Narrow" w:eastAsia="Calibri" w:hAnsi="Arial Narrow"/>
        </w:rPr>
      </w:pPr>
    </w:p>
    <w:p w14:paraId="4E7FA337" w14:textId="77777777" w:rsidR="007968EC" w:rsidRPr="002C0D19" w:rsidRDefault="007968EC" w:rsidP="007968EC">
      <w:pPr>
        <w:jc w:val="both"/>
        <w:rPr>
          <w:rFonts w:ascii="Arial Narrow" w:eastAsia="Calibri" w:hAnsi="Arial Narrow"/>
          <w:b/>
        </w:rPr>
      </w:pPr>
      <w:r w:rsidRPr="002C0D19">
        <w:rPr>
          <w:rFonts w:ascii="Arial Narrow" w:eastAsia="Calibri" w:hAnsi="Arial Narrow"/>
          <w:b/>
        </w:rPr>
        <w:t>EL AGENTE:</w:t>
      </w:r>
    </w:p>
    <w:p w14:paraId="11A564C7" w14:textId="77777777" w:rsidR="007968EC" w:rsidRPr="002C0D19" w:rsidRDefault="007968EC" w:rsidP="007968EC">
      <w:pPr>
        <w:ind w:left="2160" w:firstLine="720"/>
        <w:jc w:val="both"/>
        <w:rPr>
          <w:rFonts w:ascii="Arial Narrow" w:eastAsia="Calibri" w:hAnsi="Arial Narrow"/>
        </w:rPr>
      </w:pPr>
      <w:r w:rsidRPr="002C0D19">
        <w:rPr>
          <w:rFonts w:ascii="Arial Narrow" w:eastAsia="Calibri" w:hAnsi="Arial Narrow"/>
        </w:rPr>
        <w:t>Fax:</w:t>
      </w:r>
    </w:p>
    <w:p w14:paraId="1117DA12" w14:textId="77777777" w:rsidR="007968EC" w:rsidRPr="002C0D19" w:rsidRDefault="007968EC" w:rsidP="007968EC">
      <w:pPr>
        <w:ind w:left="2160" w:firstLine="720"/>
        <w:jc w:val="both"/>
        <w:rPr>
          <w:rFonts w:ascii="Arial Narrow" w:eastAsia="Calibri" w:hAnsi="Arial Narrow"/>
        </w:rPr>
      </w:pPr>
      <w:r w:rsidRPr="002C0D19">
        <w:rPr>
          <w:rFonts w:ascii="Arial Narrow" w:eastAsia="Calibri" w:hAnsi="Arial Narrow"/>
        </w:rPr>
        <w:t>Dirección:</w:t>
      </w:r>
    </w:p>
    <w:p w14:paraId="5B15ABB8" w14:textId="77777777" w:rsidR="007968EC" w:rsidRPr="002C0D19" w:rsidRDefault="007968EC" w:rsidP="007968EC">
      <w:pPr>
        <w:ind w:left="2160" w:firstLine="720"/>
        <w:jc w:val="both"/>
        <w:rPr>
          <w:rFonts w:ascii="Arial Narrow" w:eastAsia="Calibri" w:hAnsi="Arial Narrow"/>
        </w:rPr>
      </w:pPr>
      <w:r w:rsidRPr="002C0D19">
        <w:rPr>
          <w:rFonts w:ascii="Arial Narrow" w:eastAsia="Calibri" w:hAnsi="Arial Narrow"/>
        </w:rPr>
        <w:t>Ciudad:</w:t>
      </w:r>
    </w:p>
    <w:p w14:paraId="6969A11C" w14:textId="77777777" w:rsidR="007968EC" w:rsidRPr="002C0D19" w:rsidRDefault="007968EC" w:rsidP="007968EC">
      <w:pPr>
        <w:jc w:val="both"/>
        <w:rPr>
          <w:rFonts w:ascii="Arial Narrow" w:eastAsia="Calibri" w:hAnsi="Arial Narrow"/>
        </w:rPr>
      </w:pPr>
    </w:p>
    <w:p w14:paraId="1456A543" w14:textId="77777777" w:rsidR="007968EC" w:rsidRPr="002C0D19" w:rsidRDefault="007968EC" w:rsidP="007968EC">
      <w:pPr>
        <w:jc w:val="both"/>
        <w:rPr>
          <w:rFonts w:ascii="Arial Narrow" w:eastAsia="Calibri" w:hAnsi="Arial Narrow"/>
        </w:rPr>
      </w:pPr>
      <w:r w:rsidRPr="002C0D19">
        <w:rPr>
          <w:rFonts w:ascii="Arial Narrow" w:eastAsia="Calibri" w:hAnsi="Arial Narrow"/>
          <w:b/>
          <w:u w:val="single"/>
        </w:rPr>
        <w:lastRenderedPageBreak/>
        <w:t>DÉCIMA TERCERA. Aceptación de esta Oferta.</w:t>
      </w:r>
      <w:r w:rsidRPr="002C0D19">
        <w:rPr>
          <w:rFonts w:ascii="Arial Narrow" w:eastAsia="Calibri" w:hAnsi="Arial Narrow"/>
        </w:rPr>
        <w:t xml:space="preserve"> La presente Oferta se entenderá aceptada mediante la expedición, por parte de </w:t>
      </w:r>
      <w:r w:rsidRPr="002C0D19">
        <w:rPr>
          <w:rFonts w:ascii="Arial Narrow" w:eastAsia="Calibri" w:hAnsi="Arial Narrow"/>
          <w:b/>
        </w:rPr>
        <w:t>EL AGENTE</w:t>
      </w:r>
      <w:r w:rsidRPr="002C0D19">
        <w:rPr>
          <w:rFonts w:ascii="Arial Narrow" w:eastAsia="Calibri" w:hAnsi="Arial Narrow"/>
        </w:rPr>
        <w:t>, de una Orden de Compra de Servicios.</w:t>
      </w:r>
    </w:p>
    <w:p w14:paraId="5B0EB901" w14:textId="77777777" w:rsidR="007968EC" w:rsidRPr="002C0D19" w:rsidRDefault="007968EC" w:rsidP="007968EC">
      <w:pPr>
        <w:jc w:val="both"/>
        <w:rPr>
          <w:rFonts w:ascii="Arial Narrow" w:eastAsia="Calibri" w:hAnsi="Arial Narrow"/>
        </w:rPr>
      </w:pPr>
    </w:p>
    <w:p w14:paraId="5EDC4802" w14:textId="77777777" w:rsidR="007968EC" w:rsidRPr="002C0D19" w:rsidRDefault="007968EC" w:rsidP="007968EC">
      <w:pPr>
        <w:jc w:val="both"/>
        <w:rPr>
          <w:rFonts w:ascii="Arial Narrow" w:eastAsia="Calibri" w:hAnsi="Arial Narrow"/>
        </w:rPr>
      </w:pPr>
      <w:r w:rsidRPr="002C0D19">
        <w:rPr>
          <w:rFonts w:ascii="Arial Narrow" w:eastAsia="Calibri" w:hAnsi="Arial Narrow"/>
          <w:b/>
          <w:u w:val="single"/>
        </w:rPr>
        <w:t>DECIMA CUARTA. Impuestos.</w:t>
      </w:r>
      <w:r w:rsidRPr="002C0D19">
        <w:rPr>
          <w:rFonts w:ascii="Arial Narrow" w:eastAsia="Calibri" w:hAnsi="Arial Narrow"/>
        </w:rPr>
        <w:t xml:space="preserve"> De conformidad con el numeral 52 del artículo 530 del Estatuto Tributario, la presente Oferta y su posterior aceptación mediante Orden de Compra de Servicios no causan impuesto de timbre. En todo caso, todos los gastos e impuestos de cualquier naturaleza que se generen en relación con la presente oferta, serán de cargo de </w:t>
      </w:r>
      <w:r w:rsidRPr="002C0D19">
        <w:rPr>
          <w:rFonts w:ascii="Arial Narrow" w:eastAsia="Calibri" w:hAnsi="Arial Narrow"/>
          <w:b/>
        </w:rPr>
        <w:t>EL AGENTE</w:t>
      </w:r>
      <w:r w:rsidRPr="002C0D19">
        <w:rPr>
          <w:rFonts w:ascii="Arial Narrow" w:eastAsia="Calibri" w:hAnsi="Arial Narrow"/>
        </w:rPr>
        <w:t>.</w:t>
      </w:r>
    </w:p>
    <w:p w14:paraId="43C35D1A" w14:textId="77777777" w:rsidR="007968EC" w:rsidRPr="002C0D19" w:rsidRDefault="007968EC" w:rsidP="007968EC">
      <w:pPr>
        <w:jc w:val="both"/>
        <w:rPr>
          <w:rFonts w:ascii="Arial Narrow" w:eastAsia="Calibri" w:hAnsi="Arial Narrow"/>
        </w:rPr>
      </w:pPr>
    </w:p>
    <w:p w14:paraId="38D78942" w14:textId="77777777" w:rsidR="007968EC" w:rsidRPr="002C0D19" w:rsidRDefault="007968EC" w:rsidP="007968EC">
      <w:pPr>
        <w:jc w:val="both"/>
        <w:rPr>
          <w:rFonts w:ascii="Arial Narrow" w:eastAsia="Calibri" w:hAnsi="Arial Narrow"/>
        </w:rPr>
      </w:pPr>
      <w:r w:rsidRPr="002C0D19">
        <w:rPr>
          <w:rFonts w:ascii="Arial Narrow" w:eastAsia="Calibri" w:hAnsi="Arial Narrow"/>
        </w:rPr>
        <w:t>Para constancia, se firma en Bogotá D.C., el día ______________ (____) del mes de _____________ del año dos mil ___________ (____).</w:t>
      </w:r>
    </w:p>
    <w:p w14:paraId="3FB98883" w14:textId="77777777" w:rsidR="007968EC" w:rsidRPr="002C0D19" w:rsidRDefault="007968EC" w:rsidP="007968EC">
      <w:pPr>
        <w:jc w:val="both"/>
        <w:rPr>
          <w:rFonts w:ascii="Arial Narrow" w:eastAsia="Calibri" w:hAnsi="Arial Narrow"/>
        </w:rPr>
      </w:pPr>
    </w:p>
    <w:p w14:paraId="4BB6D3C5" w14:textId="77777777" w:rsidR="007968EC" w:rsidRPr="002C0D19" w:rsidRDefault="007968EC" w:rsidP="007968EC">
      <w:pPr>
        <w:jc w:val="both"/>
        <w:rPr>
          <w:rFonts w:ascii="Arial Narrow" w:eastAsia="Calibri" w:hAnsi="Arial Narrow"/>
          <w:b/>
        </w:rPr>
      </w:pPr>
      <w:r w:rsidRPr="002C0D19">
        <w:rPr>
          <w:rFonts w:ascii="Arial Narrow" w:eastAsia="Calibri" w:hAnsi="Arial Narrow"/>
          <w:b/>
        </w:rPr>
        <w:t>LA CRCC</w:t>
      </w:r>
    </w:p>
    <w:p w14:paraId="3FE6FFAA" w14:textId="77777777" w:rsidR="007968EC" w:rsidRPr="002C0D19" w:rsidRDefault="007968EC" w:rsidP="007968EC">
      <w:pPr>
        <w:jc w:val="both"/>
        <w:rPr>
          <w:rFonts w:ascii="Arial Narrow" w:eastAsia="Calibri" w:hAnsi="Arial Narrow"/>
        </w:rPr>
      </w:pPr>
      <w:r w:rsidRPr="002C0D19">
        <w:rPr>
          <w:rFonts w:ascii="Arial Narrow" w:eastAsia="Calibri" w:hAnsi="Arial Narrow"/>
        </w:rPr>
        <w:t>Por:</w:t>
      </w:r>
      <w:r w:rsidRPr="002C0D19">
        <w:rPr>
          <w:rFonts w:ascii="Arial Narrow" w:eastAsia="Calibri" w:hAnsi="Arial Narrow"/>
        </w:rPr>
        <w:tab/>
        <w:t>________________________________</w:t>
      </w:r>
    </w:p>
    <w:p w14:paraId="1BEAE118" w14:textId="77777777" w:rsidR="007968EC" w:rsidRPr="002C0D19" w:rsidRDefault="007968EC" w:rsidP="007968EC">
      <w:pPr>
        <w:jc w:val="both"/>
        <w:rPr>
          <w:rFonts w:ascii="Arial Narrow" w:eastAsia="Calibri" w:hAnsi="Arial Narrow"/>
        </w:rPr>
      </w:pPr>
      <w:r w:rsidRPr="002C0D19">
        <w:rPr>
          <w:rFonts w:ascii="Arial Narrow" w:eastAsia="Calibri" w:hAnsi="Arial Narrow"/>
        </w:rPr>
        <w:t>Nombre:</w:t>
      </w:r>
    </w:p>
    <w:p w14:paraId="1CCA225F" w14:textId="77777777" w:rsidR="007968EC" w:rsidRPr="002C0D19" w:rsidRDefault="007968EC" w:rsidP="007968EC">
      <w:pPr>
        <w:jc w:val="both"/>
        <w:rPr>
          <w:rFonts w:ascii="Arial Narrow" w:eastAsia="Calibri" w:hAnsi="Arial Narrow"/>
        </w:rPr>
      </w:pPr>
      <w:r w:rsidRPr="002C0D19">
        <w:rPr>
          <w:rFonts w:ascii="Arial Narrow" w:eastAsia="Calibri" w:hAnsi="Arial Narrow"/>
        </w:rPr>
        <w:t>Cargo:</w:t>
      </w:r>
      <w:r w:rsidRPr="002C0D19">
        <w:rPr>
          <w:rFonts w:ascii="Arial Narrow" w:eastAsia="Calibri" w:hAnsi="Arial Narrow"/>
        </w:rPr>
        <w:tab/>
        <w:t>Representante Legal</w:t>
      </w:r>
    </w:p>
    <w:p w14:paraId="11956963" w14:textId="77777777" w:rsidR="007968EC" w:rsidRPr="002C0D19" w:rsidRDefault="007968EC" w:rsidP="007968EC">
      <w:pPr>
        <w:rPr>
          <w:rFonts w:ascii="Arial Narrow" w:hAnsi="Arial Narrow" w:cs="Arial"/>
          <w:color w:val="000000" w:themeColor="text1"/>
          <w:spacing w:val="-3"/>
          <w:lang w:val="fr-FR" w:eastAsia="es-ES"/>
        </w:rPr>
      </w:pPr>
      <w:r w:rsidRPr="002C0D19">
        <w:rPr>
          <w:rFonts w:ascii="Arial Narrow" w:eastAsia="Calibri" w:hAnsi="Arial Narrow"/>
        </w:rPr>
        <w:t>C.C.</w:t>
      </w:r>
      <w:r w:rsidRPr="002C0D19">
        <w:rPr>
          <w:rFonts w:ascii="Arial Narrow" w:hAnsi="Arial Narrow" w:cs="Arial"/>
          <w:color w:val="000000" w:themeColor="text1"/>
          <w:spacing w:val="-3"/>
          <w:lang w:val="fr-FR" w:eastAsia="es-ES"/>
        </w:rPr>
        <w:br w:type="page"/>
      </w:r>
    </w:p>
    <w:p w14:paraId="2BF8AA65" w14:textId="77777777" w:rsidR="007968EC" w:rsidRPr="005C4274" w:rsidRDefault="007968EC" w:rsidP="007968EC">
      <w:pPr>
        <w:pStyle w:val="TTULO"/>
        <w:rPr>
          <w:lang w:val="es-ES"/>
        </w:rPr>
      </w:pPr>
      <w:bookmarkStart w:id="6515" w:name="_Toc31716596"/>
      <w:r w:rsidRPr="005C4274">
        <w:rPr>
          <w:lang w:val="es-ES"/>
        </w:rPr>
        <w:lastRenderedPageBreak/>
        <w:t>ANEXO 6</w:t>
      </w:r>
      <w:bookmarkEnd w:id="6515"/>
    </w:p>
    <w:p w14:paraId="7DADBDB4" w14:textId="77777777" w:rsidR="007968EC" w:rsidRPr="005C4274" w:rsidRDefault="007968EC" w:rsidP="007968EC">
      <w:pPr>
        <w:jc w:val="center"/>
        <w:rPr>
          <w:rFonts w:ascii="Arial Narrow" w:hAnsi="Arial Narrow" w:cs="Arial"/>
          <w:b/>
          <w:color w:val="000000" w:themeColor="text1"/>
          <w:lang w:val="es-ES" w:eastAsia="es-ES"/>
        </w:rPr>
      </w:pPr>
    </w:p>
    <w:p w14:paraId="0D539A81" w14:textId="77777777" w:rsidR="007968EC" w:rsidRPr="005C4274" w:rsidRDefault="007968EC" w:rsidP="007968EC">
      <w:pPr>
        <w:jc w:val="center"/>
        <w:rPr>
          <w:rFonts w:ascii="Arial Narrow" w:hAnsi="Arial Narrow" w:cs="Arial"/>
          <w:b/>
          <w:color w:val="000000" w:themeColor="text1"/>
          <w:lang w:val="es-ES" w:eastAsia="es-ES"/>
        </w:rPr>
      </w:pPr>
      <w:r w:rsidRPr="005C4274">
        <w:rPr>
          <w:rFonts w:ascii="Arial Narrow" w:hAnsi="Arial Narrow" w:cs="Arial"/>
          <w:b/>
          <w:color w:val="000000" w:themeColor="text1"/>
          <w:lang w:val="es-ES" w:eastAsia="es-ES"/>
        </w:rPr>
        <w:t>FORMATO DE FIRMAS AUTORIZADAS</w:t>
      </w:r>
    </w:p>
    <w:p w14:paraId="5B5B00EE" w14:textId="77777777" w:rsidR="007968EC" w:rsidRPr="002C0D19" w:rsidRDefault="007968EC" w:rsidP="007968EC">
      <w:pPr>
        <w:jc w:val="center"/>
        <w:rPr>
          <w:rFonts w:ascii="Arial Narrow" w:hAnsi="Arial Narrow" w:cs="Arial"/>
          <w:b/>
          <w:color w:val="000000" w:themeColor="text1"/>
          <w:lang w:val="es-ES" w:eastAsia="es-ES"/>
        </w:rPr>
      </w:pPr>
    </w:p>
    <w:p w14:paraId="4D3FA1E5" w14:textId="77777777" w:rsidR="007968EC" w:rsidRPr="002C0D19" w:rsidRDefault="007968EC" w:rsidP="007968EC">
      <w:pPr>
        <w:ind w:left="-567"/>
        <w:jc w:val="center"/>
        <w:rPr>
          <w:rFonts w:ascii="Arial Narrow" w:hAnsi="Arial Narrow" w:cs="Arial"/>
          <w:b/>
          <w:color w:val="000000" w:themeColor="text1"/>
          <w:lang w:val="es-ES" w:eastAsia="es-ES"/>
        </w:rPr>
      </w:pPr>
      <w:r w:rsidRPr="002C0D19">
        <w:rPr>
          <w:rFonts w:ascii="Arial Narrow" w:hAnsi="Arial Narrow" w:cs="Arial"/>
          <w:b/>
          <w:noProof/>
          <w:color w:val="000000" w:themeColor="text1"/>
          <w:lang w:eastAsia="es-CO"/>
        </w:rPr>
        <w:drawing>
          <wp:inline distT="0" distB="0" distL="0" distR="0" wp14:anchorId="56628BAF" wp14:editId="1D95939D">
            <wp:extent cx="5972810" cy="3395549"/>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72810" cy="3395549"/>
                    </a:xfrm>
                    <a:prstGeom prst="rect">
                      <a:avLst/>
                    </a:prstGeom>
                    <a:noFill/>
                    <a:ln>
                      <a:noFill/>
                    </a:ln>
                  </pic:spPr>
                </pic:pic>
              </a:graphicData>
            </a:graphic>
          </wp:inline>
        </w:drawing>
      </w:r>
    </w:p>
    <w:p w14:paraId="1D32BC90" w14:textId="77777777" w:rsidR="007968EC" w:rsidRPr="002C0D19" w:rsidRDefault="007968EC" w:rsidP="007968EC">
      <w:pPr>
        <w:ind w:left="-567"/>
        <w:jc w:val="center"/>
        <w:rPr>
          <w:rFonts w:ascii="Arial Narrow" w:hAnsi="Arial Narrow" w:cs="Arial"/>
          <w:b/>
          <w:color w:val="000000" w:themeColor="text1"/>
          <w:lang w:val="es-ES" w:eastAsia="es-ES"/>
        </w:rPr>
      </w:pPr>
    </w:p>
    <w:p w14:paraId="3E78A925" w14:textId="77777777" w:rsidR="007968EC" w:rsidRPr="002C0D19" w:rsidRDefault="007968EC" w:rsidP="007968EC">
      <w:pPr>
        <w:pStyle w:val="TTULO"/>
        <w:rPr>
          <w:lang w:val="es-ES"/>
        </w:rPr>
      </w:pPr>
      <w:r w:rsidRPr="002C0D19">
        <w:rPr>
          <w:lang w:val="es-ES"/>
        </w:rPr>
        <w:br w:type="page"/>
      </w:r>
      <w:bookmarkStart w:id="6516" w:name="_Toc31716597"/>
      <w:r w:rsidRPr="002C0D19">
        <w:rPr>
          <w:lang w:val="es-ES"/>
        </w:rPr>
        <w:lastRenderedPageBreak/>
        <w:t>ANEXO 7</w:t>
      </w:r>
      <w:bookmarkEnd w:id="6516"/>
    </w:p>
    <w:p w14:paraId="35FDB933" w14:textId="77777777" w:rsidR="007968EC" w:rsidRPr="005C4274" w:rsidRDefault="007968EC" w:rsidP="007968EC">
      <w:pPr>
        <w:jc w:val="center"/>
        <w:rPr>
          <w:rFonts w:ascii="Arial Narrow" w:hAnsi="Arial Narrow" w:cs="Arial"/>
          <w:b/>
          <w:color w:val="000000" w:themeColor="text1"/>
          <w:lang w:val="es-ES" w:eastAsia="es-ES"/>
        </w:rPr>
      </w:pPr>
    </w:p>
    <w:p w14:paraId="61B69B50" w14:textId="77777777" w:rsidR="007968EC" w:rsidRPr="005C4274" w:rsidRDefault="007968EC" w:rsidP="007968EC">
      <w:pPr>
        <w:jc w:val="center"/>
        <w:rPr>
          <w:rFonts w:ascii="Arial Narrow" w:hAnsi="Arial Narrow" w:cs="Arial"/>
          <w:b/>
          <w:color w:val="000000" w:themeColor="text1"/>
          <w:lang w:val="es-ES" w:eastAsia="es-ES"/>
        </w:rPr>
      </w:pPr>
      <w:r w:rsidRPr="005C4274">
        <w:rPr>
          <w:rFonts w:ascii="Arial Narrow" w:hAnsi="Arial Narrow" w:cs="Arial"/>
          <w:b/>
          <w:color w:val="000000" w:themeColor="text1"/>
          <w:lang w:val="es-ES" w:eastAsia="es-ES"/>
        </w:rPr>
        <w:t>AUTORIZACIÓN PARA CONSULTA Y ACCESO A LA INFORMACIÓN FINANCIERA EN LA</w:t>
      </w:r>
    </w:p>
    <w:p w14:paraId="35713856" w14:textId="77777777" w:rsidR="007968EC" w:rsidRPr="005C4274" w:rsidRDefault="007968EC" w:rsidP="007968EC">
      <w:pPr>
        <w:jc w:val="center"/>
        <w:rPr>
          <w:rFonts w:ascii="Arial Narrow" w:hAnsi="Arial Narrow" w:cs="Arial"/>
          <w:b/>
          <w:color w:val="000000" w:themeColor="text1"/>
          <w:lang w:val="es-ES" w:eastAsia="es-ES"/>
        </w:rPr>
      </w:pPr>
      <w:r w:rsidRPr="005C4274">
        <w:rPr>
          <w:rFonts w:ascii="Arial Narrow" w:hAnsi="Arial Narrow" w:cs="Arial"/>
          <w:b/>
          <w:color w:val="000000" w:themeColor="text1"/>
          <w:lang w:val="es-ES" w:eastAsia="es-ES"/>
        </w:rPr>
        <w:t>SUPERINTENDENCIA FINANCIERA DE COLOMBIA</w:t>
      </w:r>
    </w:p>
    <w:p w14:paraId="538B00C6" w14:textId="77777777" w:rsidR="007968EC" w:rsidRPr="002C0D19" w:rsidRDefault="007968EC" w:rsidP="007968EC">
      <w:pPr>
        <w:jc w:val="both"/>
        <w:rPr>
          <w:rFonts w:ascii="Arial Narrow" w:hAnsi="Arial Narrow" w:cs="Arial"/>
          <w:color w:val="000000" w:themeColor="text1"/>
          <w:lang w:val="es-MX" w:eastAsia="es-ES"/>
        </w:rPr>
      </w:pPr>
    </w:p>
    <w:p w14:paraId="16A99B5A" w14:textId="77777777" w:rsidR="007968EC" w:rsidRPr="002C0D19" w:rsidRDefault="007968EC" w:rsidP="007968EC">
      <w:pPr>
        <w:jc w:val="both"/>
        <w:rPr>
          <w:rFonts w:ascii="Arial Narrow" w:hAnsi="Arial Narrow" w:cs="Arial"/>
          <w:color w:val="000000" w:themeColor="text1"/>
          <w:lang w:val="es-MX" w:eastAsia="es-ES"/>
        </w:rPr>
      </w:pPr>
    </w:p>
    <w:p w14:paraId="03B982FF" w14:textId="77777777" w:rsidR="007968EC" w:rsidRPr="002C0D19" w:rsidRDefault="007968EC" w:rsidP="007968EC">
      <w:pPr>
        <w:jc w:val="both"/>
        <w:rPr>
          <w:rFonts w:ascii="Arial Narrow" w:hAnsi="Arial Narrow" w:cs="Arial"/>
          <w:color w:val="000000" w:themeColor="text1"/>
          <w:lang w:val="es-MX" w:eastAsia="es-ES"/>
        </w:rPr>
      </w:pPr>
      <w:r w:rsidRPr="002C0D19">
        <w:rPr>
          <w:rFonts w:ascii="Arial Narrow" w:hAnsi="Arial Narrow" w:cs="Arial"/>
          <w:color w:val="000000" w:themeColor="text1"/>
          <w:lang w:val="es-ES" w:eastAsia="es-ES"/>
        </w:rPr>
        <w:t xml:space="preserve">El/La suscrito (a), _________________________, identificado (a) con la Cédula de Ciudadanía No. _______________ expedida en la ciudad de ___________, obrando en nombre y representación de _____________________, sociedad legalmente constituida, con domicilio principal en ______________, con NIT. _______________, en mi calidad de representante legal, </w:t>
      </w:r>
      <w:r w:rsidRPr="002C0D19">
        <w:rPr>
          <w:rFonts w:ascii="Arial Narrow" w:hAnsi="Arial Narrow" w:cs="Arial"/>
          <w:color w:val="000000" w:themeColor="text1"/>
          <w:lang w:val="es-MX" w:eastAsia="es-ES"/>
        </w:rPr>
        <w:t xml:space="preserve">autorizo a la CÁMARA DE RIESGO CENTRAL DE CONTRAPARTE DE COLOMBIA S.A. – CRCC S.A. para que consulte y solicite la información financiera de la sociedad que represento que repose en los archivos de la Superintendencia Financiera de Colombia.  </w:t>
      </w:r>
    </w:p>
    <w:p w14:paraId="7EE3260F" w14:textId="77777777" w:rsidR="007968EC" w:rsidRPr="002C0D19" w:rsidRDefault="007968EC" w:rsidP="007968EC">
      <w:pPr>
        <w:jc w:val="both"/>
        <w:rPr>
          <w:rFonts w:ascii="Arial Narrow" w:hAnsi="Arial Narrow" w:cs="Arial"/>
          <w:color w:val="000000" w:themeColor="text1"/>
          <w:lang w:val="es-MX" w:eastAsia="es-ES"/>
        </w:rPr>
      </w:pPr>
    </w:p>
    <w:p w14:paraId="6B37FAD8" w14:textId="77777777" w:rsidR="007968EC" w:rsidRPr="002C0D19" w:rsidRDefault="007968EC" w:rsidP="007968EC">
      <w:pPr>
        <w:jc w:val="both"/>
        <w:rPr>
          <w:rFonts w:ascii="Arial Narrow" w:hAnsi="Arial Narrow" w:cs="Arial"/>
          <w:color w:val="000000" w:themeColor="text1"/>
          <w:lang w:val="es-MX" w:eastAsia="es-ES"/>
        </w:rPr>
      </w:pPr>
    </w:p>
    <w:p w14:paraId="5D9F11CD" w14:textId="77777777" w:rsidR="007968EC" w:rsidRPr="002C0D19" w:rsidRDefault="007968EC" w:rsidP="007968EC">
      <w:pPr>
        <w:jc w:val="both"/>
        <w:rPr>
          <w:rFonts w:ascii="Arial Narrow" w:hAnsi="Arial Narrow" w:cs="Arial"/>
          <w:color w:val="000000" w:themeColor="text1"/>
          <w:lang w:val="es-MX" w:eastAsia="es-ES"/>
        </w:rPr>
      </w:pPr>
      <w:r w:rsidRPr="002C0D19">
        <w:rPr>
          <w:rFonts w:ascii="Arial Narrow" w:hAnsi="Arial Narrow" w:cs="Arial"/>
          <w:color w:val="000000" w:themeColor="text1"/>
          <w:lang w:val="es-MX" w:eastAsia="es-ES"/>
        </w:rPr>
        <w:t>_________________________</w:t>
      </w:r>
    </w:p>
    <w:p w14:paraId="3A7ABD84" w14:textId="77777777" w:rsidR="007968EC" w:rsidRPr="002C0D19" w:rsidRDefault="007968EC" w:rsidP="007968EC">
      <w:pPr>
        <w:jc w:val="both"/>
        <w:rPr>
          <w:rFonts w:ascii="Arial Narrow" w:hAnsi="Arial Narrow" w:cs="Arial"/>
          <w:color w:val="000000" w:themeColor="text1"/>
          <w:lang w:val="es-MX" w:eastAsia="es-ES"/>
        </w:rPr>
      </w:pPr>
      <w:r w:rsidRPr="002C0D19">
        <w:rPr>
          <w:rFonts w:ascii="Arial Narrow" w:hAnsi="Arial Narrow" w:cs="Arial"/>
          <w:color w:val="000000" w:themeColor="text1"/>
          <w:lang w:val="es-MX" w:eastAsia="es-ES"/>
        </w:rPr>
        <w:t xml:space="preserve">                 Firma</w:t>
      </w:r>
    </w:p>
    <w:p w14:paraId="11C534D7" w14:textId="77777777" w:rsidR="007968EC" w:rsidRPr="002C0D19" w:rsidRDefault="007968EC" w:rsidP="007968EC">
      <w:pPr>
        <w:jc w:val="both"/>
        <w:rPr>
          <w:rFonts w:ascii="Arial Narrow" w:hAnsi="Arial Narrow" w:cs="Arial"/>
          <w:color w:val="000000" w:themeColor="text1"/>
          <w:lang w:val="es-MX" w:eastAsia="es-ES"/>
        </w:rPr>
      </w:pPr>
    </w:p>
    <w:p w14:paraId="5588E54F" w14:textId="77777777" w:rsidR="007968EC" w:rsidRPr="002C0D19" w:rsidRDefault="007968EC" w:rsidP="007968EC">
      <w:pPr>
        <w:jc w:val="both"/>
        <w:rPr>
          <w:rFonts w:ascii="Arial Narrow" w:hAnsi="Arial Narrow" w:cs="Arial"/>
          <w:color w:val="000000" w:themeColor="text1"/>
          <w:lang w:val="es-MX" w:eastAsia="es-ES"/>
        </w:rPr>
      </w:pPr>
      <w:r w:rsidRPr="002C0D19">
        <w:rPr>
          <w:rFonts w:ascii="Arial Narrow" w:hAnsi="Arial Narrow" w:cs="Arial"/>
          <w:color w:val="000000" w:themeColor="text1"/>
          <w:lang w:val="es-MX" w:eastAsia="es-ES"/>
        </w:rPr>
        <w:t>Nombre:</w:t>
      </w:r>
    </w:p>
    <w:p w14:paraId="7FD1F34B" w14:textId="77777777" w:rsidR="007968EC" w:rsidRPr="002C0D19" w:rsidRDefault="007968EC" w:rsidP="007968EC">
      <w:pPr>
        <w:jc w:val="both"/>
        <w:rPr>
          <w:rFonts w:ascii="Arial Narrow" w:hAnsi="Arial Narrow" w:cs="Arial"/>
          <w:color w:val="000000" w:themeColor="text1"/>
          <w:lang w:val="es-MX" w:eastAsia="es-ES"/>
        </w:rPr>
      </w:pPr>
      <w:r w:rsidRPr="002C0D19">
        <w:rPr>
          <w:rFonts w:ascii="Arial Narrow" w:hAnsi="Arial Narrow" w:cs="Arial"/>
          <w:color w:val="000000" w:themeColor="text1"/>
          <w:lang w:eastAsia="es-ES"/>
        </w:rPr>
        <w:t>C.C.</w:t>
      </w:r>
      <w:r w:rsidRPr="002C0D19">
        <w:rPr>
          <w:rFonts w:ascii="Arial Narrow" w:hAnsi="Arial Narrow" w:cs="Arial"/>
          <w:color w:val="000000" w:themeColor="text1"/>
          <w:lang w:eastAsia="es-ES"/>
        </w:rPr>
        <w:tab/>
      </w:r>
      <w:r w:rsidRPr="002C0D19">
        <w:rPr>
          <w:rFonts w:ascii="Arial Narrow" w:hAnsi="Arial Narrow" w:cs="Arial"/>
          <w:color w:val="000000" w:themeColor="text1"/>
          <w:lang w:val="es-MX" w:eastAsia="es-ES"/>
        </w:rPr>
        <w:t>:</w:t>
      </w:r>
      <w:r w:rsidRPr="002C0D19">
        <w:rPr>
          <w:rFonts w:ascii="Arial Narrow" w:hAnsi="Arial Narrow" w:cs="Arial"/>
          <w:color w:val="000000" w:themeColor="text1"/>
          <w:lang w:val="es-MX" w:eastAsia="es-ES"/>
        </w:rPr>
        <w:tab/>
      </w:r>
      <w:r w:rsidRPr="002C0D19">
        <w:rPr>
          <w:rFonts w:ascii="Arial Narrow" w:hAnsi="Arial Narrow" w:cs="Arial"/>
          <w:color w:val="000000" w:themeColor="text1"/>
          <w:lang w:val="es-MX" w:eastAsia="es-ES"/>
        </w:rPr>
        <w:tab/>
      </w:r>
    </w:p>
    <w:p w14:paraId="346F7E28" w14:textId="77777777" w:rsidR="007968EC" w:rsidRPr="005C4274" w:rsidRDefault="007968EC" w:rsidP="007968EC">
      <w:pPr>
        <w:pStyle w:val="TTULO"/>
        <w:rPr>
          <w:lang w:val="es-ES"/>
        </w:rPr>
      </w:pPr>
      <w:r w:rsidRPr="002C0D19">
        <w:rPr>
          <w:lang w:val="es-ES"/>
        </w:rPr>
        <w:br w:type="page"/>
      </w:r>
      <w:bookmarkStart w:id="6517" w:name="_Toc31716598"/>
      <w:r w:rsidRPr="005C4274">
        <w:rPr>
          <w:lang w:val="es-ES"/>
        </w:rPr>
        <w:lastRenderedPageBreak/>
        <w:t>ANEXO 8</w:t>
      </w:r>
      <w:bookmarkEnd w:id="6517"/>
    </w:p>
    <w:p w14:paraId="34478C63" w14:textId="77777777" w:rsidR="007968EC" w:rsidRPr="005C4274" w:rsidRDefault="007968EC" w:rsidP="007968EC">
      <w:pPr>
        <w:jc w:val="center"/>
        <w:rPr>
          <w:rFonts w:ascii="Arial Narrow" w:hAnsi="Arial Narrow" w:cs="Arial"/>
          <w:b/>
          <w:color w:val="000000" w:themeColor="text1"/>
          <w:lang w:val="es-ES" w:eastAsia="es-ES"/>
        </w:rPr>
      </w:pPr>
    </w:p>
    <w:p w14:paraId="37E19339" w14:textId="77777777" w:rsidR="007968EC" w:rsidRPr="005C4274" w:rsidRDefault="007968EC" w:rsidP="007968EC">
      <w:pPr>
        <w:jc w:val="center"/>
        <w:rPr>
          <w:rFonts w:ascii="Arial Narrow" w:hAnsi="Arial Narrow" w:cs="Arial"/>
          <w:b/>
          <w:color w:val="000000" w:themeColor="text1"/>
          <w:lang w:val="es-ES" w:eastAsia="es-ES"/>
        </w:rPr>
      </w:pPr>
      <w:r w:rsidRPr="005C4274">
        <w:rPr>
          <w:rFonts w:ascii="Arial Narrow" w:hAnsi="Arial Narrow" w:cs="Arial"/>
          <w:b/>
          <w:color w:val="000000" w:themeColor="text1"/>
          <w:lang w:val="es-ES" w:eastAsia="es-ES"/>
        </w:rPr>
        <w:t>FORMATO DE AUTORIZACIÓN DE DÉBITO AUTOMÁTICO EN LA CUENTA ÚNICA DE DEPOSITO</w:t>
      </w:r>
    </w:p>
    <w:p w14:paraId="63D9C2B4" w14:textId="77777777" w:rsidR="007968EC" w:rsidRPr="005C4274" w:rsidRDefault="007968EC" w:rsidP="007968EC">
      <w:pPr>
        <w:jc w:val="center"/>
        <w:rPr>
          <w:rFonts w:ascii="Arial Narrow" w:hAnsi="Arial Narrow" w:cs="Arial"/>
          <w:b/>
          <w:color w:val="000000" w:themeColor="text1"/>
          <w:lang w:val="es-ES" w:eastAsia="es-ES"/>
        </w:rPr>
      </w:pPr>
      <w:r w:rsidRPr="005C4274">
        <w:rPr>
          <w:rFonts w:ascii="Arial Narrow" w:hAnsi="Arial Narrow" w:cs="Arial"/>
          <w:b/>
          <w:color w:val="000000" w:themeColor="text1"/>
          <w:lang w:val="es-ES" w:eastAsia="es-ES"/>
        </w:rPr>
        <w:t>(CUD)</w:t>
      </w:r>
    </w:p>
    <w:p w14:paraId="340F5ACB" w14:textId="77777777" w:rsidR="007968EC" w:rsidRPr="002C0D19" w:rsidRDefault="007968EC" w:rsidP="007968EC">
      <w:pPr>
        <w:jc w:val="center"/>
        <w:rPr>
          <w:rFonts w:ascii="Arial Narrow" w:hAnsi="Arial Narrow" w:cs="Arial"/>
          <w:b/>
          <w:color w:val="000000" w:themeColor="text1"/>
          <w:lang w:val="es-ES" w:eastAsia="es-ES"/>
        </w:rPr>
      </w:pPr>
    </w:p>
    <w:p w14:paraId="4C1AEAB2" w14:textId="77777777" w:rsidR="007968EC" w:rsidRPr="002C0D19" w:rsidRDefault="007968EC" w:rsidP="007968EC">
      <w:pPr>
        <w:jc w:val="center"/>
        <w:rPr>
          <w:rFonts w:ascii="Arial Narrow" w:hAnsi="Arial Narrow" w:cs="Arial"/>
          <w:color w:val="000000" w:themeColor="text1"/>
          <w:lang w:val="es-ES" w:eastAsia="es-ES"/>
        </w:rPr>
      </w:pPr>
    </w:p>
    <w:p w14:paraId="3FAA9D69" w14:textId="77777777" w:rsidR="007968EC" w:rsidRPr="002C0D19" w:rsidRDefault="007968EC" w:rsidP="007968EC">
      <w:pPr>
        <w:jc w:val="both"/>
        <w:rPr>
          <w:rFonts w:ascii="Arial Narrow" w:hAnsi="Arial Narrow" w:cs="Arial"/>
          <w:i/>
          <w:color w:val="000000" w:themeColor="text1"/>
          <w:lang w:val="es-ES" w:eastAsia="es-ES"/>
        </w:rPr>
      </w:pPr>
      <w:r w:rsidRPr="002C0D19">
        <w:rPr>
          <w:rFonts w:ascii="Arial Narrow" w:hAnsi="Arial Narrow" w:cs="Arial"/>
          <w:i/>
          <w:color w:val="000000" w:themeColor="text1"/>
          <w:lang w:val="es-ES" w:eastAsia="es-ES"/>
        </w:rPr>
        <w:t>Doctor</w:t>
      </w:r>
    </w:p>
    <w:p w14:paraId="0F658A75" w14:textId="77777777" w:rsidR="007968EC" w:rsidRPr="002C0D19" w:rsidRDefault="007968EC" w:rsidP="007968EC">
      <w:pPr>
        <w:jc w:val="both"/>
        <w:rPr>
          <w:rFonts w:ascii="Arial Narrow" w:hAnsi="Arial Narrow" w:cs="Arial"/>
          <w:b/>
          <w:i/>
          <w:color w:val="000000" w:themeColor="text1"/>
          <w:lang w:val="es-ES" w:eastAsia="es-ES"/>
        </w:rPr>
      </w:pPr>
      <w:r w:rsidRPr="002C0D19">
        <w:rPr>
          <w:rFonts w:ascii="Arial Narrow" w:hAnsi="Arial Narrow" w:cs="Arial"/>
          <w:b/>
          <w:i/>
          <w:color w:val="000000" w:themeColor="text1"/>
          <w:lang w:val="es-ES" w:eastAsia="es-ES"/>
        </w:rPr>
        <w:t>JOAQUIÍN BERNAL RAMÍREZ</w:t>
      </w:r>
    </w:p>
    <w:p w14:paraId="457D5EA7" w14:textId="77777777" w:rsidR="007968EC" w:rsidRPr="002C0D19" w:rsidRDefault="007968EC" w:rsidP="007968EC">
      <w:pPr>
        <w:jc w:val="both"/>
        <w:rPr>
          <w:rFonts w:ascii="Arial Narrow" w:hAnsi="Arial Narrow" w:cs="Arial"/>
          <w:i/>
          <w:color w:val="000000" w:themeColor="text1"/>
          <w:lang w:val="es-ES" w:eastAsia="es-ES"/>
        </w:rPr>
      </w:pPr>
      <w:r w:rsidRPr="002C0D19">
        <w:rPr>
          <w:rFonts w:ascii="Arial Narrow" w:hAnsi="Arial Narrow" w:cs="Arial"/>
          <w:i/>
          <w:color w:val="000000" w:themeColor="text1"/>
          <w:lang w:val="es-ES" w:eastAsia="es-ES"/>
        </w:rPr>
        <w:t>Subgerente de Operación Bancaria</w:t>
      </w:r>
    </w:p>
    <w:p w14:paraId="75A516B0" w14:textId="77777777" w:rsidR="007968EC" w:rsidRPr="002C0D19" w:rsidRDefault="007968EC" w:rsidP="007968EC">
      <w:pPr>
        <w:jc w:val="both"/>
        <w:rPr>
          <w:rFonts w:ascii="Arial Narrow" w:hAnsi="Arial Narrow" w:cs="Arial"/>
          <w:b/>
          <w:i/>
          <w:color w:val="000000" w:themeColor="text1"/>
          <w:lang w:val="es-ES" w:eastAsia="es-ES"/>
        </w:rPr>
      </w:pPr>
      <w:r w:rsidRPr="002C0D19">
        <w:rPr>
          <w:rFonts w:ascii="Arial Narrow" w:hAnsi="Arial Narrow" w:cs="Arial"/>
          <w:b/>
          <w:i/>
          <w:color w:val="000000" w:themeColor="text1"/>
          <w:lang w:val="es-ES" w:eastAsia="es-ES"/>
        </w:rPr>
        <w:t>BANCO DE LA REPÚBLICA</w:t>
      </w:r>
    </w:p>
    <w:p w14:paraId="59645EF6" w14:textId="77777777" w:rsidR="007968EC" w:rsidRPr="002C0D19" w:rsidRDefault="007968EC" w:rsidP="007968EC">
      <w:pPr>
        <w:jc w:val="both"/>
        <w:rPr>
          <w:rFonts w:ascii="Arial Narrow" w:hAnsi="Arial Narrow" w:cs="Arial"/>
          <w:i/>
          <w:color w:val="000000" w:themeColor="text1"/>
          <w:lang w:val="es-ES" w:eastAsia="es-ES"/>
        </w:rPr>
      </w:pPr>
      <w:r w:rsidRPr="002C0D19">
        <w:rPr>
          <w:rFonts w:ascii="Arial Narrow" w:hAnsi="Arial Narrow" w:cs="Arial"/>
          <w:i/>
          <w:color w:val="000000" w:themeColor="text1"/>
          <w:lang w:val="es-ES" w:eastAsia="es-ES"/>
        </w:rPr>
        <w:t>Ciudad</w:t>
      </w:r>
    </w:p>
    <w:p w14:paraId="7A9BFB79" w14:textId="77777777" w:rsidR="007968EC" w:rsidRPr="002C0D19" w:rsidRDefault="007968EC" w:rsidP="007968EC">
      <w:pPr>
        <w:jc w:val="both"/>
        <w:rPr>
          <w:rFonts w:ascii="Arial Narrow" w:hAnsi="Arial Narrow" w:cs="Arial"/>
          <w:i/>
          <w:color w:val="000000" w:themeColor="text1"/>
          <w:lang w:val="es-ES" w:eastAsia="es-ES"/>
        </w:rPr>
      </w:pPr>
    </w:p>
    <w:p w14:paraId="4D0B57AD" w14:textId="77777777" w:rsidR="007968EC" w:rsidRPr="002C0D19" w:rsidRDefault="007968EC" w:rsidP="007968EC">
      <w:pPr>
        <w:jc w:val="both"/>
        <w:rPr>
          <w:rFonts w:ascii="Arial Narrow" w:hAnsi="Arial Narrow" w:cs="Arial"/>
          <w:i/>
          <w:color w:val="000000" w:themeColor="text1"/>
          <w:lang w:val="es-ES" w:eastAsia="es-ES"/>
        </w:rPr>
      </w:pPr>
    </w:p>
    <w:p w14:paraId="472F7877" w14:textId="77777777" w:rsidR="007968EC" w:rsidRPr="002C0D19" w:rsidRDefault="007968EC" w:rsidP="007968EC">
      <w:pPr>
        <w:jc w:val="both"/>
        <w:rPr>
          <w:rFonts w:ascii="Arial Narrow" w:hAnsi="Arial Narrow" w:cs="Arial"/>
          <w:i/>
          <w:color w:val="000000" w:themeColor="text1"/>
          <w:lang w:val="es-ES" w:eastAsia="es-ES"/>
        </w:rPr>
      </w:pPr>
      <w:r w:rsidRPr="002C0D19">
        <w:rPr>
          <w:rFonts w:ascii="Arial Narrow" w:hAnsi="Arial Narrow" w:cs="Arial"/>
          <w:i/>
          <w:color w:val="000000" w:themeColor="text1"/>
          <w:lang w:val="es-ES" w:eastAsia="es-ES"/>
        </w:rPr>
        <w:t>Referencia: Manejo de la cuenta de depósito N° ________ .</w:t>
      </w:r>
    </w:p>
    <w:p w14:paraId="032D474C" w14:textId="77777777" w:rsidR="007968EC" w:rsidRPr="002C0D19" w:rsidRDefault="007968EC" w:rsidP="007968EC">
      <w:pPr>
        <w:jc w:val="both"/>
        <w:rPr>
          <w:rFonts w:ascii="Arial Narrow" w:hAnsi="Arial Narrow" w:cs="Arial"/>
          <w:i/>
          <w:color w:val="000000" w:themeColor="text1"/>
          <w:lang w:val="es-ES" w:eastAsia="es-ES"/>
        </w:rPr>
      </w:pPr>
    </w:p>
    <w:p w14:paraId="7B14EED2" w14:textId="77777777" w:rsidR="007968EC" w:rsidRPr="002C0D19" w:rsidRDefault="007968EC" w:rsidP="007968EC">
      <w:pPr>
        <w:jc w:val="both"/>
        <w:rPr>
          <w:rFonts w:ascii="Arial Narrow" w:hAnsi="Arial Narrow" w:cs="Arial"/>
          <w:i/>
          <w:color w:val="000000" w:themeColor="text1"/>
          <w:lang w:val="es-ES" w:eastAsia="es-ES"/>
        </w:rPr>
      </w:pPr>
    </w:p>
    <w:p w14:paraId="6D1AE1AE" w14:textId="77777777" w:rsidR="007968EC" w:rsidRPr="002C0D19" w:rsidRDefault="007968EC" w:rsidP="007968EC">
      <w:pPr>
        <w:jc w:val="both"/>
        <w:rPr>
          <w:rFonts w:ascii="Arial Narrow" w:hAnsi="Arial Narrow" w:cs="Arial"/>
          <w:i/>
          <w:color w:val="000000" w:themeColor="text1"/>
          <w:lang w:val="es-ES" w:eastAsia="es-ES"/>
        </w:rPr>
      </w:pPr>
      <w:r w:rsidRPr="002C0D19">
        <w:rPr>
          <w:rFonts w:ascii="Arial Narrow" w:hAnsi="Arial Narrow" w:cs="Arial"/>
          <w:i/>
          <w:color w:val="000000" w:themeColor="text1"/>
          <w:lang w:val="es-ES" w:eastAsia="es-ES"/>
        </w:rPr>
        <w:t>Apreciado doctor:</w:t>
      </w:r>
    </w:p>
    <w:p w14:paraId="3B50B6A3" w14:textId="77777777" w:rsidR="007968EC" w:rsidRPr="002C0D19" w:rsidRDefault="007968EC" w:rsidP="007968EC">
      <w:pPr>
        <w:jc w:val="both"/>
        <w:rPr>
          <w:rFonts w:ascii="Arial Narrow" w:hAnsi="Arial Narrow" w:cs="Arial"/>
          <w:i/>
          <w:color w:val="000000" w:themeColor="text1"/>
          <w:lang w:val="es-ES" w:eastAsia="es-ES"/>
        </w:rPr>
      </w:pPr>
    </w:p>
    <w:p w14:paraId="227B70BF" w14:textId="77777777" w:rsidR="007968EC" w:rsidRPr="002C0D19" w:rsidRDefault="007968EC" w:rsidP="007968EC">
      <w:pPr>
        <w:jc w:val="both"/>
        <w:rPr>
          <w:rFonts w:ascii="Arial Narrow" w:hAnsi="Arial Narrow" w:cs="Arial"/>
          <w:i/>
          <w:color w:val="000000" w:themeColor="text1"/>
          <w:lang w:val="es-ES" w:eastAsia="es-ES"/>
        </w:rPr>
      </w:pPr>
      <w:r w:rsidRPr="002C0D19">
        <w:rPr>
          <w:rFonts w:ascii="Arial Narrow" w:hAnsi="Arial Narrow" w:cs="Arial"/>
          <w:i/>
          <w:color w:val="000000" w:themeColor="text1"/>
          <w:lang w:val="es-ES" w:eastAsia="es-ES"/>
        </w:rPr>
        <w:t xml:space="preserve">En mi calidad de __________y, como tal, representante legal de </w:t>
      </w:r>
      <w:r w:rsidRPr="002C0D19">
        <w:rPr>
          <w:rFonts w:ascii="Arial Narrow" w:hAnsi="Arial Narrow" w:cs="Arial"/>
          <w:color w:val="000000" w:themeColor="text1"/>
          <w:lang w:val="es-ES" w:eastAsia="es-ES"/>
        </w:rPr>
        <w:t>(NOMBRE DE LA ENTIDAD)</w:t>
      </w:r>
      <w:r w:rsidRPr="002C0D19">
        <w:rPr>
          <w:rFonts w:ascii="Arial Narrow" w:hAnsi="Arial Narrow" w:cs="Arial"/>
          <w:i/>
          <w:color w:val="000000" w:themeColor="text1"/>
          <w:lang w:val="es-ES" w:eastAsia="es-ES"/>
        </w:rPr>
        <w:t xml:space="preserve"> (en adelante, EL DEPOSITANTE), como consta en el certificado de existencia y representación expedido por la Superintendencia Financiera de Colombia que adjunto, me permito autorizar a </w:t>
      </w:r>
      <w:r w:rsidRPr="002C0D19">
        <w:rPr>
          <w:rFonts w:ascii="Arial Narrow" w:hAnsi="Arial Narrow" w:cs="Arial"/>
          <w:color w:val="000000" w:themeColor="text1"/>
          <w:lang w:val="es-ES" w:eastAsia="es-ES"/>
        </w:rPr>
        <w:t>la Cámara de Riesgo Central de Contraparte de Colombia S.A.</w:t>
      </w:r>
      <w:r w:rsidRPr="002C0D19">
        <w:rPr>
          <w:rFonts w:ascii="Arial Narrow" w:hAnsi="Arial Narrow" w:cs="Arial"/>
          <w:i/>
          <w:color w:val="000000" w:themeColor="text1"/>
          <w:lang w:val="es-ES" w:eastAsia="es-ES"/>
        </w:rPr>
        <w:t>, sociedad anónima constituida mediante la escritura pública N° 5909, del tres (3) de octubre de 2007, otorgada en la Notaría Diecinueve (19) del Círculo de Bogotá, con certificado de funcionamiento otorgado por la Superintendencia Financiera de Colombia mediante la Resolución N° 0923 del doce (12) de junio de 2008, e identificada con el NIT  900.182.389-4, para realizar los siguientes actos en relación con la cuenta de depósito en pesos No. ___________, denominada (NOMBRE DE LA CUENTA), (en adelante LA CUENTA) que EL DEPOSITANTE tiene abierta en el Banco de la República:</w:t>
      </w:r>
    </w:p>
    <w:p w14:paraId="74A10794" w14:textId="77777777" w:rsidR="007968EC" w:rsidRPr="002C0D19" w:rsidRDefault="007968EC" w:rsidP="007968EC">
      <w:pPr>
        <w:tabs>
          <w:tab w:val="left" w:pos="851"/>
        </w:tabs>
        <w:jc w:val="both"/>
        <w:rPr>
          <w:rFonts w:ascii="Arial Narrow" w:hAnsi="Arial Narrow" w:cs="Arial"/>
          <w:i/>
          <w:color w:val="000000" w:themeColor="text1"/>
          <w:lang w:val="es-ES" w:eastAsia="es-ES"/>
        </w:rPr>
      </w:pPr>
    </w:p>
    <w:p w14:paraId="60ACC1CF" w14:textId="77777777" w:rsidR="007968EC" w:rsidRPr="002C0D19" w:rsidRDefault="007968EC" w:rsidP="00DA7472">
      <w:pPr>
        <w:numPr>
          <w:ilvl w:val="0"/>
          <w:numId w:val="29"/>
        </w:numPr>
        <w:tabs>
          <w:tab w:val="left" w:pos="851"/>
        </w:tabs>
        <w:jc w:val="both"/>
        <w:rPr>
          <w:rFonts w:ascii="Arial Narrow" w:hAnsi="Arial Narrow" w:cs="Arial"/>
          <w:i/>
          <w:color w:val="000000" w:themeColor="text1"/>
          <w:lang w:val="es-ES" w:eastAsia="es-ES"/>
        </w:rPr>
      </w:pPr>
      <w:r w:rsidRPr="002C0D19">
        <w:rPr>
          <w:rFonts w:ascii="Arial Narrow" w:hAnsi="Arial Narrow" w:cs="Arial"/>
          <w:i/>
          <w:color w:val="000000" w:themeColor="text1"/>
          <w:lang w:val="es-ES" w:eastAsia="es-ES"/>
        </w:rPr>
        <w:t xml:space="preserve">Ordenar débitos a LA CUENTA por cualquier valor, sin exceder en ningún caso del saldo existente en LA CUENTA, utilizando para el efecto el “Servicio de Liquidación en Cuentas de Depósito en Sistemas Externos”, en los términos y condiciones establecidos por el Banco en las Circulares Reglamentarias Externas DSEP-157 “Cuentas de Depósito” y DSEP 158 “Sistema de Cuentas de Depósito CUD”, o las que las modifiquen, adicionen o sustituyan, con el fin de trasladar los recursos debitados a la(s) cuenta(s) de depósito de liquidación que la </w:t>
      </w:r>
      <w:r w:rsidRPr="002C0D19">
        <w:rPr>
          <w:rFonts w:ascii="Arial Narrow" w:hAnsi="Arial Narrow" w:cs="Arial"/>
          <w:color w:val="000000" w:themeColor="text1"/>
          <w:lang w:val="es-ES" w:eastAsia="es-ES"/>
        </w:rPr>
        <w:t xml:space="preserve">Cámara de Riesgo Central de Contraparte de Colombia S.A. </w:t>
      </w:r>
      <w:r w:rsidRPr="002C0D19">
        <w:rPr>
          <w:rFonts w:ascii="Arial Narrow" w:hAnsi="Arial Narrow" w:cs="Arial"/>
          <w:i/>
          <w:color w:val="000000" w:themeColor="text1"/>
          <w:lang w:val="es-ES" w:eastAsia="es-ES"/>
        </w:rPr>
        <w:t>le señale al Banco de la República mediante el servicio indicado.</w:t>
      </w:r>
    </w:p>
    <w:p w14:paraId="5E940494" w14:textId="77777777" w:rsidR="007968EC" w:rsidRPr="002C0D19" w:rsidRDefault="007968EC" w:rsidP="007968EC">
      <w:pPr>
        <w:tabs>
          <w:tab w:val="left" w:pos="851"/>
        </w:tabs>
        <w:jc w:val="both"/>
        <w:rPr>
          <w:rFonts w:ascii="Arial Narrow" w:hAnsi="Arial Narrow" w:cs="Arial"/>
          <w:i/>
          <w:color w:val="000000" w:themeColor="text1"/>
          <w:lang w:val="es-ES" w:eastAsia="es-ES"/>
        </w:rPr>
      </w:pPr>
    </w:p>
    <w:p w14:paraId="6F808E8F" w14:textId="77777777" w:rsidR="007968EC" w:rsidRPr="002C0D19" w:rsidRDefault="007968EC" w:rsidP="00DA7472">
      <w:pPr>
        <w:numPr>
          <w:ilvl w:val="0"/>
          <w:numId w:val="29"/>
        </w:numPr>
        <w:tabs>
          <w:tab w:val="left" w:pos="851"/>
        </w:tabs>
        <w:jc w:val="both"/>
        <w:rPr>
          <w:rFonts w:ascii="Arial Narrow" w:hAnsi="Arial Narrow" w:cs="Arial"/>
          <w:i/>
          <w:color w:val="000000" w:themeColor="text1"/>
          <w:lang w:val="es-ES" w:eastAsia="es-ES"/>
        </w:rPr>
      </w:pPr>
      <w:r w:rsidRPr="002C0D19">
        <w:rPr>
          <w:rFonts w:ascii="Arial Narrow" w:hAnsi="Arial Narrow" w:cs="Arial"/>
          <w:i/>
          <w:color w:val="000000" w:themeColor="text1"/>
          <w:lang w:val="es-ES" w:eastAsia="es-ES"/>
        </w:rPr>
        <w:t>Acordar con el Banco de la República los mecanismos, requisitos y condiciones de seguridad adicionales que resulten necesarios para recibir y ejecutar las órdenes de débito automático y de transferencia de fondos indicadas en el punto anterior.</w:t>
      </w:r>
      <w:r w:rsidRPr="002C0D19">
        <w:rPr>
          <w:rFonts w:ascii="Arial Narrow" w:hAnsi="Arial Narrow" w:cs="Arial"/>
          <w:color w:val="000000" w:themeColor="text1"/>
          <w:lang w:val="es-ES" w:eastAsia="es-ES"/>
        </w:rPr>
        <w:t xml:space="preserve"> </w:t>
      </w:r>
    </w:p>
    <w:p w14:paraId="31E9FA43" w14:textId="77777777" w:rsidR="007968EC" w:rsidRPr="002C0D19" w:rsidRDefault="007968EC" w:rsidP="007968EC">
      <w:pPr>
        <w:tabs>
          <w:tab w:val="left" w:pos="851"/>
        </w:tabs>
        <w:jc w:val="both"/>
        <w:rPr>
          <w:rFonts w:ascii="Arial Narrow" w:hAnsi="Arial Narrow" w:cs="Arial"/>
          <w:i/>
          <w:color w:val="000000" w:themeColor="text1"/>
          <w:lang w:val="es-ES" w:eastAsia="es-ES"/>
        </w:rPr>
      </w:pPr>
    </w:p>
    <w:p w14:paraId="7832AEFC" w14:textId="77777777" w:rsidR="007968EC" w:rsidRPr="002C0D19" w:rsidRDefault="007968EC" w:rsidP="007968EC">
      <w:pPr>
        <w:tabs>
          <w:tab w:val="left" w:pos="851"/>
        </w:tabs>
        <w:jc w:val="both"/>
        <w:rPr>
          <w:rFonts w:ascii="Arial Narrow" w:hAnsi="Arial Narrow" w:cs="Arial"/>
          <w:i/>
          <w:color w:val="000000" w:themeColor="text1"/>
          <w:lang w:val="es-ES" w:eastAsia="es-ES"/>
        </w:rPr>
      </w:pPr>
      <w:r w:rsidRPr="002C0D19">
        <w:rPr>
          <w:rFonts w:ascii="Arial Narrow" w:hAnsi="Arial Narrow" w:cs="Arial"/>
          <w:i/>
          <w:color w:val="000000" w:themeColor="text1"/>
          <w:lang w:val="es-ES" w:eastAsia="es-ES"/>
        </w:rPr>
        <w:lastRenderedPageBreak/>
        <w:t xml:space="preserve">“Las órdenes e instrucciones dadas por </w:t>
      </w:r>
      <w:r w:rsidRPr="002C0D19">
        <w:rPr>
          <w:rFonts w:ascii="Arial Narrow" w:hAnsi="Arial Narrow" w:cs="Arial"/>
          <w:color w:val="000000" w:themeColor="text1"/>
          <w:lang w:val="es-ES" w:eastAsia="es-ES"/>
        </w:rPr>
        <w:t>la Cámara de Riesgo Central de Contraparte de Colombia S.A.</w:t>
      </w:r>
      <w:r w:rsidRPr="002C0D19">
        <w:rPr>
          <w:rFonts w:ascii="Arial Narrow" w:hAnsi="Arial Narrow" w:cs="Arial"/>
          <w:i/>
          <w:color w:val="000000" w:themeColor="text1"/>
          <w:lang w:val="es-ES" w:eastAsia="es-ES"/>
        </w:rPr>
        <w:t xml:space="preserve"> para debitar y trasladar recursos de LA CUENTA, en la forma indicada en esta carta, no podrán ser revocadas ni modificadas por funcionario alguno de EL DEPOSITANTE. </w:t>
      </w:r>
    </w:p>
    <w:p w14:paraId="4B6FE0CC" w14:textId="77777777" w:rsidR="007968EC" w:rsidRPr="002C0D19" w:rsidRDefault="007968EC" w:rsidP="007968EC">
      <w:pPr>
        <w:tabs>
          <w:tab w:val="left" w:pos="851"/>
        </w:tabs>
        <w:jc w:val="both"/>
        <w:rPr>
          <w:rFonts w:ascii="Arial Narrow" w:hAnsi="Arial Narrow" w:cs="Arial"/>
          <w:i/>
          <w:color w:val="000000" w:themeColor="text1"/>
          <w:lang w:val="es-ES" w:eastAsia="es-ES"/>
        </w:rPr>
      </w:pPr>
    </w:p>
    <w:p w14:paraId="1E0FD7A4" w14:textId="77777777" w:rsidR="007968EC" w:rsidRPr="002C0D19" w:rsidRDefault="007968EC" w:rsidP="007968EC">
      <w:pPr>
        <w:tabs>
          <w:tab w:val="left" w:pos="851"/>
        </w:tabs>
        <w:jc w:val="both"/>
        <w:rPr>
          <w:rFonts w:ascii="Arial Narrow" w:hAnsi="Arial Narrow" w:cs="Arial"/>
          <w:i/>
          <w:color w:val="000000" w:themeColor="text1"/>
          <w:lang w:val="es-ES" w:eastAsia="es-ES"/>
        </w:rPr>
      </w:pPr>
      <w:r w:rsidRPr="002C0D19">
        <w:rPr>
          <w:rFonts w:ascii="Arial Narrow" w:hAnsi="Arial Narrow" w:cs="Arial"/>
          <w:i/>
          <w:color w:val="000000" w:themeColor="text1"/>
          <w:lang w:val="es-ES" w:eastAsia="es-ES"/>
        </w:rPr>
        <w:t>“Sin embargo, la autorización contenida en esta comunicación podrá ser revocada en cualquier momento, exclusivamente por un representante legal competente de EL DEPOSITANTE, mediante comunicación dirigida al Banco de la República, con reconocimiento de texto y firma ante notario, y acompañada por un certificado de existencia y representación legal expedido por la Superintendencia Financiera con no más de treinta (30) días de antigüedad. Igualmente, la</w:t>
      </w:r>
      <w:r w:rsidRPr="002C0D19">
        <w:rPr>
          <w:rFonts w:ascii="Arial Narrow" w:hAnsi="Arial Narrow" w:cs="Arial"/>
          <w:color w:val="000000" w:themeColor="text1"/>
          <w:lang w:val="es-ES" w:eastAsia="es-ES"/>
        </w:rPr>
        <w:t xml:space="preserve"> Cámara de Riesgo Central de Contraparte de Colombia S.A. </w:t>
      </w:r>
      <w:r w:rsidRPr="002C0D19">
        <w:rPr>
          <w:rFonts w:ascii="Arial Narrow" w:hAnsi="Arial Narrow" w:cs="Arial"/>
          <w:i/>
          <w:color w:val="000000" w:themeColor="text1"/>
          <w:lang w:val="es-ES" w:eastAsia="es-ES"/>
        </w:rPr>
        <w:t>podrá renunciar a dicha autorización mediante comunicación dirigida al Banco de la República, en las mismas condiciones mencionadas para su revocación por parte de EL DEPOSITANTE. La revocación o la renuncia, según el caso, serán efectivas a partir del día hábil siguiente en el cual las comunicaciones correspondientes sean radicadas en el Banco de la República, que se encargará de notificar al respecto a la otra parte.</w:t>
      </w:r>
    </w:p>
    <w:p w14:paraId="60D066C6" w14:textId="77777777" w:rsidR="007968EC" w:rsidRPr="002C0D19" w:rsidRDefault="007968EC" w:rsidP="007968EC">
      <w:pPr>
        <w:tabs>
          <w:tab w:val="left" w:pos="851"/>
        </w:tabs>
        <w:jc w:val="both"/>
        <w:rPr>
          <w:rFonts w:ascii="Arial Narrow" w:hAnsi="Arial Narrow" w:cs="Arial"/>
          <w:i/>
          <w:color w:val="000000" w:themeColor="text1"/>
          <w:lang w:val="es-ES" w:eastAsia="es-ES"/>
        </w:rPr>
      </w:pPr>
    </w:p>
    <w:p w14:paraId="36039C9C" w14:textId="77777777" w:rsidR="007968EC" w:rsidRPr="002C0D19" w:rsidRDefault="007968EC" w:rsidP="007968EC">
      <w:pPr>
        <w:tabs>
          <w:tab w:val="left" w:pos="851"/>
        </w:tabs>
        <w:jc w:val="both"/>
        <w:rPr>
          <w:rFonts w:ascii="Arial Narrow" w:hAnsi="Arial Narrow" w:cs="Arial"/>
          <w:i/>
          <w:color w:val="000000" w:themeColor="text1"/>
          <w:lang w:val="es-ES" w:eastAsia="es-ES"/>
        </w:rPr>
      </w:pPr>
      <w:r w:rsidRPr="002C0D19">
        <w:rPr>
          <w:rFonts w:ascii="Arial Narrow" w:hAnsi="Arial Narrow" w:cs="Arial"/>
          <w:i/>
          <w:color w:val="000000" w:themeColor="text1"/>
          <w:lang w:val="es-ES" w:eastAsia="es-ES"/>
        </w:rPr>
        <w:t xml:space="preserve">EL DEPOSITANTE exonera al Banco de la República de cualquier responsabilidad que pudiera derivarse para él de la información entregada por </w:t>
      </w:r>
      <w:r w:rsidRPr="002C0D19">
        <w:rPr>
          <w:rFonts w:ascii="Arial Narrow" w:hAnsi="Arial Narrow" w:cs="Arial"/>
          <w:color w:val="000000" w:themeColor="text1"/>
          <w:lang w:val="es-ES" w:eastAsia="es-ES"/>
        </w:rPr>
        <w:t xml:space="preserve">la Cámara de Riesgo Central de Contraparte de Colombia S.A., </w:t>
      </w:r>
      <w:r w:rsidRPr="002C0D19">
        <w:rPr>
          <w:rFonts w:ascii="Arial Narrow" w:hAnsi="Arial Narrow" w:cs="Arial"/>
          <w:i/>
          <w:color w:val="000000" w:themeColor="text1"/>
          <w:lang w:val="es-ES" w:eastAsia="es-ES"/>
        </w:rPr>
        <w:t>así como por la atención y el cumplimiento de las solicitudes, órdenes de transferencia e instrucciones dadas por dicha entidad y sus efectos, en desarrollo de la autorización prevista en esta comunicación. Conforme a lo expresado, EL DEPOSITANTE asume todos los riesgos de la autorización impartida.</w:t>
      </w:r>
    </w:p>
    <w:p w14:paraId="439BEEFA" w14:textId="77777777" w:rsidR="007968EC" w:rsidRPr="002C0D19" w:rsidRDefault="007968EC" w:rsidP="007968EC">
      <w:pPr>
        <w:tabs>
          <w:tab w:val="left" w:pos="851"/>
        </w:tabs>
        <w:jc w:val="both"/>
        <w:rPr>
          <w:rFonts w:ascii="Arial Narrow" w:hAnsi="Arial Narrow" w:cs="Arial"/>
          <w:i/>
          <w:color w:val="000000" w:themeColor="text1"/>
          <w:lang w:val="es-ES" w:eastAsia="es-ES"/>
        </w:rPr>
      </w:pPr>
    </w:p>
    <w:p w14:paraId="502BD2A6" w14:textId="77777777" w:rsidR="007968EC" w:rsidRPr="002C0D19" w:rsidRDefault="007968EC" w:rsidP="007968EC">
      <w:pPr>
        <w:tabs>
          <w:tab w:val="left" w:pos="851"/>
        </w:tabs>
        <w:jc w:val="both"/>
        <w:rPr>
          <w:rFonts w:ascii="Arial Narrow" w:hAnsi="Arial Narrow" w:cs="Arial"/>
          <w:i/>
          <w:color w:val="000000" w:themeColor="text1"/>
          <w:lang w:val="es-ES" w:eastAsia="es-ES"/>
        </w:rPr>
      </w:pPr>
      <w:r w:rsidRPr="002C0D19">
        <w:rPr>
          <w:rFonts w:ascii="Arial Narrow" w:hAnsi="Arial Narrow" w:cs="Arial"/>
          <w:i/>
          <w:color w:val="000000" w:themeColor="text1"/>
          <w:lang w:val="es-ES" w:eastAsia="es-ES"/>
        </w:rPr>
        <w:t>La presente autorización se otorga en desarrollo de lo estipulado en el contrato de cuenta de depósito N°</w:t>
      </w:r>
      <w:r w:rsidRPr="002C0D19">
        <w:rPr>
          <w:rFonts w:ascii="Arial Narrow" w:hAnsi="Arial Narrow" w:cs="Arial"/>
          <w:i/>
          <w:color w:val="000000" w:themeColor="text1"/>
          <w:vertAlign w:val="superscript"/>
          <w:lang w:val="es-ES" w:eastAsia="es-ES"/>
        </w:rPr>
        <w:t>1</w:t>
      </w:r>
      <w:r w:rsidRPr="002C0D19">
        <w:rPr>
          <w:rFonts w:ascii="Arial Narrow" w:hAnsi="Arial Narrow" w:cs="Arial"/>
          <w:i/>
          <w:color w:val="000000" w:themeColor="text1"/>
          <w:lang w:val="es-ES" w:eastAsia="es-ES"/>
        </w:rPr>
        <w:t xml:space="preserve"> ______ celebrado entre EL DEPOSITANTE y el Banco de la República. </w:t>
      </w:r>
    </w:p>
    <w:p w14:paraId="3C3CFE60" w14:textId="77777777" w:rsidR="007968EC" w:rsidRPr="002C0D19" w:rsidRDefault="007968EC" w:rsidP="007968EC">
      <w:pPr>
        <w:tabs>
          <w:tab w:val="left" w:pos="851"/>
        </w:tabs>
        <w:jc w:val="both"/>
        <w:rPr>
          <w:rFonts w:ascii="Arial Narrow" w:hAnsi="Arial Narrow" w:cs="Arial"/>
          <w:i/>
          <w:color w:val="000000" w:themeColor="text1"/>
          <w:lang w:val="es-ES" w:eastAsia="es-ES"/>
        </w:rPr>
      </w:pPr>
      <w:r w:rsidRPr="002C0D19">
        <w:rPr>
          <w:rFonts w:ascii="Arial Narrow" w:hAnsi="Arial Narrow" w:cs="Arial"/>
          <w:i/>
          <w:color w:val="000000" w:themeColor="text1"/>
          <w:lang w:val="es-ES" w:eastAsia="es-ES"/>
        </w:rPr>
        <w:t xml:space="preserve">       </w:t>
      </w:r>
    </w:p>
    <w:p w14:paraId="0AF77B13" w14:textId="77777777" w:rsidR="007968EC" w:rsidRPr="002C0D19" w:rsidRDefault="007968EC" w:rsidP="007968EC">
      <w:pPr>
        <w:tabs>
          <w:tab w:val="left" w:pos="851"/>
        </w:tabs>
        <w:jc w:val="both"/>
        <w:rPr>
          <w:rFonts w:ascii="Arial Narrow" w:hAnsi="Arial Narrow" w:cs="Arial"/>
          <w:i/>
          <w:color w:val="000000" w:themeColor="text1"/>
          <w:lang w:val="es-ES" w:eastAsia="es-ES"/>
        </w:rPr>
      </w:pPr>
      <w:r w:rsidRPr="002C0D19">
        <w:rPr>
          <w:rFonts w:ascii="Arial Narrow" w:hAnsi="Arial Narrow" w:cs="Arial"/>
          <w:i/>
          <w:color w:val="000000" w:themeColor="text1"/>
          <w:lang w:val="es-ES" w:eastAsia="es-ES"/>
        </w:rPr>
        <w:t>Atentamente,</w:t>
      </w:r>
    </w:p>
    <w:p w14:paraId="53394558" w14:textId="77777777" w:rsidR="007968EC" w:rsidRPr="002C0D19" w:rsidRDefault="007968EC" w:rsidP="007968EC">
      <w:pPr>
        <w:jc w:val="both"/>
        <w:rPr>
          <w:rFonts w:ascii="Arial Narrow" w:hAnsi="Arial Narrow" w:cs="Arial"/>
          <w:color w:val="000000" w:themeColor="text1"/>
          <w:lang w:val="es-ES" w:eastAsia="es-ES"/>
        </w:rPr>
      </w:pPr>
    </w:p>
    <w:p w14:paraId="572618B5" w14:textId="77777777" w:rsidR="007968EC" w:rsidRPr="002C0D19" w:rsidRDefault="007968EC" w:rsidP="007968EC">
      <w:pPr>
        <w:jc w:val="both"/>
        <w:rPr>
          <w:rFonts w:ascii="Arial Narrow" w:hAnsi="Arial Narrow" w:cs="Arial"/>
          <w:color w:val="000000" w:themeColor="text1"/>
          <w:lang w:val="es-ES" w:eastAsia="es-ES"/>
        </w:rPr>
      </w:pPr>
    </w:p>
    <w:p w14:paraId="6B8ECC7D" w14:textId="77777777" w:rsidR="007968EC" w:rsidRPr="002C0D19" w:rsidRDefault="007968EC" w:rsidP="007968EC">
      <w:pPr>
        <w:jc w:val="both"/>
        <w:rPr>
          <w:rFonts w:ascii="Arial Narrow" w:hAnsi="Arial Narrow" w:cs="Arial"/>
          <w:color w:val="000000" w:themeColor="text1"/>
          <w:lang w:val="es-ES" w:eastAsia="es-ES"/>
        </w:rPr>
      </w:pPr>
    </w:p>
    <w:p w14:paraId="6047D776" w14:textId="77777777" w:rsidR="007968EC" w:rsidRPr="002C0D19" w:rsidRDefault="007968EC" w:rsidP="007968EC">
      <w:pPr>
        <w:jc w:val="both"/>
        <w:rPr>
          <w:rFonts w:ascii="Arial Narrow" w:hAnsi="Arial Narrow" w:cs="Arial"/>
          <w:i/>
          <w:color w:val="000000" w:themeColor="text1"/>
          <w:lang w:val="es-ES" w:eastAsia="es-ES"/>
        </w:rPr>
      </w:pPr>
      <w:r w:rsidRPr="002C0D19">
        <w:rPr>
          <w:rFonts w:ascii="Arial Narrow" w:hAnsi="Arial Narrow" w:cs="Arial"/>
          <w:i/>
          <w:color w:val="000000" w:themeColor="text1"/>
          <w:lang w:val="es-ES" w:eastAsia="es-ES"/>
        </w:rPr>
        <w:t xml:space="preserve">“Adjunto: Certificado de existencia y representación legal”. </w:t>
      </w:r>
    </w:p>
    <w:p w14:paraId="3F21B40A" w14:textId="77777777" w:rsidR="007968EC" w:rsidRPr="002C0D19" w:rsidRDefault="007968EC" w:rsidP="007968EC">
      <w:pPr>
        <w:jc w:val="both"/>
        <w:rPr>
          <w:rFonts w:ascii="Arial Narrow" w:hAnsi="Arial Narrow" w:cs="Arial"/>
          <w:i/>
          <w:color w:val="000000" w:themeColor="text1"/>
          <w:lang w:val="es-ES" w:eastAsia="es-ES"/>
        </w:rPr>
      </w:pPr>
    </w:p>
    <w:p w14:paraId="0B04CC3C" w14:textId="77777777" w:rsidR="007968EC" w:rsidRPr="002C0D19" w:rsidRDefault="007968EC" w:rsidP="007968EC">
      <w:pPr>
        <w:jc w:val="both"/>
        <w:rPr>
          <w:rFonts w:ascii="Arial Narrow" w:hAnsi="Arial Narrow" w:cs="Arial"/>
          <w:i/>
          <w:color w:val="000000" w:themeColor="text1"/>
          <w:lang w:val="es-ES" w:eastAsia="es-ES"/>
        </w:rPr>
      </w:pPr>
      <w:r w:rsidRPr="002C0D19">
        <w:rPr>
          <w:rFonts w:ascii="Arial Narrow" w:hAnsi="Arial Narrow" w:cs="Arial"/>
          <w:i/>
          <w:color w:val="000000" w:themeColor="text1"/>
          <w:lang w:val="es-ES" w:eastAsia="es-ES"/>
        </w:rPr>
        <w:t>______________________________________________________</w:t>
      </w:r>
    </w:p>
    <w:p w14:paraId="521BE327"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eastAsia="Calibri" w:hAnsi="Arial Narrow"/>
          <w:color w:val="000000" w:themeColor="text1"/>
          <w:vertAlign w:val="superscript"/>
          <w:lang w:val="es-ES"/>
        </w:rPr>
        <w:t>1 Corresponde al número de contrato de cuenta de depósito suscrito entre el Banco de la República y la Entidad, no al número de la cuenta de depósito.</w:t>
      </w:r>
    </w:p>
    <w:p w14:paraId="12E62257" w14:textId="77777777" w:rsidR="007968EC" w:rsidRPr="005C4274" w:rsidRDefault="007968EC" w:rsidP="007968EC">
      <w:pPr>
        <w:pStyle w:val="TTULO"/>
        <w:rPr>
          <w:lang w:val="es-ES"/>
        </w:rPr>
      </w:pPr>
      <w:r w:rsidRPr="002C0D19">
        <w:rPr>
          <w:lang w:val="es-ES"/>
        </w:rPr>
        <w:br w:type="page"/>
      </w:r>
      <w:bookmarkStart w:id="6518" w:name="_Toc31716599"/>
      <w:r w:rsidRPr="005C4274">
        <w:rPr>
          <w:lang w:val="es-ES"/>
        </w:rPr>
        <w:lastRenderedPageBreak/>
        <w:t>ANEXO 9</w:t>
      </w:r>
      <w:bookmarkEnd w:id="6518"/>
    </w:p>
    <w:p w14:paraId="21C02EE9" w14:textId="77777777" w:rsidR="007968EC" w:rsidRPr="005C4274" w:rsidRDefault="007968EC" w:rsidP="007968EC">
      <w:pPr>
        <w:jc w:val="center"/>
        <w:rPr>
          <w:rFonts w:ascii="Arial Narrow" w:hAnsi="Arial Narrow" w:cs="Arial"/>
          <w:b/>
          <w:color w:val="000000" w:themeColor="text1"/>
          <w:lang w:val="es-ES" w:eastAsia="es-ES"/>
        </w:rPr>
      </w:pPr>
    </w:p>
    <w:p w14:paraId="64D4692C" w14:textId="77777777" w:rsidR="007968EC" w:rsidRPr="005C4274" w:rsidRDefault="007968EC" w:rsidP="007968EC">
      <w:pPr>
        <w:jc w:val="center"/>
        <w:rPr>
          <w:rFonts w:ascii="Arial Narrow" w:hAnsi="Arial Narrow" w:cs="Arial"/>
          <w:b/>
          <w:color w:val="000000" w:themeColor="text1"/>
          <w:lang w:val="es-ES" w:eastAsia="es-ES"/>
        </w:rPr>
      </w:pPr>
      <w:r w:rsidRPr="005C4274">
        <w:rPr>
          <w:rFonts w:ascii="Arial Narrow" w:hAnsi="Arial Narrow" w:cs="Arial"/>
          <w:b/>
          <w:color w:val="000000" w:themeColor="text1"/>
          <w:lang w:val="es-ES" w:eastAsia="es-ES"/>
        </w:rPr>
        <w:t>DECLARACIÓN DEL CUMPLIMIENTO DE LOS REQUISITOS TECNOLÓGICOS</w:t>
      </w:r>
    </w:p>
    <w:p w14:paraId="43D3B698" w14:textId="77777777" w:rsidR="007968EC" w:rsidRPr="002C0D19" w:rsidRDefault="007968EC" w:rsidP="007968EC">
      <w:pPr>
        <w:jc w:val="center"/>
        <w:rPr>
          <w:rFonts w:ascii="Arial Narrow" w:hAnsi="Arial Narrow" w:cs="Arial"/>
          <w:b/>
          <w:color w:val="000000" w:themeColor="text1"/>
          <w:lang w:val="es-ES" w:eastAsia="es-ES"/>
        </w:rPr>
      </w:pPr>
    </w:p>
    <w:p w14:paraId="2C10B77E" w14:textId="77777777" w:rsidR="007968EC" w:rsidRPr="002C0D19" w:rsidRDefault="007968EC" w:rsidP="007968EC">
      <w:pPr>
        <w:jc w:val="both"/>
        <w:rPr>
          <w:rFonts w:ascii="Arial Narrow" w:hAnsi="Arial Narrow" w:cs="Arial"/>
          <w:color w:val="000000" w:themeColor="text1"/>
          <w:lang w:val="es-MX" w:eastAsia="es-CO"/>
        </w:rPr>
      </w:pPr>
    </w:p>
    <w:p w14:paraId="185C2130" w14:textId="77777777" w:rsidR="007968EC" w:rsidRPr="002C0D19" w:rsidRDefault="007968EC" w:rsidP="007968EC">
      <w:pPr>
        <w:jc w:val="both"/>
        <w:rPr>
          <w:rFonts w:ascii="Arial Narrow" w:hAnsi="Arial Narrow" w:cs="Arial"/>
          <w:b/>
          <w:color w:val="000000" w:themeColor="text1"/>
          <w:lang w:eastAsia="es-CO"/>
        </w:rPr>
      </w:pPr>
    </w:p>
    <w:p w14:paraId="2171DBB2" w14:textId="77777777" w:rsidR="007968EC" w:rsidRPr="002C0D19" w:rsidRDefault="007968EC" w:rsidP="007968EC">
      <w:pPr>
        <w:jc w:val="both"/>
        <w:rPr>
          <w:rFonts w:ascii="Arial Narrow" w:hAnsi="Arial Narrow" w:cs="Arial"/>
          <w:color w:val="000000" w:themeColor="text1"/>
          <w:lang w:eastAsia="es-CO"/>
        </w:rPr>
      </w:pPr>
      <w:r w:rsidRPr="002C0D19">
        <w:rPr>
          <w:rFonts w:ascii="Arial Narrow" w:hAnsi="Arial Narrow" w:cs="Arial"/>
          <w:color w:val="000000" w:themeColor="text1"/>
          <w:lang w:eastAsia="es-CO"/>
        </w:rPr>
        <w:t xml:space="preserve">El/La suscrito (a), _________________________, identificado (a) con la Cédula de Ciudadanía No. _______________ expedida en la ciudad de ___________, obrando en nombre y representación de _____________________, sociedad legalmente constituida, con domicilio principal en ______________, con NIT. _______________, en mi calidad de representante legal, certifico que la sociedad cumple con los siguientes requerimientos tecnológicos exigidos por la Cámara de Riesgo de Contraparte de Colombia S.A. – CRCC S.A. para la admisión de la sociedad como Miembro de la CRCC S.A., en los términos establecidos a continuación: </w:t>
      </w:r>
    </w:p>
    <w:p w14:paraId="28060A6A" w14:textId="77777777" w:rsidR="007968EC" w:rsidRPr="002C0D19" w:rsidRDefault="007968EC" w:rsidP="007968EC">
      <w:pPr>
        <w:rPr>
          <w:rFonts w:ascii="Arial Narrow" w:hAnsi="Arial Narrow" w:cs="Arial"/>
          <w:b/>
          <w:color w:val="000000" w:themeColor="text1"/>
          <w:lang w:eastAsia="es-ES"/>
        </w:rPr>
      </w:pPr>
    </w:p>
    <w:p w14:paraId="0ACA5AAE" w14:textId="77777777" w:rsidR="007968EC" w:rsidRPr="002C0D19" w:rsidRDefault="007968EC" w:rsidP="007968EC">
      <w:pPr>
        <w:autoSpaceDE w:val="0"/>
        <w:autoSpaceDN w:val="0"/>
        <w:adjustRightInd w:val="0"/>
        <w:rPr>
          <w:rFonts w:ascii="Arial Narrow" w:hAnsi="Arial Narrow" w:cs="Verdana"/>
          <w:color w:val="000000" w:themeColor="text1"/>
          <w:lang w:eastAsia="es-ES"/>
        </w:rPr>
      </w:pPr>
      <w:r w:rsidRPr="002C0D19">
        <w:rPr>
          <w:rFonts w:ascii="Arial Narrow" w:hAnsi="Arial Narrow" w:cs="Verdana"/>
          <w:color w:val="000000" w:themeColor="text1"/>
          <w:lang w:eastAsia="es-ES"/>
        </w:rPr>
        <w:t>Infraestructura:</w:t>
      </w:r>
    </w:p>
    <w:p w14:paraId="10057458" w14:textId="77777777" w:rsidR="007968EC" w:rsidRPr="002C0D19" w:rsidRDefault="007968EC" w:rsidP="007968EC">
      <w:pPr>
        <w:autoSpaceDE w:val="0"/>
        <w:autoSpaceDN w:val="0"/>
        <w:adjustRightInd w:val="0"/>
        <w:ind w:left="360"/>
        <w:jc w:val="both"/>
        <w:rPr>
          <w:rFonts w:ascii="Arial Narrow" w:hAnsi="Arial Narrow" w:cs="Verdana"/>
          <w:b/>
          <w:color w:val="000000" w:themeColor="text1"/>
          <w:lang w:eastAsia="es-ES"/>
        </w:rPr>
      </w:pPr>
    </w:p>
    <w:p w14:paraId="3C4D111C" w14:textId="77777777" w:rsidR="007968EC" w:rsidRPr="002C0D19" w:rsidRDefault="007968EC" w:rsidP="00DA7472">
      <w:pPr>
        <w:numPr>
          <w:ilvl w:val="0"/>
          <w:numId w:val="15"/>
        </w:numPr>
        <w:tabs>
          <w:tab w:val="num" w:pos="567"/>
        </w:tabs>
        <w:autoSpaceDE w:val="0"/>
        <w:autoSpaceDN w:val="0"/>
        <w:adjustRightInd w:val="0"/>
        <w:ind w:left="567" w:hanging="567"/>
        <w:jc w:val="both"/>
        <w:rPr>
          <w:rFonts w:ascii="Arial Narrow" w:hAnsi="Arial Narrow" w:cs="Verdana"/>
          <w:bCs/>
          <w:color w:val="000000" w:themeColor="text1"/>
          <w:lang w:eastAsia="es-ES"/>
        </w:rPr>
      </w:pPr>
      <w:r w:rsidRPr="002C0D19">
        <w:rPr>
          <w:rFonts w:ascii="Arial Narrow" w:hAnsi="Arial Narrow" w:cs="Verdana"/>
          <w:bCs/>
          <w:color w:val="000000" w:themeColor="text1"/>
          <w:lang w:eastAsia="es-ES"/>
        </w:rPr>
        <w:t>Redes y Comunicaciones.</w:t>
      </w:r>
    </w:p>
    <w:p w14:paraId="73964166" w14:textId="77777777" w:rsidR="007968EC" w:rsidRPr="002C0D19" w:rsidRDefault="007968EC" w:rsidP="007968EC">
      <w:pPr>
        <w:autoSpaceDE w:val="0"/>
        <w:autoSpaceDN w:val="0"/>
        <w:adjustRightInd w:val="0"/>
        <w:jc w:val="both"/>
        <w:rPr>
          <w:rFonts w:ascii="Arial Narrow" w:hAnsi="Arial Narrow" w:cs="Verdana"/>
          <w:bCs/>
          <w:color w:val="000000" w:themeColor="text1"/>
          <w:lang w:eastAsia="es-ES"/>
        </w:rPr>
      </w:pPr>
    </w:p>
    <w:p w14:paraId="6657EB46" w14:textId="77777777" w:rsidR="007968EC" w:rsidRPr="002C0D19" w:rsidRDefault="007968EC" w:rsidP="00DA7472">
      <w:pPr>
        <w:numPr>
          <w:ilvl w:val="0"/>
          <w:numId w:val="232"/>
        </w:numPr>
        <w:tabs>
          <w:tab w:val="left" w:pos="567"/>
        </w:tabs>
        <w:autoSpaceDE w:val="0"/>
        <w:autoSpaceDN w:val="0"/>
        <w:adjustRightInd w:val="0"/>
        <w:ind w:left="851" w:hanging="284"/>
        <w:jc w:val="both"/>
        <w:rPr>
          <w:rFonts w:ascii="Arial Narrow" w:hAnsi="Arial Narrow" w:cs="Arial"/>
          <w:color w:val="000000" w:themeColor="text1"/>
          <w:lang w:eastAsia="es-ES"/>
        </w:rPr>
      </w:pPr>
      <w:r w:rsidRPr="002C0D19">
        <w:rPr>
          <w:rFonts w:ascii="Arial Narrow" w:hAnsi="Arial Narrow" w:cs="Verdana"/>
          <w:color w:val="000000" w:themeColor="text1"/>
          <w:lang w:eastAsia="es-ES"/>
        </w:rPr>
        <w:t xml:space="preserve">Ha otorgado poder a la CRCC S.A. para la </w:t>
      </w:r>
      <w:r w:rsidRPr="002C0D19">
        <w:rPr>
          <w:rFonts w:ascii="Arial Narrow" w:hAnsi="Arial Narrow" w:cs="Arial"/>
          <w:color w:val="000000" w:themeColor="text1"/>
          <w:lang w:eastAsia="es-ES"/>
        </w:rPr>
        <w:t xml:space="preserve">suscripción del Contrato de Prestación de servicio de Telecomunicaciones con la Unión Temporal Claro – </w:t>
      </w:r>
      <w:proofErr w:type="spellStart"/>
      <w:r w:rsidRPr="002C0D19">
        <w:rPr>
          <w:rFonts w:ascii="Arial Narrow" w:hAnsi="Arial Narrow" w:cs="Arial"/>
          <w:color w:val="000000" w:themeColor="text1"/>
          <w:lang w:eastAsia="es-ES"/>
        </w:rPr>
        <w:t>Level</w:t>
      </w:r>
      <w:proofErr w:type="spellEnd"/>
      <w:r w:rsidRPr="002C0D19">
        <w:rPr>
          <w:rFonts w:ascii="Arial Narrow" w:hAnsi="Arial Narrow" w:cs="Arial"/>
          <w:color w:val="000000" w:themeColor="text1"/>
          <w:lang w:eastAsia="es-ES"/>
        </w:rPr>
        <w:t xml:space="preserve"> 3.</w:t>
      </w:r>
    </w:p>
    <w:p w14:paraId="55E9DB22" w14:textId="77777777" w:rsidR="007968EC" w:rsidRPr="002C0D19" w:rsidRDefault="007968EC" w:rsidP="007968EC">
      <w:pPr>
        <w:autoSpaceDE w:val="0"/>
        <w:autoSpaceDN w:val="0"/>
        <w:adjustRightInd w:val="0"/>
        <w:jc w:val="both"/>
        <w:rPr>
          <w:rFonts w:ascii="Arial Narrow" w:hAnsi="Arial Narrow" w:cs="Arial"/>
          <w:color w:val="000000" w:themeColor="text1"/>
          <w:lang w:eastAsia="es-ES"/>
        </w:rPr>
      </w:pPr>
    </w:p>
    <w:p w14:paraId="0788871D" w14:textId="77777777" w:rsidR="007968EC" w:rsidRPr="002C0D19" w:rsidRDefault="007968EC" w:rsidP="00DA7472">
      <w:pPr>
        <w:numPr>
          <w:ilvl w:val="0"/>
          <w:numId w:val="232"/>
        </w:numPr>
        <w:autoSpaceDE w:val="0"/>
        <w:autoSpaceDN w:val="0"/>
        <w:adjustRightInd w:val="0"/>
        <w:ind w:left="851" w:hanging="284"/>
        <w:jc w:val="both"/>
        <w:rPr>
          <w:rFonts w:ascii="Arial Narrow" w:hAnsi="Arial Narrow" w:cs="Arial"/>
          <w:color w:val="000000" w:themeColor="text1"/>
          <w:lang w:eastAsia="es-ES"/>
        </w:rPr>
      </w:pPr>
      <w:r w:rsidRPr="002C0D19">
        <w:rPr>
          <w:rFonts w:ascii="Arial Narrow" w:hAnsi="Arial Narrow" w:cs="Verdana"/>
          <w:color w:val="000000" w:themeColor="text1"/>
          <w:lang w:eastAsia="es-ES"/>
        </w:rPr>
        <w:t xml:space="preserve">Ha suscrito un Anexo de Orden de Servicio (AOS) para la conexión con la CRCC de conformidad con el Contrato de Prestación de Servicio de Telecomunicaciones con la Unión Temporal </w:t>
      </w:r>
      <w:r w:rsidRPr="002C0D19">
        <w:rPr>
          <w:rFonts w:ascii="Arial Narrow" w:hAnsi="Arial Narrow" w:cs="Arial"/>
          <w:color w:val="000000" w:themeColor="text1"/>
          <w:lang w:eastAsia="es-ES"/>
        </w:rPr>
        <w:t xml:space="preserve">Claro – </w:t>
      </w:r>
      <w:proofErr w:type="spellStart"/>
      <w:r w:rsidRPr="002C0D19">
        <w:rPr>
          <w:rFonts w:ascii="Arial Narrow" w:hAnsi="Arial Narrow" w:cs="Arial"/>
          <w:color w:val="000000" w:themeColor="text1"/>
          <w:lang w:eastAsia="es-ES"/>
        </w:rPr>
        <w:t>Level</w:t>
      </w:r>
      <w:proofErr w:type="spellEnd"/>
      <w:r w:rsidRPr="002C0D19">
        <w:rPr>
          <w:rFonts w:ascii="Arial Narrow" w:hAnsi="Arial Narrow" w:cs="Arial"/>
          <w:color w:val="000000" w:themeColor="text1"/>
          <w:lang w:eastAsia="es-ES"/>
        </w:rPr>
        <w:t xml:space="preserve"> 3. </w:t>
      </w:r>
    </w:p>
    <w:p w14:paraId="1BB41C42" w14:textId="77777777" w:rsidR="007968EC" w:rsidRPr="002C0D19" w:rsidRDefault="007968EC" w:rsidP="007968EC">
      <w:pPr>
        <w:autoSpaceDE w:val="0"/>
        <w:autoSpaceDN w:val="0"/>
        <w:adjustRightInd w:val="0"/>
        <w:jc w:val="both"/>
        <w:rPr>
          <w:rFonts w:ascii="Arial Narrow" w:hAnsi="Arial Narrow" w:cs="Verdana"/>
          <w:color w:val="000000" w:themeColor="text1"/>
          <w:lang w:eastAsia="es-ES"/>
        </w:rPr>
      </w:pPr>
    </w:p>
    <w:p w14:paraId="67ACD6B5" w14:textId="77777777" w:rsidR="007968EC" w:rsidRPr="002C0D19" w:rsidRDefault="007968EC" w:rsidP="00DA7472">
      <w:pPr>
        <w:numPr>
          <w:ilvl w:val="0"/>
          <w:numId w:val="232"/>
        </w:numPr>
        <w:tabs>
          <w:tab w:val="left" w:pos="851"/>
        </w:tabs>
        <w:autoSpaceDE w:val="0"/>
        <w:autoSpaceDN w:val="0"/>
        <w:adjustRightInd w:val="0"/>
        <w:ind w:left="851" w:hanging="284"/>
        <w:jc w:val="both"/>
        <w:rPr>
          <w:rFonts w:ascii="Arial Narrow" w:hAnsi="Arial Narrow" w:cs="Verdana"/>
          <w:color w:val="000000" w:themeColor="text1"/>
          <w:lang w:eastAsia="es-ES"/>
        </w:rPr>
      </w:pPr>
      <w:r w:rsidRPr="002C0D19">
        <w:rPr>
          <w:rFonts w:ascii="Arial Narrow" w:hAnsi="Arial Narrow" w:cs="Verdana"/>
          <w:color w:val="000000" w:themeColor="text1"/>
          <w:lang w:eastAsia="es-ES"/>
        </w:rPr>
        <w:t xml:space="preserve">La configuración del canal redundante unión temporal Claro – </w:t>
      </w:r>
      <w:proofErr w:type="spellStart"/>
      <w:r w:rsidRPr="002C0D19">
        <w:rPr>
          <w:rFonts w:ascii="Arial Narrow" w:hAnsi="Arial Narrow" w:cs="Arial"/>
          <w:color w:val="000000" w:themeColor="text1"/>
          <w:lang w:eastAsia="es-ES"/>
        </w:rPr>
        <w:t>Level</w:t>
      </w:r>
      <w:proofErr w:type="spellEnd"/>
      <w:r w:rsidRPr="002C0D19">
        <w:rPr>
          <w:rFonts w:ascii="Arial Narrow" w:hAnsi="Arial Narrow" w:cs="Arial"/>
          <w:color w:val="000000" w:themeColor="text1"/>
          <w:lang w:eastAsia="es-ES"/>
        </w:rPr>
        <w:t xml:space="preserve"> 3 </w:t>
      </w:r>
      <w:r w:rsidRPr="002C0D19">
        <w:rPr>
          <w:rFonts w:ascii="Arial Narrow" w:hAnsi="Arial Narrow" w:cs="Verdana"/>
          <w:color w:val="000000" w:themeColor="text1"/>
          <w:lang w:eastAsia="es-ES"/>
        </w:rPr>
        <w:t xml:space="preserve">con el ancho de banda </w:t>
      </w:r>
      <w:r w:rsidRPr="002C0D19">
        <w:rPr>
          <w:rFonts w:ascii="Arial Narrow" w:hAnsi="Arial Narrow" w:cs="Arial"/>
          <w:color w:val="000000" w:themeColor="text1"/>
          <w:lang w:eastAsia="es-ES"/>
        </w:rPr>
        <w:t>acorde</w:t>
      </w:r>
      <w:r w:rsidRPr="002C0D19">
        <w:rPr>
          <w:rFonts w:ascii="Arial Narrow" w:hAnsi="Arial Narrow" w:cs="Verdana"/>
          <w:color w:val="000000" w:themeColor="text1"/>
          <w:lang w:eastAsia="es-ES"/>
        </w:rPr>
        <w:t xml:space="preserve"> al número de estaciones que tenga su entidad, bajo el estándar de 128 kbps por cada una, así:</w:t>
      </w:r>
    </w:p>
    <w:p w14:paraId="6CB5C993" w14:textId="77777777" w:rsidR="007968EC" w:rsidRPr="002C0D19" w:rsidRDefault="007968EC" w:rsidP="007968EC">
      <w:pPr>
        <w:autoSpaceDE w:val="0"/>
        <w:autoSpaceDN w:val="0"/>
        <w:adjustRightInd w:val="0"/>
        <w:jc w:val="both"/>
        <w:rPr>
          <w:rFonts w:ascii="Arial Narrow" w:hAnsi="Arial Narrow" w:cs="Verdana"/>
          <w:b/>
          <w:color w:val="000000" w:themeColor="text1"/>
          <w:lang w:eastAsia="es-ES"/>
        </w:rPr>
      </w:pPr>
    </w:p>
    <w:tbl>
      <w:tblPr>
        <w:tblW w:w="7654" w:type="dxa"/>
        <w:tblCellSpacing w:w="0" w:type="dxa"/>
        <w:tblInd w:w="866" w:type="dxa"/>
        <w:tblCellMar>
          <w:left w:w="0" w:type="dxa"/>
          <w:right w:w="0" w:type="dxa"/>
        </w:tblCellMar>
        <w:tblLook w:val="0000" w:firstRow="0" w:lastRow="0" w:firstColumn="0" w:lastColumn="0" w:noHBand="0" w:noVBand="0"/>
      </w:tblPr>
      <w:tblGrid>
        <w:gridCol w:w="3260"/>
        <w:gridCol w:w="992"/>
        <w:gridCol w:w="3402"/>
      </w:tblGrid>
      <w:tr w:rsidR="007968EC" w:rsidRPr="002C0D19" w14:paraId="0FE41623" w14:textId="77777777" w:rsidTr="007968EC">
        <w:trPr>
          <w:trHeight w:val="254"/>
          <w:tblCellSpacing w:w="0" w:type="dxa"/>
        </w:trPr>
        <w:tc>
          <w:tcPr>
            <w:tcW w:w="3260" w:type="dxa"/>
            <w:tcBorders>
              <w:top w:val="single" w:sz="6" w:space="0" w:color="000000"/>
              <w:left w:val="single" w:sz="6" w:space="0" w:color="000000"/>
              <w:bottom w:val="single" w:sz="6" w:space="0" w:color="000000"/>
              <w:right w:val="single" w:sz="6" w:space="0" w:color="000000"/>
            </w:tcBorders>
            <w:shd w:val="clear" w:color="auto" w:fill="C0C0C0"/>
          </w:tcPr>
          <w:p w14:paraId="1502F4DB" w14:textId="77777777" w:rsidR="007968EC" w:rsidRPr="002C0D19" w:rsidRDefault="007968EC" w:rsidP="007968EC">
            <w:pPr>
              <w:autoSpaceDE w:val="0"/>
              <w:autoSpaceDN w:val="0"/>
              <w:adjustRightInd w:val="0"/>
              <w:jc w:val="both"/>
              <w:rPr>
                <w:rFonts w:ascii="Arial Narrow" w:hAnsi="Arial Narrow" w:cs="Verdana"/>
                <w:b/>
                <w:color w:val="000000" w:themeColor="text1"/>
                <w:lang w:eastAsia="es-ES"/>
              </w:rPr>
            </w:pPr>
            <w:r w:rsidRPr="002C0D19">
              <w:rPr>
                <w:rFonts w:ascii="Arial Narrow" w:hAnsi="Arial Narrow" w:cs="Verdana"/>
                <w:bCs/>
                <w:color w:val="000000" w:themeColor="text1"/>
                <w:lang w:eastAsia="es-ES"/>
              </w:rPr>
              <w:t>Tipo de Terminal</w:t>
            </w:r>
          </w:p>
        </w:tc>
        <w:tc>
          <w:tcPr>
            <w:tcW w:w="992" w:type="dxa"/>
            <w:tcBorders>
              <w:top w:val="single" w:sz="6" w:space="0" w:color="000000"/>
              <w:left w:val="single" w:sz="6" w:space="0" w:color="000000"/>
              <w:bottom w:val="single" w:sz="6" w:space="0" w:color="000000"/>
              <w:right w:val="single" w:sz="6" w:space="0" w:color="000000"/>
            </w:tcBorders>
            <w:shd w:val="clear" w:color="auto" w:fill="C0C0C0"/>
          </w:tcPr>
          <w:p w14:paraId="2D783121" w14:textId="77777777" w:rsidR="007968EC" w:rsidRPr="002C0D19" w:rsidRDefault="007968EC" w:rsidP="007968EC">
            <w:pPr>
              <w:autoSpaceDE w:val="0"/>
              <w:autoSpaceDN w:val="0"/>
              <w:adjustRightInd w:val="0"/>
              <w:jc w:val="both"/>
              <w:rPr>
                <w:rFonts w:ascii="Arial Narrow" w:hAnsi="Arial Narrow" w:cs="Verdana"/>
                <w:b/>
                <w:color w:val="000000" w:themeColor="text1"/>
                <w:lang w:eastAsia="es-ES"/>
              </w:rPr>
            </w:pPr>
            <w:r w:rsidRPr="002C0D19">
              <w:rPr>
                <w:rFonts w:ascii="Arial Narrow" w:hAnsi="Arial Narrow" w:cs="Verdana"/>
                <w:bCs/>
                <w:color w:val="000000" w:themeColor="text1"/>
                <w:lang w:eastAsia="es-ES"/>
              </w:rPr>
              <w:t xml:space="preserve">Cantidad </w:t>
            </w:r>
          </w:p>
        </w:tc>
        <w:tc>
          <w:tcPr>
            <w:tcW w:w="3402" w:type="dxa"/>
            <w:tcBorders>
              <w:top w:val="single" w:sz="6" w:space="0" w:color="000000"/>
              <w:left w:val="single" w:sz="6" w:space="0" w:color="000000"/>
              <w:bottom w:val="single" w:sz="6" w:space="0" w:color="000000"/>
              <w:right w:val="single" w:sz="6" w:space="0" w:color="000000"/>
            </w:tcBorders>
            <w:shd w:val="clear" w:color="auto" w:fill="C0C0C0"/>
          </w:tcPr>
          <w:p w14:paraId="770181F9" w14:textId="77777777" w:rsidR="007968EC" w:rsidRPr="002C0D19" w:rsidRDefault="007968EC" w:rsidP="007968EC">
            <w:pPr>
              <w:autoSpaceDE w:val="0"/>
              <w:autoSpaceDN w:val="0"/>
              <w:adjustRightInd w:val="0"/>
              <w:jc w:val="both"/>
              <w:rPr>
                <w:rFonts w:ascii="Arial Narrow" w:hAnsi="Arial Narrow" w:cs="Verdana"/>
                <w:b/>
                <w:color w:val="000000" w:themeColor="text1"/>
                <w:lang w:eastAsia="es-ES"/>
              </w:rPr>
            </w:pPr>
            <w:r w:rsidRPr="002C0D19">
              <w:rPr>
                <w:rFonts w:ascii="Arial Narrow" w:hAnsi="Arial Narrow" w:cs="Verdana"/>
                <w:bCs/>
                <w:color w:val="000000" w:themeColor="text1"/>
                <w:lang w:eastAsia="es-ES"/>
              </w:rPr>
              <w:t>Requerimiento de Ancho de Banda</w:t>
            </w:r>
          </w:p>
        </w:tc>
      </w:tr>
      <w:tr w:rsidR="007968EC" w:rsidRPr="002C0D19" w14:paraId="2BA0BB03" w14:textId="77777777" w:rsidTr="007968EC">
        <w:trPr>
          <w:trHeight w:val="227"/>
          <w:tblCellSpacing w:w="0" w:type="dxa"/>
        </w:trPr>
        <w:tc>
          <w:tcPr>
            <w:tcW w:w="3260" w:type="dxa"/>
            <w:tcBorders>
              <w:top w:val="single" w:sz="6" w:space="0" w:color="000000"/>
              <w:left w:val="single" w:sz="6" w:space="0" w:color="000000"/>
              <w:bottom w:val="single" w:sz="6" w:space="0" w:color="000000"/>
              <w:right w:val="single" w:sz="6" w:space="0" w:color="000000"/>
            </w:tcBorders>
          </w:tcPr>
          <w:p w14:paraId="3C31E6C0" w14:textId="77777777" w:rsidR="007968EC" w:rsidRPr="002C0D19" w:rsidRDefault="007968EC" w:rsidP="007968EC">
            <w:pPr>
              <w:autoSpaceDE w:val="0"/>
              <w:autoSpaceDN w:val="0"/>
              <w:adjustRightInd w:val="0"/>
              <w:jc w:val="both"/>
              <w:rPr>
                <w:rFonts w:ascii="Arial Narrow" w:hAnsi="Arial Narrow" w:cs="Verdana"/>
                <w:b/>
                <w:color w:val="000000" w:themeColor="text1"/>
                <w:lang w:eastAsia="es-ES"/>
              </w:rPr>
            </w:pPr>
            <w:proofErr w:type="spellStart"/>
            <w:r w:rsidRPr="002C0D19">
              <w:rPr>
                <w:rFonts w:ascii="Arial Narrow" w:hAnsi="Arial Narrow" w:cs="Verdana"/>
                <w:bCs/>
                <w:color w:val="000000" w:themeColor="text1"/>
                <w:lang w:eastAsia="es-ES"/>
              </w:rPr>
              <w:t>Station</w:t>
            </w:r>
            <w:proofErr w:type="spellEnd"/>
          </w:p>
        </w:tc>
        <w:tc>
          <w:tcPr>
            <w:tcW w:w="992" w:type="dxa"/>
            <w:tcBorders>
              <w:top w:val="single" w:sz="6" w:space="0" w:color="000000"/>
              <w:left w:val="single" w:sz="6" w:space="0" w:color="000000"/>
              <w:bottom w:val="single" w:sz="6" w:space="0" w:color="000000"/>
              <w:right w:val="single" w:sz="6" w:space="0" w:color="000000"/>
            </w:tcBorders>
          </w:tcPr>
          <w:p w14:paraId="616E29C4" w14:textId="77777777" w:rsidR="007968EC" w:rsidRPr="002C0D19" w:rsidRDefault="007968EC" w:rsidP="007968EC">
            <w:pPr>
              <w:autoSpaceDE w:val="0"/>
              <w:autoSpaceDN w:val="0"/>
              <w:adjustRightInd w:val="0"/>
              <w:jc w:val="center"/>
              <w:rPr>
                <w:rFonts w:ascii="Arial Narrow" w:hAnsi="Arial Narrow" w:cs="Verdana"/>
                <w:b/>
                <w:color w:val="000000" w:themeColor="text1"/>
                <w:lang w:eastAsia="es-ES"/>
              </w:rPr>
            </w:pPr>
            <w:r w:rsidRPr="002C0D19">
              <w:rPr>
                <w:rFonts w:ascii="Arial Narrow" w:hAnsi="Arial Narrow" w:cs="Verdana"/>
                <w:bCs/>
                <w:color w:val="000000" w:themeColor="text1"/>
                <w:lang w:eastAsia="es-ES"/>
              </w:rPr>
              <w:t>1 -2</w:t>
            </w:r>
          </w:p>
        </w:tc>
        <w:tc>
          <w:tcPr>
            <w:tcW w:w="3402" w:type="dxa"/>
            <w:tcBorders>
              <w:top w:val="single" w:sz="6" w:space="0" w:color="000000"/>
              <w:left w:val="single" w:sz="6" w:space="0" w:color="000000"/>
              <w:bottom w:val="single" w:sz="6" w:space="0" w:color="000000"/>
              <w:right w:val="single" w:sz="6" w:space="0" w:color="000000"/>
            </w:tcBorders>
          </w:tcPr>
          <w:p w14:paraId="5A45321F" w14:textId="77777777" w:rsidR="007968EC" w:rsidRPr="002C0D19" w:rsidRDefault="007968EC" w:rsidP="007968EC">
            <w:pPr>
              <w:autoSpaceDE w:val="0"/>
              <w:autoSpaceDN w:val="0"/>
              <w:adjustRightInd w:val="0"/>
              <w:jc w:val="center"/>
              <w:rPr>
                <w:rFonts w:ascii="Arial Narrow" w:hAnsi="Arial Narrow" w:cs="Verdana"/>
                <w:b/>
                <w:color w:val="000000" w:themeColor="text1"/>
                <w:lang w:eastAsia="es-ES"/>
              </w:rPr>
            </w:pPr>
            <w:r w:rsidRPr="002C0D19">
              <w:rPr>
                <w:rFonts w:ascii="Arial Narrow" w:hAnsi="Arial Narrow" w:cs="Verdana"/>
                <w:bCs/>
                <w:color w:val="000000" w:themeColor="text1"/>
                <w:lang w:eastAsia="es-ES"/>
              </w:rPr>
              <w:t>128 Kbps</w:t>
            </w:r>
          </w:p>
        </w:tc>
      </w:tr>
      <w:tr w:rsidR="007968EC" w:rsidRPr="002C0D19" w14:paraId="32F0E41E" w14:textId="77777777" w:rsidTr="007968EC">
        <w:trPr>
          <w:trHeight w:val="227"/>
          <w:tblCellSpacing w:w="0" w:type="dxa"/>
        </w:trPr>
        <w:tc>
          <w:tcPr>
            <w:tcW w:w="3260" w:type="dxa"/>
            <w:tcBorders>
              <w:top w:val="single" w:sz="6" w:space="0" w:color="000000"/>
              <w:left w:val="single" w:sz="6" w:space="0" w:color="000000"/>
              <w:bottom w:val="single" w:sz="6" w:space="0" w:color="000000"/>
              <w:right w:val="single" w:sz="6" w:space="0" w:color="000000"/>
            </w:tcBorders>
          </w:tcPr>
          <w:p w14:paraId="50331D35" w14:textId="77777777" w:rsidR="007968EC" w:rsidRPr="002C0D19" w:rsidRDefault="007968EC" w:rsidP="007968EC">
            <w:pPr>
              <w:autoSpaceDE w:val="0"/>
              <w:autoSpaceDN w:val="0"/>
              <w:adjustRightInd w:val="0"/>
              <w:jc w:val="both"/>
              <w:rPr>
                <w:rFonts w:ascii="Arial Narrow" w:hAnsi="Arial Narrow" w:cs="Verdana"/>
                <w:b/>
                <w:color w:val="000000" w:themeColor="text1"/>
                <w:lang w:eastAsia="es-ES"/>
              </w:rPr>
            </w:pPr>
            <w:proofErr w:type="spellStart"/>
            <w:r w:rsidRPr="002C0D19">
              <w:rPr>
                <w:rFonts w:ascii="Arial Narrow" w:hAnsi="Arial Narrow" w:cs="Verdana"/>
                <w:bCs/>
                <w:color w:val="000000" w:themeColor="text1"/>
                <w:lang w:eastAsia="es-ES"/>
              </w:rPr>
              <w:t>Station</w:t>
            </w:r>
            <w:proofErr w:type="spellEnd"/>
          </w:p>
        </w:tc>
        <w:tc>
          <w:tcPr>
            <w:tcW w:w="992" w:type="dxa"/>
            <w:tcBorders>
              <w:top w:val="single" w:sz="6" w:space="0" w:color="000000"/>
              <w:left w:val="single" w:sz="6" w:space="0" w:color="000000"/>
              <w:bottom w:val="single" w:sz="6" w:space="0" w:color="000000"/>
              <w:right w:val="single" w:sz="6" w:space="0" w:color="000000"/>
            </w:tcBorders>
          </w:tcPr>
          <w:p w14:paraId="53F46028" w14:textId="77777777" w:rsidR="007968EC" w:rsidRPr="002C0D19" w:rsidRDefault="007968EC" w:rsidP="007968EC">
            <w:pPr>
              <w:autoSpaceDE w:val="0"/>
              <w:autoSpaceDN w:val="0"/>
              <w:adjustRightInd w:val="0"/>
              <w:jc w:val="center"/>
              <w:rPr>
                <w:rFonts w:ascii="Arial Narrow" w:hAnsi="Arial Narrow" w:cs="Verdana"/>
                <w:b/>
                <w:color w:val="000000" w:themeColor="text1"/>
                <w:lang w:eastAsia="es-ES"/>
              </w:rPr>
            </w:pPr>
            <w:r w:rsidRPr="002C0D19">
              <w:rPr>
                <w:rFonts w:ascii="Arial Narrow" w:hAnsi="Arial Narrow" w:cs="Verdana"/>
                <w:bCs/>
                <w:color w:val="000000" w:themeColor="text1"/>
                <w:lang w:eastAsia="es-ES"/>
              </w:rPr>
              <w:t>3-4</w:t>
            </w:r>
          </w:p>
        </w:tc>
        <w:tc>
          <w:tcPr>
            <w:tcW w:w="3402" w:type="dxa"/>
            <w:tcBorders>
              <w:top w:val="single" w:sz="6" w:space="0" w:color="000000"/>
              <w:left w:val="single" w:sz="6" w:space="0" w:color="000000"/>
              <w:bottom w:val="single" w:sz="6" w:space="0" w:color="000000"/>
              <w:right w:val="single" w:sz="6" w:space="0" w:color="000000"/>
            </w:tcBorders>
          </w:tcPr>
          <w:p w14:paraId="6119B991" w14:textId="77777777" w:rsidR="007968EC" w:rsidRPr="002C0D19" w:rsidRDefault="007968EC" w:rsidP="007968EC">
            <w:pPr>
              <w:autoSpaceDE w:val="0"/>
              <w:autoSpaceDN w:val="0"/>
              <w:adjustRightInd w:val="0"/>
              <w:jc w:val="center"/>
              <w:rPr>
                <w:rFonts w:ascii="Arial Narrow" w:hAnsi="Arial Narrow" w:cs="Verdana"/>
                <w:b/>
                <w:color w:val="000000" w:themeColor="text1"/>
                <w:lang w:eastAsia="es-ES"/>
              </w:rPr>
            </w:pPr>
            <w:r w:rsidRPr="002C0D19">
              <w:rPr>
                <w:rFonts w:ascii="Arial Narrow" w:hAnsi="Arial Narrow" w:cs="Verdana"/>
                <w:bCs/>
                <w:color w:val="000000" w:themeColor="text1"/>
                <w:lang w:eastAsia="es-ES"/>
              </w:rPr>
              <w:t>256 Kbps</w:t>
            </w:r>
          </w:p>
        </w:tc>
      </w:tr>
      <w:tr w:rsidR="007968EC" w:rsidRPr="002C0D19" w14:paraId="1B879789" w14:textId="77777777" w:rsidTr="007968EC">
        <w:trPr>
          <w:trHeight w:val="227"/>
          <w:tblCellSpacing w:w="0" w:type="dxa"/>
        </w:trPr>
        <w:tc>
          <w:tcPr>
            <w:tcW w:w="3260" w:type="dxa"/>
            <w:tcBorders>
              <w:top w:val="single" w:sz="6" w:space="0" w:color="000000"/>
              <w:left w:val="single" w:sz="6" w:space="0" w:color="000000"/>
              <w:bottom w:val="single" w:sz="6" w:space="0" w:color="000000"/>
              <w:right w:val="single" w:sz="6" w:space="0" w:color="000000"/>
            </w:tcBorders>
          </w:tcPr>
          <w:p w14:paraId="5E6C10B6" w14:textId="77777777" w:rsidR="007968EC" w:rsidRPr="002C0D19" w:rsidRDefault="007968EC" w:rsidP="007968EC">
            <w:pPr>
              <w:autoSpaceDE w:val="0"/>
              <w:autoSpaceDN w:val="0"/>
              <w:adjustRightInd w:val="0"/>
              <w:jc w:val="both"/>
              <w:rPr>
                <w:rFonts w:ascii="Arial Narrow" w:hAnsi="Arial Narrow" w:cs="Verdana"/>
                <w:b/>
                <w:color w:val="000000" w:themeColor="text1"/>
                <w:lang w:eastAsia="es-ES"/>
              </w:rPr>
            </w:pPr>
            <w:proofErr w:type="spellStart"/>
            <w:r w:rsidRPr="002C0D19">
              <w:rPr>
                <w:rFonts w:ascii="Arial Narrow" w:hAnsi="Arial Narrow" w:cs="Verdana"/>
                <w:bCs/>
                <w:color w:val="000000" w:themeColor="text1"/>
                <w:lang w:eastAsia="es-ES"/>
              </w:rPr>
              <w:t>Station</w:t>
            </w:r>
            <w:proofErr w:type="spellEnd"/>
            <w:r w:rsidRPr="002C0D19">
              <w:rPr>
                <w:rFonts w:ascii="Arial Narrow" w:hAnsi="Arial Narrow" w:cs="Verdana"/>
                <w:bCs/>
                <w:color w:val="000000" w:themeColor="text1"/>
                <w:lang w:eastAsia="es-ES"/>
              </w:rPr>
              <w:t xml:space="preserve"> + Server</w:t>
            </w:r>
          </w:p>
        </w:tc>
        <w:tc>
          <w:tcPr>
            <w:tcW w:w="992" w:type="dxa"/>
            <w:tcBorders>
              <w:top w:val="single" w:sz="6" w:space="0" w:color="000000"/>
              <w:left w:val="single" w:sz="6" w:space="0" w:color="000000"/>
              <w:bottom w:val="single" w:sz="6" w:space="0" w:color="000000"/>
              <w:right w:val="single" w:sz="6" w:space="0" w:color="000000"/>
            </w:tcBorders>
          </w:tcPr>
          <w:p w14:paraId="72CA10B2" w14:textId="77777777" w:rsidR="007968EC" w:rsidRPr="002C0D19" w:rsidRDefault="007968EC" w:rsidP="007968EC">
            <w:pPr>
              <w:autoSpaceDE w:val="0"/>
              <w:autoSpaceDN w:val="0"/>
              <w:adjustRightInd w:val="0"/>
              <w:rPr>
                <w:rFonts w:ascii="Arial Narrow" w:hAnsi="Arial Narrow" w:cs="Verdana"/>
                <w:b/>
                <w:color w:val="000000" w:themeColor="text1"/>
                <w:lang w:eastAsia="es-ES"/>
              </w:rPr>
            </w:pPr>
            <w:r w:rsidRPr="002C0D19">
              <w:rPr>
                <w:rFonts w:ascii="Arial Narrow" w:hAnsi="Arial Narrow" w:cs="Verdana"/>
                <w:bCs/>
                <w:color w:val="000000" w:themeColor="text1"/>
                <w:lang w:eastAsia="es-ES"/>
              </w:rPr>
              <w:t xml:space="preserve">       2</w:t>
            </w:r>
          </w:p>
        </w:tc>
        <w:tc>
          <w:tcPr>
            <w:tcW w:w="3402" w:type="dxa"/>
            <w:tcBorders>
              <w:top w:val="single" w:sz="6" w:space="0" w:color="000000"/>
              <w:left w:val="single" w:sz="6" w:space="0" w:color="000000"/>
              <w:bottom w:val="single" w:sz="6" w:space="0" w:color="000000"/>
              <w:right w:val="single" w:sz="6" w:space="0" w:color="000000"/>
            </w:tcBorders>
          </w:tcPr>
          <w:p w14:paraId="4CEF8329" w14:textId="77777777" w:rsidR="007968EC" w:rsidRPr="002C0D19" w:rsidRDefault="007968EC" w:rsidP="007968EC">
            <w:pPr>
              <w:autoSpaceDE w:val="0"/>
              <w:autoSpaceDN w:val="0"/>
              <w:adjustRightInd w:val="0"/>
              <w:jc w:val="center"/>
              <w:rPr>
                <w:rFonts w:ascii="Arial Narrow" w:hAnsi="Arial Narrow" w:cs="Verdana"/>
                <w:b/>
                <w:color w:val="000000" w:themeColor="text1"/>
                <w:lang w:eastAsia="es-ES"/>
              </w:rPr>
            </w:pPr>
            <w:r w:rsidRPr="002C0D19">
              <w:rPr>
                <w:rFonts w:ascii="Arial Narrow" w:hAnsi="Arial Narrow" w:cs="Verdana"/>
                <w:bCs/>
                <w:color w:val="000000" w:themeColor="text1"/>
                <w:lang w:eastAsia="es-ES"/>
              </w:rPr>
              <w:t>128 Kbps</w:t>
            </w:r>
          </w:p>
        </w:tc>
      </w:tr>
      <w:tr w:rsidR="007968EC" w:rsidRPr="002C0D19" w14:paraId="7BD86209" w14:textId="77777777" w:rsidTr="007968EC">
        <w:trPr>
          <w:trHeight w:val="227"/>
          <w:tblCellSpacing w:w="0" w:type="dxa"/>
        </w:trPr>
        <w:tc>
          <w:tcPr>
            <w:tcW w:w="3260" w:type="dxa"/>
            <w:tcBorders>
              <w:top w:val="single" w:sz="6" w:space="0" w:color="000000"/>
              <w:left w:val="single" w:sz="6" w:space="0" w:color="000000"/>
              <w:bottom w:val="single" w:sz="6" w:space="0" w:color="000000"/>
              <w:right w:val="single" w:sz="6" w:space="0" w:color="000000"/>
            </w:tcBorders>
          </w:tcPr>
          <w:p w14:paraId="3BCD1BDE" w14:textId="77777777" w:rsidR="007968EC" w:rsidRPr="002C0D19" w:rsidRDefault="007968EC" w:rsidP="007968EC">
            <w:pPr>
              <w:autoSpaceDE w:val="0"/>
              <w:autoSpaceDN w:val="0"/>
              <w:adjustRightInd w:val="0"/>
              <w:jc w:val="both"/>
              <w:rPr>
                <w:rFonts w:ascii="Arial Narrow" w:hAnsi="Arial Narrow" w:cs="Verdana"/>
                <w:b/>
                <w:color w:val="000000" w:themeColor="text1"/>
                <w:lang w:eastAsia="es-ES"/>
              </w:rPr>
            </w:pPr>
            <w:proofErr w:type="spellStart"/>
            <w:r w:rsidRPr="002C0D19">
              <w:rPr>
                <w:rFonts w:ascii="Arial Narrow" w:hAnsi="Arial Narrow" w:cs="Verdana"/>
                <w:bCs/>
                <w:color w:val="000000" w:themeColor="text1"/>
                <w:lang w:eastAsia="es-ES"/>
              </w:rPr>
              <w:t>Station</w:t>
            </w:r>
            <w:proofErr w:type="spellEnd"/>
            <w:r w:rsidRPr="002C0D19">
              <w:rPr>
                <w:rFonts w:ascii="Arial Narrow" w:hAnsi="Arial Narrow" w:cs="Verdana"/>
                <w:bCs/>
                <w:color w:val="000000" w:themeColor="text1"/>
                <w:lang w:eastAsia="es-ES"/>
              </w:rPr>
              <w:t xml:space="preserve"> + Gate </w:t>
            </w:r>
            <w:proofErr w:type="spellStart"/>
            <w:r w:rsidRPr="002C0D19">
              <w:rPr>
                <w:rFonts w:ascii="Arial Narrow" w:hAnsi="Arial Narrow" w:cs="Verdana"/>
                <w:bCs/>
                <w:color w:val="000000" w:themeColor="text1"/>
                <w:lang w:eastAsia="es-ES"/>
              </w:rPr>
              <w:t>Fix</w:t>
            </w:r>
            <w:proofErr w:type="spellEnd"/>
          </w:p>
        </w:tc>
        <w:tc>
          <w:tcPr>
            <w:tcW w:w="992" w:type="dxa"/>
            <w:tcBorders>
              <w:top w:val="single" w:sz="6" w:space="0" w:color="000000"/>
              <w:left w:val="single" w:sz="6" w:space="0" w:color="000000"/>
              <w:bottom w:val="single" w:sz="6" w:space="0" w:color="000000"/>
              <w:right w:val="single" w:sz="6" w:space="0" w:color="000000"/>
            </w:tcBorders>
          </w:tcPr>
          <w:p w14:paraId="46B2D6DC" w14:textId="77777777" w:rsidR="007968EC" w:rsidRPr="002C0D19" w:rsidRDefault="007968EC" w:rsidP="007968EC">
            <w:pPr>
              <w:autoSpaceDE w:val="0"/>
              <w:autoSpaceDN w:val="0"/>
              <w:adjustRightInd w:val="0"/>
              <w:jc w:val="center"/>
              <w:rPr>
                <w:rFonts w:ascii="Arial Narrow" w:hAnsi="Arial Narrow" w:cs="Verdana"/>
                <w:b/>
                <w:color w:val="000000" w:themeColor="text1"/>
                <w:lang w:eastAsia="es-ES"/>
              </w:rPr>
            </w:pPr>
            <w:r w:rsidRPr="002C0D19">
              <w:rPr>
                <w:rFonts w:ascii="Arial Narrow" w:hAnsi="Arial Narrow" w:cs="Verdana"/>
                <w:bCs/>
                <w:color w:val="000000" w:themeColor="text1"/>
                <w:lang w:eastAsia="es-ES"/>
              </w:rPr>
              <w:t>2</w:t>
            </w:r>
          </w:p>
        </w:tc>
        <w:tc>
          <w:tcPr>
            <w:tcW w:w="3402" w:type="dxa"/>
            <w:tcBorders>
              <w:top w:val="single" w:sz="6" w:space="0" w:color="000000"/>
              <w:left w:val="single" w:sz="6" w:space="0" w:color="000000"/>
              <w:bottom w:val="single" w:sz="6" w:space="0" w:color="000000"/>
              <w:right w:val="single" w:sz="6" w:space="0" w:color="000000"/>
            </w:tcBorders>
          </w:tcPr>
          <w:p w14:paraId="55E98D23" w14:textId="77777777" w:rsidR="007968EC" w:rsidRPr="002C0D19" w:rsidRDefault="007968EC" w:rsidP="007968EC">
            <w:pPr>
              <w:autoSpaceDE w:val="0"/>
              <w:autoSpaceDN w:val="0"/>
              <w:adjustRightInd w:val="0"/>
              <w:jc w:val="center"/>
              <w:rPr>
                <w:rFonts w:ascii="Arial Narrow" w:hAnsi="Arial Narrow" w:cs="Verdana"/>
                <w:b/>
                <w:color w:val="000000" w:themeColor="text1"/>
                <w:lang w:eastAsia="es-ES"/>
              </w:rPr>
            </w:pPr>
            <w:r w:rsidRPr="002C0D19">
              <w:rPr>
                <w:rFonts w:ascii="Arial Narrow" w:hAnsi="Arial Narrow" w:cs="Verdana"/>
                <w:bCs/>
                <w:color w:val="000000" w:themeColor="text1"/>
                <w:lang w:eastAsia="es-ES"/>
              </w:rPr>
              <w:t>128 Kbps</w:t>
            </w:r>
          </w:p>
        </w:tc>
      </w:tr>
      <w:tr w:rsidR="007968EC" w:rsidRPr="002C0D19" w14:paraId="1C44EE97" w14:textId="77777777" w:rsidTr="007968EC">
        <w:trPr>
          <w:trHeight w:val="227"/>
          <w:tblCellSpacing w:w="0" w:type="dxa"/>
        </w:trPr>
        <w:tc>
          <w:tcPr>
            <w:tcW w:w="3260" w:type="dxa"/>
            <w:tcBorders>
              <w:top w:val="single" w:sz="6" w:space="0" w:color="000000"/>
              <w:left w:val="single" w:sz="6" w:space="0" w:color="000000"/>
              <w:bottom w:val="single" w:sz="6" w:space="0" w:color="000000"/>
              <w:right w:val="single" w:sz="6" w:space="0" w:color="000000"/>
            </w:tcBorders>
          </w:tcPr>
          <w:p w14:paraId="3735E9CF" w14:textId="77777777" w:rsidR="007968EC" w:rsidRPr="002C0D19" w:rsidRDefault="007968EC" w:rsidP="007968EC">
            <w:pPr>
              <w:autoSpaceDE w:val="0"/>
              <w:autoSpaceDN w:val="0"/>
              <w:adjustRightInd w:val="0"/>
              <w:jc w:val="both"/>
              <w:rPr>
                <w:rFonts w:ascii="Arial Narrow" w:hAnsi="Arial Narrow" w:cs="Verdana"/>
                <w:b/>
                <w:color w:val="000000" w:themeColor="text1"/>
                <w:lang w:eastAsia="es-ES"/>
              </w:rPr>
            </w:pPr>
            <w:proofErr w:type="spellStart"/>
            <w:r w:rsidRPr="002C0D19">
              <w:rPr>
                <w:rFonts w:ascii="Arial Narrow" w:hAnsi="Arial Narrow" w:cs="Verdana"/>
                <w:bCs/>
                <w:color w:val="000000" w:themeColor="text1"/>
                <w:lang w:eastAsia="es-ES"/>
              </w:rPr>
              <w:t>Station</w:t>
            </w:r>
            <w:proofErr w:type="spellEnd"/>
            <w:r w:rsidRPr="002C0D19">
              <w:rPr>
                <w:rFonts w:ascii="Arial Narrow" w:hAnsi="Arial Narrow" w:cs="Verdana"/>
                <w:bCs/>
                <w:color w:val="000000" w:themeColor="text1"/>
                <w:lang w:eastAsia="es-ES"/>
              </w:rPr>
              <w:t xml:space="preserve"> + Server + Gate </w:t>
            </w:r>
            <w:proofErr w:type="spellStart"/>
            <w:r w:rsidRPr="002C0D19">
              <w:rPr>
                <w:rFonts w:ascii="Arial Narrow" w:hAnsi="Arial Narrow" w:cs="Verdana"/>
                <w:bCs/>
                <w:color w:val="000000" w:themeColor="text1"/>
                <w:lang w:eastAsia="es-ES"/>
              </w:rPr>
              <w:t>Fix</w:t>
            </w:r>
            <w:proofErr w:type="spellEnd"/>
          </w:p>
        </w:tc>
        <w:tc>
          <w:tcPr>
            <w:tcW w:w="992" w:type="dxa"/>
            <w:tcBorders>
              <w:top w:val="single" w:sz="6" w:space="0" w:color="000000"/>
              <w:left w:val="single" w:sz="6" w:space="0" w:color="000000"/>
              <w:bottom w:val="single" w:sz="6" w:space="0" w:color="000000"/>
              <w:right w:val="single" w:sz="6" w:space="0" w:color="000000"/>
            </w:tcBorders>
          </w:tcPr>
          <w:p w14:paraId="2A576B77" w14:textId="77777777" w:rsidR="007968EC" w:rsidRPr="002C0D19" w:rsidRDefault="007968EC" w:rsidP="007968EC">
            <w:pPr>
              <w:autoSpaceDE w:val="0"/>
              <w:autoSpaceDN w:val="0"/>
              <w:adjustRightInd w:val="0"/>
              <w:jc w:val="center"/>
              <w:rPr>
                <w:rFonts w:ascii="Arial Narrow" w:hAnsi="Arial Narrow" w:cs="Verdana"/>
                <w:b/>
                <w:color w:val="000000" w:themeColor="text1"/>
                <w:lang w:eastAsia="es-ES"/>
              </w:rPr>
            </w:pPr>
            <w:r w:rsidRPr="002C0D19">
              <w:rPr>
                <w:rFonts w:ascii="Arial Narrow" w:hAnsi="Arial Narrow" w:cs="Verdana"/>
                <w:bCs/>
                <w:color w:val="000000" w:themeColor="text1"/>
                <w:lang w:eastAsia="es-ES"/>
              </w:rPr>
              <w:t>3</w:t>
            </w:r>
          </w:p>
        </w:tc>
        <w:tc>
          <w:tcPr>
            <w:tcW w:w="3402" w:type="dxa"/>
            <w:tcBorders>
              <w:top w:val="single" w:sz="6" w:space="0" w:color="000000"/>
              <w:left w:val="single" w:sz="6" w:space="0" w:color="000000"/>
              <w:bottom w:val="single" w:sz="6" w:space="0" w:color="000000"/>
              <w:right w:val="single" w:sz="6" w:space="0" w:color="000000"/>
            </w:tcBorders>
          </w:tcPr>
          <w:p w14:paraId="76C26FB8" w14:textId="77777777" w:rsidR="007968EC" w:rsidRPr="002C0D19" w:rsidRDefault="007968EC" w:rsidP="007968EC">
            <w:pPr>
              <w:autoSpaceDE w:val="0"/>
              <w:autoSpaceDN w:val="0"/>
              <w:adjustRightInd w:val="0"/>
              <w:rPr>
                <w:rFonts w:ascii="Arial Narrow" w:hAnsi="Arial Narrow" w:cs="Verdana"/>
                <w:b/>
                <w:color w:val="000000" w:themeColor="text1"/>
                <w:lang w:eastAsia="es-ES"/>
              </w:rPr>
            </w:pPr>
            <w:r w:rsidRPr="002C0D19">
              <w:rPr>
                <w:rFonts w:ascii="Arial Narrow" w:hAnsi="Arial Narrow" w:cs="Verdana"/>
                <w:bCs/>
                <w:color w:val="000000" w:themeColor="text1"/>
                <w:lang w:eastAsia="es-ES"/>
              </w:rPr>
              <w:t xml:space="preserve">                          256 Kbps</w:t>
            </w:r>
          </w:p>
        </w:tc>
      </w:tr>
    </w:tbl>
    <w:p w14:paraId="1B81DD5E" w14:textId="77777777" w:rsidR="007968EC" w:rsidRPr="002C0D19" w:rsidRDefault="007968EC" w:rsidP="007968EC">
      <w:pPr>
        <w:autoSpaceDE w:val="0"/>
        <w:autoSpaceDN w:val="0"/>
        <w:adjustRightInd w:val="0"/>
        <w:jc w:val="both"/>
        <w:rPr>
          <w:rFonts w:ascii="Arial Narrow" w:hAnsi="Arial Narrow" w:cs="Verdana"/>
          <w:b/>
          <w:color w:val="000000" w:themeColor="text1"/>
          <w:lang w:eastAsia="es-ES"/>
        </w:rPr>
      </w:pPr>
    </w:p>
    <w:p w14:paraId="60160FB3" w14:textId="77777777" w:rsidR="007968EC" w:rsidRPr="002C0D19" w:rsidRDefault="007968EC" w:rsidP="007968EC">
      <w:pPr>
        <w:autoSpaceDE w:val="0"/>
        <w:autoSpaceDN w:val="0"/>
        <w:adjustRightInd w:val="0"/>
        <w:ind w:left="567"/>
        <w:jc w:val="both"/>
        <w:rPr>
          <w:rFonts w:ascii="Arial Narrow" w:hAnsi="Arial Narrow" w:cs="Verdana"/>
          <w:b/>
          <w:color w:val="000000" w:themeColor="text1"/>
          <w:lang w:eastAsia="es-ES"/>
        </w:rPr>
      </w:pPr>
      <w:r w:rsidRPr="002C0D19">
        <w:rPr>
          <w:rFonts w:ascii="Arial Narrow" w:hAnsi="Arial Narrow" w:cs="Verdana"/>
          <w:color w:val="000000" w:themeColor="text1"/>
          <w:lang w:eastAsia="es-ES"/>
        </w:rPr>
        <w:t>Nota:</w:t>
      </w:r>
      <w:r w:rsidRPr="002C0D19">
        <w:rPr>
          <w:rFonts w:ascii="Arial Narrow" w:hAnsi="Arial Narrow" w:cs="Verdana"/>
          <w:b/>
          <w:color w:val="000000" w:themeColor="text1"/>
          <w:lang w:eastAsia="es-ES"/>
        </w:rPr>
        <w:t xml:space="preserve"> </w:t>
      </w:r>
      <w:r w:rsidRPr="002C0D19">
        <w:rPr>
          <w:rFonts w:ascii="Arial Narrow" w:hAnsi="Arial Narrow" w:cs="Verdana"/>
          <w:color w:val="000000" w:themeColor="text1"/>
          <w:lang w:eastAsia="es-ES"/>
        </w:rPr>
        <w:t xml:space="preserve">El ancho de banda </w:t>
      </w:r>
    </w:p>
    <w:p w14:paraId="49653AD7" w14:textId="77777777" w:rsidR="007968EC" w:rsidRPr="002C0D19" w:rsidRDefault="007968EC" w:rsidP="007968EC">
      <w:pPr>
        <w:autoSpaceDE w:val="0"/>
        <w:autoSpaceDN w:val="0"/>
        <w:adjustRightInd w:val="0"/>
        <w:jc w:val="both"/>
        <w:rPr>
          <w:rFonts w:ascii="Arial Narrow" w:hAnsi="Arial Narrow" w:cs="Verdana"/>
          <w:b/>
          <w:color w:val="000000" w:themeColor="text1"/>
          <w:lang w:eastAsia="es-ES"/>
        </w:rPr>
      </w:pPr>
    </w:p>
    <w:p w14:paraId="4B8F2AC3" w14:textId="77777777" w:rsidR="007968EC" w:rsidRPr="002C0D19" w:rsidRDefault="007968EC" w:rsidP="007968EC">
      <w:pPr>
        <w:autoSpaceDE w:val="0"/>
        <w:autoSpaceDN w:val="0"/>
        <w:adjustRightInd w:val="0"/>
        <w:ind w:left="567"/>
        <w:jc w:val="both"/>
        <w:rPr>
          <w:rFonts w:ascii="Arial Narrow" w:hAnsi="Arial Narrow" w:cs="Verdana"/>
          <w:color w:val="000000" w:themeColor="text1"/>
          <w:lang w:eastAsia="es-ES"/>
        </w:rPr>
      </w:pPr>
      <w:r w:rsidRPr="002C0D19">
        <w:rPr>
          <w:rFonts w:ascii="Arial Narrow" w:hAnsi="Arial Narrow" w:cs="Verdana"/>
          <w:color w:val="000000" w:themeColor="text1"/>
          <w:lang w:eastAsia="es-ES"/>
        </w:rPr>
        <w:t>En lo que se refiere a la solicitud a la unión temporal se debe hacer indicando que el ancho de banda requerido debe ser configurado para conectarse a través del túnel cuyo destino es la cámara de riesgo central de contraparte.</w:t>
      </w:r>
    </w:p>
    <w:p w14:paraId="4E6860D1" w14:textId="77777777" w:rsidR="007968EC" w:rsidRPr="002C0D19" w:rsidRDefault="007968EC" w:rsidP="007968EC">
      <w:pPr>
        <w:autoSpaceDE w:val="0"/>
        <w:autoSpaceDN w:val="0"/>
        <w:adjustRightInd w:val="0"/>
        <w:jc w:val="both"/>
        <w:rPr>
          <w:rFonts w:ascii="Arial Narrow" w:hAnsi="Arial Narrow" w:cs="Verdana"/>
          <w:b/>
          <w:color w:val="000000" w:themeColor="text1"/>
          <w:lang w:eastAsia="es-ES"/>
        </w:rPr>
      </w:pPr>
    </w:p>
    <w:p w14:paraId="155713EF" w14:textId="77777777" w:rsidR="007968EC" w:rsidRPr="002C0D19" w:rsidRDefault="007968EC" w:rsidP="007968EC">
      <w:pPr>
        <w:autoSpaceDE w:val="0"/>
        <w:autoSpaceDN w:val="0"/>
        <w:adjustRightInd w:val="0"/>
        <w:jc w:val="both"/>
        <w:rPr>
          <w:rFonts w:ascii="Arial Narrow" w:hAnsi="Arial Narrow" w:cs="Verdana"/>
          <w:b/>
          <w:color w:val="000000" w:themeColor="text1"/>
          <w:lang w:eastAsia="es-ES"/>
        </w:rPr>
      </w:pPr>
    </w:p>
    <w:p w14:paraId="48A481C7" w14:textId="77777777" w:rsidR="007968EC" w:rsidRPr="002C0D19" w:rsidRDefault="007968EC" w:rsidP="007968EC">
      <w:pPr>
        <w:autoSpaceDE w:val="0"/>
        <w:autoSpaceDN w:val="0"/>
        <w:adjustRightInd w:val="0"/>
        <w:jc w:val="both"/>
        <w:rPr>
          <w:rFonts w:ascii="Arial Narrow" w:hAnsi="Arial Narrow" w:cs="Verdana"/>
          <w:b/>
          <w:color w:val="000000" w:themeColor="text1"/>
          <w:lang w:eastAsia="es-ES"/>
        </w:rPr>
      </w:pPr>
    </w:p>
    <w:p w14:paraId="6A1393D8" w14:textId="77777777" w:rsidR="007968EC" w:rsidRPr="002C0D19" w:rsidRDefault="007968EC" w:rsidP="007968EC">
      <w:pPr>
        <w:autoSpaceDE w:val="0"/>
        <w:autoSpaceDN w:val="0"/>
        <w:adjustRightInd w:val="0"/>
        <w:jc w:val="both"/>
        <w:rPr>
          <w:rFonts w:ascii="Arial Narrow" w:hAnsi="Arial Narrow" w:cs="Verdana"/>
          <w:b/>
          <w:color w:val="000000" w:themeColor="text1"/>
          <w:lang w:eastAsia="es-ES"/>
        </w:rPr>
      </w:pPr>
    </w:p>
    <w:p w14:paraId="0C1BBC89" w14:textId="77777777" w:rsidR="007968EC" w:rsidRPr="002C0D19" w:rsidRDefault="007968EC" w:rsidP="007968EC">
      <w:pPr>
        <w:autoSpaceDE w:val="0"/>
        <w:autoSpaceDN w:val="0"/>
        <w:adjustRightInd w:val="0"/>
        <w:jc w:val="both"/>
        <w:rPr>
          <w:rFonts w:ascii="Arial Narrow" w:hAnsi="Arial Narrow" w:cs="Verdana"/>
          <w:b/>
          <w:color w:val="000000" w:themeColor="text1"/>
          <w:lang w:eastAsia="es-ES"/>
        </w:rPr>
      </w:pPr>
    </w:p>
    <w:p w14:paraId="1F1C78F0" w14:textId="77777777" w:rsidR="007968EC" w:rsidRPr="002C0D19" w:rsidRDefault="007968EC" w:rsidP="007968EC">
      <w:pPr>
        <w:autoSpaceDE w:val="0"/>
        <w:autoSpaceDN w:val="0"/>
        <w:adjustRightInd w:val="0"/>
        <w:jc w:val="both"/>
        <w:rPr>
          <w:rFonts w:ascii="Arial Narrow" w:hAnsi="Arial Narrow" w:cs="Verdana"/>
          <w:b/>
          <w:color w:val="000000" w:themeColor="text1"/>
          <w:lang w:eastAsia="es-ES"/>
        </w:rPr>
      </w:pPr>
    </w:p>
    <w:p w14:paraId="22584643" w14:textId="77777777" w:rsidR="007968EC" w:rsidRPr="002C0D19" w:rsidRDefault="007968EC" w:rsidP="007968EC">
      <w:pPr>
        <w:autoSpaceDE w:val="0"/>
        <w:autoSpaceDN w:val="0"/>
        <w:adjustRightInd w:val="0"/>
        <w:jc w:val="both"/>
        <w:rPr>
          <w:rFonts w:ascii="Arial Narrow" w:hAnsi="Arial Narrow" w:cs="Verdana"/>
          <w:b/>
          <w:color w:val="000000" w:themeColor="text1"/>
          <w:lang w:eastAsia="es-ES"/>
        </w:rPr>
      </w:pPr>
    </w:p>
    <w:p w14:paraId="2F8C3F39" w14:textId="77777777" w:rsidR="007968EC" w:rsidRPr="002C0D19" w:rsidRDefault="007968EC" w:rsidP="00DA7472">
      <w:pPr>
        <w:numPr>
          <w:ilvl w:val="0"/>
          <w:numId w:val="15"/>
        </w:numPr>
        <w:tabs>
          <w:tab w:val="num" w:pos="567"/>
        </w:tabs>
        <w:autoSpaceDE w:val="0"/>
        <w:autoSpaceDN w:val="0"/>
        <w:adjustRightInd w:val="0"/>
        <w:ind w:left="567" w:hanging="567"/>
        <w:jc w:val="both"/>
        <w:rPr>
          <w:rFonts w:ascii="Arial Narrow" w:hAnsi="Arial Narrow" w:cs="Verdana"/>
          <w:b/>
          <w:bCs/>
          <w:color w:val="000000" w:themeColor="text1"/>
          <w:lang w:eastAsia="es-ES"/>
        </w:rPr>
      </w:pPr>
      <w:r w:rsidRPr="002C0D19">
        <w:rPr>
          <w:rFonts w:ascii="Arial Narrow" w:hAnsi="Arial Narrow" w:cs="Verdana"/>
          <w:b/>
          <w:bCs/>
          <w:color w:val="000000" w:themeColor="text1"/>
          <w:lang w:eastAsia="es-ES"/>
        </w:rPr>
        <w:t>REQUERIMIENTOS MÍNIMOS HARDWARE Y SOFTWARE BASE MIEMBRO</w:t>
      </w:r>
    </w:p>
    <w:p w14:paraId="3262411A" w14:textId="77777777" w:rsidR="007968EC" w:rsidRPr="002C0D19" w:rsidRDefault="007968EC" w:rsidP="007968EC">
      <w:pPr>
        <w:autoSpaceDE w:val="0"/>
        <w:autoSpaceDN w:val="0"/>
        <w:adjustRightInd w:val="0"/>
        <w:rPr>
          <w:rFonts w:ascii="Arial Narrow" w:hAnsi="Arial Narrow" w:cs="Verdana"/>
          <w:bCs/>
          <w:color w:val="000000" w:themeColor="text1"/>
          <w:lang w:eastAsia="es-ES"/>
        </w:rPr>
      </w:pPr>
    </w:p>
    <w:p w14:paraId="7E6862A6" w14:textId="77777777" w:rsidR="007968EC" w:rsidRPr="002C0D19" w:rsidRDefault="007968EC" w:rsidP="00DA7472">
      <w:pPr>
        <w:numPr>
          <w:ilvl w:val="1"/>
          <w:numId w:val="15"/>
        </w:numPr>
        <w:tabs>
          <w:tab w:val="num" w:pos="851"/>
        </w:tabs>
        <w:autoSpaceDE w:val="0"/>
        <w:autoSpaceDN w:val="0"/>
        <w:adjustRightInd w:val="0"/>
        <w:ind w:left="851" w:hanging="284"/>
        <w:rPr>
          <w:rFonts w:ascii="Arial Narrow" w:hAnsi="Arial Narrow" w:cs="Verdana"/>
          <w:b/>
          <w:bCs/>
          <w:color w:val="000000" w:themeColor="text1"/>
          <w:lang w:eastAsia="es-ES"/>
        </w:rPr>
      </w:pPr>
      <w:r w:rsidRPr="002C0D19">
        <w:rPr>
          <w:rFonts w:ascii="Arial Narrow" w:hAnsi="Arial Narrow" w:cs="Verdana"/>
          <w:b/>
          <w:bCs/>
          <w:color w:val="000000" w:themeColor="text1"/>
          <w:lang w:eastAsia="es-ES"/>
        </w:rPr>
        <w:t xml:space="preserve">Hardware Terminal </w:t>
      </w:r>
      <w:proofErr w:type="spellStart"/>
      <w:r w:rsidRPr="002C0D19">
        <w:rPr>
          <w:rFonts w:ascii="Arial Narrow" w:hAnsi="Arial Narrow" w:cs="Verdana"/>
          <w:b/>
          <w:bCs/>
          <w:color w:val="000000" w:themeColor="text1"/>
          <w:lang w:eastAsia="es-ES"/>
        </w:rPr>
        <w:t>Station</w:t>
      </w:r>
      <w:proofErr w:type="spellEnd"/>
    </w:p>
    <w:p w14:paraId="059D8334" w14:textId="77777777" w:rsidR="007968EC" w:rsidRPr="002C0D19" w:rsidRDefault="007968EC" w:rsidP="007968EC">
      <w:pPr>
        <w:autoSpaceDE w:val="0"/>
        <w:autoSpaceDN w:val="0"/>
        <w:adjustRightInd w:val="0"/>
        <w:rPr>
          <w:rFonts w:ascii="Arial Narrow" w:hAnsi="Arial Narrow" w:cs="Verdana"/>
          <w:bCs/>
          <w:color w:val="000000" w:themeColor="text1"/>
          <w:lang w:eastAsia="es-ES"/>
        </w:rPr>
      </w:pPr>
    </w:p>
    <w:p w14:paraId="06BF0FFA" w14:textId="77777777" w:rsidR="007968EC" w:rsidRPr="002C0D19" w:rsidRDefault="007968EC" w:rsidP="00DA7472">
      <w:pPr>
        <w:numPr>
          <w:ilvl w:val="0"/>
          <w:numId w:val="232"/>
        </w:numPr>
        <w:tabs>
          <w:tab w:val="left" w:pos="851"/>
        </w:tabs>
        <w:autoSpaceDE w:val="0"/>
        <w:autoSpaceDN w:val="0"/>
        <w:adjustRightInd w:val="0"/>
        <w:ind w:left="851" w:hanging="284"/>
        <w:jc w:val="both"/>
        <w:rPr>
          <w:rFonts w:ascii="Arial Narrow" w:hAnsi="Arial Narrow" w:cs="Verdana"/>
          <w:color w:val="000000" w:themeColor="text1"/>
          <w:lang w:eastAsia="es-ES"/>
        </w:rPr>
      </w:pPr>
      <w:r w:rsidRPr="002C0D19">
        <w:rPr>
          <w:rFonts w:ascii="Arial Narrow" w:hAnsi="Arial Narrow" w:cs="Verdana"/>
          <w:color w:val="000000" w:themeColor="text1"/>
          <w:lang w:eastAsia="es-ES"/>
        </w:rPr>
        <w:t xml:space="preserve">Cada estación para la instalación y ejecución del software base para la operación de un miembro con la CRCC, denominado  “Terminal </w:t>
      </w:r>
      <w:proofErr w:type="spellStart"/>
      <w:r w:rsidRPr="002C0D19">
        <w:rPr>
          <w:rFonts w:ascii="Arial Narrow" w:hAnsi="Arial Narrow" w:cs="Verdana"/>
          <w:color w:val="000000" w:themeColor="text1"/>
          <w:lang w:eastAsia="es-ES"/>
        </w:rPr>
        <w:t>Station</w:t>
      </w:r>
      <w:proofErr w:type="spellEnd"/>
      <w:r w:rsidRPr="002C0D19">
        <w:rPr>
          <w:rFonts w:ascii="Arial Narrow" w:hAnsi="Arial Narrow" w:cs="Verdana"/>
          <w:color w:val="000000" w:themeColor="text1"/>
          <w:lang w:eastAsia="es-ES"/>
        </w:rPr>
        <w:t xml:space="preserve">”, debe contar como mínimo con las siguientes características: </w:t>
      </w:r>
    </w:p>
    <w:p w14:paraId="6AD49221" w14:textId="77777777" w:rsidR="007968EC" w:rsidRPr="002C0D19" w:rsidRDefault="007968EC" w:rsidP="007968EC">
      <w:pPr>
        <w:autoSpaceDE w:val="0"/>
        <w:autoSpaceDN w:val="0"/>
        <w:adjustRightInd w:val="0"/>
        <w:rPr>
          <w:rFonts w:ascii="Arial Narrow" w:hAnsi="Arial Narrow" w:cs="Verdana"/>
          <w:b/>
          <w:color w:val="000000" w:themeColor="text1"/>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55"/>
        <w:gridCol w:w="3895"/>
      </w:tblGrid>
      <w:tr w:rsidR="007968EC" w:rsidRPr="002C0D19" w14:paraId="5173DFD1" w14:textId="77777777" w:rsidTr="007968EC">
        <w:trPr>
          <w:trHeight w:val="259"/>
          <w:jc w:val="center"/>
        </w:trPr>
        <w:tc>
          <w:tcPr>
            <w:tcW w:w="3255" w:type="dxa"/>
            <w:shd w:val="clear" w:color="auto" w:fill="C0C0C0"/>
          </w:tcPr>
          <w:p w14:paraId="77F6F18C" w14:textId="77777777" w:rsidR="007968EC" w:rsidRPr="002C0D19" w:rsidRDefault="007968EC" w:rsidP="007968EC">
            <w:pPr>
              <w:jc w:val="center"/>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Terminal </w:t>
            </w:r>
            <w:proofErr w:type="spellStart"/>
            <w:r w:rsidRPr="002C0D19">
              <w:rPr>
                <w:rFonts w:ascii="Arial Narrow" w:hAnsi="Arial Narrow" w:cs="Arial"/>
                <w:color w:val="000000" w:themeColor="text1"/>
                <w:lang w:eastAsia="es-ES"/>
              </w:rPr>
              <w:t>Station</w:t>
            </w:r>
            <w:proofErr w:type="spellEnd"/>
          </w:p>
        </w:tc>
        <w:tc>
          <w:tcPr>
            <w:tcW w:w="3895" w:type="dxa"/>
            <w:shd w:val="clear" w:color="auto" w:fill="C0C0C0"/>
          </w:tcPr>
          <w:p w14:paraId="579D87E9" w14:textId="77777777" w:rsidR="007968EC" w:rsidRPr="002C0D19" w:rsidRDefault="007968EC" w:rsidP="007968EC">
            <w:pPr>
              <w:jc w:val="center"/>
              <w:rPr>
                <w:rFonts w:ascii="Arial Narrow" w:hAnsi="Arial Narrow" w:cs="Arial"/>
                <w:color w:val="000000" w:themeColor="text1"/>
                <w:lang w:eastAsia="es-ES"/>
              </w:rPr>
            </w:pPr>
            <w:r w:rsidRPr="002C0D19">
              <w:rPr>
                <w:rFonts w:ascii="Arial Narrow" w:hAnsi="Arial Narrow" w:cs="Arial"/>
                <w:color w:val="000000" w:themeColor="text1"/>
                <w:lang w:eastAsia="es-ES"/>
              </w:rPr>
              <w:t>Requerimientos</w:t>
            </w:r>
          </w:p>
        </w:tc>
      </w:tr>
      <w:tr w:rsidR="007968EC" w:rsidRPr="006C2361" w14:paraId="09B9753B" w14:textId="77777777" w:rsidTr="007968EC">
        <w:trPr>
          <w:trHeight w:val="276"/>
          <w:jc w:val="center"/>
        </w:trPr>
        <w:tc>
          <w:tcPr>
            <w:tcW w:w="3255" w:type="dxa"/>
          </w:tcPr>
          <w:p w14:paraId="655E3D86"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Procesador</w:t>
            </w:r>
          </w:p>
        </w:tc>
        <w:tc>
          <w:tcPr>
            <w:tcW w:w="3895" w:type="dxa"/>
          </w:tcPr>
          <w:p w14:paraId="6B6B2D65" w14:textId="77777777" w:rsidR="007968EC" w:rsidRPr="009E13AF" w:rsidRDefault="007968EC" w:rsidP="007968EC">
            <w:pPr>
              <w:rPr>
                <w:rFonts w:ascii="Arial Narrow" w:hAnsi="Arial Narrow" w:cs="Arial"/>
                <w:color w:val="000000" w:themeColor="text1"/>
                <w:lang w:val="it-IT" w:eastAsia="es-ES"/>
              </w:rPr>
            </w:pPr>
            <w:r w:rsidRPr="009E13AF">
              <w:rPr>
                <w:rFonts w:ascii="Arial Narrow" w:hAnsi="Arial Narrow" w:cs="Arial"/>
                <w:color w:val="000000" w:themeColor="text1"/>
                <w:lang w:val="it-IT" w:eastAsia="es-ES"/>
              </w:rPr>
              <w:t>Intel core i3  o superior.</w:t>
            </w:r>
          </w:p>
        </w:tc>
      </w:tr>
      <w:tr w:rsidR="007968EC" w:rsidRPr="002C0D19" w14:paraId="005B80D0" w14:textId="77777777" w:rsidTr="007968EC">
        <w:trPr>
          <w:trHeight w:val="259"/>
          <w:jc w:val="center"/>
        </w:trPr>
        <w:tc>
          <w:tcPr>
            <w:tcW w:w="3255" w:type="dxa"/>
          </w:tcPr>
          <w:p w14:paraId="2AD2FD86"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Memoria</w:t>
            </w:r>
          </w:p>
        </w:tc>
        <w:tc>
          <w:tcPr>
            <w:tcW w:w="3895" w:type="dxa"/>
          </w:tcPr>
          <w:p w14:paraId="7B54D425"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2 GB o superior</w:t>
            </w:r>
          </w:p>
        </w:tc>
      </w:tr>
      <w:tr w:rsidR="007968EC" w:rsidRPr="002C0D19" w14:paraId="626F61F3" w14:textId="77777777" w:rsidTr="007968EC">
        <w:trPr>
          <w:trHeight w:val="276"/>
          <w:jc w:val="center"/>
        </w:trPr>
        <w:tc>
          <w:tcPr>
            <w:tcW w:w="3255" w:type="dxa"/>
          </w:tcPr>
          <w:p w14:paraId="5169584B"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Disco duro</w:t>
            </w:r>
          </w:p>
        </w:tc>
        <w:tc>
          <w:tcPr>
            <w:tcW w:w="3895" w:type="dxa"/>
          </w:tcPr>
          <w:p w14:paraId="516D1FF2"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80 GB o superior</w:t>
            </w:r>
          </w:p>
        </w:tc>
      </w:tr>
      <w:tr w:rsidR="007968EC" w:rsidRPr="002C0D19" w14:paraId="45C8EA9D" w14:textId="77777777" w:rsidTr="007968EC">
        <w:trPr>
          <w:trHeight w:val="259"/>
          <w:jc w:val="center"/>
        </w:trPr>
        <w:tc>
          <w:tcPr>
            <w:tcW w:w="3255" w:type="dxa"/>
          </w:tcPr>
          <w:p w14:paraId="660D9BB7"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Tarjeta de Red</w:t>
            </w:r>
          </w:p>
        </w:tc>
        <w:tc>
          <w:tcPr>
            <w:tcW w:w="3895" w:type="dxa"/>
          </w:tcPr>
          <w:p w14:paraId="331B9FA9"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10/100 Mbps</w:t>
            </w:r>
          </w:p>
        </w:tc>
      </w:tr>
      <w:tr w:rsidR="007968EC" w:rsidRPr="002C0D19" w14:paraId="08E14D91" w14:textId="77777777" w:rsidTr="007968EC">
        <w:trPr>
          <w:trHeight w:val="276"/>
          <w:jc w:val="center"/>
        </w:trPr>
        <w:tc>
          <w:tcPr>
            <w:tcW w:w="3255" w:type="dxa"/>
          </w:tcPr>
          <w:p w14:paraId="47DD692B"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Tarjeta de video</w:t>
            </w:r>
          </w:p>
        </w:tc>
        <w:tc>
          <w:tcPr>
            <w:tcW w:w="3895" w:type="dxa"/>
          </w:tcPr>
          <w:p w14:paraId="14187230"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128 MB o superior</w:t>
            </w:r>
          </w:p>
        </w:tc>
      </w:tr>
      <w:tr w:rsidR="007968EC" w:rsidRPr="002C0D19" w14:paraId="4FBAF285" w14:textId="77777777" w:rsidTr="007968EC">
        <w:trPr>
          <w:trHeight w:val="259"/>
          <w:jc w:val="center"/>
        </w:trPr>
        <w:tc>
          <w:tcPr>
            <w:tcW w:w="3255" w:type="dxa"/>
          </w:tcPr>
          <w:p w14:paraId="46697B02"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Unidad                                            </w:t>
            </w:r>
          </w:p>
        </w:tc>
        <w:tc>
          <w:tcPr>
            <w:tcW w:w="3895" w:type="dxa"/>
          </w:tcPr>
          <w:p w14:paraId="57A0D291"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DVD-R</w:t>
            </w:r>
          </w:p>
        </w:tc>
      </w:tr>
      <w:tr w:rsidR="007968EC" w:rsidRPr="002C0D19" w14:paraId="6A0E5A51" w14:textId="77777777" w:rsidTr="007968EC">
        <w:trPr>
          <w:trHeight w:val="276"/>
          <w:jc w:val="center"/>
        </w:trPr>
        <w:tc>
          <w:tcPr>
            <w:tcW w:w="3255" w:type="dxa"/>
          </w:tcPr>
          <w:p w14:paraId="51F6BD18"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Accesorios de entrada, salida</w:t>
            </w:r>
          </w:p>
        </w:tc>
        <w:tc>
          <w:tcPr>
            <w:tcW w:w="3895" w:type="dxa"/>
          </w:tcPr>
          <w:p w14:paraId="01C12753"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Monitor, teclado, Mouse, puerto USB</w:t>
            </w:r>
          </w:p>
        </w:tc>
      </w:tr>
      <w:tr w:rsidR="007968EC" w:rsidRPr="002C0D19" w14:paraId="7688E4AC" w14:textId="77777777" w:rsidTr="007968EC">
        <w:trPr>
          <w:trHeight w:val="259"/>
          <w:jc w:val="center"/>
        </w:trPr>
        <w:tc>
          <w:tcPr>
            <w:tcW w:w="3255" w:type="dxa"/>
          </w:tcPr>
          <w:p w14:paraId="43ABB3FD"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Sistema Operativo</w:t>
            </w:r>
          </w:p>
        </w:tc>
        <w:tc>
          <w:tcPr>
            <w:tcW w:w="3895" w:type="dxa"/>
          </w:tcPr>
          <w:p w14:paraId="2D24C43B"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Windows </w:t>
            </w:r>
            <w:proofErr w:type="spellStart"/>
            <w:r w:rsidRPr="002C0D19">
              <w:rPr>
                <w:rFonts w:ascii="Arial Narrow" w:hAnsi="Arial Narrow" w:cs="Arial"/>
                <w:color w:val="000000" w:themeColor="text1"/>
                <w:lang w:eastAsia="es-ES"/>
              </w:rPr>
              <w:t>Seven</w:t>
            </w:r>
            <w:proofErr w:type="spellEnd"/>
            <w:r w:rsidRPr="002C0D19">
              <w:rPr>
                <w:rFonts w:ascii="Arial Narrow" w:hAnsi="Arial Narrow" w:cs="Arial"/>
                <w:color w:val="000000" w:themeColor="text1"/>
                <w:lang w:eastAsia="es-ES"/>
              </w:rPr>
              <w:t xml:space="preserve"> Professional 32-64 Bits</w:t>
            </w:r>
          </w:p>
        </w:tc>
      </w:tr>
    </w:tbl>
    <w:p w14:paraId="7CB98122" w14:textId="77777777" w:rsidR="007968EC" w:rsidRPr="002C0D19" w:rsidRDefault="007968EC" w:rsidP="007968EC">
      <w:pPr>
        <w:autoSpaceDE w:val="0"/>
        <w:autoSpaceDN w:val="0"/>
        <w:adjustRightInd w:val="0"/>
        <w:rPr>
          <w:rFonts w:ascii="Arial Narrow" w:hAnsi="Arial Narrow" w:cs="Verdana"/>
          <w:b/>
          <w:color w:val="000000" w:themeColor="text1"/>
          <w:lang w:eastAsia="es-ES"/>
        </w:rPr>
      </w:pPr>
    </w:p>
    <w:p w14:paraId="739BEFDB" w14:textId="77777777" w:rsidR="007968EC" w:rsidRPr="002C0D19" w:rsidRDefault="007968EC" w:rsidP="00DA7472">
      <w:pPr>
        <w:numPr>
          <w:ilvl w:val="1"/>
          <w:numId w:val="15"/>
        </w:numPr>
        <w:tabs>
          <w:tab w:val="num" w:pos="851"/>
        </w:tabs>
        <w:autoSpaceDE w:val="0"/>
        <w:autoSpaceDN w:val="0"/>
        <w:adjustRightInd w:val="0"/>
        <w:ind w:left="851" w:hanging="284"/>
        <w:rPr>
          <w:rFonts w:ascii="Arial Narrow" w:hAnsi="Arial Narrow" w:cs="Verdana"/>
          <w:b/>
          <w:bCs/>
          <w:color w:val="000000" w:themeColor="text1"/>
          <w:lang w:eastAsia="es-ES"/>
        </w:rPr>
      </w:pPr>
      <w:r w:rsidRPr="002C0D19">
        <w:rPr>
          <w:rFonts w:ascii="Arial Narrow" w:hAnsi="Arial Narrow" w:cs="Verdana"/>
          <w:b/>
          <w:bCs/>
          <w:color w:val="000000" w:themeColor="text1"/>
          <w:lang w:eastAsia="es-ES"/>
        </w:rPr>
        <w:t>Hardware Terminal Server</w:t>
      </w:r>
    </w:p>
    <w:p w14:paraId="404DA429" w14:textId="77777777" w:rsidR="007968EC" w:rsidRPr="002C0D19" w:rsidRDefault="007968EC" w:rsidP="007968EC">
      <w:pPr>
        <w:autoSpaceDE w:val="0"/>
        <w:autoSpaceDN w:val="0"/>
        <w:adjustRightInd w:val="0"/>
        <w:ind w:left="360"/>
        <w:rPr>
          <w:rFonts w:ascii="Arial Narrow" w:hAnsi="Arial Narrow" w:cs="Verdana"/>
          <w:bCs/>
          <w:color w:val="000000" w:themeColor="text1"/>
          <w:lang w:eastAsia="es-ES"/>
        </w:rPr>
      </w:pPr>
    </w:p>
    <w:p w14:paraId="7D9F9F9E" w14:textId="77777777" w:rsidR="007968EC" w:rsidRPr="002C0D19" w:rsidRDefault="007968EC" w:rsidP="00DA7472">
      <w:pPr>
        <w:numPr>
          <w:ilvl w:val="0"/>
          <w:numId w:val="232"/>
        </w:numPr>
        <w:tabs>
          <w:tab w:val="left" w:pos="851"/>
        </w:tabs>
        <w:autoSpaceDE w:val="0"/>
        <w:autoSpaceDN w:val="0"/>
        <w:adjustRightInd w:val="0"/>
        <w:ind w:left="851" w:hanging="284"/>
        <w:jc w:val="both"/>
        <w:rPr>
          <w:rFonts w:ascii="Arial Narrow" w:hAnsi="Arial Narrow" w:cs="Verdana"/>
          <w:color w:val="000000" w:themeColor="text1"/>
          <w:lang w:eastAsia="es-ES"/>
        </w:rPr>
      </w:pPr>
      <w:r w:rsidRPr="002C0D19">
        <w:rPr>
          <w:rFonts w:ascii="Arial Narrow" w:hAnsi="Arial Narrow" w:cs="Verdana"/>
          <w:color w:val="000000" w:themeColor="text1"/>
          <w:lang w:eastAsia="es-ES"/>
        </w:rPr>
        <w:t>Cada estación para la instalación y ejecución del software denominado “Terminal Server”, cuya función es la de ser repositorio de históricos debe contar como mínimo con las siguientes características:</w:t>
      </w:r>
    </w:p>
    <w:p w14:paraId="6FBB71B9" w14:textId="77777777" w:rsidR="007968EC" w:rsidRPr="002C0D19" w:rsidRDefault="007968EC" w:rsidP="007968EC">
      <w:pPr>
        <w:autoSpaceDE w:val="0"/>
        <w:autoSpaceDN w:val="0"/>
        <w:adjustRightInd w:val="0"/>
        <w:jc w:val="both"/>
        <w:rPr>
          <w:rFonts w:ascii="Arial Narrow" w:hAnsi="Arial Narrow" w:cs="Verdana"/>
          <w:color w:val="000000" w:themeColor="text1"/>
          <w:lang w:eastAsia="es-ES"/>
        </w:rPr>
      </w:pPr>
      <w:r w:rsidRPr="002C0D19">
        <w:rPr>
          <w:rFonts w:ascii="Arial Narrow" w:hAnsi="Arial Narrow" w:cs="Verdana"/>
          <w:color w:val="000000" w:themeColor="text1"/>
          <w:lang w:eastAsia="es-ES"/>
        </w:rPr>
        <w:t xml:space="preserve"> </w:t>
      </w: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402"/>
        <w:gridCol w:w="4252"/>
      </w:tblGrid>
      <w:tr w:rsidR="007968EC" w:rsidRPr="002C0D19" w14:paraId="09C5254E" w14:textId="77777777" w:rsidTr="007968EC">
        <w:tc>
          <w:tcPr>
            <w:tcW w:w="3402" w:type="dxa"/>
            <w:shd w:val="clear" w:color="auto" w:fill="C0C0C0"/>
          </w:tcPr>
          <w:p w14:paraId="0506B3D5" w14:textId="77777777" w:rsidR="007968EC" w:rsidRPr="002C0D19" w:rsidRDefault="007968EC" w:rsidP="007968EC">
            <w:pPr>
              <w:jc w:val="center"/>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Terminal </w:t>
            </w:r>
            <w:proofErr w:type="spellStart"/>
            <w:r w:rsidRPr="002C0D19">
              <w:rPr>
                <w:rFonts w:ascii="Arial Narrow" w:hAnsi="Arial Narrow" w:cs="Arial"/>
                <w:color w:val="000000" w:themeColor="text1"/>
                <w:lang w:eastAsia="es-ES"/>
              </w:rPr>
              <w:t>Station</w:t>
            </w:r>
            <w:proofErr w:type="spellEnd"/>
          </w:p>
        </w:tc>
        <w:tc>
          <w:tcPr>
            <w:tcW w:w="4252" w:type="dxa"/>
            <w:shd w:val="clear" w:color="auto" w:fill="C0C0C0"/>
          </w:tcPr>
          <w:p w14:paraId="6D2D9BF6" w14:textId="77777777" w:rsidR="007968EC" w:rsidRPr="002C0D19" w:rsidRDefault="007968EC" w:rsidP="007968EC">
            <w:pPr>
              <w:jc w:val="center"/>
              <w:rPr>
                <w:rFonts w:ascii="Arial Narrow" w:hAnsi="Arial Narrow" w:cs="Arial"/>
                <w:color w:val="000000" w:themeColor="text1"/>
                <w:lang w:eastAsia="es-ES"/>
              </w:rPr>
            </w:pPr>
            <w:r w:rsidRPr="002C0D19">
              <w:rPr>
                <w:rFonts w:ascii="Arial Narrow" w:hAnsi="Arial Narrow" w:cs="Arial"/>
                <w:color w:val="000000" w:themeColor="text1"/>
                <w:lang w:eastAsia="es-ES"/>
              </w:rPr>
              <w:t>Requerimientos</w:t>
            </w:r>
          </w:p>
        </w:tc>
      </w:tr>
      <w:tr w:rsidR="007968EC" w:rsidRPr="006C2361" w14:paraId="42D19AB7" w14:textId="77777777" w:rsidTr="007968EC">
        <w:tc>
          <w:tcPr>
            <w:tcW w:w="3402" w:type="dxa"/>
          </w:tcPr>
          <w:p w14:paraId="6B34DB67"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Procesador</w:t>
            </w:r>
          </w:p>
        </w:tc>
        <w:tc>
          <w:tcPr>
            <w:tcW w:w="4252" w:type="dxa"/>
          </w:tcPr>
          <w:p w14:paraId="65D1F5DA" w14:textId="77777777" w:rsidR="007968EC" w:rsidRPr="009E13AF" w:rsidRDefault="007968EC" w:rsidP="007968EC">
            <w:pPr>
              <w:rPr>
                <w:rFonts w:ascii="Arial Narrow" w:hAnsi="Arial Narrow" w:cs="Arial"/>
                <w:color w:val="000000" w:themeColor="text1"/>
                <w:lang w:val="it-IT" w:eastAsia="es-ES"/>
              </w:rPr>
            </w:pPr>
            <w:r w:rsidRPr="009E13AF">
              <w:rPr>
                <w:rFonts w:ascii="Arial Narrow" w:hAnsi="Arial Narrow" w:cs="Arial"/>
                <w:color w:val="000000" w:themeColor="text1"/>
                <w:lang w:val="it-IT" w:eastAsia="es-ES"/>
              </w:rPr>
              <w:t>Intel core i3 o superior</w:t>
            </w:r>
            <w:r w:rsidRPr="009E13AF" w:rsidDel="002B517C">
              <w:rPr>
                <w:rFonts w:ascii="Arial Narrow" w:hAnsi="Arial Narrow" w:cs="Arial"/>
                <w:color w:val="000000" w:themeColor="text1"/>
                <w:lang w:val="it-IT" w:eastAsia="es-ES"/>
              </w:rPr>
              <w:t xml:space="preserve"> </w:t>
            </w:r>
            <w:r w:rsidRPr="009E13AF">
              <w:rPr>
                <w:rFonts w:ascii="Arial Narrow" w:hAnsi="Arial Narrow" w:cs="Arial"/>
                <w:color w:val="000000" w:themeColor="text1"/>
                <w:lang w:val="it-IT" w:eastAsia="es-ES"/>
              </w:rPr>
              <w:t>.</w:t>
            </w:r>
          </w:p>
        </w:tc>
      </w:tr>
      <w:tr w:rsidR="007968EC" w:rsidRPr="002C0D19" w14:paraId="48AD59D0" w14:textId="77777777" w:rsidTr="007968EC">
        <w:tc>
          <w:tcPr>
            <w:tcW w:w="3402" w:type="dxa"/>
          </w:tcPr>
          <w:p w14:paraId="7E29353E"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Memoria</w:t>
            </w:r>
          </w:p>
        </w:tc>
        <w:tc>
          <w:tcPr>
            <w:tcW w:w="4252" w:type="dxa"/>
          </w:tcPr>
          <w:p w14:paraId="0DEC98C4"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2 GB o superior</w:t>
            </w:r>
          </w:p>
        </w:tc>
      </w:tr>
      <w:tr w:rsidR="007968EC" w:rsidRPr="002C0D19" w14:paraId="7388E9F4" w14:textId="77777777" w:rsidTr="007968EC">
        <w:tc>
          <w:tcPr>
            <w:tcW w:w="3402" w:type="dxa"/>
          </w:tcPr>
          <w:p w14:paraId="3D5B6CC2"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Disco duro</w:t>
            </w:r>
          </w:p>
        </w:tc>
        <w:tc>
          <w:tcPr>
            <w:tcW w:w="4252" w:type="dxa"/>
          </w:tcPr>
          <w:p w14:paraId="77683367"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100 - 120 GB o superior</w:t>
            </w:r>
          </w:p>
        </w:tc>
      </w:tr>
      <w:tr w:rsidR="007968EC" w:rsidRPr="002C0D19" w14:paraId="00C20618" w14:textId="77777777" w:rsidTr="007968EC">
        <w:tc>
          <w:tcPr>
            <w:tcW w:w="3402" w:type="dxa"/>
          </w:tcPr>
          <w:p w14:paraId="66843970"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Tarjeta de Red</w:t>
            </w:r>
          </w:p>
        </w:tc>
        <w:tc>
          <w:tcPr>
            <w:tcW w:w="4252" w:type="dxa"/>
          </w:tcPr>
          <w:p w14:paraId="799C6B01"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10/100 Mbps</w:t>
            </w:r>
          </w:p>
        </w:tc>
      </w:tr>
      <w:tr w:rsidR="007968EC" w:rsidRPr="002C0D19" w14:paraId="4476B022" w14:textId="77777777" w:rsidTr="007968EC">
        <w:tc>
          <w:tcPr>
            <w:tcW w:w="3402" w:type="dxa"/>
          </w:tcPr>
          <w:p w14:paraId="2E707C98"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Tarjeta de video</w:t>
            </w:r>
          </w:p>
        </w:tc>
        <w:tc>
          <w:tcPr>
            <w:tcW w:w="4252" w:type="dxa"/>
          </w:tcPr>
          <w:p w14:paraId="2C689DB3"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128 MB o superior</w:t>
            </w:r>
          </w:p>
        </w:tc>
      </w:tr>
      <w:tr w:rsidR="007968EC" w:rsidRPr="002C0D19" w14:paraId="7C3ED17C" w14:textId="77777777" w:rsidTr="007968EC">
        <w:tc>
          <w:tcPr>
            <w:tcW w:w="3402" w:type="dxa"/>
          </w:tcPr>
          <w:p w14:paraId="184FF137"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Unidad                                            </w:t>
            </w:r>
          </w:p>
        </w:tc>
        <w:tc>
          <w:tcPr>
            <w:tcW w:w="4252" w:type="dxa"/>
          </w:tcPr>
          <w:p w14:paraId="4DE59981"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DVD-R</w:t>
            </w:r>
          </w:p>
        </w:tc>
      </w:tr>
      <w:tr w:rsidR="007968EC" w:rsidRPr="002C0D19" w14:paraId="6887132A" w14:textId="77777777" w:rsidTr="007968EC">
        <w:tc>
          <w:tcPr>
            <w:tcW w:w="3402" w:type="dxa"/>
          </w:tcPr>
          <w:p w14:paraId="10F78A45"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Accesorios de entrada, salida</w:t>
            </w:r>
          </w:p>
        </w:tc>
        <w:tc>
          <w:tcPr>
            <w:tcW w:w="4252" w:type="dxa"/>
          </w:tcPr>
          <w:p w14:paraId="0380353D"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Monitor, teclado, Mouse, puerto USB</w:t>
            </w:r>
          </w:p>
        </w:tc>
      </w:tr>
      <w:tr w:rsidR="007968EC" w:rsidRPr="002C0D19" w14:paraId="6DA62FFB" w14:textId="77777777" w:rsidTr="007968EC">
        <w:tc>
          <w:tcPr>
            <w:tcW w:w="3402" w:type="dxa"/>
          </w:tcPr>
          <w:p w14:paraId="20F72054"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Base de datos </w:t>
            </w:r>
          </w:p>
        </w:tc>
        <w:tc>
          <w:tcPr>
            <w:tcW w:w="4252" w:type="dxa"/>
          </w:tcPr>
          <w:p w14:paraId="43A009D6" w14:textId="77777777" w:rsidR="007968EC" w:rsidRPr="002C0D19" w:rsidRDefault="007968EC" w:rsidP="007968EC">
            <w:pPr>
              <w:rPr>
                <w:rFonts w:ascii="Arial Narrow" w:hAnsi="Arial Narrow" w:cs="Arial"/>
                <w:color w:val="000000" w:themeColor="text1"/>
                <w:lang w:eastAsia="es-ES"/>
              </w:rPr>
            </w:pPr>
            <w:proofErr w:type="spellStart"/>
            <w:r w:rsidRPr="002C0D19">
              <w:rPr>
                <w:rFonts w:ascii="Arial Narrow" w:hAnsi="Arial Narrow" w:cs="Arial"/>
                <w:color w:val="000000" w:themeColor="text1"/>
                <w:lang w:eastAsia="es-ES"/>
              </w:rPr>
              <w:t>Paradox</w:t>
            </w:r>
            <w:proofErr w:type="spellEnd"/>
          </w:p>
        </w:tc>
      </w:tr>
      <w:tr w:rsidR="007968EC" w:rsidRPr="002C0D19" w14:paraId="3CD2D4A1" w14:textId="77777777" w:rsidTr="007968EC">
        <w:trPr>
          <w:trHeight w:val="71"/>
        </w:trPr>
        <w:tc>
          <w:tcPr>
            <w:tcW w:w="3402" w:type="dxa"/>
          </w:tcPr>
          <w:p w14:paraId="1B8B96D7"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Sistema Operativo</w:t>
            </w:r>
          </w:p>
        </w:tc>
        <w:tc>
          <w:tcPr>
            <w:tcW w:w="4252" w:type="dxa"/>
          </w:tcPr>
          <w:p w14:paraId="552663E3"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Windows </w:t>
            </w:r>
            <w:proofErr w:type="spellStart"/>
            <w:r w:rsidRPr="002C0D19">
              <w:rPr>
                <w:rFonts w:ascii="Arial Narrow" w:hAnsi="Arial Narrow" w:cs="Arial"/>
                <w:color w:val="000000" w:themeColor="text1"/>
                <w:lang w:eastAsia="es-ES"/>
              </w:rPr>
              <w:t>Seven</w:t>
            </w:r>
            <w:proofErr w:type="spellEnd"/>
            <w:r w:rsidRPr="002C0D19">
              <w:rPr>
                <w:rFonts w:ascii="Arial Narrow" w:hAnsi="Arial Narrow" w:cs="Arial"/>
                <w:color w:val="000000" w:themeColor="text1"/>
                <w:lang w:eastAsia="es-ES"/>
              </w:rPr>
              <w:t xml:space="preserve"> Professional 32-64 Bits</w:t>
            </w:r>
          </w:p>
        </w:tc>
      </w:tr>
    </w:tbl>
    <w:p w14:paraId="7F34042B" w14:textId="77777777" w:rsidR="007968EC" w:rsidRPr="002C0D19" w:rsidRDefault="007968EC" w:rsidP="007968EC">
      <w:pPr>
        <w:autoSpaceDE w:val="0"/>
        <w:autoSpaceDN w:val="0"/>
        <w:adjustRightInd w:val="0"/>
        <w:rPr>
          <w:rFonts w:ascii="Arial Narrow" w:hAnsi="Arial Narrow" w:cs="Verdana"/>
          <w:b/>
          <w:color w:val="000000" w:themeColor="text1"/>
          <w:lang w:eastAsia="es-ES"/>
        </w:rPr>
      </w:pPr>
    </w:p>
    <w:p w14:paraId="0990E41B" w14:textId="77777777" w:rsidR="007968EC" w:rsidRPr="002C0D19" w:rsidRDefault="007968EC" w:rsidP="007968EC">
      <w:pPr>
        <w:autoSpaceDE w:val="0"/>
        <w:autoSpaceDN w:val="0"/>
        <w:adjustRightInd w:val="0"/>
        <w:rPr>
          <w:rFonts w:ascii="Arial Narrow" w:hAnsi="Arial Narrow" w:cs="Verdana"/>
          <w:b/>
          <w:color w:val="000000" w:themeColor="text1"/>
          <w:lang w:eastAsia="es-ES"/>
        </w:rPr>
      </w:pPr>
    </w:p>
    <w:p w14:paraId="168B844D" w14:textId="77777777" w:rsidR="007968EC" w:rsidRPr="002C0D19" w:rsidRDefault="007968EC" w:rsidP="007968EC">
      <w:pPr>
        <w:autoSpaceDE w:val="0"/>
        <w:autoSpaceDN w:val="0"/>
        <w:adjustRightInd w:val="0"/>
        <w:rPr>
          <w:rFonts w:ascii="Arial Narrow" w:hAnsi="Arial Narrow" w:cs="Verdana"/>
          <w:b/>
          <w:color w:val="000000" w:themeColor="text1"/>
          <w:lang w:eastAsia="es-ES"/>
        </w:rPr>
      </w:pPr>
    </w:p>
    <w:p w14:paraId="015F4310" w14:textId="77777777" w:rsidR="007968EC" w:rsidRPr="002C0D19" w:rsidRDefault="007968EC" w:rsidP="007968EC">
      <w:pPr>
        <w:autoSpaceDE w:val="0"/>
        <w:autoSpaceDN w:val="0"/>
        <w:adjustRightInd w:val="0"/>
        <w:rPr>
          <w:rFonts w:ascii="Arial Narrow" w:hAnsi="Arial Narrow" w:cs="Verdana"/>
          <w:b/>
          <w:color w:val="000000" w:themeColor="text1"/>
          <w:lang w:eastAsia="es-ES"/>
        </w:rPr>
      </w:pPr>
    </w:p>
    <w:p w14:paraId="3E9C5C0F" w14:textId="77777777" w:rsidR="007968EC" w:rsidRPr="002C0D19" w:rsidRDefault="007968EC" w:rsidP="007968EC">
      <w:pPr>
        <w:autoSpaceDE w:val="0"/>
        <w:autoSpaceDN w:val="0"/>
        <w:adjustRightInd w:val="0"/>
        <w:rPr>
          <w:rFonts w:ascii="Arial Narrow" w:hAnsi="Arial Narrow" w:cs="Verdana"/>
          <w:b/>
          <w:color w:val="000000" w:themeColor="text1"/>
          <w:lang w:eastAsia="es-ES"/>
        </w:rPr>
      </w:pPr>
    </w:p>
    <w:p w14:paraId="0F847B7A" w14:textId="77777777" w:rsidR="007968EC" w:rsidRPr="002C0D19" w:rsidRDefault="007968EC" w:rsidP="007968EC">
      <w:pPr>
        <w:autoSpaceDE w:val="0"/>
        <w:autoSpaceDN w:val="0"/>
        <w:adjustRightInd w:val="0"/>
        <w:rPr>
          <w:rFonts w:ascii="Arial Narrow" w:hAnsi="Arial Narrow" w:cs="Verdana"/>
          <w:b/>
          <w:color w:val="000000" w:themeColor="text1"/>
          <w:lang w:eastAsia="es-ES"/>
        </w:rPr>
      </w:pPr>
    </w:p>
    <w:p w14:paraId="6881B5F5" w14:textId="77777777" w:rsidR="007968EC" w:rsidRPr="002C0D19" w:rsidRDefault="007968EC" w:rsidP="007968EC">
      <w:pPr>
        <w:autoSpaceDE w:val="0"/>
        <w:autoSpaceDN w:val="0"/>
        <w:adjustRightInd w:val="0"/>
        <w:rPr>
          <w:rFonts w:ascii="Arial Narrow" w:hAnsi="Arial Narrow" w:cs="Verdana"/>
          <w:b/>
          <w:color w:val="000000" w:themeColor="text1"/>
          <w:lang w:eastAsia="es-ES"/>
        </w:rPr>
      </w:pPr>
    </w:p>
    <w:p w14:paraId="532E7283" w14:textId="77777777" w:rsidR="007968EC" w:rsidRPr="002C0D19" w:rsidRDefault="007968EC" w:rsidP="007968EC">
      <w:pPr>
        <w:autoSpaceDE w:val="0"/>
        <w:autoSpaceDN w:val="0"/>
        <w:adjustRightInd w:val="0"/>
        <w:rPr>
          <w:rFonts w:ascii="Arial Narrow" w:hAnsi="Arial Narrow" w:cs="Verdana"/>
          <w:b/>
          <w:color w:val="000000" w:themeColor="text1"/>
          <w:lang w:eastAsia="es-ES"/>
        </w:rPr>
      </w:pPr>
    </w:p>
    <w:p w14:paraId="37EBE4C1" w14:textId="77777777" w:rsidR="007968EC" w:rsidRPr="002C0D19" w:rsidRDefault="007968EC" w:rsidP="007968EC">
      <w:pPr>
        <w:autoSpaceDE w:val="0"/>
        <w:autoSpaceDN w:val="0"/>
        <w:adjustRightInd w:val="0"/>
        <w:rPr>
          <w:rFonts w:ascii="Arial Narrow" w:hAnsi="Arial Narrow" w:cs="Verdana"/>
          <w:b/>
          <w:color w:val="000000" w:themeColor="text1"/>
          <w:lang w:eastAsia="es-ES"/>
        </w:rPr>
      </w:pPr>
    </w:p>
    <w:p w14:paraId="6FB39FCB" w14:textId="77777777" w:rsidR="007968EC" w:rsidRPr="002C0D19" w:rsidRDefault="007968EC" w:rsidP="007968EC">
      <w:pPr>
        <w:autoSpaceDE w:val="0"/>
        <w:autoSpaceDN w:val="0"/>
        <w:adjustRightInd w:val="0"/>
        <w:rPr>
          <w:rFonts w:ascii="Arial Narrow" w:hAnsi="Arial Narrow" w:cs="Verdana"/>
          <w:b/>
          <w:color w:val="000000" w:themeColor="text1"/>
          <w:lang w:eastAsia="es-ES"/>
        </w:rPr>
      </w:pPr>
    </w:p>
    <w:p w14:paraId="59062D39" w14:textId="77777777" w:rsidR="007968EC" w:rsidRPr="002C0D19" w:rsidRDefault="007968EC" w:rsidP="007968EC">
      <w:pPr>
        <w:autoSpaceDE w:val="0"/>
        <w:autoSpaceDN w:val="0"/>
        <w:adjustRightInd w:val="0"/>
        <w:rPr>
          <w:rFonts w:ascii="Arial Narrow" w:hAnsi="Arial Narrow" w:cs="Verdana"/>
          <w:b/>
          <w:color w:val="000000" w:themeColor="text1"/>
          <w:lang w:eastAsia="es-ES"/>
        </w:rPr>
      </w:pPr>
    </w:p>
    <w:p w14:paraId="5D01D4EC" w14:textId="77777777" w:rsidR="007968EC" w:rsidRPr="002C0D19" w:rsidRDefault="007968EC" w:rsidP="007968EC">
      <w:pPr>
        <w:autoSpaceDE w:val="0"/>
        <w:autoSpaceDN w:val="0"/>
        <w:adjustRightInd w:val="0"/>
        <w:rPr>
          <w:rFonts w:ascii="Arial Narrow" w:hAnsi="Arial Narrow" w:cs="Verdana"/>
          <w:b/>
          <w:color w:val="000000" w:themeColor="text1"/>
          <w:lang w:eastAsia="es-ES"/>
        </w:rPr>
      </w:pPr>
    </w:p>
    <w:p w14:paraId="2A524D2F" w14:textId="77777777" w:rsidR="007968EC" w:rsidRPr="002C0D19" w:rsidRDefault="007968EC" w:rsidP="00DA7472">
      <w:pPr>
        <w:numPr>
          <w:ilvl w:val="1"/>
          <w:numId w:val="15"/>
        </w:numPr>
        <w:tabs>
          <w:tab w:val="num" w:pos="851"/>
        </w:tabs>
        <w:autoSpaceDE w:val="0"/>
        <w:autoSpaceDN w:val="0"/>
        <w:adjustRightInd w:val="0"/>
        <w:ind w:left="851" w:hanging="284"/>
        <w:rPr>
          <w:rFonts w:ascii="Arial Narrow" w:hAnsi="Arial Narrow" w:cs="Verdana"/>
          <w:b/>
          <w:bCs/>
          <w:color w:val="000000" w:themeColor="text1"/>
          <w:lang w:eastAsia="es-ES"/>
        </w:rPr>
      </w:pPr>
      <w:r w:rsidRPr="002C0D19">
        <w:rPr>
          <w:rFonts w:ascii="Arial Narrow" w:hAnsi="Arial Narrow" w:cs="Verdana"/>
          <w:b/>
          <w:bCs/>
          <w:color w:val="000000" w:themeColor="text1"/>
          <w:lang w:eastAsia="es-ES"/>
        </w:rPr>
        <w:t>Hardware Opcional: Depende de la estrategia y tecnología del miembro</w:t>
      </w:r>
    </w:p>
    <w:p w14:paraId="3267C9AF" w14:textId="77777777" w:rsidR="007968EC" w:rsidRPr="002C0D19" w:rsidRDefault="007968EC" w:rsidP="007968EC">
      <w:pPr>
        <w:autoSpaceDE w:val="0"/>
        <w:autoSpaceDN w:val="0"/>
        <w:adjustRightInd w:val="0"/>
        <w:jc w:val="both"/>
        <w:rPr>
          <w:rFonts w:ascii="Arial Narrow" w:hAnsi="Arial Narrow" w:cs="Verdana"/>
          <w:bCs/>
          <w:color w:val="000000" w:themeColor="text1"/>
          <w:lang w:eastAsia="es-ES"/>
        </w:rPr>
      </w:pPr>
    </w:p>
    <w:p w14:paraId="52B10E99" w14:textId="77777777" w:rsidR="007968EC" w:rsidRPr="002C0D19" w:rsidRDefault="007968EC" w:rsidP="00DA7472">
      <w:pPr>
        <w:numPr>
          <w:ilvl w:val="0"/>
          <w:numId w:val="232"/>
        </w:numPr>
        <w:tabs>
          <w:tab w:val="left" w:pos="851"/>
        </w:tabs>
        <w:autoSpaceDE w:val="0"/>
        <w:autoSpaceDN w:val="0"/>
        <w:adjustRightInd w:val="0"/>
        <w:ind w:left="851" w:hanging="284"/>
        <w:jc w:val="both"/>
        <w:rPr>
          <w:rFonts w:ascii="Arial Narrow" w:hAnsi="Arial Narrow" w:cs="Verdana"/>
          <w:color w:val="000000" w:themeColor="text1"/>
          <w:lang w:eastAsia="es-ES"/>
        </w:rPr>
      </w:pPr>
      <w:r w:rsidRPr="002C0D19">
        <w:rPr>
          <w:rFonts w:ascii="Arial Narrow" w:hAnsi="Arial Narrow" w:cs="Verdana"/>
          <w:color w:val="000000" w:themeColor="text1"/>
          <w:lang w:eastAsia="es-ES"/>
        </w:rPr>
        <w:t xml:space="preserve">Cada estación para la instalación y ejecución del cliente “Terminal Gate </w:t>
      </w:r>
      <w:proofErr w:type="spellStart"/>
      <w:r w:rsidRPr="002C0D19">
        <w:rPr>
          <w:rFonts w:ascii="Arial Narrow" w:hAnsi="Arial Narrow" w:cs="Verdana"/>
          <w:color w:val="000000" w:themeColor="text1"/>
          <w:lang w:eastAsia="es-ES"/>
        </w:rPr>
        <w:t>Fix</w:t>
      </w:r>
      <w:proofErr w:type="spellEnd"/>
      <w:r w:rsidRPr="002C0D19">
        <w:rPr>
          <w:rFonts w:ascii="Arial Narrow" w:hAnsi="Arial Narrow" w:cs="Verdana"/>
          <w:color w:val="000000" w:themeColor="text1"/>
          <w:lang w:eastAsia="es-ES"/>
        </w:rPr>
        <w:t>”, cuya función es intercambio de información basado en el protocolo FIX v4.4 entre el miembro y la CRCC, debe cumplir como mínimo con las siguientes características.</w:t>
      </w:r>
    </w:p>
    <w:p w14:paraId="6D89DD1E" w14:textId="77777777" w:rsidR="007968EC" w:rsidRPr="002C0D19" w:rsidRDefault="007968EC" w:rsidP="007968EC">
      <w:pPr>
        <w:autoSpaceDE w:val="0"/>
        <w:autoSpaceDN w:val="0"/>
        <w:adjustRightInd w:val="0"/>
        <w:ind w:left="360"/>
        <w:rPr>
          <w:rFonts w:ascii="Arial Narrow" w:hAnsi="Arial Narrow" w:cs="Verdana"/>
          <w:b/>
          <w:color w:val="000000" w:themeColor="text1"/>
          <w:lang w:eastAsia="es-ES"/>
        </w:rPr>
      </w:pPr>
    </w:p>
    <w:p w14:paraId="5CF4CA6C" w14:textId="77777777" w:rsidR="007968EC" w:rsidRPr="002C0D19" w:rsidRDefault="007968EC" w:rsidP="007968EC">
      <w:pPr>
        <w:autoSpaceDE w:val="0"/>
        <w:autoSpaceDN w:val="0"/>
        <w:adjustRightInd w:val="0"/>
        <w:ind w:left="360"/>
        <w:rPr>
          <w:rFonts w:ascii="Arial Narrow" w:hAnsi="Arial Narrow" w:cs="Verdana"/>
          <w:b/>
          <w:color w:val="000000" w:themeColor="text1"/>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71"/>
        <w:gridCol w:w="3893"/>
      </w:tblGrid>
      <w:tr w:rsidR="007968EC" w:rsidRPr="002C0D19" w14:paraId="4B81FE2D" w14:textId="77777777" w:rsidTr="007968EC">
        <w:trPr>
          <w:jc w:val="center"/>
        </w:trPr>
        <w:tc>
          <w:tcPr>
            <w:tcW w:w="3071" w:type="dxa"/>
            <w:shd w:val="clear" w:color="auto" w:fill="C0C0C0"/>
          </w:tcPr>
          <w:p w14:paraId="36067B42" w14:textId="77777777" w:rsidR="007968EC" w:rsidRPr="002C0D19" w:rsidRDefault="007968EC" w:rsidP="007968EC">
            <w:pPr>
              <w:jc w:val="center"/>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Gate </w:t>
            </w:r>
            <w:proofErr w:type="spellStart"/>
            <w:r w:rsidRPr="002C0D19">
              <w:rPr>
                <w:rFonts w:ascii="Arial Narrow" w:hAnsi="Arial Narrow" w:cs="Arial"/>
                <w:color w:val="000000" w:themeColor="text1"/>
                <w:lang w:eastAsia="es-ES"/>
              </w:rPr>
              <w:t>Fix</w:t>
            </w:r>
            <w:proofErr w:type="spellEnd"/>
          </w:p>
        </w:tc>
        <w:tc>
          <w:tcPr>
            <w:tcW w:w="3893" w:type="dxa"/>
            <w:shd w:val="clear" w:color="auto" w:fill="C0C0C0"/>
          </w:tcPr>
          <w:p w14:paraId="31B36DA4" w14:textId="77777777" w:rsidR="007968EC" w:rsidRPr="002C0D19" w:rsidRDefault="007968EC" w:rsidP="007968EC">
            <w:pPr>
              <w:jc w:val="center"/>
              <w:rPr>
                <w:rFonts w:ascii="Arial Narrow" w:hAnsi="Arial Narrow" w:cs="Arial"/>
                <w:color w:val="000000" w:themeColor="text1"/>
                <w:lang w:eastAsia="es-ES"/>
              </w:rPr>
            </w:pPr>
            <w:r w:rsidRPr="002C0D19">
              <w:rPr>
                <w:rFonts w:ascii="Arial Narrow" w:hAnsi="Arial Narrow" w:cs="Arial"/>
                <w:color w:val="000000" w:themeColor="text1"/>
                <w:lang w:eastAsia="es-ES"/>
              </w:rPr>
              <w:t>Requerimientos</w:t>
            </w:r>
          </w:p>
        </w:tc>
      </w:tr>
      <w:tr w:rsidR="007968EC" w:rsidRPr="006C2361" w14:paraId="48217D63" w14:textId="77777777" w:rsidTr="007968EC">
        <w:trPr>
          <w:jc w:val="center"/>
        </w:trPr>
        <w:tc>
          <w:tcPr>
            <w:tcW w:w="3071" w:type="dxa"/>
          </w:tcPr>
          <w:p w14:paraId="5500D6C5" w14:textId="77777777" w:rsidR="007968EC" w:rsidRPr="002C0D19" w:rsidRDefault="007968EC" w:rsidP="007968EC">
            <w:pPr>
              <w:rPr>
                <w:rFonts w:ascii="Arial Narrow" w:hAnsi="Arial Narrow" w:cs="Arial"/>
                <w:b/>
                <w:color w:val="000000" w:themeColor="text1"/>
                <w:lang w:eastAsia="es-ES"/>
              </w:rPr>
            </w:pPr>
            <w:r w:rsidRPr="002C0D19">
              <w:rPr>
                <w:rFonts w:ascii="Arial Narrow" w:hAnsi="Arial Narrow" w:cs="Arial"/>
                <w:b/>
                <w:color w:val="000000" w:themeColor="text1"/>
                <w:lang w:eastAsia="es-ES"/>
              </w:rPr>
              <w:t>Procesador</w:t>
            </w:r>
          </w:p>
        </w:tc>
        <w:tc>
          <w:tcPr>
            <w:tcW w:w="3893" w:type="dxa"/>
          </w:tcPr>
          <w:p w14:paraId="1C3C15EA" w14:textId="77777777" w:rsidR="007968EC" w:rsidRPr="009E13AF" w:rsidRDefault="007968EC" w:rsidP="007968EC">
            <w:pPr>
              <w:rPr>
                <w:rFonts w:ascii="Arial Narrow" w:hAnsi="Arial Narrow" w:cs="Arial"/>
                <w:color w:val="000000" w:themeColor="text1"/>
                <w:lang w:val="it-IT" w:eastAsia="es-ES"/>
              </w:rPr>
            </w:pPr>
            <w:r w:rsidRPr="009E13AF">
              <w:rPr>
                <w:rFonts w:ascii="Arial Narrow" w:hAnsi="Arial Narrow" w:cs="Arial"/>
                <w:color w:val="000000" w:themeColor="text1"/>
                <w:lang w:val="it-IT" w:eastAsia="es-ES"/>
              </w:rPr>
              <w:t>Intel core i3 o superior.</w:t>
            </w:r>
          </w:p>
        </w:tc>
      </w:tr>
      <w:tr w:rsidR="007968EC" w:rsidRPr="002C0D19" w14:paraId="676907B4" w14:textId="77777777" w:rsidTr="007968EC">
        <w:trPr>
          <w:jc w:val="center"/>
        </w:trPr>
        <w:tc>
          <w:tcPr>
            <w:tcW w:w="3071" w:type="dxa"/>
          </w:tcPr>
          <w:p w14:paraId="47D40E77" w14:textId="77777777" w:rsidR="007968EC" w:rsidRPr="002C0D19" w:rsidRDefault="007968EC" w:rsidP="007968EC">
            <w:pPr>
              <w:rPr>
                <w:rFonts w:ascii="Arial Narrow" w:hAnsi="Arial Narrow" w:cs="Arial"/>
                <w:b/>
                <w:color w:val="000000" w:themeColor="text1"/>
                <w:lang w:eastAsia="es-ES"/>
              </w:rPr>
            </w:pPr>
            <w:r w:rsidRPr="002C0D19">
              <w:rPr>
                <w:rFonts w:ascii="Arial Narrow" w:hAnsi="Arial Narrow" w:cs="Arial"/>
                <w:b/>
                <w:color w:val="000000" w:themeColor="text1"/>
                <w:lang w:eastAsia="es-ES"/>
              </w:rPr>
              <w:t>Memoria</w:t>
            </w:r>
          </w:p>
        </w:tc>
        <w:tc>
          <w:tcPr>
            <w:tcW w:w="3893" w:type="dxa"/>
          </w:tcPr>
          <w:p w14:paraId="2D3BBA5B"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2 GB o superior</w:t>
            </w:r>
          </w:p>
        </w:tc>
      </w:tr>
      <w:tr w:rsidR="007968EC" w:rsidRPr="002C0D19" w14:paraId="41D222A1" w14:textId="77777777" w:rsidTr="007968EC">
        <w:trPr>
          <w:jc w:val="center"/>
        </w:trPr>
        <w:tc>
          <w:tcPr>
            <w:tcW w:w="3071" w:type="dxa"/>
          </w:tcPr>
          <w:p w14:paraId="43596BA4" w14:textId="77777777" w:rsidR="007968EC" w:rsidRPr="002C0D19" w:rsidRDefault="007968EC" w:rsidP="007968EC">
            <w:pPr>
              <w:rPr>
                <w:rFonts w:ascii="Arial Narrow" w:hAnsi="Arial Narrow" w:cs="Arial"/>
                <w:b/>
                <w:color w:val="000000" w:themeColor="text1"/>
                <w:lang w:eastAsia="es-ES"/>
              </w:rPr>
            </w:pPr>
            <w:r w:rsidRPr="002C0D19">
              <w:rPr>
                <w:rFonts w:ascii="Arial Narrow" w:hAnsi="Arial Narrow" w:cs="Arial"/>
                <w:b/>
                <w:color w:val="000000" w:themeColor="text1"/>
                <w:lang w:eastAsia="es-ES"/>
              </w:rPr>
              <w:t>Disco duro</w:t>
            </w:r>
          </w:p>
        </w:tc>
        <w:tc>
          <w:tcPr>
            <w:tcW w:w="3893" w:type="dxa"/>
          </w:tcPr>
          <w:p w14:paraId="588357F4"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80 GB o superior</w:t>
            </w:r>
          </w:p>
        </w:tc>
      </w:tr>
      <w:tr w:rsidR="007968EC" w:rsidRPr="002C0D19" w14:paraId="7EE64DE0" w14:textId="77777777" w:rsidTr="007968EC">
        <w:trPr>
          <w:jc w:val="center"/>
        </w:trPr>
        <w:tc>
          <w:tcPr>
            <w:tcW w:w="3071" w:type="dxa"/>
          </w:tcPr>
          <w:p w14:paraId="35873F0C" w14:textId="77777777" w:rsidR="007968EC" w:rsidRPr="002C0D19" w:rsidRDefault="007968EC" w:rsidP="007968EC">
            <w:pPr>
              <w:rPr>
                <w:rFonts w:ascii="Arial Narrow" w:hAnsi="Arial Narrow" w:cs="Arial"/>
                <w:b/>
                <w:color w:val="000000" w:themeColor="text1"/>
                <w:lang w:eastAsia="es-ES"/>
              </w:rPr>
            </w:pPr>
            <w:r w:rsidRPr="002C0D19">
              <w:rPr>
                <w:rFonts w:ascii="Arial Narrow" w:hAnsi="Arial Narrow" w:cs="Arial"/>
                <w:b/>
                <w:color w:val="000000" w:themeColor="text1"/>
                <w:lang w:eastAsia="es-ES"/>
              </w:rPr>
              <w:t>Tarjeta de Red</w:t>
            </w:r>
          </w:p>
        </w:tc>
        <w:tc>
          <w:tcPr>
            <w:tcW w:w="3893" w:type="dxa"/>
          </w:tcPr>
          <w:p w14:paraId="208A90EB"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10/100 Mbps</w:t>
            </w:r>
          </w:p>
        </w:tc>
      </w:tr>
      <w:tr w:rsidR="007968EC" w:rsidRPr="002C0D19" w14:paraId="21387D58" w14:textId="77777777" w:rsidTr="007968EC">
        <w:trPr>
          <w:jc w:val="center"/>
        </w:trPr>
        <w:tc>
          <w:tcPr>
            <w:tcW w:w="3071" w:type="dxa"/>
          </w:tcPr>
          <w:p w14:paraId="644687A7" w14:textId="77777777" w:rsidR="007968EC" w:rsidRPr="002C0D19" w:rsidRDefault="007968EC" w:rsidP="007968EC">
            <w:pPr>
              <w:rPr>
                <w:rFonts w:ascii="Arial Narrow" w:hAnsi="Arial Narrow" w:cs="Arial"/>
                <w:b/>
                <w:color w:val="000000" w:themeColor="text1"/>
                <w:lang w:eastAsia="es-ES"/>
              </w:rPr>
            </w:pPr>
            <w:r w:rsidRPr="002C0D19">
              <w:rPr>
                <w:rFonts w:ascii="Arial Narrow" w:hAnsi="Arial Narrow" w:cs="Arial"/>
                <w:b/>
                <w:color w:val="000000" w:themeColor="text1"/>
                <w:lang w:eastAsia="es-ES"/>
              </w:rPr>
              <w:t>Tarjeta de video</w:t>
            </w:r>
          </w:p>
        </w:tc>
        <w:tc>
          <w:tcPr>
            <w:tcW w:w="3893" w:type="dxa"/>
          </w:tcPr>
          <w:p w14:paraId="00CF067C"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128 MB o superior</w:t>
            </w:r>
          </w:p>
        </w:tc>
      </w:tr>
      <w:tr w:rsidR="007968EC" w:rsidRPr="002C0D19" w14:paraId="3F2BFAD1" w14:textId="77777777" w:rsidTr="007968EC">
        <w:trPr>
          <w:jc w:val="center"/>
        </w:trPr>
        <w:tc>
          <w:tcPr>
            <w:tcW w:w="3071" w:type="dxa"/>
          </w:tcPr>
          <w:p w14:paraId="0F2D5896" w14:textId="77777777" w:rsidR="007968EC" w:rsidRPr="002C0D19" w:rsidRDefault="007968EC" w:rsidP="007968EC">
            <w:pPr>
              <w:rPr>
                <w:rFonts w:ascii="Arial Narrow" w:hAnsi="Arial Narrow" w:cs="Arial"/>
                <w:b/>
                <w:color w:val="000000" w:themeColor="text1"/>
                <w:lang w:eastAsia="es-ES"/>
              </w:rPr>
            </w:pPr>
            <w:r w:rsidRPr="002C0D19">
              <w:rPr>
                <w:rFonts w:ascii="Arial Narrow" w:hAnsi="Arial Narrow" w:cs="Arial"/>
                <w:b/>
                <w:color w:val="000000" w:themeColor="text1"/>
                <w:lang w:eastAsia="es-ES"/>
              </w:rPr>
              <w:t xml:space="preserve">Unidad                                            </w:t>
            </w:r>
          </w:p>
        </w:tc>
        <w:tc>
          <w:tcPr>
            <w:tcW w:w="3893" w:type="dxa"/>
          </w:tcPr>
          <w:p w14:paraId="59AC39A3"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DVD-R </w:t>
            </w:r>
          </w:p>
        </w:tc>
      </w:tr>
      <w:tr w:rsidR="007968EC" w:rsidRPr="002C0D19" w14:paraId="1736217A" w14:textId="77777777" w:rsidTr="007968EC">
        <w:trPr>
          <w:jc w:val="center"/>
        </w:trPr>
        <w:tc>
          <w:tcPr>
            <w:tcW w:w="3071" w:type="dxa"/>
          </w:tcPr>
          <w:p w14:paraId="154208EF" w14:textId="77777777" w:rsidR="007968EC" w:rsidRPr="002C0D19" w:rsidRDefault="007968EC" w:rsidP="007968EC">
            <w:pPr>
              <w:rPr>
                <w:rFonts w:ascii="Arial Narrow" w:hAnsi="Arial Narrow" w:cs="Arial"/>
                <w:b/>
                <w:color w:val="000000" w:themeColor="text1"/>
                <w:lang w:eastAsia="es-ES"/>
              </w:rPr>
            </w:pPr>
            <w:r w:rsidRPr="002C0D19">
              <w:rPr>
                <w:rFonts w:ascii="Arial Narrow" w:hAnsi="Arial Narrow" w:cs="Arial"/>
                <w:b/>
                <w:color w:val="000000" w:themeColor="text1"/>
                <w:lang w:eastAsia="es-ES"/>
              </w:rPr>
              <w:t>Accesorios de entrada, salida</w:t>
            </w:r>
          </w:p>
        </w:tc>
        <w:tc>
          <w:tcPr>
            <w:tcW w:w="3893" w:type="dxa"/>
          </w:tcPr>
          <w:p w14:paraId="215D669C"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Monitor, teclado, Mouse, puerto USB</w:t>
            </w:r>
          </w:p>
        </w:tc>
      </w:tr>
      <w:tr w:rsidR="007968EC" w:rsidRPr="002C0D19" w14:paraId="648CC484" w14:textId="77777777" w:rsidTr="007968EC">
        <w:trPr>
          <w:jc w:val="center"/>
        </w:trPr>
        <w:tc>
          <w:tcPr>
            <w:tcW w:w="3071" w:type="dxa"/>
          </w:tcPr>
          <w:p w14:paraId="12AEFEA5" w14:textId="77777777" w:rsidR="007968EC" w:rsidRPr="002C0D19" w:rsidRDefault="007968EC" w:rsidP="007968EC">
            <w:pPr>
              <w:rPr>
                <w:rFonts w:ascii="Arial Narrow" w:hAnsi="Arial Narrow" w:cs="Arial"/>
                <w:b/>
                <w:color w:val="000000" w:themeColor="text1"/>
                <w:lang w:eastAsia="es-ES"/>
              </w:rPr>
            </w:pPr>
            <w:r w:rsidRPr="002C0D19">
              <w:rPr>
                <w:rFonts w:ascii="Arial Narrow" w:hAnsi="Arial Narrow" w:cs="Arial"/>
                <w:b/>
                <w:color w:val="000000" w:themeColor="text1"/>
                <w:lang w:eastAsia="es-ES"/>
              </w:rPr>
              <w:t>Sistema Operativo</w:t>
            </w:r>
          </w:p>
        </w:tc>
        <w:tc>
          <w:tcPr>
            <w:tcW w:w="3893" w:type="dxa"/>
          </w:tcPr>
          <w:p w14:paraId="5E6BB1B1"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Windows </w:t>
            </w:r>
            <w:proofErr w:type="spellStart"/>
            <w:r w:rsidRPr="002C0D19">
              <w:rPr>
                <w:rFonts w:ascii="Arial Narrow" w:hAnsi="Arial Narrow" w:cs="Arial"/>
                <w:color w:val="000000" w:themeColor="text1"/>
                <w:lang w:eastAsia="es-ES"/>
              </w:rPr>
              <w:t>Seven</w:t>
            </w:r>
            <w:proofErr w:type="spellEnd"/>
            <w:r w:rsidRPr="002C0D19">
              <w:rPr>
                <w:rFonts w:ascii="Arial Narrow" w:hAnsi="Arial Narrow" w:cs="Arial"/>
                <w:color w:val="000000" w:themeColor="text1"/>
                <w:lang w:eastAsia="es-ES"/>
              </w:rPr>
              <w:t xml:space="preserve"> Professional 32-64 Bits</w:t>
            </w:r>
          </w:p>
        </w:tc>
      </w:tr>
    </w:tbl>
    <w:p w14:paraId="075BE767" w14:textId="77777777" w:rsidR="007968EC" w:rsidRPr="002C0D19" w:rsidRDefault="007968EC" w:rsidP="007968EC">
      <w:pPr>
        <w:autoSpaceDE w:val="0"/>
        <w:autoSpaceDN w:val="0"/>
        <w:adjustRightInd w:val="0"/>
        <w:rPr>
          <w:rFonts w:ascii="Arial Narrow" w:hAnsi="Arial Narrow" w:cs="Verdana"/>
          <w:b/>
          <w:color w:val="000000" w:themeColor="text1"/>
          <w:lang w:eastAsia="es-ES"/>
        </w:rPr>
      </w:pPr>
    </w:p>
    <w:p w14:paraId="6BC92006" w14:textId="77777777" w:rsidR="007968EC" w:rsidRPr="002C0D19" w:rsidRDefault="007968EC" w:rsidP="007968EC">
      <w:pPr>
        <w:rPr>
          <w:rFonts w:ascii="Arial Narrow" w:hAnsi="Arial Narrow" w:cs="Arial"/>
          <w:b/>
          <w:color w:val="000000" w:themeColor="text1"/>
          <w:lang w:eastAsia="es-CO"/>
        </w:rPr>
      </w:pPr>
    </w:p>
    <w:p w14:paraId="1DDE7C92" w14:textId="77777777" w:rsidR="007968EC" w:rsidRPr="002C0D19" w:rsidRDefault="007968EC" w:rsidP="007968EC">
      <w:pPr>
        <w:rPr>
          <w:rFonts w:ascii="Arial Narrow" w:hAnsi="Arial Narrow" w:cs="Arial"/>
          <w:b/>
          <w:color w:val="000000" w:themeColor="text1"/>
          <w:lang w:eastAsia="es-CO"/>
        </w:rPr>
      </w:pPr>
    </w:p>
    <w:p w14:paraId="7B5DA036" w14:textId="77777777" w:rsidR="007968EC" w:rsidRPr="002C0D19" w:rsidRDefault="007968EC" w:rsidP="007968EC">
      <w:pPr>
        <w:rPr>
          <w:rFonts w:ascii="Arial Narrow" w:hAnsi="Arial Narrow" w:cs="Arial"/>
          <w:b/>
          <w:color w:val="000000" w:themeColor="text1"/>
          <w:lang w:eastAsia="es-CO"/>
        </w:rPr>
      </w:pPr>
    </w:p>
    <w:p w14:paraId="51D83A24" w14:textId="77777777" w:rsidR="007968EC" w:rsidRPr="002C0D19" w:rsidRDefault="007968EC" w:rsidP="007968EC">
      <w:pPr>
        <w:rPr>
          <w:rFonts w:ascii="Arial Narrow" w:hAnsi="Arial Narrow" w:cs="Arial"/>
          <w:b/>
          <w:color w:val="000000" w:themeColor="text1"/>
          <w:lang w:eastAsia="es-CO"/>
        </w:rPr>
      </w:pPr>
      <w:r w:rsidRPr="002C0D19">
        <w:rPr>
          <w:rFonts w:ascii="Arial Narrow" w:hAnsi="Arial Narrow" w:cs="Arial"/>
          <w:b/>
          <w:color w:val="000000" w:themeColor="text1"/>
          <w:lang w:eastAsia="es-CO"/>
        </w:rPr>
        <w:t>Cordialmente,</w:t>
      </w:r>
    </w:p>
    <w:p w14:paraId="6F3B6119" w14:textId="77777777" w:rsidR="007968EC" w:rsidRPr="002C0D19" w:rsidRDefault="007968EC" w:rsidP="007968EC">
      <w:pPr>
        <w:rPr>
          <w:rFonts w:ascii="Arial Narrow" w:hAnsi="Arial Narrow" w:cs="Arial"/>
          <w:b/>
          <w:color w:val="000000" w:themeColor="text1"/>
          <w:lang w:eastAsia="es-CO"/>
        </w:rPr>
      </w:pPr>
    </w:p>
    <w:p w14:paraId="5408FD1C" w14:textId="77777777" w:rsidR="007968EC" w:rsidRPr="002C0D19" w:rsidRDefault="007968EC" w:rsidP="007968EC">
      <w:pPr>
        <w:rPr>
          <w:rFonts w:ascii="Arial Narrow" w:hAnsi="Arial Narrow" w:cs="Arial"/>
          <w:b/>
          <w:color w:val="000000" w:themeColor="text1"/>
          <w:lang w:eastAsia="es-CO"/>
        </w:rPr>
      </w:pPr>
    </w:p>
    <w:p w14:paraId="77E2ECEA" w14:textId="77777777" w:rsidR="007968EC" w:rsidRPr="002C0D19" w:rsidRDefault="007968EC" w:rsidP="007968EC">
      <w:pPr>
        <w:rPr>
          <w:rFonts w:ascii="Arial Narrow" w:hAnsi="Arial Narrow" w:cs="Arial"/>
          <w:b/>
          <w:color w:val="000000" w:themeColor="text1"/>
          <w:lang w:eastAsia="es-CO"/>
        </w:rPr>
      </w:pPr>
      <w:r w:rsidRPr="002C0D19">
        <w:rPr>
          <w:rFonts w:ascii="Arial Narrow" w:hAnsi="Arial Narrow" w:cs="Arial"/>
          <w:b/>
          <w:color w:val="000000" w:themeColor="text1"/>
          <w:lang w:eastAsia="es-CO"/>
        </w:rPr>
        <w:t>___________________________________________ </w:t>
      </w:r>
    </w:p>
    <w:p w14:paraId="57A7D3BA" w14:textId="77777777" w:rsidR="007968EC" w:rsidRPr="002C0D19" w:rsidRDefault="007968EC" w:rsidP="007968EC">
      <w:pPr>
        <w:rPr>
          <w:rFonts w:ascii="Arial Narrow" w:hAnsi="Arial Narrow" w:cs="Arial"/>
          <w:color w:val="000000" w:themeColor="text1"/>
          <w:lang w:eastAsia="es-ES"/>
        </w:rPr>
      </w:pPr>
      <w:r w:rsidRPr="002C0D19">
        <w:rPr>
          <w:rFonts w:ascii="Arial Narrow" w:hAnsi="Arial Narrow" w:cs="Arial"/>
          <w:color w:val="000000" w:themeColor="text1"/>
          <w:lang w:eastAsia="es-ES"/>
        </w:rPr>
        <w:t>Representante Legal</w:t>
      </w:r>
    </w:p>
    <w:p w14:paraId="5C727730" w14:textId="77777777" w:rsidR="007968EC" w:rsidRPr="002C0D19" w:rsidRDefault="007968EC" w:rsidP="007968EC">
      <w:pPr>
        <w:rPr>
          <w:rFonts w:ascii="Arial Narrow" w:hAnsi="Arial Narrow" w:cs="Arial"/>
          <w:b/>
          <w:color w:val="000000" w:themeColor="text1"/>
          <w:lang w:eastAsia="es-ES"/>
        </w:rPr>
      </w:pPr>
      <w:r w:rsidRPr="002C0D19">
        <w:rPr>
          <w:rFonts w:ascii="Arial Narrow" w:hAnsi="Arial Narrow" w:cs="Arial"/>
          <w:color w:val="000000" w:themeColor="text1"/>
          <w:lang w:eastAsia="es-ES"/>
        </w:rPr>
        <w:t>(Nombre y Cédula)</w:t>
      </w:r>
    </w:p>
    <w:p w14:paraId="2E534681" w14:textId="77777777" w:rsidR="007968EC" w:rsidRPr="002C0D19" w:rsidRDefault="007968EC" w:rsidP="007968EC">
      <w:pPr>
        <w:autoSpaceDE w:val="0"/>
        <w:autoSpaceDN w:val="0"/>
        <w:adjustRightInd w:val="0"/>
        <w:rPr>
          <w:rFonts w:ascii="Arial Narrow" w:hAnsi="Arial Narrow" w:cs="Verdana"/>
          <w:b/>
          <w:color w:val="000000" w:themeColor="text1"/>
          <w:lang w:eastAsia="es-ES"/>
        </w:rPr>
      </w:pPr>
    </w:p>
    <w:p w14:paraId="4BC48314" w14:textId="77777777" w:rsidR="007968EC" w:rsidRPr="002C0D19" w:rsidRDefault="007968EC" w:rsidP="007968EC">
      <w:pPr>
        <w:jc w:val="both"/>
        <w:rPr>
          <w:rFonts w:ascii="Arial Narrow" w:hAnsi="Arial Narrow" w:cs="Arial"/>
          <w:color w:val="000000" w:themeColor="text1"/>
          <w:lang w:val="es-MX" w:eastAsia="es-CO"/>
        </w:rPr>
      </w:pPr>
    </w:p>
    <w:p w14:paraId="4CE5634B" w14:textId="77777777" w:rsidR="007968EC" w:rsidRPr="005C4274" w:rsidRDefault="007968EC" w:rsidP="007968EC">
      <w:pPr>
        <w:pStyle w:val="TTULO"/>
        <w:rPr>
          <w:lang w:val="es-ES"/>
        </w:rPr>
      </w:pPr>
      <w:r w:rsidRPr="002C0D19">
        <w:rPr>
          <w:lang w:val="es-MX" w:eastAsia="es-CO"/>
        </w:rPr>
        <w:br w:type="page"/>
      </w:r>
      <w:bookmarkStart w:id="6519" w:name="_Toc31716600"/>
      <w:r w:rsidRPr="005C4274">
        <w:rPr>
          <w:lang w:val="es-ES"/>
        </w:rPr>
        <w:lastRenderedPageBreak/>
        <w:t>ANEXO 10</w:t>
      </w:r>
      <w:bookmarkEnd w:id="6519"/>
    </w:p>
    <w:p w14:paraId="171F0399" w14:textId="77777777" w:rsidR="007968EC" w:rsidRPr="005C4274" w:rsidRDefault="007968EC" w:rsidP="007968EC">
      <w:pPr>
        <w:jc w:val="center"/>
        <w:rPr>
          <w:rFonts w:ascii="Arial Narrow" w:hAnsi="Arial Narrow" w:cs="Arial"/>
          <w:b/>
          <w:color w:val="000000" w:themeColor="text1"/>
          <w:lang w:val="es-ES" w:eastAsia="es-ES"/>
        </w:rPr>
      </w:pPr>
    </w:p>
    <w:p w14:paraId="1BD9C5C6" w14:textId="77777777" w:rsidR="007968EC" w:rsidRPr="005C4274" w:rsidRDefault="007968EC" w:rsidP="007968EC">
      <w:pPr>
        <w:jc w:val="center"/>
        <w:rPr>
          <w:rFonts w:ascii="Arial Narrow" w:hAnsi="Arial Narrow" w:cs="Arial"/>
          <w:b/>
          <w:color w:val="000000" w:themeColor="text1"/>
          <w:lang w:val="es-ES" w:eastAsia="es-ES"/>
        </w:rPr>
      </w:pPr>
      <w:r w:rsidRPr="005C4274">
        <w:rPr>
          <w:rFonts w:ascii="Arial Narrow" w:hAnsi="Arial Narrow" w:cs="Arial"/>
          <w:b/>
          <w:color w:val="000000" w:themeColor="text1"/>
          <w:lang w:val="es-ES" w:eastAsia="es-ES"/>
        </w:rPr>
        <w:t>FORMATO DE SOLICITUD DE CREACIÓN Y MODIFICACIÓN DEL USUARIO ADMINISTRADOR</w:t>
      </w:r>
    </w:p>
    <w:p w14:paraId="0C84F175" w14:textId="77777777" w:rsidR="007968EC" w:rsidRPr="002C0D19" w:rsidRDefault="007968EC" w:rsidP="007968EC">
      <w:pPr>
        <w:jc w:val="center"/>
        <w:rPr>
          <w:rFonts w:ascii="Arial Narrow" w:hAnsi="Arial Narrow" w:cs="Arial"/>
          <w:noProof/>
          <w:color w:val="000000" w:themeColor="text1"/>
          <w:lang w:eastAsia="es-CO"/>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FFFFFF"/>
        <w:tblLayout w:type="fixed"/>
        <w:tblCellMar>
          <w:left w:w="70" w:type="dxa"/>
          <w:right w:w="70" w:type="dxa"/>
        </w:tblCellMar>
        <w:tblLook w:val="0000" w:firstRow="0" w:lastRow="0" w:firstColumn="0" w:lastColumn="0" w:noHBand="0" w:noVBand="0"/>
      </w:tblPr>
      <w:tblGrid>
        <w:gridCol w:w="1729"/>
        <w:gridCol w:w="5496"/>
        <w:gridCol w:w="2126"/>
      </w:tblGrid>
      <w:tr w:rsidR="007968EC" w:rsidRPr="002C0D19" w14:paraId="59428DFA" w14:textId="77777777" w:rsidTr="007968EC">
        <w:trPr>
          <w:cantSplit/>
          <w:trHeight w:val="416"/>
        </w:trPr>
        <w:tc>
          <w:tcPr>
            <w:tcW w:w="1729" w:type="dxa"/>
            <w:vMerge w:val="restart"/>
            <w:shd w:val="clear" w:color="auto" w:fill="FFFFFF"/>
          </w:tcPr>
          <w:p w14:paraId="632FD5A4" w14:textId="77777777" w:rsidR="007968EC" w:rsidRPr="002C0D19" w:rsidRDefault="007968EC" w:rsidP="007968EC">
            <w:pPr>
              <w:rPr>
                <w:rFonts w:ascii="Arial Narrow" w:eastAsia="Calibri" w:hAnsi="Arial Narrow"/>
                <w:color w:val="000000" w:themeColor="text1"/>
              </w:rPr>
            </w:pPr>
          </w:p>
          <w:p w14:paraId="3D23E100" w14:textId="77777777" w:rsidR="007968EC" w:rsidRPr="002C0D19" w:rsidRDefault="007968EC" w:rsidP="007968EC">
            <w:pPr>
              <w:rPr>
                <w:rFonts w:ascii="Arial Narrow" w:eastAsia="Calibri" w:hAnsi="Arial Narrow"/>
                <w:color w:val="000000" w:themeColor="text1"/>
              </w:rPr>
            </w:pPr>
            <w:r w:rsidRPr="002C0D19">
              <w:rPr>
                <w:rFonts w:ascii="Arial Narrow" w:eastAsia="Calibri" w:hAnsi="Arial Narrow"/>
                <w:noProof/>
                <w:color w:val="000000" w:themeColor="text1"/>
                <w:lang w:eastAsia="es-CO"/>
              </w:rPr>
              <w:drawing>
                <wp:inline distT="0" distB="0" distL="0" distR="0" wp14:anchorId="0E4CBC1D" wp14:editId="30D9625A">
                  <wp:extent cx="1007610" cy="504000"/>
                  <wp:effectExtent l="0" t="0" r="2540" b="0"/>
                  <wp:docPr id="24" name="Imagen 24" descr="logoal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alta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7610" cy="504000"/>
                          </a:xfrm>
                          <a:prstGeom prst="rect">
                            <a:avLst/>
                          </a:prstGeom>
                          <a:noFill/>
                          <a:ln>
                            <a:noFill/>
                          </a:ln>
                        </pic:spPr>
                      </pic:pic>
                    </a:graphicData>
                  </a:graphic>
                </wp:inline>
              </w:drawing>
            </w:r>
          </w:p>
        </w:tc>
        <w:tc>
          <w:tcPr>
            <w:tcW w:w="5496" w:type="dxa"/>
            <w:shd w:val="clear" w:color="auto" w:fill="FFFFFF"/>
            <w:vAlign w:val="center"/>
          </w:tcPr>
          <w:p w14:paraId="247B9079" w14:textId="77777777" w:rsidR="007968EC" w:rsidRPr="002C0D19" w:rsidRDefault="007968EC" w:rsidP="007968EC">
            <w:pPr>
              <w:tabs>
                <w:tab w:val="center" w:pos="4252"/>
                <w:tab w:val="right" w:pos="8504"/>
              </w:tabs>
              <w:jc w:val="center"/>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FORMATO</w:t>
            </w:r>
          </w:p>
        </w:tc>
        <w:tc>
          <w:tcPr>
            <w:tcW w:w="2126" w:type="dxa"/>
            <w:shd w:val="clear" w:color="auto" w:fill="FFFFFF"/>
            <w:vAlign w:val="center"/>
          </w:tcPr>
          <w:p w14:paraId="336232C5" w14:textId="77777777" w:rsidR="007968EC" w:rsidRPr="002C0D19" w:rsidRDefault="007968EC" w:rsidP="007968EC">
            <w:pPr>
              <w:tabs>
                <w:tab w:val="center" w:pos="4252"/>
                <w:tab w:val="right" w:pos="8504"/>
              </w:tabs>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Código:  FO GMI 014</w:t>
            </w:r>
          </w:p>
        </w:tc>
      </w:tr>
      <w:tr w:rsidR="007968EC" w:rsidRPr="002C0D19" w14:paraId="7A42A61C" w14:textId="77777777" w:rsidTr="007968EC">
        <w:trPr>
          <w:cantSplit/>
          <w:trHeight w:val="378"/>
        </w:trPr>
        <w:tc>
          <w:tcPr>
            <w:tcW w:w="1729" w:type="dxa"/>
            <w:vMerge/>
            <w:tcBorders>
              <w:bottom w:val="single" w:sz="4" w:space="0" w:color="auto"/>
            </w:tcBorders>
            <w:shd w:val="clear" w:color="auto" w:fill="FFFFFF"/>
          </w:tcPr>
          <w:p w14:paraId="694D8490" w14:textId="77777777" w:rsidR="007968EC" w:rsidRPr="002C0D19" w:rsidRDefault="007968EC" w:rsidP="007968EC">
            <w:pPr>
              <w:tabs>
                <w:tab w:val="center" w:pos="4252"/>
                <w:tab w:val="right" w:pos="8504"/>
              </w:tabs>
              <w:jc w:val="center"/>
              <w:rPr>
                <w:rFonts w:ascii="Arial Narrow" w:hAnsi="Arial Narrow" w:cs="Arial"/>
                <w:color w:val="000000" w:themeColor="text1"/>
                <w:sz w:val="16"/>
                <w:szCs w:val="16"/>
                <w:lang w:val="es-ES" w:eastAsia="es-ES"/>
              </w:rPr>
            </w:pPr>
          </w:p>
        </w:tc>
        <w:tc>
          <w:tcPr>
            <w:tcW w:w="5496" w:type="dxa"/>
            <w:vMerge w:val="restart"/>
            <w:tcBorders>
              <w:bottom w:val="single" w:sz="4" w:space="0" w:color="auto"/>
            </w:tcBorders>
            <w:shd w:val="clear" w:color="auto" w:fill="FFFFFF"/>
            <w:vAlign w:val="center"/>
          </w:tcPr>
          <w:p w14:paraId="5DE372DC" w14:textId="77777777" w:rsidR="007968EC" w:rsidRPr="002C0D19" w:rsidRDefault="007968EC" w:rsidP="007968EC">
            <w:pPr>
              <w:jc w:val="center"/>
              <w:rPr>
                <w:rFonts w:ascii="Arial Narrow" w:eastAsia="Calibri" w:hAnsi="Arial Narrow" w:cs="Arial"/>
                <w:b/>
                <w:color w:val="000000" w:themeColor="text1"/>
                <w:lang w:val="es-MX"/>
              </w:rPr>
            </w:pPr>
            <w:r w:rsidRPr="002C0D19">
              <w:rPr>
                <w:rFonts w:ascii="Arial Narrow" w:eastAsia="Calibri" w:hAnsi="Arial Narrow"/>
                <w:b/>
                <w:color w:val="000000" w:themeColor="text1"/>
                <w:lang w:val="es-MX"/>
              </w:rPr>
              <w:t>SOLICITUD DE CREACIÓN / MODIFICACIÓN DE USUARIO ADMINISTRADOR</w:t>
            </w:r>
          </w:p>
        </w:tc>
        <w:tc>
          <w:tcPr>
            <w:tcW w:w="2126" w:type="dxa"/>
            <w:tcBorders>
              <w:bottom w:val="single" w:sz="4" w:space="0" w:color="auto"/>
            </w:tcBorders>
            <w:shd w:val="clear" w:color="auto" w:fill="FFFFFF"/>
            <w:vAlign w:val="center"/>
          </w:tcPr>
          <w:p w14:paraId="79BA46FF" w14:textId="77777777" w:rsidR="007968EC" w:rsidRPr="002C0D19" w:rsidRDefault="007968EC" w:rsidP="007968EC">
            <w:pPr>
              <w:tabs>
                <w:tab w:val="center" w:pos="4252"/>
                <w:tab w:val="right" w:pos="8504"/>
              </w:tabs>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Versión: 1.0</w:t>
            </w:r>
          </w:p>
        </w:tc>
      </w:tr>
      <w:tr w:rsidR="007968EC" w:rsidRPr="002C0D19" w14:paraId="4E641A63" w14:textId="77777777" w:rsidTr="007968EC">
        <w:trPr>
          <w:cantSplit/>
          <w:trHeight w:val="583"/>
        </w:trPr>
        <w:tc>
          <w:tcPr>
            <w:tcW w:w="1729" w:type="dxa"/>
            <w:vMerge/>
            <w:shd w:val="clear" w:color="auto" w:fill="FFFFFF"/>
          </w:tcPr>
          <w:p w14:paraId="69EB7B94" w14:textId="77777777" w:rsidR="007968EC" w:rsidRPr="002C0D19" w:rsidRDefault="007968EC" w:rsidP="007968EC">
            <w:pPr>
              <w:tabs>
                <w:tab w:val="center" w:pos="4252"/>
                <w:tab w:val="right" w:pos="8504"/>
              </w:tabs>
              <w:jc w:val="center"/>
              <w:rPr>
                <w:rFonts w:ascii="Arial Narrow" w:hAnsi="Arial Narrow" w:cs="Arial"/>
                <w:color w:val="000000" w:themeColor="text1"/>
                <w:sz w:val="16"/>
                <w:szCs w:val="16"/>
                <w:lang w:val="es-ES" w:eastAsia="es-ES"/>
              </w:rPr>
            </w:pPr>
          </w:p>
        </w:tc>
        <w:tc>
          <w:tcPr>
            <w:tcW w:w="5496" w:type="dxa"/>
            <w:vMerge/>
            <w:shd w:val="clear" w:color="auto" w:fill="FFFFFF"/>
            <w:vAlign w:val="center"/>
          </w:tcPr>
          <w:p w14:paraId="09F0BCE7" w14:textId="77777777" w:rsidR="007968EC" w:rsidRPr="002C0D19" w:rsidRDefault="007968EC" w:rsidP="007968EC">
            <w:pPr>
              <w:tabs>
                <w:tab w:val="center" w:pos="4252"/>
                <w:tab w:val="right" w:pos="8504"/>
              </w:tabs>
              <w:jc w:val="center"/>
              <w:rPr>
                <w:rFonts w:ascii="Arial Narrow" w:hAnsi="Arial Narrow" w:cs="Arial"/>
                <w:color w:val="000000" w:themeColor="text1"/>
                <w:lang w:val="es-ES" w:eastAsia="es-ES"/>
              </w:rPr>
            </w:pPr>
          </w:p>
        </w:tc>
        <w:tc>
          <w:tcPr>
            <w:tcW w:w="2126" w:type="dxa"/>
            <w:shd w:val="clear" w:color="auto" w:fill="FFFFFF"/>
            <w:vAlign w:val="center"/>
          </w:tcPr>
          <w:p w14:paraId="738B9F1D" w14:textId="77777777" w:rsidR="007968EC" w:rsidRPr="002C0D19" w:rsidRDefault="007968EC" w:rsidP="007968EC">
            <w:pPr>
              <w:tabs>
                <w:tab w:val="center" w:pos="4252"/>
                <w:tab w:val="right" w:pos="8504"/>
              </w:tabs>
              <w:rPr>
                <w:rFonts w:ascii="Arial Narrow" w:hAnsi="Arial Narrow" w:cs="Arial"/>
                <w:color w:val="000000" w:themeColor="text1"/>
                <w:lang w:val="es-ES" w:eastAsia="es-ES"/>
              </w:rPr>
            </w:pPr>
            <w:r w:rsidRPr="002C0D19">
              <w:rPr>
                <w:rFonts w:ascii="Arial Narrow" w:hAnsi="Arial Narrow" w:cs="Arial"/>
                <w:snapToGrid w:val="0"/>
                <w:color w:val="000000" w:themeColor="text1"/>
                <w:lang w:val="es-ES" w:eastAsia="es-ES"/>
              </w:rPr>
              <w:t>Página 1 de 1</w:t>
            </w:r>
          </w:p>
        </w:tc>
      </w:tr>
    </w:tbl>
    <w:p w14:paraId="715535BB" w14:textId="77777777" w:rsidR="007968EC" w:rsidRPr="002C0D19" w:rsidRDefault="007968EC" w:rsidP="007968EC">
      <w:pPr>
        <w:jc w:val="center"/>
        <w:rPr>
          <w:rFonts w:ascii="Arial Narrow" w:hAnsi="Arial Narrow" w:cs="Arial"/>
          <w:noProof/>
          <w:color w:val="000000" w:themeColor="text1"/>
          <w:lang w:eastAsia="es-CO"/>
        </w:rPr>
      </w:pPr>
      <w:r w:rsidRPr="002C0D19">
        <w:rPr>
          <w:rFonts w:ascii="Arial Narrow" w:hAnsi="Arial Narrow" w:cs="Arial"/>
          <w:b/>
          <w:noProof/>
          <w:color w:val="000000" w:themeColor="text1"/>
          <w:lang w:eastAsia="es-CO"/>
        </w:rPr>
        <w:drawing>
          <wp:inline distT="0" distB="0" distL="0" distR="0" wp14:anchorId="1E9EEAEB" wp14:editId="51A6F324">
            <wp:extent cx="5998299" cy="2400300"/>
            <wp:effectExtent l="0" t="0" r="254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020948" cy="2409363"/>
                    </a:xfrm>
                    <a:prstGeom prst="rect">
                      <a:avLst/>
                    </a:prstGeom>
                  </pic:spPr>
                </pic:pic>
              </a:graphicData>
            </a:graphic>
          </wp:inline>
        </w:drawing>
      </w:r>
    </w:p>
    <w:p w14:paraId="6CFB4B1B" w14:textId="77777777" w:rsidR="007968EC" w:rsidRPr="002C0D19" w:rsidRDefault="007968EC" w:rsidP="007968EC">
      <w:pPr>
        <w:jc w:val="center"/>
        <w:rPr>
          <w:rFonts w:ascii="Arial Narrow" w:hAnsi="Arial Narrow" w:cs="Arial"/>
          <w:noProof/>
          <w:color w:val="000000" w:themeColor="text1"/>
          <w:lang w:eastAsia="es-CO"/>
        </w:rPr>
      </w:pPr>
      <w:r w:rsidRPr="002C0D19">
        <w:rPr>
          <w:rFonts w:ascii="Arial Narrow" w:hAnsi="Arial Narrow" w:cs="Arial"/>
          <w:b/>
          <w:noProof/>
          <w:color w:val="000000" w:themeColor="text1"/>
          <w:lang w:eastAsia="es-CO"/>
        </w:rPr>
        <w:drawing>
          <wp:inline distT="0" distB="0" distL="0" distR="0" wp14:anchorId="0CCA87A5" wp14:editId="50C27711">
            <wp:extent cx="5981846" cy="2418715"/>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043875" cy="2443796"/>
                    </a:xfrm>
                    <a:prstGeom prst="rect">
                      <a:avLst/>
                    </a:prstGeom>
                  </pic:spPr>
                </pic:pic>
              </a:graphicData>
            </a:graphic>
          </wp:inline>
        </w:drawing>
      </w:r>
    </w:p>
    <w:p w14:paraId="7F7D3487" w14:textId="77777777" w:rsidR="007968EC" w:rsidRPr="002C0D19" w:rsidRDefault="007968EC" w:rsidP="007968EC">
      <w:pPr>
        <w:jc w:val="center"/>
        <w:rPr>
          <w:rFonts w:ascii="Arial Narrow" w:hAnsi="Arial Narrow" w:cs="Arial"/>
          <w:color w:val="000000" w:themeColor="text1"/>
          <w:lang w:val="es-ES" w:eastAsia="es-ES"/>
        </w:rPr>
      </w:pPr>
      <w:r w:rsidRPr="002C0D19">
        <w:rPr>
          <w:rFonts w:ascii="Arial Narrow" w:hAnsi="Arial Narrow" w:cs="Arial"/>
          <w:b/>
          <w:noProof/>
          <w:color w:val="000000" w:themeColor="text1"/>
          <w:lang w:eastAsia="es-CO"/>
        </w:rPr>
        <w:lastRenderedPageBreak/>
        <w:drawing>
          <wp:inline distT="0" distB="0" distL="0" distR="0" wp14:anchorId="4F5EB4DF" wp14:editId="7F4DA5DA">
            <wp:extent cx="5781040" cy="2016125"/>
            <wp:effectExtent l="0" t="0" r="0"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856135" cy="2042314"/>
                    </a:xfrm>
                    <a:prstGeom prst="rect">
                      <a:avLst/>
                    </a:prstGeom>
                  </pic:spPr>
                </pic:pic>
              </a:graphicData>
            </a:graphic>
          </wp:inline>
        </w:drawing>
      </w:r>
    </w:p>
    <w:p w14:paraId="01552AA3" w14:textId="77777777" w:rsidR="007968EC" w:rsidRPr="002C0D19" w:rsidRDefault="007968EC" w:rsidP="007968EC">
      <w:pPr>
        <w:jc w:val="center"/>
        <w:rPr>
          <w:rFonts w:ascii="Arial Narrow" w:hAnsi="Arial Narrow" w:cs="Arial"/>
          <w:color w:val="000000" w:themeColor="text1"/>
          <w:lang w:val="es-ES" w:eastAsia="es-ES"/>
        </w:rPr>
      </w:pPr>
    </w:p>
    <w:p w14:paraId="3B5171FA" w14:textId="77777777" w:rsidR="007968EC" w:rsidRPr="005C4274" w:rsidRDefault="007968EC" w:rsidP="007968EC">
      <w:pPr>
        <w:pStyle w:val="TTULO"/>
        <w:rPr>
          <w:lang w:val="es-ES"/>
        </w:rPr>
      </w:pPr>
      <w:r w:rsidRPr="002C0D19">
        <w:rPr>
          <w:lang w:val="es-ES"/>
        </w:rPr>
        <w:br w:type="page"/>
      </w:r>
      <w:bookmarkStart w:id="6520" w:name="_Toc31716601"/>
      <w:r w:rsidRPr="005C4274">
        <w:rPr>
          <w:lang w:val="es-ES"/>
        </w:rPr>
        <w:lastRenderedPageBreak/>
        <w:t>ANEXO 11</w:t>
      </w:r>
      <w:bookmarkEnd w:id="6520"/>
    </w:p>
    <w:p w14:paraId="3E8E5797" w14:textId="77777777" w:rsidR="007968EC" w:rsidRPr="005C4274" w:rsidRDefault="007968EC" w:rsidP="007968EC">
      <w:pPr>
        <w:jc w:val="center"/>
        <w:rPr>
          <w:rFonts w:ascii="Arial Narrow" w:hAnsi="Arial Narrow" w:cs="Arial"/>
          <w:b/>
          <w:color w:val="000000" w:themeColor="text1"/>
          <w:lang w:val="es-ES" w:eastAsia="es-ES"/>
        </w:rPr>
      </w:pPr>
    </w:p>
    <w:p w14:paraId="75C32401" w14:textId="77777777" w:rsidR="007968EC" w:rsidRPr="005C4274" w:rsidRDefault="007968EC" w:rsidP="007968EC">
      <w:pPr>
        <w:jc w:val="center"/>
        <w:rPr>
          <w:rFonts w:ascii="Arial Narrow" w:hAnsi="Arial Narrow" w:cs="Arial"/>
          <w:b/>
          <w:color w:val="000000" w:themeColor="text1"/>
          <w:lang w:val="es-ES" w:eastAsia="es-ES"/>
        </w:rPr>
      </w:pPr>
      <w:r w:rsidRPr="005C4274">
        <w:rPr>
          <w:rFonts w:ascii="Arial Narrow" w:hAnsi="Arial Narrow" w:cs="Arial"/>
          <w:b/>
          <w:color w:val="000000" w:themeColor="text1"/>
          <w:lang w:val="es-ES" w:eastAsia="es-ES"/>
        </w:rPr>
        <w:t>PODER DE ADHESIÓN A CONTRATO DE PRESTACIÓN DE SERVICIOS DE TELECOMUNICACIONES CON UNIÓN TEMPORAL LEVEL 3-CLARO</w:t>
      </w:r>
    </w:p>
    <w:p w14:paraId="5A4926A2" w14:textId="77777777" w:rsidR="007968EC" w:rsidRPr="002C0D19" w:rsidRDefault="007968EC" w:rsidP="007968EC">
      <w:pPr>
        <w:rPr>
          <w:rFonts w:ascii="Arial Narrow" w:hAnsi="Arial Narrow" w:cs="Arial"/>
          <w:color w:val="000000" w:themeColor="text1"/>
          <w:lang w:val="es-ES" w:eastAsia="es-ES"/>
        </w:rPr>
      </w:pPr>
    </w:p>
    <w:p w14:paraId="435C00D3" w14:textId="77777777" w:rsidR="007968EC" w:rsidRPr="002C0D19" w:rsidRDefault="007968EC" w:rsidP="007968EC">
      <w:pPr>
        <w:rPr>
          <w:rFonts w:ascii="Arial Narrow" w:hAnsi="Arial Narrow" w:cs="Arial"/>
          <w:color w:val="000000" w:themeColor="text1"/>
          <w:lang w:val="es-ES"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29"/>
        <w:gridCol w:w="5496"/>
        <w:gridCol w:w="2126"/>
      </w:tblGrid>
      <w:tr w:rsidR="007968EC" w:rsidRPr="002C0D19" w14:paraId="2616FB80" w14:textId="77777777" w:rsidTr="007968EC">
        <w:trPr>
          <w:cantSplit/>
          <w:trHeight w:val="423"/>
        </w:trPr>
        <w:tc>
          <w:tcPr>
            <w:tcW w:w="1729" w:type="dxa"/>
            <w:vMerge w:val="restart"/>
            <w:vAlign w:val="center"/>
          </w:tcPr>
          <w:p w14:paraId="3B986EAD" w14:textId="77777777" w:rsidR="007968EC" w:rsidRPr="002C0D19" w:rsidRDefault="007968EC" w:rsidP="007968EC">
            <w:pPr>
              <w:tabs>
                <w:tab w:val="center" w:pos="4252"/>
                <w:tab w:val="right" w:pos="8504"/>
              </w:tabs>
              <w:jc w:val="center"/>
              <w:rPr>
                <w:rFonts w:ascii="Arial Narrow" w:hAnsi="Arial Narrow" w:cs="Arial"/>
                <w:b/>
                <w:color w:val="000000" w:themeColor="text1"/>
                <w:lang w:val="es-ES" w:eastAsia="es-ES"/>
              </w:rPr>
            </w:pPr>
            <w:r w:rsidRPr="002C0D19">
              <w:rPr>
                <w:rFonts w:ascii="Arial Narrow" w:hAnsi="Arial Narrow" w:cs="Arial"/>
                <w:b/>
                <w:noProof/>
                <w:color w:val="000000" w:themeColor="text1"/>
                <w:lang w:eastAsia="es-CO"/>
              </w:rPr>
              <w:drawing>
                <wp:inline distT="0" distB="0" distL="0" distR="0" wp14:anchorId="60E08A0A" wp14:editId="211C8690">
                  <wp:extent cx="1071000" cy="504000"/>
                  <wp:effectExtent l="0" t="0" r="0" b="0"/>
                  <wp:docPr id="29" name="Imagen 2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1000" cy="504000"/>
                          </a:xfrm>
                          <a:prstGeom prst="rect">
                            <a:avLst/>
                          </a:prstGeom>
                          <a:noFill/>
                          <a:ln>
                            <a:noFill/>
                          </a:ln>
                        </pic:spPr>
                      </pic:pic>
                    </a:graphicData>
                  </a:graphic>
                </wp:inline>
              </w:drawing>
            </w:r>
          </w:p>
        </w:tc>
        <w:tc>
          <w:tcPr>
            <w:tcW w:w="5496" w:type="dxa"/>
            <w:vAlign w:val="center"/>
          </w:tcPr>
          <w:p w14:paraId="61DABC63" w14:textId="77777777" w:rsidR="007968EC" w:rsidRPr="002C0D19" w:rsidRDefault="007968EC" w:rsidP="007968EC">
            <w:pPr>
              <w:tabs>
                <w:tab w:val="center" w:pos="4252"/>
                <w:tab w:val="right" w:pos="8504"/>
              </w:tabs>
              <w:jc w:val="center"/>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FORMATO</w:t>
            </w:r>
          </w:p>
        </w:tc>
        <w:tc>
          <w:tcPr>
            <w:tcW w:w="2126" w:type="dxa"/>
            <w:vAlign w:val="center"/>
          </w:tcPr>
          <w:p w14:paraId="1F79FE21" w14:textId="77777777" w:rsidR="007968EC" w:rsidRPr="002C0D19" w:rsidRDefault="007968EC" w:rsidP="007968EC">
            <w:pPr>
              <w:tabs>
                <w:tab w:val="center" w:pos="4252"/>
                <w:tab w:val="right" w:pos="8504"/>
              </w:tabs>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Código: FO GMI 007</w:t>
            </w:r>
          </w:p>
        </w:tc>
      </w:tr>
      <w:tr w:rsidR="007968EC" w:rsidRPr="002C0D19" w14:paraId="4E9B74D1" w14:textId="77777777" w:rsidTr="007968EC">
        <w:trPr>
          <w:cantSplit/>
          <w:trHeight w:val="373"/>
        </w:trPr>
        <w:tc>
          <w:tcPr>
            <w:tcW w:w="1729" w:type="dxa"/>
            <w:vMerge/>
            <w:shd w:val="pct5" w:color="auto" w:fill="FFFFFF"/>
            <w:vAlign w:val="center"/>
          </w:tcPr>
          <w:p w14:paraId="5ABB2A3A" w14:textId="77777777" w:rsidR="007968EC" w:rsidRPr="002C0D19" w:rsidRDefault="007968EC" w:rsidP="007968EC">
            <w:pPr>
              <w:tabs>
                <w:tab w:val="center" w:pos="4252"/>
                <w:tab w:val="right" w:pos="8504"/>
              </w:tabs>
              <w:jc w:val="center"/>
              <w:rPr>
                <w:rFonts w:ascii="Arial Narrow" w:hAnsi="Arial Narrow" w:cs="Arial"/>
                <w:color w:val="000000" w:themeColor="text1"/>
                <w:lang w:val="es-ES" w:eastAsia="es-ES"/>
              </w:rPr>
            </w:pPr>
          </w:p>
        </w:tc>
        <w:tc>
          <w:tcPr>
            <w:tcW w:w="5496" w:type="dxa"/>
            <w:vMerge w:val="restart"/>
            <w:vAlign w:val="center"/>
          </w:tcPr>
          <w:p w14:paraId="594FCCE8" w14:textId="77777777" w:rsidR="007968EC" w:rsidRPr="002C0D19" w:rsidRDefault="007968EC" w:rsidP="007968EC">
            <w:pPr>
              <w:tabs>
                <w:tab w:val="center" w:pos="4252"/>
                <w:tab w:val="right" w:pos="8504"/>
              </w:tabs>
              <w:jc w:val="center"/>
              <w:rPr>
                <w:rFonts w:ascii="Arial Narrow" w:hAnsi="Arial Narrow" w:cs="Arial"/>
                <w:b/>
                <w:color w:val="000000" w:themeColor="text1"/>
                <w:lang w:val="es-ES" w:eastAsia="es-ES"/>
              </w:rPr>
            </w:pPr>
            <w:r w:rsidRPr="002C0D19">
              <w:rPr>
                <w:rFonts w:ascii="Arial Narrow" w:eastAsia="Calibri" w:hAnsi="Arial Narrow" w:cs="Arial"/>
                <w:b/>
                <w:color w:val="000000" w:themeColor="text1"/>
              </w:rPr>
              <w:t>PODER DE ADHESIÓN A CONTRATO CON LA UNIÓN TEMPORAL</w:t>
            </w:r>
          </w:p>
        </w:tc>
        <w:tc>
          <w:tcPr>
            <w:tcW w:w="2126" w:type="dxa"/>
            <w:vAlign w:val="center"/>
          </w:tcPr>
          <w:p w14:paraId="6574D850" w14:textId="77777777" w:rsidR="007968EC" w:rsidRPr="002C0D19" w:rsidRDefault="007968EC" w:rsidP="007968EC">
            <w:pPr>
              <w:tabs>
                <w:tab w:val="center" w:pos="4252"/>
                <w:tab w:val="right" w:pos="8504"/>
              </w:tabs>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Versión: 1.0</w:t>
            </w:r>
          </w:p>
        </w:tc>
      </w:tr>
      <w:tr w:rsidR="007968EC" w:rsidRPr="002C0D19" w14:paraId="5C285B00" w14:textId="77777777" w:rsidTr="007968EC">
        <w:trPr>
          <w:cantSplit/>
          <w:trHeight w:val="181"/>
        </w:trPr>
        <w:tc>
          <w:tcPr>
            <w:tcW w:w="1729" w:type="dxa"/>
            <w:vMerge/>
            <w:shd w:val="pct5" w:color="auto" w:fill="FFFFFF"/>
            <w:vAlign w:val="center"/>
          </w:tcPr>
          <w:p w14:paraId="3CDD4427" w14:textId="77777777" w:rsidR="007968EC" w:rsidRPr="002C0D19" w:rsidRDefault="007968EC" w:rsidP="007968EC">
            <w:pPr>
              <w:tabs>
                <w:tab w:val="center" w:pos="4252"/>
                <w:tab w:val="right" w:pos="8504"/>
              </w:tabs>
              <w:jc w:val="center"/>
              <w:rPr>
                <w:rFonts w:ascii="Arial Narrow" w:hAnsi="Arial Narrow" w:cs="Arial"/>
                <w:color w:val="000000" w:themeColor="text1"/>
                <w:lang w:val="es-ES" w:eastAsia="es-ES"/>
              </w:rPr>
            </w:pPr>
          </w:p>
        </w:tc>
        <w:tc>
          <w:tcPr>
            <w:tcW w:w="5496" w:type="dxa"/>
            <w:vMerge/>
            <w:shd w:val="pct5" w:color="auto" w:fill="FFFFFF"/>
            <w:vAlign w:val="center"/>
          </w:tcPr>
          <w:p w14:paraId="0F8C57EC" w14:textId="77777777" w:rsidR="007968EC" w:rsidRPr="002C0D19" w:rsidRDefault="007968EC" w:rsidP="007968EC">
            <w:pPr>
              <w:tabs>
                <w:tab w:val="center" w:pos="4252"/>
                <w:tab w:val="right" w:pos="8504"/>
              </w:tabs>
              <w:jc w:val="center"/>
              <w:rPr>
                <w:rFonts w:ascii="Arial Narrow" w:hAnsi="Arial Narrow" w:cs="Arial"/>
                <w:b/>
                <w:color w:val="000000" w:themeColor="text1"/>
                <w:lang w:val="es-ES" w:eastAsia="es-ES"/>
              </w:rPr>
            </w:pPr>
          </w:p>
        </w:tc>
        <w:tc>
          <w:tcPr>
            <w:tcW w:w="2126" w:type="dxa"/>
            <w:vAlign w:val="center"/>
          </w:tcPr>
          <w:p w14:paraId="1615C4B7" w14:textId="77777777" w:rsidR="007968EC" w:rsidRPr="002C0D19" w:rsidRDefault="007968EC" w:rsidP="007968EC">
            <w:pPr>
              <w:tabs>
                <w:tab w:val="center" w:pos="4252"/>
                <w:tab w:val="right" w:pos="8504"/>
              </w:tabs>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Página 1 de 1</w:t>
            </w:r>
          </w:p>
        </w:tc>
      </w:tr>
    </w:tbl>
    <w:p w14:paraId="1337E386" w14:textId="77777777" w:rsidR="007968EC" w:rsidRPr="002C0D19" w:rsidRDefault="007968EC" w:rsidP="007968EC">
      <w:pPr>
        <w:rPr>
          <w:rFonts w:ascii="Arial Narrow" w:hAnsi="Arial Narrow" w:cs="Arial"/>
          <w:color w:val="000000" w:themeColor="text1"/>
          <w:lang w:val="es-ES" w:eastAsia="es-ES"/>
        </w:rPr>
      </w:pPr>
    </w:p>
    <w:p w14:paraId="62203AF5" w14:textId="77777777" w:rsidR="007968EC" w:rsidRPr="002C0D19" w:rsidRDefault="007968EC" w:rsidP="007968EC">
      <w:pPr>
        <w:rPr>
          <w:rFonts w:ascii="Arial Narrow" w:hAnsi="Arial Narrow" w:cs="Arial"/>
          <w:color w:val="000000" w:themeColor="text1"/>
          <w:lang w:val="es-ES" w:eastAsia="es-ES"/>
        </w:rPr>
      </w:pPr>
    </w:p>
    <w:p w14:paraId="0982BA73"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___________________________, mayor de edad y vecino (a) de ___________, identificado (a) con la cédula de ciudadanía número ________ expedida en _____, obrando en mi calidad de representante legal de la sociedad ___________________, tal como consta en el Certificado de Existencia y Representación Legal expedido por ____________________ que se adjunta, sociedad aspirante a</w:t>
      </w:r>
      <w:r w:rsidRPr="002C0D19">
        <w:rPr>
          <w:rFonts w:ascii="Arial Narrow" w:hAnsi="Arial Narrow" w:cs="Arial"/>
          <w:b/>
          <w:color w:val="000000" w:themeColor="text1"/>
          <w:lang w:val="es-ES" w:eastAsia="es-ES"/>
        </w:rPr>
        <w:t xml:space="preserve"> Miembro</w:t>
      </w:r>
      <w:r w:rsidRPr="002C0D19">
        <w:rPr>
          <w:rFonts w:ascii="Arial Narrow" w:hAnsi="Arial Narrow" w:cs="Arial"/>
          <w:color w:val="000000" w:themeColor="text1"/>
          <w:lang w:val="es-ES" w:eastAsia="es-ES"/>
        </w:rPr>
        <w:t xml:space="preserve"> del Sistema de Compensación y Liquidación administrado por la </w:t>
      </w:r>
      <w:r w:rsidRPr="002C0D19">
        <w:rPr>
          <w:rFonts w:ascii="Arial Narrow" w:hAnsi="Arial Narrow" w:cs="Arial"/>
          <w:b/>
          <w:color w:val="000000" w:themeColor="text1"/>
          <w:lang w:val="es-ES" w:eastAsia="es-ES"/>
        </w:rPr>
        <w:t>CÁMARA DE RIESGO CENTRAL DE CONTRAPARTE DE COLOMBIA S.A. – CRCC S.A.</w:t>
      </w:r>
      <w:r w:rsidRPr="002C0D19">
        <w:rPr>
          <w:rFonts w:ascii="Arial Narrow" w:hAnsi="Arial Narrow" w:cs="Arial"/>
          <w:color w:val="000000" w:themeColor="text1"/>
          <w:lang w:val="es-ES" w:eastAsia="es-ES"/>
        </w:rPr>
        <w:t xml:space="preserve">, por medio de la presente, confiero poder especial, amplio y suficiente a la </w:t>
      </w:r>
      <w:r w:rsidRPr="002C0D19">
        <w:rPr>
          <w:rFonts w:ascii="Arial Narrow" w:hAnsi="Arial Narrow" w:cs="Arial"/>
          <w:b/>
          <w:color w:val="000000" w:themeColor="text1"/>
          <w:lang w:val="es-ES" w:eastAsia="es-ES"/>
        </w:rPr>
        <w:t>CÁMARA DE RIESGO CENTRAL DE CONTRAPARTE DE COLOMBIA S.A. – CRCC S.A.</w:t>
      </w:r>
      <w:r w:rsidRPr="002C0D19">
        <w:rPr>
          <w:rFonts w:ascii="Arial Narrow" w:hAnsi="Arial Narrow" w:cs="Arial"/>
          <w:color w:val="000000" w:themeColor="text1"/>
          <w:lang w:val="es-ES" w:eastAsia="es-ES"/>
        </w:rPr>
        <w:t xml:space="preserve">, para que en nombre y representación de mi representada, suscriba con la Unión Temporal CLARO – </w:t>
      </w:r>
      <w:proofErr w:type="spellStart"/>
      <w:r w:rsidRPr="002C0D19">
        <w:rPr>
          <w:rFonts w:ascii="Arial Narrow" w:hAnsi="Arial Narrow" w:cs="Arial"/>
          <w:color w:val="000000" w:themeColor="text1"/>
          <w:lang w:val="es-ES" w:eastAsia="es-ES"/>
        </w:rPr>
        <w:t>Level</w:t>
      </w:r>
      <w:proofErr w:type="spellEnd"/>
      <w:r w:rsidRPr="002C0D19">
        <w:rPr>
          <w:rFonts w:ascii="Arial Narrow" w:hAnsi="Arial Narrow" w:cs="Arial"/>
          <w:color w:val="000000" w:themeColor="text1"/>
          <w:lang w:val="es-ES" w:eastAsia="es-ES"/>
        </w:rPr>
        <w:t xml:space="preserve"> 3 el Contrato de Prestación de servicio de Telecomunicaciones, y para que decida sobre las prórrogas, los reajustes de las tarifas, las modificaciones y la terminación del mismo, y en consecuencia suscriba los documentos a que haya lugar informando de los mismos dentro de los diez (10) días siguientes a su suscripción, facultades estas que la </w:t>
      </w:r>
      <w:r w:rsidRPr="002C0D19">
        <w:rPr>
          <w:rFonts w:ascii="Arial Narrow" w:hAnsi="Arial Narrow" w:cs="Arial"/>
          <w:b/>
          <w:color w:val="000000" w:themeColor="text1"/>
          <w:lang w:val="es-ES" w:eastAsia="es-ES"/>
        </w:rPr>
        <w:t>CÁMARA DE RIESGO CENTRAL DE CONTRAPARTE DE COLOMBIA S.A. – CRCC S.A.</w:t>
      </w:r>
      <w:r w:rsidRPr="002C0D19">
        <w:rPr>
          <w:rFonts w:ascii="Arial Narrow" w:hAnsi="Arial Narrow" w:cs="Arial"/>
          <w:color w:val="000000" w:themeColor="text1"/>
          <w:lang w:val="es-ES" w:eastAsia="es-ES"/>
        </w:rPr>
        <w:t xml:space="preserve"> solo podrá ejercer, siempre que con ello se mejoren las condiciones de la representada en relación con los servicios prestados por la mencionada Unión Temporal, y para que se cumpla en todo momento con las condiciones técnicas mínimas establecidas por la </w:t>
      </w:r>
      <w:r w:rsidRPr="002C0D19">
        <w:rPr>
          <w:rFonts w:ascii="Arial Narrow" w:hAnsi="Arial Narrow" w:cs="Arial"/>
          <w:b/>
          <w:color w:val="000000" w:themeColor="text1"/>
          <w:lang w:val="es-ES" w:eastAsia="es-ES"/>
        </w:rPr>
        <w:t>CÁMARA DE RIESGO CENTRAL DE CONTRAPARTE DE COLOMBIA S.A. – CRCC S.A.</w:t>
      </w:r>
      <w:r w:rsidRPr="002C0D19">
        <w:rPr>
          <w:rFonts w:ascii="Arial Narrow" w:hAnsi="Arial Narrow" w:cs="Arial"/>
          <w:color w:val="000000" w:themeColor="text1"/>
          <w:lang w:val="es-ES" w:eastAsia="es-ES"/>
        </w:rPr>
        <w:t>, como administradores del Sistema de Compensación y Liquidación.</w:t>
      </w:r>
    </w:p>
    <w:p w14:paraId="77378166" w14:textId="77777777" w:rsidR="007968EC" w:rsidRPr="002C0D19" w:rsidRDefault="007968EC" w:rsidP="007968EC">
      <w:pPr>
        <w:rPr>
          <w:rFonts w:ascii="Arial Narrow" w:hAnsi="Arial Narrow" w:cs="Arial"/>
          <w:color w:val="000000" w:themeColor="text1"/>
          <w:lang w:val="es-ES" w:eastAsia="es-ES"/>
        </w:rPr>
      </w:pPr>
    </w:p>
    <w:p w14:paraId="276C2C07" w14:textId="77777777" w:rsidR="007968EC" w:rsidRPr="002C0D19" w:rsidRDefault="007968EC" w:rsidP="007968EC">
      <w:pPr>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Atentamente,</w:t>
      </w:r>
    </w:p>
    <w:p w14:paraId="7BE1D9B0" w14:textId="77777777" w:rsidR="007968EC" w:rsidRPr="002C0D19" w:rsidRDefault="007968EC" w:rsidP="007968EC">
      <w:pPr>
        <w:rPr>
          <w:rFonts w:ascii="Arial Narrow" w:hAnsi="Arial Narrow" w:cs="Arial"/>
          <w:color w:val="000000" w:themeColor="text1"/>
          <w:lang w:val="es-ES" w:eastAsia="es-ES"/>
        </w:rPr>
      </w:pPr>
    </w:p>
    <w:p w14:paraId="22692A47" w14:textId="77777777" w:rsidR="007968EC" w:rsidRPr="002C0D19" w:rsidRDefault="007968EC" w:rsidP="007968EC">
      <w:pPr>
        <w:rPr>
          <w:rFonts w:ascii="Arial Narrow" w:hAnsi="Arial Narrow" w:cs="Arial"/>
          <w:color w:val="000000" w:themeColor="text1"/>
          <w:lang w:val="es-ES" w:eastAsia="es-ES"/>
        </w:rPr>
      </w:pPr>
    </w:p>
    <w:p w14:paraId="3787AAA7" w14:textId="77777777" w:rsidR="007968EC" w:rsidRPr="002C0D19" w:rsidRDefault="007968EC" w:rsidP="007968EC">
      <w:pPr>
        <w:tabs>
          <w:tab w:val="left" w:pos="6465"/>
        </w:tabs>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_________________________________</w:t>
      </w:r>
    </w:p>
    <w:p w14:paraId="6AAA9FBB" w14:textId="77777777" w:rsidR="007968EC" w:rsidRPr="002C0D19" w:rsidRDefault="007968EC" w:rsidP="007968EC">
      <w:pPr>
        <w:rPr>
          <w:rFonts w:ascii="Arial Narrow" w:hAnsi="Arial Narrow" w:cs="Arial"/>
          <w:color w:val="000000" w:themeColor="text1"/>
          <w:lang w:val="es-ES" w:eastAsia="es-ES"/>
        </w:rPr>
      </w:pPr>
    </w:p>
    <w:p w14:paraId="2EBECBAF" w14:textId="77777777" w:rsidR="007968EC" w:rsidRPr="002C0D19" w:rsidRDefault="007968EC" w:rsidP="007968EC">
      <w:pPr>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Por:_____________________________</w:t>
      </w:r>
    </w:p>
    <w:p w14:paraId="6898D0FD" w14:textId="77777777" w:rsidR="007968EC" w:rsidRPr="002C0D19" w:rsidRDefault="007968EC" w:rsidP="007968EC">
      <w:pPr>
        <w:rPr>
          <w:rFonts w:ascii="Arial Narrow" w:hAnsi="Arial Narrow" w:cs="Arial"/>
          <w:color w:val="000000" w:themeColor="text1"/>
          <w:lang w:val="es-ES" w:eastAsia="es-ES"/>
        </w:rPr>
      </w:pPr>
    </w:p>
    <w:p w14:paraId="499660A3" w14:textId="77777777" w:rsidR="007968EC" w:rsidRPr="002C0D19" w:rsidRDefault="007968EC" w:rsidP="007968EC">
      <w:pPr>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Cédula de Ciudadanía: ______________</w:t>
      </w:r>
    </w:p>
    <w:p w14:paraId="2906282E" w14:textId="77777777" w:rsidR="007968EC" w:rsidRPr="002C0D19" w:rsidRDefault="007968EC" w:rsidP="007968EC">
      <w:pPr>
        <w:rPr>
          <w:rFonts w:ascii="Arial Narrow" w:hAnsi="Arial Narrow" w:cs="Arial"/>
          <w:color w:val="000000" w:themeColor="text1"/>
          <w:lang w:val="es-ES" w:eastAsia="es-ES"/>
        </w:rPr>
      </w:pPr>
    </w:p>
    <w:p w14:paraId="6C4033D1" w14:textId="77777777" w:rsidR="007968EC" w:rsidRPr="002C0D19" w:rsidRDefault="007968EC" w:rsidP="007968EC">
      <w:pPr>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Representante Legal</w:t>
      </w:r>
    </w:p>
    <w:p w14:paraId="7610C139" w14:textId="77777777" w:rsidR="007968EC" w:rsidRPr="002C0D19" w:rsidRDefault="007968EC" w:rsidP="007968EC">
      <w:pPr>
        <w:rPr>
          <w:rFonts w:ascii="Arial Narrow" w:hAnsi="Arial Narrow" w:cs="Arial"/>
          <w:color w:val="000000" w:themeColor="text1"/>
          <w:lang w:val="es-ES" w:eastAsia="es-ES"/>
        </w:rPr>
      </w:pPr>
    </w:p>
    <w:p w14:paraId="7BD1A1E9" w14:textId="77777777" w:rsidR="007968EC" w:rsidRPr="002C0D19" w:rsidRDefault="007968EC" w:rsidP="007968EC">
      <w:pPr>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Dirección: ________________________</w:t>
      </w:r>
    </w:p>
    <w:p w14:paraId="343D71BD" w14:textId="77777777" w:rsidR="007968EC" w:rsidRPr="002C0D19" w:rsidRDefault="007968EC" w:rsidP="007968EC">
      <w:pPr>
        <w:rPr>
          <w:rFonts w:ascii="Arial Narrow" w:hAnsi="Arial Narrow" w:cs="Arial"/>
          <w:color w:val="000000" w:themeColor="text1"/>
          <w:lang w:val="es-ES" w:eastAsia="es-ES"/>
        </w:rPr>
      </w:pPr>
    </w:p>
    <w:p w14:paraId="34413082" w14:textId="77777777" w:rsidR="007968EC" w:rsidRPr="002C0D19" w:rsidRDefault="007968EC" w:rsidP="007968EC">
      <w:pPr>
        <w:rPr>
          <w:rFonts w:ascii="Arial Narrow" w:hAnsi="Arial Narrow" w:cs="Arial"/>
          <w:color w:val="000000" w:themeColor="text1"/>
          <w:lang w:val="es-ES" w:eastAsia="es-ES"/>
        </w:rPr>
      </w:pPr>
    </w:p>
    <w:p w14:paraId="43EEC4B1" w14:textId="77777777" w:rsidR="007968EC" w:rsidRPr="002C0D19" w:rsidRDefault="007968EC" w:rsidP="007968EC">
      <w:pPr>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lastRenderedPageBreak/>
        <w:t>Acepto:</w:t>
      </w:r>
    </w:p>
    <w:p w14:paraId="39FC8F7F" w14:textId="77777777" w:rsidR="007968EC" w:rsidRPr="002C0D19" w:rsidRDefault="007968EC" w:rsidP="007968EC">
      <w:pPr>
        <w:rPr>
          <w:rFonts w:ascii="Arial Narrow" w:hAnsi="Arial Narrow" w:cs="Arial"/>
          <w:color w:val="000000" w:themeColor="text1"/>
          <w:lang w:val="es-ES" w:eastAsia="es-ES"/>
        </w:rPr>
      </w:pPr>
    </w:p>
    <w:p w14:paraId="2919C2C5" w14:textId="77777777" w:rsidR="007968EC" w:rsidRPr="002C0D19" w:rsidRDefault="007968EC" w:rsidP="007968EC">
      <w:pPr>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CÁMARA DE RIESGO CENTRAL DE CONTRAPARTE DE COLOMBIA S.A.</w:t>
      </w:r>
    </w:p>
    <w:p w14:paraId="5C51CBEB" w14:textId="77777777" w:rsidR="007968EC" w:rsidRPr="002C0D19" w:rsidRDefault="007968EC" w:rsidP="007968EC">
      <w:pPr>
        <w:rPr>
          <w:rFonts w:ascii="Arial Narrow" w:hAnsi="Arial Narrow" w:cs="Arial"/>
          <w:color w:val="000000" w:themeColor="text1"/>
          <w:lang w:val="es-ES" w:eastAsia="es-ES"/>
        </w:rPr>
      </w:pPr>
    </w:p>
    <w:p w14:paraId="4908D3BB" w14:textId="77777777" w:rsidR="007968EC" w:rsidRPr="002C0D19" w:rsidRDefault="007968EC" w:rsidP="007968EC">
      <w:pPr>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Por: ______________________________</w:t>
      </w:r>
    </w:p>
    <w:p w14:paraId="72AF9335" w14:textId="77777777" w:rsidR="007968EC" w:rsidRPr="002C0D19" w:rsidRDefault="007968EC" w:rsidP="007968EC">
      <w:pPr>
        <w:rPr>
          <w:rFonts w:ascii="Arial Narrow" w:hAnsi="Arial Narrow" w:cs="Arial"/>
          <w:color w:val="000000" w:themeColor="text1"/>
          <w:lang w:val="es-ES" w:eastAsia="es-ES"/>
        </w:rPr>
      </w:pPr>
    </w:p>
    <w:p w14:paraId="54AF5622" w14:textId="77777777" w:rsidR="007968EC" w:rsidRPr="002C0D19" w:rsidRDefault="007968EC" w:rsidP="007968EC">
      <w:pPr>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Cédula de Ciudadanía: _______________</w:t>
      </w:r>
    </w:p>
    <w:p w14:paraId="6588362F" w14:textId="77777777" w:rsidR="007968EC" w:rsidRPr="002C0D19" w:rsidRDefault="007968EC" w:rsidP="007968EC">
      <w:pPr>
        <w:rPr>
          <w:rFonts w:ascii="Arial Narrow" w:hAnsi="Arial Narrow" w:cs="Arial"/>
          <w:color w:val="000000" w:themeColor="text1"/>
          <w:lang w:val="es-ES" w:eastAsia="es-ES"/>
        </w:rPr>
      </w:pPr>
    </w:p>
    <w:p w14:paraId="35938F21" w14:textId="77777777" w:rsidR="007968EC" w:rsidRPr="002C0D19" w:rsidRDefault="007968EC" w:rsidP="007968EC">
      <w:pPr>
        <w:rPr>
          <w:rFonts w:ascii="Arial Narrow" w:hAnsi="Arial Narrow"/>
          <w:color w:val="000000" w:themeColor="text1"/>
          <w:lang w:val="es-ES" w:eastAsia="es-ES"/>
        </w:rPr>
      </w:pPr>
      <w:r w:rsidRPr="002C0D19">
        <w:rPr>
          <w:rFonts w:ascii="Arial Narrow" w:hAnsi="Arial Narrow" w:cs="Arial"/>
          <w:color w:val="000000" w:themeColor="text1"/>
          <w:lang w:val="es-ES" w:eastAsia="es-ES"/>
        </w:rPr>
        <w:t>Representante Legal</w:t>
      </w:r>
    </w:p>
    <w:p w14:paraId="78E6A799" w14:textId="77777777" w:rsidR="007968EC" w:rsidRPr="005C4274" w:rsidRDefault="007968EC" w:rsidP="007968EC">
      <w:pPr>
        <w:pStyle w:val="TTULO"/>
        <w:rPr>
          <w:lang w:val="es-ES"/>
        </w:rPr>
      </w:pPr>
      <w:r w:rsidRPr="002C0D19">
        <w:rPr>
          <w:lang w:val="es-ES"/>
        </w:rPr>
        <w:br w:type="page"/>
      </w:r>
      <w:bookmarkStart w:id="6521" w:name="_Toc31716602"/>
      <w:r w:rsidRPr="005C4274">
        <w:rPr>
          <w:lang w:val="es-ES"/>
        </w:rPr>
        <w:lastRenderedPageBreak/>
        <w:t>ANEXO 12</w:t>
      </w:r>
      <w:bookmarkEnd w:id="6521"/>
    </w:p>
    <w:p w14:paraId="43B884C7" w14:textId="77777777" w:rsidR="007968EC" w:rsidRPr="005C4274" w:rsidRDefault="007968EC" w:rsidP="007968EC">
      <w:pPr>
        <w:jc w:val="center"/>
        <w:rPr>
          <w:rFonts w:ascii="Arial Narrow" w:hAnsi="Arial Narrow" w:cs="Arial"/>
          <w:b/>
          <w:color w:val="000000" w:themeColor="text1"/>
          <w:lang w:val="es-ES" w:eastAsia="es-ES"/>
        </w:rPr>
      </w:pPr>
    </w:p>
    <w:p w14:paraId="18CAAB39" w14:textId="77777777" w:rsidR="007968EC" w:rsidRPr="005C4274" w:rsidRDefault="007968EC" w:rsidP="007968EC">
      <w:pPr>
        <w:jc w:val="center"/>
        <w:rPr>
          <w:rFonts w:ascii="Arial Narrow" w:hAnsi="Arial Narrow" w:cs="Arial"/>
          <w:b/>
          <w:color w:val="000000" w:themeColor="text1"/>
          <w:lang w:val="es-ES" w:eastAsia="es-ES"/>
        </w:rPr>
      </w:pPr>
      <w:r w:rsidRPr="005C4274">
        <w:rPr>
          <w:rFonts w:ascii="Arial Narrow" w:hAnsi="Arial Narrow" w:cs="Arial"/>
          <w:b/>
          <w:color w:val="000000" w:themeColor="text1"/>
          <w:lang w:val="es-ES" w:eastAsia="es-ES"/>
        </w:rPr>
        <w:t>LISTADO DE ACCIONISTAS</w:t>
      </w:r>
    </w:p>
    <w:p w14:paraId="321776E2" w14:textId="77777777" w:rsidR="007968EC" w:rsidRPr="002C0D19" w:rsidRDefault="007968EC" w:rsidP="007968EC">
      <w:pPr>
        <w:jc w:val="center"/>
        <w:rPr>
          <w:rFonts w:ascii="Arial Narrow" w:hAnsi="Arial Narrow" w:cs="Arial"/>
          <w:b/>
          <w:color w:val="000000" w:themeColor="text1"/>
          <w:lang w:val="es-ES" w:eastAsia="es-ES"/>
        </w:rPr>
      </w:pPr>
    </w:p>
    <w:p w14:paraId="49389963" w14:textId="77777777" w:rsidR="007968EC" w:rsidRPr="002C0D19" w:rsidRDefault="007968EC" w:rsidP="007968EC">
      <w:pPr>
        <w:jc w:val="both"/>
        <w:rPr>
          <w:rFonts w:ascii="Arial Narrow" w:hAnsi="Arial Narrow" w:cs="Arial"/>
          <w:color w:val="000000" w:themeColor="text1"/>
          <w:lang w:val="es-ES"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2"/>
        <w:gridCol w:w="5103"/>
        <w:gridCol w:w="2126"/>
      </w:tblGrid>
      <w:tr w:rsidR="007968EC" w:rsidRPr="002C0D19" w14:paraId="2B616294" w14:textId="77777777" w:rsidTr="007968EC">
        <w:trPr>
          <w:cantSplit/>
          <w:trHeight w:val="423"/>
        </w:trPr>
        <w:tc>
          <w:tcPr>
            <w:tcW w:w="2122" w:type="dxa"/>
            <w:vMerge w:val="restart"/>
            <w:vAlign w:val="center"/>
          </w:tcPr>
          <w:p w14:paraId="1B614A47" w14:textId="77777777" w:rsidR="007968EC" w:rsidRPr="002C0D19" w:rsidRDefault="007968EC" w:rsidP="007968EC">
            <w:pPr>
              <w:tabs>
                <w:tab w:val="center" w:pos="4252"/>
                <w:tab w:val="right" w:pos="8504"/>
              </w:tabs>
              <w:jc w:val="center"/>
              <w:rPr>
                <w:rFonts w:ascii="Arial Narrow" w:hAnsi="Arial Narrow" w:cs="Arial"/>
                <w:b/>
                <w:color w:val="000000" w:themeColor="text1"/>
                <w:lang w:val="es-ES" w:eastAsia="es-ES"/>
              </w:rPr>
            </w:pPr>
            <w:r w:rsidRPr="002C0D19">
              <w:rPr>
                <w:rFonts w:ascii="Arial Narrow" w:hAnsi="Arial Narrow" w:cs="Arial"/>
                <w:b/>
                <w:noProof/>
                <w:color w:val="000000" w:themeColor="text1"/>
                <w:lang w:eastAsia="es-CO"/>
              </w:rPr>
              <w:drawing>
                <wp:inline distT="0" distB="0" distL="0" distR="0" wp14:anchorId="5E630F7D" wp14:editId="19560BB3">
                  <wp:extent cx="1071000" cy="504000"/>
                  <wp:effectExtent l="0" t="0" r="0" b="0"/>
                  <wp:docPr id="27" name="Imagen 2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1000" cy="504000"/>
                          </a:xfrm>
                          <a:prstGeom prst="rect">
                            <a:avLst/>
                          </a:prstGeom>
                          <a:noFill/>
                          <a:ln>
                            <a:noFill/>
                          </a:ln>
                        </pic:spPr>
                      </pic:pic>
                    </a:graphicData>
                  </a:graphic>
                </wp:inline>
              </w:drawing>
            </w:r>
          </w:p>
        </w:tc>
        <w:tc>
          <w:tcPr>
            <w:tcW w:w="5103" w:type="dxa"/>
            <w:vAlign w:val="center"/>
          </w:tcPr>
          <w:p w14:paraId="7E6B3B10" w14:textId="77777777" w:rsidR="007968EC" w:rsidRPr="002C0D19" w:rsidRDefault="007968EC" w:rsidP="007968EC">
            <w:pPr>
              <w:tabs>
                <w:tab w:val="center" w:pos="4252"/>
                <w:tab w:val="right" w:pos="8504"/>
              </w:tabs>
              <w:jc w:val="center"/>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FORMATO</w:t>
            </w:r>
          </w:p>
        </w:tc>
        <w:tc>
          <w:tcPr>
            <w:tcW w:w="2126" w:type="dxa"/>
            <w:vAlign w:val="center"/>
          </w:tcPr>
          <w:p w14:paraId="72C5DAA2" w14:textId="77777777" w:rsidR="007968EC" w:rsidRPr="002C0D19" w:rsidRDefault="007968EC" w:rsidP="007968EC">
            <w:pPr>
              <w:tabs>
                <w:tab w:val="center" w:pos="4252"/>
                <w:tab w:val="right" w:pos="8504"/>
              </w:tabs>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Código:   FO GMI 006</w:t>
            </w:r>
          </w:p>
        </w:tc>
      </w:tr>
      <w:tr w:rsidR="007968EC" w:rsidRPr="002C0D19" w14:paraId="7A2CB2A1" w14:textId="77777777" w:rsidTr="007968EC">
        <w:trPr>
          <w:cantSplit/>
          <w:trHeight w:val="373"/>
        </w:trPr>
        <w:tc>
          <w:tcPr>
            <w:tcW w:w="2122" w:type="dxa"/>
            <w:vMerge/>
            <w:shd w:val="pct5" w:color="auto" w:fill="FFFFFF"/>
            <w:vAlign w:val="center"/>
          </w:tcPr>
          <w:p w14:paraId="520F86A1" w14:textId="77777777" w:rsidR="007968EC" w:rsidRPr="002C0D19" w:rsidRDefault="007968EC" w:rsidP="007968EC">
            <w:pPr>
              <w:tabs>
                <w:tab w:val="center" w:pos="4252"/>
                <w:tab w:val="right" w:pos="8504"/>
              </w:tabs>
              <w:jc w:val="center"/>
              <w:rPr>
                <w:rFonts w:ascii="Arial Narrow" w:hAnsi="Arial Narrow" w:cs="Arial"/>
                <w:color w:val="000000" w:themeColor="text1"/>
                <w:lang w:val="es-ES" w:eastAsia="es-ES"/>
              </w:rPr>
            </w:pPr>
          </w:p>
        </w:tc>
        <w:tc>
          <w:tcPr>
            <w:tcW w:w="5103" w:type="dxa"/>
            <w:vMerge w:val="restart"/>
            <w:vAlign w:val="center"/>
          </w:tcPr>
          <w:p w14:paraId="38ACB78A" w14:textId="77777777" w:rsidR="007968EC" w:rsidRPr="002C0D19" w:rsidRDefault="007968EC" w:rsidP="007968EC">
            <w:pPr>
              <w:tabs>
                <w:tab w:val="center" w:pos="4252"/>
                <w:tab w:val="right" w:pos="8504"/>
              </w:tabs>
              <w:jc w:val="center"/>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LISTADO DE ACCIONISTAS</w:t>
            </w:r>
          </w:p>
        </w:tc>
        <w:tc>
          <w:tcPr>
            <w:tcW w:w="2126" w:type="dxa"/>
            <w:vAlign w:val="center"/>
          </w:tcPr>
          <w:p w14:paraId="5509F5EF" w14:textId="77777777" w:rsidR="007968EC" w:rsidRPr="002C0D19" w:rsidRDefault="007968EC" w:rsidP="007968EC">
            <w:pPr>
              <w:tabs>
                <w:tab w:val="center" w:pos="4252"/>
                <w:tab w:val="right" w:pos="8504"/>
              </w:tabs>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Versión: 1.1</w:t>
            </w:r>
          </w:p>
        </w:tc>
      </w:tr>
      <w:tr w:rsidR="007968EC" w:rsidRPr="002C0D19" w14:paraId="68D281B1" w14:textId="77777777" w:rsidTr="007968EC">
        <w:trPr>
          <w:cantSplit/>
          <w:trHeight w:val="181"/>
        </w:trPr>
        <w:tc>
          <w:tcPr>
            <w:tcW w:w="2122" w:type="dxa"/>
            <w:vMerge/>
            <w:shd w:val="pct5" w:color="auto" w:fill="FFFFFF"/>
            <w:vAlign w:val="center"/>
          </w:tcPr>
          <w:p w14:paraId="1FCDBE68" w14:textId="77777777" w:rsidR="007968EC" w:rsidRPr="002C0D19" w:rsidRDefault="007968EC" w:rsidP="007968EC">
            <w:pPr>
              <w:tabs>
                <w:tab w:val="center" w:pos="4252"/>
                <w:tab w:val="right" w:pos="8504"/>
              </w:tabs>
              <w:jc w:val="center"/>
              <w:rPr>
                <w:rFonts w:ascii="Arial Narrow" w:hAnsi="Arial Narrow" w:cs="Arial"/>
                <w:color w:val="000000" w:themeColor="text1"/>
                <w:lang w:val="es-ES" w:eastAsia="es-ES"/>
              </w:rPr>
            </w:pPr>
          </w:p>
        </w:tc>
        <w:tc>
          <w:tcPr>
            <w:tcW w:w="5103" w:type="dxa"/>
            <w:vMerge/>
            <w:shd w:val="pct5" w:color="auto" w:fill="FFFFFF"/>
            <w:vAlign w:val="center"/>
          </w:tcPr>
          <w:p w14:paraId="330E4F42" w14:textId="77777777" w:rsidR="007968EC" w:rsidRPr="002C0D19" w:rsidRDefault="007968EC" w:rsidP="007968EC">
            <w:pPr>
              <w:tabs>
                <w:tab w:val="center" w:pos="4252"/>
                <w:tab w:val="right" w:pos="8504"/>
              </w:tabs>
              <w:jc w:val="center"/>
              <w:rPr>
                <w:rFonts w:ascii="Arial Narrow" w:hAnsi="Arial Narrow" w:cs="Arial"/>
                <w:b/>
                <w:color w:val="000000" w:themeColor="text1"/>
                <w:lang w:val="es-ES" w:eastAsia="es-ES"/>
              </w:rPr>
            </w:pPr>
          </w:p>
        </w:tc>
        <w:tc>
          <w:tcPr>
            <w:tcW w:w="2126" w:type="dxa"/>
            <w:vAlign w:val="center"/>
          </w:tcPr>
          <w:p w14:paraId="470368A6" w14:textId="77777777" w:rsidR="007968EC" w:rsidRPr="002C0D19" w:rsidRDefault="007968EC" w:rsidP="007968EC">
            <w:pPr>
              <w:tabs>
                <w:tab w:val="center" w:pos="4252"/>
                <w:tab w:val="right" w:pos="8504"/>
              </w:tabs>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Página 1 de 14</w:t>
            </w:r>
          </w:p>
        </w:tc>
      </w:tr>
    </w:tbl>
    <w:p w14:paraId="6EC657E3" w14:textId="77777777" w:rsidR="007968EC" w:rsidRPr="002C0D19" w:rsidRDefault="007968EC" w:rsidP="007968EC">
      <w:pPr>
        <w:jc w:val="both"/>
        <w:rPr>
          <w:rFonts w:ascii="Arial Narrow" w:hAnsi="Arial Narrow" w:cs="Arial"/>
          <w:color w:val="000000" w:themeColor="text1"/>
          <w:lang w:val="es-MX" w:eastAsia="es-ES"/>
        </w:rPr>
      </w:pPr>
    </w:p>
    <w:p w14:paraId="4A269195" w14:textId="77777777" w:rsidR="007968EC" w:rsidRPr="002C0D19" w:rsidRDefault="007968EC" w:rsidP="007968EC">
      <w:pPr>
        <w:jc w:val="both"/>
        <w:rPr>
          <w:rFonts w:ascii="Arial Narrow" w:eastAsia="Calibri" w:hAnsi="Arial Narrow"/>
          <w:b/>
          <w:color w:val="000000" w:themeColor="text1"/>
          <w:u w:val="single"/>
          <w:lang w:val="es-ES"/>
        </w:rPr>
      </w:pPr>
    </w:p>
    <w:p w14:paraId="44ABCD2E" w14:textId="77777777" w:rsidR="007968EC" w:rsidRPr="002C0D19" w:rsidRDefault="007968EC" w:rsidP="007968EC">
      <w:pPr>
        <w:jc w:val="both"/>
        <w:rPr>
          <w:rFonts w:ascii="Arial Narrow" w:hAnsi="Arial Narrow"/>
          <w:color w:val="000000" w:themeColor="text1"/>
          <w:lang w:val="es-MX" w:eastAsia="es-ES"/>
        </w:rPr>
      </w:pPr>
      <w:r w:rsidRPr="002C0D19">
        <w:rPr>
          <w:rFonts w:ascii="Arial Narrow" w:hAnsi="Arial Narrow"/>
          <w:color w:val="000000" w:themeColor="text1"/>
          <w:lang w:val="es-MX" w:eastAsia="es-ES"/>
        </w:rPr>
        <w:t>Bogotá, ________ de _____</w:t>
      </w:r>
    </w:p>
    <w:p w14:paraId="0DEB4591" w14:textId="77777777" w:rsidR="007968EC" w:rsidRPr="002C0D19" w:rsidRDefault="007968EC" w:rsidP="007968EC">
      <w:pPr>
        <w:jc w:val="both"/>
        <w:rPr>
          <w:rFonts w:ascii="Arial Narrow" w:hAnsi="Arial Narrow"/>
          <w:color w:val="000000" w:themeColor="text1"/>
          <w:lang w:val="es-ES" w:eastAsia="es-ES"/>
        </w:rPr>
      </w:pPr>
    </w:p>
    <w:p w14:paraId="15D875B7" w14:textId="77777777" w:rsidR="007968EC" w:rsidRPr="002C0D19" w:rsidRDefault="007968EC" w:rsidP="007968EC">
      <w:pPr>
        <w:jc w:val="both"/>
        <w:rPr>
          <w:rFonts w:ascii="Arial Narrow" w:hAnsi="Arial Narrow"/>
          <w:color w:val="000000" w:themeColor="text1"/>
          <w:lang w:val="es-ES" w:eastAsia="es-ES"/>
        </w:rPr>
      </w:pPr>
    </w:p>
    <w:p w14:paraId="2C289D23" w14:textId="77777777" w:rsidR="007968EC" w:rsidRPr="002C0D19" w:rsidRDefault="007968EC" w:rsidP="007968EC">
      <w:pPr>
        <w:jc w:val="both"/>
        <w:outlineLvl w:val="0"/>
        <w:rPr>
          <w:rFonts w:ascii="Arial Narrow" w:hAnsi="Arial Narrow" w:cs="Arial"/>
          <w:color w:val="000000" w:themeColor="text1"/>
          <w:lang w:val="es-ES" w:eastAsia="es-CO"/>
        </w:rPr>
      </w:pPr>
      <w:bookmarkStart w:id="6522" w:name="_Toc427233298"/>
      <w:bookmarkStart w:id="6523" w:name="_Toc470781239"/>
      <w:bookmarkStart w:id="6524" w:name="_Toc470784823"/>
      <w:bookmarkStart w:id="6525" w:name="_Toc470785361"/>
      <w:bookmarkStart w:id="6526" w:name="_Toc470791755"/>
      <w:bookmarkStart w:id="6527" w:name="_Toc471831967"/>
      <w:bookmarkStart w:id="6528" w:name="_Toc490066773"/>
      <w:bookmarkStart w:id="6529" w:name="_Toc490069287"/>
      <w:bookmarkStart w:id="6530" w:name="_Toc490070664"/>
      <w:bookmarkStart w:id="6531" w:name="_Toc490077190"/>
      <w:bookmarkStart w:id="6532" w:name="_Toc490079574"/>
      <w:r w:rsidRPr="002C0D19">
        <w:rPr>
          <w:rFonts w:ascii="Arial Narrow" w:hAnsi="Arial Narrow" w:cs="Arial"/>
          <w:color w:val="000000" w:themeColor="text1"/>
          <w:lang w:val="es-ES" w:eastAsia="es-CO"/>
        </w:rPr>
        <w:t>Doctor</w:t>
      </w:r>
      <w:bookmarkEnd w:id="6522"/>
      <w:bookmarkEnd w:id="6523"/>
      <w:bookmarkEnd w:id="6524"/>
      <w:bookmarkEnd w:id="6525"/>
      <w:bookmarkEnd w:id="6526"/>
      <w:bookmarkEnd w:id="6527"/>
      <w:bookmarkEnd w:id="6528"/>
      <w:bookmarkEnd w:id="6529"/>
      <w:bookmarkEnd w:id="6530"/>
      <w:bookmarkEnd w:id="6531"/>
      <w:bookmarkEnd w:id="6532"/>
    </w:p>
    <w:p w14:paraId="2D210F46" w14:textId="77777777" w:rsidR="007968EC" w:rsidRPr="002C0D19" w:rsidRDefault="007968EC" w:rsidP="007968EC">
      <w:pPr>
        <w:jc w:val="both"/>
        <w:outlineLvl w:val="0"/>
        <w:rPr>
          <w:rFonts w:ascii="Arial Narrow" w:hAnsi="Arial Narrow" w:cs="Arial"/>
          <w:b/>
          <w:bCs/>
          <w:color w:val="000000" w:themeColor="text1"/>
          <w:lang w:val="es-ES" w:eastAsia="es-CO"/>
        </w:rPr>
      </w:pPr>
      <w:bookmarkStart w:id="6533" w:name="_Toc427233299"/>
      <w:bookmarkStart w:id="6534" w:name="_Toc470781240"/>
      <w:bookmarkStart w:id="6535" w:name="_Toc470784824"/>
      <w:bookmarkStart w:id="6536" w:name="_Toc470785362"/>
      <w:bookmarkStart w:id="6537" w:name="_Toc470791756"/>
      <w:bookmarkStart w:id="6538" w:name="_Toc471831968"/>
      <w:bookmarkStart w:id="6539" w:name="_Toc490066774"/>
      <w:bookmarkStart w:id="6540" w:name="_Toc490069288"/>
      <w:bookmarkStart w:id="6541" w:name="_Toc490070665"/>
      <w:bookmarkStart w:id="6542" w:name="_Toc490077191"/>
      <w:bookmarkStart w:id="6543" w:name="_Toc490079575"/>
      <w:r w:rsidRPr="002C0D19">
        <w:rPr>
          <w:rFonts w:ascii="Arial Narrow" w:hAnsi="Arial Narrow" w:cs="Arial"/>
          <w:b/>
          <w:bCs/>
          <w:color w:val="000000" w:themeColor="text1"/>
          <w:lang w:val="es-ES" w:eastAsia="es-CO"/>
        </w:rPr>
        <w:t>OSCAR LEIVA VILLAMIZAR</w:t>
      </w:r>
      <w:bookmarkEnd w:id="6533"/>
      <w:bookmarkEnd w:id="6534"/>
      <w:bookmarkEnd w:id="6535"/>
      <w:bookmarkEnd w:id="6536"/>
      <w:bookmarkEnd w:id="6537"/>
      <w:bookmarkEnd w:id="6538"/>
      <w:bookmarkEnd w:id="6539"/>
      <w:bookmarkEnd w:id="6540"/>
      <w:bookmarkEnd w:id="6541"/>
      <w:bookmarkEnd w:id="6542"/>
      <w:bookmarkEnd w:id="6543"/>
    </w:p>
    <w:p w14:paraId="6853B5D0" w14:textId="77777777" w:rsidR="007968EC" w:rsidRPr="002C0D19" w:rsidRDefault="007968EC" w:rsidP="007968EC">
      <w:pPr>
        <w:jc w:val="both"/>
        <w:outlineLvl w:val="0"/>
        <w:rPr>
          <w:rFonts w:ascii="Arial Narrow" w:hAnsi="Arial Narrow" w:cs="Arial"/>
          <w:b/>
          <w:bCs/>
          <w:color w:val="000000" w:themeColor="text1"/>
          <w:lang w:val="es-ES" w:eastAsia="es-CO"/>
        </w:rPr>
      </w:pPr>
      <w:bookmarkStart w:id="6544" w:name="_Toc427233300"/>
      <w:bookmarkStart w:id="6545" w:name="_Toc470781241"/>
      <w:bookmarkStart w:id="6546" w:name="_Toc470784825"/>
      <w:bookmarkStart w:id="6547" w:name="_Toc470785363"/>
      <w:bookmarkStart w:id="6548" w:name="_Toc470791757"/>
      <w:bookmarkStart w:id="6549" w:name="_Toc471831969"/>
      <w:bookmarkStart w:id="6550" w:name="_Toc490066775"/>
      <w:bookmarkStart w:id="6551" w:name="_Toc490069289"/>
      <w:bookmarkStart w:id="6552" w:name="_Toc490070666"/>
      <w:bookmarkStart w:id="6553" w:name="_Toc490077192"/>
      <w:bookmarkStart w:id="6554" w:name="_Toc490079576"/>
      <w:r w:rsidRPr="002C0D19">
        <w:rPr>
          <w:rFonts w:ascii="Arial Narrow" w:hAnsi="Arial Narrow" w:cs="Arial"/>
          <w:b/>
          <w:bCs/>
          <w:color w:val="000000" w:themeColor="text1"/>
          <w:lang w:val="es-ES" w:eastAsia="es-CO"/>
        </w:rPr>
        <w:t>Gerente</w:t>
      </w:r>
      <w:bookmarkEnd w:id="6544"/>
      <w:bookmarkEnd w:id="6545"/>
      <w:bookmarkEnd w:id="6546"/>
      <w:bookmarkEnd w:id="6547"/>
      <w:bookmarkEnd w:id="6548"/>
      <w:bookmarkEnd w:id="6549"/>
      <w:bookmarkEnd w:id="6550"/>
      <w:bookmarkEnd w:id="6551"/>
      <w:bookmarkEnd w:id="6552"/>
      <w:bookmarkEnd w:id="6553"/>
      <w:bookmarkEnd w:id="6554"/>
    </w:p>
    <w:p w14:paraId="6E72CE0B" w14:textId="77777777" w:rsidR="007968EC" w:rsidRPr="002C0D19" w:rsidRDefault="007968EC" w:rsidP="007968EC">
      <w:pPr>
        <w:jc w:val="both"/>
        <w:outlineLvl w:val="0"/>
        <w:rPr>
          <w:rFonts w:ascii="Arial Narrow" w:hAnsi="Arial Narrow" w:cs="Arial"/>
          <w:color w:val="000000" w:themeColor="text1"/>
          <w:lang w:val="es-ES" w:eastAsia="es-CO"/>
        </w:rPr>
      </w:pPr>
      <w:bookmarkStart w:id="6555" w:name="_Toc427233301"/>
      <w:bookmarkStart w:id="6556" w:name="_Toc470781242"/>
      <w:bookmarkStart w:id="6557" w:name="_Toc470784826"/>
      <w:bookmarkStart w:id="6558" w:name="_Toc470785364"/>
      <w:bookmarkStart w:id="6559" w:name="_Toc470791758"/>
      <w:bookmarkStart w:id="6560" w:name="_Toc471831970"/>
      <w:bookmarkStart w:id="6561" w:name="_Toc490066776"/>
      <w:bookmarkStart w:id="6562" w:name="_Toc490069290"/>
      <w:bookmarkStart w:id="6563" w:name="_Toc490070667"/>
      <w:bookmarkStart w:id="6564" w:name="_Toc490077193"/>
      <w:bookmarkStart w:id="6565" w:name="_Toc490079577"/>
      <w:r w:rsidRPr="002C0D19">
        <w:rPr>
          <w:rFonts w:ascii="Arial Narrow" w:hAnsi="Arial Narrow" w:cs="Arial"/>
          <w:color w:val="000000" w:themeColor="text1"/>
          <w:lang w:val="es-ES" w:eastAsia="es-CO"/>
        </w:rPr>
        <w:t>Cámara de Riesgo Central de Contraparte de Colombia S.A.</w:t>
      </w:r>
      <w:bookmarkEnd w:id="6555"/>
      <w:bookmarkEnd w:id="6556"/>
      <w:bookmarkEnd w:id="6557"/>
      <w:bookmarkEnd w:id="6558"/>
      <w:bookmarkEnd w:id="6559"/>
      <w:bookmarkEnd w:id="6560"/>
      <w:bookmarkEnd w:id="6561"/>
      <w:bookmarkEnd w:id="6562"/>
      <w:bookmarkEnd w:id="6563"/>
      <w:bookmarkEnd w:id="6564"/>
      <w:bookmarkEnd w:id="6565"/>
      <w:r w:rsidRPr="002C0D19">
        <w:rPr>
          <w:rFonts w:ascii="Arial Narrow" w:hAnsi="Arial Narrow" w:cs="Arial"/>
          <w:color w:val="000000" w:themeColor="text1"/>
          <w:lang w:val="es-ES" w:eastAsia="es-CO"/>
        </w:rPr>
        <w:t xml:space="preserve"> </w:t>
      </w:r>
    </w:p>
    <w:p w14:paraId="455761E6" w14:textId="77777777" w:rsidR="007968EC" w:rsidRPr="002C0D19" w:rsidRDefault="007968EC" w:rsidP="007968EC">
      <w:pPr>
        <w:jc w:val="both"/>
        <w:rPr>
          <w:rFonts w:ascii="Arial Narrow" w:hAnsi="Arial Narrow" w:cs="Arial"/>
          <w:color w:val="000000" w:themeColor="text1"/>
          <w:lang w:val="es-ES" w:eastAsia="es-CO"/>
        </w:rPr>
      </w:pPr>
      <w:r w:rsidRPr="002C0D19">
        <w:rPr>
          <w:rFonts w:ascii="Arial Narrow" w:hAnsi="Arial Narrow" w:cs="Arial"/>
          <w:color w:val="000000" w:themeColor="text1"/>
          <w:lang w:val="es-ES" w:eastAsia="es-CO"/>
        </w:rPr>
        <w:t>Ciudad</w:t>
      </w:r>
    </w:p>
    <w:p w14:paraId="44538F98" w14:textId="77777777" w:rsidR="007968EC" w:rsidRPr="002C0D19" w:rsidRDefault="007968EC" w:rsidP="007968EC">
      <w:pPr>
        <w:jc w:val="both"/>
        <w:rPr>
          <w:rFonts w:ascii="Arial Narrow" w:hAnsi="Arial Narrow" w:cs="Arial"/>
          <w:color w:val="000000" w:themeColor="text1"/>
          <w:lang w:val="es-ES" w:eastAsia="es-CO"/>
        </w:rPr>
      </w:pPr>
    </w:p>
    <w:p w14:paraId="54B8884B" w14:textId="77777777" w:rsidR="007968EC" w:rsidRPr="002C0D19" w:rsidRDefault="007968EC" w:rsidP="007968EC">
      <w:pPr>
        <w:jc w:val="both"/>
        <w:rPr>
          <w:rFonts w:ascii="Arial Narrow" w:hAnsi="Arial Narrow" w:cs="Arial"/>
          <w:b/>
          <w:color w:val="000000" w:themeColor="text1"/>
          <w:lang w:val="es-ES" w:eastAsia="es-CO"/>
        </w:rPr>
      </w:pPr>
      <w:r w:rsidRPr="002C0D19">
        <w:rPr>
          <w:rFonts w:ascii="Arial Narrow" w:hAnsi="Arial Narrow" w:cs="Arial"/>
          <w:b/>
          <w:color w:val="000000" w:themeColor="text1"/>
          <w:lang w:val="es-ES" w:eastAsia="es-CO"/>
        </w:rPr>
        <w:t xml:space="preserve">Asunto:   Listado de Accionistas </w:t>
      </w:r>
    </w:p>
    <w:p w14:paraId="4651896D" w14:textId="77777777" w:rsidR="007968EC" w:rsidRPr="002C0D19" w:rsidRDefault="007968EC" w:rsidP="007968EC">
      <w:pPr>
        <w:jc w:val="both"/>
        <w:rPr>
          <w:rFonts w:ascii="Arial Narrow" w:hAnsi="Arial Narrow" w:cs="Arial"/>
          <w:color w:val="000000" w:themeColor="text1"/>
          <w:lang w:val="es-ES" w:eastAsia="es-CO"/>
        </w:rPr>
      </w:pPr>
    </w:p>
    <w:p w14:paraId="4111EED1" w14:textId="77777777" w:rsidR="007968EC" w:rsidRPr="002C0D19" w:rsidRDefault="007968EC" w:rsidP="007968EC">
      <w:pPr>
        <w:jc w:val="both"/>
        <w:rPr>
          <w:rFonts w:ascii="Arial Narrow" w:hAnsi="Arial Narrow" w:cs="Arial"/>
          <w:color w:val="000000" w:themeColor="text1"/>
          <w:u w:val="single"/>
          <w:lang w:val="es-ES" w:eastAsia="es-CO"/>
        </w:rPr>
      </w:pPr>
      <w:r w:rsidRPr="002C0D19">
        <w:rPr>
          <w:rFonts w:ascii="Arial Narrow" w:hAnsi="Arial Narrow" w:cs="Arial"/>
          <w:color w:val="000000" w:themeColor="text1"/>
          <w:lang w:val="es-ES" w:eastAsia="es-CO"/>
        </w:rPr>
        <w:t xml:space="preserve">El/La </w:t>
      </w:r>
      <w:proofErr w:type="spellStart"/>
      <w:r w:rsidRPr="002C0D19">
        <w:rPr>
          <w:rFonts w:ascii="Arial Narrow" w:hAnsi="Arial Narrow" w:cs="Arial"/>
          <w:color w:val="000000" w:themeColor="text1"/>
          <w:lang w:val="es-ES" w:eastAsia="es-CO"/>
        </w:rPr>
        <w:t>sucrito</w:t>
      </w:r>
      <w:proofErr w:type="spellEnd"/>
      <w:r w:rsidRPr="002C0D19">
        <w:rPr>
          <w:rFonts w:ascii="Arial Narrow" w:hAnsi="Arial Narrow" w:cs="Arial"/>
          <w:color w:val="000000" w:themeColor="text1"/>
          <w:lang w:val="es-ES" w:eastAsia="es-CO"/>
        </w:rPr>
        <w:t xml:space="preserve"> (a), ______________________________, identificado (a) con la Cédula de Ciudadanía No. ________________ expedida en la ciudad de ___________, obrando en calidad de representante legal de _________________________, sociedad legalmente constituida, con domicilio principal en ______________, con NIT. ________________, atentamente me permito remitir el listado de accionistas que cuentan con más del cinco por ciento (5%) de las acciones en circulación de la sociedad que represento, ya sea directa o indirectamente, a través de personas naturales o jurídicas con las cuales se conforme un mismo beneficiario real. </w:t>
      </w:r>
    </w:p>
    <w:p w14:paraId="6803A80F" w14:textId="77777777" w:rsidR="007968EC" w:rsidRPr="002C0D19" w:rsidRDefault="007968EC" w:rsidP="007968EC">
      <w:pPr>
        <w:jc w:val="both"/>
        <w:rPr>
          <w:rFonts w:ascii="Arial Narrow" w:hAnsi="Arial Narrow" w:cs="Arial"/>
          <w:color w:val="000000" w:themeColor="text1"/>
          <w:lang w:val="es-ES" w:eastAsia="es-CO"/>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126"/>
        <w:gridCol w:w="2835"/>
        <w:gridCol w:w="2410"/>
      </w:tblGrid>
      <w:tr w:rsidR="007968EC" w:rsidRPr="002C0D19" w14:paraId="28AAC695" w14:textId="77777777" w:rsidTr="007968EC">
        <w:tc>
          <w:tcPr>
            <w:tcW w:w="4106" w:type="dxa"/>
            <w:gridSpan w:val="2"/>
          </w:tcPr>
          <w:p w14:paraId="6F532302" w14:textId="77777777" w:rsidR="007968EC" w:rsidRPr="002C0D19" w:rsidRDefault="007968EC" w:rsidP="007968EC">
            <w:pPr>
              <w:jc w:val="both"/>
              <w:rPr>
                <w:rFonts w:ascii="Arial Narrow" w:hAnsi="Arial Narrow" w:cs="Arial"/>
                <w:b/>
                <w:bCs/>
                <w:color w:val="000000" w:themeColor="text1"/>
                <w:lang w:val="es-ES" w:eastAsia="es-CO"/>
              </w:rPr>
            </w:pPr>
            <w:r w:rsidRPr="002C0D19">
              <w:rPr>
                <w:rFonts w:ascii="Arial Narrow" w:hAnsi="Arial Narrow" w:cs="Arial"/>
                <w:b/>
                <w:bCs/>
                <w:color w:val="000000" w:themeColor="text1"/>
                <w:lang w:val="es-ES" w:eastAsia="es-CO"/>
              </w:rPr>
              <w:t>Accionistas directos con más del 5% del capital</w:t>
            </w:r>
          </w:p>
        </w:tc>
        <w:tc>
          <w:tcPr>
            <w:tcW w:w="2835" w:type="dxa"/>
            <w:vMerge w:val="restart"/>
            <w:vAlign w:val="center"/>
          </w:tcPr>
          <w:p w14:paraId="63730294" w14:textId="77777777" w:rsidR="007968EC" w:rsidRPr="002C0D19" w:rsidRDefault="007968EC" w:rsidP="007968EC">
            <w:pPr>
              <w:jc w:val="center"/>
              <w:rPr>
                <w:rFonts w:ascii="Arial Narrow" w:hAnsi="Arial Narrow" w:cs="Arial"/>
                <w:b/>
                <w:color w:val="000000" w:themeColor="text1"/>
                <w:lang w:eastAsia="es-CO"/>
              </w:rPr>
            </w:pPr>
            <w:r w:rsidRPr="002C0D19">
              <w:rPr>
                <w:rFonts w:ascii="Arial Narrow" w:hAnsi="Arial Narrow" w:cs="Arial"/>
                <w:b/>
                <w:color w:val="000000" w:themeColor="text1"/>
                <w:lang w:eastAsia="es-CO"/>
              </w:rPr>
              <w:t>Número de Identificación</w:t>
            </w:r>
          </w:p>
        </w:tc>
        <w:tc>
          <w:tcPr>
            <w:tcW w:w="2410" w:type="dxa"/>
            <w:vMerge w:val="restart"/>
            <w:vAlign w:val="center"/>
          </w:tcPr>
          <w:p w14:paraId="4E36D589" w14:textId="77777777" w:rsidR="007968EC" w:rsidRPr="002C0D19" w:rsidRDefault="007968EC" w:rsidP="007968EC">
            <w:pPr>
              <w:jc w:val="center"/>
              <w:rPr>
                <w:rFonts w:ascii="Arial Narrow" w:hAnsi="Arial Narrow" w:cs="Arial"/>
                <w:b/>
                <w:color w:val="000000" w:themeColor="text1"/>
                <w:lang w:eastAsia="es-CO"/>
              </w:rPr>
            </w:pPr>
            <w:r w:rsidRPr="002C0D19">
              <w:rPr>
                <w:rFonts w:ascii="Arial Narrow" w:hAnsi="Arial Narrow" w:cs="Arial"/>
                <w:b/>
                <w:color w:val="000000" w:themeColor="text1"/>
                <w:lang w:eastAsia="es-CO"/>
              </w:rPr>
              <w:t>Porcentaje Participación</w:t>
            </w:r>
          </w:p>
        </w:tc>
      </w:tr>
      <w:tr w:rsidR="007968EC" w:rsidRPr="002C0D19" w14:paraId="49908978" w14:textId="77777777" w:rsidTr="007968EC">
        <w:tc>
          <w:tcPr>
            <w:tcW w:w="1980" w:type="dxa"/>
          </w:tcPr>
          <w:p w14:paraId="3A91057D" w14:textId="77777777" w:rsidR="007968EC" w:rsidRPr="002C0D19" w:rsidRDefault="007968EC" w:rsidP="007968EC">
            <w:pPr>
              <w:jc w:val="both"/>
              <w:rPr>
                <w:rFonts w:ascii="Arial Narrow" w:hAnsi="Arial Narrow" w:cs="Arial"/>
                <w:b/>
                <w:bCs/>
                <w:color w:val="000000" w:themeColor="text1"/>
                <w:lang w:val="es-ES" w:eastAsia="es-CO"/>
              </w:rPr>
            </w:pPr>
            <w:r w:rsidRPr="002C0D19">
              <w:rPr>
                <w:rFonts w:ascii="Arial Narrow" w:hAnsi="Arial Narrow" w:cs="Arial"/>
                <w:b/>
                <w:bCs/>
                <w:color w:val="000000" w:themeColor="text1"/>
                <w:lang w:val="es-ES" w:eastAsia="es-CO"/>
              </w:rPr>
              <w:t>Nombre</w:t>
            </w:r>
          </w:p>
        </w:tc>
        <w:tc>
          <w:tcPr>
            <w:tcW w:w="2126" w:type="dxa"/>
          </w:tcPr>
          <w:p w14:paraId="688C7190" w14:textId="77777777" w:rsidR="007968EC" w:rsidRPr="002C0D19" w:rsidRDefault="007968EC" w:rsidP="007968EC">
            <w:pPr>
              <w:jc w:val="both"/>
              <w:rPr>
                <w:rFonts w:ascii="Arial Narrow" w:hAnsi="Arial Narrow" w:cs="Arial"/>
                <w:b/>
                <w:bCs/>
                <w:color w:val="000000" w:themeColor="text1"/>
                <w:lang w:val="es-ES" w:eastAsia="es-CO"/>
              </w:rPr>
            </w:pPr>
            <w:r w:rsidRPr="002C0D19">
              <w:rPr>
                <w:rFonts w:ascii="Arial Narrow" w:hAnsi="Arial Narrow" w:cs="Arial"/>
                <w:b/>
                <w:bCs/>
                <w:color w:val="000000" w:themeColor="text1"/>
                <w:lang w:val="es-ES" w:eastAsia="es-CO"/>
              </w:rPr>
              <w:t>Dirección</w:t>
            </w:r>
          </w:p>
        </w:tc>
        <w:tc>
          <w:tcPr>
            <w:tcW w:w="2835" w:type="dxa"/>
            <w:vMerge/>
          </w:tcPr>
          <w:p w14:paraId="6EED8364" w14:textId="77777777" w:rsidR="007968EC" w:rsidRPr="002C0D19" w:rsidRDefault="007968EC" w:rsidP="007968EC">
            <w:pPr>
              <w:jc w:val="both"/>
              <w:rPr>
                <w:rFonts w:ascii="Arial Narrow" w:hAnsi="Arial Narrow" w:cs="Arial"/>
                <w:color w:val="000000" w:themeColor="text1"/>
                <w:lang w:val="es-ES" w:eastAsia="es-CO"/>
              </w:rPr>
            </w:pPr>
          </w:p>
        </w:tc>
        <w:tc>
          <w:tcPr>
            <w:tcW w:w="2410" w:type="dxa"/>
            <w:vMerge/>
          </w:tcPr>
          <w:p w14:paraId="28D68A9E" w14:textId="77777777" w:rsidR="007968EC" w:rsidRPr="002C0D19" w:rsidRDefault="007968EC" w:rsidP="007968EC">
            <w:pPr>
              <w:jc w:val="both"/>
              <w:rPr>
                <w:rFonts w:ascii="Arial Narrow" w:hAnsi="Arial Narrow" w:cs="Arial"/>
                <w:color w:val="000000" w:themeColor="text1"/>
                <w:lang w:val="es-ES" w:eastAsia="es-CO"/>
              </w:rPr>
            </w:pPr>
          </w:p>
        </w:tc>
      </w:tr>
      <w:tr w:rsidR="007968EC" w:rsidRPr="002C0D19" w14:paraId="4FA89E25" w14:textId="77777777" w:rsidTr="007968EC">
        <w:tc>
          <w:tcPr>
            <w:tcW w:w="1980" w:type="dxa"/>
          </w:tcPr>
          <w:p w14:paraId="48F691AA" w14:textId="77777777" w:rsidR="007968EC" w:rsidRPr="002C0D19" w:rsidRDefault="007968EC" w:rsidP="007968EC">
            <w:pPr>
              <w:jc w:val="both"/>
              <w:rPr>
                <w:rFonts w:ascii="Arial Narrow" w:hAnsi="Arial Narrow" w:cs="Arial"/>
                <w:color w:val="000000" w:themeColor="text1"/>
                <w:lang w:val="es-ES" w:eastAsia="es-CO"/>
              </w:rPr>
            </w:pPr>
          </w:p>
        </w:tc>
        <w:tc>
          <w:tcPr>
            <w:tcW w:w="2126" w:type="dxa"/>
          </w:tcPr>
          <w:p w14:paraId="363F1521" w14:textId="77777777" w:rsidR="007968EC" w:rsidRPr="002C0D19" w:rsidRDefault="007968EC" w:rsidP="007968EC">
            <w:pPr>
              <w:jc w:val="both"/>
              <w:rPr>
                <w:rFonts w:ascii="Arial Narrow" w:hAnsi="Arial Narrow" w:cs="Arial"/>
                <w:color w:val="000000" w:themeColor="text1"/>
                <w:lang w:val="es-ES" w:eastAsia="es-CO"/>
              </w:rPr>
            </w:pPr>
          </w:p>
        </w:tc>
        <w:tc>
          <w:tcPr>
            <w:tcW w:w="2835" w:type="dxa"/>
          </w:tcPr>
          <w:p w14:paraId="2D1A5BD2" w14:textId="77777777" w:rsidR="007968EC" w:rsidRPr="002C0D19" w:rsidRDefault="007968EC" w:rsidP="007968EC">
            <w:pPr>
              <w:jc w:val="both"/>
              <w:rPr>
                <w:rFonts w:ascii="Arial Narrow" w:hAnsi="Arial Narrow" w:cs="Arial"/>
                <w:color w:val="000000" w:themeColor="text1"/>
                <w:lang w:val="es-ES" w:eastAsia="es-CO"/>
              </w:rPr>
            </w:pPr>
          </w:p>
        </w:tc>
        <w:tc>
          <w:tcPr>
            <w:tcW w:w="2410" w:type="dxa"/>
          </w:tcPr>
          <w:p w14:paraId="6741500B" w14:textId="77777777" w:rsidR="007968EC" w:rsidRPr="002C0D19" w:rsidRDefault="007968EC" w:rsidP="007968EC">
            <w:pPr>
              <w:jc w:val="both"/>
              <w:rPr>
                <w:rFonts w:ascii="Arial Narrow" w:hAnsi="Arial Narrow" w:cs="Arial"/>
                <w:color w:val="000000" w:themeColor="text1"/>
                <w:lang w:val="es-ES" w:eastAsia="es-CO"/>
              </w:rPr>
            </w:pPr>
          </w:p>
        </w:tc>
      </w:tr>
      <w:tr w:rsidR="007968EC" w:rsidRPr="002C0D19" w14:paraId="03CA3142" w14:textId="77777777" w:rsidTr="007968EC">
        <w:tc>
          <w:tcPr>
            <w:tcW w:w="1980" w:type="dxa"/>
          </w:tcPr>
          <w:p w14:paraId="12C7DDB7" w14:textId="77777777" w:rsidR="007968EC" w:rsidRPr="002C0D19" w:rsidRDefault="007968EC" w:rsidP="007968EC">
            <w:pPr>
              <w:jc w:val="both"/>
              <w:rPr>
                <w:rFonts w:ascii="Arial Narrow" w:hAnsi="Arial Narrow" w:cs="Arial"/>
                <w:color w:val="000000" w:themeColor="text1"/>
                <w:lang w:val="es-ES" w:eastAsia="es-CO"/>
              </w:rPr>
            </w:pPr>
          </w:p>
        </w:tc>
        <w:tc>
          <w:tcPr>
            <w:tcW w:w="2126" w:type="dxa"/>
          </w:tcPr>
          <w:p w14:paraId="18917B04" w14:textId="77777777" w:rsidR="007968EC" w:rsidRPr="002C0D19" w:rsidRDefault="007968EC" w:rsidP="007968EC">
            <w:pPr>
              <w:jc w:val="both"/>
              <w:rPr>
                <w:rFonts w:ascii="Arial Narrow" w:hAnsi="Arial Narrow" w:cs="Arial"/>
                <w:color w:val="000000" w:themeColor="text1"/>
                <w:lang w:val="es-ES" w:eastAsia="es-CO"/>
              </w:rPr>
            </w:pPr>
          </w:p>
        </w:tc>
        <w:tc>
          <w:tcPr>
            <w:tcW w:w="2835" w:type="dxa"/>
          </w:tcPr>
          <w:p w14:paraId="20291183" w14:textId="77777777" w:rsidR="007968EC" w:rsidRPr="002C0D19" w:rsidRDefault="007968EC" w:rsidP="007968EC">
            <w:pPr>
              <w:jc w:val="both"/>
              <w:rPr>
                <w:rFonts w:ascii="Arial Narrow" w:hAnsi="Arial Narrow" w:cs="Arial"/>
                <w:color w:val="000000" w:themeColor="text1"/>
                <w:lang w:val="es-ES" w:eastAsia="es-CO"/>
              </w:rPr>
            </w:pPr>
          </w:p>
        </w:tc>
        <w:tc>
          <w:tcPr>
            <w:tcW w:w="2410" w:type="dxa"/>
          </w:tcPr>
          <w:p w14:paraId="629185E3" w14:textId="77777777" w:rsidR="007968EC" w:rsidRPr="002C0D19" w:rsidRDefault="007968EC" w:rsidP="007968EC">
            <w:pPr>
              <w:jc w:val="both"/>
              <w:rPr>
                <w:rFonts w:ascii="Arial Narrow" w:hAnsi="Arial Narrow" w:cs="Arial"/>
                <w:color w:val="000000" w:themeColor="text1"/>
                <w:lang w:val="es-ES" w:eastAsia="es-CO"/>
              </w:rPr>
            </w:pPr>
          </w:p>
        </w:tc>
      </w:tr>
    </w:tbl>
    <w:p w14:paraId="7ED051A4" w14:textId="77777777" w:rsidR="007968EC" w:rsidRPr="002C0D19" w:rsidRDefault="007968EC" w:rsidP="007968EC">
      <w:pPr>
        <w:jc w:val="both"/>
        <w:rPr>
          <w:rFonts w:ascii="Arial Narrow" w:hAnsi="Arial Narrow" w:cs="Arial"/>
          <w:color w:val="000000" w:themeColor="text1"/>
          <w:lang w:val="es-ES" w:eastAsia="es-CO"/>
        </w:rPr>
      </w:pPr>
    </w:p>
    <w:p w14:paraId="18D90847" w14:textId="77777777" w:rsidR="007968EC" w:rsidRPr="002C0D19" w:rsidRDefault="007968EC" w:rsidP="007968EC">
      <w:pPr>
        <w:jc w:val="both"/>
        <w:rPr>
          <w:rFonts w:ascii="Arial Narrow" w:hAnsi="Arial Narrow" w:cs="Arial"/>
          <w:color w:val="000000" w:themeColor="text1"/>
          <w:lang w:val="es-ES" w:eastAsia="es-CO"/>
        </w:rPr>
      </w:pPr>
    </w:p>
    <w:p w14:paraId="591F3D78" w14:textId="77777777" w:rsidR="007968EC" w:rsidRPr="002C0D19" w:rsidRDefault="007968EC" w:rsidP="007968EC">
      <w:pPr>
        <w:jc w:val="both"/>
        <w:rPr>
          <w:rFonts w:ascii="Arial Narrow" w:hAnsi="Arial Narrow" w:cs="Arial"/>
          <w:color w:val="000000" w:themeColor="text1"/>
          <w:lang w:val="es-ES" w:eastAsia="es-CO"/>
        </w:rPr>
      </w:pPr>
      <w:r w:rsidRPr="002C0D19">
        <w:rPr>
          <w:rFonts w:ascii="Arial Narrow" w:hAnsi="Arial Narrow" w:cs="Arial"/>
          <w:color w:val="000000" w:themeColor="text1"/>
          <w:lang w:val="es-ES" w:eastAsia="es-CO"/>
        </w:rPr>
        <w:t>De igual manera, en el caso de cada uno de los accionistas personas jurídicas relacionadas, me permito remitir el listado de sus propios accionistas, en los mismos términos antes señalados:</w:t>
      </w:r>
    </w:p>
    <w:p w14:paraId="1E860ED8" w14:textId="77777777" w:rsidR="007968EC" w:rsidRPr="002C0D19" w:rsidRDefault="007968EC" w:rsidP="007968EC">
      <w:pPr>
        <w:rPr>
          <w:rFonts w:ascii="Arial Narrow" w:hAnsi="Arial Narrow" w:cs="Arial"/>
          <w:color w:val="000000" w:themeColor="text1"/>
          <w:lang w:val="es-ES" w:eastAsia="es-CO"/>
        </w:rPr>
      </w:pPr>
    </w:p>
    <w:p w14:paraId="17F43DAD" w14:textId="77777777" w:rsidR="007968EC" w:rsidRPr="002C0D19" w:rsidRDefault="007968EC" w:rsidP="007968EC">
      <w:pPr>
        <w:rPr>
          <w:rFonts w:ascii="Arial Narrow" w:hAnsi="Arial Narrow" w:cs="Arial"/>
          <w:color w:val="000000" w:themeColor="text1"/>
          <w:lang w:val="es-ES" w:eastAsia="es-CO"/>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1985"/>
        <w:gridCol w:w="2551"/>
        <w:gridCol w:w="2410"/>
      </w:tblGrid>
      <w:tr w:rsidR="007968EC" w:rsidRPr="002C0D19" w14:paraId="142F4248" w14:textId="77777777" w:rsidTr="007968EC">
        <w:tc>
          <w:tcPr>
            <w:tcW w:w="4390" w:type="dxa"/>
            <w:gridSpan w:val="2"/>
          </w:tcPr>
          <w:p w14:paraId="0FEEDB16" w14:textId="77777777" w:rsidR="007968EC" w:rsidRPr="002C0D19" w:rsidRDefault="007968EC" w:rsidP="007968EC">
            <w:pPr>
              <w:jc w:val="both"/>
              <w:rPr>
                <w:rFonts w:ascii="Arial Narrow" w:hAnsi="Arial Narrow" w:cs="Arial"/>
                <w:b/>
                <w:bCs/>
                <w:color w:val="000000" w:themeColor="text1"/>
                <w:lang w:val="es-ES" w:eastAsia="es-CO"/>
              </w:rPr>
            </w:pPr>
            <w:r w:rsidRPr="002C0D19">
              <w:rPr>
                <w:rFonts w:ascii="Arial Narrow" w:hAnsi="Arial Narrow" w:cs="Arial"/>
                <w:b/>
                <w:bCs/>
                <w:color w:val="000000" w:themeColor="text1"/>
                <w:lang w:val="es-ES" w:eastAsia="es-CO"/>
              </w:rPr>
              <w:t>Accionistas de (ENTIDAD)</w:t>
            </w:r>
          </w:p>
        </w:tc>
        <w:tc>
          <w:tcPr>
            <w:tcW w:w="2551" w:type="dxa"/>
            <w:vMerge w:val="restart"/>
            <w:vAlign w:val="center"/>
          </w:tcPr>
          <w:p w14:paraId="5957882C" w14:textId="77777777" w:rsidR="007968EC" w:rsidRPr="002C0D19" w:rsidRDefault="007968EC" w:rsidP="007968EC">
            <w:pPr>
              <w:jc w:val="center"/>
              <w:rPr>
                <w:rFonts w:ascii="Arial Narrow" w:hAnsi="Arial Narrow" w:cs="Arial"/>
                <w:b/>
                <w:color w:val="000000" w:themeColor="text1"/>
                <w:lang w:eastAsia="es-CO"/>
              </w:rPr>
            </w:pPr>
            <w:r w:rsidRPr="002C0D19">
              <w:rPr>
                <w:rFonts w:ascii="Arial Narrow" w:hAnsi="Arial Narrow" w:cs="Arial"/>
                <w:b/>
                <w:color w:val="000000" w:themeColor="text1"/>
                <w:lang w:eastAsia="es-CO"/>
              </w:rPr>
              <w:t>Número de Identificación</w:t>
            </w:r>
          </w:p>
        </w:tc>
        <w:tc>
          <w:tcPr>
            <w:tcW w:w="2410" w:type="dxa"/>
            <w:vMerge w:val="restart"/>
            <w:vAlign w:val="center"/>
          </w:tcPr>
          <w:p w14:paraId="0E0FEE22" w14:textId="77777777" w:rsidR="007968EC" w:rsidRPr="002C0D19" w:rsidRDefault="007968EC" w:rsidP="007968EC">
            <w:pPr>
              <w:jc w:val="center"/>
              <w:rPr>
                <w:rFonts w:ascii="Arial Narrow" w:hAnsi="Arial Narrow" w:cs="Arial"/>
                <w:b/>
                <w:color w:val="000000" w:themeColor="text1"/>
                <w:lang w:eastAsia="es-CO"/>
              </w:rPr>
            </w:pPr>
            <w:r w:rsidRPr="002C0D19">
              <w:rPr>
                <w:rFonts w:ascii="Arial Narrow" w:hAnsi="Arial Narrow" w:cs="Arial"/>
                <w:b/>
                <w:color w:val="000000" w:themeColor="text1"/>
                <w:lang w:eastAsia="es-CO"/>
              </w:rPr>
              <w:t>Porcentaje Participación</w:t>
            </w:r>
          </w:p>
        </w:tc>
      </w:tr>
      <w:tr w:rsidR="007968EC" w:rsidRPr="002C0D19" w14:paraId="743791BF" w14:textId="77777777" w:rsidTr="007968EC">
        <w:tc>
          <w:tcPr>
            <w:tcW w:w="2405" w:type="dxa"/>
          </w:tcPr>
          <w:p w14:paraId="740E72E9" w14:textId="77777777" w:rsidR="007968EC" w:rsidRPr="002C0D19" w:rsidRDefault="007968EC" w:rsidP="007968EC">
            <w:pPr>
              <w:jc w:val="both"/>
              <w:rPr>
                <w:rFonts w:ascii="Arial Narrow" w:hAnsi="Arial Narrow" w:cs="Arial"/>
                <w:b/>
                <w:bCs/>
                <w:color w:val="000000" w:themeColor="text1"/>
                <w:lang w:val="es-ES" w:eastAsia="es-CO"/>
              </w:rPr>
            </w:pPr>
            <w:r w:rsidRPr="002C0D19">
              <w:rPr>
                <w:rFonts w:ascii="Arial Narrow" w:hAnsi="Arial Narrow" w:cs="Arial"/>
                <w:b/>
                <w:bCs/>
                <w:color w:val="000000" w:themeColor="text1"/>
                <w:lang w:val="es-ES" w:eastAsia="es-CO"/>
              </w:rPr>
              <w:lastRenderedPageBreak/>
              <w:t>Nombre</w:t>
            </w:r>
          </w:p>
        </w:tc>
        <w:tc>
          <w:tcPr>
            <w:tcW w:w="1985" w:type="dxa"/>
          </w:tcPr>
          <w:p w14:paraId="695B3BAB" w14:textId="77777777" w:rsidR="007968EC" w:rsidRPr="002C0D19" w:rsidRDefault="007968EC" w:rsidP="007968EC">
            <w:pPr>
              <w:jc w:val="both"/>
              <w:rPr>
                <w:rFonts w:ascii="Arial Narrow" w:hAnsi="Arial Narrow" w:cs="Arial"/>
                <w:b/>
                <w:bCs/>
                <w:color w:val="000000" w:themeColor="text1"/>
                <w:lang w:val="es-ES" w:eastAsia="es-CO"/>
              </w:rPr>
            </w:pPr>
            <w:r w:rsidRPr="002C0D19">
              <w:rPr>
                <w:rFonts w:ascii="Arial Narrow" w:hAnsi="Arial Narrow" w:cs="Arial"/>
                <w:b/>
                <w:bCs/>
                <w:color w:val="000000" w:themeColor="text1"/>
                <w:lang w:val="es-ES" w:eastAsia="es-CO"/>
              </w:rPr>
              <w:t>Dirección</w:t>
            </w:r>
          </w:p>
        </w:tc>
        <w:tc>
          <w:tcPr>
            <w:tcW w:w="2551" w:type="dxa"/>
            <w:vMerge/>
          </w:tcPr>
          <w:p w14:paraId="6C0D0608" w14:textId="77777777" w:rsidR="007968EC" w:rsidRPr="002C0D19" w:rsidRDefault="007968EC" w:rsidP="007968EC">
            <w:pPr>
              <w:jc w:val="both"/>
              <w:rPr>
                <w:rFonts w:ascii="Arial Narrow" w:hAnsi="Arial Narrow" w:cs="Arial"/>
                <w:color w:val="000000" w:themeColor="text1"/>
                <w:lang w:val="es-ES" w:eastAsia="es-CO"/>
              </w:rPr>
            </w:pPr>
          </w:p>
        </w:tc>
        <w:tc>
          <w:tcPr>
            <w:tcW w:w="2410" w:type="dxa"/>
            <w:vMerge/>
          </w:tcPr>
          <w:p w14:paraId="4AAD44DC" w14:textId="77777777" w:rsidR="007968EC" w:rsidRPr="002C0D19" w:rsidRDefault="007968EC" w:rsidP="007968EC">
            <w:pPr>
              <w:jc w:val="both"/>
              <w:rPr>
                <w:rFonts w:ascii="Arial Narrow" w:hAnsi="Arial Narrow" w:cs="Arial"/>
                <w:color w:val="000000" w:themeColor="text1"/>
                <w:lang w:val="es-ES" w:eastAsia="es-CO"/>
              </w:rPr>
            </w:pPr>
          </w:p>
        </w:tc>
      </w:tr>
      <w:tr w:rsidR="007968EC" w:rsidRPr="002C0D19" w14:paraId="6F0A700A" w14:textId="77777777" w:rsidTr="007968EC">
        <w:tc>
          <w:tcPr>
            <w:tcW w:w="2405" w:type="dxa"/>
          </w:tcPr>
          <w:p w14:paraId="12DF46D3" w14:textId="77777777" w:rsidR="007968EC" w:rsidRPr="002C0D19" w:rsidRDefault="007968EC" w:rsidP="007968EC">
            <w:pPr>
              <w:jc w:val="both"/>
              <w:rPr>
                <w:rFonts w:ascii="Arial Narrow" w:hAnsi="Arial Narrow" w:cs="Arial"/>
                <w:color w:val="000000" w:themeColor="text1"/>
                <w:lang w:val="es-ES" w:eastAsia="es-CO"/>
              </w:rPr>
            </w:pPr>
          </w:p>
        </w:tc>
        <w:tc>
          <w:tcPr>
            <w:tcW w:w="1985" w:type="dxa"/>
          </w:tcPr>
          <w:p w14:paraId="1AACB8A3" w14:textId="77777777" w:rsidR="007968EC" w:rsidRPr="002C0D19" w:rsidRDefault="007968EC" w:rsidP="007968EC">
            <w:pPr>
              <w:jc w:val="both"/>
              <w:rPr>
                <w:rFonts w:ascii="Arial Narrow" w:hAnsi="Arial Narrow" w:cs="Arial"/>
                <w:color w:val="000000" w:themeColor="text1"/>
                <w:lang w:val="es-ES" w:eastAsia="es-CO"/>
              </w:rPr>
            </w:pPr>
          </w:p>
        </w:tc>
        <w:tc>
          <w:tcPr>
            <w:tcW w:w="2551" w:type="dxa"/>
          </w:tcPr>
          <w:p w14:paraId="6F341097" w14:textId="77777777" w:rsidR="007968EC" w:rsidRPr="002C0D19" w:rsidRDefault="007968EC" w:rsidP="007968EC">
            <w:pPr>
              <w:jc w:val="both"/>
              <w:rPr>
                <w:rFonts w:ascii="Arial Narrow" w:hAnsi="Arial Narrow" w:cs="Arial"/>
                <w:color w:val="000000" w:themeColor="text1"/>
                <w:lang w:val="es-ES" w:eastAsia="es-CO"/>
              </w:rPr>
            </w:pPr>
          </w:p>
        </w:tc>
        <w:tc>
          <w:tcPr>
            <w:tcW w:w="2410" w:type="dxa"/>
          </w:tcPr>
          <w:p w14:paraId="3B6D66B8" w14:textId="77777777" w:rsidR="007968EC" w:rsidRPr="002C0D19" w:rsidRDefault="007968EC" w:rsidP="007968EC">
            <w:pPr>
              <w:jc w:val="both"/>
              <w:rPr>
                <w:rFonts w:ascii="Arial Narrow" w:hAnsi="Arial Narrow" w:cs="Arial"/>
                <w:color w:val="000000" w:themeColor="text1"/>
                <w:lang w:val="es-ES" w:eastAsia="es-CO"/>
              </w:rPr>
            </w:pPr>
          </w:p>
        </w:tc>
      </w:tr>
      <w:tr w:rsidR="007968EC" w:rsidRPr="002C0D19" w14:paraId="73A75A31" w14:textId="77777777" w:rsidTr="007968EC">
        <w:tc>
          <w:tcPr>
            <w:tcW w:w="2405" w:type="dxa"/>
          </w:tcPr>
          <w:p w14:paraId="7E792F9B" w14:textId="77777777" w:rsidR="007968EC" w:rsidRPr="002C0D19" w:rsidRDefault="007968EC" w:rsidP="007968EC">
            <w:pPr>
              <w:jc w:val="both"/>
              <w:rPr>
                <w:rFonts w:ascii="Arial Narrow" w:hAnsi="Arial Narrow" w:cs="Arial"/>
                <w:color w:val="000000" w:themeColor="text1"/>
                <w:lang w:val="es-ES" w:eastAsia="es-CO"/>
              </w:rPr>
            </w:pPr>
          </w:p>
        </w:tc>
        <w:tc>
          <w:tcPr>
            <w:tcW w:w="1985" w:type="dxa"/>
          </w:tcPr>
          <w:p w14:paraId="0A2456CE" w14:textId="77777777" w:rsidR="007968EC" w:rsidRPr="002C0D19" w:rsidRDefault="007968EC" w:rsidP="007968EC">
            <w:pPr>
              <w:jc w:val="both"/>
              <w:rPr>
                <w:rFonts w:ascii="Arial Narrow" w:hAnsi="Arial Narrow" w:cs="Arial"/>
                <w:color w:val="000000" w:themeColor="text1"/>
                <w:lang w:val="es-ES" w:eastAsia="es-CO"/>
              </w:rPr>
            </w:pPr>
          </w:p>
        </w:tc>
        <w:tc>
          <w:tcPr>
            <w:tcW w:w="2551" w:type="dxa"/>
          </w:tcPr>
          <w:p w14:paraId="2F22DC4D" w14:textId="77777777" w:rsidR="007968EC" w:rsidRPr="002C0D19" w:rsidRDefault="007968EC" w:rsidP="007968EC">
            <w:pPr>
              <w:jc w:val="both"/>
              <w:rPr>
                <w:rFonts w:ascii="Arial Narrow" w:hAnsi="Arial Narrow" w:cs="Arial"/>
                <w:color w:val="000000" w:themeColor="text1"/>
                <w:lang w:val="es-ES" w:eastAsia="es-CO"/>
              </w:rPr>
            </w:pPr>
          </w:p>
        </w:tc>
        <w:tc>
          <w:tcPr>
            <w:tcW w:w="2410" w:type="dxa"/>
          </w:tcPr>
          <w:p w14:paraId="676A4A0A" w14:textId="77777777" w:rsidR="007968EC" w:rsidRPr="002C0D19" w:rsidRDefault="007968EC" w:rsidP="007968EC">
            <w:pPr>
              <w:jc w:val="both"/>
              <w:rPr>
                <w:rFonts w:ascii="Arial Narrow" w:hAnsi="Arial Narrow" w:cs="Arial"/>
                <w:color w:val="000000" w:themeColor="text1"/>
                <w:lang w:val="es-ES" w:eastAsia="es-CO"/>
              </w:rPr>
            </w:pPr>
          </w:p>
        </w:tc>
      </w:tr>
      <w:tr w:rsidR="007968EC" w:rsidRPr="002C0D19" w14:paraId="4629516D" w14:textId="77777777" w:rsidTr="007968EC">
        <w:tc>
          <w:tcPr>
            <w:tcW w:w="2405" w:type="dxa"/>
          </w:tcPr>
          <w:p w14:paraId="763BED9A" w14:textId="77777777" w:rsidR="007968EC" w:rsidRPr="002C0D19" w:rsidRDefault="007968EC" w:rsidP="007968EC">
            <w:pPr>
              <w:jc w:val="both"/>
              <w:rPr>
                <w:rFonts w:ascii="Arial Narrow" w:hAnsi="Arial Narrow" w:cs="Arial"/>
                <w:color w:val="000000" w:themeColor="text1"/>
                <w:lang w:val="es-ES" w:eastAsia="es-CO"/>
              </w:rPr>
            </w:pPr>
          </w:p>
        </w:tc>
        <w:tc>
          <w:tcPr>
            <w:tcW w:w="1985" w:type="dxa"/>
          </w:tcPr>
          <w:p w14:paraId="74172B0C" w14:textId="77777777" w:rsidR="007968EC" w:rsidRPr="002C0D19" w:rsidRDefault="007968EC" w:rsidP="007968EC">
            <w:pPr>
              <w:jc w:val="both"/>
              <w:rPr>
                <w:rFonts w:ascii="Arial Narrow" w:hAnsi="Arial Narrow" w:cs="Arial"/>
                <w:color w:val="000000" w:themeColor="text1"/>
                <w:lang w:val="es-ES" w:eastAsia="es-CO"/>
              </w:rPr>
            </w:pPr>
          </w:p>
        </w:tc>
        <w:tc>
          <w:tcPr>
            <w:tcW w:w="2551" w:type="dxa"/>
          </w:tcPr>
          <w:p w14:paraId="37DB602C" w14:textId="77777777" w:rsidR="007968EC" w:rsidRPr="002C0D19" w:rsidRDefault="007968EC" w:rsidP="007968EC">
            <w:pPr>
              <w:jc w:val="both"/>
              <w:rPr>
                <w:rFonts w:ascii="Arial Narrow" w:hAnsi="Arial Narrow" w:cs="Arial"/>
                <w:color w:val="000000" w:themeColor="text1"/>
                <w:lang w:val="es-ES" w:eastAsia="es-CO"/>
              </w:rPr>
            </w:pPr>
          </w:p>
        </w:tc>
        <w:tc>
          <w:tcPr>
            <w:tcW w:w="2410" w:type="dxa"/>
          </w:tcPr>
          <w:p w14:paraId="760558B7" w14:textId="77777777" w:rsidR="007968EC" w:rsidRPr="002C0D19" w:rsidRDefault="007968EC" w:rsidP="007968EC">
            <w:pPr>
              <w:jc w:val="both"/>
              <w:rPr>
                <w:rFonts w:ascii="Arial Narrow" w:hAnsi="Arial Narrow" w:cs="Arial"/>
                <w:color w:val="000000" w:themeColor="text1"/>
                <w:lang w:val="es-ES" w:eastAsia="es-CO"/>
              </w:rPr>
            </w:pPr>
          </w:p>
        </w:tc>
      </w:tr>
    </w:tbl>
    <w:p w14:paraId="3A25A0A2" w14:textId="77777777" w:rsidR="007968EC" w:rsidRPr="002C0D19" w:rsidRDefault="007968EC" w:rsidP="007968EC">
      <w:pPr>
        <w:rPr>
          <w:rFonts w:ascii="Arial Narrow" w:hAnsi="Arial Narrow" w:cs="Arial"/>
          <w:color w:val="000000" w:themeColor="text1"/>
          <w:lang w:val="es-ES" w:eastAsia="es-CO"/>
        </w:rPr>
      </w:pPr>
    </w:p>
    <w:p w14:paraId="50903F1E" w14:textId="77777777" w:rsidR="007968EC" w:rsidRPr="002C0D19" w:rsidRDefault="007968EC" w:rsidP="007968EC">
      <w:pPr>
        <w:rPr>
          <w:rFonts w:ascii="Arial Narrow" w:hAnsi="Arial Narrow" w:cs="Arial"/>
          <w:color w:val="000000" w:themeColor="text1"/>
          <w:lang w:val="es-ES" w:eastAsia="es-CO"/>
        </w:rPr>
      </w:pPr>
      <w:r w:rsidRPr="002C0D19">
        <w:rPr>
          <w:rFonts w:ascii="Arial Narrow" w:hAnsi="Arial Narrow" w:cs="Arial"/>
          <w:color w:val="000000" w:themeColor="text1"/>
          <w:lang w:val="es-ES" w:eastAsia="es-CO"/>
        </w:rPr>
        <w:t>Cordialmente,</w:t>
      </w:r>
    </w:p>
    <w:p w14:paraId="48D23AB0" w14:textId="77777777" w:rsidR="007968EC" w:rsidRPr="002C0D19" w:rsidRDefault="007968EC" w:rsidP="007968EC">
      <w:pPr>
        <w:rPr>
          <w:rFonts w:ascii="Arial Narrow" w:hAnsi="Arial Narrow" w:cs="Arial"/>
          <w:color w:val="000000" w:themeColor="text1"/>
          <w:lang w:val="es-ES" w:eastAsia="es-CO"/>
        </w:rPr>
      </w:pPr>
    </w:p>
    <w:p w14:paraId="44225525" w14:textId="77777777" w:rsidR="007968EC" w:rsidRPr="002C0D19" w:rsidRDefault="007968EC" w:rsidP="007968EC">
      <w:pPr>
        <w:rPr>
          <w:rFonts w:ascii="Arial Narrow" w:hAnsi="Arial Narrow" w:cs="Arial"/>
          <w:color w:val="000000" w:themeColor="text1"/>
          <w:lang w:val="es-ES" w:eastAsia="es-CO"/>
        </w:rPr>
      </w:pPr>
    </w:p>
    <w:p w14:paraId="742932CC" w14:textId="77777777" w:rsidR="007968EC" w:rsidRPr="002C0D19" w:rsidRDefault="007968EC" w:rsidP="007968EC">
      <w:pPr>
        <w:rPr>
          <w:rFonts w:ascii="Arial Narrow" w:hAnsi="Arial Narrow" w:cs="Arial"/>
          <w:color w:val="000000" w:themeColor="text1"/>
          <w:lang w:val="es-ES" w:eastAsia="es-CO"/>
        </w:rPr>
      </w:pPr>
    </w:p>
    <w:p w14:paraId="6B8EAB73" w14:textId="77777777" w:rsidR="007968EC" w:rsidRPr="002C0D19" w:rsidRDefault="007968EC" w:rsidP="007968EC">
      <w:pPr>
        <w:rPr>
          <w:rFonts w:ascii="Arial Narrow" w:hAnsi="Arial Narrow" w:cs="Arial"/>
          <w:color w:val="000000" w:themeColor="text1"/>
          <w:lang w:val="es-ES" w:eastAsia="es-CO"/>
        </w:rPr>
      </w:pPr>
    </w:p>
    <w:p w14:paraId="5B5457FB" w14:textId="77777777" w:rsidR="007968EC" w:rsidRPr="002C0D19" w:rsidRDefault="007968EC" w:rsidP="007968EC">
      <w:pPr>
        <w:rPr>
          <w:rFonts w:ascii="Arial Narrow" w:hAnsi="Arial Narrow" w:cs="Arial"/>
          <w:color w:val="000000" w:themeColor="text1"/>
          <w:lang w:eastAsia="es-CO"/>
        </w:rPr>
      </w:pPr>
      <w:r w:rsidRPr="002C0D19">
        <w:rPr>
          <w:rFonts w:ascii="Arial Narrow" w:hAnsi="Arial Narrow" w:cs="Arial"/>
          <w:color w:val="000000" w:themeColor="text1"/>
          <w:lang w:val="es-ES" w:eastAsia="es-CO"/>
        </w:rPr>
        <w:t>___________________________________________ </w:t>
      </w:r>
    </w:p>
    <w:p w14:paraId="4DC0261A" w14:textId="77777777" w:rsidR="007968EC" w:rsidRPr="002C0D19" w:rsidRDefault="007968EC" w:rsidP="007968EC">
      <w:pPr>
        <w:rPr>
          <w:rFonts w:ascii="Arial Narrow" w:hAnsi="Arial Narrow"/>
          <w:color w:val="000000" w:themeColor="text1"/>
          <w:lang w:val="es-ES" w:eastAsia="es-ES"/>
        </w:rPr>
      </w:pPr>
      <w:r w:rsidRPr="002C0D19">
        <w:rPr>
          <w:rFonts w:ascii="Arial Narrow" w:hAnsi="Arial Narrow"/>
          <w:b/>
          <w:color w:val="000000" w:themeColor="text1"/>
          <w:lang w:val="es-ES" w:eastAsia="es-ES"/>
        </w:rPr>
        <w:t>(Nombre y Cédula)</w:t>
      </w:r>
    </w:p>
    <w:p w14:paraId="5F829F31" w14:textId="77777777" w:rsidR="007968EC" w:rsidRPr="002C0D19" w:rsidRDefault="007968EC" w:rsidP="007968EC">
      <w:pPr>
        <w:jc w:val="both"/>
        <w:rPr>
          <w:rFonts w:ascii="Arial Narrow" w:hAnsi="Arial Narrow" w:cs="Arial"/>
          <w:color w:val="000000" w:themeColor="text1"/>
          <w:lang w:val="es-MX" w:eastAsia="es-ES"/>
        </w:rPr>
      </w:pPr>
    </w:p>
    <w:p w14:paraId="3121FC49" w14:textId="77777777" w:rsidR="007968EC" w:rsidRPr="002C0D19" w:rsidRDefault="007968EC" w:rsidP="007968EC">
      <w:pPr>
        <w:jc w:val="both"/>
        <w:rPr>
          <w:rFonts w:ascii="Arial Narrow" w:hAnsi="Arial Narrow" w:cs="Arial"/>
          <w:color w:val="000000" w:themeColor="text1"/>
          <w:lang w:val="es-MX" w:eastAsia="es-ES"/>
        </w:rPr>
      </w:pPr>
    </w:p>
    <w:p w14:paraId="7FD83C0E" w14:textId="77777777" w:rsidR="007968EC" w:rsidRPr="002C0D19" w:rsidRDefault="007968EC" w:rsidP="007968EC">
      <w:pPr>
        <w:jc w:val="both"/>
        <w:rPr>
          <w:rFonts w:ascii="Arial Narrow" w:hAnsi="Arial Narrow" w:cs="Arial"/>
          <w:color w:val="000000" w:themeColor="text1"/>
          <w:lang w:val="es-MX" w:eastAsia="es-ES"/>
        </w:rPr>
      </w:pPr>
    </w:p>
    <w:p w14:paraId="2584E67D" w14:textId="77777777" w:rsidR="007968EC" w:rsidRPr="005C4274" w:rsidRDefault="007968EC" w:rsidP="007968EC">
      <w:pPr>
        <w:pStyle w:val="TTULO"/>
        <w:rPr>
          <w:lang w:val="es-ES"/>
        </w:rPr>
      </w:pPr>
      <w:r w:rsidRPr="002C0D19">
        <w:rPr>
          <w:lang w:val="es-ES"/>
        </w:rPr>
        <w:br w:type="page"/>
      </w:r>
      <w:bookmarkStart w:id="6566" w:name="_Toc31716603"/>
      <w:r w:rsidRPr="005C4274">
        <w:rPr>
          <w:lang w:val="es-ES"/>
        </w:rPr>
        <w:lastRenderedPageBreak/>
        <w:t>ANEXO 13</w:t>
      </w:r>
      <w:bookmarkEnd w:id="6566"/>
    </w:p>
    <w:p w14:paraId="768B178F" w14:textId="77777777" w:rsidR="007968EC" w:rsidRPr="005C4274" w:rsidRDefault="007968EC" w:rsidP="007968EC">
      <w:pPr>
        <w:jc w:val="center"/>
        <w:rPr>
          <w:rFonts w:ascii="Arial Narrow" w:hAnsi="Arial Narrow" w:cs="Arial"/>
          <w:b/>
          <w:color w:val="000000" w:themeColor="text1"/>
          <w:lang w:val="es-ES" w:eastAsia="es-ES"/>
        </w:rPr>
      </w:pPr>
    </w:p>
    <w:p w14:paraId="5113B419" w14:textId="77777777" w:rsidR="007968EC" w:rsidRPr="005C4274" w:rsidRDefault="007968EC" w:rsidP="007968EC">
      <w:pPr>
        <w:jc w:val="center"/>
        <w:rPr>
          <w:rFonts w:ascii="Arial Narrow" w:hAnsi="Arial Narrow" w:cs="Arial"/>
          <w:b/>
          <w:color w:val="000000" w:themeColor="text1"/>
          <w:lang w:val="es-ES" w:eastAsia="es-ES"/>
        </w:rPr>
      </w:pPr>
      <w:r w:rsidRPr="005C4274">
        <w:rPr>
          <w:rFonts w:ascii="Arial Narrow" w:hAnsi="Arial Narrow" w:cs="Arial"/>
          <w:b/>
          <w:color w:val="000000" w:themeColor="text1"/>
          <w:lang w:val="es-ES" w:eastAsia="es-ES"/>
        </w:rPr>
        <w:t>LISTA DE CHEQUEO</w:t>
      </w:r>
    </w:p>
    <w:p w14:paraId="7BF0F354" w14:textId="77777777" w:rsidR="007968EC" w:rsidRPr="002C0D19" w:rsidRDefault="007968EC" w:rsidP="007968EC">
      <w:pPr>
        <w:jc w:val="center"/>
        <w:rPr>
          <w:rFonts w:ascii="Arial Narrow" w:hAnsi="Arial Narrow" w:cs="Arial"/>
          <w:b/>
          <w:color w:val="000000" w:themeColor="text1"/>
          <w:lang w:val="es-ES" w:eastAsia="es-ES"/>
        </w:rPr>
      </w:pPr>
    </w:p>
    <w:p w14:paraId="65B3CBF5" w14:textId="77777777" w:rsidR="007968EC" w:rsidRPr="002C0D19" w:rsidRDefault="007968EC" w:rsidP="007968EC">
      <w:pPr>
        <w:jc w:val="center"/>
        <w:rPr>
          <w:rFonts w:ascii="Arial Narrow" w:hAnsi="Arial Narrow" w:cs="Arial"/>
          <w:b/>
          <w:i/>
          <w:color w:val="000000" w:themeColor="text1"/>
          <w:lang w:val="es-ES" w:eastAsia="es-ES"/>
        </w:rPr>
      </w:pPr>
      <w:r w:rsidRPr="002C0D19">
        <w:rPr>
          <w:rFonts w:ascii="Arial Narrow" w:hAnsi="Arial Narrow" w:cs="Arial"/>
          <w:b/>
          <w:i/>
          <w:color w:val="000000" w:themeColor="text1"/>
          <w:lang w:val="es-ES" w:eastAsia="es-ES"/>
        </w:rPr>
        <w:t>Anexo. 13.1. Lista de Chequeo para solicitar la admisión como Miembro.</w:t>
      </w:r>
    </w:p>
    <w:p w14:paraId="3DA46C51" w14:textId="77777777" w:rsidR="007968EC" w:rsidRPr="002C0D19" w:rsidRDefault="007968EC" w:rsidP="007968EC">
      <w:pPr>
        <w:jc w:val="center"/>
        <w:rPr>
          <w:rFonts w:ascii="Arial Narrow" w:hAnsi="Arial Narrow" w:cs="Arial"/>
          <w:b/>
          <w:i/>
          <w:color w:val="000000" w:themeColor="text1"/>
          <w:lang w:val="es-ES" w:eastAsia="es-ES"/>
        </w:rPr>
      </w:pPr>
    </w:p>
    <w:p w14:paraId="67DC31FF" w14:textId="77777777" w:rsidR="007968EC" w:rsidRPr="002C0D19" w:rsidRDefault="007968EC" w:rsidP="007968EC">
      <w:pPr>
        <w:jc w:val="both"/>
        <w:rPr>
          <w:rFonts w:ascii="Arial Narrow" w:hAnsi="Arial Narrow" w:cs="Arial"/>
          <w:color w:val="000000" w:themeColor="text1"/>
          <w:lang w:val="es-ES" w:eastAsia="es-ES"/>
        </w:rPr>
      </w:pP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6"/>
        <w:gridCol w:w="4820"/>
        <w:gridCol w:w="2126"/>
      </w:tblGrid>
      <w:tr w:rsidR="007968EC" w:rsidRPr="002C0D19" w14:paraId="2DB7D06C" w14:textId="77777777" w:rsidTr="007968EC">
        <w:trPr>
          <w:cantSplit/>
          <w:trHeight w:val="423"/>
        </w:trPr>
        <w:tc>
          <w:tcPr>
            <w:tcW w:w="2126" w:type="dxa"/>
            <w:vMerge w:val="restart"/>
            <w:vAlign w:val="center"/>
          </w:tcPr>
          <w:p w14:paraId="0576E3EC" w14:textId="77777777" w:rsidR="007968EC" w:rsidRPr="002C0D19" w:rsidRDefault="007968EC" w:rsidP="007968EC">
            <w:pPr>
              <w:tabs>
                <w:tab w:val="center" w:pos="4252"/>
                <w:tab w:val="right" w:pos="8504"/>
              </w:tabs>
              <w:jc w:val="center"/>
              <w:rPr>
                <w:rFonts w:ascii="Arial Narrow" w:hAnsi="Arial Narrow" w:cs="Arial"/>
                <w:b/>
                <w:color w:val="000000" w:themeColor="text1"/>
                <w:lang w:val="es-ES" w:eastAsia="es-ES"/>
              </w:rPr>
            </w:pPr>
            <w:r w:rsidRPr="002C0D19">
              <w:rPr>
                <w:rFonts w:ascii="Arial Narrow" w:hAnsi="Arial Narrow" w:cs="Arial"/>
                <w:b/>
                <w:noProof/>
                <w:color w:val="000000" w:themeColor="text1"/>
                <w:lang w:eastAsia="es-CO"/>
              </w:rPr>
              <w:drawing>
                <wp:inline distT="0" distB="0" distL="0" distR="0" wp14:anchorId="150B8AFA" wp14:editId="76DF4E17">
                  <wp:extent cx="1071000" cy="504000"/>
                  <wp:effectExtent l="0" t="0" r="0" b="0"/>
                  <wp:docPr id="31" name="Imagen 3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1000" cy="504000"/>
                          </a:xfrm>
                          <a:prstGeom prst="rect">
                            <a:avLst/>
                          </a:prstGeom>
                          <a:noFill/>
                          <a:ln>
                            <a:noFill/>
                          </a:ln>
                        </pic:spPr>
                      </pic:pic>
                    </a:graphicData>
                  </a:graphic>
                </wp:inline>
              </w:drawing>
            </w:r>
          </w:p>
        </w:tc>
        <w:tc>
          <w:tcPr>
            <w:tcW w:w="4820" w:type="dxa"/>
            <w:vAlign w:val="center"/>
          </w:tcPr>
          <w:p w14:paraId="3D1297DF" w14:textId="77777777" w:rsidR="007968EC" w:rsidRPr="002C0D19" w:rsidRDefault="007968EC" w:rsidP="007968EC">
            <w:pPr>
              <w:tabs>
                <w:tab w:val="center" w:pos="4252"/>
                <w:tab w:val="right" w:pos="8504"/>
              </w:tabs>
              <w:jc w:val="center"/>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FORMATO</w:t>
            </w:r>
          </w:p>
        </w:tc>
        <w:tc>
          <w:tcPr>
            <w:tcW w:w="2126" w:type="dxa"/>
            <w:vAlign w:val="center"/>
          </w:tcPr>
          <w:p w14:paraId="0D591643" w14:textId="77777777" w:rsidR="007968EC" w:rsidRPr="002C0D19" w:rsidRDefault="007968EC" w:rsidP="007968EC">
            <w:pPr>
              <w:tabs>
                <w:tab w:val="center" w:pos="4252"/>
                <w:tab w:val="right" w:pos="8504"/>
              </w:tabs>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Código:   FO GMI 018</w:t>
            </w:r>
          </w:p>
        </w:tc>
      </w:tr>
      <w:tr w:rsidR="007968EC" w:rsidRPr="002C0D19" w14:paraId="1D4A30C4" w14:textId="77777777" w:rsidTr="007968EC">
        <w:trPr>
          <w:cantSplit/>
          <w:trHeight w:val="373"/>
        </w:trPr>
        <w:tc>
          <w:tcPr>
            <w:tcW w:w="2126" w:type="dxa"/>
            <w:vMerge/>
            <w:shd w:val="pct5" w:color="auto" w:fill="FFFFFF"/>
            <w:vAlign w:val="center"/>
          </w:tcPr>
          <w:p w14:paraId="7FC38F08" w14:textId="77777777" w:rsidR="007968EC" w:rsidRPr="002C0D19" w:rsidRDefault="007968EC" w:rsidP="007968EC">
            <w:pPr>
              <w:tabs>
                <w:tab w:val="center" w:pos="4252"/>
                <w:tab w:val="right" w:pos="8504"/>
              </w:tabs>
              <w:jc w:val="center"/>
              <w:rPr>
                <w:rFonts w:ascii="Arial Narrow" w:hAnsi="Arial Narrow" w:cs="Arial"/>
                <w:color w:val="000000" w:themeColor="text1"/>
                <w:lang w:val="es-ES" w:eastAsia="es-ES"/>
              </w:rPr>
            </w:pPr>
          </w:p>
        </w:tc>
        <w:tc>
          <w:tcPr>
            <w:tcW w:w="4820" w:type="dxa"/>
            <w:vMerge w:val="restart"/>
            <w:vAlign w:val="center"/>
          </w:tcPr>
          <w:p w14:paraId="0C5310E8" w14:textId="77777777" w:rsidR="007968EC" w:rsidRPr="002C0D19" w:rsidRDefault="007968EC" w:rsidP="007968EC">
            <w:pPr>
              <w:tabs>
                <w:tab w:val="center" w:pos="4252"/>
                <w:tab w:val="right" w:pos="8504"/>
              </w:tabs>
              <w:jc w:val="center"/>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LISTA DE CHEQUEO</w:t>
            </w:r>
          </w:p>
          <w:p w14:paraId="69BC5671" w14:textId="77777777" w:rsidR="007968EC" w:rsidRPr="002C0D19" w:rsidRDefault="007968EC" w:rsidP="007968EC">
            <w:pPr>
              <w:tabs>
                <w:tab w:val="center" w:pos="4252"/>
                <w:tab w:val="right" w:pos="8504"/>
              </w:tabs>
              <w:jc w:val="center"/>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VINCULACIÓN DE MIEMBROS</w:t>
            </w:r>
          </w:p>
        </w:tc>
        <w:tc>
          <w:tcPr>
            <w:tcW w:w="2126" w:type="dxa"/>
            <w:vAlign w:val="center"/>
          </w:tcPr>
          <w:p w14:paraId="794D15CC" w14:textId="77777777" w:rsidR="007968EC" w:rsidRPr="002C0D19" w:rsidRDefault="007968EC" w:rsidP="007968EC">
            <w:pPr>
              <w:tabs>
                <w:tab w:val="center" w:pos="4252"/>
                <w:tab w:val="right" w:pos="8504"/>
              </w:tabs>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Versión: 2.0</w:t>
            </w:r>
          </w:p>
        </w:tc>
      </w:tr>
      <w:tr w:rsidR="007968EC" w:rsidRPr="002C0D19" w14:paraId="187D18AC" w14:textId="77777777" w:rsidTr="007968EC">
        <w:trPr>
          <w:cantSplit/>
          <w:trHeight w:val="181"/>
        </w:trPr>
        <w:tc>
          <w:tcPr>
            <w:tcW w:w="2126" w:type="dxa"/>
            <w:vMerge/>
            <w:shd w:val="pct5" w:color="auto" w:fill="FFFFFF"/>
            <w:vAlign w:val="center"/>
          </w:tcPr>
          <w:p w14:paraId="423D9A35" w14:textId="77777777" w:rsidR="007968EC" w:rsidRPr="002C0D19" w:rsidRDefault="007968EC" w:rsidP="007968EC">
            <w:pPr>
              <w:tabs>
                <w:tab w:val="center" w:pos="4252"/>
                <w:tab w:val="right" w:pos="8504"/>
              </w:tabs>
              <w:jc w:val="center"/>
              <w:rPr>
                <w:rFonts w:ascii="Arial Narrow" w:hAnsi="Arial Narrow" w:cs="Arial"/>
                <w:color w:val="000000" w:themeColor="text1"/>
                <w:lang w:val="es-ES" w:eastAsia="es-ES"/>
              </w:rPr>
            </w:pPr>
          </w:p>
        </w:tc>
        <w:tc>
          <w:tcPr>
            <w:tcW w:w="4820" w:type="dxa"/>
            <w:vMerge/>
            <w:shd w:val="pct5" w:color="auto" w:fill="FFFFFF"/>
            <w:vAlign w:val="center"/>
          </w:tcPr>
          <w:p w14:paraId="5051B646" w14:textId="77777777" w:rsidR="007968EC" w:rsidRPr="002C0D19" w:rsidRDefault="007968EC" w:rsidP="007968EC">
            <w:pPr>
              <w:tabs>
                <w:tab w:val="center" w:pos="4252"/>
                <w:tab w:val="right" w:pos="8504"/>
              </w:tabs>
              <w:jc w:val="center"/>
              <w:rPr>
                <w:rFonts w:ascii="Arial Narrow" w:hAnsi="Arial Narrow" w:cs="Arial"/>
                <w:b/>
                <w:color w:val="000000" w:themeColor="text1"/>
                <w:lang w:val="es-ES" w:eastAsia="es-ES"/>
              </w:rPr>
            </w:pPr>
          </w:p>
        </w:tc>
        <w:tc>
          <w:tcPr>
            <w:tcW w:w="2126" w:type="dxa"/>
            <w:vAlign w:val="center"/>
          </w:tcPr>
          <w:p w14:paraId="69CA7F28" w14:textId="77777777" w:rsidR="007968EC" w:rsidRPr="002C0D19" w:rsidRDefault="007968EC" w:rsidP="007968EC">
            <w:pPr>
              <w:tabs>
                <w:tab w:val="center" w:pos="4252"/>
                <w:tab w:val="right" w:pos="8504"/>
              </w:tabs>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Página 1 de 2</w:t>
            </w:r>
          </w:p>
        </w:tc>
      </w:tr>
    </w:tbl>
    <w:p w14:paraId="12282A9F" w14:textId="77777777" w:rsidR="007968EC" w:rsidRPr="002C0D19" w:rsidRDefault="007968EC" w:rsidP="007968EC">
      <w:pPr>
        <w:jc w:val="both"/>
        <w:rPr>
          <w:rFonts w:ascii="Arial Narrow" w:hAnsi="Arial Narrow" w:cs="Arial"/>
          <w:color w:val="000000" w:themeColor="text1"/>
          <w:lang w:val="es-ES" w:eastAsia="es-ES"/>
        </w:rPr>
      </w:pPr>
    </w:p>
    <w:tbl>
      <w:tblPr>
        <w:tblStyle w:val="Tablaconcuadrcula2"/>
        <w:tblW w:w="9209" w:type="dxa"/>
        <w:jc w:val="center"/>
        <w:tblLook w:val="04A0" w:firstRow="1" w:lastRow="0" w:firstColumn="1" w:lastColumn="0" w:noHBand="0" w:noVBand="1"/>
      </w:tblPr>
      <w:tblGrid>
        <w:gridCol w:w="500"/>
        <w:gridCol w:w="5024"/>
        <w:gridCol w:w="3685"/>
      </w:tblGrid>
      <w:tr w:rsidR="007968EC" w:rsidRPr="002C0D19" w14:paraId="5F6CA05F" w14:textId="77777777" w:rsidTr="007968EC">
        <w:trPr>
          <w:trHeight w:val="315"/>
          <w:jc w:val="center"/>
        </w:trPr>
        <w:tc>
          <w:tcPr>
            <w:tcW w:w="500" w:type="dxa"/>
            <w:noWrap/>
            <w:vAlign w:val="center"/>
            <w:hideMark/>
          </w:tcPr>
          <w:p w14:paraId="29F7C8B7" w14:textId="77777777" w:rsidR="007968EC" w:rsidRPr="002C0D19" w:rsidRDefault="007968EC" w:rsidP="007968EC">
            <w:pPr>
              <w:jc w:val="center"/>
              <w:rPr>
                <w:rFonts w:ascii="Arial Narrow" w:hAnsi="Arial Narrow"/>
                <w:b/>
                <w:bCs/>
                <w:color w:val="000000" w:themeColor="text1"/>
                <w:lang w:val="es-ES" w:eastAsia="es-CO"/>
              </w:rPr>
            </w:pPr>
            <w:bookmarkStart w:id="6567" w:name="RANGE!B3:D25"/>
            <w:proofErr w:type="spellStart"/>
            <w:r w:rsidRPr="002C0D19">
              <w:rPr>
                <w:rFonts w:ascii="Arial Narrow" w:hAnsi="Arial Narrow"/>
                <w:b/>
                <w:bCs/>
                <w:color w:val="000000" w:themeColor="text1"/>
                <w:lang w:val="es-ES" w:eastAsia="es-CO"/>
              </w:rPr>
              <w:t>Nº</w:t>
            </w:r>
            <w:bookmarkEnd w:id="6567"/>
            <w:proofErr w:type="spellEnd"/>
          </w:p>
        </w:tc>
        <w:tc>
          <w:tcPr>
            <w:tcW w:w="5024" w:type="dxa"/>
            <w:noWrap/>
            <w:vAlign w:val="center"/>
            <w:hideMark/>
          </w:tcPr>
          <w:p w14:paraId="21DBDBBD" w14:textId="77777777" w:rsidR="007968EC" w:rsidRPr="002C0D19" w:rsidRDefault="007968EC" w:rsidP="007968EC">
            <w:pPr>
              <w:jc w:val="center"/>
              <w:rPr>
                <w:rFonts w:ascii="Arial Narrow" w:hAnsi="Arial Narrow"/>
                <w:b/>
                <w:bCs/>
                <w:color w:val="000000" w:themeColor="text1"/>
                <w:lang w:val="es-ES" w:eastAsia="es-CO"/>
              </w:rPr>
            </w:pPr>
            <w:r w:rsidRPr="002C0D19">
              <w:rPr>
                <w:rFonts w:ascii="Arial Narrow" w:hAnsi="Arial Narrow"/>
                <w:b/>
                <w:bCs/>
                <w:color w:val="000000" w:themeColor="text1"/>
                <w:lang w:val="es-ES" w:eastAsia="es-CO"/>
              </w:rPr>
              <w:t>DOCUMENTOS PARA VINCULARSE COMO MIEMBRO DE LA CRCC S.A</w:t>
            </w:r>
          </w:p>
        </w:tc>
        <w:tc>
          <w:tcPr>
            <w:tcW w:w="3685" w:type="dxa"/>
            <w:vAlign w:val="center"/>
            <w:hideMark/>
          </w:tcPr>
          <w:p w14:paraId="0A89B18A" w14:textId="77777777" w:rsidR="007968EC" w:rsidRPr="002C0D19" w:rsidRDefault="007968EC" w:rsidP="007968EC">
            <w:pPr>
              <w:jc w:val="center"/>
              <w:rPr>
                <w:rFonts w:ascii="Arial Narrow" w:hAnsi="Arial Narrow"/>
                <w:b/>
                <w:bCs/>
                <w:color w:val="000000" w:themeColor="text1"/>
                <w:lang w:val="es-ES" w:eastAsia="es-CO"/>
              </w:rPr>
            </w:pPr>
            <w:r w:rsidRPr="002C0D19">
              <w:rPr>
                <w:rFonts w:ascii="Arial Narrow" w:hAnsi="Arial Narrow"/>
                <w:b/>
                <w:bCs/>
                <w:color w:val="000000" w:themeColor="text1"/>
                <w:lang w:val="es-ES" w:eastAsia="es-CO"/>
              </w:rPr>
              <w:t>DESCRIPCIÓN</w:t>
            </w:r>
          </w:p>
        </w:tc>
      </w:tr>
      <w:tr w:rsidR="007968EC" w:rsidRPr="002C0D19" w14:paraId="186FC81A" w14:textId="77777777" w:rsidTr="007968EC">
        <w:trPr>
          <w:trHeight w:val="600"/>
          <w:jc w:val="center"/>
        </w:trPr>
        <w:tc>
          <w:tcPr>
            <w:tcW w:w="500" w:type="dxa"/>
            <w:noWrap/>
            <w:vAlign w:val="center"/>
            <w:hideMark/>
          </w:tcPr>
          <w:p w14:paraId="655140EA" w14:textId="77777777" w:rsidR="007968EC" w:rsidRPr="002C0D19" w:rsidRDefault="007968EC" w:rsidP="007968EC">
            <w:pPr>
              <w:jc w:val="center"/>
              <w:rPr>
                <w:rFonts w:ascii="Arial Narrow" w:hAnsi="Arial Narrow"/>
                <w:b/>
                <w:bCs/>
                <w:color w:val="000000" w:themeColor="text1"/>
                <w:lang w:val="es-ES" w:eastAsia="es-CO"/>
              </w:rPr>
            </w:pPr>
            <w:r w:rsidRPr="002C0D19">
              <w:rPr>
                <w:rFonts w:ascii="Arial Narrow" w:hAnsi="Arial Narrow"/>
                <w:b/>
                <w:bCs/>
                <w:color w:val="000000" w:themeColor="text1"/>
                <w:lang w:val="es-ES" w:eastAsia="es-CO"/>
              </w:rPr>
              <w:t>1</w:t>
            </w:r>
          </w:p>
        </w:tc>
        <w:tc>
          <w:tcPr>
            <w:tcW w:w="5024" w:type="dxa"/>
            <w:vAlign w:val="center"/>
            <w:hideMark/>
          </w:tcPr>
          <w:p w14:paraId="79343A21"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FO GMI 004 -Autorización consulta SFC y centrales de riesgos</w:t>
            </w:r>
          </w:p>
        </w:tc>
        <w:tc>
          <w:tcPr>
            <w:tcW w:w="3685" w:type="dxa"/>
            <w:vAlign w:val="center"/>
            <w:hideMark/>
          </w:tcPr>
          <w:p w14:paraId="63A6FE1F"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Respetar el formato y diligenciar todos los campos solicitados</w:t>
            </w:r>
          </w:p>
        </w:tc>
      </w:tr>
      <w:tr w:rsidR="007968EC" w:rsidRPr="002C0D19" w14:paraId="354355AF" w14:textId="77777777" w:rsidTr="007968EC">
        <w:trPr>
          <w:trHeight w:val="945"/>
          <w:jc w:val="center"/>
        </w:trPr>
        <w:tc>
          <w:tcPr>
            <w:tcW w:w="500" w:type="dxa"/>
            <w:noWrap/>
            <w:vAlign w:val="center"/>
            <w:hideMark/>
          </w:tcPr>
          <w:p w14:paraId="135C42F2" w14:textId="77777777" w:rsidR="007968EC" w:rsidRPr="002C0D19" w:rsidRDefault="007968EC" w:rsidP="007968EC">
            <w:pPr>
              <w:jc w:val="center"/>
              <w:rPr>
                <w:rFonts w:ascii="Arial Narrow" w:hAnsi="Arial Narrow"/>
                <w:b/>
                <w:bCs/>
                <w:color w:val="000000" w:themeColor="text1"/>
                <w:lang w:val="es-ES" w:eastAsia="es-CO"/>
              </w:rPr>
            </w:pPr>
            <w:r w:rsidRPr="002C0D19">
              <w:rPr>
                <w:rFonts w:ascii="Arial Narrow" w:hAnsi="Arial Narrow"/>
                <w:b/>
                <w:bCs/>
                <w:color w:val="000000" w:themeColor="text1"/>
                <w:lang w:val="es-ES" w:eastAsia="es-CO"/>
              </w:rPr>
              <w:t>2</w:t>
            </w:r>
          </w:p>
        </w:tc>
        <w:tc>
          <w:tcPr>
            <w:tcW w:w="5024" w:type="dxa"/>
            <w:vAlign w:val="center"/>
            <w:hideMark/>
          </w:tcPr>
          <w:p w14:paraId="55810BEA"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FO GMI 005 -Orden de compra de servicios</w:t>
            </w:r>
          </w:p>
        </w:tc>
        <w:tc>
          <w:tcPr>
            <w:tcW w:w="3685" w:type="dxa"/>
            <w:vAlign w:val="center"/>
            <w:hideMark/>
          </w:tcPr>
          <w:p w14:paraId="52B2ED38"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Respetar el formato y diligenciar todos los campos solicitados, debe contar con reconocimiento de firma y texto ante notario público</w:t>
            </w:r>
          </w:p>
        </w:tc>
      </w:tr>
      <w:tr w:rsidR="007968EC" w:rsidRPr="002C0D19" w14:paraId="15347190" w14:textId="77777777" w:rsidTr="007968EC">
        <w:trPr>
          <w:trHeight w:val="600"/>
          <w:jc w:val="center"/>
        </w:trPr>
        <w:tc>
          <w:tcPr>
            <w:tcW w:w="500" w:type="dxa"/>
            <w:noWrap/>
            <w:vAlign w:val="center"/>
            <w:hideMark/>
          </w:tcPr>
          <w:p w14:paraId="733AFA54" w14:textId="77777777" w:rsidR="007968EC" w:rsidRPr="002C0D19" w:rsidRDefault="007968EC" w:rsidP="007968EC">
            <w:pPr>
              <w:jc w:val="center"/>
              <w:rPr>
                <w:rFonts w:ascii="Arial Narrow" w:hAnsi="Arial Narrow"/>
                <w:b/>
                <w:bCs/>
                <w:color w:val="000000" w:themeColor="text1"/>
                <w:lang w:val="es-ES" w:eastAsia="es-CO"/>
              </w:rPr>
            </w:pPr>
            <w:r w:rsidRPr="002C0D19">
              <w:rPr>
                <w:rFonts w:ascii="Arial Narrow" w:hAnsi="Arial Narrow"/>
                <w:b/>
                <w:bCs/>
                <w:color w:val="000000" w:themeColor="text1"/>
                <w:lang w:val="es-ES" w:eastAsia="es-CO"/>
              </w:rPr>
              <w:t>3</w:t>
            </w:r>
          </w:p>
        </w:tc>
        <w:tc>
          <w:tcPr>
            <w:tcW w:w="5024" w:type="dxa"/>
            <w:vAlign w:val="center"/>
            <w:hideMark/>
          </w:tcPr>
          <w:p w14:paraId="38A26DF7"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FO GMI 006 -Listado de accionistas</w:t>
            </w:r>
          </w:p>
        </w:tc>
        <w:tc>
          <w:tcPr>
            <w:tcW w:w="3685" w:type="dxa"/>
            <w:vAlign w:val="center"/>
            <w:hideMark/>
          </w:tcPr>
          <w:p w14:paraId="4A61638A"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Respetar el formato y diligenciar todos los campos solicitados</w:t>
            </w:r>
          </w:p>
        </w:tc>
      </w:tr>
      <w:tr w:rsidR="007968EC" w:rsidRPr="002C0D19" w14:paraId="206F8FEF" w14:textId="77777777" w:rsidTr="007968EC">
        <w:trPr>
          <w:trHeight w:val="720"/>
          <w:jc w:val="center"/>
        </w:trPr>
        <w:tc>
          <w:tcPr>
            <w:tcW w:w="500" w:type="dxa"/>
            <w:noWrap/>
            <w:vAlign w:val="center"/>
            <w:hideMark/>
          </w:tcPr>
          <w:p w14:paraId="17F55F48" w14:textId="77777777" w:rsidR="007968EC" w:rsidRPr="002C0D19" w:rsidRDefault="007968EC" w:rsidP="007968EC">
            <w:pPr>
              <w:jc w:val="center"/>
              <w:rPr>
                <w:rFonts w:ascii="Arial Narrow" w:hAnsi="Arial Narrow"/>
                <w:b/>
                <w:bCs/>
                <w:color w:val="000000" w:themeColor="text1"/>
                <w:lang w:val="es-ES" w:eastAsia="es-CO"/>
              </w:rPr>
            </w:pPr>
            <w:r w:rsidRPr="002C0D19">
              <w:rPr>
                <w:rFonts w:ascii="Arial Narrow" w:hAnsi="Arial Narrow"/>
                <w:b/>
                <w:bCs/>
                <w:color w:val="000000" w:themeColor="text1"/>
                <w:lang w:val="es-ES" w:eastAsia="es-CO"/>
              </w:rPr>
              <w:t>4</w:t>
            </w:r>
          </w:p>
        </w:tc>
        <w:tc>
          <w:tcPr>
            <w:tcW w:w="5024" w:type="dxa"/>
            <w:vAlign w:val="center"/>
            <w:hideMark/>
          </w:tcPr>
          <w:p w14:paraId="3B5508F3"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FO GMI 007 - Poder de adhesión a convenio con la UT</w:t>
            </w:r>
          </w:p>
        </w:tc>
        <w:tc>
          <w:tcPr>
            <w:tcW w:w="3685" w:type="dxa"/>
            <w:vAlign w:val="center"/>
            <w:hideMark/>
          </w:tcPr>
          <w:p w14:paraId="48452A2B"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Respetar el formato y diligenciar todos los campos solicitados, debe contar con reconocimiento de firma y texto ante notario público</w:t>
            </w:r>
          </w:p>
        </w:tc>
      </w:tr>
      <w:tr w:rsidR="007968EC" w:rsidRPr="002C0D19" w14:paraId="51D2C8F4" w14:textId="77777777" w:rsidTr="007968EC">
        <w:trPr>
          <w:trHeight w:val="630"/>
          <w:jc w:val="center"/>
        </w:trPr>
        <w:tc>
          <w:tcPr>
            <w:tcW w:w="500" w:type="dxa"/>
            <w:noWrap/>
            <w:vAlign w:val="center"/>
            <w:hideMark/>
          </w:tcPr>
          <w:p w14:paraId="72F19545" w14:textId="77777777" w:rsidR="007968EC" w:rsidRPr="002C0D19" w:rsidRDefault="007968EC" w:rsidP="007968EC">
            <w:pPr>
              <w:jc w:val="center"/>
              <w:rPr>
                <w:rFonts w:ascii="Arial Narrow" w:hAnsi="Arial Narrow"/>
                <w:b/>
                <w:bCs/>
                <w:color w:val="000000" w:themeColor="text1"/>
                <w:lang w:val="es-ES" w:eastAsia="es-CO"/>
              </w:rPr>
            </w:pPr>
            <w:r w:rsidRPr="002C0D19">
              <w:rPr>
                <w:rFonts w:ascii="Arial Narrow" w:hAnsi="Arial Narrow"/>
                <w:b/>
                <w:bCs/>
                <w:color w:val="000000" w:themeColor="text1"/>
                <w:lang w:val="es-ES" w:eastAsia="es-CO"/>
              </w:rPr>
              <w:t>5</w:t>
            </w:r>
          </w:p>
        </w:tc>
        <w:tc>
          <w:tcPr>
            <w:tcW w:w="5024" w:type="dxa"/>
            <w:vAlign w:val="center"/>
            <w:hideMark/>
          </w:tcPr>
          <w:p w14:paraId="38F862EA"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FO GMI 008 -Declaración cumplimiento requisitos tecnológicos</w:t>
            </w:r>
          </w:p>
        </w:tc>
        <w:tc>
          <w:tcPr>
            <w:tcW w:w="3685" w:type="dxa"/>
            <w:vAlign w:val="center"/>
            <w:hideMark/>
          </w:tcPr>
          <w:p w14:paraId="2BF785BF"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Respetar el formato y diligenciar todos los campos solicitados, de lo contrario será devuelto</w:t>
            </w:r>
          </w:p>
        </w:tc>
      </w:tr>
      <w:tr w:rsidR="007968EC" w:rsidRPr="002C0D19" w14:paraId="205A70C7" w14:textId="77777777" w:rsidTr="007968EC">
        <w:trPr>
          <w:trHeight w:val="945"/>
          <w:jc w:val="center"/>
        </w:trPr>
        <w:tc>
          <w:tcPr>
            <w:tcW w:w="500" w:type="dxa"/>
            <w:noWrap/>
            <w:vAlign w:val="center"/>
            <w:hideMark/>
          </w:tcPr>
          <w:p w14:paraId="1E7406F1" w14:textId="77777777" w:rsidR="007968EC" w:rsidRPr="002C0D19" w:rsidRDefault="007968EC" w:rsidP="007968EC">
            <w:pPr>
              <w:jc w:val="center"/>
              <w:rPr>
                <w:rFonts w:ascii="Arial Narrow" w:hAnsi="Arial Narrow"/>
                <w:b/>
                <w:bCs/>
                <w:color w:val="000000" w:themeColor="text1"/>
                <w:lang w:val="es-ES" w:eastAsia="es-CO"/>
              </w:rPr>
            </w:pPr>
            <w:r w:rsidRPr="002C0D19">
              <w:rPr>
                <w:rFonts w:ascii="Arial Narrow" w:hAnsi="Arial Narrow"/>
                <w:b/>
                <w:bCs/>
                <w:color w:val="000000" w:themeColor="text1"/>
                <w:lang w:val="es-ES" w:eastAsia="es-CO"/>
              </w:rPr>
              <w:t>6</w:t>
            </w:r>
          </w:p>
        </w:tc>
        <w:tc>
          <w:tcPr>
            <w:tcW w:w="5024" w:type="dxa"/>
            <w:vAlign w:val="center"/>
            <w:hideMark/>
          </w:tcPr>
          <w:p w14:paraId="643B1E45"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FO GMI 009 -Formato Débito automático</w:t>
            </w:r>
          </w:p>
        </w:tc>
        <w:tc>
          <w:tcPr>
            <w:tcW w:w="3685" w:type="dxa"/>
            <w:vAlign w:val="center"/>
            <w:hideMark/>
          </w:tcPr>
          <w:p w14:paraId="4B052B49"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Respetar el formato y diligenciar todos los campos solicitados, debe venir con número cuenta CUD especificando portafolio.</w:t>
            </w:r>
          </w:p>
        </w:tc>
      </w:tr>
      <w:tr w:rsidR="007968EC" w:rsidRPr="002C0D19" w14:paraId="743BA056" w14:textId="77777777" w:rsidTr="007968EC">
        <w:trPr>
          <w:trHeight w:val="630"/>
          <w:jc w:val="center"/>
        </w:trPr>
        <w:tc>
          <w:tcPr>
            <w:tcW w:w="500" w:type="dxa"/>
            <w:noWrap/>
            <w:vAlign w:val="center"/>
            <w:hideMark/>
          </w:tcPr>
          <w:p w14:paraId="48A5534A" w14:textId="77777777" w:rsidR="007968EC" w:rsidRPr="002C0D19" w:rsidRDefault="007968EC" w:rsidP="007968EC">
            <w:pPr>
              <w:jc w:val="center"/>
              <w:rPr>
                <w:rFonts w:ascii="Arial Narrow" w:hAnsi="Arial Narrow"/>
                <w:b/>
                <w:bCs/>
                <w:color w:val="000000" w:themeColor="text1"/>
                <w:lang w:val="es-ES" w:eastAsia="es-CO"/>
              </w:rPr>
            </w:pPr>
            <w:r w:rsidRPr="002C0D19">
              <w:rPr>
                <w:rFonts w:ascii="Arial Narrow" w:hAnsi="Arial Narrow"/>
                <w:b/>
                <w:bCs/>
                <w:color w:val="000000" w:themeColor="text1"/>
                <w:lang w:val="es-ES" w:eastAsia="es-CO"/>
              </w:rPr>
              <w:t>7</w:t>
            </w:r>
          </w:p>
        </w:tc>
        <w:tc>
          <w:tcPr>
            <w:tcW w:w="5024" w:type="dxa"/>
            <w:vAlign w:val="center"/>
            <w:hideMark/>
          </w:tcPr>
          <w:p w14:paraId="0979254A"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FO GMI 010 -Formato de solicitud de admisión</w:t>
            </w:r>
          </w:p>
        </w:tc>
        <w:tc>
          <w:tcPr>
            <w:tcW w:w="3685" w:type="dxa"/>
            <w:vAlign w:val="center"/>
            <w:hideMark/>
          </w:tcPr>
          <w:p w14:paraId="07982E7A"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Respetar el formato y diligenciar todos los campos solicitados, de lo contrario será devuelto.</w:t>
            </w:r>
          </w:p>
        </w:tc>
      </w:tr>
      <w:tr w:rsidR="007968EC" w:rsidRPr="002C0D19" w14:paraId="2EFBEF29" w14:textId="77777777" w:rsidTr="007968EC">
        <w:trPr>
          <w:trHeight w:val="630"/>
          <w:jc w:val="center"/>
        </w:trPr>
        <w:tc>
          <w:tcPr>
            <w:tcW w:w="500" w:type="dxa"/>
            <w:noWrap/>
            <w:vAlign w:val="center"/>
            <w:hideMark/>
          </w:tcPr>
          <w:p w14:paraId="2E82EEEA" w14:textId="77777777" w:rsidR="007968EC" w:rsidRPr="002C0D19" w:rsidRDefault="007968EC" w:rsidP="007968EC">
            <w:pPr>
              <w:jc w:val="center"/>
              <w:rPr>
                <w:rFonts w:ascii="Arial Narrow" w:hAnsi="Arial Narrow"/>
                <w:b/>
                <w:bCs/>
                <w:color w:val="000000" w:themeColor="text1"/>
                <w:lang w:val="es-ES" w:eastAsia="es-CO"/>
              </w:rPr>
            </w:pPr>
            <w:r w:rsidRPr="002C0D19">
              <w:rPr>
                <w:rFonts w:ascii="Arial Narrow" w:hAnsi="Arial Narrow"/>
                <w:b/>
                <w:bCs/>
                <w:color w:val="000000" w:themeColor="text1"/>
                <w:lang w:val="es-ES" w:eastAsia="es-CO"/>
              </w:rPr>
              <w:t>8</w:t>
            </w:r>
          </w:p>
        </w:tc>
        <w:tc>
          <w:tcPr>
            <w:tcW w:w="5024" w:type="dxa"/>
            <w:vAlign w:val="center"/>
            <w:hideMark/>
          </w:tcPr>
          <w:p w14:paraId="70146198"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 xml:space="preserve">FO GMI 011 -Formulario de </w:t>
            </w:r>
            <w:proofErr w:type="spellStart"/>
            <w:r w:rsidRPr="002C0D19">
              <w:rPr>
                <w:rFonts w:ascii="Arial Narrow" w:hAnsi="Arial Narrow"/>
                <w:color w:val="000000" w:themeColor="text1"/>
                <w:lang w:val="es-ES" w:eastAsia="es-CO"/>
              </w:rPr>
              <w:t>rq</w:t>
            </w:r>
            <w:proofErr w:type="spellEnd"/>
            <w:r w:rsidRPr="002C0D19">
              <w:rPr>
                <w:rFonts w:ascii="Arial Narrow" w:hAnsi="Arial Narrow"/>
                <w:color w:val="000000" w:themeColor="text1"/>
                <w:lang w:val="es-ES" w:eastAsia="es-CO"/>
              </w:rPr>
              <w:t xml:space="preserve"> cualitativo</w:t>
            </w:r>
          </w:p>
        </w:tc>
        <w:tc>
          <w:tcPr>
            <w:tcW w:w="3685" w:type="dxa"/>
            <w:vAlign w:val="center"/>
            <w:hideMark/>
          </w:tcPr>
          <w:p w14:paraId="58F0F536"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Respetar el formato y diligenciar todos los campos solicitados, de lo contrario será devuelto.</w:t>
            </w:r>
          </w:p>
        </w:tc>
      </w:tr>
      <w:tr w:rsidR="007968EC" w:rsidRPr="002C0D19" w14:paraId="380D4EFB" w14:textId="77777777" w:rsidTr="007968EC">
        <w:trPr>
          <w:trHeight w:val="630"/>
          <w:jc w:val="center"/>
        </w:trPr>
        <w:tc>
          <w:tcPr>
            <w:tcW w:w="500" w:type="dxa"/>
            <w:noWrap/>
            <w:vAlign w:val="center"/>
            <w:hideMark/>
          </w:tcPr>
          <w:p w14:paraId="1212C9DF" w14:textId="77777777" w:rsidR="007968EC" w:rsidRPr="002C0D19" w:rsidRDefault="007968EC" w:rsidP="007968EC">
            <w:pPr>
              <w:jc w:val="center"/>
              <w:rPr>
                <w:rFonts w:ascii="Arial Narrow" w:hAnsi="Arial Narrow"/>
                <w:b/>
                <w:bCs/>
                <w:color w:val="000000" w:themeColor="text1"/>
                <w:lang w:val="es-ES" w:eastAsia="es-CO"/>
              </w:rPr>
            </w:pPr>
            <w:r w:rsidRPr="002C0D19">
              <w:rPr>
                <w:rFonts w:ascii="Arial Narrow" w:hAnsi="Arial Narrow"/>
                <w:b/>
                <w:bCs/>
                <w:color w:val="000000" w:themeColor="text1"/>
                <w:lang w:val="es-ES" w:eastAsia="es-CO"/>
              </w:rPr>
              <w:lastRenderedPageBreak/>
              <w:t>9</w:t>
            </w:r>
          </w:p>
        </w:tc>
        <w:tc>
          <w:tcPr>
            <w:tcW w:w="5024" w:type="dxa"/>
            <w:vAlign w:val="center"/>
            <w:hideMark/>
          </w:tcPr>
          <w:p w14:paraId="75D7188C"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FO GMI 013 - Listado de firmas autorizadas</w:t>
            </w:r>
          </w:p>
        </w:tc>
        <w:tc>
          <w:tcPr>
            <w:tcW w:w="3685" w:type="dxa"/>
            <w:vAlign w:val="center"/>
            <w:hideMark/>
          </w:tcPr>
          <w:p w14:paraId="57D596F6"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Respetar el formato y diligenciar todos los campos solicitados, de lo contrario será devuelto</w:t>
            </w:r>
          </w:p>
        </w:tc>
      </w:tr>
      <w:tr w:rsidR="007968EC" w:rsidRPr="002C0D19" w14:paraId="54C958C6" w14:textId="77777777" w:rsidTr="007968EC">
        <w:trPr>
          <w:trHeight w:val="630"/>
          <w:jc w:val="center"/>
        </w:trPr>
        <w:tc>
          <w:tcPr>
            <w:tcW w:w="500" w:type="dxa"/>
            <w:noWrap/>
            <w:vAlign w:val="center"/>
            <w:hideMark/>
          </w:tcPr>
          <w:p w14:paraId="719BD76F" w14:textId="77777777" w:rsidR="007968EC" w:rsidRPr="002C0D19" w:rsidRDefault="007968EC" w:rsidP="007968EC">
            <w:pPr>
              <w:jc w:val="center"/>
              <w:rPr>
                <w:rFonts w:ascii="Arial Narrow" w:hAnsi="Arial Narrow"/>
                <w:b/>
                <w:bCs/>
                <w:color w:val="000000" w:themeColor="text1"/>
                <w:lang w:val="es-ES" w:eastAsia="es-CO"/>
              </w:rPr>
            </w:pPr>
            <w:r w:rsidRPr="002C0D19">
              <w:rPr>
                <w:rFonts w:ascii="Arial Narrow" w:hAnsi="Arial Narrow"/>
                <w:b/>
                <w:bCs/>
                <w:color w:val="000000" w:themeColor="text1"/>
                <w:lang w:val="es-ES" w:eastAsia="es-CO"/>
              </w:rPr>
              <w:t>10</w:t>
            </w:r>
          </w:p>
        </w:tc>
        <w:tc>
          <w:tcPr>
            <w:tcW w:w="5024" w:type="dxa"/>
            <w:vAlign w:val="center"/>
            <w:hideMark/>
          </w:tcPr>
          <w:p w14:paraId="02A4BEE1"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FO GMI 014 -Formato de Solicitud de Creación y Modificación del Usuario Administrador</w:t>
            </w:r>
          </w:p>
        </w:tc>
        <w:tc>
          <w:tcPr>
            <w:tcW w:w="3685" w:type="dxa"/>
            <w:vAlign w:val="center"/>
            <w:hideMark/>
          </w:tcPr>
          <w:p w14:paraId="053B7377"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Respetar el formato y diligenciar todos los campos solicitados, de lo contrario será devuelto</w:t>
            </w:r>
          </w:p>
        </w:tc>
      </w:tr>
      <w:tr w:rsidR="007968EC" w:rsidRPr="002C0D19" w14:paraId="3DA63CA2" w14:textId="77777777" w:rsidTr="007968EC">
        <w:trPr>
          <w:trHeight w:val="600"/>
          <w:jc w:val="center"/>
        </w:trPr>
        <w:tc>
          <w:tcPr>
            <w:tcW w:w="500" w:type="dxa"/>
            <w:noWrap/>
            <w:vAlign w:val="center"/>
            <w:hideMark/>
          </w:tcPr>
          <w:p w14:paraId="4B5F8BC5" w14:textId="77777777" w:rsidR="007968EC" w:rsidRPr="002C0D19" w:rsidRDefault="007968EC" w:rsidP="007968EC">
            <w:pPr>
              <w:jc w:val="center"/>
              <w:rPr>
                <w:rFonts w:ascii="Arial Narrow" w:hAnsi="Arial Narrow"/>
                <w:b/>
                <w:bCs/>
                <w:color w:val="000000" w:themeColor="text1"/>
                <w:lang w:val="es-ES" w:eastAsia="es-CO"/>
              </w:rPr>
            </w:pPr>
            <w:r w:rsidRPr="002C0D19">
              <w:rPr>
                <w:rFonts w:ascii="Arial Narrow" w:hAnsi="Arial Narrow"/>
                <w:b/>
                <w:bCs/>
                <w:color w:val="000000" w:themeColor="text1"/>
                <w:lang w:val="es-ES" w:eastAsia="es-CO"/>
              </w:rPr>
              <w:t>11</w:t>
            </w:r>
          </w:p>
        </w:tc>
        <w:tc>
          <w:tcPr>
            <w:tcW w:w="5024" w:type="dxa"/>
            <w:vAlign w:val="center"/>
            <w:hideMark/>
          </w:tcPr>
          <w:p w14:paraId="2B81EC0B"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Certificado de Cámara de Comercio actualizado</w:t>
            </w:r>
          </w:p>
        </w:tc>
        <w:tc>
          <w:tcPr>
            <w:tcW w:w="3685" w:type="dxa"/>
            <w:vAlign w:val="center"/>
            <w:hideMark/>
          </w:tcPr>
          <w:p w14:paraId="324935EB"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Certificado no mayor a 30 días, de lo contrario será devuelto</w:t>
            </w:r>
          </w:p>
        </w:tc>
      </w:tr>
      <w:tr w:rsidR="007968EC" w:rsidRPr="002C0D19" w14:paraId="5CFEDC83" w14:textId="77777777" w:rsidTr="007968EC">
        <w:trPr>
          <w:trHeight w:val="600"/>
          <w:jc w:val="center"/>
        </w:trPr>
        <w:tc>
          <w:tcPr>
            <w:tcW w:w="500" w:type="dxa"/>
            <w:noWrap/>
            <w:vAlign w:val="center"/>
            <w:hideMark/>
          </w:tcPr>
          <w:p w14:paraId="2D70D889" w14:textId="77777777" w:rsidR="007968EC" w:rsidRPr="002C0D19" w:rsidRDefault="007968EC" w:rsidP="007968EC">
            <w:pPr>
              <w:jc w:val="center"/>
              <w:rPr>
                <w:rFonts w:ascii="Arial Narrow" w:hAnsi="Arial Narrow"/>
                <w:b/>
                <w:bCs/>
                <w:color w:val="000000" w:themeColor="text1"/>
                <w:lang w:val="es-ES" w:eastAsia="es-CO"/>
              </w:rPr>
            </w:pPr>
            <w:r w:rsidRPr="002C0D19">
              <w:rPr>
                <w:rFonts w:ascii="Arial Narrow" w:hAnsi="Arial Narrow"/>
                <w:b/>
                <w:bCs/>
                <w:color w:val="000000" w:themeColor="text1"/>
                <w:lang w:val="es-ES" w:eastAsia="es-CO"/>
              </w:rPr>
              <w:t>12</w:t>
            </w:r>
          </w:p>
        </w:tc>
        <w:tc>
          <w:tcPr>
            <w:tcW w:w="5024" w:type="dxa"/>
            <w:vAlign w:val="center"/>
            <w:hideMark/>
          </w:tcPr>
          <w:p w14:paraId="5D2FD6C3"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Copia del Certificado de Existencia y Representación Legal expedido por la SFC no mayor a 30 días.</w:t>
            </w:r>
          </w:p>
        </w:tc>
        <w:tc>
          <w:tcPr>
            <w:tcW w:w="3685" w:type="dxa"/>
            <w:vAlign w:val="center"/>
            <w:hideMark/>
          </w:tcPr>
          <w:p w14:paraId="0F4ECC43"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Expedido por la SFC no mayor a 30 días. De lo contrario será devuelto</w:t>
            </w:r>
          </w:p>
        </w:tc>
      </w:tr>
      <w:tr w:rsidR="007968EC" w:rsidRPr="002C0D19" w14:paraId="3F45829C" w14:textId="77777777" w:rsidTr="007968EC">
        <w:trPr>
          <w:trHeight w:val="600"/>
          <w:jc w:val="center"/>
        </w:trPr>
        <w:tc>
          <w:tcPr>
            <w:tcW w:w="500" w:type="dxa"/>
            <w:noWrap/>
            <w:vAlign w:val="center"/>
            <w:hideMark/>
          </w:tcPr>
          <w:p w14:paraId="385E73F1" w14:textId="77777777" w:rsidR="007968EC" w:rsidRPr="002C0D19" w:rsidRDefault="007968EC" w:rsidP="007968EC">
            <w:pPr>
              <w:jc w:val="center"/>
              <w:rPr>
                <w:rFonts w:ascii="Arial Narrow" w:hAnsi="Arial Narrow"/>
                <w:b/>
                <w:bCs/>
                <w:color w:val="000000" w:themeColor="text1"/>
                <w:lang w:val="es-ES" w:eastAsia="es-CO"/>
              </w:rPr>
            </w:pPr>
            <w:r w:rsidRPr="002C0D19">
              <w:rPr>
                <w:rFonts w:ascii="Arial Narrow" w:hAnsi="Arial Narrow"/>
                <w:b/>
                <w:bCs/>
                <w:color w:val="000000" w:themeColor="text1"/>
                <w:lang w:val="es-ES" w:eastAsia="es-CO"/>
              </w:rPr>
              <w:t>13</w:t>
            </w:r>
          </w:p>
        </w:tc>
        <w:tc>
          <w:tcPr>
            <w:tcW w:w="5024" w:type="dxa"/>
            <w:vAlign w:val="center"/>
            <w:hideMark/>
          </w:tcPr>
          <w:p w14:paraId="1A92C30A"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 xml:space="preserve">Estados Financieros </w:t>
            </w:r>
            <w:r w:rsidRPr="002C0D19">
              <w:rPr>
                <w:rFonts w:ascii="Arial Narrow" w:hAnsi="Arial Narrow"/>
                <w:b/>
                <w:bCs/>
                <w:color w:val="000000" w:themeColor="text1"/>
                <w:lang w:val="es-ES" w:eastAsia="es-CO"/>
              </w:rPr>
              <w:t>Auditados</w:t>
            </w:r>
            <w:r w:rsidRPr="002C0D19">
              <w:rPr>
                <w:rFonts w:ascii="Arial Narrow" w:hAnsi="Arial Narrow"/>
                <w:color w:val="000000" w:themeColor="text1"/>
                <w:lang w:val="es-ES" w:eastAsia="es-CO"/>
              </w:rPr>
              <w:t xml:space="preserve"> del último corte.</w:t>
            </w:r>
          </w:p>
        </w:tc>
        <w:tc>
          <w:tcPr>
            <w:tcW w:w="3685" w:type="dxa"/>
            <w:vAlign w:val="center"/>
            <w:hideMark/>
          </w:tcPr>
          <w:p w14:paraId="0B510BFC"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Dic o junio más reciente, de lo contrario será devuelto</w:t>
            </w:r>
          </w:p>
        </w:tc>
      </w:tr>
      <w:tr w:rsidR="007968EC" w:rsidRPr="002C0D19" w14:paraId="67D36996" w14:textId="77777777" w:rsidTr="007968EC">
        <w:trPr>
          <w:trHeight w:val="705"/>
          <w:jc w:val="center"/>
        </w:trPr>
        <w:tc>
          <w:tcPr>
            <w:tcW w:w="500" w:type="dxa"/>
            <w:noWrap/>
            <w:vAlign w:val="center"/>
            <w:hideMark/>
          </w:tcPr>
          <w:p w14:paraId="68B0801F" w14:textId="77777777" w:rsidR="007968EC" w:rsidRPr="002C0D19" w:rsidRDefault="007968EC" w:rsidP="007968EC">
            <w:pPr>
              <w:jc w:val="center"/>
              <w:rPr>
                <w:rFonts w:ascii="Arial Narrow" w:hAnsi="Arial Narrow"/>
                <w:b/>
                <w:bCs/>
                <w:color w:val="000000" w:themeColor="text1"/>
                <w:lang w:val="es-ES" w:eastAsia="es-CO"/>
              </w:rPr>
            </w:pPr>
            <w:r w:rsidRPr="002C0D19">
              <w:rPr>
                <w:rFonts w:ascii="Arial Narrow" w:hAnsi="Arial Narrow"/>
                <w:b/>
                <w:bCs/>
                <w:color w:val="000000" w:themeColor="text1"/>
                <w:lang w:val="es-ES" w:eastAsia="es-CO"/>
              </w:rPr>
              <w:t>14</w:t>
            </w:r>
          </w:p>
        </w:tc>
        <w:tc>
          <w:tcPr>
            <w:tcW w:w="5024" w:type="dxa"/>
            <w:vAlign w:val="center"/>
            <w:hideMark/>
          </w:tcPr>
          <w:p w14:paraId="56302337"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Certificación Cuenta de Deposito emitida por DCV y/o DECEVAL.</w:t>
            </w:r>
          </w:p>
        </w:tc>
        <w:tc>
          <w:tcPr>
            <w:tcW w:w="3685" w:type="dxa"/>
            <w:vAlign w:val="center"/>
            <w:hideMark/>
          </w:tcPr>
          <w:p w14:paraId="0FC3DBC9"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 </w:t>
            </w:r>
          </w:p>
        </w:tc>
      </w:tr>
      <w:tr w:rsidR="007968EC" w:rsidRPr="002C0D19" w14:paraId="135BDC3C" w14:textId="77777777" w:rsidTr="007968EC">
        <w:trPr>
          <w:trHeight w:val="945"/>
          <w:jc w:val="center"/>
        </w:trPr>
        <w:tc>
          <w:tcPr>
            <w:tcW w:w="500" w:type="dxa"/>
            <w:noWrap/>
            <w:vAlign w:val="center"/>
            <w:hideMark/>
          </w:tcPr>
          <w:p w14:paraId="348688D8" w14:textId="77777777" w:rsidR="007968EC" w:rsidRPr="002C0D19" w:rsidRDefault="007968EC" w:rsidP="007968EC">
            <w:pPr>
              <w:jc w:val="center"/>
              <w:rPr>
                <w:rFonts w:ascii="Arial Narrow" w:hAnsi="Arial Narrow"/>
                <w:b/>
                <w:bCs/>
                <w:color w:val="000000" w:themeColor="text1"/>
                <w:lang w:val="es-ES" w:eastAsia="es-CO"/>
              </w:rPr>
            </w:pPr>
            <w:r w:rsidRPr="002C0D19">
              <w:rPr>
                <w:rFonts w:ascii="Arial Narrow" w:hAnsi="Arial Narrow"/>
                <w:b/>
                <w:bCs/>
                <w:color w:val="000000" w:themeColor="text1"/>
                <w:lang w:val="es-ES" w:eastAsia="es-CO"/>
              </w:rPr>
              <w:t>15</w:t>
            </w:r>
          </w:p>
        </w:tc>
        <w:tc>
          <w:tcPr>
            <w:tcW w:w="5024" w:type="dxa"/>
            <w:vAlign w:val="center"/>
            <w:hideMark/>
          </w:tcPr>
          <w:p w14:paraId="283C88C8"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Certificación Cuenta Única de Depósito CUD emitida por el Banco de la República.</w:t>
            </w:r>
          </w:p>
        </w:tc>
        <w:tc>
          <w:tcPr>
            <w:tcW w:w="3685" w:type="dxa"/>
            <w:vAlign w:val="center"/>
            <w:hideMark/>
          </w:tcPr>
          <w:p w14:paraId="355830FB"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Copia del radicado ante el Banco de la República, debe contar con reconocimiento de texto y firma ante notario público</w:t>
            </w:r>
          </w:p>
        </w:tc>
      </w:tr>
      <w:tr w:rsidR="007968EC" w:rsidRPr="002C0D19" w14:paraId="21962F77" w14:textId="77777777" w:rsidTr="007968EC">
        <w:trPr>
          <w:trHeight w:val="630"/>
          <w:jc w:val="center"/>
        </w:trPr>
        <w:tc>
          <w:tcPr>
            <w:tcW w:w="500" w:type="dxa"/>
            <w:noWrap/>
            <w:vAlign w:val="center"/>
            <w:hideMark/>
          </w:tcPr>
          <w:p w14:paraId="461CB579" w14:textId="77777777" w:rsidR="007968EC" w:rsidRPr="002C0D19" w:rsidRDefault="007968EC" w:rsidP="007968EC">
            <w:pPr>
              <w:jc w:val="center"/>
              <w:rPr>
                <w:rFonts w:ascii="Arial Narrow" w:hAnsi="Arial Narrow"/>
                <w:b/>
                <w:bCs/>
                <w:color w:val="000000" w:themeColor="text1"/>
                <w:lang w:val="es-ES" w:eastAsia="es-CO"/>
              </w:rPr>
            </w:pPr>
            <w:r w:rsidRPr="002C0D19">
              <w:rPr>
                <w:rFonts w:ascii="Arial Narrow" w:hAnsi="Arial Narrow"/>
                <w:b/>
                <w:bCs/>
                <w:color w:val="000000" w:themeColor="text1"/>
                <w:lang w:val="es-ES" w:eastAsia="es-CO"/>
              </w:rPr>
              <w:t>16</w:t>
            </w:r>
          </w:p>
        </w:tc>
        <w:tc>
          <w:tcPr>
            <w:tcW w:w="5024" w:type="dxa"/>
            <w:vAlign w:val="center"/>
            <w:hideMark/>
          </w:tcPr>
          <w:p w14:paraId="566ACE54"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Copia Certificada por el Representante Legal de la Entidad del Informe más reciente sobre SARLAFT presentado por el revisor fiscal a la Junta Directiva.</w:t>
            </w:r>
          </w:p>
        </w:tc>
        <w:tc>
          <w:tcPr>
            <w:tcW w:w="3685" w:type="dxa"/>
            <w:vAlign w:val="center"/>
            <w:hideMark/>
          </w:tcPr>
          <w:p w14:paraId="5A7A5185"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Copia Certificada por el Representante Legal de la Entidad.</w:t>
            </w:r>
          </w:p>
        </w:tc>
      </w:tr>
      <w:tr w:rsidR="007968EC" w:rsidRPr="002C0D19" w14:paraId="7C98DC4F" w14:textId="77777777" w:rsidTr="007968EC">
        <w:trPr>
          <w:trHeight w:val="630"/>
          <w:jc w:val="center"/>
        </w:trPr>
        <w:tc>
          <w:tcPr>
            <w:tcW w:w="500" w:type="dxa"/>
            <w:noWrap/>
            <w:vAlign w:val="center"/>
            <w:hideMark/>
          </w:tcPr>
          <w:p w14:paraId="19A79B09" w14:textId="77777777" w:rsidR="007968EC" w:rsidRPr="002C0D19" w:rsidRDefault="007968EC" w:rsidP="007968EC">
            <w:pPr>
              <w:jc w:val="center"/>
              <w:rPr>
                <w:rFonts w:ascii="Arial Narrow" w:hAnsi="Arial Narrow"/>
                <w:b/>
                <w:bCs/>
                <w:color w:val="000000" w:themeColor="text1"/>
                <w:lang w:val="es-ES" w:eastAsia="es-CO"/>
              </w:rPr>
            </w:pPr>
            <w:r w:rsidRPr="002C0D19">
              <w:rPr>
                <w:rFonts w:ascii="Arial Narrow" w:hAnsi="Arial Narrow"/>
                <w:b/>
                <w:bCs/>
                <w:color w:val="000000" w:themeColor="text1"/>
                <w:lang w:val="es-ES" w:eastAsia="es-CO"/>
              </w:rPr>
              <w:t>17</w:t>
            </w:r>
          </w:p>
        </w:tc>
        <w:tc>
          <w:tcPr>
            <w:tcW w:w="5024" w:type="dxa"/>
            <w:vAlign w:val="center"/>
            <w:hideMark/>
          </w:tcPr>
          <w:p w14:paraId="4DF36197"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Certificación de las Bolsas, del sistema de negociación o del administrador de cualquier otro mecanismo autorizado por la Cámara en el sentido de que la entidad es susceptible de ser admitida y tener acceso.</w:t>
            </w:r>
          </w:p>
        </w:tc>
        <w:tc>
          <w:tcPr>
            <w:tcW w:w="3685" w:type="dxa"/>
            <w:vAlign w:val="center"/>
            <w:hideMark/>
          </w:tcPr>
          <w:p w14:paraId="0CF3B5F9"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 </w:t>
            </w:r>
          </w:p>
        </w:tc>
      </w:tr>
      <w:tr w:rsidR="007968EC" w:rsidRPr="002C0D19" w14:paraId="3E3C8DE1" w14:textId="77777777" w:rsidTr="007968EC">
        <w:trPr>
          <w:trHeight w:val="945"/>
          <w:jc w:val="center"/>
        </w:trPr>
        <w:tc>
          <w:tcPr>
            <w:tcW w:w="500" w:type="dxa"/>
            <w:noWrap/>
            <w:vAlign w:val="center"/>
            <w:hideMark/>
          </w:tcPr>
          <w:p w14:paraId="0F48AE26" w14:textId="77777777" w:rsidR="007968EC" w:rsidRPr="002C0D19" w:rsidRDefault="007968EC" w:rsidP="007968EC">
            <w:pPr>
              <w:jc w:val="center"/>
              <w:rPr>
                <w:rFonts w:ascii="Arial Narrow" w:hAnsi="Arial Narrow"/>
                <w:b/>
                <w:bCs/>
                <w:color w:val="000000" w:themeColor="text1"/>
                <w:lang w:val="es-ES" w:eastAsia="es-CO"/>
              </w:rPr>
            </w:pPr>
            <w:r w:rsidRPr="002C0D19">
              <w:rPr>
                <w:rFonts w:ascii="Arial Narrow" w:hAnsi="Arial Narrow"/>
                <w:b/>
                <w:bCs/>
                <w:color w:val="000000" w:themeColor="text1"/>
                <w:lang w:val="es-ES" w:eastAsia="es-CO"/>
              </w:rPr>
              <w:t>18</w:t>
            </w:r>
          </w:p>
        </w:tc>
        <w:tc>
          <w:tcPr>
            <w:tcW w:w="5024" w:type="dxa"/>
            <w:vAlign w:val="center"/>
            <w:hideMark/>
          </w:tcPr>
          <w:p w14:paraId="724DAD8F"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 xml:space="preserve">Certificación que acredite estar inscrito en el Registro Nacional de Agentes del Mercado y ser miembro de una autoridad de autorregulación, en el caso de ser aplicable este requisito. </w:t>
            </w:r>
          </w:p>
        </w:tc>
        <w:tc>
          <w:tcPr>
            <w:tcW w:w="3685" w:type="dxa"/>
            <w:vAlign w:val="center"/>
            <w:hideMark/>
          </w:tcPr>
          <w:p w14:paraId="29084B46"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 </w:t>
            </w:r>
          </w:p>
        </w:tc>
      </w:tr>
      <w:tr w:rsidR="007968EC" w:rsidRPr="002C0D19" w14:paraId="083DFC3E" w14:textId="77777777" w:rsidTr="007968EC">
        <w:trPr>
          <w:trHeight w:val="315"/>
          <w:jc w:val="center"/>
        </w:trPr>
        <w:tc>
          <w:tcPr>
            <w:tcW w:w="500" w:type="dxa"/>
            <w:noWrap/>
            <w:vAlign w:val="center"/>
            <w:hideMark/>
          </w:tcPr>
          <w:p w14:paraId="341BB539" w14:textId="77777777" w:rsidR="007968EC" w:rsidRPr="002C0D19" w:rsidRDefault="007968EC" w:rsidP="007968EC">
            <w:pPr>
              <w:jc w:val="center"/>
              <w:rPr>
                <w:rFonts w:ascii="Arial Narrow" w:hAnsi="Arial Narrow"/>
                <w:b/>
                <w:bCs/>
                <w:color w:val="000000" w:themeColor="text1"/>
                <w:lang w:val="es-ES" w:eastAsia="es-CO"/>
              </w:rPr>
            </w:pPr>
            <w:r w:rsidRPr="002C0D19">
              <w:rPr>
                <w:rFonts w:ascii="Arial Narrow" w:hAnsi="Arial Narrow"/>
                <w:b/>
                <w:bCs/>
                <w:color w:val="000000" w:themeColor="text1"/>
                <w:lang w:val="es-ES" w:eastAsia="es-CO"/>
              </w:rPr>
              <w:t> </w:t>
            </w:r>
          </w:p>
        </w:tc>
        <w:tc>
          <w:tcPr>
            <w:tcW w:w="8709" w:type="dxa"/>
            <w:gridSpan w:val="2"/>
            <w:vAlign w:val="center"/>
            <w:hideMark/>
          </w:tcPr>
          <w:p w14:paraId="2604264C" w14:textId="77777777" w:rsidR="007968EC" w:rsidRPr="002C0D19" w:rsidRDefault="007968EC" w:rsidP="007968EC">
            <w:pPr>
              <w:jc w:val="center"/>
              <w:rPr>
                <w:rFonts w:ascii="Arial Narrow" w:hAnsi="Arial Narrow"/>
                <w:b/>
                <w:bCs/>
                <w:color w:val="000000" w:themeColor="text1"/>
                <w:lang w:val="es-ES" w:eastAsia="es-CO"/>
              </w:rPr>
            </w:pPr>
            <w:r w:rsidRPr="002C0D19">
              <w:rPr>
                <w:rFonts w:ascii="Arial Narrow" w:hAnsi="Arial Narrow"/>
                <w:b/>
                <w:bCs/>
                <w:color w:val="000000" w:themeColor="text1"/>
                <w:lang w:val="es-ES" w:eastAsia="es-CO"/>
              </w:rPr>
              <w:t>DOCUMENTOS ADICIONALES PARA VINCULARSE COMO MIEMBRO NO LIQUIDADOR</w:t>
            </w:r>
          </w:p>
        </w:tc>
      </w:tr>
      <w:tr w:rsidR="007968EC" w:rsidRPr="002C0D19" w14:paraId="7FEC24C0" w14:textId="77777777" w:rsidTr="007968EC">
        <w:trPr>
          <w:trHeight w:val="1065"/>
          <w:jc w:val="center"/>
        </w:trPr>
        <w:tc>
          <w:tcPr>
            <w:tcW w:w="500" w:type="dxa"/>
            <w:noWrap/>
            <w:vAlign w:val="center"/>
            <w:hideMark/>
          </w:tcPr>
          <w:p w14:paraId="4D0286B4" w14:textId="77777777" w:rsidR="007968EC" w:rsidRPr="002C0D19" w:rsidRDefault="007968EC" w:rsidP="007968EC">
            <w:pPr>
              <w:jc w:val="center"/>
              <w:rPr>
                <w:rFonts w:ascii="Arial Narrow" w:hAnsi="Arial Narrow"/>
                <w:b/>
                <w:bCs/>
                <w:color w:val="000000" w:themeColor="text1"/>
                <w:lang w:val="es-ES" w:eastAsia="es-CO"/>
              </w:rPr>
            </w:pPr>
            <w:r w:rsidRPr="002C0D19">
              <w:rPr>
                <w:rFonts w:ascii="Arial Narrow" w:hAnsi="Arial Narrow"/>
                <w:b/>
                <w:bCs/>
                <w:color w:val="000000" w:themeColor="text1"/>
                <w:lang w:val="es-ES" w:eastAsia="es-CO"/>
              </w:rPr>
              <w:t>19</w:t>
            </w:r>
          </w:p>
        </w:tc>
        <w:tc>
          <w:tcPr>
            <w:tcW w:w="5024" w:type="dxa"/>
            <w:vAlign w:val="center"/>
            <w:hideMark/>
          </w:tcPr>
          <w:p w14:paraId="74F6795C"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Carta Presentación donde el miembro liquidador presenta a el Miembro no Liquidador (aplica solo para Miembros no Liquidadores)</w:t>
            </w:r>
          </w:p>
        </w:tc>
        <w:tc>
          <w:tcPr>
            <w:tcW w:w="3685" w:type="dxa"/>
            <w:vAlign w:val="center"/>
            <w:hideMark/>
          </w:tcPr>
          <w:p w14:paraId="2E9AB3B0"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 </w:t>
            </w:r>
          </w:p>
        </w:tc>
      </w:tr>
      <w:tr w:rsidR="007968EC" w:rsidRPr="002C0D19" w14:paraId="13AA9E29" w14:textId="77777777" w:rsidTr="007968EC">
        <w:trPr>
          <w:trHeight w:val="945"/>
          <w:jc w:val="center"/>
        </w:trPr>
        <w:tc>
          <w:tcPr>
            <w:tcW w:w="500" w:type="dxa"/>
            <w:noWrap/>
            <w:vAlign w:val="center"/>
            <w:hideMark/>
          </w:tcPr>
          <w:p w14:paraId="214AD456" w14:textId="77777777" w:rsidR="007968EC" w:rsidRPr="002C0D19" w:rsidRDefault="007968EC" w:rsidP="007968EC">
            <w:pPr>
              <w:jc w:val="center"/>
              <w:rPr>
                <w:rFonts w:ascii="Arial Narrow" w:hAnsi="Arial Narrow"/>
                <w:b/>
                <w:bCs/>
                <w:color w:val="000000" w:themeColor="text1"/>
                <w:lang w:val="es-ES" w:eastAsia="es-CO"/>
              </w:rPr>
            </w:pPr>
            <w:r w:rsidRPr="002C0D19">
              <w:rPr>
                <w:rFonts w:ascii="Arial Narrow" w:hAnsi="Arial Narrow"/>
                <w:b/>
                <w:bCs/>
                <w:color w:val="000000" w:themeColor="text1"/>
                <w:lang w:val="es-ES" w:eastAsia="es-CO"/>
              </w:rPr>
              <w:t>20</w:t>
            </w:r>
          </w:p>
        </w:tc>
        <w:tc>
          <w:tcPr>
            <w:tcW w:w="5024" w:type="dxa"/>
            <w:vAlign w:val="center"/>
            <w:hideMark/>
          </w:tcPr>
          <w:p w14:paraId="4EC0A103"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Convenio con uno o varios Miembros Liquidadores Generales. (original)</w:t>
            </w:r>
          </w:p>
        </w:tc>
        <w:tc>
          <w:tcPr>
            <w:tcW w:w="3685" w:type="dxa"/>
            <w:vAlign w:val="center"/>
            <w:hideMark/>
          </w:tcPr>
          <w:p w14:paraId="4EEDCBA7"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 </w:t>
            </w:r>
          </w:p>
        </w:tc>
      </w:tr>
      <w:tr w:rsidR="007968EC" w:rsidRPr="002C0D19" w14:paraId="3EBEB130" w14:textId="77777777" w:rsidTr="007968EC">
        <w:trPr>
          <w:trHeight w:val="315"/>
          <w:jc w:val="center"/>
        </w:trPr>
        <w:tc>
          <w:tcPr>
            <w:tcW w:w="500" w:type="dxa"/>
            <w:noWrap/>
            <w:vAlign w:val="center"/>
            <w:hideMark/>
          </w:tcPr>
          <w:p w14:paraId="1382523B" w14:textId="77777777" w:rsidR="007968EC" w:rsidRPr="002C0D19" w:rsidRDefault="007968EC" w:rsidP="007968EC">
            <w:pPr>
              <w:jc w:val="center"/>
              <w:rPr>
                <w:rFonts w:ascii="Arial Narrow" w:hAnsi="Arial Narrow"/>
                <w:b/>
                <w:bCs/>
                <w:color w:val="000000" w:themeColor="text1"/>
                <w:lang w:val="es-ES" w:eastAsia="es-CO"/>
              </w:rPr>
            </w:pPr>
            <w:r w:rsidRPr="002C0D19">
              <w:rPr>
                <w:rFonts w:ascii="Arial Narrow" w:hAnsi="Arial Narrow"/>
                <w:b/>
                <w:bCs/>
                <w:color w:val="000000" w:themeColor="text1"/>
                <w:lang w:val="es-ES" w:eastAsia="es-CO"/>
              </w:rPr>
              <w:t>21</w:t>
            </w:r>
          </w:p>
        </w:tc>
        <w:tc>
          <w:tcPr>
            <w:tcW w:w="5024" w:type="dxa"/>
            <w:vAlign w:val="center"/>
            <w:hideMark/>
          </w:tcPr>
          <w:p w14:paraId="099951EA"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Estatutos Sociales Actualizados del Miembro Liquidador General</w:t>
            </w:r>
          </w:p>
        </w:tc>
        <w:tc>
          <w:tcPr>
            <w:tcW w:w="3685" w:type="dxa"/>
            <w:vAlign w:val="center"/>
            <w:hideMark/>
          </w:tcPr>
          <w:p w14:paraId="59E8457D" w14:textId="77777777" w:rsidR="007968EC" w:rsidRPr="002C0D19" w:rsidRDefault="007968EC" w:rsidP="007968EC">
            <w:pPr>
              <w:rPr>
                <w:rFonts w:ascii="Arial Narrow" w:hAnsi="Arial Narrow"/>
                <w:color w:val="000000" w:themeColor="text1"/>
                <w:lang w:val="es-ES" w:eastAsia="es-CO"/>
              </w:rPr>
            </w:pPr>
            <w:r w:rsidRPr="002C0D19">
              <w:rPr>
                <w:rFonts w:ascii="Arial Narrow" w:hAnsi="Arial Narrow"/>
                <w:color w:val="000000" w:themeColor="text1"/>
                <w:lang w:val="es-ES" w:eastAsia="es-CO"/>
              </w:rPr>
              <w:t> </w:t>
            </w:r>
          </w:p>
        </w:tc>
      </w:tr>
    </w:tbl>
    <w:p w14:paraId="34A0640B" w14:textId="77777777" w:rsidR="007968EC" w:rsidRPr="002C0D19" w:rsidRDefault="007968EC" w:rsidP="007968EC">
      <w:pPr>
        <w:jc w:val="center"/>
        <w:rPr>
          <w:rFonts w:ascii="Arial Narrow" w:hAnsi="Arial Narrow" w:cs="Arial"/>
          <w:b/>
          <w:bCs/>
          <w:i/>
          <w:color w:val="000000" w:themeColor="text1"/>
          <w:lang w:val="es-ES" w:eastAsia="es-ES"/>
        </w:rPr>
      </w:pPr>
    </w:p>
    <w:p w14:paraId="082AB92A" w14:textId="77777777" w:rsidR="007968EC" w:rsidRPr="002C0D19" w:rsidRDefault="007968EC" w:rsidP="007968EC">
      <w:pPr>
        <w:rPr>
          <w:rFonts w:ascii="Arial Narrow" w:hAnsi="Arial Narrow" w:cs="Arial"/>
          <w:b/>
          <w:bCs/>
          <w:i/>
          <w:color w:val="000000" w:themeColor="text1"/>
          <w:lang w:val="es-ES" w:eastAsia="es-ES"/>
        </w:rPr>
      </w:pPr>
      <w:r w:rsidRPr="002C0D19">
        <w:rPr>
          <w:rFonts w:ascii="Arial Narrow" w:hAnsi="Arial Narrow" w:cs="Arial"/>
          <w:b/>
          <w:bCs/>
          <w:i/>
          <w:color w:val="000000" w:themeColor="text1"/>
          <w:lang w:val="es-ES" w:eastAsia="es-ES"/>
        </w:rPr>
        <w:br w:type="page"/>
      </w:r>
    </w:p>
    <w:p w14:paraId="6A0E3874" w14:textId="77777777" w:rsidR="007968EC" w:rsidRPr="002C0D19" w:rsidRDefault="007968EC" w:rsidP="007968EC">
      <w:pPr>
        <w:jc w:val="center"/>
        <w:rPr>
          <w:rFonts w:ascii="Arial Narrow" w:hAnsi="Arial Narrow" w:cs="Arial"/>
          <w:b/>
          <w:bCs/>
          <w:i/>
          <w:color w:val="000000" w:themeColor="text1"/>
          <w:lang w:val="es-ES" w:eastAsia="es-ES"/>
        </w:rPr>
      </w:pPr>
      <w:r w:rsidRPr="002C0D19">
        <w:rPr>
          <w:rFonts w:ascii="Arial Narrow" w:hAnsi="Arial Narrow" w:cs="Arial"/>
          <w:b/>
          <w:bCs/>
          <w:i/>
          <w:color w:val="000000" w:themeColor="text1"/>
          <w:lang w:val="es-ES" w:eastAsia="es-ES"/>
        </w:rPr>
        <w:lastRenderedPageBreak/>
        <w:t>Anexo 13.2. Lista de Chequeo para solicitar el cambio de condición de Miembro no Liquidador a Miembro Liquidador.</w:t>
      </w:r>
    </w:p>
    <w:p w14:paraId="3E989CD2" w14:textId="77777777" w:rsidR="007968EC" w:rsidRPr="002C0D19" w:rsidRDefault="007968EC" w:rsidP="007968EC">
      <w:pPr>
        <w:autoSpaceDE w:val="0"/>
        <w:autoSpaceDN w:val="0"/>
        <w:jc w:val="center"/>
        <w:rPr>
          <w:rFonts w:ascii="Arial Narrow" w:hAnsi="Arial Narrow" w:cs="Arial"/>
          <w:b/>
          <w:bCs/>
          <w:color w:val="000000" w:themeColor="text1"/>
          <w:lang w:val="es-ES" w:eastAsia="es-ES"/>
        </w:rPr>
      </w:pPr>
    </w:p>
    <w:p w14:paraId="7FC50697" w14:textId="77777777" w:rsidR="007968EC" w:rsidRPr="002C0D19" w:rsidRDefault="007968EC" w:rsidP="007968EC">
      <w:pPr>
        <w:jc w:val="both"/>
        <w:rPr>
          <w:rFonts w:ascii="Arial Narrow" w:hAnsi="Arial Narrow" w:cs="Arial"/>
          <w:color w:val="000000" w:themeColor="text1"/>
          <w:lang w:val="es-ES" w:eastAsia="es-ES"/>
        </w:rPr>
      </w:pPr>
    </w:p>
    <w:tbl>
      <w:tblPr>
        <w:tblpPr w:leftFromText="141" w:rightFromText="141" w:vertAnchor="text" w:horzAnchor="margin" w:tblpY="-23"/>
        <w:tblW w:w="94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120"/>
        <w:gridCol w:w="1718"/>
        <w:gridCol w:w="1630"/>
      </w:tblGrid>
      <w:tr w:rsidR="007968EC" w:rsidRPr="002C0D19" w14:paraId="7A4C8939" w14:textId="77777777" w:rsidTr="007968EC">
        <w:tc>
          <w:tcPr>
            <w:tcW w:w="6120" w:type="dxa"/>
            <w:vAlign w:val="center"/>
          </w:tcPr>
          <w:p w14:paraId="449ADB0C" w14:textId="77777777" w:rsidR="007968EC" w:rsidRPr="002C0D19" w:rsidRDefault="007968EC" w:rsidP="007968EC">
            <w:pPr>
              <w:autoSpaceDE w:val="0"/>
              <w:autoSpaceDN w:val="0"/>
              <w:jc w:val="both"/>
              <w:rPr>
                <w:rFonts w:ascii="Arial Narrow" w:hAnsi="Arial Narrow" w:cs="Arial"/>
                <w:b/>
                <w:bCs/>
                <w:color w:val="000000" w:themeColor="text1"/>
                <w:lang w:val="es-ES" w:eastAsia="es-ES"/>
              </w:rPr>
            </w:pPr>
            <w:r w:rsidRPr="002C0D19">
              <w:rPr>
                <w:rFonts w:ascii="Arial Narrow" w:hAnsi="Arial Narrow" w:cs="Arial"/>
                <w:b/>
                <w:bCs/>
                <w:color w:val="000000" w:themeColor="text1"/>
                <w:lang w:val="es-ES" w:eastAsia="es-ES"/>
              </w:rPr>
              <w:t>Descripción</w:t>
            </w:r>
          </w:p>
        </w:tc>
        <w:tc>
          <w:tcPr>
            <w:tcW w:w="1718" w:type="dxa"/>
            <w:vAlign w:val="center"/>
          </w:tcPr>
          <w:p w14:paraId="03D22F82" w14:textId="77777777" w:rsidR="007968EC" w:rsidRPr="002C0D19" w:rsidRDefault="007968EC" w:rsidP="007968EC">
            <w:pPr>
              <w:autoSpaceDE w:val="0"/>
              <w:autoSpaceDN w:val="0"/>
              <w:jc w:val="both"/>
              <w:rPr>
                <w:rFonts w:ascii="Arial Narrow" w:hAnsi="Arial Narrow" w:cs="Arial"/>
                <w:b/>
                <w:bCs/>
                <w:color w:val="000000" w:themeColor="text1"/>
                <w:lang w:val="es-ES" w:eastAsia="es-ES"/>
              </w:rPr>
            </w:pPr>
            <w:r w:rsidRPr="002C0D19">
              <w:rPr>
                <w:rFonts w:ascii="Arial Narrow" w:hAnsi="Arial Narrow" w:cs="Arial"/>
                <w:b/>
                <w:bCs/>
                <w:color w:val="000000" w:themeColor="text1"/>
                <w:lang w:val="es-ES" w:eastAsia="es-ES"/>
              </w:rPr>
              <w:t>No. Formato</w:t>
            </w:r>
          </w:p>
        </w:tc>
        <w:tc>
          <w:tcPr>
            <w:tcW w:w="1630" w:type="dxa"/>
            <w:vAlign w:val="center"/>
          </w:tcPr>
          <w:p w14:paraId="31754107" w14:textId="77777777" w:rsidR="007968EC" w:rsidRPr="002C0D19" w:rsidRDefault="007968EC" w:rsidP="007968EC">
            <w:pPr>
              <w:autoSpaceDE w:val="0"/>
              <w:autoSpaceDN w:val="0"/>
              <w:jc w:val="both"/>
              <w:rPr>
                <w:rFonts w:ascii="Arial Narrow" w:hAnsi="Arial Narrow" w:cs="Arial"/>
                <w:b/>
                <w:bCs/>
                <w:color w:val="000000" w:themeColor="text1"/>
                <w:lang w:val="es-ES" w:eastAsia="es-ES"/>
              </w:rPr>
            </w:pPr>
            <w:r w:rsidRPr="002C0D19">
              <w:rPr>
                <w:rFonts w:ascii="Arial Narrow" w:hAnsi="Arial Narrow" w:cs="Arial"/>
                <w:b/>
                <w:bCs/>
                <w:color w:val="000000" w:themeColor="text1"/>
                <w:lang w:val="es-ES" w:eastAsia="es-ES"/>
              </w:rPr>
              <w:t>Presentó</w:t>
            </w:r>
          </w:p>
        </w:tc>
      </w:tr>
      <w:tr w:rsidR="007968EC" w:rsidRPr="002C0D19" w14:paraId="13E99E7E" w14:textId="77777777" w:rsidTr="007968EC">
        <w:tc>
          <w:tcPr>
            <w:tcW w:w="6120" w:type="dxa"/>
          </w:tcPr>
          <w:p w14:paraId="65394E2F"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eastAsia="es-ES"/>
              </w:rPr>
              <w:t>Solicitud escrita firmada por un representante legal en la que solicite el cambio de condición de Miembro no Liquidador a Miembro Liquidador.</w:t>
            </w:r>
          </w:p>
        </w:tc>
        <w:tc>
          <w:tcPr>
            <w:tcW w:w="1718" w:type="dxa"/>
          </w:tcPr>
          <w:p w14:paraId="6279524A"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FO GOR MAN 0001</w:t>
            </w:r>
          </w:p>
        </w:tc>
        <w:tc>
          <w:tcPr>
            <w:tcW w:w="1630" w:type="dxa"/>
          </w:tcPr>
          <w:p w14:paraId="6356CC54"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tc>
      </w:tr>
      <w:tr w:rsidR="007968EC" w:rsidRPr="002C0D19" w14:paraId="5E641949" w14:textId="77777777" w:rsidTr="007968EC">
        <w:tc>
          <w:tcPr>
            <w:tcW w:w="6120" w:type="dxa"/>
          </w:tcPr>
          <w:p w14:paraId="0471F170"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Formulario de solicitud de admisión como Miembro ante la Cámara.</w:t>
            </w:r>
          </w:p>
        </w:tc>
        <w:tc>
          <w:tcPr>
            <w:tcW w:w="1718" w:type="dxa"/>
            <w:vAlign w:val="center"/>
          </w:tcPr>
          <w:p w14:paraId="224808DE"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FO GOR VIN 0002</w:t>
            </w:r>
          </w:p>
        </w:tc>
        <w:tc>
          <w:tcPr>
            <w:tcW w:w="1630" w:type="dxa"/>
          </w:tcPr>
          <w:p w14:paraId="4088E272"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tc>
      </w:tr>
      <w:tr w:rsidR="007968EC" w:rsidRPr="002C0D19" w14:paraId="5ACD0CBA" w14:textId="77777777" w:rsidTr="007968EC">
        <w:tc>
          <w:tcPr>
            <w:tcW w:w="6120" w:type="dxa"/>
            <w:vAlign w:val="center"/>
          </w:tcPr>
          <w:p w14:paraId="412AF89C"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Formulario actualizado de requerimientos cualitativos.</w:t>
            </w:r>
          </w:p>
        </w:tc>
        <w:tc>
          <w:tcPr>
            <w:tcW w:w="1718" w:type="dxa"/>
            <w:vAlign w:val="center"/>
          </w:tcPr>
          <w:p w14:paraId="28905283"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FO GOR VIN 0003</w:t>
            </w:r>
          </w:p>
        </w:tc>
        <w:tc>
          <w:tcPr>
            <w:tcW w:w="1630" w:type="dxa"/>
          </w:tcPr>
          <w:p w14:paraId="43BA3D43"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tc>
      </w:tr>
      <w:tr w:rsidR="007968EC" w:rsidRPr="002C0D19" w14:paraId="2704870A" w14:textId="77777777" w:rsidTr="007968EC">
        <w:tc>
          <w:tcPr>
            <w:tcW w:w="6120" w:type="dxa"/>
            <w:vAlign w:val="center"/>
          </w:tcPr>
          <w:p w14:paraId="076E302A"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Copia del certificado de existencia y representación legal expedido por la autoridad competente dentro del mes inmediatamente anterior a la solicitud.</w:t>
            </w:r>
          </w:p>
        </w:tc>
        <w:tc>
          <w:tcPr>
            <w:tcW w:w="1718" w:type="dxa"/>
            <w:vAlign w:val="center"/>
          </w:tcPr>
          <w:p w14:paraId="293A60A6"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w:t>
            </w:r>
          </w:p>
        </w:tc>
        <w:tc>
          <w:tcPr>
            <w:tcW w:w="1630" w:type="dxa"/>
          </w:tcPr>
          <w:p w14:paraId="3F9A8C48"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tc>
      </w:tr>
      <w:tr w:rsidR="007968EC" w:rsidRPr="002C0D19" w14:paraId="20F25B71" w14:textId="77777777" w:rsidTr="007968EC">
        <w:tc>
          <w:tcPr>
            <w:tcW w:w="6120" w:type="dxa"/>
            <w:vAlign w:val="center"/>
          </w:tcPr>
          <w:p w14:paraId="73BD5F26"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Estados Financieros Auditados del último corte, firmados, con notas aclaratorias y copia del dictamen del revisor fiscal.</w:t>
            </w:r>
          </w:p>
        </w:tc>
        <w:tc>
          <w:tcPr>
            <w:tcW w:w="1718" w:type="dxa"/>
          </w:tcPr>
          <w:p w14:paraId="42F830D0"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w:t>
            </w:r>
          </w:p>
        </w:tc>
        <w:tc>
          <w:tcPr>
            <w:tcW w:w="1630" w:type="dxa"/>
          </w:tcPr>
          <w:p w14:paraId="467566B7"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tc>
      </w:tr>
      <w:tr w:rsidR="007968EC" w:rsidRPr="002C0D19" w14:paraId="5F080FB2" w14:textId="77777777" w:rsidTr="007968EC">
        <w:tc>
          <w:tcPr>
            <w:tcW w:w="6120" w:type="dxa"/>
            <w:vAlign w:val="center"/>
          </w:tcPr>
          <w:p w14:paraId="0CAAB32E"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Listado de firmas autorizadas.</w:t>
            </w:r>
          </w:p>
        </w:tc>
        <w:tc>
          <w:tcPr>
            <w:tcW w:w="1718" w:type="dxa"/>
            <w:vAlign w:val="center"/>
          </w:tcPr>
          <w:p w14:paraId="0BA896E0"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FO GMI 013</w:t>
            </w:r>
          </w:p>
        </w:tc>
        <w:tc>
          <w:tcPr>
            <w:tcW w:w="1630" w:type="dxa"/>
          </w:tcPr>
          <w:p w14:paraId="5DB0B477"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tc>
      </w:tr>
      <w:tr w:rsidR="007968EC" w:rsidRPr="002C0D19" w14:paraId="669242C9" w14:textId="77777777" w:rsidTr="007968EC">
        <w:tc>
          <w:tcPr>
            <w:tcW w:w="6120" w:type="dxa"/>
            <w:vAlign w:val="center"/>
          </w:tcPr>
          <w:p w14:paraId="534F1108"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xml:space="preserve">Copia Certificada por el representante legal de la entidad del Informe más reciente sobre SARLAFT, presentado por el revisor fiscal a la Junta Directiva. </w:t>
            </w:r>
          </w:p>
        </w:tc>
        <w:tc>
          <w:tcPr>
            <w:tcW w:w="1718" w:type="dxa"/>
            <w:vAlign w:val="center"/>
          </w:tcPr>
          <w:p w14:paraId="1B4D32EE"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tc>
        <w:tc>
          <w:tcPr>
            <w:tcW w:w="1630" w:type="dxa"/>
          </w:tcPr>
          <w:p w14:paraId="7BA791D3"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tc>
      </w:tr>
      <w:tr w:rsidR="007968EC" w:rsidRPr="002C0D19" w14:paraId="0FBC2E40" w14:textId="77777777" w:rsidTr="007968EC">
        <w:tc>
          <w:tcPr>
            <w:tcW w:w="6120" w:type="dxa"/>
            <w:vAlign w:val="center"/>
          </w:tcPr>
          <w:p w14:paraId="14191208"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Formato de solicitud de creación y modificación del usuario administrador</w:t>
            </w:r>
          </w:p>
        </w:tc>
        <w:tc>
          <w:tcPr>
            <w:tcW w:w="1718" w:type="dxa"/>
            <w:vAlign w:val="center"/>
          </w:tcPr>
          <w:p w14:paraId="20D57DCC"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FO GTEC  VIN 0003</w:t>
            </w:r>
          </w:p>
        </w:tc>
        <w:tc>
          <w:tcPr>
            <w:tcW w:w="1630" w:type="dxa"/>
          </w:tcPr>
          <w:p w14:paraId="3947BA20"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tc>
      </w:tr>
      <w:tr w:rsidR="007968EC" w:rsidRPr="002C0D19" w14:paraId="5666FD76" w14:textId="77777777" w:rsidTr="007968EC">
        <w:tc>
          <w:tcPr>
            <w:tcW w:w="6120" w:type="dxa"/>
            <w:vAlign w:val="center"/>
          </w:tcPr>
          <w:p w14:paraId="414711CF"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xml:space="preserve">Comunicación del Miembro o Miembros Liquidadores Generales con los cuales tenga suscritos Convenios vigentes, en la que manifieste su conformidad con la solicitud de modificación de la condición de Miembro no Liquidador a Miembro Liquidador. </w:t>
            </w:r>
          </w:p>
        </w:tc>
        <w:tc>
          <w:tcPr>
            <w:tcW w:w="1718" w:type="dxa"/>
          </w:tcPr>
          <w:p w14:paraId="5E8313C1"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FO GOR MAN 0002</w:t>
            </w:r>
          </w:p>
        </w:tc>
        <w:tc>
          <w:tcPr>
            <w:tcW w:w="1630" w:type="dxa"/>
          </w:tcPr>
          <w:p w14:paraId="6599BFFB"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tc>
      </w:tr>
      <w:tr w:rsidR="007968EC" w:rsidRPr="002C0D19" w14:paraId="1EF2A522" w14:textId="77777777" w:rsidTr="007968EC">
        <w:tc>
          <w:tcPr>
            <w:tcW w:w="6120" w:type="dxa"/>
            <w:vAlign w:val="center"/>
          </w:tcPr>
          <w:p w14:paraId="48168CAE"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xml:space="preserve">Plan detallado para el manejo de las obligaciones de cada una de las Cuentas, incluidas las posiciones abiertas, de su estructura de Cuentas y el cronograma de cumplimiento. </w:t>
            </w:r>
          </w:p>
        </w:tc>
        <w:tc>
          <w:tcPr>
            <w:tcW w:w="1718" w:type="dxa"/>
            <w:vAlign w:val="center"/>
          </w:tcPr>
          <w:p w14:paraId="241FCFDF"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tc>
        <w:tc>
          <w:tcPr>
            <w:tcW w:w="1630" w:type="dxa"/>
          </w:tcPr>
          <w:p w14:paraId="73765D9F"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tc>
      </w:tr>
    </w:tbl>
    <w:p w14:paraId="5DB5D34E" w14:textId="77777777" w:rsidR="007968EC" w:rsidRPr="002C0D19" w:rsidRDefault="007968EC" w:rsidP="007968EC">
      <w:pPr>
        <w:jc w:val="center"/>
        <w:rPr>
          <w:rFonts w:ascii="Arial Narrow" w:hAnsi="Arial Narrow" w:cs="Arial"/>
          <w:color w:val="000000" w:themeColor="text1"/>
          <w:lang w:val="es-ES" w:eastAsia="es-ES"/>
        </w:rPr>
      </w:pPr>
    </w:p>
    <w:p w14:paraId="23783BE4" w14:textId="77777777" w:rsidR="007968EC" w:rsidRPr="002C0D19" w:rsidRDefault="007968EC" w:rsidP="007968EC">
      <w:pPr>
        <w:jc w:val="center"/>
        <w:rPr>
          <w:rFonts w:ascii="Arial Narrow" w:hAnsi="Arial Narrow" w:cs="Arial"/>
          <w:color w:val="000000" w:themeColor="text1"/>
          <w:lang w:val="es-ES" w:eastAsia="es-ES"/>
        </w:rPr>
      </w:pPr>
    </w:p>
    <w:p w14:paraId="569E6A86" w14:textId="77777777" w:rsidR="007968EC" w:rsidRPr="002C0D19" w:rsidRDefault="007968EC" w:rsidP="007968EC">
      <w:pPr>
        <w:jc w:val="center"/>
        <w:rPr>
          <w:rFonts w:ascii="Arial Narrow" w:hAnsi="Arial Narrow" w:cs="Arial"/>
          <w:color w:val="000000" w:themeColor="text1"/>
          <w:lang w:val="es-ES" w:eastAsia="es-ES"/>
        </w:rPr>
      </w:pPr>
    </w:p>
    <w:p w14:paraId="16698893" w14:textId="77777777" w:rsidR="007968EC" w:rsidRPr="002C0D19" w:rsidRDefault="007968EC" w:rsidP="007968EC">
      <w:pPr>
        <w:jc w:val="center"/>
        <w:rPr>
          <w:rFonts w:ascii="Arial Narrow" w:hAnsi="Arial Narrow" w:cs="Arial"/>
          <w:color w:val="000000" w:themeColor="text1"/>
          <w:lang w:val="es-ES" w:eastAsia="es-ES"/>
        </w:rPr>
      </w:pPr>
    </w:p>
    <w:p w14:paraId="69A92679" w14:textId="77777777" w:rsidR="007968EC" w:rsidRPr="002C0D19" w:rsidRDefault="007968EC" w:rsidP="007968EC">
      <w:pPr>
        <w:jc w:val="center"/>
        <w:rPr>
          <w:rFonts w:ascii="Arial Narrow" w:hAnsi="Arial Narrow" w:cs="Arial"/>
          <w:color w:val="000000" w:themeColor="text1"/>
          <w:lang w:val="es-ES" w:eastAsia="es-ES"/>
        </w:rPr>
      </w:pPr>
    </w:p>
    <w:p w14:paraId="1935DD35" w14:textId="77777777" w:rsidR="007968EC" w:rsidRPr="002C0D19" w:rsidRDefault="007968EC" w:rsidP="007968EC">
      <w:pPr>
        <w:jc w:val="center"/>
        <w:rPr>
          <w:rFonts w:ascii="Arial Narrow" w:hAnsi="Arial Narrow" w:cs="Arial"/>
          <w:color w:val="000000" w:themeColor="text1"/>
          <w:lang w:val="es-ES" w:eastAsia="es-ES"/>
        </w:rPr>
      </w:pPr>
    </w:p>
    <w:p w14:paraId="4273E749" w14:textId="77777777" w:rsidR="007968EC" w:rsidRPr="002C0D19" w:rsidRDefault="007968EC" w:rsidP="007968EC">
      <w:pPr>
        <w:jc w:val="center"/>
        <w:rPr>
          <w:rFonts w:ascii="Arial Narrow" w:hAnsi="Arial Narrow" w:cs="Arial"/>
          <w:color w:val="000000" w:themeColor="text1"/>
          <w:lang w:val="es-ES" w:eastAsia="es-ES"/>
        </w:rPr>
      </w:pPr>
    </w:p>
    <w:p w14:paraId="737CBBBA" w14:textId="77777777" w:rsidR="007968EC" w:rsidRPr="002C0D19" w:rsidRDefault="007968EC" w:rsidP="007968EC">
      <w:pPr>
        <w:jc w:val="center"/>
        <w:rPr>
          <w:rFonts w:ascii="Arial Narrow" w:hAnsi="Arial Narrow" w:cs="Arial"/>
          <w:color w:val="000000" w:themeColor="text1"/>
          <w:lang w:val="es-ES" w:eastAsia="es-ES"/>
        </w:rPr>
      </w:pPr>
    </w:p>
    <w:p w14:paraId="133AB11B" w14:textId="77777777" w:rsidR="007968EC" w:rsidRPr="002C0D19" w:rsidRDefault="007968EC" w:rsidP="007968EC">
      <w:pPr>
        <w:jc w:val="center"/>
        <w:rPr>
          <w:rFonts w:ascii="Arial Narrow" w:hAnsi="Arial Narrow" w:cs="Arial"/>
          <w:color w:val="000000" w:themeColor="text1"/>
          <w:lang w:val="es-ES" w:eastAsia="es-ES"/>
        </w:rPr>
      </w:pPr>
    </w:p>
    <w:p w14:paraId="4DA906E4" w14:textId="77777777" w:rsidR="007968EC" w:rsidRPr="002C0D19" w:rsidRDefault="007968EC" w:rsidP="007968EC">
      <w:pPr>
        <w:jc w:val="center"/>
        <w:rPr>
          <w:rFonts w:ascii="Arial Narrow" w:hAnsi="Arial Narrow" w:cs="Arial"/>
          <w:b/>
          <w:bCs/>
          <w:i/>
          <w:color w:val="000000" w:themeColor="text1"/>
          <w:lang w:val="es-ES" w:eastAsia="es-ES"/>
        </w:rPr>
      </w:pPr>
      <w:r w:rsidRPr="002C0D19">
        <w:rPr>
          <w:rFonts w:ascii="Arial Narrow" w:hAnsi="Arial Narrow" w:cs="Arial"/>
          <w:b/>
          <w:bCs/>
          <w:i/>
          <w:color w:val="000000" w:themeColor="text1"/>
          <w:lang w:val="es-ES" w:eastAsia="es-ES"/>
        </w:rPr>
        <w:lastRenderedPageBreak/>
        <w:t>Anexo 13.3. Lista de Chequeo para solicitar el cambio de condición de Miembro Liquidador Individual a Miembro Liquidador General.</w:t>
      </w:r>
    </w:p>
    <w:p w14:paraId="687A2780" w14:textId="77777777" w:rsidR="007968EC" w:rsidRPr="002C0D19" w:rsidRDefault="007968EC" w:rsidP="007968EC">
      <w:pPr>
        <w:jc w:val="center"/>
        <w:rPr>
          <w:rFonts w:ascii="Arial Narrow" w:hAnsi="Arial Narrow" w:cs="Arial"/>
          <w:b/>
          <w:bCs/>
          <w:i/>
          <w:color w:val="000000" w:themeColor="text1"/>
          <w:lang w:val="es-ES" w:eastAsia="es-ES"/>
        </w:rPr>
      </w:pPr>
    </w:p>
    <w:p w14:paraId="314A4F10" w14:textId="77777777" w:rsidR="007968EC" w:rsidRPr="002C0D19" w:rsidRDefault="007968EC" w:rsidP="007968EC">
      <w:pPr>
        <w:autoSpaceDE w:val="0"/>
        <w:autoSpaceDN w:val="0"/>
        <w:jc w:val="center"/>
        <w:rPr>
          <w:rFonts w:ascii="Arial Narrow" w:hAnsi="Arial Narrow" w:cs="Arial"/>
          <w:bCs/>
          <w:color w:val="000000" w:themeColor="text1"/>
          <w:lang w:val="es-ES" w:eastAsia="es-ES"/>
        </w:rPr>
      </w:pPr>
      <w:r w:rsidRPr="002C0D19">
        <w:rPr>
          <w:rFonts w:ascii="Arial Narrow" w:hAnsi="Arial Narrow" w:cs="Arial"/>
          <w:b/>
          <w:color w:val="000000" w:themeColor="text1"/>
          <w:lang w:val="es-ES" w:eastAsia="es-ES"/>
        </w:rPr>
        <w:t>(</w:t>
      </w:r>
      <w:r w:rsidRPr="002C0D19">
        <w:rPr>
          <w:rFonts w:ascii="Arial Narrow" w:hAnsi="Arial Narrow" w:cs="Arial"/>
          <w:b/>
          <w:i/>
          <w:color w:val="000000" w:themeColor="text1"/>
          <w:lang w:val="es-ES" w:eastAsia="es-ES"/>
        </w:rPr>
        <w:t xml:space="preserve">Este anexo fue adicionado mediante </w:t>
      </w:r>
      <w:r w:rsidRPr="002C0D19">
        <w:rPr>
          <w:rFonts w:ascii="Arial Narrow" w:hAnsi="Arial Narrow" w:cs="Arial"/>
          <w:b/>
          <w:bCs/>
          <w:i/>
          <w:color w:val="000000" w:themeColor="text1"/>
          <w:lang w:val="es-ES" w:eastAsia="es-ES"/>
        </w:rPr>
        <w:t>Circular 7 del 2 de abril de 2013, publicada en el Boletín Normativo No. 008 del 2 de abril de 2013. Rige a partir del 3 de abril de 2013.)</w:t>
      </w:r>
    </w:p>
    <w:p w14:paraId="0AC7F26E" w14:textId="77777777" w:rsidR="007968EC" w:rsidRPr="002C0D19" w:rsidRDefault="007968EC" w:rsidP="007968EC">
      <w:pPr>
        <w:jc w:val="center"/>
        <w:rPr>
          <w:rFonts w:ascii="Arial Narrow" w:hAnsi="Arial Narrow" w:cs="Arial"/>
          <w:color w:val="000000" w:themeColor="text1"/>
          <w:lang w:val="es-ES" w:eastAsia="es-ES"/>
        </w:rPr>
      </w:pPr>
    </w:p>
    <w:tbl>
      <w:tblPr>
        <w:tblpPr w:leftFromText="141" w:rightFromText="141" w:vertAnchor="text" w:horzAnchor="margin" w:tblpX="108" w:tblpY="-23"/>
        <w:tblW w:w="9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012"/>
        <w:gridCol w:w="1893"/>
        <w:gridCol w:w="1455"/>
      </w:tblGrid>
      <w:tr w:rsidR="007968EC" w:rsidRPr="002C0D19" w14:paraId="1CB01402" w14:textId="77777777" w:rsidTr="007968EC">
        <w:tc>
          <w:tcPr>
            <w:tcW w:w="6012" w:type="dxa"/>
            <w:vAlign w:val="center"/>
          </w:tcPr>
          <w:p w14:paraId="33AC22BB" w14:textId="77777777" w:rsidR="007968EC" w:rsidRPr="002C0D19" w:rsidRDefault="007968EC" w:rsidP="007968EC">
            <w:pPr>
              <w:autoSpaceDE w:val="0"/>
              <w:autoSpaceDN w:val="0"/>
              <w:jc w:val="center"/>
              <w:rPr>
                <w:rFonts w:ascii="Arial Narrow" w:hAnsi="Arial Narrow" w:cs="Arial"/>
                <w:b/>
                <w:bCs/>
                <w:color w:val="000000" w:themeColor="text1"/>
                <w:lang w:val="es-ES" w:eastAsia="es-ES"/>
              </w:rPr>
            </w:pPr>
            <w:r w:rsidRPr="002C0D19">
              <w:rPr>
                <w:rFonts w:ascii="Arial Narrow" w:hAnsi="Arial Narrow" w:cs="Arial"/>
                <w:b/>
                <w:bCs/>
                <w:color w:val="000000" w:themeColor="text1"/>
                <w:lang w:val="es-ES" w:eastAsia="es-ES"/>
              </w:rPr>
              <w:t>Descripción</w:t>
            </w:r>
          </w:p>
        </w:tc>
        <w:tc>
          <w:tcPr>
            <w:tcW w:w="1893" w:type="dxa"/>
            <w:vAlign w:val="center"/>
          </w:tcPr>
          <w:p w14:paraId="6DBD1F52" w14:textId="77777777" w:rsidR="007968EC" w:rsidRPr="002C0D19" w:rsidRDefault="007968EC" w:rsidP="007968EC">
            <w:pPr>
              <w:autoSpaceDE w:val="0"/>
              <w:autoSpaceDN w:val="0"/>
              <w:jc w:val="center"/>
              <w:rPr>
                <w:rFonts w:ascii="Arial Narrow" w:hAnsi="Arial Narrow" w:cs="Arial"/>
                <w:b/>
                <w:bCs/>
                <w:color w:val="000000" w:themeColor="text1"/>
                <w:lang w:val="es-ES" w:eastAsia="es-ES"/>
              </w:rPr>
            </w:pPr>
            <w:r w:rsidRPr="002C0D19">
              <w:rPr>
                <w:rFonts w:ascii="Arial Narrow" w:hAnsi="Arial Narrow" w:cs="Arial"/>
                <w:b/>
                <w:bCs/>
                <w:color w:val="000000" w:themeColor="text1"/>
                <w:lang w:val="es-ES" w:eastAsia="es-ES"/>
              </w:rPr>
              <w:t>No. Formato</w:t>
            </w:r>
          </w:p>
        </w:tc>
        <w:tc>
          <w:tcPr>
            <w:tcW w:w="1455" w:type="dxa"/>
            <w:vAlign w:val="center"/>
          </w:tcPr>
          <w:p w14:paraId="0B678042" w14:textId="77777777" w:rsidR="007968EC" w:rsidRPr="002C0D19" w:rsidRDefault="007968EC" w:rsidP="007968EC">
            <w:pPr>
              <w:autoSpaceDE w:val="0"/>
              <w:autoSpaceDN w:val="0"/>
              <w:jc w:val="center"/>
              <w:rPr>
                <w:rFonts w:ascii="Arial Narrow" w:hAnsi="Arial Narrow" w:cs="Arial"/>
                <w:b/>
                <w:bCs/>
                <w:color w:val="000000" w:themeColor="text1"/>
                <w:lang w:val="es-ES" w:eastAsia="es-ES"/>
              </w:rPr>
            </w:pPr>
            <w:r w:rsidRPr="002C0D19">
              <w:rPr>
                <w:rFonts w:ascii="Arial Narrow" w:hAnsi="Arial Narrow" w:cs="Arial"/>
                <w:b/>
                <w:bCs/>
                <w:color w:val="000000" w:themeColor="text1"/>
                <w:lang w:val="es-ES" w:eastAsia="es-ES"/>
              </w:rPr>
              <w:t>Presentó</w:t>
            </w:r>
          </w:p>
        </w:tc>
      </w:tr>
      <w:tr w:rsidR="007968EC" w:rsidRPr="002C0D19" w14:paraId="2012D5B4" w14:textId="77777777" w:rsidTr="007968EC">
        <w:tc>
          <w:tcPr>
            <w:tcW w:w="6012" w:type="dxa"/>
          </w:tcPr>
          <w:p w14:paraId="29FC54C3"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eastAsia="es-ES"/>
              </w:rPr>
              <w:t>Solicitud escrita firmada por un representante legal en la que solicite el cambio de condición de Miembro Liquidador Individual a Miembro Liquidador General.</w:t>
            </w:r>
          </w:p>
        </w:tc>
        <w:tc>
          <w:tcPr>
            <w:tcW w:w="1893" w:type="dxa"/>
          </w:tcPr>
          <w:p w14:paraId="504C93FB" w14:textId="77777777" w:rsidR="007968EC" w:rsidRPr="002C0D19" w:rsidRDefault="007968EC" w:rsidP="007968EC">
            <w:pPr>
              <w:autoSpaceDE w:val="0"/>
              <w:autoSpaceDN w:val="0"/>
              <w:jc w:val="both"/>
              <w:rPr>
                <w:rFonts w:ascii="Arial Narrow" w:hAnsi="Arial Narrow" w:cs="Arial"/>
                <w:bCs/>
                <w:color w:val="000000" w:themeColor="text1"/>
                <w:lang w:eastAsia="es-ES"/>
              </w:rPr>
            </w:pPr>
          </w:p>
          <w:p w14:paraId="24D5E78A"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eastAsia="es-ES"/>
              </w:rPr>
              <w:t>FO VIN 020</w:t>
            </w:r>
          </w:p>
        </w:tc>
        <w:tc>
          <w:tcPr>
            <w:tcW w:w="1455" w:type="dxa"/>
          </w:tcPr>
          <w:p w14:paraId="3D206D6D"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tc>
      </w:tr>
      <w:tr w:rsidR="007968EC" w:rsidRPr="002C0D19" w14:paraId="3983EA73" w14:textId="77777777" w:rsidTr="007968EC">
        <w:tc>
          <w:tcPr>
            <w:tcW w:w="6012" w:type="dxa"/>
          </w:tcPr>
          <w:p w14:paraId="0D9D0B79"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Formulario de solicitud de admisión como Miembro ante la Cámara en la modalidad de Miembro Liquidador General.</w:t>
            </w:r>
          </w:p>
        </w:tc>
        <w:tc>
          <w:tcPr>
            <w:tcW w:w="1893" w:type="dxa"/>
            <w:vAlign w:val="center"/>
          </w:tcPr>
          <w:p w14:paraId="5CCDD375"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FO GOR VIN 0002</w:t>
            </w:r>
          </w:p>
        </w:tc>
        <w:tc>
          <w:tcPr>
            <w:tcW w:w="1455" w:type="dxa"/>
          </w:tcPr>
          <w:p w14:paraId="5F3619AD"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tc>
      </w:tr>
      <w:tr w:rsidR="007968EC" w:rsidRPr="002C0D19" w14:paraId="0A243515" w14:textId="77777777" w:rsidTr="007968EC">
        <w:tc>
          <w:tcPr>
            <w:tcW w:w="6012" w:type="dxa"/>
            <w:vAlign w:val="center"/>
          </w:tcPr>
          <w:p w14:paraId="14C60723"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Formulario actualizado de requerimientos cualitativos, en la modalidad de Miembro Liquidador General.</w:t>
            </w:r>
          </w:p>
        </w:tc>
        <w:tc>
          <w:tcPr>
            <w:tcW w:w="1893" w:type="dxa"/>
            <w:vAlign w:val="center"/>
          </w:tcPr>
          <w:p w14:paraId="0C0C7687"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FO GOR VIN 0003</w:t>
            </w:r>
          </w:p>
        </w:tc>
        <w:tc>
          <w:tcPr>
            <w:tcW w:w="1455" w:type="dxa"/>
          </w:tcPr>
          <w:p w14:paraId="552BBDFB"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tc>
      </w:tr>
      <w:tr w:rsidR="007968EC" w:rsidRPr="002C0D19" w14:paraId="4B014449" w14:textId="77777777" w:rsidTr="007968EC">
        <w:tc>
          <w:tcPr>
            <w:tcW w:w="6012" w:type="dxa"/>
            <w:vAlign w:val="center"/>
          </w:tcPr>
          <w:p w14:paraId="2A151383"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Copia del certificado de existencia y representación legal expedido por la autoridad competente dentro del mes inmediatamente anterior a la solicitud.</w:t>
            </w:r>
          </w:p>
        </w:tc>
        <w:tc>
          <w:tcPr>
            <w:tcW w:w="1893" w:type="dxa"/>
            <w:vAlign w:val="center"/>
          </w:tcPr>
          <w:p w14:paraId="059A5ADD"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w:t>
            </w:r>
          </w:p>
        </w:tc>
        <w:tc>
          <w:tcPr>
            <w:tcW w:w="1455" w:type="dxa"/>
          </w:tcPr>
          <w:p w14:paraId="0D9C94B3"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tc>
      </w:tr>
      <w:tr w:rsidR="007968EC" w:rsidRPr="002C0D19" w14:paraId="63D63563" w14:textId="77777777" w:rsidTr="007968EC">
        <w:tc>
          <w:tcPr>
            <w:tcW w:w="6012" w:type="dxa"/>
            <w:vAlign w:val="center"/>
          </w:tcPr>
          <w:p w14:paraId="0AA57346"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Estados Financieros Auditados del último corte, firmados, con notas aclaratorias y copia del dictamen del revisor fiscal.</w:t>
            </w:r>
          </w:p>
        </w:tc>
        <w:tc>
          <w:tcPr>
            <w:tcW w:w="1893" w:type="dxa"/>
          </w:tcPr>
          <w:p w14:paraId="0843F43D"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w:t>
            </w:r>
          </w:p>
        </w:tc>
        <w:tc>
          <w:tcPr>
            <w:tcW w:w="1455" w:type="dxa"/>
          </w:tcPr>
          <w:p w14:paraId="31FD774B"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tc>
      </w:tr>
      <w:tr w:rsidR="007968EC" w:rsidRPr="002C0D19" w14:paraId="5071F655" w14:textId="77777777" w:rsidTr="007968EC">
        <w:tc>
          <w:tcPr>
            <w:tcW w:w="6012" w:type="dxa"/>
            <w:vAlign w:val="center"/>
          </w:tcPr>
          <w:p w14:paraId="2BCAF933"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Listado de firmas autorizadas actualizadas, en caso de ser aplicable.</w:t>
            </w:r>
          </w:p>
        </w:tc>
        <w:tc>
          <w:tcPr>
            <w:tcW w:w="1893" w:type="dxa"/>
            <w:vAlign w:val="center"/>
          </w:tcPr>
          <w:p w14:paraId="24C6D206" w14:textId="77777777" w:rsidR="007968EC" w:rsidRPr="002C0D19" w:rsidRDefault="007968EC" w:rsidP="007968EC">
            <w:pPr>
              <w:autoSpaceDE w:val="0"/>
              <w:autoSpaceDN w:val="0"/>
              <w:jc w:val="both"/>
              <w:rPr>
                <w:rFonts w:ascii="Arial Narrow" w:hAnsi="Arial Narrow" w:cs="Arial"/>
                <w:bCs/>
                <w:color w:val="000000" w:themeColor="text1"/>
                <w:highlight w:val="yellow"/>
                <w:lang w:val="es-ES" w:eastAsia="es-ES"/>
              </w:rPr>
            </w:pPr>
            <w:r w:rsidRPr="002C0D19">
              <w:rPr>
                <w:rFonts w:ascii="Arial Narrow" w:hAnsi="Arial Narrow" w:cs="Arial"/>
                <w:bCs/>
                <w:color w:val="000000" w:themeColor="text1"/>
                <w:lang w:val="es-ES" w:eastAsia="es-ES"/>
              </w:rPr>
              <w:t>FO GMI 013</w:t>
            </w:r>
          </w:p>
        </w:tc>
        <w:tc>
          <w:tcPr>
            <w:tcW w:w="1455" w:type="dxa"/>
          </w:tcPr>
          <w:p w14:paraId="7A74085E"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tc>
      </w:tr>
      <w:tr w:rsidR="007968EC" w:rsidRPr="002C0D19" w14:paraId="4DC127B1" w14:textId="77777777" w:rsidTr="007968EC">
        <w:tc>
          <w:tcPr>
            <w:tcW w:w="6012" w:type="dxa"/>
            <w:vAlign w:val="center"/>
          </w:tcPr>
          <w:p w14:paraId="3F040235"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Formato de solicitud de creación y modificación del usuario administrador, en caso de ser aplicable.</w:t>
            </w:r>
          </w:p>
        </w:tc>
        <w:tc>
          <w:tcPr>
            <w:tcW w:w="1893" w:type="dxa"/>
            <w:vAlign w:val="center"/>
          </w:tcPr>
          <w:p w14:paraId="17D5713D"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FO GTEC  VIN 0003</w:t>
            </w:r>
          </w:p>
        </w:tc>
        <w:tc>
          <w:tcPr>
            <w:tcW w:w="1455" w:type="dxa"/>
          </w:tcPr>
          <w:p w14:paraId="7265FDA9"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tc>
      </w:tr>
    </w:tbl>
    <w:p w14:paraId="061C8F57" w14:textId="77777777" w:rsidR="007968EC" w:rsidRPr="002C0D19" w:rsidRDefault="007968EC" w:rsidP="007968EC">
      <w:pPr>
        <w:jc w:val="center"/>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br w:type="page"/>
      </w:r>
    </w:p>
    <w:p w14:paraId="10B3AE83" w14:textId="77777777" w:rsidR="007968EC" w:rsidRPr="002C0D19" w:rsidRDefault="007968EC" w:rsidP="007968EC">
      <w:pPr>
        <w:jc w:val="center"/>
        <w:rPr>
          <w:rFonts w:ascii="Arial Narrow" w:hAnsi="Arial Narrow" w:cs="Arial"/>
          <w:b/>
          <w:bCs/>
          <w:i/>
          <w:color w:val="000000" w:themeColor="text1"/>
          <w:lang w:val="es-ES" w:eastAsia="es-ES"/>
        </w:rPr>
      </w:pPr>
      <w:r w:rsidRPr="002C0D19">
        <w:rPr>
          <w:rFonts w:ascii="Arial Narrow" w:hAnsi="Arial Narrow" w:cs="Arial"/>
          <w:b/>
          <w:bCs/>
          <w:i/>
          <w:color w:val="000000" w:themeColor="text1"/>
          <w:lang w:val="es-ES" w:eastAsia="es-ES"/>
        </w:rPr>
        <w:lastRenderedPageBreak/>
        <w:t>Anexo 13.4. Lista de Chequeo para solicitar la admisión como Agente</w:t>
      </w:r>
    </w:p>
    <w:p w14:paraId="583A8A04" w14:textId="77777777" w:rsidR="007968EC" w:rsidRPr="002C0D19" w:rsidRDefault="007968EC" w:rsidP="007968EC">
      <w:pPr>
        <w:jc w:val="center"/>
        <w:rPr>
          <w:rFonts w:ascii="Arial Narrow" w:hAnsi="Arial Narrow" w:cs="Arial"/>
          <w:b/>
          <w:color w:val="000000" w:themeColor="text1"/>
          <w:lang w:val="es-ES" w:eastAsia="es-ES"/>
        </w:rPr>
      </w:pPr>
    </w:p>
    <w:p w14:paraId="58CD9EA8" w14:textId="77777777" w:rsidR="007968EC" w:rsidRPr="002C0D19" w:rsidRDefault="007968EC" w:rsidP="007968EC">
      <w:pPr>
        <w:rPr>
          <w:rFonts w:ascii="Arial Narrow" w:hAnsi="Arial Narrow" w:cs="Arial"/>
          <w:color w:val="000000" w:themeColor="text1"/>
          <w:lang w:val="es-ES"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29"/>
        <w:gridCol w:w="5354"/>
        <w:gridCol w:w="2268"/>
      </w:tblGrid>
      <w:tr w:rsidR="007968EC" w:rsidRPr="002C0D19" w14:paraId="6AA5870D" w14:textId="77777777" w:rsidTr="007968EC">
        <w:trPr>
          <w:cantSplit/>
          <w:trHeight w:val="423"/>
        </w:trPr>
        <w:tc>
          <w:tcPr>
            <w:tcW w:w="1729" w:type="dxa"/>
            <w:vMerge w:val="restart"/>
            <w:vAlign w:val="center"/>
          </w:tcPr>
          <w:p w14:paraId="634C7FC0" w14:textId="77777777" w:rsidR="007968EC" w:rsidRPr="002C0D19" w:rsidRDefault="007968EC" w:rsidP="007968EC">
            <w:pPr>
              <w:tabs>
                <w:tab w:val="center" w:pos="4252"/>
                <w:tab w:val="right" w:pos="8504"/>
              </w:tabs>
              <w:jc w:val="center"/>
              <w:rPr>
                <w:rFonts w:ascii="Arial Narrow" w:hAnsi="Arial Narrow" w:cs="Arial"/>
                <w:color w:val="000000" w:themeColor="text1"/>
                <w:lang w:val="es-ES" w:eastAsia="es-ES"/>
              </w:rPr>
            </w:pPr>
            <w:r w:rsidRPr="002C0D19">
              <w:rPr>
                <w:rFonts w:ascii="Arial Narrow" w:hAnsi="Arial Narrow" w:cs="Arial"/>
                <w:b/>
                <w:noProof/>
                <w:color w:val="000000" w:themeColor="text1"/>
                <w:lang w:eastAsia="es-CO"/>
              </w:rPr>
              <w:drawing>
                <wp:inline distT="0" distB="0" distL="0" distR="0" wp14:anchorId="6FC3CE2D" wp14:editId="45C97E12">
                  <wp:extent cx="1071000" cy="504000"/>
                  <wp:effectExtent l="0" t="0" r="0" b="0"/>
                  <wp:docPr id="32" name="Imagen 3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1000" cy="504000"/>
                          </a:xfrm>
                          <a:prstGeom prst="rect">
                            <a:avLst/>
                          </a:prstGeom>
                          <a:noFill/>
                          <a:ln>
                            <a:noFill/>
                          </a:ln>
                        </pic:spPr>
                      </pic:pic>
                    </a:graphicData>
                  </a:graphic>
                </wp:inline>
              </w:drawing>
            </w:r>
          </w:p>
        </w:tc>
        <w:tc>
          <w:tcPr>
            <w:tcW w:w="5354" w:type="dxa"/>
            <w:vAlign w:val="center"/>
          </w:tcPr>
          <w:p w14:paraId="08CDD819" w14:textId="77777777" w:rsidR="007968EC" w:rsidRPr="002C0D19" w:rsidRDefault="007968EC" w:rsidP="007968EC">
            <w:pPr>
              <w:tabs>
                <w:tab w:val="center" w:pos="4252"/>
                <w:tab w:val="right" w:pos="8504"/>
              </w:tabs>
              <w:jc w:val="center"/>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FORMATO</w:t>
            </w:r>
          </w:p>
        </w:tc>
        <w:tc>
          <w:tcPr>
            <w:tcW w:w="2268" w:type="dxa"/>
            <w:vAlign w:val="center"/>
          </w:tcPr>
          <w:p w14:paraId="5BE7E769" w14:textId="77777777" w:rsidR="007968EC" w:rsidRPr="002C0D19" w:rsidRDefault="007968EC" w:rsidP="007968EC">
            <w:pPr>
              <w:tabs>
                <w:tab w:val="center" w:pos="4252"/>
                <w:tab w:val="right" w:pos="8504"/>
              </w:tabs>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Código:   FO GMI 018</w:t>
            </w:r>
          </w:p>
        </w:tc>
      </w:tr>
      <w:tr w:rsidR="007968EC" w:rsidRPr="002C0D19" w14:paraId="0F7D6D82" w14:textId="77777777" w:rsidTr="007968EC">
        <w:trPr>
          <w:cantSplit/>
          <w:trHeight w:val="373"/>
        </w:trPr>
        <w:tc>
          <w:tcPr>
            <w:tcW w:w="1729" w:type="dxa"/>
            <w:vMerge/>
            <w:shd w:val="pct5" w:color="auto" w:fill="FFFFFF"/>
            <w:vAlign w:val="center"/>
          </w:tcPr>
          <w:p w14:paraId="6B3AEABE" w14:textId="77777777" w:rsidR="007968EC" w:rsidRPr="002C0D19" w:rsidRDefault="007968EC" w:rsidP="007968EC">
            <w:pPr>
              <w:tabs>
                <w:tab w:val="center" w:pos="4252"/>
                <w:tab w:val="right" w:pos="8504"/>
              </w:tabs>
              <w:jc w:val="center"/>
              <w:rPr>
                <w:rFonts w:ascii="Arial Narrow" w:hAnsi="Arial Narrow" w:cs="Arial"/>
                <w:color w:val="000000" w:themeColor="text1"/>
                <w:lang w:val="es-ES" w:eastAsia="es-ES"/>
              </w:rPr>
            </w:pPr>
          </w:p>
        </w:tc>
        <w:tc>
          <w:tcPr>
            <w:tcW w:w="5354" w:type="dxa"/>
            <w:vMerge w:val="restart"/>
            <w:vAlign w:val="center"/>
          </w:tcPr>
          <w:p w14:paraId="4E4C5FE0" w14:textId="77777777" w:rsidR="007968EC" w:rsidRPr="002C0D19" w:rsidRDefault="007968EC" w:rsidP="007968EC">
            <w:pPr>
              <w:tabs>
                <w:tab w:val="center" w:pos="4252"/>
                <w:tab w:val="right" w:pos="8504"/>
              </w:tabs>
              <w:jc w:val="center"/>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LISTA DE CHEQUEO</w:t>
            </w:r>
          </w:p>
          <w:p w14:paraId="63070118" w14:textId="77777777" w:rsidR="007968EC" w:rsidRPr="002C0D19" w:rsidRDefault="007968EC" w:rsidP="007968EC">
            <w:pPr>
              <w:tabs>
                <w:tab w:val="center" w:pos="4252"/>
                <w:tab w:val="right" w:pos="8504"/>
              </w:tabs>
              <w:jc w:val="center"/>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VINCULACIÓN DE MIEMBROS</w:t>
            </w:r>
          </w:p>
        </w:tc>
        <w:tc>
          <w:tcPr>
            <w:tcW w:w="2268" w:type="dxa"/>
            <w:vAlign w:val="center"/>
          </w:tcPr>
          <w:p w14:paraId="1EC1E511" w14:textId="77777777" w:rsidR="007968EC" w:rsidRPr="002C0D19" w:rsidRDefault="007968EC" w:rsidP="007968EC">
            <w:pPr>
              <w:tabs>
                <w:tab w:val="center" w:pos="4252"/>
                <w:tab w:val="right" w:pos="8504"/>
              </w:tabs>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Versión: 2.0</w:t>
            </w:r>
          </w:p>
        </w:tc>
      </w:tr>
      <w:tr w:rsidR="007968EC" w:rsidRPr="002C0D19" w14:paraId="380D228A" w14:textId="77777777" w:rsidTr="007968EC">
        <w:trPr>
          <w:cantSplit/>
          <w:trHeight w:val="181"/>
        </w:trPr>
        <w:tc>
          <w:tcPr>
            <w:tcW w:w="1729" w:type="dxa"/>
            <w:vMerge/>
            <w:shd w:val="pct5" w:color="auto" w:fill="FFFFFF"/>
            <w:vAlign w:val="center"/>
          </w:tcPr>
          <w:p w14:paraId="59DECDC5" w14:textId="77777777" w:rsidR="007968EC" w:rsidRPr="002C0D19" w:rsidRDefault="007968EC" w:rsidP="007968EC">
            <w:pPr>
              <w:tabs>
                <w:tab w:val="center" w:pos="4252"/>
                <w:tab w:val="right" w:pos="8504"/>
              </w:tabs>
              <w:jc w:val="center"/>
              <w:rPr>
                <w:rFonts w:ascii="Arial Narrow" w:hAnsi="Arial Narrow" w:cs="Arial"/>
                <w:color w:val="000000" w:themeColor="text1"/>
                <w:lang w:val="es-ES" w:eastAsia="es-ES"/>
              </w:rPr>
            </w:pPr>
          </w:p>
        </w:tc>
        <w:tc>
          <w:tcPr>
            <w:tcW w:w="5354" w:type="dxa"/>
            <w:vMerge/>
            <w:shd w:val="pct5" w:color="auto" w:fill="FFFFFF"/>
            <w:vAlign w:val="center"/>
          </w:tcPr>
          <w:p w14:paraId="5388EB96" w14:textId="77777777" w:rsidR="007968EC" w:rsidRPr="002C0D19" w:rsidRDefault="007968EC" w:rsidP="007968EC">
            <w:pPr>
              <w:tabs>
                <w:tab w:val="center" w:pos="4252"/>
                <w:tab w:val="right" w:pos="8504"/>
              </w:tabs>
              <w:jc w:val="center"/>
              <w:rPr>
                <w:rFonts w:ascii="Arial Narrow" w:hAnsi="Arial Narrow" w:cs="Arial"/>
                <w:b/>
                <w:color w:val="000000" w:themeColor="text1"/>
                <w:lang w:val="es-ES" w:eastAsia="es-ES"/>
              </w:rPr>
            </w:pPr>
          </w:p>
        </w:tc>
        <w:tc>
          <w:tcPr>
            <w:tcW w:w="2268" w:type="dxa"/>
            <w:vAlign w:val="center"/>
          </w:tcPr>
          <w:p w14:paraId="46C2BE58" w14:textId="77777777" w:rsidR="007968EC" w:rsidRPr="002C0D19" w:rsidRDefault="007968EC" w:rsidP="007968EC">
            <w:pPr>
              <w:tabs>
                <w:tab w:val="center" w:pos="4252"/>
                <w:tab w:val="right" w:pos="8504"/>
              </w:tabs>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Página 1 de 2</w:t>
            </w:r>
          </w:p>
        </w:tc>
      </w:tr>
    </w:tbl>
    <w:p w14:paraId="6AF2E98A" w14:textId="77777777" w:rsidR="007968EC" w:rsidRPr="002C0D19" w:rsidRDefault="007968EC" w:rsidP="007968EC">
      <w:pPr>
        <w:jc w:val="center"/>
        <w:rPr>
          <w:rFonts w:ascii="Arial Narrow" w:hAnsi="Arial Narrow" w:cs="Arial"/>
          <w:color w:val="000000" w:themeColor="text1"/>
          <w:lang w:val="es-ES" w:eastAsia="es-ES"/>
        </w:rPr>
      </w:pPr>
    </w:p>
    <w:tbl>
      <w:tblPr>
        <w:tblStyle w:val="Tablaconcuadrcula21"/>
        <w:tblW w:w="9346" w:type="dxa"/>
        <w:jc w:val="center"/>
        <w:tblLook w:val="04A0" w:firstRow="1" w:lastRow="0" w:firstColumn="1" w:lastColumn="0" w:noHBand="0" w:noVBand="1"/>
      </w:tblPr>
      <w:tblGrid>
        <w:gridCol w:w="500"/>
        <w:gridCol w:w="4168"/>
        <w:gridCol w:w="4678"/>
      </w:tblGrid>
      <w:tr w:rsidR="007968EC" w:rsidRPr="002C0D19" w14:paraId="48E55C24" w14:textId="77777777" w:rsidTr="007968EC">
        <w:trPr>
          <w:trHeight w:val="315"/>
          <w:jc w:val="center"/>
        </w:trPr>
        <w:tc>
          <w:tcPr>
            <w:tcW w:w="500" w:type="dxa"/>
            <w:noWrap/>
            <w:vAlign w:val="center"/>
            <w:hideMark/>
          </w:tcPr>
          <w:p w14:paraId="03F63212" w14:textId="77777777" w:rsidR="007968EC" w:rsidRPr="002C0D19" w:rsidRDefault="007968EC" w:rsidP="007968EC">
            <w:pPr>
              <w:jc w:val="center"/>
              <w:rPr>
                <w:rFonts w:ascii="Arial Narrow" w:hAnsi="Arial Narrow"/>
                <w:b/>
                <w:bCs/>
                <w:color w:val="000000" w:themeColor="text1"/>
                <w:lang w:eastAsia="es-CO"/>
              </w:rPr>
            </w:pPr>
            <w:bookmarkStart w:id="6568" w:name="RANGE!B3:D12"/>
            <w:proofErr w:type="spellStart"/>
            <w:r w:rsidRPr="002C0D19">
              <w:rPr>
                <w:rFonts w:ascii="Arial Narrow" w:hAnsi="Arial Narrow"/>
                <w:b/>
                <w:bCs/>
                <w:color w:val="000000" w:themeColor="text1"/>
                <w:lang w:eastAsia="es-CO"/>
              </w:rPr>
              <w:t>Nº</w:t>
            </w:r>
            <w:bookmarkEnd w:id="6568"/>
            <w:proofErr w:type="spellEnd"/>
          </w:p>
        </w:tc>
        <w:tc>
          <w:tcPr>
            <w:tcW w:w="4168" w:type="dxa"/>
            <w:noWrap/>
            <w:vAlign w:val="center"/>
            <w:hideMark/>
          </w:tcPr>
          <w:p w14:paraId="16EB956A" w14:textId="77777777" w:rsidR="007968EC" w:rsidRPr="002C0D19" w:rsidRDefault="007968EC" w:rsidP="007968EC">
            <w:pPr>
              <w:jc w:val="center"/>
              <w:rPr>
                <w:rFonts w:ascii="Arial Narrow" w:hAnsi="Arial Narrow"/>
                <w:b/>
                <w:bCs/>
                <w:color w:val="000000" w:themeColor="text1"/>
                <w:lang w:eastAsia="es-CO"/>
              </w:rPr>
            </w:pPr>
            <w:r w:rsidRPr="002C0D19">
              <w:rPr>
                <w:rFonts w:ascii="Arial Narrow" w:hAnsi="Arial Narrow"/>
                <w:b/>
                <w:bCs/>
                <w:color w:val="000000" w:themeColor="text1"/>
                <w:lang w:eastAsia="es-CO"/>
              </w:rPr>
              <w:t>DOCUMENTOS PARA VINCULARSE COMO AGENTE CUSTODIO DE LA CRCC S.A</w:t>
            </w:r>
          </w:p>
        </w:tc>
        <w:tc>
          <w:tcPr>
            <w:tcW w:w="4678" w:type="dxa"/>
            <w:vAlign w:val="center"/>
            <w:hideMark/>
          </w:tcPr>
          <w:p w14:paraId="66CFB1D0" w14:textId="77777777" w:rsidR="007968EC" w:rsidRPr="002C0D19" w:rsidRDefault="007968EC" w:rsidP="007968EC">
            <w:pPr>
              <w:jc w:val="center"/>
              <w:rPr>
                <w:rFonts w:ascii="Arial Narrow" w:hAnsi="Arial Narrow"/>
                <w:b/>
                <w:bCs/>
                <w:color w:val="000000" w:themeColor="text1"/>
                <w:lang w:eastAsia="es-CO"/>
              </w:rPr>
            </w:pPr>
            <w:r w:rsidRPr="002C0D19">
              <w:rPr>
                <w:rFonts w:ascii="Arial Narrow" w:hAnsi="Arial Narrow"/>
                <w:b/>
                <w:bCs/>
                <w:color w:val="000000" w:themeColor="text1"/>
                <w:lang w:eastAsia="es-CO"/>
              </w:rPr>
              <w:t>DESCRIPCIÓN</w:t>
            </w:r>
          </w:p>
        </w:tc>
      </w:tr>
      <w:tr w:rsidR="007968EC" w:rsidRPr="002C0D19" w14:paraId="6DC163C1" w14:textId="77777777" w:rsidTr="007968EC">
        <w:trPr>
          <w:trHeight w:val="600"/>
          <w:jc w:val="center"/>
        </w:trPr>
        <w:tc>
          <w:tcPr>
            <w:tcW w:w="500" w:type="dxa"/>
            <w:noWrap/>
            <w:vAlign w:val="center"/>
            <w:hideMark/>
          </w:tcPr>
          <w:p w14:paraId="220CBA48" w14:textId="77777777" w:rsidR="007968EC" w:rsidRPr="002C0D19" w:rsidRDefault="007968EC" w:rsidP="007968EC">
            <w:pPr>
              <w:jc w:val="center"/>
              <w:rPr>
                <w:rFonts w:ascii="Arial Narrow" w:hAnsi="Arial Narrow"/>
                <w:b/>
                <w:bCs/>
                <w:color w:val="000000" w:themeColor="text1"/>
                <w:lang w:eastAsia="es-CO"/>
              </w:rPr>
            </w:pPr>
            <w:r w:rsidRPr="002C0D19">
              <w:rPr>
                <w:rFonts w:ascii="Arial Narrow" w:hAnsi="Arial Narrow"/>
                <w:b/>
                <w:bCs/>
                <w:color w:val="000000" w:themeColor="text1"/>
                <w:lang w:eastAsia="es-CO"/>
              </w:rPr>
              <w:t>1</w:t>
            </w:r>
          </w:p>
        </w:tc>
        <w:tc>
          <w:tcPr>
            <w:tcW w:w="4168" w:type="dxa"/>
            <w:vAlign w:val="center"/>
            <w:hideMark/>
          </w:tcPr>
          <w:p w14:paraId="5D531088" w14:textId="77777777" w:rsidR="007968EC" w:rsidRPr="002C0D19" w:rsidRDefault="007968EC" w:rsidP="007968EC">
            <w:pPr>
              <w:jc w:val="both"/>
              <w:rPr>
                <w:rFonts w:ascii="Arial Narrow" w:hAnsi="Arial Narrow"/>
                <w:color w:val="000000" w:themeColor="text1"/>
                <w:lang w:eastAsia="es-CO"/>
              </w:rPr>
            </w:pPr>
            <w:r w:rsidRPr="002C0D19">
              <w:rPr>
                <w:rFonts w:ascii="Arial Narrow" w:hAnsi="Arial Narrow"/>
                <w:color w:val="000000" w:themeColor="text1"/>
                <w:lang w:eastAsia="es-CO"/>
              </w:rPr>
              <w:t>FO GMI 006 -Listado de accionistas</w:t>
            </w:r>
          </w:p>
        </w:tc>
        <w:tc>
          <w:tcPr>
            <w:tcW w:w="4678" w:type="dxa"/>
            <w:vAlign w:val="center"/>
            <w:hideMark/>
          </w:tcPr>
          <w:p w14:paraId="56AE09F8" w14:textId="77777777" w:rsidR="007968EC" w:rsidRPr="002C0D19" w:rsidRDefault="007968EC" w:rsidP="007968EC">
            <w:pPr>
              <w:rPr>
                <w:rFonts w:ascii="Arial Narrow" w:hAnsi="Arial Narrow"/>
                <w:color w:val="000000" w:themeColor="text1"/>
                <w:lang w:eastAsia="es-CO"/>
              </w:rPr>
            </w:pPr>
            <w:r w:rsidRPr="002C0D19">
              <w:rPr>
                <w:rFonts w:ascii="Arial Narrow" w:hAnsi="Arial Narrow"/>
                <w:color w:val="000000" w:themeColor="text1"/>
                <w:lang w:eastAsia="es-CO"/>
              </w:rPr>
              <w:t>Respetar el formato y diligenciar todos los campos solicitados</w:t>
            </w:r>
          </w:p>
        </w:tc>
      </w:tr>
      <w:tr w:rsidR="007968EC" w:rsidRPr="002C0D19" w14:paraId="41C630EC" w14:textId="77777777" w:rsidTr="007968EC">
        <w:trPr>
          <w:trHeight w:val="600"/>
          <w:jc w:val="center"/>
        </w:trPr>
        <w:tc>
          <w:tcPr>
            <w:tcW w:w="500" w:type="dxa"/>
            <w:noWrap/>
            <w:vAlign w:val="center"/>
            <w:hideMark/>
          </w:tcPr>
          <w:p w14:paraId="2F1CDC33" w14:textId="77777777" w:rsidR="007968EC" w:rsidRPr="002C0D19" w:rsidRDefault="007968EC" w:rsidP="007968EC">
            <w:pPr>
              <w:jc w:val="center"/>
              <w:rPr>
                <w:rFonts w:ascii="Arial Narrow" w:hAnsi="Arial Narrow"/>
                <w:b/>
                <w:bCs/>
                <w:color w:val="000000" w:themeColor="text1"/>
                <w:lang w:eastAsia="es-CO"/>
              </w:rPr>
            </w:pPr>
            <w:r w:rsidRPr="002C0D19">
              <w:rPr>
                <w:rFonts w:ascii="Arial Narrow" w:hAnsi="Arial Narrow"/>
                <w:b/>
                <w:bCs/>
                <w:color w:val="000000" w:themeColor="text1"/>
                <w:lang w:eastAsia="es-CO"/>
              </w:rPr>
              <w:t>2</w:t>
            </w:r>
          </w:p>
        </w:tc>
        <w:tc>
          <w:tcPr>
            <w:tcW w:w="4168" w:type="dxa"/>
            <w:vAlign w:val="center"/>
            <w:hideMark/>
          </w:tcPr>
          <w:p w14:paraId="01385863" w14:textId="77777777" w:rsidR="007968EC" w:rsidRPr="002C0D19" w:rsidRDefault="007968EC" w:rsidP="007968EC">
            <w:pPr>
              <w:jc w:val="both"/>
              <w:rPr>
                <w:rFonts w:ascii="Arial Narrow" w:hAnsi="Arial Narrow"/>
                <w:color w:val="000000" w:themeColor="text1"/>
                <w:lang w:eastAsia="es-CO"/>
              </w:rPr>
            </w:pPr>
            <w:r w:rsidRPr="002C0D19">
              <w:rPr>
                <w:rFonts w:ascii="Arial Narrow" w:hAnsi="Arial Narrow"/>
                <w:color w:val="000000" w:themeColor="text1"/>
                <w:lang w:eastAsia="es-CO"/>
              </w:rPr>
              <w:t>FO GMI 013 - Listado de firmas autorizadas</w:t>
            </w:r>
          </w:p>
        </w:tc>
        <w:tc>
          <w:tcPr>
            <w:tcW w:w="4678" w:type="dxa"/>
            <w:vAlign w:val="center"/>
            <w:hideMark/>
          </w:tcPr>
          <w:p w14:paraId="69A388DB" w14:textId="77777777" w:rsidR="007968EC" w:rsidRPr="002C0D19" w:rsidRDefault="007968EC" w:rsidP="007968EC">
            <w:pPr>
              <w:rPr>
                <w:rFonts w:ascii="Arial Narrow" w:hAnsi="Arial Narrow"/>
                <w:color w:val="000000" w:themeColor="text1"/>
                <w:lang w:eastAsia="es-CO"/>
              </w:rPr>
            </w:pPr>
            <w:r w:rsidRPr="002C0D19">
              <w:rPr>
                <w:rFonts w:ascii="Arial Narrow" w:hAnsi="Arial Narrow"/>
                <w:color w:val="000000" w:themeColor="text1"/>
                <w:lang w:eastAsia="es-CO"/>
              </w:rPr>
              <w:t>Respetar el formato y diligenciar todos los campos solicitados</w:t>
            </w:r>
          </w:p>
        </w:tc>
      </w:tr>
      <w:tr w:rsidR="007968EC" w:rsidRPr="002C0D19" w14:paraId="60BF9561" w14:textId="77777777" w:rsidTr="007968EC">
        <w:trPr>
          <w:trHeight w:val="600"/>
          <w:jc w:val="center"/>
        </w:trPr>
        <w:tc>
          <w:tcPr>
            <w:tcW w:w="500" w:type="dxa"/>
            <w:noWrap/>
            <w:vAlign w:val="center"/>
            <w:hideMark/>
          </w:tcPr>
          <w:p w14:paraId="6B4F9A3C" w14:textId="77777777" w:rsidR="007968EC" w:rsidRPr="002C0D19" w:rsidRDefault="007968EC" w:rsidP="007968EC">
            <w:pPr>
              <w:jc w:val="center"/>
              <w:rPr>
                <w:rFonts w:ascii="Arial Narrow" w:hAnsi="Arial Narrow"/>
                <w:b/>
                <w:bCs/>
                <w:color w:val="000000" w:themeColor="text1"/>
                <w:lang w:eastAsia="es-CO"/>
              </w:rPr>
            </w:pPr>
            <w:r w:rsidRPr="002C0D19">
              <w:rPr>
                <w:rFonts w:ascii="Arial Narrow" w:hAnsi="Arial Narrow"/>
                <w:b/>
                <w:bCs/>
                <w:color w:val="000000" w:themeColor="text1"/>
                <w:lang w:eastAsia="es-CO"/>
              </w:rPr>
              <w:t>3</w:t>
            </w:r>
          </w:p>
        </w:tc>
        <w:tc>
          <w:tcPr>
            <w:tcW w:w="4168" w:type="dxa"/>
            <w:vAlign w:val="center"/>
            <w:hideMark/>
          </w:tcPr>
          <w:p w14:paraId="67DCDB18" w14:textId="77777777" w:rsidR="007968EC" w:rsidRPr="002C0D19" w:rsidRDefault="007968EC" w:rsidP="007968EC">
            <w:pPr>
              <w:jc w:val="both"/>
              <w:rPr>
                <w:rFonts w:ascii="Arial Narrow" w:hAnsi="Arial Narrow"/>
                <w:color w:val="000000" w:themeColor="text1"/>
                <w:lang w:eastAsia="es-CO"/>
              </w:rPr>
            </w:pPr>
            <w:r w:rsidRPr="002C0D19">
              <w:rPr>
                <w:rFonts w:ascii="Arial Narrow" w:hAnsi="Arial Narrow"/>
                <w:color w:val="000000" w:themeColor="text1"/>
                <w:lang w:eastAsia="es-CO"/>
              </w:rPr>
              <w:t>FO GMI 014 -Formato de Solicitud de Creación y Modificación del Usuario Administrador</w:t>
            </w:r>
          </w:p>
        </w:tc>
        <w:tc>
          <w:tcPr>
            <w:tcW w:w="4678" w:type="dxa"/>
            <w:vAlign w:val="center"/>
            <w:hideMark/>
          </w:tcPr>
          <w:p w14:paraId="1ECE05C2" w14:textId="77777777" w:rsidR="007968EC" w:rsidRPr="002C0D19" w:rsidRDefault="007968EC" w:rsidP="007968EC">
            <w:pPr>
              <w:rPr>
                <w:rFonts w:ascii="Arial Narrow" w:hAnsi="Arial Narrow"/>
                <w:color w:val="000000" w:themeColor="text1"/>
                <w:lang w:eastAsia="es-CO"/>
              </w:rPr>
            </w:pPr>
            <w:r w:rsidRPr="002C0D19">
              <w:rPr>
                <w:rFonts w:ascii="Arial Narrow" w:hAnsi="Arial Narrow"/>
                <w:color w:val="000000" w:themeColor="text1"/>
                <w:lang w:eastAsia="es-CO"/>
              </w:rPr>
              <w:t>Respetar el formato y diligenciar todos los campos solicitados</w:t>
            </w:r>
          </w:p>
        </w:tc>
      </w:tr>
      <w:tr w:rsidR="007968EC" w:rsidRPr="002C0D19" w14:paraId="5FC90D27" w14:textId="77777777" w:rsidTr="007968EC">
        <w:trPr>
          <w:trHeight w:val="630"/>
          <w:jc w:val="center"/>
        </w:trPr>
        <w:tc>
          <w:tcPr>
            <w:tcW w:w="500" w:type="dxa"/>
            <w:noWrap/>
            <w:vAlign w:val="center"/>
            <w:hideMark/>
          </w:tcPr>
          <w:p w14:paraId="30D28308" w14:textId="77777777" w:rsidR="007968EC" w:rsidRPr="002C0D19" w:rsidRDefault="007968EC" w:rsidP="007968EC">
            <w:pPr>
              <w:jc w:val="center"/>
              <w:rPr>
                <w:rFonts w:ascii="Arial Narrow" w:hAnsi="Arial Narrow"/>
                <w:b/>
                <w:bCs/>
                <w:color w:val="000000" w:themeColor="text1"/>
                <w:lang w:eastAsia="es-CO"/>
              </w:rPr>
            </w:pPr>
            <w:r w:rsidRPr="002C0D19">
              <w:rPr>
                <w:rFonts w:ascii="Arial Narrow" w:hAnsi="Arial Narrow"/>
                <w:b/>
                <w:bCs/>
                <w:color w:val="000000" w:themeColor="text1"/>
                <w:lang w:eastAsia="es-CO"/>
              </w:rPr>
              <w:t>4</w:t>
            </w:r>
          </w:p>
        </w:tc>
        <w:tc>
          <w:tcPr>
            <w:tcW w:w="4168" w:type="dxa"/>
            <w:vAlign w:val="center"/>
            <w:hideMark/>
          </w:tcPr>
          <w:p w14:paraId="16F986C0" w14:textId="77777777" w:rsidR="007968EC" w:rsidRPr="002C0D19" w:rsidRDefault="007968EC" w:rsidP="007968EC">
            <w:pPr>
              <w:jc w:val="both"/>
              <w:rPr>
                <w:rFonts w:ascii="Arial Narrow" w:hAnsi="Arial Narrow"/>
                <w:color w:val="000000" w:themeColor="text1"/>
                <w:lang w:eastAsia="es-CO"/>
              </w:rPr>
            </w:pPr>
            <w:r w:rsidRPr="002C0D19">
              <w:rPr>
                <w:rFonts w:ascii="Arial Narrow" w:hAnsi="Arial Narrow"/>
                <w:color w:val="000000" w:themeColor="text1"/>
                <w:lang w:eastAsia="es-CO"/>
              </w:rPr>
              <w:t>FO GMI 031 -Declaración cumplimiento requisitos tecnológicos Agente Custodio</w:t>
            </w:r>
          </w:p>
        </w:tc>
        <w:tc>
          <w:tcPr>
            <w:tcW w:w="4678" w:type="dxa"/>
            <w:vAlign w:val="center"/>
            <w:hideMark/>
          </w:tcPr>
          <w:p w14:paraId="7DB33A1B" w14:textId="77777777" w:rsidR="007968EC" w:rsidRPr="002C0D19" w:rsidRDefault="007968EC" w:rsidP="007968EC">
            <w:pPr>
              <w:rPr>
                <w:rFonts w:ascii="Arial Narrow" w:hAnsi="Arial Narrow"/>
                <w:color w:val="000000" w:themeColor="text1"/>
                <w:lang w:eastAsia="es-CO"/>
              </w:rPr>
            </w:pPr>
            <w:r w:rsidRPr="002C0D19">
              <w:rPr>
                <w:rFonts w:ascii="Arial Narrow" w:hAnsi="Arial Narrow"/>
                <w:color w:val="000000" w:themeColor="text1"/>
                <w:lang w:eastAsia="es-CO"/>
              </w:rPr>
              <w:t>Respetar el formato y diligenciar todos los campos solicitados</w:t>
            </w:r>
          </w:p>
        </w:tc>
      </w:tr>
      <w:tr w:rsidR="007968EC" w:rsidRPr="002C0D19" w14:paraId="7BB45A86" w14:textId="77777777" w:rsidTr="007968EC">
        <w:trPr>
          <w:trHeight w:val="630"/>
          <w:jc w:val="center"/>
        </w:trPr>
        <w:tc>
          <w:tcPr>
            <w:tcW w:w="500" w:type="dxa"/>
            <w:noWrap/>
            <w:vAlign w:val="center"/>
            <w:hideMark/>
          </w:tcPr>
          <w:p w14:paraId="3F0A6803" w14:textId="77777777" w:rsidR="007968EC" w:rsidRPr="002C0D19" w:rsidRDefault="007968EC" w:rsidP="007968EC">
            <w:pPr>
              <w:jc w:val="center"/>
              <w:rPr>
                <w:rFonts w:ascii="Arial Narrow" w:hAnsi="Arial Narrow"/>
                <w:b/>
                <w:bCs/>
                <w:color w:val="000000" w:themeColor="text1"/>
                <w:lang w:eastAsia="es-CO"/>
              </w:rPr>
            </w:pPr>
            <w:r w:rsidRPr="002C0D19">
              <w:rPr>
                <w:rFonts w:ascii="Arial Narrow" w:hAnsi="Arial Narrow"/>
                <w:b/>
                <w:bCs/>
                <w:color w:val="000000" w:themeColor="text1"/>
                <w:lang w:eastAsia="es-CO"/>
              </w:rPr>
              <w:t>5</w:t>
            </w:r>
          </w:p>
        </w:tc>
        <w:tc>
          <w:tcPr>
            <w:tcW w:w="4168" w:type="dxa"/>
            <w:vAlign w:val="center"/>
            <w:hideMark/>
          </w:tcPr>
          <w:p w14:paraId="0D450293" w14:textId="77777777" w:rsidR="007968EC" w:rsidRPr="002C0D19" w:rsidRDefault="007968EC" w:rsidP="007968EC">
            <w:pPr>
              <w:jc w:val="both"/>
              <w:rPr>
                <w:rFonts w:ascii="Arial Narrow" w:hAnsi="Arial Narrow"/>
                <w:color w:val="000000" w:themeColor="text1"/>
                <w:lang w:eastAsia="es-CO"/>
              </w:rPr>
            </w:pPr>
            <w:r w:rsidRPr="002C0D19">
              <w:rPr>
                <w:rFonts w:ascii="Arial Narrow" w:hAnsi="Arial Narrow"/>
                <w:color w:val="000000" w:themeColor="text1"/>
                <w:lang w:eastAsia="es-CO"/>
              </w:rPr>
              <w:t>FO GMI 032 - Solicitud de aprobación como agente custodio y/o agente de pago</w:t>
            </w:r>
          </w:p>
        </w:tc>
        <w:tc>
          <w:tcPr>
            <w:tcW w:w="4678" w:type="dxa"/>
            <w:vAlign w:val="center"/>
            <w:hideMark/>
          </w:tcPr>
          <w:p w14:paraId="2B807FD2" w14:textId="77777777" w:rsidR="007968EC" w:rsidRPr="002C0D19" w:rsidRDefault="007968EC" w:rsidP="007968EC">
            <w:pPr>
              <w:rPr>
                <w:rFonts w:ascii="Arial Narrow" w:hAnsi="Arial Narrow"/>
                <w:color w:val="000000" w:themeColor="text1"/>
                <w:lang w:eastAsia="es-CO"/>
              </w:rPr>
            </w:pPr>
            <w:r w:rsidRPr="002C0D19">
              <w:rPr>
                <w:rFonts w:ascii="Arial Narrow" w:hAnsi="Arial Narrow"/>
                <w:color w:val="000000" w:themeColor="text1"/>
                <w:lang w:eastAsia="es-CO"/>
              </w:rPr>
              <w:t>Respetar el formato y diligenciar todos los campos solicitados</w:t>
            </w:r>
          </w:p>
        </w:tc>
      </w:tr>
      <w:tr w:rsidR="007968EC" w:rsidRPr="002C0D19" w14:paraId="43A3F789" w14:textId="77777777" w:rsidTr="007968EC">
        <w:trPr>
          <w:trHeight w:val="630"/>
          <w:jc w:val="center"/>
        </w:trPr>
        <w:tc>
          <w:tcPr>
            <w:tcW w:w="500" w:type="dxa"/>
            <w:noWrap/>
            <w:vAlign w:val="center"/>
            <w:hideMark/>
          </w:tcPr>
          <w:p w14:paraId="5101D292" w14:textId="77777777" w:rsidR="007968EC" w:rsidRPr="002C0D19" w:rsidRDefault="007968EC" w:rsidP="007968EC">
            <w:pPr>
              <w:jc w:val="center"/>
              <w:rPr>
                <w:rFonts w:ascii="Arial Narrow" w:hAnsi="Arial Narrow"/>
                <w:b/>
                <w:bCs/>
                <w:color w:val="000000" w:themeColor="text1"/>
                <w:lang w:eastAsia="es-CO"/>
              </w:rPr>
            </w:pPr>
            <w:r w:rsidRPr="002C0D19">
              <w:rPr>
                <w:rFonts w:ascii="Arial Narrow" w:hAnsi="Arial Narrow"/>
                <w:b/>
                <w:bCs/>
                <w:color w:val="000000" w:themeColor="text1"/>
                <w:lang w:eastAsia="es-CO"/>
              </w:rPr>
              <w:t>6</w:t>
            </w:r>
          </w:p>
        </w:tc>
        <w:tc>
          <w:tcPr>
            <w:tcW w:w="4168" w:type="dxa"/>
            <w:vAlign w:val="center"/>
            <w:hideMark/>
          </w:tcPr>
          <w:p w14:paraId="4DF809AC" w14:textId="77777777" w:rsidR="007968EC" w:rsidRPr="002C0D19" w:rsidRDefault="007968EC" w:rsidP="007968EC">
            <w:pPr>
              <w:jc w:val="both"/>
              <w:rPr>
                <w:rFonts w:ascii="Arial Narrow" w:hAnsi="Arial Narrow"/>
                <w:color w:val="000000" w:themeColor="text1"/>
                <w:lang w:eastAsia="es-CO"/>
              </w:rPr>
            </w:pPr>
            <w:r w:rsidRPr="002C0D19">
              <w:rPr>
                <w:rFonts w:ascii="Arial Narrow" w:hAnsi="Arial Narrow"/>
                <w:color w:val="000000" w:themeColor="text1"/>
                <w:lang w:eastAsia="es-CO"/>
              </w:rPr>
              <w:t>Copia Certificada por el Representante Legal de la Entidad del Informe más reciente sobre SARLAFT presentado por el revisor fiscal a la Junta Directiva.</w:t>
            </w:r>
          </w:p>
        </w:tc>
        <w:tc>
          <w:tcPr>
            <w:tcW w:w="4678" w:type="dxa"/>
            <w:vAlign w:val="center"/>
            <w:hideMark/>
          </w:tcPr>
          <w:p w14:paraId="3F97F522" w14:textId="77777777" w:rsidR="007968EC" w:rsidRPr="002C0D19" w:rsidRDefault="007968EC" w:rsidP="007968EC">
            <w:pPr>
              <w:rPr>
                <w:rFonts w:ascii="Arial Narrow" w:hAnsi="Arial Narrow"/>
                <w:color w:val="000000" w:themeColor="text1"/>
                <w:lang w:eastAsia="es-CO"/>
              </w:rPr>
            </w:pPr>
            <w:r w:rsidRPr="002C0D19">
              <w:rPr>
                <w:rFonts w:ascii="Arial Narrow" w:hAnsi="Arial Narrow"/>
                <w:color w:val="000000" w:themeColor="text1"/>
                <w:lang w:eastAsia="es-CO"/>
              </w:rPr>
              <w:t>Copia Certificada por el Representante Legal de la Entidad.</w:t>
            </w:r>
          </w:p>
        </w:tc>
      </w:tr>
      <w:tr w:rsidR="007968EC" w:rsidRPr="002C0D19" w14:paraId="67175C1A" w14:textId="77777777" w:rsidTr="007968EC">
        <w:trPr>
          <w:trHeight w:val="600"/>
          <w:jc w:val="center"/>
        </w:trPr>
        <w:tc>
          <w:tcPr>
            <w:tcW w:w="500" w:type="dxa"/>
            <w:noWrap/>
            <w:vAlign w:val="center"/>
            <w:hideMark/>
          </w:tcPr>
          <w:p w14:paraId="045C28FA" w14:textId="77777777" w:rsidR="007968EC" w:rsidRPr="002C0D19" w:rsidRDefault="007968EC" w:rsidP="007968EC">
            <w:pPr>
              <w:jc w:val="center"/>
              <w:rPr>
                <w:rFonts w:ascii="Arial Narrow" w:hAnsi="Arial Narrow"/>
                <w:b/>
                <w:bCs/>
                <w:color w:val="000000" w:themeColor="text1"/>
                <w:lang w:eastAsia="es-CO"/>
              </w:rPr>
            </w:pPr>
            <w:r w:rsidRPr="002C0D19">
              <w:rPr>
                <w:rFonts w:ascii="Arial Narrow" w:hAnsi="Arial Narrow"/>
                <w:b/>
                <w:bCs/>
                <w:color w:val="000000" w:themeColor="text1"/>
                <w:lang w:eastAsia="es-CO"/>
              </w:rPr>
              <w:t>7</w:t>
            </w:r>
          </w:p>
        </w:tc>
        <w:tc>
          <w:tcPr>
            <w:tcW w:w="4168" w:type="dxa"/>
            <w:vAlign w:val="center"/>
            <w:hideMark/>
          </w:tcPr>
          <w:p w14:paraId="5E9CA901" w14:textId="77777777" w:rsidR="007968EC" w:rsidRPr="002C0D19" w:rsidRDefault="007968EC" w:rsidP="007968EC">
            <w:pPr>
              <w:jc w:val="both"/>
              <w:rPr>
                <w:rFonts w:ascii="Arial Narrow" w:hAnsi="Arial Narrow"/>
                <w:color w:val="000000" w:themeColor="text1"/>
                <w:lang w:eastAsia="es-CO"/>
              </w:rPr>
            </w:pPr>
            <w:r w:rsidRPr="002C0D19">
              <w:rPr>
                <w:rFonts w:ascii="Arial Narrow" w:hAnsi="Arial Narrow"/>
                <w:color w:val="000000" w:themeColor="text1"/>
                <w:lang w:eastAsia="es-CO"/>
              </w:rPr>
              <w:t>Copia del Certificado de Existencia y Representación Legal expedido por la SFC no mayor a 30 días.</w:t>
            </w:r>
          </w:p>
        </w:tc>
        <w:tc>
          <w:tcPr>
            <w:tcW w:w="4678" w:type="dxa"/>
            <w:vAlign w:val="center"/>
            <w:hideMark/>
          </w:tcPr>
          <w:p w14:paraId="3B0C6F51" w14:textId="77777777" w:rsidR="007968EC" w:rsidRPr="002C0D19" w:rsidRDefault="007968EC" w:rsidP="007968EC">
            <w:pPr>
              <w:rPr>
                <w:rFonts w:ascii="Arial Narrow" w:hAnsi="Arial Narrow"/>
                <w:color w:val="000000" w:themeColor="text1"/>
                <w:lang w:eastAsia="es-CO"/>
              </w:rPr>
            </w:pPr>
            <w:r w:rsidRPr="002C0D19">
              <w:rPr>
                <w:rFonts w:ascii="Arial Narrow" w:hAnsi="Arial Narrow"/>
                <w:color w:val="000000" w:themeColor="text1"/>
                <w:lang w:eastAsia="es-CO"/>
              </w:rPr>
              <w:t>Expedido por la SFC no mayor a 30 días. De lo contrario será devuelto</w:t>
            </w:r>
          </w:p>
        </w:tc>
      </w:tr>
      <w:tr w:rsidR="007968EC" w:rsidRPr="002C0D19" w14:paraId="4D6D1E84" w14:textId="77777777" w:rsidTr="007968EC">
        <w:trPr>
          <w:trHeight w:val="945"/>
          <w:jc w:val="center"/>
        </w:trPr>
        <w:tc>
          <w:tcPr>
            <w:tcW w:w="500" w:type="dxa"/>
            <w:noWrap/>
            <w:vAlign w:val="center"/>
            <w:hideMark/>
          </w:tcPr>
          <w:p w14:paraId="06353DF2" w14:textId="77777777" w:rsidR="007968EC" w:rsidRPr="002C0D19" w:rsidRDefault="007968EC" w:rsidP="007968EC">
            <w:pPr>
              <w:jc w:val="center"/>
              <w:rPr>
                <w:rFonts w:ascii="Arial Narrow" w:hAnsi="Arial Narrow"/>
                <w:b/>
                <w:bCs/>
                <w:color w:val="000000" w:themeColor="text1"/>
                <w:lang w:eastAsia="es-CO"/>
              </w:rPr>
            </w:pPr>
            <w:r w:rsidRPr="002C0D19">
              <w:rPr>
                <w:rFonts w:ascii="Arial Narrow" w:hAnsi="Arial Narrow"/>
                <w:b/>
                <w:bCs/>
                <w:color w:val="000000" w:themeColor="text1"/>
                <w:lang w:eastAsia="es-CO"/>
              </w:rPr>
              <w:t>8</w:t>
            </w:r>
          </w:p>
        </w:tc>
        <w:tc>
          <w:tcPr>
            <w:tcW w:w="4168" w:type="dxa"/>
            <w:vAlign w:val="center"/>
            <w:hideMark/>
          </w:tcPr>
          <w:p w14:paraId="439620FD" w14:textId="77777777" w:rsidR="007968EC" w:rsidRPr="002C0D19" w:rsidRDefault="007968EC" w:rsidP="007968EC">
            <w:pPr>
              <w:jc w:val="both"/>
              <w:rPr>
                <w:rFonts w:ascii="Arial Narrow" w:hAnsi="Arial Narrow"/>
                <w:color w:val="000000" w:themeColor="text1"/>
                <w:lang w:eastAsia="es-CO"/>
              </w:rPr>
            </w:pPr>
            <w:r w:rsidRPr="002C0D19">
              <w:rPr>
                <w:rFonts w:ascii="Arial Narrow" w:hAnsi="Arial Narrow"/>
                <w:color w:val="000000" w:themeColor="text1"/>
                <w:lang w:eastAsia="es-CO"/>
              </w:rPr>
              <w:t xml:space="preserve">Certificación que acredite estar inscrito en el Registro Nacional de Agentes del Mercado y ser miembro de una autoridad de autorregulación, en el caso de ser aplicable este requisito. </w:t>
            </w:r>
          </w:p>
        </w:tc>
        <w:tc>
          <w:tcPr>
            <w:tcW w:w="4678" w:type="dxa"/>
            <w:vAlign w:val="center"/>
            <w:hideMark/>
          </w:tcPr>
          <w:p w14:paraId="717C6CF6" w14:textId="77777777" w:rsidR="007968EC" w:rsidRPr="002C0D19" w:rsidRDefault="007968EC" w:rsidP="007968EC">
            <w:pPr>
              <w:rPr>
                <w:rFonts w:ascii="Arial Narrow" w:hAnsi="Arial Narrow"/>
                <w:color w:val="000000" w:themeColor="text1"/>
                <w:lang w:eastAsia="es-CO"/>
              </w:rPr>
            </w:pPr>
            <w:r w:rsidRPr="002C0D19">
              <w:rPr>
                <w:rFonts w:ascii="Arial Narrow" w:hAnsi="Arial Narrow"/>
                <w:color w:val="000000" w:themeColor="text1"/>
                <w:lang w:eastAsia="es-CO"/>
              </w:rPr>
              <w:t> </w:t>
            </w:r>
          </w:p>
        </w:tc>
      </w:tr>
      <w:tr w:rsidR="007968EC" w:rsidRPr="002C0D19" w14:paraId="1FB3C374" w14:textId="77777777" w:rsidTr="007968EC">
        <w:trPr>
          <w:trHeight w:val="645"/>
          <w:jc w:val="center"/>
        </w:trPr>
        <w:tc>
          <w:tcPr>
            <w:tcW w:w="500" w:type="dxa"/>
            <w:noWrap/>
            <w:vAlign w:val="center"/>
            <w:hideMark/>
          </w:tcPr>
          <w:p w14:paraId="6E387F3F" w14:textId="77777777" w:rsidR="007968EC" w:rsidRPr="002C0D19" w:rsidRDefault="007968EC" w:rsidP="007968EC">
            <w:pPr>
              <w:jc w:val="center"/>
              <w:rPr>
                <w:rFonts w:ascii="Arial Narrow" w:hAnsi="Arial Narrow"/>
                <w:b/>
                <w:bCs/>
                <w:color w:val="000000" w:themeColor="text1"/>
                <w:lang w:eastAsia="es-CO"/>
              </w:rPr>
            </w:pPr>
            <w:r w:rsidRPr="002C0D19">
              <w:rPr>
                <w:rFonts w:ascii="Arial Narrow" w:hAnsi="Arial Narrow"/>
                <w:b/>
                <w:bCs/>
                <w:color w:val="000000" w:themeColor="text1"/>
                <w:lang w:eastAsia="es-CO"/>
              </w:rPr>
              <w:t>9</w:t>
            </w:r>
          </w:p>
        </w:tc>
        <w:tc>
          <w:tcPr>
            <w:tcW w:w="4168" w:type="dxa"/>
            <w:vAlign w:val="center"/>
            <w:hideMark/>
          </w:tcPr>
          <w:p w14:paraId="0876972A" w14:textId="77777777" w:rsidR="007968EC" w:rsidRPr="002C0D19" w:rsidRDefault="007968EC" w:rsidP="007968EC">
            <w:pPr>
              <w:jc w:val="both"/>
              <w:rPr>
                <w:rFonts w:ascii="Arial Narrow" w:hAnsi="Arial Narrow"/>
                <w:color w:val="000000" w:themeColor="text1"/>
                <w:lang w:eastAsia="es-CO"/>
              </w:rPr>
            </w:pPr>
            <w:r w:rsidRPr="002C0D19">
              <w:rPr>
                <w:rFonts w:ascii="Arial Narrow" w:hAnsi="Arial Narrow"/>
                <w:color w:val="000000" w:themeColor="text1"/>
                <w:lang w:eastAsia="es-CO"/>
              </w:rPr>
              <w:t>Copia del acto administrativo en el cual la Superintendencia Financiera de Colombia los autoriza a ejercer la custodia de valores.</w:t>
            </w:r>
          </w:p>
        </w:tc>
        <w:tc>
          <w:tcPr>
            <w:tcW w:w="4678" w:type="dxa"/>
            <w:vAlign w:val="center"/>
            <w:hideMark/>
          </w:tcPr>
          <w:p w14:paraId="4891E2BA" w14:textId="77777777" w:rsidR="007968EC" w:rsidRPr="002C0D19" w:rsidRDefault="007968EC" w:rsidP="007968EC">
            <w:pPr>
              <w:rPr>
                <w:rFonts w:ascii="Arial Narrow" w:hAnsi="Arial Narrow"/>
                <w:color w:val="000000" w:themeColor="text1"/>
                <w:lang w:eastAsia="es-CO"/>
              </w:rPr>
            </w:pPr>
            <w:r w:rsidRPr="002C0D19">
              <w:rPr>
                <w:rFonts w:ascii="Arial Narrow" w:hAnsi="Arial Narrow"/>
                <w:color w:val="000000" w:themeColor="text1"/>
                <w:lang w:eastAsia="es-CO"/>
              </w:rPr>
              <w:t xml:space="preserve">Expedido por la SFC </w:t>
            </w:r>
          </w:p>
        </w:tc>
      </w:tr>
    </w:tbl>
    <w:p w14:paraId="4E5DF05D" w14:textId="77777777" w:rsidR="007968EC" w:rsidRPr="002C0D19" w:rsidRDefault="007968EC" w:rsidP="007968EC">
      <w:pPr>
        <w:rPr>
          <w:rFonts w:ascii="Arial Narrow" w:hAnsi="Arial Narrow" w:cs="Arial"/>
          <w:color w:val="000000" w:themeColor="text1"/>
          <w:lang w:val="es-ES" w:eastAsia="es-ES"/>
        </w:rPr>
      </w:pPr>
    </w:p>
    <w:p w14:paraId="04DAF49C" w14:textId="77777777" w:rsidR="007968EC" w:rsidRPr="002C0D19" w:rsidRDefault="007968EC" w:rsidP="007968EC">
      <w:pPr>
        <w:rPr>
          <w:rFonts w:ascii="Arial Narrow" w:hAnsi="Arial Narrow" w:cs="Arial"/>
          <w:color w:val="000000" w:themeColor="text1"/>
          <w:lang w:val="es-ES" w:eastAsia="es-ES"/>
        </w:rPr>
        <w:sectPr w:rsidR="007968EC" w:rsidRPr="002C0D19" w:rsidSect="007968EC">
          <w:pgSz w:w="12242" w:h="15842" w:code="1"/>
          <w:pgMar w:top="1985" w:right="1418" w:bottom="1985" w:left="1418" w:header="851" w:footer="1021" w:gutter="0"/>
          <w:cols w:space="708"/>
          <w:titlePg/>
          <w:docGrid w:linePitch="360"/>
        </w:sectPr>
      </w:pPr>
    </w:p>
    <w:p w14:paraId="5EE6A976" w14:textId="77777777" w:rsidR="007968EC" w:rsidRPr="002C0D19" w:rsidRDefault="007968EC" w:rsidP="007968EC">
      <w:pPr>
        <w:jc w:val="both"/>
        <w:rPr>
          <w:rFonts w:ascii="Arial Narrow" w:hAnsi="Arial Narrow" w:cs="Arial"/>
          <w:b/>
          <w:bCs/>
          <w:i/>
          <w:color w:val="000000" w:themeColor="text1"/>
          <w:lang w:val="es-ES" w:eastAsia="es-ES"/>
        </w:rPr>
      </w:pPr>
      <w:r w:rsidRPr="002C0D19">
        <w:rPr>
          <w:rFonts w:ascii="Arial Narrow" w:hAnsi="Arial Narrow" w:cs="Arial"/>
          <w:b/>
          <w:bCs/>
          <w:i/>
          <w:color w:val="000000" w:themeColor="text1"/>
          <w:lang w:val="es-ES" w:eastAsia="es-ES"/>
        </w:rPr>
        <w:lastRenderedPageBreak/>
        <w:t>Anexo 13.5. Lista de Chequeo para solicitar el cambio de condición de Miembro Liquidador a Miembro No Liquidador.</w:t>
      </w:r>
    </w:p>
    <w:p w14:paraId="51FFF4D3" w14:textId="77777777" w:rsidR="007968EC" w:rsidRPr="002C0D19" w:rsidRDefault="007968EC" w:rsidP="007968EC">
      <w:pPr>
        <w:autoSpaceDE w:val="0"/>
        <w:autoSpaceDN w:val="0"/>
        <w:jc w:val="center"/>
        <w:rPr>
          <w:rFonts w:ascii="Arial Narrow" w:hAnsi="Arial Narrow" w:cs="Arial"/>
          <w:bCs/>
          <w:i/>
          <w:color w:val="000000" w:themeColor="text1"/>
          <w:lang w:val="es-ES" w:eastAsia="es-ES"/>
        </w:rPr>
      </w:pPr>
    </w:p>
    <w:p w14:paraId="63601E23" w14:textId="77777777" w:rsidR="007968EC" w:rsidRPr="002C0D19" w:rsidRDefault="007968EC" w:rsidP="007968EC">
      <w:pPr>
        <w:rPr>
          <w:rFonts w:ascii="Arial Narrow" w:hAnsi="Arial Narrow" w:cs="Arial"/>
          <w:color w:val="000000" w:themeColor="text1"/>
          <w:lang w:val="es-ES" w:eastAsia="es-ES"/>
        </w:rPr>
      </w:pPr>
    </w:p>
    <w:tbl>
      <w:tblPr>
        <w:tblStyle w:val="Tablaconcuadrcula2"/>
        <w:tblW w:w="0" w:type="auto"/>
        <w:tblLayout w:type="fixed"/>
        <w:tblLook w:val="04A0" w:firstRow="1" w:lastRow="0" w:firstColumn="1" w:lastColumn="0" w:noHBand="0" w:noVBand="1"/>
      </w:tblPr>
      <w:tblGrid>
        <w:gridCol w:w="1986"/>
        <w:gridCol w:w="5239"/>
        <w:gridCol w:w="2126"/>
      </w:tblGrid>
      <w:tr w:rsidR="007968EC" w:rsidRPr="002C0D19" w14:paraId="1DD7A58E" w14:textId="77777777" w:rsidTr="007968EC">
        <w:tc>
          <w:tcPr>
            <w:tcW w:w="1986" w:type="dxa"/>
            <w:vMerge w:val="restart"/>
          </w:tcPr>
          <w:p w14:paraId="79711C99" w14:textId="77777777" w:rsidR="007968EC" w:rsidRPr="002C0D19" w:rsidRDefault="007968EC" w:rsidP="007968EC">
            <w:pPr>
              <w:autoSpaceDE w:val="0"/>
              <w:autoSpaceDN w:val="0"/>
              <w:jc w:val="both"/>
              <w:rPr>
                <w:rFonts w:ascii="Arial Narrow" w:hAnsi="Arial Narrow" w:cs="Arial"/>
                <w:b/>
                <w:bCs/>
                <w:color w:val="000000" w:themeColor="text1"/>
                <w:lang w:val="es-ES" w:eastAsia="es-ES"/>
              </w:rPr>
            </w:pPr>
            <w:r w:rsidRPr="002C0D19">
              <w:rPr>
                <w:rFonts w:ascii="Arial Narrow" w:hAnsi="Arial Narrow"/>
                <w:b/>
                <w:noProof/>
                <w:color w:val="000000" w:themeColor="text1"/>
                <w:lang w:eastAsia="es-CO"/>
              </w:rPr>
              <w:drawing>
                <wp:inline distT="0" distB="0" distL="0" distR="0" wp14:anchorId="5DF65DC4" wp14:editId="4F781141">
                  <wp:extent cx="1098981" cy="540000"/>
                  <wp:effectExtent l="0" t="0" r="6350" b="0"/>
                  <wp:docPr id="19" name="Imagen 1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8981" cy="540000"/>
                          </a:xfrm>
                          <a:prstGeom prst="rect">
                            <a:avLst/>
                          </a:prstGeom>
                          <a:noFill/>
                          <a:ln>
                            <a:noFill/>
                          </a:ln>
                        </pic:spPr>
                      </pic:pic>
                    </a:graphicData>
                  </a:graphic>
                </wp:inline>
              </w:drawing>
            </w:r>
          </w:p>
        </w:tc>
        <w:tc>
          <w:tcPr>
            <w:tcW w:w="5239" w:type="dxa"/>
          </w:tcPr>
          <w:p w14:paraId="03630B67" w14:textId="77777777" w:rsidR="007968EC" w:rsidRPr="002C0D19" w:rsidRDefault="007968EC" w:rsidP="007968EC">
            <w:pPr>
              <w:autoSpaceDE w:val="0"/>
              <w:autoSpaceDN w:val="0"/>
              <w:jc w:val="center"/>
              <w:rPr>
                <w:rFonts w:ascii="Arial Narrow" w:hAnsi="Arial Narrow" w:cs="Arial"/>
                <w:b/>
                <w:bCs/>
                <w:color w:val="000000" w:themeColor="text1"/>
                <w:lang w:val="es-ES" w:eastAsia="es-ES"/>
              </w:rPr>
            </w:pPr>
            <w:r w:rsidRPr="002C0D19">
              <w:rPr>
                <w:rFonts w:ascii="Arial Narrow" w:hAnsi="Arial Narrow" w:cs="Arial"/>
                <w:b/>
                <w:bCs/>
                <w:color w:val="000000" w:themeColor="text1"/>
                <w:lang w:val="es-ES" w:eastAsia="es-ES"/>
              </w:rPr>
              <w:t>FORMATO</w:t>
            </w:r>
          </w:p>
        </w:tc>
        <w:tc>
          <w:tcPr>
            <w:tcW w:w="2126" w:type="dxa"/>
          </w:tcPr>
          <w:p w14:paraId="09B91E9A" w14:textId="77777777" w:rsidR="007968EC" w:rsidRPr="002C0D19" w:rsidRDefault="007968EC" w:rsidP="007968EC">
            <w:pPr>
              <w:autoSpaceDE w:val="0"/>
              <w:autoSpaceDN w:val="0"/>
              <w:jc w:val="both"/>
              <w:rPr>
                <w:rFonts w:ascii="Arial Narrow" w:hAnsi="Arial Narrow" w:cs="Arial"/>
                <w:b/>
                <w:bCs/>
                <w:color w:val="000000" w:themeColor="text1"/>
                <w:lang w:val="es-ES" w:eastAsia="es-ES"/>
              </w:rPr>
            </w:pPr>
            <w:r w:rsidRPr="002C0D19">
              <w:rPr>
                <w:rFonts w:ascii="Arial Narrow" w:hAnsi="Arial Narrow" w:cs="Arial"/>
                <w:b/>
                <w:bCs/>
                <w:color w:val="000000" w:themeColor="text1"/>
                <w:lang w:val="es-ES" w:eastAsia="es-ES"/>
              </w:rPr>
              <w:t>Código: FO GMI 017</w:t>
            </w:r>
          </w:p>
        </w:tc>
      </w:tr>
      <w:tr w:rsidR="007968EC" w:rsidRPr="002C0D19" w14:paraId="0FB70221" w14:textId="77777777" w:rsidTr="007968EC">
        <w:tc>
          <w:tcPr>
            <w:tcW w:w="1986" w:type="dxa"/>
            <w:vMerge/>
          </w:tcPr>
          <w:p w14:paraId="74F7077C" w14:textId="77777777" w:rsidR="007968EC" w:rsidRPr="002C0D19" w:rsidRDefault="007968EC" w:rsidP="007968EC">
            <w:pPr>
              <w:autoSpaceDE w:val="0"/>
              <w:autoSpaceDN w:val="0"/>
              <w:jc w:val="both"/>
              <w:rPr>
                <w:rFonts w:ascii="Arial Narrow" w:hAnsi="Arial Narrow" w:cs="Arial"/>
                <w:b/>
                <w:bCs/>
                <w:color w:val="000000" w:themeColor="text1"/>
                <w:lang w:val="es-ES" w:eastAsia="es-ES"/>
              </w:rPr>
            </w:pPr>
          </w:p>
        </w:tc>
        <w:tc>
          <w:tcPr>
            <w:tcW w:w="5239" w:type="dxa"/>
            <w:vMerge w:val="restart"/>
          </w:tcPr>
          <w:p w14:paraId="43E70427" w14:textId="77777777" w:rsidR="007968EC" w:rsidRPr="002C0D19" w:rsidRDefault="007968EC" w:rsidP="007968EC">
            <w:pPr>
              <w:autoSpaceDE w:val="0"/>
              <w:autoSpaceDN w:val="0"/>
              <w:jc w:val="center"/>
              <w:rPr>
                <w:rFonts w:ascii="Arial Narrow" w:hAnsi="Arial Narrow" w:cs="Arial"/>
                <w:b/>
                <w:bCs/>
                <w:color w:val="000000" w:themeColor="text1"/>
                <w:lang w:val="es-ES" w:eastAsia="es-ES"/>
              </w:rPr>
            </w:pPr>
            <w:r w:rsidRPr="002C0D19">
              <w:rPr>
                <w:rFonts w:ascii="Arial Narrow" w:hAnsi="Arial Narrow" w:cs="Arial"/>
                <w:b/>
                <w:bCs/>
                <w:color w:val="000000" w:themeColor="text1"/>
                <w:lang w:val="es-ES" w:eastAsia="es-ES"/>
              </w:rPr>
              <w:t xml:space="preserve">LISTA DE VERIFICACIÓN DE DOCUMENTOS PARA CAMBIO DE MODALIDAD DE MIEMBRO LIQUIDADOR A MIEMBRO NO LIQUIDADOR </w:t>
            </w:r>
          </w:p>
        </w:tc>
        <w:tc>
          <w:tcPr>
            <w:tcW w:w="2126" w:type="dxa"/>
          </w:tcPr>
          <w:p w14:paraId="1097196C" w14:textId="77777777" w:rsidR="007968EC" w:rsidRPr="002C0D19" w:rsidRDefault="007968EC" w:rsidP="007968EC">
            <w:pPr>
              <w:autoSpaceDE w:val="0"/>
              <w:autoSpaceDN w:val="0"/>
              <w:jc w:val="both"/>
              <w:rPr>
                <w:rFonts w:ascii="Arial Narrow" w:hAnsi="Arial Narrow" w:cs="Arial"/>
                <w:b/>
                <w:bCs/>
                <w:color w:val="000000" w:themeColor="text1"/>
                <w:lang w:val="es-ES" w:eastAsia="es-ES"/>
              </w:rPr>
            </w:pPr>
            <w:r w:rsidRPr="002C0D19">
              <w:rPr>
                <w:rFonts w:ascii="Arial Narrow" w:hAnsi="Arial Narrow" w:cs="Arial"/>
                <w:b/>
                <w:bCs/>
                <w:color w:val="000000" w:themeColor="text1"/>
                <w:lang w:val="es-ES" w:eastAsia="es-ES"/>
              </w:rPr>
              <w:t>Versión: 1.0</w:t>
            </w:r>
          </w:p>
        </w:tc>
      </w:tr>
      <w:tr w:rsidR="007968EC" w:rsidRPr="002C0D19" w14:paraId="0D73B494" w14:textId="77777777" w:rsidTr="007968EC">
        <w:tc>
          <w:tcPr>
            <w:tcW w:w="1986" w:type="dxa"/>
            <w:vMerge/>
          </w:tcPr>
          <w:p w14:paraId="7AD960CF" w14:textId="77777777" w:rsidR="007968EC" w:rsidRPr="002C0D19" w:rsidRDefault="007968EC" w:rsidP="007968EC">
            <w:pPr>
              <w:autoSpaceDE w:val="0"/>
              <w:autoSpaceDN w:val="0"/>
              <w:jc w:val="both"/>
              <w:rPr>
                <w:rFonts w:ascii="Arial Narrow" w:hAnsi="Arial Narrow" w:cs="Arial"/>
                <w:b/>
                <w:bCs/>
                <w:color w:val="000000" w:themeColor="text1"/>
                <w:lang w:val="es-ES" w:eastAsia="es-ES"/>
              </w:rPr>
            </w:pPr>
          </w:p>
        </w:tc>
        <w:tc>
          <w:tcPr>
            <w:tcW w:w="5239" w:type="dxa"/>
            <w:vMerge/>
          </w:tcPr>
          <w:p w14:paraId="0063E794" w14:textId="77777777" w:rsidR="007968EC" w:rsidRPr="002C0D19" w:rsidRDefault="007968EC" w:rsidP="007968EC">
            <w:pPr>
              <w:autoSpaceDE w:val="0"/>
              <w:autoSpaceDN w:val="0"/>
              <w:jc w:val="both"/>
              <w:rPr>
                <w:rFonts w:ascii="Arial Narrow" w:hAnsi="Arial Narrow" w:cs="Arial"/>
                <w:b/>
                <w:bCs/>
                <w:color w:val="000000" w:themeColor="text1"/>
                <w:lang w:val="es-ES" w:eastAsia="es-ES"/>
              </w:rPr>
            </w:pPr>
          </w:p>
        </w:tc>
        <w:tc>
          <w:tcPr>
            <w:tcW w:w="2126" w:type="dxa"/>
          </w:tcPr>
          <w:p w14:paraId="13B7CE58" w14:textId="77777777" w:rsidR="007968EC" w:rsidRPr="002C0D19" w:rsidRDefault="007968EC" w:rsidP="007968EC">
            <w:pPr>
              <w:autoSpaceDE w:val="0"/>
              <w:autoSpaceDN w:val="0"/>
              <w:jc w:val="both"/>
              <w:rPr>
                <w:rFonts w:ascii="Arial Narrow" w:hAnsi="Arial Narrow" w:cs="Arial"/>
                <w:b/>
                <w:bCs/>
                <w:color w:val="000000" w:themeColor="text1"/>
                <w:lang w:val="es-ES" w:eastAsia="es-ES"/>
              </w:rPr>
            </w:pPr>
            <w:r w:rsidRPr="002C0D19">
              <w:rPr>
                <w:rFonts w:ascii="Arial Narrow" w:hAnsi="Arial Narrow" w:cs="Arial"/>
                <w:b/>
                <w:bCs/>
                <w:color w:val="000000" w:themeColor="text1"/>
                <w:lang w:val="es-ES" w:eastAsia="es-ES"/>
              </w:rPr>
              <w:t>Página 1 de 1</w:t>
            </w:r>
          </w:p>
        </w:tc>
      </w:tr>
    </w:tbl>
    <w:tbl>
      <w:tblPr>
        <w:tblW w:w="9351" w:type="dxa"/>
        <w:tblLayout w:type="fixed"/>
        <w:tblCellMar>
          <w:left w:w="70" w:type="dxa"/>
          <w:right w:w="70" w:type="dxa"/>
        </w:tblCellMar>
        <w:tblLook w:val="04A0" w:firstRow="1" w:lastRow="0" w:firstColumn="1" w:lastColumn="0" w:noHBand="0" w:noVBand="1"/>
      </w:tblPr>
      <w:tblGrid>
        <w:gridCol w:w="1980"/>
        <w:gridCol w:w="1276"/>
        <w:gridCol w:w="3969"/>
        <w:gridCol w:w="2126"/>
      </w:tblGrid>
      <w:tr w:rsidR="007968EC" w:rsidRPr="002C0D19" w14:paraId="3BC12A0C" w14:textId="77777777" w:rsidTr="007968EC">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352DC" w14:textId="77777777" w:rsidR="007968EC" w:rsidRPr="002C0D19" w:rsidRDefault="007968EC" w:rsidP="007968EC">
            <w:pPr>
              <w:jc w:val="center"/>
              <w:rPr>
                <w:rFonts w:ascii="Arial Narrow" w:hAnsi="Arial Narrow"/>
                <w:b/>
                <w:bCs/>
                <w:color w:val="000000" w:themeColor="text1"/>
                <w:lang w:eastAsia="es-CO"/>
              </w:rPr>
            </w:pPr>
            <w:bookmarkStart w:id="6569" w:name="RANGE!A2:D13"/>
            <w:r w:rsidRPr="002C0D19">
              <w:rPr>
                <w:rFonts w:ascii="Arial Narrow" w:hAnsi="Arial Narrow"/>
                <w:b/>
                <w:bCs/>
                <w:color w:val="000000" w:themeColor="text1"/>
                <w:lang w:eastAsia="es-CO"/>
              </w:rPr>
              <w:t>Anexo</w:t>
            </w:r>
            <w:bookmarkEnd w:id="6569"/>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DEE9DB0" w14:textId="77777777" w:rsidR="007968EC" w:rsidRPr="002C0D19" w:rsidRDefault="007968EC" w:rsidP="007968EC">
            <w:pPr>
              <w:jc w:val="center"/>
              <w:rPr>
                <w:rFonts w:ascii="Arial Narrow" w:hAnsi="Arial Narrow"/>
                <w:b/>
                <w:bCs/>
                <w:color w:val="000000" w:themeColor="text1"/>
                <w:lang w:eastAsia="es-CO"/>
              </w:rPr>
            </w:pPr>
            <w:r w:rsidRPr="002C0D19">
              <w:rPr>
                <w:rFonts w:ascii="Arial Narrow" w:hAnsi="Arial Narrow"/>
                <w:b/>
                <w:bCs/>
                <w:color w:val="000000" w:themeColor="text1"/>
                <w:lang w:eastAsia="es-CO"/>
              </w:rPr>
              <w:t>Formatos</w:t>
            </w:r>
          </w:p>
        </w:tc>
        <w:tc>
          <w:tcPr>
            <w:tcW w:w="3969" w:type="dxa"/>
            <w:tcBorders>
              <w:top w:val="single" w:sz="4" w:space="0" w:color="auto"/>
              <w:left w:val="nil"/>
              <w:bottom w:val="single" w:sz="4" w:space="0" w:color="auto"/>
              <w:right w:val="single" w:sz="4" w:space="0" w:color="auto"/>
            </w:tcBorders>
            <w:shd w:val="clear" w:color="auto" w:fill="auto"/>
            <w:hideMark/>
          </w:tcPr>
          <w:p w14:paraId="76245E33" w14:textId="77777777" w:rsidR="007968EC" w:rsidRPr="002C0D19" w:rsidRDefault="007968EC" w:rsidP="007968EC">
            <w:pPr>
              <w:jc w:val="center"/>
              <w:rPr>
                <w:rFonts w:ascii="Arial Narrow" w:hAnsi="Arial Narrow" w:cs="Arial"/>
                <w:b/>
                <w:bCs/>
                <w:color w:val="000000" w:themeColor="text1"/>
                <w:lang w:eastAsia="es-CO"/>
              </w:rPr>
            </w:pPr>
            <w:r w:rsidRPr="002C0D19">
              <w:rPr>
                <w:rFonts w:ascii="Arial Narrow" w:hAnsi="Arial Narrow" w:cs="Arial"/>
                <w:b/>
                <w:bCs/>
                <w:color w:val="000000" w:themeColor="text1"/>
                <w:lang w:eastAsia="es-CO"/>
              </w:rPr>
              <w:t xml:space="preserve">Descripción </w:t>
            </w:r>
          </w:p>
        </w:tc>
        <w:tc>
          <w:tcPr>
            <w:tcW w:w="2126" w:type="dxa"/>
            <w:tcBorders>
              <w:top w:val="single" w:sz="4" w:space="0" w:color="auto"/>
              <w:left w:val="nil"/>
              <w:bottom w:val="single" w:sz="4" w:space="0" w:color="auto"/>
              <w:right w:val="single" w:sz="4" w:space="0" w:color="auto"/>
            </w:tcBorders>
            <w:shd w:val="clear" w:color="auto" w:fill="auto"/>
            <w:hideMark/>
          </w:tcPr>
          <w:p w14:paraId="6C3EAEB4" w14:textId="77777777" w:rsidR="007968EC" w:rsidRPr="002C0D19" w:rsidRDefault="007968EC" w:rsidP="007968EC">
            <w:pPr>
              <w:jc w:val="center"/>
              <w:rPr>
                <w:rFonts w:ascii="Arial Narrow" w:hAnsi="Arial Narrow" w:cs="Arial"/>
                <w:b/>
                <w:bCs/>
                <w:color w:val="000000" w:themeColor="text1"/>
                <w:lang w:eastAsia="es-CO"/>
              </w:rPr>
            </w:pPr>
            <w:r w:rsidRPr="002C0D19">
              <w:rPr>
                <w:rFonts w:ascii="Arial Narrow" w:hAnsi="Arial Narrow" w:cs="Arial"/>
                <w:b/>
                <w:bCs/>
                <w:color w:val="000000" w:themeColor="text1"/>
                <w:lang w:eastAsia="es-CO"/>
              </w:rPr>
              <w:t>Observaciones</w:t>
            </w:r>
          </w:p>
        </w:tc>
      </w:tr>
      <w:tr w:rsidR="007968EC" w:rsidRPr="002C0D19" w14:paraId="188D04E4" w14:textId="77777777" w:rsidTr="007968EC">
        <w:trPr>
          <w:trHeight w:val="129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C76F588" w14:textId="77777777" w:rsidR="007968EC" w:rsidRPr="002C0D19" w:rsidRDefault="007968EC" w:rsidP="007968EC">
            <w:pPr>
              <w:jc w:val="center"/>
              <w:rPr>
                <w:rFonts w:ascii="Arial Narrow" w:hAnsi="Arial Narrow"/>
                <w:color w:val="000000" w:themeColor="text1"/>
                <w:lang w:eastAsia="es-CO"/>
              </w:rPr>
            </w:pPr>
            <w:r w:rsidRPr="002C0D19">
              <w:rPr>
                <w:rFonts w:ascii="Arial Narrow" w:hAnsi="Arial Narrow"/>
                <w:color w:val="000000" w:themeColor="text1"/>
                <w:lang w:eastAsia="es-CO"/>
              </w:rPr>
              <w:t>Anexo 1.4.</w:t>
            </w:r>
          </w:p>
        </w:tc>
        <w:tc>
          <w:tcPr>
            <w:tcW w:w="1276" w:type="dxa"/>
            <w:tcBorders>
              <w:top w:val="nil"/>
              <w:left w:val="nil"/>
              <w:bottom w:val="single" w:sz="4" w:space="0" w:color="auto"/>
              <w:right w:val="single" w:sz="4" w:space="0" w:color="auto"/>
            </w:tcBorders>
            <w:shd w:val="clear" w:color="auto" w:fill="auto"/>
            <w:noWrap/>
            <w:vAlign w:val="center"/>
            <w:hideMark/>
          </w:tcPr>
          <w:p w14:paraId="7AB6672D" w14:textId="77777777" w:rsidR="007968EC" w:rsidRPr="002C0D19" w:rsidRDefault="007968EC" w:rsidP="007968EC">
            <w:pPr>
              <w:jc w:val="center"/>
              <w:rPr>
                <w:rFonts w:ascii="Arial Narrow" w:hAnsi="Arial Narrow"/>
                <w:color w:val="000000" w:themeColor="text1"/>
                <w:lang w:eastAsia="es-CO"/>
              </w:rPr>
            </w:pPr>
            <w:r w:rsidRPr="002C0D19">
              <w:rPr>
                <w:rFonts w:ascii="Arial Narrow" w:hAnsi="Arial Narrow"/>
                <w:color w:val="000000" w:themeColor="text1"/>
                <w:lang w:eastAsia="es-CO"/>
              </w:rPr>
              <w:t> </w:t>
            </w:r>
          </w:p>
        </w:tc>
        <w:tc>
          <w:tcPr>
            <w:tcW w:w="3969" w:type="dxa"/>
            <w:tcBorders>
              <w:top w:val="nil"/>
              <w:left w:val="nil"/>
              <w:bottom w:val="single" w:sz="4" w:space="0" w:color="auto"/>
              <w:right w:val="single" w:sz="4" w:space="0" w:color="auto"/>
            </w:tcBorders>
            <w:shd w:val="clear" w:color="auto" w:fill="auto"/>
            <w:vAlign w:val="center"/>
            <w:hideMark/>
          </w:tcPr>
          <w:p w14:paraId="42A12474" w14:textId="77777777" w:rsidR="007968EC" w:rsidRPr="002C0D19" w:rsidRDefault="007968EC" w:rsidP="007968EC">
            <w:pPr>
              <w:rPr>
                <w:rFonts w:ascii="Arial Narrow" w:hAnsi="Arial Narrow"/>
                <w:color w:val="000000" w:themeColor="text1"/>
                <w:lang w:eastAsia="es-CO"/>
              </w:rPr>
            </w:pPr>
            <w:r w:rsidRPr="002C0D19">
              <w:rPr>
                <w:rFonts w:ascii="Arial Narrow" w:hAnsi="Arial Narrow"/>
                <w:color w:val="000000" w:themeColor="text1"/>
                <w:lang w:eastAsia="es-CO"/>
              </w:rPr>
              <w:t>Solicitud escrita firmada por un representante legal en la que solicite el cambio de condición de Miembro Liquidador a Miembro No Liquidador.</w:t>
            </w:r>
          </w:p>
        </w:tc>
        <w:tc>
          <w:tcPr>
            <w:tcW w:w="2126" w:type="dxa"/>
            <w:tcBorders>
              <w:top w:val="nil"/>
              <w:left w:val="nil"/>
              <w:bottom w:val="single" w:sz="4" w:space="0" w:color="auto"/>
              <w:right w:val="single" w:sz="4" w:space="0" w:color="auto"/>
            </w:tcBorders>
            <w:shd w:val="clear" w:color="auto" w:fill="auto"/>
            <w:vAlign w:val="center"/>
            <w:hideMark/>
          </w:tcPr>
          <w:p w14:paraId="3B0060C4" w14:textId="77777777" w:rsidR="007968EC" w:rsidRPr="002C0D19" w:rsidRDefault="007968EC" w:rsidP="007968EC">
            <w:pPr>
              <w:jc w:val="center"/>
              <w:rPr>
                <w:rFonts w:ascii="Arial Narrow" w:hAnsi="Arial Narrow"/>
                <w:color w:val="000000" w:themeColor="text1"/>
                <w:lang w:eastAsia="es-CO"/>
              </w:rPr>
            </w:pPr>
            <w:r w:rsidRPr="002C0D19">
              <w:rPr>
                <w:rFonts w:ascii="Arial Narrow" w:hAnsi="Arial Narrow"/>
                <w:color w:val="000000" w:themeColor="text1"/>
                <w:lang w:eastAsia="es-CO"/>
              </w:rPr>
              <w:t> </w:t>
            </w:r>
          </w:p>
        </w:tc>
      </w:tr>
      <w:tr w:rsidR="007968EC" w:rsidRPr="002C0D19" w14:paraId="7365EA5A" w14:textId="77777777" w:rsidTr="007968EC">
        <w:trPr>
          <w:trHeight w:val="69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5014F74" w14:textId="77777777" w:rsidR="007968EC" w:rsidRPr="002C0D19" w:rsidRDefault="007968EC" w:rsidP="007968EC">
            <w:pPr>
              <w:jc w:val="center"/>
              <w:rPr>
                <w:rFonts w:ascii="Arial Narrow" w:hAnsi="Arial Narrow"/>
                <w:color w:val="000000" w:themeColor="text1"/>
                <w:lang w:eastAsia="es-CO"/>
              </w:rPr>
            </w:pPr>
            <w:r w:rsidRPr="002C0D19">
              <w:rPr>
                <w:rFonts w:ascii="Arial Narrow" w:hAnsi="Arial Narrow"/>
                <w:color w:val="000000" w:themeColor="text1"/>
                <w:lang w:eastAsia="es-CO"/>
              </w:rPr>
              <w:t>Anexo 1.1.</w:t>
            </w:r>
          </w:p>
        </w:tc>
        <w:tc>
          <w:tcPr>
            <w:tcW w:w="1276" w:type="dxa"/>
            <w:tcBorders>
              <w:top w:val="nil"/>
              <w:left w:val="nil"/>
              <w:bottom w:val="single" w:sz="4" w:space="0" w:color="auto"/>
              <w:right w:val="single" w:sz="4" w:space="0" w:color="auto"/>
            </w:tcBorders>
            <w:shd w:val="clear" w:color="auto" w:fill="auto"/>
            <w:noWrap/>
            <w:vAlign w:val="center"/>
            <w:hideMark/>
          </w:tcPr>
          <w:p w14:paraId="4E5210EC" w14:textId="77777777" w:rsidR="007968EC" w:rsidRPr="002C0D19" w:rsidRDefault="007968EC" w:rsidP="007968EC">
            <w:pPr>
              <w:jc w:val="center"/>
              <w:rPr>
                <w:rFonts w:ascii="Arial Narrow" w:hAnsi="Arial Narrow"/>
                <w:color w:val="000000" w:themeColor="text1"/>
                <w:lang w:eastAsia="es-CO"/>
              </w:rPr>
            </w:pPr>
            <w:r w:rsidRPr="002C0D19">
              <w:rPr>
                <w:rFonts w:ascii="Arial Narrow" w:hAnsi="Arial Narrow"/>
                <w:color w:val="000000" w:themeColor="text1"/>
                <w:lang w:eastAsia="es-CO"/>
              </w:rPr>
              <w:t>FO GMI 010</w:t>
            </w:r>
          </w:p>
        </w:tc>
        <w:tc>
          <w:tcPr>
            <w:tcW w:w="3969" w:type="dxa"/>
            <w:tcBorders>
              <w:top w:val="nil"/>
              <w:left w:val="nil"/>
              <w:bottom w:val="single" w:sz="4" w:space="0" w:color="auto"/>
              <w:right w:val="single" w:sz="4" w:space="0" w:color="auto"/>
            </w:tcBorders>
            <w:shd w:val="clear" w:color="auto" w:fill="auto"/>
            <w:vAlign w:val="center"/>
            <w:hideMark/>
          </w:tcPr>
          <w:p w14:paraId="3D600A45" w14:textId="77777777" w:rsidR="007968EC" w:rsidRPr="002C0D19" w:rsidRDefault="007968EC" w:rsidP="007968EC">
            <w:pPr>
              <w:rPr>
                <w:rFonts w:ascii="Arial Narrow" w:hAnsi="Arial Narrow"/>
                <w:color w:val="000000" w:themeColor="text1"/>
                <w:lang w:eastAsia="es-CO"/>
              </w:rPr>
            </w:pPr>
            <w:r w:rsidRPr="002C0D19">
              <w:rPr>
                <w:rFonts w:ascii="Arial Narrow" w:hAnsi="Arial Narrow"/>
                <w:color w:val="000000" w:themeColor="text1"/>
                <w:lang w:eastAsia="es-CO"/>
              </w:rPr>
              <w:t>Formulario de solicitud de admisión como Miembro ante la Cámara.</w:t>
            </w:r>
          </w:p>
        </w:tc>
        <w:tc>
          <w:tcPr>
            <w:tcW w:w="2126" w:type="dxa"/>
            <w:tcBorders>
              <w:top w:val="nil"/>
              <w:left w:val="nil"/>
              <w:bottom w:val="single" w:sz="4" w:space="0" w:color="auto"/>
              <w:right w:val="single" w:sz="4" w:space="0" w:color="auto"/>
            </w:tcBorders>
            <w:shd w:val="clear" w:color="auto" w:fill="auto"/>
            <w:vAlign w:val="center"/>
            <w:hideMark/>
          </w:tcPr>
          <w:p w14:paraId="2876DF6C" w14:textId="77777777" w:rsidR="007968EC" w:rsidRPr="002C0D19" w:rsidRDefault="007968EC" w:rsidP="007968EC">
            <w:pPr>
              <w:jc w:val="center"/>
              <w:rPr>
                <w:rFonts w:ascii="Arial Narrow" w:hAnsi="Arial Narrow"/>
                <w:color w:val="000000" w:themeColor="text1"/>
                <w:lang w:eastAsia="es-CO"/>
              </w:rPr>
            </w:pPr>
            <w:r w:rsidRPr="002C0D19">
              <w:rPr>
                <w:rFonts w:ascii="Arial Narrow" w:hAnsi="Arial Narrow"/>
                <w:color w:val="000000" w:themeColor="text1"/>
                <w:lang w:eastAsia="es-CO"/>
              </w:rPr>
              <w:t> </w:t>
            </w:r>
          </w:p>
        </w:tc>
      </w:tr>
      <w:tr w:rsidR="007968EC" w:rsidRPr="002C0D19" w14:paraId="67DB7AB2" w14:textId="77777777" w:rsidTr="007968EC">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7DC80C6" w14:textId="77777777" w:rsidR="007968EC" w:rsidRPr="002C0D19" w:rsidRDefault="007968EC" w:rsidP="007968EC">
            <w:pPr>
              <w:jc w:val="center"/>
              <w:rPr>
                <w:rFonts w:ascii="Arial Narrow" w:hAnsi="Arial Narrow"/>
                <w:color w:val="000000" w:themeColor="text1"/>
                <w:lang w:eastAsia="es-CO"/>
              </w:rPr>
            </w:pPr>
            <w:r w:rsidRPr="002C0D19">
              <w:rPr>
                <w:rFonts w:ascii="Arial Narrow" w:hAnsi="Arial Narrow"/>
                <w:color w:val="000000" w:themeColor="text1"/>
                <w:lang w:eastAsia="es-CO"/>
              </w:rPr>
              <w:t>Anexo 3</w:t>
            </w:r>
          </w:p>
        </w:tc>
        <w:tc>
          <w:tcPr>
            <w:tcW w:w="1276" w:type="dxa"/>
            <w:tcBorders>
              <w:top w:val="nil"/>
              <w:left w:val="nil"/>
              <w:bottom w:val="single" w:sz="4" w:space="0" w:color="auto"/>
              <w:right w:val="single" w:sz="4" w:space="0" w:color="auto"/>
            </w:tcBorders>
            <w:shd w:val="clear" w:color="auto" w:fill="auto"/>
            <w:noWrap/>
            <w:vAlign w:val="center"/>
            <w:hideMark/>
          </w:tcPr>
          <w:p w14:paraId="5144EBFE" w14:textId="77777777" w:rsidR="007968EC" w:rsidRPr="002C0D19" w:rsidRDefault="007968EC" w:rsidP="007968EC">
            <w:pPr>
              <w:jc w:val="center"/>
              <w:rPr>
                <w:rFonts w:ascii="Arial Narrow" w:hAnsi="Arial Narrow"/>
                <w:color w:val="000000" w:themeColor="text1"/>
                <w:lang w:eastAsia="es-CO"/>
              </w:rPr>
            </w:pPr>
            <w:r w:rsidRPr="002C0D19">
              <w:rPr>
                <w:rFonts w:ascii="Arial Narrow" w:hAnsi="Arial Narrow"/>
                <w:color w:val="000000" w:themeColor="text1"/>
                <w:lang w:eastAsia="es-CO"/>
              </w:rPr>
              <w:t xml:space="preserve">FO GMI 011 </w:t>
            </w:r>
          </w:p>
        </w:tc>
        <w:tc>
          <w:tcPr>
            <w:tcW w:w="3969" w:type="dxa"/>
            <w:tcBorders>
              <w:top w:val="nil"/>
              <w:left w:val="nil"/>
              <w:bottom w:val="single" w:sz="4" w:space="0" w:color="auto"/>
              <w:right w:val="single" w:sz="4" w:space="0" w:color="auto"/>
            </w:tcBorders>
            <w:shd w:val="clear" w:color="auto" w:fill="auto"/>
            <w:vAlign w:val="center"/>
            <w:hideMark/>
          </w:tcPr>
          <w:p w14:paraId="5C1E54BA" w14:textId="77777777" w:rsidR="007968EC" w:rsidRPr="002C0D19" w:rsidRDefault="007968EC" w:rsidP="007968EC">
            <w:pPr>
              <w:rPr>
                <w:rFonts w:ascii="Arial Narrow" w:hAnsi="Arial Narrow"/>
                <w:color w:val="000000" w:themeColor="text1"/>
                <w:lang w:eastAsia="es-CO"/>
              </w:rPr>
            </w:pPr>
            <w:r w:rsidRPr="002C0D19">
              <w:rPr>
                <w:rFonts w:ascii="Arial Narrow" w:hAnsi="Arial Narrow"/>
                <w:color w:val="000000" w:themeColor="text1"/>
                <w:lang w:eastAsia="es-CO"/>
              </w:rPr>
              <w:t>Formulario actualizado de requerimientos cualitativos.</w:t>
            </w:r>
          </w:p>
        </w:tc>
        <w:tc>
          <w:tcPr>
            <w:tcW w:w="2126" w:type="dxa"/>
            <w:tcBorders>
              <w:top w:val="nil"/>
              <w:left w:val="nil"/>
              <w:bottom w:val="single" w:sz="4" w:space="0" w:color="auto"/>
              <w:right w:val="single" w:sz="4" w:space="0" w:color="auto"/>
            </w:tcBorders>
            <w:shd w:val="clear" w:color="auto" w:fill="auto"/>
            <w:vAlign w:val="center"/>
            <w:hideMark/>
          </w:tcPr>
          <w:p w14:paraId="12A53B2A" w14:textId="77777777" w:rsidR="007968EC" w:rsidRPr="002C0D19" w:rsidRDefault="007968EC" w:rsidP="007968EC">
            <w:pPr>
              <w:jc w:val="center"/>
              <w:rPr>
                <w:rFonts w:ascii="Arial Narrow" w:hAnsi="Arial Narrow"/>
                <w:color w:val="000000" w:themeColor="text1"/>
                <w:lang w:eastAsia="es-CO"/>
              </w:rPr>
            </w:pPr>
            <w:r w:rsidRPr="002C0D19">
              <w:rPr>
                <w:rFonts w:ascii="Arial Narrow" w:hAnsi="Arial Narrow"/>
                <w:color w:val="000000" w:themeColor="text1"/>
                <w:lang w:eastAsia="es-CO"/>
              </w:rPr>
              <w:t>Obligatorio cuando la Vinculación supera más de 1 año</w:t>
            </w:r>
          </w:p>
        </w:tc>
      </w:tr>
      <w:tr w:rsidR="007968EC" w:rsidRPr="002C0D19" w14:paraId="66FCB2BC" w14:textId="77777777" w:rsidTr="007968EC">
        <w:trPr>
          <w:trHeight w:val="18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9FEE098" w14:textId="77777777" w:rsidR="007968EC" w:rsidRPr="002C0D19" w:rsidRDefault="007968EC" w:rsidP="007968EC">
            <w:pPr>
              <w:jc w:val="center"/>
              <w:rPr>
                <w:rFonts w:ascii="Arial Narrow" w:hAnsi="Arial Narrow"/>
                <w:color w:val="000000" w:themeColor="text1"/>
                <w:lang w:eastAsia="es-CO"/>
              </w:rPr>
            </w:pPr>
            <w:r w:rsidRPr="002C0D19">
              <w:rPr>
                <w:rFonts w:ascii="Arial Narrow" w:hAnsi="Arial Narrow"/>
                <w:color w:val="000000" w:themeColor="text1"/>
                <w:lang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14:paraId="71FB1091" w14:textId="77777777" w:rsidR="007968EC" w:rsidRPr="002C0D19" w:rsidRDefault="007968EC" w:rsidP="007968EC">
            <w:pPr>
              <w:jc w:val="center"/>
              <w:rPr>
                <w:rFonts w:ascii="Arial Narrow" w:hAnsi="Arial Narrow"/>
                <w:color w:val="000000" w:themeColor="text1"/>
                <w:lang w:eastAsia="es-CO"/>
              </w:rPr>
            </w:pPr>
            <w:r w:rsidRPr="002C0D19">
              <w:rPr>
                <w:rFonts w:ascii="Arial Narrow" w:hAnsi="Arial Narrow"/>
                <w:color w:val="000000" w:themeColor="text1"/>
                <w:lang w:eastAsia="es-CO"/>
              </w:rPr>
              <w:t> </w:t>
            </w:r>
          </w:p>
        </w:tc>
        <w:tc>
          <w:tcPr>
            <w:tcW w:w="3969" w:type="dxa"/>
            <w:tcBorders>
              <w:top w:val="nil"/>
              <w:left w:val="nil"/>
              <w:bottom w:val="single" w:sz="4" w:space="0" w:color="auto"/>
              <w:right w:val="single" w:sz="4" w:space="0" w:color="auto"/>
            </w:tcBorders>
            <w:shd w:val="clear" w:color="auto" w:fill="auto"/>
            <w:vAlign w:val="center"/>
            <w:hideMark/>
          </w:tcPr>
          <w:p w14:paraId="47B7735A" w14:textId="77777777" w:rsidR="007968EC" w:rsidRPr="002C0D19" w:rsidRDefault="007968EC" w:rsidP="007968EC">
            <w:pPr>
              <w:rPr>
                <w:rFonts w:ascii="Arial Narrow" w:hAnsi="Arial Narrow"/>
                <w:color w:val="000000" w:themeColor="text1"/>
                <w:lang w:eastAsia="es-CO"/>
              </w:rPr>
            </w:pPr>
            <w:r w:rsidRPr="002C0D19">
              <w:rPr>
                <w:rFonts w:ascii="Arial Narrow" w:hAnsi="Arial Narrow"/>
                <w:color w:val="000000" w:themeColor="text1"/>
                <w:lang w:eastAsia="es-CO"/>
              </w:rPr>
              <w:t>Copia del certificado de existencia y representación legal del Miembro No Liquidador expedido por la autoridad competente dentro del mes inmediatamente anterior a la solicitud del Miembro No Liquidador.</w:t>
            </w:r>
          </w:p>
        </w:tc>
        <w:tc>
          <w:tcPr>
            <w:tcW w:w="2126" w:type="dxa"/>
            <w:tcBorders>
              <w:top w:val="nil"/>
              <w:left w:val="nil"/>
              <w:bottom w:val="single" w:sz="4" w:space="0" w:color="auto"/>
              <w:right w:val="single" w:sz="4" w:space="0" w:color="auto"/>
            </w:tcBorders>
            <w:shd w:val="clear" w:color="auto" w:fill="auto"/>
            <w:vAlign w:val="center"/>
            <w:hideMark/>
          </w:tcPr>
          <w:p w14:paraId="63D11417" w14:textId="77777777" w:rsidR="007968EC" w:rsidRPr="002C0D19" w:rsidRDefault="007968EC" w:rsidP="007968EC">
            <w:pPr>
              <w:jc w:val="center"/>
              <w:rPr>
                <w:rFonts w:ascii="Arial Narrow" w:hAnsi="Arial Narrow"/>
                <w:color w:val="000000" w:themeColor="text1"/>
                <w:lang w:eastAsia="es-CO"/>
              </w:rPr>
            </w:pPr>
            <w:r w:rsidRPr="002C0D19">
              <w:rPr>
                <w:rFonts w:ascii="Arial Narrow" w:hAnsi="Arial Narrow"/>
                <w:color w:val="000000" w:themeColor="text1"/>
                <w:lang w:eastAsia="es-CO"/>
              </w:rPr>
              <w:t>Obligatorio</w:t>
            </w:r>
          </w:p>
        </w:tc>
      </w:tr>
      <w:tr w:rsidR="007968EC" w:rsidRPr="002C0D19" w14:paraId="4334A72A" w14:textId="77777777" w:rsidTr="007968EC">
        <w:trPr>
          <w:trHeight w:val="186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761C438" w14:textId="77777777" w:rsidR="007968EC" w:rsidRPr="002C0D19" w:rsidRDefault="007968EC" w:rsidP="007968EC">
            <w:pPr>
              <w:jc w:val="center"/>
              <w:rPr>
                <w:rFonts w:ascii="Arial Narrow" w:hAnsi="Arial Narrow"/>
                <w:color w:val="000000" w:themeColor="text1"/>
                <w:lang w:eastAsia="es-CO"/>
              </w:rPr>
            </w:pPr>
            <w:r w:rsidRPr="002C0D19">
              <w:rPr>
                <w:rFonts w:ascii="Arial Narrow" w:hAnsi="Arial Narrow"/>
                <w:color w:val="000000" w:themeColor="text1"/>
                <w:lang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14:paraId="4CB15DBA" w14:textId="77777777" w:rsidR="007968EC" w:rsidRPr="002C0D19" w:rsidRDefault="007968EC" w:rsidP="007968EC">
            <w:pPr>
              <w:jc w:val="center"/>
              <w:rPr>
                <w:rFonts w:ascii="Arial Narrow" w:hAnsi="Arial Narrow"/>
                <w:color w:val="000000" w:themeColor="text1"/>
                <w:lang w:eastAsia="es-CO"/>
              </w:rPr>
            </w:pPr>
            <w:r w:rsidRPr="002C0D19">
              <w:rPr>
                <w:rFonts w:ascii="Arial Narrow" w:hAnsi="Arial Narrow"/>
                <w:color w:val="000000" w:themeColor="text1"/>
                <w:lang w:eastAsia="es-CO"/>
              </w:rPr>
              <w:t> </w:t>
            </w:r>
          </w:p>
        </w:tc>
        <w:tc>
          <w:tcPr>
            <w:tcW w:w="3969" w:type="dxa"/>
            <w:tcBorders>
              <w:top w:val="nil"/>
              <w:left w:val="nil"/>
              <w:bottom w:val="single" w:sz="4" w:space="0" w:color="auto"/>
              <w:right w:val="single" w:sz="4" w:space="0" w:color="auto"/>
            </w:tcBorders>
            <w:shd w:val="clear" w:color="auto" w:fill="auto"/>
            <w:vAlign w:val="center"/>
            <w:hideMark/>
          </w:tcPr>
          <w:p w14:paraId="4B658A0D" w14:textId="77777777" w:rsidR="007968EC" w:rsidRPr="002C0D19" w:rsidRDefault="007968EC" w:rsidP="007968EC">
            <w:pPr>
              <w:rPr>
                <w:rFonts w:ascii="Arial Narrow" w:hAnsi="Arial Narrow"/>
                <w:color w:val="000000" w:themeColor="text1"/>
                <w:lang w:eastAsia="es-CO"/>
              </w:rPr>
            </w:pPr>
            <w:r w:rsidRPr="002C0D19">
              <w:rPr>
                <w:rFonts w:ascii="Arial Narrow" w:hAnsi="Arial Narrow"/>
                <w:color w:val="000000" w:themeColor="text1"/>
                <w:lang w:eastAsia="es-CO"/>
              </w:rPr>
              <w:t>Copia del certificado de existencia y representación legal del Miembro Liquidador General expedido por la autoridad competente dentro del mes inmediatamente anterior a la solicitud del Miembro Liquidador.</w:t>
            </w:r>
          </w:p>
        </w:tc>
        <w:tc>
          <w:tcPr>
            <w:tcW w:w="2126" w:type="dxa"/>
            <w:tcBorders>
              <w:top w:val="nil"/>
              <w:left w:val="nil"/>
              <w:bottom w:val="single" w:sz="4" w:space="0" w:color="auto"/>
              <w:right w:val="single" w:sz="4" w:space="0" w:color="auto"/>
            </w:tcBorders>
            <w:shd w:val="clear" w:color="auto" w:fill="auto"/>
            <w:vAlign w:val="center"/>
            <w:hideMark/>
          </w:tcPr>
          <w:p w14:paraId="116DFAA1" w14:textId="77777777" w:rsidR="007968EC" w:rsidRPr="002C0D19" w:rsidRDefault="007968EC" w:rsidP="007968EC">
            <w:pPr>
              <w:jc w:val="center"/>
              <w:rPr>
                <w:rFonts w:ascii="Arial Narrow" w:hAnsi="Arial Narrow"/>
                <w:color w:val="000000" w:themeColor="text1"/>
                <w:lang w:eastAsia="es-CO"/>
              </w:rPr>
            </w:pPr>
            <w:r w:rsidRPr="002C0D19">
              <w:rPr>
                <w:rFonts w:ascii="Arial Narrow" w:hAnsi="Arial Narrow"/>
                <w:color w:val="000000" w:themeColor="text1"/>
                <w:lang w:eastAsia="es-CO"/>
              </w:rPr>
              <w:t> </w:t>
            </w:r>
          </w:p>
        </w:tc>
      </w:tr>
      <w:tr w:rsidR="007968EC" w:rsidRPr="002C0D19" w14:paraId="4A412D2D" w14:textId="77777777" w:rsidTr="007968EC">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5FDC455" w14:textId="77777777" w:rsidR="007968EC" w:rsidRPr="002C0D19" w:rsidRDefault="007968EC" w:rsidP="007968EC">
            <w:pPr>
              <w:jc w:val="center"/>
              <w:rPr>
                <w:rFonts w:ascii="Arial Narrow" w:hAnsi="Arial Narrow"/>
                <w:color w:val="000000" w:themeColor="text1"/>
                <w:lang w:eastAsia="es-CO"/>
              </w:rPr>
            </w:pPr>
            <w:r w:rsidRPr="002C0D19">
              <w:rPr>
                <w:rFonts w:ascii="Arial Narrow" w:hAnsi="Arial Narrow"/>
                <w:color w:val="000000" w:themeColor="text1"/>
                <w:lang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14:paraId="0361D510" w14:textId="77777777" w:rsidR="007968EC" w:rsidRPr="002C0D19" w:rsidRDefault="007968EC" w:rsidP="007968EC">
            <w:pPr>
              <w:jc w:val="center"/>
              <w:rPr>
                <w:rFonts w:ascii="Arial Narrow" w:hAnsi="Arial Narrow"/>
                <w:color w:val="000000" w:themeColor="text1"/>
                <w:lang w:eastAsia="es-CO"/>
              </w:rPr>
            </w:pPr>
            <w:r w:rsidRPr="002C0D19">
              <w:rPr>
                <w:rFonts w:ascii="Arial Narrow" w:hAnsi="Arial Narrow"/>
                <w:color w:val="000000" w:themeColor="text1"/>
                <w:lang w:eastAsia="es-CO"/>
              </w:rPr>
              <w:t> </w:t>
            </w:r>
          </w:p>
        </w:tc>
        <w:tc>
          <w:tcPr>
            <w:tcW w:w="3969" w:type="dxa"/>
            <w:tcBorders>
              <w:top w:val="nil"/>
              <w:left w:val="nil"/>
              <w:bottom w:val="single" w:sz="4" w:space="0" w:color="auto"/>
              <w:right w:val="single" w:sz="4" w:space="0" w:color="auto"/>
            </w:tcBorders>
            <w:shd w:val="clear" w:color="auto" w:fill="auto"/>
            <w:vAlign w:val="center"/>
            <w:hideMark/>
          </w:tcPr>
          <w:p w14:paraId="5B3774AB" w14:textId="77777777" w:rsidR="007968EC" w:rsidRPr="002C0D19" w:rsidRDefault="007968EC" w:rsidP="007968EC">
            <w:pPr>
              <w:rPr>
                <w:rFonts w:ascii="Arial Narrow" w:hAnsi="Arial Narrow"/>
                <w:color w:val="000000" w:themeColor="text1"/>
                <w:lang w:eastAsia="es-CO"/>
              </w:rPr>
            </w:pPr>
            <w:r w:rsidRPr="002C0D19">
              <w:rPr>
                <w:rFonts w:ascii="Arial Narrow" w:hAnsi="Arial Narrow"/>
                <w:color w:val="000000" w:themeColor="text1"/>
                <w:lang w:eastAsia="es-CO"/>
              </w:rPr>
              <w:t>Estatutos Sociales Actualizados del Miembro Liquidador General.</w:t>
            </w:r>
          </w:p>
        </w:tc>
        <w:tc>
          <w:tcPr>
            <w:tcW w:w="2126" w:type="dxa"/>
            <w:tcBorders>
              <w:top w:val="nil"/>
              <w:left w:val="nil"/>
              <w:bottom w:val="single" w:sz="4" w:space="0" w:color="auto"/>
              <w:right w:val="single" w:sz="4" w:space="0" w:color="auto"/>
            </w:tcBorders>
            <w:shd w:val="clear" w:color="auto" w:fill="auto"/>
            <w:vAlign w:val="center"/>
            <w:hideMark/>
          </w:tcPr>
          <w:p w14:paraId="7983A440" w14:textId="77777777" w:rsidR="007968EC" w:rsidRPr="002C0D19" w:rsidRDefault="007968EC" w:rsidP="007968EC">
            <w:pPr>
              <w:jc w:val="center"/>
              <w:rPr>
                <w:rFonts w:ascii="Arial Narrow" w:hAnsi="Arial Narrow"/>
                <w:color w:val="000000" w:themeColor="text1"/>
                <w:lang w:eastAsia="es-CO"/>
              </w:rPr>
            </w:pPr>
            <w:r w:rsidRPr="002C0D19">
              <w:rPr>
                <w:rFonts w:ascii="Arial Narrow" w:hAnsi="Arial Narrow"/>
                <w:color w:val="000000" w:themeColor="text1"/>
                <w:lang w:eastAsia="es-CO"/>
              </w:rPr>
              <w:t> </w:t>
            </w:r>
          </w:p>
        </w:tc>
      </w:tr>
      <w:tr w:rsidR="007968EC" w:rsidRPr="002C0D19" w14:paraId="02E410FC" w14:textId="77777777" w:rsidTr="007968EC">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16EEFFD" w14:textId="77777777" w:rsidR="007968EC" w:rsidRPr="002C0D19" w:rsidRDefault="007968EC" w:rsidP="007968EC">
            <w:pPr>
              <w:jc w:val="center"/>
              <w:rPr>
                <w:rFonts w:ascii="Arial Narrow" w:hAnsi="Arial Narrow"/>
                <w:color w:val="000000" w:themeColor="text1"/>
                <w:lang w:eastAsia="es-CO"/>
              </w:rPr>
            </w:pPr>
            <w:r w:rsidRPr="002C0D19">
              <w:rPr>
                <w:rFonts w:ascii="Arial Narrow" w:hAnsi="Arial Narrow"/>
                <w:color w:val="000000" w:themeColor="text1"/>
                <w:lang w:eastAsia="es-CO"/>
              </w:rPr>
              <w:t>Anexo 6</w:t>
            </w:r>
          </w:p>
        </w:tc>
        <w:tc>
          <w:tcPr>
            <w:tcW w:w="1276" w:type="dxa"/>
            <w:tcBorders>
              <w:top w:val="nil"/>
              <w:left w:val="nil"/>
              <w:bottom w:val="single" w:sz="4" w:space="0" w:color="auto"/>
              <w:right w:val="single" w:sz="4" w:space="0" w:color="auto"/>
            </w:tcBorders>
            <w:shd w:val="clear" w:color="auto" w:fill="auto"/>
            <w:noWrap/>
            <w:vAlign w:val="center"/>
            <w:hideMark/>
          </w:tcPr>
          <w:p w14:paraId="57F9922D" w14:textId="77777777" w:rsidR="007968EC" w:rsidRPr="002C0D19" w:rsidRDefault="007968EC" w:rsidP="007968EC">
            <w:pPr>
              <w:jc w:val="center"/>
              <w:rPr>
                <w:rFonts w:ascii="Arial Narrow" w:hAnsi="Arial Narrow"/>
                <w:color w:val="000000" w:themeColor="text1"/>
                <w:lang w:eastAsia="es-CO"/>
              </w:rPr>
            </w:pPr>
            <w:r w:rsidRPr="002C0D19">
              <w:rPr>
                <w:rFonts w:ascii="Arial Narrow" w:hAnsi="Arial Narrow" w:cs="Arial"/>
                <w:bCs/>
                <w:color w:val="000000" w:themeColor="text1"/>
                <w:lang w:val="es-ES" w:eastAsia="es-ES"/>
              </w:rPr>
              <w:t>FO GMI 013</w:t>
            </w:r>
          </w:p>
        </w:tc>
        <w:tc>
          <w:tcPr>
            <w:tcW w:w="3969" w:type="dxa"/>
            <w:tcBorders>
              <w:top w:val="nil"/>
              <w:left w:val="nil"/>
              <w:bottom w:val="single" w:sz="4" w:space="0" w:color="auto"/>
              <w:right w:val="single" w:sz="4" w:space="0" w:color="auto"/>
            </w:tcBorders>
            <w:shd w:val="clear" w:color="auto" w:fill="auto"/>
            <w:vAlign w:val="center"/>
            <w:hideMark/>
          </w:tcPr>
          <w:p w14:paraId="1C69BD50" w14:textId="77777777" w:rsidR="007968EC" w:rsidRPr="002C0D19" w:rsidRDefault="007968EC" w:rsidP="007968EC">
            <w:pPr>
              <w:rPr>
                <w:rFonts w:ascii="Arial Narrow" w:hAnsi="Arial Narrow"/>
                <w:color w:val="000000" w:themeColor="text1"/>
                <w:lang w:eastAsia="es-CO"/>
              </w:rPr>
            </w:pPr>
            <w:r w:rsidRPr="002C0D19">
              <w:rPr>
                <w:rFonts w:ascii="Arial Narrow" w:hAnsi="Arial Narrow"/>
                <w:color w:val="000000" w:themeColor="text1"/>
                <w:lang w:eastAsia="es-CO"/>
              </w:rPr>
              <w:t xml:space="preserve">Listado de firmas autorizadas. </w:t>
            </w:r>
          </w:p>
        </w:tc>
        <w:tc>
          <w:tcPr>
            <w:tcW w:w="2126" w:type="dxa"/>
            <w:tcBorders>
              <w:top w:val="nil"/>
              <w:left w:val="nil"/>
              <w:bottom w:val="single" w:sz="4" w:space="0" w:color="auto"/>
              <w:right w:val="single" w:sz="4" w:space="0" w:color="auto"/>
            </w:tcBorders>
            <w:shd w:val="clear" w:color="auto" w:fill="auto"/>
            <w:vAlign w:val="center"/>
            <w:hideMark/>
          </w:tcPr>
          <w:p w14:paraId="1F906E4C" w14:textId="77777777" w:rsidR="007968EC" w:rsidRPr="002C0D19" w:rsidRDefault="007968EC" w:rsidP="007968EC">
            <w:pPr>
              <w:jc w:val="center"/>
              <w:rPr>
                <w:rFonts w:ascii="Arial Narrow" w:hAnsi="Arial Narrow"/>
                <w:color w:val="000000" w:themeColor="text1"/>
                <w:lang w:eastAsia="es-CO"/>
              </w:rPr>
            </w:pPr>
            <w:r w:rsidRPr="002C0D19">
              <w:rPr>
                <w:rFonts w:ascii="Arial Narrow" w:hAnsi="Arial Narrow"/>
                <w:color w:val="000000" w:themeColor="text1"/>
                <w:lang w:eastAsia="es-CO"/>
              </w:rPr>
              <w:t>Solo en caso que hayan cambios en las firmas autorizadas</w:t>
            </w:r>
          </w:p>
        </w:tc>
      </w:tr>
      <w:tr w:rsidR="007968EC" w:rsidRPr="002C0D19" w14:paraId="6B5E9550" w14:textId="77777777" w:rsidTr="007968EC">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26C4FF1" w14:textId="77777777" w:rsidR="007968EC" w:rsidRPr="002C0D19" w:rsidRDefault="007968EC" w:rsidP="007968EC">
            <w:pPr>
              <w:jc w:val="center"/>
              <w:rPr>
                <w:rFonts w:ascii="Arial Narrow" w:hAnsi="Arial Narrow"/>
                <w:color w:val="000000" w:themeColor="text1"/>
                <w:lang w:eastAsia="es-CO"/>
              </w:rPr>
            </w:pPr>
            <w:r w:rsidRPr="002C0D19">
              <w:rPr>
                <w:rFonts w:ascii="Arial Narrow" w:hAnsi="Arial Narrow"/>
                <w:color w:val="000000" w:themeColor="text1"/>
                <w:lang w:eastAsia="es-CO"/>
              </w:rPr>
              <w:t>Anexo 10</w:t>
            </w:r>
          </w:p>
        </w:tc>
        <w:tc>
          <w:tcPr>
            <w:tcW w:w="1276" w:type="dxa"/>
            <w:tcBorders>
              <w:top w:val="nil"/>
              <w:left w:val="nil"/>
              <w:bottom w:val="single" w:sz="4" w:space="0" w:color="auto"/>
              <w:right w:val="single" w:sz="4" w:space="0" w:color="auto"/>
            </w:tcBorders>
            <w:shd w:val="clear" w:color="auto" w:fill="auto"/>
            <w:noWrap/>
            <w:vAlign w:val="center"/>
            <w:hideMark/>
          </w:tcPr>
          <w:p w14:paraId="10439378" w14:textId="77777777" w:rsidR="007968EC" w:rsidRPr="002C0D19" w:rsidRDefault="007968EC" w:rsidP="007968EC">
            <w:pPr>
              <w:jc w:val="center"/>
              <w:rPr>
                <w:rFonts w:ascii="Arial Narrow" w:hAnsi="Arial Narrow"/>
                <w:color w:val="000000" w:themeColor="text1"/>
                <w:lang w:eastAsia="es-CO"/>
              </w:rPr>
            </w:pPr>
            <w:r w:rsidRPr="002C0D19">
              <w:rPr>
                <w:rFonts w:ascii="Arial Narrow" w:hAnsi="Arial Narrow"/>
                <w:color w:val="000000" w:themeColor="text1"/>
                <w:lang w:eastAsia="es-CO"/>
              </w:rPr>
              <w:t>FO GMI 013</w:t>
            </w:r>
          </w:p>
        </w:tc>
        <w:tc>
          <w:tcPr>
            <w:tcW w:w="3969" w:type="dxa"/>
            <w:tcBorders>
              <w:top w:val="nil"/>
              <w:left w:val="nil"/>
              <w:bottom w:val="single" w:sz="4" w:space="0" w:color="auto"/>
              <w:right w:val="single" w:sz="4" w:space="0" w:color="auto"/>
            </w:tcBorders>
            <w:shd w:val="clear" w:color="auto" w:fill="auto"/>
            <w:vAlign w:val="center"/>
            <w:hideMark/>
          </w:tcPr>
          <w:p w14:paraId="0B7D0E93" w14:textId="77777777" w:rsidR="007968EC" w:rsidRPr="002C0D19" w:rsidRDefault="007968EC" w:rsidP="007968EC">
            <w:pPr>
              <w:rPr>
                <w:rFonts w:ascii="Arial Narrow" w:hAnsi="Arial Narrow"/>
                <w:color w:val="000000" w:themeColor="text1"/>
                <w:lang w:eastAsia="es-CO"/>
              </w:rPr>
            </w:pPr>
            <w:r w:rsidRPr="002C0D19">
              <w:rPr>
                <w:rFonts w:ascii="Arial Narrow" w:hAnsi="Arial Narrow"/>
                <w:color w:val="000000" w:themeColor="text1"/>
                <w:lang w:eastAsia="es-CO"/>
              </w:rPr>
              <w:t>Formato de solicitud de creación y modificación del usuario administrador.</w:t>
            </w:r>
          </w:p>
        </w:tc>
        <w:tc>
          <w:tcPr>
            <w:tcW w:w="2126" w:type="dxa"/>
            <w:tcBorders>
              <w:top w:val="nil"/>
              <w:left w:val="nil"/>
              <w:bottom w:val="single" w:sz="4" w:space="0" w:color="auto"/>
              <w:right w:val="single" w:sz="4" w:space="0" w:color="auto"/>
            </w:tcBorders>
            <w:shd w:val="clear" w:color="auto" w:fill="auto"/>
            <w:vAlign w:val="center"/>
            <w:hideMark/>
          </w:tcPr>
          <w:p w14:paraId="57A4E128" w14:textId="77777777" w:rsidR="007968EC" w:rsidRPr="002C0D19" w:rsidRDefault="007968EC" w:rsidP="007968EC">
            <w:pPr>
              <w:jc w:val="center"/>
              <w:rPr>
                <w:rFonts w:ascii="Arial Narrow" w:hAnsi="Arial Narrow"/>
                <w:color w:val="000000" w:themeColor="text1"/>
                <w:lang w:eastAsia="es-CO"/>
              </w:rPr>
            </w:pPr>
            <w:r w:rsidRPr="002C0D19">
              <w:rPr>
                <w:rFonts w:ascii="Arial Narrow" w:hAnsi="Arial Narrow"/>
                <w:color w:val="000000" w:themeColor="text1"/>
                <w:lang w:eastAsia="es-CO"/>
              </w:rPr>
              <w:t>Solo en caso que haya cambio de Usuario administrador</w:t>
            </w:r>
          </w:p>
        </w:tc>
      </w:tr>
      <w:tr w:rsidR="007968EC" w:rsidRPr="002C0D19" w14:paraId="2740D9AD" w14:textId="77777777" w:rsidTr="007968EC">
        <w:trPr>
          <w:trHeight w:val="9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6930744" w14:textId="77777777" w:rsidR="007968EC" w:rsidRPr="002C0D19" w:rsidRDefault="007968EC" w:rsidP="007968EC">
            <w:pPr>
              <w:jc w:val="center"/>
              <w:rPr>
                <w:rFonts w:ascii="Arial Narrow" w:hAnsi="Arial Narrow"/>
                <w:color w:val="000000" w:themeColor="text1"/>
                <w:lang w:eastAsia="es-CO"/>
              </w:rPr>
            </w:pPr>
            <w:r w:rsidRPr="002C0D19">
              <w:rPr>
                <w:rFonts w:ascii="Arial Narrow" w:hAnsi="Arial Narrow"/>
                <w:color w:val="000000" w:themeColor="text1"/>
                <w:lang w:eastAsia="es-CO"/>
              </w:rPr>
              <w:lastRenderedPageBreak/>
              <w:t>Anexo 14</w:t>
            </w:r>
          </w:p>
        </w:tc>
        <w:tc>
          <w:tcPr>
            <w:tcW w:w="1276" w:type="dxa"/>
            <w:tcBorders>
              <w:top w:val="nil"/>
              <w:left w:val="nil"/>
              <w:bottom w:val="single" w:sz="4" w:space="0" w:color="auto"/>
              <w:right w:val="single" w:sz="4" w:space="0" w:color="auto"/>
            </w:tcBorders>
            <w:shd w:val="clear" w:color="auto" w:fill="auto"/>
            <w:noWrap/>
            <w:vAlign w:val="center"/>
            <w:hideMark/>
          </w:tcPr>
          <w:p w14:paraId="718A7013" w14:textId="77777777" w:rsidR="007968EC" w:rsidRPr="002C0D19" w:rsidRDefault="007968EC" w:rsidP="007968EC">
            <w:pPr>
              <w:jc w:val="center"/>
              <w:rPr>
                <w:rFonts w:ascii="Arial Narrow" w:hAnsi="Arial Narrow"/>
                <w:color w:val="000000" w:themeColor="text1"/>
                <w:lang w:eastAsia="es-CO"/>
              </w:rPr>
            </w:pPr>
            <w:r w:rsidRPr="002C0D19">
              <w:rPr>
                <w:rFonts w:ascii="Arial Narrow" w:hAnsi="Arial Narrow"/>
                <w:color w:val="000000" w:themeColor="text1"/>
                <w:lang w:eastAsia="es-CO"/>
              </w:rPr>
              <w:t>FO GMI 035</w:t>
            </w:r>
          </w:p>
        </w:tc>
        <w:tc>
          <w:tcPr>
            <w:tcW w:w="3969" w:type="dxa"/>
            <w:tcBorders>
              <w:top w:val="nil"/>
              <w:left w:val="nil"/>
              <w:bottom w:val="single" w:sz="4" w:space="0" w:color="auto"/>
              <w:right w:val="single" w:sz="4" w:space="0" w:color="auto"/>
            </w:tcBorders>
            <w:shd w:val="clear" w:color="auto" w:fill="auto"/>
            <w:vAlign w:val="center"/>
            <w:hideMark/>
          </w:tcPr>
          <w:p w14:paraId="66FA87D4" w14:textId="77777777" w:rsidR="007968EC" w:rsidRPr="002C0D19" w:rsidRDefault="007968EC" w:rsidP="007968EC">
            <w:pPr>
              <w:rPr>
                <w:rFonts w:ascii="Arial Narrow" w:hAnsi="Arial Narrow"/>
                <w:color w:val="000000" w:themeColor="text1"/>
                <w:lang w:eastAsia="es-CO"/>
              </w:rPr>
            </w:pPr>
            <w:r w:rsidRPr="002C0D19">
              <w:rPr>
                <w:rFonts w:ascii="Arial Narrow" w:hAnsi="Arial Narrow"/>
                <w:color w:val="000000" w:themeColor="text1"/>
                <w:lang w:eastAsia="es-CO"/>
              </w:rPr>
              <w:t xml:space="preserve">Carta Presentación donde el miembro liquidador presenta a el Miembro no Liquidador </w:t>
            </w:r>
          </w:p>
        </w:tc>
        <w:tc>
          <w:tcPr>
            <w:tcW w:w="2126" w:type="dxa"/>
            <w:tcBorders>
              <w:top w:val="nil"/>
              <w:left w:val="nil"/>
              <w:bottom w:val="single" w:sz="4" w:space="0" w:color="auto"/>
              <w:right w:val="single" w:sz="4" w:space="0" w:color="auto"/>
            </w:tcBorders>
            <w:shd w:val="clear" w:color="auto" w:fill="auto"/>
            <w:noWrap/>
            <w:vAlign w:val="center"/>
            <w:hideMark/>
          </w:tcPr>
          <w:p w14:paraId="3439C4D4" w14:textId="77777777" w:rsidR="007968EC" w:rsidRPr="002C0D19" w:rsidRDefault="007968EC" w:rsidP="007968EC">
            <w:pPr>
              <w:rPr>
                <w:rFonts w:ascii="Arial Narrow" w:hAnsi="Arial Narrow"/>
                <w:color w:val="000000" w:themeColor="text1"/>
                <w:lang w:eastAsia="es-CO"/>
              </w:rPr>
            </w:pPr>
            <w:r w:rsidRPr="002C0D19">
              <w:rPr>
                <w:rFonts w:ascii="Arial Narrow" w:hAnsi="Arial Narrow"/>
                <w:color w:val="000000" w:themeColor="text1"/>
                <w:lang w:eastAsia="es-CO"/>
              </w:rPr>
              <w:t> </w:t>
            </w:r>
          </w:p>
        </w:tc>
      </w:tr>
      <w:tr w:rsidR="007968EC" w:rsidRPr="002C0D19" w14:paraId="776BC662" w14:textId="77777777" w:rsidTr="007968EC">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DEB8175" w14:textId="77777777" w:rsidR="007968EC" w:rsidRPr="002C0D19" w:rsidRDefault="007968EC" w:rsidP="007968EC">
            <w:pPr>
              <w:jc w:val="center"/>
              <w:rPr>
                <w:rFonts w:ascii="Arial Narrow" w:hAnsi="Arial Narrow"/>
                <w:color w:val="000000" w:themeColor="text1"/>
                <w:lang w:eastAsia="es-CO"/>
              </w:rPr>
            </w:pPr>
            <w:r w:rsidRPr="002C0D19">
              <w:rPr>
                <w:rFonts w:ascii="Arial Narrow" w:hAnsi="Arial Narrow"/>
                <w:color w:val="000000" w:themeColor="text1"/>
                <w:lang w:eastAsia="es-CO"/>
              </w:rPr>
              <w:t>Anexo 23</w:t>
            </w:r>
          </w:p>
        </w:tc>
        <w:tc>
          <w:tcPr>
            <w:tcW w:w="1276" w:type="dxa"/>
            <w:tcBorders>
              <w:top w:val="nil"/>
              <w:left w:val="nil"/>
              <w:bottom w:val="single" w:sz="4" w:space="0" w:color="auto"/>
              <w:right w:val="single" w:sz="4" w:space="0" w:color="auto"/>
            </w:tcBorders>
            <w:shd w:val="clear" w:color="auto" w:fill="auto"/>
            <w:noWrap/>
            <w:vAlign w:val="center"/>
            <w:hideMark/>
          </w:tcPr>
          <w:p w14:paraId="4ED26DDF" w14:textId="77777777" w:rsidR="007968EC" w:rsidRPr="002C0D19" w:rsidRDefault="007968EC" w:rsidP="007968EC">
            <w:pPr>
              <w:jc w:val="center"/>
              <w:rPr>
                <w:rFonts w:ascii="Arial Narrow" w:hAnsi="Arial Narrow"/>
                <w:color w:val="000000" w:themeColor="text1"/>
                <w:lang w:eastAsia="es-CO"/>
              </w:rPr>
            </w:pPr>
            <w:r w:rsidRPr="002C0D19">
              <w:rPr>
                <w:rFonts w:ascii="Arial Narrow" w:hAnsi="Arial Narrow"/>
                <w:color w:val="000000" w:themeColor="text1"/>
                <w:lang w:eastAsia="es-CO"/>
              </w:rPr>
              <w:t> </w:t>
            </w:r>
          </w:p>
        </w:tc>
        <w:tc>
          <w:tcPr>
            <w:tcW w:w="3969" w:type="dxa"/>
            <w:tcBorders>
              <w:top w:val="nil"/>
              <w:left w:val="nil"/>
              <w:bottom w:val="single" w:sz="4" w:space="0" w:color="auto"/>
              <w:right w:val="single" w:sz="4" w:space="0" w:color="auto"/>
            </w:tcBorders>
            <w:shd w:val="clear" w:color="auto" w:fill="auto"/>
            <w:vAlign w:val="center"/>
            <w:hideMark/>
          </w:tcPr>
          <w:p w14:paraId="79CDF453" w14:textId="77777777" w:rsidR="007968EC" w:rsidRPr="002C0D19" w:rsidRDefault="007968EC" w:rsidP="007968EC">
            <w:pPr>
              <w:rPr>
                <w:rFonts w:ascii="Arial Narrow" w:hAnsi="Arial Narrow"/>
                <w:color w:val="000000" w:themeColor="text1"/>
                <w:lang w:eastAsia="es-CO"/>
              </w:rPr>
            </w:pPr>
            <w:r w:rsidRPr="002C0D19">
              <w:rPr>
                <w:rFonts w:ascii="Arial Narrow" w:hAnsi="Arial Narrow"/>
                <w:color w:val="000000" w:themeColor="text1"/>
                <w:lang w:eastAsia="es-CO"/>
              </w:rPr>
              <w:t>Convenio con uno o varios Miembros Liquidadores Generales. (original)</w:t>
            </w:r>
          </w:p>
        </w:tc>
        <w:tc>
          <w:tcPr>
            <w:tcW w:w="2126" w:type="dxa"/>
            <w:tcBorders>
              <w:top w:val="nil"/>
              <w:left w:val="nil"/>
              <w:bottom w:val="single" w:sz="4" w:space="0" w:color="auto"/>
              <w:right w:val="single" w:sz="4" w:space="0" w:color="auto"/>
            </w:tcBorders>
            <w:shd w:val="clear" w:color="auto" w:fill="auto"/>
            <w:noWrap/>
            <w:vAlign w:val="center"/>
            <w:hideMark/>
          </w:tcPr>
          <w:p w14:paraId="6D231F11" w14:textId="77777777" w:rsidR="007968EC" w:rsidRPr="002C0D19" w:rsidRDefault="007968EC" w:rsidP="007968EC">
            <w:pPr>
              <w:rPr>
                <w:rFonts w:ascii="Arial Narrow" w:hAnsi="Arial Narrow"/>
                <w:color w:val="000000" w:themeColor="text1"/>
                <w:lang w:eastAsia="es-CO"/>
              </w:rPr>
            </w:pPr>
            <w:r w:rsidRPr="002C0D19">
              <w:rPr>
                <w:rFonts w:ascii="Arial Narrow" w:hAnsi="Arial Narrow"/>
                <w:color w:val="000000" w:themeColor="text1"/>
                <w:lang w:eastAsia="es-CO"/>
              </w:rPr>
              <w:t> </w:t>
            </w:r>
          </w:p>
        </w:tc>
      </w:tr>
      <w:tr w:rsidR="007968EC" w:rsidRPr="002C0D19" w14:paraId="35A8627F" w14:textId="77777777" w:rsidTr="007968EC">
        <w:trPr>
          <w:trHeight w:val="6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CA69D80" w14:textId="77777777" w:rsidR="007968EC" w:rsidRPr="002C0D19" w:rsidRDefault="007968EC" w:rsidP="007968EC">
            <w:pPr>
              <w:rPr>
                <w:rFonts w:ascii="Arial Narrow" w:hAnsi="Arial Narrow"/>
                <w:color w:val="000000" w:themeColor="text1"/>
                <w:lang w:eastAsia="es-CO"/>
              </w:rPr>
            </w:pPr>
            <w:r w:rsidRPr="002C0D19">
              <w:rPr>
                <w:rFonts w:ascii="Arial Narrow" w:hAnsi="Arial Narrow"/>
                <w:color w:val="000000" w:themeColor="text1"/>
                <w:lang w:eastAsia="es-CO"/>
              </w:rPr>
              <w:t> </w:t>
            </w:r>
          </w:p>
        </w:tc>
        <w:tc>
          <w:tcPr>
            <w:tcW w:w="1276" w:type="dxa"/>
            <w:tcBorders>
              <w:top w:val="nil"/>
              <w:left w:val="nil"/>
              <w:bottom w:val="single" w:sz="4" w:space="0" w:color="auto"/>
              <w:right w:val="single" w:sz="4" w:space="0" w:color="auto"/>
            </w:tcBorders>
            <w:shd w:val="clear" w:color="auto" w:fill="auto"/>
            <w:noWrap/>
            <w:vAlign w:val="bottom"/>
            <w:hideMark/>
          </w:tcPr>
          <w:p w14:paraId="1EF53A1A" w14:textId="77777777" w:rsidR="007968EC" w:rsidRPr="002C0D19" w:rsidRDefault="007968EC" w:rsidP="007968EC">
            <w:pPr>
              <w:rPr>
                <w:rFonts w:ascii="Arial Narrow" w:hAnsi="Arial Narrow"/>
                <w:color w:val="000000" w:themeColor="text1"/>
                <w:lang w:eastAsia="es-CO"/>
              </w:rPr>
            </w:pPr>
            <w:r w:rsidRPr="002C0D19">
              <w:rPr>
                <w:rFonts w:ascii="Arial Narrow" w:hAnsi="Arial Narrow"/>
                <w:color w:val="000000" w:themeColor="text1"/>
                <w:lang w:eastAsia="es-CO"/>
              </w:rPr>
              <w:t> </w:t>
            </w:r>
          </w:p>
        </w:tc>
        <w:tc>
          <w:tcPr>
            <w:tcW w:w="3969" w:type="dxa"/>
            <w:tcBorders>
              <w:top w:val="nil"/>
              <w:left w:val="nil"/>
              <w:bottom w:val="single" w:sz="4" w:space="0" w:color="auto"/>
              <w:right w:val="single" w:sz="4" w:space="0" w:color="auto"/>
            </w:tcBorders>
            <w:shd w:val="clear" w:color="auto" w:fill="auto"/>
            <w:vAlign w:val="center"/>
            <w:hideMark/>
          </w:tcPr>
          <w:p w14:paraId="40C2C200" w14:textId="77777777" w:rsidR="007968EC" w:rsidRPr="002C0D19" w:rsidRDefault="007968EC" w:rsidP="007968EC">
            <w:pPr>
              <w:rPr>
                <w:rFonts w:ascii="Arial Narrow" w:hAnsi="Arial Narrow"/>
                <w:color w:val="000000" w:themeColor="text1"/>
                <w:lang w:eastAsia="es-CO"/>
              </w:rPr>
            </w:pPr>
            <w:r w:rsidRPr="002C0D19">
              <w:rPr>
                <w:rFonts w:ascii="Arial Narrow" w:hAnsi="Arial Narrow"/>
                <w:color w:val="000000" w:themeColor="text1"/>
                <w:lang w:eastAsia="es-CO"/>
              </w:rPr>
              <w:t>Carta informando la fecha en la cual se va a realizar el cambio de modalidad.</w:t>
            </w:r>
          </w:p>
        </w:tc>
        <w:tc>
          <w:tcPr>
            <w:tcW w:w="2126" w:type="dxa"/>
            <w:tcBorders>
              <w:top w:val="nil"/>
              <w:left w:val="nil"/>
              <w:bottom w:val="single" w:sz="4" w:space="0" w:color="auto"/>
              <w:right w:val="single" w:sz="4" w:space="0" w:color="auto"/>
            </w:tcBorders>
            <w:shd w:val="clear" w:color="auto" w:fill="auto"/>
            <w:noWrap/>
            <w:vAlign w:val="bottom"/>
            <w:hideMark/>
          </w:tcPr>
          <w:p w14:paraId="0A994994" w14:textId="77777777" w:rsidR="007968EC" w:rsidRPr="002C0D19" w:rsidRDefault="007968EC" w:rsidP="007968EC">
            <w:pPr>
              <w:rPr>
                <w:rFonts w:ascii="Arial Narrow" w:hAnsi="Arial Narrow"/>
                <w:color w:val="000000" w:themeColor="text1"/>
                <w:lang w:eastAsia="es-CO"/>
              </w:rPr>
            </w:pPr>
            <w:r w:rsidRPr="002C0D19">
              <w:rPr>
                <w:rFonts w:ascii="Arial Narrow" w:hAnsi="Arial Narrow"/>
                <w:color w:val="000000" w:themeColor="text1"/>
                <w:lang w:eastAsia="es-CO"/>
              </w:rPr>
              <w:t> </w:t>
            </w:r>
          </w:p>
        </w:tc>
      </w:tr>
    </w:tbl>
    <w:p w14:paraId="17D770AA" w14:textId="77777777" w:rsidR="007968EC" w:rsidRPr="002C0D19" w:rsidRDefault="007968EC" w:rsidP="007968EC">
      <w:pPr>
        <w:jc w:val="center"/>
        <w:rPr>
          <w:rFonts w:ascii="Arial Narrow" w:hAnsi="Arial Narrow" w:cs="Arial"/>
          <w:color w:val="000000" w:themeColor="text1"/>
          <w:lang w:val="es-ES" w:eastAsia="es-ES"/>
        </w:rPr>
      </w:pPr>
    </w:p>
    <w:p w14:paraId="3F09EB05" w14:textId="77777777" w:rsidR="007968EC" w:rsidRPr="002C0D19" w:rsidRDefault="007968EC" w:rsidP="007968EC">
      <w:pPr>
        <w:jc w:val="center"/>
        <w:rPr>
          <w:rFonts w:ascii="Arial Narrow" w:hAnsi="Arial Narrow" w:cs="Arial"/>
          <w:color w:val="000000" w:themeColor="text1"/>
          <w:lang w:val="es-ES" w:eastAsia="es-ES"/>
        </w:rPr>
      </w:pPr>
    </w:p>
    <w:p w14:paraId="7A8A00AB" w14:textId="77777777" w:rsidR="007968EC" w:rsidRPr="002C0D19" w:rsidRDefault="007968EC" w:rsidP="007968EC">
      <w:pPr>
        <w:rPr>
          <w:rFonts w:ascii="Arial Narrow" w:hAnsi="Arial Narrow" w:cs="Arial"/>
          <w:color w:val="000000" w:themeColor="text1"/>
          <w:lang w:val="es-ES" w:eastAsia="es-ES"/>
        </w:rPr>
        <w:sectPr w:rsidR="007968EC" w:rsidRPr="002C0D19" w:rsidSect="007968EC">
          <w:pgSz w:w="12242" w:h="15842" w:code="1"/>
          <w:pgMar w:top="1985" w:right="1418" w:bottom="1985" w:left="1418" w:header="851" w:footer="1021" w:gutter="0"/>
          <w:cols w:space="708"/>
          <w:titlePg/>
          <w:docGrid w:linePitch="360"/>
        </w:sectPr>
      </w:pPr>
    </w:p>
    <w:p w14:paraId="1B48A8DE" w14:textId="77777777" w:rsidR="007968EC" w:rsidRPr="005C4274" w:rsidRDefault="007968EC" w:rsidP="007968EC">
      <w:pPr>
        <w:pStyle w:val="TTULO"/>
        <w:rPr>
          <w:lang w:val="es-ES"/>
        </w:rPr>
      </w:pPr>
      <w:bookmarkStart w:id="6570" w:name="_Toc31716604"/>
      <w:r w:rsidRPr="005C4274">
        <w:rPr>
          <w:lang w:val="es-ES"/>
        </w:rPr>
        <w:lastRenderedPageBreak/>
        <w:t>ANEXO 14</w:t>
      </w:r>
      <w:bookmarkEnd w:id="6570"/>
    </w:p>
    <w:p w14:paraId="4D831328" w14:textId="77777777" w:rsidR="007968EC" w:rsidRPr="005C4274" w:rsidRDefault="007968EC" w:rsidP="007968EC">
      <w:pPr>
        <w:jc w:val="center"/>
        <w:rPr>
          <w:rFonts w:ascii="Arial Narrow" w:hAnsi="Arial Narrow" w:cs="Arial"/>
          <w:b/>
          <w:color w:val="000000" w:themeColor="text1"/>
          <w:lang w:val="es-ES" w:eastAsia="es-ES"/>
        </w:rPr>
      </w:pPr>
    </w:p>
    <w:p w14:paraId="3882BC73" w14:textId="77777777" w:rsidR="007968EC" w:rsidRPr="005C4274" w:rsidRDefault="007968EC" w:rsidP="007968EC">
      <w:pPr>
        <w:jc w:val="center"/>
        <w:rPr>
          <w:rFonts w:ascii="Arial Narrow" w:hAnsi="Arial Narrow" w:cs="Arial"/>
          <w:b/>
          <w:color w:val="000000" w:themeColor="text1"/>
          <w:lang w:val="es-ES" w:eastAsia="es-ES"/>
        </w:rPr>
      </w:pPr>
      <w:r w:rsidRPr="005C4274">
        <w:rPr>
          <w:rFonts w:ascii="Arial Narrow" w:hAnsi="Arial Narrow" w:cs="Arial"/>
          <w:b/>
          <w:color w:val="000000" w:themeColor="text1"/>
          <w:lang w:val="es-ES" w:eastAsia="es-ES"/>
        </w:rPr>
        <w:t>CARTA PRESENTACIÓN MIEMBRO NO LIQUIDADOR</w:t>
      </w:r>
    </w:p>
    <w:p w14:paraId="0A84563B" w14:textId="77777777" w:rsidR="007968EC" w:rsidRPr="002C0D19" w:rsidRDefault="007968EC" w:rsidP="007968EC">
      <w:pPr>
        <w:jc w:val="center"/>
        <w:rPr>
          <w:rFonts w:ascii="Arial Narrow" w:hAnsi="Arial Narrow" w:cs="Arial"/>
          <w:b/>
          <w:color w:val="000000" w:themeColor="text1"/>
          <w:lang w:val="es-ES" w:eastAsia="es-ES"/>
        </w:rPr>
      </w:pPr>
    </w:p>
    <w:p w14:paraId="11ECCFBB" w14:textId="77777777" w:rsidR="007968EC" w:rsidRPr="002C0D19" w:rsidRDefault="007968EC" w:rsidP="007968EC">
      <w:pPr>
        <w:jc w:val="center"/>
        <w:rPr>
          <w:rFonts w:ascii="Arial Narrow" w:eastAsia="Calibri" w:hAnsi="Arial Narrow"/>
          <w:b/>
        </w:rPr>
      </w:pPr>
      <w:r w:rsidRPr="002C0D19">
        <w:rPr>
          <w:rFonts w:ascii="Arial Narrow" w:eastAsia="Calibri" w:hAnsi="Arial Narrow"/>
          <w:b/>
          <w:i/>
        </w:rPr>
        <w:t>(Este Anexo fue modificado mediante Circular 14 del 8 de agosto de 2017, publicada en el Boletín Normativo No. 015 del 8 de agosto de 2017</w:t>
      </w:r>
      <w:r>
        <w:rPr>
          <w:rFonts w:ascii="Arial Narrow" w:eastAsia="Calibri" w:hAnsi="Arial Narrow"/>
          <w:b/>
          <w:i/>
        </w:rPr>
        <w:t xml:space="preserve"> y mediante la Circular 7 del 9 de mayo de 2018, publicada en el Boletín Normativo No. 010 del 9 de mayo de 2018. Rige a partir del 21</w:t>
      </w:r>
      <w:r w:rsidRPr="002C0D19">
        <w:rPr>
          <w:rFonts w:ascii="Arial Narrow" w:eastAsia="Calibri" w:hAnsi="Arial Narrow"/>
          <w:b/>
          <w:i/>
        </w:rPr>
        <w:t xml:space="preserve"> de </w:t>
      </w:r>
      <w:r>
        <w:rPr>
          <w:rFonts w:ascii="Arial Narrow" w:eastAsia="Calibri" w:hAnsi="Arial Narrow"/>
          <w:b/>
          <w:i/>
        </w:rPr>
        <w:t>mayo de 2018</w:t>
      </w:r>
      <w:r w:rsidRPr="002C0D19">
        <w:rPr>
          <w:rFonts w:ascii="Arial Narrow" w:eastAsia="Calibri" w:hAnsi="Arial Narrow"/>
          <w:b/>
          <w:i/>
        </w:rPr>
        <w:t>.)</w:t>
      </w:r>
    </w:p>
    <w:p w14:paraId="44E9F88C" w14:textId="77777777" w:rsidR="007968EC" w:rsidRPr="002C0D19" w:rsidRDefault="007968EC" w:rsidP="007968EC">
      <w:pPr>
        <w:jc w:val="center"/>
        <w:rPr>
          <w:rFonts w:ascii="Arial Narrow" w:eastAsia="Calibri" w:hAnsi="Arial Narrow"/>
          <w:b/>
        </w:rPr>
      </w:pPr>
    </w:p>
    <w:p w14:paraId="5EF0F4DD" w14:textId="77777777" w:rsidR="007968EC" w:rsidRPr="000A7D22" w:rsidRDefault="007968EC" w:rsidP="007968EC">
      <w:pPr>
        <w:jc w:val="both"/>
        <w:rPr>
          <w:rFonts w:ascii="Arial Narrow" w:hAnsi="Arial Narrow" w:cs="Arial"/>
          <w:lang w:val="es-ES" w:eastAsia="es-ES"/>
        </w:rPr>
      </w:pPr>
      <w:r w:rsidRPr="000A7D22">
        <w:rPr>
          <w:rFonts w:ascii="Arial Narrow" w:hAnsi="Arial Narrow" w:cs="Arial"/>
          <w:lang w:val="es-ES" w:eastAsia="es-ES"/>
        </w:rPr>
        <w:t>Doctor</w:t>
      </w:r>
    </w:p>
    <w:p w14:paraId="5CEEB29A" w14:textId="77777777" w:rsidR="007968EC" w:rsidRPr="000A7D22" w:rsidRDefault="007968EC" w:rsidP="007968EC">
      <w:pPr>
        <w:jc w:val="both"/>
        <w:rPr>
          <w:rFonts w:ascii="Arial Narrow" w:hAnsi="Arial Narrow" w:cs="Arial"/>
          <w:b/>
          <w:lang w:val="es-ES" w:eastAsia="es-ES"/>
        </w:rPr>
      </w:pPr>
      <w:r w:rsidRPr="000A7D22">
        <w:rPr>
          <w:rFonts w:ascii="Arial Narrow" w:hAnsi="Arial Narrow" w:cs="Arial"/>
          <w:b/>
          <w:lang w:val="es-ES" w:eastAsia="es-ES"/>
        </w:rPr>
        <w:t>____________________</w:t>
      </w:r>
    </w:p>
    <w:p w14:paraId="4C46A280" w14:textId="77777777" w:rsidR="007968EC" w:rsidRPr="000A7D22" w:rsidRDefault="007968EC" w:rsidP="007968EC">
      <w:pPr>
        <w:jc w:val="both"/>
        <w:rPr>
          <w:rFonts w:ascii="Arial Narrow" w:hAnsi="Arial Narrow" w:cs="Arial"/>
          <w:lang w:val="es-ES" w:eastAsia="es-ES"/>
        </w:rPr>
      </w:pPr>
      <w:r w:rsidRPr="000A7D22">
        <w:rPr>
          <w:rFonts w:ascii="Arial Narrow" w:hAnsi="Arial Narrow" w:cs="Arial"/>
          <w:lang w:val="es-ES" w:eastAsia="es-ES"/>
        </w:rPr>
        <w:t>Gerente</w:t>
      </w:r>
    </w:p>
    <w:p w14:paraId="4CD4D933" w14:textId="77777777" w:rsidR="007968EC" w:rsidRPr="000A7D22" w:rsidRDefault="007968EC" w:rsidP="007968EC">
      <w:pPr>
        <w:jc w:val="both"/>
        <w:rPr>
          <w:rFonts w:ascii="Arial Narrow" w:hAnsi="Arial Narrow" w:cs="Arial"/>
          <w:lang w:val="es-ES" w:eastAsia="es-ES"/>
        </w:rPr>
      </w:pPr>
      <w:r w:rsidRPr="000A7D22">
        <w:rPr>
          <w:rFonts w:ascii="Arial Narrow" w:hAnsi="Arial Narrow" w:cs="Arial"/>
          <w:lang w:val="es-ES" w:eastAsia="es-ES"/>
        </w:rPr>
        <w:t>Cámara de Riesgo Central de Contraparte de Colombia S.A.</w:t>
      </w:r>
    </w:p>
    <w:p w14:paraId="1C9D450F" w14:textId="77777777" w:rsidR="007968EC" w:rsidRPr="000A7D22" w:rsidRDefault="007968EC" w:rsidP="007968EC">
      <w:pPr>
        <w:jc w:val="both"/>
        <w:rPr>
          <w:rFonts w:ascii="Arial Narrow" w:hAnsi="Arial Narrow" w:cs="Arial"/>
          <w:lang w:val="es-ES" w:eastAsia="es-ES"/>
        </w:rPr>
      </w:pPr>
      <w:r w:rsidRPr="000A7D22">
        <w:rPr>
          <w:rFonts w:ascii="Arial Narrow" w:hAnsi="Arial Narrow" w:cs="Arial"/>
          <w:lang w:val="es-ES" w:eastAsia="es-ES"/>
        </w:rPr>
        <w:t>Bogotá</w:t>
      </w:r>
    </w:p>
    <w:p w14:paraId="586F0785" w14:textId="77777777" w:rsidR="007968EC" w:rsidRPr="000A7D22" w:rsidRDefault="007968EC" w:rsidP="007968EC">
      <w:pPr>
        <w:jc w:val="both"/>
        <w:rPr>
          <w:rFonts w:ascii="Arial Narrow" w:hAnsi="Arial Narrow" w:cs="Arial"/>
          <w:lang w:val="es-ES" w:eastAsia="es-ES"/>
        </w:rPr>
      </w:pPr>
    </w:p>
    <w:p w14:paraId="36806690" w14:textId="77777777" w:rsidR="007968EC" w:rsidRPr="000A7D22" w:rsidRDefault="007968EC" w:rsidP="007968EC">
      <w:pPr>
        <w:jc w:val="both"/>
        <w:rPr>
          <w:rFonts w:ascii="Arial Narrow" w:hAnsi="Arial Narrow" w:cs="Arial"/>
          <w:lang w:val="es-ES" w:eastAsia="es-ES"/>
        </w:rPr>
      </w:pPr>
      <w:r w:rsidRPr="000A7D22">
        <w:rPr>
          <w:rFonts w:ascii="Arial Narrow" w:hAnsi="Arial Narrow" w:cs="Arial"/>
          <w:lang w:val="es-ES" w:eastAsia="es-ES"/>
        </w:rPr>
        <w:t xml:space="preserve">Referencia: Actuación como Miembro Liquidador General de la entidad ___________________, aspirante a Miembro no Liquidador de la Cámara de Riesgo Central de Contraparte de Colombia S.A. – CRCC S.A. </w:t>
      </w:r>
    </w:p>
    <w:p w14:paraId="76EB75B4" w14:textId="77777777" w:rsidR="007968EC" w:rsidRPr="000A7D22" w:rsidRDefault="007968EC" w:rsidP="007968EC">
      <w:pPr>
        <w:jc w:val="both"/>
        <w:rPr>
          <w:rFonts w:ascii="Arial Narrow" w:hAnsi="Arial Narrow" w:cs="Arial"/>
          <w:lang w:val="es-ES" w:eastAsia="es-ES"/>
        </w:rPr>
      </w:pPr>
    </w:p>
    <w:p w14:paraId="420F80F6" w14:textId="77777777" w:rsidR="007968EC" w:rsidRPr="000A7D22" w:rsidRDefault="007968EC" w:rsidP="007968EC">
      <w:pPr>
        <w:jc w:val="both"/>
        <w:rPr>
          <w:rFonts w:ascii="Arial Narrow" w:hAnsi="Arial Narrow" w:cs="Arial"/>
          <w:lang w:val="es-ES" w:eastAsia="es-ES"/>
        </w:rPr>
      </w:pPr>
    </w:p>
    <w:p w14:paraId="67D33FE5" w14:textId="77777777" w:rsidR="007968EC" w:rsidRPr="000A7D22" w:rsidRDefault="007968EC" w:rsidP="007968EC">
      <w:pPr>
        <w:jc w:val="both"/>
        <w:rPr>
          <w:rFonts w:ascii="Arial Narrow" w:hAnsi="Arial Narrow" w:cs="Arial"/>
          <w:lang w:val="es-ES" w:eastAsia="es-ES"/>
        </w:rPr>
      </w:pPr>
      <w:r w:rsidRPr="000A7D22">
        <w:rPr>
          <w:rFonts w:ascii="Arial Narrow" w:hAnsi="Arial Narrow" w:cs="Arial"/>
          <w:lang w:val="es-ES" w:eastAsia="es-ES"/>
        </w:rPr>
        <w:t xml:space="preserve">El suscrito </w:t>
      </w:r>
      <w:r w:rsidRPr="000A7D22">
        <w:rPr>
          <w:rFonts w:ascii="Arial Narrow" w:hAnsi="Arial Narrow" w:cs="Arial"/>
          <w:i/>
          <w:lang w:val="es-ES" w:eastAsia="es-ES"/>
        </w:rPr>
        <w:t>______________</w:t>
      </w:r>
      <w:r w:rsidRPr="000A7D22">
        <w:rPr>
          <w:rFonts w:ascii="Arial Narrow" w:hAnsi="Arial Narrow" w:cs="Arial"/>
          <w:lang w:val="es-ES" w:eastAsia="es-ES"/>
        </w:rPr>
        <w:t xml:space="preserve"> identificado con la cédula de Ciudadanía N°</w:t>
      </w:r>
      <w:r w:rsidRPr="000A7D22">
        <w:rPr>
          <w:rFonts w:ascii="Arial Narrow" w:hAnsi="Arial Narrow" w:cs="Arial"/>
          <w:i/>
          <w:lang w:val="es-ES" w:eastAsia="es-ES"/>
        </w:rPr>
        <w:t>__________</w:t>
      </w:r>
      <w:r w:rsidRPr="000A7D22">
        <w:rPr>
          <w:rFonts w:ascii="Arial Narrow" w:hAnsi="Arial Narrow" w:cs="Arial"/>
          <w:lang w:val="es-ES" w:eastAsia="es-ES"/>
        </w:rPr>
        <w:t xml:space="preserve"> expedida en la ciudad de </w:t>
      </w:r>
      <w:r w:rsidRPr="000A7D22">
        <w:rPr>
          <w:rFonts w:ascii="Arial Narrow" w:hAnsi="Arial Narrow" w:cs="Arial"/>
          <w:i/>
          <w:lang w:val="es-ES" w:eastAsia="es-ES"/>
        </w:rPr>
        <w:t>__________</w:t>
      </w:r>
      <w:r w:rsidRPr="000A7D22">
        <w:rPr>
          <w:rFonts w:ascii="Arial Narrow" w:hAnsi="Arial Narrow" w:cs="Arial"/>
          <w:lang w:val="es-ES" w:eastAsia="es-ES"/>
        </w:rPr>
        <w:t xml:space="preserve"> obrando en nombre y representación de </w:t>
      </w:r>
      <w:r w:rsidRPr="000A7D22">
        <w:rPr>
          <w:rFonts w:ascii="Arial Narrow" w:hAnsi="Arial Narrow" w:cs="Arial"/>
          <w:i/>
          <w:lang w:val="es-ES" w:eastAsia="es-ES"/>
        </w:rPr>
        <w:t>______________,</w:t>
      </w:r>
      <w:r w:rsidRPr="000A7D22">
        <w:rPr>
          <w:rFonts w:ascii="Arial Narrow" w:hAnsi="Arial Narrow" w:cs="Arial"/>
          <w:lang w:val="es-ES" w:eastAsia="es-ES"/>
        </w:rPr>
        <w:t xml:space="preserve"> sociedad legalmente constituida con domicilio principal en </w:t>
      </w:r>
      <w:r w:rsidRPr="000A7D22">
        <w:rPr>
          <w:rFonts w:ascii="Arial Narrow" w:hAnsi="Arial Narrow" w:cs="Arial"/>
          <w:i/>
          <w:lang w:val="es-ES" w:eastAsia="es-ES"/>
        </w:rPr>
        <w:t>__________,</w:t>
      </w:r>
      <w:r w:rsidRPr="000A7D22">
        <w:rPr>
          <w:rFonts w:ascii="Arial Narrow" w:hAnsi="Arial Narrow" w:cs="Arial"/>
          <w:lang w:val="es-ES" w:eastAsia="es-ES"/>
        </w:rPr>
        <w:t xml:space="preserve"> con NIT. </w:t>
      </w:r>
      <w:r w:rsidRPr="000A7D22">
        <w:rPr>
          <w:rFonts w:ascii="Arial Narrow" w:hAnsi="Arial Narrow" w:cs="Arial"/>
          <w:i/>
          <w:lang w:val="es-ES" w:eastAsia="es-ES"/>
        </w:rPr>
        <w:t>__________</w:t>
      </w:r>
      <w:r w:rsidRPr="000A7D22">
        <w:rPr>
          <w:rFonts w:ascii="Arial Narrow" w:hAnsi="Arial Narrow" w:cs="Arial"/>
          <w:lang w:val="es-ES" w:eastAsia="es-ES"/>
        </w:rPr>
        <w:t>, en mi calidad de representante legal, atentamente me permito informar que ________________ actuará como Miembro Liquidador General ante la CRCC S.A. de __________________, sociedad legalmente constituida con domicilio principal en _________________, con NIT. ____________, el cual en caso de ser admitido participará en el (los) siguiente (s) Segmento (s):</w:t>
      </w:r>
    </w:p>
    <w:p w14:paraId="2E472EED" w14:textId="77777777" w:rsidR="007968EC" w:rsidRPr="000A7D22" w:rsidRDefault="007968EC" w:rsidP="007968EC">
      <w:pPr>
        <w:autoSpaceDE w:val="0"/>
        <w:autoSpaceDN w:val="0"/>
        <w:jc w:val="both"/>
        <w:rPr>
          <w:rFonts w:ascii="Arial Narrow" w:hAnsi="Arial Narrow" w:cs="Arial"/>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850"/>
      </w:tblGrid>
      <w:tr w:rsidR="007968EC" w:rsidRPr="000A7D22" w14:paraId="5BB20F28" w14:textId="77777777" w:rsidTr="007968EC">
        <w:trPr>
          <w:jc w:val="center"/>
        </w:trPr>
        <w:tc>
          <w:tcPr>
            <w:tcW w:w="3085" w:type="dxa"/>
            <w:gridSpan w:val="2"/>
            <w:shd w:val="clear" w:color="auto" w:fill="auto"/>
          </w:tcPr>
          <w:p w14:paraId="7BE001CD" w14:textId="77777777" w:rsidR="007968EC" w:rsidRPr="000A7D22" w:rsidRDefault="007968EC" w:rsidP="007968EC">
            <w:pPr>
              <w:autoSpaceDE w:val="0"/>
              <w:autoSpaceDN w:val="0"/>
              <w:jc w:val="center"/>
              <w:rPr>
                <w:rFonts w:ascii="Arial Narrow" w:hAnsi="Arial Narrow" w:cs="Arial"/>
                <w:b/>
                <w:lang w:val="es-ES" w:eastAsia="es-ES"/>
              </w:rPr>
            </w:pPr>
            <w:r w:rsidRPr="000A7D22">
              <w:rPr>
                <w:rFonts w:ascii="Arial Narrow" w:hAnsi="Arial Narrow" w:cs="Arial"/>
                <w:b/>
                <w:lang w:val="es-ES" w:eastAsia="es-ES"/>
              </w:rPr>
              <w:t>SEGMENTOS</w:t>
            </w:r>
          </w:p>
        </w:tc>
      </w:tr>
      <w:tr w:rsidR="007968EC" w:rsidRPr="000A7D22" w14:paraId="1C3E8E57" w14:textId="77777777" w:rsidTr="007968EC">
        <w:trPr>
          <w:jc w:val="center"/>
        </w:trPr>
        <w:tc>
          <w:tcPr>
            <w:tcW w:w="2235" w:type="dxa"/>
            <w:shd w:val="clear" w:color="auto" w:fill="auto"/>
          </w:tcPr>
          <w:p w14:paraId="58FC4AC5" w14:textId="77777777" w:rsidR="007968EC" w:rsidRPr="000A7D22" w:rsidRDefault="007968EC" w:rsidP="007968EC">
            <w:pPr>
              <w:autoSpaceDE w:val="0"/>
              <w:autoSpaceDN w:val="0"/>
              <w:jc w:val="both"/>
              <w:rPr>
                <w:rFonts w:ascii="Arial Narrow" w:hAnsi="Arial Narrow" w:cs="Arial"/>
                <w:lang w:val="es-ES" w:eastAsia="es-ES"/>
              </w:rPr>
            </w:pPr>
            <w:r w:rsidRPr="000A7D22">
              <w:rPr>
                <w:rFonts w:ascii="Arial Narrow" w:hAnsi="Arial Narrow" w:cs="Arial"/>
                <w:lang w:val="es-ES" w:eastAsia="es-ES"/>
              </w:rPr>
              <w:t>Derivados Financieros</w:t>
            </w:r>
          </w:p>
        </w:tc>
        <w:tc>
          <w:tcPr>
            <w:tcW w:w="850" w:type="dxa"/>
            <w:shd w:val="clear" w:color="auto" w:fill="auto"/>
          </w:tcPr>
          <w:p w14:paraId="61CD4E37" w14:textId="77777777" w:rsidR="007968EC" w:rsidRPr="000A7D22" w:rsidRDefault="007968EC" w:rsidP="007968EC">
            <w:pPr>
              <w:autoSpaceDE w:val="0"/>
              <w:autoSpaceDN w:val="0"/>
              <w:jc w:val="both"/>
              <w:rPr>
                <w:rFonts w:ascii="Arial Narrow" w:hAnsi="Arial Narrow" w:cs="Arial"/>
                <w:lang w:val="es-ES" w:eastAsia="es-ES"/>
              </w:rPr>
            </w:pPr>
          </w:p>
        </w:tc>
      </w:tr>
      <w:tr w:rsidR="007968EC" w:rsidRPr="000A7D22" w14:paraId="1CA768B4" w14:textId="77777777" w:rsidTr="007968EC">
        <w:trPr>
          <w:jc w:val="center"/>
        </w:trPr>
        <w:tc>
          <w:tcPr>
            <w:tcW w:w="2235" w:type="dxa"/>
            <w:shd w:val="clear" w:color="auto" w:fill="auto"/>
          </w:tcPr>
          <w:p w14:paraId="26E76AD6" w14:textId="77777777" w:rsidR="007968EC" w:rsidRPr="000A7D22" w:rsidRDefault="007968EC" w:rsidP="007968EC">
            <w:pPr>
              <w:autoSpaceDE w:val="0"/>
              <w:autoSpaceDN w:val="0"/>
              <w:jc w:val="both"/>
              <w:rPr>
                <w:rFonts w:ascii="Arial Narrow" w:hAnsi="Arial Narrow" w:cs="Arial"/>
                <w:lang w:val="es-ES" w:eastAsia="es-ES"/>
              </w:rPr>
            </w:pPr>
            <w:r w:rsidRPr="000A7D22">
              <w:rPr>
                <w:rFonts w:ascii="Arial Narrow" w:hAnsi="Arial Narrow" w:cs="Arial"/>
                <w:lang w:val="es-ES" w:eastAsia="es-ES"/>
              </w:rPr>
              <w:t>Renta Fija</w:t>
            </w:r>
          </w:p>
        </w:tc>
        <w:tc>
          <w:tcPr>
            <w:tcW w:w="850" w:type="dxa"/>
            <w:shd w:val="clear" w:color="auto" w:fill="auto"/>
          </w:tcPr>
          <w:p w14:paraId="16FA554F" w14:textId="77777777" w:rsidR="007968EC" w:rsidRPr="000A7D22" w:rsidRDefault="007968EC" w:rsidP="007968EC">
            <w:pPr>
              <w:autoSpaceDE w:val="0"/>
              <w:autoSpaceDN w:val="0"/>
              <w:jc w:val="both"/>
              <w:rPr>
                <w:rFonts w:ascii="Arial Narrow" w:hAnsi="Arial Narrow" w:cs="Arial"/>
                <w:lang w:val="es-ES" w:eastAsia="es-ES"/>
              </w:rPr>
            </w:pPr>
          </w:p>
        </w:tc>
      </w:tr>
      <w:tr w:rsidR="007968EC" w:rsidRPr="000A7D22" w14:paraId="366E24CA" w14:textId="77777777" w:rsidTr="007968EC">
        <w:trPr>
          <w:jc w:val="center"/>
        </w:trPr>
        <w:tc>
          <w:tcPr>
            <w:tcW w:w="2235" w:type="dxa"/>
            <w:shd w:val="clear" w:color="auto" w:fill="auto"/>
          </w:tcPr>
          <w:p w14:paraId="5D689349" w14:textId="77777777" w:rsidR="007968EC" w:rsidRPr="000A7D22" w:rsidRDefault="007968EC" w:rsidP="007968EC">
            <w:pPr>
              <w:autoSpaceDE w:val="0"/>
              <w:autoSpaceDN w:val="0"/>
              <w:jc w:val="both"/>
              <w:rPr>
                <w:rFonts w:ascii="Arial Narrow" w:hAnsi="Arial Narrow" w:cs="Arial"/>
                <w:bCs/>
                <w:lang w:val="es-ES" w:eastAsia="es-ES"/>
              </w:rPr>
            </w:pPr>
            <w:r w:rsidRPr="000A7D22">
              <w:rPr>
                <w:rFonts w:ascii="Arial Narrow" w:hAnsi="Arial Narrow" w:cs="Arial"/>
                <w:bCs/>
                <w:lang w:val="es-ES" w:eastAsia="es-ES"/>
              </w:rPr>
              <w:t>Renta Variable</w:t>
            </w:r>
          </w:p>
        </w:tc>
        <w:tc>
          <w:tcPr>
            <w:tcW w:w="850" w:type="dxa"/>
            <w:shd w:val="clear" w:color="auto" w:fill="auto"/>
          </w:tcPr>
          <w:p w14:paraId="0FE745D1" w14:textId="77777777" w:rsidR="007968EC" w:rsidRPr="000A7D22" w:rsidRDefault="007968EC" w:rsidP="007968EC">
            <w:pPr>
              <w:autoSpaceDE w:val="0"/>
              <w:autoSpaceDN w:val="0"/>
              <w:jc w:val="both"/>
              <w:rPr>
                <w:rFonts w:ascii="Arial Narrow" w:hAnsi="Arial Narrow" w:cs="Arial"/>
                <w:bCs/>
                <w:lang w:val="es-ES" w:eastAsia="es-ES"/>
              </w:rPr>
            </w:pPr>
          </w:p>
        </w:tc>
      </w:tr>
      <w:tr w:rsidR="007968EC" w:rsidRPr="000A7D22" w14:paraId="2BF54A8B" w14:textId="77777777" w:rsidTr="007968EC">
        <w:trPr>
          <w:jc w:val="center"/>
        </w:trPr>
        <w:tc>
          <w:tcPr>
            <w:tcW w:w="2235" w:type="dxa"/>
            <w:shd w:val="clear" w:color="auto" w:fill="auto"/>
          </w:tcPr>
          <w:p w14:paraId="3A862643" w14:textId="77777777" w:rsidR="007968EC" w:rsidRPr="000A7D22" w:rsidRDefault="007968EC" w:rsidP="007968EC">
            <w:pPr>
              <w:autoSpaceDE w:val="0"/>
              <w:autoSpaceDN w:val="0"/>
              <w:jc w:val="both"/>
              <w:rPr>
                <w:rFonts w:ascii="Arial Narrow" w:hAnsi="Arial Narrow" w:cs="Arial"/>
                <w:bCs/>
                <w:lang w:val="es-ES" w:eastAsia="es-ES"/>
              </w:rPr>
            </w:pPr>
            <w:r w:rsidRPr="000A7D22">
              <w:rPr>
                <w:rFonts w:ascii="Arial Narrow" w:hAnsi="Arial Narrow" w:cs="Arial"/>
                <w:bCs/>
                <w:lang w:val="es-ES" w:eastAsia="es-ES"/>
              </w:rPr>
              <w:t>Swaps</w:t>
            </w:r>
          </w:p>
        </w:tc>
        <w:tc>
          <w:tcPr>
            <w:tcW w:w="850" w:type="dxa"/>
            <w:shd w:val="clear" w:color="auto" w:fill="auto"/>
          </w:tcPr>
          <w:p w14:paraId="477699C1" w14:textId="77777777" w:rsidR="007968EC" w:rsidRPr="000A7D22" w:rsidRDefault="007968EC" w:rsidP="007968EC">
            <w:pPr>
              <w:autoSpaceDE w:val="0"/>
              <w:autoSpaceDN w:val="0"/>
              <w:jc w:val="both"/>
              <w:rPr>
                <w:rFonts w:ascii="Arial Narrow" w:hAnsi="Arial Narrow" w:cs="Arial"/>
                <w:bCs/>
                <w:lang w:val="es-ES" w:eastAsia="es-ES"/>
              </w:rPr>
            </w:pPr>
          </w:p>
        </w:tc>
      </w:tr>
    </w:tbl>
    <w:p w14:paraId="7C3990A2" w14:textId="77777777" w:rsidR="007968EC" w:rsidRPr="000A7D22" w:rsidRDefault="007968EC" w:rsidP="007968EC">
      <w:pPr>
        <w:jc w:val="both"/>
        <w:rPr>
          <w:rFonts w:ascii="Arial Narrow" w:hAnsi="Arial Narrow" w:cs="Arial"/>
          <w:lang w:val="es-ES" w:eastAsia="es-ES"/>
        </w:rPr>
      </w:pPr>
    </w:p>
    <w:p w14:paraId="476E8466" w14:textId="77777777" w:rsidR="007968EC" w:rsidRPr="000A7D22" w:rsidRDefault="007968EC" w:rsidP="007968EC">
      <w:pPr>
        <w:jc w:val="both"/>
        <w:rPr>
          <w:rFonts w:ascii="Arial Narrow" w:hAnsi="Arial Narrow" w:cs="Arial"/>
          <w:lang w:val="es-ES" w:eastAsia="es-ES"/>
        </w:rPr>
      </w:pPr>
      <w:r w:rsidRPr="000A7D22">
        <w:rPr>
          <w:rFonts w:ascii="Arial Narrow" w:hAnsi="Arial Narrow" w:cs="Arial"/>
          <w:lang w:val="es-ES" w:eastAsia="es-ES"/>
        </w:rPr>
        <w:t xml:space="preserve">Certifico que la entidad que represento cumplirá con las obligaciones derivadas de dicha actuación ante la CRCC S.A. de acuerdo con lo establecido en el Reglamento de Funcionamiento de la CRCC S.A. y demás normas aplicables. </w:t>
      </w:r>
    </w:p>
    <w:p w14:paraId="75DA061B" w14:textId="77777777" w:rsidR="007968EC" w:rsidRPr="000A7D22" w:rsidRDefault="007968EC" w:rsidP="007968EC">
      <w:pPr>
        <w:jc w:val="both"/>
        <w:rPr>
          <w:rFonts w:ascii="Arial Narrow" w:hAnsi="Arial Narrow" w:cs="Arial"/>
          <w:lang w:val="es-ES" w:eastAsia="es-ES"/>
        </w:rPr>
      </w:pPr>
    </w:p>
    <w:p w14:paraId="48293DD5" w14:textId="77777777" w:rsidR="007968EC" w:rsidRPr="000A7D22" w:rsidRDefault="007968EC" w:rsidP="007968EC">
      <w:pPr>
        <w:jc w:val="both"/>
        <w:rPr>
          <w:rFonts w:ascii="Arial Narrow" w:hAnsi="Arial Narrow" w:cs="Arial"/>
          <w:lang w:val="es-ES" w:eastAsia="es-ES"/>
        </w:rPr>
      </w:pPr>
      <w:r w:rsidRPr="000A7D22">
        <w:rPr>
          <w:rFonts w:ascii="Arial Narrow" w:hAnsi="Arial Narrow" w:cs="Arial"/>
          <w:lang w:val="es-ES" w:eastAsia="es-ES"/>
        </w:rPr>
        <w:t xml:space="preserve">Atentamente, </w:t>
      </w:r>
    </w:p>
    <w:p w14:paraId="7135F050" w14:textId="77777777" w:rsidR="007968EC" w:rsidRPr="000A7D22" w:rsidRDefault="007968EC" w:rsidP="007968EC">
      <w:pPr>
        <w:jc w:val="both"/>
        <w:rPr>
          <w:rFonts w:ascii="Arial Narrow" w:hAnsi="Arial Narrow" w:cs="Arial"/>
          <w:i/>
          <w:lang w:val="es-ES" w:eastAsia="es-ES"/>
        </w:rPr>
      </w:pPr>
    </w:p>
    <w:p w14:paraId="3D512865" w14:textId="77777777" w:rsidR="007968EC" w:rsidRPr="000A7D22" w:rsidRDefault="007968EC" w:rsidP="007968EC">
      <w:pPr>
        <w:jc w:val="both"/>
        <w:rPr>
          <w:rFonts w:ascii="Arial Narrow" w:hAnsi="Arial Narrow" w:cs="Arial"/>
          <w:i/>
          <w:lang w:val="es-ES" w:eastAsia="es-ES"/>
        </w:rPr>
      </w:pPr>
      <w:r w:rsidRPr="000A7D22">
        <w:rPr>
          <w:rFonts w:ascii="Arial Narrow" w:hAnsi="Arial Narrow" w:cs="Arial"/>
          <w:i/>
          <w:lang w:val="es-ES" w:eastAsia="es-ES"/>
        </w:rPr>
        <w:t>____________________</w:t>
      </w:r>
    </w:p>
    <w:p w14:paraId="6D8783EE" w14:textId="77777777" w:rsidR="007968EC" w:rsidRPr="000A7D22" w:rsidRDefault="007968EC" w:rsidP="007968EC">
      <w:pPr>
        <w:jc w:val="both"/>
        <w:rPr>
          <w:rFonts w:ascii="Arial Narrow" w:hAnsi="Arial Narrow" w:cs="Arial"/>
          <w:lang w:val="es-ES" w:eastAsia="es-ES"/>
        </w:rPr>
      </w:pPr>
      <w:r w:rsidRPr="000A7D22">
        <w:rPr>
          <w:rFonts w:ascii="Arial Narrow" w:hAnsi="Arial Narrow" w:cs="Arial"/>
          <w:lang w:val="es-ES" w:eastAsia="es-ES"/>
        </w:rPr>
        <w:t xml:space="preserve">C.C. </w:t>
      </w:r>
    </w:p>
    <w:p w14:paraId="02DD281E" w14:textId="77777777" w:rsidR="007968EC" w:rsidRPr="000A7D22" w:rsidRDefault="007968EC" w:rsidP="007968EC">
      <w:pPr>
        <w:jc w:val="both"/>
        <w:rPr>
          <w:rFonts w:ascii="Arial Narrow" w:hAnsi="Arial Narrow" w:cs="Arial"/>
          <w:lang w:val="es-ES" w:eastAsia="es-ES"/>
        </w:rPr>
      </w:pPr>
      <w:r w:rsidRPr="000A7D22">
        <w:rPr>
          <w:rFonts w:ascii="Arial Narrow" w:hAnsi="Arial Narrow" w:cs="Arial"/>
          <w:lang w:val="es-ES" w:eastAsia="es-ES"/>
        </w:rPr>
        <w:t>Representante Legal</w:t>
      </w:r>
    </w:p>
    <w:p w14:paraId="7958B4AD" w14:textId="77777777" w:rsidR="007968EC" w:rsidRPr="002C0D19" w:rsidRDefault="007968EC" w:rsidP="007968EC">
      <w:pPr>
        <w:jc w:val="both"/>
        <w:rPr>
          <w:rFonts w:ascii="Arial Narrow" w:hAnsi="Arial Narrow" w:cs="Arial"/>
          <w:b/>
          <w:color w:val="000000" w:themeColor="text1"/>
          <w:lang w:val="es-ES" w:eastAsia="es-ES"/>
        </w:rPr>
      </w:pPr>
      <w:r w:rsidRPr="000A7D22">
        <w:rPr>
          <w:rFonts w:ascii="Arial Narrow" w:hAnsi="Arial Narrow" w:cs="Arial"/>
          <w:lang w:val="es-ES" w:eastAsia="es-ES"/>
        </w:rPr>
        <w:lastRenderedPageBreak/>
        <w:t>Miembro Liquidador General</w:t>
      </w:r>
    </w:p>
    <w:p w14:paraId="5B185060" w14:textId="77777777" w:rsidR="00865110" w:rsidRPr="00865110" w:rsidRDefault="007968EC" w:rsidP="00865110">
      <w:pPr>
        <w:jc w:val="center"/>
        <w:rPr>
          <w:rFonts w:ascii="Arial Narrow" w:hAnsi="Arial Narrow"/>
          <w:b/>
          <w:bCs/>
        </w:rPr>
      </w:pPr>
      <w:r w:rsidRPr="000A7D22">
        <w:rPr>
          <w:lang w:val="es-ES"/>
        </w:rPr>
        <w:br w:type="page"/>
      </w:r>
      <w:r w:rsidR="00865110" w:rsidRPr="00865110">
        <w:rPr>
          <w:rFonts w:ascii="Arial Narrow" w:hAnsi="Arial Narrow"/>
          <w:b/>
          <w:bCs/>
        </w:rPr>
        <w:lastRenderedPageBreak/>
        <w:t>ANEXO 15</w:t>
      </w:r>
    </w:p>
    <w:p w14:paraId="4ED069A3" w14:textId="77777777" w:rsidR="00865110" w:rsidRPr="00865110" w:rsidRDefault="00865110" w:rsidP="00865110">
      <w:pPr>
        <w:jc w:val="center"/>
        <w:rPr>
          <w:rFonts w:ascii="Arial Narrow" w:hAnsi="Arial Narrow"/>
          <w:b/>
          <w:bCs/>
        </w:rPr>
      </w:pPr>
    </w:p>
    <w:p w14:paraId="2C71683C" w14:textId="77777777" w:rsidR="00865110" w:rsidRPr="00865110" w:rsidRDefault="00865110" w:rsidP="00865110">
      <w:pPr>
        <w:jc w:val="center"/>
        <w:rPr>
          <w:rFonts w:ascii="Arial Narrow" w:hAnsi="Arial Narrow"/>
          <w:b/>
          <w:bCs/>
        </w:rPr>
      </w:pPr>
      <w:r w:rsidRPr="00865110">
        <w:rPr>
          <w:rFonts w:ascii="Arial Narrow" w:hAnsi="Arial Narrow"/>
          <w:b/>
          <w:bCs/>
        </w:rPr>
        <w:t>OFERTA DE SERVICIOS DE LA CÁMARA EN RELACIÓN CON LA AFILIACIÓN AL SISTEMA DE COMPENSACIÓN Y LIQUIDACIÓN</w:t>
      </w:r>
    </w:p>
    <w:p w14:paraId="15B88D5B" w14:textId="77777777" w:rsidR="00865110" w:rsidRPr="00865110" w:rsidRDefault="00865110" w:rsidP="00865110">
      <w:pPr>
        <w:jc w:val="both"/>
        <w:rPr>
          <w:rFonts w:ascii="Arial Narrow" w:hAnsi="Arial Narrow"/>
        </w:rPr>
      </w:pPr>
    </w:p>
    <w:p w14:paraId="6413A171" w14:textId="77777777" w:rsidR="00865110" w:rsidRDefault="00865110" w:rsidP="00865110">
      <w:pPr>
        <w:jc w:val="center"/>
        <w:rPr>
          <w:rFonts w:ascii="Arial Narrow" w:hAnsi="Arial Narrow"/>
          <w:b/>
          <w:bCs/>
          <w:i/>
          <w:iCs/>
        </w:rPr>
      </w:pPr>
      <w:r w:rsidRPr="00865110">
        <w:rPr>
          <w:rFonts w:ascii="Arial Narrow" w:hAnsi="Arial Narrow"/>
          <w:b/>
          <w:bCs/>
          <w:i/>
          <w:iCs/>
        </w:rPr>
        <w:t>Anexo 15.1. Oferta de Servicios de la Cámara para Miembro Liquidador General</w:t>
      </w:r>
    </w:p>
    <w:p w14:paraId="60254D88" w14:textId="77777777" w:rsidR="00AA58B5" w:rsidRPr="00865110" w:rsidRDefault="00AA58B5" w:rsidP="00865110">
      <w:pPr>
        <w:jc w:val="center"/>
        <w:rPr>
          <w:rFonts w:ascii="Arial Narrow" w:hAnsi="Arial Narrow"/>
          <w:b/>
          <w:bCs/>
          <w:i/>
          <w:iCs/>
        </w:rPr>
      </w:pPr>
    </w:p>
    <w:p w14:paraId="121C4050" w14:textId="77777777" w:rsidR="00AA58B5" w:rsidRPr="00AA58B5" w:rsidRDefault="00AA58B5" w:rsidP="00AA58B5">
      <w:pPr>
        <w:jc w:val="center"/>
        <w:rPr>
          <w:rFonts w:ascii="Arial Narrow" w:hAnsi="Arial Narrow"/>
          <w:b/>
          <w:bCs/>
          <w:i/>
          <w:iCs/>
        </w:rPr>
      </w:pPr>
      <w:r w:rsidRPr="00AA58B5">
        <w:rPr>
          <w:rFonts w:ascii="Arial Narrow" w:hAnsi="Arial Narrow"/>
          <w:b/>
          <w:bCs/>
          <w:i/>
          <w:iCs/>
        </w:rPr>
        <w:t>(Este Anexo fue modificado mediante Circular 17 del 9 de octubre de 2019, publicada en el Boletín</w:t>
      </w:r>
    </w:p>
    <w:p w14:paraId="60DBF1BC" w14:textId="77777777" w:rsidR="00865110" w:rsidRDefault="00AA58B5" w:rsidP="00AA58B5">
      <w:pPr>
        <w:jc w:val="center"/>
        <w:rPr>
          <w:rFonts w:ascii="Arial Narrow" w:hAnsi="Arial Narrow"/>
          <w:b/>
          <w:bCs/>
          <w:i/>
          <w:iCs/>
        </w:rPr>
      </w:pPr>
      <w:r w:rsidRPr="00AA58B5">
        <w:rPr>
          <w:rFonts w:ascii="Arial Narrow" w:hAnsi="Arial Narrow"/>
          <w:b/>
          <w:bCs/>
          <w:i/>
          <w:iCs/>
        </w:rPr>
        <w:t>Normativo No. 031 del 9 de octubre de 2019</w:t>
      </w:r>
      <w:r>
        <w:rPr>
          <w:rFonts w:ascii="Arial Narrow" w:hAnsi="Arial Narrow"/>
          <w:b/>
          <w:bCs/>
          <w:i/>
          <w:iCs/>
        </w:rPr>
        <w:t xml:space="preserve"> y mediante Circular 2 del 29 de enero de 2020, publicada en el Boletín Normativo No. 002 del 29 de enero de 2020</w:t>
      </w:r>
      <w:r w:rsidRPr="00AA58B5">
        <w:rPr>
          <w:rFonts w:ascii="Arial Narrow" w:hAnsi="Arial Narrow"/>
          <w:b/>
          <w:bCs/>
          <w:i/>
          <w:iCs/>
        </w:rPr>
        <w:t xml:space="preserve">. Rige a partir del </w:t>
      </w:r>
      <w:r>
        <w:rPr>
          <w:rFonts w:ascii="Arial Narrow" w:hAnsi="Arial Narrow"/>
          <w:b/>
          <w:bCs/>
          <w:i/>
          <w:iCs/>
        </w:rPr>
        <w:t>3</w:t>
      </w:r>
      <w:r w:rsidRPr="00AA58B5">
        <w:rPr>
          <w:rFonts w:ascii="Arial Narrow" w:hAnsi="Arial Narrow"/>
          <w:b/>
          <w:bCs/>
          <w:i/>
          <w:iCs/>
        </w:rPr>
        <w:t xml:space="preserve"> de </w:t>
      </w:r>
      <w:r>
        <w:rPr>
          <w:rFonts w:ascii="Arial Narrow" w:hAnsi="Arial Narrow"/>
          <w:b/>
          <w:bCs/>
          <w:i/>
          <w:iCs/>
        </w:rPr>
        <w:t>febrero</w:t>
      </w:r>
      <w:r w:rsidRPr="00AA58B5">
        <w:rPr>
          <w:rFonts w:ascii="Arial Narrow" w:hAnsi="Arial Narrow"/>
          <w:b/>
          <w:bCs/>
          <w:i/>
          <w:iCs/>
        </w:rPr>
        <w:t xml:space="preserve"> de 20</w:t>
      </w:r>
      <w:r>
        <w:rPr>
          <w:rFonts w:ascii="Arial Narrow" w:hAnsi="Arial Narrow"/>
          <w:b/>
          <w:bCs/>
          <w:i/>
          <w:iCs/>
        </w:rPr>
        <w:t>20</w:t>
      </w:r>
      <w:r w:rsidRPr="00AA58B5">
        <w:rPr>
          <w:rFonts w:ascii="Arial Narrow" w:hAnsi="Arial Narrow"/>
          <w:b/>
          <w:bCs/>
          <w:i/>
          <w:iCs/>
        </w:rPr>
        <w:t>.)</w:t>
      </w:r>
    </w:p>
    <w:p w14:paraId="70D5ADBC" w14:textId="77777777" w:rsidR="00AA58B5" w:rsidRPr="00AA58B5" w:rsidRDefault="00AA58B5" w:rsidP="00AA58B5">
      <w:pPr>
        <w:jc w:val="center"/>
        <w:rPr>
          <w:rFonts w:ascii="Arial Narrow" w:hAnsi="Arial Narrow"/>
          <w:b/>
          <w:bCs/>
          <w:i/>
          <w:iCs/>
        </w:rPr>
      </w:pPr>
    </w:p>
    <w:p w14:paraId="5076E97A" w14:textId="77777777" w:rsidR="00865110" w:rsidRPr="00865110" w:rsidRDefault="00865110" w:rsidP="00865110">
      <w:pPr>
        <w:jc w:val="center"/>
        <w:rPr>
          <w:rFonts w:ascii="Arial Narrow" w:hAnsi="Arial Narrow"/>
          <w:b/>
          <w:bCs/>
        </w:rPr>
      </w:pPr>
      <w:r w:rsidRPr="00865110">
        <w:rPr>
          <w:rFonts w:ascii="Arial Narrow" w:hAnsi="Arial Narrow"/>
          <w:b/>
          <w:bCs/>
        </w:rPr>
        <w:t>OFERTA DE SERVICIOS PARA LA AFILIACION COMO MIEMBRO LIQUIDADOR GENERAL DEL SISTEMA DE COMPENSACIÓN Y LIQUIDACIÓN DE LA CÁMARA DE RIESGO CENTRAL DE CONTRAPARTE DE COLOMBIA S.A. – CRCC S.A</w:t>
      </w:r>
    </w:p>
    <w:p w14:paraId="7CE7C19C" w14:textId="77777777" w:rsidR="00865110" w:rsidRPr="00865110" w:rsidRDefault="00865110" w:rsidP="00865110">
      <w:pPr>
        <w:jc w:val="both"/>
        <w:rPr>
          <w:rFonts w:ascii="Arial Narrow" w:hAnsi="Arial Narrow"/>
        </w:rPr>
      </w:pPr>
    </w:p>
    <w:p w14:paraId="61FB8B22" w14:textId="77777777" w:rsidR="00865110" w:rsidRPr="00865110" w:rsidRDefault="00865110" w:rsidP="00865110">
      <w:pPr>
        <w:jc w:val="both"/>
        <w:rPr>
          <w:rFonts w:ascii="Arial Narrow" w:hAnsi="Arial Narrow"/>
        </w:rPr>
      </w:pPr>
      <w:r w:rsidRPr="00865110">
        <w:rPr>
          <w:rFonts w:ascii="Arial Narrow" w:hAnsi="Arial Narrow"/>
        </w:rPr>
        <w:t>Esta Oferta de Servicios para la Afiliación como Miembro Liquidador General del Sistema de Compensación y Liquidación de la Cámara de Riesgo Central de Contraparte de Colombia S.A. – CRCC S.A., en adelante “</w:t>
      </w:r>
      <w:r w:rsidRPr="00865110">
        <w:rPr>
          <w:rFonts w:ascii="Arial Narrow" w:hAnsi="Arial Narrow"/>
          <w:b/>
          <w:bCs/>
        </w:rPr>
        <w:t>EL SISTEMA</w:t>
      </w:r>
      <w:r w:rsidRPr="00865110">
        <w:rPr>
          <w:rFonts w:ascii="Arial Narrow" w:hAnsi="Arial Narrow"/>
        </w:rPr>
        <w:t xml:space="preserve">”, se somete por la </w:t>
      </w:r>
      <w:r w:rsidRPr="00865110">
        <w:rPr>
          <w:rFonts w:ascii="Arial Narrow" w:hAnsi="Arial Narrow"/>
          <w:b/>
          <w:bCs/>
        </w:rPr>
        <w:t>CÁMARA DE RIESGO CENTRAL DE CONTRAPARTE DE COLOMBIA S.A.</w:t>
      </w:r>
      <w:r w:rsidRPr="00865110">
        <w:rPr>
          <w:rFonts w:ascii="Arial Narrow" w:hAnsi="Arial Narrow"/>
        </w:rPr>
        <w:t xml:space="preserve">, en adelante </w:t>
      </w:r>
      <w:r w:rsidRPr="00865110">
        <w:rPr>
          <w:rFonts w:ascii="Arial Narrow" w:hAnsi="Arial Narrow"/>
          <w:b/>
          <w:bCs/>
        </w:rPr>
        <w:t>LA CRCC</w:t>
      </w:r>
      <w:r w:rsidRPr="00865110">
        <w:rPr>
          <w:rFonts w:ascii="Arial Narrow" w:hAnsi="Arial Narrow"/>
        </w:rPr>
        <w:t xml:space="preserve">, a consideración de __________________________________, en adelante </w:t>
      </w:r>
      <w:r w:rsidRPr="00865110">
        <w:rPr>
          <w:rFonts w:ascii="Arial Narrow" w:hAnsi="Arial Narrow"/>
          <w:b/>
          <w:bCs/>
        </w:rPr>
        <w:t>EL MIEMBRO</w:t>
      </w:r>
      <w:r w:rsidRPr="00865110">
        <w:rPr>
          <w:rFonts w:ascii="Arial Narrow" w:hAnsi="Arial Narrow"/>
        </w:rPr>
        <w:t>.</w:t>
      </w:r>
    </w:p>
    <w:p w14:paraId="0A159529" w14:textId="77777777" w:rsidR="00865110" w:rsidRPr="00865110" w:rsidRDefault="00865110" w:rsidP="00865110">
      <w:pPr>
        <w:jc w:val="both"/>
      </w:pPr>
    </w:p>
    <w:p w14:paraId="7907F865" w14:textId="77777777" w:rsidR="00865110" w:rsidRPr="00865110" w:rsidRDefault="00865110" w:rsidP="00865110">
      <w:pPr>
        <w:keepNext/>
        <w:tabs>
          <w:tab w:val="left" w:pos="1701"/>
        </w:tabs>
        <w:jc w:val="center"/>
        <w:outlineLvl w:val="2"/>
        <w:rPr>
          <w:rFonts w:ascii="Arial Narrow" w:hAnsi="Arial Narrow" w:cs="Arial"/>
          <w:b/>
          <w:bCs/>
          <w:color w:val="000000" w:themeColor="text1"/>
          <w:lang w:val="es-ES" w:eastAsia="es-ES"/>
        </w:rPr>
      </w:pPr>
      <w:r w:rsidRPr="00865110">
        <w:rPr>
          <w:rFonts w:ascii="Arial Narrow" w:hAnsi="Arial Narrow" w:cs="Arial"/>
          <w:b/>
          <w:bCs/>
          <w:color w:val="000000" w:themeColor="text1"/>
          <w:lang w:val="es-ES" w:eastAsia="es-ES"/>
        </w:rPr>
        <w:t>TÉRMINOS Y CONDICIONES DE LA OFERTA</w:t>
      </w:r>
    </w:p>
    <w:p w14:paraId="41D124DD" w14:textId="77777777" w:rsidR="00865110" w:rsidRPr="00865110" w:rsidRDefault="00865110" w:rsidP="00865110">
      <w:pPr>
        <w:keepNext/>
        <w:tabs>
          <w:tab w:val="left" w:pos="1701"/>
        </w:tabs>
        <w:jc w:val="center"/>
        <w:outlineLvl w:val="2"/>
        <w:rPr>
          <w:rFonts w:ascii="Arial Narrow" w:hAnsi="Arial Narrow" w:cs="Arial"/>
          <w:color w:val="000000" w:themeColor="text1"/>
          <w:lang w:val="es-ES" w:eastAsia="es-ES"/>
        </w:rPr>
      </w:pPr>
    </w:p>
    <w:p w14:paraId="0F801AF7" w14:textId="77777777" w:rsidR="00865110" w:rsidRPr="00865110" w:rsidRDefault="00865110" w:rsidP="00865110">
      <w:pPr>
        <w:jc w:val="both"/>
        <w:rPr>
          <w:rFonts w:ascii="Arial Narrow" w:hAnsi="Arial Narrow" w:cs="Arial"/>
          <w:color w:val="000000" w:themeColor="text1"/>
          <w:lang w:val="es-ES" w:eastAsia="es-ES"/>
        </w:rPr>
      </w:pPr>
      <w:r w:rsidRPr="00865110">
        <w:rPr>
          <w:rFonts w:ascii="Arial Narrow" w:hAnsi="Arial Narrow" w:cs="Arial"/>
          <w:b/>
          <w:bCs/>
          <w:color w:val="000000" w:themeColor="text1"/>
          <w:u w:val="single"/>
          <w:lang w:val="es-ES" w:eastAsia="es-ES"/>
        </w:rPr>
        <w:t>PRIMERA. Objeto.</w:t>
      </w:r>
      <w:r w:rsidRPr="00865110">
        <w:rPr>
          <w:rFonts w:ascii="Arial Narrow" w:hAnsi="Arial Narrow" w:cs="Arial"/>
          <w:color w:val="000000" w:themeColor="text1"/>
          <w:lang w:val="es-ES" w:eastAsia="es-ES"/>
        </w:rPr>
        <w:t xml:space="preserve"> En virtud de la aceptación de la presente Oferta de Servicios, </w:t>
      </w:r>
      <w:r w:rsidRPr="00865110">
        <w:rPr>
          <w:rFonts w:ascii="Arial Narrow" w:hAnsi="Arial Narrow" w:cs="Arial"/>
          <w:b/>
          <w:color w:val="000000" w:themeColor="text1"/>
          <w:lang w:val="es-ES" w:eastAsia="es-ES"/>
        </w:rPr>
        <w:t>EL MIEMBRO</w:t>
      </w:r>
      <w:r w:rsidRPr="00865110">
        <w:rPr>
          <w:rFonts w:ascii="Arial Narrow" w:hAnsi="Arial Narrow" w:cs="Arial"/>
          <w:color w:val="000000" w:themeColor="text1"/>
          <w:lang w:val="es-ES" w:eastAsia="es-ES"/>
        </w:rPr>
        <w:t xml:space="preserve"> adquiere el derecho de acceder de manera directa a </w:t>
      </w:r>
      <w:r w:rsidRPr="00865110">
        <w:rPr>
          <w:rFonts w:ascii="Arial Narrow" w:hAnsi="Arial Narrow" w:cs="Arial"/>
          <w:b/>
          <w:color w:val="000000" w:themeColor="text1"/>
          <w:lang w:val="es-ES" w:eastAsia="es-ES"/>
        </w:rPr>
        <w:t>LA</w:t>
      </w:r>
      <w:r w:rsidRPr="00865110">
        <w:rPr>
          <w:rFonts w:ascii="Arial Narrow" w:hAnsi="Arial Narrow" w:cs="Arial"/>
          <w:color w:val="000000" w:themeColor="text1"/>
          <w:lang w:val="es-ES" w:eastAsia="es-ES"/>
        </w:rPr>
        <w:t xml:space="preserve"> </w:t>
      </w:r>
      <w:r w:rsidRPr="00865110">
        <w:rPr>
          <w:rFonts w:ascii="Arial Narrow" w:hAnsi="Arial Narrow" w:cs="Arial"/>
          <w:b/>
          <w:color w:val="000000" w:themeColor="text1"/>
          <w:lang w:val="es-ES" w:eastAsia="es-ES"/>
        </w:rPr>
        <w:t xml:space="preserve">CRCC </w:t>
      </w:r>
      <w:r w:rsidRPr="00865110">
        <w:rPr>
          <w:rFonts w:ascii="Arial Narrow" w:hAnsi="Arial Narrow" w:cs="Arial"/>
          <w:color w:val="000000" w:themeColor="text1"/>
          <w:lang w:val="es-ES" w:eastAsia="es-ES"/>
        </w:rPr>
        <w:t>para</w:t>
      </w:r>
      <w:r w:rsidRPr="00865110">
        <w:rPr>
          <w:rFonts w:ascii="Arial Narrow" w:hAnsi="Arial Narrow" w:cs="Arial"/>
          <w:b/>
          <w:color w:val="000000" w:themeColor="text1"/>
          <w:lang w:val="es-ES" w:eastAsia="es-ES"/>
        </w:rPr>
        <w:t xml:space="preserve"> </w:t>
      </w:r>
      <w:r w:rsidRPr="00865110">
        <w:rPr>
          <w:rFonts w:ascii="Arial Narrow" w:hAnsi="Arial Narrow" w:cs="Arial"/>
          <w:color w:val="000000" w:themeColor="text1"/>
          <w:lang w:val="es-ES" w:eastAsia="es-ES"/>
        </w:rPr>
        <w:t>que ésta</w:t>
      </w:r>
      <w:r w:rsidRPr="00865110">
        <w:rPr>
          <w:rFonts w:ascii="Arial Narrow" w:hAnsi="Arial Narrow" w:cs="Arial"/>
          <w:b/>
          <w:color w:val="000000" w:themeColor="text1"/>
          <w:lang w:val="es-ES" w:eastAsia="es-ES"/>
        </w:rPr>
        <w:t xml:space="preserve"> </w:t>
      </w:r>
      <w:r w:rsidRPr="00865110">
        <w:rPr>
          <w:rFonts w:ascii="Arial Narrow" w:hAnsi="Arial Narrow" w:cs="Arial"/>
          <w:color w:val="000000" w:themeColor="text1"/>
          <w:lang w:val="es-ES" w:eastAsia="es-ES"/>
        </w:rPr>
        <w:t xml:space="preserve">acredite y debite las cuentas de </w:t>
      </w:r>
      <w:r w:rsidRPr="00865110">
        <w:rPr>
          <w:rFonts w:ascii="Arial Narrow" w:hAnsi="Arial Narrow" w:cs="Arial"/>
          <w:b/>
          <w:color w:val="000000" w:themeColor="text1"/>
          <w:lang w:val="es-ES" w:eastAsia="es-ES"/>
        </w:rPr>
        <w:t>EL MIEMBRO</w:t>
      </w:r>
      <w:r w:rsidRPr="00865110">
        <w:rPr>
          <w:rFonts w:ascii="Arial Narrow" w:hAnsi="Arial Narrow" w:cs="Arial"/>
          <w:color w:val="000000" w:themeColor="text1"/>
          <w:lang w:val="es-ES" w:eastAsia="es-ES"/>
        </w:rPr>
        <w:t xml:space="preserve"> con el propósito de compensar, liquidar y garantizar las Operaciones Aceptadas por la misma en los Segmentos en que participe, todas las cuales deberán haberse celebrado en una bolsa, en un sistema de negociación, en el mercado mostrador o en cualquier otro mecanismo autorizado por el Reglamento de </w:t>
      </w:r>
      <w:r w:rsidRPr="00865110">
        <w:rPr>
          <w:rFonts w:ascii="Arial Narrow" w:hAnsi="Arial Narrow" w:cs="Arial"/>
          <w:b/>
          <w:color w:val="000000" w:themeColor="text1"/>
          <w:lang w:val="es-ES" w:eastAsia="es-ES"/>
        </w:rPr>
        <w:t>LA</w:t>
      </w:r>
      <w:r w:rsidRPr="00865110">
        <w:rPr>
          <w:rFonts w:ascii="Arial Narrow" w:hAnsi="Arial Narrow" w:cs="Arial"/>
          <w:color w:val="000000" w:themeColor="text1"/>
          <w:lang w:val="es-ES" w:eastAsia="es-ES"/>
        </w:rPr>
        <w:t xml:space="preserve"> </w:t>
      </w:r>
      <w:r w:rsidRPr="00865110">
        <w:rPr>
          <w:rFonts w:ascii="Arial Narrow" w:hAnsi="Arial Narrow" w:cs="Arial"/>
          <w:b/>
          <w:color w:val="000000" w:themeColor="text1"/>
          <w:lang w:val="es-ES" w:eastAsia="es-ES"/>
        </w:rPr>
        <w:t>CRCC</w:t>
      </w:r>
      <w:r w:rsidRPr="00865110">
        <w:rPr>
          <w:rFonts w:ascii="Arial Narrow" w:hAnsi="Arial Narrow" w:cs="Arial"/>
          <w:color w:val="000000" w:themeColor="text1"/>
          <w:lang w:val="es-ES" w:eastAsia="es-ES"/>
        </w:rPr>
        <w:t>.</w:t>
      </w:r>
      <w:r w:rsidRPr="00865110">
        <w:rPr>
          <w:rFonts w:ascii="Arial Narrow" w:hAnsi="Arial Narrow" w:cs="Arial"/>
          <w:b/>
          <w:color w:val="000000" w:themeColor="text1"/>
          <w:lang w:val="es-ES" w:eastAsia="es-ES"/>
        </w:rPr>
        <w:t xml:space="preserve"> </w:t>
      </w:r>
      <w:r w:rsidRPr="00865110">
        <w:rPr>
          <w:rFonts w:ascii="Arial Narrow" w:hAnsi="Arial Narrow" w:cs="Arial"/>
          <w:color w:val="000000" w:themeColor="text1"/>
          <w:lang w:val="es-ES" w:eastAsia="es-ES"/>
        </w:rPr>
        <w:t xml:space="preserve">Un Miembro Liquidador General podrá participar por su propia cuenta, esto es, en relación con sus propias operaciones, o por cuenta de las operaciones de sus Terceros, de Miembros no Liquidadores o de los Terceros de éstos. </w:t>
      </w:r>
    </w:p>
    <w:p w14:paraId="40971FB1" w14:textId="77777777" w:rsidR="00865110" w:rsidRPr="00865110" w:rsidRDefault="00865110" w:rsidP="00865110">
      <w:pPr>
        <w:ind w:left="357"/>
        <w:jc w:val="both"/>
        <w:rPr>
          <w:rFonts w:ascii="Arial Narrow" w:hAnsi="Arial Narrow" w:cs="Arial"/>
          <w:b/>
          <w:color w:val="000000" w:themeColor="text1"/>
          <w:lang w:val="es-ES" w:eastAsia="es-ES"/>
        </w:rPr>
      </w:pPr>
    </w:p>
    <w:p w14:paraId="00A7985B" w14:textId="77777777" w:rsidR="00865110" w:rsidRPr="00865110" w:rsidRDefault="00865110" w:rsidP="00865110">
      <w:pPr>
        <w:jc w:val="both"/>
        <w:rPr>
          <w:rFonts w:ascii="Arial Narrow" w:hAnsi="Arial Narrow" w:cs="Arial"/>
          <w:color w:val="000000" w:themeColor="text1"/>
          <w:lang w:val="es-ES" w:eastAsia="es-ES"/>
        </w:rPr>
      </w:pPr>
      <w:r w:rsidRPr="00865110">
        <w:rPr>
          <w:rFonts w:ascii="Arial Narrow" w:hAnsi="Arial Narrow" w:cs="Arial"/>
          <w:b/>
          <w:color w:val="000000" w:themeColor="text1"/>
          <w:lang w:val="es-ES" w:eastAsia="es-ES"/>
        </w:rPr>
        <w:t>PARÁGRAFO.</w:t>
      </w:r>
      <w:r w:rsidRPr="00865110">
        <w:rPr>
          <w:rFonts w:ascii="Arial Narrow" w:hAnsi="Arial Narrow" w:cs="Arial"/>
          <w:color w:val="000000" w:themeColor="text1"/>
          <w:lang w:val="es-ES" w:eastAsia="es-ES"/>
        </w:rPr>
        <w:t xml:space="preserve"> Los términos que se utilizan en esta Oferta de Servicios, cuya primera letra sea una mayúscula y que no se encuentren expresamente definidos en esta Oferta, tendrán el significado que se les atribuye en el Reglamento.  </w:t>
      </w:r>
    </w:p>
    <w:p w14:paraId="388C8060" w14:textId="77777777" w:rsidR="00865110" w:rsidRPr="00865110" w:rsidRDefault="00865110" w:rsidP="00865110">
      <w:pPr>
        <w:jc w:val="both"/>
        <w:rPr>
          <w:rFonts w:ascii="Arial Narrow" w:hAnsi="Arial Narrow" w:cs="Arial"/>
          <w:b/>
          <w:color w:val="000000" w:themeColor="text1"/>
          <w:u w:val="single"/>
          <w:lang w:val="es-ES" w:eastAsia="es-ES"/>
        </w:rPr>
      </w:pPr>
    </w:p>
    <w:p w14:paraId="0125A7E4" w14:textId="77777777" w:rsidR="00865110" w:rsidRPr="00865110" w:rsidRDefault="00865110" w:rsidP="00865110">
      <w:pPr>
        <w:jc w:val="both"/>
        <w:rPr>
          <w:rFonts w:ascii="Arial Narrow" w:hAnsi="Arial Narrow" w:cs="Arial"/>
          <w:b/>
          <w:color w:val="000000" w:themeColor="text1"/>
          <w:lang w:val="es-ES" w:eastAsia="es-ES"/>
        </w:rPr>
      </w:pPr>
      <w:r w:rsidRPr="00865110">
        <w:rPr>
          <w:rFonts w:ascii="Arial Narrow" w:hAnsi="Arial Narrow" w:cs="Arial"/>
          <w:b/>
          <w:color w:val="000000" w:themeColor="text1"/>
          <w:u w:val="single"/>
          <w:lang w:val="es-ES" w:eastAsia="es-ES"/>
        </w:rPr>
        <w:t>SEGUNDA. Declaraciones, Manifestaciones y Autorizaciones</w:t>
      </w:r>
      <w:r w:rsidRPr="00865110">
        <w:rPr>
          <w:rFonts w:ascii="Arial Narrow" w:hAnsi="Arial Narrow" w:cs="Arial"/>
          <w:b/>
          <w:color w:val="000000" w:themeColor="text1"/>
          <w:lang w:val="es-ES" w:eastAsia="es-ES"/>
        </w:rPr>
        <w:t>.</w:t>
      </w:r>
      <w:r w:rsidRPr="00865110">
        <w:rPr>
          <w:rFonts w:ascii="Arial Narrow" w:hAnsi="Arial Narrow" w:cs="Arial"/>
          <w:color w:val="000000" w:themeColor="text1"/>
          <w:lang w:val="es-ES" w:eastAsia="es-ES"/>
        </w:rPr>
        <w:t xml:space="preserve"> Mediante la aceptación de la presente Oferta, </w:t>
      </w:r>
      <w:r w:rsidRPr="00865110">
        <w:rPr>
          <w:rFonts w:ascii="Arial Narrow" w:hAnsi="Arial Narrow" w:cs="Arial"/>
          <w:b/>
          <w:color w:val="000000" w:themeColor="text1"/>
          <w:lang w:val="es-ES" w:eastAsia="es-ES"/>
        </w:rPr>
        <w:t>EL MIEMBRO:</w:t>
      </w:r>
    </w:p>
    <w:p w14:paraId="1CA67992" w14:textId="77777777" w:rsidR="00865110" w:rsidRPr="00865110" w:rsidRDefault="00865110" w:rsidP="00865110">
      <w:pPr>
        <w:ind w:left="357"/>
        <w:jc w:val="both"/>
        <w:rPr>
          <w:rFonts w:ascii="Arial Narrow" w:hAnsi="Arial Narrow" w:cs="Arial"/>
          <w:color w:val="000000" w:themeColor="text1"/>
          <w:lang w:val="es-ES" w:eastAsia="es-ES"/>
        </w:rPr>
      </w:pPr>
    </w:p>
    <w:p w14:paraId="3992A22B" w14:textId="77777777" w:rsidR="00865110" w:rsidRPr="00865110" w:rsidRDefault="00865110" w:rsidP="00DA7472">
      <w:pPr>
        <w:numPr>
          <w:ilvl w:val="0"/>
          <w:numId w:val="41"/>
        </w:numPr>
        <w:tabs>
          <w:tab w:val="num" w:pos="993"/>
        </w:tabs>
        <w:ind w:left="426" w:hanging="425"/>
        <w:jc w:val="both"/>
        <w:rPr>
          <w:rFonts w:ascii="Arial Narrow" w:hAnsi="Arial Narrow" w:cs="Arial"/>
          <w:color w:val="000000" w:themeColor="text1"/>
          <w:lang w:val="es-ES" w:eastAsia="es-ES"/>
        </w:rPr>
      </w:pPr>
      <w:r w:rsidRPr="00865110">
        <w:rPr>
          <w:rFonts w:ascii="Arial Narrow" w:hAnsi="Arial Narrow" w:cs="Arial"/>
          <w:color w:val="000000" w:themeColor="text1"/>
          <w:lang w:val="es-ES" w:eastAsia="es-ES"/>
        </w:rPr>
        <w:t xml:space="preserve">Declara expresamente conocer y aceptar en su integridad el Reglamento, las Circulares y los Instructivos Operativos de </w:t>
      </w:r>
      <w:r w:rsidRPr="00865110">
        <w:rPr>
          <w:rFonts w:ascii="Arial Narrow" w:hAnsi="Arial Narrow" w:cs="Arial"/>
          <w:b/>
          <w:color w:val="000000" w:themeColor="text1"/>
          <w:lang w:val="es-ES" w:eastAsia="es-ES"/>
        </w:rPr>
        <w:t>LA CRCC</w:t>
      </w:r>
      <w:r w:rsidRPr="00865110">
        <w:rPr>
          <w:rFonts w:ascii="Arial Narrow" w:hAnsi="Arial Narrow" w:cs="Arial"/>
          <w:color w:val="000000" w:themeColor="text1"/>
          <w:lang w:val="es-ES" w:eastAsia="es-ES"/>
        </w:rPr>
        <w:t xml:space="preserve">, los cuales se consideran parte integral de la presente oferta de servicios. </w:t>
      </w:r>
    </w:p>
    <w:p w14:paraId="49641F94" w14:textId="77777777" w:rsidR="00865110" w:rsidRPr="00865110" w:rsidRDefault="00865110" w:rsidP="00DA7472">
      <w:pPr>
        <w:numPr>
          <w:ilvl w:val="0"/>
          <w:numId w:val="41"/>
        </w:numPr>
        <w:tabs>
          <w:tab w:val="num" w:pos="993"/>
        </w:tabs>
        <w:ind w:left="426" w:hanging="425"/>
        <w:jc w:val="both"/>
        <w:rPr>
          <w:rFonts w:ascii="Arial Narrow" w:hAnsi="Arial Narrow" w:cs="Arial"/>
          <w:color w:val="000000" w:themeColor="text1"/>
          <w:lang w:val="es-ES" w:eastAsia="es-ES"/>
        </w:rPr>
      </w:pPr>
      <w:r w:rsidRPr="00865110">
        <w:rPr>
          <w:rFonts w:ascii="Arial Narrow" w:hAnsi="Arial Narrow" w:cs="Arial"/>
          <w:color w:val="000000" w:themeColor="text1"/>
          <w:lang w:val="es-ES" w:eastAsia="es-ES"/>
        </w:rPr>
        <w:lastRenderedPageBreak/>
        <w:t xml:space="preserve">Declara conocer la reglamentación de las bolsas, sistemas de negociación y mercado mostrador en donde se transen los Activos Compensados y Liquidados a través de </w:t>
      </w:r>
      <w:r w:rsidRPr="00865110">
        <w:rPr>
          <w:rFonts w:ascii="Arial Narrow" w:hAnsi="Arial Narrow" w:cs="Arial"/>
          <w:b/>
          <w:color w:val="000000" w:themeColor="text1"/>
          <w:lang w:val="es-ES" w:eastAsia="es-ES"/>
        </w:rPr>
        <w:t>LA CRCC</w:t>
      </w:r>
      <w:r w:rsidRPr="00865110">
        <w:rPr>
          <w:rFonts w:ascii="Arial Narrow" w:hAnsi="Arial Narrow" w:cs="Arial"/>
          <w:color w:val="000000" w:themeColor="text1"/>
          <w:lang w:val="es-ES" w:eastAsia="es-ES"/>
        </w:rPr>
        <w:t xml:space="preserve">.  </w:t>
      </w:r>
    </w:p>
    <w:p w14:paraId="211C4BBB" w14:textId="77777777" w:rsidR="00865110" w:rsidRPr="00865110" w:rsidRDefault="00865110" w:rsidP="00DA7472">
      <w:pPr>
        <w:numPr>
          <w:ilvl w:val="0"/>
          <w:numId w:val="41"/>
        </w:numPr>
        <w:tabs>
          <w:tab w:val="num" w:pos="993"/>
        </w:tabs>
        <w:ind w:left="426" w:hanging="425"/>
        <w:jc w:val="both"/>
        <w:rPr>
          <w:rFonts w:ascii="Arial Narrow" w:hAnsi="Arial Narrow" w:cs="Arial"/>
          <w:color w:val="000000" w:themeColor="text1"/>
          <w:lang w:val="es-ES" w:eastAsia="es-ES"/>
        </w:rPr>
      </w:pPr>
      <w:r w:rsidRPr="00865110">
        <w:rPr>
          <w:rFonts w:ascii="Arial Narrow" w:hAnsi="Arial Narrow" w:cs="Arial"/>
          <w:color w:val="000000" w:themeColor="text1"/>
          <w:lang w:val="es-ES" w:eastAsia="es-ES"/>
        </w:rPr>
        <w:t>Manifiesta y acepta que en lo no previsto expresamente en la presente Oferta, se aplicará lo dispuesto en el Reglamento.</w:t>
      </w:r>
    </w:p>
    <w:p w14:paraId="55920C0A" w14:textId="77777777" w:rsidR="00865110" w:rsidRPr="00865110" w:rsidRDefault="00865110" w:rsidP="00DA7472">
      <w:pPr>
        <w:numPr>
          <w:ilvl w:val="0"/>
          <w:numId w:val="41"/>
        </w:numPr>
        <w:tabs>
          <w:tab w:val="num" w:pos="993"/>
        </w:tabs>
        <w:ind w:left="426" w:hanging="425"/>
        <w:jc w:val="both"/>
        <w:rPr>
          <w:rFonts w:ascii="Arial Narrow" w:hAnsi="Arial Narrow" w:cs="Arial"/>
          <w:color w:val="000000" w:themeColor="text1"/>
          <w:lang w:val="es-ES" w:eastAsia="es-ES"/>
        </w:rPr>
      </w:pPr>
      <w:r w:rsidRPr="00865110">
        <w:rPr>
          <w:rFonts w:ascii="Arial Narrow" w:hAnsi="Arial Narrow" w:cs="Arial"/>
          <w:color w:val="000000" w:themeColor="text1"/>
          <w:lang w:val="es-ES" w:eastAsia="es-ES"/>
        </w:rPr>
        <w:t>Manifiesta que cumple con las condiciones y requisitos establecidos en el Reglamento para ser Miembro Liquidador General</w:t>
      </w:r>
      <w:r w:rsidRPr="00865110">
        <w:rPr>
          <w:rFonts w:ascii="Arial Narrow" w:hAnsi="Arial Narrow" w:cs="Arial"/>
          <w:b/>
          <w:color w:val="000000" w:themeColor="text1"/>
          <w:lang w:val="es-ES" w:eastAsia="es-ES"/>
        </w:rPr>
        <w:t xml:space="preserve">. </w:t>
      </w:r>
    </w:p>
    <w:p w14:paraId="5EE4C3EE" w14:textId="77777777" w:rsidR="00865110" w:rsidRPr="00865110" w:rsidRDefault="00865110" w:rsidP="00DA7472">
      <w:pPr>
        <w:numPr>
          <w:ilvl w:val="0"/>
          <w:numId w:val="41"/>
        </w:numPr>
        <w:tabs>
          <w:tab w:val="num" w:pos="993"/>
        </w:tabs>
        <w:ind w:left="426" w:hanging="425"/>
        <w:jc w:val="both"/>
        <w:rPr>
          <w:rFonts w:ascii="Arial Narrow" w:hAnsi="Arial Narrow" w:cs="Arial"/>
          <w:color w:val="000000" w:themeColor="text1"/>
          <w:lang w:val="es-ES" w:eastAsia="es-ES"/>
        </w:rPr>
      </w:pPr>
      <w:r w:rsidRPr="00865110">
        <w:rPr>
          <w:rFonts w:ascii="Arial Narrow" w:hAnsi="Arial Narrow" w:cs="Arial"/>
          <w:color w:val="000000" w:themeColor="text1"/>
          <w:lang w:val="es-ES" w:eastAsia="es-ES"/>
        </w:rPr>
        <w:t xml:space="preserve">Autoriza a </w:t>
      </w:r>
      <w:r w:rsidRPr="00865110">
        <w:rPr>
          <w:rFonts w:ascii="Arial Narrow" w:hAnsi="Arial Narrow" w:cs="Arial"/>
          <w:b/>
          <w:color w:val="000000" w:themeColor="text1"/>
          <w:lang w:val="es-ES" w:eastAsia="es-ES"/>
        </w:rPr>
        <w:t xml:space="preserve">LA CRCC </w:t>
      </w:r>
      <w:r w:rsidRPr="00865110">
        <w:rPr>
          <w:rFonts w:ascii="Arial Narrow" w:hAnsi="Arial Narrow" w:cs="Arial"/>
          <w:color w:val="000000" w:themeColor="text1"/>
          <w:lang w:val="es-ES" w:eastAsia="es-ES"/>
        </w:rPr>
        <w:t>para</w:t>
      </w:r>
      <w:r w:rsidRPr="00865110">
        <w:rPr>
          <w:rFonts w:ascii="Arial Narrow" w:hAnsi="Arial Narrow" w:cs="Arial"/>
          <w:b/>
          <w:color w:val="000000" w:themeColor="text1"/>
          <w:lang w:val="es-ES" w:eastAsia="es-ES"/>
        </w:rPr>
        <w:t xml:space="preserve"> </w:t>
      </w:r>
      <w:r w:rsidRPr="00865110">
        <w:rPr>
          <w:rFonts w:ascii="Arial Narrow" w:hAnsi="Arial Narrow" w:cs="Arial"/>
          <w:color w:val="000000" w:themeColor="text1"/>
          <w:lang w:val="es-ES" w:eastAsia="es-ES"/>
        </w:rPr>
        <w:t xml:space="preserve">verificar, en cualquier momento, </w:t>
      </w:r>
      <w:r w:rsidRPr="00865110">
        <w:rPr>
          <w:rFonts w:ascii="Arial Narrow" w:hAnsi="Arial Narrow" w:cs="Arial"/>
          <w:color w:val="000000" w:themeColor="text1"/>
          <w:lang w:eastAsia="es-ES"/>
        </w:rPr>
        <w:t xml:space="preserve">el cumplimiento de los requisitos y condiciones que dieron lugar a su admisión como Miembro Liquidador General de la misma. La verificación la puede hacer </w:t>
      </w:r>
      <w:r w:rsidRPr="00865110">
        <w:rPr>
          <w:rFonts w:ascii="Arial Narrow" w:hAnsi="Arial Narrow" w:cs="Arial"/>
          <w:b/>
          <w:color w:val="000000" w:themeColor="text1"/>
          <w:lang w:eastAsia="es-ES"/>
        </w:rPr>
        <w:t xml:space="preserve">LA CRCC </w:t>
      </w:r>
      <w:r w:rsidRPr="00865110">
        <w:rPr>
          <w:rFonts w:ascii="Arial Narrow" w:hAnsi="Arial Narrow" w:cs="Arial"/>
          <w:color w:val="000000" w:themeColor="text1"/>
          <w:lang w:eastAsia="es-ES"/>
        </w:rPr>
        <w:t xml:space="preserve">directamente o a través de un tercero especializado, según la materia o asunto a verificar, y el costo de dicha verificación podrá ser a cargo de </w:t>
      </w:r>
      <w:r w:rsidRPr="00865110">
        <w:rPr>
          <w:rFonts w:ascii="Arial Narrow" w:hAnsi="Arial Narrow" w:cs="Arial"/>
          <w:b/>
          <w:color w:val="000000" w:themeColor="text1"/>
          <w:lang w:eastAsia="es-ES"/>
        </w:rPr>
        <w:t>EL MIEMBRO.</w:t>
      </w:r>
    </w:p>
    <w:p w14:paraId="093D7BAC" w14:textId="77777777" w:rsidR="00865110" w:rsidRPr="00865110" w:rsidRDefault="00865110" w:rsidP="00DA7472">
      <w:pPr>
        <w:numPr>
          <w:ilvl w:val="0"/>
          <w:numId w:val="41"/>
        </w:numPr>
        <w:tabs>
          <w:tab w:val="num" w:pos="993"/>
        </w:tabs>
        <w:ind w:left="426" w:hanging="425"/>
        <w:jc w:val="both"/>
        <w:rPr>
          <w:rFonts w:ascii="Arial Narrow" w:hAnsi="Arial Narrow" w:cs="Arial"/>
          <w:color w:val="000000" w:themeColor="text1"/>
          <w:lang w:val="es-ES" w:eastAsia="es-ES"/>
        </w:rPr>
      </w:pPr>
      <w:r w:rsidRPr="00865110">
        <w:rPr>
          <w:rFonts w:ascii="Arial Narrow" w:hAnsi="Arial Narrow" w:cs="Arial"/>
          <w:color w:val="000000" w:themeColor="text1"/>
          <w:lang w:val="es-ES" w:eastAsia="es-ES"/>
        </w:rPr>
        <w:t>Declara que los derechos y obligaciones derivados de las</w:t>
      </w:r>
      <w:r w:rsidRPr="00865110">
        <w:rPr>
          <w:rFonts w:ascii="Arial Narrow" w:hAnsi="Arial Narrow" w:cs="Arial"/>
          <w:color w:val="000000" w:themeColor="text1"/>
          <w:lang w:eastAsia="es-ES"/>
        </w:rPr>
        <w:t xml:space="preserve"> Operaciones Aceptadas por </w:t>
      </w:r>
      <w:r w:rsidRPr="00865110">
        <w:rPr>
          <w:rFonts w:ascii="Arial Narrow" w:hAnsi="Arial Narrow" w:cs="Arial"/>
          <w:b/>
          <w:color w:val="000000" w:themeColor="text1"/>
          <w:lang w:eastAsia="es-ES"/>
        </w:rPr>
        <w:t>LA CRCC</w:t>
      </w:r>
      <w:r w:rsidRPr="00865110">
        <w:rPr>
          <w:rFonts w:ascii="Arial Narrow" w:hAnsi="Arial Narrow" w:cs="Arial"/>
          <w:color w:val="000000" w:themeColor="text1"/>
          <w:lang w:eastAsia="es-ES"/>
        </w:rPr>
        <w:t xml:space="preserve"> </w:t>
      </w:r>
      <w:r w:rsidRPr="00865110">
        <w:rPr>
          <w:rFonts w:ascii="Arial Narrow" w:hAnsi="Arial Narrow" w:cs="Arial"/>
          <w:color w:val="000000" w:themeColor="text1"/>
          <w:lang w:val="es-ES" w:eastAsia="es-ES"/>
        </w:rPr>
        <w:t xml:space="preserve">se entenderán automáticamente novados, con ocasión de la interposición de </w:t>
      </w:r>
      <w:r w:rsidRPr="00865110">
        <w:rPr>
          <w:rFonts w:ascii="Arial Narrow" w:hAnsi="Arial Narrow" w:cs="Arial"/>
          <w:b/>
          <w:color w:val="000000" w:themeColor="text1"/>
          <w:lang w:val="es-ES" w:eastAsia="es-ES"/>
        </w:rPr>
        <w:t>LA</w:t>
      </w:r>
      <w:r w:rsidRPr="00865110">
        <w:rPr>
          <w:rFonts w:ascii="Arial Narrow" w:hAnsi="Arial Narrow" w:cs="Arial"/>
          <w:color w:val="000000" w:themeColor="text1"/>
          <w:lang w:val="es-ES" w:eastAsia="es-ES"/>
        </w:rPr>
        <w:t xml:space="preserve"> </w:t>
      </w:r>
      <w:r w:rsidRPr="00865110">
        <w:rPr>
          <w:rFonts w:ascii="Arial Narrow" w:hAnsi="Arial Narrow" w:cs="Arial"/>
          <w:b/>
          <w:color w:val="000000" w:themeColor="text1"/>
          <w:lang w:val="es-ES" w:eastAsia="es-ES"/>
        </w:rPr>
        <w:t>CRCC</w:t>
      </w:r>
      <w:r w:rsidRPr="00865110">
        <w:rPr>
          <w:rFonts w:ascii="Arial Narrow" w:hAnsi="Arial Narrow" w:cs="Arial"/>
          <w:color w:val="000000" w:themeColor="text1"/>
          <w:lang w:val="es-ES" w:eastAsia="es-ES"/>
        </w:rPr>
        <w:t xml:space="preserve"> como Contraparte, surgiendo nuevos derechos y obligaciones de y frente a ésta y extinguiéndose los que hasta ese momento existieran entre quienes hubieran celebrado la operación en su origen. </w:t>
      </w:r>
    </w:p>
    <w:p w14:paraId="16BE32C7" w14:textId="77777777" w:rsidR="00865110" w:rsidRPr="00865110" w:rsidRDefault="00865110" w:rsidP="00DA7472">
      <w:pPr>
        <w:numPr>
          <w:ilvl w:val="0"/>
          <w:numId w:val="41"/>
        </w:numPr>
        <w:tabs>
          <w:tab w:val="num" w:pos="993"/>
        </w:tabs>
        <w:ind w:left="426" w:hanging="425"/>
        <w:jc w:val="both"/>
        <w:rPr>
          <w:rFonts w:ascii="Arial Narrow" w:hAnsi="Arial Narrow" w:cs="Arial"/>
          <w:color w:val="000000" w:themeColor="text1"/>
          <w:lang w:val="es-ES" w:eastAsia="es-ES"/>
        </w:rPr>
      </w:pPr>
      <w:r w:rsidRPr="00865110">
        <w:rPr>
          <w:rFonts w:ascii="Arial Narrow" w:hAnsi="Arial Narrow" w:cs="Arial"/>
          <w:color w:val="000000" w:themeColor="text1"/>
          <w:lang w:val="es-ES" w:eastAsia="es-ES"/>
        </w:rPr>
        <w:t xml:space="preserve">Declara que las Garantías constituidas y mantenidas, con los ajustes procedentes, a favor de </w:t>
      </w:r>
      <w:r w:rsidRPr="00865110">
        <w:rPr>
          <w:rFonts w:ascii="Arial Narrow" w:hAnsi="Arial Narrow" w:cs="Arial"/>
          <w:b/>
          <w:color w:val="000000" w:themeColor="text1"/>
          <w:lang w:val="es-ES" w:eastAsia="es-ES"/>
        </w:rPr>
        <w:t>LA CRCC</w:t>
      </w:r>
      <w:r w:rsidRPr="00865110">
        <w:rPr>
          <w:rFonts w:ascii="Arial Narrow" w:hAnsi="Arial Narrow" w:cs="Arial"/>
          <w:color w:val="000000" w:themeColor="text1"/>
          <w:lang w:val="es-ES" w:eastAsia="es-ES"/>
        </w:rPr>
        <w:t xml:space="preserve">, bien sea por cuenta de </w:t>
      </w:r>
      <w:r w:rsidRPr="00865110">
        <w:rPr>
          <w:rFonts w:ascii="Arial Narrow" w:hAnsi="Arial Narrow" w:cs="Arial"/>
          <w:b/>
          <w:color w:val="000000" w:themeColor="text1"/>
          <w:lang w:val="es-ES" w:eastAsia="es-ES"/>
        </w:rPr>
        <w:t>EL MIEMBRO</w:t>
      </w:r>
      <w:r w:rsidRPr="00865110">
        <w:rPr>
          <w:rFonts w:ascii="Arial Narrow" w:hAnsi="Arial Narrow" w:cs="Arial"/>
          <w:color w:val="000000" w:themeColor="text1"/>
          <w:lang w:val="es-ES" w:eastAsia="es-ES"/>
        </w:rPr>
        <w:t xml:space="preserve">, por cuenta de sus Terceros o por sus Miembros no Liquidadores o los Terceros de estos últimos, no se verán afectadas por la novación antes referida, se mantendrán vigentes y conviene en su reserva a favor de </w:t>
      </w:r>
      <w:r w:rsidRPr="00865110">
        <w:rPr>
          <w:rFonts w:ascii="Arial Narrow" w:hAnsi="Arial Narrow" w:cs="Arial"/>
          <w:b/>
          <w:color w:val="000000" w:themeColor="text1"/>
          <w:lang w:val="es-ES" w:eastAsia="es-ES"/>
        </w:rPr>
        <w:t>LA CRCC.</w:t>
      </w:r>
      <w:r w:rsidRPr="00865110">
        <w:rPr>
          <w:rFonts w:ascii="Arial Narrow" w:hAnsi="Arial Narrow" w:cs="Arial"/>
          <w:color w:val="000000" w:themeColor="text1"/>
          <w:lang w:val="es-ES" w:eastAsia="es-ES"/>
        </w:rPr>
        <w:t xml:space="preserve"> </w:t>
      </w:r>
    </w:p>
    <w:p w14:paraId="19AEC61A" w14:textId="77777777" w:rsidR="00865110" w:rsidRPr="00865110" w:rsidRDefault="00865110" w:rsidP="00DA7472">
      <w:pPr>
        <w:numPr>
          <w:ilvl w:val="0"/>
          <w:numId w:val="41"/>
        </w:numPr>
        <w:tabs>
          <w:tab w:val="num" w:pos="993"/>
        </w:tabs>
        <w:ind w:left="426" w:hanging="425"/>
        <w:jc w:val="both"/>
        <w:rPr>
          <w:rFonts w:ascii="Arial Narrow" w:hAnsi="Arial Narrow" w:cs="Arial"/>
          <w:color w:val="000000" w:themeColor="text1"/>
          <w:lang w:eastAsia="es-ES"/>
        </w:rPr>
      </w:pPr>
      <w:r w:rsidRPr="00865110">
        <w:rPr>
          <w:rFonts w:ascii="Arial Narrow" w:hAnsi="Arial Narrow" w:cs="Arial"/>
          <w:color w:val="000000" w:themeColor="text1"/>
          <w:lang w:val="es-ES" w:eastAsia="es-ES"/>
        </w:rPr>
        <w:t>Manifiesta que acepta expresamente el procedimiento y las consecuencias derivadas del Incumplimiento, en los términos establecidos en el Reglamento, incluidas las medidas que correspondan, así como la ejecución de Garantías en cualquiera o en todos los Segmentos en que participe, que se contemplen en el Reglamento y en las Circulares e Instructivos Operativos.</w:t>
      </w:r>
    </w:p>
    <w:p w14:paraId="60F283B3" w14:textId="77777777" w:rsidR="00865110" w:rsidRPr="00865110" w:rsidRDefault="00865110" w:rsidP="00DA7472">
      <w:pPr>
        <w:numPr>
          <w:ilvl w:val="0"/>
          <w:numId w:val="41"/>
        </w:numPr>
        <w:tabs>
          <w:tab w:val="num" w:pos="993"/>
        </w:tabs>
        <w:ind w:left="426" w:hanging="425"/>
        <w:jc w:val="both"/>
        <w:rPr>
          <w:rFonts w:ascii="Arial Narrow" w:hAnsi="Arial Narrow" w:cs="Arial"/>
          <w:color w:val="000000" w:themeColor="text1"/>
          <w:lang w:val="es-ES" w:eastAsia="es-ES"/>
        </w:rPr>
      </w:pPr>
      <w:r w:rsidRPr="00865110">
        <w:rPr>
          <w:rFonts w:ascii="Arial Narrow" w:hAnsi="Arial Narrow" w:cs="Arial"/>
          <w:color w:val="000000" w:themeColor="text1"/>
          <w:lang w:val="es-ES" w:eastAsia="es-ES"/>
        </w:rPr>
        <w:t xml:space="preserve">Autoriza en forma expresa a </w:t>
      </w:r>
      <w:r w:rsidRPr="00865110">
        <w:rPr>
          <w:rFonts w:ascii="Arial Narrow" w:hAnsi="Arial Narrow" w:cs="Arial"/>
          <w:b/>
          <w:color w:val="000000" w:themeColor="text1"/>
          <w:lang w:val="es-ES" w:eastAsia="es-ES"/>
        </w:rPr>
        <w:t xml:space="preserve">LA CRCC </w:t>
      </w:r>
      <w:r w:rsidRPr="00865110">
        <w:rPr>
          <w:rFonts w:ascii="Arial Narrow" w:hAnsi="Arial Narrow" w:cs="Arial"/>
          <w:color w:val="000000" w:themeColor="text1"/>
          <w:lang w:val="es-ES" w:eastAsia="es-ES"/>
        </w:rPr>
        <w:t xml:space="preserve">para que en ejercicio de sus funciones, pueda debitar o acreditar automáticamente la cuenta de efectivo identificada en el Banco de la República bajo el número ___________________________, así como cualquier otra cuenta de efectivo que maneje para la compensación y liquidación ante </w:t>
      </w:r>
      <w:r w:rsidRPr="00865110">
        <w:rPr>
          <w:rFonts w:ascii="Arial Narrow" w:hAnsi="Arial Narrow" w:cs="Arial"/>
          <w:b/>
          <w:color w:val="000000" w:themeColor="text1"/>
          <w:lang w:val="es-ES" w:eastAsia="es-ES"/>
        </w:rPr>
        <w:t>LA CRCC</w:t>
      </w:r>
      <w:r w:rsidRPr="00865110">
        <w:rPr>
          <w:rFonts w:ascii="Arial Narrow" w:hAnsi="Arial Narrow" w:cs="Arial"/>
          <w:color w:val="000000" w:themeColor="text1"/>
          <w:lang w:val="es-ES" w:eastAsia="es-ES"/>
        </w:rPr>
        <w:t>.</w:t>
      </w:r>
    </w:p>
    <w:p w14:paraId="52B342F7" w14:textId="77777777" w:rsidR="00865110" w:rsidRPr="00865110" w:rsidRDefault="00865110" w:rsidP="00DA7472">
      <w:pPr>
        <w:numPr>
          <w:ilvl w:val="0"/>
          <w:numId w:val="41"/>
        </w:numPr>
        <w:tabs>
          <w:tab w:val="num" w:pos="993"/>
        </w:tabs>
        <w:ind w:left="426" w:hanging="425"/>
        <w:jc w:val="both"/>
        <w:rPr>
          <w:rFonts w:ascii="Arial Narrow" w:hAnsi="Arial Narrow" w:cs="Arial"/>
          <w:color w:val="000000" w:themeColor="text1"/>
          <w:lang w:val="es-ES" w:eastAsia="es-ES"/>
        </w:rPr>
      </w:pPr>
      <w:r w:rsidRPr="00865110">
        <w:rPr>
          <w:rFonts w:ascii="Arial Narrow" w:hAnsi="Arial Narrow" w:cs="Arial"/>
          <w:color w:val="000000" w:themeColor="text1"/>
          <w:lang w:val="es-ES" w:eastAsia="es-ES"/>
        </w:rPr>
        <w:t xml:space="preserve">Autoriza en forma expresa a </w:t>
      </w:r>
      <w:r w:rsidRPr="00865110">
        <w:rPr>
          <w:rFonts w:ascii="Arial Narrow" w:hAnsi="Arial Narrow" w:cs="Arial"/>
          <w:b/>
          <w:color w:val="000000" w:themeColor="text1"/>
          <w:lang w:val="es-ES" w:eastAsia="es-ES"/>
        </w:rPr>
        <w:t>LA CRCC</w:t>
      </w:r>
      <w:r w:rsidRPr="00865110">
        <w:rPr>
          <w:rFonts w:ascii="Arial Narrow" w:hAnsi="Arial Narrow" w:cs="Arial"/>
          <w:color w:val="000000" w:themeColor="text1"/>
          <w:lang w:val="es-ES" w:eastAsia="es-ES"/>
        </w:rPr>
        <w:t xml:space="preserve"> para que en ejercicio de sus funciones, pueda debitar o acreditar automáticamente las cuentas de depósito de valores de las que es titular </w:t>
      </w:r>
      <w:r w:rsidRPr="00865110">
        <w:rPr>
          <w:rFonts w:ascii="Arial Narrow" w:hAnsi="Arial Narrow" w:cs="Arial"/>
          <w:b/>
          <w:color w:val="000000" w:themeColor="text1"/>
          <w:lang w:val="es-ES" w:eastAsia="es-ES"/>
        </w:rPr>
        <w:t>EL MIEMBRO</w:t>
      </w:r>
      <w:r w:rsidRPr="00865110">
        <w:rPr>
          <w:rFonts w:ascii="Arial Narrow" w:hAnsi="Arial Narrow" w:cs="Arial"/>
          <w:color w:val="000000" w:themeColor="text1"/>
          <w:lang w:val="es-ES" w:eastAsia="es-ES"/>
        </w:rPr>
        <w:t xml:space="preserve"> en el DECEVAL, Cuenta No. ____________________ y en el DCV, Cuenta No. ______________________. </w:t>
      </w:r>
    </w:p>
    <w:p w14:paraId="421CEEDF" w14:textId="77777777" w:rsidR="00865110" w:rsidRPr="00865110" w:rsidRDefault="00865110" w:rsidP="00DA7472">
      <w:pPr>
        <w:numPr>
          <w:ilvl w:val="0"/>
          <w:numId w:val="41"/>
        </w:numPr>
        <w:tabs>
          <w:tab w:val="num" w:pos="993"/>
        </w:tabs>
        <w:ind w:left="426" w:hanging="425"/>
        <w:jc w:val="both"/>
        <w:rPr>
          <w:rFonts w:ascii="Arial Narrow" w:hAnsi="Arial Narrow" w:cs="Arial"/>
          <w:color w:val="000000" w:themeColor="text1"/>
          <w:lang w:val="es-ES" w:eastAsia="es-ES"/>
        </w:rPr>
      </w:pPr>
      <w:r w:rsidRPr="00865110">
        <w:rPr>
          <w:rFonts w:ascii="Arial Narrow" w:hAnsi="Arial Narrow" w:cs="Arial"/>
          <w:color w:val="000000" w:themeColor="text1"/>
          <w:lang w:val="es-ES" w:eastAsia="es-ES"/>
        </w:rPr>
        <w:t xml:space="preserve">Autoriza a </w:t>
      </w:r>
      <w:r w:rsidRPr="00865110">
        <w:rPr>
          <w:rFonts w:ascii="Arial Narrow" w:hAnsi="Arial Narrow" w:cs="Arial"/>
          <w:b/>
          <w:color w:val="000000" w:themeColor="text1"/>
          <w:lang w:val="es-ES" w:eastAsia="es-ES"/>
        </w:rPr>
        <w:t xml:space="preserve">LA CRCC </w:t>
      </w:r>
      <w:r w:rsidRPr="00865110">
        <w:rPr>
          <w:rFonts w:ascii="Arial Narrow" w:hAnsi="Arial Narrow" w:cs="Arial"/>
          <w:color w:val="000000" w:themeColor="text1"/>
          <w:lang w:val="es-ES" w:eastAsia="es-ES"/>
        </w:rPr>
        <w:t>para</w:t>
      </w:r>
      <w:r w:rsidRPr="00865110">
        <w:rPr>
          <w:rFonts w:ascii="Arial Narrow" w:hAnsi="Arial Narrow" w:cs="Arial"/>
          <w:b/>
          <w:color w:val="000000" w:themeColor="text1"/>
          <w:lang w:val="es-ES" w:eastAsia="es-ES"/>
        </w:rPr>
        <w:t xml:space="preserve"> </w:t>
      </w:r>
      <w:r w:rsidRPr="00865110">
        <w:rPr>
          <w:rFonts w:ascii="Arial Narrow" w:hAnsi="Arial Narrow" w:cs="Arial"/>
          <w:color w:val="000000" w:themeColor="text1"/>
          <w:lang w:val="es-ES" w:eastAsia="es-ES"/>
        </w:rPr>
        <w:t xml:space="preserve">transmitir la información de </w:t>
      </w:r>
      <w:r w:rsidRPr="00865110">
        <w:rPr>
          <w:rFonts w:ascii="Arial Narrow" w:hAnsi="Arial Narrow" w:cs="Arial"/>
          <w:b/>
          <w:color w:val="000000" w:themeColor="text1"/>
          <w:lang w:val="es-ES" w:eastAsia="es-ES"/>
        </w:rPr>
        <w:t>EL MIEMBRO</w:t>
      </w:r>
      <w:r w:rsidRPr="00865110">
        <w:rPr>
          <w:rFonts w:ascii="Arial Narrow" w:hAnsi="Arial Narrow" w:cs="Arial"/>
          <w:color w:val="000000" w:themeColor="text1"/>
          <w:lang w:val="es-ES" w:eastAsia="es-ES"/>
        </w:rPr>
        <w:t xml:space="preserve"> a las autoridades u organismos competentes que se lo soliciten. </w:t>
      </w:r>
    </w:p>
    <w:p w14:paraId="6B04C57D" w14:textId="77777777" w:rsidR="00865110" w:rsidRPr="00865110" w:rsidRDefault="00865110" w:rsidP="00DA7472">
      <w:pPr>
        <w:numPr>
          <w:ilvl w:val="0"/>
          <w:numId w:val="41"/>
        </w:numPr>
        <w:tabs>
          <w:tab w:val="num" w:pos="993"/>
        </w:tabs>
        <w:ind w:left="426" w:hanging="425"/>
        <w:jc w:val="both"/>
        <w:rPr>
          <w:rFonts w:ascii="Arial Narrow" w:hAnsi="Arial Narrow" w:cs="Arial"/>
          <w:color w:val="000000" w:themeColor="text1"/>
          <w:lang w:eastAsia="es-ES"/>
        </w:rPr>
      </w:pPr>
      <w:r w:rsidRPr="00865110">
        <w:rPr>
          <w:rFonts w:ascii="Arial Narrow" w:hAnsi="Arial Narrow" w:cs="Arial"/>
          <w:color w:val="000000" w:themeColor="text1"/>
          <w:lang w:val="es-ES" w:eastAsia="es-ES"/>
        </w:rPr>
        <w:t xml:space="preserve">Acepta que en caso de Incumplimiento de alguna de las obligaciones a su cargo, </w:t>
      </w:r>
      <w:r w:rsidRPr="00865110">
        <w:rPr>
          <w:rFonts w:ascii="Arial Narrow" w:hAnsi="Arial Narrow" w:cs="Arial"/>
          <w:b/>
          <w:color w:val="000000" w:themeColor="text1"/>
          <w:lang w:val="es-ES" w:eastAsia="es-ES"/>
        </w:rPr>
        <w:t>LA CRCC</w:t>
      </w:r>
      <w:r w:rsidRPr="00865110">
        <w:rPr>
          <w:rFonts w:ascii="Arial Narrow" w:hAnsi="Arial Narrow" w:cs="Arial"/>
          <w:color w:val="000000" w:themeColor="text1"/>
          <w:lang w:val="es-ES" w:eastAsia="es-ES"/>
        </w:rPr>
        <w:t xml:space="preserve"> realizará la Gestión del Incumplimiento en todos los Segmentos en que participe, de conformidad con lo dispuesto en el Reglamento y en las Circulares y en los Instructivos Operativos. Así mismo, acepta los efectos del Incumplimiento de acuerdo con lo establecido en el Reglamento.  </w:t>
      </w:r>
    </w:p>
    <w:p w14:paraId="31193C81" w14:textId="77777777" w:rsidR="00865110" w:rsidRPr="00865110" w:rsidRDefault="00865110" w:rsidP="00DA7472">
      <w:pPr>
        <w:numPr>
          <w:ilvl w:val="0"/>
          <w:numId w:val="41"/>
        </w:numPr>
        <w:tabs>
          <w:tab w:val="num" w:pos="993"/>
        </w:tabs>
        <w:ind w:left="426" w:hanging="425"/>
        <w:jc w:val="both"/>
        <w:rPr>
          <w:rFonts w:ascii="Arial Narrow" w:hAnsi="Arial Narrow" w:cs="Arial"/>
          <w:color w:val="000000" w:themeColor="text1"/>
          <w:lang w:eastAsia="es-ES"/>
        </w:rPr>
      </w:pPr>
      <w:r w:rsidRPr="00865110">
        <w:rPr>
          <w:rFonts w:ascii="Arial Narrow" w:hAnsi="Arial Narrow" w:cs="Arial"/>
          <w:color w:val="000000" w:themeColor="text1"/>
          <w:lang w:val="es-ES" w:eastAsia="es-ES"/>
        </w:rPr>
        <w:t xml:space="preserve">Acepta expresamente que </w:t>
      </w:r>
      <w:r w:rsidRPr="00865110">
        <w:rPr>
          <w:rFonts w:ascii="Arial Narrow" w:hAnsi="Arial Narrow" w:cs="Arial"/>
          <w:b/>
          <w:color w:val="000000" w:themeColor="text1"/>
          <w:lang w:val="es-ES" w:eastAsia="es-ES"/>
        </w:rPr>
        <w:t>LA CRCC</w:t>
      </w:r>
      <w:r w:rsidRPr="00865110">
        <w:rPr>
          <w:rFonts w:ascii="Arial Narrow" w:hAnsi="Arial Narrow" w:cs="Arial"/>
          <w:color w:val="000000" w:themeColor="text1"/>
          <w:lang w:val="es-ES" w:eastAsia="es-ES"/>
        </w:rPr>
        <w:t xml:space="preserve"> informe a las Autoridades Competentes sobre el incumplimiento de las obligaciones a su cargo.</w:t>
      </w:r>
    </w:p>
    <w:p w14:paraId="3032F083" w14:textId="77777777" w:rsidR="00865110" w:rsidRPr="00865110" w:rsidRDefault="00865110" w:rsidP="00DA7472">
      <w:pPr>
        <w:numPr>
          <w:ilvl w:val="0"/>
          <w:numId w:val="41"/>
        </w:numPr>
        <w:tabs>
          <w:tab w:val="num" w:pos="993"/>
        </w:tabs>
        <w:ind w:left="426" w:hanging="425"/>
        <w:jc w:val="both"/>
        <w:rPr>
          <w:rFonts w:ascii="Arial Narrow" w:hAnsi="Arial Narrow" w:cs="Arial"/>
          <w:color w:val="000000" w:themeColor="text1"/>
          <w:lang w:eastAsia="es-ES"/>
        </w:rPr>
      </w:pPr>
      <w:r w:rsidRPr="00865110">
        <w:rPr>
          <w:rFonts w:ascii="Arial Narrow" w:hAnsi="Arial Narrow" w:cs="Arial"/>
          <w:color w:val="000000" w:themeColor="text1"/>
          <w:lang w:val="es-ES" w:eastAsia="es-ES"/>
        </w:rPr>
        <w:t xml:space="preserve">Autoriza a </w:t>
      </w:r>
      <w:r w:rsidRPr="00865110">
        <w:rPr>
          <w:rFonts w:ascii="Arial Narrow" w:hAnsi="Arial Narrow" w:cs="Arial"/>
          <w:b/>
          <w:color w:val="000000" w:themeColor="text1"/>
          <w:lang w:val="es-ES" w:eastAsia="es-ES"/>
        </w:rPr>
        <w:t>LA CRCC</w:t>
      </w:r>
      <w:r w:rsidRPr="00865110">
        <w:rPr>
          <w:rFonts w:ascii="Arial Narrow" w:hAnsi="Arial Narrow" w:cs="Arial"/>
          <w:color w:val="000000" w:themeColor="text1"/>
          <w:lang w:val="es-ES" w:eastAsia="es-ES"/>
        </w:rPr>
        <w:t xml:space="preserve"> </w:t>
      </w:r>
      <w:r w:rsidRPr="00865110">
        <w:rPr>
          <w:rFonts w:ascii="Arial Narrow" w:hAnsi="Arial Narrow" w:cs="Arial"/>
          <w:color w:val="000000" w:themeColor="text1"/>
          <w:lang w:eastAsia="es-ES"/>
        </w:rPr>
        <w:t xml:space="preserve">para que todas las comunicaciones telefónicas que </w:t>
      </w:r>
      <w:r w:rsidRPr="00865110">
        <w:rPr>
          <w:rFonts w:ascii="Arial Narrow" w:hAnsi="Arial Narrow" w:cs="Arial"/>
          <w:color w:val="000000" w:themeColor="text1"/>
          <w:lang w:val="es-ES" w:eastAsia="es-ES"/>
        </w:rPr>
        <w:t>sus funcionarios, operadores, empleados, contratistas, subcontratistas y/o dependientes</w:t>
      </w:r>
      <w:r w:rsidRPr="00865110">
        <w:rPr>
          <w:rFonts w:ascii="Arial Narrow" w:hAnsi="Arial Narrow" w:cs="Arial"/>
          <w:color w:val="000000" w:themeColor="text1"/>
          <w:lang w:eastAsia="es-ES"/>
        </w:rPr>
        <w:t xml:space="preserve"> tengan con </w:t>
      </w:r>
      <w:r w:rsidRPr="00865110">
        <w:rPr>
          <w:rFonts w:ascii="Arial Narrow" w:hAnsi="Arial Narrow" w:cs="Arial"/>
          <w:b/>
          <w:color w:val="000000" w:themeColor="text1"/>
          <w:lang w:eastAsia="es-ES"/>
        </w:rPr>
        <w:t>LA CRCC</w:t>
      </w:r>
      <w:r w:rsidRPr="00865110">
        <w:rPr>
          <w:rFonts w:ascii="Arial Narrow" w:hAnsi="Arial Narrow" w:cs="Arial"/>
          <w:color w:val="000000" w:themeColor="text1"/>
          <w:lang w:eastAsia="es-ES"/>
        </w:rPr>
        <w:t xml:space="preserve"> sean grabadas y que las mismas, en caso de requerirse, puedan ser presentadas como medio de prueba. </w:t>
      </w:r>
    </w:p>
    <w:p w14:paraId="2D41AEA7" w14:textId="77777777" w:rsidR="00865110" w:rsidRPr="00865110" w:rsidRDefault="00865110" w:rsidP="00865110">
      <w:pPr>
        <w:ind w:left="357"/>
        <w:jc w:val="both"/>
        <w:rPr>
          <w:rFonts w:ascii="Arial Narrow" w:hAnsi="Arial Narrow" w:cs="Arial"/>
          <w:b/>
          <w:color w:val="000000" w:themeColor="text1"/>
          <w:u w:val="single"/>
          <w:lang w:val="es-ES" w:eastAsia="es-ES"/>
        </w:rPr>
      </w:pPr>
    </w:p>
    <w:p w14:paraId="4BD60712" w14:textId="77777777" w:rsidR="00865110" w:rsidRPr="00865110" w:rsidRDefault="00865110" w:rsidP="00865110">
      <w:pPr>
        <w:jc w:val="both"/>
        <w:rPr>
          <w:rFonts w:ascii="Arial Narrow" w:hAnsi="Arial Narrow" w:cs="Arial"/>
          <w:color w:val="000000" w:themeColor="text1"/>
          <w:lang w:val="es-ES" w:eastAsia="es-ES"/>
        </w:rPr>
      </w:pPr>
      <w:r w:rsidRPr="00865110">
        <w:rPr>
          <w:rFonts w:ascii="Arial Narrow" w:hAnsi="Arial Narrow" w:cs="Arial"/>
          <w:b/>
          <w:color w:val="000000" w:themeColor="text1"/>
          <w:lang w:val="es-ES" w:eastAsia="es-ES"/>
        </w:rPr>
        <w:t>Parágrafo.</w:t>
      </w:r>
      <w:r w:rsidRPr="00865110">
        <w:rPr>
          <w:rFonts w:ascii="Arial Narrow" w:hAnsi="Arial Narrow" w:cs="Arial"/>
          <w:color w:val="000000" w:themeColor="text1"/>
          <w:lang w:val="es-ES" w:eastAsia="es-ES"/>
        </w:rPr>
        <w:t xml:space="preserve"> Cualquier reforma que se realice al Reglamento o a las Circulares de </w:t>
      </w:r>
      <w:r w:rsidRPr="00865110">
        <w:rPr>
          <w:rFonts w:ascii="Arial Narrow" w:hAnsi="Arial Narrow" w:cs="Arial"/>
          <w:b/>
          <w:color w:val="000000" w:themeColor="text1"/>
          <w:lang w:val="es-ES_tradnl" w:eastAsia="es-ES"/>
        </w:rPr>
        <w:t>LA CRCC</w:t>
      </w:r>
      <w:r w:rsidRPr="00865110">
        <w:rPr>
          <w:rFonts w:ascii="Arial Narrow" w:hAnsi="Arial Narrow" w:cs="Arial"/>
          <w:color w:val="000000" w:themeColor="text1"/>
          <w:lang w:val="es-ES" w:eastAsia="es-ES"/>
        </w:rPr>
        <w:t xml:space="preserve"> que implique una modificación a los términos de los acuerdos o Convenios de vinculación, Oferta de Servicios Aceptada </w:t>
      </w:r>
      <w:r w:rsidRPr="00865110">
        <w:rPr>
          <w:rFonts w:ascii="Arial Narrow" w:hAnsi="Arial Narrow" w:cs="Arial"/>
          <w:color w:val="000000" w:themeColor="text1"/>
          <w:lang w:val="es-ES" w:eastAsia="es-ES"/>
        </w:rPr>
        <w:lastRenderedPageBreak/>
        <w:t>mediante Orden de Compra de Servicios, según corresponda, que suscriban los Miembros y estos con sus Terceros se presume conocida y aceptada por las partes a partir de su publicación y entrada en vigencia y no requerirá de la modificación de tales acuerdos o Convenios de vinculación, Oferta de Servicios Aceptada mediante Orden de Compra de Servicios que suscriban los Miembros, ni de la suscripción de nuevos Convenios. No obstante, cuando haya lugar a ello,</w:t>
      </w:r>
      <w:r w:rsidRPr="00865110">
        <w:rPr>
          <w:rFonts w:ascii="Arial Narrow" w:hAnsi="Arial Narrow" w:cs="Arial"/>
          <w:b/>
          <w:color w:val="000000" w:themeColor="text1"/>
          <w:lang w:val="es-ES_tradnl" w:eastAsia="es-ES"/>
        </w:rPr>
        <w:t xml:space="preserve"> LA CRCC</w:t>
      </w:r>
      <w:r w:rsidRPr="00865110">
        <w:rPr>
          <w:rFonts w:ascii="Arial Narrow" w:hAnsi="Arial Narrow" w:cs="Arial"/>
          <w:color w:val="000000" w:themeColor="text1"/>
          <w:lang w:val="es-ES" w:eastAsia="es-ES"/>
        </w:rPr>
        <w:t xml:space="preserve"> podrá aprobar unos nuevos textos que incorporen las modificaciones pertinentes y publicarlos mediante Circular para efecto de la vinculación de nuevos Miembros, Agentes y Terceros a través de</w:t>
      </w:r>
      <w:r w:rsidRPr="00865110">
        <w:rPr>
          <w:rFonts w:ascii="Arial Narrow" w:hAnsi="Arial Narrow" w:cs="Arial"/>
          <w:b/>
          <w:color w:val="000000" w:themeColor="text1"/>
          <w:lang w:val="es-ES" w:eastAsia="es-ES"/>
        </w:rPr>
        <w:t xml:space="preserve"> </w:t>
      </w:r>
      <w:r w:rsidRPr="00865110">
        <w:rPr>
          <w:rFonts w:ascii="Arial Narrow" w:hAnsi="Arial Narrow" w:cs="Arial"/>
          <w:color w:val="000000" w:themeColor="text1"/>
          <w:lang w:val="es-ES" w:eastAsia="es-ES"/>
        </w:rPr>
        <w:t>los Miembros.</w:t>
      </w:r>
    </w:p>
    <w:p w14:paraId="6CDA258A" w14:textId="77777777" w:rsidR="00865110" w:rsidRPr="00865110" w:rsidRDefault="00865110" w:rsidP="00865110">
      <w:pPr>
        <w:jc w:val="both"/>
        <w:rPr>
          <w:rFonts w:ascii="Arial Narrow" w:hAnsi="Arial Narrow" w:cs="Arial"/>
          <w:b/>
          <w:color w:val="000000" w:themeColor="text1"/>
          <w:u w:val="single"/>
          <w:lang w:val="es-ES" w:eastAsia="es-ES"/>
        </w:rPr>
      </w:pPr>
    </w:p>
    <w:p w14:paraId="07DEFD79" w14:textId="77777777" w:rsidR="00865110" w:rsidRPr="00865110" w:rsidRDefault="00865110" w:rsidP="00865110">
      <w:pPr>
        <w:jc w:val="both"/>
        <w:rPr>
          <w:rFonts w:ascii="Arial Narrow" w:hAnsi="Arial Narrow" w:cs="Arial"/>
          <w:b/>
          <w:color w:val="000000" w:themeColor="text1"/>
          <w:lang w:val="es-ES" w:eastAsia="es-ES"/>
        </w:rPr>
      </w:pPr>
      <w:r w:rsidRPr="00865110">
        <w:rPr>
          <w:rFonts w:ascii="Arial Narrow" w:hAnsi="Arial Narrow" w:cs="Arial"/>
          <w:b/>
          <w:color w:val="000000" w:themeColor="text1"/>
          <w:u w:val="single"/>
          <w:lang w:val="es-ES" w:eastAsia="es-ES"/>
        </w:rPr>
        <w:t>TERCERA. Obligaciones de EL MIEMBRO.</w:t>
      </w:r>
      <w:r w:rsidRPr="00865110">
        <w:rPr>
          <w:rFonts w:ascii="Arial Narrow" w:hAnsi="Arial Narrow" w:cs="Arial"/>
          <w:b/>
          <w:color w:val="000000" w:themeColor="text1"/>
          <w:lang w:val="es-ES" w:eastAsia="es-ES"/>
        </w:rPr>
        <w:t xml:space="preserve"> </w:t>
      </w:r>
      <w:r w:rsidRPr="00865110">
        <w:rPr>
          <w:rFonts w:ascii="Arial Narrow" w:hAnsi="Arial Narrow" w:cs="Arial"/>
          <w:color w:val="000000" w:themeColor="text1"/>
          <w:lang w:val="es-ES" w:eastAsia="es-ES"/>
        </w:rPr>
        <w:t>Sin perjuicio</w:t>
      </w:r>
      <w:r w:rsidRPr="00865110">
        <w:rPr>
          <w:rFonts w:ascii="Arial Narrow" w:hAnsi="Arial Narrow" w:cs="Arial"/>
          <w:b/>
          <w:color w:val="000000" w:themeColor="text1"/>
          <w:lang w:val="es-ES" w:eastAsia="es-ES"/>
        </w:rPr>
        <w:t xml:space="preserve"> </w:t>
      </w:r>
      <w:r w:rsidRPr="00865110">
        <w:rPr>
          <w:rFonts w:ascii="Arial Narrow" w:hAnsi="Arial Narrow" w:cs="Arial"/>
          <w:bCs/>
          <w:color w:val="000000" w:themeColor="text1"/>
          <w:lang w:eastAsia="es-ES"/>
        </w:rPr>
        <w:t xml:space="preserve">de las obligaciones previstas en las demás cláusulas de la presente Oferta, en el </w:t>
      </w:r>
      <w:r w:rsidRPr="00865110">
        <w:rPr>
          <w:rFonts w:ascii="Arial Narrow" w:hAnsi="Arial Narrow" w:cs="Arial"/>
          <w:color w:val="000000" w:themeColor="text1"/>
          <w:lang w:val="es-ES" w:eastAsia="es-ES"/>
        </w:rPr>
        <w:t xml:space="preserve">Reglamento, en las Circulares y en los Instructivos Operativos de </w:t>
      </w:r>
      <w:r w:rsidRPr="00865110">
        <w:rPr>
          <w:rFonts w:ascii="Arial Narrow" w:hAnsi="Arial Narrow" w:cs="Arial"/>
          <w:b/>
          <w:color w:val="000000" w:themeColor="text1"/>
          <w:lang w:val="es-ES" w:eastAsia="es-ES"/>
        </w:rPr>
        <w:t>LA CRCC,</w:t>
      </w:r>
      <w:r w:rsidRPr="00865110">
        <w:rPr>
          <w:rFonts w:ascii="Arial Narrow" w:hAnsi="Arial Narrow" w:cs="Arial"/>
          <w:bCs/>
          <w:color w:val="000000" w:themeColor="text1"/>
          <w:lang w:eastAsia="es-ES"/>
        </w:rPr>
        <w:t xml:space="preserve"> son obligaciones principales de </w:t>
      </w:r>
      <w:r w:rsidRPr="00865110">
        <w:rPr>
          <w:rFonts w:ascii="Arial Narrow" w:hAnsi="Arial Narrow" w:cs="Arial"/>
          <w:b/>
          <w:bCs/>
          <w:color w:val="000000" w:themeColor="text1"/>
          <w:lang w:eastAsia="es-ES"/>
        </w:rPr>
        <w:t xml:space="preserve">EL MIEMBRO, </w:t>
      </w:r>
      <w:r w:rsidRPr="00865110">
        <w:rPr>
          <w:rFonts w:ascii="Arial Narrow" w:hAnsi="Arial Narrow" w:cs="Arial"/>
          <w:bCs/>
          <w:color w:val="000000" w:themeColor="text1"/>
          <w:lang w:eastAsia="es-ES"/>
        </w:rPr>
        <w:t>las siguientes:</w:t>
      </w:r>
      <w:r w:rsidRPr="00865110">
        <w:rPr>
          <w:rFonts w:ascii="Arial Narrow" w:hAnsi="Arial Narrow" w:cs="Arial"/>
          <w:b/>
          <w:color w:val="000000" w:themeColor="text1"/>
          <w:lang w:val="es-ES" w:eastAsia="es-ES"/>
        </w:rPr>
        <w:t xml:space="preserve"> </w:t>
      </w:r>
    </w:p>
    <w:p w14:paraId="10AEB273" w14:textId="77777777" w:rsidR="00865110" w:rsidRPr="00865110" w:rsidRDefault="00865110" w:rsidP="00865110">
      <w:pPr>
        <w:ind w:left="357"/>
        <w:jc w:val="both"/>
        <w:rPr>
          <w:rFonts w:ascii="Arial Narrow" w:hAnsi="Arial Narrow" w:cs="Arial"/>
          <w:b/>
          <w:color w:val="000000" w:themeColor="text1"/>
          <w:lang w:val="es-ES" w:eastAsia="es-ES"/>
        </w:rPr>
      </w:pPr>
    </w:p>
    <w:p w14:paraId="19008EB1" w14:textId="77777777" w:rsidR="00AD466F" w:rsidRDefault="00865110" w:rsidP="00DA7472">
      <w:pPr>
        <w:numPr>
          <w:ilvl w:val="0"/>
          <w:numId w:val="40"/>
        </w:numPr>
        <w:tabs>
          <w:tab w:val="clear" w:pos="360"/>
          <w:tab w:val="num" w:pos="284"/>
        </w:tabs>
        <w:ind w:left="426" w:hanging="283"/>
        <w:jc w:val="both"/>
        <w:rPr>
          <w:rFonts w:ascii="Arial Narrow" w:hAnsi="Arial Narrow" w:cs="Arial"/>
          <w:color w:val="000000" w:themeColor="text1"/>
          <w:lang w:val="es-ES" w:eastAsia="es-ES"/>
        </w:rPr>
      </w:pPr>
      <w:r w:rsidRPr="00865110">
        <w:rPr>
          <w:rFonts w:ascii="Arial Narrow" w:hAnsi="Arial Narrow" w:cs="Arial"/>
          <w:color w:val="000000" w:themeColor="text1"/>
          <w:lang w:val="es-ES" w:eastAsia="es-ES"/>
        </w:rPr>
        <w:t xml:space="preserve">Cumplir y mantener en todo momento los requisitos generales y especiales de admisión como Miembro Liquidador General.  </w:t>
      </w:r>
    </w:p>
    <w:p w14:paraId="456ED685" w14:textId="77777777" w:rsidR="00AD466F" w:rsidRDefault="00AD466F" w:rsidP="00DA7472">
      <w:pPr>
        <w:numPr>
          <w:ilvl w:val="0"/>
          <w:numId w:val="40"/>
        </w:numPr>
        <w:tabs>
          <w:tab w:val="clear" w:pos="360"/>
          <w:tab w:val="num" w:pos="284"/>
        </w:tabs>
        <w:ind w:left="426" w:hanging="283"/>
        <w:jc w:val="both"/>
        <w:rPr>
          <w:rFonts w:ascii="Arial Narrow" w:hAnsi="Arial Narrow" w:cs="Arial"/>
          <w:color w:val="000000" w:themeColor="text1"/>
          <w:lang w:val="es-ES" w:eastAsia="es-ES"/>
        </w:rPr>
      </w:pPr>
      <w:r>
        <w:rPr>
          <w:rFonts w:ascii="Arial Narrow" w:hAnsi="Arial Narrow" w:cs="Arial"/>
          <w:color w:val="000000" w:themeColor="text1"/>
          <w:lang w:val="es-ES" w:eastAsia="es-ES"/>
        </w:rPr>
        <w:t>C</w:t>
      </w:r>
      <w:r w:rsidR="00865110" w:rsidRPr="00AD466F">
        <w:rPr>
          <w:rFonts w:ascii="Arial Narrow" w:hAnsi="Arial Narrow" w:cs="Arial"/>
          <w:color w:val="000000" w:themeColor="text1"/>
          <w:lang w:val="es-ES" w:eastAsia="es-ES"/>
        </w:rPr>
        <w:t xml:space="preserve">umplir y hacer cumplir estrictamente a las personas que autorice para operar en el Sistema, sin restricciones ni reservas, la Ley, las instrucciones de las Autoridades Competentes, el Reglamento, las Circulares e Instructivos Operativos, la presente Oferta de Servicios y todas aquellas decisiones que, en uso de sus atribuciones, adopten la Junta Directiva y/o el Gerente de </w:t>
      </w:r>
      <w:r w:rsidR="00865110" w:rsidRPr="00AD466F">
        <w:rPr>
          <w:rFonts w:ascii="Arial Narrow" w:hAnsi="Arial Narrow" w:cs="Arial"/>
          <w:b/>
          <w:color w:val="000000" w:themeColor="text1"/>
          <w:lang w:val="es-ES" w:eastAsia="es-ES"/>
        </w:rPr>
        <w:t>LA CRCC</w:t>
      </w:r>
      <w:r w:rsidR="00865110" w:rsidRPr="00AD466F">
        <w:rPr>
          <w:rFonts w:ascii="Arial Narrow" w:hAnsi="Arial Narrow" w:cs="Arial"/>
          <w:color w:val="000000" w:themeColor="text1"/>
          <w:lang w:val="es-ES" w:eastAsia="es-ES"/>
        </w:rPr>
        <w:t xml:space="preserve"> para reglamentar su funcionamiento, divulgadas de conformidad con el Reglamento, sin que sirva de excusa o defensa la ignorancia de dichas normas o instrucciones. Lo anterior se extiende a cualquier modificación o adición que cualquier autoridad competente pueda imponer, así como a las modificaciones que </w:t>
      </w:r>
      <w:r w:rsidR="00865110" w:rsidRPr="00AD466F">
        <w:rPr>
          <w:rFonts w:ascii="Arial Narrow" w:hAnsi="Arial Narrow" w:cs="Arial"/>
          <w:b/>
          <w:color w:val="000000" w:themeColor="text1"/>
          <w:lang w:val="es-ES" w:eastAsia="es-ES"/>
        </w:rPr>
        <w:t>LA CRCC</w:t>
      </w:r>
      <w:r w:rsidR="00865110" w:rsidRPr="00AD466F">
        <w:rPr>
          <w:rFonts w:ascii="Arial Narrow" w:hAnsi="Arial Narrow" w:cs="Arial"/>
          <w:color w:val="000000" w:themeColor="text1"/>
          <w:lang w:val="es-ES" w:eastAsia="es-ES"/>
        </w:rPr>
        <w:t xml:space="preserve"> pueda introducir con la autorización de la Superintendencia Financiera de Colombia. </w:t>
      </w:r>
    </w:p>
    <w:p w14:paraId="48288B53" w14:textId="77777777" w:rsidR="00AD466F" w:rsidRDefault="00865110" w:rsidP="00DA7472">
      <w:pPr>
        <w:numPr>
          <w:ilvl w:val="0"/>
          <w:numId w:val="40"/>
        </w:numPr>
        <w:tabs>
          <w:tab w:val="clear" w:pos="360"/>
          <w:tab w:val="num" w:pos="284"/>
        </w:tabs>
        <w:ind w:left="426" w:hanging="283"/>
        <w:jc w:val="both"/>
        <w:rPr>
          <w:rFonts w:ascii="Arial Narrow" w:hAnsi="Arial Narrow" w:cs="Arial"/>
          <w:color w:val="000000" w:themeColor="text1"/>
          <w:lang w:val="es-ES" w:eastAsia="es-ES"/>
        </w:rPr>
      </w:pPr>
      <w:r w:rsidRPr="00AD466F">
        <w:rPr>
          <w:rFonts w:ascii="Arial Narrow" w:hAnsi="Arial Narrow" w:cs="Arial"/>
          <w:color w:val="000000" w:themeColor="text1"/>
          <w:lang w:val="es-ES" w:eastAsia="es-ES"/>
        </w:rPr>
        <w:t>Responder por el cumplimiento de las operaciones que se registren en el Sistema.</w:t>
      </w:r>
    </w:p>
    <w:p w14:paraId="5675D547" w14:textId="77777777" w:rsidR="00AD466F" w:rsidRDefault="00865110" w:rsidP="00DA7472">
      <w:pPr>
        <w:numPr>
          <w:ilvl w:val="0"/>
          <w:numId w:val="40"/>
        </w:numPr>
        <w:tabs>
          <w:tab w:val="clear" w:pos="360"/>
          <w:tab w:val="num" w:pos="284"/>
        </w:tabs>
        <w:ind w:left="426" w:hanging="283"/>
        <w:jc w:val="both"/>
        <w:rPr>
          <w:rFonts w:ascii="Arial Narrow" w:hAnsi="Arial Narrow" w:cs="Arial"/>
          <w:color w:val="000000" w:themeColor="text1"/>
          <w:lang w:val="es-ES" w:eastAsia="es-ES"/>
        </w:rPr>
      </w:pPr>
      <w:r w:rsidRPr="00AD466F">
        <w:rPr>
          <w:rFonts w:ascii="Arial Narrow" w:hAnsi="Arial Narrow" w:cs="Arial"/>
          <w:color w:val="000000" w:themeColor="text1"/>
          <w:lang w:val="es-ES" w:eastAsia="es-ES"/>
        </w:rPr>
        <w:t>Responder por el uso que sus operadores, funcionarios o cualquier persona bajo su dependencia, hagan del Sistema</w:t>
      </w:r>
      <w:r w:rsidRPr="00AD466F">
        <w:rPr>
          <w:rFonts w:ascii="Arial Narrow" w:hAnsi="Arial Narrow" w:cs="Arial"/>
          <w:bCs/>
          <w:color w:val="000000" w:themeColor="text1"/>
          <w:lang w:val="es-ES" w:eastAsia="es-ES"/>
        </w:rPr>
        <w:t>.</w:t>
      </w:r>
      <w:r w:rsidRPr="00AD466F">
        <w:rPr>
          <w:rFonts w:ascii="Arial Narrow" w:hAnsi="Arial Narrow" w:cs="Arial"/>
          <w:color w:val="000000" w:themeColor="text1"/>
          <w:lang w:val="es-ES" w:eastAsia="es-ES"/>
        </w:rPr>
        <w:t xml:space="preserve"> </w:t>
      </w:r>
    </w:p>
    <w:p w14:paraId="0183F4BD" w14:textId="77777777" w:rsidR="00AD466F" w:rsidRDefault="00865110" w:rsidP="00DA7472">
      <w:pPr>
        <w:numPr>
          <w:ilvl w:val="0"/>
          <w:numId w:val="40"/>
        </w:numPr>
        <w:tabs>
          <w:tab w:val="clear" w:pos="360"/>
          <w:tab w:val="num" w:pos="284"/>
        </w:tabs>
        <w:ind w:left="426" w:hanging="283"/>
        <w:jc w:val="both"/>
        <w:rPr>
          <w:rFonts w:ascii="Arial Narrow" w:hAnsi="Arial Narrow" w:cs="Arial"/>
          <w:color w:val="000000" w:themeColor="text1"/>
          <w:lang w:val="es-ES" w:eastAsia="es-ES"/>
        </w:rPr>
      </w:pPr>
      <w:r w:rsidRPr="00AD466F">
        <w:rPr>
          <w:rFonts w:ascii="Arial Narrow" w:hAnsi="Arial Narrow" w:cs="Arial"/>
          <w:color w:val="000000" w:themeColor="text1"/>
          <w:lang w:val="es-ES" w:eastAsia="es-ES"/>
        </w:rPr>
        <w:t xml:space="preserve">Informar inmediatamente y por escrito a </w:t>
      </w:r>
      <w:r w:rsidRPr="00AD466F">
        <w:rPr>
          <w:rFonts w:ascii="Arial Narrow" w:hAnsi="Arial Narrow" w:cs="Arial"/>
          <w:b/>
          <w:color w:val="000000" w:themeColor="text1"/>
          <w:lang w:val="es-ES" w:eastAsia="es-ES"/>
        </w:rPr>
        <w:t>LA CRCC</w:t>
      </w:r>
      <w:r w:rsidRPr="00AD466F">
        <w:rPr>
          <w:rFonts w:ascii="Arial Narrow" w:hAnsi="Arial Narrow" w:cs="Arial"/>
          <w:color w:val="000000" w:themeColor="text1"/>
          <w:lang w:val="es-ES" w:eastAsia="es-ES"/>
        </w:rPr>
        <w:t xml:space="preserve"> </w:t>
      </w:r>
      <w:r w:rsidRPr="00AD466F">
        <w:rPr>
          <w:rFonts w:ascii="Arial Narrow" w:hAnsi="Arial Narrow" w:cs="Arial"/>
          <w:color w:val="000000" w:themeColor="text1"/>
          <w:lang w:eastAsia="es-ES"/>
        </w:rPr>
        <w:t xml:space="preserve">sobre las reformas estatutarias adoptadas por </w:t>
      </w:r>
      <w:r w:rsidRPr="00AD466F">
        <w:rPr>
          <w:rFonts w:ascii="Arial Narrow" w:hAnsi="Arial Narrow" w:cs="Arial"/>
          <w:b/>
          <w:color w:val="000000" w:themeColor="text1"/>
          <w:lang w:eastAsia="es-ES"/>
        </w:rPr>
        <w:t>EL MIEMBRO.</w:t>
      </w:r>
    </w:p>
    <w:p w14:paraId="3E50B85F" w14:textId="77777777" w:rsidR="00AD466F" w:rsidRDefault="00865110" w:rsidP="00DA7472">
      <w:pPr>
        <w:numPr>
          <w:ilvl w:val="0"/>
          <w:numId w:val="40"/>
        </w:numPr>
        <w:tabs>
          <w:tab w:val="clear" w:pos="360"/>
          <w:tab w:val="num" w:pos="284"/>
        </w:tabs>
        <w:ind w:left="426" w:hanging="283"/>
        <w:jc w:val="both"/>
        <w:rPr>
          <w:rFonts w:ascii="Arial Narrow" w:hAnsi="Arial Narrow" w:cs="Arial"/>
          <w:color w:val="000000" w:themeColor="text1"/>
          <w:lang w:val="es-ES" w:eastAsia="es-ES"/>
        </w:rPr>
      </w:pPr>
      <w:r w:rsidRPr="00AD466F">
        <w:rPr>
          <w:rFonts w:ascii="Arial Narrow" w:hAnsi="Arial Narrow" w:cs="Arial"/>
          <w:color w:val="000000" w:themeColor="text1"/>
          <w:lang w:val="es-ES" w:eastAsia="es-ES"/>
        </w:rPr>
        <w:t xml:space="preserve">Informar inmediatamente y por escrito a </w:t>
      </w:r>
      <w:r w:rsidRPr="00AD466F">
        <w:rPr>
          <w:rFonts w:ascii="Arial Narrow" w:hAnsi="Arial Narrow" w:cs="Arial"/>
          <w:b/>
          <w:color w:val="000000" w:themeColor="text1"/>
          <w:lang w:val="es-ES" w:eastAsia="es-ES"/>
        </w:rPr>
        <w:t>LA CRCC</w:t>
      </w:r>
      <w:r w:rsidRPr="00AD466F">
        <w:rPr>
          <w:rFonts w:ascii="Arial Narrow" w:hAnsi="Arial Narrow" w:cs="Arial"/>
          <w:color w:val="000000" w:themeColor="text1"/>
          <w:lang w:val="es-ES" w:eastAsia="es-ES"/>
        </w:rPr>
        <w:t xml:space="preserve"> </w:t>
      </w:r>
      <w:r w:rsidRPr="00AD466F">
        <w:rPr>
          <w:rFonts w:ascii="Arial Narrow" w:hAnsi="Arial Narrow" w:cs="Arial"/>
          <w:color w:val="000000" w:themeColor="text1"/>
          <w:lang w:eastAsia="es-ES"/>
        </w:rPr>
        <w:t xml:space="preserve">sobre las reclamaciones que afecten sus pólizas de riesgos financieros, así como sobre </w:t>
      </w:r>
      <w:r w:rsidRPr="00AD466F">
        <w:rPr>
          <w:rFonts w:ascii="Arial Narrow" w:hAnsi="Arial Narrow" w:cs="Arial"/>
          <w:color w:val="000000" w:themeColor="text1"/>
          <w:lang w:val="es-ES" w:eastAsia="es-ES"/>
        </w:rPr>
        <w:t xml:space="preserve">cualquier modificación sustancial de su situación financiera y, especialmente, las que afecten los requisitos exigidos para su admisión como Miembro Liquidador General. </w:t>
      </w:r>
    </w:p>
    <w:p w14:paraId="39BDF9D1" w14:textId="77777777" w:rsidR="00AD466F" w:rsidRDefault="00865110" w:rsidP="00DA7472">
      <w:pPr>
        <w:numPr>
          <w:ilvl w:val="0"/>
          <w:numId w:val="40"/>
        </w:numPr>
        <w:tabs>
          <w:tab w:val="clear" w:pos="360"/>
          <w:tab w:val="num" w:pos="284"/>
        </w:tabs>
        <w:ind w:left="426" w:hanging="283"/>
        <w:jc w:val="both"/>
        <w:rPr>
          <w:rFonts w:ascii="Arial Narrow" w:hAnsi="Arial Narrow" w:cs="Arial"/>
          <w:color w:val="000000" w:themeColor="text1"/>
          <w:lang w:val="es-ES" w:eastAsia="es-ES"/>
        </w:rPr>
      </w:pPr>
      <w:r w:rsidRPr="00AD466F">
        <w:rPr>
          <w:rFonts w:ascii="Arial Narrow" w:hAnsi="Arial Narrow" w:cs="Arial"/>
          <w:color w:val="000000" w:themeColor="text1"/>
          <w:lang w:val="es-ES" w:eastAsia="es-ES"/>
        </w:rPr>
        <w:t xml:space="preserve">Comunicar a </w:t>
      </w:r>
      <w:r w:rsidRPr="00AD466F">
        <w:rPr>
          <w:rFonts w:ascii="Arial Narrow" w:hAnsi="Arial Narrow" w:cs="Arial"/>
          <w:b/>
          <w:color w:val="000000" w:themeColor="text1"/>
          <w:lang w:val="es-ES" w:eastAsia="es-ES"/>
        </w:rPr>
        <w:t xml:space="preserve">LA CRCC, </w:t>
      </w:r>
      <w:r w:rsidRPr="00AD466F">
        <w:rPr>
          <w:rFonts w:ascii="Arial Narrow" w:hAnsi="Arial Narrow" w:cs="Arial"/>
          <w:color w:val="000000" w:themeColor="text1"/>
          <w:lang w:val="es-ES" w:eastAsia="es-ES"/>
        </w:rPr>
        <w:t>en el término establecido para el efecto, la información que ésta requiera en virtud de solicitudes de Autoridades Competentes o para la salvaguardia del interés general del mercado, sobre las Operaciones Aceptadas celebradas por cuenta propia, por cuenta de Terceros, por cuenta de los Miembros no Liquidadores y de los Terceros de éstos.</w:t>
      </w:r>
    </w:p>
    <w:p w14:paraId="48259C0B" w14:textId="77777777" w:rsidR="00AD466F" w:rsidRDefault="00865110" w:rsidP="00DA7472">
      <w:pPr>
        <w:numPr>
          <w:ilvl w:val="0"/>
          <w:numId w:val="40"/>
        </w:numPr>
        <w:tabs>
          <w:tab w:val="clear" w:pos="360"/>
          <w:tab w:val="num" w:pos="284"/>
        </w:tabs>
        <w:ind w:left="426" w:hanging="283"/>
        <w:jc w:val="both"/>
        <w:rPr>
          <w:rFonts w:ascii="Arial Narrow" w:hAnsi="Arial Narrow" w:cs="Arial"/>
          <w:color w:val="000000" w:themeColor="text1"/>
          <w:lang w:val="es-ES" w:eastAsia="es-ES"/>
        </w:rPr>
      </w:pPr>
      <w:r w:rsidRPr="00AD466F">
        <w:rPr>
          <w:rFonts w:ascii="Arial Narrow" w:hAnsi="Arial Narrow" w:cs="Arial"/>
          <w:color w:val="000000" w:themeColor="text1"/>
          <w:lang w:val="es-ES" w:eastAsia="es-ES"/>
        </w:rPr>
        <w:t>Suministrar una Información Mínima a cada uno de sus Terceros, Identificados y no Identificados, a través de un medio verificable, de conformidad con lo establecido en el Reglamento y en la Circular.</w:t>
      </w:r>
    </w:p>
    <w:p w14:paraId="65E03905" w14:textId="77777777" w:rsidR="00865110" w:rsidRPr="00AD466F" w:rsidRDefault="00865110" w:rsidP="00DA7472">
      <w:pPr>
        <w:numPr>
          <w:ilvl w:val="0"/>
          <w:numId w:val="40"/>
        </w:numPr>
        <w:tabs>
          <w:tab w:val="clear" w:pos="360"/>
          <w:tab w:val="num" w:pos="284"/>
        </w:tabs>
        <w:ind w:left="426" w:hanging="283"/>
        <w:jc w:val="both"/>
        <w:rPr>
          <w:rFonts w:ascii="Arial Narrow" w:hAnsi="Arial Narrow" w:cs="Arial"/>
          <w:color w:val="000000" w:themeColor="text1"/>
          <w:lang w:val="es-ES" w:eastAsia="es-ES"/>
        </w:rPr>
      </w:pPr>
      <w:r w:rsidRPr="00AD466F">
        <w:rPr>
          <w:rFonts w:ascii="Arial Narrow" w:hAnsi="Arial Narrow" w:cs="Arial"/>
          <w:color w:val="000000" w:themeColor="text1"/>
          <w:lang w:eastAsia="es-ES"/>
        </w:rPr>
        <w:t xml:space="preserve">Mantener, en todo momento, a disposición de </w:t>
      </w:r>
      <w:r w:rsidRPr="00AD466F">
        <w:rPr>
          <w:rFonts w:ascii="Arial Narrow" w:hAnsi="Arial Narrow" w:cs="Arial"/>
          <w:b/>
          <w:bCs/>
          <w:color w:val="000000" w:themeColor="text1"/>
          <w:lang w:eastAsia="es-ES"/>
        </w:rPr>
        <w:t>LA CRCC</w:t>
      </w:r>
      <w:r w:rsidRPr="00AD466F">
        <w:rPr>
          <w:rFonts w:ascii="Arial Narrow" w:hAnsi="Arial Narrow" w:cs="Arial"/>
          <w:color w:val="000000" w:themeColor="text1"/>
          <w:lang w:eastAsia="es-ES"/>
        </w:rPr>
        <w:t xml:space="preserve"> una copia </w:t>
      </w:r>
      <w:r w:rsidRPr="00AD466F">
        <w:rPr>
          <w:rFonts w:ascii="Arial Narrow" w:hAnsi="Arial Narrow" w:cs="Arial"/>
          <w:bCs/>
          <w:lang w:val="es-ES" w:eastAsia="es-ES"/>
        </w:rPr>
        <w:t>del suministro de la información mínima proporcionada al Tercero.</w:t>
      </w:r>
    </w:p>
    <w:p w14:paraId="65F86BA7" w14:textId="77777777" w:rsidR="00865110" w:rsidRPr="00865110" w:rsidRDefault="00865110" w:rsidP="00DA7472">
      <w:pPr>
        <w:numPr>
          <w:ilvl w:val="0"/>
          <w:numId w:val="40"/>
        </w:numPr>
        <w:ind w:left="567" w:hanging="425"/>
        <w:jc w:val="both"/>
        <w:rPr>
          <w:rFonts w:ascii="Arial Narrow" w:hAnsi="Arial Narrow" w:cs="Arial"/>
          <w:color w:val="000000" w:themeColor="text1"/>
          <w:lang w:val="es-ES" w:eastAsia="es-ES"/>
        </w:rPr>
      </w:pPr>
      <w:r w:rsidRPr="00865110">
        <w:rPr>
          <w:rFonts w:ascii="Arial Narrow" w:hAnsi="Arial Narrow" w:cs="Arial"/>
          <w:color w:val="000000" w:themeColor="text1"/>
          <w:lang w:val="es-ES" w:eastAsia="es-ES"/>
        </w:rPr>
        <w:t xml:space="preserve">Celebrar un Convenio con sus Miembros no Liquidadores, según el modelo establecido por </w:t>
      </w:r>
      <w:r w:rsidRPr="00865110">
        <w:rPr>
          <w:rFonts w:ascii="Arial Narrow" w:hAnsi="Arial Narrow" w:cs="Arial"/>
          <w:b/>
          <w:color w:val="000000" w:themeColor="text1"/>
          <w:lang w:val="es-ES" w:eastAsia="es-ES"/>
        </w:rPr>
        <w:t>LA CRCC</w:t>
      </w:r>
      <w:r w:rsidRPr="00865110">
        <w:rPr>
          <w:rFonts w:ascii="Arial Narrow" w:hAnsi="Arial Narrow" w:cs="Arial"/>
          <w:color w:val="000000" w:themeColor="text1"/>
          <w:lang w:val="es-ES" w:eastAsia="es-ES"/>
        </w:rPr>
        <w:t>, el cual deberá incluir las condiciones mínimas establecidas en el Reglamento.</w:t>
      </w:r>
    </w:p>
    <w:p w14:paraId="0646C2A8" w14:textId="77777777" w:rsidR="00865110" w:rsidRPr="00865110" w:rsidRDefault="00865110" w:rsidP="00DA7472">
      <w:pPr>
        <w:numPr>
          <w:ilvl w:val="0"/>
          <w:numId w:val="40"/>
        </w:numPr>
        <w:ind w:left="567" w:hanging="425"/>
        <w:jc w:val="both"/>
        <w:rPr>
          <w:rFonts w:ascii="Arial Narrow" w:hAnsi="Arial Narrow" w:cs="Arial"/>
          <w:color w:val="000000" w:themeColor="text1"/>
          <w:lang w:eastAsia="es-ES"/>
        </w:rPr>
      </w:pPr>
      <w:r w:rsidRPr="00865110">
        <w:rPr>
          <w:rFonts w:ascii="Arial Narrow" w:hAnsi="Arial Narrow" w:cs="Arial"/>
          <w:color w:val="000000" w:themeColor="text1"/>
          <w:lang w:val="es-ES" w:eastAsia="es-ES"/>
        </w:rPr>
        <w:t xml:space="preserve">Informar a </w:t>
      </w:r>
      <w:r w:rsidRPr="00865110">
        <w:rPr>
          <w:rFonts w:ascii="Arial Narrow" w:hAnsi="Arial Narrow" w:cs="Arial"/>
          <w:b/>
          <w:color w:val="000000" w:themeColor="text1"/>
          <w:lang w:val="es-ES" w:eastAsia="es-ES"/>
        </w:rPr>
        <w:t>LA CRCC</w:t>
      </w:r>
      <w:r w:rsidRPr="00865110">
        <w:rPr>
          <w:rFonts w:ascii="Arial Narrow" w:hAnsi="Arial Narrow" w:cs="Arial"/>
          <w:color w:val="000000" w:themeColor="text1"/>
          <w:lang w:val="es-ES" w:eastAsia="es-ES"/>
        </w:rPr>
        <w:t xml:space="preserve"> sobre los Convenios que suscriba o termine con cualquier Miembro No Liquidador.  </w:t>
      </w:r>
    </w:p>
    <w:p w14:paraId="63A66A77" w14:textId="77777777" w:rsidR="00865110" w:rsidRPr="00865110" w:rsidRDefault="00865110" w:rsidP="00DA7472">
      <w:pPr>
        <w:numPr>
          <w:ilvl w:val="0"/>
          <w:numId w:val="40"/>
        </w:numPr>
        <w:ind w:left="567" w:hanging="425"/>
        <w:jc w:val="both"/>
        <w:rPr>
          <w:rFonts w:ascii="Arial Narrow" w:hAnsi="Arial Narrow" w:cs="Arial"/>
          <w:color w:val="000000" w:themeColor="text1"/>
          <w:lang w:eastAsia="es-ES"/>
        </w:rPr>
      </w:pPr>
      <w:r w:rsidRPr="00865110">
        <w:rPr>
          <w:rFonts w:ascii="Arial Narrow" w:hAnsi="Arial Narrow" w:cs="Arial"/>
          <w:color w:val="000000" w:themeColor="text1"/>
          <w:lang w:val="es-ES" w:eastAsia="es-ES"/>
        </w:rPr>
        <w:lastRenderedPageBreak/>
        <w:t xml:space="preserve">Entregar a </w:t>
      </w:r>
      <w:r w:rsidRPr="00865110">
        <w:rPr>
          <w:rFonts w:ascii="Arial Narrow" w:hAnsi="Arial Narrow" w:cs="Arial"/>
          <w:b/>
          <w:color w:val="000000" w:themeColor="text1"/>
          <w:lang w:val="es-ES" w:eastAsia="es-ES"/>
        </w:rPr>
        <w:t>LA CRCC,</w:t>
      </w:r>
      <w:r w:rsidRPr="00865110">
        <w:rPr>
          <w:rFonts w:ascii="Arial Narrow" w:hAnsi="Arial Narrow" w:cs="Arial"/>
          <w:color w:val="000000" w:themeColor="text1"/>
          <w:lang w:val="es-ES" w:eastAsia="es-ES"/>
        </w:rPr>
        <w:t xml:space="preserve"> o a las Autoridades Competentes directamente, la información que se le solicite sobre sus Terceros, Miembros no Liquidadores y los Terceros de éstos</w:t>
      </w:r>
      <w:r w:rsidRPr="00865110">
        <w:rPr>
          <w:rFonts w:ascii="Arial Narrow" w:hAnsi="Arial Narrow" w:cs="Arial"/>
          <w:b/>
          <w:color w:val="000000" w:themeColor="text1"/>
          <w:lang w:val="es-ES" w:eastAsia="es-ES"/>
        </w:rPr>
        <w:t xml:space="preserve">, </w:t>
      </w:r>
      <w:r w:rsidRPr="00865110">
        <w:rPr>
          <w:rFonts w:ascii="Arial Narrow" w:hAnsi="Arial Narrow" w:cs="Arial"/>
          <w:color w:val="000000" w:themeColor="text1"/>
          <w:lang w:val="es-ES" w:eastAsia="es-ES"/>
        </w:rPr>
        <w:t xml:space="preserve">para la atención de requerimientos que las Autoridades Competentes le hagan a </w:t>
      </w:r>
      <w:r w:rsidRPr="00865110">
        <w:rPr>
          <w:rFonts w:ascii="Arial Narrow" w:hAnsi="Arial Narrow" w:cs="Arial"/>
          <w:b/>
          <w:color w:val="000000" w:themeColor="text1"/>
          <w:lang w:val="es-ES" w:eastAsia="es-ES"/>
        </w:rPr>
        <w:t>LA CRCC</w:t>
      </w:r>
      <w:r w:rsidRPr="00865110">
        <w:rPr>
          <w:rFonts w:ascii="Arial Narrow" w:hAnsi="Arial Narrow" w:cs="Arial"/>
          <w:color w:val="000000" w:themeColor="text1"/>
          <w:lang w:val="es-ES" w:eastAsia="es-ES"/>
        </w:rPr>
        <w:t>.</w:t>
      </w:r>
    </w:p>
    <w:p w14:paraId="024F435B" w14:textId="77777777" w:rsidR="00865110" w:rsidRPr="00865110" w:rsidRDefault="00865110" w:rsidP="00DA7472">
      <w:pPr>
        <w:numPr>
          <w:ilvl w:val="0"/>
          <w:numId w:val="40"/>
        </w:numPr>
        <w:ind w:left="567" w:hanging="425"/>
        <w:jc w:val="both"/>
        <w:rPr>
          <w:rFonts w:ascii="Arial Narrow" w:hAnsi="Arial Narrow" w:cs="Arial"/>
          <w:color w:val="000000" w:themeColor="text1"/>
          <w:lang w:val="es-ES" w:eastAsia="es-ES"/>
        </w:rPr>
      </w:pPr>
      <w:r w:rsidRPr="00865110">
        <w:rPr>
          <w:rFonts w:ascii="Arial Narrow" w:hAnsi="Arial Narrow" w:cs="Arial"/>
          <w:color w:val="000000" w:themeColor="text1"/>
          <w:lang w:val="es-ES" w:eastAsia="es-ES"/>
        </w:rPr>
        <w:t xml:space="preserve">Entregar el dinero efectivo o los Activos, según se trate, correspondientes a las Operaciones Aceptadas que realice por cuenta propia, por cuenta de Terceros, por cuenta de los Miembros no Liquidadores y de los Terceros de éstos. </w:t>
      </w:r>
    </w:p>
    <w:p w14:paraId="35D7B1A8" w14:textId="77777777" w:rsidR="00865110" w:rsidRPr="00865110" w:rsidRDefault="00865110" w:rsidP="00DA7472">
      <w:pPr>
        <w:numPr>
          <w:ilvl w:val="0"/>
          <w:numId w:val="40"/>
        </w:numPr>
        <w:ind w:left="567" w:hanging="425"/>
        <w:jc w:val="both"/>
        <w:rPr>
          <w:rFonts w:ascii="Arial Narrow" w:hAnsi="Arial Narrow" w:cs="Arial"/>
          <w:color w:val="000000" w:themeColor="text1"/>
          <w:lang w:val="es-ES" w:eastAsia="es-ES"/>
        </w:rPr>
      </w:pPr>
      <w:r w:rsidRPr="00865110">
        <w:rPr>
          <w:rFonts w:ascii="Arial Narrow" w:hAnsi="Arial Narrow" w:cs="Arial"/>
          <w:color w:val="000000" w:themeColor="text1"/>
          <w:lang w:val="es-ES" w:eastAsia="es-ES"/>
        </w:rPr>
        <w:t xml:space="preserve">Constituir y mantener, con los ajustes procedentes, las Garantías y a constituir mantener y reponer las Garantías a través de aportaciones al Fondo de Garantía Colectiva, las Contribuciones obligatorias para la continuidad del servicio del Segmento o Segmentos en que participe y los demás fondos que exija </w:t>
      </w:r>
      <w:r w:rsidRPr="00865110">
        <w:rPr>
          <w:rFonts w:ascii="Arial Narrow" w:hAnsi="Arial Narrow" w:cs="Arial"/>
          <w:b/>
          <w:color w:val="000000" w:themeColor="text1"/>
          <w:lang w:val="es-ES" w:eastAsia="es-ES"/>
        </w:rPr>
        <w:t>LA CRCC,</w:t>
      </w:r>
      <w:r w:rsidRPr="00865110">
        <w:rPr>
          <w:rFonts w:ascii="Arial Narrow" w:hAnsi="Arial Narrow" w:cs="Arial"/>
          <w:color w:val="000000" w:themeColor="text1"/>
          <w:lang w:val="es-ES" w:eastAsia="es-ES"/>
        </w:rPr>
        <w:t xml:space="preserve"> con el fin de amparar en todo momento el cumplimiento de sus obligaciones. </w:t>
      </w:r>
    </w:p>
    <w:p w14:paraId="2EC74B55" w14:textId="77777777" w:rsidR="00865110" w:rsidRPr="00865110" w:rsidRDefault="00865110" w:rsidP="00DA7472">
      <w:pPr>
        <w:numPr>
          <w:ilvl w:val="0"/>
          <w:numId w:val="40"/>
        </w:numPr>
        <w:ind w:left="567" w:hanging="425"/>
        <w:jc w:val="both"/>
        <w:rPr>
          <w:rFonts w:ascii="Arial Narrow" w:hAnsi="Arial Narrow" w:cs="Arial"/>
          <w:color w:val="000000" w:themeColor="text1"/>
          <w:lang w:val="es-ES" w:eastAsia="es-ES"/>
        </w:rPr>
      </w:pPr>
      <w:r w:rsidRPr="00865110">
        <w:rPr>
          <w:rFonts w:ascii="Arial Narrow" w:hAnsi="Arial Narrow" w:cs="Arial"/>
          <w:color w:val="000000" w:themeColor="text1"/>
          <w:lang w:val="es-ES" w:eastAsia="es-ES"/>
        </w:rPr>
        <w:t xml:space="preserve">Obtener de sus Terceros, de sus Miembros no Liquidadores o de los Terceros de éstos, las Garantías que corresponda, con las particularidades que se establezcan por Circular para cada Segmento y entregar dichas Garantías a </w:t>
      </w:r>
      <w:r w:rsidRPr="00865110">
        <w:rPr>
          <w:rFonts w:ascii="Arial Narrow" w:hAnsi="Arial Narrow" w:cs="Arial"/>
          <w:b/>
          <w:color w:val="000000" w:themeColor="text1"/>
          <w:lang w:val="es-ES" w:eastAsia="es-ES"/>
        </w:rPr>
        <w:t>LA CRCC</w:t>
      </w:r>
      <w:r w:rsidRPr="00865110">
        <w:rPr>
          <w:rFonts w:ascii="Arial Narrow" w:hAnsi="Arial Narrow" w:cs="Arial"/>
          <w:color w:val="000000" w:themeColor="text1"/>
          <w:lang w:val="es-ES" w:eastAsia="es-ES"/>
        </w:rPr>
        <w:t xml:space="preserve">, en los términos establecidos en el Reglamento. </w:t>
      </w:r>
    </w:p>
    <w:p w14:paraId="2EA1C96E" w14:textId="77777777" w:rsidR="00865110" w:rsidRPr="00865110" w:rsidRDefault="00865110" w:rsidP="00DA7472">
      <w:pPr>
        <w:numPr>
          <w:ilvl w:val="0"/>
          <w:numId w:val="40"/>
        </w:numPr>
        <w:ind w:left="567" w:hanging="425"/>
        <w:jc w:val="both"/>
        <w:rPr>
          <w:rFonts w:ascii="Arial Narrow" w:hAnsi="Arial Narrow" w:cs="Arial"/>
          <w:color w:val="000000" w:themeColor="text1"/>
          <w:lang w:eastAsia="es-ES"/>
        </w:rPr>
      </w:pPr>
      <w:r w:rsidRPr="00865110">
        <w:rPr>
          <w:rFonts w:ascii="Arial Narrow" w:hAnsi="Arial Narrow" w:cs="Arial"/>
          <w:color w:val="000000" w:themeColor="text1"/>
          <w:lang w:eastAsia="es-ES"/>
        </w:rPr>
        <w:t>Responder de forma oportuna y en los plazos establecidos para el efecto, por el cumplimiento y/o pago</w:t>
      </w:r>
      <w:r w:rsidRPr="00865110">
        <w:rPr>
          <w:rFonts w:ascii="Arial Narrow" w:hAnsi="Arial Narrow" w:cs="Arial"/>
          <w:b/>
          <w:color w:val="000000" w:themeColor="text1"/>
          <w:lang w:eastAsia="es-ES"/>
        </w:rPr>
        <w:t xml:space="preserve"> </w:t>
      </w:r>
      <w:r w:rsidRPr="00865110">
        <w:rPr>
          <w:rFonts w:ascii="Arial Narrow" w:hAnsi="Arial Narrow" w:cs="Arial"/>
          <w:color w:val="000000" w:themeColor="text1"/>
          <w:lang w:eastAsia="es-ES"/>
        </w:rPr>
        <w:t xml:space="preserve">de todas las obligaciones y sumas inherentes </w:t>
      </w:r>
      <w:r w:rsidRPr="00865110">
        <w:rPr>
          <w:rFonts w:ascii="Arial Narrow" w:hAnsi="Arial Narrow" w:cs="Arial"/>
          <w:color w:val="000000" w:themeColor="text1"/>
          <w:lang w:val="es-ES" w:eastAsia="es-ES"/>
        </w:rPr>
        <w:t>a las Operaciones</w:t>
      </w:r>
      <w:r w:rsidRPr="00865110">
        <w:rPr>
          <w:rFonts w:ascii="Arial Narrow" w:hAnsi="Arial Narrow" w:cs="Arial"/>
          <w:i/>
          <w:color w:val="000000" w:themeColor="text1"/>
          <w:lang w:val="es-ES" w:eastAsia="es-ES"/>
        </w:rPr>
        <w:t xml:space="preserve"> </w:t>
      </w:r>
      <w:r w:rsidRPr="00865110">
        <w:rPr>
          <w:rFonts w:ascii="Arial Narrow" w:hAnsi="Arial Narrow" w:cs="Arial"/>
          <w:color w:val="000000" w:themeColor="text1"/>
          <w:lang w:val="es-ES" w:eastAsia="es-ES"/>
        </w:rPr>
        <w:t xml:space="preserve">Aceptadas por </w:t>
      </w:r>
      <w:r w:rsidRPr="00865110">
        <w:rPr>
          <w:rFonts w:ascii="Arial Narrow" w:hAnsi="Arial Narrow" w:cs="Arial"/>
          <w:b/>
          <w:color w:val="000000" w:themeColor="text1"/>
          <w:lang w:val="es-ES" w:eastAsia="es-ES"/>
        </w:rPr>
        <w:t>LA CRCC,</w:t>
      </w:r>
      <w:r w:rsidRPr="00865110">
        <w:rPr>
          <w:rFonts w:ascii="Arial Narrow" w:hAnsi="Arial Narrow" w:cs="Arial"/>
          <w:color w:val="000000" w:themeColor="text1"/>
          <w:lang w:val="es-ES" w:eastAsia="es-ES"/>
        </w:rPr>
        <w:t xml:space="preserve"> ya sean por cuenta propia, por cuenta de Terceros, de sus Miembros no Liquidadores o de los Terceros de éstos.  </w:t>
      </w:r>
    </w:p>
    <w:p w14:paraId="0FB95ABA" w14:textId="77777777" w:rsidR="00865110" w:rsidRPr="00865110" w:rsidRDefault="00865110" w:rsidP="00DA7472">
      <w:pPr>
        <w:numPr>
          <w:ilvl w:val="0"/>
          <w:numId w:val="40"/>
        </w:numPr>
        <w:ind w:left="567" w:hanging="425"/>
        <w:jc w:val="both"/>
        <w:rPr>
          <w:rFonts w:ascii="Arial Narrow" w:hAnsi="Arial Narrow" w:cs="Arial"/>
          <w:color w:val="000000" w:themeColor="text1"/>
          <w:lang w:val="es-ES" w:eastAsia="es-ES"/>
        </w:rPr>
      </w:pPr>
      <w:r w:rsidRPr="00865110">
        <w:rPr>
          <w:rFonts w:ascii="Arial Narrow" w:hAnsi="Arial Narrow" w:cs="Arial"/>
          <w:color w:val="000000" w:themeColor="text1"/>
          <w:lang w:val="es-ES" w:eastAsia="es-ES"/>
        </w:rPr>
        <w:t xml:space="preserve">Mantener la cuenta de depósito de la que es titular directo en el Banco de la República o a través de un Agente de Pago, para la realización de los cobros y pagos relativos a las liquidaciones de las Operaciones Aceptadas. </w:t>
      </w:r>
    </w:p>
    <w:p w14:paraId="54DA5C46" w14:textId="77777777" w:rsidR="00865110" w:rsidRPr="00865110" w:rsidRDefault="00865110" w:rsidP="00DA7472">
      <w:pPr>
        <w:numPr>
          <w:ilvl w:val="0"/>
          <w:numId w:val="40"/>
        </w:numPr>
        <w:ind w:left="567" w:hanging="425"/>
        <w:jc w:val="both"/>
        <w:rPr>
          <w:rFonts w:ascii="Arial Narrow" w:hAnsi="Arial Narrow" w:cs="Arial"/>
          <w:color w:val="000000" w:themeColor="text1"/>
          <w:lang w:val="es-ES" w:eastAsia="es-ES"/>
        </w:rPr>
      </w:pPr>
      <w:r w:rsidRPr="00865110">
        <w:rPr>
          <w:rFonts w:ascii="Arial Narrow" w:hAnsi="Arial Narrow" w:cs="Arial"/>
          <w:color w:val="000000" w:themeColor="text1"/>
          <w:lang w:eastAsia="es-ES"/>
        </w:rPr>
        <w:t>Mantener</w:t>
      </w:r>
      <w:r w:rsidRPr="00865110">
        <w:rPr>
          <w:rFonts w:ascii="Arial Narrow" w:hAnsi="Arial Narrow" w:cs="Arial"/>
          <w:color w:val="000000" w:themeColor="text1"/>
          <w:lang w:val="es-ES" w:eastAsia="es-ES"/>
        </w:rPr>
        <w:t xml:space="preserve"> </w:t>
      </w:r>
      <w:r w:rsidRPr="00865110">
        <w:rPr>
          <w:rFonts w:ascii="Arial Narrow" w:hAnsi="Arial Narrow" w:cs="Arial"/>
          <w:color w:val="000000" w:themeColor="text1"/>
          <w:lang w:eastAsia="es-ES"/>
        </w:rPr>
        <w:t xml:space="preserve">las cuentas de depósito de las que es titular en calidad de Depositante Directo, o a través de un Agente Custodio, en los depósitos centralizados de valores que corresponda. </w:t>
      </w:r>
    </w:p>
    <w:p w14:paraId="5812C6F0" w14:textId="77777777" w:rsidR="00865110" w:rsidRPr="00865110" w:rsidRDefault="00865110" w:rsidP="00DA7472">
      <w:pPr>
        <w:numPr>
          <w:ilvl w:val="0"/>
          <w:numId w:val="40"/>
        </w:numPr>
        <w:ind w:left="567" w:hanging="425"/>
        <w:jc w:val="both"/>
        <w:rPr>
          <w:rFonts w:ascii="Arial Narrow" w:hAnsi="Arial Narrow" w:cs="Arial"/>
          <w:color w:val="000000" w:themeColor="text1"/>
          <w:lang w:val="es-ES" w:eastAsia="es-ES"/>
        </w:rPr>
      </w:pPr>
      <w:r w:rsidRPr="00865110">
        <w:rPr>
          <w:rFonts w:ascii="Arial Narrow" w:hAnsi="Arial Narrow" w:cs="Arial"/>
          <w:color w:val="000000" w:themeColor="text1"/>
          <w:lang w:val="es-ES" w:eastAsia="es-ES"/>
        </w:rPr>
        <w:t xml:space="preserve">En caso de incumplimiento de las obligaciones a cargo de alguno de los Terceros por cuenta de los cuales actúe, o del incumplimiento de uno de sus Miembros no Liquidadores o de los Terceros de éstos, </w:t>
      </w:r>
      <w:r w:rsidRPr="00865110">
        <w:rPr>
          <w:rFonts w:ascii="Arial Narrow" w:hAnsi="Arial Narrow" w:cs="Arial"/>
          <w:b/>
          <w:color w:val="000000" w:themeColor="text1"/>
          <w:lang w:val="es-ES" w:eastAsia="es-ES"/>
        </w:rPr>
        <w:t>EL MIEMBRO</w:t>
      </w:r>
      <w:r w:rsidRPr="00865110">
        <w:rPr>
          <w:rFonts w:ascii="Arial Narrow" w:hAnsi="Arial Narrow" w:cs="Arial"/>
          <w:color w:val="000000" w:themeColor="text1"/>
          <w:lang w:val="es-ES" w:eastAsia="es-ES"/>
        </w:rPr>
        <w:t xml:space="preserve"> deberá informar a </w:t>
      </w:r>
      <w:r w:rsidRPr="00865110">
        <w:rPr>
          <w:rFonts w:ascii="Arial Narrow" w:hAnsi="Arial Narrow" w:cs="Arial"/>
          <w:b/>
          <w:color w:val="000000" w:themeColor="text1"/>
          <w:lang w:val="es-ES" w:eastAsia="es-ES"/>
        </w:rPr>
        <w:t>LA CRCC</w:t>
      </w:r>
      <w:r w:rsidRPr="00865110">
        <w:rPr>
          <w:rFonts w:ascii="Arial Narrow" w:hAnsi="Arial Narrow" w:cs="Arial"/>
          <w:color w:val="000000" w:themeColor="text1"/>
          <w:lang w:val="es-ES" w:eastAsia="es-ES"/>
        </w:rPr>
        <w:t xml:space="preserve"> de tal situación de forma inmediata y por los medios establecidos por la misma. </w:t>
      </w:r>
    </w:p>
    <w:p w14:paraId="6366D966" w14:textId="77777777" w:rsidR="00865110" w:rsidRPr="00865110" w:rsidRDefault="00865110" w:rsidP="00DA7472">
      <w:pPr>
        <w:numPr>
          <w:ilvl w:val="0"/>
          <w:numId w:val="40"/>
        </w:numPr>
        <w:ind w:left="567" w:hanging="425"/>
        <w:jc w:val="both"/>
        <w:rPr>
          <w:rFonts w:ascii="Arial Narrow" w:hAnsi="Arial Narrow" w:cs="Arial"/>
          <w:color w:val="000000" w:themeColor="text1"/>
          <w:lang w:val="es-ES" w:eastAsia="es-ES"/>
        </w:rPr>
      </w:pPr>
      <w:r w:rsidRPr="00865110">
        <w:rPr>
          <w:rFonts w:ascii="Arial Narrow" w:hAnsi="Arial Narrow" w:cs="Arial"/>
          <w:color w:val="000000" w:themeColor="text1"/>
          <w:lang w:val="es-ES" w:eastAsia="es-ES"/>
        </w:rPr>
        <w:t xml:space="preserve">Facilitar las actividades de comprobación de requisitos, cumplimiento de obligaciones o similares, que lleve a cabo </w:t>
      </w:r>
      <w:r w:rsidRPr="00865110">
        <w:rPr>
          <w:rFonts w:ascii="Arial Narrow" w:hAnsi="Arial Narrow" w:cs="Arial"/>
          <w:b/>
          <w:color w:val="000000" w:themeColor="text1"/>
          <w:lang w:val="es-ES" w:eastAsia="es-ES"/>
        </w:rPr>
        <w:t xml:space="preserve">LA CRCC </w:t>
      </w:r>
      <w:r w:rsidRPr="00865110">
        <w:rPr>
          <w:rFonts w:ascii="Arial Narrow" w:hAnsi="Arial Narrow" w:cs="Arial"/>
          <w:color w:val="000000" w:themeColor="text1"/>
          <w:lang w:val="es-ES" w:eastAsia="es-ES"/>
        </w:rPr>
        <w:t xml:space="preserve">en desarrollo de sus funciones. </w:t>
      </w:r>
    </w:p>
    <w:p w14:paraId="7BAF13B0" w14:textId="77777777" w:rsidR="00865110" w:rsidRPr="00865110" w:rsidRDefault="00865110" w:rsidP="00DA7472">
      <w:pPr>
        <w:numPr>
          <w:ilvl w:val="0"/>
          <w:numId w:val="40"/>
        </w:numPr>
        <w:ind w:left="567" w:hanging="425"/>
        <w:jc w:val="both"/>
        <w:rPr>
          <w:rFonts w:ascii="Arial Narrow" w:hAnsi="Arial Narrow" w:cs="Arial"/>
          <w:color w:val="000000" w:themeColor="text1"/>
          <w:lang w:val="es-ES" w:eastAsia="es-ES"/>
        </w:rPr>
      </w:pPr>
      <w:r w:rsidRPr="00865110">
        <w:rPr>
          <w:rFonts w:ascii="Arial Narrow" w:hAnsi="Arial Narrow" w:cs="Arial"/>
          <w:color w:val="000000" w:themeColor="text1"/>
          <w:lang w:val="es-ES" w:eastAsia="es-ES"/>
        </w:rPr>
        <w:t xml:space="preserve">Cumplir sus obligaciones pendientes para con </w:t>
      </w:r>
      <w:r w:rsidRPr="00865110">
        <w:rPr>
          <w:rFonts w:ascii="Arial Narrow" w:hAnsi="Arial Narrow" w:cs="Arial"/>
          <w:b/>
          <w:color w:val="000000" w:themeColor="text1"/>
          <w:lang w:val="es-ES" w:eastAsia="es-ES"/>
        </w:rPr>
        <w:t>LA CRCC</w:t>
      </w:r>
      <w:r w:rsidRPr="00865110">
        <w:rPr>
          <w:rFonts w:ascii="Arial Narrow" w:hAnsi="Arial Narrow" w:cs="Arial"/>
          <w:color w:val="000000" w:themeColor="text1"/>
          <w:lang w:val="es-ES" w:eastAsia="es-ES"/>
        </w:rPr>
        <w:t xml:space="preserve"> y, en su caso, las de sus Terceros, las de sus Miembros no Liquidadores y de los Terceros de éstos, incluso después de cesar, por cualquier causa, como Miembro Liquidador General. </w:t>
      </w:r>
    </w:p>
    <w:p w14:paraId="06934DE3" w14:textId="77777777" w:rsidR="00865110" w:rsidRPr="00865110" w:rsidRDefault="00865110" w:rsidP="00DA7472">
      <w:pPr>
        <w:numPr>
          <w:ilvl w:val="0"/>
          <w:numId w:val="40"/>
        </w:numPr>
        <w:ind w:left="567" w:hanging="425"/>
        <w:jc w:val="both"/>
        <w:rPr>
          <w:rFonts w:ascii="Arial Narrow" w:hAnsi="Arial Narrow" w:cs="Arial"/>
          <w:color w:val="000000" w:themeColor="text1"/>
          <w:lang w:val="es-ES" w:eastAsia="es-ES"/>
        </w:rPr>
      </w:pPr>
      <w:r w:rsidRPr="00865110">
        <w:rPr>
          <w:rFonts w:ascii="Arial Narrow" w:hAnsi="Arial Narrow" w:cs="Arial"/>
          <w:color w:val="000000" w:themeColor="text1"/>
          <w:lang w:val="es-ES" w:eastAsia="es-ES"/>
        </w:rPr>
        <w:t xml:space="preserve">Responder frente a </w:t>
      </w:r>
      <w:r w:rsidRPr="00865110">
        <w:rPr>
          <w:rFonts w:ascii="Arial Narrow" w:hAnsi="Arial Narrow" w:cs="Arial"/>
          <w:b/>
          <w:color w:val="000000" w:themeColor="text1"/>
          <w:lang w:val="es-ES" w:eastAsia="es-ES"/>
        </w:rPr>
        <w:t>LA CRCC</w:t>
      </w:r>
      <w:r w:rsidRPr="00865110">
        <w:rPr>
          <w:rFonts w:ascii="Arial Narrow" w:hAnsi="Arial Narrow" w:cs="Arial"/>
          <w:color w:val="000000" w:themeColor="text1"/>
          <w:lang w:val="es-ES" w:eastAsia="es-ES"/>
        </w:rPr>
        <w:t xml:space="preserve"> por la constitución y mantenimiento, con los ajustes procedentes, de las Garantías de sus Terceros, de sus Miembros no Liquidadores y de los Terceros de éstos últimos. En el evento en que uno de sus Terceros, de sus Miembros no Liquidadores o de los Terceros de éstos,</w:t>
      </w:r>
      <w:r w:rsidRPr="00865110" w:rsidDel="00112989">
        <w:rPr>
          <w:rFonts w:ascii="Arial Narrow" w:hAnsi="Arial Narrow" w:cs="Arial"/>
          <w:color w:val="000000" w:themeColor="text1"/>
          <w:lang w:val="es-ES" w:eastAsia="es-ES"/>
        </w:rPr>
        <w:t xml:space="preserve"> </w:t>
      </w:r>
      <w:r w:rsidRPr="00865110">
        <w:rPr>
          <w:rFonts w:ascii="Arial Narrow" w:hAnsi="Arial Narrow" w:cs="Arial"/>
          <w:color w:val="000000" w:themeColor="text1"/>
          <w:lang w:val="es-ES" w:eastAsia="es-ES"/>
        </w:rPr>
        <w:t xml:space="preserve">no constituya las Garantías mencionadas, </w:t>
      </w:r>
      <w:r w:rsidRPr="00865110">
        <w:rPr>
          <w:rFonts w:ascii="Arial Narrow" w:hAnsi="Arial Narrow" w:cs="Arial"/>
          <w:b/>
          <w:color w:val="000000" w:themeColor="text1"/>
          <w:lang w:val="es-ES" w:eastAsia="es-ES"/>
        </w:rPr>
        <w:t>EL MIEMBRO</w:t>
      </w:r>
      <w:r w:rsidRPr="00865110">
        <w:rPr>
          <w:rFonts w:ascii="Arial Narrow" w:hAnsi="Arial Narrow" w:cs="Arial"/>
          <w:color w:val="000000" w:themeColor="text1"/>
          <w:lang w:val="es-ES" w:eastAsia="es-ES"/>
        </w:rPr>
        <w:t xml:space="preserve"> se obliga a constituirlas, y mantenerlas con los ajustes procedentes. </w:t>
      </w:r>
    </w:p>
    <w:p w14:paraId="5C1FB62F" w14:textId="77777777" w:rsidR="00865110" w:rsidRPr="00865110" w:rsidRDefault="00865110" w:rsidP="00DA7472">
      <w:pPr>
        <w:numPr>
          <w:ilvl w:val="0"/>
          <w:numId w:val="40"/>
        </w:numPr>
        <w:ind w:left="567" w:hanging="425"/>
        <w:jc w:val="both"/>
        <w:rPr>
          <w:rFonts w:ascii="Arial Narrow" w:hAnsi="Arial Narrow" w:cs="Arial"/>
          <w:color w:val="000000" w:themeColor="text1"/>
          <w:lang w:val="es-ES" w:eastAsia="es-ES"/>
        </w:rPr>
      </w:pPr>
      <w:r w:rsidRPr="00865110">
        <w:rPr>
          <w:rFonts w:ascii="Arial Narrow" w:hAnsi="Arial Narrow" w:cs="Arial"/>
          <w:color w:val="000000" w:themeColor="text1"/>
          <w:lang w:val="es-ES" w:eastAsia="es-ES"/>
        </w:rPr>
        <w:t xml:space="preserve">Entregar a </w:t>
      </w:r>
      <w:r w:rsidRPr="00865110">
        <w:rPr>
          <w:rFonts w:ascii="Arial Narrow" w:hAnsi="Arial Narrow" w:cs="Arial"/>
          <w:b/>
          <w:color w:val="000000" w:themeColor="text1"/>
          <w:lang w:val="es-ES" w:eastAsia="es-ES"/>
        </w:rPr>
        <w:t>LA CRCC</w:t>
      </w:r>
      <w:r w:rsidRPr="00865110">
        <w:rPr>
          <w:rFonts w:ascii="Arial Narrow" w:hAnsi="Arial Narrow" w:cs="Arial"/>
          <w:color w:val="000000" w:themeColor="text1"/>
          <w:lang w:val="es-ES" w:eastAsia="es-ES"/>
        </w:rPr>
        <w:t xml:space="preserve"> la información que ésta solicite en cumplimiento de sus funciones. </w:t>
      </w:r>
    </w:p>
    <w:p w14:paraId="479D162B" w14:textId="77777777" w:rsidR="00865110" w:rsidRPr="00865110" w:rsidRDefault="00865110" w:rsidP="00DA7472">
      <w:pPr>
        <w:numPr>
          <w:ilvl w:val="0"/>
          <w:numId w:val="40"/>
        </w:numPr>
        <w:ind w:left="567" w:hanging="425"/>
        <w:jc w:val="both"/>
        <w:rPr>
          <w:rFonts w:ascii="Arial Narrow" w:hAnsi="Arial Narrow" w:cs="Arial"/>
          <w:color w:val="000000" w:themeColor="text1"/>
          <w:lang w:val="es-ES" w:eastAsia="es-ES"/>
        </w:rPr>
      </w:pPr>
      <w:r w:rsidRPr="00865110">
        <w:rPr>
          <w:rFonts w:ascii="Arial Narrow" w:hAnsi="Arial Narrow" w:cs="Arial"/>
          <w:color w:val="000000" w:themeColor="text1"/>
          <w:lang w:val="es-ES" w:eastAsia="es-ES"/>
        </w:rPr>
        <w:t xml:space="preserve">Cumplir en todo momento con las especificaciones técnicas establecidas por </w:t>
      </w:r>
      <w:r w:rsidRPr="00865110">
        <w:rPr>
          <w:rFonts w:ascii="Arial Narrow" w:hAnsi="Arial Narrow" w:cs="Arial"/>
          <w:b/>
          <w:color w:val="000000" w:themeColor="text1"/>
          <w:lang w:val="es-ES" w:eastAsia="es-ES"/>
        </w:rPr>
        <w:t>LA CRCC</w:t>
      </w:r>
      <w:r w:rsidRPr="00865110">
        <w:rPr>
          <w:rFonts w:ascii="Arial Narrow" w:hAnsi="Arial Narrow" w:cs="Arial"/>
          <w:color w:val="000000" w:themeColor="text1"/>
          <w:lang w:val="es-ES" w:eastAsia="es-ES"/>
        </w:rPr>
        <w:t xml:space="preserve">. </w:t>
      </w:r>
    </w:p>
    <w:p w14:paraId="70685B71" w14:textId="77777777" w:rsidR="00865110" w:rsidRPr="00865110" w:rsidRDefault="00865110" w:rsidP="00DA7472">
      <w:pPr>
        <w:numPr>
          <w:ilvl w:val="0"/>
          <w:numId w:val="40"/>
        </w:numPr>
        <w:ind w:left="567" w:hanging="425"/>
        <w:jc w:val="both"/>
        <w:rPr>
          <w:rFonts w:ascii="Arial Narrow" w:hAnsi="Arial Narrow" w:cs="Arial"/>
          <w:color w:val="000000" w:themeColor="text1"/>
          <w:lang w:val="es-ES" w:eastAsia="es-ES"/>
        </w:rPr>
      </w:pPr>
      <w:r w:rsidRPr="00865110">
        <w:rPr>
          <w:rFonts w:ascii="Arial Narrow" w:hAnsi="Arial Narrow" w:cs="Arial"/>
          <w:color w:val="000000" w:themeColor="text1"/>
          <w:lang w:val="es-ES" w:eastAsia="es-ES"/>
        </w:rPr>
        <w:t xml:space="preserve">En caso de ser titular de una cuenta de Terceros no Identificados, determinar el beneficiario efectivo de las Operaciones Aceptadas por </w:t>
      </w:r>
      <w:r w:rsidRPr="00865110">
        <w:rPr>
          <w:rFonts w:ascii="Arial Narrow" w:hAnsi="Arial Narrow" w:cs="Arial"/>
          <w:b/>
          <w:color w:val="000000" w:themeColor="text1"/>
          <w:lang w:val="es-ES" w:eastAsia="es-ES"/>
        </w:rPr>
        <w:t xml:space="preserve">LA CRCC </w:t>
      </w:r>
      <w:r w:rsidRPr="00865110">
        <w:rPr>
          <w:rFonts w:ascii="Arial Narrow" w:hAnsi="Arial Narrow" w:cs="Arial"/>
          <w:color w:val="000000" w:themeColor="text1"/>
          <w:lang w:val="es-ES" w:eastAsia="es-ES"/>
        </w:rPr>
        <w:t>y mantener a disposición de la misma y de las Autoridades Competentes, el registro detallado e individualizado de todas las operaciones, posiciones y las Garantías correspondientes a cada uno de los Terceros no Identificados.</w:t>
      </w:r>
    </w:p>
    <w:p w14:paraId="6E88E680" w14:textId="77777777" w:rsidR="00865110" w:rsidRPr="00865110" w:rsidRDefault="00865110" w:rsidP="00DA7472">
      <w:pPr>
        <w:numPr>
          <w:ilvl w:val="0"/>
          <w:numId w:val="40"/>
        </w:numPr>
        <w:ind w:left="567" w:hanging="425"/>
        <w:jc w:val="both"/>
        <w:rPr>
          <w:rFonts w:ascii="Arial Narrow" w:hAnsi="Arial Narrow" w:cs="Arial"/>
          <w:color w:val="000000" w:themeColor="text1"/>
          <w:lang w:val="es-ES" w:eastAsia="es-ES"/>
        </w:rPr>
      </w:pPr>
      <w:r w:rsidRPr="00865110">
        <w:rPr>
          <w:rFonts w:ascii="Arial Narrow" w:hAnsi="Arial Narrow" w:cs="Arial"/>
          <w:color w:val="000000" w:themeColor="text1"/>
          <w:lang w:val="es-ES" w:eastAsia="es-ES"/>
        </w:rPr>
        <w:lastRenderedPageBreak/>
        <w:t>Entregar a sus Terceros y a sus Miembros no Liquidadores los Activos y dineros correspondientes a las Operaciones Aceptadas.</w:t>
      </w:r>
    </w:p>
    <w:p w14:paraId="14FF9E6F" w14:textId="77777777" w:rsidR="00865110" w:rsidRPr="00865110" w:rsidRDefault="00865110" w:rsidP="00DA7472">
      <w:pPr>
        <w:numPr>
          <w:ilvl w:val="0"/>
          <w:numId w:val="40"/>
        </w:numPr>
        <w:ind w:left="567" w:hanging="425"/>
        <w:jc w:val="both"/>
        <w:rPr>
          <w:rFonts w:ascii="Arial Narrow" w:hAnsi="Arial Narrow" w:cs="Arial"/>
          <w:color w:val="000000" w:themeColor="text1"/>
          <w:lang w:val="es-ES" w:eastAsia="es-ES"/>
        </w:rPr>
      </w:pPr>
      <w:r w:rsidRPr="00865110">
        <w:rPr>
          <w:rFonts w:ascii="Arial Narrow" w:hAnsi="Arial Narrow" w:cs="Arial"/>
          <w:color w:val="000000" w:themeColor="text1"/>
          <w:lang w:val="es-ES" w:eastAsia="es-ES"/>
        </w:rPr>
        <w:t xml:space="preserve">Responder ante </w:t>
      </w:r>
      <w:r w:rsidRPr="00865110">
        <w:rPr>
          <w:rFonts w:ascii="Arial Narrow" w:hAnsi="Arial Narrow" w:cs="Arial"/>
          <w:b/>
          <w:color w:val="000000" w:themeColor="text1"/>
          <w:lang w:val="es-ES" w:eastAsia="es-ES"/>
        </w:rPr>
        <w:t>LA CRCC</w:t>
      </w:r>
      <w:r w:rsidRPr="00865110">
        <w:rPr>
          <w:rFonts w:ascii="Arial Narrow" w:hAnsi="Arial Narrow" w:cs="Arial"/>
          <w:color w:val="000000" w:themeColor="text1"/>
          <w:lang w:val="es-ES" w:eastAsia="es-ES"/>
        </w:rPr>
        <w:t xml:space="preserve"> por el adecuado manejo de las claves de acceso al Sistema que hagan sus operadores, funcionarios o cualquier persona bajo su dependencia.</w:t>
      </w:r>
    </w:p>
    <w:p w14:paraId="2D6DCB63" w14:textId="77777777" w:rsidR="00865110" w:rsidRPr="00865110" w:rsidRDefault="00865110" w:rsidP="00DA7472">
      <w:pPr>
        <w:numPr>
          <w:ilvl w:val="0"/>
          <w:numId w:val="40"/>
        </w:numPr>
        <w:ind w:left="567" w:hanging="425"/>
        <w:jc w:val="both"/>
        <w:rPr>
          <w:rFonts w:ascii="Arial Narrow" w:hAnsi="Arial Narrow" w:cs="Arial"/>
          <w:color w:val="000000" w:themeColor="text1"/>
          <w:lang w:eastAsia="es-ES"/>
        </w:rPr>
      </w:pPr>
      <w:r w:rsidRPr="00865110">
        <w:rPr>
          <w:rFonts w:ascii="Arial Narrow" w:hAnsi="Arial Narrow" w:cs="Arial"/>
          <w:color w:val="000000" w:themeColor="text1"/>
          <w:lang w:val="es-ES" w:eastAsia="es-ES"/>
        </w:rPr>
        <w:t>Abstenerse de efectuar operaciones con instrumentos financieros derivados que impliquen la transferencia de propiedad de un número de acciones para cuya adquisición deba efectuarse oferta pública, de conformidad con lo dispuesto en el artículo 6.15.2.1.1 del Decreto 2555 de 2010 y demás normas que lo modifiquen o sustituyan.</w:t>
      </w:r>
    </w:p>
    <w:p w14:paraId="68205E3E" w14:textId="77777777" w:rsidR="00865110" w:rsidRPr="00865110" w:rsidRDefault="00865110" w:rsidP="00DA7472">
      <w:pPr>
        <w:numPr>
          <w:ilvl w:val="0"/>
          <w:numId w:val="40"/>
        </w:numPr>
        <w:ind w:left="567" w:hanging="425"/>
        <w:jc w:val="both"/>
        <w:rPr>
          <w:rFonts w:ascii="Arial Narrow" w:hAnsi="Arial Narrow" w:cs="Arial"/>
          <w:color w:val="000000" w:themeColor="text1"/>
          <w:lang w:eastAsia="es-ES"/>
        </w:rPr>
      </w:pPr>
      <w:r w:rsidRPr="00865110">
        <w:rPr>
          <w:rFonts w:ascii="Arial Narrow" w:hAnsi="Arial Narrow" w:cs="Arial"/>
          <w:color w:val="000000" w:themeColor="text1"/>
          <w:lang w:eastAsia="es-ES"/>
        </w:rPr>
        <w:t xml:space="preserve">Abstenerse de realizar cualquier acto que afecte la eficiencia, seguridad, integridad y confiabilidad de </w:t>
      </w:r>
      <w:r w:rsidRPr="00865110">
        <w:rPr>
          <w:rFonts w:ascii="Arial Narrow" w:hAnsi="Arial Narrow" w:cs="Arial"/>
          <w:b/>
          <w:color w:val="000000" w:themeColor="text1"/>
          <w:lang w:eastAsia="es-ES"/>
        </w:rPr>
        <w:t>LA CRCC</w:t>
      </w:r>
      <w:r w:rsidRPr="00865110">
        <w:rPr>
          <w:rFonts w:ascii="Arial Narrow" w:hAnsi="Arial Narrow" w:cs="Arial"/>
          <w:color w:val="000000" w:themeColor="text1"/>
          <w:lang w:eastAsia="es-ES"/>
        </w:rPr>
        <w:t>.</w:t>
      </w:r>
    </w:p>
    <w:p w14:paraId="3CCC6317" w14:textId="77777777" w:rsidR="00865110" w:rsidRPr="00865110" w:rsidRDefault="00865110" w:rsidP="00DA7472">
      <w:pPr>
        <w:numPr>
          <w:ilvl w:val="0"/>
          <w:numId w:val="40"/>
        </w:numPr>
        <w:ind w:left="567" w:hanging="425"/>
        <w:jc w:val="both"/>
        <w:rPr>
          <w:rFonts w:ascii="Arial Narrow" w:hAnsi="Arial Narrow" w:cs="Arial"/>
          <w:color w:val="000000" w:themeColor="text1"/>
          <w:lang w:eastAsia="es-ES"/>
        </w:rPr>
      </w:pPr>
      <w:r w:rsidRPr="00865110">
        <w:rPr>
          <w:rFonts w:ascii="Arial Narrow" w:hAnsi="Arial Narrow" w:cs="Arial"/>
          <w:color w:val="000000" w:themeColor="text1"/>
          <w:lang w:eastAsia="es-ES"/>
        </w:rPr>
        <w:t xml:space="preserve">Informar a </w:t>
      </w:r>
      <w:r w:rsidRPr="00865110">
        <w:rPr>
          <w:rFonts w:ascii="Arial Narrow" w:hAnsi="Arial Narrow" w:cs="Arial"/>
          <w:b/>
          <w:color w:val="000000" w:themeColor="text1"/>
          <w:lang w:eastAsia="es-ES"/>
        </w:rPr>
        <w:t>LA CRCC</w:t>
      </w:r>
      <w:r w:rsidRPr="00865110">
        <w:rPr>
          <w:rFonts w:ascii="Arial Narrow" w:hAnsi="Arial Narrow" w:cs="Arial"/>
          <w:color w:val="000000" w:themeColor="text1"/>
          <w:lang w:eastAsia="es-ES"/>
        </w:rPr>
        <w:t xml:space="preserve"> de cualquier hecho o situación que atente contra la transparencia y seguridad del Sistema.</w:t>
      </w:r>
    </w:p>
    <w:p w14:paraId="080238C8" w14:textId="77777777" w:rsidR="00865110" w:rsidRPr="00865110" w:rsidRDefault="00865110" w:rsidP="00865110">
      <w:pPr>
        <w:ind w:left="567" w:hanging="567"/>
        <w:jc w:val="both"/>
        <w:rPr>
          <w:rFonts w:ascii="Arial Narrow" w:hAnsi="Arial Narrow" w:cs="Arial"/>
          <w:b/>
          <w:bCs/>
          <w:color w:val="000000" w:themeColor="text1"/>
          <w:u w:val="single"/>
          <w:lang w:val="es-ES" w:eastAsia="es-ES"/>
        </w:rPr>
      </w:pPr>
    </w:p>
    <w:p w14:paraId="584918D0" w14:textId="77777777" w:rsidR="00865110" w:rsidRPr="00865110" w:rsidRDefault="00865110" w:rsidP="00865110">
      <w:pPr>
        <w:jc w:val="both"/>
        <w:rPr>
          <w:rFonts w:ascii="Arial Narrow" w:hAnsi="Arial Narrow" w:cs="Arial"/>
          <w:bCs/>
          <w:color w:val="000000" w:themeColor="text1"/>
          <w:lang w:eastAsia="es-ES"/>
        </w:rPr>
      </w:pPr>
      <w:r w:rsidRPr="00865110">
        <w:rPr>
          <w:rFonts w:ascii="Arial Narrow" w:hAnsi="Arial Narrow" w:cs="Arial"/>
          <w:b/>
          <w:bCs/>
          <w:color w:val="000000" w:themeColor="text1"/>
          <w:u w:val="single"/>
          <w:lang w:val="es-ES" w:eastAsia="es-ES"/>
        </w:rPr>
        <w:t>CUARTA. Obligaciones de la CRCC.</w:t>
      </w:r>
      <w:r w:rsidRPr="00865110">
        <w:rPr>
          <w:rFonts w:ascii="Arial Narrow" w:hAnsi="Arial Narrow" w:cs="Arial"/>
          <w:color w:val="000000" w:themeColor="text1"/>
          <w:lang w:val="es-ES" w:eastAsia="es-ES"/>
        </w:rPr>
        <w:t>  Sin perjuicio</w:t>
      </w:r>
      <w:r w:rsidRPr="00865110">
        <w:rPr>
          <w:rFonts w:ascii="Arial Narrow" w:hAnsi="Arial Narrow" w:cs="Arial"/>
          <w:b/>
          <w:color w:val="000000" w:themeColor="text1"/>
          <w:lang w:val="es-ES" w:eastAsia="es-ES"/>
        </w:rPr>
        <w:t xml:space="preserve"> </w:t>
      </w:r>
      <w:r w:rsidRPr="00865110">
        <w:rPr>
          <w:rFonts w:ascii="Arial Narrow" w:hAnsi="Arial Narrow" w:cs="Arial"/>
          <w:bCs/>
          <w:color w:val="000000" w:themeColor="text1"/>
          <w:lang w:eastAsia="es-ES"/>
        </w:rPr>
        <w:t xml:space="preserve">de las obligaciones previstas en las demás cláusulas de la presente Oferta, en el </w:t>
      </w:r>
      <w:r w:rsidRPr="00865110">
        <w:rPr>
          <w:rFonts w:ascii="Arial Narrow" w:hAnsi="Arial Narrow" w:cs="Arial"/>
          <w:color w:val="000000" w:themeColor="text1"/>
          <w:lang w:val="es-ES" w:eastAsia="es-ES"/>
        </w:rPr>
        <w:t xml:space="preserve">Reglamento, en las Circulares y en los Instructivos Operativos de </w:t>
      </w:r>
      <w:r w:rsidRPr="00865110">
        <w:rPr>
          <w:rFonts w:ascii="Arial Narrow" w:hAnsi="Arial Narrow" w:cs="Arial"/>
          <w:b/>
          <w:color w:val="000000" w:themeColor="text1"/>
          <w:lang w:val="es-ES" w:eastAsia="es-ES"/>
        </w:rPr>
        <w:t>LA CRCC</w:t>
      </w:r>
      <w:r w:rsidRPr="00865110">
        <w:rPr>
          <w:rFonts w:ascii="Arial Narrow" w:hAnsi="Arial Narrow" w:cs="Arial"/>
          <w:color w:val="000000" w:themeColor="text1"/>
          <w:lang w:val="es-ES" w:eastAsia="es-ES"/>
        </w:rPr>
        <w:t>,</w:t>
      </w:r>
      <w:r w:rsidRPr="00865110">
        <w:rPr>
          <w:rFonts w:ascii="Arial Narrow" w:hAnsi="Arial Narrow" w:cs="Arial"/>
          <w:bCs/>
          <w:color w:val="000000" w:themeColor="text1"/>
          <w:lang w:eastAsia="es-ES"/>
        </w:rPr>
        <w:t xml:space="preserve"> son obligaciones principales de </w:t>
      </w:r>
      <w:r w:rsidRPr="00865110">
        <w:rPr>
          <w:rFonts w:ascii="Arial Narrow" w:hAnsi="Arial Narrow" w:cs="Arial"/>
          <w:b/>
          <w:bCs/>
          <w:color w:val="000000" w:themeColor="text1"/>
          <w:lang w:eastAsia="es-ES"/>
        </w:rPr>
        <w:t>LA CRCC</w:t>
      </w:r>
      <w:r w:rsidRPr="00865110">
        <w:rPr>
          <w:rFonts w:ascii="Arial Narrow" w:hAnsi="Arial Narrow" w:cs="Arial"/>
          <w:bCs/>
          <w:color w:val="000000" w:themeColor="text1"/>
          <w:lang w:eastAsia="es-ES"/>
        </w:rPr>
        <w:t>,</w:t>
      </w:r>
      <w:r w:rsidRPr="00865110">
        <w:rPr>
          <w:rFonts w:ascii="Arial Narrow" w:hAnsi="Arial Narrow" w:cs="Arial"/>
          <w:b/>
          <w:bCs/>
          <w:color w:val="000000" w:themeColor="text1"/>
          <w:lang w:eastAsia="es-ES"/>
        </w:rPr>
        <w:t xml:space="preserve"> </w:t>
      </w:r>
      <w:r w:rsidRPr="00865110">
        <w:rPr>
          <w:rFonts w:ascii="Arial Narrow" w:hAnsi="Arial Narrow" w:cs="Arial"/>
          <w:bCs/>
          <w:color w:val="000000" w:themeColor="text1"/>
          <w:lang w:eastAsia="es-ES"/>
        </w:rPr>
        <w:t>las siguientes:</w:t>
      </w:r>
    </w:p>
    <w:p w14:paraId="0749BA55" w14:textId="77777777" w:rsidR="00865110" w:rsidRPr="00865110" w:rsidRDefault="00865110" w:rsidP="00865110">
      <w:pPr>
        <w:jc w:val="both"/>
        <w:rPr>
          <w:rFonts w:ascii="Arial Narrow" w:hAnsi="Arial Narrow" w:cs="Arial"/>
          <w:color w:val="000000" w:themeColor="text1"/>
          <w:lang w:val="es-ES" w:eastAsia="es-ES"/>
        </w:rPr>
      </w:pPr>
    </w:p>
    <w:p w14:paraId="327E0F65" w14:textId="77777777" w:rsidR="00865110" w:rsidRPr="00865110" w:rsidRDefault="00865110" w:rsidP="00DA7472">
      <w:pPr>
        <w:numPr>
          <w:ilvl w:val="0"/>
          <w:numId w:val="370"/>
        </w:numPr>
        <w:ind w:left="426"/>
        <w:jc w:val="both"/>
        <w:rPr>
          <w:rFonts w:ascii="Arial Narrow" w:hAnsi="Arial Narrow" w:cs="Arial"/>
          <w:color w:val="000000" w:themeColor="text1"/>
          <w:lang w:eastAsia="es-ES"/>
        </w:rPr>
      </w:pPr>
      <w:r w:rsidRPr="00865110">
        <w:rPr>
          <w:rFonts w:ascii="Arial Narrow" w:hAnsi="Arial Narrow" w:cs="Arial"/>
          <w:color w:val="000000" w:themeColor="text1"/>
          <w:lang w:eastAsia="es-ES"/>
        </w:rPr>
        <w:t xml:space="preserve">Reconocer a </w:t>
      </w:r>
      <w:r w:rsidRPr="00865110">
        <w:rPr>
          <w:rFonts w:ascii="Arial Narrow" w:hAnsi="Arial Narrow" w:cs="Arial"/>
          <w:b/>
          <w:bCs/>
          <w:color w:val="000000" w:themeColor="text1"/>
          <w:lang w:eastAsia="es-ES"/>
        </w:rPr>
        <w:t>EL MIEMBRO</w:t>
      </w:r>
      <w:r w:rsidRPr="00865110">
        <w:rPr>
          <w:rFonts w:ascii="Arial Narrow" w:hAnsi="Arial Narrow" w:cs="Arial"/>
          <w:color w:val="000000" w:themeColor="text1"/>
          <w:lang w:eastAsia="es-ES"/>
        </w:rPr>
        <w:t xml:space="preserve"> el derecho a actuar como Miembro Liquidador General, conforme a las estipulaciones de la presente Oferta. </w:t>
      </w:r>
    </w:p>
    <w:p w14:paraId="2921583B" w14:textId="77777777" w:rsidR="00865110" w:rsidRPr="00865110" w:rsidRDefault="00865110" w:rsidP="00DA7472">
      <w:pPr>
        <w:numPr>
          <w:ilvl w:val="0"/>
          <w:numId w:val="370"/>
        </w:numPr>
        <w:ind w:left="426"/>
        <w:jc w:val="both"/>
        <w:rPr>
          <w:rFonts w:ascii="Arial Narrow" w:hAnsi="Arial Narrow" w:cs="Arial"/>
          <w:color w:val="000000" w:themeColor="text1"/>
          <w:lang w:eastAsia="es-ES"/>
        </w:rPr>
      </w:pPr>
      <w:r w:rsidRPr="00865110">
        <w:rPr>
          <w:rFonts w:ascii="Arial Narrow" w:hAnsi="Arial Narrow" w:cs="Arial"/>
          <w:color w:val="000000" w:themeColor="text1"/>
          <w:lang w:eastAsia="es-ES"/>
        </w:rPr>
        <w:t xml:space="preserve">Informar a </w:t>
      </w:r>
      <w:r w:rsidRPr="00865110">
        <w:rPr>
          <w:rFonts w:ascii="Arial Narrow" w:hAnsi="Arial Narrow" w:cs="Arial"/>
          <w:b/>
          <w:bCs/>
          <w:color w:val="000000" w:themeColor="text1"/>
          <w:lang w:eastAsia="es-ES"/>
        </w:rPr>
        <w:t>EL MIEMBRO</w:t>
      </w:r>
      <w:r w:rsidRPr="00865110">
        <w:rPr>
          <w:rFonts w:ascii="Arial Narrow" w:hAnsi="Arial Narrow" w:cs="Arial"/>
          <w:color w:val="000000" w:themeColor="text1"/>
          <w:lang w:eastAsia="es-ES"/>
        </w:rPr>
        <w:t xml:space="preserve"> sobre el estado de sus cuentas cuando éste lo solicite. </w:t>
      </w:r>
    </w:p>
    <w:p w14:paraId="7F428E4B" w14:textId="77777777" w:rsidR="00865110" w:rsidRPr="00865110" w:rsidRDefault="00865110" w:rsidP="00DA7472">
      <w:pPr>
        <w:numPr>
          <w:ilvl w:val="0"/>
          <w:numId w:val="370"/>
        </w:numPr>
        <w:ind w:left="426"/>
        <w:jc w:val="both"/>
        <w:rPr>
          <w:rFonts w:ascii="Arial Narrow" w:hAnsi="Arial Narrow" w:cs="Arial"/>
          <w:color w:val="000000" w:themeColor="text1"/>
          <w:lang w:eastAsia="es-ES"/>
        </w:rPr>
      </w:pPr>
      <w:r w:rsidRPr="00865110">
        <w:rPr>
          <w:rFonts w:ascii="Arial Narrow" w:hAnsi="Arial Narrow" w:cs="Arial"/>
          <w:color w:val="000000" w:themeColor="text1"/>
          <w:lang w:eastAsia="es-ES"/>
        </w:rPr>
        <w:t xml:space="preserve">Compensar y liquidar las Operaciones Aceptadas celebradas tanto por </w:t>
      </w:r>
      <w:r w:rsidRPr="00865110">
        <w:rPr>
          <w:rFonts w:ascii="Arial Narrow" w:hAnsi="Arial Narrow" w:cs="Arial"/>
          <w:b/>
          <w:bCs/>
          <w:color w:val="000000" w:themeColor="text1"/>
          <w:lang w:eastAsia="es-ES"/>
        </w:rPr>
        <w:t>EL MIEMBRO</w:t>
      </w:r>
      <w:r w:rsidRPr="00865110">
        <w:rPr>
          <w:rFonts w:ascii="Arial Narrow" w:hAnsi="Arial Narrow" w:cs="Arial"/>
          <w:color w:val="000000" w:themeColor="text1"/>
          <w:lang w:eastAsia="es-ES"/>
        </w:rPr>
        <w:t xml:space="preserve">, como por los Terceros por cuenta de los cuales actúa, sus Miembros no Liquidadores y los Terceros de éstos.    </w:t>
      </w:r>
    </w:p>
    <w:p w14:paraId="3759E2A9" w14:textId="77777777" w:rsidR="00865110" w:rsidRPr="00865110" w:rsidRDefault="00865110" w:rsidP="00DA7472">
      <w:pPr>
        <w:numPr>
          <w:ilvl w:val="0"/>
          <w:numId w:val="370"/>
        </w:numPr>
        <w:ind w:left="426"/>
        <w:jc w:val="both"/>
        <w:rPr>
          <w:rFonts w:ascii="Arial Narrow" w:hAnsi="Arial Narrow" w:cs="Arial"/>
          <w:color w:val="000000" w:themeColor="text1"/>
          <w:lang w:eastAsia="es-ES"/>
        </w:rPr>
      </w:pPr>
      <w:r w:rsidRPr="00865110">
        <w:rPr>
          <w:rFonts w:ascii="Arial Narrow" w:hAnsi="Arial Narrow" w:cs="Arial"/>
          <w:color w:val="000000" w:themeColor="text1"/>
          <w:lang w:eastAsia="es-ES"/>
        </w:rPr>
        <w:t xml:space="preserve">Cumplir con las entregas de efectivo o de Activos que corresponda a cada tipo de Operación Aceptada por </w:t>
      </w:r>
      <w:r w:rsidRPr="00865110">
        <w:rPr>
          <w:rFonts w:ascii="Arial Narrow" w:hAnsi="Arial Narrow" w:cs="Arial"/>
          <w:b/>
          <w:bCs/>
          <w:color w:val="000000" w:themeColor="text1"/>
          <w:lang w:eastAsia="es-ES"/>
        </w:rPr>
        <w:t>LA CRCC</w:t>
      </w:r>
      <w:r w:rsidRPr="00865110">
        <w:rPr>
          <w:rFonts w:ascii="Arial Narrow" w:hAnsi="Arial Narrow" w:cs="Arial"/>
          <w:color w:val="000000" w:themeColor="text1"/>
          <w:lang w:eastAsia="es-ES"/>
        </w:rPr>
        <w:t xml:space="preserve">, según se establezca mediante Circular. </w:t>
      </w:r>
    </w:p>
    <w:p w14:paraId="0E593A59" w14:textId="77777777" w:rsidR="00865110" w:rsidRPr="00865110" w:rsidRDefault="00865110" w:rsidP="00DA7472">
      <w:pPr>
        <w:numPr>
          <w:ilvl w:val="0"/>
          <w:numId w:val="370"/>
        </w:numPr>
        <w:ind w:left="426"/>
        <w:jc w:val="both"/>
        <w:rPr>
          <w:rFonts w:ascii="Arial Narrow" w:hAnsi="Arial Narrow" w:cs="Arial"/>
          <w:color w:val="000000" w:themeColor="text1"/>
          <w:lang w:eastAsia="es-ES"/>
        </w:rPr>
      </w:pPr>
      <w:r w:rsidRPr="00865110">
        <w:rPr>
          <w:rFonts w:ascii="Arial Narrow" w:hAnsi="Arial Narrow" w:cs="Arial"/>
          <w:color w:val="000000" w:themeColor="text1"/>
          <w:lang w:eastAsia="es-ES"/>
        </w:rPr>
        <w:t>Llevar el registro de las Operaciones Aceptadas.</w:t>
      </w:r>
    </w:p>
    <w:p w14:paraId="102030B7" w14:textId="77777777" w:rsidR="00865110" w:rsidRPr="00865110" w:rsidRDefault="00865110" w:rsidP="00DA7472">
      <w:pPr>
        <w:numPr>
          <w:ilvl w:val="0"/>
          <w:numId w:val="370"/>
        </w:numPr>
        <w:ind w:left="426"/>
        <w:jc w:val="both"/>
        <w:rPr>
          <w:rFonts w:ascii="Arial Narrow" w:hAnsi="Arial Narrow" w:cs="Arial"/>
          <w:color w:val="000000" w:themeColor="text1"/>
          <w:lang w:eastAsia="es-ES"/>
        </w:rPr>
      </w:pPr>
      <w:r w:rsidRPr="00865110">
        <w:rPr>
          <w:rFonts w:ascii="Arial Narrow" w:hAnsi="Arial Narrow" w:cs="Arial"/>
          <w:color w:val="000000" w:themeColor="text1"/>
          <w:lang w:eastAsia="es-ES"/>
        </w:rPr>
        <w:t xml:space="preserve">Hacer su mejor esfuerzo para que el Sistema a través del cual presta sus servicios, opere de manera eficaz y segura. </w:t>
      </w:r>
    </w:p>
    <w:p w14:paraId="3DF9A1CA" w14:textId="77777777" w:rsidR="00865110" w:rsidRPr="00865110" w:rsidRDefault="00865110" w:rsidP="00DA7472">
      <w:pPr>
        <w:numPr>
          <w:ilvl w:val="0"/>
          <w:numId w:val="370"/>
        </w:numPr>
        <w:ind w:left="426"/>
        <w:jc w:val="both"/>
        <w:rPr>
          <w:rFonts w:ascii="Arial Narrow" w:hAnsi="Arial Narrow" w:cs="Arial"/>
          <w:color w:val="000000" w:themeColor="text1"/>
          <w:lang w:eastAsia="es-ES"/>
        </w:rPr>
      </w:pPr>
      <w:r w:rsidRPr="00865110">
        <w:rPr>
          <w:rFonts w:ascii="Arial Narrow" w:hAnsi="Arial Narrow" w:cs="Arial"/>
          <w:color w:val="000000" w:themeColor="text1"/>
          <w:lang w:eastAsia="es-ES"/>
        </w:rPr>
        <w:t xml:space="preserve">Mantener la confidencialidad sobre las Operaciones Aceptadas, de conformidad con la Ley, el Reglamento y demás normativa aplicable. </w:t>
      </w:r>
    </w:p>
    <w:p w14:paraId="2CC09CE6" w14:textId="77777777" w:rsidR="00865110" w:rsidRPr="00865110" w:rsidRDefault="00865110" w:rsidP="00DA7472">
      <w:pPr>
        <w:numPr>
          <w:ilvl w:val="0"/>
          <w:numId w:val="370"/>
        </w:numPr>
        <w:ind w:left="426"/>
        <w:jc w:val="both"/>
        <w:rPr>
          <w:rFonts w:ascii="Arial Narrow" w:hAnsi="Arial Narrow" w:cs="Arial"/>
          <w:color w:val="000000" w:themeColor="text1"/>
          <w:lang w:eastAsia="es-ES"/>
        </w:rPr>
      </w:pPr>
      <w:r w:rsidRPr="00865110">
        <w:rPr>
          <w:rFonts w:ascii="Arial Narrow" w:hAnsi="Arial Narrow" w:cs="Arial"/>
          <w:color w:val="000000" w:themeColor="text1"/>
          <w:lang w:eastAsia="es-ES"/>
        </w:rPr>
        <w:t>Informar al mercado y a las Autoridades Competentes sobre el Incumplimiento de cualquier Miembro.</w:t>
      </w:r>
    </w:p>
    <w:p w14:paraId="744FE736" w14:textId="77777777" w:rsidR="00865110" w:rsidRPr="00865110" w:rsidRDefault="00865110" w:rsidP="00DA7472">
      <w:pPr>
        <w:numPr>
          <w:ilvl w:val="0"/>
          <w:numId w:val="370"/>
        </w:numPr>
        <w:ind w:left="426"/>
        <w:jc w:val="both"/>
        <w:rPr>
          <w:rFonts w:ascii="Arial Narrow" w:hAnsi="Arial Narrow" w:cs="Arial"/>
          <w:color w:val="000000" w:themeColor="text1"/>
          <w:lang w:eastAsia="es-ES"/>
        </w:rPr>
      </w:pPr>
      <w:r w:rsidRPr="00865110">
        <w:rPr>
          <w:rFonts w:ascii="Arial Narrow" w:hAnsi="Arial Narrow" w:cs="Arial"/>
          <w:color w:val="000000" w:themeColor="text1"/>
          <w:lang w:eastAsia="es-ES"/>
        </w:rPr>
        <w:t xml:space="preserve">Informar a </w:t>
      </w:r>
      <w:r w:rsidRPr="00865110">
        <w:rPr>
          <w:rFonts w:ascii="Arial Narrow" w:hAnsi="Arial Narrow" w:cs="Arial"/>
          <w:b/>
          <w:bCs/>
          <w:color w:val="000000" w:themeColor="text1"/>
          <w:lang w:eastAsia="es-ES"/>
        </w:rPr>
        <w:t>EL MIEMBRO</w:t>
      </w:r>
      <w:r w:rsidRPr="00865110">
        <w:rPr>
          <w:rFonts w:ascii="Arial Narrow" w:hAnsi="Arial Narrow" w:cs="Arial"/>
          <w:color w:val="000000" w:themeColor="text1"/>
          <w:lang w:eastAsia="es-ES"/>
        </w:rPr>
        <w:t xml:space="preserve"> y a la Superintendencia Financiera de Colombia cuando </w:t>
      </w:r>
      <w:r w:rsidRPr="00865110">
        <w:rPr>
          <w:rFonts w:ascii="Arial Narrow" w:hAnsi="Arial Narrow" w:cs="Arial"/>
          <w:b/>
          <w:bCs/>
          <w:color w:val="000000" w:themeColor="text1"/>
          <w:lang w:eastAsia="es-ES"/>
        </w:rPr>
        <w:t>LA CRCC</w:t>
      </w:r>
      <w:r w:rsidRPr="00865110">
        <w:rPr>
          <w:rFonts w:ascii="Arial Narrow" w:hAnsi="Arial Narrow" w:cs="Arial"/>
          <w:color w:val="000000" w:themeColor="text1"/>
          <w:lang w:eastAsia="es-ES"/>
        </w:rPr>
        <w:t xml:space="preserve"> deje de asumir la calidad de contraparte respecto del mismo.</w:t>
      </w:r>
    </w:p>
    <w:p w14:paraId="386603A5" w14:textId="77777777" w:rsidR="00865110" w:rsidRPr="00865110" w:rsidRDefault="00865110" w:rsidP="00DA7472">
      <w:pPr>
        <w:numPr>
          <w:ilvl w:val="0"/>
          <w:numId w:val="370"/>
        </w:numPr>
        <w:ind w:left="426"/>
        <w:jc w:val="both"/>
        <w:rPr>
          <w:rFonts w:ascii="Arial Narrow" w:hAnsi="Arial Narrow" w:cs="Arial"/>
          <w:color w:val="000000" w:themeColor="text1"/>
          <w:lang w:eastAsia="es-ES"/>
        </w:rPr>
      </w:pPr>
      <w:r w:rsidRPr="00865110">
        <w:rPr>
          <w:rFonts w:ascii="Arial Narrow" w:hAnsi="Arial Narrow" w:cs="Arial"/>
          <w:color w:val="000000" w:themeColor="text1"/>
          <w:lang w:eastAsia="es-ES"/>
        </w:rPr>
        <w:t xml:space="preserve">Informar a </w:t>
      </w:r>
      <w:r w:rsidRPr="00865110">
        <w:rPr>
          <w:rFonts w:ascii="Arial Narrow" w:hAnsi="Arial Narrow" w:cs="Arial"/>
          <w:b/>
          <w:bCs/>
          <w:color w:val="000000" w:themeColor="text1"/>
          <w:lang w:eastAsia="es-ES"/>
        </w:rPr>
        <w:t>EL MIEMBRO</w:t>
      </w:r>
      <w:r w:rsidRPr="00865110">
        <w:rPr>
          <w:rFonts w:ascii="Arial Narrow" w:hAnsi="Arial Narrow" w:cs="Arial"/>
          <w:color w:val="000000" w:themeColor="text1"/>
          <w:lang w:eastAsia="es-ES"/>
        </w:rPr>
        <w:t xml:space="preserve">, en la medida en que sea posible, sobre las solicitudes que le hayan hecho las Autoridades Competentes en relación con información del mismo, de sus Terceros o de sus Miembros no Liquidadores o los Terceros de éstos. </w:t>
      </w:r>
    </w:p>
    <w:p w14:paraId="3CA6A2B0" w14:textId="77777777" w:rsidR="00865110" w:rsidRPr="00865110" w:rsidRDefault="00865110" w:rsidP="00DA7472">
      <w:pPr>
        <w:numPr>
          <w:ilvl w:val="0"/>
          <w:numId w:val="370"/>
        </w:numPr>
        <w:ind w:left="426"/>
        <w:jc w:val="both"/>
        <w:rPr>
          <w:rFonts w:ascii="Arial Narrow" w:hAnsi="Arial Narrow" w:cs="Arial"/>
          <w:color w:val="000000" w:themeColor="text1"/>
          <w:lang w:eastAsia="es-ES"/>
        </w:rPr>
      </w:pPr>
      <w:r w:rsidRPr="00865110">
        <w:rPr>
          <w:rFonts w:ascii="Arial Narrow" w:hAnsi="Arial Narrow" w:cs="Arial"/>
          <w:color w:val="000000" w:themeColor="text1"/>
          <w:lang w:eastAsia="es-ES"/>
        </w:rPr>
        <w:t xml:space="preserve">Registrar en las cuentas de </w:t>
      </w:r>
      <w:r w:rsidRPr="00865110">
        <w:rPr>
          <w:rFonts w:ascii="Arial Narrow" w:hAnsi="Arial Narrow" w:cs="Arial"/>
          <w:b/>
          <w:bCs/>
          <w:color w:val="000000" w:themeColor="text1"/>
          <w:lang w:eastAsia="es-ES"/>
        </w:rPr>
        <w:t>EL MIEMBRO</w:t>
      </w:r>
      <w:r w:rsidRPr="00865110">
        <w:rPr>
          <w:rFonts w:ascii="Arial Narrow" w:hAnsi="Arial Narrow" w:cs="Arial"/>
          <w:color w:val="000000" w:themeColor="text1"/>
          <w:lang w:eastAsia="es-ES"/>
        </w:rPr>
        <w:t xml:space="preserve">, de sus Terceros, de sus Miembros no Liquidadores o los Terceros de éstos, las Operaciones Aceptadas de acuerdo con lo establecido en el Reglamento. </w:t>
      </w:r>
    </w:p>
    <w:p w14:paraId="5FBC1A4B" w14:textId="77777777" w:rsidR="00865110" w:rsidRPr="00865110" w:rsidRDefault="00865110" w:rsidP="00DA7472">
      <w:pPr>
        <w:numPr>
          <w:ilvl w:val="0"/>
          <w:numId w:val="370"/>
        </w:numPr>
        <w:ind w:left="426"/>
        <w:jc w:val="both"/>
        <w:rPr>
          <w:rFonts w:ascii="Arial Narrow" w:hAnsi="Arial Narrow" w:cs="Arial"/>
          <w:color w:val="000000" w:themeColor="text1"/>
          <w:lang w:eastAsia="es-ES"/>
        </w:rPr>
      </w:pPr>
      <w:r w:rsidRPr="00865110">
        <w:rPr>
          <w:rFonts w:ascii="Arial Narrow" w:hAnsi="Arial Narrow" w:cs="Arial"/>
          <w:color w:val="000000" w:themeColor="text1"/>
          <w:lang w:eastAsia="es-ES"/>
        </w:rPr>
        <w:t xml:space="preserve">Calcular, exigir, recibir y administrar las Garantías otorgadas por </w:t>
      </w:r>
      <w:r w:rsidRPr="00865110">
        <w:rPr>
          <w:rFonts w:ascii="Arial Narrow" w:hAnsi="Arial Narrow" w:cs="Arial"/>
          <w:b/>
          <w:bCs/>
          <w:color w:val="000000" w:themeColor="text1"/>
          <w:lang w:eastAsia="es-ES"/>
        </w:rPr>
        <w:t>EL MIEMBRO</w:t>
      </w:r>
      <w:r w:rsidRPr="00865110">
        <w:rPr>
          <w:rFonts w:ascii="Arial Narrow" w:hAnsi="Arial Narrow" w:cs="Arial"/>
          <w:color w:val="000000" w:themeColor="text1"/>
          <w:lang w:eastAsia="es-ES"/>
        </w:rPr>
        <w:t xml:space="preserve">, por sus Terceros Identificados, por sus Miembros no Liquidadores o los Terceros de éstos, para el adecuado funcionamiento de </w:t>
      </w:r>
      <w:r w:rsidRPr="00865110">
        <w:rPr>
          <w:rFonts w:ascii="Arial Narrow" w:hAnsi="Arial Narrow" w:cs="Arial"/>
          <w:b/>
          <w:bCs/>
          <w:color w:val="000000" w:themeColor="text1"/>
          <w:lang w:eastAsia="es-ES"/>
        </w:rPr>
        <w:t>LA CRCC</w:t>
      </w:r>
      <w:r w:rsidRPr="00865110">
        <w:rPr>
          <w:rFonts w:ascii="Arial Narrow" w:hAnsi="Arial Narrow" w:cs="Arial"/>
          <w:color w:val="000000" w:themeColor="text1"/>
          <w:lang w:eastAsia="es-ES"/>
        </w:rPr>
        <w:t>.</w:t>
      </w:r>
    </w:p>
    <w:p w14:paraId="4E499FB7" w14:textId="77777777" w:rsidR="00865110" w:rsidRPr="00865110" w:rsidRDefault="00865110" w:rsidP="00DA7472">
      <w:pPr>
        <w:numPr>
          <w:ilvl w:val="0"/>
          <w:numId w:val="370"/>
        </w:numPr>
        <w:ind w:left="426"/>
        <w:jc w:val="both"/>
        <w:rPr>
          <w:rFonts w:ascii="Arial Narrow" w:hAnsi="Arial Narrow" w:cs="Arial"/>
          <w:color w:val="000000" w:themeColor="text1"/>
          <w:lang w:eastAsia="es-ES"/>
        </w:rPr>
      </w:pPr>
      <w:r w:rsidRPr="00865110">
        <w:rPr>
          <w:rFonts w:ascii="Arial Narrow" w:hAnsi="Arial Narrow" w:cs="Arial"/>
          <w:color w:val="000000" w:themeColor="text1"/>
          <w:lang w:eastAsia="es-ES"/>
        </w:rPr>
        <w:t xml:space="preserve">Informar sobre las Operaciones Aceptadas, rechazadas o anuladas por </w:t>
      </w:r>
      <w:r w:rsidRPr="00865110">
        <w:rPr>
          <w:rFonts w:ascii="Arial Narrow" w:hAnsi="Arial Narrow" w:cs="Arial"/>
          <w:b/>
          <w:color w:val="000000" w:themeColor="text1"/>
          <w:lang w:eastAsia="es-ES"/>
        </w:rPr>
        <w:t>LA CRCC</w:t>
      </w:r>
      <w:r w:rsidRPr="00865110">
        <w:rPr>
          <w:rFonts w:ascii="Arial Narrow" w:hAnsi="Arial Narrow" w:cs="Arial"/>
          <w:color w:val="000000" w:themeColor="text1"/>
          <w:lang w:eastAsia="es-ES"/>
        </w:rPr>
        <w:t xml:space="preserve">. </w:t>
      </w:r>
    </w:p>
    <w:p w14:paraId="7980FB9B" w14:textId="77777777" w:rsidR="00865110" w:rsidRPr="00865110" w:rsidRDefault="00865110" w:rsidP="00865110">
      <w:pPr>
        <w:ind w:left="357"/>
        <w:jc w:val="both"/>
        <w:rPr>
          <w:rFonts w:ascii="Arial Narrow" w:hAnsi="Arial Narrow" w:cs="Arial"/>
          <w:b/>
          <w:bCs/>
          <w:color w:val="000000" w:themeColor="text1"/>
          <w:u w:val="single"/>
          <w:lang w:val="es-ES" w:eastAsia="es-ES"/>
        </w:rPr>
      </w:pPr>
    </w:p>
    <w:p w14:paraId="64415820" w14:textId="77777777" w:rsidR="00865110" w:rsidRPr="00865110" w:rsidRDefault="00865110" w:rsidP="00865110">
      <w:pPr>
        <w:jc w:val="both"/>
        <w:rPr>
          <w:rFonts w:ascii="Arial Narrow" w:hAnsi="Arial Narrow" w:cs="Arial"/>
          <w:color w:val="000000" w:themeColor="text1"/>
          <w:lang w:eastAsia="es-ES"/>
        </w:rPr>
      </w:pPr>
      <w:r w:rsidRPr="00865110">
        <w:rPr>
          <w:rFonts w:ascii="Arial Narrow" w:hAnsi="Arial Narrow" w:cs="Arial"/>
          <w:b/>
          <w:bCs/>
          <w:color w:val="000000" w:themeColor="text1"/>
          <w:u w:val="single"/>
          <w:lang w:val="es-ES" w:eastAsia="es-ES"/>
        </w:rPr>
        <w:lastRenderedPageBreak/>
        <w:t>QUINTA. Vigencia.</w:t>
      </w:r>
      <w:r w:rsidRPr="00865110">
        <w:rPr>
          <w:rFonts w:ascii="Arial Narrow" w:hAnsi="Arial Narrow" w:cs="Arial"/>
          <w:b/>
          <w:bCs/>
          <w:color w:val="000000" w:themeColor="text1"/>
          <w:lang w:val="es-ES" w:eastAsia="es-ES"/>
        </w:rPr>
        <w:t xml:space="preserve">  </w:t>
      </w:r>
      <w:r w:rsidRPr="00865110">
        <w:rPr>
          <w:rFonts w:ascii="Arial Narrow" w:hAnsi="Arial Narrow" w:cs="Arial"/>
          <w:color w:val="000000" w:themeColor="text1"/>
          <w:lang w:eastAsia="es-ES"/>
        </w:rPr>
        <w:t xml:space="preserve">La presente Oferta estará vigente por un término de sesenta (60) días calendario, contados a partir del envío de la misma por parte de </w:t>
      </w:r>
      <w:r w:rsidRPr="00865110">
        <w:rPr>
          <w:rFonts w:ascii="Arial Narrow" w:hAnsi="Arial Narrow" w:cs="Arial"/>
          <w:b/>
          <w:color w:val="000000" w:themeColor="text1"/>
          <w:lang w:eastAsia="es-ES"/>
        </w:rPr>
        <w:t>LA CRCC</w:t>
      </w:r>
      <w:r w:rsidRPr="00865110">
        <w:rPr>
          <w:rFonts w:ascii="Arial Narrow" w:hAnsi="Arial Narrow" w:cs="Arial"/>
          <w:color w:val="000000" w:themeColor="text1"/>
          <w:lang w:eastAsia="es-ES"/>
        </w:rPr>
        <w:t xml:space="preserve"> a </w:t>
      </w:r>
      <w:r w:rsidRPr="00865110">
        <w:rPr>
          <w:rFonts w:ascii="Arial Narrow" w:hAnsi="Arial Narrow" w:cs="Arial"/>
          <w:b/>
          <w:color w:val="000000" w:themeColor="text1"/>
          <w:lang w:eastAsia="es-ES"/>
        </w:rPr>
        <w:t>EL MIEMBRO</w:t>
      </w:r>
      <w:r w:rsidRPr="00865110">
        <w:rPr>
          <w:rFonts w:ascii="Arial Narrow" w:hAnsi="Arial Narrow" w:cs="Arial"/>
          <w:color w:val="000000" w:themeColor="text1"/>
          <w:lang w:eastAsia="es-ES"/>
        </w:rPr>
        <w:t>,</w:t>
      </w:r>
      <w:r w:rsidRPr="00865110">
        <w:rPr>
          <w:rFonts w:ascii="Arial Narrow" w:hAnsi="Arial Narrow" w:cs="Arial"/>
          <w:b/>
          <w:color w:val="000000" w:themeColor="text1"/>
          <w:lang w:eastAsia="es-ES"/>
        </w:rPr>
        <w:t xml:space="preserve"> </w:t>
      </w:r>
      <w:r w:rsidRPr="00865110">
        <w:rPr>
          <w:rFonts w:ascii="Arial Narrow" w:hAnsi="Arial Narrow" w:cs="Arial"/>
          <w:color w:val="000000" w:themeColor="text1"/>
          <w:lang w:eastAsia="es-ES"/>
        </w:rPr>
        <w:t xml:space="preserve">transcurridos los cuales, de no haber aceptación a la misma por parte de </w:t>
      </w:r>
      <w:r w:rsidRPr="00865110">
        <w:rPr>
          <w:rFonts w:ascii="Arial Narrow" w:hAnsi="Arial Narrow" w:cs="Arial"/>
          <w:b/>
          <w:color w:val="000000" w:themeColor="text1"/>
          <w:lang w:eastAsia="es-ES"/>
        </w:rPr>
        <w:t>EL MIEMBRO</w:t>
      </w:r>
      <w:r w:rsidRPr="00865110">
        <w:rPr>
          <w:rFonts w:ascii="Arial Narrow" w:hAnsi="Arial Narrow" w:cs="Arial"/>
          <w:color w:val="000000" w:themeColor="text1"/>
          <w:lang w:eastAsia="es-ES"/>
        </w:rPr>
        <w:t xml:space="preserve">, se entenderá revocada. En caso de aceptación de esta Oferta por parte de </w:t>
      </w:r>
      <w:r w:rsidRPr="00865110">
        <w:rPr>
          <w:rFonts w:ascii="Arial Narrow" w:hAnsi="Arial Narrow" w:cs="Arial"/>
          <w:b/>
          <w:color w:val="000000" w:themeColor="text1"/>
          <w:lang w:eastAsia="es-ES"/>
        </w:rPr>
        <w:t>EL</w:t>
      </w:r>
      <w:r w:rsidRPr="00865110">
        <w:rPr>
          <w:rFonts w:ascii="Arial Narrow" w:hAnsi="Arial Narrow" w:cs="Arial"/>
          <w:color w:val="000000" w:themeColor="text1"/>
          <w:lang w:eastAsia="es-ES"/>
        </w:rPr>
        <w:t xml:space="preserve"> </w:t>
      </w:r>
      <w:r w:rsidRPr="00865110">
        <w:rPr>
          <w:rFonts w:ascii="Arial Narrow" w:hAnsi="Arial Narrow" w:cs="Arial"/>
          <w:b/>
          <w:color w:val="000000" w:themeColor="text1"/>
          <w:lang w:eastAsia="es-ES"/>
        </w:rPr>
        <w:t>MIEMBRO</w:t>
      </w:r>
      <w:r w:rsidRPr="00865110">
        <w:rPr>
          <w:rFonts w:ascii="Arial Narrow" w:hAnsi="Arial Narrow" w:cs="Arial"/>
          <w:color w:val="000000" w:themeColor="text1"/>
          <w:lang w:eastAsia="es-ES"/>
        </w:rPr>
        <w:t xml:space="preserve">, los términos y condiciones de la misma estarán vigentes en forma indefinida. </w:t>
      </w:r>
    </w:p>
    <w:p w14:paraId="39DEB657" w14:textId="77777777" w:rsidR="00865110" w:rsidRPr="00865110" w:rsidRDefault="00865110" w:rsidP="00865110">
      <w:pPr>
        <w:jc w:val="both"/>
        <w:rPr>
          <w:rFonts w:ascii="Arial Narrow" w:hAnsi="Arial Narrow" w:cs="Arial"/>
          <w:color w:val="000000" w:themeColor="text1"/>
          <w:lang w:eastAsia="es-ES"/>
        </w:rPr>
      </w:pPr>
    </w:p>
    <w:p w14:paraId="300604F8" w14:textId="77777777" w:rsidR="00865110" w:rsidRPr="00865110" w:rsidRDefault="00865110" w:rsidP="00865110">
      <w:pPr>
        <w:jc w:val="both"/>
        <w:rPr>
          <w:rFonts w:ascii="Arial Narrow" w:hAnsi="Arial Narrow" w:cs="Arial"/>
          <w:color w:val="000000" w:themeColor="text1"/>
          <w:lang w:eastAsia="es-ES"/>
        </w:rPr>
      </w:pPr>
      <w:r w:rsidRPr="00865110">
        <w:rPr>
          <w:rFonts w:ascii="Arial Narrow" w:hAnsi="Arial Narrow" w:cs="Arial"/>
          <w:color w:val="000000" w:themeColor="text1"/>
          <w:lang w:eastAsia="es-ES"/>
        </w:rPr>
        <w:t xml:space="preserve">No obstante lo anterior y sin perjuicio de lo dispuesto en el Reglamento, las partes podrán terminar en cualquier tiempo la afiliación al Sistema, mediante la entrega a la otra parte de un aviso escrito en tal sentido, remitida con no menos de treinta (30) días calendario de anticipación al día hábil en el cual desea que dicha terminación tenga efecto. </w:t>
      </w:r>
    </w:p>
    <w:p w14:paraId="71F95E01" w14:textId="77777777" w:rsidR="00865110" w:rsidRPr="00865110" w:rsidRDefault="00865110" w:rsidP="00865110">
      <w:pPr>
        <w:jc w:val="both"/>
        <w:rPr>
          <w:rFonts w:ascii="Arial Narrow" w:hAnsi="Arial Narrow" w:cs="Arial"/>
          <w:color w:val="000000" w:themeColor="text1"/>
          <w:lang w:eastAsia="es-ES"/>
        </w:rPr>
      </w:pPr>
    </w:p>
    <w:p w14:paraId="06984A3F" w14:textId="77777777" w:rsidR="00865110" w:rsidRPr="00865110" w:rsidRDefault="00865110" w:rsidP="00865110">
      <w:pPr>
        <w:jc w:val="both"/>
        <w:rPr>
          <w:rFonts w:ascii="Arial Narrow" w:hAnsi="Arial Narrow" w:cs="Arial"/>
          <w:color w:val="000000" w:themeColor="text1"/>
          <w:lang w:eastAsia="es-ES"/>
        </w:rPr>
      </w:pPr>
      <w:r w:rsidRPr="00865110">
        <w:rPr>
          <w:rFonts w:ascii="Arial Narrow" w:hAnsi="Arial Narrow" w:cs="Arial"/>
          <w:color w:val="000000" w:themeColor="text1"/>
          <w:lang w:eastAsia="es-ES"/>
        </w:rPr>
        <w:t xml:space="preserve">Igualmente, habrá lugar a la terminación unilateral si se presenta un incumplimiento de alguna de las obligaciones a cargo de una de las partes. </w:t>
      </w:r>
    </w:p>
    <w:p w14:paraId="1B650C5C" w14:textId="77777777" w:rsidR="00865110" w:rsidRPr="00865110" w:rsidRDefault="00865110" w:rsidP="00865110">
      <w:pPr>
        <w:jc w:val="both"/>
        <w:rPr>
          <w:rFonts w:ascii="Arial Narrow" w:hAnsi="Arial Narrow" w:cs="Arial"/>
          <w:b/>
          <w:bCs/>
          <w:color w:val="000000" w:themeColor="text1"/>
          <w:u w:val="single"/>
          <w:lang w:val="es-ES" w:eastAsia="es-ES"/>
        </w:rPr>
      </w:pPr>
    </w:p>
    <w:p w14:paraId="0E97E51D" w14:textId="77777777" w:rsidR="00865110" w:rsidRPr="00865110" w:rsidRDefault="00865110" w:rsidP="00865110">
      <w:pPr>
        <w:jc w:val="both"/>
        <w:rPr>
          <w:rFonts w:ascii="Arial Narrow" w:hAnsi="Arial Narrow" w:cs="Arial"/>
          <w:color w:val="000000" w:themeColor="text1"/>
          <w:lang w:val="es-ES" w:eastAsia="es-ES"/>
        </w:rPr>
      </w:pPr>
      <w:r w:rsidRPr="00865110">
        <w:rPr>
          <w:rFonts w:ascii="Arial Narrow" w:hAnsi="Arial Narrow" w:cs="Arial"/>
          <w:b/>
          <w:bCs/>
          <w:color w:val="000000" w:themeColor="text1"/>
          <w:u w:val="single"/>
          <w:lang w:val="es-ES" w:eastAsia="es-ES"/>
        </w:rPr>
        <w:t>SEXTA. Tarifas.</w:t>
      </w:r>
      <w:r w:rsidRPr="00865110">
        <w:rPr>
          <w:rFonts w:ascii="Arial Narrow" w:hAnsi="Arial Narrow" w:cs="Arial"/>
          <w:b/>
          <w:bCs/>
          <w:color w:val="000000" w:themeColor="text1"/>
          <w:lang w:val="es-ES" w:eastAsia="es-ES"/>
        </w:rPr>
        <w:t xml:space="preserve"> </w:t>
      </w:r>
      <w:r w:rsidRPr="00865110">
        <w:rPr>
          <w:rFonts w:ascii="Arial Narrow" w:hAnsi="Arial Narrow" w:cs="Arial"/>
          <w:b/>
          <w:color w:val="000000" w:themeColor="text1"/>
          <w:lang w:val="es-ES" w:eastAsia="es-ES"/>
        </w:rPr>
        <w:t>EL MIEMBRO</w:t>
      </w:r>
      <w:r w:rsidRPr="00865110">
        <w:rPr>
          <w:rFonts w:ascii="Arial Narrow" w:hAnsi="Arial Narrow" w:cs="Arial"/>
          <w:color w:val="000000" w:themeColor="text1"/>
          <w:lang w:val="es-ES" w:eastAsia="es-ES"/>
        </w:rPr>
        <w:t xml:space="preserve"> es responsable frente a </w:t>
      </w:r>
      <w:r w:rsidRPr="00865110">
        <w:rPr>
          <w:rFonts w:ascii="Arial Narrow" w:hAnsi="Arial Narrow" w:cs="Arial"/>
          <w:b/>
          <w:color w:val="000000" w:themeColor="text1"/>
          <w:lang w:val="es-ES" w:eastAsia="es-ES"/>
        </w:rPr>
        <w:t>LA CRCC</w:t>
      </w:r>
      <w:r w:rsidRPr="00865110">
        <w:rPr>
          <w:rFonts w:ascii="Arial Narrow" w:hAnsi="Arial Narrow" w:cs="Arial"/>
          <w:color w:val="000000" w:themeColor="text1"/>
          <w:lang w:val="es-ES" w:eastAsia="es-ES"/>
        </w:rPr>
        <w:t xml:space="preserve"> del pago de las tarifas y demás cargos que determine </w:t>
      </w:r>
      <w:r w:rsidRPr="00865110">
        <w:rPr>
          <w:rFonts w:ascii="Arial Narrow" w:hAnsi="Arial Narrow" w:cs="Arial"/>
          <w:b/>
          <w:color w:val="000000" w:themeColor="text1"/>
          <w:lang w:val="es-ES" w:eastAsia="es-ES"/>
        </w:rPr>
        <w:t xml:space="preserve">LA CRCC </w:t>
      </w:r>
      <w:r w:rsidRPr="00865110">
        <w:rPr>
          <w:rFonts w:ascii="Arial Narrow" w:hAnsi="Arial Narrow" w:cs="Arial"/>
          <w:color w:val="000000" w:themeColor="text1"/>
          <w:lang w:val="es-ES" w:eastAsia="es-ES"/>
        </w:rPr>
        <w:t xml:space="preserve">por Circular. Dichos pagos se deberán efectuar en los términos y condiciones establecidos por </w:t>
      </w:r>
      <w:r w:rsidRPr="00865110">
        <w:rPr>
          <w:rFonts w:ascii="Arial Narrow" w:hAnsi="Arial Narrow" w:cs="Arial"/>
          <w:b/>
          <w:color w:val="000000" w:themeColor="text1"/>
          <w:lang w:val="es-ES" w:eastAsia="es-ES"/>
        </w:rPr>
        <w:t>LA CRCC</w:t>
      </w:r>
      <w:r w:rsidRPr="00865110">
        <w:rPr>
          <w:rFonts w:ascii="Arial Narrow" w:hAnsi="Arial Narrow" w:cs="Arial"/>
          <w:color w:val="000000" w:themeColor="text1"/>
          <w:lang w:val="es-ES" w:eastAsia="es-ES"/>
        </w:rPr>
        <w:t xml:space="preserve"> mediante Circular. </w:t>
      </w:r>
    </w:p>
    <w:p w14:paraId="743D4C25" w14:textId="77777777" w:rsidR="00865110" w:rsidRPr="00865110" w:rsidRDefault="00865110" w:rsidP="00865110">
      <w:pPr>
        <w:jc w:val="both"/>
        <w:rPr>
          <w:rFonts w:ascii="Arial Narrow" w:hAnsi="Arial Narrow" w:cs="Arial"/>
          <w:color w:val="000000" w:themeColor="text1"/>
          <w:lang w:val="es-ES" w:eastAsia="es-ES"/>
        </w:rPr>
      </w:pPr>
    </w:p>
    <w:p w14:paraId="6E9F13A3" w14:textId="77777777" w:rsidR="00865110" w:rsidRPr="00865110" w:rsidRDefault="00865110" w:rsidP="00865110">
      <w:pPr>
        <w:jc w:val="both"/>
        <w:rPr>
          <w:rFonts w:ascii="Arial Narrow" w:hAnsi="Arial Narrow" w:cs="Arial"/>
          <w:color w:val="000000" w:themeColor="text1"/>
          <w:lang w:eastAsia="es-ES"/>
        </w:rPr>
      </w:pPr>
      <w:r w:rsidRPr="00865110">
        <w:rPr>
          <w:rFonts w:ascii="Arial Narrow" w:hAnsi="Arial Narrow" w:cs="Arial"/>
          <w:color w:val="000000" w:themeColor="text1"/>
          <w:lang w:eastAsia="es-ES"/>
        </w:rPr>
        <w:t xml:space="preserve">El valor de las tarifas no incluye el impuesto al valor agregado, pero este será facturado de acuerdo con la tarifa y procedimientos vigentes al momento de su causación. </w:t>
      </w:r>
    </w:p>
    <w:p w14:paraId="67C13924" w14:textId="77777777" w:rsidR="00865110" w:rsidRPr="00865110" w:rsidRDefault="00865110" w:rsidP="00865110">
      <w:pPr>
        <w:jc w:val="both"/>
        <w:rPr>
          <w:rFonts w:ascii="Arial Narrow" w:hAnsi="Arial Narrow" w:cs="Arial"/>
          <w:color w:val="000000" w:themeColor="text1"/>
          <w:lang w:eastAsia="es-ES"/>
        </w:rPr>
      </w:pPr>
    </w:p>
    <w:p w14:paraId="7ABA0DB0" w14:textId="77777777" w:rsidR="00865110" w:rsidRPr="00865110" w:rsidRDefault="00865110" w:rsidP="00865110">
      <w:pPr>
        <w:jc w:val="both"/>
        <w:rPr>
          <w:rFonts w:ascii="Arial Narrow" w:hAnsi="Arial Narrow" w:cs="Arial"/>
          <w:color w:val="000000" w:themeColor="text1"/>
          <w:lang w:eastAsia="es-ES"/>
        </w:rPr>
      </w:pPr>
      <w:r w:rsidRPr="00865110">
        <w:rPr>
          <w:rFonts w:ascii="Arial Narrow" w:hAnsi="Arial Narrow" w:cs="Arial"/>
          <w:b/>
          <w:color w:val="000000" w:themeColor="text1"/>
          <w:lang w:eastAsia="es-ES"/>
        </w:rPr>
        <w:t>LA CRCC</w:t>
      </w:r>
      <w:r w:rsidRPr="00865110">
        <w:rPr>
          <w:rFonts w:ascii="Arial Narrow" w:hAnsi="Arial Narrow" w:cs="Arial"/>
          <w:color w:val="000000" w:themeColor="text1"/>
          <w:lang w:eastAsia="es-ES"/>
        </w:rPr>
        <w:t xml:space="preserve"> se reserva el derecho de revisar y ajustar la tarifa vigente de conformidad con lo dispuesto en el Reglamento. </w:t>
      </w:r>
    </w:p>
    <w:p w14:paraId="4EAC238E" w14:textId="77777777" w:rsidR="00865110" w:rsidRPr="00865110" w:rsidRDefault="00865110" w:rsidP="00865110">
      <w:pPr>
        <w:jc w:val="both"/>
        <w:rPr>
          <w:rFonts w:ascii="Arial Narrow" w:hAnsi="Arial Narrow" w:cs="Arial"/>
          <w:color w:val="000000" w:themeColor="text1"/>
          <w:lang w:eastAsia="es-ES"/>
        </w:rPr>
      </w:pPr>
    </w:p>
    <w:p w14:paraId="3CDCD9ED" w14:textId="77777777" w:rsidR="00865110" w:rsidRPr="00865110" w:rsidRDefault="00865110" w:rsidP="00865110">
      <w:pPr>
        <w:jc w:val="both"/>
        <w:rPr>
          <w:rFonts w:ascii="Arial Narrow" w:hAnsi="Arial Narrow" w:cs="Arial"/>
          <w:color w:val="000000" w:themeColor="text1"/>
          <w:lang w:val="es-ES" w:eastAsia="es-ES"/>
        </w:rPr>
      </w:pPr>
      <w:r w:rsidRPr="00865110">
        <w:rPr>
          <w:rFonts w:ascii="Arial Narrow" w:hAnsi="Arial Narrow" w:cs="Arial"/>
          <w:b/>
          <w:bCs/>
          <w:color w:val="000000" w:themeColor="text1"/>
          <w:u w:val="single"/>
          <w:lang w:val="pt-BR" w:eastAsia="es-ES"/>
        </w:rPr>
        <w:t>SÉPTIMA.</w:t>
      </w:r>
      <w:r w:rsidRPr="00865110">
        <w:rPr>
          <w:rFonts w:ascii="Arial Narrow" w:hAnsi="Arial Narrow" w:cs="Arial"/>
          <w:b/>
          <w:bCs/>
          <w:i/>
          <w:iCs/>
          <w:color w:val="000000" w:themeColor="text1"/>
          <w:u w:val="single"/>
          <w:lang w:val="pt-BR" w:eastAsia="es-ES"/>
        </w:rPr>
        <w:t xml:space="preserve"> </w:t>
      </w:r>
      <w:proofErr w:type="spellStart"/>
      <w:r w:rsidRPr="00865110">
        <w:rPr>
          <w:rFonts w:ascii="Arial Narrow" w:hAnsi="Arial Narrow" w:cs="Arial"/>
          <w:b/>
          <w:bCs/>
          <w:color w:val="000000" w:themeColor="text1"/>
          <w:u w:val="single"/>
          <w:lang w:val="pt-BR" w:eastAsia="es-ES"/>
        </w:rPr>
        <w:t>Soporte</w:t>
      </w:r>
      <w:proofErr w:type="spellEnd"/>
      <w:r w:rsidRPr="00865110">
        <w:rPr>
          <w:rFonts w:ascii="Arial Narrow" w:hAnsi="Arial Narrow" w:cs="Arial"/>
          <w:b/>
          <w:bCs/>
          <w:color w:val="000000" w:themeColor="text1"/>
          <w:u w:val="single"/>
          <w:lang w:val="pt-BR" w:eastAsia="es-ES"/>
        </w:rPr>
        <w:t xml:space="preserve"> lógico o “software”.</w:t>
      </w:r>
      <w:r w:rsidRPr="00865110">
        <w:rPr>
          <w:rFonts w:ascii="Arial Narrow" w:hAnsi="Arial Narrow" w:cs="Arial"/>
          <w:b/>
          <w:bCs/>
          <w:color w:val="000000" w:themeColor="text1"/>
          <w:lang w:val="pt-BR" w:eastAsia="es-ES"/>
        </w:rPr>
        <w:t xml:space="preserve"> </w:t>
      </w:r>
      <w:r w:rsidRPr="00865110">
        <w:rPr>
          <w:rFonts w:ascii="Arial Narrow" w:hAnsi="Arial Narrow" w:cs="Arial"/>
          <w:b/>
          <w:color w:val="000000" w:themeColor="text1"/>
          <w:lang w:val="es-ES" w:eastAsia="es-ES"/>
        </w:rPr>
        <w:t>LA CRCC</w:t>
      </w:r>
      <w:r w:rsidRPr="00865110">
        <w:rPr>
          <w:rFonts w:ascii="Arial Narrow" w:hAnsi="Arial Narrow" w:cs="Arial"/>
          <w:color w:val="000000" w:themeColor="text1"/>
          <w:lang w:val="es-ES" w:eastAsia="es-ES"/>
        </w:rPr>
        <w:t xml:space="preserve"> declara expresamente que el soporte lógico o </w:t>
      </w:r>
      <w:r w:rsidRPr="00865110">
        <w:rPr>
          <w:rFonts w:ascii="Arial Narrow" w:hAnsi="Arial Narrow" w:cs="Arial"/>
          <w:bCs/>
          <w:color w:val="000000" w:themeColor="text1"/>
          <w:lang w:val="es-ES" w:eastAsia="es-ES"/>
        </w:rPr>
        <w:t>“</w:t>
      </w:r>
      <w:r w:rsidRPr="00865110">
        <w:rPr>
          <w:rFonts w:ascii="Arial Narrow" w:hAnsi="Arial Narrow" w:cs="Arial"/>
          <w:color w:val="000000" w:themeColor="text1"/>
          <w:lang w:val="es-ES" w:eastAsia="es-ES"/>
        </w:rPr>
        <w:t>software</w:t>
      </w:r>
      <w:r w:rsidRPr="00865110">
        <w:rPr>
          <w:rFonts w:ascii="Arial Narrow" w:hAnsi="Arial Narrow" w:cs="Arial"/>
          <w:bCs/>
          <w:color w:val="000000" w:themeColor="text1"/>
          <w:lang w:val="es-ES" w:eastAsia="es-ES"/>
        </w:rPr>
        <w:t>”</w:t>
      </w:r>
      <w:r w:rsidRPr="00865110">
        <w:rPr>
          <w:rFonts w:ascii="Arial Narrow" w:hAnsi="Arial Narrow" w:cs="Arial"/>
          <w:color w:val="000000" w:themeColor="text1"/>
          <w:lang w:val="es-ES" w:eastAsia="es-ES"/>
        </w:rPr>
        <w:t xml:space="preserve"> que se utilizará para la operación del Sistema ha sido desarrollado o licenciado por </w:t>
      </w:r>
      <w:r w:rsidRPr="00865110">
        <w:rPr>
          <w:rFonts w:ascii="Arial Narrow" w:hAnsi="Arial Narrow" w:cs="Arial"/>
          <w:b/>
          <w:color w:val="000000" w:themeColor="text1"/>
          <w:lang w:val="es-ES" w:eastAsia="es-ES"/>
        </w:rPr>
        <w:t>LA CRCC,</w:t>
      </w:r>
      <w:r w:rsidRPr="00865110">
        <w:rPr>
          <w:rFonts w:ascii="Arial Narrow" w:hAnsi="Arial Narrow" w:cs="Arial"/>
          <w:color w:val="000000" w:themeColor="text1"/>
          <w:lang w:val="es-ES" w:eastAsia="es-ES"/>
        </w:rPr>
        <w:t xml:space="preserve"> o por contratistas autorizados por ésta. </w:t>
      </w:r>
    </w:p>
    <w:p w14:paraId="7FA11CAE" w14:textId="77777777" w:rsidR="00865110" w:rsidRPr="00865110" w:rsidRDefault="00865110" w:rsidP="00865110">
      <w:pPr>
        <w:jc w:val="both"/>
        <w:rPr>
          <w:rFonts w:ascii="Arial Narrow" w:hAnsi="Arial Narrow" w:cs="Arial"/>
          <w:color w:val="000000" w:themeColor="text1"/>
          <w:lang w:val="es-ES" w:eastAsia="es-ES"/>
        </w:rPr>
      </w:pPr>
    </w:p>
    <w:p w14:paraId="62D63944" w14:textId="77777777" w:rsidR="00865110" w:rsidRPr="00865110" w:rsidRDefault="00865110" w:rsidP="00865110">
      <w:pPr>
        <w:jc w:val="both"/>
        <w:rPr>
          <w:rFonts w:ascii="Arial Narrow" w:hAnsi="Arial Narrow" w:cs="Arial"/>
          <w:b/>
          <w:bCs/>
          <w:color w:val="000000" w:themeColor="text1"/>
          <w:lang w:val="es-ES" w:eastAsia="es-ES"/>
        </w:rPr>
      </w:pPr>
      <w:r w:rsidRPr="00865110">
        <w:rPr>
          <w:rFonts w:ascii="Arial Narrow" w:hAnsi="Arial Narrow" w:cs="Arial"/>
          <w:color w:val="000000" w:themeColor="text1"/>
          <w:lang w:val="es-ES" w:eastAsia="es-ES"/>
        </w:rPr>
        <w:t xml:space="preserve">Para todos los efectos de esta Oferta, el referido soporte lógico o </w:t>
      </w:r>
      <w:r w:rsidRPr="00865110">
        <w:rPr>
          <w:rFonts w:ascii="Arial Narrow" w:hAnsi="Arial Narrow" w:cs="Arial"/>
          <w:bCs/>
          <w:color w:val="000000" w:themeColor="text1"/>
          <w:lang w:val="es-ES" w:eastAsia="es-ES"/>
        </w:rPr>
        <w:t>“</w:t>
      </w:r>
      <w:r w:rsidRPr="00865110">
        <w:rPr>
          <w:rFonts w:ascii="Arial Narrow" w:hAnsi="Arial Narrow" w:cs="Arial"/>
          <w:color w:val="000000" w:themeColor="text1"/>
          <w:lang w:val="es-ES" w:eastAsia="es-ES"/>
        </w:rPr>
        <w:t>software</w:t>
      </w:r>
      <w:r w:rsidRPr="00865110">
        <w:rPr>
          <w:rFonts w:ascii="Arial Narrow" w:hAnsi="Arial Narrow" w:cs="Arial"/>
          <w:bCs/>
          <w:color w:val="000000" w:themeColor="text1"/>
          <w:lang w:val="es-ES" w:eastAsia="es-ES"/>
        </w:rPr>
        <w:t>”</w:t>
      </w:r>
      <w:r w:rsidRPr="00865110">
        <w:rPr>
          <w:rFonts w:ascii="Arial Narrow" w:hAnsi="Arial Narrow" w:cs="Arial"/>
          <w:color w:val="000000" w:themeColor="text1"/>
          <w:lang w:val="es-ES" w:eastAsia="es-ES"/>
        </w:rPr>
        <w:t> en adelante se denominará indistintamente Software y esta Oferta se sujetará a las condiciones y términos de la licencia.</w:t>
      </w:r>
    </w:p>
    <w:p w14:paraId="4F5FE1DC" w14:textId="77777777" w:rsidR="00865110" w:rsidRPr="00865110" w:rsidRDefault="00865110" w:rsidP="00865110">
      <w:pPr>
        <w:jc w:val="both"/>
        <w:rPr>
          <w:rFonts w:ascii="Arial Narrow" w:hAnsi="Arial Narrow" w:cs="Arial"/>
          <w:b/>
          <w:bCs/>
          <w:color w:val="000000" w:themeColor="text1"/>
          <w:u w:val="single"/>
          <w:lang w:val="es-ES" w:eastAsia="es-ES"/>
        </w:rPr>
      </w:pPr>
    </w:p>
    <w:p w14:paraId="2C688DF0" w14:textId="77777777" w:rsidR="00865110" w:rsidRPr="00865110" w:rsidRDefault="00865110" w:rsidP="00865110">
      <w:pPr>
        <w:jc w:val="both"/>
        <w:rPr>
          <w:rFonts w:ascii="Arial Narrow" w:hAnsi="Arial Narrow" w:cs="Arial"/>
          <w:i/>
          <w:iCs/>
          <w:color w:val="000000" w:themeColor="text1"/>
          <w:lang w:val="es-ES" w:eastAsia="es-ES"/>
        </w:rPr>
      </w:pPr>
      <w:r w:rsidRPr="00865110">
        <w:rPr>
          <w:rFonts w:ascii="Arial Narrow" w:hAnsi="Arial Narrow" w:cs="Arial"/>
          <w:b/>
          <w:bCs/>
          <w:color w:val="000000" w:themeColor="text1"/>
          <w:u w:val="single"/>
          <w:lang w:val="es-ES" w:eastAsia="es-ES"/>
        </w:rPr>
        <w:t>OCTAVA. Confidencialidad y protección de las leyes de propiedad intelectual.</w:t>
      </w:r>
      <w:r w:rsidRPr="00865110">
        <w:rPr>
          <w:rFonts w:ascii="Arial Narrow" w:hAnsi="Arial Narrow" w:cs="Arial"/>
          <w:b/>
          <w:bCs/>
          <w:color w:val="000000" w:themeColor="text1"/>
          <w:lang w:val="es-ES" w:eastAsia="es-ES"/>
        </w:rPr>
        <w:t xml:space="preserve">  </w:t>
      </w:r>
      <w:r w:rsidRPr="00865110">
        <w:rPr>
          <w:rFonts w:ascii="Arial Narrow" w:hAnsi="Arial Narrow" w:cs="Arial"/>
          <w:color w:val="000000" w:themeColor="text1"/>
          <w:lang w:val="es-ES" w:eastAsia="es-ES"/>
        </w:rPr>
        <w:t xml:space="preserve">En consideración a lo dispuesto en el artículo anterior, </w:t>
      </w:r>
      <w:r w:rsidRPr="00865110">
        <w:rPr>
          <w:rFonts w:ascii="Arial Narrow" w:hAnsi="Arial Narrow" w:cs="Arial"/>
          <w:b/>
          <w:color w:val="000000" w:themeColor="text1"/>
          <w:lang w:val="es-ES" w:eastAsia="es-ES"/>
        </w:rPr>
        <w:t>EL MIEMBRO</w:t>
      </w:r>
      <w:r w:rsidRPr="00865110">
        <w:rPr>
          <w:rFonts w:ascii="Arial Narrow" w:hAnsi="Arial Narrow" w:cs="Arial"/>
          <w:color w:val="000000" w:themeColor="text1"/>
          <w:lang w:val="es-ES" w:eastAsia="es-ES"/>
        </w:rPr>
        <w:t xml:space="preserve"> se obliga a respetar las normas y obligaciones que rigen las licencias respectivas y a hacer extensivas dichas normas y obligaciones a cada persona que utilice directa o indirectamente el Software correspondiente. </w:t>
      </w:r>
      <w:r w:rsidRPr="00865110">
        <w:rPr>
          <w:rFonts w:ascii="Arial Narrow" w:hAnsi="Arial Narrow" w:cs="Arial"/>
          <w:i/>
          <w:iCs/>
          <w:color w:val="000000" w:themeColor="text1"/>
          <w:lang w:val="es-ES" w:eastAsia="es-ES"/>
        </w:rPr>
        <w:t> </w:t>
      </w:r>
    </w:p>
    <w:p w14:paraId="421A01EF" w14:textId="77777777" w:rsidR="00865110" w:rsidRPr="00865110" w:rsidRDefault="00865110" w:rsidP="00865110">
      <w:pPr>
        <w:jc w:val="both"/>
        <w:rPr>
          <w:rFonts w:ascii="Arial Narrow" w:hAnsi="Arial Narrow" w:cs="Arial"/>
          <w:color w:val="000000" w:themeColor="text1"/>
          <w:lang w:val="es-ES" w:eastAsia="es-ES"/>
        </w:rPr>
      </w:pPr>
    </w:p>
    <w:p w14:paraId="7AC90E2E" w14:textId="77777777" w:rsidR="00865110" w:rsidRPr="00865110" w:rsidRDefault="00865110" w:rsidP="00865110">
      <w:pPr>
        <w:jc w:val="both"/>
        <w:rPr>
          <w:rFonts w:ascii="Arial Narrow" w:hAnsi="Arial Narrow" w:cs="Arial"/>
          <w:color w:val="000000" w:themeColor="text1"/>
          <w:lang w:val="es-ES" w:eastAsia="es-ES"/>
        </w:rPr>
      </w:pPr>
      <w:r w:rsidRPr="00865110">
        <w:rPr>
          <w:rFonts w:ascii="Arial Narrow" w:hAnsi="Arial Narrow" w:cs="Arial"/>
          <w:color w:val="000000" w:themeColor="text1"/>
          <w:lang w:val="es-ES" w:eastAsia="es-ES"/>
        </w:rPr>
        <w:t xml:space="preserve">En consecuencia, </w:t>
      </w:r>
      <w:r w:rsidRPr="00865110">
        <w:rPr>
          <w:rFonts w:ascii="Arial Narrow" w:hAnsi="Arial Narrow" w:cs="Arial"/>
          <w:b/>
          <w:color w:val="000000" w:themeColor="text1"/>
          <w:lang w:val="es-ES" w:eastAsia="es-ES"/>
        </w:rPr>
        <w:t>EL MIEMBRO</w:t>
      </w:r>
      <w:r w:rsidRPr="00865110">
        <w:rPr>
          <w:rFonts w:ascii="Arial Narrow" w:hAnsi="Arial Narrow" w:cs="Arial"/>
          <w:color w:val="000000" w:themeColor="text1"/>
          <w:lang w:val="es-ES" w:eastAsia="es-ES"/>
        </w:rPr>
        <w:t xml:space="preserve"> y los usuarios del mismo que tengan acceso directo o indirecto a la información mediante su conexión al Software, se sujetan, pero sin limitarse a, las siguientes prohibiciones:</w:t>
      </w:r>
    </w:p>
    <w:p w14:paraId="0E31EB2F" w14:textId="77777777" w:rsidR="00865110" w:rsidRPr="00865110" w:rsidRDefault="00865110" w:rsidP="00865110">
      <w:pPr>
        <w:jc w:val="both"/>
        <w:rPr>
          <w:rFonts w:ascii="Arial Narrow" w:hAnsi="Arial Narrow" w:cs="Arial"/>
          <w:color w:val="000000" w:themeColor="text1"/>
          <w:lang w:val="es-ES" w:eastAsia="es-ES"/>
        </w:rPr>
      </w:pPr>
    </w:p>
    <w:p w14:paraId="2C180FEA" w14:textId="77777777" w:rsidR="00865110" w:rsidRPr="00865110" w:rsidRDefault="00865110" w:rsidP="00DA7472">
      <w:pPr>
        <w:numPr>
          <w:ilvl w:val="0"/>
          <w:numId w:val="371"/>
        </w:numPr>
        <w:ind w:left="284"/>
        <w:jc w:val="both"/>
        <w:rPr>
          <w:rFonts w:ascii="Arial Narrow" w:hAnsi="Arial Narrow" w:cs="Arial"/>
          <w:color w:val="000000" w:themeColor="text1"/>
          <w:lang w:eastAsia="es-ES"/>
        </w:rPr>
      </w:pPr>
      <w:r w:rsidRPr="00865110">
        <w:rPr>
          <w:rFonts w:ascii="Arial Narrow" w:hAnsi="Arial Narrow" w:cs="Arial"/>
          <w:color w:val="000000" w:themeColor="text1"/>
          <w:lang w:eastAsia="es-ES"/>
        </w:rPr>
        <w:t xml:space="preserve">Ceder a cualquier título la propiedad, uso y/o goce, parcial o totalmente, de alguno o parte del Software que utilice o acceda, en virtud de cualesquiera acuerdos o convenios que celebre con </w:t>
      </w:r>
      <w:r w:rsidRPr="00865110">
        <w:rPr>
          <w:rFonts w:ascii="Arial Narrow" w:hAnsi="Arial Narrow" w:cs="Arial"/>
          <w:b/>
          <w:bCs/>
          <w:color w:val="000000" w:themeColor="text1"/>
          <w:lang w:eastAsia="es-ES"/>
        </w:rPr>
        <w:t>LA CRCC</w:t>
      </w:r>
      <w:r w:rsidRPr="00865110">
        <w:rPr>
          <w:rFonts w:ascii="Arial Narrow" w:hAnsi="Arial Narrow" w:cs="Arial"/>
          <w:color w:val="000000" w:themeColor="text1"/>
          <w:lang w:eastAsia="es-ES"/>
        </w:rPr>
        <w:t xml:space="preserve">. </w:t>
      </w:r>
    </w:p>
    <w:p w14:paraId="3227536F" w14:textId="77777777" w:rsidR="00865110" w:rsidRPr="00865110" w:rsidRDefault="00865110" w:rsidP="00DA7472">
      <w:pPr>
        <w:numPr>
          <w:ilvl w:val="0"/>
          <w:numId w:val="371"/>
        </w:numPr>
        <w:ind w:left="284"/>
        <w:jc w:val="both"/>
        <w:rPr>
          <w:rFonts w:ascii="Arial Narrow" w:hAnsi="Arial Narrow" w:cs="Arial"/>
          <w:color w:val="000000" w:themeColor="text1"/>
          <w:lang w:eastAsia="es-ES"/>
        </w:rPr>
      </w:pPr>
      <w:r w:rsidRPr="00865110">
        <w:rPr>
          <w:rFonts w:ascii="Arial Narrow" w:hAnsi="Arial Narrow" w:cs="Arial"/>
          <w:color w:val="000000" w:themeColor="text1"/>
          <w:lang w:eastAsia="es-ES"/>
        </w:rPr>
        <w:t xml:space="preserve">Comunicar, divulgar, traspasar, publicar o cualquier otro acto que permita a terceros acceder de alguna forma a información, datos técnicos, estructura u otros elementos o características del o de los Software </w:t>
      </w:r>
      <w:r w:rsidRPr="00865110">
        <w:rPr>
          <w:rFonts w:ascii="Arial Narrow" w:hAnsi="Arial Narrow" w:cs="Arial"/>
          <w:color w:val="000000" w:themeColor="text1"/>
          <w:lang w:eastAsia="es-ES"/>
        </w:rPr>
        <w:lastRenderedPageBreak/>
        <w:t>que utilice en virtud de esta Oferta. Así mismo, no podrá desarticular, investigar la estructura y/o efectuar ingeniería en reversa sobre el o los Software a que pueda acceder en virtud de esta Oferta.</w:t>
      </w:r>
    </w:p>
    <w:p w14:paraId="29B8917B" w14:textId="77777777" w:rsidR="00865110" w:rsidRPr="00865110" w:rsidRDefault="00865110" w:rsidP="00DA7472">
      <w:pPr>
        <w:numPr>
          <w:ilvl w:val="0"/>
          <w:numId w:val="371"/>
        </w:numPr>
        <w:ind w:left="284"/>
        <w:jc w:val="both"/>
        <w:rPr>
          <w:rFonts w:ascii="Arial Narrow" w:hAnsi="Arial Narrow" w:cs="Arial"/>
          <w:color w:val="000000" w:themeColor="text1"/>
          <w:lang w:val="es-ES" w:eastAsia="es-ES"/>
        </w:rPr>
      </w:pPr>
      <w:r w:rsidRPr="00865110">
        <w:rPr>
          <w:rFonts w:ascii="Arial Narrow" w:hAnsi="Arial Narrow" w:cs="Arial"/>
          <w:color w:val="000000" w:themeColor="text1"/>
          <w:lang w:eastAsia="es-ES"/>
        </w:rPr>
        <w:t xml:space="preserve">Todo acto o acción que no sea el de hacer exclusivamente uso, procesamiento y/o aplicación de la información financiera a que pueda acceder en virtud de la presente Oferta, en las condiciones y formas en ella establecidas o autorizadas por </w:t>
      </w:r>
      <w:r w:rsidRPr="00865110">
        <w:rPr>
          <w:rFonts w:ascii="Arial Narrow" w:hAnsi="Arial Narrow" w:cs="Arial"/>
          <w:b/>
          <w:color w:val="000000" w:themeColor="text1"/>
          <w:lang w:eastAsia="es-ES"/>
        </w:rPr>
        <w:t>LA CRCC</w:t>
      </w:r>
      <w:r w:rsidRPr="00865110">
        <w:rPr>
          <w:rFonts w:ascii="Arial Narrow" w:hAnsi="Arial Narrow" w:cs="Arial"/>
          <w:color w:val="000000" w:themeColor="text1"/>
          <w:lang w:eastAsia="es-ES"/>
        </w:rPr>
        <w:t xml:space="preserve"> o la ley y, especialmente, si ese acto o acción puede perjudicar las licencias o derechos que tenga </w:t>
      </w:r>
      <w:r w:rsidRPr="00865110">
        <w:rPr>
          <w:rFonts w:ascii="Arial Narrow" w:hAnsi="Arial Narrow" w:cs="Arial"/>
          <w:b/>
          <w:color w:val="000000" w:themeColor="text1"/>
          <w:lang w:eastAsia="es-ES"/>
        </w:rPr>
        <w:t xml:space="preserve">LA CRCC </w:t>
      </w:r>
      <w:r w:rsidRPr="00865110">
        <w:rPr>
          <w:rFonts w:ascii="Arial Narrow" w:hAnsi="Arial Narrow" w:cs="Arial"/>
          <w:color w:val="000000" w:themeColor="text1"/>
          <w:lang w:eastAsia="es-ES"/>
        </w:rPr>
        <w:t xml:space="preserve">sobre alguno o algunos de los </w:t>
      </w:r>
      <w:r w:rsidRPr="00865110">
        <w:rPr>
          <w:rFonts w:ascii="Arial Narrow" w:hAnsi="Arial Narrow" w:cs="Arial"/>
          <w:color w:val="000000" w:themeColor="text1"/>
          <w:lang w:val="es-ES" w:eastAsia="es-ES"/>
        </w:rPr>
        <w:t>Software</w:t>
      </w:r>
      <w:r w:rsidRPr="00865110">
        <w:rPr>
          <w:rFonts w:ascii="Arial Narrow" w:hAnsi="Arial Narrow" w:cs="Arial"/>
          <w:color w:val="000000" w:themeColor="text1"/>
          <w:lang w:eastAsia="es-ES"/>
        </w:rPr>
        <w:t xml:space="preserve"> que se utilicen para el suministro de la información.</w:t>
      </w:r>
    </w:p>
    <w:p w14:paraId="28B1F274" w14:textId="77777777" w:rsidR="00865110" w:rsidRPr="00865110" w:rsidRDefault="00865110" w:rsidP="00865110">
      <w:pPr>
        <w:ind w:left="284"/>
        <w:jc w:val="both"/>
        <w:rPr>
          <w:rFonts w:ascii="Arial Narrow" w:hAnsi="Arial Narrow" w:cs="Arial"/>
          <w:color w:val="000000" w:themeColor="text1"/>
          <w:lang w:val="es-ES" w:eastAsia="es-ES"/>
        </w:rPr>
      </w:pPr>
    </w:p>
    <w:p w14:paraId="4DAF0CA7" w14:textId="77777777" w:rsidR="00865110" w:rsidRPr="00865110" w:rsidRDefault="00865110" w:rsidP="00865110">
      <w:pPr>
        <w:jc w:val="both"/>
        <w:rPr>
          <w:rFonts w:ascii="Arial Narrow" w:hAnsi="Arial Narrow" w:cs="Arial"/>
          <w:color w:val="000000" w:themeColor="text1"/>
          <w:lang w:val="es-ES" w:eastAsia="es-ES"/>
        </w:rPr>
      </w:pPr>
      <w:r w:rsidRPr="00865110">
        <w:rPr>
          <w:rFonts w:ascii="Arial Narrow" w:hAnsi="Arial Narrow" w:cs="Arial"/>
          <w:color w:val="000000" w:themeColor="text1"/>
          <w:lang w:val="es-ES" w:eastAsia="es-ES"/>
        </w:rPr>
        <w:t xml:space="preserve">Además, de conformidad con la licencia de los Software y los derechos que emanan de su propiedad intelectual, </w:t>
      </w:r>
      <w:r w:rsidRPr="00865110">
        <w:rPr>
          <w:rFonts w:ascii="Arial Narrow" w:hAnsi="Arial Narrow" w:cs="Arial"/>
          <w:b/>
          <w:color w:val="000000" w:themeColor="text1"/>
          <w:lang w:val="es-ES" w:eastAsia="es-ES"/>
        </w:rPr>
        <w:t>EL MIEMBRO</w:t>
      </w:r>
      <w:r w:rsidRPr="00865110">
        <w:rPr>
          <w:rFonts w:ascii="Arial Narrow" w:hAnsi="Arial Narrow" w:cs="Arial"/>
          <w:color w:val="000000" w:themeColor="text1"/>
          <w:lang w:val="es-ES" w:eastAsia="es-ES"/>
        </w:rPr>
        <w:t xml:space="preserve"> deberá comunicar de inmediato a </w:t>
      </w:r>
      <w:r w:rsidRPr="00865110">
        <w:rPr>
          <w:rFonts w:ascii="Arial Narrow" w:hAnsi="Arial Narrow" w:cs="Arial"/>
          <w:b/>
          <w:color w:val="000000" w:themeColor="text1"/>
          <w:lang w:val="es-ES" w:eastAsia="es-ES"/>
        </w:rPr>
        <w:t>LA CRCC</w:t>
      </w:r>
      <w:r w:rsidRPr="00865110">
        <w:rPr>
          <w:rFonts w:ascii="Arial Narrow" w:hAnsi="Arial Narrow" w:cs="Arial"/>
          <w:color w:val="000000" w:themeColor="text1"/>
          <w:lang w:val="es-ES" w:eastAsia="es-ES"/>
        </w:rPr>
        <w:t xml:space="preserve"> cualquier perturbación o amenaza que pudiera sufrir durante la tenencia o uso de los mismos.</w:t>
      </w:r>
    </w:p>
    <w:p w14:paraId="4F854B91" w14:textId="77777777" w:rsidR="00865110" w:rsidRPr="00865110" w:rsidRDefault="00865110" w:rsidP="00865110">
      <w:pPr>
        <w:jc w:val="both"/>
        <w:rPr>
          <w:rFonts w:ascii="Arial Narrow" w:hAnsi="Arial Narrow" w:cs="Arial"/>
          <w:color w:val="000000" w:themeColor="text1"/>
          <w:lang w:val="es-ES" w:eastAsia="es-ES"/>
        </w:rPr>
      </w:pPr>
    </w:p>
    <w:p w14:paraId="47B0DEE7" w14:textId="77777777" w:rsidR="00865110" w:rsidRPr="00865110" w:rsidRDefault="00865110" w:rsidP="00865110">
      <w:pPr>
        <w:jc w:val="both"/>
        <w:rPr>
          <w:rFonts w:ascii="Arial Narrow" w:hAnsi="Arial Narrow" w:cs="Arial"/>
          <w:b/>
          <w:bCs/>
          <w:color w:val="000000" w:themeColor="text1"/>
          <w:lang w:val="es-ES" w:eastAsia="es-ES"/>
        </w:rPr>
      </w:pPr>
      <w:r w:rsidRPr="00865110">
        <w:rPr>
          <w:rFonts w:ascii="Arial Narrow" w:hAnsi="Arial Narrow" w:cs="Arial"/>
          <w:color w:val="000000" w:themeColor="text1"/>
          <w:lang w:val="es-ES" w:eastAsia="es-ES"/>
        </w:rPr>
        <w:t xml:space="preserve">Por último, </w:t>
      </w:r>
      <w:r w:rsidRPr="00865110">
        <w:rPr>
          <w:rFonts w:ascii="Arial Narrow" w:hAnsi="Arial Narrow" w:cs="Arial"/>
          <w:b/>
          <w:color w:val="000000" w:themeColor="text1"/>
          <w:lang w:val="es-ES" w:eastAsia="es-ES"/>
        </w:rPr>
        <w:t>EL MIEMBRO</w:t>
      </w:r>
      <w:r w:rsidRPr="00865110">
        <w:rPr>
          <w:rFonts w:ascii="Arial Narrow" w:hAnsi="Arial Narrow" w:cs="Arial"/>
          <w:color w:val="000000" w:themeColor="text1"/>
          <w:lang w:val="es-ES" w:eastAsia="es-ES"/>
        </w:rPr>
        <w:t xml:space="preserve"> reconoce que, de conformidad con la legislación vigente y los respectivos contratos de licencia, las transgresiones de las normas que rigen esta materia pueden constituir ilícitos civiles o penales sancionados expresamente por la ley.</w:t>
      </w:r>
    </w:p>
    <w:p w14:paraId="67642CF7" w14:textId="77777777" w:rsidR="00865110" w:rsidRPr="00865110" w:rsidRDefault="00865110" w:rsidP="00865110">
      <w:pPr>
        <w:jc w:val="both"/>
        <w:rPr>
          <w:rFonts w:ascii="Arial Narrow" w:hAnsi="Arial Narrow" w:cs="Arial"/>
          <w:b/>
          <w:bCs/>
          <w:color w:val="000000" w:themeColor="text1"/>
          <w:u w:val="single"/>
          <w:lang w:val="es-ES" w:eastAsia="es-ES"/>
        </w:rPr>
      </w:pPr>
    </w:p>
    <w:p w14:paraId="091DF2E6" w14:textId="77777777" w:rsidR="00865110" w:rsidRPr="00865110" w:rsidRDefault="00865110" w:rsidP="00865110">
      <w:pPr>
        <w:jc w:val="both"/>
        <w:rPr>
          <w:rFonts w:ascii="Arial Narrow" w:hAnsi="Arial Narrow" w:cs="Arial"/>
          <w:color w:val="000000" w:themeColor="text1"/>
          <w:lang w:val="es-ES" w:eastAsia="es-ES"/>
        </w:rPr>
      </w:pPr>
      <w:r w:rsidRPr="00865110">
        <w:rPr>
          <w:rFonts w:ascii="Arial Narrow" w:hAnsi="Arial Narrow" w:cs="Arial"/>
          <w:b/>
          <w:bCs/>
          <w:color w:val="000000" w:themeColor="text1"/>
          <w:u w:val="single"/>
          <w:lang w:val="es-ES" w:eastAsia="es-ES"/>
        </w:rPr>
        <w:t>NOVENA. Cesión y subcontratación.</w:t>
      </w:r>
      <w:r w:rsidRPr="00865110">
        <w:rPr>
          <w:rFonts w:ascii="Arial Narrow" w:hAnsi="Arial Narrow" w:cs="Arial"/>
          <w:b/>
          <w:bCs/>
          <w:color w:val="000000" w:themeColor="text1"/>
          <w:lang w:val="es-ES" w:eastAsia="es-ES"/>
        </w:rPr>
        <w:t xml:space="preserve"> </w:t>
      </w:r>
      <w:r w:rsidRPr="00865110">
        <w:rPr>
          <w:rFonts w:ascii="Arial Narrow" w:hAnsi="Arial Narrow" w:cs="Arial"/>
          <w:b/>
          <w:color w:val="000000" w:themeColor="text1"/>
          <w:lang w:val="es-ES" w:eastAsia="es-ES"/>
        </w:rPr>
        <w:t>EL MIEMBRO</w:t>
      </w:r>
      <w:r w:rsidRPr="00865110">
        <w:rPr>
          <w:rFonts w:ascii="Arial Narrow" w:hAnsi="Arial Narrow" w:cs="Arial"/>
          <w:color w:val="000000" w:themeColor="text1"/>
          <w:lang w:val="es-ES" w:eastAsia="es-ES"/>
        </w:rPr>
        <w:t xml:space="preserve"> no podrá ceder ni subcontratar total o parcialmente la presente Oferta, antes o después de ser aceptada. </w:t>
      </w:r>
      <w:r w:rsidRPr="00865110">
        <w:rPr>
          <w:rFonts w:ascii="Arial Narrow" w:hAnsi="Arial Narrow" w:cs="Arial"/>
          <w:b/>
          <w:color w:val="000000" w:themeColor="text1"/>
          <w:lang w:val="es-ES" w:eastAsia="es-ES"/>
        </w:rPr>
        <w:t>LA CRCC</w:t>
      </w:r>
      <w:r w:rsidRPr="00865110">
        <w:rPr>
          <w:rFonts w:ascii="Arial Narrow" w:hAnsi="Arial Narrow" w:cs="Arial"/>
          <w:color w:val="000000" w:themeColor="text1"/>
          <w:lang w:val="es-ES" w:eastAsia="es-ES"/>
        </w:rPr>
        <w:t xml:space="preserve"> podrá hacerse sustituir por uno o varios terceros en la totalidad o parte de sus relaciones contractuales con </w:t>
      </w:r>
      <w:r w:rsidRPr="00865110">
        <w:rPr>
          <w:rFonts w:ascii="Arial Narrow" w:hAnsi="Arial Narrow" w:cs="Arial"/>
          <w:b/>
          <w:color w:val="000000" w:themeColor="text1"/>
          <w:lang w:val="es-ES" w:eastAsia="es-ES"/>
        </w:rPr>
        <w:t>EL MIEMBRO</w:t>
      </w:r>
      <w:r w:rsidRPr="00865110">
        <w:rPr>
          <w:rFonts w:ascii="Arial Narrow" w:hAnsi="Arial Narrow" w:cs="Arial"/>
          <w:color w:val="000000" w:themeColor="text1"/>
          <w:lang w:val="es-ES" w:eastAsia="es-ES"/>
        </w:rPr>
        <w:t xml:space="preserve">, sin necesidad de obtener la conformidad de </w:t>
      </w:r>
      <w:r w:rsidRPr="00865110">
        <w:rPr>
          <w:rFonts w:ascii="Arial Narrow" w:hAnsi="Arial Narrow" w:cs="Arial"/>
          <w:b/>
          <w:color w:val="000000" w:themeColor="text1"/>
          <w:lang w:val="es-ES" w:eastAsia="es-ES"/>
        </w:rPr>
        <w:t>EL MIEMBRO,</w:t>
      </w:r>
      <w:r w:rsidRPr="00865110">
        <w:rPr>
          <w:rFonts w:ascii="Arial Narrow" w:hAnsi="Arial Narrow" w:cs="Arial"/>
          <w:color w:val="000000" w:themeColor="text1"/>
          <w:lang w:val="es-ES" w:eastAsia="es-ES"/>
        </w:rPr>
        <w:t xml:space="preserve"> quien otorga desde ya su consentimiento para dicho efecto</w:t>
      </w:r>
      <w:r w:rsidRPr="00865110">
        <w:rPr>
          <w:rFonts w:ascii="Arial Narrow" w:hAnsi="Arial Narrow" w:cs="Arial"/>
          <w:b/>
          <w:bCs/>
          <w:color w:val="000000" w:themeColor="text1"/>
          <w:lang w:val="es-ES" w:eastAsia="es-ES"/>
        </w:rPr>
        <w:t xml:space="preserve">. </w:t>
      </w:r>
    </w:p>
    <w:p w14:paraId="5CFC1BFF" w14:textId="77777777" w:rsidR="00865110" w:rsidRPr="00865110" w:rsidRDefault="00865110" w:rsidP="00865110">
      <w:pPr>
        <w:jc w:val="both"/>
        <w:rPr>
          <w:rFonts w:ascii="Arial Narrow" w:hAnsi="Arial Narrow" w:cs="Arial"/>
          <w:b/>
          <w:bCs/>
          <w:color w:val="000000" w:themeColor="text1"/>
          <w:u w:val="single"/>
          <w:lang w:eastAsia="es-ES"/>
        </w:rPr>
      </w:pPr>
    </w:p>
    <w:p w14:paraId="4ECAF98D" w14:textId="77777777" w:rsidR="00865110" w:rsidRPr="00865110" w:rsidRDefault="00865110" w:rsidP="00865110">
      <w:pPr>
        <w:jc w:val="both"/>
        <w:rPr>
          <w:rFonts w:ascii="Arial Narrow" w:hAnsi="Arial Narrow" w:cs="Arial"/>
          <w:bCs/>
          <w:color w:val="000000" w:themeColor="text1"/>
          <w:lang w:eastAsia="es-ES"/>
        </w:rPr>
      </w:pPr>
      <w:r w:rsidRPr="00865110">
        <w:rPr>
          <w:rFonts w:ascii="Arial Narrow" w:hAnsi="Arial Narrow" w:cs="Arial"/>
          <w:b/>
          <w:bCs/>
          <w:color w:val="000000" w:themeColor="text1"/>
          <w:u w:val="single"/>
          <w:lang w:eastAsia="es-ES"/>
        </w:rPr>
        <w:t>DÉCIMA. Indemnidad.</w:t>
      </w:r>
      <w:r w:rsidRPr="00865110">
        <w:rPr>
          <w:rFonts w:ascii="Arial Narrow" w:hAnsi="Arial Narrow" w:cs="Arial"/>
          <w:bCs/>
          <w:color w:val="000000" w:themeColor="text1"/>
          <w:lang w:eastAsia="es-ES"/>
        </w:rPr>
        <w:t xml:space="preserve"> Siempre que </w:t>
      </w:r>
      <w:r w:rsidRPr="00865110">
        <w:rPr>
          <w:rFonts w:ascii="Arial Narrow" w:hAnsi="Arial Narrow" w:cs="Arial"/>
          <w:b/>
          <w:bCs/>
          <w:color w:val="000000" w:themeColor="text1"/>
          <w:lang w:eastAsia="es-ES"/>
        </w:rPr>
        <w:t>LA CRCC</w:t>
      </w:r>
      <w:r w:rsidRPr="00865110">
        <w:rPr>
          <w:rFonts w:ascii="Arial Narrow" w:hAnsi="Arial Narrow" w:cs="Arial"/>
          <w:bCs/>
          <w:color w:val="000000" w:themeColor="text1"/>
          <w:lang w:eastAsia="es-ES"/>
        </w:rPr>
        <w:t xml:space="preserve"> haya cumplido con las normas y procedimientos aplicables en cada momento, </w:t>
      </w:r>
      <w:r w:rsidRPr="00865110">
        <w:rPr>
          <w:rFonts w:ascii="Arial Narrow" w:hAnsi="Arial Narrow" w:cs="Arial"/>
          <w:b/>
          <w:bCs/>
          <w:color w:val="000000" w:themeColor="text1"/>
          <w:lang w:eastAsia="es-ES"/>
        </w:rPr>
        <w:t xml:space="preserve">EL MIEMBRO </w:t>
      </w:r>
      <w:r w:rsidRPr="00865110">
        <w:rPr>
          <w:rFonts w:ascii="Arial Narrow" w:hAnsi="Arial Narrow" w:cs="Arial"/>
          <w:bCs/>
          <w:color w:val="000000" w:themeColor="text1"/>
          <w:lang w:eastAsia="es-ES"/>
        </w:rPr>
        <w:t xml:space="preserve">deberá mantener a </w:t>
      </w:r>
      <w:r w:rsidRPr="00865110">
        <w:rPr>
          <w:rFonts w:ascii="Arial Narrow" w:hAnsi="Arial Narrow" w:cs="Arial"/>
          <w:b/>
          <w:bCs/>
          <w:color w:val="000000" w:themeColor="text1"/>
          <w:lang w:eastAsia="es-ES"/>
        </w:rPr>
        <w:t>LA CRCC</w:t>
      </w:r>
      <w:r w:rsidRPr="00865110">
        <w:rPr>
          <w:rFonts w:ascii="Arial Narrow" w:hAnsi="Arial Narrow" w:cs="Arial"/>
          <w:bCs/>
          <w:color w:val="000000" w:themeColor="text1"/>
          <w:lang w:eastAsia="es-ES"/>
        </w:rPr>
        <w:t xml:space="preserve"> y a sus representantes, órganos o funcionarios, indemnes y libres de todo reclamo, demanda, litigio, acción legal y/o reivindicación de cualquier especie que se entable o pueda entablarse contra </w:t>
      </w:r>
      <w:r w:rsidRPr="00865110">
        <w:rPr>
          <w:rFonts w:ascii="Arial Narrow" w:hAnsi="Arial Narrow" w:cs="Arial"/>
          <w:b/>
          <w:bCs/>
          <w:color w:val="000000" w:themeColor="text1"/>
          <w:lang w:eastAsia="es-ES"/>
        </w:rPr>
        <w:t>LA CRCC</w:t>
      </w:r>
      <w:r w:rsidRPr="00865110">
        <w:rPr>
          <w:rFonts w:ascii="Arial Narrow" w:hAnsi="Arial Narrow" w:cs="Arial"/>
          <w:bCs/>
          <w:color w:val="000000" w:themeColor="text1"/>
          <w:lang w:eastAsia="es-ES"/>
        </w:rPr>
        <w:t xml:space="preserve">, por causa de acciones u omisiones en que incurra </w:t>
      </w:r>
      <w:r w:rsidRPr="00865110">
        <w:rPr>
          <w:rFonts w:ascii="Arial Narrow" w:hAnsi="Arial Narrow" w:cs="Arial"/>
          <w:b/>
          <w:bCs/>
          <w:color w:val="000000" w:themeColor="text1"/>
          <w:lang w:eastAsia="es-ES"/>
        </w:rPr>
        <w:t>EL MIEMBRO</w:t>
      </w:r>
      <w:r w:rsidRPr="00865110">
        <w:rPr>
          <w:rFonts w:ascii="Arial Narrow" w:hAnsi="Arial Narrow" w:cs="Arial"/>
          <w:bCs/>
          <w:color w:val="000000" w:themeColor="text1"/>
          <w:lang w:eastAsia="es-ES"/>
        </w:rPr>
        <w:t xml:space="preserve">, sus agentes, representantes o empleados, en la ejecución y desarrollo o con ocasión de la presente Oferta de Servicios. </w:t>
      </w:r>
    </w:p>
    <w:p w14:paraId="5BD46FFC" w14:textId="77777777" w:rsidR="00865110" w:rsidRPr="00865110" w:rsidRDefault="00865110" w:rsidP="00865110">
      <w:pPr>
        <w:jc w:val="both"/>
        <w:rPr>
          <w:rFonts w:ascii="Arial Narrow" w:hAnsi="Arial Narrow" w:cs="Arial"/>
          <w:b/>
          <w:bCs/>
          <w:color w:val="000000" w:themeColor="text1"/>
          <w:u w:val="single"/>
          <w:lang w:val="es-ES" w:eastAsia="es-ES"/>
        </w:rPr>
      </w:pPr>
    </w:p>
    <w:p w14:paraId="7FD9079C" w14:textId="77777777" w:rsidR="00865110" w:rsidRPr="00865110" w:rsidRDefault="00865110" w:rsidP="00865110">
      <w:pPr>
        <w:jc w:val="both"/>
        <w:rPr>
          <w:rFonts w:ascii="Arial Narrow" w:hAnsi="Arial Narrow" w:cs="Arial"/>
          <w:bCs/>
          <w:color w:val="000000" w:themeColor="text1"/>
          <w:lang w:eastAsia="es-ES"/>
        </w:rPr>
      </w:pPr>
      <w:r w:rsidRPr="00865110">
        <w:rPr>
          <w:rFonts w:ascii="Arial Narrow" w:hAnsi="Arial Narrow" w:cs="Arial"/>
          <w:b/>
          <w:bCs/>
          <w:color w:val="000000" w:themeColor="text1"/>
          <w:u w:val="single"/>
          <w:lang w:val="es-ES" w:eastAsia="es-ES"/>
        </w:rPr>
        <w:t>DÉCIMA PRIMERA. Responsabilidad de la CRCC.</w:t>
      </w:r>
      <w:r w:rsidRPr="00865110">
        <w:rPr>
          <w:rFonts w:ascii="Arial Narrow" w:hAnsi="Arial Narrow" w:cs="Arial"/>
          <w:bCs/>
          <w:color w:val="000000" w:themeColor="text1"/>
          <w:lang w:val="es-ES" w:eastAsia="es-ES"/>
        </w:rPr>
        <w:t xml:space="preserve"> </w:t>
      </w:r>
      <w:r w:rsidRPr="00865110">
        <w:rPr>
          <w:rFonts w:ascii="Arial Narrow" w:hAnsi="Arial Narrow" w:cs="Arial"/>
          <w:b/>
          <w:bCs/>
          <w:color w:val="000000" w:themeColor="text1"/>
          <w:lang w:val="es-ES" w:eastAsia="es-ES"/>
        </w:rPr>
        <w:t>LA CRCC</w:t>
      </w:r>
      <w:r w:rsidRPr="00865110">
        <w:rPr>
          <w:rFonts w:ascii="Arial Narrow" w:hAnsi="Arial Narrow" w:cs="Arial"/>
          <w:bCs/>
          <w:color w:val="000000" w:themeColor="text1"/>
          <w:lang w:val="es-ES" w:eastAsia="es-ES"/>
        </w:rPr>
        <w:t xml:space="preserve"> no será responsable de los daños y perjuicios que pueda sufrir </w:t>
      </w:r>
      <w:r w:rsidRPr="00865110">
        <w:rPr>
          <w:rFonts w:ascii="Arial Narrow" w:hAnsi="Arial Narrow" w:cs="Arial"/>
          <w:b/>
          <w:bCs/>
          <w:color w:val="000000" w:themeColor="text1"/>
          <w:lang w:val="es-ES" w:eastAsia="es-ES"/>
        </w:rPr>
        <w:t>EL MIEMBRO</w:t>
      </w:r>
      <w:r w:rsidRPr="00865110">
        <w:rPr>
          <w:rFonts w:ascii="Arial Narrow" w:hAnsi="Arial Narrow" w:cs="Arial"/>
          <w:bCs/>
          <w:color w:val="000000" w:themeColor="text1"/>
          <w:lang w:val="es-ES" w:eastAsia="es-ES"/>
        </w:rPr>
        <w:t xml:space="preserve">, </w:t>
      </w:r>
      <w:r w:rsidRPr="00865110">
        <w:rPr>
          <w:rFonts w:ascii="Arial Narrow" w:hAnsi="Arial Narrow" w:cs="Arial"/>
          <w:color w:val="000000" w:themeColor="text1"/>
          <w:lang w:val="es-ES" w:eastAsia="es-ES"/>
        </w:rPr>
        <w:t>sus Terceros, sus Miembros no Liquidadores o los Terceros de éstos,</w:t>
      </w:r>
      <w:r w:rsidRPr="00865110">
        <w:rPr>
          <w:rFonts w:ascii="Arial Narrow" w:hAnsi="Arial Narrow" w:cs="Arial"/>
          <w:bCs/>
          <w:color w:val="000000" w:themeColor="text1"/>
          <w:lang w:val="es-ES" w:eastAsia="es-ES"/>
        </w:rPr>
        <w:t xml:space="preserve"> derivados de una situación de caso fortuito o fuerza mayor o, en general, de cualquier hecho en el que no haya mediado dolo o culpa grave por su parte o por parte de alguno de sus empleados.</w:t>
      </w:r>
    </w:p>
    <w:p w14:paraId="4405EF8C" w14:textId="77777777" w:rsidR="00865110" w:rsidRPr="00865110" w:rsidRDefault="00865110" w:rsidP="00865110">
      <w:pPr>
        <w:jc w:val="both"/>
        <w:rPr>
          <w:rFonts w:ascii="Arial Narrow" w:hAnsi="Arial Narrow" w:cs="Arial"/>
          <w:b/>
          <w:bCs/>
          <w:color w:val="000000" w:themeColor="text1"/>
          <w:u w:val="single"/>
          <w:lang w:val="es-ES" w:eastAsia="es-ES"/>
        </w:rPr>
      </w:pPr>
    </w:p>
    <w:p w14:paraId="32C39BB6" w14:textId="77777777" w:rsidR="00865110" w:rsidRPr="00865110" w:rsidRDefault="00865110" w:rsidP="00865110">
      <w:pPr>
        <w:jc w:val="both"/>
        <w:rPr>
          <w:rFonts w:ascii="Arial Narrow" w:hAnsi="Arial Narrow" w:cs="Arial"/>
          <w:color w:val="000000" w:themeColor="text1"/>
          <w:lang w:val="es-ES" w:eastAsia="es-ES"/>
        </w:rPr>
      </w:pPr>
      <w:r w:rsidRPr="00865110">
        <w:rPr>
          <w:rFonts w:ascii="Arial Narrow" w:hAnsi="Arial Narrow" w:cs="Arial"/>
          <w:b/>
          <w:bCs/>
          <w:color w:val="000000" w:themeColor="text1"/>
          <w:u w:val="single"/>
          <w:lang w:val="es-ES" w:eastAsia="es-ES"/>
        </w:rPr>
        <w:t>DÉCIMA SEGUNDA. Cláusula Compromisoria</w:t>
      </w:r>
      <w:r w:rsidRPr="00865110">
        <w:rPr>
          <w:rFonts w:ascii="Arial Narrow" w:hAnsi="Arial Narrow" w:cs="Arial"/>
          <w:b/>
          <w:bCs/>
          <w:color w:val="000000" w:themeColor="text1"/>
          <w:lang w:val="es-ES" w:eastAsia="es-ES"/>
        </w:rPr>
        <w:t>.</w:t>
      </w:r>
      <w:r w:rsidRPr="00865110">
        <w:rPr>
          <w:rFonts w:ascii="Arial Narrow" w:hAnsi="Arial Narrow" w:cs="Arial"/>
          <w:color w:val="000000" w:themeColor="text1"/>
          <w:lang w:val="es-ES" w:eastAsia="es-ES"/>
        </w:rPr>
        <w:t xml:space="preserve"> </w:t>
      </w:r>
      <w:r w:rsidRPr="00865110">
        <w:rPr>
          <w:rFonts w:ascii="Arial Narrow" w:hAnsi="Arial Narrow" w:cs="Arial"/>
          <w:color w:val="000000" w:themeColor="text1"/>
          <w:lang w:val="es-ES_tradnl" w:eastAsia="es-ES"/>
        </w:rPr>
        <w:t xml:space="preserve">Todas las diferencias que ocurran entre las partes con ocasión de la presente Oferta, una vez aceptada, y que no puedan solucionarse por acuerdo directo entre ellas, en un plazo que no podrá exceder de dos (2) meses contados a partir de la fecha del evento que generó la diferencia, serán resueltas por un Tribunal de Arbitramento. Cuando la cuantía de las pretensiones supere los mil (1000) salarios mínimos legales mensuales vigentes en Colombia, el Tribunal de Arbitramento estará conformado por tres (3) árbitros, los cuales serán designados por las partes dentro de los quince (15) días hábiles siguientes al vencimiento del plazo de dos (2) meses de acuerdo directo, o a falta de acuerdo, mediante sorteo entre los árbitros inscritos en el Centro de Arbitraje y Conciliación de la Cámara de Comercio de Bogotá. En caso de que la cuantía de las pretensiones sea igual o inferior a mil (1000) salarios mínimos legales mensuales vigentes en Colombia, el Tribunal de Arbitramento estará conformado por un (1) árbitro, </w:t>
      </w:r>
      <w:r w:rsidRPr="00865110">
        <w:rPr>
          <w:rFonts w:ascii="Arial Narrow" w:hAnsi="Arial Narrow" w:cs="Arial"/>
          <w:color w:val="000000" w:themeColor="text1"/>
          <w:lang w:val="es-ES_tradnl" w:eastAsia="es-ES"/>
        </w:rPr>
        <w:lastRenderedPageBreak/>
        <w:t>el cual será designado por las partes dentro de los quince (15) días hábiles siguientes al vencimiento del plazo de dos (2) meses de acuerdo directo, o a falta de acuerdo, por sorteo entre los árbitros inscritos en el Centro de Arbitraje y Conciliación de la Cámara de Comercio de Bogotá. El o los árbitros designados serán Abogados inscritos y fallarán en derecho. El Tribunal de Arbitramento tendrá sede en la ciudad de Bogotá y se regirá por las leyes colombianas.</w:t>
      </w:r>
    </w:p>
    <w:p w14:paraId="15396465" w14:textId="77777777" w:rsidR="00865110" w:rsidRPr="00865110" w:rsidRDefault="00865110" w:rsidP="00865110">
      <w:pPr>
        <w:ind w:left="357"/>
        <w:jc w:val="both"/>
        <w:rPr>
          <w:rFonts w:ascii="Arial Narrow" w:hAnsi="Arial Narrow" w:cs="Arial"/>
          <w:b/>
          <w:color w:val="000000" w:themeColor="text1"/>
          <w:u w:val="single"/>
          <w:lang w:val="es-ES" w:eastAsia="es-ES"/>
        </w:rPr>
      </w:pPr>
    </w:p>
    <w:p w14:paraId="55CD30E9" w14:textId="77777777" w:rsidR="00865110" w:rsidRPr="00865110" w:rsidRDefault="00865110" w:rsidP="00865110">
      <w:pPr>
        <w:jc w:val="both"/>
        <w:rPr>
          <w:rFonts w:ascii="Arial Narrow" w:hAnsi="Arial Narrow" w:cs="Arial"/>
          <w:b/>
          <w:color w:val="000000" w:themeColor="text1"/>
          <w:u w:val="single"/>
          <w:lang w:val="es-ES" w:eastAsia="es-ES"/>
        </w:rPr>
      </w:pPr>
      <w:r w:rsidRPr="00865110">
        <w:rPr>
          <w:rFonts w:ascii="Arial Narrow" w:hAnsi="Arial Narrow" w:cs="Arial"/>
          <w:b/>
          <w:color w:val="000000" w:themeColor="text1"/>
          <w:u w:val="single"/>
          <w:lang w:val="es-ES" w:eastAsia="es-ES"/>
        </w:rPr>
        <w:t>DÉCIMA TERCERA. Mérito Ejecutivo.</w:t>
      </w:r>
      <w:r w:rsidRPr="00865110">
        <w:rPr>
          <w:rFonts w:ascii="Arial Narrow" w:hAnsi="Arial Narrow" w:cs="Arial"/>
          <w:b/>
          <w:color w:val="000000" w:themeColor="text1"/>
          <w:lang w:val="es-ES" w:eastAsia="es-ES"/>
        </w:rPr>
        <w:t xml:space="preserve"> EL MIEMBRO </w:t>
      </w:r>
      <w:r w:rsidRPr="00865110">
        <w:rPr>
          <w:rFonts w:ascii="Arial Narrow" w:hAnsi="Arial Narrow" w:cs="Arial"/>
          <w:color w:val="000000" w:themeColor="text1"/>
          <w:lang w:val="es-ES" w:eastAsia="es-ES"/>
        </w:rPr>
        <w:t>reconoce y acepta que la presente Oferta de Servicios, una vez aceptada mediante la expedición de la Orden de Compra de Servicios,</w:t>
      </w:r>
      <w:r w:rsidRPr="00865110" w:rsidDel="00CA2BCF">
        <w:rPr>
          <w:rFonts w:ascii="Arial Narrow" w:hAnsi="Arial Narrow" w:cs="Arial"/>
          <w:color w:val="000000" w:themeColor="text1"/>
          <w:lang w:val="es-ES" w:eastAsia="es-ES"/>
        </w:rPr>
        <w:t xml:space="preserve"> </w:t>
      </w:r>
      <w:r w:rsidRPr="00865110">
        <w:rPr>
          <w:rFonts w:ascii="Arial Narrow" w:hAnsi="Arial Narrow" w:cs="Arial"/>
          <w:color w:val="000000" w:themeColor="text1"/>
          <w:lang w:val="es-ES" w:eastAsia="es-ES"/>
        </w:rPr>
        <w:t>prestará mérito ejecutivo para solicitar el cumplimiento de las obligaciones a su cargo, sin necesidad de requerimiento en mora judicial o extrajudicial.</w:t>
      </w:r>
    </w:p>
    <w:p w14:paraId="3BDA39A7" w14:textId="77777777" w:rsidR="00865110" w:rsidRPr="00865110" w:rsidRDefault="00865110" w:rsidP="00865110">
      <w:pPr>
        <w:jc w:val="both"/>
        <w:rPr>
          <w:rFonts w:ascii="Arial Narrow" w:hAnsi="Arial Narrow" w:cs="Arial"/>
          <w:b/>
          <w:color w:val="000000" w:themeColor="text1"/>
          <w:u w:val="single"/>
          <w:lang w:val="es-ES" w:eastAsia="es-ES"/>
        </w:rPr>
      </w:pPr>
    </w:p>
    <w:p w14:paraId="3DE2A1CC" w14:textId="77777777" w:rsidR="00865110" w:rsidRPr="00865110" w:rsidRDefault="00865110" w:rsidP="00865110">
      <w:pPr>
        <w:jc w:val="both"/>
        <w:rPr>
          <w:rFonts w:ascii="Arial Narrow" w:hAnsi="Arial Narrow" w:cs="Arial"/>
          <w:color w:val="000000" w:themeColor="text1"/>
          <w:lang w:val="es-ES" w:eastAsia="es-ES"/>
        </w:rPr>
      </w:pPr>
      <w:r w:rsidRPr="00865110">
        <w:rPr>
          <w:rFonts w:ascii="Arial Narrow" w:hAnsi="Arial Narrow" w:cs="Arial"/>
          <w:b/>
          <w:color w:val="000000" w:themeColor="text1"/>
          <w:u w:val="single"/>
          <w:lang w:val="es-ES" w:eastAsia="es-ES"/>
        </w:rPr>
        <w:t>DÉCIMA CUARTA. Notificaciones.</w:t>
      </w:r>
      <w:r w:rsidRPr="00865110">
        <w:rPr>
          <w:rFonts w:ascii="Arial Narrow" w:hAnsi="Arial Narrow" w:cs="Arial"/>
          <w:color w:val="000000" w:themeColor="text1"/>
          <w:lang w:val="es-ES" w:eastAsia="es-ES"/>
        </w:rPr>
        <w:t xml:space="preserve"> Todas las notificaciones y comunicaciones relacionadas con la presente Oferta de Servicios, se harán por escrito y se enviarán a las siguientes direcciones:</w:t>
      </w:r>
    </w:p>
    <w:p w14:paraId="3A65D8B1" w14:textId="77777777" w:rsidR="00865110" w:rsidRPr="00865110" w:rsidRDefault="00865110" w:rsidP="00865110">
      <w:pPr>
        <w:tabs>
          <w:tab w:val="left" w:pos="567"/>
        </w:tabs>
        <w:ind w:right="-16"/>
        <w:jc w:val="both"/>
        <w:rPr>
          <w:rFonts w:ascii="Arial Narrow" w:hAnsi="Arial Narrow" w:cs="Arial"/>
          <w:color w:val="000000" w:themeColor="text1"/>
          <w:lang w:val="es-ES" w:eastAsia="es-ES"/>
        </w:rPr>
      </w:pPr>
    </w:p>
    <w:p w14:paraId="7036C003" w14:textId="77777777" w:rsidR="00865110" w:rsidRPr="00865110" w:rsidRDefault="00865110" w:rsidP="00865110">
      <w:pPr>
        <w:tabs>
          <w:tab w:val="left" w:pos="567"/>
          <w:tab w:val="left" w:pos="2835"/>
        </w:tabs>
        <w:ind w:left="2835" w:right="-16" w:hanging="2835"/>
        <w:jc w:val="both"/>
        <w:rPr>
          <w:rFonts w:ascii="Arial Narrow" w:hAnsi="Arial Narrow" w:cs="Arial"/>
          <w:color w:val="000000" w:themeColor="text1"/>
          <w:lang w:val="es-ES" w:eastAsia="es-ES"/>
        </w:rPr>
      </w:pPr>
      <w:r w:rsidRPr="00865110">
        <w:rPr>
          <w:rFonts w:ascii="Arial Narrow" w:hAnsi="Arial Narrow" w:cs="Arial"/>
          <w:b/>
          <w:color w:val="000000" w:themeColor="text1"/>
          <w:lang w:val="es-ES" w:eastAsia="es-ES"/>
        </w:rPr>
        <w:t>LA CRCC</w:t>
      </w:r>
      <w:r w:rsidRPr="00865110">
        <w:rPr>
          <w:rFonts w:ascii="Arial Narrow" w:hAnsi="Arial Narrow" w:cs="Arial"/>
          <w:color w:val="000000" w:themeColor="text1"/>
          <w:lang w:val="es-ES" w:eastAsia="es-ES"/>
        </w:rPr>
        <w:t>:</w:t>
      </w:r>
      <w:r w:rsidRPr="00865110">
        <w:rPr>
          <w:rFonts w:ascii="Arial Narrow" w:hAnsi="Arial Narrow" w:cs="Arial"/>
          <w:color w:val="000000" w:themeColor="text1"/>
          <w:lang w:val="es-ES" w:eastAsia="es-ES"/>
        </w:rPr>
        <w:tab/>
      </w:r>
      <w:r w:rsidRPr="00865110">
        <w:rPr>
          <w:rFonts w:ascii="Arial Narrow" w:hAnsi="Arial Narrow" w:cs="Arial"/>
          <w:b/>
          <w:color w:val="000000" w:themeColor="text1"/>
          <w:lang w:val="es-ES" w:eastAsia="es-ES"/>
        </w:rPr>
        <w:t xml:space="preserve">CÁMARA DE RIESGO CENTRAL DE CONTRAPARTE DE COLOMBIA S.A. </w:t>
      </w:r>
      <w:r w:rsidRPr="00865110">
        <w:rPr>
          <w:rFonts w:ascii="Arial Narrow" w:hAnsi="Arial Narrow" w:cs="Arial"/>
          <w:b/>
          <w:color w:val="000000" w:themeColor="text1"/>
          <w:lang w:val="es-ES" w:eastAsia="es-ES"/>
        </w:rPr>
        <w:tab/>
      </w:r>
    </w:p>
    <w:p w14:paraId="7F711864" w14:textId="77777777" w:rsidR="00865110" w:rsidRPr="00865110" w:rsidRDefault="00865110" w:rsidP="00865110">
      <w:pPr>
        <w:tabs>
          <w:tab w:val="left" w:pos="567"/>
          <w:tab w:val="left" w:pos="2835"/>
        </w:tabs>
        <w:ind w:right="51"/>
        <w:jc w:val="both"/>
        <w:rPr>
          <w:rFonts w:ascii="Arial Narrow" w:hAnsi="Arial Narrow" w:cs="Arial"/>
          <w:color w:val="000000" w:themeColor="text1"/>
          <w:lang w:val="es-ES" w:eastAsia="es-ES"/>
        </w:rPr>
      </w:pPr>
      <w:r w:rsidRPr="00865110">
        <w:rPr>
          <w:rFonts w:ascii="Arial Narrow" w:hAnsi="Arial Narrow" w:cs="Arial"/>
          <w:color w:val="000000" w:themeColor="text1"/>
          <w:lang w:val="es-ES" w:eastAsia="es-ES"/>
        </w:rPr>
        <w:tab/>
      </w:r>
      <w:r w:rsidRPr="00865110">
        <w:rPr>
          <w:rFonts w:ascii="Arial Narrow" w:hAnsi="Arial Narrow" w:cs="Arial"/>
          <w:color w:val="000000" w:themeColor="text1"/>
          <w:lang w:val="es-ES" w:eastAsia="es-ES"/>
        </w:rPr>
        <w:tab/>
        <w:t xml:space="preserve">Fax: </w:t>
      </w:r>
    </w:p>
    <w:p w14:paraId="30C1A459" w14:textId="77777777" w:rsidR="00865110" w:rsidRPr="00865110" w:rsidRDefault="00865110" w:rsidP="00865110">
      <w:pPr>
        <w:tabs>
          <w:tab w:val="left" w:pos="567"/>
          <w:tab w:val="left" w:pos="2835"/>
        </w:tabs>
        <w:ind w:right="-16"/>
        <w:jc w:val="both"/>
        <w:rPr>
          <w:rFonts w:ascii="Arial Narrow" w:hAnsi="Arial Narrow" w:cs="Arial"/>
          <w:color w:val="000000" w:themeColor="text1"/>
          <w:lang w:val="es-ES" w:eastAsia="es-ES"/>
        </w:rPr>
      </w:pPr>
      <w:r w:rsidRPr="00865110">
        <w:rPr>
          <w:rFonts w:ascii="Arial Narrow" w:hAnsi="Arial Narrow" w:cs="Arial"/>
          <w:color w:val="000000" w:themeColor="text1"/>
          <w:lang w:val="es-ES" w:eastAsia="es-ES"/>
        </w:rPr>
        <w:tab/>
      </w:r>
      <w:r w:rsidRPr="00865110">
        <w:rPr>
          <w:rFonts w:ascii="Arial Narrow" w:hAnsi="Arial Narrow" w:cs="Arial"/>
          <w:color w:val="000000" w:themeColor="text1"/>
          <w:lang w:val="es-ES" w:eastAsia="es-ES"/>
        </w:rPr>
        <w:tab/>
        <w:t xml:space="preserve">Dirección: </w:t>
      </w:r>
    </w:p>
    <w:p w14:paraId="0FCAB317" w14:textId="77777777" w:rsidR="00865110" w:rsidRPr="00865110" w:rsidRDefault="00865110" w:rsidP="00865110">
      <w:pPr>
        <w:tabs>
          <w:tab w:val="left" w:pos="567"/>
          <w:tab w:val="left" w:pos="2835"/>
        </w:tabs>
        <w:ind w:right="-16"/>
        <w:jc w:val="both"/>
        <w:rPr>
          <w:rFonts w:ascii="Arial Narrow" w:hAnsi="Arial Narrow" w:cs="Arial"/>
          <w:color w:val="000000" w:themeColor="text1"/>
          <w:lang w:val="es-ES" w:eastAsia="es-ES"/>
        </w:rPr>
      </w:pPr>
      <w:r w:rsidRPr="00865110">
        <w:rPr>
          <w:rFonts w:ascii="Arial Narrow" w:hAnsi="Arial Narrow" w:cs="Arial"/>
          <w:color w:val="000000" w:themeColor="text1"/>
          <w:lang w:val="es-ES" w:eastAsia="es-ES"/>
        </w:rPr>
        <w:tab/>
      </w:r>
      <w:r w:rsidRPr="00865110">
        <w:rPr>
          <w:rFonts w:ascii="Arial Narrow" w:hAnsi="Arial Narrow" w:cs="Arial"/>
          <w:color w:val="000000" w:themeColor="text1"/>
          <w:lang w:val="es-ES" w:eastAsia="es-ES"/>
        </w:rPr>
        <w:tab/>
        <w:t>Bogotá, D.C.</w:t>
      </w:r>
    </w:p>
    <w:p w14:paraId="6E453B24" w14:textId="77777777" w:rsidR="00865110" w:rsidRPr="00865110" w:rsidRDefault="00865110" w:rsidP="00865110">
      <w:pPr>
        <w:tabs>
          <w:tab w:val="left" w:pos="567"/>
          <w:tab w:val="left" w:pos="2835"/>
        </w:tabs>
        <w:ind w:right="44"/>
        <w:jc w:val="both"/>
        <w:rPr>
          <w:rFonts w:ascii="Arial Narrow" w:hAnsi="Arial Narrow" w:cs="Arial"/>
          <w:b/>
          <w:color w:val="000000" w:themeColor="text1"/>
          <w:lang w:val="es-ES" w:eastAsia="es-ES"/>
        </w:rPr>
      </w:pPr>
    </w:p>
    <w:p w14:paraId="70FAC059" w14:textId="77777777" w:rsidR="00865110" w:rsidRPr="00865110" w:rsidRDefault="00865110" w:rsidP="00865110">
      <w:pPr>
        <w:tabs>
          <w:tab w:val="left" w:pos="567"/>
          <w:tab w:val="left" w:pos="2835"/>
        </w:tabs>
        <w:ind w:right="44"/>
        <w:jc w:val="both"/>
        <w:rPr>
          <w:rFonts w:ascii="Arial Narrow" w:hAnsi="Arial Narrow" w:cs="Arial"/>
          <w:b/>
          <w:color w:val="000000" w:themeColor="text1"/>
          <w:lang w:val="es-ES" w:eastAsia="es-ES"/>
        </w:rPr>
      </w:pPr>
      <w:r w:rsidRPr="00865110">
        <w:rPr>
          <w:rFonts w:ascii="Arial Narrow" w:hAnsi="Arial Narrow" w:cs="Arial"/>
          <w:b/>
          <w:color w:val="000000" w:themeColor="text1"/>
          <w:lang w:val="es-ES" w:eastAsia="es-ES"/>
        </w:rPr>
        <w:t>EL MIEMBRO:</w:t>
      </w:r>
      <w:r w:rsidRPr="00865110">
        <w:rPr>
          <w:rFonts w:ascii="Arial Narrow" w:hAnsi="Arial Narrow" w:cs="Arial"/>
          <w:b/>
          <w:color w:val="000000" w:themeColor="text1"/>
          <w:lang w:val="es-ES" w:eastAsia="es-ES"/>
        </w:rPr>
        <w:tab/>
      </w:r>
    </w:p>
    <w:p w14:paraId="5EB2024D" w14:textId="77777777" w:rsidR="00865110" w:rsidRPr="00865110" w:rsidRDefault="00865110" w:rsidP="00865110">
      <w:pPr>
        <w:tabs>
          <w:tab w:val="left" w:pos="567"/>
          <w:tab w:val="left" w:pos="2835"/>
        </w:tabs>
        <w:ind w:right="44"/>
        <w:jc w:val="both"/>
        <w:rPr>
          <w:rFonts w:ascii="Arial Narrow" w:hAnsi="Arial Narrow" w:cs="Arial"/>
          <w:color w:val="000000" w:themeColor="text1"/>
          <w:lang w:eastAsia="es-ES"/>
        </w:rPr>
      </w:pPr>
      <w:r w:rsidRPr="00865110">
        <w:rPr>
          <w:rFonts w:ascii="Arial Narrow" w:hAnsi="Arial Narrow" w:cs="Arial"/>
          <w:b/>
          <w:color w:val="000000" w:themeColor="text1"/>
          <w:lang w:val="es-ES" w:eastAsia="es-ES"/>
        </w:rPr>
        <w:tab/>
      </w:r>
      <w:r w:rsidRPr="00865110">
        <w:rPr>
          <w:rFonts w:ascii="Arial Narrow" w:hAnsi="Arial Narrow" w:cs="Arial"/>
          <w:b/>
          <w:color w:val="000000" w:themeColor="text1"/>
          <w:lang w:val="es-ES" w:eastAsia="es-ES"/>
        </w:rPr>
        <w:tab/>
      </w:r>
      <w:r w:rsidRPr="00865110">
        <w:rPr>
          <w:rFonts w:ascii="Arial Narrow" w:hAnsi="Arial Narrow" w:cs="Arial"/>
          <w:color w:val="000000" w:themeColor="text1"/>
          <w:lang w:eastAsia="es-ES"/>
        </w:rPr>
        <w:t xml:space="preserve">Fax:  </w:t>
      </w:r>
    </w:p>
    <w:p w14:paraId="6E0F3A6F" w14:textId="77777777" w:rsidR="00865110" w:rsidRPr="00865110" w:rsidRDefault="00865110" w:rsidP="00865110">
      <w:pPr>
        <w:tabs>
          <w:tab w:val="left" w:pos="567"/>
          <w:tab w:val="left" w:pos="2835"/>
        </w:tabs>
        <w:ind w:right="44"/>
        <w:jc w:val="both"/>
        <w:rPr>
          <w:rFonts w:ascii="Arial Narrow" w:hAnsi="Arial Narrow" w:cs="Arial"/>
          <w:color w:val="000000" w:themeColor="text1"/>
          <w:lang w:eastAsia="es-ES"/>
        </w:rPr>
      </w:pPr>
      <w:r w:rsidRPr="00865110">
        <w:rPr>
          <w:rFonts w:ascii="Arial Narrow" w:hAnsi="Arial Narrow" w:cs="Arial"/>
          <w:color w:val="000000" w:themeColor="text1"/>
          <w:lang w:eastAsia="es-ES"/>
        </w:rPr>
        <w:tab/>
      </w:r>
      <w:r w:rsidRPr="00865110">
        <w:rPr>
          <w:rFonts w:ascii="Arial Narrow" w:hAnsi="Arial Narrow" w:cs="Arial"/>
          <w:color w:val="000000" w:themeColor="text1"/>
          <w:lang w:eastAsia="es-ES"/>
        </w:rPr>
        <w:tab/>
      </w:r>
      <w:r w:rsidRPr="00865110">
        <w:rPr>
          <w:rFonts w:ascii="Arial Narrow" w:hAnsi="Arial Narrow" w:cs="Arial"/>
          <w:color w:val="000000" w:themeColor="text1"/>
          <w:lang w:val="es-ES" w:eastAsia="es-ES"/>
        </w:rPr>
        <w:t>Dirección</w:t>
      </w:r>
      <w:r w:rsidRPr="00865110">
        <w:rPr>
          <w:rFonts w:ascii="Arial Narrow" w:hAnsi="Arial Narrow" w:cs="Arial"/>
          <w:color w:val="000000" w:themeColor="text1"/>
          <w:lang w:eastAsia="es-ES"/>
        </w:rPr>
        <w:t xml:space="preserve">: </w:t>
      </w:r>
    </w:p>
    <w:p w14:paraId="594194D5" w14:textId="77777777" w:rsidR="00865110" w:rsidRPr="00865110" w:rsidRDefault="00865110" w:rsidP="00865110">
      <w:pPr>
        <w:tabs>
          <w:tab w:val="left" w:pos="567"/>
          <w:tab w:val="left" w:pos="2835"/>
        </w:tabs>
        <w:ind w:right="44"/>
        <w:jc w:val="both"/>
        <w:rPr>
          <w:rFonts w:ascii="Arial Narrow" w:hAnsi="Arial Narrow" w:cs="Arial"/>
          <w:color w:val="000000" w:themeColor="text1"/>
          <w:lang w:eastAsia="es-ES"/>
        </w:rPr>
      </w:pPr>
      <w:r w:rsidRPr="00865110">
        <w:rPr>
          <w:rFonts w:ascii="Arial Narrow" w:hAnsi="Arial Narrow" w:cs="Arial"/>
          <w:color w:val="000000" w:themeColor="text1"/>
          <w:lang w:eastAsia="es-ES"/>
        </w:rPr>
        <w:tab/>
      </w:r>
      <w:r w:rsidRPr="00865110">
        <w:rPr>
          <w:rFonts w:ascii="Arial Narrow" w:hAnsi="Arial Narrow" w:cs="Arial"/>
          <w:color w:val="000000" w:themeColor="text1"/>
          <w:lang w:eastAsia="es-ES"/>
        </w:rPr>
        <w:tab/>
        <w:t xml:space="preserve">Ciudad: </w:t>
      </w:r>
    </w:p>
    <w:p w14:paraId="43F7876B" w14:textId="77777777" w:rsidR="00865110" w:rsidRPr="00865110" w:rsidRDefault="00865110" w:rsidP="00865110">
      <w:pPr>
        <w:jc w:val="both"/>
        <w:rPr>
          <w:rFonts w:ascii="Arial Narrow" w:hAnsi="Arial Narrow" w:cs="Arial"/>
          <w:b/>
          <w:bCs/>
          <w:color w:val="000000" w:themeColor="text1"/>
          <w:u w:val="single"/>
          <w:lang w:val="es-ES" w:eastAsia="es-ES"/>
        </w:rPr>
      </w:pPr>
    </w:p>
    <w:p w14:paraId="0A12FE1F" w14:textId="77777777" w:rsidR="00865110" w:rsidRPr="00865110" w:rsidRDefault="00865110" w:rsidP="00865110">
      <w:pPr>
        <w:jc w:val="both"/>
        <w:rPr>
          <w:rFonts w:ascii="Arial Narrow" w:hAnsi="Arial Narrow" w:cs="Arial"/>
          <w:color w:val="000000" w:themeColor="text1"/>
          <w:lang w:val="es-ES" w:eastAsia="es-ES"/>
        </w:rPr>
      </w:pPr>
      <w:r w:rsidRPr="00865110">
        <w:rPr>
          <w:rFonts w:ascii="Arial Narrow" w:hAnsi="Arial Narrow" w:cs="Arial"/>
          <w:b/>
          <w:bCs/>
          <w:color w:val="000000" w:themeColor="text1"/>
          <w:u w:val="single"/>
          <w:lang w:val="es-ES" w:eastAsia="es-ES"/>
        </w:rPr>
        <w:t>DÉCIMA QUINTA. Aceptación de esta Oferta.</w:t>
      </w:r>
      <w:r w:rsidRPr="00865110">
        <w:rPr>
          <w:rFonts w:ascii="Arial Narrow" w:hAnsi="Arial Narrow" w:cs="Arial"/>
          <w:color w:val="000000" w:themeColor="text1"/>
          <w:lang w:val="es-ES" w:eastAsia="es-ES"/>
        </w:rPr>
        <w:t xml:space="preserve"> La presente Oferta se entenderá aceptada mediante la expedición, por parte de </w:t>
      </w:r>
      <w:r w:rsidRPr="00865110">
        <w:rPr>
          <w:rFonts w:ascii="Arial Narrow" w:hAnsi="Arial Narrow" w:cs="Arial"/>
          <w:b/>
          <w:color w:val="000000" w:themeColor="text1"/>
          <w:lang w:val="es-ES" w:eastAsia="es-ES"/>
        </w:rPr>
        <w:t>EL MIEMBRO</w:t>
      </w:r>
      <w:r w:rsidRPr="00865110">
        <w:rPr>
          <w:rFonts w:ascii="Arial Narrow" w:hAnsi="Arial Narrow" w:cs="Arial"/>
          <w:color w:val="000000" w:themeColor="text1"/>
          <w:lang w:val="es-ES" w:eastAsia="es-ES"/>
        </w:rPr>
        <w:t>, de una Orden de Compra de Servicios.</w:t>
      </w:r>
    </w:p>
    <w:p w14:paraId="15ABB478" w14:textId="77777777" w:rsidR="00865110" w:rsidRPr="00865110" w:rsidRDefault="00865110" w:rsidP="00865110">
      <w:pPr>
        <w:jc w:val="both"/>
        <w:rPr>
          <w:rFonts w:ascii="Arial Narrow" w:hAnsi="Arial Narrow" w:cs="Arial"/>
          <w:b/>
          <w:bCs/>
          <w:color w:val="000000" w:themeColor="text1"/>
          <w:u w:val="single"/>
          <w:lang w:val="es-ES" w:eastAsia="es-ES"/>
        </w:rPr>
      </w:pPr>
    </w:p>
    <w:p w14:paraId="773724D3" w14:textId="77777777" w:rsidR="00865110" w:rsidRPr="00865110" w:rsidRDefault="00865110" w:rsidP="00865110">
      <w:pPr>
        <w:jc w:val="both"/>
        <w:rPr>
          <w:rFonts w:ascii="Arial Narrow" w:hAnsi="Arial Narrow" w:cs="Arial"/>
          <w:color w:val="000000" w:themeColor="text1"/>
          <w:lang w:val="es-ES" w:eastAsia="es-ES"/>
        </w:rPr>
      </w:pPr>
      <w:r w:rsidRPr="00865110">
        <w:rPr>
          <w:rFonts w:ascii="Arial Narrow" w:hAnsi="Arial Narrow" w:cs="Arial"/>
          <w:b/>
          <w:bCs/>
          <w:color w:val="000000" w:themeColor="text1"/>
          <w:u w:val="single"/>
          <w:lang w:val="es-ES" w:eastAsia="es-ES"/>
        </w:rPr>
        <w:t>DÉCIMA SEXTA. Impuestos</w:t>
      </w:r>
      <w:r w:rsidRPr="00865110">
        <w:rPr>
          <w:rFonts w:ascii="Arial Narrow" w:hAnsi="Arial Narrow" w:cs="Arial"/>
          <w:b/>
          <w:bCs/>
          <w:color w:val="000000" w:themeColor="text1"/>
          <w:lang w:val="es-ES" w:eastAsia="es-ES"/>
        </w:rPr>
        <w:t>.</w:t>
      </w:r>
      <w:r w:rsidRPr="00865110">
        <w:rPr>
          <w:rFonts w:ascii="Arial Narrow" w:hAnsi="Arial Narrow" w:cs="Arial"/>
          <w:color w:val="000000" w:themeColor="text1"/>
          <w:lang w:val="es-ES" w:eastAsia="es-ES"/>
        </w:rPr>
        <w:t xml:space="preserve"> De conformidad con el numeral 52 del artículo 530 del Estatuto Tributario, la presente Oferta y su posterior aceptación mediante Orden de Compra de Servicios no causan impuesto de timbre.</w:t>
      </w:r>
      <w:r w:rsidRPr="00865110">
        <w:rPr>
          <w:rFonts w:ascii="Arial Narrow" w:hAnsi="Arial Narrow"/>
          <w:color w:val="000000" w:themeColor="text1"/>
          <w:lang w:val="es-ES" w:eastAsia="es-ES"/>
        </w:rPr>
        <w:t xml:space="preserve"> </w:t>
      </w:r>
      <w:r w:rsidRPr="00865110">
        <w:rPr>
          <w:rFonts w:ascii="Arial Narrow" w:hAnsi="Arial Narrow" w:cs="Arial"/>
          <w:color w:val="000000" w:themeColor="text1"/>
          <w:lang w:val="es-ES" w:eastAsia="es-ES"/>
        </w:rPr>
        <w:t xml:space="preserve">En todo caso, todos los gastos e impuestos de cualquier naturaleza que se generen en relación con la presente oferta, serán de cargo de </w:t>
      </w:r>
      <w:r w:rsidRPr="00865110">
        <w:rPr>
          <w:rFonts w:ascii="Arial Narrow" w:hAnsi="Arial Narrow" w:cs="Arial"/>
          <w:b/>
          <w:color w:val="000000" w:themeColor="text1"/>
          <w:lang w:val="es-ES" w:eastAsia="es-ES"/>
        </w:rPr>
        <w:t>EL MIEMBRO</w:t>
      </w:r>
      <w:r w:rsidRPr="00865110">
        <w:rPr>
          <w:rFonts w:ascii="Arial Narrow" w:hAnsi="Arial Narrow" w:cs="Arial"/>
          <w:color w:val="000000" w:themeColor="text1"/>
          <w:lang w:val="es-ES" w:eastAsia="es-ES"/>
        </w:rPr>
        <w:t>.</w:t>
      </w:r>
    </w:p>
    <w:p w14:paraId="198CAC90" w14:textId="77777777" w:rsidR="00AA58B5" w:rsidRDefault="00AA58B5" w:rsidP="00865110">
      <w:pPr>
        <w:jc w:val="both"/>
        <w:rPr>
          <w:rFonts w:ascii="Arial Narrow" w:hAnsi="Arial Narrow" w:cs="Arial"/>
          <w:color w:val="000000" w:themeColor="text1"/>
          <w:lang w:val="es-ES" w:eastAsia="es-ES"/>
        </w:rPr>
      </w:pPr>
    </w:p>
    <w:p w14:paraId="44C4D82B" w14:textId="77777777" w:rsidR="00865110" w:rsidRPr="00865110" w:rsidRDefault="00865110" w:rsidP="00865110">
      <w:pPr>
        <w:jc w:val="both"/>
        <w:rPr>
          <w:rFonts w:ascii="Arial Narrow" w:hAnsi="Arial Narrow" w:cs="Arial"/>
          <w:color w:val="000000" w:themeColor="text1"/>
          <w:lang w:val="es-ES" w:eastAsia="es-ES"/>
        </w:rPr>
      </w:pPr>
      <w:r w:rsidRPr="00865110">
        <w:rPr>
          <w:rFonts w:ascii="Arial Narrow" w:hAnsi="Arial Narrow" w:cs="Arial"/>
          <w:color w:val="000000" w:themeColor="text1"/>
          <w:lang w:val="es-ES" w:eastAsia="es-ES"/>
        </w:rPr>
        <w:t xml:space="preserve">Para constancia, se firma en Bogotá D.C., el día ______________ (____) del mes de _____________ del año dos mil ___________ (____). </w:t>
      </w:r>
    </w:p>
    <w:p w14:paraId="4EA5CAE1" w14:textId="77777777" w:rsidR="00AA58B5" w:rsidRDefault="00AA58B5" w:rsidP="00865110">
      <w:pPr>
        <w:jc w:val="both"/>
        <w:rPr>
          <w:rFonts w:ascii="Arial Narrow" w:hAnsi="Arial Narrow" w:cs="Arial"/>
          <w:b/>
          <w:bCs/>
          <w:color w:val="000000" w:themeColor="text1"/>
          <w:lang w:val="es-ES" w:eastAsia="es-ES"/>
        </w:rPr>
      </w:pPr>
    </w:p>
    <w:p w14:paraId="4964EABC" w14:textId="77777777" w:rsidR="00865110" w:rsidRPr="00865110" w:rsidRDefault="00865110" w:rsidP="00865110">
      <w:pPr>
        <w:jc w:val="both"/>
        <w:rPr>
          <w:rFonts w:ascii="Arial Narrow" w:hAnsi="Arial Narrow" w:cs="Arial"/>
          <w:color w:val="000000" w:themeColor="text1"/>
          <w:spacing w:val="-3"/>
          <w:lang w:val="es-ES" w:eastAsia="es-ES"/>
        </w:rPr>
      </w:pPr>
      <w:r w:rsidRPr="00865110">
        <w:rPr>
          <w:rFonts w:ascii="Arial Narrow" w:hAnsi="Arial Narrow" w:cs="Arial"/>
          <w:b/>
          <w:bCs/>
          <w:color w:val="000000" w:themeColor="text1"/>
          <w:lang w:val="es-ES" w:eastAsia="es-ES"/>
        </w:rPr>
        <w:t xml:space="preserve">LA CRCC </w:t>
      </w:r>
    </w:p>
    <w:p w14:paraId="3F8E15B3" w14:textId="77777777" w:rsidR="00865110" w:rsidRPr="00865110" w:rsidRDefault="00865110" w:rsidP="00865110">
      <w:pPr>
        <w:jc w:val="both"/>
        <w:rPr>
          <w:rFonts w:ascii="Arial Narrow" w:hAnsi="Arial Narrow" w:cs="Arial"/>
          <w:color w:val="000000" w:themeColor="text1"/>
          <w:spacing w:val="-3"/>
          <w:lang w:val="es-ES" w:eastAsia="es-ES"/>
        </w:rPr>
      </w:pPr>
      <w:r w:rsidRPr="00865110">
        <w:rPr>
          <w:rFonts w:ascii="Arial Narrow" w:hAnsi="Arial Narrow" w:cs="Arial"/>
          <w:color w:val="000000" w:themeColor="text1"/>
          <w:spacing w:val="-3"/>
          <w:lang w:val="es-ES" w:eastAsia="es-ES"/>
        </w:rPr>
        <w:t xml:space="preserve">Por:          ________________________________                      </w:t>
      </w:r>
    </w:p>
    <w:p w14:paraId="48E340FA" w14:textId="77777777" w:rsidR="00865110" w:rsidRPr="00865110" w:rsidRDefault="00865110" w:rsidP="00865110">
      <w:pPr>
        <w:jc w:val="both"/>
        <w:rPr>
          <w:rFonts w:ascii="Arial Narrow" w:hAnsi="Arial Narrow" w:cs="Arial"/>
          <w:color w:val="000000" w:themeColor="text1"/>
          <w:spacing w:val="-3"/>
          <w:lang w:val="es-ES" w:eastAsia="es-ES"/>
        </w:rPr>
      </w:pPr>
      <w:r w:rsidRPr="00865110">
        <w:rPr>
          <w:rFonts w:ascii="Arial Narrow" w:hAnsi="Arial Narrow" w:cs="Arial"/>
          <w:color w:val="000000" w:themeColor="text1"/>
          <w:spacing w:val="-3"/>
          <w:lang w:val="es-ES" w:eastAsia="es-ES"/>
        </w:rPr>
        <w:t xml:space="preserve">Nombre:                                               </w:t>
      </w:r>
    </w:p>
    <w:p w14:paraId="5140A590" w14:textId="77777777" w:rsidR="00865110" w:rsidRPr="00865110" w:rsidRDefault="00865110" w:rsidP="00865110">
      <w:pPr>
        <w:jc w:val="both"/>
        <w:rPr>
          <w:rFonts w:ascii="Arial Narrow" w:hAnsi="Arial Narrow" w:cs="Arial"/>
          <w:color w:val="000000" w:themeColor="text1"/>
          <w:spacing w:val="-3"/>
          <w:lang w:val="es-ES" w:eastAsia="es-ES"/>
        </w:rPr>
      </w:pPr>
      <w:r w:rsidRPr="00865110">
        <w:rPr>
          <w:rFonts w:ascii="Arial Narrow" w:hAnsi="Arial Narrow" w:cs="Arial"/>
          <w:color w:val="000000" w:themeColor="text1"/>
          <w:spacing w:val="-3"/>
          <w:lang w:val="es-ES" w:eastAsia="es-ES"/>
        </w:rPr>
        <w:t xml:space="preserve">Cargo:       Representante Legal                                    </w:t>
      </w:r>
    </w:p>
    <w:p w14:paraId="381C70FC" w14:textId="77777777" w:rsidR="00AA58B5" w:rsidRDefault="00865110" w:rsidP="00AA58B5">
      <w:pPr>
        <w:pStyle w:val="TTULO"/>
        <w:jc w:val="left"/>
        <w:rPr>
          <w:b w:val="0"/>
          <w:color w:val="000000" w:themeColor="text1"/>
          <w:spacing w:val="-3"/>
          <w:lang w:val="fr-FR"/>
        </w:rPr>
        <w:sectPr w:rsidR="00AA58B5" w:rsidSect="007968EC">
          <w:pgSz w:w="12242" w:h="15842" w:code="1"/>
          <w:pgMar w:top="1985" w:right="1418" w:bottom="1985" w:left="1418" w:header="851" w:footer="1021" w:gutter="0"/>
          <w:cols w:space="708"/>
          <w:titlePg/>
          <w:docGrid w:linePitch="360"/>
        </w:sectPr>
      </w:pPr>
      <w:bookmarkStart w:id="6571" w:name="_Toc31716605"/>
      <w:r w:rsidRPr="00865110">
        <w:rPr>
          <w:b w:val="0"/>
          <w:color w:val="000000" w:themeColor="text1"/>
          <w:spacing w:val="-3"/>
          <w:lang w:val="fr-FR"/>
        </w:rPr>
        <w:t>C.C.</w:t>
      </w:r>
      <w:bookmarkEnd w:id="6571"/>
    </w:p>
    <w:p w14:paraId="36274E10" w14:textId="77777777" w:rsidR="007968EC" w:rsidRPr="00AA58B5" w:rsidRDefault="007968EC" w:rsidP="00AA58B5">
      <w:pPr>
        <w:pStyle w:val="TTULO"/>
        <w:jc w:val="left"/>
        <w:rPr>
          <w:color w:val="000000" w:themeColor="text1"/>
          <w:spacing w:val="-3"/>
          <w:lang w:val="fr-FR"/>
        </w:rPr>
      </w:pPr>
    </w:p>
    <w:p w14:paraId="1CEA7F7A" w14:textId="77777777" w:rsidR="007968EC" w:rsidRPr="002C0D19" w:rsidRDefault="007968EC" w:rsidP="007968EC">
      <w:pPr>
        <w:rPr>
          <w:rFonts w:ascii="Arial Narrow" w:hAnsi="Arial Narrow" w:cs="Arial"/>
          <w:b/>
          <w:color w:val="000000" w:themeColor="text1"/>
          <w:lang w:val="es-ES" w:eastAsia="es-ES"/>
        </w:rPr>
      </w:pPr>
    </w:p>
    <w:p w14:paraId="6B291F9E" w14:textId="77777777" w:rsidR="007968EC" w:rsidRPr="002C0D19" w:rsidRDefault="007968EC" w:rsidP="007968EC">
      <w:pPr>
        <w:jc w:val="center"/>
        <w:rPr>
          <w:rFonts w:ascii="Arial Narrow" w:hAnsi="Arial Narrow" w:cs="Arial"/>
          <w:b/>
          <w:i/>
          <w:color w:val="000000" w:themeColor="text1"/>
          <w:lang w:val="es-ES" w:eastAsia="es-ES"/>
        </w:rPr>
      </w:pPr>
      <w:r w:rsidRPr="002C0D19">
        <w:rPr>
          <w:rFonts w:ascii="Arial Narrow" w:hAnsi="Arial Narrow" w:cs="Arial"/>
          <w:b/>
          <w:i/>
          <w:color w:val="000000" w:themeColor="text1"/>
          <w:lang w:val="es-ES" w:eastAsia="es-ES"/>
        </w:rPr>
        <w:t>Anexo 15.2. Oferta de Servicios de la Cámara para Miembro Liquidador Individual</w:t>
      </w:r>
    </w:p>
    <w:p w14:paraId="23AEE85C" w14:textId="77777777" w:rsidR="007968EC" w:rsidRPr="002C0D19" w:rsidRDefault="007968EC" w:rsidP="007968EC">
      <w:pPr>
        <w:jc w:val="center"/>
        <w:rPr>
          <w:rFonts w:ascii="Arial Narrow" w:hAnsi="Arial Narrow" w:cs="Arial"/>
          <w:b/>
          <w:i/>
          <w:color w:val="000000" w:themeColor="text1"/>
          <w:lang w:val="es-ES" w:eastAsia="es-ES"/>
        </w:rPr>
      </w:pPr>
    </w:p>
    <w:p w14:paraId="0814E3EC" w14:textId="77777777" w:rsidR="007968EC" w:rsidRDefault="007968EC" w:rsidP="007968EC">
      <w:pPr>
        <w:jc w:val="center"/>
        <w:rPr>
          <w:rFonts w:ascii="Arial Narrow" w:hAnsi="Arial Narrow" w:cs="Arial"/>
          <w:b/>
          <w:bCs/>
          <w:color w:val="000000" w:themeColor="text1"/>
          <w:lang w:eastAsia="es-ES"/>
        </w:rPr>
      </w:pPr>
      <w:r w:rsidRPr="002C0D19">
        <w:rPr>
          <w:rFonts w:ascii="Arial Narrow" w:hAnsi="Arial Narrow" w:cs="Arial"/>
          <w:b/>
          <w:bCs/>
          <w:color w:val="000000" w:themeColor="text1"/>
          <w:lang w:eastAsia="es-ES"/>
        </w:rPr>
        <w:t xml:space="preserve">OFERTA DE SERVICIOS PARA LA </w:t>
      </w:r>
      <w:r w:rsidRPr="002C0D19">
        <w:rPr>
          <w:rFonts w:ascii="Arial Narrow" w:hAnsi="Arial Narrow" w:cs="Arial"/>
          <w:b/>
          <w:color w:val="000000" w:themeColor="text1"/>
          <w:lang w:val="es-ES" w:eastAsia="es-ES"/>
        </w:rPr>
        <w:t>AFILIACION COMO MIEMBRO LIQUIDADOR INDIVIDUAL</w:t>
      </w:r>
      <w:r w:rsidRPr="002C0D19">
        <w:rPr>
          <w:rFonts w:ascii="Arial Narrow" w:hAnsi="Arial Narrow" w:cs="Arial"/>
          <w:color w:val="000000" w:themeColor="text1"/>
          <w:lang w:val="es-ES" w:eastAsia="es-ES"/>
        </w:rPr>
        <w:t xml:space="preserve"> </w:t>
      </w:r>
      <w:r w:rsidRPr="002C0D19">
        <w:rPr>
          <w:rFonts w:ascii="Arial Narrow" w:hAnsi="Arial Narrow" w:cs="Arial"/>
          <w:b/>
          <w:bCs/>
          <w:color w:val="000000" w:themeColor="text1"/>
          <w:lang w:eastAsia="es-ES"/>
        </w:rPr>
        <w:t>DEL SISTEMA DE COMPENSACIÓN Y LIQUIDACIÓN DE LA CÁMARA DE RIESGO CENTRAL DE CONTRAPARTE DE COLOMBIA S.A. – CRCC S.A.</w:t>
      </w:r>
    </w:p>
    <w:p w14:paraId="247887B0" w14:textId="77777777" w:rsidR="007968EC" w:rsidRDefault="007968EC" w:rsidP="007968EC">
      <w:pPr>
        <w:jc w:val="center"/>
        <w:rPr>
          <w:rFonts w:ascii="Arial Narrow" w:hAnsi="Arial Narrow" w:cs="Arial"/>
          <w:b/>
          <w:bCs/>
          <w:color w:val="000000" w:themeColor="text1"/>
          <w:lang w:eastAsia="es-ES"/>
        </w:rPr>
      </w:pPr>
    </w:p>
    <w:p w14:paraId="3EFA3232" w14:textId="77777777" w:rsidR="007968EC" w:rsidRDefault="007968EC" w:rsidP="007968EC">
      <w:pPr>
        <w:jc w:val="center"/>
        <w:rPr>
          <w:rFonts w:ascii="Arial Narrow" w:eastAsia="Calibri" w:hAnsi="Arial Narrow"/>
          <w:b/>
          <w:i/>
        </w:rPr>
      </w:pPr>
      <w:r>
        <w:rPr>
          <w:rFonts w:ascii="Arial Narrow" w:eastAsia="Calibri" w:hAnsi="Arial Narrow"/>
          <w:b/>
          <w:i/>
        </w:rPr>
        <w:t>(Este Anexo fue modificado mediante Circular 17 del 9 de octubre de 2019, publicada en el Boletín Normativo No. 031 del 9 de octubre de 2019</w:t>
      </w:r>
      <w:r w:rsidR="00AA58B5">
        <w:rPr>
          <w:rFonts w:ascii="Arial Narrow" w:eastAsia="Calibri" w:hAnsi="Arial Narrow"/>
          <w:b/>
          <w:i/>
        </w:rPr>
        <w:t xml:space="preserve"> y mediante Circular 2 del 29 de enero de 2020, publicada en el Boletín Normativo No. 002 del 29 de enero de 2020</w:t>
      </w:r>
      <w:r w:rsidRPr="0014213B">
        <w:rPr>
          <w:rFonts w:ascii="Arial Narrow" w:eastAsia="Calibri" w:hAnsi="Arial Narrow"/>
          <w:b/>
          <w:i/>
        </w:rPr>
        <w:t xml:space="preserve">. Rige a partir del </w:t>
      </w:r>
      <w:r w:rsidR="00AA58B5">
        <w:rPr>
          <w:rFonts w:ascii="Arial Narrow" w:eastAsia="Calibri" w:hAnsi="Arial Narrow"/>
          <w:b/>
          <w:i/>
        </w:rPr>
        <w:t>3</w:t>
      </w:r>
      <w:r w:rsidRPr="0014213B">
        <w:rPr>
          <w:rFonts w:ascii="Arial Narrow" w:eastAsia="Calibri" w:hAnsi="Arial Narrow"/>
          <w:b/>
          <w:i/>
        </w:rPr>
        <w:t xml:space="preserve"> de </w:t>
      </w:r>
      <w:r w:rsidR="00AA58B5">
        <w:rPr>
          <w:rFonts w:ascii="Arial Narrow" w:eastAsia="Calibri" w:hAnsi="Arial Narrow"/>
          <w:b/>
          <w:i/>
        </w:rPr>
        <w:t>febrero</w:t>
      </w:r>
      <w:r w:rsidRPr="0014213B">
        <w:rPr>
          <w:rFonts w:ascii="Arial Narrow" w:eastAsia="Calibri" w:hAnsi="Arial Narrow"/>
          <w:b/>
          <w:i/>
        </w:rPr>
        <w:t xml:space="preserve"> de 20</w:t>
      </w:r>
      <w:r w:rsidR="00AA58B5">
        <w:rPr>
          <w:rFonts w:ascii="Arial Narrow" w:eastAsia="Calibri" w:hAnsi="Arial Narrow"/>
          <w:b/>
          <w:i/>
        </w:rPr>
        <w:t>20</w:t>
      </w:r>
      <w:r>
        <w:rPr>
          <w:rFonts w:ascii="Arial Narrow" w:eastAsia="Calibri" w:hAnsi="Arial Narrow"/>
          <w:b/>
          <w:i/>
        </w:rPr>
        <w:t>.)</w:t>
      </w:r>
    </w:p>
    <w:p w14:paraId="1F64780A" w14:textId="77777777" w:rsidR="007968EC" w:rsidRPr="002C0D19" w:rsidRDefault="007968EC" w:rsidP="007968EC">
      <w:pPr>
        <w:rPr>
          <w:rFonts w:ascii="Arial Narrow" w:hAnsi="Arial Narrow" w:cs="Arial"/>
          <w:color w:val="000000" w:themeColor="text1"/>
          <w:lang w:val="es-MX" w:eastAsia="es-ES"/>
        </w:rPr>
      </w:pPr>
    </w:p>
    <w:p w14:paraId="6C5DE33C" w14:textId="77777777" w:rsidR="007968EC" w:rsidRPr="002C0D19" w:rsidRDefault="007968EC" w:rsidP="007968EC">
      <w:pPr>
        <w:jc w:val="both"/>
        <w:rPr>
          <w:rFonts w:ascii="Arial Narrow" w:hAnsi="Arial Narrow" w:cs="Arial"/>
          <w:b/>
          <w:bCs/>
          <w:color w:val="000000" w:themeColor="text1"/>
          <w:u w:val="single"/>
          <w:lang w:val="es-ES" w:eastAsia="es-ES"/>
        </w:rPr>
      </w:pPr>
      <w:r w:rsidRPr="002C0D19">
        <w:rPr>
          <w:rFonts w:ascii="Arial Narrow" w:hAnsi="Arial Narrow" w:cs="Arial"/>
          <w:color w:val="000000" w:themeColor="text1"/>
          <w:lang w:val="es-ES" w:eastAsia="es-ES"/>
        </w:rPr>
        <w:t>Esta Oferta de Servicios para la Afiliación como Miembro Liquidador Individual</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del</w:t>
      </w:r>
      <w:r w:rsidRPr="002C0D19">
        <w:rPr>
          <w:rFonts w:ascii="Arial Narrow" w:hAnsi="Arial Narrow" w:cs="Arial"/>
          <w:bCs/>
          <w:color w:val="000000" w:themeColor="text1"/>
          <w:lang w:eastAsia="es-ES"/>
        </w:rPr>
        <w:t xml:space="preserve"> Sistema de Compensación y Liquidación de</w:t>
      </w:r>
      <w:r w:rsidRPr="002C0D19">
        <w:rPr>
          <w:rFonts w:ascii="Arial Narrow" w:hAnsi="Arial Narrow" w:cs="Arial"/>
          <w:color w:val="000000" w:themeColor="text1"/>
          <w:lang w:val="es-ES" w:eastAsia="es-ES"/>
        </w:rPr>
        <w:t xml:space="preserve"> la Contraparte Central de la Cámara de Riesgo Central de Contraparte de Colombia S.A. – CRCC S.A., en adelante “</w:t>
      </w:r>
      <w:r w:rsidRPr="002C0D19">
        <w:rPr>
          <w:rFonts w:ascii="Arial Narrow" w:hAnsi="Arial Narrow" w:cs="Arial"/>
          <w:b/>
          <w:color w:val="000000" w:themeColor="text1"/>
          <w:lang w:val="es-ES" w:eastAsia="es-ES"/>
        </w:rPr>
        <w:t>EL SISTEMA</w:t>
      </w:r>
      <w:r w:rsidRPr="002C0D19">
        <w:rPr>
          <w:rFonts w:ascii="Arial Narrow" w:hAnsi="Arial Narrow" w:cs="Arial"/>
          <w:color w:val="000000" w:themeColor="text1"/>
          <w:lang w:val="es-ES" w:eastAsia="es-ES"/>
        </w:rPr>
        <w:t>”, se somete por la</w:t>
      </w:r>
      <w:r w:rsidRPr="002C0D19">
        <w:rPr>
          <w:rFonts w:ascii="Arial Narrow" w:hAnsi="Arial Narrow" w:cs="Arial"/>
          <w:b/>
          <w:bCs/>
          <w:color w:val="000000" w:themeColor="text1"/>
          <w:lang w:val="es-ES" w:eastAsia="es-ES"/>
        </w:rPr>
        <w:t xml:space="preserve"> CÁMARA DE RIESGO CENTRAL DE CONTRAPARTE DE COLOMBIA S.A.</w:t>
      </w:r>
      <w:r w:rsidRPr="002C0D19">
        <w:rPr>
          <w:rFonts w:ascii="Arial Narrow" w:hAnsi="Arial Narrow" w:cs="Arial"/>
          <w:color w:val="000000" w:themeColor="text1"/>
          <w:lang w:val="es-ES" w:eastAsia="es-ES"/>
        </w:rPr>
        <w:t xml:space="preserve">, en adelante </w:t>
      </w:r>
      <w:r w:rsidRPr="002C0D19">
        <w:rPr>
          <w:rFonts w:ascii="Arial Narrow" w:hAnsi="Arial Narrow" w:cs="Arial"/>
          <w:b/>
          <w:color w:val="000000" w:themeColor="text1"/>
          <w:lang w:val="es-ES" w:eastAsia="es-ES"/>
        </w:rPr>
        <w:t>LA</w:t>
      </w:r>
      <w:r w:rsidRPr="002C0D19">
        <w:rPr>
          <w:rFonts w:ascii="Arial Narrow" w:hAnsi="Arial Narrow" w:cs="Arial"/>
          <w:color w:val="000000" w:themeColor="text1"/>
          <w:lang w:val="es-ES" w:eastAsia="es-ES"/>
        </w:rPr>
        <w:t xml:space="preserve"> </w:t>
      </w:r>
      <w:r w:rsidRPr="002C0D19">
        <w:rPr>
          <w:rFonts w:ascii="Arial Narrow" w:hAnsi="Arial Narrow" w:cs="Arial"/>
          <w:b/>
          <w:bCs/>
          <w:color w:val="000000" w:themeColor="text1"/>
          <w:lang w:val="es-ES" w:eastAsia="es-ES"/>
        </w:rPr>
        <w:t>CRCC</w:t>
      </w:r>
      <w:r w:rsidRPr="002C0D19">
        <w:rPr>
          <w:rFonts w:ascii="Arial Narrow" w:hAnsi="Arial Narrow" w:cs="Arial"/>
          <w:color w:val="000000" w:themeColor="text1"/>
          <w:lang w:val="es-ES" w:eastAsia="es-ES"/>
        </w:rPr>
        <w:t xml:space="preserve">, a consideración de </w:t>
      </w:r>
      <w:r w:rsidRPr="002C0D19">
        <w:rPr>
          <w:rFonts w:ascii="Arial Narrow" w:hAnsi="Arial Narrow" w:cs="Arial"/>
          <w:b/>
          <w:bCs/>
          <w:color w:val="000000" w:themeColor="text1"/>
          <w:lang w:val="es-ES" w:eastAsia="es-ES"/>
        </w:rPr>
        <w:t xml:space="preserve">_____________________________, </w:t>
      </w:r>
      <w:r w:rsidRPr="002C0D19">
        <w:rPr>
          <w:rFonts w:ascii="Arial Narrow" w:hAnsi="Arial Narrow" w:cs="Arial"/>
          <w:color w:val="000000" w:themeColor="text1"/>
          <w:lang w:val="es-ES" w:eastAsia="es-ES"/>
        </w:rPr>
        <w:t xml:space="preserve">en adelante </w:t>
      </w:r>
      <w:r w:rsidRPr="002C0D19">
        <w:rPr>
          <w:rFonts w:ascii="Arial Narrow" w:hAnsi="Arial Narrow" w:cs="Arial"/>
          <w:b/>
          <w:bCs/>
          <w:color w:val="000000" w:themeColor="text1"/>
          <w:lang w:val="es-ES" w:eastAsia="es-ES"/>
        </w:rPr>
        <w:t>EL MIEMBRO</w:t>
      </w:r>
      <w:r w:rsidRPr="002C0D19">
        <w:rPr>
          <w:rFonts w:ascii="Arial Narrow" w:hAnsi="Arial Narrow" w:cs="Arial"/>
          <w:color w:val="000000" w:themeColor="text1"/>
          <w:lang w:val="es-ES" w:eastAsia="es-ES"/>
        </w:rPr>
        <w:t xml:space="preserve">. </w:t>
      </w:r>
    </w:p>
    <w:p w14:paraId="68E35933" w14:textId="77777777" w:rsidR="007968EC" w:rsidRPr="002C0D19" w:rsidRDefault="007968EC" w:rsidP="007968EC">
      <w:pPr>
        <w:jc w:val="center"/>
        <w:rPr>
          <w:rFonts w:ascii="Arial Narrow" w:hAnsi="Arial Narrow" w:cs="Arial"/>
          <w:b/>
          <w:bCs/>
          <w:iCs/>
          <w:color w:val="000000" w:themeColor="text1"/>
          <w:lang w:val="es-ES" w:eastAsia="es-ES"/>
        </w:rPr>
      </w:pPr>
    </w:p>
    <w:p w14:paraId="74E1E2A6" w14:textId="77777777" w:rsidR="007968EC" w:rsidRPr="002C0D19" w:rsidRDefault="007968EC" w:rsidP="007968EC">
      <w:pPr>
        <w:jc w:val="center"/>
        <w:rPr>
          <w:rFonts w:ascii="Arial Narrow" w:hAnsi="Arial Narrow" w:cs="Arial"/>
          <w:b/>
          <w:bCs/>
          <w:iCs/>
          <w:color w:val="000000" w:themeColor="text1"/>
          <w:lang w:val="es-ES" w:eastAsia="es-ES"/>
        </w:rPr>
      </w:pPr>
      <w:r w:rsidRPr="002C0D19">
        <w:rPr>
          <w:rFonts w:ascii="Arial Narrow" w:hAnsi="Arial Narrow" w:cs="Arial"/>
          <w:b/>
          <w:bCs/>
          <w:iCs/>
          <w:color w:val="000000" w:themeColor="text1"/>
          <w:lang w:val="es-ES" w:eastAsia="es-ES"/>
        </w:rPr>
        <w:t>TÉRMINOS Y CONDICIONES DE LA OFERTA</w:t>
      </w:r>
    </w:p>
    <w:p w14:paraId="18C0F471" w14:textId="77777777" w:rsidR="007968EC" w:rsidRPr="002C0D19" w:rsidRDefault="007968EC" w:rsidP="007968EC">
      <w:pPr>
        <w:jc w:val="center"/>
        <w:rPr>
          <w:rFonts w:ascii="Arial Narrow" w:hAnsi="Arial Narrow" w:cs="Arial"/>
          <w:b/>
          <w:bCs/>
          <w:color w:val="000000" w:themeColor="text1"/>
          <w:lang w:val="es-ES" w:eastAsia="es-ES"/>
        </w:rPr>
      </w:pPr>
    </w:p>
    <w:p w14:paraId="3D6E4986"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es-ES" w:eastAsia="es-ES"/>
        </w:rPr>
        <w:t>PRIMERA. Objeto.</w:t>
      </w:r>
      <w:r w:rsidRPr="002C0D19">
        <w:rPr>
          <w:rFonts w:ascii="Arial Narrow" w:hAnsi="Arial Narrow" w:cs="Arial"/>
          <w:color w:val="000000" w:themeColor="text1"/>
          <w:lang w:val="es-ES" w:eastAsia="es-ES"/>
        </w:rPr>
        <w:t xml:space="preserve"> En virtud de la aceptación de la presente Oferta de Servicios,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adquiere el derecho de acceder de manera directa a </w:t>
      </w:r>
      <w:r w:rsidRPr="002C0D19">
        <w:rPr>
          <w:rFonts w:ascii="Arial Narrow" w:hAnsi="Arial Narrow" w:cs="Arial"/>
          <w:b/>
          <w:color w:val="000000" w:themeColor="text1"/>
          <w:lang w:val="es-ES" w:eastAsia="es-ES"/>
        </w:rPr>
        <w:t>LA</w:t>
      </w:r>
      <w:r w:rsidRPr="002C0D19">
        <w:rPr>
          <w:rFonts w:ascii="Arial Narrow" w:hAnsi="Arial Narrow" w:cs="Arial"/>
          <w:color w:val="000000" w:themeColor="text1"/>
          <w:lang w:val="es-ES" w:eastAsia="es-ES"/>
        </w:rPr>
        <w:t xml:space="preserve"> </w:t>
      </w:r>
      <w:r w:rsidRPr="002C0D19">
        <w:rPr>
          <w:rFonts w:ascii="Arial Narrow" w:hAnsi="Arial Narrow" w:cs="Arial"/>
          <w:b/>
          <w:color w:val="000000" w:themeColor="text1"/>
          <w:lang w:val="es-ES" w:eastAsia="es-ES"/>
        </w:rPr>
        <w:t xml:space="preserve">CRCC </w:t>
      </w:r>
      <w:r w:rsidRPr="002C0D19">
        <w:rPr>
          <w:rFonts w:ascii="Arial Narrow" w:hAnsi="Arial Narrow" w:cs="Arial"/>
          <w:color w:val="000000" w:themeColor="text1"/>
          <w:lang w:val="es-ES" w:eastAsia="es-ES"/>
        </w:rPr>
        <w:t>para que</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 xml:space="preserve">ésta acredite y debite las cuentas de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con el propósito de compensar, liquidar y garantizar las Operaciones Aceptadas por la misma en los Segmentos en que participe, todas las cuales deberán haberse celebrado en una bolsa, en un sistema de negociación, en el mercado mostrador o en cualquier otro mecanismo autorizado por el Reglamento de </w:t>
      </w:r>
      <w:r w:rsidRPr="002C0D19">
        <w:rPr>
          <w:rFonts w:ascii="Arial Narrow" w:hAnsi="Arial Narrow" w:cs="Arial"/>
          <w:b/>
          <w:color w:val="000000" w:themeColor="text1"/>
          <w:lang w:val="es-ES" w:eastAsia="es-ES"/>
        </w:rPr>
        <w:t>LA</w:t>
      </w:r>
      <w:r w:rsidRPr="002C0D19">
        <w:rPr>
          <w:rFonts w:ascii="Arial Narrow" w:hAnsi="Arial Narrow" w:cs="Arial"/>
          <w:color w:val="000000" w:themeColor="text1"/>
          <w:lang w:val="es-ES" w:eastAsia="es-ES"/>
        </w:rPr>
        <w:t xml:space="preserve"> </w:t>
      </w:r>
      <w:r w:rsidRPr="002C0D19">
        <w:rPr>
          <w:rFonts w:ascii="Arial Narrow" w:hAnsi="Arial Narrow" w:cs="Arial"/>
          <w:b/>
          <w:color w:val="000000" w:themeColor="text1"/>
          <w:lang w:val="es-ES" w:eastAsia="es-ES"/>
        </w:rPr>
        <w:t>CRCC</w:t>
      </w:r>
      <w:r w:rsidRPr="002C0D19">
        <w:rPr>
          <w:rFonts w:ascii="Arial Narrow" w:hAnsi="Arial Narrow" w:cs="Arial"/>
          <w:color w:val="000000" w:themeColor="text1"/>
          <w:lang w:val="es-ES" w:eastAsia="es-ES"/>
        </w:rPr>
        <w:t>. Un Miembro Liquidador Individual podrá participar por su propia cuenta, esto es, en relación con sus propias operaciones, o por cuenta de Terceros.</w:t>
      </w:r>
    </w:p>
    <w:p w14:paraId="4B07758B" w14:textId="77777777" w:rsidR="007968EC" w:rsidRPr="002C0D19" w:rsidRDefault="007968EC" w:rsidP="007968EC">
      <w:pPr>
        <w:jc w:val="both"/>
        <w:rPr>
          <w:rFonts w:ascii="Arial Narrow" w:hAnsi="Arial Narrow" w:cs="Arial"/>
          <w:b/>
          <w:color w:val="000000" w:themeColor="text1"/>
          <w:lang w:val="es-ES" w:eastAsia="es-ES"/>
        </w:rPr>
      </w:pPr>
    </w:p>
    <w:p w14:paraId="7835237E"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 w:eastAsia="es-ES"/>
        </w:rPr>
        <w:t>PARÁGRAFO.</w:t>
      </w:r>
      <w:r w:rsidRPr="002C0D19">
        <w:rPr>
          <w:rFonts w:ascii="Arial Narrow" w:hAnsi="Arial Narrow" w:cs="Arial"/>
          <w:color w:val="000000" w:themeColor="text1"/>
          <w:lang w:val="es-ES" w:eastAsia="es-ES"/>
        </w:rPr>
        <w:t xml:space="preserve"> Los términos que se utilizan en esta Oferta de Servicios, cuya primera letra sea una mayúscula y que no se encuentren expresamente definidos en esta Oferta, tendrán el significado que se le atribuye a tales términos en el Reglamento.  </w:t>
      </w:r>
    </w:p>
    <w:p w14:paraId="299F9C59" w14:textId="77777777" w:rsidR="007968EC" w:rsidRPr="002C0D19" w:rsidRDefault="007968EC" w:rsidP="007968EC">
      <w:pPr>
        <w:jc w:val="both"/>
        <w:rPr>
          <w:rFonts w:ascii="Arial Narrow" w:hAnsi="Arial Narrow" w:cs="Arial"/>
          <w:b/>
          <w:color w:val="000000" w:themeColor="text1"/>
          <w:u w:val="single"/>
          <w:lang w:val="es-ES" w:eastAsia="es-ES"/>
        </w:rPr>
      </w:pPr>
    </w:p>
    <w:p w14:paraId="6B3DDAAC" w14:textId="77777777" w:rsidR="007968EC" w:rsidRPr="002C0D19" w:rsidRDefault="007968EC" w:rsidP="007968EC">
      <w:pPr>
        <w:jc w:val="both"/>
        <w:rPr>
          <w:rFonts w:ascii="Arial Narrow" w:hAnsi="Arial Narrow" w:cs="Arial"/>
          <w:b/>
          <w:color w:val="000000" w:themeColor="text1"/>
          <w:lang w:val="es-ES" w:eastAsia="es-ES"/>
        </w:rPr>
      </w:pPr>
      <w:r w:rsidRPr="002C0D19">
        <w:rPr>
          <w:rFonts w:ascii="Arial Narrow" w:hAnsi="Arial Narrow" w:cs="Arial"/>
          <w:b/>
          <w:color w:val="000000" w:themeColor="text1"/>
          <w:u w:val="single"/>
          <w:lang w:val="es-ES" w:eastAsia="es-ES"/>
        </w:rPr>
        <w:t>SEGUNDA. Declaraciones, Manifestaciones y Autorizaciones.</w:t>
      </w:r>
      <w:r w:rsidRPr="002C0D19">
        <w:rPr>
          <w:rFonts w:ascii="Arial Narrow" w:hAnsi="Arial Narrow" w:cs="Arial"/>
          <w:color w:val="000000" w:themeColor="text1"/>
          <w:lang w:val="es-ES" w:eastAsia="es-ES"/>
        </w:rPr>
        <w:t xml:space="preserve"> Mediante la aceptación de la presente Oferta, </w:t>
      </w:r>
      <w:r w:rsidRPr="002C0D19">
        <w:rPr>
          <w:rFonts w:ascii="Arial Narrow" w:hAnsi="Arial Narrow" w:cs="Arial"/>
          <w:b/>
          <w:color w:val="000000" w:themeColor="text1"/>
          <w:lang w:val="es-ES" w:eastAsia="es-ES"/>
        </w:rPr>
        <w:t>EL MIEMBRO:</w:t>
      </w:r>
    </w:p>
    <w:p w14:paraId="3EFAD83E" w14:textId="77777777" w:rsidR="007968EC" w:rsidRPr="002C0D19" w:rsidRDefault="007968EC" w:rsidP="007968EC">
      <w:pPr>
        <w:jc w:val="both"/>
        <w:rPr>
          <w:rFonts w:ascii="Arial Narrow" w:hAnsi="Arial Narrow" w:cs="Arial"/>
          <w:color w:val="000000" w:themeColor="text1"/>
          <w:lang w:val="es-ES" w:eastAsia="es-ES"/>
        </w:rPr>
      </w:pPr>
    </w:p>
    <w:p w14:paraId="3846A1C2" w14:textId="77777777" w:rsidR="007968EC" w:rsidRPr="002C0D19" w:rsidRDefault="007968EC" w:rsidP="00DA7472">
      <w:pPr>
        <w:numPr>
          <w:ilvl w:val="0"/>
          <w:numId w:val="39"/>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Declara expresamente conocer y aceptar en su integridad el Reglamento, las Circulares y los Instructivos Operativos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los cuales se consideran parte integral de la presente Oferta de servicios. </w:t>
      </w:r>
    </w:p>
    <w:p w14:paraId="08B86426" w14:textId="77777777" w:rsidR="007968EC" w:rsidRPr="002C0D19" w:rsidRDefault="007968EC" w:rsidP="00DA7472">
      <w:pPr>
        <w:numPr>
          <w:ilvl w:val="0"/>
          <w:numId w:val="39"/>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Declara conocer la reglamentación de las bolsas, sistemas de negociación y mercado mostrador en donde se transen los Activos Compensados y Liquidados a través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w:t>
      </w:r>
    </w:p>
    <w:p w14:paraId="24E6C306" w14:textId="77777777" w:rsidR="007968EC" w:rsidRPr="002C0D19" w:rsidRDefault="007968EC" w:rsidP="00DA7472">
      <w:pPr>
        <w:numPr>
          <w:ilvl w:val="0"/>
          <w:numId w:val="39"/>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Manifiesta y acepta que en lo no previsto expresamente en la presente Oferta, se aplicará lo dispuesto en el Reglamento.</w:t>
      </w:r>
    </w:p>
    <w:p w14:paraId="43D48004" w14:textId="77777777" w:rsidR="007968EC" w:rsidRPr="002C0D19" w:rsidRDefault="007968EC" w:rsidP="00DA7472">
      <w:pPr>
        <w:numPr>
          <w:ilvl w:val="0"/>
          <w:numId w:val="39"/>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lastRenderedPageBreak/>
        <w:t>Manifiesta que cumple con las condiciones y requisitos establecidos en el Reglamento para ser Miembro Liquidador Individual.</w:t>
      </w:r>
    </w:p>
    <w:p w14:paraId="4A3FF431" w14:textId="77777777" w:rsidR="007968EC" w:rsidRPr="002C0D19" w:rsidRDefault="007968EC" w:rsidP="00DA7472">
      <w:pPr>
        <w:numPr>
          <w:ilvl w:val="0"/>
          <w:numId w:val="39"/>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Autoriza a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 xml:space="preserve">para verificar, en cualquier momento, </w:t>
      </w:r>
      <w:r w:rsidRPr="002C0D19">
        <w:rPr>
          <w:rFonts w:ascii="Arial Narrow" w:hAnsi="Arial Narrow" w:cs="Arial"/>
          <w:color w:val="000000" w:themeColor="text1"/>
          <w:lang w:eastAsia="es-ES"/>
        </w:rPr>
        <w:t xml:space="preserve">el cumplimiento de los requisitos y condiciones que dieron lugar a su admisión como </w:t>
      </w:r>
      <w:r w:rsidRPr="002C0D19">
        <w:rPr>
          <w:rFonts w:ascii="Arial Narrow" w:hAnsi="Arial Narrow" w:cs="Arial"/>
          <w:color w:val="000000" w:themeColor="text1"/>
          <w:lang w:val="es-ES" w:eastAsia="es-ES"/>
        </w:rPr>
        <w:t>Miembro Liquidador Individual</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eastAsia="es-ES"/>
        </w:rPr>
        <w:t xml:space="preserve">de la misma. La verificación la puede hacer </w:t>
      </w:r>
      <w:r w:rsidRPr="002C0D19">
        <w:rPr>
          <w:rFonts w:ascii="Arial Narrow" w:hAnsi="Arial Narrow" w:cs="Arial"/>
          <w:b/>
          <w:color w:val="000000" w:themeColor="text1"/>
          <w:lang w:eastAsia="es-ES"/>
        </w:rPr>
        <w:t xml:space="preserve">LA CRCC </w:t>
      </w:r>
      <w:r w:rsidRPr="002C0D19">
        <w:rPr>
          <w:rFonts w:ascii="Arial Narrow" w:hAnsi="Arial Narrow" w:cs="Arial"/>
          <w:color w:val="000000" w:themeColor="text1"/>
          <w:lang w:eastAsia="es-ES"/>
        </w:rPr>
        <w:t xml:space="preserve">directamente o a través de un tercero especializado, según la materia o asunto a verificar, y el costo de dicha verificación podrá ser a cargo de </w:t>
      </w:r>
      <w:r w:rsidRPr="002C0D19">
        <w:rPr>
          <w:rFonts w:ascii="Arial Narrow" w:hAnsi="Arial Narrow" w:cs="Arial"/>
          <w:b/>
          <w:color w:val="000000" w:themeColor="text1"/>
          <w:lang w:eastAsia="es-ES"/>
        </w:rPr>
        <w:t>EL MIEMBRO</w:t>
      </w:r>
      <w:r w:rsidRPr="002C0D19">
        <w:rPr>
          <w:rFonts w:ascii="Arial Narrow" w:hAnsi="Arial Narrow" w:cs="Arial"/>
          <w:color w:val="000000" w:themeColor="text1"/>
          <w:lang w:val="es-ES" w:eastAsia="es-ES"/>
        </w:rPr>
        <w:t>.</w:t>
      </w:r>
      <w:r w:rsidRPr="002C0D19">
        <w:rPr>
          <w:rFonts w:ascii="Arial Narrow" w:hAnsi="Arial Narrow" w:cs="Arial"/>
          <w:color w:val="000000" w:themeColor="text1"/>
          <w:lang w:eastAsia="es-ES"/>
        </w:rPr>
        <w:t xml:space="preserve"> </w:t>
      </w:r>
    </w:p>
    <w:p w14:paraId="1287D45E" w14:textId="77777777" w:rsidR="007968EC" w:rsidRPr="002C0D19" w:rsidRDefault="007968EC" w:rsidP="00DA7472">
      <w:pPr>
        <w:numPr>
          <w:ilvl w:val="0"/>
          <w:numId w:val="39"/>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Declara que los derechos y obligaciones derivados de las</w:t>
      </w:r>
      <w:r w:rsidRPr="002C0D19">
        <w:rPr>
          <w:rFonts w:ascii="Arial Narrow" w:hAnsi="Arial Narrow" w:cs="Arial"/>
          <w:color w:val="000000" w:themeColor="text1"/>
          <w:lang w:eastAsia="es-ES"/>
        </w:rPr>
        <w:t xml:space="preserve"> Operaciones Aceptadas por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w:t>
      </w:r>
      <w:r w:rsidRPr="002C0D19">
        <w:rPr>
          <w:rFonts w:ascii="Arial Narrow" w:hAnsi="Arial Narrow" w:cs="Arial"/>
          <w:color w:val="000000" w:themeColor="text1"/>
          <w:lang w:val="es-ES" w:eastAsia="es-ES"/>
        </w:rPr>
        <w:t xml:space="preserve">se entenderán automáticamente novados, con ocasión de la interposición de </w:t>
      </w:r>
      <w:r w:rsidRPr="002C0D19">
        <w:rPr>
          <w:rFonts w:ascii="Arial Narrow" w:hAnsi="Arial Narrow" w:cs="Arial"/>
          <w:b/>
          <w:color w:val="000000" w:themeColor="text1"/>
          <w:lang w:val="es-ES" w:eastAsia="es-ES"/>
        </w:rPr>
        <w:t>LA</w:t>
      </w:r>
      <w:r w:rsidRPr="002C0D19">
        <w:rPr>
          <w:rFonts w:ascii="Arial Narrow" w:hAnsi="Arial Narrow" w:cs="Arial"/>
          <w:color w:val="000000" w:themeColor="text1"/>
          <w:lang w:val="es-ES" w:eastAsia="es-ES"/>
        </w:rPr>
        <w:t xml:space="preserve"> </w:t>
      </w:r>
      <w:r w:rsidRPr="002C0D19">
        <w:rPr>
          <w:rFonts w:ascii="Arial Narrow" w:hAnsi="Arial Narrow" w:cs="Arial"/>
          <w:b/>
          <w:color w:val="000000" w:themeColor="text1"/>
          <w:lang w:val="es-ES" w:eastAsia="es-ES"/>
        </w:rPr>
        <w:t>CRCC</w:t>
      </w:r>
      <w:r w:rsidRPr="002C0D19">
        <w:rPr>
          <w:rFonts w:ascii="Arial Narrow" w:hAnsi="Arial Narrow" w:cs="Arial"/>
          <w:color w:val="000000" w:themeColor="text1"/>
          <w:lang w:val="es-ES" w:eastAsia="es-ES"/>
        </w:rPr>
        <w:t xml:space="preserve"> como Contraparte, surgiendo nuevos derechos y obligaciones de y frente a ésta y extinguiéndose los que hasta ese momento existieran entre quienes hubieran celebrado la operación en su origen. </w:t>
      </w:r>
    </w:p>
    <w:p w14:paraId="7FEAE872" w14:textId="77777777" w:rsidR="007968EC" w:rsidRPr="002C0D19" w:rsidRDefault="007968EC" w:rsidP="00DA7472">
      <w:pPr>
        <w:numPr>
          <w:ilvl w:val="0"/>
          <w:numId w:val="39"/>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Declara que las Garantías constituidas y mantenidas, con los ajustes procedentes, a favor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bien sea por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o por cuenta de sus Terceros, no se verán afectadas por la novación antes referida, se mantendrán vigentes y conviene en su reserva a favor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w:t>
      </w:r>
    </w:p>
    <w:p w14:paraId="71E4567F" w14:textId="77777777" w:rsidR="007968EC" w:rsidRPr="002C0D19" w:rsidRDefault="007968EC" w:rsidP="00DA7472">
      <w:pPr>
        <w:numPr>
          <w:ilvl w:val="0"/>
          <w:numId w:val="39"/>
        </w:numPr>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Manifiesta que acepta expresamente el procedimiento y las consecuencias derivadas del Incumplimiento, en los términos establecidos en el Reglamento, incluidas las medidas que correspondan, así como la ejecución de Garantías en cualquiera o en todos los Segmentos en que participe, que se contemplen en el Reglamento y en las Circulares e Instructivos Operativos.</w:t>
      </w:r>
    </w:p>
    <w:p w14:paraId="5FD7345B" w14:textId="77777777" w:rsidR="007968EC" w:rsidRPr="002C0D19" w:rsidRDefault="007968EC" w:rsidP="00DA7472">
      <w:pPr>
        <w:numPr>
          <w:ilvl w:val="0"/>
          <w:numId w:val="39"/>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Autoriza en forma expresa a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 xml:space="preserve">para que en ejercicio de sus funciones, pueda debitar o acreditar automáticamente la cuenta de efectivo identificada en el Banco de la República bajo el número ___________________________, así como cualquier otra cuenta de efectivo que se maneje para la compensación y liquidación ante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w:t>
      </w:r>
    </w:p>
    <w:p w14:paraId="5E006864" w14:textId="77777777" w:rsidR="007968EC" w:rsidRPr="002C0D19" w:rsidRDefault="007968EC" w:rsidP="00DA7472">
      <w:pPr>
        <w:numPr>
          <w:ilvl w:val="0"/>
          <w:numId w:val="39"/>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Autoriza en forma expresa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para que en ejercicio de sus funciones, pueda debitar o acreditar automáticamente las cuentas de depósito de valores de las que es titular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en el DECEVAL, Cuenta No. ____________________ y en el DCV, Cuenta No. _____________________. </w:t>
      </w:r>
    </w:p>
    <w:p w14:paraId="50B19C4B" w14:textId="77777777" w:rsidR="007968EC" w:rsidRPr="002C0D19" w:rsidRDefault="007968EC" w:rsidP="00DA7472">
      <w:pPr>
        <w:numPr>
          <w:ilvl w:val="0"/>
          <w:numId w:val="39"/>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Autoriza a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 xml:space="preserve">para transmitir la información de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a las autoridades u organismos competentes que se lo soliciten. </w:t>
      </w:r>
    </w:p>
    <w:p w14:paraId="48C5CC87" w14:textId="77777777" w:rsidR="007968EC" w:rsidRPr="002C0D19" w:rsidRDefault="007968EC" w:rsidP="00DA7472">
      <w:pPr>
        <w:numPr>
          <w:ilvl w:val="0"/>
          <w:numId w:val="39"/>
        </w:numPr>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Acepta que en caso de Incumplimiento de alguna de las obligaciones a su cargo,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realizará la Gestión del Incumplimiento en todos los Segmentos en que participe, de conformidad con lo dispuesto en el Reglamento y en las Circulares y en los Instructivos Operativos. Así mismo, acepta los efectos del Incumplimiento de acuerdo con lo establecido en el Reglamento.  </w:t>
      </w:r>
    </w:p>
    <w:p w14:paraId="6744245E" w14:textId="77777777" w:rsidR="007968EC" w:rsidRPr="002C0D19" w:rsidRDefault="007968EC" w:rsidP="00DA7472">
      <w:pPr>
        <w:numPr>
          <w:ilvl w:val="0"/>
          <w:numId w:val="39"/>
        </w:numPr>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Acepta expresamente que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informe a las Autoridades Competentes el incumplimiento de las obligaciones a su cargo.</w:t>
      </w:r>
    </w:p>
    <w:p w14:paraId="3C34155F" w14:textId="77777777" w:rsidR="007968EC" w:rsidRPr="002C0D19" w:rsidRDefault="007968EC" w:rsidP="00DA7472">
      <w:pPr>
        <w:numPr>
          <w:ilvl w:val="0"/>
          <w:numId w:val="39"/>
        </w:numPr>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Autoriza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w:t>
      </w:r>
      <w:r w:rsidRPr="002C0D19">
        <w:rPr>
          <w:rFonts w:ascii="Arial Narrow" w:hAnsi="Arial Narrow" w:cs="Arial"/>
          <w:color w:val="000000" w:themeColor="text1"/>
          <w:lang w:eastAsia="es-ES"/>
        </w:rPr>
        <w:t xml:space="preserve">para que todas las comunicaciones telefónicas que </w:t>
      </w:r>
      <w:r w:rsidRPr="002C0D19">
        <w:rPr>
          <w:rFonts w:ascii="Arial Narrow" w:hAnsi="Arial Narrow" w:cs="Arial"/>
          <w:color w:val="000000" w:themeColor="text1"/>
          <w:lang w:val="es-ES" w:eastAsia="es-ES"/>
        </w:rPr>
        <w:t>sus funcionarios, operadores, empleados, contratistas, subcontratistas y/o dependientes</w:t>
      </w:r>
      <w:r w:rsidRPr="002C0D19">
        <w:rPr>
          <w:rFonts w:ascii="Arial Narrow" w:hAnsi="Arial Narrow" w:cs="Arial"/>
          <w:color w:val="000000" w:themeColor="text1"/>
          <w:lang w:eastAsia="es-ES"/>
        </w:rPr>
        <w:t xml:space="preserve"> tengan con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sean grabadas y que las mismas, en caso de requerirse, puedan ser presentadas como medio de prueba. </w:t>
      </w:r>
    </w:p>
    <w:p w14:paraId="3524B494" w14:textId="77777777" w:rsidR="007968EC" w:rsidRPr="002C0D19" w:rsidRDefault="007968EC" w:rsidP="007968EC">
      <w:pPr>
        <w:jc w:val="both"/>
        <w:rPr>
          <w:rFonts w:ascii="Arial Narrow" w:hAnsi="Arial Narrow" w:cs="Arial"/>
          <w:b/>
          <w:color w:val="000000" w:themeColor="text1"/>
          <w:u w:val="single"/>
          <w:lang w:val="es-ES" w:eastAsia="es-ES"/>
        </w:rPr>
      </w:pPr>
    </w:p>
    <w:p w14:paraId="5C306E27"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 w:eastAsia="es-ES"/>
        </w:rPr>
        <w:t>Parágrafo.</w:t>
      </w:r>
      <w:r w:rsidRPr="002C0D19">
        <w:rPr>
          <w:rFonts w:ascii="Arial Narrow" w:hAnsi="Arial Narrow" w:cs="Arial"/>
          <w:color w:val="000000" w:themeColor="text1"/>
          <w:lang w:val="es-ES" w:eastAsia="es-ES"/>
        </w:rPr>
        <w:t xml:space="preserve"> Cualquier reforma que se realice al Reglamento o a las Circulares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que implique una modificación a los términos de los acuerdos o Convenios de vinculación, Oferta de Servicios Aceptada mediante Orden de Compra de Servicios</w:t>
      </w:r>
      <w:r w:rsidR="00AA58B5">
        <w:rPr>
          <w:rFonts w:ascii="Arial Narrow" w:hAnsi="Arial Narrow" w:cs="Arial"/>
          <w:color w:val="000000" w:themeColor="text1"/>
          <w:lang w:val="es-ES" w:eastAsia="es-ES"/>
        </w:rPr>
        <w:t>, según corresponda,</w:t>
      </w:r>
      <w:r w:rsidRPr="002C0D19">
        <w:rPr>
          <w:rFonts w:ascii="Arial Narrow" w:hAnsi="Arial Narrow" w:cs="Arial"/>
          <w:color w:val="000000" w:themeColor="text1"/>
          <w:lang w:val="es-ES" w:eastAsia="es-ES"/>
        </w:rPr>
        <w:t xml:space="preserve"> que suscriban los Miembros y estos con sus Terceros se presume conocida y aceptada por las partes a partir de su publicación y entrada en vigencia y no requerirá de la modificación de tales acuerdos o Convenios de vinculación, Oferta de Servicios Aceptada mediante Orden de Compra de Servicios que suscriban los Miembros y estos con sus Terceros, ni de la </w:t>
      </w:r>
      <w:r w:rsidRPr="002C0D19">
        <w:rPr>
          <w:rFonts w:ascii="Arial Narrow" w:hAnsi="Arial Narrow" w:cs="Arial"/>
          <w:color w:val="000000" w:themeColor="text1"/>
          <w:lang w:val="es-ES" w:eastAsia="es-ES"/>
        </w:rPr>
        <w:lastRenderedPageBreak/>
        <w:t xml:space="preserve">suscripción de nuevos Convenios. No obstante, cuando haya lugar a ello,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podrá aprobar unos nuevos textos que incorporen las modificaciones pertinentes y publicarlos mediante Circular para efecto de la vinculación de nuevos Miembros, Agentes y Terceros a través de</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los Miembros.</w:t>
      </w:r>
    </w:p>
    <w:p w14:paraId="48FEA695" w14:textId="77777777" w:rsidR="007968EC" w:rsidRPr="002C0D19" w:rsidRDefault="007968EC" w:rsidP="007968EC">
      <w:pPr>
        <w:jc w:val="both"/>
        <w:rPr>
          <w:rFonts w:ascii="Arial Narrow" w:hAnsi="Arial Narrow" w:cs="Arial"/>
          <w:b/>
          <w:color w:val="000000" w:themeColor="text1"/>
          <w:u w:val="single"/>
          <w:lang w:val="es-ES" w:eastAsia="es-ES"/>
        </w:rPr>
      </w:pPr>
    </w:p>
    <w:p w14:paraId="6C4988DA" w14:textId="77777777" w:rsidR="007968EC" w:rsidRPr="002C0D19" w:rsidRDefault="007968EC" w:rsidP="007968EC">
      <w:pPr>
        <w:jc w:val="both"/>
        <w:rPr>
          <w:rFonts w:ascii="Arial Narrow" w:hAnsi="Arial Narrow" w:cs="Arial"/>
          <w:b/>
          <w:color w:val="000000" w:themeColor="text1"/>
          <w:lang w:val="es-ES" w:eastAsia="es-ES"/>
        </w:rPr>
      </w:pPr>
      <w:r w:rsidRPr="002C0D19">
        <w:rPr>
          <w:rFonts w:ascii="Arial Narrow" w:hAnsi="Arial Narrow" w:cs="Arial"/>
          <w:b/>
          <w:color w:val="000000" w:themeColor="text1"/>
          <w:u w:val="single"/>
          <w:lang w:val="es-ES" w:eastAsia="es-ES"/>
        </w:rPr>
        <w:t>TERCERA. Obligaciones de EL MIEMBRO.</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Sin perjuicio</w:t>
      </w:r>
      <w:r w:rsidRPr="002C0D19">
        <w:rPr>
          <w:rFonts w:ascii="Arial Narrow" w:hAnsi="Arial Narrow" w:cs="Arial"/>
          <w:b/>
          <w:color w:val="000000" w:themeColor="text1"/>
          <w:lang w:val="es-ES" w:eastAsia="es-ES"/>
        </w:rPr>
        <w:t xml:space="preserve"> </w:t>
      </w:r>
      <w:r w:rsidRPr="002C0D19">
        <w:rPr>
          <w:rFonts w:ascii="Arial Narrow" w:hAnsi="Arial Narrow" w:cs="Arial"/>
          <w:bCs/>
          <w:color w:val="000000" w:themeColor="text1"/>
          <w:lang w:eastAsia="es-ES"/>
        </w:rPr>
        <w:t xml:space="preserve">de las obligaciones previstas en las demás cláusulas de la presente Oferta, en el </w:t>
      </w:r>
      <w:r w:rsidRPr="002C0D19">
        <w:rPr>
          <w:rFonts w:ascii="Arial Narrow" w:hAnsi="Arial Narrow" w:cs="Arial"/>
          <w:color w:val="000000" w:themeColor="text1"/>
          <w:lang w:val="es-ES" w:eastAsia="es-ES"/>
        </w:rPr>
        <w:t xml:space="preserve">Reglamento, en las Circulares y en los Instructivos Operativos de </w:t>
      </w:r>
      <w:r w:rsidRPr="002C0D19">
        <w:rPr>
          <w:rFonts w:ascii="Arial Narrow" w:hAnsi="Arial Narrow" w:cs="Arial"/>
          <w:b/>
          <w:color w:val="000000" w:themeColor="text1"/>
          <w:lang w:val="es-ES" w:eastAsia="es-ES"/>
        </w:rPr>
        <w:t>LA CRCC,</w:t>
      </w:r>
      <w:r w:rsidRPr="002C0D19">
        <w:rPr>
          <w:rFonts w:ascii="Arial Narrow" w:hAnsi="Arial Narrow" w:cs="Arial"/>
          <w:bCs/>
          <w:color w:val="000000" w:themeColor="text1"/>
          <w:lang w:eastAsia="es-ES"/>
        </w:rPr>
        <w:t xml:space="preserve"> son obligaciones principales de </w:t>
      </w:r>
      <w:r w:rsidRPr="002C0D19">
        <w:rPr>
          <w:rFonts w:ascii="Arial Narrow" w:hAnsi="Arial Narrow" w:cs="Arial"/>
          <w:b/>
          <w:bCs/>
          <w:color w:val="000000" w:themeColor="text1"/>
          <w:lang w:eastAsia="es-ES"/>
        </w:rPr>
        <w:t xml:space="preserve">EL MIEMBRO </w:t>
      </w:r>
      <w:r w:rsidRPr="002C0D19">
        <w:rPr>
          <w:rFonts w:ascii="Arial Narrow" w:hAnsi="Arial Narrow" w:cs="Arial"/>
          <w:bCs/>
          <w:color w:val="000000" w:themeColor="text1"/>
          <w:lang w:eastAsia="es-ES"/>
        </w:rPr>
        <w:t>las siguientes:</w:t>
      </w:r>
      <w:r w:rsidRPr="002C0D19">
        <w:rPr>
          <w:rFonts w:ascii="Arial Narrow" w:hAnsi="Arial Narrow" w:cs="Arial"/>
          <w:b/>
          <w:color w:val="000000" w:themeColor="text1"/>
          <w:lang w:val="es-ES" w:eastAsia="es-ES"/>
        </w:rPr>
        <w:t xml:space="preserve"> </w:t>
      </w:r>
    </w:p>
    <w:p w14:paraId="5C141485" w14:textId="77777777" w:rsidR="007968EC" w:rsidRPr="002C0D19" w:rsidRDefault="007968EC" w:rsidP="007968EC">
      <w:pPr>
        <w:jc w:val="both"/>
        <w:rPr>
          <w:rFonts w:ascii="Arial Narrow" w:hAnsi="Arial Narrow" w:cs="Arial"/>
          <w:b/>
          <w:color w:val="000000" w:themeColor="text1"/>
          <w:lang w:val="es-ES" w:eastAsia="es-ES"/>
        </w:rPr>
      </w:pPr>
    </w:p>
    <w:p w14:paraId="09641FF1" w14:textId="77777777" w:rsidR="007968EC" w:rsidRPr="002C0D19" w:rsidRDefault="007968EC" w:rsidP="00DA7472">
      <w:pPr>
        <w:numPr>
          <w:ilvl w:val="0"/>
          <w:numId w:val="38"/>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Cumplir y mantener en todo momento los requisitos generales y especiales de admisión como Miembro Liquidador Individual.</w:t>
      </w:r>
    </w:p>
    <w:p w14:paraId="612A0A0F" w14:textId="77777777" w:rsidR="007968EC" w:rsidRPr="002C0D19" w:rsidRDefault="007968EC" w:rsidP="00DA7472">
      <w:pPr>
        <w:numPr>
          <w:ilvl w:val="0"/>
          <w:numId w:val="38"/>
        </w:numPr>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Cumplir y hacer cumplir estrictamente a las personas que autorice para operar en el Sistema, sin restricciones ni reservas, la Ley, las instrucciones de las Autoridades Competentes, el Reglamento, las Circulares e Instructivos Operativos, la presente Oferta de Servicios y todas aquellas decisiones que, en uso de sus atribuciones, adopten la Junta Directiva y/o el Gerente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para reglamentar su funcionamiento, divulgadas de conformidad con el Reglamento, sin que sirva de excusa o defensa la ignorancia de dichas normas o instrucciones. Lo anterior se extiende a cualquier modificación o adición que cualquier autoridad competente pueda imponer, así como a las modificaciones que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pueda introducir con la autorización de la Superintendencia Financiera de Colombia. </w:t>
      </w:r>
    </w:p>
    <w:p w14:paraId="24D0D36B" w14:textId="77777777" w:rsidR="007968EC" w:rsidRPr="002C0D19" w:rsidRDefault="007968EC" w:rsidP="00DA7472">
      <w:pPr>
        <w:numPr>
          <w:ilvl w:val="0"/>
          <w:numId w:val="38"/>
        </w:numPr>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Responder por el cumplimiento de las operaciones que se registren en el Sistema.</w:t>
      </w:r>
    </w:p>
    <w:p w14:paraId="7A4B6DE9" w14:textId="77777777" w:rsidR="007968EC" w:rsidRPr="002C0D19" w:rsidRDefault="007968EC" w:rsidP="00DA7472">
      <w:pPr>
        <w:numPr>
          <w:ilvl w:val="0"/>
          <w:numId w:val="38"/>
        </w:numPr>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Responder por el uso que sus operadores, funcionarios o cualquier persona bajo su dependencia, hagan del Sistema. </w:t>
      </w:r>
    </w:p>
    <w:p w14:paraId="3AC46CC5" w14:textId="77777777" w:rsidR="007968EC" w:rsidRPr="002C0D19" w:rsidRDefault="007968EC" w:rsidP="00DA7472">
      <w:pPr>
        <w:numPr>
          <w:ilvl w:val="0"/>
          <w:numId w:val="38"/>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Informar inmediatamente y por escrito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w:t>
      </w:r>
      <w:r w:rsidRPr="002C0D19">
        <w:rPr>
          <w:rFonts w:ascii="Arial Narrow" w:hAnsi="Arial Narrow" w:cs="Arial"/>
          <w:color w:val="000000" w:themeColor="text1"/>
          <w:lang w:eastAsia="es-ES"/>
        </w:rPr>
        <w:t xml:space="preserve">sobre las reformas estatutarias adoptadas por </w:t>
      </w:r>
      <w:r w:rsidRPr="002C0D19">
        <w:rPr>
          <w:rFonts w:ascii="Arial Narrow" w:hAnsi="Arial Narrow" w:cs="Arial"/>
          <w:b/>
          <w:color w:val="000000" w:themeColor="text1"/>
          <w:lang w:eastAsia="es-ES"/>
        </w:rPr>
        <w:t>EL MIEMBRO</w:t>
      </w:r>
      <w:r w:rsidRPr="002C0D19">
        <w:rPr>
          <w:rFonts w:ascii="Arial Narrow" w:hAnsi="Arial Narrow" w:cs="Arial"/>
          <w:color w:val="000000" w:themeColor="text1"/>
          <w:lang w:eastAsia="es-ES"/>
        </w:rPr>
        <w:t>.</w:t>
      </w:r>
    </w:p>
    <w:p w14:paraId="1C8D956A" w14:textId="77777777" w:rsidR="007968EC" w:rsidRPr="002C0D19" w:rsidRDefault="007968EC" w:rsidP="00DA7472">
      <w:pPr>
        <w:numPr>
          <w:ilvl w:val="0"/>
          <w:numId w:val="38"/>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Informar inmediatamente y por escrito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w:t>
      </w:r>
      <w:r w:rsidRPr="002C0D19">
        <w:rPr>
          <w:rFonts w:ascii="Arial Narrow" w:hAnsi="Arial Narrow" w:cs="Arial"/>
          <w:color w:val="000000" w:themeColor="text1"/>
          <w:lang w:eastAsia="es-ES"/>
        </w:rPr>
        <w:t xml:space="preserve">sobre las reclamaciones que afecten sus pólizas de riesgos financieros, así como sobre </w:t>
      </w:r>
      <w:r w:rsidRPr="002C0D19">
        <w:rPr>
          <w:rFonts w:ascii="Arial Narrow" w:hAnsi="Arial Narrow" w:cs="Arial"/>
          <w:color w:val="000000" w:themeColor="text1"/>
          <w:lang w:val="es-ES" w:eastAsia="es-ES"/>
        </w:rPr>
        <w:t xml:space="preserve">cualquier modificación sustancial de su situación financiera y, especialmente, las que afecten los requisitos especiales que llevaron a su admisión como Miembro Liquidador Individual. </w:t>
      </w:r>
    </w:p>
    <w:p w14:paraId="7EA9C0CC" w14:textId="77777777" w:rsidR="007968EC" w:rsidRPr="002C0D19" w:rsidRDefault="007968EC" w:rsidP="00DA7472">
      <w:pPr>
        <w:numPr>
          <w:ilvl w:val="0"/>
          <w:numId w:val="38"/>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Comunicar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en el término establecido para el efecto, la información que ésta requiera en virtud de solicitudes de Autoridades Competentes o para la salvaguardia del interés general del mercado, sobre las Operaciones Aceptadas celebradas por cuenta propia, o por cuenta de Terceros. </w:t>
      </w:r>
    </w:p>
    <w:p w14:paraId="51564247" w14:textId="77777777" w:rsidR="00AA58B5" w:rsidRPr="00280677" w:rsidRDefault="00AA58B5" w:rsidP="00DA7472">
      <w:pPr>
        <w:numPr>
          <w:ilvl w:val="0"/>
          <w:numId w:val="38"/>
        </w:numPr>
        <w:tabs>
          <w:tab w:val="clear" w:pos="360"/>
        </w:tabs>
        <w:ind w:left="426" w:hanging="426"/>
        <w:jc w:val="both"/>
        <w:rPr>
          <w:rFonts w:ascii="Arial Narrow" w:hAnsi="Arial Narrow" w:cs="Arial"/>
          <w:color w:val="000000" w:themeColor="text1"/>
          <w:lang w:eastAsia="es-ES"/>
        </w:rPr>
      </w:pPr>
      <w:r>
        <w:rPr>
          <w:rFonts w:ascii="Arial Narrow" w:hAnsi="Arial Narrow" w:cs="Arial"/>
          <w:color w:val="000000" w:themeColor="text1"/>
          <w:lang w:val="es-ES" w:eastAsia="es-ES"/>
        </w:rPr>
        <w:t>Suministrar una Información Mínima a</w:t>
      </w:r>
      <w:r w:rsidRPr="002C0D19">
        <w:rPr>
          <w:rFonts w:ascii="Arial Narrow" w:hAnsi="Arial Narrow" w:cs="Arial"/>
          <w:color w:val="000000" w:themeColor="text1"/>
          <w:lang w:val="es-ES" w:eastAsia="es-ES"/>
        </w:rPr>
        <w:t xml:space="preserve"> cada uno de sus Terceros, Identificados y no Identificados,</w:t>
      </w:r>
      <w:r>
        <w:rPr>
          <w:rFonts w:ascii="Arial Narrow" w:hAnsi="Arial Narrow" w:cs="Arial"/>
          <w:color w:val="000000" w:themeColor="text1"/>
          <w:lang w:val="es-ES" w:eastAsia="es-ES"/>
        </w:rPr>
        <w:t xml:space="preserve"> a través de un medio verificable,</w:t>
      </w:r>
      <w:r w:rsidRPr="002C0D19">
        <w:rPr>
          <w:rFonts w:ascii="Arial Narrow" w:hAnsi="Arial Narrow" w:cs="Arial"/>
          <w:color w:val="000000" w:themeColor="text1"/>
          <w:lang w:val="es-ES" w:eastAsia="es-ES"/>
        </w:rPr>
        <w:t xml:space="preserve"> </w:t>
      </w:r>
      <w:r>
        <w:rPr>
          <w:rFonts w:ascii="Arial Narrow" w:hAnsi="Arial Narrow" w:cs="Arial"/>
          <w:color w:val="000000" w:themeColor="text1"/>
          <w:lang w:val="es-ES" w:eastAsia="es-ES"/>
        </w:rPr>
        <w:t>de conformidad con lo establecido en el Reglamento y en la Circular.</w:t>
      </w:r>
    </w:p>
    <w:p w14:paraId="7539747B" w14:textId="77777777" w:rsidR="007968EC" w:rsidRPr="00AA58B5" w:rsidRDefault="00AA58B5" w:rsidP="00DA7472">
      <w:pPr>
        <w:pStyle w:val="Prrafodelista"/>
        <w:numPr>
          <w:ilvl w:val="0"/>
          <w:numId w:val="38"/>
        </w:numPr>
        <w:tabs>
          <w:tab w:val="clear" w:pos="360"/>
          <w:tab w:val="num" w:pos="709"/>
        </w:tabs>
        <w:ind w:left="426" w:hanging="426"/>
        <w:contextualSpacing/>
        <w:jc w:val="both"/>
        <w:rPr>
          <w:rFonts w:ascii="Arial Narrow" w:hAnsi="Arial Narrow"/>
          <w:b w:val="0"/>
          <w:bCs/>
          <w:color w:val="000000" w:themeColor="text1"/>
          <w:lang w:val="es-ES" w:eastAsia="es-ES"/>
        </w:rPr>
      </w:pPr>
      <w:r w:rsidRPr="00AA58B5">
        <w:rPr>
          <w:rFonts w:ascii="Arial Narrow" w:hAnsi="Arial Narrow"/>
          <w:b w:val="0"/>
          <w:bCs/>
          <w:color w:val="000000" w:themeColor="text1"/>
          <w:lang w:eastAsia="es-ES"/>
        </w:rPr>
        <w:t xml:space="preserve">Mantener, en todo momento, a disposición de </w:t>
      </w:r>
      <w:r w:rsidRPr="00AA58B5">
        <w:rPr>
          <w:rFonts w:ascii="Arial Narrow" w:hAnsi="Arial Narrow"/>
          <w:color w:val="000000" w:themeColor="text1"/>
          <w:lang w:eastAsia="es-ES"/>
        </w:rPr>
        <w:t>LA CRCC</w:t>
      </w:r>
      <w:r w:rsidRPr="00AA58B5">
        <w:rPr>
          <w:rFonts w:ascii="Arial Narrow" w:hAnsi="Arial Narrow"/>
          <w:b w:val="0"/>
          <w:bCs/>
          <w:color w:val="000000" w:themeColor="text1"/>
          <w:lang w:eastAsia="es-ES"/>
        </w:rPr>
        <w:t xml:space="preserve"> una copia del suministro de la información mínima proporcionada al Tercero.</w:t>
      </w:r>
    </w:p>
    <w:p w14:paraId="383698F5" w14:textId="77777777" w:rsidR="007968EC" w:rsidRPr="002C0D19" w:rsidRDefault="007968EC" w:rsidP="00DA7472">
      <w:pPr>
        <w:numPr>
          <w:ilvl w:val="0"/>
          <w:numId w:val="38"/>
        </w:numPr>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Entregar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o a las Autoridades Competentes directamente, la información que se le solicite sobre sus Terceros</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 xml:space="preserve">para la atención de requerimientos que las Autoridades Competentes le hagan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w:t>
      </w:r>
    </w:p>
    <w:p w14:paraId="2196B5AA" w14:textId="77777777" w:rsidR="007968EC" w:rsidRPr="002C0D19" w:rsidRDefault="007968EC" w:rsidP="00DA7472">
      <w:pPr>
        <w:numPr>
          <w:ilvl w:val="0"/>
          <w:numId w:val="38"/>
        </w:numPr>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Entregar el dinero efectivo o los Activos, según se trate, correspondientes a las Operaciones Aceptadas que realice por cuenta propia o por cuenta de Terceros. </w:t>
      </w:r>
    </w:p>
    <w:p w14:paraId="2DC3F940" w14:textId="77777777" w:rsidR="007968EC" w:rsidRPr="002C0D19" w:rsidRDefault="007968EC" w:rsidP="00DA7472">
      <w:pPr>
        <w:numPr>
          <w:ilvl w:val="0"/>
          <w:numId w:val="38"/>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Constituir y mantener, con los ajustes procedentes, las Garantías y a constituir mantener y reponer las Garantías a través de aportaciones al Fondo de Garantía Colectiva, las Contribuciones obligatorias para la continuidad del servicio del Segmento o Segmentos en que participe y los demás fondos que exija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con el fin de amparar en todo momento el cumplimiento de sus obligaciones. </w:t>
      </w:r>
    </w:p>
    <w:p w14:paraId="523DD275" w14:textId="77777777" w:rsidR="007968EC" w:rsidRPr="002C0D19" w:rsidRDefault="007968EC" w:rsidP="00DA7472">
      <w:pPr>
        <w:numPr>
          <w:ilvl w:val="0"/>
          <w:numId w:val="38"/>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lastRenderedPageBreak/>
        <w:t xml:space="preserve">Obtener de sus Terceros las Garantías que corresponda y entregar dichas Garantías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en los términos establecidos en el Reglamento, con las particularidades que se establezcan por Circular para cada Segmento de conformidad con lo dispuesto en el Reglamento y en las Circulares y en los Instructivos Operativos. </w:t>
      </w:r>
    </w:p>
    <w:p w14:paraId="28BFB3EA" w14:textId="77777777" w:rsidR="007968EC" w:rsidRPr="002C0D19" w:rsidRDefault="007968EC" w:rsidP="00DA7472">
      <w:pPr>
        <w:numPr>
          <w:ilvl w:val="0"/>
          <w:numId w:val="38"/>
        </w:numPr>
        <w:jc w:val="both"/>
        <w:rPr>
          <w:rFonts w:ascii="Arial Narrow" w:hAnsi="Arial Narrow" w:cs="Arial"/>
          <w:color w:val="000000" w:themeColor="text1"/>
          <w:lang w:val="es-ES" w:eastAsia="es-ES"/>
        </w:rPr>
      </w:pPr>
      <w:r w:rsidRPr="002C0D19">
        <w:rPr>
          <w:rFonts w:ascii="Arial Narrow" w:hAnsi="Arial Narrow" w:cs="Arial"/>
          <w:color w:val="000000" w:themeColor="text1"/>
          <w:lang w:eastAsia="es-ES"/>
        </w:rPr>
        <w:t>Responder de forma oportuna y en los plazos establecidos para tal efecto, por el cumplimiento y/o pago</w:t>
      </w:r>
      <w:r w:rsidRPr="002C0D19">
        <w:rPr>
          <w:rFonts w:ascii="Arial Narrow" w:hAnsi="Arial Narrow" w:cs="Arial"/>
          <w:b/>
          <w:color w:val="000000" w:themeColor="text1"/>
          <w:lang w:eastAsia="es-ES"/>
        </w:rPr>
        <w:t xml:space="preserve"> </w:t>
      </w:r>
      <w:r w:rsidRPr="002C0D19">
        <w:rPr>
          <w:rFonts w:ascii="Arial Narrow" w:hAnsi="Arial Narrow" w:cs="Arial"/>
          <w:color w:val="000000" w:themeColor="text1"/>
          <w:lang w:eastAsia="es-ES"/>
        </w:rPr>
        <w:t xml:space="preserve">de todas las obligaciones y sumas inherentes </w:t>
      </w:r>
      <w:r w:rsidRPr="002C0D19">
        <w:rPr>
          <w:rFonts w:ascii="Arial Narrow" w:hAnsi="Arial Narrow" w:cs="Arial"/>
          <w:color w:val="000000" w:themeColor="text1"/>
          <w:lang w:val="es-ES" w:eastAsia="es-ES"/>
        </w:rPr>
        <w:t>a las Operaciones</w:t>
      </w:r>
      <w:r w:rsidRPr="002C0D19">
        <w:rPr>
          <w:rFonts w:ascii="Arial Narrow" w:hAnsi="Arial Narrow" w:cs="Arial"/>
          <w:i/>
          <w:color w:val="000000" w:themeColor="text1"/>
          <w:lang w:val="es-ES" w:eastAsia="es-ES"/>
        </w:rPr>
        <w:t xml:space="preserve"> </w:t>
      </w:r>
      <w:r w:rsidRPr="002C0D19">
        <w:rPr>
          <w:rFonts w:ascii="Arial Narrow" w:hAnsi="Arial Narrow" w:cs="Arial"/>
          <w:color w:val="000000" w:themeColor="text1"/>
          <w:lang w:val="es-ES" w:eastAsia="es-ES"/>
        </w:rPr>
        <w:t xml:space="preserve">Aceptadas por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ya sean por cuenta propia o por cuenta de sus Terceros. </w:t>
      </w:r>
    </w:p>
    <w:p w14:paraId="5D65D094" w14:textId="77777777" w:rsidR="007968EC" w:rsidRPr="002C0D19" w:rsidRDefault="007968EC" w:rsidP="00DA7472">
      <w:pPr>
        <w:numPr>
          <w:ilvl w:val="0"/>
          <w:numId w:val="38"/>
        </w:numPr>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Mantener la cuenta de depósito de la que es titular directo en el Banco de la República, o a través de un Agente de Pago, para la realización de los cobros y pagos relativos a las liquidaciones de las Operaciones Aceptadas. </w:t>
      </w:r>
    </w:p>
    <w:p w14:paraId="25FF9CED" w14:textId="77777777" w:rsidR="007968EC" w:rsidRPr="002C0D19" w:rsidRDefault="007968EC" w:rsidP="00DA7472">
      <w:pPr>
        <w:numPr>
          <w:ilvl w:val="0"/>
          <w:numId w:val="38"/>
        </w:numPr>
        <w:jc w:val="both"/>
        <w:rPr>
          <w:rFonts w:ascii="Arial Narrow" w:hAnsi="Arial Narrow" w:cs="Arial"/>
          <w:color w:val="000000" w:themeColor="text1"/>
          <w:lang w:val="es-ES" w:eastAsia="es-ES"/>
        </w:rPr>
      </w:pPr>
      <w:r w:rsidRPr="002C0D19">
        <w:rPr>
          <w:rFonts w:ascii="Arial Narrow" w:hAnsi="Arial Narrow" w:cs="Arial"/>
          <w:color w:val="000000" w:themeColor="text1"/>
          <w:lang w:eastAsia="es-ES"/>
        </w:rPr>
        <w:t>Mantener</w:t>
      </w:r>
      <w:r w:rsidRPr="002C0D19">
        <w:rPr>
          <w:rFonts w:ascii="Arial Narrow" w:hAnsi="Arial Narrow" w:cs="Arial"/>
          <w:color w:val="000000" w:themeColor="text1"/>
          <w:lang w:val="es-ES" w:eastAsia="es-ES"/>
        </w:rPr>
        <w:t xml:space="preserve"> </w:t>
      </w:r>
      <w:r w:rsidRPr="002C0D19">
        <w:rPr>
          <w:rFonts w:ascii="Arial Narrow" w:hAnsi="Arial Narrow" w:cs="Arial"/>
          <w:color w:val="000000" w:themeColor="text1"/>
          <w:lang w:eastAsia="es-ES"/>
        </w:rPr>
        <w:t xml:space="preserve">las cuentas de depósito de las que es titular en calidad de Depositante Directo, o a través de un Agente Custodio, en los depósitos centralizados de valores que corresponda. </w:t>
      </w:r>
    </w:p>
    <w:p w14:paraId="5A33FDCC" w14:textId="77777777" w:rsidR="007968EC" w:rsidRPr="002C0D19" w:rsidRDefault="007968EC" w:rsidP="00DA7472">
      <w:pPr>
        <w:numPr>
          <w:ilvl w:val="0"/>
          <w:numId w:val="38"/>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En caso de incumplimiento de las obligaciones a cargo de alguno de los Terceros por cuenta de los cuales actúe,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deberá informar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de tal situación de forma inmediata y por los medios establecidos por la misma. </w:t>
      </w:r>
    </w:p>
    <w:p w14:paraId="179C62D0" w14:textId="77777777" w:rsidR="007968EC" w:rsidRPr="002C0D19" w:rsidRDefault="007968EC" w:rsidP="00DA7472">
      <w:pPr>
        <w:numPr>
          <w:ilvl w:val="0"/>
          <w:numId w:val="38"/>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Facilitar las actividades de comprobación de requisitos, cumplimiento de obligaciones o similares, que lleve a cabo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 xml:space="preserve">en desarrollo de sus funciones. </w:t>
      </w:r>
    </w:p>
    <w:p w14:paraId="65878806" w14:textId="77777777" w:rsidR="007968EC" w:rsidRPr="002C0D19" w:rsidRDefault="007968EC" w:rsidP="00DA7472">
      <w:pPr>
        <w:numPr>
          <w:ilvl w:val="0"/>
          <w:numId w:val="38"/>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Cumplir sus obligaciones pendientes para con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y, en su caso, las de sus Terceros, incluso después de cesar, por cualquier causa, como Miembro Liquidador Individual. </w:t>
      </w:r>
    </w:p>
    <w:p w14:paraId="1B7A2C71" w14:textId="77777777" w:rsidR="007968EC" w:rsidRPr="002C0D19" w:rsidRDefault="007968EC" w:rsidP="00DA7472">
      <w:pPr>
        <w:numPr>
          <w:ilvl w:val="0"/>
          <w:numId w:val="38"/>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Responder frente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por la constitución y mantenimiento, con los ajustes procedentes, de las Garantías de sus Terceros. En el evento en que uno de sus Terceros no constituya las Garantías mencionadas,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se obliga a constituirlas y mantenerlas con los ajustes procedentes.</w:t>
      </w:r>
    </w:p>
    <w:p w14:paraId="3907B1DC" w14:textId="77777777" w:rsidR="007968EC" w:rsidRPr="002C0D19" w:rsidRDefault="007968EC" w:rsidP="00DA7472">
      <w:pPr>
        <w:numPr>
          <w:ilvl w:val="0"/>
          <w:numId w:val="38"/>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Entregar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la información que ésta solicite en cumplimiento de sus funciones. </w:t>
      </w:r>
    </w:p>
    <w:p w14:paraId="773F1158" w14:textId="77777777" w:rsidR="007968EC" w:rsidRPr="002C0D19" w:rsidRDefault="007968EC" w:rsidP="00DA7472">
      <w:pPr>
        <w:numPr>
          <w:ilvl w:val="0"/>
          <w:numId w:val="38"/>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Cumplir en todo momento con las especificaciones técnicas establecidas por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w:t>
      </w:r>
    </w:p>
    <w:p w14:paraId="498967A9" w14:textId="77777777" w:rsidR="007968EC" w:rsidRPr="002C0D19" w:rsidRDefault="007968EC" w:rsidP="00DA7472">
      <w:pPr>
        <w:numPr>
          <w:ilvl w:val="0"/>
          <w:numId w:val="38"/>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En caso de ser titular de una </w:t>
      </w:r>
      <w:r>
        <w:rPr>
          <w:rFonts w:ascii="Arial Narrow" w:hAnsi="Arial Narrow" w:cs="Arial"/>
          <w:color w:val="000000" w:themeColor="text1"/>
          <w:lang w:val="es-ES" w:eastAsia="es-ES"/>
        </w:rPr>
        <w:t>Cuenta Ómnibus Segregada por Miembro</w:t>
      </w:r>
      <w:r w:rsidRPr="002C0D19">
        <w:rPr>
          <w:rFonts w:ascii="Arial Narrow" w:hAnsi="Arial Narrow" w:cs="Arial"/>
          <w:color w:val="000000" w:themeColor="text1"/>
          <w:lang w:val="es-ES" w:eastAsia="es-ES"/>
        </w:rPr>
        <w:t xml:space="preserve">, determinar el beneficiario efectivo de las Operaciones Aceptadas por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y mantener a disposición de la misma y de las Autoridades Competentes, el registro detallado e individualizado de todas las operaciones, posiciones y las Garantías correspondientes a cada uno de los Terceros no Identificados</w:t>
      </w:r>
      <w:r w:rsidRPr="002C0D19">
        <w:rPr>
          <w:rFonts w:ascii="Arial Narrow" w:hAnsi="Arial Narrow" w:cs="Arial"/>
          <w:b/>
          <w:color w:val="000000" w:themeColor="text1"/>
          <w:lang w:val="es-ES" w:eastAsia="es-ES"/>
        </w:rPr>
        <w:t>.</w:t>
      </w:r>
    </w:p>
    <w:p w14:paraId="375AA0A0" w14:textId="77777777" w:rsidR="007968EC" w:rsidRPr="002C0D19" w:rsidRDefault="007968EC" w:rsidP="00DA7472">
      <w:pPr>
        <w:numPr>
          <w:ilvl w:val="0"/>
          <w:numId w:val="38"/>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Entregar a sus Terceros los Activos y dineros correspondientes a las Operaciones Aceptadas.</w:t>
      </w:r>
    </w:p>
    <w:p w14:paraId="2AD0F8FC" w14:textId="77777777" w:rsidR="007968EC" w:rsidRPr="002C0D19" w:rsidRDefault="007968EC" w:rsidP="00DA7472">
      <w:pPr>
        <w:numPr>
          <w:ilvl w:val="0"/>
          <w:numId w:val="38"/>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Responder ante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por el adecuado manejo de las claves de acceso al Sistema que hagan sus operadores, funcionarios o cualquier persona bajo su dependencia. </w:t>
      </w:r>
    </w:p>
    <w:p w14:paraId="2DECB3BD" w14:textId="77777777" w:rsidR="007968EC" w:rsidRPr="002C0D19" w:rsidRDefault="007968EC" w:rsidP="00DA7472">
      <w:pPr>
        <w:numPr>
          <w:ilvl w:val="0"/>
          <w:numId w:val="38"/>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Abstenerse se efectuar operaciones con instrumentos financieros derivados que impliquen la transferencia de propiedad de un número de acciones para cuya adquisición deba efectuarse oferta pública, de conformidad con lo dispuesto en el artículo 6.15.2.1.1 del Decreto 2555 de 2010y demás normas que lo modifiquen o sustituyan.</w:t>
      </w:r>
    </w:p>
    <w:p w14:paraId="6CB82B7B" w14:textId="77777777" w:rsidR="007968EC" w:rsidRPr="002C0D19" w:rsidRDefault="007968EC" w:rsidP="00DA7472">
      <w:pPr>
        <w:numPr>
          <w:ilvl w:val="0"/>
          <w:numId w:val="38"/>
        </w:numPr>
        <w:tabs>
          <w:tab w:val="left" w:pos="360"/>
        </w:tabs>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Abstenerse de realizar cualquier acto que afecte la eficiencia, seguridad, integridad y confiabilidad de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w:t>
      </w:r>
    </w:p>
    <w:p w14:paraId="7068F502" w14:textId="77777777" w:rsidR="007968EC" w:rsidRPr="002C0D19" w:rsidRDefault="007968EC" w:rsidP="00DA7472">
      <w:pPr>
        <w:numPr>
          <w:ilvl w:val="0"/>
          <w:numId w:val="38"/>
        </w:numPr>
        <w:tabs>
          <w:tab w:val="left" w:pos="360"/>
        </w:tabs>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Informar a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de cualquier hecho o situación que atente contra la transparencia y seguridad del Sistema.</w:t>
      </w:r>
    </w:p>
    <w:p w14:paraId="058C3A27" w14:textId="77777777" w:rsidR="007968EC" w:rsidRPr="002C0D19" w:rsidRDefault="007968EC" w:rsidP="007968EC">
      <w:pPr>
        <w:ind w:left="360"/>
        <w:jc w:val="both"/>
        <w:rPr>
          <w:rFonts w:ascii="Arial Narrow" w:hAnsi="Arial Narrow" w:cs="Arial"/>
          <w:color w:val="000000" w:themeColor="text1"/>
          <w:lang w:eastAsia="es-ES"/>
        </w:rPr>
      </w:pPr>
    </w:p>
    <w:p w14:paraId="6F9F9759" w14:textId="77777777" w:rsidR="007968EC" w:rsidRPr="002C0D19" w:rsidRDefault="007968EC" w:rsidP="007968EC">
      <w:pPr>
        <w:jc w:val="both"/>
        <w:rPr>
          <w:rFonts w:ascii="Arial Narrow" w:hAnsi="Arial Narrow" w:cs="Arial"/>
          <w:bCs/>
          <w:color w:val="000000" w:themeColor="text1"/>
          <w:lang w:eastAsia="es-ES"/>
        </w:rPr>
      </w:pPr>
      <w:r w:rsidRPr="002C0D19">
        <w:rPr>
          <w:rFonts w:ascii="Arial Narrow" w:hAnsi="Arial Narrow" w:cs="Arial"/>
          <w:b/>
          <w:bCs/>
          <w:color w:val="000000" w:themeColor="text1"/>
          <w:u w:val="single"/>
          <w:lang w:val="es-ES" w:eastAsia="es-ES"/>
        </w:rPr>
        <w:t>CUARTA. Obligaciones de la CRCC.</w:t>
      </w:r>
      <w:r w:rsidRPr="002C0D19">
        <w:rPr>
          <w:rFonts w:ascii="Arial Narrow" w:hAnsi="Arial Narrow" w:cs="Arial"/>
          <w:color w:val="000000" w:themeColor="text1"/>
          <w:lang w:val="es-ES" w:eastAsia="es-ES"/>
        </w:rPr>
        <w:t>  Sin perjuicio</w:t>
      </w:r>
      <w:r w:rsidRPr="002C0D19">
        <w:rPr>
          <w:rFonts w:ascii="Arial Narrow" w:hAnsi="Arial Narrow" w:cs="Arial"/>
          <w:b/>
          <w:color w:val="000000" w:themeColor="text1"/>
          <w:lang w:val="es-ES" w:eastAsia="es-ES"/>
        </w:rPr>
        <w:t xml:space="preserve"> </w:t>
      </w:r>
      <w:r w:rsidRPr="002C0D19">
        <w:rPr>
          <w:rFonts w:ascii="Arial Narrow" w:hAnsi="Arial Narrow" w:cs="Arial"/>
          <w:bCs/>
          <w:color w:val="000000" w:themeColor="text1"/>
          <w:lang w:eastAsia="es-ES"/>
        </w:rPr>
        <w:t xml:space="preserve">de las obligaciones previstas en las demás cláusulas de la presente Oferta, en el </w:t>
      </w:r>
      <w:r w:rsidRPr="002C0D19">
        <w:rPr>
          <w:rFonts w:ascii="Arial Narrow" w:hAnsi="Arial Narrow" w:cs="Arial"/>
          <w:color w:val="000000" w:themeColor="text1"/>
          <w:lang w:val="es-ES" w:eastAsia="es-ES"/>
        </w:rPr>
        <w:t xml:space="preserve">Reglamento, las Circulares y los Instructivos Operativos de </w:t>
      </w:r>
      <w:r w:rsidRPr="002C0D19">
        <w:rPr>
          <w:rFonts w:ascii="Arial Narrow" w:hAnsi="Arial Narrow" w:cs="Arial"/>
          <w:b/>
          <w:color w:val="000000" w:themeColor="text1"/>
          <w:lang w:val="es-ES" w:eastAsia="es-ES"/>
        </w:rPr>
        <w:t>LA CRCC,</w:t>
      </w:r>
      <w:r w:rsidRPr="002C0D19">
        <w:rPr>
          <w:rFonts w:ascii="Arial Narrow" w:hAnsi="Arial Narrow" w:cs="Arial"/>
          <w:bCs/>
          <w:color w:val="000000" w:themeColor="text1"/>
          <w:lang w:eastAsia="es-ES"/>
        </w:rPr>
        <w:t xml:space="preserve"> son obligaciones principales de </w:t>
      </w:r>
      <w:r w:rsidRPr="002C0D19">
        <w:rPr>
          <w:rFonts w:ascii="Arial Narrow" w:hAnsi="Arial Narrow" w:cs="Arial"/>
          <w:b/>
          <w:bCs/>
          <w:color w:val="000000" w:themeColor="text1"/>
          <w:lang w:eastAsia="es-ES"/>
        </w:rPr>
        <w:t xml:space="preserve">LA CRCC, </w:t>
      </w:r>
      <w:r w:rsidRPr="002C0D19">
        <w:rPr>
          <w:rFonts w:ascii="Arial Narrow" w:hAnsi="Arial Narrow" w:cs="Arial"/>
          <w:bCs/>
          <w:color w:val="000000" w:themeColor="text1"/>
          <w:lang w:eastAsia="es-ES"/>
        </w:rPr>
        <w:t>las siguientes:</w:t>
      </w:r>
    </w:p>
    <w:p w14:paraId="587E1F7A" w14:textId="77777777" w:rsidR="007968EC" w:rsidRPr="002C0D19" w:rsidRDefault="007968EC" w:rsidP="007968EC">
      <w:pPr>
        <w:jc w:val="both"/>
        <w:rPr>
          <w:rFonts w:ascii="Arial Narrow" w:hAnsi="Arial Narrow" w:cs="Arial"/>
          <w:color w:val="000000" w:themeColor="text1"/>
          <w:lang w:val="es-ES" w:eastAsia="es-ES"/>
        </w:rPr>
      </w:pPr>
    </w:p>
    <w:p w14:paraId="798A65C1" w14:textId="77777777" w:rsidR="007968EC" w:rsidRPr="002C0D19" w:rsidRDefault="007968EC" w:rsidP="00DA7472">
      <w:pPr>
        <w:numPr>
          <w:ilvl w:val="0"/>
          <w:numId w:val="36"/>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Reconocer a </w:t>
      </w:r>
      <w:r w:rsidRPr="002C0D19">
        <w:rPr>
          <w:rFonts w:ascii="Arial Narrow" w:hAnsi="Arial Narrow" w:cs="Arial"/>
          <w:b/>
          <w:color w:val="000000" w:themeColor="text1"/>
          <w:lang w:val="es-ES" w:eastAsia="es-ES"/>
        </w:rPr>
        <w:t>EL</w:t>
      </w:r>
      <w:r w:rsidRPr="002C0D19">
        <w:rPr>
          <w:rFonts w:ascii="Arial Narrow" w:hAnsi="Arial Narrow" w:cs="Arial"/>
          <w:color w:val="000000" w:themeColor="text1"/>
          <w:lang w:val="es-ES" w:eastAsia="es-ES"/>
        </w:rPr>
        <w:t xml:space="preserve"> </w:t>
      </w:r>
      <w:r w:rsidRPr="002C0D19">
        <w:rPr>
          <w:rFonts w:ascii="Arial Narrow" w:hAnsi="Arial Narrow" w:cs="Arial"/>
          <w:b/>
          <w:color w:val="000000" w:themeColor="text1"/>
          <w:lang w:val="es-ES" w:eastAsia="es-ES"/>
        </w:rPr>
        <w:t>MIEMBRO</w:t>
      </w:r>
      <w:r w:rsidRPr="002C0D19">
        <w:rPr>
          <w:rFonts w:ascii="Arial Narrow" w:hAnsi="Arial Narrow" w:cs="Arial"/>
          <w:color w:val="000000" w:themeColor="text1"/>
          <w:lang w:val="es-ES" w:eastAsia="es-ES"/>
        </w:rPr>
        <w:t xml:space="preserve"> el derecho a actuar como Miembro Liquidador Individual, conforme a las estipulaciones de la presente Oferta. </w:t>
      </w:r>
    </w:p>
    <w:p w14:paraId="4D6EA688" w14:textId="77777777" w:rsidR="007968EC" w:rsidRPr="002C0D19" w:rsidRDefault="007968EC" w:rsidP="00DA7472">
      <w:pPr>
        <w:numPr>
          <w:ilvl w:val="0"/>
          <w:numId w:val="36"/>
        </w:numPr>
        <w:jc w:val="both"/>
        <w:rPr>
          <w:rFonts w:ascii="Arial Narrow" w:hAnsi="Arial Narrow" w:cs="Arial"/>
          <w:color w:val="000000" w:themeColor="text1"/>
          <w:lang w:val="es-ES" w:eastAsia="es-ES"/>
        </w:rPr>
      </w:pPr>
      <w:r w:rsidRPr="002C0D19">
        <w:rPr>
          <w:rFonts w:ascii="Arial Narrow" w:hAnsi="Arial Narrow" w:cs="Arial"/>
          <w:color w:val="000000" w:themeColor="text1"/>
          <w:spacing w:val="-3"/>
          <w:lang w:eastAsia="es-ES"/>
        </w:rPr>
        <w:t xml:space="preserve">Informar a </w:t>
      </w:r>
      <w:r w:rsidRPr="002C0D19">
        <w:rPr>
          <w:rFonts w:ascii="Arial Narrow" w:hAnsi="Arial Narrow" w:cs="Arial"/>
          <w:b/>
          <w:color w:val="000000" w:themeColor="text1"/>
          <w:spacing w:val="-3"/>
          <w:lang w:eastAsia="es-ES"/>
        </w:rPr>
        <w:t>EL</w:t>
      </w:r>
      <w:r w:rsidRPr="002C0D19">
        <w:rPr>
          <w:rFonts w:ascii="Arial Narrow" w:hAnsi="Arial Narrow" w:cs="Arial"/>
          <w:color w:val="000000" w:themeColor="text1"/>
          <w:spacing w:val="-3"/>
          <w:lang w:eastAsia="es-ES"/>
        </w:rPr>
        <w:t xml:space="preserve"> </w:t>
      </w:r>
      <w:r w:rsidRPr="002C0D19">
        <w:rPr>
          <w:rFonts w:ascii="Arial Narrow" w:hAnsi="Arial Narrow" w:cs="Arial"/>
          <w:b/>
          <w:color w:val="000000" w:themeColor="text1"/>
          <w:spacing w:val="-3"/>
          <w:lang w:eastAsia="es-ES"/>
        </w:rPr>
        <w:t>MIEMBRO</w:t>
      </w:r>
      <w:r w:rsidRPr="002C0D19">
        <w:rPr>
          <w:rFonts w:ascii="Arial Narrow" w:hAnsi="Arial Narrow" w:cs="Arial"/>
          <w:color w:val="000000" w:themeColor="text1"/>
          <w:spacing w:val="-3"/>
          <w:lang w:eastAsia="es-ES"/>
        </w:rPr>
        <w:t xml:space="preserve"> sobre el estado de sus cuentas cuando este lo solicite. </w:t>
      </w:r>
    </w:p>
    <w:p w14:paraId="28F78E58" w14:textId="77777777" w:rsidR="007968EC" w:rsidRPr="002C0D19" w:rsidRDefault="007968EC" w:rsidP="00DA7472">
      <w:pPr>
        <w:numPr>
          <w:ilvl w:val="0"/>
          <w:numId w:val="36"/>
        </w:numPr>
        <w:ind w:right="-42"/>
        <w:jc w:val="both"/>
        <w:rPr>
          <w:rFonts w:ascii="Arial Narrow" w:hAnsi="Arial Narrow" w:cs="Arial"/>
          <w:color w:val="000000" w:themeColor="text1"/>
          <w:spacing w:val="-3"/>
          <w:lang w:eastAsia="es-ES"/>
        </w:rPr>
      </w:pPr>
      <w:r w:rsidRPr="002C0D19">
        <w:rPr>
          <w:rFonts w:ascii="Arial Narrow" w:hAnsi="Arial Narrow" w:cs="Arial"/>
          <w:color w:val="000000" w:themeColor="text1"/>
          <w:spacing w:val="-3"/>
          <w:lang w:eastAsia="es-ES"/>
        </w:rPr>
        <w:t>Compensar y liquidar las Operaciones</w:t>
      </w:r>
      <w:r w:rsidRPr="002C0D19">
        <w:rPr>
          <w:rFonts w:ascii="Arial Narrow" w:hAnsi="Arial Narrow" w:cs="Arial"/>
          <w:i/>
          <w:color w:val="000000" w:themeColor="text1"/>
          <w:spacing w:val="-3"/>
          <w:lang w:eastAsia="es-ES"/>
        </w:rPr>
        <w:t xml:space="preserve"> </w:t>
      </w:r>
      <w:r w:rsidRPr="002C0D19">
        <w:rPr>
          <w:rFonts w:ascii="Arial Narrow" w:hAnsi="Arial Narrow" w:cs="Arial"/>
          <w:color w:val="000000" w:themeColor="text1"/>
          <w:spacing w:val="-3"/>
          <w:lang w:eastAsia="es-ES"/>
        </w:rPr>
        <w:t xml:space="preserve">Aceptadas celebradas tanto por </w:t>
      </w:r>
      <w:r w:rsidRPr="002C0D19">
        <w:rPr>
          <w:rFonts w:ascii="Arial Narrow" w:hAnsi="Arial Narrow" w:cs="Arial"/>
          <w:b/>
          <w:color w:val="000000" w:themeColor="text1"/>
          <w:spacing w:val="-3"/>
          <w:lang w:eastAsia="es-ES"/>
        </w:rPr>
        <w:t xml:space="preserve">EL MIEMBRO, </w:t>
      </w:r>
      <w:r w:rsidRPr="002C0D19">
        <w:rPr>
          <w:rFonts w:ascii="Arial Narrow" w:hAnsi="Arial Narrow" w:cs="Arial"/>
          <w:color w:val="000000" w:themeColor="text1"/>
          <w:spacing w:val="-3"/>
          <w:lang w:eastAsia="es-ES"/>
        </w:rPr>
        <w:t xml:space="preserve">como por los Terceros por cuenta de los cuales actúa. </w:t>
      </w:r>
      <w:r w:rsidRPr="002C0D19">
        <w:rPr>
          <w:rFonts w:ascii="Arial Narrow" w:hAnsi="Arial Narrow" w:cs="Arial"/>
          <w:b/>
          <w:color w:val="000000" w:themeColor="text1"/>
          <w:spacing w:val="-3"/>
          <w:lang w:eastAsia="es-ES"/>
        </w:rPr>
        <w:t xml:space="preserve">  </w:t>
      </w:r>
    </w:p>
    <w:p w14:paraId="3C1C7EC4" w14:textId="77777777" w:rsidR="007968EC" w:rsidRPr="002C0D19" w:rsidRDefault="007968EC" w:rsidP="00DA7472">
      <w:pPr>
        <w:numPr>
          <w:ilvl w:val="0"/>
          <w:numId w:val="36"/>
        </w:numPr>
        <w:ind w:right="-42"/>
        <w:jc w:val="both"/>
        <w:rPr>
          <w:rFonts w:ascii="Arial Narrow" w:hAnsi="Arial Narrow" w:cs="Arial"/>
          <w:color w:val="000000" w:themeColor="text1"/>
          <w:spacing w:val="-3"/>
          <w:lang w:eastAsia="es-ES"/>
        </w:rPr>
      </w:pPr>
      <w:r w:rsidRPr="002C0D19">
        <w:rPr>
          <w:rFonts w:ascii="Arial Narrow" w:hAnsi="Arial Narrow" w:cs="Arial"/>
          <w:color w:val="000000" w:themeColor="text1"/>
          <w:spacing w:val="-3"/>
          <w:lang w:eastAsia="es-ES"/>
        </w:rPr>
        <w:t xml:space="preserve">Cumplir con las entregas de efectivo o de Activos que corresponda a cada tipo de Operación Aceptada por </w:t>
      </w:r>
      <w:r w:rsidRPr="002C0D19">
        <w:rPr>
          <w:rFonts w:ascii="Arial Narrow" w:hAnsi="Arial Narrow" w:cs="Arial"/>
          <w:b/>
          <w:color w:val="000000" w:themeColor="text1"/>
          <w:spacing w:val="-3"/>
          <w:lang w:eastAsia="es-ES"/>
        </w:rPr>
        <w:t>LA CRCC</w:t>
      </w:r>
      <w:r w:rsidRPr="002C0D19">
        <w:rPr>
          <w:rFonts w:ascii="Arial Narrow" w:hAnsi="Arial Narrow" w:cs="Arial"/>
          <w:color w:val="000000" w:themeColor="text1"/>
          <w:spacing w:val="-3"/>
          <w:lang w:eastAsia="es-ES"/>
        </w:rPr>
        <w:t xml:space="preserve">, según se establezca mediante Circular. </w:t>
      </w:r>
    </w:p>
    <w:p w14:paraId="2C37F2E8" w14:textId="77777777" w:rsidR="007968EC" w:rsidRPr="002C0D19" w:rsidRDefault="007968EC" w:rsidP="00DA7472">
      <w:pPr>
        <w:numPr>
          <w:ilvl w:val="0"/>
          <w:numId w:val="36"/>
        </w:numPr>
        <w:ind w:right="-42"/>
        <w:jc w:val="both"/>
        <w:rPr>
          <w:rFonts w:ascii="Arial Narrow" w:hAnsi="Arial Narrow" w:cs="Arial"/>
          <w:color w:val="000000" w:themeColor="text1"/>
          <w:spacing w:val="-3"/>
          <w:lang w:eastAsia="es-ES"/>
        </w:rPr>
      </w:pPr>
      <w:r w:rsidRPr="002C0D19">
        <w:rPr>
          <w:rFonts w:ascii="Arial Narrow" w:hAnsi="Arial Narrow" w:cs="Arial"/>
          <w:color w:val="000000" w:themeColor="text1"/>
          <w:spacing w:val="-3"/>
          <w:lang w:eastAsia="es-ES"/>
        </w:rPr>
        <w:t>Llevar el registro de las Operaciones Aceptadas.</w:t>
      </w:r>
    </w:p>
    <w:p w14:paraId="796E6F9E" w14:textId="77777777" w:rsidR="007968EC" w:rsidRPr="002C0D19" w:rsidRDefault="007968EC" w:rsidP="00DA7472">
      <w:pPr>
        <w:numPr>
          <w:ilvl w:val="0"/>
          <w:numId w:val="36"/>
        </w:numPr>
        <w:ind w:right="-42"/>
        <w:jc w:val="both"/>
        <w:rPr>
          <w:rFonts w:ascii="Arial Narrow" w:hAnsi="Arial Narrow" w:cs="Arial"/>
          <w:color w:val="000000" w:themeColor="text1"/>
          <w:spacing w:val="-3"/>
          <w:lang w:eastAsia="es-ES"/>
        </w:rPr>
      </w:pPr>
      <w:r w:rsidRPr="002C0D19">
        <w:rPr>
          <w:rFonts w:ascii="Arial Narrow" w:hAnsi="Arial Narrow" w:cs="Arial"/>
          <w:color w:val="000000" w:themeColor="text1"/>
          <w:spacing w:val="-3"/>
          <w:lang w:eastAsia="es-ES"/>
        </w:rPr>
        <w:t xml:space="preserve">Hacer su mejor esfuerzo para que el Sistema a través del cual presta sus servicios, opere de manera eficaz y segura. </w:t>
      </w:r>
    </w:p>
    <w:p w14:paraId="1CBCE93A" w14:textId="77777777" w:rsidR="007968EC" w:rsidRPr="002C0D19" w:rsidRDefault="007968EC" w:rsidP="00DA7472">
      <w:pPr>
        <w:numPr>
          <w:ilvl w:val="0"/>
          <w:numId w:val="36"/>
        </w:numPr>
        <w:ind w:right="-42"/>
        <w:jc w:val="both"/>
        <w:rPr>
          <w:rFonts w:ascii="Arial Narrow" w:hAnsi="Arial Narrow" w:cs="Arial"/>
          <w:color w:val="000000" w:themeColor="text1"/>
          <w:spacing w:val="-3"/>
          <w:lang w:eastAsia="es-ES"/>
        </w:rPr>
      </w:pPr>
      <w:r w:rsidRPr="002C0D19">
        <w:rPr>
          <w:rFonts w:ascii="Arial Narrow" w:hAnsi="Arial Narrow" w:cs="Arial"/>
          <w:color w:val="000000" w:themeColor="text1"/>
          <w:spacing w:val="-3"/>
          <w:lang w:eastAsia="es-ES"/>
        </w:rPr>
        <w:t xml:space="preserve">Mantener la confidencialidad sobre las Operaciones Aceptadas, de conformidad con la Ley, el Reglamento y demás normativa aplicable. </w:t>
      </w:r>
    </w:p>
    <w:p w14:paraId="164C0E0B" w14:textId="77777777" w:rsidR="007968EC" w:rsidRPr="002C0D19" w:rsidRDefault="007968EC" w:rsidP="00DA7472">
      <w:pPr>
        <w:numPr>
          <w:ilvl w:val="0"/>
          <w:numId w:val="36"/>
        </w:numPr>
        <w:ind w:right="-42"/>
        <w:jc w:val="both"/>
        <w:rPr>
          <w:rFonts w:ascii="Arial Narrow" w:hAnsi="Arial Narrow" w:cs="Arial"/>
          <w:color w:val="000000" w:themeColor="text1"/>
          <w:spacing w:val="-3"/>
          <w:lang w:eastAsia="es-ES"/>
        </w:rPr>
      </w:pPr>
      <w:r w:rsidRPr="002C0D19">
        <w:rPr>
          <w:rFonts w:ascii="Arial Narrow" w:hAnsi="Arial Narrow" w:cs="Arial"/>
          <w:color w:val="000000" w:themeColor="text1"/>
          <w:spacing w:val="-3"/>
          <w:lang w:eastAsia="es-ES"/>
        </w:rPr>
        <w:t>Informar al mercado y a las Autoridades Competentes sobre el Incumplimiento de cualquier Miembro.</w:t>
      </w:r>
    </w:p>
    <w:p w14:paraId="7EC389C5" w14:textId="77777777" w:rsidR="007968EC" w:rsidRPr="002C0D19" w:rsidRDefault="007968EC" w:rsidP="00DA7472">
      <w:pPr>
        <w:numPr>
          <w:ilvl w:val="0"/>
          <w:numId w:val="36"/>
        </w:numPr>
        <w:ind w:right="-42"/>
        <w:jc w:val="both"/>
        <w:rPr>
          <w:rFonts w:ascii="Arial Narrow" w:hAnsi="Arial Narrow" w:cs="Arial"/>
          <w:color w:val="000000" w:themeColor="text1"/>
          <w:spacing w:val="-3"/>
          <w:lang w:eastAsia="es-ES"/>
        </w:rPr>
      </w:pPr>
      <w:r w:rsidRPr="002C0D19">
        <w:rPr>
          <w:rFonts w:ascii="Arial Narrow" w:hAnsi="Arial Narrow" w:cs="Arial"/>
          <w:color w:val="000000" w:themeColor="text1"/>
          <w:spacing w:val="-3"/>
          <w:lang w:eastAsia="es-ES"/>
        </w:rPr>
        <w:t xml:space="preserve">Informar a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spacing w:val="-3"/>
          <w:lang w:eastAsia="es-ES"/>
        </w:rPr>
        <w:t xml:space="preserve"> y a la Superintendencia Financiera de Colombia cuando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w:t>
      </w:r>
      <w:r w:rsidRPr="002C0D19">
        <w:rPr>
          <w:rFonts w:ascii="Arial Narrow" w:hAnsi="Arial Narrow" w:cs="Arial"/>
          <w:color w:val="000000" w:themeColor="text1"/>
          <w:spacing w:val="-3"/>
          <w:lang w:eastAsia="es-ES"/>
        </w:rPr>
        <w:t>deje de asumir la calidad de contraparte respecto del mismo.</w:t>
      </w:r>
    </w:p>
    <w:p w14:paraId="2E89393D" w14:textId="77777777" w:rsidR="007968EC" w:rsidRPr="002C0D19" w:rsidRDefault="007968EC" w:rsidP="00DA7472">
      <w:pPr>
        <w:numPr>
          <w:ilvl w:val="0"/>
          <w:numId w:val="36"/>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Informar a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en la medida que sea posible, sobre las solicitudes que le hayan hecho las Autoridades Competentes en relación con información del mismo o de sus Terceros. </w:t>
      </w:r>
    </w:p>
    <w:p w14:paraId="61659793" w14:textId="77777777" w:rsidR="007968EC" w:rsidRPr="002C0D19" w:rsidRDefault="007968EC" w:rsidP="00DA7472">
      <w:pPr>
        <w:numPr>
          <w:ilvl w:val="0"/>
          <w:numId w:val="36"/>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Registrar en las cuentas de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y de sus Terceros, las Operaciones Aceptadas de acuerdo con lo establecido en el Reglamento. </w:t>
      </w:r>
    </w:p>
    <w:p w14:paraId="1174C802" w14:textId="77777777" w:rsidR="007968EC" w:rsidRPr="002C0D19" w:rsidRDefault="007968EC" w:rsidP="00DA7472">
      <w:pPr>
        <w:numPr>
          <w:ilvl w:val="0"/>
          <w:numId w:val="36"/>
        </w:numPr>
        <w:jc w:val="both"/>
        <w:rPr>
          <w:rFonts w:ascii="Arial Narrow" w:hAnsi="Arial Narrow" w:cs="Arial"/>
          <w:color w:val="000000" w:themeColor="text1"/>
          <w:lang w:val="es-ES" w:eastAsia="es-ES"/>
        </w:rPr>
      </w:pPr>
      <w:r w:rsidRPr="002C0D19">
        <w:rPr>
          <w:rFonts w:ascii="Arial Narrow" w:hAnsi="Arial Narrow" w:cs="Arial"/>
          <w:bCs/>
          <w:color w:val="000000" w:themeColor="text1"/>
          <w:lang w:eastAsia="es-ES"/>
        </w:rPr>
        <w:t xml:space="preserve">Calcular, exigir, recibir y administrar las Garantías otorgadas por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w:t>
      </w:r>
      <w:r w:rsidRPr="002C0D19">
        <w:rPr>
          <w:rFonts w:ascii="Arial Narrow" w:hAnsi="Arial Narrow" w:cs="Arial"/>
          <w:bCs/>
          <w:color w:val="000000" w:themeColor="text1"/>
          <w:lang w:eastAsia="es-ES"/>
        </w:rPr>
        <w:t xml:space="preserve">y por los Terceros Identificados, para el adecuado funcionamiento de </w:t>
      </w:r>
      <w:r w:rsidRPr="002C0D19">
        <w:rPr>
          <w:rFonts w:ascii="Arial Narrow" w:hAnsi="Arial Narrow" w:cs="Arial"/>
          <w:b/>
          <w:bCs/>
          <w:color w:val="000000" w:themeColor="text1"/>
          <w:lang w:eastAsia="es-ES"/>
        </w:rPr>
        <w:t>LA CRCC</w:t>
      </w:r>
      <w:r w:rsidRPr="002C0D19">
        <w:rPr>
          <w:rFonts w:ascii="Arial Narrow" w:hAnsi="Arial Narrow" w:cs="Arial"/>
          <w:bCs/>
          <w:color w:val="000000" w:themeColor="text1"/>
          <w:lang w:eastAsia="es-ES"/>
        </w:rPr>
        <w:t>.</w:t>
      </w:r>
    </w:p>
    <w:p w14:paraId="4829B3E4" w14:textId="77777777" w:rsidR="007968EC" w:rsidRPr="002C0D19" w:rsidRDefault="007968EC" w:rsidP="00DA7472">
      <w:pPr>
        <w:numPr>
          <w:ilvl w:val="0"/>
          <w:numId w:val="36"/>
        </w:numPr>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Informar </w:t>
      </w:r>
      <w:r w:rsidRPr="002C0D19">
        <w:rPr>
          <w:rFonts w:ascii="Arial Narrow" w:hAnsi="Arial Narrow" w:cs="Arial"/>
          <w:color w:val="000000" w:themeColor="text1"/>
          <w:lang w:eastAsia="es-ES"/>
        </w:rPr>
        <w:t xml:space="preserve">sobre las Operaciones Aceptadas, rechazadas o anuladas por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w:t>
      </w:r>
    </w:p>
    <w:p w14:paraId="02E71064" w14:textId="77777777" w:rsidR="007968EC" w:rsidRPr="002C0D19" w:rsidRDefault="007968EC" w:rsidP="007968EC">
      <w:pPr>
        <w:jc w:val="both"/>
        <w:rPr>
          <w:rFonts w:ascii="Arial Narrow" w:hAnsi="Arial Narrow" w:cs="Arial"/>
          <w:b/>
          <w:bCs/>
          <w:color w:val="000000" w:themeColor="text1"/>
          <w:u w:val="single"/>
          <w:lang w:val="es-ES" w:eastAsia="es-ES"/>
        </w:rPr>
      </w:pPr>
    </w:p>
    <w:p w14:paraId="756C88A4"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b/>
          <w:bCs/>
          <w:color w:val="000000" w:themeColor="text1"/>
          <w:u w:val="single"/>
          <w:lang w:val="es-ES" w:eastAsia="es-ES"/>
        </w:rPr>
        <w:t>QUINTA. Vigencia.</w:t>
      </w:r>
      <w:r w:rsidRPr="002C0D19">
        <w:rPr>
          <w:rFonts w:ascii="Arial Narrow" w:hAnsi="Arial Narrow" w:cs="Arial"/>
          <w:b/>
          <w:bCs/>
          <w:color w:val="000000" w:themeColor="text1"/>
          <w:lang w:val="es-ES" w:eastAsia="es-ES"/>
        </w:rPr>
        <w:t xml:space="preserve">  </w:t>
      </w:r>
      <w:r w:rsidRPr="002C0D19">
        <w:rPr>
          <w:rFonts w:ascii="Arial Narrow" w:hAnsi="Arial Narrow" w:cs="Arial"/>
          <w:color w:val="000000" w:themeColor="text1"/>
          <w:lang w:eastAsia="es-ES"/>
        </w:rPr>
        <w:t xml:space="preserve">La presente Oferta estará vigente por un término de sesenta (60) días calendario, contados a partir del envío de la misma por parte de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a </w:t>
      </w:r>
      <w:r w:rsidRPr="002C0D19">
        <w:rPr>
          <w:rFonts w:ascii="Arial Narrow" w:hAnsi="Arial Narrow" w:cs="Arial"/>
          <w:b/>
          <w:color w:val="000000" w:themeColor="text1"/>
          <w:lang w:eastAsia="es-ES"/>
        </w:rPr>
        <w:t>EL MIEMBRO</w:t>
      </w:r>
      <w:r w:rsidRPr="002C0D19">
        <w:rPr>
          <w:rFonts w:ascii="Arial Narrow" w:hAnsi="Arial Narrow" w:cs="Arial"/>
          <w:color w:val="000000" w:themeColor="text1"/>
          <w:lang w:eastAsia="es-ES"/>
        </w:rPr>
        <w:t>,</w:t>
      </w:r>
      <w:r w:rsidRPr="002C0D19">
        <w:rPr>
          <w:rFonts w:ascii="Arial Narrow" w:hAnsi="Arial Narrow" w:cs="Arial"/>
          <w:b/>
          <w:color w:val="000000" w:themeColor="text1"/>
          <w:lang w:eastAsia="es-ES"/>
        </w:rPr>
        <w:t xml:space="preserve"> </w:t>
      </w:r>
      <w:r w:rsidRPr="002C0D19">
        <w:rPr>
          <w:rFonts w:ascii="Arial Narrow" w:hAnsi="Arial Narrow" w:cs="Arial"/>
          <w:color w:val="000000" w:themeColor="text1"/>
          <w:lang w:eastAsia="es-ES"/>
        </w:rPr>
        <w:t xml:space="preserve">transcurridos los cuales, de no haber aceptación a la misma por parte de </w:t>
      </w:r>
      <w:r w:rsidRPr="002C0D19">
        <w:rPr>
          <w:rFonts w:ascii="Arial Narrow" w:hAnsi="Arial Narrow" w:cs="Arial"/>
          <w:b/>
          <w:color w:val="000000" w:themeColor="text1"/>
          <w:lang w:eastAsia="es-ES"/>
        </w:rPr>
        <w:t>EL MIEMBRO</w:t>
      </w:r>
      <w:r w:rsidRPr="002C0D19">
        <w:rPr>
          <w:rFonts w:ascii="Arial Narrow" w:hAnsi="Arial Narrow" w:cs="Arial"/>
          <w:color w:val="000000" w:themeColor="text1"/>
          <w:lang w:eastAsia="es-ES"/>
        </w:rPr>
        <w:t xml:space="preserve">, se entenderá revocada. En caso de aceptación de esta Oferta por parte de </w:t>
      </w:r>
      <w:r w:rsidRPr="002C0D19">
        <w:rPr>
          <w:rFonts w:ascii="Arial Narrow" w:hAnsi="Arial Narrow" w:cs="Arial"/>
          <w:b/>
          <w:color w:val="000000" w:themeColor="text1"/>
          <w:lang w:eastAsia="es-ES"/>
        </w:rPr>
        <w:t>EL</w:t>
      </w:r>
      <w:r w:rsidRPr="002C0D19">
        <w:rPr>
          <w:rFonts w:ascii="Arial Narrow" w:hAnsi="Arial Narrow" w:cs="Arial"/>
          <w:color w:val="000000" w:themeColor="text1"/>
          <w:lang w:eastAsia="es-ES"/>
        </w:rPr>
        <w:t xml:space="preserve"> </w:t>
      </w:r>
      <w:r w:rsidRPr="002C0D19">
        <w:rPr>
          <w:rFonts w:ascii="Arial Narrow" w:hAnsi="Arial Narrow" w:cs="Arial"/>
          <w:b/>
          <w:color w:val="000000" w:themeColor="text1"/>
          <w:lang w:eastAsia="es-ES"/>
        </w:rPr>
        <w:t>MIEMBRO</w:t>
      </w:r>
      <w:r w:rsidRPr="002C0D19">
        <w:rPr>
          <w:rFonts w:ascii="Arial Narrow" w:hAnsi="Arial Narrow" w:cs="Arial"/>
          <w:color w:val="000000" w:themeColor="text1"/>
          <w:lang w:eastAsia="es-ES"/>
        </w:rPr>
        <w:t xml:space="preserve">, los términos y condiciones de la misma estarán vigentes en forma indefinida. </w:t>
      </w:r>
    </w:p>
    <w:p w14:paraId="5FC30440" w14:textId="77777777" w:rsidR="007968EC" w:rsidRPr="002C0D19" w:rsidRDefault="007968EC" w:rsidP="007968EC">
      <w:pPr>
        <w:jc w:val="both"/>
        <w:rPr>
          <w:rFonts w:ascii="Arial Narrow" w:hAnsi="Arial Narrow" w:cs="Arial"/>
          <w:color w:val="000000" w:themeColor="text1"/>
          <w:lang w:eastAsia="es-ES"/>
        </w:rPr>
      </w:pPr>
    </w:p>
    <w:p w14:paraId="5786E1CB"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No obstante lo anterior y sin perjuicio de lo dispuesto en el Reglamento, las partes podrán terminar en cualquier tiempo la afiliación al Sistema, mediante la entrega a la otra parte de un aviso escrito en tal sentido, remitida con no menos de treinta (30) días calendario de anticipación al día hábil en el cual desea que dicha terminación tenga efecto. </w:t>
      </w:r>
    </w:p>
    <w:p w14:paraId="6C90FAB7" w14:textId="77777777" w:rsidR="007968EC" w:rsidRPr="002C0D19" w:rsidRDefault="007968EC" w:rsidP="007968EC">
      <w:pPr>
        <w:jc w:val="both"/>
        <w:rPr>
          <w:rFonts w:ascii="Arial Narrow" w:hAnsi="Arial Narrow" w:cs="Arial"/>
          <w:color w:val="000000" w:themeColor="text1"/>
          <w:lang w:eastAsia="es-ES"/>
        </w:rPr>
      </w:pPr>
    </w:p>
    <w:p w14:paraId="10EF33BF"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Igualmente, habrá lugar a la terminación unilateral si se presenta un incumplimiento de alguna de las obligaciones a cargo de una de las partes. </w:t>
      </w:r>
    </w:p>
    <w:p w14:paraId="43A0E434" w14:textId="77777777" w:rsidR="007968EC" w:rsidRPr="002C0D19" w:rsidRDefault="007968EC" w:rsidP="007968EC">
      <w:pPr>
        <w:jc w:val="both"/>
        <w:rPr>
          <w:rFonts w:ascii="Arial Narrow" w:hAnsi="Arial Narrow" w:cs="Arial"/>
          <w:b/>
          <w:bCs/>
          <w:color w:val="000000" w:themeColor="text1"/>
          <w:u w:val="single"/>
          <w:lang w:val="es-ES" w:eastAsia="es-ES"/>
        </w:rPr>
      </w:pPr>
    </w:p>
    <w:p w14:paraId="0E5F731D"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es-ES" w:eastAsia="es-ES"/>
        </w:rPr>
        <w:t>SEXTA. Tarifas.</w:t>
      </w:r>
      <w:r w:rsidRPr="002C0D19">
        <w:rPr>
          <w:rFonts w:ascii="Arial Narrow" w:hAnsi="Arial Narrow" w:cs="Arial"/>
          <w:b/>
          <w:bCs/>
          <w:color w:val="000000" w:themeColor="text1"/>
          <w:lang w:val="es-ES" w:eastAsia="es-ES"/>
        </w:rPr>
        <w:t xml:space="preserv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es responsable frente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del pago de las tarifas y demás cargos que determine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 xml:space="preserve">por Circular.  Dichos pagos se deberán efectuar en los términos y condiciones establecidos por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mediante Circular. </w:t>
      </w:r>
    </w:p>
    <w:p w14:paraId="7ECFD94D"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El valor de las tarifas no incluye el impuesto al valor agregado, pero este será facturado de acuerdo con la tarifa y procedimientos vigentes al momento de su causación. </w:t>
      </w:r>
    </w:p>
    <w:p w14:paraId="06D060E7" w14:textId="77777777" w:rsidR="007968EC" w:rsidRPr="002C0D19" w:rsidRDefault="007968EC" w:rsidP="007968EC">
      <w:pPr>
        <w:jc w:val="both"/>
        <w:rPr>
          <w:rFonts w:ascii="Arial Narrow" w:hAnsi="Arial Narrow" w:cs="Arial"/>
          <w:b/>
          <w:color w:val="000000" w:themeColor="text1"/>
          <w:lang w:eastAsia="es-ES"/>
        </w:rPr>
      </w:pPr>
    </w:p>
    <w:p w14:paraId="03223033"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se reserva el derecho de revisar y ajustar la tarifa vigente de conformidad con lo dispuesto en el Reglamento. </w:t>
      </w:r>
    </w:p>
    <w:p w14:paraId="519FC36F" w14:textId="77777777" w:rsidR="007968EC" w:rsidRPr="002C0D19" w:rsidRDefault="007968EC" w:rsidP="007968EC">
      <w:pPr>
        <w:jc w:val="both"/>
        <w:rPr>
          <w:rFonts w:ascii="Arial Narrow" w:hAnsi="Arial Narrow" w:cs="Arial"/>
          <w:b/>
          <w:bCs/>
          <w:color w:val="000000" w:themeColor="text1"/>
          <w:u w:val="single"/>
          <w:lang w:val="pt-BR" w:eastAsia="es-ES"/>
        </w:rPr>
      </w:pPr>
    </w:p>
    <w:p w14:paraId="791947EC"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pt-BR" w:eastAsia="es-ES"/>
        </w:rPr>
        <w:t>SÉPTIMA.</w:t>
      </w:r>
      <w:r w:rsidRPr="002C0D19">
        <w:rPr>
          <w:rFonts w:ascii="Arial Narrow" w:hAnsi="Arial Narrow" w:cs="Arial"/>
          <w:b/>
          <w:bCs/>
          <w:i/>
          <w:iCs/>
          <w:color w:val="000000" w:themeColor="text1"/>
          <w:u w:val="single"/>
          <w:lang w:val="pt-BR" w:eastAsia="es-ES"/>
        </w:rPr>
        <w:t xml:space="preserve"> </w:t>
      </w:r>
      <w:proofErr w:type="spellStart"/>
      <w:r w:rsidRPr="002C0D19">
        <w:rPr>
          <w:rFonts w:ascii="Arial Narrow" w:hAnsi="Arial Narrow" w:cs="Arial"/>
          <w:b/>
          <w:bCs/>
          <w:color w:val="000000" w:themeColor="text1"/>
          <w:u w:val="single"/>
          <w:lang w:val="pt-BR" w:eastAsia="es-ES"/>
        </w:rPr>
        <w:t>Soporte</w:t>
      </w:r>
      <w:proofErr w:type="spellEnd"/>
      <w:r w:rsidRPr="002C0D19">
        <w:rPr>
          <w:rFonts w:ascii="Arial Narrow" w:hAnsi="Arial Narrow" w:cs="Arial"/>
          <w:b/>
          <w:bCs/>
          <w:color w:val="000000" w:themeColor="text1"/>
          <w:u w:val="single"/>
          <w:lang w:val="pt-BR" w:eastAsia="es-ES"/>
        </w:rPr>
        <w:t xml:space="preserve"> lógico o “software”.</w:t>
      </w:r>
      <w:r w:rsidRPr="002C0D19">
        <w:rPr>
          <w:rFonts w:ascii="Arial Narrow" w:hAnsi="Arial Narrow" w:cs="Arial"/>
          <w:b/>
          <w:bCs/>
          <w:color w:val="000000" w:themeColor="text1"/>
          <w:lang w:val="pt-BR" w:eastAsia="es-ES"/>
        </w:rPr>
        <w:t xml:space="preserv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declara expresamente que el soporte lógico o </w:t>
      </w:r>
      <w:r w:rsidRPr="002C0D19">
        <w:rPr>
          <w:rFonts w:ascii="Arial Narrow" w:hAnsi="Arial Narrow" w:cs="Arial"/>
          <w:bCs/>
          <w:color w:val="000000" w:themeColor="text1"/>
          <w:lang w:val="es-ES" w:eastAsia="es-ES"/>
        </w:rPr>
        <w:t>“</w:t>
      </w:r>
      <w:r w:rsidRPr="002C0D19">
        <w:rPr>
          <w:rFonts w:ascii="Arial Narrow" w:hAnsi="Arial Narrow" w:cs="Arial"/>
          <w:color w:val="000000" w:themeColor="text1"/>
          <w:lang w:val="es-ES" w:eastAsia="es-ES"/>
        </w:rPr>
        <w:t>software</w:t>
      </w:r>
      <w:r w:rsidRPr="002C0D19">
        <w:rPr>
          <w:rFonts w:ascii="Arial Narrow" w:hAnsi="Arial Narrow" w:cs="Arial"/>
          <w:bCs/>
          <w:color w:val="000000" w:themeColor="text1"/>
          <w:lang w:val="es-ES" w:eastAsia="es-ES"/>
        </w:rPr>
        <w:t xml:space="preserve">” </w:t>
      </w:r>
      <w:r w:rsidRPr="002C0D19">
        <w:rPr>
          <w:rFonts w:ascii="Arial Narrow" w:hAnsi="Arial Narrow" w:cs="Arial"/>
          <w:color w:val="000000" w:themeColor="text1"/>
          <w:lang w:val="es-ES" w:eastAsia="es-ES"/>
        </w:rPr>
        <w:t xml:space="preserve">que se utilizará para la operación del Sistema ha sido desarrollado o licenciado por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o por contratistas autorizados por ésta. </w:t>
      </w:r>
    </w:p>
    <w:p w14:paraId="59E92E55" w14:textId="77777777" w:rsidR="007968EC" w:rsidRPr="002C0D19" w:rsidRDefault="007968EC" w:rsidP="007968EC">
      <w:pPr>
        <w:jc w:val="both"/>
        <w:rPr>
          <w:rFonts w:ascii="Arial Narrow" w:hAnsi="Arial Narrow" w:cs="Arial"/>
          <w:color w:val="000000" w:themeColor="text1"/>
          <w:lang w:val="es-ES" w:eastAsia="es-ES"/>
        </w:rPr>
      </w:pPr>
    </w:p>
    <w:p w14:paraId="61A3479F" w14:textId="77777777" w:rsidR="007968EC" w:rsidRPr="002C0D19" w:rsidRDefault="007968EC" w:rsidP="007968EC">
      <w:pPr>
        <w:jc w:val="both"/>
        <w:rPr>
          <w:rFonts w:ascii="Arial Narrow" w:hAnsi="Arial Narrow" w:cs="Arial"/>
          <w:b/>
          <w:bCs/>
          <w:color w:val="000000" w:themeColor="text1"/>
          <w:lang w:val="es-ES" w:eastAsia="es-ES"/>
        </w:rPr>
      </w:pPr>
      <w:r w:rsidRPr="002C0D19">
        <w:rPr>
          <w:rFonts w:ascii="Arial Narrow" w:hAnsi="Arial Narrow" w:cs="Arial"/>
          <w:color w:val="000000" w:themeColor="text1"/>
          <w:lang w:val="es-ES" w:eastAsia="es-ES"/>
        </w:rPr>
        <w:t xml:space="preserve">Para todos los efectos de esta Oferta, el referido soporte lógico o </w:t>
      </w:r>
      <w:r w:rsidRPr="002C0D19">
        <w:rPr>
          <w:rFonts w:ascii="Arial Narrow" w:hAnsi="Arial Narrow" w:cs="Arial"/>
          <w:bCs/>
          <w:color w:val="000000" w:themeColor="text1"/>
          <w:lang w:val="es-ES" w:eastAsia="es-ES"/>
        </w:rPr>
        <w:t>“</w:t>
      </w:r>
      <w:r w:rsidRPr="002C0D19">
        <w:rPr>
          <w:rFonts w:ascii="Arial Narrow" w:hAnsi="Arial Narrow" w:cs="Arial"/>
          <w:color w:val="000000" w:themeColor="text1"/>
          <w:lang w:val="es-ES" w:eastAsia="es-ES"/>
        </w:rPr>
        <w:t>software</w:t>
      </w:r>
      <w:r w:rsidRPr="002C0D19">
        <w:rPr>
          <w:rFonts w:ascii="Arial Narrow" w:hAnsi="Arial Narrow" w:cs="Arial"/>
          <w:bCs/>
          <w:color w:val="000000" w:themeColor="text1"/>
          <w:lang w:val="es-ES" w:eastAsia="es-ES"/>
        </w:rPr>
        <w:t xml:space="preserve">” </w:t>
      </w:r>
      <w:r w:rsidRPr="002C0D19">
        <w:rPr>
          <w:rFonts w:ascii="Arial Narrow" w:hAnsi="Arial Narrow" w:cs="Arial"/>
          <w:color w:val="000000" w:themeColor="text1"/>
          <w:lang w:val="es-ES" w:eastAsia="es-ES"/>
        </w:rPr>
        <w:t>en adelante se denominará indistintamente Software y esta Oferta se sujetará a las condiciones y términos de la licencia.</w:t>
      </w:r>
    </w:p>
    <w:p w14:paraId="4FFF894F" w14:textId="77777777" w:rsidR="007968EC" w:rsidRPr="002C0D19" w:rsidRDefault="007968EC" w:rsidP="007968EC">
      <w:pPr>
        <w:jc w:val="both"/>
        <w:rPr>
          <w:rFonts w:ascii="Arial Narrow" w:hAnsi="Arial Narrow" w:cs="Arial"/>
          <w:b/>
          <w:bCs/>
          <w:color w:val="000000" w:themeColor="text1"/>
          <w:u w:val="single"/>
          <w:lang w:val="es-ES" w:eastAsia="es-ES"/>
        </w:rPr>
      </w:pPr>
    </w:p>
    <w:p w14:paraId="194380C8" w14:textId="77777777" w:rsidR="007968EC" w:rsidRPr="002C0D19" w:rsidRDefault="007968EC" w:rsidP="007968EC">
      <w:pPr>
        <w:jc w:val="both"/>
        <w:rPr>
          <w:rFonts w:ascii="Arial Narrow" w:hAnsi="Arial Narrow" w:cs="Arial"/>
          <w:i/>
          <w:iCs/>
          <w:color w:val="000000" w:themeColor="text1"/>
          <w:lang w:val="es-ES" w:eastAsia="es-ES"/>
        </w:rPr>
      </w:pPr>
      <w:r w:rsidRPr="002C0D19">
        <w:rPr>
          <w:rFonts w:ascii="Arial Narrow" w:hAnsi="Arial Narrow" w:cs="Arial"/>
          <w:b/>
          <w:bCs/>
          <w:color w:val="000000" w:themeColor="text1"/>
          <w:u w:val="single"/>
          <w:lang w:val="es-ES" w:eastAsia="es-ES"/>
        </w:rPr>
        <w:t>OCTAVA. Confidencialidad y protección de las leyes de propiedad intelectual.</w:t>
      </w:r>
      <w:r w:rsidRPr="002C0D19">
        <w:rPr>
          <w:rFonts w:ascii="Arial Narrow" w:hAnsi="Arial Narrow" w:cs="Arial"/>
          <w:b/>
          <w:bCs/>
          <w:color w:val="000000" w:themeColor="text1"/>
          <w:lang w:val="es-ES" w:eastAsia="es-ES"/>
        </w:rPr>
        <w:t xml:space="preserve">  </w:t>
      </w:r>
      <w:r w:rsidRPr="002C0D19">
        <w:rPr>
          <w:rFonts w:ascii="Arial Narrow" w:hAnsi="Arial Narrow" w:cs="Arial"/>
          <w:color w:val="000000" w:themeColor="text1"/>
          <w:lang w:val="es-ES" w:eastAsia="es-ES"/>
        </w:rPr>
        <w:t xml:space="preserve">En consideración a lo dispuesto en el artículo anterior,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se obliga a respetar las normas y obligaciones que rigen las licencias respectivas y hacer extensivas dichas normas y obligaciones a cada persona que utilice directa o indirectamente el Software correspondiente. </w:t>
      </w:r>
      <w:r w:rsidRPr="002C0D19">
        <w:rPr>
          <w:rFonts w:ascii="Arial Narrow" w:hAnsi="Arial Narrow" w:cs="Arial"/>
          <w:i/>
          <w:iCs/>
          <w:color w:val="000000" w:themeColor="text1"/>
          <w:lang w:val="es-ES" w:eastAsia="es-ES"/>
        </w:rPr>
        <w:t> </w:t>
      </w:r>
    </w:p>
    <w:p w14:paraId="4DB02D68" w14:textId="77777777" w:rsidR="007968EC" w:rsidRPr="002C0D19" w:rsidRDefault="007968EC" w:rsidP="007968EC">
      <w:pPr>
        <w:jc w:val="both"/>
        <w:rPr>
          <w:rFonts w:ascii="Arial Narrow" w:hAnsi="Arial Narrow" w:cs="Arial"/>
          <w:color w:val="000000" w:themeColor="text1"/>
          <w:lang w:val="es-ES" w:eastAsia="es-ES"/>
        </w:rPr>
      </w:pPr>
    </w:p>
    <w:p w14:paraId="7ACAC3D2"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En consecuencia,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y los usuarios del mismo que tengan acceso directo o indirecto a la información mediante su conexión al Software, se sujetan, pero sin limitarse a, las siguientes prohibiciones:</w:t>
      </w:r>
    </w:p>
    <w:p w14:paraId="4FC755B6" w14:textId="77777777" w:rsidR="007968EC" w:rsidRPr="002C0D19" w:rsidRDefault="007968EC" w:rsidP="007968EC">
      <w:pPr>
        <w:jc w:val="both"/>
        <w:rPr>
          <w:rFonts w:ascii="Arial Narrow" w:hAnsi="Arial Narrow" w:cs="Arial"/>
          <w:color w:val="000000" w:themeColor="text1"/>
          <w:lang w:val="es-ES" w:eastAsia="es-ES"/>
        </w:rPr>
      </w:pPr>
    </w:p>
    <w:p w14:paraId="2D2FFBDD" w14:textId="77777777" w:rsidR="007968EC" w:rsidRPr="002C0D19" w:rsidRDefault="007968EC" w:rsidP="00DA7472">
      <w:pPr>
        <w:numPr>
          <w:ilvl w:val="0"/>
          <w:numId w:val="37"/>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Ceder a cualquier título la propiedad, uso y/o goce, parcial o totalmente, de alguno o parte del Software que utilice o acceda en virtud de cualesquiera acuerdos o convenios que celebre con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w:t>
      </w:r>
    </w:p>
    <w:p w14:paraId="24DE1179" w14:textId="77777777" w:rsidR="007968EC" w:rsidRPr="002C0D19" w:rsidRDefault="007968EC" w:rsidP="00DA7472">
      <w:pPr>
        <w:numPr>
          <w:ilvl w:val="0"/>
          <w:numId w:val="37"/>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Comunicar, divulgar, traspasar, publicar o cualquier otro acto que permita a terceros acceder de alguna forma a información, datos técnicos, estructura u otros elementos o características del o de los Software que utilice en virtud de esta Oferta. Así mismo, no podrá desarticular, investigar la estructura y efectuar ingeniería en reversa sobre él o los Software a que pueda acceder en virtud de esta Oferta.</w:t>
      </w:r>
    </w:p>
    <w:p w14:paraId="76510DAB" w14:textId="77777777" w:rsidR="007968EC" w:rsidRPr="002C0D19" w:rsidRDefault="007968EC" w:rsidP="00DA7472">
      <w:pPr>
        <w:numPr>
          <w:ilvl w:val="0"/>
          <w:numId w:val="37"/>
        </w:numPr>
        <w:jc w:val="both"/>
        <w:rPr>
          <w:rFonts w:ascii="Arial Narrow" w:hAnsi="Arial Narrow" w:cs="Arial"/>
          <w:color w:val="000000" w:themeColor="text1"/>
          <w:lang w:val="es-ES" w:eastAsia="es-ES"/>
        </w:rPr>
      </w:pPr>
      <w:r w:rsidRPr="002C0D19">
        <w:rPr>
          <w:rFonts w:ascii="Arial Narrow" w:hAnsi="Arial Narrow" w:cs="Arial"/>
          <w:color w:val="000000" w:themeColor="text1"/>
          <w:lang w:eastAsia="es-ES"/>
        </w:rPr>
        <w:t xml:space="preserve">Todo acto o acción que no sea la de hacer exclusivamente uso, procesamiento y/o aplicación de la información financiera a que pueda acceder en virtud de la presente Oferta, en las condiciones y formas en ella establecidas o autorizadas por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o la ley y, especialmente, si ese acto o acción puede perjudicar las licencias o derechos que tenga </w:t>
      </w:r>
      <w:r w:rsidRPr="002C0D19">
        <w:rPr>
          <w:rFonts w:ascii="Arial Narrow" w:hAnsi="Arial Narrow" w:cs="Arial"/>
          <w:b/>
          <w:color w:val="000000" w:themeColor="text1"/>
          <w:lang w:eastAsia="es-ES"/>
        </w:rPr>
        <w:t xml:space="preserve">LA CRCC </w:t>
      </w:r>
      <w:r w:rsidRPr="002C0D19">
        <w:rPr>
          <w:rFonts w:ascii="Arial Narrow" w:hAnsi="Arial Narrow" w:cs="Arial"/>
          <w:color w:val="000000" w:themeColor="text1"/>
          <w:lang w:eastAsia="es-ES"/>
        </w:rPr>
        <w:t>sobre alguno de los Software que se utilicen para el suministro de la información.</w:t>
      </w:r>
    </w:p>
    <w:p w14:paraId="1E865A99" w14:textId="77777777" w:rsidR="007968EC" w:rsidRPr="002C0D19" w:rsidRDefault="007968EC" w:rsidP="007968EC">
      <w:pPr>
        <w:jc w:val="both"/>
        <w:rPr>
          <w:rFonts w:ascii="Arial Narrow" w:hAnsi="Arial Narrow" w:cs="Arial"/>
          <w:color w:val="000000" w:themeColor="text1"/>
          <w:lang w:val="es-ES" w:eastAsia="es-ES"/>
        </w:rPr>
      </w:pPr>
    </w:p>
    <w:p w14:paraId="234E74A1"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Además, de conformidad con la licencia de los Software y los derechos que emanan de su propiedad intelectual,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deberá comunicar de inmediato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cualquier perturbación o amenaza que pudiera sufrir durante la tenencia o uso de los mismos.</w:t>
      </w:r>
    </w:p>
    <w:p w14:paraId="13DCFE30" w14:textId="77777777" w:rsidR="007968EC" w:rsidRPr="002C0D19" w:rsidRDefault="007968EC" w:rsidP="007968EC">
      <w:pPr>
        <w:jc w:val="both"/>
        <w:rPr>
          <w:rFonts w:ascii="Arial Narrow" w:hAnsi="Arial Narrow" w:cs="Arial"/>
          <w:color w:val="000000" w:themeColor="text1"/>
          <w:lang w:val="es-ES" w:eastAsia="es-ES"/>
        </w:rPr>
      </w:pPr>
    </w:p>
    <w:p w14:paraId="201025AC" w14:textId="77777777" w:rsidR="007968EC" w:rsidRPr="002C0D19" w:rsidRDefault="007968EC" w:rsidP="007968EC">
      <w:pPr>
        <w:jc w:val="both"/>
        <w:rPr>
          <w:rFonts w:ascii="Arial Narrow" w:hAnsi="Arial Narrow" w:cs="Arial"/>
          <w:b/>
          <w:bCs/>
          <w:color w:val="000000" w:themeColor="text1"/>
          <w:lang w:val="es-ES" w:eastAsia="es-ES"/>
        </w:rPr>
      </w:pPr>
      <w:r w:rsidRPr="002C0D19">
        <w:rPr>
          <w:rFonts w:ascii="Arial Narrow" w:hAnsi="Arial Narrow" w:cs="Arial"/>
          <w:color w:val="000000" w:themeColor="text1"/>
          <w:lang w:val="es-ES" w:eastAsia="es-ES"/>
        </w:rPr>
        <w:t xml:space="preserve">Por último,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reconoce que, de conformidad con la legislación vigente y los respectivos contratos de licencia, las transgresiones de las normas que rigen esta materia pueden constituir ilícitos civiles o penales sancionados expresamente por la ley.</w:t>
      </w:r>
    </w:p>
    <w:p w14:paraId="2681EDBC" w14:textId="77777777" w:rsidR="007968EC" w:rsidRPr="002C0D19" w:rsidRDefault="007968EC" w:rsidP="007968EC">
      <w:pPr>
        <w:jc w:val="both"/>
        <w:rPr>
          <w:rFonts w:ascii="Arial Narrow" w:hAnsi="Arial Narrow" w:cs="Arial"/>
          <w:b/>
          <w:bCs/>
          <w:color w:val="000000" w:themeColor="text1"/>
          <w:u w:val="single"/>
          <w:lang w:val="es-ES" w:eastAsia="es-ES"/>
        </w:rPr>
      </w:pPr>
    </w:p>
    <w:p w14:paraId="618A0C41"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es-ES" w:eastAsia="es-ES"/>
        </w:rPr>
        <w:t>NOVENA. Cesión y subcontratación.</w:t>
      </w:r>
      <w:r w:rsidRPr="002C0D19">
        <w:rPr>
          <w:rFonts w:ascii="Arial Narrow" w:hAnsi="Arial Narrow" w:cs="Arial"/>
          <w:b/>
          <w:bCs/>
          <w:color w:val="000000" w:themeColor="text1"/>
          <w:lang w:val="es-ES" w:eastAsia="es-ES"/>
        </w:rPr>
        <w:t xml:space="preserv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no podrá ceder ni subcontratar total o parcialmente la presente Oferta, antes o después de ser aceptada.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podrá hacerse sustituir por uno o </w:t>
      </w:r>
      <w:r w:rsidRPr="002C0D19">
        <w:rPr>
          <w:rFonts w:ascii="Arial Narrow" w:hAnsi="Arial Narrow" w:cs="Arial"/>
          <w:color w:val="000000" w:themeColor="text1"/>
          <w:lang w:val="es-ES" w:eastAsia="es-ES"/>
        </w:rPr>
        <w:lastRenderedPageBreak/>
        <w:t xml:space="preserve">varios terceros en la totalidad o parte de sus relaciones contractuales con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sin necesidad de obtener la conformidad de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quien otorga desde ya su consentimiento para dicho efecto</w:t>
      </w:r>
      <w:r w:rsidRPr="002C0D19">
        <w:rPr>
          <w:rFonts w:ascii="Arial Narrow" w:hAnsi="Arial Narrow" w:cs="Arial"/>
          <w:b/>
          <w:bCs/>
          <w:color w:val="000000" w:themeColor="text1"/>
          <w:lang w:val="es-ES" w:eastAsia="es-ES"/>
        </w:rPr>
        <w:t xml:space="preserve">. </w:t>
      </w:r>
    </w:p>
    <w:p w14:paraId="0804F3FB" w14:textId="77777777" w:rsidR="007968EC" w:rsidRPr="002C0D19" w:rsidRDefault="007968EC" w:rsidP="007968EC">
      <w:pPr>
        <w:jc w:val="both"/>
        <w:rPr>
          <w:rFonts w:ascii="Arial Narrow" w:hAnsi="Arial Narrow" w:cs="Arial"/>
          <w:b/>
          <w:bCs/>
          <w:color w:val="000000" w:themeColor="text1"/>
          <w:u w:val="single"/>
          <w:lang w:eastAsia="es-ES"/>
        </w:rPr>
      </w:pPr>
    </w:p>
    <w:p w14:paraId="411099E8" w14:textId="77777777" w:rsidR="007968EC" w:rsidRPr="002C0D19" w:rsidRDefault="007968EC" w:rsidP="007968EC">
      <w:pPr>
        <w:jc w:val="both"/>
        <w:rPr>
          <w:rFonts w:ascii="Arial Narrow" w:hAnsi="Arial Narrow" w:cs="Arial"/>
          <w:bCs/>
          <w:color w:val="000000" w:themeColor="text1"/>
          <w:lang w:eastAsia="es-ES"/>
        </w:rPr>
      </w:pPr>
      <w:r w:rsidRPr="002C0D19">
        <w:rPr>
          <w:rFonts w:ascii="Arial Narrow" w:hAnsi="Arial Narrow" w:cs="Arial"/>
          <w:b/>
          <w:bCs/>
          <w:color w:val="000000" w:themeColor="text1"/>
          <w:u w:val="single"/>
          <w:lang w:eastAsia="es-ES"/>
        </w:rPr>
        <w:t>DÉCIMA. Indemnidad.</w:t>
      </w:r>
      <w:r w:rsidRPr="002C0D19">
        <w:rPr>
          <w:rFonts w:ascii="Arial Narrow" w:hAnsi="Arial Narrow" w:cs="Arial"/>
          <w:bCs/>
          <w:color w:val="000000" w:themeColor="text1"/>
          <w:lang w:eastAsia="es-ES"/>
        </w:rPr>
        <w:t xml:space="preserve"> Siempre que </w:t>
      </w:r>
      <w:r w:rsidRPr="002C0D19">
        <w:rPr>
          <w:rFonts w:ascii="Arial Narrow" w:hAnsi="Arial Narrow" w:cs="Arial"/>
          <w:b/>
          <w:bCs/>
          <w:color w:val="000000" w:themeColor="text1"/>
          <w:lang w:eastAsia="es-ES"/>
        </w:rPr>
        <w:t>LA CRCC</w:t>
      </w:r>
      <w:r w:rsidRPr="002C0D19">
        <w:rPr>
          <w:rFonts w:ascii="Arial Narrow" w:hAnsi="Arial Narrow" w:cs="Arial"/>
          <w:bCs/>
          <w:color w:val="000000" w:themeColor="text1"/>
          <w:lang w:eastAsia="es-ES"/>
        </w:rPr>
        <w:t xml:space="preserve"> haya cumplido con las normas y procedimientos aplicables en cada momento, </w:t>
      </w:r>
      <w:r w:rsidRPr="002C0D19">
        <w:rPr>
          <w:rFonts w:ascii="Arial Narrow" w:hAnsi="Arial Narrow" w:cs="Arial"/>
          <w:b/>
          <w:bCs/>
          <w:color w:val="000000" w:themeColor="text1"/>
          <w:lang w:eastAsia="es-ES"/>
        </w:rPr>
        <w:t xml:space="preserve">EL MIEMBRO </w:t>
      </w:r>
      <w:r w:rsidRPr="002C0D19">
        <w:rPr>
          <w:rFonts w:ascii="Arial Narrow" w:hAnsi="Arial Narrow" w:cs="Arial"/>
          <w:bCs/>
          <w:color w:val="000000" w:themeColor="text1"/>
          <w:lang w:eastAsia="es-ES"/>
        </w:rPr>
        <w:t xml:space="preserve">deberá mantener a </w:t>
      </w:r>
      <w:r w:rsidRPr="002C0D19">
        <w:rPr>
          <w:rFonts w:ascii="Arial Narrow" w:hAnsi="Arial Narrow" w:cs="Arial"/>
          <w:b/>
          <w:bCs/>
          <w:color w:val="000000" w:themeColor="text1"/>
          <w:lang w:eastAsia="es-ES"/>
        </w:rPr>
        <w:t>LA CRCC</w:t>
      </w:r>
      <w:r w:rsidRPr="002C0D19">
        <w:rPr>
          <w:rFonts w:ascii="Arial Narrow" w:hAnsi="Arial Narrow" w:cs="Arial"/>
          <w:bCs/>
          <w:color w:val="000000" w:themeColor="text1"/>
          <w:lang w:eastAsia="es-ES"/>
        </w:rPr>
        <w:t xml:space="preserve"> y a sus representantes, órganos o funcionarios, indemnes y libres de todo reclamo, demanda, litigio, acción legal y/o reivindicación de cualquier especie que se entable o pueda entablarse contra </w:t>
      </w:r>
      <w:r w:rsidRPr="002C0D19">
        <w:rPr>
          <w:rFonts w:ascii="Arial Narrow" w:hAnsi="Arial Narrow" w:cs="Arial"/>
          <w:b/>
          <w:bCs/>
          <w:color w:val="000000" w:themeColor="text1"/>
          <w:lang w:eastAsia="es-ES"/>
        </w:rPr>
        <w:t>LA CRCC</w:t>
      </w:r>
      <w:r w:rsidRPr="002C0D19">
        <w:rPr>
          <w:rFonts w:ascii="Arial Narrow" w:hAnsi="Arial Narrow" w:cs="Arial"/>
          <w:bCs/>
          <w:color w:val="000000" w:themeColor="text1"/>
          <w:lang w:eastAsia="es-ES"/>
        </w:rPr>
        <w:t xml:space="preserve">, por causa de acciones u omisiones en que incurra </w:t>
      </w:r>
      <w:r w:rsidRPr="002C0D19">
        <w:rPr>
          <w:rFonts w:ascii="Arial Narrow" w:hAnsi="Arial Narrow" w:cs="Arial"/>
          <w:b/>
          <w:bCs/>
          <w:color w:val="000000" w:themeColor="text1"/>
          <w:lang w:eastAsia="es-ES"/>
        </w:rPr>
        <w:t>EL MIEMBRO</w:t>
      </w:r>
      <w:r w:rsidRPr="002C0D19">
        <w:rPr>
          <w:rFonts w:ascii="Arial Narrow" w:hAnsi="Arial Narrow" w:cs="Arial"/>
          <w:bCs/>
          <w:color w:val="000000" w:themeColor="text1"/>
          <w:lang w:eastAsia="es-ES"/>
        </w:rPr>
        <w:t xml:space="preserve">, sus agentes, representantes o empleados, en la ejecución y desarrollo o con ocasión de la presente Oferta de Servicios. </w:t>
      </w:r>
    </w:p>
    <w:p w14:paraId="34ED3C30" w14:textId="77777777" w:rsidR="007968EC" w:rsidRPr="002C0D19" w:rsidRDefault="007968EC" w:rsidP="007968EC">
      <w:pPr>
        <w:jc w:val="both"/>
        <w:rPr>
          <w:rFonts w:ascii="Arial Narrow" w:hAnsi="Arial Narrow" w:cs="Arial"/>
          <w:b/>
          <w:bCs/>
          <w:color w:val="000000" w:themeColor="text1"/>
          <w:u w:val="single"/>
          <w:lang w:val="es-ES" w:eastAsia="es-ES"/>
        </w:rPr>
      </w:pPr>
    </w:p>
    <w:p w14:paraId="0C2ACE4A" w14:textId="77777777" w:rsidR="007968EC" w:rsidRPr="002C0D19" w:rsidRDefault="007968EC" w:rsidP="007968EC">
      <w:pPr>
        <w:jc w:val="both"/>
        <w:rPr>
          <w:rFonts w:ascii="Arial Narrow" w:hAnsi="Arial Narrow" w:cs="Arial"/>
          <w:bCs/>
          <w:color w:val="000000" w:themeColor="text1"/>
          <w:lang w:eastAsia="es-ES"/>
        </w:rPr>
      </w:pPr>
      <w:r w:rsidRPr="002C0D19">
        <w:rPr>
          <w:rFonts w:ascii="Arial Narrow" w:hAnsi="Arial Narrow" w:cs="Arial"/>
          <w:b/>
          <w:bCs/>
          <w:color w:val="000000" w:themeColor="text1"/>
          <w:u w:val="single"/>
          <w:lang w:val="es-ES" w:eastAsia="es-ES"/>
        </w:rPr>
        <w:t>DÉCIMA PRIMERA. Responsabilidad de LA CRCC.</w:t>
      </w:r>
      <w:r w:rsidRPr="002C0D19">
        <w:rPr>
          <w:rFonts w:ascii="Arial Narrow" w:hAnsi="Arial Narrow" w:cs="Arial"/>
          <w:bCs/>
          <w:color w:val="000000" w:themeColor="text1"/>
          <w:lang w:val="es-ES" w:eastAsia="es-ES"/>
        </w:rPr>
        <w:t xml:space="preserve"> </w:t>
      </w:r>
      <w:r w:rsidRPr="002C0D19">
        <w:rPr>
          <w:rFonts w:ascii="Arial Narrow" w:hAnsi="Arial Narrow" w:cs="Arial"/>
          <w:b/>
          <w:bCs/>
          <w:color w:val="000000" w:themeColor="text1"/>
          <w:lang w:val="es-ES" w:eastAsia="es-ES"/>
        </w:rPr>
        <w:t>LA CRCC</w:t>
      </w:r>
      <w:r w:rsidRPr="002C0D19">
        <w:rPr>
          <w:rFonts w:ascii="Arial Narrow" w:hAnsi="Arial Narrow" w:cs="Arial"/>
          <w:bCs/>
          <w:color w:val="000000" w:themeColor="text1"/>
          <w:lang w:val="es-ES" w:eastAsia="es-ES"/>
        </w:rPr>
        <w:t xml:space="preserve"> no será responsable de los daños y perjuicios que pueda sufrir </w:t>
      </w:r>
      <w:r w:rsidRPr="002C0D19">
        <w:rPr>
          <w:rFonts w:ascii="Arial Narrow" w:hAnsi="Arial Narrow" w:cs="Arial"/>
          <w:b/>
          <w:bCs/>
          <w:color w:val="000000" w:themeColor="text1"/>
          <w:lang w:val="es-ES" w:eastAsia="es-ES"/>
        </w:rPr>
        <w:t>EL MIEMBRO</w:t>
      </w:r>
      <w:r w:rsidRPr="002C0D19">
        <w:rPr>
          <w:rFonts w:ascii="Arial Narrow" w:hAnsi="Arial Narrow" w:cs="Arial"/>
          <w:bCs/>
          <w:color w:val="000000" w:themeColor="text1"/>
          <w:lang w:val="es-ES" w:eastAsia="es-ES"/>
        </w:rPr>
        <w:t xml:space="preserve"> o sus Terceros derivados de una situación de caso fortuito o fuerza mayor o, en general, de cualquier hecho en el que no haya mediado dolo o culpa grave por su parte o por parte de alguno de sus empleados.</w:t>
      </w:r>
    </w:p>
    <w:p w14:paraId="61389FFB" w14:textId="77777777" w:rsidR="007968EC" w:rsidRPr="002C0D19" w:rsidRDefault="007968EC" w:rsidP="007968EC">
      <w:pPr>
        <w:jc w:val="both"/>
        <w:rPr>
          <w:rFonts w:ascii="Arial Narrow" w:hAnsi="Arial Narrow" w:cs="Arial"/>
          <w:b/>
          <w:bCs/>
          <w:color w:val="000000" w:themeColor="text1"/>
          <w:u w:val="single"/>
          <w:lang w:val="es-ES" w:eastAsia="es-ES"/>
        </w:rPr>
      </w:pPr>
    </w:p>
    <w:p w14:paraId="545E5BBD"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es-ES" w:eastAsia="es-ES"/>
        </w:rPr>
        <w:t>DÉCIMA SEGUNDA. Cláusula Compromisoria</w:t>
      </w:r>
      <w:r w:rsidRPr="002C0D19">
        <w:rPr>
          <w:rFonts w:ascii="Arial Narrow" w:hAnsi="Arial Narrow" w:cs="Arial"/>
          <w:b/>
          <w:bCs/>
          <w:color w:val="000000" w:themeColor="text1"/>
          <w:lang w:val="es-ES" w:eastAsia="es-ES"/>
        </w:rPr>
        <w:t>.</w:t>
      </w:r>
      <w:r w:rsidRPr="002C0D19">
        <w:rPr>
          <w:rFonts w:ascii="Arial Narrow" w:hAnsi="Arial Narrow" w:cs="Arial"/>
          <w:color w:val="000000" w:themeColor="text1"/>
          <w:lang w:val="es-ES" w:eastAsia="es-ES"/>
        </w:rPr>
        <w:t xml:space="preserve"> </w:t>
      </w:r>
      <w:r w:rsidRPr="002C0D19">
        <w:rPr>
          <w:rFonts w:ascii="Arial Narrow" w:hAnsi="Arial Narrow" w:cs="Arial"/>
          <w:color w:val="000000" w:themeColor="text1"/>
          <w:lang w:val="es-ES_tradnl" w:eastAsia="es-ES"/>
        </w:rPr>
        <w:t>Todas las diferencias que ocurran entre las partes con ocasión de la presente Oferta, una vez aceptada, y que no puedan solucionarse por acuerdo directo entre ellas, en un plazo que no podrá exceder de dos (2) meses contados a partir de la fecha del evento que generó la diferencia, serán resueltas por un Tribunal de Arbitramento. Cuando la cuantía de las pretensiones supere los mil (1000) salarios mínimos legales mensuales vigentes en Colombia, el Tribunal de Arbitramento estará conformado por tres (3) árbitros, los cuales serán designados por las partes dentro de los quince (15) días hábiles siguientes al vencimiento del plazo de dos (2) meses de acuerdo directo, o a falta de acuerdo, mediante sorteo entre los árbitros inscritos en el Centro de Arbitraje y Conciliación de la Cámara de Comercio de Bogotá. En caso de que la cuantía de las pretensiones sea igual o inferior a mil (1000) salarios mínimos legales mensuales vigentes en Colombia, el Tribunal de Arbitramento estará conformado por un (1) árbitro, el cual será designado por las partes dentro de los quince (15) días hábiles siguientes al vencimiento del plazo de dos (2) meses de acuerdo directo, o a falta de acuerdo, por sorteo entre los árbitros inscritos en el Centro de Arbitraje y Conciliación de la Cámara de Comercio de Bogotá. El o los árbitros designados serán Abogados inscritos y fallarán en derecho. El Tribunal de Arbitramento tendrá sede en la ciudad de Bogotá y se regirá por las leyes colombianas.</w:t>
      </w:r>
    </w:p>
    <w:p w14:paraId="42F24FA8" w14:textId="77777777" w:rsidR="007968EC" w:rsidRPr="002C0D19" w:rsidRDefault="007968EC" w:rsidP="007968EC">
      <w:pPr>
        <w:jc w:val="both"/>
        <w:rPr>
          <w:rFonts w:ascii="Arial Narrow" w:hAnsi="Arial Narrow" w:cs="Arial"/>
          <w:b/>
          <w:color w:val="000000" w:themeColor="text1"/>
          <w:u w:val="single"/>
          <w:lang w:val="es-ES" w:eastAsia="es-ES"/>
        </w:rPr>
      </w:pPr>
    </w:p>
    <w:p w14:paraId="64E6AC62" w14:textId="77777777" w:rsidR="007968EC" w:rsidRPr="002C0D19" w:rsidRDefault="007968EC" w:rsidP="007968EC">
      <w:pPr>
        <w:jc w:val="both"/>
        <w:rPr>
          <w:rFonts w:ascii="Arial Narrow" w:hAnsi="Arial Narrow" w:cs="Arial"/>
          <w:b/>
          <w:color w:val="000000" w:themeColor="text1"/>
          <w:u w:val="single"/>
          <w:lang w:val="es-ES" w:eastAsia="es-ES"/>
        </w:rPr>
      </w:pPr>
      <w:r w:rsidRPr="002C0D19">
        <w:rPr>
          <w:rFonts w:ascii="Arial Narrow" w:hAnsi="Arial Narrow" w:cs="Arial"/>
          <w:b/>
          <w:color w:val="000000" w:themeColor="text1"/>
          <w:u w:val="single"/>
          <w:lang w:val="es-ES" w:eastAsia="es-ES"/>
        </w:rPr>
        <w:t>DÉCIMA TERCERA. Mérito Ejecutivo.</w:t>
      </w:r>
      <w:r w:rsidRPr="002C0D19">
        <w:rPr>
          <w:rFonts w:ascii="Arial Narrow" w:hAnsi="Arial Narrow" w:cs="Arial"/>
          <w:b/>
          <w:color w:val="000000" w:themeColor="text1"/>
          <w:lang w:val="es-ES" w:eastAsia="es-ES"/>
        </w:rPr>
        <w:t xml:space="preserve"> EL MIEMBRO </w:t>
      </w:r>
      <w:r w:rsidRPr="002C0D19">
        <w:rPr>
          <w:rFonts w:ascii="Arial Narrow" w:hAnsi="Arial Narrow" w:cs="Arial"/>
          <w:color w:val="000000" w:themeColor="text1"/>
          <w:lang w:val="es-ES" w:eastAsia="es-ES"/>
        </w:rPr>
        <w:t>reconoce y acepta que la presente Oferta de Servicios, una vez aceptada mediante la expedición de la Orden de Compra de Servicios,</w:t>
      </w:r>
      <w:r w:rsidRPr="002C0D19" w:rsidDel="00CA2BCF">
        <w:rPr>
          <w:rFonts w:ascii="Arial Narrow" w:hAnsi="Arial Narrow" w:cs="Arial"/>
          <w:color w:val="000000" w:themeColor="text1"/>
          <w:lang w:val="es-ES" w:eastAsia="es-ES"/>
        </w:rPr>
        <w:t xml:space="preserve"> </w:t>
      </w:r>
      <w:r w:rsidRPr="002C0D19">
        <w:rPr>
          <w:rFonts w:ascii="Arial Narrow" w:hAnsi="Arial Narrow" w:cs="Arial"/>
          <w:color w:val="000000" w:themeColor="text1"/>
          <w:lang w:val="es-ES" w:eastAsia="es-ES"/>
        </w:rPr>
        <w:t>prestará mérito ejecutivo para solicitar el cumplimiento de las obligaciones a su cargo, sin necesidad de requerimiento en mora judicial o extrajudicial.</w:t>
      </w:r>
    </w:p>
    <w:p w14:paraId="007008F7" w14:textId="77777777" w:rsidR="007968EC" w:rsidRPr="002C0D19" w:rsidRDefault="007968EC" w:rsidP="007968EC">
      <w:pPr>
        <w:jc w:val="both"/>
        <w:rPr>
          <w:rFonts w:ascii="Arial Narrow" w:hAnsi="Arial Narrow" w:cs="Arial"/>
          <w:b/>
          <w:color w:val="000000" w:themeColor="text1"/>
          <w:u w:val="single"/>
          <w:lang w:val="es-ES" w:eastAsia="es-ES"/>
        </w:rPr>
      </w:pPr>
    </w:p>
    <w:p w14:paraId="6514ABA4"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color w:val="000000" w:themeColor="text1"/>
          <w:u w:val="single"/>
          <w:lang w:val="es-ES" w:eastAsia="es-ES"/>
        </w:rPr>
        <w:t>DÉCIMA CUARTA. Notificaciones.</w:t>
      </w:r>
      <w:r w:rsidRPr="002C0D19">
        <w:rPr>
          <w:rFonts w:ascii="Arial Narrow" w:hAnsi="Arial Narrow" w:cs="Arial"/>
          <w:color w:val="000000" w:themeColor="text1"/>
          <w:lang w:val="es-ES" w:eastAsia="es-ES"/>
        </w:rPr>
        <w:t xml:space="preserve"> Todas las notificaciones y comunicaciones relacionadas con la presente Oferta de Servicios, se harán por escrito y se enviarán a las siguientes direcciones:</w:t>
      </w:r>
    </w:p>
    <w:p w14:paraId="6509B075" w14:textId="77777777" w:rsidR="007968EC" w:rsidRPr="002C0D19" w:rsidRDefault="007968EC" w:rsidP="007968EC">
      <w:pPr>
        <w:tabs>
          <w:tab w:val="left" w:pos="567"/>
        </w:tabs>
        <w:ind w:right="-16"/>
        <w:jc w:val="both"/>
        <w:rPr>
          <w:rFonts w:ascii="Arial Narrow" w:hAnsi="Arial Narrow" w:cs="Arial"/>
          <w:color w:val="000000" w:themeColor="text1"/>
          <w:lang w:val="es-ES" w:eastAsia="es-ES"/>
        </w:rPr>
      </w:pPr>
    </w:p>
    <w:p w14:paraId="3FC363CD" w14:textId="77777777" w:rsidR="007968EC" w:rsidRPr="002C0D19" w:rsidRDefault="007968EC" w:rsidP="007968EC">
      <w:pPr>
        <w:tabs>
          <w:tab w:val="left" w:pos="567"/>
          <w:tab w:val="left" w:pos="2835"/>
        </w:tabs>
        <w:ind w:left="2805" w:right="-16" w:hanging="2805"/>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w:t>
      </w:r>
      <w:r w:rsidRPr="002C0D19">
        <w:rPr>
          <w:rFonts w:ascii="Arial Narrow" w:hAnsi="Arial Narrow" w:cs="Arial"/>
          <w:color w:val="000000" w:themeColor="text1"/>
          <w:lang w:val="es-ES" w:eastAsia="es-ES"/>
        </w:rPr>
        <w:tab/>
      </w:r>
      <w:r w:rsidRPr="002C0D19">
        <w:rPr>
          <w:rFonts w:ascii="Arial Narrow" w:hAnsi="Arial Narrow" w:cs="Arial"/>
          <w:b/>
          <w:color w:val="000000" w:themeColor="text1"/>
          <w:lang w:val="es-ES" w:eastAsia="es-ES"/>
        </w:rPr>
        <w:t xml:space="preserve">CÁMARA DE RIESGO CENTRAL DE CONTRAPARTE DE COLOMBIA S.A. </w:t>
      </w:r>
      <w:r w:rsidRPr="002C0D19">
        <w:rPr>
          <w:rFonts w:ascii="Arial Narrow" w:hAnsi="Arial Narrow" w:cs="Arial"/>
          <w:b/>
          <w:color w:val="000000" w:themeColor="text1"/>
          <w:lang w:val="es-ES" w:eastAsia="es-ES"/>
        </w:rPr>
        <w:tab/>
      </w:r>
    </w:p>
    <w:p w14:paraId="45D88D82" w14:textId="77777777" w:rsidR="007968EC" w:rsidRPr="002C0D19" w:rsidRDefault="007968EC" w:rsidP="007968EC">
      <w:pPr>
        <w:tabs>
          <w:tab w:val="left" w:pos="567"/>
          <w:tab w:val="left" w:pos="2835"/>
        </w:tabs>
        <w:ind w:right="51"/>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ab/>
      </w:r>
      <w:r w:rsidRPr="002C0D19">
        <w:rPr>
          <w:rFonts w:ascii="Arial Narrow" w:hAnsi="Arial Narrow" w:cs="Arial"/>
          <w:color w:val="000000" w:themeColor="text1"/>
          <w:lang w:val="es-ES" w:eastAsia="es-ES"/>
        </w:rPr>
        <w:tab/>
        <w:t xml:space="preserve">Fax: </w:t>
      </w:r>
    </w:p>
    <w:p w14:paraId="1FB98C7F" w14:textId="77777777" w:rsidR="007968EC" w:rsidRPr="002C0D19" w:rsidRDefault="007968EC" w:rsidP="007968EC">
      <w:pPr>
        <w:tabs>
          <w:tab w:val="left" w:pos="567"/>
          <w:tab w:val="left" w:pos="2835"/>
        </w:tabs>
        <w:ind w:right="-16"/>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ab/>
      </w:r>
      <w:r w:rsidRPr="002C0D19">
        <w:rPr>
          <w:rFonts w:ascii="Arial Narrow" w:hAnsi="Arial Narrow" w:cs="Arial"/>
          <w:color w:val="000000" w:themeColor="text1"/>
          <w:lang w:val="es-ES" w:eastAsia="es-ES"/>
        </w:rPr>
        <w:tab/>
        <w:t xml:space="preserve">Dirección: </w:t>
      </w:r>
    </w:p>
    <w:p w14:paraId="2C4F9691" w14:textId="77777777" w:rsidR="007968EC" w:rsidRPr="002C0D19" w:rsidRDefault="007968EC" w:rsidP="007968EC">
      <w:pPr>
        <w:tabs>
          <w:tab w:val="left" w:pos="567"/>
          <w:tab w:val="left" w:pos="2835"/>
        </w:tabs>
        <w:ind w:right="-16"/>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lastRenderedPageBreak/>
        <w:tab/>
      </w:r>
      <w:r w:rsidRPr="002C0D19">
        <w:rPr>
          <w:rFonts w:ascii="Arial Narrow" w:hAnsi="Arial Narrow" w:cs="Arial"/>
          <w:color w:val="000000" w:themeColor="text1"/>
          <w:lang w:val="es-ES" w:eastAsia="es-ES"/>
        </w:rPr>
        <w:tab/>
        <w:t>Bogotá, D.C.</w:t>
      </w:r>
    </w:p>
    <w:p w14:paraId="044FF586" w14:textId="77777777" w:rsidR="007968EC" w:rsidRPr="002C0D19" w:rsidRDefault="007968EC" w:rsidP="007968EC">
      <w:pPr>
        <w:tabs>
          <w:tab w:val="left" w:pos="567"/>
          <w:tab w:val="left" w:pos="2835"/>
        </w:tabs>
        <w:ind w:right="-16"/>
        <w:jc w:val="both"/>
        <w:rPr>
          <w:rFonts w:ascii="Arial Narrow" w:hAnsi="Arial Narrow" w:cs="Arial"/>
          <w:color w:val="000000" w:themeColor="text1"/>
          <w:lang w:val="es-ES" w:eastAsia="es-ES"/>
        </w:rPr>
      </w:pPr>
    </w:p>
    <w:p w14:paraId="0A8AB5AD" w14:textId="77777777" w:rsidR="007968EC" w:rsidRPr="002C0D19" w:rsidRDefault="007968EC" w:rsidP="007968EC">
      <w:pPr>
        <w:tabs>
          <w:tab w:val="left" w:pos="567"/>
          <w:tab w:val="left" w:pos="2835"/>
        </w:tabs>
        <w:ind w:right="-16"/>
        <w:jc w:val="both"/>
        <w:rPr>
          <w:rFonts w:ascii="Arial Narrow" w:hAnsi="Arial Narrow" w:cs="Arial"/>
          <w:b/>
          <w:color w:val="000000" w:themeColor="text1"/>
          <w:lang w:val="es-ES" w:eastAsia="es-ES"/>
        </w:rPr>
      </w:pPr>
    </w:p>
    <w:p w14:paraId="066876D5" w14:textId="77777777" w:rsidR="007968EC" w:rsidRPr="002C0D19" w:rsidRDefault="007968EC" w:rsidP="007968EC">
      <w:pPr>
        <w:tabs>
          <w:tab w:val="left" w:pos="567"/>
          <w:tab w:val="left" w:pos="2835"/>
        </w:tabs>
        <w:ind w:right="44"/>
        <w:jc w:val="both"/>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EL MIEMBRO:</w:t>
      </w:r>
      <w:r w:rsidRPr="002C0D19">
        <w:rPr>
          <w:rFonts w:ascii="Arial Narrow" w:hAnsi="Arial Narrow" w:cs="Arial"/>
          <w:b/>
          <w:color w:val="000000" w:themeColor="text1"/>
          <w:lang w:val="es-ES" w:eastAsia="es-ES"/>
        </w:rPr>
        <w:tab/>
      </w:r>
    </w:p>
    <w:p w14:paraId="70A379B4"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b/>
          <w:color w:val="000000" w:themeColor="text1"/>
          <w:lang w:val="es-ES" w:eastAsia="es-ES"/>
        </w:rPr>
        <w:tab/>
      </w:r>
      <w:r w:rsidRPr="002C0D19">
        <w:rPr>
          <w:rFonts w:ascii="Arial Narrow" w:hAnsi="Arial Narrow" w:cs="Arial"/>
          <w:b/>
          <w:color w:val="000000" w:themeColor="text1"/>
          <w:lang w:val="es-ES" w:eastAsia="es-ES"/>
        </w:rPr>
        <w:tab/>
      </w:r>
      <w:r w:rsidRPr="002C0D19">
        <w:rPr>
          <w:rFonts w:ascii="Arial Narrow" w:hAnsi="Arial Narrow" w:cs="Arial"/>
          <w:color w:val="000000" w:themeColor="text1"/>
          <w:lang w:eastAsia="es-ES"/>
        </w:rPr>
        <w:t xml:space="preserve">Fax:  </w:t>
      </w:r>
    </w:p>
    <w:p w14:paraId="4A80F4A9"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r>
      <w:r w:rsidRPr="002C0D19">
        <w:rPr>
          <w:rFonts w:ascii="Arial Narrow" w:hAnsi="Arial Narrow" w:cs="Arial"/>
          <w:color w:val="000000" w:themeColor="text1"/>
          <w:lang w:val="es-ES" w:eastAsia="es-ES"/>
        </w:rPr>
        <w:t>Dirección</w:t>
      </w:r>
      <w:r w:rsidRPr="002C0D19">
        <w:rPr>
          <w:rFonts w:ascii="Arial Narrow" w:hAnsi="Arial Narrow" w:cs="Arial"/>
          <w:color w:val="000000" w:themeColor="text1"/>
          <w:lang w:eastAsia="es-ES"/>
        </w:rPr>
        <w:t xml:space="preserve">: </w:t>
      </w:r>
    </w:p>
    <w:p w14:paraId="5036E46A" w14:textId="77777777" w:rsidR="007968EC" w:rsidRPr="002C0D19" w:rsidRDefault="007968EC" w:rsidP="007968EC">
      <w:pPr>
        <w:tabs>
          <w:tab w:val="left" w:pos="567"/>
          <w:tab w:val="left" w:pos="2835"/>
        </w:tabs>
        <w:ind w:right="44"/>
        <w:jc w:val="both"/>
        <w:rPr>
          <w:rFonts w:ascii="Arial Narrow" w:hAnsi="Arial Narrow" w:cs="Arial"/>
          <w:color w:val="000000" w:themeColor="text1"/>
          <w:lang w:val="es-ES"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t xml:space="preserve">Ciudad: </w:t>
      </w:r>
    </w:p>
    <w:p w14:paraId="64E59B5C" w14:textId="77777777" w:rsidR="007968EC" w:rsidRPr="002C0D19" w:rsidRDefault="007968EC" w:rsidP="007968EC">
      <w:pPr>
        <w:jc w:val="both"/>
        <w:rPr>
          <w:rFonts w:ascii="Arial Narrow" w:hAnsi="Arial Narrow" w:cs="Arial"/>
          <w:b/>
          <w:bCs/>
          <w:color w:val="000000" w:themeColor="text1"/>
          <w:u w:val="single"/>
          <w:lang w:val="es-ES" w:eastAsia="es-ES"/>
        </w:rPr>
      </w:pPr>
    </w:p>
    <w:p w14:paraId="578604FE"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es-ES" w:eastAsia="es-ES"/>
        </w:rPr>
        <w:t>DÉCIMA QUINTA. Aceptación de esta Oferta.</w:t>
      </w:r>
      <w:r w:rsidRPr="002C0D19">
        <w:rPr>
          <w:rFonts w:ascii="Arial Narrow" w:hAnsi="Arial Narrow" w:cs="Arial"/>
          <w:color w:val="000000" w:themeColor="text1"/>
          <w:lang w:val="es-ES" w:eastAsia="es-ES"/>
        </w:rPr>
        <w:t xml:space="preserve"> La presente Oferta se entenderá aceptada mediante la expedición, por parte de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de una Orden de Compra de Servicios.</w:t>
      </w:r>
    </w:p>
    <w:p w14:paraId="4B7A65AE" w14:textId="77777777" w:rsidR="007968EC" w:rsidRPr="002C0D19" w:rsidRDefault="007968EC" w:rsidP="007968EC">
      <w:pPr>
        <w:jc w:val="both"/>
        <w:rPr>
          <w:rFonts w:ascii="Arial Narrow" w:hAnsi="Arial Narrow" w:cs="Arial"/>
          <w:b/>
          <w:bCs/>
          <w:color w:val="000000" w:themeColor="text1"/>
          <w:u w:val="single"/>
          <w:lang w:val="es-ES" w:eastAsia="es-ES"/>
        </w:rPr>
      </w:pPr>
    </w:p>
    <w:p w14:paraId="319BA325"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es-ES" w:eastAsia="es-ES"/>
        </w:rPr>
        <w:t>DÉCIMA SEXTA. Impuestos</w:t>
      </w:r>
      <w:r w:rsidRPr="002C0D19">
        <w:rPr>
          <w:rFonts w:ascii="Arial Narrow" w:hAnsi="Arial Narrow" w:cs="Arial"/>
          <w:b/>
          <w:bCs/>
          <w:color w:val="000000" w:themeColor="text1"/>
          <w:lang w:val="es-ES" w:eastAsia="es-ES"/>
        </w:rPr>
        <w:t>.</w:t>
      </w:r>
      <w:r w:rsidRPr="002C0D19">
        <w:rPr>
          <w:rFonts w:ascii="Arial Narrow" w:hAnsi="Arial Narrow" w:cs="Arial"/>
          <w:color w:val="000000" w:themeColor="text1"/>
          <w:lang w:val="es-ES" w:eastAsia="es-ES"/>
        </w:rPr>
        <w:t xml:space="preserve"> De conformidad con el numeral 52 del artículo 530 del Estatuto Tributario, la presente Oferta y su posterior aceptación mediante Orden de Compra de Servicios no causan impuesto de timbre.</w:t>
      </w:r>
      <w:r w:rsidRPr="002C0D19">
        <w:rPr>
          <w:rFonts w:ascii="Arial Narrow" w:hAnsi="Arial Narrow"/>
          <w:color w:val="000000" w:themeColor="text1"/>
          <w:lang w:val="es-ES" w:eastAsia="es-ES"/>
        </w:rPr>
        <w:t xml:space="preserve"> </w:t>
      </w:r>
      <w:r w:rsidRPr="002C0D19">
        <w:rPr>
          <w:rFonts w:ascii="Arial Narrow" w:hAnsi="Arial Narrow" w:cs="Arial"/>
          <w:color w:val="000000" w:themeColor="text1"/>
          <w:lang w:val="es-ES" w:eastAsia="es-ES"/>
        </w:rPr>
        <w:t xml:space="preserve">En todo caso, todos los gastos e impuestos de cualquier naturaleza que se generen en relación con la presente oferta, serán de cargo de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w:t>
      </w:r>
    </w:p>
    <w:p w14:paraId="3ACEA19A"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Para constancia, se firma en Bogotá D.C., el día ______________ (____) del mes de _____________ del año dos mil ___________ (____). </w:t>
      </w:r>
    </w:p>
    <w:p w14:paraId="241A5EA6" w14:textId="77777777" w:rsidR="007968EC" w:rsidRPr="002C0D19" w:rsidRDefault="007968EC" w:rsidP="007968EC">
      <w:pPr>
        <w:jc w:val="both"/>
        <w:rPr>
          <w:rFonts w:ascii="Arial Narrow" w:hAnsi="Arial Narrow" w:cs="Arial"/>
          <w:b/>
          <w:bCs/>
          <w:color w:val="000000" w:themeColor="text1"/>
          <w:lang w:val="es-ES" w:eastAsia="es-ES"/>
        </w:rPr>
      </w:pPr>
    </w:p>
    <w:p w14:paraId="22ADC7A5"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b/>
          <w:bCs/>
          <w:color w:val="000000" w:themeColor="text1"/>
          <w:lang w:val="es-ES" w:eastAsia="es-ES"/>
        </w:rPr>
        <w:t xml:space="preserve">LA CRCC </w:t>
      </w:r>
    </w:p>
    <w:p w14:paraId="7FD0C766" w14:textId="77777777" w:rsidR="007968EC" w:rsidRPr="002C0D19" w:rsidRDefault="007968EC" w:rsidP="007968EC">
      <w:pPr>
        <w:jc w:val="both"/>
        <w:rPr>
          <w:rFonts w:ascii="Arial Narrow" w:hAnsi="Arial Narrow" w:cs="Arial"/>
          <w:color w:val="000000" w:themeColor="text1"/>
          <w:spacing w:val="-3"/>
          <w:lang w:val="es-ES" w:eastAsia="es-ES"/>
        </w:rPr>
      </w:pPr>
    </w:p>
    <w:p w14:paraId="077E98AE" w14:textId="77777777" w:rsidR="007968EC" w:rsidRPr="002C0D19" w:rsidRDefault="007968EC" w:rsidP="007968EC">
      <w:pPr>
        <w:jc w:val="both"/>
        <w:rPr>
          <w:rFonts w:ascii="Arial Narrow" w:hAnsi="Arial Narrow" w:cs="Arial"/>
          <w:color w:val="000000" w:themeColor="text1"/>
          <w:spacing w:val="-3"/>
          <w:lang w:val="es-ES" w:eastAsia="es-ES"/>
        </w:rPr>
      </w:pPr>
    </w:p>
    <w:p w14:paraId="1EB4122C" w14:textId="77777777" w:rsidR="007968EC" w:rsidRPr="002C0D19" w:rsidRDefault="007968EC" w:rsidP="007968EC">
      <w:pPr>
        <w:jc w:val="both"/>
        <w:rPr>
          <w:rFonts w:ascii="Arial Narrow" w:hAnsi="Arial Narrow" w:cs="Arial"/>
          <w:color w:val="000000" w:themeColor="text1"/>
          <w:spacing w:val="-3"/>
          <w:lang w:val="es-ES" w:eastAsia="es-ES"/>
        </w:rPr>
      </w:pPr>
    </w:p>
    <w:p w14:paraId="7D29D5FB" w14:textId="77777777" w:rsidR="007968EC" w:rsidRPr="002C0D19" w:rsidRDefault="007968EC" w:rsidP="007968EC">
      <w:pPr>
        <w:jc w:val="both"/>
        <w:rPr>
          <w:rFonts w:ascii="Arial Narrow" w:hAnsi="Arial Narrow" w:cs="Arial"/>
          <w:color w:val="000000" w:themeColor="text1"/>
          <w:spacing w:val="-3"/>
          <w:lang w:val="es-ES" w:eastAsia="es-ES"/>
        </w:rPr>
      </w:pPr>
    </w:p>
    <w:p w14:paraId="490300A2"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Por:          ________________________________                      </w:t>
      </w:r>
    </w:p>
    <w:p w14:paraId="133C29D6"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Nombre:                                               </w:t>
      </w:r>
    </w:p>
    <w:p w14:paraId="061DA833"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Cargo:       Representante Legal                                    </w:t>
      </w:r>
    </w:p>
    <w:p w14:paraId="3ACA5B82" w14:textId="77777777" w:rsidR="007968EC" w:rsidRPr="002C0D19" w:rsidRDefault="007968EC" w:rsidP="007968EC">
      <w:pPr>
        <w:jc w:val="both"/>
        <w:rPr>
          <w:rFonts w:ascii="Arial Narrow" w:hAnsi="Arial Narrow" w:cs="Arial"/>
          <w:color w:val="000000" w:themeColor="text1"/>
          <w:spacing w:val="-3"/>
          <w:lang w:val="fr-FR" w:eastAsia="es-ES"/>
        </w:rPr>
      </w:pPr>
      <w:r w:rsidRPr="002C0D19">
        <w:rPr>
          <w:rFonts w:ascii="Arial Narrow" w:hAnsi="Arial Narrow" w:cs="Arial"/>
          <w:color w:val="000000" w:themeColor="text1"/>
          <w:spacing w:val="-3"/>
          <w:lang w:val="fr-FR" w:eastAsia="es-ES"/>
        </w:rPr>
        <w:t>C.C.</w:t>
      </w:r>
    </w:p>
    <w:p w14:paraId="00255FCD" w14:textId="77777777" w:rsidR="007968EC" w:rsidRPr="002C0D19" w:rsidRDefault="007968EC" w:rsidP="007968EC">
      <w:pPr>
        <w:jc w:val="both"/>
        <w:rPr>
          <w:rFonts w:ascii="Arial Narrow" w:hAnsi="Arial Narrow" w:cs="Arial"/>
          <w:color w:val="000000" w:themeColor="text1"/>
          <w:spacing w:val="-3"/>
          <w:lang w:val="fr-FR" w:eastAsia="es-ES"/>
        </w:rPr>
      </w:pPr>
    </w:p>
    <w:p w14:paraId="34D8D938" w14:textId="77777777" w:rsidR="007968EC" w:rsidRPr="002C0D19" w:rsidRDefault="007968EC" w:rsidP="007968EC">
      <w:pPr>
        <w:jc w:val="both"/>
        <w:rPr>
          <w:rFonts w:ascii="Arial Narrow" w:hAnsi="Arial Narrow" w:cs="Arial"/>
          <w:color w:val="000000" w:themeColor="text1"/>
          <w:spacing w:val="-3"/>
          <w:lang w:val="fr-FR" w:eastAsia="es-ES"/>
        </w:rPr>
      </w:pPr>
    </w:p>
    <w:p w14:paraId="7E121774" w14:textId="77777777" w:rsidR="007968EC" w:rsidRPr="002C0D19" w:rsidRDefault="007968EC" w:rsidP="007968EC">
      <w:pPr>
        <w:rPr>
          <w:rFonts w:ascii="Arial Narrow" w:hAnsi="Arial Narrow" w:cs="Arial"/>
          <w:b/>
          <w:i/>
          <w:color w:val="000000" w:themeColor="text1"/>
          <w:lang w:val="es-ES" w:eastAsia="es-ES"/>
        </w:rPr>
      </w:pPr>
      <w:r w:rsidRPr="002C0D19">
        <w:rPr>
          <w:rFonts w:ascii="Arial Narrow" w:hAnsi="Arial Narrow" w:cs="Arial"/>
          <w:b/>
          <w:i/>
          <w:color w:val="000000" w:themeColor="text1"/>
          <w:lang w:val="es-ES" w:eastAsia="es-ES"/>
        </w:rPr>
        <w:br w:type="page"/>
      </w:r>
    </w:p>
    <w:p w14:paraId="171AAAC3" w14:textId="77777777" w:rsidR="007968EC" w:rsidRPr="002C0D19" w:rsidRDefault="007968EC" w:rsidP="007968EC">
      <w:pPr>
        <w:jc w:val="center"/>
        <w:rPr>
          <w:rFonts w:ascii="Arial Narrow" w:hAnsi="Arial Narrow" w:cs="Arial"/>
          <w:b/>
          <w:i/>
          <w:color w:val="000000" w:themeColor="text1"/>
          <w:lang w:val="es-ES" w:eastAsia="es-ES"/>
        </w:rPr>
      </w:pPr>
      <w:r w:rsidRPr="002C0D19">
        <w:rPr>
          <w:rFonts w:ascii="Arial Narrow" w:hAnsi="Arial Narrow" w:cs="Arial"/>
          <w:b/>
          <w:i/>
          <w:color w:val="000000" w:themeColor="text1"/>
          <w:lang w:val="es-ES" w:eastAsia="es-ES"/>
        </w:rPr>
        <w:lastRenderedPageBreak/>
        <w:t>Anexo 15.3. Oferta de Servicios de la Cámara para Miembro no Liquidador</w:t>
      </w:r>
    </w:p>
    <w:p w14:paraId="7515CAC9" w14:textId="77777777" w:rsidR="007968EC" w:rsidRDefault="007968EC" w:rsidP="007968EC">
      <w:pPr>
        <w:jc w:val="both"/>
        <w:rPr>
          <w:rFonts w:ascii="Arial Narrow" w:hAnsi="Arial Narrow" w:cs="Arial"/>
          <w:i/>
          <w:color w:val="000000" w:themeColor="text1"/>
          <w:lang w:val="es-ES" w:eastAsia="es-ES"/>
        </w:rPr>
      </w:pPr>
    </w:p>
    <w:p w14:paraId="601179F4" w14:textId="77777777" w:rsidR="007968EC" w:rsidRPr="0014213B" w:rsidRDefault="007968EC" w:rsidP="007968EC">
      <w:pPr>
        <w:jc w:val="center"/>
        <w:rPr>
          <w:rFonts w:ascii="Arial Narrow" w:hAnsi="Arial Narrow" w:cs="Arial"/>
          <w:b/>
          <w:i/>
          <w:color w:val="000000" w:themeColor="text1"/>
          <w:lang w:val="es-ES" w:eastAsia="es-ES"/>
        </w:rPr>
      </w:pPr>
      <w:r w:rsidRPr="0014213B">
        <w:rPr>
          <w:rFonts w:ascii="Arial Narrow" w:hAnsi="Arial Narrow" w:cs="Arial"/>
          <w:b/>
          <w:i/>
          <w:color w:val="000000" w:themeColor="text1"/>
          <w:lang w:val="es-ES" w:eastAsia="es-ES"/>
        </w:rPr>
        <w:t>(Este Anexo fue modificado mediante</w:t>
      </w:r>
      <w:r>
        <w:rPr>
          <w:rFonts w:ascii="Arial Narrow" w:hAnsi="Arial Narrow" w:cs="Arial"/>
          <w:b/>
          <w:i/>
          <w:color w:val="000000" w:themeColor="text1"/>
          <w:lang w:val="es-ES" w:eastAsia="es-ES"/>
        </w:rPr>
        <w:t xml:space="preserve"> Circular 16 del 8 de octubre de 2019, publicada en el Boletín Normativo No. 030 del 8 de octubre de 2019</w:t>
      </w:r>
      <w:r w:rsidR="00AA58B5">
        <w:rPr>
          <w:rFonts w:ascii="Arial Narrow" w:hAnsi="Arial Narrow" w:cs="Arial"/>
          <w:b/>
          <w:i/>
          <w:color w:val="000000" w:themeColor="text1"/>
          <w:lang w:val="es-ES" w:eastAsia="es-ES"/>
        </w:rPr>
        <w:t xml:space="preserve"> y mediante Circular 2 del 29 de enero de 2020, publicada en el Boletín Normativo No. 002 del 29 de enero de 2020</w:t>
      </w:r>
      <w:r>
        <w:rPr>
          <w:rFonts w:ascii="Arial Narrow" w:hAnsi="Arial Narrow" w:cs="Arial"/>
          <w:b/>
          <w:i/>
          <w:color w:val="000000" w:themeColor="text1"/>
          <w:lang w:val="es-ES" w:eastAsia="es-ES"/>
        </w:rPr>
        <w:t xml:space="preserve">. Rige a partir del </w:t>
      </w:r>
      <w:r w:rsidR="00AA58B5">
        <w:rPr>
          <w:rFonts w:ascii="Arial Narrow" w:hAnsi="Arial Narrow" w:cs="Arial"/>
          <w:b/>
          <w:i/>
          <w:color w:val="000000" w:themeColor="text1"/>
          <w:lang w:val="es-ES" w:eastAsia="es-ES"/>
        </w:rPr>
        <w:t>3</w:t>
      </w:r>
      <w:r>
        <w:rPr>
          <w:rFonts w:ascii="Arial Narrow" w:hAnsi="Arial Narrow" w:cs="Arial"/>
          <w:b/>
          <w:i/>
          <w:color w:val="000000" w:themeColor="text1"/>
          <w:lang w:val="es-ES" w:eastAsia="es-ES"/>
        </w:rPr>
        <w:t xml:space="preserve"> de </w:t>
      </w:r>
      <w:r w:rsidR="00AA58B5">
        <w:rPr>
          <w:rFonts w:ascii="Arial Narrow" w:hAnsi="Arial Narrow" w:cs="Arial"/>
          <w:b/>
          <w:i/>
          <w:color w:val="000000" w:themeColor="text1"/>
          <w:lang w:val="es-ES" w:eastAsia="es-ES"/>
        </w:rPr>
        <w:t>febrero</w:t>
      </w:r>
      <w:r>
        <w:rPr>
          <w:rFonts w:ascii="Arial Narrow" w:hAnsi="Arial Narrow" w:cs="Arial"/>
          <w:b/>
          <w:i/>
          <w:color w:val="000000" w:themeColor="text1"/>
          <w:lang w:val="es-ES" w:eastAsia="es-ES"/>
        </w:rPr>
        <w:t xml:space="preserve"> de 20</w:t>
      </w:r>
      <w:r w:rsidR="00AA58B5">
        <w:rPr>
          <w:rFonts w:ascii="Arial Narrow" w:hAnsi="Arial Narrow" w:cs="Arial"/>
          <w:b/>
          <w:i/>
          <w:color w:val="000000" w:themeColor="text1"/>
          <w:lang w:val="es-ES" w:eastAsia="es-ES"/>
        </w:rPr>
        <w:t>20</w:t>
      </w:r>
      <w:r>
        <w:rPr>
          <w:rFonts w:ascii="Arial Narrow" w:hAnsi="Arial Narrow" w:cs="Arial"/>
          <w:b/>
          <w:i/>
          <w:color w:val="000000" w:themeColor="text1"/>
          <w:lang w:val="es-ES" w:eastAsia="es-ES"/>
        </w:rPr>
        <w:t>.)</w:t>
      </w:r>
    </w:p>
    <w:p w14:paraId="19806613" w14:textId="77777777" w:rsidR="007968EC" w:rsidRPr="002C0D19" w:rsidRDefault="007968EC" w:rsidP="007968EC">
      <w:pPr>
        <w:jc w:val="both"/>
        <w:rPr>
          <w:rFonts w:ascii="Arial Narrow" w:hAnsi="Arial Narrow" w:cs="Arial"/>
          <w:i/>
          <w:color w:val="000000" w:themeColor="text1"/>
          <w:lang w:val="es-ES" w:eastAsia="es-ES"/>
        </w:rPr>
      </w:pPr>
    </w:p>
    <w:p w14:paraId="6DD8B7F9" w14:textId="77777777" w:rsidR="007968EC" w:rsidRPr="002C0D19" w:rsidRDefault="007968EC" w:rsidP="007968EC">
      <w:pPr>
        <w:jc w:val="center"/>
        <w:rPr>
          <w:rFonts w:ascii="Arial Narrow" w:hAnsi="Arial Narrow" w:cs="Arial"/>
          <w:b/>
          <w:bCs/>
          <w:color w:val="000000" w:themeColor="text1"/>
          <w:lang w:eastAsia="es-ES"/>
        </w:rPr>
      </w:pPr>
      <w:r w:rsidRPr="002C0D19">
        <w:rPr>
          <w:rFonts w:ascii="Arial Narrow" w:hAnsi="Arial Narrow" w:cs="Arial"/>
          <w:b/>
          <w:bCs/>
          <w:color w:val="000000" w:themeColor="text1"/>
          <w:lang w:eastAsia="es-ES"/>
        </w:rPr>
        <w:t xml:space="preserve">OFERTA DE SERVICIOS PARA LA </w:t>
      </w:r>
      <w:r w:rsidRPr="002C0D19">
        <w:rPr>
          <w:rFonts w:ascii="Arial Narrow" w:hAnsi="Arial Narrow" w:cs="Arial"/>
          <w:b/>
          <w:color w:val="000000" w:themeColor="text1"/>
          <w:lang w:val="es-ES" w:eastAsia="es-ES"/>
        </w:rPr>
        <w:t>AFILIACIÓN COMO MIEMBRO NO LIQUIDADOR</w:t>
      </w:r>
      <w:r w:rsidRPr="002C0D19">
        <w:rPr>
          <w:rFonts w:ascii="Arial Narrow" w:hAnsi="Arial Narrow" w:cs="Arial"/>
          <w:color w:val="000000" w:themeColor="text1"/>
          <w:lang w:val="es-ES" w:eastAsia="es-ES"/>
        </w:rPr>
        <w:t xml:space="preserve"> </w:t>
      </w:r>
      <w:r w:rsidRPr="002C0D19">
        <w:rPr>
          <w:rFonts w:ascii="Arial Narrow" w:hAnsi="Arial Narrow" w:cs="Arial"/>
          <w:b/>
          <w:bCs/>
          <w:color w:val="000000" w:themeColor="text1"/>
          <w:lang w:eastAsia="es-ES"/>
        </w:rPr>
        <w:t xml:space="preserve">DEL SISTEMA DE COMPENSACIÓN Y LIQUIDACIÓN DE LA CÁMARA DE RIESGO CENTRAL DE CONTRAPARTE DE COLOMBIA S.A. – CRCC S.A. </w:t>
      </w:r>
    </w:p>
    <w:p w14:paraId="2E16B9D4" w14:textId="77777777" w:rsidR="007968EC" w:rsidRPr="002C0D19" w:rsidRDefault="007968EC" w:rsidP="007968EC">
      <w:pPr>
        <w:jc w:val="center"/>
        <w:rPr>
          <w:rFonts w:ascii="Arial Narrow" w:hAnsi="Arial Narrow" w:cs="Arial"/>
          <w:b/>
          <w:bCs/>
          <w:color w:val="000000" w:themeColor="text1"/>
          <w:lang w:eastAsia="es-ES"/>
        </w:rPr>
      </w:pPr>
    </w:p>
    <w:p w14:paraId="38E3C2EC" w14:textId="77777777" w:rsidR="007968EC" w:rsidRPr="002C0D19" w:rsidRDefault="007968EC" w:rsidP="007968EC">
      <w:pPr>
        <w:jc w:val="center"/>
        <w:rPr>
          <w:rFonts w:ascii="Arial Narrow" w:hAnsi="Arial Narrow" w:cs="Arial"/>
          <w:color w:val="000000" w:themeColor="text1"/>
          <w:lang w:val="es-MX" w:eastAsia="es-ES"/>
        </w:rPr>
      </w:pPr>
    </w:p>
    <w:p w14:paraId="14B9A776"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Esta Oferta de Servicios para la Afiliación como Miembro No Liquidador del</w:t>
      </w:r>
      <w:r w:rsidRPr="002C0D19">
        <w:rPr>
          <w:rFonts w:ascii="Arial Narrow" w:hAnsi="Arial Narrow" w:cs="Arial"/>
          <w:bCs/>
          <w:color w:val="000000" w:themeColor="text1"/>
          <w:lang w:eastAsia="es-ES"/>
        </w:rPr>
        <w:t xml:space="preserve"> Sistema de Compensación y Liquidación de</w:t>
      </w:r>
      <w:r w:rsidRPr="002C0D19">
        <w:rPr>
          <w:rFonts w:ascii="Arial Narrow" w:hAnsi="Arial Narrow" w:cs="Arial"/>
          <w:color w:val="000000" w:themeColor="text1"/>
          <w:lang w:val="es-ES" w:eastAsia="es-ES"/>
        </w:rPr>
        <w:t xml:space="preserve"> la Contraparte Central de la Cámara de Riesgo Central de Contraparte de Colombia S.A. – CRCC S.A., en adelante “</w:t>
      </w:r>
      <w:r w:rsidRPr="002C0D19">
        <w:rPr>
          <w:rFonts w:ascii="Arial Narrow" w:hAnsi="Arial Narrow" w:cs="Arial"/>
          <w:b/>
          <w:color w:val="000000" w:themeColor="text1"/>
          <w:lang w:val="es-ES" w:eastAsia="es-ES"/>
        </w:rPr>
        <w:t>EL SISTEMA</w:t>
      </w:r>
      <w:r w:rsidRPr="002C0D19">
        <w:rPr>
          <w:rFonts w:ascii="Arial Narrow" w:hAnsi="Arial Narrow" w:cs="Arial"/>
          <w:color w:val="000000" w:themeColor="text1"/>
          <w:lang w:val="es-ES" w:eastAsia="es-ES"/>
        </w:rPr>
        <w:t xml:space="preserve">”, se somete por </w:t>
      </w:r>
      <w:r w:rsidRPr="002C0D19">
        <w:rPr>
          <w:rFonts w:ascii="Arial Narrow" w:hAnsi="Arial Narrow" w:cs="Arial"/>
          <w:b/>
          <w:bCs/>
          <w:color w:val="000000" w:themeColor="text1"/>
          <w:lang w:val="es-ES" w:eastAsia="es-ES"/>
        </w:rPr>
        <w:t>LA CÁMARA DE RIESGO CENTRAL DE CONTRAPARTE DE COLOMBIA S.A.</w:t>
      </w:r>
      <w:r w:rsidRPr="002C0D19">
        <w:rPr>
          <w:rFonts w:ascii="Arial Narrow" w:hAnsi="Arial Narrow" w:cs="Arial"/>
          <w:color w:val="000000" w:themeColor="text1"/>
          <w:lang w:val="es-ES" w:eastAsia="es-ES"/>
        </w:rPr>
        <w:t xml:space="preserve">, en adelante </w:t>
      </w:r>
      <w:r w:rsidRPr="002C0D19">
        <w:rPr>
          <w:rFonts w:ascii="Arial Narrow" w:hAnsi="Arial Narrow" w:cs="Arial"/>
          <w:b/>
          <w:color w:val="000000" w:themeColor="text1"/>
          <w:lang w:val="es-ES" w:eastAsia="es-ES"/>
        </w:rPr>
        <w:t>LA</w:t>
      </w:r>
      <w:r w:rsidRPr="002C0D19">
        <w:rPr>
          <w:rFonts w:ascii="Arial Narrow" w:hAnsi="Arial Narrow" w:cs="Arial"/>
          <w:color w:val="000000" w:themeColor="text1"/>
          <w:lang w:val="es-ES" w:eastAsia="es-ES"/>
        </w:rPr>
        <w:t xml:space="preserve"> </w:t>
      </w:r>
      <w:r w:rsidRPr="002C0D19">
        <w:rPr>
          <w:rFonts w:ascii="Arial Narrow" w:hAnsi="Arial Narrow" w:cs="Arial"/>
          <w:b/>
          <w:bCs/>
          <w:color w:val="000000" w:themeColor="text1"/>
          <w:lang w:val="es-ES" w:eastAsia="es-ES"/>
        </w:rPr>
        <w:t>CRCC</w:t>
      </w:r>
      <w:r w:rsidRPr="002C0D19">
        <w:rPr>
          <w:rFonts w:ascii="Arial Narrow" w:hAnsi="Arial Narrow" w:cs="Arial"/>
          <w:color w:val="000000" w:themeColor="text1"/>
          <w:lang w:val="es-ES" w:eastAsia="es-ES"/>
        </w:rPr>
        <w:t xml:space="preserve">, a consideración de </w:t>
      </w:r>
      <w:r w:rsidRPr="002C0D19">
        <w:rPr>
          <w:rFonts w:ascii="Arial Narrow" w:hAnsi="Arial Narrow" w:cs="Arial"/>
          <w:b/>
          <w:bCs/>
          <w:color w:val="000000" w:themeColor="text1"/>
          <w:lang w:val="es-ES" w:eastAsia="es-ES"/>
        </w:rPr>
        <w:t xml:space="preserve">__________________________________, </w:t>
      </w:r>
      <w:r w:rsidRPr="002C0D19">
        <w:rPr>
          <w:rFonts w:ascii="Arial Narrow" w:hAnsi="Arial Narrow" w:cs="Arial"/>
          <w:color w:val="000000" w:themeColor="text1"/>
          <w:lang w:val="es-ES" w:eastAsia="es-ES"/>
        </w:rPr>
        <w:t xml:space="preserve">en adelante </w:t>
      </w:r>
      <w:r w:rsidRPr="002C0D19">
        <w:rPr>
          <w:rFonts w:ascii="Arial Narrow" w:hAnsi="Arial Narrow" w:cs="Arial"/>
          <w:b/>
          <w:bCs/>
          <w:color w:val="000000" w:themeColor="text1"/>
          <w:lang w:val="es-ES" w:eastAsia="es-ES"/>
        </w:rPr>
        <w:t>EL MIEMBRO</w:t>
      </w:r>
      <w:r w:rsidRPr="002C0D19">
        <w:rPr>
          <w:rFonts w:ascii="Arial Narrow" w:hAnsi="Arial Narrow" w:cs="Arial"/>
          <w:color w:val="000000" w:themeColor="text1"/>
          <w:lang w:val="es-ES" w:eastAsia="es-ES"/>
        </w:rPr>
        <w:t xml:space="preserve">. </w:t>
      </w:r>
    </w:p>
    <w:p w14:paraId="315A1789" w14:textId="77777777" w:rsidR="007968EC" w:rsidRPr="002C0D19" w:rsidRDefault="007968EC" w:rsidP="007968EC">
      <w:pPr>
        <w:jc w:val="both"/>
        <w:rPr>
          <w:rFonts w:ascii="Arial Narrow" w:hAnsi="Arial Narrow" w:cs="Arial"/>
          <w:b/>
          <w:bCs/>
          <w:color w:val="000000" w:themeColor="text1"/>
          <w:u w:val="single"/>
          <w:lang w:val="es-ES" w:eastAsia="es-ES"/>
        </w:rPr>
      </w:pPr>
    </w:p>
    <w:p w14:paraId="6845A90D" w14:textId="77777777" w:rsidR="007968EC" w:rsidRPr="002C0D19" w:rsidRDefault="007968EC" w:rsidP="007968EC">
      <w:pPr>
        <w:jc w:val="center"/>
        <w:rPr>
          <w:rFonts w:ascii="Arial Narrow" w:hAnsi="Arial Narrow" w:cs="Arial"/>
          <w:b/>
          <w:bCs/>
          <w:iCs/>
          <w:color w:val="000000" w:themeColor="text1"/>
          <w:lang w:val="es-ES" w:eastAsia="es-ES"/>
        </w:rPr>
      </w:pPr>
      <w:r w:rsidRPr="002C0D19">
        <w:rPr>
          <w:rFonts w:ascii="Arial Narrow" w:hAnsi="Arial Narrow" w:cs="Arial"/>
          <w:b/>
          <w:bCs/>
          <w:iCs/>
          <w:color w:val="000000" w:themeColor="text1"/>
          <w:lang w:val="es-ES" w:eastAsia="es-ES"/>
        </w:rPr>
        <w:t>TÉRMINOS Y CONDICIONES DE LA OFERTA</w:t>
      </w:r>
    </w:p>
    <w:p w14:paraId="53734019" w14:textId="77777777" w:rsidR="007968EC" w:rsidRPr="002C0D19" w:rsidRDefault="007968EC" w:rsidP="007968EC">
      <w:pPr>
        <w:jc w:val="center"/>
        <w:rPr>
          <w:rFonts w:ascii="Arial Narrow" w:hAnsi="Arial Narrow" w:cs="Arial"/>
          <w:b/>
          <w:bCs/>
          <w:color w:val="000000" w:themeColor="text1"/>
          <w:lang w:val="es-ES" w:eastAsia="es-ES"/>
        </w:rPr>
      </w:pPr>
    </w:p>
    <w:p w14:paraId="076ED9E6"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es-ES" w:eastAsia="es-ES"/>
        </w:rPr>
        <w:t>PRIMERA. Objeto.</w:t>
      </w:r>
      <w:r w:rsidRPr="002C0D19">
        <w:rPr>
          <w:rFonts w:ascii="Arial Narrow" w:hAnsi="Arial Narrow" w:cs="Arial"/>
          <w:color w:val="000000" w:themeColor="text1"/>
          <w:lang w:val="es-ES" w:eastAsia="es-ES"/>
        </w:rPr>
        <w:t xml:space="preserve"> En virtud de la aceptación de la presente Oferta de Servicios,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adquiere el derecho de acceder de manera directa a </w:t>
      </w:r>
      <w:r w:rsidRPr="002C0D19">
        <w:rPr>
          <w:rFonts w:ascii="Arial Narrow" w:hAnsi="Arial Narrow" w:cs="Arial"/>
          <w:b/>
          <w:color w:val="000000" w:themeColor="text1"/>
          <w:lang w:val="es-ES" w:eastAsia="es-ES"/>
        </w:rPr>
        <w:t>LA</w:t>
      </w:r>
      <w:r w:rsidRPr="002C0D19">
        <w:rPr>
          <w:rFonts w:ascii="Arial Narrow" w:hAnsi="Arial Narrow" w:cs="Arial"/>
          <w:color w:val="000000" w:themeColor="text1"/>
          <w:lang w:val="es-ES" w:eastAsia="es-ES"/>
        </w:rPr>
        <w:t xml:space="preserve"> </w:t>
      </w:r>
      <w:r w:rsidRPr="002C0D19">
        <w:rPr>
          <w:rFonts w:ascii="Arial Narrow" w:hAnsi="Arial Narrow" w:cs="Arial"/>
          <w:b/>
          <w:color w:val="000000" w:themeColor="text1"/>
          <w:lang w:val="es-ES" w:eastAsia="es-ES"/>
        </w:rPr>
        <w:t xml:space="preserve">CRCC </w:t>
      </w:r>
      <w:r w:rsidRPr="002C0D19">
        <w:rPr>
          <w:rFonts w:ascii="Arial Narrow" w:hAnsi="Arial Narrow" w:cs="Arial"/>
          <w:color w:val="000000" w:themeColor="text1"/>
          <w:lang w:val="es-ES" w:eastAsia="es-ES"/>
        </w:rPr>
        <w:t xml:space="preserve">para compensar las Operaciones Aceptadas por la misma en los Segmentos en que participe, todas las cuales deberán haberse celebrado en una bolsa, en un sistema de negociación, en el mercado mostrador o en cualquier otro mecanismo autorizado por el Reglamento de </w:t>
      </w:r>
      <w:r w:rsidRPr="002C0D19">
        <w:rPr>
          <w:rFonts w:ascii="Arial Narrow" w:hAnsi="Arial Narrow" w:cs="Arial"/>
          <w:b/>
          <w:color w:val="000000" w:themeColor="text1"/>
          <w:lang w:val="es-ES" w:eastAsia="es-ES"/>
        </w:rPr>
        <w:t>LA</w:t>
      </w:r>
      <w:r w:rsidRPr="002C0D19">
        <w:rPr>
          <w:rFonts w:ascii="Arial Narrow" w:hAnsi="Arial Narrow" w:cs="Arial"/>
          <w:color w:val="000000" w:themeColor="text1"/>
          <w:lang w:val="es-ES" w:eastAsia="es-ES"/>
        </w:rPr>
        <w:t xml:space="preserve"> </w:t>
      </w:r>
      <w:r w:rsidRPr="002C0D19">
        <w:rPr>
          <w:rFonts w:ascii="Arial Narrow" w:hAnsi="Arial Narrow" w:cs="Arial"/>
          <w:b/>
          <w:color w:val="000000" w:themeColor="text1"/>
          <w:lang w:val="es-ES" w:eastAsia="es-ES"/>
        </w:rPr>
        <w:t xml:space="preserve">CRCC, </w:t>
      </w:r>
      <w:r w:rsidRPr="002C0D19">
        <w:rPr>
          <w:rFonts w:ascii="Arial Narrow" w:hAnsi="Arial Narrow" w:cs="Arial"/>
          <w:color w:val="000000" w:themeColor="text1"/>
          <w:lang w:val="es-ES" w:eastAsia="es-ES"/>
        </w:rPr>
        <w:t>así como</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el derecho a</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 xml:space="preserve">que las liquidaciones de tales operaciones se hagan a través de uno o varios Miembros Liquidadores Generales. Un Miembro no Liquidador podrá acudir a uno o varios Miembros Liquidadores Generales por su propia cuenta, esto es, en relación con sus propias operaciones o por cuenta de Terceros. </w:t>
      </w:r>
    </w:p>
    <w:p w14:paraId="42AA05BA" w14:textId="77777777" w:rsidR="007968EC" w:rsidRPr="002C0D19" w:rsidRDefault="007968EC" w:rsidP="007968EC">
      <w:pPr>
        <w:jc w:val="both"/>
        <w:rPr>
          <w:rFonts w:ascii="Arial Narrow" w:hAnsi="Arial Narrow" w:cs="Arial"/>
          <w:b/>
          <w:color w:val="000000" w:themeColor="text1"/>
          <w:lang w:val="es-ES" w:eastAsia="es-ES"/>
        </w:rPr>
      </w:pPr>
    </w:p>
    <w:p w14:paraId="0FAA7AC1"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 w:eastAsia="es-ES"/>
        </w:rPr>
        <w:t>PARÁGRAFO.</w:t>
      </w:r>
      <w:r w:rsidRPr="002C0D19">
        <w:rPr>
          <w:rFonts w:ascii="Arial Narrow" w:hAnsi="Arial Narrow" w:cs="Arial"/>
          <w:color w:val="000000" w:themeColor="text1"/>
          <w:lang w:val="es-ES" w:eastAsia="es-ES"/>
        </w:rPr>
        <w:t xml:space="preserve"> Los términos que se utilizan en esta Oferta de Servicios, cuya primera letra sea una mayúscula, y que no se encuentren expresamente definidos en esta Oferta, tendrán el significado que se le atribuye a tales términos en el Reglamento.  </w:t>
      </w:r>
    </w:p>
    <w:p w14:paraId="1A33EAD9" w14:textId="77777777" w:rsidR="007968EC" w:rsidRPr="002C0D19" w:rsidRDefault="007968EC" w:rsidP="007968EC">
      <w:pPr>
        <w:jc w:val="both"/>
        <w:rPr>
          <w:rFonts w:ascii="Arial Narrow" w:hAnsi="Arial Narrow" w:cs="Arial"/>
          <w:color w:val="000000" w:themeColor="text1"/>
          <w:lang w:val="es-ES" w:eastAsia="es-ES"/>
        </w:rPr>
      </w:pPr>
    </w:p>
    <w:p w14:paraId="54C54B2A" w14:textId="77777777" w:rsidR="007968EC" w:rsidRPr="002C0D19" w:rsidRDefault="007968EC" w:rsidP="007968EC">
      <w:pPr>
        <w:jc w:val="both"/>
        <w:rPr>
          <w:rFonts w:ascii="Arial Narrow" w:hAnsi="Arial Narrow" w:cs="Arial"/>
          <w:b/>
          <w:color w:val="000000" w:themeColor="text1"/>
          <w:lang w:val="es-ES" w:eastAsia="es-ES"/>
        </w:rPr>
      </w:pPr>
      <w:r w:rsidRPr="002C0D19">
        <w:rPr>
          <w:rFonts w:ascii="Arial Narrow" w:hAnsi="Arial Narrow" w:cs="Arial"/>
          <w:b/>
          <w:color w:val="000000" w:themeColor="text1"/>
          <w:u w:val="single"/>
          <w:lang w:val="es-ES" w:eastAsia="es-ES"/>
        </w:rPr>
        <w:t>SEGUNDA. Declaraciones, Manifestaciones y Autorizaciones.</w:t>
      </w:r>
      <w:r w:rsidRPr="002C0D19">
        <w:rPr>
          <w:rFonts w:ascii="Arial Narrow" w:hAnsi="Arial Narrow" w:cs="Arial"/>
          <w:color w:val="000000" w:themeColor="text1"/>
          <w:lang w:val="es-ES" w:eastAsia="es-ES"/>
        </w:rPr>
        <w:t xml:space="preserve"> Mediante la aceptación de la presente Oferta, </w:t>
      </w:r>
      <w:r w:rsidRPr="002C0D19">
        <w:rPr>
          <w:rFonts w:ascii="Arial Narrow" w:hAnsi="Arial Narrow" w:cs="Arial"/>
          <w:b/>
          <w:color w:val="000000" w:themeColor="text1"/>
          <w:lang w:val="es-ES" w:eastAsia="es-ES"/>
        </w:rPr>
        <w:t>EL MIEMBRO:</w:t>
      </w:r>
    </w:p>
    <w:p w14:paraId="2FE17D46" w14:textId="77777777" w:rsidR="007968EC" w:rsidRPr="002C0D19" w:rsidRDefault="007968EC" w:rsidP="007968EC">
      <w:pPr>
        <w:jc w:val="both"/>
        <w:rPr>
          <w:rFonts w:ascii="Arial Narrow" w:hAnsi="Arial Narrow" w:cs="Arial"/>
          <w:color w:val="000000" w:themeColor="text1"/>
          <w:lang w:val="es-ES" w:eastAsia="es-ES"/>
        </w:rPr>
      </w:pPr>
    </w:p>
    <w:p w14:paraId="788FB94C" w14:textId="77777777" w:rsidR="007968EC" w:rsidRPr="002C0D19" w:rsidRDefault="007968EC" w:rsidP="00DA7472">
      <w:pPr>
        <w:numPr>
          <w:ilvl w:val="0"/>
          <w:numId w:val="35"/>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Declara expresamente conocer y aceptar en su integridad el Reglamento, las Circulares y los Instructivos Operativos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los cuales se consideran parte integral de la presente oferta de servicios. </w:t>
      </w:r>
    </w:p>
    <w:p w14:paraId="3CC494C4" w14:textId="77777777" w:rsidR="007968EC" w:rsidRPr="002C0D19" w:rsidRDefault="007968EC" w:rsidP="00DA7472">
      <w:pPr>
        <w:numPr>
          <w:ilvl w:val="0"/>
          <w:numId w:val="35"/>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Declara conocer la reglamentación de las bolsas, sistemas de negociación y mercado mostrador en donde se transen los Activos Compensados y Liquidados a través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w:t>
      </w:r>
    </w:p>
    <w:p w14:paraId="5C8BFC4B" w14:textId="77777777" w:rsidR="007968EC" w:rsidRPr="002C0D19" w:rsidRDefault="007968EC" w:rsidP="00DA7472">
      <w:pPr>
        <w:numPr>
          <w:ilvl w:val="0"/>
          <w:numId w:val="35"/>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Manifiesta y acepta que en lo no previsto expresamente en la presente Oferta, se aplicará lo dispuesto en el Reglamento.</w:t>
      </w:r>
    </w:p>
    <w:p w14:paraId="015AA1F7" w14:textId="77777777" w:rsidR="007968EC" w:rsidRPr="002C0D19" w:rsidRDefault="007968EC" w:rsidP="00DA7472">
      <w:pPr>
        <w:numPr>
          <w:ilvl w:val="0"/>
          <w:numId w:val="35"/>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lastRenderedPageBreak/>
        <w:t>Manifiesta que cumple con las condiciones y requisitos establecidos en el Reglamento para ser Miembro No Liquidador.</w:t>
      </w:r>
    </w:p>
    <w:p w14:paraId="0D04369B" w14:textId="77777777" w:rsidR="007968EC" w:rsidRPr="002C0D19" w:rsidRDefault="007968EC" w:rsidP="00DA7472">
      <w:pPr>
        <w:numPr>
          <w:ilvl w:val="0"/>
          <w:numId w:val="35"/>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Autoriza a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para</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 xml:space="preserve">verificar, en cualquier momento, </w:t>
      </w:r>
      <w:r w:rsidRPr="002C0D19">
        <w:rPr>
          <w:rFonts w:ascii="Arial Narrow" w:hAnsi="Arial Narrow" w:cs="Arial"/>
          <w:color w:val="000000" w:themeColor="text1"/>
          <w:lang w:eastAsia="es-ES"/>
        </w:rPr>
        <w:t xml:space="preserve">el cumplimiento de los requisitos y condiciones que dieron lugar a su admisión como Miembro no Liquidador de la misma. La verificación la puede hacer </w:t>
      </w:r>
      <w:r w:rsidRPr="002C0D19">
        <w:rPr>
          <w:rFonts w:ascii="Arial Narrow" w:hAnsi="Arial Narrow" w:cs="Arial"/>
          <w:b/>
          <w:color w:val="000000" w:themeColor="text1"/>
          <w:lang w:eastAsia="es-ES"/>
        </w:rPr>
        <w:t xml:space="preserve">LA CRCC </w:t>
      </w:r>
      <w:r w:rsidRPr="002C0D19">
        <w:rPr>
          <w:rFonts w:ascii="Arial Narrow" w:hAnsi="Arial Narrow" w:cs="Arial"/>
          <w:color w:val="000000" w:themeColor="text1"/>
          <w:lang w:eastAsia="es-ES"/>
        </w:rPr>
        <w:t xml:space="preserve">directamente o a través de un tercero especializado, según la materia o asunto a verificar, y el costo de dicha verificación podrá ser a cargo de </w:t>
      </w:r>
      <w:r w:rsidRPr="002C0D19">
        <w:rPr>
          <w:rFonts w:ascii="Arial Narrow" w:hAnsi="Arial Narrow" w:cs="Arial"/>
          <w:b/>
          <w:color w:val="000000" w:themeColor="text1"/>
          <w:lang w:eastAsia="es-ES"/>
        </w:rPr>
        <w:t>EL MIEMBRO.</w:t>
      </w:r>
    </w:p>
    <w:p w14:paraId="75AFA2C9" w14:textId="77777777" w:rsidR="007968EC" w:rsidRPr="002C0D19" w:rsidRDefault="007968EC" w:rsidP="00DA7472">
      <w:pPr>
        <w:numPr>
          <w:ilvl w:val="0"/>
          <w:numId w:val="35"/>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Declara que los derechos y obligaciones derivados de las</w:t>
      </w:r>
      <w:r w:rsidRPr="002C0D19">
        <w:rPr>
          <w:rFonts w:ascii="Arial Narrow" w:hAnsi="Arial Narrow" w:cs="Arial"/>
          <w:color w:val="000000" w:themeColor="text1"/>
          <w:lang w:eastAsia="es-ES"/>
        </w:rPr>
        <w:t xml:space="preserve"> Operaciones Aceptadas por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w:t>
      </w:r>
      <w:r w:rsidRPr="002C0D19">
        <w:rPr>
          <w:rFonts w:ascii="Arial Narrow" w:hAnsi="Arial Narrow" w:cs="Arial"/>
          <w:color w:val="000000" w:themeColor="text1"/>
          <w:lang w:val="es-ES" w:eastAsia="es-ES"/>
        </w:rPr>
        <w:t xml:space="preserve">se entenderán automáticamente novados, con ocasión de la interposición de </w:t>
      </w:r>
      <w:r w:rsidRPr="002C0D19">
        <w:rPr>
          <w:rFonts w:ascii="Arial Narrow" w:hAnsi="Arial Narrow" w:cs="Arial"/>
          <w:b/>
          <w:color w:val="000000" w:themeColor="text1"/>
          <w:lang w:val="es-ES" w:eastAsia="es-ES"/>
        </w:rPr>
        <w:t>LA</w:t>
      </w:r>
      <w:r w:rsidRPr="002C0D19">
        <w:rPr>
          <w:rFonts w:ascii="Arial Narrow" w:hAnsi="Arial Narrow" w:cs="Arial"/>
          <w:color w:val="000000" w:themeColor="text1"/>
          <w:lang w:val="es-ES" w:eastAsia="es-ES"/>
        </w:rPr>
        <w:t xml:space="preserve"> </w:t>
      </w:r>
      <w:r w:rsidRPr="002C0D19">
        <w:rPr>
          <w:rFonts w:ascii="Arial Narrow" w:hAnsi="Arial Narrow" w:cs="Arial"/>
          <w:b/>
          <w:color w:val="000000" w:themeColor="text1"/>
          <w:lang w:val="es-ES" w:eastAsia="es-ES"/>
        </w:rPr>
        <w:t>CRCC</w:t>
      </w:r>
      <w:r w:rsidRPr="002C0D19">
        <w:rPr>
          <w:rFonts w:ascii="Arial Narrow" w:hAnsi="Arial Narrow" w:cs="Arial"/>
          <w:color w:val="000000" w:themeColor="text1"/>
          <w:lang w:val="es-ES" w:eastAsia="es-ES"/>
        </w:rPr>
        <w:t xml:space="preserve"> como Contraparte, surgiendo nuevos derechos y obligaciones de y frente a ésta y extinguiéndose los que hasta ese momento existieran entre quienes hubieran celebrado la operación en su origen.</w:t>
      </w:r>
    </w:p>
    <w:p w14:paraId="6E04F37D" w14:textId="77777777" w:rsidR="007968EC" w:rsidRPr="002C0D19" w:rsidRDefault="007968EC" w:rsidP="00DA7472">
      <w:pPr>
        <w:numPr>
          <w:ilvl w:val="0"/>
          <w:numId w:val="35"/>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Declara que las Garantías constituidas y mantenidas, con los ajustes procedentes, a favor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bien sea por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o por cuenta de sus Terceros, no se verán afectadas por la novación antes referida, todas las cuales se mantendrán vigentes y conviene en su reserva a favor de </w:t>
      </w:r>
      <w:r w:rsidRPr="002C0D19">
        <w:rPr>
          <w:rFonts w:ascii="Arial Narrow" w:hAnsi="Arial Narrow" w:cs="Arial"/>
          <w:b/>
          <w:color w:val="000000" w:themeColor="text1"/>
          <w:lang w:val="es-ES" w:eastAsia="es-ES"/>
        </w:rPr>
        <w:t>LA CRCC.</w:t>
      </w:r>
    </w:p>
    <w:p w14:paraId="4EFDEB62" w14:textId="77777777" w:rsidR="007968EC" w:rsidRPr="002C0D19" w:rsidRDefault="007968EC" w:rsidP="00DA7472">
      <w:pPr>
        <w:numPr>
          <w:ilvl w:val="0"/>
          <w:numId w:val="35"/>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Declara que conoce y acepta que las liquidaciones de las Operaciones Aceptadas por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bien sea que las</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realice por cuenta propia o por cuenta de Terceros, se hacen a través de uno o varios Miembros Liquidadores Generales.</w:t>
      </w:r>
    </w:p>
    <w:p w14:paraId="7E3BFADF" w14:textId="77777777" w:rsidR="007968EC" w:rsidRPr="002C0D19" w:rsidRDefault="007968EC" w:rsidP="00DA7472">
      <w:pPr>
        <w:numPr>
          <w:ilvl w:val="0"/>
          <w:numId w:val="35"/>
        </w:numPr>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Manifiesta que acepta expresamente el procedimiento y las consecuencias derivadas del Incumplimiento, en los términos establecidos en el Reglamento, incluidas las medidas que correspondan, así como la ejecución de Garantías,</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en cualquiera o en todos los Segmentos en que participe</w:t>
      </w:r>
      <w:r w:rsidRPr="002C0D19">
        <w:rPr>
          <w:rFonts w:ascii="Arial Narrow" w:hAnsi="Arial Narrow" w:cs="Arial"/>
          <w:b/>
          <w:color w:val="000000" w:themeColor="text1"/>
          <w:lang w:val="es-ES" w:eastAsia="es-ES"/>
        </w:rPr>
        <w:t>,</w:t>
      </w:r>
      <w:r w:rsidRPr="002C0D19">
        <w:rPr>
          <w:rFonts w:ascii="Arial Narrow" w:hAnsi="Arial Narrow" w:cs="Arial"/>
          <w:color w:val="000000" w:themeColor="text1"/>
          <w:lang w:val="es-ES" w:eastAsia="es-ES"/>
        </w:rPr>
        <w:t xml:space="preserve"> que se contemplen en el Reglamento y en las Circulares e Instructivos Operativos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w:t>
      </w:r>
    </w:p>
    <w:p w14:paraId="5E1428E8" w14:textId="77777777" w:rsidR="007968EC" w:rsidRPr="002C0D19" w:rsidRDefault="007968EC" w:rsidP="00DA7472">
      <w:pPr>
        <w:numPr>
          <w:ilvl w:val="0"/>
          <w:numId w:val="35"/>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Autoriza en forma expresa a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y</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al o los Miembros Liquidadores Generales</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 xml:space="preserve">para que en ejercicio de sus funciones, puedan debitar o acreditar automáticamente la cuenta de efectivo identificada en el Banco de la República bajo el número ___________________________, así como cualquier otra cuenta de efectivo que maneje para la compensación y liquidación ante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w:t>
      </w:r>
    </w:p>
    <w:p w14:paraId="46723BB3" w14:textId="77777777" w:rsidR="007968EC" w:rsidRPr="002C0D19" w:rsidRDefault="007968EC" w:rsidP="00DA7472">
      <w:pPr>
        <w:numPr>
          <w:ilvl w:val="0"/>
          <w:numId w:val="35"/>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Autoriza en forma expresa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y al o los Miembros Liquidadores Generales</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 xml:space="preserve">para que en ejercicio de sus funciones puedan debitar o acreditar automáticamente las cuentas de depósito de valores de las que es titular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en el DECEVAL, Cuenta No. ____________________, y en el DCV, Cuenta No. ______________________.  </w:t>
      </w:r>
    </w:p>
    <w:p w14:paraId="27691FB1" w14:textId="77777777" w:rsidR="007968EC" w:rsidRPr="002C0D19" w:rsidRDefault="007968EC" w:rsidP="00DA7472">
      <w:pPr>
        <w:numPr>
          <w:ilvl w:val="0"/>
          <w:numId w:val="35"/>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Autoriza al o los Miembros Liquidadores Generales para transmitir la información de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w:t>
      </w:r>
    </w:p>
    <w:p w14:paraId="06F17EBA" w14:textId="77777777" w:rsidR="007968EC" w:rsidRPr="002C0D19" w:rsidRDefault="007968EC" w:rsidP="00DA7472">
      <w:pPr>
        <w:numPr>
          <w:ilvl w:val="0"/>
          <w:numId w:val="35"/>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Autoriza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y al o los Miembros Liquidadores Generales para transmitir la información de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a</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las autoridades u organismos competentes que se lo soliciten.</w:t>
      </w:r>
    </w:p>
    <w:p w14:paraId="79976C99" w14:textId="77777777" w:rsidR="007968EC" w:rsidRPr="002C0D19" w:rsidRDefault="007968EC" w:rsidP="00DA7472">
      <w:pPr>
        <w:numPr>
          <w:ilvl w:val="0"/>
          <w:numId w:val="35"/>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Acepta que en caso de Incumplimiento de alguna de las obligaciones a su cargo, el Miembro Liquidador General respectivo realizará la Gestión del Incumplimiento en todos los Segmentos en que participe, de conformidad con lo dispuesto en el Reglamento. Así mismo, acepta los efectos del Incumplimiento de acuerdo con lo establecido en el Reglamento y en la Circulares y en los Instructivos Operativos.</w:t>
      </w:r>
    </w:p>
    <w:p w14:paraId="412E3147" w14:textId="77777777" w:rsidR="007968EC" w:rsidRPr="002C0D19" w:rsidRDefault="007968EC" w:rsidP="00DA7472">
      <w:pPr>
        <w:numPr>
          <w:ilvl w:val="0"/>
          <w:numId w:val="35"/>
        </w:numPr>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Acepta que, en caso de que no constituya o ajuste las Garantías en todos los Segmentos en que participe, en la cuantía y tiempo establecidos,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 xml:space="preserve">podrá liquidar todas las Posiciones de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ejecutando las Garantías de todos los Segmentos en que participe, previamente constituidas si fuese necesario y entregando al o los Miembros Liquidadores Generales respectivos </w:t>
      </w:r>
      <w:r w:rsidRPr="002C0D19">
        <w:rPr>
          <w:rFonts w:ascii="Arial Narrow" w:hAnsi="Arial Narrow" w:cs="Arial"/>
          <w:color w:val="000000" w:themeColor="text1"/>
          <w:lang w:val="es-ES" w:eastAsia="es-ES"/>
        </w:rPr>
        <w:lastRenderedPageBreak/>
        <w:t xml:space="preserve">el resultado de dicha liquidación si fuese a favor de </w:t>
      </w:r>
      <w:r w:rsidRPr="002C0D19">
        <w:rPr>
          <w:rFonts w:ascii="Arial Narrow" w:hAnsi="Arial Narrow" w:cs="Arial"/>
          <w:b/>
          <w:color w:val="000000" w:themeColor="text1"/>
          <w:lang w:val="es-ES" w:eastAsia="es-ES"/>
        </w:rPr>
        <w:t xml:space="preserve">EL MIEMBRO </w:t>
      </w:r>
      <w:r w:rsidRPr="002C0D19">
        <w:rPr>
          <w:rFonts w:ascii="Arial Narrow" w:hAnsi="Arial Narrow" w:cs="Arial"/>
          <w:color w:val="000000" w:themeColor="text1"/>
          <w:lang w:val="es-ES" w:eastAsia="es-ES"/>
        </w:rPr>
        <w:t xml:space="preserve">o reclamándosela al o los Miembros Liquidadores Generales si fuese a favor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según el caso. Acepta, igualmente, que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 xml:space="preserve">tome cualesquiera otras medidas que se prevean en el Reglamento, las Circulares y los Instructivos Operativos. En caso de Incumplimiento, faculta a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y al o los Miembros Liquidadores Generales</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para cerrar, por su cuenta, todas las Posiciones Abiertas de Operaciones Aceptadas registradas en su Cuenta o para celebrar nuevas operaciones hasta el cierre definitivo de la Posición Abierta.</w:t>
      </w:r>
    </w:p>
    <w:p w14:paraId="242548D6" w14:textId="77777777" w:rsidR="007968EC" w:rsidRPr="002C0D19" w:rsidRDefault="007968EC" w:rsidP="00DA7472">
      <w:pPr>
        <w:numPr>
          <w:ilvl w:val="0"/>
          <w:numId w:val="35"/>
        </w:numPr>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Acepta expresamente que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y/o</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sus Miembros Liquidadores Generales informen a las Autoridades Competentes el incumplimiento de las obligaciones a su cargo.</w:t>
      </w:r>
    </w:p>
    <w:p w14:paraId="4567FDA1" w14:textId="77777777" w:rsidR="007968EC" w:rsidRPr="002C0D19" w:rsidRDefault="007968EC" w:rsidP="00DA7472">
      <w:pPr>
        <w:numPr>
          <w:ilvl w:val="0"/>
          <w:numId w:val="35"/>
        </w:numPr>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Autoriza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y</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a sus Miembros Liquidadores Generales</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eastAsia="es-ES"/>
        </w:rPr>
        <w:t xml:space="preserve">para que todas las comunicaciones telefónicas que </w:t>
      </w:r>
      <w:r w:rsidRPr="002C0D19">
        <w:rPr>
          <w:rFonts w:ascii="Arial Narrow" w:hAnsi="Arial Narrow" w:cs="Arial"/>
          <w:color w:val="000000" w:themeColor="text1"/>
          <w:lang w:val="es-ES" w:eastAsia="es-ES"/>
        </w:rPr>
        <w:t>sus funcionarios, operadores, empleados, contratistas, subcontratistas y/o dependientes</w:t>
      </w:r>
      <w:r w:rsidRPr="002C0D19">
        <w:rPr>
          <w:rFonts w:ascii="Arial Narrow" w:hAnsi="Arial Narrow" w:cs="Arial"/>
          <w:color w:val="000000" w:themeColor="text1"/>
          <w:lang w:eastAsia="es-ES"/>
        </w:rPr>
        <w:t xml:space="preserve"> tengan con </w:t>
      </w:r>
      <w:r w:rsidRPr="002C0D19">
        <w:rPr>
          <w:rFonts w:ascii="Arial Narrow" w:hAnsi="Arial Narrow" w:cs="Arial"/>
          <w:b/>
          <w:color w:val="000000" w:themeColor="text1"/>
          <w:lang w:eastAsia="es-ES"/>
        </w:rPr>
        <w:t xml:space="preserve">LA CRCC </w:t>
      </w:r>
      <w:r w:rsidRPr="002C0D19">
        <w:rPr>
          <w:rFonts w:ascii="Arial Narrow" w:hAnsi="Arial Narrow" w:cs="Arial"/>
          <w:color w:val="000000" w:themeColor="text1"/>
          <w:lang w:val="es-ES" w:eastAsia="es-ES"/>
        </w:rPr>
        <w:t>y/o</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con sus Miembros Liquidadores Generales,</w:t>
      </w:r>
      <w:r w:rsidRPr="002C0D19">
        <w:rPr>
          <w:rFonts w:ascii="Arial Narrow" w:hAnsi="Arial Narrow" w:cs="Arial"/>
          <w:color w:val="000000" w:themeColor="text1"/>
          <w:lang w:eastAsia="es-ES"/>
        </w:rPr>
        <w:t xml:space="preserve"> sean grabadas y que las mismas, en caso de requerirse, puedan ser presentadas como medio de prueba. </w:t>
      </w:r>
    </w:p>
    <w:p w14:paraId="4179D2B2" w14:textId="77777777" w:rsidR="007968EC" w:rsidRPr="002C0D19" w:rsidRDefault="007968EC" w:rsidP="007968EC">
      <w:pPr>
        <w:jc w:val="both"/>
        <w:rPr>
          <w:rFonts w:ascii="Arial Narrow" w:hAnsi="Arial Narrow" w:cs="Arial"/>
          <w:b/>
          <w:color w:val="000000" w:themeColor="text1"/>
          <w:u w:val="single"/>
          <w:lang w:val="es-ES" w:eastAsia="es-ES"/>
        </w:rPr>
      </w:pPr>
    </w:p>
    <w:p w14:paraId="7994BBE5" w14:textId="77777777" w:rsidR="007968EC" w:rsidRPr="002C0D19" w:rsidRDefault="007968EC" w:rsidP="007968EC">
      <w:pPr>
        <w:jc w:val="both"/>
        <w:rPr>
          <w:rFonts w:ascii="Arial Narrow" w:hAnsi="Arial Narrow" w:cs="Arial"/>
          <w:color w:val="000000" w:themeColor="text1"/>
          <w:u w:val="single"/>
          <w:lang w:val="es-ES" w:eastAsia="es-ES"/>
        </w:rPr>
      </w:pPr>
      <w:r w:rsidRPr="00514CE5">
        <w:rPr>
          <w:rFonts w:ascii="Arial Narrow" w:hAnsi="Arial Narrow" w:cs="Arial"/>
          <w:b/>
          <w:bCs/>
          <w:color w:val="000000" w:themeColor="text1"/>
          <w:lang w:val="es-ES" w:eastAsia="es-ES"/>
        </w:rPr>
        <w:t>Parágrafo</w:t>
      </w:r>
      <w:r w:rsidRPr="002C0D19">
        <w:rPr>
          <w:rFonts w:ascii="Arial Narrow" w:hAnsi="Arial Narrow" w:cs="Arial"/>
          <w:color w:val="000000" w:themeColor="text1"/>
          <w:lang w:val="es-ES" w:eastAsia="es-ES"/>
        </w:rPr>
        <w:t xml:space="preserve">. Cualquier reforma que se realice al Reglamento o a las Circulares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que implique una modificación a los términos de los acuerdos o Convenios de vinculación, Oferta de Servicios Aceptada mediante Orden de Compra de Servicios</w:t>
      </w:r>
      <w:r w:rsidR="00514CE5">
        <w:rPr>
          <w:rFonts w:ascii="Arial Narrow" w:hAnsi="Arial Narrow" w:cs="Arial"/>
          <w:color w:val="000000" w:themeColor="text1"/>
          <w:lang w:val="es-ES" w:eastAsia="es-ES"/>
        </w:rPr>
        <w:t>, según corresponda,</w:t>
      </w:r>
      <w:r w:rsidRPr="002C0D19">
        <w:rPr>
          <w:rFonts w:ascii="Arial Narrow" w:hAnsi="Arial Narrow" w:cs="Arial"/>
          <w:color w:val="000000" w:themeColor="text1"/>
          <w:lang w:val="es-ES" w:eastAsia="es-ES"/>
        </w:rPr>
        <w:t xml:space="preserve"> que suscriban los Miembros y estos con sus Terceros se presume conocida y aceptada por las partes a partir de su publicación y entrada en vigencia y no requerirá de la modificación de tales acuerdos o Convenios de vinculación, Oferta de Servicios Aceptada mediante Orden de Compra de Servicios que suscriban los Miembros y estos con sus Terceros, ni de la suscripción de nuevos Convenios. No obstante, cuando haya lugar a ello,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podrá aprobar unos nuevos textos que incorporen las modificaciones pertinentes y publicarlos mediante Circular para efecto de la vinculación de nuevos Miembros, Agentes y Terceros a través de</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los Miembros</w:t>
      </w:r>
      <w:r w:rsidRPr="002C0D19">
        <w:rPr>
          <w:rFonts w:ascii="Arial Narrow" w:hAnsi="Arial Narrow" w:cs="Arial"/>
          <w:color w:val="000000" w:themeColor="text1"/>
          <w:u w:val="single"/>
          <w:lang w:val="es-ES" w:eastAsia="es-ES"/>
        </w:rPr>
        <w:t>.</w:t>
      </w:r>
    </w:p>
    <w:p w14:paraId="59F93A19" w14:textId="77777777" w:rsidR="007968EC" w:rsidRPr="002C0D19" w:rsidRDefault="007968EC" w:rsidP="007968EC">
      <w:pPr>
        <w:jc w:val="both"/>
        <w:rPr>
          <w:rFonts w:ascii="Arial Narrow" w:hAnsi="Arial Narrow" w:cs="Arial"/>
          <w:b/>
          <w:color w:val="000000" w:themeColor="text1"/>
          <w:u w:val="single"/>
          <w:lang w:val="es-ES" w:eastAsia="es-ES"/>
        </w:rPr>
      </w:pPr>
    </w:p>
    <w:p w14:paraId="4936BF4D" w14:textId="77777777" w:rsidR="007968EC" w:rsidRPr="002C0D19" w:rsidRDefault="007968EC" w:rsidP="007968EC">
      <w:pPr>
        <w:jc w:val="both"/>
        <w:rPr>
          <w:rFonts w:ascii="Arial Narrow" w:hAnsi="Arial Narrow" w:cs="Arial"/>
          <w:bCs/>
          <w:color w:val="000000" w:themeColor="text1"/>
          <w:lang w:eastAsia="es-ES"/>
        </w:rPr>
      </w:pPr>
      <w:r w:rsidRPr="002C0D19">
        <w:rPr>
          <w:rFonts w:ascii="Arial Narrow" w:hAnsi="Arial Narrow" w:cs="Arial"/>
          <w:b/>
          <w:color w:val="000000" w:themeColor="text1"/>
          <w:u w:val="single"/>
          <w:lang w:val="es-ES" w:eastAsia="es-ES"/>
        </w:rPr>
        <w:t>TERCERA. Obligaciones de EL MIEMBRO.</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Sin perjuicio</w:t>
      </w:r>
      <w:r w:rsidRPr="002C0D19">
        <w:rPr>
          <w:rFonts w:ascii="Arial Narrow" w:hAnsi="Arial Narrow" w:cs="Arial"/>
          <w:b/>
          <w:color w:val="000000" w:themeColor="text1"/>
          <w:lang w:val="es-ES" w:eastAsia="es-ES"/>
        </w:rPr>
        <w:t xml:space="preserve"> </w:t>
      </w:r>
      <w:r w:rsidRPr="002C0D19">
        <w:rPr>
          <w:rFonts w:ascii="Arial Narrow" w:hAnsi="Arial Narrow" w:cs="Arial"/>
          <w:bCs/>
          <w:color w:val="000000" w:themeColor="text1"/>
          <w:lang w:eastAsia="es-ES"/>
        </w:rPr>
        <w:t xml:space="preserve">de las obligaciones previstas en las demás cláusulas de la presente Oferta, en el </w:t>
      </w:r>
      <w:r w:rsidRPr="002C0D19">
        <w:rPr>
          <w:rFonts w:ascii="Arial Narrow" w:hAnsi="Arial Narrow" w:cs="Arial"/>
          <w:color w:val="000000" w:themeColor="text1"/>
          <w:lang w:val="es-ES" w:eastAsia="es-ES"/>
        </w:rPr>
        <w:t xml:space="preserve">Reglamento, en las Circulares y en los Instructivos Operativos de </w:t>
      </w:r>
      <w:r w:rsidRPr="002C0D19">
        <w:rPr>
          <w:rFonts w:ascii="Arial Narrow" w:hAnsi="Arial Narrow" w:cs="Arial"/>
          <w:b/>
          <w:color w:val="000000" w:themeColor="text1"/>
          <w:lang w:val="es-ES" w:eastAsia="es-ES"/>
        </w:rPr>
        <w:t>LA CRCC,</w:t>
      </w:r>
      <w:r w:rsidRPr="002C0D19">
        <w:rPr>
          <w:rFonts w:ascii="Arial Narrow" w:hAnsi="Arial Narrow" w:cs="Arial"/>
          <w:bCs/>
          <w:color w:val="000000" w:themeColor="text1"/>
          <w:lang w:eastAsia="es-ES"/>
        </w:rPr>
        <w:t xml:space="preserve"> son obligaciones principales de </w:t>
      </w:r>
      <w:r w:rsidRPr="002C0D19">
        <w:rPr>
          <w:rFonts w:ascii="Arial Narrow" w:hAnsi="Arial Narrow" w:cs="Arial"/>
          <w:b/>
          <w:bCs/>
          <w:color w:val="000000" w:themeColor="text1"/>
          <w:lang w:eastAsia="es-ES"/>
        </w:rPr>
        <w:t xml:space="preserve">EL MIEMBRO </w:t>
      </w:r>
      <w:r w:rsidRPr="002C0D19">
        <w:rPr>
          <w:rFonts w:ascii="Arial Narrow" w:hAnsi="Arial Narrow" w:cs="Arial"/>
          <w:bCs/>
          <w:color w:val="000000" w:themeColor="text1"/>
          <w:lang w:eastAsia="es-ES"/>
        </w:rPr>
        <w:t>las siguientes:</w:t>
      </w:r>
    </w:p>
    <w:p w14:paraId="5455CE3B" w14:textId="77777777" w:rsidR="007968EC" w:rsidRPr="002C0D19" w:rsidRDefault="007968EC" w:rsidP="007968EC">
      <w:pPr>
        <w:jc w:val="both"/>
        <w:rPr>
          <w:rFonts w:ascii="Arial Narrow" w:hAnsi="Arial Narrow" w:cs="Arial"/>
          <w:color w:val="000000" w:themeColor="text1"/>
          <w:lang w:eastAsia="es-ES"/>
        </w:rPr>
      </w:pPr>
    </w:p>
    <w:p w14:paraId="7AD57E6E" w14:textId="77777777" w:rsidR="007968EC" w:rsidRPr="002C0D19" w:rsidRDefault="007968EC" w:rsidP="00DA7472">
      <w:pPr>
        <w:numPr>
          <w:ilvl w:val="0"/>
          <w:numId w:val="233"/>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Cumplir y mantener en todo momento los requisitos generales y especiales de admisión como Miembro no Liquidador.</w:t>
      </w:r>
    </w:p>
    <w:p w14:paraId="6B60295C" w14:textId="77777777" w:rsidR="007968EC" w:rsidRPr="002C0D19" w:rsidRDefault="007968EC" w:rsidP="00DA7472">
      <w:pPr>
        <w:numPr>
          <w:ilvl w:val="0"/>
          <w:numId w:val="233"/>
        </w:numPr>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Cumplir y hacer cumplir estrictamente a las personas que autorice para operar en el Sistema, sin restricciones ni reservas, la Ley, las instrucciones de las Autoridades Competentes, el Reglamento, las Circulares e Instructivos Operativos, la presente Oferta de Servicios y todas aquellas decisiones que, en uso de sus atribuciones, adopten la Junta Directiva y/o el Gerente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para reglamentar su funcionamiento, divulgadas de conformidad con el Reglamento, sin que sirva de excusa o defensa la ignorancia de dichas normas o instrucciones. Lo anterior se extiende a cualquier modificación o adición que cualquier autoridad competente pueda imponer, así como a las modificaciones que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pueda introducir con la autorización de la Superintendencia Financiera de Colombia.</w:t>
      </w:r>
    </w:p>
    <w:p w14:paraId="631FA1BC" w14:textId="77777777" w:rsidR="007968EC" w:rsidRPr="002C0D19" w:rsidRDefault="007968EC" w:rsidP="00DA7472">
      <w:pPr>
        <w:numPr>
          <w:ilvl w:val="0"/>
          <w:numId w:val="233"/>
        </w:numPr>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Responder por el cumplimiento de las operaciones que se registren en el Sistema. </w:t>
      </w:r>
    </w:p>
    <w:p w14:paraId="4F8C981D" w14:textId="77777777" w:rsidR="007968EC" w:rsidRPr="002C0D19" w:rsidRDefault="007968EC" w:rsidP="00DA7472">
      <w:pPr>
        <w:numPr>
          <w:ilvl w:val="0"/>
          <w:numId w:val="233"/>
        </w:numPr>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Responder por el uso que sus operadores, funcionarios o cualquier persona bajo su dependencia, hagan del Sistema.</w:t>
      </w:r>
    </w:p>
    <w:p w14:paraId="5FB4832D" w14:textId="77777777" w:rsidR="007968EC" w:rsidRPr="002C0D19" w:rsidRDefault="007968EC" w:rsidP="00DA7472">
      <w:pPr>
        <w:numPr>
          <w:ilvl w:val="0"/>
          <w:numId w:val="233"/>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lastRenderedPageBreak/>
        <w:t xml:space="preserve">Informar inmediatamente y por escrito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w:t>
      </w:r>
      <w:r w:rsidRPr="002C0D19">
        <w:rPr>
          <w:rFonts w:ascii="Arial Narrow" w:hAnsi="Arial Narrow" w:cs="Arial"/>
          <w:color w:val="000000" w:themeColor="text1"/>
          <w:lang w:eastAsia="es-ES"/>
        </w:rPr>
        <w:t xml:space="preserve">sobre </w:t>
      </w:r>
      <w:r w:rsidRPr="002C0D19">
        <w:rPr>
          <w:rFonts w:ascii="Arial Narrow" w:hAnsi="Arial Narrow" w:cs="Arial"/>
          <w:color w:val="000000" w:themeColor="text1"/>
          <w:lang w:val="es-ES" w:eastAsia="es-ES"/>
        </w:rPr>
        <w:t xml:space="preserve">cualquier modificación que afecte los requisitos especiales que llevaron a su admisión como Miembro no Liquidador. </w:t>
      </w:r>
    </w:p>
    <w:p w14:paraId="2B192BBE" w14:textId="77777777" w:rsidR="007968EC" w:rsidRPr="002C0D19" w:rsidRDefault="007968EC" w:rsidP="00DA7472">
      <w:pPr>
        <w:numPr>
          <w:ilvl w:val="0"/>
          <w:numId w:val="233"/>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Comunicar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en el término establecido para el efecto, la información que ésta requiera en virtud de solicitudes de Autoridades Competentes o para la salvaguardia del interés general del mercado, sobre las Operaciones Aceptadas celebradas por cuenta propia, o por cuenta de Terceros.  </w:t>
      </w:r>
    </w:p>
    <w:p w14:paraId="7FAFDC0E" w14:textId="77777777" w:rsidR="007968EC" w:rsidRPr="002C0D19" w:rsidRDefault="007968EC" w:rsidP="00DA7472">
      <w:pPr>
        <w:numPr>
          <w:ilvl w:val="0"/>
          <w:numId w:val="233"/>
        </w:numPr>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Celebrar un Convenio con cada uno de los Miembros Liquidadores Generales a través de los cuales liquidará sus operaciones, según modelo establecido por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el cual deberá incluir las condiciones mínimas establecidas en el Reglamento y presentar a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 xml:space="preserve">los originales de dichos Convenios. </w:t>
      </w:r>
    </w:p>
    <w:p w14:paraId="189A0298" w14:textId="77777777" w:rsidR="00514CE5" w:rsidRDefault="00514CE5" w:rsidP="00DA7472">
      <w:pPr>
        <w:numPr>
          <w:ilvl w:val="0"/>
          <w:numId w:val="233"/>
        </w:numPr>
        <w:tabs>
          <w:tab w:val="left" w:pos="851"/>
        </w:tabs>
        <w:jc w:val="both"/>
        <w:rPr>
          <w:rFonts w:ascii="Arial Narrow" w:hAnsi="Arial Narrow" w:cs="Arial"/>
          <w:color w:val="000000" w:themeColor="text1"/>
          <w:lang w:eastAsia="es-ES"/>
        </w:rPr>
      </w:pPr>
      <w:r>
        <w:rPr>
          <w:rFonts w:ascii="Arial Narrow" w:hAnsi="Arial Narrow" w:cs="Arial"/>
          <w:color w:val="000000" w:themeColor="text1"/>
          <w:lang w:eastAsia="es-ES"/>
        </w:rPr>
        <w:t>Suministrar una Información Mínima a</w:t>
      </w:r>
      <w:r w:rsidRPr="00FB4756">
        <w:rPr>
          <w:rFonts w:ascii="Arial Narrow" w:hAnsi="Arial Narrow" w:cs="Arial"/>
          <w:color w:val="000000" w:themeColor="text1"/>
          <w:lang w:eastAsia="es-ES"/>
        </w:rPr>
        <w:t xml:space="preserve"> cada uno de sus Terceros Identificados y no Identificados, </w:t>
      </w:r>
      <w:r>
        <w:rPr>
          <w:rFonts w:ascii="Arial Narrow" w:hAnsi="Arial Narrow" w:cs="Arial"/>
          <w:color w:val="000000" w:themeColor="text1"/>
          <w:lang w:eastAsia="es-ES"/>
        </w:rPr>
        <w:t>a través de un medio verificable, de conformidad con lo establecido en el Reglamento y la Circular</w:t>
      </w:r>
      <w:r w:rsidRPr="00FB4756">
        <w:rPr>
          <w:rFonts w:ascii="Arial Narrow" w:hAnsi="Arial Narrow" w:cs="Arial"/>
          <w:color w:val="000000" w:themeColor="text1"/>
          <w:lang w:eastAsia="es-ES"/>
        </w:rPr>
        <w:t>.</w:t>
      </w:r>
    </w:p>
    <w:p w14:paraId="67623E49" w14:textId="77777777" w:rsidR="00514CE5" w:rsidRPr="002C0D19" w:rsidRDefault="00514CE5" w:rsidP="00DA7472">
      <w:pPr>
        <w:numPr>
          <w:ilvl w:val="0"/>
          <w:numId w:val="233"/>
        </w:numPr>
        <w:tabs>
          <w:tab w:val="left" w:pos="851"/>
        </w:tabs>
        <w:jc w:val="both"/>
        <w:rPr>
          <w:rFonts w:ascii="Arial Narrow" w:hAnsi="Arial Narrow" w:cs="Arial"/>
          <w:color w:val="000000" w:themeColor="text1"/>
          <w:lang w:eastAsia="es-ES"/>
        </w:rPr>
      </w:pPr>
      <w:bookmarkStart w:id="6572" w:name="_Hlk30497973"/>
      <w:r>
        <w:rPr>
          <w:rFonts w:ascii="Arial Narrow" w:hAnsi="Arial Narrow" w:cs="Arial"/>
          <w:color w:val="000000" w:themeColor="text1"/>
          <w:lang w:eastAsia="es-ES"/>
        </w:rPr>
        <w:t xml:space="preserve">Mantener, en todo momento, a disposición de </w:t>
      </w:r>
      <w:r w:rsidRPr="00921F70">
        <w:rPr>
          <w:rFonts w:ascii="Arial Narrow" w:hAnsi="Arial Narrow" w:cs="Arial"/>
          <w:b/>
          <w:bCs/>
          <w:color w:val="000000" w:themeColor="text1"/>
          <w:lang w:eastAsia="es-ES"/>
        </w:rPr>
        <w:t>LA CRCC</w:t>
      </w:r>
      <w:r>
        <w:rPr>
          <w:rFonts w:ascii="Arial Narrow" w:hAnsi="Arial Narrow" w:cs="Arial"/>
          <w:color w:val="000000" w:themeColor="text1"/>
          <w:lang w:eastAsia="es-ES"/>
        </w:rPr>
        <w:t xml:space="preserve"> una copia del </w:t>
      </w:r>
      <w:r w:rsidRPr="00882A13">
        <w:rPr>
          <w:rFonts w:ascii="Arial Narrow" w:hAnsi="Arial Narrow" w:cs="Arial"/>
          <w:color w:val="000000" w:themeColor="text1"/>
          <w:lang w:eastAsia="es-ES"/>
        </w:rPr>
        <w:t>del suministro de la información mínima proporcionada al Tercero.</w:t>
      </w:r>
    </w:p>
    <w:bookmarkEnd w:id="6572"/>
    <w:p w14:paraId="3EFC51C8" w14:textId="77777777" w:rsidR="00514CE5" w:rsidRPr="00514CE5" w:rsidRDefault="00514CE5" w:rsidP="00DA7472">
      <w:pPr>
        <w:numPr>
          <w:ilvl w:val="0"/>
          <w:numId w:val="233"/>
        </w:numPr>
        <w:tabs>
          <w:tab w:val="left" w:pos="851"/>
        </w:tabs>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Informar a </w:t>
      </w:r>
      <w:r w:rsidRPr="00921F70">
        <w:rPr>
          <w:rFonts w:ascii="Arial Narrow" w:hAnsi="Arial Narrow" w:cs="Arial"/>
          <w:b/>
          <w:bCs/>
          <w:color w:val="000000" w:themeColor="text1"/>
          <w:lang w:eastAsia="es-ES"/>
        </w:rPr>
        <w:t>LA CRCC</w:t>
      </w:r>
      <w:r w:rsidRPr="00FB4756">
        <w:rPr>
          <w:rFonts w:ascii="Arial Narrow" w:hAnsi="Arial Narrow" w:cs="Arial"/>
          <w:color w:val="000000" w:themeColor="text1"/>
          <w:lang w:eastAsia="es-ES"/>
        </w:rPr>
        <w:t xml:space="preserve"> sobre los Convenios que suscriba o termine con cualquier Miembro Liquidador General.</w:t>
      </w:r>
    </w:p>
    <w:p w14:paraId="70DA48A2" w14:textId="77777777" w:rsidR="007968EC" w:rsidRPr="002C0D19" w:rsidRDefault="007968EC" w:rsidP="00DA7472">
      <w:pPr>
        <w:numPr>
          <w:ilvl w:val="0"/>
          <w:numId w:val="233"/>
        </w:numPr>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Entregar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eastAsia="es-ES"/>
        </w:rPr>
        <w:t xml:space="preserve"> a </w:t>
      </w:r>
      <w:r w:rsidRPr="002C0D19">
        <w:rPr>
          <w:rFonts w:ascii="Arial Narrow" w:hAnsi="Arial Narrow" w:cs="Arial"/>
          <w:color w:val="000000" w:themeColor="text1"/>
          <w:lang w:val="es-ES" w:eastAsia="es-ES"/>
        </w:rPr>
        <w:t>los respectivos Miembros Liquidadores Generales</w:t>
      </w:r>
      <w:r w:rsidRPr="002C0D19">
        <w:rPr>
          <w:rFonts w:ascii="Arial Narrow" w:hAnsi="Arial Narrow" w:cs="Arial"/>
          <w:b/>
          <w:color w:val="000000" w:themeColor="text1"/>
          <w:lang w:val="es-ES" w:eastAsia="es-ES"/>
        </w:rPr>
        <w:t>,</w:t>
      </w:r>
      <w:r w:rsidRPr="002C0D19">
        <w:rPr>
          <w:rFonts w:ascii="Arial Narrow" w:hAnsi="Arial Narrow" w:cs="Arial"/>
          <w:color w:val="000000" w:themeColor="text1"/>
          <w:lang w:val="es-ES" w:eastAsia="es-ES"/>
        </w:rPr>
        <w:t xml:space="preserve"> o a las Autoridades Competentes directamente, la información que se le solicite sobre sus Terceros</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 xml:space="preserve">para la atención de requerimientos que las Autoridades Competentes le hagan a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o</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eastAsia="es-ES"/>
        </w:rPr>
        <w:t xml:space="preserve">a </w:t>
      </w:r>
      <w:r w:rsidRPr="002C0D19">
        <w:rPr>
          <w:rFonts w:ascii="Arial Narrow" w:hAnsi="Arial Narrow" w:cs="Arial"/>
          <w:color w:val="000000" w:themeColor="text1"/>
          <w:lang w:val="es-ES" w:eastAsia="es-ES"/>
        </w:rPr>
        <w:t>los respectivos Miembros Liquidadores Generales.</w:t>
      </w:r>
    </w:p>
    <w:p w14:paraId="01216D09" w14:textId="77777777" w:rsidR="007968EC" w:rsidRPr="002C0D19" w:rsidRDefault="007968EC" w:rsidP="00DA7472">
      <w:pPr>
        <w:numPr>
          <w:ilvl w:val="0"/>
          <w:numId w:val="233"/>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Entregar </w:t>
      </w:r>
      <w:r w:rsidRPr="002C0D19">
        <w:rPr>
          <w:rFonts w:ascii="Arial Narrow" w:hAnsi="Arial Narrow" w:cs="Arial"/>
          <w:color w:val="000000" w:themeColor="text1"/>
          <w:lang w:eastAsia="es-ES"/>
        </w:rPr>
        <w:t xml:space="preserve">a sus Miembros Liquidadores Generales </w:t>
      </w:r>
      <w:r w:rsidRPr="002C0D19">
        <w:rPr>
          <w:rFonts w:ascii="Arial Narrow" w:hAnsi="Arial Narrow" w:cs="Arial"/>
          <w:color w:val="000000" w:themeColor="text1"/>
          <w:lang w:val="es-ES" w:eastAsia="es-ES"/>
        </w:rPr>
        <w:t>los dineros o los Activos que le corresponda entregar, en virtud de las operaciones realizadas por su cuenta o por cuenta de sus Terceros.</w:t>
      </w:r>
    </w:p>
    <w:p w14:paraId="7A60A13F" w14:textId="77777777" w:rsidR="007968EC" w:rsidRPr="002C0D19" w:rsidRDefault="007968EC" w:rsidP="00DA7472">
      <w:pPr>
        <w:numPr>
          <w:ilvl w:val="0"/>
          <w:numId w:val="233"/>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Constituir y mantener, con los ajustes procedentes, las Garantías y a constituir mantener y reponer las Garantías a través de aportaciones al Fondo de Garantía Colectiva, las Contribuciones obligatorias para la continuidad del servicio del Segmento o Segmentos en que participe y los demás fondos que exija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con el fin de amparar en todo momento el cumplimiento de sus obligaciones. </w:t>
      </w:r>
    </w:p>
    <w:p w14:paraId="6816E9D1" w14:textId="77777777" w:rsidR="007968EC" w:rsidRPr="002C0D19" w:rsidRDefault="007968EC" w:rsidP="00DA7472">
      <w:pPr>
        <w:numPr>
          <w:ilvl w:val="0"/>
          <w:numId w:val="233"/>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Obtener de sus Terceros las Garantías que corresponda y entregar dichas Garantías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con las particularidades que se establezcan por Circular para cada Segmento, en los términos establecidos en el Reglamento. </w:t>
      </w:r>
    </w:p>
    <w:p w14:paraId="5214ECF0" w14:textId="77777777" w:rsidR="007968EC" w:rsidRPr="002C0D19" w:rsidRDefault="007968EC" w:rsidP="00DA7472">
      <w:pPr>
        <w:numPr>
          <w:ilvl w:val="0"/>
          <w:numId w:val="233"/>
        </w:num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Cumplir con las obligaciones adquiridas con cada uno de sus Miembros Liquidadores Generales y mantener en todo momento los niveles de solvencia y los estándares operativos que estos le exijan.</w:t>
      </w:r>
    </w:p>
    <w:p w14:paraId="07D29041" w14:textId="77777777" w:rsidR="007968EC" w:rsidRPr="002C0D19" w:rsidRDefault="007968EC" w:rsidP="00DA7472">
      <w:pPr>
        <w:numPr>
          <w:ilvl w:val="0"/>
          <w:numId w:val="233"/>
        </w:num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Responder frente a sus Miembros Liquidadores Generales por el cumplimiento de las obligaciones resultantes de Operaciones Aceptadas por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celebradas por cuenta propia o por cuenta de sus Terceros.  </w:t>
      </w:r>
    </w:p>
    <w:p w14:paraId="33F4B1A8" w14:textId="77777777" w:rsidR="007968EC" w:rsidRPr="002C0D19" w:rsidRDefault="007968EC" w:rsidP="00DA7472">
      <w:pPr>
        <w:numPr>
          <w:ilvl w:val="0"/>
          <w:numId w:val="233"/>
        </w:numPr>
        <w:jc w:val="both"/>
        <w:rPr>
          <w:rFonts w:ascii="Arial Narrow" w:hAnsi="Arial Narrow" w:cs="Arial"/>
          <w:color w:val="000000" w:themeColor="text1"/>
          <w:lang w:val="es-ES" w:eastAsia="es-ES"/>
        </w:rPr>
      </w:pPr>
      <w:r w:rsidRPr="002C0D19">
        <w:rPr>
          <w:rFonts w:ascii="Arial Narrow" w:hAnsi="Arial Narrow" w:cs="Arial"/>
          <w:color w:val="000000" w:themeColor="text1"/>
          <w:lang w:eastAsia="es-ES"/>
        </w:rPr>
        <w:t>Responder de forma oportuna y en los plazos establecidos para tal efecto, por el cumplimiento y/o pago</w:t>
      </w:r>
      <w:r w:rsidRPr="002C0D19">
        <w:rPr>
          <w:rFonts w:ascii="Arial Narrow" w:hAnsi="Arial Narrow" w:cs="Arial"/>
          <w:b/>
          <w:color w:val="000000" w:themeColor="text1"/>
          <w:lang w:eastAsia="es-ES"/>
        </w:rPr>
        <w:t xml:space="preserve"> </w:t>
      </w:r>
      <w:r w:rsidRPr="002C0D19">
        <w:rPr>
          <w:rFonts w:ascii="Arial Narrow" w:hAnsi="Arial Narrow" w:cs="Arial"/>
          <w:color w:val="000000" w:themeColor="text1"/>
          <w:lang w:eastAsia="es-ES"/>
        </w:rPr>
        <w:t xml:space="preserve">de todas las obligaciones y sumas inherentes </w:t>
      </w:r>
      <w:r w:rsidRPr="002C0D19">
        <w:rPr>
          <w:rFonts w:ascii="Arial Narrow" w:hAnsi="Arial Narrow" w:cs="Arial"/>
          <w:color w:val="000000" w:themeColor="text1"/>
          <w:lang w:val="es-ES" w:eastAsia="es-ES"/>
        </w:rPr>
        <w:t>a las Operaciones</w:t>
      </w:r>
      <w:r w:rsidRPr="002C0D19">
        <w:rPr>
          <w:rFonts w:ascii="Arial Narrow" w:hAnsi="Arial Narrow" w:cs="Arial"/>
          <w:i/>
          <w:color w:val="000000" w:themeColor="text1"/>
          <w:lang w:val="es-ES" w:eastAsia="es-ES"/>
        </w:rPr>
        <w:t xml:space="preserve"> </w:t>
      </w:r>
      <w:r w:rsidRPr="002C0D19">
        <w:rPr>
          <w:rFonts w:ascii="Arial Narrow" w:hAnsi="Arial Narrow" w:cs="Arial"/>
          <w:color w:val="000000" w:themeColor="text1"/>
          <w:lang w:val="es-ES" w:eastAsia="es-ES"/>
        </w:rPr>
        <w:t xml:space="preserve">Aceptadas por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ya sean por cuenta propia o por cuenta de sus Terceros. </w:t>
      </w:r>
    </w:p>
    <w:p w14:paraId="4D503BAB" w14:textId="77777777" w:rsidR="007968EC" w:rsidRPr="002C0D19" w:rsidRDefault="007968EC" w:rsidP="00DA7472">
      <w:pPr>
        <w:numPr>
          <w:ilvl w:val="0"/>
          <w:numId w:val="233"/>
        </w:numPr>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Mantener la cuenta de depósito de la que es titular directo en el Banco de la República, o a través de un Agente de Pago, para la realización de los cobros y pagos relativos a las liquidaciones de las Operaciones Aceptadas. </w:t>
      </w:r>
    </w:p>
    <w:p w14:paraId="1A0DED75" w14:textId="77777777" w:rsidR="007968EC" w:rsidRPr="002C0D19" w:rsidRDefault="007968EC" w:rsidP="00DA7472">
      <w:pPr>
        <w:numPr>
          <w:ilvl w:val="0"/>
          <w:numId w:val="233"/>
        </w:numPr>
        <w:jc w:val="both"/>
        <w:rPr>
          <w:rFonts w:ascii="Arial Narrow" w:hAnsi="Arial Narrow" w:cs="Arial"/>
          <w:color w:val="000000" w:themeColor="text1"/>
          <w:lang w:val="es-ES" w:eastAsia="es-ES"/>
        </w:rPr>
      </w:pPr>
      <w:r w:rsidRPr="002C0D19">
        <w:rPr>
          <w:rFonts w:ascii="Arial Narrow" w:hAnsi="Arial Narrow" w:cs="Arial"/>
          <w:color w:val="000000" w:themeColor="text1"/>
          <w:lang w:eastAsia="es-ES"/>
        </w:rPr>
        <w:t>Mantener</w:t>
      </w:r>
      <w:r w:rsidRPr="002C0D19">
        <w:rPr>
          <w:rFonts w:ascii="Arial Narrow" w:hAnsi="Arial Narrow" w:cs="Arial"/>
          <w:color w:val="000000" w:themeColor="text1"/>
          <w:lang w:val="es-ES" w:eastAsia="es-ES"/>
        </w:rPr>
        <w:t xml:space="preserve"> </w:t>
      </w:r>
      <w:r w:rsidRPr="002C0D19">
        <w:rPr>
          <w:rFonts w:ascii="Arial Narrow" w:hAnsi="Arial Narrow" w:cs="Arial"/>
          <w:color w:val="000000" w:themeColor="text1"/>
          <w:lang w:eastAsia="es-ES"/>
        </w:rPr>
        <w:t xml:space="preserve">las cuentas de depósito de las que es titular en calidad de Depositante Directo, o a través de un Agente Custodio, en los depósitos centralizados de valores que corresponda. </w:t>
      </w:r>
    </w:p>
    <w:p w14:paraId="235B6F48" w14:textId="77777777" w:rsidR="007968EC" w:rsidRPr="002C0D19" w:rsidRDefault="007968EC" w:rsidP="00DA7472">
      <w:pPr>
        <w:numPr>
          <w:ilvl w:val="0"/>
          <w:numId w:val="233"/>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lastRenderedPageBreak/>
        <w:t xml:space="preserve">En caso de incumplimiento de las obligaciones a cargo de alguno de los Terceros por cuenta de los cuales actúe,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deberá informar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y </w:t>
      </w:r>
      <w:r w:rsidRPr="002C0D19">
        <w:rPr>
          <w:rFonts w:ascii="Arial Narrow" w:hAnsi="Arial Narrow" w:cs="Arial"/>
          <w:color w:val="000000" w:themeColor="text1"/>
          <w:lang w:eastAsia="es-ES"/>
        </w:rPr>
        <w:t xml:space="preserve">a los respectivos Miembros Liquidadores Generales, </w:t>
      </w:r>
      <w:r w:rsidRPr="002C0D19">
        <w:rPr>
          <w:rFonts w:ascii="Arial Narrow" w:hAnsi="Arial Narrow" w:cs="Arial"/>
          <w:color w:val="000000" w:themeColor="text1"/>
          <w:lang w:val="es-ES" w:eastAsia="es-ES"/>
        </w:rPr>
        <w:t xml:space="preserve">de tal situación de forma inmediata y por los medios establecidos por la misma. </w:t>
      </w:r>
    </w:p>
    <w:p w14:paraId="05C8E577" w14:textId="77777777" w:rsidR="007968EC" w:rsidRPr="002C0D19" w:rsidRDefault="007968EC" w:rsidP="00DA7472">
      <w:pPr>
        <w:numPr>
          <w:ilvl w:val="0"/>
          <w:numId w:val="233"/>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Facilitar las actividades de comprobación de requisitos, cumplimiento de obligaciones o similares, que lleve a cabo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 xml:space="preserve">en desarrollo de sus funciones. </w:t>
      </w:r>
    </w:p>
    <w:p w14:paraId="0717C493" w14:textId="77777777" w:rsidR="007968EC" w:rsidRPr="002C0D19" w:rsidRDefault="007968EC" w:rsidP="00DA7472">
      <w:pPr>
        <w:numPr>
          <w:ilvl w:val="0"/>
          <w:numId w:val="233"/>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Cumplir sus obligaciones pendientes y, en su caso, las de sus Terceros, para con </w:t>
      </w:r>
      <w:r w:rsidRPr="002C0D19">
        <w:rPr>
          <w:rFonts w:ascii="Arial Narrow" w:hAnsi="Arial Narrow" w:cs="Arial"/>
          <w:color w:val="000000" w:themeColor="text1"/>
          <w:lang w:eastAsia="es-ES"/>
        </w:rPr>
        <w:t>los respectivos Miembros Liquidadores Generales</w:t>
      </w:r>
      <w:r w:rsidRPr="002C0D19">
        <w:rPr>
          <w:rFonts w:ascii="Arial Narrow" w:hAnsi="Arial Narrow" w:cs="Arial"/>
          <w:color w:val="000000" w:themeColor="text1"/>
          <w:lang w:val="es-ES" w:eastAsia="es-ES"/>
        </w:rPr>
        <w:t xml:space="preserve">, y/o para con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 xml:space="preserve">incluso después de cesar, por cualquier causa, como Miembro no Liquidador. </w:t>
      </w:r>
    </w:p>
    <w:p w14:paraId="35DCF3AD" w14:textId="77777777" w:rsidR="007968EC" w:rsidRPr="002C0D19" w:rsidRDefault="007968EC" w:rsidP="00DA7472">
      <w:pPr>
        <w:numPr>
          <w:ilvl w:val="0"/>
          <w:numId w:val="233"/>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Responder frente a </w:t>
      </w:r>
      <w:r w:rsidRPr="002C0D19">
        <w:rPr>
          <w:rFonts w:ascii="Arial Narrow" w:hAnsi="Arial Narrow" w:cs="Arial"/>
          <w:color w:val="000000" w:themeColor="text1"/>
          <w:lang w:eastAsia="es-ES"/>
        </w:rPr>
        <w:t>los respectivos Miembros Liquidadores Generales</w:t>
      </w:r>
      <w:r w:rsidRPr="002C0D19">
        <w:rPr>
          <w:rFonts w:ascii="Arial Narrow" w:hAnsi="Arial Narrow" w:cs="Arial"/>
          <w:color w:val="000000" w:themeColor="text1"/>
          <w:lang w:val="es-ES" w:eastAsia="es-ES"/>
        </w:rPr>
        <w:t xml:space="preserve"> y frente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por la constitución y mantenimiento, con los ajustes procedentes, de las Garantías de sus Terceros. En el evento en que uno de sus Terceros no constituya las Garantías mencionadas,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se obliga a constituirlas y mantenerlas con los ajustes procedentes.</w:t>
      </w:r>
    </w:p>
    <w:p w14:paraId="787CF721" w14:textId="77777777" w:rsidR="007968EC" w:rsidRPr="002C0D19" w:rsidRDefault="007968EC" w:rsidP="00DA7472">
      <w:pPr>
        <w:numPr>
          <w:ilvl w:val="0"/>
          <w:numId w:val="233"/>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Entregar a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 xml:space="preserve">y/o a los Miembros Liquidadores Generales la información que éstos soliciten en cumplimiento de sus funciones. </w:t>
      </w:r>
    </w:p>
    <w:p w14:paraId="6D21B189" w14:textId="77777777" w:rsidR="007968EC" w:rsidRPr="002C0D19" w:rsidRDefault="007968EC" w:rsidP="00DA7472">
      <w:pPr>
        <w:numPr>
          <w:ilvl w:val="0"/>
          <w:numId w:val="233"/>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Cumplir en todo momento con las especificaciones técnicas establecidas por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w:t>
      </w:r>
    </w:p>
    <w:p w14:paraId="40A4BB0C" w14:textId="77777777" w:rsidR="007968EC" w:rsidRPr="002C0D19" w:rsidRDefault="007968EC" w:rsidP="00DA7472">
      <w:pPr>
        <w:numPr>
          <w:ilvl w:val="0"/>
          <w:numId w:val="233"/>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En caso de ser titular de una </w:t>
      </w:r>
      <w:r>
        <w:rPr>
          <w:rFonts w:ascii="Arial Narrow" w:hAnsi="Arial Narrow" w:cs="Arial"/>
          <w:color w:val="000000" w:themeColor="text1"/>
          <w:lang w:val="es-ES" w:eastAsia="es-ES"/>
        </w:rPr>
        <w:t>C</w:t>
      </w:r>
      <w:r w:rsidRPr="002C0D19">
        <w:rPr>
          <w:rFonts w:ascii="Arial Narrow" w:hAnsi="Arial Narrow" w:cs="Arial"/>
          <w:color w:val="000000" w:themeColor="text1"/>
          <w:lang w:val="es-ES" w:eastAsia="es-ES"/>
        </w:rPr>
        <w:t xml:space="preserve">uenta de Tercero </w:t>
      </w:r>
      <w:r>
        <w:rPr>
          <w:rFonts w:ascii="Arial Narrow" w:hAnsi="Arial Narrow" w:cs="Arial"/>
          <w:color w:val="000000" w:themeColor="text1"/>
          <w:lang w:val="es-ES" w:eastAsia="es-ES"/>
        </w:rPr>
        <w:t>Ómnibus Segregada por Miembro</w:t>
      </w:r>
      <w:r w:rsidRPr="002C0D19">
        <w:rPr>
          <w:rFonts w:ascii="Arial Narrow" w:hAnsi="Arial Narrow" w:cs="Arial"/>
          <w:color w:val="000000" w:themeColor="text1"/>
          <w:lang w:val="es-ES" w:eastAsia="es-ES"/>
        </w:rPr>
        <w:t xml:space="preserve">, determinar el beneficiario efectivo de las Operaciones Aceptadas por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y mantener a disposición de la misma y de las Autoridades Competentes, el registro detallado e individualizado de todas las operaciones, posiciones y las Garantías correspondientes a cada uno de los Terceros no Identificados</w:t>
      </w:r>
      <w:r w:rsidRPr="002C0D19">
        <w:rPr>
          <w:rFonts w:ascii="Arial Narrow" w:hAnsi="Arial Narrow" w:cs="Arial"/>
          <w:b/>
          <w:color w:val="000000" w:themeColor="text1"/>
          <w:lang w:val="es-ES" w:eastAsia="es-ES"/>
        </w:rPr>
        <w:t>.</w:t>
      </w:r>
    </w:p>
    <w:p w14:paraId="0AA892F4" w14:textId="77777777" w:rsidR="007968EC" w:rsidRPr="002C0D19" w:rsidRDefault="007968EC" w:rsidP="00DA7472">
      <w:pPr>
        <w:numPr>
          <w:ilvl w:val="0"/>
          <w:numId w:val="233"/>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Entregar a sus Terceros los Activos y dineros correspondientes a las Operaciones Aceptadas.</w:t>
      </w:r>
    </w:p>
    <w:p w14:paraId="001A5B15" w14:textId="77777777" w:rsidR="007968EC" w:rsidRPr="002C0D19" w:rsidRDefault="007968EC" w:rsidP="00DA7472">
      <w:pPr>
        <w:numPr>
          <w:ilvl w:val="0"/>
          <w:numId w:val="233"/>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Responder ante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por el adecuado manejo de las claves de acceso al Sistema que hagan sus operadores, funcionarios o cualquier persona bajo su dependencia. </w:t>
      </w:r>
    </w:p>
    <w:p w14:paraId="0E24F033" w14:textId="77777777" w:rsidR="00514CE5" w:rsidRDefault="007968EC" w:rsidP="00DA7472">
      <w:pPr>
        <w:numPr>
          <w:ilvl w:val="0"/>
          <w:numId w:val="233"/>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Abstenerse se efectuar operaciones con instrumentos financieros derivados que impliquen la transferencia de propiedad de un número de acciones para cuya adquisición deba efectuarse oferta pública, de conformidad con lo dispuesto en el artículo 6.15.2.1 del Decreto 2555 de 2010 y demás normas que lo modifiquen o sustituyan.</w:t>
      </w:r>
    </w:p>
    <w:p w14:paraId="3A1F9784" w14:textId="77777777" w:rsidR="00514CE5" w:rsidRDefault="007968EC" w:rsidP="00DA7472">
      <w:pPr>
        <w:numPr>
          <w:ilvl w:val="0"/>
          <w:numId w:val="233"/>
        </w:numPr>
        <w:jc w:val="both"/>
        <w:rPr>
          <w:rFonts w:ascii="Arial Narrow" w:hAnsi="Arial Narrow" w:cs="Arial"/>
          <w:color w:val="000000" w:themeColor="text1"/>
          <w:lang w:val="es-ES" w:eastAsia="es-ES"/>
        </w:rPr>
      </w:pPr>
      <w:r w:rsidRPr="00514CE5">
        <w:rPr>
          <w:rFonts w:ascii="Arial Narrow" w:hAnsi="Arial Narrow" w:cs="Arial"/>
          <w:color w:val="000000" w:themeColor="text1"/>
          <w:lang w:eastAsia="es-ES"/>
        </w:rPr>
        <w:t xml:space="preserve">Abstenerse de realizar cualquier acto que afecte la eficiencia, seguridad, integridad y confiabilidad de </w:t>
      </w:r>
      <w:r w:rsidRPr="00514CE5">
        <w:rPr>
          <w:rFonts w:ascii="Arial Narrow" w:hAnsi="Arial Narrow" w:cs="Arial"/>
          <w:b/>
          <w:color w:val="000000" w:themeColor="text1"/>
          <w:lang w:eastAsia="es-ES"/>
        </w:rPr>
        <w:t>LA CRCC</w:t>
      </w:r>
      <w:r w:rsidRPr="00514CE5">
        <w:rPr>
          <w:rFonts w:ascii="Arial Narrow" w:hAnsi="Arial Narrow" w:cs="Arial"/>
          <w:color w:val="000000" w:themeColor="text1"/>
          <w:lang w:eastAsia="es-ES"/>
        </w:rPr>
        <w:t>.</w:t>
      </w:r>
    </w:p>
    <w:p w14:paraId="690473A1" w14:textId="77777777" w:rsidR="007968EC" w:rsidRPr="00514CE5" w:rsidRDefault="007968EC" w:rsidP="00DA7472">
      <w:pPr>
        <w:numPr>
          <w:ilvl w:val="0"/>
          <w:numId w:val="233"/>
        </w:numPr>
        <w:jc w:val="both"/>
        <w:rPr>
          <w:rFonts w:ascii="Arial Narrow" w:hAnsi="Arial Narrow" w:cs="Arial"/>
          <w:color w:val="000000" w:themeColor="text1"/>
          <w:lang w:val="es-ES" w:eastAsia="es-ES"/>
        </w:rPr>
      </w:pPr>
      <w:r w:rsidRPr="00514CE5">
        <w:rPr>
          <w:rFonts w:ascii="Arial Narrow" w:hAnsi="Arial Narrow" w:cs="Arial"/>
          <w:color w:val="000000" w:themeColor="text1"/>
          <w:lang w:eastAsia="es-ES"/>
        </w:rPr>
        <w:t xml:space="preserve">Informar a </w:t>
      </w:r>
      <w:r w:rsidRPr="00514CE5">
        <w:rPr>
          <w:rFonts w:ascii="Arial Narrow" w:hAnsi="Arial Narrow" w:cs="Arial"/>
          <w:b/>
          <w:color w:val="000000" w:themeColor="text1"/>
          <w:lang w:eastAsia="es-ES"/>
        </w:rPr>
        <w:t>LA CRCC</w:t>
      </w:r>
      <w:r w:rsidRPr="00514CE5">
        <w:rPr>
          <w:rFonts w:ascii="Arial Narrow" w:hAnsi="Arial Narrow" w:cs="Arial"/>
          <w:color w:val="000000" w:themeColor="text1"/>
          <w:lang w:eastAsia="es-ES"/>
        </w:rPr>
        <w:t xml:space="preserve"> de cualquier hecho o situación que atente contra la transparencia y seguridad del Sistema.</w:t>
      </w:r>
    </w:p>
    <w:p w14:paraId="6AD4E13F" w14:textId="77777777" w:rsidR="007968EC" w:rsidRPr="002C0D19" w:rsidRDefault="007968EC" w:rsidP="007968EC">
      <w:pPr>
        <w:jc w:val="both"/>
        <w:rPr>
          <w:rFonts w:ascii="Arial Narrow" w:hAnsi="Arial Narrow" w:cs="Arial"/>
          <w:b/>
          <w:bCs/>
          <w:color w:val="000000" w:themeColor="text1"/>
          <w:u w:val="single"/>
          <w:lang w:val="es-ES" w:eastAsia="es-ES"/>
        </w:rPr>
      </w:pPr>
    </w:p>
    <w:p w14:paraId="03D20E19" w14:textId="77777777" w:rsidR="007968EC" w:rsidRPr="002C0D19" w:rsidRDefault="007968EC" w:rsidP="007968EC">
      <w:pPr>
        <w:jc w:val="both"/>
        <w:rPr>
          <w:rFonts w:ascii="Arial Narrow" w:hAnsi="Arial Narrow" w:cs="Arial"/>
          <w:bCs/>
          <w:color w:val="000000" w:themeColor="text1"/>
          <w:lang w:eastAsia="es-ES"/>
        </w:rPr>
      </w:pPr>
      <w:r w:rsidRPr="002C0D19">
        <w:rPr>
          <w:rFonts w:ascii="Arial Narrow" w:hAnsi="Arial Narrow" w:cs="Arial"/>
          <w:b/>
          <w:bCs/>
          <w:color w:val="000000" w:themeColor="text1"/>
          <w:u w:val="single"/>
          <w:lang w:val="es-ES" w:eastAsia="es-ES"/>
        </w:rPr>
        <w:t>CUARTA. Obligaciones de la CRCC.</w:t>
      </w:r>
      <w:r w:rsidRPr="002C0D19">
        <w:rPr>
          <w:rFonts w:ascii="Arial Narrow" w:hAnsi="Arial Narrow" w:cs="Arial"/>
          <w:color w:val="000000" w:themeColor="text1"/>
          <w:lang w:val="es-ES" w:eastAsia="es-ES"/>
        </w:rPr>
        <w:t>  Sin perjuicio</w:t>
      </w:r>
      <w:r w:rsidRPr="002C0D19">
        <w:rPr>
          <w:rFonts w:ascii="Arial Narrow" w:hAnsi="Arial Narrow" w:cs="Arial"/>
          <w:b/>
          <w:color w:val="000000" w:themeColor="text1"/>
          <w:lang w:val="es-ES" w:eastAsia="es-ES"/>
        </w:rPr>
        <w:t xml:space="preserve"> </w:t>
      </w:r>
      <w:r w:rsidRPr="002C0D19">
        <w:rPr>
          <w:rFonts w:ascii="Arial Narrow" w:hAnsi="Arial Narrow" w:cs="Arial"/>
          <w:bCs/>
          <w:color w:val="000000" w:themeColor="text1"/>
          <w:lang w:eastAsia="es-ES"/>
        </w:rPr>
        <w:t xml:space="preserve">de las obligaciones previstas en las demás cláusulas de la presente Oferta, en el </w:t>
      </w:r>
      <w:r w:rsidRPr="002C0D19">
        <w:rPr>
          <w:rFonts w:ascii="Arial Narrow" w:hAnsi="Arial Narrow" w:cs="Arial"/>
          <w:color w:val="000000" w:themeColor="text1"/>
          <w:lang w:val="es-ES" w:eastAsia="es-ES"/>
        </w:rPr>
        <w:t xml:space="preserve">Reglamento, las Circulares y los Instructivos Operativos de </w:t>
      </w:r>
      <w:r w:rsidRPr="002C0D19">
        <w:rPr>
          <w:rFonts w:ascii="Arial Narrow" w:hAnsi="Arial Narrow" w:cs="Arial"/>
          <w:b/>
          <w:color w:val="000000" w:themeColor="text1"/>
          <w:lang w:val="es-ES" w:eastAsia="es-ES"/>
        </w:rPr>
        <w:t>LA CRCC,</w:t>
      </w:r>
      <w:r w:rsidRPr="002C0D19">
        <w:rPr>
          <w:rFonts w:ascii="Arial Narrow" w:hAnsi="Arial Narrow" w:cs="Arial"/>
          <w:bCs/>
          <w:color w:val="000000" w:themeColor="text1"/>
          <w:lang w:eastAsia="es-ES"/>
        </w:rPr>
        <w:t xml:space="preserve"> son obligaciones principales de </w:t>
      </w:r>
      <w:r w:rsidRPr="002C0D19">
        <w:rPr>
          <w:rFonts w:ascii="Arial Narrow" w:hAnsi="Arial Narrow" w:cs="Arial"/>
          <w:b/>
          <w:bCs/>
          <w:color w:val="000000" w:themeColor="text1"/>
          <w:lang w:eastAsia="es-ES"/>
        </w:rPr>
        <w:t xml:space="preserve">LA CRCC, </w:t>
      </w:r>
      <w:r w:rsidRPr="002C0D19">
        <w:rPr>
          <w:rFonts w:ascii="Arial Narrow" w:hAnsi="Arial Narrow" w:cs="Arial"/>
          <w:bCs/>
          <w:color w:val="000000" w:themeColor="text1"/>
          <w:lang w:eastAsia="es-ES"/>
        </w:rPr>
        <w:t>las siguientes:</w:t>
      </w:r>
    </w:p>
    <w:p w14:paraId="2C739140" w14:textId="77777777" w:rsidR="007968EC" w:rsidRPr="002C0D19" w:rsidRDefault="007968EC" w:rsidP="007968EC">
      <w:pPr>
        <w:jc w:val="both"/>
        <w:rPr>
          <w:rFonts w:ascii="Arial Narrow" w:hAnsi="Arial Narrow" w:cs="Arial"/>
          <w:color w:val="000000" w:themeColor="text1"/>
          <w:lang w:val="es-ES" w:eastAsia="es-ES"/>
        </w:rPr>
      </w:pPr>
    </w:p>
    <w:p w14:paraId="6898189E" w14:textId="77777777" w:rsidR="007968EC" w:rsidRPr="002C0D19" w:rsidRDefault="007968EC" w:rsidP="00DA7472">
      <w:pPr>
        <w:numPr>
          <w:ilvl w:val="0"/>
          <w:numId w:val="34"/>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Reconocer a </w:t>
      </w:r>
      <w:r w:rsidRPr="002C0D19">
        <w:rPr>
          <w:rFonts w:ascii="Arial Narrow" w:hAnsi="Arial Narrow" w:cs="Arial"/>
          <w:b/>
          <w:color w:val="000000" w:themeColor="text1"/>
          <w:lang w:val="es-ES" w:eastAsia="es-ES"/>
        </w:rPr>
        <w:t>EL</w:t>
      </w:r>
      <w:r w:rsidRPr="002C0D19">
        <w:rPr>
          <w:rFonts w:ascii="Arial Narrow" w:hAnsi="Arial Narrow" w:cs="Arial"/>
          <w:color w:val="000000" w:themeColor="text1"/>
          <w:lang w:val="es-ES" w:eastAsia="es-ES"/>
        </w:rPr>
        <w:t xml:space="preserve"> </w:t>
      </w:r>
      <w:r w:rsidRPr="002C0D19">
        <w:rPr>
          <w:rFonts w:ascii="Arial Narrow" w:hAnsi="Arial Narrow" w:cs="Arial"/>
          <w:b/>
          <w:color w:val="000000" w:themeColor="text1"/>
          <w:lang w:val="es-ES" w:eastAsia="es-ES"/>
        </w:rPr>
        <w:t>MIEMBRO</w:t>
      </w:r>
      <w:r w:rsidRPr="002C0D19">
        <w:rPr>
          <w:rFonts w:ascii="Arial Narrow" w:hAnsi="Arial Narrow" w:cs="Arial"/>
          <w:color w:val="000000" w:themeColor="text1"/>
          <w:lang w:val="es-ES" w:eastAsia="es-ES"/>
        </w:rPr>
        <w:t xml:space="preserve"> el derecho a actuar como Miembro no Liquidador, conforme a las estipulaciones de la presente oferta. </w:t>
      </w:r>
    </w:p>
    <w:p w14:paraId="2DF55378" w14:textId="77777777" w:rsidR="007968EC" w:rsidRPr="002C0D19" w:rsidRDefault="007968EC" w:rsidP="00DA7472">
      <w:pPr>
        <w:numPr>
          <w:ilvl w:val="0"/>
          <w:numId w:val="34"/>
        </w:numPr>
        <w:jc w:val="both"/>
        <w:rPr>
          <w:rFonts w:ascii="Arial Narrow" w:hAnsi="Arial Narrow" w:cs="Arial"/>
          <w:color w:val="000000" w:themeColor="text1"/>
          <w:lang w:val="es-ES" w:eastAsia="es-ES"/>
        </w:rPr>
      </w:pPr>
      <w:r w:rsidRPr="002C0D19">
        <w:rPr>
          <w:rFonts w:ascii="Arial Narrow" w:hAnsi="Arial Narrow" w:cs="Arial"/>
          <w:color w:val="000000" w:themeColor="text1"/>
          <w:spacing w:val="-3"/>
          <w:lang w:eastAsia="es-ES"/>
        </w:rPr>
        <w:t xml:space="preserve">Informar a </w:t>
      </w:r>
      <w:r w:rsidRPr="002C0D19">
        <w:rPr>
          <w:rFonts w:ascii="Arial Narrow" w:hAnsi="Arial Narrow" w:cs="Arial"/>
          <w:b/>
          <w:color w:val="000000" w:themeColor="text1"/>
          <w:spacing w:val="-3"/>
          <w:lang w:eastAsia="es-ES"/>
        </w:rPr>
        <w:t>EL</w:t>
      </w:r>
      <w:r w:rsidRPr="002C0D19">
        <w:rPr>
          <w:rFonts w:ascii="Arial Narrow" w:hAnsi="Arial Narrow" w:cs="Arial"/>
          <w:color w:val="000000" w:themeColor="text1"/>
          <w:spacing w:val="-3"/>
          <w:lang w:eastAsia="es-ES"/>
        </w:rPr>
        <w:t xml:space="preserve"> </w:t>
      </w:r>
      <w:r w:rsidRPr="002C0D19">
        <w:rPr>
          <w:rFonts w:ascii="Arial Narrow" w:hAnsi="Arial Narrow" w:cs="Arial"/>
          <w:b/>
          <w:color w:val="000000" w:themeColor="text1"/>
          <w:spacing w:val="-3"/>
          <w:lang w:eastAsia="es-ES"/>
        </w:rPr>
        <w:t>MIEMBRO</w:t>
      </w:r>
      <w:r w:rsidRPr="002C0D19">
        <w:rPr>
          <w:rFonts w:ascii="Arial Narrow" w:hAnsi="Arial Narrow" w:cs="Arial"/>
          <w:color w:val="000000" w:themeColor="text1"/>
          <w:spacing w:val="-3"/>
          <w:lang w:eastAsia="es-ES"/>
        </w:rPr>
        <w:t xml:space="preserve"> sobre el estado de sus cuentas, de acuerdo con lo establecido en el Reglamento y demás normas aplicables. </w:t>
      </w:r>
    </w:p>
    <w:p w14:paraId="378FF5EA" w14:textId="77777777" w:rsidR="007968EC" w:rsidRPr="002C0D19" w:rsidRDefault="007968EC" w:rsidP="00DA7472">
      <w:pPr>
        <w:numPr>
          <w:ilvl w:val="0"/>
          <w:numId w:val="34"/>
        </w:numPr>
        <w:ind w:right="-42"/>
        <w:jc w:val="both"/>
        <w:rPr>
          <w:rFonts w:ascii="Arial Narrow" w:hAnsi="Arial Narrow" w:cs="Arial"/>
          <w:color w:val="000000" w:themeColor="text1"/>
          <w:spacing w:val="-3"/>
          <w:lang w:eastAsia="es-ES"/>
        </w:rPr>
      </w:pPr>
      <w:r w:rsidRPr="002C0D19">
        <w:rPr>
          <w:rFonts w:ascii="Arial Narrow" w:hAnsi="Arial Narrow" w:cs="Arial"/>
          <w:color w:val="000000" w:themeColor="text1"/>
          <w:spacing w:val="-3"/>
          <w:lang w:eastAsia="es-ES"/>
        </w:rPr>
        <w:t>Compensar y liquidar las Operaciones</w:t>
      </w:r>
      <w:r w:rsidRPr="002C0D19">
        <w:rPr>
          <w:rFonts w:ascii="Arial Narrow" w:hAnsi="Arial Narrow" w:cs="Arial"/>
          <w:i/>
          <w:color w:val="000000" w:themeColor="text1"/>
          <w:spacing w:val="-3"/>
          <w:lang w:eastAsia="es-ES"/>
        </w:rPr>
        <w:t xml:space="preserve"> </w:t>
      </w:r>
      <w:r w:rsidRPr="002C0D19">
        <w:rPr>
          <w:rFonts w:ascii="Arial Narrow" w:hAnsi="Arial Narrow" w:cs="Arial"/>
          <w:color w:val="000000" w:themeColor="text1"/>
          <w:spacing w:val="-3"/>
          <w:lang w:eastAsia="es-ES"/>
        </w:rPr>
        <w:t xml:space="preserve">Aceptadas celebradas tanto por </w:t>
      </w:r>
      <w:r w:rsidRPr="002C0D19">
        <w:rPr>
          <w:rFonts w:ascii="Arial Narrow" w:hAnsi="Arial Narrow" w:cs="Arial"/>
          <w:b/>
          <w:color w:val="000000" w:themeColor="text1"/>
          <w:spacing w:val="-3"/>
          <w:lang w:eastAsia="es-ES"/>
        </w:rPr>
        <w:t>EL</w:t>
      </w:r>
      <w:r w:rsidRPr="002C0D19">
        <w:rPr>
          <w:rFonts w:ascii="Arial Narrow" w:hAnsi="Arial Narrow" w:cs="Arial"/>
          <w:color w:val="000000" w:themeColor="text1"/>
          <w:spacing w:val="-3"/>
          <w:lang w:eastAsia="es-ES"/>
        </w:rPr>
        <w:t xml:space="preserve"> </w:t>
      </w:r>
      <w:r w:rsidRPr="002C0D19">
        <w:rPr>
          <w:rFonts w:ascii="Arial Narrow" w:hAnsi="Arial Narrow" w:cs="Arial"/>
          <w:b/>
          <w:color w:val="000000" w:themeColor="text1"/>
          <w:spacing w:val="-3"/>
          <w:lang w:eastAsia="es-ES"/>
        </w:rPr>
        <w:t xml:space="preserve">MIEMBRO </w:t>
      </w:r>
      <w:r w:rsidRPr="002C0D19">
        <w:rPr>
          <w:rFonts w:ascii="Arial Narrow" w:hAnsi="Arial Narrow" w:cs="Arial"/>
          <w:color w:val="000000" w:themeColor="text1"/>
          <w:spacing w:val="-3"/>
          <w:lang w:eastAsia="es-ES"/>
        </w:rPr>
        <w:t xml:space="preserve">como por los Terceros por cuenta de los cuales actúa. </w:t>
      </w:r>
    </w:p>
    <w:p w14:paraId="28D9EB40" w14:textId="77777777" w:rsidR="007968EC" w:rsidRPr="002C0D19" w:rsidRDefault="007968EC" w:rsidP="00DA7472">
      <w:pPr>
        <w:numPr>
          <w:ilvl w:val="0"/>
          <w:numId w:val="34"/>
        </w:numPr>
        <w:ind w:right="-42"/>
        <w:jc w:val="both"/>
        <w:rPr>
          <w:rFonts w:ascii="Arial Narrow" w:hAnsi="Arial Narrow" w:cs="Arial"/>
          <w:color w:val="000000" w:themeColor="text1"/>
          <w:spacing w:val="-3"/>
          <w:lang w:eastAsia="es-ES"/>
        </w:rPr>
      </w:pPr>
      <w:r w:rsidRPr="002C0D19">
        <w:rPr>
          <w:rFonts w:ascii="Arial Narrow" w:hAnsi="Arial Narrow" w:cs="Arial"/>
          <w:color w:val="000000" w:themeColor="text1"/>
          <w:spacing w:val="-3"/>
          <w:lang w:eastAsia="es-ES"/>
        </w:rPr>
        <w:lastRenderedPageBreak/>
        <w:t xml:space="preserve">Cumplir con las entregas de efectivo o de Activos que corresponda a cada tipo de Operación Aceptada por </w:t>
      </w:r>
      <w:r w:rsidRPr="002C0D19">
        <w:rPr>
          <w:rFonts w:ascii="Arial Narrow" w:hAnsi="Arial Narrow" w:cs="Arial"/>
          <w:b/>
          <w:color w:val="000000" w:themeColor="text1"/>
          <w:spacing w:val="-3"/>
          <w:lang w:eastAsia="es-ES"/>
        </w:rPr>
        <w:t>LA CRCC</w:t>
      </w:r>
      <w:r w:rsidRPr="002C0D19">
        <w:rPr>
          <w:rFonts w:ascii="Arial Narrow" w:hAnsi="Arial Narrow" w:cs="Arial"/>
          <w:color w:val="000000" w:themeColor="text1"/>
          <w:spacing w:val="-3"/>
          <w:lang w:eastAsia="es-ES"/>
        </w:rPr>
        <w:t xml:space="preserve">, según se establezca mediante Circular. </w:t>
      </w:r>
    </w:p>
    <w:p w14:paraId="4B22B68A" w14:textId="77777777" w:rsidR="007968EC" w:rsidRPr="002C0D19" w:rsidRDefault="007968EC" w:rsidP="00DA7472">
      <w:pPr>
        <w:numPr>
          <w:ilvl w:val="0"/>
          <w:numId w:val="34"/>
        </w:numPr>
        <w:ind w:right="-42"/>
        <w:jc w:val="both"/>
        <w:rPr>
          <w:rFonts w:ascii="Arial Narrow" w:hAnsi="Arial Narrow" w:cs="Arial"/>
          <w:color w:val="000000" w:themeColor="text1"/>
          <w:spacing w:val="-3"/>
          <w:lang w:eastAsia="es-ES"/>
        </w:rPr>
      </w:pPr>
      <w:r w:rsidRPr="002C0D19">
        <w:rPr>
          <w:rFonts w:ascii="Arial Narrow" w:hAnsi="Arial Narrow" w:cs="Arial"/>
          <w:color w:val="000000" w:themeColor="text1"/>
          <w:spacing w:val="-3"/>
          <w:lang w:eastAsia="es-ES"/>
        </w:rPr>
        <w:t>Llevar el registro de las Operaciones Aceptadas.</w:t>
      </w:r>
    </w:p>
    <w:p w14:paraId="0DC1A021" w14:textId="77777777" w:rsidR="007968EC" w:rsidRPr="002C0D19" w:rsidRDefault="007968EC" w:rsidP="00DA7472">
      <w:pPr>
        <w:numPr>
          <w:ilvl w:val="0"/>
          <w:numId w:val="34"/>
        </w:numPr>
        <w:ind w:right="-42"/>
        <w:jc w:val="both"/>
        <w:rPr>
          <w:rFonts w:ascii="Arial Narrow" w:hAnsi="Arial Narrow" w:cs="Arial"/>
          <w:color w:val="000000" w:themeColor="text1"/>
          <w:spacing w:val="-3"/>
          <w:lang w:eastAsia="es-ES"/>
        </w:rPr>
      </w:pPr>
      <w:r w:rsidRPr="002C0D19">
        <w:rPr>
          <w:rFonts w:ascii="Arial Narrow" w:hAnsi="Arial Narrow" w:cs="Arial"/>
          <w:color w:val="000000" w:themeColor="text1"/>
          <w:spacing w:val="-3"/>
          <w:lang w:eastAsia="es-ES"/>
        </w:rPr>
        <w:t xml:space="preserve">Hacer su mejor esfuerzo porque el Sistema a través del cual presta sus servicios, opere de manera eficaz y segura. </w:t>
      </w:r>
    </w:p>
    <w:p w14:paraId="5828DD37" w14:textId="77777777" w:rsidR="007968EC" w:rsidRPr="002C0D19" w:rsidRDefault="007968EC" w:rsidP="00DA7472">
      <w:pPr>
        <w:numPr>
          <w:ilvl w:val="0"/>
          <w:numId w:val="34"/>
        </w:numPr>
        <w:ind w:right="-42"/>
        <w:jc w:val="both"/>
        <w:rPr>
          <w:rFonts w:ascii="Arial Narrow" w:hAnsi="Arial Narrow" w:cs="Arial"/>
          <w:color w:val="000000" w:themeColor="text1"/>
          <w:spacing w:val="-3"/>
          <w:lang w:eastAsia="es-ES"/>
        </w:rPr>
      </w:pPr>
      <w:r w:rsidRPr="002C0D19">
        <w:rPr>
          <w:rFonts w:ascii="Arial Narrow" w:hAnsi="Arial Narrow" w:cs="Arial"/>
          <w:color w:val="000000" w:themeColor="text1"/>
          <w:spacing w:val="-3"/>
          <w:lang w:eastAsia="es-ES"/>
        </w:rPr>
        <w:t xml:space="preserve">Mantener la confidencialidad sobre las Operaciones Aceptadas, de conformidad con la Ley, el Reglamento y demás normativa aplicable. </w:t>
      </w:r>
    </w:p>
    <w:p w14:paraId="32BB6EE8" w14:textId="77777777" w:rsidR="007968EC" w:rsidRPr="002C0D19" w:rsidRDefault="007968EC" w:rsidP="00DA7472">
      <w:pPr>
        <w:numPr>
          <w:ilvl w:val="0"/>
          <w:numId w:val="34"/>
        </w:numPr>
        <w:ind w:right="-42"/>
        <w:jc w:val="both"/>
        <w:rPr>
          <w:rFonts w:ascii="Arial Narrow" w:hAnsi="Arial Narrow" w:cs="Arial"/>
          <w:color w:val="000000" w:themeColor="text1"/>
          <w:spacing w:val="-3"/>
          <w:lang w:eastAsia="es-ES"/>
        </w:rPr>
      </w:pPr>
      <w:r w:rsidRPr="002C0D19">
        <w:rPr>
          <w:rFonts w:ascii="Arial Narrow" w:hAnsi="Arial Narrow" w:cs="Arial"/>
          <w:color w:val="000000" w:themeColor="text1"/>
          <w:spacing w:val="-3"/>
          <w:lang w:eastAsia="es-ES"/>
        </w:rPr>
        <w:t>Informar al mercado y a las Autoridades Competentes sobre el Incumplimiento de cualquier Miembro</w:t>
      </w:r>
      <w:r w:rsidRPr="002C0D19">
        <w:rPr>
          <w:rFonts w:ascii="Arial Narrow" w:hAnsi="Arial Narrow" w:cs="Arial"/>
          <w:b/>
          <w:color w:val="000000" w:themeColor="text1"/>
          <w:spacing w:val="-3"/>
          <w:lang w:eastAsia="es-ES"/>
        </w:rPr>
        <w:t>.</w:t>
      </w:r>
    </w:p>
    <w:p w14:paraId="5B9A91A5" w14:textId="77777777" w:rsidR="007968EC" w:rsidRPr="002C0D19" w:rsidRDefault="007968EC" w:rsidP="00DA7472">
      <w:pPr>
        <w:numPr>
          <w:ilvl w:val="0"/>
          <w:numId w:val="34"/>
        </w:numPr>
        <w:ind w:right="-42"/>
        <w:jc w:val="both"/>
        <w:rPr>
          <w:rFonts w:ascii="Arial Narrow" w:hAnsi="Arial Narrow" w:cs="Arial"/>
          <w:color w:val="000000" w:themeColor="text1"/>
          <w:spacing w:val="-3"/>
          <w:lang w:eastAsia="es-ES"/>
        </w:rPr>
      </w:pPr>
      <w:r w:rsidRPr="002C0D19">
        <w:rPr>
          <w:rFonts w:ascii="Arial Narrow" w:hAnsi="Arial Narrow" w:cs="Arial"/>
          <w:color w:val="000000" w:themeColor="text1"/>
          <w:spacing w:val="-3"/>
          <w:lang w:eastAsia="es-ES"/>
        </w:rPr>
        <w:t xml:space="preserve">Informar a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spacing w:val="-3"/>
          <w:lang w:eastAsia="es-ES"/>
        </w:rPr>
        <w:t xml:space="preserve"> y a la Superintendencia Financiera de Colombia cuando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w:t>
      </w:r>
      <w:r w:rsidRPr="002C0D19">
        <w:rPr>
          <w:rFonts w:ascii="Arial Narrow" w:hAnsi="Arial Narrow" w:cs="Arial"/>
          <w:color w:val="000000" w:themeColor="text1"/>
          <w:spacing w:val="-3"/>
          <w:lang w:eastAsia="es-ES"/>
        </w:rPr>
        <w:t>deje de asumir la calidad de contraparte respecto del mismo.</w:t>
      </w:r>
    </w:p>
    <w:p w14:paraId="53D25F33" w14:textId="77777777" w:rsidR="007968EC" w:rsidRPr="002C0D19" w:rsidRDefault="007968EC" w:rsidP="00DA7472">
      <w:pPr>
        <w:numPr>
          <w:ilvl w:val="0"/>
          <w:numId w:val="34"/>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Informar a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en la medida que sea posible, sobre las solicitudes que le hayan hecho las Autoridades Competentes en relación con información del mismo o de sus Terceros. </w:t>
      </w:r>
    </w:p>
    <w:p w14:paraId="489B15D2" w14:textId="77777777" w:rsidR="007968EC" w:rsidRPr="002C0D19" w:rsidRDefault="007968EC" w:rsidP="00DA7472">
      <w:pPr>
        <w:numPr>
          <w:ilvl w:val="0"/>
          <w:numId w:val="34"/>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Registrar en las cuentas de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y de sus Terceros, las Operaciones Aceptadas de acuerdo con lo establecido en el Reglamento. </w:t>
      </w:r>
    </w:p>
    <w:p w14:paraId="00A10185" w14:textId="77777777" w:rsidR="007968EC" w:rsidRPr="002C0D19" w:rsidRDefault="007968EC" w:rsidP="00DA7472">
      <w:pPr>
        <w:numPr>
          <w:ilvl w:val="0"/>
          <w:numId w:val="34"/>
        </w:numPr>
        <w:jc w:val="both"/>
        <w:rPr>
          <w:rFonts w:ascii="Arial Narrow" w:hAnsi="Arial Narrow" w:cs="Arial"/>
          <w:color w:val="000000" w:themeColor="text1"/>
          <w:lang w:val="es-ES" w:eastAsia="es-ES"/>
        </w:rPr>
      </w:pPr>
      <w:r w:rsidRPr="002C0D19">
        <w:rPr>
          <w:rFonts w:ascii="Arial Narrow" w:hAnsi="Arial Narrow" w:cs="Arial"/>
          <w:bCs/>
          <w:color w:val="000000" w:themeColor="text1"/>
          <w:lang w:eastAsia="es-ES"/>
        </w:rPr>
        <w:t xml:space="preserve">Calcular, exigir, recibir y administrar las Garantías otorgadas por </w:t>
      </w:r>
      <w:r w:rsidRPr="002C0D19">
        <w:rPr>
          <w:rFonts w:ascii="Arial Narrow" w:hAnsi="Arial Narrow" w:cs="Arial"/>
          <w:b/>
          <w:bCs/>
          <w:color w:val="000000" w:themeColor="text1"/>
          <w:lang w:eastAsia="es-ES"/>
        </w:rPr>
        <w:t xml:space="preserve">EL MIEMBRO </w:t>
      </w:r>
      <w:r w:rsidRPr="002C0D19">
        <w:rPr>
          <w:rFonts w:ascii="Arial Narrow" w:hAnsi="Arial Narrow" w:cs="Arial"/>
          <w:bCs/>
          <w:color w:val="000000" w:themeColor="text1"/>
          <w:lang w:eastAsia="es-ES"/>
        </w:rPr>
        <w:t>y por sus Terceros</w:t>
      </w:r>
      <w:r w:rsidRPr="002C0D19">
        <w:rPr>
          <w:rFonts w:ascii="Arial Narrow" w:hAnsi="Arial Narrow" w:cs="Arial"/>
          <w:b/>
          <w:bCs/>
          <w:color w:val="000000" w:themeColor="text1"/>
          <w:lang w:eastAsia="es-ES"/>
        </w:rPr>
        <w:t xml:space="preserve"> </w:t>
      </w:r>
      <w:r w:rsidRPr="002C0D19">
        <w:rPr>
          <w:rFonts w:ascii="Arial Narrow" w:hAnsi="Arial Narrow" w:cs="Arial"/>
          <w:bCs/>
          <w:color w:val="000000" w:themeColor="text1"/>
          <w:lang w:eastAsia="es-ES"/>
        </w:rPr>
        <w:t xml:space="preserve">para el adecuado funcionamiento de </w:t>
      </w:r>
      <w:r w:rsidRPr="002C0D19">
        <w:rPr>
          <w:rFonts w:ascii="Arial Narrow" w:hAnsi="Arial Narrow" w:cs="Arial"/>
          <w:b/>
          <w:bCs/>
          <w:color w:val="000000" w:themeColor="text1"/>
          <w:lang w:eastAsia="es-ES"/>
        </w:rPr>
        <w:t>LA CRCC</w:t>
      </w:r>
      <w:r w:rsidRPr="002C0D19">
        <w:rPr>
          <w:rFonts w:ascii="Arial Narrow" w:hAnsi="Arial Narrow" w:cs="Arial"/>
          <w:bCs/>
          <w:color w:val="000000" w:themeColor="text1"/>
          <w:lang w:eastAsia="es-ES"/>
        </w:rPr>
        <w:t>.</w:t>
      </w:r>
    </w:p>
    <w:p w14:paraId="3BC3F1D5" w14:textId="77777777" w:rsidR="007968EC" w:rsidRPr="002C0D19" w:rsidRDefault="007968EC" w:rsidP="00DA7472">
      <w:pPr>
        <w:numPr>
          <w:ilvl w:val="0"/>
          <w:numId w:val="34"/>
        </w:numPr>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Informar </w:t>
      </w:r>
      <w:r w:rsidRPr="002C0D19">
        <w:rPr>
          <w:rFonts w:ascii="Arial Narrow" w:hAnsi="Arial Narrow" w:cs="Arial"/>
          <w:color w:val="000000" w:themeColor="text1"/>
          <w:lang w:eastAsia="es-ES"/>
        </w:rPr>
        <w:t xml:space="preserve">sobre las Operaciones Aceptadas, rechazadas o anuladas por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w:t>
      </w:r>
    </w:p>
    <w:p w14:paraId="672139CA" w14:textId="77777777" w:rsidR="007968EC" w:rsidRPr="002C0D19" w:rsidRDefault="007968EC" w:rsidP="007968EC">
      <w:pPr>
        <w:jc w:val="both"/>
        <w:rPr>
          <w:rFonts w:ascii="Arial Narrow" w:hAnsi="Arial Narrow" w:cs="Arial"/>
          <w:b/>
          <w:bCs/>
          <w:color w:val="000000" w:themeColor="text1"/>
          <w:u w:val="single"/>
          <w:lang w:val="es-ES" w:eastAsia="es-ES"/>
        </w:rPr>
      </w:pPr>
    </w:p>
    <w:p w14:paraId="00B2F5A5"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b/>
          <w:bCs/>
          <w:color w:val="000000" w:themeColor="text1"/>
          <w:u w:val="single"/>
          <w:lang w:val="es-ES" w:eastAsia="es-ES"/>
        </w:rPr>
        <w:t>QUINTA. Vigencia.</w:t>
      </w:r>
      <w:r w:rsidRPr="002C0D19">
        <w:rPr>
          <w:rFonts w:ascii="Arial Narrow" w:hAnsi="Arial Narrow" w:cs="Arial"/>
          <w:b/>
          <w:bCs/>
          <w:color w:val="000000" w:themeColor="text1"/>
          <w:lang w:val="es-ES" w:eastAsia="es-ES"/>
        </w:rPr>
        <w:t xml:space="preserve">  </w:t>
      </w:r>
      <w:r w:rsidRPr="002C0D19">
        <w:rPr>
          <w:rFonts w:ascii="Arial Narrow" w:hAnsi="Arial Narrow" w:cs="Arial"/>
          <w:color w:val="000000" w:themeColor="text1"/>
          <w:lang w:eastAsia="es-ES"/>
        </w:rPr>
        <w:t xml:space="preserve">La presente Oferta estará vigente por un término de sesenta (60) días calendario, contados a partir del envío de la misma por parte de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a </w:t>
      </w:r>
      <w:r w:rsidRPr="002C0D19">
        <w:rPr>
          <w:rFonts w:ascii="Arial Narrow" w:hAnsi="Arial Narrow" w:cs="Arial"/>
          <w:b/>
          <w:color w:val="000000" w:themeColor="text1"/>
          <w:lang w:eastAsia="es-ES"/>
        </w:rPr>
        <w:t>EL MIEMBRO</w:t>
      </w:r>
      <w:r w:rsidRPr="002C0D19">
        <w:rPr>
          <w:rFonts w:ascii="Arial Narrow" w:hAnsi="Arial Narrow" w:cs="Arial"/>
          <w:color w:val="000000" w:themeColor="text1"/>
          <w:lang w:eastAsia="es-ES"/>
        </w:rPr>
        <w:t>,</w:t>
      </w:r>
      <w:r w:rsidRPr="002C0D19">
        <w:rPr>
          <w:rFonts w:ascii="Arial Narrow" w:hAnsi="Arial Narrow" w:cs="Arial"/>
          <w:b/>
          <w:color w:val="000000" w:themeColor="text1"/>
          <w:lang w:eastAsia="es-ES"/>
        </w:rPr>
        <w:t xml:space="preserve"> </w:t>
      </w:r>
      <w:r w:rsidRPr="002C0D19">
        <w:rPr>
          <w:rFonts w:ascii="Arial Narrow" w:hAnsi="Arial Narrow" w:cs="Arial"/>
          <w:color w:val="000000" w:themeColor="text1"/>
          <w:lang w:eastAsia="es-ES"/>
        </w:rPr>
        <w:t xml:space="preserve">transcurridos los cuales, de no haber aceptación a la misma por parte de </w:t>
      </w:r>
      <w:r w:rsidRPr="002C0D19">
        <w:rPr>
          <w:rFonts w:ascii="Arial Narrow" w:hAnsi="Arial Narrow" w:cs="Arial"/>
          <w:b/>
          <w:color w:val="000000" w:themeColor="text1"/>
          <w:lang w:eastAsia="es-ES"/>
        </w:rPr>
        <w:t>EL MIEMBRO</w:t>
      </w:r>
      <w:r w:rsidRPr="002C0D19">
        <w:rPr>
          <w:rFonts w:ascii="Arial Narrow" w:hAnsi="Arial Narrow" w:cs="Arial"/>
          <w:color w:val="000000" w:themeColor="text1"/>
          <w:lang w:eastAsia="es-ES"/>
        </w:rPr>
        <w:t xml:space="preserve">, se entenderá revocada. En caso de aceptación de esta Oferta por parte de </w:t>
      </w:r>
      <w:r w:rsidRPr="002C0D19">
        <w:rPr>
          <w:rFonts w:ascii="Arial Narrow" w:hAnsi="Arial Narrow" w:cs="Arial"/>
          <w:b/>
          <w:color w:val="000000" w:themeColor="text1"/>
          <w:lang w:eastAsia="es-ES"/>
        </w:rPr>
        <w:t>EL</w:t>
      </w:r>
      <w:r w:rsidRPr="002C0D19">
        <w:rPr>
          <w:rFonts w:ascii="Arial Narrow" w:hAnsi="Arial Narrow" w:cs="Arial"/>
          <w:color w:val="000000" w:themeColor="text1"/>
          <w:lang w:eastAsia="es-ES"/>
        </w:rPr>
        <w:t xml:space="preserve"> </w:t>
      </w:r>
      <w:r w:rsidRPr="002C0D19">
        <w:rPr>
          <w:rFonts w:ascii="Arial Narrow" w:hAnsi="Arial Narrow" w:cs="Arial"/>
          <w:b/>
          <w:color w:val="000000" w:themeColor="text1"/>
          <w:lang w:eastAsia="es-ES"/>
        </w:rPr>
        <w:t>MIEMBRO</w:t>
      </w:r>
      <w:r w:rsidRPr="002C0D19">
        <w:rPr>
          <w:rFonts w:ascii="Arial Narrow" w:hAnsi="Arial Narrow" w:cs="Arial"/>
          <w:color w:val="000000" w:themeColor="text1"/>
          <w:lang w:eastAsia="es-ES"/>
        </w:rPr>
        <w:t xml:space="preserve">, los términos y condiciones de la misma estarán vigentes en forma indefinida. </w:t>
      </w:r>
    </w:p>
    <w:p w14:paraId="6C8666B2" w14:textId="77777777" w:rsidR="007968EC" w:rsidRPr="002C0D19" w:rsidRDefault="007968EC" w:rsidP="007968EC">
      <w:pPr>
        <w:jc w:val="both"/>
        <w:rPr>
          <w:rFonts w:ascii="Arial Narrow" w:hAnsi="Arial Narrow" w:cs="Arial"/>
          <w:color w:val="000000" w:themeColor="text1"/>
          <w:lang w:eastAsia="es-ES"/>
        </w:rPr>
      </w:pPr>
    </w:p>
    <w:p w14:paraId="7B1EBDDD"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No obstante lo anterior y sin perjuicio de lo dispuesto en el Reglamento, las partes podrán terminar en cualquier tiempo la afiliación al Sistema, mediante la entrega a la otra parte de un aviso escrito en tal sentido, remitida con no menos de treinta (30) días calendario de anticipación al día hábil en el cual desea que dicha terminación tenga efecto. </w:t>
      </w:r>
    </w:p>
    <w:p w14:paraId="6566AEC2" w14:textId="77777777" w:rsidR="007968EC" w:rsidRPr="002C0D19" w:rsidRDefault="007968EC" w:rsidP="007968EC">
      <w:pPr>
        <w:jc w:val="both"/>
        <w:rPr>
          <w:rFonts w:ascii="Arial Narrow" w:hAnsi="Arial Narrow" w:cs="Arial"/>
          <w:color w:val="000000" w:themeColor="text1"/>
          <w:lang w:eastAsia="es-ES"/>
        </w:rPr>
      </w:pPr>
    </w:p>
    <w:p w14:paraId="2F4B42D6"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Igualmente, habrá lugar a la terminación unilateral si se presenta un incumplimiento de alguna de las obligaciones a cargo de una de las partes. </w:t>
      </w:r>
    </w:p>
    <w:p w14:paraId="754FD6F8" w14:textId="77777777" w:rsidR="007968EC" w:rsidRPr="002C0D19" w:rsidRDefault="007968EC" w:rsidP="007968EC">
      <w:pPr>
        <w:jc w:val="both"/>
        <w:rPr>
          <w:rFonts w:ascii="Arial Narrow" w:hAnsi="Arial Narrow" w:cs="Arial"/>
          <w:color w:val="000000" w:themeColor="text1"/>
          <w:lang w:eastAsia="es-ES"/>
        </w:rPr>
      </w:pPr>
    </w:p>
    <w:p w14:paraId="12F6D006" w14:textId="77777777" w:rsidR="007968EC" w:rsidRPr="002C0D19" w:rsidRDefault="007968EC" w:rsidP="007968EC">
      <w:pPr>
        <w:jc w:val="both"/>
        <w:rPr>
          <w:rFonts w:ascii="Arial Narrow" w:hAnsi="Arial Narrow" w:cs="Arial"/>
          <w:b/>
          <w:bCs/>
          <w:color w:val="000000" w:themeColor="text1"/>
          <w:lang w:val="es-ES" w:eastAsia="es-ES"/>
        </w:rPr>
      </w:pPr>
      <w:r w:rsidRPr="002C0D19">
        <w:rPr>
          <w:rFonts w:ascii="Arial Narrow" w:hAnsi="Arial Narrow" w:cs="Arial"/>
          <w:b/>
          <w:bCs/>
          <w:color w:val="000000" w:themeColor="text1"/>
          <w:u w:val="single"/>
          <w:lang w:val="es-ES" w:eastAsia="es-ES"/>
        </w:rPr>
        <w:t>SEXTA. Tarifas.</w:t>
      </w:r>
      <w:r w:rsidRPr="002C0D19">
        <w:rPr>
          <w:rFonts w:ascii="Arial Narrow" w:hAnsi="Arial Narrow" w:cs="Arial"/>
          <w:b/>
          <w:bCs/>
          <w:color w:val="000000" w:themeColor="text1"/>
          <w:lang w:val="es-ES" w:eastAsia="es-ES"/>
        </w:rPr>
        <w:t xml:space="preserve">  EL MIEMBRO </w:t>
      </w:r>
      <w:r w:rsidRPr="002C0D19">
        <w:rPr>
          <w:rFonts w:ascii="Arial Narrow" w:hAnsi="Arial Narrow" w:cs="Arial"/>
          <w:bCs/>
          <w:color w:val="000000" w:themeColor="text1"/>
          <w:lang w:val="es-ES" w:eastAsia="es-ES"/>
        </w:rPr>
        <w:t xml:space="preserve">es responsable frente a LA CRCC del pago de las tarifas y demás cargos que determine </w:t>
      </w:r>
      <w:r w:rsidRPr="002C0D19">
        <w:rPr>
          <w:rFonts w:ascii="Arial Narrow" w:hAnsi="Arial Narrow" w:cs="Arial"/>
          <w:b/>
          <w:bCs/>
          <w:color w:val="000000" w:themeColor="text1"/>
          <w:lang w:val="es-ES" w:eastAsia="es-ES"/>
        </w:rPr>
        <w:t>LA CRCC</w:t>
      </w:r>
      <w:r w:rsidRPr="002C0D19">
        <w:rPr>
          <w:rFonts w:ascii="Arial Narrow" w:hAnsi="Arial Narrow" w:cs="Arial"/>
          <w:bCs/>
          <w:color w:val="000000" w:themeColor="text1"/>
          <w:lang w:val="es-ES" w:eastAsia="es-ES"/>
        </w:rPr>
        <w:t xml:space="preserve"> por Circular. Dichos pagos se deberán efectuar en los términos y condiciones establecidos por </w:t>
      </w:r>
      <w:r w:rsidRPr="002C0D19">
        <w:rPr>
          <w:rFonts w:ascii="Arial Narrow" w:hAnsi="Arial Narrow" w:cs="Arial"/>
          <w:b/>
          <w:bCs/>
          <w:color w:val="000000" w:themeColor="text1"/>
          <w:lang w:val="es-ES" w:eastAsia="es-ES"/>
        </w:rPr>
        <w:t>LA CRCC</w:t>
      </w:r>
      <w:r w:rsidRPr="002C0D19">
        <w:rPr>
          <w:rFonts w:ascii="Arial Narrow" w:hAnsi="Arial Narrow" w:cs="Arial"/>
          <w:bCs/>
          <w:color w:val="000000" w:themeColor="text1"/>
          <w:lang w:val="es-ES" w:eastAsia="es-ES"/>
        </w:rPr>
        <w:t xml:space="preserve"> mediante Circular. </w:t>
      </w:r>
      <w:r w:rsidRPr="002C0D19">
        <w:rPr>
          <w:rFonts w:ascii="Arial Narrow" w:hAnsi="Arial Narrow" w:cs="Arial"/>
          <w:color w:val="000000" w:themeColor="text1"/>
          <w:lang w:val="es-ES" w:eastAsia="es-ES"/>
        </w:rPr>
        <w:t>Así mismo, se obliga a pagar las tarifas y comisiones por la prestación del servicio de los Miembros Liquidadores Generales respectivos.</w:t>
      </w:r>
      <w:r w:rsidRPr="002C0D19">
        <w:rPr>
          <w:rFonts w:ascii="Arial Narrow" w:hAnsi="Arial Narrow" w:cs="Arial"/>
          <w:b/>
          <w:bCs/>
          <w:color w:val="000000" w:themeColor="text1"/>
          <w:lang w:val="es-ES" w:eastAsia="es-ES"/>
        </w:rPr>
        <w:t xml:space="preserve"> </w:t>
      </w:r>
    </w:p>
    <w:p w14:paraId="21972743" w14:textId="77777777" w:rsidR="007968EC" w:rsidRPr="002C0D19" w:rsidRDefault="007968EC" w:rsidP="007968EC">
      <w:pPr>
        <w:jc w:val="both"/>
        <w:rPr>
          <w:rFonts w:ascii="Arial Narrow" w:hAnsi="Arial Narrow" w:cs="Arial"/>
          <w:b/>
          <w:bCs/>
          <w:color w:val="000000" w:themeColor="text1"/>
          <w:lang w:val="es-ES" w:eastAsia="es-ES"/>
        </w:rPr>
      </w:pPr>
    </w:p>
    <w:p w14:paraId="3EC9E7D8"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El valor de las tarifas no incluye el impuesto al valor agregado, pero este será facturado de acuerdo con la tarifa y procedimientos vigentes al momento de su causación. </w:t>
      </w:r>
    </w:p>
    <w:p w14:paraId="62D00D47" w14:textId="77777777" w:rsidR="007968EC" w:rsidRPr="002C0D19" w:rsidRDefault="007968EC" w:rsidP="007968EC">
      <w:pPr>
        <w:jc w:val="both"/>
        <w:rPr>
          <w:rFonts w:ascii="Arial Narrow" w:hAnsi="Arial Narrow" w:cs="Arial"/>
          <w:color w:val="000000" w:themeColor="text1"/>
          <w:lang w:eastAsia="es-ES"/>
        </w:rPr>
      </w:pPr>
    </w:p>
    <w:p w14:paraId="629A4564"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se reserva el derecho de revisar y ajustar la tarifa vigente de conformidad con lo dispuesto en el Reglamento.</w:t>
      </w:r>
    </w:p>
    <w:p w14:paraId="5364FD0C" w14:textId="77777777" w:rsidR="007968EC" w:rsidRPr="002C0D19" w:rsidRDefault="007968EC" w:rsidP="007968EC">
      <w:pPr>
        <w:jc w:val="both"/>
        <w:rPr>
          <w:rFonts w:ascii="Arial Narrow" w:hAnsi="Arial Narrow" w:cs="Arial"/>
          <w:color w:val="000000" w:themeColor="text1"/>
          <w:lang w:eastAsia="es-ES"/>
        </w:rPr>
      </w:pPr>
    </w:p>
    <w:p w14:paraId="644C8887" w14:textId="77777777" w:rsidR="007968EC" w:rsidRPr="002C0D19" w:rsidRDefault="007968EC" w:rsidP="007968EC">
      <w:pPr>
        <w:jc w:val="both"/>
        <w:rPr>
          <w:rFonts w:ascii="Arial Narrow" w:hAnsi="Arial Narrow" w:cs="Arial"/>
          <w:color w:val="000000" w:themeColor="text1"/>
          <w:highlight w:val="green"/>
          <w:lang w:eastAsia="es-ES"/>
        </w:rPr>
      </w:pPr>
      <w:r w:rsidRPr="002C0D19">
        <w:rPr>
          <w:rFonts w:ascii="Arial Narrow" w:hAnsi="Arial Narrow" w:cs="Arial"/>
          <w:b/>
          <w:bCs/>
          <w:color w:val="000000" w:themeColor="text1"/>
          <w:u w:val="single"/>
          <w:lang w:val="pt-BR" w:eastAsia="es-ES"/>
        </w:rPr>
        <w:lastRenderedPageBreak/>
        <w:t xml:space="preserve">SÉPTIMA. </w:t>
      </w:r>
      <w:proofErr w:type="spellStart"/>
      <w:r w:rsidRPr="002C0D19">
        <w:rPr>
          <w:rFonts w:ascii="Arial Narrow" w:hAnsi="Arial Narrow" w:cs="Arial"/>
          <w:b/>
          <w:bCs/>
          <w:color w:val="000000" w:themeColor="text1"/>
          <w:u w:val="single"/>
          <w:lang w:val="pt-BR" w:eastAsia="es-ES"/>
        </w:rPr>
        <w:t>Soporte</w:t>
      </w:r>
      <w:proofErr w:type="spellEnd"/>
      <w:r w:rsidRPr="002C0D19">
        <w:rPr>
          <w:rFonts w:ascii="Arial Narrow" w:hAnsi="Arial Narrow" w:cs="Arial"/>
          <w:b/>
          <w:bCs/>
          <w:color w:val="000000" w:themeColor="text1"/>
          <w:u w:val="single"/>
          <w:lang w:val="pt-BR" w:eastAsia="es-ES"/>
        </w:rPr>
        <w:t xml:space="preserve"> lógico o “software”.</w:t>
      </w:r>
      <w:r w:rsidRPr="002C0D19">
        <w:rPr>
          <w:rFonts w:ascii="Arial Narrow" w:hAnsi="Arial Narrow" w:cs="Arial"/>
          <w:b/>
          <w:bCs/>
          <w:color w:val="000000" w:themeColor="text1"/>
          <w:lang w:val="pt-BR" w:eastAsia="es-ES"/>
        </w:rPr>
        <w:t xml:space="preserv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declara expresamente que el soporte lógico o </w:t>
      </w:r>
      <w:r w:rsidRPr="002C0D19">
        <w:rPr>
          <w:rFonts w:ascii="Arial Narrow" w:hAnsi="Arial Narrow" w:cs="Arial"/>
          <w:bCs/>
          <w:color w:val="000000" w:themeColor="text1"/>
          <w:lang w:val="es-ES" w:eastAsia="es-ES"/>
        </w:rPr>
        <w:t>“</w:t>
      </w:r>
      <w:r w:rsidRPr="002C0D19">
        <w:rPr>
          <w:rFonts w:ascii="Arial Narrow" w:hAnsi="Arial Narrow" w:cs="Arial"/>
          <w:color w:val="000000" w:themeColor="text1"/>
          <w:lang w:val="es-ES" w:eastAsia="es-ES"/>
        </w:rPr>
        <w:t>software</w:t>
      </w:r>
      <w:r w:rsidRPr="002C0D19">
        <w:rPr>
          <w:rFonts w:ascii="Arial Narrow" w:hAnsi="Arial Narrow" w:cs="Arial"/>
          <w:bCs/>
          <w:color w:val="000000" w:themeColor="text1"/>
          <w:lang w:val="es-ES" w:eastAsia="es-ES"/>
        </w:rPr>
        <w:t>”</w:t>
      </w:r>
      <w:r w:rsidRPr="002C0D19">
        <w:rPr>
          <w:rFonts w:ascii="Arial Narrow" w:hAnsi="Arial Narrow" w:cs="Arial"/>
          <w:color w:val="000000" w:themeColor="text1"/>
          <w:lang w:val="es-ES" w:eastAsia="es-ES"/>
        </w:rPr>
        <w:t xml:space="preserve"> que se utilizará para la operación del Sistema ha sido desarrollado o licenciado por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o por contratistas autorizados por éste. </w:t>
      </w:r>
      <w:r w:rsidRPr="002C0D19">
        <w:rPr>
          <w:rFonts w:ascii="Arial Narrow" w:hAnsi="Arial Narrow" w:cs="Arial"/>
          <w:color w:val="000000" w:themeColor="text1"/>
          <w:highlight w:val="green"/>
          <w:lang w:eastAsia="es-ES"/>
        </w:rPr>
        <w:t xml:space="preserve"> </w:t>
      </w:r>
    </w:p>
    <w:p w14:paraId="671E94B5" w14:textId="77777777" w:rsidR="007968EC" w:rsidRPr="002C0D19" w:rsidRDefault="007968EC" w:rsidP="007968EC">
      <w:pPr>
        <w:jc w:val="both"/>
        <w:rPr>
          <w:rFonts w:ascii="Arial Narrow" w:hAnsi="Arial Narrow" w:cs="Arial"/>
          <w:color w:val="000000" w:themeColor="text1"/>
          <w:highlight w:val="green"/>
          <w:lang w:eastAsia="es-ES"/>
        </w:rPr>
      </w:pPr>
    </w:p>
    <w:p w14:paraId="1B3BD2A6"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Para todos los efectos de esta Oferta, el referido soporte lógico o </w:t>
      </w:r>
      <w:r w:rsidRPr="002C0D19">
        <w:rPr>
          <w:rFonts w:ascii="Arial Narrow" w:hAnsi="Arial Narrow" w:cs="Arial"/>
          <w:bCs/>
          <w:color w:val="000000" w:themeColor="text1"/>
          <w:lang w:val="es-ES" w:eastAsia="es-ES"/>
        </w:rPr>
        <w:t>“</w:t>
      </w:r>
      <w:r w:rsidRPr="002C0D19">
        <w:rPr>
          <w:rFonts w:ascii="Arial Narrow" w:hAnsi="Arial Narrow" w:cs="Arial"/>
          <w:color w:val="000000" w:themeColor="text1"/>
          <w:lang w:val="es-ES" w:eastAsia="es-ES"/>
        </w:rPr>
        <w:t>software</w:t>
      </w:r>
      <w:r w:rsidRPr="002C0D19">
        <w:rPr>
          <w:rFonts w:ascii="Arial Narrow" w:hAnsi="Arial Narrow" w:cs="Arial"/>
          <w:bCs/>
          <w:color w:val="000000" w:themeColor="text1"/>
          <w:lang w:val="es-ES" w:eastAsia="es-ES"/>
        </w:rPr>
        <w:t>”</w:t>
      </w:r>
      <w:r w:rsidRPr="002C0D19">
        <w:rPr>
          <w:rFonts w:ascii="Arial Narrow" w:hAnsi="Arial Narrow" w:cs="Arial"/>
          <w:color w:val="000000" w:themeColor="text1"/>
          <w:lang w:val="es-ES" w:eastAsia="es-ES"/>
        </w:rPr>
        <w:t xml:space="preserve"> en adelante se denominará indistintamente Software y esta Oferta se sujetará a las condiciones y términos de la licencia.</w:t>
      </w:r>
    </w:p>
    <w:p w14:paraId="610CFD8C" w14:textId="77777777" w:rsidR="007968EC" w:rsidRPr="002C0D19" w:rsidRDefault="007968EC" w:rsidP="007968EC">
      <w:pPr>
        <w:jc w:val="both"/>
        <w:rPr>
          <w:rFonts w:ascii="Arial Narrow" w:hAnsi="Arial Narrow" w:cs="Arial"/>
          <w:b/>
          <w:color w:val="000000" w:themeColor="text1"/>
          <w:highlight w:val="green"/>
          <w:lang w:val="es-ES" w:eastAsia="es-ES"/>
        </w:rPr>
      </w:pPr>
    </w:p>
    <w:p w14:paraId="4A67DC7E" w14:textId="77777777" w:rsidR="007968EC" w:rsidRPr="002C0D19" w:rsidRDefault="007968EC" w:rsidP="007968EC">
      <w:pPr>
        <w:jc w:val="both"/>
        <w:rPr>
          <w:rFonts w:ascii="Arial Narrow" w:hAnsi="Arial Narrow" w:cs="Arial"/>
          <w:i/>
          <w:iCs/>
          <w:color w:val="000000" w:themeColor="text1"/>
          <w:lang w:val="es-ES" w:eastAsia="es-ES"/>
        </w:rPr>
      </w:pPr>
      <w:r w:rsidRPr="002C0D19">
        <w:rPr>
          <w:rFonts w:ascii="Arial Narrow" w:hAnsi="Arial Narrow" w:cs="Arial"/>
          <w:b/>
          <w:bCs/>
          <w:color w:val="000000" w:themeColor="text1"/>
          <w:u w:val="single"/>
          <w:lang w:val="es-ES" w:eastAsia="es-ES"/>
        </w:rPr>
        <w:t>OCTAVA. Confidencialidad y protección de las leyes de propiedad intelectual.</w:t>
      </w:r>
      <w:r w:rsidRPr="002C0D19">
        <w:rPr>
          <w:rFonts w:ascii="Arial Narrow" w:hAnsi="Arial Narrow" w:cs="Arial"/>
          <w:b/>
          <w:bCs/>
          <w:color w:val="000000" w:themeColor="text1"/>
          <w:lang w:val="es-ES" w:eastAsia="es-ES"/>
        </w:rPr>
        <w:t xml:space="preserve">  </w:t>
      </w:r>
      <w:r w:rsidRPr="002C0D19">
        <w:rPr>
          <w:rFonts w:ascii="Arial Narrow" w:hAnsi="Arial Narrow" w:cs="Arial"/>
          <w:color w:val="000000" w:themeColor="text1"/>
          <w:lang w:val="es-ES" w:eastAsia="es-ES"/>
        </w:rPr>
        <w:t xml:space="preserve">En consideración a lo dispuesto en el artículo anterior,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se obliga a respetar las normas y obligaciones que rigen las licencias respectivas y hacer extensivas dichas normas y obligaciones a cada persona que utilice directa o indirectamente el Software correspondiente. </w:t>
      </w:r>
      <w:r w:rsidRPr="002C0D19">
        <w:rPr>
          <w:rFonts w:ascii="Arial Narrow" w:hAnsi="Arial Narrow" w:cs="Arial"/>
          <w:i/>
          <w:iCs/>
          <w:color w:val="000000" w:themeColor="text1"/>
          <w:lang w:val="es-ES" w:eastAsia="es-ES"/>
        </w:rPr>
        <w:t> </w:t>
      </w:r>
    </w:p>
    <w:p w14:paraId="0D82B88D" w14:textId="77777777" w:rsidR="007968EC" w:rsidRPr="002C0D19" w:rsidRDefault="007968EC" w:rsidP="007968EC">
      <w:pPr>
        <w:jc w:val="both"/>
        <w:rPr>
          <w:rFonts w:ascii="Arial Narrow" w:hAnsi="Arial Narrow" w:cs="Arial"/>
          <w:color w:val="000000" w:themeColor="text1"/>
          <w:lang w:val="es-ES" w:eastAsia="es-ES"/>
        </w:rPr>
      </w:pPr>
    </w:p>
    <w:p w14:paraId="6AEEA67A"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En consecuencia,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y los usuarios del mismo que tengan acceso directo o indirecto a la información mediante su conexión al Software, se sujetan, pero sin limitarse a, las siguientes prohibiciones:</w:t>
      </w:r>
    </w:p>
    <w:p w14:paraId="60758B6E" w14:textId="77777777" w:rsidR="007968EC" w:rsidRPr="002C0D19" w:rsidRDefault="007968EC" w:rsidP="007968EC">
      <w:pPr>
        <w:jc w:val="both"/>
        <w:rPr>
          <w:rFonts w:ascii="Arial Narrow" w:hAnsi="Arial Narrow" w:cs="Arial"/>
          <w:color w:val="000000" w:themeColor="text1"/>
          <w:lang w:val="es-ES" w:eastAsia="es-ES"/>
        </w:rPr>
      </w:pPr>
    </w:p>
    <w:p w14:paraId="1872F792" w14:textId="77777777" w:rsidR="007968EC" w:rsidRPr="002C0D19" w:rsidRDefault="007968EC" w:rsidP="00DA7472">
      <w:pPr>
        <w:numPr>
          <w:ilvl w:val="0"/>
          <w:numId w:val="33"/>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Ceder a cualquier título la propiedad, uso y/o goce, parcial o totalmente, de alguno o parte del Software  que utilice o acceda en virtud de cualesquiera acuerdos o convenios que celebre con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w:t>
      </w:r>
    </w:p>
    <w:p w14:paraId="0D905224" w14:textId="77777777" w:rsidR="007968EC" w:rsidRPr="002C0D19" w:rsidRDefault="007968EC" w:rsidP="00DA7472">
      <w:pPr>
        <w:numPr>
          <w:ilvl w:val="0"/>
          <w:numId w:val="33"/>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Comunicar, divulgar, traspasar, publicar o cualquier otro acto que permita a terceros acceder de alguna forma a información, datos técnicos, estructura u otros elementos o características del o de los Software que utilice en virtud de esta Oferta.  Así mismo, no podrá desarticular, investigar la estructura y/o efectuar ingeniería en reversa sobre él o los Software a que pueda acceder en virtud de esta Oferta.</w:t>
      </w:r>
    </w:p>
    <w:p w14:paraId="74ABE818" w14:textId="77777777" w:rsidR="007968EC" w:rsidRPr="002C0D19" w:rsidRDefault="007968EC" w:rsidP="00DA7472">
      <w:pPr>
        <w:numPr>
          <w:ilvl w:val="0"/>
          <w:numId w:val="33"/>
        </w:numPr>
        <w:jc w:val="both"/>
        <w:rPr>
          <w:rFonts w:ascii="Arial Narrow" w:hAnsi="Arial Narrow" w:cs="Arial"/>
          <w:color w:val="000000" w:themeColor="text1"/>
          <w:lang w:val="es-ES" w:eastAsia="es-ES"/>
        </w:rPr>
      </w:pPr>
      <w:r w:rsidRPr="002C0D19">
        <w:rPr>
          <w:rFonts w:ascii="Arial Narrow" w:hAnsi="Arial Narrow" w:cs="Arial"/>
          <w:color w:val="000000" w:themeColor="text1"/>
          <w:lang w:eastAsia="es-ES"/>
        </w:rPr>
        <w:t xml:space="preserve">Todo acto o acción que no sea la de hacer exclusivamente uso, procesamiento y/o aplicación de la información financiera a que pueda acceder en virtud de la presente Oferta, en las condiciones y formas en ella establecidas o autorizadas por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o la ley y, especialmente, si ese acto o acción puede perjudicar las licencias o derechos que tenga </w:t>
      </w:r>
      <w:r w:rsidRPr="002C0D19">
        <w:rPr>
          <w:rFonts w:ascii="Arial Narrow" w:hAnsi="Arial Narrow" w:cs="Arial"/>
          <w:b/>
          <w:color w:val="000000" w:themeColor="text1"/>
          <w:lang w:eastAsia="es-ES"/>
        </w:rPr>
        <w:t xml:space="preserve">LA CRCC </w:t>
      </w:r>
      <w:r w:rsidRPr="002C0D19">
        <w:rPr>
          <w:rFonts w:ascii="Arial Narrow" w:hAnsi="Arial Narrow" w:cs="Arial"/>
          <w:color w:val="000000" w:themeColor="text1"/>
          <w:lang w:eastAsia="es-ES"/>
        </w:rPr>
        <w:t xml:space="preserve">sobre alguno de los </w:t>
      </w:r>
      <w:r w:rsidRPr="002C0D19">
        <w:rPr>
          <w:rFonts w:ascii="Arial Narrow" w:hAnsi="Arial Narrow" w:cs="Arial"/>
          <w:color w:val="000000" w:themeColor="text1"/>
          <w:lang w:val="es-ES" w:eastAsia="es-ES"/>
        </w:rPr>
        <w:t>Software</w:t>
      </w:r>
      <w:r w:rsidRPr="002C0D19">
        <w:rPr>
          <w:rFonts w:ascii="Arial Narrow" w:hAnsi="Arial Narrow" w:cs="Arial"/>
          <w:color w:val="000000" w:themeColor="text1"/>
          <w:lang w:eastAsia="es-ES"/>
        </w:rPr>
        <w:t xml:space="preserve"> que se utilicen para el suministro de la información.</w:t>
      </w:r>
    </w:p>
    <w:p w14:paraId="01F3E9B1" w14:textId="77777777" w:rsidR="007968EC" w:rsidRPr="002C0D19" w:rsidRDefault="007968EC" w:rsidP="007968EC">
      <w:pPr>
        <w:jc w:val="both"/>
        <w:rPr>
          <w:rFonts w:ascii="Arial Narrow" w:hAnsi="Arial Narrow" w:cs="Arial"/>
          <w:color w:val="000000" w:themeColor="text1"/>
          <w:lang w:val="es-ES" w:eastAsia="es-ES"/>
        </w:rPr>
      </w:pPr>
    </w:p>
    <w:p w14:paraId="0558E047"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Además, de conformidad con la licencia de los Software y los derechos que emanan de su propiedad intelectual,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deberá comunicar de inmediato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cualquier perturbación o amenaza que pudiera sufrir durante la tenencia o uso de los mismos.</w:t>
      </w:r>
    </w:p>
    <w:p w14:paraId="3DA0C762" w14:textId="77777777" w:rsidR="007968EC" w:rsidRPr="002C0D19" w:rsidRDefault="007968EC" w:rsidP="007968EC">
      <w:pPr>
        <w:jc w:val="both"/>
        <w:rPr>
          <w:rFonts w:ascii="Arial Narrow" w:hAnsi="Arial Narrow" w:cs="Arial"/>
          <w:color w:val="000000" w:themeColor="text1"/>
          <w:lang w:val="es-ES" w:eastAsia="es-ES"/>
        </w:rPr>
      </w:pPr>
    </w:p>
    <w:p w14:paraId="5C0DBEED" w14:textId="77777777" w:rsidR="007968EC" w:rsidRPr="002C0D19" w:rsidRDefault="007968EC" w:rsidP="007968EC">
      <w:pPr>
        <w:jc w:val="both"/>
        <w:rPr>
          <w:rFonts w:ascii="Arial Narrow" w:hAnsi="Arial Narrow" w:cs="Arial"/>
          <w:b/>
          <w:bCs/>
          <w:color w:val="000000" w:themeColor="text1"/>
          <w:lang w:val="es-ES" w:eastAsia="es-ES"/>
        </w:rPr>
      </w:pPr>
      <w:r w:rsidRPr="002C0D19">
        <w:rPr>
          <w:rFonts w:ascii="Arial Narrow" w:hAnsi="Arial Narrow" w:cs="Arial"/>
          <w:color w:val="000000" w:themeColor="text1"/>
          <w:lang w:val="es-ES" w:eastAsia="es-ES"/>
        </w:rPr>
        <w:t xml:space="preserve">Por último,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reconoce que de conformidad con la legislación vigente y los respectivos contratos de licencia, las transgresiones de las normas que rigen esta materia pueden constituir ilícitos civiles o penales sancionados expresamente por la ley.</w:t>
      </w:r>
    </w:p>
    <w:p w14:paraId="16626DD4" w14:textId="77777777" w:rsidR="007968EC" w:rsidRPr="002C0D19" w:rsidRDefault="007968EC" w:rsidP="007968EC">
      <w:pPr>
        <w:jc w:val="both"/>
        <w:rPr>
          <w:rFonts w:ascii="Arial Narrow" w:hAnsi="Arial Narrow" w:cs="Arial"/>
          <w:b/>
          <w:bCs/>
          <w:color w:val="000000" w:themeColor="text1"/>
          <w:u w:val="single"/>
          <w:lang w:val="es-ES" w:eastAsia="es-ES"/>
        </w:rPr>
      </w:pPr>
    </w:p>
    <w:p w14:paraId="591C2ECA" w14:textId="77777777" w:rsidR="007968EC" w:rsidRPr="002C0D19" w:rsidRDefault="007968EC" w:rsidP="007968EC">
      <w:pPr>
        <w:jc w:val="both"/>
        <w:rPr>
          <w:rFonts w:ascii="Arial Narrow" w:hAnsi="Arial Narrow" w:cs="Arial"/>
          <w:b/>
          <w:bCs/>
          <w:color w:val="000000" w:themeColor="text1"/>
          <w:lang w:val="es-ES" w:eastAsia="es-ES"/>
        </w:rPr>
      </w:pPr>
      <w:r w:rsidRPr="002C0D19">
        <w:rPr>
          <w:rFonts w:ascii="Arial Narrow" w:hAnsi="Arial Narrow" w:cs="Arial"/>
          <w:b/>
          <w:bCs/>
          <w:color w:val="000000" w:themeColor="text1"/>
          <w:u w:val="single"/>
          <w:lang w:val="es-ES" w:eastAsia="es-ES"/>
        </w:rPr>
        <w:t>NOVENA. Cesión y subcontratación.</w:t>
      </w:r>
      <w:r w:rsidRPr="002C0D19">
        <w:rPr>
          <w:rFonts w:ascii="Arial Narrow" w:hAnsi="Arial Narrow" w:cs="Arial"/>
          <w:b/>
          <w:bCs/>
          <w:color w:val="000000" w:themeColor="text1"/>
          <w:lang w:val="es-ES" w:eastAsia="es-ES"/>
        </w:rPr>
        <w:t xml:space="preserv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no podrá ceder ni subcontratar total o parcialmente la presente Oferta, antes o después de ser aceptada.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podrá hacerse sustituir por uno o varios terceros en la totalidad o parte de sus relaciones contractuales con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sin necesidad de obtener la conformidad de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quien otorga desde ya su consentimiento para dicho efecto</w:t>
      </w:r>
      <w:r w:rsidRPr="002C0D19">
        <w:rPr>
          <w:rFonts w:ascii="Arial Narrow" w:hAnsi="Arial Narrow" w:cs="Arial"/>
          <w:b/>
          <w:bCs/>
          <w:color w:val="000000" w:themeColor="text1"/>
          <w:lang w:val="es-ES" w:eastAsia="es-ES"/>
        </w:rPr>
        <w:t xml:space="preserve">. </w:t>
      </w:r>
    </w:p>
    <w:p w14:paraId="293BCDE1" w14:textId="77777777" w:rsidR="007968EC" w:rsidRPr="002C0D19" w:rsidRDefault="007968EC" w:rsidP="007968EC">
      <w:pPr>
        <w:jc w:val="both"/>
        <w:rPr>
          <w:rFonts w:ascii="Arial Narrow" w:hAnsi="Arial Narrow" w:cs="Arial"/>
          <w:color w:val="000000" w:themeColor="text1"/>
          <w:lang w:val="es-ES" w:eastAsia="es-ES"/>
        </w:rPr>
      </w:pPr>
    </w:p>
    <w:p w14:paraId="76560A0D" w14:textId="77777777" w:rsidR="007968EC" w:rsidRPr="002C0D19" w:rsidRDefault="007968EC" w:rsidP="007968EC">
      <w:pPr>
        <w:jc w:val="both"/>
        <w:rPr>
          <w:rFonts w:ascii="Arial Narrow" w:hAnsi="Arial Narrow" w:cs="Arial"/>
          <w:bCs/>
          <w:color w:val="000000" w:themeColor="text1"/>
          <w:lang w:eastAsia="es-ES"/>
        </w:rPr>
      </w:pPr>
      <w:r w:rsidRPr="002C0D19">
        <w:rPr>
          <w:rFonts w:ascii="Arial Narrow" w:hAnsi="Arial Narrow" w:cs="Arial"/>
          <w:b/>
          <w:color w:val="000000" w:themeColor="text1"/>
          <w:u w:val="single"/>
          <w:lang w:val="es-ES" w:eastAsia="es-ES"/>
        </w:rPr>
        <w:lastRenderedPageBreak/>
        <w:t>DÉCIMA</w:t>
      </w:r>
      <w:r w:rsidRPr="002C0D19">
        <w:rPr>
          <w:rFonts w:ascii="Arial Narrow" w:hAnsi="Arial Narrow" w:cs="Arial"/>
          <w:b/>
          <w:bCs/>
          <w:color w:val="000000" w:themeColor="text1"/>
          <w:u w:val="single"/>
          <w:lang w:eastAsia="es-ES"/>
        </w:rPr>
        <w:t>. Indemnidad.</w:t>
      </w:r>
      <w:r w:rsidRPr="002C0D19">
        <w:rPr>
          <w:rFonts w:ascii="Arial Narrow" w:hAnsi="Arial Narrow" w:cs="Arial"/>
          <w:bCs/>
          <w:color w:val="000000" w:themeColor="text1"/>
          <w:lang w:eastAsia="es-ES"/>
        </w:rPr>
        <w:t xml:space="preserve"> Siempre que </w:t>
      </w:r>
      <w:r w:rsidRPr="002C0D19">
        <w:rPr>
          <w:rFonts w:ascii="Arial Narrow" w:hAnsi="Arial Narrow" w:cs="Arial"/>
          <w:b/>
          <w:bCs/>
          <w:color w:val="000000" w:themeColor="text1"/>
          <w:lang w:eastAsia="es-ES"/>
        </w:rPr>
        <w:t>LA CRCC</w:t>
      </w:r>
      <w:r w:rsidRPr="002C0D19">
        <w:rPr>
          <w:rFonts w:ascii="Arial Narrow" w:hAnsi="Arial Narrow" w:cs="Arial"/>
          <w:bCs/>
          <w:color w:val="000000" w:themeColor="text1"/>
          <w:lang w:eastAsia="es-ES"/>
        </w:rPr>
        <w:t xml:space="preserve"> haya cumplido con las normas y procedimientos aplicables en cada momento, </w:t>
      </w:r>
      <w:r w:rsidRPr="002C0D19">
        <w:rPr>
          <w:rFonts w:ascii="Arial Narrow" w:hAnsi="Arial Narrow" w:cs="Arial"/>
          <w:b/>
          <w:bCs/>
          <w:color w:val="000000" w:themeColor="text1"/>
          <w:lang w:eastAsia="es-ES"/>
        </w:rPr>
        <w:t xml:space="preserve">EL MIEMBRO </w:t>
      </w:r>
      <w:r w:rsidRPr="002C0D19">
        <w:rPr>
          <w:rFonts w:ascii="Arial Narrow" w:hAnsi="Arial Narrow" w:cs="Arial"/>
          <w:bCs/>
          <w:color w:val="000000" w:themeColor="text1"/>
          <w:lang w:eastAsia="es-ES"/>
        </w:rPr>
        <w:t xml:space="preserve">deberá mantener a </w:t>
      </w:r>
      <w:r w:rsidRPr="002C0D19">
        <w:rPr>
          <w:rFonts w:ascii="Arial Narrow" w:hAnsi="Arial Narrow" w:cs="Arial"/>
          <w:b/>
          <w:bCs/>
          <w:color w:val="000000" w:themeColor="text1"/>
          <w:lang w:eastAsia="es-ES"/>
        </w:rPr>
        <w:t>LA CRCC</w:t>
      </w:r>
      <w:r w:rsidRPr="002C0D19">
        <w:rPr>
          <w:rFonts w:ascii="Arial Narrow" w:hAnsi="Arial Narrow" w:cs="Arial"/>
          <w:bCs/>
          <w:color w:val="000000" w:themeColor="text1"/>
          <w:lang w:eastAsia="es-ES"/>
        </w:rPr>
        <w:t xml:space="preserve"> y a sus representantes, órganos o funcionarios, indemnes y libres de todo reclamo, demanda, litigio, acción legal y/o reivindicación de cualquier especie que se entable o pueda entablarse contra </w:t>
      </w:r>
      <w:r w:rsidRPr="002C0D19">
        <w:rPr>
          <w:rFonts w:ascii="Arial Narrow" w:hAnsi="Arial Narrow" w:cs="Arial"/>
          <w:b/>
          <w:bCs/>
          <w:color w:val="000000" w:themeColor="text1"/>
          <w:lang w:eastAsia="es-ES"/>
        </w:rPr>
        <w:t>LA CRCC</w:t>
      </w:r>
      <w:r w:rsidRPr="002C0D19">
        <w:rPr>
          <w:rFonts w:ascii="Arial Narrow" w:hAnsi="Arial Narrow" w:cs="Arial"/>
          <w:bCs/>
          <w:color w:val="000000" w:themeColor="text1"/>
          <w:lang w:eastAsia="es-ES"/>
        </w:rPr>
        <w:t xml:space="preserve">, por causa de acciones u omisiones en que incurra </w:t>
      </w:r>
      <w:r w:rsidRPr="002C0D19">
        <w:rPr>
          <w:rFonts w:ascii="Arial Narrow" w:hAnsi="Arial Narrow" w:cs="Arial"/>
          <w:b/>
          <w:bCs/>
          <w:color w:val="000000" w:themeColor="text1"/>
          <w:lang w:eastAsia="es-ES"/>
        </w:rPr>
        <w:t>EL MIEMBRO</w:t>
      </w:r>
      <w:r w:rsidRPr="002C0D19">
        <w:rPr>
          <w:rFonts w:ascii="Arial Narrow" w:hAnsi="Arial Narrow" w:cs="Arial"/>
          <w:bCs/>
          <w:color w:val="000000" w:themeColor="text1"/>
          <w:lang w:eastAsia="es-ES"/>
        </w:rPr>
        <w:t xml:space="preserve">, sus agentes, representantes o empleados, en la ejecución y desarrollo o con ocasión de la presente Oferta de  Servicios. </w:t>
      </w:r>
    </w:p>
    <w:p w14:paraId="5DCC8257" w14:textId="77777777" w:rsidR="007968EC" w:rsidRPr="002C0D19" w:rsidRDefault="007968EC" w:rsidP="007968EC">
      <w:pPr>
        <w:jc w:val="both"/>
        <w:rPr>
          <w:rFonts w:ascii="Arial Narrow" w:hAnsi="Arial Narrow" w:cs="Arial"/>
          <w:bCs/>
          <w:color w:val="000000" w:themeColor="text1"/>
          <w:lang w:eastAsia="es-ES"/>
        </w:rPr>
      </w:pPr>
    </w:p>
    <w:p w14:paraId="09B139EC" w14:textId="77777777" w:rsidR="007968EC" w:rsidRPr="002C0D19" w:rsidRDefault="007968EC" w:rsidP="007968EC">
      <w:pPr>
        <w:jc w:val="both"/>
        <w:rPr>
          <w:rFonts w:ascii="Arial Narrow" w:hAnsi="Arial Narrow" w:cs="Arial"/>
          <w:bCs/>
          <w:color w:val="000000" w:themeColor="text1"/>
          <w:lang w:val="es-ES" w:eastAsia="es-ES"/>
        </w:rPr>
      </w:pPr>
      <w:r w:rsidRPr="002C0D19">
        <w:rPr>
          <w:rFonts w:ascii="Arial Narrow" w:hAnsi="Arial Narrow" w:cs="Arial"/>
          <w:b/>
          <w:bCs/>
          <w:color w:val="000000" w:themeColor="text1"/>
          <w:u w:val="single"/>
          <w:lang w:val="es-ES" w:eastAsia="es-ES"/>
        </w:rPr>
        <w:t>DÉCIMA PRIMERA. Responsabilidad de LA CRCC.</w:t>
      </w:r>
      <w:r w:rsidRPr="002C0D19">
        <w:rPr>
          <w:rFonts w:ascii="Arial Narrow" w:hAnsi="Arial Narrow" w:cs="Arial"/>
          <w:bCs/>
          <w:color w:val="000000" w:themeColor="text1"/>
          <w:lang w:val="es-ES" w:eastAsia="es-ES"/>
        </w:rPr>
        <w:t xml:space="preserve"> </w:t>
      </w:r>
      <w:r w:rsidRPr="002C0D19">
        <w:rPr>
          <w:rFonts w:ascii="Arial Narrow" w:hAnsi="Arial Narrow" w:cs="Arial"/>
          <w:b/>
          <w:bCs/>
          <w:color w:val="000000" w:themeColor="text1"/>
          <w:lang w:val="es-ES" w:eastAsia="es-ES"/>
        </w:rPr>
        <w:t>LA CRCC</w:t>
      </w:r>
      <w:r w:rsidRPr="002C0D19">
        <w:rPr>
          <w:rFonts w:ascii="Arial Narrow" w:hAnsi="Arial Narrow" w:cs="Arial"/>
          <w:bCs/>
          <w:color w:val="000000" w:themeColor="text1"/>
          <w:lang w:val="es-ES" w:eastAsia="es-ES"/>
        </w:rPr>
        <w:t xml:space="preserve"> no será responsable de los daños y perjuicios que pueda sufrir </w:t>
      </w:r>
      <w:r w:rsidRPr="002C0D19">
        <w:rPr>
          <w:rFonts w:ascii="Arial Narrow" w:hAnsi="Arial Narrow" w:cs="Arial"/>
          <w:b/>
          <w:bCs/>
          <w:color w:val="000000" w:themeColor="text1"/>
          <w:lang w:eastAsia="es-ES"/>
        </w:rPr>
        <w:t xml:space="preserve">EL MIEMBRO </w:t>
      </w:r>
      <w:r w:rsidRPr="002C0D19">
        <w:rPr>
          <w:rFonts w:ascii="Arial Narrow" w:hAnsi="Arial Narrow" w:cs="Arial"/>
          <w:bCs/>
          <w:color w:val="000000" w:themeColor="text1"/>
          <w:lang w:val="es-ES" w:eastAsia="es-ES"/>
        </w:rPr>
        <w:t>o sus Terceros derivados de una situación de caso fortuito o fuerza mayor o, en general, de cualquier hecho en el que no haya mediado dolo o culpa grave por su parte o por parte de alguno de sus empleados.</w:t>
      </w:r>
    </w:p>
    <w:p w14:paraId="6F07BEF1" w14:textId="77777777" w:rsidR="007968EC" w:rsidRPr="002C0D19" w:rsidRDefault="007968EC" w:rsidP="007968EC">
      <w:pPr>
        <w:jc w:val="both"/>
        <w:rPr>
          <w:rFonts w:ascii="Arial Narrow" w:hAnsi="Arial Narrow" w:cs="Arial"/>
          <w:bCs/>
          <w:color w:val="000000" w:themeColor="text1"/>
          <w:lang w:eastAsia="es-ES"/>
        </w:rPr>
      </w:pPr>
    </w:p>
    <w:p w14:paraId="173503D6" w14:textId="77777777" w:rsidR="007968EC" w:rsidRPr="002C0D19" w:rsidRDefault="007968EC" w:rsidP="007968EC">
      <w:pPr>
        <w:tabs>
          <w:tab w:val="left" w:pos="567"/>
        </w:tabs>
        <w:ind w:right="-16"/>
        <w:jc w:val="both"/>
        <w:rPr>
          <w:rFonts w:ascii="Arial Narrow" w:hAnsi="Arial Narrow" w:cs="Arial"/>
          <w:color w:val="000000" w:themeColor="text1"/>
          <w:lang w:val="es-ES_tradnl" w:eastAsia="es-ES"/>
        </w:rPr>
      </w:pPr>
      <w:r w:rsidRPr="002C0D19">
        <w:rPr>
          <w:rFonts w:ascii="Arial Narrow" w:hAnsi="Arial Narrow" w:cs="Arial"/>
          <w:b/>
          <w:color w:val="000000" w:themeColor="text1"/>
          <w:u w:val="single"/>
          <w:lang w:val="es-ES" w:eastAsia="es-ES"/>
        </w:rPr>
        <w:t>DÉCIMA</w:t>
      </w:r>
      <w:r w:rsidRPr="002C0D19" w:rsidDel="006F4185">
        <w:rPr>
          <w:rFonts w:ascii="Arial Narrow" w:hAnsi="Arial Narrow" w:cs="Arial"/>
          <w:b/>
          <w:color w:val="000000" w:themeColor="text1"/>
          <w:u w:val="single"/>
          <w:lang w:val="es-ES" w:eastAsia="es-ES"/>
        </w:rPr>
        <w:t xml:space="preserve"> </w:t>
      </w:r>
      <w:r w:rsidRPr="002C0D19">
        <w:rPr>
          <w:rFonts w:ascii="Arial Narrow" w:hAnsi="Arial Narrow" w:cs="Arial"/>
          <w:b/>
          <w:color w:val="000000" w:themeColor="text1"/>
          <w:u w:val="single"/>
          <w:lang w:val="es-ES" w:eastAsia="es-ES"/>
        </w:rPr>
        <w:t xml:space="preserve">SEGUNDA. </w:t>
      </w:r>
      <w:r w:rsidRPr="002C0D19">
        <w:rPr>
          <w:rFonts w:ascii="Arial Narrow" w:hAnsi="Arial Narrow" w:cs="Arial"/>
          <w:b/>
          <w:bCs/>
          <w:color w:val="000000" w:themeColor="text1"/>
          <w:u w:val="single"/>
          <w:lang w:val="es-ES" w:eastAsia="es-ES"/>
        </w:rPr>
        <w:t>Cláusula Compromisoria</w:t>
      </w:r>
      <w:r w:rsidRPr="002C0D19">
        <w:rPr>
          <w:rFonts w:ascii="Arial Narrow" w:hAnsi="Arial Narrow" w:cs="Arial"/>
          <w:b/>
          <w:bCs/>
          <w:color w:val="000000" w:themeColor="text1"/>
          <w:lang w:val="es-ES" w:eastAsia="es-ES"/>
        </w:rPr>
        <w:t>.</w:t>
      </w:r>
      <w:r w:rsidRPr="002C0D19">
        <w:rPr>
          <w:rFonts w:ascii="Arial Narrow" w:hAnsi="Arial Narrow" w:cs="Arial"/>
          <w:color w:val="000000" w:themeColor="text1"/>
          <w:lang w:val="es-ES" w:eastAsia="es-ES"/>
        </w:rPr>
        <w:t xml:space="preserve"> </w:t>
      </w:r>
      <w:r w:rsidRPr="002C0D19">
        <w:rPr>
          <w:rFonts w:ascii="Arial Narrow" w:hAnsi="Arial Narrow" w:cs="Arial"/>
          <w:color w:val="000000" w:themeColor="text1"/>
          <w:lang w:val="es-ES_tradnl" w:eastAsia="es-ES"/>
        </w:rPr>
        <w:t>Todas las diferencias que ocurran entre las partes con ocasión de la presente Oferta, una vez aceptada, y que no puedan solucionarse por acuerdo directo entre ellas, en un plazo que no podrá exceder de dos (2) meses contados a partir de la fecha del evento que generó la diferencia, serán resueltos por un Tribunal de Arbitramento. Cuando la cuantía de las pretensiones supere los mil (1000) salarios mínimos legales mensuales vigentes en Colombia, el Tribunal de Arbitramento estará conformado por tres (3) árbitros, los cuales serán designados por las partes dentro de los quince (15) días hábiles siguientes al vencimiento del plazo de dos (2) meses de acuerdo directo, o a falta de acuerdo, mediante sorteo entre los árbitros inscritos en el Centro de Arbitraje y Conciliación de la Cámara de Comercio de Bogotá. En caso de que la cuantía de las pretensiones sea igual o inferior a mil (1000) salarios mínimos legales mensuales vigentes en Colombia, el Tribunal de Arbitramento estará conformado por un (1) árbitro, el cual será designado por las partes dentro de los quince (15) días hábiles siguientes al vencimiento del plazo de dos (2) meses de acuerdo directo, o a falta de acuerdo, por sorteo entre los árbitros inscritos en el Centro de Arbitraje y Conciliación de la Cámara de Comercio de Bogotá. El o los árbitros designados serán Abogados inscritos y fallarán en derecho. El Tribunal de Arbitramento tendrá sede en la ciudad de Bogotá y se regirá por las leyes colombianas.</w:t>
      </w:r>
    </w:p>
    <w:p w14:paraId="67E0EBF3" w14:textId="77777777" w:rsidR="007968EC" w:rsidRPr="002C0D19" w:rsidRDefault="007968EC" w:rsidP="007968EC">
      <w:pPr>
        <w:tabs>
          <w:tab w:val="left" w:pos="567"/>
        </w:tabs>
        <w:ind w:right="-16"/>
        <w:jc w:val="both"/>
        <w:rPr>
          <w:rFonts w:ascii="Arial Narrow" w:hAnsi="Arial Narrow" w:cs="Arial"/>
          <w:color w:val="000000" w:themeColor="text1"/>
          <w:lang w:val="es-ES" w:eastAsia="es-ES"/>
        </w:rPr>
      </w:pPr>
    </w:p>
    <w:p w14:paraId="3AC8C6DC"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color w:val="000000" w:themeColor="text1"/>
          <w:u w:val="single"/>
          <w:lang w:val="es-ES" w:eastAsia="es-ES"/>
        </w:rPr>
        <w:t>DÉCIMA</w:t>
      </w:r>
      <w:r w:rsidRPr="002C0D19" w:rsidDel="006F4185">
        <w:rPr>
          <w:rFonts w:ascii="Arial Narrow" w:hAnsi="Arial Narrow" w:cs="Arial"/>
          <w:b/>
          <w:bCs/>
          <w:color w:val="000000" w:themeColor="text1"/>
          <w:u w:val="single"/>
          <w:lang w:val="es-ES" w:eastAsia="es-ES"/>
        </w:rPr>
        <w:t xml:space="preserve"> </w:t>
      </w:r>
      <w:r w:rsidRPr="002C0D19">
        <w:rPr>
          <w:rFonts w:ascii="Arial Narrow" w:hAnsi="Arial Narrow" w:cs="Arial"/>
          <w:b/>
          <w:bCs/>
          <w:color w:val="000000" w:themeColor="text1"/>
          <w:u w:val="single"/>
          <w:lang w:val="es-ES" w:eastAsia="es-ES"/>
        </w:rPr>
        <w:t xml:space="preserve">TERCERA. </w:t>
      </w:r>
      <w:r w:rsidRPr="002C0D19">
        <w:rPr>
          <w:rFonts w:ascii="Arial Narrow" w:hAnsi="Arial Narrow" w:cs="Arial"/>
          <w:b/>
          <w:color w:val="000000" w:themeColor="text1"/>
          <w:u w:val="single"/>
          <w:lang w:val="es-ES" w:eastAsia="es-ES"/>
        </w:rPr>
        <w:t>Mérito Ejecutivo.</w:t>
      </w:r>
      <w:r w:rsidRPr="002C0D19">
        <w:rPr>
          <w:rFonts w:ascii="Arial Narrow" w:hAnsi="Arial Narrow" w:cs="Arial"/>
          <w:b/>
          <w:color w:val="000000" w:themeColor="text1"/>
          <w:lang w:val="es-ES" w:eastAsia="es-ES"/>
        </w:rPr>
        <w:t xml:space="preserve"> EL MIEMBRO </w:t>
      </w:r>
      <w:r w:rsidRPr="002C0D19">
        <w:rPr>
          <w:rFonts w:ascii="Arial Narrow" w:hAnsi="Arial Narrow" w:cs="Arial"/>
          <w:color w:val="000000" w:themeColor="text1"/>
          <w:lang w:val="es-ES" w:eastAsia="es-ES"/>
        </w:rPr>
        <w:t>reconoce y acepta que la presente Oferta de Servicios, una vez aceptada mediante la expedición de la Orden de Compra de Servicios,</w:t>
      </w:r>
      <w:r w:rsidRPr="002C0D19" w:rsidDel="00CA2BCF">
        <w:rPr>
          <w:rFonts w:ascii="Arial Narrow" w:hAnsi="Arial Narrow" w:cs="Arial"/>
          <w:color w:val="000000" w:themeColor="text1"/>
          <w:lang w:val="es-ES" w:eastAsia="es-ES"/>
        </w:rPr>
        <w:t xml:space="preserve"> </w:t>
      </w:r>
      <w:r w:rsidRPr="002C0D19">
        <w:rPr>
          <w:rFonts w:ascii="Arial Narrow" w:hAnsi="Arial Narrow" w:cs="Arial"/>
          <w:color w:val="000000" w:themeColor="text1"/>
          <w:lang w:val="es-ES" w:eastAsia="es-ES"/>
        </w:rPr>
        <w:t xml:space="preserve">prestará mérito ejecutivo para solicitar el cumplimiento de las obligaciones a su cargo, sin necesidad de requerimiento en mora judicial o extrajudicial. </w:t>
      </w:r>
    </w:p>
    <w:p w14:paraId="4381A9E2" w14:textId="77777777" w:rsidR="007968EC" w:rsidRPr="002C0D19" w:rsidRDefault="007968EC" w:rsidP="007968EC">
      <w:pPr>
        <w:jc w:val="both"/>
        <w:rPr>
          <w:rFonts w:ascii="Arial Narrow" w:hAnsi="Arial Narrow" w:cs="Arial"/>
          <w:color w:val="000000" w:themeColor="text1"/>
          <w:lang w:val="es-ES" w:eastAsia="es-ES"/>
        </w:rPr>
      </w:pPr>
    </w:p>
    <w:p w14:paraId="605F1346"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color w:val="000000" w:themeColor="text1"/>
          <w:u w:val="single"/>
          <w:lang w:val="es-ES" w:eastAsia="es-ES"/>
        </w:rPr>
        <w:t>DÉCIMA CUARTA. Notificaciones.</w:t>
      </w:r>
      <w:r w:rsidRPr="002C0D19">
        <w:rPr>
          <w:rFonts w:ascii="Arial Narrow" w:hAnsi="Arial Narrow" w:cs="Arial"/>
          <w:color w:val="000000" w:themeColor="text1"/>
          <w:lang w:val="es-ES" w:eastAsia="es-ES"/>
        </w:rPr>
        <w:t xml:space="preserve"> Todas las notificaciones y comunicaciones relacionadas con la presente Oferta de servicios se harán por escrito y se enviarán a las siguientes direcciones:</w:t>
      </w:r>
    </w:p>
    <w:p w14:paraId="3A734BE8" w14:textId="77777777" w:rsidR="007968EC" w:rsidRPr="002C0D19" w:rsidRDefault="007968EC" w:rsidP="007968EC">
      <w:pPr>
        <w:tabs>
          <w:tab w:val="left" w:pos="567"/>
        </w:tabs>
        <w:ind w:right="-16"/>
        <w:jc w:val="both"/>
        <w:rPr>
          <w:rFonts w:ascii="Arial Narrow" w:hAnsi="Arial Narrow" w:cs="Arial"/>
          <w:color w:val="000000" w:themeColor="text1"/>
          <w:lang w:val="es-ES" w:eastAsia="es-ES"/>
        </w:rPr>
      </w:pPr>
    </w:p>
    <w:p w14:paraId="7433D733" w14:textId="77777777" w:rsidR="007968EC" w:rsidRPr="002C0D19" w:rsidRDefault="007968EC" w:rsidP="007968EC">
      <w:pPr>
        <w:tabs>
          <w:tab w:val="left" w:pos="567"/>
          <w:tab w:val="left" w:pos="2835"/>
        </w:tabs>
        <w:ind w:left="2805" w:right="-16" w:hanging="2805"/>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w:t>
      </w:r>
      <w:r w:rsidRPr="002C0D19">
        <w:rPr>
          <w:rFonts w:ascii="Arial Narrow" w:hAnsi="Arial Narrow" w:cs="Arial"/>
          <w:color w:val="000000" w:themeColor="text1"/>
          <w:lang w:val="es-ES" w:eastAsia="es-ES"/>
        </w:rPr>
        <w:tab/>
      </w:r>
      <w:r w:rsidRPr="002C0D19">
        <w:rPr>
          <w:rFonts w:ascii="Arial Narrow" w:hAnsi="Arial Narrow" w:cs="Arial"/>
          <w:b/>
          <w:color w:val="000000" w:themeColor="text1"/>
          <w:lang w:val="es-ES" w:eastAsia="es-ES"/>
        </w:rPr>
        <w:t xml:space="preserve">CÁMARA DE RIESGO CENTRAL DE CONTRAPARTE DE COLOMBIA S.A. </w:t>
      </w:r>
      <w:r w:rsidRPr="002C0D19">
        <w:rPr>
          <w:rFonts w:ascii="Arial Narrow" w:hAnsi="Arial Narrow" w:cs="Arial"/>
          <w:b/>
          <w:color w:val="000000" w:themeColor="text1"/>
          <w:lang w:val="es-ES" w:eastAsia="es-ES"/>
        </w:rPr>
        <w:tab/>
      </w:r>
    </w:p>
    <w:p w14:paraId="03D3AA28" w14:textId="77777777" w:rsidR="007968EC" w:rsidRPr="002C0D19" w:rsidRDefault="007968EC" w:rsidP="007968EC">
      <w:pPr>
        <w:tabs>
          <w:tab w:val="left" w:pos="567"/>
          <w:tab w:val="left" w:pos="2835"/>
        </w:tabs>
        <w:ind w:right="51"/>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ab/>
      </w:r>
      <w:r w:rsidRPr="002C0D19">
        <w:rPr>
          <w:rFonts w:ascii="Arial Narrow" w:hAnsi="Arial Narrow" w:cs="Arial"/>
          <w:color w:val="000000" w:themeColor="text1"/>
          <w:lang w:val="es-ES" w:eastAsia="es-ES"/>
        </w:rPr>
        <w:tab/>
        <w:t xml:space="preserve">Fax: </w:t>
      </w:r>
    </w:p>
    <w:p w14:paraId="6A335FED" w14:textId="77777777" w:rsidR="007968EC" w:rsidRPr="002C0D19" w:rsidRDefault="007968EC" w:rsidP="007968EC">
      <w:pPr>
        <w:tabs>
          <w:tab w:val="left" w:pos="567"/>
          <w:tab w:val="left" w:pos="2835"/>
        </w:tabs>
        <w:ind w:right="-16"/>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ab/>
      </w:r>
      <w:r w:rsidRPr="002C0D19">
        <w:rPr>
          <w:rFonts w:ascii="Arial Narrow" w:hAnsi="Arial Narrow" w:cs="Arial"/>
          <w:color w:val="000000" w:themeColor="text1"/>
          <w:lang w:val="es-ES" w:eastAsia="es-ES"/>
        </w:rPr>
        <w:tab/>
        <w:t xml:space="preserve">Dirección: </w:t>
      </w:r>
    </w:p>
    <w:p w14:paraId="4FF3E50F" w14:textId="77777777" w:rsidR="007968EC" w:rsidRPr="002C0D19" w:rsidRDefault="007968EC" w:rsidP="007968EC">
      <w:pPr>
        <w:tabs>
          <w:tab w:val="left" w:pos="567"/>
          <w:tab w:val="left" w:pos="2835"/>
        </w:tabs>
        <w:ind w:right="-16"/>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ab/>
      </w:r>
      <w:r w:rsidRPr="002C0D19">
        <w:rPr>
          <w:rFonts w:ascii="Arial Narrow" w:hAnsi="Arial Narrow" w:cs="Arial"/>
          <w:color w:val="000000" w:themeColor="text1"/>
          <w:lang w:val="es-ES" w:eastAsia="es-ES"/>
        </w:rPr>
        <w:tab/>
        <w:t>Bogotá, D.C.</w:t>
      </w:r>
    </w:p>
    <w:p w14:paraId="5AA741BF" w14:textId="77777777" w:rsidR="007968EC" w:rsidRPr="002C0D19" w:rsidRDefault="007968EC" w:rsidP="007968EC">
      <w:pPr>
        <w:tabs>
          <w:tab w:val="left" w:pos="567"/>
          <w:tab w:val="left" w:pos="2835"/>
        </w:tabs>
        <w:ind w:right="-16"/>
        <w:jc w:val="both"/>
        <w:rPr>
          <w:rFonts w:ascii="Arial Narrow" w:hAnsi="Arial Narrow" w:cs="Arial"/>
          <w:color w:val="000000" w:themeColor="text1"/>
          <w:lang w:val="es-ES" w:eastAsia="es-ES"/>
        </w:rPr>
      </w:pPr>
    </w:p>
    <w:p w14:paraId="5D92194C" w14:textId="77777777" w:rsidR="007968EC" w:rsidRPr="002C0D19" w:rsidRDefault="007968EC" w:rsidP="007968EC">
      <w:pPr>
        <w:tabs>
          <w:tab w:val="left" w:pos="567"/>
          <w:tab w:val="left" w:pos="2835"/>
        </w:tabs>
        <w:ind w:right="-16"/>
        <w:jc w:val="both"/>
        <w:rPr>
          <w:rFonts w:ascii="Arial Narrow" w:hAnsi="Arial Narrow" w:cs="Arial"/>
          <w:b/>
          <w:color w:val="000000" w:themeColor="text1"/>
          <w:lang w:val="es-ES" w:eastAsia="es-ES"/>
        </w:rPr>
      </w:pPr>
    </w:p>
    <w:p w14:paraId="48E15B71" w14:textId="77777777" w:rsidR="007968EC" w:rsidRPr="002C0D19" w:rsidRDefault="007968EC" w:rsidP="007968EC">
      <w:pPr>
        <w:tabs>
          <w:tab w:val="left" w:pos="567"/>
          <w:tab w:val="left" w:pos="2835"/>
        </w:tabs>
        <w:ind w:right="44"/>
        <w:jc w:val="both"/>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lastRenderedPageBreak/>
        <w:t>EL MIEMBRO:</w:t>
      </w:r>
      <w:r w:rsidRPr="002C0D19">
        <w:rPr>
          <w:rFonts w:ascii="Arial Narrow" w:hAnsi="Arial Narrow" w:cs="Arial"/>
          <w:b/>
          <w:color w:val="000000" w:themeColor="text1"/>
          <w:lang w:val="es-ES" w:eastAsia="es-ES"/>
        </w:rPr>
        <w:tab/>
      </w:r>
    </w:p>
    <w:p w14:paraId="087DC7EF"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b/>
          <w:color w:val="000000" w:themeColor="text1"/>
          <w:lang w:val="es-ES" w:eastAsia="es-ES"/>
        </w:rPr>
        <w:tab/>
      </w:r>
      <w:r w:rsidRPr="002C0D19">
        <w:rPr>
          <w:rFonts w:ascii="Arial Narrow" w:hAnsi="Arial Narrow" w:cs="Arial"/>
          <w:b/>
          <w:color w:val="000000" w:themeColor="text1"/>
          <w:lang w:val="es-ES" w:eastAsia="es-ES"/>
        </w:rPr>
        <w:tab/>
      </w:r>
      <w:r w:rsidRPr="002C0D19">
        <w:rPr>
          <w:rFonts w:ascii="Arial Narrow" w:hAnsi="Arial Narrow" w:cs="Arial"/>
          <w:color w:val="000000" w:themeColor="text1"/>
          <w:lang w:eastAsia="es-ES"/>
        </w:rPr>
        <w:t xml:space="preserve">Fax:  </w:t>
      </w:r>
    </w:p>
    <w:p w14:paraId="5C6BD30C"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r>
      <w:r w:rsidRPr="002C0D19">
        <w:rPr>
          <w:rFonts w:ascii="Arial Narrow" w:hAnsi="Arial Narrow" w:cs="Arial"/>
          <w:color w:val="000000" w:themeColor="text1"/>
          <w:lang w:val="es-ES" w:eastAsia="es-ES"/>
        </w:rPr>
        <w:t>Dirección</w:t>
      </w:r>
      <w:r w:rsidRPr="002C0D19">
        <w:rPr>
          <w:rFonts w:ascii="Arial Narrow" w:hAnsi="Arial Narrow" w:cs="Arial"/>
          <w:color w:val="000000" w:themeColor="text1"/>
          <w:lang w:eastAsia="es-ES"/>
        </w:rPr>
        <w:t xml:space="preserve">: </w:t>
      </w:r>
    </w:p>
    <w:p w14:paraId="2F8C482E" w14:textId="77777777" w:rsidR="007968EC" w:rsidRPr="002C0D19" w:rsidRDefault="007968EC" w:rsidP="007968EC">
      <w:pPr>
        <w:tabs>
          <w:tab w:val="left" w:pos="567"/>
          <w:tab w:val="left" w:pos="2835"/>
        </w:tabs>
        <w:ind w:right="44"/>
        <w:jc w:val="both"/>
        <w:rPr>
          <w:rFonts w:ascii="Arial Narrow" w:hAnsi="Arial Narrow" w:cs="Arial"/>
          <w:color w:val="000000" w:themeColor="text1"/>
          <w:lang w:val="es-ES"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t xml:space="preserve">Ciudad: </w:t>
      </w:r>
    </w:p>
    <w:p w14:paraId="33B9D7DD" w14:textId="77777777" w:rsidR="007968EC" w:rsidRPr="002C0D19" w:rsidRDefault="007968EC" w:rsidP="007968EC">
      <w:pPr>
        <w:jc w:val="both"/>
        <w:rPr>
          <w:rFonts w:ascii="Arial Narrow" w:hAnsi="Arial Narrow" w:cs="Arial"/>
          <w:b/>
          <w:bCs/>
          <w:color w:val="000000" w:themeColor="text1"/>
          <w:u w:val="single"/>
          <w:lang w:val="es-ES" w:eastAsia="es-ES"/>
        </w:rPr>
      </w:pPr>
    </w:p>
    <w:p w14:paraId="7B9B1A3D"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es-ES" w:eastAsia="es-ES"/>
        </w:rPr>
        <w:t>DÉCIMA QUINTA.</w:t>
      </w:r>
      <w:r w:rsidRPr="002C0D19">
        <w:rPr>
          <w:rFonts w:ascii="Arial Narrow" w:hAnsi="Arial Narrow" w:cs="Arial"/>
          <w:b/>
          <w:bCs/>
          <w:color w:val="000000" w:themeColor="text1"/>
          <w:lang w:val="es-ES" w:eastAsia="es-ES"/>
        </w:rPr>
        <w:t xml:space="preserve"> Aceptación de esta Oferta.</w:t>
      </w:r>
      <w:r w:rsidRPr="002C0D19">
        <w:rPr>
          <w:rFonts w:ascii="Arial Narrow" w:hAnsi="Arial Narrow" w:cs="Arial"/>
          <w:color w:val="000000" w:themeColor="text1"/>
          <w:lang w:val="es-ES" w:eastAsia="es-ES"/>
        </w:rPr>
        <w:t xml:space="preserve"> La presente Oferta se entenderá aceptada mediante la expedición, por parte de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de una Orden de Compra de Servicios.</w:t>
      </w:r>
    </w:p>
    <w:p w14:paraId="084A9804" w14:textId="77777777" w:rsidR="007968EC" w:rsidRPr="002C0D19" w:rsidRDefault="007968EC" w:rsidP="007968EC">
      <w:pPr>
        <w:jc w:val="both"/>
        <w:rPr>
          <w:rFonts w:ascii="Arial Narrow" w:hAnsi="Arial Narrow" w:cs="Arial"/>
          <w:color w:val="000000" w:themeColor="text1"/>
          <w:lang w:val="es-ES" w:eastAsia="es-ES"/>
        </w:rPr>
      </w:pPr>
    </w:p>
    <w:p w14:paraId="30B67CB0"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es-ES" w:eastAsia="es-ES"/>
        </w:rPr>
        <w:t>DÉCIMA SEXTA.</w:t>
      </w:r>
      <w:r w:rsidRPr="002C0D19">
        <w:rPr>
          <w:rFonts w:ascii="Arial Narrow" w:hAnsi="Arial Narrow" w:cs="Arial"/>
          <w:b/>
          <w:bCs/>
          <w:color w:val="000000" w:themeColor="text1"/>
          <w:lang w:val="es-ES" w:eastAsia="es-ES"/>
        </w:rPr>
        <w:t xml:space="preserve"> Impuestos.</w:t>
      </w:r>
      <w:r w:rsidRPr="002C0D19">
        <w:rPr>
          <w:rFonts w:ascii="Arial Narrow" w:hAnsi="Arial Narrow" w:cs="Arial"/>
          <w:color w:val="000000" w:themeColor="text1"/>
          <w:lang w:val="es-ES" w:eastAsia="es-ES"/>
        </w:rPr>
        <w:t xml:space="preserve"> De conformidad con el numeral 52 del artículo 530 del Estatuto Tributario, la presente Oferta y su posterior aceptación mediante Orden de Compra de Servicios no causan impuesto de timbre.</w:t>
      </w:r>
      <w:r w:rsidRPr="002C0D19">
        <w:rPr>
          <w:rFonts w:ascii="Arial Narrow" w:hAnsi="Arial Narrow"/>
          <w:color w:val="000000" w:themeColor="text1"/>
          <w:lang w:val="es-ES" w:eastAsia="es-ES"/>
        </w:rPr>
        <w:t xml:space="preserve"> </w:t>
      </w:r>
      <w:r w:rsidRPr="002C0D19">
        <w:rPr>
          <w:rFonts w:ascii="Arial Narrow" w:hAnsi="Arial Narrow" w:cs="Arial"/>
          <w:color w:val="000000" w:themeColor="text1"/>
          <w:lang w:val="es-ES" w:eastAsia="es-ES"/>
        </w:rPr>
        <w:t xml:space="preserve">En todo caso, todos los gastos e impuestos de cualquier naturaleza que se generen en relación con la presente oferta, serán de cargo de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w:t>
      </w:r>
    </w:p>
    <w:p w14:paraId="63DA3E5B" w14:textId="77777777" w:rsidR="007968EC" w:rsidRPr="002C0D19" w:rsidRDefault="007968EC" w:rsidP="007968EC">
      <w:pPr>
        <w:jc w:val="both"/>
        <w:rPr>
          <w:rFonts w:ascii="Arial Narrow" w:hAnsi="Arial Narrow" w:cs="Arial"/>
          <w:color w:val="000000" w:themeColor="text1"/>
          <w:lang w:val="es-ES" w:eastAsia="es-ES"/>
        </w:rPr>
      </w:pPr>
    </w:p>
    <w:p w14:paraId="469721C5"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Para constancia, se firma en Bogotá D.C., el día ______________ (____) del mes de _____________ del año dos mil ___________ (____). </w:t>
      </w:r>
    </w:p>
    <w:p w14:paraId="2EF74DF2" w14:textId="77777777" w:rsidR="007968EC" w:rsidRPr="002C0D19" w:rsidRDefault="007968EC" w:rsidP="007968EC">
      <w:pPr>
        <w:jc w:val="both"/>
        <w:rPr>
          <w:rFonts w:ascii="Arial Narrow" w:hAnsi="Arial Narrow" w:cs="Arial"/>
          <w:color w:val="000000" w:themeColor="text1"/>
          <w:lang w:val="es-ES" w:eastAsia="es-ES"/>
        </w:rPr>
      </w:pPr>
    </w:p>
    <w:p w14:paraId="60760C69" w14:textId="77777777" w:rsidR="007968EC" w:rsidRPr="002C0D19" w:rsidRDefault="007968EC" w:rsidP="007968EC">
      <w:pPr>
        <w:jc w:val="both"/>
        <w:rPr>
          <w:rFonts w:ascii="Arial Narrow" w:hAnsi="Arial Narrow" w:cs="Arial"/>
          <w:b/>
          <w:bCs/>
          <w:color w:val="000000" w:themeColor="text1"/>
          <w:lang w:val="es-ES" w:eastAsia="es-ES"/>
        </w:rPr>
      </w:pPr>
      <w:r w:rsidRPr="002C0D19">
        <w:rPr>
          <w:rFonts w:ascii="Arial Narrow" w:hAnsi="Arial Narrow" w:cs="Arial"/>
          <w:b/>
          <w:bCs/>
          <w:color w:val="000000" w:themeColor="text1"/>
          <w:lang w:val="es-ES" w:eastAsia="es-ES"/>
        </w:rPr>
        <w:t xml:space="preserve">LA CRCC </w:t>
      </w:r>
    </w:p>
    <w:p w14:paraId="2BC70DA2" w14:textId="77777777" w:rsidR="007968EC" w:rsidRPr="002C0D19" w:rsidRDefault="007968EC" w:rsidP="007968EC">
      <w:pPr>
        <w:jc w:val="both"/>
        <w:rPr>
          <w:rFonts w:ascii="Arial Narrow" w:hAnsi="Arial Narrow" w:cs="Arial"/>
          <w:color w:val="000000" w:themeColor="text1"/>
          <w:spacing w:val="-3"/>
          <w:lang w:val="es-ES" w:eastAsia="es-ES"/>
        </w:rPr>
      </w:pPr>
    </w:p>
    <w:p w14:paraId="0E62D280" w14:textId="77777777" w:rsidR="007968EC" w:rsidRPr="002C0D19" w:rsidRDefault="007968EC" w:rsidP="007968EC">
      <w:pPr>
        <w:jc w:val="both"/>
        <w:rPr>
          <w:rFonts w:ascii="Arial Narrow" w:hAnsi="Arial Narrow" w:cs="Arial"/>
          <w:color w:val="000000" w:themeColor="text1"/>
          <w:spacing w:val="-3"/>
          <w:lang w:val="es-ES" w:eastAsia="es-ES"/>
        </w:rPr>
      </w:pPr>
    </w:p>
    <w:p w14:paraId="00323964" w14:textId="77777777" w:rsidR="007968EC" w:rsidRPr="002C0D19" w:rsidRDefault="007968EC" w:rsidP="007968EC">
      <w:pPr>
        <w:jc w:val="both"/>
        <w:rPr>
          <w:rFonts w:ascii="Arial Narrow" w:hAnsi="Arial Narrow" w:cs="Arial"/>
          <w:color w:val="000000" w:themeColor="text1"/>
          <w:spacing w:val="-3"/>
          <w:lang w:val="es-ES" w:eastAsia="es-ES"/>
        </w:rPr>
      </w:pPr>
    </w:p>
    <w:p w14:paraId="21D07058" w14:textId="77777777" w:rsidR="007968EC" w:rsidRPr="002C0D19" w:rsidRDefault="007968EC" w:rsidP="007968EC">
      <w:pPr>
        <w:jc w:val="both"/>
        <w:rPr>
          <w:rFonts w:ascii="Arial Narrow" w:hAnsi="Arial Narrow" w:cs="Arial"/>
          <w:color w:val="000000" w:themeColor="text1"/>
          <w:spacing w:val="-3"/>
          <w:lang w:val="es-ES" w:eastAsia="es-ES"/>
        </w:rPr>
      </w:pPr>
    </w:p>
    <w:p w14:paraId="5472B098"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Por:          ________________________________                      </w:t>
      </w:r>
    </w:p>
    <w:p w14:paraId="4EED8A2A"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Nombre:                                         </w:t>
      </w:r>
    </w:p>
    <w:p w14:paraId="09DA4A06"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Cargo:       Representante Legal                                    </w:t>
      </w:r>
    </w:p>
    <w:p w14:paraId="165676B7" w14:textId="77777777" w:rsidR="007968EC" w:rsidRPr="002C0D19" w:rsidRDefault="007968EC" w:rsidP="007968EC">
      <w:pPr>
        <w:jc w:val="both"/>
        <w:rPr>
          <w:rFonts w:ascii="Arial Narrow" w:hAnsi="Arial Narrow" w:cs="Arial"/>
          <w:color w:val="000000" w:themeColor="text1"/>
          <w:spacing w:val="-3"/>
          <w:lang w:val="fr-FR" w:eastAsia="es-ES"/>
        </w:rPr>
      </w:pPr>
      <w:r w:rsidRPr="002C0D19">
        <w:rPr>
          <w:rFonts w:ascii="Arial Narrow" w:hAnsi="Arial Narrow" w:cs="Arial"/>
          <w:color w:val="000000" w:themeColor="text1"/>
          <w:spacing w:val="-3"/>
          <w:lang w:val="fr-FR" w:eastAsia="es-ES"/>
        </w:rPr>
        <w:t>C.C.</w:t>
      </w:r>
    </w:p>
    <w:p w14:paraId="0E14F63E" w14:textId="77777777" w:rsidR="007968EC" w:rsidRPr="002C0D19" w:rsidRDefault="007968EC" w:rsidP="007968EC">
      <w:pPr>
        <w:jc w:val="center"/>
        <w:rPr>
          <w:rFonts w:ascii="Arial Narrow" w:hAnsi="Arial Narrow" w:cs="Arial"/>
          <w:color w:val="000000" w:themeColor="text1"/>
          <w:lang w:val="es-MX" w:eastAsia="es-ES"/>
        </w:rPr>
      </w:pPr>
    </w:p>
    <w:p w14:paraId="55375EFF" w14:textId="77777777" w:rsidR="007968EC" w:rsidRPr="002C0D19" w:rsidRDefault="007968EC" w:rsidP="007968EC">
      <w:pPr>
        <w:jc w:val="both"/>
        <w:rPr>
          <w:rFonts w:ascii="Arial Narrow" w:hAnsi="Arial Narrow" w:cs="Arial"/>
          <w:color w:val="000000" w:themeColor="text1"/>
          <w:lang w:val="es-ES" w:eastAsia="es-ES"/>
        </w:rPr>
      </w:pPr>
    </w:p>
    <w:p w14:paraId="48443880" w14:textId="77777777" w:rsidR="007968EC" w:rsidRPr="002C0D19" w:rsidRDefault="007968EC" w:rsidP="007968EC">
      <w:pPr>
        <w:jc w:val="center"/>
        <w:rPr>
          <w:rFonts w:ascii="Arial Narrow" w:hAnsi="Arial Narrow" w:cs="Arial"/>
          <w:color w:val="000000" w:themeColor="text1"/>
          <w:lang w:val="es-ES" w:eastAsia="es-ES"/>
        </w:rPr>
      </w:pPr>
    </w:p>
    <w:p w14:paraId="7C38547F" w14:textId="77777777" w:rsidR="007968EC" w:rsidRPr="002C0D19" w:rsidRDefault="007968EC" w:rsidP="007968EC">
      <w:pPr>
        <w:rPr>
          <w:rFonts w:ascii="Arial Narrow" w:hAnsi="Arial Narrow" w:cs="Arial"/>
          <w:b/>
          <w:bCs/>
          <w:i/>
          <w:color w:val="000000" w:themeColor="text1"/>
          <w:lang w:val="es-ES" w:eastAsia="es-ES"/>
        </w:rPr>
      </w:pPr>
      <w:r w:rsidRPr="002C0D19">
        <w:rPr>
          <w:rFonts w:ascii="Arial Narrow" w:hAnsi="Arial Narrow" w:cs="Arial"/>
          <w:b/>
          <w:bCs/>
          <w:i/>
          <w:color w:val="000000" w:themeColor="text1"/>
          <w:lang w:val="es-ES" w:eastAsia="es-ES"/>
        </w:rPr>
        <w:br w:type="page"/>
      </w:r>
    </w:p>
    <w:p w14:paraId="180E8FB7" w14:textId="77777777" w:rsidR="007968EC" w:rsidRPr="002C0D19" w:rsidRDefault="007968EC" w:rsidP="007968EC">
      <w:pPr>
        <w:jc w:val="center"/>
        <w:rPr>
          <w:rFonts w:ascii="Arial Narrow" w:hAnsi="Arial Narrow" w:cs="Arial"/>
          <w:b/>
          <w:bCs/>
          <w:color w:val="000000" w:themeColor="text1"/>
          <w:lang w:val="es-ES" w:eastAsia="es-ES"/>
        </w:rPr>
      </w:pPr>
      <w:r w:rsidRPr="002C0D19">
        <w:rPr>
          <w:rFonts w:ascii="Arial Narrow" w:hAnsi="Arial Narrow" w:cs="Arial"/>
          <w:b/>
          <w:bCs/>
          <w:i/>
          <w:color w:val="000000" w:themeColor="text1"/>
          <w:lang w:val="es-ES" w:eastAsia="es-ES"/>
        </w:rPr>
        <w:lastRenderedPageBreak/>
        <w:t>Anexo 15.4. Comunicación del Miembro Liquidador General en la que manifiesta su conformidad con la solicitud de modificación de la condición de Miembro no Liquidador a Miembro Liquidador.</w:t>
      </w:r>
    </w:p>
    <w:p w14:paraId="01AC1176" w14:textId="77777777" w:rsidR="007968EC" w:rsidRPr="002C0D19" w:rsidRDefault="007968EC" w:rsidP="007968EC">
      <w:pPr>
        <w:autoSpaceDE w:val="0"/>
        <w:autoSpaceDN w:val="0"/>
        <w:jc w:val="both"/>
        <w:rPr>
          <w:rFonts w:ascii="Arial Narrow" w:hAnsi="Arial Narrow" w:cs="Arial"/>
          <w:b/>
          <w:bCs/>
          <w:color w:val="000000" w:themeColor="text1"/>
          <w:lang w:val="es-ES" w:eastAsia="es-ES"/>
        </w:rPr>
      </w:pPr>
    </w:p>
    <w:p w14:paraId="41269543" w14:textId="77777777" w:rsidR="007968EC" w:rsidRPr="002C0D19" w:rsidRDefault="007968EC" w:rsidP="007968EC">
      <w:pPr>
        <w:autoSpaceDE w:val="0"/>
        <w:autoSpaceDN w:val="0"/>
        <w:jc w:val="both"/>
        <w:rPr>
          <w:rFonts w:ascii="Arial Narrow" w:hAnsi="Arial Narrow" w:cs="Arial"/>
          <w:b/>
          <w:bCs/>
          <w:color w:val="000000" w:themeColor="text1"/>
          <w:lang w:val="es-ES" w:eastAsia="es-ES"/>
        </w:rPr>
      </w:pPr>
    </w:p>
    <w:p w14:paraId="00390A6E"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Doctor</w:t>
      </w:r>
    </w:p>
    <w:p w14:paraId="2751D556"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______________</w:t>
      </w:r>
    </w:p>
    <w:p w14:paraId="097200A4"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Gerente</w:t>
      </w:r>
    </w:p>
    <w:p w14:paraId="758F3E82"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Cámara de Riesgo Central de</w:t>
      </w:r>
    </w:p>
    <w:p w14:paraId="135E0481"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xml:space="preserve">Contraparte de Colombia S.A. </w:t>
      </w:r>
    </w:p>
    <w:p w14:paraId="18DF8555"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Ciudad</w:t>
      </w:r>
    </w:p>
    <w:p w14:paraId="520AD7C2"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05040B11"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072939A3"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Asunto: Comunicación del Miembro Liquidador General en la que manifiesta su conformidad con la solicitud de modificación de la condición de Miembro no Liquidador a Miembro Liquidador</w:t>
      </w:r>
    </w:p>
    <w:p w14:paraId="5394C701"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0DA35253"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4D99EF47"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El/La suscrito (a), _________________________, identificado (a) con la Cédula de Ciudadanía No. _______________ expedida en la ciudad de _____________, obrando en nombre y representación de ____________________, con NIT._______________, en su calidad de Miembro Liquidador General de ________________________, con NIT. _______________, Miembro no Liquidador de la Cámara de Riesgo Central de Contraparte de Colombia S.A., manifiesto mi conformidad con la solicitud de modificación de condición de Miembro no Liquidador a Miembro Liquidador _______________ (Liquidador General o Individual) de la CRCC S.A. de _____________________, de acuerdo con lo dispuesto en el artículo 2.1.12. de la Circular Única de la CRCC S.A.</w:t>
      </w:r>
    </w:p>
    <w:p w14:paraId="257D4851"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524C16E1"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En caso de ser admitido ____________________ como Miembro Liquidador ___________________ (Liquidador General o Individual), allegaremos a la CRCC S.A. en un término no superior a cinco (5) días hábiles, el paz y salvo relativo a las obligaciones surgidas del Convenio suscrito, el cual se da por terminado con ocasión de la modificación de la condición.</w:t>
      </w:r>
    </w:p>
    <w:p w14:paraId="4C168C35"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180D9843"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Cordialmente,</w:t>
      </w:r>
    </w:p>
    <w:p w14:paraId="5C96EEFF"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255B905E"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p>
    <w:p w14:paraId="44BE36EC"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____________________________________ </w:t>
      </w:r>
    </w:p>
    <w:p w14:paraId="504DCE3B" w14:textId="77777777" w:rsidR="007968EC" w:rsidRPr="002C0D19" w:rsidRDefault="007968EC" w:rsidP="007968EC">
      <w:pPr>
        <w:autoSpaceDE w:val="0"/>
        <w:autoSpaceDN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(Nombre y Cédula)</w:t>
      </w:r>
    </w:p>
    <w:p w14:paraId="53ED86BF" w14:textId="77777777" w:rsidR="007968EC" w:rsidRPr="002C0D19" w:rsidRDefault="007968EC" w:rsidP="007968EC">
      <w:pPr>
        <w:autoSpaceDE w:val="0"/>
        <w:autoSpaceDN w:val="0"/>
        <w:jc w:val="both"/>
        <w:rPr>
          <w:rFonts w:ascii="Arial Narrow" w:hAnsi="Arial Narrow" w:cs="Arial"/>
          <w:b/>
          <w:color w:val="000000" w:themeColor="text1"/>
          <w:lang w:val="es-ES" w:eastAsia="es-ES"/>
        </w:rPr>
      </w:pPr>
      <w:r w:rsidRPr="002C0D19">
        <w:rPr>
          <w:rFonts w:ascii="Arial Narrow" w:hAnsi="Arial Narrow" w:cs="Arial"/>
          <w:bCs/>
          <w:color w:val="000000" w:themeColor="text1"/>
          <w:lang w:val="es-ES" w:eastAsia="es-ES"/>
        </w:rPr>
        <w:t>Miembro Liquidador General</w:t>
      </w:r>
      <w:r w:rsidRPr="002C0D19">
        <w:rPr>
          <w:rFonts w:ascii="Arial Narrow" w:hAnsi="Arial Narrow" w:cs="Arial"/>
          <w:b/>
          <w:color w:val="000000" w:themeColor="text1"/>
          <w:lang w:val="es-ES" w:eastAsia="es-ES"/>
        </w:rPr>
        <w:br w:type="page"/>
      </w:r>
    </w:p>
    <w:p w14:paraId="5A573B01" w14:textId="77777777" w:rsidR="007968EC" w:rsidRPr="00991BD9" w:rsidRDefault="007968EC" w:rsidP="007968EC">
      <w:pPr>
        <w:pStyle w:val="TTULO"/>
      </w:pPr>
      <w:bookmarkStart w:id="6573" w:name="_Toc31716606"/>
      <w:r w:rsidRPr="00991BD9">
        <w:lastRenderedPageBreak/>
        <w:t>ANEXO 16</w:t>
      </w:r>
      <w:bookmarkEnd w:id="6573"/>
    </w:p>
    <w:p w14:paraId="5F7F8B99" w14:textId="77777777" w:rsidR="007968EC" w:rsidRPr="002C0D19" w:rsidRDefault="007968EC" w:rsidP="007968EC">
      <w:pPr>
        <w:jc w:val="center"/>
        <w:rPr>
          <w:rFonts w:ascii="Arial Narrow" w:hAnsi="Arial Narrow" w:cs="Arial"/>
          <w:b/>
          <w:color w:val="000000" w:themeColor="text1"/>
          <w:lang w:val="es-ES" w:eastAsia="es-ES"/>
        </w:rPr>
      </w:pPr>
    </w:p>
    <w:p w14:paraId="3B1B5E8C" w14:textId="77777777" w:rsidR="007968EC" w:rsidRPr="002C0D19" w:rsidRDefault="007968EC" w:rsidP="007968EC">
      <w:pPr>
        <w:jc w:val="center"/>
        <w:rPr>
          <w:rFonts w:ascii="Arial Narrow" w:hAnsi="Arial Narrow" w:cs="Arial"/>
          <w:b/>
          <w:bCs/>
          <w:i/>
          <w:color w:val="000000" w:themeColor="text1"/>
          <w:lang w:val="es-ES" w:eastAsia="es-ES"/>
        </w:rPr>
      </w:pPr>
      <w:r w:rsidRPr="002C0D19">
        <w:rPr>
          <w:rFonts w:ascii="Arial Narrow" w:eastAsia="Calibri" w:hAnsi="Arial Narrow"/>
          <w:b/>
          <w:i/>
        </w:rPr>
        <w:t>(Este Anexo fue modificado mediante Circular 14 del 8 de agosto de 2017, publicada en el Boletín Normativo No. 015 del 8 de agosto de 2017. Rige a partir del 9 de agosto de 2017.)</w:t>
      </w:r>
    </w:p>
    <w:p w14:paraId="24070544" w14:textId="77777777" w:rsidR="007968EC" w:rsidRPr="002C0D19" w:rsidRDefault="007968EC" w:rsidP="007968EC">
      <w:pPr>
        <w:rPr>
          <w:rFonts w:ascii="Arial Narrow" w:hAnsi="Arial Narrow" w:cs="Arial"/>
          <w:b/>
          <w:color w:val="000000" w:themeColor="text1"/>
          <w:lang w:val="es-ES" w:eastAsia="es-ES"/>
        </w:rPr>
      </w:pPr>
    </w:p>
    <w:p w14:paraId="3C61C477" w14:textId="77777777" w:rsidR="007968EC" w:rsidRPr="002C0D19" w:rsidRDefault="007968EC" w:rsidP="007968EC">
      <w:pPr>
        <w:jc w:val="center"/>
        <w:rPr>
          <w:rFonts w:ascii="Arial Narrow" w:hAnsi="Arial Narrow" w:cs="Arial"/>
          <w:b/>
          <w:lang w:val="es-ES" w:eastAsia="es-E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FFFFFF"/>
        <w:tblLayout w:type="fixed"/>
        <w:tblCellMar>
          <w:left w:w="70" w:type="dxa"/>
          <w:right w:w="70" w:type="dxa"/>
        </w:tblCellMar>
        <w:tblLook w:val="0000" w:firstRow="0" w:lastRow="0" w:firstColumn="0" w:lastColumn="0" w:noHBand="0" w:noVBand="0"/>
      </w:tblPr>
      <w:tblGrid>
        <w:gridCol w:w="1729"/>
        <w:gridCol w:w="5070"/>
        <w:gridCol w:w="2694"/>
      </w:tblGrid>
      <w:tr w:rsidR="007968EC" w:rsidRPr="002C0D19" w14:paraId="099FC995" w14:textId="77777777" w:rsidTr="007968EC">
        <w:trPr>
          <w:cantSplit/>
          <w:trHeight w:val="416"/>
        </w:trPr>
        <w:tc>
          <w:tcPr>
            <w:tcW w:w="1729" w:type="dxa"/>
            <w:vMerge w:val="restart"/>
            <w:shd w:val="clear" w:color="auto" w:fill="FFFFFF"/>
          </w:tcPr>
          <w:p w14:paraId="0DBADD01" w14:textId="77777777" w:rsidR="007968EC" w:rsidRPr="002C0D19" w:rsidRDefault="007968EC" w:rsidP="007968EC">
            <w:pPr>
              <w:rPr>
                <w:rFonts w:ascii="Arial Narrow" w:eastAsia="Calibri" w:hAnsi="Arial Narrow" w:cs="Arial"/>
                <w:lang w:eastAsia="es-ES"/>
              </w:rPr>
            </w:pPr>
          </w:p>
          <w:p w14:paraId="54BD25AF" w14:textId="77777777" w:rsidR="007968EC" w:rsidRPr="002C0D19" w:rsidRDefault="007968EC" w:rsidP="007968EC">
            <w:pPr>
              <w:rPr>
                <w:rFonts w:ascii="Arial Narrow" w:eastAsia="Calibri" w:hAnsi="Arial Narrow" w:cs="Arial"/>
                <w:lang w:eastAsia="es-ES"/>
              </w:rPr>
            </w:pPr>
            <w:r w:rsidRPr="002C0D19">
              <w:rPr>
                <w:rFonts w:ascii="Arial Narrow" w:eastAsia="Calibri" w:hAnsi="Arial Narrow" w:cs="Arial"/>
                <w:noProof/>
                <w:lang w:eastAsia="es-CO"/>
              </w:rPr>
              <w:drawing>
                <wp:inline distT="0" distB="0" distL="0" distR="0" wp14:anchorId="4C3AB76A" wp14:editId="039B3E52">
                  <wp:extent cx="1007610" cy="504000"/>
                  <wp:effectExtent l="0" t="0" r="2540" b="0"/>
                  <wp:docPr id="41" name="Imagen 41" descr="logoal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alta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7610" cy="504000"/>
                          </a:xfrm>
                          <a:prstGeom prst="rect">
                            <a:avLst/>
                          </a:prstGeom>
                          <a:noFill/>
                          <a:ln>
                            <a:noFill/>
                          </a:ln>
                        </pic:spPr>
                      </pic:pic>
                    </a:graphicData>
                  </a:graphic>
                </wp:inline>
              </w:drawing>
            </w:r>
          </w:p>
        </w:tc>
        <w:tc>
          <w:tcPr>
            <w:tcW w:w="5070" w:type="dxa"/>
            <w:shd w:val="clear" w:color="auto" w:fill="FFFFFF"/>
            <w:vAlign w:val="center"/>
          </w:tcPr>
          <w:p w14:paraId="775B9EDC" w14:textId="77777777" w:rsidR="007968EC" w:rsidRPr="002C0D19" w:rsidRDefault="007968EC" w:rsidP="007968EC">
            <w:pPr>
              <w:tabs>
                <w:tab w:val="center" w:pos="4252"/>
                <w:tab w:val="right" w:pos="8504"/>
              </w:tabs>
              <w:jc w:val="center"/>
              <w:rPr>
                <w:rFonts w:ascii="Arial Narrow" w:hAnsi="Arial Narrow" w:cs="Arial"/>
                <w:b/>
                <w:lang w:val="es-ES" w:eastAsia="es-ES"/>
              </w:rPr>
            </w:pPr>
            <w:r w:rsidRPr="002C0D19">
              <w:rPr>
                <w:rFonts w:ascii="Arial Narrow" w:hAnsi="Arial Narrow" w:cs="Arial"/>
                <w:b/>
                <w:lang w:val="es-ES" w:eastAsia="es-ES"/>
              </w:rPr>
              <w:t>FORMATO</w:t>
            </w:r>
          </w:p>
        </w:tc>
        <w:tc>
          <w:tcPr>
            <w:tcW w:w="2694" w:type="dxa"/>
            <w:shd w:val="clear" w:color="auto" w:fill="FFFFFF"/>
            <w:vAlign w:val="center"/>
          </w:tcPr>
          <w:p w14:paraId="10EA5A88" w14:textId="77777777" w:rsidR="007968EC" w:rsidRPr="002C0D19" w:rsidRDefault="007968EC" w:rsidP="007968EC">
            <w:pPr>
              <w:tabs>
                <w:tab w:val="center" w:pos="4252"/>
                <w:tab w:val="right" w:pos="8504"/>
              </w:tabs>
              <w:rPr>
                <w:rFonts w:ascii="Arial Narrow" w:hAnsi="Arial Narrow" w:cs="Arial"/>
                <w:b/>
                <w:lang w:val="es-ES" w:eastAsia="es-ES"/>
              </w:rPr>
            </w:pPr>
            <w:r w:rsidRPr="002C0D19">
              <w:rPr>
                <w:rFonts w:ascii="Arial Narrow" w:hAnsi="Arial Narrow" w:cs="Arial"/>
                <w:b/>
                <w:lang w:val="es-ES" w:eastAsia="es-ES"/>
              </w:rPr>
              <w:t>Código:  FO GMI 032</w:t>
            </w:r>
          </w:p>
        </w:tc>
      </w:tr>
      <w:tr w:rsidR="007968EC" w:rsidRPr="002C0D19" w14:paraId="30A8E47E" w14:textId="77777777" w:rsidTr="007968EC">
        <w:trPr>
          <w:cantSplit/>
          <w:trHeight w:val="378"/>
        </w:trPr>
        <w:tc>
          <w:tcPr>
            <w:tcW w:w="1729" w:type="dxa"/>
            <w:vMerge/>
            <w:tcBorders>
              <w:bottom w:val="single" w:sz="4" w:space="0" w:color="auto"/>
            </w:tcBorders>
            <w:shd w:val="clear" w:color="auto" w:fill="FFFFFF"/>
          </w:tcPr>
          <w:p w14:paraId="5205191E" w14:textId="77777777" w:rsidR="007968EC" w:rsidRPr="002C0D19" w:rsidRDefault="007968EC" w:rsidP="007968EC">
            <w:pPr>
              <w:tabs>
                <w:tab w:val="center" w:pos="4252"/>
                <w:tab w:val="right" w:pos="8504"/>
              </w:tabs>
              <w:jc w:val="center"/>
              <w:rPr>
                <w:rFonts w:ascii="Arial Narrow" w:hAnsi="Arial Narrow" w:cs="Arial"/>
                <w:lang w:val="es-ES" w:eastAsia="es-ES"/>
              </w:rPr>
            </w:pPr>
          </w:p>
        </w:tc>
        <w:tc>
          <w:tcPr>
            <w:tcW w:w="5070" w:type="dxa"/>
            <w:vMerge w:val="restart"/>
            <w:tcBorders>
              <w:bottom w:val="single" w:sz="4" w:space="0" w:color="auto"/>
            </w:tcBorders>
            <w:shd w:val="clear" w:color="auto" w:fill="FFFFFF"/>
            <w:vAlign w:val="center"/>
          </w:tcPr>
          <w:p w14:paraId="28A17262" w14:textId="77777777" w:rsidR="007968EC" w:rsidRPr="002C0D19" w:rsidRDefault="007968EC" w:rsidP="007968EC">
            <w:pPr>
              <w:jc w:val="center"/>
              <w:rPr>
                <w:rFonts w:ascii="Arial Narrow" w:eastAsia="Calibri" w:hAnsi="Arial Narrow" w:cs="Arial"/>
                <w:b/>
                <w:lang w:val="es-MX" w:eastAsia="es-ES"/>
              </w:rPr>
            </w:pPr>
            <w:r w:rsidRPr="002C0D19">
              <w:rPr>
                <w:rFonts w:ascii="Arial Narrow" w:eastAsia="Calibri" w:hAnsi="Arial Narrow" w:cs="Arial"/>
                <w:b/>
                <w:lang w:eastAsia="es-ES"/>
              </w:rPr>
              <w:t>SOLICITUD DE APROBACIÓN COMO AGENTE</w:t>
            </w:r>
          </w:p>
        </w:tc>
        <w:tc>
          <w:tcPr>
            <w:tcW w:w="2694" w:type="dxa"/>
            <w:tcBorders>
              <w:bottom w:val="single" w:sz="4" w:space="0" w:color="auto"/>
            </w:tcBorders>
            <w:shd w:val="clear" w:color="auto" w:fill="FFFFFF"/>
            <w:vAlign w:val="center"/>
          </w:tcPr>
          <w:p w14:paraId="54ADF550" w14:textId="77777777" w:rsidR="007968EC" w:rsidRPr="002C0D19" w:rsidRDefault="007968EC" w:rsidP="007968EC">
            <w:pPr>
              <w:tabs>
                <w:tab w:val="center" w:pos="4252"/>
                <w:tab w:val="right" w:pos="8504"/>
              </w:tabs>
              <w:rPr>
                <w:rFonts w:ascii="Arial Narrow" w:hAnsi="Arial Narrow" w:cs="Arial"/>
                <w:b/>
                <w:lang w:val="es-ES" w:eastAsia="es-ES"/>
              </w:rPr>
            </w:pPr>
            <w:r w:rsidRPr="002C0D19">
              <w:rPr>
                <w:rFonts w:ascii="Arial Narrow" w:hAnsi="Arial Narrow" w:cs="Arial"/>
                <w:b/>
                <w:lang w:val="es-ES" w:eastAsia="es-ES"/>
              </w:rPr>
              <w:t>Versión: 1.0</w:t>
            </w:r>
          </w:p>
        </w:tc>
      </w:tr>
      <w:tr w:rsidR="007968EC" w:rsidRPr="002C0D19" w14:paraId="3AF7D948" w14:textId="77777777" w:rsidTr="007968EC">
        <w:trPr>
          <w:cantSplit/>
          <w:trHeight w:val="375"/>
        </w:trPr>
        <w:tc>
          <w:tcPr>
            <w:tcW w:w="1729" w:type="dxa"/>
            <w:vMerge/>
            <w:shd w:val="clear" w:color="auto" w:fill="FFFFFF"/>
          </w:tcPr>
          <w:p w14:paraId="5A5274DD" w14:textId="77777777" w:rsidR="007968EC" w:rsidRPr="002C0D19" w:rsidRDefault="007968EC" w:rsidP="007968EC">
            <w:pPr>
              <w:tabs>
                <w:tab w:val="center" w:pos="4252"/>
                <w:tab w:val="right" w:pos="8504"/>
              </w:tabs>
              <w:jc w:val="center"/>
              <w:rPr>
                <w:rFonts w:ascii="Arial Narrow" w:hAnsi="Arial Narrow" w:cs="Arial"/>
                <w:lang w:val="es-ES" w:eastAsia="es-ES"/>
              </w:rPr>
            </w:pPr>
          </w:p>
        </w:tc>
        <w:tc>
          <w:tcPr>
            <w:tcW w:w="5070" w:type="dxa"/>
            <w:vMerge/>
            <w:shd w:val="clear" w:color="auto" w:fill="FFFFFF"/>
            <w:vAlign w:val="center"/>
          </w:tcPr>
          <w:p w14:paraId="285A19E1" w14:textId="77777777" w:rsidR="007968EC" w:rsidRPr="002C0D19" w:rsidRDefault="007968EC" w:rsidP="007968EC">
            <w:pPr>
              <w:tabs>
                <w:tab w:val="center" w:pos="4252"/>
                <w:tab w:val="right" w:pos="8504"/>
              </w:tabs>
              <w:jc w:val="center"/>
              <w:rPr>
                <w:rFonts w:ascii="Arial Narrow" w:hAnsi="Arial Narrow" w:cs="Arial"/>
                <w:b/>
                <w:lang w:val="es-ES" w:eastAsia="es-ES"/>
              </w:rPr>
            </w:pPr>
          </w:p>
        </w:tc>
        <w:tc>
          <w:tcPr>
            <w:tcW w:w="2694" w:type="dxa"/>
            <w:shd w:val="clear" w:color="auto" w:fill="FFFFFF"/>
            <w:vAlign w:val="center"/>
          </w:tcPr>
          <w:p w14:paraId="239F8D2E" w14:textId="77777777" w:rsidR="007968EC" w:rsidRPr="002C0D19" w:rsidRDefault="007968EC" w:rsidP="007968EC">
            <w:pPr>
              <w:tabs>
                <w:tab w:val="center" w:pos="4252"/>
                <w:tab w:val="right" w:pos="8504"/>
              </w:tabs>
              <w:rPr>
                <w:rFonts w:ascii="Arial Narrow" w:hAnsi="Arial Narrow" w:cs="Arial"/>
                <w:b/>
                <w:lang w:val="es-ES" w:eastAsia="es-ES"/>
              </w:rPr>
            </w:pPr>
            <w:r w:rsidRPr="002C0D19">
              <w:rPr>
                <w:rFonts w:ascii="Arial Narrow" w:hAnsi="Arial Narrow" w:cs="Arial"/>
                <w:b/>
                <w:lang w:val="es-ES" w:eastAsia="es-ES"/>
              </w:rPr>
              <w:t>Página 1 de 1</w:t>
            </w:r>
          </w:p>
        </w:tc>
      </w:tr>
    </w:tbl>
    <w:p w14:paraId="51576224" w14:textId="77777777" w:rsidR="007968EC" w:rsidRPr="002C0D19" w:rsidRDefault="007968EC" w:rsidP="007968EC">
      <w:pPr>
        <w:jc w:val="center"/>
        <w:rPr>
          <w:rFonts w:ascii="Arial Narrow" w:hAnsi="Arial Narrow" w:cs="Arial"/>
          <w:b/>
          <w:lang w:val="es-ES" w:eastAsia="es-ES"/>
        </w:rPr>
      </w:pPr>
    </w:p>
    <w:p w14:paraId="205CE7C1" w14:textId="77777777" w:rsidR="007968EC" w:rsidRPr="002C0D19" w:rsidRDefault="007968EC" w:rsidP="007968EC">
      <w:pPr>
        <w:jc w:val="center"/>
        <w:rPr>
          <w:rFonts w:ascii="Arial Narrow" w:hAnsi="Arial Narrow" w:cs="Arial"/>
          <w:b/>
          <w:lang w:val="es-ES" w:eastAsia="es-ES"/>
        </w:rPr>
      </w:pPr>
      <w:r w:rsidRPr="002C0D19">
        <w:rPr>
          <w:rFonts w:ascii="Arial Narrow" w:hAnsi="Arial Narrow" w:cs="Arial"/>
          <w:b/>
          <w:lang w:val="es-ES" w:eastAsia="es-ES"/>
        </w:rPr>
        <w:t xml:space="preserve">CARTA DE SOLICITUD DE APROBACIÓN COMO AGENTE </w:t>
      </w:r>
    </w:p>
    <w:p w14:paraId="2733A770" w14:textId="77777777" w:rsidR="007968EC" w:rsidRPr="002C0D19" w:rsidRDefault="007968EC" w:rsidP="007968EC">
      <w:pPr>
        <w:jc w:val="both"/>
        <w:rPr>
          <w:rFonts w:ascii="Arial Narrow" w:hAnsi="Arial Narrow" w:cs="Arial"/>
          <w:lang w:val="es-ES" w:eastAsia="es-ES"/>
        </w:rPr>
      </w:pPr>
    </w:p>
    <w:p w14:paraId="03AB42BE" w14:textId="77777777" w:rsidR="007968EC" w:rsidRPr="002C0D19" w:rsidRDefault="007968EC" w:rsidP="007968EC">
      <w:pPr>
        <w:jc w:val="both"/>
        <w:rPr>
          <w:rFonts w:ascii="Arial Narrow" w:hAnsi="Arial Narrow" w:cs="Arial"/>
          <w:lang w:val="es-MX" w:eastAsia="es-ES"/>
        </w:rPr>
      </w:pPr>
      <w:r w:rsidRPr="002C0D19">
        <w:rPr>
          <w:rFonts w:ascii="Arial Narrow" w:hAnsi="Arial Narrow" w:cs="Arial"/>
          <w:lang w:val="es-MX" w:eastAsia="es-ES"/>
        </w:rPr>
        <w:t>Ciudad y Fecha</w:t>
      </w:r>
      <w:r w:rsidRPr="002C0D19">
        <w:rPr>
          <w:rFonts w:ascii="Arial Narrow" w:hAnsi="Arial Narrow" w:cs="Arial"/>
          <w:lang w:val="es-MX" w:eastAsia="es-ES"/>
        </w:rPr>
        <w:tab/>
        <w:t>: _________________________</w:t>
      </w:r>
    </w:p>
    <w:p w14:paraId="5C2C1856" w14:textId="77777777" w:rsidR="007968EC" w:rsidRPr="002C0D19" w:rsidRDefault="007968EC" w:rsidP="007968EC">
      <w:pPr>
        <w:jc w:val="both"/>
        <w:rPr>
          <w:rFonts w:ascii="Arial Narrow" w:hAnsi="Arial Narrow" w:cs="Arial"/>
          <w:lang w:val="es-MX" w:eastAsia="es-ES"/>
        </w:rPr>
      </w:pPr>
    </w:p>
    <w:p w14:paraId="22AE869E" w14:textId="77777777" w:rsidR="007968EC" w:rsidRPr="002C0D19" w:rsidRDefault="007968EC" w:rsidP="007968EC">
      <w:pPr>
        <w:autoSpaceDE w:val="0"/>
        <w:autoSpaceDN w:val="0"/>
        <w:adjustRightInd w:val="0"/>
        <w:jc w:val="both"/>
        <w:rPr>
          <w:rFonts w:ascii="Arial Narrow" w:eastAsia="Calibri" w:hAnsi="Arial Narrow" w:cs="Arial"/>
          <w:lang w:eastAsia="es-ES"/>
        </w:rPr>
      </w:pPr>
      <w:r w:rsidRPr="002C0D19">
        <w:rPr>
          <w:rFonts w:ascii="Arial Narrow" w:eastAsia="Calibri" w:hAnsi="Arial Narrow" w:cs="Arial"/>
          <w:lang w:eastAsia="es-ES"/>
        </w:rPr>
        <w:t>Doctor</w:t>
      </w:r>
    </w:p>
    <w:p w14:paraId="1C6F1A0A" w14:textId="77777777" w:rsidR="007968EC" w:rsidRPr="002C0D19" w:rsidRDefault="007968EC" w:rsidP="007968EC">
      <w:pPr>
        <w:autoSpaceDE w:val="0"/>
        <w:autoSpaceDN w:val="0"/>
        <w:adjustRightInd w:val="0"/>
        <w:jc w:val="both"/>
        <w:rPr>
          <w:rFonts w:ascii="Arial Narrow" w:eastAsia="Calibri" w:hAnsi="Arial Narrow" w:cs="Arial"/>
          <w:b/>
          <w:lang w:eastAsia="es-ES"/>
        </w:rPr>
      </w:pPr>
      <w:r w:rsidRPr="002C0D19">
        <w:rPr>
          <w:rFonts w:ascii="Arial Narrow" w:eastAsia="Calibri" w:hAnsi="Arial Narrow" w:cs="Arial"/>
          <w:b/>
          <w:lang w:eastAsia="es-ES"/>
        </w:rPr>
        <w:t>OSCAR LEIVA VILLAMIZAR</w:t>
      </w:r>
    </w:p>
    <w:p w14:paraId="6D46C5C6" w14:textId="77777777" w:rsidR="007968EC" w:rsidRPr="002C0D19" w:rsidRDefault="007968EC" w:rsidP="007968EC">
      <w:pPr>
        <w:autoSpaceDE w:val="0"/>
        <w:autoSpaceDN w:val="0"/>
        <w:adjustRightInd w:val="0"/>
        <w:jc w:val="both"/>
        <w:rPr>
          <w:rFonts w:ascii="Arial Narrow" w:eastAsia="Calibri" w:hAnsi="Arial Narrow" w:cs="Arial"/>
          <w:lang w:eastAsia="es-ES"/>
        </w:rPr>
      </w:pPr>
      <w:r w:rsidRPr="002C0D19">
        <w:rPr>
          <w:rFonts w:ascii="Arial Narrow" w:eastAsia="Calibri" w:hAnsi="Arial Narrow" w:cs="Arial"/>
          <w:lang w:eastAsia="es-ES"/>
        </w:rPr>
        <w:t>Gerente</w:t>
      </w:r>
    </w:p>
    <w:p w14:paraId="4F1E3C75" w14:textId="77777777" w:rsidR="007968EC" w:rsidRPr="002C0D19" w:rsidRDefault="007968EC" w:rsidP="007968EC">
      <w:pPr>
        <w:autoSpaceDE w:val="0"/>
        <w:autoSpaceDN w:val="0"/>
        <w:adjustRightInd w:val="0"/>
        <w:jc w:val="both"/>
        <w:rPr>
          <w:rFonts w:ascii="Arial Narrow" w:eastAsia="Calibri" w:hAnsi="Arial Narrow" w:cs="Arial"/>
          <w:lang w:eastAsia="es-ES"/>
        </w:rPr>
      </w:pPr>
      <w:r w:rsidRPr="002C0D19">
        <w:rPr>
          <w:rFonts w:ascii="Arial Narrow" w:eastAsia="Calibri" w:hAnsi="Arial Narrow" w:cs="Arial"/>
          <w:lang w:eastAsia="es-ES"/>
        </w:rPr>
        <w:t>Cámara de Riesgo Central de Contraparte de Colombia S.A.</w:t>
      </w:r>
    </w:p>
    <w:p w14:paraId="56023456" w14:textId="77777777" w:rsidR="007968EC" w:rsidRPr="002C0D19" w:rsidRDefault="007968EC" w:rsidP="007968EC">
      <w:pPr>
        <w:autoSpaceDE w:val="0"/>
        <w:autoSpaceDN w:val="0"/>
        <w:adjustRightInd w:val="0"/>
        <w:jc w:val="both"/>
        <w:rPr>
          <w:rFonts w:ascii="Arial Narrow" w:eastAsia="Calibri" w:hAnsi="Arial Narrow" w:cs="Arial"/>
          <w:lang w:eastAsia="es-ES"/>
        </w:rPr>
      </w:pPr>
      <w:r w:rsidRPr="002C0D19">
        <w:rPr>
          <w:rFonts w:ascii="Arial Narrow" w:eastAsia="Calibri" w:hAnsi="Arial Narrow" w:cs="Arial"/>
          <w:lang w:eastAsia="es-ES"/>
        </w:rPr>
        <w:t>Ciudad</w:t>
      </w:r>
    </w:p>
    <w:p w14:paraId="2D9EAD4C" w14:textId="77777777" w:rsidR="007968EC" w:rsidRPr="002C0D19" w:rsidRDefault="007968EC" w:rsidP="007968EC">
      <w:pPr>
        <w:autoSpaceDE w:val="0"/>
        <w:autoSpaceDN w:val="0"/>
        <w:adjustRightInd w:val="0"/>
        <w:jc w:val="both"/>
        <w:rPr>
          <w:rFonts w:ascii="Arial Narrow" w:eastAsia="Calibri" w:hAnsi="Arial Narrow" w:cs="Arial"/>
          <w:lang w:eastAsia="es-ES"/>
        </w:rPr>
      </w:pPr>
    </w:p>
    <w:p w14:paraId="3B6AFF39" w14:textId="77777777" w:rsidR="007968EC" w:rsidRPr="002C0D19" w:rsidRDefault="007968EC" w:rsidP="007968EC">
      <w:pPr>
        <w:autoSpaceDE w:val="0"/>
        <w:autoSpaceDN w:val="0"/>
        <w:adjustRightInd w:val="0"/>
        <w:jc w:val="both"/>
        <w:rPr>
          <w:rFonts w:ascii="Arial Narrow" w:eastAsia="Calibri" w:hAnsi="Arial Narrow" w:cs="Arial"/>
          <w:lang w:eastAsia="es-ES"/>
        </w:rPr>
      </w:pPr>
    </w:p>
    <w:p w14:paraId="12CDF38B" w14:textId="77777777" w:rsidR="007968EC" w:rsidRPr="002C0D19" w:rsidRDefault="007968EC" w:rsidP="007968EC">
      <w:pPr>
        <w:autoSpaceDE w:val="0"/>
        <w:autoSpaceDN w:val="0"/>
        <w:adjustRightInd w:val="0"/>
        <w:jc w:val="both"/>
        <w:rPr>
          <w:rFonts w:ascii="Arial Narrow" w:eastAsia="Calibri" w:hAnsi="Arial Narrow" w:cs="Arial"/>
          <w:lang w:eastAsia="es-ES"/>
        </w:rPr>
      </w:pPr>
      <w:r w:rsidRPr="002C0D19">
        <w:rPr>
          <w:rFonts w:ascii="Arial Narrow" w:eastAsia="Calibri" w:hAnsi="Arial Narrow" w:cs="Arial"/>
          <w:lang w:eastAsia="es-ES"/>
        </w:rPr>
        <w:t>Asunto: Solicitud de Aprobación como Agente</w:t>
      </w:r>
      <w:r w:rsidRPr="002C0D19">
        <w:rPr>
          <w:rFonts w:ascii="Arial Narrow" w:eastAsia="Calibri" w:hAnsi="Arial Narrow" w:cs="Arial Narrow"/>
          <w:lang w:eastAsia="es-CO"/>
        </w:rPr>
        <w:t xml:space="preserve"> _____________. (indicar la modalidad: Agente Custodio o Agente de Pago o Agente Custodio y de Pago simultáneamente).</w:t>
      </w:r>
    </w:p>
    <w:p w14:paraId="0204DA11" w14:textId="77777777" w:rsidR="007968EC" w:rsidRPr="002C0D19" w:rsidRDefault="007968EC" w:rsidP="007968EC">
      <w:pPr>
        <w:autoSpaceDE w:val="0"/>
        <w:autoSpaceDN w:val="0"/>
        <w:adjustRightInd w:val="0"/>
        <w:jc w:val="both"/>
        <w:rPr>
          <w:rFonts w:ascii="Arial Narrow" w:eastAsia="Calibri" w:hAnsi="Arial Narrow" w:cs="Arial"/>
          <w:lang w:eastAsia="es-ES"/>
        </w:rPr>
      </w:pPr>
    </w:p>
    <w:p w14:paraId="0F2E64FE" w14:textId="77777777" w:rsidR="007968EC" w:rsidRPr="002C0D19" w:rsidRDefault="007968EC" w:rsidP="007968EC">
      <w:pPr>
        <w:autoSpaceDE w:val="0"/>
        <w:autoSpaceDN w:val="0"/>
        <w:adjustRightInd w:val="0"/>
        <w:jc w:val="both"/>
        <w:rPr>
          <w:rFonts w:ascii="Arial Narrow" w:eastAsia="Calibri" w:hAnsi="Arial Narrow" w:cs="Arial"/>
          <w:lang w:eastAsia="es-ES"/>
        </w:rPr>
      </w:pPr>
      <w:r w:rsidRPr="002C0D19">
        <w:rPr>
          <w:rFonts w:ascii="Arial Narrow" w:eastAsia="Calibri" w:hAnsi="Arial Narrow" w:cs="Arial"/>
          <w:lang w:eastAsia="es-ES"/>
        </w:rPr>
        <w:t xml:space="preserve">El/La suscrito (a), _________________________, identificado (a) con la Cédula de Ciudadanía No. _______________ expedida en la ciudad de ___________, obrando en nombre y representación de _____________________, sociedad legalmente constituida, con domicilio principal en ______________, con NIT. _______________, en mi calidad de representante legal, atentamente solicito que la sociedad que represento sea aprobada como Agente </w:t>
      </w:r>
      <w:r w:rsidRPr="002C0D19">
        <w:rPr>
          <w:rFonts w:ascii="Arial Narrow" w:eastAsia="Calibri" w:hAnsi="Arial Narrow" w:cs="Arial Narrow"/>
          <w:lang w:eastAsia="es-CO"/>
        </w:rPr>
        <w:t xml:space="preserve">_____________ (indicar la modalidad) </w:t>
      </w:r>
      <w:r w:rsidRPr="002C0D19">
        <w:rPr>
          <w:rFonts w:ascii="Arial Narrow" w:eastAsia="Calibri" w:hAnsi="Arial Narrow" w:cs="Arial"/>
          <w:lang w:eastAsia="es-ES"/>
        </w:rPr>
        <w:t xml:space="preserve">de la Cámara de Riesgo Central de Contraparte de Colombia S.A. - CRCC S.A. </w:t>
      </w:r>
      <w:r w:rsidRPr="002C0D19">
        <w:rPr>
          <w:rFonts w:ascii="Arial Narrow" w:eastAsia="Calibri" w:hAnsi="Arial Narrow" w:cs="Arial"/>
          <w:lang w:eastAsia="es-ES"/>
        </w:rPr>
        <w:tab/>
      </w:r>
    </w:p>
    <w:p w14:paraId="01E51B34" w14:textId="77777777" w:rsidR="007968EC" w:rsidRPr="002C0D19" w:rsidRDefault="007968EC" w:rsidP="007968EC">
      <w:pPr>
        <w:autoSpaceDE w:val="0"/>
        <w:autoSpaceDN w:val="0"/>
        <w:adjustRightInd w:val="0"/>
        <w:jc w:val="both"/>
        <w:rPr>
          <w:rFonts w:ascii="Arial Narrow" w:eastAsia="Calibri" w:hAnsi="Arial Narrow" w:cs="Arial"/>
          <w:lang w:eastAsia="es-ES"/>
        </w:rPr>
      </w:pPr>
    </w:p>
    <w:p w14:paraId="4D51437A" w14:textId="77777777" w:rsidR="007968EC" w:rsidRPr="002C0D19" w:rsidRDefault="007968EC" w:rsidP="007968EC">
      <w:pPr>
        <w:autoSpaceDE w:val="0"/>
        <w:autoSpaceDN w:val="0"/>
        <w:adjustRightInd w:val="0"/>
        <w:jc w:val="both"/>
        <w:rPr>
          <w:rFonts w:ascii="Arial Narrow" w:eastAsia="Calibri" w:hAnsi="Arial Narrow" w:cs="Arial"/>
          <w:lang w:eastAsia="es-ES"/>
        </w:rPr>
      </w:pPr>
      <w:r w:rsidRPr="002C0D19">
        <w:rPr>
          <w:rFonts w:ascii="Arial Narrow" w:eastAsia="Calibri" w:hAnsi="Arial Narrow" w:cs="Arial"/>
          <w:lang w:eastAsia="es-ES"/>
        </w:rPr>
        <w:t>Así mismo certifico que la sociedad cumple con todos los requisitos establecidos en el Reglamento de Funcionamiento de la Cámara de Riesgo Central de Contraparte de Colombia S.A. - CRCC S.A., y demás normas aplicables, para solicitar ser aprobado como Agente</w:t>
      </w:r>
      <w:r w:rsidRPr="002C0D19">
        <w:rPr>
          <w:rFonts w:ascii="Arial Narrow" w:eastAsia="Calibri" w:hAnsi="Arial Narrow" w:cs="Arial Narrow"/>
          <w:lang w:eastAsia="es-CO"/>
        </w:rPr>
        <w:t xml:space="preserve"> _____________ (indicar la modalidad) en el(los) siguiente(s) Segmento(s):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850"/>
      </w:tblGrid>
      <w:tr w:rsidR="007968EC" w:rsidRPr="002C0D19" w14:paraId="439C2F1D" w14:textId="77777777" w:rsidTr="007968EC">
        <w:trPr>
          <w:jc w:val="center"/>
        </w:trPr>
        <w:tc>
          <w:tcPr>
            <w:tcW w:w="3085" w:type="dxa"/>
            <w:gridSpan w:val="2"/>
            <w:shd w:val="clear" w:color="auto" w:fill="auto"/>
          </w:tcPr>
          <w:p w14:paraId="419671E5" w14:textId="77777777" w:rsidR="007968EC" w:rsidRPr="002C0D19" w:rsidRDefault="007968EC" w:rsidP="007968EC">
            <w:pPr>
              <w:autoSpaceDE w:val="0"/>
              <w:autoSpaceDN w:val="0"/>
              <w:jc w:val="center"/>
              <w:rPr>
                <w:rFonts w:ascii="Arial Narrow" w:hAnsi="Arial Narrow" w:cs="Arial"/>
                <w:b/>
                <w:bCs/>
                <w:lang w:val="es-ES" w:eastAsia="es-ES"/>
              </w:rPr>
            </w:pPr>
            <w:r w:rsidRPr="002C0D19">
              <w:rPr>
                <w:rFonts w:ascii="Arial Narrow" w:hAnsi="Arial Narrow" w:cs="Arial"/>
                <w:b/>
                <w:bCs/>
                <w:lang w:val="es-ES" w:eastAsia="es-ES"/>
              </w:rPr>
              <w:t>SEGMENTOS</w:t>
            </w:r>
          </w:p>
        </w:tc>
      </w:tr>
      <w:tr w:rsidR="007968EC" w:rsidRPr="002C0D19" w14:paraId="3A1F4BA1" w14:textId="77777777" w:rsidTr="007968EC">
        <w:trPr>
          <w:jc w:val="center"/>
        </w:trPr>
        <w:tc>
          <w:tcPr>
            <w:tcW w:w="2235" w:type="dxa"/>
            <w:shd w:val="clear" w:color="auto" w:fill="auto"/>
          </w:tcPr>
          <w:p w14:paraId="59C84BF7" w14:textId="77777777" w:rsidR="007968EC" w:rsidRPr="002C0D19" w:rsidRDefault="007968EC" w:rsidP="007968EC">
            <w:pPr>
              <w:autoSpaceDE w:val="0"/>
              <w:autoSpaceDN w:val="0"/>
              <w:jc w:val="both"/>
              <w:rPr>
                <w:rFonts w:ascii="Arial Narrow" w:hAnsi="Arial Narrow" w:cs="Arial"/>
                <w:bCs/>
                <w:lang w:val="es-ES" w:eastAsia="es-ES"/>
              </w:rPr>
            </w:pPr>
            <w:r w:rsidRPr="002C0D19">
              <w:rPr>
                <w:rFonts w:ascii="Arial Narrow" w:hAnsi="Arial Narrow" w:cs="Arial"/>
                <w:bCs/>
                <w:lang w:val="es-ES" w:eastAsia="es-ES"/>
              </w:rPr>
              <w:t>Derivados Financieros</w:t>
            </w:r>
          </w:p>
        </w:tc>
        <w:tc>
          <w:tcPr>
            <w:tcW w:w="850" w:type="dxa"/>
            <w:shd w:val="clear" w:color="auto" w:fill="auto"/>
          </w:tcPr>
          <w:p w14:paraId="74173A2A" w14:textId="77777777" w:rsidR="007968EC" w:rsidRPr="002C0D19" w:rsidRDefault="007968EC" w:rsidP="007968EC">
            <w:pPr>
              <w:autoSpaceDE w:val="0"/>
              <w:autoSpaceDN w:val="0"/>
              <w:jc w:val="both"/>
              <w:rPr>
                <w:rFonts w:ascii="Arial Narrow" w:hAnsi="Arial Narrow" w:cs="Arial"/>
                <w:bCs/>
                <w:lang w:val="es-ES" w:eastAsia="es-ES"/>
              </w:rPr>
            </w:pPr>
          </w:p>
        </w:tc>
      </w:tr>
      <w:tr w:rsidR="007968EC" w:rsidRPr="002C0D19" w14:paraId="67641889" w14:textId="77777777" w:rsidTr="007968EC">
        <w:trPr>
          <w:jc w:val="center"/>
        </w:trPr>
        <w:tc>
          <w:tcPr>
            <w:tcW w:w="2235" w:type="dxa"/>
            <w:shd w:val="clear" w:color="auto" w:fill="auto"/>
          </w:tcPr>
          <w:p w14:paraId="5DA52864" w14:textId="77777777" w:rsidR="007968EC" w:rsidRPr="002C0D19" w:rsidRDefault="007968EC" w:rsidP="007968EC">
            <w:pPr>
              <w:autoSpaceDE w:val="0"/>
              <w:autoSpaceDN w:val="0"/>
              <w:jc w:val="both"/>
              <w:rPr>
                <w:rFonts w:ascii="Arial Narrow" w:hAnsi="Arial Narrow" w:cs="Arial"/>
                <w:bCs/>
                <w:lang w:val="es-ES" w:eastAsia="es-ES"/>
              </w:rPr>
            </w:pPr>
            <w:r w:rsidRPr="002C0D19">
              <w:rPr>
                <w:rFonts w:ascii="Arial Narrow" w:hAnsi="Arial Narrow" w:cs="Arial"/>
                <w:bCs/>
                <w:lang w:val="es-ES" w:eastAsia="es-ES"/>
              </w:rPr>
              <w:t>Renta Fija</w:t>
            </w:r>
          </w:p>
        </w:tc>
        <w:tc>
          <w:tcPr>
            <w:tcW w:w="850" w:type="dxa"/>
            <w:shd w:val="clear" w:color="auto" w:fill="auto"/>
          </w:tcPr>
          <w:p w14:paraId="240B7A6B" w14:textId="77777777" w:rsidR="007968EC" w:rsidRPr="002C0D19" w:rsidRDefault="007968EC" w:rsidP="007968EC">
            <w:pPr>
              <w:autoSpaceDE w:val="0"/>
              <w:autoSpaceDN w:val="0"/>
              <w:jc w:val="both"/>
              <w:rPr>
                <w:rFonts w:ascii="Arial Narrow" w:hAnsi="Arial Narrow" w:cs="Arial"/>
                <w:bCs/>
                <w:lang w:val="es-ES" w:eastAsia="es-ES"/>
              </w:rPr>
            </w:pPr>
          </w:p>
        </w:tc>
      </w:tr>
      <w:tr w:rsidR="007968EC" w:rsidRPr="002C0D19" w14:paraId="463CA6EA" w14:textId="77777777" w:rsidTr="007968EC">
        <w:trPr>
          <w:jc w:val="center"/>
        </w:trPr>
        <w:tc>
          <w:tcPr>
            <w:tcW w:w="2235" w:type="dxa"/>
            <w:shd w:val="clear" w:color="auto" w:fill="auto"/>
          </w:tcPr>
          <w:p w14:paraId="060E2C6B" w14:textId="77777777" w:rsidR="007968EC" w:rsidRPr="002C0D19" w:rsidRDefault="007968EC" w:rsidP="007968EC">
            <w:pPr>
              <w:autoSpaceDE w:val="0"/>
              <w:autoSpaceDN w:val="0"/>
              <w:jc w:val="both"/>
              <w:rPr>
                <w:rFonts w:ascii="Arial Narrow" w:hAnsi="Arial Narrow" w:cs="Arial"/>
                <w:bCs/>
                <w:lang w:val="es-ES" w:eastAsia="es-ES"/>
              </w:rPr>
            </w:pPr>
            <w:r w:rsidRPr="002C0D19">
              <w:rPr>
                <w:rFonts w:ascii="Arial Narrow" w:hAnsi="Arial Narrow" w:cs="Arial"/>
                <w:bCs/>
                <w:lang w:val="es-ES" w:eastAsia="es-ES"/>
              </w:rPr>
              <w:t>Renta Variable</w:t>
            </w:r>
          </w:p>
        </w:tc>
        <w:tc>
          <w:tcPr>
            <w:tcW w:w="850" w:type="dxa"/>
            <w:shd w:val="clear" w:color="auto" w:fill="auto"/>
          </w:tcPr>
          <w:p w14:paraId="68CAC6E1" w14:textId="77777777" w:rsidR="007968EC" w:rsidRPr="002C0D19" w:rsidRDefault="007968EC" w:rsidP="007968EC">
            <w:pPr>
              <w:autoSpaceDE w:val="0"/>
              <w:autoSpaceDN w:val="0"/>
              <w:jc w:val="both"/>
              <w:rPr>
                <w:rFonts w:ascii="Arial Narrow" w:hAnsi="Arial Narrow" w:cs="Arial"/>
                <w:bCs/>
                <w:lang w:val="es-ES" w:eastAsia="es-ES"/>
              </w:rPr>
            </w:pPr>
          </w:p>
        </w:tc>
      </w:tr>
    </w:tbl>
    <w:p w14:paraId="1FDC3E8B" w14:textId="77777777" w:rsidR="007968EC" w:rsidRPr="002C0D19" w:rsidRDefault="007968EC" w:rsidP="007968EC">
      <w:pPr>
        <w:autoSpaceDE w:val="0"/>
        <w:autoSpaceDN w:val="0"/>
        <w:adjustRightInd w:val="0"/>
        <w:jc w:val="both"/>
        <w:rPr>
          <w:rFonts w:ascii="Arial Narrow" w:eastAsia="Calibri" w:hAnsi="Arial Narrow" w:cs="Arial"/>
          <w:lang w:eastAsia="es-ES"/>
        </w:rPr>
      </w:pPr>
    </w:p>
    <w:p w14:paraId="5F5824AC" w14:textId="77777777" w:rsidR="007968EC" w:rsidRPr="002C0D19" w:rsidRDefault="007968EC" w:rsidP="007968EC">
      <w:pPr>
        <w:autoSpaceDE w:val="0"/>
        <w:autoSpaceDN w:val="0"/>
        <w:adjustRightInd w:val="0"/>
        <w:jc w:val="both"/>
        <w:rPr>
          <w:rFonts w:ascii="Arial Narrow" w:eastAsia="Calibri" w:hAnsi="Arial Narrow" w:cs="Arial"/>
          <w:lang w:eastAsia="es-ES"/>
        </w:rPr>
      </w:pPr>
      <w:r w:rsidRPr="002C0D19">
        <w:rPr>
          <w:rFonts w:ascii="Arial Narrow" w:eastAsia="Calibri" w:hAnsi="Arial Narrow" w:cs="Arial"/>
          <w:lang w:eastAsia="es-ES"/>
        </w:rPr>
        <w:lastRenderedPageBreak/>
        <w:t>En cumplimiento de los requisitos de aprobación exigidos por la CRCC S.A., me permito allegar los documentos necesarios para el trámite de la presente solicitud.</w:t>
      </w:r>
    </w:p>
    <w:p w14:paraId="5383D3F1" w14:textId="77777777" w:rsidR="007968EC" w:rsidRPr="002C0D19" w:rsidRDefault="007968EC" w:rsidP="007968EC">
      <w:pPr>
        <w:autoSpaceDE w:val="0"/>
        <w:autoSpaceDN w:val="0"/>
        <w:adjustRightInd w:val="0"/>
        <w:jc w:val="both"/>
        <w:rPr>
          <w:rFonts w:ascii="Arial Narrow" w:eastAsia="Calibri" w:hAnsi="Arial Narrow" w:cs="Arial"/>
          <w:lang w:eastAsia="es-ES"/>
        </w:rPr>
      </w:pPr>
    </w:p>
    <w:p w14:paraId="0366AF41" w14:textId="77777777" w:rsidR="007968EC" w:rsidRPr="002C0D19" w:rsidRDefault="007968EC" w:rsidP="007968EC">
      <w:pPr>
        <w:autoSpaceDE w:val="0"/>
        <w:autoSpaceDN w:val="0"/>
        <w:adjustRightInd w:val="0"/>
        <w:jc w:val="both"/>
        <w:rPr>
          <w:rFonts w:ascii="Arial Narrow" w:eastAsia="Calibri" w:hAnsi="Arial Narrow" w:cs="Arial"/>
          <w:lang w:eastAsia="es-ES"/>
        </w:rPr>
      </w:pPr>
      <w:r w:rsidRPr="002C0D19">
        <w:rPr>
          <w:rFonts w:ascii="Arial Narrow" w:eastAsia="Calibri" w:hAnsi="Arial Narrow" w:cs="Arial"/>
          <w:lang w:eastAsia="es-ES"/>
        </w:rPr>
        <w:t>Cordialmente,</w:t>
      </w:r>
    </w:p>
    <w:p w14:paraId="155DF6E8" w14:textId="77777777" w:rsidR="007968EC" w:rsidRPr="002C0D19" w:rsidRDefault="007968EC" w:rsidP="007968EC">
      <w:pPr>
        <w:autoSpaceDE w:val="0"/>
        <w:autoSpaceDN w:val="0"/>
        <w:adjustRightInd w:val="0"/>
        <w:jc w:val="both"/>
        <w:rPr>
          <w:rFonts w:ascii="Arial Narrow" w:eastAsia="Calibri" w:hAnsi="Arial Narrow" w:cs="Arial"/>
          <w:lang w:eastAsia="es-ES"/>
        </w:rPr>
      </w:pPr>
    </w:p>
    <w:p w14:paraId="50D5CECA" w14:textId="77777777" w:rsidR="007968EC" w:rsidRPr="002C0D19" w:rsidRDefault="007968EC" w:rsidP="007968EC">
      <w:pPr>
        <w:autoSpaceDE w:val="0"/>
        <w:autoSpaceDN w:val="0"/>
        <w:adjustRightInd w:val="0"/>
        <w:rPr>
          <w:rFonts w:ascii="Arial Narrow" w:eastAsia="Calibri" w:hAnsi="Arial Narrow" w:cs="Arial"/>
          <w:lang w:eastAsia="es-ES"/>
        </w:rPr>
      </w:pPr>
    </w:p>
    <w:p w14:paraId="356AF12D" w14:textId="77777777" w:rsidR="007968EC" w:rsidRPr="002C0D19" w:rsidRDefault="007968EC" w:rsidP="007968EC">
      <w:pPr>
        <w:autoSpaceDE w:val="0"/>
        <w:autoSpaceDN w:val="0"/>
        <w:adjustRightInd w:val="0"/>
        <w:rPr>
          <w:rFonts w:ascii="Arial Narrow" w:eastAsia="Calibri" w:hAnsi="Arial Narrow" w:cs="Arial"/>
          <w:lang w:eastAsia="es-ES"/>
        </w:rPr>
      </w:pPr>
      <w:r w:rsidRPr="002C0D19">
        <w:rPr>
          <w:rFonts w:ascii="Arial Narrow" w:eastAsia="Calibri" w:hAnsi="Arial Narrow" w:cs="Arial"/>
          <w:lang w:eastAsia="es-ES"/>
        </w:rPr>
        <w:t>____________________________________</w:t>
      </w:r>
    </w:p>
    <w:p w14:paraId="62B3245C" w14:textId="77777777" w:rsidR="007968EC" w:rsidRPr="002C0D19" w:rsidRDefault="007968EC" w:rsidP="007968EC">
      <w:pPr>
        <w:rPr>
          <w:rFonts w:ascii="Arial Narrow" w:hAnsi="Arial Narrow" w:cs="Arial"/>
          <w:b/>
          <w:color w:val="000000" w:themeColor="text1"/>
          <w:lang w:val="es-ES" w:eastAsia="es-ES"/>
        </w:rPr>
      </w:pPr>
      <w:r w:rsidRPr="002C0D19">
        <w:rPr>
          <w:rFonts w:ascii="Arial Narrow" w:eastAsia="Calibri" w:hAnsi="Arial Narrow" w:cs="Arial"/>
          <w:lang w:eastAsia="es-ES"/>
        </w:rPr>
        <w:t>(Nombre y Cédula)</w:t>
      </w:r>
      <w:r w:rsidRPr="002C0D19">
        <w:rPr>
          <w:rFonts w:ascii="Arial Narrow" w:hAnsi="Arial Narrow" w:cs="Arial"/>
          <w:b/>
          <w:color w:val="000000" w:themeColor="text1"/>
          <w:lang w:val="es-ES" w:eastAsia="es-ES"/>
        </w:rPr>
        <w:br w:type="page"/>
      </w:r>
    </w:p>
    <w:p w14:paraId="0D86D589" w14:textId="77777777" w:rsidR="007968EC" w:rsidRPr="002C0D19" w:rsidRDefault="007968EC" w:rsidP="007968EC">
      <w:pPr>
        <w:pStyle w:val="TTULO"/>
        <w:rPr>
          <w:lang w:val="es-ES"/>
        </w:rPr>
      </w:pPr>
      <w:bookmarkStart w:id="6574" w:name="_Toc31716607"/>
      <w:r w:rsidRPr="002C0D19">
        <w:rPr>
          <w:lang w:val="es-ES"/>
        </w:rPr>
        <w:lastRenderedPageBreak/>
        <w:t>ANEXO 17</w:t>
      </w:r>
      <w:bookmarkEnd w:id="6574"/>
    </w:p>
    <w:p w14:paraId="08BAA2C5" w14:textId="77777777" w:rsidR="007968EC" w:rsidRPr="002C0D19" w:rsidRDefault="007968EC" w:rsidP="007968EC">
      <w:pPr>
        <w:pStyle w:val="TTULO"/>
        <w:rPr>
          <w:lang w:val="es-ES"/>
        </w:rPr>
      </w:pPr>
    </w:p>
    <w:p w14:paraId="7B03034E" w14:textId="77777777" w:rsidR="007968EC" w:rsidRPr="004B3C30" w:rsidRDefault="007968EC" w:rsidP="007968EC">
      <w:pPr>
        <w:jc w:val="center"/>
        <w:rPr>
          <w:rFonts w:ascii="Arial Narrow" w:hAnsi="Arial Narrow" w:cs="Arial"/>
          <w:b/>
          <w:color w:val="000000" w:themeColor="text1"/>
          <w:lang w:val="es-ES" w:eastAsia="es-ES"/>
        </w:rPr>
      </w:pPr>
      <w:r w:rsidRPr="004B3C30">
        <w:rPr>
          <w:rFonts w:ascii="Arial Narrow" w:hAnsi="Arial Narrow" w:cs="Arial"/>
          <w:b/>
          <w:color w:val="000000" w:themeColor="text1"/>
          <w:lang w:val="es-ES" w:eastAsia="es-ES"/>
        </w:rPr>
        <w:t>CARTA DE AUTORIZACIÓN PARA ADMNISTRACION DE BASES DE DATOS PERSONALES Y CONSULTA A CENTRALES DE RIESGO</w:t>
      </w:r>
    </w:p>
    <w:p w14:paraId="3DA2B9D4" w14:textId="77777777" w:rsidR="007968EC" w:rsidRPr="002C0D19" w:rsidRDefault="007968EC" w:rsidP="007968EC">
      <w:pPr>
        <w:jc w:val="both"/>
        <w:rPr>
          <w:rFonts w:ascii="Arial Narrow" w:hAnsi="Arial Narrow" w:cs="Arial"/>
          <w:color w:val="000000" w:themeColor="text1"/>
          <w:lang w:val="es-ES" w:eastAsia="es-ES"/>
        </w:rPr>
      </w:pPr>
    </w:p>
    <w:p w14:paraId="26BFC279"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Autorizamos a la CÁMARA DE RIESGO CENTRAL DE CONTRAPARTE DE COLOMBIA S.A. para que la Cámara reporte, procese, solicite y/o consulte los datos personales solicitados por ____________, en su calidad de Miembro y/o Agente de la CRCC S.A., información que es necesaria para desarrollo de las funciones asignadas a la Cámara en calidad de administrador del sistema de compensación y liquidación de operaciones, con o sin contrapartida central, de acuerdo con las Políticas de Administración de Datos Personales de la Cámara, en cumplimiento de lo establecido en la Ley 1581 de 2012 , el Decreto  1377 de 2013  o las normas que lo modifiquen, sustituyan o adicionen; así como a consultar y/o solicitar información sobre mis relaciones comerciales con cualquier otra entidad a la Central de Información de la Asociación Bancaria y de Entidades Financieras de Colombia - CIFIN- y demás entidades que manejan bases de datos con los mismos fines.</w:t>
      </w:r>
    </w:p>
    <w:p w14:paraId="2594683C" w14:textId="77777777" w:rsidR="007968EC" w:rsidRPr="002C0D19" w:rsidRDefault="007968EC" w:rsidP="007968EC">
      <w:pPr>
        <w:jc w:val="both"/>
        <w:rPr>
          <w:rFonts w:ascii="Arial Narrow" w:hAnsi="Arial Narrow" w:cs="Arial"/>
          <w:color w:val="000000" w:themeColor="text1"/>
          <w:lang w:val="es-ES" w:eastAsia="es-ES"/>
        </w:rPr>
      </w:pPr>
    </w:p>
    <w:p w14:paraId="496F9C30" w14:textId="77777777" w:rsidR="007968EC" w:rsidRPr="002C0D19" w:rsidRDefault="007968EC" w:rsidP="007968EC">
      <w:pPr>
        <w:jc w:val="both"/>
        <w:rPr>
          <w:rFonts w:ascii="Arial Narrow" w:hAnsi="Arial Narrow" w:cs="Arial"/>
          <w:color w:val="000000" w:themeColor="text1"/>
          <w:lang w:val="es-ES" w:eastAsia="es-ES"/>
        </w:rPr>
      </w:pPr>
    </w:p>
    <w:p w14:paraId="59C7C7D6" w14:textId="77777777" w:rsidR="007968EC" w:rsidRPr="002C0D19" w:rsidRDefault="007968EC" w:rsidP="007968EC">
      <w:pPr>
        <w:jc w:val="both"/>
        <w:rPr>
          <w:rFonts w:ascii="Arial Narrow" w:hAnsi="Arial Narrow" w:cs="Arial"/>
          <w:color w:val="000000" w:themeColor="text1"/>
          <w:lang w:val="es-ES" w:eastAsia="es-ES"/>
        </w:rPr>
      </w:pPr>
    </w:p>
    <w:p w14:paraId="604A33E2" w14:textId="77777777" w:rsidR="007968EC" w:rsidRPr="002C0D19" w:rsidRDefault="007968EC" w:rsidP="007968EC">
      <w:pPr>
        <w:jc w:val="both"/>
        <w:rPr>
          <w:rFonts w:ascii="Arial Narrow" w:hAnsi="Arial Narrow" w:cs="Arial"/>
          <w:color w:val="000000" w:themeColor="text1"/>
          <w:lang w:val="es-ES" w:eastAsia="es-ES"/>
        </w:rPr>
      </w:pPr>
    </w:p>
    <w:p w14:paraId="19B54876"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_________________________</w:t>
      </w:r>
    </w:p>
    <w:p w14:paraId="5AA984CC"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                 Firma</w:t>
      </w:r>
    </w:p>
    <w:p w14:paraId="34586D36" w14:textId="77777777" w:rsidR="007968EC" w:rsidRPr="002C0D19" w:rsidRDefault="007968EC" w:rsidP="007968EC">
      <w:pPr>
        <w:jc w:val="both"/>
        <w:rPr>
          <w:rFonts w:ascii="Arial Narrow" w:hAnsi="Arial Narrow" w:cs="Arial"/>
          <w:color w:val="000000" w:themeColor="text1"/>
          <w:lang w:val="es-ES" w:eastAsia="es-ES"/>
        </w:rPr>
      </w:pPr>
    </w:p>
    <w:p w14:paraId="3F62880F"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Nombre:</w:t>
      </w:r>
    </w:p>
    <w:p w14:paraId="420A8050"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C.C.</w:t>
      </w:r>
      <w:r w:rsidRPr="002C0D19">
        <w:rPr>
          <w:rFonts w:ascii="Arial Narrow" w:hAnsi="Arial Narrow" w:cs="Arial"/>
          <w:color w:val="000000" w:themeColor="text1"/>
          <w:lang w:val="es-ES" w:eastAsia="es-ES"/>
        </w:rPr>
        <w:tab/>
        <w:t>:</w:t>
      </w:r>
      <w:r w:rsidRPr="002C0D19">
        <w:rPr>
          <w:rFonts w:ascii="Arial Narrow" w:hAnsi="Arial Narrow" w:cs="Arial"/>
          <w:color w:val="000000" w:themeColor="text1"/>
          <w:lang w:val="es-ES" w:eastAsia="es-ES"/>
        </w:rPr>
        <w:tab/>
      </w:r>
      <w:r w:rsidRPr="002C0D19">
        <w:rPr>
          <w:rFonts w:ascii="Arial Narrow" w:hAnsi="Arial Narrow" w:cs="Arial"/>
          <w:color w:val="000000" w:themeColor="text1"/>
          <w:lang w:val="es-ES" w:eastAsia="es-ES"/>
        </w:rPr>
        <w:tab/>
      </w:r>
    </w:p>
    <w:p w14:paraId="27E9673D" w14:textId="77777777" w:rsidR="007968EC" w:rsidRPr="002C0D19" w:rsidRDefault="007968EC" w:rsidP="007968EC">
      <w:pPr>
        <w:jc w:val="both"/>
        <w:rPr>
          <w:rFonts w:ascii="Arial Narrow" w:hAnsi="Arial Narrow" w:cs="Arial"/>
          <w:color w:val="000000" w:themeColor="text1"/>
          <w:lang w:val="es-MX" w:eastAsia="es-ES"/>
        </w:rPr>
      </w:pPr>
      <w:r w:rsidRPr="002C0D19">
        <w:rPr>
          <w:rFonts w:ascii="Arial Narrow" w:hAnsi="Arial Narrow" w:cs="Arial"/>
          <w:color w:val="000000" w:themeColor="text1"/>
          <w:lang w:val="es-ES" w:eastAsia="es-ES"/>
        </w:rPr>
        <w:t>Ciudad y Fecha</w:t>
      </w:r>
      <w:r w:rsidRPr="002C0D19">
        <w:rPr>
          <w:rFonts w:ascii="Arial Narrow" w:hAnsi="Arial Narrow" w:cs="Arial"/>
          <w:color w:val="000000" w:themeColor="text1"/>
          <w:lang w:val="es-ES" w:eastAsia="es-ES"/>
        </w:rPr>
        <w:tab/>
        <w:t>: ________________________</w:t>
      </w:r>
    </w:p>
    <w:p w14:paraId="402A5166" w14:textId="77777777" w:rsidR="007968EC" w:rsidRPr="002C0D19" w:rsidRDefault="007968EC" w:rsidP="007968EC">
      <w:pPr>
        <w:jc w:val="both"/>
        <w:rPr>
          <w:rFonts w:ascii="Arial Narrow" w:hAnsi="Arial Narrow" w:cs="Arial"/>
          <w:color w:val="000000" w:themeColor="text1"/>
          <w:lang w:val="es-MX" w:eastAsia="es-ES"/>
        </w:rPr>
      </w:pPr>
      <w:r w:rsidRPr="002C0D19">
        <w:rPr>
          <w:rFonts w:ascii="Arial Narrow" w:hAnsi="Arial Narrow" w:cs="Arial"/>
          <w:color w:val="000000" w:themeColor="text1"/>
          <w:lang w:val="es-MX" w:eastAsia="es-ES"/>
        </w:rPr>
        <w:t>_________________________</w:t>
      </w:r>
    </w:p>
    <w:p w14:paraId="32817F69" w14:textId="77777777" w:rsidR="007968EC" w:rsidRPr="002C0D19" w:rsidRDefault="007968EC" w:rsidP="007968EC">
      <w:pPr>
        <w:jc w:val="center"/>
        <w:rPr>
          <w:rFonts w:ascii="Arial Narrow" w:hAnsi="Arial Narrow" w:cs="Arial"/>
          <w:b/>
          <w:color w:val="000000" w:themeColor="text1"/>
          <w:lang w:val="es-ES" w:eastAsia="es-ES"/>
        </w:rPr>
      </w:pPr>
    </w:p>
    <w:p w14:paraId="2D01B251" w14:textId="77777777" w:rsidR="007968EC" w:rsidRPr="002C0D19" w:rsidRDefault="007968EC" w:rsidP="007968EC">
      <w:pPr>
        <w:jc w:val="center"/>
        <w:rPr>
          <w:rFonts w:ascii="Arial Narrow" w:hAnsi="Arial Narrow" w:cs="Arial"/>
          <w:b/>
          <w:color w:val="000000" w:themeColor="text1"/>
          <w:lang w:val="es-ES" w:eastAsia="es-ES"/>
        </w:rPr>
      </w:pPr>
    </w:p>
    <w:p w14:paraId="352298BB" w14:textId="77777777" w:rsidR="007968EC" w:rsidRPr="002C0D19" w:rsidRDefault="007968EC" w:rsidP="007968EC">
      <w:pPr>
        <w:jc w:val="center"/>
        <w:rPr>
          <w:rFonts w:ascii="Arial Narrow" w:hAnsi="Arial Narrow" w:cs="Arial"/>
          <w:b/>
          <w:color w:val="000000" w:themeColor="text1"/>
          <w:lang w:val="es-ES" w:eastAsia="es-ES"/>
        </w:rPr>
      </w:pPr>
    </w:p>
    <w:p w14:paraId="0B4A0678" w14:textId="77777777" w:rsidR="007968EC" w:rsidRPr="002C0D19" w:rsidRDefault="007968EC" w:rsidP="007968EC">
      <w:pPr>
        <w:jc w:val="center"/>
        <w:rPr>
          <w:rFonts w:ascii="Arial Narrow" w:hAnsi="Arial Narrow" w:cs="Arial"/>
          <w:b/>
          <w:color w:val="000000" w:themeColor="text1"/>
          <w:lang w:val="es-ES" w:eastAsia="es-ES"/>
        </w:rPr>
      </w:pPr>
    </w:p>
    <w:p w14:paraId="31E6D67A" w14:textId="77777777" w:rsidR="007968EC" w:rsidRPr="002C0D19" w:rsidRDefault="007968EC" w:rsidP="007968EC">
      <w:pPr>
        <w:jc w:val="center"/>
        <w:rPr>
          <w:rFonts w:ascii="Arial Narrow" w:hAnsi="Arial Narrow" w:cs="Arial"/>
          <w:b/>
          <w:color w:val="000000" w:themeColor="text1"/>
          <w:lang w:val="es-ES" w:eastAsia="es-ES"/>
        </w:rPr>
      </w:pPr>
    </w:p>
    <w:p w14:paraId="7FBED897" w14:textId="77777777" w:rsidR="007968EC" w:rsidRPr="002C0D19" w:rsidRDefault="007968EC" w:rsidP="007968EC">
      <w:pPr>
        <w:rPr>
          <w:rFonts w:ascii="Arial Narrow" w:hAnsi="Arial Narrow" w:cs="Arial"/>
          <w:b/>
          <w:color w:val="000000" w:themeColor="text1"/>
          <w:lang w:val="es-ES" w:eastAsia="es-ES"/>
        </w:rPr>
      </w:pPr>
    </w:p>
    <w:p w14:paraId="578803A1" w14:textId="77777777" w:rsidR="007968EC" w:rsidRPr="002C0D19" w:rsidRDefault="007968EC" w:rsidP="007968EC">
      <w:pPr>
        <w:rPr>
          <w:rFonts w:ascii="Arial Narrow" w:hAnsi="Arial Narrow" w:cs="Arial"/>
          <w:b/>
          <w:color w:val="000000" w:themeColor="text1"/>
          <w:lang w:val="es-ES" w:eastAsia="es-ES"/>
        </w:rPr>
        <w:sectPr w:rsidR="007968EC" w:rsidRPr="002C0D19" w:rsidSect="007968EC">
          <w:pgSz w:w="12242" w:h="15842" w:code="1"/>
          <w:pgMar w:top="1985" w:right="1418" w:bottom="1985" w:left="1418" w:header="851" w:footer="1021" w:gutter="0"/>
          <w:cols w:space="708"/>
          <w:titlePg/>
          <w:docGrid w:linePitch="360"/>
        </w:sectPr>
      </w:pPr>
    </w:p>
    <w:p w14:paraId="18000B30" w14:textId="77777777" w:rsidR="007968EC" w:rsidRPr="002C0D19" w:rsidRDefault="007968EC" w:rsidP="007968EC">
      <w:pPr>
        <w:pStyle w:val="TTULO"/>
        <w:rPr>
          <w:lang w:val="es-ES"/>
        </w:rPr>
      </w:pPr>
      <w:bookmarkStart w:id="6575" w:name="_Toc31716608"/>
      <w:r w:rsidRPr="002C0D19">
        <w:rPr>
          <w:lang w:val="es-ES"/>
        </w:rPr>
        <w:lastRenderedPageBreak/>
        <w:t>ANEXO 18</w:t>
      </w:r>
      <w:bookmarkEnd w:id="6575"/>
    </w:p>
    <w:p w14:paraId="54B9DFCB" w14:textId="77777777" w:rsidR="007968EC" w:rsidRPr="002C0D19" w:rsidRDefault="007968EC" w:rsidP="007968EC">
      <w:pPr>
        <w:jc w:val="center"/>
        <w:rPr>
          <w:rFonts w:ascii="Arial Narrow" w:hAnsi="Arial Narrow" w:cs="Arial"/>
          <w:b/>
          <w:color w:val="000000" w:themeColor="text1"/>
          <w:lang w:val="es-ES" w:eastAsia="es-ES"/>
        </w:rPr>
      </w:pPr>
    </w:p>
    <w:p w14:paraId="79CB40CA" w14:textId="77777777" w:rsidR="007968EC" w:rsidRPr="002C0D19" w:rsidRDefault="007968EC" w:rsidP="007968EC">
      <w:pPr>
        <w:pStyle w:val="ANTECEDENTES"/>
        <w:jc w:val="center"/>
      </w:pPr>
      <w:r w:rsidRPr="002C0D19">
        <w:t xml:space="preserve">(Este anexo fue </w:t>
      </w:r>
      <w:r w:rsidRPr="002C0D19">
        <w:rPr>
          <w:bCs/>
        </w:rPr>
        <w:t xml:space="preserve">modificado </w:t>
      </w:r>
      <w:r w:rsidRPr="002C0D19">
        <w:t>mediante Circular 8 del 4 de marzo de 2015, publicada en el Boletín Normativo No. 008 del 4 de marzo de 2015. Rige a partir del 5 de marzo de 2015.)</w:t>
      </w:r>
    </w:p>
    <w:p w14:paraId="0581819E" w14:textId="77777777" w:rsidR="007968EC" w:rsidRPr="002C0D19" w:rsidRDefault="007968EC" w:rsidP="007968EC">
      <w:pPr>
        <w:rPr>
          <w:rFonts w:ascii="Arial Narrow" w:hAnsi="Arial Narrow" w:cs="Arial"/>
          <w:b/>
          <w:color w:val="000000" w:themeColor="text1"/>
          <w:lang w:val="es-ES" w:eastAsia="es-ES"/>
        </w:rPr>
      </w:pPr>
    </w:p>
    <w:p w14:paraId="5456442B" w14:textId="77777777" w:rsidR="007968EC" w:rsidRPr="002C0D19" w:rsidRDefault="007968EC" w:rsidP="007968EC">
      <w:pPr>
        <w:jc w:val="center"/>
        <w:rPr>
          <w:lang w:val="es-ES"/>
        </w:rPr>
      </w:pPr>
      <w:r w:rsidRPr="004B3C30">
        <w:rPr>
          <w:rFonts w:ascii="Arial Narrow" w:hAnsi="Arial Narrow" w:cs="Arial"/>
          <w:b/>
          <w:color w:val="000000" w:themeColor="text1"/>
          <w:lang w:val="es-ES" w:eastAsia="es-ES"/>
        </w:rPr>
        <w:t>FORMATO DE SOLICITUD DE REACTIVACIÓN DE CLAVES DE ACCESO</w:t>
      </w:r>
    </w:p>
    <w:p w14:paraId="0C820130" w14:textId="77777777" w:rsidR="007968EC" w:rsidRPr="002C0D19" w:rsidRDefault="007968EC" w:rsidP="007968EC">
      <w:pPr>
        <w:jc w:val="both"/>
        <w:rPr>
          <w:rFonts w:ascii="Arial Narrow" w:hAnsi="Arial Narrow" w:cs="Arial"/>
          <w:color w:val="000000" w:themeColor="text1"/>
          <w:lang w:val="es-ES"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29"/>
        <w:gridCol w:w="5354"/>
        <w:gridCol w:w="2268"/>
      </w:tblGrid>
      <w:tr w:rsidR="007968EC" w:rsidRPr="002C0D19" w14:paraId="7671B198" w14:textId="77777777" w:rsidTr="007968EC">
        <w:trPr>
          <w:cantSplit/>
          <w:trHeight w:val="423"/>
        </w:trPr>
        <w:tc>
          <w:tcPr>
            <w:tcW w:w="1729" w:type="dxa"/>
            <w:vMerge w:val="restart"/>
            <w:vAlign w:val="center"/>
          </w:tcPr>
          <w:p w14:paraId="72744090" w14:textId="77777777" w:rsidR="007968EC" w:rsidRPr="002C0D19" w:rsidRDefault="007968EC" w:rsidP="007968EC">
            <w:pPr>
              <w:tabs>
                <w:tab w:val="center" w:pos="4252"/>
                <w:tab w:val="right" w:pos="8504"/>
              </w:tabs>
              <w:jc w:val="center"/>
              <w:rPr>
                <w:rFonts w:ascii="Arial Narrow" w:hAnsi="Arial Narrow" w:cs="Arial"/>
                <w:b/>
                <w:color w:val="000000" w:themeColor="text1"/>
                <w:lang w:val="es-ES" w:eastAsia="es-ES"/>
              </w:rPr>
            </w:pPr>
            <w:r w:rsidRPr="002C0D19">
              <w:rPr>
                <w:rFonts w:ascii="Arial Narrow" w:hAnsi="Arial Narrow" w:cs="Arial"/>
                <w:b/>
                <w:noProof/>
                <w:color w:val="000000" w:themeColor="text1"/>
                <w:lang w:eastAsia="es-CO"/>
              </w:rPr>
              <w:drawing>
                <wp:inline distT="0" distB="0" distL="0" distR="0" wp14:anchorId="75B276F9" wp14:editId="5A8B2E95">
                  <wp:extent cx="1071000" cy="504000"/>
                  <wp:effectExtent l="0" t="0" r="0" b="0"/>
                  <wp:docPr id="34" name="Imagen 3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1000" cy="504000"/>
                          </a:xfrm>
                          <a:prstGeom prst="rect">
                            <a:avLst/>
                          </a:prstGeom>
                          <a:noFill/>
                          <a:ln>
                            <a:noFill/>
                          </a:ln>
                        </pic:spPr>
                      </pic:pic>
                    </a:graphicData>
                  </a:graphic>
                </wp:inline>
              </w:drawing>
            </w:r>
          </w:p>
        </w:tc>
        <w:tc>
          <w:tcPr>
            <w:tcW w:w="5354" w:type="dxa"/>
            <w:vAlign w:val="center"/>
          </w:tcPr>
          <w:p w14:paraId="70DDC201" w14:textId="77777777" w:rsidR="007968EC" w:rsidRPr="002C0D19" w:rsidRDefault="007968EC" w:rsidP="007968EC">
            <w:pPr>
              <w:tabs>
                <w:tab w:val="center" w:pos="4252"/>
                <w:tab w:val="right" w:pos="8504"/>
              </w:tabs>
              <w:jc w:val="center"/>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FORMATO</w:t>
            </w:r>
          </w:p>
        </w:tc>
        <w:tc>
          <w:tcPr>
            <w:tcW w:w="2268" w:type="dxa"/>
            <w:vAlign w:val="center"/>
          </w:tcPr>
          <w:p w14:paraId="06689D93" w14:textId="77777777" w:rsidR="007968EC" w:rsidRPr="002C0D19" w:rsidRDefault="007968EC" w:rsidP="007968EC">
            <w:pPr>
              <w:tabs>
                <w:tab w:val="center" w:pos="4252"/>
                <w:tab w:val="right" w:pos="8504"/>
              </w:tabs>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Código: FO GMI 012</w:t>
            </w:r>
          </w:p>
        </w:tc>
      </w:tr>
      <w:tr w:rsidR="007968EC" w:rsidRPr="002C0D19" w14:paraId="28E46524" w14:textId="77777777" w:rsidTr="007968EC">
        <w:trPr>
          <w:cantSplit/>
          <w:trHeight w:val="373"/>
        </w:trPr>
        <w:tc>
          <w:tcPr>
            <w:tcW w:w="1729" w:type="dxa"/>
            <w:vMerge/>
            <w:shd w:val="pct5" w:color="auto" w:fill="FFFFFF"/>
            <w:vAlign w:val="center"/>
          </w:tcPr>
          <w:p w14:paraId="02B6FFF8" w14:textId="77777777" w:rsidR="007968EC" w:rsidRPr="002C0D19" w:rsidRDefault="007968EC" w:rsidP="007968EC">
            <w:pPr>
              <w:tabs>
                <w:tab w:val="center" w:pos="4252"/>
                <w:tab w:val="right" w:pos="8504"/>
              </w:tabs>
              <w:jc w:val="center"/>
              <w:rPr>
                <w:rFonts w:ascii="Arial Narrow" w:hAnsi="Arial Narrow" w:cs="Arial"/>
                <w:color w:val="000000" w:themeColor="text1"/>
                <w:lang w:val="es-ES" w:eastAsia="es-ES"/>
              </w:rPr>
            </w:pPr>
          </w:p>
        </w:tc>
        <w:tc>
          <w:tcPr>
            <w:tcW w:w="5354" w:type="dxa"/>
            <w:vMerge w:val="restart"/>
            <w:vAlign w:val="center"/>
          </w:tcPr>
          <w:p w14:paraId="4186885D" w14:textId="77777777" w:rsidR="007968EC" w:rsidRPr="002C0D19" w:rsidRDefault="007968EC" w:rsidP="007968EC">
            <w:pPr>
              <w:tabs>
                <w:tab w:val="center" w:pos="4252"/>
                <w:tab w:val="right" w:pos="8504"/>
              </w:tabs>
              <w:jc w:val="center"/>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SOLICITUD DE REACTIVACIÓN DE CLAVES</w:t>
            </w:r>
          </w:p>
        </w:tc>
        <w:tc>
          <w:tcPr>
            <w:tcW w:w="2268" w:type="dxa"/>
            <w:vAlign w:val="center"/>
          </w:tcPr>
          <w:p w14:paraId="612A2543" w14:textId="77777777" w:rsidR="007968EC" w:rsidRPr="002C0D19" w:rsidRDefault="007968EC" w:rsidP="007968EC">
            <w:pPr>
              <w:tabs>
                <w:tab w:val="center" w:pos="4252"/>
                <w:tab w:val="right" w:pos="8504"/>
              </w:tabs>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Versión: 1.1</w:t>
            </w:r>
          </w:p>
        </w:tc>
      </w:tr>
      <w:tr w:rsidR="007968EC" w:rsidRPr="002C0D19" w14:paraId="71968CD9" w14:textId="77777777" w:rsidTr="007968EC">
        <w:trPr>
          <w:cantSplit/>
          <w:trHeight w:val="181"/>
        </w:trPr>
        <w:tc>
          <w:tcPr>
            <w:tcW w:w="1729" w:type="dxa"/>
            <w:vMerge/>
            <w:shd w:val="pct5" w:color="auto" w:fill="FFFFFF"/>
            <w:vAlign w:val="center"/>
          </w:tcPr>
          <w:p w14:paraId="5D08DBD6" w14:textId="77777777" w:rsidR="007968EC" w:rsidRPr="002C0D19" w:rsidRDefault="007968EC" w:rsidP="007968EC">
            <w:pPr>
              <w:tabs>
                <w:tab w:val="center" w:pos="4252"/>
                <w:tab w:val="right" w:pos="8504"/>
              </w:tabs>
              <w:jc w:val="center"/>
              <w:rPr>
                <w:rFonts w:ascii="Arial Narrow" w:hAnsi="Arial Narrow" w:cs="Arial"/>
                <w:color w:val="000000" w:themeColor="text1"/>
                <w:lang w:val="es-ES" w:eastAsia="es-ES"/>
              </w:rPr>
            </w:pPr>
          </w:p>
        </w:tc>
        <w:tc>
          <w:tcPr>
            <w:tcW w:w="5354" w:type="dxa"/>
            <w:vMerge/>
            <w:shd w:val="pct5" w:color="auto" w:fill="FFFFFF"/>
            <w:vAlign w:val="center"/>
          </w:tcPr>
          <w:p w14:paraId="37E67EB4" w14:textId="77777777" w:rsidR="007968EC" w:rsidRPr="002C0D19" w:rsidRDefault="007968EC" w:rsidP="007968EC">
            <w:pPr>
              <w:tabs>
                <w:tab w:val="center" w:pos="4252"/>
                <w:tab w:val="right" w:pos="8504"/>
              </w:tabs>
              <w:jc w:val="center"/>
              <w:rPr>
                <w:rFonts w:ascii="Arial Narrow" w:hAnsi="Arial Narrow" w:cs="Arial"/>
                <w:b/>
                <w:color w:val="000000" w:themeColor="text1"/>
                <w:lang w:val="es-ES" w:eastAsia="es-ES"/>
              </w:rPr>
            </w:pPr>
          </w:p>
        </w:tc>
        <w:tc>
          <w:tcPr>
            <w:tcW w:w="2268" w:type="dxa"/>
            <w:vAlign w:val="center"/>
          </w:tcPr>
          <w:p w14:paraId="209790B1" w14:textId="77777777" w:rsidR="007968EC" w:rsidRPr="002C0D19" w:rsidRDefault="007968EC" w:rsidP="007968EC">
            <w:pPr>
              <w:tabs>
                <w:tab w:val="center" w:pos="4252"/>
                <w:tab w:val="right" w:pos="8504"/>
              </w:tabs>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Página 1 de 1</w:t>
            </w:r>
          </w:p>
        </w:tc>
      </w:tr>
    </w:tbl>
    <w:p w14:paraId="37A643AA" w14:textId="77777777" w:rsidR="007968EC" w:rsidRPr="002C0D19" w:rsidRDefault="007968EC" w:rsidP="007968EC">
      <w:pPr>
        <w:jc w:val="both"/>
        <w:rPr>
          <w:rFonts w:ascii="Arial Narrow" w:hAnsi="Arial Narrow" w:cs="Arial"/>
          <w:color w:val="000000" w:themeColor="text1"/>
          <w:lang w:val="es-ES" w:eastAsia="es-ES"/>
        </w:rPr>
      </w:pPr>
    </w:p>
    <w:p w14:paraId="007E9AB7" w14:textId="77777777" w:rsidR="007968EC" w:rsidRPr="002C0D19" w:rsidRDefault="007968EC" w:rsidP="007968EC">
      <w:pPr>
        <w:jc w:val="both"/>
        <w:rPr>
          <w:rFonts w:ascii="Arial Narrow" w:eastAsia="Calibri" w:hAnsi="Arial Narrow"/>
          <w:color w:val="000000" w:themeColor="text1"/>
          <w:lang w:val="es-ES"/>
        </w:rPr>
      </w:pPr>
      <w:r w:rsidRPr="002C0D19">
        <w:rPr>
          <w:rFonts w:ascii="Arial Narrow" w:eastAsia="Calibri" w:hAnsi="Arial Narrow"/>
          <w:color w:val="000000" w:themeColor="text1"/>
          <w:lang w:val="es-ES"/>
        </w:rPr>
        <w:t xml:space="preserve">Bogotá, _____ días del mes de _________ </w:t>
      </w:r>
      <w:proofErr w:type="spellStart"/>
      <w:r w:rsidRPr="002C0D19">
        <w:rPr>
          <w:rFonts w:ascii="Arial Narrow" w:eastAsia="Calibri" w:hAnsi="Arial Narrow"/>
          <w:color w:val="000000" w:themeColor="text1"/>
          <w:lang w:val="es-ES"/>
        </w:rPr>
        <w:t>de</w:t>
      </w:r>
      <w:proofErr w:type="spellEnd"/>
      <w:r w:rsidRPr="002C0D19">
        <w:rPr>
          <w:rFonts w:ascii="Arial Narrow" w:eastAsia="Calibri" w:hAnsi="Arial Narrow"/>
          <w:color w:val="000000" w:themeColor="text1"/>
          <w:lang w:val="es-ES"/>
        </w:rPr>
        <w:t xml:space="preserve"> 20__.</w:t>
      </w:r>
    </w:p>
    <w:p w14:paraId="14021CAD" w14:textId="77777777" w:rsidR="007968EC" w:rsidRPr="002C0D19" w:rsidRDefault="007968EC" w:rsidP="007968EC">
      <w:pPr>
        <w:jc w:val="both"/>
        <w:rPr>
          <w:rFonts w:ascii="Arial Narrow" w:eastAsia="Calibri" w:hAnsi="Arial Narrow"/>
          <w:color w:val="000000" w:themeColor="text1"/>
          <w:lang w:val="es-ES"/>
        </w:rPr>
      </w:pPr>
    </w:p>
    <w:p w14:paraId="3012C32F" w14:textId="77777777" w:rsidR="007968EC" w:rsidRPr="002C0D19" w:rsidRDefault="007968EC" w:rsidP="007968EC">
      <w:pPr>
        <w:jc w:val="both"/>
        <w:rPr>
          <w:rFonts w:ascii="Arial Narrow" w:eastAsia="Calibri" w:hAnsi="Arial Narrow"/>
          <w:color w:val="000000" w:themeColor="text1"/>
          <w:lang w:val="es-ES"/>
        </w:rPr>
      </w:pPr>
    </w:p>
    <w:p w14:paraId="5AD6B91A" w14:textId="77777777" w:rsidR="007968EC" w:rsidRPr="002C0D19" w:rsidRDefault="007968EC" w:rsidP="007968EC">
      <w:pPr>
        <w:jc w:val="both"/>
        <w:rPr>
          <w:rFonts w:ascii="Arial Narrow" w:eastAsia="Calibri" w:hAnsi="Arial Narrow"/>
          <w:color w:val="000000" w:themeColor="text1"/>
          <w:lang w:val="es-ES"/>
        </w:rPr>
      </w:pPr>
      <w:r w:rsidRPr="002C0D19">
        <w:rPr>
          <w:rFonts w:ascii="Arial Narrow" w:eastAsia="Calibri" w:hAnsi="Arial Narrow"/>
          <w:color w:val="000000" w:themeColor="text1"/>
          <w:lang w:val="es-ES"/>
        </w:rPr>
        <w:t>Señores</w:t>
      </w:r>
    </w:p>
    <w:p w14:paraId="7A880687" w14:textId="77777777" w:rsidR="007968EC" w:rsidRPr="002C0D19" w:rsidRDefault="007968EC" w:rsidP="007968EC">
      <w:pPr>
        <w:jc w:val="both"/>
        <w:rPr>
          <w:rFonts w:ascii="Arial Narrow" w:eastAsia="Calibri" w:hAnsi="Arial Narrow"/>
          <w:color w:val="000000" w:themeColor="text1"/>
          <w:lang w:val="es-ES"/>
        </w:rPr>
      </w:pPr>
      <w:r w:rsidRPr="002C0D19">
        <w:rPr>
          <w:rFonts w:ascii="Arial Narrow" w:eastAsia="Calibri" w:hAnsi="Arial Narrow"/>
          <w:color w:val="000000" w:themeColor="text1"/>
          <w:lang w:val="es-ES"/>
        </w:rPr>
        <w:t>Cámara de Riesgo Central de Contraparte de Colombia S.A</w:t>
      </w:r>
    </w:p>
    <w:p w14:paraId="4F6F56BD" w14:textId="77777777" w:rsidR="007968EC" w:rsidRPr="002C0D19" w:rsidRDefault="007968EC" w:rsidP="007968EC">
      <w:pPr>
        <w:jc w:val="both"/>
        <w:rPr>
          <w:rFonts w:ascii="Arial Narrow" w:eastAsia="Calibri" w:hAnsi="Arial Narrow"/>
          <w:color w:val="000000" w:themeColor="text1"/>
          <w:lang w:val="es-ES"/>
        </w:rPr>
      </w:pPr>
    </w:p>
    <w:p w14:paraId="7D5F6780" w14:textId="77777777" w:rsidR="007968EC" w:rsidRPr="002C0D19" w:rsidRDefault="007968EC" w:rsidP="007968EC">
      <w:pPr>
        <w:jc w:val="both"/>
        <w:rPr>
          <w:rFonts w:ascii="Arial Narrow" w:eastAsia="Calibri" w:hAnsi="Arial Narrow"/>
          <w:color w:val="000000" w:themeColor="text1"/>
          <w:lang w:val="es-ES"/>
        </w:rPr>
      </w:pPr>
    </w:p>
    <w:p w14:paraId="50128758" w14:textId="77777777" w:rsidR="007968EC" w:rsidRPr="002C0D19" w:rsidRDefault="007968EC" w:rsidP="007968EC">
      <w:pPr>
        <w:jc w:val="both"/>
        <w:rPr>
          <w:rFonts w:ascii="Arial Narrow" w:eastAsia="Calibri" w:hAnsi="Arial Narrow"/>
          <w:color w:val="000000" w:themeColor="text1"/>
          <w:lang w:val="es-ES"/>
        </w:rPr>
      </w:pPr>
    </w:p>
    <w:p w14:paraId="71DF1FE5" w14:textId="77777777" w:rsidR="007968EC" w:rsidRPr="002C0D19" w:rsidRDefault="007968EC" w:rsidP="007968EC">
      <w:pPr>
        <w:jc w:val="both"/>
        <w:rPr>
          <w:rFonts w:ascii="Arial Narrow" w:eastAsia="Calibri" w:hAnsi="Arial Narrow"/>
          <w:color w:val="000000" w:themeColor="text1"/>
          <w:lang w:val="es-ES"/>
        </w:rPr>
      </w:pPr>
      <w:r w:rsidRPr="002C0D19">
        <w:rPr>
          <w:rFonts w:ascii="Arial Narrow" w:eastAsia="Calibri" w:hAnsi="Arial Narrow"/>
          <w:color w:val="000000" w:themeColor="text1"/>
          <w:lang w:val="es-ES"/>
        </w:rPr>
        <w:t xml:space="preserve">Yo, ____________________ identificado con la (C.C/C.E.) </w:t>
      </w:r>
      <w:proofErr w:type="spellStart"/>
      <w:r w:rsidRPr="002C0D19">
        <w:rPr>
          <w:rFonts w:ascii="Arial Narrow" w:eastAsia="Calibri" w:hAnsi="Arial Narrow"/>
          <w:color w:val="000000" w:themeColor="text1"/>
          <w:lang w:val="es-ES"/>
        </w:rPr>
        <w:t>Nº</w:t>
      </w:r>
      <w:proofErr w:type="spellEnd"/>
      <w:r w:rsidRPr="002C0D19">
        <w:rPr>
          <w:rFonts w:ascii="Arial Narrow" w:eastAsia="Calibri" w:hAnsi="Arial Narrow"/>
          <w:color w:val="000000" w:themeColor="text1"/>
          <w:lang w:val="es-ES"/>
        </w:rPr>
        <w:t xml:space="preserve">___________de ________ quien actualmente me desempeño en el cargo de ________________ en la entidad ________________________ identificada con NIT ____________; por medio del siguiente formato solicito formalmente la reactivación de la(s) claves de ingreso para el (los) usuario (s) relacionados a continuación. </w:t>
      </w:r>
    </w:p>
    <w:p w14:paraId="17D787BC" w14:textId="77777777" w:rsidR="007968EC" w:rsidRPr="002C0D19" w:rsidRDefault="007968EC" w:rsidP="007968EC">
      <w:pPr>
        <w:jc w:val="both"/>
        <w:rPr>
          <w:rFonts w:ascii="Arial Narrow" w:eastAsia="Calibri" w:hAnsi="Arial Narrow"/>
          <w:color w:val="000000" w:themeColor="text1"/>
          <w:lang w:val="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394"/>
      </w:tblGrid>
      <w:tr w:rsidR="007968EC" w:rsidRPr="002C0D19" w14:paraId="04500610" w14:textId="77777777" w:rsidTr="007968EC">
        <w:trPr>
          <w:trHeight w:val="781"/>
        </w:trPr>
        <w:tc>
          <w:tcPr>
            <w:tcW w:w="4957" w:type="dxa"/>
            <w:vAlign w:val="center"/>
          </w:tcPr>
          <w:p w14:paraId="427EEE5F" w14:textId="77777777" w:rsidR="007968EC" w:rsidRPr="002C0D19" w:rsidRDefault="007968EC" w:rsidP="007968EC">
            <w:pPr>
              <w:jc w:val="center"/>
              <w:rPr>
                <w:rFonts w:ascii="Arial Narrow" w:eastAsia="Calibri" w:hAnsi="Arial Narrow" w:cs="Courier New"/>
                <w:b/>
                <w:color w:val="000000" w:themeColor="text1"/>
              </w:rPr>
            </w:pPr>
            <w:r w:rsidRPr="002C0D19">
              <w:rPr>
                <w:rFonts w:ascii="Arial Narrow" w:eastAsia="Calibri" w:hAnsi="Arial Narrow" w:cs="Courier New"/>
                <w:b/>
                <w:color w:val="000000" w:themeColor="text1"/>
              </w:rPr>
              <w:t>CÓDIGO MIEMBRO</w:t>
            </w:r>
          </w:p>
          <w:p w14:paraId="1A8B7966" w14:textId="77777777" w:rsidR="007968EC" w:rsidRPr="002C0D19" w:rsidRDefault="007968EC" w:rsidP="007968EC">
            <w:pPr>
              <w:jc w:val="center"/>
              <w:rPr>
                <w:rFonts w:ascii="Arial Narrow" w:eastAsia="Calibri" w:hAnsi="Arial Narrow" w:cs="Courier New"/>
                <w:b/>
                <w:color w:val="000000" w:themeColor="text1"/>
              </w:rPr>
            </w:pPr>
            <w:r w:rsidRPr="002C0D19">
              <w:rPr>
                <w:rFonts w:ascii="Arial Narrow" w:eastAsia="Calibri" w:hAnsi="Arial Narrow" w:cs="Courier New"/>
                <w:b/>
                <w:color w:val="000000" w:themeColor="text1"/>
              </w:rPr>
              <w:t>Ejemplo(MXXX)</w:t>
            </w:r>
          </w:p>
        </w:tc>
        <w:tc>
          <w:tcPr>
            <w:tcW w:w="4394" w:type="dxa"/>
            <w:vAlign w:val="center"/>
          </w:tcPr>
          <w:p w14:paraId="73BCEB15" w14:textId="77777777" w:rsidR="007968EC" w:rsidRPr="002C0D19" w:rsidRDefault="007968EC" w:rsidP="007968EC">
            <w:pPr>
              <w:jc w:val="center"/>
              <w:rPr>
                <w:rFonts w:ascii="Arial Narrow" w:eastAsia="Calibri" w:hAnsi="Arial Narrow" w:cs="Courier New"/>
                <w:b/>
                <w:color w:val="000000" w:themeColor="text1"/>
              </w:rPr>
            </w:pPr>
            <w:r w:rsidRPr="002C0D19">
              <w:rPr>
                <w:rFonts w:ascii="Arial Narrow" w:eastAsia="Calibri" w:hAnsi="Arial Narrow" w:cs="Courier New"/>
                <w:b/>
                <w:color w:val="000000" w:themeColor="text1"/>
              </w:rPr>
              <w:t>OPERADOR – TERMINAL CRCC</w:t>
            </w:r>
          </w:p>
          <w:p w14:paraId="31938B34" w14:textId="77777777" w:rsidR="007968EC" w:rsidRPr="002C0D19" w:rsidRDefault="007968EC" w:rsidP="007968EC">
            <w:pPr>
              <w:jc w:val="center"/>
              <w:rPr>
                <w:rFonts w:ascii="Arial Narrow" w:eastAsia="Calibri" w:hAnsi="Arial Narrow" w:cs="Courier New"/>
                <w:b/>
                <w:color w:val="000000" w:themeColor="text1"/>
              </w:rPr>
            </w:pPr>
            <w:r w:rsidRPr="002C0D19">
              <w:rPr>
                <w:rFonts w:ascii="Arial Narrow" w:eastAsia="Calibri" w:hAnsi="Arial Narrow" w:cs="Courier New"/>
                <w:b/>
                <w:color w:val="000000" w:themeColor="text1"/>
              </w:rPr>
              <w:t>Ejemplo 0XX</w:t>
            </w:r>
          </w:p>
        </w:tc>
      </w:tr>
      <w:tr w:rsidR="007968EC" w:rsidRPr="002C0D19" w14:paraId="24BCF5F5" w14:textId="77777777" w:rsidTr="007968EC">
        <w:tc>
          <w:tcPr>
            <w:tcW w:w="4957" w:type="dxa"/>
            <w:vAlign w:val="center"/>
          </w:tcPr>
          <w:p w14:paraId="0D0541D2" w14:textId="77777777" w:rsidR="007968EC" w:rsidRPr="002C0D19" w:rsidRDefault="007968EC" w:rsidP="007968EC">
            <w:pPr>
              <w:jc w:val="center"/>
              <w:rPr>
                <w:rFonts w:ascii="Arial Narrow" w:eastAsia="Calibri" w:hAnsi="Arial Narrow" w:cs="Courier New"/>
                <w:color w:val="000000" w:themeColor="text1"/>
              </w:rPr>
            </w:pPr>
          </w:p>
        </w:tc>
        <w:tc>
          <w:tcPr>
            <w:tcW w:w="4394" w:type="dxa"/>
            <w:vAlign w:val="center"/>
          </w:tcPr>
          <w:p w14:paraId="1DBADCFF" w14:textId="77777777" w:rsidR="007968EC" w:rsidRPr="002C0D19" w:rsidRDefault="007968EC" w:rsidP="007968EC">
            <w:pPr>
              <w:jc w:val="center"/>
              <w:rPr>
                <w:rFonts w:ascii="Arial Narrow" w:eastAsia="Calibri" w:hAnsi="Arial Narrow" w:cs="Courier New"/>
                <w:color w:val="000000" w:themeColor="text1"/>
              </w:rPr>
            </w:pPr>
          </w:p>
        </w:tc>
      </w:tr>
    </w:tbl>
    <w:p w14:paraId="0034913F" w14:textId="77777777" w:rsidR="007968EC" w:rsidRPr="002C0D19" w:rsidRDefault="007968EC" w:rsidP="007968EC">
      <w:pPr>
        <w:jc w:val="both"/>
        <w:rPr>
          <w:rFonts w:ascii="Arial Narrow" w:eastAsia="Calibri" w:hAnsi="Arial Narrow"/>
          <w:color w:val="000000" w:themeColor="text1"/>
          <w:lang w:val="es-ES"/>
        </w:rPr>
      </w:pPr>
    </w:p>
    <w:p w14:paraId="7BB4DE2C" w14:textId="77777777" w:rsidR="007968EC" w:rsidRPr="002C0D19" w:rsidRDefault="007968EC" w:rsidP="007968EC">
      <w:pPr>
        <w:jc w:val="both"/>
        <w:rPr>
          <w:rFonts w:ascii="Arial Narrow" w:eastAsia="Calibri" w:hAnsi="Arial Narrow"/>
          <w:color w:val="000000" w:themeColor="text1"/>
          <w:lang w:val="es-ES"/>
        </w:rPr>
      </w:pPr>
      <w:r w:rsidRPr="002C0D19">
        <w:rPr>
          <w:rFonts w:ascii="Arial Narrow" w:eastAsia="Calibri" w:hAnsi="Arial Narrow"/>
          <w:color w:val="000000" w:themeColor="text1"/>
          <w:lang w:val="es-ES"/>
        </w:rPr>
        <w:t>Atentamente</w:t>
      </w:r>
    </w:p>
    <w:p w14:paraId="64BC3858" w14:textId="77777777" w:rsidR="007968EC" w:rsidRPr="002C0D19" w:rsidRDefault="007968EC" w:rsidP="007968EC">
      <w:pPr>
        <w:jc w:val="both"/>
        <w:rPr>
          <w:rFonts w:ascii="Arial Narrow" w:eastAsia="Calibri" w:hAnsi="Arial Narrow"/>
          <w:color w:val="000000" w:themeColor="text1"/>
          <w:lang w:val="es-ES"/>
        </w:rPr>
      </w:pPr>
    </w:p>
    <w:p w14:paraId="23CA61A9" w14:textId="77777777" w:rsidR="007968EC" w:rsidRPr="002C0D19" w:rsidRDefault="007968EC" w:rsidP="007968EC">
      <w:pPr>
        <w:jc w:val="both"/>
        <w:rPr>
          <w:rFonts w:ascii="Arial Narrow" w:eastAsia="Calibri" w:hAnsi="Arial Narrow"/>
          <w:color w:val="000000" w:themeColor="text1"/>
          <w:lang w:val="es-ES"/>
        </w:rPr>
      </w:pPr>
    </w:p>
    <w:p w14:paraId="26115422" w14:textId="77777777" w:rsidR="007968EC" w:rsidRPr="002C0D19" w:rsidRDefault="007968EC" w:rsidP="007968EC">
      <w:pPr>
        <w:jc w:val="both"/>
        <w:rPr>
          <w:rFonts w:ascii="Arial Narrow" w:eastAsia="Calibri" w:hAnsi="Arial Narrow"/>
          <w:color w:val="000000" w:themeColor="text1"/>
          <w:lang w:val="es-ES"/>
        </w:rPr>
      </w:pPr>
    </w:p>
    <w:p w14:paraId="01D557A0" w14:textId="77777777" w:rsidR="007968EC" w:rsidRPr="002C0D19" w:rsidRDefault="007968EC" w:rsidP="007968EC">
      <w:pPr>
        <w:jc w:val="both"/>
        <w:rPr>
          <w:rFonts w:ascii="Arial Narrow" w:eastAsia="Calibri" w:hAnsi="Arial Narrow"/>
          <w:color w:val="000000" w:themeColor="text1"/>
          <w:lang w:val="es-ES"/>
        </w:rPr>
      </w:pPr>
      <w:r w:rsidRPr="002C0D19">
        <w:rPr>
          <w:rFonts w:ascii="Arial Narrow" w:eastAsia="Calibri" w:hAnsi="Arial Narrow"/>
          <w:color w:val="000000" w:themeColor="text1"/>
          <w:lang w:val="es-ES"/>
        </w:rPr>
        <w:t>(Nombre y apellidos funcionario solicitante)_________________</w:t>
      </w:r>
    </w:p>
    <w:p w14:paraId="708F3C3C" w14:textId="77777777" w:rsidR="007968EC" w:rsidRPr="002C0D19" w:rsidRDefault="007968EC" w:rsidP="007968EC">
      <w:pPr>
        <w:jc w:val="both"/>
        <w:rPr>
          <w:rFonts w:ascii="Arial Narrow" w:eastAsia="Calibri" w:hAnsi="Arial Narrow"/>
          <w:color w:val="000000" w:themeColor="text1"/>
          <w:lang w:val="es-ES"/>
        </w:rPr>
      </w:pPr>
      <w:r w:rsidRPr="002C0D19">
        <w:rPr>
          <w:rFonts w:ascii="Arial Narrow" w:eastAsia="Calibri" w:hAnsi="Arial Narrow"/>
          <w:color w:val="000000" w:themeColor="text1"/>
          <w:lang w:val="es-ES"/>
        </w:rPr>
        <w:t>(Número de identificación)________________</w:t>
      </w:r>
    </w:p>
    <w:p w14:paraId="4206C2F5" w14:textId="77777777" w:rsidR="007968EC" w:rsidRPr="002C0D19" w:rsidRDefault="007968EC" w:rsidP="007968EC">
      <w:pPr>
        <w:jc w:val="both"/>
        <w:rPr>
          <w:rFonts w:ascii="Arial Narrow" w:eastAsia="Calibri" w:hAnsi="Arial Narrow"/>
          <w:color w:val="000000" w:themeColor="text1"/>
          <w:lang w:val="es-ES"/>
        </w:rPr>
      </w:pPr>
      <w:r w:rsidRPr="002C0D19">
        <w:rPr>
          <w:rFonts w:ascii="Arial Narrow" w:eastAsia="Calibri" w:hAnsi="Arial Narrow"/>
          <w:color w:val="000000" w:themeColor="text1"/>
          <w:lang w:val="es-ES"/>
        </w:rPr>
        <w:t>(Cargo) _________________</w:t>
      </w:r>
    </w:p>
    <w:p w14:paraId="187216D6" w14:textId="77777777" w:rsidR="007968EC" w:rsidRPr="002C0D19" w:rsidRDefault="007968EC" w:rsidP="007968EC">
      <w:pPr>
        <w:jc w:val="both"/>
        <w:rPr>
          <w:rFonts w:ascii="Arial Narrow" w:eastAsia="Calibri" w:hAnsi="Arial Narrow"/>
          <w:b/>
          <w:color w:val="000000" w:themeColor="text1"/>
          <w:u w:val="single"/>
          <w:lang w:val="es-ES"/>
        </w:rPr>
      </w:pPr>
      <w:r w:rsidRPr="002C0D19">
        <w:rPr>
          <w:rFonts w:ascii="Arial Narrow" w:eastAsia="Calibri" w:hAnsi="Arial Narrow"/>
          <w:b/>
          <w:color w:val="000000" w:themeColor="text1"/>
          <w:u w:val="single"/>
          <w:lang w:val="es-ES"/>
        </w:rPr>
        <w:t>(Firma) __________________</w:t>
      </w:r>
    </w:p>
    <w:p w14:paraId="6BE2BD72" w14:textId="77777777" w:rsidR="007968EC" w:rsidRPr="002C0D19" w:rsidRDefault="007968EC" w:rsidP="007968EC">
      <w:pPr>
        <w:jc w:val="center"/>
        <w:rPr>
          <w:rFonts w:ascii="Arial Narrow" w:hAnsi="Arial Narrow" w:cs="Arial"/>
          <w:color w:val="000000" w:themeColor="text1"/>
          <w:lang w:val="es-ES" w:eastAsia="es-ES"/>
        </w:rPr>
      </w:pPr>
    </w:p>
    <w:p w14:paraId="748AB6F9" w14:textId="77777777" w:rsidR="007968EC" w:rsidRPr="002C0D19" w:rsidRDefault="007968EC" w:rsidP="007968EC">
      <w:pPr>
        <w:pStyle w:val="TTULO"/>
        <w:rPr>
          <w:lang w:val="es-ES"/>
        </w:rPr>
      </w:pPr>
      <w:r w:rsidRPr="002C0D19">
        <w:rPr>
          <w:lang w:val="es-ES"/>
        </w:rPr>
        <w:br w:type="page"/>
      </w:r>
      <w:bookmarkStart w:id="6576" w:name="_Toc31716609"/>
      <w:r w:rsidRPr="002C0D19">
        <w:rPr>
          <w:lang w:val="es-ES"/>
        </w:rPr>
        <w:lastRenderedPageBreak/>
        <w:t>ANEXO 19</w:t>
      </w:r>
      <w:bookmarkEnd w:id="6576"/>
    </w:p>
    <w:p w14:paraId="089A5257" w14:textId="77777777" w:rsidR="007968EC" w:rsidRPr="002C0D19" w:rsidRDefault="007968EC" w:rsidP="007968EC">
      <w:pPr>
        <w:pStyle w:val="TTULO"/>
        <w:rPr>
          <w:lang w:val="es-ES"/>
        </w:rPr>
      </w:pPr>
    </w:p>
    <w:p w14:paraId="23558C07" w14:textId="77777777" w:rsidR="007968EC" w:rsidRPr="002C0D19" w:rsidRDefault="007968EC" w:rsidP="007968EC">
      <w:pPr>
        <w:jc w:val="center"/>
        <w:rPr>
          <w:lang w:val="es-ES"/>
        </w:rPr>
      </w:pPr>
      <w:r w:rsidRPr="004B3C30">
        <w:rPr>
          <w:rFonts w:ascii="Arial Narrow" w:hAnsi="Arial Narrow" w:cs="Arial"/>
          <w:b/>
          <w:color w:val="000000" w:themeColor="text1"/>
          <w:lang w:val="es-ES" w:eastAsia="es-ES"/>
        </w:rPr>
        <w:t>FORMATO DE ORDEN DE COMPRA DE SERVICIO</w:t>
      </w:r>
    </w:p>
    <w:p w14:paraId="23E9B9C4" w14:textId="77777777" w:rsidR="007968EC" w:rsidRPr="002C0D19" w:rsidRDefault="007968EC" w:rsidP="007968EC">
      <w:pPr>
        <w:jc w:val="both"/>
        <w:rPr>
          <w:rFonts w:ascii="Arial Narrow" w:hAnsi="Arial Narrow" w:cs="Arial"/>
          <w:color w:val="000000" w:themeColor="text1"/>
          <w:lang w:val="es-ES" w:eastAsia="es-ES"/>
        </w:rPr>
      </w:pPr>
    </w:p>
    <w:p w14:paraId="58886A25" w14:textId="77777777" w:rsidR="007968EC" w:rsidRPr="002C0D19" w:rsidRDefault="007968EC" w:rsidP="007968EC">
      <w:pPr>
        <w:pStyle w:val="ANTECEDENTES"/>
        <w:jc w:val="center"/>
      </w:pPr>
      <w:r w:rsidRPr="002C0D19">
        <w:t xml:space="preserve">(Este anexo fue </w:t>
      </w:r>
      <w:r w:rsidRPr="002C0D19">
        <w:rPr>
          <w:bCs/>
        </w:rPr>
        <w:t xml:space="preserve">modificado </w:t>
      </w:r>
      <w:r w:rsidRPr="002C0D19">
        <w:t>mediante Circular 8 del 4 de marzo de 2015, publicada en el Boletín Normativo No. 008 del 4 de marzo de 2015. Rige a partir del 5 de marzo de 2015.)</w:t>
      </w:r>
    </w:p>
    <w:p w14:paraId="045CF466" w14:textId="77777777" w:rsidR="007968EC" w:rsidRPr="002C0D19" w:rsidRDefault="007968EC" w:rsidP="007968EC">
      <w:pPr>
        <w:jc w:val="both"/>
        <w:rPr>
          <w:rFonts w:ascii="Arial Narrow" w:hAnsi="Arial Narrow" w:cs="Arial"/>
          <w:color w:val="000000" w:themeColor="text1"/>
          <w:lang w:val="es-ES" w:eastAsia="es-E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FFFFFF"/>
        <w:tblLayout w:type="fixed"/>
        <w:tblCellMar>
          <w:left w:w="70" w:type="dxa"/>
          <w:right w:w="70" w:type="dxa"/>
        </w:tblCellMar>
        <w:tblLook w:val="0000" w:firstRow="0" w:lastRow="0" w:firstColumn="0" w:lastColumn="0" w:noHBand="0" w:noVBand="0"/>
      </w:tblPr>
      <w:tblGrid>
        <w:gridCol w:w="1446"/>
        <w:gridCol w:w="5353"/>
        <w:gridCol w:w="2694"/>
      </w:tblGrid>
      <w:tr w:rsidR="007968EC" w:rsidRPr="002C0D19" w14:paraId="662E520D" w14:textId="77777777" w:rsidTr="007968EC">
        <w:trPr>
          <w:cantSplit/>
          <w:trHeight w:val="155"/>
        </w:trPr>
        <w:tc>
          <w:tcPr>
            <w:tcW w:w="1446" w:type="dxa"/>
            <w:vMerge w:val="restart"/>
            <w:shd w:val="clear" w:color="auto" w:fill="FFFFFF"/>
          </w:tcPr>
          <w:p w14:paraId="7D189031" w14:textId="77777777" w:rsidR="007968EC" w:rsidRPr="002C0D19" w:rsidRDefault="007968EC" w:rsidP="007968EC">
            <w:pPr>
              <w:jc w:val="center"/>
              <w:rPr>
                <w:rFonts w:ascii="Arial Narrow" w:eastAsia="Calibri" w:hAnsi="Arial Narrow"/>
                <w:color w:val="000000" w:themeColor="text1"/>
              </w:rPr>
            </w:pPr>
            <w:r w:rsidRPr="002C0D19">
              <w:rPr>
                <w:rFonts w:ascii="Arial Narrow" w:eastAsia="Calibri" w:hAnsi="Arial Narrow"/>
                <w:noProof/>
                <w:color w:val="000000" w:themeColor="text1"/>
                <w:lang w:eastAsia="es-CO"/>
              </w:rPr>
              <w:drawing>
                <wp:inline distT="0" distB="0" distL="0" distR="0" wp14:anchorId="2886FB59" wp14:editId="5D654A6A">
                  <wp:extent cx="863666" cy="432000"/>
                  <wp:effectExtent l="0" t="0" r="0" b="6350"/>
                  <wp:docPr id="11" name="Imagen 11" descr="logoal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alta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3666" cy="432000"/>
                          </a:xfrm>
                          <a:prstGeom prst="rect">
                            <a:avLst/>
                          </a:prstGeom>
                          <a:noFill/>
                          <a:ln>
                            <a:noFill/>
                          </a:ln>
                        </pic:spPr>
                      </pic:pic>
                    </a:graphicData>
                  </a:graphic>
                </wp:inline>
              </w:drawing>
            </w:r>
          </w:p>
        </w:tc>
        <w:tc>
          <w:tcPr>
            <w:tcW w:w="5353" w:type="dxa"/>
            <w:shd w:val="clear" w:color="auto" w:fill="FFFFFF"/>
            <w:vAlign w:val="center"/>
          </w:tcPr>
          <w:p w14:paraId="3260AF46" w14:textId="77777777" w:rsidR="007968EC" w:rsidRPr="002C0D19" w:rsidRDefault="007968EC" w:rsidP="007968EC">
            <w:pPr>
              <w:tabs>
                <w:tab w:val="center" w:pos="4252"/>
                <w:tab w:val="right" w:pos="8504"/>
              </w:tabs>
              <w:jc w:val="center"/>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FORMATO</w:t>
            </w:r>
          </w:p>
        </w:tc>
        <w:tc>
          <w:tcPr>
            <w:tcW w:w="2694" w:type="dxa"/>
            <w:shd w:val="clear" w:color="auto" w:fill="FFFFFF"/>
            <w:vAlign w:val="center"/>
          </w:tcPr>
          <w:p w14:paraId="4230D37E" w14:textId="77777777" w:rsidR="007968EC" w:rsidRPr="002C0D19" w:rsidRDefault="007968EC" w:rsidP="007968EC">
            <w:pPr>
              <w:tabs>
                <w:tab w:val="center" w:pos="4252"/>
                <w:tab w:val="right" w:pos="8504"/>
              </w:tabs>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Código:  FO GMI 033</w:t>
            </w:r>
          </w:p>
        </w:tc>
      </w:tr>
      <w:tr w:rsidR="007968EC" w:rsidRPr="002C0D19" w14:paraId="57260F53" w14:textId="77777777" w:rsidTr="007968EC">
        <w:trPr>
          <w:cantSplit/>
          <w:trHeight w:val="187"/>
        </w:trPr>
        <w:tc>
          <w:tcPr>
            <w:tcW w:w="1446" w:type="dxa"/>
            <w:vMerge/>
            <w:tcBorders>
              <w:bottom w:val="single" w:sz="4" w:space="0" w:color="auto"/>
            </w:tcBorders>
            <w:shd w:val="clear" w:color="auto" w:fill="FFFFFF"/>
          </w:tcPr>
          <w:p w14:paraId="1A0EAF4A" w14:textId="77777777" w:rsidR="007968EC" w:rsidRPr="002C0D19" w:rsidRDefault="007968EC" w:rsidP="007968EC">
            <w:pPr>
              <w:tabs>
                <w:tab w:val="center" w:pos="4252"/>
                <w:tab w:val="right" w:pos="8504"/>
              </w:tabs>
              <w:jc w:val="center"/>
              <w:rPr>
                <w:rFonts w:ascii="Arial Narrow" w:hAnsi="Arial Narrow" w:cs="Arial"/>
                <w:color w:val="000000" w:themeColor="text1"/>
                <w:lang w:val="es-ES" w:eastAsia="es-ES"/>
              </w:rPr>
            </w:pPr>
          </w:p>
        </w:tc>
        <w:tc>
          <w:tcPr>
            <w:tcW w:w="5353" w:type="dxa"/>
            <w:vMerge w:val="restart"/>
            <w:tcBorders>
              <w:bottom w:val="single" w:sz="4" w:space="0" w:color="auto"/>
            </w:tcBorders>
            <w:shd w:val="clear" w:color="auto" w:fill="FFFFFF"/>
            <w:vAlign w:val="center"/>
          </w:tcPr>
          <w:p w14:paraId="4067794F" w14:textId="77777777" w:rsidR="007968EC" w:rsidRPr="002C0D19" w:rsidRDefault="007968EC" w:rsidP="007968EC">
            <w:pPr>
              <w:jc w:val="center"/>
              <w:rPr>
                <w:rFonts w:ascii="Arial Narrow" w:eastAsia="Calibri" w:hAnsi="Arial Narrow" w:cs="Arial"/>
                <w:b/>
                <w:color w:val="000000" w:themeColor="text1"/>
                <w:lang w:val="es-MX"/>
              </w:rPr>
            </w:pPr>
            <w:r w:rsidRPr="002C0D19">
              <w:rPr>
                <w:rFonts w:ascii="Arial Narrow" w:hAnsi="Arial Narrow" w:cs="Arial"/>
                <w:b/>
                <w:color w:val="000000" w:themeColor="text1"/>
                <w:lang w:val="es-ES" w:eastAsia="es-ES"/>
              </w:rPr>
              <w:t>FORMATO DE ORDEN DE COMPRA DE SERVICIO</w:t>
            </w:r>
          </w:p>
        </w:tc>
        <w:tc>
          <w:tcPr>
            <w:tcW w:w="2694" w:type="dxa"/>
            <w:tcBorders>
              <w:bottom w:val="single" w:sz="4" w:space="0" w:color="auto"/>
            </w:tcBorders>
            <w:shd w:val="clear" w:color="auto" w:fill="FFFFFF"/>
            <w:vAlign w:val="center"/>
          </w:tcPr>
          <w:p w14:paraId="5CA593DB" w14:textId="77777777" w:rsidR="007968EC" w:rsidRPr="002C0D19" w:rsidRDefault="007968EC" w:rsidP="007968EC">
            <w:pPr>
              <w:tabs>
                <w:tab w:val="center" w:pos="4252"/>
                <w:tab w:val="right" w:pos="8504"/>
              </w:tabs>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Versión: 1.0</w:t>
            </w:r>
          </w:p>
        </w:tc>
      </w:tr>
      <w:tr w:rsidR="007968EC" w:rsidRPr="002C0D19" w14:paraId="17CDDFEC" w14:textId="77777777" w:rsidTr="007968EC">
        <w:trPr>
          <w:cantSplit/>
          <w:trHeight w:val="333"/>
        </w:trPr>
        <w:tc>
          <w:tcPr>
            <w:tcW w:w="1446" w:type="dxa"/>
            <w:vMerge/>
            <w:shd w:val="clear" w:color="auto" w:fill="FFFFFF"/>
          </w:tcPr>
          <w:p w14:paraId="6A26CA07" w14:textId="77777777" w:rsidR="007968EC" w:rsidRPr="002C0D19" w:rsidRDefault="007968EC" w:rsidP="007968EC">
            <w:pPr>
              <w:tabs>
                <w:tab w:val="center" w:pos="4252"/>
                <w:tab w:val="right" w:pos="8504"/>
              </w:tabs>
              <w:jc w:val="center"/>
              <w:rPr>
                <w:rFonts w:ascii="Arial Narrow" w:hAnsi="Arial Narrow" w:cs="Arial"/>
                <w:color w:val="000000" w:themeColor="text1"/>
                <w:lang w:val="es-ES" w:eastAsia="es-ES"/>
              </w:rPr>
            </w:pPr>
          </w:p>
        </w:tc>
        <w:tc>
          <w:tcPr>
            <w:tcW w:w="5353" w:type="dxa"/>
            <w:vMerge/>
            <w:shd w:val="clear" w:color="auto" w:fill="FFFFFF"/>
            <w:vAlign w:val="center"/>
          </w:tcPr>
          <w:p w14:paraId="6D215771" w14:textId="77777777" w:rsidR="007968EC" w:rsidRPr="002C0D19" w:rsidRDefault="007968EC" w:rsidP="007968EC">
            <w:pPr>
              <w:tabs>
                <w:tab w:val="center" w:pos="4252"/>
                <w:tab w:val="right" w:pos="8504"/>
              </w:tabs>
              <w:jc w:val="center"/>
              <w:rPr>
                <w:rFonts w:ascii="Arial Narrow" w:hAnsi="Arial Narrow" w:cs="Arial"/>
                <w:b/>
                <w:color w:val="000000" w:themeColor="text1"/>
                <w:lang w:val="es-ES" w:eastAsia="es-ES"/>
              </w:rPr>
            </w:pPr>
          </w:p>
        </w:tc>
        <w:tc>
          <w:tcPr>
            <w:tcW w:w="2694" w:type="dxa"/>
            <w:shd w:val="clear" w:color="auto" w:fill="FFFFFF"/>
            <w:vAlign w:val="center"/>
          </w:tcPr>
          <w:p w14:paraId="33246F48" w14:textId="77777777" w:rsidR="007968EC" w:rsidRPr="002C0D19" w:rsidRDefault="007968EC" w:rsidP="007968EC">
            <w:pPr>
              <w:tabs>
                <w:tab w:val="center" w:pos="4252"/>
                <w:tab w:val="right" w:pos="8504"/>
              </w:tabs>
              <w:rPr>
                <w:rFonts w:ascii="Arial Narrow" w:hAnsi="Arial Narrow" w:cs="Arial"/>
                <w:b/>
                <w:color w:val="000000" w:themeColor="text1"/>
                <w:lang w:val="es-ES" w:eastAsia="es-ES"/>
              </w:rPr>
            </w:pPr>
            <w:r w:rsidRPr="002C0D19">
              <w:rPr>
                <w:rFonts w:ascii="Arial Narrow" w:hAnsi="Arial Narrow" w:cs="Arial"/>
                <w:b/>
                <w:snapToGrid w:val="0"/>
                <w:color w:val="000000" w:themeColor="text1"/>
                <w:lang w:val="es-ES" w:eastAsia="es-ES"/>
              </w:rPr>
              <w:t>Página 1 de 1</w:t>
            </w:r>
          </w:p>
        </w:tc>
      </w:tr>
    </w:tbl>
    <w:p w14:paraId="50140E24" w14:textId="77777777" w:rsidR="007968EC" w:rsidRPr="002C0D19" w:rsidRDefault="007968EC" w:rsidP="007968EC">
      <w:pPr>
        <w:jc w:val="both"/>
        <w:rPr>
          <w:rFonts w:ascii="Arial Narrow" w:hAnsi="Arial Narrow" w:cs="Arial"/>
          <w:color w:val="000000" w:themeColor="text1"/>
          <w:lang w:val="es-ES" w:eastAsia="es-ES"/>
        </w:rPr>
      </w:pPr>
    </w:p>
    <w:p w14:paraId="2C6F57C4"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Doctor</w:t>
      </w:r>
    </w:p>
    <w:p w14:paraId="4686C821" w14:textId="77777777" w:rsidR="007968EC" w:rsidRPr="002C0D19" w:rsidRDefault="007968EC" w:rsidP="007968EC">
      <w:pPr>
        <w:jc w:val="both"/>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________________</w:t>
      </w:r>
    </w:p>
    <w:p w14:paraId="3BB8703B"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Gerente</w:t>
      </w:r>
    </w:p>
    <w:p w14:paraId="2DB663E6" w14:textId="77777777" w:rsidR="007968EC" w:rsidRPr="002C0D19" w:rsidRDefault="007968EC" w:rsidP="007968EC">
      <w:pPr>
        <w:jc w:val="both"/>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 xml:space="preserve">CÁMARA DE RIESGO CENTRAL DE </w:t>
      </w:r>
    </w:p>
    <w:p w14:paraId="49232793" w14:textId="77777777" w:rsidR="007968EC" w:rsidRPr="002C0D19" w:rsidRDefault="007968EC" w:rsidP="007968EC">
      <w:pPr>
        <w:jc w:val="both"/>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CONTRAPARTE DE COLOMBIA S.A.</w:t>
      </w:r>
    </w:p>
    <w:p w14:paraId="64B21502"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Carrera 11 No. 71-73 Oficina 1201</w:t>
      </w:r>
    </w:p>
    <w:p w14:paraId="1EDCC911"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Ciudad</w:t>
      </w:r>
    </w:p>
    <w:p w14:paraId="171A54C4" w14:textId="77777777" w:rsidR="007968EC" w:rsidRPr="002C0D19" w:rsidRDefault="007968EC" w:rsidP="007968EC">
      <w:pPr>
        <w:jc w:val="both"/>
        <w:rPr>
          <w:rFonts w:ascii="Arial Narrow" w:hAnsi="Arial Narrow" w:cs="Arial"/>
          <w:color w:val="000000" w:themeColor="text1"/>
          <w:lang w:val="es-ES" w:eastAsia="es-ES"/>
        </w:rPr>
      </w:pPr>
    </w:p>
    <w:p w14:paraId="68329088"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Asunto: Orden de Compra de Servicios</w:t>
      </w:r>
    </w:p>
    <w:p w14:paraId="76DFAD7C" w14:textId="77777777" w:rsidR="007968EC" w:rsidRPr="002C0D19" w:rsidRDefault="007968EC" w:rsidP="007968EC">
      <w:pPr>
        <w:jc w:val="both"/>
        <w:rPr>
          <w:rFonts w:ascii="Arial Narrow" w:hAnsi="Arial Narrow" w:cs="Arial"/>
          <w:color w:val="000000" w:themeColor="text1"/>
          <w:lang w:val="es-ES" w:eastAsia="es-ES"/>
        </w:rPr>
      </w:pPr>
    </w:p>
    <w:p w14:paraId="7E0F6674"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Apreciados Señores:</w:t>
      </w:r>
    </w:p>
    <w:p w14:paraId="2FDA6C73"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 </w:t>
      </w:r>
    </w:p>
    <w:p w14:paraId="697F3870"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El suscrito, _________________, mayor de edad, vecino de la ciudad de Bogotá, D.C., identificado como aparece al pie de mi firma, obrando en nombre y representación de _______________, sociedad legalmente constituida, con domicilio principal en _________, en mi calidad de representante legal, , me permito expedir la presente ORDEN DE COMPRA, con ocasión de la Oferta de Servicios para la afiliación como (MIEMBRO LIQUIDADOR GENERAL, MIEMBRO LIQUIDADOR INDIVIDUAL, MIEMBRO NO LIQUIDADOR O AGENTE) del Sistema de Compensación y Liquidación de la Cámara de Riesgo Central de Contraparte de Colombia S.A. – CRCC S.A. presentada el día ______ (__) de _______ </w:t>
      </w:r>
      <w:proofErr w:type="spellStart"/>
      <w:r w:rsidRPr="002C0D19">
        <w:rPr>
          <w:rFonts w:ascii="Arial Narrow" w:hAnsi="Arial Narrow" w:cs="Arial"/>
          <w:color w:val="000000" w:themeColor="text1"/>
          <w:lang w:val="es-ES" w:eastAsia="es-ES"/>
        </w:rPr>
        <w:t>de</w:t>
      </w:r>
      <w:proofErr w:type="spellEnd"/>
      <w:r w:rsidRPr="002C0D19">
        <w:rPr>
          <w:rFonts w:ascii="Arial Narrow" w:hAnsi="Arial Narrow" w:cs="Arial"/>
          <w:color w:val="000000" w:themeColor="text1"/>
          <w:lang w:val="es-ES" w:eastAsia="es-ES"/>
        </w:rPr>
        <w:t xml:space="preserve"> ______________ (____). </w:t>
      </w:r>
    </w:p>
    <w:p w14:paraId="50A51786"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ORDEN DE COMPRA DE SERVICIOS</w:t>
      </w:r>
    </w:p>
    <w:p w14:paraId="68844CAA" w14:textId="77777777" w:rsidR="007968EC" w:rsidRPr="002C0D19" w:rsidRDefault="007968EC" w:rsidP="007968EC">
      <w:pPr>
        <w:jc w:val="both"/>
        <w:rPr>
          <w:rFonts w:ascii="Arial Narrow" w:hAnsi="Arial Narrow" w:cs="Arial"/>
          <w:color w:val="000000" w:themeColor="text1"/>
          <w:lang w:val="es-ES" w:eastAsia="es-ES"/>
        </w:rPr>
      </w:pPr>
    </w:p>
    <w:p w14:paraId="367DFF8F"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La sociedad _____________________________________________, ordena comprar los servicios cuyas condiciones son ofrecidas por la sociedad Cámara de Riesgo Central de Contraparte de Colombia S.A. – CRCC S.A., en su oferta de servicios del pasado ______ (__) de _______ </w:t>
      </w:r>
      <w:proofErr w:type="spellStart"/>
      <w:r w:rsidRPr="002C0D19">
        <w:rPr>
          <w:rFonts w:ascii="Arial Narrow" w:hAnsi="Arial Narrow" w:cs="Arial"/>
          <w:color w:val="000000" w:themeColor="text1"/>
          <w:lang w:val="es-ES" w:eastAsia="es-ES"/>
        </w:rPr>
        <w:t>de</w:t>
      </w:r>
      <w:proofErr w:type="spellEnd"/>
      <w:r w:rsidRPr="002C0D19">
        <w:rPr>
          <w:rFonts w:ascii="Arial Narrow" w:hAnsi="Arial Narrow" w:cs="Arial"/>
          <w:color w:val="000000" w:themeColor="text1"/>
          <w:lang w:val="es-ES" w:eastAsia="es-ES"/>
        </w:rPr>
        <w:t xml:space="preserve"> ______________ (____), con todas las condiciones y características allí establecidas. </w:t>
      </w:r>
    </w:p>
    <w:p w14:paraId="1AC1D6B6" w14:textId="77777777" w:rsidR="007968EC" w:rsidRPr="002C0D19" w:rsidRDefault="007968EC" w:rsidP="007968EC">
      <w:pPr>
        <w:jc w:val="both"/>
        <w:rPr>
          <w:rFonts w:ascii="Arial Narrow" w:hAnsi="Arial Narrow" w:cs="Arial"/>
          <w:color w:val="000000" w:themeColor="text1"/>
          <w:lang w:val="es-ES" w:eastAsia="es-ES"/>
        </w:rPr>
      </w:pPr>
    </w:p>
    <w:p w14:paraId="1956BBB7"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Cordialmente,</w:t>
      </w:r>
    </w:p>
    <w:p w14:paraId="2F6C2CC7" w14:textId="77777777" w:rsidR="007968EC" w:rsidRPr="002C0D19" w:rsidRDefault="007968EC" w:rsidP="007968EC">
      <w:pPr>
        <w:jc w:val="both"/>
        <w:rPr>
          <w:rFonts w:ascii="Arial Narrow" w:hAnsi="Arial Narrow" w:cs="Arial"/>
          <w:color w:val="000000" w:themeColor="text1"/>
          <w:lang w:val="es-ES" w:eastAsia="es-ES"/>
        </w:rPr>
      </w:pPr>
    </w:p>
    <w:p w14:paraId="63FEAB34"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_________________</w:t>
      </w:r>
    </w:p>
    <w:p w14:paraId="3BFACCB9"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Representante Legal</w:t>
      </w:r>
      <w:r w:rsidRPr="002C0D19">
        <w:rPr>
          <w:rFonts w:ascii="Arial Narrow" w:hAnsi="Arial Narrow" w:cs="Arial"/>
          <w:color w:val="000000" w:themeColor="text1"/>
          <w:lang w:val="es-ES" w:eastAsia="es-ES"/>
        </w:rPr>
        <w:br w:type="page"/>
      </w:r>
    </w:p>
    <w:p w14:paraId="1F8C9F17" w14:textId="77777777" w:rsidR="007968EC" w:rsidRPr="002C0D19" w:rsidRDefault="007968EC" w:rsidP="007968EC">
      <w:pPr>
        <w:rPr>
          <w:rFonts w:ascii="Arial Narrow" w:hAnsi="Arial Narrow" w:cs="Arial"/>
          <w:color w:val="000000" w:themeColor="text1"/>
          <w:lang w:val="es-ES" w:eastAsia="es-ES"/>
        </w:rPr>
        <w:sectPr w:rsidR="007968EC" w:rsidRPr="002C0D19" w:rsidSect="007968EC">
          <w:pgSz w:w="12242" w:h="15842" w:code="1"/>
          <w:pgMar w:top="1985" w:right="1418" w:bottom="1985" w:left="1418" w:header="851" w:footer="1021" w:gutter="0"/>
          <w:cols w:space="708"/>
          <w:titlePg/>
          <w:docGrid w:linePitch="360"/>
        </w:sectPr>
      </w:pPr>
    </w:p>
    <w:p w14:paraId="70BFEC93" w14:textId="77777777" w:rsidR="007968EC" w:rsidRPr="002C0D19" w:rsidRDefault="007968EC" w:rsidP="007968EC">
      <w:pPr>
        <w:pStyle w:val="TTULO"/>
        <w:rPr>
          <w:lang w:val="es-ES"/>
        </w:rPr>
      </w:pPr>
      <w:bookmarkStart w:id="6577" w:name="_Toc31716610"/>
      <w:r w:rsidRPr="002C0D19">
        <w:rPr>
          <w:lang w:val="es-ES"/>
        </w:rPr>
        <w:lastRenderedPageBreak/>
        <w:t>ANEXO 20</w:t>
      </w:r>
      <w:bookmarkEnd w:id="6577"/>
    </w:p>
    <w:p w14:paraId="0DE3BE96" w14:textId="77777777" w:rsidR="007968EC" w:rsidRDefault="007968EC" w:rsidP="007968EC">
      <w:pPr>
        <w:pStyle w:val="TTULO"/>
        <w:rPr>
          <w:lang w:val="es-ES"/>
        </w:rPr>
      </w:pPr>
    </w:p>
    <w:p w14:paraId="75134BA4" w14:textId="77777777" w:rsidR="00610CE4" w:rsidRDefault="00610CE4" w:rsidP="007968EC">
      <w:pPr>
        <w:pStyle w:val="TTULO"/>
        <w:rPr>
          <w:lang w:val="es-ES"/>
        </w:rPr>
      </w:pPr>
      <w:bookmarkStart w:id="6578" w:name="_Toc31716611"/>
      <w:r>
        <w:t>(</w:t>
      </w:r>
      <w:r w:rsidRPr="005E5B8F">
        <w:rPr>
          <w:i/>
          <w:iCs/>
        </w:rPr>
        <w:t xml:space="preserve">Este anexo fue </w:t>
      </w:r>
      <w:r w:rsidRPr="005E5B8F">
        <w:rPr>
          <w:bCs/>
          <w:i/>
          <w:iCs/>
        </w:rPr>
        <w:t xml:space="preserve">modificado </w:t>
      </w:r>
      <w:r w:rsidRPr="005E5B8F">
        <w:rPr>
          <w:i/>
          <w:iCs/>
        </w:rPr>
        <w:t>mediante Circular 2 del 29 de enero de 2020, publicada en el Boletín Normativo No. 002 del 29 de enero de 2020. Rige a partir del 3 de febrero de 2020</w:t>
      </w:r>
      <w:r w:rsidRPr="002C0D19">
        <w:t>.)</w:t>
      </w:r>
      <w:bookmarkEnd w:id="6578"/>
    </w:p>
    <w:p w14:paraId="0049D9E7" w14:textId="77777777" w:rsidR="00610CE4" w:rsidRPr="002C0D19" w:rsidRDefault="00610CE4" w:rsidP="007968EC">
      <w:pPr>
        <w:pStyle w:val="TTULO"/>
        <w:rPr>
          <w:lang w:val="es-ES"/>
        </w:rPr>
      </w:pPr>
    </w:p>
    <w:p w14:paraId="2C392832" w14:textId="77777777" w:rsidR="00514CE5" w:rsidRDefault="00514CE5" w:rsidP="00514CE5">
      <w:pPr>
        <w:jc w:val="center"/>
        <w:outlineLvl w:val="1"/>
        <w:rPr>
          <w:rFonts w:ascii="Arial Narrow" w:hAnsi="Arial Narrow" w:cs="Arial"/>
          <w:b/>
          <w:lang w:val="es-ES" w:eastAsia="es-ES"/>
        </w:rPr>
      </w:pPr>
      <w:r>
        <w:rPr>
          <w:rFonts w:ascii="Arial Narrow" w:hAnsi="Arial Narrow" w:cs="Arial"/>
          <w:b/>
          <w:lang w:val="es-ES" w:eastAsia="es-ES"/>
        </w:rPr>
        <w:t>PARTICIPACIÓN DE LOS TERCEROS</w:t>
      </w:r>
    </w:p>
    <w:p w14:paraId="27C7BF43" w14:textId="77777777" w:rsidR="00514CE5" w:rsidRDefault="00514CE5" w:rsidP="00514CE5">
      <w:pPr>
        <w:outlineLvl w:val="1"/>
        <w:rPr>
          <w:rFonts w:ascii="Arial Narrow" w:hAnsi="Arial Narrow" w:cs="Arial"/>
          <w:b/>
          <w:lang w:val="es-ES" w:eastAsia="es-ES"/>
        </w:rPr>
      </w:pPr>
    </w:p>
    <w:p w14:paraId="35013EF0" w14:textId="77777777" w:rsidR="00514CE5" w:rsidRDefault="00514CE5" w:rsidP="00514CE5">
      <w:pPr>
        <w:jc w:val="both"/>
        <w:outlineLvl w:val="1"/>
        <w:rPr>
          <w:rFonts w:ascii="Arial Narrow" w:hAnsi="Arial Narrow" w:cs="Arial"/>
          <w:bCs/>
          <w:lang w:val="es-ES" w:eastAsia="es-ES"/>
        </w:rPr>
      </w:pPr>
      <w:r>
        <w:rPr>
          <w:rFonts w:ascii="Arial Narrow" w:hAnsi="Arial Narrow" w:cs="Arial"/>
          <w:bCs/>
          <w:lang w:val="es-ES" w:eastAsia="es-ES"/>
        </w:rPr>
        <w:t xml:space="preserve">Los artículos </w:t>
      </w:r>
      <w:r w:rsidRPr="006D77B0">
        <w:rPr>
          <w:rFonts w:ascii="Arial Narrow" w:hAnsi="Arial Narrow" w:cs="Arial"/>
          <w:bCs/>
          <w:lang w:val="es-ES" w:eastAsia="es-ES"/>
        </w:rPr>
        <w:t>2.1.25</w:t>
      </w:r>
      <w:r>
        <w:rPr>
          <w:rFonts w:ascii="Arial Narrow" w:hAnsi="Arial Narrow" w:cs="Arial"/>
          <w:bCs/>
          <w:lang w:val="es-ES" w:eastAsia="es-ES"/>
        </w:rPr>
        <w:t>.</w:t>
      </w:r>
      <w:r w:rsidRPr="006D77B0">
        <w:rPr>
          <w:rFonts w:ascii="Arial Narrow" w:hAnsi="Arial Narrow" w:cs="Arial"/>
          <w:bCs/>
          <w:lang w:val="es-ES" w:eastAsia="es-ES"/>
        </w:rPr>
        <w:t xml:space="preserve"> y 2.1.33</w:t>
      </w:r>
      <w:r>
        <w:rPr>
          <w:rFonts w:ascii="Arial Narrow" w:hAnsi="Arial Narrow" w:cs="Arial"/>
          <w:bCs/>
          <w:lang w:val="es-ES" w:eastAsia="es-ES"/>
        </w:rPr>
        <w:t>.</w:t>
      </w:r>
      <w:r w:rsidRPr="006D77B0">
        <w:rPr>
          <w:rFonts w:ascii="Arial Narrow" w:hAnsi="Arial Narrow" w:cs="Arial"/>
          <w:bCs/>
          <w:lang w:val="es-ES" w:eastAsia="es-ES"/>
        </w:rPr>
        <w:t xml:space="preserve"> </w:t>
      </w:r>
      <w:r>
        <w:rPr>
          <w:rFonts w:ascii="Arial Narrow" w:hAnsi="Arial Narrow" w:cs="Arial"/>
          <w:bCs/>
          <w:lang w:val="es-ES" w:eastAsia="es-ES"/>
        </w:rPr>
        <w:t>del Reglamento de Funcionamiento de la Cámara que entran a regir el tres (3) de febrero de 2020 establecen la información mínima que los Miembros deben poner a disposición de los Terceros a través de un medio verificable, obligación que reemplaza el deber de los Miembros de celebrar un Convenio con cada uno de sus Terceros según el modelo establecido por la Cámara, el cual incluye las condiciones mínimas que establecía el Reglamento (Oferta de Servicios aceptada mediante Orden de Compra de Servicios entre los Miembros y los Terceros) y la cláusula de obligatoria incorporación para la  remisión</w:t>
      </w:r>
      <w:r w:rsidRPr="005B275B">
        <w:t xml:space="preserve"> </w:t>
      </w:r>
      <w:r w:rsidRPr="005B275B">
        <w:rPr>
          <w:rFonts w:ascii="Arial Narrow" w:hAnsi="Arial Narrow" w:cs="Arial"/>
          <w:bCs/>
          <w:lang w:val="es-ES" w:eastAsia="es-ES"/>
        </w:rPr>
        <w:t>para la Compensación y Liquidación a través de la Cámara de operaciones sobre instrumentos financieros derivados no estandarizados</w:t>
      </w:r>
      <w:r>
        <w:rPr>
          <w:rFonts w:ascii="Arial Narrow" w:hAnsi="Arial Narrow" w:cs="Arial"/>
          <w:bCs/>
          <w:lang w:val="es-ES" w:eastAsia="es-ES"/>
        </w:rPr>
        <w:t>.</w:t>
      </w:r>
    </w:p>
    <w:p w14:paraId="0BD84F9D" w14:textId="77777777" w:rsidR="00514CE5" w:rsidRDefault="00514CE5" w:rsidP="00514CE5">
      <w:pPr>
        <w:jc w:val="both"/>
        <w:outlineLvl w:val="1"/>
        <w:rPr>
          <w:rFonts w:ascii="Arial Narrow" w:hAnsi="Arial Narrow" w:cs="Arial"/>
          <w:bCs/>
          <w:lang w:val="es-ES" w:eastAsia="es-ES"/>
        </w:rPr>
      </w:pPr>
    </w:p>
    <w:p w14:paraId="0472E606" w14:textId="77777777" w:rsidR="00514CE5" w:rsidRDefault="00514CE5" w:rsidP="00514CE5">
      <w:pPr>
        <w:jc w:val="both"/>
        <w:outlineLvl w:val="1"/>
        <w:rPr>
          <w:rFonts w:ascii="Arial Narrow" w:hAnsi="Arial Narrow" w:cs="Arial"/>
          <w:bCs/>
          <w:lang w:val="es-ES" w:eastAsia="es-ES"/>
        </w:rPr>
      </w:pPr>
      <w:r>
        <w:rPr>
          <w:rFonts w:ascii="Arial Narrow" w:hAnsi="Arial Narrow" w:cs="Arial"/>
          <w:bCs/>
          <w:lang w:val="es-ES" w:eastAsia="es-ES"/>
        </w:rPr>
        <w:t xml:space="preserve">A partir de la fecha indicada, los Miembros podrán optar por celebrar un Convenio que contenga la información mínima a suministrar a los Terceros establecida en el artículo 2.1.33. arriba citado o poner a disposición de los Terceros dicha información por un medio verificable y mantenerla a disposición de la Cámara. </w:t>
      </w:r>
      <w:bookmarkStart w:id="6579" w:name="_Hlk30491377"/>
      <w:r>
        <w:rPr>
          <w:rFonts w:ascii="Arial Narrow" w:hAnsi="Arial Narrow" w:cs="Arial"/>
          <w:bCs/>
          <w:lang w:val="es-ES" w:eastAsia="es-ES"/>
        </w:rPr>
        <w:t xml:space="preserve">La </w:t>
      </w:r>
      <w:r w:rsidRPr="006D77B0">
        <w:rPr>
          <w:rFonts w:ascii="Arial Narrow" w:hAnsi="Arial Narrow" w:cs="Arial"/>
          <w:bCs/>
          <w:lang w:val="es-ES" w:eastAsia="es-ES"/>
        </w:rPr>
        <w:t>Cámara</w:t>
      </w:r>
      <w:r>
        <w:rPr>
          <w:rFonts w:ascii="Arial Narrow" w:hAnsi="Arial Narrow" w:cs="Arial"/>
          <w:bCs/>
          <w:lang w:val="es-ES" w:eastAsia="es-ES"/>
        </w:rPr>
        <w:t xml:space="preserve"> tendrá </w:t>
      </w:r>
      <w:r w:rsidRPr="006D77B0">
        <w:rPr>
          <w:rFonts w:ascii="Arial Narrow" w:hAnsi="Arial Narrow" w:cs="Arial"/>
          <w:bCs/>
          <w:lang w:val="es-ES" w:eastAsia="es-ES"/>
        </w:rPr>
        <w:t xml:space="preserve">la </w:t>
      </w:r>
      <w:r>
        <w:rPr>
          <w:rFonts w:ascii="Arial Narrow" w:hAnsi="Arial Narrow" w:cs="Arial"/>
          <w:bCs/>
          <w:lang w:val="es-ES" w:eastAsia="es-ES"/>
        </w:rPr>
        <w:t xml:space="preserve">facultad </w:t>
      </w:r>
      <w:r w:rsidRPr="006D77B0">
        <w:rPr>
          <w:rFonts w:ascii="Arial Narrow" w:hAnsi="Arial Narrow" w:cs="Arial"/>
          <w:bCs/>
          <w:lang w:val="es-ES" w:eastAsia="es-ES"/>
        </w:rPr>
        <w:t xml:space="preserve">de exigir una copia </w:t>
      </w:r>
      <w:r>
        <w:rPr>
          <w:rFonts w:ascii="Arial Narrow" w:hAnsi="Arial Narrow" w:cs="Arial"/>
          <w:bCs/>
          <w:lang w:val="es-ES" w:eastAsia="es-ES"/>
        </w:rPr>
        <w:t>del suministro de la información mínima al Tercero, en cualquier momento</w:t>
      </w:r>
      <w:bookmarkEnd w:id="6579"/>
      <w:r w:rsidRPr="006D77B0">
        <w:rPr>
          <w:rFonts w:ascii="Arial Narrow" w:hAnsi="Arial Narrow" w:cs="Arial"/>
          <w:bCs/>
          <w:lang w:val="es-ES" w:eastAsia="es-ES"/>
        </w:rPr>
        <w:t>.</w:t>
      </w:r>
    </w:p>
    <w:p w14:paraId="46EF1932" w14:textId="77777777" w:rsidR="00514CE5" w:rsidRDefault="00514CE5" w:rsidP="00514CE5">
      <w:pPr>
        <w:jc w:val="both"/>
        <w:outlineLvl w:val="1"/>
        <w:rPr>
          <w:rFonts w:ascii="Arial Narrow" w:hAnsi="Arial Narrow" w:cs="Arial"/>
          <w:bCs/>
          <w:lang w:val="es-ES" w:eastAsia="es-ES"/>
        </w:rPr>
      </w:pPr>
    </w:p>
    <w:p w14:paraId="5DA662A9" w14:textId="77777777" w:rsidR="00514CE5" w:rsidRDefault="00514CE5" w:rsidP="00514CE5">
      <w:pPr>
        <w:jc w:val="both"/>
        <w:outlineLvl w:val="1"/>
        <w:rPr>
          <w:rFonts w:ascii="Arial Narrow" w:hAnsi="Arial Narrow" w:cs="Arial"/>
          <w:bCs/>
          <w:lang w:val="es-ES" w:eastAsia="es-ES"/>
        </w:rPr>
      </w:pPr>
      <w:r>
        <w:rPr>
          <w:rFonts w:ascii="Arial Narrow" w:hAnsi="Arial Narrow" w:cs="Arial"/>
          <w:bCs/>
          <w:lang w:val="es-ES" w:eastAsia="es-ES"/>
        </w:rPr>
        <w:t>Por lo tanto, s</w:t>
      </w:r>
      <w:r w:rsidRPr="006D77B0">
        <w:rPr>
          <w:rFonts w:ascii="Arial Narrow" w:hAnsi="Arial Narrow" w:cs="Arial"/>
          <w:bCs/>
          <w:lang w:val="es-ES" w:eastAsia="es-ES"/>
        </w:rPr>
        <w:t xml:space="preserve">erá </w:t>
      </w:r>
      <w:r>
        <w:rPr>
          <w:rFonts w:ascii="Arial Narrow" w:hAnsi="Arial Narrow" w:cs="Arial"/>
          <w:bCs/>
          <w:lang w:val="es-ES" w:eastAsia="es-ES"/>
        </w:rPr>
        <w:t xml:space="preserve">a </w:t>
      </w:r>
      <w:r w:rsidRPr="006D77B0">
        <w:rPr>
          <w:rFonts w:ascii="Arial Narrow" w:hAnsi="Arial Narrow" w:cs="Arial"/>
          <w:bCs/>
          <w:lang w:val="es-ES" w:eastAsia="es-ES"/>
        </w:rPr>
        <w:t>elección de los Miembros</w:t>
      </w:r>
      <w:r>
        <w:rPr>
          <w:rFonts w:ascii="Arial Narrow" w:hAnsi="Arial Narrow" w:cs="Arial"/>
          <w:bCs/>
          <w:lang w:val="es-ES" w:eastAsia="es-ES"/>
        </w:rPr>
        <w:t xml:space="preserve"> el medio verificable a emplear para suministrar la información mínima requerida de acuerdo con el artículo 2.1.33. del Reglamento y aquella información o contenido adicional que considere necesario para regular el vínculo jurídico con sus Terceros, debido a que </w:t>
      </w:r>
      <w:r w:rsidRPr="006D77B0">
        <w:rPr>
          <w:rFonts w:ascii="Arial Narrow" w:hAnsi="Arial Narrow" w:cs="Arial"/>
          <w:bCs/>
          <w:lang w:val="es-ES" w:eastAsia="es-ES"/>
        </w:rPr>
        <w:t>los modelos que se encuentran a disposición</w:t>
      </w:r>
      <w:r>
        <w:rPr>
          <w:rFonts w:ascii="Arial Narrow" w:hAnsi="Arial Narrow" w:cs="Arial"/>
          <w:bCs/>
          <w:lang w:val="es-ES" w:eastAsia="es-ES"/>
        </w:rPr>
        <w:t xml:space="preserve"> de los Miembros únicamente contienen la información mínima a suministrar a los Terceros de acuerdo con el Reglamento de Funcionamiento de la Cámara.</w:t>
      </w:r>
    </w:p>
    <w:p w14:paraId="5323E2E2" w14:textId="77777777" w:rsidR="00514CE5" w:rsidRDefault="00514CE5" w:rsidP="00514CE5">
      <w:pPr>
        <w:jc w:val="both"/>
        <w:outlineLvl w:val="1"/>
        <w:rPr>
          <w:rFonts w:ascii="Arial Narrow" w:hAnsi="Arial Narrow" w:cs="Arial"/>
          <w:bCs/>
          <w:lang w:val="es-ES" w:eastAsia="es-ES"/>
        </w:rPr>
      </w:pPr>
    </w:p>
    <w:p w14:paraId="22C3CAC0" w14:textId="77777777" w:rsidR="00514CE5" w:rsidRDefault="00514CE5" w:rsidP="00514CE5">
      <w:pPr>
        <w:jc w:val="both"/>
        <w:outlineLvl w:val="1"/>
        <w:rPr>
          <w:rFonts w:ascii="Arial Narrow" w:hAnsi="Arial Narrow" w:cs="Arial"/>
          <w:bCs/>
          <w:lang w:val="es-ES" w:eastAsia="es-ES"/>
        </w:rPr>
      </w:pPr>
      <w:r>
        <w:rPr>
          <w:rFonts w:ascii="Arial Narrow" w:hAnsi="Arial Narrow" w:cs="Arial"/>
          <w:bCs/>
          <w:lang w:val="es-ES" w:eastAsia="es-ES"/>
        </w:rPr>
        <w:t xml:space="preserve">Sin perjuicio </w:t>
      </w:r>
      <w:r w:rsidRPr="009C30EA">
        <w:rPr>
          <w:rFonts w:ascii="Arial Narrow" w:hAnsi="Arial Narrow" w:cs="Arial"/>
          <w:bCs/>
          <w:lang w:val="es-ES" w:eastAsia="es-ES"/>
        </w:rPr>
        <w:t>del deber de los Miembros de proveer a los Terceros la información mínima de que trata el artículo 2.1.33. antes citado</w:t>
      </w:r>
      <w:r>
        <w:rPr>
          <w:rFonts w:ascii="Arial Narrow" w:hAnsi="Arial Narrow" w:cs="Arial"/>
          <w:bCs/>
          <w:lang w:val="es-ES" w:eastAsia="es-ES"/>
        </w:rPr>
        <w:t>,</w:t>
      </w:r>
      <w:r w:rsidRPr="006D77B0">
        <w:rPr>
          <w:rFonts w:ascii="Arial Narrow" w:hAnsi="Arial Narrow" w:cs="Arial"/>
          <w:bCs/>
          <w:lang w:val="es-ES" w:eastAsia="es-ES"/>
        </w:rPr>
        <w:t xml:space="preserve"> se aclara que </w:t>
      </w:r>
      <w:r>
        <w:rPr>
          <w:rFonts w:ascii="Arial Narrow" w:hAnsi="Arial Narrow" w:cs="Arial"/>
          <w:bCs/>
          <w:lang w:val="es-ES" w:eastAsia="es-ES"/>
        </w:rPr>
        <w:t xml:space="preserve">los Convenios </w:t>
      </w:r>
      <w:r w:rsidRPr="006D77B0">
        <w:rPr>
          <w:rFonts w:ascii="Arial Narrow" w:hAnsi="Arial Narrow" w:cs="Arial"/>
          <w:bCs/>
          <w:lang w:val="es-ES" w:eastAsia="es-ES"/>
        </w:rPr>
        <w:t>celebrad</w:t>
      </w:r>
      <w:r>
        <w:rPr>
          <w:rFonts w:ascii="Arial Narrow" w:hAnsi="Arial Narrow" w:cs="Arial"/>
          <w:bCs/>
          <w:lang w:val="es-ES" w:eastAsia="es-ES"/>
        </w:rPr>
        <w:t>o</w:t>
      </w:r>
      <w:r w:rsidRPr="006D77B0">
        <w:rPr>
          <w:rFonts w:ascii="Arial Narrow" w:hAnsi="Arial Narrow" w:cs="Arial"/>
          <w:bCs/>
          <w:lang w:val="es-ES" w:eastAsia="es-ES"/>
        </w:rPr>
        <w:t>s con anterioridad a</w:t>
      </w:r>
      <w:r>
        <w:rPr>
          <w:rFonts w:ascii="Arial Narrow" w:hAnsi="Arial Narrow" w:cs="Arial"/>
          <w:bCs/>
          <w:lang w:val="es-ES" w:eastAsia="es-ES"/>
        </w:rPr>
        <w:t xml:space="preserve">l tres (3) de febrero de 2020 en virtud de lo establecido en el artículo 1.4.11. del Reglamento de Funcionamiento, </w:t>
      </w:r>
      <w:r w:rsidRPr="006D77B0">
        <w:rPr>
          <w:rFonts w:ascii="Arial Narrow" w:hAnsi="Arial Narrow" w:cs="Arial"/>
          <w:bCs/>
          <w:lang w:val="es-ES" w:eastAsia="es-ES"/>
        </w:rPr>
        <w:t>tienen plena validez</w:t>
      </w:r>
      <w:r>
        <w:rPr>
          <w:rFonts w:ascii="Arial Narrow" w:hAnsi="Arial Narrow" w:cs="Arial"/>
          <w:bCs/>
          <w:lang w:val="es-ES" w:eastAsia="es-ES"/>
        </w:rPr>
        <w:t xml:space="preserve"> debido a que c</w:t>
      </w:r>
      <w:r w:rsidRPr="002C7E73">
        <w:rPr>
          <w:rFonts w:ascii="Arial Narrow" w:hAnsi="Arial Narrow" w:cs="Arial"/>
          <w:bCs/>
          <w:lang w:val="es-ES" w:eastAsia="es-ES"/>
        </w:rPr>
        <w:t xml:space="preserve">ualquier reforma que se realice al Reglamento o a las Circulares de </w:t>
      </w:r>
      <w:r>
        <w:rPr>
          <w:rFonts w:ascii="Arial Narrow" w:hAnsi="Arial Narrow" w:cs="Arial"/>
          <w:bCs/>
          <w:lang w:val="es-ES" w:eastAsia="es-ES"/>
        </w:rPr>
        <w:t xml:space="preserve">la Cámara </w:t>
      </w:r>
      <w:r w:rsidRPr="002C7E73">
        <w:rPr>
          <w:rFonts w:ascii="Arial Narrow" w:hAnsi="Arial Narrow" w:cs="Arial"/>
          <w:bCs/>
          <w:lang w:val="es-ES" w:eastAsia="es-ES"/>
        </w:rPr>
        <w:t xml:space="preserve">que implique una modificación a los términos de </w:t>
      </w:r>
      <w:r>
        <w:rPr>
          <w:rFonts w:ascii="Arial Narrow" w:hAnsi="Arial Narrow" w:cs="Arial"/>
          <w:bCs/>
          <w:lang w:val="es-ES" w:eastAsia="es-ES"/>
        </w:rPr>
        <w:t>vinculación de</w:t>
      </w:r>
      <w:r w:rsidRPr="002C7E73">
        <w:rPr>
          <w:rFonts w:ascii="Arial Narrow" w:hAnsi="Arial Narrow" w:cs="Arial"/>
          <w:bCs/>
          <w:lang w:val="es-ES" w:eastAsia="es-ES"/>
        </w:rPr>
        <w:t xml:space="preserve"> los Miembros y sus Terceros se presume conocida y aceptada por las partes a partir de su publicación y entrada en vigencia y no requerirá de la modificación de ni de la suscripción de nuevos </w:t>
      </w:r>
      <w:r>
        <w:rPr>
          <w:rFonts w:ascii="Arial Narrow" w:hAnsi="Arial Narrow" w:cs="Arial"/>
          <w:bCs/>
          <w:lang w:val="es-ES" w:eastAsia="es-ES"/>
        </w:rPr>
        <w:t>vínculos jurídicos</w:t>
      </w:r>
      <w:r w:rsidRPr="002C7E73">
        <w:rPr>
          <w:rFonts w:ascii="Arial Narrow" w:hAnsi="Arial Narrow" w:cs="Arial"/>
          <w:bCs/>
          <w:lang w:val="es-ES" w:eastAsia="es-ES"/>
        </w:rPr>
        <w:t xml:space="preserve">. No obstante, para efecto de la vinculación de nuevos Terceros, </w:t>
      </w:r>
      <w:r>
        <w:rPr>
          <w:rFonts w:ascii="Arial Narrow" w:hAnsi="Arial Narrow" w:cs="Arial"/>
          <w:bCs/>
          <w:lang w:val="es-ES" w:eastAsia="es-ES"/>
        </w:rPr>
        <w:t xml:space="preserve">la Cámara pone a disposición de los Miembros </w:t>
      </w:r>
      <w:r w:rsidRPr="002C7E73">
        <w:rPr>
          <w:rFonts w:ascii="Arial Narrow" w:hAnsi="Arial Narrow" w:cs="Arial"/>
          <w:bCs/>
          <w:lang w:val="es-ES" w:eastAsia="es-ES"/>
        </w:rPr>
        <w:t>unos nuevos textos que incorpor</w:t>
      </w:r>
      <w:r>
        <w:rPr>
          <w:rFonts w:ascii="Arial Narrow" w:hAnsi="Arial Narrow" w:cs="Arial"/>
          <w:bCs/>
          <w:lang w:val="es-ES" w:eastAsia="es-ES"/>
        </w:rPr>
        <w:t>a</w:t>
      </w:r>
      <w:r w:rsidRPr="002C7E73">
        <w:rPr>
          <w:rFonts w:ascii="Arial Narrow" w:hAnsi="Arial Narrow" w:cs="Arial"/>
          <w:bCs/>
          <w:lang w:val="es-ES" w:eastAsia="es-ES"/>
        </w:rPr>
        <w:t>n las modificaciones pertinentes</w:t>
      </w:r>
      <w:r w:rsidRPr="006D77B0">
        <w:rPr>
          <w:rFonts w:ascii="Arial Narrow" w:hAnsi="Arial Narrow" w:cs="Arial"/>
          <w:bCs/>
          <w:lang w:val="es-ES" w:eastAsia="es-ES"/>
        </w:rPr>
        <w:t>.</w:t>
      </w:r>
    </w:p>
    <w:p w14:paraId="4C45E8A3" w14:textId="77777777" w:rsidR="00514CE5" w:rsidRDefault="00514CE5" w:rsidP="00514CE5">
      <w:pPr>
        <w:jc w:val="both"/>
        <w:outlineLvl w:val="1"/>
        <w:rPr>
          <w:rFonts w:ascii="Arial Narrow" w:hAnsi="Arial Narrow" w:cs="Arial"/>
          <w:bCs/>
          <w:lang w:val="es-ES" w:eastAsia="es-ES"/>
        </w:rPr>
      </w:pPr>
    </w:p>
    <w:p w14:paraId="30FA9A98" w14:textId="77777777" w:rsidR="00514CE5" w:rsidRDefault="00514CE5" w:rsidP="00514CE5">
      <w:pPr>
        <w:jc w:val="both"/>
        <w:outlineLvl w:val="1"/>
        <w:rPr>
          <w:rFonts w:ascii="Arial Narrow" w:hAnsi="Arial Narrow" w:cs="Arial"/>
          <w:bCs/>
          <w:lang w:val="es-ES" w:eastAsia="es-ES"/>
        </w:rPr>
      </w:pPr>
      <w:r>
        <w:rPr>
          <w:rFonts w:ascii="Arial Narrow" w:hAnsi="Arial Narrow" w:cs="Arial"/>
          <w:bCs/>
          <w:lang w:val="es-ES" w:eastAsia="es-ES"/>
        </w:rPr>
        <w:t xml:space="preserve">En todo caso, los Miembros deberán dar cumplimiento a las </w:t>
      </w:r>
      <w:bookmarkStart w:id="6580" w:name="_Hlk28273051"/>
      <w:r>
        <w:rPr>
          <w:rFonts w:ascii="Arial Narrow" w:hAnsi="Arial Narrow" w:cs="Arial"/>
          <w:bCs/>
          <w:lang w:val="es-ES" w:eastAsia="es-ES"/>
        </w:rPr>
        <w:t xml:space="preserve">reglas especiales para </w:t>
      </w:r>
      <w:r w:rsidRPr="00667CA2">
        <w:rPr>
          <w:rFonts w:ascii="Arial Narrow" w:hAnsi="Arial Narrow" w:cs="Arial"/>
          <w:bCs/>
          <w:lang w:val="es-ES" w:eastAsia="es-ES"/>
        </w:rPr>
        <w:t>la Compensación y Liquidación</w:t>
      </w:r>
      <w:r>
        <w:rPr>
          <w:rFonts w:ascii="Arial Narrow" w:hAnsi="Arial Narrow" w:cs="Arial"/>
          <w:bCs/>
          <w:lang w:val="es-ES" w:eastAsia="es-ES"/>
        </w:rPr>
        <w:t>,</w:t>
      </w:r>
      <w:r w:rsidRPr="00667CA2">
        <w:rPr>
          <w:rFonts w:ascii="Arial Narrow" w:hAnsi="Arial Narrow" w:cs="Arial"/>
          <w:bCs/>
          <w:lang w:val="es-ES" w:eastAsia="es-ES"/>
        </w:rPr>
        <w:t xml:space="preserve"> </w:t>
      </w:r>
      <w:r>
        <w:rPr>
          <w:rFonts w:ascii="Arial Narrow" w:hAnsi="Arial Narrow" w:cs="Arial"/>
          <w:bCs/>
          <w:lang w:val="es-ES" w:eastAsia="es-ES"/>
        </w:rPr>
        <w:t xml:space="preserve">a través de la Cámara </w:t>
      </w:r>
      <w:r w:rsidRPr="00667CA2">
        <w:rPr>
          <w:rFonts w:ascii="Arial Narrow" w:hAnsi="Arial Narrow" w:cs="Arial"/>
          <w:bCs/>
          <w:lang w:val="es-ES" w:eastAsia="es-ES"/>
        </w:rPr>
        <w:t>como contraparte central</w:t>
      </w:r>
      <w:r>
        <w:rPr>
          <w:rFonts w:ascii="Arial Narrow" w:hAnsi="Arial Narrow" w:cs="Arial"/>
          <w:bCs/>
          <w:lang w:val="es-ES" w:eastAsia="es-ES"/>
        </w:rPr>
        <w:t>,</w:t>
      </w:r>
      <w:r w:rsidRPr="00667CA2">
        <w:rPr>
          <w:rFonts w:ascii="Arial Narrow" w:hAnsi="Arial Narrow" w:cs="Arial"/>
          <w:bCs/>
          <w:lang w:val="es-ES" w:eastAsia="es-ES"/>
        </w:rPr>
        <w:t xml:space="preserve"> de operaciones celebradas sobre instrumentos financieros derivados no estandarizado</w:t>
      </w:r>
      <w:r>
        <w:rPr>
          <w:rFonts w:ascii="Arial Narrow" w:hAnsi="Arial Narrow" w:cs="Arial"/>
          <w:bCs/>
          <w:lang w:val="es-ES" w:eastAsia="es-ES"/>
        </w:rPr>
        <w:t>s contenidas en el Título Tercero del Reglamento de Funcionamiento de la Cámara</w:t>
      </w:r>
      <w:bookmarkEnd w:id="6580"/>
      <w:r>
        <w:rPr>
          <w:rFonts w:ascii="Arial Narrow" w:hAnsi="Arial Narrow" w:cs="Arial"/>
          <w:bCs/>
          <w:lang w:val="es-ES" w:eastAsia="es-ES"/>
        </w:rPr>
        <w:t xml:space="preserve">, es decir, deberán contemplar en el Contrato Marco celebrado con sus Terceros o en un Acuerdo </w:t>
      </w:r>
      <w:r w:rsidRPr="00667CA2">
        <w:rPr>
          <w:rFonts w:ascii="Arial Narrow" w:hAnsi="Arial Narrow" w:cs="Arial"/>
          <w:bCs/>
          <w:lang w:val="es-ES" w:eastAsia="es-ES"/>
        </w:rPr>
        <w:t xml:space="preserve">para Compensar y Liquidar a través de la Cámara Operaciones sobre Instrumentos Financieros </w:t>
      </w:r>
      <w:r w:rsidRPr="00667CA2">
        <w:rPr>
          <w:rFonts w:ascii="Arial Narrow" w:hAnsi="Arial Narrow" w:cs="Arial"/>
          <w:bCs/>
          <w:lang w:val="es-ES" w:eastAsia="es-ES"/>
        </w:rPr>
        <w:lastRenderedPageBreak/>
        <w:t>Derivados No Estandarizados</w:t>
      </w:r>
      <w:r>
        <w:rPr>
          <w:rFonts w:ascii="Arial Narrow" w:hAnsi="Arial Narrow" w:cs="Arial"/>
          <w:bCs/>
          <w:lang w:val="es-ES" w:eastAsia="es-ES"/>
        </w:rPr>
        <w:t xml:space="preserve">, la posibilidad de enviar dichas Operaciones para la Compensación y Liquidación actuando la Cámara como contraparte, según los formatos contenidos en los Anexos 28, 29 y 29 A de la presente Circular. </w:t>
      </w:r>
    </w:p>
    <w:p w14:paraId="190989D8" w14:textId="77777777" w:rsidR="00514CE5" w:rsidRDefault="00514CE5" w:rsidP="00514CE5">
      <w:pPr>
        <w:jc w:val="both"/>
        <w:outlineLvl w:val="1"/>
        <w:rPr>
          <w:rFonts w:ascii="Arial Narrow" w:hAnsi="Arial Narrow" w:cs="Arial"/>
          <w:bCs/>
          <w:lang w:val="es-ES" w:eastAsia="es-ES"/>
        </w:rPr>
      </w:pPr>
    </w:p>
    <w:p w14:paraId="1DF9E808" w14:textId="77777777" w:rsidR="00610CE4" w:rsidRDefault="00514CE5" w:rsidP="00514CE5">
      <w:pPr>
        <w:jc w:val="both"/>
        <w:outlineLvl w:val="1"/>
        <w:rPr>
          <w:rFonts w:ascii="Arial Narrow" w:hAnsi="Arial Narrow" w:cs="Arial"/>
          <w:bCs/>
          <w:lang w:val="es-ES" w:eastAsia="es-ES"/>
        </w:rPr>
        <w:sectPr w:rsidR="00610CE4" w:rsidSect="007968EC">
          <w:pgSz w:w="12242" w:h="15842" w:code="1"/>
          <w:pgMar w:top="1985" w:right="1418" w:bottom="1985" w:left="1418" w:header="851" w:footer="1021" w:gutter="0"/>
          <w:cols w:space="708"/>
          <w:titlePg/>
          <w:docGrid w:linePitch="360"/>
        </w:sectPr>
      </w:pPr>
      <w:r>
        <w:rPr>
          <w:rFonts w:ascii="Arial Narrow" w:hAnsi="Arial Narrow" w:cs="Arial"/>
          <w:bCs/>
          <w:lang w:val="es-ES" w:eastAsia="es-ES"/>
        </w:rPr>
        <w:t xml:space="preserve">Los formatos que se ponen a disposición de los Miembros a continuación, podrán ser ajustados en los términos que se consideren pertinentes para la vinculación de Terceros. </w:t>
      </w:r>
    </w:p>
    <w:p w14:paraId="1747361A" w14:textId="77777777" w:rsidR="00514CE5" w:rsidRPr="00667CA2" w:rsidRDefault="00514CE5" w:rsidP="00514CE5">
      <w:pPr>
        <w:outlineLvl w:val="1"/>
        <w:rPr>
          <w:rFonts w:ascii="Arial Narrow" w:hAnsi="Arial Narrow" w:cs="Arial"/>
          <w:bCs/>
          <w:lang w:val="es-ES" w:eastAsia="es-ES"/>
        </w:rPr>
      </w:pPr>
    </w:p>
    <w:p w14:paraId="21F349F4" w14:textId="77777777" w:rsidR="00514CE5" w:rsidRPr="002C0D19" w:rsidRDefault="00514CE5" w:rsidP="00514CE5">
      <w:pPr>
        <w:autoSpaceDE w:val="0"/>
        <w:autoSpaceDN w:val="0"/>
        <w:adjustRightInd w:val="0"/>
        <w:jc w:val="center"/>
        <w:rPr>
          <w:rFonts w:ascii="Arial Narrow" w:hAnsi="Arial Narrow" w:cs="Arial"/>
          <w:b/>
          <w:i/>
          <w:color w:val="000000" w:themeColor="text1"/>
          <w:lang w:val="es-ES" w:eastAsia="es-ES"/>
        </w:rPr>
      </w:pPr>
      <w:r w:rsidRPr="002C0D19">
        <w:rPr>
          <w:rFonts w:ascii="Arial Narrow" w:hAnsi="Arial Narrow" w:cs="Arial"/>
          <w:b/>
          <w:i/>
          <w:color w:val="000000" w:themeColor="text1"/>
          <w:lang w:val="es-ES" w:eastAsia="es-ES"/>
        </w:rPr>
        <w:t>ANEXO 2</w:t>
      </w:r>
      <w:r>
        <w:rPr>
          <w:rFonts w:ascii="Arial Narrow" w:hAnsi="Arial Narrow" w:cs="Arial"/>
          <w:b/>
          <w:i/>
          <w:color w:val="000000" w:themeColor="text1"/>
          <w:lang w:val="es-ES" w:eastAsia="es-ES"/>
        </w:rPr>
        <w:t>0</w:t>
      </w:r>
      <w:r w:rsidRPr="002C0D19">
        <w:rPr>
          <w:rFonts w:ascii="Arial Narrow" w:hAnsi="Arial Narrow" w:cs="Arial"/>
          <w:b/>
          <w:i/>
          <w:color w:val="000000" w:themeColor="text1"/>
          <w:lang w:val="es-ES" w:eastAsia="es-ES"/>
        </w:rPr>
        <w:t xml:space="preserve">.1 </w:t>
      </w:r>
      <w:r>
        <w:rPr>
          <w:rFonts w:ascii="Arial Narrow" w:hAnsi="Arial Narrow" w:cs="Arial"/>
          <w:b/>
          <w:i/>
          <w:color w:val="000000" w:themeColor="text1"/>
          <w:lang w:val="es-ES" w:eastAsia="es-ES"/>
        </w:rPr>
        <w:t>Formato de información mínima de los Miembros a los Terceros</w:t>
      </w:r>
    </w:p>
    <w:p w14:paraId="0D68EC90" w14:textId="77777777" w:rsidR="00514CE5" w:rsidRDefault="00514CE5" w:rsidP="00514CE5">
      <w:pPr>
        <w:outlineLvl w:val="1"/>
        <w:rPr>
          <w:rFonts w:ascii="Arial Narrow" w:hAnsi="Arial Narrow" w:cs="Arial"/>
          <w:b/>
          <w:lang w:val="es-ES" w:eastAsia="es-ES"/>
        </w:rPr>
      </w:pPr>
    </w:p>
    <w:p w14:paraId="0D47F867" w14:textId="77777777" w:rsidR="001434C9" w:rsidRDefault="001434C9" w:rsidP="001434C9">
      <w:pPr>
        <w:jc w:val="center"/>
        <w:outlineLvl w:val="1"/>
        <w:rPr>
          <w:rFonts w:ascii="Arial Narrow" w:hAnsi="Arial Narrow" w:cs="Arial"/>
          <w:b/>
          <w:lang w:val="es-ES" w:eastAsia="es-ES"/>
        </w:rPr>
      </w:pPr>
      <w:r w:rsidRPr="001434C9">
        <w:rPr>
          <w:rFonts w:ascii="Arial Narrow" w:hAnsi="Arial Narrow" w:cs="Arial"/>
          <w:b/>
          <w:bCs/>
          <w:i/>
          <w:iCs/>
          <w:color w:val="000000" w:themeColor="text1"/>
          <w:lang w:val="es-ES" w:eastAsia="es-ES"/>
        </w:rPr>
        <w:t xml:space="preserve">(Este anexo fue </w:t>
      </w:r>
      <w:r>
        <w:rPr>
          <w:rFonts w:ascii="Arial Narrow" w:hAnsi="Arial Narrow" w:cs="Arial"/>
          <w:b/>
          <w:bCs/>
          <w:i/>
          <w:iCs/>
          <w:color w:val="000000" w:themeColor="text1"/>
          <w:lang w:val="es-ES" w:eastAsia="es-ES"/>
        </w:rPr>
        <w:t>adiciona</w:t>
      </w:r>
      <w:r w:rsidRPr="001434C9">
        <w:rPr>
          <w:rFonts w:ascii="Arial Narrow" w:hAnsi="Arial Narrow" w:cs="Arial"/>
          <w:b/>
          <w:bCs/>
          <w:i/>
          <w:iCs/>
          <w:color w:val="000000" w:themeColor="text1"/>
          <w:lang w:val="es-ES" w:eastAsia="es-ES"/>
        </w:rPr>
        <w:t xml:space="preserve">do mediante Circular </w:t>
      </w:r>
      <w:r>
        <w:rPr>
          <w:rFonts w:ascii="Arial Narrow" w:hAnsi="Arial Narrow" w:cs="Arial"/>
          <w:b/>
          <w:bCs/>
          <w:i/>
          <w:iCs/>
          <w:color w:val="000000" w:themeColor="text1"/>
          <w:lang w:val="es-ES" w:eastAsia="es-ES"/>
        </w:rPr>
        <w:t>2</w:t>
      </w:r>
      <w:r w:rsidRPr="001434C9">
        <w:rPr>
          <w:rFonts w:ascii="Arial Narrow" w:hAnsi="Arial Narrow" w:cs="Arial"/>
          <w:b/>
          <w:bCs/>
          <w:i/>
          <w:iCs/>
          <w:color w:val="000000" w:themeColor="text1"/>
          <w:lang w:val="es-ES" w:eastAsia="es-ES"/>
        </w:rPr>
        <w:t xml:space="preserve"> del </w:t>
      </w:r>
      <w:r>
        <w:rPr>
          <w:rFonts w:ascii="Arial Narrow" w:hAnsi="Arial Narrow" w:cs="Arial"/>
          <w:b/>
          <w:bCs/>
          <w:i/>
          <w:iCs/>
          <w:color w:val="000000" w:themeColor="text1"/>
          <w:lang w:val="es-ES" w:eastAsia="es-ES"/>
        </w:rPr>
        <w:t>29</w:t>
      </w:r>
      <w:r w:rsidRPr="001434C9">
        <w:rPr>
          <w:rFonts w:ascii="Arial Narrow" w:hAnsi="Arial Narrow" w:cs="Arial"/>
          <w:b/>
          <w:bCs/>
          <w:i/>
          <w:iCs/>
          <w:color w:val="000000" w:themeColor="text1"/>
          <w:lang w:val="es-ES" w:eastAsia="es-ES"/>
        </w:rPr>
        <w:t xml:space="preserve"> de </w:t>
      </w:r>
      <w:r>
        <w:rPr>
          <w:rFonts w:ascii="Arial Narrow" w:hAnsi="Arial Narrow" w:cs="Arial"/>
          <w:b/>
          <w:bCs/>
          <w:i/>
          <w:iCs/>
          <w:color w:val="000000" w:themeColor="text1"/>
          <w:lang w:val="es-ES" w:eastAsia="es-ES"/>
        </w:rPr>
        <w:t>ener</w:t>
      </w:r>
      <w:r w:rsidRPr="001434C9">
        <w:rPr>
          <w:rFonts w:ascii="Arial Narrow" w:hAnsi="Arial Narrow" w:cs="Arial"/>
          <w:b/>
          <w:bCs/>
          <w:i/>
          <w:iCs/>
          <w:color w:val="000000" w:themeColor="text1"/>
          <w:lang w:val="es-ES" w:eastAsia="es-ES"/>
        </w:rPr>
        <w:t>o de 20</w:t>
      </w:r>
      <w:r>
        <w:rPr>
          <w:rFonts w:ascii="Arial Narrow" w:hAnsi="Arial Narrow" w:cs="Arial"/>
          <w:b/>
          <w:bCs/>
          <w:i/>
          <w:iCs/>
          <w:color w:val="000000" w:themeColor="text1"/>
          <w:lang w:val="es-ES" w:eastAsia="es-ES"/>
        </w:rPr>
        <w:t>20</w:t>
      </w:r>
      <w:r w:rsidRPr="001434C9">
        <w:rPr>
          <w:rFonts w:ascii="Arial Narrow" w:hAnsi="Arial Narrow" w:cs="Arial"/>
          <w:b/>
          <w:bCs/>
          <w:i/>
          <w:iCs/>
          <w:color w:val="000000" w:themeColor="text1"/>
          <w:lang w:val="es-ES" w:eastAsia="es-ES"/>
        </w:rPr>
        <w:t>, publicada en el Boletín Normativo No. 00</w:t>
      </w:r>
      <w:r>
        <w:rPr>
          <w:rFonts w:ascii="Arial Narrow" w:hAnsi="Arial Narrow" w:cs="Arial"/>
          <w:b/>
          <w:bCs/>
          <w:i/>
          <w:iCs/>
          <w:color w:val="000000" w:themeColor="text1"/>
          <w:lang w:val="es-ES" w:eastAsia="es-ES"/>
        </w:rPr>
        <w:t>2</w:t>
      </w:r>
      <w:r w:rsidRPr="001434C9">
        <w:rPr>
          <w:rFonts w:ascii="Arial Narrow" w:hAnsi="Arial Narrow" w:cs="Arial"/>
          <w:b/>
          <w:bCs/>
          <w:i/>
          <w:iCs/>
          <w:color w:val="000000" w:themeColor="text1"/>
          <w:lang w:val="es-ES" w:eastAsia="es-ES"/>
        </w:rPr>
        <w:t xml:space="preserve"> del </w:t>
      </w:r>
      <w:r>
        <w:rPr>
          <w:rFonts w:ascii="Arial Narrow" w:hAnsi="Arial Narrow" w:cs="Arial"/>
          <w:b/>
          <w:bCs/>
          <w:i/>
          <w:iCs/>
          <w:color w:val="000000" w:themeColor="text1"/>
          <w:lang w:val="es-ES" w:eastAsia="es-ES"/>
        </w:rPr>
        <w:t>29</w:t>
      </w:r>
      <w:r w:rsidRPr="001434C9">
        <w:rPr>
          <w:rFonts w:ascii="Arial Narrow" w:hAnsi="Arial Narrow" w:cs="Arial"/>
          <w:b/>
          <w:bCs/>
          <w:i/>
          <w:iCs/>
          <w:color w:val="000000" w:themeColor="text1"/>
          <w:lang w:val="es-ES" w:eastAsia="es-ES"/>
        </w:rPr>
        <w:t xml:space="preserve"> de </w:t>
      </w:r>
      <w:r>
        <w:rPr>
          <w:rFonts w:ascii="Arial Narrow" w:hAnsi="Arial Narrow" w:cs="Arial"/>
          <w:b/>
          <w:bCs/>
          <w:i/>
          <w:iCs/>
          <w:color w:val="000000" w:themeColor="text1"/>
          <w:lang w:val="es-ES" w:eastAsia="es-ES"/>
        </w:rPr>
        <w:t>ener</w:t>
      </w:r>
      <w:r w:rsidRPr="001434C9">
        <w:rPr>
          <w:rFonts w:ascii="Arial Narrow" w:hAnsi="Arial Narrow" w:cs="Arial"/>
          <w:b/>
          <w:bCs/>
          <w:i/>
          <w:iCs/>
          <w:color w:val="000000" w:themeColor="text1"/>
          <w:lang w:val="es-ES" w:eastAsia="es-ES"/>
        </w:rPr>
        <w:t>o de 20</w:t>
      </w:r>
      <w:r>
        <w:rPr>
          <w:rFonts w:ascii="Arial Narrow" w:hAnsi="Arial Narrow" w:cs="Arial"/>
          <w:b/>
          <w:bCs/>
          <w:i/>
          <w:iCs/>
          <w:color w:val="000000" w:themeColor="text1"/>
          <w:lang w:val="es-ES" w:eastAsia="es-ES"/>
        </w:rPr>
        <w:t>20</w:t>
      </w:r>
      <w:r w:rsidRPr="001434C9">
        <w:rPr>
          <w:rFonts w:ascii="Arial Narrow" w:hAnsi="Arial Narrow" w:cs="Arial"/>
          <w:b/>
          <w:bCs/>
          <w:i/>
          <w:iCs/>
          <w:color w:val="000000" w:themeColor="text1"/>
          <w:lang w:val="es-ES" w:eastAsia="es-ES"/>
        </w:rPr>
        <w:t xml:space="preserve">. Rige a partir del </w:t>
      </w:r>
      <w:r>
        <w:rPr>
          <w:rFonts w:ascii="Arial Narrow" w:hAnsi="Arial Narrow" w:cs="Arial"/>
          <w:b/>
          <w:bCs/>
          <w:i/>
          <w:iCs/>
          <w:color w:val="000000" w:themeColor="text1"/>
          <w:lang w:val="es-ES" w:eastAsia="es-ES"/>
        </w:rPr>
        <w:t>3</w:t>
      </w:r>
      <w:r w:rsidRPr="001434C9">
        <w:rPr>
          <w:rFonts w:ascii="Arial Narrow" w:hAnsi="Arial Narrow" w:cs="Arial"/>
          <w:b/>
          <w:bCs/>
          <w:i/>
          <w:iCs/>
          <w:color w:val="000000" w:themeColor="text1"/>
          <w:lang w:val="es-ES" w:eastAsia="es-ES"/>
        </w:rPr>
        <w:t xml:space="preserve"> de </w:t>
      </w:r>
      <w:r>
        <w:rPr>
          <w:rFonts w:ascii="Arial Narrow" w:hAnsi="Arial Narrow" w:cs="Arial"/>
          <w:b/>
          <w:bCs/>
          <w:i/>
          <w:iCs/>
          <w:color w:val="000000" w:themeColor="text1"/>
          <w:lang w:val="es-ES" w:eastAsia="es-ES"/>
        </w:rPr>
        <w:t>febrer</w:t>
      </w:r>
      <w:r w:rsidRPr="001434C9">
        <w:rPr>
          <w:rFonts w:ascii="Arial Narrow" w:hAnsi="Arial Narrow" w:cs="Arial"/>
          <w:b/>
          <w:bCs/>
          <w:i/>
          <w:iCs/>
          <w:color w:val="000000" w:themeColor="text1"/>
          <w:lang w:val="es-ES" w:eastAsia="es-ES"/>
        </w:rPr>
        <w:t>o de 20</w:t>
      </w:r>
      <w:r>
        <w:rPr>
          <w:rFonts w:ascii="Arial Narrow" w:hAnsi="Arial Narrow" w:cs="Arial"/>
          <w:b/>
          <w:bCs/>
          <w:i/>
          <w:iCs/>
          <w:color w:val="000000" w:themeColor="text1"/>
          <w:lang w:val="es-ES" w:eastAsia="es-ES"/>
        </w:rPr>
        <w:t>20</w:t>
      </w:r>
      <w:r w:rsidRPr="001434C9">
        <w:rPr>
          <w:rFonts w:ascii="Arial Narrow" w:hAnsi="Arial Narrow" w:cs="Arial"/>
          <w:b/>
          <w:bCs/>
          <w:color w:val="000000" w:themeColor="text1"/>
          <w:lang w:val="es-ES" w:eastAsia="es-ES"/>
        </w:rPr>
        <w:t>.)</w:t>
      </w:r>
    </w:p>
    <w:p w14:paraId="1D1141B7" w14:textId="77777777" w:rsidR="001434C9" w:rsidRPr="00D61A64" w:rsidRDefault="001434C9" w:rsidP="00514CE5">
      <w:pPr>
        <w:outlineLvl w:val="1"/>
        <w:rPr>
          <w:rFonts w:ascii="Arial Narrow" w:hAnsi="Arial Narrow" w:cs="Arial"/>
          <w:b/>
          <w:lang w:val="es-ES" w:eastAsia="es-ES"/>
        </w:rPr>
      </w:pPr>
    </w:p>
    <w:p w14:paraId="3A12C918" w14:textId="77777777" w:rsidR="00514CE5" w:rsidRPr="009754F2" w:rsidRDefault="00514CE5" w:rsidP="00514CE5">
      <w:pPr>
        <w:jc w:val="center"/>
        <w:rPr>
          <w:rFonts w:ascii="Arial Narrow" w:hAnsi="Arial Narrow" w:cs="Arial"/>
          <w:b/>
          <w:color w:val="000000"/>
          <w:lang w:val="es-ES" w:eastAsia="es-ES"/>
        </w:rPr>
      </w:pPr>
      <w:r>
        <w:rPr>
          <w:rFonts w:ascii="Arial Narrow" w:hAnsi="Arial Narrow" w:cs="Arial"/>
          <w:b/>
          <w:color w:val="000000"/>
          <w:lang w:val="es-ES" w:eastAsia="es-ES"/>
        </w:rPr>
        <w:t xml:space="preserve">FORMATO DE INFORMACIÓN MÍNIMA DE LOS MIEMBROS </w:t>
      </w:r>
      <w:r w:rsidRPr="00D61A64">
        <w:rPr>
          <w:rFonts w:ascii="Arial Narrow" w:hAnsi="Arial Narrow" w:cs="Arial"/>
          <w:b/>
          <w:color w:val="000000"/>
          <w:lang w:val="es-ES" w:eastAsia="es-ES"/>
        </w:rPr>
        <w:t xml:space="preserve">A </w:t>
      </w:r>
      <w:r>
        <w:rPr>
          <w:rFonts w:ascii="Arial Narrow" w:hAnsi="Arial Narrow" w:cs="Arial"/>
          <w:b/>
          <w:color w:val="000000"/>
          <w:lang w:val="es-ES" w:eastAsia="es-ES"/>
        </w:rPr>
        <w:t xml:space="preserve">LOS </w:t>
      </w:r>
      <w:r w:rsidRPr="00D61A64">
        <w:rPr>
          <w:rFonts w:ascii="Arial Narrow" w:hAnsi="Arial Narrow" w:cs="Arial"/>
          <w:b/>
          <w:color w:val="000000"/>
          <w:lang w:val="es-ES" w:eastAsia="es-ES"/>
        </w:rPr>
        <w:t>TERCERO</w:t>
      </w:r>
      <w:r>
        <w:rPr>
          <w:rFonts w:ascii="Arial Narrow" w:hAnsi="Arial Narrow" w:cs="Arial"/>
          <w:b/>
          <w:color w:val="000000"/>
          <w:lang w:val="es-ES" w:eastAsia="es-ES"/>
        </w:rPr>
        <w:t xml:space="preserve">S </w:t>
      </w:r>
    </w:p>
    <w:p w14:paraId="7DB97FB9" w14:textId="77777777" w:rsidR="00514CE5" w:rsidRDefault="00514CE5" w:rsidP="00514CE5">
      <w:pPr>
        <w:rPr>
          <w:rFonts w:ascii="Arial Narrow" w:hAnsi="Arial Narrow" w:cs="Arial"/>
          <w:color w:val="000000"/>
          <w:lang w:val="es-ES" w:eastAsia="es-ES"/>
        </w:rPr>
      </w:pPr>
    </w:p>
    <w:p w14:paraId="5065CC86" w14:textId="77777777" w:rsidR="00514CE5" w:rsidRDefault="00514CE5" w:rsidP="00514CE5">
      <w:pPr>
        <w:jc w:val="both"/>
        <w:rPr>
          <w:rFonts w:ascii="Arial Narrow" w:hAnsi="Arial Narrow" w:cs="Arial"/>
          <w:color w:val="000000"/>
          <w:lang w:val="es-ES" w:eastAsia="es-ES"/>
        </w:rPr>
      </w:pPr>
      <w:r>
        <w:rPr>
          <w:rFonts w:ascii="Arial Narrow" w:hAnsi="Arial Narrow" w:cs="Arial"/>
          <w:color w:val="000000"/>
          <w:lang w:val="es-ES" w:eastAsia="es-ES"/>
        </w:rPr>
        <w:t>E</w:t>
      </w:r>
      <w:r w:rsidRPr="00F24731">
        <w:rPr>
          <w:rFonts w:ascii="Arial Narrow" w:hAnsi="Arial Narrow" w:cs="Arial"/>
          <w:color w:val="000000"/>
          <w:lang w:val="es-ES" w:eastAsia="es-ES"/>
        </w:rPr>
        <w:t>l</w:t>
      </w:r>
      <w:r>
        <w:rPr>
          <w:rFonts w:ascii="Arial Narrow" w:hAnsi="Arial Narrow" w:cs="Arial"/>
          <w:color w:val="000000"/>
          <w:lang w:val="es-ES" w:eastAsia="es-ES"/>
        </w:rPr>
        <w:t xml:space="preserve"> artículo 2.1.33. del </w:t>
      </w:r>
      <w:r w:rsidRPr="00F24731">
        <w:rPr>
          <w:rFonts w:ascii="Arial Narrow" w:hAnsi="Arial Narrow" w:cs="Arial"/>
          <w:color w:val="000000"/>
          <w:lang w:val="es-ES" w:eastAsia="es-ES"/>
        </w:rPr>
        <w:t xml:space="preserve">Reglamento </w:t>
      </w:r>
      <w:r>
        <w:rPr>
          <w:rFonts w:ascii="Arial Narrow" w:hAnsi="Arial Narrow" w:cs="Arial"/>
          <w:color w:val="000000"/>
          <w:lang w:val="es-ES" w:eastAsia="es-ES"/>
        </w:rPr>
        <w:t xml:space="preserve">de Funcionamiento de la Cámara establece que los Miembros deberán poner a disposición de los Terceros una información mínima a través de un medio verificable. A su vez, el </w:t>
      </w:r>
      <w:r>
        <w:rPr>
          <w:rFonts w:ascii="Arial Narrow" w:hAnsi="Arial Narrow" w:cs="Arial"/>
          <w:bCs/>
          <w:color w:val="000000"/>
          <w:lang w:val="es-ES" w:eastAsia="es-ES"/>
        </w:rPr>
        <w:t xml:space="preserve">artículo </w:t>
      </w:r>
      <w:r>
        <w:rPr>
          <w:rFonts w:ascii="Arial Narrow" w:hAnsi="Arial Narrow" w:cs="Arial"/>
          <w:color w:val="000000"/>
          <w:lang w:eastAsia="es-ES"/>
        </w:rPr>
        <w:t xml:space="preserve">2.13.1.1.12 del Decreto 2555 de 2010 establece que los Miembros deberán </w:t>
      </w:r>
      <w:r w:rsidRPr="00D271A6">
        <w:rPr>
          <w:rFonts w:ascii="Arial Narrow" w:hAnsi="Arial Narrow" w:cs="Arial"/>
          <w:color w:val="000000"/>
          <w:lang w:eastAsia="es-ES"/>
        </w:rPr>
        <w:t>informar previamente a</w:t>
      </w:r>
      <w:r>
        <w:rPr>
          <w:rFonts w:ascii="Arial Narrow" w:hAnsi="Arial Narrow" w:cs="Arial"/>
          <w:color w:val="000000"/>
          <w:lang w:eastAsia="es-ES"/>
        </w:rPr>
        <w:t xml:space="preserve"> los Terceros</w:t>
      </w:r>
      <w:r w:rsidRPr="00D271A6">
        <w:rPr>
          <w:rFonts w:ascii="Arial Narrow" w:hAnsi="Arial Narrow" w:cs="Arial"/>
          <w:color w:val="000000"/>
          <w:lang w:eastAsia="es-ES"/>
        </w:rPr>
        <w:t xml:space="preserve"> </w:t>
      </w:r>
      <w:r>
        <w:rPr>
          <w:rFonts w:ascii="Arial Narrow" w:hAnsi="Arial Narrow" w:cs="Arial"/>
          <w:color w:val="000000"/>
          <w:lang w:eastAsia="es-ES"/>
        </w:rPr>
        <w:t xml:space="preserve">acerca de </w:t>
      </w:r>
      <w:r w:rsidRPr="00D271A6">
        <w:rPr>
          <w:rFonts w:ascii="Arial Narrow" w:hAnsi="Arial Narrow" w:cs="Arial"/>
          <w:color w:val="000000"/>
          <w:lang w:eastAsia="es-ES"/>
        </w:rPr>
        <w:t>si utilizarán</w:t>
      </w:r>
      <w:r>
        <w:rPr>
          <w:rFonts w:ascii="Arial Narrow" w:hAnsi="Arial Narrow" w:cs="Arial"/>
          <w:color w:val="000000"/>
          <w:lang w:eastAsia="es-ES"/>
        </w:rPr>
        <w:t xml:space="preserve"> </w:t>
      </w:r>
      <w:r w:rsidRPr="00D271A6">
        <w:rPr>
          <w:rFonts w:ascii="Arial Narrow" w:hAnsi="Arial Narrow" w:cs="Arial"/>
          <w:color w:val="000000"/>
          <w:lang w:eastAsia="es-ES"/>
        </w:rPr>
        <w:t>una cámara de riesgo central de contraparte en la compensación y liquidación de las operaciones</w:t>
      </w:r>
      <w:r>
        <w:rPr>
          <w:rFonts w:ascii="Arial Narrow" w:hAnsi="Arial Narrow" w:cs="Arial"/>
          <w:color w:val="000000"/>
          <w:lang w:eastAsia="es-ES"/>
        </w:rPr>
        <w:t xml:space="preserve"> que realicen por cuenta de dichos Terceros</w:t>
      </w:r>
      <w:r>
        <w:rPr>
          <w:rFonts w:ascii="Arial Narrow" w:hAnsi="Arial Narrow" w:cs="Arial"/>
          <w:color w:val="000000"/>
          <w:lang w:val="es-ES" w:eastAsia="es-ES"/>
        </w:rPr>
        <w:t xml:space="preserve">. </w:t>
      </w:r>
    </w:p>
    <w:p w14:paraId="6C64154E" w14:textId="77777777" w:rsidR="00514CE5" w:rsidRDefault="00514CE5" w:rsidP="00514CE5">
      <w:pPr>
        <w:jc w:val="both"/>
        <w:rPr>
          <w:rFonts w:ascii="Arial Narrow" w:hAnsi="Arial Narrow" w:cs="Arial"/>
          <w:color w:val="000000"/>
          <w:lang w:val="es-ES" w:eastAsia="es-ES"/>
        </w:rPr>
      </w:pPr>
    </w:p>
    <w:p w14:paraId="56924F5D" w14:textId="77777777" w:rsidR="00514CE5" w:rsidRDefault="00514CE5" w:rsidP="00514CE5">
      <w:pPr>
        <w:jc w:val="both"/>
        <w:rPr>
          <w:rFonts w:ascii="Arial Narrow" w:hAnsi="Arial Narrow" w:cs="Arial"/>
          <w:color w:val="000000"/>
          <w:lang w:val="es-ES" w:eastAsia="es-ES"/>
        </w:rPr>
      </w:pPr>
      <w:r>
        <w:rPr>
          <w:rFonts w:ascii="Arial Narrow" w:hAnsi="Arial Narrow" w:cs="Arial"/>
          <w:color w:val="000000"/>
          <w:lang w:val="es-ES" w:eastAsia="es-ES"/>
        </w:rPr>
        <w:t xml:space="preserve">Para facilitar el cumplimiento de lo previsto en las normas antes citadas, la Cámara pone a disposición de los Miembros este formato que contiene la información mínima a suministrar a cada uno de sus Terceros. Esta información mínima debe ser provista por los Miembros a sus Terceros a través del medio verificable que estimen pertinente. </w:t>
      </w:r>
    </w:p>
    <w:p w14:paraId="45FB90B4" w14:textId="77777777" w:rsidR="00514CE5" w:rsidRDefault="00514CE5" w:rsidP="00514CE5">
      <w:pPr>
        <w:jc w:val="both"/>
        <w:rPr>
          <w:rFonts w:ascii="Arial Narrow" w:hAnsi="Arial Narrow" w:cs="Arial"/>
          <w:color w:val="000000"/>
          <w:lang w:val="es-ES" w:eastAsia="es-ES"/>
        </w:rPr>
      </w:pPr>
    </w:p>
    <w:p w14:paraId="5EEB3523" w14:textId="77777777" w:rsidR="00514CE5" w:rsidRDefault="00514CE5" w:rsidP="00514CE5">
      <w:pPr>
        <w:jc w:val="both"/>
        <w:rPr>
          <w:rFonts w:ascii="Arial Narrow" w:hAnsi="Arial Narrow" w:cs="Arial"/>
          <w:color w:val="000000"/>
          <w:lang w:val="es-ES" w:eastAsia="es-ES"/>
        </w:rPr>
      </w:pPr>
      <w:r w:rsidRPr="0033716A">
        <w:rPr>
          <w:rFonts w:ascii="Arial Narrow" w:hAnsi="Arial Narrow" w:cs="Arial"/>
          <w:color w:val="000000"/>
          <w:u w:val="single"/>
          <w:lang w:val="es-ES" w:eastAsia="es-ES"/>
        </w:rPr>
        <w:t>Nota:</w:t>
      </w:r>
      <w:r>
        <w:rPr>
          <w:rFonts w:ascii="Arial Narrow" w:hAnsi="Arial Narrow" w:cs="Arial"/>
          <w:color w:val="000000"/>
          <w:lang w:val="es-ES" w:eastAsia="es-ES"/>
        </w:rPr>
        <w:t xml:space="preserve"> Los Miembros del Segmento de Derivados Financieros deben tener en cuenta que además de la información mínima a suministrar a sus Terceros por un medio verificable, en el evento de Compensar y Liquidar operaciones sobre I</w:t>
      </w:r>
      <w:r w:rsidRPr="000C407A">
        <w:rPr>
          <w:rFonts w:ascii="Arial Narrow" w:hAnsi="Arial Narrow" w:cs="Arial"/>
          <w:color w:val="000000"/>
          <w:lang w:val="es-ES" w:eastAsia="es-ES"/>
        </w:rPr>
        <w:t>nstrumentos Financieros Derivados No Estandarizados a través de la Cámara, participando por cuenta de</w:t>
      </w:r>
      <w:r>
        <w:rPr>
          <w:rFonts w:ascii="Arial Narrow" w:hAnsi="Arial Narrow" w:cs="Arial"/>
          <w:color w:val="000000"/>
          <w:lang w:val="es-ES" w:eastAsia="es-ES"/>
        </w:rPr>
        <w:t xml:space="preserve"> sus </w:t>
      </w:r>
      <w:r w:rsidRPr="000C407A">
        <w:rPr>
          <w:rFonts w:ascii="Arial Narrow" w:hAnsi="Arial Narrow" w:cs="Arial"/>
          <w:color w:val="000000"/>
          <w:lang w:val="es-ES" w:eastAsia="es-ES"/>
        </w:rPr>
        <w:t>Tercero</w:t>
      </w:r>
      <w:r>
        <w:rPr>
          <w:rFonts w:ascii="Arial Narrow" w:hAnsi="Arial Narrow" w:cs="Arial"/>
          <w:color w:val="000000"/>
          <w:lang w:val="es-ES" w:eastAsia="es-ES"/>
        </w:rPr>
        <w:t xml:space="preserve">s, deberán tener </w:t>
      </w:r>
      <w:r w:rsidRPr="000B6AA8">
        <w:rPr>
          <w:rFonts w:ascii="Arial Narrow" w:hAnsi="Arial Narrow" w:cs="Arial"/>
          <w:color w:val="000000"/>
          <w:lang w:val="es-ES" w:eastAsia="es-ES"/>
        </w:rPr>
        <w:t>suscrito un Contrato Marco necesario para la negociación de Instrumentos Financieros Derivados No Estandarizados de conformidad con lo establecido en el Capítulo XVIII – Instrumentos Financieros Derivados y Productos Estructurados de la Circular Básica Contable y Financiera (Circular Externa 100 de 1995) de la Superintendencia Bancaria, hoy Superintendencia Financiera de Colombia</w:t>
      </w:r>
      <w:r>
        <w:rPr>
          <w:rFonts w:ascii="Arial Narrow" w:hAnsi="Arial Narrow" w:cs="Arial"/>
          <w:color w:val="000000"/>
          <w:lang w:val="es-ES" w:eastAsia="es-ES"/>
        </w:rPr>
        <w:t xml:space="preserve">, y dar cumplimiento a las reglas </w:t>
      </w:r>
      <w:r w:rsidRPr="000C407A">
        <w:rPr>
          <w:rFonts w:ascii="Arial Narrow" w:hAnsi="Arial Narrow" w:cs="Arial"/>
          <w:color w:val="000000"/>
          <w:lang w:val="es-ES" w:eastAsia="es-ES"/>
        </w:rPr>
        <w:t>especiales para la Compensación y Liquidación</w:t>
      </w:r>
      <w:r>
        <w:rPr>
          <w:rFonts w:ascii="Arial Narrow" w:hAnsi="Arial Narrow" w:cs="Arial"/>
          <w:color w:val="000000"/>
          <w:lang w:val="es-ES" w:eastAsia="es-ES"/>
        </w:rPr>
        <w:t>,</w:t>
      </w:r>
      <w:r w:rsidRPr="000C407A">
        <w:rPr>
          <w:rFonts w:ascii="Arial Narrow" w:hAnsi="Arial Narrow" w:cs="Arial"/>
          <w:color w:val="000000"/>
          <w:lang w:val="es-ES" w:eastAsia="es-ES"/>
        </w:rPr>
        <w:t xml:space="preserve"> </w:t>
      </w:r>
      <w:r w:rsidRPr="0069190F">
        <w:rPr>
          <w:rFonts w:ascii="Arial Narrow" w:hAnsi="Arial Narrow" w:cs="Arial"/>
          <w:bCs/>
          <w:color w:val="000000"/>
          <w:lang w:val="es-ES" w:eastAsia="es-ES"/>
        </w:rPr>
        <w:t xml:space="preserve">a través de la Cámara </w:t>
      </w:r>
      <w:r w:rsidRPr="000C407A">
        <w:rPr>
          <w:rFonts w:ascii="Arial Narrow" w:hAnsi="Arial Narrow" w:cs="Arial"/>
          <w:color w:val="000000"/>
          <w:lang w:val="es-ES" w:eastAsia="es-ES"/>
        </w:rPr>
        <w:t>como contraparte central</w:t>
      </w:r>
      <w:r>
        <w:rPr>
          <w:rFonts w:ascii="Arial Narrow" w:hAnsi="Arial Narrow" w:cs="Arial"/>
          <w:color w:val="000000"/>
          <w:lang w:val="es-ES" w:eastAsia="es-ES"/>
        </w:rPr>
        <w:t>,</w:t>
      </w:r>
      <w:r w:rsidRPr="000C407A">
        <w:rPr>
          <w:rFonts w:ascii="Arial Narrow" w:hAnsi="Arial Narrow" w:cs="Arial"/>
          <w:color w:val="000000"/>
          <w:lang w:val="es-ES" w:eastAsia="es-ES"/>
        </w:rPr>
        <w:t xml:space="preserve"> de operaciones celebradas sobre instrumentos financieros derivados no estandarizados contenidas en el Título Tercero del Reglamento de Funcionamiento de la Cámara</w:t>
      </w:r>
      <w:r>
        <w:rPr>
          <w:rFonts w:ascii="Arial Narrow" w:hAnsi="Arial Narrow" w:cs="Arial"/>
          <w:color w:val="000000"/>
          <w:lang w:val="es-ES" w:eastAsia="es-ES"/>
        </w:rPr>
        <w:t xml:space="preserve">. </w:t>
      </w:r>
    </w:p>
    <w:p w14:paraId="00626133" w14:textId="77777777" w:rsidR="00514CE5" w:rsidRDefault="00514CE5" w:rsidP="00514CE5">
      <w:pPr>
        <w:jc w:val="both"/>
        <w:rPr>
          <w:rFonts w:ascii="Arial Narrow" w:hAnsi="Arial Narrow" w:cs="Arial"/>
          <w:color w:val="000000"/>
          <w:lang w:val="es-ES" w:eastAsia="es-ES"/>
        </w:rPr>
      </w:pPr>
    </w:p>
    <w:p w14:paraId="5937A111" w14:textId="77777777" w:rsidR="00514CE5" w:rsidRPr="00761968" w:rsidRDefault="00514CE5" w:rsidP="00514CE5">
      <w:pPr>
        <w:jc w:val="center"/>
        <w:rPr>
          <w:rFonts w:ascii="Arial Narrow" w:hAnsi="Arial Narrow" w:cs="Arial"/>
          <w:b/>
          <w:bCs/>
          <w:color w:val="000000"/>
          <w:lang w:val="es-ES" w:eastAsia="es-ES"/>
        </w:rPr>
      </w:pPr>
      <w:r>
        <w:rPr>
          <w:rFonts w:ascii="Arial Narrow" w:hAnsi="Arial Narrow" w:cs="Arial"/>
          <w:b/>
          <w:bCs/>
          <w:color w:val="000000"/>
          <w:lang w:val="es-ES" w:eastAsia="es-ES"/>
        </w:rPr>
        <w:t>INFORMACIÓN MÍNIMA A TERCEROS</w:t>
      </w:r>
    </w:p>
    <w:p w14:paraId="462AE437" w14:textId="77777777" w:rsidR="00514CE5" w:rsidRDefault="00514CE5" w:rsidP="00514CE5">
      <w:pPr>
        <w:rPr>
          <w:rFonts w:ascii="Arial Narrow" w:hAnsi="Arial Narrow" w:cs="Arial"/>
          <w:color w:val="000000"/>
          <w:lang w:val="es-ES" w:eastAsia="es-ES"/>
        </w:rPr>
      </w:pPr>
    </w:p>
    <w:p w14:paraId="7681EE70" w14:textId="77777777" w:rsidR="00514CE5" w:rsidRPr="00761968" w:rsidRDefault="00514CE5" w:rsidP="00514CE5">
      <w:pPr>
        <w:rPr>
          <w:rFonts w:ascii="Arial Narrow" w:hAnsi="Arial Narrow" w:cs="Arial"/>
          <w:color w:val="000000"/>
          <w:lang w:val="es-ES" w:eastAsia="es-ES"/>
        </w:rPr>
      </w:pPr>
      <w:r>
        <w:rPr>
          <w:rFonts w:ascii="Arial Narrow" w:hAnsi="Arial Narrow" w:cs="Arial"/>
          <w:color w:val="000000"/>
          <w:lang w:val="es-ES" w:eastAsia="es-ES"/>
        </w:rPr>
        <w:t xml:space="preserve">Estimados </w:t>
      </w:r>
      <w:r>
        <w:rPr>
          <w:rFonts w:ascii="Arial Narrow" w:hAnsi="Arial Narrow" w:cs="Arial"/>
          <w:b/>
          <w:bCs/>
          <w:color w:val="000000"/>
          <w:lang w:val="es-ES" w:eastAsia="es-ES"/>
        </w:rPr>
        <w:t>TERCEROS</w:t>
      </w:r>
      <w:r>
        <w:rPr>
          <w:rFonts w:ascii="Arial Narrow" w:hAnsi="Arial Narrow" w:cs="Arial"/>
          <w:color w:val="000000"/>
          <w:lang w:val="es-ES" w:eastAsia="es-ES"/>
        </w:rPr>
        <w:t>,</w:t>
      </w:r>
    </w:p>
    <w:p w14:paraId="71A5446F" w14:textId="77777777" w:rsidR="00514CE5" w:rsidRPr="0090633E" w:rsidRDefault="00514CE5" w:rsidP="00514CE5">
      <w:pPr>
        <w:rPr>
          <w:rFonts w:ascii="Arial Narrow" w:hAnsi="Arial Narrow" w:cs="Arial"/>
          <w:color w:val="000000"/>
          <w:lang w:val="es-ES" w:eastAsia="es-ES"/>
        </w:rPr>
      </w:pPr>
    </w:p>
    <w:p w14:paraId="6C3F3901" w14:textId="77777777" w:rsidR="00514CE5" w:rsidRDefault="00514CE5" w:rsidP="00514CE5">
      <w:pPr>
        <w:jc w:val="both"/>
        <w:rPr>
          <w:rFonts w:ascii="Arial Narrow" w:hAnsi="Arial Narrow" w:cs="Arial"/>
          <w:color w:val="000000"/>
          <w:lang w:val="es-ES" w:eastAsia="es-ES"/>
        </w:rPr>
      </w:pPr>
      <w:r>
        <w:rPr>
          <w:rFonts w:ascii="Arial Narrow" w:hAnsi="Arial Narrow" w:cs="Arial"/>
          <w:color w:val="000000"/>
          <w:lang w:val="es-ES" w:eastAsia="es-ES"/>
        </w:rPr>
        <w:t xml:space="preserve">De conformidad con lo establecido en el artículo 15 de la Ley 964 de 2005, en el Libro 13 de la Parte 2 del Decreto 2555 de 2010, y en el Reglamento de Funcionamiento de la Cámara de Riesgo Central de Contraparte de Colombia S.A. – CRCC S.A. (en adelante </w:t>
      </w:r>
      <w:r>
        <w:rPr>
          <w:rFonts w:ascii="Arial Narrow" w:hAnsi="Arial Narrow" w:cs="Arial"/>
          <w:b/>
          <w:bCs/>
          <w:color w:val="000000"/>
          <w:lang w:val="es-ES" w:eastAsia="es-ES"/>
        </w:rPr>
        <w:t>LA CRCC</w:t>
      </w:r>
      <w:r w:rsidRPr="004E238D">
        <w:rPr>
          <w:rFonts w:ascii="Arial Narrow" w:hAnsi="Arial Narrow" w:cs="Arial"/>
          <w:color w:val="000000"/>
          <w:lang w:val="es-ES" w:eastAsia="es-ES"/>
        </w:rPr>
        <w:t>)</w:t>
      </w:r>
      <w:r>
        <w:rPr>
          <w:rFonts w:ascii="Arial Narrow" w:hAnsi="Arial Narrow" w:cs="Arial"/>
          <w:color w:val="000000"/>
          <w:lang w:val="es-ES" w:eastAsia="es-ES"/>
        </w:rPr>
        <w:t>,</w:t>
      </w:r>
      <w:r>
        <w:rPr>
          <w:rFonts w:ascii="Arial Narrow" w:hAnsi="Arial Narrow" w:cs="Arial"/>
          <w:b/>
          <w:bCs/>
          <w:color w:val="000000"/>
          <w:lang w:val="es-ES" w:eastAsia="es-ES"/>
        </w:rPr>
        <w:t xml:space="preserve"> LA CRCC </w:t>
      </w:r>
      <w:r>
        <w:rPr>
          <w:rFonts w:ascii="Arial Narrow" w:hAnsi="Arial Narrow" w:cs="Arial"/>
          <w:color w:val="000000"/>
          <w:lang w:val="es-ES" w:eastAsia="es-ES"/>
        </w:rPr>
        <w:t xml:space="preserve">podrá interponerse como contraparte directa y administrar la compensación y liquidación de las operaciones que se celebren </w:t>
      </w:r>
      <w:r w:rsidRPr="0047595E">
        <w:rPr>
          <w:rFonts w:ascii="Arial Narrow" w:hAnsi="Arial Narrow" w:cs="Arial"/>
          <w:color w:val="000000"/>
          <w:lang w:val="es-ES" w:eastAsia="es-ES"/>
        </w:rPr>
        <w:t>en una bolsa, un sistema de negociación, en el mercado mostrador o en cualquier Mecanismo de Contratación</w:t>
      </w:r>
      <w:r>
        <w:rPr>
          <w:rFonts w:ascii="Arial Narrow" w:hAnsi="Arial Narrow" w:cs="Arial"/>
          <w:color w:val="000000"/>
          <w:lang w:val="es-ES" w:eastAsia="es-ES"/>
        </w:rPr>
        <w:t xml:space="preserve">, siempre y cuando sean Operaciones Susceptibles de ser Aceptadas en los términos del Reglamento de Funcionamiento de </w:t>
      </w:r>
      <w:r>
        <w:rPr>
          <w:rFonts w:ascii="Arial Narrow" w:hAnsi="Arial Narrow" w:cs="Arial"/>
          <w:b/>
          <w:bCs/>
          <w:color w:val="000000"/>
          <w:lang w:val="es-ES" w:eastAsia="es-ES"/>
        </w:rPr>
        <w:t>LA CRCC</w:t>
      </w:r>
      <w:r>
        <w:rPr>
          <w:rFonts w:ascii="Arial Narrow" w:hAnsi="Arial Narrow" w:cs="Arial"/>
          <w:color w:val="000000"/>
          <w:lang w:val="es-ES" w:eastAsia="es-ES"/>
        </w:rPr>
        <w:t xml:space="preserve"> (en adelante el Reglamento). </w:t>
      </w:r>
    </w:p>
    <w:p w14:paraId="507ABDBE" w14:textId="77777777" w:rsidR="00514CE5" w:rsidRDefault="00514CE5" w:rsidP="00514CE5">
      <w:pPr>
        <w:jc w:val="both"/>
        <w:rPr>
          <w:rFonts w:ascii="Arial Narrow" w:hAnsi="Arial Narrow" w:cs="Arial"/>
          <w:color w:val="000000"/>
          <w:lang w:val="es-ES" w:eastAsia="es-ES"/>
        </w:rPr>
      </w:pPr>
    </w:p>
    <w:p w14:paraId="0FCE0EE6" w14:textId="77777777" w:rsidR="00514CE5" w:rsidRDefault="00514CE5" w:rsidP="00514CE5">
      <w:pPr>
        <w:jc w:val="both"/>
        <w:rPr>
          <w:rFonts w:ascii="Arial Narrow" w:hAnsi="Arial Narrow" w:cs="Arial"/>
          <w:bCs/>
          <w:color w:val="000000"/>
          <w:lang w:val="es-ES" w:eastAsia="es-ES"/>
        </w:rPr>
      </w:pPr>
      <w:r>
        <w:rPr>
          <w:rFonts w:ascii="Arial Narrow" w:hAnsi="Arial Narrow" w:cs="Arial"/>
          <w:color w:val="000000"/>
          <w:lang w:val="es-ES" w:eastAsia="es-ES"/>
        </w:rPr>
        <w:lastRenderedPageBreak/>
        <w:t xml:space="preserve">De acuerdo con el Reglamento, son Terceros las </w:t>
      </w:r>
      <w:r w:rsidRPr="001D72F5">
        <w:rPr>
          <w:rFonts w:ascii="Arial Narrow" w:hAnsi="Arial Narrow" w:cs="Arial"/>
          <w:color w:val="000000"/>
          <w:lang w:val="es-ES" w:eastAsia="es-ES"/>
        </w:rPr>
        <w:t>personas naturales o jurídicas, los patrimonios</w:t>
      </w:r>
      <w:r>
        <w:rPr>
          <w:rFonts w:ascii="Arial Narrow" w:hAnsi="Arial Narrow" w:cs="Arial"/>
          <w:color w:val="000000"/>
          <w:lang w:val="es-ES" w:eastAsia="es-ES"/>
        </w:rPr>
        <w:t xml:space="preserve"> </w:t>
      </w:r>
      <w:r w:rsidRPr="001D72F5">
        <w:rPr>
          <w:rFonts w:ascii="Arial Narrow" w:hAnsi="Arial Narrow" w:cs="Arial"/>
          <w:color w:val="000000"/>
          <w:lang w:val="es-ES" w:eastAsia="es-ES"/>
        </w:rPr>
        <w:t xml:space="preserve">autónomos, </w:t>
      </w:r>
      <w:r>
        <w:rPr>
          <w:rFonts w:ascii="Arial Narrow" w:hAnsi="Arial Narrow" w:cs="Arial"/>
          <w:color w:val="000000"/>
          <w:lang w:val="es-ES" w:eastAsia="es-ES"/>
        </w:rPr>
        <w:t xml:space="preserve">los </w:t>
      </w:r>
      <w:r w:rsidRPr="001D72F5">
        <w:rPr>
          <w:rFonts w:ascii="Arial Narrow" w:hAnsi="Arial Narrow" w:cs="Arial"/>
          <w:color w:val="000000"/>
          <w:lang w:val="es-ES" w:eastAsia="es-ES"/>
        </w:rPr>
        <w:t xml:space="preserve">fondos de inversión colectiva </w:t>
      </w:r>
      <w:r>
        <w:rPr>
          <w:rFonts w:ascii="Arial Narrow" w:hAnsi="Arial Narrow" w:cs="Arial"/>
          <w:color w:val="000000"/>
          <w:lang w:val="es-ES" w:eastAsia="es-ES"/>
        </w:rPr>
        <w:t>y</w:t>
      </w:r>
      <w:r w:rsidRPr="001D72F5">
        <w:rPr>
          <w:rFonts w:ascii="Arial Narrow" w:hAnsi="Arial Narrow" w:cs="Arial"/>
          <w:color w:val="000000"/>
          <w:lang w:val="es-ES" w:eastAsia="es-ES"/>
        </w:rPr>
        <w:t xml:space="preserve"> </w:t>
      </w:r>
      <w:r>
        <w:rPr>
          <w:rFonts w:ascii="Arial Narrow" w:hAnsi="Arial Narrow" w:cs="Arial"/>
          <w:color w:val="000000"/>
          <w:lang w:val="es-ES" w:eastAsia="es-ES"/>
        </w:rPr>
        <w:t xml:space="preserve">las </w:t>
      </w:r>
      <w:r w:rsidRPr="001D72F5">
        <w:rPr>
          <w:rFonts w:ascii="Arial Narrow" w:hAnsi="Arial Narrow" w:cs="Arial"/>
          <w:color w:val="000000"/>
          <w:lang w:val="es-ES" w:eastAsia="es-ES"/>
        </w:rPr>
        <w:t>demás entidades jurídicas que acceden a las bolsas, los</w:t>
      </w:r>
      <w:r>
        <w:rPr>
          <w:rFonts w:ascii="Arial Narrow" w:hAnsi="Arial Narrow" w:cs="Arial"/>
          <w:color w:val="000000"/>
          <w:lang w:val="es-ES" w:eastAsia="es-ES"/>
        </w:rPr>
        <w:t xml:space="preserve"> </w:t>
      </w:r>
      <w:r w:rsidRPr="001D72F5">
        <w:rPr>
          <w:rFonts w:ascii="Arial Narrow" w:hAnsi="Arial Narrow" w:cs="Arial"/>
          <w:color w:val="000000"/>
          <w:lang w:val="es-ES" w:eastAsia="es-ES"/>
        </w:rPr>
        <w:t>sistemas de negociación, el mercado mostrador o cualquier Mecanismo de Contratación, a través de uno</w:t>
      </w:r>
      <w:r>
        <w:rPr>
          <w:rFonts w:ascii="Arial Narrow" w:hAnsi="Arial Narrow" w:cs="Arial"/>
          <w:color w:val="000000"/>
          <w:lang w:val="es-ES" w:eastAsia="es-ES"/>
        </w:rPr>
        <w:t xml:space="preserve"> </w:t>
      </w:r>
      <w:r w:rsidRPr="001D72F5">
        <w:rPr>
          <w:rFonts w:ascii="Arial Narrow" w:hAnsi="Arial Narrow" w:cs="Arial"/>
          <w:color w:val="000000"/>
          <w:lang w:val="es-ES" w:eastAsia="es-ES"/>
        </w:rPr>
        <w:t>o varios Miembros</w:t>
      </w:r>
      <w:r>
        <w:rPr>
          <w:rFonts w:ascii="Arial Narrow" w:hAnsi="Arial Narrow" w:cs="Arial"/>
          <w:color w:val="000000"/>
          <w:lang w:val="es-ES" w:eastAsia="es-ES"/>
        </w:rPr>
        <w:t xml:space="preserve"> de </w:t>
      </w:r>
      <w:r>
        <w:rPr>
          <w:rFonts w:ascii="Arial Narrow" w:hAnsi="Arial Narrow" w:cs="Arial"/>
          <w:b/>
          <w:bCs/>
          <w:color w:val="000000"/>
          <w:lang w:val="es-ES" w:eastAsia="es-ES"/>
        </w:rPr>
        <w:t>LA CRCC</w:t>
      </w:r>
      <w:r>
        <w:rPr>
          <w:rFonts w:ascii="Arial Narrow" w:hAnsi="Arial Narrow" w:cs="Arial"/>
          <w:color w:val="000000"/>
          <w:lang w:val="es-ES" w:eastAsia="es-ES"/>
        </w:rPr>
        <w:t xml:space="preserve"> para celebrar Operaciones Susceptibles de ser Aceptadas por </w:t>
      </w:r>
      <w:r>
        <w:rPr>
          <w:rFonts w:ascii="Arial Narrow" w:hAnsi="Arial Narrow" w:cs="Arial"/>
          <w:b/>
          <w:bCs/>
          <w:color w:val="000000"/>
          <w:lang w:val="es-ES" w:eastAsia="es-ES"/>
        </w:rPr>
        <w:t>LA CRCC</w:t>
      </w:r>
      <w:r>
        <w:rPr>
          <w:rFonts w:ascii="Arial Narrow" w:hAnsi="Arial Narrow" w:cs="Arial"/>
          <w:bCs/>
          <w:color w:val="000000"/>
          <w:lang w:val="es-ES" w:eastAsia="es-ES"/>
        </w:rPr>
        <w:t xml:space="preserve">. </w:t>
      </w:r>
      <w:r w:rsidRPr="00EF27E0">
        <w:rPr>
          <w:rFonts w:ascii="Arial Narrow" w:hAnsi="Arial Narrow" w:cs="Arial"/>
          <w:bCs/>
          <w:color w:val="000000"/>
          <w:lang w:val="es-ES" w:eastAsia="es-ES"/>
        </w:rPr>
        <w:t xml:space="preserve">De acuerdo con lo anterior, en mi calidad de Miembro de </w:t>
      </w:r>
      <w:r w:rsidRPr="00EF27E0">
        <w:rPr>
          <w:rFonts w:ascii="Arial Narrow" w:hAnsi="Arial Narrow" w:cs="Arial"/>
          <w:b/>
          <w:color w:val="000000"/>
          <w:lang w:val="es-ES" w:eastAsia="es-ES"/>
        </w:rPr>
        <w:t>LA CRCC</w:t>
      </w:r>
      <w:r w:rsidRPr="00EF27E0">
        <w:rPr>
          <w:rFonts w:ascii="Arial Narrow" w:hAnsi="Arial Narrow" w:cs="Arial"/>
          <w:bCs/>
          <w:color w:val="000000"/>
          <w:lang w:val="es-ES" w:eastAsia="es-ES"/>
        </w:rPr>
        <w:t xml:space="preserve"> participo por su cuenta ante </w:t>
      </w:r>
      <w:r w:rsidRPr="00EF27E0">
        <w:rPr>
          <w:rFonts w:ascii="Arial Narrow" w:hAnsi="Arial Narrow" w:cs="Arial"/>
          <w:b/>
          <w:color w:val="000000"/>
          <w:lang w:val="es-ES" w:eastAsia="es-ES"/>
        </w:rPr>
        <w:t>LA CRCC</w:t>
      </w:r>
      <w:r w:rsidRPr="00EF27E0">
        <w:rPr>
          <w:rFonts w:ascii="Arial Narrow" w:hAnsi="Arial Narrow" w:cs="Arial"/>
          <w:bCs/>
          <w:color w:val="000000"/>
          <w:lang w:val="es-ES" w:eastAsia="es-ES"/>
        </w:rPr>
        <w:t xml:space="preserve"> de conformidad con los términos y condiciones establecidos en el Reglamento</w:t>
      </w:r>
      <w:r>
        <w:rPr>
          <w:rFonts w:ascii="Arial Narrow" w:hAnsi="Arial Narrow" w:cs="Arial"/>
          <w:bCs/>
          <w:color w:val="000000"/>
          <w:lang w:val="es-ES" w:eastAsia="es-ES"/>
        </w:rPr>
        <w:t xml:space="preserve"> de Funcionamiento</w:t>
      </w:r>
      <w:r w:rsidRPr="00EF27E0">
        <w:rPr>
          <w:rFonts w:ascii="Arial Narrow" w:hAnsi="Arial Narrow" w:cs="Arial"/>
          <w:bCs/>
          <w:color w:val="000000"/>
          <w:lang w:val="es-ES" w:eastAsia="es-ES"/>
        </w:rPr>
        <w:t xml:space="preserve">. Dicha participación me faculta para compensar, liquidar y garantizar las Operaciones que realice por su cuenta y que sean aceptadas por </w:t>
      </w:r>
      <w:r w:rsidRPr="00BB47A1">
        <w:rPr>
          <w:rFonts w:ascii="Arial Narrow" w:hAnsi="Arial Narrow" w:cs="Arial"/>
          <w:b/>
          <w:color w:val="000000"/>
          <w:lang w:val="es-ES" w:eastAsia="es-ES"/>
        </w:rPr>
        <w:t>LA CRCC</w:t>
      </w:r>
      <w:r w:rsidRPr="00EF27E0">
        <w:rPr>
          <w:rFonts w:ascii="Arial Narrow" w:hAnsi="Arial Narrow" w:cs="Arial"/>
          <w:bCs/>
          <w:color w:val="000000"/>
          <w:lang w:val="es-ES" w:eastAsia="es-ES"/>
        </w:rPr>
        <w:t xml:space="preserve"> en los Segmentos en que participe, así como para realizar todas las demás gestiones autorizadas por dicho Reglamento</w:t>
      </w:r>
      <w:r w:rsidRPr="00BB47A1">
        <w:rPr>
          <w:rFonts w:ascii="Arial Narrow" w:hAnsi="Arial Narrow" w:cs="Arial"/>
          <w:bCs/>
          <w:color w:val="000000"/>
          <w:lang w:val="es-ES" w:eastAsia="es-ES"/>
        </w:rPr>
        <w:t>.</w:t>
      </w:r>
      <w:r>
        <w:rPr>
          <w:rFonts w:ascii="Arial Narrow" w:hAnsi="Arial Narrow" w:cs="Arial"/>
          <w:bCs/>
          <w:color w:val="000000"/>
          <w:lang w:val="es-ES" w:eastAsia="es-ES"/>
        </w:rPr>
        <w:t xml:space="preserve"> </w:t>
      </w:r>
    </w:p>
    <w:p w14:paraId="6F1E3E1B" w14:textId="77777777" w:rsidR="00514CE5" w:rsidRDefault="00514CE5" w:rsidP="00514CE5">
      <w:pPr>
        <w:jc w:val="both"/>
        <w:rPr>
          <w:rFonts w:ascii="Arial Narrow" w:hAnsi="Arial Narrow" w:cs="Arial"/>
          <w:bCs/>
          <w:color w:val="000000"/>
          <w:lang w:val="es-ES" w:eastAsia="es-ES"/>
        </w:rPr>
      </w:pPr>
    </w:p>
    <w:p w14:paraId="7641869E" w14:textId="77777777" w:rsidR="00514CE5" w:rsidRDefault="00514CE5" w:rsidP="00514CE5">
      <w:pPr>
        <w:jc w:val="both"/>
        <w:rPr>
          <w:rFonts w:ascii="Arial Narrow" w:hAnsi="Arial Narrow" w:cs="Arial"/>
          <w:bCs/>
          <w:color w:val="000000"/>
          <w:lang w:val="es-ES" w:eastAsia="es-ES"/>
        </w:rPr>
      </w:pPr>
      <w:r w:rsidRPr="00BB47A1">
        <w:rPr>
          <w:rFonts w:ascii="Arial Narrow" w:hAnsi="Arial Narrow" w:cs="Arial"/>
          <w:bCs/>
          <w:color w:val="000000"/>
          <w:lang w:val="es-ES" w:eastAsia="es-ES"/>
        </w:rPr>
        <w:t>Los términos que se utilizan</w:t>
      </w:r>
      <w:r>
        <w:rPr>
          <w:rFonts w:ascii="Arial Narrow" w:hAnsi="Arial Narrow" w:cs="Arial"/>
          <w:bCs/>
          <w:color w:val="000000"/>
          <w:lang w:val="es-ES" w:eastAsia="es-ES"/>
        </w:rPr>
        <w:t>,</w:t>
      </w:r>
      <w:r w:rsidRPr="00BB47A1">
        <w:rPr>
          <w:rFonts w:ascii="Arial Narrow" w:hAnsi="Arial Narrow" w:cs="Arial"/>
          <w:bCs/>
          <w:color w:val="000000"/>
          <w:lang w:val="es-ES" w:eastAsia="es-ES"/>
        </w:rPr>
        <w:t xml:space="preserve"> cuya primera letra sea una mayúscula y que no se encuentren expresamente definidos </w:t>
      </w:r>
      <w:r>
        <w:rPr>
          <w:rFonts w:ascii="Arial Narrow" w:hAnsi="Arial Narrow" w:cs="Arial"/>
          <w:bCs/>
          <w:color w:val="000000"/>
          <w:lang w:val="es-ES" w:eastAsia="es-ES"/>
        </w:rPr>
        <w:t>en el presente documento</w:t>
      </w:r>
      <w:r w:rsidRPr="00BB47A1">
        <w:rPr>
          <w:rFonts w:ascii="Arial Narrow" w:hAnsi="Arial Narrow" w:cs="Arial"/>
          <w:bCs/>
          <w:color w:val="000000"/>
          <w:lang w:val="es-ES" w:eastAsia="es-ES"/>
        </w:rPr>
        <w:t>, tendrán el significado que se les atribuye en el Reglamento</w:t>
      </w:r>
      <w:r>
        <w:rPr>
          <w:rFonts w:ascii="Arial Narrow" w:hAnsi="Arial Narrow" w:cs="Arial"/>
          <w:bCs/>
          <w:color w:val="000000"/>
          <w:lang w:val="es-ES" w:eastAsia="es-ES"/>
        </w:rPr>
        <w:t xml:space="preserve"> y en la Circular Única de </w:t>
      </w:r>
      <w:r w:rsidRPr="004E238D">
        <w:rPr>
          <w:rFonts w:ascii="Arial Narrow" w:hAnsi="Arial Narrow" w:cs="Arial"/>
          <w:b/>
          <w:color w:val="000000"/>
          <w:lang w:val="es-ES" w:eastAsia="es-ES"/>
        </w:rPr>
        <w:t>LA CRCC</w:t>
      </w:r>
      <w:r w:rsidRPr="00BB47A1">
        <w:rPr>
          <w:rFonts w:ascii="Arial Narrow" w:hAnsi="Arial Narrow" w:cs="Arial"/>
          <w:bCs/>
          <w:color w:val="000000"/>
          <w:lang w:val="es-ES" w:eastAsia="es-ES"/>
        </w:rPr>
        <w:t>.</w:t>
      </w:r>
    </w:p>
    <w:p w14:paraId="4AD6627E" w14:textId="77777777" w:rsidR="00514CE5" w:rsidRDefault="00514CE5" w:rsidP="00514CE5">
      <w:pPr>
        <w:jc w:val="both"/>
        <w:rPr>
          <w:rFonts w:ascii="Arial Narrow" w:hAnsi="Arial Narrow" w:cs="Arial"/>
          <w:bCs/>
          <w:color w:val="000000"/>
          <w:lang w:val="es-ES" w:eastAsia="es-ES"/>
        </w:rPr>
      </w:pPr>
    </w:p>
    <w:p w14:paraId="1D8D68CC" w14:textId="77777777" w:rsidR="00514CE5" w:rsidRDefault="00514CE5" w:rsidP="00514CE5">
      <w:pPr>
        <w:jc w:val="both"/>
        <w:rPr>
          <w:rFonts w:ascii="Arial Narrow" w:hAnsi="Arial Narrow" w:cs="Arial"/>
          <w:bCs/>
          <w:color w:val="000000"/>
          <w:lang w:val="es-ES" w:eastAsia="es-ES"/>
        </w:rPr>
      </w:pPr>
      <w:r>
        <w:rPr>
          <w:rFonts w:ascii="Arial Narrow" w:hAnsi="Arial Narrow" w:cs="Arial"/>
          <w:bCs/>
          <w:color w:val="000000"/>
          <w:lang w:val="es-ES" w:eastAsia="es-ES"/>
        </w:rPr>
        <w:t>En relación con los Terceros, las normas establecen entre otros, lo siguiente:</w:t>
      </w:r>
    </w:p>
    <w:p w14:paraId="54FA1899" w14:textId="77777777" w:rsidR="00514CE5" w:rsidRPr="00514CE5" w:rsidRDefault="00514CE5" w:rsidP="00514CE5">
      <w:pPr>
        <w:jc w:val="both"/>
        <w:rPr>
          <w:rFonts w:ascii="Arial Narrow" w:hAnsi="Arial Narrow" w:cs="Arial"/>
          <w:color w:val="000000"/>
          <w:lang w:val="es-ES" w:eastAsia="es-ES"/>
        </w:rPr>
      </w:pPr>
    </w:p>
    <w:p w14:paraId="198E9228" w14:textId="77777777" w:rsidR="00514CE5" w:rsidRPr="00514CE5" w:rsidRDefault="00514CE5" w:rsidP="00DA7472">
      <w:pPr>
        <w:pStyle w:val="Prrafodelista"/>
        <w:numPr>
          <w:ilvl w:val="0"/>
          <w:numId w:val="373"/>
        </w:numPr>
        <w:tabs>
          <w:tab w:val="left" w:pos="709"/>
        </w:tabs>
        <w:ind w:left="709" w:hanging="709"/>
        <w:contextualSpacing/>
        <w:jc w:val="both"/>
        <w:rPr>
          <w:rFonts w:ascii="Arial Narrow" w:hAnsi="Arial Narrow"/>
          <w:b w:val="0"/>
          <w:color w:val="000000"/>
          <w:lang w:eastAsia="es-ES"/>
        </w:rPr>
      </w:pPr>
      <w:r w:rsidRPr="00514CE5">
        <w:rPr>
          <w:rFonts w:ascii="Arial Narrow" w:hAnsi="Arial Narrow"/>
          <w:b w:val="0"/>
          <w:color w:val="000000"/>
          <w:lang w:val="es-ES" w:eastAsia="es-ES"/>
        </w:rPr>
        <w:t xml:space="preserve">De conformidad con el parágrafo 3 del artículo 2.12.1.1.2 del Decreto 2555 de 2010, el Reglamento, </w:t>
      </w:r>
      <w:r w:rsidRPr="00514CE5">
        <w:rPr>
          <w:rFonts w:ascii="Arial Narrow" w:hAnsi="Arial Narrow"/>
          <w:b w:val="0"/>
          <w:color w:val="000000"/>
          <w:lang w:eastAsia="es-ES"/>
        </w:rPr>
        <w:t xml:space="preserve">la Circular Única (en adelante la Circular) y los Instructivos Operativos de </w:t>
      </w:r>
      <w:r w:rsidRPr="00514CE5">
        <w:rPr>
          <w:rFonts w:ascii="Arial Narrow" w:hAnsi="Arial Narrow"/>
          <w:bCs/>
          <w:color w:val="000000"/>
          <w:lang w:eastAsia="es-ES"/>
        </w:rPr>
        <w:t>LA CRCC</w:t>
      </w:r>
      <w:r w:rsidRPr="00514CE5">
        <w:rPr>
          <w:rFonts w:ascii="Arial Narrow" w:hAnsi="Arial Narrow"/>
          <w:b w:val="0"/>
          <w:color w:val="000000"/>
          <w:lang w:eastAsia="es-ES"/>
        </w:rPr>
        <w:t xml:space="preserve"> son parte integrante de los acuerdos o contratos de vinculación que suscriban los Miembros y en esa medida, se entienden conocidos y aceptados por éstos, por las personas vinculadas a ellos y por los Terceros. </w:t>
      </w:r>
      <w:r w:rsidRPr="00514CE5">
        <w:rPr>
          <w:rFonts w:ascii="Arial Narrow" w:hAnsi="Arial Narrow"/>
          <w:b w:val="0"/>
          <w:color w:val="000000"/>
          <w:u w:val="single"/>
          <w:lang w:eastAsia="es-ES"/>
        </w:rPr>
        <w:t>En consecuencia, en ningún caso servirá como excusa o defensa la ignorancia de dicho Reglamento, de las Circulares y de los Instructivos Operativos, para abstenerse de cumplir sus disposiciones o para justificar su incumplimiento</w:t>
      </w:r>
      <w:r w:rsidRPr="00514CE5">
        <w:rPr>
          <w:rFonts w:ascii="Arial Narrow" w:hAnsi="Arial Narrow"/>
          <w:b w:val="0"/>
          <w:color w:val="000000"/>
          <w:lang w:eastAsia="es-ES"/>
        </w:rPr>
        <w:t xml:space="preserve">. </w:t>
      </w:r>
    </w:p>
    <w:p w14:paraId="0D89C394" w14:textId="77777777" w:rsidR="00514CE5" w:rsidRPr="00514CE5" w:rsidRDefault="00514CE5" w:rsidP="00514CE5">
      <w:pPr>
        <w:pStyle w:val="Prrafodelista"/>
        <w:tabs>
          <w:tab w:val="left" w:pos="709"/>
        </w:tabs>
        <w:ind w:left="709" w:hanging="709"/>
        <w:rPr>
          <w:rFonts w:ascii="Arial Narrow" w:hAnsi="Arial Narrow"/>
          <w:b w:val="0"/>
          <w:color w:val="000000"/>
          <w:lang w:eastAsia="es-ES"/>
        </w:rPr>
      </w:pPr>
    </w:p>
    <w:p w14:paraId="7920BD55" w14:textId="77777777" w:rsidR="00514CE5" w:rsidRPr="00514CE5" w:rsidRDefault="00514CE5" w:rsidP="00DA7472">
      <w:pPr>
        <w:pStyle w:val="Prrafodelista"/>
        <w:numPr>
          <w:ilvl w:val="0"/>
          <w:numId w:val="373"/>
        </w:numPr>
        <w:tabs>
          <w:tab w:val="left" w:pos="709"/>
        </w:tabs>
        <w:ind w:left="709" w:hanging="709"/>
        <w:contextualSpacing/>
        <w:jc w:val="both"/>
        <w:rPr>
          <w:rFonts w:ascii="Arial Narrow" w:hAnsi="Arial Narrow"/>
          <w:b w:val="0"/>
          <w:color w:val="000000"/>
          <w:lang w:eastAsia="es-ES"/>
        </w:rPr>
      </w:pPr>
      <w:r w:rsidRPr="00514CE5">
        <w:rPr>
          <w:rFonts w:ascii="Arial Narrow" w:hAnsi="Arial Narrow"/>
          <w:b w:val="0"/>
          <w:color w:val="000000"/>
          <w:lang w:eastAsia="es-ES"/>
        </w:rPr>
        <w:t xml:space="preserve">A su vez, </w:t>
      </w:r>
      <w:r w:rsidRPr="00514CE5">
        <w:rPr>
          <w:rFonts w:ascii="Arial Narrow" w:hAnsi="Arial Narrow"/>
          <w:b w:val="0"/>
          <w:color w:val="000000"/>
          <w:lang w:val="es-ES" w:eastAsia="es-ES"/>
        </w:rPr>
        <w:t xml:space="preserve">el numeral 20 del artículo 2.1.8. del Reglamento establece que el Reglamento, </w:t>
      </w:r>
      <w:r w:rsidRPr="00514CE5">
        <w:rPr>
          <w:rFonts w:ascii="Arial Narrow" w:hAnsi="Arial Narrow"/>
          <w:b w:val="0"/>
          <w:color w:val="000000"/>
          <w:lang w:eastAsia="es-ES"/>
        </w:rPr>
        <w:t xml:space="preserve">las Circulares y los Instructivos Operativos de </w:t>
      </w:r>
      <w:r w:rsidRPr="00514CE5">
        <w:rPr>
          <w:rFonts w:ascii="Arial Narrow" w:hAnsi="Arial Narrow"/>
          <w:bCs/>
          <w:color w:val="000000"/>
          <w:lang w:eastAsia="es-ES"/>
        </w:rPr>
        <w:t>LA CRCC</w:t>
      </w:r>
      <w:r w:rsidRPr="00514CE5">
        <w:rPr>
          <w:rFonts w:ascii="Arial Narrow" w:hAnsi="Arial Narrow"/>
          <w:b w:val="0"/>
          <w:color w:val="000000"/>
          <w:lang w:eastAsia="es-ES"/>
        </w:rPr>
        <w:t xml:space="preserve"> son aplicables a los Terceros y hacen parte del vínculo jurídico del Miembro y el Tercero</w:t>
      </w:r>
      <w:r w:rsidRPr="00514CE5">
        <w:rPr>
          <w:rFonts w:ascii="Arial Narrow" w:hAnsi="Arial Narrow"/>
          <w:b w:val="0"/>
          <w:color w:val="000000"/>
          <w:lang w:val="es-ES" w:eastAsia="es-ES"/>
        </w:rPr>
        <w:t xml:space="preserve">. </w:t>
      </w:r>
    </w:p>
    <w:p w14:paraId="780C6B66" w14:textId="77777777" w:rsidR="00514CE5" w:rsidRPr="00514CE5" w:rsidRDefault="00514CE5" w:rsidP="00514CE5">
      <w:pPr>
        <w:tabs>
          <w:tab w:val="left" w:pos="709"/>
        </w:tabs>
        <w:ind w:left="709" w:hanging="709"/>
        <w:rPr>
          <w:rFonts w:ascii="Arial Narrow" w:hAnsi="Arial Narrow" w:cs="Arial"/>
          <w:color w:val="000000"/>
          <w:lang w:eastAsia="es-ES"/>
        </w:rPr>
      </w:pPr>
    </w:p>
    <w:p w14:paraId="0F811C46" w14:textId="77777777" w:rsidR="00514CE5" w:rsidRPr="00514CE5" w:rsidRDefault="00514CE5" w:rsidP="00DA7472">
      <w:pPr>
        <w:pStyle w:val="Prrafodelista"/>
        <w:numPr>
          <w:ilvl w:val="0"/>
          <w:numId w:val="373"/>
        </w:numPr>
        <w:tabs>
          <w:tab w:val="left" w:pos="709"/>
        </w:tabs>
        <w:ind w:left="709" w:hanging="709"/>
        <w:contextualSpacing/>
        <w:jc w:val="both"/>
        <w:rPr>
          <w:rFonts w:ascii="Arial Narrow" w:hAnsi="Arial Narrow"/>
          <w:b w:val="0"/>
          <w:color w:val="000000"/>
          <w:lang w:eastAsia="es-ES"/>
        </w:rPr>
      </w:pPr>
      <w:r w:rsidRPr="00514CE5">
        <w:rPr>
          <w:rFonts w:ascii="Arial Narrow" w:hAnsi="Arial Narrow"/>
          <w:b w:val="0"/>
          <w:color w:val="000000"/>
          <w:lang w:val="es-ES" w:eastAsia="es-ES"/>
        </w:rPr>
        <w:t xml:space="preserve">Por su parte, el artículo 2.1.23. del Reglamento establece que los Terceros tienen la obligación de cumplir con el contenido del Reglamento. </w:t>
      </w:r>
    </w:p>
    <w:p w14:paraId="6726526A" w14:textId="77777777" w:rsidR="00514CE5" w:rsidRPr="00514CE5" w:rsidRDefault="00514CE5" w:rsidP="00514CE5">
      <w:pPr>
        <w:tabs>
          <w:tab w:val="left" w:pos="709"/>
        </w:tabs>
        <w:ind w:left="709" w:hanging="709"/>
        <w:rPr>
          <w:rFonts w:ascii="Arial Narrow" w:hAnsi="Arial Narrow" w:cs="Arial"/>
          <w:color w:val="000000"/>
          <w:lang w:eastAsia="es-ES"/>
        </w:rPr>
      </w:pPr>
    </w:p>
    <w:p w14:paraId="4434940F" w14:textId="77777777" w:rsidR="00514CE5" w:rsidRPr="00514CE5" w:rsidRDefault="00514CE5" w:rsidP="00DA7472">
      <w:pPr>
        <w:pStyle w:val="Prrafodelista"/>
        <w:numPr>
          <w:ilvl w:val="0"/>
          <w:numId w:val="373"/>
        </w:numPr>
        <w:tabs>
          <w:tab w:val="left" w:pos="709"/>
        </w:tabs>
        <w:ind w:left="709" w:hanging="709"/>
        <w:contextualSpacing/>
        <w:jc w:val="both"/>
        <w:rPr>
          <w:rFonts w:ascii="Arial Narrow" w:hAnsi="Arial Narrow"/>
          <w:b w:val="0"/>
          <w:color w:val="000000"/>
          <w:lang w:eastAsia="es-ES"/>
        </w:rPr>
      </w:pPr>
      <w:r w:rsidRPr="00514CE5">
        <w:rPr>
          <w:rFonts w:ascii="Arial Narrow" w:hAnsi="Arial Narrow"/>
          <w:b w:val="0"/>
          <w:color w:val="000000"/>
          <w:lang w:val="es-ES" w:eastAsia="es-ES"/>
        </w:rPr>
        <w:t xml:space="preserve">El artículo 2.1.33. del Reglamento establece que los Miembros deben poner a disposición de los Terceros una información mínima a través un medio verificable. </w:t>
      </w:r>
    </w:p>
    <w:p w14:paraId="3020DE57" w14:textId="77777777" w:rsidR="00514CE5" w:rsidRPr="00514CE5" w:rsidRDefault="00514CE5" w:rsidP="00514CE5">
      <w:pPr>
        <w:ind w:left="1134"/>
        <w:rPr>
          <w:rFonts w:ascii="Arial Narrow" w:hAnsi="Arial Narrow" w:cs="Arial"/>
          <w:color w:val="000000"/>
          <w:lang w:eastAsia="es-ES"/>
        </w:rPr>
      </w:pPr>
    </w:p>
    <w:p w14:paraId="77FE6FBE" w14:textId="77777777" w:rsidR="00514CE5" w:rsidRDefault="00514CE5" w:rsidP="00514CE5">
      <w:pPr>
        <w:jc w:val="both"/>
        <w:rPr>
          <w:rFonts w:ascii="Arial Narrow" w:hAnsi="Arial Narrow" w:cs="Arial"/>
          <w:color w:val="000000"/>
          <w:lang w:val="es-ES" w:eastAsia="es-ES"/>
        </w:rPr>
      </w:pPr>
      <w:r>
        <w:rPr>
          <w:rFonts w:ascii="Arial Narrow" w:hAnsi="Arial Narrow" w:cs="Arial"/>
          <w:color w:val="000000"/>
          <w:lang w:val="es-ES" w:eastAsia="es-ES"/>
        </w:rPr>
        <w:t>[</w:t>
      </w:r>
      <w:r w:rsidRPr="00761968">
        <w:rPr>
          <w:rFonts w:ascii="Arial Narrow" w:hAnsi="Arial Narrow" w:cs="Arial"/>
          <w:i/>
          <w:iCs/>
          <w:color w:val="000000"/>
          <w:highlight w:val="yellow"/>
          <w:lang w:val="es-ES" w:eastAsia="es-ES"/>
        </w:rPr>
        <w:t>Razón social del Miembro</w:t>
      </w:r>
      <w:r>
        <w:rPr>
          <w:rFonts w:ascii="Arial Narrow" w:hAnsi="Arial Narrow" w:cs="Arial"/>
          <w:color w:val="000000"/>
          <w:lang w:val="es-ES" w:eastAsia="es-ES"/>
        </w:rPr>
        <w:t xml:space="preserve">], en adelante </w:t>
      </w:r>
      <w:r>
        <w:rPr>
          <w:rFonts w:ascii="Arial Narrow" w:hAnsi="Arial Narrow" w:cs="Arial"/>
          <w:b/>
          <w:bCs/>
          <w:color w:val="000000"/>
          <w:lang w:val="es-ES" w:eastAsia="es-ES"/>
        </w:rPr>
        <w:t>EL MIEMBRO</w:t>
      </w:r>
      <w:r>
        <w:rPr>
          <w:rFonts w:ascii="Arial Narrow" w:hAnsi="Arial Narrow" w:cs="Arial"/>
          <w:color w:val="000000"/>
          <w:lang w:val="es-ES" w:eastAsia="es-ES"/>
        </w:rPr>
        <w:t>, es [</w:t>
      </w:r>
      <w:r w:rsidRPr="00761968">
        <w:rPr>
          <w:rFonts w:ascii="Arial Narrow" w:hAnsi="Arial Narrow" w:cs="Arial"/>
          <w:i/>
          <w:iCs/>
          <w:color w:val="000000"/>
          <w:highlight w:val="yellow"/>
          <w:lang w:val="es-ES" w:eastAsia="es-ES"/>
        </w:rPr>
        <w:t>Miembro Liquidador General / Miembro Liquidador Individual / Miembro no Liquidador</w:t>
      </w:r>
      <w:r>
        <w:rPr>
          <w:rFonts w:ascii="Arial Narrow" w:hAnsi="Arial Narrow" w:cs="Arial"/>
          <w:i/>
          <w:iCs/>
          <w:color w:val="000000"/>
          <w:lang w:val="es-ES" w:eastAsia="es-ES"/>
        </w:rPr>
        <w:t>]</w:t>
      </w:r>
      <w:r>
        <w:rPr>
          <w:rFonts w:ascii="Arial Narrow" w:hAnsi="Arial Narrow" w:cs="Arial"/>
          <w:color w:val="000000"/>
          <w:lang w:val="es-ES" w:eastAsia="es-ES"/>
        </w:rPr>
        <w:t xml:space="preserve"> de </w:t>
      </w:r>
      <w:r>
        <w:rPr>
          <w:rFonts w:ascii="Arial Narrow" w:hAnsi="Arial Narrow" w:cs="Arial"/>
          <w:b/>
          <w:bCs/>
          <w:color w:val="000000"/>
          <w:lang w:val="es-ES" w:eastAsia="es-ES"/>
        </w:rPr>
        <w:t>LA CRCC</w:t>
      </w:r>
      <w:r>
        <w:rPr>
          <w:rFonts w:ascii="Arial Narrow" w:hAnsi="Arial Narrow" w:cs="Arial"/>
          <w:color w:val="000000"/>
          <w:lang w:val="es-ES" w:eastAsia="es-ES"/>
        </w:rPr>
        <w:t xml:space="preserve">. En cumplimiento de lo establecido en el artículo 2.1.33. del Reglamento, </w:t>
      </w:r>
      <w:r>
        <w:rPr>
          <w:rFonts w:ascii="Arial Narrow" w:hAnsi="Arial Narrow" w:cs="Arial"/>
          <w:b/>
          <w:bCs/>
          <w:color w:val="000000"/>
          <w:lang w:val="es-ES" w:eastAsia="es-ES"/>
        </w:rPr>
        <w:t>EL MIEMBRO</w:t>
      </w:r>
      <w:r>
        <w:rPr>
          <w:rFonts w:ascii="Arial Narrow" w:hAnsi="Arial Narrow" w:cs="Arial"/>
          <w:color w:val="000000"/>
          <w:lang w:val="es-ES" w:eastAsia="es-ES"/>
        </w:rPr>
        <w:t xml:space="preserve"> informa a los Terceros lo siguiente:</w:t>
      </w:r>
    </w:p>
    <w:p w14:paraId="7711B871" w14:textId="77777777" w:rsidR="00514CE5" w:rsidRDefault="00514CE5" w:rsidP="00514CE5">
      <w:pPr>
        <w:rPr>
          <w:rFonts w:ascii="Arial Narrow" w:hAnsi="Arial Narrow" w:cs="Arial"/>
          <w:color w:val="000000"/>
          <w:lang w:eastAsia="es-ES"/>
        </w:rPr>
      </w:pPr>
    </w:p>
    <w:p w14:paraId="7DDDC0F5" w14:textId="77777777" w:rsidR="00514CE5" w:rsidRPr="00514CE5" w:rsidRDefault="00514CE5" w:rsidP="00DA7472">
      <w:pPr>
        <w:pStyle w:val="Prrafodelista"/>
        <w:numPr>
          <w:ilvl w:val="0"/>
          <w:numId w:val="372"/>
        </w:numPr>
        <w:ind w:left="284" w:hanging="294"/>
        <w:contextualSpacing/>
        <w:jc w:val="both"/>
        <w:rPr>
          <w:rFonts w:ascii="Arial Narrow" w:hAnsi="Arial Narrow"/>
          <w:b w:val="0"/>
          <w:bCs/>
          <w:color w:val="000000"/>
          <w:lang w:eastAsia="es-ES"/>
        </w:rPr>
      </w:pPr>
      <w:r w:rsidRPr="00514CE5">
        <w:rPr>
          <w:rFonts w:ascii="Arial Narrow" w:hAnsi="Arial Narrow"/>
          <w:b w:val="0"/>
          <w:bCs/>
          <w:color w:val="000000"/>
          <w:lang w:eastAsia="es-ES"/>
        </w:rPr>
        <w:t xml:space="preserve">El Tercero está obligado a constituir y mantener las Garantías con las particularidades que se establezcan en Circular para cada Segmento y los fondos que exija </w:t>
      </w:r>
      <w:r w:rsidRPr="00514CE5">
        <w:rPr>
          <w:rFonts w:ascii="Arial Narrow" w:hAnsi="Arial Narrow"/>
          <w:color w:val="000000"/>
          <w:lang w:eastAsia="es-ES"/>
        </w:rPr>
        <w:t>LA CRCC</w:t>
      </w:r>
      <w:r w:rsidRPr="00514CE5">
        <w:rPr>
          <w:rFonts w:ascii="Arial Narrow" w:hAnsi="Arial Narrow"/>
          <w:b w:val="0"/>
          <w:bCs/>
          <w:color w:val="000000"/>
          <w:lang w:eastAsia="es-ES"/>
        </w:rPr>
        <w:t xml:space="preserve"> con el fin de amparar en todo momento el cumplimiento de las obligaciones derivadas de las Operaciones registradas en sus Cuentas. </w:t>
      </w:r>
    </w:p>
    <w:p w14:paraId="3F406539" w14:textId="77777777" w:rsidR="00514CE5" w:rsidRPr="00514CE5" w:rsidRDefault="00514CE5" w:rsidP="00514CE5">
      <w:pPr>
        <w:pStyle w:val="Prrafodelista"/>
        <w:ind w:left="284" w:hanging="294"/>
        <w:rPr>
          <w:rFonts w:ascii="Arial Narrow" w:hAnsi="Arial Narrow"/>
          <w:b w:val="0"/>
          <w:bCs/>
          <w:color w:val="000000"/>
          <w:lang w:eastAsia="es-ES"/>
        </w:rPr>
      </w:pPr>
    </w:p>
    <w:p w14:paraId="24781D0A" w14:textId="77777777" w:rsidR="00514CE5" w:rsidRPr="00514CE5" w:rsidRDefault="00514CE5" w:rsidP="00DA7472">
      <w:pPr>
        <w:pStyle w:val="Prrafodelista"/>
        <w:numPr>
          <w:ilvl w:val="0"/>
          <w:numId w:val="372"/>
        </w:numPr>
        <w:ind w:left="284" w:hanging="294"/>
        <w:contextualSpacing/>
        <w:jc w:val="both"/>
        <w:rPr>
          <w:rFonts w:ascii="Arial Narrow" w:hAnsi="Arial Narrow"/>
          <w:b w:val="0"/>
          <w:bCs/>
          <w:color w:val="000000"/>
          <w:lang w:eastAsia="es-ES"/>
        </w:rPr>
      </w:pPr>
      <w:r w:rsidRPr="00514CE5">
        <w:rPr>
          <w:rFonts w:ascii="Arial Narrow" w:hAnsi="Arial Narrow"/>
          <w:b w:val="0"/>
          <w:bCs/>
          <w:color w:val="000000"/>
          <w:lang w:eastAsia="es-ES"/>
        </w:rPr>
        <w:lastRenderedPageBreak/>
        <w:t xml:space="preserve">En caso </w:t>
      </w:r>
      <w:r w:rsidRPr="00514CE5">
        <w:rPr>
          <w:rFonts w:ascii="Arial Narrow" w:hAnsi="Arial Narrow"/>
          <w:b w:val="0"/>
          <w:bCs/>
          <w:lang w:eastAsia="es-ES"/>
        </w:rPr>
        <w:t xml:space="preserve">de que el Tercero no constituyera o ajustase las Garantías precisas en la cuantía y tiempo establecidos con las particularidades que se establezcan por Circular para cada Segmento respecto de las operaciones celebradas por el Tercero, </w:t>
      </w:r>
      <w:r w:rsidRPr="00514CE5">
        <w:rPr>
          <w:rFonts w:ascii="Arial Narrow" w:hAnsi="Arial Narrow"/>
          <w:lang w:eastAsia="es-ES"/>
        </w:rPr>
        <w:t>LA CRCC</w:t>
      </w:r>
      <w:r w:rsidRPr="00514CE5">
        <w:rPr>
          <w:rFonts w:ascii="Arial Narrow" w:hAnsi="Arial Narrow"/>
          <w:b w:val="0"/>
          <w:bCs/>
          <w:lang w:eastAsia="es-ES"/>
        </w:rPr>
        <w:t xml:space="preserve"> o </w:t>
      </w:r>
      <w:r w:rsidRPr="00514CE5">
        <w:rPr>
          <w:rFonts w:ascii="Arial Narrow" w:hAnsi="Arial Narrow"/>
          <w:lang w:eastAsia="es-ES"/>
        </w:rPr>
        <w:t>EL MIEMBRO</w:t>
      </w:r>
      <w:r w:rsidRPr="00514CE5">
        <w:rPr>
          <w:rFonts w:ascii="Arial Narrow" w:hAnsi="Arial Narrow"/>
          <w:b w:val="0"/>
          <w:bCs/>
          <w:lang w:eastAsia="es-ES"/>
        </w:rPr>
        <w:t xml:space="preserve"> titular de Cuentas de Tercero Identificado, Cuentas de Terceros Ómnibus Segregada por Cámara o Cuentas de Terceros Ómnibus Segregada por Miembro podrá liquidar por cuenta del Tercero todas sus Posiciones en todos los Segmentos en que participe, ejecutando las Garantías previamente constituidas si fuese necesario y entregando al Tercero el resultado de dicha Liquidación si fuese a su favor o reclamándosela si fuese a favor de </w:t>
      </w:r>
      <w:r w:rsidRPr="00514CE5">
        <w:rPr>
          <w:rFonts w:ascii="Arial Narrow" w:hAnsi="Arial Narrow"/>
          <w:lang w:eastAsia="es-ES"/>
        </w:rPr>
        <w:t>LA CRCC</w:t>
      </w:r>
      <w:r w:rsidRPr="00514CE5">
        <w:rPr>
          <w:rFonts w:ascii="Arial Narrow" w:hAnsi="Arial Narrow"/>
          <w:b w:val="0"/>
          <w:bCs/>
          <w:lang w:eastAsia="es-ES"/>
        </w:rPr>
        <w:t xml:space="preserve"> o </w:t>
      </w:r>
      <w:r w:rsidRPr="00514CE5">
        <w:rPr>
          <w:rFonts w:ascii="Arial Narrow" w:hAnsi="Arial Narrow"/>
          <w:lang w:eastAsia="es-ES"/>
        </w:rPr>
        <w:t>EL MIEMBRO</w:t>
      </w:r>
      <w:r w:rsidRPr="00514CE5">
        <w:rPr>
          <w:rFonts w:ascii="Arial Narrow" w:hAnsi="Arial Narrow"/>
          <w:b w:val="0"/>
          <w:bCs/>
          <w:lang w:eastAsia="es-ES"/>
        </w:rPr>
        <w:t xml:space="preserve">, según el caso, así como tomar cualesquiera otras medidas que se prevean en el Reglamento. </w:t>
      </w:r>
    </w:p>
    <w:p w14:paraId="2EFEE09A" w14:textId="77777777" w:rsidR="00514CE5" w:rsidRPr="00514CE5" w:rsidRDefault="00514CE5" w:rsidP="00514CE5">
      <w:pPr>
        <w:pStyle w:val="Prrafodelista"/>
        <w:ind w:left="284" w:hanging="294"/>
        <w:rPr>
          <w:rFonts w:ascii="Arial Narrow" w:hAnsi="Arial Narrow"/>
          <w:b w:val="0"/>
          <w:bCs/>
          <w:lang w:eastAsia="es-ES"/>
        </w:rPr>
      </w:pPr>
    </w:p>
    <w:p w14:paraId="02FB30DE" w14:textId="77777777" w:rsidR="00514CE5" w:rsidRPr="00514CE5" w:rsidRDefault="00514CE5" w:rsidP="00DA7472">
      <w:pPr>
        <w:pStyle w:val="Prrafodelista"/>
        <w:numPr>
          <w:ilvl w:val="0"/>
          <w:numId w:val="372"/>
        </w:numPr>
        <w:ind w:left="284" w:hanging="294"/>
        <w:contextualSpacing/>
        <w:jc w:val="both"/>
        <w:rPr>
          <w:rFonts w:ascii="Arial Narrow" w:hAnsi="Arial Narrow"/>
          <w:b w:val="0"/>
          <w:bCs/>
          <w:color w:val="000000"/>
          <w:lang w:eastAsia="es-ES"/>
        </w:rPr>
      </w:pPr>
      <w:r w:rsidRPr="00514CE5">
        <w:rPr>
          <w:rFonts w:ascii="Arial Narrow" w:hAnsi="Arial Narrow"/>
          <w:b w:val="0"/>
          <w:bCs/>
          <w:lang w:eastAsia="es-ES"/>
        </w:rPr>
        <w:t xml:space="preserve">En caso de Incumplimiento por parte de un Tercero, este estará sujeto al procedimiento de Incumplimiento y/o de ejecución de Garantías contemplados en el Reglamento, la Circular e Instructivos Operativos de </w:t>
      </w:r>
      <w:r w:rsidRPr="00514CE5">
        <w:rPr>
          <w:rFonts w:ascii="Arial Narrow" w:hAnsi="Arial Narrow"/>
          <w:lang w:eastAsia="es-ES"/>
        </w:rPr>
        <w:t>LA CRCC</w:t>
      </w:r>
      <w:r w:rsidRPr="00514CE5">
        <w:rPr>
          <w:rFonts w:ascii="Arial Narrow" w:hAnsi="Arial Narrow"/>
          <w:b w:val="0"/>
          <w:bCs/>
          <w:lang w:eastAsia="es-ES"/>
        </w:rPr>
        <w:t xml:space="preserve">, si así lo solicita el Miembro Liquidador correspondiente. Así mismo, en caso que el Tercero incumpla con alguna de sus obligaciones de constitución o ajuste de Garantías con las particularidades que se establezcan por Circular para cada Segmento, o de cualquier pago o Liquidación a </w:t>
      </w:r>
      <w:r w:rsidRPr="009C1821">
        <w:rPr>
          <w:rFonts w:ascii="Arial Narrow" w:hAnsi="Arial Narrow"/>
          <w:lang w:eastAsia="es-ES"/>
        </w:rPr>
        <w:t>LA CRCC</w:t>
      </w:r>
      <w:r w:rsidRPr="00514CE5">
        <w:rPr>
          <w:rFonts w:ascii="Arial Narrow" w:hAnsi="Arial Narrow"/>
          <w:b w:val="0"/>
          <w:bCs/>
          <w:lang w:eastAsia="es-ES"/>
        </w:rPr>
        <w:t xml:space="preserve"> o al </w:t>
      </w:r>
      <w:r w:rsidRPr="009C1821">
        <w:rPr>
          <w:rFonts w:ascii="Arial Narrow" w:hAnsi="Arial Narrow"/>
          <w:lang w:eastAsia="es-ES"/>
        </w:rPr>
        <w:t>MIEMBRO</w:t>
      </w:r>
      <w:r w:rsidRPr="00514CE5">
        <w:rPr>
          <w:rFonts w:ascii="Arial Narrow" w:hAnsi="Arial Narrow"/>
          <w:b w:val="0"/>
          <w:bCs/>
          <w:lang w:eastAsia="es-ES"/>
        </w:rPr>
        <w:t xml:space="preserve">, </w:t>
      </w:r>
      <w:r w:rsidRPr="009C1821">
        <w:rPr>
          <w:rFonts w:ascii="Arial Narrow" w:hAnsi="Arial Narrow"/>
          <w:lang w:eastAsia="es-ES"/>
        </w:rPr>
        <w:t>LA CRCC</w:t>
      </w:r>
      <w:r w:rsidRPr="00514CE5">
        <w:rPr>
          <w:rFonts w:ascii="Arial Narrow" w:hAnsi="Arial Narrow"/>
          <w:b w:val="0"/>
          <w:bCs/>
          <w:lang w:eastAsia="es-ES"/>
        </w:rPr>
        <w:t xml:space="preserve"> y </w:t>
      </w:r>
      <w:r w:rsidRPr="009C1821">
        <w:rPr>
          <w:rFonts w:ascii="Arial Narrow" w:hAnsi="Arial Narrow"/>
          <w:lang w:eastAsia="es-ES"/>
        </w:rPr>
        <w:t>EL MIEMBRO</w:t>
      </w:r>
      <w:r w:rsidRPr="00514CE5">
        <w:rPr>
          <w:rFonts w:ascii="Arial Narrow" w:hAnsi="Arial Narrow"/>
          <w:b w:val="0"/>
          <w:bCs/>
          <w:lang w:eastAsia="es-ES"/>
        </w:rPr>
        <w:t xml:space="preserve"> están facultados para cerrar, por su cuenta, todas las Posiciones Abiertas de Operaciones Aceptadas registradas respecto de todos los Segmentos en que participe el Tercero o para celebrar nuevas operaciones hasta el cierre definitivo de la Posición Abierta en todos los Segmentos en que participe. </w:t>
      </w:r>
    </w:p>
    <w:p w14:paraId="798E5B9C" w14:textId="77777777" w:rsidR="00514CE5" w:rsidRPr="00514CE5" w:rsidRDefault="00514CE5" w:rsidP="00514CE5">
      <w:pPr>
        <w:pStyle w:val="Prrafodelista"/>
        <w:ind w:left="284" w:hanging="294"/>
        <w:rPr>
          <w:rFonts w:ascii="Arial Narrow" w:hAnsi="Arial Narrow"/>
          <w:b w:val="0"/>
          <w:bCs/>
          <w:lang w:eastAsia="es-ES"/>
        </w:rPr>
      </w:pPr>
    </w:p>
    <w:p w14:paraId="655D5AE5" w14:textId="77777777" w:rsidR="00514CE5" w:rsidRPr="00514CE5" w:rsidRDefault="00514CE5" w:rsidP="00DA7472">
      <w:pPr>
        <w:pStyle w:val="Prrafodelista"/>
        <w:numPr>
          <w:ilvl w:val="0"/>
          <w:numId w:val="372"/>
        </w:numPr>
        <w:ind w:left="284" w:hanging="294"/>
        <w:contextualSpacing/>
        <w:jc w:val="both"/>
        <w:rPr>
          <w:rFonts w:ascii="Arial Narrow" w:hAnsi="Arial Narrow"/>
          <w:b w:val="0"/>
          <w:bCs/>
          <w:color w:val="000000"/>
          <w:lang w:eastAsia="es-ES"/>
        </w:rPr>
      </w:pPr>
      <w:r w:rsidRPr="00514CE5">
        <w:rPr>
          <w:rFonts w:ascii="Arial Narrow" w:hAnsi="Arial Narrow"/>
          <w:b w:val="0"/>
          <w:bCs/>
          <w:lang w:eastAsia="es-ES"/>
        </w:rPr>
        <w:t xml:space="preserve">El Tercero está obligado a (i) pagar al </w:t>
      </w:r>
      <w:r w:rsidRPr="009C1821">
        <w:rPr>
          <w:rFonts w:ascii="Arial Narrow" w:hAnsi="Arial Narrow"/>
          <w:lang w:eastAsia="es-ES"/>
        </w:rPr>
        <w:t>MIEMBRO</w:t>
      </w:r>
      <w:r w:rsidRPr="00514CE5">
        <w:rPr>
          <w:rFonts w:ascii="Arial Narrow" w:hAnsi="Arial Narrow"/>
          <w:b w:val="0"/>
          <w:bCs/>
          <w:lang w:eastAsia="es-ES"/>
        </w:rPr>
        <w:t xml:space="preserve"> las tarifas establecidas por </w:t>
      </w:r>
      <w:r w:rsidRPr="009C1821">
        <w:rPr>
          <w:rFonts w:ascii="Arial Narrow" w:hAnsi="Arial Narrow"/>
          <w:lang w:eastAsia="es-ES"/>
        </w:rPr>
        <w:t>LA CRCC</w:t>
      </w:r>
      <w:r w:rsidRPr="00514CE5">
        <w:rPr>
          <w:rFonts w:ascii="Arial Narrow" w:hAnsi="Arial Narrow"/>
          <w:b w:val="0"/>
          <w:bCs/>
          <w:lang w:eastAsia="es-ES"/>
        </w:rPr>
        <w:t xml:space="preserve"> y (ii) pagar al </w:t>
      </w:r>
      <w:r w:rsidRPr="009C1821">
        <w:rPr>
          <w:rFonts w:ascii="Arial Narrow" w:hAnsi="Arial Narrow"/>
          <w:lang w:eastAsia="es-ES"/>
        </w:rPr>
        <w:t>MIEMBRO</w:t>
      </w:r>
      <w:r w:rsidRPr="00514CE5">
        <w:rPr>
          <w:rFonts w:ascii="Arial Narrow" w:hAnsi="Arial Narrow"/>
          <w:b w:val="0"/>
          <w:bCs/>
          <w:lang w:eastAsia="es-ES"/>
        </w:rPr>
        <w:t xml:space="preserve"> las tarifas y comisiones acordadas entre ellos por la prestación de los servicios. </w:t>
      </w:r>
    </w:p>
    <w:p w14:paraId="4974F143" w14:textId="77777777" w:rsidR="00514CE5" w:rsidRPr="00514CE5" w:rsidRDefault="00514CE5" w:rsidP="00514CE5">
      <w:pPr>
        <w:pStyle w:val="Prrafodelista"/>
        <w:ind w:left="284" w:hanging="294"/>
        <w:rPr>
          <w:rFonts w:ascii="Arial Narrow" w:hAnsi="Arial Narrow"/>
          <w:b w:val="0"/>
          <w:bCs/>
          <w:lang w:eastAsia="es-ES"/>
        </w:rPr>
      </w:pPr>
    </w:p>
    <w:p w14:paraId="26586AA9" w14:textId="77777777" w:rsidR="00514CE5" w:rsidRPr="00514CE5" w:rsidRDefault="00514CE5" w:rsidP="00DA7472">
      <w:pPr>
        <w:pStyle w:val="Prrafodelista"/>
        <w:numPr>
          <w:ilvl w:val="0"/>
          <w:numId w:val="372"/>
        </w:numPr>
        <w:ind w:left="284" w:hanging="294"/>
        <w:contextualSpacing/>
        <w:jc w:val="both"/>
        <w:rPr>
          <w:rFonts w:ascii="Arial Narrow" w:hAnsi="Arial Narrow"/>
          <w:b w:val="0"/>
          <w:bCs/>
          <w:color w:val="000000"/>
          <w:lang w:eastAsia="es-ES"/>
        </w:rPr>
      </w:pPr>
      <w:r w:rsidRPr="009C1821">
        <w:rPr>
          <w:rFonts w:ascii="Arial Narrow" w:hAnsi="Arial Narrow"/>
          <w:lang w:eastAsia="es-ES"/>
        </w:rPr>
        <w:t>EL MIEMBRO</w:t>
      </w:r>
      <w:r w:rsidRPr="00514CE5">
        <w:rPr>
          <w:rFonts w:ascii="Arial Narrow" w:hAnsi="Arial Narrow"/>
          <w:b w:val="0"/>
          <w:bCs/>
          <w:lang w:eastAsia="es-ES"/>
        </w:rPr>
        <w:t xml:space="preserve"> está autorizado para realizar los pagos y cobros que resulten de operaciones registradas en sus Cuentas por operaciones de sus Terceros.</w:t>
      </w:r>
    </w:p>
    <w:p w14:paraId="2900AEA3" w14:textId="77777777" w:rsidR="00514CE5" w:rsidRPr="00514CE5" w:rsidRDefault="00514CE5" w:rsidP="00514CE5">
      <w:pPr>
        <w:pStyle w:val="Prrafodelista"/>
        <w:ind w:left="284" w:hanging="294"/>
        <w:rPr>
          <w:rFonts w:ascii="Arial Narrow" w:hAnsi="Arial Narrow"/>
          <w:b w:val="0"/>
          <w:bCs/>
          <w:lang w:eastAsia="es-ES"/>
        </w:rPr>
      </w:pPr>
    </w:p>
    <w:p w14:paraId="1A386382" w14:textId="77777777" w:rsidR="00514CE5" w:rsidRPr="00514CE5" w:rsidRDefault="00514CE5" w:rsidP="00DA7472">
      <w:pPr>
        <w:pStyle w:val="Prrafodelista"/>
        <w:numPr>
          <w:ilvl w:val="0"/>
          <w:numId w:val="372"/>
        </w:numPr>
        <w:ind w:left="284" w:hanging="294"/>
        <w:contextualSpacing/>
        <w:jc w:val="both"/>
        <w:rPr>
          <w:rFonts w:ascii="Arial Narrow" w:hAnsi="Arial Narrow"/>
          <w:b w:val="0"/>
          <w:bCs/>
          <w:color w:val="000000"/>
          <w:lang w:eastAsia="es-ES"/>
        </w:rPr>
      </w:pPr>
      <w:r w:rsidRPr="00514CE5">
        <w:rPr>
          <w:rFonts w:ascii="Arial Narrow" w:hAnsi="Arial Narrow"/>
          <w:b w:val="0"/>
          <w:bCs/>
          <w:lang w:eastAsia="es-ES"/>
        </w:rPr>
        <w:t xml:space="preserve">El nombre e identificación del Tercero podrán ser consultados y reportados a entidades que administren bases de datos personales y comunicados a las Autoridades Competentes por </w:t>
      </w:r>
      <w:r w:rsidRPr="009C1821">
        <w:rPr>
          <w:rFonts w:ascii="Arial Narrow" w:hAnsi="Arial Narrow"/>
          <w:lang w:eastAsia="es-ES"/>
        </w:rPr>
        <w:t>EL MIEMBRO</w:t>
      </w:r>
      <w:r w:rsidRPr="00514CE5">
        <w:rPr>
          <w:rFonts w:ascii="Arial Narrow" w:hAnsi="Arial Narrow"/>
          <w:b w:val="0"/>
          <w:bCs/>
          <w:lang w:eastAsia="es-ES"/>
        </w:rPr>
        <w:t xml:space="preserve">, o por </w:t>
      </w:r>
      <w:r w:rsidRPr="009C1821">
        <w:rPr>
          <w:rFonts w:ascii="Arial Narrow" w:hAnsi="Arial Narrow"/>
          <w:lang w:eastAsia="es-ES"/>
        </w:rPr>
        <w:t>LA CRCC</w:t>
      </w:r>
      <w:r w:rsidRPr="00514CE5">
        <w:rPr>
          <w:rFonts w:ascii="Arial Narrow" w:hAnsi="Arial Narrow"/>
          <w:b w:val="0"/>
          <w:bCs/>
          <w:lang w:eastAsia="es-ES"/>
        </w:rPr>
        <w:t xml:space="preserve">, si fuese necesario. </w:t>
      </w:r>
    </w:p>
    <w:p w14:paraId="004E1FDD" w14:textId="77777777" w:rsidR="00514CE5" w:rsidRPr="00514CE5" w:rsidRDefault="00514CE5" w:rsidP="00514CE5">
      <w:pPr>
        <w:pStyle w:val="Prrafodelista"/>
        <w:ind w:left="284" w:hanging="294"/>
        <w:rPr>
          <w:rFonts w:ascii="Arial Narrow" w:hAnsi="Arial Narrow"/>
          <w:b w:val="0"/>
          <w:bCs/>
          <w:color w:val="000000"/>
          <w:lang w:eastAsia="es-ES"/>
        </w:rPr>
      </w:pPr>
    </w:p>
    <w:p w14:paraId="50290626" w14:textId="77777777" w:rsidR="00514CE5" w:rsidRPr="00514CE5" w:rsidRDefault="00514CE5" w:rsidP="00DA7472">
      <w:pPr>
        <w:pStyle w:val="Prrafodelista"/>
        <w:numPr>
          <w:ilvl w:val="0"/>
          <w:numId w:val="372"/>
        </w:numPr>
        <w:ind w:left="284" w:hanging="294"/>
        <w:contextualSpacing/>
        <w:jc w:val="both"/>
        <w:rPr>
          <w:rFonts w:ascii="Arial Narrow" w:hAnsi="Arial Narrow"/>
          <w:b w:val="0"/>
          <w:bCs/>
          <w:color w:val="000000"/>
          <w:lang w:eastAsia="es-ES"/>
        </w:rPr>
      </w:pPr>
      <w:r w:rsidRPr="009C1821">
        <w:rPr>
          <w:rFonts w:ascii="Arial Narrow" w:hAnsi="Arial Narrow"/>
          <w:color w:val="000000"/>
          <w:lang w:eastAsia="es-ES"/>
        </w:rPr>
        <w:t>EL MIEMBRO</w:t>
      </w:r>
      <w:r w:rsidRPr="00514CE5">
        <w:rPr>
          <w:rFonts w:ascii="Arial Narrow" w:hAnsi="Arial Narrow"/>
          <w:b w:val="0"/>
          <w:bCs/>
          <w:color w:val="000000"/>
          <w:lang w:eastAsia="es-ES"/>
        </w:rPr>
        <w:t xml:space="preserve"> y </w:t>
      </w:r>
      <w:r w:rsidRPr="009C1821">
        <w:rPr>
          <w:rFonts w:ascii="Arial Narrow" w:hAnsi="Arial Narrow"/>
          <w:color w:val="000000"/>
          <w:lang w:eastAsia="es-ES"/>
        </w:rPr>
        <w:t>LA CRCC</w:t>
      </w:r>
      <w:r w:rsidRPr="00514CE5">
        <w:rPr>
          <w:rFonts w:ascii="Arial Narrow" w:hAnsi="Arial Narrow"/>
          <w:b w:val="0"/>
          <w:bCs/>
          <w:color w:val="000000"/>
          <w:lang w:eastAsia="es-ES"/>
        </w:rPr>
        <w:t xml:space="preserve"> están exonerados de indemnizar cualquier daño o perjuicio que pudiera sufrir el Tercero por causa de fuerza mayor o por suspensión o interrupción del Sistema. </w:t>
      </w:r>
    </w:p>
    <w:p w14:paraId="50DDC7BB" w14:textId="77777777" w:rsidR="00514CE5" w:rsidRPr="00514CE5" w:rsidRDefault="00514CE5" w:rsidP="00514CE5">
      <w:pPr>
        <w:pStyle w:val="Prrafodelista"/>
        <w:ind w:left="284" w:hanging="294"/>
        <w:rPr>
          <w:rFonts w:ascii="Arial Narrow" w:hAnsi="Arial Narrow"/>
          <w:b w:val="0"/>
          <w:bCs/>
          <w:color w:val="000000"/>
          <w:lang w:eastAsia="es-ES"/>
        </w:rPr>
      </w:pPr>
    </w:p>
    <w:p w14:paraId="674436AF" w14:textId="77777777" w:rsidR="00514CE5" w:rsidRPr="00514CE5" w:rsidRDefault="00514CE5" w:rsidP="00DA7472">
      <w:pPr>
        <w:pStyle w:val="Prrafodelista"/>
        <w:numPr>
          <w:ilvl w:val="0"/>
          <w:numId w:val="372"/>
        </w:numPr>
        <w:ind w:left="284" w:hanging="294"/>
        <w:contextualSpacing/>
        <w:jc w:val="both"/>
        <w:rPr>
          <w:rFonts w:ascii="Arial Narrow" w:hAnsi="Arial Narrow"/>
          <w:b w:val="0"/>
          <w:bCs/>
          <w:color w:val="000000"/>
          <w:lang w:eastAsia="es-ES"/>
        </w:rPr>
      </w:pPr>
      <w:r w:rsidRPr="009C1821">
        <w:rPr>
          <w:rFonts w:ascii="Arial Narrow" w:hAnsi="Arial Narrow"/>
          <w:color w:val="000000"/>
          <w:lang w:eastAsia="es-ES"/>
        </w:rPr>
        <w:t>EL MIEMBRO</w:t>
      </w:r>
      <w:r w:rsidRPr="00514CE5">
        <w:rPr>
          <w:rFonts w:ascii="Arial Narrow" w:hAnsi="Arial Narrow"/>
          <w:b w:val="0"/>
          <w:bCs/>
          <w:color w:val="000000"/>
          <w:lang w:eastAsia="es-ES"/>
        </w:rPr>
        <w:t xml:space="preserve"> podrá terminar unilateralmente la relación jurídica en el evento que el Tercero se encuentre vinculado de alguna manera a listas de pública circulación internacionales o locales relacionadas con delitos tipificados en Colombia como lavado de activos y/o financiación del terrorismo, así en Colombia no se hubiere iniciado investigación sobre el particular. </w:t>
      </w:r>
    </w:p>
    <w:p w14:paraId="3EF2CB0A" w14:textId="77777777" w:rsidR="00514CE5" w:rsidRPr="00514CE5" w:rsidRDefault="00514CE5" w:rsidP="00514CE5">
      <w:pPr>
        <w:pStyle w:val="Prrafodelista"/>
        <w:ind w:left="284" w:hanging="294"/>
        <w:rPr>
          <w:rFonts w:ascii="Arial Narrow" w:hAnsi="Arial Narrow"/>
          <w:b w:val="0"/>
          <w:bCs/>
          <w:color w:val="000000"/>
          <w:lang w:eastAsia="es-ES"/>
        </w:rPr>
      </w:pPr>
    </w:p>
    <w:p w14:paraId="036414F4" w14:textId="77777777" w:rsidR="00514CE5" w:rsidRPr="00514CE5" w:rsidRDefault="00514CE5" w:rsidP="00DA7472">
      <w:pPr>
        <w:pStyle w:val="Prrafodelista"/>
        <w:numPr>
          <w:ilvl w:val="0"/>
          <w:numId w:val="372"/>
        </w:numPr>
        <w:ind w:left="284" w:hanging="294"/>
        <w:contextualSpacing/>
        <w:jc w:val="both"/>
        <w:rPr>
          <w:rFonts w:ascii="Arial Narrow" w:hAnsi="Arial Narrow"/>
          <w:b w:val="0"/>
          <w:bCs/>
          <w:color w:val="000000"/>
          <w:lang w:eastAsia="es-ES"/>
        </w:rPr>
      </w:pPr>
      <w:r w:rsidRPr="009C1821">
        <w:rPr>
          <w:rFonts w:ascii="Arial Narrow" w:hAnsi="Arial Narrow"/>
          <w:color w:val="000000"/>
          <w:lang w:eastAsia="es-ES"/>
        </w:rPr>
        <w:t>EL MIEMBRO</w:t>
      </w:r>
      <w:r w:rsidRPr="00514CE5">
        <w:rPr>
          <w:rFonts w:ascii="Arial Narrow" w:hAnsi="Arial Narrow"/>
          <w:b w:val="0"/>
          <w:bCs/>
          <w:color w:val="000000"/>
          <w:lang w:eastAsia="es-ES"/>
        </w:rPr>
        <w:t xml:space="preserve"> que participa por cuenta del Tercero en la Compensación y Liquidación de Operaciones está autorizado para que manifieste a </w:t>
      </w:r>
      <w:r w:rsidRPr="009C1821">
        <w:rPr>
          <w:rFonts w:ascii="Arial Narrow" w:hAnsi="Arial Narrow"/>
          <w:color w:val="000000"/>
          <w:lang w:eastAsia="es-ES"/>
        </w:rPr>
        <w:t>LA CRCC</w:t>
      </w:r>
      <w:r w:rsidRPr="00514CE5">
        <w:rPr>
          <w:rFonts w:ascii="Arial Narrow" w:hAnsi="Arial Narrow"/>
          <w:b w:val="0"/>
          <w:bCs/>
          <w:color w:val="000000"/>
          <w:lang w:eastAsia="es-ES"/>
        </w:rPr>
        <w:t xml:space="preserve"> su intención de novar, la cual se entenderá otorgada en el momento en que </w:t>
      </w:r>
      <w:r w:rsidRPr="009C1821">
        <w:rPr>
          <w:rFonts w:ascii="Arial Narrow" w:hAnsi="Arial Narrow"/>
          <w:color w:val="000000"/>
          <w:lang w:eastAsia="es-ES"/>
        </w:rPr>
        <w:t>EL MIEMBRO</w:t>
      </w:r>
      <w:r w:rsidRPr="00514CE5">
        <w:rPr>
          <w:rFonts w:ascii="Arial Narrow" w:hAnsi="Arial Narrow"/>
          <w:b w:val="0"/>
          <w:bCs/>
          <w:color w:val="000000"/>
          <w:lang w:eastAsia="es-ES"/>
        </w:rPr>
        <w:t xml:space="preserve"> remita la operación celebrada para su compensación y liquidación a través de los mecanismos autorizados por </w:t>
      </w:r>
      <w:r w:rsidRPr="009C1821">
        <w:rPr>
          <w:rFonts w:ascii="Arial Narrow" w:hAnsi="Arial Narrow"/>
          <w:color w:val="000000"/>
          <w:lang w:eastAsia="es-ES"/>
        </w:rPr>
        <w:t>LA CRCC</w:t>
      </w:r>
      <w:r w:rsidRPr="00514CE5">
        <w:rPr>
          <w:rFonts w:ascii="Arial Narrow" w:hAnsi="Arial Narrow"/>
          <w:b w:val="0"/>
          <w:bCs/>
          <w:color w:val="000000"/>
          <w:lang w:eastAsia="es-ES"/>
        </w:rPr>
        <w:t xml:space="preserve"> para el efecto. </w:t>
      </w:r>
    </w:p>
    <w:p w14:paraId="318491B5" w14:textId="77777777" w:rsidR="00514CE5" w:rsidRPr="00514CE5" w:rsidRDefault="00514CE5" w:rsidP="00514CE5">
      <w:pPr>
        <w:pStyle w:val="Prrafodelista"/>
        <w:ind w:left="284" w:hanging="294"/>
        <w:rPr>
          <w:rFonts w:ascii="Arial Narrow" w:hAnsi="Arial Narrow"/>
          <w:b w:val="0"/>
          <w:bCs/>
          <w:color w:val="000000"/>
          <w:lang w:eastAsia="es-ES"/>
        </w:rPr>
      </w:pPr>
    </w:p>
    <w:p w14:paraId="45D6A804" w14:textId="77777777" w:rsidR="00514CE5" w:rsidRPr="00514CE5" w:rsidRDefault="00514CE5" w:rsidP="00DA7472">
      <w:pPr>
        <w:pStyle w:val="Prrafodelista"/>
        <w:numPr>
          <w:ilvl w:val="0"/>
          <w:numId w:val="372"/>
        </w:numPr>
        <w:ind w:left="284" w:hanging="294"/>
        <w:contextualSpacing/>
        <w:jc w:val="both"/>
        <w:rPr>
          <w:rFonts w:ascii="Arial Narrow" w:hAnsi="Arial Narrow"/>
          <w:b w:val="0"/>
          <w:bCs/>
          <w:color w:val="000000"/>
          <w:lang w:eastAsia="es-ES"/>
        </w:rPr>
      </w:pPr>
      <w:r w:rsidRPr="00514CE5">
        <w:rPr>
          <w:rFonts w:ascii="Arial Narrow" w:hAnsi="Arial Narrow"/>
          <w:b w:val="0"/>
          <w:bCs/>
          <w:color w:val="000000"/>
          <w:lang w:eastAsia="es-ES"/>
        </w:rPr>
        <w:lastRenderedPageBreak/>
        <w:t xml:space="preserve">Los siguientes tipos de Cuenta Definitiva de Terceros están disponibles en </w:t>
      </w:r>
      <w:r w:rsidRPr="009C1821">
        <w:rPr>
          <w:rFonts w:ascii="Arial Narrow" w:hAnsi="Arial Narrow"/>
          <w:color w:val="000000"/>
          <w:lang w:eastAsia="es-ES"/>
        </w:rPr>
        <w:t>LA CRCC</w:t>
      </w:r>
      <w:r w:rsidRPr="00514CE5">
        <w:rPr>
          <w:rFonts w:ascii="Arial Narrow" w:hAnsi="Arial Narrow"/>
          <w:b w:val="0"/>
          <w:bCs/>
          <w:color w:val="000000"/>
          <w:lang w:eastAsia="es-ES"/>
        </w:rPr>
        <w:t>:</w:t>
      </w:r>
    </w:p>
    <w:p w14:paraId="56F8846F" w14:textId="77777777" w:rsidR="00514CE5" w:rsidRPr="008D17F5" w:rsidRDefault="00514CE5" w:rsidP="00514CE5">
      <w:pPr>
        <w:pStyle w:val="Prrafodelista"/>
        <w:ind w:left="284"/>
        <w:rPr>
          <w:rFonts w:ascii="Arial Narrow" w:hAnsi="Arial Narrow"/>
          <w:color w:val="000000"/>
          <w:lang w:eastAsia="es-ES"/>
        </w:rPr>
      </w:pPr>
    </w:p>
    <w:tbl>
      <w:tblPr>
        <w:tblStyle w:val="Tablaconcuadrcula"/>
        <w:tblW w:w="0" w:type="auto"/>
        <w:tblInd w:w="720" w:type="dxa"/>
        <w:tblLook w:val="04A0" w:firstRow="1" w:lastRow="0" w:firstColumn="1" w:lastColumn="0" w:noHBand="0" w:noVBand="1"/>
      </w:tblPr>
      <w:tblGrid>
        <w:gridCol w:w="4055"/>
        <w:gridCol w:w="4053"/>
      </w:tblGrid>
      <w:tr w:rsidR="00514CE5" w:rsidRPr="009C1821" w14:paraId="5E8974CD" w14:textId="77777777" w:rsidTr="009C1821">
        <w:tc>
          <w:tcPr>
            <w:tcW w:w="4055" w:type="dxa"/>
          </w:tcPr>
          <w:p w14:paraId="16FD6E25" w14:textId="77777777" w:rsidR="00514CE5" w:rsidRPr="009C1821" w:rsidRDefault="00514CE5" w:rsidP="009C1821">
            <w:pPr>
              <w:pStyle w:val="Prrafodelista"/>
              <w:ind w:left="0"/>
              <w:jc w:val="center"/>
              <w:rPr>
                <w:rFonts w:ascii="Arial Narrow" w:hAnsi="Arial Narrow"/>
                <w:bCs/>
                <w:color w:val="000000"/>
                <w:lang w:eastAsia="es-ES"/>
              </w:rPr>
            </w:pPr>
            <w:r w:rsidRPr="009C1821">
              <w:rPr>
                <w:rFonts w:ascii="Arial Narrow" w:hAnsi="Arial Narrow"/>
                <w:bCs/>
                <w:color w:val="000000"/>
                <w:lang w:eastAsia="es-ES"/>
              </w:rPr>
              <w:t>Segmento</w:t>
            </w:r>
          </w:p>
        </w:tc>
        <w:tc>
          <w:tcPr>
            <w:tcW w:w="4053" w:type="dxa"/>
          </w:tcPr>
          <w:p w14:paraId="1377306D" w14:textId="77777777" w:rsidR="00514CE5" w:rsidRPr="009C1821" w:rsidRDefault="00514CE5" w:rsidP="009C1821">
            <w:pPr>
              <w:pStyle w:val="Prrafodelista"/>
              <w:ind w:left="0"/>
              <w:jc w:val="center"/>
              <w:rPr>
                <w:rFonts w:ascii="Arial Narrow" w:hAnsi="Arial Narrow"/>
                <w:bCs/>
                <w:color w:val="000000"/>
                <w:lang w:eastAsia="es-ES"/>
              </w:rPr>
            </w:pPr>
            <w:r w:rsidRPr="009C1821">
              <w:rPr>
                <w:rFonts w:ascii="Arial Narrow" w:hAnsi="Arial Narrow"/>
                <w:bCs/>
                <w:color w:val="000000"/>
                <w:lang w:eastAsia="es-ES"/>
              </w:rPr>
              <w:t>Cuenta Definitiva de Tercero</w:t>
            </w:r>
          </w:p>
        </w:tc>
      </w:tr>
      <w:tr w:rsidR="00514CE5" w:rsidRPr="009C1821" w14:paraId="081E956B" w14:textId="77777777" w:rsidTr="009C1821">
        <w:tc>
          <w:tcPr>
            <w:tcW w:w="4055" w:type="dxa"/>
          </w:tcPr>
          <w:p w14:paraId="5A52C6F2" w14:textId="77777777" w:rsidR="00514CE5" w:rsidRPr="009C1821" w:rsidRDefault="00514CE5" w:rsidP="009C1821">
            <w:pPr>
              <w:pStyle w:val="Prrafodelista"/>
              <w:ind w:left="0"/>
              <w:rPr>
                <w:rFonts w:ascii="Arial Narrow" w:hAnsi="Arial Narrow"/>
                <w:b w:val="0"/>
                <w:color w:val="000000"/>
                <w:lang w:eastAsia="es-ES"/>
              </w:rPr>
            </w:pPr>
            <w:r w:rsidRPr="009C1821">
              <w:rPr>
                <w:rFonts w:ascii="Arial Narrow" w:hAnsi="Arial Narrow"/>
                <w:b w:val="0"/>
                <w:color w:val="000000"/>
                <w:lang w:eastAsia="es-ES"/>
              </w:rPr>
              <w:t>Derivados Financieros</w:t>
            </w:r>
          </w:p>
        </w:tc>
        <w:tc>
          <w:tcPr>
            <w:tcW w:w="4053" w:type="dxa"/>
          </w:tcPr>
          <w:p w14:paraId="34A71006" w14:textId="77777777" w:rsidR="00514CE5" w:rsidRPr="009C1821" w:rsidRDefault="00514CE5" w:rsidP="009C1821">
            <w:pPr>
              <w:pStyle w:val="Prrafodelista"/>
              <w:ind w:left="0"/>
              <w:rPr>
                <w:rFonts w:ascii="Arial Narrow" w:hAnsi="Arial Narrow"/>
                <w:b w:val="0"/>
                <w:color w:val="000000"/>
                <w:lang w:eastAsia="es-ES"/>
              </w:rPr>
            </w:pPr>
            <w:r w:rsidRPr="009C1821">
              <w:rPr>
                <w:rFonts w:ascii="Arial Narrow" w:hAnsi="Arial Narrow"/>
                <w:b w:val="0"/>
                <w:color w:val="000000"/>
                <w:lang w:eastAsia="es-ES"/>
              </w:rPr>
              <w:t>Cuentas de Tercero Identificado</w:t>
            </w:r>
          </w:p>
        </w:tc>
      </w:tr>
      <w:tr w:rsidR="00514CE5" w:rsidRPr="009C1821" w14:paraId="3CDF824C" w14:textId="77777777" w:rsidTr="009C1821">
        <w:tc>
          <w:tcPr>
            <w:tcW w:w="4055" w:type="dxa"/>
          </w:tcPr>
          <w:p w14:paraId="1856D82E" w14:textId="77777777" w:rsidR="00514CE5" w:rsidRPr="009C1821" w:rsidRDefault="00514CE5" w:rsidP="009C1821">
            <w:pPr>
              <w:pStyle w:val="Prrafodelista"/>
              <w:ind w:left="0"/>
              <w:rPr>
                <w:rFonts w:ascii="Arial Narrow" w:hAnsi="Arial Narrow"/>
                <w:b w:val="0"/>
                <w:color w:val="000000"/>
                <w:lang w:eastAsia="es-ES"/>
              </w:rPr>
            </w:pPr>
            <w:r w:rsidRPr="009C1821">
              <w:rPr>
                <w:rFonts w:ascii="Arial Narrow" w:hAnsi="Arial Narrow"/>
                <w:b w:val="0"/>
                <w:color w:val="000000"/>
                <w:lang w:eastAsia="es-ES"/>
              </w:rPr>
              <w:t>Renta Variable</w:t>
            </w:r>
          </w:p>
        </w:tc>
        <w:tc>
          <w:tcPr>
            <w:tcW w:w="4053" w:type="dxa"/>
          </w:tcPr>
          <w:p w14:paraId="56B019ED" w14:textId="77777777" w:rsidR="00514CE5" w:rsidRPr="009C1821" w:rsidRDefault="00514CE5" w:rsidP="009C1821">
            <w:pPr>
              <w:pStyle w:val="Prrafodelista"/>
              <w:ind w:left="0"/>
              <w:rPr>
                <w:rFonts w:ascii="Arial Narrow" w:hAnsi="Arial Narrow"/>
                <w:b w:val="0"/>
                <w:color w:val="000000"/>
                <w:lang w:eastAsia="es-ES"/>
              </w:rPr>
            </w:pPr>
            <w:r w:rsidRPr="009C1821">
              <w:rPr>
                <w:rFonts w:ascii="Arial Narrow" w:hAnsi="Arial Narrow"/>
                <w:b w:val="0"/>
                <w:color w:val="000000"/>
                <w:lang w:eastAsia="es-ES"/>
              </w:rPr>
              <w:t>Cuentas de Tercero Identificado</w:t>
            </w:r>
          </w:p>
        </w:tc>
      </w:tr>
    </w:tbl>
    <w:p w14:paraId="65967858" w14:textId="77777777" w:rsidR="00514CE5" w:rsidRDefault="00514CE5" w:rsidP="00514CE5">
      <w:pPr>
        <w:rPr>
          <w:rFonts w:ascii="Arial Narrow" w:hAnsi="Arial Narrow" w:cs="Arial"/>
          <w:i/>
          <w:iCs/>
          <w:color w:val="000000"/>
          <w:lang w:eastAsia="es-ES"/>
        </w:rPr>
      </w:pPr>
    </w:p>
    <w:p w14:paraId="5893C6E5" w14:textId="77777777" w:rsidR="00514CE5" w:rsidRPr="009C1821" w:rsidRDefault="00514CE5" w:rsidP="00DA7472">
      <w:pPr>
        <w:pStyle w:val="Prrafodelista"/>
        <w:numPr>
          <w:ilvl w:val="0"/>
          <w:numId w:val="372"/>
        </w:numPr>
        <w:ind w:left="426" w:hanging="436"/>
        <w:contextualSpacing/>
        <w:jc w:val="both"/>
        <w:rPr>
          <w:rFonts w:ascii="Arial Narrow" w:hAnsi="Arial Narrow"/>
          <w:b w:val="0"/>
          <w:bCs/>
          <w:color w:val="000000"/>
          <w:lang w:eastAsia="es-ES"/>
        </w:rPr>
      </w:pPr>
      <w:r w:rsidRPr="009C1821">
        <w:rPr>
          <w:rFonts w:ascii="Arial Narrow" w:hAnsi="Arial Narrow"/>
          <w:b w:val="0"/>
          <w:bCs/>
          <w:color w:val="000000"/>
          <w:lang w:eastAsia="es-ES"/>
        </w:rPr>
        <w:t xml:space="preserve">De acuerdo con los artículos 2.1.22. y 2.1.23. del Reglamento, los Terceros Identificados tendrán los siguientes derechos y obligaciones respecto de las Cuentas Definitivas de Terceros en </w:t>
      </w:r>
      <w:r w:rsidRPr="009C1821">
        <w:rPr>
          <w:rFonts w:ascii="Arial Narrow" w:hAnsi="Arial Narrow"/>
          <w:color w:val="000000"/>
          <w:lang w:eastAsia="es-ES"/>
        </w:rPr>
        <w:t>LA CRCC</w:t>
      </w:r>
      <w:r w:rsidRPr="009C1821">
        <w:rPr>
          <w:rFonts w:ascii="Arial Narrow" w:hAnsi="Arial Narrow"/>
          <w:b w:val="0"/>
          <w:bCs/>
          <w:color w:val="000000"/>
          <w:lang w:eastAsia="es-ES"/>
        </w:rPr>
        <w:t>:</w:t>
      </w:r>
    </w:p>
    <w:p w14:paraId="384233DB" w14:textId="77777777" w:rsidR="00514CE5" w:rsidRPr="00CA4B53" w:rsidRDefault="00514CE5" w:rsidP="00514CE5">
      <w:pPr>
        <w:pStyle w:val="Prrafodelista"/>
        <w:ind w:left="426"/>
        <w:rPr>
          <w:rFonts w:ascii="Arial Narrow" w:hAnsi="Arial Narrow"/>
          <w:color w:val="000000"/>
          <w:lang w:eastAsia="es-ES"/>
        </w:rPr>
      </w:pPr>
    </w:p>
    <w:tbl>
      <w:tblPr>
        <w:tblStyle w:val="Tablaconcuadrcula"/>
        <w:tblW w:w="0" w:type="auto"/>
        <w:jc w:val="center"/>
        <w:tblLook w:val="04A0" w:firstRow="1" w:lastRow="0" w:firstColumn="1" w:lastColumn="0" w:noHBand="0" w:noVBand="1"/>
      </w:tblPr>
      <w:tblGrid>
        <w:gridCol w:w="4060"/>
        <w:gridCol w:w="4048"/>
      </w:tblGrid>
      <w:tr w:rsidR="00514CE5" w:rsidRPr="004D3326" w14:paraId="31562159" w14:textId="77777777" w:rsidTr="009C1821">
        <w:trPr>
          <w:jc w:val="center"/>
        </w:trPr>
        <w:tc>
          <w:tcPr>
            <w:tcW w:w="4060" w:type="dxa"/>
          </w:tcPr>
          <w:p w14:paraId="5ECC2B47" w14:textId="77777777" w:rsidR="00514CE5" w:rsidRPr="004D3326" w:rsidRDefault="00514CE5" w:rsidP="009C1821">
            <w:pPr>
              <w:pStyle w:val="Prrafodelista"/>
              <w:ind w:left="141"/>
              <w:jc w:val="center"/>
              <w:rPr>
                <w:rFonts w:ascii="Arial Narrow" w:hAnsi="Arial Narrow"/>
                <w:b w:val="0"/>
                <w:bCs/>
                <w:color w:val="000000"/>
                <w:lang w:eastAsia="es-ES"/>
              </w:rPr>
            </w:pPr>
            <w:r w:rsidRPr="004D3326">
              <w:rPr>
                <w:rFonts w:ascii="Arial Narrow" w:hAnsi="Arial Narrow"/>
                <w:bCs/>
                <w:color w:val="000000"/>
                <w:lang w:eastAsia="es-ES"/>
              </w:rPr>
              <w:t>Cuentas de Tercero Identificado</w:t>
            </w:r>
          </w:p>
        </w:tc>
        <w:tc>
          <w:tcPr>
            <w:tcW w:w="4048" w:type="dxa"/>
          </w:tcPr>
          <w:p w14:paraId="59A53103" w14:textId="77777777" w:rsidR="00514CE5" w:rsidRPr="004D3326" w:rsidRDefault="00514CE5" w:rsidP="009C1821">
            <w:pPr>
              <w:pStyle w:val="Prrafodelista"/>
              <w:ind w:left="141"/>
              <w:jc w:val="center"/>
              <w:rPr>
                <w:rFonts w:ascii="Arial Narrow" w:hAnsi="Arial Narrow"/>
                <w:b w:val="0"/>
                <w:bCs/>
                <w:color w:val="000000"/>
                <w:lang w:eastAsia="es-ES"/>
              </w:rPr>
            </w:pPr>
            <w:r w:rsidRPr="004D3326">
              <w:rPr>
                <w:rFonts w:ascii="Arial Narrow" w:hAnsi="Arial Narrow"/>
                <w:bCs/>
                <w:color w:val="000000"/>
                <w:lang w:eastAsia="es-ES"/>
              </w:rPr>
              <w:t>Cuenta</w:t>
            </w:r>
            <w:r>
              <w:rPr>
                <w:rFonts w:ascii="Arial Narrow" w:hAnsi="Arial Narrow"/>
                <w:bCs/>
                <w:color w:val="000000"/>
                <w:lang w:eastAsia="es-ES"/>
              </w:rPr>
              <w:t>s</w:t>
            </w:r>
            <w:r w:rsidRPr="004D3326">
              <w:rPr>
                <w:rFonts w:ascii="Arial Narrow" w:hAnsi="Arial Narrow"/>
                <w:bCs/>
                <w:color w:val="000000"/>
                <w:lang w:eastAsia="es-ES"/>
              </w:rPr>
              <w:t xml:space="preserve"> de Tercero Ómnibus Segregada por Cámara</w:t>
            </w:r>
          </w:p>
        </w:tc>
      </w:tr>
      <w:tr w:rsidR="00514CE5" w:rsidRPr="004D3326" w14:paraId="476091EB" w14:textId="77777777" w:rsidTr="009C1821">
        <w:trPr>
          <w:jc w:val="center"/>
        </w:trPr>
        <w:tc>
          <w:tcPr>
            <w:tcW w:w="8108" w:type="dxa"/>
            <w:gridSpan w:val="2"/>
          </w:tcPr>
          <w:p w14:paraId="504A2454" w14:textId="77777777" w:rsidR="00514CE5" w:rsidRPr="004D3326" w:rsidRDefault="00514CE5" w:rsidP="009C1821">
            <w:pPr>
              <w:pStyle w:val="Prrafodelista"/>
              <w:ind w:left="141"/>
              <w:jc w:val="center"/>
              <w:rPr>
                <w:rFonts w:ascii="Arial Narrow" w:hAnsi="Arial Narrow"/>
                <w:i/>
                <w:iCs/>
                <w:color w:val="000000"/>
                <w:lang w:eastAsia="es-ES"/>
              </w:rPr>
            </w:pPr>
            <w:r w:rsidRPr="004D3326">
              <w:rPr>
                <w:rFonts w:ascii="Arial Narrow" w:hAnsi="Arial Narrow"/>
                <w:i/>
                <w:iCs/>
                <w:color w:val="000000"/>
                <w:lang w:eastAsia="es-ES"/>
              </w:rPr>
              <w:t>Derechos</w:t>
            </w:r>
          </w:p>
        </w:tc>
      </w:tr>
      <w:tr w:rsidR="00514CE5" w:rsidRPr="004D3326" w14:paraId="526C9E14" w14:textId="77777777" w:rsidTr="009C1821">
        <w:trPr>
          <w:jc w:val="center"/>
        </w:trPr>
        <w:tc>
          <w:tcPr>
            <w:tcW w:w="4060" w:type="dxa"/>
          </w:tcPr>
          <w:p w14:paraId="5ECAB152" w14:textId="77777777" w:rsidR="00514CE5" w:rsidRPr="004D3326" w:rsidRDefault="00514CE5" w:rsidP="009C1821">
            <w:pPr>
              <w:jc w:val="both"/>
              <w:rPr>
                <w:rFonts w:ascii="Arial Narrow" w:hAnsi="Arial Narrow" w:cs="Arial"/>
                <w:color w:val="000000"/>
                <w:lang w:eastAsia="es-ES"/>
              </w:rPr>
            </w:pPr>
            <w:r w:rsidRPr="004D3326">
              <w:rPr>
                <w:rFonts w:ascii="Arial Narrow" w:hAnsi="Arial Narrow" w:cs="Arial"/>
                <w:color w:val="000000"/>
                <w:lang w:eastAsia="es-ES"/>
              </w:rPr>
              <w:t xml:space="preserve">Recibir, a través del </w:t>
            </w:r>
            <w:r w:rsidRPr="004D3326">
              <w:rPr>
                <w:rFonts w:ascii="Arial Narrow" w:hAnsi="Arial Narrow" w:cs="Arial"/>
                <w:b/>
                <w:bCs/>
                <w:color w:val="000000"/>
                <w:lang w:eastAsia="es-ES"/>
              </w:rPr>
              <w:t>MIEMBRO</w:t>
            </w:r>
            <w:r w:rsidRPr="004D3326">
              <w:rPr>
                <w:rFonts w:ascii="Arial Narrow" w:hAnsi="Arial Narrow" w:cs="Arial"/>
                <w:color w:val="000000"/>
                <w:lang w:eastAsia="es-ES"/>
              </w:rPr>
              <w:t xml:space="preserve"> correspondiente, información relativa a las operaciones registradas en su Cuenta. </w:t>
            </w:r>
          </w:p>
        </w:tc>
        <w:tc>
          <w:tcPr>
            <w:tcW w:w="4048" w:type="dxa"/>
          </w:tcPr>
          <w:p w14:paraId="21018589" w14:textId="77777777" w:rsidR="00514CE5" w:rsidRPr="00CA4B53" w:rsidRDefault="00514CE5" w:rsidP="009C1821">
            <w:pPr>
              <w:jc w:val="both"/>
              <w:rPr>
                <w:rFonts w:ascii="Arial Narrow" w:hAnsi="Arial Narrow" w:cs="Arial"/>
                <w:color w:val="000000"/>
                <w:lang w:eastAsia="es-ES"/>
              </w:rPr>
            </w:pPr>
            <w:r w:rsidRPr="00CA4B53">
              <w:rPr>
                <w:rFonts w:ascii="Arial Narrow" w:hAnsi="Arial Narrow" w:cs="Arial"/>
                <w:color w:val="000000"/>
                <w:lang w:eastAsia="es-ES"/>
              </w:rPr>
              <w:t xml:space="preserve">Recibir del </w:t>
            </w:r>
            <w:r w:rsidRPr="00CA4B53">
              <w:rPr>
                <w:rFonts w:ascii="Arial Narrow" w:hAnsi="Arial Narrow" w:cs="Arial"/>
                <w:b/>
                <w:bCs/>
                <w:color w:val="000000"/>
                <w:lang w:eastAsia="es-ES"/>
              </w:rPr>
              <w:t>MIEMBRO</w:t>
            </w:r>
            <w:r w:rsidRPr="00CA4B53">
              <w:rPr>
                <w:rFonts w:ascii="Arial Narrow" w:hAnsi="Arial Narrow" w:cs="Arial"/>
                <w:color w:val="000000"/>
                <w:lang w:eastAsia="es-ES"/>
              </w:rPr>
              <w:t xml:space="preserve"> correspondiente información relativa a las operaciones realizadas por su cuenta.</w:t>
            </w:r>
          </w:p>
        </w:tc>
      </w:tr>
      <w:tr w:rsidR="00514CE5" w:rsidRPr="004D3326" w14:paraId="5CBCC116" w14:textId="77777777" w:rsidTr="009C1821">
        <w:trPr>
          <w:jc w:val="center"/>
        </w:trPr>
        <w:tc>
          <w:tcPr>
            <w:tcW w:w="4060" w:type="dxa"/>
          </w:tcPr>
          <w:p w14:paraId="2BF93FC8" w14:textId="77777777" w:rsidR="00514CE5" w:rsidRPr="00CA4B53" w:rsidRDefault="00514CE5" w:rsidP="009C1821">
            <w:pPr>
              <w:jc w:val="both"/>
              <w:rPr>
                <w:rFonts w:ascii="Arial Narrow" w:hAnsi="Arial Narrow" w:cs="Arial"/>
                <w:color w:val="000000"/>
                <w:lang w:eastAsia="es-ES"/>
              </w:rPr>
            </w:pPr>
            <w:r w:rsidRPr="00CA4B53">
              <w:rPr>
                <w:rFonts w:ascii="Arial Narrow" w:hAnsi="Arial Narrow" w:cs="Arial"/>
                <w:color w:val="000000"/>
                <w:lang w:eastAsia="es-ES"/>
              </w:rPr>
              <w:t xml:space="preserve">Exigir del </w:t>
            </w:r>
            <w:r w:rsidRPr="00CA4B53">
              <w:rPr>
                <w:rFonts w:ascii="Arial Narrow" w:hAnsi="Arial Narrow" w:cs="Arial"/>
                <w:b/>
                <w:bCs/>
                <w:color w:val="000000"/>
                <w:lang w:eastAsia="es-ES"/>
              </w:rPr>
              <w:t>MIEMBRO</w:t>
            </w:r>
            <w:r w:rsidRPr="00CA4B53">
              <w:rPr>
                <w:rFonts w:ascii="Arial Narrow" w:hAnsi="Arial Narrow" w:cs="Arial"/>
                <w:color w:val="000000"/>
                <w:lang w:eastAsia="es-ES"/>
              </w:rPr>
              <w:t xml:space="preserve"> a través del cual se realizan operaciones por su cuenta, el estricto cumplimiento de las disposiciones del Reglamento y demás normas aplicables.</w:t>
            </w:r>
          </w:p>
        </w:tc>
        <w:tc>
          <w:tcPr>
            <w:tcW w:w="4048" w:type="dxa"/>
          </w:tcPr>
          <w:p w14:paraId="14109F52" w14:textId="77777777" w:rsidR="00514CE5" w:rsidRPr="00CA4B53" w:rsidRDefault="00514CE5" w:rsidP="009C1821">
            <w:pPr>
              <w:jc w:val="both"/>
              <w:rPr>
                <w:rFonts w:ascii="Arial Narrow" w:hAnsi="Arial Narrow" w:cs="Arial"/>
                <w:color w:val="000000"/>
                <w:lang w:eastAsia="es-ES"/>
              </w:rPr>
            </w:pPr>
            <w:r w:rsidRPr="00CA4B53">
              <w:rPr>
                <w:rFonts w:ascii="Arial Narrow" w:hAnsi="Arial Narrow" w:cs="Arial"/>
                <w:color w:val="000000"/>
                <w:lang w:eastAsia="es-ES"/>
              </w:rPr>
              <w:t xml:space="preserve">Exigir del </w:t>
            </w:r>
            <w:r w:rsidRPr="00CA4B53">
              <w:rPr>
                <w:rFonts w:ascii="Arial Narrow" w:hAnsi="Arial Narrow" w:cs="Arial"/>
                <w:b/>
                <w:bCs/>
                <w:color w:val="000000"/>
                <w:lang w:eastAsia="es-ES"/>
              </w:rPr>
              <w:t>MIEMBRO</w:t>
            </w:r>
            <w:r w:rsidRPr="00CA4B53">
              <w:rPr>
                <w:rFonts w:ascii="Arial Narrow" w:hAnsi="Arial Narrow" w:cs="Arial"/>
                <w:color w:val="000000"/>
                <w:lang w:eastAsia="es-ES"/>
              </w:rPr>
              <w:t xml:space="preserve"> a través del cual se realizan operaciones por su cuenta, el estricto cumplimiento de las disposiciones del Reglamento y demás normas aplicables.</w:t>
            </w:r>
          </w:p>
        </w:tc>
      </w:tr>
      <w:tr w:rsidR="00514CE5" w:rsidRPr="004D3326" w14:paraId="68658F28" w14:textId="77777777" w:rsidTr="009C1821">
        <w:trPr>
          <w:jc w:val="center"/>
        </w:trPr>
        <w:tc>
          <w:tcPr>
            <w:tcW w:w="4060" w:type="dxa"/>
          </w:tcPr>
          <w:p w14:paraId="504860F4" w14:textId="77777777" w:rsidR="00514CE5" w:rsidRPr="00CA4B53" w:rsidRDefault="00514CE5" w:rsidP="009C1821">
            <w:pPr>
              <w:jc w:val="both"/>
              <w:rPr>
                <w:rFonts w:ascii="Arial Narrow" w:hAnsi="Arial Narrow" w:cs="Arial"/>
                <w:color w:val="000000"/>
                <w:lang w:eastAsia="es-ES"/>
              </w:rPr>
            </w:pPr>
            <w:r w:rsidRPr="00CA4B53">
              <w:rPr>
                <w:rFonts w:ascii="Arial Narrow" w:hAnsi="Arial Narrow" w:cs="Arial"/>
                <w:color w:val="000000"/>
                <w:lang w:eastAsia="es-ES"/>
              </w:rPr>
              <w:t xml:space="preserve">Exigir del </w:t>
            </w:r>
            <w:r w:rsidRPr="00CA4B53">
              <w:rPr>
                <w:rFonts w:ascii="Arial Narrow" w:hAnsi="Arial Narrow" w:cs="Arial"/>
                <w:b/>
                <w:bCs/>
                <w:color w:val="000000"/>
                <w:lang w:eastAsia="es-ES"/>
              </w:rPr>
              <w:t>MIEMBRO</w:t>
            </w:r>
            <w:r w:rsidRPr="00CA4B53">
              <w:rPr>
                <w:rFonts w:ascii="Arial Narrow" w:hAnsi="Arial Narrow" w:cs="Arial"/>
                <w:color w:val="000000"/>
                <w:lang w:eastAsia="es-ES"/>
              </w:rPr>
              <w:t xml:space="preserve"> a través del cual se realizan operaciones por su cuenta, el estricto cumplimiento de lo acordado.</w:t>
            </w:r>
          </w:p>
        </w:tc>
        <w:tc>
          <w:tcPr>
            <w:tcW w:w="4048" w:type="dxa"/>
          </w:tcPr>
          <w:p w14:paraId="03BC4311" w14:textId="77777777" w:rsidR="00514CE5" w:rsidRPr="004D3326" w:rsidRDefault="00514CE5" w:rsidP="009C1821">
            <w:pPr>
              <w:jc w:val="both"/>
              <w:rPr>
                <w:rFonts w:ascii="Arial Narrow" w:hAnsi="Arial Narrow" w:cs="Arial"/>
                <w:color w:val="000000"/>
                <w:lang w:eastAsia="es-ES"/>
              </w:rPr>
            </w:pPr>
            <w:r w:rsidRPr="004D3326">
              <w:rPr>
                <w:rFonts w:ascii="Arial Narrow" w:hAnsi="Arial Narrow" w:cs="Arial"/>
                <w:color w:val="000000"/>
                <w:lang w:eastAsia="es-ES"/>
              </w:rPr>
              <w:t xml:space="preserve">Exigir del </w:t>
            </w:r>
            <w:r w:rsidRPr="004D3326">
              <w:rPr>
                <w:rFonts w:ascii="Arial Narrow" w:hAnsi="Arial Narrow" w:cs="Arial"/>
                <w:b/>
                <w:bCs/>
                <w:color w:val="000000"/>
                <w:lang w:eastAsia="es-ES"/>
              </w:rPr>
              <w:t>MIEMBRO</w:t>
            </w:r>
            <w:r w:rsidRPr="004D3326">
              <w:rPr>
                <w:rFonts w:ascii="Arial Narrow" w:hAnsi="Arial Narrow" w:cs="Arial"/>
                <w:color w:val="000000"/>
                <w:lang w:eastAsia="es-ES"/>
              </w:rPr>
              <w:t xml:space="preserve"> a través del cual se realizan operaciones por su cuenta, el estricto cumplimiento de lo acordado. </w:t>
            </w:r>
          </w:p>
        </w:tc>
      </w:tr>
      <w:tr w:rsidR="00514CE5" w:rsidRPr="004D3326" w14:paraId="73B15095" w14:textId="77777777" w:rsidTr="009C1821">
        <w:trPr>
          <w:jc w:val="center"/>
        </w:trPr>
        <w:tc>
          <w:tcPr>
            <w:tcW w:w="4060" w:type="dxa"/>
          </w:tcPr>
          <w:p w14:paraId="1B31E346" w14:textId="77777777" w:rsidR="00514CE5" w:rsidRPr="00CA4B53" w:rsidRDefault="00514CE5" w:rsidP="009C1821">
            <w:pPr>
              <w:jc w:val="both"/>
              <w:rPr>
                <w:rFonts w:ascii="Arial Narrow" w:hAnsi="Arial Narrow" w:cs="Arial"/>
                <w:color w:val="000000"/>
                <w:lang w:eastAsia="es-ES"/>
              </w:rPr>
            </w:pPr>
            <w:r w:rsidRPr="00CA4B53">
              <w:rPr>
                <w:rFonts w:ascii="Arial Narrow" w:hAnsi="Arial Narrow" w:cs="Arial"/>
                <w:color w:val="000000"/>
                <w:lang w:eastAsia="es-ES"/>
              </w:rPr>
              <w:t xml:space="preserve">Recibir a través de su </w:t>
            </w:r>
            <w:r w:rsidRPr="00CA4B53">
              <w:rPr>
                <w:rFonts w:ascii="Arial Narrow" w:hAnsi="Arial Narrow" w:cs="Arial"/>
                <w:b/>
                <w:bCs/>
                <w:color w:val="000000"/>
                <w:lang w:eastAsia="es-ES"/>
              </w:rPr>
              <w:t>MIEMBRO</w:t>
            </w:r>
            <w:r w:rsidRPr="00CA4B53">
              <w:rPr>
                <w:rFonts w:ascii="Arial Narrow" w:hAnsi="Arial Narrow" w:cs="Arial"/>
                <w:color w:val="000000"/>
                <w:lang w:eastAsia="es-ES"/>
              </w:rPr>
              <w:t xml:space="preserve"> o </w:t>
            </w:r>
            <w:r w:rsidRPr="00CA4B53">
              <w:rPr>
                <w:rFonts w:ascii="Arial Narrow" w:hAnsi="Arial Narrow" w:cs="Arial"/>
                <w:b/>
                <w:bCs/>
                <w:color w:val="000000"/>
                <w:lang w:eastAsia="es-ES"/>
              </w:rPr>
              <w:t>MIEMBROS</w:t>
            </w:r>
            <w:r w:rsidRPr="00CA4B53">
              <w:rPr>
                <w:rFonts w:ascii="Arial Narrow" w:hAnsi="Arial Narrow" w:cs="Arial"/>
                <w:color w:val="000000"/>
                <w:lang w:eastAsia="es-ES"/>
              </w:rPr>
              <w:t xml:space="preserve">, los dineros que le corresponda recibir en virtud de las operaciones realizadas por su cuenta. Los derechos del Tercero Identificado relativos al recibo de efectivo lo son únicamente con respecto a su </w:t>
            </w:r>
            <w:r w:rsidRPr="00CA4B53">
              <w:rPr>
                <w:rFonts w:ascii="Arial Narrow" w:hAnsi="Arial Narrow" w:cs="Arial"/>
                <w:b/>
                <w:bCs/>
                <w:color w:val="000000"/>
                <w:lang w:eastAsia="es-ES"/>
              </w:rPr>
              <w:t>MIEMBRO</w:t>
            </w:r>
            <w:r w:rsidRPr="00CA4B53">
              <w:rPr>
                <w:rFonts w:ascii="Arial Narrow" w:hAnsi="Arial Narrow" w:cs="Arial"/>
                <w:color w:val="000000"/>
                <w:lang w:eastAsia="es-ES"/>
              </w:rPr>
              <w:t xml:space="preserve"> correspondiente y en ningún caso respecto de </w:t>
            </w:r>
            <w:r w:rsidRPr="00CA4B53">
              <w:rPr>
                <w:rFonts w:ascii="Arial Narrow" w:hAnsi="Arial Narrow" w:cs="Arial"/>
                <w:b/>
                <w:bCs/>
                <w:color w:val="000000"/>
                <w:lang w:eastAsia="es-ES"/>
              </w:rPr>
              <w:t>LA CRCC</w:t>
            </w:r>
            <w:r w:rsidRPr="00CA4B53">
              <w:rPr>
                <w:rFonts w:ascii="Arial Narrow" w:hAnsi="Arial Narrow" w:cs="Arial"/>
                <w:color w:val="000000"/>
                <w:lang w:eastAsia="es-ES"/>
              </w:rPr>
              <w:t xml:space="preserve">, de tal modo que cuando </w:t>
            </w:r>
            <w:r w:rsidRPr="00CA4B53">
              <w:rPr>
                <w:rFonts w:ascii="Arial Narrow" w:hAnsi="Arial Narrow" w:cs="Arial"/>
                <w:b/>
                <w:bCs/>
                <w:color w:val="000000"/>
                <w:lang w:eastAsia="es-ES"/>
              </w:rPr>
              <w:t>LA CRCC</w:t>
            </w:r>
            <w:r w:rsidRPr="00CA4B53">
              <w:rPr>
                <w:rFonts w:ascii="Arial Narrow" w:hAnsi="Arial Narrow" w:cs="Arial"/>
                <w:color w:val="000000"/>
                <w:lang w:eastAsia="es-ES"/>
              </w:rPr>
              <w:t xml:space="preserve"> deba pagar efectivo a los Terceros Identificados lo hará poniendo los fondos a disposición del</w:t>
            </w:r>
            <w:r w:rsidRPr="00CA4B53">
              <w:rPr>
                <w:rFonts w:ascii="Arial Narrow" w:hAnsi="Arial Narrow" w:cs="Arial"/>
                <w:b/>
                <w:bCs/>
                <w:color w:val="000000"/>
                <w:lang w:eastAsia="es-ES"/>
              </w:rPr>
              <w:t xml:space="preserve"> MIEMBRO</w:t>
            </w:r>
            <w:r w:rsidRPr="00CA4B53">
              <w:rPr>
                <w:rFonts w:ascii="Arial Narrow" w:hAnsi="Arial Narrow" w:cs="Arial"/>
                <w:color w:val="000000"/>
                <w:lang w:eastAsia="es-ES"/>
              </w:rPr>
              <w:t xml:space="preserve"> y a favor de los Terceros Identificados. El pago hecho por </w:t>
            </w:r>
            <w:r w:rsidRPr="00CA4B53">
              <w:rPr>
                <w:rFonts w:ascii="Arial Narrow" w:hAnsi="Arial Narrow" w:cs="Arial"/>
                <w:b/>
                <w:bCs/>
                <w:color w:val="000000"/>
                <w:lang w:eastAsia="es-ES"/>
              </w:rPr>
              <w:t>LA CRCC</w:t>
            </w:r>
            <w:r w:rsidRPr="00CA4B53">
              <w:rPr>
                <w:rFonts w:ascii="Arial Narrow" w:hAnsi="Arial Narrow" w:cs="Arial"/>
                <w:color w:val="000000"/>
                <w:lang w:eastAsia="es-ES"/>
              </w:rPr>
              <w:t xml:space="preserve"> al </w:t>
            </w:r>
            <w:r w:rsidRPr="00CA4B53">
              <w:rPr>
                <w:rFonts w:ascii="Arial Narrow" w:hAnsi="Arial Narrow" w:cs="Arial"/>
                <w:b/>
                <w:bCs/>
                <w:color w:val="000000"/>
                <w:lang w:eastAsia="es-ES"/>
              </w:rPr>
              <w:t>MIEMBRO</w:t>
            </w:r>
            <w:r w:rsidRPr="00CA4B53">
              <w:rPr>
                <w:rFonts w:ascii="Arial Narrow" w:hAnsi="Arial Narrow" w:cs="Arial"/>
                <w:color w:val="000000"/>
                <w:lang w:eastAsia="es-ES"/>
              </w:rPr>
              <w:t xml:space="preserve"> de los dineros que le corresponda recibir a los Terceros Identificados es válido y extingue la obligación a cargo de </w:t>
            </w:r>
            <w:r w:rsidRPr="00CA4B53">
              <w:rPr>
                <w:rFonts w:ascii="Arial Narrow" w:hAnsi="Arial Narrow" w:cs="Arial"/>
                <w:b/>
                <w:bCs/>
                <w:color w:val="000000"/>
                <w:lang w:eastAsia="es-ES"/>
              </w:rPr>
              <w:t>LA CRCC</w:t>
            </w:r>
            <w:r w:rsidRPr="00CA4B53">
              <w:rPr>
                <w:rFonts w:ascii="Arial Narrow" w:hAnsi="Arial Narrow" w:cs="Arial"/>
                <w:color w:val="000000"/>
                <w:lang w:eastAsia="es-ES"/>
              </w:rPr>
              <w:t>.</w:t>
            </w:r>
          </w:p>
        </w:tc>
        <w:tc>
          <w:tcPr>
            <w:tcW w:w="4048" w:type="dxa"/>
          </w:tcPr>
          <w:p w14:paraId="63E8C3ED" w14:textId="77777777" w:rsidR="00514CE5" w:rsidRPr="004D3326" w:rsidRDefault="00514CE5" w:rsidP="009C1821">
            <w:pPr>
              <w:jc w:val="both"/>
              <w:rPr>
                <w:rFonts w:ascii="Arial Narrow" w:hAnsi="Arial Narrow" w:cs="Arial"/>
                <w:color w:val="000000"/>
                <w:lang w:eastAsia="es-ES"/>
              </w:rPr>
            </w:pPr>
            <w:r w:rsidRPr="004D3326">
              <w:rPr>
                <w:rFonts w:ascii="Arial Narrow" w:hAnsi="Arial Narrow" w:cs="Arial"/>
                <w:color w:val="000000"/>
                <w:lang w:eastAsia="es-ES"/>
              </w:rPr>
              <w:t xml:space="preserve">Recibir de su </w:t>
            </w:r>
            <w:r w:rsidRPr="004D3326">
              <w:rPr>
                <w:rFonts w:ascii="Arial Narrow" w:hAnsi="Arial Narrow" w:cs="Arial"/>
                <w:b/>
                <w:bCs/>
                <w:color w:val="000000"/>
                <w:lang w:eastAsia="es-ES"/>
              </w:rPr>
              <w:t>MIEMBRO</w:t>
            </w:r>
            <w:r w:rsidRPr="004D3326">
              <w:rPr>
                <w:rFonts w:ascii="Arial Narrow" w:hAnsi="Arial Narrow" w:cs="Arial"/>
                <w:color w:val="000000"/>
                <w:lang w:eastAsia="es-ES"/>
              </w:rPr>
              <w:t xml:space="preserve"> o </w:t>
            </w:r>
            <w:r w:rsidRPr="004D3326">
              <w:rPr>
                <w:rFonts w:ascii="Arial Narrow" w:hAnsi="Arial Narrow" w:cs="Arial"/>
                <w:b/>
                <w:bCs/>
                <w:color w:val="000000"/>
                <w:lang w:eastAsia="es-ES"/>
              </w:rPr>
              <w:t>MIEMBROS</w:t>
            </w:r>
            <w:r w:rsidRPr="004D3326">
              <w:rPr>
                <w:rFonts w:ascii="Arial Narrow" w:hAnsi="Arial Narrow" w:cs="Arial"/>
                <w:color w:val="000000"/>
                <w:lang w:eastAsia="es-ES"/>
              </w:rPr>
              <w:t xml:space="preserve"> los dineros que le corresponda recibir en virtud de las operaciones realizadas por su cuenta. Los derechos del Tercero Identificado cuyas operaciones se registran en una Cuenta de Tercero Ómnibus Segregada por Cámara relativos al recibo de efectivo lo son únicamente con respecto a su </w:t>
            </w:r>
            <w:r w:rsidRPr="004D3326">
              <w:rPr>
                <w:rFonts w:ascii="Arial Narrow" w:hAnsi="Arial Narrow" w:cs="Arial"/>
                <w:b/>
                <w:bCs/>
                <w:color w:val="000000"/>
                <w:lang w:eastAsia="es-ES"/>
              </w:rPr>
              <w:t>MIEMBRO</w:t>
            </w:r>
            <w:r w:rsidRPr="004D3326">
              <w:rPr>
                <w:rFonts w:ascii="Arial Narrow" w:hAnsi="Arial Narrow" w:cs="Arial"/>
                <w:color w:val="000000"/>
                <w:lang w:eastAsia="es-ES"/>
              </w:rPr>
              <w:t xml:space="preserve"> correspondiente y en ningún caso respecto de </w:t>
            </w:r>
            <w:r w:rsidRPr="004D3326">
              <w:rPr>
                <w:rFonts w:ascii="Arial Narrow" w:hAnsi="Arial Narrow" w:cs="Arial"/>
                <w:b/>
                <w:bCs/>
                <w:color w:val="000000"/>
                <w:lang w:eastAsia="es-ES"/>
              </w:rPr>
              <w:t>LA CRCC</w:t>
            </w:r>
            <w:r w:rsidRPr="004D3326">
              <w:rPr>
                <w:rFonts w:ascii="Arial Narrow" w:hAnsi="Arial Narrow" w:cs="Arial"/>
                <w:color w:val="000000"/>
                <w:lang w:eastAsia="es-ES"/>
              </w:rPr>
              <w:t xml:space="preserve">, de tal modo que el pago hecho por </w:t>
            </w:r>
            <w:r w:rsidRPr="004D3326">
              <w:rPr>
                <w:rFonts w:ascii="Arial Narrow" w:hAnsi="Arial Narrow" w:cs="Arial"/>
                <w:b/>
                <w:bCs/>
                <w:color w:val="000000"/>
                <w:lang w:eastAsia="es-ES"/>
              </w:rPr>
              <w:t>LA CRCC</w:t>
            </w:r>
            <w:r w:rsidRPr="004D3326">
              <w:rPr>
                <w:rFonts w:ascii="Arial Narrow" w:hAnsi="Arial Narrow" w:cs="Arial"/>
                <w:color w:val="000000"/>
                <w:lang w:eastAsia="es-ES"/>
              </w:rPr>
              <w:t xml:space="preserve"> al </w:t>
            </w:r>
            <w:r w:rsidRPr="004D3326">
              <w:rPr>
                <w:rFonts w:ascii="Arial Narrow" w:hAnsi="Arial Narrow" w:cs="Arial"/>
                <w:b/>
                <w:bCs/>
                <w:color w:val="000000"/>
                <w:lang w:eastAsia="es-ES"/>
              </w:rPr>
              <w:t>MIEMBRO</w:t>
            </w:r>
            <w:r w:rsidRPr="004D3326">
              <w:rPr>
                <w:rFonts w:ascii="Arial Narrow" w:hAnsi="Arial Narrow" w:cs="Arial"/>
                <w:color w:val="000000"/>
                <w:lang w:eastAsia="es-ES"/>
              </w:rPr>
              <w:t xml:space="preserve"> de los dineros que le corresponda recibir al </w:t>
            </w:r>
            <w:r w:rsidRPr="004D3326">
              <w:rPr>
                <w:rFonts w:ascii="Arial Narrow" w:hAnsi="Arial Narrow" w:cs="Arial"/>
                <w:b/>
                <w:bCs/>
                <w:color w:val="000000"/>
                <w:lang w:eastAsia="es-ES"/>
              </w:rPr>
              <w:t>MIEMBRO</w:t>
            </w:r>
            <w:r w:rsidRPr="004D3326">
              <w:rPr>
                <w:rFonts w:ascii="Arial Narrow" w:hAnsi="Arial Narrow" w:cs="Arial"/>
                <w:color w:val="000000"/>
                <w:lang w:eastAsia="es-ES"/>
              </w:rPr>
              <w:t xml:space="preserve">, es válido y extingue la obligación a cargo de </w:t>
            </w:r>
            <w:r w:rsidRPr="004D3326">
              <w:rPr>
                <w:rFonts w:ascii="Arial Narrow" w:hAnsi="Arial Narrow" w:cs="Arial"/>
                <w:b/>
                <w:bCs/>
                <w:color w:val="000000"/>
                <w:lang w:eastAsia="es-ES"/>
              </w:rPr>
              <w:t>LA CRCC</w:t>
            </w:r>
            <w:r w:rsidRPr="004D3326">
              <w:rPr>
                <w:rFonts w:ascii="Arial Narrow" w:hAnsi="Arial Narrow" w:cs="Arial"/>
                <w:color w:val="000000"/>
                <w:lang w:eastAsia="es-ES"/>
              </w:rPr>
              <w:t xml:space="preserve"> y </w:t>
            </w:r>
            <w:r w:rsidRPr="004D3326">
              <w:rPr>
                <w:rFonts w:ascii="Arial Narrow" w:hAnsi="Arial Narrow" w:cs="Arial"/>
                <w:b/>
                <w:bCs/>
                <w:color w:val="000000"/>
                <w:lang w:eastAsia="es-ES"/>
              </w:rPr>
              <w:t>EL MIEMBRO</w:t>
            </w:r>
            <w:r w:rsidRPr="004D3326">
              <w:rPr>
                <w:rFonts w:ascii="Arial Narrow" w:hAnsi="Arial Narrow" w:cs="Arial"/>
                <w:color w:val="000000"/>
                <w:lang w:eastAsia="es-ES"/>
              </w:rPr>
              <w:t xml:space="preserve"> será el obligado a pagar el efectivo a los Terceros Identificados. </w:t>
            </w:r>
          </w:p>
        </w:tc>
      </w:tr>
      <w:tr w:rsidR="00514CE5" w:rsidRPr="004D3326" w14:paraId="2CD13F0E" w14:textId="77777777" w:rsidTr="009C1821">
        <w:trPr>
          <w:jc w:val="center"/>
        </w:trPr>
        <w:tc>
          <w:tcPr>
            <w:tcW w:w="4060" w:type="dxa"/>
          </w:tcPr>
          <w:p w14:paraId="746D5D23" w14:textId="77777777" w:rsidR="00514CE5" w:rsidRPr="004D3326" w:rsidRDefault="00514CE5" w:rsidP="009C1821">
            <w:pPr>
              <w:jc w:val="both"/>
              <w:rPr>
                <w:rFonts w:ascii="Arial Narrow" w:hAnsi="Arial Narrow" w:cs="Arial"/>
                <w:color w:val="000000"/>
                <w:lang w:eastAsia="es-ES"/>
              </w:rPr>
            </w:pPr>
            <w:r w:rsidRPr="004D3326">
              <w:rPr>
                <w:rFonts w:ascii="Arial Narrow" w:hAnsi="Arial Narrow" w:cs="Arial"/>
                <w:color w:val="000000"/>
                <w:lang w:eastAsia="es-ES"/>
              </w:rPr>
              <w:t xml:space="preserve">Recibir de </w:t>
            </w:r>
            <w:r w:rsidRPr="004D3326">
              <w:rPr>
                <w:rFonts w:ascii="Arial Narrow" w:hAnsi="Arial Narrow" w:cs="Arial"/>
                <w:b/>
                <w:bCs/>
                <w:color w:val="000000"/>
                <w:lang w:eastAsia="es-ES"/>
              </w:rPr>
              <w:t>LA CRCC</w:t>
            </w:r>
            <w:r w:rsidRPr="004D3326">
              <w:rPr>
                <w:rFonts w:ascii="Arial Narrow" w:hAnsi="Arial Narrow" w:cs="Arial"/>
                <w:color w:val="000000"/>
                <w:lang w:eastAsia="es-ES"/>
              </w:rPr>
              <w:t xml:space="preserve"> los Activos que le corresponda recibir en virtud de las operaciones realizadas por su cuenta. </w:t>
            </w:r>
          </w:p>
        </w:tc>
        <w:tc>
          <w:tcPr>
            <w:tcW w:w="4048" w:type="dxa"/>
          </w:tcPr>
          <w:p w14:paraId="229AEF0B" w14:textId="77777777" w:rsidR="00514CE5" w:rsidRPr="00CA4B53" w:rsidRDefault="00514CE5" w:rsidP="009C1821">
            <w:pPr>
              <w:jc w:val="both"/>
              <w:rPr>
                <w:rFonts w:ascii="Arial Narrow" w:hAnsi="Arial Narrow" w:cs="Arial"/>
                <w:color w:val="000000"/>
                <w:lang w:eastAsia="es-ES"/>
              </w:rPr>
            </w:pPr>
            <w:r w:rsidRPr="00CA4B53">
              <w:rPr>
                <w:rFonts w:ascii="Arial Narrow" w:hAnsi="Arial Narrow" w:cs="Arial"/>
                <w:color w:val="000000"/>
                <w:lang w:eastAsia="es-ES"/>
              </w:rPr>
              <w:t xml:space="preserve">Recibir de su </w:t>
            </w:r>
            <w:r w:rsidRPr="00CA4B53">
              <w:rPr>
                <w:rFonts w:ascii="Arial Narrow" w:hAnsi="Arial Narrow" w:cs="Arial"/>
                <w:b/>
                <w:bCs/>
                <w:color w:val="000000"/>
                <w:lang w:eastAsia="es-ES"/>
              </w:rPr>
              <w:t>MIEMBRO</w:t>
            </w:r>
            <w:r w:rsidRPr="00CA4B53">
              <w:rPr>
                <w:rFonts w:ascii="Arial Narrow" w:hAnsi="Arial Narrow" w:cs="Arial"/>
                <w:color w:val="000000"/>
                <w:lang w:eastAsia="es-ES"/>
              </w:rPr>
              <w:t xml:space="preserve"> o </w:t>
            </w:r>
            <w:r w:rsidRPr="00CA4B53">
              <w:rPr>
                <w:rFonts w:ascii="Arial Narrow" w:hAnsi="Arial Narrow" w:cs="Arial"/>
                <w:b/>
                <w:bCs/>
                <w:color w:val="000000"/>
                <w:lang w:eastAsia="es-ES"/>
              </w:rPr>
              <w:t>MIEMBROS</w:t>
            </w:r>
            <w:r w:rsidRPr="00CA4B53">
              <w:rPr>
                <w:rFonts w:ascii="Arial Narrow" w:hAnsi="Arial Narrow" w:cs="Arial"/>
                <w:color w:val="000000"/>
                <w:lang w:eastAsia="es-ES"/>
              </w:rPr>
              <w:t xml:space="preserve"> los Activos que le corresponda recibir en virtud de las operaciones realizadas por su cuenta. </w:t>
            </w:r>
            <w:r w:rsidRPr="00CA4B53">
              <w:rPr>
                <w:rFonts w:ascii="Arial Narrow" w:hAnsi="Arial Narrow" w:cs="Arial"/>
                <w:color w:val="000000"/>
                <w:lang w:eastAsia="es-ES"/>
              </w:rPr>
              <w:lastRenderedPageBreak/>
              <w:t xml:space="preserve">Los derechos del Tercero Identificado cuyas operaciones se registran en una Cuenta de Tercero Ómnibus Segregada por Cámara relativos al recibo de Activos lo son únicamente con respecto a su </w:t>
            </w:r>
            <w:r w:rsidRPr="00CA4B53">
              <w:rPr>
                <w:rFonts w:ascii="Arial Narrow" w:hAnsi="Arial Narrow" w:cs="Arial"/>
                <w:b/>
                <w:bCs/>
                <w:color w:val="000000"/>
                <w:lang w:eastAsia="es-ES"/>
              </w:rPr>
              <w:t>MIEMBRO</w:t>
            </w:r>
            <w:r w:rsidRPr="00CA4B53">
              <w:rPr>
                <w:rFonts w:ascii="Arial Narrow" w:hAnsi="Arial Narrow" w:cs="Arial"/>
                <w:color w:val="000000"/>
                <w:lang w:eastAsia="es-ES"/>
              </w:rPr>
              <w:t xml:space="preserve"> correspondiente y en ningún caso respecto de </w:t>
            </w:r>
            <w:r w:rsidRPr="00CA4B53">
              <w:rPr>
                <w:rFonts w:ascii="Arial Narrow" w:hAnsi="Arial Narrow" w:cs="Arial"/>
                <w:b/>
                <w:bCs/>
                <w:color w:val="000000"/>
                <w:lang w:eastAsia="es-ES"/>
              </w:rPr>
              <w:t>LA CRCC</w:t>
            </w:r>
            <w:r w:rsidRPr="00CA4B53">
              <w:rPr>
                <w:rFonts w:ascii="Arial Narrow" w:hAnsi="Arial Narrow" w:cs="Arial"/>
                <w:color w:val="000000"/>
                <w:lang w:eastAsia="es-ES"/>
              </w:rPr>
              <w:t xml:space="preserve">, de tal modo que la entrega hecha por </w:t>
            </w:r>
            <w:r w:rsidRPr="00CA4B53">
              <w:rPr>
                <w:rFonts w:ascii="Arial Narrow" w:hAnsi="Arial Narrow" w:cs="Arial"/>
                <w:b/>
                <w:bCs/>
                <w:color w:val="000000"/>
                <w:lang w:eastAsia="es-ES"/>
              </w:rPr>
              <w:t>LA CRCC</w:t>
            </w:r>
            <w:r w:rsidRPr="00CA4B53">
              <w:rPr>
                <w:rFonts w:ascii="Arial Narrow" w:hAnsi="Arial Narrow" w:cs="Arial"/>
                <w:color w:val="000000"/>
                <w:lang w:eastAsia="es-ES"/>
              </w:rPr>
              <w:t xml:space="preserve"> al </w:t>
            </w:r>
            <w:r w:rsidRPr="00CA4B53">
              <w:rPr>
                <w:rFonts w:ascii="Arial Narrow" w:hAnsi="Arial Narrow" w:cs="Arial"/>
                <w:b/>
                <w:bCs/>
                <w:color w:val="000000"/>
                <w:lang w:eastAsia="es-ES"/>
              </w:rPr>
              <w:t>MIEMBRO</w:t>
            </w:r>
            <w:r w:rsidRPr="00CA4B53">
              <w:rPr>
                <w:rFonts w:ascii="Arial Narrow" w:hAnsi="Arial Narrow" w:cs="Arial"/>
                <w:color w:val="000000"/>
                <w:lang w:eastAsia="es-ES"/>
              </w:rPr>
              <w:t xml:space="preserve"> de los Activos que le corresponda recibir al </w:t>
            </w:r>
            <w:r w:rsidRPr="00CA4B53">
              <w:rPr>
                <w:rFonts w:ascii="Arial Narrow" w:hAnsi="Arial Narrow" w:cs="Arial"/>
                <w:b/>
                <w:bCs/>
                <w:color w:val="000000"/>
                <w:lang w:eastAsia="es-ES"/>
              </w:rPr>
              <w:t>MIEMBRO</w:t>
            </w:r>
            <w:r w:rsidRPr="00CA4B53">
              <w:rPr>
                <w:rFonts w:ascii="Arial Narrow" w:hAnsi="Arial Narrow" w:cs="Arial"/>
                <w:color w:val="000000"/>
                <w:lang w:eastAsia="es-ES"/>
              </w:rPr>
              <w:t xml:space="preserve">, es válida y extingue la obligación a cargo de </w:t>
            </w:r>
            <w:r w:rsidRPr="00CA4B53">
              <w:rPr>
                <w:rFonts w:ascii="Arial Narrow" w:hAnsi="Arial Narrow" w:cs="Arial"/>
                <w:b/>
                <w:bCs/>
                <w:color w:val="000000"/>
                <w:lang w:eastAsia="es-ES"/>
              </w:rPr>
              <w:t>LA CRCC</w:t>
            </w:r>
            <w:r w:rsidRPr="00CA4B53">
              <w:rPr>
                <w:rFonts w:ascii="Arial Narrow" w:hAnsi="Arial Narrow" w:cs="Arial"/>
                <w:color w:val="000000"/>
                <w:lang w:eastAsia="es-ES"/>
              </w:rPr>
              <w:t xml:space="preserve"> y </w:t>
            </w:r>
            <w:r w:rsidRPr="00CA4B53">
              <w:rPr>
                <w:rFonts w:ascii="Arial Narrow" w:hAnsi="Arial Narrow" w:cs="Arial"/>
                <w:b/>
                <w:bCs/>
                <w:color w:val="000000"/>
                <w:lang w:eastAsia="es-ES"/>
              </w:rPr>
              <w:t>EL MIEMBRO</w:t>
            </w:r>
            <w:r w:rsidRPr="00CA4B53">
              <w:rPr>
                <w:rFonts w:ascii="Arial Narrow" w:hAnsi="Arial Narrow" w:cs="Arial"/>
                <w:color w:val="000000"/>
                <w:lang w:eastAsia="es-ES"/>
              </w:rPr>
              <w:t xml:space="preserve"> será el obligado a entregar los Activos a los Terceros Identificados.</w:t>
            </w:r>
          </w:p>
        </w:tc>
      </w:tr>
      <w:tr w:rsidR="00514CE5" w:rsidRPr="004D3326" w14:paraId="26AA5454" w14:textId="77777777" w:rsidTr="009C1821">
        <w:trPr>
          <w:jc w:val="center"/>
        </w:trPr>
        <w:tc>
          <w:tcPr>
            <w:tcW w:w="4060" w:type="dxa"/>
          </w:tcPr>
          <w:p w14:paraId="726CCF8E" w14:textId="77777777" w:rsidR="00514CE5" w:rsidRPr="004D3326" w:rsidRDefault="00514CE5" w:rsidP="009C1821">
            <w:pPr>
              <w:jc w:val="both"/>
              <w:rPr>
                <w:rFonts w:ascii="Arial Narrow" w:hAnsi="Arial Narrow" w:cs="Arial"/>
                <w:color w:val="000000"/>
                <w:lang w:eastAsia="es-ES"/>
              </w:rPr>
            </w:pPr>
            <w:r>
              <w:rPr>
                <w:rFonts w:ascii="Arial Narrow" w:hAnsi="Arial Narrow" w:cs="Arial"/>
                <w:color w:val="000000"/>
                <w:lang w:eastAsia="es-ES"/>
              </w:rPr>
              <w:lastRenderedPageBreak/>
              <w:t xml:space="preserve">El Tercero Identificado podrá exigir a </w:t>
            </w:r>
            <w:r>
              <w:rPr>
                <w:rFonts w:ascii="Arial Narrow" w:hAnsi="Arial Narrow" w:cs="Arial"/>
                <w:b/>
                <w:bCs/>
                <w:color w:val="000000"/>
                <w:lang w:eastAsia="es-ES"/>
              </w:rPr>
              <w:t>LA CRCC</w:t>
            </w:r>
            <w:r>
              <w:rPr>
                <w:rFonts w:ascii="Arial Narrow" w:hAnsi="Arial Narrow" w:cs="Arial"/>
                <w:color w:val="000000"/>
                <w:lang w:eastAsia="es-ES"/>
              </w:rPr>
              <w:t xml:space="preserve"> la entrega de los Activos que le corresponda recibir </w:t>
            </w:r>
            <w:r w:rsidRPr="00347EDB">
              <w:rPr>
                <w:rFonts w:ascii="Arial Narrow" w:hAnsi="Arial Narrow" w:cs="Arial"/>
                <w:color w:val="000000"/>
                <w:lang w:eastAsia="es-ES"/>
              </w:rPr>
              <w:t>en virtud de las Operaciones realizadas por su cuenta y registradas en una Cuenta de Tercero</w:t>
            </w:r>
            <w:r>
              <w:rPr>
                <w:rFonts w:ascii="Arial Narrow" w:hAnsi="Arial Narrow" w:cs="Arial"/>
                <w:color w:val="000000"/>
                <w:lang w:eastAsia="es-ES"/>
              </w:rPr>
              <w:t xml:space="preserve"> Identificado.</w:t>
            </w:r>
          </w:p>
        </w:tc>
        <w:tc>
          <w:tcPr>
            <w:tcW w:w="4048" w:type="dxa"/>
          </w:tcPr>
          <w:p w14:paraId="536361C3" w14:textId="77777777" w:rsidR="00514CE5" w:rsidRPr="00CA4B53" w:rsidRDefault="00514CE5" w:rsidP="009C1821">
            <w:pPr>
              <w:jc w:val="both"/>
              <w:rPr>
                <w:rFonts w:ascii="Arial Narrow" w:hAnsi="Arial Narrow" w:cs="Arial"/>
                <w:color w:val="000000"/>
                <w:lang w:eastAsia="es-ES"/>
              </w:rPr>
            </w:pPr>
            <w:r w:rsidRPr="00CA4B53">
              <w:rPr>
                <w:rFonts w:ascii="Arial Narrow" w:hAnsi="Arial Narrow" w:cs="Arial"/>
                <w:color w:val="000000"/>
                <w:lang w:eastAsia="es-ES"/>
              </w:rPr>
              <w:t xml:space="preserve">En ningún caso, el Tercero Identificado podrá exigir a </w:t>
            </w:r>
            <w:r w:rsidRPr="00CA4B53">
              <w:rPr>
                <w:rFonts w:ascii="Arial Narrow" w:hAnsi="Arial Narrow" w:cs="Arial"/>
                <w:b/>
                <w:bCs/>
                <w:color w:val="000000"/>
                <w:lang w:eastAsia="es-ES"/>
              </w:rPr>
              <w:t>LA CRCC</w:t>
            </w:r>
            <w:r w:rsidRPr="00CA4B53">
              <w:rPr>
                <w:rFonts w:ascii="Arial Narrow" w:hAnsi="Arial Narrow" w:cs="Arial"/>
                <w:color w:val="000000"/>
                <w:lang w:eastAsia="es-ES"/>
              </w:rPr>
              <w:t xml:space="preserve"> los dineros o Activos que le corresponda recibir en virtud de las Operaciones realizadas por su cuenta y registradas en una Cuenta de Tercero Ómnibus Segregada por Cámara. </w:t>
            </w:r>
          </w:p>
        </w:tc>
      </w:tr>
      <w:tr w:rsidR="00514CE5" w:rsidRPr="004D3326" w14:paraId="46A626A5" w14:textId="77777777" w:rsidTr="009C1821">
        <w:trPr>
          <w:jc w:val="center"/>
        </w:trPr>
        <w:tc>
          <w:tcPr>
            <w:tcW w:w="4060" w:type="dxa"/>
          </w:tcPr>
          <w:p w14:paraId="6F71CFDD" w14:textId="77777777" w:rsidR="00514CE5" w:rsidRPr="004D3326" w:rsidRDefault="00514CE5" w:rsidP="009C1821">
            <w:pPr>
              <w:jc w:val="both"/>
              <w:rPr>
                <w:rFonts w:ascii="Arial Narrow" w:hAnsi="Arial Narrow" w:cs="Arial"/>
                <w:color w:val="000000"/>
                <w:lang w:eastAsia="es-ES"/>
              </w:rPr>
            </w:pPr>
            <w:r w:rsidRPr="004D3326">
              <w:rPr>
                <w:rFonts w:ascii="Arial Narrow" w:hAnsi="Arial Narrow" w:cs="Arial"/>
                <w:color w:val="000000"/>
                <w:lang w:eastAsia="es-ES"/>
              </w:rPr>
              <w:t xml:space="preserve">Los Terceros Identificados podrán solicitar al </w:t>
            </w:r>
            <w:r w:rsidRPr="004D3326">
              <w:rPr>
                <w:rFonts w:ascii="Arial Narrow" w:hAnsi="Arial Narrow" w:cs="Arial"/>
                <w:b/>
                <w:bCs/>
                <w:color w:val="000000"/>
                <w:lang w:eastAsia="es-ES"/>
              </w:rPr>
              <w:t>MIEMBRO</w:t>
            </w:r>
            <w:r w:rsidRPr="004D3326">
              <w:rPr>
                <w:rFonts w:ascii="Arial Narrow" w:hAnsi="Arial Narrow" w:cs="Arial"/>
                <w:color w:val="000000"/>
                <w:lang w:eastAsia="es-ES"/>
              </w:rPr>
              <w:t xml:space="preserve"> a través del cual se realizan operaciones por su cuenta la apertura de un tipo de Cuenta Definitiva de Tercero distinto al tipo de Cuenta Definitiva de Tercero en el que hayan registrado sus operaciones y el respectivo traspaso de su posición abierta a dicha Cuenta en los términos del artículo 2.4.16. del Reglamento.</w:t>
            </w:r>
          </w:p>
        </w:tc>
        <w:tc>
          <w:tcPr>
            <w:tcW w:w="4048" w:type="dxa"/>
          </w:tcPr>
          <w:p w14:paraId="7C4037B5" w14:textId="77777777" w:rsidR="00514CE5" w:rsidRPr="00CA4B53" w:rsidRDefault="00514CE5" w:rsidP="009C1821">
            <w:pPr>
              <w:jc w:val="both"/>
              <w:rPr>
                <w:rFonts w:ascii="Arial Narrow" w:hAnsi="Arial Narrow" w:cs="Arial"/>
                <w:color w:val="000000"/>
                <w:lang w:eastAsia="es-ES"/>
              </w:rPr>
            </w:pPr>
            <w:r w:rsidRPr="00CA4B53">
              <w:rPr>
                <w:rFonts w:ascii="Arial Narrow" w:hAnsi="Arial Narrow" w:cs="Arial"/>
                <w:color w:val="000000"/>
                <w:lang w:eastAsia="es-ES"/>
              </w:rPr>
              <w:t xml:space="preserve">Los Terceros Identificados podrán solicitar al </w:t>
            </w:r>
            <w:r w:rsidRPr="00CA4B53">
              <w:rPr>
                <w:rFonts w:ascii="Arial Narrow" w:hAnsi="Arial Narrow" w:cs="Arial"/>
                <w:b/>
                <w:bCs/>
                <w:color w:val="000000"/>
                <w:lang w:eastAsia="es-ES"/>
              </w:rPr>
              <w:t>MIEMBRO</w:t>
            </w:r>
            <w:r w:rsidRPr="00CA4B53">
              <w:rPr>
                <w:rFonts w:ascii="Arial Narrow" w:hAnsi="Arial Narrow" w:cs="Arial"/>
                <w:color w:val="000000"/>
                <w:lang w:eastAsia="es-ES"/>
              </w:rPr>
              <w:t xml:space="preserve"> a través del cual se realizan operaciones por su cuenta la apertura de un tipo de Cuenta Definitiva de Tercero distinto al tipo de Cuenta Definitiva de Tercero en el que hayan registrado sus operaciones y el respectivo traspaso de su posición abierta a dicha Cuenta en los términos del artículo 2.4.16. del Reglamento.</w:t>
            </w:r>
          </w:p>
        </w:tc>
      </w:tr>
      <w:tr w:rsidR="00514CE5" w:rsidRPr="004D3326" w14:paraId="53BF70E6" w14:textId="77777777" w:rsidTr="009C1821">
        <w:trPr>
          <w:jc w:val="center"/>
        </w:trPr>
        <w:tc>
          <w:tcPr>
            <w:tcW w:w="4060" w:type="dxa"/>
          </w:tcPr>
          <w:p w14:paraId="6F256693" w14:textId="77777777" w:rsidR="00514CE5" w:rsidRDefault="00514CE5" w:rsidP="009C1821">
            <w:pPr>
              <w:jc w:val="both"/>
              <w:rPr>
                <w:rFonts w:ascii="Arial Narrow" w:hAnsi="Arial Narrow" w:cs="Arial"/>
                <w:color w:val="000000"/>
                <w:lang w:eastAsia="es-ES"/>
              </w:rPr>
            </w:pPr>
            <w:r w:rsidRPr="00874DE5">
              <w:rPr>
                <w:rFonts w:ascii="Arial Narrow" w:hAnsi="Arial Narrow" w:cs="Arial"/>
                <w:color w:val="000000"/>
                <w:lang w:eastAsia="es-ES"/>
              </w:rPr>
              <w:t xml:space="preserve">En caso de Incumplimiento por parte </w:t>
            </w:r>
            <w:r>
              <w:rPr>
                <w:rFonts w:ascii="Arial Narrow" w:hAnsi="Arial Narrow" w:cs="Arial"/>
                <w:color w:val="000000"/>
                <w:lang w:eastAsia="es-ES"/>
              </w:rPr>
              <w:t xml:space="preserve">del </w:t>
            </w:r>
            <w:r>
              <w:rPr>
                <w:rFonts w:ascii="Arial Narrow" w:hAnsi="Arial Narrow" w:cs="Arial"/>
                <w:b/>
                <w:bCs/>
                <w:color w:val="000000"/>
                <w:lang w:eastAsia="es-ES"/>
              </w:rPr>
              <w:t xml:space="preserve">MIEMBRO </w:t>
            </w:r>
            <w:r w:rsidRPr="00874DE5">
              <w:rPr>
                <w:rFonts w:ascii="Arial Narrow" w:hAnsi="Arial Narrow" w:cs="Arial"/>
                <w:color w:val="000000"/>
                <w:lang w:eastAsia="es-ES"/>
              </w:rPr>
              <w:t xml:space="preserve">que mantenga Cuentas de Terceros Identificados, </w:t>
            </w:r>
            <w:r>
              <w:rPr>
                <w:rFonts w:ascii="Arial Narrow" w:hAnsi="Arial Narrow" w:cs="Arial"/>
                <w:b/>
                <w:bCs/>
                <w:color w:val="000000"/>
                <w:lang w:eastAsia="es-ES"/>
              </w:rPr>
              <w:t>LA CRCC</w:t>
            </w:r>
            <w:r w:rsidRPr="00874DE5">
              <w:rPr>
                <w:rFonts w:ascii="Arial Narrow" w:hAnsi="Arial Narrow" w:cs="Arial"/>
                <w:color w:val="000000"/>
                <w:lang w:eastAsia="es-ES"/>
              </w:rPr>
              <w:t xml:space="preserve"> intentará transferir a otro u otro(s) </w:t>
            </w:r>
            <w:r>
              <w:rPr>
                <w:rFonts w:ascii="Arial Narrow" w:hAnsi="Arial Narrow" w:cs="Arial"/>
                <w:color w:val="000000"/>
                <w:lang w:eastAsia="es-ES"/>
              </w:rPr>
              <w:t>M</w:t>
            </w:r>
            <w:r w:rsidRPr="00874DE5">
              <w:rPr>
                <w:rFonts w:ascii="Arial Narrow" w:hAnsi="Arial Narrow" w:cs="Arial"/>
                <w:color w:val="000000"/>
                <w:lang w:eastAsia="es-ES"/>
              </w:rPr>
              <w:t>iembro(s) las Posiciones Abiertas de los Terceros Identificados que mantuviera el</w:t>
            </w:r>
            <w:r>
              <w:rPr>
                <w:rFonts w:ascii="Arial Narrow" w:hAnsi="Arial Narrow" w:cs="Arial"/>
                <w:color w:val="000000"/>
                <w:lang w:eastAsia="es-ES"/>
              </w:rPr>
              <w:t xml:space="preserve"> </w:t>
            </w:r>
            <w:r>
              <w:rPr>
                <w:rFonts w:ascii="Arial Narrow" w:hAnsi="Arial Narrow" w:cs="Arial"/>
                <w:b/>
                <w:bCs/>
                <w:color w:val="000000"/>
                <w:lang w:eastAsia="es-ES"/>
              </w:rPr>
              <w:t>MIEMBRO</w:t>
            </w:r>
            <w:r w:rsidRPr="00874DE5">
              <w:rPr>
                <w:rFonts w:ascii="Arial Narrow" w:hAnsi="Arial Narrow" w:cs="Arial"/>
                <w:color w:val="000000"/>
                <w:lang w:eastAsia="es-ES"/>
              </w:rPr>
              <w:t xml:space="preserve">. </w:t>
            </w:r>
          </w:p>
          <w:p w14:paraId="08DCFF0E" w14:textId="77777777" w:rsidR="00514CE5" w:rsidRDefault="00514CE5" w:rsidP="009C1821">
            <w:pPr>
              <w:ind w:left="141"/>
              <w:jc w:val="both"/>
              <w:rPr>
                <w:rFonts w:ascii="Arial Narrow" w:hAnsi="Arial Narrow" w:cs="Arial"/>
                <w:color w:val="000000"/>
                <w:lang w:eastAsia="es-ES"/>
              </w:rPr>
            </w:pPr>
          </w:p>
          <w:p w14:paraId="2131740F" w14:textId="77777777" w:rsidR="00514CE5" w:rsidRDefault="00514CE5" w:rsidP="009C1821">
            <w:pPr>
              <w:jc w:val="both"/>
              <w:rPr>
                <w:rFonts w:ascii="Arial Narrow" w:hAnsi="Arial Narrow" w:cs="Arial"/>
                <w:color w:val="000000"/>
                <w:lang w:eastAsia="es-ES"/>
              </w:rPr>
            </w:pPr>
            <w:r w:rsidRPr="00874DE5">
              <w:rPr>
                <w:rFonts w:ascii="Arial Narrow" w:hAnsi="Arial Narrow" w:cs="Arial"/>
                <w:color w:val="000000"/>
                <w:lang w:eastAsia="es-ES"/>
              </w:rPr>
              <w:t xml:space="preserve">Para efectuar la anterior transferencia, será preciso el acuerdo con el o los Miembros a quienes se vayan a transferir las Posiciones Abiertas y con los Terceros cuyas cuentas vayan a ser trasladadas. </w:t>
            </w:r>
            <w:r>
              <w:rPr>
                <w:rFonts w:ascii="Arial Narrow" w:hAnsi="Arial Narrow" w:cs="Arial"/>
                <w:b/>
                <w:bCs/>
                <w:color w:val="000000"/>
                <w:lang w:eastAsia="es-ES"/>
              </w:rPr>
              <w:t>LA CRCC</w:t>
            </w:r>
            <w:r w:rsidRPr="00874DE5">
              <w:rPr>
                <w:rFonts w:ascii="Arial Narrow" w:hAnsi="Arial Narrow" w:cs="Arial"/>
                <w:color w:val="000000"/>
                <w:lang w:eastAsia="es-ES"/>
              </w:rPr>
              <w:t xml:space="preserve"> informará de la situación y del deseo de transferir, con indicación de a quiénes se </w:t>
            </w:r>
            <w:r w:rsidRPr="00874DE5">
              <w:rPr>
                <w:rFonts w:ascii="Arial Narrow" w:hAnsi="Arial Narrow" w:cs="Arial"/>
                <w:color w:val="000000"/>
                <w:lang w:eastAsia="es-ES"/>
              </w:rPr>
              <w:lastRenderedPageBreak/>
              <w:t xml:space="preserve">transferirían las distintas Cuentas, por cualquier medio de comunicación y luego lo confirmará por carta certificada con acuse de recibo, dirigida a los </w:t>
            </w:r>
            <w:r>
              <w:rPr>
                <w:rFonts w:ascii="Arial Narrow" w:hAnsi="Arial Narrow" w:cs="Arial"/>
                <w:color w:val="000000"/>
                <w:lang w:eastAsia="es-ES"/>
              </w:rPr>
              <w:t>Miembros</w:t>
            </w:r>
            <w:r w:rsidRPr="00874DE5">
              <w:rPr>
                <w:rFonts w:ascii="Arial Narrow" w:hAnsi="Arial Narrow" w:cs="Arial"/>
                <w:color w:val="000000"/>
                <w:lang w:eastAsia="es-ES"/>
              </w:rPr>
              <w:t xml:space="preserve"> y a los Terceros Identificados interesados. La carta a los Terceros Identificados se remitirá a la dirección que conste en los registros del </w:t>
            </w:r>
            <w:r w:rsidRPr="00874DE5">
              <w:rPr>
                <w:rFonts w:ascii="Arial Narrow" w:hAnsi="Arial Narrow" w:cs="Arial"/>
                <w:b/>
                <w:bCs/>
                <w:color w:val="000000"/>
                <w:lang w:eastAsia="es-ES"/>
              </w:rPr>
              <w:t>MIEMBRO</w:t>
            </w:r>
            <w:r w:rsidRPr="00874DE5">
              <w:rPr>
                <w:rFonts w:ascii="Arial Narrow" w:hAnsi="Arial Narrow" w:cs="Arial"/>
                <w:color w:val="000000"/>
                <w:lang w:eastAsia="es-ES"/>
              </w:rPr>
              <w:t xml:space="preserve">. La transferencia de Cuentas al nuevo Miembro supondrá el traslado de la gestión de las Garantías correspondientes a dichos Terceros Identificados. </w:t>
            </w:r>
          </w:p>
          <w:p w14:paraId="013E313B" w14:textId="77777777" w:rsidR="00514CE5" w:rsidRDefault="00514CE5" w:rsidP="009C1821">
            <w:pPr>
              <w:ind w:left="141"/>
              <w:jc w:val="both"/>
              <w:rPr>
                <w:rFonts w:ascii="Arial Narrow" w:hAnsi="Arial Narrow" w:cs="Arial"/>
                <w:color w:val="000000"/>
                <w:lang w:eastAsia="es-ES"/>
              </w:rPr>
            </w:pPr>
          </w:p>
          <w:p w14:paraId="49F34660" w14:textId="77777777" w:rsidR="00514CE5" w:rsidRPr="004D3326" w:rsidRDefault="00514CE5" w:rsidP="009C1821">
            <w:pPr>
              <w:jc w:val="both"/>
              <w:rPr>
                <w:rFonts w:ascii="Arial Narrow" w:hAnsi="Arial Narrow" w:cs="Arial"/>
                <w:color w:val="000000"/>
                <w:lang w:eastAsia="es-ES"/>
              </w:rPr>
            </w:pPr>
            <w:r w:rsidRPr="00874DE5">
              <w:rPr>
                <w:rFonts w:ascii="Arial Narrow" w:hAnsi="Arial Narrow" w:cs="Arial"/>
                <w:color w:val="000000"/>
                <w:lang w:eastAsia="es-ES"/>
              </w:rPr>
              <w:t xml:space="preserve">Si esto no fuera posible o la evolución de los precios del mercado aconsejan el cierre de las Posiciones Abiertas con el fin de proteger la solvencia de </w:t>
            </w:r>
            <w:r>
              <w:rPr>
                <w:rFonts w:ascii="Arial Narrow" w:hAnsi="Arial Narrow" w:cs="Arial"/>
                <w:b/>
                <w:bCs/>
                <w:color w:val="000000"/>
                <w:lang w:eastAsia="es-ES"/>
              </w:rPr>
              <w:t>LA CRCC</w:t>
            </w:r>
            <w:r w:rsidRPr="00874DE5">
              <w:rPr>
                <w:rFonts w:ascii="Arial Narrow" w:hAnsi="Arial Narrow" w:cs="Arial"/>
                <w:color w:val="000000"/>
                <w:lang w:eastAsia="es-ES"/>
              </w:rPr>
              <w:t>, ésta procederá a cerrar las Posiciones Abiertas registradas en la Cuenta referida, ejecutando, en su caso, las Garantías constituidas.</w:t>
            </w:r>
          </w:p>
        </w:tc>
        <w:tc>
          <w:tcPr>
            <w:tcW w:w="4048" w:type="dxa"/>
          </w:tcPr>
          <w:p w14:paraId="14DFB595" w14:textId="77777777" w:rsidR="00514CE5" w:rsidRPr="00CA4B53" w:rsidRDefault="00514CE5" w:rsidP="009C1821">
            <w:pPr>
              <w:jc w:val="both"/>
              <w:rPr>
                <w:rFonts w:ascii="Arial Narrow" w:hAnsi="Arial Narrow" w:cs="Arial"/>
                <w:color w:val="000000"/>
                <w:lang w:eastAsia="es-ES"/>
              </w:rPr>
            </w:pPr>
            <w:r w:rsidRPr="00CA4B53">
              <w:rPr>
                <w:rFonts w:ascii="Arial Narrow" w:hAnsi="Arial Narrow" w:cs="Arial"/>
                <w:color w:val="000000"/>
                <w:lang w:eastAsia="es-ES"/>
              </w:rPr>
              <w:lastRenderedPageBreak/>
              <w:t xml:space="preserve">En caso de Incumplimiento por parte del </w:t>
            </w:r>
            <w:r w:rsidRPr="00CA4B53">
              <w:rPr>
                <w:rFonts w:ascii="Arial Narrow" w:hAnsi="Arial Narrow" w:cs="Arial"/>
                <w:b/>
                <w:bCs/>
                <w:color w:val="000000"/>
                <w:lang w:eastAsia="es-ES"/>
              </w:rPr>
              <w:t xml:space="preserve">MIEMBRO </w:t>
            </w:r>
            <w:r w:rsidRPr="00CA4B53">
              <w:rPr>
                <w:rFonts w:ascii="Arial Narrow" w:hAnsi="Arial Narrow" w:cs="Arial"/>
                <w:color w:val="000000"/>
                <w:lang w:eastAsia="es-ES"/>
              </w:rPr>
              <w:t xml:space="preserve">que mantenga Cuentas de Terceros Ómnibus Segregada por Cámara, </w:t>
            </w:r>
            <w:r w:rsidRPr="00CA4B53">
              <w:rPr>
                <w:rFonts w:ascii="Arial Narrow" w:hAnsi="Arial Narrow" w:cs="Arial"/>
                <w:b/>
                <w:bCs/>
                <w:color w:val="000000"/>
                <w:lang w:eastAsia="es-ES"/>
              </w:rPr>
              <w:t>LA CRCC</w:t>
            </w:r>
            <w:r w:rsidRPr="00CA4B53">
              <w:rPr>
                <w:rFonts w:ascii="Arial Narrow" w:hAnsi="Arial Narrow" w:cs="Arial"/>
                <w:color w:val="000000"/>
                <w:lang w:eastAsia="es-ES"/>
              </w:rPr>
              <w:t xml:space="preserve"> intentará transferir a otro u otro(s) Miembro(s) las Posiciones Abiertas de los Terceros Identificados agrupados en dichas Cuentas. </w:t>
            </w:r>
          </w:p>
          <w:p w14:paraId="6545D8DD" w14:textId="77777777" w:rsidR="00514CE5" w:rsidRDefault="00514CE5" w:rsidP="009C1821">
            <w:pPr>
              <w:pStyle w:val="Prrafodelista"/>
              <w:ind w:left="141"/>
              <w:jc w:val="both"/>
              <w:rPr>
                <w:rFonts w:ascii="Arial Narrow" w:hAnsi="Arial Narrow"/>
                <w:color w:val="000000"/>
                <w:lang w:eastAsia="es-ES"/>
              </w:rPr>
            </w:pPr>
          </w:p>
          <w:p w14:paraId="439D77EB" w14:textId="77777777" w:rsidR="00514CE5" w:rsidRPr="00CA4B53" w:rsidRDefault="00514CE5" w:rsidP="009C1821">
            <w:pPr>
              <w:jc w:val="both"/>
              <w:rPr>
                <w:rFonts w:ascii="Arial Narrow" w:hAnsi="Arial Narrow" w:cs="Arial"/>
                <w:color w:val="000000"/>
                <w:lang w:eastAsia="es-ES"/>
              </w:rPr>
            </w:pPr>
            <w:r w:rsidRPr="00CA4B53">
              <w:rPr>
                <w:rFonts w:ascii="Arial Narrow" w:hAnsi="Arial Narrow" w:cs="Arial"/>
                <w:color w:val="000000"/>
                <w:lang w:eastAsia="es-ES"/>
              </w:rPr>
              <w:t xml:space="preserve">Para efectuar la anterior transferencia, será necesario que todos los Terceros de manera individual manifiesten estar de acuerdo con que sus posiciones agrupadas sean trasladadas a una Cuenta de Tercero Ómnibus Segregada por Cámara de otro </w:t>
            </w:r>
            <w:r w:rsidRPr="00CA4B53">
              <w:rPr>
                <w:rFonts w:ascii="Arial Narrow" w:hAnsi="Arial Narrow" w:cs="Arial"/>
                <w:color w:val="000000"/>
                <w:lang w:eastAsia="es-ES"/>
              </w:rPr>
              <w:lastRenderedPageBreak/>
              <w:t xml:space="preserve">Miembro Liquidador, y que las garantías que respaldan tales posiciones sean suficientes para cubrir su riesgo en la Cuenta de Tercero Ómnibus Segregada por Cámara del nuevo Miembro. </w:t>
            </w:r>
          </w:p>
          <w:p w14:paraId="0B0E3FDA" w14:textId="77777777" w:rsidR="00514CE5" w:rsidRDefault="00514CE5" w:rsidP="009C1821">
            <w:pPr>
              <w:pStyle w:val="Prrafodelista"/>
              <w:ind w:left="141"/>
              <w:jc w:val="both"/>
              <w:rPr>
                <w:rFonts w:ascii="Arial Narrow" w:hAnsi="Arial Narrow"/>
                <w:color w:val="000000"/>
                <w:lang w:eastAsia="es-ES"/>
              </w:rPr>
            </w:pPr>
          </w:p>
          <w:p w14:paraId="3CB43AA1" w14:textId="77777777" w:rsidR="00514CE5" w:rsidRPr="00CA4B53" w:rsidRDefault="00514CE5" w:rsidP="009C1821">
            <w:pPr>
              <w:jc w:val="both"/>
              <w:rPr>
                <w:rFonts w:ascii="Arial Narrow" w:hAnsi="Arial Narrow" w:cs="Arial"/>
                <w:color w:val="000000"/>
                <w:lang w:eastAsia="es-ES"/>
              </w:rPr>
            </w:pPr>
            <w:r w:rsidRPr="00CA4B53">
              <w:rPr>
                <w:rFonts w:ascii="Arial Narrow" w:hAnsi="Arial Narrow" w:cs="Arial"/>
                <w:color w:val="000000"/>
                <w:lang w:eastAsia="es-ES"/>
              </w:rPr>
              <w:t xml:space="preserve">Si esto no fuera posible o la evolución de los precios del mercado aconsejan el cierre de las Posiciones Abiertas con el fin de proteger la solvencia de </w:t>
            </w:r>
            <w:r w:rsidRPr="00CA4B53">
              <w:rPr>
                <w:rFonts w:ascii="Arial Narrow" w:hAnsi="Arial Narrow" w:cs="Arial"/>
                <w:b/>
                <w:bCs/>
                <w:color w:val="000000"/>
                <w:lang w:eastAsia="es-ES"/>
              </w:rPr>
              <w:t>LA CRCC</w:t>
            </w:r>
            <w:r w:rsidRPr="00CA4B53">
              <w:rPr>
                <w:rFonts w:ascii="Arial Narrow" w:hAnsi="Arial Narrow" w:cs="Arial"/>
                <w:color w:val="000000"/>
                <w:lang w:eastAsia="es-ES"/>
              </w:rPr>
              <w:t>, ésta procederá a cerrar las Posiciones Abiertas registradas en la Cuenta referida, ejecutando, en su caso, las Garantías constituidas.</w:t>
            </w:r>
          </w:p>
          <w:p w14:paraId="693A0150" w14:textId="77777777" w:rsidR="00514CE5" w:rsidRDefault="00514CE5" w:rsidP="009C1821">
            <w:pPr>
              <w:pStyle w:val="Prrafodelista"/>
              <w:ind w:left="141"/>
              <w:jc w:val="both"/>
              <w:rPr>
                <w:rFonts w:ascii="Arial Narrow" w:hAnsi="Arial Narrow"/>
                <w:color w:val="000000"/>
                <w:lang w:eastAsia="es-ES"/>
              </w:rPr>
            </w:pPr>
          </w:p>
          <w:p w14:paraId="71513732" w14:textId="77777777" w:rsidR="00514CE5" w:rsidRPr="00CA4B53" w:rsidRDefault="00514CE5" w:rsidP="009C1821">
            <w:pPr>
              <w:jc w:val="both"/>
              <w:rPr>
                <w:rFonts w:ascii="Arial Narrow" w:hAnsi="Arial Narrow" w:cs="Arial"/>
                <w:color w:val="000000"/>
                <w:lang w:eastAsia="es-ES"/>
              </w:rPr>
            </w:pPr>
            <w:r w:rsidRPr="00CA4B53">
              <w:rPr>
                <w:rFonts w:ascii="Arial Narrow" w:hAnsi="Arial Narrow" w:cs="Arial"/>
                <w:color w:val="000000"/>
                <w:lang w:eastAsia="es-ES"/>
              </w:rPr>
              <w:t xml:space="preserve">Las personas agrupadas en una Cuenta de Tercero Ómnibus Segregada por Cámara no podrán exigir de </w:t>
            </w:r>
            <w:r w:rsidRPr="00CA4B53">
              <w:rPr>
                <w:rFonts w:ascii="Arial Narrow" w:hAnsi="Arial Narrow" w:cs="Arial"/>
                <w:b/>
                <w:bCs/>
                <w:color w:val="000000"/>
                <w:lang w:eastAsia="es-ES"/>
              </w:rPr>
              <w:t>LA CRCC</w:t>
            </w:r>
            <w:r w:rsidRPr="00CA4B53">
              <w:rPr>
                <w:rFonts w:ascii="Arial Narrow" w:hAnsi="Arial Narrow" w:cs="Arial"/>
                <w:color w:val="000000"/>
                <w:lang w:eastAsia="es-ES"/>
              </w:rPr>
              <w:t xml:space="preserve"> el Ajuste de Posición Abierta, de las posiciones recogidas en dicha cuenta en caso de Incumplimiento del </w:t>
            </w:r>
            <w:r w:rsidRPr="00CA4B53">
              <w:rPr>
                <w:rFonts w:ascii="Arial Narrow" w:hAnsi="Arial Narrow" w:cs="Arial"/>
                <w:b/>
                <w:bCs/>
                <w:color w:val="000000"/>
                <w:lang w:eastAsia="es-ES"/>
              </w:rPr>
              <w:t>MIEMBRO</w:t>
            </w:r>
            <w:r w:rsidRPr="00CA4B53">
              <w:rPr>
                <w:rFonts w:ascii="Arial Narrow" w:hAnsi="Arial Narrow" w:cs="Arial"/>
                <w:color w:val="000000"/>
                <w:lang w:eastAsia="es-ES"/>
              </w:rPr>
              <w:t>.</w:t>
            </w:r>
          </w:p>
        </w:tc>
      </w:tr>
      <w:tr w:rsidR="00514CE5" w:rsidRPr="004D3326" w14:paraId="29D83FC7" w14:textId="77777777" w:rsidTr="009C1821">
        <w:trPr>
          <w:jc w:val="center"/>
        </w:trPr>
        <w:tc>
          <w:tcPr>
            <w:tcW w:w="8108" w:type="dxa"/>
            <w:gridSpan w:val="2"/>
          </w:tcPr>
          <w:p w14:paraId="725B0B95" w14:textId="77777777" w:rsidR="00514CE5" w:rsidRPr="004D3326" w:rsidRDefault="00514CE5" w:rsidP="009C1821">
            <w:pPr>
              <w:pStyle w:val="Prrafodelista"/>
              <w:ind w:left="141"/>
              <w:jc w:val="center"/>
              <w:rPr>
                <w:rFonts w:ascii="Arial Narrow" w:hAnsi="Arial Narrow"/>
                <w:i/>
                <w:iCs/>
                <w:color w:val="000000"/>
                <w:lang w:eastAsia="es-ES"/>
              </w:rPr>
            </w:pPr>
            <w:r w:rsidRPr="004D3326">
              <w:rPr>
                <w:rFonts w:ascii="Arial Narrow" w:hAnsi="Arial Narrow"/>
                <w:i/>
                <w:iCs/>
                <w:color w:val="000000"/>
                <w:lang w:eastAsia="es-ES"/>
              </w:rPr>
              <w:lastRenderedPageBreak/>
              <w:t>Obligaciones</w:t>
            </w:r>
          </w:p>
        </w:tc>
      </w:tr>
      <w:tr w:rsidR="00514CE5" w:rsidRPr="004D3326" w14:paraId="534F531E" w14:textId="77777777" w:rsidTr="009C1821">
        <w:trPr>
          <w:jc w:val="center"/>
        </w:trPr>
        <w:tc>
          <w:tcPr>
            <w:tcW w:w="4060" w:type="dxa"/>
          </w:tcPr>
          <w:p w14:paraId="68137774" w14:textId="77777777" w:rsidR="00514CE5" w:rsidRPr="004D3326" w:rsidRDefault="00514CE5" w:rsidP="009C1821">
            <w:pPr>
              <w:jc w:val="both"/>
              <w:rPr>
                <w:rFonts w:ascii="Arial Narrow" w:hAnsi="Arial Narrow" w:cs="Arial"/>
                <w:color w:val="000000"/>
                <w:lang w:eastAsia="es-ES"/>
              </w:rPr>
            </w:pPr>
            <w:r w:rsidRPr="004D3326">
              <w:rPr>
                <w:rFonts w:ascii="Arial Narrow" w:hAnsi="Arial Narrow" w:cs="Arial"/>
                <w:color w:val="000000"/>
                <w:lang w:eastAsia="es-ES"/>
              </w:rPr>
              <w:t xml:space="preserve">Cumplir el Reglamento, así como lo acordado con </w:t>
            </w:r>
            <w:r w:rsidRPr="004D3326">
              <w:rPr>
                <w:rFonts w:ascii="Arial Narrow" w:hAnsi="Arial Narrow" w:cs="Arial"/>
                <w:b/>
                <w:bCs/>
                <w:color w:val="000000"/>
                <w:lang w:eastAsia="es-ES"/>
              </w:rPr>
              <w:t>EL MIEMBRO</w:t>
            </w:r>
            <w:r w:rsidRPr="004D3326">
              <w:rPr>
                <w:rFonts w:ascii="Arial Narrow" w:hAnsi="Arial Narrow" w:cs="Arial"/>
                <w:color w:val="000000"/>
                <w:lang w:eastAsia="es-ES"/>
              </w:rPr>
              <w:t xml:space="preserve"> respectivo. </w:t>
            </w:r>
          </w:p>
        </w:tc>
        <w:tc>
          <w:tcPr>
            <w:tcW w:w="4048" w:type="dxa"/>
          </w:tcPr>
          <w:p w14:paraId="4DDA85E4" w14:textId="77777777" w:rsidR="00514CE5" w:rsidRPr="004D3326" w:rsidRDefault="00514CE5" w:rsidP="009C1821">
            <w:pPr>
              <w:jc w:val="both"/>
              <w:rPr>
                <w:rFonts w:ascii="Arial Narrow" w:hAnsi="Arial Narrow" w:cs="Arial"/>
                <w:color w:val="000000"/>
                <w:lang w:eastAsia="es-ES"/>
              </w:rPr>
            </w:pPr>
            <w:r w:rsidRPr="00347EDB">
              <w:rPr>
                <w:rFonts w:ascii="Arial Narrow" w:hAnsi="Arial Narrow" w:cs="Arial"/>
                <w:color w:val="000000"/>
                <w:lang w:eastAsia="es-ES"/>
              </w:rPr>
              <w:t xml:space="preserve">Cumplir el Reglamento, así como lo acordado con </w:t>
            </w:r>
            <w:r w:rsidRPr="00347EDB">
              <w:rPr>
                <w:rFonts w:ascii="Arial Narrow" w:hAnsi="Arial Narrow" w:cs="Arial"/>
                <w:b/>
                <w:bCs/>
                <w:color w:val="000000"/>
                <w:lang w:eastAsia="es-ES"/>
              </w:rPr>
              <w:t>EL MIEMBRO</w:t>
            </w:r>
            <w:r w:rsidRPr="00347EDB">
              <w:rPr>
                <w:rFonts w:ascii="Arial Narrow" w:hAnsi="Arial Narrow" w:cs="Arial"/>
                <w:color w:val="000000"/>
                <w:lang w:eastAsia="es-ES"/>
              </w:rPr>
              <w:t xml:space="preserve"> respectivo.</w:t>
            </w:r>
          </w:p>
        </w:tc>
      </w:tr>
      <w:tr w:rsidR="00514CE5" w:rsidRPr="004D3326" w14:paraId="2175D90C" w14:textId="77777777" w:rsidTr="009C1821">
        <w:trPr>
          <w:jc w:val="center"/>
        </w:trPr>
        <w:tc>
          <w:tcPr>
            <w:tcW w:w="4060" w:type="dxa"/>
          </w:tcPr>
          <w:p w14:paraId="25349731" w14:textId="77777777" w:rsidR="00514CE5" w:rsidRPr="003C1249" w:rsidRDefault="00514CE5" w:rsidP="009C1821">
            <w:pPr>
              <w:jc w:val="both"/>
              <w:rPr>
                <w:rFonts w:ascii="Arial Narrow" w:hAnsi="Arial Narrow" w:cs="Arial"/>
                <w:color w:val="000000"/>
                <w:lang w:eastAsia="es-ES"/>
              </w:rPr>
            </w:pPr>
            <w:r w:rsidRPr="00347EDB">
              <w:rPr>
                <w:rFonts w:ascii="Arial Narrow" w:hAnsi="Arial Narrow" w:cs="Arial"/>
                <w:color w:val="000000"/>
                <w:lang w:eastAsia="es-ES"/>
              </w:rPr>
              <w:t xml:space="preserve">Entregar a </w:t>
            </w:r>
            <w:r w:rsidRPr="00347EDB">
              <w:rPr>
                <w:rFonts w:ascii="Arial Narrow" w:hAnsi="Arial Narrow" w:cs="Arial"/>
                <w:b/>
                <w:bCs/>
                <w:color w:val="000000"/>
                <w:lang w:eastAsia="es-ES"/>
              </w:rPr>
              <w:t>LA CRCC</w:t>
            </w:r>
            <w:r w:rsidRPr="00347EDB">
              <w:rPr>
                <w:rFonts w:ascii="Arial Narrow" w:hAnsi="Arial Narrow" w:cs="Arial"/>
                <w:color w:val="000000"/>
                <w:lang w:eastAsia="es-ES"/>
              </w:rPr>
              <w:t xml:space="preserve">, a través de su </w:t>
            </w:r>
            <w:r w:rsidRPr="00347EDB">
              <w:rPr>
                <w:rFonts w:ascii="Arial Narrow" w:hAnsi="Arial Narrow" w:cs="Arial"/>
                <w:b/>
                <w:bCs/>
                <w:color w:val="000000"/>
                <w:lang w:eastAsia="es-ES"/>
              </w:rPr>
              <w:t>MIEMBRO</w:t>
            </w:r>
            <w:r w:rsidRPr="00347EDB">
              <w:rPr>
                <w:rFonts w:ascii="Arial Narrow" w:hAnsi="Arial Narrow" w:cs="Arial"/>
                <w:color w:val="000000"/>
                <w:lang w:eastAsia="es-ES"/>
              </w:rPr>
              <w:t>, los dineros o los Activos que le corresponda entregar, en virtud de las operaciones realizadas por su cuenta y registradas en una Cuenta de Tercero Identificado, en las condiciones y términos previstos en el Reglamento y en la Circular.</w:t>
            </w:r>
          </w:p>
        </w:tc>
        <w:tc>
          <w:tcPr>
            <w:tcW w:w="4048" w:type="dxa"/>
          </w:tcPr>
          <w:p w14:paraId="6D98FEDA" w14:textId="77777777" w:rsidR="00514CE5" w:rsidRPr="00A16AB9" w:rsidRDefault="00514CE5" w:rsidP="009C1821">
            <w:pPr>
              <w:jc w:val="both"/>
              <w:rPr>
                <w:rFonts w:ascii="Arial Narrow" w:hAnsi="Arial Narrow" w:cs="Arial"/>
                <w:color w:val="000000"/>
                <w:lang w:eastAsia="es-ES"/>
              </w:rPr>
            </w:pPr>
            <w:r w:rsidRPr="00A16AB9">
              <w:rPr>
                <w:rFonts w:ascii="Arial Narrow" w:hAnsi="Arial Narrow" w:cs="Arial"/>
                <w:color w:val="000000"/>
                <w:lang w:eastAsia="es-ES"/>
              </w:rPr>
              <w:t xml:space="preserve">Entregar a su </w:t>
            </w:r>
            <w:r w:rsidRPr="00A16AB9">
              <w:rPr>
                <w:rFonts w:ascii="Arial Narrow" w:hAnsi="Arial Narrow" w:cs="Arial"/>
                <w:b/>
                <w:bCs/>
                <w:color w:val="000000"/>
                <w:lang w:eastAsia="es-ES"/>
              </w:rPr>
              <w:t>MIEMBRO</w:t>
            </w:r>
            <w:r w:rsidRPr="00A16AB9">
              <w:rPr>
                <w:rFonts w:ascii="Arial Narrow" w:hAnsi="Arial Narrow" w:cs="Arial"/>
                <w:color w:val="000000"/>
                <w:lang w:eastAsia="es-ES"/>
              </w:rPr>
              <w:t xml:space="preserve"> los dineros o los Activos que le corresponda entregar, en virtud de las operaciones realizadas por su cuenta y registradas en una Cuenta de Terceros Ómnibus Segregada por Cámara, en las condiciones y términos previstos en el Reglamento y en la Circular. </w:t>
            </w:r>
          </w:p>
        </w:tc>
      </w:tr>
      <w:tr w:rsidR="00514CE5" w:rsidRPr="004D3326" w14:paraId="0DCFA47A" w14:textId="77777777" w:rsidTr="009C1821">
        <w:trPr>
          <w:jc w:val="center"/>
        </w:trPr>
        <w:tc>
          <w:tcPr>
            <w:tcW w:w="4060" w:type="dxa"/>
          </w:tcPr>
          <w:p w14:paraId="411471E8" w14:textId="77777777" w:rsidR="00514CE5" w:rsidRPr="004D3326" w:rsidRDefault="00514CE5" w:rsidP="009C1821">
            <w:pPr>
              <w:jc w:val="both"/>
              <w:rPr>
                <w:rFonts w:ascii="Arial Narrow" w:hAnsi="Arial Narrow" w:cs="Arial"/>
                <w:color w:val="000000"/>
                <w:lang w:eastAsia="es-ES"/>
              </w:rPr>
            </w:pPr>
            <w:r w:rsidRPr="004D3326">
              <w:rPr>
                <w:rFonts w:ascii="Arial Narrow" w:hAnsi="Arial Narrow" w:cs="Arial"/>
                <w:color w:val="000000"/>
                <w:lang w:eastAsia="es-ES"/>
              </w:rPr>
              <w:t xml:space="preserve">Constituir las Garantías que le correspondan frente a su </w:t>
            </w:r>
            <w:r w:rsidRPr="004D3326">
              <w:rPr>
                <w:rFonts w:ascii="Arial Narrow" w:hAnsi="Arial Narrow" w:cs="Arial"/>
                <w:b/>
                <w:bCs/>
                <w:color w:val="000000"/>
                <w:lang w:eastAsia="es-ES"/>
              </w:rPr>
              <w:t>MIEMBRO</w:t>
            </w:r>
            <w:r w:rsidRPr="004D3326">
              <w:rPr>
                <w:rFonts w:ascii="Arial Narrow" w:hAnsi="Arial Narrow" w:cs="Arial"/>
                <w:color w:val="000000"/>
                <w:lang w:eastAsia="es-ES"/>
              </w:rPr>
              <w:t xml:space="preserve"> y en caso de no constituirlas acepta que </w:t>
            </w:r>
            <w:r w:rsidRPr="004D3326">
              <w:rPr>
                <w:rFonts w:ascii="Arial Narrow" w:hAnsi="Arial Narrow" w:cs="Arial"/>
                <w:b/>
                <w:bCs/>
                <w:color w:val="000000"/>
                <w:lang w:eastAsia="es-ES"/>
              </w:rPr>
              <w:t>LA CRCC</w:t>
            </w:r>
            <w:r w:rsidRPr="004D3326">
              <w:rPr>
                <w:rFonts w:ascii="Arial Narrow" w:hAnsi="Arial Narrow" w:cs="Arial"/>
                <w:color w:val="000000"/>
                <w:lang w:eastAsia="es-ES"/>
              </w:rPr>
              <w:t xml:space="preserve"> podrá liquidar por cuenta del Tercero todas sus Posiciones en todos los Segmentos en que participe, y </w:t>
            </w:r>
            <w:r w:rsidRPr="004D3326">
              <w:rPr>
                <w:rFonts w:ascii="Arial Narrow" w:hAnsi="Arial Narrow" w:cs="Arial"/>
                <w:b/>
                <w:bCs/>
                <w:color w:val="000000"/>
                <w:lang w:eastAsia="es-ES"/>
              </w:rPr>
              <w:t>LA CRCC</w:t>
            </w:r>
            <w:r w:rsidRPr="004D3326">
              <w:rPr>
                <w:rFonts w:ascii="Arial Narrow" w:hAnsi="Arial Narrow" w:cs="Arial"/>
                <w:color w:val="000000"/>
                <w:lang w:eastAsia="es-ES"/>
              </w:rPr>
              <w:t xml:space="preserve"> ejecutará las Garantías previamente constituidas si fuese necesario y entregará al Tercero el resultado de dicha Liquidación si fuese a su favor o reclamándosela al Tercero si fuese a favor de </w:t>
            </w:r>
            <w:r w:rsidRPr="004D3326">
              <w:rPr>
                <w:rFonts w:ascii="Arial Narrow" w:hAnsi="Arial Narrow" w:cs="Arial"/>
                <w:b/>
                <w:bCs/>
                <w:color w:val="000000"/>
                <w:lang w:eastAsia="es-ES"/>
              </w:rPr>
              <w:t>LA CRCC</w:t>
            </w:r>
            <w:r w:rsidRPr="004D3326">
              <w:rPr>
                <w:rFonts w:ascii="Arial Narrow" w:hAnsi="Arial Narrow" w:cs="Arial"/>
                <w:color w:val="000000"/>
                <w:lang w:eastAsia="es-ES"/>
              </w:rPr>
              <w:t xml:space="preserve"> o del </w:t>
            </w:r>
            <w:r w:rsidRPr="004D3326">
              <w:rPr>
                <w:rFonts w:ascii="Arial Narrow" w:hAnsi="Arial Narrow" w:cs="Arial"/>
                <w:b/>
                <w:bCs/>
                <w:color w:val="000000"/>
                <w:lang w:eastAsia="es-ES"/>
              </w:rPr>
              <w:t>MIEMBRO</w:t>
            </w:r>
            <w:r w:rsidRPr="004D3326">
              <w:rPr>
                <w:rFonts w:ascii="Arial Narrow" w:hAnsi="Arial Narrow" w:cs="Arial"/>
                <w:color w:val="000000"/>
                <w:lang w:eastAsia="es-ES"/>
              </w:rPr>
              <w:t xml:space="preserve">, según el </w:t>
            </w:r>
            <w:r w:rsidRPr="004D3326">
              <w:rPr>
                <w:rFonts w:ascii="Arial Narrow" w:hAnsi="Arial Narrow" w:cs="Arial"/>
                <w:color w:val="000000"/>
                <w:lang w:eastAsia="es-ES"/>
              </w:rPr>
              <w:lastRenderedPageBreak/>
              <w:t xml:space="preserve">caso, así como tomar cualesquiera otras medidas que se prevean en el Reglamento. </w:t>
            </w:r>
          </w:p>
        </w:tc>
        <w:tc>
          <w:tcPr>
            <w:tcW w:w="4048" w:type="dxa"/>
          </w:tcPr>
          <w:p w14:paraId="4862B53C" w14:textId="77777777" w:rsidR="00514CE5" w:rsidRPr="004D3326" w:rsidRDefault="00514CE5" w:rsidP="009C1821">
            <w:pPr>
              <w:jc w:val="both"/>
              <w:rPr>
                <w:rFonts w:ascii="Arial Narrow" w:hAnsi="Arial Narrow" w:cs="Arial"/>
                <w:color w:val="000000"/>
                <w:lang w:eastAsia="es-ES"/>
              </w:rPr>
            </w:pPr>
            <w:r w:rsidRPr="004D3326">
              <w:rPr>
                <w:rFonts w:ascii="Arial Narrow" w:hAnsi="Arial Narrow" w:cs="Arial"/>
                <w:color w:val="000000"/>
                <w:lang w:eastAsia="es-ES"/>
              </w:rPr>
              <w:lastRenderedPageBreak/>
              <w:t xml:space="preserve">Constituir las Garantías que le </w:t>
            </w:r>
            <w:r>
              <w:rPr>
                <w:rFonts w:ascii="Arial Narrow" w:hAnsi="Arial Narrow" w:cs="Arial"/>
                <w:color w:val="000000"/>
                <w:lang w:eastAsia="es-ES"/>
              </w:rPr>
              <w:t xml:space="preserve">exija </w:t>
            </w:r>
            <w:r w:rsidRPr="004D3326">
              <w:rPr>
                <w:rFonts w:ascii="Arial Narrow" w:hAnsi="Arial Narrow" w:cs="Arial"/>
                <w:color w:val="000000"/>
                <w:lang w:eastAsia="es-ES"/>
              </w:rPr>
              <w:t xml:space="preserve">su </w:t>
            </w:r>
            <w:r w:rsidRPr="004D3326">
              <w:rPr>
                <w:rFonts w:ascii="Arial Narrow" w:hAnsi="Arial Narrow" w:cs="Arial"/>
                <w:b/>
                <w:bCs/>
                <w:color w:val="000000"/>
                <w:lang w:eastAsia="es-ES"/>
              </w:rPr>
              <w:t>MIEMBRO</w:t>
            </w:r>
            <w:r w:rsidRPr="004D3326">
              <w:rPr>
                <w:rFonts w:ascii="Arial Narrow" w:hAnsi="Arial Narrow" w:cs="Arial"/>
                <w:color w:val="000000"/>
                <w:lang w:eastAsia="es-ES"/>
              </w:rPr>
              <w:t xml:space="preserve"> y en caso de no constituirlas acepta que </w:t>
            </w:r>
            <w:r w:rsidRPr="004D3326">
              <w:rPr>
                <w:rFonts w:ascii="Arial Narrow" w:hAnsi="Arial Narrow" w:cs="Arial"/>
                <w:b/>
                <w:bCs/>
                <w:color w:val="000000"/>
                <w:lang w:eastAsia="es-ES"/>
              </w:rPr>
              <w:t>EL MIEMBRO</w:t>
            </w:r>
            <w:r w:rsidRPr="004D3326">
              <w:rPr>
                <w:rFonts w:ascii="Arial Narrow" w:hAnsi="Arial Narrow" w:cs="Arial"/>
                <w:color w:val="000000"/>
                <w:lang w:eastAsia="es-ES"/>
              </w:rPr>
              <w:t xml:space="preserve"> titular de la respectiva Cuenta de Tercero Ómnibus Segregada por Cámara podrá liquidar por cuenta del Tercero todas sus Posiciones en todos los Segmentos en que participe, y </w:t>
            </w:r>
            <w:r w:rsidRPr="004D3326">
              <w:rPr>
                <w:rFonts w:ascii="Arial Narrow" w:hAnsi="Arial Narrow" w:cs="Arial"/>
                <w:b/>
                <w:bCs/>
                <w:color w:val="000000"/>
                <w:lang w:eastAsia="es-ES"/>
              </w:rPr>
              <w:t>LA CRCC</w:t>
            </w:r>
            <w:r w:rsidRPr="004D3326">
              <w:rPr>
                <w:rFonts w:ascii="Arial Narrow" w:hAnsi="Arial Narrow" w:cs="Arial"/>
                <w:color w:val="000000"/>
                <w:lang w:eastAsia="es-ES"/>
              </w:rPr>
              <w:t xml:space="preserve"> ejecutará las Garantías Admisibles previamente constituidas</w:t>
            </w:r>
            <w:r>
              <w:rPr>
                <w:rFonts w:ascii="Arial Narrow" w:hAnsi="Arial Narrow" w:cs="Arial"/>
                <w:color w:val="000000"/>
                <w:lang w:eastAsia="es-ES"/>
              </w:rPr>
              <w:t xml:space="preserve"> por el Tercero</w:t>
            </w:r>
            <w:r w:rsidRPr="004D3326">
              <w:rPr>
                <w:rFonts w:ascii="Arial Narrow" w:hAnsi="Arial Narrow" w:cs="Arial"/>
                <w:color w:val="000000"/>
                <w:lang w:eastAsia="es-ES"/>
              </w:rPr>
              <w:t xml:space="preserve"> si fuese necesario y entregará al </w:t>
            </w:r>
            <w:r w:rsidRPr="004D3326">
              <w:rPr>
                <w:rFonts w:ascii="Arial Narrow" w:hAnsi="Arial Narrow" w:cs="Arial"/>
                <w:b/>
                <w:bCs/>
                <w:color w:val="000000"/>
                <w:lang w:eastAsia="es-ES"/>
              </w:rPr>
              <w:t>MIEMBRO</w:t>
            </w:r>
            <w:r w:rsidRPr="004D3326">
              <w:rPr>
                <w:rFonts w:ascii="Arial Narrow" w:hAnsi="Arial Narrow" w:cs="Arial"/>
                <w:color w:val="000000"/>
                <w:lang w:eastAsia="es-ES"/>
              </w:rPr>
              <w:t xml:space="preserve"> titular de la Cuenta de Tercero Ómnibus </w:t>
            </w:r>
            <w:r w:rsidRPr="004D3326">
              <w:rPr>
                <w:rFonts w:ascii="Arial Narrow" w:hAnsi="Arial Narrow" w:cs="Arial"/>
                <w:color w:val="000000"/>
                <w:lang w:eastAsia="es-ES"/>
              </w:rPr>
              <w:lastRenderedPageBreak/>
              <w:t xml:space="preserve">Segregada por Cámara el resultado de dicha Liquidación si fuese a su favor o reclamándosela al Tercero si fuese a favor del </w:t>
            </w:r>
            <w:r w:rsidRPr="004D3326">
              <w:rPr>
                <w:rFonts w:ascii="Arial Narrow" w:hAnsi="Arial Narrow" w:cs="Arial"/>
                <w:b/>
                <w:bCs/>
                <w:color w:val="000000"/>
                <w:lang w:eastAsia="es-ES"/>
              </w:rPr>
              <w:t>MIEMBRO</w:t>
            </w:r>
            <w:r w:rsidRPr="004D3326">
              <w:rPr>
                <w:rFonts w:ascii="Arial Narrow" w:hAnsi="Arial Narrow" w:cs="Arial"/>
                <w:color w:val="000000"/>
                <w:lang w:eastAsia="es-ES"/>
              </w:rPr>
              <w:t>, según el caso, así como tomar cualesquiera otras medidas que se prevean en el Reglamento.</w:t>
            </w:r>
          </w:p>
        </w:tc>
      </w:tr>
      <w:tr w:rsidR="00514CE5" w:rsidRPr="004D3326" w14:paraId="45ED0EE5" w14:textId="77777777" w:rsidTr="009C1821">
        <w:trPr>
          <w:jc w:val="center"/>
        </w:trPr>
        <w:tc>
          <w:tcPr>
            <w:tcW w:w="4060" w:type="dxa"/>
          </w:tcPr>
          <w:p w14:paraId="71E5A273" w14:textId="77777777" w:rsidR="00514CE5" w:rsidRPr="004D3326" w:rsidRDefault="00514CE5" w:rsidP="009C1821">
            <w:pPr>
              <w:jc w:val="both"/>
              <w:rPr>
                <w:rFonts w:ascii="Arial Narrow" w:hAnsi="Arial Narrow" w:cs="Arial"/>
                <w:color w:val="000000"/>
                <w:lang w:eastAsia="es-ES"/>
              </w:rPr>
            </w:pPr>
            <w:r w:rsidRPr="004D3326">
              <w:rPr>
                <w:rFonts w:ascii="Arial Narrow" w:hAnsi="Arial Narrow" w:cs="Arial"/>
                <w:color w:val="000000"/>
                <w:lang w:eastAsia="es-ES"/>
              </w:rPr>
              <w:lastRenderedPageBreak/>
              <w:t xml:space="preserve">Ser titular de cuentas en los depósitos de valores que establezca </w:t>
            </w:r>
            <w:r w:rsidRPr="004D3326">
              <w:rPr>
                <w:rFonts w:ascii="Arial Narrow" w:hAnsi="Arial Narrow" w:cs="Arial"/>
                <w:b/>
                <w:bCs/>
                <w:color w:val="000000"/>
                <w:lang w:eastAsia="es-ES"/>
              </w:rPr>
              <w:t>LA CRCC</w:t>
            </w:r>
            <w:r w:rsidRPr="004D3326">
              <w:rPr>
                <w:rFonts w:ascii="Arial Narrow" w:hAnsi="Arial Narrow" w:cs="Arial"/>
                <w:color w:val="000000"/>
                <w:lang w:eastAsia="es-ES"/>
              </w:rPr>
              <w:t xml:space="preserve">, a través de los correspondientes </w:t>
            </w:r>
            <w:r w:rsidRPr="004D3326">
              <w:rPr>
                <w:rFonts w:ascii="Arial Narrow" w:hAnsi="Arial Narrow" w:cs="Arial"/>
                <w:b/>
                <w:bCs/>
                <w:color w:val="000000"/>
                <w:lang w:eastAsia="es-ES"/>
              </w:rPr>
              <w:t>MIEMBROS</w:t>
            </w:r>
            <w:r w:rsidRPr="004D3326">
              <w:rPr>
                <w:rFonts w:ascii="Arial Narrow" w:hAnsi="Arial Narrow" w:cs="Arial"/>
                <w:color w:val="000000"/>
                <w:lang w:eastAsia="es-ES"/>
              </w:rPr>
              <w:t>.</w:t>
            </w:r>
          </w:p>
        </w:tc>
        <w:tc>
          <w:tcPr>
            <w:tcW w:w="4048" w:type="dxa"/>
          </w:tcPr>
          <w:p w14:paraId="11961695" w14:textId="77777777" w:rsidR="00514CE5" w:rsidRPr="00CA4B53" w:rsidRDefault="00514CE5" w:rsidP="009C1821">
            <w:pPr>
              <w:jc w:val="both"/>
              <w:rPr>
                <w:rFonts w:ascii="Arial Narrow" w:hAnsi="Arial Narrow" w:cs="Arial"/>
                <w:color w:val="000000"/>
                <w:lang w:eastAsia="es-ES"/>
              </w:rPr>
            </w:pPr>
            <w:r w:rsidRPr="00CA4B53">
              <w:rPr>
                <w:rFonts w:ascii="Arial Narrow" w:hAnsi="Arial Narrow" w:cs="Arial"/>
                <w:color w:val="000000"/>
                <w:lang w:eastAsia="es-ES"/>
              </w:rPr>
              <w:t xml:space="preserve">Ser titular de cuentas en los depósitos de valores que establezca </w:t>
            </w:r>
            <w:r w:rsidRPr="00CA4B53">
              <w:rPr>
                <w:rFonts w:ascii="Arial Narrow" w:hAnsi="Arial Narrow" w:cs="Arial"/>
                <w:b/>
                <w:bCs/>
                <w:color w:val="000000"/>
                <w:lang w:eastAsia="es-ES"/>
              </w:rPr>
              <w:t>LA CRCC</w:t>
            </w:r>
            <w:r w:rsidRPr="00CA4B53">
              <w:rPr>
                <w:rFonts w:ascii="Arial Narrow" w:hAnsi="Arial Narrow" w:cs="Arial"/>
                <w:color w:val="000000"/>
                <w:lang w:eastAsia="es-ES"/>
              </w:rPr>
              <w:t xml:space="preserve">, a través de los correspondientes </w:t>
            </w:r>
            <w:r w:rsidRPr="00CA4B53">
              <w:rPr>
                <w:rFonts w:ascii="Arial Narrow" w:hAnsi="Arial Narrow" w:cs="Arial"/>
                <w:b/>
                <w:bCs/>
                <w:color w:val="000000"/>
                <w:lang w:eastAsia="es-ES"/>
              </w:rPr>
              <w:t>MIEMBROS</w:t>
            </w:r>
            <w:r w:rsidRPr="00CA4B53">
              <w:rPr>
                <w:rFonts w:ascii="Arial Narrow" w:hAnsi="Arial Narrow" w:cs="Arial"/>
                <w:color w:val="000000"/>
                <w:lang w:eastAsia="es-ES"/>
              </w:rPr>
              <w:t>.</w:t>
            </w:r>
          </w:p>
        </w:tc>
      </w:tr>
    </w:tbl>
    <w:p w14:paraId="32614CF2" w14:textId="77777777" w:rsidR="00514CE5" w:rsidRPr="007F32ED" w:rsidRDefault="00514CE5" w:rsidP="00514CE5">
      <w:pPr>
        <w:rPr>
          <w:rFonts w:ascii="Arial Narrow" w:hAnsi="Arial Narrow" w:cs="Arial"/>
          <w:color w:val="000000"/>
          <w:lang w:eastAsia="es-ES"/>
        </w:rPr>
      </w:pPr>
    </w:p>
    <w:p w14:paraId="59D1AD04" w14:textId="77777777" w:rsidR="00514CE5" w:rsidRPr="009C1821" w:rsidRDefault="00514CE5" w:rsidP="00DA7472">
      <w:pPr>
        <w:pStyle w:val="Prrafodelista"/>
        <w:numPr>
          <w:ilvl w:val="0"/>
          <w:numId w:val="372"/>
        </w:numPr>
        <w:spacing w:after="160"/>
        <w:ind w:left="426"/>
        <w:contextualSpacing/>
        <w:jc w:val="both"/>
        <w:rPr>
          <w:rFonts w:ascii="Arial Narrow" w:hAnsi="Arial Narrow"/>
          <w:b w:val="0"/>
          <w:bCs/>
          <w:lang w:eastAsia="es-ES"/>
        </w:rPr>
      </w:pPr>
      <w:r w:rsidRPr="009C1821">
        <w:rPr>
          <w:rFonts w:ascii="Arial Narrow" w:hAnsi="Arial Narrow"/>
          <w:b w:val="0"/>
          <w:bCs/>
          <w:color w:val="000000"/>
          <w:lang w:eastAsia="es-ES"/>
        </w:rPr>
        <w:t>Los derechos de los Terceros del exterior cuyas operaciones son registradas en Cuentas de Terceros Ómnibus Segregada por Cámara son los siguientes:</w:t>
      </w:r>
    </w:p>
    <w:p w14:paraId="5BE748C5" w14:textId="77777777" w:rsidR="00514CE5" w:rsidRPr="009C1821" w:rsidRDefault="00514CE5" w:rsidP="00514CE5">
      <w:pPr>
        <w:pStyle w:val="Prrafodelista"/>
        <w:rPr>
          <w:rFonts w:ascii="Arial Narrow" w:hAnsi="Arial Narrow"/>
          <w:b w:val="0"/>
          <w:bCs/>
          <w:color w:val="000000"/>
          <w:lang w:eastAsia="es-ES"/>
        </w:rPr>
      </w:pPr>
    </w:p>
    <w:p w14:paraId="52DF90FF" w14:textId="77777777" w:rsidR="00514CE5" w:rsidRPr="009C1821" w:rsidRDefault="00514CE5" w:rsidP="00DA7472">
      <w:pPr>
        <w:pStyle w:val="Prrafodelista"/>
        <w:numPr>
          <w:ilvl w:val="0"/>
          <w:numId w:val="374"/>
        </w:numPr>
        <w:spacing w:after="160"/>
        <w:ind w:left="851" w:hanging="425"/>
        <w:contextualSpacing/>
        <w:jc w:val="both"/>
        <w:rPr>
          <w:rFonts w:ascii="Arial Narrow" w:hAnsi="Arial Narrow"/>
          <w:b w:val="0"/>
          <w:bCs/>
          <w:lang w:eastAsia="es-ES"/>
        </w:rPr>
      </w:pPr>
      <w:r w:rsidRPr="009C1821">
        <w:rPr>
          <w:rFonts w:ascii="Arial Narrow" w:hAnsi="Arial Narrow"/>
          <w:b w:val="0"/>
          <w:bCs/>
          <w:color w:val="000000"/>
          <w:lang w:eastAsia="es-ES"/>
        </w:rPr>
        <w:t xml:space="preserve">Mientras no sean identificados ante </w:t>
      </w:r>
      <w:r w:rsidRPr="009C1821">
        <w:rPr>
          <w:rFonts w:ascii="Arial Narrow" w:hAnsi="Arial Narrow"/>
          <w:color w:val="000000"/>
          <w:lang w:eastAsia="es-ES"/>
        </w:rPr>
        <w:t>LA CRCC</w:t>
      </w:r>
      <w:r w:rsidRPr="009C1821">
        <w:rPr>
          <w:rFonts w:ascii="Arial Narrow" w:hAnsi="Arial Narrow"/>
          <w:b w:val="0"/>
          <w:bCs/>
          <w:color w:val="000000"/>
          <w:lang w:eastAsia="es-ES"/>
        </w:rPr>
        <w:t xml:space="preserve">, serán los derechos de los Terceros no Identificados previstos en el artículo 2.1.24. del Reglamento y así se mantendrán en el evento en que su identificación se efectúe después de liquidada la operación. De acuerdo con el artículo 2.1.24. del Reglamento, los derechos y obligaciones de los Terceros no Identificados derivados de las operaciones efectuadas por su cuenta, lo son únicamente respecto del </w:t>
      </w:r>
      <w:r w:rsidRPr="009C1821">
        <w:rPr>
          <w:rFonts w:ascii="Arial Narrow" w:hAnsi="Arial Narrow"/>
          <w:color w:val="000000"/>
          <w:lang w:eastAsia="es-ES"/>
        </w:rPr>
        <w:t>MIEMBRO</w:t>
      </w:r>
      <w:r w:rsidRPr="009C1821">
        <w:rPr>
          <w:rFonts w:ascii="Arial Narrow" w:hAnsi="Arial Narrow"/>
          <w:b w:val="0"/>
          <w:bCs/>
          <w:color w:val="000000"/>
          <w:lang w:eastAsia="es-ES"/>
        </w:rPr>
        <w:t xml:space="preserve"> correspondiente y en ningún caso respecto de </w:t>
      </w:r>
      <w:r w:rsidRPr="009C1821">
        <w:rPr>
          <w:rFonts w:ascii="Arial Narrow" w:hAnsi="Arial Narrow"/>
          <w:color w:val="000000"/>
          <w:lang w:eastAsia="es-ES"/>
        </w:rPr>
        <w:t>LA CRCC</w:t>
      </w:r>
      <w:r w:rsidRPr="009C1821">
        <w:rPr>
          <w:rFonts w:ascii="Arial Narrow" w:hAnsi="Arial Narrow"/>
          <w:b w:val="0"/>
          <w:bCs/>
          <w:color w:val="000000"/>
          <w:lang w:eastAsia="es-ES"/>
        </w:rPr>
        <w:t xml:space="preserve">. Para todos los efectos, se entenderá que las disposiciones establecidas y las obligaciones derivadas de la aceptación de operaciones realizadas por cuenta de los Terceros no Identificados para la Compensación y Liquidación por parte de </w:t>
      </w:r>
      <w:r w:rsidRPr="009C1821">
        <w:rPr>
          <w:rFonts w:ascii="Arial Narrow" w:hAnsi="Arial Narrow"/>
          <w:color w:val="000000"/>
          <w:lang w:eastAsia="es-ES"/>
        </w:rPr>
        <w:t>LA CRCC</w:t>
      </w:r>
      <w:r w:rsidRPr="009C1821">
        <w:rPr>
          <w:rFonts w:ascii="Arial Narrow" w:hAnsi="Arial Narrow"/>
          <w:b w:val="0"/>
          <w:bCs/>
          <w:color w:val="000000"/>
          <w:lang w:eastAsia="es-ES"/>
        </w:rPr>
        <w:t xml:space="preserve"> son asumidas directamente por los </w:t>
      </w:r>
      <w:r w:rsidRPr="009C1821">
        <w:rPr>
          <w:rFonts w:ascii="Arial Narrow" w:hAnsi="Arial Narrow"/>
          <w:color w:val="000000"/>
          <w:lang w:eastAsia="es-ES"/>
        </w:rPr>
        <w:t>MIEMBROS</w:t>
      </w:r>
      <w:r w:rsidRPr="009C1821">
        <w:rPr>
          <w:rFonts w:ascii="Arial Narrow" w:hAnsi="Arial Narrow"/>
          <w:b w:val="0"/>
          <w:bCs/>
          <w:color w:val="000000"/>
          <w:lang w:eastAsia="es-ES"/>
        </w:rPr>
        <w:t xml:space="preserve"> a través de las cuales estos actúen y no crean vínculos ni por activa ni por pasiva con </w:t>
      </w:r>
      <w:r w:rsidRPr="009C1821">
        <w:rPr>
          <w:rFonts w:ascii="Arial Narrow" w:hAnsi="Arial Narrow"/>
          <w:color w:val="000000"/>
          <w:lang w:eastAsia="es-ES"/>
        </w:rPr>
        <w:t>LA CRCC</w:t>
      </w:r>
      <w:r w:rsidRPr="009C1821">
        <w:rPr>
          <w:rFonts w:ascii="Arial Narrow" w:hAnsi="Arial Narrow"/>
          <w:b w:val="0"/>
          <w:bCs/>
          <w:color w:val="000000"/>
          <w:lang w:eastAsia="es-ES"/>
        </w:rPr>
        <w:t>.</w:t>
      </w:r>
    </w:p>
    <w:p w14:paraId="65CA61E6" w14:textId="77777777" w:rsidR="00514CE5" w:rsidRPr="009C1821" w:rsidRDefault="00514CE5" w:rsidP="00514CE5">
      <w:pPr>
        <w:pStyle w:val="Prrafodelista"/>
        <w:ind w:left="851"/>
        <w:rPr>
          <w:rFonts w:ascii="Arial Narrow" w:hAnsi="Arial Narrow"/>
          <w:b w:val="0"/>
          <w:bCs/>
          <w:lang w:eastAsia="es-ES"/>
        </w:rPr>
      </w:pPr>
    </w:p>
    <w:p w14:paraId="201A978A" w14:textId="77777777" w:rsidR="00514CE5" w:rsidRPr="009C1821" w:rsidRDefault="00514CE5" w:rsidP="00DA7472">
      <w:pPr>
        <w:pStyle w:val="Prrafodelista"/>
        <w:numPr>
          <w:ilvl w:val="0"/>
          <w:numId w:val="374"/>
        </w:numPr>
        <w:spacing w:after="160"/>
        <w:ind w:left="851" w:hanging="425"/>
        <w:contextualSpacing/>
        <w:jc w:val="both"/>
        <w:rPr>
          <w:rFonts w:ascii="Arial Narrow" w:hAnsi="Arial Narrow"/>
          <w:b w:val="0"/>
          <w:bCs/>
          <w:lang w:eastAsia="es-ES"/>
        </w:rPr>
      </w:pPr>
      <w:r w:rsidRPr="009C1821">
        <w:rPr>
          <w:rFonts w:ascii="Arial Narrow" w:hAnsi="Arial Narrow"/>
          <w:b w:val="0"/>
          <w:bCs/>
          <w:lang w:eastAsia="es-ES"/>
        </w:rPr>
        <w:t xml:space="preserve">En caso de Incumplimiento por parte del </w:t>
      </w:r>
      <w:r w:rsidRPr="009C1821">
        <w:rPr>
          <w:rFonts w:ascii="Arial Narrow" w:hAnsi="Arial Narrow"/>
          <w:lang w:eastAsia="es-ES"/>
        </w:rPr>
        <w:t>MIEMBRO</w:t>
      </w:r>
      <w:r w:rsidRPr="009C1821">
        <w:rPr>
          <w:rFonts w:ascii="Arial Narrow" w:hAnsi="Arial Narrow"/>
          <w:b w:val="0"/>
          <w:bCs/>
          <w:lang w:eastAsia="es-ES"/>
        </w:rPr>
        <w:t xml:space="preserve"> que mantenga Cuentas de Terceros Ómnibus Segregada por Cámara, </w:t>
      </w:r>
      <w:r w:rsidRPr="009C1821">
        <w:rPr>
          <w:rFonts w:ascii="Arial Narrow" w:hAnsi="Arial Narrow"/>
          <w:lang w:eastAsia="es-ES"/>
        </w:rPr>
        <w:t>LA CRCC</w:t>
      </w:r>
      <w:r w:rsidRPr="009C1821">
        <w:rPr>
          <w:rFonts w:ascii="Arial Narrow" w:hAnsi="Arial Narrow"/>
          <w:b w:val="0"/>
          <w:bCs/>
          <w:lang w:eastAsia="es-ES"/>
        </w:rPr>
        <w:t xml:space="preserve">, si la evolución de los precios del mercado aconseja el cierre de las Posiciones Abiertas con el fin de proteger la solvencia de la misma, procederá a cerrar las Posiciones Abiertas de los Terceros del exterior no conocidos al momento de la Liquidación y de los Terceros no Identificados registradas en la Cuenta referida, ejecutando, en su caso, las Garantías constituidas. </w:t>
      </w:r>
    </w:p>
    <w:p w14:paraId="37343A96" w14:textId="77777777" w:rsidR="00514CE5" w:rsidRPr="009C1821" w:rsidRDefault="00514CE5" w:rsidP="009C1821">
      <w:pPr>
        <w:pStyle w:val="Prrafodelista"/>
        <w:ind w:left="851"/>
        <w:jc w:val="both"/>
        <w:rPr>
          <w:rFonts w:ascii="Arial Narrow" w:hAnsi="Arial Narrow"/>
          <w:b w:val="0"/>
          <w:bCs/>
          <w:lang w:eastAsia="es-ES"/>
        </w:rPr>
      </w:pPr>
    </w:p>
    <w:p w14:paraId="69B861D5" w14:textId="77777777" w:rsidR="00514CE5" w:rsidRPr="009C1821" w:rsidRDefault="00514CE5" w:rsidP="009C1821">
      <w:pPr>
        <w:pStyle w:val="Prrafodelista"/>
        <w:ind w:left="851"/>
        <w:jc w:val="both"/>
        <w:rPr>
          <w:rFonts w:ascii="Arial Narrow" w:hAnsi="Arial Narrow"/>
          <w:b w:val="0"/>
          <w:bCs/>
          <w:lang w:eastAsia="es-ES"/>
        </w:rPr>
      </w:pPr>
      <w:r w:rsidRPr="009C1821">
        <w:rPr>
          <w:rFonts w:ascii="Arial Narrow" w:hAnsi="Arial Narrow"/>
          <w:b w:val="0"/>
          <w:bCs/>
          <w:lang w:eastAsia="es-ES"/>
        </w:rPr>
        <w:t xml:space="preserve">Las personas agrupadas en una Cuenta de Tercero Ómnibus Segregada por Cámara no podrán exigir de </w:t>
      </w:r>
      <w:r w:rsidRPr="009C1821">
        <w:rPr>
          <w:rFonts w:ascii="Arial Narrow" w:hAnsi="Arial Narrow"/>
          <w:lang w:eastAsia="es-ES"/>
        </w:rPr>
        <w:t>LA CRCC</w:t>
      </w:r>
      <w:r w:rsidRPr="009C1821">
        <w:rPr>
          <w:rFonts w:ascii="Arial Narrow" w:hAnsi="Arial Narrow"/>
          <w:b w:val="0"/>
          <w:bCs/>
          <w:lang w:eastAsia="es-ES"/>
        </w:rPr>
        <w:t xml:space="preserve"> el Ajuste de Posición Abierta, de las posiciones recogidas en dicha cuenta en caso de Incumplimiento del </w:t>
      </w:r>
      <w:r w:rsidRPr="009C1821">
        <w:rPr>
          <w:rFonts w:ascii="Arial Narrow" w:hAnsi="Arial Narrow"/>
          <w:lang w:eastAsia="es-ES"/>
        </w:rPr>
        <w:t>MIEMBRO</w:t>
      </w:r>
      <w:r w:rsidRPr="009C1821">
        <w:rPr>
          <w:rFonts w:ascii="Arial Narrow" w:hAnsi="Arial Narrow"/>
          <w:b w:val="0"/>
          <w:bCs/>
          <w:lang w:eastAsia="es-ES"/>
        </w:rPr>
        <w:t xml:space="preserve">. Sin embargo, los Terceros del exterior no conocidos al momento de la Liquidación podrán exigir las oportunas prestaciones y responsabilidades del </w:t>
      </w:r>
      <w:r w:rsidRPr="009C1821">
        <w:rPr>
          <w:rFonts w:ascii="Arial Narrow" w:hAnsi="Arial Narrow"/>
          <w:lang w:eastAsia="es-ES"/>
        </w:rPr>
        <w:t>MIEMBRO</w:t>
      </w:r>
      <w:r w:rsidRPr="009C1821">
        <w:rPr>
          <w:rFonts w:ascii="Arial Narrow" w:hAnsi="Arial Narrow"/>
          <w:b w:val="0"/>
          <w:bCs/>
          <w:lang w:eastAsia="es-ES"/>
        </w:rPr>
        <w:t>.</w:t>
      </w:r>
    </w:p>
    <w:p w14:paraId="618E244F" w14:textId="77777777" w:rsidR="00514CE5" w:rsidRPr="009C1821" w:rsidRDefault="00514CE5" w:rsidP="00514CE5">
      <w:pPr>
        <w:pStyle w:val="Prrafodelista"/>
        <w:ind w:left="851"/>
        <w:rPr>
          <w:rFonts w:ascii="Arial Narrow" w:hAnsi="Arial Narrow"/>
          <w:b w:val="0"/>
          <w:bCs/>
          <w:lang w:eastAsia="es-ES"/>
        </w:rPr>
      </w:pPr>
    </w:p>
    <w:p w14:paraId="2513D52D" w14:textId="77777777" w:rsidR="00514CE5" w:rsidRPr="009C1821" w:rsidRDefault="00514CE5" w:rsidP="00DA7472">
      <w:pPr>
        <w:pStyle w:val="Prrafodelista"/>
        <w:numPr>
          <w:ilvl w:val="0"/>
          <w:numId w:val="374"/>
        </w:numPr>
        <w:spacing w:after="160"/>
        <w:ind w:left="851" w:hanging="425"/>
        <w:contextualSpacing/>
        <w:jc w:val="both"/>
        <w:rPr>
          <w:rFonts w:ascii="Arial Narrow" w:hAnsi="Arial Narrow"/>
          <w:b w:val="0"/>
          <w:bCs/>
          <w:lang w:eastAsia="es-ES"/>
        </w:rPr>
      </w:pPr>
      <w:r w:rsidRPr="009C1821">
        <w:rPr>
          <w:rFonts w:ascii="Arial Narrow" w:hAnsi="Arial Narrow"/>
          <w:b w:val="0"/>
          <w:bCs/>
          <w:lang w:eastAsia="es-ES"/>
        </w:rPr>
        <w:t xml:space="preserve">Respecto de Operaciones Aceptadas de Terceros del exterior no conocidos al momento de la Liquidación, que sean registradas y gestionadas en Cuentas de Terceros Ómnibus Segregada por Cámara, será responsabilidad del </w:t>
      </w:r>
      <w:r w:rsidRPr="009C1821">
        <w:rPr>
          <w:rFonts w:ascii="Arial Narrow" w:hAnsi="Arial Narrow"/>
          <w:lang w:eastAsia="es-ES"/>
        </w:rPr>
        <w:t>MIEMBRO</w:t>
      </w:r>
      <w:r w:rsidRPr="009C1821">
        <w:rPr>
          <w:rFonts w:ascii="Arial Narrow" w:hAnsi="Arial Narrow"/>
          <w:b w:val="0"/>
          <w:bCs/>
          <w:lang w:eastAsia="es-ES"/>
        </w:rPr>
        <w:t xml:space="preserve"> titular de la Cuenta identificar toda la vida de la Operación, desde que se registra por primera vez hasta que se liquida, garantizando también que se pueda relacionar directamente una operación registrada en </w:t>
      </w:r>
      <w:r w:rsidRPr="009C1821">
        <w:rPr>
          <w:rFonts w:ascii="Arial Narrow" w:hAnsi="Arial Narrow"/>
          <w:lang w:eastAsia="es-ES"/>
        </w:rPr>
        <w:t>LA CRCC</w:t>
      </w:r>
      <w:r w:rsidRPr="009C1821">
        <w:rPr>
          <w:rFonts w:ascii="Arial Narrow" w:hAnsi="Arial Narrow"/>
          <w:b w:val="0"/>
          <w:bCs/>
          <w:lang w:eastAsia="es-ES"/>
        </w:rPr>
        <w:t xml:space="preserve"> con el origen de ésta, y con las Órdenes de Transferencia de fondos o Activos asociadas. Así mismo, será responsabilidad </w:t>
      </w:r>
      <w:r w:rsidRPr="009C1821">
        <w:rPr>
          <w:rFonts w:ascii="Arial Narrow" w:hAnsi="Arial Narrow"/>
          <w:b w:val="0"/>
          <w:bCs/>
          <w:lang w:eastAsia="es-ES"/>
        </w:rPr>
        <w:lastRenderedPageBreak/>
        <w:t xml:space="preserve">del </w:t>
      </w:r>
      <w:r w:rsidRPr="009C1821">
        <w:rPr>
          <w:rFonts w:ascii="Arial Narrow" w:hAnsi="Arial Narrow"/>
          <w:lang w:eastAsia="es-ES"/>
        </w:rPr>
        <w:t>MIEMBRO</w:t>
      </w:r>
      <w:r w:rsidRPr="009C1821">
        <w:rPr>
          <w:rFonts w:ascii="Arial Narrow" w:hAnsi="Arial Narrow"/>
          <w:b w:val="0"/>
          <w:bCs/>
          <w:lang w:eastAsia="es-ES"/>
        </w:rPr>
        <w:t xml:space="preserve"> titular de la Cuenta</w:t>
      </w:r>
      <w:r w:rsidRPr="009C1821">
        <w:rPr>
          <w:b w:val="0"/>
          <w:bCs/>
        </w:rPr>
        <w:t xml:space="preserve"> </w:t>
      </w:r>
      <w:r w:rsidRPr="009C1821">
        <w:rPr>
          <w:rFonts w:ascii="Arial Narrow" w:hAnsi="Arial Narrow"/>
          <w:b w:val="0"/>
          <w:bCs/>
          <w:lang w:eastAsia="es-ES"/>
        </w:rPr>
        <w:t xml:space="preserve">de Terceros Ómnibus Segregada por Cámara informar a </w:t>
      </w:r>
      <w:r w:rsidRPr="009C1821">
        <w:rPr>
          <w:rFonts w:ascii="Arial Narrow" w:hAnsi="Arial Narrow"/>
          <w:lang w:eastAsia="es-ES"/>
        </w:rPr>
        <w:t>LA CRCC</w:t>
      </w:r>
      <w:r w:rsidRPr="009C1821">
        <w:rPr>
          <w:rFonts w:ascii="Arial Narrow" w:hAnsi="Arial Narrow"/>
          <w:b w:val="0"/>
          <w:bCs/>
          <w:lang w:eastAsia="es-ES"/>
        </w:rPr>
        <w:t xml:space="preserve"> y a las Autoridades Competentes cuando así lo requieran, sobre el cumplimiento de sus obligaciones frente a sus Terceros, incluyendo los Terceros del exterior no conocidos al momento de la Liquidación. </w:t>
      </w:r>
    </w:p>
    <w:p w14:paraId="04E5D719" w14:textId="77777777" w:rsidR="00514CE5" w:rsidRPr="009C1821" w:rsidRDefault="00514CE5" w:rsidP="00514CE5">
      <w:pPr>
        <w:pStyle w:val="Prrafodelista"/>
        <w:ind w:left="851"/>
        <w:rPr>
          <w:rFonts w:ascii="Arial Narrow" w:hAnsi="Arial Narrow"/>
          <w:b w:val="0"/>
          <w:bCs/>
          <w:lang w:eastAsia="es-ES"/>
        </w:rPr>
      </w:pPr>
    </w:p>
    <w:p w14:paraId="007992F5" w14:textId="77777777" w:rsidR="00514CE5" w:rsidRPr="009C1821" w:rsidRDefault="00514CE5" w:rsidP="00DA7472">
      <w:pPr>
        <w:pStyle w:val="Prrafodelista"/>
        <w:numPr>
          <w:ilvl w:val="0"/>
          <w:numId w:val="374"/>
        </w:numPr>
        <w:ind w:left="851" w:hanging="425"/>
        <w:contextualSpacing/>
        <w:jc w:val="both"/>
        <w:rPr>
          <w:rFonts w:ascii="Arial Narrow" w:hAnsi="Arial Narrow"/>
          <w:b w:val="0"/>
          <w:bCs/>
          <w:lang w:eastAsia="es-ES"/>
        </w:rPr>
      </w:pPr>
      <w:r w:rsidRPr="009C1821">
        <w:rPr>
          <w:rFonts w:ascii="Arial Narrow" w:hAnsi="Arial Narrow"/>
          <w:b w:val="0"/>
          <w:bCs/>
          <w:color w:val="000000"/>
          <w:lang w:eastAsia="es-ES"/>
        </w:rPr>
        <w:t xml:space="preserve">En el evento en que la identificación del Tercero del exterior se efectúe antes de la Liquidación y sus operaciones se mantengan registradas en Cuentas de Terceros Ómnibus Segregada por Cámara, sus derechos y obligaciones corresponderán a los señalados en el numeral 11 anterior para los Terceros Identificados agrupados en ese tipo de Cuenta. La identificación del Tercero del exterior no conocido al momento de la Liquidación, en ningún caso implicará una modificación en la responsabilidad del </w:t>
      </w:r>
      <w:r w:rsidRPr="009C1821">
        <w:rPr>
          <w:rFonts w:ascii="Arial Narrow" w:hAnsi="Arial Narrow"/>
          <w:color w:val="000000"/>
          <w:lang w:eastAsia="es-ES"/>
        </w:rPr>
        <w:t>MIEMBRO</w:t>
      </w:r>
      <w:r w:rsidRPr="009C1821">
        <w:rPr>
          <w:rFonts w:ascii="Arial Narrow" w:hAnsi="Arial Narrow"/>
          <w:b w:val="0"/>
          <w:bCs/>
          <w:color w:val="000000"/>
          <w:lang w:eastAsia="es-ES"/>
        </w:rPr>
        <w:t xml:space="preserve"> por las operaciones registradas en la Cuenta de Tercero Ómnibus Segregada por Cámara de la cual es titular dicho </w:t>
      </w:r>
      <w:r w:rsidRPr="009C1821">
        <w:rPr>
          <w:rFonts w:ascii="Arial Narrow" w:hAnsi="Arial Narrow"/>
          <w:color w:val="000000"/>
          <w:lang w:eastAsia="es-ES"/>
        </w:rPr>
        <w:t>MIEMBRO</w:t>
      </w:r>
      <w:r w:rsidRPr="009C1821">
        <w:rPr>
          <w:rFonts w:ascii="Arial Narrow" w:hAnsi="Arial Narrow"/>
          <w:b w:val="0"/>
          <w:bCs/>
          <w:color w:val="000000"/>
          <w:lang w:eastAsia="es-ES"/>
        </w:rPr>
        <w:t>.</w:t>
      </w:r>
    </w:p>
    <w:p w14:paraId="53076F4F" w14:textId="77777777" w:rsidR="00514CE5" w:rsidRPr="009C1821" w:rsidRDefault="00514CE5" w:rsidP="00514CE5">
      <w:pPr>
        <w:rPr>
          <w:rFonts w:ascii="Arial Narrow" w:hAnsi="Arial Narrow" w:cs="Arial"/>
          <w:bCs/>
          <w:color w:val="000000"/>
          <w:lang w:eastAsia="es-ES"/>
        </w:rPr>
      </w:pPr>
    </w:p>
    <w:p w14:paraId="5F460D47" w14:textId="77777777" w:rsidR="00514CE5" w:rsidRPr="009C1821" w:rsidRDefault="00514CE5" w:rsidP="009C1821">
      <w:pPr>
        <w:pStyle w:val="Prrafodelista"/>
        <w:ind w:left="0"/>
        <w:jc w:val="both"/>
        <w:rPr>
          <w:rFonts w:ascii="Arial Narrow" w:hAnsi="Arial Narrow"/>
          <w:b w:val="0"/>
          <w:bCs/>
          <w:color w:val="000000"/>
          <w:lang w:eastAsia="es-ES"/>
        </w:rPr>
      </w:pPr>
      <w:r w:rsidRPr="009C1821">
        <w:rPr>
          <w:rFonts w:ascii="Arial Narrow" w:hAnsi="Arial Narrow"/>
          <w:b w:val="0"/>
          <w:bCs/>
          <w:color w:val="000000"/>
          <w:lang w:eastAsia="es-ES"/>
        </w:rPr>
        <w:t xml:space="preserve">En cuanto a la responsabilidad de los </w:t>
      </w:r>
      <w:r w:rsidRPr="009C1821">
        <w:rPr>
          <w:rFonts w:ascii="Arial Narrow" w:hAnsi="Arial Narrow"/>
          <w:color w:val="000000"/>
          <w:lang w:eastAsia="es-ES"/>
        </w:rPr>
        <w:t>MIEMBROS</w:t>
      </w:r>
      <w:r w:rsidRPr="009C1821">
        <w:rPr>
          <w:rFonts w:ascii="Arial Narrow" w:hAnsi="Arial Narrow"/>
          <w:b w:val="0"/>
          <w:bCs/>
          <w:color w:val="000000"/>
          <w:lang w:eastAsia="es-ES"/>
        </w:rPr>
        <w:t xml:space="preserve"> frente a </w:t>
      </w:r>
      <w:r w:rsidRPr="009C1821">
        <w:rPr>
          <w:rFonts w:ascii="Arial Narrow" w:hAnsi="Arial Narrow"/>
          <w:color w:val="000000"/>
          <w:lang w:eastAsia="es-ES"/>
        </w:rPr>
        <w:t>LA CRCC</w:t>
      </w:r>
      <w:r w:rsidRPr="009C1821">
        <w:rPr>
          <w:rFonts w:ascii="Arial Narrow" w:hAnsi="Arial Narrow"/>
          <w:b w:val="0"/>
          <w:bCs/>
          <w:color w:val="000000"/>
          <w:lang w:eastAsia="es-ES"/>
        </w:rPr>
        <w:t xml:space="preserve"> por las operaciones de un Tercero del exterior no conocido al momento de la Liquidación, registradas en una Cuenta de Tercero Ómnibus Segregada por Cámara, se aplicará lo previsto en el artículo 2.4.6. del Reglamento, que establece lo siguiente:</w:t>
      </w:r>
    </w:p>
    <w:p w14:paraId="1D785175" w14:textId="77777777" w:rsidR="00514CE5" w:rsidRPr="009C1821" w:rsidRDefault="00514CE5" w:rsidP="00514CE5">
      <w:pPr>
        <w:pStyle w:val="Prrafodelista"/>
        <w:rPr>
          <w:rFonts w:ascii="Arial Narrow" w:hAnsi="Arial Narrow"/>
          <w:b w:val="0"/>
          <w:bCs/>
          <w:color w:val="000000"/>
          <w:lang w:eastAsia="es-ES"/>
        </w:rPr>
      </w:pPr>
    </w:p>
    <w:p w14:paraId="2BD9C83A" w14:textId="77777777" w:rsidR="00514CE5" w:rsidRPr="009C1821" w:rsidRDefault="00514CE5" w:rsidP="00DA7472">
      <w:pPr>
        <w:pStyle w:val="Prrafodelista"/>
        <w:numPr>
          <w:ilvl w:val="0"/>
          <w:numId w:val="375"/>
        </w:numPr>
        <w:spacing w:after="160"/>
        <w:ind w:left="851" w:hanging="425"/>
        <w:contextualSpacing/>
        <w:jc w:val="both"/>
        <w:rPr>
          <w:rFonts w:ascii="Arial Narrow" w:hAnsi="Arial Narrow"/>
          <w:b w:val="0"/>
          <w:bCs/>
          <w:color w:val="000000"/>
          <w:lang w:eastAsia="es-ES"/>
        </w:rPr>
      </w:pPr>
      <w:r w:rsidRPr="009C1821">
        <w:rPr>
          <w:rFonts w:ascii="Arial Narrow" w:hAnsi="Arial Narrow"/>
          <w:color w:val="000000"/>
          <w:lang w:eastAsia="es-ES"/>
        </w:rPr>
        <w:t>EL MIEMBRO</w:t>
      </w:r>
      <w:r w:rsidRPr="009C1821">
        <w:rPr>
          <w:rFonts w:ascii="Arial Narrow" w:hAnsi="Arial Narrow"/>
          <w:b w:val="0"/>
          <w:bCs/>
          <w:color w:val="000000"/>
          <w:lang w:eastAsia="es-ES"/>
        </w:rPr>
        <w:t xml:space="preserve"> que actúa por cuenta de una pluralidad de Terceros, es responsable frente a </w:t>
      </w:r>
      <w:r w:rsidRPr="009C1821">
        <w:rPr>
          <w:rFonts w:ascii="Arial Narrow" w:hAnsi="Arial Narrow"/>
          <w:color w:val="000000"/>
          <w:lang w:eastAsia="es-ES"/>
        </w:rPr>
        <w:t>LA CRCC</w:t>
      </w:r>
      <w:r w:rsidRPr="009C1821">
        <w:rPr>
          <w:rFonts w:ascii="Arial Narrow" w:hAnsi="Arial Narrow"/>
          <w:b w:val="0"/>
          <w:bCs/>
          <w:color w:val="000000"/>
          <w:lang w:eastAsia="es-ES"/>
        </w:rPr>
        <w:t xml:space="preserve"> por el cumplimiento de todas las obligaciones inherentes a las Operaciones Aceptadas registradas en las Cuentas de Terceros Ómnibus Segregada por Cámara. </w:t>
      </w:r>
    </w:p>
    <w:p w14:paraId="5CE320ED" w14:textId="77777777" w:rsidR="00514CE5" w:rsidRPr="009C1821" w:rsidRDefault="00514CE5" w:rsidP="00514CE5">
      <w:pPr>
        <w:pStyle w:val="Prrafodelista"/>
        <w:ind w:left="851"/>
        <w:rPr>
          <w:rFonts w:ascii="Arial Narrow" w:hAnsi="Arial Narrow"/>
          <w:b w:val="0"/>
          <w:bCs/>
          <w:color w:val="000000"/>
          <w:lang w:eastAsia="es-ES"/>
        </w:rPr>
      </w:pPr>
    </w:p>
    <w:p w14:paraId="1073055C" w14:textId="77777777" w:rsidR="00514CE5" w:rsidRPr="009C1821" w:rsidRDefault="00514CE5" w:rsidP="00DA7472">
      <w:pPr>
        <w:pStyle w:val="Prrafodelista"/>
        <w:numPr>
          <w:ilvl w:val="0"/>
          <w:numId w:val="375"/>
        </w:numPr>
        <w:ind w:left="851" w:hanging="425"/>
        <w:contextualSpacing/>
        <w:jc w:val="both"/>
        <w:rPr>
          <w:rFonts w:ascii="Arial Narrow" w:hAnsi="Arial Narrow"/>
          <w:b w:val="0"/>
          <w:bCs/>
          <w:color w:val="000000"/>
          <w:lang w:eastAsia="es-ES"/>
        </w:rPr>
      </w:pPr>
      <w:r w:rsidRPr="009C1821">
        <w:rPr>
          <w:rFonts w:ascii="Arial Narrow" w:hAnsi="Arial Narrow"/>
          <w:b w:val="0"/>
          <w:bCs/>
          <w:color w:val="000000"/>
          <w:lang w:eastAsia="es-ES"/>
        </w:rPr>
        <w:t xml:space="preserve">El Miembro Liquidador General a través del cual se compensan y liquidan las operaciones del Miembro no Liquidador es responsable frente a </w:t>
      </w:r>
      <w:r w:rsidRPr="009C1821">
        <w:rPr>
          <w:rFonts w:ascii="Arial Narrow" w:hAnsi="Arial Narrow"/>
          <w:color w:val="000000"/>
          <w:lang w:eastAsia="es-ES"/>
        </w:rPr>
        <w:t>LA CRCC</w:t>
      </w:r>
      <w:r w:rsidRPr="009C1821">
        <w:rPr>
          <w:rFonts w:ascii="Arial Narrow" w:hAnsi="Arial Narrow"/>
          <w:b w:val="0"/>
          <w:bCs/>
          <w:color w:val="000000"/>
          <w:lang w:eastAsia="es-ES"/>
        </w:rPr>
        <w:t xml:space="preserve"> por el cumplimiento de todas las obligaciones inherentes a las Operaciones Aceptadas registradas en las Cuentas de Terceros Ómnibus Segregada por Cámara cuyo titular sea el Miembro no Liquidador correspondiente. A su vez, el Miembro no Liquidador que actúa por cuenta de una pluralidad de Terceros, es responsable frente al Miembro Liquidador General por el cumplimiento de todas las obligaciones inherentes a las Operaciones Aceptadas registradas en las Cuentas de Terceros Ómnibus Segregada por Cámara de las que sea titular. </w:t>
      </w:r>
    </w:p>
    <w:p w14:paraId="27A1450F" w14:textId="77777777" w:rsidR="00514CE5" w:rsidRPr="009C1821" w:rsidRDefault="00514CE5" w:rsidP="00514CE5">
      <w:pPr>
        <w:rPr>
          <w:rFonts w:ascii="Arial Narrow" w:hAnsi="Arial Narrow" w:cs="Arial"/>
          <w:bCs/>
          <w:color w:val="000000"/>
          <w:lang w:eastAsia="es-ES"/>
        </w:rPr>
      </w:pPr>
    </w:p>
    <w:p w14:paraId="70E3117C" w14:textId="77777777" w:rsidR="00610CE4" w:rsidRDefault="00514CE5" w:rsidP="00DA7472">
      <w:pPr>
        <w:pStyle w:val="Prrafodelista"/>
        <w:numPr>
          <w:ilvl w:val="0"/>
          <w:numId w:val="372"/>
        </w:numPr>
        <w:spacing w:after="160"/>
        <w:ind w:left="426" w:hanging="425"/>
        <w:contextualSpacing/>
        <w:jc w:val="both"/>
        <w:rPr>
          <w:rFonts w:ascii="Arial Narrow" w:hAnsi="Arial Narrow"/>
          <w:b w:val="0"/>
          <w:bCs/>
          <w:color w:val="000000"/>
          <w:lang w:eastAsia="es-ES"/>
        </w:rPr>
        <w:sectPr w:rsidR="00610CE4" w:rsidSect="007968EC">
          <w:pgSz w:w="12242" w:h="15842" w:code="1"/>
          <w:pgMar w:top="1985" w:right="1418" w:bottom="1985" w:left="1418" w:header="851" w:footer="1021" w:gutter="0"/>
          <w:cols w:space="708"/>
          <w:titlePg/>
          <w:docGrid w:linePitch="360"/>
        </w:sectPr>
      </w:pPr>
      <w:r w:rsidRPr="009C1821">
        <w:rPr>
          <w:rFonts w:ascii="Arial Narrow" w:hAnsi="Arial Narrow"/>
          <w:color w:val="000000"/>
          <w:lang w:eastAsia="es-ES"/>
        </w:rPr>
        <w:t>LA CRCC</w:t>
      </w:r>
      <w:r w:rsidRPr="009C1821">
        <w:rPr>
          <w:rFonts w:ascii="Arial Narrow" w:hAnsi="Arial Narrow"/>
          <w:b w:val="0"/>
          <w:bCs/>
          <w:color w:val="000000"/>
          <w:lang w:eastAsia="es-ES"/>
        </w:rPr>
        <w:t xml:space="preserve"> no tendrá ninguna responsabilidad frente a los Terceros en caso de un error, mal manejo o por cualquier operación ilegal realizada por </w:t>
      </w:r>
      <w:r w:rsidRPr="009C1821">
        <w:rPr>
          <w:rFonts w:ascii="Arial Narrow" w:hAnsi="Arial Narrow"/>
          <w:color w:val="000000"/>
          <w:lang w:eastAsia="es-ES"/>
        </w:rPr>
        <w:t>EL MIEMBRO</w:t>
      </w:r>
      <w:r w:rsidRPr="009C1821">
        <w:rPr>
          <w:rFonts w:ascii="Arial Narrow" w:hAnsi="Arial Narrow"/>
          <w:b w:val="0"/>
          <w:bCs/>
          <w:color w:val="000000"/>
          <w:lang w:eastAsia="es-ES"/>
        </w:rPr>
        <w:t xml:space="preserve">. De ser el caso, </w:t>
      </w:r>
      <w:r w:rsidRPr="009C1821">
        <w:rPr>
          <w:rFonts w:ascii="Arial Narrow" w:hAnsi="Arial Narrow"/>
          <w:color w:val="000000"/>
          <w:lang w:eastAsia="es-ES"/>
        </w:rPr>
        <w:t>EL MIEMBRO</w:t>
      </w:r>
      <w:r w:rsidRPr="009C1821">
        <w:rPr>
          <w:rFonts w:ascii="Arial Narrow" w:hAnsi="Arial Narrow"/>
          <w:b w:val="0"/>
          <w:bCs/>
          <w:color w:val="000000"/>
          <w:lang w:eastAsia="es-ES"/>
        </w:rPr>
        <w:t xml:space="preserve"> mantendrán indemne a </w:t>
      </w:r>
      <w:r w:rsidRPr="009C1821">
        <w:rPr>
          <w:rFonts w:ascii="Arial Narrow" w:hAnsi="Arial Narrow"/>
          <w:color w:val="000000"/>
          <w:lang w:eastAsia="es-ES"/>
        </w:rPr>
        <w:t>LA CRCC</w:t>
      </w:r>
      <w:r w:rsidRPr="009C1821">
        <w:rPr>
          <w:rFonts w:ascii="Arial Narrow" w:hAnsi="Arial Narrow"/>
          <w:b w:val="0"/>
          <w:bCs/>
          <w:color w:val="000000"/>
          <w:lang w:eastAsia="es-ES"/>
        </w:rPr>
        <w:t xml:space="preserve"> en cualquiera de estos eventos. </w:t>
      </w:r>
    </w:p>
    <w:p w14:paraId="5222B55C" w14:textId="77777777" w:rsidR="00514CE5" w:rsidRDefault="00514CE5" w:rsidP="00514CE5">
      <w:pPr>
        <w:rPr>
          <w:rFonts w:ascii="Arial Narrow" w:hAnsi="Arial Narrow" w:cs="Arial"/>
          <w:b/>
          <w:color w:val="000000"/>
          <w:u w:val="single"/>
          <w:lang w:val="es-ES" w:eastAsia="es-ES"/>
        </w:rPr>
      </w:pPr>
    </w:p>
    <w:p w14:paraId="1894793E" w14:textId="77777777" w:rsidR="00514CE5" w:rsidRPr="004B3C30" w:rsidRDefault="00514CE5" w:rsidP="00514CE5">
      <w:pPr>
        <w:autoSpaceDE w:val="0"/>
        <w:autoSpaceDN w:val="0"/>
        <w:adjustRightInd w:val="0"/>
        <w:jc w:val="center"/>
        <w:rPr>
          <w:rFonts w:ascii="Arial Narrow" w:hAnsi="Arial Narrow" w:cs="Arial"/>
          <w:b/>
          <w:color w:val="000000" w:themeColor="text1"/>
          <w:lang w:val="es-ES" w:eastAsia="es-ES"/>
        </w:rPr>
      </w:pPr>
      <w:r w:rsidRPr="002C0D19">
        <w:rPr>
          <w:rFonts w:ascii="Arial Narrow" w:hAnsi="Arial Narrow" w:cs="Arial"/>
          <w:b/>
          <w:i/>
          <w:color w:val="000000" w:themeColor="text1"/>
          <w:lang w:val="es-ES" w:eastAsia="es-ES"/>
        </w:rPr>
        <w:t>ANEXO 2</w:t>
      </w:r>
      <w:r>
        <w:rPr>
          <w:rFonts w:ascii="Arial Narrow" w:hAnsi="Arial Narrow" w:cs="Arial"/>
          <w:b/>
          <w:i/>
          <w:color w:val="000000" w:themeColor="text1"/>
          <w:lang w:val="es-ES" w:eastAsia="es-ES"/>
        </w:rPr>
        <w:t>0</w:t>
      </w:r>
      <w:r w:rsidRPr="002C0D19">
        <w:rPr>
          <w:rFonts w:ascii="Arial Narrow" w:hAnsi="Arial Narrow" w:cs="Arial"/>
          <w:b/>
          <w:i/>
          <w:color w:val="000000" w:themeColor="text1"/>
          <w:lang w:val="es-ES" w:eastAsia="es-ES"/>
        </w:rPr>
        <w:t>.</w:t>
      </w:r>
      <w:r>
        <w:rPr>
          <w:rFonts w:ascii="Arial Narrow" w:hAnsi="Arial Narrow" w:cs="Arial"/>
          <w:b/>
          <w:i/>
          <w:color w:val="000000" w:themeColor="text1"/>
          <w:lang w:val="es-ES" w:eastAsia="es-ES"/>
        </w:rPr>
        <w:t>2.</w:t>
      </w:r>
      <w:r w:rsidRPr="002C0D19">
        <w:rPr>
          <w:rFonts w:ascii="Arial Narrow" w:hAnsi="Arial Narrow" w:cs="Arial"/>
          <w:b/>
          <w:i/>
          <w:color w:val="000000" w:themeColor="text1"/>
          <w:lang w:val="es-ES" w:eastAsia="es-ES"/>
        </w:rPr>
        <w:t xml:space="preserve"> </w:t>
      </w:r>
      <w:r w:rsidRPr="004B3C30">
        <w:rPr>
          <w:rFonts w:ascii="Arial Narrow" w:hAnsi="Arial Narrow" w:cs="Arial"/>
          <w:b/>
          <w:color w:val="000000" w:themeColor="text1"/>
          <w:lang w:val="es-ES" w:eastAsia="es-ES"/>
        </w:rPr>
        <w:t>FORMATO CON CONDICIONES MINIMAS PARA LA OFERTA DE SERVICIOS DE MIEMBRO A TERCERO</w:t>
      </w:r>
    </w:p>
    <w:p w14:paraId="12FC0BCE" w14:textId="77777777" w:rsidR="00514CE5" w:rsidRDefault="00514CE5" w:rsidP="00514CE5">
      <w:pPr>
        <w:jc w:val="center"/>
        <w:rPr>
          <w:rFonts w:ascii="Arial Narrow" w:hAnsi="Arial Narrow" w:cs="Arial"/>
          <w:color w:val="000000" w:themeColor="text1"/>
          <w:lang w:val="es-ES" w:eastAsia="es-ES"/>
        </w:rPr>
      </w:pPr>
    </w:p>
    <w:p w14:paraId="6A5D8DDD" w14:textId="77777777" w:rsidR="001434C9" w:rsidRPr="001434C9" w:rsidRDefault="001434C9" w:rsidP="00514CE5">
      <w:pPr>
        <w:jc w:val="center"/>
        <w:rPr>
          <w:rFonts w:ascii="Arial Narrow" w:hAnsi="Arial Narrow" w:cs="Arial"/>
          <w:b/>
          <w:bCs/>
          <w:color w:val="000000" w:themeColor="text1"/>
          <w:lang w:val="es-ES" w:eastAsia="es-ES"/>
        </w:rPr>
      </w:pPr>
      <w:bookmarkStart w:id="6581" w:name="_Hlk31386783"/>
      <w:r w:rsidRPr="001434C9">
        <w:rPr>
          <w:rFonts w:ascii="Arial Narrow" w:hAnsi="Arial Narrow" w:cs="Arial"/>
          <w:b/>
          <w:bCs/>
          <w:i/>
          <w:iCs/>
          <w:color w:val="000000" w:themeColor="text1"/>
          <w:lang w:val="es-ES" w:eastAsia="es-ES"/>
        </w:rPr>
        <w:t xml:space="preserve">(Este anexo fue modificado mediante Circular </w:t>
      </w:r>
      <w:r>
        <w:rPr>
          <w:rFonts w:ascii="Arial Narrow" w:hAnsi="Arial Narrow" w:cs="Arial"/>
          <w:b/>
          <w:bCs/>
          <w:i/>
          <w:iCs/>
          <w:color w:val="000000" w:themeColor="text1"/>
          <w:lang w:val="es-ES" w:eastAsia="es-ES"/>
        </w:rPr>
        <w:t>2</w:t>
      </w:r>
      <w:r w:rsidRPr="001434C9">
        <w:rPr>
          <w:rFonts w:ascii="Arial Narrow" w:hAnsi="Arial Narrow" w:cs="Arial"/>
          <w:b/>
          <w:bCs/>
          <w:i/>
          <w:iCs/>
          <w:color w:val="000000" w:themeColor="text1"/>
          <w:lang w:val="es-ES" w:eastAsia="es-ES"/>
        </w:rPr>
        <w:t xml:space="preserve"> del </w:t>
      </w:r>
      <w:r>
        <w:rPr>
          <w:rFonts w:ascii="Arial Narrow" w:hAnsi="Arial Narrow" w:cs="Arial"/>
          <w:b/>
          <w:bCs/>
          <w:i/>
          <w:iCs/>
          <w:color w:val="000000" w:themeColor="text1"/>
          <w:lang w:val="es-ES" w:eastAsia="es-ES"/>
        </w:rPr>
        <w:t>29</w:t>
      </w:r>
      <w:r w:rsidRPr="001434C9">
        <w:rPr>
          <w:rFonts w:ascii="Arial Narrow" w:hAnsi="Arial Narrow" w:cs="Arial"/>
          <w:b/>
          <w:bCs/>
          <w:i/>
          <w:iCs/>
          <w:color w:val="000000" w:themeColor="text1"/>
          <w:lang w:val="es-ES" w:eastAsia="es-ES"/>
        </w:rPr>
        <w:t xml:space="preserve"> de </w:t>
      </w:r>
      <w:r>
        <w:rPr>
          <w:rFonts w:ascii="Arial Narrow" w:hAnsi="Arial Narrow" w:cs="Arial"/>
          <w:b/>
          <w:bCs/>
          <w:i/>
          <w:iCs/>
          <w:color w:val="000000" w:themeColor="text1"/>
          <w:lang w:val="es-ES" w:eastAsia="es-ES"/>
        </w:rPr>
        <w:t>ener</w:t>
      </w:r>
      <w:r w:rsidRPr="001434C9">
        <w:rPr>
          <w:rFonts w:ascii="Arial Narrow" w:hAnsi="Arial Narrow" w:cs="Arial"/>
          <w:b/>
          <w:bCs/>
          <w:i/>
          <w:iCs/>
          <w:color w:val="000000" w:themeColor="text1"/>
          <w:lang w:val="es-ES" w:eastAsia="es-ES"/>
        </w:rPr>
        <w:t>o de 20</w:t>
      </w:r>
      <w:r>
        <w:rPr>
          <w:rFonts w:ascii="Arial Narrow" w:hAnsi="Arial Narrow" w:cs="Arial"/>
          <w:b/>
          <w:bCs/>
          <w:i/>
          <w:iCs/>
          <w:color w:val="000000" w:themeColor="text1"/>
          <w:lang w:val="es-ES" w:eastAsia="es-ES"/>
        </w:rPr>
        <w:t>20</w:t>
      </w:r>
      <w:r w:rsidRPr="001434C9">
        <w:rPr>
          <w:rFonts w:ascii="Arial Narrow" w:hAnsi="Arial Narrow" w:cs="Arial"/>
          <w:b/>
          <w:bCs/>
          <w:i/>
          <w:iCs/>
          <w:color w:val="000000" w:themeColor="text1"/>
          <w:lang w:val="es-ES" w:eastAsia="es-ES"/>
        </w:rPr>
        <w:t>, publicada en el Boletín Normativo No. 00</w:t>
      </w:r>
      <w:r>
        <w:rPr>
          <w:rFonts w:ascii="Arial Narrow" w:hAnsi="Arial Narrow" w:cs="Arial"/>
          <w:b/>
          <w:bCs/>
          <w:i/>
          <w:iCs/>
          <w:color w:val="000000" w:themeColor="text1"/>
          <w:lang w:val="es-ES" w:eastAsia="es-ES"/>
        </w:rPr>
        <w:t>2</w:t>
      </w:r>
      <w:r w:rsidRPr="001434C9">
        <w:rPr>
          <w:rFonts w:ascii="Arial Narrow" w:hAnsi="Arial Narrow" w:cs="Arial"/>
          <w:b/>
          <w:bCs/>
          <w:i/>
          <w:iCs/>
          <w:color w:val="000000" w:themeColor="text1"/>
          <w:lang w:val="es-ES" w:eastAsia="es-ES"/>
        </w:rPr>
        <w:t xml:space="preserve"> del </w:t>
      </w:r>
      <w:r>
        <w:rPr>
          <w:rFonts w:ascii="Arial Narrow" w:hAnsi="Arial Narrow" w:cs="Arial"/>
          <w:b/>
          <w:bCs/>
          <w:i/>
          <w:iCs/>
          <w:color w:val="000000" w:themeColor="text1"/>
          <w:lang w:val="es-ES" w:eastAsia="es-ES"/>
        </w:rPr>
        <w:t>29</w:t>
      </w:r>
      <w:r w:rsidRPr="001434C9">
        <w:rPr>
          <w:rFonts w:ascii="Arial Narrow" w:hAnsi="Arial Narrow" w:cs="Arial"/>
          <w:b/>
          <w:bCs/>
          <w:i/>
          <w:iCs/>
          <w:color w:val="000000" w:themeColor="text1"/>
          <w:lang w:val="es-ES" w:eastAsia="es-ES"/>
        </w:rPr>
        <w:t xml:space="preserve"> de </w:t>
      </w:r>
      <w:r>
        <w:rPr>
          <w:rFonts w:ascii="Arial Narrow" w:hAnsi="Arial Narrow" w:cs="Arial"/>
          <w:b/>
          <w:bCs/>
          <w:i/>
          <w:iCs/>
          <w:color w:val="000000" w:themeColor="text1"/>
          <w:lang w:val="es-ES" w:eastAsia="es-ES"/>
        </w:rPr>
        <w:t>ener</w:t>
      </w:r>
      <w:r w:rsidRPr="001434C9">
        <w:rPr>
          <w:rFonts w:ascii="Arial Narrow" w:hAnsi="Arial Narrow" w:cs="Arial"/>
          <w:b/>
          <w:bCs/>
          <w:i/>
          <w:iCs/>
          <w:color w:val="000000" w:themeColor="text1"/>
          <w:lang w:val="es-ES" w:eastAsia="es-ES"/>
        </w:rPr>
        <w:t>o de 20</w:t>
      </w:r>
      <w:r>
        <w:rPr>
          <w:rFonts w:ascii="Arial Narrow" w:hAnsi="Arial Narrow" w:cs="Arial"/>
          <w:b/>
          <w:bCs/>
          <w:i/>
          <w:iCs/>
          <w:color w:val="000000" w:themeColor="text1"/>
          <w:lang w:val="es-ES" w:eastAsia="es-ES"/>
        </w:rPr>
        <w:t>20</w:t>
      </w:r>
      <w:r w:rsidRPr="001434C9">
        <w:rPr>
          <w:rFonts w:ascii="Arial Narrow" w:hAnsi="Arial Narrow" w:cs="Arial"/>
          <w:b/>
          <w:bCs/>
          <w:i/>
          <w:iCs/>
          <w:color w:val="000000" w:themeColor="text1"/>
          <w:lang w:val="es-ES" w:eastAsia="es-ES"/>
        </w:rPr>
        <w:t xml:space="preserve">. Rige a partir del </w:t>
      </w:r>
      <w:r>
        <w:rPr>
          <w:rFonts w:ascii="Arial Narrow" w:hAnsi="Arial Narrow" w:cs="Arial"/>
          <w:b/>
          <w:bCs/>
          <w:i/>
          <w:iCs/>
          <w:color w:val="000000" w:themeColor="text1"/>
          <w:lang w:val="es-ES" w:eastAsia="es-ES"/>
        </w:rPr>
        <w:t>3</w:t>
      </w:r>
      <w:r w:rsidRPr="001434C9">
        <w:rPr>
          <w:rFonts w:ascii="Arial Narrow" w:hAnsi="Arial Narrow" w:cs="Arial"/>
          <w:b/>
          <w:bCs/>
          <w:i/>
          <w:iCs/>
          <w:color w:val="000000" w:themeColor="text1"/>
          <w:lang w:val="es-ES" w:eastAsia="es-ES"/>
        </w:rPr>
        <w:t xml:space="preserve"> de </w:t>
      </w:r>
      <w:r>
        <w:rPr>
          <w:rFonts w:ascii="Arial Narrow" w:hAnsi="Arial Narrow" w:cs="Arial"/>
          <w:b/>
          <w:bCs/>
          <w:i/>
          <w:iCs/>
          <w:color w:val="000000" w:themeColor="text1"/>
          <w:lang w:val="es-ES" w:eastAsia="es-ES"/>
        </w:rPr>
        <w:t>febrer</w:t>
      </w:r>
      <w:r w:rsidRPr="001434C9">
        <w:rPr>
          <w:rFonts w:ascii="Arial Narrow" w:hAnsi="Arial Narrow" w:cs="Arial"/>
          <w:b/>
          <w:bCs/>
          <w:i/>
          <w:iCs/>
          <w:color w:val="000000" w:themeColor="text1"/>
          <w:lang w:val="es-ES" w:eastAsia="es-ES"/>
        </w:rPr>
        <w:t>o de 20</w:t>
      </w:r>
      <w:r>
        <w:rPr>
          <w:rFonts w:ascii="Arial Narrow" w:hAnsi="Arial Narrow" w:cs="Arial"/>
          <w:b/>
          <w:bCs/>
          <w:i/>
          <w:iCs/>
          <w:color w:val="000000" w:themeColor="text1"/>
          <w:lang w:val="es-ES" w:eastAsia="es-ES"/>
        </w:rPr>
        <w:t>20</w:t>
      </w:r>
      <w:r w:rsidRPr="001434C9">
        <w:rPr>
          <w:rFonts w:ascii="Arial Narrow" w:hAnsi="Arial Narrow" w:cs="Arial"/>
          <w:b/>
          <w:bCs/>
          <w:color w:val="000000" w:themeColor="text1"/>
          <w:lang w:val="es-ES" w:eastAsia="es-ES"/>
        </w:rPr>
        <w:t>.)</w:t>
      </w:r>
      <w:bookmarkEnd w:id="6581"/>
    </w:p>
    <w:p w14:paraId="221841AF" w14:textId="77777777" w:rsidR="001434C9" w:rsidRPr="002C0D19" w:rsidRDefault="001434C9" w:rsidP="00514CE5">
      <w:pPr>
        <w:jc w:val="center"/>
        <w:rPr>
          <w:rFonts w:ascii="Arial Narrow" w:hAnsi="Arial Narrow" w:cs="Arial"/>
          <w:color w:val="000000" w:themeColor="text1"/>
          <w:lang w:val="es-ES" w:eastAsia="es-ES"/>
        </w:rPr>
      </w:pPr>
    </w:p>
    <w:p w14:paraId="179CADB8" w14:textId="77777777" w:rsidR="00514CE5" w:rsidRPr="002C0D19" w:rsidRDefault="00514CE5" w:rsidP="00514CE5">
      <w:pPr>
        <w:jc w:val="center"/>
        <w:rPr>
          <w:rFonts w:ascii="Arial Narrow" w:hAnsi="Arial Narrow" w:cs="Arial"/>
          <w:b/>
          <w:bCs/>
          <w:color w:val="000000" w:themeColor="text1"/>
          <w:lang w:eastAsia="es-ES"/>
        </w:rPr>
      </w:pPr>
      <w:r w:rsidRPr="002C0D19">
        <w:rPr>
          <w:rFonts w:ascii="Arial Narrow" w:hAnsi="Arial Narrow" w:cs="Arial"/>
          <w:b/>
          <w:bCs/>
          <w:color w:val="000000" w:themeColor="text1"/>
          <w:lang w:eastAsia="es-ES"/>
        </w:rPr>
        <w:t xml:space="preserve">OFERTA DE SERVICIOS PARA QUE UN MIEMBRO PARTICIPE POR CUENTA DE UN TERCERO ANTE LA CÁMARA DE RIESGO CENTRAL DE CONTRAPARTE DE COLOMBIA S.A. – CRCC S.A. </w:t>
      </w:r>
    </w:p>
    <w:p w14:paraId="70C128D5" w14:textId="77777777" w:rsidR="00514CE5" w:rsidRPr="002C0D19" w:rsidRDefault="00514CE5" w:rsidP="00514CE5">
      <w:pPr>
        <w:rPr>
          <w:rFonts w:ascii="Arial Narrow" w:hAnsi="Arial Narrow" w:cs="Arial"/>
          <w:color w:val="000000" w:themeColor="text1"/>
          <w:lang w:val="es-MX" w:eastAsia="es-ES"/>
        </w:rPr>
      </w:pPr>
    </w:p>
    <w:p w14:paraId="3D486E09" w14:textId="77777777" w:rsidR="00514CE5" w:rsidRPr="002C0D19" w:rsidRDefault="00514CE5" w:rsidP="009C1821">
      <w:pPr>
        <w:jc w:val="both"/>
        <w:rPr>
          <w:rFonts w:ascii="Arial Narrow" w:hAnsi="Arial Narrow" w:cs="Arial"/>
          <w:color w:val="000000" w:themeColor="text1"/>
          <w:lang w:val="es-ES" w:eastAsia="es-ES"/>
        </w:rPr>
      </w:pPr>
    </w:p>
    <w:p w14:paraId="1EB23673" w14:textId="77777777" w:rsidR="00514CE5" w:rsidRPr="002C0D19" w:rsidRDefault="00514CE5" w:rsidP="009C1821">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Esta Oferta de Servicios para que un Miembro participe por cuenta de un Tercero ante la Cámara de Riesgo Central de Contraparte de Colombia S.A. – CRCC S.A., en adelante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se somete por </w:t>
      </w:r>
      <w:r w:rsidRPr="002C0D19">
        <w:rPr>
          <w:rFonts w:ascii="Arial Narrow" w:hAnsi="Arial Narrow" w:cs="Arial"/>
          <w:b/>
          <w:bCs/>
          <w:color w:val="000000" w:themeColor="text1"/>
          <w:lang w:val="es-ES" w:eastAsia="es-ES"/>
        </w:rPr>
        <w:t>_____________________</w:t>
      </w:r>
      <w:r w:rsidRPr="002C0D19">
        <w:rPr>
          <w:rFonts w:ascii="Arial Narrow" w:hAnsi="Arial Narrow" w:cs="Arial"/>
          <w:color w:val="000000" w:themeColor="text1"/>
          <w:lang w:val="es-ES" w:eastAsia="es-ES"/>
        </w:rPr>
        <w:t xml:space="preserve">, en adelante </w:t>
      </w:r>
      <w:r w:rsidRPr="002C0D19">
        <w:rPr>
          <w:rFonts w:ascii="Arial Narrow" w:hAnsi="Arial Narrow" w:cs="Arial"/>
          <w:b/>
          <w:bCs/>
          <w:color w:val="000000" w:themeColor="text1"/>
          <w:lang w:val="es-ES" w:eastAsia="es-ES"/>
        </w:rPr>
        <w:t>EL MIEMBRO,</w:t>
      </w:r>
      <w:r w:rsidRPr="002C0D19">
        <w:rPr>
          <w:rFonts w:ascii="Arial Narrow" w:hAnsi="Arial Narrow" w:cs="Arial"/>
          <w:color w:val="000000" w:themeColor="text1"/>
          <w:lang w:val="es-ES" w:eastAsia="es-ES"/>
        </w:rPr>
        <w:t xml:space="preserve"> a consideración de ________________________, en adelante </w:t>
      </w:r>
      <w:r w:rsidRPr="002C0D19">
        <w:rPr>
          <w:rFonts w:ascii="Arial Narrow" w:hAnsi="Arial Narrow" w:cs="Arial"/>
          <w:b/>
          <w:bCs/>
          <w:color w:val="000000" w:themeColor="text1"/>
          <w:lang w:val="es-ES" w:eastAsia="es-ES"/>
        </w:rPr>
        <w:t>EL TERCERO</w:t>
      </w:r>
      <w:r w:rsidRPr="002C0D19">
        <w:rPr>
          <w:rFonts w:ascii="Arial Narrow" w:hAnsi="Arial Narrow" w:cs="Arial"/>
          <w:color w:val="000000" w:themeColor="text1"/>
          <w:lang w:val="es-ES" w:eastAsia="es-ES"/>
        </w:rPr>
        <w:t>.</w:t>
      </w:r>
    </w:p>
    <w:p w14:paraId="35DF91D3" w14:textId="77777777" w:rsidR="00514CE5" w:rsidRPr="002C0D19" w:rsidRDefault="00514CE5" w:rsidP="009C1821">
      <w:pPr>
        <w:jc w:val="both"/>
        <w:rPr>
          <w:rFonts w:ascii="Arial Narrow" w:hAnsi="Arial Narrow" w:cs="Arial"/>
          <w:color w:val="000000" w:themeColor="text1"/>
          <w:lang w:val="es-ES" w:eastAsia="es-ES"/>
        </w:rPr>
      </w:pPr>
    </w:p>
    <w:p w14:paraId="5CEA2065" w14:textId="77777777" w:rsidR="00514CE5" w:rsidRPr="002C0D19" w:rsidRDefault="00514CE5" w:rsidP="009C1821">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Clase de Tercero: </w:t>
      </w:r>
      <w:r w:rsidRPr="002C0D19">
        <w:rPr>
          <w:rFonts w:ascii="Arial Narrow" w:hAnsi="Arial Narrow" w:cs="Arial"/>
          <w:color w:val="000000" w:themeColor="text1"/>
          <w:lang w:val="es-ES" w:eastAsia="es-ES"/>
        </w:rPr>
        <w:tab/>
      </w:r>
    </w:p>
    <w:p w14:paraId="1CE9AD3E" w14:textId="77777777" w:rsidR="00514CE5" w:rsidRPr="002C0D19" w:rsidRDefault="00514CE5" w:rsidP="009C1821">
      <w:pPr>
        <w:jc w:val="both"/>
        <w:rPr>
          <w:rFonts w:ascii="Arial Narrow" w:hAnsi="Arial Narrow" w:cs="Arial"/>
          <w:color w:val="000000" w:themeColor="text1"/>
          <w:lang w:val="es-ES" w:eastAsia="es-ES"/>
        </w:rPr>
      </w:pPr>
    </w:p>
    <w:p w14:paraId="4BA7E23D" w14:textId="77777777" w:rsidR="00514CE5" w:rsidRPr="002C0D19" w:rsidRDefault="00514CE5" w:rsidP="009C1821">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_______ Identificado</w:t>
      </w:r>
      <w:r w:rsidRPr="002C0D19">
        <w:rPr>
          <w:rFonts w:ascii="Arial Narrow" w:hAnsi="Arial Narrow" w:cs="Arial"/>
          <w:color w:val="000000" w:themeColor="text1"/>
          <w:lang w:val="es-ES" w:eastAsia="es-ES"/>
        </w:rPr>
        <w:tab/>
      </w:r>
      <w:r w:rsidRPr="002C0D19">
        <w:rPr>
          <w:rFonts w:ascii="Arial Narrow" w:hAnsi="Arial Narrow" w:cs="Arial"/>
          <w:color w:val="000000" w:themeColor="text1"/>
          <w:lang w:val="es-ES" w:eastAsia="es-ES"/>
        </w:rPr>
        <w:tab/>
        <w:t>_______ No Identificado</w:t>
      </w:r>
      <w:r w:rsidRPr="002C0D19">
        <w:rPr>
          <w:rFonts w:ascii="Arial Narrow" w:hAnsi="Arial Narrow" w:cs="Arial"/>
          <w:color w:val="000000" w:themeColor="text1"/>
          <w:lang w:val="es-ES" w:eastAsia="es-ES"/>
        </w:rPr>
        <w:tab/>
      </w:r>
    </w:p>
    <w:p w14:paraId="029F1947" w14:textId="77777777" w:rsidR="00514CE5" w:rsidRDefault="00514CE5" w:rsidP="009C1821">
      <w:pPr>
        <w:jc w:val="both"/>
        <w:rPr>
          <w:rFonts w:ascii="Arial Narrow" w:hAnsi="Arial Narrow" w:cs="Arial"/>
          <w:color w:val="000000" w:themeColor="text1"/>
          <w:lang w:val="es-ES" w:eastAsia="es-ES"/>
        </w:rPr>
      </w:pPr>
    </w:p>
    <w:p w14:paraId="2C99677A" w14:textId="77777777" w:rsidR="00514CE5" w:rsidRDefault="00514CE5" w:rsidP="009C1821">
      <w:pPr>
        <w:jc w:val="both"/>
        <w:rPr>
          <w:rFonts w:ascii="Arial Narrow" w:hAnsi="Arial Narrow" w:cs="Arial"/>
          <w:color w:val="000000" w:themeColor="text1"/>
          <w:lang w:val="es-ES" w:eastAsia="es-ES"/>
        </w:rPr>
      </w:pPr>
      <w:r>
        <w:rPr>
          <w:rFonts w:ascii="Arial Narrow" w:hAnsi="Arial Narrow" w:cs="Arial"/>
          <w:color w:val="000000" w:themeColor="text1"/>
          <w:lang w:val="es-ES" w:eastAsia="es-ES"/>
        </w:rPr>
        <w:t>Tipo de Cuenta asignada:</w:t>
      </w:r>
    </w:p>
    <w:p w14:paraId="14236D05" w14:textId="77777777" w:rsidR="00514CE5" w:rsidRDefault="00514CE5" w:rsidP="009C1821">
      <w:pPr>
        <w:jc w:val="both"/>
        <w:rPr>
          <w:rFonts w:ascii="Arial Narrow" w:hAnsi="Arial Narrow" w:cs="Arial"/>
          <w:color w:val="000000" w:themeColor="text1"/>
          <w:lang w:val="es-ES" w:eastAsia="es-ES"/>
        </w:rPr>
      </w:pPr>
    </w:p>
    <w:p w14:paraId="2E1A1E0D" w14:textId="77777777" w:rsidR="00514CE5" w:rsidRDefault="00514CE5" w:rsidP="009C1821">
      <w:pPr>
        <w:jc w:val="both"/>
        <w:rPr>
          <w:rFonts w:ascii="Arial Narrow" w:hAnsi="Arial Narrow" w:cs="Arial"/>
          <w:color w:val="000000" w:themeColor="text1"/>
          <w:lang w:val="es-ES" w:eastAsia="es-ES"/>
        </w:rPr>
      </w:pPr>
      <w:r>
        <w:rPr>
          <w:rFonts w:ascii="Arial Narrow" w:hAnsi="Arial Narrow" w:cs="Arial"/>
          <w:color w:val="000000" w:themeColor="text1"/>
          <w:lang w:val="es-ES" w:eastAsia="es-ES"/>
        </w:rPr>
        <w:t>____________________</w:t>
      </w:r>
    </w:p>
    <w:p w14:paraId="3AFFAC45" w14:textId="77777777" w:rsidR="00514CE5" w:rsidRPr="002C0D19" w:rsidRDefault="00514CE5" w:rsidP="009C1821">
      <w:pPr>
        <w:jc w:val="both"/>
        <w:rPr>
          <w:rFonts w:ascii="Arial Narrow" w:hAnsi="Arial Narrow" w:cs="Arial"/>
          <w:color w:val="000000" w:themeColor="text1"/>
          <w:lang w:val="es-ES" w:eastAsia="es-ES"/>
        </w:rPr>
      </w:pPr>
    </w:p>
    <w:p w14:paraId="7D809AD8" w14:textId="77777777" w:rsidR="00514CE5" w:rsidRPr="002C0D19" w:rsidRDefault="00514CE5" w:rsidP="009C1821">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Número de cuenta en un depósito central de valores: ____________________ (Tercero Identificado y no Identificado)</w:t>
      </w:r>
    </w:p>
    <w:p w14:paraId="49C1511F" w14:textId="77777777" w:rsidR="00514CE5" w:rsidRPr="002C0D19" w:rsidRDefault="00514CE5" w:rsidP="00514CE5">
      <w:pPr>
        <w:rPr>
          <w:rFonts w:ascii="Arial Narrow" w:hAnsi="Arial Narrow" w:cs="Arial"/>
          <w:b/>
          <w:bCs/>
          <w:color w:val="000000" w:themeColor="text1"/>
          <w:u w:val="single"/>
          <w:lang w:val="es-ES" w:eastAsia="es-ES"/>
        </w:rPr>
      </w:pPr>
    </w:p>
    <w:p w14:paraId="1851E775" w14:textId="77777777" w:rsidR="00514CE5" w:rsidRPr="002C0D19" w:rsidRDefault="00514CE5" w:rsidP="00514CE5">
      <w:pPr>
        <w:jc w:val="center"/>
        <w:rPr>
          <w:rFonts w:ascii="Arial Narrow" w:hAnsi="Arial Narrow" w:cs="Arial"/>
          <w:b/>
          <w:bCs/>
          <w:iCs/>
          <w:color w:val="000000" w:themeColor="text1"/>
          <w:lang w:val="es-ES" w:eastAsia="es-ES"/>
        </w:rPr>
      </w:pPr>
      <w:r w:rsidRPr="002C0D19">
        <w:rPr>
          <w:rFonts w:ascii="Arial Narrow" w:hAnsi="Arial Narrow" w:cs="Arial"/>
          <w:b/>
          <w:bCs/>
          <w:iCs/>
          <w:color w:val="000000" w:themeColor="text1"/>
          <w:lang w:val="es-ES" w:eastAsia="es-ES"/>
        </w:rPr>
        <w:t>TÉRMINOS Y CONDICIONES DE LA OFERTA</w:t>
      </w:r>
    </w:p>
    <w:p w14:paraId="19293B23" w14:textId="77777777" w:rsidR="00514CE5" w:rsidRPr="002C0D19" w:rsidRDefault="00514CE5" w:rsidP="00514CE5">
      <w:pPr>
        <w:jc w:val="center"/>
        <w:rPr>
          <w:rFonts w:ascii="Arial Narrow" w:hAnsi="Arial Narrow" w:cs="Arial"/>
          <w:b/>
          <w:bCs/>
          <w:color w:val="000000" w:themeColor="text1"/>
          <w:lang w:val="es-ES" w:eastAsia="es-ES"/>
        </w:rPr>
      </w:pPr>
    </w:p>
    <w:p w14:paraId="5DCE7A11" w14:textId="77777777" w:rsidR="00514CE5" w:rsidRPr="002C0D19" w:rsidRDefault="00514CE5" w:rsidP="009C1821">
      <w:pPr>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es-ES" w:eastAsia="es-ES"/>
        </w:rPr>
        <w:t>PRIMERA. Objeto.</w:t>
      </w:r>
      <w:r w:rsidRPr="002C0D19">
        <w:rPr>
          <w:rFonts w:ascii="Arial Narrow" w:hAnsi="Arial Narrow" w:cs="Arial"/>
          <w:color w:val="000000" w:themeColor="text1"/>
          <w:lang w:val="es-ES" w:eastAsia="es-ES"/>
        </w:rPr>
        <w:t xml:space="preserve"> En virtud de la aceptación de la presente Oferta de Servicios, </w:t>
      </w:r>
      <w:r w:rsidRPr="002C0D19">
        <w:rPr>
          <w:rFonts w:ascii="Arial Narrow" w:hAnsi="Arial Narrow" w:cs="Arial"/>
          <w:b/>
          <w:color w:val="000000" w:themeColor="text1"/>
          <w:lang w:val="es-ES" w:eastAsia="es-ES"/>
        </w:rPr>
        <w:t xml:space="preserve">EL MIEMBRO </w:t>
      </w:r>
      <w:r w:rsidRPr="002C0D19">
        <w:rPr>
          <w:rFonts w:ascii="Arial Narrow" w:hAnsi="Arial Narrow" w:cs="Arial"/>
          <w:color w:val="000000" w:themeColor="text1"/>
          <w:lang w:val="es-ES" w:eastAsia="es-ES"/>
        </w:rPr>
        <w:t>participará</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 xml:space="preserve">por cuenta de </w:t>
      </w:r>
      <w:r w:rsidRPr="002C0D19">
        <w:rPr>
          <w:rFonts w:ascii="Arial Narrow" w:hAnsi="Arial Narrow" w:cs="Arial"/>
          <w:b/>
          <w:color w:val="000000" w:themeColor="text1"/>
          <w:lang w:val="es-ES" w:eastAsia="es-ES"/>
        </w:rPr>
        <w:t xml:space="preserve">EL TERCERO </w:t>
      </w:r>
      <w:r w:rsidRPr="002C0D19">
        <w:rPr>
          <w:rFonts w:ascii="Arial Narrow" w:hAnsi="Arial Narrow" w:cs="Arial"/>
          <w:color w:val="000000" w:themeColor="text1"/>
          <w:lang w:val="es-ES" w:eastAsia="es-ES"/>
        </w:rPr>
        <w:t xml:space="preserve">ante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de conformidad con los términos y condiciones establecidos en el Reglamento de la CRCC S.A., en adelante el “Reglamento”. Dicha participación faculta a </w:t>
      </w:r>
      <w:r w:rsidRPr="002C0D19">
        <w:rPr>
          <w:rFonts w:ascii="Arial Narrow" w:hAnsi="Arial Narrow" w:cs="Arial"/>
          <w:b/>
          <w:color w:val="000000" w:themeColor="text1"/>
          <w:lang w:val="es-ES" w:eastAsia="es-ES"/>
        </w:rPr>
        <w:t>EL</w:t>
      </w:r>
      <w:r w:rsidRPr="002C0D19">
        <w:rPr>
          <w:rFonts w:ascii="Arial Narrow" w:hAnsi="Arial Narrow" w:cs="Arial"/>
          <w:color w:val="000000" w:themeColor="text1"/>
          <w:lang w:val="es-ES" w:eastAsia="es-ES"/>
        </w:rPr>
        <w:t xml:space="preserve"> </w:t>
      </w:r>
      <w:r w:rsidRPr="002C0D19">
        <w:rPr>
          <w:rFonts w:ascii="Arial Narrow" w:hAnsi="Arial Narrow" w:cs="Arial"/>
          <w:b/>
          <w:color w:val="000000" w:themeColor="text1"/>
          <w:lang w:val="es-ES" w:eastAsia="es-ES"/>
        </w:rPr>
        <w:t>MIEMBRO</w:t>
      </w:r>
      <w:r w:rsidRPr="002C0D19">
        <w:rPr>
          <w:rFonts w:ascii="Arial Narrow" w:hAnsi="Arial Narrow" w:cs="Arial"/>
          <w:color w:val="000000" w:themeColor="text1"/>
          <w:lang w:val="es-ES" w:eastAsia="es-ES"/>
        </w:rPr>
        <w:t xml:space="preserve"> para compensar, liquidar y garantizar operaciones por cuenta de </w:t>
      </w:r>
      <w:r w:rsidRPr="002C0D19">
        <w:rPr>
          <w:rFonts w:ascii="Arial Narrow" w:hAnsi="Arial Narrow" w:cs="Arial"/>
          <w:b/>
          <w:color w:val="000000" w:themeColor="text1"/>
          <w:lang w:val="es-ES" w:eastAsia="es-ES"/>
        </w:rPr>
        <w:t xml:space="preserve">EL TERCERO </w:t>
      </w:r>
      <w:r w:rsidRPr="002C0D19">
        <w:rPr>
          <w:rFonts w:ascii="Arial Narrow" w:hAnsi="Arial Narrow" w:cs="Arial"/>
          <w:color w:val="000000" w:themeColor="text1"/>
          <w:lang w:val="es-ES" w:eastAsia="es-ES"/>
        </w:rPr>
        <w:t>en los Segmentos en los que participe, así como, para realizar todas las demás gestiones autorizadas, dada su condición de Miembro,</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 xml:space="preserve">de conformidad con los términos y condiciones establecidos en el Reglamento. </w:t>
      </w:r>
    </w:p>
    <w:p w14:paraId="552DBB89" w14:textId="77777777" w:rsidR="00514CE5" w:rsidRPr="002C0D19" w:rsidRDefault="00514CE5" w:rsidP="009C1821">
      <w:pPr>
        <w:jc w:val="both"/>
        <w:rPr>
          <w:rFonts w:ascii="Arial Narrow" w:hAnsi="Arial Narrow" w:cs="Arial"/>
          <w:color w:val="000000" w:themeColor="text1"/>
          <w:lang w:val="es-ES" w:eastAsia="es-ES"/>
        </w:rPr>
      </w:pPr>
    </w:p>
    <w:p w14:paraId="56805D0C" w14:textId="77777777" w:rsidR="00514CE5" w:rsidRPr="002C0D19" w:rsidRDefault="00514CE5" w:rsidP="009C1821">
      <w:pPr>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 w:eastAsia="es-ES"/>
        </w:rPr>
        <w:t xml:space="preserve">PARÁGRAFO. </w:t>
      </w:r>
      <w:r w:rsidRPr="002C0D19">
        <w:rPr>
          <w:rFonts w:ascii="Arial Narrow" w:hAnsi="Arial Narrow" w:cs="Arial"/>
          <w:color w:val="000000" w:themeColor="text1"/>
          <w:lang w:val="es-ES" w:eastAsia="es-ES"/>
        </w:rPr>
        <w:t>Los términos que se utilizan en esta Oferta de Servicios, cuya primera letra sea una mayúscula y que no se encuentren expresamente definidos en esta Oferta, tendrán el significado que se les atribuye en el Reglamento.</w:t>
      </w:r>
    </w:p>
    <w:p w14:paraId="157E6CE1" w14:textId="77777777" w:rsidR="00514CE5" w:rsidRPr="002C0D19" w:rsidRDefault="00514CE5" w:rsidP="009C1821">
      <w:pPr>
        <w:jc w:val="both"/>
        <w:rPr>
          <w:rFonts w:ascii="Arial Narrow" w:hAnsi="Arial Narrow" w:cs="Arial"/>
          <w:color w:val="000000" w:themeColor="text1"/>
          <w:lang w:val="es-ES" w:eastAsia="es-ES"/>
        </w:rPr>
      </w:pPr>
    </w:p>
    <w:p w14:paraId="2E23AD36" w14:textId="77777777" w:rsidR="00514CE5" w:rsidRPr="002C0D19" w:rsidRDefault="00514CE5" w:rsidP="009C1821">
      <w:pPr>
        <w:jc w:val="both"/>
        <w:rPr>
          <w:rFonts w:ascii="Arial Narrow" w:hAnsi="Arial Narrow" w:cs="Arial"/>
          <w:b/>
          <w:color w:val="000000" w:themeColor="text1"/>
          <w:lang w:val="es-ES" w:eastAsia="es-ES"/>
        </w:rPr>
      </w:pPr>
      <w:r w:rsidRPr="002C0D19">
        <w:rPr>
          <w:rFonts w:ascii="Arial Narrow" w:hAnsi="Arial Narrow" w:cs="Arial"/>
          <w:b/>
          <w:color w:val="000000" w:themeColor="text1"/>
          <w:u w:val="single"/>
          <w:lang w:val="es-ES" w:eastAsia="es-ES"/>
        </w:rPr>
        <w:t>SEGUNDA. Declaraciones, Manifestaciones y Autorizaciones.</w:t>
      </w:r>
      <w:r w:rsidRPr="002C0D19">
        <w:rPr>
          <w:rFonts w:ascii="Arial Narrow" w:hAnsi="Arial Narrow" w:cs="Arial"/>
          <w:color w:val="000000" w:themeColor="text1"/>
          <w:lang w:val="es-ES" w:eastAsia="es-ES"/>
        </w:rPr>
        <w:t xml:space="preserve"> Mediante la aceptación de la presente Oferta, </w:t>
      </w:r>
      <w:r w:rsidRPr="002C0D19">
        <w:rPr>
          <w:rFonts w:ascii="Arial Narrow" w:hAnsi="Arial Narrow" w:cs="Arial"/>
          <w:b/>
          <w:color w:val="000000" w:themeColor="text1"/>
          <w:lang w:val="es-ES" w:eastAsia="es-ES"/>
        </w:rPr>
        <w:t>EL TERCERO:</w:t>
      </w:r>
    </w:p>
    <w:p w14:paraId="29B8B04F" w14:textId="77777777" w:rsidR="00514CE5" w:rsidRPr="002C0D19" w:rsidRDefault="00514CE5" w:rsidP="009C1821">
      <w:pPr>
        <w:jc w:val="both"/>
        <w:rPr>
          <w:rFonts w:ascii="Arial Narrow" w:hAnsi="Arial Narrow" w:cs="Arial"/>
          <w:color w:val="000000" w:themeColor="text1"/>
          <w:lang w:val="es-ES" w:eastAsia="es-ES"/>
        </w:rPr>
      </w:pPr>
    </w:p>
    <w:p w14:paraId="2D508950" w14:textId="77777777" w:rsidR="00514CE5" w:rsidRPr="002C0D19" w:rsidRDefault="00514CE5" w:rsidP="00DA7472">
      <w:pPr>
        <w:numPr>
          <w:ilvl w:val="0"/>
          <w:numId w:val="30"/>
        </w:numPr>
        <w:tabs>
          <w:tab w:val="clear" w:pos="720"/>
          <w:tab w:val="num" w:pos="851"/>
        </w:tabs>
        <w:ind w:left="426" w:hanging="425"/>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lastRenderedPageBreak/>
        <w:t xml:space="preserve">Declara expresamente conocer y aceptar en su integridad el Reglamento, las Circulares y los Instructivos Operativos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los cuales son de carácter vinculante y se consideran parte integral de la presente Oferta de Servicios.</w:t>
      </w:r>
    </w:p>
    <w:p w14:paraId="05B087E6" w14:textId="77777777" w:rsidR="00514CE5" w:rsidRPr="002C0D19" w:rsidRDefault="00514CE5" w:rsidP="00DA7472">
      <w:pPr>
        <w:numPr>
          <w:ilvl w:val="0"/>
          <w:numId w:val="30"/>
        </w:numPr>
        <w:ind w:left="426" w:hanging="425"/>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 Declara que conoce y acepta los derechos y obligaciones que le corresponden, como Tercero Identificado o Tercero no Identificado, según el caso, de conformidad con lo dispuesto en los artículo</w:t>
      </w:r>
      <w:r w:rsidR="009C1821">
        <w:rPr>
          <w:rFonts w:ascii="Arial Narrow" w:hAnsi="Arial Narrow" w:cs="Arial"/>
          <w:color w:val="000000" w:themeColor="text1"/>
          <w:lang w:val="es-ES" w:eastAsia="es-ES"/>
        </w:rPr>
        <w:t>s</w:t>
      </w:r>
      <w:r w:rsidRPr="002C0D19">
        <w:rPr>
          <w:rFonts w:ascii="Arial Narrow" w:hAnsi="Arial Narrow" w:cs="Arial"/>
          <w:color w:val="000000" w:themeColor="text1"/>
          <w:lang w:val="es-ES" w:eastAsia="es-ES"/>
        </w:rPr>
        <w:t xml:space="preserve"> 2.1.21. y siguientes del Reglamento.</w:t>
      </w:r>
    </w:p>
    <w:p w14:paraId="605A411E" w14:textId="77777777" w:rsidR="00514CE5" w:rsidRPr="002C0D19" w:rsidRDefault="00514CE5" w:rsidP="00DA7472">
      <w:pPr>
        <w:numPr>
          <w:ilvl w:val="0"/>
          <w:numId w:val="30"/>
        </w:numPr>
        <w:ind w:left="426" w:hanging="425"/>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Manifiesta y acepta que en lo no previsto expresamente en la presente oferta, se aplicará lo dispuesto en el Reglamento.   </w:t>
      </w:r>
    </w:p>
    <w:p w14:paraId="01810F71" w14:textId="77777777" w:rsidR="00514CE5" w:rsidRPr="002C0D19" w:rsidRDefault="00514CE5" w:rsidP="00DA7472">
      <w:pPr>
        <w:numPr>
          <w:ilvl w:val="0"/>
          <w:numId w:val="30"/>
        </w:numPr>
        <w:ind w:left="426" w:hanging="425"/>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Acepta que las Operaciones Aceptadas por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y</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 xml:space="preserve">que realice </w:t>
      </w:r>
      <w:r w:rsidRPr="002C0D19">
        <w:rPr>
          <w:rFonts w:ascii="Arial Narrow" w:hAnsi="Arial Narrow" w:cs="Arial"/>
          <w:b/>
          <w:color w:val="000000" w:themeColor="text1"/>
          <w:lang w:val="es-ES" w:eastAsia="es-ES"/>
        </w:rPr>
        <w:t xml:space="preserve">EL MIEMBRO </w:t>
      </w:r>
      <w:r w:rsidRPr="002C0D19">
        <w:rPr>
          <w:rFonts w:ascii="Arial Narrow" w:hAnsi="Arial Narrow" w:cs="Arial"/>
          <w:color w:val="000000" w:themeColor="text1"/>
          <w:lang w:val="es-ES" w:eastAsia="es-ES"/>
        </w:rPr>
        <w:t xml:space="preserve">por cuenta de </w:t>
      </w:r>
      <w:r w:rsidRPr="002C0D19">
        <w:rPr>
          <w:rFonts w:ascii="Arial Narrow" w:hAnsi="Arial Narrow" w:cs="Arial"/>
          <w:b/>
          <w:color w:val="000000" w:themeColor="text1"/>
          <w:lang w:val="es-ES" w:eastAsia="es-ES"/>
        </w:rPr>
        <w:t>EL TERCERO</w:t>
      </w:r>
      <w:r w:rsidRPr="002C0D19">
        <w:rPr>
          <w:rFonts w:ascii="Arial Narrow" w:hAnsi="Arial Narrow" w:cs="Arial"/>
          <w:color w:val="000000" w:themeColor="text1"/>
          <w:lang w:val="es-ES" w:eastAsia="es-ES"/>
        </w:rPr>
        <w:t xml:space="preserve">, se entenderán automáticamente novadas por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con ocasión de su interposición como contraparte, en los términos y con el alcance previsto en el Reglamento. </w:t>
      </w:r>
    </w:p>
    <w:p w14:paraId="4F3A18F9" w14:textId="77777777" w:rsidR="00514CE5" w:rsidRPr="002C0D19" w:rsidRDefault="00514CE5" w:rsidP="00DA7472">
      <w:pPr>
        <w:numPr>
          <w:ilvl w:val="0"/>
          <w:numId w:val="30"/>
        </w:numPr>
        <w:ind w:left="426" w:hanging="425"/>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Declara y acepta que las Garantías constituidas y mantenidas, con los ajustes procedentes, por </w:t>
      </w:r>
      <w:r w:rsidRPr="002C0D19">
        <w:rPr>
          <w:rFonts w:ascii="Arial Narrow" w:hAnsi="Arial Narrow" w:cs="Arial"/>
          <w:b/>
          <w:color w:val="000000" w:themeColor="text1"/>
          <w:lang w:val="es-ES" w:eastAsia="es-ES"/>
        </w:rPr>
        <w:t xml:space="preserve">EL TERCERO </w:t>
      </w:r>
      <w:r w:rsidRPr="002C0D19">
        <w:rPr>
          <w:rFonts w:ascii="Arial Narrow" w:hAnsi="Arial Narrow" w:cs="Arial"/>
          <w:color w:val="000000" w:themeColor="text1"/>
          <w:lang w:val="es-ES" w:eastAsia="es-ES"/>
        </w:rPr>
        <w:t xml:space="preserve">a favor de </w:t>
      </w:r>
      <w:r w:rsidRPr="002C0D19">
        <w:rPr>
          <w:rFonts w:ascii="Arial Narrow" w:hAnsi="Arial Narrow" w:cs="Arial"/>
          <w:b/>
          <w:color w:val="000000" w:themeColor="text1"/>
          <w:lang w:val="es-ES" w:eastAsia="es-ES"/>
        </w:rPr>
        <w:t xml:space="preserve">EL MIEMBRO </w:t>
      </w:r>
      <w:r w:rsidRPr="002C0D19">
        <w:rPr>
          <w:rFonts w:ascii="Arial Narrow" w:hAnsi="Arial Narrow" w:cs="Arial"/>
          <w:color w:val="000000" w:themeColor="text1"/>
          <w:lang w:val="es-ES" w:eastAsia="es-ES"/>
        </w:rPr>
        <w:t xml:space="preserve">y/o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no se verán afectadas por la novación antes referida y se mantendrán vigentes, conviniendo expresamente en su reserva a favor de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y/o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w:t>
      </w:r>
    </w:p>
    <w:p w14:paraId="02DCE7C5" w14:textId="77777777" w:rsidR="00514CE5" w:rsidRPr="00C8147D" w:rsidRDefault="00514CE5" w:rsidP="00DA7472">
      <w:pPr>
        <w:numPr>
          <w:ilvl w:val="0"/>
          <w:numId w:val="30"/>
        </w:numPr>
        <w:ind w:left="426" w:hanging="425"/>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Reitera que conoce y acepta lo</w:t>
      </w:r>
      <w:r>
        <w:rPr>
          <w:rFonts w:ascii="Arial Narrow" w:hAnsi="Arial Narrow" w:cs="Arial"/>
          <w:color w:val="000000" w:themeColor="text1"/>
          <w:lang w:val="es-ES" w:eastAsia="es-ES"/>
        </w:rPr>
        <w:t xml:space="preserve">s derechos y obligaciones que le corresponden de acuerdo con los artículos </w:t>
      </w:r>
      <w:r w:rsidRPr="00C8147D">
        <w:rPr>
          <w:rFonts w:ascii="Arial Narrow" w:hAnsi="Arial Narrow" w:cs="Arial"/>
          <w:color w:val="000000"/>
          <w:lang w:eastAsia="es-ES"/>
        </w:rPr>
        <w:t xml:space="preserve">2.1.22. </w:t>
      </w:r>
      <w:r>
        <w:rPr>
          <w:rFonts w:ascii="Arial Narrow" w:hAnsi="Arial Narrow" w:cs="Arial"/>
          <w:color w:val="000000"/>
          <w:lang w:eastAsia="es-ES"/>
        </w:rPr>
        <w:t>y</w:t>
      </w:r>
      <w:r w:rsidRPr="00C8147D">
        <w:rPr>
          <w:rFonts w:ascii="Arial Narrow" w:hAnsi="Arial Narrow" w:cs="Arial"/>
          <w:color w:val="000000"/>
          <w:lang w:eastAsia="es-ES"/>
        </w:rPr>
        <w:t xml:space="preserve"> 2.1.23. </w:t>
      </w:r>
      <w:r>
        <w:rPr>
          <w:rFonts w:ascii="Arial Narrow" w:hAnsi="Arial Narrow" w:cs="Arial"/>
          <w:color w:val="000000"/>
          <w:lang w:eastAsia="es-ES"/>
        </w:rPr>
        <w:t xml:space="preserve">o 2.1.24. </w:t>
      </w:r>
      <w:r w:rsidRPr="00C8147D">
        <w:rPr>
          <w:rFonts w:ascii="Arial Narrow" w:hAnsi="Arial Narrow" w:cs="Arial"/>
          <w:color w:val="000000"/>
          <w:lang w:eastAsia="es-ES"/>
        </w:rPr>
        <w:t>del Reglamento</w:t>
      </w:r>
      <w:r>
        <w:rPr>
          <w:rFonts w:ascii="Arial Narrow" w:hAnsi="Arial Narrow" w:cs="Arial"/>
          <w:color w:val="000000"/>
          <w:lang w:eastAsia="es-ES"/>
        </w:rPr>
        <w:t>,</w:t>
      </w:r>
      <w:r w:rsidRPr="00713D8B">
        <w:rPr>
          <w:rFonts w:ascii="Arial Narrow" w:hAnsi="Arial Narrow" w:cs="Arial"/>
          <w:color w:val="000000" w:themeColor="text1"/>
          <w:lang w:eastAsia="es-ES"/>
        </w:rPr>
        <w:t xml:space="preserve"> </w:t>
      </w:r>
      <w:r w:rsidRPr="00B76F8E">
        <w:rPr>
          <w:rFonts w:ascii="Arial Narrow" w:hAnsi="Arial Narrow" w:cs="Arial"/>
          <w:color w:val="000000" w:themeColor="text1"/>
          <w:lang w:eastAsia="es-ES"/>
        </w:rPr>
        <w:t>según se trate de un Tercero Identificado o de un Tercero no Identificado</w:t>
      </w:r>
      <w:r>
        <w:rPr>
          <w:rFonts w:ascii="Arial Narrow" w:hAnsi="Arial Narrow" w:cs="Arial"/>
          <w:color w:val="000000"/>
          <w:lang w:eastAsia="es-ES"/>
        </w:rPr>
        <w:t>:</w:t>
      </w:r>
    </w:p>
    <w:p w14:paraId="6FB4314D" w14:textId="77777777" w:rsidR="00514CE5" w:rsidRDefault="00514CE5" w:rsidP="00514CE5">
      <w:pPr>
        <w:pStyle w:val="Prrafodelista"/>
        <w:rPr>
          <w:rFonts w:ascii="Arial Narrow" w:hAnsi="Arial Narrow"/>
          <w:color w:val="000000"/>
          <w:lang w:eastAsia="es-ES"/>
        </w:rPr>
      </w:pPr>
    </w:p>
    <w:tbl>
      <w:tblPr>
        <w:tblStyle w:val="Tablaconcuadrcula"/>
        <w:tblW w:w="0" w:type="auto"/>
        <w:jc w:val="center"/>
        <w:tblLook w:val="04A0" w:firstRow="1" w:lastRow="0" w:firstColumn="1" w:lastColumn="0" w:noHBand="0" w:noVBand="1"/>
      </w:tblPr>
      <w:tblGrid>
        <w:gridCol w:w="4060"/>
        <w:gridCol w:w="4048"/>
      </w:tblGrid>
      <w:tr w:rsidR="00514CE5" w:rsidRPr="004D3326" w14:paraId="45217414" w14:textId="77777777" w:rsidTr="009C1821">
        <w:trPr>
          <w:jc w:val="center"/>
        </w:trPr>
        <w:tc>
          <w:tcPr>
            <w:tcW w:w="4060" w:type="dxa"/>
          </w:tcPr>
          <w:p w14:paraId="6ED454C7" w14:textId="77777777" w:rsidR="00514CE5" w:rsidRPr="004D3326" w:rsidRDefault="00514CE5" w:rsidP="009C1821">
            <w:pPr>
              <w:pStyle w:val="Prrafodelista"/>
              <w:ind w:left="0"/>
              <w:jc w:val="center"/>
              <w:rPr>
                <w:rFonts w:ascii="Arial Narrow" w:hAnsi="Arial Narrow"/>
                <w:b w:val="0"/>
                <w:bCs/>
                <w:color w:val="000000"/>
                <w:lang w:eastAsia="es-ES"/>
              </w:rPr>
            </w:pPr>
            <w:r w:rsidRPr="004D3326">
              <w:rPr>
                <w:rFonts w:ascii="Arial Narrow" w:hAnsi="Arial Narrow"/>
                <w:bCs/>
                <w:color w:val="000000"/>
                <w:lang w:eastAsia="es-ES"/>
              </w:rPr>
              <w:t>Cuentas de Tercero Identificado</w:t>
            </w:r>
          </w:p>
        </w:tc>
        <w:tc>
          <w:tcPr>
            <w:tcW w:w="4048" w:type="dxa"/>
          </w:tcPr>
          <w:p w14:paraId="62C54629" w14:textId="77777777" w:rsidR="00514CE5" w:rsidRPr="004D3326" w:rsidRDefault="00514CE5" w:rsidP="009C1821">
            <w:pPr>
              <w:pStyle w:val="Prrafodelista"/>
              <w:ind w:left="0"/>
              <w:jc w:val="center"/>
              <w:rPr>
                <w:rFonts w:ascii="Arial Narrow" w:hAnsi="Arial Narrow"/>
                <w:b w:val="0"/>
                <w:bCs/>
                <w:color w:val="000000"/>
                <w:lang w:eastAsia="es-ES"/>
              </w:rPr>
            </w:pPr>
            <w:r w:rsidRPr="004D3326">
              <w:rPr>
                <w:rFonts w:ascii="Arial Narrow" w:hAnsi="Arial Narrow"/>
                <w:bCs/>
                <w:color w:val="000000"/>
                <w:lang w:eastAsia="es-ES"/>
              </w:rPr>
              <w:t>Cuenta</w:t>
            </w:r>
            <w:r>
              <w:rPr>
                <w:rFonts w:ascii="Arial Narrow" w:hAnsi="Arial Narrow"/>
                <w:bCs/>
                <w:color w:val="000000"/>
                <w:lang w:eastAsia="es-ES"/>
              </w:rPr>
              <w:t>s</w:t>
            </w:r>
            <w:r w:rsidRPr="004D3326">
              <w:rPr>
                <w:rFonts w:ascii="Arial Narrow" w:hAnsi="Arial Narrow"/>
                <w:bCs/>
                <w:color w:val="000000"/>
                <w:lang w:eastAsia="es-ES"/>
              </w:rPr>
              <w:t xml:space="preserve"> de Tercero Ómnibus Segregada por Cámara</w:t>
            </w:r>
          </w:p>
        </w:tc>
      </w:tr>
      <w:tr w:rsidR="00514CE5" w:rsidRPr="004D3326" w14:paraId="4D9241C5" w14:textId="77777777" w:rsidTr="009C1821">
        <w:trPr>
          <w:jc w:val="center"/>
        </w:trPr>
        <w:tc>
          <w:tcPr>
            <w:tcW w:w="8108" w:type="dxa"/>
            <w:gridSpan w:val="2"/>
          </w:tcPr>
          <w:p w14:paraId="2F6EED4C" w14:textId="77777777" w:rsidR="00514CE5" w:rsidRPr="004D3326" w:rsidRDefault="00514CE5" w:rsidP="009C1821">
            <w:pPr>
              <w:pStyle w:val="Prrafodelista"/>
              <w:ind w:left="0"/>
              <w:jc w:val="center"/>
              <w:rPr>
                <w:rFonts w:ascii="Arial Narrow" w:hAnsi="Arial Narrow"/>
                <w:i/>
                <w:iCs/>
                <w:color w:val="000000"/>
                <w:lang w:eastAsia="es-ES"/>
              </w:rPr>
            </w:pPr>
            <w:r w:rsidRPr="004D3326">
              <w:rPr>
                <w:rFonts w:ascii="Arial Narrow" w:hAnsi="Arial Narrow"/>
                <w:i/>
                <w:iCs/>
                <w:color w:val="000000"/>
                <w:lang w:eastAsia="es-ES"/>
              </w:rPr>
              <w:t>Derechos</w:t>
            </w:r>
          </w:p>
        </w:tc>
      </w:tr>
      <w:tr w:rsidR="00514CE5" w:rsidRPr="004D3326" w14:paraId="44154BF5" w14:textId="77777777" w:rsidTr="009C1821">
        <w:trPr>
          <w:jc w:val="center"/>
        </w:trPr>
        <w:tc>
          <w:tcPr>
            <w:tcW w:w="4060" w:type="dxa"/>
          </w:tcPr>
          <w:p w14:paraId="7EF1EF24" w14:textId="77777777" w:rsidR="00514CE5" w:rsidRPr="004D3326" w:rsidRDefault="00514CE5" w:rsidP="009C1821">
            <w:pPr>
              <w:jc w:val="both"/>
              <w:rPr>
                <w:rFonts w:ascii="Arial Narrow" w:hAnsi="Arial Narrow" w:cs="Arial"/>
                <w:color w:val="000000"/>
                <w:lang w:eastAsia="es-ES"/>
              </w:rPr>
            </w:pPr>
            <w:r w:rsidRPr="004D3326">
              <w:rPr>
                <w:rFonts w:ascii="Arial Narrow" w:hAnsi="Arial Narrow" w:cs="Arial"/>
                <w:color w:val="000000"/>
                <w:lang w:eastAsia="es-ES"/>
              </w:rPr>
              <w:t xml:space="preserve">Recibir, a través del </w:t>
            </w:r>
            <w:r w:rsidRPr="004D3326">
              <w:rPr>
                <w:rFonts w:ascii="Arial Narrow" w:hAnsi="Arial Narrow" w:cs="Arial"/>
                <w:b/>
                <w:bCs/>
                <w:color w:val="000000"/>
                <w:lang w:eastAsia="es-ES"/>
              </w:rPr>
              <w:t>MIEMBRO</w:t>
            </w:r>
            <w:r w:rsidRPr="004D3326">
              <w:rPr>
                <w:rFonts w:ascii="Arial Narrow" w:hAnsi="Arial Narrow" w:cs="Arial"/>
                <w:color w:val="000000"/>
                <w:lang w:eastAsia="es-ES"/>
              </w:rPr>
              <w:t xml:space="preserve"> correspondiente, información relativa a las operaciones registradas en su Cuenta. </w:t>
            </w:r>
          </w:p>
        </w:tc>
        <w:tc>
          <w:tcPr>
            <w:tcW w:w="4048" w:type="dxa"/>
          </w:tcPr>
          <w:p w14:paraId="22702A59" w14:textId="77777777" w:rsidR="00514CE5" w:rsidRPr="009C1821" w:rsidRDefault="00514CE5" w:rsidP="009C1821">
            <w:pPr>
              <w:pStyle w:val="Prrafodelista"/>
              <w:ind w:left="0"/>
              <w:jc w:val="both"/>
              <w:rPr>
                <w:rFonts w:ascii="Arial Narrow" w:hAnsi="Arial Narrow"/>
                <w:b w:val="0"/>
                <w:bCs/>
                <w:color w:val="000000"/>
                <w:lang w:eastAsia="es-ES"/>
              </w:rPr>
            </w:pPr>
            <w:r w:rsidRPr="009C1821">
              <w:rPr>
                <w:rFonts w:ascii="Arial Narrow" w:hAnsi="Arial Narrow"/>
                <w:b w:val="0"/>
                <w:bCs/>
                <w:color w:val="000000"/>
                <w:lang w:eastAsia="es-ES"/>
              </w:rPr>
              <w:t xml:space="preserve">Recibir del </w:t>
            </w:r>
            <w:r w:rsidRPr="009C1821">
              <w:rPr>
                <w:rFonts w:ascii="Arial Narrow" w:hAnsi="Arial Narrow"/>
                <w:color w:val="000000"/>
                <w:lang w:eastAsia="es-ES"/>
              </w:rPr>
              <w:t>MIEMBRO</w:t>
            </w:r>
            <w:r w:rsidRPr="009C1821">
              <w:rPr>
                <w:rFonts w:ascii="Arial Narrow" w:hAnsi="Arial Narrow"/>
                <w:b w:val="0"/>
                <w:bCs/>
                <w:color w:val="000000"/>
                <w:lang w:eastAsia="es-ES"/>
              </w:rPr>
              <w:t xml:space="preserve"> correspondiente información relativa a las operaciones realizadas por su cuenta.</w:t>
            </w:r>
          </w:p>
        </w:tc>
      </w:tr>
      <w:tr w:rsidR="00514CE5" w:rsidRPr="004D3326" w14:paraId="04070F0E" w14:textId="77777777" w:rsidTr="009C1821">
        <w:trPr>
          <w:jc w:val="center"/>
        </w:trPr>
        <w:tc>
          <w:tcPr>
            <w:tcW w:w="4060" w:type="dxa"/>
          </w:tcPr>
          <w:p w14:paraId="000FD59E" w14:textId="77777777" w:rsidR="00514CE5" w:rsidRPr="009C1821" w:rsidRDefault="00514CE5" w:rsidP="009C1821">
            <w:pPr>
              <w:pStyle w:val="Prrafodelista"/>
              <w:ind w:left="0"/>
              <w:jc w:val="both"/>
              <w:rPr>
                <w:rFonts w:ascii="Arial Narrow" w:hAnsi="Arial Narrow"/>
                <w:b w:val="0"/>
                <w:bCs/>
                <w:color w:val="000000"/>
                <w:lang w:eastAsia="es-ES"/>
              </w:rPr>
            </w:pPr>
            <w:r w:rsidRPr="009C1821">
              <w:rPr>
                <w:rFonts w:ascii="Arial Narrow" w:hAnsi="Arial Narrow"/>
                <w:b w:val="0"/>
                <w:bCs/>
                <w:color w:val="000000"/>
                <w:lang w:eastAsia="es-ES"/>
              </w:rPr>
              <w:t xml:space="preserve">Exigir del </w:t>
            </w:r>
            <w:r w:rsidRPr="009C1821">
              <w:rPr>
                <w:rFonts w:ascii="Arial Narrow" w:hAnsi="Arial Narrow"/>
                <w:color w:val="000000"/>
                <w:lang w:eastAsia="es-ES"/>
              </w:rPr>
              <w:t>MIEMBRO</w:t>
            </w:r>
            <w:r w:rsidRPr="009C1821">
              <w:rPr>
                <w:rFonts w:ascii="Arial Narrow" w:hAnsi="Arial Narrow"/>
                <w:b w:val="0"/>
                <w:bCs/>
                <w:color w:val="000000"/>
                <w:lang w:eastAsia="es-ES"/>
              </w:rPr>
              <w:t xml:space="preserve"> a través del cual se realizan operaciones por su cuenta, el estricto cumplimiento de las disposiciones del Reglamento y demás normas aplicables.</w:t>
            </w:r>
          </w:p>
        </w:tc>
        <w:tc>
          <w:tcPr>
            <w:tcW w:w="4048" w:type="dxa"/>
          </w:tcPr>
          <w:p w14:paraId="7A82B92E" w14:textId="77777777" w:rsidR="00514CE5" w:rsidRPr="009C1821" w:rsidRDefault="00514CE5" w:rsidP="009C1821">
            <w:pPr>
              <w:pStyle w:val="Prrafodelista"/>
              <w:ind w:left="0"/>
              <w:jc w:val="both"/>
              <w:rPr>
                <w:rFonts w:ascii="Arial Narrow" w:hAnsi="Arial Narrow"/>
                <w:b w:val="0"/>
                <w:bCs/>
                <w:color w:val="000000"/>
                <w:lang w:eastAsia="es-ES"/>
              </w:rPr>
            </w:pPr>
            <w:r w:rsidRPr="009C1821">
              <w:rPr>
                <w:rFonts w:ascii="Arial Narrow" w:hAnsi="Arial Narrow"/>
                <w:b w:val="0"/>
                <w:bCs/>
                <w:color w:val="000000"/>
                <w:lang w:eastAsia="es-ES"/>
              </w:rPr>
              <w:t xml:space="preserve">Exigir del </w:t>
            </w:r>
            <w:r w:rsidRPr="009C1821">
              <w:rPr>
                <w:rFonts w:ascii="Arial Narrow" w:hAnsi="Arial Narrow"/>
                <w:color w:val="000000"/>
                <w:lang w:eastAsia="es-ES"/>
              </w:rPr>
              <w:t>MIEMBRO</w:t>
            </w:r>
            <w:r w:rsidRPr="009C1821">
              <w:rPr>
                <w:rFonts w:ascii="Arial Narrow" w:hAnsi="Arial Narrow"/>
                <w:b w:val="0"/>
                <w:bCs/>
                <w:color w:val="000000"/>
                <w:lang w:eastAsia="es-ES"/>
              </w:rPr>
              <w:t xml:space="preserve"> a través del cual se realizan operaciones por su cuenta, el estricto cumplimiento de las disposiciones del Reglamento y demás normas aplicables.</w:t>
            </w:r>
          </w:p>
        </w:tc>
      </w:tr>
      <w:tr w:rsidR="00514CE5" w:rsidRPr="004D3326" w14:paraId="2ED03BA7" w14:textId="77777777" w:rsidTr="009C1821">
        <w:trPr>
          <w:jc w:val="center"/>
        </w:trPr>
        <w:tc>
          <w:tcPr>
            <w:tcW w:w="4060" w:type="dxa"/>
          </w:tcPr>
          <w:p w14:paraId="1DD93839" w14:textId="77777777" w:rsidR="00514CE5" w:rsidRPr="009C1821" w:rsidRDefault="00514CE5" w:rsidP="009C1821">
            <w:pPr>
              <w:pStyle w:val="Prrafodelista"/>
              <w:ind w:left="0"/>
              <w:jc w:val="both"/>
              <w:rPr>
                <w:rFonts w:ascii="Arial Narrow" w:hAnsi="Arial Narrow"/>
                <w:b w:val="0"/>
                <w:bCs/>
                <w:color w:val="000000"/>
                <w:lang w:eastAsia="es-ES"/>
              </w:rPr>
            </w:pPr>
            <w:r w:rsidRPr="009C1821">
              <w:rPr>
                <w:rFonts w:ascii="Arial Narrow" w:hAnsi="Arial Narrow"/>
                <w:b w:val="0"/>
                <w:bCs/>
                <w:color w:val="000000"/>
                <w:lang w:eastAsia="es-ES"/>
              </w:rPr>
              <w:t xml:space="preserve">Exigir del </w:t>
            </w:r>
            <w:r w:rsidRPr="009C1821">
              <w:rPr>
                <w:rFonts w:ascii="Arial Narrow" w:hAnsi="Arial Narrow"/>
                <w:color w:val="000000"/>
                <w:lang w:eastAsia="es-ES"/>
              </w:rPr>
              <w:t>MIEMBRO</w:t>
            </w:r>
            <w:r w:rsidRPr="009C1821">
              <w:rPr>
                <w:rFonts w:ascii="Arial Narrow" w:hAnsi="Arial Narrow"/>
                <w:b w:val="0"/>
                <w:bCs/>
                <w:color w:val="000000"/>
                <w:lang w:eastAsia="es-ES"/>
              </w:rPr>
              <w:t xml:space="preserve"> a través del cual se realizan operaciones por su cuenta, el estricto cumplimiento de lo acordado.</w:t>
            </w:r>
          </w:p>
        </w:tc>
        <w:tc>
          <w:tcPr>
            <w:tcW w:w="4048" w:type="dxa"/>
          </w:tcPr>
          <w:p w14:paraId="314E95A9" w14:textId="77777777" w:rsidR="00514CE5" w:rsidRPr="004D3326" w:rsidRDefault="00514CE5" w:rsidP="009C1821">
            <w:pPr>
              <w:jc w:val="both"/>
              <w:rPr>
                <w:rFonts w:ascii="Arial Narrow" w:hAnsi="Arial Narrow" w:cs="Arial"/>
                <w:color w:val="000000"/>
                <w:lang w:eastAsia="es-ES"/>
              </w:rPr>
            </w:pPr>
            <w:r w:rsidRPr="004D3326">
              <w:rPr>
                <w:rFonts w:ascii="Arial Narrow" w:hAnsi="Arial Narrow" w:cs="Arial"/>
                <w:color w:val="000000"/>
                <w:lang w:eastAsia="es-ES"/>
              </w:rPr>
              <w:t xml:space="preserve">Exigir del </w:t>
            </w:r>
            <w:r w:rsidRPr="004D3326">
              <w:rPr>
                <w:rFonts w:ascii="Arial Narrow" w:hAnsi="Arial Narrow" w:cs="Arial"/>
                <w:b/>
                <w:bCs/>
                <w:color w:val="000000"/>
                <w:lang w:eastAsia="es-ES"/>
              </w:rPr>
              <w:t>MIEMBRO</w:t>
            </w:r>
            <w:r w:rsidRPr="004D3326">
              <w:rPr>
                <w:rFonts w:ascii="Arial Narrow" w:hAnsi="Arial Narrow" w:cs="Arial"/>
                <w:color w:val="000000"/>
                <w:lang w:eastAsia="es-ES"/>
              </w:rPr>
              <w:t xml:space="preserve"> a través del cual se realizan operaciones por su cuenta, el estricto cumplimiento de lo acordado. </w:t>
            </w:r>
          </w:p>
        </w:tc>
      </w:tr>
      <w:tr w:rsidR="00514CE5" w:rsidRPr="004D3326" w14:paraId="16E3F07D" w14:textId="77777777" w:rsidTr="009C1821">
        <w:trPr>
          <w:jc w:val="center"/>
        </w:trPr>
        <w:tc>
          <w:tcPr>
            <w:tcW w:w="4060" w:type="dxa"/>
          </w:tcPr>
          <w:p w14:paraId="058D458C" w14:textId="77777777" w:rsidR="00514CE5" w:rsidRPr="009C1821" w:rsidRDefault="00514CE5" w:rsidP="009C1821">
            <w:pPr>
              <w:pStyle w:val="Prrafodelista"/>
              <w:ind w:left="0"/>
              <w:jc w:val="both"/>
              <w:rPr>
                <w:rFonts w:ascii="Arial Narrow" w:hAnsi="Arial Narrow"/>
                <w:b w:val="0"/>
                <w:bCs/>
                <w:color w:val="000000"/>
                <w:lang w:eastAsia="es-ES"/>
              </w:rPr>
            </w:pPr>
            <w:r w:rsidRPr="009C1821">
              <w:rPr>
                <w:rFonts w:ascii="Arial Narrow" w:hAnsi="Arial Narrow"/>
                <w:b w:val="0"/>
                <w:bCs/>
                <w:color w:val="000000"/>
                <w:lang w:eastAsia="es-ES"/>
              </w:rPr>
              <w:t xml:space="preserve">Recibir a través de su </w:t>
            </w:r>
            <w:r w:rsidRPr="009C1821">
              <w:rPr>
                <w:rFonts w:ascii="Arial Narrow" w:hAnsi="Arial Narrow"/>
                <w:color w:val="000000"/>
                <w:lang w:eastAsia="es-ES"/>
              </w:rPr>
              <w:t>MIEMBRO</w:t>
            </w:r>
            <w:r w:rsidRPr="009C1821">
              <w:rPr>
                <w:rFonts w:ascii="Arial Narrow" w:hAnsi="Arial Narrow"/>
                <w:b w:val="0"/>
                <w:bCs/>
                <w:color w:val="000000"/>
                <w:lang w:eastAsia="es-ES"/>
              </w:rPr>
              <w:t xml:space="preserve"> o </w:t>
            </w:r>
            <w:r w:rsidRPr="009C1821">
              <w:rPr>
                <w:rFonts w:ascii="Arial Narrow" w:hAnsi="Arial Narrow"/>
                <w:color w:val="000000"/>
                <w:lang w:eastAsia="es-ES"/>
              </w:rPr>
              <w:t>MIEMBROS</w:t>
            </w:r>
            <w:r w:rsidRPr="009C1821">
              <w:rPr>
                <w:rFonts w:ascii="Arial Narrow" w:hAnsi="Arial Narrow"/>
                <w:b w:val="0"/>
                <w:bCs/>
                <w:color w:val="000000"/>
                <w:lang w:eastAsia="es-ES"/>
              </w:rPr>
              <w:t xml:space="preserve">, los dineros que le corresponda recibir en virtud de las operaciones realizadas por su cuenta. Los derechos del Tercero Identificado relativos al recibo de efectivo lo son únicamente con respecto a su </w:t>
            </w:r>
            <w:r w:rsidRPr="009C1821">
              <w:rPr>
                <w:rFonts w:ascii="Arial Narrow" w:hAnsi="Arial Narrow"/>
                <w:color w:val="000000"/>
                <w:lang w:eastAsia="es-ES"/>
              </w:rPr>
              <w:t>MIEMBRO</w:t>
            </w:r>
            <w:r w:rsidRPr="009C1821">
              <w:rPr>
                <w:rFonts w:ascii="Arial Narrow" w:hAnsi="Arial Narrow"/>
                <w:b w:val="0"/>
                <w:bCs/>
                <w:color w:val="000000"/>
                <w:lang w:eastAsia="es-ES"/>
              </w:rPr>
              <w:t xml:space="preserve"> correspondiente y en ningún caso respecto de </w:t>
            </w:r>
            <w:r w:rsidRPr="009C1821">
              <w:rPr>
                <w:rFonts w:ascii="Arial Narrow" w:hAnsi="Arial Narrow"/>
                <w:color w:val="000000"/>
                <w:lang w:eastAsia="es-ES"/>
              </w:rPr>
              <w:t>LA CRCC</w:t>
            </w:r>
            <w:r w:rsidRPr="009C1821">
              <w:rPr>
                <w:rFonts w:ascii="Arial Narrow" w:hAnsi="Arial Narrow"/>
                <w:b w:val="0"/>
                <w:bCs/>
                <w:color w:val="000000"/>
                <w:lang w:eastAsia="es-ES"/>
              </w:rPr>
              <w:t xml:space="preserve">, de tal modo que cuando </w:t>
            </w:r>
            <w:r w:rsidRPr="009C1821">
              <w:rPr>
                <w:rFonts w:ascii="Arial Narrow" w:hAnsi="Arial Narrow"/>
                <w:color w:val="000000"/>
                <w:lang w:eastAsia="es-ES"/>
              </w:rPr>
              <w:t>LA CRCC</w:t>
            </w:r>
            <w:r w:rsidRPr="009C1821">
              <w:rPr>
                <w:rFonts w:ascii="Arial Narrow" w:hAnsi="Arial Narrow"/>
                <w:b w:val="0"/>
                <w:bCs/>
                <w:color w:val="000000"/>
                <w:lang w:eastAsia="es-ES"/>
              </w:rPr>
              <w:t xml:space="preserve"> deba pagar efectivo a los Terceros Identificados lo hará </w:t>
            </w:r>
            <w:r w:rsidRPr="009C1821">
              <w:rPr>
                <w:rFonts w:ascii="Arial Narrow" w:hAnsi="Arial Narrow"/>
                <w:b w:val="0"/>
                <w:bCs/>
                <w:color w:val="000000"/>
                <w:lang w:eastAsia="es-ES"/>
              </w:rPr>
              <w:lastRenderedPageBreak/>
              <w:t xml:space="preserve">poniendo los fondos a disposición del </w:t>
            </w:r>
            <w:r w:rsidRPr="009C1821">
              <w:rPr>
                <w:rFonts w:ascii="Arial Narrow" w:hAnsi="Arial Narrow"/>
                <w:color w:val="000000"/>
                <w:lang w:eastAsia="es-ES"/>
              </w:rPr>
              <w:t>MIEMBRO</w:t>
            </w:r>
            <w:r w:rsidRPr="009C1821">
              <w:rPr>
                <w:rFonts w:ascii="Arial Narrow" w:hAnsi="Arial Narrow"/>
                <w:b w:val="0"/>
                <w:bCs/>
                <w:color w:val="000000"/>
                <w:lang w:eastAsia="es-ES"/>
              </w:rPr>
              <w:t xml:space="preserve"> y a favor de los Terceros Identificados. El pago hecho por </w:t>
            </w:r>
            <w:r w:rsidRPr="009C1821">
              <w:rPr>
                <w:rFonts w:ascii="Arial Narrow" w:hAnsi="Arial Narrow"/>
                <w:color w:val="000000"/>
                <w:lang w:eastAsia="es-ES"/>
              </w:rPr>
              <w:t>LA CRCC</w:t>
            </w:r>
            <w:r w:rsidRPr="009C1821">
              <w:rPr>
                <w:rFonts w:ascii="Arial Narrow" w:hAnsi="Arial Narrow"/>
                <w:b w:val="0"/>
                <w:bCs/>
                <w:color w:val="000000"/>
                <w:lang w:eastAsia="es-ES"/>
              </w:rPr>
              <w:t xml:space="preserve"> al </w:t>
            </w:r>
            <w:r w:rsidRPr="009C1821">
              <w:rPr>
                <w:rFonts w:ascii="Arial Narrow" w:hAnsi="Arial Narrow"/>
                <w:color w:val="000000"/>
                <w:lang w:eastAsia="es-ES"/>
              </w:rPr>
              <w:t>MIEMBRO</w:t>
            </w:r>
            <w:r w:rsidRPr="009C1821">
              <w:rPr>
                <w:rFonts w:ascii="Arial Narrow" w:hAnsi="Arial Narrow"/>
                <w:b w:val="0"/>
                <w:bCs/>
                <w:color w:val="000000"/>
                <w:lang w:eastAsia="es-ES"/>
              </w:rPr>
              <w:t xml:space="preserve"> de los dineros que le corresponda recibir a los Terceros Identificados es válido y extingue la obligación a cargo de </w:t>
            </w:r>
            <w:r w:rsidRPr="009C1821">
              <w:rPr>
                <w:rFonts w:ascii="Arial Narrow" w:hAnsi="Arial Narrow"/>
                <w:color w:val="000000"/>
                <w:lang w:eastAsia="es-ES"/>
              </w:rPr>
              <w:t>LA CRCC</w:t>
            </w:r>
            <w:r w:rsidRPr="009C1821">
              <w:rPr>
                <w:rFonts w:ascii="Arial Narrow" w:hAnsi="Arial Narrow"/>
                <w:b w:val="0"/>
                <w:bCs/>
                <w:color w:val="000000"/>
                <w:lang w:eastAsia="es-ES"/>
              </w:rPr>
              <w:t>.</w:t>
            </w:r>
          </w:p>
        </w:tc>
        <w:tc>
          <w:tcPr>
            <w:tcW w:w="4048" w:type="dxa"/>
          </w:tcPr>
          <w:p w14:paraId="17B1B11A" w14:textId="77777777" w:rsidR="00514CE5" w:rsidRPr="004D3326" w:rsidRDefault="00514CE5" w:rsidP="009C1821">
            <w:pPr>
              <w:jc w:val="both"/>
              <w:rPr>
                <w:rFonts w:ascii="Arial Narrow" w:hAnsi="Arial Narrow" w:cs="Arial"/>
                <w:color w:val="000000"/>
                <w:lang w:eastAsia="es-ES"/>
              </w:rPr>
            </w:pPr>
            <w:r w:rsidRPr="004D3326">
              <w:rPr>
                <w:rFonts w:ascii="Arial Narrow" w:hAnsi="Arial Narrow" w:cs="Arial"/>
                <w:color w:val="000000"/>
                <w:lang w:eastAsia="es-ES"/>
              </w:rPr>
              <w:lastRenderedPageBreak/>
              <w:t xml:space="preserve">Recibir de su </w:t>
            </w:r>
            <w:r w:rsidRPr="004D3326">
              <w:rPr>
                <w:rFonts w:ascii="Arial Narrow" w:hAnsi="Arial Narrow" w:cs="Arial"/>
                <w:b/>
                <w:bCs/>
                <w:color w:val="000000"/>
                <w:lang w:eastAsia="es-ES"/>
              </w:rPr>
              <w:t>MIEMBRO</w:t>
            </w:r>
            <w:r w:rsidRPr="004D3326">
              <w:rPr>
                <w:rFonts w:ascii="Arial Narrow" w:hAnsi="Arial Narrow" w:cs="Arial"/>
                <w:color w:val="000000"/>
                <w:lang w:eastAsia="es-ES"/>
              </w:rPr>
              <w:t xml:space="preserve"> o </w:t>
            </w:r>
            <w:r w:rsidRPr="004D3326">
              <w:rPr>
                <w:rFonts w:ascii="Arial Narrow" w:hAnsi="Arial Narrow" w:cs="Arial"/>
                <w:b/>
                <w:bCs/>
                <w:color w:val="000000"/>
                <w:lang w:eastAsia="es-ES"/>
              </w:rPr>
              <w:t>MIEMBROS</w:t>
            </w:r>
            <w:r w:rsidRPr="004D3326">
              <w:rPr>
                <w:rFonts w:ascii="Arial Narrow" w:hAnsi="Arial Narrow" w:cs="Arial"/>
                <w:color w:val="000000"/>
                <w:lang w:eastAsia="es-ES"/>
              </w:rPr>
              <w:t xml:space="preserve"> los dineros que le corresponda recibir en virtud de las operaciones realizadas por su cuenta. Los derechos del Tercero Identificado cuyas operaciones se registran en una Cuenta de Tercero Ómnibus Segregada por Cámara relativos al recibo de efectivo lo son únicamente con respecto a su </w:t>
            </w:r>
            <w:r w:rsidRPr="004D3326">
              <w:rPr>
                <w:rFonts w:ascii="Arial Narrow" w:hAnsi="Arial Narrow" w:cs="Arial"/>
                <w:b/>
                <w:bCs/>
                <w:color w:val="000000"/>
                <w:lang w:eastAsia="es-ES"/>
              </w:rPr>
              <w:t>MIEMBRO</w:t>
            </w:r>
            <w:r w:rsidRPr="004D3326">
              <w:rPr>
                <w:rFonts w:ascii="Arial Narrow" w:hAnsi="Arial Narrow" w:cs="Arial"/>
                <w:color w:val="000000"/>
                <w:lang w:eastAsia="es-ES"/>
              </w:rPr>
              <w:t xml:space="preserve"> correspondiente y en ningún caso respecto de </w:t>
            </w:r>
            <w:r w:rsidRPr="004D3326">
              <w:rPr>
                <w:rFonts w:ascii="Arial Narrow" w:hAnsi="Arial Narrow" w:cs="Arial"/>
                <w:b/>
                <w:bCs/>
                <w:color w:val="000000"/>
                <w:lang w:eastAsia="es-ES"/>
              </w:rPr>
              <w:t>LA CRCC</w:t>
            </w:r>
            <w:r w:rsidRPr="004D3326">
              <w:rPr>
                <w:rFonts w:ascii="Arial Narrow" w:hAnsi="Arial Narrow" w:cs="Arial"/>
                <w:color w:val="000000"/>
                <w:lang w:eastAsia="es-ES"/>
              </w:rPr>
              <w:t xml:space="preserve">, de tal modo que el pago </w:t>
            </w:r>
            <w:r w:rsidRPr="004D3326">
              <w:rPr>
                <w:rFonts w:ascii="Arial Narrow" w:hAnsi="Arial Narrow" w:cs="Arial"/>
                <w:color w:val="000000"/>
                <w:lang w:eastAsia="es-ES"/>
              </w:rPr>
              <w:lastRenderedPageBreak/>
              <w:t xml:space="preserve">hecho por </w:t>
            </w:r>
            <w:r w:rsidRPr="004D3326">
              <w:rPr>
                <w:rFonts w:ascii="Arial Narrow" w:hAnsi="Arial Narrow" w:cs="Arial"/>
                <w:b/>
                <w:bCs/>
                <w:color w:val="000000"/>
                <w:lang w:eastAsia="es-ES"/>
              </w:rPr>
              <w:t>LA CRCC</w:t>
            </w:r>
            <w:r w:rsidRPr="004D3326">
              <w:rPr>
                <w:rFonts w:ascii="Arial Narrow" w:hAnsi="Arial Narrow" w:cs="Arial"/>
                <w:color w:val="000000"/>
                <w:lang w:eastAsia="es-ES"/>
              </w:rPr>
              <w:t xml:space="preserve"> al </w:t>
            </w:r>
            <w:r w:rsidRPr="004D3326">
              <w:rPr>
                <w:rFonts w:ascii="Arial Narrow" w:hAnsi="Arial Narrow" w:cs="Arial"/>
                <w:b/>
                <w:bCs/>
                <w:color w:val="000000"/>
                <w:lang w:eastAsia="es-ES"/>
              </w:rPr>
              <w:t>MIEMBRO</w:t>
            </w:r>
            <w:r w:rsidRPr="004D3326">
              <w:rPr>
                <w:rFonts w:ascii="Arial Narrow" w:hAnsi="Arial Narrow" w:cs="Arial"/>
                <w:color w:val="000000"/>
                <w:lang w:eastAsia="es-ES"/>
              </w:rPr>
              <w:t xml:space="preserve"> de los dineros que le corresponda recibir al </w:t>
            </w:r>
            <w:r w:rsidRPr="004D3326">
              <w:rPr>
                <w:rFonts w:ascii="Arial Narrow" w:hAnsi="Arial Narrow" w:cs="Arial"/>
                <w:b/>
                <w:bCs/>
                <w:color w:val="000000"/>
                <w:lang w:eastAsia="es-ES"/>
              </w:rPr>
              <w:t>MIEMBRO</w:t>
            </w:r>
            <w:r w:rsidRPr="004D3326">
              <w:rPr>
                <w:rFonts w:ascii="Arial Narrow" w:hAnsi="Arial Narrow" w:cs="Arial"/>
                <w:color w:val="000000"/>
                <w:lang w:eastAsia="es-ES"/>
              </w:rPr>
              <w:t xml:space="preserve">, es válido y extingue la obligación a cargo de </w:t>
            </w:r>
            <w:r w:rsidRPr="004D3326">
              <w:rPr>
                <w:rFonts w:ascii="Arial Narrow" w:hAnsi="Arial Narrow" w:cs="Arial"/>
                <w:b/>
                <w:bCs/>
                <w:color w:val="000000"/>
                <w:lang w:eastAsia="es-ES"/>
              </w:rPr>
              <w:t>LA CRCC</w:t>
            </w:r>
            <w:r w:rsidRPr="004D3326">
              <w:rPr>
                <w:rFonts w:ascii="Arial Narrow" w:hAnsi="Arial Narrow" w:cs="Arial"/>
                <w:color w:val="000000"/>
                <w:lang w:eastAsia="es-ES"/>
              </w:rPr>
              <w:t xml:space="preserve"> y </w:t>
            </w:r>
            <w:r w:rsidRPr="004D3326">
              <w:rPr>
                <w:rFonts w:ascii="Arial Narrow" w:hAnsi="Arial Narrow" w:cs="Arial"/>
                <w:b/>
                <w:bCs/>
                <w:color w:val="000000"/>
                <w:lang w:eastAsia="es-ES"/>
              </w:rPr>
              <w:t>EL MIEMBRO</w:t>
            </w:r>
            <w:r w:rsidRPr="004D3326">
              <w:rPr>
                <w:rFonts w:ascii="Arial Narrow" w:hAnsi="Arial Narrow" w:cs="Arial"/>
                <w:color w:val="000000"/>
                <w:lang w:eastAsia="es-ES"/>
              </w:rPr>
              <w:t xml:space="preserve"> será el obligado a pagar el efectivo a los Terceros Identificados. </w:t>
            </w:r>
          </w:p>
        </w:tc>
      </w:tr>
      <w:tr w:rsidR="00514CE5" w:rsidRPr="004D3326" w14:paraId="36CD45CD" w14:textId="77777777" w:rsidTr="009C1821">
        <w:trPr>
          <w:jc w:val="center"/>
        </w:trPr>
        <w:tc>
          <w:tcPr>
            <w:tcW w:w="4060" w:type="dxa"/>
          </w:tcPr>
          <w:p w14:paraId="418DAE2C" w14:textId="77777777" w:rsidR="00514CE5" w:rsidRPr="004D3326" w:rsidRDefault="00514CE5" w:rsidP="009C1821">
            <w:pPr>
              <w:jc w:val="both"/>
              <w:rPr>
                <w:rFonts w:ascii="Arial Narrow" w:hAnsi="Arial Narrow" w:cs="Arial"/>
                <w:color w:val="000000"/>
                <w:lang w:eastAsia="es-ES"/>
              </w:rPr>
            </w:pPr>
            <w:r w:rsidRPr="004D3326">
              <w:rPr>
                <w:rFonts w:ascii="Arial Narrow" w:hAnsi="Arial Narrow" w:cs="Arial"/>
                <w:color w:val="000000"/>
                <w:lang w:eastAsia="es-ES"/>
              </w:rPr>
              <w:lastRenderedPageBreak/>
              <w:t xml:space="preserve">Recibir de </w:t>
            </w:r>
            <w:r w:rsidRPr="004D3326">
              <w:rPr>
                <w:rFonts w:ascii="Arial Narrow" w:hAnsi="Arial Narrow" w:cs="Arial"/>
                <w:b/>
                <w:bCs/>
                <w:color w:val="000000"/>
                <w:lang w:eastAsia="es-ES"/>
              </w:rPr>
              <w:t>LA CRCC</w:t>
            </w:r>
            <w:r w:rsidRPr="004D3326">
              <w:rPr>
                <w:rFonts w:ascii="Arial Narrow" w:hAnsi="Arial Narrow" w:cs="Arial"/>
                <w:color w:val="000000"/>
                <w:lang w:eastAsia="es-ES"/>
              </w:rPr>
              <w:t xml:space="preserve"> los Activos que le corresponda recibir en virtud de las operaciones realizadas por su cuenta. </w:t>
            </w:r>
          </w:p>
        </w:tc>
        <w:tc>
          <w:tcPr>
            <w:tcW w:w="4048" w:type="dxa"/>
          </w:tcPr>
          <w:p w14:paraId="735FA1C0" w14:textId="77777777" w:rsidR="00514CE5" w:rsidRPr="009C1821" w:rsidRDefault="00514CE5" w:rsidP="009C1821">
            <w:pPr>
              <w:pStyle w:val="Prrafodelista"/>
              <w:ind w:left="0"/>
              <w:jc w:val="both"/>
              <w:rPr>
                <w:rFonts w:ascii="Arial Narrow" w:hAnsi="Arial Narrow"/>
                <w:b w:val="0"/>
                <w:bCs/>
                <w:color w:val="000000"/>
                <w:lang w:eastAsia="es-ES"/>
              </w:rPr>
            </w:pPr>
            <w:r w:rsidRPr="009C1821">
              <w:rPr>
                <w:rFonts w:ascii="Arial Narrow" w:hAnsi="Arial Narrow"/>
                <w:b w:val="0"/>
                <w:bCs/>
                <w:color w:val="000000"/>
                <w:lang w:eastAsia="es-ES"/>
              </w:rPr>
              <w:t xml:space="preserve">Recibir de su </w:t>
            </w:r>
            <w:r w:rsidRPr="009C1821">
              <w:rPr>
                <w:rFonts w:ascii="Arial Narrow" w:hAnsi="Arial Narrow"/>
                <w:color w:val="000000"/>
                <w:lang w:eastAsia="es-ES"/>
              </w:rPr>
              <w:t>MIEMBRO</w:t>
            </w:r>
            <w:r w:rsidRPr="009C1821">
              <w:rPr>
                <w:rFonts w:ascii="Arial Narrow" w:hAnsi="Arial Narrow"/>
                <w:b w:val="0"/>
                <w:bCs/>
                <w:color w:val="000000"/>
                <w:lang w:eastAsia="es-ES"/>
              </w:rPr>
              <w:t xml:space="preserve"> o </w:t>
            </w:r>
            <w:r w:rsidRPr="009C1821">
              <w:rPr>
                <w:rFonts w:ascii="Arial Narrow" w:hAnsi="Arial Narrow"/>
                <w:color w:val="000000"/>
                <w:lang w:eastAsia="es-ES"/>
              </w:rPr>
              <w:t>MIEMBROS</w:t>
            </w:r>
            <w:r w:rsidRPr="009C1821">
              <w:rPr>
                <w:rFonts w:ascii="Arial Narrow" w:hAnsi="Arial Narrow"/>
                <w:b w:val="0"/>
                <w:bCs/>
                <w:color w:val="000000"/>
                <w:lang w:eastAsia="es-ES"/>
              </w:rPr>
              <w:t xml:space="preserve"> los Activos que le corresponda recibir en virtud de las operaciones realizadas por su cuenta. Los derechos del Tercero Identificado cuyas operaciones se registran en una Cuenta de Tercero Ómnibus Segregada por Cámara relativos al recibo de Activos lo son únicamente con respecto a su </w:t>
            </w:r>
            <w:r w:rsidRPr="009C1821">
              <w:rPr>
                <w:rFonts w:ascii="Arial Narrow" w:hAnsi="Arial Narrow"/>
                <w:color w:val="000000"/>
                <w:lang w:eastAsia="es-ES"/>
              </w:rPr>
              <w:t>MIEMBRO</w:t>
            </w:r>
            <w:r w:rsidRPr="009C1821">
              <w:rPr>
                <w:rFonts w:ascii="Arial Narrow" w:hAnsi="Arial Narrow"/>
                <w:b w:val="0"/>
                <w:bCs/>
                <w:color w:val="000000"/>
                <w:lang w:eastAsia="es-ES"/>
              </w:rPr>
              <w:t xml:space="preserve"> correspondiente y en ningún caso respecto de </w:t>
            </w:r>
            <w:r w:rsidRPr="009C1821">
              <w:rPr>
                <w:rFonts w:ascii="Arial Narrow" w:hAnsi="Arial Narrow"/>
                <w:color w:val="000000"/>
                <w:lang w:eastAsia="es-ES"/>
              </w:rPr>
              <w:t>LA CRCC</w:t>
            </w:r>
            <w:r w:rsidRPr="009C1821">
              <w:rPr>
                <w:rFonts w:ascii="Arial Narrow" w:hAnsi="Arial Narrow"/>
                <w:b w:val="0"/>
                <w:bCs/>
                <w:color w:val="000000"/>
                <w:lang w:eastAsia="es-ES"/>
              </w:rPr>
              <w:t xml:space="preserve">, de tal modo que la entrega hecha por </w:t>
            </w:r>
            <w:r w:rsidRPr="009C1821">
              <w:rPr>
                <w:rFonts w:ascii="Arial Narrow" w:hAnsi="Arial Narrow"/>
                <w:color w:val="000000"/>
                <w:lang w:eastAsia="es-ES"/>
              </w:rPr>
              <w:t>LA CRCC</w:t>
            </w:r>
            <w:r w:rsidRPr="009C1821">
              <w:rPr>
                <w:rFonts w:ascii="Arial Narrow" w:hAnsi="Arial Narrow"/>
                <w:b w:val="0"/>
                <w:bCs/>
                <w:color w:val="000000"/>
                <w:lang w:eastAsia="es-ES"/>
              </w:rPr>
              <w:t xml:space="preserve"> al </w:t>
            </w:r>
            <w:r w:rsidRPr="009C1821">
              <w:rPr>
                <w:rFonts w:ascii="Arial Narrow" w:hAnsi="Arial Narrow"/>
                <w:color w:val="000000"/>
                <w:lang w:eastAsia="es-ES"/>
              </w:rPr>
              <w:t>MIEMBRO</w:t>
            </w:r>
            <w:r w:rsidRPr="009C1821">
              <w:rPr>
                <w:rFonts w:ascii="Arial Narrow" w:hAnsi="Arial Narrow"/>
                <w:b w:val="0"/>
                <w:bCs/>
                <w:color w:val="000000"/>
                <w:lang w:eastAsia="es-ES"/>
              </w:rPr>
              <w:t xml:space="preserve"> de los Activos que le corresponda recibir al </w:t>
            </w:r>
            <w:r w:rsidRPr="009C1821">
              <w:rPr>
                <w:rFonts w:ascii="Arial Narrow" w:hAnsi="Arial Narrow"/>
                <w:color w:val="000000"/>
                <w:lang w:eastAsia="es-ES"/>
              </w:rPr>
              <w:t>MIEMBRO</w:t>
            </w:r>
            <w:r w:rsidRPr="009C1821">
              <w:rPr>
                <w:rFonts w:ascii="Arial Narrow" w:hAnsi="Arial Narrow"/>
                <w:b w:val="0"/>
                <w:bCs/>
                <w:color w:val="000000"/>
                <w:lang w:eastAsia="es-ES"/>
              </w:rPr>
              <w:t xml:space="preserve">, es válida y extingue la obligación a cargo de </w:t>
            </w:r>
            <w:r w:rsidRPr="009C1821">
              <w:rPr>
                <w:rFonts w:ascii="Arial Narrow" w:hAnsi="Arial Narrow"/>
                <w:color w:val="000000"/>
                <w:lang w:eastAsia="es-ES"/>
              </w:rPr>
              <w:t>LA CRCC</w:t>
            </w:r>
            <w:r w:rsidRPr="009C1821">
              <w:rPr>
                <w:rFonts w:ascii="Arial Narrow" w:hAnsi="Arial Narrow"/>
                <w:b w:val="0"/>
                <w:bCs/>
                <w:color w:val="000000"/>
                <w:lang w:eastAsia="es-ES"/>
              </w:rPr>
              <w:t xml:space="preserve"> y </w:t>
            </w:r>
            <w:r w:rsidRPr="009C1821">
              <w:rPr>
                <w:rFonts w:ascii="Arial Narrow" w:hAnsi="Arial Narrow"/>
                <w:color w:val="000000"/>
                <w:lang w:eastAsia="es-ES"/>
              </w:rPr>
              <w:t>EL MIEMBRO</w:t>
            </w:r>
            <w:r w:rsidRPr="009C1821">
              <w:rPr>
                <w:rFonts w:ascii="Arial Narrow" w:hAnsi="Arial Narrow"/>
                <w:b w:val="0"/>
                <w:bCs/>
                <w:color w:val="000000"/>
                <w:lang w:eastAsia="es-ES"/>
              </w:rPr>
              <w:t xml:space="preserve"> será el obligado a entregar los Activos a los Terceros Identificados.</w:t>
            </w:r>
          </w:p>
        </w:tc>
      </w:tr>
      <w:tr w:rsidR="00514CE5" w:rsidRPr="004D3326" w14:paraId="4F347BF6" w14:textId="77777777" w:rsidTr="009C1821">
        <w:trPr>
          <w:jc w:val="center"/>
        </w:trPr>
        <w:tc>
          <w:tcPr>
            <w:tcW w:w="4060" w:type="dxa"/>
          </w:tcPr>
          <w:p w14:paraId="7BFB9778" w14:textId="77777777" w:rsidR="00514CE5" w:rsidRPr="004D3326" w:rsidRDefault="00514CE5" w:rsidP="009C1821">
            <w:pPr>
              <w:jc w:val="both"/>
              <w:rPr>
                <w:rFonts w:ascii="Arial Narrow" w:hAnsi="Arial Narrow" w:cs="Arial"/>
                <w:color w:val="000000"/>
                <w:lang w:eastAsia="es-ES"/>
              </w:rPr>
            </w:pPr>
            <w:r>
              <w:rPr>
                <w:rFonts w:ascii="Arial Narrow" w:hAnsi="Arial Narrow" w:cs="Arial"/>
                <w:color w:val="000000"/>
                <w:lang w:eastAsia="es-ES"/>
              </w:rPr>
              <w:t xml:space="preserve">El Tercero Identificado podrá exigir a </w:t>
            </w:r>
            <w:r>
              <w:rPr>
                <w:rFonts w:ascii="Arial Narrow" w:hAnsi="Arial Narrow" w:cs="Arial"/>
                <w:b/>
                <w:bCs/>
                <w:color w:val="000000"/>
                <w:lang w:eastAsia="es-ES"/>
              </w:rPr>
              <w:t>LA CRCC</w:t>
            </w:r>
            <w:r>
              <w:rPr>
                <w:rFonts w:ascii="Arial Narrow" w:hAnsi="Arial Narrow" w:cs="Arial"/>
                <w:color w:val="000000"/>
                <w:lang w:eastAsia="es-ES"/>
              </w:rPr>
              <w:t xml:space="preserve"> la entrega de los Activos que le corresponda recibir </w:t>
            </w:r>
            <w:r w:rsidRPr="00347EDB">
              <w:rPr>
                <w:rFonts w:ascii="Arial Narrow" w:hAnsi="Arial Narrow" w:cs="Arial"/>
                <w:color w:val="000000"/>
                <w:lang w:eastAsia="es-ES"/>
              </w:rPr>
              <w:t>en virtud de las Operaciones realizadas por su cuenta y registradas en una Cuenta de Tercero</w:t>
            </w:r>
            <w:r>
              <w:rPr>
                <w:rFonts w:ascii="Arial Narrow" w:hAnsi="Arial Narrow" w:cs="Arial"/>
                <w:color w:val="000000"/>
                <w:lang w:eastAsia="es-ES"/>
              </w:rPr>
              <w:t xml:space="preserve"> Identificado.</w:t>
            </w:r>
          </w:p>
        </w:tc>
        <w:tc>
          <w:tcPr>
            <w:tcW w:w="4048" w:type="dxa"/>
          </w:tcPr>
          <w:p w14:paraId="7DEEDA2A" w14:textId="77777777" w:rsidR="00514CE5" w:rsidRPr="009C1821" w:rsidRDefault="00514CE5" w:rsidP="009C1821">
            <w:pPr>
              <w:pStyle w:val="Prrafodelista"/>
              <w:ind w:left="0"/>
              <w:jc w:val="both"/>
              <w:rPr>
                <w:rFonts w:ascii="Arial Narrow" w:hAnsi="Arial Narrow"/>
                <w:b w:val="0"/>
                <w:bCs/>
                <w:color w:val="000000"/>
                <w:lang w:eastAsia="es-ES"/>
              </w:rPr>
            </w:pPr>
            <w:r w:rsidRPr="009C1821">
              <w:rPr>
                <w:rFonts w:ascii="Arial Narrow" w:hAnsi="Arial Narrow"/>
                <w:b w:val="0"/>
                <w:bCs/>
                <w:color w:val="000000"/>
                <w:lang w:eastAsia="es-ES"/>
              </w:rPr>
              <w:t xml:space="preserve">En ningún caso, el Tercero Identificado podrá exigir a </w:t>
            </w:r>
            <w:r w:rsidRPr="009C1821">
              <w:rPr>
                <w:rFonts w:ascii="Arial Narrow" w:hAnsi="Arial Narrow"/>
                <w:color w:val="000000"/>
                <w:lang w:eastAsia="es-ES"/>
              </w:rPr>
              <w:t>LA CRCC</w:t>
            </w:r>
            <w:r w:rsidRPr="009C1821">
              <w:rPr>
                <w:rFonts w:ascii="Arial Narrow" w:hAnsi="Arial Narrow"/>
                <w:b w:val="0"/>
                <w:bCs/>
                <w:color w:val="000000"/>
                <w:lang w:eastAsia="es-ES"/>
              </w:rPr>
              <w:t xml:space="preserve"> los dineros o Activos que le corresponda recibir en virtud de las Operaciones realizadas por su cuenta y registradas en una Cuenta de Tercero Ómnibus Segregada por Cámara. </w:t>
            </w:r>
          </w:p>
        </w:tc>
      </w:tr>
      <w:tr w:rsidR="00514CE5" w:rsidRPr="004D3326" w14:paraId="00CA04BF" w14:textId="77777777" w:rsidTr="009C1821">
        <w:trPr>
          <w:jc w:val="center"/>
        </w:trPr>
        <w:tc>
          <w:tcPr>
            <w:tcW w:w="4060" w:type="dxa"/>
          </w:tcPr>
          <w:p w14:paraId="2B846C34" w14:textId="77777777" w:rsidR="00514CE5" w:rsidRPr="004D3326" w:rsidRDefault="00514CE5" w:rsidP="009C1821">
            <w:pPr>
              <w:jc w:val="both"/>
              <w:rPr>
                <w:rFonts w:ascii="Arial Narrow" w:hAnsi="Arial Narrow" w:cs="Arial"/>
                <w:color w:val="000000"/>
                <w:lang w:eastAsia="es-ES"/>
              </w:rPr>
            </w:pPr>
            <w:r w:rsidRPr="004D3326">
              <w:rPr>
                <w:rFonts w:ascii="Arial Narrow" w:hAnsi="Arial Narrow" w:cs="Arial"/>
                <w:color w:val="000000"/>
                <w:lang w:eastAsia="es-ES"/>
              </w:rPr>
              <w:t xml:space="preserve">Los Terceros Identificados podrán solicitar al </w:t>
            </w:r>
            <w:r w:rsidRPr="004D3326">
              <w:rPr>
                <w:rFonts w:ascii="Arial Narrow" w:hAnsi="Arial Narrow" w:cs="Arial"/>
                <w:b/>
                <w:bCs/>
                <w:color w:val="000000"/>
                <w:lang w:eastAsia="es-ES"/>
              </w:rPr>
              <w:t>MIEMBRO</w:t>
            </w:r>
            <w:r w:rsidRPr="004D3326">
              <w:rPr>
                <w:rFonts w:ascii="Arial Narrow" w:hAnsi="Arial Narrow" w:cs="Arial"/>
                <w:color w:val="000000"/>
                <w:lang w:eastAsia="es-ES"/>
              </w:rPr>
              <w:t xml:space="preserve"> a través del cual se realizan operaciones por su cuenta la apertura de un tipo de Cuenta Definitiva de Tercero distinto al tipo de Cuenta Definitiva de Tercero en el que hayan registrado sus operaciones y el respectivo traspaso de su posición abierta a dicha Cuenta en los términos del artículo 2.4.16. del Reglamento.</w:t>
            </w:r>
          </w:p>
        </w:tc>
        <w:tc>
          <w:tcPr>
            <w:tcW w:w="4048" w:type="dxa"/>
          </w:tcPr>
          <w:p w14:paraId="1237C695" w14:textId="77777777" w:rsidR="00514CE5" w:rsidRPr="009C1821" w:rsidRDefault="00514CE5" w:rsidP="009C1821">
            <w:pPr>
              <w:pStyle w:val="Prrafodelista"/>
              <w:ind w:left="0"/>
              <w:jc w:val="both"/>
              <w:rPr>
                <w:rFonts w:ascii="Arial Narrow" w:hAnsi="Arial Narrow"/>
                <w:b w:val="0"/>
                <w:bCs/>
                <w:color w:val="000000"/>
                <w:lang w:eastAsia="es-ES"/>
              </w:rPr>
            </w:pPr>
            <w:r w:rsidRPr="009C1821">
              <w:rPr>
                <w:rFonts w:ascii="Arial Narrow" w:hAnsi="Arial Narrow"/>
                <w:b w:val="0"/>
                <w:bCs/>
                <w:color w:val="000000"/>
                <w:lang w:eastAsia="es-ES"/>
              </w:rPr>
              <w:t xml:space="preserve">Los Terceros Identificados podrán solicitar al </w:t>
            </w:r>
            <w:r w:rsidRPr="009C1821">
              <w:rPr>
                <w:rFonts w:ascii="Arial Narrow" w:hAnsi="Arial Narrow"/>
                <w:color w:val="000000"/>
                <w:lang w:eastAsia="es-ES"/>
              </w:rPr>
              <w:t>MIEMBRO</w:t>
            </w:r>
            <w:r w:rsidRPr="009C1821">
              <w:rPr>
                <w:rFonts w:ascii="Arial Narrow" w:hAnsi="Arial Narrow"/>
                <w:b w:val="0"/>
                <w:bCs/>
                <w:color w:val="000000"/>
                <w:lang w:eastAsia="es-ES"/>
              </w:rPr>
              <w:t xml:space="preserve"> a través del cual se realizan operaciones por su cuenta la apertura de un tipo de Cuenta Definitiva de Tercero distinto al tipo de Cuenta Definitiva de Tercero en el que hayan registrado sus operaciones y el respectivo traspaso de su posición abierta a dicha Cuenta en los términos del artículo 2.4.16. del Reglamento.</w:t>
            </w:r>
          </w:p>
        </w:tc>
      </w:tr>
      <w:tr w:rsidR="00514CE5" w:rsidRPr="004D3326" w14:paraId="72954BBC" w14:textId="77777777" w:rsidTr="009C1821">
        <w:trPr>
          <w:jc w:val="center"/>
        </w:trPr>
        <w:tc>
          <w:tcPr>
            <w:tcW w:w="4060" w:type="dxa"/>
          </w:tcPr>
          <w:p w14:paraId="6124B2DB" w14:textId="77777777" w:rsidR="00514CE5" w:rsidRDefault="00514CE5" w:rsidP="009C1821">
            <w:pPr>
              <w:jc w:val="both"/>
              <w:rPr>
                <w:rFonts w:ascii="Arial Narrow" w:hAnsi="Arial Narrow" w:cs="Arial"/>
                <w:color w:val="000000"/>
                <w:lang w:eastAsia="es-ES"/>
              </w:rPr>
            </w:pPr>
            <w:r w:rsidRPr="00874DE5">
              <w:rPr>
                <w:rFonts w:ascii="Arial Narrow" w:hAnsi="Arial Narrow" w:cs="Arial"/>
                <w:color w:val="000000"/>
                <w:lang w:eastAsia="es-ES"/>
              </w:rPr>
              <w:t xml:space="preserve">En caso de Incumplimiento por parte </w:t>
            </w:r>
            <w:r>
              <w:rPr>
                <w:rFonts w:ascii="Arial Narrow" w:hAnsi="Arial Narrow" w:cs="Arial"/>
                <w:color w:val="000000"/>
                <w:lang w:eastAsia="es-ES"/>
              </w:rPr>
              <w:t xml:space="preserve">del </w:t>
            </w:r>
            <w:r>
              <w:rPr>
                <w:rFonts w:ascii="Arial Narrow" w:hAnsi="Arial Narrow" w:cs="Arial"/>
                <w:b/>
                <w:bCs/>
                <w:color w:val="000000"/>
                <w:lang w:eastAsia="es-ES"/>
              </w:rPr>
              <w:t xml:space="preserve">MIEMBRO </w:t>
            </w:r>
            <w:r w:rsidRPr="00874DE5">
              <w:rPr>
                <w:rFonts w:ascii="Arial Narrow" w:hAnsi="Arial Narrow" w:cs="Arial"/>
                <w:color w:val="000000"/>
                <w:lang w:eastAsia="es-ES"/>
              </w:rPr>
              <w:t xml:space="preserve">que mantenga Cuentas de Terceros Identificados, </w:t>
            </w:r>
            <w:r>
              <w:rPr>
                <w:rFonts w:ascii="Arial Narrow" w:hAnsi="Arial Narrow" w:cs="Arial"/>
                <w:b/>
                <w:bCs/>
                <w:color w:val="000000"/>
                <w:lang w:eastAsia="es-ES"/>
              </w:rPr>
              <w:t>LA CRCC</w:t>
            </w:r>
            <w:r w:rsidRPr="00874DE5">
              <w:rPr>
                <w:rFonts w:ascii="Arial Narrow" w:hAnsi="Arial Narrow" w:cs="Arial"/>
                <w:color w:val="000000"/>
                <w:lang w:eastAsia="es-ES"/>
              </w:rPr>
              <w:t xml:space="preserve"> intentará transferir a otro u otro(s) </w:t>
            </w:r>
            <w:r>
              <w:rPr>
                <w:rFonts w:ascii="Arial Narrow" w:hAnsi="Arial Narrow" w:cs="Arial"/>
                <w:color w:val="000000"/>
                <w:lang w:eastAsia="es-ES"/>
              </w:rPr>
              <w:t>M</w:t>
            </w:r>
            <w:r w:rsidRPr="00874DE5">
              <w:rPr>
                <w:rFonts w:ascii="Arial Narrow" w:hAnsi="Arial Narrow" w:cs="Arial"/>
                <w:color w:val="000000"/>
                <w:lang w:eastAsia="es-ES"/>
              </w:rPr>
              <w:t xml:space="preserve">iembro(s) las </w:t>
            </w:r>
            <w:r w:rsidRPr="00874DE5">
              <w:rPr>
                <w:rFonts w:ascii="Arial Narrow" w:hAnsi="Arial Narrow" w:cs="Arial"/>
                <w:color w:val="000000"/>
                <w:lang w:eastAsia="es-ES"/>
              </w:rPr>
              <w:lastRenderedPageBreak/>
              <w:t>Posiciones Abiertas de los Terceros Identificados que mantuviera el</w:t>
            </w:r>
            <w:r>
              <w:rPr>
                <w:rFonts w:ascii="Arial Narrow" w:hAnsi="Arial Narrow" w:cs="Arial"/>
                <w:color w:val="000000"/>
                <w:lang w:eastAsia="es-ES"/>
              </w:rPr>
              <w:t xml:space="preserve"> </w:t>
            </w:r>
            <w:r>
              <w:rPr>
                <w:rFonts w:ascii="Arial Narrow" w:hAnsi="Arial Narrow" w:cs="Arial"/>
                <w:b/>
                <w:bCs/>
                <w:color w:val="000000"/>
                <w:lang w:eastAsia="es-ES"/>
              </w:rPr>
              <w:t>MIEMBRO</w:t>
            </w:r>
            <w:r w:rsidRPr="00874DE5">
              <w:rPr>
                <w:rFonts w:ascii="Arial Narrow" w:hAnsi="Arial Narrow" w:cs="Arial"/>
                <w:color w:val="000000"/>
                <w:lang w:eastAsia="es-ES"/>
              </w:rPr>
              <w:t xml:space="preserve">. </w:t>
            </w:r>
          </w:p>
          <w:p w14:paraId="57EE607D" w14:textId="77777777" w:rsidR="00514CE5" w:rsidRDefault="00514CE5" w:rsidP="009C1821">
            <w:pPr>
              <w:jc w:val="both"/>
              <w:rPr>
                <w:rFonts w:ascii="Arial Narrow" w:hAnsi="Arial Narrow" w:cs="Arial"/>
                <w:color w:val="000000"/>
                <w:lang w:eastAsia="es-ES"/>
              </w:rPr>
            </w:pPr>
          </w:p>
          <w:p w14:paraId="6EF8740C" w14:textId="77777777" w:rsidR="00514CE5" w:rsidRDefault="00514CE5" w:rsidP="009C1821">
            <w:pPr>
              <w:jc w:val="both"/>
              <w:rPr>
                <w:rFonts w:ascii="Arial Narrow" w:hAnsi="Arial Narrow" w:cs="Arial"/>
                <w:color w:val="000000"/>
                <w:lang w:eastAsia="es-ES"/>
              </w:rPr>
            </w:pPr>
            <w:r w:rsidRPr="00874DE5">
              <w:rPr>
                <w:rFonts w:ascii="Arial Narrow" w:hAnsi="Arial Narrow" w:cs="Arial"/>
                <w:color w:val="000000"/>
                <w:lang w:eastAsia="es-ES"/>
              </w:rPr>
              <w:t xml:space="preserve">Para efectuar la anterior transferencia, será preciso el acuerdo con el o los Miembros a quienes se vayan a transferir las Posiciones Abiertas y con los Terceros cuyas cuentas vayan a ser trasladadas. </w:t>
            </w:r>
            <w:r>
              <w:rPr>
                <w:rFonts w:ascii="Arial Narrow" w:hAnsi="Arial Narrow" w:cs="Arial"/>
                <w:b/>
                <w:bCs/>
                <w:color w:val="000000"/>
                <w:lang w:eastAsia="es-ES"/>
              </w:rPr>
              <w:t>LA CRCC</w:t>
            </w:r>
            <w:r w:rsidRPr="00874DE5">
              <w:rPr>
                <w:rFonts w:ascii="Arial Narrow" w:hAnsi="Arial Narrow" w:cs="Arial"/>
                <w:color w:val="000000"/>
                <w:lang w:eastAsia="es-ES"/>
              </w:rPr>
              <w:t xml:space="preserve"> informará de la situación y del deseo de transferir, con indicación de a quiénes se transferirían las distintas Cuentas, por cualquier medio de comunicación y luego lo confirmará por carta certificada con acuse de recibo, dirigida a los </w:t>
            </w:r>
            <w:r>
              <w:rPr>
                <w:rFonts w:ascii="Arial Narrow" w:hAnsi="Arial Narrow" w:cs="Arial"/>
                <w:color w:val="000000"/>
                <w:lang w:eastAsia="es-ES"/>
              </w:rPr>
              <w:t>Miembros</w:t>
            </w:r>
            <w:r w:rsidRPr="00874DE5">
              <w:rPr>
                <w:rFonts w:ascii="Arial Narrow" w:hAnsi="Arial Narrow" w:cs="Arial"/>
                <w:color w:val="000000"/>
                <w:lang w:eastAsia="es-ES"/>
              </w:rPr>
              <w:t xml:space="preserve"> y a los Terceros Identificados interesados. La carta a los Terceros Identificados se remitirá a la dirección que conste en los registros del </w:t>
            </w:r>
            <w:r w:rsidRPr="00874DE5">
              <w:rPr>
                <w:rFonts w:ascii="Arial Narrow" w:hAnsi="Arial Narrow" w:cs="Arial"/>
                <w:b/>
                <w:bCs/>
                <w:color w:val="000000"/>
                <w:lang w:eastAsia="es-ES"/>
              </w:rPr>
              <w:t>MIEMBRO</w:t>
            </w:r>
            <w:r w:rsidRPr="00874DE5">
              <w:rPr>
                <w:rFonts w:ascii="Arial Narrow" w:hAnsi="Arial Narrow" w:cs="Arial"/>
                <w:color w:val="000000"/>
                <w:lang w:eastAsia="es-ES"/>
              </w:rPr>
              <w:t xml:space="preserve">. La transferencia de Cuentas al nuevo Miembro supondrá el traslado de la gestión de las Garantías correspondientes a dichos Terceros Identificados. </w:t>
            </w:r>
          </w:p>
          <w:p w14:paraId="4C88EBFE" w14:textId="77777777" w:rsidR="00514CE5" w:rsidRDefault="00514CE5" w:rsidP="009C1821">
            <w:pPr>
              <w:jc w:val="both"/>
              <w:rPr>
                <w:rFonts w:ascii="Arial Narrow" w:hAnsi="Arial Narrow" w:cs="Arial"/>
                <w:color w:val="000000"/>
                <w:lang w:eastAsia="es-ES"/>
              </w:rPr>
            </w:pPr>
          </w:p>
          <w:p w14:paraId="3BD23E06" w14:textId="77777777" w:rsidR="00514CE5" w:rsidRPr="004D3326" w:rsidRDefault="00514CE5" w:rsidP="009C1821">
            <w:pPr>
              <w:jc w:val="both"/>
              <w:rPr>
                <w:rFonts w:ascii="Arial Narrow" w:hAnsi="Arial Narrow" w:cs="Arial"/>
                <w:color w:val="000000"/>
                <w:lang w:eastAsia="es-ES"/>
              </w:rPr>
            </w:pPr>
            <w:r w:rsidRPr="00874DE5">
              <w:rPr>
                <w:rFonts w:ascii="Arial Narrow" w:hAnsi="Arial Narrow" w:cs="Arial"/>
                <w:color w:val="000000"/>
                <w:lang w:eastAsia="es-ES"/>
              </w:rPr>
              <w:t xml:space="preserve">Si esto no fuera posible o la evolución de los precios del mercado aconsejan el cierre de las Posiciones Abiertas con el fin de proteger la solvencia de </w:t>
            </w:r>
            <w:r>
              <w:rPr>
                <w:rFonts w:ascii="Arial Narrow" w:hAnsi="Arial Narrow" w:cs="Arial"/>
                <w:b/>
                <w:bCs/>
                <w:color w:val="000000"/>
                <w:lang w:eastAsia="es-ES"/>
              </w:rPr>
              <w:t>LA CRCC</w:t>
            </w:r>
            <w:r w:rsidRPr="00874DE5">
              <w:rPr>
                <w:rFonts w:ascii="Arial Narrow" w:hAnsi="Arial Narrow" w:cs="Arial"/>
                <w:color w:val="000000"/>
                <w:lang w:eastAsia="es-ES"/>
              </w:rPr>
              <w:t>, ésta procederá a cerrar las Posiciones Abiertas registradas en la Cuenta referida, ejecutando, en su caso, las Garantías constituidas.</w:t>
            </w:r>
          </w:p>
        </w:tc>
        <w:tc>
          <w:tcPr>
            <w:tcW w:w="4048" w:type="dxa"/>
          </w:tcPr>
          <w:p w14:paraId="0BA2425A" w14:textId="77777777" w:rsidR="00514CE5" w:rsidRPr="009C1821" w:rsidRDefault="00514CE5" w:rsidP="009C1821">
            <w:pPr>
              <w:pStyle w:val="Prrafodelista"/>
              <w:ind w:left="0"/>
              <w:jc w:val="both"/>
              <w:rPr>
                <w:rFonts w:ascii="Arial Narrow" w:hAnsi="Arial Narrow"/>
                <w:b w:val="0"/>
                <w:bCs/>
                <w:color w:val="000000"/>
                <w:lang w:eastAsia="es-ES"/>
              </w:rPr>
            </w:pPr>
            <w:r w:rsidRPr="009C1821">
              <w:rPr>
                <w:rFonts w:ascii="Arial Narrow" w:hAnsi="Arial Narrow"/>
                <w:b w:val="0"/>
                <w:bCs/>
                <w:color w:val="000000"/>
                <w:lang w:eastAsia="es-ES"/>
              </w:rPr>
              <w:lastRenderedPageBreak/>
              <w:t xml:space="preserve">En caso de Incumplimiento por parte del </w:t>
            </w:r>
            <w:r w:rsidRPr="009C1821">
              <w:rPr>
                <w:rFonts w:ascii="Arial Narrow" w:hAnsi="Arial Narrow"/>
                <w:color w:val="000000"/>
                <w:lang w:eastAsia="es-ES"/>
              </w:rPr>
              <w:t>MIEMBRO</w:t>
            </w:r>
            <w:r w:rsidRPr="009C1821">
              <w:rPr>
                <w:rFonts w:ascii="Arial Narrow" w:hAnsi="Arial Narrow"/>
                <w:b w:val="0"/>
                <w:bCs/>
                <w:color w:val="000000"/>
                <w:lang w:eastAsia="es-ES"/>
              </w:rPr>
              <w:t xml:space="preserve"> que mantenga Cuentas de Terceros Ómnibus Segregada por Cámara, </w:t>
            </w:r>
            <w:r w:rsidRPr="009C1821">
              <w:rPr>
                <w:rFonts w:ascii="Arial Narrow" w:hAnsi="Arial Narrow"/>
                <w:color w:val="000000"/>
                <w:lang w:eastAsia="es-ES"/>
              </w:rPr>
              <w:t>LA CRCC</w:t>
            </w:r>
            <w:r w:rsidRPr="009C1821">
              <w:rPr>
                <w:rFonts w:ascii="Arial Narrow" w:hAnsi="Arial Narrow"/>
                <w:b w:val="0"/>
                <w:bCs/>
                <w:color w:val="000000"/>
                <w:lang w:eastAsia="es-ES"/>
              </w:rPr>
              <w:t xml:space="preserve"> intentará transferir a otro u otro(s) </w:t>
            </w:r>
            <w:r w:rsidRPr="009C1821">
              <w:rPr>
                <w:rFonts w:ascii="Arial Narrow" w:hAnsi="Arial Narrow"/>
                <w:b w:val="0"/>
                <w:bCs/>
                <w:color w:val="000000"/>
                <w:lang w:eastAsia="es-ES"/>
              </w:rPr>
              <w:lastRenderedPageBreak/>
              <w:t xml:space="preserve">Miembro(s) las Posiciones Abiertas de los Terceros Identificados agrupados en dichas Cuentas. </w:t>
            </w:r>
          </w:p>
          <w:p w14:paraId="6AD825D3" w14:textId="77777777" w:rsidR="00514CE5" w:rsidRPr="009C1821" w:rsidRDefault="00514CE5" w:rsidP="009C1821">
            <w:pPr>
              <w:pStyle w:val="Prrafodelista"/>
              <w:ind w:left="0"/>
              <w:jc w:val="both"/>
              <w:rPr>
                <w:rFonts w:ascii="Arial Narrow" w:hAnsi="Arial Narrow"/>
                <w:b w:val="0"/>
                <w:bCs/>
                <w:color w:val="000000"/>
                <w:lang w:eastAsia="es-ES"/>
              </w:rPr>
            </w:pPr>
          </w:p>
          <w:p w14:paraId="012FF329" w14:textId="77777777" w:rsidR="00514CE5" w:rsidRPr="009C1821" w:rsidRDefault="00514CE5" w:rsidP="009C1821">
            <w:pPr>
              <w:pStyle w:val="Prrafodelista"/>
              <w:ind w:left="0"/>
              <w:jc w:val="both"/>
              <w:rPr>
                <w:rFonts w:ascii="Arial Narrow" w:hAnsi="Arial Narrow"/>
                <w:b w:val="0"/>
                <w:bCs/>
                <w:color w:val="000000"/>
                <w:lang w:eastAsia="es-ES"/>
              </w:rPr>
            </w:pPr>
            <w:r w:rsidRPr="009C1821">
              <w:rPr>
                <w:rFonts w:ascii="Arial Narrow" w:hAnsi="Arial Narrow"/>
                <w:b w:val="0"/>
                <w:bCs/>
                <w:color w:val="000000"/>
                <w:lang w:eastAsia="es-ES"/>
              </w:rPr>
              <w:t xml:space="preserve">Para efectuar la anterior transferencia, será necesario que todos los Terceros de manera individual manifiesten estar de acuerdo con que sus posiciones agrupadas sean trasladadas a una Cuenta de Tercero Ómnibus Segregada por Cámara de otro Miembro Liquidador, y que las garantías que respaldan tales posiciones sean suficientes para cubrir su riesgo en la Cuenta de Tercero Ómnibus Segregada por Cámara del nuevo Miembro. </w:t>
            </w:r>
          </w:p>
          <w:p w14:paraId="279027C4" w14:textId="77777777" w:rsidR="00514CE5" w:rsidRPr="009C1821" w:rsidRDefault="00514CE5" w:rsidP="009C1821">
            <w:pPr>
              <w:pStyle w:val="Prrafodelista"/>
              <w:ind w:left="0"/>
              <w:jc w:val="both"/>
              <w:rPr>
                <w:rFonts w:ascii="Arial Narrow" w:hAnsi="Arial Narrow"/>
                <w:b w:val="0"/>
                <w:bCs/>
                <w:color w:val="000000"/>
                <w:lang w:eastAsia="es-ES"/>
              </w:rPr>
            </w:pPr>
          </w:p>
          <w:p w14:paraId="605242B3" w14:textId="77777777" w:rsidR="00514CE5" w:rsidRPr="009C1821" w:rsidRDefault="00514CE5" w:rsidP="009C1821">
            <w:pPr>
              <w:pStyle w:val="Prrafodelista"/>
              <w:ind w:left="0"/>
              <w:jc w:val="both"/>
              <w:rPr>
                <w:rFonts w:ascii="Arial Narrow" w:hAnsi="Arial Narrow"/>
                <w:b w:val="0"/>
                <w:bCs/>
                <w:color w:val="000000"/>
                <w:lang w:eastAsia="es-ES"/>
              </w:rPr>
            </w:pPr>
            <w:r w:rsidRPr="009C1821">
              <w:rPr>
                <w:rFonts w:ascii="Arial Narrow" w:hAnsi="Arial Narrow"/>
                <w:b w:val="0"/>
                <w:bCs/>
                <w:color w:val="000000"/>
                <w:lang w:eastAsia="es-ES"/>
              </w:rPr>
              <w:t xml:space="preserve">Si esto no fuera posible o la evolución de los precios del mercado aconsejan el cierre de las Posiciones Abiertas con el fin de proteger la solvencia de </w:t>
            </w:r>
            <w:r w:rsidRPr="009C1821">
              <w:rPr>
                <w:rFonts w:ascii="Arial Narrow" w:hAnsi="Arial Narrow"/>
                <w:color w:val="000000"/>
                <w:lang w:eastAsia="es-ES"/>
              </w:rPr>
              <w:t>LA CRCC</w:t>
            </w:r>
            <w:r w:rsidRPr="009C1821">
              <w:rPr>
                <w:rFonts w:ascii="Arial Narrow" w:hAnsi="Arial Narrow"/>
                <w:b w:val="0"/>
                <w:bCs/>
                <w:color w:val="000000"/>
                <w:lang w:eastAsia="es-ES"/>
              </w:rPr>
              <w:t>, ésta procederá a cerrar las Posiciones Abiertas registradas en la Cuenta referida, ejecutando, en su caso, las Garantías constituidas.</w:t>
            </w:r>
          </w:p>
          <w:p w14:paraId="4ED5B0B8" w14:textId="77777777" w:rsidR="00514CE5" w:rsidRPr="009C1821" w:rsidRDefault="00514CE5" w:rsidP="009C1821">
            <w:pPr>
              <w:pStyle w:val="Prrafodelista"/>
              <w:ind w:left="0"/>
              <w:jc w:val="both"/>
              <w:rPr>
                <w:rFonts w:ascii="Arial Narrow" w:hAnsi="Arial Narrow"/>
                <w:b w:val="0"/>
                <w:bCs/>
                <w:color w:val="000000"/>
                <w:lang w:eastAsia="es-ES"/>
              </w:rPr>
            </w:pPr>
          </w:p>
          <w:p w14:paraId="76E96359" w14:textId="77777777" w:rsidR="00514CE5" w:rsidRPr="009C1821" w:rsidRDefault="00514CE5" w:rsidP="009C1821">
            <w:pPr>
              <w:pStyle w:val="Prrafodelista"/>
              <w:ind w:left="0"/>
              <w:jc w:val="both"/>
              <w:rPr>
                <w:rFonts w:ascii="Arial Narrow" w:hAnsi="Arial Narrow"/>
                <w:b w:val="0"/>
                <w:bCs/>
                <w:color w:val="000000"/>
                <w:lang w:eastAsia="es-ES"/>
              </w:rPr>
            </w:pPr>
            <w:r w:rsidRPr="009C1821">
              <w:rPr>
                <w:rFonts w:ascii="Arial Narrow" w:hAnsi="Arial Narrow"/>
                <w:b w:val="0"/>
                <w:bCs/>
                <w:color w:val="000000"/>
                <w:lang w:eastAsia="es-ES"/>
              </w:rPr>
              <w:t xml:space="preserve">Las personas agrupadas en una Cuenta de Tercero Ómnibus Segregada por Cámara no podrán exigir de </w:t>
            </w:r>
            <w:r w:rsidRPr="009C1821">
              <w:rPr>
                <w:rFonts w:ascii="Arial Narrow" w:hAnsi="Arial Narrow"/>
                <w:color w:val="000000"/>
                <w:lang w:eastAsia="es-ES"/>
              </w:rPr>
              <w:t>LA CRCC</w:t>
            </w:r>
            <w:r w:rsidRPr="009C1821">
              <w:rPr>
                <w:rFonts w:ascii="Arial Narrow" w:hAnsi="Arial Narrow"/>
                <w:b w:val="0"/>
                <w:bCs/>
                <w:color w:val="000000"/>
                <w:lang w:eastAsia="es-ES"/>
              </w:rPr>
              <w:t xml:space="preserve"> el Ajuste de Posición Abierta, de las posiciones recogidas en dicha cuenta en caso de Incumplimiento del </w:t>
            </w:r>
            <w:r w:rsidRPr="009C1821">
              <w:rPr>
                <w:rFonts w:ascii="Arial Narrow" w:hAnsi="Arial Narrow"/>
                <w:color w:val="000000"/>
                <w:lang w:eastAsia="es-ES"/>
              </w:rPr>
              <w:t>MIEMBRO</w:t>
            </w:r>
            <w:r w:rsidRPr="009C1821">
              <w:rPr>
                <w:rFonts w:ascii="Arial Narrow" w:hAnsi="Arial Narrow"/>
                <w:b w:val="0"/>
                <w:bCs/>
                <w:color w:val="000000"/>
                <w:lang w:eastAsia="es-ES"/>
              </w:rPr>
              <w:t>.</w:t>
            </w:r>
          </w:p>
        </w:tc>
      </w:tr>
      <w:tr w:rsidR="00514CE5" w:rsidRPr="004D3326" w14:paraId="36EC8503" w14:textId="77777777" w:rsidTr="009C1821">
        <w:trPr>
          <w:jc w:val="center"/>
        </w:trPr>
        <w:tc>
          <w:tcPr>
            <w:tcW w:w="8108" w:type="dxa"/>
            <w:gridSpan w:val="2"/>
          </w:tcPr>
          <w:p w14:paraId="6487559E" w14:textId="77777777" w:rsidR="00514CE5" w:rsidRPr="004D3326" w:rsidRDefault="00514CE5" w:rsidP="009C1821">
            <w:pPr>
              <w:pStyle w:val="Prrafodelista"/>
              <w:ind w:left="0"/>
              <w:jc w:val="center"/>
              <w:rPr>
                <w:rFonts w:ascii="Arial Narrow" w:hAnsi="Arial Narrow"/>
                <w:i/>
                <w:iCs/>
                <w:color w:val="000000"/>
                <w:lang w:eastAsia="es-ES"/>
              </w:rPr>
            </w:pPr>
            <w:r w:rsidRPr="004D3326">
              <w:rPr>
                <w:rFonts w:ascii="Arial Narrow" w:hAnsi="Arial Narrow"/>
                <w:i/>
                <w:iCs/>
                <w:color w:val="000000"/>
                <w:lang w:eastAsia="es-ES"/>
              </w:rPr>
              <w:lastRenderedPageBreak/>
              <w:t>Obligaciones</w:t>
            </w:r>
          </w:p>
        </w:tc>
      </w:tr>
      <w:tr w:rsidR="00514CE5" w:rsidRPr="004D3326" w14:paraId="52FA3AA7" w14:textId="77777777" w:rsidTr="009C1821">
        <w:trPr>
          <w:jc w:val="center"/>
        </w:trPr>
        <w:tc>
          <w:tcPr>
            <w:tcW w:w="4060" w:type="dxa"/>
          </w:tcPr>
          <w:p w14:paraId="2AB78C2C" w14:textId="77777777" w:rsidR="00514CE5" w:rsidRPr="004D3326" w:rsidRDefault="00514CE5" w:rsidP="009C1821">
            <w:pPr>
              <w:jc w:val="both"/>
              <w:rPr>
                <w:rFonts w:ascii="Arial Narrow" w:hAnsi="Arial Narrow" w:cs="Arial"/>
                <w:color w:val="000000"/>
                <w:lang w:eastAsia="es-ES"/>
              </w:rPr>
            </w:pPr>
            <w:r w:rsidRPr="004D3326">
              <w:rPr>
                <w:rFonts w:ascii="Arial Narrow" w:hAnsi="Arial Narrow" w:cs="Arial"/>
                <w:color w:val="000000"/>
                <w:lang w:eastAsia="es-ES"/>
              </w:rPr>
              <w:t xml:space="preserve">Cumplir el Reglamento, así como lo acordado con </w:t>
            </w:r>
            <w:r w:rsidRPr="004D3326">
              <w:rPr>
                <w:rFonts w:ascii="Arial Narrow" w:hAnsi="Arial Narrow" w:cs="Arial"/>
                <w:b/>
                <w:bCs/>
                <w:color w:val="000000"/>
                <w:lang w:eastAsia="es-ES"/>
              </w:rPr>
              <w:t>EL MIEMBRO</w:t>
            </w:r>
            <w:r w:rsidRPr="004D3326">
              <w:rPr>
                <w:rFonts w:ascii="Arial Narrow" w:hAnsi="Arial Narrow" w:cs="Arial"/>
                <w:color w:val="000000"/>
                <w:lang w:eastAsia="es-ES"/>
              </w:rPr>
              <w:t xml:space="preserve"> respectivo. </w:t>
            </w:r>
          </w:p>
        </w:tc>
        <w:tc>
          <w:tcPr>
            <w:tcW w:w="4048" w:type="dxa"/>
          </w:tcPr>
          <w:p w14:paraId="5E8943C8" w14:textId="77777777" w:rsidR="00514CE5" w:rsidRPr="004D3326" w:rsidRDefault="00514CE5" w:rsidP="009C1821">
            <w:pPr>
              <w:jc w:val="both"/>
              <w:rPr>
                <w:rFonts w:ascii="Arial Narrow" w:hAnsi="Arial Narrow" w:cs="Arial"/>
                <w:color w:val="000000"/>
                <w:lang w:eastAsia="es-ES"/>
              </w:rPr>
            </w:pPr>
            <w:r w:rsidRPr="00347EDB">
              <w:rPr>
                <w:rFonts w:ascii="Arial Narrow" w:hAnsi="Arial Narrow" w:cs="Arial"/>
                <w:color w:val="000000"/>
                <w:lang w:eastAsia="es-ES"/>
              </w:rPr>
              <w:t xml:space="preserve">Cumplir el Reglamento, así como lo acordado con </w:t>
            </w:r>
            <w:r w:rsidRPr="00347EDB">
              <w:rPr>
                <w:rFonts w:ascii="Arial Narrow" w:hAnsi="Arial Narrow" w:cs="Arial"/>
                <w:b/>
                <w:bCs/>
                <w:color w:val="000000"/>
                <w:lang w:eastAsia="es-ES"/>
              </w:rPr>
              <w:t>EL MIEMBRO</w:t>
            </w:r>
            <w:r w:rsidRPr="00347EDB">
              <w:rPr>
                <w:rFonts w:ascii="Arial Narrow" w:hAnsi="Arial Narrow" w:cs="Arial"/>
                <w:color w:val="000000"/>
                <w:lang w:eastAsia="es-ES"/>
              </w:rPr>
              <w:t xml:space="preserve"> respectivo.</w:t>
            </w:r>
          </w:p>
        </w:tc>
      </w:tr>
      <w:tr w:rsidR="00514CE5" w:rsidRPr="004D3326" w14:paraId="006C0185" w14:textId="77777777" w:rsidTr="009C1821">
        <w:trPr>
          <w:jc w:val="center"/>
        </w:trPr>
        <w:tc>
          <w:tcPr>
            <w:tcW w:w="4060" w:type="dxa"/>
          </w:tcPr>
          <w:p w14:paraId="64A90131" w14:textId="77777777" w:rsidR="00514CE5" w:rsidRPr="003C1249" w:rsidRDefault="00514CE5" w:rsidP="009C1821">
            <w:pPr>
              <w:jc w:val="both"/>
              <w:rPr>
                <w:rFonts w:ascii="Arial Narrow" w:hAnsi="Arial Narrow" w:cs="Arial"/>
                <w:color w:val="000000"/>
                <w:lang w:eastAsia="es-ES"/>
              </w:rPr>
            </w:pPr>
            <w:r w:rsidRPr="00347EDB">
              <w:rPr>
                <w:rFonts w:ascii="Arial Narrow" w:hAnsi="Arial Narrow" w:cs="Arial"/>
                <w:color w:val="000000"/>
                <w:lang w:eastAsia="es-ES"/>
              </w:rPr>
              <w:t xml:space="preserve">Entregar a </w:t>
            </w:r>
            <w:r w:rsidRPr="00347EDB">
              <w:rPr>
                <w:rFonts w:ascii="Arial Narrow" w:hAnsi="Arial Narrow" w:cs="Arial"/>
                <w:b/>
                <w:bCs/>
                <w:color w:val="000000"/>
                <w:lang w:eastAsia="es-ES"/>
              </w:rPr>
              <w:t>LA CRCC</w:t>
            </w:r>
            <w:r w:rsidRPr="00347EDB">
              <w:rPr>
                <w:rFonts w:ascii="Arial Narrow" w:hAnsi="Arial Narrow" w:cs="Arial"/>
                <w:color w:val="000000"/>
                <w:lang w:eastAsia="es-ES"/>
              </w:rPr>
              <w:t xml:space="preserve">, a través de su </w:t>
            </w:r>
            <w:r w:rsidRPr="00347EDB">
              <w:rPr>
                <w:rFonts w:ascii="Arial Narrow" w:hAnsi="Arial Narrow" w:cs="Arial"/>
                <w:b/>
                <w:bCs/>
                <w:color w:val="000000"/>
                <w:lang w:eastAsia="es-ES"/>
              </w:rPr>
              <w:t>MIEMBRO</w:t>
            </w:r>
            <w:r w:rsidRPr="00347EDB">
              <w:rPr>
                <w:rFonts w:ascii="Arial Narrow" w:hAnsi="Arial Narrow" w:cs="Arial"/>
                <w:color w:val="000000"/>
                <w:lang w:eastAsia="es-ES"/>
              </w:rPr>
              <w:t>, los dineros o los Activos que le corresponda entregar, en virtud de las operaciones realizadas por su cuenta y registradas en una Cuenta de Tercero Identificado, en las condiciones y términos previstos en el Reglamento y en la Circular.</w:t>
            </w:r>
          </w:p>
        </w:tc>
        <w:tc>
          <w:tcPr>
            <w:tcW w:w="4048" w:type="dxa"/>
          </w:tcPr>
          <w:p w14:paraId="429F9D8D" w14:textId="77777777" w:rsidR="00514CE5" w:rsidRPr="00A16AB9" w:rsidRDefault="00514CE5" w:rsidP="009C1821">
            <w:pPr>
              <w:jc w:val="both"/>
              <w:rPr>
                <w:rFonts w:ascii="Arial Narrow" w:hAnsi="Arial Narrow" w:cs="Arial"/>
                <w:color w:val="000000"/>
                <w:lang w:eastAsia="es-ES"/>
              </w:rPr>
            </w:pPr>
            <w:r w:rsidRPr="00A16AB9">
              <w:rPr>
                <w:rFonts w:ascii="Arial Narrow" w:hAnsi="Arial Narrow" w:cs="Arial"/>
                <w:color w:val="000000"/>
                <w:lang w:eastAsia="es-ES"/>
              </w:rPr>
              <w:t xml:space="preserve">Entregar a su </w:t>
            </w:r>
            <w:r w:rsidRPr="00A16AB9">
              <w:rPr>
                <w:rFonts w:ascii="Arial Narrow" w:hAnsi="Arial Narrow" w:cs="Arial"/>
                <w:b/>
                <w:bCs/>
                <w:color w:val="000000"/>
                <w:lang w:eastAsia="es-ES"/>
              </w:rPr>
              <w:t>MIEMBRO</w:t>
            </w:r>
            <w:r w:rsidRPr="00A16AB9">
              <w:rPr>
                <w:rFonts w:ascii="Arial Narrow" w:hAnsi="Arial Narrow" w:cs="Arial"/>
                <w:color w:val="000000"/>
                <w:lang w:eastAsia="es-ES"/>
              </w:rPr>
              <w:t xml:space="preserve"> los dineros o los Activos que le corresponda entregar, en virtud de las operaciones realizadas por su cuenta y registradas en una Cuenta de Terceros Ómnibus Segregada por Cámara, en las condiciones y términos previstos en el Reglamento y en la Circular. </w:t>
            </w:r>
          </w:p>
        </w:tc>
      </w:tr>
      <w:tr w:rsidR="00514CE5" w:rsidRPr="004D3326" w14:paraId="6483347B" w14:textId="77777777" w:rsidTr="009C1821">
        <w:trPr>
          <w:jc w:val="center"/>
        </w:trPr>
        <w:tc>
          <w:tcPr>
            <w:tcW w:w="4060" w:type="dxa"/>
          </w:tcPr>
          <w:p w14:paraId="4A82EFE2" w14:textId="77777777" w:rsidR="00514CE5" w:rsidRPr="004D3326" w:rsidRDefault="00514CE5" w:rsidP="009C1821">
            <w:pPr>
              <w:jc w:val="both"/>
              <w:rPr>
                <w:rFonts w:ascii="Arial Narrow" w:hAnsi="Arial Narrow" w:cs="Arial"/>
                <w:color w:val="000000"/>
                <w:lang w:eastAsia="es-ES"/>
              </w:rPr>
            </w:pPr>
            <w:r w:rsidRPr="004D3326">
              <w:rPr>
                <w:rFonts w:ascii="Arial Narrow" w:hAnsi="Arial Narrow" w:cs="Arial"/>
                <w:color w:val="000000"/>
                <w:lang w:eastAsia="es-ES"/>
              </w:rPr>
              <w:lastRenderedPageBreak/>
              <w:t xml:space="preserve">Constituir las Garantías que le correspondan frente a su </w:t>
            </w:r>
            <w:r w:rsidRPr="004D3326">
              <w:rPr>
                <w:rFonts w:ascii="Arial Narrow" w:hAnsi="Arial Narrow" w:cs="Arial"/>
                <w:b/>
                <w:bCs/>
                <w:color w:val="000000"/>
                <w:lang w:eastAsia="es-ES"/>
              </w:rPr>
              <w:t>MIEMBRO</w:t>
            </w:r>
            <w:r w:rsidRPr="004D3326">
              <w:rPr>
                <w:rFonts w:ascii="Arial Narrow" w:hAnsi="Arial Narrow" w:cs="Arial"/>
                <w:color w:val="000000"/>
                <w:lang w:eastAsia="es-ES"/>
              </w:rPr>
              <w:t xml:space="preserve"> y en caso de no constituirlas acepta que </w:t>
            </w:r>
            <w:r w:rsidRPr="004D3326">
              <w:rPr>
                <w:rFonts w:ascii="Arial Narrow" w:hAnsi="Arial Narrow" w:cs="Arial"/>
                <w:b/>
                <w:bCs/>
                <w:color w:val="000000"/>
                <w:lang w:eastAsia="es-ES"/>
              </w:rPr>
              <w:t>LA CRCC</w:t>
            </w:r>
            <w:r w:rsidRPr="004D3326">
              <w:rPr>
                <w:rFonts w:ascii="Arial Narrow" w:hAnsi="Arial Narrow" w:cs="Arial"/>
                <w:color w:val="000000"/>
                <w:lang w:eastAsia="es-ES"/>
              </w:rPr>
              <w:t xml:space="preserve"> podrá liquidar por cuenta del Tercero todas sus Posiciones en todos los Segmentos en que participe, y </w:t>
            </w:r>
            <w:r w:rsidRPr="004D3326">
              <w:rPr>
                <w:rFonts w:ascii="Arial Narrow" w:hAnsi="Arial Narrow" w:cs="Arial"/>
                <w:b/>
                <w:bCs/>
                <w:color w:val="000000"/>
                <w:lang w:eastAsia="es-ES"/>
              </w:rPr>
              <w:t>LA CRCC</w:t>
            </w:r>
            <w:r w:rsidRPr="004D3326">
              <w:rPr>
                <w:rFonts w:ascii="Arial Narrow" w:hAnsi="Arial Narrow" w:cs="Arial"/>
                <w:color w:val="000000"/>
                <w:lang w:eastAsia="es-ES"/>
              </w:rPr>
              <w:t xml:space="preserve"> ejecutará las Garantías previamente constituidas si fuese necesario y entregará al Tercero el resultado de dicha Liquidación si fuese a su favor o reclamándosela al Tercero si fuese a favor de </w:t>
            </w:r>
            <w:r w:rsidRPr="004D3326">
              <w:rPr>
                <w:rFonts w:ascii="Arial Narrow" w:hAnsi="Arial Narrow" w:cs="Arial"/>
                <w:b/>
                <w:bCs/>
                <w:color w:val="000000"/>
                <w:lang w:eastAsia="es-ES"/>
              </w:rPr>
              <w:t>LA CRCC</w:t>
            </w:r>
            <w:r w:rsidRPr="004D3326">
              <w:rPr>
                <w:rFonts w:ascii="Arial Narrow" w:hAnsi="Arial Narrow" w:cs="Arial"/>
                <w:color w:val="000000"/>
                <w:lang w:eastAsia="es-ES"/>
              </w:rPr>
              <w:t xml:space="preserve"> o del </w:t>
            </w:r>
            <w:r w:rsidRPr="004D3326">
              <w:rPr>
                <w:rFonts w:ascii="Arial Narrow" w:hAnsi="Arial Narrow" w:cs="Arial"/>
                <w:b/>
                <w:bCs/>
                <w:color w:val="000000"/>
                <w:lang w:eastAsia="es-ES"/>
              </w:rPr>
              <w:t>MIEMBRO</w:t>
            </w:r>
            <w:r w:rsidRPr="004D3326">
              <w:rPr>
                <w:rFonts w:ascii="Arial Narrow" w:hAnsi="Arial Narrow" w:cs="Arial"/>
                <w:color w:val="000000"/>
                <w:lang w:eastAsia="es-ES"/>
              </w:rPr>
              <w:t xml:space="preserve">, según el caso, así como tomar cualesquiera otras medidas que se prevean en el Reglamento. </w:t>
            </w:r>
          </w:p>
        </w:tc>
        <w:tc>
          <w:tcPr>
            <w:tcW w:w="4048" w:type="dxa"/>
          </w:tcPr>
          <w:p w14:paraId="1C397D28" w14:textId="77777777" w:rsidR="00514CE5" w:rsidRPr="004D3326" w:rsidRDefault="00514CE5" w:rsidP="009C1821">
            <w:pPr>
              <w:jc w:val="both"/>
              <w:rPr>
                <w:rFonts w:ascii="Arial Narrow" w:hAnsi="Arial Narrow" w:cs="Arial"/>
                <w:color w:val="000000"/>
                <w:lang w:eastAsia="es-ES"/>
              </w:rPr>
            </w:pPr>
            <w:r w:rsidRPr="004D3326">
              <w:rPr>
                <w:rFonts w:ascii="Arial Narrow" w:hAnsi="Arial Narrow" w:cs="Arial"/>
                <w:color w:val="000000"/>
                <w:lang w:eastAsia="es-ES"/>
              </w:rPr>
              <w:t xml:space="preserve">Constituir las Garantías que le </w:t>
            </w:r>
            <w:r>
              <w:rPr>
                <w:rFonts w:ascii="Arial Narrow" w:hAnsi="Arial Narrow" w:cs="Arial"/>
                <w:color w:val="000000"/>
                <w:lang w:eastAsia="es-ES"/>
              </w:rPr>
              <w:t xml:space="preserve">exija </w:t>
            </w:r>
            <w:r w:rsidRPr="004D3326">
              <w:rPr>
                <w:rFonts w:ascii="Arial Narrow" w:hAnsi="Arial Narrow" w:cs="Arial"/>
                <w:color w:val="000000"/>
                <w:lang w:eastAsia="es-ES"/>
              </w:rPr>
              <w:t xml:space="preserve">su </w:t>
            </w:r>
            <w:r w:rsidRPr="004D3326">
              <w:rPr>
                <w:rFonts w:ascii="Arial Narrow" w:hAnsi="Arial Narrow" w:cs="Arial"/>
                <w:b/>
                <w:bCs/>
                <w:color w:val="000000"/>
                <w:lang w:eastAsia="es-ES"/>
              </w:rPr>
              <w:t>MIEMBRO</w:t>
            </w:r>
            <w:r w:rsidRPr="004D3326">
              <w:rPr>
                <w:rFonts w:ascii="Arial Narrow" w:hAnsi="Arial Narrow" w:cs="Arial"/>
                <w:color w:val="000000"/>
                <w:lang w:eastAsia="es-ES"/>
              </w:rPr>
              <w:t xml:space="preserve"> y en caso de no constituirlas acepta que </w:t>
            </w:r>
            <w:r w:rsidRPr="004D3326">
              <w:rPr>
                <w:rFonts w:ascii="Arial Narrow" w:hAnsi="Arial Narrow" w:cs="Arial"/>
                <w:b/>
                <w:bCs/>
                <w:color w:val="000000"/>
                <w:lang w:eastAsia="es-ES"/>
              </w:rPr>
              <w:t>EL MIEMBRO</w:t>
            </w:r>
            <w:r w:rsidRPr="004D3326">
              <w:rPr>
                <w:rFonts w:ascii="Arial Narrow" w:hAnsi="Arial Narrow" w:cs="Arial"/>
                <w:color w:val="000000"/>
                <w:lang w:eastAsia="es-ES"/>
              </w:rPr>
              <w:t xml:space="preserve"> titular de la respectiva Cuenta de Tercero Ómnibus Segregada por Cámara podrá liquidar por cuenta del Tercero todas sus Posiciones en todos los Segmentos en que participe, y </w:t>
            </w:r>
            <w:r w:rsidRPr="004D3326">
              <w:rPr>
                <w:rFonts w:ascii="Arial Narrow" w:hAnsi="Arial Narrow" w:cs="Arial"/>
                <w:b/>
                <w:bCs/>
                <w:color w:val="000000"/>
                <w:lang w:eastAsia="es-ES"/>
              </w:rPr>
              <w:t>LA CRCC</w:t>
            </w:r>
            <w:r w:rsidRPr="004D3326">
              <w:rPr>
                <w:rFonts w:ascii="Arial Narrow" w:hAnsi="Arial Narrow" w:cs="Arial"/>
                <w:color w:val="000000"/>
                <w:lang w:eastAsia="es-ES"/>
              </w:rPr>
              <w:t xml:space="preserve"> ejecutará las Garantías Admisibles previamente constituidas</w:t>
            </w:r>
            <w:r>
              <w:rPr>
                <w:rFonts w:ascii="Arial Narrow" w:hAnsi="Arial Narrow" w:cs="Arial"/>
                <w:color w:val="000000"/>
                <w:lang w:eastAsia="es-ES"/>
              </w:rPr>
              <w:t xml:space="preserve"> por el Tercero</w:t>
            </w:r>
            <w:r w:rsidRPr="004D3326">
              <w:rPr>
                <w:rFonts w:ascii="Arial Narrow" w:hAnsi="Arial Narrow" w:cs="Arial"/>
                <w:color w:val="000000"/>
                <w:lang w:eastAsia="es-ES"/>
              </w:rPr>
              <w:t xml:space="preserve"> si fuese necesario y entregará al </w:t>
            </w:r>
            <w:r w:rsidRPr="004D3326">
              <w:rPr>
                <w:rFonts w:ascii="Arial Narrow" w:hAnsi="Arial Narrow" w:cs="Arial"/>
                <w:b/>
                <w:bCs/>
                <w:color w:val="000000"/>
                <w:lang w:eastAsia="es-ES"/>
              </w:rPr>
              <w:t>MIEMBRO</w:t>
            </w:r>
            <w:r w:rsidRPr="004D3326">
              <w:rPr>
                <w:rFonts w:ascii="Arial Narrow" w:hAnsi="Arial Narrow" w:cs="Arial"/>
                <w:color w:val="000000"/>
                <w:lang w:eastAsia="es-ES"/>
              </w:rPr>
              <w:t xml:space="preserve"> titular de la Cuenta de Tercero Ómnibus Segregada por Cámara el resultado de dicha Liquidación si fuese a su favor o reclamándosela al Tercero si fuese a favor del </w:t>
            </w:r>
            <w:r w:rsidRPr="004D3326">
              <w:rPr>
                <w:rFonts w:ascii="Arial Narrow" w:hAnsi="Arial Narrow" w:cs="Arial"/>
                <w:b/>
                <w:bCs/>
                <w:color w:val="000000"/>
                <w:lang w:eastAsia="es-ES"/>
              </w:rPr>
              <w:t>MIEMBRO</w:t>
            </w:r>
            <w:r w:rsidRPr="004D3326">
              <w:rPr>
                <w:rFonts w:ascii="Arial Narrow" w:hAnsi="Arial Narrow" w:cs="Arial"/>
                <w:color w:val="000000"/>
                <w:lang w:eastAsia="es-ES"/>
              </w:rPr>
              <w:t>, según el caso, así como tomar cualesquiera otras medidas que se prevean en el Reglamento.</w:t>
            </w:r>
          </w:p>
        </w:tc>
      </w:tr>
      <w:tr w:rsidR="00514CE5" w:rsidRPr="004D3326" w14:paraId="75D6D794" w14:textId="77777777" w:rsidTr="009C1821">
        <w:trPr>
          <w:jc w:val="center"/>
        </w:trPr>
        <w:tc>
          <w:tcPr>
            <w:tcW w:w="4060" w:type="dxa"/>
          </w:tcPr>
          <w:p w14:paraId="1881416E" w14:textId="77777777" w:rsidR="00514CE5" w:rsidRPr="004D3326" w:rsidRDefault="00514CE5" w:rsidP="009C1821">
            <w:pPr>
              <w:jc w:val="both"/>
              <w:rPr>
                <w:rFonts w:ascii="Arial Narrow" w:hAnsi="Arial Narrow" w:cs="Arial"/>
                <w:color w:val="000000"/>
                <w:lang w:eastAsia="es-ES"/>
              </w:rPr>
            </w:pPr>
            <w:r w:rsidRPr="004D3326">
              <w:rPr>
                <w:rFonts w:ascii="Arial Narrow" w:hAnsi="Arial Narrow" w:cs="Arial"/>
                <w:color w:val="000000"/>
                <w:lang w:eastAsia="es-ES"/>
              </w:rPr>
              <w:t xml:space="preserve">Ser titular de cuentas en los depósitos de valores que establezca </w:t>
            </w:r>
            <w:r w:rsidRPr="004D3326">
              <w:rPr>
                <w:rFonts w:ascii="Arial Narrow" w:hAnsi="Arial Narrow" w:cs="Arial"/>
                <w:b/>
                <w:bCs/>
                <w:color w:val="000000"/>
                <w:lang w:eastAsia="es-ES"/>
              </w:rPr>
              <w:t>LA CRCC</w:t>
            </w:r>
            <w:r w:rsidRPr="004D3326">
              <w:rPr>
                <w:rFonts w:ascii="Arial Narrow" w:hAnsi="Arial Narrow" w:cs="Arial"/>
                <w:color w:val="000000"/>
                <w:lang w:eastAsia="es-ES"/>
              </w:rPr>
              <w:t xml:space="preserve">, a través de los correspondientes </w:t>
            </w:r>
            <w:r w:rsidRPr="004D3326">
              <w:rPr>
                <w:rFonts w:ascii="Arial Narrow" w:hAnsi="Arial Narrow" w:cs="Arial"/>
                <w:b/>
                <w:bCs/>
                <w:color w:val="000000"/>
                <w:lang w:eastAsia="es-ES"/>
              </w:rPr>
              <w:t>MIEMBROS</w:t>
            </w:r>
            <w:r w:rsidRPr="004D3326">
              <w:rPr>
                <w:rFonts w:ascii="Arial Narrow" w:hAnsi="Arial Narrow" w:cs="Arial"/>
                <w:color w:val="000000"/>
                <w:lang w:eastAsia="es-ES"/>
              </w:rPr>
              <w:t>.</w:t>
            </w:r>
          </w:p>
        </w:tc>
        <w:tc>
          <w:tcPr>
            <w:tcW w:w="4048" w:type="dxa"/>
          </w:tcPr>
          <w:p w14:paraId="31B7DE45" w14:textId="77777777" w:rsidR="00514CE5" w:rsidRPr="009C1821" w:rsidRDefault="00514CE5" w:rsidP="009C1821">
            <w:pPr>
              <w:pStyle w:val="Prrafodelista"/>
              <w:ind w:left="0"/>
              <w:jc w:val="both"/>
              <w:rPr>
                <w:rFonts w:ascii="Arial Narrow" w:hAnsi="Arial Narrow"/>
                <w:b w:val="0"/>
                <w:bCs/>
                <w:color w:val="000000"/>
                <w:lang w:eastAsia="es-ES"/>
              </w:rPr>
            </w:pPr>
            <w:r w:rsidRPr="009C1821">
              <w:rPr>
                <w:rFonts w:ascii="Arial Narrow" w:hAnsi="Arial Narrow"/>
                <w:b w:val="0"/>
                <w:bCs/>
                <w:color w:val="000000"/>
                <w:lang w:eastAsia="es-ES"/>
              </w:rPr>
              <w:t xml:space="preserve">Ser titular de cuentas en los depósitos de valores que establezca </w:t>
            </w:r>
            <w:r w:rsidRPr="009C1821">
              <w:rPr>
                <w:rFonts w:ascii="Arial Narrow" w:hAnsi="Arial Narrow"/>
                <w:color w:val="000000"/>
                <w:lang w:eastAsia="es-ES"/>
              </w:rPr>
              <w:t>LA CRCC</w:t>
            </w:r>
            <w:r w:rsidRPr="009C1821">
              <w:rPr>
                <w:rFonts w:ascii="Arial Narrow" w:hAnsi="Arial Narrow"/>
                <w:b w:val="0"/>
                <w:bCs/>
                <w:color w:val="000000"/>
                <w:lang w:eastAsia="es-ES"/>
              </w:rPr>
              <w:t xml:space="preserve">, a través de los correspondientes </w:t>
            </w:r>
            <w:r w:rsidRPr="009C1821">
              <w:rPr>
                <w:rFonts w:ascii="Arial Narrow" w:hAnsi="Arial Narrow"/>
                <w:color w:val="000000"/>
                <w:lang w:eastAsia="es-ES"/>
              </w:rPr>
              <w:t>MIEMBROS</w:t>
            </w:r>
            <w:r w:rsidRPr="009C1821">
              <w:rPr>
                <w:rFonts w:ascii="Arial Narrow" w:hAnsi="Arial Narrow"/>
                <w:b w:val="0"/>
                <w:bCs/>
                <w:color w:val="000000"/>
                <w:lang w:eastAsia="es-ES"/>
              </w:rPr>
              <w:t>.</w:t>
            </w:r>
          </w:p>
        </w:tc>
      </w:tr>
    </w:tbl>
    <w:p w14:paraId="4E1932CA" w14:textId="77777777" w:rsidR="00514CE5" w:rsidRPr="007F32ED" w:rsidRDefault="00514CE5" w:rsidP="00514CE5">
      <w:pPr>
        <w:rPr>
          <w:rFonts w:ascii="Arial Narrow" w:hAnsi="Arial Narrow" w:cs="Arial"/>
          <w:color w:val="000000"/>
          <w:lang w:eastAsia="es-ES"/>
        </w:rPr>
      </w:pPr>
    </w:p>
    <w:p w14:paraId="37BE4A1F" w14:textId="77777777" w:rsidR="00514CE5" w:rsidRPr="009C1821" w:rsidRDefault="00514CE5" w:rsidP="009C1821">
      <w:pPr>
        <w:pStyle w:val="Prrafodelista"/>
        <w:spacing w:after="160"/>
        <w:ind w:left="0"/>
        <w:jc w:val="both"/>
        <w:rPr>
          <w:rFonts w:ascii="Arial Narrow" w:hAnsi="Arial Narrow"/>
          <w:b w:val="0"/>
          <w:bCs/>
          <w:lang w:eastAsia="es-ES"/>
        </w:rPr>
      </w:pPr>
      <w:r w:rsidRPr="009C1821">
        <w:rPr>
          <w:rFonts w:ascii="Arial Narrow" w:hAnsi="Arial Narrow"/>
          <w:b w:val="0"/>
          <w:bCs/>
          <w:color w:val="000000"/>
          <w:lang w:eastAsia="es-ES"/>
        </w:rPr>
        <w:t>Los derechos de los Terceros del exterior cuyas operaciones son registradas en Cuentas de Terceros Ómnibus Segregada por Cámara son los siguientes:</w:t>
      </w:r>
    </w:p>
    <w:p w14:paraId="1A2E5FD4" w14:textId="77777777" w:rsidR="00514CE5" w:rsidRPr="009C1821" w:rsidRDefault="00514CE5" w:rsidP="00DA7472">
      <w:pPr>
        <w:pStyle w:val="Prrafodelista"/>
        <w:numPr>
          <w:ilvl w:val="0"/>
          <w:numId w:val="376"/>
        </w:numPr>
        <w:spacing w:after="160"/>
        <w:ind w:left="709" w:hanging="425"/>
        <w:contextualSpacing/>
        <w:jc w:val="both"/>
        <w:rPr>
          <w:rFonts w:ascii="Arial Narrow" w:hAnsi="Arial Narrow"/>
          <w:b w:val="0"/>
          <w:bCs/>
          <w:lang w:eastAsia="es-ES"/>
        </w:rPr>
      </w:pPr>
      <w:r w:rsidRPr="009C1821">
        <w:rPr>
          <w:rFonts w:ascii="Arial Narrow" w:hAnsi="Arial Narrow"/>
          <w:b w:val="0"/>
          <w:bCs/>
          <w:color w:val="000000"/>
          <w:lang w:eastAsia="es-ES"/>
        </w:rPr>
        <w:t xml:space="preserve">Mientras no sean identificados ante </w:t>
      </w:r>
      <w:r w:rsidRPr="009C1821">
        <w:rPr>
          <w:rFonts w:ascii="Arial Narrow" w:hAnsi="Arial Narrow"/>
          <w:color w:val="000000"/>
          <w:lang w:eastAsia="es-ES"/>
        </w:rPr>
        <w:t>LA CRCC</w:t>
      </w:r>
      <w:r w:rsidRPr="009C1821">
        <w:rPr>
          <w:rFonts w:ascii="Arial Narrow" w:hAnsi="Arial Narrow"/>
          <w:b w:val="0"/>
          <w:bCs/>
          <w:color w:val="000000"/>
          <w:lang w:eastAsia="es-ES"/>
        </w:rPr>
        <w:t xml:space="preserve">, serán los derechos de los Terceros no Identificados previstos en el artículo 2.1.24. del Reglamento y así se mantendrán en el evento en que su identificación se efectúe después de liquidada la operación. De acuerdo con el artículo 2.1.24. del Reglamento, los derechos y obligaciones de los Terceros no Identificados derivados de las operaciones efectuadas por su cuenta, lo son únicamente respecto del </w:t>
      </w:r>
      <w:r w:rsidRPr="009C1821">
        <w:rPr>
          <w:rFonts w:ascii="Arial Narrow" w:hAnsi="Arial Narrow"/>
          <w:color w:val="000000"/>
          <w:lang w:eastAsia="es-ES"/>
        </w:rPr>
        <w:t>MIEMBRO</w:t>
      </w:r>
      <w:r w:rsidRPr="009C1821">
        <w:rPr>
          <w:rFonts w:ascii="Arial Narrow" w:hAnsi="Arial Narrow"/>
          <w:b w:val="0"/>
          <w:bCs/>
          <w:color w:val="000000"/>
          <w:lang w:eastAsia="es-ES"/>
        </w:rPr>
        <w:t xml:space="preserve"> correspondiente y en ningún caso respecto de </w:t>
      </w:r>
      <w:r w:rsidRPr="009C1821">
        <w:rPr>
          <w:rFonts w:ascii="Arial Narrow" w:hAnsi="Arial Narrow"/>
          <w:color w:val="000000"/>
          <w:lang w:eastAsia="es-ES"/>
        </w:rPr>
        <w:t>LA CRCC</w:t>
      </w:r>
      <w:r w:rsidRPr="009C1821">
        <w:rPr>
          <w:rFonts w:ascii="Arial Narrow" w:hAnsi="Arial Narrow"/>
          <w:b w:val="0"/>
          <w:bCs/>
          <w:color w:val="000000"/>
          <w:lang w:eastAsia="es-ES"/>
        </w:rPr>
        <w:t xml:space="preserve">. Para todos los efectos, se entenderá que las disposiciones establecidas y las obligaciones derivadas de la aceptación de operaciones realizadas por cuenta de los Terceros no Identificados para la Compensación y Liquidación por parte de </w:t>
      </w:r>
      <w:r w:rsidRPr="009C1821">
        <w:rPr>
          <w:rFonts w:ascii="Arial Narrow" w:hAnsi="Arial Narrow"/>
          <w:color w:val="000000"/>
          <w:lang w:eastAsia="es-ES"/>
        </w:rPr>
        <w:t>LA CRCC</w:t>
      </w:r>
      <w:r w:rsidRPr="009C1821">
        <w:rPr>
          <w:rFonts w:ascii="Arial Narrow" w:hAnsi="Arial Narrow"/>
          <w:b w:val="0"/>
          <w:bCs/>
          <w:color w:val="000000"/>
          <w:lang w:eastAsia="es-ES"/>
        </w:rPr>
        <w:t xml:space="preserve"> son asumidas directamente por los </w:t>
      </w:r>
      <w:r w:rsidRPr="009C1821">
        <w:rPr>
          <w:rFonts w:ascii="Arial Narrow" w:hAnsi="Arial Narrow"/>
          <w:color w:val="000000"/>
          <w:lang w:eastAsia="es-ES"/>
        </w:rPr>
        <w:t>MIEMBROS</w:t>
      </w:r>
      <w:r w:rsidRPr="009C1821">
        <w:rPr>
          <w:rFonts w:ascii="Arial Narrow" w:hAnsi="Arial Narrow"/>
          <w:b w:val="0"/>
          <w:bCs/>
          <w:color w:val="000000"/>
          <w:lang w:eastAsia="es-ES"/>
        </w:rPr>
        <w:t xml:space="preserve"> a través de las cuales estos actúen y no crean vínculos ni por activa ni por pasiva con </w:t>
      </w:r>
      <w:r w:rsidRPr="009C1821">
        <w:rPr>
          <w:rFonts w:ascii="Arial Narrow" w:hAnsi="Arial Narrow"/>
          <w:color w:val="000000"/>
          <w:lang w:eastAsia="es-ES"/>
        </w:rPr>
        <w:t>LA CRCC</w:t>
      </w:r>
      <w:r w:rsidRPr="009C1821">
        <w:rPr>
          <w:rFonts w:ascii="Arial Narrow" w:hAnsi="Arial Narrow"/>
          <w:b w:val="0"/>
          <w:bCs/>
          <w:color w:val="000000"/>
          <w:lang w:eastAsia="es-ES"/>
        </w:rPr>
        <w:t>.</w:t>
      </w:r>
    </w:p>
    <w:p w14:paraId="001F1652" w14:textId="77777777" w:rsidR="009C1821" w:rsidRPr="009C1821" w:rsidRDefault="009C1821" w:rsidP="009C1821">
      <w:pPr>
        <w:pStyle w:val="Prrafodelista"/>
        <w:spacing w:after="160"/>
        <w:ind w:left="709"/>
        <w:contextualSpacing/>
        <w:jc w:val="both"/>
        <w:rPr>
          <w:rFonts w:ascii="Arial Narrow" w:hAnsi="Arial Narrow"/>
          <w:b w:val="0"/>
          <w:bCs/>
          <w:lang w:eastAsia="es-ES"/>
        </w:rPr>
      </w:pPr>
    </w:p>
    <w:p w14:paraId="43A7F426" w14:textId="77777777" w:rsidR="00514CE5" w:rsidRPr="009C1821" w:rsidRDefault="00514CE5" w:rsidP="00DA7472">
      <w:pPr>
        <w:pStyle w:val="Prrafodelista"/>
        <w:numPr>
          <w:ilvl w:val="0"/>
          <w:numId w:val="376"/>
        </w:numPr>
        <w:spacing w:after="160"/>
        <w:ind w:left="709" w:hanging="425"/>
        <w:contextualSpacing/>
        <w:jc w:val="both"/>
        <w:rPr>
          <w:rFonts w:ascii="Arial Narrow" w:hAnsi="Arial Narrow"/>
          <w:b w:val="0"/>
          <w:bCs/>
          <w:lang w:eastAsia="es-ES"/>
        </w:rPr>
      </w:pPr>
      <w:r w:rsidRPr="009C1821">
        <w:rPr>
          <w:rFonts w:ascii="Arial Narrow" w:hAnsi="Arial Narrow"/>
          <w:b w:val="0"/>
          <w:bCs/>
          <w:lang w:eastAsia="es-ES"/>
        </w:rPr>
        <w:t xml:space="preserve">En caso de Incumplimiento por parte del </w:t>
      </w:r>
      <w:r w:rsidRPr="009C1821">
        <w:rPr>
          <w:rFonts w:ascii="Arial Narrow" w:hAnsi="Arial Narrow"/>
          <w:lang w:eastAsia="es-ES"/>
        </w:rPr>
        <w:t>MIEMBRO</w:t>
      </w:r>
      <w:r w:rsidRPr="009C1821">
        <w:rPr>
          <w:rFonts w:ascii="Arial Narrow" w:hAnsi="Arial Narrow"/>
          <w:b w:val="0"/>
          <w:bCs/>
          <w:lang w:eastAsia="es-ES"/>
        </w:rPr>
        <w:t xml:space="preserve"> que mantenga Cuentas de Terceros Ómnibus Segregada por Cámara, </w:t>
      </w:r>
      <w:r w:rsidRPr="009C1821">
        <w:rPr>
          <w:rFonts w:ascii="Arial Narrow" w:hAnsi="Arial Narrow"/>
          <w:lang w:eastAsia="es-ES"/>
        </w:rPr>
        <w:t>LA CRCC</w:t>
      </w:r>
      <w:r w:rsidRPr="009C1821">
        <w:rPr>
          <w:rFonts w:ascii="Arial Narrow" w:hAnsi="Arial Narrow"/>
          <w:b w:val="0"/>
          <w:bCs/>
          <w:lang w:eastAsia="es-ES"/>
        </w:rPr>
        <w:t xml:space="preserve">, si la evolución de los precios del mercado aconseja el cierre de las Posiciones Abiertas con el fin de proteger la solvencia de la misma, procederá a cerrar las Posiciones Abiertas de los Terceros del exterior no conocidos al momento de la Liquidación y de los Terceros no Identificados registradas en la Cuenta referida, ejecutando, en su caso, las Garantías constituidas. </w:t>
      </w:r>
    </w:p>
    <w:p w14:paraId="1D4E1DAA" w14:textId="77777777" w:rsidR="00514CE5" w:rsidRPr="009C1821" w:rsidRDefault="00514CE5" w:rsidP="009C1821">
      <w:pPr>
        <w:pStyle w:val="Prrafodelista"/>
        <w:jc w:val="both"/>
        <w:rPr>
          <w:rFonts w:ascii="Arial Narrow" w:hAnsi="Arial Narrow"/>
          <w:b w:val="0"/>
          <w:bCs/>
          <w:lang w:eastAsia="es-ES"/>
        </w:rPr>
      </w:pPr>
    </w:p>
    <w:p w14:paraId="58D4CC09" w14:textId="77777777" w:rsidR="00514CE5" w:rsidRPr="009C1821" w:rsidRDefault="00514CE5" w:rsidP="009C1821">
      <w:pPr>
        <w:pStyle w:val="Prrafodelista"/>
        <w:ind w:left="709"/>
        <w:jc w:val="both"/>
        <w:rPr>
          <w:rFonts w:ascii="Arial Narrow" w:hAnsi="Arial Narrow"/>
          <w:b w:val="0"/>
          <w:bCs/>
          <w:lang w:eastAsia="es-ES"/>
        </w:rPr>
      </w:pPr>
      <w:r w:rsidRPr="009C1821">
        <w:rPr>
          <w:rFonts w:ascii="Arial Narrow" w:hAnsi="Arial Narrow"/>
          <w:b w:val="0"/>
          <w:bCs/>
          <w:lang w:eastAsia="es-ES"/>
        </w:rPr>
        <w:lastRenderedPageBreak/>
        <w:t xml:space="preserve">Las personas agrupadas en una Cuenta de Tercero Ómnibus Segregada por Cámara no podrán exigir de </w:t>
      </w:r>
      <w:r w:rsidRPr="009C1821">
        <w:rPr>
          <w:rFonts w:ascii="Arial Narrow" w:hAnsi="Arial Narrow"/>
          <w:lang w:eastAsia="es-ES"/>
        </w:rPr>
        <w:t>LA CRCC</w:t>
      </w:r>
      <w:r w:rsidRPr="009C1821">
        <w:rPr>
          <w:rFonts w:ascii="Arial Narrow" w:hAnsi="Arial Narrow"/>
          <w:b w:val="0"/>
          <w:bCs/>
          <w:lang w:eastAsia="es-ES"/>
        </w:rPr>
        <w:t xml:space="preserve"> el Ajuste de Posición Abierta, de las posiciones recogidas en dicha cuenta en caso de Incumplimiento del </w:t>
      </w:r>
      <w:r w:rsidRPr="009C1821">
        <w:rPr>
          <w:rFonts w:ascii="Arial Narrow" w:hAnsi="Arial Narrow"/>
          <w:lang w:eastAsia="es-ES"/>
        </w:rPr>
        <w:t>MIEMBRO</w:t>
      </w:r>
      <w:r w:rsidRPr="009C1821">
        <w:rPr>
          <w:rFonts w:ascii="Arial Narrow" w:hAnsi="Arial Narrow"/>
          <w:b w:val="0"/>
          <w:bCs/>
          <w:lang w:eastAsia="es-ES"/>
        </w:rPr>
        <w:t xml:space="preserve">. Sin embargo, los Terceros del exterior no conocidos al momento de la Liquidación podrán exigir las oportunas prestaciones y responsabilidades del </w:t>
      </w:r>
      <w:r w:rsidRPr="009C1821">
        <w:rPr>
          <w:rFonts w:ascii="Arial Narrow" w:hAnsi="Arial Narrow"/>
          <w:lang w:eastAsia="es-ES"/>
        </w:rPr>
        <w:t>MIEMBRO</w:t>
      </w:r>
      <w:r w:rsidRPr="009C1821">
        <w:rPr>
          <w:rFonts w:ascii="Arial Narrow" w:hAnsi="Arial Narrow"/>
          <w:b w:val="0"/>
          <w:bCs/>
          <w:lang w:eastAsia="es-ES"/>
        </w:rPr>
        <w:t>.</w:t>
      </w:r>
    </w:p>
    <w:p w14:paraId="76A467D5" w14:textId="77777777" w:rsidR="00514CE5" w:rsidRPr="009C1821" w:rsidRDefault="00514CE5" w:rsidP="009C1821">
      <w:pPr>
        <w:pStyle w:val="Prrafodelista"/>
        <w:ind w:left="709" w:hanging="425"/>
        <w:jc w:val="both"/>
        <w:rPr>
          <w:rFonts w:ascii="Arial Narrow" w:hAnsi="Arial Narrow"/>
          <w:b w:val="0"/>
          <w:bCs/>
          <w:lang w:eastAsia="es-ES"/>
        </w:rPr>
      </w:pPr>
    </w:p>
    <w:p w14:paraId="1C304C2B" w14:textId="77777777" w:rsidR="00514CE5" w:rsidRPr="009C1821" w:rsidRDefault="00514CE5" w:rsidP="00DA7472">
      <w:pPr>
        <w:pStyle w:val="Prrafodelista"/>
        <w:numPr>
          <w:ilvl w:val="0"/>
          <w:numId w:val="376"/>
        </w:numPr>
        <w:spacing w:after="160"/>
        <w:ind w:left="709" w:hanging="425"/>
        <w:contextualSpacing/>
        <w:jc w:val="both"/>
        <w:rPr>
          <w:rFonts w:ascii="Arial Narrow" w:hAnsi="Arial Narrow"/>
          <w:b w:val="0"/>
          <w:bCs/>
          <w:lang w:eastAsia="es-ES"/>
        </w:rPr>
      </w:pPr>
      <w:r w:rsidRPr="009C1821">
        <w:rPr>
          <w:rFonts w:ascii="Arial Narrow" w:hAnsi="Arial Narrow"/>
          <w:b w:val="0"/>
          <w:bCs/>
          <w:lang w:eastAsia="es-ES"/>
        </w:rPr>
        <w:t xml:space="preserve">Respecto de Operaciones Aceptadas de Terceros del exterior no conocidos al momento de la Liquidación, que sean registradas y gestionadas en Cuentas de Terceros Ómnibus Segregada por Cámara, será responsabilidad del </w:t>
      </w:r>
      <w:r w:rsidRPr="009C1821">
        <w:rPr>
          <w:rFonts w:ascii="Arial Narrow" w:hAnsi="Arial Narrow"/>
          <w:lang w:eastAsia="es-ES"/>
        </w:rPr>
        <w:t>MIEMBRO</w:t>
      </w:r>
      <w:r w:rsidRPr="009C1821">
        <w:rPr>
          <w:rFonts w:ascii="Arial Narrow" w:hAnsi="Arial Narrow"/>
          <w:b w:val="0"/>
          <w:bCs/>
          <w:lang w:eastAsia="es-ES"/>
        </w:rPr>
        <w:t xml:space="preserve"> titular de la Cuenta identificar toda la vida de la Operación, desde que se registra por primera vez hasta que se liquida, garantizando también que se pueda relacionar directamente una operación registrada en </w:t>
      </w:r>
      <w:r w:rsidRPr="009C1821">
        <w:rPr>
          <w:rFonts w:ascii="Arial Narrow" w:hAnsi="Arial Narrow"/>
          <w:lang w:eastAsia="es-ES"/>
        </w:rPr>
        <w:t>LA CRCC</w:t>
      </w:r>
      <w:r w:rsidRPr="009C1821">
        <w:rPr>
          <w:rFonts w:ascii="Arial Narrow" w:hAnsi="Arial Narrow"/>
          <w:b w:val="0"/>
          <w:bCs/>
          <w:lang w:eastAsia="es-ES"/>
        </w:rPr>
        <w:t xml:space="preserve"> con el origen de ésta, y con las Órdenes de Transferencia de fondos o Activos asociadas. Así mismo, será responsabilidad del </w:t>
      </w:r>
      <w:r w:rsidRPr="009A4BA3">
        <w:rPr>
          <w:rFonts w:ascii="Arial Narrow" w:hAnsi="Arial Narrow"/>
          <w:lang w:eastAsia="es-ES"/>
        </w:rPr>
        <w:t>MIEMBRO</w:t>
      </w:r>
      <w:r w:rsidRPr="009C1821">
        <w:rPr>
          <w:rFonts w:ascii="Arial Narrow" w:hAnsi="Arial Narrow"/>
          <w:b w:val="0"/>
          <w:bCs/>
          <w:lang w:eastAsia="es-ES"/>
        </w:rPr>
        <w:t xml:space="preserve"> titular de la Cuenta</w:t>
      </w:r>
      <w:r w:rsidRPr="009C1821">
        <w:rPr>
          <w:b w:val="0"/>
          <w:bCs/>
        </w:rPr>
        <w:t xml:space="preserve"> </w:t>
      </w:r>
      <w:r w:rsidRPr="009C1821">
        <w:rPr>
          <w:rFonts w:ascii="Arial Narrow" w:hAnsi="Arial Narrow"/>
          <w:b w:val="0"/>
          <w:bCs/>
          <w:lang w:eastAsia="es-ES"/>
        </w:rPr>
        <w:t xml:space="preserve">de Terceros Ómnibus Segregada por Cámara informar a </w:t>
      </w:r>
      <w:r w:rsidRPr="009A4BA3">
        <w:rPr>
          <w:rFonts w:ascii="Arial Narrow" w:hAnsi="Arial Narrow"/>
          <w:lang w:eastAsia="es-ES"/>
        </w:rPr>
        <w:t>LA CRCC</w:t>
      </w:r>
      <w:r w:rsidRPr="009C1821">
        <w:rPr>
          <w:rFonts w:ascii="Arial Narrow" w:hAnsi="Arial Narrow"/>
          <w:b w:val="0"/>
          <w:bCs/>
          <w:lang w:eastAsia="es-ES"/>
        </w:rPr>
        <w:t xml:space="preserve"> y a las Autoridades Competentes cuando así lo requieran, sobre el cumplimiento de sus obligaciones frente a sus Terceros, incluyendo los Terceros del exterior no conocidos al momento de la Liquidación. </w:t>
      </w:r>
    </w:p>
    <w:p w14:paraId="03E6D5C8" w14:textId="77777777" w:rsidR="00514CE5" w:rsidRPr="009C1821" w:rsidRDefault="00514CE5" w:rsidP="009C1821">
      <w:pPr>
        <w:pStyle w:val="Prrafodelista"/>
        <w:ind w:left="709" w:hanging="425"/>
        <w:jc w:val="both"/>
        <w:rPr>
          <w:rFonts w:ascii="Arial Narrow" w:hAnsi="Arial Narrow"/>
          <w:b w:val="0"/>
          <w:bCs/>
          <w:lang w:eastAsia="es-ES"/>
        </w:rPr>
      </w:pPr>
    </w:p>
    <w:p w14:paraId="49A40A0F" w14:textId="77777777" w:rsidR="00514CE5" w:rsidRPr="009C1821" w:rsidRDefault="00514CE5" w:rsidP="00DA7472">
      <w:pPr>
        <w:pStyle w:val="Prrafodelista"/>
        <w:numPr>
          <w:ilvl w:val="0"/>
          <w:numId w:val="376"/>
        </w:numPr>
        <w:ind w:left="709" w:hanging="425"/>
        <w:contextualSpacing/>
        <w:jc w:val="both"/>
        <w:rPr>
          <w:rFonts w:ascii="Arial Narrow" w:hAnsi="Arial Narrow"/>
          <w:b w:val="0"/>
          <w:bCs/>
          <w:lang w:eastAsia="es-ES"/>
        </w:rPr>
      </w:pPr>
      <w:r w:rsidRPr="009C1821">
        <w:rPr>
          <w:rFonts w:ascii="Arial Narrow" w:hAnsi="Arial Narrow"/>
          <w:b w:val="0"/>
          <w:bCs/>
          <w:color w:val="000000"/>
          <w:lang w:eastAsia="es-ES"/>
        </w:rPr>
        <w:t xml:space="preserve">En el evento en que la identificación del Tercero del exterior se efectúe antes de la Liquidación y sus operaciones se mantengan registradas en Cuentas de Terceros Ómnibus Segregada por Cámara, sus derechos y obligaciones corresponderán a los señalados en el numeral 11 anterior para los Terceros Identificados agrupados en ese tipo de Cuenta. La identificación del Tercero del exterior no conocido al momento de la Liquidación, en ningún caso implicará una modificación en la responsabilidad del </w:t>
      </w:r>
      <w:r w:rsidRPr="009A4BA3">
        <w:rPr>
          <w:rFonts w:ascii="Arial Narrow" w:hAnsi="Arial Narrow"/>
          <w:color w:val="000000"/>
          <w:lang w:eastAsia="es-ES"/>
        </w:rPr>
        <w:t>MIEMBRO</w:t>
      </w:r>
      <w:r w:rsidRPr="009C1821">
        <w:rPr>
          <w:rFonts w:ascii="Arial Narrow" w:hAnsi="Arial Narrow"/>
          <w:b w:val="0"/>
          <w:bCs/>
          <w:color w:val="000000"/>
          <w:lang w:eastAsia="es-ES"/>
        </w:rPr>
        <w:t xml:space="preserve"> por las operaciones registradas en la Cuenta de Tercero Ómnibus Segregada por Cámara de la cual es titular dicho </w:t>
      </w:r>
      <w:r w:rsidRPr="009A4BA3">
        <w:rPr>
          <w:rFonts w:ascii="Arial Narrow" w:hAnsi="Arial Narrow"/>
          <w:color w:val="000000"/>
          <w:lang w:eastAsia="es-ES"/>
        </w:rPr>
        <w:t>MIEMBRO</w:t>
      </w:r>
      <w:r w:rsidRPr="009C1821">
        <w:rPr>
          <w:rFonts w:ascii="Arial Narrow" w:hAnsi="Arial Narrow"/>
          <w:b w:val="0"/>
          <w:bCs/>
          <w:color w:val="000000"/>
          <w:lang w:eastAsia="es-ES"/>
        </w:rPr>
        <w:t>.</w:t>
      </w:r>
    </w:p>
    <w:p w14:paraId="3522C854" w14:textId="77777777" w:rsidR="00514CE5" w:rsidRPr="002C0D19" w:rsidRDefault="00514CE5" w:rsidP="00514CE5">
      <w:pPr>
        <w:ind w:left="709" w:hanging="425"/>
        <w:rPr>
          <w:rFonts w:ascii="Arial Narrow" w:hAnsi="Arial Narrow" w:cs="Arial"/>
          <w:color w:val="000000" w:themeColor="text1"/>
          <w:lang w:val="es-ES" w:eastAsia="es-ES"/>
        </w:rPr>
      </w:pPr>
      <w:r>
        <w:rPr>
          <w:rFonts w:ascii="Arial Narrow" w:hAnsi="Arial Narrow" w:cs="Arial"/>
          <w:color w:val="000000" w:themeColor="text1"/>
          <w:lang w:val="es-ES" w:eastAsia="es-ES"/>
        </w:rPr>
        <w:t xml:space="preserve"> </w:t>
      </w:r>
    </w:p>
    <w:p w14:paraId="126C010E" w14:textId="77777777" w:rsidR="00514CE5" w:rsidRPr="002C0D19" w:rsidRDefault="00514CE5" w:rsidP="00DA7472">
      <w:pPr>
        <w:numPr>
          <w:ilvl w:val="0"/>
          <w:numId w:val="30"/>
        </w:numPr>
        <w:tabs>
          <w:tab w:val="clear" w:pos="720"/>
          <w:tab w:val="num" w:pos="567"/>
        </w:tabs>
        <w:ind w:left="567" w:hanging="578"/>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Reconoce que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tiene derecho a limitar el riesgo y, por ende, a establecer límites a las operaciones de </w:t>
      </w:r>
      <w:r w:rsidRPr="002C0D19">
        <w:rPr>
          <w:rFonts w:ascii="Arial Narrow" w:hAnsi="Arial Narrow" w:cs="Arial"/>
          <w:b/>
          <w:color w:val="000000" w:themeColor="text1"/>
          <w:lang w:val="es-ES" w:eastAsia="es-ES"/>
        </w:rPr>
        <w:t>EL TERCERO</w:t>
      </w:r>
      <w:r w:rsidRPr="002C0D19">
        <w:rPr>
          <w:rFonts w:ascii="Arial Narrow" w:hAnsi="Arial Narrow" w:cs="Arial"/>
          <w:color w:val="000000" w:themeColor="text1"/>
          <w:lang w:val="es-ES" w:eastAsia="es-ES"/>
        </w:rPr>
        <w:t xml:space="preserve">. </w:t>
      </w:r>
    </w:p>
    <w:p w14:paraId="547134F3" w14:textId="77777777" w:rsidR="00514CE5" w:rsidRPr="002C0D19" w:rsidRDefault="00514CE5" w:rsidP="00DA7472">
      <w:pPr>
        <w:numPr>
          <w:ilvl w:val="0"/>
          <w:numId w:val="30"/>
        </w:numPr>
        <w:tabs>
          <w:tab w:val="clear" w:pos="720"/>
          <w:tab w:val="num" w:pos="567"/>
        </w:tabs>
        <w:ind w:left="567" w:hanging="578"/>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Manifiesta que acepta expresamente </w:t>
      </w:r>
      <w:r w:rsidRPr="002C0D19">
        <w:rPr>
          <w:rFonts w:ascii="Arial Narrow" w:hAnsi="Arial Narrow" w:cs="Arial"/>
          <w:color w:val="000000" w:themeColor="text1"/>
          <w:lang w:eastAsia="es-ES"/>
        </w:rPr>
        <w:t xml:space="preserve">el procedimiento y las consecuencias derivadas del Incumplimiento y/o de la ejecución de Garantías </w:t>
      </w:r>
      <w:r w:rsidRPr="002C0D19">
        <w:rPr>
          <w:rFonts w:ascii="Arial Narrow" w:hAnsi="Arial Narrow" w:cs="Arial"/>
          <w:color w:val="000000" w:themeColor="text1"/>
          <w:lang w:val="es-ES" w:eastAsia="es-ES"/>
        </w:rPr>
        <w:t>con las particularidades que se establezcan para cada Segmento</w:t>
      </w:r>
      <w:r w:rsidRPr="002C0D19">
        <w:rPr>
          <w:rFonts w:ascii="Arial Narrow" w:hAnsi="Arial Narrow" w:cs="Arial"/>
          <w:color w:val="000000" w:themeColor="text1"/>
          <w:lang w:eastAsia="es-ES"/>
        </w:rPr>
        <w:t xml:space="preserve">, contemplados en el Reglamento, las Circulares e Instructivos Operativos de </w:t>
      </w:r>
      <w:r w:rsidRPr="002C0D19">
        <w:rPr>
          <w:rFonts w:ascii="Arial Narrow" w:hAnsi="Arial Narrow" w:cs="Arial"/>
          <w:b/>
          <w:color w:val="000000" w:themeColor="text1"/>
          <w:lang w:val="es-ES" w:eastAsia="es-ES"/>
        </w:rPr>
        <w:t xml:space="preserve">LA CRCC. </w:t>
      </w:r>
    </w:p>
    <w:p w14:paraId="16093754" w14:textId="77777777" w:rsidR="00514CE5" w:rsidRPr="002C0D19" w:rsidRDefault="00514CE5" w:rsidP="00DA7472">
      <w:pPr>
        <w:numPr>
          <w:ilvl w:val="0"/>
          <w:numId w:val="30"/>
        </w:numPr>
        <w:tabs>
          <w:tab w:val="clear" w:pos="720"/>
          <w:tab w:val="num" w:pos="567"/>
        </w:tabs>
        <w:ind w:left="567" w:hanging="578"/>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Faculta expresamente </w:t>
      </w:r>
      <w:r w:rsidRPr="002C0D19">
        <w:rPr>
          <w:rFonts w:ascii="Arial Narrow" w:hAnsi="Arial Narrow" w:cs="Arial"/>
          <w:color w:val="000000" w:themeColor="text1"/>
          <w:lang w:val="es-ES" w:eastAsia="es-ES"/>
        </w:rPr>
        <w:t xml:space="preserve">a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 xml:space="preserve">y/o a </w:t>
      </w:r>
      <w:r w:rsidRPr="002C0D19">
        <w:rPr>
          <w:rFonts w:ascii="Arial Narrow" w:hAnsi="Arial Narrow" w:cs="Arial"/>
          <w:b/>
          <w:color w:val="000000" w:themeColor="text1"/>
          <w:lang w:val="es-ES" w:eastAsia="es-ES"/>
        </w:rPr>
        <w:t>EL</w:t>
      </w:r>
      <w:r w:rsidRPr="002C0D19">
        <w:rPr>
          <w:rFonts w:ascii="Arial Narrow" w:hAnsi="Arial Narrow" w:cs="Arial"/>
          <w:color w:val="000000" w:themeColor="text1"/>
          <w:lang w:val="es-ES" w:eastAsia="es-ES"/>
        </w:rPr>
        <w:t xml:space="preserve"> </w:t>
      </w:r>
      <w:r w:rsidRPr="002C0D19">
        <w:rPr>
          <w:rFonts w:ascii="Arial Narrow" w:hAnsi="Arial Narrow" w:cs="Arial"/>
          <w:b/>
          <w:color w:val="000000" w:themeColor="text1"/>
          <w:lang w:val="es-ES" w:eastAsia="es-ES"/>
        </w:rPr>
        <w:t>MIEMBRO</w:t>
      </w:r>
      <w:r w:rsidRPr="002C0D19">
        <w:rPr>
          <w:rFonts w:ascii="Arial Narrow" w:hAnsi="Arial Narrow" w:cs="Arial"/>
          <w:color w:val="000000" w:themeColor="text1"/>
          <w:lang w:eastAsia="es-ES"/>
        </w:rPr>
        <w:t xml:space="preserve"> para que, en caso de que </w:t>
      </w:r>
      <w:r w:rsidRPr="002C0D19">
        <w:rPr>
          <w:rFonts w:ascii="Arial Narrow" w:hAnsi="Arial Narrow" w:cs="Arial"/>
          <w:color w:val="000000" w:themeColor="text1"/>
          <w:lang w:val="es-ES" w:eastAsia="es-ES"/>
        </w:rPr>
        <w:t xml:space="preserve">incumpla con alguna de sus obligaciones de constitución o ajuste de Garantías o de cualquier pago o Liquidación,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y/o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cierren, por su cuenta, todas las Posiciones Abiertas de Operaciones Aceptadas registradas en su Cuenta o celebren </w:t>
      </w:r>
      <w:proofErr w:type="spellStart"/>
      <w:r w:rsidRPr="002C0D19">
        <w:rPr>
          <w:rFonts w:ascii="Arial Narrow" w:hAnsi="Arial Narrow" w:cs="Arial"/>
          <w:color w:val="000000" w:themeColor="text1"/>
          <w:lang w:val="es-ES" w:eastAsia="es-ES"/>
        </w:rPr>
        <w:t>nue</w:t>
      </w:r>
      <w:proofErr w:type="spellEnd"/>
      <w:r w:rsidRPr="002C0D19">
        <w:rPr>
          <w:rFonts w:ascii="Arial Narrow" w:hAnsi="Arial Narrow" w:cs="Arial"/>
          <w:color w:val="000000" w:themeColor="text1"/>
          <w:lang w:eastAsia="es-ES"/>
        </w:rPr>
        <w:t xml:space="preserve">vas operaciones hasta el cierre definitivo de la Posición </w:t>
      </w:r>
      <w:r w:rsidRPr="002C0D19">
        <w:rPr>
          <w:rFonts w:ascii="Arial Narrow" w:hAnsi="Arial Narrow" w:cs="Arial"/>
          <w:color w:val="000000" w:themeColor="text1"/>
          <w:lang w:val="es-ES" w:eastAsia="es-ES"/>
        </w:rPr>
        <w:t xml:space="preserve">Abierta. Acepta, igualmente, que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 xml:space="preserve">y/o </w:t>
      </w:r>
      <w:r w:rsidRPr="002C0D19">
        <w:rPr>
          <w:rFonts w:ascii="Arial Narrow" w:hAnsi="Arial Narrow" w:cs="Arial"/>
          <w:b/>
          <w:color w:val="000000" w:themeColor="text1"/>
          <w:lang w:val="es-ES" w:eastAsia="es-ES"/>
        </w:rPr>
        <w:t xml:space="preserve">EL MIEMBRO </w:t>
      </w:r>
      <w:r w:rsidRPr="002C0D19">
        <w:rPr>
          <w:rFonts w:ascii="Arial Narrow" w:hAnsi="Arial Narrow" w:cs="Arial"/>
          <w:color w:val="000000" w:themeColor="text1"/>
          <w:lang w:val="es-ES" w:eastAsia="es-ES"/>
        </w:rPr>
        <w:t>tomen cualesquiera otras medidas que se prevean en el Reglamento.</w:t>
      </w:r>
    </w:p>
    <w:p w14:paraId="7A9C5E50" w14:textId="77777777" w:rsidR="00514CE5" w:rsidRPr="002C0D19" w:rsidRDefault="00514CE5" w:rsidP="00DA7472">
      <w:pPr>
        <w:numPr>
          <w:ilvl w:val="0"/>
          <w:numId w:val="30"/>
        </w:numPr>
        <w:tabs>
          <w:tab w:val="clear" w:pos="720"/>
          <w:tab w:val="num" w:pos="567"/>
        </w:tabs>
        <w:ind w:left="567" w:hanging="578"/>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Acepta expresamente que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informe a las Autoridades Competentes el incumplimiento de las obligaciones a su cargo.</w:t>
      </w:r>
    </w:p>
    <w:p w14:paraId="5BDB2A3B" w14:textId="77777777" w:rsidR="00514CE5" w:rsidRPr="002C0D19" w:rsidRDefault="00514CE5" w:rsidP="00DA7472">
      <w:pPr>
        <w:numPr>
          <w:ilvl w:val="0"/>
          <w:numId w:val="30"/>
        </w:numPr>
        <w:tabs>
          <w:tab w:val="clear" w:pos="720"/>
          <w:tab w:val="num" w:pos="567"/>
        </w:tabs>
        <w:ind w:left="567" w:hanging="578"/>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Autoriza a </w:t>
      </w:r>
      <w:r w:rsidRPr="002C0D19">
        <w:rPr>
          <w:rFonts w:ascii="Arial Narrow" w:hAnsi="Arial Narrow" w:cs="Arial"/>
          <w:b/>
          <w:color w:val="000000" w:themeColor="text1"/>
          <w:lang w:val="es-ES" w:eastAsia="es-ES"/>
        </w:rPr>
        <w:t xml:space="preserve">EL MIEMBRO </w:t>
      </w:r>
      <w:r w:rsidRPr="002C0D19">
        <w:rPr>
          <w:rFonts w:ascii="Arial Narrow" w:hAnsi="Arial Narrow" w:cs="Arial"/>
          <w:color w:val="000000" w:themeColor="text1"/>
          <w:lang w:val="es-ES" w:eastAsia="es-ES"/>
        </w:rPr>
        <w:t xml:space="preserve">a transmitir su información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a</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 xml:space="preserve">las Autoridades u organismos competentes que se lo soliciten. </w:t>
      </w:r>
    </w:p>
    <w:p w14:paraId="01F00D5A" w14:textId="77777777" w:rsidR="00514CE5" w:rsidRPr="002C0D19" w:rsidRDefault="00514CE5" w:rsidP="00DA7472">
      <w:pPr>
        <w:numPr>
          <w:ilvl w:val="0"/>
          <w:numId w:val="30"/>
        </w:numPr>
        <w:tabs>
          <w:tab w:val="clear" w:pos="720"/>
          <w:tab w:val="num" w:pos="567"/>
        </w:tabs>
        <w:ind w:left="567" w:hanging="578"/>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Autoriza a </w:t>
      </w:r>
      <w:r w:rsidRPr="002C0D19">
        <w:rPr>
          <w:rFonts w:ascii="Arial Narrow" w:hAnsi="Arial Narrow" w:cs="Arial"/>
          <w:b/>
          <w:color w:val="000000" w:themeColor="text1"/>
          <w:lang w:val="es-ES" w:eastAsia="es-ES"/>
        </w:rPr>
        <w:t xml:space="preserve">EL MIEMBRO </w:t>
      </w:r>
      <w:r w:rsidRPr="002C0D19">
        <w:rPr>
          <w:rFonts w:ascii="Arial Narrow" w:hAnsi="Arial Narrow" w:cs="Arial"/>
          <w:color w:val="000000" w:themeColor="text1"/>
          <w:lang w:eastAsia="es-ES"/>
        </w:rPr>
        <w:t xml:space="preserve">para que todas las comunicaciones telefónicas que </w:t>
      </w:r>
      <w:r w:rsidRPr="002C0D19">
        <w:rPr>
          <w:rFonts w:ascii="Arial Narrow" w:hAnsi="Arial Narrow" w:cs="Arial"/>
          <w:color w:val="000000" w:themeColor="text1"/>
          <w:lang w:val="es-ES" w:eastAsia="es-ES"/>
        </w:rPr>
        <w:t>sus funcionarios, operadores, empleados, contratistas, subcontratistas y/o dependientes</w:t>
      </w:r>
      <w:r w:rsidRPr="002C0D19">
        <w:rPr>
          <w:rFonts w:ascii="Arial Narrow" w:hAnsi="Arial Narrow" w:cs="Arial"/>
          <w:color w:val="000000" w:themeColor="text1"/>
          <w:lang w:eastAsia="es-ES"/>
        </w:rPr>
        <w:t xml:space="preserve"> tengan con </w:t>
      </w:r>
      <w:r w:rsidRPr="002C0D19">
        <w:rPr>
          <w:rFonts w:ascii="Arial Narrow" w:hAnsi="Arial Narrow" w:cs="Arial"/>
          <w:b/>
          <w:color w:val="000000" w:themeColor="text1"/>
          <w:lang w:val="es-ES" w:eastAsia="es-ES"/>
        </w:rPr>
        <w:t>EL TERCER</w:t>
      </w:r>
      <w:r w:rsidRPr="002C0D19">
        <w:rPr>
          <w:rFonts w:ascii="Arial Narrow" w:hAnsi="Arial Narrow" w:cs="Arial"/>
          <w:color w:val="000000" w:themeColor="text1"/>
          <w:lang w:val="es-ES" w:eastAsia="es-ES"/>
        </w:rPr>
        <w:t>,</w:t>
      </w:r>
      <w:r w:rsidRPr="002C0D19">
        <w:rPr>
          <w:rFonts w:ascii="Arial Narrow" w:hAnsi="Arial Narrow" w:cs="Arial"/>
          <w:color w:val="000000" w:themeColor="text1"/>
          <w:lang w:eastAsia="es-ES"/>
        </w:rPr>
        <w:t xml:space="preserve"> sean grabadas y que las mismas, en caso de requerirse, puedan ser presentadas como medio de prueba. </w:t>
      </w:r>
    </w:p>
    <w:p w14:paraId="713CE918" w14:textId="77777777" w:rsidR="00514CE5" w:rsidRPr="002C0D19" w:rsidRDefault="00514CE5" w:rsidP="00514CE5">
      <w:pPr>
        <w:rPr>
          <w:rFonts w:ascii="Arial Narrow" w:hAnsi="Arial Narrow" w:cs="Arial"/>
          <w:b/>
          <w:color w:val="000000" w:themeColor="text1"/>
          <w:u w:val="single"/>
          <w:lang w:val="es-ES" w:eastAsia="es-ES"/>
        </w:rPr>
      </w:pPr>
    </w:p>
    <w:p w14:paraId="48C72ECA" w14:textId="77777777" w:rsidR="00514CE5" w:rsidRPr="002C0D19" w:rsidRDefault="00514CE5" w:rsidP="009A4BA3">
      <w:pPr>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 w:eastAsia="es-ES"/>
        </w:rPr>
        <w:t>Parágrafo.</w:t>
      </w:r>
      <w:r w:rsidRPr="002C0D19">
        <w:rPr>
          <w:rFonts w:ascii="Arial Narrow" w:hAnsi="Arial Narrow" w:cs="Arial"/>
          <w:color w:val="000000" w:themeColor="text1"/>
          <w:lang w:val="es-ES" w:eastAsia="es-ES"/>
        </w:rPr>
        <w:t xml:space="preserve"> Cualquier reforma que se realice al Reglamento o a las Circulares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que implique una modificación a los términos de los acuerdos o Convenios de vinculación, Oferta de Servicios Aceptada mediante Orden de Compra de Servicios</w:t>
      </w:r>
      <w:r>
        <w:rPr>
          <w:rFonts w:ascii="Arial Narrow" w:hAnsi="Arial Narrow" w:cs="Arial"/>
          <w:color w:val="000000" w:themeColor="text1"/>
          <w:lang w:val="es-ES" w:eastAsia="es-ES"/>
        </w:rPr>
        <w:t>, según corresponda,</w:t>
      </w:r>
      <w:r w:rsidRPr="002C0D19">
        <w:rPr>
          <w:rFonts w:ascii="Arial Narrow" w:hAnsi="Arial Narrow" w:cs="Arial"/>
          <w:color w:val="000000" w:themeColor="text1"/>
          <w:lang w:val="es-ES" w:eastAsia="es-ES"/>
        </w:rPr>
        <w:t xml:space="preserve"> que suscriban los Miembros y estos con sus Terceros se presume conocida y aceptada por las partes a partir de su publicación y entrada en vigencia y no requerirá de la modificación de tales acuerdos o Convenios de vinculación, Oferta de Servicios Aceptada mediante Orden de Compra de Servicios que suscriban los Miembros y estos con sus Terceros, ni de la suscripción de nuevos Convenios. No obstante, cuando haya lugar a ello,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podrá aprobar unos nuevos textos que incorporen las modificaciones pertinentes y publicarlos mediante Circular para efecto de la vinculación de nuevos Miembros, Agentes y Terceros a través de</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los Miembros.</w:t>
      </w:r>
    </w:p>
    <w:p w14:paraId="1C5AC989" w14:textId="77777777" w:rsidR="00514CE5" w:rsidRPr="002C0D19" w:rsidRDefault="00514CE5" w:rsidP="00514CE5">
      <w:pPr>
        <w:rPr>
          <w:rFonts w:ascii="Arial Narrow" w:hAnsi="Arial Narrow" w:cs="Arial"/>
          <w:b/>
          <w:color w:val="000000" w:themeColor="text1"/>
          <w:u w:val="single"/>
          <w:lang w:val="es-ES" w:eastAsia="es-ES"/>
        </w:rPr>
      </w:pPr>
    </w:p>
    <w:p w14:paraId="61F2518D" w14:textId="77777777" w:rsidR="00514CE5" w:rsidRPr="002C0D19" w:rsidRDefault="00514CE5" w:rsidP="009A4BA3">
      <w:pPr>
        <w:jc w:val="both"/>
        <w:rPr>
          <w:rFonts w:ascii="Arial Narrow" w:hAnsi="Arial Narrow" w:cs="Arial"/>
          <w:b/>
          <w:color w:val="000000" w:themeColor="text1"/>
          <w:lang w:val="es-ES" w:eastAsia="es-ES"/>
        </w:rPr>
      </w:pPr>
      <w:r w:rsidRPr="002C0D19">
        <w:rPr>
          <w:rFonts w:ascii="Arial Narrow" w:hAnsi="Arial Narrow" w:cs="Arial"/>
          <w:b/>
          <w:color w:val="000000" w:themeColor="text1"/>
          <w:u w:val="single"/>
          <w:lang w:val="es-ES" w:eastAsia="es-ES"/>
        </w:rPr>
        <w:t>TERCERA. Obligaciones de EL TERCERO.</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Sin perjuicio</w:t>
      </w:r>
      <w:r w:rsidRPr="002C0D19">
        <w:rPr>
          <w:rFonts w:ascii="Arial Narrow" w:hAnsi="Arial Narrow" w:cs="Arial"/>
          <w:b/>
          <w:color w:val="000000" w:themeColor="text1"/>
          <w:lang w:val="es-ES" w:eastAsia="es-ES"/>
        </w:rPr>
        <w:t xml:space="preserve"> </w:t>
      </w:r>
      <w:r w:rsidRPr="002C0D19">
        <w:rPr>
          <w:rFonts w:ascii="Arial Narrow" w:hAnsi="Arial Narrow" w:cs="Arial"/>
          <w:bCs/>
          <w:color w:val="000000" w:themeColor="text1"/>
          <w:lang w:eastAsia="es-ES"/>
        </w:rPr>
        <w:t xml:space="preserve">de las obligaciones previstas en las demás cláusulas de la presente Oferta, en el </w:t>
      </w:r>
      <w:r w:rsidRPr="002C0D19">
        <w:rPr>
          <w:rFonts w:ascii="Arial Narrow" w:hAnsi="Arial Narrow" w:cs="Arial"/>
          <w:color w:val="000000" w:themeColor="text1"/>
          <w:lang w:val="es-ES" w:eastAsia="es-ES"/>
        </w:rPr>
        <w:t xml:space="preserve">Reglamento, en las Circulares y en los Instructivos Operativos de </w:t>
      </w:r>
      <w:r w:rsidRPr="002C0D19">
        <w:rPr>
          <w:rFonts w:ascii="Arial Narrow" w:hAnsi="Arial Narrow" w:cs="Arial"/>
          <w:b/>
          <w:color w:val="000000" w:themeColor="text1"/>
          <w:lang w:val="es-ES" w:eastAsia="es-ES"/>
        </w:rPr>
        <w:t>LA CRCC,</w:t>
      </w:r>
      <w:r w:rsidRPr="002C0D19">
        <w:rPr>
          <w:rFonts w:ascii="Arial Narrow" w:hAnsi="Arial Narrow" w:cs="Arial"/>
          <w:bCs/>
          <w:color w:val="000000" w:themeColor="text1"/>
          <w:lang w:eastAsia="es-ES"/>
        </w:rPr>
        <w:t xml:space="preserve"> son obligaciones principales de </w:t>
      </w:r>
      <w:r w:rsidRPr="002C0D19">
        <w:rPr>
          <w:rFonts w:ascii="Arial Narrow" w:hAnsi="Arial Narrow" w:cs="Arial"/>
          <w:b/>
          <w:bCs/>
          <w:color w:val="000000" w:themeColor="text1"/>
          <w:lang w:eastAsia="es-ES"/>
        </w:rPr>
        <w:t xml:space="preserve">EL TERCERO, </w:t>
      </w:r>
      <w:r w:rsidRPr="002C0D19">
        <w:rPr>
          <w:rFonts w:ascii="Arial Narrow" w:hAnsi="Arial Narrow" w:cs="Arial"/>
          <w:bCs/>
          <w:color w:val="000000" w:themeColor="text1"/>
          <w:lang w:eastAsia="es-ES"/>
        </w:rPr>
        <w:t>las siguientes:</w:t>
      </w:r>
      <w:r w:rsidRPr="002C0D19">
        <w:rPr>
          <w:rFonts w:ascii="Arial Narrow" w:hAnsi="Arial Narrow" w:cs="Arial"/>
          <w:b/>
          <w:color w:val="000000" w:themeColor="text1"/>
          <w:lang w:val="es-ES" w:eastAsia="es-ES"/>
        </w:rPr>
        <w:t xml:space="preserve"> </w:t>
      </w:r>
    </w:p>
    <w:p w14:paraId="282F84B0" w14:textId="77777777" w:rsidR="00514CE5" w:rsidRPr="002C0D19" w:rsidRDefault="00514CE5" w:rsidP="00514CE5">
      <w:pPr>
        <w:rPr>
          <w:rFonts w:ascii="Arial Narrow" w:hAnsi="Arial Narrow" w:cs="Arial"/>
          <w:b/>
          <w:color w:val="000000" w:themeColor="text1"/>
          <w:lang w:val="es-ES" w:eastAsia="es-ES"/>
        </w:rPr>
      </w:pPr>
    </w:p>
    <w:p w14:paraId="42020E15" w14:textId="77777777" w:rsidR="00514CE5" w:rsidRPr="002C0D19" w:rsidRDefault="00514CE5" w:rsidP="00DA7472">
      <w:pPr>
        <w:numPr>
          <w:ilvl w:val="0"/>
          <w:numId w:val="31"/>
        </w:numPr>
        <w:tabs>
          <w:tab w:val="clear" w:pos="708"/>
        </w:tabs>
        <w:ind w:left="426" w:hanging="425"/>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Cumplir estrictamente sin restricciones ni reservas, la Ley, las instrucciones de las Autoridades Competentes, el Reglamento, las Circulares, los Instructivos Operativos y la presente Oferta de Servicios y todas aquellas decisiones que, en uso de sus atribuciones, adopten la Junta Directiva y/o el Gerente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para reglamentar su funcionamiento, divulgadas de conformidad con el Reglamento, sin que sirva de excusa o defensa la ignorancia de dichas normas o instrucciones. Lo anterior se extiende a cualquier modificación o adición que cualquier Autoridad Competente pueda imponer, así como las modificaciones que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pueda introducir con la autorización de la Superintendencia Financiera de Colombia. </w:t>
      </w:r>
    </w:p>
    <w:p w14:paraId="63E313AB" w14:textId="77777777" w:rsidR="00514CE5" w:rsidRPr="002C0D19" w:rsidRDefault="00514CE5" w:rsidP="00DA7472">
      <w:pPr>
        <w:numPr>
          <w:ilvl w:val="0"/>
          <w:numId w:val="31"/>
        </w:numPr>
        <w:tabs>
          <w:tab w:val="clear" w:pos="708"/>
        </w:tabs>
        <w:ind w:left="426" w:hanging="425"/>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Comunicar a </w:t>
      </w:r>
      <w:r w:rsidRPr="002C0D19">
        <w:rPr>
          <w:rFonts w:ascii="Arial Narrow" w:hAnsi="Arial Narrow" w:cs="Arial"/>
          <w:b/>
          <w:color w:val="000000" w:themeColor="text1"/>
          <w:lang w:val="es-ES" w:eastAsia="es-ES"/>
        </w:rPr>
        <w:t xml:space="preserve">EL MIEMBRO </w:t>
      </w:r>
      <w:r w:rsidRPr="002C0D19">
        <w:rPr>
          <w:rFonts w:ascii="Arial Narrow" w:hAnsi="Arial Narrow" w:cs="Arial"/>
          <w:color w:val="000000" w:themeColor="text1"/>
          <w:lang w:val="es-ES" w:eastAsia="es-ES"/>
        </w:rPr>
        <w:t>y/o a</w:t>
      </w:r>
      <w:r w:rsidRPr="002C0D19">
        <w:rPr>
          <w:rFonts w:ascii="Arial Narrow" w:hAnsi="Arial Narrow" w:cs="Arial"/>
          <w:b/>
          <w:color w:val="000000" w:themeColor="text1"/>
          <w:lang w:val="es-ES" w:eastAsia="es-ES"/>
        </w:rPr>
        <w:t xml:space="preserve"> LA CRCC, </w:t>
      </w:r>
      <w:r w:rsidRPr="002C0D19">
        <w:rPr>
          <w:rFonts w:ascii="Arial Narrow" w:hAnsi="Arial Narrow" w:cs="Arial"/>
          <w:color w:val="000000" w:themeColor="text1"/>
          <w:lang w:val="es-ES" w:eastAsia="es-ES"/>
        </w:rPr>
        <w:t xml:space="preserve">en el término establecido para el efecto, la información que ésta requiera en virtud de solicitudes de Autoridades Competentes o para la salvaguardia del interés general del mercado, sobre las Operaciones Aceptadas celebradas por su cuenta propia. </w:t>
      </w:r>
    </w:p>
    <w:p w14:paraId="1976715F" w14:textId="77777777" w:rsidR="00514CE5" w:rsidRPr="002C0D19" w:rsidRDefault="00514CE5" w:rsidP="00DA7472">
      <w:pPr>
        <w:numPr>
          <w:ilvl w:val="0"/>
          <w:numId w:val="31"/>
        </w:numPr>
        <w:tabs>
          <w:tab w:val="clear" w:pos="708"/>
        </w:tabs>
        <w:ind w:left="426" w:hanging="425"/>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Entregar a </w:t>
      </w:r>
      <w:r w:rsidRPr="002C0D19">
        <w:rPr>
          <w:rFonts w:ascii="Arial Narrow" w:hAnsi="Arial Narrow" w:cs="Arial"/>
          <w:b/>
          <w:color w:val="000000" w:themeColor="text1"/>
          <w:lang w:val="es-ES" w:eastAsia="es-ES"/>
        </w:rPr>
        <w:t xml:space="preserve">EL MIEMBRO, </w:t>
      </w:r>
      <w:r w:rsidRPr="002C0D19">
        <w:rPr>
          <w:rFonts w:ascii="Arial Narrow" w:hAnsi="Arial Narrow" w:cs="Arial"/>
          <w:color w:val="000000" w:themeColor="text1"/>
          <w:lang w:val="es-ES" w:eastAsia="es-ES"/>
        </w:rPr>
        <w:t>a</w:t>
      </w:r>
      <w:r w:rsidRPr="002C0D19">
        <w:rPr>
          <w:rFonts w:ascii="Arial Narrow" w:hAnsi="Arial Narrow" w:cs="Arial"/>
          <w:b/>
          <w:color w:val="000000" w:themeColor="text1"/>
          <w:lang w:val="es-ES" w:eastAsia="es-ES"/>
        </w:rPr>
        <w:t xml:space="preserve"> LA CRCC, </w:t>
      </w:r>
      <w:r w:rsidRPr="002C0D19">
        <w:rPr>
          <w:rFonts w:ascii="Arial Narrow" w:hAnsi="Arial Narrow" w:cs="Arial"/>
          <w:color w:val="000000" w:themeColor="text1"/>
          <w:lang w:val="es-ES" w:eastAsia="es-ES"/>
        </w:rPr>
        <w:t xml:space="preserve">o a las Autoridades Competentes directamente la información que le solicite </w:t>
      </w:r>
      <w:r w:rsidRPr="002C0D19">
        <w:rPr>
          <w:rFonts w:ascii="Arial Narrow" w:hAnsi="Arial Narrow" w:cs="Arial"/>
          <w:b/>
          <w:color w:val="000000" w:themeColor="text1"/>
          <w:lang w:val="es-ES" w:eastAsia="es-ES"/>
        </w:rPr>
        <w:t xml:space="preserve">EL MIEMBRO </w:t>
      </w:r>
      <w:r w:rsidRPr="002C0D19">
        <w:rPr>
          <w:rFonts w:ascii="Arial Narrow" w:hAnsi="Arial Narrow" w:cs="Arial"/>
          <w:color w:val="000000" w:themeColor="text1"/>
          <w:lang w:val="es-ES" w:eastAsia="es-ES"/>
        </w:rPr>
        <w:t xml:space="preserve">y/o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 xml:space="preserve">para la atención de requerimientos que las Autoridades Competentes le hagan a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y/o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w:t>
      </w:r>
    </w:p>
    <w:p w14:paraId="6FE812B7" w14:textId="77777777" w:rsidR="00514CE5" w:rsidRPr="002C0D19" w:rsidRDefault="00514CE5" w:rsidP="00DA7472">
      <w:pPr>
        <w:numPr>
          <w:ilvl w:val="0"/>
          <w:numId w:val="31"/>
        </w:numPr>
        <w:tabs>
          <w:tab w:val="clear" w:pos="708"/>
        </w:tabs>
        <w:ind w:left="426" w:hanging="425"/>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Constituir y mantener, con los ajustes procedentes, las Garantías con las particularidades que se establezcan por Circular para cada Segmento y los fondos que exija </w:t>
      </w:r>
      <w:r w:rsidRPr="002C0D19">
        <w:rPr>
          <w:rFonts w:ascii="Arial Narrow" w:hAnsi="Arial Narrow" w:cs="Arial"/>
          <w:b/>
          <w:color w:val="000000" w:themeColor="text1"/>
          <w:lang w:val="es-ES" w:eastAsia="es-ES"/>
        </w:rPr>
        <w:t xml:space="preserve">EL MIEMBRO </w:t>
      </w:r>
      <w:r w:rsidRPr="002C0D19">
        <w:rPr>
          <w:rFonts w:ascii="Arial Narrow" w:hAnsi="Arial Narrow" w:cs="Arial"/>
          <w:color w:val="000000" w:themeColor="text1"/>
          <w:lang w:val="es-ES" w:eastAsia="es-ES"/>
        </w:rPr>
        <w:t xml:space="preserve">con el fin de amparar en todo momento el cumplimiento de las Operaciones registradas en su cuenta, de conformidad con las exigencias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w:t>
      </w:r>
    </w:p>
    <w:p w14:paraId="3522E214" w14:textId="77777777" w:rsidR="00514CE5" w:rsidRPr="002C0D19" w:rsidRDefault="00514CE5" w:rsidP="00DA7472">
      <w:pPr>
        <w:numPr>
          <w:ilvl w:val="0"/>
          <w:numId w:val="31"/>
        </w:numPr>
        <w:tabs>
          <w:tab w:val="clear" w:pos="708"/>
        </w:tabs>
        <w:ind w:left="426" w:hanging="425"/>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Entregar a </w:t>
      </w:r>
      <w:r w:rsidRPr="002C0D19">
        <w:rPr>
          <w:rFonts w:ascii="Arial Narrow" w:hAnsi="Arial Narrow" w:cs="Arial"/>
          <w:b/>
          <w:color w:val="000000" w:themeColor="text1"/>
          <w:lang w:val="es-ES" w:eastAsia="es-ES"/>
        </w:rPr>
        <w:t xml:space="preserve">EL MIEMBRO </w:t>
      </w:r>
      <w:r w:rsidRPr="002C0D19">
        <w:rPr>
          <w:rFonts w:ascii="Arial Narrow" w:hAnsi="Arial Narrow" w:cs="Arial"/>
          <w:color w:val="000000" w:themeColor="text1"/>
          <w:lang w:val="es-ES" w:eastAsia="es-ES"/>
        </w:rPr>
        <w:t xml:space="preserve">los dineros o los Activos que le corresponda entregar en virtud de las operaciones realizadas por su cuenta. </w:t>
      </w:r>
    </w:p>
    <w:p w14:paraId="1647ECD0" w14:textId="77777777" w:rsidR="00514CE5" w:rsidRPr="002C0D19" w:rsidRDefault="00514CE5" w:rsidP="00DA7472">
      <w:pPr>
        <w:numPr>
          <w:ilvl w:val="0"/>
          <w:numId w:val="31"/>
        </w:numPr>
        <w:tabs>
          <w:tab w:val="clear" w:pos="708"/>
        </w:tabs>
        <w:ind w:left="426" w:hanging="425"/>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Mantener a </w:t>
      </w:r>
      <w:r w:rsidRPr="002C0D19">
        <w:rPr>
          <w:rFonts w:ascii="Arial Narrow" w:hAnsi="Arial Narrow" w:cs="Arial"/>
          <w:b/>
          <w:color w:val="000000" w:themeColor="text1"/>
          <w:lang w:val="es-ES" w:eastAsia="es-ES"/>
        </w:rPr>
        <w:t xml:space="preserve">EL MIEMBRO </w:t>
      </w:r>
      <w:r w:rsidRPr="002C0D19">
        <w:rPr>
          <w:rFonts w:ascii="Arial Narrow" w:hAnsi="Arial Narrow" w:cs="Arial"/>
          <w:color w:val="000000" w:themeColor="text1"/>
          <w:lang w:val="es-ES" w:eastAsia="es-ES"/>
        </w:rPr>
        <w:t xml:space="preserve">la cuenta de depósito de la que es titular </w:t>
      </w:r>
      <w:r w:rsidRPr="002C0D19">
        <w:rPr>
          <w:rFonts w:ascii="Arial Narrow" w:hAnsi="Arial Narrow" w:cs="Arial"/>
          <w:color w:val="000000" w:themeColor="text1"/>
          <w:lang w:eastAsia="es-ES"/>
        </w:rPr>
        <w:t xml:space="preserve">en calidad de Depositante Indirecto en un depósito centralizado de valores. </w:t>
      </w:r>
    </w:p>
    <w:p w14:paraId="6054AF58" w14:textId="77777777" w:rsidR="00514CE5" w:rsidRPr="002C0D19" w:rsidRDefault="00514CE5" w:rsidP="00DA7472">
      <w:pPr>
        <w:numPr>
          <w:ilvl w:val="0"/>
          <w:numId w:val="31"/>
        </w:numPr>
        <w:tabs>
          <w:tab w:val="clear" w:pos="708"/>
        </w:tabs>
        <w:ind w:left="426" w:hanging="425"/>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Cumplir sus obligaciones pendientes para con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incluso después de la terminación de la presente Oferta de Servicios. </w:t>
      </w:r>
    </w:p>
    <w:p w14:paraId="2BD79D42" w14:textId="77777777" w:rsidR="00514CE5" w:rsidRPr="002C0D19" w:rsidRDefault="00514CE5" w:rsidP="00514CE5">
      <w:pPr>
        <w:rPr>
          <w:rFonts w:ascii="Arial Narrow" w:hAnsi="Arial Narrow" w:cs="Arial"/>
          <w:b/>
          <w:bCs/>
          <w:color w:val="000000" w:themeColor="text1"/>
          <w:u w:val="single"/>
          <w:lang w:val="es-ES" w:eastAsia="es-ES"/>
        </w:rPr>
      </w:pPr>
    </w:p>
    <w:p w14:paraId="09B8C219" w14:textId="77777777" w:rsidR="00514CE5" w:rsidRPr="002C0D19" w:rsidRDefault="00514CE5" w:rsidP="009A4BA3">
      <w:pPr>
        <w:jc w:val="both"/>
        <w:rPr>
          <w:rFonts w:ascii="Arial Narrow" w:hAnsi="Arial Narrow" w:cs="Arial"/>
          <w:bCs/>
          <w:color w:val="000000" w:themeColor="text1"/>
          <w:lang w:eastAsia="es-ES"/>
        </w:rPr>
      </w:pPr>
      <w:r w:rsidRPr="002C0D19">
        <w:rPr>
          <w:rFonts w:ascii="Arial Narrow" w:hAnsi="Arial Narrow" w:cs="Arial"/>
          <w:b/>
          <w:bCs/>
          <w:color w:val="000000" w:themeColor="text1"/>
          <w:u w:val="single"/>
          <w:lang w:val="es-ES" w:eastAsia="es-ES"/>
        </w:rPr>
        <w:t>CUARTA. Obligaciones de EL MIEMBRO.</w:t>
      </w:r>
      <w:r w:rsidRPr="002C0D19">
        <w:rPr>
          <w:rFonts w:ascii="Arial Narrow" w:hAnsi="Arial Narrow" w:cs="Arial"/>
          <w:color w:val="000000" w:themeColor="text1"/>
          <w:lang w:val="es-ES" w:eastAsia="es-ES"/>
        </w:rPr>
        <w:t> </w:t>
      </w:r>
      <w:r w:rsidRPr="002C0D19">
        <w:rPr>
          <w:rFonts w:ascii="Arial Narrow" w:hAnsi="Arial Narrow" w:cs="Arial"/>
          <w:bCs/>
          <w:color w:val="000000" w:themeColor="text1"/>
          <w:lang w:eastAsia="es-ES"/>
        </w:rPr>
        <w:t xml:space="preserve">Además de las obligaciones previstas en las demás cláusulas de la presente Oferta, en el </w:t>
      </w:r>
      <w:r w:rsidRPr="002C0D19">
        <w:rPr>
          <w:rFonts w:ascii="Arial Narrow" w:hAnsi="Arial Narrow" w:cs="Arial"/>
          <w:color w:val="000000" w:themeColor="text1"/>
          <w:lang w:val="es-ES" w:eastAsia="es-ES"/>
        </w:rPr>
        <w:t xml:space="preserve">Reglamento, las Circulares y los Instructivos Operativos de </w:t>
      </w:r>
      <w:r w:rsidRPr="002C0D19">
        <w:rPr>
          <w:rFonts w:ascii="Arial Narrow" w:hAnsi="Arial Narrow" w:cs="Arial"/>
          <w:b/>
          <w:color w:val="000000" w:themeColor="text1"/>
          <w:lang w:val="es-ES" w:eastAsia="es-ES"/>
        </w:rPr>
        <w:t>LA CRCC</w:t>
      </w:r>
      <w:r w:rsidRPr="002C0D19">
        <w:rPr>
          <w:rFonts w:ascii="Arial Narrow" w:hAnsi="Arial Narrow" w:cs="Arial"/>
          <w:bCs/>
          <w:color w:val="000000" w:themeColor="text1"/>
          <w:lang w:eastAsia="es-ES"/>
        </w:rPr>
        <w:t xml:space="preserve">, son obligaciones principales de </w:t>
      </w:r>
      <w:r w:rsidRPr="002C0D19">
        <w:rPr>
          <w:rFonts w:ascii="Arial Narrow" w:hAnsi="Arial Narrow" w:cs="Arial"/>
          <w:b/>
          <w:bCs/>
          <w:color w:val="000000" w:themeColor="text1"/>
          <w:lang w:eastAsia="es-ES"/>
        </w:rPr>
        <w:t xml:space="preserve">EL MIEMBRO </w:t>
      </w:r>
      <w:r w:rsidRPr="002C0D19">
        <w:rPr>
          <w:rFonts w:ascii="Arial Narrow" w:hAnsi="Arial Narrow" w:cs="Arial"/>
          <w:bCs/>
          <w:color w:val="000000" w:themeColor="text1"/>
          <w:lang w:eastAsia="es-ES"/>
        </w:rPr>
        <w:t>las siguientes:</w:t>
      </w:r>
    </w:p>
    <w:p w14:paraId="0FFAF9C0" w14:textId="77777777" w:rsidR="00514CE5" w:rsidRPr="002C0D19" w:rsidRDefault="00514CE5" w:rsidP="009A4BA3">
      <w:pPr>
        <w:jc w:val="both"/>
        <w:rPr>
          <w:rFonts w:ascii="Arial Narrow" w:hAnsi="Arial Narrow" w:cs="Arial"/>
          <w:color w:val="000000" w:themeColor="text1"/>
          <w:lang w:val="es-ES" w:eastAsia="es-ES"/>
        </w:rPr>
      </w:pPr>
    </w:p>
    <w:p w14:paraId="2A4BE4DD" w14:textId="77777777" w:rsidR="00514CE5" w:rsidRPr="002C0D19" w:rsidRDefault="00514CE5" w:rsidP="00DA7472">
      <w:pPr>
        <w:numPr>
          <w:ilvl w:val="0"/>
          <w:numId w:val="32"/>
        </w:numPr>
        <w:tabs>
          <w:tab w:val="clear" w:pos="720"/>
        </w:tabs>
        <w:ind w:left="426" w:hanging="436"/>
        <w:jc w:val="both"/>
        <w:rPr>
          <w:rFonts w:ascii="Arial Narrow" w:hAnsi="Arial Narrow" w:cs="Arial"/>
          <w:color w:val="000000" w:themeColor="text1"/>
          <w:lang w:val="es-ES" w:eastAsia="es-ES"/>
        </w:rPr>
      </w:pPr>
      <w:r w:rsidRPr="002C0D19">
        <w:rPr>
          <w:rFonts w:ascii="Arial Narrow" w:hAnsi="Arial Narrow" w:cs="Arial"/>
          <w:color w:val="000000" w:themeColor="text1"/>
          <w:spacing w:val="-3"/>
          <w:lang w:eastAsia="es-ES"/>
        </w:rPr>
        <w:t xml:space="preserve">Informar a </w:t>
      </w:r>
      <w:r w:rsidRPr="002C0D19">
        <w:rPr>
          <w:rFonts w:ascii="Arial Narrow" w:hAnsi="Arial Narrow" w:cs="Arial"/>
          <w:b/>
          <w:color w:val="000000" w:themeColor="text1"/>
          <w:spacing w:val="-3"/>
          <w:lang w:eastAsia="es-ES"/>
        </w:rPr>
        <w:t xml:space="preserve">EL TERCERO </w:t>
      </w:r>
      <w:r w:rsidRPr="002C0D19">
        <w:rPr>
          <w:rFonts w:ascii="Arial Narrow" w:hAnsi="Arial Narrow" w:cs="Arial"/>
          <w:color w:val="000000" w:themeColor="text1"/>
          <w:spacing w:val="-3"/>
          <w:lang w:eastAsia="es-ES"/>
        </w:rPr>
        <w:t xml:space="preserve">sobre el estado de las operaciones registradas en su cuenta. </w:t>
      </w:r>
    </w:p>
    <w:p w14:paraId="3C97A8E9" w14:textId="77777777" w:rsidR="00514CE5" w:rsidRPr="002C0D19" w:rsidRDefault="00514CE5" w:rsidP="00DA7472">
      <w:pPr>
        <w:numPr>
          <w:ilvl w:val="0"/>
          <w:numId w:val="32"/>
        </w:numPr>
        <w:tabs>
          <w:tab w:val="clear" w:pos="720"/>
        </w:tabs>
        <w:ind w:left="426" w:right="-42" w:hanging="436"/>
        <w:jc w:val="both"/>
        <w:rPr>
          <w:rFonts w:ascii="Arial Narrow" w:hAnsi="Arial Narrow" w:cs="Arial"/>
          <w:color w:val="000000" w:themeColor="text1"/>
          <w:spacing w:val="-3"/>
          <w:lang w:eastAsia="es-ES"/>
        </w:rPr>
      </w:pPr>
      <w:r w:rsidRPr="002C0D19">
        <w:rPr>
          <w:rFonts w:ascii="Arial Narrow" w:hAnsi="Arial Narrow" w:cs="Arial"/>
          <w:color w:val="000000" w:themeColor="text1"/>
          <w:spacing w:val="-3"/>
          <w:lang w:eastAsia="es-ES"/>
        </w:rPr>
        <w:t xml:space="preserve">Pagar a </w:t>
      </w:r>
      <w:r w:rsidRPr="002C0D19">
        <w:rPr>
          <w:rFonts w:ascii="Arial Narrow" w:hAnsi="Arial Narrow" w:cs="Arial"/>
          <w:b/>
          <w:color w:val="000000" w:themeColor="text1"/>
          <w:spacing w:val="-3"/>
          <w:lang w:eastAsia="es-ES"/>
        </w:rPr>
        <w:t>EL TERCERO</w:t>
      </w:r>
      <w:r w:rsidRPr="002C0D19">
        <w:rPr>
          <w:rFonts w:ascii="Arial Narrow" w:hAnsi="Arial Narrow" w:cs="Arial"/>
          <w:color w:val="000000" w:themeColor="text1"/>
          <w:spacing w:val="-3"/>
          <w:lang w:eastAsia="es-ES"/>
        </w:rPr>
        <w:t xml:space="preserve"> las sumas de dinero que le correspondan de conformidad con las liquidaciones recibidas de </w:t>
      </w:r>
      <w:r w:rsidRPr="002C0D19">
        <w:rPr>
          <w:rFonts w:ascii="Arial Narrow" w:hAnsi="Arial Narrow" w:cs="Arial"/>
          <w:b/>
          <w:color w:val="000000" w:themeColor="text1"/>
          <w:spacing w:val="-3"/>
          <w:lang w:eastAsia="es-ES"/>
        </w:rPr>
        <w:t xml:space="preserve">LA CRCC </w:t>
      </w:r>
      <w:r w:rsidRPr="002C0D19">
        <w:rPr>
          <w:rFonts w:ascii="Arial Narrow" w:hAnsi="Arial Narrow" w:cs="Arial"/>
          <w:color w:val="000000" w:themeColor="text1"/>
          <w:spacing w:val="-3"/>
          <w:lang w:eastAsia="es-ES"/>
        </w:rPr>
        <w:t xml:space="preserve">por las operaciones registradas en la cuenta de </w:t>
      </w:r>
      <w:r w:rsidRPr="002C0D19">
        <w:rPr>
          <w:rFonts w:ascii="Arial Narrow" w:hAnsi="Arial Narrow" w:cs="Arial"/>
          <w:b/>
          <w:color w:val="000000" w:themeColor="text1"/>
          <w:spacing w:val="-3"/>
          <w:lang w:eastAsia="es-ES"/>
        </w:rPr>
        <w:t>EL TERCERO</w:t>
      </w:r>
      <w:r w:rsidRPr="002C0D19">
        <w:rPr>
          <w:rFonts w:ascii="Arial Narrow" w:hAnsi="Arial Narrow" w:cs="Arial"/>
          <w:color w:val="000000" w:themeColor="text1"/>
          <w:spacing w:val="-3"/>
          <w:lang w:eastAsia="es-ES"/>
        </w:rPr>
        <w:t xml:space="preserve">. </w:t>
      </w:r>
    </w:p>
    <w:p w14:paraId="2137B615" w14:textId="77777777" w:rsidR="00514CE5" w:rsidRPr="002C0D19" w:rsidRDefault="00514CE5" w:rsidP="00DA7472">
      <w:pPr>
        <w:numPr>
          <w:ilvl w:val="0"/>
          <w:numId w:val="32"/>
        </w:numPr>
        <w:tabs>
          <w:tab w:val="clear" w:pos="720"/>
        </w:tabs>
        <w:ind w:left="426" w:right="-42" w:hanging="436"/>
        <w:jc w:val="both"/>
        <w:rPr>
          <w:rFonts w:ascii="Arial Narrow" w:hAnsi="Arial Narrow" w:cs="Arial"/>
          <w:color w:val="000000" w:themeColor="text1"/>
          <w:spacing w:val="-3"/>
          <w:lang w:eastAsia="es-ES"/>
        </w:rPr>
      </w:pPr>
      <w:r w:rsidRPr="002C0D19">
        <w:rPr>
          <w:rFonts w:ascii="Arial Narrow" w:hAnsi="Arial Narrow" w:cs="Arial"/>
          <w:color w:val="000000" w:themeColor="text1"/>
          <w:spacing w:val="-3"/>
          <w:lang w:eastAsia="es-ES"/>
        </w:rPr>
        <w:t xml:space="preserve">Cumplir con las entregas de efectivo o de Activos que corresponda a cada tipo de Operación Aceptada por </w:t>
      </w:r>
      <w:r w:rsidRPr="002C0D19">
        <w:rPr>
          <w:rFonts w:ascii="Arial Narrow" w:hAnsi="Arial Narrow" w:cs="Arial"/>
          <w:b/>
          <w:color w:val="000000" w:themeColor="text1"/>
          <w:spacing w:val="-3"/>
          <w:lang w:eastAsia="es-ES"/>
        </w:rPr>
        <w:t>LA CRCC</w:t>
      </w:r>
      <w:r w:rsidRPr="002C0D19">
        <w:rPr>
          <w:rFonts w:ascii="Arial Narrow" w:hAnsi="Arial Narrow" w:cs="Arial"/>
          <w:color w:val="000000" w:themeColor="text1"/>
          <w:spacing w:val="-3"/>
          <w:lang w:eastAsia="es-ES"/>
        </w:rPr>
        <w:t xml:space="preserve">, según se establezca mediante Circular. </w:t>
      </w:r>
    </w:p>
    <w:p w14:paraId="71510962" w14:textId="77777777" w:rsidR="00514CE5" w:rsidRPr="002C0D19" w:rsidRDefault="00514CE5" w:rsidP="00DA7472">
      <w:pPr>
        <w:numPr>
          <w:ilvl w:val="0"/>
          <w:numId w:val="32"/>
        </w:numPr>
        <w:tabs>
          <w:tab w:val="clear" w:pos="720"/>
        </w:tabs>
        <w:ind w:left="426" w:right="-42" w:hanging="436"/>
        <w:jc w:val="both"/>
        <w:rPr>
          <w:rFonts w:ascii="Arial Narrow" w:hAnsi="Arial Narrow" w:cs="Arial"/>
          <w:color w:val="000000" w:themeColor="text1"/>
          <w:spacing w:val="-3"/>
          <w:lang w:eastAsia="es-ES"/>
        </w:rPr>
      </w:pPr>
      <w:r w:rsidRPr="002C0D19">
        <w:rPr>
          <w:rFonts w:ascii="Arial Narrow" w:hAnsi="Arial Narrow" w:cs="Arial"/>
          <w:color w:val="000000" w:themeColor="text1"/>
          <w:spacing w:val="-3"/>
          <w:lang w:eastAsia="es-ES"/>
        </w:rPr>
        <w:t xml:space="preserve">Mantener la confidencialidad sobre las Operaciones Aceptadas, de conformidad con la Ley, el Reglamento y demás normatividad aplicable. </w:t>
      </w:r>
    </w:p>
    <w:p w14:paraId="4CE1F8ED" w14:textId="77777777" w:rsidR="00514CE5" w:rsidRPr="002C0D19" w:rsidRDefault="00514CE5" w:rsidP="00DA7472">
      <w:pPr>
        <w:numPr>
          <w:ilvl w:val="0"/>
          <w:numId w:val="32"/>
        </w:numPr>
        <w:tabs>
          <w:tab w:val="clear" w:pos="720"/>
        </w:tabs>
        <w:ind w:left="426" w:right="-42" w:hanging="436"/>
        <w:jc w:val="both"/>
        <w:rPr>
          <w:rFonts w:ascii="Arial Narrow" w:hAnsi="Arial Narrow" w:cs="Arial"/>
          <w:color w:val="000000" w:themeColor="text1"/>
          <w:spacing w:val="-3"/>
          <w:lang w:eastAsia="es-ES"/>
        </w:rPr>
      </w:pPr>
      <w:r w:rsidRPr="002C0D19">
        <w:rPr>
          <w:rFonts w:ascii="Arial Narrow" w:hAnsi="Arial Narrow" w:cs="Arial"/>
          <w:color w:val="000000" w:themeColor="text1"/>
          <w:spacing w:val="-3"/>
          <w:lang w:eastAsia="es-ES"/>
        </w:rPr>
        <w:t xml:space="preserve">Cumplir con las disposiciones del Reglamento y demás normas aplicables. </w:t>
      </w:r>
    </w:p>
    <w:p w14:paraId="14176D8C" w14:textId="77777777" w:rsidR="00514CE5" w:rsidRPr="002C0D19" w:rsidRDefault="00514CE5" w:rsidP="00DA7472">
      <w:pPr>
        <w:numPr>
          <w:ilvl w:val="0"/>
          <w:numId w:val="32"/>
        </w:numPr>
        <w:tabs>
          <w:tab w:val="clear" w:pos="720"/>
        </w:tabs>
        <w:ind w:left="426" w:hanging="436"/>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Informar a </w:t>
      </w:r>
      <w:r w:rsidRPr="002C0D19">
        <w:rPr>
          <w:rFonts w:ascii="Arial Narrow" w:hAnsi="Arial Narrow" w:cs="Arial"/>
          <w:b/>
          <w:color w:val="000000" w:themeColor="text1"/>
          <w:lang w:val="es-ES" w:eastAsia="es-ES"/>
        </w:rPr>
        <w:t xml:space="preserve">EL TERCERO </w:t>
      </w:r>
      <w:r w:rsidRPr="002C0D19">
        <w:rPr>
          <w:rFonts w:ascii="Arial Narrow" w:hAnsi="Arial Narrow" w:cs="Arial"/>
          <w:color w:val="000000" w:themeColor="text1"/>
          <w:lang w:eastAsia="es-ES"/>
        </w:rPr>
        <w:t xml:space="preserve">sobre las Operaciones Aceptadas, rechazadas o anuladas por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en cuanto se trate de operaciones realizadas por cuenta de</w:t>
      </w:r>
      <w:r w:rsidRPr="002C0D19">
        <w:rPr>
          <w:rFonts w:ascii="Arial Narrow" w:hAnsi="Arial Narrow" w:cs="Arial"/>
          <w:b/>
          <w:color w:val="000000" w:themeColor="text1"/>
          <w:lang w:eastAsia="es-ES"/>
        </w:rPr>
        <w:t xml:space="preserve"> EL TERCERO</w:t>
      </w:r>
      <w:r w:rsidRPr="002C0D19">
        <w:rPr>
          <w:rFonts w:ascii="Arial Narrow" w:hAnsi="Arial Narrow" w:cs="Arial"/>
          <w:color w:val="000000" w:themeColor="text1"/>
          <w:lang w:eastAsia="es-ES"/>
        </w:rPr>
        <w:t xml:space="preserve">. </w:t>
      </w:r>
    </w:p>
    <w:p w14:paraId="61D25858" w14:textId="77777777" w:rsidR="00514CE5" w:rsidRPr="002C0D19" w:rsidRDefault="00514CE5" w:rsidP="009A4BA3">
      <w:pPr>
        <w:ind w:left="426" w:hanging="436"/>
        <w:jc w:val="both"/>
        <w:rPr>
          <w:rFonts w:ascii="Arial Narrow" w:hAnsi="Arial Narrow" w:cs="Arial"/>
          <w:b/>
          <w:bCs/>
          <w:color w:val="000000" w:themeColor="text1"/>
          <w:u w:val="single"/>
          <w:lang w:val="es-ES" w:eastAsia="es-ES"/>
        </w:rPr>
      </w:pPr>
    </w:p>
    <w:p w14:paraId="5D94028E" w14:textId="77777777" w:rsidR="00514CE5" w:rsidRPr="002C0D19" w:rsidRDefault="00514CE5" w:rsidP="009A4BA3">
      <w:pPr>
        <w:jc w:val="both"/>
        <w:rPr>
          <w:rFonts w:ascii="Arial Narrow" w:hAnsi="Arial Narrow" w:cs="Arial"/>
          <w:color w:val="000000" w:themeColor="text1"/>
          <w:lang w:eastAsia="es-ES"/>
        </w:rPr>
      </w:pPr>
      <w:r w:rsidRPr="002C0D19">
        <w:rPr>
          <w:rFonts w:ascii="Arial Narrow" w:hAnsi="Arial Narrow" w:cs="Arial"/>
          <w:b/>
          <w:bCs/>
          <w:color w:val="000000" w:themeColor="text1"/>
          <w:u w:val="single"/>
          <w:lang w:val="es-ES" w:eastAsia="es-ES"/>
        </w:rPr>
        <w:t>QUINTA. Vigencia</w:t>
      </w:r>
      <w:r w:rsidRPr="002C0D19">
        <w:rPr>
          <w:rFonts w:ascii="Arial Narrow" w:hAnsi="Arial Narrow" w:cs="Arial"/>
          <w:b/>
          <w:bCs/>
          <w:color w:val="000000" w:themeColor="text1"/>
          <w:lang w:val="es-ES" w:eastAsia="es-ES"/>
        </w:rPr>
        <w:t xml:space="preserve">.  </w:t>
      </w:r>
      <w:r w:rsidRPr="002C0D19">
        <w:rPr>
          <w:rFonts w:ascii="Arial Narrow" w:hAnsi="Arial Narrow" w:cs="Arial"/>
          <w:color w:val="000000" w:themeColor="text1"/>
          <w:lang w:eastAsia="es-ES"/>
        </w:rPr>
        <w:t xml:space="preserve">La presente Oferta estará vigente por un término de sesenta (60) días calendario, contados a partir del envío de la misma por parte de </w:t>
      </w:r>
      <w:r w:rsidRPr="002C0D19">
        <w:rPr>
          <w:rFonts w:ascii="Arial Narrow" w:hAnsi="Arial Narrow" w:cs="Arial"/>
          <w:b/>
          <w:color w:val="000000" w:themeColor="text1"/>
          <w:lang w:eastAsia="es-ES"/>
        </w:rPr>
        <w:t>EL MIEMBRO</w:t>
      </w:r>
      <w:r w:rsidRPr="002C0D19">
        <w:rPr>
          <w:rFonts w:ascii="Arial Narrow" w:hAnsi="Arial Narrow" w:cs="Arial"/>
          <w:color w:val="000000" w:themeColor="text1"/>
          <w:lang w:eastAsia="es-ES"/>
        </w:rPr>
        <w:t xml:space="preserve"> a </w:t>
      </w:r>
      <w:r w:rsidRPr="002C0D19">
        <w:rPr>
          <w:rFonts w:ascii="Arial Narrow" w:hAnsi="Arial Narrow" w:cs="Arial"/>
          <w:b/>
          <w:color w:val="000000" w:themeColor="text1"/>
          <w:lang w:eastAsia="es-ES"/>
        </w:rPr>
        <w:t>EL TERCERO,</w:t>
      </w:r>
      <w:r w:rsidRPr="002C0D19">
        <w:rPr>
          <w:rFonts w:ascii="Arial Narrow" w:hAnsi="Arial Narrow" w:cs="Arial"/>
          <w:color w:val="000000" w:themeColor="text1"/>
          <w:lang w:eastAsia="es-ES"/>
        </w:rPr>
        <w:t xml:space="preserve"> transcurridos los cuales, de no haber aceptación a la misma por parte de </w:t>
      </w:r>
      <w:r w:rsidRPr="002C0D19">
        <w:rPr>
          <w:rFonts w:ascii="Arial Narrow" w:hAnsi="Arial Narrow" w:cs="Arial"/>
          <w:b/>
          <w:color w:val="000000" w:themeColor="text1"/>
          <w:lang w:eastAsia="es-ES"/>
        </w:rPr>
        <w:t xml:space="preserve">EL TERCERO, </w:t>
      </w:r>
      <w:r w:rsidRPr="002C0D19">
        <w:rPr>
          <w:rFonts w:ascii="Arial Narrow" w:hAnsi="Arial Narrow" w:cs="Arial"/>
          <w:color w:val="000000" w:themeColor="text1"/>
          <w:lang w:eastAsia="es-ES"/>
        </w:rPr>
        <w:t>se entenderá revocada. En caso de aceptación de esta Oferta por parte de</w:t>
      </w:r>
      <w:r w:rsidRPr="002C0D19">
        <w:rPr>
          <w:rFonts w:ascii="Arial Narrow" w:hAnsi="Arial Narrow" w:cs="Arial"/>
          <w:b/>
          <w:color w:val="000000" w:themeColor="text1"/>
          <w:lang w:eastAsia="es-ES"/>
        </w:rPr>
        <w:t xml:space="preserve"> EL TERCERO</w:t>
      </w:r>
      <w:r w:rsidRPr="002C0D19">
        <w:rPr>
          <w:rFonts w:ascii="Arial Narrow" w:hAnsi="Arial Narrow" w:cs="Arial"/>
          <w:color w:val="000000" w:themeColor="text1"/>
          <w:lang w:eastAsia="es-ES"/>
        </w:rPr>
        <w:t xml:space="preserve">, los términos y condiciones de la misma estarán vigentes en forma indefinida. </w:t>
      </w:r>
    </w:p>
    <w:p w14:paraId="1232F295" w14:textId="77777777" w:rsidR="00514CE5" w:rsidRPr="002C0D19" w:rsidRDefault="00514CE5" w:rsidP="009A4BA3">
      <w:pPr>
        <w:jc w:val="both"/>
        <w:rPr>
          <w:rFonts w:ascii="Arial Narrow" w:hAnsi="Arial Narrow" w:cs="Arial"/>
          <w:color w:val="000000" w:themeColor="text1"/>
          <w:lang w:eastAsia="es-ES"/>
        </w:rPr>
      </w:pPr>
    </w:p>
    <w:p w14:paraId="4790EE4F" w14:textId="77777777" w:rsidR="00514CE5" w:rsidRPr="002C0D19" w:rsidRDefault="00514CE5" w:rsidP="009A4BA3">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No obstante lo anterior y sin perjuicio de lo dispuesto en el Reglamento, las partes podrán terminar en cualquier tiempo la prestación del servicio, mediante la entrega a la otra parte de un aviso escrito en tal sentido, remitida con no menos de treinta (30) días calendario de anticipación al día hábil en el cual desea que dicha terminación tenga efecto. </w:t>
      </w:r>
    </w:p>
    <w:p w14:paraId="1E131EAC" w14:textId="77777777" w:rsidR="00514CE5" w:rsidRPr="002C0D19" w:rsidRDefault="00514CE5" w:rsidP="009A4BA3">
      <w:pPr>
        <w:jc w:val="both"/>
        <w:rPr>
          <w:rFonts w:ascii="Arial Narrow" w:hAnsi="Arial Narrow" w:cs="Arial"/>
          <w:color w:val="000000" w:themeColor="text1"/>
          <w:lang w:eastAsia="es-ES"/>
        </w:rPr>
      </w:pPr>
    </w:p>
    <w:p w14:paraId="5E8C7B62" w14:textId="77777777" w:rsidR="00514CE5" w:rsidRPr="002C0D19" w:rsidRDefault="00514CE5" w:rsidP="009A4BA3">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Igualmente, habrá lugar a la terminación unilateral si se presenta un incumplimiento de alguna de las obligaciones a cargo de una de las partes. </w:t>
      </w:r>
    </w:p>
    <w:p w14:paraId="4E6642B5" w14:textId="77777777" w:rsidR="00514CE5" w:rsidRPr="002C0D19" w:rsidRDefault="00514CE5" w:rsidP="009A4BA3">
      <w:pPr>
        <w:jc w:val="both"/>
        <w:rPr>
          <w:rFonts w:ascii="Arial Narrow" w:hAnsi="Arial Narrow" w:cs="Arial"/>
          <w:color w:val="000000" w:themeColor="text1"/>
          <w:lang w:eastAsia="es-ES"/>
        </w:rPr>
      </w:pPr>
    </w:p>
    <w:p w14:paraId="4419E701" w14:textId="77777777" w:rsidR="00514CE5" w:rsidRPr="002C0D19" w:rsidRDefault="00514CE5" w:rsidP="009A4BA3">
      <w:pPr>
        <w:jc w:val="both"/>
        <w:rPr>
          <w:rFonts w:ascii="Arial Narrow" w:hAnsi="Arial Narrow" w:cs="Arial"/>
          <w:color w:val="000000" w:themeColor="text1"/>
          <w:lang w:eastAsia="es-ES"/>
        </w:rPr>
      </w:pPr>
      <w:r w:rsidRPr="002C0D19">
        <w:rPr>
          <w:rFonts w:ascii="Arial Narrow" w:hAnsi="Arial Narrow" w:cs="Arial"/>
          <w:b/>
          <w:bCs/>
          <w:color w:val="000000" w:themeColor="text1"/>
          <w:u w:val="single"/>
          <w:lang w:val="es-ES" w:eastAsia="es-ES"/>
        </w:rPr>
        <w:t>SEXTA. Tarifas y Comisiones.</w:t>
      </w:r>
      <w:r w:rsidRPr="002C0D19">
        <w:rPr>
          <w:rFonts w:ascii="Arial Narrow" w:hAnsi="Arial Narrow" w:cs="Arial"/>
          <w:b/>
          <w:bCs/>
          <w:color w:val="000000" w:themeColor="text1"/>
          <w:lang w:val="es-ES" w:eastAsia="es-ES"/>
        </w:rPr>
        <w:t xml:space="preserve"> </w:t>
      </w:r>
      <w:r w:rsidRPr="002C0D19">
        <w:rPr>
          <w:rFonts w:ascii="Arial Narrow" w:hAnsi="Arial Narrow" w:cs="Arial"/>
          <w:b/>
          <w:color w:val="000000" w:themeColor="text1"/>
          <w:lang w:val="es-ES" w:eastAsia="es-ES"/>
        </w:rPr>
        <w:t xml:space="preserve">EL TERCERO </w:t>
      </w:r>
      <w:r w:rsidRPr="002C0D19">
        <w:rPr>
          <w:rFonts w:ascii="Arial Narrow" w:hAnsi="Arial Narrow" w:cs="Arial"/>
          <w:color w:val="000000" w:themeColor="text1"/>
          <w:lang w:val="es-ES" w:eastAsia="es-ES"/>
        </w:rPr>
        <w:t xml:space="preserve">se obliga a pagar a </w:t>
      </w:r>
      <w:r w:rsidRPr="002C0D19">
        <w:rPr>
          <w:rFonts w:ascii="Arial Narrow" w:hAnsi="Arial Narrow" w:cs="Arial"/>
          <w:b/>
          <w:color w:val="000000" w:themeColor="text1"/>
          <w:lang w:val="es-ES" w:eastAsia="es-ES"/>
        </w:rPr>
        <w:t xml:space="preserve">EL MIEMBRO </w:t>
      </w:r>
      <w:r w:rsidRPr="002C0D19">
        <w:rPr>
          <w:rFonts w:ascii="Arial Narrow" w:hAnsi="Arial Narrow" w:cs="Arial"/>
          <w:color w:val="000000" w:themeColor="text1"/>
          <w:lang w:val="es-ES" w:eastAsia="es-ES"/>
        </w:rPr>
        <w:t xml:space="preserve">las tarifas establecidas por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así como las tarifas y comisiones</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 xml:space="preserve">por la prestación del servicio de </w:t>
      </w:r>
      <w:r w:rsidRPr="002C0D19">
        <w:rPr>
          <w:rFonts w:ascii="Arial Narrow" w:hAnsi="Arial Narrow" w:cs="Arial"/>
          <w:b/>
          <w:color w:val="000000" w:themeColor="text1"/>
          <w:lang w:val="es-ES" w:eastAsia="es-ES"/>
        </w:rPr>
        <w:t xml:space="preserve">EL MIEMBRO. </w:t>
      </w:r>
      <w:r w:rsidRPr="002C0D19">
        <w:rPr>
          <w:rFonts w:ascii="Arial Narrow" w:hAnsi="Arial Narrow" w:cs="Arial"/>
          <w:color w:val="000000" w:themeColor="text1"/>
          <w:lang w:val="es-ES" w:eastAsia="es-ES"/>
        </w:rPr>
        <w:t>Estas últimas</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 xml:space="preserve">se encuentran en documento Anexo que hace parte integral de la presente Oferta. </w:t>
      </w:r>
    </w:p>
    <w:p w14:paraId="30BFF59E" w14:textId="77777777" w:rsidR="00514CE5" w:rsidRPr="002C0D19" w:rsidRDefault="00514CE5" w:rsidP="009A4BA3">
      <w:pPr>
        <w:jc w:val="both"/>
        <w:rPr>
          <w:rFonts w:ascii="Arial Narrow" w:hAnsi="Arial Narrow" w:cs="Arial"/>
          <w:b/>
          <w:bCs/>
          <w:color w:val="000000" w:themeColor="text1"/>
          <w:u w:val="single"/>
          <w:lang w:val="es-ES" w:eastAsia="es-ES"/>
        </w:rPr>
      </w:pPr>
    </w:p>
    <w:p w14:paraId="4F3E8996" w14:textId="77777777" w:rsidR="00514CE5" w:rsidRPr="002C0D19" w:rsidRDefault="00514CE5" w:rsidP="009A4BA3">
      <w:pPr>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es-ES" w:eastAsia="es-ES"/>
        </w:rPr>
        <w:t>SEPTIMA. Cesión y subcontratación.</w:t>
      </w:r>
      <w:r w:rsidRPr="002C0D19">
        <w:rPr>
          <w:rFonts w:ascii="Arial Narrow" w:hAnsi="Arial Narrow" w:cs="Arial"/>
          <w:b/>
          <w:bCs/>
          <w:color w:val="000000" w:themeColor="text1"/>
          <w:lang w:val="es-ES" w:eastAsia="es-ES"/>
        </w:rPr>
        <w:t xml:space="preserve"> </w:t>
      </w:r>
      <w:r w:rsidRPr="002C0D19">
        <w:rPr>
          <w:rFonts w:ascii="Arial Narrow" w:hAnsi="Arial Narrow" w:cs="Arial"/>
          <w:bCs/>
          <w:color w:val="000000" w:themeColor="text1"/>
          <w:lang w:val="es-ES" w:eastAsia="es-ES"/>
        </w:rPr>
        <w:t>Las partes</w:t>
      </w:r>
      <w:r w:rsidRPr="002C0D19">
        <w:rPr>
          <w:rFonts w:ascii="Arial Narrow" w:hAnsi="Arial Narrow" w:cs="Arial"/>
          <w:b/>
          <w:bCs/>
          <w:color w:val="000000" w:themeColor="text1"/>
          <w:lang w:val="es-ES" w:eastAsia="es-ES"/>
        </w:rPr>
        <w:t xml:space="preserve"> </w:t>
      </w:r>
      <w:r w:rsidRPr="002C0D19">
        <w:rPr>
          <w:rFonts w:ascii="Arial Narrow" w:hAnsi="Arial Narrow" w:cs="Arial"/>
          <w:color w:val="000000" w:themeColor="text1"/>
          <w:lang w:val="es-ES" w:eastAsia="es-ES"/>
        </w:rPr>
        <w:t>no podrán ceder ni subcontratar total o parcialmente la presente Oferta, antes o después de ser aceptada.</w:t>
      </w:r>
    </w:p>
    <w:p w14:paraId="2D311B81" w14:textId="77777777" w:rsidR="00514CE5" w:rsidRPr="002C0D19" w:rsidRDefault="00514CE5" w:rsidP="009A4BA3">
      <w:pPr>
        <w:jc w:val="both"/>
        <w:rPr>
          <w:rFonts w:ascii="Arial Narrow" w:hAnsi="Arial Narrow" w:cs="Arial"/>
          <w:b/>
          <w:bCs/>
          <w:color w:val="000000" w:themeColor="text1"/>
          <w:highlight w:val="cyan"/>
          <w:lang w:val="es-ES" w:eastAsia="es-ES"/>
        </w:rPr>
      </w:pPr>
    </w:p>
    <w:p w14:paraId="4FF8FFCD" w14:textId="77777777" w:rsidR="00514CE5" w:rsidRPr="002C0D19" w:rsidRDefault="00514CE5" w:rsidP="009A4BA3">
      <w:pPr>
        <w:jc w:val="both"/>
        <w:rPr>
          <w:rFonts w:ascii="Arial Narrow" w:hAnsi="Arial Narrow" w:cs="Arial"/>
          <w:b/>
          <w:bCs/>
          <w:color w:val="000000" w:themeColor="text1"/>
          <w:lang w:val="es-ES" w:eastAsia="es-ES"/>
        </w:rPr>
      </w:pPr>
      <w:r w:rsidRPr="002C0D19">
        <w:rPr>
          <w:rFonts w:ascii="Arial Narrow" w:hAnsi="Arial Narrow" w:cs="Arial"/>
          <w:b/>
          <w:bCs/>
          <w:color w:val="000000" w:themeColor="text1"/>
          <w:u w:val="single"/>
          <w:lang w:val="es-ES" w:eastAsia="es-ES"/>
        </w:rPr>
        <w:t>OCTAVA. Pagos.</w:t>
      </w:r>
      <w:r w:rsidRPr="002C0D19">
        <w:rPr>
          <w:rFonts w:ascii="Arial Narrow" w:hAnsi="Arial Narrow" w:cs="Arial"/>
          <w:b/>
          <w:bCs/>
          <w:color w:val="000000" w:themeColor="text1"/>
          <w:lang w:val="es-ES" w:eastAsia="es-ES"/>
        </w:rPr>
        <w:t xml:space="preserve"> EL TERCERO </w:t>
      </w:r>
      <w:r w:rsidRPr="002C0D19">
        <w:rPr>
          <w:rFonts w:ascii="Arial Narrow" w:hAnsi="Arial Narrow" w:cs="Arial"/>
          <w:bCs/>
          <w:color w:val="000000" w:themeColor="text1"/>
          <w:lang w:val="es-ES" w:eastAsia="es-ES"/>
        </w:rPr>
        <w:t xml:space="preserve">autoriza a </w:t>
      </w:r>
      <w:r w:rsidRPr="002C0D19">
        <w:rPr>
          <w:rFonts w:ascii="Arial Narrow" w:hAnsi="Arial Narrow" w:cs="Arial"/>
          <w:b/>
          <w:bCs/>
          <w:color w:val="000000" w:themeColor="text1"/>
          <w:lang w:val="es-ES" w:eastAsia="es-ES"/>
        </w:rPr>
        <w:t xml:space="preserve">EL MIEMBRO </w:t>
      </w:r>
      <w:r w:rsidRPr="002C0D19">
        <w:rPr>
          <w:rFonts w:ascii="Arial Narrow" w:hAnsi="Arial Narrow" w:cs="Arial"/>
          <w:bCs/>
          <w:color w:val="000000" w:themeColor="text1"/>
          <w:lang w:val="es-ES" w:eastAsia="es-ES"/>
        </w:rPr>
        <w:t xml:space="preserve">para que realice los pagos y cobros que resulten de operaciones registradas en sus cuentas. Así mismo, </w:t>
      </w:r>
      <w:r w:rsidRPr="002C0D19">
        <w:rPr>
          <w:rFonts w:ascii="Arial Narrow" w:hAnsi="Arial Narrow" w:cs="Arial"/>
          <w:b/>
          <w:bCs/>
          <w:color w:val="000000" w:themeColor="text1"/>
          <w:lang w:val="es-ES" w:eastAsia="es-ES"/>
        </w:rPr>
        <w:t>EL TERCERO</w:t>
      </w:r>
      <w:r w:rsidRPr="002C0D19">
        <w:rPr>
          <w:rFonts w:ascii="Arial Narrow" w:hAnsi="Arial Narrow" w:cs="Arial"/>
          <w:bCs/>
          <w:color w:val="000000" w:themeColor="text1"/>
          <w:lang w:val="es-ES" w:eastAsia="es-ES"/>
        </w:rPr>
        <w:t xml:space="preserve"> autoriza </w:t>
      </w:r>
      <w:r w:rsidRPr="002C0D19">
        <w:rPr>
          <w:rFonts w:ascii="Arial Narrow" w:hAnsi="Arial Narrow" w:cs="Arial"/>
          <w:color w:val="000000" w:themeColor="text1"/>
          <w:lang w:eastAsia="es-ES"/>
        </w:rPr>
        <w:t xml:space="preserve">expresa y formalmente </w:t>
      </w:r>
      <w:r w:rsidRPr="002C0D19">
        <w:rPr>
          <w:rFonts w:ascii="Arial Narrow" w:hAnsi="Arial Narrow" w:cs="Arial"/>
          <w:bCs/>
          <w:color w:val="000000" w:themeColor="text1"/>
          <w:lang w:val="es-ES" w:eastAsia="es-ES"/>
        </w:rPr>
        <w:t xml:space="preserve">a </w:t>
      </w:r>
      <w:r w:rsidRPr="002C0D19">
        <w:rPr>
          <w:rFonts w:ascii="Arial Narrow" w:hAnsi="Arial Narrow" w:cs="Arial"/>
          <w:b/>
          <w:bCs/>
          <w:color w:val="000000" w:themeColor="text1"/>
          <w:lang w:val="es-ES" w:eastAsia="es-ES"/>
        </w:rPr>
        <w:t xml:space="preserve">EL MIEMBRO </w:t>
      </w:r>
      <w:r w:rsidRPr="002C0D19">
        <w:rPr>
          <w:rFonts w:ascii="Arial Narrow" w:hAnsi="Arial Narrow" w:cs="Arial"/>
          <w:color w:val="000000" w:themeColor="text1"/>
          <w:lang w:eastAsia="es-ES"/>
        </w:rPr>
        <w:t xml:space="preserve">para que en desarrollo de sus actividades pueda debitar o acreditar automáticamente las cuentas de efectivo o de Activos de las que es titular, con el fin de que en la fecha en que cada operación registrada en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deba liquidarse, se carguen o abonen, según proceda, en la cuenta de </w:t>
      </w:r>
      <w:r w:rsidRPr="002C0D19">
        <w:rPr>
          <w:rFonts w:ascii="Arial Narrow" w:hAnsi="Arial Narrow" w:cs="Arial"/>
          <w:b/>
          <w:color w:val="000000" w:themeColor="text1"/>
          <w:lang w:eastAsia="es-ES"/>
        </w:rPr>
        <w:t>EL TERCERO</w:t>
      </w:r>
      <w:r w:rsidRPr="002C0D19">
        <w:rPr>
          <w:rFonts w:ascii="Arial Narrow" w:hAnsi="Arial Narrow" w:cs="Arial"/>
          <w:color w:val="000000" w:themeColor="text1"/>
          <w:lang w:eastAsia="es-ES"/>
        </w:rPr>
        <w:t xml:space="preserve"> el efectivo o los Activos que corresponden, a fin de cumplir las operaciones compensadas y liquidadas </w:t>
      </w:r>
      <w:r w:rsidRPr="002C0D19">
        <w:rPr>
          <w:rFonts w:ascii="Arial Narrow" w:hAnsi="Arial Narrow" w:cs="Arial"/>
          <w:color w:val="000000" w:themeColor="text1"/>
          <w:lang w:val="es-ES" w:eastAsia="es-ES"/>
        </w:rPr>
        <w:t>con las particularidades que se establezcan por la Cámara para cada Segmento</w:t>
      </w:r>
      <w:r w:rsidRPr="002C0D19">
        <w:rPr>
          <w:rFonts w:ascii="Arial Narrow" w:hAnsi="Arial Narrow" w:cs="Arial"/>
          <w:color w:val="000000" w:themeColor="text1"/>
          <w:lang w:eastAsia="es-ES"/>
        </w:rPr>
        <w:t xml:space="preserve">.  </w:t>
      </w:r>
      <w:r w:rsidRPr="002C0D19">
        <w:rPr>
          <w:rFonts w:ascii="Arial Narrow" w:hAnsi="Arial Narrow" w:cs="Arial"/>
          <w:b/>
          <w:bCs/>
          <w:color w:val="000000" w:themeColor="text1"/>
          <w:lang w:val="es-ES" w:eastAsia="es-ES"/>
        </w:rPr>
        <w:t xml:space="preserve"> </w:t>
      </w:r>
    </w:p>
    <w:p w14:paraId="1E7A3072" w14:textId="77777777" w:rsidR="00514CE5" w:rsidRPr="002C0D19" w:rsidRDefault="00514CE5" w:rsidP="009A4BA3">
      <w:pPr>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xml:space="preserve">  </w:t>
      </w:r>
    </w:p>
    <w:p w14:paraId="50A13824" w14:textId="77777777" w:rsidR="00514CE5" w:rsidRPr="002C0D19" w:rsidRDefault="00514CE5" w:rsidP="009A4BA3">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En todo caso, </w:t>
      </w:r>
      <w:r w:rsidRPr="002C0D19">
        <w:rPr>
          <w:rFonts w:ascii="Arial Narrow" w:hAnsi="Arial Narrow" w:cs="Arial"/>
          <w:b/>
          <w:color w:val="000000" w:themeColor="text1"/>
          <w:lang w:val="es-ES" w:eastAsia="es-ES"/>
        </w:rPr>
        <w:t>EL TERCERO</w:t>
      </w:r>
      <w:r w:rsidRPr="002C0D19">
        <w:rPr>
          <w:rFonts w:ascii="Arial Narrow" w:hAnsi="Arial Narrow" w:cs="Arial"/>
          <w:color w:val="000000" w:themeColor="text1"/>
          <w:lang w:val="es-ES" w:eastAsia="es-ES"/>
        </w:rPr>
        <w:t xml:space="preserve"> se obliga a pagar </w:t>
      </w:r>
      <w:r w:rsidRPr="002C0D19">
        <w:rPr>
          <w:rFonts w:ascii="Arial Narrow" w:hAnsi="Arial Narrow" w:cs="Arial"/>
          <w:color w:val="000000" w:themeColor="text1"/>
          <w:lang w:eastAsia="es-ES"/>
        </w:rPr>
        <w:t xml:space="preserve">a </w:t>
      </w:r>
      <w:r w:rsidRPr="002C0D19">
        <w:rPr>
          <w:rFonts w:ascii="Arial Narrow" w:hAnsi="Arial Narrow" w:cs="Arial"/>
          <w:b/>
          <w:color w:val="000000" w:themeColor="text1"/>
          <w:lang w:eastAsia="es-ES"/>
        </w:rPr>
        <w:t>EL MIEMBRO</w:t>
      </w:r>
      <w:r w:rsidRPr="002C0D19">
        <w:rPr>
          <w:rFonts w:ascii="Arial Narrow" w:hAnsi="Arial Narrow" w:cs="Arial"/>
          <w:color w:val="000000" w:themeColor="text1"/>
          <w:lang w:eastAsia="es-ES"/>
        </w:rPr>
        <w:t xml:space="preserve">, en forma oportuna y en los plazos establecidos para tal efecto por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las sumas </w:t>
      </w:r>
      <w:r w:rsidRPr="002C0D19">
        <w:rPr>
          <w:rFonts w:ascii="Arial Narrow" w:hAnsi="Arial Narrow" w:cs="Arial"/>
          <w:color w:val="000000" w:themeColor="text1"/>
          <w:lang w:val="es-ES" w:eastAsia="es-ES"/>
        </w:rPr>
        <w:t xml:space="preserve">relativas a todas las obligaciones inherentes a las </w:t>
      </w:r>
      <w:r w:rsidRPr="002C0D19">
        <w:rPr>
          <w:rFonts w:ascii="Arial Narrow" w:hAnsi="Arial Narrow" w:cs="Arial"/>
          <w:color w:val="000000" w:themeColor="text1"/>
          <w:lang w:val="es-ES" w:eastAsia="es-ES"/>
        </w:rPr>
        <w:lastRenderedPageBreak/>
        <w:t>Operaciones Aceptadas, para el cumplimiento de la Compensación y Liquidación de las operaciones registradas en sus cuentas.</w:t>
      </w:r>
    </w:p>
    <w:p w14:paraId="53F395CB" w14:textId="77777777" w:rsidR="00514CE5" w:rsidRPr="002C0D19" w:rsidRDefault="00514CE5" w:rsidP="009A4BA3">
      <w:pPr>
        <w:jc w:val="both"/>
        <w:rPr>
          <w:rFonts w:ascii="Arial Narrow" w:hAnsi="Arial Narrow" w:cs="Arial"/>
          <w:color w:val="000000" w:themeColor="text1"/>
          <w:lang w:val="es-ES" w:eastAsia="es-ES"/>
        </w:rPr>
      </w:pPr>
    </w:p>
    <w:p w14:paraId="42C668FC" w14:textId="77777777" w:rsidR="00514CE5" w:rsidRPr="002C0D19" w:rsidRDefault="00514CE5" w:rsidP="009A4BA3">
      <w:pPr>
        <w:jc w:val="both"/>
        <w:rPr>
          <w:rFonts w:ascii="Arial Narrow" w:hAnsi="Arial Narrow" w:cs="Arial"/>
          <w:bCs/>
          <w:color w:val="000000" w:themeColor="text1"/>
          <w:lang w:val="es-ES" w:eastAsia="es-ES"/>
        </w:rPr>
      </w:pPr>
      <w:r w:rsidRPr="002C0D19">
        <w:rPr>
          <w:rFonts w:ascii="Arial Narrow" w:hAnsi="Arial Narrow" w:cs="Arial"/>
          <w:b/>
          <w:bCs/>
          <w:color w:val="000000" w:themeColor="text1"/>
          <w:u w:val="single"/>
          <w:lang w:val="es-ES" w:eastAsia="es-ES"/>
        </w:rPr>
        <w:t>NOVENA. Comunicación e Información.</w:t>
      </w:r>
      <w:r w:rsidRPr="002C0D19">
        <w:rPr>
          <w:rFonts w:ascii="Arial Narrow" w:hAnsi="Arial Narrow" w:cs="Arial"/>
          <w:b/>
          <w:bCs/>
          <w:color w:val="000000" w:themeColor="text1"/>
          <w:lang w:val="es-ES" w:eastAsia="es-ES"/>
        </w:rPr>
        <w:t xml:space="preserve"> EL TERCERO </w:t>
      </w:r>
      <w:r w:rsidRPr="002C0D19">
        <w:rPr>
          <w:rFonts w:ascii="Arial Narrow" w:hAnsi="Arial Narrow" w:cs="Arial"/>
          <w:bCs/>
          <w:color w:val="000000" w:themeColor="text1"/>
          <w:lang w:val="es-ES" w:eastAsia="es-ES"/>
        </w:rPr>
        <w:t xml:space="preserve">autoriza expresamente a </w:t>
      </w:r>
      <w:r w:rsidRPr="002C0D19">
        <w:rPr>
          <w:rFonts w:ascii="Arial Narrow" w:hAnsi="Arial Narrow" w:cs="Arial"/>
          <w:b/>
          <w:bCs/>
          <w:color w:val="000000" w:themeColor="text1"/>
          <w:lang w:val="es-ES" w:eastAsia="es-ES"/>
        </w:rPr>
        <w:t xml:space="preserve">EL MIEMBRO </w:t>
      </w:r>
      <w:r w:rsidRPr="002C0D19">
        <w:rPr>
          <w:rFonts w:ascii="Arial Narrow" w:hAnsi="Arial Narrow" w:cs="Arial"/>
          <w:bCs/>
          <w:color w:val="000000" w:themeColor="text1"/>
          <w:lang w:val="es-ES" w:eastAsia="es-ES"/>
        </w:rPr>
        <w:t xml:space="preserve">y a </w:t>
      </w:r>
      <w:r w:rsidRPr="002C0D19">
        <w:rPr>
          <w:rFonts w:ascii="Arial Narrow" w:hAnsi="Arial Narrow" w:cs="Arial"/>
          <w:b/>
          <w:bCs/>
          <w:color w:val="000000" w:themeColor="text1"/>
          <w:lang w:val="es-ES" w:eastAsia="es-ES"/>
        </w:rPr>
        <w:t xml:space="preserve">LA CRCC </w:t>
      </w:r>
      <w:r w:rsidRPr="002C0D19">
        <w:rPr>
          <w:rFonts w:ascii="Arial Narrow" w:hAnsi="Arial Narrow" w:cs="Arial"/>
          <w:bCs/>
          <w:color w:val="000000" w:themeColor="text1"/>
          <w:lang w:val="es-ES" w:eastAsia="es-ES"/>
        </w:rPr>
        <w:t xml:space="preserve">para que su nombre e identificación y sus obligaciones sean consultados y reportados a entidades que administren bases de datos personales y comunicados a las Autoridades Competentes por </w:t>
      </w:r>
      <w:r w:rsidRPr="002C0D19">
        <w:rPr>
          <w:rFonts w:ascii="Arial Narrow" w:hAnsi="Arial Narrow" w:cs="Arial"/>
          <w:b/>
          <w:bCs/>
          <w:color w:val="000000" w:themeColor="text1"/>
          <w:lang w:val="es-ES" w:eastAsia="es-ES"/>
        </w:rPr>
        <w:t xml:space="preserve">EL MIEMBRO </w:t>
      </w:r>
      <w:r w:rsidRPr="002C0D19">
        <w:rPr>
          <w:rFonts w:ascii="Arial Narrow" w:hAnsi="Arial Narrow" w:cs="Arial"/>
          <w:bCs/>
          <w:color w:val="000000" w:themeColor="text1"/>
          <w:lang w:val="es-ES" w:eastAsia="es-ES"/>
        </w:rPr>
        <w:t xml:space="preserve">o por </w:t>
      </w:r>
      <w:r w:rsidRPr="002C0D19">
        <w:rPr>
          <w:rFonts w:ascii="Arial Narrow" w:hAnsi="Arial Narrow" w:cs="Arial"/>
          <w:b/>
          <w:bCs/>
          <w:color w:val="000000" w:themeColor="text1"/>
          <w:lang w:val="es-ES" w:eastAsia="es-ES"/>
        </w:rPr>
        <w:t>LA CRCC</w:t>
      </w:r>
      <w:r w:rsidRPr="002C0D19">
        <w:rPr>
          <w:rFonts w:ascii="Arial Narrow" w:hAnsi="Arial Narrow" w:cs="Arial"/>
          <w:bCs/>
          <w:color w:val="000000" w:themeColor="text1"/>
          <w:lang w:val="es-ES" w:eastAsia="es-ES"/>
        </w:rPr>
        <w:t>, si fuese necesario.</w:t>
      </w:r>
    </w:p>
    <w:p w14:paraId="50B65606" w14:textId="77777777" w:rsidR="00514CE5" w:rsidRPr="002C0D19" w:rsidRDefault="00514CE5" w:rsidP="009A4BA3">
      <w:pPr>
        <w:jc w:val="both"/>
        <w:rPr>
          <w:rFonts w:ascii="Arial Narrow" w:hAnsi="Arial Narrow" w:cs="Arial"/>
          <w:bCs/>
          <w:color w:val="000000" w:themeColor="text1"/>
          <w:lang w:val="es-ES" w:eastAsia="es-ES"/>
        </w:rPr>
      </w:pPr>
    </w:p>
    <w:p w14:paraId="7E0F1325" w14:textId="77777777" w:rsidR="00514CE5" w:rsidRPr="002C0D19" w:rsidRDefault="00514CE5" w:rsidP="009A4BA3">
      <w:pPr>
        <w:jc w:val="both"/>
        <w:rPr>
          <w:rFonts w:ascii="Arial Narrow" w:hAnsi="Arial Narrow" w:cs="Arial"/>
          <w:bCs/>
          <w:color w:val="000000" w:themeColor="text1"/>
          <w:lang w:eastAsia="es-ES"/>
        </w:rPr>
      </w:pPr>
      <w:r w:rsidRPr="002C0D19">
        <w:rPr>
          <w:rFonts w:ascii="Arial Narrow" w:hAnsi="Arial Narrow" w:cs="Arial"/>
          <w:b/>
          <w:bCs/>
          <w:color w:val="000000" w:themeColor="text1"/>
          <w:u w:val="single"/>
          <w:lang w:eastAsia="es-ES"/>
        </w:rPr>
        <w:t>DECIMA. Exoneración de daños y perjuicios.</w:t>
      </w:r>
      <w:r w:rsidRPr="002C0D19">
        <w:rPr>
          <w:rFonts w:ascii="Arial Narrow" w:hAnsi="Arial Narrow" w:cs="Arial"/>
          <w:b/>
          <w:bCs/>
          <w:color w:val="000000" w:themeColor="text1"/>
          <w:lang w:eastAsia="es-ES"/>
        </w:rPr>
        <w:t xml:space="preserve"> EL TERCERO </w:t>
      </w:r>
      <w:r w:rsidRPr="002C0D19">
        <w:rPr>
          <w:rFonts w:ascii="Arial Narrow" w:hAnsi="Arial Narrow" w:cs="Arial"/>
          <w:bCs/>
          <w:color w:val="000000" w:themeColor="text1"/>
          <w:lang w:eastAsia="es-ES"/>
        </w:rPr>
        <w:t xml:space="preserve">exonera a </w:t>
      </w:r>
      <w:r w:rsidRPr="002C0D19">
        <w:rPr>
          <w:rFonts w:ascii="Arial Narrow" w:hAnsi="Arial Narrow" w:cs="Arial"/>
          <w:b/>
          <w:bCs/>
          <w:color w:val="000000" w:themeColor="text1"/>
          <w:lang w:eastAsia="es-ES"/>
        </w:rPr>
        <w:t xml:space="preserve">EL MIEMBRO </w:t>
      </w:r>
      <w:r w:rsidRPr="002C0D19">
        <w:rPr>
          <w:rFonts w:ascii="Arial Narrow" w:hAnsi="Arial Narrow" w:cs="Arial"/>
          <w:bCs/>
          <w:color w:val="000000" w:themeColor="text1"/>
          <w:lang w:eastAsia="es-ES"/>
        </w:rPr>
        <w:t xml:space="preserve">y a </w:t>
      </w:r>
      <w:r w:rsidRPr="002C0D19">
        <w:rPr>
          <w:rFonts w:ascii="Arial Narrow" w:hAnsi="Arial Narrow" w:cs="Arial"/>
          <w:b/>
          <w:bCs/>
          <w:color w:val="000000" w:themeColor="text1"/>
          <w:lang w:eastAsia="es-ES"/>
        </w:rPr>
        <w:t xml:space="preserve">LA CRCC </w:t>
      </w:r>
      <w:r w:rsidRPr="002C0D19">
        <w:rPr>
          <w:rFonts w:ascii="Arial Narrow" w:hAnsi="Arial Narrow" w:cs="Arial"/>
          <w:bCs/>
          <w:color w:val="000000" w:themeColor="text1"/>
          <w:lang w:eastAsia="es-ES"/>
        </w:rPr>
        <w:t xml:space="preserve">de cualquier daño o perjuicio que pudiera sufrir por causa de fuerza mayor, por suspensión o interrupción del Sistema y, en general, por hechos en los que no haya mediado dolo o culpa grave por parte de </w:t>
      </w:r>
      <w:r w:rsidRPr="002C0D19">
        <w:rPr>
          <w:rFonts w:ascii="Arial Narrow" w:hAnsi="Arial Narrow" w:cs="Arial"/>
          <w:b/>
          <w:bCs/>
          <w:color w:val="000000" w:themeColor="text1"/>
          <w:lang w:eastAsia="es-ES"/>
        </w:rPr>
        <w:t xml:space="preserve">EL MIEMBRO </w:t>
      </w:r>
      <w:r w:rsidRPr="002C0D19">
        <w:rPr>
          <w:rFonts w:ascii="Arial Narrow" w:hAnsi="Arial Narrow" w:cs="Arial"/>
          <w:bCs/>
          <w:color w:val="000000" w:themeColor="text1"/>
          <w:lang w:eastAsia="es-ES"/>
        </w:rPr>
        <w:t>o de</w:t>
      </w:r>
      <w:r w:rsidRPr="002C0D19">
        <w:rPr>
          <w:rFonts w:ascii="Arial Narrow" w:hAnsi="Arial Narrow" w:cs="Arial"/>
          <w:b/>
          <w:bCs/>
          <w:color w:val="000000" w:themeColor="text1"/>
          <w:lang w:eastAsia="es-ES"/>
        </w:rPr>
        <w:t xml:space="preserve"> LA CRCC</w:t>
      </w:r>
      <w:r w:rsidRPr="002C0D19">
        <w:rPr>
          <w:rFonts w:ascii="Arial Narrow" w:hAnsi="Arial Narrow" w:cs="Arial"/>
          <w:bCs/>
          <w:color w:val="000000" w:themeColor="text1"/>
          <w:lang w:eastAsia="es-ES"/>
        </w:rPr>
        <w:t>.</w:t>
      </w:r>
    </w:p>
    <w:p w14:paraId="235E7305" w14:textId="77777777" w:rsidR="00514CE5" w:rsidRPr="002C0D19" w:rsidRDefault="00514CE5" w:rsidP="009A4BA3">
      <w:pPr>
        <w:jc w:val="both"/>
        <w:rPr>
          <w:rFonts w:ascii="Arial Narrow" w:hAnsi="Arial Narrow" w:cs="Arial"/>
          <w:bCs/>
          <w:color w:val="000000" w:themeColor="text1"/>
          <w:lang w:eastAsia="es-ES"/>
        </w:rPr>
      </w:pPr>
    </w:p>
    <w:p w14:paraId="796F54F7" w14:textId="77777777" w:rsidR="00514CE5" w:rsidRPr="002C0D19" w:rsidRDefault="00514CE5" w:rsidP="009A4BA3">
      <w:pPr>
        <w:autoSpaceDE w:val="0"/>
        <w:autoSpaceDN w:val="0"/>
        <w:adjustRightInd w:val="0"/>
        <w:jc w:val="both"/>
        <w:rPr>
          <w:rFonts w:ascii="Arial Narrow" w:hAnsi="Arial Narrow" w:cs="Arial"/>
          <w:color w:val="000000" w:themeColor="text1"/>
          <w:lang w:val="es-ES" w:eastAsia="es-CO"/>
        </w:rPr>
      </w:pPr>
      <w:r w:rsidRPr="002C0D19">
        <w:rPr>
          <w:rFonts w:ascii="Arial Narrow" w:hAnsi="Arial Narrow" w:cs="Arial"/>
          <w:b/>
          <w:bCs/>
          <w:color w:val="000000" w:themeColor="text1"/>
          <w:u w:val="single"/>
          <w:lang w:eastAsia="es-ES"/>
        </w:rPr>
        <w:t xml:space="preserve">DÉCIMA PRIMERA. Terminación Unilateral. </w:t>
      </w:r>
      <w:r w:rsidRPr="002C0D19">
        <w:rPr>
          <w:rFonts w:ascii="Arial Narrow" w:hAnsi="Arial Narrow" w:cs="Arial"/>
          <w:b/>
          <w:color w:val="000000" w:themeColor="text1"/>
          <w:lang w:val="es-ES" w:eastAsia="es-ES"/>
        </w:rPr>
        <w:t xml:space="preserve">EL MIEMBRO </w:t>
      </w:r>
      <w:r w:rsidRPr="002C0D19">
        <w:rPr>
          <w:rFonts w:ascii="Arial Narrow" w:hAnsi="Arial Narrow" w:cs="Arial"/>
          <w:color w:val="000000" w:themeColor="text1"/>
          <w:lang w:val="es-ES" w:eastAsia="es-ES"/>
        </w:rPr>
        <w:t xml:space="preserve">podrá terminar unilateralmente el Convenio y sin indemnización alguna, en el evento en que </w:t>
      </w:r>
      <w:r w:rsidRPr="002C0D19">
        <w:rPr>
          <w:rFonts w:ascii="Arial Narrow" w:hAnsi="Arial Narrow" w:cs="Arial"/>
          <w:b/>
          <w:color w:val="000000" w:themeColor="text1"/>
          <w:lang w:val="es-ES" w:eastAsia="es-ES"/>
        </w:rPr>
        <w:t>EL TERCERO</w:t>
      </w:r>
      <w:r w:rsidRPr="002C0D19">
        <w:rPr>
          <w:rFonts w:ascii="Arial Narrow" w:hAnsi="Arial Narrow" w:cs="Arial"/>
          <w:color w:val="000000" w:themeColor="text1"/>
          <w:lang w:val="es-ES" w:eastAsia="es-ES"/>
        </w:rPr>
        <w:t xml:space="preserve"> </w:t>
      </w:r>
      <w:r w:rsidRPr="002C0D19">
        <w:rPr>
          <w:rFonts w:ascii="Arial Narrow" w:hAnsi="Arial Narrow" w:cs="Arial"/>
          <w:color w:val="000000" w:themeColor="text1"/>
          <w:lang w:val="es-ES" w:eastAsia="es-CO"/>
        </w:rPr>
        <w:t>se encuentre vinculado de alguna manera a listas internacionales o locales de pública circulación relacionadas con delitos tipificados en Colombia como lavado de activos y/o financiación del terrorismo, así en Colombia no se hubiere iniciado investigación sobre el particular.</w:t>
      </w:r>
    </w:p>
    <w:p w14:paraId="3F1B72E1" w14:textId="77777777" w:rsidR="00514CE5" w:rsidRPr="002C0D19" w:rsidRDefault="00514CE5" w:rsidP="009A4BA3">
      <w:pPr>
        <w:autoSpaceDE w:val="0"/>
        <w:autoSpaceDN w:val="0"/>
        <w:adjustRightInd w:val="0"/>
        <w:jc w:val="both"/>
        <w:rPr>
          <w:rFonts w:ascii="Arial Narrow" w:hAnsi="Arial Narrow" w:cs="Arial"/>
          <w:color w:val="000000" w:themeColor="text1"/>
          <w:lang w:val="es-ES" w:eastAsia="es-CO"/>
        </w:rPr>
      </w:pPr>
    </w:p>
    <w:p w14:paraId="1B12F1FD" w14:textId="77777777" w:rsidR="00514CE5" w:rsidRPr="002C0D19" w:rsidRDefault="00514CE5" w:rsidP="009A4BA3">
      <w:pPr>
        <w:jc w:val="both"/>
        <w:rPr>
          <w:rFonts w:ascii="Arial Narrow" w:hAnsi="Arial Narrow" w:cs="Arial"/>
          <w:color w:val="000000" w:themeColor="text1"/>
          <w:lang w:val="es-ES_tradnl" w:eastAsia="es-ES"/>
        </w:rPr>
      </w:pPr>
      <w:r w:rsidRPr="00C64F25">
        <w:rPr>
          <w:rFonts w:ascii="Arial Narrow" w:hAnsi="Arial Narrow" w:cs="Arial"/>
          <w:b/>
          <w:bCs/>
          <w:color w:val="000000" w:themeColor="text1"/>
          <w:u w:val="single"/>
          <w:lang w:val="es-ES" w:eastAsia="es-ES"/>
        </w:rPr>
        <w:t>CLÁUSULA OPTATIVA</w:t>
      </w:r>
      <w:r w:rsidRPr="002C0D19">
        <w:rPr>
          <w:rFonts w:ascii="Arial Narrow" w:hAnsi="Arial Narrow" w:cs="Arial"/>
          <w:b/>
          <w:bCs/>
          <w:color w:val="000000" w:themeColor="text1"/>
          <w:lang w:val="es-ES" w:eastAsia="es-ES"/>
        </w:rPr>
        <w:t xml:space="preserve"> </w:t>
      </w:r>
      <w:r w:rsidRPr="002C0D19">
        <w:rPr>
          <w:rFonts w:ascii="Arial Narrow" w:hAnsi="Arial Narrow" w:cs="Arial"/>
          <w:b/>
          <w:bCs/>
          <w:color w:val="000000" w:themeColor="text1"/>
          <w:u w:val="single"/>
          <w:lang w:val="es-ES" w:eastAsia="es-ES"/>
        </w:rPr>
        <w:t>DÉCIMA SEGUNDA. Cláusula Compromisoria.</w:t>
      </w:r>
      <w:r w:rsidRPr="002C0D19">
        <w:rPr>
          <w:rFonts w:ascii="Arial Narrow" w:hAnsi="Arial Narrow" w:cs="Arial"/>
          <w:color w:val="000000" w:themeColor="text1"/>
          <w:u w:val="single"/>
          <w:lang w:val="es-ES" w:eastAsia="es-ES"/>
        </w:rPr>
        <w:t xml:space="preserve"> </w:t>
      </w:r>
      <w:r w:rsidRPr="002C0D19">
        <w:rPr>
          <w:rFonts w:ascii="Arial Narrow" w:hAnsi="Arial Narrow" w:cs="Arial"/>
          <w:color w:val="000000" w:themeColor="text1"/>
          <w:lang w:val="es-ES_tradnl" w:eastAsia="es-ES"/>
        </w:rPr>
        <w:t xml:space="preserve">Todas las diferencias que ocurran entre las partes con ocasión de la presente Oferta, una vez aceptada, y que no puedan solucionarse por acuerdo directo entre ellas, en un plazo que no podrá exceder de dos (2) meses contados a partir de la fecha del evento que generó la diferencia, serán resueltas por un Tribunal de Arbitramento. Cuando la cuantía de las pretensiones supere los mil (1000) salarios mínimos legales mensuales vigentes en Colombia, el Tribunal de Arbitramento estará conformado por tres (3) árbitros, los cuales serán designados por las partes dentro de los quince (15) días hábiles siguientes al vencimiento del plazo de dos (2) meses de acuerdo directo, o a falta de acuerdo, mediante sorteo entre los árbitros inscritos en el Centro de Arbitraje y Conciliación de la Cámara de Comercio de Bogotá. En caso de que la cuantía de las pretensiones sea igual o inferior a mil (1000) salarios mínimos legales mensuales vigentes en Colombia, el Tribunal de Arbitramento estará conformado por un (1) árbitro, el cual será designado por las partes dentro de los quince (15) días hábiles siguientes al vencimiento del plazo de dos (2) meses de acuerdo directo, o a falta de acuerdo, por sorteo entre los árbitros inscritos en el Centro de Arbitraje y Conciliación de la Cámara de Comercio de Bogotá. El o los árbitros designados serán Abogados inscritos y fallarán en derecho. El Tribunal de Arbitramento tendrá sede en la ciudad de Bogotá y se regirá por las leyes colombianas. </w:t>
      </w:r>
    </w:p>
    <w:p w14:paraId="40DA3EFE" w14:textId="77777777" w:rsidR="00514CE5" w:rsidRPr="002C0D19" w:rsidRDefault="00514CE5" w:rsidP="009A4BA3">
      <w:pPr>
        <w:jc w:val="both"/>
        <w:rPr>
          <w:rFonts w:ascii="Arial Narrow" w:hAnsi="Arial Narrow" w:cs="Arial"/>
          <w:b/>
          <w:bCs/>
          <w:color w:val="000000" w:themeColor="text1"/>
          <w:lang w:val="es-ES" w:eastAsia="es-ES"/>
        </w:rPr>
      </w:pPr>
    </w:p>
    <w:p w14:paraId="0FAF6613" w14:textId="77777777" w:rsidR="00514CE5" w:rsidRPr="002C0D19" w:rsidRDefault="00514CE5" w:rsidP="009A4BA3">
      <w:pPr>
        <w:jc w:val="both"/>
        <w:rPr>
          <w:rFonts w:ascii="Arial Narrow" w:hAnsi="Arial Narrow" w:cs="Arial"/>
          <w:color w:val="000000" w:themeColor="text1"/>
          <w:lang w:val="es-ES_tradnl" w:eastAsia="es-ES"/>
        </w:rPr>
      </w:pPr>
      <w:r w:rsidRPr="002C0D19">
        <w:rPr>
          <w:rFonts w:ascii="Arial Narrow" w:hAnsi="Arial Narrow" w:cs="Arial"/>
          <w:b/>
          <w:color w:val="000000" w:themeColor="text1"/>
          <w:u w:val="single"/>
          <w:lang w:val="es-ES_tradnl" w:eastAsia="es-ES"/>
        </w:rPr>
        <w:t>DÉCIMA TERCERA. Notificaciones.</w:t>
      </w:r>
      <w:r w:rsidRPr="002C0D19">
        <w:rPr>
          <w:rFonts w:ascii="Arial Narrow" w:hAnsi="Arial Narrow" w:cs="Arial"/>
          <w:color w:val="000000" w:themeColor="text1"/>
          <w:lang w:val="es-ES_tradnl" w:eastAsia="es-ES"/>
        </w:rPr>
        <w:t xml:space="preserve"> Todas las notificaciones y comunicaciones relacionadas con la presente Oferta de Servicios se harán por escrito y se enviarán a las siguientes direcciones:</w:t>
      </w:r>
    </w:p>
    <w:p w14:paraId="56EBAB89" w14:textId="77777777" w:rsidR="00514CE5" w:rsidRPr="002C0D19" w:rsidRDefault="00514CE5" w:rsidP="009A4BA3">
      <w:pPr>
        <w:jc w:val="both"/>
        <w:rPr>
          <w:rFonts w:ascii="Arial Narrow" w:hAnsi="Arial Narrow" w:cs="Arial"/>
          <w:b/>
          <w:color w:val="000000" w:themeColor="text1"/>
          <w:lang w:val="es-ES_tradnl" w:eastAsia="es-ES"/>
        </w:rPr>
      </w:pPr>
    </w:p>
    <w:p w14:paraId="2A208F4C" w14:textId="77777777" w:rsidR="00514CE5" w:rsidRPr="002C0D19" w:rsidRDefault="00514CE5" w:rsidP="009A4BA3">
      <w:pPr>
        <w:jc w:val="both"/>
        <w:rPr>
          <w:rFonts w:ascii="Arial Narrow" w:hAnsi="Arial Narrow" w:cs="Arial"/>
          <w:b/>
          <w:color w:val="000000" w:themeColor="text1"/>
          <w:lang w:val="es-ES_tradnl" w:eastAsia="es-ES"/>
        </w:rPr>
      </w:pPr>
      <w:r w:rsidRPr="002C0D19">
        <w:rPr>
          <w:rFonts w:ascii="Arial Narrow" w:hAnsi="Arial Narrow" w:cs="Arial"/>
          <w:b/>
          <w:color w:val="000000" w:themeColor="text1"/>
          <w:lang w:val="es-ES_tradnl" w:eastAsia="es-ES"/>
        </w:rPr>
        <w:t>EL TERCERO:</w:t>
      </w:r>
    </w:p>
    <w:p w14:paraId="3E2618FF" w14:textId="77777777" w:rsidR="00514CE5" w:rsidRPr="002C0D19" w:rsidRDefault="00514CE5" w:rsidP="009A4BA3">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t xml:space="preserve">Fax:  </w:t>
      </w:r>
    </w:p>
    <w:p w14:paraId="5699C5ED" w14:textId="77777777" w:rsidR="00514CE5" w:rsidRPr="002C0D19" w:rsidRDefault="00514CE5" w:rsidP="009A4BA3">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r>
      <w:r w:rsidRPr="002C0D19">
        <w:rPr>
          <w:rFonts w:ascii="Arial Narrow" w:hAnsi="Arial Narrow" w:cs="Arial"/>
          <w:color w:val="000000" w:themeColor="text1"/>
          <w:lang w:val="es-ES" w:eastAsia="es-ES"/>
        </w:rPr>
        <w:t>Dirección</w:t>
      </w:r>
      <w:r w:rsidRPr="002C0D19">
        <w:rPr>
          <w:rFonts w:ascii="Arial Narrow" w:hAnsi="Arial Narrow" w:cs="Arial"/>
          <w:color w:val="000000" w:themeColor="text1"/>
          <w:lang w:eastAsia="es-ES"/>
        </w:rPr>
        <w:t xml:space="preserve">: </w:t>
      </w:r>
    </w:p>
    <w:p w14:paraId="644B0663" w14:textId="77777777" w:rsidR="00514CE5" w:rsidRPr="002C0D19" w:rsidRDefault="00514CE5" w:rsidP="009A4BA3">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t xml:space="preserve">Ciudad: </w:t>
      </w:r>
    </w:p>
    <w:p w14:paraId="2D40F662" w14:textId="77777777" w:rsidR="00514CE5" w:rsidRPr="002C0D19" w:rsidRDefault="00514CE5" w:rsidP="009A4BA3">
      <w:pPr>
        <w:jc w:val="both"/>
        <w:rPr>
          <w:rFonts w:ascii="Arial Narrow" w:hAnsi="Arial Narrow" w:cs="Arial"/>
          <w:b/>
          <w:color w:val="000000" w:themeColor="text1"/>
          <w:lang w:val="es-ES_tradnl" w:eastAsia="es-ES"/>
        </w:rPr>
      </w:pPr>
    </w:p>
    <w:p w14:paraId="3038CF17" w14:textId="77777777" w:rsidR="00514CE5" w:rsidRPr="002C0D19" w:rsidRDefault="00514CE5" w:rsidP="009A4BA3">
      <w:pPr>
        <w:jc w:val="both"/>
        <w:rPr>
          <w:rFonts w:ascii="Arial Narrow" w:hAnsi="Arial Narrow" w:cs="Arial"/>
          <w:b/>
          <w:color w:val="000000" w:themeColor="text1"/>
          <w:lang w:val="es-ES_tradnl" w:eastAsia="es-ES"/>
        </w:rPr>
      </w:pPr>
      <w:r w:rsidRPr="002C0D19">
        <w:rPr>
          <w:rFonts w:ascii="Arial Narrow" w:hAnsi="Arial Narrow" w:cs="Arial"/>
          <w:b/>
          <w:color w:val="000000" w:themeColor="text1"/>
          <w:lang w:val="es-ES_tradnl" w:eastAsia="es-ES"/>
        </w:rPr>
        <w:lastRenderedPageBreak/>
        <w:t>EL MIEMBRO:</w:t>
      </w:r>
      <w:r w:rsidRPr="002C0D19">
        <w:rPr>
          <w:rFonts w:ascii="Arial Narrow" w:hAnsi="Arial Narrow" w:cs="Arial"/>
          <w:b/>
          <w:color w:val="000000" w:themeColor="text1"/>
          <w:lang w:val="es-ES_tradnl" w:eastAsia="es-ES"/>
        </w:rPr>
        <w:tab/>
      </w:r>
    </w:p>
    <w:p w14:paraId="0E6D75C2" w14:textId="77777777" w:rsidR="00514CE5" w:rsidRPr="002C0D19" w:rsidRDefault="00514CE5" w:rsidP="009A4BA3">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t xml:space="preserve">Fax:  </w:t>
      </w:r>
    </w:p>
    <w:p w14:paraId="184B4322" w14:textId="77777777" w:rsidR="00514CE5" w:rsidRPr="002C0D19" w:rsidRDefault="00514CE5" w:rsidP="009A4BA3">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r>
      <w:r w:rsidRPr="002C0D19">
        <w:rPr>
          <w:rFonts w:ascii="Arial Narrow" w:hAnsi="Arial Narrow" w:cs="Arial"/>
          <w:color w:val="000000" w:themeColor="text1"/>
          <w:lang w:val="es-ES" w:eastAsia="es-ES"/>
        </w:rPr>
        <w:t>Dirección</w:t>
      </w:r>
      <w:r w:rsidRPr="002C0D19">
        <w:rPr>
          <w:rFonts w:ascii="Arial Narrow" w:hAnsi="Arial Narrow" w:cs="Arial"/>
          <w:color w:val="000000" w:themeColor="text1"/>
          <w:lang w:eastAsia="es-ES"/>
        </w:rPr>
        <w:t xml:space="preserve">: </w:t>
      </w:r>
    </w:p>
    <w:p w14:paraId="1A5B36E9" w14:textId="77777777" w:rsidR="00514CE5" w:rsidRPr="002C0D19" w:rsidRDefault="00514CE5" w:rsidP="009A4BA3">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t xml:space="preserve">Ciudad: </w:t>
      </w:r>
    </w:p>
    <w:p w14:paraId="38564E07" w14:textId="77777777" w:rsidR="00514CE5" w:rsidRPr="002C0D19" w:rsidRDefault="00514CE5" w:rsidP="009A4BA3">
      <w:pPr>
        <w:tabs>
          <w:tab w:val="left" w:pos="567"/>
          <w:tab w:val="left" w:pos="2835"/>
        </w:tabs>
        <w:ind w:right="44"/>
        <w:jc w:val="both"/>
        <w:rPr>
          <w:rFonts w:ascii="Arial Narrow" w:hAnsi="Arial Narrow" w:cs="Arial"/>
          <w:color w:val="000000" w:themeColor="text1"/>
          <w:lang w:eastAsia="es-ES"/>
        </w:rPr>
      </w:pPr>
    </w:p>
    <w:p w14:paraId="61FC4406" w14:textId="77777777" w:rsidR="00514CE5" w:rsidRPr="002C0D19" w:rsidRDefault="00514CE5" w:rsidP="009A4BA3">
      <w:pPr>
        <w:jc w:val="both"/>
        <w:rPr>
          <w:rFonts w:ascii="Arial Narrow" w:hAnsi="Arial Narrow" w:cs="Arial"/>
          <w:color w:val="000000" w:themeColor="text1"/>
          <w:lang w:val="es-ES" w:eastAsia="es-ES"/>
        </w:rPr>
      </w:pPr>
      <w:r w:rsidRPr="002C0D19">
        <w:rPr>
          <w:rFonts w:ascii="Arial Narrow" w:hAnsi="Arial Narrow" w:cs="Arial"/>
          <w:b/>
          <w:color w:val="000000" w:themeColor="text1"/>
          <w:u w:val="single"/>
          <w:lang w:val="es-ES_tradnl" w:eastAsia="es-ES"/>
        </w:rPr>
        <w:t>DECIMA CUARTA.</w:t>
      </w:r>
      <w:r w:rsidRPr="002C0D19">
        <w:rPr>
          <w:rFonts w:ascii="Arial Narrow" w:hAnsi="Arial Narrow" w:cs="Arial"/>
          <w:color w:val="000000" w:themeColor="text1"/>
          <w:u w:val="single"/>
          <w:lang w:val="es-ES_tradnl" w:eastAsia="es-ES"/>
        </w:rPr>
        <w:t xml:space="preserve"> </w:t>
      </w:r>
      <w:r w:rsidRPr="002C0D19">
        <w:rPr>
          <w:rFonts w:ascii="Arial Narrow" w:hAnsi="Arial Narrow" w:cs="Arial"/>
          <w:b/>
          <w:color w:val="000000" w:themeColor="text1"/>
          <w:u w:val="single"/>
          <w:lang w:val="es-ES" w:eastAsia="es-ES"/>
        </w:rPr>
        <w:t>Mérito Ejecutivo.</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Las partes</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reconocen y aceptan que la presente Oferta de Servicios, una vez aceptada mediante la expedición de la Orden de Compra de Servicios,</w:t>
      </w:r>
      <w:r w:rsidRPr="002C0D19" w:rsidDel="00CA2BCF">
        <w:rPr>
          <w:rFonts w:ascii="Arial Narrow" w:hAnsi="Arial Narrow" w:cs="Arial"/>
          <w:color w:val="000000" w:themeColor="text1"/>
          <w:lang w:val="es-ES" w:eastAsia="es-ES"/>
        </w:rPr>
        <w:t xml:space="preserve"> </w:t>
      </w:r>
      <w:r w:rsidRPr="002C0D19">
        <w:rPr>
          <w:rFonts w:ascii="Arial Narrow" w:hAnsi="Arial Narrow" w:cs="Arial"/>
          <w:color w:val="000000" w:themeColor="text1"/>
          <w:lang w:val="es-ES" w:eastAsia="es-ES"/>
        </w:rPr>
        <w:t>prestará mérito ejecutivo para solicitar el cumplimiento de las obligaciones a cargo de las mismas, sin necesidad de requerimiento en mora judicial o extrajudicial.</w:t>
      </w:r>
    </w:p>
    <w:p w14:paraId="25CA8016" w14:textId="77777777" w:rsidR="00514CE5" w:rsidRPr="002C0D19" w:rsidRDefault="00514CE5" w:rsidP="009A4BA3">
      <w:pPr>
        <w:jc w:val="both"/>
        <w:rPr>
          <w:rFonts w:ascii="Arial Narrow" w:hAnsi="Arial Narrow" w:cs="Arial"/>
          <w:b/>
          <w:bCs/>
          <w:color w:val="000000" w:themeColor="text1"/>
          <w:u w:val="single"/>
          <w:lang w:val="es-ES" w:eastAsia="es-ES"/>
        </w:rPr>
      </w:pPr>
    </w:p>
    <w:p w14:paraId="64A080AA" w14:textId="77777777" w:rsidR="00514CE5" w:rsidRPr="002C0D19" w:rsidRDefault="00514CE5" w:rsidP="009A4BA3">
      <w:pPr>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es-ES" w:eastAsia="es-ES"/>
        </w:rPr>
        <w:t>DÉCIMA QUINTA. Aceptación de esta Oferta.</w:t>
      </w:r>
      <w:r w:rsidRPr="002C0D19">
        <w:rPr>
          <w:rFonts w:ascii="Arial Narrow" w:hAnsi="Arial Narrow" w:cs="Arial"/>
          <w:color w:val="000000" w:themeColor="text1"/>
          <w:lang w:val="es-ES" w:eastAsia="es-ES"/>
        </w:rPr>
        <w:t xml:space="preserve"> La presente Oferta se entenderá aceptada mediante la expedición, por parte de </w:t>
      </w:r>
      <w:r w:rsidRPr="002C0D19">
        <w:rPr>
          <w:rFonts w:ascii="Arial Narrow" w:hAnsi="Arial Narrow" w:cs="Arial"/>
          <w:b/>
          <w:color w:val="000000" w:themeColor="text1"/>
          <w:lang w:val="es-ES" w:eastAsia="es-ES"/>
        </w:rPr>
        <w:t>EL TERCERO</w:t>
      </w:r>
      <w:r w:rsidRPr="002C0D19">
        <w:rPr>
          <w:rFonts w:ascii="Arial Narrow" w:hAnsi="Arial Narrow" w:cs="Arial"/>
          <w:color w:val="000000" w:themeColor="text1"/>
          <w:lang w:val="es-ES" w:eastAsia="es-ES"/>
        </w:rPr>
        <w:t>, de una Orden de Compra de Servicios.</w:t>
      </w:r>
    </w:p>
    <w:p w14:paraId="7C74EE31" w14:textId="77777777" w:rsidR="00514CE5" w:rsidRPr="002C0D19" w:rsidRDefault="00514CE5" w:rsidP="009A4BA3">
      <w:pPr>
        <w:jc w:val="both"/>
        <w:rPr>
          <w:rFonts w:ascii="Arial Narrow" w:hAnsi="Arial Narrow" w:cs="Arial"/>
          <w:color w:val="000000" w:themeColor="text1"/>
          <w:lang w:val="es-ES" w:eastAsia="es-ES"/>
        </w:rPr>
      </w:pPr>
    </w:p>
    <w:p w14:paraId="2CE2D858" w14:textId="77777777" w:rsidR="00514CE5" w:rsidRPr="002C0D19" w:rsidRDefault="00514CE5" w:rsidP="009A4BA3">
      <w:pPr>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es-ES" w:eastAsia="es-ES"/>
        </w:rPr>
        <w:t>DÉCIMA SEXTA. Impuestos.</w:t>
      </w:r>
      <w:r w:rsidRPr="002C0D19">
        <w:rPr>
          <w:rFonts w:ascii="Arial Narrow" w:hAnsi="Arial Narrow" w:cs="Arial"/>
          <w:color w:val="000000" w:themeColor="text1"/>
          <w:lang w:val="es-ES" w:eastAsia="es-ES"/>
        </w:rPr>
        <w:t xml:space="preserve"> De conformidad con el numeral 52 del artículo 530 del Estatuto Tributario, la presente Oferta y su posterior aceptación mediante Orden de Compra de Servicios, no causan impuesto de timbre. </w:t>
      </w:r>
    </w:p>
    <w:p w14:paraId="15927C44" w14:textId="77777777" w:rsidR="00514CE5" w:rsidRPr="002C0D19" w:rsidRDefault="00514CE5" w:rsidP="009A4BA3">
      <w:pPr>
        <w:jc w:val="both"/>
        <w:rPr>
          <w:rFonts w:ascii="Arial Narrow" w:hAnsi="Arial Narrow" w:cs="Arial"/>
          <w:color w:val="000000" w:themeColor="text1"/>
          <w:lang w:val="es-ES" w:eastAsia="es-ES"/>
        </w:rPr>
      </w:pPr>
    </w:p>
    <w:p w14:paraId="2FB5FD71" w14:textId="77777777" w:rsidR="00514CE5" w:rsidRPr="002C0D19" w:rsidRDefault="00514CE5" w:rsidP="009A4BA3">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Para constancia, se firma en Bogotá D.C. el día ______________ (____) del mes de _____________ del año dos mil ___________ (____). </w:t>
      </w:r>
    </w:p>
    <w:p w14:paraId="73C8AF7D" w14:textId="77777777" w:rsidR="00514CE5" w:rsidRPr="002C0D19" w:rsidRDefault="00514CE5" w:rsidP="009A4BA3">
      <w:pPr>
        <w:jc w:val="both"/>
        <w:rPr>
          <w:rFonts w:ascii="Arial Narrow" w:hAnsi="Arial Narrow" w:cs="Arial"/>
          <w:color w:val="000000" w:themeColor="text1"/>
          <w:lang w:val="es-ES" w:eastAsia="es-ES"/>
        </w:rPr>
      </w:pPr>
    </w:p>
    <w:p w14:paraId="75014DA3" w14:textId="77777777" w:rsidR="00514CE5" w:rsidRPr="002C0D19" w:rsidRDefault="00514CE5" w:rsidP="009A4BA3">
      <w:pPr>
        <w:jc w:val="both"/>
        <w:rPr>
          <w:rFonts w:ascii="Arial Narrow" w:hAnsi="Arial Narrow" w:cs="Arial"/>
          <w:b/>
          <w:bCs/>
          <w:color w:val="000000" w:themeColor="text1"/>
          <w:lang w:val="es-ES" w:eastAsia="es-ES"/>
        </w:rPr>
      </w:pPr>
      <w:r w:rsidRPr="002C0D19">
        <w:rPr>
          <w:rFonts w:ascii="Arial Narrow" w:hAnsi="Arial Narrow" w:cs="Arial"/>
          <w:b/>
          <w:bCs/>
          <w:color w:val="000000" w:themeColor="text1"/>
          <w:lang w:val="es-ES" w:eastAsia="es-ES"/>
        </w:rPr>
        <w:t>EL MIEMBRO</w:t>
      </w:r>
    </w:p>
    <w:p w14:paraId="4E0C508A" w14:textId="77777777" w:rsidR="00514CE5" w:rsidRPr="002C0D19" w:rsidRDefault="00514CE5" w:rsidP="009A4BA3">
      <w:pPr>
        <w:jc w:val="both"/>
        <w:rPr>
          <w:rFonts w:ascii="Arial Narrow" w:hAnsi="Arial Narrow" w:cs="Arial"/>
          <w:color w:val="000000" w:themeColor="text1"/>
          <w:spacing w:val="-3"/>
          <w:lang w:val="es-ES" w:eastAsia="es-ES"/>
        </w:rPr>
      </w:pPr>
    </w:p>
    <w:p w14:paraId="497A8E61" w14:textId="77777777" w:rsidR="00514CE5" w:rsidRPr="002C0D19" w:rsidRDefault="00514CE5" w:rsidP="009A4BA3">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Por:          ________________________________                      </w:t>
      </w:r>
    </w:p>
    <w:p w14:paraId="7DB50DAE" w14:textId="77777777" w:rsidR="00514CE5" w:rsidRPr="002C0D19" w:rsidRDefault="00514CE5" w:rsidP="009A4BA3">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Nombre:                                               </w:t>
      </w:r>
    </w:p>
    <w:p w14:paraId="25DAC260" w14:textId="77777777" w:rsidR="00514CE5" w:rsidRPr="002C0D19" w:rsidRDefault="00514CE5" w:rsidP="009A4BA3">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Cargo:       Representante Legal                                    </w:t>
      </w:r>
    </w:p>
    <w:p w14:paraId="545FA195" w14:textId="77777777" w:rsidR="007968EC" w:rsidRPr="002C0D19" w:rsidRDefault="00514CE5" w:rsidP="009A4BA3">
      <w:pPr>
        <w:jc w:val="both"/>
        <w:rPr>
          <w:rFonts w:ascii="Arial Narrow" w:hAnsi="Arial Narrow" w:cs="Arial"/>
          <w:color w:val="000000" w:themeColor="text1"/>
          <w:spacing w:val="-3"/>
          <w:lang w:val="fr-FR" w:eastAsia="es-ES"/>
        </w:rPr>
      </w:pPr>
      <w:r w:rsidRPr="002C0D19">
        <w:rPr>
          <w:rFonts w:ascii="Arial Narrow" w:hAnsi="Arial Narrow" w:cs="Arial"/>
          <w:color w:val="000000" w:themeColor="text1"/>
          <w:spacing w:val="-3"/>
          <w:lang w:val="fr-FR" w:eastAsia="es-ES"/>
        </w:rPr>
        <w:t>C.C.</w:t>
      </w:r>
    </w:p>
    <w:p w14:paraId="73C6C09F" w14:textId="77777777" w:rsidR="007968EC" w:rsidRPr="002C0D19" w:rsidRDefault="007968EC" w:rsidP="007968EC">
      <w:pPr>
        <w:rPr>
          <w:rFonts w:ascii="Arial Narrow" w:hAnsi="Arial Narrow" w:cs="Arial"/>
          <w:b/>
          <w:color w:val="000000" w:themeColor="text1"/>
          <w:lang w:val="es-ES" w:eastAsia="es-ES"/>
        </w:rPr>
      </w:pPr>
    </w:p>
    <w:p w14:paraId="2AD87864" w14:textId="77777777" w:rsidR="007968EC" w:rsidRPr="002C0D19" w:rsidRDefault="007968EC" w:rsidP="007968EC">
      <w:pPr>
        <w:rPr>
          <w:rFonts w:ascii="Arial Narrow" w:hAnsi="Arial Narrow" w:cs="Arial"/>
          <w:b/>
          <w:color w:val="000000" w:themeColor="text1"/>
          <w:lang w:val="es-ES" w:eastAsia="es-ES"/>
        </w:rPr>
      </w:pPr>
    </w:p>
    <w:p w14:paraId="4D8F6C12" w14:textId="77777777" w:rsidR="007968EC" w:rsidRPr="002C0D19" w:rsidRDefault="007968EC" w:rsidP="007968EC">
      <w:pPr>
        <w:rPr>
          <w:rFonts w:ascii="Arial Narrow" w:hAnsi="Arial Narrow" w:cs="Arial"/>
          <w:b/>
          <w:color w:val="000000" w:themeColor="text1"/>
          <w:lang w:val="es-ES" w:eastAsia="es-ES"/>
        </w:rPr>
      </w:pPr>
    </w:p>
    <w:p w14:paraId="1231BCEB" w14:textId="77777777" w:rsidR="007968EC" w:rsidRPr="002C0D19" w:rsidRDefault="007968EC" w:rsidP="007968EC">
      <w:pPr>
        <w:rPr>
          <w:rFonts w:ascii="Arial Narrow" w:hAnsi="Arial Narrow" w:cs="Arial"/>
          <w:b/>
          <w:color w:val="000000" w:themeColor="text1"/>
          <w:lang w:val="es-ES" w:eastAsia="es-ES"/>
        </w:rPr>
      </w:pPr>
    </w:p>
    <w:p w14:paraId="192936B3" w14:textId="77777777" w:rsidR="007968EC" w:rsidRPr="002C0D19" w:rsidRDefault="007968EC" w:rsidP="007968EC">
      <w:pPr>
        <w:rPr>
          <w:rFonts w:ascii="Arial Narrow" w:hAnsi="Arial Narrow" w:cs="Arial"/>
          <w:b/>
          <w:color w:val="000000" w:themeColor="text1"/>
          <w:lang w:val="es-ES" w:eastAsia="es-ES"/>
        </w:rPr>
      </w:pPr>
    </w:p>
    <w:p w14:paraId="5D2434C3" w14:textId="77777777" w:rsidR="007968EC" w:rsidRPr="002C0D19" w:rsidRDefault="007968EC" w:rsidP="007968EC">
      <w:pPr>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br w:type="page"/>
      </w:r>
    </w:p>
    <w:p w14:paraId="5108FE78" w14:textId="77777777" w:rsidR="007968EC" w:rsidRPr="002C0D19" w:rsidRDefault="007968EC" w:rsidP="007968EC">
      <w:pPr>
        <w:pStyle w:val="TTULO"/>
        <w:rPr>
          <w:lang w:val="es-ES"/>
        </w:rPr>
      </w:pPr>
      <w:bookmarkStart w:id="6582" w:name="_Toc31716612"/>
      <w:r w:rsidRPr="002C0D19">
        <w:rPr>
          <w:lang w:val="es-ES"/>
        </w:rPr>
        <w:lastRenderedPageBreak/>
        <w:t>ANEXO 20 A</w:t>
      </w:r>
      <w:bookmarkEnd w:id="6582"/>
    </w:p>
    <w:p w14:paraId="6117356E" w14:textId="77777777" w:rsidR="007968EC" w:rsidRPr="002C0D19" w:rsidRDefault="007968EC" w:rsidP="007968EC">
      <w:pPr>
        <w:pStyle w:val="TTULO"/>
        <w:rPr>
          <w:lang w:val="es-ES"/>
        </w:rPr>
      </w:pPr>
    </w:p>
    <w:p w14:paraId="5269B61F" w14:textId="77777777" w:rsidR="007968EC" w:rsidRPr="004B3C30" w:rsidRDefault="007968EC" w:rsidP="007968EC">
      <w:pPr>
        <w:jc w:val="center"/>
        <w:rPr>
          <w:rFonts w:ascii="Arial Narrow" w:hAnsi="Arial Narrow" w:cs="Arial"/>
          <w:b/>
          <w:color w:val="000000" w:themeColor="text1"/>
          <w:lang w:val="es-ES" w:eastAsia="es-ES"/>
        </w:rPr>
      </w:pPr>
      <w:r w:rsidRPr="004B3C30">
        <w:rPr>
          <w:rFonts w:ascii="Arial Narrow" w:hAnsi="Arial Narrow" w:cs="Arial"/>
          <w:b/>
          <w:color w:val="000000" w:themeColor="text1"/>
          <w:lang w:val="es-ES" w:eastAsia="es-ES"/>
        </w:rPr>
        <w:t xml:space="preserve">FORMATO CON CONDICIONES MÍNIMAS PARA LA OFERTA DE SERVICIOS DE MIEMBRO A TERCERO PARA COMPENSAR OPERACIONES SOBRE INSTRUMENTOS DERIVADOS NO ESTANDARIZADOS </w:t>
      </w:r>
    </w:p>
    <w:p w14:paraId="3C7C9216" w14:textId="77777777" w:rsidR="007968EC" w:rsidRPr="002C0D19" w:rsidRDefault="007968EC" w:rsidP="007968EC">
      <w:pPr>
        <w:jc w:val="center"/>
        <w:rPr>
          <w:rFonts w:ascii="Arial Narrow" w:hAnsi="Arial Narrow" w:cs="Arial"/>
          <w:b/>
          <w:color w:val="000000" w:themeColor="text1"/>
          <w:lang w:val="es-ES" w:eastAsia="es-ES"/>
        </w:rPr>
      </w:pPr>
    </w:p>
    <w:p w14:paraId="11FD3322" w14:textId="77777777" w:rsidR="007968EC" w:rsidRPr="002C0D19" w:rsidRDefault="007968EC" w:rsidP="007968EC">
      <w:pPr>
        <w:jc w:val="center"/>
        <w:rPr>
          <w:rFonts w:ascii="Arial Narrow" w:hAnsi="Arial Narrow" w:cs="Arial"/>
          <w:b/>
          <w:bCs/>
          <w:i/>
          <w:color w:val="000000" w:themeColor="text1"/>
          <w:lang w:val="es-ES" w:eastAsia="es-ES"/>
        </w:rPr>
      </w:pPr>
    </w:p>
    <w:p w14:paraId="399F4A5C" w14:textId="77777777" w:rsidR="007968EC" w:rsidRPr="002C0D19" w:rsidRDefault="007968EC" w:rsidP="007968EC">
      <w:pPr>
        <w:jc w:val="center"/>
        <w:rPr>
          <w:rFonts w:ascii="Arial Narrow" w:hAnsi="Arial Narrow" w:cs="Arial"/>
          <w:b/>
          <w:bCs/>
          <w:color w:val="000000" w:themeColor="text1"/>
          <w:lang w:eastAsia="es-ES"/>
        </w:rPr>
      </w:pPr>
      <w:r w:rsidRPr="002C0D19">
        <w:rPr>
          <w:rFonts w:ascii="Arial Narrow" w:hAnsi="Arial Narrow" w:cs="Arial"/>
          <w:b/>
          <w:bCs/>
          <w:color w:val="000000" w:themeColor="text1"/>
          <w:lang w:eastAsia="es-ES"/>
        </w:rPr>
        <w:t xml:space="preserve">OFERTA DE SERVICIOS PARA QUE UN MIEMBRO PARTICIPE POR CUENTA DE UN TERCERO ANTE LA CÁMARA DE RIESGO CENTRAL DE CONTRAPARTE DE COLOMBIA S.A. – CRCC S.A. </w:t>
      </w:r>
    </w:p>
    <w:p w14:paraId="2EF48F4D" w14:textId="77777777" w:rsidR="007968EC" w:rsidRPr="002C0D19" w:rsidRDefault="007968EC" w:rsidP="007968EC">
      <w:pPr>
        <w:jc w:val="center"/>
        <w:rPr>
          <w:rFonts w:ascii="Arial Narrow" w:hAnsi="Arial Narrow" w:cs="Arial"/>
          <w:b/>
          <w:color w:val="000000" w:themeColor="text1"/>
          <w:lang w:val="es-MX" w:eastAsia="es-ES"/>
        </w:rPr>
      </w:pPr>
    </w:p>
    <w:p w14:paraId="772A5BAE" w14:textId="77777777" w:rsidR="007968EC" w:rsidRPr="002C0D19" w:rsidRDefault="007968EC" w:rsidP="007968EC">
      <w:pPr>
        <w:jc w:val="both"/>
        <w:rPr>
          <w:rFonts w:ascii="Arial Narrow" w:hAnsi="Arial Narrow" w:cs="Arial"/>
          <w:b/>
          <w:color w:val="000000" w:themeColor="text1"/>
          <w:lang w:val="es-ES" w:eastAsia="es-ES"/>
        </w:rPr>
      </w:pPr>
      <w:r w:rsidRPr="002C0D19">
        <w:rPr>
          <w:rFonts w:ascii="Arial Narrow" w:hAnsi="Arial Narrow" w:cs="Arial"/>
          <w:color w:val="000000" w:themeColor="text1"/>
          <w:lang w:val="es-ES" w:eastAsia="es-ES"/>
        </w:rPr>
        <w:t>Esta Oferta de Servicios para que un Miembro participe por cuenta de un Tercero ante la Cámara de Riesgo Central de Contraparte de Colombia S.A. – CRCC S.A., en adelante</w:t>
      </w:r>
      <w:r w:rsidRPr="002C0D19">
        <w:rPr>
          <w:rFonts w:ascii="Arial Narrow" w:hAnsi="Arial Narrow" w:cs="Arial"/>
          <w:b/>
          <w:color w:val="000000" w:themeColor="text1"/>
          <w:lang w:val="es-ES" w:eastAsia="es-ES"/>
        </w:rPr>
        <w:t xml:space="preserve"> LA CRCC, </w:t>
      </w:r>
      <w:r w:rsidRPr="002C0D19">
        <w:rPr>
          <w:rFonts w:ascii="Arial Narrow" w:hAnsi="Arial Narrow" w:cs="Arial"/>
          <w:color w:val="000000" w:themeColor="text1"/>
          <w:lang w:val="es-ES" w:eastAsia="es-ES"/>
        </w:rPr>
        <w:t xml:space="preserve">se somete por </w:t>
      </w:r>
      <w:r w:rsidRPr="002C0D19">
        <w:rPr>
          <w:rFonts w:ascii="Arial Narrow" w:hAnsi="Arial Narrow" w:cs="Arial"/>
          <w:bCs/>
          <w:color w:val="000000" w:themeColor="text1"/>
          <w:lang w:val="es-ES" w:eastAsia="es-ES"/>
        </w:rPr>
        <w:t>_____________________</w:t>
      </w:r>
      <w:r w:rsidRPr="002C0D19">
        <w:rPr>
          <w:rFonts w:ascii="Arial Narrow" w:hAnsi="Arial Narrow" w:cs="Arial"/>
          <w:color w:val="000000" w:themeColor="text1"/>
          <w:lang w:val="es-ES" w:eastAsia="es-ES"/>
        </w:rPr>
        <w:t>, en adelante</w:t>
      </w:r>
      <w:r w:rsidRPr="002C0D19">
        <w:rPr>
          <w:rFonts w:ascii="Arial Narrow" w:hAnsi="Arial Narrow" w:cs="Arial"/>
          <w:b/>
          <w:color w:val="000000" w:themeColor="text1"/>
          <w:lang w:val="es-ES" w:eastAsia="es-ES"/>
        </w:rPr>
        <w:t xml:space="preserve"> </w:t>
      </w:r>
      <w:r w:rsidRPr="002C0D19">
        <w:rPr>
          <w:rFonts w:ascii="Arial Narrow" w:hAnsi="Arial Narrow" w:cs="Arial"/>
          <w:b/>
          <w:bCs/>
          <w:color w:val="000000" w:themeColor="text1"/>
          <w:lang w:val="es-ES" w:eastAsia="es-ES"/>
        </w:rPr>
        <w:t>EL MIEMBRO</w:t>
      </w:r>
      <w:r w:rsidRPr="002C0D19">
        <w:rPr>
          <w:rFonts w:ascii="Arial Narrow" w:hAnsi="Arial Narrow" w:cs="Arial"/>
          <w:bCs/>
          <w:color w:val="000000" w:themeColor="text1"/>
          <w:lang w:val="es-ES" w:eastAsia="es-ES"/>
        </w:rPr>
        <w:t>,</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 xml:space="preserve">a consideración de ________________________, en adelante </w:t>
      </w:r>
      <w:r w:rsidRPr="002C0D19">
        <w:rPr>
          <w:rFonts w:ascii="Arial Narrow" w:hAnsi="Arial Narrow" w:cs="Arial"/>
          <w:b/>
          <w:bCs/>
          <w:color w:val="000000" w:themeColor="text1"/>
          <w:lang w:val="es-ES" w:eastAsia="es-ES"/>
        </w:rPr>
        <w:t>EL TERCERO</w:t>
      </w:r>
      <w:r w:rsidRPr="002C0D19">
        <w:rPr>
          <w:rFonts w:ascii="Arial Narrow" w:hAnsi="Arial Narrow" w:cs="Arial"/>
          <w:b/>
          <w:color w:val="000000" w:themeColor="text1"/>
          <w:lang w:val="es-ES" w:eastAsia="es-ES"/>
        </w:rPr>
        <w:t>.</w:t>
      </w:r>
    </w:p>
    <w:p w14:paraId="2F0C12D4" w14:textId="77777777" w:rsidR="007968EC" w:rsidRPr="002C0D19" w:rsidRDefault="007968EC" w:rsidP="007968EC">
      <w:pPr>
        <w:jc w:val="both"/>
        <w:rPr>
          <w:rFonts w:ascii="Arial Narrow" w:hAnsi="Arial Narrow" w:cs="Arial"/>
          <w:color w:val="000000" w:themeColor="text1"/>
          <w:lang w:val="es-ES" w:eastAsia="es-ES"/>
        </w:rPr>
      </w:pPr>
    </w:p>
    <w:p w14:paraId="7D3B2927"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Clase de Tercero: </w:t>
      </w:r>
      <w:r w:rsidRPr="002C0D19">
        <w:rPr>
          <w:rFonts w:ascii="Arial Narrow" w:hAnsi="Arial Narrow" w:cs="Arial"/>
          <w:color w:val="000000" w:themeColor="text1"/>
          <w:lang w:val="es-ES" w:eastAsia="es-ES"/>
        </w:rPr>
        <w:tab/>
      </w:r>
    </w:p>
    <w:p w14:paraId="61A6AAB6" w14:textId="77777777" w:rsidR="007968EC" w:rsidRPr="002C0D19" w:rsidRDefault="007968EC" w:rsidP="007968EC">
      <w:pPr>
        <w:jc w:val="both"/>
        <w:rPr>
          <w:rFonts w:ascii="Arial Narrow" w:hAnsi="Arial Narrow" w:cs="Arial"/>
          <w:color w:val="000000" w:themeColor="text1"/>
          <w:lang w:val="es-ES" w:eastAsia="es-ES"/>
        </w:rPr>
      </w:pPr>
    </w:p>
    <w:p w14:paraId="51EFF789"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_______ Identificado</w:t>
      </w:r>
      <w:r w:rsidRPr="002C0D19">
        <w:rPr>
          <w:rFonts w:ascii="Arial Narrow" w:hAnsi="Arial Narrow" w:cs="Arial"/>
          <w:color w:val="000000" w:themeColor="text1"/>
          <w:lang w:val="es-ES" w:eastAsia="es-ES"/>
        </w:rPr>
        <w:tab/>
      </w:r>
      <w:r w:rsidRPr="002C0D19">
        <w:rPr>
          <w:rFonts w:ascii="Arial Narrow" w:hAnsi="Arial Narrow" w:cs="Arial"/>
          <w:color w:val="000000" w:themeColor="text1"/>
          <w:lang w:val="es-ES" w:eastAsia="es-ES"/>
        </w:rPr>
        <w:tab/>
        <w:t xml:space="preserve">Cuenta asignada por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___________________</w:t>
      </w:r>
    </w:p>
    <w:p w14:paraId="7DF8206D"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_______ No Identificado</w:t>
      </w:r>
      <w:r w:rsidRPr="002C0D19">
        <w:rPr>
          <w:rFonts w:ascii="Arial Narrow" w:hAnsi="Arial Narrow" w:cs="Arial"/>
          <w:color w:val="000000" w:themeColor="text1"/>
          <w:lang w:val="es-ES" w:eastAsia="es-ES"/>
        </w:rPr>
        <w:tab/>
        <w:t xml:space="preserve">Cuenta asignada por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________________</w:t>
      </w:r>
    </w:p>
    <w:p w14:paraId="3300F7C0"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Número de cuenta en un depósito centralizado de valores: ____________________ (Tercero Identificado y no Identificado)</w:t>
      </w:r>
    </w:p>
    <w:p w14:paraId="472D47DB" w14:textId="77777777" w:rsidR="007968EC" w:rsidRPr="002C0D19" w:rsidRDefault="007968EC" w:rsidP="007968EC">
      <w:pPr>
        <w:jc w:val="both"/>
        <w:rPr>
          <w:rFonts w:ascii="Arial Narrow" w:hAnsi="Arial Narrow" w:cs="Arial"/>
          <w:bCs/>
          <w:color w:val="000000" w:themeColor="text1"/>
          <w:u w:val="single"/>
          <w:lang w:val="es-ES" w:eastAsia="es-ES"/>
        </w:rPr>
      </w:pPr>
    </w:p>
    <w:p w14:paraId="2F2A84DC" w14:textId="77777777" w:rsidR="007968EC" w:rsidRPr="002C0D19" w:rsidRDefault="007968EC" w:rsidP="007968EC">
      <w:pPr>
        <w:jc w:val="center"/>
        <w:rPr>
          <w:rFonts w:ascii="Arial Narrow" w:hAnsi="Arial Narrow" w:cs="Arial"/>
          <w:b/>
          <w:bCs/>
          <w:iCs/>
          <w:color w:val="000000" w:themeColor="text1"/>
          <w:lang w:val="es-ES" w:eastAsia="es-ES"/>
        </w:rPr>
      </w:pPr>
      <w:r w:rsidRPr="002C0D19">
        <w:rPr>
          <w:rFonts w:ascii="Arial Narrow" w:hAnsi="Arial Narrow" w:cs="Arial"/>
          <w:b/>
          <w:bCs/>
          <w:iCs/>
          <w:color w:val="000000" w:themeColor="text1"/>
          <w:lang w:val="es-ES" w:eastAsia="es-ES"/>
        </w:rPr>
        <w:t>TÉRMINOS Y CONDICIONES DE LA OFERTA</w:t>
      </w:r>
    </w:p>
    <w:p w14:paraId="0D37BFC5" w14:textId="77777777" w:rsidR="007968EC" w:rsidRPr="002C0D19" w:rsidRDefault="007968EC" w:rsidP="007968EC">
      <w:pPr>
        <w:jc w:val="center"/>
        <w:rPr>
          <w:rFonts w:ascii="Arial Narrow" w:hAnsi="Arial Narrow" w:cs="Arial"/>
          <w:b/>
          <w:bCs/>
          <w:color w:val="000000" w:themeColor="text1"/>
          <w:lang w:val="es-ES" w:eastAsia="es-ES"/>
        </w:rPr>
      </w:pPr>
    </w:p>
    <w:p w14:paraId="2EC4A5DC"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es-ES" w:eastAsia="es-ES"/>
        </w:rPr>
        <w:t>PRIMERA. Objeto.</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 xml:space="preserve">En virtud de la aceptación de la presente Oferta de Servicios,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participará por cuenta de </w:t>
      </w:r>
      <w:r w:rsidRPr="002C0D19">
        <w:rPr>
          <w:rFonts w:ascii="Arial Narrow" w:hAnsi="Arial Narrow" w:cs="Arial"/>
          <w:b/>
          <w:color w:val="000000" w:themeColor="text1"/>
          <w:lang w:val="es-ES" w:eastAsia="es-ES"/>
        </w:rPr>
        <w:t>EL TERCERO</w:t>
      </w:r>
      <w:r w:rsidRPr="002C0D19">
        <w:rPr>
          <w:rFonts w:ascii="Arial Narrow" w:hAnsi="Arial Narrow" w:cs="Arial"/>
          <w:color w:val="000000" w:themeColor="text1"/>
          <w:lang w:val="es-ES" w:eastAsia="es-ES"/>
        </w:rPr>
        <w:t xml:space="preserve"> ante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de conformidad con los términos y condiciones establecidos en el Reglamento de la </w:t>
      </w:r>
      <w:r w:rsidRPr="002C0D19">
        <w:rPr>
          <w:rFonts w:ascii="Arial Narrow" w:hAnsi="Arial Narrow" w:cs="Arial"/>
          <w:b/>
          <w:color w:val="000000" w:themeColor="text1"/>
          <w:lang w:val="es-ES" w:eastAsia="es-ES"/>
        </w:rPr>
        <w:t>CRCC S.A.</w:t>
      </w:r>
      <w:r w:rsidRPr="002C0D19">
        <w:rPr>
          <w:rFonts w:ascii="Arial Narrow" w:hAnsi="Arial Narrow" w:cs="Arial"/>
          <w:color w:val="000000" w:themeColor="text1"/>
          <w:lang w:val="es-ES" w:eastAsia="es-ES"/>
        </w:rPr>
        <w:t xml:space="preserve">, en adelante el “Reglamento”. Dicha participación faculta a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para compensar, liquidar y garantizar operaciones por cuenta de </w:t>
      </w:r>
      <w:r w:rsidRPr="002C0D19">
        <w:rPr>
          <w:rFonts w:ascii="Arial Narrow" w:hAnsi="Arial Narrow" w:cs="Arial"/>
          <w:b/>
          <w:color w:val="000000" w:themeColor="text1"/>
          <w:lang w:val="es-ES" w:eastAsia="es-ES"/>
        </w:rPr>
        <w:t xml:space="preserve">EL TERCERO </w:t>
      </w:r>
      <w:r w:rsidRPr="002C0D19">
        <w:rPr>
          <w:rFonts w:ascii="Arial Narrow" w:hAnsi="Arial Narrow" w:cs="Arial"/>
          <w:color w:val="000000" w:themeColor="text1"/>
          <w:lang w:val="es-ES" w:eastAsia="es-ES"/>
        </w:rPr>
        <w:t xml:space="preserve">en los Segmentos en que participe, así como, para realizar todas las demás gestiones autorizadas, dada su condición de Miembro, de conformidad con los términos y condiciones establecidos en el Reglamento. </w:t>
      </w:r>
    </w:p>
    <w:p w14:paraId="491BB2BA" w14:textId="77777777" w:rsidR="007968EC" w:rsidRPr="002C0D19" w:rsidRDefault="007968EC" w:rsidP="007968EC">
      <w:pPr>
        <w:jc w:val="both"/>
        <w:rPr>
          <w:rFonts w:ascii="Arial Narrow" w:hAnsi="Arial Narrow" w:cs="Arial"/>
          <w:color w:val="000000" w:themeColor="text1"/>
          <w:lang w:val="es-ES" w:eastAsia="es-ES"/>
        </w:rPr>
      </w:pPr>
    </w:p>
    <w:p w14:paraId="46A46030"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 w:eastAsia="es-ES"/>
        </w:rPr>
        <w:t>PARÁGRAFO.</w:t>
      </w:r>
      <w:r w:rsidRPr="002C0D19">
        <w:rPr>
          <w:rFonts w:ascii="Arial Narrow" w:hAnsi="Arial Narrow" w:cs="Arial"/>
          <w:color w:val="000000" w:themeColor="text1"/>
          <w:lang w:val="es-ES" w:eastAsia="es-ES"/>
        </w:rPr>
        <w:t xml:space="preserve"> Los términos que se utilizan en esta Oferta de Servicios, cuya primera letra sea una mayúscula y que no se encuentren expresamente definidos en esta Oferta, tendrán el significado que se les atribuye en el Reglamento.</w:t>
      </w:r>
    </w:p>
    <w:p w14:paraId="2B0AEA61" w14:textId="77777777" w:rsidR="007968EC" w:rsidRPr="002C0D19" w:rsidRDefault="007968EC" w:rsidP="007968EC">
      <w:pPr>
        <w:jc w:val="both"/>
        <w:rPr>
          <w:rFonts w:ascii="Arial Narrow" w:hAnsi="Arial Narrow" w:cs="Arial"/>
          <w:color w:val="000000" w:themeColor="text1"/>
          <w:lang w:val="es-ES" w:eastAsia="es-ES"/>
        </w:rPr>
      </w:pPr>
    </w:p>
    <w:p w14:paraId="5CCE5604"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color w:val="000000" w:themeColor="text1"/>
          <w:u w:val="single"/>
          <w:lang w:val="es-ES" w:eastAsia="es-ES"/>
        </w:rPr>
        <w:t>SEGUNDA. Declaraciones, Manifestaciones y Autorizaciones.</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Mediante la aceptación de la presente Oferta,</w:t>
      </w:r>
      <w:r w:rsidRPr="002C0D19">
        <w:rPr>
          <w:rFonts w:ascii="Arial Narrow" w:hAnsi="Arial Narrow" w:cs="Arial"/>
          <w:b/>
          <w:color w:val="000000" w:themeColor="text1"/>
          <w:lang w:val="es-ES" w:eastAsia="es-ES"/>
        </w:rPr>
        <w:t xml:space="preserve"> EL TERCERO</w:t>
      </w:r>
      <w:r w:rsidRPr="002C0D19">
        <w:rPr>
          <w:rFonts w:ascii="Arial Narrow" w:hAnsi="Arial Narrow" w:cs="Arial"/>
          <w:color w:val="000000" w:themeColor="text1"/>
          <w:lang w:val="es-ES" w:eastAsia="es-ES"/>
        </w:rPr>
        <w:t>:</w:t>
      </w:r>
    </w:p>
    <w:p w14:paraId="72C6BBEE" w14:textId="77777777" w:rsidR="007968EC" w:rsidRPr="002C0D19" w:rsidRDefault="007968EC" w:rsidP="007968EC">
      <w:pPr>
        <w:jc w:val="both"/>
        <w:rPr>
          <w:rFonts w:ascii="Arial Narrow" w:hAnsi="Arial Narrow" w:cs="Arial"/>
          <w:b/>
          <w:color w:val="000000" w:themeColor="text1"/>
          <w:lang w:val="es-ES" w:eastAsia="es-ES"/>
        </w:rPr>
      </w:pPr>
    </w:p>
    <w:p w14:paraId="4D24898E" w14:textId="77777777" w:rsidR="007968EC" w:rsidRPr="002C0D19" w:rsidRDefault="007968EC" w:rsidP="00DA7472">
      <w:pPr>
        <w:numPr>
          <w:ilvl w:val="0"/>
          <w:numId w:val="74"/>
        </w:numPr>
        <w:tabs>
          <w:tab w:val="clear" w:pos="708"/>
          <w:tab w:val="left" w:pos="709"/>
        </w:tabs>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Declara expresamente conocer y aceptar en su integridad el Reglamento, las Circulares y los Instructivos Operativos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los cuales son de carácter vinculante y se consideran parte integral de la presente Oferta de Servicios.</w:t>
      </w:r>
    </w:p>
    <w:p w14:paraId="0DBDDC3D" w14:textId="77777777" w:rsidR="007968EC" w:rsidRPr="002C0D19" w:rsidRDefault="007968EC" w:rsidP="00DA7472">
      <w:pPr>
        <w:numPr>
          <w:ilvl w:val="0"/>
          <w:numId w:val="74"/>
        </w:numPr>
        <w:tabs>
          <w:tab w:val="clear" w:pos="708"/>
          <w:tab w:val="left" w:pos="709"/>
        </w:tabs>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lastRenderedPageBreak/>
        <w:t xml:space="preserve"> Declara que conoce y acepta los derechos y obligaciones que le corresponden, como Tercero Identificado o Tercero no Identificado, según el caso, de conformidad con lo dispuesto en los artículo 2.1.21. y siguientes del Reglamento.</w:t>
      </w:r>
    </w:p>
    <w:p w14:paraId="47B6C6DC" w14:textId="77777777" w:rsidR="007968EC" w:rsidRPr="002C0D19" w:rsidRDefault="007968EC" w:rsidP="00DA7472">
      <w:pPr>
        <w:numPr>
          <w:ilvl w:val="0"/>
          <w:numId w:val="74"/>
        </w:numPr>
        <w:tabs>
          <w:tab w:val="clear" w:pos="708"/>
          <w:tab w:val="left" w:pos="709"/>
        </w:tabs>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Manifiesta y acepta que en lo no previsto expresamente en la presente oferta, se aplicará lo dispuesto en el Reglamento. </w:t>
      </w:r>
    </w:p>
    <w:p w14:paraId="49F7B053" w14:textId="77777777" w:rsidR="007968EC" w:rsidRPr="002C0D19" w:rsidRDefault="007968EC" w:rsidP="00DA7472">
      <w:pPr>
        <w:numPr>
          <w:ilvl w:val="0"/>
          <w:numId w:val="74"/>
        </w:numPr>
        <w:tabs>
          <w:tab w:val="clear" w:pos="708"/>
          <w:tab w:val="left" w:pos="709"/>
        </w:tabs>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Acepta que las Operaciones Aceptadas por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y que realice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por cuenta de </w:t>
      </w:r>
      <w:r w:rsidRPr="002C0D19">
        <w:rPr>
          <w:rFonts w:ascii="Arial Narrow" w:hAnsi="Arial Narrow" w:cs="Arial"/>
          <w:b/>
          <w:color w:val="000000" w:themeColor="text1"/>
          <w:lang w:val="es-ES" w:eastAsia="es-ES"/>
        </w:rPr>
        <w:t>EL TERCERO</w:t>
      </w:r>
      <w:r w:rsidRPr="002C0D19">
        <w:rPr>
          <w:rFonts w:ascii="Arial Narrow" w:hAnsi="Arial Narrow" w:cs="Arial"/>
          <w:color w:val="000000" w:themeColor="text1"/>
          <w:lang w:val="es-ES" w:eastAsia="es-ES"/>
        </w:rPr>
        <w:t xml:space="preserve">, se entenderán automáticamente novadas por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con ocasión de su interposición como contraparte, en los términos y con el alcance previsto en el Reglamento. </w:t>
      </w:r>
    </w:p>
    <w:p w14:paraId="3E344827" w14:textId="77777777" w:rsidR="007968EC" w:rsidRPr="002C0D19" w:rsidRDefault="007968EC" w:rsidP="00DA7472">
      <w:pPr>
        <w:numPr>
          <w:ilvl w:val="0"/>
          <w:numId w:val="74"/>
        </w:numPr>
        <w:tabs>
          <w:tab w:val="clear" w:pos="708"/>
          <w:tab w:val="left" w:pos="709"/>
        </w:tabs>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Declara y acepta que las Garantías constituidas y mantenidas, con los ajustes procedentes, por </w:t>
      </w:r>
      <w:r w:rsidRPr="002C0D19">
        <w:rPr>
          <w:rFonts w:ascii="Arial Narrow" w:hAnsi="Arial Narrow" w:cs="Arial"/>
          <w:b/>
          <w:color w:val="000000" w:themeColor="text1"/>
          <w:lang w:val="es-ES" w:eastAsia="es-ES"/>
        </w:rPr>
        <w:t>EL TERCERO</w:t>
      </w:r>
      <w:r w:rsidRPr="002C0D19">
        <w:rPr>
          <w:rFonts w:ascii="Arial Narrow" w:hAnsi="Arial Narrow" w:cs="Arial"/>
          <w:color w:val="000000" w:themeColor="text1"/>
          <w:lang w:val="es-ES" w:eastAsia="es-ES"/>
        </w:rPr>
        <w:t xml:space="preserve"> a favor de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y/o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no se verán afectadas por la novación antes referida y se mantendrán vigentes, conviniendo expresamente en su reserva a favor de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y/o de </w:t>
      </w:r>
      <w:r w:rsidRPr="002C0D19">
        <w:rPr>
          <w:rFonts w:ascii="Arial Narrow" w:hAnsi="Arial Narrow" w:cs="Arial"/>
          <w:b/>
          <w:color w:val="000000" w:themeColor="text1"/>
          <w:lang w:val="es-ES" w:eastAsia="es-ES"/>
        </w:rPr>
        <w:t>LA CRCC.</w:t>
      </w:r>
    </w:p>
    <w:p w14:paraId="76C0DE80" w14:textId="77777777" w:rsidR="007968EC" w:rsidRPr="002C0D19" w:rsidRDefault="007968EC" w:rsidP="00DA7472">
      <w:pPr>
        <w:numPr>
          <w:ilvl w:val="0"/>
          <w:numId w:val="74"/>
        </w:numPr>
        <w:tabs>
          <w:tab w:val="clear" w:pos="708"/>
          <w:tab w:val="left" w:pos="709"/>
        </w:tabs>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Reitera que conoce y acepta lo dispuesto en los numerales 4. y 5. del artículo 2.1.22 del Reglamento. Por lo tanto, manifiesta que conoce y acepta que cuando tenga la calidad de Tercero Identificado, su derecho relativo al recibo de efectivo lo es únicamente con respecto a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mientras que su derecho relativo al recibo de Activos lo es respecto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En ningún caso, el Tercero Identificado podrá exigir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los dineros que le corresponda recibir en virtud de las operaciones realizadas por su cuenta.</w:t>
      </w:r>
    </w:p>
    <w:p w14:paraId="6024C8A3" w14:textId="77777777" w:rsidR="007968EC" w:rsidRPr="002C0D19" w:rsidRDefault="007968EC" w:rsidP="00DA7472">
      <w:pPr>
        <w:numPr>
          <w:ilvl w:val="0"/>
          <w:numId w:val="74"/>
        </w:numPr>
        <w:tabs>
          <w:tab w:val="clear" w:pos="708"/>
          <w:tab w:val="left" w:pos="709"/>
        </w:tabs>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Reitera que conoce y acepta lo dispuesto en el artículo 2.1.24 del Reglamento. Por lo tanto, manifiesta que conoce y acepta que cuando tenga la calidad de Tercero no Identificado, los derechos y obligaciones derivados de las operaciones efectuadas por su cuenta, lo son únicamente respecto de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y en ningún caso respecto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En consecuencia, el Tercero no Identificado no podrá exigir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los dineros o Activos que le corresponda recibir en virtud de las operaciones realizadas por su cuenta.</w:t>
      </w:r>
    </w:p>
    <w:p w14:paraId="7E320408" w14:textId="77777777" w:rsidR="007968EC" w:rsidRPr="002C0D19" w:rsidRDefault="007968EC" w:rsidP="00DA7472">
      <w:pPr>
        <w:numPr>
          <w:ilvl w:val="0"/>
          <w:numId w:val="74"/>
        </w:numPr>
        <w:tabs>
          <w:tab w:val="clear" w:pos="708"/>
          <w:tab w:val="left" w:pos="709"/>
        </w:tabs>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Reconoce que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tiene derecho a limitar el riesgo y, por ende, a establecer límites a las operaciones de </w:t>
      </w:r>
      <w:r w:rsidRPr="002C0D19">
        <w:rPr>
          <w:rFonts w:ascii="Arial Narrow" w:hAnsi="Arial Narrow" w:cs="Arial"/>
          <w:b/>
          <w:color w:val="000000" w:themeColor="text1"/>
          <w:lang w:val="es-ES" w:eastAsia="es-ES"/>
        </w:rPr>
        <w:t>EL TERCERO</w:t>
      </w:r>
      <w:r w:rsidRPr="002C0D19">
        <w:rPr>
          <w:rFonts w:ascii="Arial Narrow" w:hAnsi="Arial Narrow" w:cs="Arial"/>
          <w:color w:val="000000" w:themeColor="text1"/>
          <w:lang w:val="es-ES" w:eastAsia="es-ES"/>
        </w:rPr>
        <w:t xml:space="preserve">. </w:t>
      </w:r>
    </w:p>
    <w:p w14:paraId="5FD1998C" w14:textId="77777777" w:rsidR="007968EC" w:rsidRPr="002C0D19" w:rsidRDefault="007968EC" w:rsidP="00DA7472">
      <w:pPr>
        <w:numPr>
          <w:ilvl w:val="0"/>
          <w:numId w:val="74"/>
        </w:numPr>
        <w:tabs>
          <w:tab w:val="clear" w:pos="708"/>
          <w:tab w:val="left" w:pos="709"/>
        </w:tabs>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Manifiesta que acepta expresamente </w:t>
      </w:r>
      <w:r w:rsidRPr="002C0D19">
        <w:rPr>
          <w:rFonts w:ascii="Arial Narrow" w:hAnsi="Arial Narrow" w:cs="Arial"/>
          <w:color w:val="000000" w:themeColor="text1"/>
          <w:lang w:eastAsia="es-ES"/>
        </w:rPr>
        <w:t xml:space="preserve">el procedimiento y las consecuencias derivadas del Incumplimiento y/o de la ejecución de Garantías </w:t>
      </w:r>
      <w:r w:rsidRPr="002C0D19">
        <w:rPr>
          <w:rFonts w:ascii="Arial Narrow" w:hAnsi="Arial Narrow" w:cs="Arial"/>
          <w:color w:val="000000" w:themeColor="text1"/>
          <w:lang w:val="es-ES" w:eastAsia="es-ES"/>
        </w:rPr>
        <w:t xml:space="preserve">con las particularidades que se establezcan para cada Segmento </w:t>
      </w:r>
      <w:r w:rsidRPr="002C0D19">
        <w:rPr>
          <w:rFonts w:ascii="Arial Narrow" w:hAnsi="Arial Narrow" w:cs="Arial"/>
          <w:color w:val="000000" w:themeColor="text1"/>
          <w:lang w:eastAsia="es-ES"/>
        </w:rPr>
        <w:t xml:space="preserve">contemplados en el Reglamento, las Circulares e Instructivos Operativos de </w:t>
      </w:r>
      <w:r w:rsidRPr="002C0D19">
        <w:rPr>
          <w:rFonts w:ascii="Arial Narrow" w:hAnsi="Arial Narrow" w:cs="Arial"/>
          <w:b/>
          <w:color w:val="000000" w:themeColor="text1"/>
          <w:lang w:val="es-ES" w:eastAsia="es-ES"/>
        </w:rPr>
        <w:t xml:space="preserve">LA CRCC. </w:t>
      </w:r>
    </w:p>
    <w:p w14:paraId="06FC6668" w14:textId="77777777" w:rsidR="007968EC" w:rsidRPr="002C0D19" w:rsidRDefault="007968EC" w:rsidP="00DA7472">
      <w:pPr>
        <w:numPr>
          <w:ilvl w:val="0"/>
          <w:numId w:val="74"/>
        </w:numPr>
        <w:tabs>
          <w:tab w:val="clear" w:pos="708"/>
          <w:tab w:val="left" w:pos="709"/>
        </w:tabs>
        <w:jc w:val="both"/>
        <w:rPr>
          <w:rFonts w:ascii="Arial Narrow" w:hAnsi="Arial Narrow" w:cs="Arial"/>
          <w:color w:val="000000" w:themeColor="text1"/>
          <w:lang w:val="es-ES" w:eastAsia="es-ES"/>
        </w:rPr>
      </w:pPr>
      <w:r w:rsidRPr="002C0D19">
        <w:rPr>
          <w:rFonts w:ascii="Arial Narrow" w:hAnsi="Arial Narrow" w:cs="Arial"/>
          <w:color w:val="000000" w:themeColor="text1"/>
          <w:lang w:eastAsia="es-ES"/>
        </w:rPr>
        <w:t xml:space="preserve">Faculta expresamente </w:t>
      </w:r>
      <w:r w:rsidRPr="002C0D19">
        <w:rPr>
          <w:rFonts w:ascii="Arial Narrow" w:hAnsi="Arial Narrow" w:cs="Arial"/>
          <w:color w:val="000000" w:themeColor="text1"/>
          <w:lang w:val="es-ES" w:eastAsia="es-ES"/>
        </w:rPr>
        <w:t xml:space="preserve">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y/o a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eastAsia="es-ES"/>
        </w:rPr>
        <w:t xml:space="preserve"> para que, en caso de que </w:t>
      </w:r>
      <w:r w:rsidRPr="002C0D19">
        <w:rPr>
          <w:rFonts w:ascii="Arial Narrow" w:hAnsi="Arial Narrow" w:cs="Arial"/>
          <w:color w:val="000000" w:themeColor="text1"/>
          <w:lang w:val="es-ES" w:eastAsia="es-ES"/>
        </w:rPr>
        <w:t xml:space="preserve">incumpla con alguna de sus obligaciones de constitución o ajuste de Garantías o de cualquier pago o Liquidación,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y/o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cierren, por su cuenta, todas las Posiciones Abiertas de Operaciones Aceptadas registradas en su Cuenta o celebren </w:t>
      </w:r>
      <w:proofErr w:type="spellStart"/>
      <w:r w:rsidRPr="002C0D19">
        <w:rPr>
          <w:rFonts w:ascii="Arial Narrow" w:hAnsi="Arial Narrow" w:cs="Arial"/>
          <w:color w:val="000000" w:themeColor="text1"/>
          <w:lang w:val="es-ES" w:eastAsia="es-ES"/>
        </w:rPr>
        <w:t>nue</w:t>
      </w:r>
      <w:proofErr w:type="spellEnd"/>
      <w:r w:rsidRPr="002C0D19">
        <w:rPr>
          <w:rFonts w:ascii="Arial Narrow" w:hAnsi="Arial Narrow" w:cs="Arial"/>
          <w:color w:val="000000" w:themeColor="text1"/>
          <w:lang w:eastAsia="es-ES"/>
        </w:rPr>
        <w:t xml:space="preserve">vas operaciones hasta el cierre definitivo de la Posición </w:t>
      </w:r>
      <w:r w:rsidRPr="002C0D19">
        <w:rPr>
          <w:rFonts w:ascii="Arial Narrow" w:hAnsi="Arial Narrow" w:cs="Arial"/>
          <w:color w:val="000000" w:themeColor="text1"/>
          <w:lang w:val="es-ES" w:eastAsia="es-ES"/>
        </w:rPr>
        <w:t xml:space="preserve">Abierta. Acepta, igualmente, que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y/o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tomen cualesquiera otras medidas que se prevean en el Reglamento.</w:t>
      </w:r>
    </w:p>
    <w:p w14:paraId="1BF14F64" w14:textId="77777777" w:rsidR="007968EC" w:rsidRPr="002C0D19" w:rsidRDefault="007968EC" w:rsidP="00DA7472">
      <w:pPr>
        <w:numPr>
          <w:ilvl w:val="0"/>
          <w:numId w:val="74"/>
        </w:numPr>
        <w:tabs>
          <w:tab w:val="clear" w:pos="708"/>
          <w:tab w:val="left" w:pos="709"/>
        </w:tabs>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Acepta expresamente que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informe a las Autoridades Competentes el incumplimiento de las obligaciones a su cargo.</w:t>
      </w:r>
    </w:p>
    <w:p w14:paraId="137F7E3B" w14:textId="77777777" w:rsidR="007968EC" w:rsidRPr="002C0D19" w:rsidRDefault="007968EC" w:rsidP="00DA7472">
      <w:pPr>
        <w:numPr>
          <w:ilvl w:val="0"/>
          <w:numId w:val="74"/>
        </w:numPr>
        <w:tabs>
          <w:tab w:val="clear" w:pos="708"/>
          <w:tab w:val="left" w:pos="709"/>
        </w:tabs>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Autoriza a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a transmitir su información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a las Autoridades u organismos competentes que se lo soliciten. </w:t>
      </w:r>
    </w:p>
    <w:p w14:paraId="1D1A5B2D" w14:textId="77777777" w:rsidR="007968EC" w:rsidRPr="002C0D19" w:rsidRDefault="007968EC" w:rsidP="00DA7472">
      <w:pPr>
        <w:numPr>
          <w:ilvl w:val="0"/>
          <w:numId w:val="74"/>
        </w:numPr>
        <w:tabs>
          <w:tab w:val="clear" w:pos="708"/>
          <w:tab w:val="left" w:pos="709"/>
        </w:tabs>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Autoriza a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w:t>
      </w:r>
      <w:r w:rsidRPr="002C0D19">
        <w:rPr>
          <w:rFonts w:ascii="Arial Narrow" w:hAnsi="Arial Narrow" w:cs="Arial"/>
          <w:color w:val="000000" w:themeColor="text1"/>
          <w:lang w:eastAsia="es-ES"/>
        </w:rPr>
        <w:t xml:space="preserve">para que todas las comunicaciones telefónicas que </w:t>
      </w:r>
      <w:r w:rsidRPr="002C0D19">
        <w:rPr>
          <w:rFonts w:ascii="Arial Narrow" w:hAnsi="Arial Narrow" w:cs="Arial"/>
          <w:color w:val="000000" w:themeColor="text1"/>
          <w:lang w:val="es-ES" w:eastAsia="es-ES"/>
        </w:rPr>
        <w:t>sus funcionarios, operadores, empleados, contratistas, subcontratistas y/o dependientes</w:t>
      </w:r>
      <w:r w:rsidRPr="002C0D19">
        <w:rPr>
          <w:rFonts w:ascii="Arial Narrow" w:hAnsi="Arial Narrow" w:cs="Arial"/>
          <w:color w:val="000000" w:themeColor="text1"/>
          <w:lang w:eastAsia="es-ES"/>
        </w:rPr>
        <w:t xml:space="preserve"> tengan con </w:t>
      </w:r>
      <w:r w:rsidRPr="002C0D19">
        <w:rPr>
          <w:rFonts w:ascii="Arial Narrow" w:hAnsi="Arial Narrow" w:cs="Arial"/>
          <w:b/>
          <w:color w:val="000000" w:themeColor="text1"/>
          <w:lang w:val="es-ES" w:eastAsia="es-ES"/>
        </w:rPr>
        <w:t>EL TERCERO</w:t>
      </w:r>
      <w:r w:rsidRPr="002C0D19">
        <w:rPr>
          <w:rFonts w:ascii="Arial Narrow" w:hAnsi="Arial Narrow" w:cs="Arial"/>
          <w:color w:val="000000" w:themeColor="text1"/>
          <w:lang w:val="es-ES" w:eastAsia="es-ES"/>
        </w:rPr>
        <w:t>,</w:t>
      </w:r>
      <w:r w:rsidRPr="002C0D19">
        <w:rPr>
          <w:rFonts w:ascii="Arial Narrow" w:hAnsi="Arial Narrow" w:cs="Arial"/>
          <w:color w:val="000000" w:themeColor="text1"/>
          <w:lang w:eastAsia="es-ES"/>
        </w:rPr>
        <w:t xml:space="preserve"> </w:t>
      </w:r>
      <w:r w:rsidRPr="002C0D19">
        <w:rPr>
          <w:rFonts w:ascii="Arial Narrow" w:hAnsi="Arial Narrow" w:cs="Arial"/>
          <w:color w:val="000000" w:themeColor="text1"/>
          <w:lang w:eastAsia="es-ES"/>
        </w:rPr>
        <w:lastRenderedPageBreak/>
        <w:t xml:space="preserve">sean grabadas y que las mismas, en caso de requerirse, puedan ser presentadas como medio de prueba. </w:t>
      </w:r>
    </w:p>
    <w:p w14:paraId="17289A9A" w14:textId="77777777" w:rsidR="007968EC" w:rsidRPr="002C0D19" w:rsidRDefault="007968EC" w:rsidP="007968EC">
      <w:pPr>
        <w:jc w:val="both"/>
        <w:rPr>
          <w:rFonts w:ascii="Arial Narrow" w:hAnsi="Arial Narrow" w:cs="Arial"/>
          <w:color w:val="000000" w:themeColor="text1"/>
          <w:lang w:val="es-ES" w:eastAsia="es-ES"/>
        </w:rPr>
      </w:pPr>
    </w:p>
    <w:p w14:paraId="0BBFC3D7" w14:textId="77777777" w:rsidR="007968EC" w:rsidRPr="002C0D19" w:rsidRDefault="007968EC" w:rsidP="007968EC">
      <w:pPr>
        <w:jc w:val="both"/>
        <w:rPr>
          <w:rFonts w:ascii="Arial Narrow" w:hAnsi="Arial Narrow" w:cs="Arial"/>
          <w:b/>
          <w:color w:val="000000" w:themeColor="text1"/>
          <w:u w:val="single"/>
          <w:lang w:val="es-ES" w:eastAsia="es-ES"/>
        </w:rPr>
      </w:pPr>
      <w:r w:rsidRPr="002C0D19">
        <w:rPr>
          <w:rFonts w:ascii="Arial Narrow" w:hAnsi="Arial Narrow" w:cs="Arial"/>
          <w:b/>
          <w:color w:val="000000" w:themeColor="text1"/>
          <w:lang w:val="es-ES" w:eastAsia="es-ES"/>
        </w:rPr>
        <w:t>Parágrafo.</w:t>
      </w:r>
      <w:r w:rsidRPr="002C0D19">
        <w:rPr>
          <w:rFonts w:ascii="Arial Narrow" w:hAnsi="Arial Narrow" w:cs="Arial"/>
          <w:color w:val="000000" w:themeColor="text1"/>
          <w:lang w:val="es-ES" w:eastAsia="es-ES"/>
        </w:rPr>
        <w:t xml:space="preserve"> Cualquier reforma que se realice al Reglamento o a las Circulares de la Cámara que implique una modificación a los términos de los acuerdos o Convenios de vinculación, Oferta de Servicios Aceptada mediante Orden de Compra de Servicios que suscriban los Miembros y estos con sus Terceros se presume conocida y aceptada por las partes a partir de su publicación y entrada en vigencia y no requerirá de la modificación de tales acuerdos o Convenios de vinculación, Oferta de Servicios Aceptada mediante Orden de Compra de Servicios que suscriban los Miembros y estos con sus Terceros, ni de la suscripción de nuevos Convenios. No obstante, cuando haya lugar a ello, la Cámara podrá aprobar unos nuevos textos que incorporen las modificaciones pertinentes y publicarlos mediante Circular para efecto de la vinculación de nuevos Miembros, Agentes y Terceros a través de</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los Miembros.</w:t>
      </w:r>
    </w:p>
    <w:p w14:paraId="56C8C3EE" w14:textId="77777777" w:rsidR="007968EC" w:rsidRPr="002C0D19" w:rsidRDefault="007968EC" w:rsidP="007968EC">
      <w:pPr>
        <w:jc w:val="both"/>
        <w:rPr>
          <w:rFonts w:ascii="Arial Narrow" w:hAnsi="Arial Narrow" w:cs="Arial"/>
          <w:b/>
          <w:color w:val="000000" w:themeColor="text1"/>
          <w:u w:val="single"/>
          <w:lang w:val="es-ES" w:eastAsia="es-ES"/>
        </w:rPr>
      </w:pPr>
    </w:p>
    <w:p w14:paraId="6F115D78"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color w:val="000000" w:themeColor="text1"/>
          <w:u w:val="single"/>
          <w:lang w:val="es-ES" w:eastAsia="es-ES"/>
        </w:rPr>
        <w:t>TERCERA. Obligaciones de EL TERCERO</w:t>
      </w:r>
      <w:r w:rsidRPr="002C0D19">
        <w:rPr>
          <w:rFonts w:ascii="Arial Narrow" w:hAnsi="Arial Narrow" w:cs="Arial"/>
          <w:color w:val="000000" w:themeColor="text1"/>
          <w:u w:val="single"/>
          <w:lang w:val="es-ES" w:eastAsia="es-ES"/>
        </w:rPr>
        <w:t>.</w:t>
      </w:r>
      <w:r w:rsidRPr="002C0D19">
        <w:rPr>
          <w:rFonts w:ascii="Arial Narrow" w:hAnsi="Arial Narrow" w:cs="Arial"/>
          <w:color w:val="000000" w:themeColor="text1"/>
          <w:lang w:val="es-ES" w:eastAsia="es-ES"/>
        </w:rPr>
        <w:t xml:space="preserve"> Sin perjuicio </w:t>
      </w:r>
      <w:r w:rsidRPr="002C0D19">
        <w:rPr>
          <w:rFonts w:ascii="Arial Narrow" w:hAnsi="Arial Narrow" w:cs="Arial"/>
          <w:bCs/>
          <w:color w:val="000000" w:themeColor="text1"/>
          <w:lang w:eastAsia="es-ES"/>
        </w:rPr>
        <w:t xml:space="preserve">de las obligaciones previstas en las demás cláusulas de la presente Oferta, en el </w:t>
      </w:r>
      <w:r w:rsidRPr="002C0D19">
        <w:rPr>
          <w:rFonts w:ascii="Arial Narrow" w:hAnsi="Arial Narrow" w:cs="Arial"/>
          <w:color w:val="000000" w:themeColor="text1"/>
          <w:lang w:val="es-ES" w:eastAsia="es-ES"/>
        </w:rPr>
        <w:t xml:space="preserve">Reglamento, en las Circulares y en los Instructivos Operativos de </w:t>
      </w:r>
      <w:r w:rsidRPr="002C0D19">
        <w:rPr>
          <w:rFonts w:ascii="Arial Narrow" w:hAnsi="Arial Narrow" w:cs="Arial"/>
          <w:b/>
          <w:color w:val="000000" w:themeColor="text1"/>
          <w:lang w:val="es-ES" w:eastAsia="es-ES"/>
        </w:rPr>
        <w:t>LA CRCC,</w:t>
      </w:r>
      <w:r w:rsidRPr="002C0D19">
        <w:rPr>
          <w:rFonts w:ascii="Arial Narrow" w:hAnsi="Arial Narrow" w:cs="Arial"/>
          <w:bCs/>
          <w:color w:val="000000" w:themeColor="text1"/>
          <w:lang w:eastAsia="es-ES"/>
        </w:rPr>
        <w:t xml:space="preserve"> son obligaciones principales de </w:t>
      </w:r>
      <w:r w:rsidRPr="002C0D19">
        <w:rPr>
          <w:rFonts w:ascii="Arial Narrow" w:hAnsi="Arial Narrow" w:cs="Arial"/>
          <w:b/>
          <w:bCs/>
          <w:color w:val="000000" w:themeColor="text1"/>
          <w:lang w:eastAsia="es-ES"/>
        </w:rPr>
        <w:t>EL TERCERO</w:t>
      </w:r>
      <w:r w:rsidRPr="002C0D19">
        <w:rPr>
          <w:rFonts w:ascii="Arial Narrow" w:hAnsi="Arial Narrow" w:cs="Arial"/>
          <w:bCs/>
          <w:color w:val="000000" w:themeColor="text1"/>
          <w:lang w:eastAsia="es-ES"/>
        </w:rPr>
        <w:t>, las siguientes:</w:t>
      </w:r>
      <w:r w:rsidRPr="002C0D19">
        <w:rPr>
          <w:rFonts w:ascii="Arial Narrow" w:hAnsi="Arial Narrow" w:cs="Arial"/>
          <w:color w:val="000000" w:themeColor="text1"/>
          <w:lang w:val="es-ES" w:eastAsia="es-ES"/>
        </w:rPr>
        <w:t xml:space="preserve"> </w:t>
      </w:r>
    </w:p>
    <w:p w14:paraId="083BC6E6" w14:textId="77777777" w:rsidR="007968EC" w:rsidRPr="002C0D19" w:rsidRDefault="007968EC" w:rsidP="007968EC">
      <w:pPr>
        <w:jc w:val="both"/>
        <w:rPr>
          <w:rFonts w:ascii="Arial Narrow" w:hAnsi="Arial Narrow" w:cs="Arial"/>
          <w:color w:val="000000" w:themeColor="text1"/>
          <w:lang w:val="es-ES" w:eastAsia="es-ES"/>
        </w:rPr>
      </w:pPr>
    </w:p>
    <w:p w14:paraId="784A143B" w14:textId="77777777" w:rsidR="007968EC" w:rsidRPr="002C0D19" w:rsidRDefault="007968EC" w:rsidP="00DA7472">
      <w:pPr>
        <w:numPr>
          <w:ilvl w:val="0"/>
          <w:numId w:val="75"/>
        </w:numPr>
        <w:tabs>
          <w:tab w:val="clear" w:pos="708"/>
          <w:tab w:val="left" w:pos="709"/>
        </w:tabs>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Cumplir estrictamente sin restricciones ni reservas, la Ley, las instrucciones de las Autoridades Competentes, el Reglamento, las Circulares, los Instructivos Operativos y la presente Oferta de Servicios y todas aquellas decisiones que, en uso de sus atribuciones, adopten la Junta Directiva y/o el Gerente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para reglamentar su funcionamiento, divulgadas de conformidad con el Reglamento, sin que sirva de excusa o defensa la ignorancia de dichas normas o instrucciones. Lo anterior se extiende a cualquier modificación o adición que cualquier Autoridad Competente pueda imponer, así como las modificaciones que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pueda introducir con la autorización de la Superintendencia Financiera de Colombia. </w:t>
      </w:r>
    </w:p>
    <w:p w14:paraId="4CF721DB" w14:textId="77777777" w:rsidR="007968EC" w:rsidRPr="002C0D19" w:rsidRDefault="007968EC" w:rsidP="00DA7472">
      <w:pPr>
        <w:numPr>
          <w:ilvl w:val="0"/>
          <w:numId w:val="75"/>
        </w:numPr>
        <w:tabs>
          <w:tab w:val="clear" w:pos="708"/>
          <w:tab w:val="left" w:pos="709"/>
        </w:tabs>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Comunicar a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y/o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en el término establecido para el efecto, la información que ésta requiera en virtud de solicitudes de Autoridades Competentes o para la salvaguardia del interés general del mercado, sobre las Operaciones Aceptadas celebradas por su cuenta propia. </w:t>
      </w:r>
    </w:p>
    <w:p w14:paraId="3FDAA34E" w14:textId="77777777" w:rsidR="007968EC" w:rsidRPr="002C0D19" w:rsidRDefault="007968EC" w:rsidP="00DA7472">
      <w:pPr>
        <w:numPr>
          <w:ilvl w:val="0"/>
          <w:numId w:val="75"/>
        </w:numPr>
        <w:tabs>
          <w:tab w:val="clear" w:pos="708"/>
          <w:tab w:val="left" w:pos="709"/>
        </w:tabs>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Entregar a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o a las Autoridades Competentes directamente la información que le solicite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y/o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para la atención de requerimientos que las Autoridades Competentes le hagan a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y/o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w:t>
      </w:r>
    </w:p>
    <w:p w14:paraId="41B7AB85" w14:textId="77777777" w:rsidR="007968EC" w:rsidRPr="002C0D19" w:rsidRDefault="007968EC" w:rsidP="00DA7472">
      <w:pPr>
        <w:numPr>
          <w:ilvl w:val="0"/>
          <w:numId w:val="75"/>
        </w:numPr>
        <w:tabs>
          <w:tab w:val="clear" w:pos="708"/>
          <w:tab w:val="left" w:pos="709"/>
        </w:tabs>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Constituir y mantener, con los ajustes procedentes, las Garantías con las particularidades que se establezcan por Circular para cada Segmento y los fondos que exija</w:t>
      </w:r>
      <w:r w:rsidRPr="002C0D19">
        <w:rPr>
          <w:rFonts w:ascii="Arial Narrow" w:hAnsi="Arial Narrow" w:cs="Arial"/>
          <w:b/>
          <w:color w:val="000000" w:themeColor="text1"/>
          <w:lang w:val="es-ES" w:eastAsia="es-ES"/>
        </w:rPr>
        <w:t xml:space="preserve"> EL MIEMBRO </w:t>
      </w:r>
      <w:r w:rsidRPr="002C0D19">
        <w:rPr>
          <w:rFonts w:ascii="Arial Narrow" w:hAnsi="Arial Narrow" w:cs="Arial"/>
          <w:color w:val="000000" w:themeColor="text1"/>
          <w:lang w:val="es-ES" w:eastAsia="es-ES"/>
        </w:rPr>
        <w:t xml:space="preserve">con el fin de amparar en todo momento el cumplimiento de las Operaciones registradas en su cuenta, de conformidad con las exigencias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w:t>
      </w:r>
    </w:p>
    <w:p w14:paraId="3E3BF265" w14:textId="77777777" w:rsidR="007968EC" w:rsidRPr="002C0D19" w:rsidRDefault="007968EC" w:rsidP="00DA7472">
      <w:pPr>
        <w:numPr>
          <w:ilvl w:val="0"/>
          <w:numId w:val="75"/>
        </w:numPr>
        <w:tabs>
          <w:tab w:val="clear" w:pos="708"/>
          <w:tab w:val="left" w:pos="709"/>
        </w:tabs>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Entregar a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los dineros o los Activos que le corresponda entregar en virtud de las operaciones realizadas por su cuenta. </w:t>
      </w:r>
    </w:p>
    <w:p w14:paraId="1CCEE7CF" w14:textId="77777777" w:rsidR="007968EC" w:rsidRPr="002C0D19" w:rsidRDefault="007968EC" w:rsidP="00DA7472">
      <w:pPr>
        <w:numPr>
          <w:ilvl w:val="0"/>
          <w:numId w:val="75"/>
        </w:numPr>
        <w:tabs>
          <w:tab w:val="clear" w:pos="708"/>
          <w:tab w:val="left" w:pos="709"/>
        </w:tabs>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Mantener a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la cuenta de depósito de la que es titular </w:t>
      </w:r>
      <w:r w:rsidRPr="002C0D19">
        <w:rPr>
          <w:rFonts w:ascii="Arial Narrow" w:hAnsi="Arial Narrow" w:cs="Arial"/>
          <w:color w:val="000000" w:themeColor="text1"/>
          <w:lang w:eastAsia="es-ES"/>
        </w:rPr>
        <w:t xml:space="preserve">en calidad de Depositante Indirecto en un depósito centralizado de valores. </w:t>
      </w:r>
    </w:p>
    <w:p w14:paraId="489F9EE1" w14:textId="77777777" w:rsidR="007968EC" w:rsidRPr="002C0D19" w:rsidRDefault="007968EC" w:rsidP="00DA7472">
      <w:pPr>
        <w:numPr>
          <w:ilvl w:val="0"/>
          <w:numId w:val="75"/>
        </w:numPr>
        <w:tabs>
          <w:tab w:val="clear" w:pos="708"/>
          <w:tab w:val="left" w:pos="709"/>
        </w:tabs>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Cumplir sus obligaciones pendientes para con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incluso después de la terminación de la presente Oferta de Servicios. </w:t>
      </w:r>
    </w:p>
    <w:p w14:paraId="2E9EFDCC" w14:textId="77777777" w:rsidR="007968EC" w:rsidRPr="002C0D19" w:rsidRDefault="007968EC" w:rsidP="007968EC">
      <w:pPr>
        <w:jc w:val="both"/>
        <w:rPr>
          <w:rFonts w:ascii="Arial Narrow" w:hAnsi="Arial Narrow" w:cs="Arial"/>
          <w:b/>
          <w:bCs/>
          <w:color w:val="000000" w:themeColor="text1"/>
          <w:u w:val="single"/>
          <w:lang w:val="es-ES" w:eastAsia="es-ES"/>
        </w:rPr>
      </w:pPr>
    </w:p>
    <w:p w14:paraId="247B4FB5" w14:textId="77777777" w:rsidR="007968EC" w:rsidRPr="002C0D19" w:rsidRDefault="007968EC" w:rsidP="007968EC">
      <w:pPr>
        <w:jc w:val="both"/>
        <w:rPr>
          <w:rFonts w:ascii="Arial Narrow" w:hAnsi="Arial Narrow" w:cs="Arial"/>
          <w:bCs/>
          <w:color w:val="000000" w:themeColor="text1"/>
          <w:lang w:eastAsia="es-ES"/>
        </w:rPr>
      </w:pPr>
      <w:r w:rsidRPr="002C0D19">
        <w:rPr>
          <w:rFonts w:ascii="Arial Narrow" w:hAnsi="Arial Narrow" w:cs="Arial"/>
          <w:b/>
          <w:bCs/>
          <w:color w:val="000000" w:themeColor="text1"/>
          <w:u w:val="single"/>
          <w:lang w:val="es-ES" w:eastAsia="es-ES"/>
        </w:rPr>
        <w:lastRenderedPageBreak/>
        <w:t>CUARTA. Obligaciones de EL MIEMBRO.</w:t>
      </w:r>
      <w:r w:rsidRPr="002C0D19">
        <w:rPr>
          <w:rFonts w:ascii="Arial Narrow" w:hAnsi="Arial Narrow" w:cs="Arial"/>
          <w:color w:val="000000" w:themeColor="text1"/>
          <w:lang w:val="es-ES" w:eastAsia="es-ES"/>
        </w:rPr>
        <w:t> </w:t>
      </w:r>
      <w:r w:rsidRPr="002C0D19">
        <w:rPr>
          <w:rFonts w:ascii="Arial Narrow" w:hAnsi="Arial Narrow" w:cs="Arial"/>
          <w:bCs/>
          <w:color w:val="000000" w:themeColor="text1"/>
          <w:lang w:eastAsia="es-ES"/>
        </w:rPr>
        <w:t xml:space="preserve">Además de las obligaciones previstas en las demás cláusulas de la presente Oferta, en el </w:t>
      </w:r>
      <w:r w:rsidRPr="002C0D19">
        <w:rPr>
          <w:rFonts w:ascii="Arial Narrow" w:hAnsi="Arial Narrow" w:cs="Arial"/>
          <w:color w:val="000000" w:themeColor="text1"/>
          <w:lang w:val="es-ES" w:eastAsia="es-ES"/>
        </w:rPr>
        <w:t xml:space="preserve">Reglamento, las Circulares y los Instructivos Operativos de </w:t>
      </w:r>
      <w:r w:rsidRPr="002C0D19">
        <w:rPr>
          <w:rFonts w:ascii="Arial Narrow" w:hAnsi="Arial Narrow" w:cs="Arial"/>
          <w:b/>
          <w:color w:val="000000" w:themeColor="text1"/>
          <w:lang w:val="es-ES" w:eastAsia="es-ES"/>
        </w:rPr>
        <w:t>LA CRCC</w:t>
      </w:r>
      <w:r w:rsidRPr="002C0D19">
        <w:rPr>
          <w:rFonts w:ascii="Arial Narrow" w:hAnsi="Arial Narrow" w:cs="Arial"/>
          <w:bCs/>
          <w:color w:val="000000" w:themeColor="text1"/>
          <w:lang w:eastAsia="es-ES"/>
        </w:rPr>
        <w:t xml:space="preserve">, son obligaciones principales de </w:t>
      </w:r>
      <w:r w:rsidRPr="002C0D19">
        <w:rPr>
          <w:rFonts w:ascii="Arial Narrow" w:hAnsi="Arial Narrow" w:cs="Arial"/>
          <w:b/>
          <w:bCs/>
          <w:color w:val="000000" w:themeColor="text1"/>
          <w:lang w:eastAsia="es-ES"/>
        </w:rPr>
        <w:t>EL MIEMBRO</w:t>
      </w:r>
      <w:r w:rsidRPr="002C0D19">
        <w:rPr>
          <w:rFonts w:ascii="Arial Narrow" w:hAnsi="Arial Narrow" w:cs="Arial"/>
          <w:bCs/>
          <w:color w:val="000000" w:themeColor="text1"/>
          <w:lang w:eastAsia="es-ES"/>
        </w:rPr>
        <w:t xml:space="preserve"> las siguientes:</w:t>
      </w:r>
    </w:p>
    <w:p w14:paraId="29AD8901" w14:textId="77777777" w:rsidR="007968EC" w:rsidRPr="002C0D19" w:rsidRDefault="007968EC" w:rsidP="007968EC">
      <w:pPr>
        <w:jc w:val="both"/>
        <w:rPr>
          <w:rFonts w:ascii="Arial Narrow" w:hAnsi="Arial Narrow" w:cs="Arial"/>
          <w:color w:val="000000" w:themeColor="text1"/>
          <w:lang w:val="es-ES" w:eastAsia="es-ES"/>
        </w:rPr>
      </w:pPr>
    </w:p>
    <w:p w14:paraId="016DB253" w14:textId="77777777" w:rsidR="007968EC" w:rsidRPr="002C0D19" w:rsidRDefault="007968EC" w:rsidP="00DA7472">
      <w:pPr>
        <w:numPr>
          <w:ilvl w:val="0"/>
          <w:numId w:val="76"/>
        </w:numPr>
        <w:tabs>
          <w:tab w:val="clear" w:pos="708"/>
          <w:tab w:val="left" w:pos="709"/>
        </w:tabs>
        <w:jc w:val="both"/>
        <w:rPr>
          <w:rFonts w:ascii="Arial Narrow" w:hAnsi="Arial Narrow" w:cs="Arial"/>
          <w:color w:val="000000" w:themeColor="text1"/>
          <w:lang w:val="es-ES" w:eastAsia="es-ES"/>
        </w:rPr>
      </w:pPr>
      <w:r w:rsidRPr="002C0D19">
        <w:rPr>
          <w:rFonts w:ascii="Arial Narrow" w:hAnsi="Arial Narrow" w:cs="Arial"/>
          <w:color w:val="000000" w:themeColor="text1"/>
          <w:spacing w:val="-3"/>
          <w:lang w:eastAsia="es-ES"/>
        </w:rPr>
        <w:t xml:space="preserve">Informar a </w:t>
      </w:r>
      <w:r w:rsidRPr="002C0D19">
        <w:rPr>
          <w:rFonts w:ascii="Arial Narrow" w:hAnsi="Arial Narrow" w:cs="Arial"/>
          <w:b/>
          <w:color w:val="000000" w:themeColor="text1"/>
          <w:spacing w:val="-3"/>
          <w:lang w:eastAsia="es-ES"/>
        </w:rPr>
        <w:t>EL TERCERO</w:t>
      </w:r>
      <w:r w:rsidRPr="002C0D19">
        <w:rPr>
          <w:rFonts w:ascii="Arial Narrow" w:hAnsi="Arial Narrow" w:cs="Arial"/>
          <w:color w:val="000000" w:themeColor="text1"/>
          <w:spacing w:val="-3"/>
          <w:lang w:eastAsia="es-ES"/>
        </w:rPr>
        <w:t xml:space="preserve"> sobre el estado de las operaciones registradas en su cuenta. </w:t>
      </w:r>
    </w:p>
    <w:p w14:paraId="685ECE27" w14:textId="77777777" w:rsidR="007968EC" w:rsidRPr="002C0D19" w:rsidRDefault="007968EC" w:rsidP="00DA7472">
      <w:pPr>
        <w:numPr>
          <w:ilvl w:val="0"/>
          <w:numId w:val="76"/>
        </w:numPr>
        <w:tabs>
          <w:tab w:val="clear" w:pos="708"/>
          <w:tab w:val="left" w:pos="709"/>
        </w:tabs>
        <w:jc w:val="both"/>
        <w:rPr>
          <w:rFonts w:ascii="Arial Narrow" w:hAnsi="Arial Narrow" w:cs="Arial"/>
          <w:color w:val="000000" w:themeColor="text1"/>
          <w:lang w:val="es-ES" w:eastAsia="es-ES"/>
        </w:rPr>
      </w:pPr>
      <w:r w:rsidRPr="002C0D19">
        <w:rPr>
          <w:rFonts w:ascii="Arial Narrow" w:hAnsi="Arial Narrow" w:cs="Arial"/>
          <w:color w:val="000000" w:themeColor="text1"/>
          <w:spacing w:val="-3"/>
          <w:lang w:eastAsia="es-ES"/>
        </w:rPr>
        <w:t xml:space="preserve">Pagar a </w:t>
      </w:r>
      <w:r w:rsidRPr="002C0D19">
        <w:rPr>
          <w:rFonts w:ascii="Arial Narrow" w:hAnsi="Arial Narrow" w:cs="Arial"/>
          <w:b/>
          <w:color w:val="000000" w:themeColor="text1"/>
          <w:spacing w:val="-3"/>
          <w:lang w:eastAsia="es-ES"/>
        </w:rPr>
        <w:t>EL TERCERO</w:t>
      </w:r>
      <w:r w:rsidRPr="002C0D19">
        <w:rPr>
          <w:rFonts w:ascii="Arial Narrow" w:hAnsi="Arial Narrow" w:cs="Arial"/>
          <w:color w:val="000000" w:themeColor="text1"/>
          <w:spacing w:val="-3"/>
          <w:lang w:eastAsia="es-ES"/>
        </w:rPr>
        <w:t xml:space="preserve"> las sumas de dinero que le correspondan de conformidad con las liquidaciones recibidas de </w:t>
      </w:r>
      <w:r w:rsidRPr="002C0D19">
        <w:rPr>
          <w:rFonts w:ascii="Arial Narrow" w:hAnsi="Arial Narrow" w:cs="Arial"/>
          <w:b/>
          <w:color w:val="000000" w:themeColor="text1"/>
          <w:spacing w:val="-3"/>
          <w:lang w:eastAsia="es-ES"/>
        </w:rPr>
        <w:t>LA CRCC</w:t>
      </w:r>
      <w:r w:rsidRPr="002C0D19">
        <w:rPr>
          <w:rFonts w:ascii="Arial Narrow" w:hAnsi="Arial Narrow" w:cs="Arial"/>
          <w:color w:val="000000" w:themeColor="text1"/>
          <w:spacing w:val="-3"/>
          <w:lang w:eastAsia="es-ES"/>
        </w:rPr>
        <w:t xml:space="preserve"> por las operaciones registradas en la cuenta de </w:t>
      </w:r>
      <w:r w:rsidRPr="002C0D19">
        <w:rPr>
          <w:rFonts w:ascii="Arial Narrow" w:hAnsi="Arial Narrow" w:cs="Arial"/>
          <w:b/>
          <w:color w:val="000000" w:themeColor="text1"/>
          <w:spacing w:val="-3"/>
          <w:lang w:eastAsia="es-ES"/>
        </w:rPr>
        <w:t>EL TERCERO</w:t>
      </w:r>
      <w:r w:rsidRPr="002C0D19">
        <w:rPr>
          <w:rFonts w:ascii="Arial Narrow" w:hAnsi="Arial Narrow" w:cs="Arial"/>
          <w:color w:val="000000" w:themeColor="text1"/>
          <w:spacing w:val="-3"/>
          <w:lang w:eastAsia="es-ES"/>
        </w:rPr>
        <w:t xml:space="preserve">. </w:t>
      </w:r>
    </w:p>
    <w:p w14:paraId="18178A42" w14:textId="77777777" w:rsidR="007968EC" w:rsidRPr="002C0D19" w:rsidRDefault="007968EC" w:rsidP="00DA7472">
      <w:pPr>
        <w:numPr>
          <w:ilvl w:val="0"/>
          <w:numId w:val="76"/>
        </w:numPr>
        <w:tabs>
          <w:tab w:val="clear" w:pos="708"/>
          <w:tab w:val="left" w:pos="709"/>
        </w:tabs>
        <w:jc w:val="both"/>
        <w:rPr>
          <w:rFonts w:ascii="Arial Narrow" w:hAnsi="Arial Narrow" w:cs="Arial"/>
          <w:color w:val="000000" w:themeColor="text1"/>
          <w:lang w:val="es-ES" w:eastAsia="es-ES"/>
        </w:rPr>
      </w:pPr>
      <w:r w:rsidRPr="002C0D19">
        <w:rPr>
          <w:rFonts w:ascii="Arial Narrow" w:hAnsi="Arial Narrow" w:cs="Arial"/>
          <w:color w:val="000000" w:themeColor="text1"/>
          <w:spacing w:val="-3"/>
          <w:lang w:eastAsia="es-ES"/>
        </w:rPr>
        <w:t xml:space="preserve">Cumplir con las entregas de efectivo o de Activos que corresponda a cada tipo de Operación Aceptada por </w:t>
      </w:r>
      <w:r w:rsidRPr="002C0D19">
        <w:rPr>
          <w:rFonts w:ascii="Arial Narrow" w:hAnsi="Arial Narrow" w:cs="Arial"/>
          <w:b/>
          <w:color w:val="000000" w:themeColor="text1"/>
          <w:spacing w:val="-3"/>
          <w:lang w:eastAsia="es-ES"/>
        </w:rPr>
        <w:t>LA CRCC</w:t>
      </w:r>
      <w:r w:rsidRPr="002C0D19">
        <w:rPr>
          <w:rFonts w:ascii="Arial Narrow" w:hAnsi="Arial Narrow" w:cs="Arial"/>
          <w:color w:val="000000" w:themeColor="text1"/>
          <w:spacing w:val="-3"/>
          <w:lang w:eastAsia="es-ES"/>
        </w:rPr>
        <w:t xml:space="preserve">, según se establezca mediante Circular. </w:t>
      </w:r>
    </w:p>
    <w:p w14:paraId="5A1FCDFB" w14:textId="77777777" w:rsidR="007968EC" w:rsidRPr="002C0D19" w:rsidRDefault="007968EC" w:rsidP="00DA7472">
      <w:pPr>
        <w:numPr>
          <w:ilvl w:val="0"/>
          <w:numId w:val="76"/>
        </w:numPr>
        <w:tabs>
          <w:tab w:val="clear" w:pos="708"/>
          <w:tab w:val="left" w:pos="709"/>
        </w:tabs>
        <w:jc w:val="both"/>
        <w:rPr>
          <w:rFonts w:ascii="Arial Narrow" w:hAnsi="Arial Narrow" w:cs="Arial"/>
          <w:color w:val="000000" w:themeColor="text1"/>
          <w:lang w:val="es-ES" w:eastAsia="es-ES"/>
        </w:rPr>
      </w:pPr>
      <w:r w:rsidRPr="002C0D19">
        <w:rPr>
          <w:rFonts w:ascii="Arial Narrow" w:hAnsi="Arial Narrow" w:cs="Arial"/>
          <w:color w:val="000000" w:themeColor="text1"/>
          <w:spacing w:val="-3"/>
          <w:lang w:eastAsia="es-ES"/>
        </w:rPr>
        <w:t xml:space="preserve">Mantener la confidencialidad sobre las Operaciones Aceptadas, de conformidad con la Ley, el Reglamento y demás normatividad aplicable. </w:t>
      </w:r>
    </w:p>
    <w:p w14:paraId="112E0561" w14:textId="77777777" w:rsidR="007968EC" w:rsidRPr="002C0D19" w:rsidRDefault="007968EC" w:rsidP="00DA7472">
      <w:pPr>
        <w:numPr>
          <w:ilvl w:val="0"/>
          <w:numId w:val="76"/>
        </w:numPr>
        <w:tabs>
          <w:tab w:val="clear" w:pos="708"/>
          <w:tab w:val="left" w:pos="709"/>
        </w:tabs>
        <w:jc w:val="both"/>
        <w:rPr>
          <w:rFonts w:ascii="Arial Narrow" w:hAnsi="Arial Narrow" w:cs="Arial"/>
          <w:color w:val="000000" w:themeColor="text1"/>
          <w:lang w:val="es-ES" w:eastAsia="es-ES"/>
        </w:rPr>
      </w:pPr>
      <w:r w:rsidRPr="002C0D19">
        <w:rPr>
          <w:rFonts w:ascii="Arial Narrow" w:hAnsi="Arial Narrow" w:cs="Arial"/>
          <w:color w:val="000000" w:themeColor="text1"/>
          <w:spacing w:val="-3"/>
          <w:lang w:eastAsia="es-ES"/>
        </w:rPr>
        <w:t xml:space="preserve">Cumplir con las disposiciones del Reglamento y demás normas aplicables. </w:t>
      </w:r>
    </w:p>
    <w:p w14:paraId="2D9122FF" w14:textId="77777777" w:rsidR="007968EC" w:rsidRPr="002C0D19" w:rsidRDefault="007968EC" w:rsidP="00DA7472">
      <w:pPr>
        <w:numPr>
          <w:ilvl w:val="0"/>
          <w:numId w:val="76"/>
        </w:numPr>
        <w:tabs>
          <w:tab w:val="clear" w:pos="708"/>
          <w:tab w:val="left" w:pos="709"/>
        </w:tabs>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Informar a </w:t>
      </w:r>
      <w:r w:rsidRPr="002C0D19">
        <w:rPr>
          <w:rFonts w:ascii="Arial Narrow" w:hAnsi="Arial Narrow" w:cs="Arial"/>
          <w:b/>
          <w:color w:val="000000" w:themeColor="text1"/>
          <w:lang w:val="es-ES" w:eastAsia="es-ES"/>
        </w:rPr>
        <w:t>EL TERCERO</w:t>
      </w:r>
      <w:r w:rsidRPr="002C0D19">
        <w:rPr>
          <w:rFonts w:ascii="Arial Narrow" w:hAnsi="Arial Narrow" w:cs="Arial"/>
          <w:color w:val="000000" w:themeColor="text1"/>
          <w:lang w:val="es-ES" w:eastAsia="es-ES"/>
        </w:rPr>
        <w:t xml:space="preserve"> </w:t>
      </w:r>
      <w:r w:rsidRPr="002C0D19">
        <w:rPr>
          <w:rFonts w:ascii="Arial Narrow" w:hAnsi="Arial Narrow" w:cs="Arial"/>
          <w:color w:val="000000" w:themeColor="text1"/>
          <w:lang w:eastAsia="es-ES"/>
        </w:rPr>
        <w:t xml:space="preserve">sobre las Operaciones Aceptadas, rechazadas o anuladas por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en cuanto se trate de operaciones realizadas por cuenta de </w:t>
      </w:r>
      <w:r w:rsidRPr="002C0D19">
        <w:rPr>
          <w:rFonts w:ascii="Arial Narrow" w:hAnsi="Arial Narrow" w:cs="Arial"/>
          <w:b/>
          <w:color w:val="000000" w:themeColor="text1"/>
          <w:lang w:eastAsia="es-ES"/>
        </w:rPr>
        <w:t>EL TERCERO</w:t>
      </w:r>
      <w:r w:rsidRPr="002C0D19">
        <w:rPr>
          <w:rFonts w:ascii="Arial Narrow" w:hAnsi="Arial Narrow" w:cs="Arial"/>
          <w:color w:val="000000" w:themeColor="text1"/>
          <w:lang w:eastAsia="es-ES"/>
        </w:rPr>
        <w:t xml:space="preserve">. </w:t>
      </w:r>
    </w:p>
    <w:p w14:paraId="33F8526D" w14:textId="77777777" w:rsidR="007968EC" w:rsidRPr="002C0D19" w:rsidRDefault="007968EC" w:rsidP="007968EC">
      <w:pPr>
        <w:jc w:val="both"/>
        <w:rPr>
          <w:rFonts w:ascii="Arial Narrow" w:hAnsi="Arial Narrow" w:cs="Arial"/>
          <w:b/>
          <w:bCs/>
          <w:color w:val="000000" w:themeColor="text1"/>
          <w:u w:val="single"/>
          <w:lang w:val="es-ES" w:eastAsia="es-ES"/>
        </w:rPr>
      </w:pPr>
    </w:p>
    <w:p w14:paraId="587EE581"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b/>
          <w:bCs/>
          <w:color w:val="000000" w:themeColor="text1"/>
          <w:u w:val="single"/>
          <w:lang w:val="es-ES" w:eastAsia="es-ES"/>
        </w:rPr>
        <w:t>QUINTA. Vigencia</w:t>
      </w:r>
      <w:r w:rsidRPr="002C0D19">
        <w:rPr>
          <w:rFonts w:ascii="Arial Narrow" w:hAnsi="Arial Narrow" w:cs="Arial"/>
          <w:b/>
          <w:bCs/>
          <w:color w:val="000000" w:themeColor="text1"/>
          <w:lang w:val="es-ES" w:eastAsia="es-ES"/>
        </w:rPr>
        <w:t>.</w:t>
      </w:r>
      <w:r w:rsidRPr="002C0D19">
        <w:rPr>
          <w:rFonts w:ascii="Arial Narrow" w:hAnsi="Arial Narrow" w:cs="Arial"/>
          <w:bCs/>
          <w:color w:val="000000" w:themeColor="text1"/>
          <w:lang w:val="es-ES" w:eastAsia="es-ES"/>
        </w:rPr>
        <w:t> </w:t>
      </w:r>
      <w:r w:rsidRPr="002C0D19">
        <w:rPr>
          <w:rFonts w:ascii="Arial Narrow" w:hAnsi="Arial Narrow" w:cs="Arial"/>
          <w:color w:val="000000" w:themeColor="text1"/>
          <w:lang w:eastAsia="es-ES"/>
        </w:rPr>
        <w:t xml:space="preserve">La presente Oferta estará vigente por un término de sesenta (60) días calendario, contados a partir del envío de la misma por parte de </w:t>
      </w:r>
      <w:r w:rsidRPr="002C0D19">
        <w:rPr>
          <w:rFonts w:ascii="Arial Narrow" w:hAnsi="Arial Narrow" w:cs="Arial"/>
          <w:b/>
          <w:color w:val="000000" w:themeColor="text1"/>
          <w:lang w:eastAsia="es-ES"/>
        </w:rPr>
        <w:t>EL MIEMBRO</w:t>
      </w:r>
      <w:r w:rsidRPr="002C0D19">
        <w:rPr>
          <w:rFonts w:ascii="Arial Narrow" w:hAnsi="Arial Narrow" w:cs="Arial"/>
          <w:color w:val="000000" w:themeColor="text1"/>
          <w:lang w:eastAsia="es-ES"/>
        </w:rPr>
        <w:t xml:space="preserve"> a </w:t>
      </w:r>
      <w:r w:rsidRPr="002C0D19">
        <w:rPr>
          <w:rFonts w:ascii="Arial Narrow" w:hAnsi="Arial Narrow" w:cs="Arial"/>
          <w:b/>
          <w:color w:val="000000" w:themeColor="text1"/>
          <w:lang w:eastAsia="es-ES"/>
        </w:rPr>
        <w:t>EL TERCERO</w:t>
      </w:r>
      <w:r w:rsidRPr="002C0D19">
        <w:rPr>
          <w:rFonts w:ascii="Arial Narrow" w:hAnsi="Arial Narrow" w:cs="Arial"/>
          <w:color w:val="000000" w:themeColor="text1"/>
          <w:lang w:eastAsia="es-ES"/>
        </w:rPr>
        <w:t xml:space="preserve">, transcurridos los cuales, de no haber aceptación a la misma por parte de </w:t>
      </w:r>
      <w:r w:rsidRPr="002C0D19">
        <w:rPr>
          <w:rFonts w:ascii="Arial Narrow" w:hAnsi="Arial Narrow" w:cs="Arial"/>
          <w:b/>
          <w:color w:val="000000" w:themeColor="text1"/>
          <w:lang w:eastAsia="es-ES"/>
        </w:rPr>
        <w:t>EL TERCERO</w:t>
      </w:r>
      <w:r w:rsidRPr="002C0D19">
        <w:rPr>
          <w:rFonts w:ascii="Arial Narrow" w:hAnsi="Arial Narrow" w:cs="Arial"/>
          <w:color w:val="000000" w:themeColor="text1"/>
          <w:lang w:eastAsia="es-ES"/>
        </w:rPr>
        <w:t xml:space="preserve">, se entenderá revocada. En caso de aceptación de esta Oferta por parte de </w:t>
      </w:r>
      <w:r w:rsidRPr="002C0D19">
        <w:rPr>
          <w:rFonts w:ascii="Arial Narrow" w:hAnsi="Arial Narrow" w:cs="Arial"/>
          <w:b/>
          <w:color w:val="000000" w:themeColor="text1"/>
          <w:lang w:eastAsia="es-ES"/>
        </w:rPr>
        <w:t>EL TERCERO</w:t>
      </w:r>
      <w:r w:rsidRPr="002C0D19">
        <w:rPr>
          <w:rFonts w:ascii="Arial Narrow" w:hAnsi="Arial Narrow" w:cs="Arial"/>
          <w:color w:val="000000" w:themeColor="text1"/>
          <w:lang w:eastAsia="es-ES"/>
        </w:rPr>
        <w:t xml:space="preserve">, los términos y condiciones de la misma estarán vigentes en forma indefinida. </w:t>
      </w:r>
    </w:p>
    <w:p w14:paraId="173771C3" w14:textId="77777777" w:rsidR="007968EC" w:rsidRPr="002C0D19" w:rsidRDefault="007968EC" w:rsidP="007968EC">
      <w:pPr>
        <w:jc w:val="both"/>
        <w:rPr>
          <w:rFonts w:ascii="Arial Narrow" w:hAnsi="Arial Narrow" w:cs="Arial"/>
          <w:color w:val="000000" w:themeColor="text1"/>
          <w:lang w:eastAsia="es-ES"/>
        </w:rPr>
      </w:pPr>
    </w:p>
    <w:p w14:paraId="45140EE5"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No obstante lo anterior y sin perjuicio de lo dispuesto en el Reglamento, las partes podrán terminar en cualquier tiempo la prestación del servicio, mediante la entrega a la otra parte de un aviso escrito en tal sentido, remitida con no menos de treinta (30) días calendario de anticipación al día hábil en el cual desea que dicha terminación tenga efecto. </w:t>
      </w:r>
    </w:p>
    <w:p w14:paraId="2D8C44DA" w14:textId="77777777" w:rsidR="007968EC" w:rsidRPr="002C0D19" w:rsidRDefault="007968EC" w:rsidP="007968EC">
      <w:pPr>
        <w:jc w:val="both"/>
        <w:rPr>
          <w:rFonts w:ascii="Arial Narrow" w:hAnsi="Arial Narrow" w:cs="Arial"/>
          <w:color w:val="000000" w:themeColor="text1"/>
          <w:lang w:eastAsia="es-ES"/>
        </w:rPr>
      </w:pPr>
    </w:p>
    <w:p w14:paraId="793A3AFB"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Igualmente, habrá lugar a la terminación unilateral si se presenta un incumplimiento de alguna de las obligaciones a cargo de una de las partes. </w:t>
      </w:r>
    </w:p>
    <w:p w14:paraId="49F59C94" w14:textId="77777777" w:rsidR="007968EC" w:rsidRPr="002C0D19" w:rsidRDefault="007968EC" w:rsidP="007968EC">
      <w:pPr>
        <w:jc w:val="both"/>
        <w:rPr>
          <w:rFonts w:ascii="Arial Narrow" w:hAnsi="Arial Narrow" w:cs="Arial"/>
          <w:color w:val="000000" w:themeColor="text1"/>
          <w:lang w:eastAsia="es-ES"/>
        </w:rPr>
      </w:pPr>
    </w:p>
    <w:p w14:paraId="6E84BB18"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es-ES" w:eastAsia="es-ES"/>
        </w:rPr>
        <w:t>SEXTA. Tarifas y Comisiones.</w:t>
      </w:r>
      <w:r w:rsidRPr="002C0D19">
        <w:rPr>
          <w:rFonts w:ascii="Arial Narrow" w:hAnsi="Arial Narrow" w:cs="Arial"/>
          <w:b/>
          <w:bCs/>
          <w:color w:val="000000" w:themeColor="text1"/>
          <w:lang w:val="es-ES" w:eastAsia="es-ES"/>
        </w:rPr>
        <w:t xml:space="preserve"> </w:t>
      </w:r>
      <w:r w:rsidRPr="002C0D19">
        <w:rPr>
          <w:rFonts w:ascii="Arial Narrow" w:hAnsi="Arial Narrow" w:cs="Arial"/>
          <w:b/>
          <w:color w:val="000000" w:themeColor="text1"/>
          <w:lang w:val="es-ES" w:eastAsia="es-ES"/>
        </w:rPr>
        <w:t>EL TERCERO</w:t>
      </w:r>
      <w:r w:rsidRPr="002C0D19">
        <w:rPr>
          <w:rFonts w:ascii="Arial Narrow" w:hAnsi="Arial Narrow" w:cs="Arial"/>
          <w:color w:val="000000" w:themeColor="text1"/>
          <w:lang w:val="es-ES" w:eastAsia="es-ES"/>
        </w:rPr>
        <w:t xml:space="preserve"> se obliga a pagar a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las tarifas establecidas por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así como las tarifas y comisiones por la prestación del servicio de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Estas últimas se encuentran en documento Anexo que hace parte integral de la presente Oferta. </w:t>
      </w:r>
    </w:p>
    <w:p w14:paraId="750A860C" w14:textId="77777777" w:rsidR="007968EC" w:rsidRPr="002C0D19" w:rsidRDefault="007968EC" w:rsidP="007968EC">
      <w:pPr>
        <w:jc w:val="both"/>
        <w:rPr>
          <w:rFonts w:ascii="Arial Narrow" w:hAnsi="Arial Narrow" w:cs="Arial"/>
          <w:color w:val="000000" w:themeColor="text1"/>
          <w:lang w:eastAsia="es-ES"/>
        </w:rPr>
      </w:pPr>
    </w:p>
    <w:p w14:paraId="2FC55DCA"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es-ES" w:eastAsia="es-ES"/>
        </w:rPr>
        <w:t>SEPTIMA. Cesión y subcontratación.</w:t>
      </w:r>
      <w:r w:rsidRPr="002C0D19">
        <w:rPr>
          <w:rFonts w:ascii="Arial Narrow" w:hAnsi="Arial Narrow" w:cs="Arial"/>
          <w:bCs/>
          <w:color w:val="000000" w:themeColor="text1"/>
          <w:lang w:val="es-ES" w:eastAsia="es-ES"/>
        </w:rPr>
        <w:t xml:space="preserve"> Las partes </w:t>
      </w:r>
      <w:r w:rsidRPr="002C0D19">
        <w:rPr>
          <w:rFonts w:ascii="Arial Narrow" w:hAnsi="Arial Narrow" w:cs="Arial"/>
          <w:color w:val="000000" w:themeColor="text1"/>
          <w:lang w:val="es-ES" w:eastAsia="es-ES"/>
        </w:rPr>
        <w:t>no podrán ceder ni subcontratar total o parcialmente la presente Oferta, antes o después de ser aceptada.</w:t>
      </w:r>
    </w:p>
    <w:p w14:paraId="41ABE9B8" w14:textId="77777777" w:rsidR="007968EC" w:rsidRPr="002C0D19" w:rsidRDefault="007968EC" w:rsidP="007968EC">
      <w:pPr>
        <w:jc w:val="both"/>
        <w:rPr>
          <w:rFonts w:ascii="Arial Narrow" w:hAnsi="Arial Narrow" w:cs="Arial"/>
          <w:bCs/>
          <w:color w:val="000000" w:themeColor="text1"/>
          <w:highlight w:val="cyan"/>
          <w:lang w:val="es-ES" w:eastAsia="es-ES"/>
        </w:rPr>
      </w:pPr>
    </w:p>
    <w:p w14:paraId="7B3221CA" w14:textId="77777777" w:rsidR="007968EC" w:rsidRPr="002C0D19" w:rsidRDefault="007968EC" w:rsidP="007968EC">
      <w:pPr>
        <w:jc w:val="both"/>
        <w:rPr>
          <w:rFonts w:ascii="Arial Narrow" w:hAnsi="Arial Narrow" w:cs="Arial"/>
          <w:bCs/>
          <w:color w:val="000000" w:themeColor="text1"/>
          <w:lang w:val="es-ES" w:eastAsia="es-ES"/>
        </w:rPr>
      </w:pPr>
      <w:r w:rsidRPr="002C0D19">
        <w:rPr>
          <w:rFonts w:ascii="Arial Narrow" w:hAnsi="Arial Narrow" w:cs="Arial"/>
          <w:b/>
          <w:bCs/>
          <w:color w:val="000000" w:themeColor="text1"/>
          <w:u w:val="single"/>
          <w:lang w:val="es-ES" w:eastAsia="es-ES"/>
        </w:rPr>
        <w:t>OCTAVA. Pagos.</w:t>
      </w:r>
      <w:r w:rsidRPr="002C0D19">
        <w:rPr>
          <w:rFonts w:ascii="Arial Narrow" w:hAnsi="Arial Narrow" w:cs="Arial"/>
          <w:b/>
          <w:bCs/>
          <w:color w:val="000000" w:themeColor="text1"/>
          <w:lang w:val="es-ES" w:eastAsia="es-ES"/>
        </w:rPr>
        <w:t xml:space="preserve"> EL TERCERO</w:t>
      </w:r>
      <w:r w:rsidRPr="002C0D19">
        <w:rPr>
          <w:rFonts w:ascii="Arial Narrow" w:hAnsi="Arial Narrow" w:cs="Arial"/>
          <w:bCs/>
          <w:color w:val="000000" w:themeColor="text1"/>
          <w:lang w:val="es-ES" w:eastAsia="es-ES"/>
        </w:rPr>
        <w:t xml:space="preserve"> autoriza a </w:t>
      </w:r>
      <w:r w:rsidRPr="002C0D19">
        <w:rPr>
          <w:rFonts w:ascii="Arial Narrow" w:hAnsi="Arial Narrow" w:cs="Arial"/>
          <w:b/>
          <w:bCs/>
          <w:color w:val="000000" w:themeColor="text1"/>
          <w:lang w:val="es-ES" w:eastAsia="es-ES"/>
        </w:rPr>
        <w:t>EL MIEMBRO</w:t>
      </w:r>
      <w:r w:rsidRPr="002C0D19">
        <w:rPr>
          <w:rFonts w:ascii="Arial Narrow" w:hAnsi="Arial Narrow" w:cs="Arial"/>
          <w:bCs/>
          <w:color w:val="000000" w:themeColor="text1"/>
          <w:lang w:val="es-ES" w:eastAsia="es-ES"/>
        </w:rPr>
        <w:t xml:space="preserve"> para que realice los pagos y cobros que resulten de operaciones registradas en sus cuentas. Así mismo, </w:t>
      </w:r>
      <w:r w:rsidRPr="002C0D19">
        <w:rPr>
          <w:rFonts w:ascii="Arial Narrow" w:hAnsi="Arial Narrow" w:cs="Arial"/>
          <w:b/>
          <w:bCs/>
          <w:color w:val="000000" w:themeColor="text1"/>
          <w:lang w:val="es-ES" w:eastAsia="es-ES"/>
        </w:rPr>
        <w:t>EL TERCERO</w:t>
      </w:r>
      <w:r w:rsidRPr="002C0D19">
        <w:rPr>
          <w:rFonts w:ascii="Arial Narrow" w:hAnsi="Arial Narrow" w:cs="Arial"/>
          <w:bCs/>
          <w:color w:val="000000" w:themeColor="text1"/>
          <w:lang w:val="es-ES" w:eastAsia="es-ES"/>
        </w:rPr>
        <w:t xml:space="preserve"> autoriza </w:t>
      </w:r>
      <w:r w:rsidRPr="002C0D19">
        <w:rPr>
          <w:rFonts w:ascii="Arial Narrow" w:hAnsi="Arial Narrow" w:cs="Arial"/>
          <w:color w:val="000000" w:themeColor="text1"/>
          <w:lang w:eastAsia="es-ES"/>
        </w:rPr>
        <w:t xml:space="preserve">expresa y formalmente </w:t>
      </w:r>
      <w:r w:rsidRPr="002C0D19">
        <w:rPr>
          <w:rFonts w:ascii="Arial Narrow" w:hAnsi="Arial Narrow" w:cs="Arial"/>
          <w:bCs/>
          <w:color w:val="000000" w:themeColor="text1"/>
          <w:lang w:val="es-ES" w:eastAsia="es-ES"/>
        </w:rPr>
        <w:t xml:space="preserve">a </w:t>
      </w:r>
      <w:r w:rsidRPr="002C0D19">
        <w:rPr>
          <w:rFonts w:ascii="Arial Narrow" w:hAnsi="Arial Narrow" w:cs="Arial"/>
          <w:b/>
          <w:bCs/>
          <w:color w:val="000000" w:themeColor="text1"/>
          <w:lang w:val="es-ES" w:eastAsia="es-ES"/>
        </w:rPr>
        <w:t>EL MIEMBRO</w:t>
      </w:r>
      <w:r w:rsidRPr="002C0D19">
        <w:rPr>
          <w:rFonts w:ascii="Arial Narrow" w:hAnsi="Arial Narrow" w:cs="Arial"/>
          <w:bCs/>
          <w:color w:val="000000" w:themeColor="text1"/>
          <w:lang w:val="es-ES" w:eastAsia="es-ES"/>
        </w:rPr>
        <w:t xml:space="preserve"> </w:t>
      </w:r>
      <w:r w:rsidRPr="002C0D19">
        <w:rPr>
          <w:rFonts w:ascii="Arial Narrow" w:hAnsi="Arial Narrow" w:cs="Arial"/>
          <w:color w:val="000000" w:themeColor="text1"/>
          <w:lang w:eastAsia="es-ES"/>
        </w:rPr>
        <w:t xml:space="preserve">para que en desarrollo de sus actividades pueda debitar o acreditar automáticamente las cuentas de efectivo o de Activos de las que es titular, con el fin de que en la fecha en que cada operación registrada en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deba liquidarse, se carguen o abonen, según proceda, en la cuenta de </w:t>
      </w:r>
      <w:r w:rsidRPr="002C0D19">
        <w:rPr>
          <w:rFonts w:ascii="Arial Narrow" w:hAnsi="Arial Narrow" w:cs="Arial"/>
          <w:b/>
          <w:color w:val="000000" w:themeColor="text1"/>
          <w:lang w:eastAsia="es-ES"/>
        </w:rPr>
        <w:t>EL TERCERO</w:t>
      </w:r>
      <w:r w:rsidRPr="002C0D19">
        <w:rPr>
          <w:rFonts w:ascii="Arial Narrow" w:hAnsi="Arial Narrow" w:cs="Arial"/>
          <w:color w:val="000000" w:themeColor="text1"/>
          <w:lang w:eastAsia="es-ES"/>
        </w:rPr>
        <w:t xml:space="preserve"> el efectivo o los Activos que corresponden, a fin de cumplir las operaciones compensadas y liquidadas</w:t>
      </w:r>
      <w:r w:rsidRPr="002C0D19">
        <w:rPr>
          <w:rFonts w:ascii="Arial Narrow" w:hAnsi="Arial Narrow" w:cs="Arial"/>
          <w:color w:val="000000" w:themeColor="text1"/>
          <w:lang w:val="es-ES" w:eastAsia="es-ES"/>
        </w:rPr>
        <w:t xml:space="preserve"> con las particularidades que se establezcan por la Cámara para cada Segmento</w:t>
      </w:r>
      <w:r w:rsidRPr="002C0D19">
        <w:rPr>
          <w:rFonts w:ascii="Arial Narrow" w:hAnsi="Arial Narrow" w:cs="Arial"/>
          <w:color w:val="000000" w:themeColor="text1"/>
          <w:lang w:eastAsia="es-ES"/>
        </w:rPr>
        <w:t xml:space="preserve">.  </w:t>
      </w:r>
      <w:r w:rsidRPr="002C0D19">
        <w:rPr>
          <w:rFonts w:ascii="Arial Narrow" w:hAnsi="Arial Narrow" w:cs="Arial"/>
          <w:bCs/>
          <w:color w:val="000000" w:themeColor="text1"/>
          <w:lang w:val="es-ES" w:eastAsia="es-ES"/>
        </w:rPr>
        <w:t xml:space="preserve">   </w:t>
      </w:r>
    </w:p>
    <w:p w14:paraId="4D473C71" w14:textId="77777777" w:rsidR="007968EC" w:rsidRPr="002C0D19" w:rsidRDefault="007968EC" w:rsidP="007968EC">
      <w:pPr>
        <w:jc w:val="both"/>
        <w:rPr>
          <w:rFonts w:ascii="Arial Narrow" w:hAnsi="Arial Narrow" w:cs="Arial"/>
          <w:color w:val="000000" w:themeColor="text1"/>
          <w:lang w:val="es-ES" w:eastAsia="es-ES"/>
        </w:rPr>
      </w:pPr>
    </w:p>
    <w:p w14:paraId="40E690D8"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En todo caso, </w:t>
      </w:r>
      <w:r w:rsidRPr="002C0D19">
        <w:rPr>
          <w:rFonts w:ascii="Arial Narrow" w:hAnsi="Arial Narrow" w:cs="Arial"/>
          <w:b/>
          <w:color w:val="000000" w:themeColor="text1"/>
          <w:lang w:val="es-ES" w:eastAsia="es-ES"/>
        </w:rPr>
        <w:t>EL TERCERO</w:t>
      </w:r>
      <w:r w:rsidRPr="002C0D19">
        <w:rPr>
          <w:rFonts w:ascii="Arial Narrow" w:hAnsi="Arial Narrow" w:cs="Arial"/>
          <w:color w:val="000000" w:themeColor="text1"/>
          <w:lang w:val="es-ES" w:eastAsia="es-ES"/>
        </w:rPr>
        <w:t xml:space="preserve"> se obliga a pagar </w:t>
      </w:r>
      <w:r w:rsidRPr="002C0D19">
        <w:rPr>
          <w:rFonts w:ascii="Arial Narrow" w:hAnsi="Arial Narrow" w:cs="Arial"/>
          <w:color w:val="000000" w:themeColor="text1"/>
          <w:lang w:eastAsia="es-ES"/>
        </w:rPr>
        <w:t xml:space="preserve">a </w:t>
      </w:r>
      <w:r w:rsidRPr="002C0D19">
        <w:rPr>
          <w:rFonts w:ascii="Arial Narrow" w:hAnsi="Arial Narrow" w:cs="Arial"/>
          <w:b/>
          <w:color w:val="000000" w:themeColor="text1"/>
          <w:lang w:eastAsia="es-ES"/>
        </w:rPr>
        <w:t>EL MIEMBRO</w:t>
      </w:r>
      <w:r w:rsidRPr="002C0D19">
        <w:rPr>
          <w:rFonts w:ascii="Arial Narrow" w:hAnsi="Arial Narrow" w:cs="Arial"/>
          <w:color w:val="000000" w:themeColor="text1"/>
          <w:lang w:eastAsia="es-ES"/>
        </w:rPr>
        <w:t xml:space="preserve">, en forma oportuna y en los plazos establecidos para tal efecto por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las sumas </w:t>
      </w:r>
      <w:r w:rsidRPr="002C0D19">
        <w:rPr>
          <w:rFonts w:ascii="Arial Narrow" w:hAnsi="Arial Narrow" w:cs="Arial"/>
          <w:color w:val="000000" w:themeColor="text1"/>
          <w:lang w:val="es-ES" w:eastAsia="es-ES"/>
        </w:rPr>
        <w:t>relativas a todas las obligaciones inherentes a las Operaciones Aceptadas, para el cumplimiento de la Compensación y Liquidación de las operaciones registradas en sus cuentas.</w:t>
      </w:r>
    </w:p>
    <w:p w14:paraId="684F877B" w14:textId="77777777" w:rsidR="007968EC" w:rsidRPr="002C0D19" w:rsidRDefault="007968EC" w:rsidP="007968EC">
      <w:pPr>
        <w:jc w:val="both"/>
        <w:rPr>
          <w:rFonts w:ascii="Arial Narrow" w:hAnsi="Arial Narrow" w:cs="Arial"/>
          <w:b/>
          <w:bCs/>
          <w:color w:val="000000" w:themeColor="text1"/>
          <w:u w:val="single"/>
          <w:lang w:val="es-ES" w:eastAsia="es-ES"/>
        </w:rPr>
      </w:pPr>
    </w:p>
    <w:p w14:paraId="4E0D71CB" w14:textId="77777777" w:rsidR="007968EC" w:rsidRPr="002C0D19" w:rsidRDefault="007968EC" w:rsidP="007968EC">
      <w:pPr>
        <w:jc w:val="both"/>
        <w:rPr>
          <w:rFonts w:ascii="Arial Narrow" w:hAnsi="Arial Narrow" w:cs="Arial"/>
          <w:bCs/>
          <w:color w:val="000000" w:themeColor="text1"/>
          <w:lang w:val="es-ES" w:eastAsia="es-ES"/>
        </w:rPr>
      </w:pPr>
      <w:r w:rsidRPr="002C0D19">
        <w:rPr>
          <w:rFonts w:ascii="Arial Narrow" w:hAnsi="Arial Narrow" w:cs="Arial"/>
          <w:b/>
          <w:bCs/>
          <w:color w:val="000000" w:themeColor="text1"/>
          <w:u w:val="single"/>
          <w:lang w:val="es-ES" w:eastAsia="es-ES"/>
        </w:rPr>
        <w:t>NOVENA. Comunicación e Información.</w:t>
      </w:r>
      <w:r w:rsidRPr="002C0D19">
        <w:rPr>
          <w:rFonts w:ascii="Arial Narrow" w:hAnsi="Arial Narrow" w:cs="Arial"/>
          <w:bCs/>
          <w:color w:val="000000" w:themeColor="text1"/>
          <w:lang w:val="es-ES" w:eastAsia="es-ES"/>
        </w:rPr>
        <w:t xml:space="preserve"> </w:t>
      </w:r>
      <w:r w:rsidRPr="002C0D19">
        <w:rPr>
          <w:rFonts w:ascii="Arial Narrow" w:hAnsi="Arial Narrow" w:cs="Arial"/>
          <w:b/>
          <w:bCs/>
          <w:color w:val="000000" w:themeColor="text1"/>
          <w:lang w:val="es-ES" w:eastAsia="es-ES"/>
        </w:rPr>
        <w:t>EL TERCERO</w:t>
      </w:r>
      <w:r w:rsidRPr="002C0D19">
        <w:rPr>
          <w:rFonts w:ascii="Arial Narrow" w:hAnsi="Arial Narrow" w:cs="Arial"/>
          <w:bCs/>
          <w:color w:val="000000" w:themeColor="text1"/>
          <w:lang w:val="es-ES" w:eastAsia="es-ES"/>
        </w:rPr>
        <w:t xml:space="preserve"> autoriza expresamente a </w:t>
      </w:r>
      <w:r w:rsidRPr="002C0D19">
        <w:rPr>
          <w:rFonts w:ascii="Arial Narrow" w:hAnsi="Arial Narrow" w:cs="Arial"/>
          <w:b/>
          <w:bCs/>
          <w:color w:val="000000" w:themeColor="text1"/>
          <w:lang w:val="es-ES" w:eastAsia="es-ES"/>
        </w:rPr>
        <w:t>EL MIEMBRO</w:t>
      </w:r>
      <w:r w:rsidRPr="002C0D19">
        <w:rPr>
          <w:rFonts w:ascii="Arial Narrow" w:hAnsi="Arial Narrow" w:cs="Arial"/>
          <w:bCs/>
          <w:color w:val="000000" w:themeColor="text1"/>
          <w:lang w:val="es-ES" w:eastAsia="es-ES"/>
        </w:rPr>
        <w:t xml:space="preserve"> y a </w:t>
      </w:r>
      <w:r w:rsidRPr="002C0D19">
        <w:rPr>
          <w:rFonts w:ascii="Arial Narrow" w:hAnsi="Arial Narrow" w:cs="Arial"/>
          <w:b/>
          <w:bCs/>
          <w:color w:val="000000" w:themeColor="text1"/>
          <w:lang w:val="es-ES" w:eastAsia="es-ES"/>
        </w:rPr>
        <w:t>LA CRCC</w:t>
      </w:r>
      <w:r w:rsidRPr="002C0D19">
        <w:rPr>
          <w:rFonts w:ascii="Arial Narrow" w:hAnsi="Arial Narrow" w:cs="Arial"/>
          <w:bCs/>
          <w:color w:val="000000" w:themeColor="text1"/>
          <w:lang w:val="es-ES" w:eastAsia="es-ES"/>
        </w:rPr>
        <w:t xml:space="preserve"> para que su nombre e identificación y sus obligaciones sean consultados y reportados a entidades que administren bases de datos personales y comunicados a las Autoridades Competentes por </w:t>
      </w:r>
      <w:r w:rsidRPr="002C0D19">
        <w:rPr>
          <w:rFonts w:ascii="Arial Narrow" w:hAnsi="Arial Narrow" w:cs="Arial"/>
          <w:b/>
          <w:bCs/>
          <w:color w:val="000000" w:themeColor="text1"/>
          <w:lang w:val="es-ES" w:eastAsia="es-ES"/>
        </w:rPr>
        <w:t xml:space="preserve">EL MIEMBRO </w:t>
      </w:r>
      <w:r w:rsidRPr="002C0D19">
        <w:rPr>
          <w:rFonts w:ascii="Arial Narrow" w:hAnsi="Arial Narrow" w:cs="Arial"/>
          <w:bCs/>
          <w:color w:val="000000" w:themeColor="text1"/>
          <w:lang w:val="es-ES" w:eastAsia="es-ES"/>
        </w:rPr>
        <w:t>o por</w:t>
      </w:r>
      <w:r w:rsidRPr="002C0D19">
        <w:rPr>
          <w:rFonts w:ascii="Arial Narrow" w:hAnsi="Arial Narrow" w:cs="Arial"/>
          <w:b/>
          <w:bCs/>
          <w:color w:val="000000" w:themeColor="text1"/>
          <w:lang w:val="es-ES" w:eastAsia="es-ES"/>
        </w:rPr>
        <w:t xml:space="preserve"> LA CRCC</w:t>
      </w:r>
      <w:r w:rsidRPr="002C0D19">
        <w:rPr>
          <w:rFonts w:ascii="Arial Narrow" w:hAnsi="Arial Narrow" w:cs="Arial"/>
          <w:bCs/>
          <w:color w:val="000000" w:themeColor="text1"/>
          <w:lang w:val="es-ES" w:eastAsia="es-ES"/>
        </w:rPr>
        <w:t>, si fuese necesario.</w:t>
      </w:r>
    </w:p>
    <w:p w14:paraId="74D3591A" w14:textId="77777777" w:rsidR="007968EC" w:rsidRPr="002C0D19" w:rsidRDefault="007968EC" w:rsidP="007968EC">
      <w:pPr>
        <w:jc w:val="both"/>
        <w:rPr>
          <w:rFonts w:ascii="Arial Narrow" w:hAnsi="Arial Narrow" w:cs="Arial"/>
          <w:bCs/>
          <w:color w:val="000000" w:themeColor="text1"/>
          <w:lang w:val="es-ES" w:eastAsia="es-ES"/>
        </w:rPr>
      </w:pPr>
    </w:p>
    <w:p w14:paraId="6B0E2AE9" w14:textId="77777777" w:rsidR="007968EC" w:rsidRPr="002C0D19" w:rsidRDefault="007968EC" w:rsidP="007968EC">
      <w:pPr>
        <w:jc w:val="both"/>
        <w:rPr>
          <w:rFonts w:ascii="Arial Narrow" w:hAnsi="Arial Narrow" w:cs="Arial"/>
          <w:b/>
          <w:bCs/>
          <w:color w:val="000000" w:themeColor="text1"/>
          <w:lang w:eastAsia="es-ES"/>
        </w:rPr>
      </w:pPr>
      <w:r w:rsidRPr="002C0D19">
        <w:rPr>
          <w:rFonts w:ascii="Arial Narrow" w:hAnsi="Arial Narrow" w:cs="Arial"/>
          <w:b/>
          <w:bCs/>
          <w:color w:val="000000" w:themeColor="text1"/>
          <w:u w:val="single"/>
          <w:lang w:eastAsia="es-ES"/>
        </w:rPr>
        <w:t>DÉCIMA. Exoneración de daños y perjuicios.</w:t>
      </w:r>
      <w:r w:rsidRPr="002C0D19">
        <w:rPr>
          <w:rFonts w:ascii="Arial Narrow" w:hAnsi="Arial Narrow" w:cs="Arial"/>
          <w:b/>
          <w:bCs/>
          <w:color w:val="000000" w:themeColor="text1"/>
          <w:lang w:eastAsia="es-ES"/>
        </w:rPr>
        <w:t xml:space="preserve"> EL TERCERO</w:t>
      </w:r>
      <w:r w:rsidRPr="002C0D19">
        <w:rPr>
          <w:rFonts w:ascii="Arial Narrow" w:hAnsi="Arial Narrow" w:cs="Arial"/>
          <w:bCs/>
          <w:color w:val="000000" w:themeColor="text1"/>
          <w:lang w:eastAsia="es-ES"/>
        </w:rPr>
        <w:t xml:space="preserve"> exonera a </w:t>
      </w:r>
      <w:r w:rsidRPr="002C0D19">
        <w:rPr>
          <w:rFonts w:ascii="Arial Narrow" w:hAnsi="Arial Narrow" w:cs="Arial"/>
          <w:b/>
          <w:bCs/>
          <w:color w:val="000000" w:themeColor="text1"/>
          <w:lang w:eastAsia="es-ES"/>
        </w:rPr>
        <w:t>EL MIEMBRO</w:t>
      </w:r>
      <w:r w:rsidRPr="002C0D19">
        <w:rPr>
          <w:rFonts w:ascii="Arial Narrow" w:hAnsi="Arial Narrow" w:cs="Arial"/>
          <w:bCs/>
          <w:color w:val="000000" w:themeColor="text1"/>
          <w:lang w:eastAsia="es-ES"/>
        </w:rPr>
        <w:t xml:space="preserve"> y a </w:t>
      </w:r>
      <w:r w:rsidRPr="002C0D19">
        <w:rPr>
          <w:rFonts w:ascii="Arial Narrow" w:hAnsi="Arial Narrow" w:cs="Arial"/>
          <w:b/>
          <w:bCs/>
          <w:color w:val="000000" w:themeColor="text1"/>
          <w:lang w:eastAsia="es-ES"/>
        </w:rPr>
        <w:t>LA CRCC</w:t>
      </w:r>
      <w:r w:rsidRPr="002C0D19">
        <w:rPr>
          <w:rFonts w:ascii="Arial Narrow" w:hAnsi="Arial Narrow" w:cs="Arial"/>
          <w:bCs/>
          <w:color w:val="000000" w:themeColor="text1"/>
          <w:lang w:eastAsia="es-ES"/>
        </w:rPr>
        <w:t xml:space="preserve"> de cualquier daño o perjuicio que pudiera sufrir por causa de fuerza mayor, por suspensión o interrupción del Sistema y, en general, por hechos en los que no haya mediado dolo o culpa grave por parte de </w:t>
      </w:r>
      <w:r w:rsidRPr="002C0D19">
        <w:rPr>
          <w:rFonts w:ascii="Arial Narrow" w:hAnsi="Arial Narrow" w:cs="Arial"/>
          <w:b/>
          <w:bCs/>
          <w:color w:val="000000" w:themeColor="text1"/>
          <w:lang w:eastAsia="es-ES"/>
        </w:rPr>
        <w:t xml:space="preserve">EL MIEMBRO </w:t>
      </w:r>
      <w:r w:rsidRPr="002C0D19">
        <w:rPr>
          <w:rFonts w:ascii="Arial Narrow" w:hAnsi="Arial Narrow" w:cs="Arial"/>
          <w:bCs/>
          <w:color w:val="000000" w:themeColor="text1"/>
          <w:lang w:eastAsia="es-ES"/>
        </w:rPr>
        <w:t xml:space="preserve">o de </w:t>
      </w:r>
      <w:r w:rsidRPr="002C0D19">
        <w:rPr>
          <w:rFonts w:ascii="Arial Narrow" w:hAnsi="Arial Narrow" w:cs="Arial"/>
          <w:b/>
          <w:bCs/>
          <w:color w:val="000000" w:themeColor="text1"/>
          <w:lang w:eastAsia="es-ES"/>
        </w:rPr>
        <w:t>LA CRCC.</w:t>
      </w:r>
    </w:p>
    <w:p w14:paraId="19911F36" w14:textId="77777777" w:rsidR="007968EC" w:rsidRPr="002C0D19" w:rsidRDefault="007968EC" w:rsidP="007968EC">
      <w:pPr>
        <w:jc w:val="both"/>
        <w:rPr>
          <w:rFonts w:ascii="Arial Narrow" w:hAnsi="Arial Narrow" w:cs="Arial"/>
          <w:bCs/>
          <w:color w:val="000000" w:themeColor="text1"/>
          <w:lang w:eastAsia="es-ES"/>
        </w:rPr>
      </w:pPr>
    </w:p>
    <w:p w14:paraId="6F672A1D"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CO"/>
        </w:rPr>
      </w:pPr>
      <w:r w:rsidRPr="002C0D19">
        <w:rPr>
          <w:rFonts w:ascii="Arial Narrow" w:hAnsi="Arial Narrow" w:cs="Arial"/>
          <w:b/>
          <w:bCs/>
          <w:color w:val="000000" w:themeColor="text1"/>
          <w:u w:val="single"/>
          <w:lang w:eastAsia="es-ES"/>
        </w:rPr>
        <w:t xml:space="preserve">DÉCIMA PRIMERA. Terminación Unilateral.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podrá terminar unilateralmente el Convenio y sin indemnización alguna, en el evento en que </w:t>
      </w:r>
      <w:r w:rsidRPr="002C0D19">
        <w:rPr>
          <w:rFonts w:ascii="Arial Narrow" w:hAnsi="Arial Narrow" w:cs="Arial"/>
          <w:b/>
          <w:color w:val="000000" w:themeColor="text1"/>
          <w:lang w:val="es-ES" w:eastAsia="es-ES"/>
        </w:rPr>
        <w:t>EL TERCERO</w:t>
      </w:r>
      <w:r w:rsidRPr="002C0D19">
        <w:rPr>
          <w:rFonts w:ascii="Arial Narrow" w:hAnsi="Arial Narrow" w:cs="Arial"/>
          <w:color w:val="000000" w:themeColor="text1"/>
          <w:lang w:val="es-ES" w:eastAsia="es-ES"/>
        </w:rPr>
        <w:t xml:space="preserve"> </w:t>
      </w:r>
      <w:r w:rsidRPr="002C0D19">
        <w:rPr>
          <w:rFonts w:ascii="Arial Narrow" w:hAnsi="Arial Narrow" w:cs="Arial"/>
          <w:color w:val="000000" w:themeColor="text1"/>
          <w:lang w:val="es-ES" w:eastAsia="es-CO"/>
        </w:rPr>
        <w:t>se encuentre vinculado de alguna manera a listas internacionales o locales de pública circulación relacionadas con delitos tipificados en Colombia como lavado de activos y/o financiación del terrorismo, así en Colombia no se hubiere iniciado investigación sobre el particular.</w:t>
      </w:r>
    </w:p>
    <w:p w14:paraId="63C79005" w14:textId="77777777" w:rsidR="007968EC" w:rsidRPr="002C0D19" w:rsidRDefault="007968EC" w:rsidP="007968EC">
      <w:pPr>
        <w:autoSpaceDE w:val="0"/>
        <w:autoSpaceDN w:val="0"/>
        <w:adjustRightInd w:val="0"/>
        <w:jc w:val="both"/>
        <w:rPr>
          <w:rFonts w:ascii="Arial Narrow" w:hAnsi="Arial Narrow" w:cs="Arial"/>
          <w:b/>
          <w:color w:val="000000" w:themeColor="text1"/>
          <w:lang w:val="es-ES" w:eastAsia="es-CO"/>
        </w:rPr>
      </w:pPr>
    </w:p>
    <w:p w14:paraId="79ED08D3"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color w:val="000000" w:themeColor="text1"/>
          <w:u w:val="single"/>
          <w:lang w:val="es-ES" w:eastAsia="es-CO"/>
        </w:rPr>
        <w:t>DÉCIMA SEGUNDA</w:t>
      </w:r>
      <w:r w:rsidRPr="002C0D19">
        <w:rPr>
          <w:rFonts w:ascii="Arial Narrow" w:hAnsi="Arial Narrow" w:cs="Arial"/>
          <w:color w:val="000000" w:themeColor="text1"/>
          <w:u w:val="single"/>
          <w:lang w:val="es-ES" w:eastAsia="es-CO"/>
        </w:rPr>
        <w:t xml:space="preserve">. </w:t>
      </w:r>
      <w:r w:rsidRPr="002C0D19">
        <w:rPr>
          <w:rFonts w:ascii="Arial Narrow" w:hAnsi="Arial Narrow" w:cs="Arial"/>
          <w:b/>
          <w:color w:val="000000" w:themeColor="text1"/>
          <w:u w:val="single"/>
          <w:lang w:val="es-ES" w:eastAsia="es-CO"/>
        </w:rPr>
        <w:t>Operaciones sobre Instrumentos Financieros Derivados No Estandarizados</w:t>
      </w:r>
      <w:r w:rsidRPr="002C0D19">
        <w:rPr>
          <w:rFonts w:ascii="Arial Narrow" w:hAnsi="Arial Narrow" w:cs="Arial"/>
          <w:b/>
          <w:color w:val="000000" w:themeColor="text1"/>
          <w:lang w:val="es-ES" w:eastAsia="es-CO"/>
        </w:rPr>
        <w:t>.</w:t>
      </w:r>
      <w:r w:rsidRPr="002C0D19">
        <w:rPr>
          <w:rFonts w:ascii="Arial Narrow" w:hAnsi="Arial Narrow" w:cs="Arial"/>
          <w:color w:val="000000" w:themeColor="text1"/>
          <w:lang w:val="es-ES" w:eastAsia="es-CO"/>
        </w:rPr>
        <w:t xml:space="preserve"> En el </w:t>
      </w:r>
      <w:r w:rsidRPr="002C0D19">
        <w:rPr>
          <w:rFonts w:ascii="Arial Narrow" w:hAnsi="Arial Narrow" w:cs="Arial"/>
          <w:color w:val="000000" w:themeColor="text1"/>
          <w:lang w:val="es-ES" w:eastAsia="es-ES"/>
        </w:rPr>
        <w:t xml:space="preserve">evento en que </w:t>
      </w:r>
      <w:r w:rsidRPr="002C0D19">
        <w:rPr>
          <w:rFonts w:ascii="Arial Narrow" w:hAnsi="Arial Narrow" w:cs="Arial"/>
          <w:b/>
          <w:color w:val="000000" w:themeColor="text1"/>
          <w:lang w:val="es-ES" w:eastAsia="es-ES"/>
        </w:rPr>
        <w:t>EL TERCERO</w:t>
      </w:r>
      <w:r w:rsidRPr="002C0D19">
        <w:rPr>
          <w:rFonts w:ascii="Arial Narrow" w:hAnsi="Arial Narrow" w:cs="Arial"/>
          <w:color w:val="000000" w:themeColor="text1"/>
          <w:lang w:val="es-ES" w:eastAsia="es-ES"/>
        </w:rPr>
        <w:t xml:space="preserve"> celebre con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operaciones sobre instrumentos financieros derivados no estandarizados, </w:t>
      </w:r>
      <w:r w:rsidRPr="002C0D19">
        <w:rPr>
          <w:rFonts w:ascii="Arial Narrow" w:hAnsi="Arial Narrow" w:cs="Arial"/>
          <w:b/>
          <w:color w:val="000000" w:themeColor="text1"/>
          <w:lang w:val="es-ES" w:eastAsia="es-ES"/>
        </w:rPr>
        <w:t>EL TERCERO</w:t>
      </w:r>
      <w:r w:rsidRPr="002C0D19">
        <w:rPr>
          <w:rFonts w:ascii="Arial Narrow" w:hAnsi="Arial Narrow" w:cs="Arial"/>
          <w:color w:val="000000" w:themeColor="text1"/>
          <w:lang w:val="es-ES" w:eastAsia="es-ES"/>
        </w:rPr>
        <w:t xml:space="preserve"> acepta que las operaciones podrán ser compensadas y liquidadas por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participando por cuenta de </w:t>
      </w:r>
      <w:r w:rsidRPr="002C0D19">
        <w:rPr>
          <w:rFonts w:ascii="Arial Narrow" w:hAnsi="Arial Narrow" w:cs="Arial"/>
          <w:b/>
          <w:color w:val="000000" w:themeColor="text1"/>
          <w:lang w:val="es-ES" w:eastAsia="es-ES"/>
        </w:rPr>
        <w:t>EL TERCERO</w:t>
      </w:r>
      <w:r w:rsidRPr="002C0D19">
        <w:rPr>
          <w:rFonts w:ascii="Arial Narrow" w:hAnsi="Arial Narrow" w:cs="Arial"/>
          <w:color w:val="000000" w:themeColor="text1"/>
          <w:lang w:val="es-ES" w:eastAsia="es-ES"/>
        </w:rPr>
        <w:t xml:space="preserve"> a través del Segmento respectivo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de conformidad y en las condiciones establecidas en el Reglamento de Funcionamiento de tal entidad. Para el efecto, </w:t>
      </w:r>
      <w:r w:rsidRPr="002C0D19">
        <w:rPr>
          <w:rFonts w:ascii="Arial Narrow" w:hAnsi="Arial Narrow" w:cs="Arial"/>
          <w:b/>
          <w:color w:val="000000" w:themeColor="text1"/>
          <w:lang w:val="es-ES" w:eastAsia="es-ES"/>
        </w:rPr>
        <w:t>EL TERCERO</w:t>
      </w:r>
      <w:r w:rsidRPr="002C0D19">
        <w:rPr>
          <w:rFonts w:ascii="Arial Narrow" w:hAnsi="Arial Narrow" w:cs="Arial"/>
          <w:color w:val="000000" w:themeColor="text1"/>
          <w:lang w:val="es-ES" w:eastAsia="es-ES"/>
        </w:rPr>
        <w:t xml:space="preserve"> acepta que para la Compensación y Liquidación a través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esta última se interpondrá mediante la novación de las relaciones contractuales que los vinculan extinguiendo el vínculo contractual con </w:t>
      </w:r>
      <w:r w:rsidRPr="002C0D19">
        <w:rPr>
          <w:rFonts w:ascii="Arial Narrow" w:hAnsi="Arial Narrow" w:cs="Arial"/>
          <w:b/>
          <w:color w:val="000000" w:themeColor="text1"/>
          <w:lang w:val="es-ES" w:eastAsia="es-ES"/>
        </w:rPr>
        <w:t>EL TERCERO</w:t>
      </w:r>
      <w:r w:rsidRPr="002C0D19">
        <w:rPr>
          <w:rFonts w:ascii="Arial Narrow" w:hAnsi="Arial Narrow" w:cs="Arial"/>
          <w:color w:val="000000" w:themeColor="text1"/>
          <w:lang w:val="es-ES" w:eastAsia="es-ES"/>
        </w:rPr>
        <w:t xml:space="preserve"> y creando nuevas operaciones entre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y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por su propia cuenta y entre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y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por cuenta de </w:t>
      </w:r>
      <w:r w:rsidRPr="002C0D19">
        <w:rPr>
          <w:rFonts w:ascii="Arial Narrow" w:hAnsi="Arial Narrow" w:cs="Arial"/>
          <w:b/>
          <w:color w:val="000000" w:themeColor="text1"/>
          <w:lang w:val="es-ES" w:eastAsia="es-ES"/>
        </w:rPr>
        <w:t>EL TERCERO</w:t>
      </w:r>
      <w:r w:rsidRPr="002C0D19">
        <w:rPr>
          <w:rFonts w:ascii="Arial Narrow" w:hAnsi="Arial Narrow" w:cs="Arial"/>
          <w:color w:val="000000" w:themeColor="text1"/>
          <w:lang w:val="es-ES" w:eastAsia="es-ES"/>
        </w:rPr>
        <w:t>. Tanto la novación, como las nuevas relaciones contractuales que surjan de la misma y sus efectos, se rigen exclusivamente por lo dispuesto en las normas vigentes, en el Reglamento de Funcionamiento, en la Circular Única y en los Instructivos Operativos de la Cámara.</w:t>
      </w:r>
    </w:p>
    <w:p w14:paraId="15786DE8" w14:textId="77777777" w:rsidR="007968EC" w:rsidRPr="002C0D19" w:rsidRDefault="007968EC" w:rsidP="007968EC">
      <w:pPr>
        <w:jc w:val="both"/>
        <w:rPr>
          <w:rFonts w:ascii="Arial Narrow" w:hAnsi="Arial Narrow" w:cs="Arial"/>
          <w:color w:val="000000" w:themeColor="text1"/>
          <w:lang w:val="es-ES" w:eastAsia="es-ES"/>
        </w:rPr>
      </w:pPr>
    </w:p>
    <w:p w14:paraId="481D1C72"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De igual forma, </w:t>
      </w:r>
      <w:r w:rsidRPr="002C0D19">
        <w:rPr>
          <w:rFonts w:ascii="Arial Narrow" w:hAnsi="Arial Narrow" w:cs="Arial"/>
          <w:b/>
          <w:color w:val="000000" w:themeColor="text1"/>
          <w:lang w:val="es-ES" w:eastAsia="es-ES"/>
        </w:rPr>
        <w:t>EL TERCERO</w:t>
      </w:r>
      <w:r w:rsidRPr="002C0D19">
        <w:rPr>
          <w:rFonts w:ascii="Arial Narrow" w:hAnsi="Arial Narrow" w:cs="Arial"/>
          <w:color w:val="000000" w:themeColor="text1"/>
          <w:lang w:val="es-ES" w:eastAsia="es-ES"/>
        </w:rPr>
        <w:t xml:space="preserve"> declara que autoriza a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que participa por su cuenta en la Compensación y Liquidación para que manifieste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su intención de novar, la cual se entenderá otorgada en el momento en que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remita la operación celebrada para su Compensación y Liquidación a través de los mecanismos autorizados por LA CRCC para el efecto. </w:t>
      </w:r>
    </w:p>
    <w:p w14:paraId="1FD91FFA" w14:textId="77777777" w:rsidR="007968EC" w:rsidRPr="002C0D19" w:rsidRDefault="007968EC" w:rsidP="007968EC">
      <w:pPr>
        <w:jc w:val="both"/>
        <w:rPr>
          <w:rFonts w:ascii="Arial Narrow" w:hAnsi="Arial Narrow" w:cs="Arial"/>
          <w:color w:val="000000" w:themeColor="text1"/>
          <w:lang w:val="es-ES" w:eastAsia="es-ES"/>
        </w:rPr>
      </w:pPr>
    </w:p>
    <w:p w14:paraId="67AC7623" w14:textId="77777777" w:rsidR="007968EC" w:rsidRPr="002C0D19" w:rsidRDefault="007968EC" w:rsidP="007968EC">
      <w:pPr>
        <w:jc w:val="both"/>
        <w:rPr>
          <w:rFonts w:ascii="Arial Narrow" w:hAnsi="Arial Narrow" w:cs="Arial"/>
          <w:color w:val="000000" w:themeColor="text1"/>
          <w:lang w:val="es-ES_tradnl" w:eastAsia="es-ES"/>
        </w:rPr>
      </w:pPr>
      <w:r w:rsidRPr="002C0D19">
        <w:rPr>
          <w:rFonts w:ascii="Arial Narrow" w:hAnsi="Arial Narrow" w:cs="Arial"/>
          <w:b/>
          <w:bCs/>
          <w:color w:val="000000" w:themeColor="text1"/>
          <w:u w:val="single"/>
          <w:lang w:val="es-ES" w:eastAsia="es-ES"/>
        </w:rPr>
        <w:t>CLÁUSULA OPTATIVA DÉCIMA TERCERA. Cláusula Compromisoria.</w:t>
      </w:r>
      <w:r w:rsidRPr="002C0D19">
        <w:rPr>
          <w:rFonts w:ascii="Arial Narrow" w:hAnsi="Arial Narrow" w:cs="Arial"/>
          <w:b/>
          <w:color w:val="000000" w:themeColor="text1"/>
          <w:u w:val="single"/>
          <w:lang w:val="es-ES" w:eastAsia="es-ES"/>
        </w:rPr>
        <w:t xml:space="preserve"> </w:t>
      </w:r>
      <w:r w:rsidRPr="002C0D19">
        <w:rPr>
          <w:rFonts w:ascii="Arial Narrow" w:hAnsi="Arial Narrow" w:cs="Arial"/>
          <w:color w:val="000000" w:themeColor="text1"/>
          <w:lang w:val="es-ES_tradnl" w:eastAsia="es-ES"/>
        </w:rPr>
        <w:t xml:space="preserve">Todas las diferencias que ocurran entre las partes con ocasión de la presente Oferta, una vez aceptada, y que no puedan solucionarse por acuerdo directo entre ellas, en un plazo que no podrá exceder de dos (2) meses contados a partir de la fecha </w:t>
      </w:r>
      <w:r w:rsidRPr="002C0D19">
        <w:rPr>
          <w:rFonts w:ascii="Arial Narrow" w:hAnsi="Arial Narrow" w:cs="Arial"/>
          <w:color w:val="000000" w:themeColor="text1"/>
          <w:lang w:val="es-ES_tradnl" w:eastAsia="es-ES"/>
        </w:rPr>
        <w:lastRenderedPageBreak/>
        <w:t xml:space="preserve">del evento que generó la diferencia, serán resueltas por un Tribunal de Arbitramento. Cuando la cuantía de las pretensiones supere los mil (1000) salarios mínimos legales mensuales vigentes en Colombia, el Tribunal de Arbitramento estará conformado por tres (3) árbitros, los cuales serán designados por las partes dentro de los quince (15) días hábiles siguientes al vencimiento del plazo de dos (2) meses de acuerdo directo, o a falta de acuerdo, mediante sorteo entre los árbitros inscritos en el Centro de Arbitraje y Conciliación de la Cámara de Comercio de Bogotá. En caso de que la cuantía de las pretensiones sea igual o inferior a mil (1000) salarios mínimos legales mensuales vigentes en Colombia, el Tribunal de Arbitramento estará conformado por un (1) árbitro, el cual será designado por las partes dentro de los quince (15) días hábiles siguientes al vencimiento del plazo de dos (2) meses de acuerdo directo, o a falta de acuerdo, por sorteo entre los árbitros inscritos en el Centro de Arbitraje y Conciliación de la Cámara de Comercio de Bogotá. El o los árbitros designados serán Abogados inscritos y fallarán en derecho. El Tribunal de Arbitramento tendrá sede en la ciudad de Bogotá y se regirá por las leyes colombianas. </w:t>
      </w:r>
    </w:p>
    <w:p w14:paraId="5E3CFF05" w14:textId="77777777" w:rsidR="007968EC" w:rsidRPr="002C0D19" w:rsidRDefault="007968EC" w:rsidP="007968EC">
      <w:pPr>
        <w:jc w:val="both"/>
        <w:rPr>
          <w:rFonts w:ascii="Arial Narrow" w:hAnsi="Arial Narrow" w:cs="Arial"/>
          <w:bCs/>
          <w:color w:val="000000" w:themeColor="text1"/>
          <w:lang w:val="es-ES" w:eastAsia="es-ES"/>
        </w:rPr>
      </w:pPr>
    </w:p>
    <w:p w14:paraId="651048A4" w14:textId="77777777" w:rsidR="007968EC" w:rsidRPr="002C0D19" w:rsidRDefault="007968EC" w:rsidP="007968EC">
      <w:pPr>
        <w:jc w:val="both"/>
        <w:rPr>
          <w:rFonts w:ascii="Arial Narrow" w:hAnsi="Arial Narrow" w:cs="Arial"/>
          <w:color w:val="000000" w:themeColor="text1"/>
          <w:lang w:val="es-ES_tradnl" w:eastAsia="es-ES"/>
        </w:rPr>
      </w:pPr>
      <w:r w:rsidRPr="002C0D19">
        <w:rPr>
          <w:rFonts w:ascii="Arial Narrow" w:hAnsi="Arial Narrow" w:cs="Arial"/>
          <w:b/>
          <w:color w:val="000000" w:themeColor="text1"/>
          <w:u w:val="single"/>
          <w:lang w:val="es-ES_tradnl" w:eastAsia="es-ES"/>
        </w:rPr>
        <w:t xml:space="preserve">DÉCIMA </w:t>
      </w:r>
      <w:r w:rsidRPr="002C0D19">
        <w:rPr>
          <w:rFonts w:ascii="Arial Narrow" w:hAnsi="Arial Narrow" w:cs="Arial"/>
          <w:b/>
          <w:bCs/>
          <w:color w:val="000000" w:themeColor="text1"/>
          <w:u w:val="single"/>
          <w:lang w:val="es-ES" w:eastAsia="es-ES"/>
        </w:rPr>
        <w:t>CUARTA</w:t>
      </w:r>
      <w:r w:rsidRPr="002C0D19">
        <w:rPr>
          <w:rFonts w:ascii="Arial Narrow" w:hAnsi="Arial Narrow" w:cs="Arial"/>
          <w:b/>
          <w:color w:val="000000" w:themeColor="text1"/>
          <w:u w:val="single"/>
          <w:lang w:val="es-ES_tradnl" w:eastAsia="es-ES"/>
        </w:rPr>
        <w:t>. Notificaciones</w:t>
      </w:r>
      <w:r w:rsidRPr="002C0D19">
        <w:rPr>
          <w:rFonts w:ascii="Arial Narrow" w:hAnsi="Arial Narrow" w:cs="Arial"/>
          <w:color w:val="000000" w:themeColor="text1"/>
          <w:u w:val="single"/>
          <w:lang w:val="es-ES_tradnl" w:eastAsia="es-ES"/>
        </w:rPr>
        <w:t>.</w:t>
      </w:r>
      <w:r w:rsidRPr="002C0D19">
        <w:rPr>
          <w:rFonts w:ascii="Arial Narrow" w:hAnsi="Arial Narrow" w:cs="Arial"/>
          <w:b/>
          <w:color w:val="000000" w:themeColor="text1"/>
          <w:lang w:val="es-ES_tradnl" w:eastAsia="es-ES"/>
        </w:rPr>
        <w:t xml:space="preserve"> </w:t>
      </w:r>
      <w:r w:rsidRPr="002C0D19">
        <w:rPr>
          <w:rFonts w:ascii="Arial Narrow" w:hAnsi="Arial Narrow" w:cs="Arial"/>
          <w:color w:val="000000" w:themeColor="text1"/>
          <w:lang w:val="es-ES_tradnl" w:eastAsia="es-ES"/>
        </w:rPr>
        <w:t>Todas las notificaciones y comunicaciones relacionadas con la presente Oferta de Servicios se harán por escrito y se enviarán a las siguientes direcciones:</w:t>
      </w:r>
    </w:p>
    <w:p w14:paraId="3CBFB603" w14:textId="77777777" w:rsidR="007968EC" w:rsidRPr="002C0D19" w:rsidRDefault="007968EC" w:rsidP="007968EC">
      <w:pPr>
        <w:jc w:val="both"/>
        <w:rPr>
          <w:rFonts w:ascii="Arial Narrow" w:hAnsi="Arial Narrow" w:cs="Arial"/>
          <w:b/>
          <w:color w:val="000000" w:themeColor="text1"/>
          <w:lang w:val="es-ES_tradnl" w:eastAsia="es-ES"/>
        </w:rPr>
      </w:pPr>
    </w:p>
    <w:p w14:paraId="21B6634A" w14:textId="77777777" w:rsidR="007968EC" w:rsidRPr="002C0D19" w:rsidRDefault="007968EC" w:rsidP="007968EC">
      <w:pPr>
        <w:jc w:val="both"/>
        <w:rPr>
          <w:rFonts w:ascii="Arial Narrow" w:hAnsi="Arial Narrow" w:cs="Arial"/>
          <w:b/>
          <w:color w:val="000000" w:themeColor="text1"/>
          <w:lang w:val="es-ES_tradnl" w:eastAsia="es-ES"/>
        </w:rPr>
      </w:pPr>
      <w:r w:rsidRPr="002C0D19">
        <w:rPr>
          <w:rFonts w:ascii="Arial Narrow" w:hAnsi="Arial Narrow" w:cs="Arial"/>
          <w:b/>
          <w:color w:val="000000" w:themeColor="text1"/>
          <w:lang w:val="es-ES_tradnl" w:eastAsia="es-ES"/>
        </w:rPr>
        <w:t>EL TERCERO:</w:t>
      </w:r>
    </w:p>
    <w:p w14:paraId="6D0BCB52"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b/>
          <w:color w:val="000000" w:themeColor="text1"/>
          <w:lang w:eastAsia="es-ES"/>
        </w:rPr>
        <w:tab/>
      </w:r>
      <w:r w:rsidRPr="002C0D19">
        <w:rPr>
          <w:rFonts w:ascii="Arial Narrow" w:hAnsi="Arial Narrow" w:cs="Arial"/>
          <w:b/>
          <w:color w:val="000000" w:themeColor="text1"/>
          <w:lang w:eastAsia="es-ES"/>
        </w:rPr>
        <w:tab/>
      </w:r>
      <w:r w:rsidRPr="002C0D19">
        <w:rPr>
          <w:rFonts w:ascii="Arial Narrow" w:hAnsi="Arial Narrow" w:cs="Arial"/>
          <w:color w:val="000000" w:themeColor="text1"/>
          <w:lang w:eastAsia="es-ES"/>
        </w:rPr>
        <w:t xml:space="preserve">Fax:  </w:t>
      </w:r>
    </w:p>
    <w:p w14:paraId="788406E4"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r>
      <w:r w:rsidRPr="002C0D19">
        <w:rPr>
          <w:rFonts w:ascii="Arial Narrow" w:hAnsi="Arial Narrow" w:cs="Arial"/>
          <w:color w:val="000000" w:themeColor="text1"/>
          <w:lang w:val="es-ES" w:eastAsia="es-ES"/>
        </w:rPr>
        <w:t>Dirección</w:t>
      </w:r>
      <w:r w:rsidRPr="002C0D19">
        <w:rPr>
          <w:rFonts w:ascii="Arial Narrow" w:hAnsi="Arial Narrow" w:cs="Arial"/>
          <w:color w:val="000000" w:themeColor="text1"/>
          <w:lang w:eastAsia="es-ES"/>
        </w:rPr>
        <w:t xml:space="preserve">: </w:t>
      </w:r>
    </w:p>
    <w:p w14:paraId="7C094DA3"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t xml:space="preserve">Ciudad: </w:t>
      </w:r>
    </w:p>
    <w:p w14:paraId="0BF46D50" w14:textId="77777777" w:rsidR="007968EC" w:rsidRPr="002C0D19" w:rsidRDefault="007968EC" w:rsidP="007968EC">
      <w:pPr>
        <w:jc w:val="both"/>
        <w:rPr>
          <w:rFonts w:ascii="Arial Narrow" w:hAnsi="Arial Narrow" w:cs="Arial"/>
          <w:b/>
          <w:color w:val="000000" w:themeColor="text1"/>
          <w:lang w:val="es-ES_tradnl" w:eastAsia="es-ES"/>
        </w:rPr>
      </w:pPr>
      <w:r w:rsidRPr="002C0D19">
        <w:rPr>
          <w:rFonts w:ascii="Arial Narrow" w:hAnsi="Arial Narrow" w:cs="Arial"/>
          <w:b/>
          <w:color w:val="000000" w:themeColor="text1"/>
          <w:lang w:val="es-ES_tradnl" w:eastAsia="es-ES"/>
        </w:rPr>
        <w:t>EL MIEMBRO:</w:t>
      </w:r>
      <w:r w:rsidRPr="002C0D19">
        <w:rPr>
          <w:rFonts w:ascii="Arial Narrow" w:hAnsi="Arial Narrow" w:cs="Arial"/>
          <w:b/>
          <w:color w:val="000000" w:themeColor="text1"/>
          <w:lang w:val="es-ES_tradnl" w:eastAsia="es-ES"/>
        </w:rPr>
        <w:tab/>
      </w:r>
    </w:p>
    <w:p w14:paraId="3B125CB8"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b/>
          <w:color w:val="000000" w:themeColor="text1"/>
          <w:lang w:eastAsia="es-ES"/>
        </w:rPr>
        <w:tab/>
      </w:r>
      <w:r w:rsidRPr="002C0D19">
        <w:rPr>
          <w:rFonts w:ascii="Arial Narrow" w:hAnsi="Arial Narrow" w:cs="Arial"/>
          <w:b/>
          <w:color w:val="000000" w:themeColor="text1"/>
          <w:lang w:eastAsia="es-ES"/>
        </w:rPr>
        <w:tab/>
      </w:r>
      <w:r w:rsidRPr="002C0D19">
        <w:rPr>
          <w:rFonts w:ascii="Arial Narrow" w:hAnsi="Arial Narrow" w:cs="Arial"/>
          <w:color w:val="000000" w:themeColor="text1"/>
          <w:lang w:eastAsia="es-ES"/>
        </w:rPr>
        <w:t xml:space="preserve">Fax:  </w:t>
      </w:r>
    </w:p>
    <w:p w14:paraId="4A7BE3B2"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r>
      <w:r w:rsidRPr="002C0D19">
        <w:rPr>
          <w:rFonts w:ascii="Arial Narrow" w:hAnsi="Arial Narrow" w:cs="Arial"/>
          <w:color w:val="000000" w:themeColor="text1"/>
          <w:lang w:val="es-ES" w:eastAsia="es-ES"/>
        </w:rPr>
        <w:t>Dirección</w:t>
      </w:r>
      <w:r w:rsidRPr="002C0D19">
        <w:rPr>
          <w:rFonts w:ascii="Arial Narrow" w:hAnsi="Arial Narrow" w:cs="Arial"/>
          <w:color w:val="000000" w:themeColor="text1"/>
          <w:lang w:eastAsia="es-ES"/>
        </w:rPr>
        <w:t xml:space="preserve">: </w:t>
      </w:r>
    </w:p>
    <w:p w14:paraId="0DDB103D"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t xml:space="preserve">Ciudad: </w:t>
      </w:r>
    </w:p>
    <w:p w14:paraId="280AAF35" w14:textId="77777777" w:rsidR="007968EC" w:rsidRPr="002C0D19" w:rsidRDefault="007968EC" w:rsidP="007968EC">
      <w:pPr>
        <w:jc w:val="both"/>
        <w:rPr>
          <w:rFonts w:ascii="Arial Narrow" w:hAnsi="Arial Narrow" w:cs="Arial"/>
          <w:b/>
          <w:color w:val="000000" w:themeColor="text1"/>
          <w:u w:val="single"/>
          <w:lang w:val="es-ES_tradnl" w:eastAsia="es-ES"/>
        </w:rPr>
      </w:pPr>
    </w:p>
    <w:p w14:paraId="3CF03CD3" w14:textId="77777777" w:rsidR="007968EC" w:rsidRPr="002C0D19" w:rsidRDefault="007968EC" w:rsidP="007968EC">
      <w:pPr>
        <w:jc w:val="both"/>
        <w:rPr>
          <w:rFonts w:ascii="Arial Narrow" w:hAnsi="Arial Narrow" w:cs="Arial"/>
          <w:bCs/>
          <w:color w:val="000000" w:themeColor="text1"/>
          <w:u w:val="single"/>
          <w:lang w:val="es-ES" w:eastAsia="es-ES"/>
        </w:rPr>
      </w:pPr>
      <w:r w:rsidRPr="002C0D19">
        <w:rPr>
          <w:rFonts w:ascii="Arial Narrow" w:hAnsi="Arial Narrow" w:cs="Arial"/>
          <w:b/>
          <w:color w:val="000000" w:themeColor="text1"/>
          <w:u w:val="single"/>
          <w:lang w:val="es-ES_tradnl" w:eastAsia="es-ES"/>
        </w:rPr>
        <w:t xml:space="preserve">DECIMA </w:t>
      </w:r>
      <w:r w:rsidRPr="002C0D19">
        <w:rPr>
          <w:rFonts w:ascii="Arial Narrow" w:hAnsi="Arial Narrow" w:cs="Arial"/>
          <w:b/>
          <w:bCs/>
          <w:color w:val="000000" w:themeColor="text1"/>
          <w:u w:val="single"/>
          <w:lang w:val="es-ES" w:eastAsia="es-ES"/>
        </w:rPr>
        <w:t>QUINTA</w:t>
      </w:r>
      <w:r w:rsidRPr="002C0D19">
        <w:rPr>
          <w:rFonts w:ascii="Arial Narrow" w:hAnsi="Arial Narrow" w:cs="Arial"/>
          <w:b/>
          <w:color w:val="000000" w:themeColor="text1"/>
          <w:u w:val="single"/>
          <w:lang w:val="es-ES_tradnl" w:eastAsia="es-ES"/>
        </w:rPr>
        <w:t xml:space="preserve">. </w:t>
      </w:r>
      <w:r w:rsidRPr="002C0D19">
        <w:rPr>
          <w:rFonts w:ascii="Arial Narrow" w:hAnsi="Arial Narrow" w:cs="Arial"/>
          <w:b/>
          <w:color w:val="000000" w:themeColor="text1"/>
          <w:u w:val="single"/>
          <w:lang w:val="es-ES" w:eastAsia="es-ES"/>
        </w:rPr>
        <w:t>Mérito Ejecutivo</w:t>
      </w:r>
      <w:r w:rsidRPr="002C0D19">
        <w:rPr>
          <w:rFonts w:ascii="Arial Narrow" w:hAnsi="Arial Narrow" w:cs="Arial"/>
          <w:color w:val="000000" w:themeColor="text1"/>
          <w:u w:val="single"/>
          <w:lang w:val="es-ES" w:eastAsia="es-ES"/>
        </w:rPr>
        <w:t>.</w:t>
      </w:r>
      <w:r w:rsidRPr="002C0D19">
        <w:rPr>
          <w:rFonts w:ascii="Arial Narrow" w:hAnsi="Arial Narrow" w:cs="Arial"/>
          <w:color w:val="000000" w:themeColor="text1"/>
          <w:lang w:val="es-ES" w:eastAsia="es-ES"/>
        </w:rPr>
        <w:t xml:space="preserve"> Las partes reconocen y aceptan que la presente Oferta de Servicios, una vez aceptada mediante la expedición de la Orden de Compra de Servicios,</w:t>
      </w:r>
      <w:r w:rsidRPr="002C0D19" w:rsidDel="00CA2BCF">
        <w:rPr>
          <w:rFonts w:ascii="Arial Narrow" w:hAnsi="Arial Narrow" w:cs="Arial"/>
          <w:color w:val="000000" w:themeColor="text1"/>
          <w:lang w:val="es-ES" w:eastAsia="es-ES"/>
        </w:rPr>
        <w:t xml:space="preserve"> </w:t>
      </w:r>
      <w:r w:rsidRPr="002C0D19">
        <w:rPr>
          <w:rFonts w:ascii="Arial Narrow" w:hAnsi="Arial Narrow" w:cs="Arial"/>
          <w:color w:val="000000" w:themeColor="text1"/>
          <w:lang w:val="es-ES" w:eastAsia="es-ES"/>
        </w:rPr>
        <w:t>prestará mérito ejecutivo para solicitar el cumplimiento de las obligaciones a cargo de las mismas, sin necesidad de requerimiento en mora judicial o extrajudicial.</w:t>
      </w:r>
    </w:p>
    <w:p w14:paraId="675A49CF" w14:textId="77777777" w:rsidR="007968EC" w:rsidRPr="002C0D19" w:rsidRDefault="007968EC" w:rsidP="007968EC">
      <w:pPr>
        <w:jc w:val="both"/>
        <w:rPr>
          <w:rFonts w:ascii="Arial Narrow" w:hAnsi="Arial Narrow" w:cs="Arial"/>
          <w:b/>
          <w:bCs/>
          <w:color w:val="000000" w:themeColor="text1"/>
          <w:u w:val="single"/>
          <w:lang w:val="es-ES" w:eastAsia="es-ES"/>
        </w:rPr>
      </w:pPr>
    </w:p>
    <w:p w14:paraId="0DCE7E44"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es-ES" w:eastAsia="es-ES"/>
        </w:rPr>
        <w:t>DÉCIMA SEXTA. Aceptación de esta Oferta.</w:t>
      </w:r>
      <w:r w:rsidRPr="002C0D19">
        <w:rPr>
          <w:rFonts w:ascii="Arial Narrow" w:hAnsi="Arial Narrow" w:cs="Arial"/>
          <w:color w:val="000000" w:themeColor="text1"/>
          <w:lang w:val="es-ES" w:eastAsia="es-ES"/>
        </w:rPr>
        <w:t xml:space="preserve"> La presente Oferta se entenderá aceptada mediante la expedición, por parte de </w:t>
      </w:r>
      <w:r w:rsidRPr="002C0D19">
        <w:rPr>
          <w:rFonts w:ascii="Arial Narrow" w:hAnsi="Arial Narrow" w:cs="Arial"/>
          <w:b/>
          <w:color w:val="000000" w:themeColor="text1"/>
          <w:lang w:val="es-ES" w:eastAsia="es-ES"/>
        </w:rPr>
        <w:t>EL TERCERO</w:t>
      </w:r>
      <w:r w:rsidRPr="002C0D19">
        <w:rPr>
          <w:rFonts w:ascii="Arial Narrow" w:hAnsi="Arial Narrow" w:cs="Arial"/>
          <w:color w:val="000000" w:themeColor="text1"/>
          <w:lang w:val="es-ES" w:eastAsia="es-ES"/>
        </w:rPr>
        <w:t>, de una Orden de Compra de Servicios.</w:t>
      </w:r>
    </w:p>
    <w:p w14:paraId="45CEB80A" w14:textId="77777777" w:rsidR="007968EC" w:rsidRPr="002C0D19" w:rsidRDefault="007968EC" w:rsidP="007968EC">
      <w:pPr>
        <w:jc w:val="both"/>
        <w:rPr>
          <w:rFonts w:ascii="Arial Narrow" w:hAnsi="Arial Narrow" w:cs="Arial"/>
          <w:b/>
          <w:bCs/>
          <w:color w:val="000000" w:themeColor="text1"/>
          <w:u w:val="single"/>
          <w:lang w:val="es-ES" w:eastAsia="es-ES"/>
        </w:rPr>
      </w:pPr>
    </w:p>
    <w:p w14:paraId="26774076"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es-ES" w:eastAsia="es-ES"/>
        </w:rPr>
        <w:t>DÉCIMA SÉPTIMA. Impuestos.</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 xml:space="preserve">De conformidad con el numeral 52 del artículo 530 del Estatuto Tributario, la presente Oferta y su posterior aceptación mediante Orden de Compra de Servicios, no causan impuesto de timbre. </w:t>
      </w:r>
    </w:p>
    <w:p w14:paraId="47F0A6C3" w14:textId="77777777" w:rsidR="007968EC" w:rsidRPr="002C0D19" w:rsidRDefault="007968EC" w:rsidP="007968EC">
      <w:pPr>
        <w:jc w:val="both"/>
        <w:rPr>
          <w:rFonts w:ascii="Arial Narrow" w:hAnsi="Arial Narrow" w:cs="Arial"/>
          <w:b/>
          <w:color w:val="000000" w:themeColor="text1"/>
          <w:lang w:val="es-ES" w:eastAsia="es-ES"/>
        </w:rPr>
      </w:pPr>
    </w:p>
    <w:p w14:paraId="763A7402"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Para constancia, se firma en Bogotá D.C. el día ______________ (____) del mes de _____________ del año dos mil ___________ (____). </w:t>
      </w:r>
    </w:p>
    <w:p w14:paraId="3B816384" w14:textId="77777777" w:rsidR="007968EC" w:rsidRPr="002C0D19" w:rsidRDefault="007968EC" w:rsidP="007968EC">
      <w:pPr>
        <w:jc w:val="both"/>
        <w:rPr>
          <w:rFonts w:ascii="Arial Narrow" w:hAnsi="Arial Narrow" w:cs="Arial"/>
          <w:b/>
          <w:bCs/>
          <w:color w:val="000000" w:themeColor="text1"/>
          <w:lang w:val="es-ES" w:eastAsia="es-ES"/>
        </w:rPr>
      </w:pPr>
    </w:p>
    <w:p w14:paraId="6DD3A348" w14:textId="77777777" w:rsidR="007968EC" w:rsidRPr="002C0D19" w:rsidRDefault="007968EC" w:rsidP="007968EC">
      <w:pPr>
        <w:jc w:val="both"/>
        <w:rPr>
          <w:rFonts w:ascii="Arial Narrow" w:hAnsi="Arial Narrow" w:cs="Arial"/>
          <w:b/>
          <w:bCs/>
          <w:color w:val="000000" w:themeColor="text1"/>
          <w:lang w:val="es-ES" w:eastAsia="es-ES"/>
        </w:rPr>
      </w:pPr>
      <w:r w:rsidRPr="002C0D19">
        <w:rPr>
          <w:rFonts w:ascii="Arial Narrow" w:hAnsi="Arial Narrow" w:cs="Arial"/>
          <w:b/>
          <w:bCs/>
          <w:color w:val="000000" w:themeColor="text1"/>
          <w:lang w:val="es-ES" w:eastAsia="es-ES"/>
        </w:rPr>
        <w:t>EL MIEMBRO</w:t>
      </w:r>
    </w:p>
    <w:p w14:paraId="6B2BE34F" w14:textId="77777777" w:rsidR="007968EC" w:rsidRPr="002C0D19" w:rsidRDefault="007968EC" w:rsidP="007968EC">
      <w:pPr>
        <w:jc w:val="both"/>
        <w:rPr>
          <w:rFonts w:ascii="Arial Narrow" w:hAnsi="Arial Narrow" w:cs="Arial"/>
          <w:b/>
          <w:color w:val="000000" w:themeColor="text1"/>
          <w:spacing w:val="-3"/>
          <w:lang w:val="es-ES" w:eastAsia="es-ES"/>
        </w:rPr>
      </w:pPr>
    </w:p>
    <w:p w14:paraId="0DBC4C1B"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Por:          ________________________________                      </w:t>
      </w:r>
    </w:p>
    <w:p w14:paraId="0BC06BC6"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lastRenderedPageBreak/>
        <w:t xml:space="preserve">Nombre:                                               </w:t>
      </w:r>
    </w:p>
    <w:p w14:paraId="6FF334BD"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Cargo:       Representante Legal                                    </w:t>
      </w:r>
    </w:p>
    <w:p w14:paraId="603B1E22" w14:textId="77777777" w:rsidR="007968EC" w:rsidRPr="002C0D19" w:rsidRDefault="007968EC" w:rsidP="007968EC">
      <w:pPr>
        <w:jc w:val="both"/>
        <w:rPr>
          <w:rFonts w:ascii="Arial Narrow" w:hAnsi="Arial Narrow" w:cs="Arial"/>
          <w:color w:val="000000" w:themeColor="text1"/>
          <w:spacing w:val="-3"/>
          <w:lang w:val="fr-FR" w:eastAsia="es-ES"/>
        </w:rPr>
      </w:pPr>
      <w:r w:rsidRPr="002C0D19">
        <w:rPr>
          <w:rFonts w:ascii="Arial Narrow" w:hAnsi="Arial Narrow" w:cs="Arial"/>
          <w:color w:val="000000" w:themeColor="text1"/>
          <w:spacing w:val="-3"/>
          <w:lang w:val="fr-FR" w:eastAsia="es-ES"/>
        </w:rPr>
        <w:t>C.C.· </w:t>
      </w:r>
    </w:p>
    <w:p w14:paraId="56FFF8B5" w14:textId="77777777" w:rsidR="007968EC" w:rsidRPr="002C0D19" w:rsidRDefault="007968EC" w:rsidP="007968EC">
      <w:pPr>
        <w:rPr>
          <w:rFonts w:ascii="Arial Narrow" w:hAnsi="Arial Narrow" w:cs="Arial"/>
          <w:b/>
          <w:color w:val="000000" w:themeColor="text1"/>
          <w:lang w:val="es-ES" w:eastAsia="es-ES"/>
        </w:rPr>
      </w:pPr>
    </w:p>
    <w:p w14:paraId="34F52959" w14:textId="77777777" w:rsidR="007968EC" w:rsidRPr="002C0D19" w:rsidRDefault="007968EC" w:rsidP="007968EC">
      <w:pPr>
        <w:rPr>
          <w:rFonts w:ascii="Arial Narrow" w:hAnsi="Arial Narrow" w:cs="Arial"/>
          <w:b/>
          <w:color w:val="000000" w:themeColor="text1"/>
          <w:lang w:val="es-ES" w:eastAsia="es-ES"/>
        </w:rPr>
      </w:pPr>
    </w:p>
    <w:p w14:paraId="3C3FFCE5" w14:textId="77777777" w:rsidR="007968EC" w:rsidRPr="002C0D19" w:rsidRDefault="007968EC" w:rsidP="007968EC">
      <w:pPr>
        <w:rPr>
          <w:rFonts w:ascii="Arial Narrow" w:hAnsi="Arial Narrow" w:cs="Arial"/>
          <w:b/>
          <w:color w:val="000000" w:themeColor="text1"/>
          <w:lang w:val="es-ES" w:eastAsia="es-ES"/>
        </w:rPr>
      </w:pPr>
    </w:p>
    <w:p w14:paraId="7DD5B48E" w14:textId="77777777" w:rsidR="007968EC" w:rsidRPr="002C0D19" w:rsidRDefault="007968EC" w:rsidP="007968EC">
      <w:pPr>
        <w:rPr>
          <w:rFonts w:ascii="Arial Narrow" w:hAnsi="Arial Narrow" w:cs="Arial"/>
          <w:b/>
          <w:color w:val="000000" w:themeColor="text1"/>
          <w:lang w:val="es-ES" w:eastAsia="es-ES"/>
        </w:rPr>
      </w:pPr>
    </w:p>
    <w:p w14:paraId="0A7CA3D9" w14:textId="77777777" w:rsidR="007968EC" w:rsidRPr="002C0D19" w:rsidRDefault="007968EC" w:rsidP="007968EC">
      <w:pPr>
        <w:rPr>
          <w:rFonts w:ascii="Arial Narrow" w:hAnsi="Arial Narrow" w:cs="Arial"/>
          <w:b/>
          <w:color w:val="000000" w:themeColor="text1"/>
          <w:lang w:val="es-ES" w:eastAsia="es-ES"/>
        </w:rPr>
      </w:pPr>
    </w:p>
    <w:p w14:paraId="6AA683D6" w14:textId="77777777" w:rsidR="007968EC" w:rsidRPr="002C0D19" w:rsidRDefault="007968EC" w:rsidP="007968EC">
      <w:pPr>
        <w:rPr>
          <w:rFonts w:ascii="Arial Narrow" w:hAnsi="Arial Narrow" w:cs="Arial"/>
          <w:b/>
          <w:color w:val="000000" w:themeColor="text1"/>
          <w:lang w:val="es-ES" w:eastAsia="es-ES"/>
        </w:rPr>
      </w:pPr>
    </w:p>
    <w:p w14:paraId="111C97F0" w14:textId="77777777" w:rsidR="007968EC" w:rsidRPr="002C0D19" w:rsidRDefault="007968EC" w:rsidP="007968EC">
      <w:pPr>
        <w:rPr>
          <w:rFonts w:ascii="Arial Narrow" w:hAnsi="Arial Narrow" w:cs="Arial"/>
          <w:b/>
          <w:color w:val="000000" w:themeColor="text1"/>
          <w:lang w:val="es-ES" w:eastAsia="es-ES"/>
        </w:rPr>
      </w:pPr>
    </w:p>
    <w:p w14:paraId="10FD9AF2" w14:textId="77777777" w:rsidR="007968EC" w:rsidRPr="002C0D19" w:rsidRDefault="007968EC" w:rsidP="007968EC">
      <w:pPr>
        <w:rPr>
          <w:rFonts w:ascii="Arial Narrow" w:hAnsi="Arial Narrow" w:cs="Arial"/>
          <w:b/>
          <w:color w:val="000000" w:themeColor="text1"/>
          <w:lang w:val="es-ES" w:eastAsia="es-ES"/>
        </w:rPr>
      </w:pPr>
    </w:p>
    <w:p w14:paraId="6C2DF7B3" w14:textId="77777777" w:rsidR="007968EC" w:rsidRPr="002C0D19" w:rsidRDefault="007968EC" w:rsidP="007968EC">
      <w:pPr>
        <w:rPr>
          <w:rFonts w:ascii="Arial Narrow" w:hAnsi="Arial Narrow" w:cs="Arial"/>
          <w:b/>
          <w:color w:val="000000" w:themeColor="text1"/>
          <w:lang w:val="es-ES" w:eastAsia="es-ES"/>
        </w:rPr>
      </w:pPr>
    </w:p>
    <w:p w14:paraId="3A847A4D" w14:textId="77777777" w:rsidR="007968EC" w:rsidRPr="002C0D19" w:rsidRDefault="007968EC" w:rsidP="007968EC">
      <w:pPr>
        <w:rPr>
          <w:rFonts w:ascii="Arial Narrow" w:hAnsi="Arial Narrow" w:cs="Arial"/>
          <w:b/>
          <w:color w:val="000000" w:themeColor="text1"/>
          <w:lang w:val="es-ES" w:eastAsia="es-ES"/>
        </w:rPr>
      </w:pPr>
    </w:p>
    <w:p w14:paraId="0754A196" w14:textId="77777777" w:rsidR="007968EC" w:rsidRPr="002C0D19" w:rsidRDefault="007968EC" w:rsidP="007968EC">
      <w:pPr>
        <w:rPr>
          <w:rFonts w:ascii="Arial Narrow" w:hAnsi="Arial Narrow" w:cs="Arial"/>
          <w:b/>
          <w:color w:val="000000" w:themeColor="text1"/>
          <w:lang w:val="es-ES" w:eastAsia="es-ES"/>
        </w:rPr>
      </w:pPr>
    </w:p>
    <w:p w14:paraId="54C7A127" w14:textId="77777777" w:rsidR="007968EC" w:rsidRPr="002C0D19" w:rsidRDefault="007968EC" w:rsidP="007968EC">
      <w:pPr>
        <w:rPr>
          <w:rFonts w:ascii="Arial Narrow" w:hAnsi="Arial Narrow" w:cs="Arial"/>
          <w:b/>
          <w:color w:val="000000" w:themeColor="text1"/>
          <w:lang w:val="es-ES" w:eastAsia="es-ES"/>
        </w:rPr>
      </w:pPr>
    </w:p>
    <w:p w14:paraId="097E2EB6" w14:textId="77777777" w:rsidR="007968EC" w:rsidRPr="002C0D19" w:rsidRDefault="007968EC" w:rsidP="007968EC">
      <w:pPr>
        <w:rPr>
          <w:rFonts w:ascii="Arial Narrow" w:hAnsi="Arial Narrow" w:cs="Arial"/>
          <w:b/>
          <w:color w:val="000000" w:themeColor="text1"/>
          <w:lang w:val="es-ES" w:eastAsia="es-ES"/>
        </w:rPr>
      </w:pPr>
    </w:p>
    <w:p w14:paraId="48D2B1EA" w14:textId="77777777" w:rsidR="007968EC" w:rsidRPr="002C0D19" w:rsidRDefault="007968EC" w:rsidP="007968EC">
      <w:pPr>
        <w:rPr>
          <w:rFonts w:ascii="Arial Narrow" w:hAnsi="Arial Narrow" w:cs="Arial"/>
          <w:b/>
          <w:color w:val="000000" w:themeColor="text1"/>
          <w:lang w:val="es-ES" w:eastAsia="es-ES"/>
        </w:rPr>
      </w:pPr>
    </w:p>
    <w:p w14:paraId="560047E1" w14:textId="77777777" w:rsidR="007968EC" w:rsidRPr="002C0D19" w:rsidRDefault="007968EC" w:rsidP="007968EC">
      <w:pPr>
        <w:rPr>
          <w:rFonts w:ascii="Arial Narrow" w:hAnsi="Arial Narrow" w:cs="Arial"/>
          <w:b/>
          <w:color w:val="000000" w:themeColor="text1"/>
          <w:lang w:val="es-ES" w:eastAsia="es-ES"/>
        </w:rPr>
      </w:pPr>
    </w:p>
    <w:p w14:paraId="63D275D4" w14:textId="77777777" w:rsidR="007968EC" w:rsidRPr="002C0D19" w:rsidRDefault="007968EC" w:rsidP="007968EC">
      <w:pPr>
        <w:rPr>
          <w:rFonts w:ascii="Arial Narrow" w:hAnsi="Arial Narrow" w:cs="Arial"/>
          <w:b/>
          <w:color w:val="000000" w:themeColor="text1"/>
          <w:lang w:val="es-ES" w:eastAsia="es-ES"/>
        </w:rPr>
      </w:pPr>
    </w:p>
    <w:p w14:paraId="1BFF1FDB" w14:textId="77777777" w:rsidR="007968EC" w:rsidRPr="002C0D19" w:rsidRDefault="007968EC" w:rsidP="007968EC">
      <w:pPr>
        <w:rPr>
          <w:rFonts w:ascii="Arial Narrow" w:hAnsi="Arial Narrow" w:cs="Arial"/>
          <w:b/>
          <w:color w:val="000000" w:themeColor="text1"/>
          <w:lang w:val="es-ES" w:eastAsia="es-ES"/>
        </w:rPr>
      </w:pPr>
    </w:p>
    <w:p w14:paraId="2575E63B" w14:textId="77777777" w:rsidR="007968EC" w:rsidRPr="002C0D19" w:rsidRDefault="007968EC" w:rsidP="007968EC">
      <w:pPr>
        <w:rPr>
          <w:rFonts w:ascii="Arial Narrow" w:hAnsi="Arial Narrow" w:cs="Arial"/>
          <w:b/>
          <w:color w:val="000000" w:themeColor="text1"/>
          <w:lang w:val="es-ES" w:eastAsia="es-ES"/>
        </w:rPr>
      </w:pPr>
    </w:p>
    <w:p w14:paraId="370E3ED3" w14:textId="77777777" w:rsidR="007968EC" w:rsidRPr="002C0D19" w:rsidRDefault="007968EC" w:rsidP="007968EC">
      <w:pPr>
        <w:rPr>
          <w:rFonts w:ascii="Arial Narrow" w:hAnsi="Arial Narrow" w:cs="Arial"/>
          <w:b/>
          <w:color w:val="000000" w:themeColor="text1"/>
          <w:lang w:val="es-ES" w:eastAsia="es-ES"/>
        </w:rPr>
      </w:pPr>
    </w:p>
    <w:p w14:paraId="388CF2E1" w14:textId="77777777" w:rsidR="007968EC" w:rsidRPr="002C0D19" w:rsidRDefault="007968EC" w:rsidP="007968EC">
      <w:pPr>
        <w:rPr>
          <w:rFonts w:ascii="Arial Narrow" w:hAnsi="Arial Narrow" w:cs="Arial"/>
          <w:b/>
          <w:color w:val="000000" w:themeColor="text1"/>
          <w:lang w:val="es-ES" w:eastAsia="es-ES"/>
        </w:rPr>
      </w:pPr>
    </w:p>
    <w:p w14:paraId="124E6D7E" w14:textId="77777777" w:rsidR="007968EC" w:rsidRPr="002C0D19" w:rsidRDefault="007968EC" w:rsidP="007968EC">
      <w:pPr>
        <w:rPr>
          <w:rFonts w:ascii="Arial Narrow" w:hAnsi="Arial Narrow" w:cs="Arial"/>
          <w:b/>
          <w:color w:val="000000" w:themeColor="text1"/>
          <w:lang w:val="es-ES" w:eastAsia="es-ES"/>
        </w:rPr>
      </w:pPr>
    </w:p>
    <w:p w14:paraId="65CB46C0" w14:textId="77777777" w:rsidR="007968EC" w:rsidRPr="002C0D19" w:rsidRDefault="007968EC" w:rsidP="007968EC">
      <w:pPr>
        <w:rPr>
          <w:rFonts w:ascii="Arial Narrow" w:hAnsi="Arial Narrow" w:cs="Arial"/>
          <w:b/>
          <w:color w:val="000000" w:themeColor="text1"/>
          <w:lang w:val="es-ES" w:eastAsia="es-ES"/>
        </w:rPr>
      </w:pPr>
    </w:p>
    <w:p w14:paraId="426614A2" w14:textId="77777777" w:rsidR="007968EC" w:rsidRPr="002C0D19" w:rsidRDefault="007968EC" w:rsidP="007968EC">
      <w:pPr>
        <w:rPr>
          <w:rFonts w:ascii="Arial Narrow" w:hAnsi="Arial Narrow" w:cs="Arial"/>
          <w:b/>
          <w:color w:val="000000" w:themeColor="text1"/>
          <w:lang w:val="es-ES" w:eastAsia="es-ES"/>
        </w:rPr>
      </w:pPr>
    </w:p>
    <w:p w14:paraId="61325F5E" w14:textId="77777777" w:rsidR="007968EC" w:rsidRPr="002C0D19" w:rsidRDefault="007968EC" w:rsidP="007968EC">
      <w:pPr>
        <w:rPr>
          <w:rFonts w:ascii="Arial Narrow" w:hAnsi="Arial Narrow" w:cs="Arial"/>
          <w:b/>
          <w:color w:val="000000" w:themeColor="text1"/>
          <w:lang w:val="es-ES" w:eastAsia="es-ES"/>
        </w:rPr>
      </w:pPr>
    </w:p>
    <w:p w14:paraId="64819527" w14:textId="77777777" w:rsidR="007968EC" w:rsidRPr="002C0D19" w:rsidRDefault="007968EC" w:rsidP="007968EC">
      <w:pPr>
        <w:rPr>
          <w:rFonts w:ascii="Arial Narrow" w:hAnsi="Arial Narrow" w:cs="Arial"/>
          <w:b/>
          <w:color w:val="000000" w:themeColor="text1"/>
          <w:lang w:val="es-ES" w:eastAsia="es-ES"/>
        </w:rPr>
      </w:pPr>
    </w:p>
    <w:p w14:paraId="5A43EA9C" w14:textId="77777777" w:rsidR="007968EC" w:rsidRPr="002C0D19" w:rsidRDefault="007968EC" w:rsidP="007968EC">
      <w:pPr>
        <w:rPr>
          <w:rFonts w:ascii="Arial Narrow" w:hAnsi="Arial Narrow" w:cs="Arial"/>
          <w:b/>
          <w:color w:val="000000" w:themeColor="text1"/>
          <w:lang w:val="es-ES" w:eastAsia="es-ES"/>
        </w:rPr>
      </w:pPr>
    </w:p>
    <w:p w14:paraId="7A8C3CA8" w14:textId="77777777" w:rsidR="007968EC" w:rsidRPr="002C0D19" w:rsidRDefault="007968EC" w:rsidP="007968EC">
      <w:pPr>
        <w:rPr>
          <w:rFonts w:ascii="Arial Narrow" w:hAnsi="Arial Narrow" w:cs="Arial"/>
          <w:b/>
          <w:color w:val="000000" w:themeColor="text1"/>
          <w:lang w:val="es-ES" w:eastAsia="es-ES"/>
        </w:rPr>
      </w:pPr>
    </w:p>
    <w:p w14:paraId="70FFFF00" w14:textId="77777777" w:rsidR="007968EC" w:rsidRPr="002C0D19" w:rsidRDefault="007968EC" w:rsidP="007968EC">
      <w:pPr>
        <w:rPr>
          <w:rFonts w:ascii="Arial Narrow" w:hAnsi="Arial Narrow" w:cs="Arial"/>
          <w:b/>
          <w:color w:val="000000" w:themeColor="text1"/>
          <w:lang w:val="es-ES" w:eastAsia="es-ES"/>
        </w:rPr>
      </w:pPr>
    </w:p>
    <w:p w14:paraId="27E69A83" w14:textId="77777777" w:rsidR="007968EC" w:rsidRPr="002C0D19" w:rsidRDefault="007968EC" w:rsidP="007968EC">
      <w:pPr>
        <w:rPr>
          <w:rFonts w:ascii="Arial Narrow" w:hAnsi="Arial Narrow" w:cs="Arial"/>
          <w:b/>
          <w:color w:val="000000" w:themeColor="text1"/>
          <w:lang w:val="es-ES" w:eastAsia="es-ES"/>
        </w:rPr>
      </w:pPr>
    </w:p>
    <w:p w14:paraId="54C262A3" w14:textId="77777777" w:rsidR="007968EC" w:rsidRPr="002C0D19" w:rsidRDefault="007968EC" w:rsidP="007968EC">
      <w:pPr>
        <w:rPr>
          <w:rFonts w:ascii="Arial Narrow" w:hAnsi="Arial Narrow" w:cs="Arial"/>
          <w:b/>
          <w:color w:val="000000" w:themeColor="text1"/>
          <w:lang w:val="es-ES" w:eastAsia="es-ES"/>
        </w:rPr>
      </w:pPr>
    </w:p>
    <w:p w14:paraId="404EF942" w14:textId="77777777" w:rsidR="007968EC" w:rsidRPr="002C0D19" w:rsidRDefault="007968EC" w:rsidP="007968EC">
      <w:pPr>
        <w:rPr>
          <w:rFonts w:ascii="Arial Narrow" w:hAnsi="Arial Narrow" w:cs="Arial"/>
          <w:b/>
          <w:color w:val="000000" w:themeColor="text1"/>
          <w:lang w:val="es-ES" w:eastAsia="es-ES"/>
        </w:rPr>
      </w:pPr>
    </w:p>
    <w:p w14:paraId="30BD1DFD" w14:textId="77777777" w:rsidR="007968EC" w:rsidRPr="002C0D19" w:rsidRDefault="007968EC" w:rsidP="007968EC">
      <w:pPr>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br w:type="page"/>
      </w:r>
    </w:p>
    <w:p w14:paraId="6234318C" w14:textId="77777777" w:rsidR="007968EC" w:rsidRPr="002C0D19" w:rsidRDefault="007968EC" w:rsidP="007968EC">
      <w:pPr>
        <w:pStyle w:val="TTULO"/>
        <w:rPr>
          <w:lang w:val="es-ES"/>
        </w:rPr>
      </w:pPr>
      <w:bookmarkStart w:id="6583" w:name="_Toc31716613"/>
      <w:r w:rsidRPr="002C0D19">
        <w:rPr>
          <w:lang w:val="es-ES"/>
        </w:rPr>
        <w:lastRenderedPageBreak/>
        <w:t>ANEXO 20 B</w:t>
      </w:r>
      <w:bookmarkEnd w:id="6583"/>
    </w:p>
    <w:p w14:paraId="075DC25F" w14:textId="77777777" w:rsidR="007968EC" w:rsidRPr="002C0D19" w:rsidRDefault="007968EC" w:rsidP="007968EC">
      <w:pPr>
        <w:pStyle w:val="TTULO"/>
        <w:rPr>
          <w:lang w:val="es-ES"/>
        </w:rPr>
      </w:pPr>
    </w:p>
    <w:p w14:paraId="32F66950" w14:textId="77777777" w:rsidR="007968EC" w:rsidRPr="004B3C30" w:rsidRDefault="007968EC" w:rsidP="007968EC">
      <w:pPr>
        <w:jc w:val="center"/>
        <w:rPr>
          <w:rFonts w:ascii="Arial Narrow" w:hAnsi="Arial Narrow" w:cs="Arial"/>
          <w:b/>
          <w:color w:val="000000" w:themeColor="text1"/>
          <w:lang w:val="es-ES" w:eastAsia="es-ES"/>
        </w:rPr>
      </w:pPr>
      <w:r w:rsidRPr="004B3C30">
        <w:rPr>
          <w:rFonts w:ascii="Arial Narrow" w:hAnsi="Arial Narrow" w:cs="Arial"/>
          <w:b/>
          <w:color w:val="000000" w:themeColor="text1"/>
          <w:lang w:val="es-ES" w:eastAsia="es-ES"/>
        </w:rPr>
        <w:t xml:space="preserve">FORMATO CON CONDICIONES MÍNIMAS PARA EL OTRO SÍ </w:t>
      </w:r>
    </w:p>
    <w:p w14:paraId="323301BF" w14:textId="77777777" w:rsidR="007968EC" w:rsidRPr="004B3C30" w:rsidRDefault="007968EC" w:rsidP="007968EC">
      <w:pPr>
        <w:jc w:val="center"/>
        <w:rPr>
          <w:rFonts w:ascii="Arial Narrow" w:hAnsi="Arial Narrow" w:cs="Arial"/>
          <w:b/>
          <w:color w:val="000000" w:themeColor="text1"/>
          <w:lang w:val="es-ES" w:eastAsia="es-ES"/>
        </w:rPr>
      </w:pPr>
      <w:r w:rsidRPr="004B3C30">
        <w:rPr>
          <w:rFonts w:ascii="Arial Narrow" w:hAnsi="Arial Narrow" w:cs="Arial"/>
          <w:b/>
          <w:color w:val="000000" w:themeColor="text1"/>
          <w:lang w:val="es-ES" w:eastAsia="es-ES"/>
        </w:rPr>
        <w:t xml:space="preserve">AL CONVENIO PARA QUE UN MIEMBRO PARTICIPE POR CUENTA DE UN TERCERO ANTE LA CÁMARA DE RIESGO CENTRAL DE CONTRAPARTE DE COLOMBIA S.A. – CRCC S.A. </w:t>
      </w:r>
      <w:r>
        <w:rPr>
          <w:rFonts w:ascii="Arial Narrow" w:hAnsi="Arial Narrow" w:cs="Arial"/>
          <w:b/>
          <w:color w:val="000000" w:themeColor="text1"/>
          <w:lang w:val="es-ES" w:eastAsia="es-ES"/>
        </w:rPr>
        <w:t xml:space="preserve">PARA COMPENSAR Y LIQUIDAR </w:t>
      </w:r>
      <w:r w:rsidRPr="004B3C30">
        <w:rPr>
          <w:rFonts w:ascii="Arial Narrow" w:hAnsi="Arial Narrow" w:cs="Arial"/>
          <w:b/>
          <w:color w:val="000000" w:themeColor="text1"/>
          <w:lang w:val="es-ES" w:eastAsia="es-ES"/>
        </w:rPr>
        <w:t>OPERACIONES SOBRE INSTRUMENTOS DERIVADOS NO ESTANDARIZADOS</w:t>
      </w:r>
    </w:p>
    <w:p w14:paraId="69D6D480" w14:textId="77777777" w:rsidR="007968EC" w:rsidRPr="002C0D19" w:rsidRDefault="007968EC" w:rsidP="007968EC">
      <w:pPr>
        <w:jc w:val="center"/>
        <w:rPr>
          <w:rFonts w:ascii="Arial Narrow" w:hAnsi="Arial Narrow" w:cs="Arial"/>
          <w:b/>
          <w:color w:val="000000" w:themeColor="text1"/>
          <w:lang w:val="es-MX" w:eastAsia="es-ES"/>
        </w:rPr>
      </w:pPr>
    </w:p>
    <w:p w14:paraId="71A323B7" w14:textId="77777777" w:rsidR="007968EC" w:rsidRPr="002C0D19" w:rsidRDefault="007968EC" w:rsidP="007968EC">
      <w:pPr>
        <w:jc w:val="both"/>
        <w:rPr>
          <w:rFonts w:ascii="Arial Narrow" w:hAnsi="Arial Narrow" w:cs="Arial"/>
          <w:b/>
          <w:color w:val="000000" w:themeColor="text1"/>
          <w:lang w:val="es-MX" w:eastAsia="es-ES"/>
        </w:rPr>
      </w:pPr>
    </w:p>
    <w:p w14:paraId="1A9E0EEE" w14:textId="77777777" w:rsidR="007968EC" w:rsidRPr="002C0D19" w:rsidRDefault="007968EC" w:rsidP="007968EC">
      <w:pPr>
        <w:jc w:val="both"/>
        <w:rPr>
          <w:rFonts w:ascii="Arial Narrow" w:hAnsi="Arial Narrow" w:cs="Arial"/>
          <w:color w:val="000000" w:themeColor="text1"/>
          <w:lang w:val="es-MX" w:eastAsia="es-ES"/>
        </w:rPr>
      </w:pPr>
      <w:r w:rsidRPr="002C0D19">
        <w:rPr>
          <w:rFonts w:ascii="Arial Narrow" w:hAnsi="Arial Narrow" w:cs="Arial"/>
          <w:color w:val="000000" w:themeColor="text1"/>
          <w:lang w:val="es-MX" w:eastAsia="es-ES"/>
        </w:rPr>
        <w:t>Las Partes de común acuerdo han decidido modificar el Convenio celebrado para que un Miembro participe por cuenta de un Tercero ante la Cámara de Riesgo Central de Contraparte de Colombia S.A. – CRCC S.A. con el propósito de adicionar una cláusula relativa a la compensación y liquidación de las operaciones sobre Instrumentos Financieros Derivados No Estandarizados celebradas entre sí, en los siguientes términos:</w:t>
      </w:r>
    </w:p>
    <w:p w14:paraId="3CAF8638" w14:textId="77777777" w:rsidR="007968EC" w:rsidRPr="002C0D19" w:rsidRDefault="007968EC" w:rsidP="007968EC">
      <w:pPr>
        <w:jc w:val="both"/>
        <w:rPr>
          <w:rFonts w:ascii="Arial Narrow" w:hAnsi="Arial Narrow" w:cs="Arial"/>
          <w:b/>
          <w:color w:val="000000" w:themeColor="text1"/>
          <w:lang w:val="es-MX" w:eastAsia="es-ES"/>
        </w:rPr>
      </w:pPr>
    </w:p>
    <w:p w14:paraId="34BCF04E" w14:textId="77777777" w:rsidR="007968EC" w:rsidRPr="002C0D19" w:rsidRDefault="007968EC" w:rsidP="007968EC">
      <w:pPr>
        <w:ind w:left="851" w:hanging="142"/>
        <w:jc w:val="center"/>
        <w:rPr>
          <w:rFonts w:ascii="Arial Narrow" w:hAnsi="Arial Narrow" w:cs="Arial"/>
          <w:b/>
          <w:color w:val="000000" w:themeColor="text1"/>
          <w:lang w:val="es-MX" w:eastAsia="es-CO"/>
        </w:rPr>
      </w:pPr>
      <w:r w:rsidRPr="002C0D19">
        <w:rPr>
          <w:rFonts w:ascii="Arial Narrow" w:hAnsi="Arial Narrow" w:cs="Arial"/>
          <w:b/>
          <w:color w:val="000000" w:themeColor="text1"/>
          <w:lang w:val="es-MX" w:eastAsia="es-CO"/>
        </w:rPr>
        <w:t>CLÁUSULAS:</w:t>
      </w:r>
    </w:p>
    <w:p w14:paraId="4F5BB1A2" w14:textId="77777777" w:rsidR="007968EC" w:rsidRPr="002C0D19" w:rsidRDefault="007968EC" w:rsidP="007968EC">
      <w:pPr>
        <w:jc w:val="both"/>
        <w:rPr>
          <w:rFonts w:ascii="Arial Narrow" w:hAnsi="Arial Narrow" w:cs="Arial"/>
          <w:color w:val="000000" w:themeColor="text1"/>
          <w:lang w:val="es-MX" w:eastAsia="es-ES"/>
        </w:rPr>
      </w:pPr>
    </w:p>
    <w:p w14:paraId="0BBA70C4" w14:textId="77777777" w:rsidR="007968EC" w:rsidRPr="002C0D19" w:rsidRDefault="007968EC" w:rsidP="007968EC">
      <w:pPr>
        <w:jc w:val="both"/>
        <w:rPr>
          <w:rFonts w:ascii="Arial Narrow" w:hAnsi="Arial Narrow" w:cs="Arial"/>
          <w:color w:val="000000" w:themeColor="text1"/>
          <w:lang w:val="es-MX" w:eastAsia="es-ES"/>
        </w:rPr>
      </w:pPr>
      <w:r w:rsidRPr="002C0D19">
        <w:rPr>
          <w:rFonts w:ascii="Arial Narrow" w:hAnsi="Arial Narrow" w:cs="Arial"/>
          <w:b/>
          <w:color w:val="000000" w:themeColor="text1"/>
          <w:lang w:val="es-MX" w:eastAsia="es-ES"/>
        </w:rPr>
        <w:t xml:space="preserve">CLÁUSULA PRIMERA. </w:t>
      </w:r>
      <w:r w:rsidRPr="002C0D19">
        <w:rPr>
          <w:rFonts w:ascii="Arial Narrow" w:hAnsi="Arial Narrow" w:cs="Arial"/>
          <w:color w:val="000000" w:themeColor="text1"/>
          <w:lang w:val="es-MX" w:eastAsia="es-ES"/>
        </w:rPr>
        <w:t>Se adiciona una cláusula al Convenio como cláusula Décima Séptima, la cual quedará así:</w:t>
      </w:r>
    </w:p>
    <w:p w14:paraId="0A84CBAD" w14:textId="77777777" w:rsidR="007968EC" w:rsidRPr="002C0D19" w:rsidRDefault="007968EC" w:rsidP="007968EC">
      <w:pPr>
        <w:jc w:val="both"/>
        <w:rPr>
          <w:rFonts w:ascii="Arial Narrow" w:hAnsi="Arial Narrow" w:cs="Arial"/>
          <w:color w:val="000000" w:themeColor="text1"/>
          <w:lang w:val="es-ES" w:eastAsia="es-CO"/>
        </w:rPr>
      </w:pPr>
    </w:p>
    <w:p w14:paraId="23864F5E"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 w:eastAsia="es-CO"/>
        </w:rPr>
        <w:t xml:space="preserve">DÉCIMA SÉPTIMA. Operaciones sobre Instrumentos Financieros Derivados No Estandarizados. </w:t>
      </w:r>
      <w:r w:rsidRPr="002C0D19">
        <w:rPr>
          <w:rFonts w:ascii="Arial Narrow" w:hAnsi="Arial Narrow" w:cs="Arial"/>
          <w:color w:val="000000" w:themeColor="text1"/>
          <w:lang w:val="es-ES" w:eastAsia="es-CO"/>
        </w:rPr>
        <w:t xml:space="preserve">En el </w:t>
      </w:r>
      <w:r w:rsidRPr="002C0D19">
        <w:rPr>
          <w:rFonts w:ascii="Arial Narrow" w:hAnsi="Arial Narrow" w:cs="Arial"/>
          <w:color w:val="000000" w:themeColor="text1"/>
          <w:lang w:val="es-ES" w:eastAsia="es-ES"/>
        </w:rPr>
        <w:t xml:space="preserve">evento en que </w:t>
      </w:r>
      <w:r w:rsidRPr="002C0D19">
        <w:rPr>
          <w:rFonts w:ascii="Arial Narrow" w:hAnsi="Arial Narrow" w:cs="Arial"/>
          <w:b/>
          <w:color w:val="000000" w:themeColor="text1"/>
          <w:lang w:val="es-ES" w:eastAsia="es-ES"/>
        </w:rPr>
        <w:t>EL TERCERO</w:t>
      </w:r>
      <w:r w:rsidRPr="002C0D19">
        <w:rPr>
          <w:rFonts w:ascii="Arial Narrow" w:hAnsi="Arial Narrow" w:cs="Arial"/>
          <w:color w:val="000000" w:themeColor="text1"/>
          <w:lang w:val="es-ES" w:eastAsia="es-ES"/>
        </w:rPr>
        <w:t xml:space="preserve"> celebre con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operaciones sobre Instrumentos Financieros Derivados no Estandarizados, </w:t>
      </w:r>
      <w:r w:rsidRPr="002C0D19">
        <w:rPr>
          <w:rFonts w:ascii="Arial Narrow" w:hAnsi="Arial Narrow" w:cs="Arial"/>
          <w:b/>
          <w:color w:val="000000" w:themeColor="text1"/>
          <w:lang w:val="es-ES" w:eastAsia="es-ES"/>
        </w:rPr>
        <w:t>EL TERCERO</w:t>
      </w:r>
      <w:r w:rsidRPr="002C0D19">
        <w:rPr>
          <w:rFonts w:ascii="Arial Narrow" w:hAnsi="Arial Narrow" w:cs="Arial"/>
          <w:color w:val="000000" w:themeColor="text1"/>
          <w:lang w:val="es-ES" w:eastAsia="es-ES"/>
        </w:rPr>
        <w:t xml:space="preserve"> acepta que las operaciones podrán ser Compensadas y Liquidadas por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participando por cuenta de </w:t>
      </w:r>
      <w:r w:rsidRPr="002C0D19">
        <w:rPr>
          <w:rFonts w:ascii="Arial Narrow" w:hAnsi="Arial Narrow" w:cs="Arial"/>
          <w:b/>
          <w:color w:val="000000" w:themeColor="text1"/>
          <w:lang w:val="es-ES" w:eastAsia="es-ES"/>
        </w:rPr>
        <w:t>EL TERCERO</w:t>
      </w:r>
      <w:r w:rsidRPr="002C0D19">
        <w:rPr>
          <w:rFonts w:ascii="Arial Narrow" w:hAnsi="Arial Narrow" w:cs="Arial"/>
          <w:color w:val="000000" w:themeColor="text1"/>
          <w:lang w:val="es-ES" w:eastAsia="es-ES"/>
        </w:rPr>
        <w:t xml:space="preserve"> a través del Segmento respectivo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de conformidad y en las condiciones establecidas en el Reglamento de Funcionamiento de tal entidad. Para el efecto, </w:t>
      </w:r>
      <w:r w:rsidRPr="002C0D19">
        <w:rPr>
          <w:rFonts w:ascii="Arial Narrow" w:hAnsi="Arial Narrow" w:cs="Arial"/>
          <w:b/>
          <w:color w:val="000000" w:themeColor="text1"/>
          <w:lang w:val="es-ES" w:eastAsia="es-ES"/>
        </w:rPr>
        <w:t>EL TERCERO</w:t>
      </w:r>
      <w:r w:rsidRPr="002C0D19">
        <w:rPr>
          <w:rFonts w:ascii="Arial Narrow" w:hAnsi="Arial Narrow" w:cs="Arial"/>
          <w:color w:val="000000" w:themeColor="text1"/>
          <w:lang w:val="es-ES" w:eastAsia="es-ES"/>
        </w:rPr>
        <w:t xml:space="preserve"> acepta que para la Compensación y Liquidación a través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esta última se interpondrá mediante la novación de las relaciones contractuales que los vinculan extinguiendo el vínculo contractual con </w:t>
      </w:r>
      <w:r w:rsidRPr="002C0D19">
        <w:rPr>
          <w:rFonts w:ascii="Arial Narrow" w:hAnsi="Arial Narrow" w:cs="Arial"/>
          <w:b/>
          <w:color w:val="000000" w:themeColor="text1"/>
          <w:lang w:val="es-ES" w:eastAsia="es-ES"/>
        </w:rPr>
        <w:t>EL TERCERO</w:t>
      </w:r>
      <w:r w:rsidRPr="002C0D19">
        <w:rPr>
          <w:rFonts w:ascii="Arial Narrow" w:hAnsi="Arial Narrow" w:cs="Arial"/>
          <w:color w:val="000000" w:themeColor="text1"/>
          <w:lang w:val="es-ES" w:eastAsia="es-ES"/>
        </w:rPr>
        <w:t xml:space="preserve"> y creando nuevas operaciones entre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y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por su propia cuenta y entre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y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por cuenta de </w:t>
      </w:r>
      <w:r w:rsidRPr="002C0D19">
        <w:rPr>
          <w:rFonts w:ascii="Arial Narrow" w:hAnsi="Arial Narrow" w:cs="Arial"/>
          <w:b/>
          <w:color w:val="000000" w:themeColor="text1"/>
          <w:lang w:val="es-ES" w:eastAsia="es-ES"/>
        </w:rPr>
        <w:t>EL TERCERO</w:t>
      </w:r>
      <w:r w:rsidRPr="002C0D19">
        <w:rPr>
          <w:rFonts w:ascii="Arial Narrow" w:hAnsi="Arial Narrow" w:cs="Arial"/>
          <w:color w:val="000000" w:themeColor="text1"/>
          <w:lang w:val="es-ES" w:eastAsia="es-ES"/>
        </w:rPr>
        <w:t>. Tanto la novación, como las nuevas relaciones contractuales que surjan de la misma y sus efectos, se rigen exclusivamente por lo dispuesto en las normas vigentes, en el Reglamento de Funcionamiento, en la Circular Única y en los Instructivos Operativos de la Cámara.</w:t>
      </w:r>
    </w:p>
    <w:p w14:paraId="729F805E" w14:textId="77777777" w:rsidR="007968EC" w:rsidRPr="002C0D19" w:rsidRDefault="007968EC" w:rsidP="007968EC">
      <w:pPr>
        <w:jc w:val="both"/>
        <w:rPr>
          <w:rFonts w:ascii="Arial Narrow" w:hAnsi="Arial Narrow" w:cs="Arial"/>
          <w:color w:val="000000" w:themeColor="text1"/>
          <w:lang w:val="es-ES" w:eastAsia="es-ES"/>
        </w:rPr>
      </w:pPr>
    </w:p>
    <w:p w14:paraId="6C0C9154"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De igual forma, </w:t>
      </w:r>
      <w:r w:rsidRPr="002C0D19">
        <w:rPr>
          <w:rFonts w:ascii="Arial Narrow" w:hAnsi="Arial Narrow" w:cs="Arial"/>
          <w:b/>
          <w:color w:val="000000" w:themeColor="text1"/>
          <w:lang w:val="es-ES" w:eastAsia="es-ES"/>
        </w:rPr>
        <w:t>EL TERCERO</w:t>
      </w:r>
      <w:r w:rsidRPr="002C0D19">
        <w:rPr>
          <w:rFonts w:ascii="Arial Narrow" w:hAnsi="Arial Narrow" w:cs="Arial"/>
          <w:color w:val="000000" w:themeColor="text1"/>
          <w:lang w:val="es-ES" w:eastAsia="es-ES"/>
        </w:rPr>
        <w:t xml:space="preserve"> declara que autoriza a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que participa por su cuenta en la Compensación y Liquidación para que manifieste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su intención de novar, la cual se entenderá otorgada en el momento en que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remita la operación celebrada para su Compensación y Liquidación a través de los mecanismos autorizados por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para el efecto. </w:t>
      </w:r>
    </w:p>
    <w:p w14:paraId="39303508" w14:textId="77777777" w:rsidR="007968EC" w:rsidRPr="002C0D19" w:rsidRDefault="007968EC" w:rsidP="007968EC">
      <w:pPr>
        <w:jc w:val="both"/>
        <w:rPr>
          <w:rFonts w:ascii="Arial Narrow" w:hAnsi="Arial Narrow" w:cs="Arial"/>
          <w:color w:val="000000" w:themeColor="text1"/>
          <w:lang w:val="es-ES" w:eastAsia="es-ES"/>
        </w:rPr>
      </w:pPr>
    </w:p>
    <w:p w14:paraId="096F54F1" w14:textId="77777777" w:rsidR="007968EC" w:rsidRPr="002C0D19" w:rsidRDefault="007968EC" w:rsidP="007968EC">
      <w:pPr>
        <w:jc w:val="both"/>
        <w:rPr>
          <w:rFonts w:ascii="Arial Narrow" w:hAnsi="Arial Narrow" w:cs="Arial"/>
          <w:bCs/>
          <w:color w:val="000000" w:themeColor="text1"/>
          <w:lang w:val="es-ES_tradnl" w:eastAsia="es-ES"/>
        </w:rPr>
      </w:pPr>
      <w:r w:rsidRPr="002C0D19">
        <w:rPr>
          <w:rFonts w:ascii="Arial Narrow" w:hAnsi="Arial Narrow" w:cs="Arial"/>
          <w:b/>
          <w:color w:val="000000" w:themeColor="text1"/>
          <w:lang w:val="es-ES" w:eastAsia="es-ES"/>
        </w:rPr>
        <w:t>CLÁUSULA SEGUNDA</w:t>
      </w:r>
      <w:r w:rsidRPr="002C0D19">
        <w:rPr>
          <w:rFonts w:ascii="Arial Narrow" w:hAnsi="Arial Narrow" w:cs="Arial"/>
          <w:b/>
          <w:bCs/>
          <w:iCs/>
          <w:color w:val="000000" w:themeColor="text1"/>
          <w:lang w:val="es-ES" w:eastAsia="es-ES"/>
        </w:rPr>
        <w:t>:</w:t>
      </w:r>
      <w:r w:rsidRPr="002C0D19">
        <w:rPr>
          <w:rFonts w:ascii="Arial Narrow" w:hAnsi="Arial Narrow" w:cs="Arial"/>
          <w:color w:val="000000" w:themeColor="text1"/>
          <w:lang w:val="es-ES" w:eastAsia="es-ES"/>
        </w:rPr>
        <w:t xml:space="preserve"> </w:t>
      </w:r>
      <w:r w:rsidRPr="002C0D19">
        <w:rPr>
          <w:rFonts w:ascii="Arial Narrow" w:hAnsi="Arial Narrow" w:cs="Arial"/>
          <w:bCs/>
          <w:iCs/>
          <w:color w:val="000000" w:themeColor="text1"/>
          <w:lang w:val="es-ES" w:eastAsia="es-ES"/>
        </w:rPr>
        <w:t>L</w:t>
      </w:r>
      <w:r w:rsidRPr="002C0D19">
        <w:rPr>
          <w:rFonts w:ascii="Arial Narrow" w:hAnsi="Arial Narrow" w:cs="Arial"/>
          <w:color w:val="000000" w:themeColor="text1"/>
          <w:lang w:val="es-ES" w:eastAsia="es-ES"/>
        </w:rPr>
        <w:t>os demás términos y condiciones del Convenio se mantienen sin modificación alguna y con idéntica redacción.</w:t>
      </w:r>
      <w:r w:rsidRPr="002C0D19">
        <w:rPr>
          <w:rFonts w:ascii="Arial Narrow" w:hAnsi="Arial Narrow" w:cs="Arial"/>
          <w:bCs/>
          <w:color w:val="000000" w:themeColor="text1"/>
          <w:lang w:val="es-ES_tradnl" w:eastAsia="es-ES"/>
        </w:rPr>
        <w:t xml:space="preserve"> </w:t>
      </w:r>
    </w:p>
    <w:p w14:paraId="0F1A5DA6" w14:textId="77777777" w:rsidR="007968EC" w:rsidRPr="002C0D19" w:rsidRDefault="007968EC" w:rsidP="007968EC">
      <w:pPr>
        <w:jc w:val="both"/>
        <w:rPr>
          <w:rFonts w:ascii="Arial Narrow" w:hAnsi="Arial Narrow" w:cs="Arial"/>
          <w:b/>
          <w:iCs/>
          <w:color w:val="000000" w:themeColor="text1"/>
          <w:lang w:val="es-ES" w:eastAsia="es-ES"/>
        </w:rPr>
      </w:pPr>
    </w:p>
    <w:p w14:paraId="01875059" w14:textId="77777777" w:rsidR="007968EC" w:rsidRPr="002C0D19" w:rsidRDefault="007968EC" w:rsidP="007968EC">
      <w:pPr>
        <w:jc w:val="both"/>
        <w:rPr>
          <w:rFonts w:ascii="Arial Narrow" w:hAnsi="Arial Narrow" w:cs="Arial"/>
          <w:bCs/>
          <w:iCs/>
          <w:color w:val="000000" w:themeColor="text1"/>
          <w:lang w:val="es-ES" w:eastAsia="es-ES"/>
        </w:rPr>
      </w:pPr>
      <w:r w:rsidRPr="002C0D19">
        <w:rPr>
          <w:rFonts w:ascii="Arial Narrow" w:hAnsi="Arial Narrow" w:cs="Arial"/>
          <w:iCs/>
          <w:color w:val="000000" w:themeColor="text1"/>
          <w:lang w:val="es-ES" w:eastAsia="es-ES"/>
        </w:rPr>
        <w:t>En constancia de lo expuesto, se firma el presente documento en Bogotá D.C.</w:t>
      </w:r>
      <w:r w:rsidRPr="002C0D19">
        <w:rPr>
          <w:rFonts w:ascii="Arial Narrow" w:hAnsi="Arial Narrow" w:cs="Arial"/>
          <w:bCs/>
          <w:iCs/>
          <w:color w:val="000000" w:themeColor="text1"/>
          <w:lang w:val="es-ES" w:eastAsia="es-ES"/>
        </w:rPr>
        <w:t xml:space="preserve">, al ______ (_ ) de _________ </w:t>
      </w:r>
      <w:proofErr w:type="spellStart"/>
      <w:r w:rsidRPr="002C0D19">
        <w:rPr>
          <w:rFonts w:ascii="Arial Narrow" w:hAnsi="Arial Narrow" w:cs="Arial"/>
          <w:bCs/>
          <w:iCs/>
          <w:color w:val="000000" w:themeColor="text1"/>
          <w:lang w:val="es-ES" w:eastAsia="es-ES"/>
        </w:rPr>
        <w:t>de</w:t>
      </w:r>
      <w:proofErr w:type="spellEnd"/>
      <w:r w:rsidRPr="002C0D19">
        <w:rPr>
          <w:rFonts w:ascii="Arial Narrow" w:hAnsi="Arial Narrow" w:cs="Arial"/>
          <w:bCs/>
          <w:iCs/>
          <w:color w:val="000000" w:themeColor="text1"/>
          <w:lang w:val="es-ES" w:eastAsia="es-ES"/>
        </w:rPr>
        <w:t xml:space="preserve"> 20__, en tres ejemplares del mismo tenor.</w:t>
      </w:r>
    </w:p>
    <w:p w14:paraId="3F220BCC" w14:textId="77777777" w:rsidR="007968EC" w:rsidRPr="002C0D19" w:rsidRDefault="007968EC" w:rsidP="007968EC">
      <w:pPr>
        <w:jc w:val="both"/>
        <w:rPr>
          <w:rFonts w:ascii="Arial Narrow" w:hAnsi="Arial Narrow" w:cs="Arial"/>
          <w:b/>
          <w:color w:val="000000" w:themeColor="text1"/>
          <w:lang w:val="es-ES" w:eastAsia="es-ES"/>
        </w:rPr>
      </w:pPr>
    </w:p>
    <w:p w14:paraId="182B640F" w14:textId="77777777" w:rsidR="007968EC" w:rsidRPr="002C0D19" w:rsidRDefault="007968EC" w:rsidP="007968EC">
      <w:pPr>
        <w:jc w:val="both"/>
        <w:rPr>
          <w:rFonts w:ascii="Arial Narrow" w:hAnsi="Arial Narrow" w:cs="Arial"/>
          <w:b/>
          <w:bCs/>
          <w:color w:val="000000" w:themeColor="text1"/>
          <w:lang w:val="es-ES" w:eastAsia="es-ES"/>
        </w:rPr>
      </w:pPr>
      <w:r w:rsidRPr="002C0D19">
        <w:rPr>
          <w:rFonts w:ascii="Arial Narrow" w:hAnsi="Arial Narrow" w:cs="Arial"/>
          <w:b/>
          <w:bCs/>
          <w:color w:val="000000" w:themeColor="text1"/>
          <w:lang w:val="es-ES" w:eastAsia="es-ES"/>
        </w:rPr>
        <w:lastRenderedPageBreak/>
        <w:t>EL MIEMBRO</w:t>
      </w:r>
    </w:p>
    <w:p w14:paraId="53AA554F" w14:textId="77777777" w:rsidR="007968EC" w:rsidRPr="002C0D19" w:rsidRDefault="007968EC" w:rsidP="007968EC">
      <w:pPr>
        <w:jc w:val="both"/>
        <w:rPr>
          <w:rFonts w:ascii="Arial Narrow" w:hAnsi="Arial Narrow" w:cs="Arial"/>
          <w:b/>
          <w:color w:val="000000" w:themeColor="text1"/>
          <w:spacing w:val="-3"/>
          <w:lang w:val="es-ES" w:eastAsia="es-ES"/>
        </w:rPr>
      </w:pPr>
    </w:p>
    <w:p w14:paraId="4897AAF0"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Por:          ________________________________                      </w:t>
      </w:r>
    </w:p>
    <w:p w14:paraId="7D85A0F6" w14:textId="77777777" w:rsidR="007968EC" w:rsidRPr="002C0D19" w:rsidRDefault="007968EC" w:rsidP="007968EC">
      <w:pPr>
        <w:jc w:val="both"/>
        <w:rPr>
          <w:rFonts w:ascii="Arial Narrow" w:hAnsi="Arial Narrow" w:cs="Arial"/>
          <w:color w:val="000000" w:themeColor="text1"/>
          <w:spacing w:val="-3"/>
          <w:lang w:val="es-ES" w:eastAsia="es-ES"/>
        </w:rPr>
      </w:pPr>
    </w:p>
    <w:p w14:paraId="0A7CED2A"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Nombre:                                               </w:t>
      </w:r>
    </w:p>
    <w:p w14:paraId="75A31808"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Cargo:       Representante Legal                                    </w:t>
      </w:r>
    </w:p>
    <w:p w14:paraId="0CDDD874"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spacing w:val="-3"/>
          <w:lang w:val="fr-FR" w:eastAsia="es-ES"/>
        </w:rPr>
        <w:t>C.C.</w:t>
      </w:r>
    </w:p>
    <w:p w14:paraId="35C5A332" w14:textId="77777777" w:rsidR="007968EC" w:rsidRPr="002C0D19" w:rsidRDefault="007968EC" w:rsidP="007968EC">
      <w:pPr>
        <w:jc w:val="both"/>
        <w:rPr>
          <w:rFonts w:ascii="Arial Narrow" w:hAnsi="Arial Narrow" w:cs="Arial"/>
          <w:b/>
          <w:color w:val="000000" w:themeColor="text1"/>
          <w:lang w:val="es-ES" w:eastAsia="es-ES"/>
        </w:rPr>
      </w:pPr>
    </w:p>
    <w:p w14:paraId="7A1292D2" w14:textId="77777777" w:rsidR="007968EC" w:rsidRPr="002C0D19" w:rsidRDefault="007968EC" w:rsidP="007968EC">
      <w:pPr>
        <w:jc w:val="both"/>
        <w:rPr>
          <w:rFonts w:ascii="Arial Narrow" w:hAnsi="Arial Narrow" w:cs="Arial"/>
          <w:b/>
          <w:color w:val="000000" w:themeColor="text1"/>
          <w:spacing w:val="-3"/>
          <w:lang w:val="es-ES" w:eastAsia="es-ES"/>
        </w:rPr>
      </w:pPr>
      <w:r w:rsidRPr="002C0D19">
        <w:rPr>
          <w:rFonts w:ascii="Arial Narrow" w:hAnsi="Arial Narrow" w:cs="Arial"/>
          <w:b/>
          <w:bCs/>
          <w:color w:val="000000" w:themeColor="text1"/>
          <w:lang w:val="es-ES" w:eastAsia="es-ES"/>
        </w:rPr>
        <w:t>EL TERCERO</w:t>
      </w:r>
    </w:p>
    <w:p w14:paraId="35978471"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Por:          ________________________________                      </w:t>
      </w:r>
    </w:p>
    <w:p w14:paraId="10C0AA29" w14:textId="77777777" w:rsidR="007968EC" w:rsidRPr="002C0D19" w:rsidRDefault="007968EC" w:rsidP="007968EC">
      <w:pPr>
        <w:jc w:val="both"/>
        <w:rPr>
          <w:rFonts w:ascii="Arial Narrow" w:hAnsi="Arial Narrow" w:cs="Arial"/>
          <w:color w:val="000000" w:themeColor="text1"/>
          <w:spacing w:val="-3"/>
          <w:lang w:val="es-ES" w:eastAsia="es-ES"/>
        </w:rPr>
      </w:pPr>
    </w:p>
    <w:p w14:paraId="4A4CA8D5"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Nombre:                                               </w:t>
      </w:r>
    </w:p>
    <w:p w14:paraId="79F5C738"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Cargo:       Representante Legal                                    </w:t>
      </w:r>
    </w:p>
    <w:p w14:paraId="64E8B95C"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spacing w:val="-3"/>
          <w:lang w:val="fr-FR" w:eastAsia="es-ES"/>
        </w:rPr>
        <w:t>C.C. ¨ </w:t>
      </w:r>
    </w:p>
    <w:p w14:paraId="4F1BEEBD" w14:textId="77777777" w:rsidR="007968EC" w:rsidRPr="002C0D19" w:rsidRDefault="007968EC" w:rsidP="007968EC">
      <w:pPr>
        <w:rPr>
          <w:rFonts w:ascii="Arial Narrow" w:hAnsi="Arial Narrow" w:cs="Arial"/>
          <w:b/>
          <w:color w:val="000000" w:themeColor="text1"/>
          <w:lang w:val="es-ES" w:eastAsia="es-ES"/>
        </w:rPr>
      </w:pPr>
    </w:p>
    <w:p w14:paraId="7DA2AD36" w14:textId="77777777" w:rsidR="007968EC" w:rsidRPr="002C0D19" w:rsidRDefault="007968EC" w:rsidP="007968EC">
      <w:pPr>
        <w:rPr>
          <w:rFonts w:ascii="Arial Narrow" w:hAnsi="Arial Narrow" w:cs="Arial"/>
          <w:b/>
          <w:color w:val="000000" w:themeColor="text1"/>
          <w:lang w:val="es-ES" w:eastAsia="es-ES"/>
        </w:rPr>
      </w:pPr>
    </w:p>
    <w:p w14:paraId="64DBE7AD" w14:textId="77777777" w:rsidR="007968EC" w:rsidRPr="002C0D19" w:rsidRDefault="007968EC" w:rsidP="007968EC">
      <w:pPr>
        <w:rPr>
          <w:rFonts w:ascii="Arial Narrow" w:hAnsi="Arial Narrow" w:cs="Arial"/>
          <w:b/>
          <w:color w:val="000000" w:themeColor="text1"/>
          <w:lang w:val="es-ES" w:eastAsia="es-ES"/>
        </w:rPr>
      </w:pPr>
    </w:p>
    <w:p w14:paraId="6353C9D0" w14:textId="77777777" w:rsidR="007968EC" w:rsidRPr="002C0D19" w:rsidRDefault="007968EC" w:rsidP="007968EC">
      <w:pPr>
        <w:jc w:val="center"/>
        <w:rPr>
          <w:rFonts w:ascii="Arial Narrow" w:hAnsi="Arial Narrow" w:cs="Arial"/>
          <w:b/>
          <w:color w:val="000000" w:themeColor="text1"/>
          <w:lang w:val="es-ES" w:eastAsia="es-ES"/>
        </w:rPr>
        <w:sectPr w:rsidR="007968EC" w:rsidRPr="002C0D19" w:rsidSect="007968EC">
          <w:pgSz w:w="12242" w:h="15842" w:code="1"/>
          <w:pgMar w:top="1985" w:right="1418" w:bottom="1985" w:left="1418" w:header="851" w:footer="1021" w:gutter="0"/>
          <w:cols w:space="708"/>
          <w:titlePg/>
          <w:docGrid w:linePitch="360"/>
        </w:sectPr>
      </w:pPr>
    </w:p>
    <w:p w14:paraId="207214F8" w14:textId="77777777" w:rsidR="007968EC" w:rsidRPr="002C0D19" w:rsidRDefault="007968EC" w:rsidP="007968EC">
      <w:pPr>
        <w:pStyle w:val="TTULO"/>
        <w:rPr>
          <w:lang w:val="es-ES"/>
        </w:rPr>
      </w:pPr>
      <w:bookmarkStart w:id="6584" w:name="_Toc31716614"/>
      <w:r w:rsidRPr="002C0D19">
        <w:rPr>
          <w:lang w:val="es-ES"/>
        </w:rPr>
        <w:lastRenderedPageBreak/>
        <w:t>ANEXO 21</w:t>
      </w:r>
      <w:bookmarkEnd w:id="6584"/>
    </w:p>
    <w:p w14:paraId="539B30DB" w14:textId="77777777" w:rsidR="007968EC" w:rsidRPr="002C0D19" w:rsidRDefault="007968EC" w:rsidP="007968EC">
      <w:pPr>
        <w:pStyle w:val="TTULO"/>
        <w:rPr>
          <w:lang w:val="es-ES"/>
        </w:rPr>
      </w:pPr>
    </w:p>
    <w:p w14:paraId="03AE1555" w14:textId="77777777" w:rsidR="007968EC" w:rsidRPr="002C0D19" w:rsidRDefault="007968EC" w:rsidP="007968EC">
      <w:pPr>
        <w:jc w:val="center"/>
        <w:rPr>
          <w:lang w:val="es-ES"/>
        </w:rPr>
      </w:pPr>
      <w:r w:rsidRPr="004B3C30">
        <w:rPr>
          <w:rFonts w:ascii="Arial Narrow" w:hAnsi="Arial Narrow" w:cs="Arial"/>
          <w:b/>
          <w:color w:val="000000" w:themeColor="text1"/>
          <w:lang w:val="es-ES" w:eastAsia="es-ES"/>
        </w:rPr>
        <w:t>FORMATO DE INSTALACIÓN TECNOLÓGICA</w:t>
      </w:r>
    </w:p>
    <w:p w14:paraId="48751434" w14:textId="77777777" w:rsidR="007968EC" w:rsidRPr="002C0D19" w:rsidRDefault="007968EC" w:rsidP="007968EC">
      <w:pPr>
        <w:jc w:val="center"/>
        <w:rPr>
          <w:rFonts w:ascii="Arial Narrow" w:hAnsi="Arial Narrow" w:cs="Arial"/>
          <w:b/>
          <w:color w:val="000000" w:themeColor="text1"/>
          <w:lang w:val="es-ES" w:eastAsia="es-ES"/>
        </w:rPr>
      </w:pPr>
    </w:p>
    <w:p w14:paraId="4E94DCD1" w14:textId="77777777" w:rsidR="007968EC" w:rsidRPr="002C0D19" w:rsidRDefault="007968EC" w:rsidP="007968EC">
      <w:pPr>
        <w:jc w:val="center"/>
        <w:rPr>
          <w:rFonts w:ascii="Arial Narrow" w:hAnsi="Arial Narrow" w:cs="Arial"/>
          <w:b/>
          <w:i/>
          <w:color w:val="000000" w:themeColor="text1"/>
          <w:lang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3"/>
        <w:gridCol w:w="4536"/>
        <w:gridCol w:w="2552"/>
      </w:tblGrid>
      <w:tr w:rsidR="007968EC" w:rsidRPr="002C0D19" w14:paraId="1083C8B3" w14:textId="77777777" w:rsidTr="007968EC">
        <w:trPr>
          <w:cantSplit/>
          <w:trHeight w:val="423"/>
        </w:trPr>
        <w:tc>
          <w:tcPr>
            <w:tcW w:w="2263" w:type="dxa"/>
            <w:vMerge w:val="restart"/>
            <w:vAlign w:val="center"/>
          </w:tcPr>
          <w:p w14:paraId="3FE8142B" w14:textId="77777777" w:rsidR="007968EC" w:rsidRPr="002C0D19" w:rsidRDefault="007968EC" w:rsidP="007968EC">
            <w:pPr>
              <w:tabs>
                <w:tab w:val="center" w:pos="4252"/>
                <w:tab w:val="right" w:pos="8504"/>
              </w:tabs>
              <w:jc w:val="center"/>
              <w:rPr>
                <w:rFonts w:ascii="Arial Narrow" w:hAnsi="Arial Narrow" w:cs="Arial"/>
                <w:b/>
                <w:color w:val="000000" w:themeColor="text1"/>
                <w:lang w:val="es-ES" w:eastAsia="es-ES"/>
              </w:rPr>
            </w:pPr>
            <w:r w:rsidRPr="002C0D19">
              <w:rPr>
                <w:rFonts w:ascii="Arial Narrow" w:hAnsi="Arial Narrow" w:cs="Arial"/>
                <w:b/>
                <w:noProof/>
                <w:color w:val="000000" w:themeColor="text1"/>
                <w:lang w:eastAsia="es-CO"/>
              </w:rPr>
              <w:drawing>
                <wp:inline distT="0" distB="0" distL="0" distR="0" wp14:anchorId="11E4B07C" wp14:editId="0D532EB6">
                  <wp:extent cx="928047" cy="503555"/>
                  <wp:effectExtent l="0" t="0" r="5715" b="0"/>
                  <wp:docPr id="35" name="Imagen 3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3056" cy="506273"/>
                          </a:xfrm>
                          <a:prstGeom prst="rect">
                            <a:avLst/>
                          </a:prstGeom>
                          <a:noFill/>
                          <a:ln>
                            <a:noFill/>
                          </a:ln>
                        </pic:spPr>
                      </pic:pic>
                    </a:graphicData>
                  </a:graphic>
                </wp:inline>
              </w:drawing>
            </w:r>
          </w:p>
        </w:tc>
        <w:tc>
          <w:tcPr>
            <w:tcW w:w="4536" w:type="dxa"/>
            <w:vAlign w:val="center"/>
          </w:tcPr>
          <w:p w14:paraId="455A9215" w14:textId="77777777" w:rsidR="007968EC" w:rsidRPr="002C0D19" w:rsidRDefault="007968EC" w:rsidP="007968EC">
            <w:pPr>
              <w:tabs>
                <w:tab w:val="center" w:pos="4252"/>
                <w:tab w:val="right" w:pos="8504"/>
              </w:tabs>
              <w:jc w:val="center"/>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FORMATO</w:t>
            </w:r>
          </w:p>
        </w:tc>
        <w:tc>
          <w:tcPr>
            <w:tcW w:w="2552" w:type="dxa"/>
            <w:vAlign w:val="center"/>
          </w:tcPr>
          <w:p w14:paraId="3EA30F03" w14:textId="77777777" w:rsidR="007968EC" w:rsidRPr="002C0D19" w:rsidRDefault="007968EC" w:rsidP="007968EC">
            <w:pPr>
              <w:tabs>
                <w:tab w:val="center" w:pos="4252"/>
                <w:tab w:val="right" w:pos="8504"/>
              </w:tabs>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Código: FO GMI 015</w:t>
            </w:r>
          </w:p>
        </w:tc>
      </w:tr>
      <w:tr w:rsidR="007968EC" w:rsidRPr="002C0D19" w14:paraId="6A5F302C" w14:textId="77777777" w:rsidTr="007968EC">
        <w:trPr>
          <w:cantSplit/>
          <w:trHeight w:val="373"/>
        </w:trPr>
        <w:tc>
          <w:tcPr>
            <w:tcW w:w="2263" w:type="dxa"/>
            <w:vMerge/>
            <w:shd w:val="pct5" w:color="auto" w:fill="FFFFFF"/>
            <w:vAlign w:val="center"/>
          </w:tcPr>
          <w:p w14:paraId="2AB73001" w14:textId="77777777" w:rsidR="007968EC" w:rsidRPr="002C0D19" w:rsidRDefault="007968EC" w:rsidP="007968EC">
            <w:pPr>
              <w:tabs>
                <w:tab w:val="center" w:pos="4252"/>
                <w:tab w:val="right" w:pos="8504"/>
              </w:tabs>
              <w:jc w:val="center"/>
              <w:rPr>
                <w:rFonts w:ascii="Arial Narrow" w:hAnsi="Arial Narrow" w:cs="Arial"/>
                <w:color w:val="000000" w:themeColor="text1"/>
                <w:lang w:val="es-ES" w:eastAsia="es-ES"/>
              </w:rPr>
            </w:pPr>
          </w:p>
        </w:tc>
        <w:tc>
          <w:tcPr>
            <w:tcW w:w="4536" w:type="dxa"/>
            <w:vMerge w:val="restart"/>
            <w:vAlign w:val="center"/>
          </w:tcPr>
          <w:p w14:paraId="50B959F3" w14:textId="77777777" w:rsidR="007968EC" w:rsidRPr="002C0D19" w:rsidRDefault="007968EC" w:rsidP="007968EC">
            <w:pPr>
              <w:tabs>
                <w:tab w:val="center" w:pos="4252"/>
                <w:tab w:val="right" w:pos="8504"/>
              </w:tabs>
              <w:jc w:val="center"/>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INSTALACIÓN TECNOLÓGICA EN EL MIEMBRO</w:t>
            </w:r>
          </w:p>
        </w:tc>
        <w:tc>
          <w:tcPr>
            <w:tcW w:w="2552" w:type="dxa"/>
            <w:vAlign w:val="center"/>
          </w:tcPr>
          <w:p w14:paraId="71BC92F8" w14:textId="77777777" w:rsidR="007968EC" w:rsidRPr="002C0D19" w:rsidRDefault="007968EC" w:rsidP="007968EC">
            <w:pPr>
              <w:tabs>
                <w:tab w:val="center" w:pos="4252"/>
                <w:tab w:val="right" w:pos="8504"/>
              </w:tabs>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Versión: 1.0</w:t>
            </w:r>
          </w:p>
        </w:tc>
      </w:tr>
      <w:tr w:rsidR="007968EC" w:rsidRPr="002C0D19" w14:paraId="290A4F87" w14:textId="77777777" w:rsidTr="007968EC">
        <w:trPr>
          <w:cantSplit/>
          <w:trHeight w:val="181"/>
        </w:trPr>
        <w:tc>
          <w:tcPr>
            <w:tcW w:w="2263" w:type="dxa"/>
            <w:vMerge/>
            <w:shd w:val="pct5" w:color="auto" w:fill="FFFFFF"/>
            <w:vAlign w:val="center"/>
          </w:tcPr>
          <w:p w14:paraId="60C80064" w14:textId="77777777" w:rsidR="007968EC" w:rsidRPr="002C0D19" w:rsidRDefault="007968EC" w:rsidP="007968EC">
            <w:pPr>
              <w:tabs>
                <w:tab w:val="center" w:pos="4252"/>
                <w:tab w:val="right" w:pos="8504"/>
              </w:tabs>
              <w:jc w:val="center"/>
              <w:rPr>
                <w:rFonts w:ascii="Arial Narrow" w:hAnsi="Arial Narrow" w:cs="Arial"/>
                <w:color w:val="000000" w:themeColor="text1"/>
                <w:lang w:val="es-ES" w:eastAsia="es-ES"/>
              </w:rPr>
            </w:pPr>
          </w:p>
        </w:tc>
        <w:tc>
          <w:tcPr>
            <w:tcW w:w="4536" w:type="dxa"/>
            <w:vMerge/>
            <w:shd w:val="pct5" w:color="auto" w:fill="FFFFFF"/>
            <w:vAlign w:val="center"/>
          </w:tcPr>
          <w:p w14:paraId="73C3F88E" w14:textId="77777777" w:rsidR="007968EC" w:rsidRPr="002C0D19" w:rsidRDefault="007968EC" w:rsidP="007968EC">
            <w:pPr>
              <w:tabs>
                <w:tab w:val="center" w:pos="4252"/>
                <w:tab w:val="right" w:pos="8504"/>
              </w:tabs>
              <w:jc w:val="center"/>
              <w:rPr>
                <w:rFonts w:ascii="Arial Narrow" w:hAnsi="Arial Narrow" w:cs="Arial"/>
                <w:b/>
                <w:color w:val="000000" w:themeColor="text1"/>
                <w:lang w:val="es-ES" w:eastAsia="es-ES"/>
              </w:rPr>
            </w:pPr>
          </w:p>
        </w:tc>
        <w:tc>
          <w:tcPr>
            <w:tcW w:w="2552" w:type="dxa"/>
            <w:vAlign w:val="center"/>
          </w:tcPr>
          <w:p w14:paraId="402365EF" w14:textId="77777777" w:rsidR="007968EC" w:rsidRPr="002C0D19" w:rsidRDefault="007968EC" w:rsidP="007968EC">
            <w:pPr>
              <w:tabs>
                <w:tab w:val="center" w:pos="4252"/>
                <w:tab w:val="right" w:pos="8504"/>
              </w:tabs>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Página 1 de 8</w:t>
            </w:r>
          </w:p>
        </w:tc>
      </w:tr>
    </w:tbl>
    <w:p w14:paraId="0B99AF62" w14:textId="77777777" w:rsidR="007968EC" w:rsidRPr="002C0D19" w:rsidRDefault="007968EC" w:rsidP="007968EC">
      <w:pPr>
        <w:rPr>
          <w:rFonts w:ascii="Arial Narrow" w:hAnsi="Arial Narrow" w:cs="Arial"/>
          <w:b/>
          <w:i/>
          <w:color w:val="000000" w:themeColor="text1"/>
          <w:lang w:eastAsia="es-ES"/>
        </w:rPr>
      </w:pPr>
    </w:p>
    <w:p w14:paraId="21EA0511" w14:textId="77777777" w:rsidR="007968EC" w:rsidRPr="002C0D19" w:rsidRDefault="007968EC" w:rsidP="007968EC">
      <w:pPr>
        <w:jc w:val="center"/>
        <w:rPr>
          <w:rFonts w:ascii="Arial Narrow" w:hAnsi="Arial Narrow" w:cs="Arial"/>
          <w:b/>
          <w:i/>
          <w:color w:val="000000" w:themeColor="text1"/>
          <w:lang w:eastAsia="es-ES"/>
        </w:rPr>
      </w:pPr>
      <w:r w:rsidRPr="002C0D19">
        <w:rPr>
          <w:rFonts w:ascii="Arial Narrow" w:hAnsi="Arial Narrow" w:cs="Arial"/>
          <w:noProof/>
          <w:color w:val="000000" w:themeColor="text1"/>
          <w:u w:val="single"/>
          <w:lang w:eastAsia="es-CO"/>
        </w:rPr>
        <w:drawing>
          <wp:inline distT="0" distB="0" distL="0" distR="0" wp14:anchorId="4B33AF4B" wp14:editId="18D8AC69">
            <wp:extent cx="5900507" cy="4752000"/>
            <wp:effectExtent l="0" t="0" r="508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5437"/>
                    <a:stretch/>
                  </pic:blipFill>
                  <pic:spPr bwMode="auto">
                    <a:xfrm>
                      <a:off x="0" y="0"/>
                      <a:ext cx="5900507" cy="4752000"/>
                    </a:xfrm>
                    <a:prstGeom prst="rect">
                      <a:avLst/>
                    </a:prstGeom>
                    <a:noFill/>
                    <a:ln>
                      <a:noFill/>
                    </a:ln>
                    <a:extLst>
                      <a:ext uri="{53640926-AAD7-44D8-BBD7-CCE9431645EC}">
                        <a14:shadowObscured xmlns:a14="http://schemas.microsoft.com/office/drawing/2010/main"/>
                      </a:ext>
                    </a:extLst>
                  </pic:spPr>
                </pic:pic>
              </a:graphicData>
            </a:graphic>
          </wp:inline>
        </w:drawing>
      </w:r>
    </w:p>
    <w:p w14:paraId="29D11513" w14:textId="77777777" w:rsidR="007968EC" w:rsidRPr="002C0D19" w:rsidRDefault="007968EC" w:rsidP="007968EC">
      <w:pPr>
        <w:jc w:val="center"/>
        <w:rPr>
          <w:rFonts w:ascii="Arial Narrow" w:hAnsi="Arial Narrow" w:cs="Arial"/>
          <w:noProof/>
          <w:color w:val="000000" w:themeColor="text1"/>
          <w:lang w:eastAsia="es-CO"/>
        </w:rPr>
      </w:pPr>
    </w:p>
    <w:p w14:paraId="552240B5" w14:textId="77777777" w:rsidR="007968EC" w:rsidRPr="002C0D19" w:rsidRDefault="007968EC" w:rsidP="007968EC">
      <w:pPr>
        <w:jc w:val="center"/>
        <w:rPr>
          <w:rFonts w:ascii="Arial Narrow" w:hAnsi="Arial Narrow" w:cs="Arial"/>
          <w:noProof/>
          <w:color w:val="000000" w:themeColor="text1"/>
          <w:lang w:eastAsia="es-CO"/>
        </w:rPr>
      </w:pPr>
      <w:r w:rsidRPr="002C0D19">
        <w:rPr>
          <w:rFonts w:ascii="Arial Narrow" w:hAnsi="Arial Narrow" w:cs="Arial"/>
          <w:b/>
          <w:noProof/>
          <w:color w:val="000000" w:themeColor="text1"/>
          <w:lang w:eastAsia="es-CO"/>
        </w:rPr>
        <w:lastRenderedPageBreak/>
        <w:drawing>
          <wp:inline distT="0" distB="0" distL="0" distR="0" wp14:anchorId="4B5AFBA8" wp14:editId="7C7528C1">
            <wp:extent cx="5667375" cy="2727325"/>
            <wp:effectExtent l="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5095"/>
                    <a:stretch/>
                  </pic:blipFill>
                  <pic:spPr bwMode="auto">
                    <a:xfrm>
                      <a:off x="0" y="0"/>
                      <a:ext cx="5668483" cy="2727858"/>
                    </a:xfrm>
                    <a:prstGeom prst="rect">
                      <a:avLst/>
                    </a:prstGeom>
                    <a:noFill/>
                    <a:ln>
                      <a:noFill/>
                    </a:ln>
                    <a:extLst>
                      <a:ext uri="{53640926-AAD7-44D8-BBD7-CCE9431645EC}">
                        <a14:shadowObscured xmlns:a14="http://schemas.microsoft.com/office/drawing/2010/main"/>
                      </a:ext>
                    </a:extLst>
                  </pic:spPr>
                </pic:pic>
              </a:graphicData>
            </a:graphic>
          </wp:inline>
        </w:drawing>
      </w:r>
    </w:p>
    <w:p w14:paraId="1E19528C" w14:textId="77777777" w:rsidR="007968EC" w:rsidRPr="002C0D19" w:rsidRDefault="007968EC" w:rsidP="007968EC">
      <w:pPr>
        <w:jc w:val="center"/>
        <w:rPr>
          <w:rFonts w:ascii="Arial Narrow" w:hAnsi="Arial Narrow" w:cs="Arial"/>
          <w:noProof/>
          <w:color w:val="000000" w:themeColor="text1"/>
          <w:lang w:eastAsia="es-CO"/>
        </w:rPr>
      </w:pPr>
      <w:r w:rsidRPr="002C0D19">
        <w:rPr>
          <w:rFonts w:ascii="Arial Narrow" w:hAnsi="Arial Narrow" w:cs="Arial"/>
          <w:b/>
          <w:noProof/>
          <w:color w:val="000000" w:themeColor="text1"/>
          <w:lang w:eastAsia="es-CO"/>
        </w:rPr>
        <w:drawing>
          <wp:inline distT="0" distB="0" distL="0" distR="0" wp14:anchorId="35A97451" wp14:editId="40E0192C">
            <wp:extent cx="5619750" cy="4144010"/>
            <wp:effectExtent l="0" t="0" r="0" b="889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5905"/>
                    <a:stretch/>
                  </pic:blipFill>
                  <pic:spPr bwMode="auto">
                    <a:xfrm>
                      <a:off x="0" y="0"/>
                      <a:ext cx="5620070" cy="4144246"/>
                    </a:xfrm>
                    <a:prstGeom prst="rect">
                      <a:avLst/>
                    </a:prstGeom>
                    <a:noFill/>
                    <a:ln>
                      <a:noFill/>
                    </a:ln>
                    <a:extLst>
                      <a:ext uri="{53640926-AAD7-44D8-BBD7-CCE9431645EC}">
                        <a14:shadowObscured xmlns:a14="http://schemas.microsoft.com/office/drawing/2010/main"/>
                      </a:ext>
                    </a:extLst>
                  </pic:spPr>
                </pic:pic>
              </a:graphicData>
            </a:graphic>
          </wp:inline>
        </w:drawing>
      </w:r>
    </w:p>
    <w:p w14:paraId="4C8082D3" w14:textId="77777777" w:rsidR="007968EC" w:rsidRPr="002C0D19" w:rsidRDefault="007968EC" w:rsidP="007968EC">
      <w:pPr>
        <w:jc w:val="center"/>
        <w:rPr>
          <w:rFonts w:ascii="Arial Narrow" w:hAnsi="Arial Narrow" w:cs="Arial"/>
          <w:noProof/>
          <w:color w:val="000000" w:themeColor="text1"/>
          <w:lang w:eastAsia="es-CO"/>
        </w:rPr>
      </w:pPr>
    </w:p>
    <w:p w14:paraId="7927BACE" w14:textId="77777777" w:rsidR="007968EC" w:rsidRPr="002C0D19" w:rsidRDefault="007968EC" w:rsidP="007968EC">
      <w:pPr>
        <w:jc w:val="center"/>
        <w:rPr>
          <w:rFonts w:ascii="Arial Narrow" w:hAnsi="Arial Narrow" w:cs="Arial"/>
          <w:noProof/>
          <w:color w:val="000000" w:themeColor="text1"/>
          <w:lang w:eastAsia="es-CO"/>
        </w:rPr>
      </w:pPr>
      <w:r w:rsidRPr="002C0D19">
        <w:rPr>
          <w:rFonts w:ascii="Arial Narrow" w:hAnsi="Arial Narrow" w:cs="Arial"/>
          <w:b/>
          <w:noProof/>
          <w:color w:val="000000" w:themeColor="text1"/>
          <w:lang w:eastAsia="es-CO"/>
        </w:rPr>
        <w:lastRenderedPageBreak/>
        <w:drawing>
          <wp:inline distT="0" distB="0" distL="0" distR="0" wp14:anchorId="70328D57" wp14:editId="5E653312">
            <wp:extent cx="5553075" cy="376174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7020"/>
                    <a:stretch/>
                  </pic:blipFill>
                  <pic:spPr bwMode="auto">
                    <a:xfrm>
                      <a:off x="0" y="0"/>
                      <a:ext cx="5553527" cy="3762046"/>
                    </a:xfrm>
                    <a:prstGeom prst="rect">
                      <a:avLst/>
                    </a:prstGeom>
                    <a:noFill/>
                    <a:ln>
                      <a:noFill/>
                    </a:ln>
                    <a:extLst>
                      <a:ext uri="{53640926-AAD7-44D8-BBD7-CCE9431645EC}">
                        <a14:shadowObscured xmlns:a14="http://schemas.microsoft.com/office/drawing/2010/main"/>
                      </a:ext>
                    </a:extLst>
                  </pic:spPr>
                </pic:pic>
              </a:graphicData>
            </a:graphic>
          </wp:inline>
        </w:drawing>
      </w:r>
    </w:p>
    <w:p w14:paraId="04366F18" w14:textId="77777777" w:rsidR="007968EC" w:rsidRPr="002C0D19" w:rsidRDefault="007968EC" w:rsidP="007968EC">
      <w:pPr>
        <w:jc w:val="center"/>
        <w:rPr>
          <w:rFonts w:ascii="Arial Narrow" w:hAnsi="Arial Narrow" w:cs="Arial"/>
          <w:b/>
          <w:color w:val="000000" w:themeColor="text1"/>
          <w:lang w:val="es-ES" w:eastAsia="es-ES"/>
        </w:rPr>
      </w:pPr>
    </w:p>
    <w:p w14:paraId="3750A1BE" w14:textId="77777777" w:rsidR="007968EC" w:rsidRPr="002C0D19" w:rsidRDefault="007968EC" w:rsidP="007968EC">
      <w:pPr>
        <w:jc w:val="center"/>
        <w:rPr>
          <w:rFonts w:ascii="Arial Narrow" w:hAnsi="Arial Narrow" w:cs="Arial"/>
          <w:b/>
          <w:color w:val="000000" w:themeColor="text1"/>
          <w:lang w:val="es-ES" w:eastAsia="es-ES"/>
        </w:rPr>
      </w:pPr>
      <w:r w:rsidRPr="002C0D19">
        <w:rPr>
          <w:rFonts w:ascii="Arial Narrow" w:hAnsi="Arial Narrow" w:cs="Arial"/>
          <w:b/>
          <w:noProof/>
          <w:color w:val="000000" w:themeColor="text1"/>
          <w:lang w:eastAsia="es-CO"/>
        </w:rPr>
        <w:lastRenderedPageBreak/>
        <w:drawing>
          <wp:inline distT="0" distB="0" distL="0" distR="0" wp14:anchorId="6B652C1A" wp14:editId="2359D73C">
            <wp:extent cx="6012794" cy="4212000"/>
            <wp:effectExtent l="19050" t="19050" r="26670" b="1714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5428"/>
                    <a:stretch/>
                  </pic:blipFill>
                  <pic:spPr bwMode="auto">
                    <a:xfrm>
                      <a:off x="0" y="0"/>
                      <a:ext cx="6012794" cy="4212000"/>
                    </a:xfrm>
                    <a:prstGeom prst="rect">
                      <a:avLst/>
                    </a:prstGeom>
                    <a:noFill/>
                    <a:ln w="9525">
                      <a:solidFill>
                        <a:sysClr val="windowText" lastClr="000000"/>
                      </a:solidFill>
                    </a:ln>
                    <a:extLst>
                      <a:ext uri="{53640926-AAD7-44D8-BBD7-CCE9431645EC}">
                        <a14:shadowObscured xmlns:a14="http://schemas.microsoft.com/office/drawing/2010/main"/>
                      </a:ext>
                    </a:extLst>
                  </pic:spPr>
                </pic:pic>
              </a:graphicData>
            </a:graphic>
          </wp:inline>
        </w:drawing>
      </w:r>
    </w:p>
    <w:p w14:paraId="2B59CE71" w14:textId="77777777" w:rsidR="007968EC" w:rsidRPr="002C0D19" w:rsidRDefault="007968EC" w:rsidP="007968EC">
      <w:pPr>
        <w:jc w:val="center"/>
        <w:rPr>
          <w:rFonts w:ascii="Arial Narrow" w:hAnsi="Arial Narrow" w:cs="Arial"/>
          <w:b/>
          <w:color w:val="000000" w:themeColor="text1"/>
          <w:lang w:val="es-ES" w:eastAsia="es-ES"/>
        </w:rPr>
      </w:pPr>
    </w:p>
    <w:p w14:paraId="2F51856A" w14:textId="77777777" w:rsidR="007968EC" w:rsidRPr="002C0D19" w:rsidRDefault="007968EC" w:rsidP="007968EC">
      <w:pPr>
        <w:jc w:val="center"/>
        <w:rPr>
          <w:rFonts w:ascii="Arial Narrow" w:hAnsi="Arial Narrow" w:cs="Arial"/>
          <w:b/>
          <w:color w:val="000000" w:themeColor="text1"/>
          <w:lang w:val="es-ES" w:eastAsia="es-ES"/>
        </w:rPr>
      </w:pPr>
      <w:r w:rsidRPr="002C0D19">
        <w:rPr>
          <w:rFonts w:ascii="Arial Narrow" w:hAnsi="Arial Narrow" w:cs="Arial"/>
          <w:b/>
          <w:noProof/>
          <w:color w:val="000000" w:themeColor="text1"/>
          <w:lang w:eastAsia="es-CO"/>
        </w:rPr>
        <w:lastRenderedPageBreak/>
        <w:drawing>
          <wp:inline distT="0" distB="0" distL="0" distR="0" wp14:anchorId="48A2E0F4" wp14:editId="2B9CC769">
            <wp:extent cx="5987701" cy="3960000"/>
            <wp:effectExtent l="19050" t="19050" r="13335" b="2159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5900"/>
                    <a:stretch/>
                  </pic:blipFill>
                  <pic:spPr bwMode="auto">
                    <a:xfrm>
                      <a:off x="0" y="0"/>
                      <a:ext cx="5987701" cy="3960000"/>
                    </a:xfrm>
                    <a:prstGeom prst="rect">
                      <a:avLst/>
                    </a:prstGeom>
                    <a:noFill/>
                    <a:ln w="9525">
                      <a:solidFill>
                        <a:sysClr val="windowText" lastClr="000000"/>
                      </a:solidFill>
                    </a:ln>
                    <a:extLst>
                      <a:ext uri="{53640926-AAD7-44D8-BBD7-CCE9431645EC}">
                        <a14:shadowObscured xmlns:a14="http://schemas.microsoft.com/office/drawing/2010/main"/>
                      </a:ext>
                    </a:extLst>
                  </pic:spPr>
                </pic:pic>
              </a:graphicData>
            </a:graphic>
          </wp:inline>
        </w:drawing>
      </w:r>
    </w:p>
    <w:p w14:paraId="65780E78" w14:textId="77777777" w:rsidR="007968EC" w:rsidRPr="002C0D19" w:rsidRDefault="007968EC" w:rsidP="007968EC">
      <w:pPr>
        <w:jc w:val="center"/>
        <w:rPr>
          <w:rFonts w:ascii="Arial Narrow" w:hAnsi="Arial Narrow" w:cs="Arial"/>
          <w:b/>
          <w:color w:val="000000" w:themeColor="text1"/>
          <w:lang w:val="es-ES" w:eastAsia="es-ES"/>
        </w:rPr>
      </w:pPr>
    </w:p>
    <w:p w14:paraId="49CFFF10" w14:textId="77777777" w:rsidR="007968EC" w:rsidRPr="002C0D19" w:rsidRDefault="007968EC" w:rsidP="007968EC">
      <w:pPr>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br w:type="page"/>
      </w:r>
    </w:p>
    <w:p w14:paraId="4B78F11D" w14:textId="77777777" w:rsidR="007968EC" w:rsidRPr="002C0D19" w:rsidRDefault="007968EC" w:rsidP="007968EC">
      <w:pPr>
        <w:pStyle w:val="TTULO"/>
        <w:rPr>
          <w:lang w:val="es-ES"/>
        </w:rPr>
      </w:pPr>
      <w:bookmarkStart w:id="6585" w:name="_Toc31716615"/>
      <w:r w:rsidRPr="002C0D19">
        <w:rPr>
          <w:lang w:val="es-ES"/>
        </w:rPr>
        <w:lastRenderedPageBreak/>
        <w:t>ANEXO 22</w:t>
      </w:r>
      <w:bookmarkEnd w:id="6585"/>
    </w:p>
    <w:p w14:paraId="79C6B960" w14:textId="77777777" w:rsidR="007968EC" w:rsidRPr="002C0D19" w:rsidRDefault="007968EC" w:rsidP="007968EC">
      <w:pPr>
        <w:pStyle w:val="TTULO"/>
        <w:rPr>
          <w:lang w:val="es-ES"/>
        </w:rPr>
      </w:pPr>
    </w:p>
    <w:p w14:paraId="57C2A1E4" w14:textId="77777777" w:rsidR="007968EC" w:rsidRPr="004B3C30" w:rsidRDefault="007968EC" w:rsidP="007968EC">
      <w:pPr>
        <w:jc w:val="center"/>
        <w:rPr>
          <w:rFonts w:ascii="Arial Narrow" w:hAnsi="Arial Narrow" w:cs="Arial"/>
          <w:b/>
          <w:color w:val="000000" w:themeColor="text1"/>
          <w:lang w:val="es-ES" w:eastAsia="es-ES"/>
        </w:rPr>
      </w:pPr>
      <w:r w:rsidRPr="004B3C30">
        <w:rPr>
          <w:rFonts w:ascii="Arial Narrow" w:hAnsi="Arial Narrow" w:cs="Arial"/>
          <w:b/>
          <w:color w:val="000000" w:themeColor="text1"/>
          <w:lang w:val="es-ES" w:eastAsia="es-ES"/>
        </w:rPr>
        <w:t xml:space="preserve">ACUERDO PARA ACTUAR COMO AGENTE CUSTODIO </w:t>
      </w:r>
      <w:r>
        <w:rPr>
          <w:rFonts w:ascii="Arial Narrow" w:hAnsi="Arial Narrow" w:cs="Arial"/>
          <w:b/>
          <w:color w:val="000000" w:themeColor="text1"/>
          <w:lang w:val="es-ES" w:eastAsia="es-ES"/>
        </w:rPr>
        <w:t>Y/</w:t>
      </w:r>
      <w:r w:rsidRPr="004B3C30">
        <w:rPr>
          <w:rFonts w:ascii="Arial Narrow" w:hAnsi="Arial Narrow" w:cs="Arial"/>
          <w:b/>
          <w:color w:val="000000" w:themeColor="text1"/>
          <w:lang w:val="es-ES" w:eastAsia="es-ES"/>
        </w:rPr>
        <w:t>O AGENTE DE PAGOS EN EL SISTEMA DE COMPENSACIÓN Y LIQUIDACIÓN DE LA CÁMARA DE RIESGO CENTRAL DE CONTRAPARTE DE COLOMBIA S.A. – CRCC S.A.</w:t>
      </w:r>
    </w:p>
    <w:p w14:paraId="60C99825" w14:textId="77777777" w:rsidR="007968EC" w:rsidRDefault="007968EC" w:rsidP="007968EC">
      <w:pPr>
        <w:jc w:val="center"/>
        <w:rPr>
          <w:rFonts w:ascii="Arial Narrow" w:hAnsi="Arial Narrow" w:cs="Arial"/>
          <w:b/>
          <w:color w:val="000000" w:themeColor="text1"/>
          <w:lang w:val="es-ES" w:eastAsia="es-ES"/>
        </w:rPr>
      </w:pPr>
    </w:p>
    <w:p w14:paraId="30DEA7FF" w14:textId="77777777" w:rsidR="007968EC" w:rsidRDefault="007968EC" w:rsidP="007968EC">
      <w:pPr>
        <w:rPr>
          <w:rFonts w:ascii="Arial Narrow" w:hAnsi="Arial Narrow" w:cs="Arial"/>
          <w:b/>
          <w:color w:val="000000" w:themeColor="text1"/>
          <w:lang w:val="es-ES" w:eastAsia="es-ES"/>
        </w:rPr>
      </w:pPr>
      <w:r>
        <w:rPr>
          <w:rFonts w:ascii="Arial Narrow" w:eastAsia="Calibri" w:hAnsi="Arial Narrow"/>
          <w:b/>
          <w:i/>
        </w:rPr>
        <w:t>(Este Anexo fue modificado mediante Circular 16 del 25 de agosto de 2017, publicada en el Boletín Normativo No. 017 del 25 de agosto de 2017. Rige a partir del 28 de agosto de 2017.)</w:t>
      </w:r>
    </w:p>
    <w:p w14:paraId="68DFB255" w14:textId="77777777" w:rsidR="007968EC" w:rsidRPr="002C0D19" w:rsidRDefault="007968EC" w:rsidP="007968EC">
      <w:pPr>
        <w:jc w:val="center"/>
        <w:rPr>
          <w:rFonts w:ascii="Arial Narrow" w:hAnsi="Arial Narrow" w:cs="Arial"/>
          <w:b/>
          <w:color w:val="000000" w:themeColor="text1"/>
          <w:lang w:val="es-ES" w:eastAsia="es-ES"/>
        </w:rPr>
      </w:pPr>
    </w:p>
    <w:p w14:paraId="68C958C5" w14:textId="77777777" w:rsidR="007968EC" w:rsidRPr="002C0D19" w:rsidRDefault="007968EC" w:rsidP="007968EC">
      <w:pPr>
        <w:jc w:val="center"/>
        <w:rPr>
          <w:rFonts w:ascii="Arial Narrow" w:hAnsi="Arial Narrow" w:cs="Arial"/>
          <w:b/>
          <w:i/>
          <w:color w:val="000000" w:themeColor="text1"/>
          <w:lang w:val="es-ES" w:eastAsia="es-ES"/>
        </w:rPr>
      </w:pPr>
      <w:r w:rsidRPr="002C0D19">
        <w:rPr>
          <w:rFonts w:ascii="Arial Narrow" w:hAnsi="Arial Narrow" w:cs="Arial"/>
          <w:b/>
          <w:i/>
          <w:color w:val="000000" w:themeColor="text1"/>
          <w:lang w:val="es-ES" w:eastAsia="es-ES"/>
        </w:rPr>
        <w:t>Anexo 22.1. Modelo de Acuerdo de la Cámara para Agente Custodio</w:t>
      </w:r>
    </w:p>
    <w:p w14:paraId="0F5F5B01" w14:textId="77777777" w:rsidR="007968EC" w:rsidRDefault="007968EC" w:rsidP="007968EC">
      <w:pPr>
        <w:jc w:val="both"/>
        <w:rPr>
          <w:rFonts w:ascii="Arial Narrow" w:hAnsi="Arial Narrow" w:cs="Arial"/>
          <w:color w:val="000000" w:themeColor="text1"/>
          <w:lang w:val="es-ES" w:eastAsia="es-ES"/>
        </w:rPr>
      </w:pPr>
    </w:p>
    <w:p w14:paraId="5832FC3F" w14:textId="77777777" w:rsidR="007968EC" w:rsidRPr="002C0D19" w:rsidRDefault="007968EC" w:rsidP="007968EC">
      <w:pPr>
        <w:jc w:val="both"/>
        <w:rPr>
          <w:rFonts w:ascii="Arial Narrow" w:hAnsi="Arial Narrow" w:cs="Arial"/>
          <w:color w:val="000000" w:themeColor="text1"/>
          <w:lang w:val="es-ES" w:eastAsia="es-ES"/>
        </w:rPr>
      </w:pPr>
      <w:r>
        <w:rPr>
          <w:rFonts w:ascii="Arial Narrow" w:eastAsia="Calibri" w:hAnsi="Arial Narrow"/>
          <w:b/>
          <w:i/>
        </w:rPr>
        <w:t>(Este Anexo fue modificado mediante Circular 16 del 25 de agosto de 2017, publicada en el Boletín Normativo No. 017 del 25 de agosto de 2017. Rige a partir del 28 de agosto de 2017.)</w:t>
      </w:r>
    </w:p>
    <w:p w14:paraId="3703D048" w14:textId="77777777" w:rsidR="007968EC" w:rsidRPr="002C0D19" w:rsidRDefault="007968EC" w:rsidP="007968EC">
      <w:pPr>
        <w:jc w:val="center"/>
        <w:rPr>
          <w:rFonts w:ascii="Arial Narrow" w:hAnsi="Arial Narrow" w:cs="Arial"/>
          <w:b/>
          <w:i/>
          <w:color w:val="000000" w:themeColor="text1"/>
          <w:lang w:val="es-ES" w:eastAsia="es-ES"/>
        </w:rPr>
      </w:pPr>
    </w:p>
    <w:p w14:paraId="285A3A5E" w14:textId="77777777" w:rsidR="007968EC" w:rsidRPr="002C0D19" w:rsidRDefault="007968EC" w:rsidP="007968EC">
      <w:pPr>
        <w:jc w:val="center"/>
        <w:rPr>
          <w:rFonts w:ascii="Arial Narrow" w:hAnsi="Arial Narrow" w:cs="Arial"/>
          <w:b/>
          <w:bCs/>
          <w:color w:val="000000" w:themeColor="text1"/>
          <w:lang w:eastAsia="es-ES"/>
        </w:rPr>
      </w:pPr>
      <w:r w:rsidRPr="002C0D19">
        <w:rPr>
          <w:rFonts w:ascii="Arial Narrow" w:hAnsi="Arial Narrow" w:cs="Arial"/>
          <w:b/>
          <w:bCs/>
          <w:color w:val="000000" w:themeColor="text1"/>
          <w:lang w:eastAsia="es-ES"/>
        </w:rPr>
        <w:t xml:space="preserve">ACUERDO PARA ACTUAR COMO </w:t>
      </w:r>
      <w:r w:rsidRPr="002C0D19">
        <w:rPr>
          <w:rFonts w:ascii="Arial Narrow" w:hAnsi="Arial Narrow" w:cs="Arial"/>
          <w:b/>
          <w:bCs/>
          <w:color w:val="000000" w:themeColor="text1"/>
          <w:u w:val="single"/>
          <w:lang w:eastAsia="es-ES"/>
        </w:rPr>
        <w:t>AGENTE CUSTODIO</w:t>
      </w:r>
      <w:r w:rsidRPr="002C0D19">
        <w:rPr>
          <w:rFonts w:ascii="Arial Narrow" w:hAnsi="Arial Narrow" w:cs="Arial"/>
          <w:b/>
          <w:bCs/>
          <w:color w:val="000000" w:themeColor="text1"/>
          <w:lang w:eastAsia="es-ES"/>
        </w:rPr>
        <w:t xml:space="preserve"> POR CUENTA DE TERCEROS DE UN MIEMBRO LIQUIDADOR EN EL SISTEMA DE COMPENSACIÓN Y LIQUIDACIÓN DE LA CÁMARA DE RIESGO CENTRAL DE CONTRAPARTE DE COLOMBIA S.A. – CRCC S.A.</w:t>
      </w:r>
    </w:p>
    <w:p w14:paraId="287DE451" w14:textId="77777777" w:rsidR="007968EC" w:rsidRPr="002C0D19" w:rsidRDefault="007968EC" w:rsidP="007968EC">
      <w:pPr>
        <w:jc w:val="both"/>
        <w:rPr>
          <w:rFonts w:ascii="Arial Narrow" w:hAnsi="Arial Narrow" w:cs="Arial"/>
          <w:b/>
          <w:bCs/>
          <w:color w:val="000000" w:themeColor="text1"/>
          <w:lang w:eastAsia="es-ES"/>
        </w:rPr>
      </w:pPr>
    </w:p>
    <w:p w14:paraId="00ACCBCD"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Este Acuerdo para actuar como </w:t>
      </w:r>
      <w:r w:rsidRPr="002C0D19">
        <w:rPr>
          <w:rFonts w:ascii="Arial Narrow" w:hAnsi="Arial Narrow" w:cs="Arial"/>
          <w:b/>
          <w:color w:val="000000" w:themeColor="text1"/>
          <w:lang w:val="es-ES" w:eastAsia="es-ES"/>
        </w:rPr>
        <w:t xml:space="preserve">AGENTE CUSTODIO </w:t>
      </w:r>
      <w:r w:rsidRPr="002C0D19">
        <w:rPr>
          <w:rFonts w:ascii="Arial Narrow" w:hAnsi="Arial Narrow" w:cs="Arial"/>
          <w:color w:val="000000" w:themeColor="text1"/>
          <w:lang w:val="es-ES" w:eastAsia="es-ES"/>
        </w:rPr>
        <w:t xml:space="preserve">por cuenta de los Terceros de los Miembros ante la Cámara de Riesgo Central de Contraparte de Colombia S.A. – CRCC S.A., en adelante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se suscribe por  </w:t>
      </w:r>
      <w:r w:rsidRPr="002C0D19">
        <w:rPr>
          <w:rFonts w:ascii="Arial Narrow" w:hAnsi="Arial Narrow" w:cs="Arial"/>
          <w:b/>
          <w:bCs/>
          <w:color w:val="000000" w:themeColor="text1"/>
          <w:lang w:val="es-ES" w:eastAsia="es-ES"/>
        </w:rPr>
        <w:t xml:space="preserve">_____________________, </w:t>
      </w:r>
      <w:r w:rsidRPr="002C0D19">
        <w:rPr>
          <w:rFonts w:ascii="Arial Narrow" w:hAnsi="Arial Narrow" w:cs="Arial"/>
          <w:bCs/>
          <w:color w:val="000000" w:themeColor="text1"/>
          <w:lang w:val="es-ES" w:eastAsia="es-ES"/>
        </w:rPr>
        <w:t>en adelante</w:t>
      </w:r>
      <w:r w:rsidRPr="002C0D19">
        <w:rPr>
          <w:rFonts w:ascii="Arial Narrow" w:hAnsi="Arial Narrow" w:cs="Arial"/>
          <w:b/>
          <w:bCs/>
          <w:color w:val="000000" w:themeColor="text1"/>
          <w:lang w:val="es-ES" w:eastAsia="es-ES"/>
        </w:rPr>
        <w:t xml:space="preserve"> EL AGENTE CUSTODIO</w:t>
      </w:r>
      <w:r w:rsidRPr="002C0D19">
        <w:rPr>
          <w:rFonts w:ascii="Arial Narrow" w:hAnsi="Arial Narrow" w:cs="Arial"/>
          <w:color w:val="000000" w:themeColor="text1"/>
          <w:lang w:val="es-ES" w:eastAsia="es-ES"/>
        </w:rPr>
        <w:t xml:space="preserve">, y ______________, en adelante </w:t>
      </w:r>
      <w:r w:rsidRPr="002C0D19">
        <w:rPr>
          <w:rFonts w:ascii="Arial Narrow" w:hAnsi="Arial Narrow" w:cs="Arial"/>
          <w:b/>
          <w:bCs/>
          <w:color w:val="000000" w:themeColor="text1"/>
          <w:lang w:val="es-ES" w:eastAsia="es-ES"/>
        </w:rPr>
        <w:t>EL MIEMBRO LIQUIDADOR</w:t>
      </w:r>
      <w:r w:rsidRPr="002C0D19">
        <w:rPr>
          <w:rFonts w:ascii="Arial Narrow" w:hAnsi="Arial Narrow" w:cs="Arial"/>
          <w:color w:val="000000" w:themeColor="text1"/>
          <w:lang w:val="es-ES" w:eastAsia="es-ES"/>
        </w:rPr>
        <w:t>.</w:t>
      </w:r>
    </w:p>
    <w:p w14:paraId="001318D2" w14:textId="77777777" w:rsidR="007968EC" w:rsidRPr="002C0D19" w:rsidRDefault="007968EC" w:rsidP="007968EC">
      <w:pPr>
        <w:jc w:val="both"/>
        <w:rPr>
          <w:rFonts w:ascii="Arial Narrow" w:hAnsi="Arial Narrow" w:cs="Arial"/>
          <w:color w:val="000000" w:themeColor="text1"/>
          <w:lang w:val="es-ES" w:eastAsia="es-ES"/>
        </w:rPr>
      </w:pPr>
    </w:p>
    <w:p w14:paraId="77ABDD3F" w14:textId="77777777" w:rsidR="007968EC" w:rsidRPr="002C0D19" w:rsidRDefault="007968EC" w:rsidP="007968EC">
      <w:pPr>
        <w:jc w:val="center"/>
        <w:rPr>
          <w:rFonts w:ascii="Arial Narrow" w:hAnsi="Arial Narrow" w:cs="Arial"/>
          <w:b/>
          <w:bCs/>
          <w:color w:val="000000" w:themeColor="text1"/>
          <w:lang w:val="es-ES" w:eastAsia="es-ES"/>
        </w:rPr>
      </w:pPr>
      <w:r w:rsidRPr="002C0D19">
        <w:rPr>
          <w:rFonts w:ascii="Arial Narrow" w:hAnsi="Arial Narrow" w:cs="Arial"/>
          <w:b/>
          <w:bCs/>
          <w:color w:val="000000" w:themeColor="text1"/>
          <w:lang w:val="es-ES" w:eastAsia="es-ES"/>
        </w:rPr>
        <w:t xml:space="preserve">TÉRMINOS Y CONDICIONES </w:t>
      </w:r>
    </w:p>
    <w:p w14:paraId="17539EA1" w14:textId="77777777" w:rsidR="007968EC" w:rsidRPr="002C0D19" w:rsidRDefault="007968EC" w:rsidP="007968EC">
      <w:pPr>
        <w:jc w:val="center"/>
        <w:rPr>
          <w:rFonts w:ascii="Arial Narrow" w:hAnsi="Arial Narrow" w:cs="Arial"/>
          <w:b/>
          <w:bCs/>
          <w:color w:val="000000" w:themeColor="text1"/>
          <w:lang w:val="es-ES" w:eastAsia="es-ES"/>
        </w:rPr>
      </w:pPr>
    </w:p>
    <w:p w14:paraId="7DF940B4" w14:textId="77777777" w:rsidR="007968EC" w:rsidRPr="002C0D19" w:rsidRDefault="007968EC" w:rsidP="007968EC">
      <w:pPr>
        <w:jc w:val="both"/>
        <w:rPr>
          <w:rFonts w:ascii="Arial Narrow" w:hAnsi="Arial Narrow" w:cs="Arial"/>
          <w:color w:val="000000" w:themeColor="text1"/>
          <w:u w:val="single"/>
          <w:lang w:val="es-ES" w:eastAsia="es-ES"/>
        </w:rPr>
      </w:pPr>
      <w:r w:rsidRPr="002C0D19">
        <w:rPr>
          <w:rFonts w:ascii="Arial Narrow" w:hAnsi="Arial Narrow" w:cs="Arial"/>
          <w:b/>
          <w:color w:val="000000" w:themeColor="text1"/>
          <w:u w:val="single"/>
          <w:lang w:val="es-ES" w:eastAsia="es-ES"/>
        </w:rPr>
        <w:t>PRIMERA. Objeto.</w:t>
      </w:r>
      <w:r w:rsidRPr="002C0D19">
        <w:rPr>
          <w:rFonts w:ascii="Arial Narrow" w:hAnsi="Arial Narrow" w:cs="Arial"/>
          <w:color w:val="000000" w:themeColor="text1"/>
          <w:lang w:val="es-ES" w:eastAsia="es-ES"/>
        </w:rPr>
        <w:t xml:space="preserve"> En virtud del presente Acuerdo, </w:t>
      </w:r>
      <w:r w:rsidRPr="002C0D19">
        <w:rPr>
          <w:rFonts w:ascii="Arial Narrow" w:hAnsi="Arial Narrow" w:cs="Arial"/>
          <w:b/>
          <w:color w:val="000000" w:themeColor="text1"/>
          <w:lang w:val="es-ES" w:eastAsia="es-ES"/>
        </w:rPr>
        <w:t xml:space="preserve">EL MIEMBRO LIQUIDADOR </w:t>
      </w:r>
      <w:r w:rsidRPr="002C0D19">
        <w:rPr>
          <w:rFonts w:ascii="Arial Narrow" w:hAnsi="Arial Narrow" w:cs="Arial"/>
          <w:color w:val="000000" w:themeColor="text1"/>
          <w:lang w:val="es-ES" w:eastAsia="es-ES"/>
        </w:rPr>
        <w:t>reconoce a</w:t>
      </w:r>
      <w:r w:rsidRPr="002C0D19">
        <w:rPr>
          <w:rFonts w:ascii="Arial Narrow" w:hAnsi="Arial Narrow" w:cs="Arial"/>
          <w:b/>
          <w:color w:val="000000" w:themeColor="text1"/>
          <w:lang w:val="es-ES" w:eastAsia="es-ES"/>
        </w:rPr>
        <w:t xml:space="preserve"> ________________</w:t>
      </w:r>
      <w:r w:rsidRPr="002C0D19">
        <w:rPr>
          <w:rFonts w:ascii="Arial Narrow" w:hAnsi="Arial Narrow" w:cs="Arial"/>
          <w:color w:val="000000" w:themeColor="text1"/>
          <w:lang w:val="es-ES" w:eastAsia="es-ES"/>
        </w:rPr>
        <w:t xml:space="preserve"> como </w:t>
      </w:r>
      <w:r w:rsidRPr="002C0D19">
        <w:rPr>
          <w:rFonts w:ascii="Arial Narrow" w:hAnsi="Arial Narrow" w:cs="Arial"/>
          <w:b/>
          <w:color w:val="000000" w:themeColor="text1"/>
          <w:lang w:val="es-ES" w:eastAsia="es-ES"/>
        </w:rPr>
        <w:t xml:space="preserve">AGENTE CUSTODIO </w:t>
      </w:r>
      <w:r w:rsidRPr="002C0D19">
        <w:rPr>
          <w:rFonts w:ascii="Arial Narrow" w:hAnsi="Arial Narrow" w:cs="Arial"/>
          <w:color w:val="000000" w:themeColor="text1"/>
          <w:lang w:val="es-ES" w:eastAsia="es-ES"/>
        </w:rPr>
        <w:t>de los</w:t>
      </w:r>
      <w:r w:rsidRPr="002C0D19">
        <w:rPr>
          <w:rFonts w:ascii="Arial Narrow" w:hAnsi="Arial Narrow" w:cs="Arial"/>
          <w:b/>
          <w:color w:val="000000" w:themeColor="text1"/>
          <w:lang w:val="es-ES" w:eastAsia="es-ES"/>
        </w:rPr>
        <w:t xml:space="preserve"> TERCEROS </w:t>
      </w:r>
      <w:r w:rsidRPr="002C0D19">
        <w:rPr>
          <w:rFonts w:ascii="Arial Narrow" w:hAnsi="Arial Narrow" w:cs="Arial"/>
          <w:color w:val="000000" w:themeColor="text1"/>
          <w:lang w:val="es-ES" w:eastAsia="es-ES"/>
        </w:rPr>
        <w:t>del</w:t>
      </w:r>
      <w:r w:rsidRPr="002C0D19">
        <w:rPr>
          <w:rFonts w:ascii="Arial Narrow" w:hAnsi="Arial Narrow" w:cs="Arial"/>
          <w:b/>
          <w:color w:val="000000" w:themeColor="text1"/>
          <w:lang w:val="es-ES" w:eastAsia="es-ES"/>
        </w:rPr>
        <w:t xml:space="preserve"> MIEMBRO LIQUIDADOR, </w:t>
      </w:r>
      <w:r w:rsidRPr="002C0D19">
        <w:rPr>
          <w:rFonts w:ascii="Arial Narrow" w:hAnsi="Arial Narrow" w:cs="Arial"/>
          <w:color w:val="000000" w:themeColor="text1"/>
          <w:lang w:val="es-ES" w:eastAsia="es-ES"/>
        </w:rPr>
        <w:t>en virtud de lo cual el</w:t>
      </w:r>
      <w:r w:rsidRPr="002C0D19">
        <w:rPr>
          <w:rFonts w:ascii="Arial Narrow" w:hAnsi="Arial Narrow" w:cs="Arial"/>
          <w:b/>
          <w:color w:val="000000" w:themeColor="text1"/>
          <w:lang w:val="es-ES" w:eastAsia="es-ES"/>
        </w:rPr>
        <w:t xml:space="preserve"> AGENTE CUSTODIO </w:t>
      </w:r>
      <w:r w:rsidRPr="002C0D19">
        <w:rPr>
          <w:rFonts w:ascii="Arial Narrow" w:hAnsi="Arial Narrow" w:cs="Arial"/>
          <w:color w:val="000000" w:themeColor="text1"/>
          <w:lang w:val="es-ES" w:eastAsia="es-ES"/>
        </w:rPr>
        <w:t xml:space="preserve">recibirá y custodiará valores por cuenta de los </w:t>
      </w:r>
      <w:r w:rsidRPr="002C0D19">
        <w:rPr>
          <w:rFonts w:ascii="Arial Narrow" w:hAnsi="Arial Narrow" w:cs="Arial"/>
          <w:b/>
          <w:color w:val="000000" w:themeColor="text1"/>
          <w:lang w:val="es-ES" w:eastAsia="es-ES"/>
        </w:rPr>
        <w:t>TERCEROS</w:t>
      </w:r>
      <w:r w:rsidRPr="002C0D19">
        <w:rPr>
          <w:rFonts w:ascii="Arial Narrow" w:hAnsi="Arial Narrow" w:cs="Arial"/>
          <w:color w:val="000000" w:themeColor="text1"/>
          <w:lang w:val="es-ES" w:eastAsia="es-ES"/>
        </w:rPr>
        <w:t xml:space="preserve"> del</w:t>
      </w:r>
      <w:r w:rsidRPr="002C0D19">
        <w:rPr>
          <w:rFonts w:ascii="Arial Narrow" w:hAnsi="Arial Narrow" w:cs="Arial"/>
          <w:b/>
          <w:color w:val="000000" w:themeColor="text1"/>
          <w:lang w:val="es-ES" w:eastAsia="es-ES"/>
        </w:rPr>
        <w:t xml:space="preserve"> MIEMBRO</w:t>
      </w:r>
      <w:r w:rsidRPr="002C0D19">
        <w:rPr>
          <w:rFonts w:ascii="Arial Narrow" w:hAnsi="Arial Narrow" w:cs="Arial"/>
          <w:color w:val="000000" w:themeColor="text1"/>
          <w:lang w:val="es-ES" w:eastAsia="es-ES"/>
        </w:rPr>
        <w:t xml:space="preserve">, y </w:t>
      </w:r>
      <w:r w:rsidRPr="002C0D19">
        <w:rPr>
          <w:rFonts w:ascii="Arial Narrow" w:hAnsi="Arial Narrow" w:cs="Arial"/>
          <w:color w:val="000000" w:themeColor="text1"/>
          <w:lang w:eastAsia="es-ES"/>
        </w:rPr>
        <w:t xml:space="preserve">realizará </w:t>
      </w:r>
      <w:r w:rsidRPr="002C0D19">
        <w:rPr>
          <w:rFonts w:ascii="Arial Narrow" w:hAnsi="Arial Narrow" w:cs="Arial"/>
          <w:color w:val="000000" w:themeColor="text1"/>
          <w:lang w:val="es-ES" w:eastAsia="es-ES"/>
        </w:rPr>
        <w:t xml:space="preserve">la entrega de valores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eastAsia="es-ES"/>
        </w:rPr>
        <w:t xml:space="preserve"> </w:t>
      </w:r>
      <w:r w:rsidRPr="002C0D19">
        <w:rPr>
          <w:rFonts w:ascii="Arial Narrow" w:hAnsi="Arial Narrow" w:cs="Arial"/>
          <w:color w:val="000000" w:themeColor="text1"/>
          <w:lang w:val="es-ES" w:eastAsia="es-ES"/>
        </w:rPr>
        <w:t xml:space="preserve">para el cumplimiento </w:t>
      </w:r>
      <w:r w:rsidRPr="002C0D19">
        <w:rPr>
          <w:rFonts w:ascii="Arial Narrow" w:hAnsi="Arial Narrow" w:cs="Arial"/>
          <w:color w:val="000000" w:themeColor="text1"/>
          <w:lang w:eastAsia="es-ES"/>
        </w:rPr>
        <w:t xml:space="preserve">de las obligaciones a cargo de los </w:t>
      </w:r>
      <w:r w:rsidRPr="002C0D19">
        <w:rPr>
          <w:rFonts w:ascii="Arial Narrow" w:hAnsi="Arial Narrow" w:cs="Arial"/>
          <w:b/>
          <w:color w:val="000000" w:themeColor="text1"/>
          <w:lang w:eastAsia="es-ES"/>
        </w:rPr>
        <w:t>TERCEROS</w:t>
      </w:r>
      <w:r w:rsidRPr="002C0D19">
        <w:rPr>
          <w:rFonts w:ascii="Arial Narrow" w:hAnsi="Arial Narrow" w:cs="Arial"/>
          <w:color w:val="000000" w:themeColor="text1"/>
          <w:lang w:eastAsia="es-ES"/>
        </w:rPr>
        <w:t xml:space="preserve"> del</w:t>
      </w:r>
      <w:r w:rsidRPr="002C0D19">
        <w:rPr>
          <w:rFonts w:ascii="Arial Narrow" w:hAnsi="Arial Narrow" w:cs="Arial"/>
          <w:b/>
          <w:color w:val="000000" w:themeColor="text1"/>
          <w:lang w:val="es-ES" w:eastAsia="es-ES"/>
        </w:rPr>
        <w:t xml:space="preserve"> MIEMBRO</w:t>
      </w:r>
      <w:r w:rsidRPr="002C0D19">
        <w:rPr>
          <w:rFonts w:ascii="Arial Narrow" w:hAnsi="Arial Narrow" w:cs="Arial"/>
          <w:color w:val="000000" w:themeColor="text1"/>
          <w:lang w:val="es-ES" w:eastAsia="es-ES"/>
        </w:rPr>
        <w:t>,</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 xml:space="preserve">que de acuerdo con el Decreto 2555 de 2010, las nomas que lo modifiquen, adicionen o sustituyan, deban contratar la actividad de custodia, </w:t>
      </w:r>
      <w:r w:rsidRPr="002C0D19">
        <w:rPr>
          <w:rFonts w:ascii="Arial Narrow" w:hAnsi="Arial Narrow" w:cs="Arial"/>
          <w:color w:val="000000" w:themeColor="text1"/>
          <w:lang w:eastAsia="es-ES"/>
        </w:rPr>
        <w:t>derivadas de la Compensación y Liquidación de operaciones,</w:t>
      </w:r>
      <w:r w:rsidRPr="002C0D19">
        <w:rPr>
          <w:rFonts w:ascii="Arial Narrow" w:hAnsi="Arial Narrow" w:cs="Arial"/>
          <w:color w:val="000000" w:themeColor="text1"/>
          <w:lang w:val="es-ES" w:eastAsia="es-ES"/>
        </w:rPr>
        <w:t xml:space="preserve"> todo ello de conformidad con los términos y condiciones establecidos en el Reglamento de Funcionamiento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en adelante el “Reglamento”.</w:t>
      </w:r>
      <w:r w:rsidRPr="002C0D19">
        <w:rPr>
          <w:rFonts w:ascii="Arial Narrow" w:hAnsi="Arial Narrow" w:cs="Arial"/>
          <w:color w:val="000000" w:themeColor="text1"/>
          <w:u w:val="single"/>
          <w:lang w:val="es-ES" w:eastAsia="es-ES"/>
        </w:rPr>
        <w:t xml:space="preserve"> </w:t>
      </w:r>
    </w:p>
    <w:p w14:paraId="5E343EC3" w14:textId="77777777" w:rsidR="007968EC" w:rsidRPr="002C0D19" w:rsidRDefault="007968EC" w:rsidP="007968EC">
      <w:pPr>
        <w:jc w:val="both"/>
        <w:rPr>
          <w:rFonts w:ascii="Arial Narrow" w:hAnsi="Arial Narrow" w:cs="Arial"/>
          <w:bCs/>
          <w:color w:val="000000" w:themeColor="text1"/>
          <w:lang w:eastAsia="es-ES"/>
        </w:rPr>
      </w:pPr>
    </w:p>
    <w:p w14:paraId="1558A4F8" w14:textId="77777777" w:rsidR="007968EC" w:rsidRPr="002C0D19" w:rsidRDefault="007968EC" w:rsidP="007968EC">
      <w:pPr>
        <w:jc w:val="both"/>
        <w:rPr>
          <w:rFonts w:ascii="Arial Narrow" w:hAnsi="Arial Narrow" w:cs="Arial"/>
          <w:b/>
          <w:bCs/>
          <w:iCs/>
          <w:color w:val="000000" w:themeColor="text1"/>
          <w:lang w:val="es-ES" w:eastAsia="es-ES"/>
        </w:rPr>
      </w:pPr>
      <w:r w:rsidRPr="002C0D19">
        <w:rPr>
          <w:rFonts w:ascii="Arial Narrow" w:hAnsi="Arial Narrow" w:cs="Arial"/>
          <w:bCs/>
          <w:color w:val="000000" w:themeColor="text1"/>
          <w:lang w:eastAsia="es-ES"/>
        </w:rPr>
        <w:t xml:space="preserve">Las cuentas en los depósitos centralizados de valores a través de las cuales desarrollará sus funciones </w:t>
      </w:r>
      <w:r w:rsidRPr="002C0D19">
        <w:rPr>
          <w:rFonts w:ascii="Arial Narrow" w:hAnsi="Arial Narrow" w:cs="Arial"/>
          <w:b/>
          <w:bCs/>
          <w:color w:val="000000" w:themeColor="text1"/>
          <w:lang w:val="es-ES" w:eastAsia="es-ES"/>
        </w:rPr>
        <w:t xml:space="preserve">EL AGENTE CUSTODIO </w:t>
      </w:r>
      <w:r w:rsidRPr="002C0D19">
        <w:rPr>
          <w:rFonts w:ascii="Arial Narrow" w:hAnsi="Arial Narrow" w:cs="Arial"/>
          <w:bCs/>
          <w:color w:val="000000" w:themeColor="text1"/>
          <w:lang w:eastAsia="es-ES"/>
        </w:rPr>
        <w:t>son las siguientes:</w:t>
      </w:r>
    </w:p>
    <w:p w14:paraId="04BD87AD" w14:textId="77777777" w:rsidR="007968EC" w:rsidRPr="002C0D19" w:rsidRDefault="007968EC" w:rsidP="007968EC">
      <w:pPr>
        <w:jc w:val="both"/>
        <w:rPr>
          <w:rFonts w:ascii="Arial Narrow" w:hAnsi="Arial Narrow" w:cs="Arial"/>
          <w:b/>
          <w:bCs/>
          <w:iCs/>
          <w:color w:val="000000" w:themeColor="text1"/>
          <w:lang w:val="es-ES" w:eastAsia="es-ES"/>
        </w:rPr>
      </w:pPr>
      <w:r w:rsidRPr="002C0D19">
        <w:rPr>
          <w:rFonts w:ascii="Arial Narrow" w:hAnsi="Arial Narrow" w:cs="Arial"/>
          <w:b/>
          <w:bCs/>
          <w:iCs/>
          <w:color w:val="000000" w:themeColor="text1"/>
          <w:lang w:val="es-ES" w:eastAsia="es-ES"/>
        </w:rPr>
        <w:t>_______________________________________________________________________________________________________________________________________________________________________________________________________________</w:t>
      </w:r>
    </w:p>
    <w:p w14:paraId="760AB98F" w14:textId="77777777" w:rsidR="007968EC" w:rsidRPr="002C0D19" w:rsidRDefault="007968EC" w:rsidP="007968EC">
      <w:pPr>
        <w:jc w:val="both"/>
        <w:rPr>
          <w:rFonts w:ascii="Arial Narrow" w:hAnsi="Arial Narrow" w:cs="Arial"/>
          <w:b/>
          <w:color w:val="000000" w:themeColor="text1"/>
          <w:lang w:val="es-ES" w:eastAsia="es-ES"/>
        </w:rPr>
      </w:pPr>
    </w:p>
    <w:p w14:paraId="147D8841" w14:textId="77777777" w:rsidR="007968EC" w:rsidRPr="002C0D19" w:rsidRDefault="007968EC" w:rsidP="007968EC">
      <w:pPr>
        <w:jc w:val="both"/>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PARÁGRAFO.</w:t>
      </w:r>
      <w:r w:rsidRPr="002C0D19">
        <w:rPr>
          <w:rFonts w:ascii="Arial Narrow" w:hAnsi="Arial Narrow" w:cs="Arial"/>
          <w:color w:val="000000" w:themeColor="text1"/>
          <w:lang w:val="es-ES" w:eastAsia="es-ES"/>
        </w:rPr>
        <w:t xml:space="preserve"> Los términos que se utilizan en este Acuerdo, cuya primera letra sea una mayúscula, y que no se encuentren expresamente definidos en este Acuerdo, tendrán el significado que se le atribuye en el Reglamento.</w:t>
      </w:r>
    </w:p>
    <w:p w14:paraId="2EE0EF45" w14:textId="77777777" w:rsidR="007968EC" w:rsidRPr="002C0D19" w:rsidRDefault="007968EC" w:rsidP="007968EC">
      <w:pPr>
        <w:jc w:val="both"/>
        <w:rPr>
          <w:rFonts w:ascii="Arial Narrow" w:hAnsi="Arial Narrow" w:cs="Arial"/>
          <w:b/>
          <w:color w:val="000000" w:themeColor="text1"/>
          <w:u w:val="single"/>
          <w:lang w:val="es-ES" w:eastAsia="es-ES"/>
        </w:rPr>
      </w:pPr>
    </w:p>
    <w:p w14:paraId="0647F2C0" w14:textId="77777777" w:rsidR="007968EC" w:rsidRPr="002C0D19" w:rsidRDefault="007968EC" w:rsidP="007968EC">
      <w:pPr>
        <w:jc w:val="both"/>
        <w:rPr>
          <w:rFonts w:ascii="Arial Narrow" w:hAnsi="Arial Narrow" w:cs="Arial"/>
          <w:b/>
          <w:color w:val="000000" w:themeColor="text1"/>
          <w:lang w:val="es-ES" w:eastAsia="es-ES"/>
        </w:rPr>
      </w:pPr>
      <w:r w:rsidRPr="002C0D19">
        <w:rPr>
          <w:rFonts w:ascii="Arial Narrow" w:hAnsi="Arial Narrow" w:cs="Arial"/>
          <w:b/>
          <w:color w:val="000000" w:themeColor="text1"/>
          <w:u w:val="single"/>
          <w:lang w:val="es-ES" w:eastAsia="es-ES"/>
        </w:rPr>
        <w:t>SEGUNDA. Declaraciones, Manifestaciones y Autorizaciones</w:t>
      </w:r>
      <w:r w:rsidRPr="002C0D19">
        <w:rPr>
          <w:rFonts w:ascii="Arial Narrow" w:hAnsi="Arial Narrow" w:cs="Arial"/>
          <w:b/>
          <w:color w:val="000000" w:themeColor="text1"/>
          <w:lang w:val="es-ES" w:eastAsia="es-ES"/>
        </w:rPr>
        <w:t>.</w:t>
      </w:r>
      <w:r w:rsidRPr="002C0D19">
        <w:rPr>
          <w:rFonts w:ascii="Arial Narrow" w:hAnsi="Arial Narrow" w:cs="Arial"/>
          <w:color w:val="000000" w:themeColor="text1"/>
          <w:lang w:val="es-ES" w:eastAsia="es-ES"/>
        </w:rPr>
        <w:t xml:space="preserve"> Mediante la suscripción del presente Acuerdo, </w:t>
      </w:r>
      <w:r w:rsidRPr="002C0D19">
        <w:rPr>
          <w:rFonts w:ascii="Arial Narrow" w:hAnsi="Arial Narrow" w:cs="Arial"/>
          <w:b/>
          <w:color w:val="000000" w:themeColor="text1"/>
          <w:lang w:val="es-ES" w:eastAsia="es-ES"/>
        </w:rPr>
        <w:t>EL MIEMBRO LIQUIDADOR:</w:t>
      </w:r>
    </w:p>
    <w:p w14:paraId="11386A92" w14:textId="77777777" w:rsidR="007968EC" w:rsidRPr="002C0D19" w:rsidRDefault="007968EC" w:rsidP="007968EC">
      <w:pPr>
        <w:jc w:val="both"/>
        <w:rPr>
          <w:rFonts w:ascii="Arial Narrow" w:hAnsi="Arial Narrow" w:cs="Arial"/>
          <w:color w:val="000000" w:themeColor="text1"/>
          <w:lang w:val="es-ES" w:eastAsia="es-ES"/>
        </w:rPr>
      </w:pPr>
    </w:p>
    <w:p w14:paraId="3C5D2D12" w14:textId="77777777" w:rsidR="007968EC" w:rsidRPr="002C0D19" w:rsidRDefault="007968EC" w:rsidP="00DA7472">
      <w:pPr>
        <w:numPr>
          <w:ilvl w:val="0"/>
          <w:numId w:val="126"/>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Declara expresamente conocer y aceptar en su integridad el Reglamento, las Circulares y los Instructivos Operativos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los cuales se consideran parte integral de la presente Acuerdo. </w:t>
      </w:r>
    </w:p>
    <w:p w14:paraId="5D96D0B2" w14:textId="77777777" w:rsidR="007968EC" w:rsidRPr="002C0D19" w:rsidRDefault="007968EC" w:rsidP="00DA7472">
      <w:pPr>
        <w:numPr>
          <w:ilvl w:val="0"/>
          <w:numId w:val="126"/>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Declara conocer la reglamentación de las bolsas, sistemas de negociación y registro, mercado mostrador y Mecanismos de Contratación en donde se transen los Activos Compensados y Liquidados a través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w:t>
      </w:r>
    </w:p>
    <w:p w14:paraId="7DD12F9A" w14:textId="77777777" w:rsidR="007968EC" w:rsidRPr="002C0D19" w:rsidRDefault="007968EC" w:rsidP="00DA7472">
      <w:pPr>
        <w:numPr>
          <w:ilvl w:val="0"/>
          <w:numId w:val="126"/>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Manifiesta y acepta que en lo no previsto expresamente en el presente Acuerdo, se aplicará lo dispuesto en el Reglamento. </w:t>
      </w:r>
    </w:p>
    <w:p w14:paraId="5D1C1936" w14:textId="77777777" w:rsidR="007968EC" w:rsidRPr="002C0D19" w:rsidRDefault="007968EC" w:rsidP="00DA7472">
      <w:pPr>
        <w:numPr>
          <w:ilvl w:val="0"/>
          <w:numId w:val="126"/>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Manifiesta que cumple con las condiciones y requisitos establecidos en el Reglamento para ser Miembro Liquidador</w:t>
      </w:r>
      <w:r w:rsidRPr="002C0D19">
        <w:rPr>
          <w:rFonts w:ascii="Arial Narrow" w:hAnsi="Arial Narrow" w:cs="Arial"/>
          <w:b/>
          <w:color w:val="000000" w:themeColor="text1"/>
          <w:lang w:val="es-ES" w:eastAsia="es-ES"/>
        </w:rPr>
        <w:t xml:space="preserve">. </w:t>
      </w:r>
    </w:p>
    <w:p w14:paraId="1A00069C" w14:textId="77777777" w:rsidR="007968EC" w:rsidRPr="002C0D19" w:rsidRDefault="007968EC" w:rsidP="00DA7472">
      <w:pPr>
        <w:numPr>
          <w:ilvl w:val="0"/>
          <w:numId w:val="126"/>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Declara que los derechos y obligaciones derivados de las</w:t>
      </w:r>
      <w:r w:rsidRPr="002C0D19">
        <w:rPr>
          <w:rFonts w:ascii="Arial Narrow" w:hAnsi="Arial Narrow" w:cs="Arial"/>
          <w:color w:val="000000" w:themeColor="text1"/>
          <w:lang w:eastAsia="es-ES"/>
        </w:rPr>
        <w:t xml:space="preserve"> Operaciones Aceptadas por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w:t>
      </w:r>
      <w:r w:rsidRPr="002C0D19">
        <w:rPr>
          <w:rFonts w:ascii="Arial Narrow" w:hAnsi="Arial Narrow" w:cs="Arial"/>
          <w:color w:val="000000" w:themeColor="text1"/>
          <w:lang w:val="es-ES" w:eastAsia="es-ES"/>
        </w:rPr>
        <w:t xml:space="preserve">se entenderán automáticamente novados, con ocasión de la interposición de </w:t>
      </w:r>
      <w:r w:rsidRPr="002C0D19">
        <w:rPr>
          <w:rFonts w:ascii="Arial Narrow" w:hAnsi="Arial Narrow" w:cs="Arial"/>
          <w:b/>
          <w:color w:val="000000" w:themeColor="text1"/>
          <w:lang w:val="es-ES" w:eastAsia="es-ES"/>
        </w:rPr>
        <w:t>LA</w:t>
      </w:r>
      <w:r w:rsidRPr="002C0D19">
        <w:rPr>
          <w:rFonts w:ascii="Arial Narrow" w:hAnsi="Arial Narrow" w:cs="Arial"/>
          <w:color w:val="000000" w:themeColor="text1"/>
          <w:lang w:val="es-ES" w:eastAsia="es-ES"/>
        </w:rPr>
        <w:t xml:space="preserve"> </w:t>
      </w:r>
      <w:r w:rsidRPr="002C0D19">
        <w:rPr>
          <w:rFonts w:ascii="Arial Narrow" w:hAnsi="Arial Narrow" w:cs="Arial"/>
          <w:b/>
          <w:color w:val="000000" w:themeColor="text1"/>
          <w:lang w:val="es-ES" w:eastAsia="es-ES"/>
        </w:rPr>
        <w:t>CRCC</w:t>
      </w:r>
      <w:r w:rsidRPr="002C0D19">
        <w:rPr>
          <w:rFonts w:ascii="Arial Narrow" w:hAnsi="Arial Narrow" w:cs="Arial"/>
          <w:color w:val="000000" w:themeColor="text1"/>
          <w:lang w:val="es-ES" w:eastAsia="es-ES"/>
        </w:rPr>
        <w:t xml:space="preserve"> como Contraparte, surgiendo nuevos derechos y obligaciones de y frente a ésta y extinguiéndose los que hasta ese momento existieran entre quienes hubieran celebrado la operación en su origen. </w:t>
      </w:r>
    </w:p>
    <w:p w14:paraId="0E0A47EC" w14:textId="77777777" w:rsidR="007968EC" w:rsidRPr="002C0D19" w:rsidRDefault="007968EC" w:rsidP="00DA7472">
      <w:pPr>
        <w:numPr>
          <w:ilvl w:val="0"/>
          <w:numId w:val="126"/>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Declara que las Garantías constituidas y mantenidas, con los ajustes procedentes, a favor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bien sea por cuenta de </w:t>
      </w:r>
      <w:r w:rsidRPr="002C0D19">
        <w:rPr>
          <w:rFonts w:ascii="Arial Narrow" w:hAnsi="Arial Narrow" w:cs="Arial"/>
          <w:b/>
          <w:color w:val="000000" w:themeColor="text1"/>
          <w:lang w:val="es-ES" w:eastAsia="es-ES"/>
        </w:rPr>
        <w:t>EL MIEMBRO LIQUIDADOR</w:t>
      </w:r>
      <w:r w:rsidRPr="002C0D19">
        <w:rPr>
          <w:rFonts w:ascii="Arial Narrow" w:hAnsi="Arial Narrow" w:cs="Arial"/>
          <w:color w:val="000000" w:themeColor="text1"/>
          <w:lang w:val="es-ES" w:eastAsia="es-ES"/>
        </w:rPr>
        <w:t xml:space="preserve">, por cuenta de sus Terceros o, si es el caso, por sus Miembros no Liquidadores o los Terceros de estos últimos, no se verán afectadas por la novación antes referida, se mantendrán vigentes y conviene en su reserva a favor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w:t>
      </w:r>
    </w:p>
    <w:p w14:paraId="3B75D385" w14:textId="77777777" w:rsidR="007968EC" w:rsidRPr="002C0D19" w:rsidRDefault="007968EC" w:rsidP="00DA7472">
      <w:pPr>
        <w:numPr>
          <w:ilvl w:val="0"/>
          <w:numId w:val="126"/>
        </w:numPr>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Manifiesta que acepta expresamente el procedimiento y las consecuencias derivadas del Incumplimiento, en los términos establecidos en el Reglamento, incluidas las medidas que correspondan, así como la ejecución de Garantías en todos los Segmentos en que participe, que se contemplen en el Reglamento y en las Circulares e Instructivos Operativos.</w:t>
      </w:r>
    </w:p>
    <w:p w14:paraId="3240644B" w14:textId="77777777" w:rsidR="007968EC" w:rsidRPr="002C0D19" w:rsidRDefault="007968EC" w:rsidP="00DA7472">
      <w:pPr>
        <w:numPr>
          <w:ilvl w:val="0"/>
          <w:numId w:val="126"/>
        </w:numPr>
        <w:jc w:val="both"/>
        <w:rPr>
          <w:rFonts w:ascii="Arial Narrow" w:eastAsia="Calibri" w:hAnsi="Arial Narrow"/>
          <w:b/>
          <w:color w:val="000000" w:themeColor="text1"/>
        </w:rPr>
      </w:pPr>
      <w:r w:rsidRPr="002C0D19">
        <w:rPr>
          <w:rFonts w:ascii="Arial Narrow" w:eastAsia="Calibri" w:hAnsi="Arial Narrow"/>
          <w:color w:val="000000" w:themeColor="text1"/>
        </w:rPr>
        <w:t xml:space="preserve">Declara y conoce que </w:t>
      </w:r>
      <w:r w:rsidRPr="002C0D19">
        <w:rPr>
          <w:rFonts w:ascii="Arial Narrow" w:eastAsia="Calibri" w:hAnsi="Arial Narrow"/>
          <w:b/>
          <w:color w:val="000000" w:themeColor="text1"/>
        </w:rPr>
        <w:t>LA CRCC</w:t>
      </w:r>
      <w:r w:rsidRPr="002C0D19">
        <w:rPr>
          <w:rFonts w:ascii="Arial Narrow" w:eastAsia="Calibri" w:hAnsi="Arial Narrow"/>
          <w:color w:val="000000" w:themeColor="text1"/>
        </w:rPr>
        <w:t xml:space="preserve"> puede debitar o acreditar automáticamente las cuentas de depósito de valores de las que es titular </w:t>
      </w:r>
      <w:r w:rsidRPr="002C0D19">
        <w:rPr>
          <w:rFonts w:ascii="Arial Narrow" w:eastAsia="Calibri" w:hAnsi="Arial Narrow"/>
          <w:b/>
          <w:color w:val="000000" w:themeColor="text1"/>
        </w:rPr>
        <w:t>EL AGENTE CUSTODIO</w:t>
      </w:r>
      <w:r w:rsidRPr="002C0D19">
        <w:rPr>
          <w:rFonts w:ascii="Arial Narrow" w:eastAsia="Calibri" w:hAnsi="Arial Narrow"/>
          <w:color w:val="000000" w:themeColor="text1"/>
        </w:rPr>
        <w:t xml:space="preserve"> ante los depósitos centralizados de valores, sin perjuicio de sus responsabilidades como </w:t>
      </w:r>
      <w:r w:rsidRPr="002C0D19">
        <w:rPr>
          <w:rFonts w:ascii="Arial Narrow" w:eastAsia="Calibri" w:hAnsi="Arial Narrow"/>
          <w:b/>
          <w:color w:val="000000" w:themeColor="text1"/>
        </w:rPr>
        <w:t>MIEMBRO</w:t>
      </w:r>
      <w:r w:rsidRPr="002C0D19">
        <w:rPr>
          <w:rFonts w:ascii="Arial Narrow" w:eastAsia="Calibri" w:hAnsi="Arial Narrow"/>
          <w:color w:val="000000" w:themeColor="text1"/>
        </w:rPr>
        <w:t xml:space="preserve">. </w:t>
      </w:r>
    </w:p>
    <w:p w14:paraId="6B5455F4" w14:textId="77777777" w:rsidR="007968EC" w:rsidRPr="002C0D19" w:rsidRDefault="007968EC" w:rsidP="00DA7472">
      <w:pPr>
        <w:numPr>
          <w:ilvl w:val="0"/>
          <w:numId w:val="126"/>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Autoriza a </w:t>
      </w:r>
      <w:r w:rsidRPr="002C0D19">
        <w:rPr>
          <w:rFonts w:ascii="Arial Narrow" w:hAnsi="Arial Narrow" w:cs="Arial"/>
          <w:b/>
          <w:color w:val="000000" w:themeColor="text1"/>
          <w:lang w:val="es-ES" w:eastAsia="es-ES"/>
        </w:rPr>
        <w:t xml:space="preserve">EL AGENTE CUSTODIO </w:t>
      </w:r>
      <w:r w:rsidRPr="002C0D19">
        <w:rPr>
          <w:rFonts w:ascii="Arial Narrow" w:hAnsi="Arial Narrow" w:cs="Arial"/>
          <w:color w:val="000000" w:themeColor="text1"/>
          <w:lang w:val="es-ES" w:eastAsia="es-ES"/>
        </w:rPr>
        <w:t>a transmitir cualquier información sobre los Terceros del</w:t>
      </w:r>
      <w:r w:rsidRPr="002C0D19">
        <w:rPr>
          <w:rFonts w:ascii="Arial Narrow" w:hAnsi="Arial Narrow" w:cs="Arial"/>
          <w:b/>
          <w:color w:val="000000" w:themeColor="text1"/>
          <w:lang w:val="es-ES" w:eastAsia="es-ES"/>
        </w:rPr>
        <w:t xml:space="preserve"> MIEMBRO, </w:t>
      </w:r>
      <w:r w:rsidRPr="002C0D19">
        <w:rPr>
          <w:rFonts w:ascii="Arial Narrow" w:hAnsi="Arial Narrow" w:cs="Arial"/>
          <w:color w:val="000000" w:themeColor="text1"/>
          <w:lang w:val="es-ES" w:eastAsia="es-ES"/>
        </w:rPr>
        <w:t>que aquél tenga o reciba en virtud de su función como Agente Custodio,</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 xml:space="preserve">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o a</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 xml:space="preserve">las autoridades u organismos competentes que se lo soliciten. </w:t>
      </w:r>
    </w:p>
    <w:p w14:paraId="1D726123" w14:textId="77777777" w:rsidR="007968EC" w:rsidRPr="002C0D19" w:rsidRDefault="007968EC" w:rsidP="00DA7472">
      <w:pPr>
        <w:numPr>
          <w:ilvl w:val="0"/>
          <w:numId w:val="126"/>
        </w:numPr>
        <w:jc w:val="both"/>
        <w:rPr>
          <w:rFonts w:ascii="Arial Narrow" w:hAnsi="Arial Narrow" w:cs="Arial"/>
          <w:b/>
          <w:color w:val="000000" w:themeColor="text1"/>
          <w:u w:val="single"/>
          <w:lang w:val="es-ES" w:eastAsia="es-ES"/>
        </w:rPr>
      </w:pPr>
      <w:r w:rsidRPr="002C0D19">
        <w:rPr>
          <w:rFonts w:ascii="Arial Narrow" w:hAnsi="Arial Narrow" w:cs="Arial"/>
          <w:color w:val="000000" w:themeColor="text1"/>
          <w:lang w:val="es-ES" w:eastAsia="es-ES"/>
        </w:rPr>
        <w:t xml:space="preserve">Declara que conoce y acepta que los valores entregados </w:t>
      </w:r>
      <w:r w:rsidRPr="002C0D19">
        <w:rPr>
          <w:rFonts w:ascii="Arial Narrow" w:eastAsia="Calibri" w:hAnsi="Arial Narrow"/>
          <w:color w:val="000000" w:themeColor="text1"/>
        </w:rPr>
        <w:t xml:space="preserve">por los Terceros del </w:t>
      </w:r>
      <w:r w:rsidRPr="002C0D19">
        <w:rPr>
          <w:rFonts w:ascii="Arial Narrow" w:eastAsia="Calibri" w:hAnsi="Arial Narrow"/>
          <w:b/>
          <w:color w:val="000000" w:themeColor="text1"/>
        </w:rPr>
        <w:t>MIEMBRO</w:t>
      </w:r>
      <w:r w:rsidRPr="002C0D19">
        <w:rPr>
          <w:rFonts w:ascii="Arial Narrow" w:eastAsia="Calibri" w:hAnsi="Arial Narrow"/>
          <w:color w:val="000000" w:themeColor="text1"/>
        </w:rPr>
        <w:t xml:space="preserve"> </w:t>
      </w:r>
      <w:r w:rsidRPr="002C0D19">
        <w:rPr>
          <w:rFonts w:ascii="Arial Narrow" w:hAnsi="Arial Narrow" w:cs="Arial"/>
          <w:color w:val="000000" w:themeColor="text1"/>
          <w:lang w:val="es-ES" w:eastAsia="es-ES"/>
        </w:rPr>
        <w:t xml:space="preserve">a </w:t>
      </w:r>
      <w:r w:rsidRPr="002C0D19">
        <w:rPr>
          <w:rFonts w:ascii="Arial Narrow" w:hAnsi="Arial Narrow" w:cs="Arial"/>
          <w:b/>
          <w:color w:val="000000" w:themeColor="text1"/>
          <w:lang w:val="es-ES" w:eastAsia="es-ES"/>
        </w:rPr>
        <w:t xml:space="preserve">EL AGENTE CUSTODIO </w:t>
      </w:r>
      <w:r w:rsidRPr="002C0D19">
        <w:rPr>
          <w:rFonts w:ascii="Arial Narrow" w:hAnsi="Arial Narrow" w:cs="Arial"/>
          <w:color w:val="000000" w:themeColor="text1"/>
          <w:lang w:val="es-ES" w:eastAsia="es-ES"/>
        </w:rPr>
        <w:t>están afectos a la compensación y liquidación en los términos establecidos en el Reglamento.</w:t>
      </w:r>
    </w:p>
    <w:p w14:paraId="480539FB" w14:textId="77777777" w:rsidR="007968EC" w:rsidRPr="002C0D19" w:rsidRDefault="007968EC" w:rsidP="007968EC">
      <w:pPr>
        <w:jc w:val="both"/>
        <w:rPr>
          <w:rFonts w:ascii="Arial Narrow" w:hAnsi="Arial Narrow" w:cs="Arial"/>
          <w:b/>
          <w:color w:val="000000" w:themeColor="text1"/>
          <w:u w:val="single"/>
          <w:lang w:val="es-ES" w:eastAsia="es-ES"/>
        </w:rPr>
      </w:pPr>
    </w:p>
    <w:p w14:paraId="0B8E29DA" w14:textId="77777777" w:rsidR="007968EC" w:rsidRPr="002C0D19" w:rsidRDefault="007968EC" w:rsidP="007968EC">
      <w:pPr>
        <w:jc w:val="both"/>
        <w:rPr>
          <w:rFonts w:ascii="Arial Narrow" w:hAnsi="Arial Narrow" w:cs="Arial"/>
          <w:b/>
          <w:color w:val="000000" w:themeColor="text1"/>
          <w:u w:val="single"/>
          <w:lang w:val="es-ES" w:eastAsia="es-ES"/>
        </w:rPr>
      </w:pPr>
      <w:r w:rsidRPr="002C0D19">
        <w:rPr>
          <w:rFonts w:ascii="Arial Narrow" w:hAnsi="Arial Narrow" w:cs="Arial"/>
          <w:b/>
          <w:color w:val="000000" w:themeColor="text1"/>
          <w:lang w:val="es-ES" w:eastAsia="es-ES"/>
        </w:rPr>
        <w:t>Parágrafo.</w:t>
      </w:r>
      <w:r w:rsidRPr="002C0D19">
        <w:rPr>
          <w:rFonts w:ascii="Arial Narrow" w:hAnsi="Arial Narrow" w:cs="Arial"/>
          <w:color w:val="000000" w:themeColor="text1"/>
          <w:lang w:val="es-ES" w:eastAsia="es-ES"/>
        </w:rPr>
        <w:t xml:space="preserve"> Cualquier reforma que se realice al Reglamento o a las Circulares de la Cámara que implique una modificación a los términos de los acuerdos o Convenios de vinculación, Oferta de Servicios Aceptada mediante Orden de Compra de Servicios que suscriban los Miembros y estos con sus Terceros se presume conocida y aceptada por las partes a partir de su publicación y entrada en vigencia y no requerirá de la modificación de tales acuerdos o Convenios de vinculación, Oferta de Servicios Aceptada mediante Orden de Compra de Servicios que suscriban los Miembros y estos con sus Terceros, ni de la suscripción de nuevos Convenios. No obstante, cuando haya lugar a ello, la Cámara podrá aprobar unos nuevos textos que </w:t>
      </w:r>
      <w:r w:rsidRPr="002C0D19">
        <w:rPr>
          <w:rFonts w:ascii="Arial Narrow" w:hAnsi="Arial Narrow" w:cs="Arial"/>
          <w:color w:val="000000" w:themeColor="text1"/>
          <w:lang w:val="es-ES" w:eastAsia="es-ES"/>
        </w:rPr>
        <w:lastRenderedPageBreak/>
        <w:t>incorporen las modificaciones pertinentes y publicarlos mediante Circular para efecto de la vinculación de nuevos Miembros, Agentes y Terceros a través de</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los Miembros.</w:t>
      </w:r>
    </w:p>
    <w:p w14:paraId="67E8579A" w14:textId="77777777" w:rsidR="007968EC" w:rsidRPr="002C0D19" w:rsidRDefault="007968EC" w:rsidP="007968EC">
      <w:pPr>
        <w:jc w:val="both"/>
        <w:rPr>
          <w:rFonts w:ascii="Arial Narrow" w:hAnsi="Arial Narrow" w:cs="Arial"/>
          <w:b/>
          <w:color w:val="000000" w:themeColor="text1"/>
          <w:u w:val="single"/>
          <w:lang w:val="es-ES" w:eastAsia="es-ES"/>
        </w:rPr>
      </w:pPr>
    </w:p>
    <w:p w14:paraId="57758CC1" w14:textId="77777777" w:rsidR="007968EC" w:rsidRPr="002C0D19" w:rsidRDefault="007968EC" w:rsidP="007968EC">
      <w:pPr>
        <w:jc w:val="both"/>
        <w:rPr>
          <w:rFonts w:ascii="Arial Narrow" w:hAnsi="Arial Narrow" w:cs="Arial"/>
          <w:b/>
          <w:color w:val="000000" w:themeColor="text1"/>
          <w:lang w:val="es-ES" w:eastAsia="es-ES"/>
        </w:rPr>
      </w:pPr>
      <w:r w:rsidRPr="002C0D19">
        <w:rPr>
          <w:rFonts w:ascii="Arial Narrow" w:hAnsi="Arial Narrow" w:cs="Arial"/>
          <w:b/>
          <w:color w:val="000000" w:themeColor="text1"/>
          <w:u w:val="single"/>
          <w:lang w:val="es-ES" w:eastAsia="es-ES"/>
        </w:rPr>
        <w:t>TERCERA. Obligaciones de EL AGENTE CUSTODIO.</w:t>
      </w:r>
      <w:r w:rsidRPr="002C0D19">
        <w:rPr>
          <w:rFonts w:ascii="Arial Narrow" w:hAnsi="Arial Narrow" w:cs="Arial"/>
          <w:bCs/>
          <w:color w:val="000000" w:themeColor="text1"/>
          <w:lang w:eastAsia="es-ES"/>
        </w:rPr>
        <w:t xml:space="preserve"> </w:t>
      </w:r>
      <w:r w:rsidRPr="002C0D19">
        <w:rPr>
          <w:rFonts w:ascii="Arial Narrow" w:hAnsi="Arial Narrow" w:cs="Arial"/>
          <w:color w:val="000000" w:themeColor="text1"/>
          <w:lang w:val="es-ES" w:eastAsia="es-ES"/>
        </w:rPr>
        <w:t>Sin perjuicio</w:t>
      </w:r>
      <w:r w:rsidRPr="002C0D19">
        <w:rPr>
          <w:rFonts w:ascii="Arial Narrow" w:hAnsi="Arial Narrow" w:cs="Arial"/>
          <w:b/>
          <w:color w:val="000000" w:themeColor="text1"/>
          <w:lang w:val="es-ES" w:eastAsia="es-ES"/>
        </w:rPr>
        <w:t xml:space="preserve"> </w:t>
      </w:r>
      <w:r w:rsidRPr="002C0D19">
        <w:rPr>
          <w:rFonts w:ascii="Arial Narrow" w:hAnsi="Arial Narrow" w:cs="Arial"/>
          <w:bCs/>
          <w:color w:val="000000" w:themeColor="text1"/>
          <w:lang w:eastAsia="es-ES"/>
        </w:rPr>
        <w:t xml:space="preserve">de las obligaciones previstas en las demás cláusulas del presente Acuerdo, en el </w:t>
      </w:r>
      <w:r w:rsidRPr="002C0D19">
        <w:rPr>
          <w:rFonts w:ascii="Arial Narrow" w:hAnsi="Arial Narrow" w:cs="Arial"/>
          <w:color w:val="000000" w:themeColor="text1"/>
          <w:lang w:val="es-ES" w:eastAsia="es-ES"/>
        </w:rPr>
        <w:t xml:space="preserve">Reglamento, en las Circulares y en los Instructivos Operativos de </w:t>
      </w:r>
      <w:r w:rsidRPr="002C0D19">
        <w:rPr>
          <w:rFonts w:ascii="Arial Narrow" w:hAnsi="Arial Narrow" w:cs="Arial"/>
          <w:b/>
          <w:color w:val="000000" w:themeColor="text1"/>
          <w:lang w:val="es-ES" w:eastAsia="es-ES"/>
        </w:rPr>
        <w:t>LA CRCC,</w:t>
      </w:r>
      <w:r w:rsidRPr="002C0D19">
        <w:rPr>
          <w:rFonts w:ascii="Arial Narrow" w:hAnsi="Arial Narrow" w:cs="Arial"/>
          <w:bCs/>
          <w:color w:val="000000" w:themeColor="text1"/>
          <w:lang w:eastAsia="es-ES"/>
        </w:rPr>
        <w:t xml:space="preserve"> son obligaciones principales de </w:t>
      </w:r>
      <w:r w:rsidRPr="002C0D19">
        <w:rPr>
          <w:rFonts w:ascii="Arial Narrow" w:hAnsi="Arial Narrow" w:cs="Arial"/>
          <w:b/>
          <w:bCs/>
          <w:color w:val="000000" w:themeColor="text1"/>
          <w:lang w:eastAsia="es-ES"/>
        </w:rPr>
        <w:t xml:space="preserve">EL AGENTE CUSTODIO, </w:t>
      </w:r>
      <w:r w:rsidRPr="002C0D19">
        <w:rPr>
          <w:rFonts w:ascii="Arial Narrow" w:hAnsi="Arial Narrow" w:cs="Arial"/>
          <w:bCs/>
          <w:color w:val="000000" w:themeColor="text1"/>
          <w:lang w:eastAsia="es-ES"/>
        </w:rPr>
        <w:t>las siguientes:</w:t>
      </w:r>
      <w:r w:rsidRPr="002C0D19">
        <w:rPr>
          <w:rFonts w:ascii="Arial Narrow" w:hAnsi="Arial Narrow" w:cs="Arial"/>
          <w:b/>
          <w:color w:val="000000" w:themeColor="text1"/>
          <w:lang w:val="es-ES" w:eastAsia="es-ES"/>
        </w:rPr>
        <w:t xml:space="preserve"> </w:t>
      </w:r>
    </w:p>
    <w:p w14:paraId="53A5B1D6" w14:textId="77777777" w:rsidR="007968EC" w:rsidRPr="002C0D19" w:rsidRDefault="007968EC" w:rsidP="007968EC">
      <w:pPr>
        <w:jc w:val="both"/>
        <w:rPr>
          <w:rFonts w:ascii="Arial Narrow" w:hAnsi="Arial Narrow" w:cs="Arial"/>
          <w:color w:val="000000" w:themeColor="text1"/>
          <w:lang w:val="es-ES" w:eastAsia="es-ES"/>
        </w:rPr>
      </w:pPr>
    </w:p>
    <w:p w14:paraId="16A443E6" w14:textId="77777777" w:rsidR="007968EC" w:rsidRPr="002C0D19" w:rsidRDefault="007968EC" w:rsidP="00DA7472">
      <w:pPr>
        <w:numPr>
          <w:ilvl w:val="0"/>
          <w:numId w:val="127"/>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Cumplir y mantener en todo momento los requisitos generales y especiales de admisión como Agente.</w:t>
      </w:r>
    </w:p>
    <w:p w14:paraId="36CD8A46" w14:textId="77777777" w:rsidR="007968EC" w:rsidRPr="002C0D19" w:rsidRDefault="007968EC" w:rsidP="00DA7472">
      <w:pPr>
        <w:numPr>
          <w:ilvl w:val="0"/>
          <w:numId w:val="127"/>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Cumplir y hacer cumplir estrictamente a las personas vinculadas a </w:t>
      </w:r>
      <w:r w:rsidRPr="002C0D19">
        <w:rPr>
          <w:rFonts w:ascii="Arial Narrow" w:hAnsi="Arial Narrow" w:cs="Arial"/>
          <w:b/>
          <w:color w:val="000000" w:themeColor="text1"/>
          <w:lang w:eastAsia="es-ES"/>
        </w:rPr>
        <w:t>EL AGENTE CUSTODIO</w:t>
      </w:r>
      <w:r w:rsidRPr="002C0D19">
        <w:rPr>
          <w:rFonts w:ascii="Arial Narrow" w:hAnsi="Arial Narrow" w:cs="Arial"/>
          <w:color w:val="000000" w:themeColor="text1"/>
          <w:lang w:val="es-ES" w:eastAsia="es-ES"/>
        </w:rPr>
        <w:t xml:space="preserve">, sin restricciones ni reservas, la Ley, las instrucciones de las Autoridades Competentes, el Reglamento, las Circulares e Instructivos Operativos, el presente Acuerdo, los Convenios con los Miembros Liquidadores y  todas aquellas decisiones que, en uso de sus atribuciones, adopten la Junta Directiva y/o el Gerente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para reglamentar su funcionamiento, divulgadas de conformidad con el Reglamento, sin que sirva de excusa o defensa la ignorancia de dichas normas o instrucciones. Lo anterior se extiende a cualquier modificación o adición que cualquier autoridad competente pueda imponer, así como a las modificaciones que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pueda introducir con la autorización de la Superintendencia Financiera de Colombia.</w:t>
      </w:r>
    </w:p>
    <w:p w14:paraId="063E705B" w14:textId="77777777" w:rsidR="007968EC" w:rsidRPr="002C0D19" w:rsidRDefault="007968EC" w:rsidP="00DA7472">
      <w:pPr>
        <w:numPr>
          <w:ilvl w:val="0"/>
          <w:numId w:val="127"/>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Informar inmediatamente y por escrito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w:t>
      </w:r>
      <w:r w:rsidRPr="002C0D19">
        <w:rPr>
          <w:rFonts w:ascii="Arial Narrow" w:hAnsi="Arial Narrow" w:cs="Arial"/>
          <w:color w:val="000000" w:themeColor="text1"/>
          <w:lang w:eastAsia="es-ES"/>
        </w:rPr>
        <w:t xml:space="preserve">sobre </w:t>
      </w:r>
      <w:r w:rsidRPr="002C0D19">
        <w:rPr>
          <w:rFonts w:ascii="Arial Narrow" w:hAnsi="Arial Narrow" w:cs="Arial"/>
          <w:color w:val="000000" w:themeColor="text1"/>
          <w:lang w:val="es-ES" w:eastAsia="es-ES"/>
        </w:rPr>
        <w:t>cualquier modificación que afecte los requisitos especiales que llevaron a su admisión como Agente.</w:t>
      </w:r>
    </w:p>
    <w:p w14:paraId="24690D21" w14:textId="77777777" w:rsidR="007968EC" w:rsidRPr="002C0D19" w:rsidRDefault="007968EC" w:rsidP="00DA7472">
      <w:pPr>
        <w:numPr>
          <w:ilvl w:val="0"/>
          <w:numId w:val="127"/>
        </w:numPr>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Entregar a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 xml:space="preserve">a </w:t>
      </w:r>
      <w:r w:rsidRPr="002C0D19">
        <w:rPr>
          <w:rFonts w:ascii="Arial Narrow" w:hAnsi="Arial Narrow" w:cs="Arial"/>
          <w:b/>
          <w:color w:val="000000" w:themeColor="text1"/>
          <w:lang w:val="es-ES" w:eastAsia="es-ES"/>
        </w:rPr>
        <w:t>EL MIEMBRO LIQUIDADOR,</w:t>
      </w:r>
      <w:r w:rsidRPr="002C0D19">
        <w:rPr>
          <w:rFonts w:ascii="Arial Narrow" w:hAnsi="Arial Narrow" w:cs="Arial"/>
          <w:color w:val="000000" w:themeColor="text1"/>
          <w:lang w:val="es-ES" w:eastAsia="es-ES"/>
        </w:rPr>
        <w:t xml:space="preserve"> o a las Autoridades Competentes directamente, la información que se le solicite sobre los Terceros de </w:t>
      </w:r>
      <w:r w:rsidRPr="002C0D19">
        <w:rPr>
          <w:rFonts w:ascii="Arial Narrow" w:hAnsi="Arial Narrow" w:cs="Arial"/>
          <w:b/>
          <w:color w:val="000000" w:themeColor="text1"/>
          <w:lang w:val="es-ES" w:eastAsia="es-ES"/>
        </w:rPr>
        <w:t xml:space="preserve">EL MIEMBRO, </w:t>
      </w:r>
      <w:r w:rsidRPr="002C0D19">
        <w:rPr>
          <w:rFonts w:ascii="Arial Narrow" w:hAnsi="Arial Narrow" w:cs="Arial"/>
          <w:color w:val="000000" w:themeColor="text1"/>
          <w:lang w:val="es-ES" w:eastAsia="es-ES"/>
        </w:rPr>
        <w:t xml:space="preserve">para la atención de requerimientos que las Autoridades Competentes le hagan a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o a</w:t>
      </w:r>
      <w:r w:rsidRPr="002C0D19">
        <w:rPr>
          <w:rFonts w:ascii="Arial Narrow" w:hAnsi="Arial Narrow" w:cs="Arial"/>
          <w:b/>
          <w:color w:val="000000" w:themeColor="text1"/>
          <w:lang w:val="es-ES" w:eastAsia="es-ES"/>
        </w:rPr>
        <w:t xml:space="preserve"> EL MIEMBRO.</w:t>
      </w:r>
    </w:p>
    <w:p w14:paraId="6D297C0F" w14:textId="77777777" w:rsidR="007968EC" w:rsidRPr="002C0D19" w:rsidRDefault="007968EC" w:rsidP="00DA7472">
      <w:pPr>
        <w:numPr>
          <w:ilvl w:val="0"/>
          <w:numId w:val="127"/>
        </w:num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Tener un convenio con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que le autoriza a actuar en el </w:t>
      </w:r>
      <w:r w:rsidRPr="002C0D19">
        <w:rPr>
          <w:rFonts w:ascii="Arial Narrow" w:hAnsi="Arial Narrow" w:cs="Arial"/>
          <w:bCs/>
          <w:color w:val="000000" w:themeColor="text1"/>
          <w:lang w:eastAsia="es-ES"/>
        </w:rPr>
        <w:t>Sistema de Compensación y Liquidación</w:t>
      </w:r>
      <w:r w:rsidRPr="002C0D19">
        <w:rPr>
          <w:rFonts w:ascii="Arial Narrow" w:hAnsi="Arial Narrow" w:cs="Arial"/>
          <w:color w:val="000000" w:themeColor="text1"/>
          <w:lang w:val="es-ES" w:eastAsia="es-ES"/>
        </w:rPr>
        <w:t xml:space="preserve"> en calidad de Agente Custodio de los Terceros de los Miembros.</w:t>
      </w:r>
    </w:p>
    <w:p w14:paraId="6B8939D1" w14:textId="77777777" w:rsidR="007968EC" w:rsidRPr="002C0D19" w:rsidRDefault="007968EC" w:rsidP="00DA7472">
      <w:pPr>
        <w:numPr>
          <w:ilvl w:val="0"/>
          <w:numId w:val="127"/>
        </w:num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Recibir y custodiar por cuenta de los Terceros de </w:t>
      </w:r>
      <w:r w:rsidRPr="002C0D19">
        <w:rPr>
          <w:rFonts w:ascii="Arial Narrow" w:hAnsi="Arial Narrow" w:cs="Arial"/>
          <w:b/>
          <w:color w:val="000000" w:themeColor="text1"/>
          <w:lang w:val="es-ES" w:eastAsia="es-ES"/>
        </w:rPr>
        <w:t xml:space="preserve">EL MIEMBRO, </w:t>
      </w:r>
      <w:r w:rsidRPr="002C0D19">
        <w:rPr>
          <w:rFonts w:ascii="Arial Narrow" w:hAnsi="Arial Narrow" w:cs="Arial"/>
          <w:color w:val="000000" w:themeColor="text1"/>
          <w:lang w:val="es-ES" w:eastAsia="es-ES"/>
        </w:rPr>
        <w:t>sus valores</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y, si es el caso,</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los valores de los Terceros de sus Miembros no Liquidadores y de toda su estructura de cuentas.</w:t>
      </w:r>
    </w:p>
    <w:p w14:paraId="0A7BF633" w14:textId="77777777" w:rsidR="007968EC" w:rsidRPr="002C0D19" w:rsidRDefault="007968EC" w:rsidP="00DA7472">
      <w:pPr>
        <w:numPr>
          <w:ilvl w:val="0"/>
          <w:numId w:val="127"/>
        </w:num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Realizar la entrega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de los valores recibidos por cuenta de los Terceros de </w:t>
      </w:r>
      <w:r w:rsidRPr="002C0D19">
        <w:rPr>
          <w:rFonts w:ascii="Arial Narrow" w:hAnsi="Arial Narrow" w:cs="Arial"/>
          <w:b/>
          <w:color w:val="000000" w:themeColor="text1"/>
          <w:lang w:val="es-ES" w:eastAsia="es-ES"/>
        </w:rPr>
        <w:t>EL</w:t>
      </w:r>
      <w:r w:rsidRPr="002C0D19">
        <w:rPr>
          <w:rFonts w:ascii="Arial Narrow" w:hAnsi="Arial Narrow" w:cs="Arial"/>
          <w:color w:val="000000" w:themeColor="text1"/>
          <w:lang w:val="es-ES" w:eastAsia="es-ES"/>
        </w:rPr>
        <w:t xml:space="preserve"> </w:t>
      </w:r>
      <w:r w:rsidRPr="002C0D19">
        <w:rPr>
          <w:rFonts w:ascii="Arial Narrow" w:hAnsi="Arial Narrow" w:cs="Arial"/>
          <w:b/>
          <w:color w:val="000000" w:themeColor="text1"/>
          <w:lang w:val="es-ES" w:eastAsia="es-ES"/>
        </w:rPr>
        <w:t xml:space="preserve">MIEMBRO </w:t>
      </w:r>
      <w:r w:rsidRPr="002C0D19">
        <w:rPr>
          <w:rFonts w:ascii="Arial Narrow" w:hAnsi="Arial Narrow" w:cs="Arial"/>
          <w:color w:val="000000" w:themeColor="text1"/>
          <w:lang w:val="es-ES" w:eastAsia="es-ES"/>
        </w:rPr>
        <w:t xml:space="preserve">y, si es el caso, de sus Miembros no Liquidadores y de los Terceros de estos últimos, que lo hayan designado como Agente Custodio para cumplir con las obligaciones derivadas de la compensación y liquidación de sus cuentas, siempre y cuando exista una instrucción por parte del </w:t>
      </w:r>
      <w:r w:rsidRPr="002C0D19">
        <w:rPr>
          <w:rFonts w:ascii="Arial Narrow" w:hAnsi="Arial Narrow" w:cs="Arial"/>
          <w:b/>
          <w:color w:val="000000" w:themeColor="text1"/>
          <w:lang w:val="es-ES" w:eastAsia="es-ES"/>
        </w:rPr>
        <w:t>TERCERO</w:t>
      </w:r>
      <w:r w:rsidRPr="002C0D19">
        <w:rPr>
          <w:rFonts w:ascii="Arial Narrow" w:hAnsi="Arial Narrow" w:cs="Arial"/>
          <w:color w:val="000000" w:themeColor="text1"/>
          <w:lang w:val="es-ES" w:eastAsia="es-ES"/>
        </w:rPr>
        <w:t xml:space="preserve"> al  </w:t>
      </w:r>
      <w:r w:rsidRPr="002C0D19">
        <w:rPr>
          <w:rFonts w:ascii="Arial Narrow" w:hAnsi="Arial Narrow" w:cs="Arial"/>
          <w:b/>
          <w:color w:val="000000" w:themeColor="text1"/>
          <w:lang w:val="es-ES" w:eastAsia="es-ES"/>
        </w:rPr>
        <w:t>AGENTE CUSTODIO</w:t>
      </w:r>
      <w:r w:rsidRPr="002C0D19">
        <w:rPr>
          <w:rFonts w:ascii="Arial Narrow" w:hAnsi="Arial Narrow" w:cs="Arial"/>
          <w:color w:val="000000" w:themeColor="text1"/>
          <w:lang w:val="es-ES" w:eastAsia="es-ES"/>
        </w:rPr>
        <w:t xml:space="preserve">. Así mismo, entregar los valores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en el evento de que ésta, en aplicación del Reglamento, se lo demande, siempre y cuando exista una instrucción por parte del </w:t>
      </w:r>
      <w:r w:rsidRPr="002C0D19">
        <w:rPr>
          <w:rFonts w:ascii="Arial Narrow" w:hAnsi="Arial Narrow" w:cs="Arial"/>
          <w:b/>
          <w:color w:val="000000" w:themeColor="text1"/>
          <w:lang w:val="es-ES" w:eastAsia="es-ES"/>
        </w:rPr>
        <w:t>TERCERO</w:t>
      </w:r>
      <w:r w:rsidRPr="002C0D19">
        <w:rPr>
          <w:rFonts w:ascii="Arial Narrow" w:hAnsi="Arial Narrow" w:cs="Arial"/>
          <w:color w:val="000000" w:themeColor="text1"/>
          <w:lang w:val="es-ES" w:eastAsia="es-ES"/>
        </w:rPr>
        <w:t xml:space="preserve">  al  </w:t>
      </w:r>
      <w:r w:rsidRPr="002C0D19">
        <w:rPr>
          <w:rFonts w:ascii="Arial Narrow" w:hAnsi="Arial Narrow" w:cs="Arial"/>
          <w:b/>
          <w:color w:val="000000" w:themeColor="text1"/>
          <w:lang w:val="es-ES" w:eastAsia="es-ES"/>
        </w:rPr>
        <w:t>AGENTE CUSTODIO.</w:t>
      </w:r>
      <w:r w:rsidRPr="002C0D19">
        <w:rPr>
          <w:rFonts w:ascii="Arial Narrow" w:hAnsi="Arial Narrow" w:cs="Arial"/>
          <w:color w:val="000000" w:themeColor="text1"/>
          <w:lang w:val="es-ES" w:eastAsia="es-ES"/>
        </w:rPr>
        <w:t xml:space="preserve"> </w:t>
      </w:r>
    </w:p>
    <w:p w14:paraId="50A0ABF6" w14:textId="77777777" w:rsidR="007968EC" w:rsidRPr="002C0D19" w:rsidRDefault="007968EC" w:rsidP="00DA7472">
      <w:pPr>
        <w:numPr>
          <w:ilvl w:val="0"/>
          <w:numId w:val="127"/>
        </w:num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Reportar a </w:t>
      </w:r>
      <w:r w:rsidRPr="002C0D19">
        <w:rPr>
          <w:rFonts w:ascii="Arial Narrow" w:hAnsi="Arial Narrow" w:cs="Arial"/>
          <w:b/>
          <w:color w:val="000000" w:themeColor="text1"/>
          <w:lang w:val="es-ES" w:eastAsia="es-ES"/>
        </w:rPr>
        <w:t>EL</w:t>
      </w:r>
      <w:r w:rsidRPr="002C0D19">
        <w:rPr>
          <w:rFonts w:ascii="Arial Narrow" w:hAnsi="Arial Narrow" w:cs="Arial"/>
          <w:color w:val="000000" w:themeColor="text1"/>
          <w:lang w:val="es-ES" w:eastAsia="es-ES"/>
        </w:rPr>
        <w:t xml:space="preserve"> </w:t>
      </w:r>
      <w:r w:rsidRPr="002C0D19">
        <w:rPr>
          <w:rFonts w:ascii="Arial Narrow" w:hAnsi="Arial Narrow" w:cs="Arial"/>
          <w:b/>
          <w:color w:val="000000" w:themeColor="text1"/>
          <w:lang w:val="es-ES" w:eastAsia="es-ES"/>
        </w:rPr>
        <w:t xml:space="preserve">MIEMBRO </w:t>
      </w:r>
      <w:r w:rsidRPr="002C0D19">
        <w:rPr>
          <w:rFonts w:ascii="Arial Narrow" w:hAnsi="Arial Narrow" w:cs="Arial"/>
          <w:color w:val="000000" w:themeColor="text1"/>
          <w:lang w:val="es-ES" w:eastAsia="es-ES"/>
        </w:rPr>
        <w:t xml:space="preserve">el Incumplimiento de los Terceros y de los Miembros no Liquidadores, y de los Terceros de éstos, si es el caso, respecto de la entrega de los valores que les correspondan en virtud de las operaciones registradas en las cuentas que liquida </w:t>
      </w:r>
      <w:r w:rsidRPr="002C0D19">
        <w:rPr>
          <w:rFonts w:ascii="Arial Narrow" w:hAnsi="Arial Narrow" w:cs="Arial"/>
          <w:b/>
          <w:color w:val="000000" w:themeColor="text1"/>
          <w:lang w:val="es-ES" w:eastAsia="es-ES"/>
        </w:rPr>
        <w:t>EL MIEMBRO LIQUIDADOR</w:t>
      </w:r>
      <w:r w:rsidRPr="002C0D19">
        <w:rPr>
          <w:rFonts w:ascii="Arial Narrow" w:hAnsi="Arial Narrow" w:cs="Arial"/>
          <w:color w:val="000000" w:themeColor="text1"/>
          <w:lang w:val="es-ES" w:eastAsia="es-ES"/>
        </w:rPr>
        <w:t>.</w:t>
      </w:r>
    </w:p>
    <w:p w14:paraId="3EF1E75D" w14:textId="77777777" w:rsidR="007968EC" w:rsidRPr="002C0D19" w:rsidRDefault="007968EC" w:rsidP="00DA7472">
      <w:pPr>
        <w:numPr>
          <w:ilvl w:val="0"/>
          <w:numId w:val="127"/>
        </w:num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eastAsia="es-ES"/>
        </w:rPr>
        <w:t>Mantener</w:t>
      </w:r>
      <w:r w:rsidRPr="002C0D19">
        <w:rPr>
          <w:rFonts w:ascii="Arial Narrow" w:hAnsi="Arial Narrow" w:cs="Arial"/>
          <w:color w:val="000000" w:themeColor="text1"/>
          <w:lang w:val="es-ES" w:eastAsia="es-ES"/>
        </w:rPr>
        <w:t xml:space="preserve"> las cuentas de depósito de valores arriba indicadas, de las que es titular</w:t>
      </w:r>
      <w:r w:rsidRPr="002C0D19">
        <w:rPr>
          <w:rFonts w:ascii="Arial Narrow" w:hAnsi="Arial Narrow" w:cs="Arial"/>
          <w:b/>
          <w:color w:val="000000" w:themeColor="text1"/>
          <w:lang w:eastAsia="es-ES"/>
        </w:rPr>
        <w:t xml:space="preserve"> EL AGENTE CUSTODIO </w:t>
      </w:r>
      <w:r w:rsidRPr="002C0D19">
        <w:rPr>
          <w:rFonts w:ascii="Arial Narrow" w:hAnsi="Arial Narrow" w:cs="Arial"/>
          <w:color w:val="000000" w:themeColor="text1"/>
          <w:lang w:eastAsia="es-ES"/>
        </w:rPr>
        <w:t>ante los</w:t>
      </w:r>
      <w:r w:rsidRPr="002C0D19">
        <w:rPr>
          <w:rFonts w:ascii="Arial Narrow" w:hAnsi="Arial Narrow" w:cs="Arial"/>
          <w:b/>
          <w:color w:val="000000" w:themeColor="text1"/>
          <w:lang w:eastAsia="es-ES"/>
        </w:rPr>
        <w:t xml:space="preserve"> </w:t>
      </w:r>
      <w:r w:rsidRPr="002C0D19">
        <w:rPr>
          <w:rFonts w:ascii="Arial Narrow" w:hAnsi="Arial Narrow" w:cs="Arial"/>
          <w:color w:val="000000" w:themeColor="text1"/>
          <w:lang w:eastAsia="es-ES"/>
        </w:rPr>
        <w:t>depósitos</w:t>
      </w:r>
      <w:r w:rsidRPr="002C0D19">
        <w:rPr>
          <w:rFonts w:ascii="Arial Narrow" w:hAnsi="Arial Narrow" w:cs="Arial"/>
          <w:b/>
          <w:color w:val="000000" w:themeColor="text1"/>
          <w:lang w:eastAsia="es-ES"/>
        </w:rPr>
        <w:t xml:space="preserve"> </w:t>
      </w:r>
      <w:r w:rsidRPr="002C0D19">
        <w:rPr>
          <w:rFonts w:ascii="Arial Narrow" w:hAnsi="Arial Narrow" w:cs="Arial"/>
          <w:color w:val="000000" w:themeColor="text1"/>
          <w:lang w:val="es-ES" w:eastAsia="es-ES"/>
        </w:rPr>
        <w:t xml:space="preserve">centralizados de valores. </w:t>
      </w:r>
    </w:p>
    <w:p w14:paraId="6145C34F" w14:textId="77777777" w:rsidR="007968EC" w:rsidRPr="002C0D19" w:rsidRDefault="007968EC" w:rsidP="00DA7472">
      <w:pPr>
        <w:numPr>
          <w:ilvl w:val="0"/>
          <w:numId w:val="127"/>
        </w:num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Desarrollar las Actividades propias de Agente Custodio, cumpliendo siempre con las especificaciones técnicas y procedimientos establecidos por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w:t>
      </w:r>
    </w:p>
    <w:p w14:paraId="4C629673"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7D329111" w14:textId="77777777" w:rsidR="007968EC" w:rsidRPr="002C0D19" w:rsidRDefault="007968EC" w:rsidP="007968EC">
      <w:pPr>
        <w:jc w:val="both"/>
        <w:rPr>
          <w:rFonts w:ascii="Arial Narrow" w:hAnsi="Arial Narrow" w:cs="Arial"/>
          <w:bCs/>
          <w:color w:val="000000" w:themeColor="text1"/>
          <w:lang w:eastAsia="es-ES"/>
        </w:rPr>
      </w:pPr>
      <w:r w:rsidRPr="002C0D19">
        <w:rPr>
          <w:rFonts w:ascii="Arial Narrow" w:hAnsi="Arial Narrow" w:cs="Arial"/>
          <w:b/>
          <w:bCs/>
          <w:color w:val="000000" w:themeColor="text1"/>
          <w:u w:val="single"/>
          <w:lang w:val="es-ES" w:eastAsia="es-ES"/>
        </w:rPr>
        <w:lastRenderedPageBreak/>
        <w:t>CUARTA. Obligaciones de EL MIEMBRO.</w:t>
      </w:r>
      <w:r w:rsidRPr="002C0D19">
        <w:rPr>
          <w:rFonts w:ascii="Arial Narrow" w:hAnsi="Arial Narrow" w:cs="Arial"/>
          <w:color w:val="000000" w:themeColor="text1"/>
          <w:lang w:val="es-ES" w:eastAsia="es-ES"/>
        </w:rPr>
        <w:t>  Sin perjuicio</w:t>
      </w:r>
      <w:r w:rsidRPr="002C0D19">
        <w:rPr>
          <w:rFonts w:ascii="Arial Narrow" w:hAnsi="Arial Narrow" w:cs="Arial"/>
          <w:b/>
          <w:color w:val="000000" w:themeColor="text1"/>
          <w:lang w:val="es-ES" w:eastAsia="es-ES"/>
        </w:rPr>
        <w:t xml:space="preserve"> </w:t>
      </w:r>
      <w:r w:rsidRPr="002C0D19">
        <w:rPr>
          <w:rFonts w:ascii="Arial Narrow" w:hAnsi="Arial Narrow" w:cs="Arial"/>
          <w:bCs/>
          <w:color w:val="000000" w:themeColor="text1"/>
          <w:lang w:eastAsia="es-ES"/>
        </w:rPr>
        <w:t xml:space="preserve">de las obligaciones previstas en las demás cláusulas del presente Acuerdo, en el </w:t>
      </w:r>
      <w:r w:rsidRPr="002C0D19">
        <w:rPr>
          <w:rFonts w:ascii="Arial Narrow" w:hAnsi="Arial Narrow" w:cs="Arial"/>
          <w:color w:val="000000" w:themeColor="text1"/>
          <w:lang w:val="es-ES" w:eastAsia="es-ES"/>
        </w:rPr>
        <w:t xml:space="preserve">Reglamento, en las Circulares y en los Instructivos Operativos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w:t>
      </w:r>
      <w:r w:rsidRPr="002C0D19">
        <w:rPr>
          <w:rFonts w:ascii="Arial Narrow" w:hAnsi="Arial Narrow" w:cs="Arial"/>
          <w:bCs/>
          <w:color w:val="000000" w:themeColor="text1"/>
          <w:lang w:eastAsia="es-ES"/>
        </w:rPr>
        <w:t xml:space="preserve"> son obligaciones principales de </w:t>
      </w:r>
      <w:r w:rsidRPr="002C0D19">
        <w:rPr>
          <w:rFonts w:ascii="Arial Narrow" w:hAnsi="Arial Narrow" w:cs="Arial"/>
          <w:b/>
          <w:bCs/>
          <w:color w:val="000000" w:themeColor="text1"/>
          <w:lang w:eastAsia="es-ES"/>
        </w:rPr>
        <w:t xml:space="preserve">EL MIEMBRO, </w:t>
      </w:r>
      <w:r w:rsidRPr="002C0D19">
        <w:rPr>
          <w:rFonts w:ascii="Arial Narrow" w:hAnsi="Arial Narrow" w:cs="Arial"/>
          <w:bCs/>
          <w:color w:val="000000" w:themeColor="text1"/>
          <w:lang w:eastAsia="es-ES"/>
        </w:rPr>
        <w:t>las siguientes:</w:t>
      </w:r>
    </w:p>
    <w:p w14:paraId="17F42A78" w14:textId="77777777" w:rsidR="007968EC" w:rsidRPr="002C0D19" w:rsidRDefault="007968EC" w:rsidP="007968EC">
      <w:pPr>
        <w:jc w:val="both"/>
        <w:rPr>
          <w:rFonts w:ascii="Arial Narrow" w:hAnsi="Arial Narrow" w:cs="Arial"/>
          <w:color w:val="000000" w:themeColor="text1"/>
          <w:lang w:val="es-ES" w:eastAsia="es-ES"/>
        </w:rPr>
      </w:pPr>
    </w:p>
    <w:p w14:paraId="0D0E09A6" w14:textId="77777777" w:rsidR="007968EC" w:rsidRPr="002C0D19" w:rsidRDefault="007968EC" w:rsidP="00DA7472">
      <w:pPr>
        <w:numPr>
          <w:ilvl w:val="0"/>
          <w:numId w:val="128"/>
        </w:numPr>
        <w:jc w:val="both"/>
        <w:rPr>
          <w:rFonts w:ascii="Arial Narrow" w:hAnsi="Arial Narrow" w:cs="Arial"/>
          <w:b/>
          <w:color w:val="000000" w:themeColor="text1"/>
          <w:lang w:val="es-ES" w:eastAsia="es-ES"/>
        </w:rPr>
      </w:pPr>
      <w:r w:rsidRPr="002C0D19">
        <w:rPr>
          <w:rFonts w:ascii="Arial Narrow" w:hAnsi="Arial Narrow" w:cs="Arial"/>
          <w:color w:val="000000" w:themeColor="text1"/>
          <w:lang w:val="es-ES" w:eastAsia="es-ES"/>
        </w:rPr>
        <w:t xml:space="preserve">Vincular por cuenta de los Terceros a </w:t>
      </w:r>
      <w:r w:rsidRPr="002C0D19">
        <w:rPr>
          <w:rFonts w:ascii="Arial Narrow" w:hAnsi="Arial Narrow" w:cs="Arial"/>
          <w:b/>
          <w:color w:val="000000" w:themeColor="text1"/>
          <w:lang w:val="es-ES" w:eastAsia="es-ES"/>
        </w:rPr>
        <w:t>EL AGENTE CUSTODIO</w:t>
      </w:r>
      <w:r w:rsidRPr="002C0D19">
        <w:rPr>
          <w:rFonts w:ascii="Arial Narrow" w:hAnsi="Arial Narrow" w:cs="Arial"/>
          <w:color w:val="000000" w:themeColor="text1"/>
          <w:lang w:val="es-ES" w:eastAsia="es-ES"/>
        </w:rPr>
        <w:t xml:space="preserve"> a través de los sistemas definidos por </w:t>
      </w:r>
      <w:r w:rsidRPr="002C0D19">
        <w:rPr>
          <w:rFonts w:ascii="Arial Narrow" w:hAnsi="Arial Narrow" w:cs="Arial"/>
          <w:b/>
          <w:color w:val="000000" w:themeColor="text1"/>
          <w:lang w:val="es-ES" w:eastAsia="es-ES"/>
        </w:rPr>
        <w:t xml:space="preserve">LA CRCC. </w:t>
      </w:r>
    </w:p>
    <w:p w14:paraId="6E94E6CA" w14:textId="77777777" w:rsidR="007968EC" w:rsidRPr="002C0D19" w:rsidRDefault="007968EC" w:rsidP="00DA7472">
      <w:pPr>
        <w:numPr>
          <w:ilvl w:val="0"/>
          <w:numId w:val="128"/>
        </w:numPr>
        <w:jc w:val="both"/>
        <w:rPr>
          <w:rFonts w:ascii="Arial Narrow" w:hAnsi="Arial Narrow" w:cs="Arial"/>
          <w:b/>
          <w:color w:val="000000" w:themeColor="text1"/>
          <w:lang w:val="es-ES" w:eastAsia="es-ES"/>
        </w:rPr>
      </w:pPr>
      <w:r w:rsidRPr="002C0D19">
        <w:rPr>
          <w:rFonts w:ascii="Arial Narrow" w:hAnsi="Arial Narrow" w:cs="Arial"/>
          <w:color w:val="000000" w:themeColor="text1"/>
          <w:lang w:val="es-ES" w:eastAsia="es-ES"/>
        </w:rPr>
        <w:t xml:space="preserve">Entregar por cuenta de los Terceros a </w:t>
      </w:r>
      <w:r w:rsidRPr="002C0D19">
        <w:rPr>
          <w:rFonts w:ascii="Arial Narrow" w:hAnsi="Arial Narrow" w:cs="Arial"/>
          <w:b/>
          <w:color w:val="000000" w:themeColor="text1"/>
          <w:lang w:val="es-ES" w:eastAsia="es-ES"/>
        </w:rPr>
        <w:t xml:space="preserve">EL AGENTE CUSTODIO </w:t>
      </w:r>
      <w:r w:rsidRPr="002C0D19">
        <w:rPr>
          <w:rFonts w:ascii="Arial Narrow" w:hAnsi="Arial Narrow" w:cs="Arial"/>
          <w:color w:val="000000" w:themeColor="text1"/>
          <w:lang w:val="es-ES" w:eastAsia="es-ES"/>
        </w:rPr>
        <w:t xml:space="preserve">los valores necesarios para el cumplimiento de las obligaciones derivadas de la compensación y liquidación de sus Operaciones Aceptadas, y, si es el caso, de las de sus Miembros no Liquidadores y de las de los Terceros de éstos últimos, sin perjuicio de las obligaciones que le competen como </w:t>
      </w:r>
      <w:r w:rsidRPr="002C0D19">
        <w:rPr>
          <w:rFonts w:ascii="Arial Narrow" w:hAnsi="Arial Narrow" w:cs="Arial"/>
          <w:b/>
          <w:color w:val="000000" w:themeColor="text1"/>
          <w:lang w:val="es-ES" w:eastAsia="es-ES"/>
        </w:rPr>
        <w:t>MIEMBRO.</w:t>
      </w:r>
    </w:p>
    <w:p w14:paraId="6166CA24" w14:textId="77777777" w:rsidR="007968EC" w:rsidRPr="002C0D19" w:rsidRDefault="007968EC" w:rsidP="00DA7472">
      <w:pPr>
        <w:numPr>
          <w:ilvl w:val="0"/>
          <w:numId w:val="128"/>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Entregar a </w:t>
      </w:r>
      <w:r w:rsidRPr="002C0D19">
        <w:rPr>
          <w:rFonts w:ascii="Arial Narrow" w:hAnsi="Arial Narrow" w:cs="Arial"/>
          <w:b/>
          <w:color w:val="000000" w:themeColor="text1"/>
          <w:lang w:val="es-ES" w:eastAsia="es-ES"/>
        </w:rPr>
        <w:t xml:space="preserve">EL AGENTE CUSTODIO </w:t>
      </w:r>
      <w:r w:rsidRPr="002C0D19">
        <w:rPr>
          <w:rFonts w:ascii="Arial Narrow" w:hAnsi="Arial Narrow" w:cs="Arial"/>
          <w:color w:val="000000" w:themeColor="text1"/>
          <w:lang w:val="es-ES" w:eastAsia="es-ES"/>
        </w:rPr>
        <w:t xml:space="preserve">la información que éste solicite en cumplimiento de sus funciones. </w:t>
      </w:r>
    </w:p>
    <w:p w14:paraId="3F65C389" w14:textId="77777777" w:rsidR="007968EC" w:rsidRPr="002C0D19" w:rsidRDefault="007968EC" w:rsidP="00DA7472">
      <w:pPr>
        <w:numPr>
          <w:ilvl w:val="0"/>
          <w:numId w:val="128"/>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Entregar a </w:t>
      </w:r>
      <w:r w:rsidRPr="002C0D19">
        <w:rPr>
          <w:rFonts w:ascii="Arial Narrow" w:hAnsi="Arial Narrow" w:cs="Arial"/>
          <w:b/>
          <w:color w:val="000000" w:themeColor="text1"/>
          <w:lang w:val="es-ES" w:eastAsia="es-ES"/>
        </w:rPr>
        <w:t xml:space="preserve">EL AGENTE CUSTODIO, </w:t>
      </w:r>
      <w:r w:rsidRPr="002C0D19">
        <w:rPr>
          <w:rFonts w:ascii="Arial Narrow" w:hAnsi="Arial Narrow" w:cs="Arial"/>
          <w:color w:val="000000" w:themeColor="text1"/>
          <w:lang w:val="es-ES" w:eastAsia="es-ES"/>
        </w:rPr>
        <w:t>a</w:t>
      </w:r>
      <w:r w:rsidRPr="002C0D19">
        <w:rPr>
          <w:rFonts w:ascii="Arial Narrow" w:hAnsi="Arial Narrow" w:cs="Arial"/>
          <w:b/>
          <w:color w:val="000000" w:themeColor="text1"/>
          <w:lang w:val="es-ES" w:eastAsia="es-ES"/>
        </w:rPr>
        <w:t xml:space="preserve"> LA CRCC, </w:t>
      </w:r>
      <w:r w:rsidRPr="002C0D19">
        <w:rPr>
          <w:rFonts w:ascii="Arial Narrow" w:hAnsi="Arial Narrow" w:cs="Arial"/>
          <w:color w:val="000000" w:themeColor="text1"/>
          <w:lang w:val="es-ES" w:eastAsia="es-ES"/>
        </w:rPr>
        <w:t>o a las autoridades</w:t>
      </w:r>
      <w:r w:rsidRPr="002C0D19">
        <w:rPr>
          <w:rFonts w:ascii="Arial Narrow" w:hAnsi="Arial Narrow" w:cs="Arial"/>
          <w:i/>
          <w:color w:val="000000" w:themeColor="text1"/>
          <w:lang w:val="es-ES" w:eastAsia="es-ES"/>
        </w:rPr>
        <w:t xml:space="preserve"> </w:t>
      </w:r>
      <w:r w:rsidRPr="002C0D19">
        <w:rPr>
          <w:rFonts w:ascii="Arial Narrow" w:hAnsi="Arial Narrow" w:cs="Arial"/>
          <w:color w:val="000000" w:themeColor="text1"/>
          <w:lang w:val="es-ES" w:eastAsia="es-ES"/>
        </w:rPr>
        <w:t>competentes directamente, la información que le solicite</w:t>
      </w:r>
      <w:r w:rsidRPr="002C0D19">
        <w:rPr>
          <w:rFonts w:ascii="Arial Narrow" w:hAnsi="Arial Narrow" w:cs="Arial"/>
          <w:b/>
          <w:color w:val="000000" w:themeColor="text1"/>
          <w:lang w:val="es-ES" w:eastAsia="es-ES"/>
        </w:rPr>
        <w:t xml:space="preserve"> EL AGENTE CUSTODIO, </w:t>
      </w:r>
      <w:r w:rsidRPr="002C0D19">
        <w:rPr>
          <w:rFonts w:ascii="Arial Narrow" w:hAnsi="Arial Narrow" w:cs="Arial"/>
          <w:color w:val="000000" w:themeColor="text1"/>
          <w:lang w:val="es-ES" w:eastAsia="es-ES"/>
        </w:rPr>
        <w:t>o</w:t>
      </w:r>
      <w:r w:rsidRPr="002C0D19">
        <w:rPr>
          <w:rFonts w:ascii="Arial Narrow" w:hAnsi="Arial Narrow" w:cs="Arial"/>
          <w:b/>
          <w:color w:val="000000" w:themeColor="text1"/>
          <w:lang w:val="es-ES" w:eastAsia="es-ES"/>
        </w:rPr>
        <w:t xml:space="preserve"> LA CRCC, </w:t>
      </w:r>
      <w:r w:rsidRPr="002C0D19">
        <w:rPr>
          <w:rFonts w:ascii="Arial Narrow" w:hAnsi="Arial Narrow" w:cs="Arial"/>
          <w:color w:val="000000" w:themeColor="text1"/>
          <w:lang w:val="es-ES" w:eastAsia="es-ES"/>
        </w:rPr>
        <w:t xml:space="preserve">para la atención de requerimientos que las autoridades competentes le hagan a </w:t>
      </w:r>
      <w:r w:rsidRPr="002C0D19">
        <w:rPr>
          <w:rFonts w:ascii="Arial Narrow" w:hAnsi="Arial Narrow" w:cs="Arial"/>
          <w:b/>
          <w:color w:val="000000" w:themeColor="text1"/>
          <w:lang w:val="es-ES" w:eastAsia="es-ES"/>
        </w:rPr>
        <w:t xml:space="preserve">EL AGENTE CUSTODIO </w:t>
      </w:r>
      <w:r w:rsidRPr="002C0D19">
        <w:rPr>
          <w:rFonts w:ascii="Arial Narrow" w:hAnsi="Arial Narrow" w:cs="Arial"/>
          <w:color w:val="000000" w:themeColor="text1"/>
          <w:lang w:val="es-ES" w:eastAsia="es-ES"/>
        </w:rPr>
        <w:t>en relación con el cumplimiento de sus funciones.</w:t>
      </w:r>
    </w:p>
    <w:p w14:paraId="3E0B2D4B" w14:textId="77777777" w:rsidR="007968EC" w:rsidRPr="002C0D19" w:rsidRDefault="007968EC" w:rsidP="007968EC">
      <w:pPr>
        <w:jc w:val="both"/>
        <w:rPr>
          <w:rFonts w:ascii="Arial Narrow" w:hAnsi="Arial Narrow" w:cs="Arial"/>
          <w:color w:val="000000" w:themeColor="text1"/>
          <w:lang w:val="es-ES" w:eastAsia="es-ES"/>
        </w:rPr>
      </w:pPr>
    </w:p>
    <w:p w14:paraId="4DD57DDF"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b/>
          <w:bCs/>
          <w:color w:val="000000" w:themeColor="text1"/>
          <w:u w:val="single"/>
          <w:lang w:val="es-ES" w:eastAsia="es-ES"/>
        </w:rPr>
        <w:t>QUINTA. Vigencia.</w:t>
      </w:r>
      <w:r w:rsidRPr="002C0D19">
        <w:rPr>
          <w:rFonts w:ascii="Arial Narrow" w:hAnsi="Arial Narrow" w:cs="Arial"/>
          <w:b/>
          <w:bCs/>
          <w:color w:val="000000" w:themeColor="text1"/>
          <w:lang w:val="es-ES" w:eastAsia="es-ES"/>
        </w:rPr>
        <w:t xml:space="preserve">  </w:t>
      </w:r>
      <w:r w:rsidRPr="002C0D19">
        <w:rPr>
          <w:rFonts w:ascii="Arial Narrow" w:hAnsi="Arial Narrow" w:cs="Arial"/>
          <w:color w:val="000000" w:themeColor="text1"/>
          <w:lang w:eastAsia="es-ES"/>
        </w:rPr>
        <w:t>El presente Acuerdo estará vigente en forma indefinida.</w:t>
      </w:r>
      <w:r w:rsidRPr="002C0D19" w:rsidDel="00AC2443">
        <w:rPr>
          <w:rFonts w:ascii="Arial Narrow" w:hAnsi="Arial Narrow" w:cs="Arial"/>
          <w:color w:val="000000" w:themeColor="text1"/>
          <w:lang w:eastAsia="es-ES"/>
        </w:rPr>
        <w:t xml:space="preserve"> </w:t>
      </w:r>
      <w:r w:rsidRPr="002C0D19">
        <w:rPr>
          <w:rFonts w:ascii="Arial Narrow" w:hAnsi="Arial Narrow" w:cs="Arial"/>
          <w:color w:val="000000" w:themeColor="text1"/>
          <w:lang w:eastAsia="es-ES"/>
        </w:rPr>
        <w:t xml:space="preserve">No obstante lo anterior y sin perjuicio de lo dispuesto en el Reglamento, las partes podrán terminar en cualquier tiempo el presente Acuerdo, mediante la entrega a la otra parte de un aviso escrito en tal sentido, remitida con no menos de treinta (30) días calendario de anticipación al día hábil en el cual desea que dicha terminación tenga efecto. </w:t>
      </w:r>
    </w:p>
    <w:p w14:paraId="124AB5DF" w14:textId="77777777" w:rsidR="007968EC" w:rsidRPr="002C0D19" w:rsidRDefault="007968EC" w:rsidP="007968EC">
      <w:pPr>
        <w:jc w:val="both"/>
        <w:rPr>
          <w:rFonts w:ascii="Arial Narrow" w:hAnsi="Arial Narrow" w:cs="Arial"/>
          <w:color w:val="000000" w:themeColor="text1"/>
          <w:lang w:eastAsia="es-ES"/>
        </w:rPr>
      </w:pPr>
    </w:p>
    <w:p w14:paraId="572FE807"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Igualmente, habrá lugar a la terminación unilateral si se presenta un incumplimiento de alguna de las obligaciones a cargo de una de las partes.</w:t>
      </w:r>
    </w:p>
    <w:p w14:paraId="63E54156" w14:textId="77777777" w:rsidR="007968EC" w:rsidRPr="002C0D19" w:rsidRDefault="007968EC" w:rsidP="007968EC">
      <w:pPr>
        <w:jc w:val="both"/>
        <w:rPr>
          <w:rFonts w:ascii="Arial Narrow" w:hAnsi="Arial Narrow" w:cs="Arial"/>
          <w:color w:val="000000" w:themeColor="text1"/>
          <w:lang w:eastAsia="es-ES"/>
        </w:rPr>
      </w:pPr>
    </w:p>
    <w:p w14:paraId="6D08768D"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La terminación del presente Acuerdo deberá informarse a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con la misma anticipación en que deba informarse o se informe a la otra parte.</w:t>
      </w:r>
    </w:p>
    <w:p w14:paraId="78B8F827" w14:textId="77777777" w:rsidR="007968EC" w:rsidRPr="002C0D19" w:rsidRDefault="007968EC" w:rsidP="007968EC">
      <w:pPr>
        <w:jc w:val="both"/>
        <w:rPr>
          <w:rFonts w:ascii="Arial Narrow" w:hAnsi="Arial Narrow" w:cs="Arial"/>
          <w:color w:val="000000" w:themeColor="text1"/>
          <w:lang w:eastAsia="es-ES"/>
        </w:rPr>
      </w:pPr>
    </w:p>
    <w:p w14:paraId="6B14F6F6" w14:textId="77777777" w:rsidR="007968EC" w:rsidRPr="002C0D19" w:rsidRDefault="007968EC" w:rsidP="007968EC">
      <w:pPr>
        <w:jc w:val="both"/>
        <w:rPr>
          <w:rFonts w:ascii="Arial Narrow" w:hAnsi="Arial Narrow" w:cs="Arial"/>
          <w:strike/>
          <w:color w:val="000000" w:themeColor="text1"/>
          <w:lang w:val="es-ES" w:eastAsia="es-ES"/>
        </w:rPr>
      </w:pPr>
      <w:r w:rsidRPr="002C0D19">
        <w:rPr>
          <w:rFonts w:ascii="Arial Narrow" w:hAnsi="Arial Narrow" w:cs="Arial"/>
          <w:b/>
          <w:bCs/>
          <w:color w:val="000000" w:themeColor="text1"/>
          <w:u w:val="single"/>
          <w:lang w:val="es-ES" w:eastAsia="es-ES"/>
        </w:rPr>
        <w:t>SEXTA</w:t>
      </w:r>
      <w:r w:rsidRPr="002C0D19">
        <w:rPr>
          <w:rFonts w:ascii="Arial Narrow" w:hAnsi="Arial Narrow" w:cs="Arial"/>
          <w:b/>
          <w:color w:val="000000" w:themeColor="text1"/>
          <w:u w:val="single"/>
          <w:lang w:val="es-ES" w:eastAsia="es-ES"/>
        </w:rPr>
        <w:t xml:space="preserve">. </w:t>
      </w:r>
      <w:r w:rsidRPr="002C0D19">
        <w:rPr>
          <w:rFonts w:ascii="Arial Narrow" w:hAnsi="Arial Narrow" w:cs="Arial"/>
          <w:b/>
          <w:bCs/>
          <w:color w:val="000000" w:themeColor="text1"/>
          <w:u w:val="single"/>
          <w:lang w:val="es-ES" w:eastAsia="es-ES"/>
        </w:rPr>
        <w:t>Cesión y subcontratación.</w:t>
      </w:r>
      <w:r w:rsidRPr="002C0D19">
        <w:rPr>
          <w:rFonts w:ascii="Arial Narrow" w:hAnsi="Arial Narrow" w:cs="Arial"/>
          <w:b/>
          <w:bCs/>
          <w:color w:val="000000" w:themeColor="text1"/>
          <w:lang w:val="es-ES" w:eastAsia="es-ES"/>
        </w:rPr>
        <w:t xml:space="preserve"> </w:t>
      </w:r>
      <w:r w:rsidRPr="002C0D19">
        <w:rPr>
          <w:rFonts w:ascii="Arial Narrow" w:hAnsi="Arial Narrow" w:cs="Arial"/>
          <w:color w:val="000000" w:themeColor="text1"/>
          <w:lang w:val="es-ES" w:eastAsia="es-ES"/>
        </w:rPr>
        <w:t>Las partes no podrán ceder ni subcontratar total o parcialmente el presente Acuerdo, antes o después de ser aceptada.</w:t>
      </w:r>
    </w:p>
    <w:p w14:paraId="1E5332E1" w14:textId="77777777" w:rsidR="007968EC" w:rsidRPr="002C0D19" w:rsidRDefault="007968EC" w:rsidP="007968EC">
      <w:pPr>
        <w:jc w:val="both"/>
        <w:rPr>
          <w:rFonts w:ascii="Arial Narrow" w:hAnsi="Arial Narrow" w:cs="Arial"/>
          <w:b/>
          <w:bCs/>
          <w:color w:val="000000" w:themeColor="text1"/>
          <w:lang w:val="es-ES" w:eastAsia="es-ES"/>
        </w:rPr>
      </w:pPr>
    </w:p>
    <w:p w14:paraId="78D3B0C9" w14:textId="77777777" w:rsidR="007968EC" w:rsidRPr="002C0D19" w:rsidRDefault="007968EC" w:rsidP="007968EC">
      <w:pPr>
        <w:jc w:val="both"/>
        <w:rPr>
          <w:rFonts w:ascii="Arial Narrow" w:hAnsi="Arial Narrow" w:cs="Arial"/>
          <w:b/>
          <w:bCs/>
          <w:color w:val="000000" w:themeColor="text1"/>
          <w:lang w:val="es-ES" w:eastAsia="es-ES"/>
        </w:rPr>
      </w:pPr>
      <w:r w:rsidRPr="002C0D19">
        <w:rPr>
          <w:rFonts w:ascii="Arial Narrow" w:hAnsi="Arial Narrow" w:cs="Arial"/>
          <w:b/>
          <w:bCs/>
          <w:color w:val="000000" w:themeColor="text1"/>
          <w:lang w:val="pt-BR" w:eastAsia="es-ES"/>
        </w:rPr>
        <w:t xml:space="preserve">CLÁUSULA OPTATIVA </w:t>
      </w:r>
      <w:r w:rsidRPr="002C0D19">
        <w:rPr>
          <w:rFonts w:ascii="Arial Narrow" w:hAnsi="Arial Narrow" w:cs="Arial"/>
          <w:b/>
          <w:bCs/>
          <w:color w:val="000000" w:themeColor="text1"/>
          <w:u w:val="single"/>
          <w:lang w:val="es-ES" w:eastAsia="es-ES"/>
        </w:rPr>
        <w:t>SÉPTIMA</w:t>
      </w:r>
      <w:r w:rsidRPr="002C0D19">
        <w:rPr>
          <w:rFonts w:ascii="Arial Narrow" w:hAnsi="Arial Narrow" w:cs="Arial"/>
          <w:b/>
          <w:bCs/>
          <w:color w:val="000000" w:themeColor="text1"/>
          <w:u w:val="single"/>
          <w:lang w:val="pt-BR" w:eastAsia="es-ES"/>
        </w:rPr>
        <w:t xml:space="preserve">. Cláusula </w:t>
      </w:r>
      <w:proofErr w:type="spellStart"/>
      <w:r w:rsidRPr="002C0D19">
        <w:rPr>
          <w:rFonts w:ascii="Arial Narrow" w:hAnsi="Arial Narrow" w:cs="Arial"/>
          <w:b/>
          <w:bCs/>
          <w:color w:val="000000" w:themeColor="text1"/>
          <w:u w:val="single"/>
          <w:lang w:val="pt-BR" w:eastAsia="es-ES"/>
        </w:rPr>
        <w:t>Compromisoria</w:t>
      </w:r>
      <w:proofErr w:type="spellEnd"/>
      <w:r w:rsidRPr="002C0D19">
        <w:rPr>
          <w:rFonts w:ascii="Arial Narrow" w:hAnsi="Arial Narrow" w:cs="Arial"/>
          <w:b/>
          <w:bCs/>
          <w:color w:val="000000" w:themeColor="text1"/>
          <w:u w:val="single"/>
          <w:lang w:val="pt-BR" w:eastAsia="es-ES"/>
        </w:rPr>
        <w:t>.</w:t>
      </w:r>
      <w:r w:rsidRPr="002C0D19">
        <w:rPr>
          <w:rFonts w:ascii="Arial Narrow" w:hAnsi="Arial Narrow" w:cs="Arial"/>
          <w:color w:val="000000" w:themeColor="text1"/>
          <w:u w:val="single"/>
          <w:lang w:val="pt-BR" w:eastAsia="es-ES"/>
        </w:rPr>
        <w:t xml:space="preserve"> </w:t>
      </w:r>
      <w:r w:rsidRPr="002C0D19">
        <w:rPr>
          <w:rFonts w:ascii="Arial Narrow" w:hAnsi="Arial Narrow" w:cs="Arial"/>
          <w:color w:val="000000" w:themeColor="text1"/>
          <w:lang w:val="es-ES_tradnl" w:eastAsia="es-ES"/>
        </w:rPr>
        <w:t xml:space="preserve">Todas las diferencias que ocurran entre las partes con ocasión del presente Acuerdo, y que no puedan solucionarse por acuerdo directo entre ellas, en un plazo que no podrá exceder de dos (2) meses contados a partir de la fecha del evento que generó la diferencia, serán resueltas por un Tribunal de Arbitramento. Cuando la cuantía de las pretensiones supere los mil (1000) salarios mínimos legales mensuales vigentes en Colombia, el Tribunal de Arbitramento estará conformado por tres (3) árbitros, los cuales serán designados por las partes dentro de los quince (15) días hábiles siguientes al vencimiento del plazo de dos (2) meses de acuerdo directo, o a falta de acuerdo, mediante sorteo entre los árbitros inscritos en el Centro de Arbitraje y Conciliación de la Cámara de Comercio de Bogotá. En caso de que la cuantía de las pretensiones sea igual o inferior a mil (1000) salarios mínimos legales mensuales vigentes en Colombia, el Tribunal de Arbitramento estará conformado por un (1) árbitro, el cual será designado por las partes dentro de los quince (15) días hábiles siguientes al vencimiento del plazo de dos (2) meses de acuerdo directo, o a falta de acuerdo, por sorteo entre los árbitros inscritos en el </w:t>
      </w:r>
      <w:r w:rsidRPr="002C0D19">
        <w:rPr>
          <w:rFonts w:ascii="Arial Narrow" w:hAnsi="Arial Narrow" w:cs="Arial"/>
          <w:color w:val="000000" w:themeColor="text1"/>
          <w:lang w:val="es-ES_tradnl" w:eastAsia="es-ES"/>
        </w:rPr>
        <w:lastRenderedPageBreak/>
        <w:t xml:space="preserve">Centro de Arbitraje y Conciliación de la Cámara de Comercio de Bogotá. El o los árbitros designados serán Abogados inscritos y fallarán en derecho. El Tribunal de Arbitramento tendrá sede en la ciudad de Bogotá y se regirá por las leyes colombianas. </w:t>
      </w:r>
    </w:p>
    <w:p w14:paraId="6C32010F" w14:textId="77777777" w:rsidR="007968EC" w:rsidRPr="002C0D19" w:rsidRDefault="007968EC" w:rsidP="007968EC">
      <w:pPr>
        <w:jc w:val="both"/>
        <w:rPr>
          <w:rFonts w:ascii="Arial Narrow" w:hAnsi="Arial Narrow" w:cs="Arial"/>
          <w:b/>
          <w:color w:val="000000" w:themeColor="text1"/>
          <w:u w:val="single"/>
          <w:lang w:val="es-ES" w:eastAsia="es-ES"/>
        </w:rPr>
      </w:pPr>
    </w:p>
    <w:p w14:paraId="555F87F8"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pt-BR" w:eastAsia="es-ES"/>
        </w:rPr>
        <w:t>OCTAVA</w:t>
      </w:r>
      <w:r w:rsidRPr="002C0D19">
        <w:rPr>
          <w:rFonts w:ascii="Arial Narrow" w:hAnsi="Arial Narrow" w:cs="Arial"/>
          <w:b/>
          <w:color w:val="000000" w:themeColor="text1"/>
          <w:u w:val="single"/>
          <w:lang w:val="es-ES" w:eastAsia="es-ES"/>
        </w:rPr>
        <w:t>. Notificaciones.</w:t>
      </w:r>
      <w:r w:rsidRPr="002C0D19">
        <w:rPr>
          <w:rFonts w:ascii="Arial Narrow" w:hAnsi="Arial Narrow" w:cs="Arial"/>
          <w:color w:val="000000" w:themeColor="text1"/>
          <w:lang w:val="es-ES" w:eastAsia="es-ES"/>
        </w:rPr>
        <w:t xml:space="preserve"> Todas las notificaciones y comunicaciones relacionadas con el presente Acuerdo se harán por escrito y se enviarán a las siguientes direcciones:</w:t>
      </w:r>
    </w:p>
    <w:p w14:paraId="4CF0281C" w14:textId="77777777" w:rsidR="007968EC" w:rsidRPr="002C0D19" w:rsidRDefault="007968EC" w:rsidP="007968EC">
      <w:pPr>
        <w:tabs>
          <w:tab w:val="left" w:pos="567"/>
        </w:tabs>
        <w:ind w:right="-16"/>
        <w:jc w:val="both"/>
        <w:rPr>
          <w:rFonts w:ascii="Arial Narrow" w:hAnsi="Arial Narrow" w:cs="Arial"/>
          <w:color w:val="000000" w:themeColor="text1"/>
          <w:lang w:val="es-ES" w:eastAsia="es-ES"/>
        </w:rPr>
      </w:pPr>
    </w:p>
    <w:p w14:paraId="343F8D0B" w14:textId="77777777" w:rsidR="007968EC" w:rsidRPr="002C0D19" w:rsidRDefault="007968EC" w:rsidP="007968EC">
      <w:pPr>
        <w:tabs>
          <w:tab w:val="left" w:pos="567"/>
          <w:tab w:val="left" w:pos="2835"/>
        </w:tabs>
        <w:ind w:left="2805" w:right="-16" w:hanging="2805"/>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w:t>
      </w:r>
      <w:r w:rsidRPr="002C0D19">
        <w:rPr>
          <w:rFonts w:ascii="Arial Narrow" w:hAnsi="Arial Narrow" w:cs="Arial"/>
          <w:color w:val="000000" w:themeColor="text1"/>
          <w:lang w:val="es-ES" w:eastAsia="es-ES"/>
        </w:rPr>
        <w:tab/>
      </w:r>
      <w:r w:rsidRPr="002C0D19">
        <w:rPr>
          <w:rFonts w:ascii="Arial Narrow" w:hAnsi="Arial Narrow" w:cs="Arial"/>
          <w:b/>
          <w:color w:val="000000" w:themeColor="text1"/>
          <w:lang w:val="es-ES" w:eastAsia="es-ES"/>
        </w:rPr>
        <w:tab/>
      </w:r>
    </w:p>
    <w:p w14:paraId="0512B4CB" w14:textId="77777777" w:rsidR="007968EC" w:rsidRPr="002C0D19" w:rsidRDefault="007968EC" w:rsidP="007968EC">
      <w:pPr>
        <w:tabs>
          <w:tab w:val="left" w:pos="567"/>
          <w:tab w:val="left" w:pos="2835"/>
        </w:tabs>
        <w:ind w:right="51"/>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ab/>
      </w:r>
      <w:r w:rsidRPr="002C0D19">
        <w:rPr>
          <w:rFonts w:ascii="Arial Narrow" w:hAnsi="Arial Narrow" w:cs="Arial"/>
          <w:color w:val="000000" w:themeColor="text1"/>
          <w:lang w:val="es-ES" w:eastAsia="es-ES"/>
        </w:rPr>
        <w:tab/>
        <w:t xml:space="preserve">Fax: </w:t>
      </w:r>
    </w:p>
    <w:p w14:paraId="39AE8266" w14:textId="77777777" w:rsidR="007968EC" w:rsidRPr="002C0D19" w:rsidRDefault="007968EC" w:rsidP="007968EC">
      <w:pPr>
        <w:tabs>
          <w:tab w:val="left" w:pos="567"/>
          <w:tab w:val="left" w:pos="2835"/>
        </w:tabs>
        <w:ind w:right="-16"/>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ab/>
      </w:r>
      <w:r w:rsidRPr="002C0D19">
        <w:rPr>
          <w:rFonts w:ascii="Arial Narrow" w:hAnsi="Arial Narrow" w:cs="Arial"/>
          <w:color w:val="000000" w:themeColor="text1"/>
          <w:lang w:val="es-ES" w:eastAsia="es-ES"/>
        </w:rPr>
        <w:tab/>
        <w:t xml:space="preserve">Dirección: </w:t>
      </w:r>
    </w:p>
    <w:p w14:paraId="76CD54CC" w14:textId="77777777" w:rsidR="007968EC" w:rsidRPr="002C0D19" w:rsidRDefault="007968EC" w:rsidP="007968EC">
      <w:pPr>
        <w:tabs>
          <w:tab w:val="left" w:pos="567"/>
          <w:tab w:val="left" w:pos="2835"/>
        </w:tabs>
        <w:ind w:right="-16"/>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ab/>
      </w:r>
      <w:r w:rsidRPr="002C0D19">
        <w:rPr>
          <w:rFonts w:ascii="Arial Narrow" w:hAnsi="Arial Narrow" w:cs="Arial"/>
          <w:color w:val="000000" w:themeColor="text1"/>
          <w:lang w:val="es-ES" w:eastAsia="es-ES"/>
        </w:rPr>
        <w:tab/>
        <w:t>Ciudad:</w:t>
      </w:r>
    </w:p>
    <w:p w14:paraId="3E3B1CD5" w14:textId="77777777" w:rsidR="007968EC" w:rsidRPr="002C0D19" w:rsidRDefault="007968EC" w:rsidP="007968EC">
      <w:pPr>
        <w:tabs>
          <w:tab w:val="left" w:pos="567"/>
          <w:tab w:val="left" w:pos="2835"/>
        </w:tabs>
        <w:ind w:right="44"/>
        <w:jc w:val="both"/>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EL AGENTE CUSTODIO:</w:t>
      </w:r>
      <w:r w:rsidRPr="002C0D19">
        <w:rPr>
          <w:rFonts w:ascii="Arial Narrow" w:hAnsi="Arial Narrow" w:cs="Arial"/>
          <w:b/>
          <w:color w:val="000000" w:themeColor="text1"/>
          <w:lang w:val="es-ES" w:eastAsia="es-ES"/>
        </w:rPr>
        <w:tab/>
      </w:r>
    </w:p>
    <w:p w14:paraId="7CCDE1A1"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b/>
          <w:color w:val="000000" w:themeColor="text1"/>
          <w:lang w:val="es-ES" w:eastAsia="es-ES"/>
        </w:rPr>
        <w:tab/>
      </w:r>
      <w:r w:rsidRPr="002C0D19">
        <w:rPr>
          <w:rFonts w:ascii="Arial Narrow" w:hAnsi="Arial Narrow" w:cs="Arial"/>
          <w:b/>
          <w:color w:val="000000" w:themeColor="text1"/>
          <w:lang w:val="es-ES" w:eastAsia="es-ES"/>
        </w:rPr>
        <w:tab/>
      </w:r>
      <w:r w:rsidRPr="002C0D19">
        <w:rPr>
          <w:rFonts w:ascii="Arial Narrow" w:hAnsi="Arial Narrow" w:cs="Arial"/>
          <w:color w:val="000000" w:themeColor="text1"/>
          <w:lang w:eastAsia="es-ES"/>
        </w:rPr>
        <w:t xml:space="preserve">Fax:  </w:t>
      </w:r>
    </w:p>
    <w:p w14:paraId="0155DDEB"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r>
      <w:r w:rsidRPr="002C0D19">
        <w:rPr>
          <w:rFonts w:ascii="Arial Narrow" w:hAnsi="Arial Narrow" w:cs="Arial"/>
          <w:color w:val="000000" w:themeColor="text1"/>
          <w:lang w:val="es-ES" w:eastAsia="es-ES"/>
        </w:rPr>
        <w:t>Dirección</w:t>
      </w:r>
      <w:r w:rsidRPr="002C0D19">
        <w:rPr>
          <w:rFonts w:ascii="Arial Narrow" w:hAnsi="Arial Narrow" w:cs="Arial"/>
          <w:color w:val="000000" w:themeColor="text1"/>
          <w:lang w:eastAsia="es-ES"/>
        </w:rPr>
        <w:t xml:space="preserve">: </w:t>
      </w:r>
    </w:p>
    <w:p w14:paraId="562F40BC"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t xml:space="preserve">Ciudad: </w:t>
      </w:r>
    </w:p>
    <w:p w14:paraId="6DD34742" w14:textId="77777777" w:rsidR="007968EC" w:rsidRPr="002C0D19" w:rsidRDefault="007968EC" w:rsidP="007968EC">
      <w:pPr>
        <w:jc w:val="both"/>
        <w:rPr>
          <w:rFonts w:ascii="Arial Narrow" w:hAnsi="Arial Narrow" w:cs="Arial"/>
          <w:b/>
          <w:bCs/>
          <w:color w:val="000000" w:themeColor="text1"/>
          <w:u w:val="single"/>
          <w:lang w:val="es-ES" w:eastAsia="es-ES"/>
        </w:rPr>
      </w:pPr>
    </w:p>
    <w:p w14:paraId="5D61A7E9" w14:textId="77777777" w:rsidR="007968EC" w:rsidRPr="002C0D19" w:rsidRDefault="007968EC" w:rsidP="007968EC">
      <w:pPr>
        <w:jc w:val="both"/>
        <w:rPr>
          <w:rFonts w:ascii="Arial Narrow" w:hAnsi="Arial Narrow" w:cs="Arial"/>
          <w:b/>
          <w:color w:val="000000" w:themeColor="text1"/>
          <w:u w:val="single"/>
          <w:lang w:val="es-ES" w:eastAsia="es-ES"/>
        </w:rPr>
      </w:pPr>
      <w:r w:rsidRPr="002C0D19">
        <w:rPr>
          <w:rFonts w:ascii="Arial Narrow" w:hAnsi="Arial Narrow" w:cs="Arial"/>
          <w:b/>
          <w:bCs/>
          <w:color w:val="000000" w:themeColor="text1"/>
          <w:u w:val="single"/>
          <w:lang w:val="es-ES" w:eastAsia="es-ES"/>
        </w:rPr>
        <w:t>NOVENA. Contraprestación</w:t>
      </w:r>
      <w:r w:rsidRPr="002C0D19">
        <w:rPr>
          <w:rFonts w:ascii="Arial Narrow" w:hAnsi="Arial Narrow" w:cs="Arial"/>
          <w:b/>
          <w:bCs/>
          <w:color w:val="000000" w:themeColor="text1"/>
          <w:lang w:val="es-ES" w:eastAsia="es-ES"/>
        </w:rPr>
        <w:t>.</w:t>
      </w:r>
      <w:r w:rsidRPr="002C0D19">
        <w:rPr>
          <w:rFonts w:ascii="Arial Narrow" w:hAnsi="Arial Narrow" w:cs="Arial"/>
          <w:color w:val="000000" w:themeColor="text1"/>
          <w:lang w:val="es-ES" w:eastAsia="es-ES"/>
        </w:rPr>
        <w:t xml:space="preserve"> Este Acuerdo no genera ninguna contraprestación económica a cargo ni a favor de las partes.</w:t>
      </w:r>
    </w:p>
    <w:p w14:paraId="06737615"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u w:val="single"/>
          <w:lang w:val="es-ES" w:eastAsia="es-ES"/>
        </w:rPr>
        <w:t xml:space="preserve">  </w:t>
      </w:r>
    </w:p>
    <w:p w14:paraId="1685AE57"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Para constancia, se firma en Bogotá D.C., el día ______________ (____) del mes de _____________ del año dos mil ___________ (____). </w:t>
      </w:r>
    </w:p>
    <w:p w14:paraId="217E079D" w14:textId="77777777" w:rsidR="007968EC" w:rsidRPr="002C0D19" w:rsidRDefault="007968EC" w:rsidP="007968EC">
      <w:pPr>
        <w:jc w:val="both"/>
        <w:rPr>
          <w:rFonts w:ascii="Arial Narrow" w:hAnsi="Arial Narrow" w:cs="Arial"/>
          <w:color w:val="000000" w:themeColor="text1"/>
          <w:lang w:val="es-ES" w:eastAsia="es-ES"/>
        </w:rPr>
      </w:pPr>
    </w:p>
    <w:p w14:paraId="7AF6DADD" w14:textId="77777777" w:rsidR="007968EC" w:rsidRPr="002C0D19" w:rsidRDefault="007968EC" w:rsidP="007968EC">
      <w:pPr>
        <w:jc w:val="both"/>
        <w:rPr>
          <w:rFonts w:ascii="Arial Narrow" w:hAnsi="Arial Narrow" w:cs="Arial"/>
          <w:b/>
          <w:bCs/>
          <w:color w:val="000000" w:themeColor="text1"/>
          <w:lang w:val="es-ES" w:eastAsia="es-ES"/>
        </w:rPr>
      </w:pPr>
      <w:r w:rsidRPr="002C0D19">
        <w:rPr>
          <w:rFonts w:ascii="Arial Narrow" w:hAnsi="Arial Narrow" w:cs="Arial"/>
          <w:b/>
          <w:bCs/>
          <w:color w:val="000000" w:themeColor="text1"/>
          <w:lang w:val="es-ES" w:eastAsia="es-ES"/>
        </w:rPr>
        <w:t>AGENTE CUSTODIO</w:t>
      </w:r>
    </w:p>
    <w:p w14:paraId="6B373F67" w14:textId="77777777" w:rsidR="007968EC" w:rsidRPr="002C0D19" w:rsidRDefault="007968EC" w:rsidP="007968EC">
      <w:pPr>
        <w:jc w:val="both"/>
        <w:rPr>
          <w:rFonts w:ascii="Arial Narrow" w:hAnsi="Arial Narrow" w:cs="Arial"/>
          <w:b/>
          <w:bCs/>
          <w:color w:val="000000" w:themeColor="text1"/>
          <w:lang w:val="es-ES" w:eastAsia="es-ES"/>
        </w:rPr>
      </w:pPr>
    </w:p>
    <w:p w14:paraId="41883AA5" w14:textId="77777777" w:rsidR="007968EC" w:rsidRPr="002C0D19" w:rsidRDefault="007968EC" w:rsidP="007968EC">
      <w:pPr>
        <w:jc w:val="both"/>
        <w:rPr>
          <w:rFonts w:ascii="Arial Narrow" w:hAnsi="Arial Narrow" w:cs="Arial"/>
          <w:color w:val="000000" w:themeColor="text1"/>
          <w:lang w:val="es-ES" w:eastAsia="es-ES"/>
        </w:rPr>
      </w:pPr>
    </w:p>
    <w:p w14:paraId="223E98E5"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Por:          ________________________________                      </w:t>
      </w:r>
    </w:p>
    <w:p w14:paraId="567C5192"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Nombre:                                               </w:t>
      </w:r>
    </w:p>
    <w:p w14:paraId="7A5239B5"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Cargo:                                           </w:t>
      </w:r>
    </w:p>
    <w:p w14:paraId="3F7CD5A2" w14:textId="77777777" w:rsidR="007968EC" w:rsidRPr="002C0D19" w:rsidRDefault="007968EC" w:rsidP="007968EC">
      <w:pPr>
        <w:jc w:val="both"/>
        <w:rPr>
          <w:rFonts w:ascii="Arial Narrow" w:hAnsi="Arial Narrow" w:cs="Arial"/>
          <w:color w:val="000000" w:themeColor="text1"/>
          <w:spacing w:val="-3"/>
          <w:lang w:val="fr-FR" w:eastAsia="es-ES"/>
        </w:rPr>
      </w:pPr>
      <w:r w:rsidRPr="002C0D19">
        <w:rPr>
          <w:rFonts w:ascii="Arial Narrow" w:hAnsi="Arial Narrow" w:cs="Arial"/>
          <w:color w:val="000000" w:themeColor="text1"/>
          <w:spacing w:val="-3"/>
          <w:lang w:val="fr-FR" w:eastAsia="es-ES"/>
        </w:rPr>
        <w:t>C.C.</w:t>
      </w:r>
    </w:p>
    <w:p w14:paraId="331C6B83" w14:textId="77777777" w:rsidR="007968EC" w:rsidRPr="002C0D19" w:rsidRDefault="007968EC" w:rsidP="007968EC">
      <w:pPr>
        <w:jc w:val="both"/>
        <w:rPr>
          <w:rFonts w:ascii="Arial Narrow" w:hAnsi="Arial Narrow" w:cs="Arial"/>
          <w:b/>
          <w:bCs/>
          <w:color w:val="000000" w:themeColor="text1"/>
          <w:lang w:eastAsia="es-ES"/>
        </w:rPr>
      </w:pPr>
    </w:p>
    <w:p w14:paraId="64555B40" w14:textId="77777777" w:rsidR="007968EC" w:rsidRPr="002C0D19" w:rsidRDefault="007968EC" w:rsidP="007968EC">
      <w:pPr>
        <w:jc w:val="both"/>
        <w:rPr>
          <w:rFonts w:ascii="Arial Narrow" w:hAnsi="Arial Narrow" w:cs="Arial"/>
          <w:b/>
          <w:bCs/>
          <w:color w:val="000000" w:themeColor="text1"/>
          <w:lang w:val="es-ES" w:eastAsia="es-ES"/>
        </w:rPr>
      </w:pPr>
      <w:r w:rsidRPr="002C0D19">
        <w:rPr>
          <w:rFonts w:ascii="Arial Narrow" w:hAnsi="Arial Narrow" w:cs="Arial"/>
          <w:b/>
          <w:bCs/>
          <w:color w:val="000000" w:themeColor="text1"/>
          <w:lang w:val="es-ES" w:eastAsia="es-ES"/>
        </w:rPr>
        <w:t>MIEMBRO LIQUIDADOR</w:t>
      </w:r>
    </w:p>
    <w:p w14:paraId="399A9E36" w14:textId="77777777" w:rsidR="007968EC" w:rsidRPr="002C0D19" w:rsidRDefault="007968EC" w:rsidP="007968EC">
      <w:pPr>
        <w:jc w:val="both"/>
        <w:rPr>
          <w:rFonts w:ascii="Arial Narrow" w:hAnsi="Arial Narrow" w:cs="Arial"/>
          <w:b/>
          <w:bCs/>
          <w:color w:val="000000" w:themeColor="text1"/>
          <w:lang w:val="es-ES" w:eastAsia="es-ES"/>
        </w:rPr>
      </w:pPr>
    </w:p>
    <w:p w14:paraId="7BB45009" w14:textId="77777777" w:rsidR="007968EC" w:rsidRPr="002C0D19" w:rsidRDefault="007968EC" w:rsidP="007968EC">
      <w:pPr>
        <w:jc w:val="both"/>
        <w:rPr>
          <w:rFonts w:ascii="Arial Narrow" w:hAnsi="Arial Narrow" w:cs="Arial"/>
          <w:color w:val="000000" w:themeColor="text1"/>
          <w:lang w:val="es-ES" w:eastAsia="es-ES"/>
        </w:rPr>
      </w:pPr>
    </w:p>
    <w:p w14:paraId="4F6F61FA"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Por:          ________________________________                      </w:t>
      </w:r>
    </w:p>
    <w:p w14:paraId="7F0EA5A2"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Nombre:                                               </w:t>
      </w:r>
    </w:p>
    <w:p w14:paraId="6FF534AE"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Cargo:                                           </w:t>
      </w:r>
    </w:p>
    <w:p w14:paraId="2CF2E8BB" w14:textId="77777777" w:rsidR="007968EC" w:rsidRPr="002C0D19" w:rsidRDefault="007968EC" w:rsidP="007968EC">
      <w:pPr>
        <w:jc w:val="both"/>
        <w:rPr>
          <w:rFonts w:ascii="Arial Narrow" w:hAnsi="Arial Narrow" w:cs="Arial"/>
          <w:b/>
          <w:color w:val="000000" w:themeColor="text1"/>
          <w:lang w:val="es-ES" w:eastAsia="es-ES"/>
        </w:rPr>
      </w:pPr>
      <w:r w:rsidRPr="002C0D19">
        <w:rPr>
          <w:rFonts w:ascii="Arial Narrow" w:hAnsi="Arial Narrow" w:cs="Arial"/>
          <w:color w:val="000000" w:themeColor="text1"/>
          <w:spacing w:val="-3"/>
          <w:lang w:val="fr-FR" w:eastAsia="es-ES"/>
        </w:rPr>
        <w:t>C.C</w:t>
      </w:r>
    </w:p>
    <w:p w14:paraId="7DD70899" w14:textId="77777777" w:rsidR="007968EC" w:rsidRPr="002C0D19" w:rsidRDefault="007968EC" w:rsidP="007968EC">
      <w:pPr>
        <w:jc w:val="both"/>
        <w:rPr>
          <w:rFonts w:ascii="Arial Narrow" w:hAnsi="Arial Narrow" w:cs="Arial"/>
          <w:b/>
          <w:bCs/>
          <w:color w:val="000000" w:themeColor="text1"/>
          <w:lang w:eastAsia="es-ES"/>
        </w:rPr>
      </w:pPr>
    </w:p>
    <w:p w14:paraId="3D71DE67" w14:textId="77777777" w:rsidR="007968EC" w:rsidRPr="002C0D19" w:rsidRDefault="007968EC" w:rsidP="007968EC">
      <w:pPr>
        <w:rPr>
          <w:rFonts w:ascii="Arial Narrow" w:hAnsi="Arial Narrow" w:cs="Arial"/>
          <w:b/>
          <w:color w:val="000000" w:themeColor="text1"/>
          <w:lang w:val="es-ES" w:eastAsia="es-ES"/>
        </w:rPr>
      </w:pPr>
    </w:p>
    <w:p w14:paraId="546DE2F8" w14:textId="77777777" w:rsidR="007968EC" w:rsidRPr="002C0D19" w:rsidRDefault="007968EC" w:rsidP="007968EC">
      <w:pPr>
        <w:rPr>
          <w:rFonts w:ascii="Arial Narrow" w:hAnsi="Arial Narrow" w:cs="Arial"/>
          <w:b/>
          <w:i/>
          <w:color w:val="000000" w:themeColor="text1"/>
          <w:lang w:val="es-ES" w:eastAsia="es-ES"/>
        </w:rPr>
      </w:pPr>
      <w:r w:rsidRPr="002C0D19">
        <w:rPr>
          <w:rFonts w:ascii="Arial Narrow" w:hAnsi="Arial Narrow" w:cs="Arial"/>
          <w:b/>
          <w:i/>
          <w:color w:val="000000" w:themeColor="text1"/>
          <w:lang w:val="es-ES" w:eastAsia="es-ES"/>
        </w:rPr>
        <w:br w:type="page"/>
      </w:r>
    </w:p>
    <w:p w14:paraId="16A91DDC" w14:textId="77777777" w:rsidR="007968EC" w:rsidRPr="002C0D19" w:rsidRDefault="007968EC" w:rsidP="007968EC">
      <w:pPr>
        <w:jc w:val="center"/>
        <w:rPr>
          <w:rFonts w:ascii="Arial Narrow" w:hAnsi="Arial Narrow" w:cs="Arial"/>
          <w:b/>
          <w:i/>
          <w:color w:val="000000" w:themeColor="text1"/>
          <w:lang w:val="es-ES" w:eastAsia="es-ES"/>
        </w:rPr>
      </w:pPr>
      <w:r w:rsidRPr="002C0D19">
        <w:rPr>
          <w:rFonts w:ascii="Arial Narrow" w:hAnsi="Arial Narrow" w:cs="Arial"/>
          <w:b/>
          <w:i/>
          <w:color w:val="000000" w:themeColor="text1"/>
          <w:lang w:val="es-ES" w:eastAsia="es-ES"/>
        </w:rPr>
        <w:lastRenderedPageBreak/>
        <w:t>Anexo 22.2. Modelo de Acuerdo de la Cámara para Agente de Pago</w:t>
      </w:r>
    </w:p>
    <w:p w14:paraId="70EB4B9F" w14:textId="77777777" w:rsidR="007968EC" w:rsidRPr="002C0D19" w:rsidRDefault="007968EC" w:rsidP="007968EC">
      <w:pPr>
        <w:jc w:val="center"/>
        <w:rPr>
          <w:rFonts w:ascii="Arial Narrow" w:hAnsi="Arial Narrow" w:cs="Arial"/>
          <w:b/>
          <w:bCs/>
          <w:color w:val="000000" w:themeColor="text1"/>
          <w:lang w:val="es-ES" w:eastAsia="es-ES"/>
        </w:rPr>
      </w:pPr>
    </w:p>
    <w:p w14:paraId="0DC116A4" w14:textId="77777777" w:rsidR="007968EC" w:rsidRDefault="007968EC" w:rsidP="007968EC">
      <w:pPr>
        <w:jc w:val="center"/>
        <w:rPr>
          <w:rFonts w:ascii="Arial Narrow" w:eastAsia="Calibri" w:hAnsi="Arial Narrow"/>
          <w:b/>
          <w:i/>
        </w:rPr>
      </w:pPr>
      <w:r>
        <w:rPr>
          <w:rFonts w:ascii="Arial Narrow" w:eastAsia="Calibri" w:hAnsi="Arial Narrow"/>
          <w:b/>
          <w:i/>
        </w:rPr>
        <w:t xml:space="preserve">(Este Anexo fue modificado mediante Circular 16 del 25 de agosto de 2017, publicada en el Boletín Normativo No. 017 del 25 de agosto de 2017, y </w:t>
      </w:r>
      <w:r w:rsidRPr="0014213B">
        <w:rPr>
          <w:rFonts w:ascii="Arial Narrow" w:eastAsia="Calibri" w:hAnsi="Arial Narrow"/>
          <w:b/>
          <w:i/>
        </w:rPr>
        <w:t>mediante Circular 16 del 8 de octubre de 2019, publicada en el Boletín Normativo No. 030 del 8 de octubre de 2019. Rige a partir del 9 de octubre de 2019</w:t>
      </w:r>
      <w:r>
        <w:rPr>
          <w:rFonts w:ascii="Arial Narrow" w:eastAsia="Calibri" w:hAnsi="Arial Narrow"/>
          <w:b/>
          <w:i/>
        </w:rPr>
        <w:t>.)</w:t>
      </w:r>
    </w:p>
    <w:p w14:paraId="438E3911" w14:textId="77777777" w:rsidR="007968EC" w:rsidRPr="002C0D19" w:rsidRDefault="007968EC" w:rsidP="007968EC">
      <w:pPr>
        <w:jc w:val="center"/>
        <w:rPr>
          <w:rFonts w:ascii="Arial Narrow" w:hAnsi="Arial Narrow" w:cs="Arial"/>
          <w:b/>
          <w:bCs/>
          <w:color w:val="000000" w:themeColor="text1"/>
          <w:lang w:val="es-ES" w:eastAsia="es-ES"/>
        </w:rPr>
      </w:pPr>
    </w:p>
    <w:p w14:paraId="42301073" w14:textId="77777777" w:rsidR="007968EC" w:rsidRPr="002C0D19" w:rsidRDefault="007968EC" w:rsidP="007968EC">
      <w:pPr>
        <w:jc w:val="center"/>
        <w:rPr>
          <w:rFonts w:ascii="Arial Narrow" w:hAnsi="Arial Narrow" w:cs="Arial"/>
          <w:b/>
          <w:lang w:eastAsia="es-ES"/>
        </w:rPr>
      </w:pPr>
      <w:r w:rsidRPr="002C0D19">
        <w:rPr>
          <w:rFonts w:ascii="Arial Narrow" w:hAnsi="Arial Narrow" w:cs="Arial"/>
          <w:b/>
          <w:lang w:val="es-ES" w:eastAsia="es-ES"/>
        </w:rPr>
        <w:t>ACUERDO</w:t>
      </w:r>
      <w:r w:rsidRPr="002C0D19">
        <w:rPr>
          <w:rFonts w:ascii="Arial Narrow" w:hAnsi="Arial Narrow" w:cs="Arial"/>
          <w:b/>
          <w:lang w:eastAsia="es-ES"/>
        </w:rPr>
        <w:t xml:space="preserve"> PARA ACTUAR COMO </w:t>
      </w:r>
      <w:r w:rsidRPr="002C0D19">
        <w:rPr>
          <w:rFonts w:ascii="Arial Narrow" w:hAnsi="Arial Narrow" w:cs="Arial"/>
          <w:b/>
          <w:u w:val="single"/>
          <w:lang w:eastAsia="es-ES"/>
        </w:rPr>
        <w:t>AGENTE DE PAGO</w:t>
      </w:r>
      <w:r w:rsidRPr="002C0D19">
        <w:rPr>
          <w:rFonts w:ascii="Arial Narrow" w:hAnsi="Arial Narrow" w:cs="Arial"/>
          <w:b/>
          <w:lang w:eastAsia="es-ES"/>
        </w:rPr>
        <w:t xml:space="preserve"> POR CUENTA DE TERCEROS DE UN MIEMBRO LIQUIDADOR EN EL SISTEMA DE COMPENSACIÓN Y LIQUIDACIÓN DE LA CÁMARA DE RIESGO CENTRAL DE CONTRAPARTE DE COLOMBIA S.A. – CRCC </w:t>
      </w:r>
    </w:p>
    <w:p w14:paraId="48F3EC5C" w14:textId="77777777" w:rsidR="007968EC" w:rsidRPr="002C0D19" w:rsidRDefault="007968EC" w:rsidP="007968EC">
      <w:pPr>
        <w:jc w:val="both"/>
        <w:rPr>
          <w:rFonts w:ascii="Arial Narrow" w:hAnsi="Arial Narrow" w:cs="Arial"/>
          <w:b/>
          <w:lang w:eastAsia="es-ES"/>
        </w:rPr>
      </w:pPr>
    </w:p>
    <w:p w14:paraId="50BF646E"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lang w:val="es-ES" w:eastAsia="es-ES"/>
        </w:rPr>
        <w:t xml:space="preserve">Este Acuerdo para actuar como </w:t>
      </w:r>
      <w:r w:rsidRPr="002C0D19">
        <w:rPr>
          <w:rFonts w:ascii="Arial Narrow" w:hAnsi="Arial Narrow" w:cs="Arial"/>
          <w:b/>
          <w:lang w:val="es-ES" w:eastAsia="es-ES"/>
        </w:rPr>
        <w:t xml:space="preserve">AGENTE DE PAGO </w:t>
      </w:r>
      <w:r w:rsidRPr="002C0D19">
        <w:rPr>
          <w:rFonts w:ascii="Arial Narrow" w:hAnsi="Arial Narrow" w:cs="Arial"/>
          <w:lang w:val="es-ES" w:eastAsia="es-ES"/>
        </w:rPr>
        <w:t xml:space="preserve">por cuenta de los Terceros de los Miembros ante la Cámara de Riesgo Central de Contraparte de Colombia S.A. – CRCC S.A., en adelante </w:t>
      </w:r>
      <w:r w:rsidRPr="002C0D19">
        <w:rPr>
          <w:rFonts w:ascii="Arial Narrow" w:hAnsi="Arial Narrow" w:cs="Arial"/>
          <w:b/>
          <w:lang w:val="es-ES" w:eastAsia="es-ES"/>
        </w:rPr>
        <w:t>LA CRCC</w:t>
      </w:r>
      <w:r w:rsidRPr="002C0D19">
        <w:rPr>
          <w:rFonts w:ascii="Arial Narrow" w:hAnsi="Arial Narrow" w:cs="Arial"/>
          <w:lang w:val="es-ES" w:eastAsia="es-ES"/>
        </w:rPr>
        <w:t xml:space="preserve">, se suscribe por </w:t>
      </w:r>
      <w:r w:rsidRPr="002C0D19">
        <w:rPr>
          <w:rFonts w:ascii="Arial Narrow" w:hAnsi="Arial Narrow" w:cs="Arial"/>
          <w:b/>
          <w:lang w:val="es-ES" w:eastAsia="es-ES"/>
        </w:rPr>
        <w:t xml:space="preserve">_____________________, </w:t>
      </w:r>
      <w:r w:rsidRPr="002C0D19">
        <w:rPr>
          <w:rFonts w:ascii="Arial Narrow" w:hAnsi="Arial Narrow" w:cs="Arial"/>
          <w:lang w:val="es-ES" w:eastAsia="es-ES"/>
        </w:rPr>
        <w:t>en adelante</w:t>
      </w:r>
      <w:r w:rsidRPr="002C0D19">
        <w:rPr>
          <w:rFonts w:ascii="Arial Narrow" w:hAnsi="Arial Narrow" w:cs="Arial"/>
          <w:b/>
          <w:lang w:val="es-ES" w:eastAsia="es-ES"/>
        </w:rPr>
        <w:t xml:space="preserve"> EL AGENTE DE PAGO</w:t>
      </w:r>
      <w:r w:rsidRPr="002C0D19">
        <w:rPr>
          <w:rFonts w:ascii="Arial Narrow" w:hAnsi="Arial Narrow" w:cs="Arial"/>
          <w:lang w:val="es-ES" w:eastAsia="es-ES"/>
        </w:rPr>
        <w:t>, y ________________</w:t>
      </w:r>
      <w:r w:rsidRPr="002C0D19">
        <w:rPr>
          <w:rFonts w:ascii="Arial Narrow" w:hAnsi="Arial Narrow" w:cs="Arial"/>
          <w:b/>
          <w:lang w:val="es-ES" w:eastAsia="es-ES"/>
        </w:rPr>
        <w:t>EL MIEMBRO LIQUIDADOR</w:t>
      </w:r>
      <w:r w:rsidRPr="002C0D19">
        <w:rPr>
          <w:rFonts w:ascii="Arial Narrow" w:hAnsi="Arial Narrow" w:cs="Arial"/>
          <w:lang w:val="es-ES" w:eastAsia="es-ES"/>
        </w:rPr>
        <w:t>.</w:t>
      </w:r>
    </w:p>
    <w:p w14:paraId="597CB616" w14:textId="77777777" w:rsidR="007968EC" w:rsidRPr="002C0D19" w:rsidRDefault="007968EC" w:rsidP="007968EC">
      <w:pPr>
        <w:jc w:val="both"/>
        <w:rPr>
          <w:rFonts w:ascii="Arial Narrow" w:hAnsi="Arial Narrow" w:cs="Arial"/>
          <w:lang w:val="es-ES" w:eastAsia="es-ES"/>
        </w:rPr>
      </w:pPr>
    </w:p>
    <w:p w14:paraId="206259F0" w14:textId="77777777" w:rsidR="007968EC" w:rsidRPr="002C0D19" w:rsidRDefault="007968EC" w:rsidP="007968EC">
      <w:pPr>
        <w:jc w:val="center"/>
        <w:rPr>
          <w:rFonts w:ascii="Arial Narrow" w:hAnsi="Arial Narrow" w:cs="Arial"/>
          <w:b/>
          <w:lang w:val="es-ES" w:eastAsia="es-ES"/>
        </w:rPr>
      </w:pPr>
    </w:p>
    <w:p w14:paraId="78210DE6" w14:textId="77777777" w:rsidR="007968EC" w:rsidRPr="002C0D19" w:rsidRDefault="007968EC" w:rsidP="007968EC">
      <w:pPr>
        <w:jc w:val="center"/>
        <w:rPr>
          <w:rFonts w:ascii="Arial Narrow" w:hAnsi="Arial Narrow" w:cs="Arial"/>
          <w:b/>
          <w:lang w:val="es-ES" w:eastAsia="es-ES"/>
        </w:rPr>
      </w:pPr>
      <w:r w:rsidRPr="002C0D19">
        <w:rPr>
          <w:rFonts w:ascii="Arial Narrow" w:hAnsi="Arial Narrow" w:cs="Arial"/>
          <w:b/>
          <w:lang w:val="es-ES" w:eastAsia="es-ES"/>
        </w:rPr>
        <w:t>TÉRMINOS Y CONDICIONES</w:t>
      </w:r>
    </w:p>
    <w:p w14:paraId="271F15DC" w14:textId="77777777" w:rsidR="007968EC" w:rsidRPr="002C0D19" w:rsidRDefault="007968EC" w:rsidP="007968EC">
      <w:pPr>
        <w:jc w:val="center"/>
        <w:rPr>
          <w:rFonts w:ascii="Arial Narrow" w:hAnsi="Arial Narrow" w:cs="Arial"/>
          <w:b/>
          <w:lang w:val="es-ES" w:eastAsia="es-ES"/>
        </w:rPr>
      </w:pPr>
    </w:p>
    <w:p w14:paraId="6E966293" w14:textId="77777777" w:rsidR="007968EC" w:rsidRPr="002C0D19" w:rsidRDefault="007968EC" w:rsidP="007968EC">
      <w:pPr>
        <w:tabs>
          <w:tab w:val="num" w:pos="0"/>
        </w:tabs>
        <w:jc w:val="both"/>
        <w:rPr>
          <w:rFonts w:ascii="Arial Narrow" w:hAnsi="Arial Narrow" w:cs="Arial"/>
          <w:u w:val="single"/>
          <w:lang w:val="es-ES" w:eastAsia="es-ES"/>
        </w:rPr>
      </w:pPr>
      <w:r w:rsidRPr="002C0D19">
        <w:rPr>
          <w:rFonts w:ascii="Arial Narrow" w:hAnsi="Arial Narrow" w:cs="Arial"/>
          <w:b/>
          <w:u w:val="single"/>
          <w:lang w:val="es-ES" w:eastAsia="es-ES"/>
        </w:rPr>
        <w:t>PRIMERA. Objeto.</w:t>
      </w:r>
      <w:r w:rsidRPr="002C0D19">
        <w:rPr>
          <w:rFonts w:ascii="Arial Narrow" w:hAnsi="Arial Narrow" w:cs="Arial"/>
          <w:lang w:val="es-ES" w:eastAsia="es-ES"/>
        </w:rPr>
        <w:t xml:space="preserve"> En virtud del presente Acuerdo, </w:t>
      </w:r>
      <w:r w:rsidRPr="002C0D19">
        <w:rPr>
          <w:rFonts w:ascii="Arial Narrow" w:hAnsi="Arial Narrow" w:cs="Arial"/>
          <w:b/>
          <w:lang w:val="es-ES" w:eastAsia="es-ES"/>
        </w:rPr>
        <w:t xml:space="preserve">EL MIEMBRO LIQUIDADOR  </w:t>
      </w:r>
      <w:r w:rsidRPr="002C0D19">
        <w:rPr>
          <w:rFonts w:ascii="Arial Narrow" w:hAnsi="Arial Narrow" w:cs="Arial"/>
          <w:lang w:val="es-ES" w:eastAsia="es-ES"/>
        </w:rPr>
        <w:t>reconoce a</w:t>
      </w:r>
      <w:r w:rsidRPr="002C0D19">
        <w:rPr>
          <w:rFonts w:ascii="Arial Narrow" w:hAnsi="Arial Narrow" w:cs="Arial"/>
          <w:b/>
          <w:lang w:val="es-ES" w:eastAsia="es-ES"/>
        </w:rPr>
        <w:t xml:space="preserve"> ________________ </w:t>
      </w:r>
      <w:r w:rsidRPr="002C0D19">
        <w:rPr>
          <w:rFonts w:ascii="Arial Narrow" w:hAnsi="Arial Narrow" w:cs="Arial"/>
          <w:lang w:val="es-ES" w:eastAsia="es-ES"/>
        </w:rPr>
        <w:t>como</w:t>
      </w:r>
      <w:r w:rsidRPr="002C0D19">
        <w:rPr>
          <w:rFonts w:ascii="Arial Narrow" w:hAnsi="Arial Narrow" w:cs="Arial"/>
          <w:b/>
          <w:lang w:val="es-ES" w:eastAsia="es-ES"/>
        </w:rPr>
        <w:t xml:space="preserve"> AGENTE DE PAGO </w:t>
      </w:r>
      <w:r w:rsidRPr="002C0D19">
        <w:rPr>
          <w:rFonts w:ascii="Arial Narrow" w:hAnsi="Arial Narrow" w:cs="Arial"/>
          <w:lang w:val="es-ES" w:eastAsia="es-ES"/>
        </w:rPr>
        <w:t>de los</w:t>
      </w:r>
      <w:r w:rsidRPr="002C0D19">
        <w:rPr>
          <w:rFonts w:ascii="Arial Narrow" w:hAnsi="Arial Narrow" w:cs="Arial"/>
          <w:b/>
          <w:lang w:val="es-ES" w:eastAsia="es-ES"/>
        </w:rPr>
        <w:t xml:space="preserve"> TERCEROS </w:t>
      </w:r>
      <w:r w:rsidRPr="002C0D19">
        <w:rPr>
          <w:rFonts w:ascii="Arial Narrow" w:hAnsi="Arial Narrow" w:cs="Arial"/>
          <w:lang w:val="es-ES" w:eastAsia="es-ES"/>
        </w:rPr>
        <w:t>del</w:t>
      </w:r>
      <w:r w:rsidRPr="002C0D19">
        <w:rPr>
          <w:rFonts w:ascii="Arial Narrow" w:hAnsi="Arial Narrow" w:cs="Arial"/>
          <w:b/>
          <w:lang w:val="es-ES" w:eastAsia="es-ES"/>
        </w:rPr>
        <w:t xml:space="preserve"> MIEMBRO LIQUIDADOR,  </w:t>
      </w:r>
      <w:r w:rsidRPr="002C0D19">
        <w:rPr>
          <w:rFonts w:ascii="Arial Narrow" w:hAnsi="Arial Narrow" w:cs="Arial"/>
          <w:lang w:val="es-ES" w:eastAsia="es-ES"/>
        </w:rPr>
        <w:t>en virtud de lo cual el</w:t>
      </w:r>
      <w:r w:rsidRPr="002C0D19">
        <w:rPr>
          <w:rFonts w:ascii="Arial Narrow" w:hAnsi="Arial Narrow" w:cs="Arial"/>
          <w:b/>
          <w:lang w:val="es-ES" w:eastAsia="es-ES"/>
        </w:rPr>
        <w:t xml:space="preserve"> AGENTE DE PAGO </w:t>
      </w:r>
      <w:r w:rsidRPr="002C0D19">
        <w:rPr>
          <w:rFonts w:ascii="Arial Narrow" w:hAnsi="Arial Narrow" w:cs="Arial"/>
          <w:lang w:eastAsia="es-ES"/>
        </w:rPr>
        <w:t xml:space="preserve">recibirá y custodiará dinero en efectivo por cuenta de los </w:t>
      </w:r>
      <w:r w:rsidRPr="002C0D19">
        <w:rPr>
          <w:rFonts w:ascii="Arial Narrow" w:hAnsi="Arial Narrow" w:cs="Arial"/>
          <w:b/>
          <w:lang w:eastAsia="es-ES"/>
        </w:rPr>
        <w:t>TERCEROS</w:t>
      </w:r>
      <w:r w:rsidRPr="002C0D19">
        <w:rPr>
          <w:rFonts w:ascii="Arial Narrow" w:hAnsi="Arial Narrow" w:cs="Arial"/>
          <w:lang w:eastAsia="es-ES"/>
        </w:rPr>
        <w:t xml:space="preserve"> del</w:t>
      </w:r>
      <w:r w:rsidRPr="002C0D19">
        <w:rPr>
          <w:rFonts w:ascii="Arial Narrow" w:hAnsi="Arial Narrow" w:cs="Arial"/>
          <w:b/>
          <w:lang w:eastAsia="es-ES"/>
        </w:rPr>
        <w:t xml:space="preserve"> MIEMBRO</w:t>
      </w:r>
      <w:r w:rsidRPr="002C0D19">
        <w:rPr>
          <w:rFonts w:ascii="Arial Narrow" w:hAnsi="Arial Narrow" w:cs="Arial"/>
          <w:lang w:val="es-ES" w:eastAsia="es-ES"/>
        </w:rPr>
        <w:t xml:space="preserve">, y </w:t>
      </w:r>
      <w:r w:rsidRPr="002C0D19">
        <w:rPr>
          <w:rFonts w:ascii="Arial Narrow" w:hAnsi="Arial Narrow" w:cs="Arial"/>
          <w:lang w:eastAsia="es-ES"/>
        </w:rPr>
        <w:t xml:space="preserve">realizará pagos de efectivo a </w:t>
      </w:r>
      <w:r w:rsidRPr="002C0D19">
        <w:rPr>
          <w:rFonts w:ascii="Arial Narrow" w:hAnsi="Arial Narrow" w:cs="Arial"/>
          <w:b/>
          <w:lang w:val="es-ES" w:eastAsia="es-ES"/>
        </w:rPr>
        <w:t>LA CRCC</w:t>
      </w:r>
      <w:r w:rsidRPr="002C0D19">
        <w:rPr>
          <w:rFonts w:ascii="Arial Narrow" w:hAnsi="Arial Narrow" w:cs="Arial"/>
          <w:lang w:eastAsia="es-ES"/>
        </w:rPr>
        <w:t xml:space="preserve"> para el cumplimiento de las obligaciones a cargo de los </w:t>
      </w:r>
      <w:r w:rsidRPr="002C0D19">
        <w:rPr>
          <w:rFonts w:ascii="Arial Narrow" w:hAnsi="Arial Narrow" w:cs="Arial"/>
          <w:b/>
          <w:lang w:eastAsia="es-ES"/>
        </w:rPr>
        <w:t>TERCEROS</w:t>
      </w:r>
      <w:r w:rsidRPr="002C0D19">
        <w:rPr>
          <w:rFonts w:ascii="Arial Narrow" w:hAnsi="Arial Narrow" w:cs="Arial"/>
          <w:lang w:eastAsia="es-ES"/>
        </w:rPr>
        <w:t xml:space="preserve"> de </w:t>
      </w:r>
      <w:r w:rsidRPr="002C0D19">
        <w:rPr>
          <w:rFonts w:ascii="Arial Narrow" w:hAnsi="Arial Narrow" w:cs="Arial"/>
          <w:b/>
          <w:lang w:eastAsia="es-ES"/>
        </w:rPr>
        <w:t>EL MIEMBRO LIQUIDADOR</w:t>
      </w:r>
      <w:r w:rsidRPr="002C0D19">
        <w:rPr>
          <w:rFonts w:ascii="Arial Narrow" w:hAnsi="Arial Narrow" w:cs="Arial"/>
          <w:lang w:val="es-ES" w:eastAsia="es-ES"/>
        </w:rPr>
        <w:t xml:space="preserve">, que de acuerdo con el Decreto 2555 de 2010, las nomas que lo modifiquen, adicionen o sustituyan deban contratar la actividad custodia, </w:t>
      </w:r>
      <w:r w:rsidRPr="002C0D19">
        <w:rPr>
          <w:rFonts w:ascii="Arial Narrow" w:hAnsi="Arial Narrow" w:cs="Arial"/>
          <w:lang w:eastAsia="es-ES"/>
        </w:rPr>
        <w:t>derivadas de la Compensación y Liquidación de operaciones,</w:t>
      </w:r>
      <w:r w:rsidRPr="002C0D19">
        <w:rPr>
          <w:rFonts w:ascii="Arial Narrow" w:hAnsi="Arial Narrow" w:cs="Arial"/>
          <w:lang w:val="es-ES" w:eastAsia="es-ES"/>
        </w:rPr>
        <w:t xml:space="preserve"> todo ello de conformidad con los términos y condiciones establecidos en el Reglamento de Funcionamiento de </w:t>
      </w:r>
      <w:r w:rsidRPr="002C0D19">
        <w:rPr>
          <w:rFonts w:ascii="Arial Narrow" w:hAnsi="Arial Narrow" w:cs="Arial"/>
          <w:b/>
          <w:lang w:val="es-ES" w:eastAsia="es-ES"/>
        </w:rPr>
        <w:t>LA CRCC</w:t>
      </w:r>
      <w:r w:rsidRPr="002C0D19">
        <w:rPr>
          <w:rFonts w:ascii="Arial Narrow" w:hAnsi="Arial Narrow" w:cs="Arial"/>
          <w:lang w:val="es-ES" w:eastAsia="es-ES"/>
        </w:rPr>
        <w:t>, en adelante el “Reglamento”.</w:t>
      </w:r>
    </w:p>
    <w:p w14:paraId="1A509073" w14:textId="77777777" w:rsidR="007968EC" w:rsidRPr="002C0D19" w:rsidRDefault="007968EC" w:rsidP="007968EC">
      <w:pPr>
        <w:jc w:val="both"/>
        <w:rPr>
          <w:rFonts w:ascii="Arial Narrow" w:hAnsi="Arial Narrow" w:cs="Arial"/>
          <w:lang w:eastAsia="es-ES"/>
        </w:rPr>
      </w:pPr>
    </w:p>
    <w:p w14:paraId="1FC246C0" w14:textId="77777777" w:rsidR="007968EC" w:rsidRPr="002C0D19" w:rsidRDefault="007968EC" w:rsidP="007968EC">
      <w:pPr>
        <w:jc w:val="both"/>
        <w:rPr>
          <w:rFonts w:ascii="Arial Narrow" w:hAnsi="Arial Narrow" w:cs="Arial"/>
          <w:lang w:eastAsia="es-ES"/>
        </w:rPr>
      </w:pPr>
      <w:r w:rsidRPr="002C0D19">
        <w:rPr>
          <w:rFonts w:ascii="Arial Narrow" w:hAnsi="Arial Narrow" w:cs="Arial"/>
          <w:lang w:eastAsia="es-ES"/>
        </w:rPr>
        <w:t xml:space="preserve">Las Cuentas </w:t>
      </w:r>
      <w:r w:rsidRPr="002C0D19">
        <w:rPr>
          <w:rFonts w:ascii="Arial Narrow" w:hAnsi="Arial Narrow" w:cs="Arial"/>
          <w:bCs/>
          <w:lang w:eastAsia="es-ES"/>
        </w:rPr>
        <w:t>Únicas</w:t>
      </w:r>
      <w:r w:rsidRPr="002C0D19">
        <w:rPr>
          <w:rFonts w:ascii="Arial Narrow" w:hAnsi="Arial Narrow" w:cs="Arial"/>
          <w:lang w:eastAsia="es-ES"/>
        </w:rPr>
        <w:t xml:space="preserve"> de </w:t>
      </w:r>
      <w:r w:rsidRPr="002C0D19">
        <w:rPr>
          <w:rFonts w:ascii="Arial Narrow" w:hAnsi="Arial Narrow" w:cs="Arial"/>
          <w:bCs/>
          <w:lang w:eastAsia="es-ES"/>
        </w:rPr>
        <w:t>Depósito del Banco de la República,</w:t>
      </w:r>
      <w:r w:rsidRPr="002C0D19">
        <w:rPr>
          <w:rFonts w:ascii="Arial Narrow" w:hAnsi="Arial Narrow" w:cs="Arial"/>
          <w:lang w:eastAsia="es-ES"/>
        </w:rPr>
        <w:t xml:space="preserve"> a través de las cuales desarrollará sus funciones </w:t>
      </w:r>
      <w:r w:rsidRPr="002C0D19">
        <w:rPr>
          <w:rFonts w:ascii="Arial Narrow" w:hAnsi="Arial Narrow" w:cs="Arial"/>
          <w:b/>
          <w:lang w:eastAsia="es-ES"/>
        </w:rPr>
        <w:t>EL AGENTE DE PAGO</w:t>
      </w:r>
      <w:r w:rsidRPr="002C0D19">
        <w:rPr>
          <w:rFonts w:ascii="Arial Narrow" w:hAnsi="Arial Narrow" w:cs="Arial"/>
          <w:lang w:eastAsia="es-ES"/>
        </w:rPr>
        <w:t xml:space="preserve"> son las siguientes:</w:t>
      </w:r>
    </w:p>
    <w:p w14:paraId="7B20E559" w14:textId="77777777" w:rsidR="007968EC" w:rsidRPr="002C0D19" w:rsidRDefault="007968EC" w:rsidP="007968EC">
      <w:pPr>
        <w:jc w:val="both"/>
        <w:rPr>
          <w:rFonts w:ascii="Arial Narrow" w:hAnsi="Arial Narrow" w:cs="Arial"/>
          <w:b/>
          <w:lang w:val="es-ES" w:eastAsia="es-ES"/>
        </w:rPr>
      </w:pPr>
    </w:p>
    <w:p w14:paraId="380B90FA" w14:textId="77777777" w:rsidR="007968EC" w:rsidRPr="002C0D19" w:rsidRDefault="007968EC" w:rsidP="007968EC">
      <w:pPr>
        <w:jc w:val="both"/>
        <w:rPr>
          <w:rFonts w:ascii="Arial Narrow" w:hAnsi="Arial Narrow" w:cs="Arial"/>
          <w:b/>
          <w:lang w:val="es-ES" w:eastAsia="es-ES"/>
        </w:rPr>
      </w:pPr>
      <w:r w:rsidRPr="002C0D19">
        <w:rPr>
          <w:rFonts w:ascii="Arial Narrow" w:hAnsi="Arial Narrow" w:cs="Arial"/>
          <w:b/>
          <w:lang w:val="es-ES" w:eastAsia="es-ES"/>
        </w:rPr>
        <w:t>______________________________________________________________________________________________________________________________________________________________________________________________________________</w:t>
      </w:r>
    </w:p>
    <w:p w14:paraId="2EC59439" w14:textId="77777777" w:rsidR="007968EC" w:rsidRPr="002C0D19" w:rsidRDefault="007968EC" w:rsidP="007968EC">
      <w:pPr>
        <w:jc w:val="both"/>
        <w:rPr>
          <w:rFonts w:ascii="Arial Narrow" w:hAnsi="Arial Narrow" w:cs="Arial"/>
          <w:lang w:eastAsia="es-ES"/>
        </w:rPr>
      </w:pPr>
    </w:p>
    <w:p w14:paraId="6CD41A88"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b/>
          <w:lang w:val="es-ES" w:eastAsia="es-ES"/>
        </w:rPr>
        <w:t>PARÁGRAFO.</w:t>
      </w:r>
      <w:r w:rsidRPr="002C0D19">
        <w:rPr>
          <w:rFonts w:ascii="Arial Narrow" w:hAnsi="Arial Narrow" w:cs="Arial"/>
          <w:lang w:val="es-ES" w:eastAsia="es-ES"/>
        </w:rPr>
        <w:t xml:space="preserve"> Los términos que se utilizan en este Acuerdo, cuya primera letra sea una mayúscula, y que no se encuentren expresamente definidos en esta Oferta, tendrán el significado que se les atribuye en el Reglamento.  </w:t>
      </w:r>
    </w:p>
    <w:p w14:paraId="200ACCB8" w14:textId="77777777" w:rsidR="007968EC" w:rsidRPr="002C0D19" w:rsidRDefault="007968EC" w:rsidP="007968EC">
      <w:pPr>
        <w:jc w:val="both"/>
        <w:rPr>
          <w:rFonts w:ascii="Arial Narrow" w:hAnsi="Arial Narrow" w:cs="Arial"/>
          <w:lang w:val="es-ES" w:eastAsia="es-ES"/>
        </w:rPr>
      </w:pPr>
    </w:p>
    <w:p w14:paraId="595C6551" w14:textId="77777777" w:rsidR="007968EC" w:rsidRPr="002C0D19" w:rsidRDefault="007968EC" w:rsidP="007968EC">
      <w:pPr>
        <w:jc w:val="both"/>
        <w:rPr>
          <w:rFonts w:ascii="Arial Narrow" w:hAnsi="Arial Narrow" w:cs="Arial"/>
          <w:b/>
          <w:lang w:val="es-ES" w:eastAsia="es-ES"/>
        </w:rPr>
      </w:pPr>
      <w:r w:rsidRPr="002C0D19">
        <w:rPr>
          <w:rFonts w:ascii="Arial Narrow" w:hAnsi="Arial Narrow" w:cs="Arial"/>
          <w:b/>
          <w:u w:val="single"/>
          <w:lang w:val="es-ES" w:eastAsia="es-ES"/>
        </w:rPr>
        <w:t>SEGUNDA. Declaraciones, Manifestaciones y Autorizaciones</w:t>
      </w:r>
      <w:r w:rsidRPr="002C0D19">
        <w:rPr>
          <w:rFonts w:ascii="Arial Narrow" w:hAnsi="Arial Narrow" w:cs="Arial"/>
          <w:b/>
          <w:lang w:val="es-ES" w:eastAsia="es-ES"/>
        </w:rPr>
        <w:t>.</w:t>
      </w:r>
      <w:r w:rsidRPr="002C0D19">
        <w:rPr>
          <w:rFonts w:ascii="Arial Narrow" w:hAnsi="Arial Narrow" w:cs="Arial"/>
          <w:lang w:val="es-ES" w:eastAsia="es-ES"/>
        </w:rPr>
        <w:t xml:space="preserve"> Mediante la suscripción del presente Acuerdo, </w:t>
      </w:r>
      <w:r w:rsidRPr="002C0D19">
        <w:rPr>
          <w:rFonts w:ascii="Arial Narrow" w:hAnsi="Arial Narrow" w:cs="Arial"/>
          <w:b/>
          <w:lang w:val="es-ES" w:eastAsia="es-ES"/>
        </w:rPr>
        <w:t>EL MIEMBRO LIQUIDADOR:</w:t>
      </w:r>
    </w:p>
    <w:p w14:paraId="48A7B04A" w14:textId="77777777" w:rsidR="007968EC" w:rsidRPr="002C0D19" w:rsidRDefault="007968EC" w:rsidP="007968EC">
      <w:pPr>
        <w:jc w:val="both"/>
        <w:rPr>
          <w:rFonts w:ascii="Arial Narrow" w:hAnsi="Arial Narrow" w:cs="Arial"/>
          <w:lang w:val="es-ES" w:eastAsia="es-ES"/>
        </w:rPr>
      </w:pPr>
    </w:p>
    <w:p w14:paraId="6422D4E2" w14:textId="77777777" w:rsidR="007968EC" w:rsidRPr="002C0D19" w:rsidRDefault="007968EC" w:rsidP="00DA7472">
      <w:pPr>
        <w:numPr>
          <w:ilvl w:val="0"/>
          <w:numId w:val="129"/>
        </w:numPr>
        <w:jc w:val="both"/>
        <w:rPr>
          <w:rFonts w:ascii="Arial Narrow" w:hAnsi="Arial Narrow" w:cs="Arial"/>
          <w:lang w:val="es-ES" w:eastAsia="es-ES"/>
        </w:rPr>
      </w:pPr>
      <w:r w:rsidRPr="002C0D19">
        <w:rPr>
          <w:rFonts w:ascii="Arial Narrow" w:hAnsi="Arial Narrow" w:cs="Arial"/>
          <w:lang w:val="es-ES" w:eastAsia="es-ES"/>
        </w:rPr>
        <w:lastRenderedPageBreak/>
        <w:t xml:space="preserve">Declara expresamente conocer y aceptar en su integridad el Reglamento, las Circulares y los Instructivos Operativos de </w:t>
      </w:r>
      <w:r w:rsidRPr="002C0D19">
        <w:rPr>
          <w:rFonts w:ascii="Arial Narrow" w:hAnsi="Arial Narrow" w:cs="Arial"/>
          <w:b/>
          <w:lang w:val="es-ES" w:eastAsia="es-ES"/>
        </w:rPr>
        <w:t>LA CRCC</w:t>
      </w:r>
      <w:r w:rsidRPr="002C0D19">
        <w:rPr>
          <w:rFonts w:ascii="Arial Narrow" w:hAnsi="Arial Narrow" w:cs="Arial"/>
          <w:lang w:val="es-ES" w:eastAsia="es-ES"/>
        </w:rPr>
        <w:t xml:space="preserve">, los cuales se consideran parte integral del presente Acuerdo. </w:t>
      </w:r>
    </w:p>
    <w:p w14:paraId="274DBF50" w14:textId="77777777" w:rsidR="007968EC" w:rsidRPr="002C0D19" w:rsidRDefault="007968EC" w:rsidP="00DA7472">
      <w:pPr>
        <w:numPr>
          <w:ilvl w:val="0"/>
          <w:numId w:val="129"/>
        </w:numPr>
        <w:jc w:val="both"/>
        <w:rPr>
          <w:rFonts w:ascii="Arial Narrow" w:hAnsi="Arial Narrow" w:cs="Arial"/>
          <w:lang w:val="es-ES" w:eastAsia="es-ES"/>
        </w:rPr>
      </w:pPr>
      <w:r w:rsidRPr="002C0D19">
        <w:rPr>
          <w:rFonts w:ascii="Arial Narrow" w:hAnsi="Arial Narrow" w:cs="Arial"/>
          <w:lang w:val="es-ES" w:eastAsia="es-ES"/>
        </w:rPr>
        <w:t xml:space="preserve">Declara conocer la reglamentación de las bolsas, sistemas de negociación y registro, mercado mostrador y Mecanismos de Contratación en donde se transen los Activos Compensados y Liquidados a través de </w:t>
      </w:r>
      <w:r w:rsidRPr="002C0D19">
        <w:rPr>
          <w:rFonts w:ascii="Arial Narrow" w:hAnsi="Arial Narrow" w:cs="Arial"/>
          <w:b/>
          <w:lang w:val="es-ES" w:eastAsia="es-ES"/>
        </w:rPr>
        <w:t>LA CRCC</w:t>
      </w:r>
      <w:r w:rsidRPr="002C0D19">
        <w:rPr>
          <w:rFonts w:ascii="Arial Narrow" w:hAnsi="Arial Narrow" w:cs="Arial"/>
          <w:lang w:val="es-ES" w:eastAsia="es-ES"/>
        </w:rPr>
        <w:t xml:space="preserve">.   </w:t>
      </w:r>
    </w:p>
    <w:p w14:paraId="6CB13867" w14:textId="77777777" w:rsidR="007968EC" w:rsidRPr="002C0D19" w:rsidRDefault="007968EC" w:rsidP="00DA7472">
      <w:pPr>
        <w:numPr>
          <w:ilvl w:val="0"/>
          <w:numId w:val="129"/>
        </w:numPr>
        <w:jc w:val="both"/>
        <w:rPr>
          <w:rFonts w:ascii="Arial Narrow" w:hAnsi="Arial Narrow" w:cs="Arial"/>
          <w:lang w:val="es-ES" w:eastAsia="es-ES"/>
        </w:rPr>
      </w:pPr>
      <w:r w:rsidRPr="002C0D19">
        <w:rPr>
          <w:rFonts w:ascii="Arial Narrow" w:hAnsi="Arial Narrow" w:cs="Arial"/>
          <w:lang w:val="es-ES" w:eastAsia="es-ES"/>
        </w:rPr>
        <w:t>Manifiesta y acepta que en lo no previsto expresamente en el presente Acuerdo, se aplicará lo dispuesto en el Reglamento.</w:t>
      </w:r>
    </w:p>
    <w:p w14:paraId="65CDA72D" w14:textId="77777777" w:rsidR="007968EC" w:rsidRPr="002C0D19" w:rsidRDefault="007968EC" w:rsidP="00DA7472">
      <w:pPr>
        <w:numPr>
          <w:ilvl w:val="0"/>
          <w:numId w:val="129"/>
        </w:numPr>
        <w:jc w:val="both"/>
        <w:rPr>
          <w:rFonts w:ascii="Arial Narrow" w:hAnsi="Arial Narrow" w:cs="Arial"/>
          <w:lang w:val="es-ES" w:eastAsia="es-ES"/>
        </w:rPr>
      </w:pPr>
      <w:r w:rsidRPr="002C0D19">
        <w:rPr>
          <w:rFonts w:ascii="Arial Narrow" w:hAnsi="Arial Narrow" w:cs="Arial"/>
          <w:lang w:val="es-ES" w:eastAsia="es-ES"/>
        </w:rPr>
        <w:t>Manifiesta que cumple con las condiciones y requisitos establecidos en el Reglamento para ser Miembro Liquidador</w:t>
      </w:r>
      <w:r w:rsidRPr="002C0D19">
        <w:rPr>
          <w:rFonts w:ascii="Arial Narrow" w:hAnsi="Arial Narrow" w:cs="Arial"/>
          <w:b/>
          <w:lang w:val="es-ES" w:eastAsia="es-ES"/>
        </w:rPr>
        <w:t xml:space="preserve">. </w:t>
      </w:r>
    </w:p>
    <w:p w14:paraId="1D934895" w14:textId="77777777" w:rsidR="007968EC" w:rsidRPr="002C0D19" w:rsidRDefault="007968EC" w:rsidP="00DA7472">
      <w:pPr>
        <w:numPr>
          <w:ilvl w:val="0"/>
          <w:numId w:val="129"/>
        </w:numPr>
        <w:jc w:val="both"/>
        <w:rPr>
          <w:rFonts w:ascii="Arial Narrow" w:hAnsi="Arial Narrow" w:cs="Arial"/>
          <w:lang w:val="es-ES" w:eastAsia="es-ES"/>
        </w:rPr>
      </w:pPr>
      <w:r w:rsidRPr="002C0D19">
        <w:rPr>
          <w:rFonts w:ascii="Arial Narrow" w:hAnsi="Arial Narrow" w:cs="Arial"/>
          <w:lang w:val="es-ES" w:eastAsia="es-ES"/>
        </w:rPr>
        <w:t>Declara que los derechos y obligaciones derivados de las</w:t>
      </w:r>
      <w:r w:rsidRPr="002C0D19">
        <w:rPr>
          <w:rFonts w:ascii="Arial Narrow" w:hAnsi="Arial Narrow" w:cs="Arial"/>
          <w:lang w:eastAsia="es-ES"/>
        </w:rPr>
        <w:t xml:space="preserve"> Operaciones Aceptadas por </w:t>
      </w:r>
      <w:r w:rsidRPr="002C0D19">
        <w:rPr>
          <w:rFonts w:ascii="Arial Narrow" w:hAnsi="Arial Narrow" w:cs="Arial"/>
          <w:b/>
          <w:lang w:eastAsia="es-ES"/>
        </w:rPr>
        <w:t>LA CRCC</w:t>
      </w:r>
      <w:r w:rsidRPr="002C0D19">
        <w:rPr>
          <w:rFonts w:ascii="Arial Narrow" w:hAnsi="Arial Narrow" w:cs="Arial"/>
          <w:lang w:eastAsia="es-ES"/>
        </w:rPr>
        <w:t xml:space="preserve"> </w:t>
      </w:r>
      <w:r w:rsidRPr="002C0D19">
        <w:rPr>
          <w:rFonts w:ascii="Arial Narrow" w:hAnsi="Arial Narrow" w:cs="Arial"/>
          <w:lang w:val="es-ES" w:eastAsia="es-ES"/>
        </w:rPr>
        <w:t xml:space="preserve">se entenderán automáticamente novados, con ocasión de la interposición de </w:t>
      </w:r>
      <w:r w:rsidRPr="002C0D19">
        <w:rPr>
          <w:rFonts w:ascii="Arial Narrow" w:hAnsi="Arial Narrow" w:cs="Arial"/>
          <w:b/>
          <w:lang w:val="es-ES" w:eastAsia="es-ES"/>
        </w:rPr>
        <w:t>LA</w:t>
      </w:r>
      <w:r w:rsidRPr="002C0D19">
        <w:rPr>
          <w:rFonts w:ascii="Arial Narrow" w:hAnsi="Arial Narrow" w:cs="Arial"/>
          <w:lang w:val="es-ES" w:eastAsia="es-ES"/>
        </w:rPr>
        <w:t xml:space="preserve"> </w:t>
      </w:r>
      <w:r w:rsidRPr="002C0D19">
        <w:rPr>
          <w:rFonts w:ascii="Arial Narrow" w:hAnsi="Arial Narrow" w:cs="Arial"/>
          <w:b/>
          <w:lang w:val="es-ES" w:eastAsia="es-ES"/>
        </w:rPr>
        <w:t>CRCC</w:t>
      </w:r>
      <w:r w:rsidRPr="002C0D19">
        <w:rPr>
          <w:rFonts w:ascii="Arial Narrow" w:hAnsi="Arial Narrow" w:cs="Arial"/>
          <w:lang w:val="es-ES" w:eastAsia="es-ES"/>
        </w:rPr>
        <w:t xml:space="preserve"> como Contraparte, surgiendo nuevos derechos y obligaciones de y frente a ésta y extinguiéndose los que hasta ese momento existieran entre quienes hubieran celebrado la operación en su origen. </w:t>
      </w:r>
    </w:p>
    <w:p w14:paraId="365450CC" w14:textId="77777777" w:rsidR="007968EC" w:rsidRPr="002C0D19" w:rsidRDefault="007968EC" w:rsidP="00DA7472">
      <w:pPr>
        <w:numPr>
          <w:ilvl w:val="0"/>
          <w:numId w:val="129"/>
        </w:numPr>
        <w:jc w:val="both"/>
        <w:rPr>
          <w:rFonts w:ascii="Arial Narrow" w:hAnsi="Arial Narrow" w:cs="Arial"/>
          <w:lang w:val="es-ES" w:eastAsia="es-ES"/>
        </w:rPr>
      </w:pPr>
      <w:r w:rsidRPr="002C0D19">
        <w:rPr>
          <w:rFonts w:ascii="Arial Narrow" w:hAnsi="Arial Narrow" w:cs="Arial"/>
          <w:lang w:val="es-ES" w:eastAsia="es-ES"/>
        </w:rPr>
        <w:t xml:space="preserve">Declara que las Garantías constituidas y mantenidas, con los ajustes procedentes, a favor de </w:t>
      </w:r>
      <w:r w:rsidRPr="002C0D19">
        <w:rPr>
          <w:rFonts w:ascii="Arial Narrow" w:hAnsi="Arial Narrow" w:cs="Arial"/>
          <w:b/>
          <w:lang w:val="es-ES" w:eastAsia="es-ES"/>
        </w:rPr>
        <w:t>LA CRCC</w:t>
      </w:r>
      <w:r w:rsidRPr="002C0D19">
        <w:rPr>
          <w:rFonts w:ascii="Arial Narrow" w:hAnsi="Arial Narrow" w:cs="Arial"/>
          <w:lang w:val="es-ES" w:eastAsia="es-ES"/>
        </w:rPr>
        <w:t xml:space="preserve">, bien sea por cuenta de </w:t>
      </w:r>
      <w:r w:rsidRPr="002C0D19">
        <w:rPr>
          <w:rFonts w:ascii="Arial Narrow" w:hAnsi="Arial Narrow" w:cs="Arial"/>
          <w:b/>
          <w:lang w:val="es-ES" w:eastAsia="es-ES"/>
        </w:rPr>
        <w:t>EL MIEMBRO LIQUIDADOR</w:t>
      </w:r>
      <w:r w:rsidRPr="002C0D19">
        <w:rPr>
          <w:rFonts w:ascii="Arial Narrow" w:hAnsi="Arial Narrow" w:cs="Arial"/>
          <w:lang w:val="es-ES" w:eastAsia="es-ES"/>
        </w:rPr>
        <w:t xml:space="preserve">, por cuenta de sus Terceros o, si es el caso, por sus Miembros no Liquidadores o los Terceros de estos últimos, no se verán afectadas por la novación antes referida, se mantendrán vigentes y conviene en su reserva a favor de </w:t>
      </w:r>
      <w:r w:rsidRPr="002C0D19">
        <w:rPr>
          <w:rFonts w:ascii="Arial Narrow" w:hAnsi="Arial Narrow" w:cs="Arial"/>
          <w:b/>
          <w:lang w:val="es-ES" w:eastAsia="es-ES"/>
        </w:rPr>
        <w:t>LA CRCC.</w:t>
      </w:r>
      <w:r w:rsidRPr="002C0D19">
        <w:rPr>
          <w:rFonts w:ascii="Arial Narrow" w:hAnsi="Arial Narrow" w:cs="Arial"/>
          <w:lang w:val="es-ES" w:eastAsia="es-ES"/>
        </w:rPr>
        <w:t xml:space="preserve"> </w:t>
      </w:r>
    </w:p>
    <w:p w14:paraId="5BAC85B0" w14:textId="77777777" w:rsidR="007968EC" w:rsidRPr="002C0D19" w:rsidRDefault="007968EC" w:rsidP="00DA7472">
      <w:pPr>
        <w:numPr>
          <w:ilvl w:val="0"/>
          <w:numId w:val="129"/>
        </w:numPr>
        <w:jc w:val="both"/>
        <w:rPr>
          <w:rFonts w:ascii="Arial Narrow" w:hAnsi="Arial Narrow" w:cs="Arial"/>
          <w:lang w:eastAsia="es-ES"/>
        </w:rPr>
      </w:pPr>
      <w:r w:rsidRPr="002C0D19">
        <w:rPr>
          <w:rFonts w:ascii="Arial Narrow" w:hAnsi="Arial Narrow" w:cs="Arial"/>
          <w:lang w:val="es-ES" w:eastAsia="es-ES"/>
        </w:rPr>
        <w:t>Manifiesta que acepta expresamente el procedimiento y las consecuencias derivadas del Incumplimiento, en los términos establecidos en el Reglamento, incluidas las medidas que correspondan, así como la ejecución de Garantías, en cualquiera o en todos los Segmentos en que participe, que se contemplen en el Reglamento y en las Circulares e Instructivos Operativos.</w:t>
      </w:r>
    </w:p>
    <w:p w14:paraId="04919A24" w14:textId="77777777" w:rsidR="007968EC" w:rsidRPr="002C0D19" w:rsidRDefault="007968EC" w:rsidP="00DA7472">
      <w:pPr>
        <w:numPr>
          <w:ilvl w:val="0"/>
          <w:numId w:val="129"/>
        </w:numPr>
        <w:jc w:val="both"/>
        <w:rPr>
          <w:rFonts w:ascii="Arial Narrow" w:hAnsi="Arial Narrow" w:cs="Arial"/>
          <w:lang w:val="es-ES" w:eastAsia="es-ES"/>
        </w:rPr>
      </w:pPr>
      <w:r w:rsidRPr="002C0D19">
        <w:rPr>
          <w:rFonts w:ascii="Arial Narrow" w:hAnsi="Arial Narrow" w:cs="Arial"/>
          <w:lang w:val="es-ES" w:eastAsia="es-ES"/>
        </w:rPr>
        <w:t xml:space="preserve">Declara y conoce que </w:t>
      </w:r>
      <w:r w:rsidRPr="002C0D19">
        <w:rPr>
          <w:rFonts w:ascii="Arial Narrow" w:hAnsi="Arial Narrow" w:cs="Arial"/>
          <w:b/>
          <w:lang w:val="es-ES" w:eastAsia="es-ES"/>
        </w:rPr>
        <w:t>LA CRCC</w:t>
      </w:r>
      <w:r w:rsidRPr="002C0D19">
        <w:rPr>
          <w:rFonts w:ascii="Arial Narrow" w:hAnsi="Arial Narrow" w:cs="Arial"/>
          <w:lang w:val="es-ES" w:eastAsia="es-ES"/>
        </w:rPr>
        <w:t xml:space="preserve"> puede debitar o acreditar automáticamente las cuentas de efectivo de las que es titular </w:t>
      </w:r>
      <w:r w:rsidRPr="002C0D19">
        <w:rPr>
          <w:rFonts w:ascii="Arial Narrow" w:hAnsi="Arial Narrow" w:cs="Arial"/>
          <w:b/>
          <w:lang w:eastAsia="es-ES"/>
        </w:rPr>
        <w:t>EL AGENTE DE PAGO</w:t>
      </w:r>
      <w:r w:rsidRPr="002C0D19">
        <w:rPr>
          <w:rFonts w:ascii="Arial Narrow" w:hAnsi="Arial Narrow" w:cs="Arial"/>
          <w:lang w:val="es-ES" w:eastAsia="es-ES"/>
        </w:rPr>
        <w:t xml:space="preserve"> ante el Banco de la República, así como cualquier otra cuenta de efectivo que maneje para la compensación y liquidación ante </w:t>
      </w:r>
      <w:r w:rsidRPr="002C0D19">
        <w:rPr>
          <w:rFonts w:ascii="Arial Narrow" w:hAnsi="Arial Narrow" w:cs="Arial"/>
          <w:b/>
          <w:lang w:val="es-ES" w:eastAsia="es-ES"/>
        </w:rPr>
        <w:t>LA CRCC</w:t>
      </w:r>
      <w:r w:rsidRPr="002C0D19">
        <w:rPr>
          <w:rFonts w:ascii="Arial Narrow" w:eastAsia="Calibri" w:hAnsi="Arial Narrow" w:cs="Arial"/>
          <w:lang w:eastAsia="es-ES"/>
        </w:rPr>
        <w:t xml:space="preserve">, sin perjuicio de sus responsabilidades como </w:t>
      </w:r>
      <w:r w:rsidRPr="002C0D19">
        <w:rPr>
          <w:rFonts w:ascii="Arial Narrow" w:eastAsia="Calibri" w:hAnsi="Arial Narrow" w:cs="Arial"/>
          <w:b/>
          <w:lang w:eastAsia="es-ES"/>
        </w:rPr>
        <w:t>MIEMBRO</w:t>
      </w:r>
      <w:r w:rsidRPr="002C0D19">
        <w:rPr>
          <w:rFonts w:ascii="Arial Narrow" w:eastAsia="Calibri" w:hAnsi="Arial Narrow" w:cs="Arial"/>
          <w:lang w:eastAsia="es-ES"/>
        </w:rPr>
        <w:t>.</w:t>
      </w:r>
    </w:p>
    <w:p w14:paraId="60D30B74" w14:textId="77777777" w:rsidR="007968EC" w:rsidRPr="002C0D19" w:rsidRDefault="007968EC" w:rsidP="00DA7472">
      <w:pPr>
        <w:numPr>
          <w:ilvl w:val="0"/>
          <w:numId w:val="129"/>
        </w:numPr>
        <w:jc w:val="both"/>
        <w:rPr>
          <w:rFonts w:ascii="Arial Narrow" w:hAnsi="Arial Narrow" w:cs="Arial"/>
          <w:lang w:val="es-ES" w:eastAsia="es-ES"/>
        </w:rPr>
      </w:pPr>
      <w:r w:rsidRPr="002C0D19">
        <w:rPr>
          <w:rFonts w:ascii="Arial Narrow" w:hAnsi="Arial Narrow" w:cs="Arial"/>
          <w:lang w:val="es-ES" w:eastAsia="es-ES"/>
        </w:rPr>
        <w:t xml:space="preserve">Autoriza a </w:t>
      </w:r>
      <w:r w:rsidRPr="002C0D19">
        <w:rPr>
          <w:rFonts w:ascii="Arial Narrow" w:hAnsi="Arial Narrow" w:cs="Arial"/>
          <w:b/>
          <w:lang w:val="es-ES" w:eastAsia="es-ES"/>
        </w:rPr>
        <w:t xml:space="preserve">EL AGENTE DE PAGO </w:t>
      </w:r>
      <w:r w:rsidRPr="002C0D19">
        <w:rPr>
          <w:rFonts w:ascii="Arial Narrow" w:hAnsi="Arial Narrow" w:cs="Arial"/>
          <w:lang w:val="es-ES" w:eastAsia="es-ES"/>
        </w:rPr>
        <w:t>a transmitir cualquier información sobre los Terceros del</w:t>
      </w:r>
      <w:r w:rsidRPr="002C0D19">
        <w:rPr>
          <w:rFonts w:ascii="Arial Narrow" w:hAnsi="Arial Narrow" w:cs="Arial"/>
          <w:b/>
          <w:lang w:val="es-ES" w:eastAsia="es-ES"/>
        </w:rPr>
        <w:t xml:space="preserve"> MIEMBRO, </w:t>
      </w:r>
      <w:r w:rsidRPr="002C0D19">
        <w:rPr>
          <w:rFonts w:ascii="Arial Narrow" w:hAnsi="Arial Narrow" w:cs="Arial"/>
          <w:lang w:val="es-ES" w:eastAsia="es-ES"/>
        </w:rPr>
        <w:t>que aquel tenga o reciba en virtud de su función como Agente de Pago</w:t>
      </w:r>
      <w:r w:rsidRPr="002C0D19">
        <w:rPr>
          <w:rFonts w:ascii="Arial Narrow" w:hAnsi="Arial Narrow" w:cs="Arial"/>
          <w:b/>
          <w:lang w:val="es-ES" w:eastAsia="es-ES"/>
        </w:rPr>
        <w:t>,</w:t>
      </w:r>
      <w:r w:rsidRPr="002C0D19">
        <w:rPr>
          <w:rFonts w:ascii="Arial Narrow" w:hAnsi="Arial Narrow" w:cs="Arial"/>
          <w:lang w:val="es-ES" w:eastAsia="es-ES"/>
        </w:rPr>
        <w:t xml:space="preserve"> a </w:t>
      </w:r>
      <w:r w:rsidRPr="002C0D19">
        <w:rPr>
          <w:rFonts w:ascii="Arial Narrow" w:hAnsi="Arial Narrow" w:cs="Arial"/>
          <w:b/>
          <w:lang w:val="es-ES" w:eastAsia="es-ES"/>
        </w:rPr>
        <w:t>LA CRCC</w:t>
      </w:r>
      <w:r w:rsidRPr="002C0D19">
        <w:rPr>
          <w:rFonts w:ascii="Arial Narrow" w:hAnsi="Arial Narrow" w:cs="Arial"/>
          <w:lang w:val="es-ES" w:eastAsia="es-ES"/>
        </w:rPr>
        <w:t xml:space="preserve"> o a</w:t>
      </w:r>
      <w:r w:rsidRPr="002C0D19">
        <w:rPr>
          <w:rFonts w:ascii="Arial Narrow" w:hAnsi="Arial Narrow" w:cs="Arial"/>
          <w:b/>
          <w:lang w:val="es-ES" w:eastAsia="es-ES"/>
        </w:rPr>
        <w:t xml:space="preserve"> </w:t>
      </w:r>
      <w:r w:rsidRPr="002C0D19">
        <w:rPr>
          <w:rFonts w:ascii="Arial Narrow" w:hAnsi="Arial Narrow" w:cs="Arial"/>
          <w:lang w:val="es-ES" w:eastAsia="es-ES"/>
        </w:rPr>
        <w:t>las autoridades u organismos competentes que se lo soliciten.</w:t>
      </w:r>
    </w:p>
    <w:p w14:paraId="1B6B39B5" w14:textId="77777777" w:rsidR="007968EC" w:rsidRPr="002C0D19" w:rsidRDefault="007968EC" w:rsidP="00DA7472">
      <w:pPr>
        <w:numPr>
          <w:ilvl w:val="0"/>
          <w:numId w:val="129"/>
        </w:numPr>
        <w:jc w:val="both"/>
        <w:rPr>
          <w:rFonts w:ascii="Arial Narrow" w:hAnsi="Arial Narrow" w:cs="Arial"/>
          <w:b/>
          <w:lang w:val="es-ES" w:eastAsia="es-ES"/>
        </w:rPr>
      </w:pPr>
      <w:r w:rsidRPr="002C0D19">
        <w:rPr>
          <w:rFonts w:ascii="Arial Narrow" w:hAnsi="Arial Narrow" w:cs="Arial"/>
          <w:lang w:val="es-ES" w:eastAsia="es-ES"/>
        </w:rPr>
        <w:t xml:space="preserve">Declara que conoce y acepta que los dineros entregados </w:t>
      </w:r>
      <w:r w:rsidRPr="002C0D19">
        <w:rPr>
          <w:rFonts w:ascii="Arial Narrow" w:eastAsia="Calibri" w:hAnsi="Arial Narrow" w:cs="Arial"/>
          <w:lang w:eastAsia="es-ES"/>
        </w:rPr>
        <w:t xml:space="preserve">por los Terceros del </w:t>
      </w:r>
      <w:r w:rsidRPr="002C0D19">
        <w:rPr>
          <w:rFonts w:ascii="Arial Narrow" w:eastAsia="Calibri" w:hAnsi="Arial Narrow" w:cs="Arial"/>
          <w:b/>
          <w:lang w:eastAsia="es-ES"/>
        </w:rPr>
        <w:t>MIEMBRO</w:t>
      </w:r>
      <w:r w:rsidRPr="002C0D19">
        <w:rPr>
          <w:rFonts w:ascii="Arial Narrow" w:eastAsia="Calibri" w:hAnsi="Arial Narrow" w:cs="Arial"/>
          <w:lang w:eastAsia="es-ES"/>
        </w:rPr>
        <w:t xml:space="preserve"> </w:t>
      </w:r>
      <w:r w:rsidRPr="002C0D19">
        <w:rPr>
          <w:rFonts w:ascii="Arial Narrow" w:hAnsi="Arial Narrow" w:cs="Arial"/>
          <w:lang w:val="es-ES" w:eastAsia="es-ES"/>
        </w:rPr>
        <w:t xml:space="preserve">a </w:t>
      </w:r>
      <w:r w:rsidRPr="002C0D19">
        <w:rPr>
          <w:rFonts w:ascii="Arial Narrow" w:hAnsi="Arial Narrow" w:cs="Arial"/>
          <w:b/>
          <w:lang w:val="es-ES" w:eastAsia="es-ES"/>
        </w:rPr>
        <w:t xml:space="preserve">EL AGENTE DE PAGO </w:t>
      </w:r>
      <w:r w:rsidRPr="002C0D19">
        <w:rPr>
          <w:rFonts w:ascii="Arial Narrow" w:hAnsi="Arial Narrow" w:cs="Arial"/>
          <w:lang w:val="es-ES" w:eastAsia="es-ES"/>
        </w:rPr>
        <w:t xml:space="preserve">están afectos a la compensación y liquidación en los términos establecidos en el Reglamento. </w:t>
      </w:r>
    </w:p>
    <w:p w14:paraId="7B91A30D" w14:textId="77777777" w:rsidR="007968EC" w:rsidRPr="002C0D19" w:rsidRDefault="007968EC" w:rsidP="007968EC">
      <w:pPr>
        <w:jc w:val="both"/>
        <w:rPr>
          <w:rFonts w:ascii="Arial Narrow" w:hAnsi="Arial Narrow" w:cs="Arial"/>
          <w:b/>
          <w:u w:val="single"/>
          <w:lang w:val="es-ES" w:eastAsia="es-ES"/>
        </w:rPr>
      </w:pPr>
    </w:p>
    <w:p w14:paraId="1D2922CF" w14:textId="77777777" w:rsidR="007968EC" w:rsidRPr="002C0D19" w:rsidRDefault="007968EC" w:rsidP="007968EC">
      <w:pPr>
        <w:jc w:val="both"/>
        <w:rPr>
          <w:rFonts w:ascii="Arial Narrow" w:hAnsi="Arial Narrow" w:cs="Arial"/>
          <w:b/>
          <w:u w:val="single"/>
          <w:lang w:val="es-ES" w:eastAsia="es-ES"/>
        </w:rPr>
      </w:pPr>
      <w:r w:rsidRPr="002C0D19">
        <w:rPr>
          <w:rFonts w:ascii="Arial Narrow" w:hAnsi="Arial Narrow" w:cs="Arial"/>
          <w:b/>
          <w:lang w:val="es-ES" w:eastAsia="es-ES"/>
        </w:rPr>
        <w:t>Parágrafo.</w:t>
      </w:r>
      <w:r w:rsidRPr="002C0D19">
        <w:rPr>
          <w:rFonts w:ascii="Arial Narrow" w:hAnsi="Arial Narrow" w:cs="Arial"/>
          <w:lang w:val="es-ES" w:eastAsia="es-ES"/>
        </w:rPr>
        <w:t xml:space="preserve"> Cualquier reforma que se realice al Reglamento o a las Circulares de la Cámara que implique una modificación a los términos de los acuerdos o Convenios de vinculación, Oferta de Servicios Aceptada mediante Orden de Compra de Servicios que suscriban los Miembros y estos con sus Terceros se presume conocida y aceptada por las partes a partir de su publicación y entrada en vigencia y no requerirá de la modificación de tales acuerdos o Convenios de vinculación, Oferta de Servicios Aceptada mediante Orden de Compra de Servicios que suscriban los Miembros y estos con sus Terceros, ni de la suscripción de nuevos Convenios. No obstante, cuando haya lugar a ello, la Cámara podrá aprobar unos nuevos textos que incorporen las modificaciones pertinentes y publicarlos mediante Circular para efecto de la vinculación de nuevos Miembros, Agentes y Terceros a través de</w:t>
      </w:r>
      <w:r w:rsidRPr="002C0D19">
        <w:rPr>
          <w:rFonts w:ascii="Arial Narrow" w:hAnsi="Arial Narrow" w:cs="Arial"/>
          <w:b/>
          <w:lang w:val="es-ES" w:eastAsia="es-ES"/>
        </w:rPr>
        <w:t xml:space="preserve"> </w:t>
      </w:r>
      <w:r w:rsidRPr="002C0D19">
        <w:rPr>
          <w:rFonts w:ascii="Arial Narrow" w:hAnsi="Arial Narrow" w:cs="Arial"/>
          <w:lang w:val="es-ES" w:eastAsia="es-ES"/>
        </w:rPr>
        <w:t>los Miembros.</w:t>
      </w:r>
    </w:p>
    <w:p w14:paraId="4E29270E" w14:textId="77777777" w:rsidR="007968EC" w:rsidRPr="002C0D19" w:rsidRDefault="007968EC" w:rsidP="007968EC">
      <w:pPr>
        <w:jc w:val="both"/>
        <w:rPr>
          <w:rFonts w:ascii="Arial Narrow" w:hAnsi="Arial Narrow" w:cs="Arial"/>
          <w:b/>
          <w:u w:val="single"/>
          <w:lang w:val="es-ES" w:eastAsia="es-ES"/>
        </w:rPr>
      </w:pPr>
    </w:p>
    <w:p w14:paraId="1BCC2558" w14:textId="77777777" w:rsidR="007968EC" w:rsidRPr="002C0D19" w:rsidRDefault="007968EC" w:rsidP="007968EC">
      <w:pPr>
        <w:jc w:val="both"/>
        <w:rPr>
          <w:rFonts w:ascii="Arial Narrow" w:hAnsi="Arial Narrow" w:cs="Arial"/>
          <w:b/>
          <w:lang w:val="es-ES" w:eastAsia="es-ES"/>
        </w:rPr>
      </w:pPr>
      <w:r w:rsidRPr="002C0D19">
        <w:rPr>
          <w:rFonts w:ascii="Arial Narrow" w:hAnsi="Arial Narrow" w:cs="Arial"/>
          <w:b/>
          <w:u w:val="single"/>
          <w:lang w:val="es-ES" w:eastAsia="es-ES"/>
        </w:rPr>
        <w:lastRenderedPageBreak/>
        <w:t>TERCERA. Obligaciones de EL AGENTE DE PAGO.</w:t>
      </w:r>
      <w:r w:rsidRPr="002C0D19">
        <w:rPr>
          <w:rFonts w:ascii="Arial Narrow" w:hAnsi="Arial Narrow" w:cs="Arial"/>
          <w:lang w:eastAsia="es-ES"/>
        </w:rPr>
        <w:t xml:space="preserve"> </w:t>
      </w:r>
      <w:r w:rsidRPr="002C0D19">
        <w:rPr>
          <w:rFonts w:ascii="Arial Narrow" w:hAnsi="Arial Narrow" w:cs="Arial"/>
          <w:lang w:val="es-ES" w:eastAsia="es-ES"/>
        </w:rPr>
        <w:t>Sin perjuicio</w:t>
      </w:r>
      <w:r w:rsidRPr="002C0D19">
        <w:rPr>
          <w:rFonts w:ascii="Arial Narrow" w:hAnsi="Arial Narrow" w:cs="Arial"/>
          <w:b/>
          <w:lang w:val="es-ES" w:eastAsia="es-ES"/>
        </w:rPr>
        <w:t xml:space="preserve"> </w:t>
      </w:r>
      <w:r w:rsidRPr="002C0D19">
        <w:rPr>
          <w:rFonts w:ascii="Arial Narrow" w:hAnsi="Arial Narrow" w:cs="Arial"/>
          <w:lang w:eastAsia="es-ES"/>
        </w:rPr>
        <w:t xml:space="preserve">de las obligaciones previstas en las demás cláusulas del presente Acuerdo, en el </w:t>
      </w:r>
      <w:r w:rsidRPr="002C0D19">
        <w:rPr>
          <w:rFonts w:ascii="Arial Narrow" w:hAnsi="Arial Narrow" w:cs="Arial"/>
          <w:lang w:val="es-ES" w:eastAsia="es-ES"/>
        </w:rPr>
        <w:t xml:space="preserve">Reglamento, en las Circulares y en los Instructivos Operativos de </w:t>
      </w:r>
      <w:r w:rsidRPr="002C0D19">
        <w:rPr>
          <w:rFonts w:ascii="Arial Narrow" w:hAnsi="Arial Narrow" w:cs="Arial"/>
          <w:b/>
          <w:lang w:val="es-ES" w:eastAsia="es-ES"/>
        </w:rPr>
        <w:t>LA CRCC,</w:t>
      </w:r>
      <w:r w:rsidRPr="002C0D19">
        <w:rPr>
          <w:rFonts w:ascii="Arial Narrow" w:hAnsi="Arial Narrow" w:cs="Arial"/>
          <w:lang w:eastAsia="es-ES"/>
        </w:rPr>
        <w:t xml:space="preserve"> son obligaciones principales de </w:t>
      </w:r>
      <w:r w:rsidRPr="002C0D19">
        <w:rPr>
          <w:rFonts w:ascii="Arial Narrow" w:hAnsi="Arial Narrow" w:cs="Arial"/>
          <w:b/>
          <w:lang w:eastAsia="es-ES"/>
        </w:rPr>
        <w:t xml:space="preserve">EL AGENTE DE PAGO, </w:t>
      </w:r>
      <w:r w:rsidRPr="002C0D19">
        <w:rPr>
          <w:rFonts w:ascii="Arial Narrow" w:hAnsi="Arial Narrow" w:cs="Arial"/>
          <w:lang w:eastAsia="es-ES"/>
        </w:rPr>
        <w:t>las siguientes:</w:t>
      </w:r>
      <w:r w:rsidRPr="002C0D19">
        <w:rPr>
          <w:rFonts w:ascii="Arial Narrow" w:hAnsi="Arial Narrow" w:cs="Arial"/>
          <w:b/>
          <w:lang w:val="es-ES" w:eastAsia="es-ES"/>
        </w:rPr>
        <w:t xml:space="preserve"> </w:t>
      </w:r>
    </w:p>
    <w:p w14:paraId="01C171F8" w14:textId="77777777" w:rsidR="007968EC" w:rsidRPr="002C0D19" w:rsidRDefault="007968EC" w:rsidP="007968EC">
      <w:pPr>
        <w:jc w:val="both"/>
        <w:rPr>
          <w:rFonts w:ascii="Arial Narrow" w:hAnsi="Arial Narrow" w:cs="Arial"/>
          <w:b/>
          <w:lang w:val="es-ES" w:eastAsia="es-ES"/>
        </w:rPr>
      </w:pPr>
    </w:p>
    <w:p w14:paraId="753DF821" w14:textId="77777777" w:rsidR="007968EC" w:rsidRPr="002C0D19" w:rsidRDefault="007968EC" w:rsidP="00DA7472">
      <w:pPr>
        <w:numPr>
          <w:ilvl w:val="0"/>
          <w:numId w:val="130"/>
        </w:numPr>
        <w:jc w:val="both"/>
        <w:rPr>
          <w:rFonts w:ascii="Arial Narrow" w:hAnsi="Arial Narrow" w:cs="Arial"/>
          <w:lang w:val="es-ES" w:eastAsia="es-ES"/>
        </w:rPr>
      </w:pPr>
      <w:r w:rsidRPr="002C0D19">
        <w:rPr>
          <w:rFonts w:ascii="Arial Narrow" w:hAnsi="Arial Narrow" w:cs="Arial"/>
          <w:lang w:val="es-ES" w:eastAsia="es-ES"/>
        </w:rPr>
        <w:t>Cumplir y mantener en todo momento los requisitos generales y especiales de admisión como Agente.</w:t>
      </w:r>
      <w:r w:rsidRPr="002C0D19">
        <w:rPr>
          <w:rFonts w:ascii="Arial Narrow" w:hAnsi="Arial Narrow" w:cs="Arial"/>
          <w:b/>
          <w:lang w:val="es-ES" w:eastAsia="es-ES"/>
        </w:rPr>
        <w:t xml:space="preserve"> </w:t>
      </w:r>
      <w:r w:rsidRPr="002C0D19">
        <w:rPr>
          <w:rFonts w:ascii="Arial Narrow" w:hAnsi="Arial Narrow" w:cs="Arial"/>
          <w:lang w:val="es-ES" w:eastAsia="es-ES"/>
        </w:rPr>
        <w:t xml:space="preserve"> </w:t>
      </w:r>
    </w:p>
    <w:p w14:paraId="6564FD4E" w14:textId="77777777" w:rsidR="007968EC" w:rsidRPr="002C0D19" w:rsidRDefault="007968EC" w:rsidP="00DA7472">
      <w:pPr>
        <w:numPr>
          <w:ilvl w:val="0"/>
          <w:numId w:val="130"/>
        </w:numPr>
        <w:jc w:val="both"/>
        <w:rPr>
          <w:rFonts w:ascii="Arial Narrow" w:hAnsi="Arial Narrow" w:cs="Arial"/>
          <w:lang w:val="es-ES" w:eastAsia="es-ES"/>
        </w:rPr>
      </w:pPr>
      <w:r w:rsidRPr="002C0D19">
        <w:rPr>
          <w:rFonts w:ascii="Arial Narrow" w:hAnsi="Arial Narrow" w:cs="Arial"/>
          <w:lang w:val="es-ES" w:eastAsia="es-ES"/>
        </w:rPr>
        <w:t xml:space="preserve">Cumplir y hacer cumplir estrictamente a las personas vinculadas a </w:t>
      </w:r>
      <w:r w:rsidRPr="002C0D19">
        <w:rPr>
          <w:rFonts w:ascii="Arial Narrow" w:hAnsi="Arial Narrow" w:cs="Arial"/>
          <w:b/>
          <w:lang w:eastAsia="es-ES"/>
        </w:rPr>
        <w:t>EL AGENTE DE PAGO</w:t>
      </w:r>
      <w:r w:rsidRPr="002C0D19">
        <w:rPr>
          <w:rFonts w:ascii="Arial Narrow" w:hAnsi="Arial Narrow" w:cs="Arial"/>
          <w:lang w:val="es-ES" w:eastAsia="es-ES"/>
        </w:rPr>
        <w:t xml:space="preserve">, sin restricciones ni reservas, la Ley, las instrucciones de las Autoridades Competentes, el Reglamento, las Circulares e Instructivos Operativos, el presente Acuerdo, los Convenios con los Miembros Liquidadores y  todas aquellas decisiones que, en uso de sus atribuciones, adopten la Junta Directiva y/o el Gerente de </w:t>
      </w:r>
      <w:r w:rsidRPr="002C0D19">
        <w:rPr>
          <w:rFonts w:ascii="Arial Narrow" w:hAnsi="Arial Narrow" w:cs="Arial"/>
          <w:b/>
          <w:lang w:val="es-ES" w:eastAsia="es-ES"/>
        </w:rPr>
        <w:t>LA CRCC</w:t>
      </w:r>
      <w:r w:rsidRPr="002C0D19">
        <w:rPr>
          <w:rFonts w:ascii="Arial Narrow" w:hAnsi="Arial Narrow" w:cs="Arial"/>
          <w:lang w:val="es-ES" w:eastAsia="es-ES"/>
        </w:rPr>
        <w:t xml:space="preserve"> para reglamentar su funcionamiento, divulgadas de conformidad con el Reglamento, sin que sirva de excusa o defensa la ignorancia de dichas normas o instrucciones. Lo anterior se extiende a cualquier modificación o adición que cualquier autoridad competente pueda imponer, así como a las modificaciones que </w:t>
      </w:r>
      <w:r w:rsidRPr="002C0D19">
        <w:rPr>
          <w:rFonts w:ascii="Arial Narrow" w:hAnsi="Arial Narrow" w:cs="Arial"/>
          <w:b/>
          <w:lang w:val="es-ES" w:eastAsia="es-ES"/>
        </w:rPr>
        <w:t>LA CRCC</w:t>
      </w:r>
      <w:r w:rsidRPr="002C0D19">
        <w:rPr>
          <w:rFonts w:ascii="Arial Narrow" w:hAnsi="Arial Narrow" w:cs="Arial"/>
          <w:lang w:val="es-ES" w:eastAsia="es-ES"/>
        </w:rPr>
        <w:t xml:space="preserve"> pueda introducir con la autorización de la Superintendencia Financiera de Colombia.</w:t>
      </w:r>
    </w:p>
    <w:p w14:paraId="6E5678B8" w14:textId="77777777" w:rsidR="007968EC" w:rsidRPr="002C0D19" w:rsidRDefault="007968EC" w:rsidP="00DA7472">
      <w:pPr>
        <w:numPr>
          <w:ilvl w:val="0"/>
          <w:numId w:val="130"/>
        </w:numPr>
        <w:jc w:val="both"/>
        <w:rPr>
          <w:rFonts w:ascii="Arial Narrow" w:hAnsi="Arial Narrow" w:cs="Arial"/>
          <w:lang w:val="es-ES" w:eastAsia="es-ES"/>
        </w:rPr>
      </w:pPr>
      <w:r w:rsidRPr="002C0D19">
        <w:rPr>
          <w:rFonts w:ascii="Arial Narrow" w:hAnsi="Arial Narrow" w:cs="Arial"/>
          <w:lang w:val="es-ES" w:eastAsia="es-ES"/>
        </w:rPr>
        <w:t xml:space="preserve">Informar inmediatamente y por escrito a </w:t>
      </w:r>
      <w:r w:rsidRPr="002C0D19">
        <w:rPr>
          <w:rFonts w:ascii="Arial Narrow" w:hAnsi="Arial Narrow" w:cs="Arial"/>
          <w:b/>
          <w:lang w:val="es-ES" w:eastAsia="es-ES"/>
        </w:rPr>
        <w:t>LA CRCC</w:t>
      </w:r>
      <w:r w:rsidRPr="002C0D19">
        <w:rPr>
          <w:rFonts w:ascii="Arial Narrow" w:hAnsi="Arial Narrow" w:cs="Arial"/>
          <w:lang w:val="es-ES" w:eastAsia="es-ES"/>
        </w:rPr>
        <w:t xml:space="preserve"> </w:t>
      </w:r>
      <w:r w:rsidRPr="002C0D19">
        <w:rPr>
          <w:rFonts w:ascii="Arial Narrow" w:hAnsi="Arial Narrow" w:cs="Arial"/>
          <w:lang w:eastAsia="es-ES"/>
        </w:rPr>
        <w:t xml:space="preserve">sobre </w:t>
      </w:r>
      <w:r w:rsidRPr="002C0D19">
        <w:rPr>
          <w:rFonts w:ascii="Arial Narrow" w:hAnsi="Arial Narrow" w:cs="Arial"/>
          <w:lang w:val="es-ES" w:eastAsia="es-ES"/>
        </w:rPr>
        <w:t>cualquier modificación que afecte los requisitos especiales que llevaron a su admisión como Agente.</w:t>
      </w:r>
    </w:p>
    <w:p w14:paraId="06620D74" w14:textId="77777777" w:rsidR="007968EC" w:rsidRPr="002C0D19" w:rsidRDefault="007968EC" w:rsidP="00DA7472">
      <w:pPr>
        <w:numPr>
          <w:ilvl w:val="0"/>
          <w:numId w:val="130"/>
        </w:numPr>
        <w:jc w:val="both"/>
        <w:rPr>
          <w:rFonts w:ascii="Arial Narrow" w:hAnsi="Arial Narrow" w:cs="Arial"/>
          <w:lang w:eastAsia="es-ES"/>
        </w:rPr>
      </w:pPr>
      <w:r w:rsidRPr="002C0D19">
        <w:rPr>
          <w:rFonts w:ascii="Arial Narrow" w:hAnsi="Arial Narrow" w:cs="Arial"/>
          <w:lang w:val="es-ES" w:eastAsia="es-ES"/>
        </w:rPr>
        <w:t xml:space="preserve">Entregar a </w:t>
      </w:r>
      <w:r w:rsidRPr="002C0D19">
        <w:rPr>
          <w:rFonts w:ascii="Arial Narrow" w:hAnsi="Arial Narrow" w:cs="Arial"/>
          <w:b/>
          <w:lang w:val="es-ES" w:eastAsia="es-ES"/>
        </w:rPr>
        <w:t xml:space="preserve">LA CRCC, </w:t>
      </w:r>
      <w:r w:rsidRPr="002C0D19">
        <w:rPr>
          <w:rFonts w:ascii="Arial Narrow" w:hAnsi="Arial Narrow" w:cs="Arial"/>
          <w:lang w:val="es-ES" w:eastAsia="es-ES"/>
        </w:rPr>
        <w:t xml:space="preserve">a </w:t>
      </w:r>
      <w:r w:rsidRPr="002C0D19">
        <w:rPr>
          <w:rFonts w:ascii="Arial Narrow" w:hAnsi="Arial Narrow" w:cs="Arial"/>
          <w:b/>
          <w:lang w:val="es-ES" w:eastAsia="es-ES"/>
        </w:rPr>
        <w:t>EL MIEMBRO LIQUIDADOR,</w:t>
      </w:r>
      <w:r w:rsidRPr="002C0D19">
        <w:rPr>
          <w:rFonts w:ascii="Arial Narrow" w:hAnsi="Arial Narrow" w:cs="Arial"/>
          <w:lang w:val="es-ES" w:eastAsia="es-ES"/>
        </w:rPr>
        <w:t xml:space="preserve"> o a las Autoridades Competentes directamente, la información que se le solicite sobre los Terceros del </w:t>
      </w:r>
      <w:r w:rsidRPr="002C0D19">
        <w:rPr>
          <w:rFonts w:ascii="Arial Narrow" w:hAnsi="Arial Narrow" w:cs="Arial"/>
          <w:b/>
          <w:lang w:val="es-ES" w:eastAsia="es-ES"/>
        </w:rPr>
        <w:t xml:space="preserve">MIEMBRO, </w:t>
      </w:r>
      <w:r w:rsidRPr="002C0D19">
        <w:rPr>
          <w:rFonts w:ascii="Arial Narrow" w:hAnsi="Arial Narrow" w:cs="Arial"/>
          <w:lang w:val="es-ES" w:eastAsia="es-ES"/>
        </w:rPr>
        <w:t xml:space="preserve">para la atención de requerimientos que las Autoridades Competentes le hagan a </w:t>
      </w:r>
      <w:r w:rsidRPr="002C0D19">
        <w:rPr>
          <w:rFonts w:ascii="Arial Narrow" w:hAnsi="Arial Narrow" w:cs="Arial"/>
          <w:b/>
          <w:lang w:val="es-ES" w:eastAsia="es-ES"/>
        </w:rPr>
        <w:t xml:space="preserve">LA CRCC </w:t>
      </w:r>
      <w:r w:rsidRPr="002C0D19">
        <w:rPr>
          <w:rFonts w:ascii="Arial Narrow" w:hAnsi="Arial Narrow" w:cs="Arial"/>
          <w:lang w:val="es-ES" w:eastAsia="es-ES"/>
        </w:rPr>
        <w:t>o a</w:t>
      </w:r>
      <w:r w:rsidRPr="002C0D19">
        <w:rPr>
          <w:rFonts w:ascii="Arial Narrow" w:hAnsi="Arial Narrow" w:cs="Arial"/>
          <w:b/>
          <w:lang w:val="es-ES" w:eastAsia="es-ES"/>
        </w:rPr>
        <w:t xml:space="preserve"> EL MIEMBRO LIQUIDADOR</w:t>
      </w:r>
      <w:r w:rsidRPr="002C0D19">
        <w:rPr>
          <w:rFonts w:ascii="Arial Narrow" w:hAnsi="Arial Narrow" w:cs="Arial"/>
          <w:lang w:val="es-ES" w:eastAsia="es-ES"/>
        </w:rPr>
        <w:t xml:space="preserve">.  </w:t>
      </w:r>
    </w:p>
    <w:p w14:paraId="7AAAD01D" w14:textId="77777777" w:rsidR="007968EC" w:rsidRPr="002C0D19" w:rsidRDefault="007968EC" w:rsidP="00DA7472">
      <w:pPr>
        <w:numPr>
          <w:ilvl w:val="0"/>
          <w:numId w:val="130"/>
        </w:numPr>
        <w:autoSpaceDE w:val="0"/>
        <w:autoSpaceDN w:val="0"/>
        <w:adjustRightInd w:val="0"/>
        <w:jc w:val="both"/>
        <w:rPr>
          <w:rFonts w:ascii="Arial Narrow" w:hAnsi="Arial Narrow" w:cs="Arial"/>
          <w:lang w:val="es-ES" w:eastAsia="es-ES"/>
        </w:rPr>
      </w:pPr>
      <w:r w:rsidRPr="002C0D19">
        <w:rPr>
          <w:rFonts w:ascii="Arial Narrow" w:hAnsi="Arial Narrow" w:cs="Arial"/>
          <w:lang w:val="es-ES" w:eastAsia="es-ES"/>
        </w:rPr>
        <w:t xml:space="preserve">Tener un convenio con </w:t>
      </w:r>
      <w:r w:rsidRPr="002C0D19">
        <w:rPr>
          <w:rFonts w:ascii="Arial Narrow" w:hAnsi="Arial Narrow" w:cs="Arial"/>
          <w:b/>
          <w:lang w:val="es-ES" w:eastAsia="es-ES"/>
        </w:rPr>
        <w:t>LA CRCC</w:t>
      </w:r>
      <w:r w:rsidRPr="002C0D19">
        <w:rPr>
          <w:rFonts w:ascii="Arial Narrow" w:hAnsi="Arial Narrow" w:cs="Arial"/>
          <w:lang w:val="es-ES" w:eastAsia="es-ES"/>
        </w:rPr>
        <w:t xml:space="preserve"> que le autoriza a actuar en el </w:t>
      </w:r>
      <w:r w:rsidRPr="002C0D19">
        <w:rPr>
          <w:rFonts w:ascii="Arial Narrow" w:hAnsi="Arial Narrow" w:cs="Arial"/>
          <w:lang w:eastAsia="es-ES"/>
        </w:rPr>
        <w:t>Sistema de Compensación y Liquidación</w:t>
      </w:r>
      <w:r w:rsidRPr="002C0D19">
        <w:rPr>
          <w:rFonts w:ascii="Arial Narrow" w:hAnsi="Arial Narrow" w:cs="Arial"/>
          <w:lang w:val="es-ES" w:eastAsia="es-ES"/>
        </w:rPr>
        <w:t xml:space="preserve"> en calidad de </w:t>
      </w:r>
      <w:r w:rsidRPr="002C0D19">
        <w:rPr>
          <w:rFonts w:ascii="Arial Narrow" w:hAnsi="Arial Narrow" w:cs="Arial"/>
          <w:b/>
          <w:lang w:val="es-ES" w:eastAsia="es-ES"/>
        </w:rPr>
        <w:t xml:space="preserve">AGENTE DE PAGO </w:t>
      </w:r>
      <w:r w:rsidRPr="002C0D19">
        <w:rPr>
          <w:rFonts w:ascii="Arial Narrow" w:hAnsi="Arial Narrow" w:cs="Arial"/>
          <w:lang w:val="es-ES" w:eastAsia="es-ES"/>
        </w:rPr>
        <w:t xml:space="preserve">de </w:t>
      </w:r>
      <w:r w:rsidRPr="002C0D19">
        <w:rPr>
          <w:rFonts w:ascii="Arial Narrow" w:eastAsia="Calibri" w:hAnsi="Arial Narrow" w:cs="Arial"/>
          <w:lang w:eastAsia="es-ES"/>
        </w:rPr>
        <w:t xml:space="preserve">los Terceros de los </w:t>
      </w:r>
      <w:r w:rsidRPr="002C0D19">
        <w:rPr>
          <w:rFonts w:ascii="Arial Narrow" w:hAnsi="Arial Narrow" w:cs="Arial"/>
          <w:lang w:val="es-ES" w:eastAsia="es-ES"/>
        </w:rPr>
        <w:t>Miembros.</w:t>
      </w:r>
    </w:p>
    <w:p w14:paraId="05FED27D" w14:textId="77777777" w:rsidR="007968EC" w:rsidRPr="002C0D19" w:rsidRDefault="007968EC" w:rsidP="00DA7472">
      <w:pPr>
        <w:numPr>
          <w:ilvl w:val="0"/>
          <w:numId w:val="130"/>
        </w:numPr>
        <w:autoSpaceDE w:val="0"/>
        <w:autoSpaceDN w:val="0"/>
        <w:adjustRightInd w:val="0"/>
        <w:jc w:val="both"/>
        <w:rPr>
          <w:rFonts w:ascii="Arial Narrow" w:hAnsi="Arial Narrow" w:cs="Arial"/>
          <w:lang w:val="es-ES" w:eastAsia="es-ES"/>
        </w:rPr>
      </w:pPr>
      <w:r w:rsidRPr="002C0D19">
        <w:rPr>
          <w:rFonts w:ascii="Arial Narrow" w:hAnsi="Arial Narrow" w:cs="Arial"/>
          <w:lang w:val="es-ES" w:eastAsia="es-ES"/>
        </w:rPr>
        <w:t xml:space="preserve">Recibir y custodiar por cuenta de </w:t>
      </w:r>
      <w:r w:rsidRPr="002C0D19">
        <w:rPr>
          <w:rFonts w:ascii="Arial Narrow" w:eastAsia="Calibri" w:hAnsi="Arial Narrow" w:cs="Arial"/>
          <w:lang w:eastAsia="es-ES"/>
        </w:rPr>
        <w:t xml:space="preserve">los Terceros de </w:t>
      </w:r>
      <w:r w:rsidRPr="002C0D19">
        <w:rPr>
          <w:rFonts w:ascii="Arial Narrow" w:hAnsi="Arial Narrow" w:cs="Arial"/>
          <w:b/>
          <w:lang w:val="es-ES" w:eastAsia="es-ES"/>
        </w:rPr>
        <w:t>EL MIEMBRO</w:t>
      </w:r>
      <w:r w:rsidRPr="002C0D19">
        <w:rPr>
          <w:rFonts w:ascii="Arial Narrow" w:hAnsi="Arial Narrow" w:cs="Arial"/>
          <w:lang w:val="es-ES" w:eastAsia="es-ES"/>
        </w:rPr>
        <w:t>,</w:t>
      </w:r>
      <w:r w:rsidRPr="002C0D19">
        <w:rPr>
          <w:rFonts w:ascii="Arial Narrow" w:hAnsi="Arial Narrow" w:cs="Arial"/>
          <w:b/>
          <w:lang w:val="es-ES" w:eastAsia="es-ES"/>
        </w:rPr>
        <w:t xml:space="preserve"> </w:t>
      </w:r>
      <w:r w:rsidRPr="002C0D19">
        <w:rPr>
          <w:rFonts w:ascii="Arial Narrow" w:hAnsi="Arial Narrow" w:cs="Arial"/>
          <w:lang w:val="es-ES" w:eastAsia="es-ES"/>
        </w:rPr>
        <w:t>el</w:t>
      </w:r>
      <w:r w:rsidRPr="002C0D19">
        <w:rPr>
          <w:rFonts w:ascii="Arial Narrow" w:hAnsi="Arial Narrow" w:cs="Arial"/>
          <w:b/>
          <w:lang w:val="es-ES" w:eastAsia="es-ES"/>
        </w:rPr>
        <w:t xml:space="preserve"> </w:t>
      </w:r>
      <w:r w:rsidRPr="002C0D19">
        <w:rPr>
          <w:rFonts w:ascii="Arial Narrow" w:hAnsi="Arial Narrow" w:cs="Arial"/>
          <w:lang w:val="es-ES" w:eastAsia="es-ES"/>
        </w:rPr>
        <w:t xml:space="preserve">dinero en efectivo </w:t>
      </w:r>
      <w:r w:rsidRPr="002C0D19">
        <w:rPr>
          <w:rFonts w:ascii="Arial Narrow" w:eastAsia="Calibri" w:hAnsi="Arial Narrow" w:cs="Arial"/>
          <w:lang w:eastAsia="es-ES"/>
        </w:rPr>
        <w:t>y, si es el caso, el dinero en efectivo de los Terceros de sus Miembros no Liquidadores y de toda su estructura de cuentas.</w:t>
      </w:r>
    </w:p>
    <w:p w14:paraId="1BDDB2E5" w14:textId="77777777" w:rsidR="007968EC" w:rsidRPr="002C0D19" w:rsidRDefault="007968EC" w:rsidP="00DA7472">
      <w:pPr>
        <w:numPr>
          <w:ilvl w:val="0"/>
          <w:numId w:val="130"/>
        </w:numPr>
        <w:autoSpaceDE w:val="0"/>
        <w:autoSpaceDN w:val="0"/>
        <w:adjustRightInd w:val="0"/>
        <w:jc w:val="both"/>
        <w:rPr>
          <w:rFonts w:ascii="Arial Narrow" w:hAnsi="Arial Narrow" w:cs="Arial"/>
          <w:lang w:val="es-ES" w:eastAsia="es-ES"/>
        </w:rPr>
      </w:pPr>
      <w:r w:rsidRPr="002C0D19">
        <w:rPr>
          <w:rFonts w:ascii="Arial Narrow" w:hAnsi="Arial Narrow" w:cs="Arial"/>
          <w:lang w:val="es-ES" w:eastAsia="es-ES"/>
        </w:rPr>
        <w:t xml:space="preserve">Realizar la entrega a </w:t>
      </w:r>
      <w:r w:rsidRPr="002C0D19">
        <w:rPr>
          <w:rFonts w:ascii="Arial Narrow" w:hAnsi="Arial Narrow" w:cs="Arial"/>
          <w:b/>
          <w:lang w:val="es-ES" w:eastAsia="es-ES"/>
        </w:rPr>
        <w:t>LA CRCC</w:t>
      </w:r>
      <w:r w:rsidRPr="002C0D19">
        <w:rPr>
          <w:rFonts w:ascii="Arial Narrow" w:hAnsi="Arial Narrow" w:cs="Arial"/>
          <w:lang w:val="es-ES" w:eastAsia="es-ES"/>
        </w:rPr>
        <w:t xml:space="preserve"> del dinero en efectivo entregado por los Terceros de</w:t>
      </w:r>
      <w:r w:rsidRPr="002C0D19">
        <w:rPr>
          <w:rFonts w:ascii="Arial Narrow" w:hAnsi="Arial Narrow" w:cs="Arial"/>
          <w:b/>
          <w:lang w:val="es-ES" w:eastAsia="es-ES"/>
        </w:rPr>
        <w:t xml:space="preserve"> EL MIEMBRO </w:t>
      </w:r>
      <w:r w:rsidRPr="002C0D19">
        <w:rPr>
          <w:rFonts w:ascii="Arial Narrow" w:eastAsia="Calibri" w:hAnsi="Arial Narrow" w:cs="Arial"/>
          <w:lang w:eastAsia="es-ES"/>
        </w:rPr>
        <w:t xml:space="preserve">y, si es el caso, de sus Miembros no Liquidadores y de los Terceros de estos últimos, que lo hayan designado como </w:t>
      </w:r>
      <w:r w:rsidRPr="002C0D19">
        <w:rPr>
          <w:rFonts w:ascii="Arial Narrow" w:eastAsia="Calibri" w:hAnsi="Arial Narrow" w:cs="Arial"/>
          <w:b/>
          <w:lang w:eastAsia="es-ES"/>
        </w:rPr>
        <w:t>AGENTE DE PAGO</w:t>
      </w:r>
      <w:r w:rsidRPr="002C0D19">
        <w:rPr>
          <w:rFonts w:ascii="Arial Narrow" w:eastAsia="Calibri" w:hAnsi="Arial Narrow" w:cs="Arial"/>
          <w:lang w:eastAsia="es-ES"/>
        </w:rPr>
        <w:t xml:space="preserve"> </w:t>
      </w:r>
      <w:r w:rsidRPr="002C0D19">
        <w:rPr>
          <w:rFonts w:ascii="Arial Narrow" w:hAnsi="Arial Narrow" w:cs="Arial"/>
          <w:lang w:val="es-ES" w:eastAsia="es-ES"/>
        </w:rPr>
        <w:t xml:space="preserve">para cumplir con las obligaciones derivadas de la compensación y liquidación de sus cuentas, siempre y cuando exista una instrucción por parte del </w:t>
      </w:r>
      <w:r w:rsidRPr="002C0D19">
        <w:rPr>
          <w:rFonts w:ascii="Arial Narrow" w:hAnsi="Arial Narrow" w:cs="Arial"/>
          <w:b/>
          <w:lang w:val="es-ES" w:eastAsia="es-ES"/>
        </w:rPr>
        <w:t xml:space="preserve">TERCERO </w:t>
      </w:r>
      <w:r w:rsidRPr="002C0D19">
        <w:rPr>
          <w:rFonts w:ascii="Arial Narrow" w:hAnsi="Arial Narrow" w:cs="Arial"/>
          <w:lang w:val="es-ES" w:eastAsia="es-ES"/>
        </w:rPr>
        <w:t xml:space="preserve">al </w:t>
      </w:r>
      <w:r w:rsidRPr="002C0D19">
        <w:rPr>
          <w:rFonts w:ascii="Arial Narrow" w:hAnsi="Arial Narrow" w:cs="Arial"/>
          <w:b/>
          <w:lang w:val="es-ES" w:eastAsia="es-ES"/>
        </w:rPr>
        <w:t>AGENTE CUSTODIO</w:t>
      </w:r>
      <w:r w:rsidRPr="002C0D19">
        <w:rPr>
          <w:rFonts w:ascii="Arial Narrow" w:hAnsi="Arial Narrow" w:cs="Arial"/>
          <w:lang w:val="es-ES" w:eastAsia="es-ES"/>
        </w:rPr>
        <w:t xml:space="preserve">. Así mismo, entregar el dinero en efectivo a </w:t>
      </w:r>
      <w:r w:rsidRPr="002C0D19">
        <w:rPr>
          <w:rFonts w:ascii="Arial Narrow" w:hAnsi="Arial Narrow" w:cs="Arial"/>
          <w:b/>
          <w:lang w:val="es-ES" w:eastAsia="es-ES"/>
        </w:rPr>
        <w:t>LA CRCC</w:t>
      </w:r>
      <w:r w:rsidRPr="002C0D19">
        <w:rPr>
          <w:rFonts w:ascii="Arial Narrow" w:hAnsi="Arial Narrow" w:cs="Arial"/>
          <w:lang w:val="es-ES" w:eastAsia="es-ES"/>
        </w:rPr>
        <w:t xml:space="preserve"> en el evento de que ésta, en aplicación del Reglamento, se lo demande, siempre y cuando existe una instrucción por parte del </w:t>
      </w:r>
      <w:r w:rsidRPr="002C0D19">
        <w:rPr>
          <w:rFonts w:ascii="Arial Narrow" w:hAnsi="Arial Narrow" w:cs="Arial"/>
          <w:b/>
          <w:lang w:val="es-ES" w:eastAsia="es-ES"/>
        </w:rPr>
        <w:t xml:space="preserve">TERCERO </w:t>
      </w:r>
      <w:r w:rsidRPr="002C0D19">
        <w:rPr>
          <w:rFonts w:ascii="Arial Narrow" w:hAnsi="Arial Narrow" w:cs="Arial"/>
          <w:lang w:val="es-ES" w:eastAsia="es-ES"/>
        </w:rPr>
        <w:t xml:space="preserve">al </w:t>
      </w:r>
      <w:r w:rsidRPr="002C0D19">
        <w:rPr>
          <w:rFonts w:ascii="Arial Narrow" w:hAnsi="Arial Narrow" w:cs="Arial"/>
          <w:b/>
          <w:lang w:val="es-ES" w:eastAsia="es-ES"/>
        </w:rPr>
        <w:t>AGENTE DE PAGO</w:t>
      </w:r>
      <w:r w:rsidRPr="002C0D19">
        <w:rPr>
          <w:rFonts w:ascii="Arial Narrow" w:hAnsi="Arial Narrow" w:cs="Arial"/>
          <w:lang w:val="es-ES" w:eastAsia="es-ES"/>
        </w:rPr>
        <w:t xml:space="preserve">. </w:t>
      </w:r>
    </w:p>
    <w:p w14:paraId="2324B87C" w14:textId="77777777" w:rsidR="007968EC" w:rsidRPr="002C0D19" w:rsidRDefault="007968EC" w:rsidP="00DA7472">
      <w:pPr>
        <w:numPr>
          <w:ilvl w:val="0"/>
          <w:numId w:val="130"/>
        </w:numPr>
        <w:autoSpaceDE w:val="0"/>
        <w:autoSpaceDN w:val="0"/>
        <w:adjustRightInd w:val="0"/>
        <w:jc w:val="both"/>
        <w:rPr>
          <w:rFonts w:ascii="Arial Narrow" w:hAnsi="Arial Narrow" w:cs="Arial"/>
          <w:lang w:val="es-ES" w:eastAsia="es-ES"/>
        </w:rPr>
      </w:pPr>
      <w:r w:rsidRPr="002C0D19">
        <w:rPr>
          <w:rFonts w:ascii="Arial Narrow" w:hAnsi="Arial Narrow" w:cs="Arial"/>
          <w:lang w:val="es-ES" w:eastAsia="es-ES"/>
        </w:rPr>
        <w:t xml:space="preserve">Reportar a </w:t>
      </w:r>
      <w:r w:rsidRPr="002C0D19">
        <w:rPr>
          <w:rFonts w:ascii="Arial Narrow" w:hAnsi="Arial Narrow" w:cs="Arial"/>
          <w:b/>
          <w:lang w:val="es-ES" w:eastAsia="es-ES"/>
        </w:rPr>
        <w:t xml:space="preserve">EL MIEMBRO </w:t>
      </w:r>
      <w:r w:rsidRPr="002C0D19">
        <w:rPr>
          <w:rFonts w:ascii="Arial Narrow" w:hAnsi="Arial Narrow" w:cs="Arial"/>
          <w:lang w:val="es-ES" w:eastAsia="es-ES"/>
        </w:rPr>
        <w:t xml:space="preserve">el Incumplimiento de los Terceros y de los Miembros no Liquidadores, y de los Terceros de éstos, si es el caso, respecto de la entrega de fondos que les corresponda en virtud de las operaciones registradas en las cuentas que liquida </w:t>
      </w:r>
      <w:r w:rsidRPr="002C0D19">
        <w:rPr>
          <w:rFonts w:ascii="Arial Narrow" w:hAnsi="Arial Narrow" w:cs="Arial"/>
          <w:b/>
          <w:lang w:val="es-ES" w:eastAsia="es-ES"/>
        </w:rPr>
        <w:t>EL MIEMBRO LIQUIDADOR</w:t>
      </w:r>
      <w:r w:rsidRPr="002C0D19">
        <w:rPr>
          <w:rFonts w:ascii="Arial Narrow" w:hAnsi="Arial Narrow" w:cs="Arial"/>
          <w:lang w:val="es-ES" w:eastAsia="es-ES"/>
        </w:rPr>
        <w:t>.</w:t>
      </w:r>
    </w:p>
    <w:p w14:paraId="52C636DA" w14:textId="77777777" w:rsidR="007968EC" w:rsidRPr="002C0D19" w:rsidRDefault="007968EC" w:rsidP="00DA7472">
      <w:pPr>
        <w:numPr>
          <w:ilvl w:val="0"/>
          <w:numId w:val="130"/>
        </w:numPr>
        <w:autoSpaceDE w:val="0"/>
        <w:autoSpaceDN w:val="0"/>
        <w:adjustRightInd w:val="0"/>
        <w:jc w:val="both"/>
        <w:rPr>
          <w:rFonts w:ascii="Arial Narrow" w:hAnsi="Arial Narrow" w:cs="Arial"/>
          <w:lang w:val="es-ES" w:eastAsia="es-ES"/>
        </w:rPr>
      </w:pPr>
      <w:r w:rsidRPr="002C0D19">
        <w:rPr>
          <w:rFonts w:ascii="Arial Narrow" w:hAnsi="Arial Narrow" w:cs="Arial"/>
          <w:lang w:eastAsia="es-ES"/>
        </w:rPr>
        <w:t>Mantener</w:t>
      </w:r>
      <w:r w:rsidRPr="002C0D19">
        <w:rPr>
          <w:rFonts w:ascii="Arial Narrow" w:hAnsi="Arial Narrow" w:cs="Arial"/>
          <w:lang w:val="es-ES" w:eastAsia="es-ES"/>
        </w:rPr>
        <w:t xml:space="preserve"> las cuentas de depósito de efectivo arriba indicadas, de las que es titular directo en el Banco de la República.  </w:t>
      </w:r>
    </w:p>
    <w:p w14:paraId="19331FD1" w14:textId="77777777" w:rsidR="007968EC" w:rsidRPr="002C0D19" w:rsidRDefault="007968EC" w:rsidP="00DA7472">
      <w:pPr>
        <w:numPr>
          <w:ilvl w:val="0"/>
          <w:numId w:val="130"/>
        </w:numPr>
        <w:autoSpaceDE w:val="0"/>
        <w:autoSpaceDN w:val="0"/>
        <w:adjustRightInd w:val="0"/>
        <w:jc w:val="both"/>
        <w:rPr>
          <w:rFonts w:ascii="Arial Narrow" w:hAnsi="Arial Narrow" w:cs="Arial"/>
          <w:lang w:val="es-ES" w:eastAsia="es-ES"/>
        </w:rPr>
      </w:pPr>
      <w:r w:rsidRPr="002C0D19">
        <w:rPr>
          <w:rFonts w:ascii="Arial Narrow" w:hAnsi="Arial Narrow" w:cs="Arial"/>
          <w:lang w:val="es-ES" w:eastAsia="es-ES"/>
        </w:rPr>
        <w:t xml:space="preserve">Desarrollar las Actividades propias de Agente de Pago, cumpliendo siempre con las especificaciones técnicas y procedimientos establecidos por </w:t>
      </w:r>
      <w:r w:rsidRPr="002C0D19">
        <w:rPr>
          <w:rFonts w:ascii="Arial Narrow" w:hAnsi="Arial Narrow" w:cs="Arial"/>
          <w:b/>
          <w:lang w:val="es-ES" w:eastAsia="es-ES"/>
        </w:rPr>
        <w:t>LA CRCC</w:t>
      </w:r>
      <w:r w:rsidRPr="002C0D19">
        <w:rPr>
          <w:rFonts w:ascii="Arial Narrow" w:hAnsi="Arial Narrow" w:cs="Arial"/>
          <w:lang w:val="es-ES" w:eastAsia="es-ES"/>
        </w:rPr>
        <w:t xml:space="preserve">. </w:t>
      </w:r>
    </w:p>
    <w:p w14:paraId="59584780" w14:textId="77777777" w:rsidR="007968EC" w:rsidRPr="002C0D19" w:rsidRDefault="007968EC" w:rsidP="007968EC">
      <w:pPr>
        <w:jc w:val="both"/>
        <w:rPr>
          <w:rFonts w:ascii="Arial Narrow" w:hAnsi="Arial Narrow" w:cs="Arial"/>
          <w:b/>
          <w:u w:val="single"/>
          <w:lang w:val="es-ES" w:eastAsia="es-ES"/>
        </w:rPr>
      </w:pPr>
    </w:p>
    <w:p w14:paraId="2ABBEAA5" w14:textId="77777777" w:rsidR="007968EC" w:rsidRPr="002C0D19" w:rsidRDefault="007968EC" w:rsidP="007968EC">
      <w:pPr>
        <w:jc w:val="both"/>
        <w:rPr>
          <w:rFonts w:ascii="Arial Narrow" w:hAnsi="Arial Narrow" w:cs="Arial"/>
          <w:lang w:eastAsia="es-ES"/>
        </w:rPr>
      </w:pPr>
      <w:r w:rsidRPr="002C0D19">
        <w:rPr>
          <w:rFonts w:ascii="Arial Narrow" w:hAnsi="Arial Narrow" w:cs="Arial"/>
          <w:b/>
          <w:u w:val="single"/>
          <w:lang w:val="es-ES" w:eastAsia="es-ES"/>
        </w:rPr>
        <w:lastRenderedPageBreak/>
        <w:t>CUARTA. Obligaciones de EL MIEMBRO LIQUIDADOR.</w:t>
      </w:r>
      <w:r w:rsidRPr="002C0D19">
        <w:rPr>
          <w:rFonts w:ascii="Arial Narrow" w:hAnsi="Arial Narrow" w:cs="Arial"/>
          <w:lang w:val="es-ES" w:eastAsia="es-ES"/>
        </w:rPr>
        <w:t>  Sin perjuicio</w:t>
      </w:r>
      <w:r w:rsidRPr="002C0D19">
        <w:rPr>
          <w:rFonts w:ascii="Arial Narrow" w:hAnsi="Arial Narrow" w:cs="Arial"/>
          <w:b/>
          <w:lang w:val="es-ES" w:eastAsia="es-ES"/>
        </w:rPr>
        <w:t xml:space="preserve"> </w:t>
      </w:r>
      <w:r w:rsidRPr="002C0D19">
        <w:rPr>
          <w:rFonts w:ascii="Arial Narrow" w:hAnsi="Arial Narrow" w:cs="Arial"/>
          <w:lang w:eastAsia="es-ES"/>
        </w:rPr>
        <w:t xml:space="preserve">de las obligaciones previstas en las demás cláusulas del presente Acuerdo, en el </w:t>
      </w:r>
      <w:r w:rsidRPr="002C0D19">
        <w:rPr>
          <w:rFonts w:ascii="Arial Narrow" w:hAnsi="Arial Narrow" w:cs="Arial"/>
          <w:lang w:val="es-ES" w:eastAsia="es-ES"/>
        </w:rPr>
        <w:t xml:space="preserve">Reglamento, en las Circulares y en los Instructivos Operativos de </w:t>
      </w:r>
      <w:r w:rsidRPr="002C0D19">
        <w:rPr>
          <w:rFonts w:ascii="Arial Narrow" w:hAnsi="Arial Narrow" w:cs="Arial"/>
          <w:b/>
          <w:lang w:val="es-ES" w:eastAsia="es-ES"/>
        </w:rPr>
        <w:t>LA CRCC</w:t>
      </w:r>
      <w:r w:rsidRPr="002C0D19">
        <w:rPr>
          <w:rFonts w:ascii="Arial Narrow" w:hAnsi="Arial Narrow" w:cs="Arial"/>
          <w:lang w:val="es-ES" w:eastAsia="es-ES"/>
        </w:rPr>
        <w:t>,</w:t>
      </w:r>
      <w:r w:rsidRPr="002C0D19">
        <w:rPr>
          <w:rFonts w:ascii="Arial Narrow" w:hAnsi="Arial Narrow" w:cs="Arial"/>
          <w:lang w:eastAsia="es-ES"/>
        </w:rPr>
        <w:t xml:space="preserve"> son obligaciones principales de </w:t>
      </w:r>
      <w:r w:rsidRPr="002C0D19">
        <w:rPr>
          <w:rFonts w:ascii="Arial Narrow" w:hAnsi="Arial Narrow" w:cs="Arial"/>
          <w:b/>
          <w:lang w:eastAsia="es-ES"/>
        </w:rPr>
        <w:t xml:space="preserve">EL MIEMBRO LIQUIDADOR, </w:t>
      </w:r>
      <w:r w:rsidRPr="002C0D19">
        <w:rPr>
          <w:rFonts w:ascii="Arial Narrow" w:hAnsi="Arial Narrow" w:cs="Arial"/>
          <w:lang w:eastAsia="es-ES"/>
        </w:rPr>
        <w:t>las siguientes:</w:t>
      </w:r>
    </w:p>
    <w:p w14:paraId="06257A10" w14:textId="77777777" w:rsidR="007968EC" w:rsidRPr="002C0D19" w:rsidRDefault="007968EC" w:rsidP="007968EC">
      <w:pPr>
        <w:jc w:val="both"/>
        <w:rPr>
          <w:rFonts w:ascii="Arial Narrow" w:hAnsi="Arial Narrow" w:cs="Arial"/>
          <w:lang w:val="es-ES" w:eastAsia="es-ES"/>
        </w:rPr>
      </w:pPr>
    </w:p>
    <w:p w14:paraId="66C85B2D" w14:textId="77777777" w:rsidR="007968EC" w:rsidRPr="002C0D19" w:rsidRDefault="007968EC" w:rsidP="00DA7472">
      <w:pPr>
        <w:numPr>
          <w:ilvl w:val="0"/>
          <w:numId w:val="131"/>
        </w:numPr>
        <w:contextualSpacing/>
        <w:jc w:val="both"/>
        <w:rPr>
          <w:rFonts w:ascii="Arial Narrow" w:hAnsi="Arial Narrow" w:cs="Arial"/>
          <w:lang w:val="es-ES" w:eastAsia="es-ES"/>
        </w:rPr>
      </w:pPr>
      <w:r w:rsidRPr="002C0D19">
        <w:rPr>
          <w:rFonts w:ascii="Arial Narrow" w:hAnsi="Arial Narrow" w:cs="Arial"/>
          <w:lang w:val="es-ES" w:eastAsia="es-ES"/>
        </w:rPr>
        <w:t xml:space="preserve">Vincular por cuenta de los Terceros al </w:t>
      </w:r>
      <w:r w:rsidRPr="002C0D19">
        <w:rPr>
          <w:rFonts w:ascii="Arial Narrow" w:hAnsi="Arial Narrow" w:cs="Arial"/>
          <w:b/>
          <w:lang w:val="es-ES" w:eastAsia="es-ES"/>
        </w:rPr>
        <w:t>AGENTE DE PAGO</w:t>
      </w:r>
      <w:r w:rsidRPr="002C0D19">
        <w:rPr>
          <w:rFonts w:ascii="Arial Narrow" w:hAnsi="Arial Narrow" w:cs="Arial"/>
          <w:lang w:val="es-ES" w:eastAsia="es-ES"/>
        </w:rPr>
        <w:t xml:space="preserve"> a través de los sistemas definidos por </w:t>
      </w:r>
      <w:r w:rsidRPr="002C0D19">
        <w:rPr>
          <w:rFonts w:ascii="Arial Narrow" w:hAnsi="Arial Narrow" w:cs="Arial"/>
          <w:b/>
          <w:lang w:val="es-ES" w:eastAsia="es-ES"/>
        </w:rPr>
        <w:t>LA CRCC</w:t>
      </w:r>
      <w:r w:rsidRPr="002C0D19">
        <w:rPr>
          <w:rFonts w:ascii="Arial Narrow" w:hAnsi="Arial Narrow" w:cs="Arial"/>
          <w:lang w:val="es-ES" w:eastAsia="es-ES"/>
        </w:rPr>
        <w:t xml:space="preserve">. </w:t>
      </w:r>
    </w:p>
    <w:p w14:paraId="2F5EC35C" w14:textId="77777777" w:rsidR="007968EC" w:rsidRPr="002C0D19" w:rsidRDefault="007968EC" w:rsidP="00DA7472">
      <w:pPr>
        <w:numPr>
          <w:ilvl w:val="0"/>
          <w:numId w:val="131"/>
        </w:numPr>
        <w:jc w:val="both"/>
        <w:rPr>
          <w:rFonts w:ascii="Arial Narrow" w:hAnsi="Arial Narrow" w:cs="Arial"/>
          <w:lang w:val="es-ES" w:eastAsia="es-ES"/>
        </w:rPr>
      </w:pPr>
      <w:r w:rsidRPr="002C0D19">
        <w:rPr>
          <w:rFonts w:ascii="Arial Narrow" w:hAnsi="Arial Narrow" w:cs="Arial"/>
          <w:lang w:val="es-ES" w:eastAsia="es-ES"/>
        </w:rPr>
        <w:t xml:space="preserve">Entregar </w:t>
      </w:r>
      <w:r w:rsidRPr="002C0D19">
        <w:rPr>
          <w:rFonts w:ascii="Arial Narrow" w:eastAsia="Calibri" w:hAnsi="Arial Narrow" w:cs="Arial"/>
          <w:lang w:eastAsia="es-ES"/>
        </w:rPr>
        <w:t xml:space="preserve">por cuenta de los Terceros </w:t>
      </w:r>
      <w:r w:rsidRPr="002C0D19">
        <w:rPr>
          <w:rFonts w:ascii="Arial Narrow" w:hAnsi="Arial Narrow" w:cs="Arial"/>
          <w:lang w:val="es-ES" w:eastAsia="es-ES"/>
        </w:rPr>
        <w:t xml:space="preserve">a </w:t>
      </w:r>
      <w:r w:rsidRPr="002C0D19">
        <w:rPr>
          <w:rFonts w:ascii="Arial Narrow" w:hAnsi="Arial Narrow" w:cs="Arial"/>
          <w:b/>
          <w:lang w:val="es-ES" w:eastAsia="es-ES"/>
        </w:rPr>
        <w:t xml:space="preserve">EL AGENTE DE PAGO </w:t>
      </w:r>
      <w:r w:rsidRPr="002C0D19">
        <w:rPr>
          <w:rFonts w:ascii="Arial Narrow" w:hAnsi="Arial Narrow" w:cs="Arial"/>
          <w:lang w:val="es-ES" w:eastAsia="es-ES"/>
        </w:rPr>
        <w:t>los dineros necesarios para el cumplimiento de las obligaciones derivadas de la compensación y liquidación de sus Operaciones Aceptadas, y si es el caso de las de sus Miembro no Liquidadores y de las de los Terceros de estos últimos,</w:t>
      </w:r>
      <w:r w:rsidRPr="002C0D19">
        <w:rPr>
          <w:rFonts w:ascii="Arial Narrow" w:eastAsia="Calibri" w:hAnsi="Arial Narrow" w:cs="Arial"/>
          <w:lang w:eastAsia="es-ES"/>
        </w:rPr>
        <w:t xml:space="preserve"> sin perjuicio de las obligaciones que le competen como </w:t>
      </w:r>
      <w:r w:rsidRPr="002C0D19">
        <w:rPr>
          <w:rFonts w:ascii="Arial Narrow" w:eastAsia="Calibri" w:hAnsi="Arial Narrow" w:cs="Arial"/>
          <w:b/>
          <w:lang w:eastAsia="es-ES"/>
        </w:rPr>
        <w:t>MIEMBRO</w:t>
      </w:r>
      <w:r w:rsidRPr="002C0D19">
        <w:rPr>
          <w:rFonts w:ascii="Arial Narrow" w:eastAsia="Calibri" w:hAnsi="Arial Narrow" w:cs="Arial"/>
          <w:lang w:eastAsia="es-ES"/>
        </w:rPr>
        <w:t>.</w:t>
      </w:r>
    </w:p>
    <w:p w14:paraId="61797D7B" w14:textId="77777777" w:rsidR="007968EC" w:rsidRPr="002C0D19" w:rsidRDefault="007968EC" w:rsidP="00DA7472">
      <w:pPr>
        <w:numPr>
          <w:ilvl w:val="0"/>
          <w:numId w:val="131"/>
        </w:numPr>
        <w:jc w:val="both"/>
        <w:rPr>
          <w:rFonts w:ascii="Arial Narrow" w:hAnsi="Arial Narrow" w:cs="Arial"/>
          <w:lang w:val="es-ES" w:eastAsia="es-ES"/>
        </w:rPr>
      </w:pPr>
      <w:r w:rsidRPr="002C0D19">
        <w:rPr>
          <w:rFonts w:ascii="Arial Narrow" w:hAnsi="Arial Narrow" w:cs="Arial"/>
          <w:lang w:val="es-ES" w:eastAsia="es-ES"/>
        </w:rPr>
        <w:t xml:space="preserve">Entregar a </w:t>
      </w:r>
      <w:r w:rsidRPr="002C0D19">
        <w:rPr>
          <w:rFonts w:ascii="Arial Narrow" w:hAnsi="Arial Narrow" w:cs="Arial"/>
          <w:b/>
          <w:lang w:val="es-ES" w:eastAsia="es-ES"/>
        </w:rPr>
        <w:t xml:space="preserve">EL AGENTE DE PAGO </w:t>
      </w:r>
      <w:r w:rsidRPr="002C0D19">
        <w:rPr>
          <w:rFonts w:ascii="Arial Narrow" w:hAnsi="Arial Narrow" w:cs="Arial"/>
          <w:lang w:val="es-ES" w:eastAsia="es-ES"/>
        </w:rPr>
        <w:t xml:space="preserve">la información que éste solicite en cumplimiento de sus funciones. </w:t>
      </w:r>
    </w:p>
    <w:p w14:paraId="0CCFC874" w14:textId="77777777" w:rsidR="007968EC" w:rsidRPr="002C0D19" w:rsidRDefault="007968EC" w:rsidP="00DA7472">
      <w:pPr>
        <w:numPr>
          <w:ilvl w:val="0"/>
          <w:numId w:val="131"/>
        </w:numPr>
        <w:jc w:val="both"/>
        <w:rPr>
          <w:rFonts w:ascii="Arial Narrow" w:hAnsi="Arial Narrow" w:cs="Arial"/>
          <w:lang w:val="es-ES" w:eastAsia="es-ES"/>
        </w:rPr>
      </w:pPr>
      <w:r w:rsidRPr="002C0D19">
        <w:rPr>
          <w:rFonts w:ascii="Arial Narrow" w:hAnsi="Arial Narrow" w:cs="Arial"/>
          <w:lang w:val="es-ES" w:eastAsia="es-ES"/>
        </w:rPr>
        <w:t xml:space="preserve">Entregar a </w:t>
      </w:r>
      <w:r w:rsidRPr="002C0D19">
        <w:rPr>
          <w:rFonts w:ascii="Arial Narrow" w:hAnsi="Arial Narrow" w:cs="Arial"/>
          <w:b/>
          <w:lang w:val="es-ES" w:eastAsia="es-ES"/>
        </w:rPr>
        <w:t xml:space="preserve">EL AGENTE DE PAGO, </w:t>
      </w:r>
      <w:r w:rsidRPr="002C0D19">
        <w:rPr>
          <w:rFonts w:ascii="Arial Narrow" w:hAnsi="Arial Narrow" w:cs="Arial"/>
          <w:lang w:val="es-ES" w:eastAsia="es-ES"/>
        </w:rPr>
        <w:t>a</w:t>
      </w:r>
      <w:r w:rsidRPr="002C0D19">
        <w:rPr>
          <w:rFonts w:ascii="Arial Narrow" w:hAnsi="Arial Narrow" w:cs="Arial"/>
          <w:b/>
          <w:lang w:val="es-ES" w:eastAsia="es-ES"/>
        </w:rPr>
        <w:t xml:space="preserve"> LA CRCC, </w:t>
      </w:r>
      <w:r w:rsidRPr="002C0D19">
        <w:rPr>
          <w:rFonts w:ascii="Arial Narrow" w:hAnsi="Arial Narrow" w:cs="Arial"/>
          <w:lang w:val="es-ES" w:eastAsia="es-ES"/>
        </w:rPr>
        <w:t>o a las autoridades</w:t>
      </w:r>
      <w:r w:rsidRPr="002C0D19">
        <w:rPr>
          <w:rFonts w:ascii="Arial Narrow" w:hAnsi="Arial Narrow" w:cs="Arial"/>
          <w:i/>
          <w:lang w:val="es-ES" w:eastAsia="es-ES"/>
        </w:rPr>
        <w:t xml:space="preserve"> </w:t>
      </w:r>
      <w:r w:rsidRPr="002C0D19">
        <w:rPr>
          <w:rFonts w:ascii="Arial Narrow" w:hAnsi="Arial Narrow" w:cs="Arial"/>
          <w:lang w:val="es-ES" w:eastAsia="es-ES"/>
        </w:rPr>
        <w:t>competentes directamente, la información que le solicite</w:t>
      </w:r>
      <w:r w:rsidRPr="002C0D19">
        <w:rPr>
          <w:rFonts w:ascii="Arial Narrow" w:hAnsi="Arial Narrow" w:cs="Arial"/>
          <w:b/>
          <w:lang w:val="es-ES" w:eastAsia="es-ES"/>
        </w:rPr>
        <w:t xml:space="preserve"> EL AGENTE DE PAGO, </w:t>
      </w:r>
      <w:r w:rsidRPr="002C0D19">
        <w:rPr>
          <w:rFonts w:ascii="Arial Narrow" w:hAnsi="Arial Narrow" w:cs="Arial"/>
          <w:lang w:val="es-ES" w:eastAsia="es-ES"/>
        </w:rPr>
        <w:t>o</w:t>
      </w:r>
      <w:r w:rsidRPr="002C0D19">
        <w:rPr>
          <w:rFonts w:ascii="Arial Narrow" w:hAnsi="Arial Narrow" w:cs="Arial"/>
          <w:b/>
          <w:lang w:val="es-ES" w:eastAsia="es-ES"/>
        </w:rPr>
        <w:t xml:space="preserve"> LA CRCC,</w:t>
      </w:r>
      <w:r w:rsidRPr="002C0D19">
        <w:rPr>
          <w:rFonts w:ascii="Arial Narrow" w:hAnsi="Arial Narrow" w:cs="Arial"/>
          <w:lang w:val="es-ES" w:eastAsia="es-ES"/>
        </w:rPr>
        <w:t xml:space="preserve"> para la atención de requerimientos que las autoridades competentes le hagan a </w:t>
      </w:r>
      <w:r w:rsidRPr="002C0D19">
        <w:rPr>
          <w:rFonts w:ascii="Arial Narrow" w:hAnsi="Arial Narrow" w:cs="Arial"/>
          <w:b/>
          <w:lang w:val="es-ES" w:eastAsia="es-ES"/>
        </w:rPr>
        <w:t xml:space="preserve">EL AGENTE DE PAGO, </w:t>
      </w:r>
      <w:r w:rsidRPr="002C0D19">
        <w:rPr>
          <w:rFonts w:ascii="Arial Narrow" w:hAnsi="Arial Narrow" w:cs="Arial"/>
          <w:lang w:val="es-ES" w:eastAsia="es-ES"/>
        </w:rPr>
        <w:t>o</w:t>
      </w:r>
      <w:r w:rsidRPr="002C0D19">
        <w:rPr>
          <w:rFonts w:ascii="Arial Narrow" w:hAnsi="Arial Narrow" w:cs="Arial"/>
          <w:b/>
          <w:lang w:val="es-ES" w:eastAsia="es-ES"/>
        </w:rPr>
        <w:t xml:space="preserve"> </w:t>
      </w:r>
      <w:r w:rsidRPr="002C0D19">
        <w:rPr>
          <w:rFonts w:ascii="Arial Narrow" w:hAnsi="Arial Narrow" w:cs="Arial"/>
          <w:lang w:val="es-ES" w:eastAsia="es-ES"/>
        </w:rPr>
        <w:t>a</w:t>
      </w:r>
      <w:r w:rsidRPr="002C0D19">
        <w:rPr>
          <w:rFonts w:ascii="Arial Narrow" w:hAnsi="Arial Narrow" w:cs="Arial"/>
          <w:b/>
          <w:lang w:val="es-ES" w:eastAsia="es-ES"/>
        </w:rPr>
        <w:t xml:space="preserve"> LA CRCC,</w:t>
      </w:r>
      <w:r w:rsidRPr="002C0D19">
        <w:rPr>
          <w:rFonts w:ascii="Arial Narrow" w:hAnsi="Arial Narrow" w:cs="Arial"/>
          <w:lang w:val="es-ES" w:eastAsia="es-ES"/>
        </w:rPr>
        <w:t xml:space="preserve"> en relación con el cumplimiento de sus funciones.</w:t>
      </w:r>
    </w:p>
    <w:p w14:paraId="1A49CBC8" w14:textId="77777777" w:rsidR="007968EC" w:rsidRPr="002C0D19" w:rsidRDefault="007968EC" w:rsidP="007968EC">
      <w:pPr>
        <w:jc w:val="both"/>
        <w:rPr>
          <w:rFonts w:ascii="Arial Narrow" w:hAnsi="Arial Narrow" w:cs="Arial"/>
          <w:b/>
          <w:u w:val="single"/>
          <w:lang w:val="es-ES" w:eastAsia="es-ES"/>
        </w:rPr>
      </w:pPr>
    </w:p>
    <w:p w14:paraId="1C1B6FA1" w14:textId="77777777" w:rsidR="007968EC" w:rsidRPr="002C0D19" w:rsidRDefault="007968EC" w:rsidP="007968EC">
      <w:pPr>
        <w:jc w:val="both"/>
        <w:rPr>
          <w:rFonts w:ascii="Arial Narrow" w:hAnsi="Arial Narrow" w:cs="Arial"/>
          <w:lang w:eastAsia="es-ES"/>
        </w:rPr>
      </w:pPr>
      <w:r w:rsidRPr="002C0D19">
        <w:rPr>
          <w:rFonts w:ascii="Arial Narrow" w:hAnsi="Arial Narrow" w:cs="Arial"/>
          <w:b/>
          <w:u w:val="single"/>
          <w:lang w:val="es-ES" w:eastAsia="es-ES"/>
        </w:rPr>
        <w:t>QUINTA. Vigencia.</w:t>
      </w:r>
      <w:r w:rsidRPr="002C0D19">
        <w:rPr>
          <w:rFonts w:ascii="Arial Narrow" w:hAnsi="Arial Narrow" w:cs="Arial"/>
          <w:b/>
          <w:lang w:val="es-ES" w:eastAsia="es-ES"/>
        </w:rPr>
        <w:t xml:space="preserve">  </w:t>
      </w:r>
      <w:r w:rsidRPr="002C0D19">
        <w:rPr>
          <w:rFonts w:ascii="Arial Narrow" w:hAnsi="Arial Narrow" w:cs="Arial"/>
          <w:lang w:eastAsia="es-ES"/>
        </w:rPr>
        <w:t>El presente Acuerdo estará vigente en forma indefinida.</w:t>
      </w:r>
      <w:r w:rsidRPr="002C0D19" w:rsidDel="00AC2443">
        <w:rPr>
          <w:rFonts w:ascii="Arial Narrow" w:hAnsi="Arial Narrow" w:cs="Arial"/>
          <w:lang w:eastAsia="es-ES"/>
        </w:rPr>
        <w:t xml:space="preserve"> </w:t>
      </w:r>
      <w:r w:rsidRPr="002C0D19">
        <w:rPr>
          <w:rFonts w:ascii="Arial Narrow" w:hAnsi="Arial Narrow" w:cs="Arial"/>
          <w:lang w:eastAsia="es-ES"/>
        </w:rPr>
        <w:t xml:space="preserve">No obstante lo anterior y sin perjuicio de lo dispuesto en el Reglamento, las partes podrán terminar en cualquier tiempo el presente Acuerdo, mediante la entrega a la otra parte de un aviso escrito en tal sentido, remitida con no menos de treinta (30) días calendario de anticipación al día hábil en el cual desea que dicha terminación tenga efecto. </w:t>
      </w:r>
    </w:p>
    <w:p w14:paraId="63964143" w14:textId="77777777" w:rsidR="007968EC" w:rsidRPr="002C0D19" w:rsidRDefault="007968EC" w:rsidP="007968EC">
      <w:pPr>
        <w:jc w:val="both"/>
        <w:rPr>
          <w:rFonts w:ascii="Arial Narrow" w:hAnsi="Arial Narrow" w:cs="Arial"/>
          <w:lang w:eastAsia="es-ES"/>
        </w:rPr>
      </w:pPr>
    </w:p>
    <w:p w14:paraId="16529603" w14:textId="77777777" w:rsidR="007968EC" w:rsidRPr="002C0D19" w:rsidRDefault="007968EC" w:rsidP="007968EC">
      <w:pPr>
        <w:jc w:val="both"/>
        <w:rPr>
          <w:rFonts w:ascii="Arial Narrow" w:hAnsi="Arial Narrow" w:cs="Arial"/>
          <w:lang w:eastAsia="es-ES"/>
        </w:rPr>
      </w:pPr>
      <w:r w:rsidRPr="002C0D19">
        <w:rPr>
          <w:rFonts w:ascii="Arial Narrow" w:hAnsi="Arial Narrow" w:cs="Arial"/>
          <w:lang w:eastAsia="es-ES"/>
        </w:rPr>
        <w:t>Igualmente, habrá lugar a la terminación unilateral si se presenta un incumplimiento de alguna de las obligaciones a cargo de una de las partes.</w:t>
      </w:r>
    </w:p>
    <w:p w14:paraId="7951AF6D" w14:textId="77777777" w:rsidR="007968EC" w:rsidRPr="002C0D19" w:rsidRDefault="007968EC" w:rsidP="007968EC">
      <w:pPr>
        <w:jc w:val="both"/>
        <w:rPr>
          <w:rFonts w:ascii="Arial Narrow" w:hAnsi="Arial Narrow" w:cs="Arial"/>
          <w:lang w:eastAsia="es-ES"/>
        </w:rPr>
      </w:pPr>
    </w:p>
    <w:p w14:paraId="4DC3ED98" w14:textId="77777777" w:rsidR="007968EC" w:rsidRPr="002C0D19" w:rsidRDefault="007968EC" w:rsidP="007968EC">
      <w:pPr>
        <w:jc w:val="both"/>
        <w:rPr>
          <w:rFonts w:ascii="Arial Narrow" w:hAnsi="Arial Narrow" w:cs="Arial"/>
          <w:lang w:eastAsia="es-ES"/>
        </w:rPr>
      </w:pPr>
      <w:r w:rsidRPr="002C0D19">
        <w:rPr>
          <w:rFonts w:ascii="Arial Narrow" w:hAnsi="Arial Narrow" w:cs="Arial"/>
          <w:lang w:eastAsia="es-ES"/>
        </w:rPr>
        <w:t xml:space="preserve">La terminación del presente Acuerdo deberá informarse a </w:t>
      </w:r>
      <w:r w:rsidRPr="002C0D19">
        <w:rPr>
          <w:rFonts w:ascii="Arial Narrow" w:hAnsi="Arial Narrow" w:cs="Arial"/>
          <w:b/>
          <w:lang w:eastAsia="es-ES"/>
        </w:rPr>
        <w:t>LA CRCC</w:t>
      </w:r>
      <w:r w:rsidRPr="002C0D19">
        <w:rPr>
          <w:rFonts w:ascii="Arial Narrow" w:hAnsi="Arial Narrow" w:cs="Arial"/>
          <w:lang w:eastAsia="es-ES"/>
        </w:rPr>
        <w:t xml:space="preserve"> con la misma anticipación en que deba informarse o se informe a la otra parte.</w:t>
      </w:r>
    </w:p>
    <w:p w14:paraId="707EC9F1" w14:textId="77777777" w:rsidR="007968EC" w:rsidRPr="002C0D19" w:rsidRDefault="007968EC" w:rsidP="007968EC">
      <w:pPr>
        <w:jc w:val="both"/>
        <w:rPr>
          <w:rFonts w:ascii="Arial Narrow" w:hAnsi="Arial Narrow" w:cs="Arial"/>
          <w:lang w:eastAsia="es-ES"/>
        </w:rPr>
      </w:pPr>
    </w:p>
    <w:p w14:paraId="4B1607B4"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b/>
          <w:u w:val="single"/>
          <w:lang w:val="es-ES" w:eastAsia="es-ES"/>
        </w:rPr>
        <w:t>SEXTA. Cesión y subcontratación.</w:t>
      </w:r>
      <w:r w:rsidRPr="002C0D19">
        <w:rPr>
          <w:rFonts w:ascii="Arial Narrow" w:hAnsi="Arial Narrow" w:cs="Arial"/>
          <w:b/>
          <w:lang w:val="es-ES" w:eastAsia="es-ES"/>
        </w:rPr>
        <w:t xml:space="preserve"> </w:t>
      </w:r>
      <w:r w:rsidRPr="002C0D19">
        <w:rPr>
          <w:rFonts w:ascii="Arial Narrow" w:hAnsi="Arial Narrow" w:cs="Arial"/>
          <w:lang w:val="es-ES" w:eastAsia="es-ES"/>
        </w:rPr>
        <w:t>Las partes</w:t>
      </w:r>
      <w:r w:rsidRPr="002C0D19">
        <w:rPr>
          <w:rFonts w:ascii="Arial Narrow" w:hAnsi="Arial Narrow" w:cs="Arial"/>
          <w:b/>
          <w:lang w:val="es-ES" w:eastAsia="es-ES"/>
        </w:rPr>
        <w:t xml:space="preserve"> </w:t>
      </w:r>
      <w:r w:rsidRPr="002C0D19">
        <w:rPr>
          <w:rFonts w:ascii="Arial Narrow" w:hAnsi="Arial Narrow" w:cs="Arial"/>
          <w:lang w:val="es-ES" w:eastAsia="es-ES"/>
        </w:rPr>
        <w:t>no podrán ceder ni subcontratar total o parcialmente el presente Acuerdo, antes o después de ser aceptada.</w:t>
      </w:r>
    </w:p>
    <w:p w14:paraId="273266A0" w14:textId="77777777" w:rsidR="007968EC" w:rsidRPr="002C0D19" w:rsidRDefault="007968EC" w:rsidP="007968EC">
      <w:pPr>
        <w:jc w:val="both"/>
        <w:rPr>
          <w:rFonts w:ascii="Arial Narrow" w:hAnsi="Arial Narrow" w:cs="Arial"/>
          <w:b/>
          <w:lang w:val="es-ES" w:eastAsia="es-ES"/>
        </w:rPr>
      </w:pPr>
    </w:p>
    <w:p w14:paraId="5397C09F" w14:textId="77777777" w:rsidR="007968EC" w:rsidRPr="002C0D19" w:rsidRDefault="007968EC" w:rsidP="007968EC">
      <w:pPr>
        <w:jc w:val="both"/>
        <w:rPr>
          <w:rFonts w:ascii="Arial Narrow" w:hAnsi="Arial Narrow" w:cs="Arial"/>
          <w:lang w:val="es-ES_tradnl" w:eastAsia="es-ES"/>
        </w:rPr>
      </w:pPr>
      <w:r w:rsidRPr="002C0D19">
        <w:rPr>
          <w:rFonts w:ascii="Arial Narrow" w:hAnsi="Arial Narrow" w:cs="Arial"/>
          <w:b/>
          <w:u w:val="single"/>
          <w:lang w:val="pt-BR" w:eastAsia="es-ES"/>
        </w:rPr>
        <w:t xml:space="preserve">CLÁUSULA OPTATIVA </w:t>
      </w:r>
      <w:r w:rsidRPr="002C0D19">
        <w:rPr>
          <w:rFonts w:ascii="Arial Narrow" w:hAnsi="Arial Narrow" w:cs="Arial"/>
          <w:b/>
          <w:u w:val="single"/>
          <w:lang w:val="es-ES" w:eastAsia="es-ES"/>
        </w:rPr>
        <w:t>SEPTIMA</w:t>
      </w:r>
      <w:r w:rsidRPr="002C0D19">
        <w:rPr>
          <w:rFonts w:ascii="Arial Narrow" w:hAnsi="Arial Narrow" w:cs="Arial"/>
          <w:b/>
          <w:u w:val="single"/>
          <w:lang w:val="pt-BR" w:eastAsia="es-ES"/>
        </w:rPr>
        <w:t xml:space="preserve">. Cláusula </w:t>
      </w:r>
      <w:proofErr w:type="spellStart"/>
      <w:r w:rsidRPr="002C0D19">
        <w:rPr>
          <w:rFonts w:ascii="Arial Narrow" w:hAnsi="Arial Narrow" w:cs="Arial"/>
          <w:b/>
          <w:u w:val="single"/>
          <w:lang w:val="pt-BR" w:eastAsia="es-ES"/>
        </w:rPr>
        <w:t>Compromisoria</w:t>
      </w:r>
      <w:proofErr w:type="spellEnd"/>
      <w:r w:rsidRPr="002C0D19">
        <w:rPr>
          <w:rFonts w:ascii="Arial Narrow" w:hAnsi="Arial Narrow" w:cs="Arial"/>
          <w:b/>
          <w:u w:val="single"/>
          <w:lang w:val="pt-BR" w:eastAsia="es-ES"/>
        </w:rPr>
        <w:t>.</w:t>
      </w:r>
      <w:r w:rsidRPr="002C0D19">
        <w:rPr>
          <w:rFonts w:ascii="Arial Narrow" w:hAnsi="Arial Narrow" w:cs="Arial"/>
          <w:u w:val="single"/>
          <w:lang w:val="pt-BR" w:eastAsia="es-ES"/>
        </w:rPr>
        <w:t xml:space="preserve"> </w:t>
      </w:r>
      <w:r w:rsidRPr="002C0D19">
        <w:rPr>
          <w:rFonts w:ascii="Arial Narrow" w:hAnsi="Arial Narrow" w:cs="Arial"/>
          <w:lang w:val="es-ES_tradnl" w:eastAsia="es-ES"/>
        </w:rPr>
        <w:t xml:space="preserve">Todas las diferencias que ocurran entre las partes con ocasión del presente Acuerdo, y que no puedan solucionarse por acuerdo directo entre ellas, en un plazo que no podrá exceder de dos (2) meses contados a partir de la fecha del evento que generó la diferencia, serán resueltas por un Tribunal de Arbitramento. Cuando la cuantía de las pretensiones supere los mil (1000) salarios mínimos legales mensuales vigentes en Colombia, el Tribunal de Arbitramento estará conformado por tres (3) árbitros, los cuales serán designados por las partes dentro de los quince (15) días hábiles siguientes al vencimiento del plazo de dos (2) meses de acuerdo directo, o a falta de acuerdo, mediante sorteo entre los árbitros inscritos en el Centro de Arbitraje y Conciliación de la Cámara de Comercio de Bogotá. En caso de que la cuantía de las pretensiones sea igual o inferior a mil (1000) salarios mínimos legales mensuales vigentes en Colombia, el Tribunal de Arbitramento estará conformado por un (1) árbitro, el cual será designado por las partes dentro de los quince (15) días hábiles siguientes al vencimiento del plazo de dos (2) meses de acuerdo directo, o a falta de acuerdo, por sorteo entre los árbitros inscritos en el Centro de Arbitraje y Conciliación de la Cámara de Comercio de Bogotá. El o los árbitros designados serán </w:t>
      </w:r>
      <w:r w:rsidRPr="002C0D19">
        <w:rPr>
          <w:rFonts w:ascii="Arial Narrow" w:hAnsi="Arial Narrow" w:cs="Arial"/>
          <w:lang w:val="es-ES_tradnl" w:eastAsia="es-ES"/>
        </w:rPr>
        <w:lastRenderedPageBreak/>
        <w:t xml:space="preserve">Abogados inscritos y fallarán en derecho. El Tribunal de Arbitramento tendrá sede en la ciudad de Bogotá y se regirá por las leyes colombianas. </w:t>
      </w:r>
    </w:p>
    <w:p w14:paraId="7FC56BF3" w14:textId="77777777" w:rsidR="007968EC" w:rsidRPr="002C0D19" w:rsidRDefault="007968EC" w:rsidP="007968EC">
      <w:pPr>
        <w:jc w:val="both"/>
        <w:rPr>
          <w:rFonts w:ascii="Arial Narrow" w:hAnsi="Arial Narrow" w:cs="Arial"/>
          <w:b/>
          <w:lang w:val="es-ES" w:eastAsia="es-ES"/>
        </w:rPr>
      </w:pPr>
    </w:p>
    <w:p w14:paraId="53CB4176"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b/>
          <w:u w:val="single"/>
          <w:lang w:val="es-ES" w:eastAsia="es-ES"/>
        </w:rPr>
        <w:t>OCTAVA. Notificaciones.</w:t>
      </w:r>
      <w:r w:rsidRPr="002C0D19">
        <w:rPr>
          <w:rFonts w:ascii="Arial Narrow" w:hAnsi="Arial Narrow" w:cs="Arial"/>
          <w:lang w:val="es-ES" w:eastAsia="es-ES"/>
        </w:rPr>
        <w:t xml:space="preserve"> Todas las notificaciones y comunicaciones relacionadas con el presente Acuerdo se harán por escrito y se enviarán a las siguientes direcciones:</w:t>
      </w:r>
    </w:p>
    <w:p w14:paraId="379B3332" w14:textId="77777777" w:rsidR="007968EC" w:rsidRPr="002C0D19" w:rsidRDefault="007968EC" w:rsidP="007968EC">
      <w:pPr>
        <w:jc w:val="both"/>
        <w:rPr>
          <w:rFonts w:ascii="Arial Narrow" w:hAnsi="Arial Narrow" w:cs="Arial"/>
          <w:lang w:val="es-ES" w:eastAsia="es-ES"/>
        </w:rPr>
      </w:pPr>
    </w:p>
    <w:p w14:paraId="5807CB25" w14:textId="77777777" w:rsidR="007968EC" w:rsidRPr="002C0D19" w:rsidRDefault="007968EC" w:rsidP="007968EC">
      <w:pPr>
        <w:tabs>
          <w:tab w:val="left" w:pos="567"/>
          <w:tab w:val="left" w:pos="2835"/>
        </w:tabs>
        <w:ind w:left="2805" w:right="-16" w:hanging="2805"/>
        <w:jc w:val="both"/>
        <w:rPr>
          <w:rFonts w:ascii="Arial Narrow" w:hAnsi="Arial Narrow" w:cs="Arial"/>
          <w:lang w:val="es-ES" w:eastAsia="es-ES"/>
        </w:rPr>
      </w:pPr>
      <w:r w:rsidRPr="002C0D19">
        <w:rPr>
          <w:rFonts w:ascii="Arial Narrow" w:hAnsi="Arial Narrow" w:cs="Arial"/>
          <w:b/>
          <w:lang w:val="es-ES" w:eastAsia="es-ES"/>
        </w:rPr>
        <w:t>EL MIEMBRO LIQUIDADOR</w:t>
      </w:r>
      <w:r w:rsidRPr="002C0D19">
        <w:rPr>
          <w:rFonts w:ascii="Arial Narrow" w:hAnsi="Arial Narrow" w:cs="Arial"/>
          <w:lang w:val="es-ES" w:eastAsia="es-ES"/>
        </w:rPr>
        <w:t>:</w:t>
      </w:r>
      <w:r w:rsidRPr="002C0D19">
        <w:rPr>
          <w:rFonts w:ascii="Arial Narrow" w:hAnsi="Arial Narrow" w:cs="Arial"/>
          <w:lang w:val="es-ES" w:eastAsia="es-ES"/>
        </w:rPr>
        <w:tab/>
      </w:r>
      <w:r w:rsidRPr="002C0D19">
        <w:rPr>
          <w:rFonts w:ascii="Arial Narrow" w:hAnsi="Arial Narrow" w:cs="Arial"/>
          <w:b/>
          <w:lang w:val="es-ES" w:eastAsia="es-ES"/>
        </w:rPr>
        <w:tab/>
      </w:r>
    </w:p>
    <w:p w14:paraId="3E093D4F" w14:textId="77777777" w:rsidR="007968EC" w:rsidRPr="002C0D19" w:rsidRDefault="007968EC" w:rsidP="007968EC">
      <w:pPr>
        <w:tabs>
          <w:tab w:val="left" w:pos="567"/>
          <w:tab w:val="left" w:pos="2835"/>
        </w:tabs>
        <w:ind w:right="51"/>
        <w:jc w:val="both"/>
        <w:rPr>
          <w:rFonts w:ascii="Arial Narrow" w:hAnsi="Arial Narrow" w:cs="Arial"/>
          <w:lang w:val="es-ES" w:eastAsia="es-ES"/>
        </w:rPr>
      </w:pPr>
      <w:r w:rsidRPr="002C0D19">
        <w:rPr>
          <w:rFonts w:ascii="Arial Narrow" w:hAnsi="Arial Narrow" w:cs="Arial"/>
          <w:lang w:val="es-ES" w:eastAsia="es-ES"/>
        </w:rPr>
        <w:tab/>
      </w:r>
      <w:r w:rsidRPr="002C0D19">
        <w:rPr>
          <w:rFonts w:ascii="Arial Narrow" w:hAnsi="Arial Narrow" w:cs="Arial"/>
          <w:lang w:val="es-ES" w:eastAsia="es-ES"/>
        </w:rPr>
        <w:tab/>
        <w:t xml:space="preserve">Fax: </w:t>
      </w:r>
    </w:p>
    <w:p w14:paraId="0381C4A3" w14:textId="77777777" w:rsidR="007968EC" w:rsidRPr="002C0D19" w:rsidRDefault="007968EC" w:rsidP="007968EC">
      <w:pPr>
        <w:tabs>
          <w:tab w:val="left" w:pos="567"/>
          <w:tab w:val="left" w:pos="2835"/>
        </w:tabs>
        <w:ind w:right="-16"/>
        <w:jc w:val="both"/>
        <w:rPr>
          <w:rFonts w:ascii="Arial Narrow" w:hAnsi="Arial Narrow" w:cs="Arial"/>
          <w:lang w:val="es-ES" w:eastAsia="es-ES"/>
        </w:rPr>
      </w:pPr>
      <w:r w:rsidRPr="002C0D19">
        <w:rPr>
          <w:rFonts w:ascii="Arial Narrow" w:hAnsi="Arial Narrow" w:cs="Arial"/>
          <w:lang w:val="es-ES" w:eastAsia="es-ES"/>
        </w:rPr>
        <w:tab/>
      </w:r>
      <w:r w:rsidRPr="002C0D19">
        <w:rPr>
          <w:rFonts w:ascii="Arial Narrow" w:hAnsi="Arial Narrow" w:cs="Arial"/>
          <w:lang w:val="es-ES" w:eastAsia="es-ES"/>
        </w:rPr>
        <w:tab/>
        <w:t xml:space="preserve">Dirección: </w:t>
      </w:r>
    </w:p>
    <w:p w14:paraId="246158E3" w14:textId="77777777" w:rsidR="007968EC" w:rsidRPr="002C0D19" w:rsidRDefault="007968EC" w:rsidP="007968EC">
      <w:pPr>
        <w:tabs>
          <w:tab w:val="left" w:pos="567"/>
          <w:tab w:val="left" w:pos="2835"/>
        </w:tabs>
        <w:ind w:right="-16"/>
        <w:jc w:val="both"/>
        <w:rPr>
          <w:rFonts w:ascii="Arial Narrow" w:hAnsi="Arial Narrow" w:cs="Arial"/>
          <w:lang w:val="es-ES" w:eastAsia="es-ES"/>
        </w:rPr>
      </w:pPr>
      <w:r w:rsidRPr="002C0D19">
        <w:rPr>
          <w:rFonts w:ascii="Arial Narrow" w:hAnsi="Arial Narrow" w:cs="Arial"/>
          <w:lang w:val="es-ES" w:eastAsia="es-ES"/>
        </w:rPr>
        <w:tab/>
      </w:r>
      <w:r w:rsidRPr="002C0D19">
        <w:rPr>
          <w:rFonts w:ascii="Arial Narrow" w:hAnsi="Arial Narrow" w:cs="Arial"/>
          <w:lang w:val="es-ES" w:eastAsia="es-ES"/>
        </w:rPr>
        <w:tab/>
        <w:t>Ciudad:</w:t>
      </w:r>
    </w:p>
    <w:p w14:paraId="459BD4BB" w14:textId="77777777" w:rsidR="007968EC" w:rsidRPr="002C0D19" w:rsidRDefault="007968EC" w:rsidP="007968EC">
      <w:pPr>
        <w:tabs>
          <w:tab w:val="left" w:pos="567"/>
          <w:tab w:val="left" w:pos="2835"/>
        </w:tabs>
        <w:ind w:right="44"/>
        <w:jc w:val="both"/>
        <w:rPr>
          <w:rFonts w:ascii="Arial Narrow" w:hAnsi="Arial Narrow" w:cs="Arial"/>
          <w:b/>
          <w:lang w:val="es-ES" w:eastAsia="es-ES"/>
        </w:rPr>
      </w:pPr>
    </w:p>
    <w:p w14:paraId="063CE2BA" w14:textId="77777777" w:rsidR="007968EC" w:rsidRPr="002C0D19" w:rsidRDefault="007968EC" w:rsidP="007968EC">
      <w:pPr>
        <w:tabs>
          <w:tab w:val="left" w:pos="567"/>
          <w:tab w:val="left" w:pos="2835"/>
        </w:tabs>
        <w:ind w:right="44"/>
        <w:jc w:val="both"/>
        <w:rPr>
          <w:rFonts w:ascii="Arial Narrow" w:hAnsi="Arial Narrow" w:cs="Arial"/>
          <w:b/>
          <w:lang w:val="es-ES" w:eastAsia="es-ES"/>
        </w:rPr>
      </w:pPr>
      <w:r w:rsidRPr="002C0D19">
        <w:rPr>
          <w:rFonts w:ascii="Arial Narrow" w:hAnsi="Arial Narrow" w:cs="Arial"/>
          <w:b/>
          <w:lang w:val="es-ES" w:eastAsia="es-ES"/>
        </w:rPr>
        <w:t>EL AGENTE DE PAGO:</w:t>
      </w:r>
      <w:r w:rsidRPr="002C0D19">
        <w:rPr>
          <w:rFonts w:ascii="Arial Narrow" w:hAnsi="Arial Narrow" w:cs="Arial"/>
          <w:b/>
          <w:lang w:val="es-ES" w:eastAsia="es-ES"/>
        </w:rPr>
        <w:tab/>
      </w:r>
    </w:p>
    <w:p w14:paraId="68D2B669" w14:textId="77777777" w:rsidR="007968EC" w:rsidRPr="002C0D19" w:rsidRDefault="007968EC" w:rsidP="007968EC">
      <w:pPr>
        <w:tabs>
          <w:tab w:val="left" w:pos="567"/>
          <w:tab w:val="left" w:pos="2835"/>
        </w:tabs>
        <w:ind w:right="44"/>
        <w:jc w:val="both"/>
        <w:rPr>
          <w:rFonts w:ascii="Arial Narrow" w:hAnsi="Arial Narrow" w:cs="Arial"/>
          <w:lang w:eastAsia="es-ES"/>
        </w:rPr>
      </w:pPr>
      <w:r w:rsidRPr="002C0D19">
        <w:rPr>
          <w:rFonts w:ascii="Arial Narrow" w:hAnsi="Arial Narrow" w:cs="Arial"/>
          <w:b/>
          <w:lang w:val="es-ES" w:eastAsia="es-ES"/>
        </w:rPr>
        <w:tab/>
      </w:r>
      <w:r w:rsidRPr="002C0D19">
        <w:rPr>
          <w:rFonts w:ascii="Arial Narrow" w:hAnsi="Arial Narrow" w:cs="Arial"/>
          <w:b/>
          <w:lang w:val="es-ES" w:eastAsia="es-ES"/>
        </w:rPr>
        <w:tab/>
      </w:r>
      <w:r w:rsidRPr="002C0D19">
        <w:rPr>
          <w:rFonts w:ascii="Arial Narrow" w:hAnsi="Arial Narrow" w:cs="Arial"/>
          <w:lang w:eastAsia="es-ES"/>
        </w:rPr>
        <w:t xml:space="preserve">Fax:  </w:t>
      </w:r>
    </w:p>
    <w:p w14:paraId="76ACC6DD" w14:textId="77777777" w:rsidR="007968EC" w:rsidRPr="002C0D19" w:rsidRDefault="007968EC" w:rsidP="007968EC">
      <w:pPr>
        <w:tabs>
          <w:tab w:val="left" w:pos="567"/>
          <w:tab w:val="left" w:pos="2835"/>
        </w:tabs>
        <w:ind w:right="44"/>
        <w:jc w:val="both"/>
        <w:rPr>
          <w:rFonts w:ascii="Arial Narrow" w:hAnsi="Arial Narrow" w:cs="Arial"/>
          <w:lang w:eastAsia="es-ES"/>
        </w:rPr>
      </w:pPr>
      <w:r w:rsidRPr="002C0D19">
        <w:rPr>
          <w:rFonts w:ascii="Arial Narrow" w:hAnsi="Arial Narrow" w:cs="Arial"/>
          <w:lang w:eastAsia="es-ES"/>
        </w:rPr>
        <w:tab/>
      </w:r>
      <w:r w:rsidRPr="002C0D19">
        <w:rPr>
          <w:rFonts w:ascii="Arial Narrow" w:hAnsi="Arial Narrow" w:cs="Arial"/>
          <w:lang w:eastAsia="es-ES"/>
        </w:rPr>
        <w:tab/>
      </w:r>
      <w:r w:rsidRPr="002C0D19">
        <w:rPr>
          <w:rFonts w:ascii="Arial Narrow" w:hAnsi="Arial Narrow" w:cs="Arial"/>
          <w:lang w:val="es-ES" w:eastAsia="es-ES"/>
        </w:rPr>
        <w:t>Dirección</w:t>
      </w:r>
      <w:r w:rsidRPr="002C0D19">
        <w:rPr>
          <w:rFonts w:ascii="Arial Narrow" w:hAnsi="Arial Narrow" w:cs="Arial"/>
          <w:lang w:eastAsia="es-ES"/>
        </w:rPr>
        <w:t xml:space="preserve">: </w:t>
      </w:r>
    </w:p>
    <w:p w14:paraId="5D55FBA1" w14:textId="77777777" w:rsidR="007968EC" w:rsidRPr="002C0D19" w:rsidRDefault="007968EC" w:rsidP="007968EC">
      <w:pPr>
        <w:tabs>
          <w:tab w:val="left" w:pos="567"/>
          <w:tab w:val="left" w:pos="2835"/>
        </w:tabs>
        <w:ind w:right="44"/>
        <w:jc w:val="both"/>
        <w:rPr>
          <w:rFonts w:ascii="Arial Narrow" w:hAnsi="Arial Narrow" w:cs="Arial"/>
          <w:lang w:eastAsia="es-ES"/>
        </w:rPr>
      </w:pPr>
      <w:r w:rsidRPr="002C0D19">
        <w:rPr>
          <w:rFonts w:ascii="Arial Narrow" w:hAnsi="Arial Narrow" w:cs="Arial"/>
          <w:lang w:eastAsia="es-ES"/>
        </w:rPr>
        <w:tab/>
      </w:r>
      <w:r w:rsidRPr="002C0D19">
        <w:rPr>
          <w:rFonts w:ascii="Arial Narrow" w:hAnsi="Arial Narrow" w:cs="Arial"/>
          <w:lang w:eastAsia="es-ES"/>
        </w:rPr>
        <w:tab/>
        <w:t xml:space="preserve">Ciudad: </w:t>
      </w:r>
    </w:p>
    <w:p w14:paraId="46A32655" w14:textId="77777777" w:rsidR="007968EC" w:rsidRPr="002C0D19" w:rsidRDefault="007968EC" w:rsidP="007968EC">
      <w:pPr>
        <w:jc w:val="both"/>
        <w:rPr>
          <w:rFonts w:ascii="Arial Narrow" w:hAnsi="Arial Narrow" w:cs="Arial"/>
          <w:b/>
          <w:u w:val="single"/>
          <w:lang w:val="es-ES" w:eastAsia="es-ES"/>
        </w:rPr>
      </w:pPr>
    </w:p>
    <w:p w14:paraId="7C02525B" w14:textId="77777777" w:rsidR="007968EC" w:rsidRPr="002C0D19" w:rsidRDefault="007968EC" w:rsidP="007968EC">
      <w:pPr>
        <w:jc w:val="both"/>
        <w:rPr>
          <w:rFonts w:ascii="Arial Narrow" w:hAnsi="Arial Narrow" w:cs="Arial"/>
          <w:b/>
          <w:lang w:val="es-ES" w:eastAsia="es-ES"/>
        </w:rPr>
      </w:pPr>
      <w:r w:rsidRPr="002C0D19">
        <w:rPr>
          <w:rFonts w:ascii="Arial Narrow" w:hAnsi="Arial Narrow" w:cs="Arial"/>
          <w:b/>
          <w:u w:val="single"/>
          <w:lang w:val="es-ES" w:eastAsia="es-ES"/>
        </w:rPr>
        <w:t>NOVENA. Contraprestación</w:t>
      </w:r>
      <w:r w:rsidRPr="002C0D19">
        <w:rPr>
          <w:rFonts w:ascii="Arial Narrow" w:hAnsi="Arial Narrow" w:cs="Arial"/>
          <w:b/>
          <w:lang w:val="es-ES" w:eastAsia="es-ES"/>
        </w:rPr>
        <w:t>.</w:t>
      </w:r>
      <w:r w:rsidRPr="002C0D19">
        <w:rPr>
          <w:rFonts w:ascii="Arial Narrow" w:hAnsi="Arial Narrow" w:cs="Arial"/>
          <w:lang w:val="es-ES" w:eastAsia="es-ES"/>
        </w:rPr>
        <w:t xml:space="preserve"> Este Acuerdo no genera ninguna contraprestación económica a cargo ni a favor de las partes.</w:t>
      </w:r>
    </w:p>
    <w:p w14:paraId="001E7834" w14:textId="77777777" w:rsidR="007968EC" w:rsidRPr="002C0D19" w:rsidRDefault="007968EC" w:rsidP="007968EC">
      <w:pPr>
        <w:jc w:val="both"/>
        <w:rPr>
          <w:rFonts w:ascii="Arial Narrow" w:hAnsi="Arial Narrow" w:cs="Arial"/>
          <w:lang w:val="es-ES" w:eastAsia="es-ES"/>
        </w:rPr>
      </w:pPr>
    </w:p>
    <w:p w14:paraId="2BF62235" w14:textId="77777777" w:rsidR="007968EC" w:rsidRPr="002C0D19" w:rsidRDefault="007968EC" w:rsidP="007968EC">
      <w:pPr>
        <w:jc w:val="both"/>
        <w:rPr>
          <w:rFonts w:ascii="Arial Narrow" w:hAnsi="Arial Narrow" w:cs="Arial"/>
          <w:lang w:val="es-ES" w:eastAsia="es-ES"/>
        </w:rPr>
      </w:pPr>
      <w:r w:rsidRPr="002C0D19">
        <w:rPr>
          <w:rFonts w:ascii="Arial Narrow" w:hAnsi="Arial Narrow" w:cs="Arial"/>
          <w:lang w:val="es-ES" w:eastAsia="es-ES"/>
        </w:rPr>
        <w:t xml:space="preserve">Para constancia, se firma en Bogotá D.C., el día ______________ (____) del mes de _____________ del año dos mil ___________ (____). </w:t>
      </w:r>
    </w:p>
    <w:p w14:paraId="1C8B1164" w14:textId="77777777" w:rsidR="007968EC" w:rsidRPr="002C0D19" w:rsidRDefault="007968EC" w:rsidP="007968EC">
      <w:pPr>
        <w:jc w:val="both"/>
        <w:rPr>
          <w:rFonts w:ascii="Arial Narrow" w:hAnsi="Arial Narrow" w:cs="Arial"/>
          <w:lang w:val="es-ES" w:eastAsia="es-ES"/>
        </w:rPr>
      </w:pPr>
    </w:p>
    <w:p w14:paraId="1E26EBCB" w14:textId="77777777" w:rsidR="007968EC" w:rsidRPr="002C0D19" w:rsidRDefault="007968EC" w:rsidP="007968EC">
      <w:pPr>
        <w:jc w:val="both"/>
        <w:rPr>
          <w:rFonts w:ascii="Arial Narrow" w:hAnsi="Arial Narrow" w:cs="Arial"/>
          <w:b/>
          <w:lang w:val="es-ES" w:eastAsia="es-ES"/>
        </w:rPr>
      </w:pPr>
      <w:r w:rsidRPr="002C0D19">
        <w:rPr>
          <w:rFonts w:ascii="Arial Narrow" w:hAnsi="Arial Narrow" w:cs="Arial"/>
          <w:b/>
          <w:lang w:val="es-ES" w:eastAsia="es-ES"/>
        </w:rPr>
        <w:t>AGENTE DE PAGO</w:t>
      </w:r>
    </w:p>
    <w:p w14:paraId="563082A4" w14:textId="77777777" w:rsidR="007968EC" w:rsidRPr="002C0D19" w:rsidRDefault="007968EC" w:rsidP="007968EC">
      <w:pPr>
        <w:jc w:val="both"/>
        <w:rPr>
          <w:rFonts w:ascii="Arial Narrow" w:hAnsi="Arial Narrow" w:cs="Arial"/>
          <w:lang w:val="es-ES" w:eastAsia="es-ES"/>
        </w:rPr>
      </w:pPr>
    </w:p>
    <w:p w14:paraId="1E10BAC0" w14:textId="77777777" w:rsidR="007968EC" w:rsidRPr="002C0D19" w:rsidRDefault="007968EC" w:rsidP="007968EC">
      <w:pPr>
        <w:jc w:val="both"/>
        <w:rPr>
          <w:rFonts w:ascii="Arial Narrow" w:hAnsi="Arial Narrow" w:cs="Arial"/>
          <w:spacing w:val="-3"/>
          <w:lang w:val="es-ES" w:eastAsia="es-ES"/>
        </w:rPr>
      </w:pPr>
      <w:r w:rsidRPr="002C0D19">
        <w:rPr>
          <w:rFonts w:ascii="Arial Narrow" w:hAnsi="Arial Narrow" w:cs="Arial"/>
          <w:spacing w:val="-3"/>
          <w:lang w:val="es-ES" w:eastAsia="es-ES"/>
        </w:rPr>
        <w:t xml:space="preserve">Por:          ________________________________                      </w:t>
      </w:r>
    </w:p>
    <w:p w14:paraId="02D9242E" w14:textId="77777777" w:rsidR="007968EC" w:rsidRPr="002C0D19" w:rsidRDefault="007968EC" w:rsidP="007968EC">
      <w:pPr>
        <w:jc w:val="both"/>
        <w:rPr>
          <w:rFonts w:ascii="Arial Narrow" w:hAnsi="Arial Narrow" w:cs="Arial"/>
          <w:spacing w:val="-3"/>
          <w:lang w:val="es-ES" w:eastAsia="es-ES"/>
        </w:rPr>
      </w:pPr>
      <w:r w:rsidRPr="002C0D19">
        <w:rPr>
          <w:rFonts w:ascii="Arial Narrow" w:hAnsi="Arial Narrow" w:cs="Arial"/>
          <w:spacing w:val="-3"/>
          <w:lang w:val="es-ES" w:eastAsia="es-ES"/>
        </w:rPr>
        <w:t xml:space="preserve">Nombre:                                               </w:t>
      </w:r>
    </w:p>
    <w:p w14:paraId="5F4DB6AD" w14:textId="77777777" w:rsidR="007968EC" w:rsidRPr="002C0D19" w:rsidRDefault="007968EC" w:rsidP="007968EC">
      <w:pPr>
        <w:jc w:val="both"/>
        <w:rPr>
          <w:rFonts w:ascii="Arial Narrow" w:hAnsi="Arial Narrow" w:cs="Arial"/>
          <w:spacing w:val="-3"/>
          <w:lang w:val="es-ES" w:eastAsia="es-ES"/>
        </w:rPr>
      </w:pPr>
      <w:r w:rsidRPr="002C0D19">
        <w:rPr>
          <w:rFonts w:ascii="Arial Narrow" w:hAnsi="Arial Narrow" w:cs="Arial"/>
          <w:spacing w:val="-3"/>
          <w:lang w:val="es-ES" w:eastAsia="es-ES"/>
        </w:rPr>
        <w:t xml:space="preserve">Cargo:                                           </w:t>
      </w:r>
    </w:p>
    <w:p w14:paraId="4365ED02" w14:textId="77777777" w:rsidR="007968EC" w:rsidRPr="002C0D19" w:rsidRDefault="007968EC" w:rsidP="007968EC">
      <w:pPr>
        <w:jc w:val="both"/>
        <w:rPr>
          <w:rFonts w:ascii="Arial Narrow" w:hAnsi="Arial Narrow" w:cs="Arial"/>
          <w:spacing w:val="-3"/>
          <w:lang w:val="fr-FR" w:eastAsia="es-ES"/>
        </w:rPr>
      </w:pPr>
      <w:r w:rsidRPr="002C0D19">
        <w:rPr>
          <w:rFonts w:ascii="Arial Narrow" w:hAnsi="Arial Narrow" w:cs="Arial"/>
          <w:spacing w:val="-3"/>
          <w:lang w:val="fr-FR" w:eastAsia="es-ES"/>
        </w:rPr>
        <w:t>C.C.</w:t>
      </w:r>
    </w:p>
    <w:p w14:paraId="38422E42" w14:textId="77777777" w:rsidR="007968EC" w:rsidRPr="002C0D19" w:rsidRDefault="007968EC" w:rsidP="007968EC">
      <w:pPr>
        <w:jc w:val="both"/>
        <w:rPr>
          <w:rFonts w:ascii="Arial Narrow" w:hAnsi="Arial Narrow" w:cs="Arial"/>
          <w:spacing w:val="-3"/>
          <w:lang w:val="es-ES" w:eastAsia="es-ES"/>
        </w:rPr>
      </w:pPr>
    </w:p>
    <w:p w14:paraId="5DF56D38" w14:textId="77777777" w:rsidR="007968EC" w:rsidRPr="002C0D19" w:rsidRDefault="007968EC" w:rsidP="007968EC">
      <w:pPr>
        <w:jc w:val="both"/>
        <w:rPr>
          <w:rFonts w:ascii="Arial Narrow" w:hAnsi="Arial Narrow" w:cs="Arial"/>
          <w:b/>
          <w:lang w:val="es-ES" w:eastAsia="es-ES"/>
        </w:rPr>
      </w:pPr>
      <w:r w:rsidRPr="002C0D19">
        <w:rPr>
          <w:rFonts w:ascii="Arial Narrow" w:hAnsi="Arial Narrow" w:cs="Arial"/>
          <w:b/>
          <w:lang w:val="es-ES" w:eastAsia="es-ES"/>
        </w:rPr>
        <w:t>MIEMBRO LIQUIDADOR</w:t>
      </w:r>
    </w:p>
    <w:p w14:paraId="2B6BF5FB" w14:textId="77777777" w:rsidR="007968EC" w:rsidRPr="002C0D19" w:rsidRDefault="007968EC" w:rsidP="007968EC">
      <w:pPr>
        <w:jc w:val="both"/>
        <w:rPr>
          <w:rFonts w:ascii="Arial Narrow" w:hAnsi="Arial Narrow" w:cs="Arial"/>
          <w:lang w:val="es-ES" w:eastAsia="es-ES"/>
        </w:rPr>
      </w:pPr>
    </w:p>
    <w:p w14:paraId="67C86297" w14:textId="77777777" w:rsidR="007968EC" w:rsidRPr="002C0D19" w:rsidRDefault="007968EC" w:rsidP="007968EC">
      <w:pPr>
        <w:jc w:val="both"/>
        <w:rPr>
          <w:rFonts w:ascii="Arial Narrow" w:hAnsi="Arial Narrow" w:cs="Arial"/>
          <w:lang w:val="es-ES" w:eastAsia="es-ES"/>
        </w:rPr>
      </w:pPr>
    </w:p>
    <w:p w14:paraId="0D7B34D8" w14:textId="77777777" w:rsidR="007968EC" w:rsidRPr="002C0D19" w:rsidRDefault="007968EC" w:rsidP="007968EC">
      <w:pPr>
        <w:jc w:val="both"/>
        <w:rPr>
          <w:rFonts w:ascii="Arial Narrow" w:hAnsi="Arial Narrow" w:cs="Arial"/>
          <w:spacing w:val="-3"/>
          <w:lang w:val="es-ES" w:eastAsia="es-ES"/>
        </w:rPr>
      </w:pPr>
      <w:r w:rsidRPr="002C0D19">
        <w:rPr>
          <w:rFonts w:ascii="Arial Narrow" w:hAnsi="Arial Narrow" w:cs="Arial"/>
          <w:spacing w:val="-3"/>
          <w:lang w:val="es-ES" w:eastAsia="es-ES"/>
        </w:rPr>
        <w:t xml:space="preserve">Por:          ________________________________                      </w:t>
      </w:r>
    </w:p>
    <w:p w14:paraId="4AA6EADB" w14:textId="77777777" w:rsidR="007968EC" w:rsidRPr="002C0D19" w:rsidRDefault="007968EC" w:rsidP="007968EC">
      <w:pPr>
        <w:jc w:val="both"/>
        <w:rPr>
          <w:rFonts w:ascii="Arial Narrow" w:hAnsi="Arial Narrow" w:cs="Arial"/>
          <w:spacing w:val="-3"/>
          <w:lang w:val="es-ES" w:eastAsia="es-ES"/>
        </w:rPr>
      </w:pPr>
      <w:r w:rsidRPr="002C0D19">
        <w:rPr>
          <w:rFonts w:ascii="Arial Narrow" w:hAnsi="Arial Narrow" w:cs="Arial"/>
          <w:spacing w:val="-3"/>
          <w:lang w:val="es-ES" w:eastAsia="es-ES"/>
        </w:rPr>
        <w:t xml:space="preserve">Nombre:                                               </w:t>
      </w:r>
    </w:p>
    <w:p w14:paraId="008CA9BB" w14:textId="77777777" w:rsidR="007968EC" w:rsidRPr="002C0D19" w:rsidRDefault="007968EC" w:rsidP="007968EC">
      <w:pPr>
        <w:jc w:val="both"/>
        <w:rPr>
          <w:rFonts w:ascii="Arial Narrow" w:hAnsi="Arial Narrow" w:cs="Arial"/>
          <w:spacing w:val="-3"/>
          <w:lang w:val="es-ES" w:eastAsia="es-ES"/>
        </w:rPr>
      </w:pPr>
      <w:r w:rsidRPr="002C0D19">
        <w:rPr>
          <w:rFonts w:ascii="Arial Narrow" w:hAnsi="Arial Narrow" w:cs="Arial"/>
          <w:spacing w:val="-3"/>
          <w:lang w:val="es-ES" w:eastAsia="es-ES"/>
        </w:rPr>
        <w:t xml:space="preserve">Cargo:                                           </w:t>
      </w:r>
    </w:p>
    <w:p w14:paraId="2F581A11" w14:textId="77777777" w:rsidR="007968EC" w:rsidRPr="002C0D19" w:rsidRDefault="007968EC" w:rsidP="007968EC">
      <w:pPr>
        <w:jc w:val="both"/>
        <w:rPr>
          <w:rFonts w:ascii="Arial Narrow" w:hAnsi="Arial Narrow" w:cs="Arial"/>
          <w:color w:val="000000" w:themeColor="text1"/>
          <w:spacing w:val="-3"/>
          <w:lang w:val="fr-FR" w:eastAsia="es-ES"/>
        </w:rPr>
      </w:pPr>
      <w:r w:rsidRPr="002C0D19">
        <w:rPr>
          <w:rFonts w:ascii="Arial Narrow" w:hAnsi="Arial Narrow" w:cs="Arial"/>
          <w:spacing w:val="-3"/>
          <w:lang w:val="fr-FR" w:eastAsia="es-ES"/>
        </w:rPr>
        <w:t>C.C.</w:t>
      </w:r>
    </w:p>
    <w:p w14:paraId="61ECBB51" w14:textId="77777777" w:rsidR="007968EC" w:rsidRPr="002C0D19" w:rsidRDefault="007968EC" w:rsidP="007968EC">
      <w:pPr>
        <w:jc w:val="both"/>
        <w:rPr>
          <w:rFonts w:ascii="Arial Narrow" w:hAnsi="Arial Narrow" w:cs="Arial"/>
          <w:color w:val="000000" w:themeColor="text1"/>
          <w:spacing w:val="-3"/>
          <w:lang w:val="fr-FR" w:eastAsia="es-ES"/>
        </w:rPr>
      </w:pPr>
    </w:p>
    <w:p w14:paraId="51DB0028" w14:textId="77777777" w:rsidR="007968EC" w:rsidRPr="002C0D19" w:rsidRDefault="007968EC" w:rsidP="007968EC">
      <w:pPr>
        <w:jc w:val="both"/>
        <w:rPr>
          <w:rFonts w:ascii="Arial Narrow" w:hAnsi="Arial Narrow" w:cs="Arial"/>
          <w:color w:val="000000" w:themeColor="text1"/>
          <w:spacing w:val="-3"/>
          <w:lang w:val="fr-FR" w:eastAsia="es-ES"/>
        </w:rPr>
      </w:pPr>
    </w:p>
    <w:p w14:paraId="59A1EC13" w14:textId="77777777" w:rsidR="007968EC" w:rsidRPr="002C0D19" w:rsidRDefault="007968EC" w:rsidP="007968EC">
      <w:pPr>
        <w:jc w:val="both"/>
        <w:rPr>
          <w:rFonts w:ascii="Arial Narrow" w:hAnsi="Arial Narrow" w:cs="Arial"/>
          <w:color w:val="000000" w:themeColor="text1"/>
          <w:spacing w:val="-3"/>
          <w:lang w:val="fr-FR" w:eastAsia="es-ES"/>
        </w:rPr>
        <w:sectPr w:rsidR="007968EC" w:rsidRPr="002C0D19" w:rsidSect="007968EC">
          <w:pgSz w:w="12242" w:h="15842" w:code="1"/>
          <w:pgMar w:top="1985" w:right="1418" w:bottom="1985" w:left="1418" w:header="851" w:footer="1021" w:gutter="0"/>
          <w:cols w:space="708"/>
          <w:titlePg/>
          <w:docGrid w:linePitch="360"/>
        </w:sectPr>
      </w:pPr>
    </w:p>
    <w:p w14:paraId="33EA842C" w14:textId="77777777" w:rsidR="007968EC" w:rsidRPr="002C0D19" w:rsidRDefault="007968EC" w:rsidP="007968EC">
      <w:pPr>
        <w:jc w:val="center"/>
        <w:rPr>
          <w:rFonts w:ascii="Arial Narrow" w:eastAsia="Calibri" w:hAnsi="Arial Narrow"/>
          <w:b/>
          <w:i/>
        </w:rPr>
      </w:pPr>
      <w:r w:rsidRPr="002C0D19">
        <w:rPr>
          <w:rFonts w:ascii="Arial Narrow" w:eastAsia="Calibri" w:hAnsi="Arial Narrow"/>
          <w:b/>
          <w:i/>
        </w:rPr>
        <w:lastRenderedPageBreak/>
        <w:t>Anexo 22.3. Modelo de Acuerdo de la Cámara para Agente Custodio y de Pagos</w:t>
      </w:r>
    </w:p>
    <w:p w14:paraId="46DD5BB5" w14:textId="77777777" w:rsidR="007968EC" w:rsidRPr="002C0D19" w:rsidRDefault="007968EC" w:rsidP="007968EC">
      <w:pPr>
        <w:jc w:val="center"/>
        <w:rPr>
          <w:rFonts w:ascii="Arial Narrow" w:eastAsia="Calibri" w:hAnsi="Arial Narrow"/>
          <w:b/>
        </w:rPr>
      </w:pPr>
    </w:p>
    <w:p w14:paraId="351412C9" w14:textId="77777777" w:rsidR="007968EC" w:rsidRDefault="007968EC" w:rsidP="007968EC">
      <w:pPr>
        <w:jc w:val="center"/>
        <w:rPr>
          <w:rFonts w:ascii="Arial Narrow" w:eastAsia="Calibri" w:hAnsi="Arial Narrow"/>
          <w:b/>
          <w:i/>
        </w:rPr>
      </w:pPr>
      <w:r>
        <w:rPr>
          <w:rFonts w:ascii="Arial Narrow" w:eastAsia="Calibri" w:hAnsi="Arial Narrow"/>
          <w:b/>
          <w:i/>
        </w:rPr>
        <w:t>(Este Anexo fue adicionado mediante Circular 14 del 8 de agosto de 2017, publicada en el Boletín Normativo No. 015 del 8 de agosto de 2017, y modificado mediante Circular 16 del 25 de agosto de 2017, publicada en el Boletín Normativo No. 017 del 25 de agosto de 2017. Rige a partir del 28 de agosto de 2017.)</w:t>
      </w:r>
    </w:p>
    <w:p w14:paraId="5E216F4D" w14:textId="77777777" w:rsidR="007968EC" w:rsidRPr="002C0D19" w:rsidRDefault="007968EC" w:rsidP="007968EC">
      <w:pPr>
        <w:rPr>
          <w:rFonts w:ascii="Arial Narrow" w:eastAsia="Calibri" w:hAnsi="Arial Narrow"/>
          <w:b/>
        </w:rPr>
      </w:pPr>
    </w:p>
    <w:p w14:paraId="43B7C559" w14:textId="77777777" w:rsidR="007968EC" w:rsidRPr="002C0D19" w:rsidRDefault="007968EC" w:rsidP="007968EC">
      <w:pPr>
        <w:jc w:val="center"/>
        <w:rPr>
          <w:rFonts w:ascii="Arial Narrow" w:eastAsia="Calibri" w:hAnsi="Arial Narrow"/>
          <w:b/>
        </w:rPr>
      </w:pPr>
      <w:r w:rsidRPr="002C0D19">
        <w:rPr>
          <w:rFonts w:ascii="Arial Narrow" w:eastAsia="Calibri" w:hAnsi="Arial Narrow"/>
          <w:b/>
        </w:rPr>
        <w:t>ACUERDO PARA ACTUAR COMO AGENTE CUSTODIO Y DE PAGOS POR CUENTA DE TERCEROS DE UN MIEMBRO LIQUIDADOR EN EL SISTEMA DE COMPENSACIÓN Y LIQUIDACIÓN DE LA CÁMARA DE RIESGO CENTRAL DE CONTRAPARTE DE COLOMBIA S.A. – CRCC S.A.</w:t>
      </w:r>
    </w:p>
    <w:p w14:paraId="7C1AC224" w14:textId="77777777" w:rsidR="007968EC" w:rsidRPr="002C0D19" w:rsidRDefault="007968EC" w:rsidP="007968EC">
      <w:pPr>
        <w:jc w:val="both"/>
        <w:rPr>
          <w:rFonts w:ascii="Arial Narrow" w:eastAsia="Calibri" w:hAnsi="Arial Narrow"/>
        </w:rPr>
      </w:pPr>
    </w:p>
    <w:p w14:paraId="2996E4FA" w14:textId="77777777" w:rsidR="007968EC" w:rsidRPr="002C0D19" w:rsidRDefault="007968EC" w:rsidP="007968EC">
      <w:pPr>
        <w:jc w:val="both"/>
        <w:rPr>
          <w:rFonts w:ascii="Arial Narrow" w:eastAsia="Calibri" w:hAnsi="Arial Narrow"/>
        </w:rPr>
      </w:pPr>
      <w:r w:rsidRPr="002C0D19">
        <w:rPr>
          <w:rFonts w:ascii="Arial Narrow" w:eastAsia="Calibri" w:hAnsi="Arial Narrow"/>
        </w:rPr>
        <w:t xml:space="preserve">Este Acuerdo para actuar como Agente Custodio y de Pagos por cuenta de los Terceros de los Miembros Liquidadores ante la Cámara de Riesgo Central de Contraparte de Colombia S.A. – CRCC S.A., en adelante </w:t>
      </w:r>
      <w:r w:rsidRPr="002C0D19">
        <w:rPr>
          <w:rFonts w:ascii="Arial Narrow" w:eastAsia="Calibri" w:hAnsi="Arial Narrow"/>
          <w:b/>
        </w:rPr>
        <w:t>LA CRCC</w:t>
      </w:r>
      <w:r w:rsidRPr="002C0D19">
        <w:rPr>
          <w:rFonts w:ascii="Arial Narrow" w:eastAsia="Calibri" w:hAnsi="Arial Narrow"/>
        </w:rPr>
        <w:t xml:space="preserve">, se suscribe por _____________________, en adelante </w:t>
      </w:r>
      <w:r w:rsidRPr="002C0D19">
        <w:rPr>
          <w:rFonts w:ascii="Arial Narrow" w:eastAsia="Calibri" w:hAnsi="Arial Narrow"/>
          <w:b/>
        </w:rPr>
        <w:t>EL AGENTE</w:t>
      </w:r>
      <w:r w:rsidRPr="002C0D19">
        <w:rPr>
          <w:rFonts w:ascii="Arial Narrow" w:eastAsia="Calibri" w:hAnsi="Arial Narrow"/>
        </w:rPr>
        <w:t xml:space="preserve">, y ______________, en adelante </w:t>
      </w:r>
      <w:r w:rsidRPr="002C0D19">
        <w:rPr>
          <w:rFonts w:ascii="Arial Narrow" w:eastAsia="Calibri" w:hAnsi="Arial Narrow"/>
          <w:b/>
        </w:rPr>
        <w:t>EL MIEMBRO LIQUIDADOR</w:t>
      </w:r>
      <w:r w:rsidRPr="002C0D19">
        <w:rPr>
          <w:rFonts w:ascii="Arial Narrow" w:eastAsia="Calibri" w:hAnsi="Arial Narrow"/>
        </w:rPr>
        <w:t>.</w:t>
      </w:r>
    </w:p>
    <w:p w14:paraId="1CDB1514" w14:textId="77777777" w:rsidR="007968EC" w:rsidRPr="002C0D19" w:rsidRDefault="007968EC" w:rsidP="007968EC">
      <w:pPr>
        <w:jc w:val="both"/>
        <w:rPr>
          <w:rFonts w:ascii="Arial Narrow" w:eastAsia="Calibri" w:hAnsi="Arial Narrow"/>
        </w:rPr>
      </w:pPr>
    </w:p>
    <w:p w14:paraId="1BC453F8" w14:textId="77777777" w:rsidR="007968EC" w:rsidRPr="002C0D19" w:rsidRDefault="007968EC" w:rsidP="007968EC">
      <w:pPr>
        <w:jc w:val="center"/>
        <w:rPr>
          <w:rFonts w:ascii="Arial Narrow" w:eastAsia="Calibri" w:hAnsi="Arial Narrow"/>
          <w:b/>
        </w:rPr>
      </w:pPr>
      <w:r w:rsidRPr="002C0D19">
        <w:rPr>
          <w:rFonts w:ascii="Arial Narrow" w:eastAsia="Calibri" w:hAnsi="Arial Narrow"/>
          <w:b/>
        </w:rPr>
        <w:t>TÉRMINOS Y CONDICIONES</w:t>
      </w:r>
    </w:p>
    <w:p w14:paraId="55D6114E" w14:textId="77777777" w:rsidR="007968EC" w:rsidRPr="002C0D19" w:rsidRDefault="007968EC" w:rsidP="007968EC">
      <w:pPr>
        <w:jc w:val="both"/>
        <w:rPr>
          <w:rFonts w:ascii="Arial Narrow" w:eastAsia="Calibri" w:hAnsi="Arial Narrow"/>
        </w:rPr>
      </w:pPr>
    </w:p>
    <w:p w14:paraId="1062D0BB" w14:textId="77777777" w:rsidR="007968EC" w:rsidRPr="002C0D19" w:rsidRDefault="007968EC" w:rsidP="007968EC">
      <w:pPr>
        <w:jc w:val="both"/>
        <w:rPr>
          <w:rFonts w:ascii="Arial Narrow" w:eastAsia="Calibri" w:hAnsi="Arial Narrow"/>
        </w:rPr>
      </w:pPr>
      <w:r w:rsidRPr="002C0D19">
        <w:rPr>
          <w:rFonts w:ascii="Arial Narrow" w:eastAsia="Calibri" w:hAnsi="Arial Narrow"/>
          <w:b/>
          <w:u w:val="single"/>
        </w:rPr>
        <w:t>PRIMERA. Objeto.</w:t>
      </w:r>
      <w:r w:rsidRPr="002C0D19">
        <w:rPr>
          <w:rFonts w:ascii="Arial Narrow" w:eastAsia="Calibri" w:hAnsi="Arial Narrow"/>
        </w:rPr>
        <w:t xml:space="preserve"> En virtud del presente Acuerdo, </w:t>
      </w:r>
      <w:r w:rsidRPr="002C0D19">
        <w:rPr>
          <w:rFonts w:ascii="Arial Narrow" w:eastAsia="Calibri" w:hAnsi="Arial Narrow"/>
          <w:b/>
        </w:rPr>
        <w:t>EL MIEMBRO LIQUIDADOR</w:t>
      </w:r>
      <w:r w:rsidRPr="002C0D19">
        <w:rPr>
          <w:rFonts w:ascii="Arial Narrow" w:eastAsia="Calibri" w:hAnsi="Arial Narrow"/>
        </w:rPr>
        <w:t xml:space="preserve"> reconoce a ________________ como Agente</w:t>
      </w:r>
      <w:r w:rsidRPr="002C0D19">
        <w:rPr>
          <w:rFonts w:ascii="Arial Narrow" w:eastAsia="Calibri" w:hAnsi="Arial Narrow"/>
          <w:b/>
        </w:rPr>
        <w:t xml:space="preserve"> </w:t>
      </w:r>
      <w:r w:rsidRPr="002C0D19">
        <w:rPr>
          <w:rFonts w:ascii="Arial Narrow" w:eastAsia="Calibri" w:hAnsi="Arial Narrow"/>
        </w:rPr>
        <w:t xml:space="preserve">de los Terceros del </w:t>
      </w:r>
      <w:r w:rsidRPr="002C0D19">
        <w:rPr>
          <w:rFonts w:ascii="Arial Narrow" w:eastAsia="Calibri" w:hAnsi="Arial Narrow"/>
          <w:b/>
        </w:rPr>
        <w:t>MIEMBRO LIQUIDADOR</w:t>
      </w:r>
      <w:r w:rsidRPr="002C0D19">
        <w:rPr>
          <w:rFonts w:ascii="Arial Narrow" w:eastAsia="Calibri" w:hAnsi="Arial Narrow"/>
        </w:rPr>
        <w:t xml:space="preserve">, en virtud de lo cual </w:t>
      </w:r>
      <w:r w:rsidRPr="002C0D19">
        <w:rPr>
          <w:rFonts w:ascii="Arial Narrow" w:eastAsia="Calibri" w:hAnsi="Arial Narrow"/>
          <w:b/>
        </w:rPr>
        <w:t>EL</w:t>
      </w:r>
      <w:r w:rsidRPr="002C0D19">
        <w:rPr>
          <w:rFonts w:ascii="Arial Narrow" w:eastAsia="Calibri" w:hAnsi="Arial Narrow"/>
        </w:rPr>
        <w:t xml:space="preserve"> </w:t>
      </w:r>
      <w:r w:rsidRPr="002C0D19">
        <w:rPr>
          <w:rFonts w:ascii="Arial Narrow" w:eastAsia="Calibri" w:hAnsi="Arial Narrow"/>
          <w:b/>
        </w:rPr>
        <w:t xml:space="preserve">AGENTE </w:t>
      </w:r>
      <w:r w:rsidRPr="002C0D19">
        <w:rPr>
          <w:rFonts w:ascii="Arial Narrow" w:eastAsia="Calibri" w:hAnsi="Arial Narrow"/>
        </w:rPr>
        <w:t xml:space="preserve">recibirá y custodiará valores y dinero en efectivo por cuenta de los Terceros del </w:t>
      </w:r>
      <w:r w:rsidRPr="002C0D19">
        <w:rPr>
          <w:rFonts w:ascii="Arial Narrow" w:eastAsia="Calibri" w:hAnsi="Arial Narrow"/>
          <w:b/>
        </w:rPr>
        <w:t>MIEMBRO LIQUIDADOR</w:t>
      </w:r>
      <w:r w:rsidRPr="002C0D19">
        <w:rPr>
          <w:rFonts w:ascii="Arial Narrow" w:eastAsia="Calibri" w:hAnsi="Arial Narrow"/>
        </w:rPr>
        <w:t xml:space="preserve">, y realizará la entrega de valores y los pagos de efectivo a </w:t>
      </w:r>
      <w:r w:rsidRPr="002C0D19">
        <w:rPr>
          <w:rFonts w:ascii="Arial Narrow" w:eastAsia="Calibri" w:hAnsi="Arial Narrow"/>
          <w:b/>
        </w:rPr>
        <w:t>LA CRCC</w:t>
      </w:r>
      <w:r w:rsidRPr="002C0D19">
        <w:rPr>
          <w:rFonts w:ascii="Arial Narrow" w:eastAsia="Calibri" w:hAnsi="Arial Narrow"/>
        </w:rPr>
        <w:t xml:space="preserve"> para el cumplimiento de las obligaciones a cargo de los Terceros del </w:t>
      </w:r>
      <w:r w:rsidRPr="002C0D19">
        <w:rPr>
          <w:rFonts w:ascii="Arial Narrow" w:eastAsia="Calibri" w:hAnsi="Arial Narrow"/>
          <w:b/>
        </w:rPr>
        <w:t>MIEMBRO</w:t>
      </w:r>
      <w:r w:rsidRPr="002C0D19">
        <w:rPr>
          <w:rFonts w:ascii="Arial Narrow" w:eastAsia="Calibri" w:hAnsi="Arial Narrow"/>
        </w:rPr>
        <w:t xml:space="preserve"> </w:t>
      </w:r>
      <w:r w:rsidRPr="002C0D19">
        <w:rPr>
          <w:rFonts w:ascii="Arial Narrow" w:eastAsia="Calibri" w:hAnsi="Arial Narrow"/>
          <w:b/>
        </w:rPr>
        <w:t>LIQUIDADOR</w:t>
      </w:r>
      <w:r w:rsidRPr="002C0D19">
        <w:rPr>
          <w:rFonts w:ascii="Arial Narrow" w:eastAsia="Calibri" w:hAnsi="Arial Narrow"/>
        </w:rPr>
        <w:t xml:space="preserve">, que de acuerdo con el Decreto 2555 de 2010, las nomas que lo modifiquen, adicionen o sustituyan, deban contratar la actividad de custodia, derivadas de la Compensación y Liquidación de operaciones, todo ello de conformidad con los términos y condiciones establecidos en el Reglamento de Funcionamiento de </w:t>
      </w:r>
      <w:r w:rsidRPr="002C0D19">
        <w:rPr>
          <w:rFonts w:ascii="Arial Narrow" w:eastAsia="Calibri" w:hAnsi="Arial Narrow"/>
          <w:b/>
        </w:rPr>
        <w:t>LA CRCC</w:t>
      </w:r>
      <w:r w:rsidRPr="002C0D19">
        <w:rPr>
          <w:rFonts w:ascii="Arial Narrow" w:eastAsia="Calibri" w:hAnsi="Arial Narrow"/>
        </w:rPr>
        <w:t>, en adelante el “Reglamento”.</w:t>
      </w:r>
    </w:p>
    <w:p w14:paraId="39EE3EEC" w14:textId="77777777" w:rsidR="007968EC" w:rsidRPr="002C0D19" w:rsidRDefault="007968EC" w:rsidP="007968EC">
      <w:pPr>
        <w:jc w:val="both"/>
        <w:rPr>
          <w:rFonts w:ascii="Arial Narrow" w:eastAsia="Calibri" w:hAnsi="Arial Narrow"/>
        </w:rPr>
      </w:pPr>
    </w:p>
    <w:p w14:paraId="03F0A4ED" w14:textId="77777777" w:rsidR="007968EC" w:rsidRPr="002C0D19" w:rsidRDefault="007968EC" w:rsidP="007968EC">
      <w:pPr>
        <w:jc w:val="both"/>
        <w:rPr>
          <w:rFonts w:ascii="Arial Narrow" w:eastAsia="Calibri" w:hAnsi="Arial Narrow"/>
        </w:rPr>
      </w:pPr>
      <w:r w:rsidRPr="002C0D19">
        <w:rPr>
          <w:rFonts w:ascii="Arial Narrow" w:eastAsia="Calibri" w:hAnsi="Arial Narrow"/>
        </w:rPr>
        <w:t xml:space="preserve">Las cuentas en los depósitos centralizados de valores a través de las cuales desarrollará sus funciones </w:t>
      </w:r>
      <w:r w:rsidRPr="002C0D19">
        <w:rPr>
          <w:rFonts w:ascii="Arial Narrow" w:eastAsia="Calibri" w:hAnsi="Arial Narrow"/>
          <w:b/>
        </w:rPr>
        <w:t>EL AGENTE</w:t>
      </w:r>
      <w:r w:rsidRPr="002C0D19">
        <w:rPr>
          <w:rFonts w:ascii="Arial Narrow" w:eastAsia="Calibri" w:hAnsi="Arial Narrow"/>
        </w:rPr>
        <w:t xml:space="preserve"> son las siguientes:</w:t>
      </w:r>
    </w:p>
    <w:p w14:paraId="41F3CC9F" w14:textId="77777777" w:rsidR="007968EC" w:rsidRPr="002C0D19" w:rsidRDefault="007968EC" w:rsidP="007968EC">
      <w:pPr>
        <w:jc w:val="both"/>
        <w:rPr>
          <w:rFonts w:ascii="Arial Narrow" w:eastAsia="Calibri" w:hAnsi="Arial Narrow"/>
        </w:rPr>
      </w:pPr>
      <w:r w:rsidRPr="002C0D19">
        <w:rPr>
          <w:rFonts w:ascii="Arial Narrow" w:eastAsia="Calibri" w:hAnsi="Arial Narrow"/>
        </w:rPr>
        <w:t>_____________________________________________________________________________________</w:t>
      </w:r>
    </w:p>
    <w:p w14:paraId="40FDD644" w14:textId="77777777" w:rsidR="007968EC" w:rsidRPr="002C0D19" w:rsidRDefault="007968EC" w:rsidP="007968EC">
      <w:pPr>
        <w:jc w:val="both"/>
        <w:rPr>
          <w:rFonts w:ascii="Arial Narrow" w:eastAsia="Calibri" w:hAnsi="Arial Narrow"/>
        </w:rPr>
      </w:pPr>
      <w:r w:rsidRPr="002C0D19">
        <w:rPr>
          <w:rFonts w:ascii="Arial Narrow" w:eastAsia="Calibri" w:hAnsi="Arial Narrow"/>
        </w:rPr>
        <w:t>_____________________________________________________________________________________</w:t>
      </w:r>
    </w:p>
    <w:p w14:paraId="6511B4C2" w14:textId="77777777" w:rsidR="007968EC" w:rsidRPr="002C0D19" w:rsidRDefault="007968EC" w:rsidP="007968EC">
      <w:pPr>
        <w:jc w:val="both"/>
        <w:rPr>
          <w:rFonts w:ascii="Arial Narrow" w:eastAsia="Calibri" w:hAnsi="Arial Narrow"/>
        </w:rPr>
      </w:pPr>
      <w:r w:rsidRPr="002C0D19">
        <w:rPr>
          <w:rFonts w:ascii="Arial Narrow" w:eastAsia="Calibri" w:hAnsi="Arial Narrow"/>
        </w:rPr>
        <w:t>_____________________________________</w:t>
      </w:r>
    </w:p>
    <w:p w14:paraId="7350704F" w14:textId="77777777" w:rsidR="007968EC" w:rsidRPr="002C0D19" w:rsidRDefault="007968EC" w:rsidP="007968EC">
      <w:pPr>
        <w:jc w:val="both"/>
        <w:rPr>
          <w:rFonts w:ascii="Arial Narrow" w:eastAsia="Calibri" w:hAnsi="Arial Narrow"/>
        </w:rPr>
      </w:pPr>
    </w:p>
    <w:p w14:paraId="6FF16DDF" w14:textId="77777777" w:rsidR="007968EC" w:rsidRPr="002C0D19" w:rsidRDefault="007968EC" w:rsidP="007968EC">
      <w:pPr>
        <w:jc w:val="both"/>
        <w:rPr>
          <w:rFonts w:ascii="Arial Narrow" w:eastAsia="Calibri" w:hAnsi="Arial Narrow"/>
        </w:rPr>
      </w:pPr>
      <w:r w:rsidRPr="002C0D19">
        <w:rPr>
          <w:rFonts w:ascii="Arial Narrow" w:eastAsia="Calibri" w:hAnsi="Arial Narrow"/>
        </w:rPr>
        <w:t xml:space="preserve">Las Cuentas de Depósito de las que es titular </w:t>
      </w:r>
      <w:r w:rsidRPr="002C0D19">
        <w:rPr>
          <w:rFonts w:ascii="Arial Narrow" w:eastAsia="Calibri" w:hAnsi="Arial Narrow"/>
          <w:b/>
        </w:rPr>
        <w:t>EL AGENTE</w:t>
      </w:r>
      <w:r w:rsidRPr="002C0D19">
        <w:rPr>
          <w:rFonts w:ascii="Arial Narrow" w:eastAsia="Calibri" w:hAnsi="Arial Narrow"/>
        </w:rPr>
        <w:t xml:space="preserve"> ante el Banco de la República y a través de las cuales desarrollará sus funciones, son las siguientes:</w:t>
      </w:r>
    </w:p>
    <w:p w14:paraId="1C1108DD" w14:textId="77777777" w:rsidR="007968EC" w:rsidRPr="002C0D19" w:rsidRDefault="007968EC" w:rsidP="007968EC">
      <w:pPr>
        <w:jc w:val="both"/>
        <w:rPr>
          <w:rFonts w:ascii="Arial Narrow" w:eastAsia="Calibri" w:hAnsi="Arial Narrow"/>
        </w:rPr>
      </w:pPr>
      <w:r w:rsidRPr="002C0D19">
        <w:rPr>
          <w:rFonts w:ascii="Arial Narrow" w:eastAsia="Calibri" w:hAnsi="Arial Narrow"/>
        </w:rPr>
        <w:t>________________________________________________________________________________________________________________________________________________________________________________________________________________________</w:t>
      </w:r>
    </w:p>
    <w:p w14:paraId="548DBBB5" w14:textId="77777777" w:rsidR="007968EC" w:rsidRPr="002C0D19" w:rsidRDefault="007968EC" w:rsidP="007968EC">
      <w:pPr>
        <w:jc w:val="both"/>
        <w:rPr>
          <w:rFonts w:ascii="Arial Narrow" w:eastAsia="Calibri" w:hAnsi="Arial Narrow"/>
        </w:rPr>
      </w:pPr>
    </w:p>
    <w:p w14:paraId="5C66FC26" w14:textId="77777777" w:rsidR="007968EC" w:rsidRPr="002C0D19" w:rsidRDefault="007968EC" w:rsidP="007968EC">
      <w:pPr>
        <w:jc w:val="both"/>
        <w:rPr>
          <w:rFonts w:ascii="Arial Narrow" w:eastAsia="Calibri" w:hAnsi="Arial Narrow"/>
        </w:rPr>
      </w:pPr>
      <w:r w:rsidRPr="002C0D19">
        <w:rPr>
          <w:rFonts w:ascii="Arial Narrow" w:eastAsia="Calibri" w:hAnsi="Arial Narrow"/>
          <w:b/>
        </w:rPr>
        <w:t>PARÁGRAFO.</w:t>
      </w:r>
      <w:r w:rsidRPr="002C0D19">
        <w:rPr>
          <w:rFonts w:ascii="Arial Narrow" w:eastAsia="Calibri" w:hAnsi="Arial Narrow"/>
        </w:rPr>
        <w:t xml:space="preserve"> Los términos que se utilizan en este Acuerdo, cuya primera letra sea una mayúscula, y que no se encuentren expresamente definidos en este Acuerdo, tendrán el significado que se le atribuye en el Reglamento.</w:t>
      </w:r>
    </w:p>
    <w:p w14:paraId="75E41F22" w14:textId="77777777" w:rsidR="007968EC" w:rsidRPr="002C0D19" w:rsidRDefault="007968EC" w:rsidP="007968EC">
      <w:pPr>
        <w:jc w:val="both"/>
        <w:rPr>
          <w:rFonts w:ascii="Arial Narrow" w:eastAsia="Calibri" w:hAnsi="Arial Narrow"/>
        </w:rPr>
      </w:pPr>
    </w:p>
    <w:p w14:paraId="4B8B59AE" w14:textId="77777777" w:rsidR="007968EC" w:rsidRPr="002C0D19" w:rsidRDefault="007968EC" w:rsidP="007968EC">
      <w:pPr>
        <w:jc w:val="both"/>
        <w:rPr>
          <w:rFonts w:ascii="Arial Narrow" w:eastAsia="Calibri" w:hAnsi="Arial Narrow"/>
        </w:rPr>
      </w:pPr>
      <w:r w:rsidRPr="002C0D19">
        <w:rPr>
          <w:rFonts w:ascii="Arial Narrow" w:eastAsia="Calibri" w:hAnsi="Arial Narrow"/>
          <w:b/>
          <w:u w:val="single"/>
        </w:rPr>
        <w:lastRenderedPageBreak/>
        <w:t>SEGUNDA. Declaraciones, Manifestaciones y Autorizaciones.</w:t>
      </w:r>
      <w:r w:rsidRPr="002C0D19">
        <w:rPr>
          <w:rFonts w:ascii="Arial Narrow" w:eastAsia="Calibri" w:hAnsi="Arial Narrow"/>
        </w:rPr>
        <w:t xml:space="preserve"> Mediante la suscripción del presente Acuerdo, </w:t>
      </w:r>
      <w:r w:rsidRPr="002C0D19">
        <w:rPr>
          <w:rFonts w:ascii="Arial Narrow" w:eastAsia="Calibri" w:hAnsi="Arial Narrow"/>
          <w:b/>
        </w:rPr>
        <w:t>EL MIEMBRO LIQUIDADOR</w:t>
      </w:r>
      <w:r w:rsidRPr="002C0D19">
        <w:rPr>
          <w:rFonts w:ascii="Arial Narrow" w:eastAsia="Calibri" w:hAnsi="Arial Narrow"/>
        </w:rPr>
        <w:t>:</w:t>
      </w:r>
    </w:p>
    <w:p w14:paraId="3BFC4BA4" w14:textId="77777777" w:rsidR="007968EC" w:rsidRPr="002C0D19" w:rsidRDefault="007968EC" w:rsidP="007968EC">
      <w:pPr>
        <w:jc w:val="both"/>
        <w:rPr>
          <w:rFonts w:ascii="Arial Narrow" w:eastAsia="Calibri" w:hAnsi="Arial Narrow"/>
        </w:rPr>
      </w:pPr>
    </w:p>
    <w:p w14:paraId="58EEADD7" w14:textId="77777777" w:rsidR="007968EC" w:rsidRPr="002C0D19" w:rsidRDefault="007968EC" w:rsidP="00DA7472">
      <w:pPr>
        <w:numPr>
          <w:ilvl w:val="0"/>
          <w:numId w:val="295"/>
        </w:numPr>
        <w:ind w:left="426" w:hanging="426"/>
        <w:jc w:val="both"/>
        <w:rPr>
          <w:rFonts w:ascii="Arial Narrow" w:eastAsia="Calibri" w:hAnsi="Arial Narrow"/>
        </w:rPr>
      </w:pPr>
      <w:r w:rsidRPr="002C0D19">
        <w:rPr>
          <w:rFonts w:ascii="Arial Narrow" w:eastAsia="Calibri" w:hAnsi="Arial Narrow"/>
        </w:rPr>
        <w:t xml:space="preserve">Declara expresamente conocer y aceptar en su integridad el Reglamento, las Circulares y los Instructivos Operativos de </w:t>
      </w:r>
      <w:r w:rsidRPr="002C0D19">
        <w:rPr>
          <w:rFonts w:ascii="Arial Narrow" w:eastAsia="Calibri" w:hAnsi="Arial Narrow"/>
          <w:b/>
        </w:rPr>
        <w:t>LA CRCC</w:t>
      </w:r>
      <w:r w:rsidRPr="002C0D19">
        <w:rPr>
          <w:rFonts w:ascii="Arial Narrow" w:eastAsia="Calibri" w:hAnsi="Arial Narrow"/>
        </w:rPr>
        <w:t>, los cuales se consideran parte integral de la presente Acuerdo.</w:t>
      </w:r>
    </w:p>
    <w:p w14:paraId="578FF416" w14:textId="77777777" w:rsidR="007968EC" w:rsidRPr="002C0D19" w:rsidRDefault="007968EC" w:rsidP="00DA7472">
      <w:pPr>
        <w:numPr>
          <w:ilvl w:val="0"/>
          <w:numId w:val="295"/>
        </w:numPr>
        <w:ind w:left="426" w:hanging="426"/>
        <w:jc w:val="both"/>
        <w:rPr>
          <w:rFonts w:ascii="Arial Narrow" w:eastAsia="Calibri" w:hAnsi="Arial Narrow"/>
        </w:rPr>
      </w:pPr>
      <w:r w:rsidRPr="002C0D19">
        <w:rPr>
          <w:rFonts w:ascii="Arial Narrow" w:eastAsia="Calibri" w:hAnsi="Arial Narrow"/>
        </w:rPr>
        <w:t xml:space="preserve">Declara conocer la reglamentación de las bolsas, sistemas de negociación y registro, mercado mostrador y Mecanismos de Contratación en donde se transen los Activos Compensados y Liquidados a través de </w:t>
      </w:r>
      <w:r w:rsidRPr="002C0D19">
        <w:rPr>
          <w:rFonts w:ascii="Arial Narrow" w:eastAsia="Calibri" w:hAnsi="Arial Narrow"/>
          <w:b/>
        </w:rPr>
        <w:t>LA CRCC</w:t>
      </w:r>
      <w:r w:rsidRPr="002C0D19">
        <w:rPr>
          <w:rFonts w:ascii="Arial Narrow" w:eastAsia="Calibri" w:hAnsi="Arial Narrow"/>
        </w:rPr>
        <w:t>.</w:t>
      </w:r>
    </w:p>
    <w:p w14:paraId="4893C7CF" w14:textId="77777777" w:rsidR="007968EC" w:rsidRPr="002C0D19" w:rsidRDefault="007968EC" w:rsidP="00DA7472">
      <w:pPr>
        <w:numPr>
          <w:ilvl w:val="0"/>
          <w:numId w:val="295"/>
        </w:numPr>
        <w:ind w:left="426" w:hanging="426"/>
        <w:jc w:val="both"/>
        <w:rPr>
          <w:rFonts w:ascii="Arial Narrow" w:eastAsia="Calibri" w:hAnsi="Arial Narrow"/>
        </w:rPr>
      </w:pPr>
      <w:r w:rsidRPr="002C0D19">
        <w:rPr>
          <w:rFonts w:ascii="Arial Narrow" w:eastAsia="Calibri" w:hAnsi="Arial Narrow"/>
        </w:rPr>
        <w:t>Manifiesta y acepta que en lo no previsto expresamente en el presente Acuerdo, se aplicará lo dispuesto en el Reglamento.</w:t>
      </w:r>
    </w:p>
    <w:p w14:paraId="6865258A" w14:textId="77777777" w:rsidR="007968EC" w:rsidRPr="002C0D19" w:rsidRDefault="007968EC" w:rsidP="00DA7472">
      <w:pPr>
        <w:numPr>
          <w:ilvl w:val="0"/>
          <w:numId w:val="295"/>
        </w:numPr>
        <w:ind w:left="426" w:hanging="426"/>
        <w:jc w:val="both"/>
        <w:rPr>
          <w:rFonts w:ascii="Arial Narrow" w:eastAsia="Calibri" w:hAnsi="Arial Narrow"/>
        </w:rPr>
      </w:pPr>
      <w:r w:rsidRPr="002C0D19">
        <w:rPr>
          <w:rFonts w:ascii="Arial Narrow" w:eastAsia="Calibri" w:hAnsi="Arial Narrow"/>
        </w:rPr>
        <w:t>Manifiesta que cumple con las condiciones y requisitos establecidos en el Reglamento para ser Miembro Liquidador.</w:t>
      </w:r>
    </w:p>
    <w:p w14:paraId="0B5E1B11" w14:textId="77777777" w:rsidR="007968EC" w:rsidRPr="002C0D19" w:rsidRDefault="007968EC" w:rsidP="00DA7472">
      <w:pPr>
        <w:numPr>
          <w:ilvl w:val="0"/>
          <w:numId w:val="295"/>
        </w:numPr>
        <w:ind w:left="426" w:hanging="426"/>
        <w:jc w:val="both"/>
        <w:rPr>
          <w:rFonts w:ascii="Arial Narrow" w:eastAsia="Calibri" w:hAnsi="Arial Narrow"/>
        </w:rPr>
      </w:pPr>
      <w:r w:rsidRPr="002C0D19">
        <w:rPr>
          <w:rFonts w:ascii="Arial Narrow" w:eastAsia="Calibri" w:hAnsi="Arial Narrow"/>
        </w:rPr>
        <w:t xml:space="preserve">Declara que los derechos y obligaciones derivados de las Operaciones Aceptadas por </w:t>
      </w:r>
      <w:r w:rsidRPr="002C0D19">
        <w:rPr>
          <w:rFonts w:ascii="Arial Narrow" w:eastAsia="Calibri" w:hAnsi="Arial Narrow"/>
          <w:b/>
        </w:rPr>
        <w:t>LA CRCC</w:t>
      </w:r>
      <w:r w:rsidRPr="002C0D19">
        <w:rPr>
          <w:rFonts w:ascii="Arial Narrow" w:eastAsia="Calibri" w:hAnsi="Arial Narrow"/>
        </w:rPr>
        <w:t xml:space="preserve"> se entenderán automáticamente novados, con ocasión de la interposición de </w:t>
      </w:r>
      <w:r w:rsidRPr="002C0D19">
        <w:rPr>
          <w:rFonts w:ascii="Arial Narrow" w:eastAsia="Calibri" w:hAnsi="Arial Narrow"/>
          <w:b/>
        </w:rPr>
        <w:t>LA CRCC</w:t>
      </w:r>
      <w:r w:rsidRPr="002C0D19">
        <w:rPr>
          <w:rFonts w:ascii="Arial Narrow" w:eastAsia="Calibri" w:hAnsi="Arial Narrow"/>
        </w:rPr>
        <w:t xml:space="preserve"> como Contraparte, surgiendo nuevos derechos y obligaciones de y frente a ésta y extinguiéndose los que hasta ese momento existieran entre quienes hubieran celebrado la operación en su origen.</w:t>
      </w:r>
    </w:p>
    <w:p w14:paraId="34411F49" w14:textId="77777777" w:rsidR="007968EC" w:rsidRPr="002C0D19" w:rsidRDefault="007968EC" w:rsidP="00DA7472">
      <w:pPr>
        <w:numPr>
          <w:ilvl w:val="0"/>
          <w:numId w:val="295"/>
        </w:numPr>
        <w:ind w:left="426" w:hanging="426"/>
        <w:jc w:val="both"/>
        <w:rPr>
          <w:rFonts w:ascii="Arial Narrow" w:eastAsia="Calibri" w:hAnsi="Arial Narrow"/>
        </w:rPr>
      </w:pPr>
      <w:r w:rsidRPr="002C0D19">
        <w:rPr>
          <w:rFonts w:ascii="Arial Narrow" w:eastAsia="Calibri" w:hAnsi="Arial Narrow"/>
        </w:rPr>
        <w:t xml:space="preserve">Declara que las Garantías constituidas y mantenidas, con los ajustes procedentes, a favor de </w:t>
      </w:r>
      <w:r w:rsidRPr="002C0D19">
        <w:rPr>
          <w:rFonts w:ascii="Arial Narrow" w:eastAsia="Calibri" w:hAnsi="Arial Narrow"/>
          <w:b/>
        </w:rPr>
        <w:t>LA CRCC</w:t>
      </w:r>
      <w:r w:rsidRPr="002C0D19">
        <w:rPr>
          <w:rFonts w:ascii="Arial Narrow" w:eastAsia="Calibri" w:hAnsi="Arial Narrow"/>
        </w:rPr>
        <w:t xml:space="preserve">, bien sea por cuenta de </w:t>
      </w:r>
      <w:r w:rsidRPr="002C0D19">
        <w:rPr>
          <w:rFonts w:ascii="Arial Narrow" w:eastAsia="Calibri" w:hAnsi="Arial Narrow"/>
          <w:b/>
        </w:rPr>
        <w:t>EL MIEMBRO LIQUIDADOR</w:t>
      </w:r>
      <w:r w:rsidRPr="002C0D19">
        <w:rPr>
          <w:rFonts w:ascii="Arial Narrow" w:eastAsia="Calibri" w:hAnsi="Arial Narrow"/>
        </w:rPr>
        <w:t xml:space="preserve">, por cuenta de sus Terceros o, si es el caso, por sus Miembros no Liquidadores o los Terceros de estos últimos, no se verán afectadas por la novación antes referida, se mantendrán vigentes y conviene en su reserva a favor de </w:t>
      </w:r>
      <w:r w:rsidRPr="002C0D19">
        <w:rPr>
          <w:rFonts w:ascii="Arial Narrow" w:eastAsia="Calibri" w:hAnsi="Arial Narrow"/>
          <w:b/>
        </w:rPr>
        <w:t>LA CRCC</w:t>
      </w:r>
      <w:r w:rsidRPr="002C0D19">
        <w:rPr>
          <w:rFonts w:ascii="Arial Narrow" w:eastAsia="Calibri" w:hAnsi="Arial Narrow"/>
        </w:rPr>
        <w:t>.</w:t>
      </w:r>
    </w:p>
    <w:p w14:paraId="415A11A1" w14:textId="77777777" w:rsidR="007968EC" w:rsidRPr="002C0D19" w:rsidRDefault="007968EC" w:rsidP="00DA7472">
      <w:pPr>
        <w:numPr>
          <w:ilvl w:val="0"/>
          <w:numId w:val="295"/>
        </w:numPr>
        <w:ind w:left="426" w:hanging="426"/>
        <w:jc w:val="both"/>
        <w:rPr>
          <w:rFonts w:ascii="Arial Narrow" w:eastAsia="Calibri" w:hAnsi="Arial Narrow"/>
        </w:rPr>
      </w:pPr>
      <w:r w:rsidRPr="002C0D19">
        <w:rPr>
          <w:rFonts w:ascii="Arial Narrow" w:eastAsia="Calibri" w:hAnsi="Arial Narrow"/>
        </w:rPr>
        <w:t>Manifiesta que acepta expresamente el procedimiento y las consecuencias derivadas del Incumplimiento, en los términos establecidos en el Reglamento, incluidas las medidas que correspondan, así como la ejecución de Garantías en todos los Segmentos en que participe, que se contemplen en el Reglamento y en las Circulares e Instructivos Operativos.</w:t>
      </w:r>
    </w:p>
    <w:p w14:paraId="37632CB9" w14:textId="77777777" w:rsidR="007968EC" w:rsidRPr="002C0D19" w:rsidRDefault="007968EC" w:rsidP="00DA7472">
      <w:pPr>
        <w:numPr>
          <w:ilvl w:val="0"/>
          <w:numId w:val="295"/>
        </w:numPr>
        <w:ind w:left="426" w:hanging="426"/>
        <w:jc w:val="both"/>
        <w:rPr>
          <w:rFonts w:ascii="Arial Narrow" w:eastAsia="Calibri" w:hAnsi="Arial Narrow"/>
        </w:rPr>
      </w:pPr>
      <w:r w:rsidRPr="002C0D19">
        <w:rPr>
          <w:rFonts w:ascii="Arial Narrow" w:eastAsia="Calibri" w:hAnsi="Arial Narrow"/>
        </w:rPr>
        <w:t xml:space="preserve">Declara y conoce que </w:t>
      </w:r>
      <w:r w:rsidRPr="002C0D19">
        <w:rPr>
          <w:rFonts w:ascii="Arial Narrow" w:eastAsia="Calibri" w:hAnsi="Arial Narrow"/>
          <w:b/>
        </w:rPr>
        <w:t>LA CRCC</w:t>
      </w:r>
      <w:r w:rsidRPr="002C0D19">
        <w:rPr>
          <w:rFonts w:ascii="Arial Narrow" w:eastAsia="Calibri" w:hAnsi="Arial Narrow"/>
        </w:rPr>
        <w:t xml:space="preserve"> puede debitar o acreditar automáticamente las cuentas de depósito de valores de las que es titular </w:t>
      </w:r>
      <w:r w:rsidRPr="002C0D19">
        <w:rPr>
          <w:rFonts w:ascii="Arial Narrow" w:eastAsia="Calibri" w:hAnsi="Arial Narrow"/>
          <w:b/>
        </w:rPr>
        <w:t>EL AGENTE</w:t>
      </w:r>
      <w:r w:rsidRPr="002C0D19">
        <w:rPr>
          <w:rFonts w:ascii="Arial Narrow" w:eastAsia="Calibri" w:hAnsi="Arial Narrow"/>
        </w:rPr>
        <w:t xml:space="preserve"> ante los depósitos centralizados de valores, sin perjuicio de sus responsabilidades como </w:t>
      </w:r>
      <w:r w:rsidRPr="002C0D19">
        <w:rPr>
          <w:rFonts w:ascii="Arial Narrow" w:eastAsia="Calibri" w:hAnsi="Arial Narrow"/>
          <w:b/>
        </w:rPr>
        <w:t>MIEMBRO</w:t>
      </w:r>
      <w:r w:rsidRPr="002C0D19">
        <w:rPr>
          <w:rFonts w:ascii="Arial Narrow" w:eastAsia="Calibri" w:hAnsi="Arial Narrow"/>
        </w:rPr>
        <w:t>.</w:t>
      </w:r>
    </w:p>
    <w:p w14:paraId="72B789E0" w14:textId="77777777" w:rsidR="007968EC" w:rsidRPr="002C0D19" w:rsidRDefault="007968EC" w:rsidP="00DA7472">
      <w:pPr>
        <w:numPr>
          <w:ilvl w:val="0"/>
          <w:numId w:val="295"/>
        </w:numPr>
        <w:ind w:left="426" w:hanging="426"/>
        <w:jc w:val="both"/>
        <w:rPr>
          <w:rFonts w:ascii="Arial Narrow" w:eastAsia="Calibri" w:hAnsi="Arial Narrow"/>
        </w:rPr>
      </w:pPr>
      <w:r w:rsidRPr="002C0D19">
        <w:rPr>
          <w:rFonts w:ascii="Arial Narrow" w:eastAsia="Calibri" w:hAnsi="Arial Narrow"/>
        </w:rPr>
        <w:t xml:space="preserve">Declara y conoce que </w:t>
      </w:r>
      <w:r w:rsidRPr="002C0D19">
        <w:rPr>
          <w:rFonts w:ascii="Arial Narrow" w:eastAsia="Calibri" w:hAnsi="Arial Narrow"/>
          <w:b/>
        </w:rPr>
        <w:t>LA CRCC</w:t>
      </w:r>
      <w:r w:rsidRPr="002C0D19">
        <w:rPr>
          <w:rFonts w:ascii="Arial Narrow" w:eastAsia="Calibri" w:hAnsi="Arial Narrow"/>
        </w:rPr>
        <w:t xml:space="preserve"> puede debitar o acreditar automáticamente las cuentas de efectivo de las que es titular </w:t>
      </w:r>
      <w:r w:rsidRPr="002C0D19">
        <w:rPr>
          <w:rFonts w:ascii="Arial Narrow" w:eastAsia="Calibri" w:hAnsi="Arial Narrow"/>
          <w:b/>
        </w:rPr>
        <w:t>EL AGENTE</w:t>
      </w:r>
      <w:r w:rsidRPr="002C0D19">
        <w:rPr>
          <w:rFonts w:ascii="Arial Narrow" w:eastAsia="Calibri" w:hAnsi="Arial Narrow"/>
        </w:rPr>
        <w:t xml:space="preserve"> ante el Banco de la República, así como cualquier otra cuenta de efectivo que maneje para la compensación y liquidación ante </w:t>
      </w:r>
      <w:r w:rsidRPr="002C0D19">
        <w:rPr>
          <w:rFonts w:ascii="Arial Narrow" w:eastAsia="Calibri" w:hAnsi="Arial Narrow"/>
          <w:b/>
        </w:rPr>
        <w:t>LA CRCC</w:t>
      </w:r>
      <w:r w:rsidRPr="002C0D19">
        <w:rPr>
          <w:rFonts w:ascii="Arial Narrow" w:eastAsia="Calibri" w:hAnsi="Arial Narrow"/>
        </w:rPr>
        <w:t xml:space="preserve">, sin perjuicio de sus responsabilidades como </w:t>
      </w:r>
      <w:r w:rsidRPr="002C0D19">
        <w:rPr>
          <w:rFonts w:ascii="Arial Narrow" w:eastAsia="Calibri" w:hAnsi="Arial Narrow"/>
          <w:b/>
        </w:rPr>
        <w:t>MIEMBRO</w:t>
      </w:r>
      <w:r w:rsidRPr="002C0D19">
        <w:rPr>
          <w:rFonts w:ascii="Arial Narrow" w:eastAsia="Calibri" w:hAnsi="Arial Narrow"/>
        </w:rPr>
        <w:t>.</w:t>
      </w:r>
    </w:p>
    <w:p w14:paraId="063139F5" w14:textId="77777777" w:rsidR="007968EC" w:rsidRPr="002C0D19" w:rsidRDefault="007968EC" w:rsidP="00DA7472">
      <w:pPr>
        <w:numPr>
          <w:ilvl w:val="0"/>
          <w:numId w:val="295"/>
        </w:numPr>
        <w:ind w:left="426" w:hanging="426"/>
        <w:jc w:val="both"/>
        <w:rPr>
          <w:rFonts w:ascii="Arial Narrow" w:eastAsia="Calibri" w:hAnsi="Arial Narrow"/>
        </w:rPr>
      </w:pPr>
      <w:r w:rsidRPr="002C0D19">
        <w:rPr>
          <w:rFonts w:ascii="Arial Narrow" w:eastAsia="Calibri" w:hAnsi="Arial Narrow"/>
        </w:rPr>
        <w:t xml:space="preserve">Autoriza a </w:t>
      </w:r>
      <w:r w:rsidRPr="002C0D19">
        <w:rPr>
          <w:rFonts w:ascii="Arial Narrow" w:eastAsia="Calibri" w:hAnsi="Arial Narrow"/>
          <w:b/>
        </w:rPr>
        <w:t>EL AGENTE</w:t>
      </w:r>
      <w:r w:rsidRPr="002C0D19">
        <w:rPr>
          <w:rFonts w:ascii="Arial Narrow" w:eastAsia="Calibri" w:hAnsi="Arial Narrow"/>
        </w:rPr>
        <w:t xml:space="preserve"> a transmitir cualquier información sobre los Terceros del </w:t>
      </w:r>
      <w:r w:rsidRPr="002C0D19">
        <w:rPr>
          <w:rFonts w:ascii="Arial Narrow" w:eastAsia="Calibri" w:hAnsi="Arial Narrow"/>
          <w:b/>
        </w:rPr>
        <w:t>MIEMBRO LIQUIDADOR</w:t>
      </w:r>
      <w:r w:rsidRPr="002C0D19">
        <w:rPr>
          <w:rFonts w:ascii="Arial Narrow" w:eastAsia="Calibri" w:hAnsi="Arial Narrow"/>
        </w:rPr>
        <w:t xml:space="preserve">, que aquél tenga o reciba en virtud de su función como Agente, a </w:t>
      </w:r>
      <w:r w:rsidRPr="002C0D19">
        <w:rPr>
          <w:rFonts w:ascii="Arial Narrow" w:eastAsia="Calibri" w:hAnsi="Arial Narrow"/>
          <w:b/>
        </w:rPr>
        <w:t>LA CRCC</w:t>
      </w:r>
      <w:r w:rsidRPr="002C0D19">
        <w:rPr>
          <w:rFonts w:ascii="Arial Narrow" w:eastAsia="Calibri" w:hAnsi="Arial Narrow"/>
        </w:rPr>
        <w:t xml:space="preserve"> o a las autoridades u organismos competentes que se lo soliciten.</w:t>
      </w:r>
    </w:p>
    <w:p w14:paraId="29892EEB" w14:textId="77777777" w:rsidR="007968EC" w:rsidRPr="002C0D19" w:rsidRDefault="007968EC" w:rsidP="00DA7472">
      <w:pPr>
        <w:numPr>
          <w:ilvl w:val="0"/>
          <w:numId w:val="295"/>
        </w:numPr>
        <w:ind w:left="426" w:hanging="426"/>
        <w:jc w:val="both"/>
        <w:rPr>
          <w:rFonts w:ascii="Arial Narrow" w:eastAsia="Calibri" w:hAnsi="Arial Narrow"/>
        </w:rPr>
      </w:pPr>
      <w:r w:rsidRPr="002C0D19">
        <w:rPr>
          <w:rFonts w:ascii="Arial Narrow" w:eastAsia="Calibri" w:hAnsi="Arial Narrow"/>
        </w:rPr>
        <w:t xml:space="preserve">Declara que conoce y acepta que los valores entregados por los Terceros del </w:t>
      </w:r>
      <w:r w:rsidRPr="002C0D19">
        <w:rPr>
          <w:rFonts w:ascii="Arial Narrow" w:eastAsia="Calibri" w:hAnsi="Arial Narrow"/>
          <w:b/>
        </w:rPr>
        <w:t>MIEMBRO LIQUIDADOR</w:t>
      </w:r>
      <w:r w:rsidRPr="002C0D19">
        <w:rPr>
          <w:rFonts w:ascii="Arial Narrow" w:eastAsia="Calibri" w:hAnsi="Arial Narrow"/>
        </w:rPr>
        <w:t xml:space="preserve"> a </w:t>
      </w:r>
      <w:r w:rsidRPr="002C0D19">
        <w:rPr>
          <w:rFonts w:ascii="Arial Narrow" w:eastAsia="Calibri" w:hAnsi="Arial Narrow"/>
          <w:b/>
        </w:rPr>
        <w:t>EL AGENTE</w:t>
      </w:r>
      <w:r w:rsidRPr="002C0D19">
        <w:rPr>
          <w:rFonts w:ascii="Arial Narrow" w:eastAsia="Calibri" w:hAnsi="Arial Narrow"/>
        </w:rPr>
        <w:t xml:space="preserve"> están afectos a la compensación y liquidación en los términos establecidos en el Reglamento.</w:t>
      </w:r>
    </w:p>
    <w:p w14:paraId="0ED9A8B8" w14:textId="77777777" w:rsidR="007968EC" w:rsidRPr="002C0D19" w:rsidRDefault="007968EC" w:rsidP="00DA7472">
      <w:pPr>
        <w:numPr>
          <w:ilvl w:val="0"/>
          <w:numId w:val="295"/>
        </w:numPr>
        <w:ind w:left="426" w:hanging="426"/>
        <w:jc w:val="both"/>
        <w:rPr>
          <w:rFonts w:ascii="Arial Narrow" w:eastAsia="Calibri" w:hAnsi="Arial Narrow"/>
        </w:rPr>
      </w:pPr>
      <w:r w:rsidRPr="002C0D19">
        <w:rPr>
          <w:rFonts w:ascii="Arial Narrow" w:eastAsia="Calibri" w:hAnsi="Arial Narrow"/>
        </w:rPr>
        <w:t xml:space="preserve">Declara que conoce y acepta que los dineros entregados por los Terceros del </w:t>
      </w:r>
      <w:r w:rsidRPr="002C0D19">
        <w:rPr>
          <w:rFonts w:ascii="Arial Narrow" w:eastAsia="Calibri" w:hAnsi="Arial Narrow"/>
          <w:b/>
        </w:rPr>
        <w:t>MIEMBRO</w:t>
      </w:r>
      <w:r w:rsidRPr="002C0D19">
        <w:rPr>
          <w:rFonts w:ascii="Arial Narrow" w:eastAsia="Calibri" w:hAnsi="Arial Narrow"/>
        </w:rPr>
        <w:t xml:space="preserve"> a </w:t>
      </w:r>
      <w:r w:rsidRPr="002C0D19">
        <w:rPr>
          <w:rFonts w:ascii="Arial Narrow" w:eastAsia="Calibri" w:hAnsi="Arial Narrow"/>
          <w:b/>
        </w:rPr>
        <w:t>EL AGENTE</w:t>
      </w:r>
      <w:r w:rsidRPr="002C0D19">
        <w:rPr>
          <w:rFonts w:ascii="Arial Narrow" w:eastAsia="Calibri" w:hAnsi="Arial Narrow"/>
        </w:rPr>
        <w:t xml:space="preserve"> están afectos a la compensación y liquidación en los términos establecidos en el Reglamento.</w:t>
      </w:r>
    </w:p>
    <w:p w14:paraId="4F2A48ED" w14:textId="77777777" w:rsidR="007968EC" w:rsidRPr="002C0D19" w:rsidRDefault="007968EC" w:rsidP="007968EC">
      <w:pPr>
        <w:jc w:val="both"/>
        <w:rPr>
          <w:rFonts w:ascii="Arial Narrow" w:eastAsia="Calibri" w:hAnsi="Arial Narrow"/>
        </w:rPr>
      </w:pPr>
    </w:p>
    <w:p w14:paraId="243C7AC6" w14:textId="77777777" w:rsidR="007968EC" w:rsidRPr="002C0D19" w:rsidRDefault="007968EC" w:rsidP="007968EC">
      <w:pPr>
        <w:jc w:val="both"/>
        <w:rPr>
          <w:rFonts w:ascii="Arial Narrow" w:eastAsia="Calibri" w:hAnsi="Arial Narrow"/>
        </w:rPr>
      </w:pPr>
      <w:r w:rsidRPr="002C0D19">
        <w:rPr>
          <w:rFonts w:ascii="Arial Narrow" w:eastAsia="Calibri" w:hAnsi="Arial Narrow"/>
          <w:b/>
        </w:rPr>
        <w:t>Parágrafo.</w:t>
      </w:r>
      <w:r w:rsidRPr="002C0D19">
        <w:rPr>
          <w:rFonts w:ascii="Arial Narrow" w:eastAsia="Calibri" w:hAnsi="Arial Narrow"/>
        </w:rPr>
        <w:t xml:space="preserve"> Cualquier reforma que se realice al Reglamento o a las Circulares de la Cámara que implique una modificación a los términos de los acuerdos o Convenios de vinculación, Oferta de Servicios Aceptada mediante Orden de Compra de Servicios que suscriban los Miembros y estos con sus Terceros se presume </w:t>
      </w:r>
      <w:r w:rsidRPr="002C0D19">
        <w:rPr>
          <w:rFonts w:ascii="Arial Narrow" w:eastAsia="Calibri" w:hAnsi="Arial Narrow"/>
        </w:rPr>
        <w:lastRenderedPageBreak/>
        <w:t>conocida y aceptada por las partes a partir de su publicación y entrada en vigencia y no requerirá de la modificación de tales acuerdos o Convenios de vinculación, Oferta de Servicios Aceptada mediante Orden de Compra de Servicios que suscriban los Miembros y estos con sus Terceros, ni de la suscripción de nuevos Convenios. No obstante, cuando haya lugar a ello, la Cámara podrá aprobar unos nuevos textos que incorporen las modificaciones pertinentes y publicarlos mediante Circular para efecto de la vinculación de nuevos Miembros, Agentes y Terceros a través de los Miembros.</w:t>
      </w:r>
    </w:p>
    <w:p w14:paraId="3F3ECD21" w14:textId="77777777" w:rsidR="007968EC" w:rsidRPr="002C0D19" w:rsidRDefault="007968EC" w:rsidP="007968EC">
      <w:pPr>
        <w:jc w:val="both"/>
        <w:rPr>
          <w:rFonts w:ascii="Arial Narrow" w:eastAsia="Calibri" w:hAnsi="Arial Narrow"/>
        </w:rPr>
      </w:pPr>
    </w:p>
    <w:p w14:paraId="6750449A" w14:textId="77777777" w:rsidR="007968EC" w:rsidRPr="002C0D19" w:rsidRDefault="007968EC" w:rsidP="007968EC">
      <w:pPr>
        <w:jc w:val="both"/>
        <w:rPr>
          <w:rFonts w:ascii="Arial Narrow" w:eastAsia="Calibri" w:hAnsi="Arial Narrow"/>
        </w:rPr>
      </w:pPr>
      <w:r w:rsidRPr="002C0D19">
        <w:rPr>
          <w:rFonts w:ascii="Arial Narrow" w:eastAsia="Calibri" w:hAnsi="Arial Narrow"/>
          <w:b/>
          <w:u w:val="single"/>
        </w:rPr>
        <w:t>TERCERA. Obligaciones de EL AGENTE.</w:t>
      </w:r>
      <w:r w:rsidRPr="002C0D19">
        <w:rPr>
          <w:rFonts w:ascii="Arial Narrow" w:eastAsia="Calibri" w:hAnsi="Arial Narrow"/>
        </w:rPr>
        <w:t xml:space="preserve"> Sin perjuicio de las obligaciones previstas en las demás cláusulas del presente Acuerdo, en el Reglamento, en las Circulares y en los Instructivos Operativos de LA CRCC, son obligaciones principales de </w:t>
      </w:r>
      <w:r w:rsidRPr="002C0D19">
        <w:rPr>
          <w:rFonts w:ascii="Arial Narrow" w:eastAsia="Calibri" w:hAnsi="Arial Narrow"/>
          <w:b/>
        </w:rPr>
        <w:t>EL AGENTE</w:t>
      </w:r>
      <w:r w:rsidRPr="002C0D19">
        <w:rPr>
          <w:rFonts w:ascii="Arial Narrow" w:eastAsia="Calibri" w:hAnsi="Arial Narrow"/>
        </w:rPr>
        <w:t>, las siguientes:</w:t>
      </w:r>
    </w:p>
    <w:p w14:paraId="0D64AB14" w14:textId="77777777" w:rsidR="007968EC" w:rsidRPr="002C0D19" w:rsidRDefault="007968EC" w:rsidP="007968EC">
      <w:pPr>
        <w:jc w:val="both"/>
        <w:rPr>
          <w:rFonts w:ascii="Arial Narrow" w:eastAsia="Calibri" w:hAnsi="Arial Narrow"/>
        </w:rPr>
      </w:pPr>
    </w:p>
    <w:p w14:paraId="6A03DDA7" w14:textId="77777777" w:rsidR="007968EC" w:rsidRPr="002C0D19" w:rsidRDefault="007968EC" w:rsidP="00DA7472">
      <w:pPr>
        <w:numPr>
          <w:ilvl w:val="0"/>
          <w:numId w:val="296"/>
        </w:numPr>
        <w:ind w:left="426" w:hanging="426"/>
        <w:jc w:val="both"/>
        <w:rPr>
          <w:rFonts w:ascii="Arial Narrow" w:eastAsia="Calibri" w:hAnsi="Arial Narrow"/>
        </w:rPr>
      </w:pPr>
      <w:r w:rsidRPr="002C0D19">
        <w:rPr>
          <w:rFonts w:ascii="Arial Narrow" w:eastAsia="Calibri" w:hAnsi="Arial Narrow"/>
        </w:rPr>
        <w:t>Cumplir y mantener en todo momento los requisitos generales y especiales de admisión como Agente.</w:t>
      </w:r>
    </w:p>
    <w:p w14:paraId="315B4322" w14:textId="77777777" w:rsidR="007968EC" w:rsidRPr="002C0D19" w:rsidRDefault="007968EC" w:rsidP="00DA7472">
      <w:pPr>
        <w:numPr>
          <w:ilvl w:val="0"/>
          <w:numId w:val="296"/>
        </w:numPr>
        <w:ind w:left="426" w:hanging="426"/>
        <w:jc w:val="both"/>
        <w:rPr>
          <w:rFonts w:ascii="Arial Narrow" w:eastAsia="Calibri" w:hAnsi="Arial Narrow"/>
        </w:rPr>
      </w:pPr>
      <w:r w:rsidRPr="002C0D19">
        <w:rPr>
          <w:rFonts w:ascii="Arial Narrow" w:eastAsia="Calibri" w:hAnsi="Arial Narrow"/>
        </w:rPr>
        <w:t xml:space="preserve">Cumplir y hacer cumplir estrictamente a las personas vinculadas a </w:t>
      </w:r>
      <w:r w:rsidRPr="002C0D19">
        <w:rPr>
          <w:rFonts w:ascii="Arial Narrow" w:eastAsia="Calibri" w:hAnsi="Arial Narrow"/>
          <w:b/>
        </w:rPr>
        <w:t>EL AGENTE</w:t>
      </w:r>
      <w:r w:rsidRPr="002C0D19">
        <w:rPr>
          <w:rFonts w:ascii="Arial Narrow" w:eastAsia="Calibri" w:hAnsi="Arial Narrow"/>
        </w:rPr>
        <w:t xml:space="preserve">, sin restricciones ni reservas, la Ley, las instrucciones de las Autoridades Competentes, el Reglamento, las Circulares e Instructivos Operativos, el presente Acuerdo, los Convenios con los Miembros Liquidadores y todas aquellas decisiones que, en uso de sus atribuciones, adopten la Junta Directiva y/o el Gerente de </w:t>
      </w:r>
      <w:r w:rsidRPr="002C0D19">
        <w:rPr>
          <w:rFonts w:ascii="Arial Narrow" w:eastAsia="Calibri" w:hAnsi="Arial Narrow"/>
          <w:b/>
        </w:rPr>
        <w:t>LA CRCC</w:t>
      </w:r>
      <w:r w:rsidRPr="002C0D19">
        <w:rPr>
          <w:rFonts w:ascii="Arial Narrow" w:eastAsia="Calibri" w:hAnsi="Arial Narrow"/>
        </w:rPr>
        <w:t xml:space="preserve"> para reglamentar su funcionamiento, divulgadas de conformidad con el Reglamento, sin que sirva de excusa o defensa la ignorancia de dichas normas o instrucciones. Lo anterior se extiende a cualquier modificación o adición que cualquier autoridad competente pueda imponer, así como a las modificaciones que </w:t>
      </w:r>
      <w:r w:rsidRPr="002C0D19">
        <w:rPr>
          <w:rFonts w:ascii="Arial Narrow" w:eastAsia="Calibri" w:hAnsi="Arial Narrow"/>
          <w:b/>
        </w:rPr>
        <w:t>LA CRCC</w:t>
      </w:r>
      <w:r w:rsidRPr="002C0D19">
        <w:rPr>
          <w:rFonts w:ascii="Arial Narrow" w:eastAsia="Calibri" w:hAnsi="Arial Narrow"/>
        </w:rPr>
        <w:t xml:space="preserve"> pueda introducir con la autorización de la Superintendencia Financiera de Colombia.</w:t>
      </w:r>
    </w:p>
    <w:p w14:paraId="152B45AC" w14:textId="77777777" w:rsidR="007968EC" w:rsidRPr="002C0D19" w:rsidRDefault="007968EC" w:rsidP="00DA7472">
      <w:pPr>
        <w:numPr>
          <w:ilvl w:val="0"/>
          <w:numId w:val="296"/>
        </w:numPr>
        <w:ind w:left="426" w:hanging="426"/>
        <w:jc w:val="both"/>
        <w:rPr>
          <w:rFonts w:ascii="Arial Narrow" w:eastAsia="Calibri" w:hAnsi="Arial Narrow"/>
        </w:rPr>
      </w:pPr>
      <w:r w:rsidRPr="002C0D19">
        <w:rPr>
          <w:rFonts w:ascii="Arial Narrow" w:eastAsia="Calibri" w:hAnsi="Arial Narrow"/>
        </w:rPr>
        <w:t xml:space="preserve">Informar inmediatamente y por escrito a </w:t>
      </w:r>
      <w:r w:rsidRPr="002C0D19">
        <w:rPr>
          <w:rFonts w:ascii="Arial Narrow" w:eastAsia="Calibri" w:hAnsi="Arial Narrow"/>
          <w:b/>
        </w:rPr>
        <w:t>LA CRCC</w:t>
      </w:r>
      <w:r w:rsidRPr="002C0D19">
        <w:rPr>
          <w:rFonts w:ascii="Arial Narrow" w:eastAsia="Calibri" w:hAnsi="Arial Narrow"/>
        </w:rPr>
        <w:t xml:space="preserve"> sobre cualquier modificación que afecte los requisitos especiales que llevaron a su admisión como Agente.</w:t>
      </w:r>
    </w:p>
    <w:p w14:paraId="381C948D" w14:textId="77777777" w:rsidR="007968EC" w:rsidRPr="002C0D19" w:rsidRDefault="007968EC" w:rsidP="00DA7472">
      <w:pPr>
        <w:numPr>
          <w:ilvl w:val="0"/>
          <w:numId w:val="296"/>
        </w:numPr>
        <w:ind w:left="426" w:hanging="426"/>
        <w:jc w:val="both"/>
        <w:rPr>
          <w:rFonts w:ascii="Arial Narrow" w:eastAsia="Calibri" w:hAnsi="Arial Narrow"/>
        </w:rPr>
      </w:pPr>
      <w:r w:rsidRPr="002C0D19">
        <w:rPr>
          <w:rFonts w:ascii="Arial Narrow" w:eastAsia="Calibri" w:hAnsi="Arial Narrow"/>
        </w:rPr>
        <w:t xml:space="preserve">Entregar a </w:t>
      </w:r>
      <w:r w:rsidRPr="002C0D19">
        <w:rPr>
          <w:rFonts w:ascii="Arial Narrow" w:eastAsia="Calibri" w:hAnsi="Arial Narrow"/>
          <w:b/>
        </w:rPr>
        <w:t>LA CRCC</w:t>
      </w:r>
      <w:r w:rsidRPr="002C0D19">
        <w:rPr>
          <w:rFonts w:ascii="Arial Narrow" w:eastAsia="Calibri" w:hAnsi="Arial Narrow"/>
        </w:rPr>
        <w:t xml:space="preserve">, a </w:t>
      </w:r>
      <w:r w:rsidRPr="002C0D19">
        <w:rPr>
          <w:rFonts w:ascii="Arial Narrow" w:eastAsia="Calibri" w:hAnsi="Arial Narrow"/>
          <w:b/>
        </w:rPr>
        <w:t>EL MIEMBRO LIQUIDADOR</w:t>
      </w:r>
      <w:r w:rsidRPr="002C0D19">
        <w:rPr>
          <w:rFonts w:ascii="Arial Narrow" w:eastAsia="Calibri" w:hAnsi="Arial Narrow"/>
        </w:rPr>
        <w:t xml:space="preserve">, o a las Autoridades Competentes directamente, la información que se le solicite sobre los Terceros de </w:t>
      </w:r>
      <w:r w:rsidRPr="002C0D19">
        <w:rPr>
          <w:rFonts w:ascii="Arial Narrow" w:eastAsia="Calibri" w:hAnsi="Arial Narrow"/>
          <w:b/>
        </w:rPr>
        <w:t>EL MIEMBRO</w:t>
      </w:r>
      <w:r w:rsidRPr="002C0D19">
        <w:rPr>
          <w:rFonts w:ascii="Arial Narrow" w:eastAsia="Calibri" w:hAnsi="Arial Narrow"/>
        </w:rPr>
        <w:t xml:space="preserve"> </w:t>
      </w:r>
      <w:r w:rsidRPr="002C0D19">
        <w:rPr>
          <w:rFonts w:ascii="Arial Narrow" w:eastAsia="Calibri" w:hAnsi="Arial Narrow"/>
          <w:b/>
        </w:rPr>
        <w:t>LIQUIDADOR</w:t>
      </w:r>
      <w:r w:rsidRPr="002C0D19">
        <w:rPr>
          <w:rFonts w:ascii="Arial Narrow" w:eastAsia="Calibri" w:hAnsi="Arial Narrow"/>
        </w:rPr>
        <w:t xml:space="preserve">, para la atención de requerimientos que las Autoridades Competentes le hagan a </w:t>
      </w:r>
      <w:r w:rsidRPr="002C0D19">
        <w:rPr>
          <w:rFonts w:ascii="Arial Narrow" w:eastAsia="Calibri" w:hAnsi="Arial Narrow"/>
          <w:b/>
        </w:rPr>
        <w:t>LA CRCC</w:t>
      </w:r>
      <w:r w:rsidRPr="002C0D19">
        <w:rPr>
          <w:rFonts w:ascii="Arial Narrow" w:eastAsia="Calibri" w:hAnsi="Arial Narrow"/>
        </w:rPr>
        <w:t xml:space="preserve"> o a </w:t>
      </w:r>
      <w:r w:rsidRPr="002C0D19">
        <w:rPr>
          <w:rFonts w:ascii="Arial Narrow" w:eastAsia="Calibri" w:hAnsi="Arial Narrow"/>
          <w:b/>
        </w:rPr>
        <w:t>EL MIEMBRO LIQUIDADOR</w:t>
      </w:r>
      <w:r w:rsidRPr="002C0D19">
        <w:rPr>
          <w:rFonts w:ascii="Arial Narrow" w:eastAsia="Calibri" w:hAnsi="Arial Narrow"/>
        </w:rPr>
        <w:t>.</w:t>
      </w:r>
    </w:p>
    <w:p w14:paraId="3B7BC07C" w14:textId="77777777" w:rsidR="007968EC" w:rsidRPr="002C0D19" w:rsidRDefault="007968EC" w:rsidP="00DA7472">
      <w:pPr>
        <w:numPr>
          <w:ilvl w:val="0"/>
          <w:numId w:val="296"/>
        </w:numPr>
        <w:ind w:left="426" w:hanging="426"/>
        <w:jc w:val="both"/>
        <w:rPr>
          <w:rFonts w:ascii="Arial Narrow" w:eastAsia="Calibri" w:hAnsi="Arial Narrow"/>
        </w:rPr>
      </w:pPr>
      <w:r w:rsidRPr="002C0D19">
        <w:rPr>
          <w:rFonts w:ascii="Arial Narrow" w:eastAsia="Calibri" w:hAnsi="Arial Narrow"/>
        </w:rPr>
        <w:t xml:space="preserve">Tener un convenio con </w:t>
      </w:r>
      <w:r w:rsidRPr="002C0D19">
        <w:rPr>
          <w:rFonts w:ascii="Arial Narrow" w:eastAsia="Calibri" w:hAnsi="Arial Narrow"/>
          <w:b/>
        </w:rPr>
        <w:t>LA CRCC</w:t>
      </w:r>
      <w:r w:rsidRPr="002C0D19">
        <w:rPr>
          <w:rFonts w:ascii="Arial Narrow" w:eastAsia="Calibri" w:hAnsi="Arial Narrow"/>
        </w:rPr>
        <w:t>, que le autoriza a actuar en el Sistema de Compensación y Liquidación en calidad de Agente de los Terceros de los Miembros.</w:t>
      </w:r>
    </w:p>
    <w:p w14:paraId="15943808" w14:textId="77777777" w:rsidR="007968EC" w:rsidRPr="002C0D19" w:rsidRDefault="007968EC" w:rsidP="00DA7472">
      <w:pPr>
        <w:numPr>
          <w:ilvl w:val="0"/>
          <w:numId w:val="296"/>
        </w:numPr>
        <w:ind w:left="426" w:hanging="426"/>
        <w:jc w:val="both"/>
        <w:rPr>
          <w:rFonts w:ascii="Arial Narrow" w:eastAsia="Calibri" w:hAnsi="Arial Narrow"/>
        </w:rPr>
      </w:pPr>
      <w:r w:rsidRPr="002C0D19">
        <w:rPr>
          <w:rFonts w:ascii="Arial Narrow" w:eastAsia="Calibri" w:hAnsi="Arial Narrow"/>
        </w:rPr>
        <w:t xml:space="preserve">Recibir y custodiar por cuenta de los Terceros de </w:t>
      </w:r>
      <w:r w:rsidRPr="002C0D19">
        <w:rPr>
          <w:rFonts w:ascii="Arial Narrow" w:eastAsia="Calibri" w:hAnsi="Arial Narrow"/>
          <w:b/>
        </w:rPr>
        <w:t>EL MIEMBRO LIQUIDADOR</w:t>
      </w:r>
      <w:r w:rsidRPr="002C0D19">
        <w:rPr>
          <w:rFonts w:ascii="Arial Narrow" w:eastAsia="Calibri" w:hAnsi="Arial Narrow"/>
        </w:rPr>
        <w:t>, los valores y el dinero en efectivo y, si es el caso, los valores y el dinero en efectivo de los Terceros de sus Miembros no Liquidadores y de toda su estructura de cuentas.</w:t>
      </w:r>
    </w:p>
    <w:p w14:paraId="72363C5B" w14:textId="77777777" w:rsidR="007968EC" w:rsidRPr="002C0D19" w:rsidRDefault="007968EC" w:rsidP="00DA7472">
      <w:pPr>
        <w:numPr>
          <w:ilvl w:val="0"/>
          <w:numId w:val="296"/>
        </w:numPr>
        <w:ind w:left="426" w:hanging="426"/>
        <w:jc w:val="both"/>
        <w:rPr>
          <w:rFonts w:ascii="Arial Narrow" w:eastAsia="Calibri" w:hAnsi="Arial Narrow"/>
        </w:rPr>
      </w:pPr>
      <w:r w:rsidRPr="002C0D19">
        <w:rPr>
          <w:rFonts w:ascii="Arial Narrow" w:eastAsia="Calibri" w:hAnsi="Arial Narrow"/>
        </w:rPr>
        <w:t xml:space="preserve">Realizar la entrega a </w:t>
      </w:r>
      <w:r w:rsidRPr="002C0D19">
        <w:rPr>
          <w:rFonts w:ascii="Arial Narrow" w:eastAsia="Calibri" w:hAnsi="Arial Narrow"/>
          <w:b/>
        </w:rPr>
        <w:t>LA CRCC</w:t>
      </w:r>
      <w:r w:rsidRPr="002C0D19">
        <w:rPr>
          <w:rFonts w:ascii="Arial Narrow" w:eastAsia="Calibri" w:hAnsi="Arial Narrow"/>
        </w:rPr>
        <w:t xml:space="preserve"> de los valores y del dinero en efectivo recibidos por cuenta de los Terceros de </w:t>
      </w:r>
      <w:r w:rsidRPr="002C0D19">
        <w:rPr>
          <w:rFonts w:ascii="Arial Narrow" w:eastAsia="Calibri" w:hAnsi="Arial Narrow"/>
          <w:b/>
        </w:rPr>
        <w:t>EL MIEMBRO LIQUIDADOR</w:t>
      </w:r>
      <w:r w:rsidRPr="002C0D19">
        <w:rPr>
          <w:rFonts w:ascii="Arial Narrow" w:eastAsia="Calibri" w:hAnsi="Arial Narrow"/>
        </w:rPr>
        <w:t xml:space="preserve"> y, si es el caso, de sus Miembros no Liquidadores y de los Terceros de estos últimos, que lo hayan designado como Agente para cumplir con las obligaciones derivadas de la compensación y liquidación de sus cuentas, siempre y cuando exista una instrucción por parte del Tercero a </w:t>
      </w:r>
      <w:r w:rsidRPr="002C0D19">
        <w:rPr>
          <w:rFonts w:ascii="Arial Narrow" w:eastAsia="Calibri" w:hAnsi="Arial Narrow"/>
          <w:b/>
        </w:rPr>
        <w:t>EL AGENTE</w:t>
      </w:r>
      <w:r w:rsidRPr="002C0D19">
        <w:rPr>
          <w:rFonts w:ascii="Arial Narrow" w:eastAsia="Calibri" w:hAnsi="Arial Narrow"/>
        </w:rPr>
        <w:t xml:space="preserve">. Así mismo, entregar los valores y el dinero en efectivo a </w:t>
      </w:r>
      <w:r w:rsidRPr="002C0D19">
        <w:rPr>
          <w:rFonts w:ascii="Arial Narrow" w:eastAsia="Calibri" w:hAnsi="Arial Narrow"/>
          <w:b/>
        </w:rPr>
        <w:t>LA CRCC</w:t>
      </w:r>
      <w:r w:rsidRPr="002C0D19">
        <w:rPr>
          <w:rFonts w:ascii="Arial Narrow" w:eastAsia="Calibri" w:hAnsi="Arial Narrow"/>
        </w:rPr>
        <w:t xml:space="preserve"> en el evento de que ésta, en aplicación del Reglamento, se lo demande, siempre y cuando exista una instrucción por parte del Tercero a </w:t>
      </w:r>
      <w:r w:rsidRPr="002C0D19">
        <w:rPr>
          <w:rFonts w:ascii="Arial Narrow" w:eastAsia="Calibri" w:hAnsi="Arial Narrow"/>
          <w:b/>
        </w:rPr>
        <w:t>EL</w:t>
      </w:r>
      <w:r w:rsidRPr="002C0D19">
        <w:rPr>
          <w:rFonts w:ascii="Arial Narrow" w:eastAsia="Calibri" w:hAnsi="Arial Narrow"/>
        </w:rPr>
        <w:t xml:space="preserve"> </w:t>
      </w:r>
      <w:r w:rsidRPr="002C0D19">
        <w:rPr>
          <w:rFonts w:ascii="Arial Narrow" w:eastAsia="Calibri" w:hAnsi="Arial Narrow"/>
          <w:b/>
        </w:rPr>
        <w:t>AGENTE</w:t>
      </w:r>
      <w:r w:rsidRPr="002C0D19">
        <w:rPr>
          <w:rFonts w:ascii="Arial Narrow" w:eastAsia="Calibri" w:hAnsi="Arial Narrow"/>
        </w:rPr>
        <w:t>.</w:t>
      </w:r>
    </w:p>
    <w:p w14:paraId="25B66AC4" w14:textId="77777777" w:rsidR="007968EC" w:rsidRPr="002C0D19" w:rsidRDefault="007968EC" w:rsidP="00DA7472">
      <w:pPr>
        <w:numPr>
          <w:ilvl w:val="0"/>
          <w:numId w:val="296"/>
        </w:numPr>
        <w:ind w:left="426" w:hanging="426"/>
        <w:jc w:val="both"/>
        <w:rPr>
          <w:rFonts w:ascii="Arial Narrow" w:eastAsia="Calibri" w:hAnsi="Arial Narrow"/>
        </w:rPr>
      </w:pPr>
      <w:r w:rsidRPr="002C0D19">
        <w:rPr>
          <w:rFonts w:ascii="Arial Narrow" w:eastAsia="Calibri" w:hAnsi="Arial Narrow"/>
        </w:rPr>
        <w:t xml:space="preserve">Reportar a </w:t>
      </w:r>
      <w:r w:rsidRPr="002C0D19">
        <w:rPr>
          <w:rFonts w:ascii="Arial Narrow" w:eastAsia="Calibri" w:hAnsi="Arial Narrow"/>
          <w:b/>
        </w:rPr>
        <w:t>EL MIEMBRO LIQUIDADOR</w:t>
      </w:r>
      <w:r w:rsidRPr="002C0D19">
        <w:rPr>
          <w:rFonts w:ascii="Arial Narrow" w:eastAsia="Calibri" w:hAnsi="Arial Narrow"/>
        </w:rPr>
        <w:t xml:space="preserve"> el Incumplimiento de los Terceros y de los Miembros no Liquidadores, y de los Terceros de éstos, si es el caso, respecto de la entrega de los valores y/o fondos, según sea el caso, que les correspondan en virtud de las operaciones registradas en las cuentas que liquida </w:t>
      </w:r>
      <w:r w:rsidRPr="002C0D19">
        <w:rPr>
          <w:rFonts w:ascii="Arial Narrow" w:eastAsia="Calibri" w:hAnsi="Arial Narrow"/>
          <w:b/>
        </w:rPr>
        <w:t>EL MIEMBRO LIQUIDADOR</w:t>
      </w:r>
      <w:r w:rsidRPr="002C0D19">
        <w:rPr>
          <w:rFonts w:ascii="Arial Narrow" w:eastAsia="Calibri" w:hAnsi="Arial Narrow"/>
        </w:rPr>
        <w:t>.</w:t>
      </w:r>
    </w:p>
    <w:p w14:paraId="622AB6D8" w14:textId="77777777" w:rsidR="007968EC" w:rsidRPr="002C0D19" w:rsidRDefault="007968EC" w:rsidP="00DA7472">
      <w:pPr>
        <w:numPr>
          <w:ilvl w:val="0"/>
          <w:numId w:val="296"/>
        </w:numPr>
        <w:ind w:left="426" w:hanging="426"/>
        <w:jc w:val="both"/>
        <w:rPr>
          <w:rFonts w:ascii="Arial Narrow" w:eastAsia="Calibri" w:hAnsi="Arial Narrow"/>
        </w:rPr>
      </w:pPr>
      <w:r w:rsidRPr="002C0D19">
        <w:rPr>
          <w:rFonts w:ascii="Arial Narrow" w:eastAsia="Calibri" w:hAnsi="Arial Narrow"/>
        </w:rPr>
        <w:lastRenderedPageBreak/>
        <w:t xml:space="preserve">Mantener las cuentas de depósito valores y de efectivo arriba indicadas, de las que es titular </w:t>
      </w:r>
      <w:r w:rsidRPr="002C0D19">
        <w:rPr>
          <w:rFonts w:ascii="Arial Narrow" w:eastAsia="Calibri" w:hAnsi="Arial Narrow"/>
          <w:b/>
        </w:rPr>
        <w:t>EL AGENTE</w:t>
      </w:r>
      <w:r w:rsidRPr="002C0D19">
        <w:rPr>
          <w:rFonts w:ascii="Arial Narrow" w:eastAsia="Calibri" w:hAnsi="Arial Narrow"/>
        </w:rPr>
        <w:t xml:space="preserve"> ante los depósitos centralizados de valores y ante el Banco de la República.</w:t>
      </w:r>
    </w:p>
    <w:p w14:paraId="1BB56DEA" w14:textId="77777777" w:rsidR="007968EC" w:rsidRPr="002C0D19" w:rsidRDefault="007968EC" w:rsidP="00DA7472">
      <w:pPr>
        <w:numPr>
          <w:ilvl w:val="0"/>
          <w:numId w:val="296"/>
        </w:numPr>
        <w:ind w:left="426" w:hanging="426"/>
        <w:jc w:val="both"/>
        <w:rPr>
          <w:rFonts w:ascii="Arial Narrow" w:eastAsia="Calibri" w:hAnsi="Arial Narrow"/>
        </w:rPr>
      </w:pPr>
      <w:r w:rsidRPr="002C0D19">
        <w:rPr>
          <w:rFonts w:ascii="Arial Narrow" w:eastAsia="Calibri" w:hAnsi="Arial Narrow"/>
        </w:rPr>
        <w:t xml:space="preserve">Desarrollar las Actividades propias de Agente Custodio y de Pagos, cumpliendo siempre con las especificaciones técnicas y procedimientos establecidos por </w:t>
      </w:r>
      <w:r w:rsidRPr="002C0D19">
        <w:rPr>
          <w:rFonts w:ascii="Arial Narrow" w:eastAsia="Calibri" w:hAnsi="Arial Narrow"/>
          <w:b/>
        </w:rPr>
        <w:t>LA CRCC</w:t>
      </w:r>
      <w:r w:rsidRPr="002C0D19">
        <w:rPr>
          <w:rFonts w:ascii="Arial Narrow" w:eastAsia="Calibri" w:hAnsi="Arial Narrow"/>
        </w:rPr>
        <w:t>.</w:t>
      </w:r>
    </w:p>
    <w:p w14:paraId="1A465DA3" w14:textId="77777777" w:rsidR="007968EC" w:rsidRPr="002C0D19" w:rsidRDefault="007968EC" w:rsidP="007968EC">
      <w:pPr>
        <w:jc w:val="both"/>
        <w:rPr>
          <w:rFonts w:ascii="Arial Narrow" w:eastAsia="Calibri" w:hAnsi="Arial Narrow"/>
        </w:rPr>
      </w:pPr>
    </w:p>
    <w:p w14:paraId="1882EF76" w14:textId="77777777" w:rsidR="007968EC" w:rsidRPr="002C0D19" w:rsidRDefault="007968EC" w:rsidP="007968EC">
      <w:pPr>
        <w:jc w:val="both"/>
        <w:rPr>
          <w:rFonts w:ascii="Arial Narrow" w:eastAsia="Calibri" w:hAnsi="Arial Narrow"/>
        </w:rPr>
      </w:pPr>
      <w:r w:rsidRPr="002C0D19">
        <w:rPr>
          <w:rFonts w:ascii="Arial Narrow" w:eastAsia="Calibri" w:hAnsi="Arial Narrow"/>
          <w:b/>
          <w:u w:val="single"/>
        </w:rPr>
        <w:t>CUARTA. Obligaciones de EL MIEMBRO LIQUIDADOR.</w:t>
      </w:r>
      <w:r w:rsidRPr="002C0D19">
        <w:rPr>
          <w:rFonts w:ascii="Arial Narrow" w:eastAsia="Calibri" w:hAnsi="Arial Narrow"/>
        </w:rPr>
        <w:t xml:space="preserve"> Sin perjuicio de las obligaciones previstas en las demás cláusulas del presente Acuerdo, en el Reglamento, en las Circulares y en los Instructivos Operativos de </w:t>
      </w:r>
      <w:r w:rsidRPr="002C0D19">
        <w:rPr>
          <w:rFonts w:ascii="Arial Narrow" w:eastAsia="Calibri" w:hAnsi="Arial Narrow"/>
          <w:b/>
        </w:rPr>
        <w:t>LA CRCC</w:t>
      </w:r>
      <w:r w:rsidRPr="002C0D19">
        <w:rPr>
          <w:rFonts w:ascii="Arial Narrow" w:eastAsia="Calibri" w:hAnsi="Arial Narrow"/>
        </w:rPr>
        <w:t xml:space="preserve">, son obligaciones principales de </w:t>
      </w:r>
      <w:r w:rsidRPr="002C0D19">
        <w:rPr>
          <w:rFonts w:ascii="Arial Narrow" w:eastAsia="Calibri" w:hAnsi="Arial Narrow"/>
          <w:b/>
        </w:rPr>
        <w:t>EL MIEMBRO LIQUIDADOR</w:t>
      </w:r>
      <w:r w:rsidRPr="002C0D19">
        <w:rPr>
          <w:rFonts w:ascii="Arial Narrow" w:eastAsia="Calibri" w:hAnsi="Arial Narrow"/>
        </w:rPr>
        <w:t>, las siguientes:</w:t>
      </w:r>
    </w:p>
    <w:p w14:paraId="72295303" w14:textId="77777777" w:rsidR="007968EC" w:rsidRPr="002C0D19" w:rsidRDefault="007968EC" w:rsidP="007968EC">
      <w:pPr>
        <w:jc w:val="both"/>
        <w:rPr>
          <w:rFonts w:ascii="Arial Narrow" w:eastAsia="Calibri" w:hAnsi="Arial Narrow"/>
        </w:rPr>
      </w:pPr>
    </w:p>
    <w:p w14:paraId="36628F6E" w14:textId="77777777" w:rsidR="007968EC" w:rsidRPr="002C0D19" w:rsidRDefault="007968EC" w:rsidP="00DA7472">
      <w:pPr>
        <w:numPr>
          <w:ilvl w:val="0"/>
          <w:numId w:val="297"/>
        </w:numPr>
        <w:ind w:left="426" w:hanging="426"/>
        <w:jc w:val="both"/>
        <w:rPr>
          <w:rFonts w:ascii="Arial Narrow" w:eastAsia="Calibri" w:hAnsi="Arial Narrow"/>
        </w:rPr>
      </w:pPr>
      <w:r w:rsidRPr="002C0D19">
        <w:rPr>
          <w:rFonts w:ascii="Arial Narrow" w:eastAsia="Calibri" w:hAnsi="Arial Narrow"/>
        </w:rPr>
        <w:t xml:space="preserve">Vincular por cuenta de los Terceros a </w:t>
      </w:r>
      <w:r w:rsidRPr="002C0D19">
        <w:rPr>
          <w:rFonts w:ascii="Arial Narrow" w:eastAsia="Calibri" w:hAnsi="Arial Narrow"/>
          <w:b/>
        </w:rPr>
        <w:t>EL AGENTE</w:t>
      </w:r>
      <w:r w:rsidRPr="002C0D19">
        <w:rPr>
          <w:rFonts w:ascii="Arial Narrow" w:eastAsia="Calibri" w:hAnsi="Arial Narrow"/>
        </w:rPr>
        <w:t xml:space="preserve"> a través de los sistemas definidos por </w:t>
      </w:r>
      <w:r w:rsidRPr="002C0D19">
        <w:rPr>
          <w:rFonts w:ascii="Arial Narrow" w:eastAsia="Calibri" w:hAnsi="Arial Narrow"/>
          <w:b/>
        </w:rPr>
        <w:t>LA CRCC</w:t>
      </w:r>
      <w:r w:rsidRPr="002C0D19">
        <w:rPr>
          <w:rFonts w:ascii="Arial Narrow" w:eastAsia="Calibri" w:hAnsi="Arial Narrow"/>
        </w:rPr>
        <w:t>.</w:t>
      </w:r>
    </w:p>
    <w:p w14:paraId="7E2533D1" w14:textId="77777777" w:rsidR="007968EC" w:rsidRPr="002C0D19" w:rsidRDefault="007968EC" w:rsidP="00DA7472">
      <w:pPr>
        <w:numPr>
          <w:ilvl w:val="0"/>
          <w:numId w:val="297"/>
        </w:numPr>
        <w:ind w:left="426" w:hanging="426"/>
        <w:jc w:val="both"/>
        <w:rPr>
          <w:rFonts w:ascii="Arial Narrow" w:eastAsia="Calibri" w:hAnsi="Arial Narrow"/>
        </w:rPr>
      </w:pPr>
      <w:r w:rsidRPr="002C0D19">
        <w:rPr>
          <w:rFonts w:ascii="Arial Narrow" w:eastAsia="Calibri" w:hAnsi="Arial Narrow"/>
        </w:rPr>
        <w:t xml:space="preserve">Entregar por cuenta de los Terceros a </w:t>
      </w:r>
      <w:r w:rsidRPr="002C0D19">
        <w:rPr>
          <w:rFonts w:ascii="Arial Narrow" w:eastAsia="Calibri" w:hAnsi="Arial Narrow"/>
          <w:b/>
        </w:rPr>
        <w:t>EL AGENTE</w:t>
      </w:r>
      <w:r w:rsidRPr="002C0D19">
        <w:rPr>
          <w:rFonts w:ascii="Arial Narrow" w:eastAsia="Calibri" w:hAnsi="Arial Narrow"/>
        </w:rPr>
        <w:t xml:space="preserve"> los valores y los dineros necesarios para el cumplimiento de las obligaciones derivadas de la compensación y liquidación de sus Operaciones Aceptadas, y, si es el caso, de las de sus Miembros no Liquidadores y de las de los Terceros de éstos últimos, sin perjuicio de las obligaciones que le competen como </w:t>
      </w:r>
      <w:r w:rsidRPr="002C0D19">
        <w:rPr>
          <w:rFonts w:ascii="Arial Narrow" w:eastAsia="Calibri" w:hAnsi="Arial Narrow"/>
          <w:b/>
        </w:rPr>
        <w:t>MIEMBRO LIQUIDADOR</w:t>
      </w:r>
      <w:r w:rsidRPr="002C0D19">
        <w:rPr>
          <w:rFonts w:ascii="Arial Narrow" w:eastAsia="Calibri" w:hAnsi="Arial Narrow"/>
        </w:rPr>
        <w:t>.</w:t>
      </w:r>
    </w:p>
    <w:p w14:paraId="7441D65A" w14:textId="77777777" w:rsidR="007968EC" w:rsidRPr="002C0D19" w:rsidRDefault="007968EC" w:rsidP="00DA7472">
      <w:pPr>
        <w:numPr>
          <w:ilvl w:val="0"/>
          <w:numId w:val="297"/>
        </w:numPr>
        <w:ind w:left="426" w:hanging="426"/>
        <w:jc w:val="both"/>
        <w:rPr>
          <w:rFonts w:ascii="Arial Narrow" w:eastAsia="Calibri" w:hAnsi="Arial Narrow"/>
        </w:rPr>
      </w:pPr>
      <w:r w:rsidRPr="002C0D19">
        <w:rPr>
          <w:rFonts w:ascii="Arial Narrow" w:eastAsia="Calibri" w:hAnsi="Arial Narrow"/>
        </w:rPr>
        <w:t xml:space="preserve">Entregar a </w:t>
      </w:r>
      <w:r w:rsidRPr="002C0D19">
        <w:rPr>
          <w:rFonts w:ascii="Arial Narrow" w:eastAsia="Calibri" w:hAnsi="Arial Narrow"/>
          <w:b/>
        </w:rPr>
        <w:t>EL AGENTE</w:t>
      </w:r>
      <w:r w:rsidRPr="002C0D19">
        <w:rPr>
          <w:rFonts w:ascii="Arial Narrow" w:eastAsia="Calibri" w:hAnsi="Arial Narrow"/>
        </w:rPr>
        <w:t xml:space="preserve"> la información que éste solicite en cumplimiento de sus funciones.</w:t>
      </w:r>
    </w:p>
    <w:p w14:paraId="1CC93D99" w14:textId="77777777" w:rsidR="007968EC" w:rsidRPr="002C0D19" w:rsidRDefault="007968EC" w:rsidP="00DA7472">
      <w:pPr>
        <w:numPr>
          <w:ilvl w:val="0"/>
          <w:numId w:val="297"/>
        </w:numPr>
        <w:ind w:left="426" w:hanging="426"/>
        <w:jc w:val="both"/>
        <w:rPr>
          <w:rFonts w:ascii="Arial Narrow" w:eastAsia="Calibri" w:hAnsi="Arial Narrow"/>
        </w:rPr>
      </w:pPr>
      <w:r w:rsidRPr="002C0D19">
        <w:rPr>
          <w:rFonts w:ascii="Arial Narrow" w:eastAsia="Calibri" w:hAnsi="Arial Narrow"/>
        </w:rPr>
        <w:t xml:space="preserve">Entregar a </w:t>
      </w:r>
      <w:r w:rsidRPr="002C0D19">
        <w:rPr>
          <w:rFonts w:ascii="Arial Narrow" w:eastAsia="Calibri" w:hAnsi="Arial Narrow"/>
          <w:b/>
        </w:rPr>
        <w:t>EL AGENTE</w:t>
      </w:r>
      <w:r w:rsidRPr="002C0D19">
        <w:rPr>
          <w:rFonts w:ascii="Arial Narrow" w:eastAsia="Calibri" w:hAnsi="Arial Narrow"/>
        </w:rPr>
        <w:t xml:space="preserve">, a </w:t>
      </w:r>
      <w:r w:rsidRPr="002C0D19">
        <w:rPr>
          <w:rFonts w:ascii="Arial Narrow" w:eastAsia="Calibri" w:hAnsi="Arial Narrow"/>
          <w:b/>
        </w:rPr>
        <w:t>LA CRCC</w:t>
      </w:r>
      <w:r w:rsidRPr="002C0D19">
        <w:rPr>
          <w:rFonts w:ascii="Arial Narrow" w:eastAsia="Calibri" w:hAnsi="Arial Narrow"/>
        </w:rPr>
        <w:t xml:space="preserve">, o a las autoridades competentes directamente, la información que le solicite </w:t>
      </w:r>
      <w:r w:rsidRPr="002C0D19">
        <w:rPr>
          <w:rFonts w:ascii="Arial Narrow" w:eastAsia="Calibri" w:hAnsi="Arial Narrow"/>
          <w:b/>
        </w:rPr>
        <w:t>EL AGENTE</w:t>
      </w:r>
      <w:r w:rsidRPr="002C0D19">
        <w:rPr>
          <w:rFonts w:ascii="Arial Narrow" w:eastAsia="Calibri" w:hAnsi="Arial Narrow"/>
        </w:rPr>
        <w:t xml:space="preserve">, o </w:t>
      </w:r>
      <w:r w:rsidRPr="002C0D19">
        <w:rPr>
          <w:rFonts w:ascii="Arial Narrow" w:eastAsia="Calibri" w:hAnsi="Arial Narrow"/>
          <w:b/>
        </w:rPr>
        <w:t>LA CRCC</w:t>
      </w:r>
      <w:r w:rsidRPr="002C0D19">
        <w:rPr>
          <w:rFonts w:ascii="Arial Narrow" w:eastAsia="Calibri" w:hAnsi="Arial Narrow"/>
        </w:rPr>
        <w:t xml:space="preserve">, para la atención de requerimientos que las autoridades competentes le hagan a </w:t>
      </w:r>
      <w:r w:rsidRPr="002C0D19">
        <w:rPr>
          <w:rFonts w:ascii="Arial Narrow" w:eastAsia="Calibri" w:hAnsi="Arial Narrow"/>
          <w:b/>
        </w:rPr>
        <w:t>EL AGENTE</w:t>
      </w:r>
      <w:r w:rsidRPr="002C0D19">
        <w:rPr>
          <w:rFonts w:ascii="Arial Narrow" w:eastAsia="Calibri" w:hAnsi="Arial Narrow"/>
        </w:rPr>
        <w:t xml:space="preserve"> en relación con el cumplimiento de sus funciones.</w:t>
      </w:r>
    </w:p>
    <w:p w14:paraId="6F4CD6A5" w14:textId="77777777" w:rsidR="007968EC" w:rsidRPr="002C0D19" w:rsidRDefault="007968EC" w:rsidP="007968EC">
      <w:pPr>
        <w:jc w:val="both"/>
        <w:rPr>
          <w:rFonts w:ascii="Arial Narrow" w:eastAsia="Calibri" w:hAnsi="Arial Narrow"/>
        </w:rPr>
      </w:pPr>
    </w:p>
    <w:p w14:paraId="71D35D64" w14:textId="77777777" w:rsidR="007968EC" w:rsidRPr="002C0D19" w:rsidRDefault="007968EC" w:rsidP="007968EC">
      <w:pPr>
        <w:jc w:val="both"/>
        <w:rPr>
          <w:rFonts w:ascii="Arial Narrow" w:eastAsia="Calibri" w:hAnsi="Arial Narrow"/>
        </w:rPr>
      </w:pPr>
      <w:r w:rsidRPr="002C0D19">
        <w:rPr>
          <w:rFonts w:ascii="Arial Narrow" w:eastAsia="Calibri" w:hAnsi="Arial Narrow"/>
          <w:b/>
          <w:u w:val="single"/>
        </w:rPr>
        <w:t>QUINTA. Vigencia.</w:t>
      </w:r>
      <w:r w:rsidRPr="002C0D19">
        <w:rPr>
          <w:rFonts w:ascii="Arial Narrow" w:eastAsia="Calibri" w:hAnsi="Arial Narrow"/>
        </w:rPr>
        <w:t xml:space="preserve"> El presente Acuerdo estará vigente en forma indefinida. No obstante lo anterior y sin perjuicio de lo dispuesto en el Reglamento, las partes podrán terminar en cualquier tiempo el presente Acuerdo, mediante la entrega a la otra parte de un aviso escrito en tal sentido, remitida con no menos de treinta (30) días calendario de anticipación al día hábil en el cual desea que dicha terminación tenga efecto.</w:t>
      </w:r>
    </w:p>
    <w:p w14:paraId="54B2C36E" w14:textId="77777777" w:rsidR="007968EC" w:rsidRPr="002C0D19" w:rsidRDefault="007968EC" w:rsidP="007968EC">
      <w:pPr>
        <w:jc w:val="both"/>
        <w:rPr>
          <w:rFonts w:ascii="Arial Narrow" w:eastAsia="Calibri" w:hAnsi="Arial Narrow"/>
        </w:rPr>
      </w:pPr>
    </w:p>
    <w:p w14:paraId="690047C6" w14:textId="77777777" w:rsidR="007968EC" w:rsidRPr="002C0D19" w:rsidRDefault="007968EC" w:rsidP="007968EC">
      <w:pPr>
        <w:jc w:val="both"/>
        <w:rPr>
          <w:rFonts w:ascii="Arial Narrow" w:eastAsia="Calibri" w:hAnsi="Arial Narrow"/>
        </w:rPr>
      </w:pPr>
      <w:r w:rsidRPr="002C0D19">
        <w:rPr>
          <w:rFonts w:ascii="Arial Narrow" w:eastAsia="Calibri" w:hAnsi="Arial Narrow"/>
        </w:rPr>
        <w:t>Igualmente, habrá lugar a la terminación unilateral si se presenta un incumplimiento de alguna de las obligaciones a cargo de una de las partes.</w:t>
      </w:r>
    </w:p>
    <w:p w14:paraId="4ACE5796" w14:textId="77777777" w:rsidR="007968EC" w:rsidRPr="002C0D19" w:rsidRDefault="007968EC" w:rsidP="007968EC">
      <w:pPr>
        <w:jc w:val="both"/>
        <w:rPr>
          <w:rFonts w:ascii="Arial Narrow" w:eastAsia="Calibri" w:hAnsi="Arial Narrow"/>
        </w:rPr>
      </w:pPr>
    </w:p>
    <w:p w14:paraId="6902FB78" w14:textId="77777777" w:rsidR="007968EC" w:rsidRPr="002C0D19" w:rsidRDefault="007968EC" w:rsidP="007968EC">
      <w:pPr>
        <w:jc w:val="both"/>
        <w:rPr>
          <w:rFonts w:ascii="Arial Narrow" w:eastAsia="Calibri" w:hAnsi="Arial Narrow"/>
        </w:rPr>
      </w:pPr>
      <w:r w:rsidRPr="002C0D19">
        <w:rPr>
          <w:rFonts w:ascii="Arial Narrow" w:eastAsia="Calibri" w:hAnsi="Arial Narrow"/>
        </w:rPr>
        <w:t xml:space="preserve">La terminación del presente Acuerdo deberá informarse a </w:t>
      </w:r>
      <w:r w:rsidRPr="002C0D19">
        <w:rPr>
          <w:rFonts w:ascii="Arial Narrow" w:eastAsia="Calibri" w:hAnsi="Arial Narrow"/>
          <w:b/>
        </w:rPr>
        <w:t>LA CRCC</w:t>
      </w:r>
      <w:r w:rsidRPr="002C0D19">
        <w:rPr>
          <w:rFonts w:ascii="Arial Narrow" w:eastAsia="Calibri" w:hAnsi="Arial Narrow"/>
        </w:rPr>
        <w:t xml:space="preserve"> con la misma anticipación en que deba informarse o se informe a la otra parte.</w:t>
      </w:r>
    </w:p>
    <w:p w14:paraId="32760C9A" w14:textId="77777777" w:rsidR="007968EC" w:rsidRPr="002C0D19" w:rsidRDefault="007968EC" w:rsidP="007968EC">
      <w:pPr>
        <w:jc w:val="both"/>
        <w:rPr>
          <w:rFonts w:ascii="Arial Narrow" w:eastAsia="Calibri" w:hAnsi="Arial Narrow"/>
        </w:rPr>
      </w:pPr>
    </w:p>
    <w:p w14:paraId="75CE39E6" w14:textId="77777777" w:rsidR="007968EC" w:rsidRPr="002C0D19" w:rsidRDefault="007968EC" w:rsidP="007968EC">
      <w:pPr>
        <w:jc w:val="both"/>
        <w:rPr>
          <w:rFonts w:ascii="Arial Narrow" w:eastAsia="Calibri" w:hAnsi="Arial Narrow"/>
        </w:rPr>
      </w:pPr>
      <w:r w:rsidRPr="002C0D19">
        <w:rPr>
          <w:rFonts w:ascii="Arial Narrow" w:eastAsia="Calibri" w:hAnsi="Arial Narrow"/>
          <w:b/>
          <w:u w:val="single"/>
        </w:rPr>
        <w:t>SEXTA. Cesión y subcontratación.</w:t>
      </w:r>
      <w:r w:rsidRPr="002C0D19">
        <w:rPr>
          <w:rFonts w:ascii="Arial Narrow" w:eastAsia="Calibri" w:hAnsi="Arial Narrow"/>
        </w:rPr>
        <w:t xml:space="preserve"> Las partes no podrán ceder ni subcontratar total o parcialmente el presente Acuerdo, antes o después de ser aceptada.</w:t>
      </w:r>
    </w:p>
    <w:p w14:paraId="0390111D" w14:textId="77777777" w:rsidR="007968EC" w:rsidRPr="002C0D19" w:rsidRDefault="007968EC" w:rsidP="007968EC">
      <w:pPr>
        <w:jc w:val="both"/>
        <w:rPr>
          <w:rFonts w:ascii="Arial Narrow" w:eastAsia="Calibri" w:hAnsi="Arial Narrow"/>
        </w:rPr>
      </w:pPr>
    </w:p>
    <w:p w14:paraId="48ED3005" w14:textId="77777777" w:rsidR="007968EC" w:rsidRPr="002C0D19" w:rsidRDefault="007968EC" w:rsidP="007968EC">
      <w:pPr>
        <w:jc w:val="both"/>
        <w:rPr>
          <w:rFonts w:ascii="Arial Narrow" w:eastAsia="Calibri" w:hAnsi="Arial Narrow"/>
        </w:rPr>
      </w:pPr>
      <w:r w:rsidRPr="002C0D19">
        <w:rPr>
          <w:rFonts w:ascii="Arial Narrow" w:eastAsia="Calibri" w:hAnsi="Arial Narrow"/>
          <w:b/>
        </w:rPr>
        <w:t xml:space="preserve">CLÁUSULA OPTATIVA </w:t>
      </w:r>
      <w:r w:rsidRPr="002C0D19">
        <w:rPr>
          <w:rFonts w:ascii="Arial Narrow" w:eastAsia="Calibri" w:hAnsi="Arial Narrow"/>
          <w:b/>
          <w:u w:val="single"/>
        </w:rPr>
        <w:t>SÉPTIMA. Cláusula Compromisoria.</w:t>
      </w:r>
      <w:r w:rsidRPr="002C0D19">
        <w:rPr>
          <w:rFonts w:ascii="Arial Narrow" w:eastAsia="Calibri" w:hAnsi="Arial Narrow"/>
        </w:rPr>
        <w:t xml:space="preserve"> Todas las diferencias que ocurran entre las partes con ocasión del presente Acuerdo, y que no puedan solucionarse por acuerdo directo entre ellas, en un plazo que no podrá exceder de dos (2) meses contados a partir de la fecha del evento que generó la diferencia, serán resueltas por un Tribunal de Arbitramento. Cuando la cuantía de las pretensiones supere los mil (1000) salarios mínimos legales mensuales vigentes en Colombia, el Tribunal de Arbitramento estará conformado por tres (3) árbitros, los cuales serán designados por las partes dentro de los quince (15) días hábiles siguientes al vencimiento del plazo de dos (2) meses de acuerdo directo, o a falta de acuerdo, mediante sorteo entre los árbitros inscritos en el Centro de Arbitraje y Conciliación de la Cámara de Comercio de Bogotá. En caso de que la cuantía de las pretensiones sea igual o inferior a mil (1000) salarios mínimos legales mensuales vigentes en Colombia, el Tribunal de Arbitramento estará conformado por un (1) árbitro, </w:t>
      </w:r>
      <w:r w:rsidRPr="002C0D19">
        <w:rPr>
          <w:rFonts w:ascii="Arial Narrow" w:eastAsia="Calibri" w:hAnsi="Arial Narrow"/>
        </w:rPr>
        <w:lastRenderedPageBreak/>
        <w:t>el cual será designado por las partes dentro de los quince (15) días hábiles siguientes al vencimiento del plazo de dos (2) meses de acuerdo directo, o a falta de acuerdo, por sorteo entre los árbitros inscritos en el Centro de Arbitraje y Conciliación de la Cámara de Comercio de Bogotá. El o los árbitros designados serán Abogados inscritos y fallarán en derecho. El Tribunal de Arbitramento tendrá sede en la ciudad de Bogotá y se regirá por las leyes colombianas.</w:t>
      </w:r>
    </w:p>
    <w:p w14:paraId="4E580948" w14:textId="77777777" w:rsidR="007968EC" w:rsidRPr="002C0D19" w:rsidRDefault="007968EC" w:rsidP="007968EC">
      <w:pPr>
        <w:jc w:val="both"/>
        <w:rPr>
          <w:rFonts w:ascii="Arial Narrow" w:eastAsia="Calibri" w:hAnsi="Arial Narrow"/>
        </w:rPr>
      </w:pPr>
    </w:p>
    <w:p w14:paraId="2268E45A" w14:textId="77777777" w:rsidR="007968EC" w:rsidRPr="002C0D19" w:rsidRDefault="007968EC" w:rsidP="007968EC">
      <w:pPr>
        <w:jc w:val="both"/>
        <w:rPr>
          <w:rFonts w:ascii="Arial Narrow" w:eastAsia="Calibri" w:hAnsi="Arial Narrow"/>
        </w:rPr>
      </w:pPr>
      <w:r w:rsidRPr="002C0D19">
        <w:rPr>
          <w:rFonts w:ascii="Arial Narrow" w:eastAsia="Calibri" w:hAnsi="Arial Narrow"/>
          <w:b/>
          <w:u w:val="single"/>
        </w:rPr>
        <w:t>OCTAVA. Notificaciones.</w:t>
      </w:r>
      <w:r w:rsidRPr="002C0D19">
        <w:rPr>
          <w:rFonts w:ascii="Arial Narrow" w:eastAsia="Calibri" w:hAnsi="Arial Narrow"/>
        </w:rPr>
        <w:t xml:space="preserve"> Todas las notificaciones y comunicaciones relacionadas con el presente Acuerdo se harán por escrito y se enviarán a las siguientes direcciones:</w:t>
      </w:r>
    </w:p>
    <w:p w14:paraId="2D0D1854" w14:textId="77777777" w:rsidR="007968EC" w:rsidRPr="002C0D19" w:rsidRDefault="007968EC" w:rsidP="007968EC">
      <w:pPr>
        <w:jc w:val="both"/>
        <w:rPr>
          <w:rFonts w:ascii="Arial Narrow" w:eastAsia="Calibri" w:hAnsi="Arial Narrow"/>
        </w:rPr>
      </w:pPr>
    </w:p>
    <w:p w14:paraId="6A6B1ADE" w14:textId="77777777" w:rsidR="007968EC" w:rsidRPr="002C0D19" w:rsidRDefault="007968EC" w:rsidP="007968EC">
      <w:pPr>
        <w:jc w:val="both"/>
        <w:rPr>
          <w:rFonts w:ascii="Arial Narrow" w:eastAsia="Calibri" w:hAnsi="Arial Narrow"/>
          <w:b/>
        </w:rPr>
      </w:pPr>
      <w:r w:rsidRPr="002C0D19">
        <w:rPr>
          <w:rFonts w:ascii="Arial Narrow" w:eastAsia="Calibri" w:hAnsi="Arial Narrow"/>
          <w:b/>
        </w:rPr>
        <w:t>EL MIEMBRO LIQUIDADOR:</w:t>
      </w:r>
    </w:p>
    <w:p w14:paraId="29F29403" w14:textId="77777777" w:rsidR="007968EC" w:rsidRPr="002C0D19" w:rsidRDefault="007968EC" w:rsidP="007968EC">
      <w:pPr>
        <w:ind w:left="2160" w:firstLine="720"/>
        <w:jc w:val="both"/>
        <w:rPr>
          <w:rFonts w:ascii="Arial Narrow" w:eastAsia="Calibri" w:hAnsi="Arial Narrow"/>
        </w:rPr>
      </w:pPr>
      <w:r w:rsidRPr="002C0D19">
        <w:rPr>
          <w:rFonts w:ascii="Arial Narrow" w:eastAsia="Calibri" w:hAnsi="Arial Narrow"/>
        </w:rPr>
        <w:t>Fax:</w:t>
      </w:r>
    </w:p>
    <w:p w14:paraId="5A24F701" w14:textId="77777777" w:rsidR="007968EC" w:rsidRPr="002C0D19" w:rsidRDefault="007968EC" w:rsidP="007968EC">
      <w:pPr>
        <w:ind w:left="2160" w:firstLine="720"/>
        <w:jc w:val="both"/>
        <w:rPr>
          <w:rFonts w:ascii="Arial Narrow" w:eastAsia="Calibri" w:hAnsi="Arial Narrow"/>
        </w:rPr>
      </w:pPr>
      <w:r w:rsidRPr="002C0D19">
        <w:rPr>
          <w:rFonts w:ascii="Arial Narrow" w:eastAsia="Calibri" w:hAnsi="Arial Narrow"/>
        </w:rPr>
        <w:t>Dirección:</w:t>
      </w:r>
    </w:p>
    <w:p w14:paraId="5724B8E1" w14:textId="77777777" w:rsidR="007968EC" w:rsidRPr="002C0D19" w:rsidRDefault="007968EC" w:rsidP="007968EC">
      <w:pPr>
        <w:ind w:left="2160" w:firstLine="720"/>
        <w:jc w:val="both"/>
        <w:rPr>
          <w:rFonts w:ascii="Arial Narrow" w:eastAsia="Calibri" w:hAnsi="Arial Narrow"/>
        </w:rPr>
      </w:pPr>
      <w:r w:rsidRPr="002C0D19">
        <w:rPr>
          <w:rFonts w:ascii="Arial Narrow" w:eastAsia="Calibri" w:hAnsi="Arial Narrow"/>
        </w:rPr>
        <w:t>Ciudad:</w:t>
      </w:r>
    </w:p>
    <w:p w14:paraId="36D56F93" w14:textId="77777777" w:rsidR="007968EC" w:rsidRPr="002C0D19" w:rsidRDefault="007968EC" w:rsidP="007968EC">
      <w:pPr>
        <w:ind w:left="2160" w:firstLine="720"/>
        <w:jc w:val="both"/>
        <w:rPr>
          <w:rFonts w:ascii="Arial Narrow" w:eastAsia="Calibri" w:hAnsi="Arial Narrow"/>
        </w:rPr>
      </w:pPr>
    </w:p>
    <w:p w14:paraId="35261A18" w14:textId="77777777" w:rsidR="007968EC" w:rsidRPr="002C0D19" w:rsidRDefault="007968EC" w:rsidP="007968EC">
      <w:pPr>
        <w:jc w:val="both"/>
        <w:rPr>
          <w:rFonts w:ascii="Arial Narrow" w:eastAsia="Calibri" w:hAnsi="Arial Narrow"/>
          <w:b/>
        </w:rPr>
      </w:pPr>
      <w:r w:rsidRPr="002C0D19">
        <w:rPr>
          <w:rFonts w:ascii="Arial Narrow" w:eastAsia="Calibri" w:hAnsi="Arial Narrow"/>
          <w:b/>
        </w:rPr>
        <w:t>EL AGENTE:</w:t>
      </w:r>
    </w:p>
    <w:p w14:paraId="11C3CD55" w14:textId="77777777" w:rsidR="007968EC" w:rsidRPr="002C0D19" w:rsidRDefault="007968EC" w:rsidP="007968EC">
      <w:pPr>
        <w:ind w:left="2160" w:firstLine="720"/>
        <w:jc w:val="both"/>
        <w:rPr>
          <w:rFonts w:ascii="Arial Narrow" w:eastAsia="Calibri" w:hAnsi="Arial Narrow"/>
        </w:rPr>
      </w:pPr>
      <w:r w:rsidRPr="002C0D19">
        <w:rPr>
          <w:rFonts w:ascii="Arial Narrow" w:eastAsia="Calibri" w:hAnsi="Arial Narrow"/>
        </w:rPr>
        <w:t>Fax:</w:t>
      </w:r>
    </w:p>
    <w:p w14:paraId="1FA8FBB7" w14:textId="77777777" w:rsidR="007968EC" w:rsidRPr="002C0D19" w:rsidRDefault="007968EC" w:rsidP="007968EC">
      <w:pPr>
        <w:ind w:left="2160" w:firstLine="720"/>
        <w:jc w:val="both"/>
        <w:rPr>
          <w:rFonts w:ascii="Arial Narrow" w:eastAsia="Calibri" w:hAnsi="Arial Narrow"/>
        </w:rPr>
      </w:pPr>
      <w:r w:rsidRPr="002C0D19">
        <w:rPr>
          <w:rFonts w:ascii="Arial Narrow" w:eastAsia="Calibri" w:hAnsi="Arial Narrow"/>
        </w:rPr>
        <w:t>Dirección:</w:t>
      </w:r>
    </w:p>
    <w:p w14:paraId="30CD5A0C" w14:textId="77777777" w:rsidR="007968EC" w:rsidRPr="002C0D19" w:rsidRDefault="007968EC" w:rsidP="007968EC">
      <w:pPr>
        <w:ind w:left="2160" w:firstLine="720"/>
        <w:jc w:val="both"/>
        <w:rPr>
          <w:rFonts w:ascii="Arial Narrow" w:eastAsia="Calibri" w:hAnsi="Arial Narrow"/>
        </w:rPr>
      </w:pPr>
      <w:r w:rsidRPr="002C0D19">
        <w:rPr>
          <w:rFonts w:ascii="Arial Narrow" w:eastAsia="Calibri" w:hAnsi="Arial Narrow"/>
        </w:rPr>
        <w:t>Ciudad:</w:t>
      </w:r>
    </w:p>
    <w:p w14:paraId="51044B89" w14:textId="77777777" w:rsidR="007968EC" w:rsidRPr="002C0D19" w:rsidRDefault="007968EC" w:rsidP="007968EC">
      <w:pPr>
        <w:ind w:left="2160" w:firstLine="720"/>
        <w:jc w:val="both"/>
        <w:rPr>
          <w:rFonts w:ascii="Arial Narrow" w:eastAsia="Calibri" w:hAnsi="Arial Narrow"/>
        </w:rPr>
      </w:pPr>
    </w:p>
    <w:p w14:paraId="2CD2A40F" w14:textId="77777777" w:rsidR="007968EC" w:rsidRPr="002C0D19" w:rsidRDefault="007968EC" w:rsidP="007968EC">
      <w:pPr>
        <w:jc w:val="both"/>
        <w:rPr>
          <w:rFonts w:ascii="Arial Narrow" w:eastAsia="Calibri" w:hAnsi="Arial Narrow"/>
        </w:rPr>
      </w:pPr>
      <w:r w:rsidRPr="002C0D19">
        <w:rPr>
          <w:rFonts w:ascii="Arial Narrow" w:eastAsia="Calibri" w:hAnsi="Arial Narrow"/>
          <w:b/>
        </w:rPr>
        <w:t>NOVENA. Contraprestación.</w:t>
      </w:r>
      <w:r w:rsidRPr="002C0D19">
        <w:rPr>
          <w:rFonts w:ascii="Arial Narrow" w:eastAsia="Calibri" w:hAnsi="Arial Narrow"/>
        </w:rPr>
        <w:t xml:space="preserve"> Este Acuerdo no genera ninguna contraprestación económica a cargo ni a favor de las partes.</w:t>
      </w:r>
    </w:p>
    <w:p w14:paraId="27EC8C66" w14:textId="77777777" w:rsidR="007968EC" w:rsidRPr="002C0D19" w:rsidRDefault="007968EC" w:rsidP="007968EC">
      <w:pPr>
        <w:jc w:val="both"/>
        <w:rPr>
          <w:rFonts w:ascii="Arial Narrow" w:eastAsia="Calibri" w:hAnsi="Arial Narrow"/>
        </w:rPr>
      </w:pPr>
    </w:p>
    <w:p w14:paraId="38D2DA54" w14:textId="77777777" w:rsidR="007968EC" w:rsidRPr="002C0D19" w:rsidRDefault="007968EC" w:rsidP="007968EC">
      <w:pPr>
        <w:jc w:val="both"/>
        <w:rPr>
          <w:rFonts w:ascii="Arial Narrow" w:eastAsia="Calibri" w:hAnsi="Arial Narrow"/>
        </w:rPr>
      </w:pPr>
      <w:r w:rsidRPr="002C0D19">
        <w:rPr>
          <w:rFonts w:ascii="Arial Narrow" w:eastAsia="Calibri" w:hAnsi="Arial Narrow"/>
        </w:rPr>
        <w:t>Para constancia, se firma en Bogotá D.C., el día ______________ (____) del mes de _____________ del</w:t>
      </w:r>
    </w:p>
    <w:p w14:paraId="0C0EA7FA" w14:textId="77777777" w:rsidR="007968EC" w:rsidRPr="002C0D19" w:rsidRDefault="007968EC" w:rsidP="007968EC">
      <w:pPr>
        <w:jc w:val="both"/>
        <w:rPr>
          <w:rFonts w:ascii="Arial Narrow" w:eastAsia="Calibri" w:hAnsi="Arial Narrow"/>
        </w:rPr>
      </w:pPr>
      <w:r w:rsidRPr="002C0D19">
        <w:rPr>
          <w:rFonts w:ascii="Arial Narrow" w:eastAsia="Calibri" w:hAnsi="Arial Narrow"/>
        </w:rPr>
        <w:t>año dos mil ___________ (____).</w:t>
      </w:r>
    </w:p>
    <w:p w14:paraId="294EE508" w14:textId="77777777" w:rsidR="007968EC" w:rsidRPr="002C0D19" w:rsidRDefault="007968EC" w:rsidP="007968EC">
      <w:pPr>
        <w:jc w:val="both"/>
        <w:rPr>
          <w:rFonts w:ascii="Arial Narrow" w:eastAsia="Calibri" w:hAnsi="Arial Narrow"/>
        </w:rPr>
      </w:pPr>
    </w:p>
    <w:p w14:paraId="52B53B1F" w14:textId="77777777" w:rsidR="007968EC" w:rsidRPr="002C0D19" w:rsidRDefault="007968EC" w:rsidP="007968EC">
      <w:pPr>
        <w:jc w:val="both"/>
        <w:rPr>
          <w:rFonts w:ascii="Arial Narrow" w:eastAsia="Calibri" w:hAnsi="Arial Narrow"/>
        </w:rPr>
      </w:pPr>
    </w:p>
    <w:p w14:paraId="0DA9FE97" w14:textId="77777777" w:rsidR="007968EC" w:rsidRPr="002C0D19" w:rsidRDefault="007968EC" w:rsidP="007968EC">
      <w:pPr>
        <w:jc w:val="both"/>
        <w:rPr>
          <w:rFonts w:ascii="Arial Narrow" w:eastAsia="Calibri" w:hAnsi="Arial Narrow"/>
          <w:b/>
        </w:rPr>
      </w:pPr>
      <w:r w:rsidRPr="002C0D19">
        <w:rPr>
          <w:rFonts w:ascii="Arial Narrow" w:eastAsia="Calibri" w:hAnsi="Arial Narrow"/>
          <w:b/>
        </w:rPr>
        <w:t>AGENTE,</w:t>
      </w:r>
    </w:p>
    <w:p w14:paraId="4D9890AA" w14:textId="77777777" w:rsidR="007968EC" w:rsidRPr="002C0D19" w:rsidRDefault="007968EC" w:rsidP="007968EC">
      <w:pPr>
        <w:jc w:val="both"/>
        <w:rPr>
          <w:rFonts w:ascii="Arial Narrow" w:eastAsia="Calibri" w:hAnsi="Arial Narrow"/>
        </w:rPr>
      </w:pPr>
    </w:p>
    <w:p w14:paraId="70F2B13B" w14:textId="77777777" w:rsidR="007968EC" w:rsidRPr="002C0D19" w:rsidRDefault="007968EC" w:rsidP="007968EC">
      <w:pPr>
        <w:jc w:val="both"/>
        <w:rPr>
          <w:rFonts w:ascii="Arial Narrow" w:eastAsia="Calibri" w:hAnsi="Arial Narrow"/>
        </w:rPr>
      </w:pPr>
      <w:r w:rsidRPr="002C0D19">
        <w:rPr>
          <w:rFonts w:ascii="Arial Narrow" w:eastAsia="Calibri" w:hAnsi="Arial Narrow"/>
        </w:rPr>
        <w:t>Por: ________________________________</w:t>
      </w:r>
    </w:p>
    <w:p w14:paraId="29861EB8" w14:textId="77777777" w:rsidR="007968EC" w:rsidRPr="002C0D19" w:rsidRDefault="007968EC" w:rsidP="007968EC">
      <w:pPr>
        <w:jc w:val="both"/>
        <w:rPr>
          <w:rFonts w:ascii="Arial Narrow" w:eastAsia="Calibri" w:hAnsi="Arial Narrow"/>
        </w:rPr>
      </w:pPr>
      <w:r w:rsidRPr="002C0D19">
        <w:rPr>
          <w:rFonts w:ascii="Arial Narrow" w:eastAsia="Calibri" w:hAnsi="Arial Narrow"/>
        </w:rPr>
        <w:t>Nombre:</w:t>
      </w:r>
    </w:p>
    <w:p w14:paraId="19553D1B" w14:textId="77777777" w:rsidR="007968EC" w:rsidRPr="002C0D19" w:rsidRDefault="007968EC" w:rsidP="007968EC">
      <w:pPr>
        <w:jc w:val="both"/>
        <w:rPr>
          <w:rFonts w:ascii="Arial Narrow" w:eastAsia="Calibri" w:hAnsi="Arial Narrow"/>
        </w:rPr>
      </w:pPr>
      <w:r w:rsidRPr="002C0D19">
        <w:rPr>
          <w:rFonts w:ascii="Arial Narrow" w:eastAsia="Calibri" w:hAnsi="Arial Narrow"/>
        </w:rPr>
        <w:t>Cargo:</w:t>
      </w:r>
    </w:p>
    <w:p w14:paraId="7615FA7D" w14:textId="77777777" w:rsidR="007968EC" w:rsidRPr="002C0D19" w:rsidRDefault="007968EC" w:rsidP="007968EC">
      <w:pPr>
        <w:jc w:val="both"/>
        <w:rPr>
          <w:rFonts w:ascii="Arial Narrow" w:eastAsia="Calibri" w:hAnsi="Arial Narrow"/>
        </w:rPr>
      </w:pPr>
      <w:r w:rsidRPr="002C0D19">
        <w:rPr>
          <w:rFonts w:ascii="Arial Narrow" w:eastAsia="Calibri" w:hAnsi="Arial Narrow"/>
        </w:rPr>
        <w:t>C.C.</w:t>
      </w:r>
    </w:p>
    <w:p w14:paraId="44378AC4" w14:textId="77777777" w:rsidR="007968EC" w:rsidRPr="002C0D19" w:rsidRDefault="007968EC" w:rsidP="007968EC">
      <w:pPr>
        <w:jc w:val="both"/>
        <w:rPr>
          <w:rFonts w:ascii="Arial Narrow" w:eastAsia="Calibri" w:hAnsi="Arial Narrow"/>
        </w:rPr>
      </w:pPr>
    </w:p>
    <w:p w14:paraId="21D356B3" w14:textId="77777777" w:rsidR="007968EC" w:rsidRPr="002C0D19" w:rsidRDefault="007968EC" w:rsidP="007968EC">
      <w:pPr>
        <w:jc w:val="both"/>
        <w:rPr>
          <w:rFonts w:ascii="Arial Narrow" w:eastAsia="Calibri" w:hAnsi="Arial Narrow"/>
        </w:rPr>
      </w:pPr>
    </w:p>
    <w:p w14:paraId="43B1CE2B" w14:textId="77777777" w:rsidR="007968EC" w:rsidRPr="002C0D19" w:rsidRDefault="007968EC" w:rsidP="007968EC">
      <w:pPr>
        <w:jc w:val="both"/>
        <w:rPr>
          <w:rFonts w:ascii="Arial Narrow" w:eastAsia="Calibri" w:hAnsi="Arial Narrow"/>
          <w:b/>
        </w:rPr>
      </w:pPr>
      <w:r w:rsidRPr="002C0D19">
        <w:rPr>
          <w:rFonts w:ascii="Arial Narrow" w:eastAsia="Calibri" w:hAnsi="Arial Narrow"/>
          <w:b/>
        </w:rPr>
        <w:t>MIEMBRO LIQUIDADOR,</w:t>
      </w:r>
    </w:p>
    <w:p w14:paraId="173F29DB" w14:textId="77777777" w:rsidR="007968EC" w:rsidRPr="002C0D19" w:rsidRDefault="007968EC" w:rsidP="007968EC">
      <w:pPr>
        <w:jc w:val="both"/>
        <w:rPr>
          <w:rFonts w:ascii="Arial Narrow" w:eastAsia="Calibri" w:hAnsi="Arial Narrow"/>
        </w:rPr>
      </w:pPr>
    </w:p>
    <w:p w14:paraId="6D356F0D" w14:textId="77777777" w:rsidR="007968EC" w:rsidRPr="002C0D19" w:rsidRDefault="007968EC" w:rsidP="007968EC">
      <w:pPr>
        <w:jc w:val="both"/>
        <w:rPr>
          <w:rFonts w:ascii="Arial Narrow" w:eastAsia="Calibri" w:hAnsi="Arial Narrow"/>
        </w:rPr>
      </w:pPr>
      <w:r w:rsidRPr="002C0D19">
        <w:rPr>
          <w:rFonts w:ascii="Arial Narrow" w:eastAsia="Calibri" w:hAnsi="Arial Narrow"/>
        </w:rPr>
        <w:t>Por: ________________________________</w:t>
      </w:r>
    </w:p>
    <w:p w14:paraId="35F24447" w14:textId="77777777" w:rsidR="007968EC" w:rsidRPr="002C0D19" w:rsidRDefault="007968EC" w:rsidP="007968EC">
      <w:pPr>
        <w:jc w:val="both"/>
        <w:rPr>
          <w:rFonts w:ascii="Arial Narrow" w:eastAsia="Calibri" w:hAnsi="Arial Narrow"/>
        </w:rPr>
      </w:pPr>
      <w:r w:rsidRPr="002C0D19">
        <w:rPr>
          <w:rFonts w:ascii="Arial Narrow" w:eastAsia="Calibri" w:hAnsi="Arial Narrow"/>
        </w:rPr>
        <w:t>Nombre:</w:t>
      </w:r>
    </w:p>
    <w:p w14:paraId="2A3229B1" w14:textId="77777777" w:rsidR="007968EC" w:rsidRPr="002C0D19" w:rsidRDefault="007968EC" w:rsidP="007968EC">
      <w:pPr>
        <w:jc w:val="both"/>
        <w:rPr>
          <w:rFonts w:ascii="Arial Narrow" w:eastAsia="Calibri" w:hAnsi="Arial Narrow"/>
        </w:rPr>
      </w:pPr>
      <w:r w:rsidRPr="002C0D19">
        <w:rPr>
          <w:rFonts w:ascii="Arial Narrow" w:eastAsia="Calibri" w:hAnsi="Arial Narrow"/>
        </w:rPr>
        <w:t>Cargo:</w:t>
      </w:r>
    </w:p>
    <w:p w14:paraId="6176333B" w14:textId="77777777" w:rsidR="007968EC" w:rsidRPr="002C0D19" w:rsidRDefault="007968EC" w:rsidP="007968EC">
      <w:pPr>
        <w:rPr>
          <w:rFonts w:ascii="Arial Narrow" w:hAnsi="Arial Narrow" w:cs="Arial"/>
          <w:b/>
          <w:color w:val="000000" w:themeColor="text1"/>
          <w:lang w:val="es-ES" w:eastAsia="es-ES"/>
        </w:rPr>
      </w:pPr>
      <w:r w:rsidRPr="002C0D19">
        <w:rPr>
          <w:rFonts w:ascii="Arial Narrow" w:eastAsia="Calibri" w:hAnsi="Arial Narrow"/>
        </w:rPr>
        <w:t>C.C.</w:t>
      </w:r>
    </w:p>
    <w:p w14:paraId="0E9846AA" w14:textId="77777777" w:rsidR="007968EC" w:rsidRPr="002C0D19" w:rsidRDefault="007968EC" w:rsidP="007968EC">
      <w:pPr>
        <w:jc w:val="center"/>
        <w:rPr>
          <w:rFonts w:ascii="Arial Narrow" w:hAnsi="Arial Narrow" w:cs="Arial"/>
          <w:b/>
          <w:color w:val="000000" w:themeColor="text1"/>
          <w:lang w:val="es-ES" w:eastAsia="es-ES"/>
        </w:rPr>
      </w:pPr>
    </w:p>
    <w:p w14:paraId="02DB8E46" w14:textId="77777777" w:rsidR="007968EC" w:rsidRPr="002C0D19" w:rsidRDefault="007968EC" w:rsidP="007968EC">
      <w:pPr>
        <w:jc w:val="center"/>
        <w:rPr>
          <w:rFonts w:ascii="Arial Narrow" w:hAnsi="Arial Narrow" w:cs="Arial"/>
          <w:b/>
          <w:color w:val="000000" w:themeColor="text1"/>
          <w:lang w:val="es-ES" w:eastAsia="es-ES"/>
        </w:rPr>
      </w:pPr>
    </w:p>
    <w:p w14:paraId="3BEDD4D8" w14:textId="77777777" w:rsidR="007968EC" w:rsidRPr="002C0D19" w:rsidRDefault="007968EC" w:rsidP="007968EC">
      <w:pPr>
        <w:rPr>
          <w:rFonts w:ascii="Arial Narrow" w:hAnsi="Arial Narrow" w:cs="Arial"/>
          <w:b/>
          <w:color w:val="000000" w:themeColor="text1"/>
          <w:lang w:val="es-ES" w:eastAsia="es-ES"/>
        </w:rPr>
      </w:pPr>
    </w:p>
    <w:p w14:paraId="2E0B2BE7" w14:textId="77777777" w:rsidR="007968EC" w:rsidRPr="002C0D19" w:rsidRDefault="007968EC" w:rsidP="007968EC">
      <w:pPr>
        <w:pStyle w:val="TTULO"/>
        <w:rPr>
          <w:lang w:val="es-ES"/>
        </w:rPr>
      </w:pPr>
      <w:bookmarkStart w:id="6586" w:name="_Toc31716616"/>
      <w:r w:rsidRPr="002C0D19">
        <w:rPr>
          <w:lang w:val="es-ES"/>
        </w:rPr>
        <w:lastRenderedPageBreak/>
        <w:t>ANEXO 23</w:t>
      </w:r>
      <w:bookmarkEnd w:id="6586"/>
    </w:p>
    <w:p w14:paraId="7DA007B1" w14:textId="77777777" w:rsidR="007968EC" w:rsidRPr="002C0D19" w:rsidRDefault="007968EC" w:rsidP="007968EC">
      <w:pPr>
        <w:pStyle w:val="TTULO"/>
        <w:rPr>
          <w:lang w:val="es-ES"/>
        </w:rPr>
      </w:pPr>
    </w:p>
    <w:p w14:paraId="7F541C24" w14:textId="77777777" w:rsidR="007968EC" w:rsidRPr="00991BD9" w:rsidRDefault="007968EC" w:rsidP="007968EC">
      <w:pPr>
        <w:jc w:val="center"/>
        <w:rPr>
          <w:rFonts w:ascii="Arial Narrow" w:hAnsi="Arial Narrow" w:cs="Arial"/>
          <w:b/>
          <w:color w:val="000000" w:themeColor="text1"/>
          <w:lang w:val="es-ES" w:eastAsia="es-ES"/>
        </w:rPr>
      </w:pPr>
      <w:r w:rsidRPr="00991BD9">
        <w:rPr>
          <w:rFonts w:ascii="Arial Narrow" w:hAnsi="Arial Narrow" w:cs="Arial"/>
          <w:b/>
          <w:color w:val="000000" w:themeColor="text1"/>
          <w:lang w:val="es-ES" w:eastAsia="es-ES"/>
        </w:rPr>
        <w:t xml:space="preserve">FORMATO CON CONDICIONES MÍNIMAS PARA LA OFERTA DE SERVICIOS DE UN MIEMBRO LIQUIDADOR GENERAL A UN MIEMBRO NO LIQUIDADOR </w:t>
      </w:r>
    </w:p>
    <w:p w14:paraId="58C8813F" w14:textId="77777777" w:rsidR="007968EC" w:rsidRPr="002C0D19" w:rsidRDefault="007968EC" w:rsidP="007968EC">
      <w:pPr>
        <w:jc w:val="center"/>
        <w:rPr>
          <w:rFonts w:ascii="Arial Narrow" w:hAnsi="Arial Narrow" w:cs="Arial"/>
          <w:b/>
          <w:color w:val="000000" w:themeColor="text1"/>
          <w:lang w:val="es-ES" w:eastAsia="es-ES"/>
        </w:rPr>
      </w:pPr>
    </w:p>
    <w:p w14:paraId="1F132495" w14:textId="77777777" w:rsidR="007968EC" w:rsidRPr="002C0D19" w:rsidRDefault="007968EC" w:rsidP="007968EC">
      <w:pPr>
        <w:rPr>
          <w:rFonts w:ascii="Arial Narrow" w:hAnsi="Arial Narrow" w:cs="Arial"/>
          <w:b/>
          <w:i/>
          <w:color w:val="000000" w:themeColor="text1"/>
          <w:lang w:val="es-ES" w:eastAsia="es-ES"/>
        </w:rPr>
      </w:pPr>
    </w:p>
    <w:p w14:paraId="3C6F21AD" w14:textId="77777777" w:rsidR="007968EC" w:rsidRPr="002C0D19" w:rsidRDefault="007968EC" w:rsidP="007968EC">
      <w:pPr>
        <w:jc w:val="center"/>
        <w:rPr>
          <w:rFonts w:ascii="Arial Narrow" w:hAnsi="Arial Narrow" w:cs="Arial"/>
          <w:b/>
          <w:bCs/>
          <w:color w:val="000000" w:themeColor="text1"/>
          <w:lang w:eastAsia="es-ES"/>
        </w:rPr>
      </w:pPr>
      <w:r w:rsidRPr="002C0D19">
        <w:rPr>
          <w:rFonts w:ascii="Arial Narrow" w:hAnsi="Arial Narrow" w:cs="Arial"/>
          <w:b/>
          <w:bCs/>
          <w:color w:val="000000" w:themeColor="text1"/>
          <w:lang w:eastAsia="es-ES"/>
        </w:rPr>
        <w:t xml:space="preserve">OFERTA DE SERVICIOS PARA QUE UN MIEMBRO LIQUIDADOR GENERAL LIQUIDE OPERACIONES DE UN </w:t>
      </w:r>
      <w:r w:rsidRPr="002C0D19">
        <w:rPr>
          <w:rFonts w:ascii="Arial Narrow" w:hAnsi="Arial Narrow" w:cs="Arial"/>
          <w:b/>
          <w:bCs/>
          <w:color w:val="000000" w:themeColor="text1"/>
          <w:lang w:val="es-ES" w:eastAsia="es-ES"/>
        </w:rPr>
        <w:t xml:space="preserve">MIEMBRO NO LIQUIDADOR </w:t>
      </w:r>
      <w:r w:rsidRPr="002C0D19">
        <w:rPr>
          <w:rFonts w:ascii="Arial Narrow" w:hAnsi="Arial Narrow" w:cs="Arial"/>
          <w:b/>
          <w:bCs/>
          <w:color w:val="000000" w:themeColor="text1"/>
          <w:lang w:eastAsia="es-ES"/>
        </w:rPr>
        <w:t xml:space="preserve">ANTE LA CÁMARA DE RIESGO CENTRAL DE CONTRAPARTE DE COLOMBIA S.A. – CRCC S.A. </w:t>
      </w:r>
    </w:p>
    <w:p w14:paraId="0E6BB082" w14:textId="77777777" w:rsidR="007968EC" w:rsidRPr="002C0D19" w:rsidRDefault="007968EC" w:rsidP="007968EC">
      <w:pPr>
        <w:jc w:val="center"/>
        <w:rPr>
          <w:rFonts w:ascii="Arial Narrow" w:hAnsi="Arial Narrow" w:cs="Arial"/>
          <w:color w:val="000000" w:themeColor="text1"/>
          <w:lang w:val="es-MX" w:eastAsia="es-ES"/>
        </w:rPr>
      </w:pPr>
    </w:p>
    <w:p w14:paraId="545F29B7"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Esta Oferta de Servicios para </w:t>
      </w:r>
      <w:r w:rsidRPr="002C0D19">
        <w:rPr>
          <w:rFonts w:ascii="Arial Narrow" w:hAnsi="Arial Narrow" w:cs="Arial"/>
          <w:bCs/>
          <w:color w:val="000000" w:themeColor="text1"/>
          <w:lang w:eastAsia="es-ES"/>
        </w:rPr>
        <w:t>que</w:t>
      </w:r>
      <w:r w:rsidRPr="002C0D19">
        <w:rPr>
          <w:rFonts w:ascii="Arial Narrow" w:hAnsi="Arial Narrow" w:cs="Arial"/>
          <w:b/>
          <w:bCs/>
          <w:color w:val="000000" w:themeColor="text1"/>
          <w:lang w:eastAsia="es-ES"/>
        </w:rPr>
        <w:t xml:space="preserve"> </w:t>
      </w:r>
      <w:r w:rsidRPr="002C0D19">
        <w:rPr>
          <w:rFonts w:ascii="Arial Narrow" w:hAnsi="Arial Narrow" w:cs="Arial"/>
          <w:bCs/>
          <w:color w:val="000000" w:themeColor="text1"/>
          <w:lang w:eastAsia="es-ES"/>
        </w:rPr>
        <w:t>un</w:t>
      </w:r>
      <w:r w:rsidRPr="002C0D19">
        <w:rPr>
          <w:rFonts w:ascii="Arial Narrow" w:hAnsi="Arial Narrow" w:cs="Arial"/>
          <w:b/>
          <w:bCs/>
          <w:color w:val="000000" w:themeColor="text1"/>
          <w:lang w:eastAsia="es-ES"/>
        </w:rPr>
        <w:t xml:space="preserve"> MIEMBRO LIQUIDADOR GENERAL </w:t>
      </w:r>
      <w:r w:rsidRPr="002C0D19">
        <w:rPr>
          <w:rFonts w:ascii="Arial Narrow" w:hAnsi="Arial Narrow" w:cs="Arial"/>
          <w:bCs/>
          <w:color w:val="000000" w:themeColor="text1"/>
          <w:lang w:eastAsia="es-ES"/>
        </w:rPr>
        <w:t xml:space="preserve">liquide operaciones de un </w:t>
      </w:r>
      <w:r w:rsidRPr="002C0D19">
        <w:rPr>
          <w:rFonts w:ascii="Arial Narrow" w:hAnsi="Arial Narrow" w:cs="Arial"/>
          <w:b/>
          <w:bCs/>
          <w:color w:val="000000" w:themeColor="text1"/>
          <w:lang w:val="es-ES" w:eastAsia="es-ES"/>
        </w:rPr>
        <w:t xml:space="preserve">MIEMBRO NO LIQUIDADOR </w:t>
      </w:r>
      <w:r w:rsidRPr="002C0D19">
        <w:rPr>
          <w:rFonts w:ascii="Arial Narrow" w:hAnsi="Arial Narrow" w:cs="Arial"/>
          <w:color w:val="000000" w:themeColor="text1"/>
          <w:lang w:val="es-ES" w:eastAsia="es-ES"/>
        </w:rPr>
        <w:t xml:space="preserve">ante la Cámara de Riesgo Central de Contraparte de Colombia S.A. – CRCC S.A., en adelante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se somete por </w:t>
      </w:r>
      <w:r w:rsidRPr="002C0D19">
        <w:rPr>
          <w:rFonts w:ascii="Arial Narrow" w:hAnsi="Arial Narrow" w:cs="Arial"/>
          <w:b/>
          <w:bCs/>
          <w:color w:val="000000" w:themeColor="text1"/>
          <w:lang w:val="es-ES" w:eastAsia="es-ES"/>
        </w:rPr>
        <w:t>_____________________</w:t>
      </w:r>
      <w:r w:rsidRPr="002C0D19">
        <w:rPr>
          <w:rFonts w:ascii="Arial Narrow" w:hAnsi="Arial Narrow" w:cs="Arial"/>
          <w:color w:val="000000" w:themeColor="text1"/>
          <w:lang w:val="es-ES" w:eastAsia="es-ES"/>
        </w:rPr>
        <w:t xml:space="preserve">, en adelante </w:t>
      </w:r>
      <w:r w:rsidRPr="002C0D19">
        <w:rPr>
          <w:rFonts w:ascii="Arial Narrow" w:hAnsi="Arial Narrow" w:cs="Arial"/>
          <w:b/>
          <w:bCs/>
          <w:color w:val="000000" w:themeColor="text1"/>
          <w:lang w:val="es-ES" w:eastAsia="es-ES"/>
        </w:rPr>
        <w:t>EL MIEMBRO LIQUIDADOR GENERAL,</w:t>
      </w:r>
      <w:r w:rsidRPr="002C0D19">
        <w:rPr>
          <w:rFonts w:ascii="Arial Narrow" w:hAnsi="Arial Narrow" w:cs="Arial"/>
          <w:color w:val="000000" w:themeColor="text1"/>
          <w:lang w:val="es-ES" w:eastAsia="es-ES"/>
        </w:rPr>
        <w:t xml:space="preserve"> a consideración de _________________, en adelante </w:t>
      </w:r>
      <w:r w:rsidRPr="002C0D19">
        <w:rPr>
          <w:rFonts w:ascii="Arial Narrow" w:hAnsi="Arial Narrow" w:cs="Arial"/>
          <w:b/>
          <w:bCs/>
          <w:color w:val="000000" w:themeColor="text1"/>
          <w:lang w:val="es-ES" w:eastAsia="es-ES"/>
        </w:rPr>
        <w:t>EL MIEMBRO NO LIQUIDADOR</w:t>
      </w:r>
      <w:r w:rsidRPr="002C0D19">
        <w:rPr>
          <w:rFonts w:ascii="Arial Narrow" w:hAnsi="Arial Narrow" w:cs="Arial"/>
          <w:color w:val="000000" w:themeColor="text1"/>
          <w:lang w:val="es-ES" w:eastAsia="es-ES"/>
        </w:rPr>
        <w:t>.</w:t>
      </w:r>
    </w:p>
    <w:p w14:paraId="61D03E0D" w14:textId="77777777" w:rsidR="007968EC" w:rsidRPr="002C0D19" w:rsidRDefault="007968EC" w:rsidP="007968EC">
      <w:pPr>
        <w:jc w:val="both"/>
        <w:rPr>
          <w:rFonts w:ascii="Arial Narrow" w:hAnsi="Arial Narrow" w:cs="Arial"/>
          <w:color w:val="000000" w:themeColor="text1"/>
          <w:lang w:val="es-ES" w:eastAsia="es-ES"/>
        </w:rPr>
      </w:pPr>
    </w:p>
    <w:p w14:paraId="0CE95A22" w14:textId="77777777" w:rsidR="007968EC" w:rsidRPr="002C0D19" w:rsidRDefault="007968EC" w:rsidP="007968EC">
      <w:pPr>
        <w:jc w:val="center"/>
        <w:rPr>
          <w:rFonts w:ascii="Arial Narrow" w:hAnsi="Arial Narrow" w:cs="Arial"/>
          <w:b/>
          <w:bCs/>
          <w:iCs/>
          <w:color w:val="000000" w:themeColor="text1"/>
          <w:lang w:val="es-ES" w:eastAsia="es-ES"/>
        </w:rPr>
      </w:pPr>
      <w:r w:rsidRPr="002C0D19">
        <w:rPr>
          <w:rFonts w:ascii="Arial Narrow" w:hAnsi="Arial Narrow" w:cs="Arial"/>
          <w:b/>
          <w:bCs/>
          <w:iCs/>
          <w:color w:val="000000" w:themeColor="text1"/>
          <w:lang w:val="es-ES" w:eastAsia="es-ES"/>
        </w:rPr>
        <w:t>TÉRMINOS Y CONDICIONES DE LA OFERTA</w:t>
      </w:r>
    </w:p>
    <w:p w14:paraId="6F3382EB" w14:textId="77777777" w:rsidR="007968EC" w:rsidRPr="002C0D19" w:rsidRDefault="007968EC" w:rsidP="007968EC">
      <w:pPr>
        <w:jc w:val="center"/>
        <w:rPr>
          <w:rFonts w:ascii="Arial Narrow" w:hAnsi="Arial Narrow" w:cs="Arial"/>
          <w:b/>
          <w:bCs/>
          <w:color w:val="000000" w:themeColor="text1"/>
          <w:lang w:val="es-ES" w:eastAsia="es-ES"/>
        </w:rPr>
      </w:pPr>
    </w:p>
    <w:p w14:paraId="263276E5"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es-ES" w:eastAsia="es-ES"/>
        </w:rPr>
        <w:t>PRIMERA. Objeto.</w:t>
      </w:r>
      <w:r w:rsidRPr="002C0D19">
        <w:rPr>
          <w:rFonts w:ascii="Arial Narrow" w:hAnsi="Arial Narrow" w:cs="Arial"/>
          <w:color w:val="000000" w:themeColor="text1"/>
          <w:lang w:val="es-ES" w:eastAsia="es-ES"/>
        </w:rPr>
        <w:t xml:space="preserve"> En virtud de la aceptación de la presente Oferta de Servicios, </w:t>
      </w:r>
      <w:r w:rsidRPr="002C0D19">
        <w:rPr>
          <w:rFonts w:ascii="Arial Narrow" w:hAnsi="Arial Narrow" w:cs="Arial"/>
          <w:b/>
          <w:color w:val="000000" w:themeColor="text1"/>
          <w:lang w:val="es-ES" w:eastAsia="es-ES"/>
        </w:rPr>
        <w:t xml:space="preserve">EL MIEMBRO LIQUIDADOR GENERAL </w:t>
      </w:r>
      <w:r w:rsidRPr="002C0D19">
        <w:rPr>
          <w:rFonts w:ascii="Arial Narrow" w:hAnsi="Arial Narrow" w:cs="Arial"/>
          <w:color w:val="000000" w:themeColor="text1"/>
          <w:lang w:val="es-ES" w:eastAsia="es-ES"/>
        </w:rPr>
        <w:t>se compromete a</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 xml:space="preserve">liquidar las Operaciones Aceptadas por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que realice</w:t>
      </w:r>
      <w:r w:rsidRPr="002C0D19">
        <w:rPr>
          <w:rFonts w:ascii="Arial Narrow" w:hAnsi="Arial Narrow" w:cs="Arial"/>
          <w:b/>
          <w:color w:val="000000" w:themeColor="text1"/>
          <w:lang w:val="es-ES" w:eastAsia="es-ES"/>
        </w:rPr>
        <w:t xml:space="preserve"> EL MIEMBRO NO LIQUIDADOR</w:t>
      </w:r>
      <w:r w:rsidRPr="002C0D19">
        <w:rPr>
          <w:rFonts w:ascii="Arial Narrow" w:hAnsi="Arial Narrow" w:cs="Arial"/>
          <w:color w:val="000000" w:themeColor="text1"/>
          <w:lang w:val="es-ES" w:eastAsia="es-ES"/>
        </w:rPr>
        <w:t xml:space="preserve">, ya sea por cuenta propia o por cuenta de Terceros, en una bolsa, en un sistema de negociación, en el mercado mostrador o en cualquier otro mecanismo autorizado de conformidad con los términos y condiciones establecidos en el Reglamento de Funcionamiento de la CRCC S.A., en adelante el “Reglamento”. </w:t>
      </w:r>
    </w:p>
    <w:p w14:paraId="7907FD0A" w14:textId="77777777" w:rsidR="007968EC" w:rsidRPr="002C0D19" w:rsidRDefault="007968EC" w:rsidP="007968EC">
      <w:pPr>
        <w:jc w:val="both"/>
        <w:rPr>
          <w:rFonts w:ascii="Arial Narrow" w:hAnsi="Arial Narrow" w:cs="Arial"/>
          <w:color w:val="000000" w:themeColor="text1"/>
          <w:lang w:val="es-ES" w:eastAsia="es-ES"/>
        </w:rPr>
      </w:pPr>
    </w:p>
    <w:p w14:paraId="42835E45"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El </w:t>
      </w:r>
      <w:r w:rsidRPr="002C0D19">
        <w:rPr>
          <w:rFonts w:ascii="Arial Narrow" w:hAnsi="Arial Narrow" w:cs="Arial"/>
          <w:b/>
          <w:color w:val="000000" w:themeColor="text1"/>
          <w:lang w:val="es-ES" w:eastAsia="es-ES"/>
        </w:rPr>
        <w:t>MIEMBRO LIQUIDADOR GENERAL</w:t>
      </w:r>
      <w:r w:rsidRPr="002C0D19">
        <w:rPr>
          <w:rFonts w:ascii="Arial Narrow" w:hAnsi="Arial Narrow" w:cs="Arial"/>
          <w:color w:val="000000" w:themeColor="text1"/>
          <w:lang w:val="es-ES" w:eastAsia="es-ES"/>
        </w:rPr>
        <w:t xml:space="preserve"> podrá celebrar convenios de este tipo con varios Miembros no Liquidadores y, a su vez, </w:t>
      </w:r>
      <w:r w:rsidRPr="002C0D19">
        <w:rPr>
          <w:rFonts w:ascii="Arial Narrow" w:hAnsi="Arial Narrow" w:cs="Arial"/>
          <w:b/>
          <w:color w:val="000000" w:themeColor="text1"/>
          <w:lang w:val="es-ES" w:eastAsia="es-ES"/>
        </w:rPr>
        <w:t>EL MIEMBRO NO LIQUIDADOR</w:t>
      </w:r>
      <w:r w:rsidRPr="002C0D19">
        <w:rPr>
          <w:rFonts w:ascii="Arial Narrow" w:hAnsi="Arial Narrow" w:cs="Arial"/>
          <w:color w:val="000000" w:themeColor="text1"/>
          <w:lang w:val="es-ES" w:eastAsia="es-ES"/>
        </w:rPr>
        <w:t xml:space="preserve"> podrá celebrar convenios de este tipo con varios Miembros Liquidadores Generales. </w:t>
      </w:r>
    </w:p>
    <w:p w14:paraId="44C45DCD" w14:textId="77777777" w:rsidR="007968EC" w:rsidRPr="002C0D19" w:rsidRDefault="007968EC" w:rsidP="007968EC">
      <w:pPr>
        <w:jc w:val="both"/>
        <w:rPr>
          <w:rFonts w:ascii="Arial Narrow" w:hAnsi="Arial Narrow" w:cs="Arial"/>
          <w:color w:val="000000" w:themeColor="text1"/>
          <w:lang w:val="es-ES" w:eastAsia="es-ES"/>
        </w:rPr>
      </w:pPr>
    </w:p>
    <w:p w14:paraId="3C4F480E"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 w:eastAsia="es-ES"/>
        </w:rPr>
        <w:t xml:space="preserve">PARÁGRAFO. </w:t>
      </w:r>
      <w:r w:rsidRPr="002C0D19">
        <w:rPr>
          <w:rFonts w:ascii="Arial Narrow" w:hAnsi="Arial Narrow" w:cs="Arial"/>
          <w:color w:val="000000" w:themeColor="text1"/>
          <w:lang w:val="es-ES" w:eastAsia="es-ES"/>
        </w:rPr>
        <w:t xml:space="preserve">Los términos que se utilizan en esta Oferta de Servicios cuya primera letra sea una mayúscula y que no se encuentren expresamente definidos en esta Oferta, tendrán el significado que se les atribuye en el Reglamento.  </w:t>
      </w:r>
    </w:p>
    <w:p w14:paraId="488C1EF9" w14:textId="77777777" w:rsidR="007968EC" w:rsidRPr="002C0D19" w:rsidRDefault="007968EC" w:rsidP="007968EC">
      <w:pPr>
        <w:jc w:val="both"/>
        <w:rPr>
          <w:rFonts w:ascii="Arial Narrow" w:hAnsi="Arial Narrow" w:cs="Arial"/>
          <w:color w:val="000000" w:themeColor="text1"/>
          <w:lang w:val="es-ES" w:eastAsia="es-ES"/>
        </w:rPr>
      </w:pPr>
    </w:p>
    <w:p w14:paraId="428D00C9" w14:textId="77777777" w:rsidR="007968EC" w:rsidRPr="002C0D19" w:rsidRDefault="007968EC" w:rsidP="007968EC">
      <w:pPr>
        <w:jc w:val="both"/>
        <w:rPr>
          <w:rFonts w:ascii="Arial Narrow" w:hAnsi="Arial Narrow" w:cs="Arial"/>
          <w:b/>
          <w:color w:val="000000" w:themeColor="text1"/>
          <w:lang w:val="es-ES" w:eastAsia="es-ES"/>
        </w:rPr>
      </w:pPr>
      <w:r w:rsidRPr="002C0D19">
        <w:rPr>
          <w:rFonts w:ascii="Arial Narrow" w:hAnsi="Arial Narrow" w:cs="Arial"/>
          <w:b/>
          <w:color w:val="000000" w:themeColor="text1"/>
          <w:u w:val="single"/>
          <w:lang w:val="es-ES" w:eastAsia="es-ES"/>
        </w:rPr>
        <w:t>SEGUNDA. Declaraciones, Manifestaciones y Autorizaciones.</w:t>
      </w:r>
      <w:r w:rsidRPr="002C0D19">
        <w:rPr>
          <w:rFonts w:ascii="Arial Narrow" w:hAnsi="Arial Narrow" w:cs="Arial"/>
          <w:color w:val="000000" w:themeColor="text1"/>
          <w:lang w:val="es-ES" w:eastAsia="es-ES"/>
        </w:rPr>
        <w:t xml:space="preserve"> Mediante la aceptación de la presente Oferta </w:t>
      </w:r>
      <w:r w:rsidRPr="002C0D19">
        <w:rPr>
          <w:rFonts w:ascii="Arial Narrow" w:hAnsi="Arial Narrow" w:cs="Arial"/>
          <w:b/>
          <w:color w:val="000000" w:themeColor="text1"/>
          <w:lang w:val="es-ES" w:eastAsia="es-ES"/>
        </w:rPr>
        <w:t>EL MIEMBRO NO LIQUIDADOR:</w:t>
      </w:r>
    </w:p>
    <w:p w14:paraId="3664000D" w14:textId="77777777" w:rsidR="007968EC" w:rsidRPr="002C0D19" w:rsidRDefault="007968EC" w:rsidP="007968EC">
      <w:pPr>
        <w:jc w:val="both"/>
        <w:rPr>
          <w:rFonts w:ascii="Arial Narrow" w:hAnsi="Arial Narrow" w:cs="Arial"/>
          <w:color w:val="000000" w:themeColor="text1"/>
          <w:lang w:val="es-ES" w:eastAsia="es-ES"/>
        </w:rPr>
      </w:pPr>
    </w:p>
    <w:p w14:paraId="3562D52E" w14:textId="77777777" w:rsidR="007968EC" w:rsidRPr="002C0D19" w:rsidRDefault="007968EC" w:rsidP="00DA7472">
      <w:pPr>
        <w:numPr>
          <w:ilvl w:val="0"/>
          <w:numId w:val="46"/>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Declara expresamente conocer y aceptar en su integridad el Reglamento, las Circulares y los Instructivos Operativos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los cuales se consideran parte integral de la presente Oferta de Servicios. </w:t>
      </w:r>
    </w:p>
    <w:p w14:paraId="2B99131D" w14:textId="77777777" w:rsidR="007968EC" w:rsidRPr="002C0D19" w:rsidRDefault="007968EC" w:rsidP="00DA7472">
      <w:pPr>
        <w:numPr>
          <w:ilvl w:val="0"/>
          <w:numId w:val="46"/>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Declara conocer la reglamentación de las bolsas, sistemas de negociación y mercado mostrador en donde se transen los Activos Compensados y Liquidados a través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w:t>
      </w:r>
    </w:p>
    <w:p w14:paraId="2A7F0B5D" w14:textId="77777777" w:rsidR="007968EC" w:rsidRPr="002C0D19" w:rsidRDefault="007968EC" w:rsidP="00DA7472">
      <w:pPr>
        <w:numPr>
          <w:ilvl w:val="0"/>
          <w:numId w:val="46"/>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Manifiesta y acepta que en lo no previsto expresamente en la presente Oferta, se aplicará lo dispuesto en el Reglamento.</w:t>
      </w:r>
    </w:p>
    <w:p w14:paraId="66E3C1BB" w14:textId="77777777" w:rsidR="007968EC" w:rsidRPr="002C0D19" w:rsidRDefault="007968EC" w:rsidP="00DA7472">
      <w:pPr>
        <w:numPr>
          <w:ilvl w:val="0"/>
          <w:numId w:val="46"/>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lastRenderedPageBreak/>
        <w:t xml:space="preserve">Manifiesta que cumple con las condiciones y requisitos establecidos en el Reglamento para ser Miembro No Liquidador ante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w:t>
      </w:r>
    </w:p>
    <w:p w14:paraId="4A8BFFB2" w14:textId="77777777" w:rsidR="007968EC" w:rsidRPr="002C0D19" w:rsidRDefault="007968EC" w:rsidP="00DA7472">
      <w:pPr>
        <w:numPr>
          <w:ilvl w:val="0"/>
          <w:numId w:val="46"/>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Autoriza a </w:t>
      </w:r>
      <w:r w:rsidRPr="002C0D19">
        <w:rPr>
          <w:rFonts w:ascii="Arial Narrow" w:hAnsi="Arial Narrow" w:cs="Arial"/>
          <w:b/>
          <w:color w:val="000000" w:themeColor="text1"/>
          <w:lang w:val="es-ES" w:eastAsia="es-ES"/>
        </w:rPr>
        <w:t xml:space="preserve">EL MIEMBRO LIQUIDADOR GENERAL </w:t>
      </w:r>
      <w:r w:rsidRPr="002C0D19">
        <w:rPr>
          <w:rFonts w:ascii="Arial Narrow" w:hAnsi="Arial Narrow" w:cs="Arial"/>
          <w:color w:val="000000" w:themeColor="text1"/>
          <w:lang w:val="es-ES" w:eastAsia="es-ES"/>
        </w:rPr>
        <w:t xml:space="preserve">a verificar, en cualquier momento, </w:t>
      </w:r>
      <w:r w:rsidRPr="002C0D19">
        <w:rPr>
          <w:rFonts w:ascii="Arial Narrow" w:hAnsi="Arial Narrow" w:cs="Arial"/>
          <w:color w:val="000000" w:themeColor="text1"/>
          <w:lang w:eastAsia="es-ES"/>
        </w:rPr>
        <w:t>el cumplimiento de los niveles de solvencia y los estándares operativos que éstos le exijan.</w:t>
      </w:r>
      <w:r w:rsidRPr="002C0D19">
        <w:rPr>
          <w:rFonts w:ascii="Arial Narrow" w:hAnsi="Arial Narrow" w:cs="Arial"/>
          <w:color w:val="000000" w:themeColor="text1"/>
          <w:lang w:val="es-ES" w:eastAsia="es-ES"/>
        </w:rPr>
        <w:t xml:space="preserve"> </w:t>
      </w:r>
    </w:p>
    <w:p w14:paraId="77DD248E" w14:textId="77777777" w:rsidR="007968EC" w:rsidRPr="002C0D19" w:rsidRDefault="007968EC" w:rsidP="00DA7472">
      <w:pPr>
        <w:numPr>
          <w:ilvl w:val="0"/>
          <w:numId w:val="46"/>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Acepta que las Operaciones Aceptadas por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 xml:space="preserve">liquidadas a través de </w:t>
      </w:r>
      <w:r w:rsidRPr="002C0D19">
        <w:rPr>
          <w:rFonts w:ascii="Arial Narrow" w:hAnsi="Arial Narrow" w:cs="Arial"/>
          <w:b/>
          <w:color w:val="000000" w:themeColor="text1"/>
          <w:lang w:val="es-ES" w:eastAsia="es-ES"/>
        </w:rPr>
        <w:t>EL MIEMBRO LIQUIDADOR GENERAL</w:t>
      </w:r>
      <w:r w:rsidRPr="002C0D19">
        <w:rPr>
          <w:rFonts w:ascii="Arial Narrow" w:hAnsi="Arial Narrow" w:cs="Arial"/>
          <w:color w:val="000000" w:themeColor="text1"/>
          <w:lang w:val="es-ES" w:eastAsia="es-ES"/>
        </w:rPr>
        <w:t xml:space="preserve">, se entenderán automáticamente novadas por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con ocasión de su interposición como contraparte. </w:t>
      </w:r>
    </w:p>
    <w:p w14:paraId="79D05411" w14:textId="77777777" w:rsidR="007968EC" w:rsidRPr="002C0D19" w:rsidRDefault="007968EC" w:rsidP="00DA7472">
      <w:pPr>
        <w:numPr>
          <w:ilvl w:val="0"/>
          <w:numId w:val="46"/>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Declara que las Garantías, constituidas y mantenidas, con los ajustes procedentes, por </w:t>
      </w:r>
      <w:r w:rsidRPr="002C0D19">
        <w:rPr>
          <w:rFonts w:ascii="Arial Narrow" w:hAnsi="Arial Narrow" w:cs="Arial"/>
          <w:b/>
          <w:color w:val="000000" w:themeColor="text1"/>
          <w:lang w:val="es-ES" w:eastAsia="es-ES"/>
        </w:rPr>
        <w:t xml:space="preserve">EL MIEMBRO NO LIQUIDADOR </w:t>
      </w:r>
      <w:r w:rsidRPr="002C0D19">
        <w:rPr>
          <w:rFonts w:ascii="Arial Narrow" w:hAnsi="Arial Narrow" w:cs="Arial"/>
          <w:color w:val="000000" w:themeColor="text1"/>
          <w:lang w:val="es-ES" w:eastAsia="es-ES"/>
        </w:rPr>
        <w:t xml:space="preserve">frente a </w:t>
      </w:r>
      <w:r w:rsidRPr="002C0D19">
        <w:rPr>
          <w:rFonts w:ascii="Arial Narrow" w:hAnsi="Arial Narrow" w:cs="Arial"/>
          <w:b/>
          <w:color w:val="000000" w:themeColor="text1"/>
          <w:lang w:val="es-ES" w:eastAsia="es-ES"/>
        </w:rPr>
        <w:t xml:space="preserve">EL MIEMBRO LIQUIDADOR GENERAL </w:t>
      </w:r>
      <w:r w:rsidRPr="002C0D19">
        <w:rPr>
          <w:rFonts w:ascii="Arial Narrow" w:hAnsi="Arial Narrow" w:cs="Arial"/>
          <w:color w:val="000000" w:themeColor="text1"/>
          <w:lang w:val="es-ES" w:eastAsia="es-ES"/>
        </w:rPr>
        <w:t xml:space="preserve">y a favor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no se verán afectadas por la novación antes referida y se mantendrán vigentes, conviniendo expresamente en su reserva a favor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w:t>
      </w:r>
    </w:p>
    <w:p w14:paraId="48361360" w14:textId="77777777" w:rsidR="007968EC" w:rsidRPr="002C0D19" w:rsidRDefault="007968EC" w:rsidP="00DA7472">
      <w:pPr>
        <w:numPr>
          <w:ilvl w:val="0"/>
          <w:numId w:val="46"/>
        </w:num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Manifiesta que acepta expresamente el procedimiento y las consecuencias derivadas del Incumplimiento, en los términos establecidos en el Reglamento, así como la ejecución de Garantías en cualquiera o en todos los Segmentos en que participe que se contemplen en el Reglamento y en las Circulares e Instructivos Operativos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Así mismo, acepta que </w:t>
      </w:r>
      <w:r w:rsidRPr="002C0D19">
        <w:rPr>
          <w:rFonts w:ascii="Arial Narrow" w:hAnsi="Arial Narrow" w:cs="Arial"/>
          <w:b/>
          <w:color w:val="000000" w:themeColor="text1"/>
          <w:lang w:val="es-ES" w:eastAsia="es-ES"/>
        </w:rPr>
        <w:t xml:space="preserve">EL MIEMBRO LIQUIDADOR GENERAL </w:t>
      </w:r>
      <w:r w:rsidRPr="002C0D19">
        <w:rPr>
          <w:rFonts w:ascii="Arial Narrow" w:hAnsi="Arial Narrow" w:cs="Arial"/>
          <w:color w:val="000000" w:themeColor="text1"/>
          <w:lang w:val="es-ES" w:eastAsia="es-ES"/>
        </w:rPr>
        <w:t>y/o</w:t>
      </w:r>
      <w:r w:rsidRPr="002C0D19">
        <w:rPr>
          <w:rFonts w:ascii="Arial Narrow" w:hAnsi="Arial Narrow" w:cs="Arial"/>
          <w:b/>
          <w:color w:val="000000" w:themeColor="text1"/>
          <w:lang w:val="es-ES" w:eastAsia="es-ES"/>
        </w:rPr>
        <w:t xml:space="preserve"> LA CRCC </w:t>
      </w:r>
      <w:r w:rsidRPr="002C0D19">
        <w:rPr>
          <w:rFonts w:ascii="Arial Narrow" w:hAnsi="Arial Narrow" w:cs="Arial"/>
          <w:color w:val="000000" w:themeColor="text1"/>
          <w:lang w:val="es-ES" w:eastAsia="es-ES"/>
        </w:rPr>
        <w:t xml:space="preserve">realizarán la Gestión del Incumplimiento de conformidad con lo dispuesto en el Reglamento. </w:t>
      </w:r>
    </w:p>
    <w:p w14:paraId="5D9225CF" w14:textId="77777777" w:rsidR="007968EC" w:rsidRPr="002C0D19" w:rsidRDefault="007968EC" w:rsidP="00DA7472">
      <w:pPr>
        <w:numPr>
          <w:ilvl w:val="0"/>
          <w:numId w:val="46"/>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Autoriza en forma expresa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para que en ejercicio de sus funciones, pueda debitar o acreditar automáticamente la cuenta de efectivo identificada en el Banco de la República bajo el número ___________________________, así como cualquier otra cuenta de efectivo que maneje para la compensación y liquidación ante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w:t>
      </w:r>
    </w:p>
    <w:p w14:paraId="4AC17188" w14:textId="77777777" w:rsidR="007968EC" w:rsidRPr="002C0D19" w:rsidRDefault="007968EC" w:rsidP="00DA7472">
      <w:pPr>
        <w:numPr>
          <w:ilvl w:val="0"/>
          <w:numId w:val="46"/>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Autoriza en forma expresa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para que en ejercicio de sus funciones pueda debitar o acreditar automáticamente las cuentas de depósito de valores de las que es titular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w:t>
      </w:r>
      <w:r w:rsidRPr="002C0D19">
        <w:rPr>
          <w:rFonts w:ascii="Arial Narrow" w:hAnsi="Arial Narrow" w:cs="Arial"/>
          <w:b/>
          <w:color w:val="000000" w:themeColor="text1"/>
          <w:lang w:val="es-ES" w:eastAsia="es-ES"/>
        </w:rPr>
        <w:t>NO LIQUIDADOR</w:t>
      </w:r>
      <w:r w:rsidRPr="002C0D19">
        <w:rPr>
          <w:rFonts w:ascii="Arial Narrow" w:hAnsi="Arial Narrow" w:cs="Arial"/>
          <w:color w:val="000000" w:themeColor="text1"/>
          <w:lang w:val="es-ES" w:eastAsia="es-ES"/>
        </w:rPr>
        <w:t xml:space="preserve"> en el DECEVAL, Cuenta No. ____________________, y en el DCV, Cuenta No. ______________________.  </w:t>
      </w:r>
    </w:p>
    <w:p w14:paraId="7A2D477E" w14:textId="77777777" w:rsidR="007968EC" w:rsidRPr="002C0D19" w:rsidRDefault="007968EC" w:rsidP="00DA7472">
      <w:pPr>
        <w:numPr>
          <w:ilvl w:val="0"/>
          <w:numId w:val="46"/>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Autoriza a </w:t>
      </w:r>
      <w:r w:rsidRPr="002C0D19">
        <w:rPr>
          <w:rFonts w:ascii="Arial Narrow" w:hAnsi="Arial Narrow" w:cs="Arial"/>
          <w:b/>
          <w:color w:val="000000" w:themeColor="text1"/>
          <w:lang w:val="es-ES" w:eastAsia="es-ES"/>
        </w:rPr>
        <w:t xml:space="preserve">EL MIEMBRO LIQUIDADOR GENERAL </w:t>
      </w:r>
      <w:r w:rsidRPr="002C0D19">
        <w:rPr>
          <w:rFonts w:ascii="Arial Narrow" w:hAnsi="Arial Narrow" w:cs="Arial"/>
          <w:color w:val="000000" w:themeColor="text1"/>
          <w:lang w:val="es-ES" w:eastAsia="es-ES"/>
        </w:rPr>
        <w:t xml:space="preserve">para transmitir la información de </w:t>
      </w:r>
      <w:r w:rsidRPr="002C0D19">
        <w:rPr>
          <w:rFonts w:ascii="Arial Narrow" w:hAnsi="Arial Narrow" w:cs="Arial"/>
          <w:b/>
          <w:color w:val="000000" w:themeColor="text1"/>
          <w:lang w:val="es-ES" w:eastAsia="es-ES"/>
        </w:rPr>
        <w:t>EL MIEMBRO NO LIQUIDADOR</w:t>
      </w:r>
      <w:r w:rsidRPr="002C0D19">
        <w:rPr>
          <w:rFonts w:ascii="Arial Narrow" w:hAnsi="Arial Narrow" w:cs="Arial"/>
          <w:color w:val="000000" w:themeColor="text1"/>
          <w:lang w:val="es-ES" w:eastAsia="es-ES"/>
        </w:rPr>
        <w:t xml:space="preserve"> a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y/o a</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 xml:space="preserve">las Autoridades Competentes que se lo soliciten. </w:t>
      </w:r>
    </w:p>
    <w:p w14:paraId="361CABDA" w14:textId="77777777" w:rsidR="007968EC" w:rsidRPr="002C0D19" w:rsidRDefault="007968EC" w:rsidP="00DA7472">
      <w:pPr>
        <w:numPr>
          <w:ilvl w:val="0"/>
          <w:numId w:val="46"/>
        </w:numPr>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Acepta que, en caso de que no constituya o ajuste las Garantías, en la cuantía y tiempo establecidos,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y</w:t>
      </w:r>
      <w:r w:rsidRPr="002C0D19">
        <w:rPr>
          <w:rFonts w:ascii="Arial Narrow" w:hAnsi="Arial Narrow" w:cs="Arial"/>
          <w:b/>
          <w:color w:val="000000" w:themeColor="text1"/>
          <w:lang w:val="es-ES" w:eastAsia="es-ES"/>
        </w:rPr>
        <w:t xml:space="preserve"> EL MIEMBRO LIQUIDADOR GENERAL </w:t>
      </w:r>
      <w:r w:rsidRPr="002C0D19">
        <w:rPr>
          <w:rFonts w:ascii="Arial Narrow" w:hAnsi="Arial Narrow" w:cs="Arial"/>
          <w:color w:val="000000" w:themeColor="text1"/>
          <w:lang w:val="es-ES" w:eastAsia="es-ES"/>
        </w:rPr>
        <w:t xml:space="preserve">podrán liquidar todas las Posiciones de </w:t>
      </w:r>
      <w:r w:rsidRPr="002C0D19">
        <w:rPr>
          <w:rFonts w:ascii="Arial Narrow" w:hAnsi="Arial Narrow" w:cs="Arial"/>
          <w:b/>
          <w:color w:val="000000" w:themeColor="text1"/>
          <w:lang w:val="es-ES" w:eastAsia="es-ES"/>
        </w:rPr>
        <w:t>EL MIEMBRO NO LIQUIDADOR</w:t>
      </w:r>
      <w:r w:rsidRPr="002C0D19">
        <w:rPr>
          <w:rFonts w:ascii="Arial Narrow" w:hAnsi="Arial Narrow" w:cs="Arial"/>
          <w:color w:val="000000" w:themeColor="text1"/>
          <w:lang w:val="es-ES" w:eastAsia="es-ES"/>
        </w:rPr>
        <w:t xml:space="preserve"> en todos los Segmentos en que participe, ejecutando las Garantías previamente constituidas si fuese necesario y entregando a </w:t>
      </w:r>
      <w:r w:rsidRPr="002C0D19">
        <w:rPr>
          <w:rFonts w:ascii="Arial Narrow" w:hAnsi="Arial Narrow" w:cs="Arial"/>
          <w:b/>
          <w:color w:val="000000" w:themeColor="text1"/>
          <w:lang w:val="es-ES" w:eastAsia="es-ES"/>
        </w:rPr>
        <w:t xml:space="preserve">EL MIEMBRO LIQUIDADOR GENERAL </w:t>
      </w:r>
      <w:r w:rsidRPr="002C0D19">
        <w:rPr>
          <w:rFonts w:ascii="Arial Narrow" w:hAnsi="Arial Narrow" w:cs="Arial"/>
          <w:color w:val="000000" w:themeColor="text1"/>
          <w:lang w:val="es-ES" w:eastAsia="es-ES"/>
        </w:rPr>
        <w:t xml:space="preserve">el resultado de dicha liquidación si fuese a favor de </w:t>
      </w:r>
      <w:r w:rsidRPr="002C0D19">
        <w:rPr>
          <w:rFonts w:ascii="Arial Narrow" w:hAnsi="Arial Narrow" w:cs="Arial"/>
          <w:b/>
          <w:color w:val="000000" w:themeColor="text1"/>
          <w:lang w:val="es-ES" w:eastAsia="es-ES"/>
        </w:rPr>
        <w:t xml:space="preserve">EL MIEMBRO NO LIQUIDADOR </w:t>
      </w:r>
      <w:r w:rsidRPr="002C0D19">
        <w:rPr>
          <w:rFonts w:ascii="Arial Narrow" w:hAnsi="Arial Narrow" w:cs="Arial"/>
          <w:color w:val="000000" w:themeColor="text1"/>
          <w:lang w:val="es-ES" w:eastAsia="es-ES"/>
        </w:rPr>
        <w:t xml:space="preserve">o reclamándosela a </w:t>
      </w:r>
      <w:r w:rsidRPr="002C0D19">
        <w:rPr>
          <w:rFonts w:ascii="Arial Narrow" w:hAnsi="Arial Narrow" w:cs="Arial"/>
          <w:b/>
          <w:color w:val="000000" w:themeColor="text1"/>
          <w:lang w:val="es-ES" w:eastAsia="es-ES"/>
        </w:rPr>
        <w:t xml:space="preserve">EL MIEMBRO LIQUIDADOR GENERAL </w:t>
      </w:r>
      <w:r w:rsidRPr="002C0D19">
        <w:rPr>
          <w:rFonts w:ascii="Arial Narrow" w:hAnsi="Arial Narrow" w:cs="Arial"/>
          <w:color w:val="000000" w:themeColor="text1"/>
          <w:lang w:val="es-ES" w:eastAsia="es-ES"/>
        </w:rPr>
        <w:t xml:space="preserve">si fuese a favor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según el caso. Acepta igualmente, que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 xml:space="preserve">tome cualesquiera otras medidas que se prevean en el Reglamento. En caso de Incumplimiento, faculta a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 xml:space="preserve">y a </w:t>
      </w:r>
      <w:r w:rsidRPr="002C0D19">
        <w:rPr>
          <w:rFonts w:ascii="Arial Narrow" w:hAnsi="Arial Narrow" w:cs="Arial"/>
          <w:b/>
          <w:color w:val="000000" w:themeColor="text1"/>
          <w:lang w:val="es-ES" w:eastAsia="es-ES"/>
        </w:rPr>
        <w:t xml:space="preserve">EL MIEMBRO LIQUIDADOR GENERAL </w:t>
      </w:r>
      <w:r w:rsidRPr="002C0D19">
        <w:rPr>
          <w:rFonts w:ascii="Arial Narrow" w:hAnsi="Arial Narrow" w:cs="Arial"/>
          <w:color w:val="000000" w:themeColor="text1"/>
          <w:lang w:val="es-ES" w:eastAsia="es-ES"/>
        </w:rPr>
        <w:t>para cerrar, por su cuenta, todas las Posiciones Abiertas de Operaciones Aceptadas registradas en su Cuenta o para celebrar nuevas operaciones hasta el cierre definitivo de la Posición Abierta en todos los Segmentos en que participe.</w:t>
      </w:r>
    </w:p>
    <w:p w14:paraId="04F9A670" w14:textId="77777777" w:rsidR="007968EC" w:rsidRPr="002C0D19" w:rsidRDefault="007968EC" w:rsidP="00DA7472">
      <w:pPr>
        <w:numPr>
          <w:ilvl w:val="0"/>
          <w:numId w:val="46"/>
        </w:numPr>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Acepta expresamente que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y/o</w:t>
      </w:r>
      <w:r w:rsidRPr="002C0D19">
        <w:rPr>
          <w:rFonts w:ascii="Arial Narrow" w:hAnsi="Arial Narrow" w:cs="Arial"/>
          <w:b/>
          <w:color w:val="000000" w:themeColor="text1"/>
          <w:lang w:val="es-ES" w:eastAsia="es-ES"/>
        </w:rPr>
        <w:t xml:space="preserve"> EL MIEMBRO LIQUIDADOR GENERAL</w:t>
      </w:r>
      <w:r w:rsidRPr="002C0D19">
        <w:rPr>
          <w:rFonts w:ascii="Arial Narrow" w:hAnsi="Arial Narrow" w:cs="Arial"/>
          <w:color w:val="000000" w:themeColor="text1"/>
          <w:lang w:val="es-ES" w:eastAsia="es-ES"/>
        </w:rPr>
        <w:t xml:space="preserve"> informen a las Autoridades Competentes el incumplimiento de las obligaciones a su cargo. </w:t>
      </w:r>
    </w:p>
    <w:p w14:paraId="7872BACD" w14:textId="77777777" w:rsidR="007968EC" w:rsidRPr="002C0D19" w:rsidRDefault="007968EC" w:rsidP="00DA7472">
      <w:pPr>
        <w:numPr>
          <w:ilvl w:val="0"/>
          <w:numId w:val="46"/>
        </w:numPr>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Autoriza a </w:t>
      </w:r>
      <w:r w:rsidRPr="002C0D19">
        <w:rPr>
          <w:rFonts w:ascii="Arial Narrow" w:hAnsi="Arial Narrow" w:cs="Arial"/>
          <w:b/>
          <w:color w:val="000000" w:themeColor="text1"/>
          <w:lang w:val="es-ES" w:eastAsia="es-ES"/>
        </w:rPr>
        <w:t>EL MIEMBRO LIQUIDADOR GENERAL</w:t>
      </w:r>
      <w:r w:rsidRPr="002C0D19">
        <w:rPr>
          <w:rFonts w:ascii="Arial Narrow" w:hAnsi="Arial Narrow" w:cs="Arial"/>
          <w:color w:val="000000" w:themeColor="text1"/>
          <w:lang w:val="es-ES" w:eastAsia="es-ES"/>
        </w:rPr>
        <w:t xml:space="preserve"> </w:t>
      </w:r>
      <w:r w:rsidRPr="002C0D19">
        <w:rPr>
          <w:rFonts w:ascii="Arial Narrow" w:hAnsi="Arial Narrow" w:cs="Arial"/>
          <w:color w:val="000000" w:themeColor="text1"/>
          <w:lang w:eastAsia="es-ES"/>
        </w:rPr>
        <w:t xml:space="preserve">para que todas las comunicaciones telefónicas que </w:t>
      </w:r>
      <w:r w:rsidRPr="002C0D19">
        <w:rPr>
          <w:rFonts w:ascii="Arial Narrow" w:hAnsi="Arial Narrow" w:cs="Arial"/>
          <w:color w:val="000000" w:themeColor="text1"/>
          <w:lang w:val="es-ES" w:eastAsia="es-ES"/>
        </w:rPr>
        <w:t>sus funcionarios, operadores, empleados, contratistas, subcontratistas y/o dependientes</w:t>
      </w:r>
      <w:r w:rsidRPr="002C0D19">
        <w:rPr>
          <w:rFonts w:ascii="Arial Narrow" w:hAnsi="Arial Narrow" w:cs="Arial"/>
          <w:color w:val="000000" w:themeColor="text1"/>
          <w:lang w:eastAsia="es-ES"/>
        </w:rPr>
        <w:t xml:space="preserve"> tengan </w:t>
      </w:r>
      <w:r w:rsidRPr="002C0D19">
        <w:rPr>
          <w:rFonts w:ascii="Arial Narrow" w:hAnsi="Arial Narrow" w:cs="Arial"/>
          <w:color w:val="000000" w:themeColor="text1"/>
          <w:lang w:eastAsia="es-ES"/>
        </w:rPr>
        <w:lastRenderedPageBreak/>
        <w:t xml:space="preserve">con </w:t>
      </w:r>
      <w:r w:rsidRPr="002C0D19">
        <w:rPr>
          <w:rFonts w:ascii="Arial Narrow" w:hAnsi="Arial Narrow" w:cs="Arial"/>
          <w:b/>
          <w:color w:val="000000" w:themeColor="text1"/>
          <w:lang w:val="es-ES" w:eastAsia="es-ES"/>
        </w:rPr>
        <w:t>EL MIEMBRO LIQUIDADOR GENERAL</w:t>
      </w:r>
      <w:r w:rsidRPr="002C0D19">
        <w:rPr>
          <w:rFonts w:ascii="Arial Narrow" w:hAnsi="Arial Narrow" w:cs="Arial"/>
          <w:color w:val="000000" w:themeColor="text1"/>
          <w:lang w:val="es-ES" w:eastAsia="es-ES"/>
        </w:rPr>
        <w:t>,</w:t>
      </w:r>
      <w:r w:rsidRPr="002C0D19">
        <w:rPr>
          <w:rFonts w:ascii="Arial Narrow" w:hAnsi="Arial Narrow" w:cs="Arial"/>
          <w:color w:val="000000" w:themeColor="text1"/>
          <w:lang w:eastAsia="es-ES"/>
        </w:rPr>
        <w:t xml:space="preserve"> sean grabadas y que las mismas, en caso de requerirse, puedan ser presentadas como medio de prueba. </w:t>
      </w:r>
    </w:p>
    <w:p w14:paraId="64753971" w14:textId="77777777" w:rsidR="007968EC" w:rsidRPr="002C0D19" w:rsidRDefault="007968EC" w:rsidP="00DA7472">
      <w:pPr>
        <w:numPr>
          <w:ilvl w:val="0"/>
          <w:numId w:val="46"/>
        </w:num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Acepta que </w:t>
      </w:r>
      <w:r w:rsidRPr="002C0D19">
        <w:rPr>
          <w:rFonts w:ascii="Arial Narrow" w:hAnsi="Arial Narrow" w:cs="Arial"/>
          <w:b/>
          <w:color w:val="000000" w:themeColor="text1"/>
          <w:lang w:val="es-ES" w:eastAsia="es-ES"/>
        </w:rPr>
        <w:t xml:space="preserve">EL MIEMBRO LIQUIDADOR GENERAL </w:t>
      </w:r>
      <w:r w:rsidRPr="002C0D19">
        <w:rPr>
          <w:rFonts w:ascii="Arial Narrow" w:hAnsi="Arial Narrow" w:cs="Arial"/>
          <w:color w:val="000000" w:themeColor="text1"/>
          <w:lang w:val="es-ES" w:eastAsia="es-ES"/>
        </w:rPr>
        <w:t xml:space="preserve">podrá, en cualquier momento, solicitar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información sobre la posición global de riesgo de </w:t>
      </w:r>
      <w:r w:rsidRPr="002C0D19">
        <w:rPr>
          <w:rFonts w:ascii="Arial Narrow" w:hAnsi="Arial Narrow" w:cs="Arial"/>
          <w:b/>
          <w:color w:val="000000" w:themeColor="text1"/>
          <w:lang w:val="es-ES" w:eastAsia="es-ES"/>
        </w:rPr>
        <w:t>EL MIEMBRO NO LIQUIDADOR.</w:t>
      </w:r>
    </w:p>
    <w:p w14:paraId="00297E58" w14:textId="77777777" w:rsidR="007968EC" w:rsidRPr="002C0D19" w:rsidRDefault="007968EC" w:rsidP="00DA7472">
      <w:pPr>
        <w:numPr>
          <w:ilvl w:val="0"/>
          <w:numId w:val="46"/>
        </w:num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bCs/>
          <w:color w:val="000000" w:themeColor="text1"/>
          <w:lang w:val="es-ES" w:eastAsia="es-ES"/>
        </w:rPr>
        <w:t xml:space="preserve">Autoriza a </w:t>
      </w:r>
      <w:r w:rsidRPr="002C0D19">
        <w:rPr>
          <w:rFonts w:ascii="Arial Narrow" w:hAnsi="Arial Narrow" w:cs="Arial"/>
          <w:b/>
          <w:bCs/>
          <w:color w:val="000000" w:themeColor="text1"/>
          <w:lang w:val="es-ES" w:eastAsia="es-ES"/>
        </w:rPr>
        <w:t xml:space="preserve">EL MIEMBRO LIQUIDADOR GENERAL </w:t>
      </w:r>
      <w:r w:rsidRPr="002C0D19">
        <w:rPr>
          <w:rFonts w:ascii="Arial Narrow" w:hAnsi="Arial Narrow" w:cs="Arial"/>
          <w:bCs/>
          <w:color w:val="000000" w:themeColor="text1"/>
          <w:lang w:val="es-ES" w:eastAsia="es-ES"/>
        </w:rPr>
        <w:t>para que realice los pagos y los cobros que resulten de operaciones registradas en sus cuentas y</w:t>
      </w:r>
      <w:r w:rsidRPr="002C0D19">
        <w:rPr>
          <w:rFonts w:ascii="Arial Narrow" w:hAnsi="Arial Narrow" w:cs="Arial"/>
          <w:color w:val="000000" w:themeColor="text1"/>
          <w:lang w:val="es-ES" w:eastAsia="es-ES"/>
        </w:rPr>
        <w:t xml:space="preserve"> en las Cuentas de sus Terceros</w:t>
      </w:r>
      <w:r w:rsidRPr="002C0D19">
        <w:rPr>
          <w:rFonts w:ascii="Arial Narrow" w:hAnsi="Arial Narrow" w:cs="Arial"/>
          <w:b/>
          <w:color w:val="000000" w:themeColor="text1"/>
          <w:lang w:val="es-ES" w:eastAsia="es-ES"/>
        </w:rPr>
        <w:t>.</w:t>
      </w:r>
    </w:p>
    <w:p w14:paraId="52E0A4B9" w14:textId="77777777" w:rsidR="007968EC" w:rsidRPr="002C0D19" w:rsidRDefault="007968EC" w:rsidP="007968EC">
      <w:pPr>
        <w:jc w:val="both"/>
        <w:rPr>
          <w:rFonts w:ascii="Arial Narrow" w:hAnsi="Arial Narrow" w:cs="Arial"/>
          <w:b/>
          <w:color w:val="000000" w:themeColor="text1"/>
          <w:u w:val="single"/>
          <w:lang w:val="es-ES" w:eastAsia="es-ES"/>
        </w:rPr>
      </w:pPr>
    </w:p>
    <w:p w14:paraId="0F1C343D" w14:textId="77777777" w:rsidR="007968EC" w:rsidRPr="002C0D19" w:rsidRDefault="007968EC" w:rsidP="007968EC">
      <w:pPr>
        <w:jc w:val="both"/>
        <w:rPr>
          <w:rFonts w:ascii="Arial Narrow" w:hAnsi="Arial Narrow" w:cs="Arial"/>
          <w:b/>
          <w:color w:val="000000" w:themeColor="text1"/>
          <w:u w:val="single"/>
          <w:lang w:val="es-ES" w:eastAsia="es-ES"/>
        </w:rPr>
      </w:pPr>
      <w:r w:rsidRPr="002C0D19">
        <w:rPr>
          <w:rFonts w:ascii="Arial Narrow" w:hAnsi="Arial Narrow" w:cs="Arial"/>
          <w:b/>
          <w:color w:val="000000" w:themeColor="text1"/>
          <w:lang w:val="es-ES" w:eastAsia="es-ES"/>
        </w:rPr>
        <w:t>Parágrafo.</w:t>
      </w:r>
      <w:r w:rsidRPr="002C0D19">
        <w:rPr>
          <w:rFonts w:ascii="Arial Narrow" w:hAnsi="Arial Narrow" w:cs="Arial"/>
          <w:color w:val="000000" w:themeColor="text1"/>
          <w:lang w:val="es-ES" w:eastAsia="es-ES"/>
        </w:rPr>
        <w:t xml:space="preserve"> Cualquier reforma que se realice al Reglamento o a las Circulares de la Cámara que implique una modificación a los términos de los acuerdos o Convenios de vinculación, Oferta de Servicios Aceptada mediante Orden de Compra de Servicios que suscriban los Miembros y estos con sus Terceros se presume conocida y aceptada por las partes a partir de su publicación y entrada en vigencia y no requerirá de la modificación de tales acuerdos o Convenios de vinculación, Oferta de Servicios Aceptada mediante Orden de Compra de Servicios que suscriban los Miembros y estos con sus Terceros, ni de la suscripción de nuevos Convenios. No obstante, cuando haya lugar a ello, la Cámara podrá aprobar unos nuevos textos que incorporen las modificaciones pertinentes y publicarlos mediante Circular para efecto de la vinculación de nuevos Miembros, Agentes y Terceros a través de</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los Miembros.</w:t>
      </w:r>
    </w:p>
    <w:p w14:paraId="480CC0A8" w14:textId="77777777" w:rsidR="007968EC" w:rsidRPr="002C0D19" w:rsidRDefault="007968EC" w:rsidP="007968EC">
      <w:pPr>
        <w:jc w:val="both"/>
        <w:rPr>
          <w:rFonts w:ascii="Arial Narrow" w:hAnsi="Arial Narrow" w:cs="Arial"/>
          <w:b/>
          <w:color w:val="000000" w:themeColor="text1"/>
          <w:u w:val="single"/>
          <w:lang w:val="es-ES" w:eastAsia="es-ES"/>
        </w:rPr>
      </w:pPr>
    </w:p>
    <w:p w14:paraId="2C47C539" w14:textId="77777777" w:rsidR="007968EC" w:rsidRPr="002C0D19" w:rsidRDefault="007968EC" w:rsidP="007968EC">
      <w:pPr>
        <w:jc w:val="both"/>
        <w:rPr>
          <w:rFonts w:ascii="Arial Narrow" w:hAnsi="Arial Narrow" w:cs="Arial"/>
          <w:b/>
          <w:color w:val="000000" w:themeColor="text1"/>
          <w:lang w:val="es-ES" w:eastAsia="es-ES"/>
        </w:rPr>
      </w:pPr>
      <w:r w:rsidRPr="002C0D19">
        <w:rPr>
          <w:rFonts w:ascii="Arial Narrow" w:hAnsi="Arial Narrow" w:cs="Arial"/>
          <w:b/>
          <w:color w:val="000000" w:themeColor="text1"/>
          <w:u w:val="single"/>
          <w:lang w:val="es-ES" w:eastAsia="es-ES"/>
        </w:rPr>
        <w:t>TERCERA. Obligaciones de EL MIEMBRO NO LIQUIDADOR.</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Sin perjuicio</w:t>
      </w:r>
      <w:r w:rsidRPr="002C0D19">
        <w:rPr>
          <w:rFonts w:ascii="Arial Narrow" w:hAnsi="Arial Narrow" w:cs="Arial"/>
          <w:b/>
          <w:color w:val="000000" w:themeColor="text1"/>
          <w:lang w:val="es-ES" w:eastAsia="es-ES"/>
        </w:rPr>
        <w:t xml:space="preserve"> </w:t>
      </w:r>
      <w:r w:rsidRPr="002C0D19">
        <w:rPr>
          <w:rFonts w:ascii="Arial Narrow" w:hAnsi="Arial Narrow" w:cs="Arial"/>
          <w:bCs/>
          <w:color w:val="000000" w:themeColor="text1"/>
          <w:lang w:eastAsia="es-ES"/>
        </w:rPr>
        <w:t xml:space="preserve">de las obligaciones previstas en las demás cláusulas de la presente Oferta, en el </w:t>
      </w:r>
      <w:r w:rsidRPr="002C0D19">
        <w:rPr>
          <w:rFonts w:ascii="Arial Narrow" w:hAnsi="Arial Narrow" w:cs="Arial"/>
          <w:color w:val="000000" w:themeColor="text1"/>
          <w:lang w:val="es-ES" w:eastAsia="es-ES"/>
        </w:rPr>
        <w:t xml:space="preserve">Reglamento, en las Circulares y en los Instructivos Operativos de </w:t>
      </w:r>
      <w:r w:rsidRPr="002C0D19">
        <w:rPr>
          <w:rFonts w:ascii="Arial Narrow" w:hAnsi="Arial Narrow" w:cs="Arial"/>
          <w:b/>
          <w:color w:val="000000" w:themeColor="text1"/>
          <w:lang w:val="es-ES" w:eastAsia="es-ES"/>
        </w:rPr>
        <w:t>LA CRCC,</w:t>
      </w:r>
      <w:r w:rsidRPr="002C0D19">
        <w:rPr>
          <w:rFonts w:ascii="Arial Narrow" w:hAnsi="Arial Narrow" w:cs="Arial"/>
          <w:bCs/>
          <w:color w:val="000000" w:themeColor="text1"/>
          <w:lang w:eastAsia="es-ES"/>
        </w:rPr>
        <w:t xml:space="preserve"> son obligaciones principales de </w:t>
      </w:r>
      <w:r w:rsidRPr="002C0D19">
        <w:rPr>
          <w:rFonts w:ascii="Arial Narrow" w:hAnsi="Arial Narrow" w:cs="Arial"/>
          <w:b/>
          <w:bCs/>
          <w:color w:val="000000" w:themeColor="text1"/>
          <w:lang w:eastAsia="es-ES"/>
        </w:rPr>
        <w:t xml:space="preserve">EL MIEMBRO NO LIQUIDADOR </w:t>
      </w:r>
      <w:r w:rsidRPr="002C0D19">
        <w:rPr>
          <w:rFonts w:ascii="Arial Narrow" w:hAnsi="Arial Narrow" w:cs="Arial"/>
          <w:bCs/>
          <w:color w:val="000000" w:themeColor="text1"/>
          <w:lang w:eastAsia="es-ES"/>
        </w:rPr>
        <w:t>las siguientes:</w:t>
      </w:r>
      <w:r w:rsidRPr="002C0D19">
        <w:rPr>
          <w:rFonts w:ascii="Arial Narrow" w:hAnsi="Arial Narrow" w:cs="Arial"/>
          <w:b/>
          <w:color w:val="000000" w:themeColor="text1"/>
          <w:lang w:val="es-ES" w:eastAsia="es-ES"/>
        </w:rPr>
        <w:t xml:space="preserve"> </w:t>
      </w:r>
    </w:p>
    <w:p w14:paraId="5865ED87" w14:textId="77777777" w:rsidR="007968EC" w:rsidRPr="002C0D19" w:rsidRDefault="007968EC" w:rsidP="007968EC">
      <w:pPr>
        <w:jc w:val="both"/>
        <w:rPr>
          <w:rFonts w:ascii="Arial Narrow" w:hAnsi="Arial Narrow" w:cs="Arial"/>
          <w:color w:val="000000" w:themeColor="text1"/>
          <w:lang w:val="es-ES" w:eastAsia="es-ES"/>
        </w:rPr>
      </w:pPr>
    </w:p>
    <w:p w14:paraId="59563B5E" w14:textId="77777777" w:rsidR="007968EC" w:rsidRPr="002C0D19" w:rsidRDefault="007968EC" w:rsidP="00DA7472">
      <w:pPr>
        <w:numPr>
          <w:ilvl w:val="0"/>
          <w:numId w:val="47"/>
        </w:numPr>
        <w:ind w:left="72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Cumplir y mantener en todo momento los requisitos generales y especiales de admisión como Miembro no Liquidador.</w:t>
      </w:r>
    </w:p>
    <w:p w14:paraId="5C30717E" w14:textId="77777777" w:rsidR="007968EC" w:rsidRPr="002C0D19" w:rsidRDefault="007968EC" w:rsidP="00DA7472">
      <w:pPr>
        <w:numPr>
          <w:ilvl w:val="0"/>
          <w:numId w:val="47"/>
        </w:numPr>
        <w:ind w:left="720"/>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Cumplir y hacer cumplir estrictamente a las personas que autorice para operar en el Sistema, sin restricciones ni reservas la Ley, las instrucciones de las Autoridades Competentes, las Circulares e Instructivos Operativos, la presente Oferta de Servicios y todas aquellas decisiones que, en uso de sus atribuciones, adopten la Junta Directiva y/o el Gerente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para reglamentar su funcionamiento, divulgadas de conformidad con el Reglamento, sin que sirva de excusa o defensa la ignorancia de dichas normas o instrucciones. Lo anterior se extiende a cualquier modificación o adición que cualquier autoridad competente pueda imponer, así como a las modificaciones que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pueda introducir con la autorización de la Superintendencia Financiera de Colombia. </w:t>
      </w:r>
    </w:p>
    <w:p w14:paraId="497EE1A3" w14:textId="77777777" w:rsidR="007968EC" w:rsidRPr="002C0D19" w:rsidRDefault="007968EC" w:rsidP="00DA7472">
      <w:pPr>
        <w:numPr>
          <w:ilvl w:val="0"/>
          <w:numId w:val="47"/>
        </w:numPr>
        <w:ind w:left="720"/>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Responder por el uso que sus operadores, funcionarios o cualquier persona bajo su dependencia, hagan del Sistema. </w:t>
      </w:r>
    </w:p>
    <w:p w14:paraId="23A31584" w14:textId="77777777" w:rsidR="007968EC" w:rsidRPr="002C0D19" w:rsidRDefault="007968EC" w:rsidP="00DA7472">
      <w:pPr>
        <w:numPr>
          <w:ilvl w:val="0"/>
          <w:numId w:val="47"/>
        </w:numPr>
        <w:ind w:left="720"/>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Comunicar a </w:t>
      </w:r>
      <w:r w:rsidRPr="002C0D19">
        <w:rPr>
          <w:rFonts w:ascii="Arial Narrow" w:hAnsi="Arial Narrow" w:cs="Arial"/>
          <w:b/>
          <w:color w:val="000000" w:themeColor="text1"/>
          <w:lang w:val="es-ES" w:eastAsia="es-ES"/>
        </w:rPr>
        <w:t xml:space="preserve">EL MIEMBRO LIQUIDADOR GENERAL </w:t>
      </w:r>
      <w:r w:rsidRPr="002C0D19">
        <w:rPr>
          <w:rFonts w:ascii="Arial Narrow" w:hAnsi="Arial Narrow" w:cs="Arial"/>
          <w:color w:val="000000" w:themeColor="text1"/>
          <w:lang w:val="es-ES" w:eastAsia="es-ES"/>
        </w:rPr>
        <w:t xml:space="preserve">y/o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en el término establecido para el efecto, la información que éstos requieran en virtud de solicitudes de Autoridades Competentes o para la salvaguardia del interés general del mercado, sobre las Operaciones Aceptadas celebradas por </w:t>
      </w:r>
      <w:r w:rsidRPr="002C0D19">
        <w:rPr>
          <w:rFonts w:ascii="Arial Narrow" w:hAnsi="Arial Narrow" w:cs="Arial"/>
          <w:b/>
          <w:color w:val="000000" w:themeColor="text1"/>
          <w:lang w:val="es-ES" w:eastAsia="es-ES"/>
        </w:rPr>
        <w:t>EL MIEMBRO NO LIQUIDADOR</w:t>
      </w:r>
      <w:r w:rsidRPr="002C0D19">
        <w:rPr>
          <w:rFonts w:ascii="Arial Narrow" w:hAnsi="Arial Narrow" w:cs="Arial"/>
          <w:color w:val="000000" w:themeColor="text1"/>
          <w:lang w:val="es-ES" w:eastAsia="es-ES"/>
        </w:rPr>
        <w:t xml:space="preserve">, o por cuenta de sus Terceros. </w:t>
      </w:r>
    </w:p>
    <w:p w14:paraId="427D20A0" w14:textId="77777777" w:rsidR="007968EC" w:rsidRPr="002C0D19" w:rsidRDefault="007968EC" w:rsidP="00DA7472">
      <w:pPr>
        <w:numPr>
          <w:ilvl w:val="0"/>
          <w:numId w:val="47"/>
        </w:numPr>
        <w:ind w:left="720"/>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Entregar a </w:t>
      </w:r>
      <w:r w:rsidRPr="002C0D19">
        <w:rPr>
          <w:rFonts w:ascii="Arial Narrow" w:hAnsi="Arial Narrow" w:cs="Arial"/>
          <w:b/>
          <w:color w:val="000000" w:themeColor="text1"/>
          <w:lang w:val="es-ES" w:eastAsia="es-ES"/>
        </w:rPr>
        <w:t xml:space="preserve">EL MIEMBRO LIQUIDADOR GENERAL </w:t>
      </w:r>
      <w:r w:rsidRPr="002C0D19">
        <w:rPr>
          <w:rFonts w:ascii="Arial Narrow" w:hAnsi="Arial Narrow" w:cs="Arial"/>
          <w:color w:val="000000" w:themeColor="text1"/>
          <w:lang w:val="es-ES" w:eastAsia="es-ES"/>
        </w:rPr>
        <w:t xml:space="preserve">y/o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o a las Autoridades Competentes directamente, la información que se le solicite sobre sus Terceros</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 xml:space="preserve">para la atención de requerimientos que las Autoridades Competentes le hagan a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o</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eastAsia="es-ES"/>
        </w:rPr>
        <w:t xml:space="preserve">a </w:t>
      </w:r>
      <w:r w:rsidRPr="002C0D19">
        <w:rPr>
          <w:rFonts w:ascii="Arial Narrow" w:hAnsi="Arial Narrow" w:cs="Arial"/>
          <w:b/>
          <w:color w:val="000000" w:themeColor="text1"/>
          <w:lang w:val="es-ES" w:eastAsia="es-ES"/>
        </w:rPr>
        <w:t>EL MIEMBRO LIQUIDADOR GENERAL</w:t>
      </w:r>
      <w:r w:rsidRPr="002C0D19">
        <w:rPr>
          <w:rFonts w:ascii="Arial Narrow" w:hAnsi="Arial Narrow" w:cs="Arial"/>
          <w:color w:val="000000" w:themeColor="text1"/>
          <w:lang w:val="es-ES" w:eastAsia="es-ES"/>
        </w:rPr>
        <w:t xml:space="preserve">. </w:t>
      </w:r>
    </w:p>
    <w:p w14:paraId="55597264" w14:textId="77777777" w:rsidR="007968EC" w:rsidRPr="002C0D19" w:rsidRDefault="007968EC" w:rsidP="00DA7472">
      <w:pPr>
        <w:numPr>
          <w:ilvl w:val="0"/>
          <w:numId w:val="47"/>
        </w:numPr>
        <w:ind w:left="72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lastRenderedPageBreak/>
        <w:t xml:space="preserve">Constituir y mantener, con los ajustes procedentes, las Garantías y los fondos que exija </w:t>
      </w:r>
      <w:r w:rsidRPr="002C0D19">
        <w:rPr>
          <w:rFonts w:ascii="Arial Narrow" w:hAnsi="Arial Narrow" w:cs="Arial"/>
          <w:b/>
          <w:color w:val="000000" w:themeColor="text1"/>
          <w:lang w:val="es-ES" w:eastAsia="es-ES"/>
        </w:rPr>
        <w:t xml:space="preserve">EL MIEMBRO LIQUIDADOR GENERAL </w:t>
      </w:r>
      <w:r w:rsidRPr="002C0D19">
        <w:rPr>
          <w:rFonts w:ascii="Arial Narrow" w:hAnsi="Arial Narrow" w:cs="Arial"/>
          <w:color w:val="000000" w:themeColor="text1"/>
          <w:lang w:val="es-ES" w:eastAsia="es-ES"/>
        </w:rPr>
        <w:t>y/o</w:t>
      </w:r>
      <w:r w:rsidRPr="002C0D19">
        <w:rPr>
          <w:rFonts w:ascii="Arial Narrow" w:hAnsi="Arial Narrow" w:cs="Arial"/>
          <w:b/>
          <w:color w:val="000000" w:themeColor="text1"/>
          <w:lang w:val="es-ES" w:eastAsia="es-ES"/>
        </w:rPr>
        <w:t xml:space="preserve"> LA CRCC </w:t>
      </w:r>
      <w:r w:rsidRPr="002C0D19">
        <w:rPr>
          <w:rFonts w:ascii="Arial Narrow" w:hAnsi="Arial Narrow" w:cs="Arial"/>
          <w:color w:val="000000" w:themeColor="text1"/>
          <w:lang w:val="es-ES" w:eastAsia="es-ES"/>
        </w:rPr>
        <w:t xml:space="preserve">con el fin de amparar en todo momento el cumplimiento de las operaciones registradas en su cuenta y en las de sus Terceros. </w:t>
      </w:r>
    </w:p>
    <w:p w14:paraId="63863F1E" w14:textId="77777777" w:rsidR="007968EC" w:rsidRPr="002C0D19" w:rsidRDefault="007968EC" w:rsidP="00DA7472">
      <w:pPr>
        <w:numPr>
          <w:ilvl w:val="0"/>
          <w:numId w:val="47"/>
        </w:numPr>
        <w:ind w:left="72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Obtener de sus Terceros las Garantías que corresponda y entregar dichas Garantías a </w:t>
      </w:r>
      <w:r w:rsidRPr="002C0D19">
        <w:rPr>
          <w:rFonts w:ascii="Arial Narrow" w:hAnsi="Arial Narrow" w:cs="Arial"/>
          <w:b/>
          <w:color w:val="000000" w:themeColor="text1"/>
          <w:lang w:val="es-ES" w:eastAsia="es-ES"/>
        </w:rPr>
        <w:t xml:space="preserve">EL MIEMBRO LIQUIDADOR GENERAL </w:t>
      </w:r>
      <w:r w:rsidRPr="002C0D19">
        <w:rPr>
          <w:rFonts w:ascii="Arial Narrow" w:hAnsi="Arial Narrow" w:cs="Arial"/>
          <w:color w:val="000000" w:themeColor="text1"/>
          <w:lang w:val="es-ES" w:eastAsia="es-ES"/>
        </w:rPr>
        <w:t>y/o a</w:t>
      </w:r>
      <w:r w:rsidRPr="002C0D19">
        <w:rPr>
          <w:rFonts w:ascii="Arial Narrow" w:hAnsi="Arial Narrow" w:cs="Arial"/>
          <w:b/>
          <w:color w:val="000000" w:themeColor="text1"/>
          <w:lang w:val="es-ES" w:eastAsia="es-ES"/>
        </w:rPr>
        <w:t xml:space="preserve"> LA CRCC</w:t>
      </w:r>
      <w:r w:rsidRPr="002C0D19">
        <w:rPr>
          <w:rFonts w:ascii="Arial Narrow" w:hAnsi="Arial Narrow" w:cs="Arial"/>
          <w:color w:val="000000" w:themeColor="text1"/>
          <w:lang w:val="es-ES" w:eastAsia="es-ES"/>
        </w:rPr>
        <w:t>, con las particularidades que se establezcan por Circular para cada Segmento y en los términos establecidos en el Reglamento.</w:t>
      </w:r>
    </w:p>
    <w:p w14:paraId="3030451B" w14:textId="77777777" w:rsidR="007968EC" w:rsidRPr="002C0D19" w:rsidRDefault="007968EC" w:rsidP="00DA7472">
      <w:pPr>
        <w:numPr>
          <w:ilvl w:val="0"/>
          <w:numId w:val="47"/>
        </w:numPr>
        <w:ind w:left="720"/>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Cumplir con las obligaciones adquiridas con </w:t>
      </w:r>
      <w:r w:rsidRPr="002C0D19">
        <w:rPr>
          <w:rFonts w:ascii="Arial Narrow" w:hAnsi="Arial Narrow" w:cs="Arial"/>
          <w:b/>
          <w:color w:val="000000" w:themeColor="text1"/>
          <w:lang w:val="es-ES" w:eastAsia="es-ES"/>
        </w:rPr>
        <w:t>EL MIEMBRO LIQUIDADOR GENERAL</w:t>
      </w:r>
      <w:r w:rsidRPr="002C0D19">
        <w:rPr>
          <w:rFonts w:ascii="Arial Narrow" w:hAnsi="Arial Narrow" w:cs="Arial"/>
          <w:color w:val="000000" w:themeColor="text1"/>
          <w:lang w:eastAsia="es-ES"/>
        </w:rPr>
        <w:t xml:space="preserve"> y mantener en todo momento los niveles de solvencia y los estándares operativos que éste le exija.</w:t>
      </w:r>
    </w:p>
    <w:p w14:paraId="46D7E32B" w14:textId="77777777" w:rsidR="007968EC" w:rsidRPr="002C0D19" w:rsidRDefault="007968EC" w:rsidP="00DA7472">
      <w:pPr>
        <w:numPr>
          <w:ilvl w:val="0"/>
          <w:numId w:val="47"/>
        </w:numPr>
        <w:ind w:left="720"/>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Responder frente a </w:t>
      </w:r>
      <w:r w:rsidRPr="002C0D19">
        <w:rPr>
          <w:rFonts w:ascii="Arial Narrow" w:hAnsi="Arial Narrow" w:cs="Arial"/>
          <w:b/>
          <w:color w:val="000000" w:themeColor="text1"/>
          <w:lang w:val="es-ES" w:eastAsia="es-ES"/>
        </w:rPr>
        <w:t>EL MIEMBRO LIQUIDADOR GENERAL</w:t>
      </w:r>
      <w:r w:rsidRPr="002C0D19">
        <w:rPr>
          <w:rFonts w:ascii="Arial Narrow" w:hAnsi="Arial Narrow" w:cs="Arial"/>
          <w:color w:val="000000" w:themeColor="text1"/>
          <w:lang w:eastAsia="es-ES"/>
        </w:rPr>
        <w:t xml:space="preserve"> por el cumplimiento de las obligaciones resultantes de Operaciones Aceptadas por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celebradas por cuenta propia o por cuenta de sus Terceros.  </w:t>
      </w:r>
    </w:p>
    <w:p w14:paraId="6332B199" w14:textId="77777777" w:rsidR="007968EC" w:rsidRPr="002C0D19" w:rsidRDefault="007968EC" w:rsidP="00DA7472">
      <w:pPr>
        <w:numPr>
          <w:ilvl w:val="0"/>
          <w:numId w:val="47"/>
        </w:numPr>
        <w:ind w:left="720"/>
        <w:jc w:val="both"/>
        <w:rPr>
          <w:rFonts w:ascii="Arial Narrow" w:hAnsi="Arial Narrow" w:cs="Arial"/>
          <w:color w:val="000000" w:themeColor="text1"/>
          <w:lang w:val="es-ES" w:eastAsia="es-ES"/>
        </w:rPr>
      </w:pPr>
      <w:r w:rsidRPr="002C0D19">
        <w:rPr>
          <w:rFonts w:ascii="Arial Narrow" w:hAnsi="Arial Narrow" w:cs="Arial"/>
          <w:color w:val="000000" w:themeColor="text1"/>
          <w:lang w:eastAsia="es-ES"/>
        </w:rPr>
        <w:t>Responder de forma oportuna y en los plazos establecidos para tal efecto, por el cumplimiento y/o pago</w:t>
      </w:r>
      <w:r w:rsidRPr="002C0D19">
        <w:rPr>
          <w:rFonts w:ascii="Arial Narrow" w:hAnsi="Arial Narrow" w:cs="Arial"/>
          <w:b/>
          <w:color w:val="000000" w:themeColor="text1"/>
          <w:lang w:eastAsia="es-ES"/>
        </w:rPr>
        <w:t xml:space="preserve"> </w:t>
      </w:r>
      <w:r w:rsidRPr="002C0D19">
        <w:rPr>
          <w:rFonts w:ascii="Arial Narrow" w:hAnsi="Arial Narrow" w:cs="Arial"/>
          <w:color w:val="000000" w:themeColor="text1"/>
          <w:lang w:eastAsia="es-ES"/>
        </w:rPr>
        <w:t xml:space="preserve">de todas las obligaciones y sumas inherentes </w:t>
      </w:r>
      <w:r w:rsidRPr="002C0D19">
        <w:rPr>
          <w:rFonts w:ascii="Arial Narrow" w:hAnsi="Arial Narrow" w:cs="Arial"/>
          <w:color w:val="000000" w:themeColor="text1"/>
          <w:lang w:val="es-ES" w:eastAsia="es-ES"/>
        </w:rPr>
        <w:t>a las Operaciones</w:t>
      </w:r>
      <w:r w:rsidRPr="002C0D19">
        <w:rPr>
          <w:rFonts w:ascii="Arial Narrow" w:hAnsi="Arial Narrow" w:cs="Arial"/>
          <w:i/>
          <w:color w:val="000000" w:themeColor="text1"/>
          <w:lang w:val="es-ES" w:eastAsia="es-ES"/>
        </w:rPr>
        <w:t xml:space="preserve"> </w:t>
      </w:r>
      <w:r w:rsidRPr="002C0D19">
        <w:rPr>
          <w:rFonts w:ascii="Arial Narrow" w:hAnsi="Arial Narrow" w:cs="Arial"/>
          <w:color w:val="000000" w:themeColor="text1"/>
          <w:lang w:val="es-ES" w:eastAsia="es-ES"/>
        </w:rPr>
        <w:t xml:space="preserve">Aceptadas por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ya sean por cuenta propia o por cuenta de sus Terceros. </w:t>
      </w:r>
    </w:p>
    <w:p w14:paraId="2AD437A4" w14:textId="77777777" w:rsidR="007968EC" w:rsidRPr="002C0D19" w:rsidRDefault="007968EC" w:rsidP="00DA7472">
      <w:pPr>
        <w:numPr>
          <w:ilvl w:val="0"/>
          <w:numId w:val="47"/>
        </w:numPr>
        <w:ind w:left="720"/>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Mantener la cuenta de depósito de la que es titular directo en el Banco de la República, o a través de un Agente de Pago, para la realización de los cobros y pagos relativos a las liquidaciones de las Operaciones Aceptadas. </w:t>
      </w:r>
    </w:p>
    <w:p w14:paraId="2A674820" w14:textId="77777777" w:rsidR="007968EC" w:rsidRPr="002C0D19" w:rsidRDefault="007968EC" w:rsidP="00DA7472">
      <w:pPr>
        <w:numPr>
          <w:ilvl w:val="0"/>
          <w:numId w:val="47"/>
        </w:numPr>
        <w:ind w:left="720"/>
        <w:jc w:val="both"/>
        <w:rPr>
          <w:rFonts w:ascii="Arial Narrow" w:hAnsi="Arial Narrow" w:cs="Arial"/>
          <w:color w:val="000000" w:themeColor="text1"/>
          <w:lang w:val="es-ES" w:eastAsia="es-ES"/>
        </w:rPr>
      </w:pPr>
      <w:r w:rsidRPr="002C0D19">
        <w:rPr>
          <w:rFonts w:ascii="Arial Narrow" w:hAnsi="Arial Narrow" w:cs="Arial"/>
          <w:color w:val="000000" w:themeColor="text1"/>
          <w:lang w:eastAsia="es-ES"/>
        </w:rPr>
        <w:t>Mantener</w:t>
      </w:r>
      <w:r w:rsidRPr="002C0D19">
        <w:rPr>
          <w:rFonts w:ascii="Arial Narrow" w:hAnsi="Arial Narrow" w:cs="Arial"/>
          <w:color w:val="000000" w:themeColor="text1"/>
          <w:lang w:val="es-ES" w:eastAsia="es-ES"/>
        </w:rPr>
        <w:t xml:space="preserve"> </w:t>
      </w:r>
      <w:r w:rsidRPr="002C0D19">
        <w:rPr>
          <w:rFonts w:ascii="Arial Narrow" w:hAnsi="Arial Narrow" w:cs="Arial"/>
          <w:color w:val="000000" w:themeColor="text1"/>
          <w:lang w:eastAsia="es-ES"/>
        </w:rPr>
        <w:t xml:space="preserve">las cuentas de depósito de las que es titular en calidad de Depositante Directo, o a través de un Agente Custodio, en los depósitos centralizados de valores que corresponda. </w:t>
      </w:r>
    </w:p>
    <w:p w14:paraId="5746BA48" w14:textId="77777777" w:rsidR="007968EC" w:rsidRPr="002C0D19" w:rsidRDefault="007968EC" w:rsidP="00DA7472">
      <w:pPr>
        <w:numPr>
          <w:ilvl w:val="0"/>
          <w:numId w:val="47"/>
        </w:numPr>
        <w:ind w:left="72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En caso de incumplimiento de las obligaciones a cargo de alguno de los Terceros por cuenta de los cuales actúe,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w:t>
      </w:r>
      <w:r w:rsidRPr="002C0D19">
        <w:rPr>
          <w:rFonts w:ascii="Arial Narrow" w:hAnsi="Arial Narrow" w:cs="Arial"/>
          <w:b/>
          <w:color w:val="000000" w:themeColor="text1"/>
          <w:lang w:val="es-ES" w:eastAsia="es-ES"/>
        </w:rPr>
        <w:t>NO LIQUIDADOR</w:t>
      </w:r>
      <w:r w:rsidRPr="002C0D19">
        <w:rPr>
          <w:rFonts w:ascii="Arial Narrow" w:hAnsi="Arial Narrow" w:cs="Arial"/>
          <w:color w:val="000000" w:themeColor="text1"/>
          <w:lang w:val="es-ES" w:eastAsia="es-ES"/>
        </w:rPr>
        <w:t xml:space="preserve"> deberá informar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y </w:t>
      </w:r>
      <w:r w:rsidRPr="002C0D19">
        <w:rPr>
          <w:rFonts w:ascii="Arial Narrow" w:hAnsi="Arial Narrow" w:cs="Arial"/>
          <w:color w:val="000000" w:themeColor="text1"/>
          <w:lang w:eastAsia="es-ES"/>
        </w:rPr>
        <w:t xml:space="preserve">a </w:t>
      </w:r>
      <w:r w:rsidRPr="002C0D19">
        <w:rPr>
          <w:rFonts w:ascii="Arial Narrow" w:hAnsi="Arial Narrow" w:cs="Arial"/>
          <w:b/>
          <w:color w:val="000000" w:themeColor="text1"/>
          <w:lang w:val="es-ES" w:eastAsia="es-ES"/>
        </w:rPr>
        <w:t>EL MIEMBRO LIQUIDADOR GENERAL</w:t>
      </w:r>
      <w:r w:rsidRPr="002C0D19">
        <w:rPr>
          <w:rFonts w:ascii="Arial Narrow" w:hAnsi="Arial Narrow" w:cs="Arial"/>
          <w:color w:val="000000" w:themeColor="text1"/>
          <w:lang w:eastAsia="es-ES"/>
        </w:rPr>
        <w:t xml:space="preserve">, </w:t>
      </w:r>
      <w:r w:rsidRPr="002C0D19">
        <w:rPr>
          <w:rFonts w:ascii="Arial Narrow" w:hAnsi="Arial Narrow" w:cs="Arial"/>
          <w:color w:val="000000" w:themeColor="text1"/>
          <w:lang w:val="es-ES" w:eastAsia="es-ES"/>
        </w:rPr>
        <w:t xml:space="preserve">de tal situación de forma inmediata y por los medios establecidos por la misma. </w:t>
      </w:r>
    </w:p>
    <w:p w14:paraId="4F654102" w14:textId="77777777" w:rsidR="007968EC" w:rsidRPr="002C0D19" w:rsidRDefault="007968EC" w:rsidP="00DA7472">
      <w:pPr>
        <w:numPr>
          <w:ilvl w:val="0"/>
          <w:numId w:val="47"/>
        </w:numPr>
        <w:ind w:left="72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Entregar a </w:t>
      </w:r>
      <w:r w:rsidRPr="002C0D19">
        <w:rPr>
          <w:rFonts w:ascii="Arial Narrow" w:hAnsi="Arial Narrow" w:cs="Arial"/>
          <w:b/>
          <w:color w:val="000000" w:themeColor="text1"/>
          <w:lang w:val="es-ES" w:eastAsia="es-ES"/>
        </w:rPr>
        <w:t xml:space="preserve">EL MIEMBRO LIQUIDADOR GENERAL </w:t>
      </w:r>
      <w:r w:rsidRPr="002C0D19">
        <w:rPr>
          <w:rFonts w:ascii="Arial Narrow" w:hAnsi="Arial Narrow" w:cs="Arial"/>
          <w:color w:val="000000" w:themeColor="text1"/>
          <w:lang w:val="es-ES" w:eastAsia="es-ES"/>
        </w:rPr>
        <w:t xml:space="preserve">los dineros o los Activos que le corresponda entregar en virtud de las operaciones realizadas por su cuenta o por cuenta de sus Terceros. </w:t>
      </w:r>
    </w:p>
    <w:p w14:paraId="7A7BD64B" w14:textId="77777777" w:rsidR="007968EC" w:rsidRPr="002C0D19" w:rsidRDefault="007968EC" w:rsidP="00DA7472">
      <w:pPr>
        <w:numPr>
          <w:ilvl w:val="0"/>
          <w:numId w:val="47"/>
        </w:numPr>
        <w:ind w:left="72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Cumplir sus obligaciones pendientes y, en su caso, las de sus Terceros, para con </w:t>
      </w:r>
      <w:r w:rsidRPr="002C0D19">
        <w:rPr>
          <w:rFonts w:ascii="Arial Narrow" w:hAnsi="Arial Narrow" w:cs="Arial"/>
          <w:b/>
          <w:color w:val="000000" w:themeColor="text1"/>
          <w:lang w:val="es-ES" w:eastAsia="es-ES"/>
        </w:rPr>
        <w:t>EL MIEMBRO LIQUIDADOR GENERAL</w:t>
      </w:r>
      <w:r w:rsidRPr="002C0D19">
        <w:rPr>
          <w:rFonts w:ascii="Arial Narrow" w:hAnsi="Arial Narrow" w:cs="Arial"/>
          <w:color w:val="000000" w:themeColor="text1"/>
          <w:lang w:val="es-ES" w:eastAsia="es-ES"/>
        </w:rPr>
        <w:t xml:space="preserve"> y/o para con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 xml:space="preserve">incluso después de cesar, por cualquier causa, como Miembro no Liquidador. </w:t>
      </w:r>
    </w:p>
    <w:p w14:paraId="7BD90303" w14:textId="77777777" w:rsidR="007968EC" w:rsidRPr="002C0D19" w:rsidRDefault="007968EC" w:rsidP="00DA7472">
      <w:pPr>
        <w:numPr>
          <w:ilvl w:val="0"/>
          <w:numId w:val="47"/>
        </w:numPr>
        <w:ind w:left="72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Responder frente a </w:t>
      </w:r>
      <w:r w:rsidRPr="002C0D19">
        <w:rPr>
          <w:rFonts w:ascii="Arial Narrow" w:hAnsi="Arial Narrow" w:cs="Arial"/>
          <w:b/>
          <w:color w:val="000000" w:themeColor="text1"/>
          <w:lang w:val="es-ES" w:eastAsia="es-ES"/>
        </w:rPr>
        <w:t>EL MIEMBRO LIQUIDADOR GENERAL</w:t>
      </w:r>
      <w:r w:rsidRPr="002C0D19">
        <w:rPr>
          <w:rFonts w:ascii="Arial Narrow" w:hAnsi="Arial Narrow" w:cs="Arial"/>
          <w:color w:val="000000" w:themeColor="text1"/>
          <w:lang w:val="es-ES" w:eastAsia="es-ES"/>
        </w:rPr>
        <w:t xml:space="preserve"> por la constitución y mantenimiento, con los ajustes procedentes, de las Garantías de sus Terceros. En el evento en que uno de sus Terceros no constituya las Garantías mencionadas,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w:t>
      </w:r>
      <w:r w:rsidRPr="002C0D19">
        <w:rPr>
          <w:rFonts w:ascii="Arial Narrow" w:hAnsi="Arial Narrow" w:cs="Arial"/>
          <w:b/>
          <w:color w:val="000000" w:themeColor="text1"/>
          <w:lang w:val="es-ES" w:eastAsia="es-ES"/>
        </w:rPr>
        <w:t>NO LIQUIDADOR</w:t>
      </w:r>
      <w:r w:rsidRPr="002C0D19">
        <w:rPr>
          <w:rFonts w:ascii="Arial Narrow" w:hAnsi="Arial Narrow" w:cs="Arial"/>
          <w:color w:val="000000" w:themeColor="text1"/>
          <w:lang w:val="es-ES" w:eastAsia="es-ES"/>
        </w:rPr>
        <w:t xml:space="preserve"> se obliga a constituirlas y mantenerlas con los ajustes procedentes.</w:t>
      </w:r>
    </w:p>
    <w:p w14:paraId="4F558F63" w14:textId="77777777" w:rsidR="007968EC" w:rsidRPr="002C0D19" w:rsidRDefault="007968EC" w:rsidP="00DA7472">
      <w:pPr>
        <w:numPr>
          <w:ilvl w:val="0"/>
          <w:numId w:val="47"/>
        </w:numPr>
        <w:ind w:left="72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Entregar a </w:t>
      </w:r>
      <w:r w:rsidRPr="002C0D19">
        <w:rPr>
          <w:rFonts w:ascii="Arial Narrow" w:hAnsi="Arial Narrow" w:cs="Arial"/>
          <w:b/>
          <w:color w:val="000000" w:themeColor="text1"/>
          <w:lang w:val="es-ES" w:eastAsia="es-ES"/>
        </w:rPr>
        <w:t>EL MIEMBRO LIQUIDADOR GENERAL</w:t>
      </w:r>
      <w:r w:rsidRPr="002C0D19">
        <w:rPr>
          <w:rFonts w:ascii="Arial Narrow" w:hAnsi="Arial Narrow" w:cs="Arial"/>
          <w:color w:val="000000" w:themeColor="text1"/>
          <w:lang w:val="es-ES" w:eastAsia="es-ES"/>
        </w:rPr>
        <w:t xml:space="preserve"> y/o a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 xml:space="preserve">la información que éstos soliciten en cumplimiento de sus funciones. </w:t>
      </w:r>
    </w:p>
    <w:p w14:paraId="206AA833" w14:textId="77777777" w:rsidR="007968EC" w:rsidRPr="002C0D19" w:rsidRDefault="007968EC" w:rsidP="00DA7472">
      <w:pPr>
        <w:numPr>
          <w:ilvl w:val="0"/>
          <w:numId w:val="47"/>
        </w:numPr>
        <w:ind w:left="72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En caso de ser titular de una </w:t>
      </w:r>
      <w:r>
        <w:rPr>
          <w:rFonts w:ascii="Arial Narrow" w:hAnsi="Arial Narrow" w:cs="Arial"/>
          <w:color w:val="000000" w:themeColor="text1"/>
          <w:lang w:val="es-ES" w:eastAsia="es-ES"/>
        </w:rPr>
        <w:t>C</w:t>
      </w:r>
      <w:r w:rsidRPr="002C0D19">
        <w:rPr>
          <w:rFonts w:ascii="Arial Narrow" w:hAnsi="Arial Narrow" w:cs="Arial"/>
          <w:color w:val="000000" w:themeColor="text1"/>
          <w:lang w:val="es-ES" w:eastAsia="es-ES"/>
        </w:rPr>
        <w:t>uenta de Tercero</w:t>
      </w:r>
      <w:r>
        <w:rPr>
          <w:rFonts w:ascii="Arial Narrow" w:hAnsi="Arial Narrow" w:cs="Arial"/>
          <w:color w:val="000000" w:themeColor="text1"/>
          <w:lang w:val="es-ES" w:eastAsia="es-ES"/>
        </w:rPr>
        <w:t xml:space="preserve"> Ómnibus Segregada por Miembro</w:t>
      </w:r>
      <w:r w:rsidRPr="002C0D19">
        <w:rPr>
          <w:rFonts w:ascii="Arial Narrow" w:hAnsi="Arial Narrow" w:cs="Arial"/>
          <w:color w:val="000000" w:themeColor="text1"/>
          <w:lang w:val="es-ES" w:eastAsia="es-ES"/>
        </w:rPr>
        <w:t xml:space="preserve">, determinar el beneficiario efectivo de las Operaciones Aceptadas por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 xml:space="preserve">y mantener a disposición de </w:t>
      </w:r>
      <w:r w:rsidRPr="002C0D19">
        <w:rPr>
          <w:rFonts w:ascii="Arial Narrow" w:hAnsi="Arial Narrow" w:cs="Arial"/>
          <w:b/>
          <w:color w:val="000000" w:themeColor="text1"/>
          <w:lang w:val="es-ES" w:eastAsia="es-ES"/>
        </w:rPr>
        <w:t xml:space="preserve">EL MIEMBRO LIQUIDADOR GENERAL, </w:t>
      </w:r>
      <w:r w:rsidRPr="002C0D19">
        <w:rPr>
          <w:rFonts w:ascii="Arial Narrow" w:hAnsi="Arial Narrow" w:cs="Arial"/>
          <w:color w:val="000000" w:themeColor="text1"/>
          <w:lang w:val="es-ES" w:eastAsia="es-ES"/>
        </w:rPr>
        <w:t xml:space="preserve">de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y de las Autoridades Competentes, el registro detallado e individualizado de todas las operaciones, posiciones y las Garantías correspondientes a cada uno de los Terceros no Identificados</w:t>
      </w:r>
      <w:r w:rsidRPr="002C0D19">
        <w:rPr>
          <w:rFonts w:ascii="Arial Narrow" w:hAnsi="Arial Narrow" w:cs="Arial"/>
          <w:b/>
          <w:color w:val="000000" w:themeColor="text1"/>
          <w:lang w:val="es-ES" w:eastAsia="es-ES"/>
        </w:rPr>
        <w:t>.</w:t>
      </w:r>
    </w:p>
    <w:p w14:paraId="36C38132" w14:textId="77777777" w:rsidR="007968EC" w:rsidRPr="002C0D19" w:rsidRDefault="007968EC" w:rsidP="00DA7472">
      <w:pPr>
        <w:numPr>
          <w:ilvl w:val="0"/>
          <w:numId w:val="47"/>
        </w:numPr>
        <w:ind w:left="72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Entregar a sus Terceros los Activos y dineros correspondientes a las Operaciones Aceptadas.</w:t>
      </w:r>
    </w:p>
    <w:p w14:paraId="05403EBF" w14:textId="77777777" w:rsidR="007968EC" w:rsidRPr="002C0D19" w:rsidRDefault="007968EC" w:rsidP="00DA7472">
      <w:pPr>
        <w:numPr>
          <w:ilvl w:val="0"/>
          <w:numId w:val="47"/>
        </w:numPr>
        <w:ind w:left="72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Abstenerse de efectuar operaciones con instrumentos financieros derivados que impliquen la transferencia de propiedad de un número de acciones para cuya adquisición deba efectuarse oferta </w:t>
      </w:r>
      <w:r w:rsidRPr="002C0D19">
        <w:rPr>
          <w:rFonts w:ascii="Arial Narrow" w:hAnsi="Arial Narrow" w:cs="Arial"/>
          <w:color w:val="000000" w:themeColor="text1"/>
          <w:lang w:val="es-ES" w:eastAsia="es-ES"/>
        </w:rPr>
        <w:lastRenderedPageBreak/>
        <w:t>pública, de conformidad con lo dispuesto en el artículo 6.15.2.1 del Decreto 2555 de 2010 y demás normas que lo modifiquen o sustituyan.</w:t>
      </w:r>
    </w:p>
    <w:p w14:paraId="0CB3E83A" w14:textId="77777777" w:rsidR="007968EC" w:rsidRPr="002C0D19" w:rsidRDefault="007968EC" w:rsidP="00DA7472">
      <w:pPr>
        <w:numPr>
          <w:ilvl w:val="0"/>
          <w:numId w:val="47"/>
        </w:numPr>
        <w:ind w:left="720"/>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Abstenerse de realizar cualquier acto que afecte la eficiencia, seguridad, integridad y confiabilidad de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w:t>
      </w:r>
    </w:p>
    <w:p w14:paraId="6CE0AD71" w14:textId="77777777" w:rsidR="007968EC" w:rsidRPr="002C0D19" w:rsidRDefault="007968EC" w:rsidP="00DA7472">
      <w:pPr>
        <w:numPr>
          <w:ilvl w:val="0"/>
          <w:numId w:val="47"/>
        </w:numPr>
        <w:ind w:left="720"/>
        <w:jc w:val="both"/>
        <w:rPr>
          <w:rFonts w:ascii="Arial Narrow" w:hAnsi="Arial Narrow" w:cs="Arial"/>
          <w:color w:val="000000" w:themeColor="text1"/>
          <w:lang w:val="es-ES" w:eastAsia="es-ES"/>
        </w:rPr>
      </w:pPr>
      <w:r w:rsidRPr="002C0D19">
        <w:rPr>
          <w:rFonts w:ascii="Arial Narrow" w:hAnsi="Arial Narrow" w:cs="Arial"/>
          <w:color w:val="000000" w:themeColor="text1"/>
          <w:lang w:eastAsia="es-ES"/>
        </w:rPr>
        <w:t xml:space="preserve">Informar a </w:t>
      </w:r>
      <w:r w:rsidRPr="002C0D19">
        <w:rPr>
          <w:rFonts w:ascii="Arial Narrow" w:hAnsi="Arial Narrow" w:cs="Arial"/>
          <w:b/>
          <w:color w:val="000000" w:themeColor="text1"/>
          <w:lang w:val="es-ES" w:eastAsia="es-ES"/>
        </w:rPr>
        <w:t>EL MIEMBRO LIQUIDADOR GENERAL</w:t>
      </w:r>
      <w:r w:rsidRPr="002C0D19">
        <w:rPr>
          <w:rFonts w:ascii="Arial Narrow" w:hAnsi="Arial Narrow" w:cs="Arial"/>
          <w:color w:val="000000" w:themeColor="text1"/>
          <w:lang w:val="es-ES" w:eastAsia="es-ES"/>
        </w:rPr>
        <w:t xml:space="preserve"> y a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de cualquier hecho o situación que atente contra la transparencia y seguridad del Sistema.</w:t>
      </w:r>
    </w:p>
    <w:p w14:paraId="026AC6FC" w14:textId="77777777" w:rsidR="007968EC" w:rsidRPr="002C0D19" w:rsidRDefault="007968EC" w:rsidP="007968EC">
      <w:pPr>
        <w:jc w:val="both"/>
        <w:rPr>
          <w:rFonts w:ascii="Arial Narrow" w:hAnsi="Arial Narrow" w:cs="Arial"/>
          <w:b/>
          <w:bCs/>
          <w:color w:val="000000" w:themeColor="text1"/>
          <w:u w:val="single"/>
          <w:lang w:val="es-ES" w:eastAsia="es-ES"/>
        </w:rPr>
      </w:pPr>
    </w:p>
    <w:p w14:paraId="556059A2" w14:textId="77777777" w:rsidR="007968EC" w:rsidRPr="002C0D19" w:rsidRDefault="007968EC" w:rsidP="007968EC">
      <w:pPr>
        <w:jc w:val="both"/>
        <w:rPr>
          <w:rFonts w:ascii="Arial Narrow" w:hAnsi="Arial Narrow" w:cs="Arial"/>
          <w:bCs/>
          <w:color w:val="000000" w:themeColor="text1"/>
          <w:lang w:eastAsia="es-ES"/>
        </w:rPr>
      </w:pPr>
      <w:r w:rsidRPr="002C0D19">
        <w:rPr>
          <w:rFonts w:ascii="Arial Narrow" w:hAnsi="Arial Narrow" w:cs="Arial"/>
          <w:b/>
          <w:bCs/>
          <w:color w:val="000000" w:themeColor="text1"/>
          <w:u w:val="single"/>
          <w:lang w:val="es-ES" w:eastAsia="es-ES"/>
        </w:rPr>
        <w:t>CUARTA. Obligaciones de EL MIEMBRO LIQUIDADOR GENERAL.</w:t>
      </w:r>
      <w:r w:rsidRPr="002C0D19">
        <w:rPr>
          <w:rFonts w:ascii="Arial Narrow" w:hAnsi="Arial Narrow" w:cs="Arial"/>
          <w:color w:val="000000" w:themeColor="text1"/>
          <w:lang w:val="es-ES" w:eastAsia="es-ES"/>
        </w:rPr>
        <w:t> Sin perjuicio</w:t>
      </w:r>
      <w:r w:rsidRPr="002C0D19">
        <w:rPr>
          <w:rFonts w:ascii="Arial Narrow" w:hAnsi="Arial Narrow" w:cs="Arial"/>
          <w:b/>
          <w:color w:val="000000" w:themeColor="text1"/>
          <w:lang w:val="es-ES" w:eastAsia="es-ES"/>
        </w:rPr>
        <w:t xml:space="preserve"> </w:t>
      </w:r>
      <w:r w:rsidRPr="002C0D19">
        <w:rPr>
          <w:rFonts w:ascii="Arial Narrow" w:hAnsi="Arial Narrow" w:cs="Arial"/>
          <w:bCs/>
          <w:color w:val="000000" w:themeColor="text1"/>
          <w:lang w:eastAsia="es-ES"/>
        </w:rPr>
        <w:t xml:space="preserve">de las obligaciones previstas en las demás cláusulas de la presente Oferta, en el </w:t>
      </w:r>
      <w:r w:rsidRPr="002C0D19">
        <w:rPr>
          <w:rFonts w:ascii="Arial Narrow" w:hAnsi="Arial Narrow" w:cs="Arial"/>
          <w:color w:val="000000" w:themeColor="text1"/>
          <w:lang w:val="es-ES" w:eastAsia="es-ES"/>
        </w:rPr>
        <w:t xml:space="preserve">Reglamento, las Circulares y los Instructivos Operativos de </w:t>
      </w:r>
      <w:r w:rsidRPr="002C0D19">
        <w:rPr>
          <w:rFonts w:ascii="Arial Narrow" w:hAnsi="Arial Narrow" w:cs="Arial"/>
          <w:b/>
          <w:color w:val="000000" w:themeColor="text1"/>
          <w:lang w:val="es-ES" w:eastAsia="es-ES"/>
        </w:rPr>
        <w:t>LA CRCC,</w:t>
      </w:r>
      <w:r w:rsidRPr="002C0D19">
        <w:rPr>
          <w:rFonts w:ascii="Arial Narrow" w:hAnsi="Arial Narrow" w:cs="Arial"/>
          <w:bCs/>
          <w:color w:val="000000" w:themeColor="text1"/>
          <w:lang w:eastAsia="es-ES"/>
        </w:rPr>
        <w:t xml:space="preserve"> son obligaciones principales de </w:t>
      </w:r>
      <w:r w:rsidRPr="002C0D19">
        <w:rPr>
          <w:rFonts w:ascii="Arial Narrow" w:hAnsi="Arial Narrow" w:cs="Arial"/>
          <w:b/>
          <w:bCs/>
          <w:color w:val="000000" w:themeColor="text1"/>
          <w:lang w:eastAsia="es-ES"/>
        </w:rPr>
        <w:t xml:space="preserve">EL MIEMBRO LIQUIDADOR GENERAL, </w:t>
      </w:r>
      <w:r w:rsidRPr="002C0D19">
        <w:rPr>
          <w:rFonts w:ascii="Arial Narrow" w:hAnsi="Arial Narrow" w:cs="Arial"/>
          <w:bCs/>
          <w:color w:val="000000" w:themeColor="text1"/>
          <w:lang w:eastAsia="es-ES"/>
        </w:rPr>
        <w:t>las siguientes:</w:t>
      </w:r>
    </w:p>
    <w:p w14:paraId="6C5B7C82" w14:textId="77777777" w:rsidR="007968EC" w:rsidRPr="002C0D19" w:rsidRDefault="007968EC" w:rsidP="007968EC">
      <w:pPr>
        <w:jc w:val="both"/>
        <w:rPr>
          <w:rFonts w:ascii="Arial Narrow" w:hAnsi="Arial Narrow" w:cs="Arial"/>
          <w:bCs/>
          <w:color w:val="000000" w:themeColor="text1"/>
          <w:lang w:eastAsia="es-ES"/>
        </w:rPr>
      </w:pPr>
    </w:p>
    <w:p w14:paraId="0CC48436" w14:textId="77777777" w:rsidR="007968EC" w:rsidRPr="002C0D19" w:rsidRDefault="007968EC" w:rsidP="00DA7472">
      <w:pPr>
        <w:numPr>
          <w:ilvl w:val="0"/>
          <w:numId w:val="48"/>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Cumplir y mantener en todo momento los requisitos generales y especiales de admisión como Miembro Liquidador General</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 xml:space="preserve"> </w:t>
      </w:r>
    </w:p>
    <w:p w14:paraId="6A10BE31" w14:textId="77777777" w:rsidR="007968EC" w:rsidRPr="002C0D19" w:rsidRDefault="007968EC" w:rsidP="00DA7472">
      <w:pPr>
        <w:numPr>
          <w:ilvl w:val="0"/>
          <w:numId w:val="48"/>
        </w:numPr>
        <w:jc w:val="both"/>
        <w:rPr>
          <w:rFonts w:ascii="Arial Narrow" w:hAnsi="Arial Narrow" w:cs="Arial"/>
          <w:color w:val="000000" w:themeColor="text1"/>
          <w:lang w:val="es-ES" w:eastAsia="es-ES"/>
        </w:rPr>
      </w:pPr>
      <w:r w:rsidRPr="002C0D19">
        <w:rPr>
          <w:rFonts w:ascii="Arial Narrow" w:hAnsi="Arial Narrow" w:cs="Arial"/>
          <w:color w:val="000000" w:themeColor="text1"/>
          <w:lang w:eastAsia="es-ES"/>
        </w:rPr>
        <w:t xml:space="preserve">Responder frente a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por el cumplimiento y/o pago</w:t>
      </w:r>
      <w:r w:rsidRPr="002C0D19">
        <w:rPr>
          <w:rFonts w:ascii="Arial Narrow" w:hAnsi="Arial Narrow" w:cs="Arial"/>
          <w:b/>
          <w:color w:val="000000" w:themeColor="text1"/>
          <w:lang w:eastAsia="es-ES"/>
        </w:rPr>
        <w:t xml:space="preserve"> </w:t>
      </w:r>
      <w:r w:rsidRPr="002C0D19">
        <w:rPr>
          <w:rFonts w:ascii="Arial Narrow" w:hAnsi="Arial Narrow" w:cs="Arial"/>
          <w:color w:val="000000" w:themeColor="text1"/>
          <w:lang w:eastAsia="es-ES"/>
        </w:rPr>
        <w:t xml:space="preserve">de todas las obligaciones y sumas inherentes </w:t>
      </w:r>
      <w:r w:rsidRPr="002C0D19">
        <w:rPr>
          <w:rFonts w:ascii="Arial Narrow" w:hAnsi="Arial Narrow" w:cs="Arial"/>
          <w:color w:val="000000" w:themeColor="text1"/>
          <w:lang w:val="es-ES" w:eastAsia="es-ES"/>
        </w:rPr>
        <w:t>a las Operaciones</w:t>
      </w:r>
      <w:r w:rsidRPr="002C0D19">
        <w:rPr>
          <w:rFonts w:ascii="Arial Narrow" w:hAnsi="Arial Narrow" w:cs="Arial"/>
          <w:i/>
          <w:color w:val="000000" w:themeColor="text1"/>
          <w:lang w:val="es-ES" w:eastAsia="es-ES"/>
        </w:rPr>
        <w:t xml:space="preserve"> </w:t>
      </w:r>
      <w:r w:rsidRPr="002C0D19">
        <w:rPr>
          <w:rFonts w:ascii="Arial Narrow" w:hAnsi="Arial Narrow" w:cs="Arial"/>
          <w:color w:val="000000" w:themeColor="text1"/>
          <w:lang w:val="es-ES" w:eastAsia="es-ES"/>
        </w:rPr>
        <w:t xml:space="preserve">Aceptadas por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registradas en la </w:t>
      </w:r>
      <w:r w:rsidRPr="002C0D19">
        <w:rPr>
          <w:rFonts w:ascii="Arial Narrow" w:hAnsi="Arial Narrow" w:cs="Arial"/>
          <w:color w:val="000000" w:themeColor="text1"/>
          <w:lang w:eastAsia="es-ES"/>
        </w:rPr>
        <w:t>Cuenta de Registro de la Cuenta Propia</w:t>
      </w:r>
      <w:r w:rsidRPr="002C0D19" w:rsidDel="001B7426">
        <w:rPr>
          <w:rFonts w:ascii="Arial Narrow" w:hAnsi="Arial Narrow" w:cs="Arial"/>
          <w:color w:val="000000" w:themeColor="text1"/>
          <w:lang w:val="es-ES" w:eastAsia="es-ES"/>
        </w:rPr>
        <w:t xml:space="preserve"> </w:t>
      </w:r>
      <w:r w:rsidRPr="002C0D19">
        <w:rPr>
          <w:rFonts w:ascii="Arial Narrow" w:hAnsi="Arial Narrow" w:cs="Arial"/>
          <w:color w:val="000000" w:themeColor="text1"/>
          <w:lang w:val="es-ES" w:eastAsia="es-ES"/>
        </w:rPr>
        <w:t xml:space="preserve">del </w:t>
      </w:r>
      <w:r w:rsidRPr="002C0D19">
        <w:rPr>
          <w:rFonts w:ascii="Arial Narrow" w:hAnsi="Arial Narrow" w:cs="Arial"/>
          <w:b/>
          <w:color w:val="000000" w:themeColor="text1"/>
          <w:lang w:val="es-ES" w:eastAsia="es-ES"/>
        </w:rPr>
        <w:t>MIEMBRO NO LIQUIDADOR</w:t>
      </w:r>
      <w:r w:rsidRPr="002C0D19">
        <w:rPr>
          <w:rFonts w:ascii="Arial Narrow" w:hAnsi="Arial Narrow" w:cs="Arial"/>
          <w:color w:val="000000" w:themeColor="text1"/>
          <w:lang w:val="es-ES" w:eastAsia="es-ES"/>
        </w:rPr>
        <w:t xml:space="preserve"> o en las Cuentas de Terceros de </w:t>
      </w:r>
      <w:r w:rsidRPr="002C0D19">
        <w:rPr>
          <w:rFonts w:ascii="Arial Narrow" w:hAnsi="Arial Narrow" w:cs="Arial"/>
          <w:b/>
          <w:color w:val="000000" w:themeColor="text1"/>
          <w:lang w:val="es-ES" w:eastAsia="es-ES"/>
        </w:rPr>
        <w:t>EL</w:t>
      </w:r>
      <w:r w:rsidRPr="002C0D19">
        <w:rPr>
          <w:rFonts w:ascii="Arial Narrow" w:hAnsi="Arial Narrow" w:cs="Arial"/>
          <w:color w:val="000000" w:themeColor="text1"/>
          <w:lang w:val="es-ES" w:eastAsia="es-ES"/>
        </w:rPr>
        <w:t xml:space="preserve"> </w:t>
      </w:r>
      <w:r w:rsidRPr="002C0D19">
        <w:rPr>
          <w:rFonts w:ascii="Arial Narrow" w:hAnsi="Arial Narrow" w:cs="Arial"/>
          <w:b/>
          <w:color w:val="000000" w:themeColor="text1"/>
          <w:lang w:val="es-ES" w:eastAsia="es-ES"/>
        </w:rPr>
        <w:t>MIEMBRO NO LIQUIDADOR</w:t>
      </w:r>
      <w:r w:rsidRPr="002C0D19">
        <w:rPr>
          <w:rFonts w:ascii="Arial Narrow" w:hAnsi="Arial Narrow" w:cs="Arial"/>
          <w:color w:val="000000" w:themeColor="text1"/>
          <w:lang w:val="es-ES" w:eastAsia="es-ES"/>
        </w:rPr>
        <w:t>, con las particularidades que se establezcan por Circular para cada Segmento, incluido el pago de comisiones y tarifas.</w:t>
      </w:r>
    </w:p>
    <w:p w14:paraId="1F5D4EF2" w14:textId="77777777" w:rsidR="007968EC" w:rsidRPr="002C0D19" w:rsidRDefault="007968EC" w:rsidP="00DA7472">
      <w:pPr>
        <w:numPr>
          <w:ilvl w:val="0"/>
          <w:numId w:val="48"/>
        </w:numPr>
        <w:ind w:right="-42"/>
        <w:jc w:val="both"/>
        <w:rPr>
          <w:rFonts w:ascii="Arial Narrow" w:hAnsi="Arial Narrow" w:cs="Arial"/>
          <w:color w:val="000000" w:themeColor="text1"/>
          <w:lang w:val="es-ES" w:eastAsia="es-ES"/>
        </w:rPr>
      </w:pPr>
      <w:r w:rsidRPr="002C0D19">
        <w:rPr>
          <w:rFonts w:ascii="Arial Narrow" w:hAnsi="Arial Narrow" w:cs="Arial"/>
          <w:color w:val="000000" w:themeColor="text1"/>
          <w:lang w:eastAsia="es-ES"/>
        </w:rPr>
        <w:t xml:space="preserve">Responder frente a </w:t>
      </w:r>
      <w:r w:rsidRPr="002C0D19">
        <w:rPr>
          <w:rFonts w:ascii="Arial Narrow" w:hAnsi="Arial Narrow" w:cs="Arial"/>
          <w:b/>
          <w:color w:val="000000" w:themeColor="text1"/>
          <w:lang w:eastAsia="es-ES"/>
        </w:rPr>
        <w:t xml:space="preserve">LA CRCC </w:t>
      </w:r>
      <w:r w:rsidRPr="002C0D19">
        <w:rPr>
          <w:rFonts w:ascii="Arial Narrow" w:hAnsi="Arial Narrow" w:cs="Arial"/>
          <w:color w:val="000000" w:themeColor="text1"/>
          <w:lang w:eastAsia="es-ES"/>
        </w:rPr>
        <w:t xml:space="preserve">por las obligaciones de constitución y mantenimiento, con los ajustes procedentes, de las Garantías de </w:t>
      </w:r>
      <w:r w:rsidRPr="002C0D19">
        <w:rPr>
          <w:rFonts w:ascii="Arial Narrow" w:hAnsi="Arial Narrow" w:cs="Arial"/>
          <w:b/>
          <w:color w:val="000000" w:themeColor="text1"/>
          <w:lang w:val="es-ES" w:eastAsia="es-ES"/>
        </w:rPr>
        <w:t>EL</w:t>
      </w:r>
      <w:r w:rsidRPr="002C0D19">
        <w:rPr>
          <w:rFonts w:ascii="Arial Narrow" w:hAnsi="Arial Narrow" w:cs="Arial"/>
          <w:color w:val="000000" w:themeColor="text1"/>
          <w:lang w:val="es-ES" w:eastAsia="es-ES"/>
        </w:rPr>
        <w:t xml:space="preserve"> </w:t>
      </w:r>
      <w:r w:rsidRPr="002C0D19">
        <w:rPr>
          <w:rFonts w:ascii="Arial Narrow" w:hAnsi="Arial Narrow" w:cs="Arial"/>
          <w:b/>
          <w:color w:val="000000" w:themeColor="text1"/>
          <w:lang w:val="es-ES" w:eastAsia="es-ES"/>
        </w:rPr>
        <w:t>MIEMBRO NO LIQUIDADOR</w:t>
      </w:r>
      <w:r w:rsidRPr="002C0D19">
        <w:rPr>
          <w:rFonts w:ascii="Arial Narrow" w:hAnsi="Arial Narrow" w:cs="Arial"/>
          <w:color w:val="000000" w:themeColor="text1"/>
          <w:lang w:val="es-ES" w:eastAsia="es-ES"/>
        </w:rPr>
        <w:t xml:space="preserve"> con el fin de amparar en todo momento el cumplimiento de las operaciones registradas en la </w:t>
      </w:r>
      <w:r w:rsidRPr="002C0D19">
        <w:rPr>
          <w:rFonts w:ascii="Arial Narrow" w:hAnsi="Arial Narrow" w:cs="Arial"/>
          <w:color w:val="000000" w:themeColor="text1"/>
          <w:lang w:eastAsia="es-ES"/>
        </w:rPr>
        <w:t>Cuenta de Registro de la Cuenta Propia</w:t>
      </w:r>
      <w:r w:rsidRPr="002C0D19" w:rsidDel="001B7426">
        <w:rPr>
          <w:rFonts w:ascii="Arial Narrow" w:hAnsi="Arial Narrow" w:cs="Arial"/>
          <w:color w:val="000000" w:themeColor="text1"/>
          <w:lang w:val="es-ES" w:eastAsia="es-ES"/>
        </w:rPr>
        <w:t xml:space="preserve"> </w:t>
      </w:r>
      <w:r w:rsidRPr="002C0D19">
        <w:rPr>
          <w:rFonts w:ascii="Arial Narrow" w:hAnsi="Arial Narrow" w:cs="Arial"/>
          <w:color w:val="000000" w:themeColor="text1"/>
          <w:lang w:val="es-ES" w:eastAsia="es-ES"/>
        </w:rPr>
        <w:t xml:space="preserve">de </w:t>
      </w:r>
      <w:r w:rsidRPr="002C0D19">
        <w:rPr>
          <w:rFonts w:ascii="Arial Narrow" w:hAnsi="Arial Narrow" w:cs="Arial"/>
          <w:b/>
          <w:color w:val="000000" w:themeColor="text1"/>
          <w:lang w:val="es-ES" w:eastAsia="es-ES"/>
        </w:rPr>
        <w:t>EL</w:t>
      </w:r>
      <w:r w:rsidRPr="002C0D19">
        <w:rPr>
          <w:rFonts w:ascii="Arial Narrow" w:hAnsi="Arial Narrow" w:cs="Arial"/>
          <w:color w:val="000000" w:themeColor="text1"/>
          <w:lang w:val="es-ES" w:eastAsia="es-ES"/>
        </w:rPr>
        <w:t xml:space="preserve"> </w:t>
      </w:r>
      <w:r w:rsidRPr="002C0D19">
        <w:rPr>
          <w:rFonts w:ascii="Arial Narrow" w:hAnsi="Arial Narrow" w:cs="Arial"/>
          <w:b/>
          <w:color w:val="000000" w:themeColor="text1"/>
          <w:lang w:val="es-ES" w:eastAsia="es-ES"/>
        </w:rPr>
        <w:t>MIEMBRO NO LIQUIDADOR</w:t>
      </w:r>
      <w:r w:rsidRPr="002C0D19">
        <w:rPr>
          <w:rFonts w:ascii="Arial Narrow" w:hAnsi="Arial Narrow" w:cs="Arial"/>
          <w:color w:val="000000" w:themeColor="text1"/>
          <w:lang w:val="es-ES" w:eastAsia="es-ES"/>
        </w:rPr>
        <w:t xml:space="preserve"> o en las Cuentas de Terceros de </w:t>
      </w:r>
      <w:r w:rsidRPr="002C0D19">
        <w:rPr>
          <w:rFonts w:ascii="Arial Narrow" w:hAnsi="Arial Narrow" w:cs="Arial"/>
          <w:b/>
          <w:color w:val="000000" w:themeColor="text1"/>
          <w:lang w:val="es-ES" w:eastAsia="es-ES"/>
        </w:rPr>
        <w:t>EL</w:t>
      </w:r>
      <w:r w:rsidRPr="002C0D19">
        <w:rPr>
          <w:rFonts w:ascii="Arial Narrow" w:hAnsi="Arial Narrow" w:cs="Arial"/>
          <w:color w:val="000000" w:themeColor="text1"/>
          <w:lang w:val="es-ES" w:eastAsia="es-ES"/>
        </w:rPr>
        <w:t xml:space="preserve"> </w:t>
      </w:r>
      <w:r w:rsidRPr="002C0D19">
        <w:rPr>
          <w:rFonts w:ascii="Arial Narrow" w:hAnsi="Arial Narrow" w:cs="Arial"/>
          <w:b/>
          <w:color w:val="000000" w:themeColor="text1"/>
          <w:lang w:val="es-ES" w:eastAsia="es-ES"/>
        </w:rPr>
        <w:t>MIEMBRO NO LIQUIDADOR.</w:t>
      </w:r>
    </w:p>
    <w:p w14:paraId="59AA5807" w14:textId="77777777" w:rsidR="007968EC" w:rsidRPr="002C0D19" w:rsidRDefault="007968EC" w:rsidP="00DA7472">
      <w:pPr>
        <w:numPr>
          <w:ilvl w:val="0"/>
          <w:numId w:val="48"/>
        </w:numPr>
        <w:ind w:right="-42"/>
        <w:jc w:val="both"/>
        <w:rPr>
          <w:rFonts w:ascii="Arial Narrow" w:hAnsi="Arial Narrow" w:cs="Arial"/>
          <w:color w:val="000000" w:themeColor="text1"/>
          <w:spacing w:val="-3"/>
          <w:lang w:eastAsia="es-ES"/>
        </w:rPr>
      </w:pPr>
      <w:r w:rsidRPr="002C0D19">
        <w:rPr>
          <w:rFonts w:ascii="Arial Narrow" w:hAnsi="Arial Narrow" w:cs="Arial"/>
          <w:b/>
          <w:color w:val="000000" w:themeColor="text1"/>
          <w:spacing w:val="-3"/>
          <w:lang w:eastAsia="es-ES"/>
        </w:rPr>
        <w:t xml:space="preserve">EL MIEMBRO LIQUIDADOR GENERAL </w:t>
      </w:r>
      <w:r w:rsidRPr="002C0D19">
        <w:rPr>
          <w:rFonts w:ascii="Arial Narrow" w:hAnsi="Arial Narrow" w:cs="Arial"/>
          <w:color w:val="000000" w:themeColor="text1"/>
          <w:spacing w:val="-3"/>
          <w:lang w:eastAsia="es-ES"/>
        </w:rPr>
        <w:t xml:space="preserve">se compromete a realizar el pago y el cobro de las sumas de dinero resultantes de las operaciones realizadas por </w:t>
      </w:r>
      <w:r w:rsidRPr="002C0D19">
        <w:rPr>
          <w:rFonts w:ascii="Arial Narrow" w:hAnsi="Arial Narrow" w:cs="Arial"/>
          <w:b/>
          <w:color w:val="000000" w:themeColor="text1"/>
          <w:spacing w:val="-3"/>
          <w:lang w:eastAsia="es-ES"/>
        </w:rPr>
        <w:t>EL MIEMBRO NO LIQUIDADOR,</w:t>
      </w:r>
      <w:r w:rsidRPr="002C0D19">
        <w:rPr>
          <w:rFonts w:ascii="Arial Narrow" w:hAnsi="Arial Narrow" w:cs="Arial"/>
          <w:color w:val="000000" w:themeColor="text1"/>
          <w:spacing w:val="-3"/>
          <w:lang w:eastAsia="es-ES"/>
        </w:rPr>
        <w:t xml:space="preserve"> de conformidad con las liquidaciones recibidas de </w:t>
      </w:r>
      <w:r w:rsidRPr="002C0D19">
        <w:rPr>
          <w:rFonts w:ascii="Arial Narrow" w:hAnsi="Arial Narrow" w:cs="Arial"/>
          <w:b/>
          <w:color w:val="000000" w:themeColor="text1"/>
          <w:spacing w:val="-3"/>
          <w:lang w:eastAsia="es-ES"/>
        </w:rPr>
        <w:t xml:space="preserve">LA CRCC, </w:t>
      </w:r>
      <w:r w:rsidRPr="002C0D19">
        <w:rPr>
          <w:rFonts w:ascii="Arial Narrow" w:hAnsi="Arial Narrow" w:cs="Arial"/>
          <w:color w:val="000000" w:themeColor="text1"/>
          <w:spacing w:val="-3"/>
          <w:lang w:eastAsia="es-ES"/>
        </w:rPr>
        <w:t>bien sea que se trate de</w:t>
      </w:r>
      <w:r w:rsidRPr="002C0D19">
        <w:rPr>
          <w:rFonts w:ascii="Arial Narrow" w:hAnsi="Arial Narrow" w:cs="Arial"/>
          <w:b/>
          <w:color w:val="000000" w:themeColor="text1"/>
          <w:spacing w:val="-3"/>
          <w:lang w:eastAsia="es-ES"/>
        </w:rPr>
        <w:t xml:space="preserve"> </w:t>
      </w:r>
      <w:r w:rsidRPr="002C0D19">
        <w:rPr>
          <w:rFonts w:ascii="Arial Narrow" w:hAnsi="Arial Narrow" w:cs="Arial"/>
          <w:color w:val="000000" w:themeColor="text1"/>
          <w:spacing w:val="-3"/>
          <w:lang w:eastAsia="es-ES"/>
        </w:rPr>
        <w:t xml:space="preserve">operaciones por cuenta de </w:t>
      </w:r>
      <w:r w:rsidRPr="002C0D19">
        <w:rPr>
          <w:rFonts w:ascii="Arial Narrow" w:hAnsi="Arial Narrow" w:cs="Arial"/>
          <w:b/>
          <w:color w:val="000000" w:themeColor="text1"/>
          <w:spacing w:val="-3"/>
          <w:lang w:eastAsia="es-ES"/>
        </w:rPr>
        <w:t>EL MIEMBRO NO LIQUIDADOR</w:t>
      </w:r>
      <w:r w:rsidRPr="002C0D19">
        <w:rPr>
          <w:rFonts w:ascii="Arial Narrow" w:hAnsi="Arial Narrow" w:cs="Arial"/>
          <w:color w:val="000000" w:themeColor="text1"/>
          <w:spacing w:val="-3"/>
          <w:lang w:eastAsia="es-ES"/>
        </w:rPr>
        <w:t xml:space="preserve"> o por cuenta de sus Terceros.  </w:t>
      </w:r>
    </w:p>
    <w:p w14:paraId="76FFF4A2" w14:textId="77777777" w:rsidR="007968EC" w:rsidRPr="002C0D19" w:rsidRDefault="007968EC" w:rsidP="00DA7472">
      <w:pPr>
        <w:numPr>
          <w:ilvl w:val="0"/>
          <w:numId w:val="48"/>
        </w:numPr>
        <w:ind w:right="-42"/>
        <w:jc w:val="both"/>
        <w:rPr>
          <w:rFonts w:ascii="Arial Narrow" w:hAnsi="Arial Narrow" w:cs="Arial"/>
          <w:color w:val="000000" w:themeColor="text1"/>
          <w:spacing w:val="-3"/>
          <w:lang w:eastAsia="es-ES"/>
        </w:rPr>
      </w:pPr>
      <w:r w:rsidRPr="002C0D19">
        <w:rPr>
          <w:rFonts w:ascii="Arial Narrow" w:hAnsi="Arial Narrow" w:cs="Arial"/>
          <w:color w:val="000000" w:themeColor="text1"/>
          <w:spacing w:val="-3"/>
          <w:lang w:eastAsia="es-ES"/>
        </w:rPr>
        <w:t xml:space="preserve">Cumplir con las entregas de efectivo o de Activos que corresponda a cada tipo de Operación Aceptada por </w:t>
      </w:r>
      <w:r w:rsidRPr="002C0D19">
        <w:rPr>
          <w:rFonts w:ascii="Arial Narrow" w:hAnsi="Arial Narrow" w:cs="Arial"/>
          <w:b/>
          <w:color w:val="000000" w:themeColor="text1"/>
          <w:spacing w:val="-3"/>
          <w:lang w:eastAsia="es-ES"/>
        </w:rPr>
        <w:t>LA CRCC</w:t>
      </w:r>
      <w:r w:rsidRPr="002C0D19">
        <w:rPr>
          <w:rFonts w:ascii="Arial Narrow" w:hAnsi="Arial Narrow" w:cs="Arial"/>
          <w:color w:val="000000" w:themeColor="text1"/>
          <w:spacing w:val="-3"/>
          <w:lang w:eastAsia="es-ES"/>
        </w:rPr>
        <w:t xml:space="preserve">, resultantes de operaciones realizadas por </w:t>
      </w:r>
      <w:r w:rsidRPr="002C0D19">
        <w:rPr>
          <w:rFonts w:ascii="Arial Narrow" w:hAnsi="Arial Narrow" w:cs="Arial"/>
          <w:b/>
          <w:color w:val="000000" w:themeColor="text1"/>
          <w:spacing w:val="-3"/>
          <w:lang w:eastAsia="es-ES"/>
        </w:rPr>
        <w:t>EL MIEMBRO NO LIQUIDADOR</w:t>
      </w:r>
      <w:r w:rsidRPr="002C0D19">
        <w:rPr>
          <w:rFonts w:ascii="Arial Narrow" w:hAnsi="Arial Narrow" w:cs="Arial"/>
          <w:color w:val="000000" w:themeColor="text1"/>
          <w:spacing w:val="-3"/>
          <w:lang w:eastAsia="es-ES"/>
        </w:rPr>
        <w:t>, según se establezca mediante Circular.</w:t>
      </w:r>
      <w:r w:rsidRPr="002C0D19">
        <w:rPr>
          <w:rFonts w:ascii="Arial Narrow" w:hAnsi="Arial Narrow" w:cs="Arial"/>
          <w:color w:val="000000" w:themeColor="text1"/>
          <w:lang w:val="es-ES" w:eastAsia="es-ES"/>
        </w:rPr>
        <w:t xml:space="preserve"> </w:t>
      </w:r>
    </w:p>
    <w:p w14:paraId="5458E0DD" w14:textId="77777777" w:rsidR="007968EC" w:rsidRPr="002C0D19" w:rsidRDefault="007968EC" w:rsidP="00DA7472">
      <w:pPr>
        <w:numPr>
          <w:ilvl w:val="0"/>
          <w:numId w:val="48"/>
        </w:numPr>
        <w:ind w:right="-42"/>
        <w:jc w:val="both"/>
        <w:rPr>
          <w:rFonts w:ascii="Arial Narrow" w:hAnsi="Arial Narrow" w:cs="Arial"/>
          <w:color w:val="000000" w:themeColor="text1"/>
          <w:spacing w:val="-3"/>
          <w:lang w:eastAsia="es-ES"/>
        </w:rPr>
      </w:pPr>
      <w:r w:rsidRPr="002C0D19">
        <w:rPr>
          <w:rFonts w:ascii="Arial Narrow" w:hAnsi="Arial Narrow" w:cs="Arial"/>
          <w:color w:val="000000" w:themeColor="text1"/>
          <w:lang w:val="es-ES" w:eastAsia="es-ES"/>
        </w:rPr>
        <w:t xml:space="preserve">Solicitar a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 xml:space="preserve">información sobre la posición global de riesgo de </w:t>
      </w:r>
      <w:r w:rsidRPr="002C0D19">
        <w:rPr>
          <w:rFonts w:ascii="Arial Narrow" w:hAnsi="Arial Narrow" w:cs="Arial"/>
          <w:b/>
          <w:color w:val="000000" w:themeColor="text1"/>
          <w:lang w:val="es-ES" w:eastAsia="es-ES"/>
        </w:rPr>
        <w:t>EL MIEMBRO NO LIQUIDADOR.</w:t>
      </w:r>
    </w:p>
    <w:p w14:paraId="70B75B6B" w14:textId="77777777" w:rsidR="007968EC" w:rsidRPr="002C0D19" w:rsidRDefault="007968EC" w:rsidP="00DA7472">
      <w:pPr>
        <w:numPr>
          <w:ilvl w:val="0"/>
          <w:numId w:val="48"/>
        </w:numPr>
        <w:jc w:val="both"/>
        <w:rPr>
          <w:rFonts w:ascii="Arial Narrow" w:hAnsi="Arial Narrow" w:cs="Arial"/>
          <w:color w:val="000000" w:themeColor="text1"/>
          <w:lang w:val="es-ES" w:eastAsia="es-ES"/>
        </w:rPr>
      </w:pPr>
      <w:r w:rsidRPr="002C0D19">
        <w:rPr>
          <w:rFonts w:ascii="Arial Narrow" w:hAnsi="Arial Narrow" w:cs="Arial"/>
          <w:color w:val="000000" w:themeColor="text1"/>
          <w:spacing w:val="-3"/>
          <w:lang w:eastAsia="es-ES"/>
        </w:rPr>
        <w:t xml:space="preserve">Informar a </w:t>
      </w:r>
      <w:r w:rsidRPr="002C0D19">
        <w:rPr>
          <w:rFonts w:ascii="Arial Narrow" w:hAnsi="Arial Narrow" w:cs="Arial"/>
          <w:b/>
          <w:color w:val="000000" w:themeColor="text1"/>
          <w:spacing w:val="-3"/>
          <w:lang w:eastAsia="es-ES"/>
        </w:rPr>
        <w:t xml:space="preserve">EL MIEMBRO NO LIQUIDADOR </w:t>
      </w:r>
      <w:r w:rsidRPr="002C0D19">
        <w:rPr>
          <w:rFonts w:ascii="Arial Narrow" w:hAnsi="Arial Narrow" w:cs="Arial"/>
          <w:color w:val="000000" w:themeColor="text1"/>
          <w:spacing w:val="-3"/>
          <w:lang w:eastAsia="es-ES"/>
        </w:rPr>
        <w:t>sobre el estado de las operaciones registradas en su cuenta y en las cuentas de sus Terceros.</w:t>
      </w:r>
    </w:p>
    <w:p w14:paraId="453B0F9B" w14:textId="77777777" w:rsidR="007968EC" w:rsidRPr="002C0D19" w:rsidRDefault="007968EC" w:rsidP="00DA7472">
      <w:pPr>
        <w:numPr>
          <w:ilvl w:val="0"/>
          <w:numId w:val="48"/>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Informar a </w:t>
      </w:r>
      <w:r w:rsidRPr="002C0D19">
        <w:rPr>
          <w:rFonts w:ascii="Arial Narrow" w:hAnsi="Arial Narrow" w:cs="Arial"/>
          <w:b/>
          <w:color w:val="000000" w:themeColor="text1"/>
          <w:lang w:val="es-ES" w:eastAsia="es-ES"/>
        </w:rPr>
        <w:t xml:space="preserve">EL MIEMBRO NO LIQUIDADOR </w:t>
      </w:r>
      <w:r w:rsidRPr="002C0D19">
        <w:rPr>
          <w:rFonts w:ascii="Arial Narrow" w:hAnsi="Arial Narrow" w:cs="Arial"/>
          <w:color w:val="000000" w:themeColor="text1"/>
          <w:lang w:eastAsia="es-ES"/>
        </w:rPr>
        <w:t xml:space="preserve">sobre las Operaciones Aceptadas, rechazadas o anuladas por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w:t>
      </w:r>
    </w:p>
    <w:p w14:paraId="05D29157" w14:textId="77777777" w:rsidR="007968EC" w:rsidRPr="002C0D19" w:rsidRDefault="007968EC" w:rsidP="00DA7472">
      <w:pPr>
        <w:numPr>
          <w:ilvl w:val="0"/>
          <w:numId w:val="48"/>
        </w:numPr>
        <w:ind w:right="-42"/>
        <w:jc w:val="both"/>
        <w:rPr>
          <w:rFonts w:ascii="Arial Narrow" w:hAnsi="Arial Narrow" w:cs="Arial"/>
          <w:color w:val="000000" w:themeColor="text1"/>
          <w:spacing w:val="-3"/>
          <w:lang w:eastAsia="es-ES"/>
        </w:rPr>
      </w:pPr>
      <w:r w:rsidRPr="002C0D19">
        <w:rPr>
          <w:rFonts w:ascii="Arial Narrow" w:hAnsi="Arial Narrow" w:cs="Arial"/>
          <w:color w:val="000000" w:themeColor="text1"/>
          <w:spacing w:val="-3"/>
          <w:lang w:eastAsia="es-ES"/>
        </w:rPr>
        <w:t xml:space="preserve">Mantener la confidencialidad sobre las Operaciones Aceptadas, de conformidad con la Ley, el Reglamento y demás normatividad aplicable. </w:t>
      </w:r>
    </w:p>
    <w:p w14:paraId="7A1E7CE3" w14:textId="77777777" w:rsidR="007968EC" w:rsidRPr="002C0D19" w:rsidRDefault="007968EC" w:rsidP="00DA7472">
      <w:pPr>
        <w:numPr>
          <w:ilvl w:val="0"/>
          <w:numId w:val="48"/>
        </w:numPr>
        <w:tabs>
          <w:tab w:val="left" w:pos="360"/>
        </w:tabs>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Abstenerse de realizar cualquier acto que afecte la eficiencia, seguridad, integridad y confiabilidad de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w:t>
      </w:r>
    </w:p>
    <w:p w14:paraId="7EA9F8D6" w14:textId="77777777" w:rsidR="007968EC" w:rsidRPr="002C0D19" w:rsidRDefault="007968EC" w:rsidP="00DA7472">
      <w:pPr>
        <w:numPr>
          <w:ilvl w:val="0"/>
          <w:numId w:val="48"/>
        </w:numPr>
        <w:tabs>
          <w:tab w:val="left" w:pos="360"/>
        </w:tabs>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Informar a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de cualquier hecho o situación que atente contra la transparencia y seguridad del Sistema.</w:t>
      </w:r>
    </w:p>
    <w:p w14:paraId="59BC2AFE" w14:textId="77777777" w:rsidR="007968EC" w:rsidRPr="002C0D19" w:rsidRDefault="007968EC" w:rsidP="00DA7472">
      <w:pPr>
        <w:numPr>
          <w:ilvl w:val="0"/>
          <w:numId w:val="48"/>
        </w:numPr>
        <w:ind w:right="-42"/>
        <w:jc w:val="both"/>
        <w:rPr>
          <w:rFonts w:ascii="Arial Narrow" w:hAnsi="Arial Narrow" w:cs="Arial"/>
          <w:color w:val="000000" w:themeColor="text1"/>
          <w:spacing w:val="-3"/>
          <w:lang w:eastAsia="es-ES"/>
        </w:rPr>
      </w:pPr>
      <w:r w:rsidRPr="002C0D19">
        <w:rPr>
          <w:rFonts w:ascii="Arial Narrow" w:hAnsi="Arial Narrow" w:cs="Arial"/>
          <w:color w:val="000000" w:themeColor="text1"/>
          <w:spacing w:val="-3"/>
          <w:lang w:eastAsia="es-ES"/>
        </w:rPr>
        <w:lastRenderedPageBreak/>
        <w:t xml:space="preserve">Cumplir con las disposiciones del Reglamento y demás normas aplicables. </w:t>
      </w:r>
    </w:p>
    <w:p w14:paraId="22CA38DA" w14:textId="77777777" w:rsidR="007968EC" w:rsidRPr="002C0D19" w:rsidRDefault="007968EC" w:rsidP="007968EC">
      <w:pPr>
        <w:jc w:val="both"/>
        <w:rPr>
          <w:rFonts w:ascii="Arial Narrow" w:hAnsi="Arial Narrow" w:cs="Arial"/>
          <w:color w:val="000000" w:themeColor="text1"/>
          <w:lang w:eastAsia="es-ES"/>
        </w:rPr>
      </w:pPr>
    </w:p>
    <w:p w14:paraId="42F3D039"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b/>
          <w:bCs/>
          <w:color w:val="000000" w:themeColor="text1"/>
          <w:u w:val="single"/>
          <w:lang w:val="es-ES" w:eastAsia="es-ES"/>
        </w:rPr>
        <w:t>QUINTA. Vigencia.</w:t>
      </w:r>
      <w:r w:rsidRPr="002C0D19">
        <w:rPr>
          <w:rFonts w:ascii="Arial Narrow" w:hAnsi="Arial Narrow" w:cs="Arial"/>
          <w:b/>
          <w:bCs/>
          <w:color w:val="000000" w:themeColor="text1"/>
          <w:lang w:val="es-ES" w:eastAsia="es-ES"/>
        </w:rPr>
        <w:t xml:space="preserve">  </w:t>
      </w:r>
      <w:r w:rsidRPr="002C0D19">
        <w:rPr>
          <w:rFonts w:ascii="Arial Narrow" w:hAnsi="Arial Narrow" w:cs="Arial"/>
          <w:color w:val="000000" w:themeColor="text1"/>
          <w:lang w:eastAsia="es-ES"/>
        </w:rPr>
        <w:t xml:space="preserve">La presente Oferta estará vigente por un término de sesenta (60) días calendario, contados a partir del envío de la misma por parte de </w:t>
      </w:r>
      <w:r w:rsidRPr="002C0D19">
        <w:rPr>
          <w:rFonts w:ascii="Arial Narrow" w:hAnsi="Arial Narrow" w:cs="Arial"/>
          <w:b/>
          <w:color w:val="000000" w:themeColor="text1"/>
          <w:lang w:eastAsia="es-ES"/>
        </w:rPr>
        <w:t>EL MIEMBRO LIQUIDADOR GENERAL</w:t>
      </w:r>
      <w:r w:rsidRPr="002C0D19">
        <w:rPr>
          <w:rFonts w:ascii="Arial Narrow" w:hAnsi="Arial Narrow" w:cs="Arial"/>
          <w:color w:val="000000" w:themeColor="text1"/>
          <w:lang w:eastAsia="es-ES"/>
        </w:rPr>
        <w:t xml:space="preserve"> a </w:t>
      </w:r>
      <w:r w:rsidRPr="002C0D19">
        <w:rPr>
          <w:rFonts w:ascii="Arial Narrow" w:hAnsi="Arial Narrow" w:cs="Arial"/>
          <w:b/>
          <w:color w:val="000000" w:themeColor="text1"/>
          <w:lang w:eastAsia="es-ES"/>
        </w:rPr>
        <w:t xml:space="preserve">EL MIEMBRO NO LIQUIDADOR, </w:t>
      </w:r>
      <w:r w:rsidRPr="002C0D19">
        <w:rPr>
          <w:rFonts w:ascii="Arial Narrow" w:hAnsi="Arial Narrow" w:cs="Arial"/>
          <w:color w:val="000000" w:themeColor="text1"/>
          <w:lang w:eastAsia="es-ES"/>
        </w:rPr>
        <w:t xml:space="preserve">transcurridos los cuales, de no haber aceptación a la misma por parte de </w:t>
      </w:r>
      <w:r w:rsidRPr="002C0D19">
        <w:rPr>
          <w:rFonts w:ascii="Arial Narrow" w:hAnsi="Arial Narrow" w:cs="Arial"/>
          <w:b/>
          <w:color w:val="000000" w:themeColor="text1"/>
          <w:lang w:eastAsia="es-ES"/>
        </w:rPr>
        <w:t xml:space="preserve">EL MIEMBRO NO LIQUIDADOR, </w:t>
      </w:r>
      <w:r w:rsidRPr="002C0D19">
        <w:rPr>
          <w:rFonts w:ascii="Arial Narrow" w:hAnsi="Arial Narrow" w:cs="Arial"/>
          <w:color w:val="000000" w:themeColor="text1"/>
          <w:lang w:eastAsia="es-ES"/>
        </w:rPr>
        <w:t>se entenderá revocada. En caso de aceptación de esta Oferta por parte de</w:t>
      </w:r>
      <w:r w:rsidRPr="002C0D19">
        <w:rPr>
          <w:rFonts w:ascii="Arial Narrow" w:hAnsi="Arial Narrow" w:cs="Arial"/>
          <w:b/>
          <w:color w:val="000000" w:themeColor="text1"/>
          <w:lang w:eastAsia="es-ES"/>
        </w:rPr>
        <w:t xml:space="preserve"> EL MIEMBRO NO LIQUIDADOR</w:t>
      </w:r>
      <w:r w:rsidRPr="002C0D19">
        <w:rPr>
          <w:rFonts w:ascii="Arial Narrow" w:hAnsi="Arial Narrow" w:cs="Arial"/>
          <w:color w:val="000000" w:themeColor="text1"/>
          <w:lang w:eastAsia="es-ES"/>
        </w:rPr>
        <w:t xml:space="preserve">, los términos y condiciones de la misma estarán vigentes en forma indefinida. </w:t>
      </w:r>
    </w:p>
    <w:p w14:paraId="1E87EA0F" w14:textId="77777777" w:rsidR="007968EC" w:rsidRPr="002C0D19" w:rsidRDefault="007968EC" w:rsidP="007968EC">
      <w:pPr>
        <w:jc w:val="both"/>
        <w:rPr>
          <w:rFonts w:ascii="Arial Narrow" w:hAnsi="Arial Narrow" w:cs="Arial"/>
          <w:color w:val="000000" w:themeColor="text1"/>
          <w:lang w:eastAsia="es-ES"/>
        </w:rPr>
      </w:pPr>
    </w:p>
    <w:p w14:paraId="5F2B02A3"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No obstante lo anterior y sin perjuicio de lo dispuesto en el Reglamento, las partes podrán terminar en cualquier tiempo la prestación del servicio, si se presenta un incumplimiento de alguna de las obligaciones a cargo de una de las partes. </w:t>
      </w:r>
    </w:p>
    <w:p w14:paraId="1011021B"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Así mismo, habrá lugar a la terminación del servicio cuando una de las partes cese en su condición de Miembro de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w:t>
      </w:r>
    </w:p>
    <w:p w14:paraId="778A85F2" w14:textId="77777777" w:rsidR="007968EC" w:rsidRPr="002C0D19" w:rsidRDefault="007968EC" w:rsidP="007968EC">
      <w:pPr>
        <w:jc w:val="both"/>
        <w:rPr>
          <w:rFonts w:ascii="Arial Narrow" w:hAnsi="Arial Narrow" w:cs="Arial"/>
          <w:b/>
          <w:bCs/>
          <w:color w:val="000000" w:themeColor="text1"/>
          <w:u w:val="single"/>
          <w:lang w:val="es-ES" w:eastAsia="es-ES"/>
        </w:rPr>
      </w:pPr>
    </w:p>
    <w:p w14:paraId="18418157"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b/>
          <w:bCs/>
          <w:color w:val="000000" w:themeColor="text1"/>
          <w:u w:val="single"/>
          <w:lang w:val="es-ES" w:eastAsia="es-ES"/>
        </w:rPr>
        <w:t xml:space="preserve">(CLÁUSULA OPTATIVA)SEXTA. Terminación unilateral </w:t>
      </w:r>
      <w:r w:rsidRPr="002C0D19">
        <w:rPr>
          <w:rFonts w:ascii="Arial Narrow" w:hAnsi="Arial Narrow" w:cs="Arial"/>
          <w:color w:val="000000" w:themeColor="text1"/>
          <w:lang w:val="es-ES" w:eastAsia="es-ES"/>
        </w:rPr>
        <w:t>S</w:t>
      </w:r>
      <w:r w:rsidRPr="002C0D19">
        <w:rPr>
          <w:rFonts w:ascii="Arial Narrow" w:hAnsi="Arial Narrow" w:cs="Arial"/>
          <w:color w:val="000000" w:themeColor="text1"/>
          <w:lang w:eastAsia="es-ES"/>
        </w:rPr>
        <w:t xml:space="preserve">in perjuicio de lo dispuesto en la cláusula anterior, las partes podrán terminar en cualquier tiempo la prestación del servicio, mediante la entrega a la otra parte de un aviso escrito en tal sentido, remitida con no menos de treinta (30) días calendario de anticipación al día hábil en el cual desea que dicha terminación tenga efecto. </w:t>
      </w:r>
    </w:p>
    <w:p w14:paraId="240B93CA" w14:textId="77777777" w:rsidR="007968EC" w:rsidRPr="002C0D19" w:rsidRDefault="007968EC" w:rsidP="007968EC">
      <w:pPr>
        <w:jc w:val="both"/>
        <w:rPr>
          <w:rFonts w:ascii="Arial Narrow" w:hAnsi="Arial Narrow" w:cs="Arial"/>
          <w:b/>
          <w:color w:val="000000" w:themeColor="text1"/>
          <w:lang w:eastAsia="es-ES"/>
        </w:rPr>
      </w:pPr>
    </w:p>
    <w:p w14:paraId="6B317429"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es-ES" w:eastAsia="es-ES"/>
        </w:rPr>
        <w:t>SEPTIMA.  Tarifas y Comisiones.</w:t>
      </w:r>
      <w:r w:rsidRPr="002C0D19">
        <w:rPr>
          <w:rFonts w:ascii="Arial Narrow" w:hAnsi="Arial Narrow" w:cs="Arial"/>
          <w:b/>
          <w:bCs/>
          <w:color w:val="000000" w:themeColor="text1"/>
          <w:lang w:val="es-ES" w:eastAsia="es-ES"/>
        </w:rPr>
        <w:t xml:space="preserve"> </w:t>
      </w:r>
      <w:r w:rsidRPr="002C0D19">
        <w:rPr>
          <w:rFonts w:ascii="Arial Narrow" w:hAnsi="Arial Narrow" w:cs="Arial"/>
          <w:b/>
          <w:color w:val="000000" w:themeColor="text1"/>
          <w:lang w:eastAsia="es-ES"/>
        </w:rPr>
        <w:t>EL MIEMBRO NO LIQUIDADOR</w:t>
      </w:r>
      <w:r w:rsidRPr="002C0D19" w:rsidDel="000C050A">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 xml:space="preserve">se obliga a pagar a </w:t>
      </w:r>
      <w:r w:rsidRPr="002C0D19">
        <w:rPr>
          <w:rFonts w:ascii="Arial Narrow" w:hAnsi="Arial Narrow" w:cs="Arial"/>
          <w:b/>
          <w:color w:val="000000" w:themeColor="text1"/>
          <w:lang w:val="es-ES" w:eastAsia="es-ES"/>
        </w:rPr>
        <w:t xml:space="preserve">EL MIEMBRO LIQUIDADOR GENERAL </w:t>
      </w:r>
      <w:r w:rsidRPr="002C0D19">
        <w:rPr>
          <w:rFonts w:ascii="Arial Narrow" w:hAnsi="Arial Narrow" w:cs="Arial"/>
          <w:color w:val="000000" w:themeColor="text1"/>
          <w:lang w:val="es-ES" w:eastAsia="es-ES"/>
        </w:rPr>
        <w:t>las</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 xml:space="preserve">tarifas y comisiones por la prestación del servicio de </w:t>
      </w:r>
      <w:r w:rsidRPr="002C0D19">
        <w:rPr>
          <w:rFonts w:ascii="Arial Narrow" w:hAnsi="Arial Narrow" w:cs="Arial"/>
          <w:b/>
          <w:color w:val="000000" w:themeColor="text1"/>
          <w:lang w:val="es-ES" w:eastAsia="es-ES"/>
        </w:rPr>
        <w:t>EL</w:t>
      </w:r>
      <w:r w:rsidRPr="002C0D19">
        <w:rPr>
          <w:rFonts w:ascii="Arial Narrow" w:hAnsi="Arial Narrow" w:cs="Arial"/>
          <w:color w:val="000000" w:themeColor="text1"/>
          <w:lang w:val="es-ES" w:eastAsia="es-ES"/>
        </w:rPr>
        <w:t xml:space="preserve"> </w:t>
      </w:r>
      <w:r w:rsidRPr="002C0D19">
        <w:rPr>
          <w:rFonts w:ascii="Arial Narrow" w:hAnsi="Arial Narrow" w:cs="Arial"/>
          <w:b/>
          <w:color w:val="000000" w:themeColor="text1"/>
          <w:lang w:val="es-ES" w:eastAsia="es-ES"/>
        </w:rPr>
        <w:t>MIEMBRO LIQUIDADOR GENERAL</w:t>
      </w:r>
      <w:r w:rsidRPr="002C0D19">
        <w:rPr>
          <w:rFonts w:ascii="Arial Narrow" w:hAnsi="Arial Narrow" w:cs="Arial"/>
          <w:color w:val="000000" w:themeColor="text1"/>
          <w:lang w:val="es-ES" w:eastAsia="es-ES"/>
        </w:rPr>
        <w:t xml:space="preserve">, las cuales se encuentran en documento Anexo que hace parte integral de la presente Oferta. </w:t>
      </w:r>
    </w:p>
    <w:p w14:paraId="6342498B" w14:textId="77777777" w:rsidR="007968EC" w:rsidRPr="002C0D19" w:rsidRDefault="007968EC" w:rsidP="007968EC">
      <w:pPr>
        <w:jc w:val="both"/>
        <w:rPr>
          <w:rFonts w:ascii="Arial Narrow" w:hAnsi="Arial Narrow" w:cs="Arial"/>
          <w:b/>
          <w:bCs/>
          <w:color w:val="000000" w:themeColor="text1"/>
          <w:u w:val="single"/>
          <w:lang w:val="es-ES" w:eastAsia="es-ES"/>
        </w:rPr>
      </w:pPr>
    </w:p>
    <w:p w14:paraId="010C550F" w14:textId="77777777" w:rsidR="007968EC" w:rsidRPr="002C0D19" w:rsidRDefault="007968EC" w:rsidP="007968EC">
      <w:pPr>
        <w:jc w:val="both"/>
        <w:rPr>
          <w:rFonts w:ascii="Arial Narrow" w:hAnsi="Arial Narrow" w:cs="Arial"/>
          <w:b/>
          <w:bCs/>
          <w:color w:val="000000" w:themeColor="text1"/>
          <w:u w:val="single"/>
          <w:lang w:val="es-ES" w:eastAsia="es-ES"/>
        </w:rPr>
      </w:pPr>
      <w:r w:rsidRPr="002C0D19">
        <w:rPr>
          <w:rFonts w:ascii="Arial Narrow" w:hAnsi="Arial Narrow" w:cs="Arial"/>
          <w:b/>
          <w:bCs/>
          <w:color w:val="000000" w:themeColor="text1"/>
          <w:u w:val="single"/>
          <w:lang w:val="es-ES" w:eastAsia="es-ES"/>
        </w:rPr>
        <w:t>OCTAVA. Cesión y subcontratación.</w:t>
      </w:r>
      <w:r w:rsidRPr="002C0D19">
        <w:rPr>
          <w:rFonts w:ascii="Arial Narrow" w:hAnsi="Arial Narrow" w:cs="Arial"/>
          <w:b/>
          <w:bCs/>
          <w:color w:val="000000" w:themeColor="text1"/>
          <w:lang w:val="es-ES" w:eastAsia="es-ES"/>
        </w:rPr>
        <w:t xml:space="preserve"> </w:t>
      </w:r>
      <w:r w:rsidRPr="002C0D19">
        <w:rPr>
          <w:rFonts w:ascii="Arial Narrow" w:hAnsi="Arial Narrow" w:cs="Arial"/>
          <w:bCs/>
          <w:color w:val="000000" w:themeColor="text1"/>
          <w:lang w:val="es-ES" w:eastAsia="es-ES"/>
        </w:rPr>
        <w:t>Las partes</w:t>
      </w:r>
      <w:r w:rsidRPr="002C0D19">
        <w:rPr>
          <w:rFonts w:ascii="Arial Narrow" w:hAnsi="Arial Narrow" w:cs="Arial"/>
          <w:b/>
          <w:bCs/>
          <w:color w:val="000000" w:themeColor="text1"/>
          <w:lang w:val="es-ES" w:eastAsia="es-ES"/>
        </w:rPr>
        <w:t xml:space="preserve"> </w:t>
      </w:r>
      <w:r w:rsidRPr="002C0D19">
        <w:rPr>
          <w:rFonts w:ascii="Arial Narrow" w:hAnsi="Arial Narrow" w:cs="Arial"/>
          <w:color w:val="000000" w:themeColor="text1"/>
          <w:lang w:val="es-ES" w:eastAsia="es-ES"/>
        </w:rPr>
        <w:t>no podrán ceder ni subcontratar total o parcialmente la presente Oferta, antes o después de ser aceptada.</w:t>
      </w:r>
    </w:p>
    <w:p w14:paraId="5127C1B7" w14:textId="77777777" w:rsidR="007968EC" w:rsidRPr="002C0D19" w:rsidRDefault="007968EC" w:rsidP="007968EC">
      <w:pPr>
        <w:jc w:val="both"/>
        <w:rPr>
          <w:rFonts w:ascii="Arial Narrow" w:hAnsi="Arial Narrow" w:cs="Arial"/>
          <w:b/>
          <w:bCs/>
          <w:color w:val="000000" w:themeColor="text1"/>
          <w:u w:val="single"/>
          <w:lang w:val="es-ES" w:eastAsia="es-ES"/>
        </w:rPr>
      </w:pPr>
    </w:p>
    <w:p w14:paraId="7D3F7C32" w14:textId="77777777" w:rsidR="007968EC" w:rsidRPr="002C0D19" w:rsidRDefault="007968EC" w:rsidP="007968EC">
      <w:pPr>
        <w:jc w:val="both"/>
        <w:rPr>
          <w:rFonts w:ascii="Arial Narrow" w:hAnsi="Arial Narrow" w:cs="Arial"/>
          <w:color w:val="000000" w:themeColor="text1"/>
          <w:lang w:val="es-ES_tradnl" w:eastAsia="es-ES"/>
        </w:rPr>
      </w:pPr>
      <w:r w:rsidRPr="002C0D19">
        <w:rPr>
          <w:rFonts w:ascii="Arial Narrow" w:hAnsi="Arial Narrow" w:cs="Arial"/>
          <w:b/>
          <w:bCs/>
          <w:color w:val="000000" w:themeColor="text1"/>
          <w:u w:val="single"/>
          <w:lang w:val="es-ES" w:eastAsia="es-ES"/>
        </w:rPr>
        <w:t>(CLÁUSULA OPTATIVA) NOVENA. Cláusula Compromisoria.</w:t>
      </w:r>
      <w:r w:rsidRPr="002C0D19">
        <w:rPr>
          <w:rFonts w:ascii="Arial Narrow" w:hAnsi="Arial Narrow" w:cs="Arial"/>
          <w:color w:val="000000" w:themeColor="text1"/>
          <w:lang w:val="es-ES" w:eastAsia="es-ES"/>
        </w:rPr>
        <w:t xml:space="preserve"> </w:t>
      </w:r>
      <w:r w:rsidRPr="002C0D19">
        <w:rPr>
          <w:rFonts w:ascii="Arial Narrow" w:hAnsi="Arial Narrow" w:cs="Arial"/>
          <w:color w:val="000000" w:themeColor="text1"/>
          <w:lang w:val="es-ES_tradnl" w:eastAsia="es-ES"/>
        </w:rPr>
        <w:t xml:space="preserve">Todas las diferencias que ocurran entre las partes con ocasión de la presente Oferta, una vez aceptada, y que no puedan solucionarse por acuerdo directo entre ellas, en un plazo que no podrá exceder de dos (2) meses contados a partir de la fecha del evento que generó la diferencia, serán resueltas por un Tribunal de Arbitramento. Cuando la cuantía de las pretensiones supere los mil (1000) salarios mínimos legales mensuales vigentes en Colombia, el Tribunal de Arbitramento estará conformado por tres (3) árbitros, los cuales serán designados por las partes dentro de los quince (15) días hábiles siguientes al vencimiento del plazo de dos (2) meses de acuerdo directo, o a falta de acuerdo, mediante sorteo entre los árbitros inscritos en el Centro de Arbitraje y Conciliación de la Cámara de Comercio de Bogotá. En caso de que la cuantía de las pretensiones sea igual o inferior a mil (1000) salarios mínimos legales mensuales vigentes en Colombia, el Tribunal de Arbitramento estará conformado por un (1) árbitro, el cual será designado por las partes dentro de los quince (15) días hábiles siguientes al vencimiento del plazo de dos (2) meses de acuerdo directo, o a falta de acuerdo, por sorteo entre los árbitros inscritos en el Centro de Arbitraje y Conciliación de la Cámara de Comercio de Bogotá. El o los árbitros designados serán Abogados inscritos y fallarán en derecho. El Tribunal de Arbitramento tendrá sede en la ciudad de Bogotá y se regirá por las leyes colombianas. </w:t>
      </w:r>
    </w:p>
    <w:p w14:paraId="078C72FE" w14:textId="77777777" w:rsidR="007968EC" w:rsidRPr="002C0D19" w:rsidRDefault="007968EC" w:rsidP="007968EC">
      <w:pPr>
        <w:jc w:val="both"/>
        <w:rPr>
          <w:rFonts w:ascii="Arial Narrow" w:hAnsi="Arial Narrow" w:cs="Arial"/>
          <w:b/>
          <w:color w:val="000000" w:themeColor="text1"/>
          <w:u w:val="single"/>
          <w:lang w:val="es-ES_tradnl" w:eastAsia="es-ES"/>
        </w:rPr>
      </w:pPr>
    </w:p>
    <w:p w14:paraId="3224323F" w14:textId="77777777" w:rsidR="007968EC" w:rsidRPr="002C0D19" w:rsidRDefault="007968EC" w:rsidP="007968EC">
      <w:pPr>
        <w:jc w:val="both"/>
        <w:rPr>
          <w:rFonts w:ascii="Arial Narrow" w:hAnsi="Arial Narrow" w:cs="Arial"/>
          <w:b/>
          <w:color w:val="000000" w:themeColor="text1"/>
          <w:u w:val="single"/>
          <w:lang w:val="es-ES" w:eastAsia="es-ES"/>
        </w:rPr>
      </w:pPr>
      <w:r w:rsidRPr="002C0D19">
        <w:rPr>
          <w:rFonts w:ascii="Arial Narrow" w:hAnsi="Arial Narrow" w:cs="Arial"/>
          <w:b/>
          <w:color w:val="000000" w:themeColor="text1"/>
          <w:u w:val="single"/>
          <w:lang w:val="es-ES_tradnl" w:eastAsia="es-ES"/>
        </w:rPr>
        <w:t>DECIMA.</w:t>
      </w:r>
      <w:r w:rsidRPr="002C0D19">
        <w:rPr>
          <w:rFonts w:ascii="Arial Narrow" w:hAnsi="Arial Narrow" w:cs="Arial"/>
          <w:color w:val="000000" w:themeColor="text1"/>
          <w:u w:val="single"/>
          <w:lang w:val="es-ES_tradnl" w:eastAsia="es-ES"/>
        </w:rPr>
        <w:t xml:space="preserve"> </w:t>
      </w:r>
      <w:r w:rsidRPr="002C0D19">
        <w:rPr>
          <w:rFonts w:ascii="Arial Narrow" w:hAnsi="Arial Narrow" w:cs="Arial"/>
          <w:b/>
          <w:color w:val="000000" w:themeColor="text1"/>
          <w:u w:val="single"/>
          <w:lang w:val="es-ES" w:eastAsia="es-ES"/>
        </w:rPr>
        <w:t>Mérito Ejecutivo.</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Las partes</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reconocen y aceptan que la presente Oferta de Servicios, una vez aceptada mediante la expedición de la Orden de Compra de Servicios,</w:t>
      </w:r>
      <w:r w:rsidRPr="002C0D19" w:rsidDel="00CA2BCF">
        <w:rPr>
          <w:rFonts w:ascii="Arial Narrow" w:hAnsi="Arial Narrow" w:cs="Arial"/>
          <w:color w:val="000000" w:themeColor="text1"/>
          <w:lang w:val="es-ES" w:eastAsia="es-ES"/>
        </w:rPr>
        <w:t xml:space="preserve"> </w:t>
      </w:r>
      <w:r w:rsidRPr="002C0D19">
        <w:rPr>
          <w:rFonts w:ascii="Arial Narrow" w:hAnsi="Arial Narrow" w:cs="Arial"/>
          <w:color w:val="000000" w:themeColor="text1"/>
          <w:lang w:val="es-ES" w:eastAsia="es-ES"/>
        </w:rPr>
        <w:t>prestará mérito ejecutivo para solicitar el cumplimiento de las obligaciones a cargo de las mismas, sin necesidad de requerimiento en mora judicial o extrajudicial.</w:t>
      </w:r>
    </w:p>
    <w:p w14:paraId="31A868AA" w14:textId="77777777" w:rsidR="007968EC" w:rsidRPr="002C0D19" w:rsidRDefault="007968EC" w:rsidP="007968EC">
      <w:pPr>
        <w:jc w:val="both"/>
        <w:rPr>
          <w:rFonts w:ascii="Arial Narrow" w:hAnsi="Arial Narrow" w:cs="Arial"/>
          <w:b/>
          <w:color w:val="000000" w:themeColor="text1"/>
          <w:u w:val="single"/>
          <w:lang w:val="es-ES" w:eastAsia="es-ES"/>
        </w:rPr>
      </w:pPr>
    </w:p>
    <w:p w14:paraId="24C40A11" w14:textId="77777777" w:rsidR="007968EC" w:rsidRPr="002C0D19" w:rsidRDefault="007968EC" w:rsidP="007968EC">
      <w:pPr>
        <w:jc w:val="both"/>
        <w:rPr>
          <w:rFonts w:ascii="Arial Narrow" w:hAnsi="Arial Narrow" w:cs="Arial"/>
          <w:color w:val="000000" w:themeColor="text1"/>
          <w:lang w:val="es-ES_tradnl" w:eastAsia="es-ES"/>
        </w:rPr>
      </w:pPr>
      <w:r w:rsidRPr="002C0D19">
        <w:rPr>
          <w:rFonts w:ascii="Arial Narrow" w:hAnsi="Arial Narrow" w:cs="Arial"/>
          <w:b/>
          <w:color w:val="000000" w:themeColor="text1"/>
          <w:u w:val="single"/>
          <w:lang w:val="es-ES" w:eastAsia="es-ES"/>
        </w:rPr>
        <w:t>DÉCIMA</w:t>
      </w:r>
      <w:r w:rsidRPr="002C0D19">
        <w:rPr>
          <w:rFonts w:ascii="Arial Narrow" w:hAnsi="Arial Narrow" w:cs="Arial"/>
          <w:b/>
          <w:bCs/>
          <w:color w:val="000000" w:themeColor="text1"/>
          <w:u w:val="single"/>
          <w:lang w:val="es-ES" w:eastAsia="es-ES"/>
        </w:rPr>
        <w:t xml:space="preserve"> PRIMERA</w:t>
      </w:r>
      <w:r w:rsidRPr="002C0D19">
        <w:rPr>
          <w:rFonts w:ascii="Arial Narrow" w:hAnsi="Arial Narrow" w:cs="Arial"/>
          <w:b/>
          <w:color w:val="000000" w:themeColor="text1"/>
          <w:u w:val="single"/>
          <w:lang w:val="es-ES" w:eastAsia="es-ES"/>
        </w:rPr>
        <w:t xml:space="preserve">. </w:t>
      </w:r>
      <w:r w:rsidRPr="002C0D19">
        <w:rPr>
          <w:rFonts w:ascii="Arial Narrow" w:hAnsi="Arial Narrow" w:cs="Arial"/>
          <w:b/>
          <w:color w:val="000000" w:themeColor="text1"/>
          <w:u w:val="single"/>
          <w:lang w:val="es-ES_tradnl" w:eastAsia="es-ES"/>
        </w:rPr>
        <w:t>Notificaciones</w:t>
      </w:r>
      <w:r w:rsidRPr="002C0D19">
        <w:rPr>
          <w:rFonts w:ascii="Arial Narrow" w:hAnsi="Arial Narrow" w:cs="Arial"/>
          <w:color w:val="000000" w:themeColor="text1"/>
          <w:u w:val="single"/>
          <w:lang w:val="es-ES_tradnl" w:eastAsia="es-ES"/>
        </w:rPr>
        <w:t>.</w:t>
      </w:r>
      <w:r w:rsidRPr="002C0D19">
        <w:rPr>
          <w:rFonts w:ascii="Arial Narrow" w:hAnsi="Arial Narrow" w:cs="Arial"/>
          <w:color w:val="000000" w:themeColor="text1"/>
          <w:lang w:val="es-ES_tradnl" w:eastAsia="es-ES"/>
        </w:rPr>
        <w:t xml:space="preserve"> Todas las notificaciones y comunicaciones relacionadas con la presente Oferta de Servicios,  se harán por escrito y se enviarán a las siguientes direcciones:</w:t>
      </w:r>
    </w:p>
    <w:p w14:paraId="0FC2EC85" w14:textId="77777777" w:rsidR="007968EC" w:rsidRPr="002C0D19" w:rsidRDefault="007968EC" w:rsidP="007968EC">
      <w:pPr>
        <w:jc w:val="both"/>
        <w:rPr>
          <w:rFonts w:ascii="Arial Narrow" w:hAnsi="Arial Narrow" w:cs="Arial"/>
          <w:b/>
          <w:color w:val="000000" w:themeColor="text1"/>
          <w:lang w:val="es-ES_tradnl" w:eastAsia="es-ES"/>
        </w:rPr>
      </w:pPr>
    </w:p>
    <w:p w14:paraId="43F86296" w14:textId="77777777" w:rsidR="007968EC" w:rsidRPr="002C0D19" w:rsidRDefault="007968EC" w:rsidP="007968EC">
      <w:pPr>
        <w:jc w:val="both"/>
        <w:rPr>
          <w:rFonts w:ascii="Arial Narrow" w:hAnsi="Arial Narrow" w:cs="Arial"/>
          <w:color w:val="000000" w:themeColor="text1"/>
          <w:lang w:val="es-ES_tradnl" w:eastAsia="es-ES"/>
        </w:rPr>
      </w:pPr>
      <w:r w:rsidRPr="002C0D19">
        <w:rPr>
          <w:rFonts w:ascii="Arial Narrow" w:hAnsi="Arial Narrow" w:cs="Arial"/>
          <w:b/>
          <w:color w:val="000000" w:themeColor="text1"/>
          <w:lang w:val="es-ES_tradnl" w:eastAsia="es-ES"/>
        </w:rPr>
        <w:t>EL MIEMBRO LIQUIDADOR GENERAL</w:t>
      </w:r>
      <w:r w:rsidRPr="002C0D19">
        <w:rPr>
          <w:rFonts w:ascii="Arial Narrow" w:hAnsi="Arial Narrow" w:cs="Arial"/>
          <w:color w:val="000000" w:themeColor="text1"/>
          <w:lang w:val="es-ES_tradnl" w:eastAsia="es-ES"/>
        </w:rPr>
        <w:t>:</w:t>
      </w:r>
    </w:p>
    <w:p w14:paraId="2AEAFE25" w14:textId="77777777" w:rsidR="007968EC" w:rsidRPr="002C0D19" w:rsidRDefault="007968EC" w:rsidP="007968EC">
      <w:pPr>
        <w:jc w:val="both"/>
        <w:rPr>
          <w:rFonts w:ascii="Arial Narrow" w:hAnsi="Arial Narrow" w:cs="Arial"/>
          <w:color w:val="000000" w:themeColor="text1"/>
          <w:lang w:val="es-ES_tradnl" w:eastAsia="es-ES"/>
        </w:rPr>
      </w:pPr>
    </w:p>
    <w:p w14:paraId="14248944"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t xml:space="preserve">Fax:  </w:t>
      </w:r>
    </w:p>
    <w:p w14:paraId="58B2B58A"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r>
      <w:r w:rsidRPr="002C0D19">
        <w:rPr>
          <w:rFonts w:ascii="Arial Narrow" w:hAnsi="Arial Narrow" w:cs="Arial"/>
          <w:color w:val="000000" w:themeColor="text1"/>
          <w:lang w:val="es-ES" w:eastAsia="es-ES"/>
        </w:rPr>
        <w:t>Dirección</w:t>
      </w:r>
      <w:r w:rsidRPr="002C0D19">
        <w:rPr>
          <w:rFonts w:ascii="Arial Narrow" w:hAnsi="Arial Narrow" w:cs="Arial"/>
          <w:color w:val="000000" w:themeColor="text1"/>
          <w:lang w:eastAsia="es-ES"/>
        </w:rPr>
        <w:t xml:space="preserve">: </w:t>
      </w:r>
    </w:p>
    <w:p w14:paraId="5AEB660B"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t xml:space="preserve">Ciudad: </w:t>
      </w:r>
    </w:p>
    <w:p w14:paraId="13B697F4" w14:textId="77777777" w:rsidR="007968EC" w:rsidRPr="002C0D19" w:rsidRDefault="007968EC" w:rsidP="007968EC">
      <w:pPr>
        <w:tabs>
          <w:tab w:val="left" w:pos="567"/>
          <w:tab w:val="left" w:pos="2835"/>
        </w:tabs>
        <w:ind w:right="44"/>
        <w:jc w:val="both"/>
        <w:rPr>
          <w:rFonts w:ascii="Arial Narrow" w:hAnsi="Arial Narrow" w:cs="Arial"/>
          <w:b/>
          <w:color w:val="000000" w:themeColor="text1"/>
          <w:lang w:val="es-ES_tradnl" w:eastAsia="es-ES"/>
        </w:rPr>
      </w:pPr>
    </w:p>
    <w:p w14:paraId="5EF02AF4" w14:textId="77777777" w:rsidR="007968EC" w:rsidRPr="002C0D19" w:rsidRDefault="007968EC" w:rsidP="007968EC">
      <w:pPr>
        <w:tabs>
          <w:tab w:val="left" w:pos="567"/>
          <w:tab w:val="left" w:pos="2835"/>
        </w:tabs>
        <w:ind w:right="44"/>
        <w:jc w:val="both"/>
        <w:rPr>
          <w:rFonts w:ascii="Arial Narrow" w:hAnsi="Arial Narrow" w:cs="Arial"/>
          <w:b/>
          <w:color w:val="000000" w:themeColor="text1"/>
          <w:lang w:val="es-ES_tradnl" w:eastAsia="es-ES"/>
        </w:rPr>
      </w:pPr>
      <w:r w:rsidRPr="002C0D19">
        <w:rPr>
          <w:rFonts w:ascii="Arial Narrow" w:hAnsi="Arial Narrow" w:cs="Arial"/>
          <w:b/>
          <w:color w:val="000000" w:themeColor="text1"/>
          <w:lang w:val="es-ES_tradnl" w:eastAsia="es-ES"/>
        </w:rPr>
        <w:t>EL MIEMBRO NO LIQUIDADOR:</w:t>
      </w:r>
    </w:p>
    <w:p w14:paraId="3EACBF23" w14:textId="77777777" w:rsidR="007968EC" w:rsidRPr="002C0D19" w:rsidRDefault="007968EC" w:rsidP="007968EC">
      <w:pPr>
        <w:tabs>
          <w:tab w:val="left" w:pos="567"/>
          <w:tab w:val="left" w:pos="2835"/>
        </w:tabs>
        <w:ind w:right="44"/>
        <w:jc w:val="both"/>
        <w:rPr>
          <w:rFonts w:ascii="Arial Narrow" w:hAnsi="Arial Narrow" w:cs="Arial"/>
          <w:b/>
          <w:color w:val="000000" w:themeColor="text1"/>
          <w:lang w:val="es-ES_tradnl" w:eastAsia="es-ES"/>
        </w:rPr>
      </w:pPr>
    </w:p>
    <w:p w14:paraId="042D7C28"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val="es-ES_tradnl" w:eastAsia="es-ES"/>
        </w:rPr>
        <w:tab/>
      </w:r>
      <w:r w:rsidRPr="002C0D19">
        <w:rPr>
          <w:rFonts w:ascii="Arial Narrow" w:hAnsi="Arial Narrow" w:cs="Arial"/>
          <w:color w:val="000000" w:themeColor="text1"/>
          <w:lang w:val="es-ES_tradnl" w:eastAsia="es-ES"/>
        </w:rPr>
        <w:tab/>
      </w:r>
      <w:r w:rsidRPr="002C0D19">
        <w:rPr>
          <w:rFonts w:ascii="Arial Narrow" w:hAnsi="Arial Narrow" w:cs="Arial"/>
          <w:color w:val="000000" w:themeColor="text1"/>
          <w:lang w:eastAsia="es-ES"/>
        </w:rPr>
        <w:t xml:space="preserve">Fax:  </w:t>
      </w:r>
    </w:p>
    <w:p w14:paraId="6000C739"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r>
      <w:r w:rsidRPr="002C0D19">
        <w:rPr>
          <w:rFonts w:ascii="Arial Narrow" w:hAnsi="Arial Narrow" w:cs="Arial"/>
          <w:color w:val="000000" w:themeColor="text1"/>
          <w:lang w:val="es-ES" w:eastAsia="es-ES"/>
        </w:rPr>
        <w:t>Dirección</w:t>
      </w:r>
      <w:r w:rsidRPr="002C0D19">
        <w:rPr>
          <w:rFonts w:ascii="Arial Narrow" w:hAnsi="Arial Narrow" w:cs="Arial"/>
          <w:color w:val="000000" w:themeColor="text1"/>
          <w:lang w:eastAsia="es-ES"/>
        </w:rPr>
        <w:t xml:space="preserve">: </w:t>
      </w:r>
    </w:p>
    <w:p w14:paraId="18E7B47E"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t xml:space="preserve">Ciudad: </w:t>
      </w:r>
    </w:p>
    <w:p w14:paraId="0C041700"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p>
    <w:p w14:paraId="13F30A95"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b/>
          <w:bCs/>
          <w:color w:val="000000" w:themeColor="text1"/>
          <w:u w:val="single"/>
          <w:lang w:val="es-ES" w:eastAsia="es-ES"/>
        </w:rPr>
        <w:t xml:space="preserve">DÉCIMA </w:t>
      </w:r>
      <w:r w:rsidRPr="002C0D19">
        <w:rPr>
          <w:rFonts w:ascii="Arial Narrow" w:hAnsi="Arial Narrow" w:cs="Arial"/>
          <w:b/>
          <w:color w:val="000000" w:themeColor="text1"/>
          <w:u w:val="single"/>
          <w:lang w:val="es-ES_tradnl" w:eastAsia="es-ES"/>
        </w:rPr>
        <w:t>SEGUNDA</w:t>
      </w:r>
      <w:r w:rsidRPr="002C0D19">
        <w:rPr>
          <w:rFonts w:ascii="Arial Narrow" w:hAnsi="Arial Narrow" w:cs="Arial"/>
          <w:b/>
          <w:bCs/>
          <w:color w:val="000000" w:themeColor="text1"/>
          <w:u w:val="single"/>
          <w:lang w:val="es-ES" w:eastAsia="es-ES"/>
        </w:rPr>
        <w:t>. Aceptación de esta Oferta.</w:t>
      </w:r>
      <w:r w:rsidRPr="002C0D19">
        <w:rPr>
          <w:rFonts w:ascii="Arial Narrow" w:hAnsi="Arial Narrow" w:cs="Arial"/>
          <w:color w:val="000000" w:themeColor="text1"/>
          <w:lang w:val="es-ES" w:eastAsia="es-ES"/>
        </w:rPr>
        <w:t xml:space="preserve"> La presente Oferta se entenderá aceptada mediante la expedición, por parte de </w:t>
      </w:r>
      <w:r w:rsidRPr="002C0D19">
        <w:rPr>
          <w:rFonts w:ascii="Arial Narrow" w:hAnsi="Arial Narrow" w:cs="Arial"/>
          <w:b/>
          <w:color w:val="000000" w:themeColor="text1"/>
          <w:lang w:val="es-ES_tradnl" w:eastAsia="es-ES"/>
        </w:rPr>
        <w:t>EL MIEMBRO NO LIQUIDADOR</w:t>
      </w:r>
      <w:r w:rsidRPr="002C0D19">
        <w:rPr>
          <w:rFonts w:ascii="Arial Narrow" w:hAnsi="Arial Narrow" w:cs="Arial"/>
          <w:color w:val="000000" w:themeColor="text1"/>
          <w:lang w:val="es-ES_tradnl" w:eastAsia="es-ES"/>
        </w:rPr>
        <w:t>, de una</w:t>
      </w:r>
      <w:r w:rsidRPr="002C0D19">
        <w:rPr>
          <w:rFonts w:ascii="Arial Narrow" w:hAnsi="Arial Narrow" w:cs="Arial"/>
          <w:b/>
          <w:color w:val="000000" w:themeColor="text1"/>
          <w:lang w:val="es-ES_tradnl" w:eastAsia="es-ES"/>
        </w:rPr>
        <w:t xml:space="preserve"> </w:t>
      </w:r>
      <w:r w:rsidRPr="002C0D19">
        <w:rPr>
          <w:rFonts w:ascii="Arial Narrow" w:hAnsi="Arial Narrow" w:cs="Arial"/>
          <w:color w:val="000000" w:themeColor="text1"/>
          <w:lang w:val="es-ES" w:eastAsia="es-ES"/>
        </w:rPr>
        <w:t>Orden de Compra de Servicios.</w:t>
      </w:r>
    </w:p>
    <w:p w14:paraId="6DE9B6B7" w14:textId="77777777" w:rsidR="007968EC" w:rsidRPr="002C0D19" w:rsidRDefault="007968EC" w:rsidP="007968EC">
      <w:pPr>
        <w:jc w:val="both"/>
        <w:rPr>
          <w:rFonts w:ascii="Arial Narrow" w:hAnsi="Arial Narrow" w:cs="Arial"/>
          <w:b/>
          <w:bCs/>
          <w:color w:val="000000" w:themeColor="text1"/>
          <w:u w:val="single"/>
          <w:lang w:val="es-ES" w:eastAsia="es-ES"/>
        </w:rPr>
      </w:pPr>
    </w:p>
    <w:p w14:paraId="3A137A59"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es-ES" w:eastAsia="es-ES"/>
        </w:rPr>
        <w:t>DÉCIMA TERCERA. Impuestos.</w:t>
      </w:r>
      <w:r w:rsidRPr="002C0D19">
        <w:rPr>
          <w:rFonts w:ascii="Arial Narrow" w:hAnsi="Arial Narrow" w:cs="Arial"/>
          <w:color w:val="000000" w:themeColor="text1"/>
          <w:lang w:val="es-ES" w:eastAsia="es-ES"/>
        </w:rPr>
        <w:t xml:space="preserve"> De conformidad con el numeral 52 del artículo 530 del Estatuto Tributario, la presente Oferta y su posterior aceptación mediante Orden de Compra de Servicios, no causan impuesto de timbre. </w:t>
      </w:r>
    </w:p>
    <w:p w14:paraId="18498984" w14:textId="77777777" w:rsidR="007968EC" w:rsidRPr="002C0D19" w:rsidRDefault="007968EC" w:rsidP="007968EC">
      <w:pPr>
        <w:jc w:val="both"/>
        <w:rPr>
          <w:rFonts w:ascii="Arial Narrow" w:hAnsi="Arial Narrow" w:cs="Arial"/>
          <w:color w:val="000000" w:themeColor="text1"/>
          <w:lang w:val="es-ES" w:eastAsia="es-ES"/>
        </w:rPr>
      </w:pPr>
    </w:p>
    <w:p w14:paraId="582D56FB"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Para constancia, se firma en Bogotá D.C., el día ______________ (____) del mes de _____________ del año dos mil ___________ (____). </w:t>
      </w:r>
    </w:p>
    <w:p w14:paraId="5E6EC6B4" w14:textId="77777777" w:rsidR="007968EC" w:rsidRPr="002C0D19" w:rsidRDefault="007968EC" w:rsidP="007968EC">
      <w:pPr>
        <w:jc w:val="both"/>
        <w:rPr>
          <w:rFonts w:ascii="Arial Narrow" w:hAnsi="Arial Narrow" w:cs="Arial"/>
          <w:b/>
          <w:bCs/>
          <w:color w:val="000000" w:themeColor="text1"/>
          <w:lang w:val="es-ES" w:eastAsia="es-ES"/>
        </w:rPr>
      </w:pPr>
    </w:p>
    <w:p w14:paraId="5AC9DA54"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b/>
          <w:bCs/>
          <w:color w:val="000000" w:themeColor="text1"/>
          <w:lang w:val="es-ES" w:eastAsia="es-ES"/>
        </w:rPr>
        <w:t>EL MIEMBRO LIQUIDADOR GENERAL</w:t>
      </w:r>
    </w:p>
    <w:p w14:paraId="0CC9BAC9"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Por:          ________________________________                      </w:t>
      </w:r>
    </w:p>
    <w:p w14:paraId="320F6492"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Nombre:                                               </w:t>
      </w:r>
    </w:p>
    <w:p w14:paraId="13920DAF"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Cargo:       Representante Legal                                    </w:t>
      </w:r>
    </w:p>
    <w:p w14:paraId="6523A17A" w14:textId="77777777" w:rsidR="007968EC" w:rsidRPr="002C0D19" w:rsidRDefault="007968EC" w:rsidP="007968EC">
      <w:pPr>
        <w:rPr>
          <w:rFonts w:ascii="Arial Narrow" w:hAnsi="Arial Narrow" w:cs="Arial"/>
          <w:color w:val="000000" w:themeColor="text1"/>
          <w:spacing w:val="-3"/>
          <w:lang w:val="fr-FR" w:eastAsia="es-ES"/>
        </w:rPr>
      </w:pPr>
      <w:r w:rsidRPr="002C0D19">
        <w:rPr>
          <w:rFonts w:ascii="Arial Narrow" w:hAnsi="Arial Narrow" w:cs="Arial"/>
          <w:color w:val="000000" w:themeColor="text1"/>
          <w:spacing w:val="-3"/>
          <w:lang w:val="fr-FR" w:eastAsia="es-ES"/>
        </w:rPr>
        <w:t>C.C. </w:t>
      </w:r>
    </w:p>
    <w:p w14:paraId="22F6BA49" w14:textId="77777777" w:rsidR="007968EC" w:rsidRPr="002C0D19" w:rsidRDefault="007968EC" w:rsidP="007968EC">
      <w:pPr>
        <w:rPr>
          <w:rFonts w:ascii="Arial Narrow" w:hAnsi="Arial Narrow" w:cs="Arial"/>
          <w:b/>
          <w:color w:val="000000" w:themeColor="text1"/>
          <w:lang w:val="fr-FR" w:eastAsia="es-ES"/>
        </w:rPr>
      </w:pPr>
    </w:p>
    <w:p w14:paraId="6E554ABF" w14:textId="77777777" w:rsidR="007968EC" w:rsidRPr="002C0D19" w:rsidRDefault="007968EC" w:rsidP="007968EC">
      <w:pPr>
        <w:rPr>
          <w:rFonts w:ascii="Arial Narrow" w:hAnsi="Arial Narrow" w:cs="Arial"/>
          <w:b/>
          <w:color w:val="000000" w:themeColor="text1"/>
          <w:spacing w:val="-3"/>
          <w:lang w:val="fr-FR" w:eastAsia="es-ES"/>
        </w:rPr>
        <w:sectPr w:rsidR="007968EC" w:rsidRPr="002C0D19" w:rsidSect="007968EC">
          <w:pgSz w:w="12242" w:h="15842" w:code="1"/>
          <w:pgMar w:top="1985" w:right="1418" w:bottom="1985" w:left="1418" w:header="851" w:footer="1021" w:gutter="0"/>
          <w:cols w:space="708"/>
          <w:titlePg/>
          <w:docGrid w:linePitch="360"/>
        </w:sectPr>
      </w:pPr>
    </w:p>
    <w:p w14:paraId="5921857C" w14:textId="77777777" w:rsidR="007968EC" w:rsidRPr="00A470C8" w:rsidRDefault="007968EC" w:rsidP="007968EC">
      <w:pPr>
        <w:pStyle w:val="TTULO"/>
      </w:pPr>
      <w:bookmarkStart w:id="6587" w:name="_Toc31716617"/>
      <w:r w:rsidRPr="00A470C8">
        <w:lastRenderedPageBreak/>
        <w:t>ANEXO 24</w:t>
      </w:r>
      <w:bookmarkEnd w:id="6587"/>
    </w:p>
    <w:p w14:paraId="760AC8E0" w14:textId="77777777" w:rsidR="007968EC" w:rsidRDefault="007968EC" w:rsidP="007968EC">
      <w:pPr>
        <w:pStyle w:val="TTULO"/>
      </w:pPr>
    </w:p>
    <w:p w14:paraId="16C9299F" w14:textId="77777777" w:rsidR="001434C9" w:rsidRDefault="001434C9" w:rsidP="007968EC">
      <w:pPr>
        <w:pStyle w:val="TTULO"/>
      </w:pPr>
      <w:bookmarkStart w:id="6588" w:name="_Toc31716618"/>
      <w:r w:rsidRPr="001434C9">
        <w:rPr>
          <w:bCs/>
          <w:i/>
          <w:iCs/>
          <w:lang w:val="es-ES"/>
        </w:rPr>
        <w:t>(Este anexo fue modificado mediante Circular 2 del 29 de enero de 2020, publicada en el Boletín Normativo No. 002 del 29 de enero de 2020. Rige a partir del 3 de febrero de 2020</w:t>
      </w:r>
      <w:r w:rsidRPr="001434C9">
        <w:rPr>
          <w:bCs/>
          <w:lang w:val="es-ES"/>
        </w:rPr>
        <w:t>.)</w:t>
      </w:r>
      <w:bookmarkEnd w:id="6588"/>
    </w:p>
    <w:p w14:paraId="3E4E7022" w14:textId="77777777" w:rsidR="001434C9" w:rsidRPr="00A470C8" w:rsidRDefault="001434C9" w:rsidP="007968EC">
      <w:pPr>
        <w:pStyle w:val="TTULO"/>
      </w:pPr>
    </w:p>
    <w:p w14:paraId="6230AB1B" w14:textId="77777777" w:rsidR="007968EC" w:rsidRPr="00991BD9" w:rsidRDefault="007968EC" w:rsidP="007968EC">
      <w:pPr>
        <w:jc w:val="center"/>
        <w:rPr>
          <w:rFonts w:ascii="Arial Narrow" w:hAnsi="Arial Narrow" w:cs="Arial"/>
          <w:b/>
          <w:color w:val="000000" w:themeColor="text1"/>
          <w:lang w:val="es-ES" w:eastAsia="es-ES"/>
        </w:rPr>
      </w:pPr>
      <w:r w:rsidRPr="00991BD9">
        <w:rPr>
          <w:rFonts w:ascii="Arial Narrow" w:hAnsi="Arial Narrow" w:cs="Arial"/>
          <w:b/>
          <w:color w:val="000000" w:themeColor="text1"/>
          <w:lang w:val="es-ES" w:eastAsia="es-ES"/>
        </w:rPr>
        <w:t xml:space="preserve">MODELOS OFERTAS DE SERVICIO GIVE – UP </w:t>
      </w:r>
    </w:p>
    <w:p w14:paraId="00211416"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100C4B57" w14:textId="77777777" w:rsidR="007968EC" w:rsidRPr="002C0D19" w:rsidRDefault="007968EC" w:rsidP="007968EC">
      <w:pPr>
        <w:ind w:right="20"/>
        <w:jc w:val="both"/>
        <w:rPr>
          <w:rFonts w:ascii="Arial Narrow" w:hAnsi="Arial Narrow" w:cs="Arial"/>
          <w:b/>
          <w:color w:val="000000" w:themeColor="text1"/>
          <w:lang w:eastAsia="es-ES"/>
        </w:rPr>
      </w:pPr>
      <w:r w:rsidRPr="002C0D19">
        <w:rPr>
          <w:rFonts w:ascii="Arial Narrow" w:hAnsi="Arial Narrow" w:cs="Arial"/>
          <w:color w:val="000000" w:themeColor="text1"/>
          <w:lang w:val="es-ES" w:eastAsia="es-ES"/>
        </w:rPr>
        <w:t xml:space="preserve">En el Reglamento de Funcionamiento y en la Circular de la Cámara se estableció dentro de los tipos de gestión de operaciones la modalidad de traslado denominada </w:t>
      </w:r>
      <w:proofErr w:type="spellStart"/>
      <w:r w:rsidRPr="002C0D19">
        <w:rPr>
          <w:rFonts w:ascii="Arial Narrow" w:hAnsi="Arial Narrow" w:cs="Arial"/>
          <w:i/>
          <w:color w:val="000000" w:themeColor="text1"/>
          <w:lang w:val="es-ES" w:eastAsia="es-ES"/>
        </w:rPr>
        <w:t>Give</w:t>
      </w:r>
      <w:proofErr w:type="spellEnd"/>
      <w:r w:rsidRPr="002C0D19">
        <w:rPr>
          <w:rFonts w:ascii="Arial Narrow" w:hAnsi="Arial Narrow" w:cs="Arial"/>
          <w:i/>
          <w:color w:val="000000" w:themeColor="text1"/>
          <w:lang w:val="es-ES" w:eastAsia="es-ES"/>
        </w:rPr>
        <w:t>-Up</w:t>
      </w:r>
      <w:r w:rsidRPr="002C0D19">
        <w:rPr>
          <w:rFonts w:ascii="Arial Narrow" w:hAnsi="Arial Narrow" w:cs="Arial"/>
          <w:color w:val="000000" w:themeColor="text1"/>
          <w:lang w:val="es-ES" w:eastAsia="es-ES"/>
        </w:rPr>
        <w:t>, mediante las cuales un Tercero ordena trasladar dentro de un mismo Segmento, a través de un Miembro de Origen, Operaciones</w:t>
      </w:r>
      <w:r w:rsidRPr="002C0D19">
        <w:rPr>
          <w:rFonts w:ascii="Arial Narrow" w:hAnsi="Arial Narrow" w:cs="Arial"/>
          <w:color w:val="000000" w:themeColor="text1"/>
          <w:lang w:eastAsia="es-ES"/>
        </w:rPr>
        <w:t xml:space="preserve"> Aceptadas por la Cámara, que hayan sido celebradas o registradas en las Bolsas, los Sistemas de Negociación o Registro, en el mercado mostrador o cualquier otro mecanismo autorizado por el Reglamento de la CRCC S.A., para que a su vez dichas Operaciones Aceptadas sean liquidadas y compensadas mediante la utilización del Sistema de Liquidación y Compensación de la CRCC S.A. a través de un Miembro de Destino, designado por un Tercero. Esta funcionalidad no </w:t>
      </w:r>
      <w:r w:rsidRPr="002C0D19">
        <w:rPr>
          <w:rFonts w:ascii="Arial Narrow" w:hAnsi="Arial Narrow" w:cs="Arial"/>
          <w:color w:val="000000" w:themeColor="text1"/>
          <w:lang w:val="es-ES" w:eastAsia="es-ES"/>
        </w:rPr>
        <w:t>podrá utilizarse entre Cuentas pertenecientes a Segmentos diferentes.</w:t>
      </w:r>
      <w:r w:rsidRPr="002C0D19">
        <w:rPr>
          <w:rFonts w:ascii="Arial Narrow" w:hAnsi="Arial Narrow" w:cs="Arial"/>
          <w:b/>
          <w:color w:val="000000" w:themeColor="text1"/>
          <w:lang w:eastAsia="es-ES"/>
        </w:rPr>
        <w:t xml:space="preserve"> </w:t>
      </w:r>
    </w:p>
    <w:p w14:paraId="42B2F6B0" w14:textId="77777777" w:rsidR="007968EC" w:rsidRPr="002C0D19" w:rsidRDefault="007968EC" w:rsidP="007968EC">
      <w:pPr>
        <w:ind w:right="20"/>
        <w:jc w:val="both"/>
        <w:rPr>
          <w:rFonts w:ascii="Arial Narrow" w:hAnsi="Arial Narrow" w:cs="Arial"/>
          <w:b/>
          <w:color w:val="000000" w:themeColor="text1"/>
          <w:lang w:eastAsia="es-ES"/>
        </w:rPr>
      </w:pPr>
    </w:p>
    <w:p w14:paraId="66AE9AFA" w14:textId="77777777" w:rsidR="007968EC" w:rsidRPr="002C0D19" w:rsidRDefault="007968EC" w:rsidP="007968EC">
      <w:pPr>
        <w:ind w:right="20"/>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Esta modalidad de traslado de operaciones ha sido desarrollada en los mercados internacionales de futuros y opciones con el fin de agilizar la operativa de los mismos, incluso a nivel internacional existe un modelo de contrato, ampliamente aceptado, que se ha elaborado con la colaboración de la Futures </w:t>
      </w:r>
      <w:proofErr w:type="spellStart"/>
      <w:r w:rsidRPr="002C0D19">
        <w:rPr>
          <w:rFonts w:ascii="Arial Narrow" w:hAnsi="Arial Narrow" w:cs="Arial"/>
          <w:color w:val="000000" w:themeColor="text1"/>
          <w:lang w:val="es-ES" w:eastAsia="es-ES"/>
        </w:rPr>
        <w:t>Industry</w:t>
      </w:r>
      <w:proofErr w:type="spellEnd"/>
      <w:r w:rsidRPr="002C0D19">
        <w:rPr>
          <w:rFonts w:ascii="Arial Narrow" w:hAnsi="Arial Narrow" w:cs="Arial"/>
          <w:color w:val="000000" w:themeColor="text1"/>
          <w:lang w:val="es-ES" w:eastAsia="es-ES"/>
        </w:rPr>
        <w:t xml:space="preserve"> </w:t>
      </w:r>
      <w:proofErr w:type="spellStart"/>
      <w:r w:rsidRPr="002C0D19">
        <w:rPr>
          <w:rFonts w:ascii="Arial Narrow" w:hAnsi="Arial Narrow" w:cs="Arial"/>
          <w:color w:val="000000" w:themeColor="text1"/>
          <w:lang w:val="es-ES" w:eastAsia="es-ES"/>
        </w:rPr>
        <w:t>Association</w:t>
      </w:r>
      <w:proofErr w:type="spellEnd"/>
      <w:r w:rsidRPr="002C0D19">
        <w:rPr>
          <w:rFonts w:ascii="Arial Narrow" w:hAnsi="Arial Narrow" w:cs="Arial"/>
          <w:color w:val="000000" w:themeColor="text1"/>
          <w:lang w:val="es-ES" w:eastAsia="es-ES"/>
        </w:rPr>
        <w:t xml:space="preserve"> - FIA, la </w:t>
      </w:r>
      <w:proofErr w:type="spellStart"/>
      <w:r w:rsidRPr="002C0D19">
        <w:rPr>
          <w:rFonts w:ascii="Arial Narrow" w:hAnsi="Arial Narrow" w:cs="Arial"/>
          <w:color w:val="000000" w:themeColor="text1"/>
          <w:lang w:val="es-ES" w:eastAsia="es-ES"/>
        </w:rPr>
        <w:t>Managed</w:t>
      </w:r>
      <w:proofErr w:type="spellEnd"/>
      <w:r w:rsidRPr="002C0D19">
        <w:rPr>
          <w:rFonts w:ascii="Arial Narrow" w:hAnsi="Arial Narrow" w:cs="Arial"/>
          <w:color w:val="000000" w:themeColor="text1"/>
          <w:lang w:val="es-ES" w:eastAsia="es-ES"/>
        </w:rPr>
        <w:t xml:space="preserve"> </w:t>
      </w:r>
      <w:proofErr w:type="spellStart"/>
      <w:r w:rsidRPr="002C0D19">
        <w:rPr>
          <w:rFonts w:ascii="Arial Narrow" w:hAnsi="Arial Narrow" w:cs="Arial"/>
          <w:color w:val="000000" w:themeColor="text1"/>
          <w:lang w:val="es-ES" w:eastAsia="es-ES"/>
        </w:rPr>
        <w:t>Funds</w:t>
      </w:r>
      <w:proofErr w:type="spellEnd"/>
      <w:r w:rsidRPr="002C0D19">
        <w:rPr>
          <w:rFonts w:ascii="Arial Narrow" w:hAnsi="Arial Narrow" w:cs="Arial"/>
          <w:color w:val="000000" w:themeColor="text1"/>
          <w:lang w:val="es-ES" w:eastAsia="es-ES"/>
        </w:rPr>
        <w:t xml:space="preserve"> </w:t>
      </w:r>
      <w:proofErr w:type="spellStart"/>
      <w:r w:rsidRPr="002C0D19">
        <w:rPr>
          <w:rFonts w:ascii="Arial Narrow" w:hAnsi="Arial Narrow" w:cs="Arial"/>
          <w:color w:val="000000" w:themeColor="text1"/>
          <w:lang w:val="es-ES" w:eastAsia="es-ES"/>
        </w:rPr>
        <w:t>Association</w:t>
      </w:r>
      <w:proofErr w:type="spellEnd"/>
      <w:r w:rsidRPr="002C0D19">
        <w:rPr>
          <w:rFonts w:ascii="Arial Narrow" w:hAnsi="Arial Narrow" w:cs="Arial"/>
          <w:color w:val="000000" w:themeColor="text1"/>
          <w:lang w:eastAsia="es-ES"/>
        </w:rPr>
        <w:t xml:space="preserve"> - MFA y la Futures and </w:t>
      </w:r>
      <w:proofErr w:type="spellStart"/>
      <w:r w:rsidRPr="002C0D19">
        <w:rPr>
          <w:rFonts w:ascii="Arial Narrow" w:hAnsi="Arial Narrow" w:cs="Arial"/>
          <w:color w:val="000000" w:themeColor="text1"/>
          <w:lang w:eastAsia="es-ES"/>
        </w:rPr>
        <w:t>Options</w:t>
      </w:r>
      <w:proofErr w:type="spellEnd"/>
      <w:r w:rsidRPr="002C0D19">
        <w:rPr>
          <w:rFonts w:ascii="Arial Narrow" w:hAnsi="Arial Narrow" w:cs="Arial"/>
          <w:color w:val="000000" w:themeColor="text1"/>
          <w:lang w:eastAsia="es-ES"/>
        </w:rPr>
        <w:t xml:space="preserve"> </w:t>
      </w:r>
      <w:proofErr w:type="spellStart"/>
      <w:r w:rsidRPr="002C0D19">
        <w:rPr>
          <w:rFonts w:ascii="Arial Narrow" w:hAnsi="Arial Narrow" w:cs="Arial"/>
          <w:color w:val="000000" w:themeColor="text1"/>
          <w:lang w:eastAsia="es-ES"/>
        </w:rPr>
        <w:t>Association</w:t>
      </w:r>
      <w:proofErr w:type="spellEnd"/>
      <w:r w:rsidRPr="002C0D19">
        <w:rPr>
          <w:rFonts w:ascii="Arial Narrow" w:hAnsi="Arial Narrow" w:cs="Arial"/>
          <w:color w:val="000000" w:themeColor="text1"/>
          <w:lang w:eastAsia="es-ES"/>
        </w:rPr>
        <w:t xml:space="preserve"> - FOA, denominado «</w:t>
      </w:r>
      <w:r w:rsidRPr="002C0D19">
        <w:rPr>
          <w:rFonts w:ascii="Arial Narrow" w:hAnsi="Arial Narrow" w:cs="Arial"/>
          <w:i/>
          <w:color w:val="000000" w:themeColor="text1"/>
          <w:lang w:eastAsia="es-ES"/>
        </w:rPr>
        <w:t>International</w:t>
      </w:r>
      <w:r w:rsidRPr="002C0D19">
        <w:rPr>
          <w:rFonts w:ascii="Arial Narrow" w:hAnsi="Arial Narrow" w:cs="Arial"/>
          <w:color w:val="000000" w:themeColor="text1"/>
          <w:lang w:eastAsia="es-ES"/>
        </w:rPr>
        <w:t xml:space="preserve"> </w:t>
      </w:r>
      <w:proofErr w:type="spellStart"/>
      <w:r w:rsidRPr="002C0D19">
        <w:rPr>
          <w:rFonts w:ascii="Arial Narrow" w:hAnsi="Arial Narrow" w:cs="Arial"/>
          <w:i/>
          <w:color w:val="000000" w:themeColor="text1"/>
          <w:lang w:eastAsia="es-ES"/>
        </w:rPr>
        <w:t>Uniform</w:t>
      </w:r>
      <w:proofErr w:type="spellEnd"/>
      <w:r w:rsidRPr="002C0D19">
        <w:rPr>
          <w:rFonts w:ascii="Arial Narrow" w:hAnsi="Arial Narrow" w:cs="Arial"/>
          <w:i/>
          <w:color w:val="000000" w:themeColor="text1"/>
          <w:lang w:eastAsia="es-ES"/>
        </w:rPr>
        <w:t xml:space="preserve"> </w:t>
      </w:r>
      <w:proofErr w:type="spellStart"/>
      <w:r w:rsidRPr="002C0D19">
        <w:rPr>
          <w:rFonts w:ascii="Arial Narrow" w:hAnsi="Arial Narrow" w:cs="Arial"/>
          <w:i/>
          <w:color w:val="000000" w:themeColor="text1"/>
          <w:lang w:eastAsia="es-ES"/>
        </w:rPr>
        <w:t>Brokerage</w:t>
      </w:r>
      <w:proofErr w:type="spellEnd"/>
      <w:r w:rsidRPr="002C0D19">
        <w:rPr>
          <w:rFonts w:ascii="Arial Narrow" w:hAnsi="Arial Narrow" w:cs="Arial"/>
          <w:i/>
          <w:color w:val="000000" w:themeColor="text1"/>
          <w:lang w:eastAsia="es-ES"/>
        </w:rPr>
        <w:t xml:space="preserve"> </w:t>
      </w:r>
      <w:proofErr w:type="spellStart"/>
      <w:r w:rsidRPr="002C0D19">
        <w:rPr>
          <w:rFonts w:ascii="Arial Narrow" w:hAnsi="Arial Narrow" w:cs="Arial"/>
          <w:i/>
          <w:color w:val="000000" w:themeColor="text1"/>
          <w:lang w:eastAsia="es-ES"/>
        </w:rPr>
        <w:t>Execution</w:t>
      </w:r>
      <w:proofErr w:type="spellEnd"/>
      <w:r w:rsidRPr="002C0D19">
        <w:rPr>
          <w:rFonts w:ascii="Arial Narrow" w:hAnsi="Arial Narrow" w:cs="Arial"/>
          <w:i/>
          <w:color w:val="000000" w:themeColor="text1"/>
          <w:lang w:eastAsia="es-ES"/>
        </w:rPr>
        <w:t xml:space="preserve"> («</w:t>
      </w:r>
      <w:proofErr w:type="spellStart"/>
      <w:r w:rsidRPr="002C0D19">
        <w:rPr>
          <w:rFonts w:ascii="Arial Narrow" w:hAnsi="Arial Narrow" w:cs="Arial"/>
          <w:i/>
          <w:color w:val="000000" w:themeColor="text1"/>
          <w:lang w:eastAsia="es-ES"/>
        </w:rPr>
        <w:t>Give</w:t>
      </w:r>
      <w:proofErr w:type="spellEnd"/>
      <w:r w:rsidRPr="002C0D19">
        <w:rPr>
          <w:rFonts w:ascii="Arial Narrow" w:hAnsi="Arial Narrow" w:cs="Arial"/>
          <w:i/>
          <w:color w:val="000000" w:themeColor="text1"/>
          <w:lang w:eastAsia="es-ES"/>
        </w:rPr>
        <w:t xml:space="preserve">-Up») </w:t>
      </w:r>
      <w:proofErr w:type="spellStart"/>
      <w:r w:rsidRPr="002C0D19">
        <w:rPr>
          <w:rFonts w:ascii="Arial Narrow" w:hAnsi="Arial Narrow" w:cs="Arial"/>
          <w:i/>
          <w:color w:val="000000" w:themeColor="text1"/>
          <w:lang w:eastAsia="es-ES"/>
        </w:rPr>
        <w:t>Agreement</w:t>
      </w:r>
      <w:proofErr w:type="spellEnd"/>
      <w:r w:rsidRPr="002C0D19">
        <w:rPr>
          <w:rFonts w:ascii="Arial Narrow" w:hAnsi="Arial Narrow" w:cs="Arial"/>
          <w:color w:val="000000" w:themeColor="text1"/>
          <w:lang w:eastAsia="es-ES"/>
        </w:rPr>
        <w:t>».</w:t>
      </w:r>
    </w:p>
    <w:p w14:paraId="537C6174" w14:textId="77777777" w:rsidR="007968EC" w:rsidRPr="002C0D19" w:rsidRDefault="007968EC" w:rsidP="007968EC">
      <w:pPr>
        <w:autoSpaceDE w:val="0"/>
        <w:autoSpaceDN w:val="0"/>
        <w:adjustRightInd w:val="0"/>
        <w:jc w:val="both"/>
        <w:rPr>
          <w:rFonts w:ascii="Arial Narrow" w:hAnsi="Arial Narrow"/>
          <w:color w:val="000000" w:themeColor="text1"/>
          <w:lang w:eastAsia="es-ES"/>
        </w:rPr>
      </w:pPr>
    </w:p>
    <w:p w14:paraId="65B389E9" w14:textId="77777777" w:rsidR="007968EC" w:rsidRPr="002C0D19" w:rsidRDefault="007968EC" w:rsidP="007968EC">
      <w:pPr>
        <w:autoSpaceDE w:val="0"/>
        <w:autoSpaceDN w:val="0"/>
        <w:adjustRightInd w:val="0"/>
        <w:jc w:val="both"/>
        <w:rPr>
          <w:rFonts w:ascii="Arial Narrow" w:hAnsi="Arial Narrow"/>
          <w:color w:val="000000" w:themeColor="text1"/>
          <w:lang w:val="es-ES" w:eastAsia="es-ES"/>
        </w:rPr>
      </w:pPr>
      <w:r w:rsidRPr="002C0D19">
        <w:rPr>
          <w:rFonts w:ascii="Arial Narrow" w:hAnsi="Arial Narrow" w:cs="Arial"/>
          <w:color w:val="000000" w:themeColor="text1"/>
          <w:lang w:eastAsia="es-CO"/>
        </w:rPr>
        <w:t xml:space="preserve">Teniendo en cuenta que el Sistema administrado por la Cámara cuenta con las funcionalidades de </w:t>
      </w:r>
      <w:proofErr w:type="spellStart"/>
      <w:r w:rsidRPr="002C0D19">
        <w:rPr>
          <w:rFonts w:ascii="Arial Narrow" w:hAnsi="Arial Narrow" w:cs="Arial"/>
          <w:i/>
          <w:color w:val="000000" w:themeColor="text1"/>
          <w:lang w:eastAsia="es-CO"/>
        </w:rPr>
        <w:t>Give</w:t>
      </w:r>
      <w:proofErr w:type="spellEnd"/>
      <w:r w:rsidRPr="002C0D19">
        <w:rPr>
          <w:rFonts w:ascii="Arial Narrow" w:hAnsi="Arial Narrow" w:cs="Arial"/>
          <w:i/>
          <w:color w:val="000000" w:themeColor="text1"/>
          <w:lang w:eastAsia="es-CO"/>
        </w:rPr>
        <w:t xml:space="preserve">-Up, </w:t>
      </w:r>
      <w:r w:rsidRPr="002C0D19">
        <w:rPr>
          <w:rFonts w:ascii="Arial Narrow" w:hAnsi="Arial Narrow" w:cs="Arial"/>
          <w:color w:val="000000" w:themeColor="text1"/>
          <w:lang w:eastAsia="es-CO"/>
        </w:rPr>
        <w:t>la cual puede ser configurada de forma manual o automática, y que dichas funcionalidades deben ser gestionadas por los Miembros, éstos y sus Terceros podrán proceder a regular sus relaciones contractuales del modo que estimen conveniente, sin perjuicio del cumplimiento de lo dispuesto en las disposiciones de las Bolsas, los Sistemas de Negociación o Registro, en el mercado mostrador,</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eastAsia="es-CO"/>
        </w:rPr>
        <w:t xml:space="preserve"> el Reglamento de la Cámara y en las Circulares respectivas, no siendo preciso remitir a la Cámara el convenio que se suscriba, conservando la Cámara, la posibilidad de exigir una copia cuando lo estime pertinente. </w:t>
      </w:r>
    </w:p>
    <w:p w14:paraId="33BEA9A1" w14:textId="77777777" w:rsidR="007968EC" w:rsidRPr="002C0D19" w:rsidRDefault="007968EC" w:rsidP="007968EC">
      <w:pPr>
        <w:autoSpaceDE w:val="0"/>
        <w:autoSpaceDN w:val="0"/>
        <w:adjustRightInd w:val="0"/>
        <w:jc w:val="both"/>
        <w:rPr>
          <w:rFonts w:ascii="Arial Narrow" w:hAnsi="Arial Narrow" w:cs="Arial"/>
          <w:color w:val="000000" w:themeColor="text1"/>
          <w:lang w:eastAsia="es-CO"/>
        </w:rPr>
      </w:pPr>
    </w:p>
    <w:p w14:paraId="347E543D" w14:textId="77777777" w:rsidR="007968EC" w:rsidRPr="002C0D19" w:rsidRDefault="007968EC" w:rsidP="007968EC">
      <w:pPr>
        <w:autoSpaceDE w:val="0"/>
        <w:autoSpaceDN w:val="0"/>
        <w:adjustRightInd w:val="0"/>
        <w:jc w:val="both"/>
        <w:rPr>
          <w:rFonts w:ascii="Arial Narrow" w:hAnsi="Arial Narrow" w:cs="Arial"/>
          <w:bCs/>
          <w:color w:val="000000" w:themeColor="text1"/>
          <w:lang w:val="es-ES" w:eastAsia="es-ES"/>
        </w:rPr>
      </w:pPr>
      <w:r w:rsidRPr="002C0D19">
        <w:rPr>
          <w:rFonts w:ascii="Arial Narrow" w:hAnsi="Arial Narrow" w:cs="Arial"/>
          <w:color w:val="000000" w:themeColor="text1"/>
          <w:lang w:eastAsia="es-CO"/>
        </w:rPr>
        <w:t xml:space="preserve">No obstante lo anterior, la Cámara para facilitar la elaboración de los convenios de </w:t>
      </w:r>
      <w:proofErr w:type="spellStart"/>
      <w:r w:rsidRPr="002C0D19">
        <w:rPr>
          <w:rFonts w:ascii="Arial Narrow" w:hAnsi="Arial Narrow" w:cs="Arial"/>
          <w:i/>
          <w:color w:val="000000" w:themeColor="text1"/>
          <w:lang w:eastAsia="es-CO"/>
        </w:rPr>
        <w:t>Give</w:t>
      </w:r>
      <w:proofErr w:type="spellEnd"/>
      <w:r w:rsidRPr="002C0D19">
        <w:rPr>
          <w:rFonts w:ascii="Arial Narrow" w:hAnsi="Arial Narrow" w:cs="Arial"/>
          <w:i/>
          <w:color w:val="000000" w:themeColor="text1"/>
          <w:lang w:eastAsia="es-CO"/>
        </w:rPr>
        <w:t>-Up</w:t>
      </w:r>
      <w:r w:rsidRPr="002C0D19">
        <w:rPr>
          <w:rFonts w:ascii="Arial Narrow" w:hAnsi="Arial Narrow" w:cs="Arial"/>
          <w:color w:val="000000" w:themeColor="text1"/>
          <w:lang w:eastAsia="es-CO"/>
        </w:rPr>
        <w:t xml:space="preserve"> pone a disposición de los Miembros un Modelo de Oferta de Servicios para que un Miembro realice </w:t>
      </w:r>
      <w:proofErr w:type="spellStart"/>
      <w:r w:rsidRPr="002C0D19">
        <w:rPr>
          <w:rFonts w:ascii="Arial Narrow" w:hAnsi="Arial Narrow" w:cs="Arial"/>
          <w:i/>
          <w:color w:val="000000" w:themeColor="text1"/>
          <w:lang w:eastAsia="es-CO"/>
        </w:rPr>
        <w:t>Give</w:t>
      </w:r>
      <w:proofErr w:type="spellEnd"/>
      <w:r w:rsidRPr="002C0D19">
        <w:rPr>
          <w:rFonts w:ascii="Arial Narrow" w:hAnsi="Arial Narrow" w:cs="Arial"/>
          <w:i/>
          <w:color w:val="000000" w:themeColor="text1"/>
          <w:lang w:eastAsia="es-CO"/>
        </w:rPr>
        <w:t>-Up</w:t>
      </w:r>
      <w:r w:rsidRPr="002C0D19">
        <w:rPr>
          <w:rFonts w:ascii="Arial Narrow" w:hAnsi="Arial Narrow" w:cs="Arial"/>
          <w:color w:val="000000" w:themeColor="text1"/>
          <w:lang w:eastAsia="es-CO"/>
        </w:rPr>
        <w:t xml:space="preserve"> con otro Miembro ante la Cámara de Riesgo Central de Contraparte de Colombia S.A. – CRCC S.A., un Modelo de Oferta de Servicios para la realización de </w:t>
      </w:r>
      <w:proofErr w:type="spellStart"/>
      <w:r w:rsidRPr="002C0D19">
        <w:rPr>
          <w:rFonts w:ascii="Arial Narrow" w:hAnsi="Arial Narrow" w:cs="Arial"/>
          <w:i/>
          <w:color w:val="000000" w:themeColor="text1"/>
          <w:lang w:eastAsia="es-CO"/>
        </w:rPr>
        <w:t>Give</w:t>
      </w:r>
      <w:proofErr w:type="spellEnd"/>
      <w:r w:rsidRPr="002C0D19">
        <w:rPr>
          <w:rFonts w:ascii="Arial Narrow" w:hAnsi="Arial Narrow" w:cs="Arial"/>
          <w:i/>
          <w:color w:val="000000" w:themeColor="text1"/>
          <w:lang w:eastAsia="es-CO"/>
        </w:rPr>
        <w:t>-Up</w:t>
      </w:r>
      <w:r w:rsidRPr="002C0D19">
        <w:rPr>
          <w:rFonts w:ascii="Arial Narrow" w:hAnsi="Arial Narrow" w:cs="Arial"/>
          <w:color w:val="000000" w:themeColor="text1"/>
          <w:lang w:eastAsia="es-CO"/>
        </w:rPr>
        <w:t xml:space="preserve"> entre un Miembro y un Tercero ante la Cámara de Riesgo Central de Contraparte de Colombia S.A. – CRCC S.A. y un </w:t>
      </w:r>
      <w:r w:rsidRPr="002C0D19">
        <w:rPr>
          <w:rFonts w:ascii="Arial Narrow" w:hAnsi="Arial Narrow" w:cs="Arial"/>
          <w:bCs/>
          <w:color w:val="000000" w:themeColor="text1"/>
          <w:lang w:val="es-ES" w:eastAsia="es-ES"/>
        </w:rPr>
        <w:t xml:space="preserve">Modelo Tripartito de Contrato de Servicios para la realización de órdenes de </w:t>
      </w:r>
      <w:proofErr w:type="spellStart"/>
      <w:r w:rsidRPr="002C0D19">
        <w:rPr>
          <w:rFonts w:ascii="Arial Narrow" w:hAnsi="Arial Narrow" w:cs="Arial"/>
          <w:bCs/>
          <w:i/>
          <w:color w:val="000000" w:themeColor="text1"/>
          <w:lang w:val="es-ES" w:eastAsia="es-ES"/>
        </w:rPr>
        <w:t>Give</w:t>
      </w:r>
      <w:proofErr w:type="spellEnd"/>
      <w:r w:rsidRPr="002C0D19">
        <w:rPr>
          <w:rFonts w:ascii="Arial Narrow" w:hAnsi="Arial Narrow" w:cs="Arial"/>
          <w:bCs/>
          <w:i/>
          <w:color w:val="000000" w:themeColor="text1"/>
          <w:lang w:val="es-ES" w:eastAsia="es-ES"/>
        </w:rPr>
        <w:t>-Up</w:t>
      </w:r>
      <w:r w:rsidRPr="002C0D19">
        <w:rPr>
          <w:rFonts w:ascii="Arial Narrow" w:hAnsi="Arial Narrow" w:cs="Arial"/>
          <w:bCs/>
          <w:color w:val="000000" w:themeColor="text1"/>
          <w:lang w:val="es-ES" w:eastAsia="es-ES"/>
        </w:rPr>
        <w:t xml:space="preserve"> entre un Miembro de Destino, un Miembro de Origen y un Tercero ante la Cámara. </w:t>
      </w:r>
    </w:p>
    <w:p w14:paraId="6D727E53" w14:textId="77777777" w:rsidR="007968EC" w:rsidRPr="002C0D19" w:rsidRDefault="007968EC" w:rsidP="007968EC">
      <w:pPr>
        <w:autoSpaceDE w:val="0"/>
        <w:autoSpaceDN w:val="0"/>
        <w:adjustRightInd w:val="0"/>
        <w:jc w:val="both"/>
        <w:rPr>
          <w:rFonts w:ascii="Arial Narrow" w:hAnsi="Arial Narrow" w:cs="Arial"/>
          <w:color w:val="000000" w:themeColor="text1"/>
          <w:lang w:eastAsia="es-CO"/>
        </w:rPr>
      </w:pPr>
    </w:p>
    <w:p w14:paraId="5C653202" w14:textId="77777777" w:rsidR="007968EC" w:rsidRPr="002C0D19" w:rsidRDefault="007968EC" w:rsidP="007968EC">
      <w:pPr>
        <w:autoSpaceDE w:val="0"/>
        <w:autoSpaceDN w:val="0"/>
        <w:adjustRightInd w:val="0"/>
        <w:jc w:val="both"/>
        <w:rPr>
          <w:rFonts w:ascii="Arial Narrow" w:hAnsi="Arial Narrow" w:cs="Arial"/>
          <w:bCs/>
          <w:color w:val="000000" w:themeColor="text1"/>
          <w:lang w:val="es-ES" w:eastAsia="es-ES"/>
        </w:rPr>
      </w:pPr>
      <w:r w:rsidRPr="002C0D19">
        <w:rPr>
          <w:rFonts w:ascii="Arial Narrow" w:hAnsi="Arial Narrow" w:cs="Arial"/>
          <w:bCs/>
          <w:color w:val="000000" w:themeColor="text1"/>
          <w:lang w:val="es-ES" w:eastAsia="es-ES"/>
        </w:rPr>
        <w:t xml:space="preserve">Será elección de los Miembros celebrar el Modelo de Oferta de Servicios para que un Miembro realice </w:t>
      </w:r>
      <w:proofErr w:type="spellStart"/>
      <w:r w:rsidRPr="002C0D19">
        <w:rPr>
          <w:rFonts w:ascii="Arial Narrow" w:hAnsi="Arial Narrow" w:cs="Arial"/>
          <w:bCs/>
          <w:i/>
          <w:color w:val="000000" w:themeColor="text1"/>
          <w:lang w:val="es-ES" w:eastAsia="es-ES"/>
        </w:rPr>
        <w:t>Give</w:t>
      </w:r>
      <w:proofErr w:type="spellEnd"/>
      <w:r w:rsidRPr="002C0D19">
        <w:rPr>
          <w:rFonts w:ascii="Arial Narrow" w:hAnsi="Arial Narrow" w:cs="Arial"/>
          <w:bCs/>
          <w:i/>
          <w:color w:val="000000" w:themeColor="text1"/>
          <w:lang w:val="es-ES" w:eastAsia="es-ES"/>
        </w:rPr>
        <w:t>-Up</w:t>
      </w:r>
      <w:r w:rsidRPr="002C0D19">
        <w:rPr>
          <w:rFonts w:ascii="Arial Narrow" w:hAnsi="Arial Narrow" w:cs="Arial"/>
          <w:bCs/>
          <w:color w:val="000000" w:themeColor="text1"/>
          <w:lang w:val="es-ES" w:eastAsia="es-ES"/>
        </w:rPr>
        <w:t xml:space="preserve"> con otro Miembro ante la Cámara de Riesgo Central de Contraparte de Colombia S.A. – CRCC S.A. junto con el Modelo de Oferta de Servicios para la realización de </w:t>
      </w:r>
      <w:proofErr w:type="spellStart"/>
      <w:r w:rsidRPr="002C0D19">
        <w:rPr>
          <w:rFonts w:ascii="Arial Narrow" w:hAnsi="Arial Narrow" w:cs="Arial"/>
          <w:bCs/>
          <w:i/>
          <w:color w:val="000000" w:themeColor="text1"/>
          <w:lang w:val="es-ES" w:eastAsia="es-ES"/>
        </w:rPr>
        <w:t>Give</w:t>
      </w:r>
      <w:proofErr w:type="spellEnd"/>
      <w:r w:rsidRPr="002C0D19">
        <w:rPr>
          <w:rFonts w:ascii="Arial Narrow" w:hAnsi="Arial Narrow" w:cs="Arial"/>
          <w:bCs/>
          <w:i/>
          <w:color w:val="000000" w:themeColor="text1"/>
          <w:lang w:val="es-ES" w:eastAsia="es-ES"/>
        </w:rPr>
        <w:t>-Up</w:t>
      </w:r>
      <w:r w:rsidRPr="002C0D19">
        <w:rPr>
          <w:rFonts w:ascii="Arial Narrow" w:hAnsi="Arial Narrow" w:cs="Arial"/>
          <w:bCs/>
          <w:color w:val="000000" w:themeColor="text1"/>
          <w:lang w:val="es-ES" w:eastAsia="es-ES"/>
        </w:rPr>
        <w:t xml:space="preserve"> entre un Miembro y un Tercero o celebrar </w:t>
      </w:r>
      <w:r w:rsidRPr="002C0D19">
        <w:rPr>
          <w:rFonts w:ascii="Arial Narrow" w:hAnsi="Arial Narrow" w:cs="Arial"/>
          <w:bCs/>
          <w:color w:val="000000" w:themeColor="text1"/>
          <w:lang w:val="es-ES" w:eastAsia="es-ES"/>
        </w:rPr>
        <w:lastRenderedPageBreak/>
        <w:t xml:space="preserve">el Modelo Tripartito de Oferta de Servicios para la realización de órdenes de </w:t>
      </w:r>
      <w:proofErr w:type="spellStart"/>
      <w:r w:rsidRPr="002C0D19">
        <w:rPr>
          <w:rFonts w:ascii="Arial Narrow" w:hAnsi="Arial Narrow" w:cs="Arial"/>
          <w:bCs/>
          <w:i/>
          <w:color w:val="000000" w:themeColor="text1"/>
          <w:lang w:val="es-ES" w:eastAsia="es-ES"/>
        </w:rPr>
        <w:t>Give</w:t>
      </w:r>
      <w:proofErr w:type="spellEnd"/>
      <w:r w:rsidRPr="002C0D19">
        <w:rPr>
          <w:rFonts w:ascii="Arial Narrow" w:hAnsi="Arial Narrow" w:cs="Arial"/>
          <w:bCs/>
          <w:i/>
          <w:color w:val="000000" w:themeColor="text1"/>
          <w:lang w:val="es-ES" w:eastAsia="es-ES"/>
        </w:rPr>
        <w:t>-Up</w:t>
      </w:r>
      <w:r w:rsidRPr="002C0D19">
        <w:rPr>
          <w:rFonts w:ascii="Arial Narrow" w:hAnsi="Arial Narrow" w:cs="Arial"/>
          <w:bCs/>
          <w:color w:val="000000" w:themeColor="text1"/>
          <w:lang w:val="es-ES" w:eastAsia="es-ES"/>
        </w:rPr>
        <w:t xml:space="preserve"> entre un Miembro de Destino, un Miembro de Origen y un Tercero ante la Cámara. </w:t>
      </w:r>
    </w:p>
    <w:p w14:paraId="313C5A4F"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CO"/>
        </w:rPr>
      </w:pPr>
    </w:p>
    <w:p w14:paraId="73614B88" w14:textId="77777777" w:rsidR="007968EC" w:rsidRPr="002C0D19" w:rsidRDefault="007968EC" w:rsidP="007968EC">
      <w:pPr>
        <w:autoSpaceDE w:val="0"/>
        <w:autoSpaceDN w:val="0"/>
        <w:adjustRightInd w:val="0"/>
        <w:jc w:val="both"/>
        <w:rPr>
          <w:rFonts w:ascii="Arial Narrow" w:hAnsi="Arial Narrow" w:cs="Arial"/>
          <w:color w:val="000000" w:themeColor="text1"/>
          <w:lang w:eastAsia="es-ES"/>
        </w:rPr>
      </w:pPr>
      <w:r w:rsidRPr="002C0D19">
        <w:rPr>
          <w:rFonts w:ascii="Arial Narrow" w:hAnsi="Arial Narrow" w:cs="Arial"/>
          <w:color w:val="000000" w:themeColor="text1"/>
          <w:lang w:eastAsia="es-CO"/>
        </w:rPr>
        <w:t xml:space="preserve">Vale la pena resaltar que los modelos que se encuentran a disposición, están dirigidos a la realización de </w:t>
      </w:r>
      <w:proofErr w:type="spellStart"/>
      <w:r w:rsidRPr="002C0D19">
        <w:rPr>
          <w:rFonts w:ascii="Arial Narrow" w:hAnsi="Arial Narrow" w:cs="Arial"/>
          <w:i/>
          <w:color w:val="000000" w:themeColor="text1"/>
          <w:lang w:eastAsia="es-CO"/>
        </w:rPr>
        <w:t>Give</w:t>
      </w:r>
      <w:proofErr w:type="spellEnd"/>
      <w:r w:rsidRPr="002C0D19">
        <w:rPr>
          <w:rFonts w:ascii="Arial Narrow" w:hAnsi="Arial Narrow" w:cs="Arial"/>
          <w:i/>
          <w:color w:val="000000" w:themeColor="text1"/>
          <w:lang w:eastAsia="es-CO"/>
        </w:rPr>
        <w:t>-Up</w:t>
      </w:r>
      <w:r w:rsidRPr="002C0D19">
        <w:rPr>
          <w:rFonts w:ascii="Arial Narrow" w:hAnsi="Arial Narrow" w:cs="Arial"/>
          <w:color w:val="000000" w:themeColor="text1"/>
          <w:lang w:eastAsia="es-CO"/>
        </w:rPr>
        <w:t xml:space="preserve"> </w:t>
      </w:r>
      <w:r w:rsidRPr="002C0D19">
        <w:rPr>
          <w:rFonts w:ascii="Arial Narrow" w:hAnsi="Arial Narrow" w:cs="Arial"/>
          <w:bCs/>
          <w:color w:val="000000" w:themeColor="text1"/>
          <w:lang w:val="es-ES" w:eastAsia="es-ES"/>
        </w:rPr>
        <w:t xml:space="preserve">de una Cuenta de un Tercero a otra Cuenta de Tercero en otro Miembro, por lo tanto tales modelos deben ser ajustados en los términos que se consideren pertinentes para su empleo en la realización de </w:t>
      </w:r>
      <w:proofErr w:type="spellStart"/>
      <w:r w:rsidRPr="002C0D19">
        <w:rPr>
          <w:rFonts w:ascii="Arial Narrow" w:hAnsi="Arial Narrow" w:cs="Arial"/>
          <w:bCs/>
          <w:i/>
          <w:color w:val="000000" w:themeColor="text1"/>
          <w:lang w:val="es-ES" w:eastAsia="es-ES"/>
        </w:rPr>
        <w:t>Give</w:t>
      </w:r>
      <w:proofErr w:type="spellEnd"/>
      <w:r w:rsidRPr="002C0D19">
        <w:rPr>
          <w:rFonts w:ascii="Arial Narrow" w:hAnsi="Arial Narrow" w:cs="Arial"/>
          <w:bCs/>
          <w:i/>
          <w:color w:val="000000" w:themeColor="text1"/>
          <w:lang w:val="es-ES" w:eastAsia="es-ES"/>
        </w:rPr>
        <w:t>-Up</w:t>
      </w:r>
      <w:r w:rsidRPr="002C0D19">
        <w:rPr>
          <w:rFonts w:ascii="Arial Narrow" w:hAnsi="Arial Narrow" w:cs="Arial"/>
          <w:bCs/>
          <w:color w:val="000000" w:themeColor="text1"/>
          <w:lang w:val="es-ES" w:eastAsia="es-ES"/>
        </w:rPr>
        <w:t xml:space="preserve"> de la Cuenta de Registro de la Cuenta Propia de una Miembro a la Cuenta de Tercero de ese Miembro de la cual sea titular en otro Miembro</w:t>
      </w:r>
      <w:r w:rsidRPr="002C0D19">
        <w:rPr>
          <w:rFonts w:ascii="Arial Narrow" w:hAnsi="Arial Narrow" w:cs="Arial"/>
          <w:color w:val="000000" w:themeColor="text1"/>
          <w:lang w:eastAsia="es-ES"/>
        </w:rPr>
        <w:t>.</w:t>
      </w:r>
    </w:p>
    <w:p w14:paraId="769BA181" w14:textId="77777777" w:rsidR="007968EC" w:rsidRPr="002C0D19" w:rsidRDefault="007968EC" w:rsidP="007968EC">
      <w:pPr>
        <w:autoSpaceDE w:val="0"/>
        <w:autoSpaceDN w:val="0"/>
        <w:adjustRightInd w:val="0"/>
        <w:jc w:val="both"/>
        <w:rPr>
          <w:rFonts w:ascii="Arial Narrow" w:hAnsi="Arial Narrow" w:cs="Arial"/>
          <w:b/>
          <w:bCs/>
          <w:color w:val="000000" w:themeColor="text1"/>
          <w:lang w:eastAsia="es-ES"/>
        </w:rPr>
      </w:pPr>
    </w:p>
    <w:p w14:paraId="4B8FD0DE" w14:textId="77777777" w:rsidR="007968EC" w:rsidRPr="002C0D19" w:rsidRDefault="007968EC" w:rsidP="007968EC">
      <w:pPr>
        <w:autoSpaceDE w:val="0"/>
        <w:autoSpaceDN w:val="0"/>
        <w:adjustRightInd w:val="0"/>
        <w:jc w:val="both"/>
        <w:rPr>
          <w:rFonts w:ascii="Arial Narrow" w:hAnsi="Arial Narrow" w:cs="Arial"/>
          <w:bCs/>
          <w:color w:val="000000" w:themeColor="text1"/>
          <w:lang w:val="es-ES" w:eastAsia="es-ES"/>
        </w:rPr>
      </w:pPr>
      <w:r w:rsidRPr="002C0D19">
        <w:rPr>
          <w:rFonts w:ascii="Arial Narrow" w:hAnsi="Arial Narrow" w:cs="Arial"/>
          <w:color w:val="000000" w:themeColor="text1"/>
          <w:lang w:eastAsia="es-CO"/>
        </w:rPr>
        <w:t xml:space="preserve">Por último, se aclara que las Oferta de Servicios para que un Miembro realice </w:t>
      </w:r>
      <w:proofErr w:type="spellStart"/>
      <w:r w:rsidRPr="002C0D19">
        <w:rPr>
          <w:rFonts w:ascii="Arial Narrow" w:hAnsi="Arial Narrow" w:cs="Arial"/>
          <w:i/>
          <w:color w:val="000000" w:themeColor="text1"/>
          <w:lang w:eastAsia="es-CO"/>
        </w:rPr>
        <w:t>Give</w:t>
      </w:r>
      <w:proofErr w:type="spellEnd"/>
      <w:r w:rsidRPr="002C0D19">
        <w:rPr>
          <w:rFonts w:ascii="Arial Narrow" w:hAnsi="Arial Narrow" w:cs="Arial"/>
          <w:i/>
          <w:color w:val="000000" w:themeColor="text1"/>
          <w:lang w:eastAsia="es-CO"/>
        </w:rPr>
        <w:t>-Up</w:t>
      </w:r>
      <w:r w:rsidRPr="002C0D19">
        <w:rPr>
          <w:rFonts w:ascii="Arial Narrow" w:hAnsi="Arial Narrow" w:cs="Arial"/>
          <w:color w:val="000000" w:themeColor="text1"/>
          <w:lang w:eastAsia="es-CO"/>
        </w:rPr>
        <w:t xml:space="preserve"> con otro Miembro ante la Cámara de Riesgo Central de Contraparte de Colombia S.A. – CRCC S.A. o para la realización de </w:t>
      </w:r>
      <w:proofErr w:type="spellStart"/>
      <w:r w:rsidRPr="002C0D19">
        <w:rPr>
          <w:rFonts w:ascii="Arial Narrow" w:hAnsi="Arial Narrow" w:cs="Arial"/>
          <w:i/>
          <w:color w:val="000000" w:themeColor="text1"/>
          <w:lang w:eastAsia="es-CO"/>
        </w:rPr>
        <w:t>Give</w:t>
      </w:r>
      <w:proofErr w:type="spellEnd"/>
      <w:r w:rsidRPr="002C0D19">
        <w:rPr>
          <w:rFonts w:ascii="Arial Narrow" w:hAnsi="Arial Narrow" w:cs="Arial"/>
          <w:i/>
          <w:color w:val="000000" w:themeColor="text1"/>
          <w:lang w:eastAsia="es-CO"/>
        </w:rPr>
        <w:t>-Up</w:t>
      </w:r>
      <w:r w:rsidRPr="002C0D19">
        <w:rPr>
          <w:rFonts w:ascii="Arial Narrow" w:hAnsi="Arial Narrow" w:cs="Arial"/>
          <w:color w:val="000000" w:themeColor="text1"/>
          <w:lang w:eastAsia="es-CO"/>
        </w:rPr>
        <w:t xml:space="preserve"> entre un Miembro y un Tercero ante la Cámara de Riesgo Central de Contraparte de Colombia S.A. – CRCC S.A., celebradas con anterioridad a la entrada en vigencia de la </w:t>
      </w:r>
      <w:r w:rsidRPr="002C0D19">
        <w:rPr>
          <w:rFonts w:ascii="Arial Narrow" w:hAnsi="Arial Narrow" w:cs="Arial"/>
          <w:bCs/>
          <w:color w:val="000000" w:themeColor="text1"/>
          <w:lang w:val="es-ES" w:eastAsia="es-ES"/>
        </w:rPr>
        <w:t>Circular 18 del 2 de octubre de 2012, publicada en el Boletín Normativo No.018 del 2 de octubre de 2012, tienen plena validez no siendo necesaria su modificación.</w:t>
      </w:r>
    </w:p>
    <w:p w14:paraId="674CA9FD" w14:textId="77777777" w:rsidR="007968EC" w:rsidRPr="002C0D19" w:rsidRDefault="007968EC" w:rsidP="007968EC">
      <w:pPr>
        <w:autoSpaceDE w:val="0"/>
        <w:autoSpaceDN w:val="0"/>
        <w:adjustRightInd w:val="0"/>
        <w:jc w:val="both"/>
        <w:rPr>
          <w:rFonts w:ascii="Arial Narrow" w:hAnsi="Arial Narrow" w:cs="Arial"/>
          <w:color w:val="000000" w:themeColor="text1"/>
          <w:lang w:eastAsia="es-ES"/>
        </w:rPr>
      </w:pPr>
    </w:p>
    <w:p w14:paraId="03224AD8" w14:textId="77777777" w:rsidR="007968EC" w:rsidRPr="002C0D19" w:rsidRDefault="007968EC" w:rsidP="007968EC">
      <w:pPr>
        <w:rPr>
          <w:rFonts w:ascii="Arial Narrow" w:hAnsi="Arial Narrow" w:cs="Arial"/>
          <w:b/>
          <w:i/>
          <w:color w:val="000000" w:themeColor="text1"/>
          <w:lang w:val="es-ES" w:eastAsia="es-ES"/>
        </w:rPr>
      </w:pPr>
      <w:r w:rsidRPr="002C0D19">
        <w:rPr>
          <w:rFonts w:ascii="Arial Narrow" w:hAnsi="Arial Narrow" w:cs="Arial"/>
          <w:b/>
          <w:i/>
          <w:color w:val="000000" w:themeColor="text1"/>
          <w:lang w:val="es-ES" w:eastAsia="es-ES"/>
        </w:rPr>
        <w:br w:type="page"/>
      </w:r>
    </w:p>
    <w:p w14:paraId="559E0494" w14:textId="77777777" w:rsidR="007968EC" w:rsidRPr="002C0D19" w:rsidRDefault="007968EC" w:rsidP="007968EC">
      <w:pPr>
        <w:autoSpaceDE w:val="0"/>
        <w:autoSpaceDN w:val="0"/>
        <w:adjustRightInd w:val="0"/>
        <w:jc w:val="center"/>
        <w:rPr>
          <w:rFonts w:ascii="Arial Narrow" w:hAnsi="Arial Narrow" w:cs="Arial"/>
          <w:b/>
          <w:i/>
          <w:color w:val="000000" w:themeColor="text1"/>
          <w:lang w:val="es-ES" w:eastAsia="es-ES"/>
        </w:rPr>
      </w:pPr>
      <w:r w:rsidRPr="002C0D19">
        <w:rPr>
          <w:rFonts w:ascii="Arial Narrow" w:hAnsi="Arial Narrow" w:cs="Arial"/>
          <w:b/>
          <w:i/>
          <w:color w:val="000000" w:themeColor="text1"/>
          <w:lang w:val="es-ES" w:eastAsia="es-ES"/>
        </w:rPr>
        <w:lastRenderedPageBreak/>
        <w:t xml:space="preserve">ANEXO 24.1 Modelo de Oferta de Servicios para la realización de </w:t>
      </w:r>
      <w:proofErr w:type="spellStart"/>
      <w:r w:rsidRPr="002C0D19">
        <w:rPr>
          <w:rFonts w:ascii="Arial Narrow" w:hAnsi="Arial Narrow" w:cs="Arial"/>
          <w:b/>
          <w:i/>
          <w:color w:val="000000" w:themeColor="text1"/>
          <w:lang w:val="es-ES" w:eastAsia="es-ES"/>
        </w:rPr>
        <w:t>Give</w:t>
      </w:r>
      <w:proofErr w:type="spellEnd"/>
      <w:r w:rsidRPr="002C0D19">
        <w:rPr>
          <w:rFonts w:ascii="Arial Narrow" w:hAnsi="Arial Narrow" w:cs="Arial"/>
          <w:b/>
          <w:i/>
          <w:color w:val="000000" w:themeColor="text1"/>
          <w:lang w:val="es-ES" w:eastAsia="es-ES"/>
        </w:rPr>
        <w:t>-Up entre Miembros de la Cámara</w:t>
      </w:r>
    </w:p>
    <w:p w14:paraId="2A227FE1" w14:textId="77777777" w:rsidR="007968EC" w:rsidRPr="002C0D19" w:rsidRDefault="007968EC" w:rsidP="007968EC">
      <w:pPr>
        <w:autoSpaceDE w:val="0"/>
        <w:autoSpaceDN w:val="0"/>
        <w:adjustRightInd w:val="0"/>
        <w:jc w:val="center"/>
        <w:rPr>
          <w:rFonts w:ascii="Arial Narrow" w:hAnsi="Arial Narrow" w:cs="Arial"/>
          <w:color w:val="000000" w:themeColor="text1"/>
          <w:lang w:val="es-ES" w:eastAsia="es-ES"/>
        </w:rPr>
      </w:pPr>
    </w:p>
    <w:p w14:paraId="0890AA9E" w14:textId="77777777" w:rsidR="007968EC" w:rsidRPr="002C0D19" w:rsidRDefault="007968EC" w:rsidP="007968EC">
      <w:pPr>
        <w:jc w:val="center"/>
        <w:rPr>
          <w:rFonts w:ascii="Arial Narrow" w:hAnsi="Arial Narrow" w:cs="Arial"/>
          <w:b/>
          <w:bCs/>
          <w:color w:val="000000" w:themeColor="text1"/>
          <w:lang w:eastAsia="es-ES"/>
        </w:rPr>
      </w:pPr>
      <w:r w:rsidRPr="002C0D19">
        <w:rPr>
          <w:rFonts w:ascii="Arial Narrow" w:hAnsi="Arial Narrow" w:cs="Arial"/>
          <w:b/>
          <w:bCs/>
          <w:color w:val="000000" w:themeColor="text1"/>
          <w:lang w:eastAsia="es-ES"/>
        </w:rPr>
        <w:t xml:space="preserve">OFERTA DE SERVICIOS PARA QUE UN MIEMBRO REALICE </w:t>
      </w:r>
      <w:r w:rsidRPr="002C0D19">
        <w:rPr>
          <w:rFonts w:ascii="Arial Narrow" w:hAnsi="Arial Narrow" w:cs="Arial"/>
          <w:b/>
          <w:bCs/>
          <w:i/>
          <w:color w:val="000000" w:themeColor="text1"/>
          <w:lang w:eastAsia="es-ES"/>
        </w:rPr>
        <w:t>GIVE-UP</w:t>
      </w:r>
      <w:r w:rsidRPr="002C0D19">
        <w:rPr>
          <w:rFonts w:ascii="Arial Narrow" w:hAnsi="Arial Narrow" w:cs="Arial"/>
          <w:b/>
          <w:bCs/>
          <w:color w:val="000000" w:themeColor="text1"/>
          <w:lang w:eastAsia="es-ES"/>
        </w:rPr>
        <w:t xml:space="preserve"> CON OTRO MIEMBRO ANTE LA CÁMARA DE RIESGO CENTRAL DE CONTRAPARTE DE COLOMBIA S.A. – CRCC S.A. </w:t>
      </w:r>
    </w:p>
    <w:p w14:paraId="30EE14A4" w14:textId="77777777" w:rsidR="007968EC" w:rsidRPr="002C0D19" w:rsidRDefault="007968EC" w:rsidP="007968EC">
      <w:pPr>
        <w:rPr>
          <w:rFonts w:ascii="Arial Narrow" w:hAnsi="Arial Narrow" w:cs="Arial"/>
          <w:b/>
          <w:bCs/>
          <w:color w:val="000000" w:themeColor="text1"/>
          <w:lang w:eastAsia="es-ES"/>
        </w:rPr>
      </w:pPr>
    </w:p>
    <w:p w14:paraId="389A959F" w14:textId="77777777" w:rsidR="007968EC" w:rsidRPr="002C0D19" w:rsidRDefault="007968EC" w:rsidP="007968EC">
      <w:pPr>
        <w:jc w:val="center"/>
        <w:rPr>
          <w:rFonts w:ascii="Arial Narrow" w:hAnsi="Arial Narrow" w:cs="Arial"/>
          <w:color w:val="000000" w:themeColor="text1"/>
          <w:lang w:val="es-MX" w:eastAsia="es-ES"/>
        </w:rPr>
      </w:pPr>
    </w:p>
    <w:p w14:paraId="1D6AB786"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Esta Oferta de Servicios para </w:t>
      </w:r>
      <w:r w:rsidRPr="002C0D19">
        <w:rPr>
          <w:rFonts w:ascii="Arial Narrow" w:hAnsi="Arial Narrow" w:cs="Arial"/>
          <w:bCs/>
          <w:color w:val="000000" w:themeColor="text1"/>
          <w:lang w:eastAsia="es-ES"/>
        </w:rPr>
        <w:t>que</w:t>
      </w:r>
      <w:r w:rsidRPr="002C0D19">
        <w:rPr>
          <w:rFonts w:ascii="Arial Narrow" w:hAnsi="Arial Narrow" w:cs="Arial"/>
          <w:b/>
          <w:bCs/>
          <w:color w:val="000000" w:themeColor="text1"/>
          <w:lang w:eastAsia="es-ES"/>
        </w:rPr>
        <w:t xml:space="preserve"> </w:t>
      </w:r>
      <w:r w:rsidRPr="002C0D19">
        <w:rPr>
          <w:rFonts w:ascii="Arial Narrow" w:hAnsi="Arial Narrow" w:cs="Arial"/>
          <w:bCs/>
          <w:color w:val="000000" w:themeColor="text1"/>
          <w:lang w:eastAsia="es-ES"/>
        </w:rPr>
        <w:t>un</w:t>
      </w:r>
      <w:r w:rsidRPr="002C0D19">
        <w:rPr>
          <w:rFonts w:ascii="Arial Narrow" w:hAnsi="Arial Narrow" w:cs="Arial"/>
          <w:b/>
          <w:bCs/>
          <w:color w:val="000000" w:themeColor="text1"/>
          <w:lang w:eastAsia="es-ES"/>
        </w:rPr>
        <w:t xml:space="preserve"> </w:t>
      </w:r>
      <w:r w:rsidRPr="002C0D19">
        <w:rPr>
          <w:rFonts w:ascii="Arial Narrow" w:hAnsi="Arial Narrow" w:cs="Arial"/>
          <w:bCs/>
          <w:color w:val="000000" w:themeColor="text1"/>
          <w:lang w:eastAsia="es-ES"/>
        </w:rPr>
        <w:t xml:space="preserve">Miembro </w:t>
      </w:r>
      <w:r w:rsidRPr="002C0D19">
        <w:rPr>
          <w:rFonts w:ascii="Arial Narrow" w:hAnsi="Arial Narrow" w:cs="Arial"/>
          <w:color w:val="000000" w:themeColor="text1"/>
          <w:lang w:val="es-ES" w:eastAsia="es-ES"/>
        </w:rPr>
        <w:t>realice</w:t>
      </w:r>
      <w:r w:rsidRPr="002C0D19">
        <w:rPr>
          <w:rFonts w:ascii="Arial Narrow" w:hAnsi="Arial Narrow" w:cs="Arial"/>
          <w:color w:val="000000" w:themeColor="text1"/>
          <w:lang w:eastAsia="es-ES"/>
        </w:rPr>
        <w:t xml:space="preserve"> traslados de una Operación Aceptada de una Cuenta de un Tercero a otra cuenta de Tercero en otro Miembro dentro de un mismo Segmento, en adelante</w:t>
      </w:r>
      <w:r w:rsidRPr="002C0D19">
        <w:rPr>
          <w:rFonts w:ascii="Arial Narrow" w:hAnsi="Arial Narrow" w:cs="Arial"/>
          <w:color w:val="000000" w:themeColor="text1"/>
          <w:lang w:val="es-ES" w:eastAsia="es-ES"/>
        </w:rPr>
        <w:t xml:space="preserve"> orden de </w:t>
      </w:r>
      <w:proofErr w:type="spellStart"/>
      <w:r w:rsidRPr="002C0D19">
        <w:rPr>
          <w:rFonts w:ascii="Arial Narrow" w:hAnsi="Arial Narrow" w:cs="Arial"/>
          <w:i/>
          <w:color w:val="000000" w:themeColor="text1"/>
          <w:lang w:val="es-ES" w:eastAsia="es-ES"/>
        </w:rPr>
        <w:t>Give</w:t>
      </w:r>
      <w:proofErr w:type="spellEnd"/>
      <w:r w:rsidRPr="002C0D19">
        <w:rPr>
          <w:rFonts w:ascii="Arial Narrow" w:hAnsi="Arial Narrow" w:cs="Arial"/>
          <w:i/>
          <w:color w:val="000000" w:themeColor="text1"/>
          <w:lang w:val="es-ES" w:eastAsia="es-ES"/>
        </w:rPr>
        <w:t>-up,</w:t>
      </w:r>
      <w:r w:rsidRPr="002C0D19">
        <w:rPr>
          <w:rFonts w:ascii="Arial Narrow" w:hAnsi="Arial Narrow" w:cs="Arial"/>
          <w:color w:val="000000" w:themeColor="text1"/>
          <w:lang w:val="es-ES" w:eastAsia="es-ES"/>
        </w:rPr>
        <w:t xml:space="preserve"> ante la Cámara de Riesgo Central de Contraparte de Colombia S.A. – CRCC S.A., en adelante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se somete por __________________________________, a consideración de __________________________________, conjuntamente denominados </w:t>
      </w:r>
      <w:r w:rsidRPr="002C0D19">
        <w:rPr>
          <w:rFonts w:ascii="Arial Narrow" w:hAnsi="Arial Narrow" w:cs="Arial"/>
          <w:b/>
          <w:color w:val="000000" w:themeColor="text1"/>
          <w:lang w:val="es-ES" w:eastAsia="es-ES"/>
        </w:rPr>
        <w:t>LOS MIEMBROS.</w:t>
      </w:r>
      <w:r w:rsidRPr="002C0D19">
        <w:rPr>
          <w:rFonts w:ascii="Arial Narrow" w:hAnsi="Arial Narrow" w:cs="Arial"/>
          <w:color w:val="000000" w:themeColor="text1"/>
          <w:lang w:val="es-ES" w:eastAsia="es-ES"/>
        </w:rPr>
        <w:t xml:space="preserve"> </w:t>
      </w:r>
    </w:p>
    <w:p w14:paraId="220F6374" w14:textId="77777777" w:rsidR="007968EC" w:rsidRPr="002C0D19" w:rsidRDefault="007968EC" w:rsidP="007968EC">
      <w:pPr>
        <w:jc w:val="both"/>
        <w:rPr>
          <w:rFonts w:ascii="Arial Narrow" w:hAnsi="Arial Narrow" w:cs="Arial"/>
          <w:color w:val="000000" w:themeColor="text1"/>
          <w:lang w:val="es-ES" w:eastAsia="es-ES"/>
        </w:rPr>
      </w:pPr>
    </w:p>
    <w:p w14:paraId="43670F77" w14:textId="77777777" w:rsidR="007968EC" w:rsidRPr="002C0D19" w:rsidRDefault="007968EC" w:rsidP="007968EC">
      <w:pPr>
        <w:jc w:val="center"/>
        <w:rPr>
          <w:rFonts w:ascii="Arial Narrow" w:hAnsi="Arial Narrow" w:cs="Arial"/>
          <w:b/>
          <w:bCs/>
          <w:color w:val="000000" w:themeColor="text1"/>
          <w:lang w:val="es-ES" w:eastAsia="es-ES"/>
        </w:rPr>
      </w:pPr>
      <w:r w:rsidRPr="002C0D19">
        <w:rPr>
          <w:rFonts w:ascii="Arial Narrow" w:hAnsi="Arial Narrow" w:cs="Arial"/>
          <w:b/>
          <w:bCs/>
          <w:iCs/>
          <w:color w:val="000000" w:themeColor="text1"/>
          <w:lang w:val="es-ES" w:eastAsia="es-ES"/>
        </w:rPr>
        <w:t>TÉRMINOS Y CONDICIONES DE LA OFERTA</w:t>
      </w:r>
    </w:p>
    <w:p w14:paraId="63C91627" w14:textId="77777777" w:rsidR="007968EC" w:rsidRPr="002C0D19" w:rsidRDefault="007968EC" w:rsidP="007968EC">
      <w:pPr>
        <w:jc w:val="both"/>
        <w:rPr>
          <w:rFonts w:ascii="Arial Narrow" w:hAnsi="Arial Narrow" w:cs="Arial"/>
          <w:b/>
          <w:bCs/>
          <w:color w:val="000000" w:themeColor="text1"/>
          <w:u w:val="single"/>
          <w:lang w:val="es-ES" w:eastAsia="es-ES"/>
        </w:rPr>
      </w:pPr>
    </w:p>
    <w:p w14:paraId="3463D2C6" w14:textId="77777777" w:rsidR="007968EC" w:rsidRPr="002C0D19" w:rsidRDefault="007968EC" w:rsidP="007968EC">
      <w:pPr>
        <w:ind w:right="20"/>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es-ES" w:eastAsia="es-ES"/>
        </w:rPr>
        <w:t>PRIMERA. Objeto.</w:t>
      </w:r>
      <w:r w:rsidRPr="002C0D19">
        <w:rPr>
          <w:rFonts w:ascii="Arial Narrow" w:hAnsi="Arial Narrow" w:cs="Arial"/>
          <w:b/>
          <w:bCs/>
          <w:color w:val="000000" w:themeColor="text1"/>
          <w:lang w:val="es-ES" w:eastAsia="es-ES"/>
        </w:rPr>
        <w:t xml:space="preserve"> </w:t>
      </w:r>
      <w:r w:rsidRPr="002C0D19">
        <w:rPr>
          <w:rFonts w:ascii="Arial Narrow" w:hAnsi="Arial Narrow" w:cs="Arial"/>
          <w:color w:val="000000" w:themeColor="text1"/>
          <w:lang w:val="es-ES" w:eastAsia="es-ES"/>
        </w:rPr>
        <w:t xml:space="preserve">En virtud de la aceptación de la presente Oferta de Servicios, </w:t>
      </w:r>
      <w:r w:rsidRPr="002C0D19">
        <w:rPr>
          <w:rFonts w:ascii="Arial Narrow" w:hAnsi="Arial Narrow" w:cs="Arial"/>
          <w:b/>
          <w:color w:val="000000" w:themeColor="text1"/>
          <w:lang w:val="es-ES" w:eastAsia="es-ES"/>
        </w:rPr>
        <w:t xml:space="preserve">LOS MIEMBROS </w:t>
      </w:r>
      <w:r w:rsidRPr="002C0D19">
        <w:rPr>
          <w:rFonts w:ascii="Arial Narrow" w:hAnsi="Arial Narrow" w:cs="Arial"/>
          <w:color w:val="000000" w:themeColor="text1"/>
          <w:lang w:val="es-ES" w:eastAsia="es-ES"/>
        </w:rPr>
        <w:t xml:space="preserve">aceptan realizar </w:t>
      </w:r>
      <w:proofErr w:type="spellStart"/>
      <w:r w:rsidRPr="002C0D19">
        <w:rPr>
          <w:rFonts w:ascii="Arial Narrow" w:hAnsi="Arial Narrow" w:cs="Arial"/>
          <w:i/>
          <w:color w:val="000000" w:themeColor="text1"/>
          <w:lang w:val="es-ES" w:eastAsia="es-ES"/>
        </w:rPr>
        <w:t>Give</w:t>
      </w:r>
      <w:proofErr w:type="spellEnd"/>
      <w:r w:rsidRPr="002C0D19">
        <w:rPr>
          <w:rFonts w:ascii="Arial Narrow" w:hAnsi="Arial Narrow" w:cs="Arial"/>
          <w:i/>
          <w:color w:val="000000" w:themeColor="text1"/>
          <w:lang w:val="es-ES" w:eastAsia="es-ES"/>
        </w:rPr>
        <w:t>-Up</w:t>
      </w:r>
      <w:r w:rsidRPr="002C0D19">
        <w:rPr>
          <w:rFonts w:ascii="Arial Narrow" w:hAnsi="Arial Narrow" w:cs="Arial"/>
          <w:color w:val="000000" w:themeColor="text1"/>
          <w:lang w:val="es-ES" w:eastAsia="es-ES"/>
        </w:rPr>
        <w:t xml:space="preserve"> de </w:t>
      </w:r>
      <w:r w:rsidRPr="002C0D19">
        <w:rPr>
          <w:rFonts w:ascii="Arial Narrow" w:hAnsi="Arial Narrow" w:cs="Arial"/>
          <w:color w:val="000000" w:themeColor="text1"/>
          <w:lang w:eastAsia="es-ES"/>
        </w:rPr>
        <w:t xml:space="preserve">Operaciones Aceptadas desde y hacia la Cuenta de un </w:t>
      </w:r>
      <w:r w:rsidRPr="002C0D19">
        <w:rPr>
          <w:rFonts w:ascii="Arial Narrow" w:hAnsi="Arial Narrow" w:cs="Arial"/>
          <w:b/>
          <w:color w:val="000000" w:themeColor="text1"/>
          <w:lang w:val="es-ES" w:eastAsia="es-ES"/>
        </w:rPr>
        <w:t>TERCERO</w:t>
      </w:r>
      <w:r w:rsidRPr="002C0D19">
        <w:rPr>
          <w:rFonts w:ascii="Arial Narrow" w:hAnsi="Arial Narrow" w:cs="Arial"/>
          <w:color w:val="000000" w:themeColor="text1"/>
          <w:lang w:eastAsia="es-ES"/>
        </w:rPr>
        <w:t xml:space="preserve"> </w:t>
      </w:r>
      <w:r w:rsidRPr="002C0D19">
        <w:rPr>
          <w:rFonts w:ascii="Arial Narrow" w:hAnsi="Arial Narrow" w:cs="Arial"/>
          <w:color w:val="000000" w:themeColor="text1"/>
          <w:lang w:val="es-ES" w:eastAsia="es-ES"/>
        </w:rPr>
        <w:t xml:space="preserve">ante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dentro de un mismo Segmento, de conformidad con los términos y condiciones establecidos en el Reglamento de Funcionamiento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en adelante el “Reglamento”, en la Circular de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 xml:space="preserve">en adelante la “Circular”. </w:t>
      </w:r>
    </w:p>
    <w:p w14:paraId="7499D263" w14:textId="77777777" w:rsidR="007968EC" w:rsidRPr="002C0D19" w:rsidRDefault="007968EC" w:rsidP="007968EC">
      <w:pPr>
        <w:ind w:right="20"/>
        <w:jc w:val="both"/>
        <w:rPr>
          <w:rFonts w:ascii="Arial Narrow" w:hAnsi="Arial Narrow" w:cs="Arial"/>
          <w:color w:val="000000" w:themeColor="text1"/>
          <w:lang w:val="es-ES" w:eastAsia="es-ES"/>
        </w:rPr>
      </w:pPr>
    </w:p>
    <w:p w14:paraId="4C2925B6" w14:textId="77777777" w:rsidR="007968EC" w:rsidRPr="002C0D19" w:rsidRDefault="007968EC" w:rsidP="007968EC">
      <w:pPr>
        <w:ind w:right="20"/>
        <w:jc w:val="both"/>
        <w:rPr>
          <w:rFonts w:ascii="Arial Narrow" w:hAnsi="Arial Narrow" w:cs="Arial"/>
          <w:b/>
          <w:color w:val="000000" w:themeColor="text1"/>
          <w:lang w:eastAsia="es-ES"/>
        </w:rPr>
      </w:pPr>
      <w:r w:rsidRPr="002C0D19">
        <w:rPr>
          <w:rFonts w:ascii="Arial Narrow" w:hAnsi="Arial Narrow" w:cs="Arial"/>
          <w:b/>
          <w:color w:val="000000" w:themeColor="text1"/>
          <w:lang w:val="es-ES" w:eastAsia="es-ES"/>
        </w:rPr>
        <w:t xml:space="preserve">PARÁGRAFO PRIMERO: </w:t>
      </w:r>
      <w:r w:rsidRPr="002C0D19">
        <w:rPr>
          <w:rFonts w:ascii="Arial Narrow" w:hAnsi="Arial Narrow" w:cs="Arial"/>
          <w:b/>
          <w:color w:val="000000" w:themeColor="text1"/>
          <w:lang w:eastAsia="es-ES"/>
        </w:rPr>
        <w:t>LOS MIEMBROS</w:t>
      </w:r>
      <w:r w:rsidRPr="002C0D19">
        <w:rPr>
          <w:rFonts w:ascii="Arial Narrow" w:hAnsi="Arial Narrow" w:cs="Arial"/>
          <w:color w:val="000000" w:themeColor="text1"/>
          <w:lang w:eastAsia="es-ES"/>
        </w:rPr>
        <w:t xml:space="preserve"> de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podrá desempeñarse como </w:t>
      </w:r>
      <w:r w:rsidRPr="002C0D19">
        <w:rPr>
          <w:rFonts w:ascii="Arial Narrow" w:hAnsi="Arial Narrow" w:cs="Arial"/>
          <w:b/>
          <w:color w:val="000000" w:themeColor="text1"/>
          <w:lang w:eastAsia="es-ES"/>
        </w:rPr>
        <w:t>MIEMBRO DE ORIGEN</w:t>
      </w:r>
      <w:r w:rsidRPr="002C0D19">
        <w:rPr>
          <w:rFonts w:ascii="Arial Narrow" w:hAnsi="Arial Narrow" w:cs="Arial"/>
          <w:color w:val="000000" w:themeColor="text1"/>
          <w:lang w:eastAsia="es-ES"/>
        </w:rPr>
        <w:t xml:space="preserve"> o </w:t>
      </w:r>
      <w:r w:rsidRPr="002C0D19">
        <w:rPr>
          <w:rFonts w:ascii="Arial Narrow" w:hAnsi="Arial Narrow" w:cs="Arial"/>
          <w:b/>
          <w:color w:val="000000" w:themeColor="text1"/>
          <w:lang w:eastAsia="es-ES"/>
        </w:rPr>
        <w:t>MIEMBRO DE DESTINO</w:t>
      </w:r>
      <w:r w:rsidRPr="002C0D19">
        <w:rPr>
          <w:rFonts w:ascii="Arial Narrow" w:hAnsi="Arial Narrow" w:cs="Arial"/>
          <w:color w:val="000000" w:themeColor="text1"/>
          <w:lang w:eastAsia="es-ES"/>
        </w:rPr>
        <w:t>. En aquellos casos, en que cualquiera de</w:t>
      </w:r>
      <w:r w:rsidRPr="002C0D19">
        <w:rPr>
          <w:rFonts w:ascii="Arial Narrow" w:hAnsi="Arial Narrow" w:cs="Arial"/>
          <w:b/>
          <w:color w:val="000000" w:themeColor="text1"/>
          <w:lang w:eastAsia="es-ES"/>
        </w:rPr>
        <w:t xml:space="preserve"> LOS MIEMBROS</w:t>
      </w:r>
      <w:r w:rsidRPr="002C0D19">
        <w:rPr>
          <w:rFonts w:ascii="Arial Narrow" w:hAnsi="Arial Narrow" w:cs="Arial"/>
          <w:color w:val="000000" w:themeColor="text1"/>
          <w:lang w:eastAsia="es-ES"/>
        </w:rPr>
        <w:t xml:space="preserve"> sea un MIEMBRO NO LIQUIDADOR deberá operar a través de un </w:t>
      </w:r>
      <w:r w:rsidRPr="002C0D19">
        <w:rPr>
          <w:rFonts w:ascii="Arial Narrow" w:hAnsi="Arial Narrow" w:cs="Arial"/>
          <w:b/>
          <w:color w:val="000000" w:themeColor="text1"/>
          <w:lang w:eastAsia="es-ES"/>
        </w:rPr>
        <w:t>MIEMBRO LIQUIDADOR GENERAL.</w:t>
      </w:r>
    </w:p>
    <w:p w14:paraId="619899CC" w14:textId="77777777" w:rsidR="007968EC" w:rsidRPr="002C0D19" w:rsidRDefault="007968EC" w:rsidP="007968EC">
      <w:pPr>
        <w:jc w:val="both"/>
        <w:rPr>
          <w:rFonts w:ascii="Arial Narrow" w:hAnsi="Arial Narrow" w:cs="Arial"/>
          <w:b/>
          <w:bCs/>
          <w:color w:val="000000" w:themeColor="text1"/>
          <w:u w:val="single"/>
          <w:lang w:val="es-ES" w:eastAsia="es-ES"/>
        </w:rPr>
      </w:pPr>
    </w:p>
    <w:p w14:paraId="3651096B"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color w:val="000000" w:themeColor="text1"/>
          <w:u w:val="single"/>
          <w:lang w:val="es-ES" w:eastAsia="es-ES"/>
        </w:rPr>
        <w:t>SEGUNDA.</w:t>
      </w:r>
      <w:r w:rsidRPr="002C0D19">
        <w:rPr>
          <w:rFonts w:ascii="Arial Narrow" w:hAnsi="Arial Narrow" w:cs="Arial"/>
          <w:b/>
          <w:bCs/>
          <w:color w:val="000000" w:themeColor="text1"/>
          <w:u w:val="single"/>
          <w:lang w:val="es-ES" w:eastAsia="es-ES"/>
        </w:rPr>
        <w:t xml:space="preserve"> </w:t>
      </w:r>
      <w:r w:rsidRPr="002C0D19">
        <w:rPr>
          <w:rFonts w:ascii="Arial Narrow" w:hAnsi="Arial Narrow" w:cs="Arial"/>
          <w:b/>
          <w:color w:val="000000" w:themeColor="text1"/>
          <w:u w:val="single"/>
          <w:lang w:val="es-ES" w:eastAsia="es-ES"/>
        </w:rPr>
        <w:t>Declaraciones, Manifestaciones y Autorizaciones.</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 xml:space="preserve">En virtud de la aceptación de la presente Oferta de Servicios, </w:t>
      </w:r>
      <w:r w:rsidRPr="002C0D19">
        <w:rPr>
          <w:rFonts w:ascii="Arial Narrow" w:hAnsi="Arial Narrow" w:cs="Arial"/>
          <w:b/>
          <w:color w:val="000000" w:themeColor="text1"/>
          <w:lang w:val="es-ES" w:eastAsia="es-ES"/>
        </w:rPr>
        <w:t xml:space="preserve">LOS MIEMBROS </w:t>
      </w:r>
      <w:r w:rsidRPr="002C0D19">
        <w:rPr>
          <w:rFonts w:ascii="Arial Narrow" w:hAnsi="Arial Narrow" w:cs="Arial"/>
          <w:color w:val="000000" w:themeColor="text1"/>
          <w:lang w:val="es-ES" w:eastAsia="es-ES"/>
        </w:rPr>
        <w:t xml:space="preserve">acuerdan los siguientes términos y condiciones para la realización de </w:t>
      </w:r>
      <w:proofErr w:type="spellStart"/>
      <w:r w:rsidRPr="002C0D19">
        <w:rPr>
          <w:rFonts w:ascii="Arial Narrow" w:hAnsi="Arial Narrow" w:cs="Arial"/>
          <w:i/>
          <w:color w:val="000000" w:themeColor="text1"/>
          <w:lang w:val="es-ES" w:eastAsia="es-ES"/>
        </w:rPr>
        <w:t>Give</w:t>
      </w:r>
      <w:proofErr w:type="spellEnd"/>
      <w:r w:rsidRPr="002C0D19">
        <w:rPr>
          <w:rFonts w:ascii="Arial Narrow" w:hAnsi="Arial Narrow" w:cs="Arial"/>
          <w:i/>
          <w:color w:val="000000" w:themeColor="text1"/>
          <w:lang w:val="es-ES" w:eastAsia="es-ES"/>
        </w:rPr>
        <w:t>-up</w:t>
      </w:r>
      <w:r w:rsidRPr="002C0D19">
        <w:rPr>
          <w:rFonts w:ascii="Arial Narrow" w:hAnsi="Arial Narrow" w:cs="Arial"/>
          <w:color w:val="000000" w:themeColor="text1"/>
          <w:lang w:val="es-ES" w:eastAsia="es-ES"/>
        </w:rPr>
        <w:t xml:space="preserve"> entre sí:</w:t>
      </w:r>
    </w:p>
    <w:p w14:paraId="5DE30D55" w14:textId="77777777" w:rsidR="007968EC" w:rsidRPr="002C0D19" w:rsidRDefault="007968EC" w:rsidP="007968EC">
      <w:pPr>
        <w:jc w:val="both"/>
        <w:rPr>
          <w:rFonts w:ascii="Arial Narrow" w:hAnsi="Arial Narrow" w:cs="Arial"/>
          <w:color w:val="000000" w:themeColor="text1"/>
          <w:lang w:val="es-ES" w:eastAsia="es-ES"/>
        </w:rPr>
      </w:pPr>
    </w:p>
    <w:p w14:paraId="6A83704F" w14:textId="77777777" w:rsidR="007968EC" w:rsidRPr="002C0D19" w:rsidRDefault="007968EC" w:rsidP="00DA7472">
      <w:pPr>
        <w:numPr>
          <w:ilvl w:val="0"/>
          <w:numId w:val="43"/>
        </w:num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Declaran</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que conocen la reglamentación de las Bolsas, los Sistemas de Negociación o Registro, y/o el mercado mostrador en los que se negocie o registre la operación, la regulación de</w:t>
      </w:r>
      <w:r w:rsidRPr="002C0D19">
        <w:rPr>
          <w:rFonts w:ascii="Arial Narrow" w:hAnsi="Arial Narrow" w:cs="Arial"/>
          <w:b/>
          <w:color w:val="000000" w:themeColor="text1"/>
          <w:sz w:val="23"/>
          <w:szCs w:val="23"/>
          <w:lang w:val="es-ES" w:eastAsia="es-ES"/>
        </w:rPr>
        <w:t xml:space="preserve">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 xml:space="preserve">así como, las funcionalidades para la realización de </w:t>
      </w:r>
      <w:proofErr w:type="spellStart"/>
      <w:r w:rsidRPr="002C0D19">
        <w:rPr>
          <w:rFonts w:ascii="Arial Narrow" w:hAnsi="Arial Narrow" w:cs="Arial"/>
          <w:i/>
          <w:color w:val="000000" w:themeColor="text1"/>
          <w:lang w:val="es-ES" w:eastAsia="es-ES"/>
        </w:rPr>
        <w:t>Give</w:t>
      </w:r>
      <w:proofErr w:type="spellEnd"/>
      <w:r w:rsidRPr="002C0D19">
        <w:rPr>
          <w:rFonts w:ascii="Arial Narrow" w:hAnsi="Arial Narrow" w:cs="Arial"/>
          <w:i/>
          <w:color w:val="000000" w:themeColor="text1"/>
          <w:lang w:val="es-ES" w:eastAsia="es-ES"/>
        </w:rPr>
        <w:t>-up</w:t>
      </w:r>
      <w:r w:rsidRPr="002C0D19">
        <w:rPr>
          <w:rFonts w:ascii="Arial Narrow" w:hAnsi="Arial Narrow" w:cs="Arial"/>
          <w:color w:val="000000" w:themeColor="text1"/>
          <w:lang w:val="es-ES" w:eastAsia="es-ES"/>
        </w:rPr>
        <w:t xml:space="preserve"> y que, cualquiera de ellos, puede desempeñarse en un </w:t>
      </w:r>
      <w:proofErr w:type="spellStart"/>
      <w:r w:rsidRPr="002C0D19">
        <w:rPr>
          <w:rFonts w:ascii="Arial Narrow" w:hAnsi="Arial Narrow" w:cs="Arial"/>
          <w:i/>
          <w:color w:val="000000" w:themeColor="text1"/>
          <w:lang w:val="es-ES" w:eastAsia="es-ES"/>
        </w:rPr>
        <w:t>Give</w:t>
      </w:r>
      <w:proofErr w:type="spellEnd"/>
      <w:r w:rsidRPr="002C0D19">
        <w:rPr>
          <w:rFonts w:ascii="Arial Narrow" w:hAnsi="Arial Narrow" w:cs="Arial"/>
          <w:i/>
          <w:color w:val="000000" w:themeColor="text1"/>
          <w:lang w:val="es-ES" w:eastAsia="es-ES"/>
        </w:rPr>
        <w:t xml:space="preserve">-up </w:t>
      </w:r>
      <w:r w:rsidRPr="002C0D19">
        <w:rPr>
          <w:rFonts w:ascii="Arial Narrow" w:hAnsi="Arial Narrow" w:cs="Arial"/>
          <w:color w:val="000000" w:themeColor="text1"/>
          <w:lang w:val="es-ES" w:eastAsia="es-ES"/>
        </w:rPr>
        <w:t>como</w:t>
      </w:r>
      <w:r w:rsidRPr="002C0D19">
        <w:rPr>
          <w:rFonts w:ascii="Arial Narrow" w:hAnsi="Arial Narrow" w:cs="Arial"/>
          <w:b/>
          <w:color w:val="000000" w:themeColor="text1"/>
          <w:lang w:val="es-ES" w:eastAsia="es-ES"/>
        </w:rPr>
        <w:t xml:space="preserve"> MIEMBRO DE ORIGEN </w:t>
      </w:r>
      <w:r w:rsidRPr="002C0D19">
        <w:rPr>
          <w:rFonts w:ascii="Arial Narrow" w:hAnsi="Arial Narrow" w:cs="Arial"/>
          <w:color w:val="000000" w:themeColor="text1"/>
          <w:lang w:val="es-ES" w:eastAsia="es-ES"/>
        </w:rPr>
        <w:t xml:space="preserve">o </w:t>
      </w:r>
      <w:r w:rsidRPr="002C0D19">
        <w:rPr>
          <w:rFonts w:ascii="Arial Narrow" w:hAnsi="Arial Narrow" w:cs="Arial"/>
          <w:b/>
          <w:color w:val="000000" w:themeColor="text1"/>
          <w:lang w:val="es-ES" w:eastAsia="es-ES"/>
        </w:rPr>
        <w:t xml:space="preserve">MIEMBRO DE DESTINO. </w:t>
      </w:r>
      <w:r w:rsidRPr="002C0D19">
        <w:rPr>
          <w:rFonts w:ascii="Arial Narrow" w:hAnsi="Arial Narrow" w:cs="Arial"/>
          <w:color w:val="000000" w:themeColor="text1"/>
          <w:lang w:eastAsia="es-ES"/>
        </w:rPr>
        <w:t xml:space="preserve">En aquellos casos, en que cualquiera de </w:t>
      </w:r>
      <w:r w:rsidRPr="002C0D19">
        <w:rPr>
          <w:rFonts w:ascii="Arial Narrow" w:hAnsi="Arial Narrow" w:cs="Arial"/>
          <w:b/>
          <w:color w:val="000000" w:themeColor="text1"/>
          <w:lang w:eastAsia="es-ES"/>
        </w:rPr>
        <w:t>LOS MIEMBROS</w:t>
      </w:r>
      <w:r w:rsidRPr="002C0D19">
        <w:rPr>
          <w:rFonts w:ascii="Arial Narrow" w:hAnsi="Arial Narrow" w:cs="Arial"/>
          <w:color w:val="000000" w:themeColor="text1"/>
          <w:lang w:eastAsia="es-ES"/>
        </w:rPr>
        <w:t xml:space="preserve"> sea un </w:t>
      </w:r>
      <w:r w:rsidRPr="002C0D19">
        <w:rPr>
          <w:rFonts w:ascii="Arial Narrow" w:hAnsi="Arial Narrow" w:cs="Arial"/>
          <w:b/>
          <w:color w:val="000000" w:themeColor="text1"/>
          <w:lang w:eastAsia="es-ES"/>
        </w:rPr>
        <w:t>MIEMBRO NO LIQUIDADOR</w:t>
      </w:r>
      <w:r w:rsidRPr="002C0D19">
        <w:rPr>
          <w:rFonts w:ascii="Arial Narrow" w:hAnsi="Arial Narrow" w:cs="Arial"/>
          <w:color w:val="000000" w:themeColor="text1"/>
          <w:lang w:eastAsia="es-ES"/>
        </w:rPr>
        <w:t xml:space="preserve"> deberá operar a través de un </w:t>
      </w:r>
      <w:r w:rsidRPr="002C0D19">
        <w:rPr>
          <w:rFonts w:ascii="Arial Narrow" w:hAnsi="Arial Narrow" w:cs="Arial"/>
          <w:b/>
          <w:color w:val="000000" w:themeColor="text1"/>
          <w:lang w:eastAsia="es-ES"/>
        </w:rPr>
        <w:t>MIEMBRO LIQUIDADOR GENERAL</w:t>
      </w:r>
      <w:r w:rsidRPr="002C0D19">
        <w:rPr>
          <w:rFonts w:ascii="Arial Narrow" w:hAnsi="Arial Narrow" w:cs="Arial"/>
          <w:color w:val="000000" w:themeColor="text1"/>
          <w:lang w:eastAsia="es-ES"/>
        </w:rPr>
        <w:t>.</w:t>
      </w:r>
    </w:p>
    <w:p w14:paraId="4F787F42" w14:textId="77777777" w:rsidR="007968EC" w:rsidRPr="002C0D19" w:rsidRDefault="007968EC" w:rsidP="007968EC">
      <w:pPr>
        <w:autoSpaceDE w:val="0"/>
        <w:autoSpaceDN w:val="0"/>
        <w:adjustRightInd w:val="0"/>
        <w:ind w:left="360"/>
        <w:jc w:val="both"/>
        <w:rPr>
          <w:rFonts w:ascii="Arial Narrow" w:hAnsi="Arial Narrow" w:cs="Arial"/>
          <w:color w:val="000000" w:themeColor="text1"/>
          <w:lang w:val="es-ES" w:eastAsia="es-ES"/>
        </w:rPr>
      </w:pPr>
    </w:p>
    <w:p w14:paraId="5CB6EAC8" w14:textId="77777777" w:rsidR="007968EC" w:rsidRPr="002C0D19" w:rsidRDefault="007968EC" w:rsidP="00DA7472">
      <w:pPr>
        <w:numPr>
          <w:ilvl w:val="0"/>
          <w:numId w:val="43"/>
        </w:num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Declaran que conocen que para la realización de un </w:t>
      </w:r>
      <w:proofErr w:type="spellStart"/>
      <w:r w:rsidRPr="002C0D19">
        <w:rPr>
          <w:rFonts w:ascii="Arial Narrow" w:hAnsi="Arial Narrow" w:cs="Arial"/>
          <w:i/>
          <w:color w:val="000000" w:themeColor="text1"/>
          <w:lang w:val="es-ES" w:eastAsia="es-ES"/>
        </w:rPr>
        <w:t>Give</w:t>
      </w:r>
      <w:proofErr w:type="spellEnd"/>
      <w:r w:rsidRPr="002C0D19">
        <w:rPr>
          <w:rFonts w:ascii="Arial Narrow" w:hAnsi="Arial Narrow" w:cs="Arial"/>
          <w:i/>
          <w:color w:val="000000" w:themeColor="text1"/>
          <w:lang w:val="es-ES" w:eastAsia="es-ES"/>
        </w:rPr>
        <w:t>-up</w:t>
      </w:r>
      <w:r w:rsidRPr="002C0D19">
        <w:rPr>
          <w:rFonts w:ascii="Arial Narrow" w:hAnsi="Arial Narrow" w:cs="Arial"/>
          <w:color w:val="000000" w:themeColor="text1"/>
          <w:lang w:val="es-ES" w:eastAsia="es-ES"/>
        </w:rPr>
        <w:t xml:space="preserve"> de cualquier Operación Aceptada por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es indispensable que, el </w:t>
      </w:r>
      <w:r w:rsidRPr="002C0D19">
        <w:rPr>
          <w:rFonts w:ascii="Arial Narrow" w:hAnsi="Arial Narrow" w:cs="Arial"/>
          <w:b/>
          <w:color w:val="000000" w:themeColor="text1"/>
          <w:lang w:eastAsia="es-ES"/>
        </w:rPr>
        <w:t xml:space="preserve">MIEMBRO DE ORIGEN </w:t>
      </w:r>
      <w:r w:rsidRPr="002C0D19">
        <w:rPr>
          <w:rFonts w:ascii="Arial Narrow" w:hAnsi="Arial Narrow" w:cs="Arial"/>
          <w:color w:val="000000" w:themeColor="text1"/>
          <w:lang w:eastAsia="es-ES"/>
        </w:rPr>
        <w:t>envíe la solicitud de traslado de la operación (</w:t>
      </w:r>
      <w:proofErr w:type="spellStart"/>
      <w:r w:rsidRPr="002C0D19">
        <w:rPr>
          <w:rFonts w:ascii="Arial Narrow" w:hAnsi="Arial Narrow" w:cs="Arial"/>
          <w:i/>
          <w:color w:val="000000" w:themeColor="text1"/>
          <w:lang w:eastAsia="es-ES"/>
        </w:rPr>
        <w:t>Give-Out</w:t>
      </w:r>
      <w:proofErr w:type="spellEnd"/>
      <w:r w:rsidRPr="002C0D19">
        <w:rPr>
          <w:rFonts w:ascii="Arial Narrow" w:hAnsi="Arial Narrow" w:cs="Arial"/>
          <w:color w:val="000000" w:themeColor="text1"/>
          <w:lang w:eastAsia="es-ES"/>
        </w:rPr>
        <w:t>) y que el</w:t>
      </w:r>
      <w:r w:rsidRPr="002C0D19">
        <w:rPr>
          <w:rFonts w:ascii="Arial Narrow" w:hAnsi="Arial Narrow" w:cs="Arial"/>
          <w:b/>
          <w:color w:val="000000" w:themeColor="text1"/>
          <w:lang w:eastAsia="es-ES"/>
        </w:rPr>
        <w:t xml:space="preserve"> MIEMBRO DE DESTINO </w:t>
      </w:r>
      <w:r w:rsidRPr="002C0D19">
        <w:rPr>
          <w:rFonts w:ascii="Arial Narrow" w:hAnsi="Arial Narrow" w:cs="Arial"/>
          <w:color w:val="000000" w:themeColor="text1"/>
          <w:lang w:eastAsia="es-ES"/>
        </w:rPr>
        <w:t>acepte la recepción de operación (</w:t>
      </w:r>
      <w:proofErr w:type="spellStart"/>
      <w:r w:rsidRPr="002C0D19">
        <w:rPr>
          <w:rFonts w:ascii="Arial Narrow" w:hAnsi="Arial Narrow" w:cs="Arial"/>
          <w:i/>
          <w:color w:val="000000" w:themeColor="text1"/>
          <w:lang w:eastAsia="es-ES"/>
        </w:rPr>
        <w:t>Give</w:t>
      </w:r>
      <w:proofErr w:type="spellEnd"/>
      <w:r w:rsidRPr="002C0D19">
        <w:rPr>
          <w:rFonts w:ascii="Arial Narrow" w:hAnsi="Arial Narrow" w:cs="Arial"/>
          <w:i/>
          <w:color w:val="000000" w:themeColor="text1"/>
          <w:lang w:eastAsia="es-ES"/>
        </w:rPr>
        <w:t>-In</w:t>
      </w:r>
      <w:r w:rsidRPr="002C0D19">
        <w:rPr>
          <w:rFonts w:ascii="Arial Narrow" w:hAnsi="Arial Narrow" w:cs="Arial"/>
          <w:color w:val="000000" w:themeColor="text1"/>
          <w:lang w:eastAsia="es-ES"/>
        </w:rPr>
        <w:t>), los cuales se ejecutarán a través de la terminal o mediante alguna de las funcionalidades proporcionadas por</w:t>
      </w:r>
      <w:r w:rsidRPr="002C0D19">
        <w:rPr>
          <w:rFonts w:ascii="Arial Narrow" w:hAnsi="Arial Narrow" w:cs="Arial"/>
          <w:b/>
          <w:color w:val="000000" w:themeColor="text1"/>
          <w:lang w:eastAsia="es-ES"/>
        </w:rPr>
        <w:t xml:space="preserve"> LA CRCC. </w:t>
      </w:r>
    </w:p>
    <w:p w14:paraId="7059D265" w14:textId="77777777" w:rsidR="007968EC" w:rsidRPr="002C0D19" w:rsidRDefault="007968EC" w:rsidP="007968EC">
      <w:pPr>
        <w:ind w:left="708"/>
        <w:rPr>
          <w:rFonts w:ascii="Arial Narrow" w:hAnsi="Arial Narrow" w:cs="Arial"/>
          <w:color w:val="000000" w:themeColor="text1"/>
          <w:lang w:eastAsia="es-CO"/>
        </w:rPr>
      </w:pPr>
    </w:p>
    <w:p w14:paraId="40E9616E" w14:textId="77777777" w:rsidR="007968EC" w:rsidRPr="002C0D19" w:rsidRDefault="007968EC" w:rsidP="00DA7472">
      <w:pPr>
        <w:numPr>
          <w:ilvl w:val="0"/>
          <w:numId w:val="43"/>
        </w:num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lastRenderedPageBreak/>
        <w:t xml:space="preserve">Declaran que conocen que el </w:t>
      </w:r>
      <w:proofErr w:type="spellStart"/>
      <w:r w:rsidRPr="002C0D19">
        <w:rPr>
          <w:rFonts w:ascii="Arial Narrow" w:hAnsi="Arial Narrow" w:cs="Arial"/>
          <w:i/>
          <w:color w:val="000000" w:themeColor="text1"/>
          <w:lang w:val="es-ES" w:eastAsia="es-ES"/>
        </w:rPr>
        <w:t>Give</w:t>
      </w:r>
      <w:proofErr w:type="spellEnd"/>
      <w:r w:rsidRPr="002C0D19">
        <w:rPr>
          <w:rFonts w:ascii="Arial Narrow" w:hAnsi="Arial Narrow" w:cs="Arial"/>
          <w:i/>
          <w:color w:val="000000" w:themeColor="text1"/>
          <w:lang w:val="es-ES" w:eastAsia="es-ES"/>
        </w:rPr>
        <w:t>-up</w:t>
      </w:r>
      <w:r w:rsidRPr="002C0D19">
        <w:rPr>
          <w:rFonts w:ascii="Arial Narrow" w:hAnsi="Arial Narrow" w:cs="Arial"/>
          <w:color w:val="000000" w:themeColor="text1"/>
          <w:lang w:eastAsia="es-ES"/>
        </w:rPr>
        <w:t xml:space="preserve"> no </w:t>
      </w:r>
      <w:r w:rsidRPr="002C0D19">
        <w:rPr>
          <w:rFonts w:ascii="Arial Narrow" w:hAnsi="Arial Narrow" w:cs="Arial"/>
          <w:color w:val="000000" w:themeColor="text1"/>
          <w:lang w:val="es-ES" w:eastAsia="es-ES"/>
        </w:rPr>
        <w:t>podrá utilizarse entre Cuentas pertenecientes a Segmentos diferentes.</w:t>
      </w:r>
    </w:p>
    <w:p w14:paraId="544B92CD" w14:textId="77777777" w:rsidR="007968EC" w:rsidRPr="002C0D19" w:rsidRDefault="007968EC" w:rsidP="007968EC">
      <w:pPr>
        <w:ind w:left="708"/>
        <w:rPr>
          <w:rFonts w:ascii="Arial Narrow" w:hAnsi="Arial Narrow" w:cs="Arial"/>
          <w:color w:val="000000" w:themeColor="text1"/>
          <w:lang w:eastAsia="es-CO"/>
        </w:rPr>
      </w:pPr>
    </w:p>
    <w:p w14:paraId="724B9424" w14:textId="77777777" w:rsidR="007968EC" w:rsidRPr="002C0D19" w:rsidRDefault="007968EC" w:rsidP="00DA7472">
      <w:pPr>
        <w:numPr>
          <w:ilvl w:val="0"/>
          <w:numId w:val="43"/>
        </w:num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Todas las Operaciones Aceptadas por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compensadas y liquidadas en virtud de la presente Oferta estarán sometidas a las disposiciones legales, reglamentarias de las Bolsas, los Sistemas de Negociación o Registro, y/o el mercado mostrador en los que se negocie o registre la operación, de autorregulación y demás normatividad aplicable. Las partes de la presente Oferta cumplirán las obligaciones y derechos que se derivan de su aceptación de conformidad con la legislación aplicable.</w:t>
      </w:r>
    </w:p>
    <w:p w14:paraId="587F28D4" w14:textId="77777777" w:rsidR="007968EC" w:rsidRPr="002C0D19" w:rsidRDefault="007968EC" w:rsidP="007968EC">
      <w:pPr>
        <w:ind w:left="708"/>
        <w:rPr>
          <w:rFonts w:ascii="Arial Narrow" w:hAnsi="Arial Narrow" w:cs="Arial"/>
          <w:b/>
          <w:color w:val="000000" w:themeColor="text1"/>
          <w:lang w:eastAsia="es-CO"/>
        </w:rPr>
      </w:pPr>
    </w:p>
    <w:p w14:paraId="214E41AE" w14:textId="77777777" w:rsidR="007968EC" w:rsidRPr="002C0D19" w:rsidRDefault="007968EC" w:rsidP="00DA7472">
      <w:pPr>
        <w:numPr>
          <w:ilvl w:val="0"/>
          <w:numId w:val="43"/>
        </w:num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 w:eastAsia="es-ES"/>
        </w:rPr>
        <w:t xml:space="preserve">LOS MIEMBROS </w:t>
      </w:r>
      <w:r w:rsidRPr="002C0D19">
        <w:rPr>
          <w:rFonts w:ascii="Arial Narrow" w:hAnsi="Arial Narrow" w:cs="Arial"/>
          <w:color w:val="000000" w:themeColor="text1"/>
          <w:lang w:val="es-ES" w:eastAsia="es-ES"/>
        </w:rPr>
        <w:t xml:space="preserve">deberán contar con la anuencia manifiesta del Tercero o Terceros para la realización de órdenes de </w:t>
      </w:r>
      <w:proofErr w:type="spellStart"/>
      <w:r w:rsidRPr="002C0D19">
        <w:rPr>
          <w:rFonts w:ascii="Arial Narrow" w:hAnsi="Arial Narrow" w:cs="Arial"/>
          <w:i/>
          <w:color w:val="000000" w:themeColor="text1"/>
          <w:lang w:val="es-ES" w:eastAsia="es-ES"/>
        </w:rPr>
        <w:t>Give</w:t>
      </w:r>
      <w:proofErr w:type="spellEnd"/>
      <w:r w:rsidRPr="002C0D19">
        <w:rPr>
          <w:rFonts w:ascii="Arial Narrow" w:hAnsi="Arial Narrow" w:cs="Arial"/>
          <w:i/>
          <w:color w:val="000000" w:themeColor="text1"/>
          <w:lang w:val="es-ES" w:eastAsia="es-ES"/>
        </w:rPr>
        <w:t>-Up,</w:t>
      </w:r>
      <w:r w:rsidRPr="002C0D19">
        <w:rPr>
          <w:rFonts w:ascii="Arial Narrow" w:hAnsi="Arial Narrow" w:cs="Arial"/>
          <w:color w:val="000000" w:themeColor="text1"/>
          <w:lang w:val="es-ES" w:eastAsia="es-ES"/>
        </w:rPr>
        <w:t xml:space="preserve"> sea éste ordenado a través del Sistema de Compensación y Liquidación de Operaciones de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o de cualquier otro Sistema de Negociación y Registro de Operaciones habilitado para tal efecto. En todo caso,</w:t>
      </w:r>
      <w:r w:rsidRPr="002C0D19">
        <w:rPr>
          <w:rFonts w:ascii="Arial Narrow" w:hAnsi="Arial Narrow" w:cs="Arial"/>
          <w:b/>
          <w:color w:val="000000" w:themeColor="text1"/>
          <w:lang w:val="es-ES" w:eastAsia="es-ES"/>
        </w:rPr>
        <w:t xml:space="preserve"> LOS MIEMBROS </w:t>
      </w:r>
      <w:r w:rsidRPr="002C0D19">
        <w:rPr>
          <w:rFonts w:ascii="Arial Narrow" w:hAnsi="Arial Narrow" w:cs="Arial"/>
          <w:color w:val="000000" w:themeColor="text1"/>
          <w:lang w:val="es-ES" w:eastAsia="es-ES"/>
        </w:rPr>
        <w:t xml:space="preserve">se reservan el derecho de rechazar la orden de </w:t>
      </w:r>
      <w:proofErr w:type="spellStart"/>
      <w:r w:rsidRPr="002C0D19">
        <w:rPr>
          <w:rFonts w:ascii="Arial Narrow" w:hAnsi="Arial Narrow" w:cs="Arial"/>
          <w:i/>
          <w:color w:val="000000" w:themeColor="text1"/>
          <w:lang w:val="es-ES" w:eastAsia="es-ES"/>
        </w:rPr>
        <w:t>Give</w:t>
      </w:r>
      <w:proofErr w:type="spellEnd"/>
      <w:r w:rsidRPr="002C0D19">
        <w:rPr>
          <w:rFonts w:ascii="Arial Narrow" w:hAnsi="Arial Narrow" w:cs="Arial"/>
          <w:i/>
          <w:color w:val="000000" w:themeColor="text1"/>
          <w:lang w:val="es-ES" w:eastAsia="es-ES"/>
        </w:rPr>
        <w:t>-Up</w:t>
      </w:r>
      <w:r w:rsidRPr="002C0D19">
        <w:rPr>
          <w:rFonts w:ascii="Arial Narrow" w:hAnsi="Arial Narrow" w:cs="Arial"/>
          <w:color w:val="000000" w:themeColor="text1"/>
          <w:lang w:val="es-ES" w:eastAsia="es-ES"/>
        </w:rPr>
        <w:t xml:space="preserve"> que el Tercero les transmita para su ejecución y comunicarán sin demora dicho rechazo al Tercero. </w:t>
      </w:r>
      <w:r w:rsidRPr="002C0D19">
        <w:rPr>
          <w:rFonts w:ascii="Arial Narrow" w:hAnsi="Arial Narrow" w:cs="Arial"/>
          <w:b/>
          <w:color w:val="000000" w:themeColor="text1"/>
          <w:lang w:val="es-MX" w:eastAsia="es-ES"/>
        </w:rPr>
        <w:t>El MIEMBRO DE DESTINO</w:t>
      </w:r>
      <w:r w:rsidRPr="002C0D19">
        <w:rPr>
          <w:rFonts w:ascii="Arial Narrow" w:hAnsi="Arial Narrow" w:cs="Arial"/>
          <w:color w:val="000000" w:themeColor="text1"/>
          <w:lang w:val="es-MX" w:eastAsia="es-ES"/>
        </w:rPr>
        <w:t xml:space="preserve"> podrá, previa notificación al </w:t>
      </w:r>
      <w:r w:rsidRPr="002C0D19">
        <w:rPr>
          <w:rFonts w:ascii="Arial Narrow" w:hAnsi="Arial Narrow" w:cs="Arial"/>
          <w:b/>
          <w:color w:val="000000" w:themeColor="text1"/>
          <w:lang w:val="es-MX" w:eastAsia="es-ES"/>
        </w:rPr>
        <w:t>MIEMBRO DE ORIGEN</w:t>
      </w:r>
      <w:r w:rsidRPr="002C0D19">
        <w:rPr>
          <w:rFonts w:ascii="Arial Narrow" w:hAnsi="Arial Narrow" w:cs="Arial"/>
          <w:color w:val="000000" w:themeColor="text1"/>
          <w:lang w:val="es-MX" w:eastAsia="es-ES"/>
        </w:rPr>
        <w:t xml:space="preserve"> y a el Tercero o Terceros, establecer límites por escrito o condiciones a las posiciones de </w:t>
      </w:r>
      <w:proofErr w:type="spellStart"/>
      <w:r w:rsidRPr="002C0D19">
        <w:rPr>
          <w:rFonts w:ascii="Arial Narrow" w:hAnsi="Arial Narrow" w:cs="Arial"/>
          <w:i/>
          <w:color w:val="000000" w:themeColor="text1"/>
          <w:lang w:val="es-MX" w:eastAsia="es-ES"/>
        </w:rPr>
        <w:t>Give</w:t>
      </w:r>
      <w:proofErr w:type="spellEnd"/>
      <w:r w:rsidRPr="002C0D19">
        <w:rPr>
          <w:rFonts w:ascii="Arial Narrow" w:hAnsi="Arial Narrow" w:cs="Arial"/>
          <w:i/>
          <w:color w:val="000000" w:themeColor="text1"/>
          <w:lang w:val="es-MX" w:eastAsia="es-ES"/>
        </w:rPr>
        <w:t>-Up</w:t>
      </w:r>
      <w:r w:rsidRPr="002C0D19">
        <w:rPr>
          <w:rFonts w:ascii="Arial Narrow" w:hAnsi="Arial Narrow" w:cs="Arial"/>
          <w:color w:val="000000" w:themeColor="text1"/>
          <w:lang w:val="es-MX" w:eastAsia="es-ES"/>
        </w:rPr>
        <w:t xml:space="preserve"> que aceptará por cuenta de un Tercero, así como establecer los acuerdos de servicios, incluidas las tarifas y comisiones, si a ello hubiere lugar, en aquellos casos en que las partes lo consideren adecuados para la ejecución de la presente Oferta de Servicios.</w:t>
      </w:r>
    </w:p>
    <w:p w14:paraId="523A82EE" w14:textId="77777777" w:rsidR="007968EC" w:rsidRPr="002C0D19" w:rsidRDefault="007968EC" w:rsidP="007968EC">
      <w:pPr>
        <w:ind w:left="708"/>
        <w:rPr>
          <w:rFonts w:ascii="Arial Narrow" w:hAnsi="Arial Narrow" w:cs="Arial"/>
          <w:b/>
          <w:color w:val="000000" w:themeColor="text1"/>
          <w:lang w:eastAsia="es-CO"/>
        </w:rPr>
      </w:pPr>
    </w:p>
    <w:p w14:paraId="29BDD2AF" w14:textId="77777777" w:rsidR="007968EC" w:rsidRPr="002C0D19" w:rsidRDefault="007968EC" w:rsidP="00DA7472">
      <w:pPr>
        <w:numPr>
          <w:ilvl w:val="0"/>
          <w:numId w:val="43"/>
        </w:num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 w:eastAsia="es-ES"/>
        </w:rPr>
        <w:t>EL MIEMBRO DE ORIGEN</w:t>
      </w:r>
      <w:r w:rsidRPr="002C0D19">
        <w:rPr>
          <w:rFonts w:ascii="Arial Narrow" w:hAnsi="Arial Narrow" w:cs="Arial"/>
          <w:color w:val="000000" w:themeColor="text1"/>
          <w:lang w:val="es-ES" w:eastAsia="es-ES"/>
        </w:rPr>
        <w:t xml:space="preserve">, y no </w:t>
      </w:r>
      <w:r w:rsidRPr="002C0D19">
        <w:rPr>
          <w:rFonts w:ascii="Arial Narrow" w:hAnsi="Arial Narrow" w:cs="Arial"/>
          <w:b/>
          <w:color w:val="000000" w:themeColor="text1"/>
          <w:lang w:val="es-ES" w:eastAsia="es-ES"/>
        </w:rPr>
        <w:t>EL MIEMBRO DE DESTINO</w:t>
      </w:r>
      <w:r w:rsidRPr="002C0D19">
        <w:rPr>
          <w:rFonts w:ascii="Arial Narrow" w:hAnsi="Arial Narrow" w:cs="Arial"/>
          <w:color w:val="000000" w:themeColor="text1"/>
          <w:lang w:val="es-ES" w:eastAsia="es-ES"/>
        </w:rPr>
        <w:t xml:space="preserve">, será el responsable de comprobar que todas las órdenes hayan sido transmitidas o autorizadas por el Tercero. Asimismo, </w:t>
      </w:r>
      <w:r w:rsidRPr="002C0D19">
        <w:rPr>
          <w:rFonts w:ascii="Arial Narrow" w:hAnsi="Arial Narrow" w:cs="Arial"/>
          <w:b/>
          <w:color w:val="000000" w:themeColor="text1"/>
          <w:lang w:val="es-ES" w:eastAsia="es-ES"/>
        </w:rPr>
        <w:t>EL MIEMBRO DE ORIGEN</w:t>
      </w:r>
      <w:r w:rsidRPr="002C0D19">
        <w:rPr>
          <w:rFonts w:ascii="Arial Narrow" w:hAnsi="Arial Narrow" w:cs="Arial"/>
          <w:color w:val="000000" w:themeColor="text1"/>
          <w:lang w:val="es-ES" w:eastAsia="es-ES"/>
        </w:rPr>
        <w:t xml:space="preserve">: a) Confirmará las condiciones de la orden conforme a la normas legales y reglamentarias aplicables, b) Será responsable de la correcta ejecución de todas estas órdenes, c) Confirmará la ejecución de dichas órdenes al Tercero tan pronto como sea posible tras su ejecución, y d) Transmitirá las órdenes ejecutadas a </w:t>
      </w:r>
      <w:r w:rsidRPr="002C0D19">
        <w:rPr>
          <w:rFonts w:ascii="Arial Narrow" w:hAnsi="Arial Narrow" w:cs="Arial"/>
          <w:b/>
          <w:color w:val="000000" w:themeColor="text1"/>
          <w:lang w:val="es-ES" w:eastAsia="es-ES"/>
        </w:rPr>
        <w:t xml:space="preserve">EL MIEMBRO DE DESTINO </w:t>
      </w:r>
      <w:r w:rsidRPr="002C0D19">
        <w:rPr>
          <w:rFonts w:ascii="Arial Narrow" w:hAnsi="Arial Narrow" w:cs="Arial"/>
          <w:color w:val="000000" w:themeColor="text1"/>
          <w:lang w:val="es-ES" w:eastAsia="es-ES"/>
        </w:rPr>
        <w:t xml:space="preserve">tan pronto como sea posible, pero en ningún caso después del plazo establecido en la reglamentación aplicable. Con arreglo al numeral 2 de la presente cláusula, </w:t>
      </w:r>
      <w:r w:rsidRPr="002C0D19">
        <w:rPr>
          <w:rFonts w:ascii="Arial Narrow" w:hAnsi="Arial Narrow" w:cs="Arial"/>
          <w:b/>
          <w:color w:val="000000" w:themeColor="text1"/>
          <w:lang w:val="es-ES" w:eastAsia="es-ES"/>
        </w:rPr>
        <w:t>EL MIEMBRO DE DESTINO</w:t>
      </w:r>
      <w:r w:rsidRPr="002C0D19">
        <w:rPr>
          <w:rFonts w:ascii="Arial Narrow" w:hAnsi="Arial Narrow" w:cs="Arial"/>
          <w:color w:val="000000" w:themeColor="text1"/>
          <w:lang w:val="es-ES" w:eastAsia="es-ES"/>
        </w:rPr>
        <w:t xml:space="preserve">, será responsable de la liquidación de todas las Operaciones Aceptadas trasladadas mediante órdenes de </w:t>
      </w:r>
      <w:proofErr w:type="spellStart"/>
      <w:r w:rsidRPr="002C0D19">
        <w:rPr>
          <w:rFonts w:ascii="Arial Narrow" w:hAnsi="Arial Narrow" w:cs="Arial"/>
          <w:i/>
          <w:color w:val="000000" w:themeColor="text1"/>
          <w:lang w:val="es-ES" w:eastAsia="es-ES"/>
        </w:rPr>
        <w:t>Give</w:t>
      </w:r>
      <w:proofErr w:type="spellEnd"/>
      <w:r w:rsidRPr="002C0D19">
        <w:rPr>
          <w:rFonts w:ascii="Arial Narrow" w:hAnsi="Arial Narrow" w:cs="Arial"/>
          <w:i/>
          <w:color w:val="000000" w:themeColor="text1"/>
          <w:lang w:val="es-ES" w:eastAsia="es-ES"/>
        </w:rPr>
        <w:t>-up.</w:t>
      </w:r>
    </w:p>
    <w:p w14:paraId="72483E77" w14:textId="77777777" w:rsidR="007968EC" w:rsidRPr="002C0D19" w:rsidRDefault="007968EC" w:rsidP="007968EC">
      <w:pPr>
        <w:ind w:left="708"/>
        <w:rPr>
          <w:rFonts w:ascii="Arial Narrow" w:hAnsi="Arial Narrow" w:cs="Arial"/>
          <w:b/>
          <w:color w:val="000000" w:themeColor="text1"/>
          <w:lang w:eastAsia="es-CO"/>
        </w:rPr>
      </w:pPr>
    </w:p>
    <w:p w14:paraId="58915297" w14:textId="77777777" w:rsidR="007968EC" w:rsidRPr="002C0D19" w:rsidRDefault="007968EC" w:rsidP="00DA7472">
      <w:pPr>
        <w:numPr>
          <w:ilvl w:val="0"/>
          <w:numId w:val="43"/>
        </w:num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 w:eastAsia="es-ES"/>
        </w:rPr>
        <w:t xml:space="preserve">EL MIEMBRO DE DESTINO </w:t>
      </w:r>
      <w:r w:rsidRPr="002C0D19">
        <w:rPr>
          <w:rFonts w:ascii="Arial Narrow" w:hAnsi="Arial Narrow" w:cs="Arial"/>
          <w:color w:val="000000" w:themeColor="text1"/>
          <w:lang w:val="es-ES" w:eastAsia="es-ES"/>
        </w:rPr>
        <w:t xml:space="preserve">pagará las tarifas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correspondientes a los </w:t>
      </w:r>
      <w:proofErr w:type="spellStart"/>
      <w:r w:rsidRPr="002C0D19">
        <w:rPr>
          <w:rFonts w:ascii="Arial Narrow" w:hAnsi="Arial Narrow" w:cs="Arial"/>
          <w:i/>
          <w:color w:val="000000" w:themeColor="text1"/>
          <w:lang w:val="es-ES" w:eastAsia="es-ES"/>
        </w:rPr>
        <w:t>Give</w:t>
      </w:r>
      <w:proofErr w:type="spellEnd"/>
      <w:r w:rsidRPr="002C0D19">
        <w:rPr>
          <w:rFonts w:ascii="Arial Narrow" w:hAnsi="Arial Narrow" w:cs="Arial"/>
          <w:i/>
          <w:color w:val="000000" w:themeColor="text1"/>
          <w:lang w:val="es-ES" w:eastAsia="es-ES"/>
        </w:rPr>
        <w:t xml:space="preserve">-up </w:t>
      </w:r>
      <w:r w:rsidRPr="002C0D19">
        <w:rPr>
          <w:rFonts w:ascii="Arial Narrow" w:hAnsi="Arial Narrow" w:cs="Arial"/>
          <w:color w:val="000000" w:themeColor="text1"/>
          <w:lang w:val="es-ES" w:eastAsia="es-ES"/>
        </w:rPr>
        <w:t>realizados por cuenta del Tercero o Terceros.</w:t>
      </w:r>
      <w:r w:rsidRPr="002C0D19">
        <w:rPr>
          <w:rFonts w:ascii="Arial Narrow" w:hAnsi="Arial Narrow" w:cs="Arial"/>
          <w:color w:val="000000" w:themeColor="text1"/>
          <w:highlight w:val="cyan"/>
          <w:lang w:val="es-ES" w:eastAsia="es-ES"/>
        </w:rPr>
        <w:t xml:space="preserve"> </w:t>
      </w:r>
    </w:p>
    <w:p w14:paraId="5A1A5255" w14:textId="77777777" w:rsidR="007968EC" w:rsidRPr="002C0D19" w:rsidRDefault="007968EC" w:rsidP="007968EC">
      <w:pPr>
        <w:ind w:left="708"/>
        <w:rPr>
          <w:rFonts w:ascii="Arial Narrow" w:hAnsi="Arial Narrow" w:cs="Arial"/>
          <w:color w:val="000000" w:themeColor="text1"/>
          <w:lang w:val="es-MX" w:eastAsia="es-CO"/>
        </w:rPr>
      </w:pPr>
    </w:p>
    <w:p w14:paraId="3ED55ACD" w14:textId="77777777" w:rsidR="007968EC" w:rsidRPr="002C0D19" w:rsidRDefault="007968EC" w:rsidP="00DA7472">
      <w:pPr>
        <w:numPr>
          <w:ilvl w:val="0"/>
          <w:numId w:val="43"/>
        </w:num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MX" w:eastAsia="es-ES"/>
        </w:rPr>
        <w:t xml:space="preserve">En caso de que </w:t>
      </w:r>
      <w:r w:rsidRPr="002C0D19">
        <w:rPr>
          <w:rFonts w:ascii="Arial Narrow" w:hAnsi="Arial Narrow" w:cs="Arial"/>
          <w:b/>
          <w:color w:val="000000" w:themeColor="text1"/>
          <w:lang w:val="es-MX" w:eastAsia="es-ES"/>
        </w:rPr>
        <w:t>EL TERCERO</w:t>
      </w:r>
      <w:r w:rsidRPr="002C0D19">
        <w:rPr>
          <w:rFonts w:ascii="Arial Narrow" w:hAnsi="Arial Narrow" w:cs="Arial"/>
          <w:color w:val="000000" w:themeColor="text1"/>
          <w:lang w:val="es-MX" w:eastAsia="es-ES"/>
        </w:rPr>
        <w:t xml:space="preserve"> niegue el conocimiento de un </w:t>
      </w:r>
      <w:proofErr w:type="spellStart"/>
      <w:r w:rsidRPr="002C0D19">
        <w:rPr>
          <w:rFonts w:ascii="Arial Narrow" w:hAnsi="Arial Narrow" w:cs="Arial"/>
          <w:i/>
          <w:color w:val="000000" w:themeColor="text1"/>
          <w:lang w:val="es-MX" w:eastAsia="es-ES"/>
        </w:rPr>
        <w:t>Give</w:t>
      </w:r>
      <w:proofErr w:type="spellEnd"/>
      <w:r w:rsidRPr="002C0D19">
        <w:rPr>
          <w:rFonts w:ascii="Arial Narrow" w:hAnsi="Arial Narrow" w:cs="Arial"/>
          <w:i/>
          <w:color w:val="000000" w:themeColor="text1"/>
          <w:lang w:val="es-MX" w:eastAsia="es-ES"/>
        </w:rPr>
        <w:t>-Up</w:t>
      </w:r>
      <w:r w:rsidRPr="002C0D19">
        <w:rPr>
          <w:rFonts w:ascii="Arial Narrow" w:hAnsi="Arial Narrow" w:cs="Arial"/>
          <w:color w:val="000000" w:themeColor="text1"/>
          <w:lang w:val="es-MX" w:eastAsia="es-ES"/>
        </w:rPr>
        <w:t xml:space="preserve"> de cualquier Operación Aceptada por </w:t>
      </w:r>
      <w:r w:rsidRPr="002C0D19">
        <w:rPr>
          <w:rFonts w:ascii="Arial Narrow" w:hAnsi="Arial Narrow" w:cs="Arial"/>
          <w:b/>
          <w:color w:val="000000" w:themeColor="text1"/>
          <w:lang w:val="es-MX" w:eastAsia="es-ES"/>
        </w:rPr>
        <w:t>LA CRCC</w:t>
      </w:r>
      <w:r w:rsidRPr="002C0D19">
        <w:rPr>
          <w:rFonts w:ascii="Arial Narrow" w:hAnsi="Arial Narrow" w:cs="Arial"/>
          <w:color w:val="000000" w:themeColor="text1"/>
          <w:lang w:val="es-MX" w:eastAsia="es-ES"/>
        </w:rPr>
        <w:t xml:space="preserve">, por no haber mediado autorización para ello y/o por no haberse ejecutado la autorización en los términos de la misma, </w:t>
      </w:r>
      <w:r w:rsidRPr="002C0D19">
        <w:rPr>
          <w:rFonts w:ascii="Arial Narrow" w:hAnsi="Arial Narrow" w:cs="Arial"/>
          <w:b/>
          <w:color w:val="000000" w:themeColor="text1"/>
          <w:lang w:val="es-MX" w:eastAsia="es-ES"/>
        </w:rPr>
        <w:t xml:space="preserve">LOS MIEMBROS </w:t>
      </w:r>
      <w:r w:rsidRPr="002C0D19">
        <w:rPr>
          <w:rFonts w:ascii="Arial Narrow" w:hAnsi="Arial Narrow" w:cs="Arial"/>
          <w:color w:val="000000" w:themeColor="text1"/>
          <w:lang w:val="es-MX" w:eastAsia="es-ES"/>
        </w:rPr>
        <w:t xml:space="preserve">estarán autorizados para liquidar y compensar la operación rechazada. </w:t>
      </w:r>
      <w:r w:rsidRPr="002C0D19">
        <w:rPr>
          <w:rFonts w:ascii="Arial Narrow" w:hAnsi="Arial Narrow" w:cs="Arial"/>
          <w:b/>
          <w:color w:val="000000" w:themeColor="text1"/>
          <w:lang w:val="es-MX" w:eastAsia="es-ES"/>
        </w:rPr>
        <w:t xml:space="preserve">EL MIEMBRO </w:t>
      </w:r>
      <w:r w:rsidRPr="002C0D19">
        <w:rPr>
          <w:rFonts w:ascii="Arial Narrow" w:hAnsi="Arial Narrow" w:cs="Arial"/>
          <w:color w:val="000000" w:themeColor="text1"/>
          <w:lang w:val="es-MX" w:eastAsia="es-ES"/>
        </w:rPr>
        <w:t xml:space="preserve">que liquide y compense la operación deberá entregar a </w:t>
      </w:r>
      <w:r w:rsidRPr="002C0D19">
        <w:rPr>
          <w:rFonts w:ascii="Arial Narrow" w:hAnsi="Arial Narrow" w:cs="Arial"/>
          <w:b/>
          <w:color w:val="000000" w:themeColor="text1"/>
          <w:lang w:val="es-MX" w:eastAsia="es-ES"/>
        </w:rPr>
        <w:t>EL TERCERO</w:t>
      </w:r>
      <w:r w:rsidRPr="002C0D19">
        <w:rPr>
          <w:rFonts w:ascii="Arial Narrow" w:hAnsi="Arial Narrow" w:cs="Arial"/>
          <w:color w:val="000000" w:themeColor="text1"/>
          <w:lang w:val="es-MX" w:eastAsia="es-ES"/>
        </w:rPr>
        <w:t xml:space="preserve"> notificación previa de dicha liquidación o compensación.</w:t>
      </w:r>
    </w:p>
    <w:p w14:paraId="1A092EBC" w14:textId="77777777" w:rsidR="007968EC" w:rsidRPr="002C0D19" w:rsidRDefault="007968EC" w:rsidP="007968EC">
      <w:pPr>
        <w:ind w:left="360"/>
        <w:jc w:val="both"/>
        <w:rPr>
          <w:rFonts w:ascii="Arial Narrow" w:hAnsi="Arial Narrow" w:cs="Arial"/>
          <w:color w:val="000000" w:themeColor="text1"/>
          <w:lang w:val="es-ES" w:eastAsia="es-ES"/>
        </w:rPr>
      </w:pPr>
    </w:p>
    <w:p w14:paraId="6D52A7FA" w14:textId="77777777" w:rsidR="007968EC" w:rsidRPr="002C0D19" w:rsidRDefault="007968EC" w:rsidP="007968EC">
      <w:pPr>
        <w:jc w:val="both"/>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 xml:space="preserve">PARÁGRAFO. </w:t>
      </w:r>
      <w:r w:rsidRPr="002C0D19">
        <w:rPr>
          <w:rFonts w:ascii="Arial Narrow" w:hAnsi="Arial Narrow" w:cs="Arial"/>
          <w:color w:val="000000" w:themeColor="text1"/>
          <w:lang w:val="es-ES" w:eastAsia="es-ES"/>
        </w:rPr>
        <w:t xml:space="preserve">Para todos los efectos de la presente Oferta de Servicios, los términos usados en mayúscula, tendrán el significado dado en el Reglamento de Funcionamiento y en la Circular de </w:t>
      </w:r>
      <w:r w:rsidRPr="002C0D19">
        <w:rPr>
          <w:rFonts w:ascii="Arial Narrow" w:hAnsi="Arial Narrow" w:cs="Arial"/>
          <w:b/>
          <w:color w:val="000000" w:themeColor="text1"/>
          <w:lang w:val="es-ES" w:eastAsia="es-ES"/>
        </w:rPr>
        <w:t xml:space="preserve">LA CRCC. </w:t>
      </w:r>
    </w:p>
    <w:p w14:paraId="17031F2E" w14:textId="77777777" w:rsidR="007968EC" w:rsidRPr="002C0D19" w:rsidRDefault="007968EC" w:rsidP="007968EC">
      <w:pPr>
        <w:jc w:val="both"/>
        <w:rPr>
          <w:rFonts w:ascii="Arial Narrow" w:hAnsi="Arial Narrow" w:cs="Arial"/>
          <w:b/>
          <w:color w:val="000000" w:themeColor="text1"/>
          <w:u w:val="single"/>
          <w:lang w:val="es-ES" w:eastAsia="es-ES"/>
        </w:rPr>
      </w:pPr>
    </w:p>
    <w:p w14:paraId="6DCFD6D7"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b/>
          <w:color w:val="000000" w:themeColor="text1"/>
          <w:u w:val="single"/>
          <w:lang w:val="es-ES" w:eastAsia="es-ES"/>
        </w:rPr>
        <w:lastRenderedPageBreak/>
        <w:t>TERCERA.</w:t>
      </w:r>
      <w:r w:rsidRPr="002C0D19">
        <w:rPr>
          <w:rFonts w:ascii="Arial Narrow" w:hAnsi="Arial Narrow" w:cs="Arial"/>
          <w:b/>
          <w:bCs/>
          <w:color w:val="000000" w:themeColor="text1"/>
          <w:u w:val="single"/>
          <w:lang w:val="es-ES" w:eastAsia="es-ES"/>
        </w:rPr>
        <w:t xml:space="preserve"> Vigencia.</w:t>
      </w:r>
      <w:r w:rsidRPr="002C0D19">
        <w:rPr>
          <w:rFonts w:ascii="Arial Narrow" w:hAnsi="Arial Narrow" w:cs="Arial"/>
          <w:b/>
          <w:bCs/>
          <w:color w:val="000000" w:themeColor="text1"/>
          <w:lang w:val="es-ES" w:eastAsia="es-ES"/>
        </w:rPr>
        <w:t xml:space="preserve">  </w:t>
      </w:r>
      <w:r w:rsidRPr="002C0D19">
        <w:rPr>
          <w:rFonts w:ascii="Arial Narrow" w:hAnsi="Arial Narrow" w:cs="Arial"/>
          <w:color w:val="000000" w:themeColor="text1"/>
          <w:lang w:eastAsia="es-ES"/>
        </w:rPr>
        <w:t>La presente Oferta estará vigente por un término de sesenta (60) días calendario, contados a partir del envío de la misma por parte de _____________________________</w:t>
      </w:r>
      <w:r w:rsidRPr="002C0D19">
        <w:rPr>
          <w:rFonts w:ascii="Arial Narrow" w:hAnsi="Arial Narrow" w:cs="Arial"/>
          <w:b/>
          <w:color w:val="000000" w:themeColor="text1"/>
          <w:lang w:eastAsia="es-ES"/>
        </w:rPr>
        <w:t xml:space="preserve"> </w:t>
      </w:r>
      <w:r w:rsidRPr="002C0D19">
        <w:rPr>
          <w:rFonts w:ascii="Arial Narrow" w:hAnsi="Arial Narrow" w:cs="Arial"/>
          <w:color w:val="000000" w:themeColor="text1"/>
          <w:lang w:eastAsia="es-ES"/>
        </w:rPr>
        <w:t>a __________________________________,</w:t>
      </w:r>
      <w:r w:rsidRPr="002C0D19">
        <w:rPr>
          <w:rFonts w:ascii="Arial Narrow" w:hAnsi="Arial Narrow" w:cs="Arial"/>
          <w:b/>
          <w:color w:val="000000" w:themeColor="text1"/>
          <w:lang w:eastAsia="es-ES"/>
        </w:rPr>
        <w:t xml:space="preserve"> </w:t>
      </w:r>
      <w:r w:rsidRPr="002C0D19">
        <w:rPr>
          <w:rFonts w:ascii="Arial Narrow" w:hAnsi="Arial Narrow" w:cs="Arial"/>
          <w:color w:val="000000" w:themeColor="text1"/>
          <w:lang w:eastAsia="es-ES"/>
        </w:rPr>
        <w:t>transcurridos los cuales, de no haber aceptación a la misma por parte de __________________________________,</w:t>
      </w:r>
      <w:r w:rsidRPr="002C0D19">
        <w:rPr>
          <w:rFonts w:ascii="Arial Narrow" w:hAnsi="Arial Narrow" w:cs="Arial"/>
          <w:b/>
          <w:color w:val="000000" w:themeColor="text1"/>
          <w:lang w:eastAsia="es-ES"/>
        </w:rPr>
        <w:t xml:space="preserve"> </w:t>
      </w:r>
      <w:r w:rsidRPr="002C0D19">
        <w:rPr>
          <w:rFonts w:ascii="Arial Narrow" w:hAnsi="Arial Narrow" w:cs="Arial"/>
          <w:color w:val="000000" w:themeColor="text1"/>
          <w:lang w:eastAsia="es-ES"/>
        </w:rPr>
        <w:t>se entenderá revocada. En caso de aceptación de esta Oferta por parte de</w:t>
      </w:r>
      <w:r w:rsidRPr="002C0D19">
        <w:rPr>
          <w:rFonts w:ascii="Arial Narrow" w:hAnsi="Arial Narrow" w:cs="Arial"/>
          <w:b/>
          <w:color w:val="000000" w:themeColor="text1"/>
          <w:lang w:eastAsia="es-ES"/>
        </w:rPr>
        <w:t xml:space="preserve"> </w:t>
      </w:r>
      <w:r w:rsidRPr="002C0D19">
        <w:rPr>
          <w:rFonts w:ascii="Arial Narrow" w:hAnsi="Arial Narrow" w:cs="Arial"/>
          <w:color w:val="000000" w:themeColor="text1"/>
          <w:lang w:eastAsia="es-ES"/>
        </w:rPr>
        <w:t xml:space="preserve">__________________________________, los términos y condiciones de la misma estarán vigentes en forma indefinida. </w:t>
      </w:r>
    </w:p>
    <w:p w14:paraId="5971D99C" w14:textId="77777777" w:rsidR="007968EC" w:rsidRPr="002C0D19" w:rsidRDefault="007968EC" w:rsidP="007968EC">
      <w:pPr>
        <w:jc w:val="both"/>
        <w:rPr>
          <w:rFonts w:ascii="Arial Narrow" w:hAnsi="Arial Narrow" w:cs="Arial"/>
          <w:color w:val="000000" w:themeColor="text1"/>
          <w:lang w:eastAsia="es-ES"/>
        </w:rPr>
      </w:pPr>
    </w:p>
    <w:p w14:paraId="7FB617E6"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No obstante lo anterior y sin perjuicio de lo dispuesto en el Reglamento de Funcionamiento, las partes podrán terminar en cualquier tiempo el presente convenio para la realización de </w:t>
      </w:r>
      <w:proofErr w:type="spellStart"/>
      <w:r w:rsidRPr="002C0D19">
        <w:rPr>
          <w:rFonts w:ascii="Arial Narrow" w:hAnsi="Arial Narrow" w:cs="Arial"/>
          <w:i/>
          <w:color w:val="000000" w:themeColor="text1"/>
          <w:lang w:eastAsia="es-ES"/>
        </w:rPr>
        <w:t>Give</w:t>
      </w:r>
      <w:proofErr w:type="spellEnd"/>
      <w:r w:rsidRPr="002C0D19">
        <w:rPr>
          <w:rFonts w:ascii="Arial Narrow" w:hAnsi="Arial Narrow" w:cs="Arial"/>
          <w:i/>
          <w:color w:val="000000" w:themeColor="text1"/>
          <w:lang w:eastAsia="es-ES"/>
        </w:rPr>
        <w:t xml:space="preserve">-up </w:t>
      </w:r>
      <w:r w:rsidRPr="002C0D19">
        <w:rPr>
          <w:rFonts w:ascii="Arial Narrow" w:hAnsi="Arial Narrow" w:cs="Arial"/>
          <w:color w:val="000000" w:themeColor="text1"/>
          <w:lang w:eastAsia="es-ES"/>
        </w:rPr>
        <w:t xml:space="preserve">entre sí, mediante la entrega a la otra parte de un aviso escrito en tal sentido, remitida con no menos de treinta (30) días calendario de anticipación al día hábil en el cual desea que dicha terminación tenga efecto. </w:t>
      </w:r>
      <w:r w:rsidRPr="002C0D19">
        <w:rPr>
          <w:rFonts w:ascii="Arial Narrow" w:hAnsi="Arial Narrow" w:cs="Arial"/>
          <w:color w:val="000000" w:themeColor="text1"/>
          <w:lang w:val="es-ES" w:eastAsia="es-ES"/>
        </w:rPr>
        <w:t xml:space="preserve">La terminación del presente Convenio no afectará los derechos y obligaciones de cualquiera de las partes que se deriven de Operaciones Aceptadas objeto de </w:t>
      </w:r>
      <w:proofErr w:type="spellStart"/>
      <w:r w:rsidRPr="002C0D19">
        <w:rPr>
          <w:rFonts w:ascii="Arial Narrow" w:hAnsi="Arial Narrow" w:cs="Arial"/>
          <w:i/>
          <w:color w:val="000000" w:themeColor="text1"/>
          <w:lang w:val="es-ES" w:eastAsia="es-ES"/>
        </w:rPr>
        <w:t>Give</w:t>
      </w:r>
      <w:proofErr w:type="spellEnd"/>
      <w:r w:rsidRPr="002C0D19">
        <w:rPr>
          <w:rFonts w:ascii="Arial Narrow" w:hAnsi="Arial Narrow" w:cs="Arial"/>
          <w:i/>
          <w:color w:val="000000" w:themeColor="text1"/>
          <w:lang w:val="es-ES" w:eastAsia="es-ES"/>
        </w:rPr>
        <w:t>-up</w:t>
      </w:r>
      <w:r w:rsidRPr="002C0D19">
        <w:rPr>
          <w:rFonts w:ascii="Arial Narrow" w:hAnsi="Arial Narrow" w:cs="Arial"/>
          <w:color w:val="000000" w:themeColor="text1"/>
          <w:lang w:val="es-ES" w:eastAsia="es-ES"/>
        </w:rPr>
        <w:t xml:space="preserve"> con anterioridad a tal terminación.</w:t>
      </w:r>
    </w:p>
    <w:p w14:paraId="07BFD7C8"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Igualmente, habrá lugar a la terminación unilateral si se presenta un incumplimiento de alguna de las obligaciones a cargo de una de las partes. </w:t>
      </w:r>
    </w:p>
    <w:p w14:paraId="65C5C5A2" w14:textId="77777777" w:rsidR="007968EC" w:rsidRPr="002C0D19" w:rsidRDefault="007968EC" w:rsidP="007968EC">
      <w:pPr>
        <w:jc w:val="both"/>
        <w:rPr>
          <w:rFonts w:ascii="Arial Narrow" w:hAnsi="Arial Narrow" w:cs="Arial"/>
          <w:b/>
          <w:bCs/>
          <w:color w:val="000000" w:themeColor="text1"/>
          <w:u w:val="single"/>
          <w:lang w:val="es-ES" w:eastAsia="es-ES"/>
        </w:rPr>
      </w:pPr>
    </w:p>
    <w:p w14:paraId="6F3BB79B" w14:textId="77777777" w:rsidR="007968EC" w:rsidRPr="002C0D19" w:rsidRDefault="007968EC" w:rsidP="007968EC">
      <w:pPr>
        <w:jc w:val="both"/>
        <w:rPr>
          <w:rFonts w:ascii="Arial Narrow" w:hAnsi="Arial Narrow" w:cs="Arial"/>
          <w:b/>
          <w:bCs/>
          <w:color w:val="000000" w:themeColor="text1"/>
          <w:highlight w:val="cyan"/>
          <w:lang w:val="es-ES" w:eastAsia="es-ES"/>
        </w:rPr>
      </w:pPr>
      <w:r w:rsidRPr="002C0D19">
        <w:rPr>
          <w:rFonts w:ascii="Arial Narrow" w:hAnsi="Arial Narrow" w:cs="Arial"/>
          <w:b/>
          <w:bCs/>
          <w:color w:val="000000" w:themeColor="text1"/>
          <w:u w:val="single"/>
          <w:lang w:val="es-ES" w:eastAsia="es-ES"/>
        </w:rPr>
        <w:t>CUARTA. Cesión y subcontratación.</w:t>
      </w:r>
      <w:r w:rsidRPr="002C0D19">
        <w:rPr>
          <w:rFonts w:ascii="Arial Narrow" w:hAnsi="Arial Narrow" w:cs="Arial"/>
          <w:b/>
          <w:bCs/>
          <w:color w:val="000000" w:themeColor="text1"/>
          <w:lang w:val="es-ES" w:eastAsia="es-ES"/>
        </w:rPr>
        <w:t xml:space="preserve"> </w:t>
      </w:r>
      <w:r w:rsidRPr="002C0D19">
        <w:rPr>
          <w:rFonts w:ascii="Arial Narrow" w:hAnsi="Arial Narrow" w:cs="Arial"/>
          <w:bCs/>
          <w:color w:val="000000" w:themeColor="text1"/>
          <w:lang w:val="es-ES" w:eastAsia="es-ES"/>
        </w:rPr>
        <w:t>Las partes</w:t>
      </w:r>
      <w:r w:rsidRPr="002C0D19">
        <w:rPr>
          <w:rFonts w:ascii="Arial Narrow" w:hAnsi="Arial Narrow" w:cs="Arial"/>
          <w:b/>
          <w:bCs/>
          <w:color w:val="000000" w:themeColor="text1"/>
          <w:lang w:val="es-ES" w:eastAsia="es-ES"/>
        </w:rPr>
        <w:t xml:space="preserve"> </w:t>
      </w:r>
      <w:r w:rsidRPr="002C0D19">
        <w:rPr>
          <w:rFonts w:ascii="Arial Narrow" w:hAnsi="Arial Narrow" w:cs="Arial"/>
          <w:color w:val="000000" w:themeColor="text1"/>
          <w:lang w:val="es-ES" w:eastAsia="es-ES"/>
        </w:rPr>
        <w:t>no podrán ceder ni subcontratar total o parcialmente la presente Oferta, antes o después de ser aceptada.</w:t>
      </w:r>
    </w:p>
    <w:p w14:paraId="60FFBAC1" w14:textId="77777777" w:rsidR="007968EC" w:rsidRPr="002C0D19" w:rsidRDefault="007968EC" w:rsidP="007968EC">
      <w:pPr>
        <w:jc w:val="both"/>
        <w:rPr>
          <w:rFonts w:ascii="Arial Narrow" w:hAnsi="Arial Narrow" w:cs="Arial"/>
          <w:b/>
          <w:bCs/>
          <w:color w:val="000000" w:themeColor="text1"/>
          <w:u w:val="single"/>
          <w:lang w:val="es-ES" w:eastAsia="es-ES"/>
        </w:rPr>
      </w:pPr>
    </w:p>
    <w:p w14:paraId="4DAC6B49" w14:textId="77777777" w:rsidR="007968EC" w:rsidRPr="002C0D19" w:rsidRDefault="007968EC" w:rsidP="007968EC">
      <w:pPr>
        <w:jc w:val="both"/>
        <w:rPr>
          <w:rFonts w:ascii="Arial Narrow" w:hAnsi="Arial Narrow" w:cs="Arial"/>
          <w:color w:val="000000" w:themeColor="text1"/>
          <w:lang w:val="es-ES_tradnl" w:eastAsia="es-ES"/>
        </w:rPr>
      </w:pPr>
      <w:r w:rsidRPr="002C0D19">
        <w:rPr>
          <w:rFonts w:ascii="Arial Narrow" w:hAnsi="Arial Narrow" w:cs="Arial"/>
          <w:b/>
          <w:bCs/>
          <w:color w:val="000000" w:themeColor="text1"/>
          <w:u w:val="single"/>
          <w:lang w:val="es-ES" w:eastAsia="es-ES"/>
        </w:rPr>
        <w:t>QUINTA. Cláusula Compromisoria.</w:t>
      </w:r>
      <w:r w:rsidRPr="002C0D19">
        <w:rPr>
          <w:rFonts w:ascii="Arial Narrow" w:hAnsi="Arial Narrow" w:cs="Arial"/>
          <w:color w:val="000000" w:themeColor="text1"/>
          <w:lang w:val="es-ES" w:eastAsia="es-ES"/>
        </w:rPr>
        <w:t xml:space="preserve"> </w:t>
      </w:r>
      <w:r w:rsidRPr="002C0D19">
        <w:rPr>
          <w:rFonts w:ascii="Arial Narrow" w:hAnsi="Arial Narrow" w:cs="Arial"/>
          <w:color w:val="000000" w:themeColor="text1"/>
          <w:lang w:val="es-ES_tradnl" w:eastAsia="es-ES"/>
        </w:rPr>
        <w:t xml:space="preserve">Todas las diferencias que ocurran entre las partes con ocasión de la presente Oferta, una vez aceptada, y que no puedan solucionarse por acuerdo directo entre ellas, en un plazo que no podrá exceder de dos (2) meses contados a partir de la fecha del evento que generó la diferencia, serán resueltas por un Tribunal de Arbitramento. Cuando la cuantía de las pretensiones supere los mil (1000) salarios mínimos legales mensuales vigentes en Colombia, el Tribunal de Arbitramento estará conformado por tres (3) árbitros, los cuales serán designados por las partes dentro de los quince (15) días hábiles siguientes al vencimiento del plazo de dos (2) meses de acuerdo directo, o a falta de acuerdo, mediante sorteo entre los árbitros inscritos en el Centro de Arbitraje y Conciliación de la Cámara de Comercio de Bogotá. En caso de que la cuantía de las pretensiones sea igual o inferior a mil (1000) salarios mínimos legales mensuales vigentes en Colombia, el Tribunal de Arbitramento estará conformado por un (1) árbitro, el cual será designado por las partes dentro de los quince (15) días hábiles siguientes al vencimiento del plazo de dos (2) meses de acuerdo directo, o a falta de acuerdo, por sorteo entre los árbitros inscritos en el Centro de Arbitraje y Conciliación de la Cámara de Comercio de Bogotá. El o los árbitros designados serán Abogados inscritos y fallarán en derecho. El Tribunal de Arbitramento tendrá sede en la ciudad de Bogotá, sus honorarios se calcularán de acuerdo con las tarifas del Centro de Arbitraje y Conciliación de la Cámara de Comercio de Bogotá y se regirá por las leyes colombianas. </w:t>
      </w:r>
    </w:p>
    <w:p w14:paraId="6A9C9BF2" w14:textId="77777777" w:rsidR="007968EC" w:rsidRPr="002C0D19" w:rsidRDefault="007968EC" w:rsidP="007968EC">
      <w:pPr>
        <w:jc w:val="both"/>
        <w:rPr>
          <w:rFonts w:ascii="Arial Narrow" w:hAnsi="Arial Narrow" w:cs="Arial"/>
          <w:b/>
          <w:color w:val="000000" w:themeColor="text1"/>
          <w:u w:val="single"/>
          <w:lang w:val="es-ES_tradnl" w:eastAsia="es-ES"/>
        </w:rPr>
      </w:pPr>
    </w:p>
    <w:p w14:paraId="1517773F" w14:textId="77777777" w:rsidR="007968EC" w:rsidRPr="002C0D19" w:rsidRDefault="007968EC" w:rsidP="007968EC">
      <w:pPr>
        <w:jc w:val="both"/>
        <w:rPr>
          <w:rFonts w:ascii="Arial Narrow" w:hAnsi="Arial Narrow" w:cs="Arial"/>
          <w:b/>
          <w:color w:val="000000" w:themeColor="text1"/>
          <w:u w:val="single"/>
          <w:lang w:val="es-ES" w:eastAsia="es-ES"/>
        </w:rPr>
      </w:pPr>
      <w:r w:rsidRPr="002C0D19">
        <w:rPr>
          <w:rFonts w:ascii="Arial Narrow" w:hAnsi="Arial Narrow" w:cs="Arial"/>
          <w:b/>
          <w:color w:val="000000" w:themeColor="text1"/>
          <w:u w:val="single"/>
          <w:lang w:val="es-ES_tradnl" w:eastAsia="es-ES"/>
        </w:rPr>
        <w:t>SEXTA.</w:t>
      </w:r>
      <w:r w:rsidRPr="002C0D19">
        <w:rPr>
          <w:rFonts w:ascii="Arial Narrow" w:hAnsi="Arial Narrow" w:cs="Arial"/>
          <w:color w:val="000000" w:themeColor="text1"/>
          <w:u w:val="single"/>
          <w:lang w:val="es-ES_tradnl" w:eastAsia="es-ES"/>
        </w:rPr>
        <w:t xml:space="preserve"> </w:t>
      </w:r>
      <w:r w:rsidRPr="002C0D19">
        <w:rPr>
          <w:rFonts w:ascii="Arial Narrow" w:hAnsi="Arial Narrow" w:cs="Arial"/>
          <w:b/>
          <w:color w:val="000000" w:themeColor="text1"/>
          <w:u w:val="single"/>
          <w:lang w:val="es-ES" w:eastAsia="es-ES"/>
        </w:rPr>
        <w:t>Mérito Ejecutivo.</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Las partes</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reconocen y aceptan que la presente Oferta de Servicios, una vez aceptada mediante la expedición de la Orden de Compra de Servicios,</w:t>
      </w:r>
      <w:r w:rsidRPr="002C0D19" w:rsidDel="00CA2BCF">
        <w:rPr>
          <w:rFonts w:ascii="Arial Narrow" w:hAnsi="Arial Narrow" w:cs="Arial"/>
          <w:color w:val="000000" w:themeColor="text1"/>
          <w:lang w:val="es-ES" w:eastAsia="es-ES"/>
        </w:rPr>
        <w:t xml:space="preserve"> </w:t>
      </w:r>
      <w:r w:rsidRPr="002C0D19">
        <w:rPr>
          <w:rFonts w:ascii="Arial Narrow" w:hAnsi="Arial Narrow" w:cs="Arial"/>
          <w:color w:val="000000" w:themeColor="text1"/>
          <w:lang w:val="es-ES" w:eastAsia="es-ES"/>
        </w:rPr>
        <w:t>prestará mérito ejecutivo para solicitar el cumplimiento de las obligaciones a cargo de las mismas, sin necesidad de requerimiento en mora judicial o extrajudicial.</w:t>
      </w:r>
    </w:p>
    <w:p w14:paraId="404667AE" w14:textId="77777777" w:rsidR="007968EC" w:rsidRPr="002C0D19" w:rsidRDefault="007968EC" w:rsidP="007968EC">
      <w:pPr>
        <w:jc w:val="both"/>
        <w:rPr>
          <w:rFonts w:ascii="Arial Narrow" w:hAnsi="Arial Narrow" w:cs="Arial"/>
          <w:b/>
          <w:color w:val="000000" w:themeColor="text1"/>
          <w:u w:val="single"/>
          <w:lang w:val="es-ES" w:eastAsia="es-ES"/>
        </w:rPr>
      </w:pPr>
    </w:p>
    <w:p w14:paraId="6804561A" w14:textId="77777777" w:rsidR="007968EC" w:rsidRPr="002C0D19" w:rsidRDefault="007968EC" w:rsidP="007968EC">
      <w:pPr>
        <w:jc w:val="both"/>
        <w:rPr>
          <w:rFonts w:ascii="Arial Narrow" w:hAnsi="Arial Narrow" w:cs="Arial"/>
          <w:color w:val="000000" w:themeColor="text1"/>
          <w:lang w:val="es-ES_tradnl" w:eastAsia="es-ES"/>
        </w:rPr>
      </w:pPr>
      <w:r w:rsidRPr="002C0D19">
        <w:rPr>
          <w:rFonts w:ascii="Arial Narrow" w:hAnsi="Arial Narrow" w:cs="Arial"/>
          <w:b/>
          <w:color w:val="000000" w:themeColor="text1"/>
          <w:u w:val="single"/>
          <w:lang w:val="es-ES" w:eastAsia="es-ES"/>
        </w:rPr>
        <w:t xml:space="preserve">SÉPTIMA. </w:t>
      </w:r>
      <w:r w:rsidRPr="002C0D19">
        <w:rPr>
          <w:rFonts w:ascii="Arial Narrow" w:hAnsi="Arial Narrow" w:cs="Arial"/>
          <w:b/>
          <w:color w:val="000000" w:themeColor="text1"/>
          <w:u w:val="single"/>
          <w:lang w:val="es-ES_tradnl" w:eastAsia="es-ES"/>
        </w:rPr>
        <w:t>Notificaciones</w:t>
      </w:r>
      <w:r w:rsidRPr="002C0D19">
        <w:rPr>
          <w:rFonts w:ascii="Arial Narrow" w:hAnsi="Arial Narrow" w:cs="Arial"/>
          <w:color w:val="000000" w:themeColor="text1"/>
          <w:u w:val="single"/>
          <w:lang w:val="es-ES_tradnl" w:eastAsia="es-ES"/>
        </w:rPr>
        <w:t>.</w:t>
      </w:r>
      <w:r w:rsidRPr="002C0D19">
        <w:rPr>
          <w:rFonts w:ascii="Arial Narrow" w:hAnsi="Arial Narrow" w:cs="Arial"/>
          <w:color w:val="000000" w:themeColor="text1"/>
          <w:lang w:val="es-ES_tradnl" w:eastAsia="es-ES"/>
        </w:rPr>
        <w:t xml:space="preserve"> Todas las notificaciones y comunicaciones relacionadas con la presente Oferta de Servicios,  se harán por escrito y se enviarán a las siguientes direcciones:</w:t>
      </w:r>
    </w:p>
    <w:p w14:paraId="0967FFC3" w14:textId="77777777" w:rsidR="007968EC" w:rsidRPr="002C0D19" w:rsidRDefault="007968EC" w:rsidP="007968EC">
      <w:pPr>
        <w:jc w:val="both"/>
        <w:rPr>
          <w:rFonts w:ascii="Arial Narrow" w:hAnsi="Arial Narrow" w:cs="Arial"/>
          <w:b/>
          <w:color w:val="000000" w:themeColor="text1"/>
          <w:u w:val="single"/>
          <w:lang w:val="es-ES" w:eastAsia="es-ES"/>
        </w:rPr>
      </w:pPr>
    </w:p>
    <w:p w14:paraId="75CB86EC" w14:textId="77777777" w:rsidR="007968EC" w:rsidRPr="002C0D19" w:rsidRDefault="007968EC" w:rsidP="007968EC">
      <w:pPr>
        <w:jc w:val="both"/>
        <w:rPr>
          <w:rFonts w:ascii="Arial Narrow" w:hAnsi="Arial Narrow" w:cs="Arial"/>
          <w:color w:val="000000" w:themeColor="text1"/>
          <w:lang w:val="es-ES_tradnl" w:eastAsia="es-ES"/>
        </w:rPr>
      </w:pPr>
      <w:r w:rsidRPr="002C0D19">
        <w:rPr>
          <w:rFonts w:ascii="Arial Narrow" w:hAnsi="Arial Narrow" w:cs="Arial"/>
          <w:color w:val="000000" w:themeColor="text1"/>
          <w:lang w:eastAsia="es-ES"/>
        </w:rPr>
        <w:t>__________________________________</w:t>
      </w:r>
      <w:r w:rsidRPr="002C0D19">
        <w:rPr>
          <w:rFonts w:ascii="Arial Narrow" w:hAnsi="Arial Narrow" w:cs="Arial"/>
          <w:b/>
          <w:color w:val="000000" w:themeColor="text1"/>
          <w:lang w:val="es-ES_tradnl" w:eastAsia="es-ES"/>
        </w:rPr>
        <w:t>:</w:t>
      </w:r>
    </w:p>
    <w:p w14:paraId="1C03F696"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t xml:space="preserve">Fax:  </w:t>
      </w:r>
    </w:p>
    <w:p w14:paraId="5F178CDE"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r>
      <w:r w:rsidRPr="002C0D19">
        <w:rPr>
          <w:rFonts w:ascii="Arial Narrow" w:hAnsi="Arial Narrow" w:cs="Arial"/>
          <w:color w:val="000000" w:themeColor="text1"/>
          <w:lang w:val="es-ES" w:eastAsia="es-ES"/>
        </w:rPr>
        <w:t>Dirección</w:t>
      </w:r>
      <w:r w:rsidRPr="002C0D19">
        <w:rPr>
          <w:rFonts w:ascii="Arial Narrow" w:hAnsi="Arial Narrow" w:cs="Arial"/>
          <w:color w:val="000000" w:themeColor="text1"/>
          <w:lang w:eastAsia="es-ES"/>
        </w:rPr>
        <w:t xml:space="preserve">: </w:t>
      </w:r>
    </w:p>
    <w:p w14:paraId="2583F937"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t xml:space="preserve">Ciudad: </w:t>
      </w:r>
    </w:p>
    <w:p w14:paraId="52FC8148" w14:textId="77777777" w:rsidR="007968EC" w:rsidRPr="002C0D19" w:rsidRDefault="007968EC" w:rsidP="007968EC">
      <w:pPr>
        <w:jc w:val="both"/>
        <w:rPr>
          <w:rFonts w:ascii="Arial Narrow" w:hAnsi="Arial Narrow" w:cs="Arial"/>
          <w:color w:val="000000" w:themeColor="text1"/>
          <w:lang w:val="es-ES_tradnl" w:eastAsia="es-ES"/>
        </w:rPr>
      </w:pPr>
      <w:r w:rsidRPr="002C0D19">
        <w:rPr>
          <w:rFonts w:ascii="Arial Narrow" w:hAnsi="Arial Narrow" w:cs="Arial"/>
          <w:color w:val="000000" w:themeColor="text1"/>
          <w:lang w:val="es-ES_tradnl" w:eastAsia="es-ES"/>
        </w:rPr>
        <w:tab/>
      </w:r>
    </w:p>
    <w:p w14:paraId="3BF879E1" w14:textId="77777777" w:rsidR="007968EC" w:rsidRPr="002C0D19" w:rsidRDefault="007968EC" w:rsidP="007968EC">
      <w:pPr>
        <w:jc w:val="both"/>
        <w:rPr>
          <w:rFonts w:ascii="Arial Narrow" w:hAnsi="Arial Narrow" w:cs="Arial"/>
          <w:color w:val="000000" w:themeColor="text1"/>
          <w:lang w:val="es-ES_tradnl" w:eastAsia="es-ES"/>
        </w:rPr>
      </w:pPr>
      <w:r w:rsidRPr="002C0D19">
        <w:rPr>
          <w:rFonts w:ascii="Arial Narrow" w:hAnsi="Arial Narrow" w:cs="Arial"/>
          <w:color w:val="000000" w:themeColor="text1"/>
          <w:lang w:eastAsia="es-ES"/>
        </w:rPr>
        <w:t>__________________________________</w:t>
      </w:r>
      <w:r w:rsidRPr="002C0D19">
        <w:rPr>
          <w:rFonts w:ascii="Arial Narrow" w:hAnsi="Arial Narrow" w:cs="Arial"/>
          <w:b/>
          <w:color w:val="000000" w:themeColor="text1"/>
          <w:lang w:val="es-ES" w:eastAsia="es-ES"/>
        </w:rPr>
        <w:t>:</w:t>
      </w:r>
    </w:p>
    <w:p w14:paraId="46687498"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val="es-ES_tradnl" w:eastAsia="es-ES"/>
        </w:rPr>
        <w:tab/>
      </w:r>
      <w:r w:rsidRPr="002C0D19">
        <w:rPr>
          <w:rFonts w:ascii="Arial Narrow" w:hAnsi="Arial Narrow" w:cs="Arial"/>
          <w:color w:val="000000" w:themeColor="text1"/>
          <w:lang w:val="es-ES_tradnl" w:eastAsia="es-ES"/>
        </w:rPr>
        <w:tab/>
      </w:r>
      <w:r w:rsidRPr="002C0D19">
        <w:rPr>
          <w:rFonts w:ascii="Arial Narrow" w:hAnsi="Arial Narrow" w:cs="Arial"/>
          <w:color w:val="000000" w:themeColor="text1"/>
          <w:lang w:eastAsia="es-ES"/>
        </w:rPr>
        <w:t xml:space="preserve">Fax:  </w:t>
      </w:r>
    </w:p>
    <w:p w14:paraId="304DCC7A"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r>
      <w:r w:rsidRPr="002C0D19">
        <w:rPr>
          <w:rFonts w:ascii="Arial Narrow" w:hAnsi="Arial Narrow" w:cs="Arial"/>
          <w:color w:val="000000" w:themeColor="text1"/>
          <w:lang w:val="es-ES" w:eastAsia="es-ES"/>
        </w:rPr>
        <w:t>Dirección</w:t>
      </w:r>
      <w:r w:rsidRPr="002C0D19">
        <w:rPr>
          <w:rFonts w:ascii="Arial Narrow" w:hAnsi="Arial Narrow" w:cs="Arial"/>
          <w:color w:val="000000" w:themeColor="text1"/>
          <w:lang w:eastAsia="es-ES"/>
        </w:rPr>
        <w:t xml:space="preserve">: </w:t>
      </w:r>
    </w:p>
    <w:p w14:paraId="33AA3552"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t xml:space="preserve">Ciudad: </w:t>
      </w:r>
    </w:p>
    <w:p w14:paraId="23CC4BD4" w14:textId="77777777" w:rsidR="007968EC" w:rsidRPr="002C0D19" w:rsidRDefault="007968EC" w:rsidP="007968EC">
      <w:pPr>
        <w:jc w:val="both"/>
        <w:rPr>
          <w:rFonts w:ascii="Arial Narrow" w:hAnsi="Arial Narrow" w:cs="Arial"/>
          <w:b/>
          <w:bCs/>
          <w:color w:val="000000" w:themeColor="text1"/>
          <w:u w:val="single"/>
          <w:lang w:val="es-ES" w:eastAsia="es-ES"/>
        </w:rPr>
      </w:pPr>
    </w:p>
    <w:p w14:paraId="6F85D0F7" w14:textId="77777777" w:rsidR="007968EC" w:rsidRPr="002C0D19" w:rsidRDefault="007968EC" w:rsidP="007968EC">
      <w:pPr>
        <w:jc w:val="both"/>
        <w:rPr>
          <w:rFonts w:ascii="Arial Narrow" w:hAnsi="Arial Narrow" w:cs="Arial"/>
          <w:color w:val="000000" w:themeColor="text1"/>
          <w:lang w:val="es-ES_tradnl" w:eastAsia="es-ES"/>
        </w:rPr>
      </w:pPr>
      <w:r w:rsidRPr="002C0D19">
        <w:rPr>
          <w:rFonts w:ascii="Arial Narrow" w:hAnsi="Arial Narrow" w:cs="Arial"/>
          <w:b/>
          <w:bCs/>
          <w:color w:val="000000" w:themeColor="text1"/>
          <w:u w:val="single"/>
          <w:lang w:val="es-ES" w:eastAsia="es-ES"/>
        </w:rPr>
        <w:t>OCTAVA. Aceptación de esta Oferta.</w:t>
      </w:r>
      <w:r w:rsidRPr="002C0D19">
        <w:rPr>
          <w:rFonts w:ascii="Arial Narrow" w:hAnsi="Arial Narrow" w:cs="Arial"/>
          <w:color w:val="000000" w:themeColor="text1"/>
          <w:lang w:val="es-ES" w:eastAsia="es-ES"/>
        </w:rPr>
        <w:t xml:space="preserve"> La presente Oferta se entenderá aceptada mediante la expedición, por parte de </w:t>
      </w:r>
      <w:r w:rsidRPr="002C0D19">
        <w:rPr>
          <w:rFonts w:ascii="Arial Narrow" w:hAnsi="Arial Narrow" w:cs="Arial"/>
          <w:color w:val="000000" w:themeColor="text1"/>
          <w:lang w:eastAsia="es-ES"/>
        </w:rPr>
        <w:t>__________________________________</w:t>
      </w:r>
      <w:r w:rsidRPr="002C0D19">
        <w:rPr>
          <w:rFonts w:ascii="Arial Narrow" w:hAnsi="Arial Narrow" w:cs="Arial"/>
          <w:color w:val="000000" w:themeColor="text1"/>
          <w:lang w:val="es-ES_tradnl" w:eastAsia="es-ES"/>
        </w:rPr>
        <w:t>, de una</w:t>
      </w:r>
      <w:r w:rsidRPr="002C0D19">
        <w:rPr>
          <w:rFonts w:ascii="Arial Narrow" w:hAnsi="Arial Narrow" w:cs="Arial"/>
          <w:b/>
          <w:color w:val="000000" w:themeColor="text1"/>
          <w:lang w:val="es-ES_tradnl" w:eastAsia="es-ES"/>
        </w:rPr>
        <w:t xml:space="preserve"> </w:t>
      </w:r>
      <w:r w:rsidRPr="002C0D19">
        <w:rPr>
          <w:rFonts w:ascii="Arial Narrow" w:hAnsi="Arial Narrow" w:cs="Arial"/>
          <w:color w:val="000000" w:themeColor="text1"/>
          <w:lang w:val="es-ES" w:eastAsia="es-ES"/>
        </w:rPr>
        <w:t>Orden de Compra de Servicios.</w:t>
      </w:r>
    </w:p>
    <w:p w14:paraId="7BAE8279" w14:textId="77777777" w:rsidR="007968EC" w:rsidRPr="002C0D19" w:rsidRDefault="007968EC" w:rsidP="007968EC">
      <w:pPr>
        <w:jc w:val="both"/>
        <w:rPr>
          <w:rFonts w:ascii="Arial Narrow" w:hAnsi="Arial Narrow" w:cs="Arial"/>
          <w:b/>
          <w:bCs/>
          <w:color w:val="000000" w:themeColor="text1"/>
          <w:u w:val="single"/>
          <w:lang w:val="es-ES" w:eastAsia="es-ES"/>
        </w:rPr>
      </w:pPr>
    </w:p>
    <w:p w14:paraId="70D047C7"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es-ES" w:eastAsia="es-ES"/>
        </w:rPr>
        <w:t>NOVENA. Impuesto de Timbre.</w:t>
      </w:r>
      <w:r w:rsidRPr="002C0D19">
        <w:rPr>
          <w:rFonts w:ascii="Arial Narrow" w:hAnsi="Arial Narrow" w:cs="Arial"/>
          <w:color w:val="000000" w:themeColor="text1"/>
          <w:lang w:val="es-ES" w:eastAsia="es-ES"/>
        </w:rPr>
        <w:t xml:space="preserve"> De conformidad con el numeral 52 del artículo 530 del Estatuto Tributario, la presente Oferta y su posterior aceptación mediante Orden de Compra de Servicios, no causan impuesto de timbre. </w:t>
      </w:r>
    </w:p>
    <w:p w14:paraId="015E85D2" w14:textId="77777777" w:rsidR="007968EC" w:rsidRPr="002C0D19" w:rsidRDefault="007968EC" w:rsidP="007968EC">
      <w:pPr>
        <w:jc w:val="both"/>
        <w:rPr>
          <w:rFonts w:ascii="Arial Narrow" w:hAnsi="Arial Narrow" w:cs="Arial"/>
          <w:color w:val="000000" w:themeColor="text1"/>
          <w:lang w:val="es-ES" w:eastAsia="es-ES"/>
        </w:rPr>
      </w:pPr>
    </w:p>
    <w:p w14:paraId="22408BC1"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Para constancia, se firma en ________________, el día ______________ (____) del mes de _____________ del año dos mil ___________ (____). </w:t>
      </w:r>
    </w:p>
    <w:p w14:paraId="213E2303" w14:textId="77777777" w:rsidR="007968EC" w:rsidRPr="002C0D19" w:rsidRDefault="007968EC" w:rsidP="007968EC">
      <w:pPr>
        <w:jc w:val="both"/>
        <w:rPr>
          <w:rFonts w:ascii="Arial Narrow" w:hAnsi="Arial Narrow" w:cs="Arial"/>
          <w:color w:val="000000" w:themeColor="text1"/>
          <w:lang w:eastAsia="es-ES"/>
        </w:rPr>
      </w:pPr>
    </w:p>
    <w:p w14:paraId="67D1FC65"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(OFERENTE)</w:t>
      </w:r>
    </w:p>
    <w:p w14:paraId="7DCCB020" w14:textId="77777777" w:rsidR="007968EC" w:rsidRPr="002C0D19" w:rsidRDefault="007968EC" w:rsidP="007968EC">
      <w:pPr>
        <w:jc w:val="both"/>
        <w:rPr>
          <w:rFonts w:ascii="Arial Narrow" w:hAnsi="Arial Narrow" w:cs="Arial"/>
          <w:color w:val="000000" w:themeColor="text1"/>
          <w:lang w:eastAsia="es-ES"/>
        </w:rPr>
      </w:pPr>
    </w:p>
    <w:p w14:paraId="308DC6B1"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lang w:eastAsia="es-ES"/>
        </w:rPr>
        <w:t>__________________________________</w:t>
      </w:r>
      <w:r w:rsidRPr="002C0D19">
        <w:rPr>
          <w:rFonts w:ascii="Arial Narrow" w:hAnsi="Arial Narrow" w:cs="Arial"/>
          <w:color w:val="000000" w:themeColor="text1"/>
          <w:lang w:eastAsia="es-ES"/>
        </w:rPr>
        <w:softHyphen/>
      </w:r>
      <w:r w:rsidRPr="002C0D19">
        <w:rPr>
          <w:rFonts w:ascii="Arial Narrow" w:hAnsi="Arial Narrow" w:cs="Arial"/>
          <w:color w:val="000000" w:themeColor="text1"/>
          <w:lang w:eastAsia="es-ES"/>
        </w:rPr>
        <w:softHyphen/>
      </w:r>
      <w:r w:rsidRPr="002C0D19">
        <w:rPr>
          <w:rFonts w:ascii="Arial Narrow" w:hAnsi="Arial Narrow" w:cs="Arial"/>
          <w:color w:val="000000" w:themeColor="text1"/>
          <w:lang w:eastAsia="es-ES"/>
        </w:rPr>
        <w:softHyphen/>
      </w:r>
      <w:r w:rsidRPr="002C0D19">
        <w:rPr>
          <w:rFonts w:ascii="Arial Narrow" w:hAnsi="Arial Narrow" w:cs="Arial"/>
          <w:color w:val="000000" w:themeColor="text1"/>
          <w:lang w:eastAsia="es-ES"/>
        </w:rPr>
        <w:softHyphen/>
      </w:r>
      <w:r w:rsidRPr="002C0D19">
        <w:rPr>
          <w:rFonts w:ascii="Arial Narrow" w:hAnsi="Arial Narrow" w:cs="Arial"/>
          <w:color w:val="000000" w:themeColor="text1"/>
          <w:lang w:eastAsia="es-ES"/>
        </w:rPr>
        <w:softHyphen/>
      </w:r>
      <w:r w:rsidRPr="002C0D19">
        <w:rPr>
          <w:rFonts w:ascii="Arial Narrow" w:hAnsi="Arial Narrow" w:cs="Arial"/>
          <w:color w:val="000000" w:themeColor="text1"/>
          <w:lang w:eastAsia="es-ES"/>
        </w:rPr>
        <w:softHyphen/>
      </w:r>
      <w:r w:rsidRPr="002C0D19">
        <w:rPr>
          <w:rFonts w:ascii="Arial Narrow" w:hAnsi="Arial Narrow" w:cs="Arial"/>
          <w:color w:val="000000" w:themeColor="text1"/>
          <w:lang w:eastAsia="es-ES"/>
        </w:rPr>
        <w:softHyphen/>
      </w:r>
      <w:r w:rsidRPr="002C0D19">
        <w:rPr>
          <w:rFonts w:ascii="Arial Narrow" w:hAnsi="Arial Narrow" w:cs="Arial"/>
          <w:color w:val="000000" w:themeColor="text1"/>
          <w:lang w:eastAsia="es-ES"/>
        </w:rPr>
        <w:softHyphen/>
      </w:r>
      <w:r w:rsidRPr="002C0D19">
        <w:rPr>
          <w:rFonts w:ascii="Arial Narrow" w:hAnsi="Arial Narrow" w:cs="Arial"/>
          <w:color w:val="000000" w:themeColor="text1"/>
          <w:lang w:eastAsia="es-ES"/>
        </w:rPr>
        <w:softHyphen/>
      </w:r>
      <w:r w:rsidRPr="002C0D19">
        <w:rPr>
          <w:rFonts w:ascii="Arial Narrow" w:hAnsi="Arial Narrow" w:cs="Arial"/>
          <w:color w:val="000000" w:themeColor="text1"/>
          <w:lang w:eastAsia="es-ES"/>
        </w:rPr>
        <w:softHyphen/>
      </w:r>
      <w:r w:rsidRPr="002C0D19">
        <w:rPr>
          <w:rFonts w:ascii="Arial Narrow" w:hAnsi="Arial Narrow" w:cs="Arial"/>
          <w:color w:val="000000" w:themeColor="text1"/>
          <w:lang w:eastAsia="es-ES"/>
        </w:rPr>
        <w:softHyphen/>
      </w:r>
      <w:r w:rsidRPr="002C0D19">
        <w:rPr>
          <w:rFonts w:ascii="Arial Narrow" w:hAnsi="Arial Narrow" w:cs="Arial"/>
          <w:color w:val="000000" w:themeColor="text1"/>
          <w:lang w:eastAsia="es-ES"/>
        </w:rPr>
        <w:softHyphen/>
      </w:r>
      <w:r w:rsidRPr="002C0D19">
        <w:rPr>
          <w:rFonts w:ascii="Arial Narrow" w:hAnsi="Arial Narrow" w:cs="Arial"/>
          <w:color w:val="000000" w:themeColor="text1"/>
          <w:lang w:eastAsia="es-ES"/>
        </w:rPr>
        <w:softHyphen/>
      </w:r>
      <w:r w:rsidRPr="002C0D19">
        <w:rPr>
          <w:rFonts w:ascii="Arial Narrow" w:hAnsi="Arial Narrow" w:cs="Arial"/>
          <w:color w:val="000000" w:themeColor="text1"/>
          <w:lang w:eastAsia="es-ES"/>
        </w:rPr>
        <w:softHyphen/>
      </w:r>
      <w:r w:rsidRPr="002C0D19">
        <w:rPr>
          <w:rFonts w:ascii="Arial Narrow" w:hAnsi="Arial Narrow" w:cs="Arial"/>
          <w:color w:val="000000" w:themeColor="text1"/>
          <w:lang w:eastAsia="es-ES"/>
        </w:rPr>
        <w:softHyphen/>
      </w:r>
      <w:r w:rsidRPr="002C0D19">
        <w:rPr>
          <w:rFonts w:ascii="Arial Narrow" w:hAnsi="Arial Narrow" w:cs="Arial"/>
          <w:color w:val="000000" w:themeColor="text1"/>
          <w:lang w:eastAsia="es-ES"/>
        </w:rPr>
        <w:softHyphen/>
        <w:t>_____</w:t>
      </w:r>
      <w:r w:rsidRPr="002C0D19">
        <w:rPr>
          <w:rFonts w:ascii="Arial Narrow" w:hAnsi="Arial Narrow" w:cs="Arial"/>
          <w:color w:val="000000" w:themeColor="text1"/>
          <w:spacing w:val="-3"/>
          <w:lang w:val="es-ES" w:eastAsia="es-ES"/>
        </w:rPr>
        <w:t xml:space="preserve">               </w:t>
      </w:r>
    </w:p>
    <w:p w14:paraId="4A0C52EF"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Nombre:                                               </w:t>
      </w:r>
    </w:p>
    <w:p w14:paraId="55D68479"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Cargo:       Representante Legal                                    </w:t>
      </w:r>
    </w:p>
    <w:p w14:paraId="21A4F425" w14:textId="77777777" w:rsidR="007968EC" w:rsidRPr="002C0D19" w:rsidRDefault="007968EC" w:rsidP="007968EC">
      <w:pPr>
        <w:jc w:val="both"/>
        <w:rPr>
          <w:rFonts w:ascii="Arial Narrow" w:hAnsi="Arial Narrow" w:cs="Arial"/>
          <w:color w:val="000000" w:themeColor="text1"/>
          <w:spacing w:val="-3"/>
          <w:lang w:val="fr-FR" w:eastAsia="es-ES"/>
        </w:rPr>
      </w:pPr>
      <w:r w:rsidRPr="002C0D19">
        <w:rPr>
          <w:rFonts w:ascii="Arial Narrow" w:hAnsi="Arial Narrow" w:cs="Arial"/>
          <w:color w:val="000000" w:themeColor="text1"/>
          <w:spacing w:val="-3"/>
          <w:lang w:val="fr-FR" w:eastAsia="es-ES"/>
        </w:rPr>
        <w:t>C.C.</w:t>
      </w:r>
    </w:p>
    <w:p w14:paraId="5036EF48" w14:textId="77777777" w:rsidR="007968EC" w:rsidRPr="002C0D19" w:rsidRDefault="007968EC" w:rsidP="007968EC">
      <w:pPr>
        <w:rPr>
          <w:rFonts w:ascii="Arial Narrow" w:hAnsi="Arial Narrow" w:cs="Arial"/>
          <w:b/>
          <w:color w:val="000000" w:themeColor="text1"/>
          <w:lang w:val="fr-FR" w:eastAsia="es-ES"/>
        </w:rPr>
      </w:pPr>
    </w:p>
    <w:p w14:paraId="66866DB4" w14:textId="77777777" w:rsidR="007968EC" w:rsidRPr="002C0D19" w:rsidRDefault="007968EC" w:rsidP="007968EC">
      <w:pPr>
        <w:rPr>
          <w:rFonts w:ascii="Arial Narrow" w:hAnsi="Arial Narrow" w:cs="Arial"/>
          <w:b/>
          <w:color w:val="000000" w:themeColor="text1"/>
          <w:lang w:val="fr-FR" w:eastAsia="es-ES"/>
        </w:rPr>
      </w:pPr>
    </w:p>
    <w:p w14:paraId="4E2B7658" w14:textId="77777777" w:rsidR="007968EC" w:rsidRPr="002C0D19" w:rsidRDefault="007968EC" w:rsidP="007968EC">
      <w:pPr>
        <w:rPr>
          <w:rFonts w:ascii="Arial Narrow" w:hAnsi="Arial Narrow" w:cs="Arial"/>
          <w:b/>
          <w:color w:val="000000" w:themeColor="text1"/>
          <w:lang w:val="fr-FR" w:eastAsia="es-ES"/>
        </w:rPr>
      </w:pPr>
    </w:p>
    <w:p w14:paraId="7467F3A5" w14:textId="77777777" w:rsidR="007968EC" w:rsidRPr="002C0D19" w:rsidRDefault="007968EC" w:rsidP="007968EC">
      <w:pPr>
        <w:rPr>
          <w:rFonts w:ascii="Arial Narrow" w:hAnsi="Arial Narrow" w:cs="Arial"/>
          <w:b/>
          <w:color w:val="000000" w:themeColor="text1"/>
          <w:lang w:val="fr-FR" w:eastAsia="es-ES"/>
        </w:rPr>
      </w:pPr>
    </w:p>
    <w:p w14:paraId="52FAED70" w14:textId="77777777" w:rsidR="007968EC" w:rsidRPr="002C0D19" w:rsidRDefault="007968EC" w:rsidP="007968EC">
      <w:pPr>
        <w:rPr>
          <w:rFonts w:ascii="Arial Narrow" w:hAnsi="Arial Narrow" w:cs="Arial"/>
          <w:b/>
          <w:color w:val="000000" w:themeColor="text1"/>
          <w:lang w:val="fr-FR" w:eastAsia="es-ES"/>
        </w:rPr>
      </w:pPr>
    </w:p>
    <w:p w14:paraId="7F73BC1F" w14:textId="77777777" w:rsidR="007968EC" w:rsidRPr="002C0D19" w:rsidRDefault="007968EC" w:rsidP="007968EC">
      <w:pPr>
        <w:rPr>
          <w:rFonts w:ascii="Arial Narrow" w:hAnsi="Arial Narrow" w:cs="Arial"/>
          <w:b/>
          <w:color w:val="000000" w:themeColor="text1"/>
          <w:lang w:val="fr-FR" w:eastAsia="es-ES"/>
        </w:rPr>
      </w:pPr>
    </w:p>
    <w:p w14:paraId="1604FAAF" w14:textId="77777777" w:rsidR="007968EC" w:rsidRPr="002C0D19" w:rsidRDefault="007968EC" w:rsidP="007968EC">
      <w:pPr>
        <w:rPr>
          <w:rFonts w:ascii="Arial Narrow" w:hAnsi="Arial Narrow" w:cs="Arial"/>
          <w:b/>
          <w:color w:val="000000" w:themeColor="text1"/>
          <w:lang w:val="fr-FR" w:eastAsia="es-ES"/>
        </w:rPr>
      </w:pPr>
    </w:p>
    <w:p w14:paraId="5811C425" w14:textId="77777777" w:rsidR="007968EC" w:rsidRPr="002C0D19" w:rsidRDefault="007968EC" w:rsidP="007968EC">
      <w:pPr>
        <w:rPr>
          <w:rFonts w:ascii="Arial Narrow" w:hAnsi="Arial Narrow" w:cs="Arial"/>
          <w:b/>
          <w:color w:val="000000" w:themeColor="text1"/>
          <w:lang w:val="fr-FR" w:eastAsia="es-ES"/>
        </w:rPr>
      </w:pPr>
    </w:p>
    <w:p w14:paraId="3C9E9E9A" w14:textId="77777777" w:rsidR="007968EC" w:rsidRPr="002C0D19" w:rsidRDefault="007968EC" w:rsidP="007968EC">
      <w:pPr>
        <w:rPr>
          <w:rFonts w:ascii="Arial Narrow" w:hAnsi="Arial Narrow" w:cs="Arial"/>
          <w:b/>
          <w:color w:val="000000" w:themeColor="text1"/>
          <w:lang w:val="fr-FR" w:eastAsia="es-ES"/>
        </w:rPr>
      </w:pPr>
    </w:p>
    <w:p w14:paraId="2C3747A6" w14:textId="77777777" w:rsidR="007968EC" w:rsidRPr="002C0D19" w:rsidRDefault="007968EC" w:rsidP="007968EC">
      <w:pPr>
        <w:rPr>
          <w:rFonts w:ascii="Arial Narrow" w:hAnsi="Arial Narrow" w:cs="Arial"/>
          <w:b/>
          <w:color w:val="000000" w:themeColor="text1"/>
          <w:lang w:val="fr-FR" w:eastAsia="es-ES"/>
        </w:rPr>
      </w:pPr>
    </w:p>
    <w:p w14:paraId="5FC46CA4" w14:textId="77777777" w:rsidR="007968EC" w:rsidRPr="002C0D19" w:rsidRDefault="007968EC" w:rsidP="007968EC">
      <w:pPr>
        <w:rPr>
          <w:rFonts w:ascii="Arial Narrow" w:hAnsi="Arial Narrow" w:cs="Arial"/>
          <w:b/>
          <w:color w:val="000000" w:themeColor="text1"/>
          <w:lang w:val="fr-FR" w:eastAsia="es-ES"/>
        </w:rPr>
      </w:pPr>
    </w:p>
    <w:p w14:paraId="0D88B868" w14:textId="77777777" w:rsidR="007968EC" w:rsidRPr="002C0D19" w:rsidRDefault="007968EC" w:rsidP="007968EC">
      <w:pPr>
        <w:rPr>
          <w:rFonts w:ascii="Arial Narrow" w:hAnsi="Arial Narrow" w:cs="Arial"/>
          <w:b/>
          <w:i/>
          <w:color w:val="000000" w:themeColor="text1"/>
          <w:lang w:val="es-ES" w:eastAsia="es-ES"/>
        </w:rPr>
      </w:pPr>
      <w:r w:rsidRPr="002C0D19">
        <w:rPr>
          <w:rFonts w:ascii="Arial Narrow" w:hAnsi="Arial Narrow" w:cs="Arial"/>
          <w:b/>
          <w:i/>
          <w:color w:val="000000" w:themeColor="text1"/>
          <w:lang w:val="es-ES" w:eastAsia="es-ES"/>
        </w:rPr>
        <w:br w:type="page"/>
      </w:r>
    </w:p>
    <w:p w14:paraId="511725AD" w14:textId="77777777" w:rsidR="007968EC" w:rsidRDefault="007968EC" w:rsidP="007968EC">
      <w:pPr>
        <w:autoSpaceDE w:val="0"/>
        <w:autoSpaceDN w:val="0"/>
        <w:adjustRightInd w:val="0"/>
        <w:rPr>
          <w:rFonts w:ascii="Arial Narrow" w:hAnsi="Arial Narrow" w:cs="Arial"/>
          <w:b/>
          <w:i/>
          <w:color w:val="000000" w:themeColor="text1"/>
          <w:lang w:val="es-ES" w:eastAsia="es-ES"/>
        </w:rPr>
      </w:pPr>
      <w:r w:rsidRPr="002C0D19">
        <w:rPr>
          <w:rFonts w:ascii="Arial Narrow" w:hAnsi="Arial Narrow" w:cs="Arial"/>
          <w:b/>
          <w:i/>
          <w:color w:val="000000" w:themeColor="text1"/>
          <w:lang w:val="es-ES" w:eastAsia="es-ES"/>
        </w:rPr>
        <w:lastRenderedPageBreak/>
        <w:t xml:space="preserve">ANEXO 24.2 Modelo de Oferta de Servicios para la realización de </w:t>
      </w:r>
      <w:proofErr w:type="spellStart"/>
      <w:r w:rsidRPr="002C0D19">
        <w:rPr>
          <w:rFonts w:ascii="Arial Narrow" w:hAnsi="Arial Narrow" w:cs="Arial"/>
          <w:b/>
          <w:i/>
          <w:color w:val="000000" w:themeColor="text1"/>
          <w:lang w:val="es-ES" w:eastAsia="es-ES"/>
        </w:rPr>
        <w:t>Give</w:t>
      </w:r>
      <w:proofErr w:type="spellEnd"/>
      <w:r w:rsidRPr="002C0D19">
        <w:rPr>
          <w:rFonts w:ascii="Arial Narrow" w:hAnsi="Arial Narrow" w:cs="Arial"/>
          <w:b/>
          <w:i/>
          <w:color w:val="000000" w:themeColor="text1"/>
          <w:lang w:val="es-ES" w:eastAsia="es-ES"/>
        </w:rPr>
        <w:t xml:space="preserve">-Up entre un Miembro y un Tercero ante la Cámara </w:t>
      </w:r>
    </w:p>
    <w:p w14:paraId="000D4B06" w14:textId="77777777" w:rsidR="001434C9" w:rsidRDefault="001434C9" w:rsidP="007968EC">
      <w:pPr>
        <w:autoSpaceDE w:val="0"/>
        <w:autoSpaceDN w:val="0"/>
        <w:adjustRightInd w:val="0"/>
        <w:rPr>
          <w:rFonts w:ascii="Arial Narrow" w:hAnsi="Arial Narrow" w:cs="Arial"/>
          <w:b/>
          <w:i/>
          <w:color w:val="000000" w:themeColor="text1"/>
          <w:lang w:val="es-ES" w:eastAsia="es-ES"/>
        </w:rPr>
      </w:pPr>
    </w:p>
    <w:p w14:paraId="1903CB3F" w14:textId="77777777" w:rsidR="001434C9" w:rsidRPr="002C0D19" w:rsidRDefault="001434C9" w:rsidP="007968EC">
      <w:pPr>
        <w:autoSpaceDE w:val="0"/>
        <w:autoSpaceDN w:val="0"/>
        <w:adjustRightInd w:val="0"/>
        <w:rPr>
          <w:rFonts w:ascii="Arial Narrow" w:hAnsi="Arial Narrow" w:cs="Arial"/>
          <w:b/>
          <w:i/>
          <w:color w:val="000000" w:themeColor="text1"/>
          <w:lang w:val="es-ES" w:eastAsia="es-ES"/>
        </w:rPr>
      </w:pPr>
      <w:r w:rsidRPr="001434C9">
        <w:rPr>
          <w:rFonts w:ascii="Arial Narrow" w:hAnsi="Arial Narrow" w:cs="Arial"/>
          <w:b/>
          <w:bCs/>
          <w:i/>
          <w:iCs/>
          <w:color w:val="000000" w:themeColor="text1"/>
          <w:lang w:val="es-ES" w:eastAsia="es-ES"/>
        </w:rPr>
        <w:t xml:space="preserve">(Este anexo fue modificado mediante Circular </w:t>
      </w:r>
      <w:r>
        <w:rPr>
          <w:rFonts w:ascii="Arial Narrow" w:hAnsi="Arial Narrow" w:cs="Arial"/>
          <w:b/>
          <w:bCs/>
          <w:i/>
          <w:iCs/>
          <w:color w:val="000000" w:themeColor="text1"/>
          <w:lang w:val="es-ES" w:eastAsia="es-ES"/>
        </w:rPr>
        <w:t>2</w:t>
      </w:r>
      <w:r w:rsidRPr="001434C9">
        <w:rPr>
          <w:rFonts w:ascii="Arial Narrow" w:hAnsi="Arial Narrow" w:cs="Arial"/>
          <w:b/>
          <w:bCs/>
          <w:i/>
          <w:iCs/>
          <w:color w:val="000000" w:themeColor="text1"/>
          <w:lang w:val="es-ES" w:eastAsia="es-ES"/>
        </w:rPr>
        <w:t xml:space="preserve"> del </w:t>
      </w:r>
      <w:r>
        <w:rPr>
          <w:rFonts w:ascii="Arial Narrow" w:hAnsi="Arial Narrow" w:cs="Arial"/>
          <w:b/>
          <w:bCs/>
          <w:i/>
          <w:iCs/>
          <w:color w:val="000000" w:themeColor="text1"/>
          <w:lang w:val="es-ES" w:eastAsia="es-ES"/>
        </w:rPr>
        <w:t>29</w:t>
      </w:r>
      <w:r w:rsidRPr="001434C9">
        <w:rPr>
          <w:rFonts w:ascii="Arial Narrow" w:hAnsi="Arial Narrow" w:cs="Arial"/>
          <w:b/>
          <w:bCs/>
          <w:i/>
          <w:iCs/>
          <w:color w:val="000000" w:themeColor="text1"/>
          <w:lang w:val="es-ES" w:eastAsia="es-ES"/>
        </w:rPr>
        <w:t xml:space="preserve"> de </w:t>
      </w:r>
      <w:r>
        <w:rPr>
          <w:rFonts w:ascii="Arial Narrow" w:hAnsi="Arial Narrow" w:cs="Arial"/>
          <w:b/>
          <w:bCs/>
          <w:i/>
          <w:iCs/>
          <w:color w:val="000000" w:themeColor="text1"/>
          <w:lang w:val="es-ES" w:eastAsia="es-ES"/>
        </w:rPr>
        <w:t>ener</w:t>
      </w:r>
      <w:r w:rsidRPr="001434C9">
        <w:rPr>
          <w:rFonts w:ascii="Arial Narrow" w:hAnsi="Arial Narrow" w:cs="Arial"/>
          <w:b/>
          <w:bCs/>
          <w:i/>
          <w:iCs/>
          <w:color w:val="000000" w:themeColor="text1"/>
          <w:lang w:val="es-ES" w:eastAsia="es-ES"/>
        </w:rPr>
        <w:t>o de 20</w:t>
      </w:r>
      <w:r>
        <w:rPr>
          <w:rFonts w:ascii="Arial Narrow" w:hAnsi="Arial Narrow" w:cs="Arial"/>
          <w:b/>
          <w:bCs/>
          <w:i/>
          <w:iCs/>
          <w:color w:val="000000" w:themeColor="text1"/>
          <w:lang w:val="es-ES" w:eastAsia="es-ES"/>
        </w:rPr>
        <w:t>20</w:t>
      </w:r>
      <w:r w:rsidRPr="001434C9">
        <w:rPr>
          <w:rFonts w:ascii="Arial Narrow" w:hAnsi="Arial Narrow" w:cs="Arial"/>
          <w:b/>
          <w:bCs/>
          <w:i/>
          <w:iCs/>
          <w:color w:val="000000" w:themeColor="text1"/>
          <w:lang w:val="es-ES" w:eastAsia="es-ES"/>
        </w:rPr>
        <w:t>, publicada en el Boletín Normativo No. 00</w:t>
      </w:r>
      <w:r>
        <w:rPr>
          <w:rFonts w:ascii="Arial Narrow" w:hAnsi="Arial Narrow" w:cs="Arial"/>
          <w:b/>
          <w:bCs/>
          <w:i/>
          <w:iCs/>
          <w:color w:val="000000" w:themeColor="text1"/>
          <w:lang w:val="es-ES" w:eastAsia="es-ES"/>
        </w:rPr>
        <w:t>2</w:t>
      </w:r>
      <w:r w:rsidRPr="001434C9">
        <w:rPr>
          <w:rFonts w:ascii="Arial Narrow" w:hAnsi="Arial Narrow" w:cs="Arial"/>
          <w:b/>
          <w:bCs/>
          <w:i/>
          <w:iCs/>
          <w:color w:val="000000" w:themeColor="text1"/>
          <w:lang w:val="es-ES" w:eastAsia="es-ES"/>
        </w:rPr>
        <w:t xml:space="preserve"> del </w:t>
      </w:r>
      <w:r>
        <w:rPr>
          <w:rFonts w:ascii="Arial Narrow" w:hAnsi="Arial Narrow" w:cs="Arial"/>
          <w:b/>
          <w:bCs/>
          <w:i/>
          <w:iCs/>
          <w:color w:val="000000" w:themeColor="text1"/>
          <w:lang w:val="es-ES" w:eastAsia="es-ES"/>
        </w:rPr>
        <w:t>29</w:t>
      </w:r>
      <w:r w:rsidRPr="001434C9">
        <w:rPr>
          <w:rFonts w:ascii="Arial Narrow" w:hAnsi="Arial Narrow" w:cs="Arial"/>
          <w:b/>
          <w:bCs/>
          <w:i/>
          <w:iCs/>
          <w:color w:val="000000" w:themeColor="text1"/>
          <w:lang w:val="es-ES" w:eastAsia="es-ES"/>
        </w:rPr>
        <w:t xml:space="preserve"> de </w:t>
      </w:r>
      <w:r>
        <w:rPr>
          <w:rFonts w:ascii="Arial Narrow" w:hAnsi="Arial Narrow" w:cs="Arial"/>
          <w:b/>
          <w:bCs/>
          <w:i/>
          <w:iCs/>
          <w:color w:val="000000" w:themeColor="text1"/>
          <w:lang w:val="es-ES" w:eastAsia="es-ES"/>
        </w:rPr>
        <w:t>ener</w:t>
      </w:r>
      <w:r w:rsidRPr="001434C9">
        <w:rPr>
          <w:rFonts w:ascii="Arial Narrow" w:hAnsi="Arial Narrow" w:cs="Arial"/>
          <w:b/>
          <w:bCs/>
          <w:i/>
          <w:iCs/>
          <w:color w:val="000000" w:themeColor="text1"/>
          <w:lang w:val="es-ES" w:eastAsia="es-ES"/>
        </w:rPr>
        <w:t>o de 20</w:t>
      </w:r>
      <w:r>
        <w:rPr>
          <w:rFonts w:ascii="Arial Narrow" w:hAnsi="Arial Narrow" w:cs="Arial"/>
          <w:b/>
          <w:bCs/>
          <w:i/>
          <w:iCs/>
          <w:color w:val="000000" w:themeColor="text1"/>
          <w:lang w:val="es-ES" w:eastAsia="es-ES"/>
        </w:rPr>
        <w:t>20</w:t>
      </w:r>
      <w:r w:rsidRPr="001434C9">
        <w:rPr>
          <w:rFonts w:ascii="Arial Narrow" w:hAnsi="Arial Narrow" w:cs="Arial"/>
          <w:b/>
          <w:bCs/>
          <w:i/>
          <w:iCs/>
          <w:color w:val="000000" w:themeColor="text1"/>
          <w:lang w:val="es-ES" w:eastAsia="es-ES"/>
        </w:rPr>
        <w:t xml:space="preserve">. Rige a partir del </w:t>
      </w:r>
      <w:r>
        <w:rPr>
          <w:rFonts w:ascii="Arial Narrow" w:hAnsi="Arial Narrow" w:cs="Arial"/>
          <w:b/>
          <w:bCs/>
          <w:i/>
          <w:iCs/>
          <w:color w:val="000000" w:themeColor="text1"/>
          <w:lang w:val="es-ES" w:eastAsia="es-ES"/>
        </w:rPr>
        <w:t>3</w:t>
      </w:r>
      <w:r w:rsidRPr="001434C9">
        <w:rPr>
          <w:rFonts w:ascii="Arial Narrow" w:hAnsi="Arial Narrow" w:cs="Arial"/>
          <w:b/>
          <w:bCs/>
          <w:i/>
          <w:iCs/>
          <w:color w:val="000000" w:themeColor="text1"/>
          <w:lang w:val="es-ES" w:eastAsia="es-ES"/>
        </w:rPr>
        <w:t xml:space="preserve"> de </w:t>
      </w:r>
      <w:r>
        <w:rPr>
          <w:rFonts w:ascii="Arial Narrow" w:hAnsi="Arial Narrow" w:cs="Arial"/>
          <w:b/>
          <w:bCs/>
          <w:i/>
          <w:iCs/>
          <w:color w:val="000000" w:themeColor="text1"/>
          <w:lang w:val="es-ES" w:eastAsia="es-ES"/>
        </w:rPr>
        <w:t>febrer</w:t>
      </w:r>
      <w:r w:rsidRPr="001434C9">
        <w:rPr>
          <w:rFonts w:ascii="Arial Narrow" w:hAnsi="Arial Narrow" w:cs="Arial"/>
          <w:b/>
          <w:bCs/>
          <w:i/>
          <w:iCs/>
          <w:color w:val="000000" w:themeColor="text1"/>
          <w:lang w:val="es-ES" w:eastAsia="es-ES"/>
        </w:rPr>
        <w:t>o de 20</w:t>
      </w:r>
      <w:r>
        <w:rPr>
          <w:rFonts w:ascii="Arial Narrow" w:hAnsi="Arial Narrow" w:cs="Arial"/>
          <w:b/>
          <w:bCs/>
          <w:i/>
          <w:iCs/>
          <w:color w:val="000000" w:themeColor="text1"/>
          <w:lang w:val="es-ES" w:eastAsia="es-ES"/>
        </w:rPr>
        <w:t>20</w:t>
      </w:r>
      <w:r w:rsidRPr="001434C9">
        <w:rPr>
          <w:rFonts w:ascii="Arial Narrow" w:hAnsi="Arial Narrow" w:cs="Arial"/>
          <w:b/>
          <w:bCs/>
          <w:color w:val="000000" w:themeColor="text1"/>
          <w:lang w:val="es-ES" w:eastAsia="es-ES"/>
        </w:rPr>
        <w:t>.)</w:t>
      </w:r>
    </w:p>
    <w:p w14:paraId="4198EDDB" w14:textId="77777777" w:rsidR="007968EC" w:rsidRPr="002C0D19" w:rsidRDefault="007968EC" w:rsidP="007968EC">
      <w:pPr>
        <w:autoSpaceDE w:val="0"/>
        <w:autoSpaceDN w:val="0"/>
        <w:adjustRightInd w:val="0"/>
        <w:jc w:val="center"/>
        <w:rPr>
          <w:rFonts w:ascii="Arial Narrow" w:hAnsi="Arial Narrow" w:cs="Arial"/>
          <w:b/>
          <w:i/>
          <w:color w:val="000000" w:themeColor="text1"/>
          <w:lang w:val="es-ES" w:eastAsia="es-ES"/>
        </w:rPr>
      </w:pPr>
    </w:p>
    <w:p w14:paraId="22E9B402" w14:textId="77777777" w:rsidR="007968EC" w:rsidRPr="002C0D19" w:rsidRDefault="007968EC" w:rsidP="007968EC">
      <w:pPr>
        <w:jc w:val="center"/>
        <w:rPr>
          <w:rFonts w:ascii="Arial Narrow" w:hAnsi="Arial Narrow" w:cs="Arial"/>
          <w:b/>
          <w:bCs/>
          <w:color w:val="000000" w:themeColor="text1"/>
          <w:lang w:eastAsia="es-ES"/>
        </w:rPr>
      </w:pPr>
      <w:r w:rsidRPr="002C0D19">
        <w:rPr>
          <w:rFonts w:ascii="Arial Narrow" w:hAnsi="Arial Narrow" w:cs="Arial"/>
          <w:b/>
          <w:bCs/>
          <w:color w:val="000000" w:themeColor="text1"/>
          <w:lang w:eastAsia="es-ES"/>
        </w:rPr>
        <w:t xml:space="preserve">OFERTA DE SERVICIOS PARA LA REALIZACION DE </w:t>
      </w:r>
      <w:r w:rsidRPr="002C0D19">
        <w:rPr>
          <w:rFonts w:ascii="Arial Narrow" w:hAnsi="Arial Narrow" w:cs="Arial"/>
          <w:b/>
          <w:bCs/>
          <w:i/>
          <w:color w:val="000000" w:themeColor="text1"/>
          <w:lang w:eastAsia="es-ES"/>
        </w:rPr>
        <w:t>GIVE-UP</w:t>
      </w:r>
      <w:r w:rsidRPr="002C0D19">
        <w:rPr>
          <w:rFonts w:ascii="Arial Narrow" w:hAnsi="Arial Narrow" w:cs="Arial"/>
          <w:b/>
          <w:bCs/>
          <w:color w:val="000000" w:themeColor="text1"/>
          <w:lang w:eastAsia="es-ES"/>
        </w:rPr>
        <w:t xml:space="preserve"> ANTE LA CÁMARA DE RIESGO CENTRAL DE CONTRAPARTE DE COLOMBIA S.A. – CRCC S.A. </w:t>
      </w:r>
    </w:p>
    <w:p w14:paraId="7AAB82FF" w14:textId="77777777" w:rsidR="007968EC" w:rsidRPr="002C0D19" w:rsidRDefault="007968EC" w:rsidP="007968EC">
      <w:pPr>
        <w:rPr>
          <w:rFonts w:ascii="Arial Narrow" w:hAnsi="Arial Narrow" w:cs="Arial"/>
          <w:b/>
          <w:bCs/>
          <w:i/>
          <w:color w:val="000000" w:themeColor="text1"/>
          <w:lang w:eastAsia="es-ES"/>
        </w:rPr>
      </w:pPr>
    </w:p>
    <w:p w14:paraId="20CD5B69" w14:textId="77777777" w:rsidR="007968EC" w:rsidRPr="002C0D19" w:rsidRDefault="007968EC" w:rsidP="007968EC">
      <w:pPr>
        <w:jc w:val="both"/>
        <w:rPr>
          <w:rFonts w:ascii="Arial Narrow" w:hAnsi="Arial Narrow" w:cs="Arial"/>
          <w:color w:val="000000" w:themeColor="text1"/>
          <w:lang w:val="es-ES" w:eastAsia="es-ES"/>
        </w:rPr>
      </w:pPr>
    </w:p>
    <w:p w14:paraId="01389ED8"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Esta Oferta de Servicios para que un Miembro realice</w:t>
      </w:r>
      <w:r w:rsidRPr="002C0D19">
        <w:rPr>
          <w:rFonts w:ascii="Arial Narrow" w:hAnsi="Arial Narrow" w:cs="Arial"/>
          <w:color w:val="000000" w:themeColor="text1"/>
          <w:lang w:eastAsia="es-ES"/>
        </w:rPr>
        <w:t xml:space="preserve"> traslados de una Operación Aceptada de una Cuenta de un Tercero a otra cuenta de Tercero en otro Miembro dentro de un mismo Segmento, en adelante</w:t>
      </w:r>
      <w:r w:rsidRPr="002C0D19">
        <w:rPr>
          <w:rFonts w:ascii="Arial Narrow" w:hAnsi="Arial Narrow" w:cs="Arial"/>
          <w:color w:val="000000" w:themeColor="text1"/>
          <w:lang w:val="es-ES" w:eastAsia="es-ES"/>
        </w:rPr>
        <w:t xml:space="preserve"> </w:t>
      </w:r>
      <w:proofErr w:type="spellStart"/>
      <w:r w:rsidRPr="002C0D19">
        <w:rPr>
          <w:rFonts w:ascii="Arial Narrow" w:hAnsi="Arial Narrow" w:cs="Arial"/>
          <w:i/>
          <w:color w:val="000000" w:themeColor="text1"/>
          <w:lang w:val="es-ES" w:eastAsia="es-ES"/>
        </w:rPr>
        <w:t>Give</w:t>
      </w:r>
      <w:proofErr w:type="spellEnd"/>
      <w:r w:rsidRPr="002C0D19">
        <w:rPr>
          <w:rFonts w:ascii="Arial Narrow" w:hAnsi="Arial Narrow" w:cs="Arial"/>
          <w:i/>
          <w:color w:val="000000" w:themeColor="text1"/>
          <w:lang w:val="es-ES" w:eastAsia="es-ES"/>
        </w:rPr>
        <w:t>-Up,</w:t>
      </w:r>
      <w:r w:rsidRPr="002C0D19">
        <w:rPr>
          <w:rFonts w:ascii="Arial Narrow" w:hAnsi="Arial Narrow" w:cs="Arial"/>
          <w:color w:val="000000" w:themeColor="text1"/>
          <w:lang w:val="es-ES" w:eastAsia="es-ES"/>
        </w:rPr>
        <w:t xml:space="preserve"> ante la Cámara de Riesgo Central de Contraparte de Colombia S.A. – CRCC S.A., en adelante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se somete por _____________________, en adelante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a consideración de __________________________________, en adelante </w:t>
      </w:r>
      <w:r w:rsidRPr="002C0D19">
        <w:rPr>
          <w:rFonts w:ascii="Arial Narrow" w:hAnsi="Arial Narrow" w:cs="Arial"/>
          <w:b/>
          <w:color w:val="000000" w:themeColor="text1"/>
          <w:lang w:val="es-ES" w:eastAsia="es-ES"/>
        </w:rPr>
        <w:t>EL TERCERO</w:t>
      </w:r>
      <w:r w:rsidRPr="002C0D19">
        <w:rPr>
          <w:rFonts w:ascii="Arial Narrow" w:hAnsi="Arial Narrow" w:cs="Arial"/>
          <w:color w:val="000000" w:themeColor="text1"/>
          <w:lang w:val="es-ES" w:eastAsia="es-ES"/>
        </w:rPr>
        <w:t>.</w:t>
      </w:r>
    </w:p>
    <w:p w14:paraId="743273D2" w14:textId="77777777" w:rsidR="007968EC" w:rsidRPr="002C0D19" w:rsidRDefault="007968EC" w:rsidP="007968EC">
      <w:pPr>
        <w:jc w:val="both"/>
        <w:rPr>
          <w:rFonts w:ascii="Arial Narrow" w:hAnsi="Arial Narrow" w:cs="Arial"/>
          <w:color w:val="000000" w:themeColor="text1"/>
          <w:lang w:val="es-ES" w:eastAsia="es-ES"/>
        </w:rPr>
      </w:pPr>
    </w:p>
    <w:p w14:paraId="4E9237B3" w14:textId="77777777" w:rsidR="007968EC" w:rsidRPr="002C0D19" w:rsidRDefault="007968EC" w:rsidP="007968EC">
      <w:pPr>
        <w:jc w:val="center"/>
        <w:rPr>
          <w:rFonts w:ascii="Arial Narrow" w:hAnsi="Arial Narrow" w:cs="Arial"/>
          <w:b/>
          <w:iCs/>
          <w:color w:val="000000" w:themeColor="text1"/>
          <w:lang w:val="es-ES" w:eastAsia="es-ES"/>
        </w:rPr>
      </w:pPr>
      <w:r w:rsidRPr="002C0D19">
        <w:rPr>
          <w:rFonts w:ascii="Arial Narrow" w:hAnsi="Arial Narrow" w:cs="Arial"/>
          <w:b/>
          <w:iCs/>
          <w:color w:val="000000" w:themeColor="text1"/>
          <w:lang w:val="es-ES" w:eastAsia="es-ES"/>
        </w:rPr>
        <w:t>TÉRMINOS Y CONDICIONES DE LA OFERTA</w:t>
      </w:r>
    </w:p>
    <w:p w14:paraId="5A6FAF82" w14:textId="77777777" w:rsidR="007968EC" w:rsidRPr="002C0D19" w:rsidRDefault="007968EC" w:rsidP="007968EC">
      <w:pPr>
        <w:jc w:val="center"/>
        <w:rPr>
          <w:rFonts w:ascii="Arial Narrow" w:hAnsi="Arial Narrow" w:cs="Arial"/>
          <w:b/>
          <w:color w:val="000000" w:themeColor="text1"/>
          <w:lang w:val="es-ES" w:eastAsia="es-ES"/>
        </w:rPr>
      </w:pPr>
    </w:p>
    <w:p w14:paraId="09ACF422" w14:textId="77777777" w:rsidR="007968EC" w:rsidRPr="002C0D19" w:rsidRDefault="007968EC" w:rsidP="007968EC">
      <w:pPr>
        <w:jc w:val="both"/>
        <w:rPr>
          <w:rFonts w:ascii="Arial Narrow" w:hAnsi="Arial Narrow" w:cs="Arial"/>
          <w:b/>
          <w:bCs/>
          <w:color w:val="000000" w:themeColor="text1"/>
          <w:u w:val="single"/>
          <w:lang w:val="es-ES" w:eastAsia="es-ES"/>
        </w:rPr>
      </w:pPr>
      <w:r w:rsidRPr="002C0D19">
        <w:rPr>
          <w:rFonts w:ascii="Arial Narrow" w:hAnsi="Arial Narrow" w:cs="Arial"/>
          <w:b/>
          <w:bCs/>
          <w:color w:val="000000" w:themeColor="text1"/>
          <w:u w:val="single"/>
          <w:lang w:val="es-ES" w:eastAsia="es-ES"/>
        </w:rPr>
        <w:t>PRIMERA. Objeto.</w:t>
      </w:r>
      <w:r w:rsidRPr="002C0D19">
        <w:rPr>
          <w:rFonts w:ascii="Arial Narrow" w:hAnsi="Arial Narrow" w:cs="Arial"/>
          <w:color w:val="000000" w:themeColor="text1"/>
          <w:lang w:val="es-ES" w:eastAsia="es-ES"/>
        </w:rPr>
        <w:t xml:space="preserve"> En virtud de la aceptación de la presente Oferta de Servicios, </w:t>
      </w:r>
      <w:r w:rsidRPr="002C0D19">
        <w:rPr>
          <w:rFonts w:ascii="Arial Narrow" w:hAnsi="Arial Narrow" w:cs="Arial"/>
          <w:b/>
          <w:color w:val="000000" w:themeColor="text1"/>
          <w:lang w:val="es-ES" w:eastAsia="es-ES"/>
        </w:rPr>
        <w:t xml:space="preserve">EL TERCERO </w:t>
      </w:r>
      <w:r w:rsidRPr="002C0D19">
        <w:rPr>
          <w:rFonts w:ascii="Arial Narrow" w:hAnsi="Arial Narrow" w:cs="Arial"/>
          <w:color w:val="000000" w:themeColor="text1"/>
          <w:lang w:val="es-ES" w:eastAsia="es-ES"/>
        </w:rPr>
        <w:t xml:space="preserve">y </w:t>
      </w:r>
      <w:r w:rsidRPr="002C0D19">
        <w:rPr>
          <w:rFonts w:ascii="Arial Narrow" w:hAnsi="Arial Narrow" w:cs="Arial"/>
          <w:b/>
          <w:color w:val="000000" w:themeColor="text1"/>
          <w:lang w:val="es-ES" w:eastAsia="es-ES"/>
        </w:rPr>
        <w:t xml:space="preserve">EL MIEMBRO </w:t>
      </w:r>
      <w:r w:rsidRPr="002C0D19">
        <w:rPr>
          <w:rFonts w:ascii="Arial Narrow" w:hAnsi="Arial Narrow" w:cs="Arial"/>
          <w:color w:val="000000" w:themeColor="text1"/>
          <w:lang w:val="es-ES" w:eastAsia="es-ES"/>
        </w:rPr>
        <w:t xml:space="preserve">aceptan que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realice </w:t>
      </w:r>
      <w:proofErr w:type="spellStart"/>
      <w:r w:rsidRPr="002C0D19">
        <w:rPr>
          <w:rFonts w:ascii="Arial Narrow" w:hAnsi="Arial Narrow" w:cs="Arial"/>
          <w:i/>
          <w:color w:val="000000" w:themeColor="text1"/>
          <w:lang w:val="es-ES" w:eastAsia="es-ES"/>
        </w:rPr>
        <w:t>Give</w:t>
      </w:r>
      <w:proofErr w:type="spellEnd"/>
      <w:r w:rsidRPr="002C0D19">
        <w:rPr>
          <w:rFonts w:ascii="Arial Narrow" w:hAnsi="Arial Narrow" w:cs="Arial"/>
          <w:i/>
          <w:color w:val="000000" w:themeColor="text1"/>
          <w:lang w:val="es-ES" w:eastAsia="es-ES"/>
        </w:rPr>
        <w:t>-Up</w:t>
      </w:r>
      <w:r w:rsidRPr="002C0D19">
        <w:rPr>
          <w:rFonts w:ascii="Arial Narrow" w:hAnsi="Arial Narrow" w:cs="Arial"/>
          <w:color w:val="000000" w:themeColor="text1"/>
          <w:lang w:val="es-ES" w:eastAsia="es-ES"/>
        </w:rPr>
        <w:t xml:space="preserve"> de </w:t>
      </w:r>
      <w:r w:rsidRPr="002C0D19">
        <w:rPr>
          <w:rFonts w:ascii="Arial Narrow" w:hAnsi="Arial Narrow" w:cs="Arial"/>
          <w:color w:val="000000" w:themeColor="text1"/>
          <w:lang w:eastAsia="es-ES"/>
        </w:rPr>
        <w:t xml:space="preserve">Operaciones Aceptadas desde y hacia la Cuenta de un </w:t>
      </w:r>
      <w:r w:rsidRPr="002C0D19">
        <w:rPr>
          <w:rFonts w:ascii="Arial Narrow" w:hAnsi="Arial Narrow" w:cs="Arial"/>
          <w:b/>
          <w:color w:val="000000" w:themeColor="text1"/>
          <w:lang w:val="es-ES" w:eastAsia="es-ES"/>
        </w:rPr>
        <w:t>TERCERO</w:t>
      </w:r>
      <w:r w:rsidRPr="002C0D19">
        <w:rPr>
          <w:rFonts w:ascii="Arial Narrow" w:hAnsi="Arial Narrow" w:cs="Arial"/>
          <w:color w:val="000000" w:themeColor="text1"/>
          <w:lang w:eastAsia="es-ES"/>
        </w:rPr>
        <w:t xml:space="preserve"> </w:t>
      </w:r>
      <w:r w:rsidRPr="002C0D19">
        <w:rPr>
          <w:rFonts w:ascii="Arial Narrow" w:hAnsi="Arial Narrow" w:cs="Arial"/>
          <w:color w:val="000000" w:themeColor="text1"/>
          <w:lang w:val="es-ES" w:eastAsia="es-ES"/>
        </w:rPr>
        <w:t xml:space="preserve">ante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eastAsia="es-ES"/>
        </w:rPr>
        <w:t>dentro de un mismo Segmento</w:t>
      </w:r>
      <w:r w:rsidRPr="002C0D19">
        <w:rPr>
          <w:rFonts w:ascii="Arial Narrow" w:hAnsi="Arial Narrow" w:cs="Arial"/>
          <w:color w:val="000000" w:themeColor="text1"/>
          <w:lang w:val="es-ES" w:eastAsia="es-ES"/>
        </w:rPr>
        <w:t xml:space="preserve">, de conformidad con los términos y condiciones establecidos en el Reglamento de Funcionamiento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en adelante el “Reglamento”, en la Circular de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 xml:space="preserve">en adelante la “Circular” y en los Convenios celebrados entre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y otros Miembros que realizan los </w:t>
      </w:r>
      <w:proofErr w:type="spellStart"/>
      <w:r w:rsidRPr="002C0D19">
        <w:rPr>
          <w:rFonts w:ascii="Arial Narrow" w:hAnsi="Arial Narrow" w:cs="Arial"/>
          <w:i/>
          <w:color w:val="000000" w:themeColor="text1"/>
          <w:lang w:val="es-ES" w:eastAsia="es-ES"/>
        </w:rPr>
        <w:t>Give</w:t>
      </w:r>
      <w:proofErr w:type="spellEnd"/>
      <w:r w:rsidRPr="002C0D19">
        <w:rPr>
          <w:rFonts w:ascii="Arial Narrow" w:hAnsi="Arial Narrow" w:cs="Arial"/>
          <w:i/>
          <w:color w:val="000000" w:themeColor="text1"/>
          <w:lang w:val="es-ES" w:eastAsia="es-ES"/>
        </w:rPr>
        <w:t>-Up</w:t>
      </w:r>
      <w:r w:rsidRPr="002C0D19">
        <w:rPr>
          <w:rFonts w:ascii="Arial Narrow" w:hAnsi="Arial Narrow" w:cs="Arial"/>
          <w:color w:val="000000" w:themeColor="text1"/>
          <w:lang w:val="es-ES" w:eastAsia="es-ES"/>
        </w:rPr>
        <w:t>.</w:t>
      </w:r>
    </w:p>
    <w:p w14:paraId="4B1E7107" w14:textId="77777777" w:rsidR="007968EC" w:rsidRPr="002C0D19" w:rsidRDefault="007968EC" w:rsidP="007968EC">
      <w:pPr>
        <w:ind w:right="20"/>
        <w:jc w:val="both"/>
        <w:rPr>
          <w:rFonts w:ascii="Arial Narrow" w:hAnsi="Arial Narrow" w:cs="Arial"/>
          <w:b/>
          <w:color w:val="000000" w:themeColor="text1"/>
          <w:lang w:val="es-ES" w:eastAsia="es-ES"/>
        </w:rPr>
      </w:pPr>
    </w:p>
    <w:p w14:paraId="69E2E79E" w14:textId="77777777" w:rsidR="007968EC" w:rsidRPr="002C0D19" w:rsidRDefault="007968EC" w:rsidP="007968EC">
      <w:pPr>
        <w:ind w:right="20"/>
        <w:jc w:val="both"/>
        <w:rPr>
          <w:rFonts w:ascii="Arial Narrow" w:hAnsi="Arial Narrow" w:cs="Arial"/>
          <w:color w:val="000000" w:themeColor="text1"/>
          <w:lang w:eastAsia="es-ES"/>
        </w:rPr>
      </w:pPr>
      <w:r w:rsidRPr="002C0D19">
        <w:rPr>
          <w:rFonts w:ascii="Arial Narrow" w:hAnsi="Arial Narrow" w:cs="Arial"/>
          <w:b/>
          <w:color w:val="000000" w:themeColor="text1"/>
          <w:lang w:val="es-ES" w:eastAsia="es-ES"/>
        </w:rPr>
        <w:t>PARÁGRAFO PRIMERO: El MIEMBRO</w:t>
      </w:r>
      <w:r w:rsidRPr="002C0D19">
        <w:rPr>
          <w:rFonts w:ascii="Arial Narrow" w:hAnsi="Arial Narrow" w:cs="Arial"/>
          <w:color w:val="000000" w:themeColor="text1"/>
          <w:lang w:val="es-ES" w:eastAsia="es-ES"/>
        </w:rPr>
        <w:t xml:space="preserve">, podrá actuar </w:t>
      </w:r>
      <w:r w:rsidRPr="002C0D19">
        <w:rPr>
          <w:rFonts w:ascii="Arial Narrow" w:hAnsi="Arial Narrow" w:cs="Arial"/>
          <w:color w:val="000000" w:themeColor="text1"/>
          <w:lang w:eastAsia="es-ES"/>
        </w:rPr>
        <w:t>como</w:t>
      </w:r>
      <w:r w:rsidRPr="002C0D19">
        <w:rPr>
          <w:rFonts w:ascii="Arial Narrow" w:hAnsi="Arial Narrow" w:cs="Arial"/>
          <w:b/>
          <w:color w:val="000000" w:themeColor="text1"/>
          <w:lang w:eastAsia="es-ES"/>
        </w:rPr>
        <w:t xml:space="preserve"> MIEMBRO DE ORIGEN </w:t>
      </w:r>
      <w:r w:rsidRPr="002C0D19">
        <w:rPr>
          <w:rFonts w:ascii="Arial Narrow" w:hAnsi="Arial Narrow" w:cs="Arial"/>
          <w:color w:val="000000" w:themeColor="text1"/>
          <w:lang w:eastAsia="es-ES"/>
        </w:rPr>
        <w:t>o</w:t>
      </w:r>
      <w:r w:rsidRPr="002C0D19">
        <w:rPr>
          <w:rFonts w:ascii="Arial Narrow" w:hAnsi="Arial Narrow" w:cs="Arial"/>
          <w:b/>
          <w:color w:val="000000" w:themeColor="text1"/>
          <w:lang w:eastAsia="es-ES"/>
        </w:rPr>
        <w:t xml:space="preserve"> MIEMBRO DE DESTINO. </w:t>
      </w:r>
      <w:r w:rsidRPr="002C0D19">
        <w:rPr>
          <w:rFonts w:ascii="Arial Narrow" w:hAnsi="Arial Narrow" w:cs="Arial"/>
          <w:color w:val="000000" w:themeColor="text1"/>
          <w:lang w:eastAsia="es-ES"/>
        </w:rPr>
        <w:t>En aquellos casos, en que</w:t>
      </w:r>
      <w:r w:rsidRPr="002C0D19">
        <w:rPr>
          <w:rFonts w:ascii="Arial Narrow" w:hAnsi="Arial Narrow" w:cs="Arial"/>
          <w:b/>
          <w:color w:val="000000" w:themeColor="text1"/>
          <w:lang w:eastAsia="es-ES"/>
        </w:rPr>
        <w:t xml:space="preserve"> EL MIEMBRO </w:t>
      </w:r>
      <w:r w:rsidRPr="002C0D19">
        <w:rPr>
          <w:rFonts w:ascii="Arial Narrow" w:hAnsi="Arial Narrow" w:cs="Arial"/>
          <w:color w:val="000000" w:themeColor="text1"/>
          <w:lang w:eastAsia="es-ES"/>
        </w:rPr>
        <w:t xml:space="preserve">sea un </w:t>
      </w:r>
      <w:r w:rsidRPr="002C0D19">
        <w:rPr>
          <w:rFonts w:ascii="Arial Narrow" w:hAnsi="Arial Narrow" w:cs="Arial"/>
          <w:b/>
          <w:color w:val="000000" w:themeColor="text1"/>
          <w:lang w:eastAsia="es-ES"/>
        </w:rPr>
        <w:t xml:space="preserve">MIEMBRO NO LIQUIDADOR </w:t>
      </w:r>
      <w:r w:rsidRPr="002C0D19">
        <w:rPr>
          <w:rFonts w:ascii="Arial Narrow" w:hAnsi="Arial Narrow" w:cs="Arial"/>
          <w:color w:val="000000" w:themeColor="text1"/>
          <w:lang w:eastAsia="es-ES"/>
        </w:rPr>
        <w:t>deberá operar a través de un</w:t>
      </w:r>
      <w:r w:rsidRPr="002C0D19">
        <w:rPr>
          <w:rFonts w:ascii="Arial Narrow" w:hAnsi="Arial Narrow" w:cs="Arial"/>
          <w:b/>
          <w:color w:val="000000" w:themeColor="text1"/>
          <w:lang w:eastAsia="es-ES"/>
        </w:rPr>
        <w:t xml:space="preserve"> MIEMBRO LIQUIDADOR GENERAL.</w:t>
      </w:r>
    </w:p>
    <w:p w14:paraId="40DC7C94" w14:textId="77777777" w:rsidR="007968EC" w:rsidRPr="002C0D19" w:rsidRDefault="007968EC" w:rsidP="007968EC">
      <w:pPr>
        <w:jc w:val="both"/>
        <w:rPr>
          <w:rFonts w:ascii="Arial Narrow" w:hAnsi="Arial Narrow" w:cs="Arial"/>
          <w:b/>
          <w:color w:val="000000" w:themeColor="text1"/>
          <w:lang w:val="es-ES" w:eastAsia="es-ES"/>
        </w:rPr>
      </w:pPr>
    </w:p>
    <w:p w14:paraId="65A40DFC" w14:textId="77777777" w:rsidR="007968EC" w:rsidRPr="002C0D19" w:rsidRDefault="007968EC" w:rsidP="007968EC">
      <w:pPr>
        <w:jc w:val="both"/>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 xml:space="preserve">PARÁGRAFO SEGUNDO: </w:t>
      </w:r>
      <w:r w:rsidRPr="002C0D19">
        <w:rPr>
          <w:rFonts w:ascii="Arial Narrow" w:hAnsi="Arial Narrow" w:cs="Arial"/>
          <w:color w:val="000000" w:themeColor="text1"/>
          <w:lang w:val="es-ES" w:eastAsia="es-ES"/>
        </w:rPr>
        <w:t xml:space="preserve">Para todos los efectos de la presente Oferta de Servicios, los términos usados en mayúscula, tendrán el significado dado en el Reglamento de Funcionamiento y en la Circular de </w:t>
      </w:r>
      <w:r w:rsidRPr="002C0D19">
        <w:rPr>
          <w:rFonts w:ascii="Arial Narrow" w:hAnsi="Arial Narrow" w:cs="Arial"/>
          <w:b/>
          <w:color w:val="000000" w:themeColor="text1"/>
          <w:lang w:val="es-ES" w:eastAsia="es-ES"/>
        </w:rPr>
        <w:t xml:space="preserve">LA CRCC. </w:t>
      </w:r>
    </w:p>
    <w:p w14:paraId="61B95CAE" w14:textId="77777777" w:rsidR="007968EC" w:rsidRPr="002C0D19" w:rsidRDefault="007968EC" w:rsidP="007968EC">
      <w:pPr>
        <w:jc w:val="both"/>
        <w:rPr>
          <w:rFonts w:ascii="Arial Narrow" w:hAnsi="Arial Narrow" w:cs="Arial"/>
          <w:b/>
          <w:color w:val="000000" w:themeColor="text1"/>
          <w:u w:val="single"/>
          <w:lang w:val="es-ES" w:eastAsia="es-ES"/>
        </w:rPr>
      </w:pPr>
    </w:p>
    <w:p w14:paraId="1F255AC7" w14:textId="77777777" w:rsidR="007968EC" w:rsidRPr="002C0D19" w:rsidRDefault="007968EC" w:rsidP="007968EC">
      <w:pPr>
        <w:jc w:val="both"/>
        <w:rPr>
          <w:rFonts w:ascii="Arial Narrow" w:hAnsi="Arial Narrow" w:cs="Arial"/>
          <w:b/>
          <w:color w:val="000000" w:themeColor="text1"/>
          <w:lang w:val="es-ES" w:eastAsia="es-ES"/>
        </w:rPr>
      </w:pPr>
      <w:r w:rsidRPr="002C0D19">
        <w:rPr>
          <w:rFonts w:ascii="Arial Narrow" w:hAnsi="Arial Narrow" w:cs="Arial"/>
          <w:b/>
          <w:color w:val="000000" w:themeColor="text1"/>
          <w:u w:val="single"/>
          <w:lang w:val="es-ES" w:eastAsia="es-ES"/>
        </w:rPr>
        <w:t>SEGUNDA. Declaraciones, Manifestaciones y Autorizaciones.</w:t>
      </w:r>
      <w:r w:rsidRPr="002C0D19">
        <w:rPr>
          <w:rFonts w:ascii="Arial Narrow" w:hAnsi="Arial Narrow" w:cs="Arial"/>
          <w:color w:val="000000" w:themeColor="text1"/>
          <w:lang w:val="es-ES" w:eastAsia="es-ES"/>
        </w:rPr>
        <w:t xml:space="preserve"> Mediante la aceptación de la presente Oferta </w:t>
      </w:r>
      <w:r w:rsidRPr="002C0D19">
        <w:rPr>
          <w:rFonts w:ascii="Arial Narrow" w:hAnsi="Arial Narrow" w:cs="Arial"/>
          <w:b/>
          <w:color w:val="000000" w:themeColor="text1"/>
          <w:lang w:val="es-ES" w:eastAsia="es-ES"/>
        </w:rPr>
        <w:t>EL TERCERO:</w:t>
      </w:r>
    </w:p>
    <w:p w14:paraId="7718366B" w14:textId="77777777" w:rsidR="007968EC" w:rsidRPr="002C0D19" w:rsidRDefault="007968EC" w:rsidP="007968EC">
      <w:pPr>
        <w:jc w:val="both"/>
        <w:rPr>
          <w:rFonts w:ascii="Arial Narrow" w:hAnsi="Arial Narrow" w:cs="Arial"/>
          <w:color w:val="000000" w:themeColor="text1"/>
          <w:highlight w:val="yellow"/>
          <w:lang w:val="es-ES" w:eastAsia="es-ES"/>
        </w:rPr>
      </w:pPr>
    </w:p>
    <w:p w14:paraId="76EC9490" w14:textId="77777777" w:rsidR="007968EC" w:rsidRPr="002C0D19" w:rsidRDefault="007968EC" w:rsidP="00DA7472">
      <w:pPr>
        <w:numPr>
          <w:ilvl w:val="0"/>
          <w:numId w:val="49"/>
        </w:num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Declara</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 xml:space="preserve">que conoce la reglamentación las Bolsas, los Sistemas de Negociación o Registro, y/o el mercado mostrador en los que se negocie o registre la operación, y de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 xml:space="preserve">para la realización de </w:t>
      </w:r>
      <w:proofErr w:type="spellStart"/>
      <w:r w:rsidRPr="002C0D19">
        <w:rPr>
          <w:rFonts w:ascii="Arial Narrow" w:hAnsi="Arial Narrow" w:cs="Arial"/>
          <w:i/>
          <w:color w:val="000000" w:themeColor="text1"/>
          <w:lang w:val="es-ES" w:eastAsia="es-ES"/>
        </w:rPr>
        <w:t>Give</w:t>
      </w:r>
      <w:proofErr w:type="spellEnd"/>
      <w:r w:rsidRPr="002C0D19">
        <w:rPr>
          <w:rFonts w:ascii="Arial Narrow" w:hAnsi="Arial Narrow" w:cs="Arial"/>
          <w:i/>
          <w:color w:val="000000" w:themeColor="text1"/>
          <w:lang w:val="es-ES" w:eastAsia="es-ES"/>
        </w:rPr>
        <w:t>-up</w:t>
      </w:r>
      <w:r w:rsidRPr="002C0D19">
        <w:rPr>
          <w:rFonts w:ascii="Arial Narrow" w:hAnsi="Arial Narrow" w:cs="Arial"/>
          <w:color w:val="000000" w:themeColor="text1"/>
          <w:lang w:val="es-ES" w:eastAsia="es-ES"/>
        </w:rPr>
        <w:t xml:space="preserve"> y que, cualquier traslado bajo esta modalidad, puede ser desde o hacia la cuenta cuyo titular es </w:t>
      </w:r>
      <w:r w:rsidRPr="002C0D19">
        <w:rPr>
          <w:rFonts w:ascii="Arial Narrow" w:hAnsi="Arial Narrow" w:cs="Arial"/>
          <w:b/>
          <w:color w:val="000000" w:themeColor="text1"/>
          <w:lang w:val="es-ES" w:eastAsia="es-ES"/>
        </w:rPr>
        <w:t xml:space="preserve">EL TERCERO </w:t>
      </w:r>
      <w:r w:rsidRPr="002C0D19">
        <w:rPr>
          <w:rFonts w:ascii="Arial Narrow" w:hAnsi="Arial Narrow" w:cs="Arial"/>
          <w:color w:val="000000" w:themeColor="text1"/>
          <w:lang w:val="es-ES" w:eastAsia="es-ES"/>
        </w:rPr>
        <w:t>dentro de un mismo Segmento</w:t>
      </w:r>
      <w:r w:rsidRPr="002C0D19">
        <w:rPr>
          <w:rFonts w:ascii="Arial Narrow" w:hAnsi="Arial Narrow" w:cs="Arial"/>
          <w:b/>
          <w:color w:val="000000" w:themeColor="text1"/>
          <w:lang w:val="es-ES" w:eastAsia="es-ES"/>
        </w:rPr>
        <w:t>.</w:t>
      </w:r>
      <w:r w:rsidRPr="002C0D19">
        <w:rPr>
          <w:rFonts w:ascii="Arial Narrow" w:hAnsi="Arial Narrow" w:cs="Arial"/>
          <w:color w:val="000000" w:themeColor="text1"/>
          <w:lang w:val="es-ES" w:eastAsia="es-ES"/>
        </w:rPr>
        <w:t xml:space="preserve"> </w:t>
      </w:r>
    </w:p>
    <w:p w14:paraId="6D0C5584" w14:textId="77777777" w:rsidR="007968EC" w:rsidRPr="002C0D19" w:rsidRDefault="007968EC" w:rsidP="00DA7472">
      <w:pPr>
        <w:numPr>
          <w:ilvl w:val="0"/>
          <w:numId w:val="49"/>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Declara que entre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y </w:t>
      </w:r>
      <w:r w:rsidRPr="002C0D19">
        <w:rPr>
          <w:rFonts w:ascii="Arial Narrow" w:hAnsi="Arial Narrow" w:cs="Arial"/>
          <w:b/>
          <w:color w:val="000000" w:themeColor="text1"/>
          <w:lang w:val="es-ES" w:eastAsia="es-ES"/>
        </w:rPr>
        <w:t>EL TERCERO</w:t>
      </w:r>
      <w:r w:rsidRPr="002C0D19">
        <w:rPr>
          <w:rFonts w:ascii="Arial Narrow" w:hAnsi="Arial Narrow" w:cs="Arial"/>
          <w:color w:val="000000" w:themeColor="text1"/>
          <w:lang w:val="es-ES" w:eastAsia="es-ES"/>
        </w:rPr>
        <w:t xml:space="preserve"> </w:t>
      </w:r>
      <w:r w:rsidR="001434C9">
        <w:rPr>
          <w:rFonts w:ascii="Arial Narrow" w:hAnsi="Arial Narrow" w:cs="Arial"/>
          <w:color w:val="000000" w:themeColor="text1"/>
          <w:lang w:val="es-ES" w:eastAsia="es-ES"/>
        </w:rPr>
        <w:t>existe un acuerdo</w:t>
      </w:r>
      <w:r w:rsidRPr="002C0D19">
        <w:rPr>
          <w:rFonts w:ascii="Arial Narrow" w:hAnsi="Arial Narrow" w:cs="Arial"/>
          <w:color w:val="000000" w:themeColor="text1"/>
          <w:lang w:val="es-ES" w:eastAsia="es-ES"/>
        </w:rPr>
        <w:t xml:space="preserve"> para la participación del primero por cuenta del segundo ante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y que el presente convenio no modificará ni cambiará dicho </w:t>
      </w:r>
      <w:r w:rsidR="001434C9">
        <w:rPr>
          <w:rFonts w:ascii="Arial Narrow" w:hAnsi="Arial Narrow" w:cs="Arial"/>
          <w:color w:val="000000" w:themeColor="text1"/>
          <w:lang w:val="es-ES" w:eastAsia="es-ES"/>
        </w:rPr>
        <w:t>acuerdo</w:t>
      </w:r>
      <w:r w:rsidRPr="002C0D19">
        <w:rPr>
          <w:rFonts w:ascii="Arial Narrow" w:hAnsi="Arial Narrow" w:cs="Arial"/>
          <w:color w:val="000000" w:themeColor="text1"/>
          <w:lang w:val="es-ES" w:eastAsia="es-ES"/>
        </w:rPr>
        <w:t>.</w:t>
      </w:r>
    </w:p>
    <w:p w14:paraId="0D3996E0" w14:textId="77777777" w:rsidR="007968EC" w:rsidRPr="002C0D19" w:rsidRDefault="007968EC" w:rsidP="00DA7472">
      <w:pPr>
        <w:numPr>
          <w:ilvl w:val="0"/>
          <w:numId w:val="49"/>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lastRenderedPageBreak/>
        <w:t xml:space="preserve">Declara que conoce que el </w:t>
      </w:r>
      <w:proofErr w:type="spellStart"/>
      <w:r w:rsidRPr="002C0D19">
        <w:rPr>
          <w:rFonts w:ascii="Arial Narrow" w:hAnsi="Arial Narrow" w:cs="Arial"/>
          <w:i/>
          <w:color w:val="000000" w:themeColor="text1"/>
          <w:lang w:val="es-ES" w:eastAsia="es-ES"/>
        </w:rPr>
        <w:t>Give</w:t>
      </w:r>
      <w:proofErr w:type="spellEnd"/>
      <w:r w:rsidRPr="002C0D19">
        <w:rPr>
          <w:rFonts w:ascii="Arial Narrow" w:hAnsi="Arial Narrow" w:cs="Arial"/>
          <w:i/>
          <w:color w:val="000000" w:themeColor="text1"/>
          <w:lang w:val="es-ES" w:eastAsia="es-ES"/>
        </w:rPr>
        <w:t>-up</w:t>
      </w:r>
      <w:r w:rsidRPr="002C0D19">
        <w:rPr>
          <w:rFonts w:ascii="Arial Narrow" w:hAnsi="Arial Narrow" w:cs="Arial"/>
          <w:color w:val="000000" w:themeColor="text1"/>
          <w:lang w:eastAsia="es-ES"/>
        </w:rPr>
        <w:t xml:space="preserve"> no </w:t>
      </w:r>
      <w:r w:rsidRPr="002C0D19">
        <w:rPr>
          <w:rFonts w:ascii="Arial Narrow" w:hAnsi="Arial Narrow" w:cs="Arial"/>
          <w:color w:val="000000" w:themeColor="text1"/>
          <w:lang w:val="es-ES" w:eastAsia="es-ES"/>
        </w:rPr>
        <w:t>podrá utilizarse entre Cuentas pertenecientes a Segmentos diferentes.</w:t>
      </w:r>
    </w:p>
    <w:p w14:paraId="755DD4D5" w14:textId="77777777" w:rsidR="007968EC" w:rsidRPr="002C0D19" w:rsidRDefault="007968EC" w:rsidP="00DA7472">
      <w:pPr>
        <w:numPr>
          <w:ilvl w:val="0"/>
          <w:numId w:val="49"/>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Autoriza a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a realizar o a recibir para su cuenta traslados en la modalidad de </w:t>
      </w:r>
      <w:proofErr w:type="spellStart"/>
      <w:r w:rsidRPr="002C0D19">
        <w:rPr>
          <w:rFonts w:ascii="Arial Narrow" w:hAnsi="Arial Narrow" w:cs="Arial"/>
          <w:i/>
          <w:color w:val="000000" w:themeColor="text1"/>
          <w:lang w:val="es-ES" w:eastAsia="es-ES"/>
        </w:rPr>
        <w:t>Give</w:t>
      </w:r>
      <w:proofErr w:type="spellEnd"/>
      <w:r w:rsidRPr="002C0D19">
        <w:rPr>
          <w:rFonts w:ascii="Arial Narrow" w:hAnsi="Arial Narrow" w:cs="Arial"/>
          <w:i/>
          <w:color w:val="000000" w:themeColor="text1"/>
          <w:lang w:val="es-ES" w:eastAsia="es-ES"/>
        </w:rPr>
        <w:t xml:space="preserve">-Up </w:t>
      </w:r>
      <w:r w:rsidRPr="002C0D19">
        <w:rPr>
          <w:rFonts w:ascii="Arial Narrow" w:hAnsi="Arial Narrow" w:cs="Arial"/>
          <w:color w:val="000000" w:themeColor="text1"/>
          <w:lang w:val="es-ES" w:eastAsia="es-ES"/>
        </w:rPr>
        <w:t xml:space="preserve">de las Operaciones Aceptadas que tengan origen en órdenes que dicho </w:t>
      </w:r>
      <w:r w:rsidRPr="002C0D19">
        <w:rPr>
          <w:rFonts w:ascii="Arial Narrow" w:hAnsi="Arial Narrow" w:cs="Arial"/>
          <w:b/>
          <w:color w:val="000000" w:themeColor="text1"/>
          <w:lang w:val="es-ES" w:eastAsia="es-ES"/>
        </w:rPr>
        <w:t>TERCERO</w:t>
      </w:r>
      <w:r w:rsidRPr="002C0D19">
        <w:rPr>
          <w:rFonts w:ascii="Arial Narrow" w:hAnsi="Arial Narrow" w:cs="Arial"/>
          <w:color w:val="000000" w:themeColor="text1"/>
          <w:lang w:val="es-ES" w:eastAsia="es-ES"/>
        </w:rPr>
        <w:t xml:space="preserve"> le transmita a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w:t>
      </w:r>
    </w:p>
    <w:p w14:paraId="2BBAD7D5" w14:textId="77777777" w:rsidR="007968EC" w:rsidRPr="002C0D19" w:rsidRDefault="007968EC" w:rsidP="00DA7472">
      <w:pPr>
        <w:numPr>
          <w:ilvl w:val="0"/>
          <w:numId w:val="49"/>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Acepta que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cuando actúe como </w:t>
      </w:r>
      <w:r w:rsidRPr="002C0D19">
        <w:rPr>
          <w:rFonts w:ascii="Arial Narrow" w:hAnsi="Arial Narrow" w:cs="Arial"/>
          <w:b/>
          <w:color w:val="000000" w:themeColor="text1"/>
          <w:lang w:val="es-ES" w:eastAsia="es-ES"/>
        </w:rPr>
        <w:t>MIEMBRO DE ORIGEN,</w:t>
      </w:r>
      <w:r w:rsidRPr="002C0D19">
        <w:rPr>
          <w:rFonts w:ascii="Arial Narrow" w:hAnsi="Arial Narrow" w:cs="Arial"/>
          <w:color w:val="000000" w:themeColor="text1"/>
          <w:lang w:val="es-ES" w:eastAsia="es-ES"/>
        </w:rPr>
        <w:t xml:space="preserve"> se reserva el derecho de rechazar una orden que </w:t>
      </w:r>
      <w:r w:rsidRPr="002C0D19">
        <w:rPr>
          <w:rFonts w:ascii="Arial Narrow" w:hAnsi="Arial Narrow" w:cs="Arial"/>
          <w:b/>
          <w:color w:val="000000" w:themeColor="text1"/>
          <w:lang w:val="es-ES" w:eastAsia="es-ES"/>
        </w:rPr>
        <w:t>EL</w:t>
      </w:r>
      <w:r w:rsidRPr="002C0D19">
        <w:rPr>
          <w:rFonts w:ascii="Arial Narrow" w:hAnsi="Arial Narrow" w:cs="Arial"/>
          <w:color w:val="000000" w:themeColor="text1"/>
          <w:lang w:val="es-ES" w:eastAsia="es-ES"/>
        </w:rPr>
        <w:t xml:space="preserve"> </w:t>
      </w:r>
      <w:r w:rsidRPr="002C0D19">
        <w:rPr>
          <w:rFonts w:ascii="Arial Narrow" w:hAnsi="Arial Narrow" w:cs="Arial"/>
          <w:b/>
          <w:color w:val="000000" w:themeColor="text1"/>
          <w:lang w:val="es-ES" w:eastAsia="es-ES"/>
        </w:rPr>
        <w:t>TERCERO</w:t>
      </w:r>
      <w:r w:rsidRPr="002C0D19">
        <w:rPr>
          <w:rFonts w:ascii="Arial Narrow" w:hAnsi="Arial Narrow" w:cs="Arial"/>
          <w:color w:val="000000" w:themeColor="text1"/>
          <w:lang w:val="es-ES" w:eastAsia="es-ES"/>
        </w:rPr>
        <w:t xml:space="preserve"> le transmita para su traslado (</w:t>
      </w:r>
      <w:proofErr w:type="spellStart"/>
      <w:r w:rsidRPr="002C0D19">
        <w:rPr>
          <w:rFonts w:ascii="Arial Narrow" w:hAnsi="Arial Narrow" w:cs="Arial"/>
          <w:i/>
          <w:color w:val="000000" w:themeColor="text1"/>
          <w:lang w:val="es-ES" w:eastAsia="es-ES"/>
        </w:rPr>
        <w:t>Give-Out</w:t>
      </w:r>
      <w:proofErr w:type="spellEnd"/>
      <w:r w:rsidRPr="002C0D19">
        <w:rPr>
          <w:rFonts w:ascii="Arial Narrow" w:hAnsi="Arial Narrow" w:cs="Arial"/>
          <w:i/>
          <w:color w:val="000000" w:themeColor="text1"/>
          <w:lang w:val="es-ES" w:eastAsia="es-ES"/>
        </w:rPr>
        <w:t xml:space="preserve">) </w:t>
      </w:r>
      <w:r w:rsidRPr="002C0D19">
        <w:rPr>
          <w:rFonts w:ascii="Arial Narrow" w:hAnsi="Arial Narrow" w:cs="Arial"/>
          <w:color w:val="000000" w:themeColor="text1"/>
          <w:lang w:val="es-ES" w:eastAsia="es-ES"/>
        </w:rPr>
        <w:t xml:space="preserve">en la modalidad de </w:t>
      </w:r>
      <w:proofErr w:type="spellStart"/>
      <w:r w:rsidRPr="002C0D19">
        <w:rPr>
          <w:rFonts w:ascii="Arial Narrow" w:hAnsi="Arial Narrow" w:cs="Arial"/>
          <w:i/>
          <w:color w:val="000000" w:themeColor="text1"/>
          <w:lang w:val="es-ES" w:eastAsia="es-ES"/>
        </w:rPr>
        <w:t>Give</w:t>
      </w:r>
      <w:proofErr w:type="spellEnd"/>
      <w:r w:rsidRPr="002C0D19">
        <w:rPr>
          <w:rFonts w:ascii="Arial Narrow" w:hAnsi="Arial Narrow" w:cs="Arial"/>
          <w:i/>
          <w:color w:val="000000" w:themeColor="text1"/>
          <w:lang w:val="es-ES" w:eastAsia="es-ES"/>
        </w:rPr>
        <w:t xml:space="preserve">-Up </w:t>
      </w:r>
      <w:r w:rsidRPr="002C0D19">
        <w:rPr>
          <w:rFonts w:ascii="Arial Narrow" w:hAnsi="Arial Narrow" w:cs="Arial"/>
          <w:color w:val="000000" w:themeColor="text1"/>
          <w:lang w:val="es-ES" w:eastAsia="es-ES"/>
        </w:rPr>
        <w:t>y que</w:t>
      </w:r>
      <w:r w:rsidRPr="002C0D19">
        <w:rPr>
          <w:rFonts w:ascii="Arial Narrow" w:hAnsi="Arial Narrow" w:cs="Arial"/>
          <w:i/>
          <w:color w:val="000000" w:themeColor="text1"/>
          <w:lang w:val="es-ES" w:eastAsia="es-ES"/>
        </w:rPr>
        <w:t xml:space="preserve"> </w:t>
      </w:r>
      <w:r w:rsidRPr="002C0D19">
        <w:rPr>
          <w:rFonts w:ascii="Arial Narrow" w:hAnsi="Arial Narrow" w:cs="Arial"/>
          <w:b/>
          <w:color w:val="000000" w:themeColor="text1"/>
          <w:lang w:val="es-ES" w:eastAsia="es-ES"/>
        </w:rPr>
        <w:t>EL</w:t>
      </w:r>
      <w:r w:rsidRPr="002C0D19">
        <w:rPr>
          <w:rFonts w:ascii="Arial Narrow" w:hAnsi="Arial Narrow" w:cs="Arial"/>
          <w:color w:val="000000" w:themeColor="text1"/>
          <w:lang w:val="es-ES" w:eastAsia="es-ES"/>
        </w:rPr>
        <w:t xml:space="preserve"> </w:t>
      </w:r>
      <w:r w:rsidRPr="002C0D19">
        <w:rPr>
          <w:rFonts w:ascii="Arial Narrow" w:hAnsi="Arial Narrow" w:cs="Arial"/>
          <w:b/>
          <w:color w:val="000000" w:themeColor="text1"/>
          <w:lang w:val="es-ES" w:eastAsia="es-ES"/>
        </w:rPr>
        <w:t>MIEMBRO</w:t>
      </w:r>
      <w:r w:rsidRPr="002C0D19">
        <w:rPr>
          <w:rFonts w:ascii="Arial Narrow" w:hAnsi="Arial Narrow" w:cs="Arial"/>
          <w:color w:val="000000" w:themeColor="text1"/>
          <w:lang w:val="es-ES" w:eastAsia="es-ES"/>
        </w:rPr>
        <w:t xml:space="preserve">, cuando actúe como </w:t>
      </w:r>
      <w:r w:rsidRPr="002C0D19">
        <w:rPr>
          <w:rFonts w:ascii="Arial Narrow" w:hAnsi="Arial Narrow" w:cs="Arial"/>
          <w:b/>
          <w:color w:val="000000" w:themeColor="text1"/>
          <w:lang w:val="es-ES" w:eastAsia="es-ES"/>
        </w:rPr>
        <w:t>MIEMBRO DE DESTINO,</w:t>
      </w:r>
      <w:r w:rsidRPr="002C0D19">
        <w:rPr>
          <w:rFonts w:ascii="Arial Narrow" w:hAnsi="Arial Narrow" w:cs="Arial"/>
          <w:color w:val="000000" w:themeColor="text1"/>
          <w:lang w:val="es-ES" w:eastAsia="es-ES"/>
        </w:rPr>
        <w:t xml:space="preserve"> podrá poner límites o condiciones, tales como Garantías adicionales, para aceptar las Operaciones Aceptadas objeto de </w:t>
      </w:r>
      <w:proofErr w:type="spellStart"/>
      <w:r w:rsidRPr="002C0D19">
        <w:rPr>
          <w:rFonts w:ascii="Arial Narrow" w:hAnsi="Arial Narrow" w:cs="Arial"/>
          <w:i/>
          <w:color w:val="000000" w:themeColor="text1"/>
          <w:lang w:val="es-ES" w:eastAsia="es-ES"/>
        </w:rPr>
        <w:t>Give</w:t>
      </w:r>
      <w:proofErr w:type="spellEnd"/>
      <w:r w:rsidRPr="002C0D19">
        <w:rPr>
          <w:rFonts w:ascii="Arial Narrow" w:hAnsi="Arial Narrow" w:cs="Arial"/>
          <w:i/>
          <w:color w:val="000000" w:themeColor="text1"/>
          <w:lang w:val="es-ES" w:eastAsia="es-ES"/>
        </w:rPr>
        <w:t>-Up</w:t>
      </w:r>
      <w:r w:rsidRPr="002C0D19">
        <w:rPr>
          <w:rFonts w:ascii="Arial Narrow" w:hAnsi="Arial Narrow" w:cs="Arial"/>
          <w:color w:val="000000" w:themeColor="text1"/>
          <w:lang w:val="es-ES" w:eastAsia="es-ES"/>
        </w:rPr>
        <w:t xml:space="preserve"> de </w:t>
      </w:r>
      <w:r w:rsidRPr="002C0D19">
        <w:rPr>
          <w:rFonts w:ascii="Arial Narrow" w:hAnsi="Arial Narrow" w:cs="Arial"/>
          <w:b/>
          <w:color w:val="000000" w:themeColor="text1"/>
          <w:lang w:val="es-ES" w:eastAsia="es-ES"/>
        </w:rPr>
        <w:t>EL</w:t>
      </w:r>
      <w:r w:rsidRPr="002C0D19">
        <w:rPr>
          <w:rFonts w:ascii="Arial Narrow" w:hAnsi="Arial Narrow" w:cs="Arial"/>
          <w:color w:val="000000" w:themeColor="text1"/>
          <w:lang w:val="es-ES" w:eastAsia="es-ES"/>
        </w:rPr>
        <w:t xml:space="preserve"> </w:t>
      </w:r>
      <w:r w:rsidRPr="002C0D19">
        <w:rPr>
          <w:rFonts w:ascii="Arial Narrow" w:hAnsi="Arial Narrow" w:cs="Arial"/>
          <w:b/>
          <w:color w:val="000000" w:themeColor="text1"/>
          <w:lang w:val="es-ES" w:eastAsia="es-ES"/>
        </w:rPr>
        <w:t>TERCERO</w:t>
      </w:r>
      <w:r w:rsidRPr="002C0D19">
        <w:rPr>
          <w:rFonts w:ascii="Arial Narrow" w:hAnsi="Arial Narrow" w:cs="Arial"/>
          <w:color w:val="000000" w:themeColor="text1"/>
          <w:lang w:val="es-ES" w:eastAsia="es-ES"/>
        </w:rPr>
        <w:t>.</w:t>
      </w:r>
    </w:p>
    <w:p w14:paraId="39F6C1F3" w14:textId="77777777" w:rsidR="007968EC" w:rsidRPr="002C0D19" w:rsidRDefault="007968EC" w:rsidP="00DA7472">
      <w:pPr>
        <w:numPr>
          <w:ilvl w:val="0"/>
          <w:numId w:val="49"/>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Acepta que será responsable de transmitir correctamente las órdenes a </w:t>
      </w:r>
      <w:r w:rsidRPr="002C0D19">
        <w:rPr>
          <w:rFonts w:ascii="Arial Narrow" w:hAnsi="Arial Narrow" w:cs="Arial"/>
          <w:b/>
          <w:color w:val="000000" w:themeColor="text1"/>
          <w:lang w:val="es-ES" w:eastAsia="es-ES"/>
        </w:rPr>
        <w:t xml:space="preserve">EL MIEMBRO, </w:t>
      </w:r>
      <w:r w:rsidRPr="002C0D19">
        <w:rPr>
          <w:rFonts w:ascii="Arial Narrow" w:hAnsi="Arial Narrow" w:cs="Arial"/>
          <w:color w:val="000000" w:themeColor="text1"/>
          <w:lang w:val="es-ES" w:eastAsia="es-ES"/>
        </w:rPr>
        <w:t xml:space="preserve">cuando éste actúe como </w:t>
      </w:r>
      <w:r w:rsidRPr="002C0D19">
        <w:rPr>
          <w:rFonts w:ascii="Arial Narrow" w:hAnsi="Arial Narrow" w:cs="Arial"/>
          <w:b/>
          <w:color w:val="000000" w:themeColor="text1"/>
          <w:lang w:val="es-ES" w:eastAsia="es-ES"/>
        </w:rPr>
        <w:t>MIEMBRO DE ORIGEN.</w:t>
      </w:r>
    </w:p>
    <w:p w14:paraId="4A7B4A43" w14:textId="77777777" w:rsidR="007968EC" w:rsidRPr="002C0D19" w:rsidRDefault="007968EC" w:rsidP="00DA7472">
      <w:pPr>
        <w:numPr>
          <w:ilvl w:val="0"/>
          <w:numId w:val="49"/>
        </w:numPr>
        <w:jc w:val="both"/>
        <w:rPr>
          <w:rFonts w:ascii="Arial Narrow" w:hAnsi="Arial Narrow" w:cs="Arial"/>
          <w:color w:val="000000" w:themeColor="text1"/>
          <w:lang w:val="es-MX" w:eastAsia="es-ES"/>
        </w:rPr>
      </w:pPr>
      <w:r w:rsidRPr="002C0D19">
        <w:rPr>
          <w:rFonts w:ascii="Arial Narrow" w:hAnsi="Arial Narrow" w:cs="Arial"/>
          <w:color w:val="000000" w:themeColor="text1"/>
          <w:lang w:val="es-ES" w:eastAsia="es-ES"/>
        </w:rPr>
        <w:t xml:space="preserve">Asume la plena responsabilidad de todas las obligaciones derivadas o relacionadas con las operaciones que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registre en su Cuenta. </w:t>
      </w:r>
      <w:r w:rsidRPr="002C0D19">
        <w:rPr>
          <w:rFonts w:ascii="Arial Narrow" w:hAnsi="Arial Narrow" w:cs="Arial"/>
          <w:color w:val="000000" w:themeColor="text1"/>
          <w:lang w:val="es-MX" w:eastAsia="es-ES"/>
        </w:rPr>
        <w:t xml:space="preserve">En caso de que </w:t>
      </w:r>
      <w:r w:rsidRPr="002C0D19">
        <w:rPr>
          <w:rFonts w:ascii="Arial Narrow" w:hAnsi="Arial Narrow" w:cs="Arial"/>
          <w:b/>
          <w:color w:val="000000" w:themeColor="text1"/>
          <w:lang w:val="es-MX" w:eastAsia="es-ES"/>
        </w:rPr>
        <w:t>EL TERCERO</w:t>
      </w:r>
      <w:r w:rsidRPr="002C0D19">
        <w:rPr>
          <w:rFonts w:ascii="Arial Narrow" w:hAnsi="Arial Narrow" w:cs="Arial"/>
          <w:color w:val="000000" w:themeColor="text1"/>
          <w:lang w:val="es-MX" w:eastAsia="es-ES"/>
        </w:rPr>
        <w:t xml:space="preserve"> niegue el conocimiento de un </w:t>
      </w:r>
      <w:proofErr w:type="spellStart"/>
      <w:r w:rsidRPr="002C0D19">
        <w:rPr>
          <w:rFonts w:ascii="Arial Narrow" w:hAnsi="Arial Narrow" w:cs="Arial"/>
          <w:i/>
          <w:color w:val="000000" w:themeColor="text1"/>
          <w:lang w:val="es-MX" w:eastAsia="es-ES"/>
        </w:rPr>
        <w:t>Give</w:t>
      </w:r>
      <w:proofErr w:type="spellEnd"/>
      <w:r w:rsidRPr="002C0D19">
        <w:rPr>
          <w:rFonts w:ascii="Arial Narrow" w:hAnsi="Arial Narrow" w:cs="Arial"/>
          <w:i/>
          <w:color w:val="000000" w:themeColor="text1"/>
          <w:lang w:val="es-MX" w:eastAsia="es-ES"/>
        </w:rPr>
        <w:t>-Up</w:t>
      </w:r>
      <w:r w:rsidRPr="002C0D19">
        <w:rPr>
          <w:rFonts w:ascii="Arial Narrow" w:hAnsi="Arial Narrow" w:cs="Arial"/>
          <w:color w:val="000000" w:themeColor="text1"/>
          <w:lang w:val="es-MX" w:eastAsia="es-ES"/>
        </w:rPr>
        <w:t xml:space="preserve"> de cualquier Operación Aceptada por </w:t>
      </w:r>
      <w:r w:rsidRPr="002C0D19">
        <w:rPr>
          <w:rFonts w:ascii="Arial Narrow" w:hAnsi="Arial Narrow" w:cs="Arial"/>
          <w:b/>
          <w:color w:val="000000" w:themeColor="text1"/>
          <w:lang w:val="es-MX" w:eastAsia="es-ES"/>
        </w:rPr>
        <w:t>LA CRCC</w:t>
      </w:r>
      <w:r w:rsidRPr="002C0D19">
        <w:rPr>
          <w:rFonts w:ascii="Arial Narrow" w:hAnsi="Arial Narrow" w:cs="Arial"/>
          <w:color w:val="000000" w:themeColor="text1"/>
          <w:lang w:val="es-MX" w:eastAsia="es-ES"/>
        </w:rPr>
        <w:t xml:space="preserve">, por no haber mediado autorización para ello y/o por no haberse ejecutado la autorización en los términos de la misma, </w:t>
      </w:r>
      <w:r w:rsidRPr="002C0D19">
        <w:rPr>
          <w:rFonts w:ascii="Arial Narrow" w:hAnsi="Arial Narrow" w:cs="Arial"/>
          <w:b/>
          <w:color w:val="000000" w:themeColor="text1"/>
          <w:lang w:val="es-MX" w:eastAsia="es-ES"/>
        </w:rPr>
        <w:t xml:space="preserve">EL MIEMBRO, </w:t>
      </w:r>
      <w:r w:rsidRPr="002C0D19">
        <w:rPr>
          <w:rFonts w:ascii="Arial Narrow" w:hAnsi="Arial Narrow" w:cs="Arial"/>
          <w:color w:val="000000" w:themeColor="text1"/>
          <w:lang w:val="es-MX" w:eastAsia="es-ES"/>
        </w:rPr>
        <w:t xml:space="preserve">actuando como </w:t>
      </w:r>
      <w:r w:rsidRPr="002C0D19">
        <w:rPr>
          <w:rFonts w:ascii="Arial Narrow" w:hAnsi="Arial Narrow" w:cs="Arial"/>
          <w:b/>
          <w:color w:val="000000" w:themeColor="text1"/>
          <w:lang w:val="es-MX" w:eastAsia="es-ES"/>
        </w:rPr>
        <w:t xml:space="preserve">MIEMBRO DE DESTINO </w:t>
      </w:r>
      <w:r w:rsidRPr="002C0D19">
        <w:rPr>
          <w:rFonts w:ascii="Arial Narrow" w:hAnsi="Arial Narrow" w:cs="Arial"/>
          <w:color w:val="000000" w:themeColor="text1"/>
          <w:lang w:val="es-MX" w:eastAsia="es-ES"/>
        </w:rPr>
        <w:t>o</w:t>
      </w:r>
      <w:r w:rsidRPr="002C0D19">
        <w:rPr>
          <w:rFonts w:ascii="Arial Narrow" w:hAnsi="Arial Narrow" w:cs="Arial"/>
          <w:b/>
          <w:color w:val="000000" w:themeColor="text1"/>
          <w:lang w:val="es-MX" w:eastAsia="es-ES"/>
        </w:rPr>
        <w:t xml:space="preserve"> MIEMBRO DE ORIGEN, </w:t>
      </w:r>
      <w:r w:rsidRPr="002C0D19">
        <w:rPr>
          <w:rFonts w:ascii="Arial Narrow" w:hAnsi="Arial Narrow" w:cs="Arial"/>
          <w:color w:val="000000" w:themeColor="text1"/>
          <w:lang w:val="es-MX" w:eastAsia="es-ES"/>
        </w:rPr>
        <w:t xml:space="preserve">cuando sea el caso, estará autorizado para liquidar o de otra manera compensar la operación rechazada. </w:t>
      </w:r>
      <w:r w:rsidRPr="002C0D19">
        <w:rPr>
          <w:rFonts w:ascii="Arial Narrow" w:hAnsi="Arial Narrow" w:cs="Arial"/>
          <w:b/>
          <w:color w:val="000000" w:themeColor="text1"/>
          <w:lang w:val="es-MX" w:eastAsia="es-ES"/>
        </w:rPr>
        <w:t>EL MIEMBRO</w:t>
      </w:r>
      <w:r w:rsidRPr="002C0D19">
        <w:rPr>
          <w:rFonts w:ascii="Arial Narrow" w:hAnsi="Arial Narrow" w:cs="Arial"/>
          <w:color w:val="000000" w:themeColor="text1"/>
          <w:lang w:val="es-MX" w:eastAsia="es-ES"/>
        </w:rPr>
        <w:t xml:space="preserve"> deberá entregar a </w:t>
      </w:r>
      <w:r w:rsidRPr="002C0D19">
        <w:rPr>
          <w:rFonts w:ascii="Arial Narrow" w:hAnsi="Arial Narrow" w:cs="Arial"/>
          <w:b/>
          <w:color w:val="000000" w:themeColor="text1"/>
          <w:lang w:val="es-MX" w:eastAsia="es-ES"/>
        </w:rPr>
        <w:t>EL TERCERO</w:t>
      </w:r>
      <w:r w:rsidRPr="002C0D19">
        <w:rPr>
          <w:rFonts w:ascii="Arial Narrow" w:hAnsi="Arial Narrow" w:cs="Arial"/>
          <w:color w:val="000000" w:themeColor="text1"/>
          <w:lang w:val="es-MX" w:eastAsia="es-ES"/>
        </w:rPr>
        <w:t xml:space="preserve"> notificación previa de dicha liquidación o compensación.</w:t>
      </w:r>
    </w:p>
    <w:p w14:paraId="76DCD503" w14:textId="77777777" w:rsidR="007968EC" w:rsidRPr="002C0D19" w:rsidRDefault="007968EC" w:rsidP="00DA7472">
      <w:pPr>
        <w:numPr>
          <w:ilvl w:val="0"/>
          <w:numId w:val="49"/>
        </w:num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Declara expresamente conocer y aceptar en su integridad el Convenio celebrado entre </w:t>
      </w:r>
      <w:r w:rsidRPr="002C0D19">
        <w:rPr>
          <w:rFonts w:ascii="Arial Narrow" w:hAnsi="Arial Narrow" w:cs="Arial"/>
          <w:b/>
          <w:color w:val="000000" w:themeColor="text1"/>
          <w:lang w:val="es-ES" w:eastAsia="es-ES"/>
        </w:rPr>
        <w:t>LOS MIEMBROS</w:t>
      </w:r>
      <w:r w:rsidRPr="002C0D19">
        <w:rPr>
          <w:rFonts w:ascii="Arial Narrow" w:hAnsi="Arial Narrow" w:cs="Arial"/>
          <w:color w:val="000000" w:themeColor="text1"/>
          <w:lang w:val="es-ES" w:eastAsia="es-ES"/>
        </w:rPr>
        <w:t xml:space="preserve"> que realizan los </w:t>
      </w:r>
      <w:proofErr w:type="spellStart"/>
      <w:r w:rsidRPr="002C0D19">
        <w:rPr>
          <w:rFonts w:ascii="Arial Narrow" w:hAnsi="Arial Narrow" w:cs="Arial"/>
          <w:i/>
          <w:color w:val="000000" w:themeColor="text1"/>
          <w:lang w:val="es-ES" w:eastAsia="es-ES"/>
        </w:rPr>
        <w:t>Give</w:t>
      </w:r>
      <w:proofErr w:type="spellEnd"/>
      <w:r w:rsidRPr="002C0D19">
        <w:rPr>
          <w:rFonts w:ascii="Arial Narrow" w:hAnsi="Arial Narrow" w:cs="Arial"/>
          <w:i/>
          <w:color w:val="000000" w:themeColor="text1"/>
          <w:lang w:val="es-ES" w:eastAsia="es-ES"/>
        </w:rPr>
        <w:t xml:space="preserve">-up, </w:t>
      </w:r>
      <w:r w:rsidRPr="002C0D19">
        <w:rPr>
          <w:rFonts w:ascii="Arial Narrow" w:hAnsi="Arial Narrow" w:cs="Arial"/>
          <w:color w:val="000000" w:themeColor="text1"/>
          <w:lang w:val="es-ES" w:eastAsia="es-ES"/>
        </w:rPr>
        <w:t xml:space="preserve">(Anexo 24.1 Modelo de Oferta de Servicios para la realización de </w:t>
      </w:r>
      <w:proofErr w:type="spellStart"/>
      <w:r w:rsidRPr="002C0D19">
        <w:rPr>
          <w:rFonts w:ascii="Arial Narrow" w:hAnsi="Arial Narrow" w:cs="Arial"/>
          <w:color w:val="000000" w:themeColor="text1"/>
          <w:lang w:val="es-ES" w:eastAsia="es-ES"/>
        </w:rPr>
        <w:t>Give</w:t>
      </w:r>
      <w:proofErr w:type="spellEnd"/>
      <w:r w:rsidRPr="002C0D19">
        <w:rPr>
          <w:rFonts w:ascii="Arial Narrow" w:hAnsi="Arial Narrow" w:cs="Arial"/>
          <w:color w:val="000000" w:themeColor="text1"/>
          <w:lang w:val="es-ES" w:eastAsia="es-ES"/>
        </w:rPr>
        <w:t xml:space="preserve">-Up entre Miembros de la Cámara) así como los términos y condiciones acordados en el mismo. </w:t>
      </w:r>
    </w:p>
    <w:p w14:paraId="10E4CAC8" w14:textId="77777777" w:rsidR="007968EC" w:rsidRPr="002C0D19" w:rsidRDefault="007968EC" w:rsidP="00DA7472">
      <w:pPr>
        <w:numPr>
          <w:ilvl w:val="0"/>
          <w:numId w:val="49"/>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Declara expresamente conocer y aceptar en su integridad el Reglamento de Funcionamiento, las Circulares y los Instructivos Operativos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los cuales son de carácter vinculante y se consideran parte integral de la presente Oferta de Servicios.</w:t>
      </w:r>
    </w:p>
    <w:p w14:paraId="34440358" w14:textId="77777777" w:rsidR="007968EC" w:rsidRPr="002C0D19" w:rsidRDefault="007968EC" w:rsidP="00DA7472">
      <w:pPr>
        <w:numPr>
          <w:ilvl w:val="0"/>
          <w:numId w:val="49"/>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Declara que conoce y acepta los derechos y obligaciones que le corresponden, según se trate, de un Tercero Identificado o de un Tercero no Identificado, de conformidad con lo dispuesto en los artículo 2.1.21. y siguientes del Reglamento de Funcionamiento.</w:t>
      </w:r>
    </w:p>
    <w:p w14:paraId="304112A6" w14:textId="77777777" w:rsidR="007968EC" w:rsidRPr="002C0D19" w:rsidRDefault="007968EC" w:rsidP="00DA7472">
      <w:pPr>
        <w:numPr>
          <w:ilvl w:val="0"/>
          <w:numId w:val="49"/>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Manifiesta y acepta que en lo no previsto expresamente en la presente Oferta, se aplicará lo dispuesto en el Reglamento de Funcionamiento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w:t>
      </w:r>
    </w:p>
    <w:p w14:paraId="4B752F50" w14:textId="77777777" w:rsidR="007968EC" w:rsidRPr="002C0D19" w:rsidRDefault="007968EC" w:rsidP="00DA7472">
      <w:pPr>
        <w:numPr>
          <w:ilvl w:val="0"/>
          <w:numId w:val="49"/>
        </w:numPr>
        <w:ind w:right="20"/>
        <w:jc w:val="both"/>
        <w:rPr>
          <w:rFonts w:ascii="Arial Narrow" w:hAnsi="Arial Narrow" w:cs="Arial"/>
          <w:color w:val="000000" w:themeColor="text1"/>
          <w:lang w:val="es-MX" w:eastAsia="es-ES"/>
        </w:rPr>
      </w:pPr>
      <w:r w:rsidRPr="002C0D19">
        <w:rPr>
          <w:rFonts w:ascii="Arial Narrow" w:hAnsi="Arial Narrow" w:cs="Arial"/>
          <w:b/>
          <w:color w:val="000000" w:themeColor="text1"/>
          <w:lang w:val="es-MX" w:eastAsia="es-ES"/>
        </w:rPr>
        <w:t xml:space="preserve">EL TERCERO </w:t>
      </w:r>
      <w:r w:rsidRPr="002C0D19">
        <w:rPr>
          <w:rFonts w:ascii="Arial Narrow" w:hAnsi="Arial Narrow" w:cs="Arial"/>
          <w:color w:val="000000" w:themeColor="text1"/>
          <w:lang w:val="es-MX" w:eastAsia="es-ES"/>
        </w:rPr>
        <w:t xml:space="preserve">declara y acepta que los </w:t>
      </w:r>
      <w:proofErr w:type="spellStart"/>
      <w:r w:rsidRPr="002C0D19">
        <w:rPr>
          <w:rFonts w:ascii="Arial Narrow" w:hAnsi="Arial Narrow" w:cs="Arial"/>
          <w:i/>
          <w:color w:val="000000" w:themeColor="text1"/>
          <w:lang w:val="es-MX" w:eastAsia="es-ES"/>
        </w:rPr>
        <w:t>Give</w:t>
      </w:r>
      <w:proofErr w:type="spellEnd"/>
      <w:r w:rsidRPr="002C0D19">
        <w:rPr>
          <w:rFonts w:ascii="Arial Narrow" w:hAnsi="Arial Narrow" w:cs="Arial"/>
          <w:i/>
          <w:color w:val="000000" w:themeColor="text1"/>
          <w:lang w:val="es-MX" w:eastAsia="es-ES"/>
        </w:rPr>
        <w:t>-Up</w:t>
      </w:r>
      <w:r w:rsidRPr="002C0D19">
        <w:rPr>
          <w:rFonts w:ascii="Arial Narrow" w:hAnsi="Arial Narrow" w:cs="Arial"/>
          <w:color w:val="000000" w:themeColor="text1"/>
          <w:lang w:val="es-MX" w:eastAsia="es-ES"/>
        </w:rPr>
        <w:t xml:space="preserve"> podrán realizarse desde la fecha de la Operación Aceptada en</w:t>
      </w:r>
      <w:r w:rsidRPr="002C0D19">
        <w:rPr>
          <w:rFonts w:ascii="Arial Narrow" w:hAnsi="Arial Narrow" w:cs="Arial"/>
          <w:b/>
          <w:color w:val="000000" w:themeColor="text1"/>
          <w:lang w:val="es-MX" w:eastAsia="es-ES"/>
        </w:rPr>
        <w:t xml:space="preserve"> LA CRCC </w:t>
      </w:r>
      <w:r w:rsidRPr="002C0D19">
        <w:rPr>
          <w:rFonts w:ascii="Arial Narrow" w:hAnsi="Arial Narrow" w:cs="Arial"/>
          <w:color w:val="000000" w:themeColor="text1"/>
          <w:lang w:val="es-MX" w:eastAsia="es-ES"/>
        </w:rPr>
        <w:t xml:space="preserve">hasta el último día de negociación permitida para el Activo o máximo durante los noventa y nueve (99) días siguientes contados de la fecha de la Operación Aceptada, siempre y cuando este plazo no exceda de la fecha de vencimiento del Activo. </w:t>
      </w:r>
    </w:p>
    <w:p w14:paraId="69A4F510" w14:textId="77777777" w:rsidR="007968EC" w:rsidRPr="002C0D19" w:rsidRDefault="007968EC" w:rsidP="00DA7472">
      <w:pPr>
        <w:numPr>
          <w:ilvl w:val="0"/>
          <w:numId w:val="49"/>
        </w:numPr>
        <w:autoSpaceDE w:val="0"/>
        <w:autoSpaceDN w:val="0"/>
        <w:adjustRightInd w:val="0"/>
        <w:ind w:right="18"/>
        <w:jc w:val="both"/>
        <w:rPr>
          <w:rFonts w:ascii="Arial Narrow" w:hAnsi="Arial Narrow" w:cs="Arial"/>
          <w:color w:val="000000" w:themeColor="text1"/>
          <w:lang w:val="es-ES" w:eastAsia="es-ES"/>
        </w:rPr>
      </w:pPr>
      <w:r w:rsidRPr="002C0D19">
        <w:rPr>
          <w:rFonts w:ascii="Arial Narrow" w:hAnsi="Arial Narrow" w:cs="Arial"/>
          <w:color w:val="000000" w:themeColor="text1"/>
          <w:lang w:eastAsia="es-ES"/>
        </w:rPr>
        <w:t xml:space="preserve">Declara y acepta que los </w:t>
      </w:r>
      <w:proofErr w:type="spellStart"/>
      <w:r w:rsidRPr="002C0D19">
        <w:rPr>
          <w:rFonts w:ascii="Arial Narrow" w:hAnsi="Arial Narrow" w:cs="Arial"/>
          <w:i/>
          <w:color w:val="000000" w:themeColor="text1"/>
          <w:lang w:eastAsia="es-ES"/>
        </w:rPr>
        <w:t>Give</w:t>
      </w:r>
      <w:proofErr w:type="spellEnd"/>
      <w:r w:rsidRPr="002C0D19">
        <w:rPr>
          <w:rFonts w:ascii="Arial Narrow" w:hAnsi="Arial Narrow" w:cs="Arial"/>
          <w:i/>
          <w:color w:val="000000" w:themeColor="text1"/>
          <w:lang w:eastAsia="es-ES"/>
        </w:rPr>
        <w:t>-up</w:t>
      </w:r>
      <w:r w:rsidRPr="002C0D19">
        <w:rPr>
          <w:rFonts w:ascii="Arial Narrow" w:hAnsi="Arial Narrow" w:cs="Arial"/>
          <w:color w:val="000000" w:themeColor="text1"/>
          <w:lang w:eastAsia="es-ES"/>
        </w:rPr>
        <w:t xml:space="preserve"> podrán efectuarse tanto desde el Sistema de Compensación y Liquidación de Operaciones de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o mediante alguna de las funcionalidades proporcionadas por la misma.</w:t>
      </w:r>
      <w:r w:rsidRPr="002C0D19">
        <w:rPr>
          <w:rFonts w:ascii="Arial Narrow" w:hAnsi="Arial Narrow" w:cs="Arial"/>
          <w:b/>
          <w:color w:val="000000" w:themeColor="text1"/>
          <w:lang w:eastAsia="es-ES"/>
        </w:rPr>
        <w:t xml:space="preserve"> </w:t>
      </w:r>
    </w:p>
    <w:p w14:paraId="785A6151" w14:textId="77777777" w:rsidR="007968EC" w:rsidRPr="002C0D19" w:rsidRDefault="007968EC" w:rsidP="00DA7472">
      <w:pPr>
        <w:numPr>
          <w:ilvl w:val="0"/>
          <w:numId w:val="49"/>
        </w:numPr>
        <w:ind w:right="18"/>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Declara y acepta que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podrá suspender la aceptación de los </w:t>
      </w:r>
      <w:proofErr w:type="spellStart"/>
      <w:r w:rsidRPr="002C0D19">
        <w:rPr>
          <w:rFonts w:ascii="Arial Narrow" w:hAnsi="Arial Narrow" w:cs="Arial"/>
          <w:i/>
          <w:color w:val="000000" w:themeColor="text1"/>
          <w:lang w:eastAsia="es-ES"/>
        </w:rPr>
        <w:t>Give</w:t>
      </w:r>
      <w:proofErr w:type="spellEnd"/>
      <w:r w:rsidRPr="002C0D19">
        <w:rPr>
          <w:rFonts w:ascii="Arial Narrow" w:hAnsi="Arial Narrow" w:cs="Arial"/>
          <w:i/>
          <w:color w:val="000000" w:themeColor="text1"/>
          <w:lang w:eastAsia="es-ES"/>
        </w:rPr>
        <w:t>-Up</w:t>
      </w:r>
      <w:r w:rsidRPr="002C0D19">
        <w:rPr>
          <w:rFonts w:ascii="Arial Narrow" w:hAnsi="Arial Narrow" w:cs="Arial"/>
          <w:color w:val="000000" w:themeColor="text1"/>
          <w:lang w:eastAsia="es-ES"/>
        </w:rPr>
        <w:t xml:space="preserve"> realizados por </w:t>
      </w:r>
      <w:r w:rsidRPr="002C0D19">
        <w:rPr>
          <w:rFonts w:ascii="Arial Narrow" w:hAnsi="Arial Narrow" w:cs="Arial"/>
          <w:b/>
          <w:color w:val="000000" w:themeColor="text1"/>
          <w:lang w:eastAsia="es-ES"/>
        </w:rPr>
        <w:t>EL MIEMBRO</w:t>
      </w:r>
      <w:r w:rsidRPr="002C0D19">
        <w:rPr>
          <w:rFonts w:ascii="Arial Narrow" w:hAnsi="Arial Narrow" w:cs="Arial"/>
          <w:color w:val="000000" w:themeColor="text1"/>
          <w:lang w:eastAsia="es-ES"/>
        </w:rPr>
        <w:t xml:space="preserve"> en cualquier momento de la sesión, en el evento en que dicho </w:t>
      </w:r>
      <w:r w:rsidRPr="002C0D19">
        <w:rPr>
          <w:rFonts w:ascii="Arial Narrow" w:hAnsi="Arial Narrow" w:cs="Arial"/>
          <w:b/>
          <w:color w:val="000000" w:themeColor="text1"/>
          <w:lang w:eastAsia="es-ES"/>
        </w:rPr>
        <w:t>MIEMBRO</w:t>
      </w:r>
      <w:r w:rsidRPr="002C0D19">
        <w:rPr>
          <w:rFonts w:ascii="Arial Narrow" w:hAnsi="Arial Narrow" w:cs="Arial"/>
          <w:color w:val="000000" w:themeColor="text1"/>
          <w:lang w:eastAsia="es-ES"/>
        </w:rPr>
        <w:t xml:space="preserve"> supere los límites de riesgo asignados.</w:t>
      </w:r>
    </w:p>
    <w:p w14:paraId="3E545FF4" w14:textId="77777777" w:rsidR="007968EC" w:rsidRPr="002C0D19" w:rsidRDefault="007968EC" w:rsidP="00DA7472">
      <w:pPr>
        <w:numPr>
          <w:ilvl w:val="0"/>
          <w:numId w:val="49"/>
        </w:numPr>
        <w:ind w:right="18"/>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Declara y acepta que una vez registrado el </w:t>
      </w:r>
      <w:proofErr w:type="spellStart"/>
      <w:r w:rsidRPr="002C0D19">
        <w:rPr>
          <w:rFonts w:ascii="Arial Narrow" w:hAnsi="Arial Narrow" w:cs="Arial"/>
          <w:i/>
          <w:color w:val="000000" w:themeColor="text1"/>
          <w:lang w:eastAsia="es-ES"/>
        </w:rPr>
        <w:t>Give</w:t>
      </w:r>
      <w:proofErr w:type="spellEnd"/>
      <w:r w:rsidRPr="002C0D19">
        <w:rPr>
          <w:rFonts w:ascii="Arial Narrow" w:hAnsi="Arial Narrow" w:cs="Arial"/>
          <w:color w:val="000000" w:themeColor="text1"/>
          <w:lang w:eastAsia="es-ES"/>
        </w:rPr>
        <w:t>-</w:t>
      </w:r>
      <w:r w:rsidRPr="002C0D19">
        <w:rPr>
          <w:rFonts w:ascii="Arial Narrow" w:hAnsi="Arial Narrow" w:cs="Arial"/>
          <w:i/>
          <w:color w:val="000000" w:themeColor="text1"/>
          <w:lang w:eastAsia="es-ES"/>
        </w:rPr>
        <w:t>Up</w:t>
      </w:r>
      <w:r w:rsidRPr="002C0D19">
        <w:rPr>
          <w:rFonts w:ascii="Arial Narrow" w:hAnsi="Arial Narrow" w:cs="Arial"/>
          <w:color w:val="000000" w:themeColor="text1"/>
          <w:lang w:eastAsia="es-ES"/>
        </w:rPr>
        <w:t xml:space="preserve"> en la Cuenta de </w:t>
      </w:r>
      <w:r w:rsidRPr="002C0D19">
        <w:rPr>
          <w:rFonts w:ascii="Arial Narrow" w:hAnsi="Arial Narrow" w:cs="Arial"/>
          <w:b/>
          <w:color w:val="000000" w:themeColor="text1"/>
          <w:lang w:eastAsia="es-ES"/>
        </w:rPr>
        <w:t>EL</w:t>
      </w:r>
      <w:r w:rsidRPr="002C0D19">
        <w:rPr>
          <w:rFonts w:ascii="Arial Narrow" w:hAnsi="Arial Narrow" w:cs="Arial"/>
          <w:color w:val="000000" w:themeColor="text1"/>
          <w:lang w:eastAsia="es-ES"/>
        </w:rPr>
        <w:t xml:space="preserve"> </w:t>
      </w:r>
      <w:r w:rsidRPr="002C0D19">
        <w:rPr>
          <w:rFonts w:ascii="Arial Narrow" w:hAnsi="Arial Narrow" w:cs="Arial"/>
          <w:b/>
          <w:color w:val="000000" w:themeColor="text1"/>
          <w:lang w:eastAsia="es-ES"/>
        </w:rPr>
        <w:t>TERCERO</w:t>
      </w:r>
      <w:r w:rsidRPr="002C0D19">
        <w:rPr>
          <w:rFonts w:ascii="Arial Narrow" w:hAnsi="Arial Narrow" w:cs="Arial"/>
          <w:color w:val="000000" w:themeColor="text1"/>
          <w:lang w:eastAsia="es-ES"/>
        </w:rPr>
        <w:t xml:space="preserve"> en el </w:t>
      </w:r>
      <w:r w:rsidRPr="002C0D19">
        <w:rPr>
          <w:rFonts w:ascii="Arial Narrow" w:hAnsi="Arial Narrow" w:cs="Arial"/>
          <w:b/>
          <w:color w:val="000000" w:themeColor="text1"/>
          <w:lang w:eastAsia="es-ES"/>
        </w:rPr>
        <w:t>MIEMBRO DE DESTINO</w:t>
      </w:r>
      <w:r w:rsidRPr="002C0D19">
        <w:rPr>
          <w:rFonts w:ascii="Arial Narrow" w:hAnsi="Arial Narrow" w:cs="Arial"/>
          <w:color w:val="000000" w:themeColor="text1"/>
          <w:lang w:eastAsia="es-ES"/>
        </w:rPr>
        <w:t xml:space="preserve">, éste será responsable de la Compensación y Liquidación de la Operación. </w:t>
      </w:r>
    </w:p>
    <w:p w14:paraId="45F1F379" w14:textId="77777777" w:rsidR="007968EC" w:rsidRPr="002C0D19" w:rsidRDefault="007968EC" w:rsidP="00DA7472">
      <w:pPr>
        <w:numPr>
          <w:ilvl w:val="0"/>
          <w:numId w:val="49"/>
        </w:numPr>
        <w:ind w:right="18"/>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lastRenderedPageBreak/>
        <w:t xml:space="preserve">Declara y acepta que al realizar el </w:t>
      </w:r>
      <w:proofErr w:type="spellStart"/>
      <w:r w:rsidRPr="002C0D19">
        <w:rPr>
          <w:rFonts w:ascii="Arial Narrow" w:hAnsi="Arial Narrow" w:cs="Arial"/>
          <w:i/>
          <w:color w:val="000000" w:themeColor="text1"/>
          <w:lang w:eastAsia="es-ES"/>
        </w:rPr>
        <w:t>Give</w:t>
      </w:r>
      <w:proofErr w:type="spellEnd"/>
      <w:r w:rsidRPr="002C0D19">
        <w:rPr>
          <w:rFonts w:ascii="Arial Narrow" w:hAnsi="Arial Narrow" w:cs="Arial"/>
          <w:i/>
          <w:color w:val="000000" w:themeColor="text1"/>
          <w:lang w:eastAsia="es-ES"/>
        </w:rPr>
        <w:t>-Up</w:t>
      </w:r>
      <w:r w:rsidRPr="002C0D19">
        <w:rPr>
          <w:rFonts w:ascii="Arial Narrow" w:hAnsi="Arial Narrow" w:cs="Arial"/>
          <w:color w:val="000000" w:themeColor="text1"/>
          <w:lang w:eastAsia="es-ES"/>
        </w:rPr>
        <w:t xml:space="preserve">, la posición, las tarifas y todos los términos y obligaciones de la Operación serán registrados en la Cuenta de Tercero, en el </w:t>
      </w:r>
      <w:r w:rsidRPr="002C0D19">
        <w:rPr>
          <w:rFonts w:ascii="Arial Narrow" w:hAnsi="Arial Narrow" w:cs="Arial"/>
          <w:b/>
          <w:color w:val="000000" w:themeColor="text1"/>
          <w:lang w:eastAsia="es-ES"/>
        </w:rPr>
        <w:t>MIEMBRO DE DESTINO</w:t>
      </w:r>
      <w:r w:rsidRPr="002C0D19">
        <w:rPr>
          <w:rFonts w:ascii="Arial Narrow" w:hAnsi="Arial Narrow" w:cs="Arial"/>
          <w:color w:val="000000" w:themeColor="text1"/>
          <w:lang w:eastAsia="es-ES"/>
        </w:rPr>
        <w:t>.</w:t>
      </w:r>
    </w:p>
    <w:p w14:paraId="6E164F02" w14:textId="77777777" w:rsidR="007968EC" w:rsidRPr="002C0D19" w:rsidRDefault="007968EC" w:rsidP="00DA7472">
      <w:pPr>
        <w:numPr>
          <w:ilvl w:val="0"/>
          <w:numId w:val="49"/>
        </w:numPr>
        <w:ind w:right="18"/>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Declara y acepta que el procedimiento y demás términos y condiciones para la realización de una operación de </w:t>
      </w:r>
      <w:proofErr w:type="spellStart"/>
      <w:r w:rsidRPr="002C0D19">
        <w:rPr>
          <w:rFonts w:ascii="Arial Narrow" w:hAnsi="Arial Narrow" w:cs="Arial"/>
          <w:i/>
          <w:iCs/>
          <w:color w:val="000000" w:themeColor="text1"/>
          <w:lang w:eastAsia="es-ES"/>
        </w:rPr>
        <w:t>Give</w:t>
      </w:r>
      <w:proofErr w:type="spellEnd"/>
      <w:r w:rsidRPr="002C0D19">
        <w:rPr>
          <w:rFonts w:ascii="Arial Narrow" w:hAnsi="Arial Narrow" w:cs="Arial"/>
          <w:i/>
          <w:iCs/>
          <w:color w:val="000000" w:themeColor="text1"/>
          <w:lang w:eastAsia="es-ES"/>
        </w:rPr>
        <w:t xml:space="preserve">-Up, </w:t>
      </w:r>
      <w:r w:rsidRPr="002C0D19">
        <w:rPr>
          <w:rFonts w:ascii="Arial Narrow" w:hAnsi="Arial Narrow" w:cs="Arial"/>
          <w:iCs/>
          <w:color w:val="000000" w:themeColor="text1"/>
          <w:lang w:eastAsia="es-ES"/>
        </w:rPr>
        <w:t>así como,</w:t>
      </w:r>
      <w:r w:rsidRPr="002C0D19">
        <w:rPr>
          <w:rFonts w:ascii="Arial Narrow" w:hAnsi="Arial Narrow" w:cs="Arial"/>
          <w:i/>
          <w:iCs/>
          <w:color w:val="000000" w:themeColor="text1"/>
          <w:lang w:eastAsia="es-ES"/>
        </w:rPr>
        <w:t xml:space="preserve"> </w:t>
      </w:r>
      <w:r w:rsidRPr="002C0D19">
        <w:rPr>
          <w:rFonts w:ascii="Arial Narrow" w:hAnsi="Arial Narrow" w:cs="Arial"/>
          <w:color w:val="000000" w:themeColor="text1"/>
          <w:lang w:eastAsia="es-ES"/>
        </w:rPr>
        <w:t>las tarifas aplicables al mismo, están consignados en la Circular.</w:t>
      </w:r>
    </w:p>
    <w:p w14:paraId="68E1E8B3" w14:textId="77777777" w:rsidR="007968EC" w:rsidRPr="002C0D19" w:rsidRDefault="007968EC" w:rsidP="00DA7472">
      <w:pPr>
        <w:numPr>
          <w:ilvl w:val="0"/>
          <w:numId w:val="49"/>
        </w:num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Declara que, en caso de que </w:t>
      </w:r>
      <w:r w:rsidRPr="002C0D19">
        <w:rPr>
          <w:rFonts w:ascii="Arial Narrow" w:hAnsi="Arial Narrow" w:cs="Arial"/>
          <w:b/>
          <w:color w:val="000000" w:themeColor="text1"/>
          <w:lang w:val="es-ES" w:eastAsia="es-ES"/>
        </w:rPr>
        <w:t xml:space="preserve">EL MIEMBRO DE DESTINO </w:t>
      </w:r>
      <w:r w:rsidRPr="002C0D19">
        <w:rPr>
          <w:rFonts w:ascii="Arial Narrow" w:hAnsi="Arial Narrow" w:cs="Arial"/>
          <w:color w:val="000000" w:themeColor="text1"/>
          <w:lang w:val="es-ES" w:eastAsia="es-ES"/>
        </w:rPr>
        <w:t xml:space="preserve">no acepte por cualquier razón una Operación que le haya sido trasladada por </w:t>
      </w:r>
      <w:r w:rsidRPr="002C0D19">
        <w:rPr>
          <w:rFonts w:ascii="Arial Narrow" w:hAnsi="Arial Narrow" w:cs="Arial"/>
          <w:b/>
          <w:color w:val="000000" w:themeColor="text1"/>
          <w:lang w:val="es-ES" w:eastAsia="es-ES"/>
        </w:rPr>
        <w:t>EL MIEMBRO DE ORIGEN</w:t>
      </w:r>
      <w:r w:rsidRPr="002C0D19">
        <w:rPr>
          <w:rFonts w:ascii="Arial Narrow" w:hAnsi="Arial Narrow" w:cs="Arial"/>
          <w:color w:val="000000" w:themeColor="text1"/>
          <w:lang w:val="es-ES" w:eastAsia="es-ES"/>
        </w:rPr>
        <w:t xml:space="preserve">, autoriza a </w:t>
      </w:r>
      <w:r w:rsidRPr="002C0D19">
        <w:rPr>
          <w:rFonts w:ascii="Arial Narrow" w:hAnsi="Arial Narrow" w:cs="Arial"/>
          <w:b/>
          <w:color w:val="000000" w:themeColor="text1"/>
          <w:lang w:val="es-ES" w:eastAsia="es-ES"/>
        </w:rPr>
        <w:t>EL MIEMBRO DE ORIGEN</w:t>
      </w:r>
      <w:r w:rsidRPr="002C0D19">
        <w:rPr>
          <w:rFonts w:ascii="Arial Narrow" w:hAnsi="Arial Narrow" w:cs="Arial"/>
          <w:color w:val="000000" w:themeColor="text1"/>
          <w:lang w:val="es-ES" w:eastAsia="es-ES"/>
        </w:rPr>
        <w:t xml:space="preserve"> u otro </w:t>
      </w:r>
      <w:r w:rsidRPr="002C0D19">
        <w:rPr>
          <w:rFonts w:ascii="Arial Narrow" w:hAnsi="Arial Narrow" w:cs="Arial"/>
          <w:b/>
          <w:color w:val="000000" w:themeColor="text1"/>
          <w:lang w:val="es-ES" w:eastAsia="es-ES"/>
        </w:rPr>
        <w:t>MIEMBRO</w:t>
      </w:r>
      <w:r w:rsidRPr="002C0D19">
        <w:rPr>
          <w:rFonts w:ascii="Arial Narrow" w:hAnsi="Arial Narrow" w:cs="Arial"/>
          <w:color w:val="000000" w:themeColor="text1"/>
          <w:lang w:val="es-ES" w:eastAsia="es-ES"/>
        </w:rPr>
        <w:t xml:space="preserve"> que éste designe para que a su discreción:</w:t>
      </w:r>
    </w:p>
    <w:p w14:paraId="3DA9074D" w14:textId="77777777" w:rsidR="007968EC" w:rsidRPr="002C0D19" w:rsidRDefault="007968EC" w:rsidP="007968EC">
      <w:pPr>
        <w:autoSpaceDE w:val="0"/>
        <w:autoSpaceDN w:val="0"/>
        <w:adjustRightInd w:val="0"/>
        <w:ind w:left="720"/>
        <w:jc w:val="both"/>
        <w:rPr>
          <w:rFonts w:ascii="Arial Narrow" w:hAnsi="Arial Narrow" w:cs="Arial"/>
          <w:color w:val="000000" w:themeColor="text1"/>
          <w:lang w:val="es-ES" w:eastAsia="es-ES"/>
        </w:rPr>
      </w:pPr>
    </w:p>
    <w:p w14:paraId="1889DA82" w14:textId="77777777" w:rsidR="007968EC" w:rsidRPr="002C0D19" w:rsidRDefault="007968EC" w:rsidP="00DA7472">
      <w:pPr>
        <w:numPr>
          <w:ilvl w:val="0"/>
          <w:numId w:val="44"/>
        </w:num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Cierre la Posición. En este caso </w:t>
      </w:r>
      <w:r w:rsidRPr="002C0D19">
        <w:rPr>
          <w:rFonts w:ascii="Arial Narrow" w:hAnsi="Arial Narrow" w:cs="Arial"/>
          <w:b/>
          <w:color w:val="000000" w:themeColor="text1"/>
          <w:lang w:val="es-ES" w:eastAsia="es-ES"/>
        </w:rPr>
        <w:t xml:space="preserve">EL MIEMBRO DE ORIGEN </w:t>
      </w:r>
      <w:r w:rsidRPr="002C0D19">
        <w:rPr>
          <w:rFonts w:ascii="Arial Narrow" w:hAnsi="Arial Narrow" w:cs="Arial"/>
          <w:color w:val="000000" w:themeColor="text1"/>
          <w:lang w:val="es-ES" w:eastAsia="es-ES"/>
        </w:rPr>
        <w:t xml:space="preserve">notificará sin demora al </w:t>
      </w:r>
      <w:r w:rsidRPr="002C0D19">
        <w:rPr>
          <w:rFonts w:ascii="Arial Narrow" w:hAnsi="Arial Narrow" w:cs="Arial"/>
          <w:b/>
          <w:color w:val="000000" w:themeColor="text1"/>
          <w:lang w:val="es-ES" w:eastAsia="es-ES"/>
        </w:rPr>
        <w:t>TERCERO</w:t>
      </w:r>
      <w:r w:rsidRPr="002C0D19">
        <w:rPr>
          <w:rFonts w:ascii="Arial Narrow" w:hAnsi="Arial Narrow" w:cs="Arial"/>
          <w:color w:val="000000" w:themeColor="text1"/>
          <w:lang w:val="es-ES" w:eastAsia="es-ES"/>
        </w:rPr>
        <w:t xml:space="preserve"> el cierre de la posición. Cualquier saldo resultante del cierre de Posición será liquidado sin demora entre </w:t>
      </w:r>
      <w:r w:rsidRPr="002C0D19">
        <w:rPr>
          <w:rFonts w:ascii="Arial Narrow" w:hAnsi="Arial Narrow" w:cs="Arial"/>
          <w:b/>
          <w:color w:val="000000" w:themeColor="text1"/>
          <w:lang w:val="es-ES" w:eastAsia="es-ES"/>
        </w:rPr>
        <w:t xml:space="preserve">EL MIEMBRO DE ORIGEN </w:t>
      </w:r>
      <w:r w:rsidRPr="002C0D19">
        <w:rPr>
          <w:rFonts w:ascii="Arial Narrow" w:hAnsi="Arial Narrow" w:cs="Arial"/>
          <w:color w:val="000000" w:themeColor="text1"/>
          <w:lang w:val="es-ES" w:eastAsia="es-ES"/>
        </w:rPr>
        <w:t xml:space="preserve">y </w:t>
      </w:r>
      <w:r w:rsidRPr="002C0D19">
        <w:rPr>
          <w:rFonts w:ascii="Arial Narrow" w:hAnsi="Arial Narrow" w:cs="Arial"/>
          <w:b/>
          <w:color w:val="000000" w:themeColor="text1"/>
          <w:lang w:val="es-ES" w:eastAsia="es-ES"/>
        </w:rPr>
        <w:t>El</w:t>
      </w:r>
      <w:r w:rsidRPr="002C0D19">
        <w:rPr>
          <w:rFonts w:ascii="Arial Narrow" w:hAnsi="Arial Narrow" w:cs="Arial"/>
          <w:color w:val="000000" w:themeColor="text1"/>
          <w:lang w:val="es-ES" w:eastAsia="es-ES"/>
        </w:rPr>
        <w:t xml:space="preserve"> </w:t>
      </w:r>
      <w:r w:rsidRPr="002C0D19">
        <w:rPr>
          <w:rFonts w:ascii="Arial Narrow" w:hAnsi="Arial Narrow" w:cs="Arial"/>
          <w:b/>
          <w:color w:val="000000" w:themeColor="text1"/>
          <w:lang w:val="es-ES" w:eastAsia="es-ES"/>
        </w:rPr>
        <w:t>TERCERO</w:t>
      </w:r>
      <w:r w:rsidRPr="002C0D19">
        <w:rPr>
          <w:rFonts w:ascii="Arial Narrow" w:hAnsi="Arial Narrow" w:cs="Arial"/>
          <w:color w:val="000000" w:themeColor="text1"/>
          <w:lang w:val="es-ES" w:eastAsia="es-ES"/>
        </w:rPr>
        <w:t>, o bien</w:t>
      </w:r>
    </w:p>
    <w:p w14:paraId="7B907647" w14:textId="77777777" w:rsidR="007968EC" w:rsidRPr="002C0D19" w:rsidRDefault="007968EC" w:rsidP="00DA7472">
      <w:pPr>
        <w:numPr>
          <w:ilvl w:val="0"/>
          <w:numId w:val="44"/>
        </w:num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Traslade dentro del mismo Segmento las Operaciones del </w:t>
      </w:r>
      <w:r w:rsidRPr="002C0D19">
        <w:rPr>
          <w:rFonts w:ascii="Arial Narrow" w:hAnsi="Arial Narrow" w:cs="Arial"/>
          <w:b/>
          <w:color w:val="000000" w:themeColor="text1"/>
          <w:lang w:val="es-ES" w:eastAsia="es-ES"/>
        </w:rPr>
        <w:t>TERCERO</w:t>
      </w:r>
      <w:r w:rsidRPr="002C0D19">
        <w:rPr>
          <w:rFonts w:ascii="Arial Narrow" w:hAnsi="Arial Narrow" w:cs="Arial"/>
          <w:color w:val="000000" w:themeColor="text1"/>
          <w:lang w:val="es-ES" w:eastAsia="es-ES"/>
        </w:rPr>
        <w:t xml:space="preserve"> a otro </w:t>
      </w:r>
      <w:r w:rsidRPr="002C0D19">
        <w:rPr>
          <w:rFonts w:ascii="Arial Narrow" w:hAnsi="Arial Narrow" w:cs="Arial"/>
          <w:b/>
          <w:color w:val="000000" w:themeColor="text1"/>
          <w:lang w:val="es-ES" w:eastAsia="es-ES"/>
        </w:rPr>
        <w:t>MIEMBRO DE DESTINO</w:t>
      </w:r>
      <w:r w:rsidRPr="002C0D19">
        <w:rPr>
          <w:rFonts w:ascii="Arial Narrow" w:hAnsi="Arial Narrow" w:cs="Arial"/>
          <w:color w:val="000000" w:themeColor="text1"/>
          <w:lang w:val="es-ES" w:eastAsia="es-ES"/>
        </w:rPr>
        <w:t xml:space="preserve"> siguiendo las instrucciones del </w:t>
      </w:r>
      <w:r w:rsidRPr="002C0D19">
        <w:rPr>
          <w:rFonts w:ascii="Arial Narrow" w:hAnsi="Arial Narrow" w:cs="Arial"/>
          <w:b/>
          <w:color w:val="000000" w:themeColor="text1"/>
          <w:lang w:val="es-ES" w:eastAsia="es-ES"/>
        </w:rPr>
        <w:t>TERCERO</w:t>
      </w:r>
      <w:r w:rsidRPr="002C0D19">
        <w:rPr>
          <w:rFonts w:ascii="Arial Narrow" w:hAnsi="Arial Narrow" w:cs="Arial"/>
          <w:color w:val="000000" w:themeColor="text1"/>
          <w:lang w:val="es-ES" w:eastAsia="es-ES"/>
        </w:rPr>
        <w:t>, o bien</w:t>
      </w:r>
    </w:p>
    <w:p w14:paraId="701685D0" w14:textId="77777777" w:rsidR="007968EC" w:rsidRPr="002C0D19" w:rsidRDefault="007968EC" w:rsidP="00DA7472">
      <w:pPr>
        <w:numPr>
          <w:ilvl w:val="0"/>
          <w:numId w:val="44"/>
        </w:num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Liquide la Operación del </w:t>
      </w:r>
      <w:r w:rsidRPr="002C0D19">
        <w:rPr>
          <w:rFonts w:ascii="Arial Narrow" w:hAnsi="Arial Narrow" w:cs="Arial"/>
          <w:b/>
          <w:color w:val="000000" w:themeColor="text1"/>
          <w:lang w:val="es-ES" w:eastAsia="es-ES"/>
        </w:rPr>
        <w:t>TERCERO</w:t>
      </w:r>
      <w:r w:rsidRPr="002C0D19">
        <w:rPr>
          <w:rFonts w:ascii="Arial Narrow" w:hAnsi="Arial Narrow" w:cs="Arial"/>
          <w:color w:val="000000" w:themeColor="text1"/>
          <w:lang w:val="es-ES" w:eastAsia="es-ES"/>
        </w:rPr>
        <w:t>, en las siguientes condiciones:</w:t>
      </w:r>
    </w:p>
    <w:p w14:paraId="2B187EDD" w14:textId="77777777" w:rsidR="007968EC" w:rsidRPr="002C0D19" w:rsidRDefault="007968EC" w:rsidP="007968EC">
      <w:pPr>
        <w:autoSpaceDE w:val="0"/>
        <w:autoSpaceDN w:val="0"/>
        <w:adjustRightInd w:val="0"/>
        <w:ind w:left="1773"/>
        <w:jc w:val="both"/>
        <w:rPr>
          <w:rFonts w:ascii="Arial Narrow" w:hAnsi="Arial Narrow" w:cs="Arial"/>
          <w:color w:val="000000" w:themeColor="text1"/>
          <w:lang w:val="es-ES" w:eastAsia="es-ES"/>
        </w:rPr>
      </w:pPr>
    </w:p>
    <w:p w14:paraId="65C7B954" w14:textId="77777777" w:rsidR="007968EC" w:rsidRPr="002C0D19" w:rsidRDefault="007968EC" w:rsidP="00DA7472">
      <w:pPr>
        <w:numPr>
          <w:ilvl w:val="0"/>
          <w:numId w:val="45"/>
        </w:num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 w:eastAsia="es-ES"/>
        </w:rPr>
        <w:t>EL TERCERO</w:t>
      </w:r>
      <w:r w:rsidRPr="002C0D19">
        <w:rPr>
          <w:rFonts w:ascii="Arial Narrow" w:hAnsi="Arial Narrow" w:cs="Arial"/>
          <w:color w:val="000000" w:themeColor="text1"/>
          <w:lang w:val="es-ES" w:eastAsia="es-ES"/>
        </w:rPr>
        <w:t xml:space="preserve"> asumirá la plena responsabilidad de todas las obligaciones derivadas o relacionadas con las Operaciones que </w:t>
      </w:r>
      <w:r w:rsidRPr="002C0D19">
        <w:rPr>
          <w:rFonts w:ascii="Arial Narrow" w:hAnsi="Arial Narrow" w:cs="Arial"/>
          <w:b/>
          <w:color w:val="000000" w:themeColor="text1"/>
          <w:lang w:val="es-ES" w:eastAsia="es-ES"/>
        </w:rPr>
        <w:t xml:space="preserve">EL MIEMBRO DE ORIGEN </w:t>
      </w:r>
      <w:r w:rsidRPr="002C0D19">
        <w:rPr>
          <w:rFonts w:ascii="Arial Narrow" w:hAnsi="Arial Narrow" w:cs="Arial"/>
          <w:color w:val="000000" w:themeColor="text1"/>
          <w:lang w:val="es-ES" w:eastAsia="es-ES"/>
        </w:rPr>
        <w:t xml:space="preserve">registre en su cuenta, incluyendo, aunque no limitándose a: 1) Los saldos de la Liquidación Diaria o al Vencimiento, y 2) Las tarifas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y 3) Demás costos que se generen, si ello hubiere lugar.</w:t>
      </w:r>
    </w:p>
    <w:p w14:paraId="3A1DAB93" w14:textId="77777777" w:rsidR="007968EC" w:rsidRPr="002C0D19" w:rsidRDefault="007968EC" w:rsidP="00DA7472">
      <w:pPr>
        <w:numPr>
          <w:ilvl w:val="0"/>
          <w:numId w:val="45"/>
        </w:num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 w:eastAsia="es-ES"/>
        </w:rPr>
        <w:t xml:space="preserve">EL MIEMBRO DE ORIGEN </w:t>
      </w:r>
      <w:r w:rsidRPr="002C0D19">
        <w:rPr>
          <w:rFonts w:ascii="Arial Narrow" w:hAnsi="Arial Narrow" w:cs="Arial"/>
          <w:color w:val="000000" w:themeColor="text1"/>
          <w:lang w:val="es-ES" w:eastAsia="es-ES"/>
        </w:rPr>
        <w:t xml:space="preserve">tendrá derecho a solicitar la constitución de garantías adicionales de la forma y manera que considere conveniente. Si </w:t>
      </w:r>
      <w:r w:rsidRPr="002C0D19">
        <w:rPr>
          <w:rFonts w:ascii="Arial Narrow" w:hAnsi="Arial Narrow" w:cs="Arial"/>
          <w:b/>
          <w:color w:val="000000" w:themeColor="text1"/>
          <w:lang w:val="es-ES" w:eastAsia="es-ES"/>
        </w:rPr>
        <w:t>EL TERCERO</w:t>
      </w:r>
      <w:r w:rsidRPr="002C0D19">
        <w:rPr>
          <w:rFonts w:ascii="Arial Narrow" w:hAnsi="Arial Narrow" w:cs="Arial"/>
          <w:color w:val="000000" w:themeColor="text1"/>
          <w:lang w:val="es-ES" w:eastAsia="es-ES"/>
        </w:rPr>
        <w:t xml:space="preserve"> no cumple dicha solicitud de garantía adicional en el plazo establecido o si </w:t>
      </w:r>
      <w:r w:rsidRPr="002C0D19">
        <w:rPr>
          <w:rFonts w:ascii="Arial Narrow" w:hAnsi="Arial Narrow" w:cs="Arial"/>
          <w:b/>
          <w:color w:val="000000" w:themeColor="text1"/>
          <w:lang w:val="es-ES" w:eastAsia="es-ES"/>
        </w:rPr>
        <w:t xml:space="preserve">EL MIEMBRO DE ORIGEN </w:t>
      </w:r>
      <w:r w:rsidRPr="002C0D19">
        <w:rPr>
          <w:rFonts w:ascii="Arial Narrow" w:hAnsi="Arial Narrow" w:cs="Arial"/>
          <w:color w:val="000000" w:themeColor="text1"/>
          <w:lang w:val="es-ES" w:eastAsia="es-ES"/>
        </w:rPr>
        <w:t xml:space="preserve">lo considera oportuno para su propia protección, a su discreción, podrá cerrar la posición del </w:t>
      </w:r>
      <w:r w:rsidRPr="002C0D19">
        <w:rPr>
          <w:rFonts w:ascii="Arial Narrow" w:hAnsi="Arial Narrow" w:cs="Arial"/>
          <w:b/>
          <w:color w:val="000000" w:themeColor="text1"/>
          <w:lang w:val="es-ES" w:eastAsia="es-ES"/>
        </w:rPr>
        <w:t>TERCERO</w:t>
      </w:r>
      <w:r w:rsidRPr="002C0D19">
        <w:rPr>
          <w:rFonts w:ascii="Arial Narrow" w:hAnsi="Arial Narrow" w:cs="Arial"/>
          <w:color w:val="000000" w:themeColor="text1"/>
          <w:lang w:val="es-ES" w:eastAsia="es-ES"/>
        </w:rPr>
        <w:t xml:space="preserve"> con arreglo a lo contemplado en el literal a) de este numeral.</w:t>
      </w:r>
    </w:p>
    <w:p w14:paraId="1F4BFB00" w14:textId="77777777" w:rsidR="007968EC" w:rsidRPr="002C0D19" w:rsidRDefault="007968EC" w:rsidP="00DA7472">
      <w:pPr>
        <w:numPr>
          <w:ilvl w:val="0"/>
          <w:numId w:val="45"/>
        </w:num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b/>
          <w:color w:val="000000" w:themeColor="text1"/>
          <w:lang w:val="es-MX" w:eastAsia="es-ES"/>
        </w:rPr>
        <w:t xml:space="preserve">ELTERCERO </w:t>
      </w:r>
      <w:r w:rsidRPr="002C0D19">
        <w:rPr>
          <w:rFonts w:ascii="Arial Narrow" w:hAnsi="Arial Narrow" w:cs="Arial"/>
          <w:color w:val="000000" w:themeColor="text1"/>
          <w:lang w:val="es-MX" w:eastAsia="es-ES"/>
        </w:rPr>
        <w:t>reconoce que sus operaciones pueden estar sujetas a liquidación por diferencias o entrega, cuando sea aplicable.</w:t>
      </w:r>
    </w:p>
    <w:p w14:paraId="40E8E540" w14:textId="77777777" w:rsidR="007968EC" w:rsidRPr="002C0D19" w:rsidRDefault="007968EC" w:rsidP="007968EC">
      <w:pPr>
        <w:ind w:left="708"/>
        <w:rPr>
          <w:rFonts w:ascii="Arial Narrow" w:hAnsi="Arial Narrow" w:cs="Arial"/>
          <w:color w:val="000000" w:themeColor="text1"/>
          <w:lang w:val="es-ES" w:eastAsia="es-ES"/>
        </w:rPr>
      </w:pPr>
    </w:p>
    <w:p w14:paraId="41AF8F35" w14:textId="77777777" w:rsidR="007968EC" w:rsidRPr="002C0D19" w:rsidRDefault="007968EC" w:rsidP="007968EC">
      <w:pPr>
        <w:ind w:right="18"/>
        <w:jc w:val="both"/>
        <w:rPr>
          <w:rFonts w:ascii="Arial Narrow" w:hAnsi="Arial Narrow" w:cs="Arial"/>
          <w:b/>
          <w:color w:val="000000" w:themeColor="text1"/>
          <w:lang w:val="es-ES" w:eastAsia="es-ES"/>
        </w:rPr>
      </w:pPr>
      <w:r w:rsidRPr="002C0D19">
        <w:rPr>
          <w:rFonts w:ascii="Arial Narrow" w:hAnsi="Arial Narrow" w:cs="Arial"/>
          <w:b/>
          <w:color w:val="000000" w:themeColor="text1"/>
          <w:u w:val="single"/>
          <w:lang w:val="es-ES" w:eastAsia="es-ES"/>
        </w:rPr>
        <w:t>TERCERA. Obligaciones de EL TERCERO.</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Sin perjuicio</w:t>
      </w:r>
      <w:r w:rsidRPr="002C0D19">
        <w:rPr>
          <w:rFonts w:ascii="Arial Narrow" w:hAnsi="Arial Narrow" w:cs="Arial"/>
          <w:b/>
          <w:color w:val="000000" w:themeColor="text1"/>
          <w:lang w:val="es-ES" w:eastAsia="es-ES"/>
        </w:rPr>
        <w:t xml:space="preserve"> </w:t>
      </w:r>
      <w:r w:rsidRPr="002C0D19">
        <w:rPr>
          <w:rFonts w:ascii="Arial Narrow" w:hAnsi="Arial Narrow" w:cs="Arial"/>
          <w:bCs/>
          <w:color w:val="000000" w:themeColor="text1"/>
          <w:lang w:eastAsia="es-ES"/>
        </w:rPr>
        <w:t xml:space="preserve">de las obligaciones previstas en las demás cláusulas de la presente Oferta, en el </w:t>
      </w:r>
      <w:r w:rsidRPr="002C0D19">
        <w:rPr>
          <w:rFonts w:ascii="Arial Narrow" w:hAnsi="Arial Narrow" w:cs="Arial"/>
          <w:color w:val="000000" w:themeColor="text1"/>
          <w:lang w:val="es-ES" w:eastAsia="es-ES"/>
        </w:rPr>
        <w:t xml:space="preserve">Reglamento de Funcionamiento, la Circular y los Instructivos Operativos de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y</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de la regulación de las Bolsas, los Sistemas de Negociación o Registro, y/o el mercado mostrador en los que se negocie o registre la operación</w:t>
      </w:r>
      <w:r w:rsidRPr="002C0D19">
        <w:rPr>
          <w:rFonts w:ascii="Arial Narrow" w:hAnsi="Arial Narrow" w:cs="Arial"/>
          <w:b/>
          <w:color w:val="000000" w:themeColor="text1"/>
          <w:lang w:val="es-ES" w:eastAsia="es-ES"/>
        </w:rPr>
        <w:t>,</w:t>
      </w:r>
      <w:r w:rsidRPr="002C0D19">
        <w:rPr>
          <w:rFonts w:ascii="Arial Narrow" w:hAnsi="Arial Narrow" w:cs="Arial"/>
          <w:bCs/>
          <w:color w:val="000000" w:themeColor="text1"/>
          <w:lang w:eastAsia="es-ES"/>
        </w:rPr>
        <w:t xml:space="preserve"> y en</w:t>
      </w:r>
      <w:r w:rsidRPr="002C0D19">
        <w:rPr>
          <w:rFonts w:ascii="Arial Narrow" w:hAnsi="Arial Narrow" w:cs="Arial"/>
          <w:color w:val="000000" w:themeColor="text1"/>
          <w:lang w:val="es-ES" w:eastAsia="es-ES"/>
        </w:rPr>
        <w:t xml:space="preserve"> el convenio celebrado con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w:t>
      </w:r>
      <w:r w:rsidRPr="002C0D19">
        <w:rPr>
          <w:rFonts w:ascii="Arial Narrow" w:hAnsi="Arial Narrow" w:cs="Arial"/>
          <w:bCs/>
          <w:color w:val="000000" w:themeColor="text1"/>
          <w:lang w:eastAsia="es-ES"/>
        </w:rPr>
        <w:t xml:space="preserve">son obligaciones principales de </w:t>
      </w:r>
      <w:r w:rsidRPr="002C0D19">
        <w:rPr>
          <w:rFonts w:ascii="Arial Narrow" w:hAnsi="Arial Narrow" w:cs="Arial"/>
          <w:b/>
          <w:bCs/>
          <w:color w:val="000000" w:themeColor="text1"/>
          <w:lang w:eastAsia="es-ES"/>
        </w:rPr>
        <w:t xml:space="preserve">EL TERCERO, </w:t>
      </w:r>
      <w:r w:rsidRPr="002C0D19">
        <w:rPr>
          <w:rFonts w:ascii="Arial Narrow" w:hAnsi="Arial Narrow" w:cs="Arial"/>
          <w:bCs/>
          <w:color w:val="000000" w:themeColor="text1"/>
          <w:lang w:eastAsia="es-ES"/>
        </w:rPr>
        <w:t>las siguientes:</w:t>
      </w:r>
      <w:r w:rsidRPr="002C0D19">
        <w:rPr>
          <w:rFonts w:ascii="Arial Narrow" w:hAnsi="Arial Narrow" w:cs="Arial"/>
          <w:b/>
          <w:color w:val="000000" w:themeColor="text1"/>
          <w:lang w:val="es-ES" w:eastAsia="es-ES"/>
        </w:rPr>
        <w:t xml:space="preserve"> </w:t>
      </w:r>
    </w:p>
    <w:p w14:paraId="0715BE9F" w14:textId="77777777" w:rsidR="007968EC" w:rsidRPr="002C0D19" w:rsidRDefault="007968EC" w:rsidP="007968EC">
      <w:pPr>
        <w:ind w:right="18"/>
        <w:jc w:val="both"/>
        <w:rPr>
          <w:rFonts w:ascii="Arial Narrow" w:hAnsi="Arial Narrow" w:cs="Arial"/>
          <w:b/>
          <w:color w:val="000000" w:themeColor="text1"/>
          <w:lang w:val="es-ES" w:eastAsia="es-ES"/>
        </w:rPr>
      </w:pPr>
    </w:p>
    <w:p w14:paraId="683E8F7C" w14:textId="77777777" w:rsidR="007968EC" w:rsidRPr="002C0D19" w:rsidRDefault="007968EC" w:rsidP="00DA7472">
      <w:pPr>
        <w:numPr>
          <w:ilvl w:val="0"/>
          <w:numId w:val="50"/>
        </w:numPr>
        <w:ind w:left="72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Cumplir estrictamente sin restricciones ni reservas, la Ley, las instrucciones de las Autoridades Competentes, el Reglamento de Funcionamiento, la Circular, Instructivos Operativos, el convenio celebrado con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y la presente Oferta de Servicios y todas aquellas decisiones que, en uso de sus atribuciones, adopten la Junta Directiva y/o el Gerente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para reglamentar su funcionamiento, divulgadas de conformidad con el Reglamento de Funcionamiento, sin que sirva de excusa o defensa la ignorancia de dichas normas o instrucciones. Lo anterior se extiende a cualquier modificación o adición que cualquier Autoridad Competente pueda imponer, así como las </w:t>
      </w:r>
      <w:r w:rsidRPr="002C0D19">
        <w:rPr>
          <w:rFonts w:ascii="Arial Narrow" w:hAnsi="Arial Narrow" w:cs="Arial"/>
          <w:color w:val="000000" w:themeColor="text1"/>
          <w:lang w:val="es-ES" w:eastAsia="es-ES"/>
        </w:rPr>
        <w:lastRenderedPageBreak/>
        <w:t xml:space="preserve">modificaciones que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pueda introducir con la autorización de la Superintendencia Financiera de Colombia. </w:t>
      </w:r>
    </w:p>
    <w:p w14:paraId="43136AF4" w14:textId="77777777" w:rsidR="007968EC" w:rsidRPr="002C0D19" w:rsidRDefault="007968EC" w:rsidP="00DA7472">
      <w:pPr>
        <w:numPr>
          <w:ilvl w:val="0"/>
          <w:numId w:val="50"/>
        </w:numPr>
        <w:ind w:left="72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Cumplir las obligaciones derivadas de las órdenes de </w:t>
      </w:r>
      <w:proofErr w:type="spellStart"/>
      <w:r w:rsidRPr="002C0D19">
        <w:rPr>
          <w:rFonts w:ascii="Arial Narrow" w:hAnsi="Arial Narrow" w:cs="Arial"/>
          <w:i/>
          <w:color w:val="000000" w:themeColor="text1"/>
          <w:lang w:val="es-ES" w:eastAsia="es-ES"/>
        </w:rPr>
        <w:t>Give</w:t>
      </w:r>
      <w:proofErr w:type="spellEnd"/>
      <w:r w:rsidRPr="002C0D19">
        <w:rPr>
          <w:rFonts w:ascii="Arial Narrow" w:hAnsi="Arial Narrow" w:cs="Arial"/>
          <w:i/>
          <w:color w:val="000000" w:themeColor="text1"/>
          <w:lang w:val="es-ES" w:eastAsia="es-ES"/>
        </w:rPr>
        <w:t>-Up.</w:t>
      </w:r>
    </w:p>
    <w:p w14:paraId="5AFAE37D" w14:textId="77777777" w:rsidR="007968EC" w:rsidRPr="002C0D19" w:rsidRDefault="007968EC" w:rsidP="007968EC">
      <w:pPr>
        <w:jc w:val="both"/>
        <w:rPr>
          <w:rFonts w:ascii="Arial Narrow" w:hAnsi="Arial Narrow" w:cs="Arial"/>
          <w:b/>
          <w:bCs/>
          <w:color w:val="000000" w:themeColor="text1"/>
          <w:u w:val="single"/>
          <w:lang w:val="es-ES" w:eastAsia="es-ES"/>
        </w:rPr>
      </w:pPr>
    </w:p>
    <w:p w14:paraId="65F60BDF"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 w:eastAsia="es-ES"/>
        </w:rPr>
        <w:t>Parágrafo.</w:t>
      </w:r>
      <w:r w:rsidRPr="002C0D19">
        <w:rPr>
          <w:rFonts w:ascii="Arial Narrow" w:hAnsi="Arial Narrow" w:cs="Arial"/>
          <w:color w:val="000000" w:themeColor="text1"/>
          <w:lang w:val="es-ES" w:eastAsia="es-ES"/>
        </w:rPr>
        <w:t xml:space="preserve"> Cualquier reforma que se realice al Reglamento o a las Circulares de la Cámara que implique una modificación a los términos de los acuerdos o Convenios de vinculación, Oferta de Servicios Aceptada mediante Orden de Compra de Servicios</w:t>
      </w:r>
      <w:r w:rsidR="001434C9">
        <w:rPr>
          <w:rFonts w:ascii="Arial Narrow" w:hAnsi="Arial Narrow" w:cs="Arial"/>
          <w:color w:val="000000" w:themeColor="text1"/>
          <w:lang w:val="es-ES" w:eastAsia="es-ES"/>
        </w:rPr>
        <w:t>, según corresponda,</w:t>
      </w:r>
      <w:r w:rsidRPr="002C0D19">
        <w:rPr>
          <w:rFonts w:ascii="Arial Narrow" w:hAnsi="Arial Narrow" w:cs="Arial"/>
          <w:color w:val="000000" w:themeColor="text1"/>
          <w:lang w:val="es-ES" w:eastAsia="es-ES"/>
        </w:rPr>
        <w:t xml:space="preserve"> que suscriban los Miembros y estos con sus Terceros se presume conocida y aceptada por las partes a partir de su publicación y entrada en vigencia y no requerirá de la modificación de tales acuerdos o Convenios de vinculación, Oferta de Servicios Aceptada mediante Orden de Compra de Servicios que suscriban los Miembros y estos con sus Terceros, ni de la suscripción de nuevos Convenios. No obstante, cuando haya lugar a ello, la Cámara podrá aprobar unos nuevos textos que incorporen las modificaciones pertinentes y publicarlos mediante Circular para efecto de la vinculación de nuevos Miembros, Agentes y Terceros a través de</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los Miembros.</w:t>
      </w:r>
    </w:p>
    <w:p w14:paraId="2B326592" w14:textId="77777777" w:rsidR="007968EC" w:rsidRPr="002C0D19" w:rsidRDefault="007968EC" w:rsidP="007968EC">
      <w:pPr>
        <w:jc w:val="both"/>
        <w:rPr>
          <w:rFonts w:ascii="Arial Narrow" w:hAnsi="Arial Narrow" w:cs="Arial"/>
          <w:b/>
          <w:bCs/>
          <w:color w:val="000000" w:themeColor="text1"/>
          <w:u w:val="single"/>
          <w:lang w:val="es-ES" w:eastAsia="es-ES"/>
        </w:rPr>
      </w:pPr>
    </w:p>
    <w:p w14:paraId="476F59AC" w14:textId="77777777" w:rsidR="007968EC" w:rsidRPr="002C0D19" w:rsidRDefault="007968EC" w:rsidP="007968EC">
      <w:pPr>
        <w:jc w:val="both"/>
        <w:rPr>
          <w:rFonts w:ascii="Arial Narrow" w:hAnsi="Arial Narrow" w:cs="Arial"/>
          <w:bCs/>
          <w:color w:val="000000" w:themeColor="text1"/>
          <w:lang w:eastAsia="es-ES"/>
        </w:rPr>
      </w:pPr>
      <w:r w:rsidRPr="002C0D19">
        <w:rPr>
          <w:rFonts w:ascii="Arial Narrow" w:hAnsi="Arial Narrow" w:cs="Arial"/>
          <w:b/>
          <w:bCs/>
          <w:color w:val="000000" w:themeColor="text1"/>
          <w:u w:val="single"/>
          <w:lang w:val="es-ES" w:eastAsia="es-ES"/>
        </w:rPr>
        <w:t>CUARTA. Obligaciones de EL MIEMBRO.</w:t>
      </w:r>
      <w:r w:rsidRPr="002C0D19">
        <w:rPr>
          <w:rFonts w:ascii="Arial Narrow" w:hAnsi="Arial Narrow" w:cs="Arial"/>
          <w:color w:val="000000" w:themeColor="text1"/>
          <w:lang w:val="es-ES" w:eastAsia="es-ES"/>
        </w:rPr>
        <w:t xml:space="preserve"> Sin perjuicio</w:t>
      </w:r>
      <w:r w:rsidRPr="002C0D19">
        <w:rPr>
          <w:rFonts w:ascii="Arial Narrow" w:hAnsi="Arial Narrow" w:cs="Arial"/>
          <w:b/>
          <w:color w:val="000000" w:themeColor="text1"/>
          <w:lang w:val="es-ES" w:eastAsia="es-ES"/>
        </w:rPr>
        <w:t xml:space="preserve"> </w:t>
      </w:r>
      <w:r w:rsidRPr="002C0D19">
        <w:rPr>
          <w:rFonts w:ascii="Arial Narrow" w:hAnsi="Arial Narrow" w:cs="Arial"/>
          <w:bCs/>
          <w:color w:val="000000" w:themeColor="text1"/>
          <w:lang w:eastAsia="es-ES"/>
        </w:rPr>
        <w:t xml:space="preserve">de las obligaciones previstas en las demás cláusulas de la presente Oferta, en el </w:t>
      </w:r>
      <w:r w:rsidRPr="002C0D19">
        <w:rPr>
          <w:rFonts w:ascii="Arial Narrow" w:hAnsi="Arial Narrow" w:cs="Arial"/>
          <w:color w:val="000000" w:themeColor="text1"/>
          <w:lang w:val="es-ES" w:eastAsia="es-ES"/>
        </w:rPr>
        <w:t xml:space="preserve">Reglamento de Funcionamiento, la Circular y los Instructivos Operativos de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y de la regulación de la Bolsas, los Sistemas de Negociación o Registro, el mercado mostrador en los que se negocie o registre la operación</w:t>
      </w:r>
      <w:r w:rsidRPr="002C0D19">
        <w:rPr>
          <w:rFonts w:ascii="Arial Narrow" w:hAnsi="Arial Narrow" w:cs="Arial"/>
          <w:bCs/>
          <w:color w:val="000000" w:themeColor="text1"/>
          <w:lang w:eastAsia="es-ES"/>
        </w:rPr>
        <w:t>, y en</w:t>
      </w:r>
      <w:r w:rsidRPr="002C0D19">
        <w:rPr>
          <w:rFonts w:ascii="Arial Narrow" w:hAnsi="Arial Narrow" w:cs="Arial"/>
          <w:color w:val="000000" w:themeColor="text1"/>
          <w:lang w:val="es-ES" w:eastAsia="es-ES"/>
        </w:rPr>
        <w:t xml:space="preserve"> el convenio celebrado con </w:t>
      </w:r>
      <w:r w:rsidRPr="002C0D19">
        <w:rPr>
          <w:rFonts w:ascii="Arial Narrow" w:hAnsi="Arial Narrow" w:cs="Arial"/>
          <w:b/>
          <w:color w:val="000000" w:themeColor="text1"/>
          <w:lang w:val="es-ES" w:eastAsia="es-ES"/>
        </w:rPr>
        <w:t>EL MIEMBRO,</w:t>
      </w:r>
      <w:r w:rsidRPr="002C0D19">
        <w:rPr>
          <w:rFonts w:ascii="Arial Narrow" w:hAnsi="Arial Narrow" w:cs="Arial"/>
          <w:bCs/>
          <w:color w:val="000000" w:themeColor="text1"/>
          <w:lang w:eastAsia="es-ES"/>
        </w:rPr>
        <w:t xml:space="preserve"> son obligaciones principales de </w:t>
      </w:r>
      <w:r w:rsidRPr="002C0D19">
        <w:rPr>
          <w:rFonts w:ascii="Arial Narrow" w:hAnsi="Arial Narrow" w:cs="Arial"/>
          <w:b/>
          <w:bCs/>
          <w:color w:val="000000" w:themeColor="text1"/>
          <w:lang w:eastAsia="es-ES"/>
        </w:rPr>
        <w:t xml:space="preserve">EL MIEMBRO, </w:t>
      </w:r>
      <w:r w:rsidRPr="002C0D19">
        <w:rPr>
          <w:rFonts w:ascii="Arial Narrow" w:hAnsi="Arial Narrow" w:cs="Arial"/>
          <w:bCs/>
          <w:color w:val="000000" w:themeColor="text1"/>
          <w:lang w:eastAsia="es-ES"/>
        </w:rPr>
        <w:t>las siguientes:</w:t>
      </w:r>
    </w:p>
    <w:p w14:paraId="15CFE7D7" w14:textId="77777777" w:rsidR="007968EC" w:rsidRPr="002C0D19" w:rsidRDefault="007968EC" w:rsidP="007968EC">
      <w:pPr>
        <w:jc w:val="both"/>
        <w:rPr>
          <w:rFonts w:ascii="Arial Narrow" w:hAnsi="Arial Narrow" w:cs="Arial"/>
          <w:color w:val="000000" w:themeColor="text1"/>
          <w:lang w:val="es-ES" w:eastAsia="es-ES"/>
        </w:rPr>
      </w:pPr>
    </w:p>
    <w:p w14:paraId="63FDDA1A" w14:textId="77777777" w:rsidR="007968EC" w:rsidRPr="002C0D19" w:rsidRDefault="007968EC" w:rsidP="00DA7472">
      <w:pPr>
        <w:numPr>
          <w:ilvl w:val="0"/>
          <w:numId w:val="51"/>
        </w:numPr>
        <w:jc w:val="both"/>
        <w:rPr>
          <w:rFonts w:ascii="Arial Narrow" w:hAnsi="Arial Narrow" w:cs="Arial"/>
          <w:color w:val="000000" w:themeColor="text1"/>
          <w:lang w:val="es-ES" w:eastAsia="es-ES"/>
        </w:rPr>
      </w:pPr>
      <w:r w:rsidRPr="002C0D19">
        <w:rPr>
          <w:rFonts w:ascii="Arial Narrow" w:hAnsi="Arial Narrow" w:cs="Arial"/>
          <w:color w:val="000000" w:themeColor="text1"/>
          <w:spacing w:val="-3"/>
          <w:lang w:eastAsia="es-ES"/>
        </w:rPr>
        <w:t xml:space="preserve">Informar a </w:t>
      </w:r>
      <w:r w:rsidRPr="002C0D19">
        <w:rPr>
          <w:rFonts w:ascii="Arial Narrow" w:hAnsi="Arial Narrow" w:cs="Arial"/>
          <w:b/>
          <w:color w:val="000000" w:themeColor="text1"/>
          <w:spacing w:val="-3"/>
          <w:lang w:eastAsia="es-ES"/>
        </w:rPr>
        <w:t xml:space="preserve">EL TERCERO </w:t>
      </w:r>
      <w:r w:rsidRPr="002C0D19">
        <w:rPr>
          <w:rFonts w:ascii="Arial Narrow" w:hAnsi="Arial Narrow" w:cs="Arial"/>
          <w:color w:val="000000" w:themeColor="text1"/>
          <w:spacing w:val="-3"/>
          <w:lang w:eastAsia="es-ES"/>
        </w:rPr>
        <w:t xml:space="preserve">sobre el estado de los </w:t>
      </w:r>
      <w:proofErr w:type="spellStart"/>
      <w:r w:rsidRPr="002C0D19">
        <w:rPr>
          <w:rFonts w:ascii="Arial Narrow" w:hAnsi="Arial Narrow" w:cs="Arial"/>
          <w:i/>
          <w:color w:val="000000" w:themeColor="text1"/>
          <w:spacing w:val="-3"/>
          <w:lang w:eastAsia="es-ES"/>
        </w:rPr>
        <w:t>Give</w:t>
      </w:r>
      <w:proofErr w:type="spellEnd"/>
      <w:r w:rsidRPr="002C0D19">
        <w:rPr>
          <w:rFonts w:ascii="Arial Narrow" w:hAnsi="Arial Narrow" w:cs="Arial"/>
          <w:i/>
          <w:color w:val="000000" w:themeColor="text1"/>
          <w:spacing w:val="-3"/>
          <w:lang w:eastAsia="es-ES"/>
        </w:rPr>
        <w:t>-Up</w:t>
      </w:r>
      <w:r w:rsidRPr="002C0D19">
        <w:rPr>
          <w:rFonts w:ascii="Arial Narrow" w:hAnsi="Arial Narrow" w:cs="Arial"/>
          <w:color w:val="000000" w:themeColor="text1"/>
          <w:spacing w:val="-3"/>
          <w:lang w:eastAsia="es-ES"/>
        </w:rPr>
        <w:t xml:space="preserve"> registrados o realizados por su cuenta.</w:t>
      </w:r>
    </w:p>
    <w:p w14:paraId="1CA4FDBA" w14:textId="77777777" w:rsidR="007968EC" w:rsidRPr="002C0D19" w:rsidRDefault="007968EC" w:rsidP="00DA7472">
      <w:pPr>
        <w:numPr>
          <w:ilvl w:val="0"/>
          <w:numId w:val="51"/>
        </w:numPr>
        <w:jc w:val="both"/>
        <w:rPr>
          <w:rFonts w:ascii="Arial Narrow" w:hAnsi="Arial Narrow" w:cs="Arial"/>
          <w:color w:val="000000" w:themeColor="text1"/>
          <w:lang w:val="es-ES" w:eastAsia="es-ES"/>
        </w:rPr>
      </w:pPr>
      <w:r w:rsidRPr="002C0D19">
        <w:rPr>
          <w:rFonts w:ascii="Arial Narrow" w:hAnsi="Arial Narrow" w:cs="Arial"/>
          <w:color w:val="000000" w:themeColor="text1"/>
          <w:spacing w:val="-3"/>
          <w:lang w:eastAsia="es-ES"/>
        </w:rPr>
        <w:t xml:space="preserve">Haber suscrito un convenio con los Miembros que realice </w:t>
      </w:r>
      <w:proofErr w:type="spellStart"/>
      <w:r w:rsidRPr="002C0D19">
        <w:rPr>
          <w:rFonts w:ascii="Arial Narrow" w:hAnsi="Arial Narrow" w:cs="Arial"/>
          <w:i/>
          <w:color w:val="000000" w:themeColor="text1"/>
          <w:spacing w:val="-3"/>
          <w:lang w:eastAsia="es-ES"/>
        </w:rPr>
        <w:t>Give</w:t>
      </w:r>
      <w:proofErr w:type="spellEnd"/>
      <w:r w:rsidRPr="002C0D19">
        <w:rPr>
          <w:rFonts w:ascii="Arial Narrow" w:hAnsi="Arial Narrow" w:cs="Arial"/>
          <w:i/>
          <w:color w:val="000000" w:themeColor="text1"/>
          <w:spacing w:val="-3"/>
          <w:lang w:eastAsia="es-ES"/>
        </w:rPr>
        <w:t>-Up</w:t>
      </w:r>
      <w:r w:rsidRPr="002C0D19">
        <w:rPr>
          <w:rFonts w:ascii="Arial Narrow" w:hAnsi="Arial Narrow" w:cs="Arial"/>
          <w:color w:val="000000" w:themeColor="text1"/>
          <w:spacing w:val="-3"/>
          <w:lang w:eastAsia="es-ES"/>
        </w:rPr>
        <w:t xml:space="preserve"> (</w:t>
      </w:r>
      <w:r w:rsidRPr="002C0D19">
        <w:rPr>
          <w:rFonts w:ascii="Arial Narrow" w:hAnsi="Arial Narrow" w:cs="Arial"/>
          <w:color w:val="000000" w:themeColor="text1"/>
          <w:lang w:val="es-ES" w:eastAsia="es-ES"/>
        </w:rPr>
        <w:t xml:space="preserve">Anexo 24.1 Modelo de Oferta de Servicios para la realización de </w:t>
      </w:r>
      <w:proofErr w:type="spellStart"/>
      <w:r w:rsidRPr="002C0D19">
        <w:rPr>
          <w:rFonts w:ascii="Arial Narrow" w:hAnsi="Arial Narrow" w:cs="Arial"/>
          <w:i/>
          <w:color w:val="000000" w:themeColor="text1"/>
          <w:lang w:val="es-ES" w:eastAsia="es-ES"/>
        </w:rPr>
        <w:t>Give</w:t>
      </w:r>
      <w:proofErr w:type="spellEnd"/>
      <w:r w:rsidRPr="002C0D19">
        <w:rPr>
          <w:rFonts w:ascii="Arial Narrow" w:hAnsi="Arial Narrow" w:cs="Arial"/>
          <w:i/>
          <w:color w:val="000000" w:themeColor="text1"/>
          <w:lang w:val="es-ES" w:eastAsia="es-ES"/>
        </w:rPr>
        <w:t>-Up</w:t>
      </w:r>
      <w:r w:rsidRPr="002C0D19">
        <w:rPr>
          <w:rFonts w:ascii="Arial Narrow" w:hAnsi="Arial Narrow" w:cs="Arial"/>
          <w:color w:val="000000" w:themeColor="text1"/>
          <w:lang w:val="es-ES" w:eastAsia="es-ES"/>
        </w:rPr>
        <w:t xml:space="preserve"> entre Miembros de la Cámara)</w:t>
      </w:r>
      <w:r w:rsidRPr="002C0D19">
        <w:rPr>
          <w:rFonts w:ascii="Arial Narrow" w:hAnsi="Arial Narrow" w:cs="Arial"/>
          <w:i/>
          <w:color w:val="000000" w:themeColor="text1"/>
          <w:spacing w:val="-3"/>
          <w:lang w:eastAsia="es-ES"/>
        </w:rPr>
        <w:t xml:space="preserve"> </w:t>
      </w:r>
      <w:r w:rsidRPr="002C0D19">
        <w:rPr>
          <w:rFonts w:ascii="Arial Narrow" w:hAnsi="Arial Narrow" w:cs="Arial"/>
          <w:color w:val="000000" w:themeColor="text1"/>
          <w:spacing w:val="-3"/>
          <w:lang w:eastAsia="es-ES"/>
        </w:rPr>
        <w:t>y dar cumplimiento estricto al mismo.</w:t>
      </w:r>
      <w:r w:rsidRPr="002C0D19">
        <w:rPr>
          <w:rFonts w:ascii="Arial Narrow" w:hAnsi="Arial Narrow" w:cs="Arial"/>
          <w:i/>
          <w:color w:val="000000" w:themeColor="text1"/>
          <w:spacing w:val="-3"/>
          <w:lang w:eastAsia="es-ES"/>
        </w:rPr>
        <w:t xml:space="preserve"> </w:t>
      </w:r>
    </w:p>
    <w:p w14:paraId="00A679BA" w14:textId="77777777" w:rsidR="007968EC" w:rsidRPr="002C0D19" w:rsidRDefault="007968EC" w:rsidP="007968EC">
      <w:pPr>
        <w:jc w:val="both"/>
        <w:rPr>
          <w:rFonts w:ascii="Arial Narrow" w:hAnsi="Arial Narrow" w:cs="Arial"/>
          <w:b/>
          <w:bCs/>
          <w:color w:val="000000" w:themeColor="text1"/>
          <w:u w:val="single"/>
          <w:lang w:val="es-ES" w:eastAsia="es-ES"/>
        </w:rPr>
      </w:pPr>
    </w:p>
    <w:p w14:paraId="0D988E0B"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b/>
          <w:bCs/>
          <w:color w:val="000000" w:themeColor="text1"/>
          <w:u w:val="single"/>
          <w:lang w:val="es-ES" w:eastAsia="es-ES"/>
        </w:rPr>
        <w:t>QUINTA. Vigencia</w:t>
      </w:r>
      <w:r w:rsidRPr="002C0D19">
        <w:rPr>
          <w:rFonts w:ascii="Arial Narrow" w:hAnsi="Arial Narrow" w:cs="Arial"/>
          <w:b/>
          <w:bCs/>
          <w:color w:val="000000" w:themeColor="text1"/>
          <w:lang w:val="es-ES" w:eastAsia="es-ES"/>
        </w:rPr>
        <w:t xml:space="preserve">.  </w:t>
      </w:r>
      <w:r w:rsidRPr="002C0D19">
        <w:rPr>
          <w:rFonts w:ascii="Arial Narrow" w:hAnsi="Arial Narrow" w:cs="Arial"/>
          <w:color w:val="000000" w:themeColor="text1"/>
          <w:lang w:eastAsia="es-ES"/>
        </w:rPr>
        <w:t xml:space="preserve">La presente Oferta estará vigente por un término de sesenta (60) días calendario, contados a partir del envío de la misma por parte de </w:t>
      </w:r>
      <w:r w:rsidRPr="002C0D19">
        <w:rPr>
          <w:rFonts w:ascii="Arial Narrow" w:hAnsi="Arial Narrow" w:cs="Arial"/>
          <w:b/>
          <w:color w:val="000000" w:themeColor="text1"/>
          <w:lang w:eastAsia="es-ES"/>
        </w:rPr>
        <w:t>EL MIEMBRO</w:t>
      </w:r>
      <w:r w:rsidRPr="002C0D19">
        <w:rPr>
          <w:rFonts w:ascii="Arial Narrow" w:hAnsi="Arial Narrow" w:cs="Arial"/>
          <w:color w:val="000000" w:themeColor="text1"/>
          <w:lang w:eastAsia="es-ES"/>
        </w:rPr>
        <w:t xml:space="preserve"> a </w:t>
      </w:r>
      <w:r w:rsidRPr="002C0D19">
        <w:rPr>
          <w:rFonts w:ascii="Arial Narrow" w:hAnsi="Arial Narrow" w:cs="Arial"/>
          <w:b/>
          <w:color w:val="000000" w:themeColor="text1"/>
          <w:lang w:eastAsia="es-ES"/>
        </w:rPr>
        <w:t xml:space="preserve">EL TERCERO, </w:t>
      </w:r>
      <w:r w:rsidRPr="002C0D19">
        <w:rPr>
          <w:rFonts w:ascii="Arial Narrow" w:hAnsi="Arial Narrow" w:cs="Arial"/>
          <w:color w:val="000000" w:themeColor="text1"/>
          <w:lang w:eastAsia="es-ES"/>
        </w:rPr>
        <w:t xml:space="preserve">transcurridos los cuales, de no haber aceptación a la misma por parte de </w:t>
      </w:r>
      <w:r w:rsidRPr="002C0D19">
        <w:rPr>
          <w:rFonts w:ascii="Arial Narrow" w:hAnsi="Arial Narrow" w:cs="Arial"/>
          <w:b/>
          <w:color w:val="000000" w:themeColor="text1"/>
          <w:lang w:eastAsia="es-ES"/>
        </w:rPr>
        <w:t xml:space="preserve">EL TERCERO, </w:t>
      </w:r>
      <w:r w:rsidRPr="002C0D19">
        <w:rPr>
          <w:rFonts w:ascii="Arial Narrow" w:hAnsi="Arial Narrow" w:cs="Arial"/>
          <w:color w:val="000000" w:themeColor="text1"/>
          <w:lang w:eastAsia="es-ES"/>
        </w:rPr>
        <w:t>se entenderá revocada. En caso de aceptación de esta Oferta por parte de</w:t>
      </w:r>
      <w:r w:rsidRPr="002C0D19">
        <w:rPr>
          <w:rFonts w:ascii="Arial Narrow" w:hAnsi="Arial Narrow" w:cs="Arial"/>
          <w:b/>
          <w:color w:val="000000" w:themeColor="text1"/>
          <w:lang w:eastAsia="es-ES"/>
        </w:rPr>
        <w:t xml:space="preserve"> EL TERCERO</w:t>
      </w:r>
      <w:r w:rsidRPr="002C0D19">
        <w:rPr>
          <w:rFonts w:ascii="Arial Narrow" w:hAnsi="Arial Narrow" w:cs="Arial"/>
          <w:color w:val="000000" w:themeColor="text1"/>
          <w:lang w:eastAsia="es-ES"/>
        </w:rPr>
        <w:t xml:space="preserve">, los términos y condiciones de la misma estarán vigentes en forma indefinida. </w:t>
      </w:r>
    </w:p>
    <w:p w14:paraId="308DFBB0" w14:textId="77777777" w:rsidR="007968EC" w:rsidRPr="002C0D19" w:rsidRDefault="007968EC" w:rsidP="007968EC">
      <w:pPr>
        <w:jc w:val="both"/>
        <w:rPr>
          <w:rFonts w:ascii="Arial Narrow" w:hAnsi="Arial Narrow" w:cs="Arial"/>
          <w:color w:val="000000" w:themeColor="text1"/>
          <w:lang w:eastAsia="es-ES"/>
        </w:rPr>
      </w:pPr>
    </w:p>
    <w:p w14:paraId="51FD5D0D"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eastAsia="es-ES"/>
        </w:rPr>
        <w:t xml:space="preserve">No obstante lo anterior y sin perjuicio de lo dispuesto en el Reglamento de Funcionamiento, las partes podrán terminar en cualquier tiempo el presente convenio, mediante la entrega a la otra parte de un aviso escrito en tal sentido, remitida con no menos de treinta (30) días calendario de anticipación al día hábil en el cual desea que dicha terminación tenga efecto. </w:t>
      </w:r>
      <w:r w:rsidRPr="002C0D19">
        <w:rPr>
          <w:rFonts w:ascii="Arial Narrow" w:hAnsi="Arial Narrow" w:cs="Arial"/>
          <w:color w:val="000000" w:themeColor="text1"/>
          <w:lang w:val="es-ES" w:eastAsia="es-ES"/>
        </w:rPr>
        <w:t xml:space="preserve">La terminación del presente Convenio no afectará los derechos y obligaciones de cualquiera de las partes que se deriven de Operaciones Aceptadas objeto de </w:t>
      </w:r>
      <w:proofErr w:type="spellStart"/>
      <w:r w:rsidRPr="002C0D19">
        <w:rPr>
          <w:rFonts w:ascii="Arial Narrow" w:hAnsi="Arial Narrow" w:cs="Arial"/>
          <w:i/>
          <w:color w:val="000000" w:themeColor="text1"/>
          <w:lang w:val="es-ES" w:eastAsia="es-ES"/>
        </w:rPr>
        <w:t>Give</w:t>
      </w:r>
      <w:proofErr w:type="spellEnd"/>
      <w:r w:rsidRPr="002C0D19">
        <w:rPr>
          <w:rFonts w:ascii="Arial Narrow" w:hAnsi="Arial Narrow" w:cs="Arial"/>
          <w:i/>
          <w:color w:val="000000" w:themeColor="text1"/>
          <w:lang w:val="es-ES" w:eastAsia="es-ES"/>
        </w:rPr>
        <w:t>-Up</w:t>
      </w:r>
      <w:r w:rsidRPr="002C0D19">
        <w:rPr>
          <w:rFonts w:ascii="Arial Narrow" w:hAnsi="Arial Narrow" w:cs="Arial"/>
          <w:color w:val="000000" w:themeColor="text1"/>
          <w:lang w:val="es-ES" w:eastAsia="es-ES"/>
        </w:rPr>
        <w:t xml:space="preserve"> con anterioridad a tal terminación.</w:t>
      </w:r>
    </w:p>
    <w:p w14:paraId="7FE79033" w14:textId="77777777" w:rsidR="007968EC" w:rsidRPr="002C0D19" w:rsidRDefault="007968EC" w:rsidP="007968EC">
      <w:pPr>
        <w:jc w:val="both"/>
        <w:rPr>
          <w:rFonts w:ascii="Arial Narrow" w:hAnsi="Arial Narrow" w:cs="Arial"/>
          <w:color w:val="000000" w:themeColor="text1"/>
          <w:lang w:eastAsia="es-ES"/>
        </w:rPr>
      </w:pPr>
    </w:p>
    <w:p w14:paraId="71940031"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Igualmente, habrá lugar a la terminación unilateral si se presenta un incumplimiento de alguna de las obligaciones a cargo de una de las partes. </w:t>
      </w:r>
    </w:p>
    <w:p w14:paraId="55D847D1" w14:textId="77777777" w:rsidR="007968EC" w:rsidRPr="002C0D19" w:rsidRDefault="007968EC" w:rsidP="007968EC">
      <w:pPr>
        <w:jc w:val="both"/>
        <w:rPr>
          <w:rFonts w:ascii="Arial Narrow" w:hAnsi="Arial Narrow" w:cs="Arial"/>
          <w:b/>
          <w:bCs/>
          <w:color w:val="000000" w:themeColor="text1"/>
          <w:u w:val="single"/>
          <w:lang w:val="es-ES" w:eastAsia="es-ES"/>
        </w:rPr>
      </w:pPr>
    </w:p>
    <w:p w14:paraId="65480C0B"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b/>
          <w:bCs/>
          <w:color w:val="000000" w:themeColor="text1"/>
          <w:u w:val="single"/>
          <w:lang w:val="es-ES" w:eastAsia="es-ES"/>
        </w:rPr>
        <w:t>SEXTA. Tarifas y Comisiones.</w:t>
      </w:r>
      <w:r w:rsidRPr="002C0D19">
        <w:rPr>
          <w:rFonts w:ascii="Arial Narrow" w:hAnsi="Arial Narrow" w:cs="Arial"/>
          <w:b/>
          <w:bCs/>
          <w:color w:val="000000" w:themeColor="text1"/>
          <w:lang w:val="es-ES" w:eastAsia="es-ES"/>
        </w:rPr>
        <w:t xml:space="preserve"> </w:t>
      </w:r>
      <w:r w:rsidRPr="002C0D19">
        <w:rPr>
          <w:rFonts w:ascii="Arial Narrow" w:hAnsi="Arial Narrow" w:cs="Arial"/>
          <w:b/>
          <w:color w:val="000000" w:themeColor="text1"/>
          <w:lang w:val="es-ES" w:eastAsia="es-ES"/>
        </w:rPr>
        <w:t xml:space="preserve">EL TERCERO </w:t>
      </w:r>
      <w:r w:rsidRPr="002C0D19">
        <w:rPr>
          <w:rFonts w:ascii="Arial Narrow" w:hAnsi="Arial Narrow" w:cs="Arial"/>
          <w:color w:val="000000" w:themeColor="text1"/>
          <w:lang w:val="es-ES" w:eastAsia="es-ES"/>
        </w:rPr>
        <w:t xml:space="preserve">se obliga a pagar las tarifas por la prestación del servicio </w:t>
      </w:r>
      <w:proofErr w:type="spellStart"/>
      <w:r w:rsidRPr="002C0D19">
        <w:rPr>
          <w:rFonts w:ascii="Arial Narrow" w:hAnsi="Arial Narrow" w:cs="Arial"/>
          <w:i/>
          <w:color w:val="000000" w:themeColor="text1"/>
          <w:lang w:val="es-ES" w:eastAsia="es-ES"/>
        </w:rPr>
        <w:t>Give</w:t>
      </w:r>
      <w:proofErr w:type="spellEnd"/>
      <w:r w:rsidRPr="002C0D19">
        <w:rPr>
          <w:rFonts w:ascii="Arial Narrow" w:hAnsi="Arial Narrow" w:cs="Arial"/>
          <w:i/>
          <w:color w:val="000000" w:themeColor="text1"/>
          <w:lang w:val="es-ES" w:eastAsia="es-ES"/>
        </w:rPr>
        <w:t>-Up</w:t>
      </w:r>
      <w:r w:rsidRPr="002C0D19">
        <w:rPr>
          <w:rFonts w:ascii="Arial Narrow" w:hAnsi="Arial Narrow" w:cs="Arial"/>
          <w:color w:val="000000" w:themeColor="text1"/>
          <w:lang w:val="es-ES" w:eastAsia="es-ES"/>
        </w:rPr>
        <w:t xml:space="preserve">. Estas últimas se encuentran en documento Anexo que hace parte integral de la presente Oferta. </w:t>
      </w:r>
    </w:p>
    <w:p w14:paraId="1802EA26" w14:textId="77777777" w:rsidR="007968EC" w:rsidRPr="002C0D19" w:rsidRDefault="007968EC" w:rsidP="007968EC">
      <w:pPr>
        <w:jc w:val="both"/>
        <w:rPr>
          <w:rFonts w:ascii="Arial Narrow" w:hAnsi="Arial Narrow" w:cs="Arial"/>
          <w:b/>
          <w:bCs/>
          <w:color w:val="000000" w:themeColor="text1"/>
          <w:u w:val="single"/>
          <w:lang w:val="es-ES" w:eastAsia="es-ES"/>
        </w:rPr>
      </w:pPr>
    </w:p>
    <w:p w14:paraId="42DD79B7" w14:textId="77777777" w:rsidR="007968EC" w:rsidRPr="002C0D19" w:rsidRDefault="007968EC" w:rsidP="007968EC">
      <w:pPr>
        <w:jc w:val="both"/>
        <w:rPr>
          <w:rFonts w:ascii="Arial Narrow" w:hAnsi="Arial Narrow" w:cs="Arial"/>
          <w:b/>
          <w:bCs/>
          <w:color w:val="000000" w:themeColor="text1"/>
          <w:highlight w:val="cyan"/>
          <w:lang w:val="es-ES" w:eastAsia="es-ES"/>
        </w:rPr>
      </w:pPr>
      <w:r w:rsidRPr="002C0D19">
        <w:rPr>
          <w:rFonts w:ascii="Arial Narrow" w:hAnsi="Arial Narrow" w:cs="Arial"/>
          <w:b/>
          <w:bCs/>
          <w:color w:val="000000" w:themeColor="text1"/>
          <w:u w:val="single"/>
          <w:lang w:val="es-ES" w:eastAsia="es-ES"/>
        </w:rPr>
        <w:t>SÉPTIMA. Cesión y subcontratación.</w:t>
      </w:r>
      <w:r w:rsidRPr="002C0D19">
        <w:rPr>
          <w:rFonts w:ascii="Arial Narrow" w:hAnsi="Arial Narrow" w:cs="Arial"/>
          <w:b/>
          <w:bCs/>
          <w:color w:val="000000" w:themeColor="text1"/>
          <w:lang w:val="es-ES" w:eastAsia="es-ES"/>
        </w:rPr>
        <w:t xml:space="preserve"> </w:t>
      </w:r>
      <w:r w:rsidRPr="002C0D19">
        <w:rPr>
          <w:rFonts w:ascii="Arial Narrow" w:hAnsi="Arial Narrow" w:cs="Arial"/>
          <w:bCs/>
          <w:color w:val="000000" w:themeColor="text1"/>
          <w:lang w:val="es-ES" w:eastAsia="es-ES"/>
        </w:rPr>
        <w:t>Las partes</w:t>
      </w:r>
      <w:r w:rsidRPr="002C0D19">
        <w:rPr>
          <w:rFonts w:ascii="Arial Narrow" w:hAnsi="Arial Narrow" w:cs="Arial"/>
          <w:b/>
          <w:bCs/>
          <w:color w:val="000000" w:themeColor="text1"/>
          <w:lang w:val="es-ES" w:eastAsia="es-ES"/>
        </w:rPr>
        <w:t xml:space="preserve"> </w:t>
      </w:r>
      <w:r w:rsidRPr="002C0D19">
        <w:rPr>
          <w:rFonts w:ascii="Arial Narrow" w:hAnsi="Arial Narrow" w:cs="Arial"/>
          <w:color w:val="000000" w:themeColor="text1"/>
          <w:lang w:val="es-ES" w:eastAsia="es-ES"/>
        </w:rPr>
        <w:t>no podrán ceder ni subcontratar total o parcialmente la presente Oferta, antes o después de ser aceptada.</w:t>
      </w:r>
    </w:p>
    <w:p w14:paraId="45932704" w14:textId="77777777" w:rsidR="007968EC" w:rsidRPr="002C0D19" w:rsidRDefault="007968EC" w:rsidP="007968EC">
      <w:pPr>
        <w:autoSpaceDE w:val="0"/>
        <w:autoSpaceDN w:val="0"/>
        <w:adjustRightInd w:val="0"/>
        <w:jc w:val="both"/>
        <w:rPr>
          <w:rFonts w:ascii="Arial Narrow" w:hAnsi="Arial Narrow" w:cs="Arial"/>
          <w:b/>
          <w:bCs/>
          <w:color w:val="000000" w:themeColor="text1"/>
          <w:u w:val="single"/>
          <w:lang w:eastAsia="es-ES"/>
        </w:rPr>
      </w:pPr>
    </w:p>
    <w:p w14:paraId="394C8D82"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CO"/>
        </w:rPr>
      </w:pPr>
      <w:r w:rsidRPr="002C0D19">
        <w:rPr>
          <w:rFonts w:ascii="Arial Narrow" w:hAnsi="Arial Narrow" w:cs="Arial"/>
          <w:b/>
          <w:bCs/>
          <w:color w:val="000000" w:themeColor="text1"/>
          <w:u w:val="single"/>
          <w:lang w:eastAsia="es-ES"/>
        </w:rPr>
        <w:t xml:space="preserve">OCTAVA. Terminación Unilateral. </w:t>
      </w:r>
      <w:r w:rsidRPr="002C0D19">
        <w:rPr>
          <w:rFonts w:ascii="Arial Narrow" w:hAnsi="Arial Narrow" w:cs="Arial"/>
          <w:b/>
          <w:color w:val="000000" w:themeColor="text1"/>
          <w:lang w:val="es-ES" w:eastAsia="es-ES"/>
        </w:rPr>
        <w:t xml:space="preserve">EL MIEMBRO </w:t>
      </w:r>
      <w:r w:rsidRPr="002C0D19">
        <w:rPr>
          <w:rFonts w:ascii="Arial Narrow" w:hAnsi="Arial Narrow" w:cs="Arial"/>
          <w:color w:val="000000" w:themeColor="text1"/>
          <w:lang w:val="es-ES" w:eastAsia="es-ES"/>
        </w:rPr>
        <w:t xml:space="preserve">podrá terminar unilateralmente el Convenio y sin indemnización alguna, en el evento en que </w:t>
      </w:r>
      <w:r w:rsidRPr="002C0D19">
        <w:rPr>
          <w:rFonts w:ascii="Arial Narrow" w:hAnsi="Arial Narrow" w:cs="Arial"/>
          <w:b/>
          <w:color w:val="000000" w:themeColor="text1"/>
          <w:lang w:val="es-ES" w:eastAsia="es-ES"/>
        </w:rPr>
        <w:t>EL TERCERO</w:t>
      </w:r>
      <w:r w:rsidRPr="002C0D19">
        <w:rPr>
          <w:rFonts w:ascii="Arial Narrow" w:hAnsi="Arial Narrow" w:cs="Arial"/>
          <w:color w:val="000000" w:themeColor="text1"/>
          <w:lang w:val="es-ES" w:eastAsia="es-ES"/>
        </w:rPr>
        <w:t xml:space="preserve"> </w:t>
      </w:r>
      <w:r w:rsidRPr="002C0D19">
        <w:rPr>
          <w:rFonts w:ascii="Arial Narrow" w:hAnsi="Arial Narrow" w:cs="Arial"/>
          <w:color w:val="000000" w:themeColor="text1"/>
          <w:lang w:val="es-ES" w:eastAsia="es-CO"/>
        </w:rPr>
        <w:t>se encuentre vinculado de alguna manera a listas internacionales o locales de pública circulación relacionadas con delitos tipificados en Colombia como lavado de activos y/o financiación del terrorismo, así en Colombia no se hubiere iniciado investigación sobre el particular.</w:t>
      </w:r>
    </w:p>
    <w:p w14:paraId="48DD91E3" w14:textId="77777777" w:rsidR="007968EC" w:rsidRPr="002C0D19" w:rsidRDefault="007968EC" w:rsidP="007968EC">
      <w:pPr>
        <w:jc w:val="both"/>
        <w:rPr>
          <w:rFonts w:ascii="Arial Narrow" w:hAnsi="Arial Narrow" w:cs="Arial"/>
          <w:b/>
          <w:bCs/>
          <w:color w:val="000000" w:themeColor="text1"/>
          <w:u w:val="single"/>
          <w:lang w:val="es-ES" w:eastAsia="es-ES"/>
        </w:rPr>
      </w:pPr>
    </w:p>
    <w:p w14:paraId="77328D40" w14:textId="77777777" w:rsidR="007968EC" w:rsidRPr="002C0D19" w:rsidRDefault="007968EC" w:rsidP="007968EC">
      <w:pPr>
        <w:jc w:val="both"/>
        <w:rPr>
          <w:rFonts w:ascii="Arial Narrow" w:hAnsi="Arial Narrow" w:cs="Arial"/>
          <w:b/>
          <w:bCs/>
          <w:color w:val="000000" w:themeColor="text1"/>
          <w:lang w:val="es-ES" w:eastAsia="es-ES"/>
        </w:rPr>
      </w:pPr>
      <w:r w:rsidRPr="002C0D19">
        <w:rPr>
          <w:rFonts w:ascii="Arial Narrow" w:hAnsi="Arial Narrow" w:cs="Arial"/>
          <w:b/>
          <w:bCs/>
          <w:color w:val="000000" w:themeColor="text1"/>
          <w:u w:val="single"/>
          <w:lang w:val="es-ES" w:eastAsia="es-ES"/>
        </w:rPr>
        <w:t>NOVENA. Cláusula Compromisoria.</w:t>
      </w:r>
      <w:r w:rsidRPr="002C0D19">
        <w:rPr>
          <w:rFonts w:ascii="Arial Narrow" w:hAnsi="Arial Narrow" w:cs="Arial"/>
          <w:color w:val="000000" w:themeColor="text1"/>
          <w:u w:val="single"/>
          <w:lang w:val="es-ES" w:eastAsia="es-ES"/>
        </w:rPr>
        <w:t xml:space="preserve"> </w:t>
      </w:r>
      <w:r w:rsidRPr="002C0D19">
        <w:rPr>
          <w:rFonts w:ascii="Arial Narrow" w:hAnsi="Arial Narrow" w:cs="Arial"/>
          <w:color w:val="000000" w:themeColor="text1"/>
          <w:lang w:val="es-ES_tradnl" w:eastAsia="es-ES"/>
        </w:rPr>
        <w:t xml:space="preserve">Todas las diferencias que ocurran entre las partes con ocasión de la presente Oferta, una vez aceptada, y que no puedan solucionarse por acuerdo directo entre ellas, en un plazo que no podrá exceder de dos (2) meses contados a partir de la fecha del evento que generó la diferencia, serán resueltas por un Tribunal de Arbitramento. Cuando la cuantía de las pretensiones supere los mil (1000) salarios mínimos legales mensuales vigentes en Colombia, el Tribunal de Arbitramento estará conformado por tres (3) árbitros, los cuales serán designados por las partes dentro de los quince (15) días hábiles siguientes al vencimiento del plazo de dos (2) meses de acuerdo directo, o a falta de acuerdo, mediante sorteo entre los árbitros inscritos en el Centro de Arbitraje y Conciliación de la Cámara de Comercio de Bogotá. En caso de que la cuantía de las pretensiones sea igual o inferior a mil (1000) salarios mínimos legales mensuales vigentes en Colombia, el Tribunal de Arbitramento estará conformado por un (1) árbitro, el cual será designado por las partes dentro de los quince (15) días hábiles siguientes al vencimiento del plazo de dos (2) meses de acuerdo directo, o a falta de acuerdo, por sorteo entre los árbitros inscritos en el Centro de Arbitraje y Conciliación de la Cámara de Comercio de Bogotá. El o los árbitros designados serán Abogados inscritos y fallarán en derecho. El Tribunal de Arbitramento tendrá sede en la ciudad de Bogotá, sus honorarios se calcularán de acuerdo con las tarifas del Centro de Arbitraje y Conciliación de la Cámara de Comercio de Bogotá y se regirá por las leyes colombianas. </w:t>
      </w:r>
    </w:p>
    <w:p w14:paraId="6961BDA5" w14:textId="77777777" w:rsidR="007968EC" w:rsidRPr="002C0D19" w:rsidRDefault="007968EC" w:rsidP="007968EC">
      <w:pPr>
        <w:jc w:val="both"/>
        <w:rPr>
          <w:rFonts w:ascii="Arial Narrow" w:hAnsi="Arial Narrow" w:cs="Arial"/>
          <w:b/>
          <w:color w:val="000000" w:themeColor="text1"/>
          <w:u w:val="single"/>
          <w:lang w:val="es-ES_tradnl" w:eastAsia="es-ES"/>
        </w:rPr>
      </w:pPr>
    </w:p>
    <w:p w14:paraId="65B54445" w14:textId="77777777" w:rsidR="007968EC" w:rsidRPr="002C0D19" w:rsidRDefault="007968EC" w:rsidP="007968EC">
      <w:pPr>
        <w:jc w:val="both"/>
        <w:rPr>
          <w:rFonts w:ascii="Arial Narrow" w:hAnsi="Arial Narrow" w:cs="Arial"/>
          <w:color w:val="000000" w:themeColor="text1"/>
          <w:lang w:val="es-ES_tradnl" w:eastAsia="es-ES"/>
        </w:rPr>
      </w:pPr>
      <w:r w:rsidRPr="002C0D19">
        <w:rPr>
          <w:rFonts w:ascii="Arial Narrow" w:hAnsi="Arial Narrow" w:cs="Arial"/>
          <w:b/>
          <w:color w:val="000000" w:themeColor="text1"/>
          <w:u w:val="single"/>
          <w:lang w:val="es-ES_tradnl" w:eastAsia="es-ES"/>
        </w:rPr>
        <w:t>DÉCIMA. Notificaciones</w:t>
      </w:r>
      <w:r w:rsidRPr="002C0D19">
        <w:rPr>
          <w:rFonts w:ascii="Arial Narrow" w:hAnsi="Arial Narrow" w:cs="Arial"/>
          <w:color w:val="000000" w:themeColor="text1"/>
          <w:u w:val="single"/>
          <w:lang w:val="es-ES_tradnl" w:eastAsia="es-ES"/>
        </w:rPr>
        <w:t>.</w:t>
      </w:r>
      <w:r w:rsidRPr="002C0D19">
        <w:rPr>
          <w:rFonts w:ascii="Arial Narrow" w:hAnsi="Arial Narrow" w:cs="Arial"/>
          <w:color w:val="000000" w:themeColor="text1"/>
          <w:lang w:val="es-ES_tradnl" w:eastAsia="es-ES"/>
        </w:rPr>
        <w:t xml:space="preserve"> Todas las notificaciones y comunicaciones relacionadas con la presente Oferta de Servicios se harán por escrito y se enviarán a las siguientes direcciones:</w:t>
      </w:r>
    </w:p>
    <w:p w14:paraId="76090964" w14:textId="77777777" w:rsidR="007968EC" w:rsidRPr="002C0D19" w:rsidRDefault="007968EC" w:rsidP="007968EC">
      <w:pPr>
        <w:tabs>
          <w:tab w:val="left" w:pos="2629"/>
        </w:tabs>
        <w:jc w:val="both"/>
        <w:rPr>
          <w:rFonts w:ascii="Arial Narrow" w:hAnsi="Arial Narrow" w:cs="Arial"/>
          <w:b/>
          <w:color w:val="000000" w:themeColor="text1"/>
          <w:lang w:val="es-ES_tradnl" w:eastAsia="es-ES"/>
        </w:rPr>
      </w:pPr>
    </w:p>
    <w:p w14:paraId="53BA4AF8" w14:textId="77777777" w:rsidR="007968EC" w:rsidRPr="002C0D19" w:rsidRDefault="007968EC" w:rsidP="007968EC">
      <w:pPr>
        <w:tabs>
          <w:tab w:val="left" w:pos="2629"/>
        </w:tabs>
        <w:jc w:val="both"/>
        <w:rPr>
          <w:rFonts w:ascii="Arial Narrow" w:hAnsi="Arial Narrow" w:cs="Arial"/>
          <w:b/>
          <w:color w:val="000000" w:themeColor="text1"/>
          <w:lang w:val="es-ES_tradnl" w:eastAsia="es-ES"/>
        </w:rPr>
      </w:pPr>
      <w:r w:rsidRPr="002C0D19">
        <w:rPr>
          <w:rFonts w:ascii="Arial Narrow" w:hAnsi="Arial Narrow" w:cs="Arial"/>
          <w:b/>
          <w:color w:val="000000" w:themeColor="text1"/>
          <w:lang w:val="es-ES_tradnl" w:eastAsia="es-ES"/>
        </w:rPr>
        <w:t xml:space="preserve">EL TERCERO: </w:t>
      </w:r>
    </w:p>
    <w:p w14:paraId="2CDAFFDC"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t xml:space="preserve">Fax:  </w:t>
      </w:r>
    </w:p>
    <w:p w14:paraId="689666BF"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r>
      <w:r w:rsidRPr="002C0D19">
        <w:rPr>
          <w:rFonts w:ascii="Arial Narrow" w:hAnsi="Arial Narrow" w:cs="Arial"/>
          <w:color w:val="000000" w:themeColor="text1"/>
          <w:lang w:val="es-ES" w:eastAsia="es-ES"/>
        </w:rPr>
        <w:t>Dirección</w:t>
      </w:r>
      <w:r w:rsidRPr="002C0D19">
        <w:rPr>
          <w:rFonts w:ascii="Arial Narrow" w:hAnsi="Arial Narrow" w:cs="Arial"/>
          <w:color w:val="000000" w:themeColor="text1"/>
          <w:lang w:eastAsia="es-ES"/>
        </w:rPr>
        <w:t xml:space="preserve">: </w:t>
      </w:r>
    </w:p>
    <w:p w14:paraId="6CF0A6B1"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t xml:space="preserve">Ciudad: </w:t>
      </w:r>
    </w:p>
    <w:p w14:paraId="6737D76C" w14:textId="77777777" w:rsidR="007968EC" w:rsidRPr="002C0D19" w:rsidRDefault="007968EC" w:rsidP="007968EC">
      <w:pPr>
        <w:jc w:val="both"/>
        <w:rPr>
          <w:rFonts w:ascii="Arial Narrow" w:hAnsi="Arial Narrow" w:cs="Arial"/>
          <w:b/>
          <w:color w:val="000000" w:themeColor="text1"/>
          <w:lang w:val="es-ES_tradnl" w:eastAsia="es-ES"/>
        </w:rPr>
      </w:pPr>
    </w:p>
    <w:p w14:paraId="645045A4" w14:textId="77777777" w:rsidR="007968EC" w:rsidRPr="002C0D19" w:rsidRDefault="007968EC" w:rsidP="007968EC">
      <w:pPr>
        <w:jc w:val="both"/>
        <w:rPr>
          <w:rFonts w:ascii="Arial Narrow" w:hAnsi="Arial Narrow" w:cs="Arial"/>
          <w:b/>
          <w:color w:val="000000" w:themeColor="text1"/>
          <w:lang w:val="es-ES_tradnl" w:eastAsia="es-ES"/>
        </w:rPr>
      </w:pPr>
    </w:p>
    <w:p w14:paraId="768C84A2" w14:textId="77777777" w:rsidR="007968EC" w:rsidRPr="002C0D19" w:rsidRDefault="007968EC" w:rsidP="007968EC">
      <w:pPr>
        <w:jc w:val="both"/>
        <w:rPr>
          <w:rFonts w:ascii="Arial Narrow" w:hAnsi="Arial Narrow" w:cs="Arial"/>
          <w:b/>
          <w:color w:val="000000" w:themeColor="text1"/>
          <w:lang w:val="es-ES_tradnl" w:eastAsia="es-ES"/>
        </w:rPr>
      </w:pPr>
      <w:r w:rsidRPr="002C0D19">
        <w:rPr>
          <w:rFonts w:ascii="Arial Narrow" w:hAnsi="Arial Narrow" w:cs="Arial"/>
          <w:b/>
          <w:color w:val="000000" w:themeColor="text1"/>
          <w:lang w:val="es-ES_tradnl" w:eastAsia="es-ES"/>
        </w:rPr>
        <w:t>EL MIEMBRO:</w:t>
      </w:r>
      <w:r w:rsidRPr="002C0D19">
        <w:rPr>
          <w:rFonts w:ascii="Arial Narrow" w:hAnsi="Arial Narrow" w:cs="Arial"/>
          <w:b/>
          <w:color w:val="000000" w:themeColor="text1"/>
          <w:lang w:val="es-ES_tradnl" w:eastAsia="es-ES"/>
        </w:rPr>
        <w:tab/>
      </w:r>
    </w:p>
    <w:p w14:paraId="07C935D0"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t xml:space="preserve">Fax:  </w:t>
      </w:r>
    </w:p>
    <w:p w14:paraId="4D2222E3"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r>
      <w:r w:rsidRPr="002C0D19">
        <w:rPr>
          <w:rFonts w:ascii="Arial Narrow" w:hAnsi="Arial Narrow" w:cs="Arial"/>
          <w:color w:val="000000" w:themeColor="text1"/>
          <w:lang w:val="es-ES" w:eastAsia="es-ES"/>
        </w:rPr>
        <w:t>Dirección</w:t>
      </w:r>
      <w:r w:rsidRPr="002C0D19">
        <w:rPr>
          <w:rFonts w:ascii="Arial Narrow" w:hAnsi="Arial Narrow" w:cs="Arial"/>
          <w:color w:val="000000" w:themeColor="text1"/>
          <w:lang w:eastAsia="es-ES"/>
        </w:rPr>
        <w:t xml:space="preserve">: </w:t>
      </w:r>
    </w:p>
    <w:p w14:paraId="31A12C64"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t xml:space="preserve">Ciudad: </w:t>
      </w:r>
    </w:p>
    <w:p w14:paraId="0F30CE93" w14:textId="77777777" w:rsidR="007968EC" w:rsidRPr="002C0D19" w:rsidRDefault="007968EC" w:rsidP="007968EC">
      <w:pPr>
        <w:jc w:val="both"/>
        <w:rPr>
          <w:rFonts w:ascii="Arial Narrow" w:hAnsi="Arial Narrow" w:cs="Arial"/>
          <w:b/>
          <w:color w:val="000000" w:themeColor="text1"/>
          <w:u w:val="single"/>
          <w:lang w:val="es-ES_tradnl" w:eastAsia="es-ES"/>
        </w:rPr>
      </w:pPr>
    </w:p>
    <w:p w14:paraId="5E719380" w14:textId="77777777" w:rsidR="007968EC" w:rsidRPr="002C0D19" w:rsidRDefault="007968EC" w:rsidP="007968EC">
      <w:pPr>
        <w:jc w:val="both"/>
        <w:rPr>
          <w:rFonts w:ascii="Arial Narrow" w:hAnsi="Arial Narrow" w:cs="Arial"/>
          <w:b/>
          <w:bCs/>
          <w:color w:val="000000" w:themeColor="text1"/>
          <w:u w:val="single"/>
          <w:lang w:val="es-ES" w:eastAsia="es-ES"/>
        </w:rPr>
      </w:pPr>
      <w:r w:rsidRPr="002C0D19">
        <w:rPr>
          <w:rFonts w:ascii="Arial Narrow" w:hAnsi="Arial Narrow" w:cs="Arial"/>
          <w:b/>
          <w:color w:val="000000" w:themeColor="text1"/>
          <w:u w:val="single"/>
          <w:lang w:val="es-ES_tradnl" w:eastAsia="es-ES"/>
        </w:rPr>
        <w:t>DECIMA PRIMERA.</w:t>
      </w:r>
      <w:r w:rsidRPr="002C0D19">
        <w:rPr>
          <w:rFonts w:ascii="Arial Narrow" w:hAnsi="Arial Narrow" w:cs="Arial"/>
          <w:color w:val="000000" w:themeColor="text1"/>
          <w:u w:val="single"/>
          <w:lang w:val="es-ES_tradnl" w:eastAsia="es-ES"/>
        </w:rPr>
        <w:t xml:space="preserve"> </w:t>
      </w:r>
      <w:r w:rsidRPr="002C0D19">
        <w:rPr>
          <w:rFonts w:ascii="Arial Narrow" w:hAnsi="Arial Narrow" w:cs="Arial"/>
          <w:b/>
          <w:color w:val="000000" w:themeColor="text1"/>
          <w:u w:val="single"/>
          <w:lang w:val="es-ES" w:eastAsia="es-ES"/>
        </w:rPr>
        <w:t>Mérito Ejecutivo.</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Las partes</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reconocen y aceptan que la presente Oferta de Servicios, una vez aceptada mediante la expedición de la Orden de Compra de Servicios,</w:t>
      </w:r>
      <w:r w:rsidRPr="002C0D19" w:rsidDel="00CA2BCF">
        <w:rPr>
          <w:rFonts w:ascii="Arial Narrow" w:hAnsi="Arial Narrow" w:cs="Arial"/>
          <w:color w:val="000000" w:themeColor="text1"/>
          <w:lang w:val="es-ES" w:eastAsia="es-ES"/>
        </w:rPr>
        <w:t xml:space="preserve"> </w:t>
      </w:r>
      <w:r w:rsidRPr="002C0D19">
        <w:rPr>
          <w:rFonts w:ascii="Arial Narrow" w:hAnsi="Arial Narrow" w:cs="Arial"/>
          <w:color w:val="000000" w:themeColor="text1"/>
          <w:lang w:val="es-ES" w:eastAsia="es-ES"/>
        </w:rPr>
        <w:t xml:space="preserve">prestará mérito ejecutivo </w:t>
      </w:r>
      <w:r w:rsidRPr="002C0D19">
        <w:rPr>
          <w:rFonts w:ascii="Arial Narrow" w:hAnsi="Arial Narrow" w:cs="Arial"/>
          <w:color w:val="000000" w:themeColor="text1"/>
          <w:lang w:val="es-ES" w:eastAsia="es-ES"/>
        </w:rPr>
        <w:lastRenderedPageBreak/>
        <w:t>para solicitar el cumplimiento de las obligaciones a cargo de las mismas, sin necesidad de requerimiento en mora judicial o extrajudicial.</w:t>
      </w:r>
    </w:p>
    <w:p w14:paraId="463474E2" w14:textId="77777777" w:rsidR="007968EC" w:rsidRPr="002C0D19" w:rsidRDefault="007968EC" w:rsidP="007968EC">
      <w:pPr>
        <w:jc w:val="both"/>
        <w:rPr>
          <w:rFonts w:ascii="Arial Narrow" w:hAnsi="Arial Narrow" w:cs="Arial"/>
          <w:b/>
          <w:bCs/>
          <w:color w:val="000000" w:themeColor="text1"/>
          <w:u w:val="single"/>
          <w:lang w:val="es-ES" w:eastAsia="es-ES"/>
        </w:rPr>
      </w:pPr>
    </w:p>
    <w:p w14:paraId="6574E4B5"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es-ES" w:eastAsia="es-ES"/>
        </w:rPr>
        <w:t>DÉCIMA SEGUNDA. Aceptación de esta Oferta.</w:t>
      </w:r>
      <w:r w:rsidRPr="002C0D19">
        <w:rPr>
          <w:rFonts w:ascii="Arial Narrow" w:hAnsi="Arial Narrow" w:cs="Arial"/>
          <w:color w:val="000000" w:themeColor="text1"/>
          <w:lang w:val="es-ES" w:eastAsia="es-ES"/>
        </w:rPr>
        <w:t xml:space="preserve"> La presente Oferta se entenderá aceptada mediante la expedición, por parte de </w:t>
      </w:r>
      <w:r w:rsidRPr="002C0D19">
        <w:rPr>
          <w:rFonts w:ascii="Arial Narrow" w:hAnsi="Arial Narrow" w:cs="Arial"/>
          <w:b/>
          <w:color w:val="000000" w:themeColor="text1"/>
          <w:lang w:val="es-ES" w:eastAsia="es-ES"/>
        </w:rPr>
        <w:t>EL TERCERO</w:t>
      </w:r>
      <w:r w:rsidRPr="002C0D19">
        <w:rPr>
          <w:rFonts w:ascii="Arial Narrow" w:hAnsi="Arial Narrow" w:cs="Arial"/>
          <w:color w:val="000000" w:themeColor="text1"/>
          <w:lang w:val="es-ES" w:eastAsia="es-ES"/>
        </w:rPr>
        <w:t>, de una Orden de Compra de Servicios.</w:t>
      </w:r>
    </w:p>
    <w:p w14:paraId="5076CF17" w14:textId="77777777" w:rsidR="007968EC" w:rsidRPr="002C0D19" w:rsidRDefault="007968EC" w:rsidP="007968EC">
      <w:pPr>
        <w:jc w:val="both"/>
        <w:rPr>
          <w:rFonts w:ascii="Arial Narrow" w:hAnsi="Arial Narrow" w:cs="Arial"/>
          <w:b/>
          <w:bCs/>
          <w:color w:val="000000" w:themeColor="text1"/>
          <w:u w:val="single"/>
          <w:lang w:val="es-ES" w:eastAsia="es-ES"/>
        </w:rPr>
      </w:pPr>
    </w:p>
    <w:p w14:paraId="78F38F4D"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es-ES" w:eastAsia="es-ES"/>
        </w:rPr>
        <w:t>DÉCIMA TERCERA. Impuesto de Timbre.</w:t>
      </w:r>
      <w:r w:rsidRPr="002C0D19">
        <w:rPr>
          <w:rFonts w:ascii="Arial Narrow" w:hAnsi="Arial Narrow" w:cs="Arial"/>
          <w:color w:val="000000" w:themeColor="text1"/>
          <w:lang w:val="es-ES" w:eastAsia="es-ES"/>
        </w:rPr>
        <w:t xml:space="preserve"> De conformidad con el numeral 52 del artículo 530 del Estatuto Tributario, la presente Oferta y su posterior aceptación mediante Orden de Compra de Servicios, no causan impuesto de timbre.</w:t>
      </w:r>
    </w:p>
    <w:p w14:paraId="32CD7708" w14:textId="77777777" w:rsidR="007968EC" w:rsidRPr="002C0D19" w:rsidRDefault="007968EC" w:rsidP="007968EC">
      <w:pPr>
        <w:jc w:val="both"/>
        <w:rPr>
          <w:rFonts w:ascii="Arial Narrow" w:hAnsi="Arial Narrow" w:cs="Arial"/>
          <w:color w:val="000000" w:themeColor="text1"/>
          <w:lang w:val="es-ES" w:eastAsia="es-ES"/>
        </w:rPr>
      </w:pPr>
    </w:p>
    <w:p w14:paraId="0F5C43B4"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Para constancia, se firma en __________________, el día ______________ (____) del mes de _____________ del año dos mil ___________ (____). </w:t>
      </w:r>
    </w:p>
    <w:p w14:paraId="619E030A" w14:textId="77777777" w:rsidR="007968EC" w:rsidRPr="002C0D19" w:rsidRDefault="007968EC" w:rsidP="007968EC">
      <w:pPr>
        <w:jc w:val="both"/>
        <w:rPr>
          <w:rFonts w:ascii="Arial Narrow" w:hAnsi="Arial Narrow" w:cs="Arial"/>
          <w:b/>
          <w:bCs/>
          <w:color w:val="000000" w:themeColor="text1"/>
          <w:lang w:val="es-ES" w:eastAsia="es-ES"/>
        </w:rPr>
      </w:pPr>
    </w:p>
    <w:p w14:paraId="05E78EBF" w14:textId="77777777" w:rsidR="007968EC" w:rsidRPr="002C0D19" w:rsidRDefault="007968EC" w:rsidP="007968EC">
      <w:pPr>
        <w:jc w:val="both"/>
        <w:rPr>
          <w:rFonts w:ascii="Arial Narrow" w:hAnsi="Arial Narrow" w:cs="Arial"/>
          <w:b/>
          <w:bCs/>
          <w:color w:val="000000" w:themeColor="text1"/>
          <w:lang w:val="es-ES" w:eastAsia="es-ES"/>
        </w:rPr>
      </w:pPr>
      <w:r w:rsidRPr="002C0D19">
        <w:rPr>
          <w:rFonts w:ascii="Arial Narrow" w:hAnsi="Arial Narrow" w:cs="Arial"/>
          <w:b/>
          <w:bCs/>
          <w:color w:val="000000" w:themeColor="text1"/>
          <w:lang w:val="es-ES" w:eastAsia="es-ES"/>
        </w:rPr>
        <w:t>EL MIEMBRO</w:t>
      </w:r>
    </w:p>
    <w:p w14:paraId="1F5BEF62" w14:textId="77777777" w:rsidR="007968EC" w:rsidRPr="002C0D19" w:rsidRDefault="007968EC" w:rsidP="007968EC">
      <w:pPr>
        <w:jc w:val="both"/>
        <w:rPr>
          <w:rFonts w:ascii="Arial Narrow" w:hAnsi="Arial Narrow" w:cs="Arial"/>
          <w:color w:val="000000" w:themeColor="text1"/>
          <w:spacing w:val="-3"/>
          <w:lang w:val="es-ES" w:eastAsia="es-ES"/>
        </w:rPr>
      </w:pPr>
    </w:p>
    <w:p w14:paraId="24FB4CB5"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Por:          ________________________________                      </w:t>
      </w:r>
    </w:p>
    <w:p w14:paraId="57BA87E1"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Nombre:                                               </w:t>
      </w:r>
    </w:p>
    <w:p w14:paraId="29FBB18F"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Cargo:       Representante Legal”</w:t>
      </w:r>
    </w:p>
    <w:p w14:paraId="37D7873A" w14:textId="77777777" w:rsidR="007968EC" w:rsidRPr="002C0D19" w:rsidRDefault="007968EC" w:rsidP="007968EC">
      <w:pPr>
        <w:rPr>
          <w:rFonts w:ascii="Arial Narrow" w:hAnsi="Arial Narrow" w:cs="Arial"/>
          <w:b/>
          <w:color w:val="000000" w:themeColor="text1"/>
          <w:lang w:val="es-ES" w:eastAsia="es-ES"/>
        </w:rPr>
      </w:pPr>
    </w:p>
    <w:p w14:paraId="626B9276" w14:textId="77777777" w:rsidR="007968EC" w:rsidRPr="002C0D19" w:rsidRDefault="007968EC" w:rsidP="007968EC">
      <w:pPr>
        <w:rPr>
          <w:rFonts w:ascii="Arial Narrow" w:hAnsi="Arial Narrow" w:cs="Arial"/>
          <w:b/>
          <w:color w:val="000000" w:themeColor="text1"/>
          <w:lang w:val="es-ES" w:eastAsia="es-ES"/>
        </w:rPr>
      </w:pPr>
    </w:p>
    <w:p w14:paraId="53DEA344" w14:textId="77777777" w:rsidR="007968EC" w:rsidRPr="002C0D19" w:rsidRDefault="007968EC" w:rsidP="007968EC">
      <w:pPr>
        <w:rPr>
          <w:rFonts w:ascii="Arial Narrow" w:hAnsi="Arial Narrow" w:cs="Arial"/>
          <w:b/>
          <w:color w:val="000000" w:themeColor="text1"/>
          <w:lang w:val="es-ES" w:eastAsia="es-ES"/>
        </w:rPr>
      </w:pPr>
    </w:p>
    <w:p w14:paraId="1F2A3ED9" w14:textId="77777777" w:rsidR="007968EC" w:rsidRPr="002C0D19" w:rsidRDefault="007968EC" w:rsidP="007968EC">
      <w:pPr>
        <w:rPr>
          <w:rFonts w:ascii="Arial Narrow" w:hAnsi="Arial Narrow" w:cs="Arial"/>
          <w:b/>
          <w:color w:val="000000" w:themeColor="text1"/>
          <w:lang w:val="es-ES" w:eastAsia="es-ES"/>
        </w:rPr>
      </w:pPr>
    </w:p>
    <w:p w14:paraId="32B9C7D3" w14:textId="77777777" w:rsidR="007968EC" w:rsidRPr="002C0D19" w:rsidRDefault="007968EC" w:rsidP="007968EC">
      <w:pPr>
        <w:rPr>
          <w:rFonts w:ascii="Arial Narrow" w:hAnsi="Arial Narrow" w:cs="Arial"/>
          <w:b/>
          <w:color w:val="000000" w:themeColor="text1"/>
          <w:lang w:val="es-ES" w:eastAsia="es-ES"/>
        </w:rPr>
      </w:pPr>
    </w:p>
    <w:p w14:paraId="1C33BDF3" w14:textId="77777777" w:rsidR="007968EC" w:rsidRPr="002C0D19" w:rsidRDefault="007968EC" w:rsidP="007968EC">
      <w:pPr>
        <w:rPr>
          <w:rFonts w:ascii="Arial Narrow" w:hAnsi="Arial Narrow" w:cs="Arial"/>
          <w:b/>
          <w:color w:val="000000" w:themeColor="text1"/>
          <w:lang w:val="es-ES" w:eastAsia="es-ES"/>
        </w:rPr>
      </w:pPr>
    </w:p>
    <w:p w14:paraId="080AD405" w14:textId="77777777" w:rsidR="007968EC" w:rsidRPr="002C0D19" w:rsidRDefault="007968EC" w:rsidP="007968EC">
      <w:pPr>
        <w:rPr>
          <w:rFonts w:ascii="Arial Narrow" w:hAnsi="Arial Narrow" w:cs="Arial"/>
          <w:b/>
          <w:color w:val="000000" w:themeColor="text1"/>
          <w:lang w:val="es-ES" w:eastAsia="es-ES"/>
        </w:rPr>
      </w:pPr>
    </w:p>
    <w:p w14:paraId="227474E6" w14:textId="77777777" w:rsidR="007968EC" w:rsidRPr="002C0D19" w:rsidRDefault="007968EC" w:rsidP="007968EC">
      <w:pPr>
        <w:rPr>
          <w:rFonts w:ascii="Arial Narrow" w:hAnsi="Arial Narrow" w:cs="Arial"/>
          <w:b/>
          <w:color w:val="000000" w:themeColor="text1"/>
          <w:lang w:val="es-ES" w:eastAsia="es-ES"/>
        </w:rPr>
      </w:pPr>
    </w:p>
    <w:p w14:paraId="68B54E0E" w14:textId="77777777" w:rsidR="007968EC" w:rsidRPr="002C0D19" w:rsidRDefault="007968EC" w:rsidP="007968EC">
      <w:pPr>
        <w:rPr>
          <w:rFonts w:ascii="Arial Narrow" w:hAnsi="Arial Narrow" w:cs="Arial"/>
          <w:b/>
          <w:color w:val="000000" w:themeColor="text1"/>
          <w:lang w:val="es-ES" w:eastAsia="es-ES"/>
        </w:rPr>
      </w:pPr>
    </w:p>
    <w:p w14:paraId="0E805943" w14:textId="77777777" w:rsidR="007968EC" w:rsidRPr="002C0D19" w:rsidRDefault="007968EC" w:rsidP="007968EC">
      <w:pPr>
        <w:rPr>
          <w:rFonts w:ascii="Arial Narrow" w:hAnsi="Arial Narrow" w:cs="Arial"/>
          <w:b/>
          <w:color w:val="000000" w:themeColor="text1"/>
          <w:lang w:val="es-ES" w:eastAsia="es-ES"/>
        </w:rPr>
      </w:pPr>
    </w:p>
    <w:p w14:paraId="6CED2193" w14:textId="77777777" w:rsidR="007968EC" w:rsidRPr="002C0D19" w:rsidRDefault="007968EC" w:rsidP="007968EC">
      <w:pPr>
        <w:rPr>
          <w:rFonts w:ascii="Arial Narrow" w:hAnsi="Arial Narrow" w:cs="Arial"/>
          <w:b/>
          <w:color w:val="000000" w:themeColor="text1"/>
          <w:lang w:val="es-ES" w:eastAsia="es-ES"/>
        </w:rPr>
      </w:pPr>
    </w:p>
    <w:p w14:paraId="602DF41E" w14:textId="77777777" w:rsidR="007968EC" w:rsidRPr="002C0D19" w:rsidRDefault="007968EC" w:rsidP="007968EC">
      <w:pPr>
        <w:rPr>
          <w:rFonts w:ascii="Arial Narrow" w:hAnsi="Arial Narrow" w:cs="Arial"/>
          <w:b/>
          <w:color w:val="000000" w:themeColor="text1"/>
          <w:lang w:val="es-ES" w:eastAsia="es-ES"/>
        </w:rPr>
      </w:pPr>
    </w:p>
    <w:p w14:paraId="5DFB1C81" w14:textId="77777777" w:rsidR="007968EC" w:rsidRPr="002C0D19" w:rsidRDefault="007968EC" w:rsidP="007968EC">
      <w:pPr>
        <w:rPr>
          <w:rFonts w:ascii="Arial Narrow" w:hAnsi="Arial Narrow" w:cs="Arial"/>
          <w:b/>
          <w:color w:val="000000" w:themeColor="text1"/>
          <w:lang w:val="es-ES" w:eastAsia="es-ES"/>
        </w:rPr>
      </w:pPr>
    </w:p>
    <w:p w14:paraId="05817980" w14:textId="77777777" w:rsidR="007968EC" w:rsidRPr="002C0D19" w:rsidRDefault="007968EC" w:rsidP="007968EC">
      <w:pPr>
        <w:rPr>
          <w:rFonts w:ascii="Arial Narrow" w:hAnsi="Arial Narrow" w:cs="Arial"/>
          <w:b/>
          <w:color w:val="000000" w:themeColor="text1"/>
          <w:lang w:val="es-ES" w:eastAsia="es-ES"/>
        </w:rPr>
      </w:pPr>
    </w:p>
    <w:p w14:paraId="531EE7E9" w14:textId="77777777" w:rsidR="007968EC" w:rsidRPr="002C0D19" w:rsidRDefault="007968EC" w:rsidP="007968EC">
      <w:pPr>
        <w:rPr>
          <w:rFonts w:ascii="Arial Narrow" w:hAnsi="Arial Narrow" w:cs="Arial"/>
          <w:b/>
          <w:color w:val="000000" w:themeColor="text1"/>
          <w:lang w:val="es-ES" w:eastAsia="es-ES"/>
        </w:rPr>
      </w:pPr>
    </w:p>
    <w:p w14:paraId="63B3A943" w14:textId="77777777" w:rsidR="007968EC" w:rsidRPr="002C0D19" w:rsidRDefault="007968EC" w:rsidP="007968EC">
      <w:pPr>
        <w:rPr>
          <w:rFonts w:ascii="Arial Narrow" w:hAnsi="Arial Narrow" w:cs="Arial"/>
          <w:b/>
          <w:color w:val="000000" w:themeColor="text1"/>
          <w:lang w:val="es-ES" w:eastAsia="es-ES"/>
        </w:rPr>
      </w:pPr>
    </w:p>
    <w:p w14:paraId="7E716473" w14:textId="77777777" w:rsidR="007968EC" w:rsidRPr="002C0D19" w:rsidRDefault="007968EC" w:rsidP="007968EC">
      <w:pPr>
        <w:rPr>
          <w:rFonts w:ascii="Arial Narrow" w:hAnsi="Arial Narrow" w:cs="Arial"/>
          <w:b/>
          <w:color w:val="000000" w:themeColor="text1"/>
          <w:lang w:val="es-ES" w:eastAsia="es-ES"/>
        </w:rPr>
      </w:pPr>
    </w:p>
    <w:p w14:paraId="5F278C4E" w14:textId="77777777" w:rsidR="007968EC" w:rsidRPr="002C0D19" w:rsidRDefault="007968EC" w:rsidP="007968EC">
      <w:pPr>
        <w:rPr>
          <w:rFonts w:ascii="Arial Narrow" w:hAnsi="Arial Narrow" w:cs="Arial"/>
          <w:b/>
          <w:color w:val="000000" w:themeColor="text1"/>
          <w:lang w:val="es-ES" w:eastAsia="es-ES"/>
        </w:rPr>
      </w:pPr>
    </w:p>
    <w:p w14:paraId="0B3E8859" w14:textId="77777777" w:rsidR="007968EC" w:rsidRPr="002C0D19" w:rsidRDefault="007968EC" w:rsidP="007968EC">
      <w:pPr>
        <w:rPr>
          <w:rFonts w:ascii="Arial Narrow" w:hAnsi="Arial Narrow" w:cs="Arial"/>
          <w:b/>
          <w:color w:val="000000" w:themeColor="text1"/>
          <w:lang w:val="es-MX" w:eastAsia="es-ES"/>
        </w:rPr>
      </w:pPr>
      <w:bookmarkStart w:id="6589" w:name="_Toc470781243"/>
      <w:bookmarkStart w:id="6590" w:name="_Toc470784827"/>
      <w:bookmarkStart w:id="6591" w:name="_Toc470785365"/>
      <w:bookmarkStart w:id="6592" w:name="_Toc470791759"/>
      <w:r w:rsidRPr="002C0D19">
        <w:rPr>
          <w:rFonts w:ascii="Arial Narrow" w:hAnsi="Arial Narrow" w:cs="Arial"/>
          <w:b/>
          <w:color w:val="000000" w:themeColor="text1"/>
          <w:lang w:val="es-MX" w:eastAsia="es-ES"/>
        </w:rPr>
        <w:br w:type="page"/>
      </w:r>
    </w:p>
    <w:p w14:paraId="7901630B" w14:textId="77777777" w:rsidR="007968EC" w:rsidRPr="002C0D19" w:rsidRDefault="007968EC" w:rsidP="007968EC">
      <w:pPr>
        <w:ind w:right="20"/>
        <w:jc w:val="center"/>
        <w:outlineLvl w:val="0"/>
        <w:rPr>
          <w:rFonts w:ascii="Arial Narrow" w:hAnsi="Arial Narrow" w:cs="Arial"/>
          <w:color w:val="000000" w:themeColor="text1"/>
          <w:lang w:val="es-MX" w:eastAsia="es-ES"/>
        </w:rPr>
      </w:pPr>
      <w:bookmarkStart w:id="6593" w:name="_Toc471831971"/>
      <w:bookmarkStart w:id="6594" w:name="_Toc490066777"/>
      <w:bookmarkStart w:id="6595" w:name="_Toc490069291"/>
      <w:bookmarkStart w:id="6596" w:name="_Toc490070668"/>
      <w:bookmarkStart w:id="6597" w:name="_Toc490077194"/>
      <w:bookmarkStart w:id="6598" w:name="_Toc490079578"/>
      <w:r w:rsidRPr="002C0D19">
        <w:rPr>
          <w:rFonts w:ascii="Arial Narrow" w:hAnsi="Arial Narrow" w:cs="Arial"/>
          <w:b/>
          <w:color w:val="000000" w:themeColor="text1"/>
          <w:lang w:val="es-MX" w:eastAsia="es-ES"/>
        </w:rPr>
        <w:lastRenderedPageBreak/>
        <w:t xml:space="preserve">Anexo 24.3 Modelo Tripartito de Contrato de Servicios para la realización de órdenes de </w:t>
      </w:r>
      <w:proofErr w:type="spellStart"/>
      <w:r w:rsidRPr="002C0D19">
        <w:rPr>
          <w:rFonts w:ascii="Arial Narrow" w:hAnsi="Arial Narrow" w:cs="Arial"/>
          <w:b/>
          <w:i/>
          <w:color w:val="000000" w:themeColor="text1"/>
          <w:lang w:val="es-MX" w:eastAsia="es-ES"/>
        </w:rPr>
        <w:t>Give</w:t>
      </w:r>
      <w:proofErr w:type="spellEnd"/>
      <w:r w:rsidRPr="002C0D19">
        <w:rPr>
          <w:rFonts w:ascii="Arial Narrow" w:hAnsi="Arial Narrow" w:cs="Arial"/>
          <w:b/>
          <w:i/>
          <w:color w:val="000000" w:themeColor="text1"/>
          <w:lang w:val="es-MX" w:eastAsia="es-ES"/>
        </w:rPr>
        <w:t xml:space="preserve">-Up </w:t>
      </w:r>
      <w:r w:rsidRPr="002C0D19">
        <w:rPr>
          <w:rFonts w:ascii="Arial Narrow" w:hAnsi="Arial Narrow" w:cs="Arial"/>
          <w:b/>
          <w:color w:val="000000" w:themeColor="text1"/>
          <w:lang w:val="es-MX" w:eastAsia="es-ES"/>
        </w:rPr>
        <w:t>entre un Miembro de Destino, un Miembro de Origen y un Tercero ante la Cámara</w:t>
      </w:r>
      <w:bookmarkEnd w:id="6589"/>
      <w:bookmarkEnd w:id="6590"/>
      <w:bookmarkEnd w:id="6591"/>
      <w:bookmarkEnd w:id="6592"/>
      <w:bookmarkEnd w:id="6593"/>
      <w:bookmarkEnd w:id="6594"/>
      <w:bookmarkEnd w:id="6595"/>
      <w:bookmarkEnd w:id="6596"/>
      <w:bookmarkEnd w:id="6597"/>
      <w:bookmarkEnd w:id="6598"/>
    </w:p>
    <w:p w14:paraId="45419D59" w14:textId="77777777" w:rsidR="007968EC" w:rsidRDefault="007968EC" w:rsidP="007968EC">
      <w:pPr>
        <w:ind w:right="20"/>
        <w:jc w:val="center"/>
        <w:outlineLvl w:val="0"/>
        <w:rPr>
          <w:rFonts w:ascii="Arial Narrow" w:hAnsi="Arial Narrow" w:cs="Arial"/>
          <w:color w:val="000000" w:themeColor="text1"/>
          <w:u w:val="single"/>
          <w:lang w:val="es-MX" w:eastAsia="es-ES"/>
        </w:rPr>
      </w:pPr>
    </w:p>
    <w:p w14:paraId="013E3F05" w14:textId="77777777" w:rsidR="001434C9" w:rsidRDefault="001434C9" w:rsidP="007968EC">
      <w:pPr>
        <w:ind w:right="20"/>
        <w:jc w:val="center"/>
        <w:outlineLvl w:val="0"/>
        <w:rPr>
          <w:rFonts w:ascii="Arial Narrow" w:hAnsi="Arial Narrow" w:cs="Arial"/>
          <w:color w:val="000000" w:themeColor="text1"/>
          <w:u w:val="single"/>
          <w:lang w:val="es-MX" w:eastAsia="es-ES"/>
        </w:rPr>
      </w:pPr>
      <w:r w:rsidRPr="001434C9">
        <w:rPr>
          <w:rFonts w:ascii="Arial Narrow" w:hAnsi="Arial Narrow" w:cs="Arial"/>
          <w:b/>
          <w:bCs/>
          <w:i/>
          <w:iCs/>
          <w:color w:val="000000" w:themeColor="text1"/>
          <w:lang w:val="es-ES" w:eastAsia="es-ES"/>
        </w:rPr>
        <w:t xml:space="preserve">(Este anexo fue modificado mediante Circular </w:t>
      </w:r>
      <w:r>
        <w:rPr>
          <w:rFonts w:ascii="Arial Narrow" w:hAnsi="Arial Narrow" w:cs="Arial"/>
          <w:b/>
          <w:bCs/>
          <w:i/>
          <w:iCs/>
          <w:color w:val="000000" w:themeColor="text1"/>
          <w:lang w:val="es-ES" w:eastAsia="es-ES"/>
        </w:rPr>
        <w:t>2</w:t>
      </w:r>
      <w:r w:rsidRPr="001434C9">
        <w:rPr>
          <w:rFonts w:ascii="Arial Narrow" w:hAnsi="Arial Narrow" w:cs="Arial"/>
          <w:b/>
          <w:bCs/>
          <w:i/>
          <w:iCs/>
          <w:color w:val="000000" w:themeColor="text1"/>
          <w:lang w:val="es-ES" w:eastAsia="es-ES"/>
        </w:rPr>
        <w:t xml:space="preserve"> del </w:t>
      </w:r>
      <w:r>
        <w:rPr>
          <w:rFonts w:ascii="Arial Narrow" w:hAnsi="Arial Narrow" w:cs="Arial"/>
          <w:b/>
          <w:bCs/>
          <w:i/>
          <w:iCs/>
          <w:color w:val="000000" w:themeColor="text1"/>
          <w:lang w:val="es-ES" w:eastAsia="es-ES"/>
        </w:rPr>
        <w:t>29</w:t>
      </w:r>
      <w:r w:rsidRPr="001434C9">
        <w:rPr>
          <w:rFonts w:ascii="Arial Narrow" w:hAnsi="Arial Narrow" w:cs="Arial"/>
          <w:b/>
          <w:bCs/>
          <w:i/>
          <w:iCs/>
          <w:color w:val="000000" w:themeColor="text1"/>
          <w:lang w:val="es-ES" w:eastAsia="es-ES"/>
        </w:rPr>
        <w:t xml:space="preserve"> de </w:t>
      </w:r>
      <w:r>
        <w:rPr>
          <w:rFonts w:ascii="Arial Narrow" w:hAnsi="Arial Narrow" w:cs="Arial"/>
          <w:b/>
          <w:bCs/>
          <w:i/>
          <w:iCs/>
          <w:color w:val="000000" w:themeColor="text1"/>
          <w:lang w:val="es-ES" w:eastAsia="es-ES"/>
        </w:rPr>
        <w:t>ener</w:t>
      </w:r>
      <w:r w:rsidRPr="001434C9">
        <w:rPr>
          <w:rFonts w:ascii="Arial Narrow" w:hAnsi="Arial Narrow" w:cs="Arial"/>
          <w:b/>
          <w:bCs/>
          <w:i/>
          <w:iCs/>
          <w:color w:val="000000" w:themeColor="text1"/>
          <w:lang w:val="es-ES" w:eastAsia="es-ES"/>
        </w:rPr>
        <w:t>o de 20</w:t>
      </w:r>
      <w:r>
        <w:rPr>
          <w:rFonts w:ascii="Arial Narrow" w:hAnsi="Arial Narrow" w:cs="Arial"/>
          <w:b/>
          <w:bCs/>
          <w:i/>
          <w:iCs/>
          <w:color w:val="000000" w:themeColor="text1"/>
          <w:lang w:val="es-ES" w:eastAsia="es-ES"/>
        </w:rPr>
        <w:t>20</w:t>
      </w:r>
      <w:r w:rsidRPr="001434C9">
        <w:rPr>
          <w:rFonts w:ascii="Arial Narrow" w:hAnsi="Arial Narrow" w:cs="Arial"/>
          <w:b/>
          <w:bCs/>
          <w:i/>
          <w:iCs/>
          <w:color w:val="000000" w:themeColor="text1"/>
          <w:lang w:val="es-ES" w:eastAsia="es-ES"/>
        </w:rPr>
        <w:t>, publicada en el Boletín Normativo No. 00</w:t>
      </w:r>
      <w:r>
        <w:rPr>
          <w:rFonts w:ascii="Arial Narrow" w:hAnsi="Arial Narrow" w:cs="Arial"/>
          <w:b/>
          <w:bCs/>
          <w:i/>
          <w:iCs/>
          <w:color w:val="000000" w:themeColor="text1"/>
          <w:lang w:val="es-ES" w:eastAsia="es-ES"/>
        </w:rPr>
        <w:t>2</w:t>
      </w:r>
      <w:r w:rsidRPr="001434C9">
        <w:rPr>
          <w:rFonts w:ascii="Arial Narrow" w:hAnsi="Arial Narrow" w:cs="Arial"/>
          <w:b/>
          <w:bCs/>
          <w:i/>
          <w:iCs/>
          <w:color w:val="000000" w:themeColor="text1"/>
          <w:lang w:val="es-ES" w:eastAsia="es-ES"/>
        </w:rPr>
        <w:t xml:space="preserve"> del </w:t>
      </w:r>
      <w:r>
        <w:rPr>
          <w:rFonts w:ascii="Arial Narrow" w:hAnsi="Arial Narrow" w:cs="Arial"/>
          <w:b/>
          <w:bCs/>
          <w:i/>
          <w:iCs/>
          <w:color w:val="000000" w:themeColor="text1"/>
          <w:lang w:val="es-ES" w:eastAsia="es-ES"/>
        </w:rPr>
        <w:t>29</w:t>
      </w:r>
      <w:r w:rsidRPr="001434C9">
        <w:rPr>
          <w:rFonts w:ascii="Arial Narrow" w:hAnsi="Arial Narrow" w:cs="Arial"/>
          <w:b/>
          <w:bCs/>
          <w:i/>
          <w:iCs/>
          <w:color w:val="000000" w:themeColor="text1"/>
          <w:lang w:val="es-ES" w:eastAsia="es-ES"/>
        </w:rPr>
        <w:t xml:space="preserve"> de </w:t>
      </w:r>
      <w:r>
        <w:rPr>
          <w:rFonts w:ascii="Arial Narrow" w:hAnsi="Arial Narrow" w:cs="Arial"/>
          <w:b/>
          <w:bCs/>
          <w:i/>
          <w:iCs/>
          <w:color w:val="000000" w:themeColor="text1"/>
          <w:lang w:val="es-ES" w:eastAsia="es-ES"/>
        </w:rPr>
        <w:t>ener</w:t>
      </w:r>
      <w:r w:rsidRPr="001434C9">
        <w:rPr>
          <w:rFonts w:ascii="Arial Narrow" w:hAnsi="Arial Narrow" w:cs="Arial"/>
          <w:b/>
          <w:bCs/>
          <w:i/>
          <w:iCs/>
          <w:color w:val="000000" w:themeColor="text1"/>
          <w:lang w:val="es-ES" w:eastAsia="es-ES"/>
        </w:rPr>
        <w:t>o de 20</w:t>
      </w:r>
      <w:r>
        <w:rPr>
          <w:rFonts w:ascii="Arial Narrow" w:hAnsi="Arial Narrow" w:cs="Arial"/>
          <w:b/>
          <w:bCs/>
          <w:i/>
          <w:iCs/>
          <w:color w:val="000000" w:themeColor="text1"/>
          <w:lang w:val="es-ES" w:eastAsia="es-ES"/>
        </w:rPr>
        <w:t>20</w:t>
      </w:r>
      <w:r w:rsidRPr="001434C9">
        <w:rPr>
          <w:rFonts w:ascii="Arial Narrow" w:hAnsi="Arial Narrow" w:cs="Arial"/>
          <w:b/>
          <w:bCs/>
          <w:i/>
          <w:iCs/>
          <w:color w:val="000000" w:themeColor="text1"/>
          <w:lang w:val="es-ES" w:eastAsia="es-ES"/>
        </w:rPr>
        <w:t xml:space="preserve">. Rige a partir del </w:t>
      </w:r>
      <w:r>
        <w:rPr>
          <w:rFonts w:ascii="Arial Narrow" w:hAnsi="Arial Narrow" w:cs="Arial"/>
          <w:b/>
          <w:bCs/>
          <w:i/>
          <w:iCs/>
          <w:color w:val="000000" w:themeColor="text1"/>
          <w:lang w:val="es-ES" w:eastAsia="es-ES"/>
        </w:rPr>
        <w:t>3</w:t>
      </w:r>
      <w:r w:rsidRPr="001434C9">
        <w:rPr>
          <w:rFonts w:ascii="Arial Narrow" w:hAnsi="Arial Narrow" w:cs="Arial"/>
          <w:b/>
          <w:bCs/>
          <w:i/>
          <w:iCs/>
          <w:color w:val="000000" w:themeColor="text1"/>
          <w:lang w:val="es-ES" w:eastAsia="es-ES"/>
        </w:rPr>
        <w:t xml:space="preserve"> de </w:t>
      </w:r>
      <w:r>
        <w:rPr>
          <w:rFonts w:ascii="Arial Narrow" w:hAnsi="Arial Narrow" w:cs="Arial"/>
          <w:b/>
          <w:bCs/>
          <w:i/>
          <w:iCs/>
          <w:color w:val="000000" w:themeColor="text1"/>
          <w:lang w:val="es-ES" w:eastAsia="es-ES"/>
        </w:rPr>
        <w:t>febrer</w:t>
      </w:r>
      <w:r w:rsidRPr="001434C9">
        <w:rPr>
          <w:rFonts w:ascii="Arial Narrow" w:hAnsi="Arial Narrow" w:cs="Arial"/>
          <w:b/>
          <w:bCs/>
          <w:i/>
          <w:iCs/>
          <w:color w:val="000000" w:themeColor="text1"/>
          <w:lang w:val="es-ES" w:eastAsia="es-ES"/>
        </w:rPr>
        <w:t>o de 20</w:t>
      </w:r>
      <w:r>
        <w:rPr>
          <w:rFonts w:ascii="Arial Narrow" w:hAnsi="Arial Narrow" w:cs="Arial"/>
          <w:b/>
          <w:bCs/>
          <w:i/>
          <w:iCs/>
          <w:color w:val="000000" w:themeColor="text1"/>
          <w:lang w:val="es-ES" w:eastAsia="es-ES"/>
        </w:rPr>
        <w:t>20</w:t>
      </w:r>
      <w:r w:rsidRPr="001434C9">
        <w:rPr>
          <w:rFonts w:ascii="Arial Narrow" w:hAnsi="Arial Narrow" w:cs="Arial"/>
          <w:b/>
          <w:bCs/>
          <w:color w:val="000000" w:themeColor="text1"/>
          <w:lang w:val="es-ES" w:eastAsia="es-ES"/>
        </w:rPr>
        <w:t>.)</w:t>
      </w:r>
    </w:p>
    <w:p w14:paraId="4C045492" w14:textId="77777777" w:rsidR="001434C9" w:rsidRPr="002C0D19" w:rsidRDefault="001434C9" w:rsidP="007968EC">
      <w:pPr>
        <w:ind w:right="20"/>
        <w:jc w:val="center"/>
        <w:outlineLvl w:val="0"/>
        <w:rPr>
          <w:rFonts w:ascii="Arial Narrow" w:hAnsi="Arial Narrow" w:cs="Arial"/>
          <w:color w:val="000000" w:themeColor="text1"/>
          <w:u w:val="single"/>
          <w:lang w:val="es-MX" w:eastAsia="es-ES"/>
        </w:rPr>
      </w:pPr>
    </w:p>
    <w:p w14:paraId="5D2D2FE4" w14:textId="77777777" w:rsidR="007968EC" w:rsidRPr="00991BD9" w:rsidRDefault="007968EC" w:rsidP="007968EC">
      <w:pPr>
        <w:ind w:right="20"/>
        <w:jc w:val="center"/>
        <w:rPr>
          <w:rFonts w:ascii="Arial Narrow" w:hAnsi="Arial Narrow" w:cs="Arial"/>
          <w:b/>
          <w:color w:val="000000" w:themeColor="text1"/>
          <w:lang w:val="es-MX" w:eastAsia="es-ES"/>
        </w:rPr>
      </w:pPr>
      <w:r w:rsidRPr="00991BD9">
        <w:rPr>
          <w:rFonts w:ascii="Arial Narrow" w:hAnsi="Arial Narrow" w:cs="Arial"/>
          <w:b/>
          <w:color w:val="000000" w:themeColor="text1"/>
          <w:lang w:val="es-MX" w:eastAsia="es-ES"/>
        </w:rPr>
        <w:t>CONTRATO PARA LA REALIZACIÓN DE ÓRDENES DE GIVE-UP ENTRE UN MIEMBRO DE DESTINO, UN MIEMBRO DE ORIGEN Y UN TERCERO ANTE LA CÁMARA DE RIESGO CENTRAL DE CONTRAPARTE DE COLOMBIA S.A. – CRCC S.A.</w:t>
      </w:r>
    </w:p>
    <w:p w14:paraId="299334BE" w14:textId="77777777" w:rsidR="007968EC" w:rsidRPr="002C0D19" w:rsidRDefault="007968EC" w:rsidP="007968EC">
      <w:pPr>
        <w:ind w:right="20"/>
        <w:rPr>
          <w:rFonts w:ascii="Arial Narrow" w:hAnsi="Arial Narrow" w:cs="Arial"/>
          <w:color w:val="000000" w:themeColor="text1"/>
          <w:u w:val="single"/>
          <w:lang w:val="es-MX" w:eastAsia="es-ES"/>
        </w:rPr>
      </w:pPr>
    </w:p>
    <w:p w14:paraId="0F5B1A9E" w14:textId="77777777" w:rsidR="007968EC" w:rsidRPr="002C0D19" w:rsidRDefault="007968EC" w:rsidP="007968EC">
      <w:pPr>
        <w:ind w:right="20"/>
        <w:jc w:val="center"/>
        <w:rPr>
          <w:rFonts w:ascii="Arial Narrow" w:hAnsi="Arial Narrow" w:cs="Arial"/>
          <w:color w:val="000000" w:themeColor="text1"/>
          <w:lang w:eastAsia="es-ES"/>
        </w:rPr>
      </w:pPr>
    </w:p>
    <w:p w14:paraId="3518DEB7" w14:textId="77777777" w:rsidR="007968EC" w:rsidRPr="002C0D19" w:rsidRDefault="007968EC" w:rsidP="007968EC">
      <w:pPr>
        <w:ind w:right="20"/>
        <w:jc w:val="center"/>
        <w:rPr>
          <w:rFonts w:ascii="Arial Narrow" w:hAnsi="Arial Narrow" w:cs="Arial"/>
          <w:color w:val="000000" w:themeColor="text1"/>
          <w:lang w:eastAsia="es-ES"/>
        </w:rPr>
      </w:pPr>
      <w:r w:rsidRPr="002C0D19">
        <w:rPr>
          <w:rFonts w:ascii="Arial Narrow" w:hAnsi="Arial Narrow" w:cs="Arial"/>
          <w:b/>
          <w:color w:val="000000" w:themeColor="text1"/>
          <w:lang w:eastAsia="es-ES"/>
        </w:rPr>
        <w:t>TERMINOS Y CONDICIONES</w:t>
      </w:r>
    </w:p>
    <w:p w14:paraId="1624D89E" w14:textId="77777777" w:rsidR="007968EC" w:rsidRPr="002C0D19" w:rsidRDefault="007968EC" w:rsidP="007968EC">
      <w:pPr>
        <w:ind w:right="20"/>
        <w:rPr>
          <w:rFonts w:ascii="Arial Narrow" w:hAnsi="Arial Narrow" w:cs="Arial"/>
          <w:b/>
          <w:color w:val="000000" w:themeColor="text1"/>
          <w:lang w:eastAsia="es-ES"/>
        </w:rPr>
      </w:pPr>
    </w:p>
    <w:p w14:paraId="1E96D97A" w14:textId="77777777" w:rsidR="007968EC" w:rsidRPr="002C0D19" w:rsidRDefault="007968EC" w:rsidP="007968EC">
      <w:pPr>
        <w:ind w:right="20"/>
        <w:jc w:val="both"/>
        <w:rPr>
          <w:rFonts w:ascii="Arial Narrow" w:hAnsi="Arial Narrow" w:cs="Arial"/>
          <w:i/>
          <w:color w:val="000000" w:themeColor="text1"/>
          <w:lang w:eastAsia="es-ES"/>
        </w:rPr>
      </w:pPr>
      <w:r w:rsidRPr="002C0D19">
        <w:rPr>
          <w:rFonts w:ascii="Arial Narrow" w:hAnsi="Arial Narrow" w:cs="Arial"/>
          <w:b/>
          <w:color w:val="000000" w:themeColor="text1"/>
          <w:u w:val="single"/>
          <w:lang w:eastAsia="es-ES"/>
        </w:rPr>
        <w:t>PRIMERA. Objeto.</w:t>
      </w:r>
      <w:r w:rsidRPr="002C0D19">
        <w:rPr>
          <w:rFonts w:ascii="Arial Narrow" w:hAnsi="Arial Narrow" w:cs="Arial"/>
          <w:b/>
          <w:color w:val="000000" w:themeColor="text1"/>
          <w:lang w:eastAsia="es-ES"/>
        </w:rPr>
        <w:t xml:space="preserve"> </w:t>
      </w:r>
      <w:r w:rsidRPr="002C0D19">
        <w:rPr>
          <w:rFonts w:ascii="Arial Narrow" w:hAnsi="Arial Narrow" w:cs="Arial"/>
          <w:color w:val="000000" w:themeColor="text1"/>
          <w:lang w:eastAsia="es-ES"/>
        </w:rPr>
        <w:t xml:space="preserve">En virtud del presente contrato, </w:t>
      </w:r>
      <w:r w:rsidRPr="002C0D19">
        <w:rPr>
          <w:rFonts w:ascii="Arial Narrow" w:hAnsi="Arial Narrow" w:cs="Arial"/>
          <w:b/>
          <w:color w:val="000000" w:themeColor="text1"/>
          <w:lang w:eastAsia="es-ES"/>
        </w:rPr>
        <w:t>LOS MIEMBROS</w:t>
      </w:r>
      <w:r w:rsidRPr="002C0D19">
        <w:rPr>
          <w:rFonts w:ascii="Arial Narrow" w:hAnsi="Arial Narrow" w:cs="Arial"/>
          <w:color w:val="000000" w:themeColor="text1"/>
          <w:lang w:eastAsia="es-ES"/>
        </w:rPr>
        <w:t xml:space="preserve"> y </w:t>
      </w:r>
      <w:r w:rsidRPr="002C0D19">
        <w:rPr>
          <w:rFonts w:ascii="Arial Narrow" w:hAnsi="Arial Narrow" w:cs="Arial"/>
          <w:b/>
          <w:color w:val="000000" w:themeColor="text1"/>
          <w:lang w:eastAsia="es-ES"/>
        </w:rPr>
        <w:t>EL TERCERO</w:t>
      </w:r>
      <w:r w:rsidRPr="002C0D19">
        <w:rPr>
          <w:rFonts w:ascii="Arial Narrow" w:hAnsi="Arial Narrow" w:cs="Arial"/>
          <w:color w:val="000000" w:themeColor="text1"/>
          <w:lang w:eastAsia="es-ES"/>
        </w:rPr>
        <w:t xml:space="preserve">, en adelante, </w:t>
      </w:r>
      <w:r w:rsidRPr="002C0D19">
        <w:rPr>
          <w:rFonts w:ascii="Arial Narrow" w:hAnsi="Arial Narrow" w:cs="Arial"/>
          <w:b/>
          <w:color w:val="000000" w:themeColor="text1"/>
          <w:lang w:eastAsia="es-ES"/>
        </w:rPr>
        <w:t>LAS PARTES</w:t>
      </w:r>
      <w:r w:rsidRPr="002C0D19">
        <w:rPr>
          <w:rFonts w:ascii="Arial Narrow" w:hAnsi="Arial Narrow" w:cs="Arial"/>
          <w:color w:val="000000" w:themeColor="text1"/>
          <w:lang w:eastAsia="es-ES"/>
        </w:rPr>
        <w:t xml:space="preserve">, aceptan la realización de órdenes de </w:t>
      </w:r>
      <w:proofErr w:type="spellStart"/>
      <w:r w:rsidRPr="002C0D19">
        <w:rPr>
          <w:rFonts w:ascii="Arial Narrow" w:hAnsi="Arial Narrow" w:cs="Arial"/>
          <w:i/>
          <w:color w:val="000000" w:themeColor="text1"/>
          <w:lang w:eastAsia="es-ES"/>
        </w:rPr>
        <w:t>Give</w:t>
      </w:r>
      <w:proofErr w:type="spellEnd"/>
      <w:r w:rsidRPr="002C0D19">
        <w:rPr>
          <w:rFonts w:ascii="Arial Narrow" w:hAnsi="Arial Narrow" w:cs="Arial"/>
          <w:i/>
          <w:color w:val="000000" w:themeColor="text1"/>
          <w:lang w:eastAsia="es-ES"/>
        </w:rPr>
        <w:t>-Up</w:t>
      </w:r>
      <w:r w:rsidRPr="002C0D19">
        <w:rPr>
          <w:rFonts w:ascii="Arial Narrow" w:hAnsi="Arial Narrow" w:cs="Arial"/>
          <w:color w:val="000000" w:themeColor="text1"/>
          <w:lang w:eastAsia="es-ES"/>
        </w:rPr>
        <w:t xml:space="preserve">, de Operaciones Aceptadas desde y hacia la cuenta de </w:t>
      </w:r>
      <w:r w:rsidRPr="002C0D19">
        <w:rPr>
          <w:rFonts w:ascii="Arial Narrow" w:hAnsi="Arial Narrow" w:cs="Arial"/>
          <w:b/>
          <w:color w:val="000000" w:themeColor="text1"/>
          <w:lang w:eastAsia="es-ES"/>
        </w:rPr>
        <w:t>EL TERCERO</w:t>
      </w:r>
      <w:r w:rsidRPr="002C0D19">
        <w:rPr>
          <w:rFonts w:ascii="Arial Narrow" w:hAnsi="Arial Narrow" w:cs="Arial"/>
          <w:color w:val="000000" w:themeColor="text1"/>
          <w:lang w:eastAsia="es-ES"/>
        </w:rPr>
        <w:t xml:space="preserve"> ante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por parte del </w:t>
      </w:r>
      <w:r w:rsidRPr="002C0D19">
        <w:rPr>
          <w:rFonts w:ascii="Arial Narrow" w:hAnsi="Arial Narrow" w:cs="Arial"/>
          <w:b/>
          <w:color w:val="000000" w:themeColor="text1"/>
          <w:lang w:eastAsia="es-ES"/>
        </w:rPr>
        <w:t>MIEMBRO DE ORIGEN</w:t>
      </w:r>
      <w:r w:rsidRPr="002C0D19">
        <w:rPr>
          <w:rFonts w:ascii="Arial Narrow" w:hAnsi="Arial Narrow" w:cs="Arial"/>
          <w:color w:val="000000" w:themeColor="text1"/>
          <w:lang w:eastAsia="es-ES"/>
        </w:rPr>
        <w:t xml:space="preserve"> dentro de un mismo Segmento, quien ejecuta el </w:t>
      </w:r>
      <w:proofErr w:type="spellStart"/>
      <w:r w:rsidRPr="002C0D19">
        <w:rPr>
          <w:rFonts w:ascii="Arial Narrow" w:hAnsi="Arial Narrow" w:cs="Arial"/>
          <w:i/>
          <w:color w:val="000000" w:themeColor="text1"/>
          <w:lang w:eastAsia="es-ES"/>
        </w:rPr>
        <w:t>Give-Out</w:t>
      </w:r>
      <w:proofErr w:type="spellEnd"/>
      <w:r w:rsidRPr="002C0D19">
        <w:rPr>
          <w:rFonts w:ascii="Arial Narrow" w:hAnsi="Arial Narrow" w:cs="Arial"/>
          <w:i/>
          <w:color w:val="000000" w:themeColor="text1"/>
          <w:lang w:eastAsia="es-ES"/>
        </w:rPr>
        <w:t>,</w:t>
      </w:r>
      <w:r w:rsidRPr="002C0D19">
        <w:rPr>
          <w:rFonts w:ascii="Arial Narrow" w:hAnsi="Arial Narrow" w:cs="Arial"/>
          <w:color w:val="000000" w:themeColor="text1"/>
          <w:lang w:eastAsia="es-ES"/>
        </w:rPr>
        <w:t xml:space="preserve"> al </w:t>
      </w:r>
      <w:r w:rsidRPr="002C0D19">
        <w:rPr>
          <w:rFonts w:ascii="Arial Narrow" w:hAnsi="Arial Narrow" w:cs="Arial"/>
          <w:b/>
          <w:color w:val="000000" w:themeColor="text1"/>
          <w:lang w:eastAsia="es-ES"/>
        </w:rPr>
        <w:t>MIEMBRO DE DESTINO</w:t>
      </w:r>
      <w:r w:rsidRPr="002C0D19">
        <w:rPr>
          <w:rFonts w:ascii="Arial Narrow" w:hAnsi="Arial Narrow" w:cs="Arial"/>
          <w:color w:val="000000" w:themeColor="text1"/>
          <w:lang w:eastAsia="es-ES"/>
        </w:rPr>
        <w:t xml:space="preserve">, quien acepta el </w:t>
      </w:r>
      <w:proofErr w:type="spellStart"/>
      <w:r w:rsidRPr="002C0D19">
        <w:rPr>
          <w:rFonts w:ascii="Arial Narrow" w:hAnsi="Arial Narrow" w:cs="Arial"/>
          <w:i/>
          <w:color w:val="000000" w:themeColor="text1"/>
          <w:lang w:eastAsia="es-ES"/>
        </w:rPr>
        <w:t>Give-Out</w:t>
      </w:r>
      <w:proofErr w:type="spellEnd"/>
      <w:r w:rsidRPr="002C0D19">
        <w:rPr>
          <w:rFonts w:ascii="Arial Narrow" w:hAnsi="Arial Narrow" w:cs="Arial"/>
          <w:color w:val="000000" w:themeColor="text1"/>
          <w:lang w:eastAsia="es-ES"/>
        </w:rPr>
        <w:t xml:space="preserve"> y ejecuta el </w:t>
      </w:r>
      <w:proofErr w:type="spellStart"/>
      <w:r w:rsidRPr="002C0D19">
        <w:rPr>
          <w:rFonts w:ascii="Arial Narrow" w:hAnsi="Arial Narrow" w:cs="Arial"/>
          <w:i/>
          <w:color w:val="000000" w:themeColor="text1"/>
          <w:lang w:eastAsia="es-ES"/>
        </w:rPr>
        <w:t>Give</w:t>
      </w:r>
      <w:proofErr w:type="spellEnd"/>
      <w:r w:rsidRPr="002C0D19">
        <w:rPr>
          <w:rFonts w:ascii="Arial Narrow" w:hAnsi="Arial Narrow" w:cs="Arial"/>
          <w:i/>
          <w:color w:val="000000" w:themeColor="text1"/>
          <w:lang w:eastAsia="es-ES"/>
        </w:rPr>
        <w:t>-In.</w:t>
      </w:r>
    </w:p>
    <w:p w14:paraId="1C21DA04" w14:textId="77777777" w:rsidR="007968EC" w:rsidRPr="002C0D19" w:rsidRDefault="007968EC" w:rsidP="007968EC">
      <w:pPr>
        <w:ind w:right="20"/>
        <w:jc w:val="both"/>
        <w:rPr>
          <w:rFonts w:ascii="Arial Narrow" w:hAnsi="Arial Narrow" w:cs="Arial"/>
          <w:b/>
          <w:i/>
          <w:color w:val="000000" w:themeColor="text1"/>
          <w:lang w:eastAsia="es-ES"/>
        </w:rPr>
      </w:pPr>
    </w:p>
    <w:p w14:paraId="59B583DF" w14:textId="77777777" w:rsidR="007968EC" w:rsidRPr="002C0D19" w:rsidRDefault="007968EC" w:rsidP="007968EC">
      <w:pPr>
        <w:ind w:right="20"/>
        <w:jc w:val="both"/>
        <w:rPr>
          <w:rFonts w:ascii="Arial Narrow" w:hAnsi="Arial Narrow" w:cs="Arial"/>
          <w:b/>
          <w:color w:val="000000" w:themeColor="text1"/>
          <w:lang w:eastAsia="es-ES"/>
        </w:rPr>
      </w:pPr>
      <w:r w:rsidRPr="002C0D19">
        <w:rPr>
          <w:rFonts w:ascii="Arial Narrow" w:hAnsi="Arial Narrow" w:cs="Arial"/>
          <w:b/>
          <w:color w:val="000000" w:themeColor="text1"/>
          <w:lang w:eastAsia="es-ES"/>
        </w:rPr>
        <w:t xml:space="preserve">PARAGRAFO PRIMERO. </w:t>
      </w:r>
      <w:r w:rsidRPr="002C0D19">
        <w:rPr>
          <w:rFonts w:ascii="Arial Narrow" w:hAnsi="Arial Narrow" w:cs="Arial"/>
          <w:color w:val="000000" w:themeColor="text1"/>
          <w:lang w:eastAsia="es-ES"/>
        </w:rPr>
        <w:t xml:space="preserve">Los </w:t>
      </w:r>
      <w:proofErr w:type="spellStart"/>
      <w:r w:rsidRPr="002C0D19">
        <w:rPr>
          <w:rFonts w:ascii="Arial Narrow" w:hAnsi="Arial Narrow" w:cs="Arial"/>
          <w:i/>
          <w:color w:val="000000" w:themeColor="text1"/>
          <w:lang w:eastAsia="es-ES"/>
        </w:rPr>
        <w:t>Give</w:t>
      </w:r>
      <w:proofErr w:type="spellEnd"/>
      <w:r w:rsidRPr="002C0D19">
        <w:rPr>
          <w:rFonts w:ascii="Arial Narrow" w:hAnsi="Arial Narrow" w:cs="Arial"/>
          <w:i/>
          <w:color w:val="000000" w:themeColor="text1"/>
          <w:lang w:eastAsia="es-ES"/>
        </w:rPr>
        <w:t>-Up</w:t>
      </w:r>
      <w:r w:rsidRPr="002C0D19">
        <w:rPr>
          <w:rFonts w:ascii="Arial Narrow" w:hAnsi="Arial Narrow" w:cs="Arial"/>
          <w:color w:val="000000" w:themeColor="text1"/>
          <w:lang w:eastAsia="es-ES"/>
        </w:rPr>
        <w:t xml:space="preserve"> son aquellas órdenes mediante las cuales un </w:t>
      </w:r>
      <w:r w:rsidRPr="002C0D19">
        <w:rPr>
          <w:rFonts w:ascii="Arial Narrow" w:hAnsi="Arial Narrow" w:cs="Arial"/>
          <w:b/>
          <w:color w:val="000000" w:themeColor="text1"/>
          <w:lang w:eastAsia="es-ES"/>
        </w:rPr>
        <w:t>TERCERO</w:t>
      </w:r>
      <w:r w:rsidRPr="002C0D19">
        <w:rPr>
          <w:rFonts w:ascii="Arial Narrow" w:hAnsi="Arial Narrow" w:cs="Arial"/>
          <w:color w:val="000000" w:themeColor="text1"/>
          <w:lang w:eastAsia="es-ES"/>
        </w:rPr>
        <w:t xml:space="preserve"> acepta trasladar dentro de un mismo Segmento, a través de un </w:t>
      </w:r>
      <w:r w:rsidRPr="002C0D19">
        <w:rPr>
          <w:rFonts w:ascii="Arial Narrow" w:hAnsi="Arial Narrow" w:cs="Arial"/>
          <w:b/>
          <w:color w:val="000000" w:themeColor="text1"/>
          <w:lang w:eastAsia="es-ES"/>
        </w:rPr>
        <w:t>MIEMBRO ORIGEN</w:t>
      </w:r>
      <w:r w:rsidRPr="002C0D19">
        <w:rPr>
          <w:rFonts w:ascii="Arial Narrow" w:hAnsi="Arial Narrow" w:cs="Arial"/>
          <w:color w:val="000000" w:themeColor="text1"/>
          <w:lang w:eastAsia="es-ES"/>
        </w:rPr>
        <w:t xml:space="preserve">, Operaciones Aceptadas en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que hayan sido celebradas o registradas en las Bolsas, los Sistemas de Negociación o Registro, en el mercado mostrador o cualquier otro mecanismo autorizado por el Reglamento de Funcionamiento de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para que a su vez dichas Operaciones Aceptadas sean liquidadas y compensadas mediante la utilización del Sistema de Liquidación y Compensación de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a través de un </w:t>
      </w:r>
      <w:r w:rsidRPr="002C0D19">
        <w:rPr>
          <w:rFonts w:ascii="Arial Narrow" w:hAnsi="Arial Narrow" w:cs="Arial"/>
          <w:b/>
          <w:color w:val="000000" w:themeColor="text1"/>
          <w:lang w:eastAsia="es-ES"/>
        </w:rPr>
        <w:t>MIEMBRO DE DESTINO</w:t>
      </w:r>
      <w:r w:rsidRPr="002C0D19">
        <w:rPr>
          <w:rFonts w:ascii="Arial Narrow" w:hAnsi="Arial Narrow" w:cs="Arial"/>
          <w:color w:val="000000" w:themeColor="text1"/>
          <w:lang w:eastAsia="es-ES"/>
        </w:rPr>
        <w:t xml:space="preserve">, designado por </w:t>
      </w:r>
      <w:r w:rsidRPr="002C0D19">
        <w:rPr>
          <w:rFonts w:ascii="Arial Narrow" w:hAnsi="Arial Narrow" w:cs="Arial"/>
          <w:b/>
          <w:color w:val="000000" w:themeColor="text1"/>
          <w:lang w:eastAsia="es-ES"/>
        </w:rPr>
        <w:t>El TERCERO</w:t>
      </w:r>
      <w:r w:rsidRPr="002C0D19">
        <w:rPr>
          <w:rFonts w:ascii="Arial Narrow" w:hAnsi="Arial Narrow" w:cs="Arial"/>
          <w:color w:val="000000" w:themeColor="text1"/>
          <w:lang w:eastAsia="es-ES"/>
        </w:rPr>
        <w:t>.</w:t>
      </w:r>
      <w:r w:rsidRPr="002C0D19">
        <w:rPr>
          <w:rFonts w:ascii="Arial Narrow" w:hAnsi="Arial Narrow" w:cs="Arial"/>
          <w:b/>
          <w:color w:val="000000" w:themeColor="text1"/>
          <w:lang w:eastAsia="es-ES"/>
        </w:rPr>
        <w:t xml:space="preserve"> </w:t>
      </w:r>
    </w:p>
    <w:p w14:paraId="2390F999" w14:textId="77777777" w:rsidR="007968EC" w:rsidRPr="002C0D19" w:rsidRDefault="007968EC" w:rsidP="007968EC">
      <w:pPr>
        <w:ind w:right="20"/>
        <w:jc w:val="both"/>
        <w:rPr>
          <w:rFonts w:ascii="Arial Narrow" w:hAnsi="Arial Narrow" w:cs="Arial"/>
          <w:b/>
          <w:i/>
          <w:color w:val="000000" w:themeColor="text1"/>
          <w:lang w:eastAsia="es-ES"/>
        </w:rPr>
      </w:pPr>
      <w:r w:rsidRPr="002C0D19">
        <w:rPr>
          <w:rFonts w:ascii="Arial Narrow" w:hAnsi="Arial Narrow" w:cs="Arial"/>
          <w:b/>
          <w:i/>
          <w:color w:val="000000" w:themeColor="text1"/>
          <w:lang w:eastAsia="es-ES"/>
        </w:rPr>
        <w:t xml:space="preserve"> </w:t>
      </w:r>
    </w:p>
    <w:p w14:paraId="0BC43887" w14:textId="77777777" w:rsidR="007968EC" w:rsidRPr="002C0D19" w:rsidRDefault="007968EC" w:rsidP="007968EC">
      <w:pPr>
        <w:ind w:right="20"/>
        <w:jc w:val="both"/>
        <w:rPr>
          <w:rFonts w:ascii="Arial Narrow" w:hAnsi="Arial Narrow" w:cs="Arial"/>
          <w:b/>
          <w:color w:val="000000" w:themeColor="text1"/>
          <w:lang w:eastAsia="es-ES"/>
        </w:rPr>
      </w:pPr>
      <w:r w:rsidRPr="002C0D19">
        <w:rPr>
          <w:rFonts w:ascii="Arial Narrow" w:hAnsi="Arial Narrow" w:cs="Arial"/>
          <w:b/>
          <w:color w:val="000000" w:themeColor="text1"/>
          <w:lang w:eastAsia="es-ES"/>
        </w:rPr>
        <w:t xml:space="preserve">PARAGRAFO SEGUNDO. </w:t>
      </w:r>
      <w:r w:rsidRPr="002C0D19">
        <w:rPr>
          <w:rFonts w:ascii="Arial Narrow" w:hAnsi="Arial Narrow" w:cs="Arial"/>
          <w:color w:val="000000" w:themeColor="text1"/>
          <w:lang w:eastAsia="es-ES"/>
        </w:rPr>
        <w:t xml:space="preserve">Cualquiera de </w:t>
      </w:r>
      <w:r w:rsidRPr="002C0D19">
        <w:rPr>
          <w:rFonts w:ascii="Arial Narrow" w:hAnsi="Arial Narrow" w:cs="Arial"/>
          <w:b/>
          <w:color w:val="000000" w:themeColor="text1"/>
          <w:lang w:eastAsia="es-ES"/>
        </w:rPr>
        <w:t>LOS MIEMBROS</w:t>
      </w:r>
      <w:r w:rsidRPr="002C0D19">
        <w:rPr>
          <w:rFonts w:ascii="Arial Narrow" w:hAnsi="Arial Narrow" w:cs="Arial"/>
          <w:color w:val="000000" w:themeColor="text1"/>
          <w:lang w:eastAsia="es-ES"/>
        </w:rPr>
        <w:t xml:space="preserve"> de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podrá desempeñarse como </w:t>
      </w:r>
      <w:r w:rsidRPr="002C0D19">
        <w:rPr>
          <w:rFonts w:ascii="Arial Narrow" w:hAnsi="Arial Narrow" w:cs="Arial"/>
          <w:b/>
          <w:color w:val="000000" w:themeColor="text1"/>
          <w:lang w:eastAsia="es-ES"/>
        </w:rPr>
        <w:t>MIEMBRO DE ORIGEN</w:t>
      </w:r>
      <w:r w:rsidRPr="002C0D19">
        <w:rPr>
          <w:rFonts w:ascii="Arial Narrow" w:hAnsi="Arial Narrow" w:cs="Arial"/>
          <w:color w:val="000000" w:themeColor="text1"/>
          <w:lang w:eastAsia="es-ES"/>
        </w:rPr>
        <w:t xml:space="preserve"> o </w:t>
      </w:r>
      <w:r w:rsidRPr="002C0D19">
        <w:rPr>
          <w:rFonts w:ascii="Arial Narrow" w:hAnsi="Arial Narrow" w:cs="Arial"/>
          <w:b/>
          <w:color w:val="000000" w:themeColor="text1"/>
          <w:lang w:eastAsia="es-ES"/>
        </w:rPr>
        <w:t>MIEMBRO DE DESTINO</w:t>
      </w:r>
      <w:r w:rsidRPr="002C0D19">
        <w:rPr>
          <w:rFonts w:ascii="Arial Narrow" w:hAnsi="Arial Narrow" w:cs="Arial"/>
          <w:color w:val="000000" w:themeColor="text1"/>
          <w:lang w:eastAsia="es-ES"/>
        </w:rPr>
        <w:t>. En aquellos casos, en que cualquiera de</w:t>
      </w:r>
      <w:r w:rsidRPr="002C0D19">
        <w:rPr>
          <w:rFonts w:ascii="Arial Narrow" w:hAnsi="Arial Narrow" w:cs="Arial"/>
          <w:b/>
          <w:color w:val="000000" w:themeColor="text1"/>
          <w:lang w:eastAsia="es-ES"/>
        </w:rPr>
        <w:t xml:space="preserve"> LOS MIEMBROS</w:t>
      </w:r>
      <w:r w:rsidRPr="002C0D19">
        <w:rPr>
          <w:rFonts w:ascii="Arial Narrow" w:hAnsi="Arial Narrow" w:cs="Arial"/>
          <w:color w:val="000000" w:themeColor="text1"/>
          <w:lang w:eastAsia="es-ES"/>
        </w:rPr>
        <w:t xml:space="preserve"> sea un MIEMBRO NO LIQUIDADOR deberá operar a través de un </w:t>
      </w:r>
      <w:r w:rsidRPr="002C0D19">
        <w:rPr>
          <w:rFonts w:ascii="Arial Narrow" w:hAnsi="Arial Narrow" w:cs="Arial"/>
          <w:b/>
          <w:color w:val="000000" w:themeColor="text1"/>
          <w:lang w:eastAsia="es-ES"/>
        </w:rPr>
        <w:t>MIEMBRO LIQUIDADOR GENERAL.</w:t>
      </w:r>
    </w:p>
    <w:p w14:paraId="01B953A3" w14:textId="77777777" w:rsidR="007968EC" w:rsidRPr="002C0D19" w:rsidRDefault="007968EC" w:rsidP="007968EC">
      <w:pPr>
        <w:ind w:right="20"/>
        <w:jc w:val="both"/>
        <w:rPr>
          <w:rFonts w:ascii="Arial Narrow" w:hAnsi="Arial Narrow" w:cs="Arial"/>
          <w:b/>
          <w:color w:val="000000" w:themeColor="text1"/>
          <w:lang w:eastAsia="es-ES"/>
        </w:rPr>
      </w:pPr>
    </w:p>
    <w:p w14:paraId="3DCA375B" w14:textId="77777777" w:rsidR="007968EC" w:rsidRPr="002C0D19" w:rsidRDefault="007968EC" w:rsidP="007968EC">
      <w:pPr>
        <w:ind w:right="20"/>
        <w:jc w:val="both"/>
        <w:rPr>
          <w:rFonts w:ascii="Arial Narrow" w:hAnsi="Arial Narrow" w:cs="Arial"/>
          <w:b/>
          <w:color w:val="000000" w:themeColor="text1"/>
          <w:lang w:eastAsia="es-ES"/>
        </w:rPr>
      </w:pPr>
      <w:r w:rsidRPr="002C0D19">
        <w:rPr>
          <w:rFonts w:ascii="Arial Narrow" w:hAnsi="Arial Narrow" w:cs="Arial"/>
          <w:b/>
          <w:color w:val="000000" w:themeColor="text1"/>
          <w:u w:val="single"/>
          <w:lang w:eastAsia="es-ES"/>
        </w:rPr>
        <w:t>SEGUNDA. Declaraciones, Manifestaciones y Autorizaciones.</w:t>
      </w:r>
      <w:r w:rsidRPr="002C0D19">
        <w:rPr>
          <w:rFonts w:ascii="Arial Narrow" w:hAnsi="Arial Narrow" w:cs="Arial"/>
          <w:b/>
          <w:color w:val="000000" w:themeColor="text1"/>
          <w:lang w:eastAsia="es-ES"/>
        </w:rPr>
        <w:t xml:space="preserve"> </w:t>
      </w:r>
      <w:r w:rsidRPr="002C0D19">
        <w:rPr>
          <w:rFonts w:ascii="Arial Narrow" w:hAnsi="Arial Narrow" w:cs="Arial"/>
          <w:color w:val="000000" w:themeColor="text1"/>
          <w:lang w:eastAsia="es-ES"/>
        </w:rPr>
        <w:t xml:space="preserve">Para efectos del correcto funcionamiento del </w:t>
      </w:r>
      <w:proofErr w:type="spellStart"/>
      <w:r w:rsidRPr="002C0D19">
        <w:rPr>
          <w:rFonts w:ascii="Arial Narrow" w:hAnsi="Arial Narrow" w:cs="Arial"/>
          <w:i/>
          <w:color w:val="000000" w:themeColor="text1"/>
          <w:lang w:eastAsia="es-ES"/>
        </w:rPr>
        <w:t>Give</w:t>
      </w:r>
      <w:proofErr w:type="spellEnd"/>
      <w:r w:rsidRPr="002C0D19">
        <w:rPr>
          <w:rFonts w:ascii="Arial Narrow" w:hAnsi="Arial Narrow" w:cs="Arial"/>
          <w:i/>
          <w:color w:val="000000" w:themeColor="text1"/>
          <w:lang w:eastAsia="es-ES"/>
        </w:rPr>
        <w:t>-Up</w:t>
      </w:r>
      <w:r w:rsidRPr="002C0D19">
        <w:rPr>
          <w:rFonts w:ascii="Arial Narrow" w:hAnsi="Arial Narrow" w:cs="Arial"/>
          <w:color w:val="000000" w:themeColor="text1"/>
          <w:lang w:eastAsia="es-ES"/>
        </w:rPr>
        <w:t>,</w:t>
      </w:r>
      <w:r w:rsidRPr="002C0D19">
        <w:rPr>
          <w:rFonts w:ascii="Arial Narrow" w:hAnsi="Arial Narrow" w:cs="Arial"/>
          <w:b/>
          <w:color w:val="000000" w:themeColor="text1"/>
          <w:lang w:eastAsia="es-ES"/>
        </w:rPr>
        <w:t xml:space="preserve"> LAS PARTES:</w:t>
      </w:r>
    </w:p>
    <w:p w14:paraId="11BA7F2C" w14:textId="77777777" w:rsidR="007968EC" w:rsidRPr="002C0D19" w:rsidRDefault="007968EC" w:rsidP="007968EC">
      <w:pPr>
        <w:ind w:right="20"/>
        <w:jc w:val="both"/>
        <w:rPr>
          <w:rFonts w:ascii="Arial Narrow" w:hAnsi="Arial Narrow" w:cs="Arial"/>
          <w:b/>
          <w:color w:val="000000" w:themeColor="text1"/>
          <w:lang w:eastAsia="es-ES"/>
        </w:rPr>
      </w:pPr>
    </w:p>
    <w:p w14:paraId="3AAD6EB0" w14:textId="77777777" w:rsidR="007968EC" w:rsidRPr="002C0D19" w:rsidRDefault="007968EC" w:rsidP="00DA7472">
      <w:pPr>
        <w:numPr>
          <w:ilvl w:val="0"/>
          <w:numId w:val="234"/>
        </w:numPr>
        <w:ind w:right="20"/>
        <w:jc w:val="both"/>
        <w:rPr>
          <w:rFonts w:ascii="Arial Narrow" w:hAnsi="Arial Narrow" w:cs="Arial"/>
          <w:color w:val="000000" w:themeColor="text1"/>
          <w:lang w:val="es-MX" w:eastAsia="es-ES"/>
        </w:rPr>
      </w:pPr>
      <w:r w:rsidRPr="002C0D19">
        <w:rPr>
          <w:rFonts w:ascii="Arial Narrow" w:hAnsi="Arial Narrow" w:cs="Arial"/>
          <w:color w:val="000000" w:themeColor="text1"/>
          <w:lang w:eastAsia="es-ES"/>
        </w:rPr>
        <w:t xml:space="preserve">Manifiestan </w:t>
      </w:r>
      <w:r w:rsidRPr="002C0D19">
        <w:rPr>
          <w:rFonts w:ascii="Arial Narrow" w:hAnsi="Arial Narrow" w:cs="Arial"/>
          <w:color w:val="000000" w:themeColor="text1"/>
          <w:lang w:val="es-MX" w:eastAsia="es-ES"/>
        </w:rPr>
        <w:t xml:space="preserve">que todas las Operaciones Aceptadas, liquidadas y compensadas por </w:t>
      </w:r>
      <w:r w:rsidRPr="002C0D19">
        <w:rPr>
          <w:rFonts w:ascii="Arial Narrow" w:hAnsi="Arial Narrow" w:cs="Arial"/>
          <w:b/>
          <w:color w:val="000000" w:themeColor="text1"/>
          <w:lang w:val="es-MX" w:eastAsia="es-ES"/>
        </w:rPr>
        <w:t>LA CRCC</w:t>
      </w:r>
      <w:r w:rsidRPr="002C0D19">
        <w:rPr>
          <w:rFonts w:ascii="Arial Narrow" w:hAnsi="Arial Narrow" w:cs="Arial"/>
          <w:color w:val="000000" w:themeColor="text1"/>
          <w:lang w:val="es-MX" w:eastAsia="es-ES"/>
        </w:rPr>
        <w:t xml:space="preserve">, así como las órdenes de </w:t>
      </w:r>
      <w:proofErr w:type="spellStart"/>
      <w:r w:rsidRPr="002C0D19">
        <w:rPr>
          <w:rFonts w:ascii="Arial Narrow" w:hAnsi="Arial Narrow" w:cs="Arial"/>
          <w:i/>
          <w:color w:val="000000" w:themeColor="text1"/>
          <w:lang w:val="es-MX" w:eastAsia="es-ES"/>
        </w:rPr>
        <w:t>Give</w:t>
      </w:r>
      <w:proofErr w:type="spellEnd"/>
      <w:r w:rsidRPr="002C0D19">
        <w:rPr>
          <w:rFonts w:ascii="Arial Narrow" w:hAnsi="Arial Narrow" w:cs="Arial"/>
          <w:i/>
          <w:color w:val="000000" w:themeColor="text1"/>
          <w:lang w:val="es-MX" w:eastAsia="es-ES"/>
        </w:rPr>
        <w:t>-Up</w:t>
      </w:r>
      <w:r w:rsidRPr="002C0D19">
        <w:rPr>
          <w:rFonts w:ascii="Arial Narrow" w:hAnsi="Arial Narrow" w:cs="Arial"/>
          <w:color w:val="000000" w:themeColor="text1"/>
          <w:lang w:val="es-MX" w:eastAsia="es-ES"/>
        </w:rPr>
        <w:t xml:space="preserve"> realizadas mediante este Contrato estarán sujetas a las disposiciones legales, reglamentarias de </w:t>
      </w:r>
      <w:r w:rsidRPr="002C0D19">
        <w:rPr>
          <w:rFonts w:ascii="Arial Narrow" w:hAnsi="Arial Narrow" w:cs="Arial"/>
          <w:b/>
          <w:color w:val="000000" w:themeColor="text1"/>
          <w:lang w:val="es-MX" w:eastAsia="es-ES"/>
        </w:rPr>
        <w:t>LA CRCC</w:t>
      </w:r>
      <w:r w:rsidRPr="002C0D19">
        <w:rPr>
          <w:rFonts w:ascii="Arial Narrow" w:hAnsi="Arial Narrow" w:cs="Arial"/>
          <w:color w:val="000000" w:themeColor="text1"/>
          <w:lang w:val="es-MX" w:eastAsia="es-ES"/>
        </w:rPr>
        <w:t xml:space="preserve">, de autorregulación y demás normas aplicables a las Bolsas, los Sistemas de Negociación y </w:t>
      </w:r>
      <w:r w:rsidRPr="002C0D19">
        <w:rPr>
          <w:rFonts w:ascii="Arial Narrow" w:hAnsi="Arial Narrow" w:cs="Arial"/>
          <w:color w:val="000000" w:themeColor="text1"/>
          <w:lang w:eastAsia="es-ES"/>
        </w:rPr>
        <w:t xml:space="preserve">Registro, al mercado mostrador o cualquier otro mecanismo autorizado por el Reglamento de Funcionamiento de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val="es-MX" w:eastAsia="es-ES"/>
        </w:rPr>
        <w:t xml:space="preserve"> a través de los cuales se haya negociado o registrado la Operación Aceptada. Así mismo, que cumplirán las obligaciones y derechos que se deriven de este Contrato de conformidad con la legislación aplicable y que en lo no previsto en la presente Contrato se aplicará lo dispuesto en el Reglamento de </w:t>
      </w:r>
      <w:r w:rsidRPr="002C0D19">
        <w:rPr>
          <w:rFonts w:ascii="Arial Narrow" w:hAnsi="Arial Narrow" w:cs="Arial"/>
          <w:color w:val="000000" w:themeColor="text1"/>
          <w:lang w:eastAsia="es-ES"/>
        </w:rPr>
        <w:t>Funcionamiento</w:t>
      </w:r>
      <w:r w:rsidRPr="002C0D19">
        <w:rPr>
          <w:rFonts w:ascii="Arial Narrow" w:hAnsi="Arial Narrow" w:cs="Arial"/>
          <w:color w:val="000000" w:themeColor="text1"/>
          <w:lang w:val="es-MX" w:eastAsia="es-ES"/>
        </w:rPr>
        <w:t xml:space="preserve"> de </w:t>
      </w:r>
      <w:r w:rsidRPr="002C0D19">
        <w:rPr>
          <w:rFonts w:ascii="Arial Narrow" w:hAnsi="Arial Narrow" w:cs="Arial"/>
          <w:b/>
          <w:color w:val="000000" w:themeColor="text1"/>
          <w:lang w:val="es-MX" w:eastAsia="es-ES"/>
        </w:rPr>
        <w:t>LA CRCC</w:t>
      </w:r>
      <w:r w:rsidRPr="002C0D19">
        <w:rPr>
          <w:rFonts w:ascii="Arial Narrow" w:hAnsi="Arial Narrow" w:cs="Arial"/>
          <w:color w:val="000000" w:themeColor="text1"/>
          <w:lang w:val="es-MX" w:eastAsia="es-ES"/>
        </w:rPr>
        <w:t>.</w:t>
      </w:r>
    </w:p>
    <w:p w14:paraId="2A7C1627" w14:textId="77777777" w:rsidR="007968EC" w:rsidRPr="002C0D19" w:rsidRDefault="007968EC" w:rsidP="007968EC">
      <w:pPr>
        <w:ind w:right="20"/>
        <w:jc w:val="both"/>
        <w:rPr>
          <w:rFonts w:ascii="Arial Narrow" w:hAnsi="Arial Narrow" w:cs="Arial"/>
          <w:color w:val="000000" w:themeColor="text1"/>
          <w:lang w:val="es-MX" w:eastAsia="es-ES"/>
        </w:rPr>
      </w:pPr>
    </w:p>
    <w:p w14:paraId="756AA331" w14:textId="77777777" w:rsidR="007968EC" w:rsidRPr="002C0D19" w:rsidRDefault="007968EC" w:rsidP="00DA7472">
      <w:pPr>
        <w:numPr>
          <w:ilvl w:val="0"/>
          <w:numId w:val="234"/>
        </w:numPr>
        <w:ind w:right="20"/>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Declaran que conocen que para la realización de un </w:t>
      </w:r>
      <w:proofErr w:type="spellStart"/>
      <w:r w:rsidRPr="002C0D19">
        <w:rPr>
          <w:rFonts w:ascii="Arial Narrow" w:hAnsi="Arial Narrow" w:cs="Arial"/>
          <w:i/>
          <w:color w:val="000000" w:themeColor="text1"/>
          <w:lang w:eastAsia="es-ES"/>
        </w:rPr>
        <w:t>Give</w:t>
      </w:r>
      <w:proofErr w:type="spellEnd"/>
      <w:r w:rsidRPr="002C0D19">
        <w:rPr>
          <w:rFonts w:ascii="Arial Narrow" w:hAnsi="Arial Narrow" w:cs="Arial"/>
          <w:i/>
          <w:color w:val="000000" w:themeColor="text1"/>
          <w:lang w:eastAsia="es-ES"/>
        </w:rPr>
        <w:t>-Up</w:t>
      </w:r>
      <w:r w:rsidRPr="002C0D19">
        <w:rPr>
          <w:rFonts w:ascii="Arial Narrow" w:hAnsi="Arial Narrow" w:cs="Arial"/>
          <w:color w:val="000000" w:themeColor="text1"/>
          <w:lang w:eastAsia="es-ES"/>
        </w:rPr>
        <w:t xml:space="preserve"> de cualquier Operación Aceptada por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 xml:space="preserve"> es indispensable que el </w:t>
      </w:r>
      <w:r w:rsidRPr="002C0D19">
        <w:rPr>
          <w:rFonts w:ascii="Arial Narrow" w:hAnsi="Arial Narrow" w:cs="Arial"/>
          <w:b/>
          <w:color w:val="000000" w:themeColor="text1"/>
          <w:lang w:eastAsia="es-ES"/>
        </w:rPr>
        <w:t>MIEMBRO DE ORIGEN</w:t>
      </w:r>
      <w:r w:rsidRPr="002C0D19">
        <w:rPr>
          <w:rFonts w:ascii="Arial Narrow" w:hAnsi="Arial Narrow" w:cs="Arial"/>
          <w:color w:val="000000" w:themeColor="text1"/>
          <w:lang w:eastAsia="es-ES"/>
        </w:rPr>
        <w:t xml:space="preserve"> envíe la solicitud de traslado de la operación (</w:t>
      </w:r>
      <w:proofErr w:type="spellStart"/>
      <w:r w:rsidRPr="002C0D19">
        <w:rPr>
          <w:rFonts w:ascii="Arial Narrow" w:hAnsi="Arial Narrow" w:cs="Arial"/>
          <w:i/>
          <w:color w:val="000000" w:themeColor="text1"/>
          <w:lang w:eastAsia="es-ES"/>
        </w:rPr>
        <w:t>Give-Out</w:t>
      </w:r>
      <w:proofErr w:type="spellEnd"/>
      <w:r w:rsidRPr="002C0D19">
        <w:rPr>
          <w:rFonts w:ascii="Arial Narrow" w:hAnsi="Arial Narrow" w:cs="Arial"/>
          <w:color w:val="000000" w:themeColor="text1"/>
          <w:lang w:eastAsia="es-ES"/>
        </w:rPr>
        <w:t xml:space="preserve">) y que el </w:t>
      </w:r>
      <w:r w:rsidRPr="002C0D19">
        <w:rPr>
          <w:rFonts w:ascii="Arial Narrow" w:hAnsi="Arial Narrow" w:cs="Arial"/>
          <w:b/>
          <w:color w:val="000000" w:themeColor="text1"/>
          <w:lang w:eastAsia="es-ES"/>
        </w:rPr>
        <w:t xml:space="preserve">MIEMBRO DE DESTINO </w:t>
      </w:r>
      <w:r w:rsidRPr="002C0D19">
        <w:rPr>
          <w:rFonts w:ascii="Arial Narrow" w:hAnsi="Arial Narrow" w:cs="Arial"/>
          <w:color w:val="000000" w:themeColor="text1"/>
          <w:lang w:eastAsia="es-ES"/>
        </w:rPr>
        <w:t>acepte la recepción de la operación (</w:t>
      </w:r>
      <w:proofErr w:type="spellStart"/>
      <w:r w:rsidRPr="002C0D19">
        <w:rPr>
          <w:rFonts w:ascii="Arial Narrow" w:hAnsi="Arial Narrow" w:cs="Arial"/>
          <w:i/>
          <w:color w:val="000000" w:themeColor="text1"/>
          <w:lang w:eastAsia="es-ES"/>
        </w:rPr>
        <w:t>Give</w:t>
      </w:r>
      <w:proofErr w:type="spellEnd"/>
      <w:r w:rsidRPr="002C0D19">
        <w:rPr>
          <w:rFonts w:ascii="Arial Narrow" w:hAnsi="Arial Narrow" w:cs="Arial"/>
          <w:i/>
          <w:color w:val="000000" w:themeColor="text1"/>
          <w:lang w:eastAsia="es-ES"/>
        </w:rPr>
        <w:t>-In</w:t>
      </w:r>
      <w:r w:rsidRPr="002C0D19">
        <w:rPr>
          <w:rFonts w:ascii="Arial Narrow" w:hAnsi="Arial Narrow" w:cs="Arial"/>
          <w:color w:val="000000" w:themeColor="text1"/>
          <w:lang w:eastAsia="es-ES"/>
        </w:rPr>
        <w:t xml:space="preserve">), las cuales se deberán ejecutar a través de la terminal o mediante alguna de las funcionalidades proporcionadas por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w:t>
      </w:r>
    </w:p>
    <w:p w14:paraId="17038484" w14:textId="77777777" w:rsidR="007968EC" w:rsidRPr="002C0D19" w:rsidRDefault="007968EC" w:rsidP="007968EC">
      <w:pPr>
        <w:ind w:left="708"/>
        <w:rPr>
          <w:rFonts w:ascii="Arial Narrow" w:hAnsi="Arial Narrow" w:cs="Arial"/>
          <w:color w:val="000000" w:themeColor="text1"/>
          <w:lang w:eastAsia="es-CO"/>
        </w:rPr>
      </w:pPr>
    </w:p>
    <w:p w14:paraId="7CFF7D36" w14:textId="77777777" w:rsidR="007968EC" w:rsidRPr="002C0D19" w:rsidRDefault="007968EC" w:rsidP="00DA7472">
      <w:pPr>
        <w:numPr>
          <w:ilvl w:val="0"/>
          <w:numId w:val="234"/>
        </w:numPr>
        <w:ind w:right="20"/>
        <w:jc w:val="both"/>
        <w:rPr>
          <w:rFonts w:ascii="Arial Narrow" w:hAnsi="Arial Narrow" w:cs="Arial"/>
          <w:color w:val="000000" w:themeColor="text1"/>
          <w:lang w:eastAsia="es-ES"/>
        </w:rPr>
      </w:pPr>
      <w:r w:rsidRPr="002C0D19">
        <w:rPr>
          <w:rFonts w:ascii="Arial Narrow" w:hAnsi="Arial Narrow" w:cs="Arial"/>
          <w:b/>
          <w:color w:val="000000" w:themeColor="text1"/>
          <w:lang w:val="es-MX" w:eastAsia="es-ES"/>
        </w:rPr>
        <w:t>EL TERCERO</w:t>
      </w:r>
      <w:r w:rsidRPr="002C0D19">
        <w:rPr>
          <w:rFonts w:ascii="Arial Narrow" w:hAnsi="Arial Narrow" w:cs="Arial"/>
          <w:color w:val="000000" w:themeColor="text1"/>
          <w:lang w:val="es-MX" w:eastAsia="es-ES"/>
        </w:rPr>
        <w:t xml:space="preserve"> declara que ha celebrado </w:t>
      </w:r>
      <w:r w:rsidR="001434C9">
        <w:rPr>
          <w:rFonts w:ascii="Arial Narrow" w:hAnsi="Arial Narrow" w:cs="Arial"/>
          <w:color w:val="000000" w:themeColor="text1"/>
          <w:lang w:val="es-MX" w:eastAsia="es-ES"/>
        </w:rPr>
        <w:t xml:space="preserve">un acuerdo </w:t>
      </w:r>
      <w:r w:rsidRPr="002C0D19">
        <w:rPr>
          <w:rFonts w:ascii="Arial Narrow" w:hAnsi="Arial Narrow" w:cs="Arial"/>
          <w:color w:val="000000" w:themeColor="text1"/>
          <w:lang w:val="es-MX" w:eastAsia="es-ES"/>
        </w:rPr>
        <w:t xml:space="preserve">con el </w:t>
      </w:r>
      <w:r w:rsidRPr="002C0D19">
        <w:rPr>
          <w:rFonts w:ascii="Arial Narrow" w:hAnsi="Arial Narrow" w:cs="Arial"/>
          <w:b/>
          <w:color w:val="000000" w:themeColor="text1"/>
          <w:lang w:val="es-MX" w:eastAsia="es-ES"/>
        </w:rPr>
        <w:t xml:space="preserve">MIEMBRO DE ORIGEN </w:t>
      </w:r>
      <w:r w:rsidRPr="002C0D19">
        <w:rPr>
          <w:rFonts w:ascii="Arial Narrow" w:hAnsi="Arial Narrow" w:cs="Arial"/>
          <w:color w:val="000000" w:themeColor="text1"/>
          <w:lang w:val="es-MX" w:eastAsia="es-ES"/>
        </w:rPr>
        <w:t xml:space="preserve">y el </w:t>
      </w:r>
      <w:r w:rsidRPr="002C0D19">
        <w:rPr>
          <w:rFonts w:ascii="Arial Narrow" w:hAnsi="Arial Narrow" w:cs="Arial"/>
          <w:b/>
          <w:color w:val="000000" w:themeColor="text1"/>
          <w:lang w:val="es-MX" w:eastAsia="es-ES"/>
        </w:rPr>
        <w:t>MIEMBRO DE DESTINO</w:t>
      </w:r>
      <w:r w:rsidRPr="002C0D19">
        <w:rPr>
          <w:rFonts w:ascii="Arial Narrow" w:hAnsi="Arial Narrow" w:cs="Arial"/>
          <w:color w:val="000000" w:themeColor="text1"/>
          <w:lang w:val="es-MX" w:eastAsia="es-ES"/>
        </w:rPr>
        <w:t xml:space="preserve">, respectivamente, </w:t>
      </w:r>
      <w:r w:rsidR="001434C9">
        <w:rPr>
          <w:rFonts w:ascii="Arial Narrow" w:hAnsi="Arial Narrow" w:cs="Arial"/>
          <w:color w:val="000000" w:themeColor="text1"/>
          <w:lang w:val="es-MX" w:eastAsia="es-ES"/>
        </w:rPr>
        <w:t xml:space="preserve">para la participación de estos por cuenta de aquel ante </w:t>
      </w:r>
      <w:r w:rsidR="001434C9">
        <w:rPr>
          <w:rFonts w:ascii="Arial Narrow" w:hAnsi="Arial Narrow" w:cs="Arial"/>
          <w:b/>
          <w:bCs/>
          <w:color w:val="000000" w:themeColor="text1"/>
          <w:lang w:val="es-MX" w:eastAsia="es-ES"/>
        </w:rPr>
        <w:t>LA CRCC</w:t>
      </w:r>
      <w:r w:rsidRPr="002C0D19">
        <w:rPr>
          <w:rFonts w:ascii="Arial Narrow" w:hAnsi="Arial Narrow" w:cs="Arial"/>
          <w:color w:val="000000" w:themeColor="text1"/>
          <w:lang w:val="es-MX" w:eastAsia="es-ES"/>
        </w:rPr>
        <w:t>.</w:t>
      </w:r>
    </w:p>
    <w:p w14:paraId="707388D6" w14:textId="77777777" w:rsidR="007968EC" w:rsidRPr="002C0D19" w:rsidRDefault="007968EC" w:rsidP="007968EC">
      <w:pPr>
        <w:ind w:left="708"/>
        <w:rPr>
          <w:rFonts w:ascii="Arial Narrow" w:hAnsi="Arial Narrow" w:cs="Arial"/>
          <w:color w:val="000000" w:themeColor="text1"/>
          <w:lang w:eastAsia="es-CO"/>
        </w:rPr>
      </w:pPr>
    </w:p>
    <w:p w14:paraId="1B555C47" w14:textId="77777777" w:rsidR="007968EC" w:rsidRPr="002C0D19" w:rsidRDefault="007968EC" w:rsidP="00DA7472">
      <w:pPr>
        <w:numPr>
          <w:ilvl w:val="0"/>
          <w:numId w:val="234"/>
        </w:numPr>
        <w:ind w:right="20"/>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Declara que conoce que el </w:t>
      </w:r>
      <w:proofErr w:type="spellStart"/>
      <w:r w:rsidRPr="002C0D19">
        <w:rPr>
          <w:rFonts w:ascii="Arial Narrow" w:hAnsi="Arial Narrow" w:cs="Arial"/>
          <w:i/>
          <w:color w:val="000000" w:themeColor="text1"/>
          <w:lang w:val="es-ES" w:eastAsia="es-ES"/>
        </w:rPr>
        <w:t>Give</w:t>
      </w:r>
      <w:proofErr w:type="spellEnd"/>
      <w:r w:rsidRPr="002C0D19">
        <w:rPr>
          <w:rFonts w:ascii="Arial Narrow" w:hAnsi="Arial Narrow" w:cs="Arial"/>
          <w:i/>
          <w:color w:val="000000" w:themeColor="text1"/>
          <w:lang w:val="es-ES" w:eastAsia="es-ES"/>
        </w:rPr>
        <w:t>-up</w:t>
      </w:r>
      <w:r w:rsidRPr="002C0D19">
        <w:rPr>
          <w:rFonts w:ascii="Arial Narrow" w:hAnsi="Arial Narrow" w:cs="Arial"/>
          <w:color w:val="000000" w:themeColor="text1"/>
          <w:lang w:eastAsia="es-ES"/>
        </w:rPr>
        <w:t xml:space="preserve"> no </w:t>
      </w:r>
      <w:r w:rsidRPr="002C0D19">
        <w:rPr>
          <w:rFonts w:ascii="Arial Narrow" w:hAnsi="Arial Narrow" w:cs="Arial"/>
          <w:color w:val="000000" w:themeColor="text1"/>
          <w:lang w:val="es-ES" w:eastAsia="es-ES"/>
        </w:rPr>
        <w:t>podrá utilizarse entre Cuentas pertenecientes a Segmentos diferentes.</w:t>
      </w:r>
    </w:p>
    <w:p w14:paraId="34C1BDE0" w14:textId="77777777" w:rsidR="007968EC" w:rsidRPr="002C0D19" w:rsidRDefault="007968EC" w:rsidP="007968EC">
      <w:pPr>
        <w:ind w:left="708"/>
        <w:rPr>
          <w:rFonts w:ascii="Arial Narrow" w:hAnsi="Arial Narrow" w:cs="Arial"/>
          <w:color w:val="000000" w:themeColor="text1"/>
          <w:lang w:val="es-MX" w:eastAsia="es-CO"/>
        </w:rPr>
      </w:pPr>
    </w:p>
    <w:p w14:paraId="079E090E" w14:textId="77777777" w:rsidR="007968EC" w:rsidRPr="002C0D19" w:rsidRDefault="007968EC" w:rsidP="00DA7472">
      <w:pPr>
        <w:numPr>
          <w:ilvl w:val="0"/>
          <w:numId w:val="234"/>
        </w:numPr>
        <w:ind w:right="20"/>
        <w:jc w:val="both"/>
        <w:rPr>
          <w:rFonts w:ascii="Arial Narrow" w:hAnsi="Arial Narrow" w:cs="Arial"/>
          <w:color w:val="000000" w:themeColor="text1"/>
          <w:lang w:eastAsia="es-ES"/>
        </w:rPr>
      </w:pPr>
      <w:r w:rsidRPr="002C0D19">
        <w:rPr>
          <w:rFonts w:ascii="Arial Narrow" w:hAnsi="Arial Narrow" w:cs="Arial"/>
          <w:b/>
          <w:color w:val="000000" w:themeColor="text1"/>
          <w:lang w:val="es-MX" w:eastAsia="es-ES"/>
        </w:rPr>
        <w:t>El TERCERO</w:t>
      </w:r>
      <w:r w:rsidRPr="002C0D19">
        <w:rPr>
          <w:rFonts w:ascii="Arial Narrow" w:hAnsi="Arial Narrow" w:cs="Arial"/>
          <w:color w:val="000000" w:themeColor="text1"/>
          <w:lang w:val="es-MX" w:eastAsia="es-ES"/>
        </w:rPr>
        <w:t xml:space="preserve"> autoriza al </w:t>
      </w:r>
      <w:r w:rsidRPr="002C0D19">
        <w:rPr>
          <w:rFonts w:ascii="Arial Narrow" w:hAnsi="Arial Narrow" w:cs="Arial"/>
          <w:b/>
          <w:color w:val="000000" w:themeColor="text1"/>
          <w:lang w:val="es-MX" w:eastAsia="es-ES"/>
        </w:rPr>
        <w:t xml:space="preserve">MIEMBRO DE ORIGEN </w:t>
      </w:r>
      <w:r w:rsidRPr="002C0D19">
        <w:rPr>
          <w:rFonts w:ascii="Arial Narrow" w:hAnsi="Arial Narrow" w:cs="Arial"/>
          <w:color w:val="000000" w:themeColor="text1"/>
          <w:lang w:val="es-MX" w:eastAsia="es-ES"/>
        </w:rPr>
        <w:t xml:space="preserve">y al </w:t>
      </w:r>
      <w:r w:rsidRPr="002C0D19">
        <w:rPr>
          <w:rFonts w:ascii="Arial Narrow" w:hAnsi="Arial Narrow" w:cs="Arial"/>
          <w:b/>
          <w:color w:val="000000" w:themeColor="text1"/>
          <w:lang w:val="es-MX" w:eastAsia="es-ES"/>
        </w:rPr>
        <w:t xml:space="preserve">MIEMBRO DE DESTINO </w:t>
      </w:r>
      <w:r w:rsidRPr="002C0D19">
        <w:rPr>
          <w:rFonts w:ascii="Arial Narrow" w:hAnsi="Arial Narrow" w:cs="Arial"/>
          <w:color w:val="000000" w:themeColor="text1"/>
          <w:lang w:val="es-MX" w:eastAsia="es-ES"/>
        </w:rPr>
        <w:t xml:space="preserve">para la realización de la orden de </w:t>
      </w:r>
      <w:proofErr w:type="spellStart"/>
      <w:r w:rsidRPr="002C0D19">
        <w:rPr>
          <w:rFonts w:ascii="Arial Narrow" w:hAnsi="Arial Narrow" w:cs="Arial"/>
          <w:i/>
          <w:color w:val="000000" w:themeColor="text1"/>
          <w:lang w:val="es-MX" w:eastAsia="es-ES"/>
        </w:rPr>
        <w:t>Give</w:t>
      </w:r>
      <w:proofErr w:type="spellEnd"/>
      <w:r w:rsidRPr="002C0D19">
        <w:rPr>
          <w:rFonts w:ascii="Arial Narrow" w:hAnsi="Arial Narrow" w:cs="Arial"/>
          <w:i/>
          <w:color w:val="000000" w:themeColor="text1"/>
          <w:lang w:val="es-MX" w:eastAsia="es-ES"/>
        </w:rPr>
        <w:t>-Up</w:t>
      </w:r>
      <w:r w:rsidRPr="002C0D19">
        <w:rPr>
          <w:rFonts w:ascii="Arial Narrow" w:hAnsi="Arial Narrow" w:cs="Arial"/>
          <w:color w:val="000000" w:themeColor="text1"/>
          <w:lang w:val="es-MX" w:eastAsia="es-ES"/>
        </w:rPr>
        <w:t xml:space="preserve">, a través del Sistema de Compensación y Liquidación de Operaciones de </w:t>
      </w:r>
      <w:r w:rsidRPr="002C0D19">
        <w:rPr>
          <w:rFonts w:ascii="Arial Narrow" w:hAnsi="Arial Narrow" w:cs="Arial"/>
          <w:b/>
          <w:color w:val="000000" w:themeColor="text1"/>
          <w:lang w:val="es-MX" w:eastAsia="es-ES"/>
        </w:rPr>
        <w:t>LA CRCC</w:t>
      </w:r>
      <w:r w:rsidRPr="002C0D19">
        <w:rPr>
          <w:rFonts w:ascii="Arial Narrow" w:hAnsi="Arial Narrow" w:cs="Arial"/>
          <w:color w:val="000000" w:themeColor="text1"/>
          <w:lang w:val="es-MX" w:eastAsia="es-ES"/>
        </w:rPr>
        <w:t xml:space="preserve">. En todo caso, el </w:t>
      </w:r>
      <w:r w:rsidRPr="002C0D19">
        <w:rPr>
          <w:rFonts w:ascii="Arial Narrow" w:hAnsi="Arial Narrow" w:cs="Arial"/>
          <w:b/>
          <w:color w:val="000000" w:themeColor="text1"/>
          <w:lang w:val="es-MX" w:eastAsia="es-ES"/>
        </w:rPr>
        <w:t xml:space="preserve">MIEMBRO DE ORIGEN </w:t>
      </w:r>
      <w:r w:rsidRPr="002C0D19">
        <w:rPr>
          <w:rFonts w:ascii="Arial Narrow" w:hAnsi="Arial Narrow" w:cs="Arial"/>
          <w:color w:val="000000" w:themeColor="text1"/>
          <w:lang w:val="es-MX" w:eastAsia="es-ES"/>
        </w:rPr>
        <w:t>se reserva el derecho de rechazar una orden (</w:t>
      </w:r>
      <w:proofErr w:type="spellStart"/>
      <w:r w:rsidRPr="002C0D19">
        <w:rPr>
          <w:rFonts w:ascii="Arial Narrow" w:hAnsi="Arial Narrow" w:cs="Arial"/>
          <w:i/>
          <w:color w:val="000000" w:themeColor="text1"/>
          <w:lang w:val="es-MX" w:eastAsia="es-ES"/>
        </w:rPr>
        <w:t>Give-Out</w:t>
      </w:r>
      <w:proofErr w:type="spellEnd"/>
      <w:r w:rsidRPr="002C0D19">
        <w:rPr>
          <w:rFonts w:ascii="Arial Narrow" w:hAnsi="Arial Narrow" w:cs="Arial"/>
          <w:i/>
          <w:color w:val="000000" w:themeColor="text1"/>
          <w:lang w:val="es-MX" w:eastAsia="es-ES"/>
        </w:rPr>
        <w:t xml:space="preserve">) </w:t>
      </w:r>
      <w:r w:rsidRPr="002C0D19">
        <w:rPr>
          <w:rFonts w:ascii="Arial Narrow" w:hAnsi="Arial Narrow" w:cs="Arial"/>
          <w:color w:val="000000" w:themeColor="text1"/>
          <w:lang w:val="es-MX" w:eastAsia="es-ES"/>
        </w:rPr>
        <w:t xml:space="preserve">de </w:t>
      </w:r>
      <w:proofErr w:type="spellStart"/>
      <w:r w:rsidRPr="002C0D19">
        <w:rPr>
          <w:rFonts w:ascii="Arial Narrow" w:hAnsi="Arial Narrow" w:cs="Arial"/>
          <w:i/>
          <w:color w:val="000000" w:themeColor="text1"/>
          <w:lang w:val="es-MX" w:eastAsia="es-ES"/>
        </w:rPr>
        <w:t>Give</w:t>
      </w:r>
      <w:proofErr w:type="spellEnd"/>
      <w:r w:rsidRPr="002C0D19">
        <w:rPr>
          <w:rFonts w:ascii="Arial Narrow" w:hAnsi="Arial Narrow" w:cs="Arial"/>
          <w:i/>
          <w:color w:val="000000" w:themeColor="text1"/>
          <w:lang w:val="es-MX" w:eastAsia="es-ES"/>
        </w:rPr>
        <w:t>-Up</w:t>
      </w:r>
      <w:r w:rsidRPr="002C0D19">
        <w:rPr>
          <w:rFonts w:ascii="Arial Narrow" w:hAnsi="Arial Narrow" w:cs="Arial"/>
          <w:color w:val="000000" w:themeColor="text1"/>
          <w:lang w:val="es-MX" w:eastAsia="es-ES"/>
        </w:rPr>
        <w:t xml:space="preserve"> que </w:t>
      </w:r>
      <w:r w:rsidRPr="002C0D19">
        <w:rPr>
          <w:rFonts w:ascii="Arial Narrow" w:hAnsi="Arial Narrow" w:cs="Arial"/>
          <w:b/>
          <w:color w:val="000000" w:themeColor="text1"/>
          <w:lang w:val="es-MX" w:eastAsia="es-ES"/>
        </w:rPr>
        <w:t>EL TERCERO</w:t>
      </w:r>
      <w:r w:rsidRPr="002C0D19">
        <w:rPr>
          <w:rFonts w:ascii="Arial Narrow" w:hAnsi="Arial Narrow" w:cs="Arial"/>
          <w:color w:val="000000" w:themeColor="text1"/>
          <w:lang w:val="es-MX" w:eastAsia="es-ES"/>
        </w:rPr>
        <w:t xml:space="preserve"> le pueda transmitir y deberá notificar oportunamente a </w:t>
      </w:r>
      <w:r w:rsidRPr="002C0D19">
        <w:rPr>
          <w:rFonts w:ascii="Arial Narrow" w:hAnsi="Arial Narrow" w:cs="Arial"/>
          <w:b/>
          <w:color w:val="000000" w:themeColor="text1"/>
          <w:lang w:val="es-MX" w:eastAsia="es-ES"/>
        </w:rPr>
        <w:t>EL TERCERO</w:t>
      </w:r>
      <w:r w:rsidRPr="002C0D19">
        <w:rPr>
          <w:rFonts w:ascii="Arial Narrow" w:hAnsi="Arial Narrow" w:cs="Arial"/>
          <w:color w:val="000000" w:themeColor="text1"/>
          <w:lang w:val="es-MX" w:eastAsia="es-ES"/>
        </w:rPr>
        <w:t xml:space="preserve"> de dicho rechazo. </w:t>
      </w:r>
    </w:p>
    <w:p w14:paraId="54CE06EC" w14:textId="77777777" w:rsidR="007968EC" w:rsidRPr="002C0D19" w:rsidRDefault="007968EC" w:rsidP="007968EC">
      <w:pPr>
        <w:ind w:left="708"/>
        <w:rPr>
          <w:rFonts w:ascii="Arial Narrow" w:hAnsi="Arial Narrow" w:cs="Arial"/>
          <w:color w:val="000000" w:themeColor="text1"/>
          <w:lang w:val="es-MX" w:eastAsia="es-CO"/>
        </w:rPr>
      </w:pPr>
    </w:p>
    <w:p w14:paraId="7EEC6558" w14:textId="77777777" w:rsidR="007968EC" w:rsidRPr="002C0D19" w:rsidRDefault="007968EC" w:rsidP="00DA7472">
      <w:pPr>
        <w:numPr>
          <w:ilvl w:val="0"/>
          <w:numId w:val="234"/>
        </w:numPr>
        <w:ind w:right="20"/>
        <w:jc w:val="both"/>
        <w:rPr>
          <w:rFonts w:ascii="Arial Narrow" w:hAnsi="Arial Narrow" w:cs="Arial"/>
          <w:color w:val="000000" w:themeColor="text1"/>
          <w:lang w:eastAsia="es-ES"/>
        </w:rPr>
      </w:pPr>
      <w:r w:rsidRPr="002C0D19">
        <w:rPr>
          <w:rFonts w:ascii="Arial Narrow" w:hAnsi="Arial Narrow" w:cs="Arial"/>
          <w:b/>
          <w:color w:val="000000" w:themeColor="text1"/>
          <w:lang w:val="es-MX" w:eastAsia="es-ES"/>
        </w:rPr>
        <w:t>EL TERCERO</w:t>
      </w:r>
      <w:r w:rsidRPr="002C0D19">
        <w:rPr>
          <w:rFonts w:ascii="Arial Narrow" w:hAnsi="Arial Narrow" w:cs="Arial"/>
          <w:color w:val="000000" w:themeColor="text1"/>
          <w:lang w:val="es-MX" w:eastAsia="es-ES"/>
        </w:rPr>
        <w:t xml:space="preserve"> declara y acepta que los </w:t>
      </w:r>
      <w:proofErr w:type="spellStart"/>
      <w:r w:rsidRPr="002C0D19">
        <w:rPr>
          <w:rFonts w:ascii="Arial Narrow" w:hAnsi="Arial Narrow" w:cs="Arial"/>
          <w:i/>
          <w:color w:val="000000" w:themeColor="text1"/>
          <w:lang w:val="es-MX" w:eastAsia="es-ES"/>
        </w:rPr>
        <w:t>Give</w:t>
      </w:r>
      <w:proofErr w:type="spellEnd"/>
      <w:r w:rsidRPr="002C0D19">
        <w:rPr>
          <w:rFonts w:ascii="Arial Narrow" w:hAnsi="Arial Narrow" w:cs="Arial"/>
          <w:i/>
          <w:color w:val="000000" w:themeColor="text1"/>
          <w:lang w:val="es-MX" w:eastAsia="es-ES"/>
        </w:rPr>
        <w:t>-Up</w:t>
      </w:r>
      <w:r w:rsidRPr="002C0D19">
        <w:rPr>
          <w:rFonts w:ascii="Arial Narrow" w:hAnsi="Arial Narrow" w:cs="Arial"/>
          <w:color w:val="000000" w:themeColor="text1"/>
          <w:lang w:val="es-MX" w:eastAsia="es-ES"/>
        </w:rPr>
        <w:t xml:space="preserve"> podrán realizarse desde la fecha de la Operación Aceptada en </w:t>
      </w:r>
      <w:r w:rsidRPr="002C0D19">
        <w:rPr>
          <w:rFonts w:ascii="Arial Narrow" w:hAnsi="Arial Narrow" w:cs="Arial"/>
          <w:b/>
          <w:color w:val="000000" w:themeColor="text1"/>
          <w:lang w:val="es-MX" w:eastAsia="es-ES"/>
        </w:rPr>
        <w:t>LA CRCC</w:t>
      </w:r>
      <w:r w:rsidRPr="002C0D19">
        <w:rPr>
          <w:rFonts w:ascii="Arial Narrow" w:hAnsi="Arial Narrow" w:cs="Arial"/>
          <w:color w:val="000000" w:themeColor="text1"/>
          <w:lang w:val="es-MX" w:eastAsia="es-ES"/>
        </w:rPr>
        <w:t xml:space="preserve"> hasta el último día de negociación permitida para el Activo o máximo durante los noventa y nueve (99) días siguientes contados de la fecha de la Operación Aceptada, siempre y cuando este plazo no exceda de la fecha de vencimiento del Activo. Así mismo, </w:t>
      </w:r>
      <w:r w:rsidRPr="002C0D19">
        <w:rPr>
          <w:rFonts w:ascii="Arial Narrow" w:hAnsi="Arial Narrow" w:cs="Arial"/>
          <w:b/>
          <w:color w:val="000000" w:themeColor="text1"/>
          <w:lang w:val="es-MX" w:eastAsia="es-ES"/>
        </w:rPr>
        <w:t>EL TERCERO</w:t>
      </w:r>
      <w:r w:rsidRPr="002C0D19">
        <w:rPr>
          <w:rFonts w:ascii="Arial Narrow" w:hAnsi="Arial Narrow" w:cs="Arial"/>
          <w:color w:val="000000" w:themeColor="text1"/>
          <w:lang w:val="es-MX" w:eastAsia="es-ES"/>
        </w:rPr>
        <w:t xml:space="preserve"> y </w:t>
      </w:r>
      <w:r w:rsidRPr="002C0D19">
        <w:rPr>
          <w:rFonts w:ascii="Arial Narrow" w:hAnsi="Arial Narrow" w:cs="Arial"/>
          <w:b/>
          <w:color w:val="000000" w:themeColor="text1"/>
          <w:lang w:val="es-MX" w:eastAsia="es-ES"/>
        </w:rPr>
        <w:t>LOS MIEMBROS</w:t>
      </w:r>
      <w:r w:rsidRPr="002C0D19">
        <w:rPr>
          <w:rFonts w:ascii="Arial Narrow" w:hAnsi="Arial Narrow" w:cs="Arial"/>
          <w:color w:val="000000" w:themeColor="text1"/>
          <w:lang w:val="es-MX" w:eastAsia="es-ES"/>
        </w:rPr>
        <w:t xml:space="preserve"> aceptan que </w:t>
      </w:r>
      <w:r w:rsidRPr="002C0D19">
        <w:rPr>
          <w:rFonts w:ascii="Arial Narrow" w:hAnsi="Arial Narrow" w:cs="Arial"/>
          <w:b/>
          <w:color w:val="000000" w:themeColor="text1"/>
          <w:lang w:val="es-MX" w:eastAsia="es-ES"/>
        </w:rPr>
        <w:t>LA CRCC</w:t>
      </w:r>
      <w:r w:rsidRPr="002C0D19">
        <w:rPr>
          <w:rFonts w:ascii="Arial Narrow" w:hAnsi="Arial Narrow" w:cs="Arial"/>
          <w:color w:val="000000" w:themeColor="text1"/>
          <w:lang w:val="es-MX" w:eastAsia="es-ES"/>
        </w:rPr>
        <w:t xml:space="preserve"> podrá suspender la aceptación</w:t>
      </w:r>
      <w:r w:rsidRPr="002C0D19">
        <w:rPr>
          <w:rFonts w:ascii="Arial Narrow" w:hAnsi="Arial Narrow" w:cs="Arial"/>
          <w:i/>
          <w:color w:val="000000" w:themeColor="text1"/>
          <w:lang w:val="es-MX" w:eastAsia="es-ES"/>
        </w:rPr>
        <w:t xml:space="preserve"> (</w:t>
      </w:r>
      <w:proofErr w:type="spellStart"/>
      <w:r w:rsidRPr="002C0D19">
        <w:rPr>
          <w:rFonts w:ascii="Arial Narrow" w:hAnsi="Arial Narrow" w:cs="Arial"/>
          <w:i/>
          <w:color w:val="000000" w:themeColor="text1"/>
          <w:lang w:val="es-MX" w:eastAsia="es-ES"/>
        </w:rPr>
        <w:t>Give</w:t>
      </w:r>
      <w:proofErr w:type="spellEnd"/>
      <w:r w:rsidRPr="002C0D19">
        <w:rPr>
          <w:rFonts w:ascii="Arial Narrow" w:hAnsi="Arial Narrow" w:cs="Arial"/>
          <w:i/>
          <w:color w:val="000000" w:themeColor="text1"/>
          <w:lang w:val="es-MX" w:eastAsia="es-ES"/>
        </w:rPr>
        <w:t xml:space="preserve"> In) </w:t>
      </w:r>
      <w:r w:rsidRPr="002C0D19">
        <w:rPr>
          <w:rFonts w:ascii="Arial Narrow" w:hAnsi="Arial Narrow" w:cs="Arial"/>
          <w:color w:val="000000" w:themeColor="text1"/>
          <w:lang w:val="es-MX" w:eastAsia="es-ES"/>
        </w:rPr>
        <w:t xml:space="preserve">de los </w:t>
      </w:r>
      <w:proofErr w:type="spellStart"/>
      <w:r w:rsidRPr="002C0D19">
        <w:rPr>
          <w:rFonts w:ascii="Arial Narrow" w:hAnsi="Arial Narrow" w:cs="Arial"/>
          <w:i/>
          <w:color w:val="000000" w:themeColor="text1"/>
          <w:lang w:val="es-MX" w:eastAsia="es-ES"/>
        </w:rPr>
        <w:t>Give</w:t>
      </w:r>
      <w:proofErr w:type="spellEnd"/>
      <w:r w:rsidRPr="002C0D19">
        <w:rPr>
          <w:rFonts w:ascii="Arial Narrow" w:hAnsi="Arial Narrow" w:cs="Arial"/>
          <w:i/>
          <w:color w:val="000000" w:themeColor="text1"/>
          <w:lang w:val="es-MX" w:eastAsia="es-ES"/>
        </w:rPr>
        <w:t>-Up</w:t>
      </w:r>
      <w:r w:rsidRPr="002C0D19">
        <w:rPr>
          <w:rFonts w:ascii="Arial Narrow" w:hAnsi="Arial Narrow" w:cs="Arial"/>
          <w:color w:val="000000" w:themeColor="text1"/>
          <w:lang w:val="es-MX" w:eastAsia="es-ES"/>
        </w:rPr>
        <w:t xml:space="preserve"> realizados, en cualquier momento, en el evento en que el</w:t>
      </w:r>
      <w:r w:rsidRPr="002C0D19">
        <w:rPr>
          <w:rFonts w:ascii="Arial Narrow" w:hAnsi="Arial Narrow" w:cs="Arial"/>
          <w:b/>
          <w:color w:val="000000" w:themeColor="text1"/>
          <w:lang w:val="es-MX" w:eastAsia="es-ES"/>
        </w:rPr>
        <w:t xml:space="preserve"> MIEMBRO DE DESTINO </w:t>
      </w:r>
      <w:r w:rsidRPr="002C0D19">
        <w:rPr>
          <w:rFonts w:ascii="Arial Narrow" w:hAnsi="Arial Narrow" w:cs="Arial"/>
          <w:color w:val="000000" w:themeColor="text1"/>
          <w:lang w:val="es-MX" w:eastAsia="es-ES"/>
        </w:rPr>
        <w:t>supere los límites de riesgo asignados.</w:t>
      </w:r>
    </w:p>
    <w:p w14:paraId="4DF8EA76" w14:textId="77777777" w:rsidR="007968EC" w:rsidRPr="002C0D19" w:rsidRDefault="007968EC" w:rsidP="007968EC">
      <w:pPr>
        <w:ind w:left="708"/>
        <w:rPr>
          <w:rFonts w:ascii="Arial Narrow" w:hAnsi="Arial Narrow" w:cs="Arial"/>
          <w:color w:val="000000" w:themeColor="text1"/>
          <w:lang w:val="es-MX" w:eastAsia="es-CO"/>
        </w:rPr>
      </w:pPr>
    </w:p>
    <w:p w14:paraId="614796B1" w14:textId="77777777" w:rsidR="007968EC" w:rsidRPr="002C0D19" w:rsidRDefault="007968EC" w:rsidP="00DA7472">
      <w:pPr>
        <w:numPr>
          <w:ilvl w:val="0"/>
          <w:numId w:val="234"/>
        </w:numPr>
        <w:ind w:right="20"/>
        <w:jc w:val="both"/>
        <w:rPr>
          <w:rFonts w:ascii="Arial Narrow" w:hAnsi="Arial Narrow" w:cs="Arial"/>
          <w:color w:val="000000" w:themeColor="text1"/>
          <w:lang w:eastAsia="es-ES"/>
        </w:rPr>
      </w:pPr>
      <w:r w:rsidRPr="002C0D19">
        <w:rPr>
          <w:rFonts w:ascii="Arial Narrow" w:hAnsi="Arial Narrow" w:cs="Arial"/>
          <w:b/>
          <w:color w:val="000000" w:themeColor="text1"/>
          <w:lang w:val="es-MX" w:eastAsia="es-ES"/>
        </w:rPr>
        <w:t>El TERCERO</w:t>
      </w:r>
      <w:r w:rsidRPr="002C0D19">
        <w:rPr>
          <w:rFonts w:ascii="Arial Narrow" w:hAnsi="Arial Narrow" w:cs="Arial"/>
          <w:color w:val="000000" w:themeColor="text1"/>
          <w:lang w:val="es-MX" w:eastAsia="es-ES"/>
        </w:rPr>
        <w:t xml:space="preserve"> será responsable por la entrega precisa y válida de las órdenes dadas al</w:t>
      </w:r>
      <w:r w:rsidRPr="002C0D19">
        <w:rPr>
          <w:rFonts w:ascii="Arial Narrow" w:hAnsi="Arial Narrow" w:cs="Arial"/>
          <w:b/>
          <w:color w:val="000000" w:themeColor="text1"/>
          <w:lang w:val="es-MX" w:eastAsia="es-ES"/>
        </w:rPr>
        <w:t xml:space="preserve"> MIEMBRO DE ORIGEN </w:t>
      </w:r>
      <w:r w:rsidRPr="002C0D19">
        <w:rPr>
          <w:rFonts w:ascii="Arial Narrow" w:hAnsi="Arial Narrow" w:cs="Arial"/>
          <w:color w:val="000000" w:themeColor="text1"/>
          <w:lang w:eastAsia="es-ES"/>
        </w:rPr>
        <w:t xml:space="preserve">para que este realice las órdenes de </w:t>
      </w:r>
      <w:proofErr w:type="spellStart"/>
      <w:r w:rsidRPr="002C0D19">
        <w:rPr>
          <w:rFonts w:ascii="Arial Narrow" w:hAnsi="Arial Narrow" w:cs="Arial"/>
          <w:i/>
          <w:color w:val="000000" w:themeColor="text1"/>
          <w:lang w:eastAsia="es-ES"/>
        </w:rPr>
        <w:t>Give</w:t>
      </w:r>
      <w:proofErr w:type="spellEnd"/>
      <w:r w:rsidRPr="002C0D19">
        <w:rPr>
          <w:rFonts w:ascii="Arial Narrow" w:hAnsi="Arial Narrow" w:cs="Arial"/>
          <w:i/>
          <w:color w:val="000000" w:themeColor="text1"/>
          <w:lang w:eastAsia="es-ES"/>
        </w:rPr>
        <w:t>-Up</w:t>
      </w:r>
      <w:r w:rsidRPr="002C0D19">
        <w:rPr>
          <w:rFonts w:ascii="Arial Narrow" w:hAnsi="Arial Narrow" w:cs="Arial"/>
          <w:color w:val="000000" w:themeColor="text1"/>
          <w:lang w:eastAsia="es-ES"/>
        </w:rPr>
        <w:t xml:space="preserve"> y las </w:t>
      </w:r>
      <w:r w:rsidRPr="002C0D19">
        <w:rPr>
          <w:rFonts w:ascii="Arial Narrow" w:hAnsi="Arial Narrow" w:cs="Arial"/>
          <w:color w:val="000000" w:themeColor="text1"/>
          <w:lang w:val="es-MX" w:eastAsia="es-ES"/>
        </w:rPr>
        <w:t xml:space="preserve">registre en la cuenta de </w:t>
      </w:r>
      <w:r w:rsidRPr="002C0D19">
        <w:rPr>
          <w:rFonts w:ascii="Arial Narrow" w:hAnsi="Arial Narrow" w:cs="Arial"/>
          <w:b/>
          <w:color w:val="000000" w:themeColor="text1"/>
          <w:lang w:val="es-MX" w:eastAsia="es-ES"/>
        </w:rPr>
        <w:t>EL</w:t>
      </w:r>
      <w:r w:rsidRPr="002C0D19">
        <w:rPr>
          <w:rFonts w:ascii="Arial Narrow" w:hAnsi="Arial Narrow" w:cs="Arial"/>
          <w:color w:val="000000" w:themeColor="text1"/>
          <w:lang w:val="es-MX" w:eastAsia="es-ES"/>
        </w:rPr>
        <w:t xml:space="preserve"> </w:t>
      </w:r>
      <w:r w:rsidRPr="002C0D19">
        <w:rPr>
          <w:rFonts w:ascii="Arial Narrow" w:hAnsi="Arial Narrow" w:cs="Arial"/>
          <w:b/>
          <w:color w:val="000000" w:themeColor="text1"/>
          <w:lang w:val="es-MX" w:eastAsia="es-ES"/>
        </w:rPr>
        <w:t>TERCERO</w:t>
      </w:r>
      <w:r w:rsidRPr="002C0D19">
        <w:rPr>
          <w:rFonts w:ascii="Arial Narrow" w:hAnsi="Arial Narrow" w:cs="Arial"/>
          <w:color w:val="000000" w:themeColor="text1"/>
          <w:lang w:val="es-MX" w:eastAsia="es-ES"/>
        </w:rPr>
        <w:t xml:space="preserve"> a través del Sistema de Compensación y Liquidación de </w:t>
      </w:r>
      <w:r w:rsidRPr="002C0D19">
        <w:rPr>
          <w:rFonts w:ascii="Arial Narrow" w:hAnsi="Arial Narrow" w:cs="Arial"/>
          <w:b/>
          <w:color w:val="000000" w:themeColor="text1"/>
          <w:lang w:val="es-MX" w:eastAsia="es-ES"/>
        </w:rPr>
        <w:t>LA CRCC</w:t>
      </w:r>
      <w:r w:rsidRPr="002C0D19">
        <w:rPr>
          <w:rFonts w:ascii="Arial Narrow" w:hAnsi="Arial Narrow" w:cs="Arial"/>
          <w:color w:val="000000" w:themeColor="text1"/>
          <w:lang w:val="es-MX" w:eastAsia="es-ES"/>
        </w:rPr>
        <w:t xml:space="preserve">. </w:t>
      </w:r>
      <w:r w:rsidRPr="002C0D19">
        <w:rPr>
          <w:rFonts w:ascii="Arial Narrow" w:hAnsi="Arial Narrow" w:cs="Arial"/>
          <w:b/>
          <w:color w:val="000000" w:themeColor="text1"/>
          <w:lang w:val="es-MX" w:eastAsia="es-ES"/>
        </w:rPr>
        <w:t>EL MIEMBRO DE ORIGEN</w:t>
      </w:r>
      <w:r w:rsidRPr="002C0D19">
        <w:rPr>
          <w:rFonts w:ascii="Arial Narrow" w:hAnsi="Arial Narrow" w:cs="Arial"/>
          <w:color w:val="000000" w:themeColor="text1"/>
          <w:lang w:val="es-MX" w:eastAsia="es-ES"/>
        </w:rPr>
        <w:t xml:space="preserve"> será responsable de determinar que todas las órdenes sean transmitidas o autorizadas por </w:t>
      </w:r>
      <w:r w:rsidRPr="002C0D19">
        <w:rPr>
          <w:rFonts w:ascii="Arial Narrow" w:hAnsi="Arial Narrow" w:cs="Arial"/>
          <w:b/>
          <w:color w:val="000000" w:themeColor="text1"/>
          <w:lang w:val="es-MX" w:eastAsia="es-ES"/>
        </w:rPr>
        <w:t>EL TERCERO</w:t>
      </w:r>
      <w:r w:rsidRPr="002C0D19">
        <w:rPr>
          <w:rFonts w:ascii="Arial Narrow" w:hAnsi="Arial Narrow" w:cs="Arial"/>
          <w:color w:val="000000" w:themeColor="text1"/>
          <w:lang w:val="es-MX" w:eastAsia="es-ES"/>
        </w:rPr>
        <w:t xml:space="preserve">. Así mismo, </w:t>
      </w:r>
      <w:r w:rsidRPr="002C0D19">
        <w:rPr>
          <w:rFonts w:ascii="Arial Narrow" w:hAnsi="Arial Narrow" w:cs="Arial"/>
          <w:b/>
          <w:color w:val="000000" w:themeColor="text1"/>
          <w:lang w:val="es-MX" w:eastAsia="es-ES"/>
        </w:rPr>
        <w:t xml:space="preserve">EL MIEMBRO DE ORIGEN </w:t>
      </w:r>
      <w:r w:rsidRPr="002C0D19">
        <w:rPr>
          <w:rFonts w:ascii="Arial Narrow" w:hAnsi="Arial Narrow" w:cs="Arial"/>
          <w:color w:val="000000" w:themeColor="text1"/>
          <w:lang w:val="es-MX" w:eastAsia="es-ES"/>
        </w:rPr>
        <w:t xml:space="preserve">será quien: (a) Confirme las condiciones de la orden de acuerdo con las normas legales y reglamentarias aplicables; (b) Será responsable por la ejecución de todas las órdenes; (c) Confirmará la ejecución de las órdenes a </w:t>
      </w:r>
      <w:r w:rsidRPr="002C0D19">
        <w:rPr>
          <w:rFonts w:ascii="Arial Narrow" w:hAnsi="Arial Narrow" w:cs="Arial"/>
          <w:b/>
          <w:color w:val="000000" w:themeColor="text1"/>
          <w:lang w:val="es-MX" w:eastAsia="es-ES"/>
        </w:rPr>
        <w:t>EL TERCERO</w:t>
      </w:r>
      <w:r w:rsidRPr="002C0D19">
        <w:rPr>
          <w:rFonts w:ascii="Arial Narrow" w:hAnsi="Arial Narrow" w:cs="Arial"/>
          <w:color w:val="000000" w:themeColor="text1"/>
          <w:lang w:val="es-MX" w:eastAsia="es-ES"/>
        </w:rPr>
        <w:t xml:space="preserve"> tan pronto como sea posible tras su ejecución; y (d) Transmitirá las órdenes ejecutadas al </w:t>
      </w:r>
      <w:r w:rsidRPr="002C0D19">
        <w:rPr>
          <w:rFonts w:ascii="Arial Narrow" w:hAnsi="Arial Narrow" w:cs="Arial"/>
          <w:b/>
          <w:color w:val="000000" w:themeColor="text1"/>
          <w:lang w:val="es-MX" w:eastAsia="es-ES"/>
        </w:rPr>
        <w:t xml:space="preserve">MIEMBRO DE DESTINO </w:t>
      </w:r>
      <w:r w:rsidRPr="002C0D19">
        <w:rPr>
          <w:rFonts w:ascii="Arial Narrow" w:hAnsi="Arial Narrow" w:cs="Arial"/>
          <w:color w:val="000000" w:themeColor="text1"/>
          <w:lang w:val="es-MX" w:eastAsia="es-ES"/>
        </w:rPr>
        <w:t xml:space="preserve">tan pronto como sea posible, pero en ningún caso después del plazo señalado en la reglamentación aplicable. </w:t>
      </w:r>
    </w:p>
    <w:p w14:paraId="126CFEBD" w14:textId="77777777" w:rsidR="007968EC" w:rsidRPr="002C0D19" w:rsidRDefault="007968EC" w:rsidP="007968EC">
      <w:pPr>
        <w:ind w:left="708"/>
        <w:rPr>
          <w:rFonts w:ascii="Arial Narrow" w:hAnsi="Arial Narrow" w:cs="Arial"/>
          <w:color w:val="000000" w:themeColor="text1"/>
          <w:lang w:val="es-MX" w:eastAsia="es-CO"/>
        </w:rPr>
      </w:pPr>
    </w:p>
    <w:p w14:paraId="7A75447D" w14:textId="77777777" w:rsidR="007968EC" w:rsidRPr="002C0D19" w:rsidRDefault="007968EC" w:rsidP="00DA7472">
      <w:pPr>
        <w:numPr>
          <w:ilvl w:val="0"/>
          <w:numId w:val="234"/>
        </w:numPr>
        <w:ind w:right="20"/>
        <w:jc w:val="both"/>
        <w:rPr>
          <w:rFonts w:ascii="Arial Narrow" w:hAnsi="Arial Narrow" w:cs="Arial"/>
          <w:color w:val="000000" w:themeColor="text1"/>
          <w:lang w:eastAsia="es-ES"/>
        </w:rPr>
      </w:pPr>
      <w:r w:rsidRPr="002C0D19">
        <w:rPr>
          <w:rFonts w:ascii="Arial Narrow" w:hAnsi="Arial Narrow" w:cs="Arial"/>
          <w:color w:val="000000" w:themeColor="text1"/>
          <w:lang w:val="es-MX" w:eastAsia="es-ES"/>
        </w:rPr>
        <w:t xml:space="preserve">El </w:t>
      </w:r>
      <w:r w:rsidRPr="002C0D19">
        <w:rPr>
          <w:rFonts w:ascii="Arial Narrow" w:hAnsi="Arial Narrow" w:cs="Arial"/>
          <w:b/>
          <w:color w:val="000000" w:themeColor="text1"/>
          <w:lang w:val="es-MX" w:eastAsia="es-ES"/>
        </w:rPr>
        <w:t xml:space="preserve">MIEMBRO DE DESTINO </w:t>
      </w:r>
      <w:r w:rsidRPr="002C0D19">
        <w:rPr>
          <w:rFonts w:ascii="Arial Narrow" w:hAnsi="Arial Narrow" w:cs="Arial"/>
          <w:color w:val="000000" w:themeColor="text1"/>
          <w:lang w:val="es-MX" w:eastAsia="es-ES"/>
        </w:rPr>
        <w:t xml:space="preserve">será responsable de liquidar todas las Operaciones Aceptadas trasladadas mediante </w:t>
      </w:r>
      <w:proofErr w:type="spellStart"/>
      <w:r w:rsidRPr="002C0D19">
        <w:rPr>
          <w:rFonts w:ascii="Arial Narrow" w:hAnsi="Arial Narrow" w:cs="Arial"/>
          <w:i/>
          <w:color w:val="000000" w:themeColor="text1"/>
          <w:lang w:val="es-MX" w:eastAsia="es-ES"/>
        </w:rPr>
        <w:t>Give</w:t>
      </w:r>
      <w:proofErr w:type="spellEnd"/>
      <w:r w:rsidRPr="002C0D19">
        <w:rPr>
          <w:rFonts w:ascii="Arial Narrow" w:hAnsi="Arial Narrow" w:cs="Arial"/>
          <w:i/>
          <w:color w:val="000000" w:themeColor="text1"/>
          <w:lang w:val="es-MX" w:eastAsia="es-ES"/>
        </w:rPr>
        <w:t>-Up</w:t>
      </w:r>
      <w:r w:rsidRPr="002C0D19">
        <w:rPr>
          <w:rFonts w:ascii="Arial Narrow" w:hAnsi="Arial Narrow" w:cs="Arial"/>
          <w:color w:val="000000" w:themeColor="text1"/>
          <w:lang w:val="es-MX" w:eastAsia="es-ES"/>
        </w:rPr>
        <w:t xml:space="preserve"> por el</w:t>
      </w:r>
      <w:r w:rsidRPr="002C0D19">
        <w:rPr>
          <w:rFonts w:ascii="Arial Narrow" w:hAnsi="Arial Narrow" w:cs="Arial"/>
          <w:b/>
          <w:color w:val="000000" w:themeColor="text1"/>
          <w:lang w:val="es-MX" w:eastAsia="es-ES"/>
        </w:rPr>
        <w:t xml:space="preserve"> MIEMBRO DE ORIGEN</w:t>
      </w:r>
      <w:r w:rsidRPr="002C0D19">
        <w:rPr>
          <w:rFonts w:ascii="Arial Narrow" w:hAnsi="Arial Narrow" w:cs="Arial"/>
          <w:color w:val="000000" w:themeColor="text1"/>
          <w:lang w:val="es-MX" w:eastAsia="es-ES"/>
        </w:rPr>
        <w:t xml:space="preserve">. </w:t>
      </w:r>
      <w:r w:rsidRPr="002C0D19">
        <w:rPr>
          <w:rFonts w:ascii="Arial Narrow" w:hAnsi="Arial Narrow" w:cs="Arial"/>
          <w:b/>
          <w:color w:val="000000" w:themeColor="text1"/>
          <w:lang w:val="es-MX" w:eastAsia="es-ES"/>
        </w:rPr>
        <w:t>EL</w:t>
      </w:r>
      <w:r w:rsidRPr="002C0D19">
        <w:rPr>
          <w:rFonts w:ascii="Arial Narrow" w:hAnsi="Arial Narrow" w:cs="Arial"/>
          <w:color w:val="000000" w:themeColor="text1"/>
          <w:lang w:val="es-MX" w:eastAsia="es-ES"/>
        </w:rPr>
        <w:t xml:space="preserve"> </w:t>
      </w:r>
      <w:r w:rsidRPr="002C0D19">
        <w:rPr>
          <w:rFonts w:ascii="Arial Narrow" w:hAnsi="Arial Narrow" w:cs="Arial"/>
          <w:b/>
          <w:color w:val="000000" w:themeColor="text1"/>
          <w:lang w:val="es-MX" w:eastAsia="es-ES"/>
        </w:rPr>
        <w:t xml:space="preserve">MIEMBRO DE DESTINO </w:t>
      </w:r>
      <w:r w:rsidRPr="002C0D19">
        <w:rPr>
          <w:rFonts w:ascii="Arial Narrow" w:hAnsi="Arial Narrow" w:cs="Arial"/>
          <w:color w:val="000000" w:themeColor="text1"/>
          <w:lang w:val="es-MX" w:eastAsia="es-ES"/>
        </w:rPr>
        <w:t xml:space="preserve">podrá, previa notificación al </w:t>
      </w:r>
      <w:r w:rsidRPr="002C0D19">
        <w:rPr>
          <w:rFonts w:ascii="Arial Narrow" w:hAnsi="Arial Narrow" w:cs="Arial"/>
          <w:b/>
          <w:color w:val="000000" w:themeColor="text1"/>
          <w:lang w:val="es-MX" w:eastAsia="es-ES"/>
        </w:rPr>
        <w:t>MIEMBRO DE ORIGEN</w:t>
      </w:r>
      <w:r w:rsidRPr="002C0D19">
        <w:rPr>
          <w:rFonts w:ascii="Arial Narrow" w:hAnsi="Arial Narrow" w:cs="Arial"/>
          <w:color w:val="000000" w:themeColor="text1"/>
          <w:lang w:val="es-MX" w:eastAsia="es-ES"/>
        </w:rPr>
        <w:t xml:space="preserve"> y a </w:t>
      </w:r>
      <w:r w:rsidRPr="002C0D19">
        <w:rPr>
          <w:rFonts w:ascii="Arial Narrow" w:hAnsi="Arial Narrow" w:cs="Arial"/>
          <w:b/>
          <w:color w:val="000000" w:themeColor="text1"/>
          <w:lang w:val="es-MX" w:eastAsia="es-ES"/>
        </w:rPr>
        <w:t>EL TERCERO</w:t>
      </w:r>
      <w:r w:rsidRPr="002C0D19">
        <w:rPr>
          <w:rFonts w:ascii="Arial Narrow" w:hAnsi="Arial Narrow" w:cs="Arial"/>
          <w:color w:val="000000" w:themeColor="text1"/>
          <w:lang w:val="es-MX" w:eastAsia="es-ES"/>
        </w:rPr>
        <w:t xml:space="preserve">, establecer límites por escrito o condiciones a las posiciones de </w:t>
      </w:r>
      <w:proofErr w:type="spellStart"/>
      <w:r w:rsidRPr="002C0D19">
        <w:rPr>
          <w:rFonts w:ascii="Arial Narrow" w:hAnsi="Arial Narrow" w:cs="Arial"/>
          <w:i/>
          <w:color w:val="000000" w:themeColor="text1"/>
          <w:lang w:val="es-MX" w:eastAsia="es-ES"/>
        </w:rPr>
        <w:t>Give</w:t>
      </w:r>
      <w:proofErr w:type="spellEnd"/>
      <w:r w:rsidRPr="002C0D19">
        <w:rPr>
          <w:rFonts w:ascii="Arial Narrow" w:hAnsi="Arial Narrow" w:cs="Arial"/>
          <w:i/>
          <w:color w:val="000000" w:themeColor="text1"/>
          <w:lang w:val="es-MX" w:eastAsia="es-ES"/>
        </w:rPr>
        <w:t>-Up</w:t>
      </w:r>
      <w:r w:rsidRPr="002C0D19">
        <w:rPr>
          <w:rFonts w:ascii="Arial Narrow" w:hAnsi="Arial Narrow" w:cs="Arial"/>
          <w:color w:val="000000" w:themeColor="text1"/>
          <w:lang w:val="es-MX" w:eastAsia="es-ES"/>
        </w:rPr>
        <w:t xml:space="preserve"> que aceptará por cuenta de </w:t>
      </w:r>
      <w:r w:rsidRPr="002C0D19">
        <w:rPr>
          <w:rFonts w:ascii="Arial Narrow" w:hAnsi="Arial Narrow" w:cs="Arial"/>
          <w:b/>
          <w:color w:val="000000" w:themeColor="text1"/>
          <w:lang w:val="es-MX" w:eastAsia="es-ES"/>
        </w:rPr>
        <w:t>EL TERCERO</w:t>
      </w:r>
      <w:r w:rsidRPr="002C0D19">
        <w:rPr>
          <w:rFonts w:ascii="Arial Narrow" w:hAnsi="Arial Narrow" w:cs="Arial"/>
          <w:color w:val="000000" w:themeColor="text1"/>
          <w:lang w:val="es-MX" w:eastAsia="es-ES"/>
        </w:rPr>
        <w:t xml:space="preserve">, así como establecer los acuerdos de servicios, incluidas las tarifas y comisiones, si a ello hubiere lugar, en </w:t>
      </w:r>
      <w:r w:rsidRPr="002C0D19">
        <w:rPr>
          <w:rFonts w:ascii="Arial Narrow" w:hAnsi="Arial Narrow" w:cs="Arial"/>
          <w:color w:val="000000" w:themeColor="text1"/>
          <w:lang w:val="es-MX" w:eastAsia="es-ES"/>
        </w:rPr>
        <w:lastRenderedPageBreak/>
        <w:t xml:space="preserve">aquellos casos en que </w:t>
      </w:r>
      <w:r w:rsidRPr="002C0D19">
        <w:rPr>
          <w:rFonts w:ascii="Arial Narrow" w:hAnsi="Arial Narrow" w:cs="Arial"/>
          <w:b/>
          <w:color w:val="000000" w:themeColor="text1"/>
          <w:lang w:val="es-MX" w:eastAsia="es-ES"/>
        </w:rPr>
        <w:t>LAS PARTES</w:t>
      </w:r>
      <w:r w:rsidRPr="002C0D19">
        <w:rPr>
          <w:rFonts w:ascii="Arial Narrow" w:hAnsi="Arial Narrow" w:cs="Arial"/>
          <w:color w:val="000000" w:themeColor="text1"/>
          <w:lang w:val="es-MX" w:eastAsia="es-ES"/>
        </w:rPr>
        <w:t xml:space="preserve"> lo consideren adecuados para la ejecución del presente Contrato.</w:t>
      </w:r>
    </w:p>
    <w:p w14:paraId="7FD17993" w14:textId="77777777" w:rsidR="007968EC" w:rsidRPr="002C0D19" w:rsidRDefault="007968EC" w:rsidP="007968EC">
      <w:pPr>
        <w:ind w:left="708"/>
        <w:rPr>
          <w:rFonts w:ascii="Arial Narrow" w:hAnsi="Arial Narrow" w:cs="Arial"/>
          <w:color w:val="000000" w:themeColor="text1"/>
          <w:lang w:val="es-MX" w:eastAsia="es-CO"/>
        </w:rPr>
      </w:pPr>
    </w:p>
    <w:p w14:paraId="2231FA82" w14:textId="77777777" w:rsidR="007968EC" w:rsidRPr="002C0D19" w:rsidRDefault="007968EC" w:rsidP="00DA7472">
      <w:pPr>
        <w:numPr>
          <w:ilvl w:val="0"/>
          <w:numId w:val="234"/>
        </w:numPr>
        <w:ind w:right="20"/>
        <w:jc w:val="both"/>
        <w:rPr>
          <w:rFonts w:ascii="Arial Narrow" w:hAnsi="Arial Narrow" w:cs="Arial"/>
          <w:color w:val="000000" w:themeColor="text1"/>
          <w:lang w:eastAsia="es-ES"/>
        </w:rPr>
      </w:pPr>
      <w:r w:rsidRPr="002C0D19">
        <w:rPr>
          <w:rFonts w:ascii="Arial Narrow" w:hAnsi="Arial Narrow" w:cs="Arial"/>
          <w:color w:val="000000" w:themeColor="text1"/>
          <w:lang w:val="es-MX" w:eastAsia="es-ES"/>
        </w:rPr>
        <w:t xml:space="preserve">Las tarifas correspondientes a las órdenes de </w:t>
      </w:r>
      <w:proofErr w:type="spellStart"/>
      <w:r w:rsidRPr="002C0D19">
        <w:rPr>
          <w:rFonts w:ascii="Arial Narrow" w:hAnsi="Arial Narrow" w:cs="Arial"/>
          <w:i/>
          <w:color w:val="000000" w:themeColor="text1"/>
          <w:lang w:val="es-MX" w:eastAsia="es-ES"/>
        </w:rPr>
        <w:t>Give</w:t>
      </w:r>
      <w:proofErr w:type="spellEnd"/>
      <w:r w:rsidRPr="002C0D19">
        <w:rPr>
          <w:rFonts w:ascii="Arial Narrow" w:hAnsi="Arial Narrow" w:cs="Arial"/>
          <w:i/>
          <w:color w:val="000000" w:themeColor="text1"/>
          <w:lang w:val="es-MX" w:eastAsia="es-ES"/>
        </w:rPr>
        <w:t>-Up</w:t>
      </w:r>
      <w:r w:rsidRPr="002C0D19">
        <w:rPr>
          <w:rFonts w:ascii="Arial Narrow" w:hAnsi="Arial Narrow" w:cs="Arial"/>
          <w:color w:val="000000" w:themeColor="text1"/>
          <w:lang w:val="es-MX" w:eastAsia="es-ES"/>
        </w:rPr>
        <w:t xml:space="preserve"> ejecutadas a través de </w:t>
      </w:r>
      <w:r w:rsidRPr="002C0D19">
        <w:rPr>
          <w:rFonts w:ascii="Arial Narrow" w:hAnsi="Arial Narrow" w:cs="Arial"/>
          <w:b/>
          <w:color w:val="000000" w:themeColor="text1"/>
          <w:lang w:val="es-MX" w:eastAsia="es-ES"/>
        </w:rPr>
        <w:t xml:space="preserve">LA </w:t>
      </w:r>
      <w:r w:rsidRPr="002C0D19">
        <w:rPr>
          <w:rFonts w:ascii="Arial Narrow" w:hAnsi="Arial Narrow" w:cs="Arial"/>
          <w:b/>
          <w:color w:val="000000" w:themeColor="text1"/>
          <w:lang w:eastAsia="es-ES"/>
        </w:rPr>
        <w:t>CRCC</w:t>
      </w:r>
      <w:r w:rsidRPr="002C0D19">
        <w:rPr>
          <w:rFonts w:ascii="Arial Narrow" w:hAnsi="Arial Narrow" w:cs="Arial"/>
          <w:color w:val="000000" w:themeColor="text1"/>
          <w:lang w:val="es-MX" w:eastAsia="es-ES"/>
        </w:rPr>
        <w:t xml:space="preserve"> por cuenta de </w:t>
      </w:r>
      <w:r w:rsidRPr="002C0D19">
        <w:rPr>
          <w:rFonts w:ascii="Arial Narrow" w:hAnsi="Arial Narrow" w:cs="Arial"/>
          <w:b/>
          <w:color w:val="000000" w:themeColor="text1"/>
          <w:lang w:val="es-MX" w:eastAsia="es-ES"/>
        </w:rPr>
        <w:t>EL TERCERO</w:t>
      </w:r>
      <w:r w:rsidRPr="002C0D19">
        <w:rPr>
          <w:rFonts w:ascii="Arial Narrow" w:hAnsi="Arial Narrow" w:cs="Arial"/>
          <w:color w:val="000000" w:themeColor="text1"/>
          <w:lang w:val="es-MX" w:eastAsia="es-ES"/>
        </w:rPr>
        <w:t xml:space="preserve"> serán asumidas por el </w:t>
      </w:r>
      <w:r w:rsidRPr="002C0D19">
        <w:rPr>
          <w:rFonts w:ascii="Arial Narrow" w:hAnsi="Arial Narrow" w:cs="Arial"/>
          <w:b/>
          <w:color w:val="000000" w:themeColor="text1"/>
          <w:lang w:val="es-MX" w:eastAsia="es-ES"/>
        </w:rPr>
        <w:t>MIEMBRO DE DESTINO</w:t>
      </w:r>
      <w:r w:rsidRPr="002C0D19">
        <w:rPr>
          <w:rFonts w:ascii="Arial Narrow" w:hAnsi="Arial Narrow" w:cs="Arial"/>
          <w:color w:val="000000" w:themeColor="text1"/>
          <w:lang w:val="es-MX" w:eastAsia="es-ES"/>
        </w:rPr>
        <w:t>.</w:t>
      </w:r>
    </w:p>
    <w:p w14:paraId="72641BAC" w14:textId="77777777" w:rsidR="007968EC" w:rsidRPr="002C0D19" w:rsidRDefault="007968EC" w:rsidP="007968EC">
      <w:pPr>
        <w:ind w:left="708"/>
        <w:rPr>
          <w:rFonts w:ascii="Arial Narrow" w:hAnsi="Arial Narrow" w:cs="Arial"/>
          <w:color w:val="000000" w:themeColor="text1"/>
          <w:lang w:val="es-MX" w:eastAsia="es-CO"/>
        </w:rPr>
      </w:pPr>
    </w:p>
    <w:p w14:paraId="05869C82" w14:textId="77777777" w:rsidR="007968EC" w:rsidRPr="002C0D19" w:rsidRDefault="007968EC" w:rsidP="00DA7472">
      <w:pPr>
        <w:numPr>
          <w:ilvl w:val="0"/>
          <w:numId w:val="234"/>
        </w:numPr>
        <w:ind w:right="20"/>
        <w:jc w:val="both"/>
        <w:rPr>
          <w:rFonts w:ascii="Arial Narrow" w:hAnsi="Arial Narrow" w:cs="Arial"/>
          <w:color w:val="000000" w:themeColor="text1"/>
          <w:lang w:eastAsia="es-ES"/>
        </w:rPr>
      </w:pPr>
      <w:r w:rsidRPr="002C0D19">
        <w:rPr>
          <w:rFonts w:ascii="Arial Narrow" w:hAnsi="Arial Narrow" w:cs="Arial"/>
          <w:color w:val="000000" w:themeColor="text1"/>
          <w:lang w:val="es-MX" w:eastAsia="es-ES"/>
        </w:rPr>
        <w:t xml:space="preserve">En caso de que </w:t>
      </w:r>
      <w:r w:rsidRPr="002C0D19">
        <w:rPr>
          <w:rFonts w:ascii="Arial Narrow" w:hAnsi="Arial Narrow" w:cs="Arial"/>
          <w:b/>
          <w:color w:val="000000" w:themeColor="text1"/>
          <w:lang w:val="es-MX" w:eastAsia="es-ES"/>
        </w:rPr>
        <w:t>EL TERCERO</w:t>
      </w:r>
      <w:r w:rsidRPr="002C0D19">
        <w:rPr>
          <w:rFonts w:ascii="Arial Narrow" w:hAnsi="Arial Narrow" w:cs="Arial"/>
          <w:color w:val="000000" w:themeColor="text1"/>
          <w:lang w:val="es-MX" w:eastAsia="es-ES"/>
        </w:rPr>
        <w:t xml:space="preserve"> niegue el conocimiento de un </w:t>
      </w:r>
      <w:proofErr w:type="spellStart"/>
      <w:r w:rsidRPr="002C0D19">
        <w:rPr>
          <w:rFonts w:ascii="Arial Narrow" w:hAnsi="Arial Narrow" w:cs="Arial"/>
          <w:i/>
          <w:color w:val="000000" w:themeColor="text1"/>
          <w:lang w:val="es-MX" w:eastAsia="es-ES"/>
        </w:rPr>
        <w:t>Give</w:t>
      </w:r>
      <w:proofErr w:type="spellEnd"/>
      <w:r w:rsidRPr="002C0D19">
        <w:rPr>
          <w:rFonts w:ascii="Arial Narrow" w:hAnsi="Arial Narrow" w:cs="Arial"/>
          <w:i/>
          <w:color w:val="000000" w:themeColor="text1"/>
          <w:lang w:val="es-MX" w:eastAsia="es-ES"/>
        </w:rPr>
        <w:t>-Up</w:t>
      </w:r>
      <w:r w:rsidRPr="002C0D19">
        <w:rPr>
          <w:rFonts w:ascii="Arial Narrow" w:hAnsi="Arial Narrow" w:cs="Arial"/>
          <w:color w:val="000000" w:themeColor="text1"/>
          <w:lang w:val="es-MX" w:eastAsia="es-ES"/>
        </w:rPr>
        <w:t xml:space="preserve"> de cualquier Operación Aceptada por </w:t>
      </w:r>
      <w:r w:rsidRPr="002C0D19">
        <w:rPr>
          <w:rFonts w:ascii="Arial Narrow" w:hAnsi="Arial Narrow" w:cs="Arial"/>
          <w:b/>
          <w:color w:val="000000" w:themeColor="text1"/>
          <w:lang w:val="es-MX" w:eastAsia="es-ES"/>
        </w:rPr>
        <w:t>LA CRCC</w:t>
      </w:r>
      <w:r w:rsidRPr="002C0D19">
        <w:rPr>
          <w:rFonts w:ascii="Arial Narrow" w:hAnsi="Arial Narrow" w:cs="Arial"/>
          <w:color w:val="000000" w:themeColor="text1"/>
          <w:lang w:val="es-MX" w:eastAsia="es-ES"/>
        </w:rPr>
        <w:t xml:space="preserve">, por no haber mediado autorización para ello y/o por no haberse ejecutado la autorización en los términos de la misma, </w:t>
      </w:r>
      <w:r w:rsidRPr="002C0D19">
        <w:rPr>
          <w:rFonts w:ascii="Arial Narrow" w:hAnsi="Arial Narrow" w:cs="Arial"/>
          <w:b/>
          <w:color w:val="000000" w:themeColor="text1"/>
          <w:lang w:val="es-MX" w:eastAsia="es-ES"/>
        </w:rPr>
        <w:t>EL</w:t>
      </w:r>
      <w:r w:rsidRPr="002C0D19">
        <w:rPr>
          <w:rFonts w:ascii="Arial Narrow" w:hAnsi="Arial Narrow" w:cs="Arial"/>
          <w:color w:val="000000" w:themeColor="text1"/>
          <w:lang w:val="es-MX" w:eastAsia="es-ES"/>
        </w:rPr>
        <w:t xml:space="preserve"> </w:t>
      </w:r>
      <w:r w:rsidRPr="002C0D19">
        <w:rPr>
          <w:rFonts w:ascii="Arial Narrow" w:hAnsi="Arial Narrow" w:cs="Arial"/>
          <w:b/>
          <w:color w:val="000000" w:themeColor="text1"/>
          <w:lang w:val="es-MX" w:eastAsia="es-ES"/>
        </w:rPr>
        <w:t>MIEMBRO DESTINO</w:t>
      </w:r>
      <w:r w:rsidRPr="002C0D19">
        <w:rPr>
          <w:rFonts w:ascii="Arial Narrow" w:hAnsi="Arial Narrow" w:cs="Arial"/>
          <w:color w:val="000000" w:themeColor="text1"/>
          <w:lang w:val="es-MX" w:eastAsia="es-ES"/>
        </w:rPr>
        <w:t xml:space="preserve"> o </w:t>
      </w:r>
      <w:r w:rsidRPr="002C0D19">
        <w:rPr>
          <w:rFonts w:ascii="Arial Narrow" w:hAnsi="Arial Narrow" w:cs="Arial"/>
          <w:b/>
          <w:color w:val="000000" w:themeColor="text1"/>
          <w:lang w:val="es-MX" w:eastAsia="es-ES"/>
        </w:rPr>
        <w:t xml:space="preserve">El MIEMBRO DE ORIGEN </w:t>
      </w:r>
      <w:r w:rsidRPr="002C0D19">
        <w:rPr>
          <w:rFonts w:ascii="Arial Narrow" w:hAnsi="Arial Narrow" w:cs="Arial"/>
          <w:color w:val="000000" w:themeColor="text1"/>
          <w:lang w:val="es-MX" w:eastAsia="es-ES"/>
        </w:rPr>
        <w:t xml:space="preserve">estarán autorizados para liquidar y compensar la operación aceptada por </w:t>
      </w:r>
      <w:r w:rsidRPr="002C0D19">
        <w:rPr>
          <w:rFonts w:ascii="Arial Narrow" w:hAnsi="Arial Narrow" w:cs="Arial"/>
          <w:b/>
          <w:color w:val="000000" w:themeColor="text1"/>
          <w:lang w:val="es-MX" w:eastAsia="es-ES"/>
        </w:rPr>
        <w:t xml:space="preserve">LA CRCC </w:t>
      </w:r>
      <w:r w:rsidRPr="002C0D19">
        <w:rPr>
          <w:rFonts w:ascii="Arial Narrow" w:hAnsi="Arial Narrow" w:cs="Arial"/>
          <w:color w:val="000000" w:themeColor="text1"/>
          <w:lang w:val="es-MX" w:eastAsia="es-ES"/>
        </w:rPr>
        <w:t xml:space="preserve">la cual ha sido negada por </w:t>
      </w:r>
      <w:r w:rsidRPr="002C0D19">
        <w:rPr>
          <w:rFonts w:ascii="Arial Narrow" w:hAnsi="Arial Narrow" w:cs="Arial"/>
          <w:b/>
          <w:color w:val="000000" w:themeColor="text1"/>
          <w:lang w:val="es-MX" w:eastAsia="es-ES"/>
        </w:rPr>
        <w:t>EL TERCERO</w:t>
      </w:r>
      <w:r w:rsidRPr="002C0D19">
        <w:rPr>
          <w:rFonts w:ascii="Arial Narrow" w:hAnsi="Arial Narrow" w:cs="Arial"/>
          <w:color w:val="000000" w:themeColor="text1"/>
          <w:lang w:val="es-MX" w:eastAsia="es-ES"/>
        </w:rPr>
        <w:t xml:space="preserve">. </w:t>
      </w:r>
      <w:r w:rsidRPr="002C0D19">
        <w:rPr>
          <w:rFonts w:ascii="Arial Narrow" w:hAnsi="Arial Narrow" w:cs="Arial"/>
          <w:b/>
          <w:color w:val="000000" w:themeColor="text1"/>
          <w:lang w:val="es-MX" w:eastAsia="es-ES"/>
        </w:rPr>
        <w:t>EL MIEMBRO</w:t>
      </w:r>
      <w:r w:rsidRPr="002C0D19">
        <w:rPr>
          <w:rFonts w:ascii="Arial Narrow" w:hAnsi="Arial Narrow" w:cs="Arial"/>
          <w:color w:val="000000" w:themeColor="text1"/>
          <w:lang w:val="es-MX" w:eastAsia="es-ES"/>
        </w:rPr>
        <w:t xml:space="preserve"> que compense y liquide la operación deberá entregar a las demás partes de este Contrato notificación previa de dicha liquidación o compensación.</w:t>
      </w:r>
    </w:p>
    <w:p w14:paraId="182EE6FE" w14:textId="77777777" w:rsidR="007968EC" w:rsidRPr="002C0D19" w:rsidRDefault="007968EC" w:rsidP="007968EC">
      <w:pPr>
        <w:ind w:left="708"/>
        <w:rPr>
          <w:rFonts w:ascii="Arial Narrow" w:hAnsi="Arial Narrow" w:cs="Arial"/>
          <w:color w:val="000000" w:themeColor="text1"/>
          <w:lang w:eastAsia="es-CO"/>
        </w:rPr>
      </w:pPr>
    </w:p>
    <w:p w14:paraId="5A6067DA" w14:textId="77777777" w:rsidR="007968EC" w:rsidRPr="002C0D19" w:rsidRDefault="007968EC" w:rsidP="00DA7472">
      <w:pPr>
        <w:numPr>
          <w:ilvl w:val="0"/>
          <w:numId w:val="234"/>
        </w:numPr>
        <w:ind w:right="20"/>
        <w:jc w:val="both"/>
        <w:rPr>
          <w:rFonts w:ascii="Arial Narrow" w:hAnsi="Arial Narrow" w:cs="Arial"/>
          <w:color w:val="000000" w:themeColor="text1"/>
          <w:lang w:eastAsia="es-ES"/>
        </w:rPr>
      </w:pPr>
      <w:r w:rsidRPr="002C0D19">
        <w:rPr>
          <w:rFonts w:ascii="Arial Narrow" w:hAnsi="Arial Narrow" w:cs="Arial"/>
          <w:b/>
          <w:color w:val="000000" w:themeColor="text1"/>
          <w:lang w:val="es-ES" w:eastAsia="es-ES"/>
        </w:rPr>
        <w:t>EL TERCERO</w:t>
      </w:r>
      <w:r w:rsidRPr="002C0D19">
        <w:rPr>
          <w:rFonts w:ascii="Arial Narrow" w:hAnsi="Arial Narrow" w:cs="Arial"/>
          <w:color w:val="000000" w:themeColor="text1"/>
          <w:lang w:val="es-ES" w:eastAsia="es-ES"/>
        </w:rPr>
        <w:t xml:space="preserve"> declara que conoce y acepta los derechos y obligaciones que le corresponden, según se trate, de un Tercero Identificado o de un Tercero no Identificado, de conformidad con lo dispuesto en los artículo 2.1.21. y siguientes del Reglamento de </w:t>
      </w:r>
      <w:r w:rsidRPr="002C0D19">
        <w:rPr>
          <w:rFonts w:ascii="Arial Narrow" w:hAnsi="Arial Narrow" w:cs="Arial"/>
          <w:color w:val="000000" w:themeColor="text1"/>
          <w:lang w:eastAsia="es-ES"/>
        </w:rPr>
        <w:t>Funcionamiento</w:t>
      </w:r>
      <w:r w:rsidRPr="002C0D19">
        <w:rPr>
          <w:rFonts w:ascii="Arial Narrow" w:hAnsi="Arial Narrow" w:cs="Arial"/>
          <w:color w:val="000000" w:themeColor="text1"/>
          <w:lang w:val="es-ES" w:eastAsia="es-ES"/>
        </w:rPr>
        <w:t xml:space="preserve">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w:t>
      </w:r>
    </w:p>
    <w:p w14:paraId="3F7CFE45" w14:textId="77777777" w:rsidR="007968EC" w:rsidRPr="002C0D19" w:rsidRDefault="007968EC" w:rsidP="007968EC">
      <w:pPr>
        <w:ind w:left="708"/>
        <w:rPr>
          <w:rFonts w:ascii="Arial Narrow" w:hAnsi="Arial Narrow" w:cs="Arial"/>
          <w:color w:val="000000" w:themeColor="text1"/>
          <w:lang w:val="es-MX" w:eastAsia="es-CO"/>
        </w:rPr>
      </w:pPr>
    </w:p>
    <w:p w14:paraId="3933825F" w14:textId="77777777" w:rsidR="007968EC" w:rsidRPr="002C0D19" w:rsidRDefault="007968EC" w:rsidP="00DA7472">
      <w:pPr>
        <w:numPr>
          <w:ilvl w:val="0"/>
          <w:numId w:val="234"/>
        </w:numPr>
        <w:ind w:right="20"/>
        <w:jc w:val="both"/>
        <w:rPr>
          <w:rFonts w:ascii="Arial Narrow" w:hAnsi="Arial Narrow" w:cs="Arial"/>
          <w:color w:val="000000" w:themeColor="text1"/>
          <w:lang w:eastAsia="es-ES"/>
        </w:rPr>
      </w:pPr>
      <w:r w:rsidRPr="002C0D19">
        <w:rPr>
          <w:rFonts w:ascii="Arial Narrow" w:hAnsi="Arial Narrow" w:cs="Arial"/>
          <w:color w:val="000000" w:themeColor="text1"/>
          <w:lang w:val="es-MX" w:eastAsia="es-ES"/>
        </w:rPr>
        <w:t xml:space="preserve">En caso de que, por cualquier razón, </w:t>
      </w:r>
      <w:r w:rsidRPr="002C0D19">
        <w:rPr>
          <w:rFonts w:ascii="Arial Narrow" w:hAnsi="Arial Narrow" w:cs="Arial"/>
          <w:b/>
          <w:color w:val="000000" w:themeColor="text1"/>
          <w:lang w:val="es-MX" w:eastAsia="es-ES"/>
        </w:rPr>
        <w:t xml:space="preserve">EL MIEMBRO DE DESTINO </w:t>
      </w:r>
      <w:r w:rsidRPr="002C0D19">
        <w:rPr>
          <w:rFonts w:ascii="Arial Narrow" w:hAnsi="Arial Narrow" w:cs="Arial"/>
          <w:color w:val="000000" w:themeColor="text1"/>
          <w:lang w:val="es-MX" w:eastAsia="es-ES"/>
        </w:rPr>
        <w:t xml:space="preserve">no acepte una operación que le haya sido transmitida por </w:t>
      </w:r>
      <w:r w:rsidRPr="002C0D19">
        <w:rPr>
          <w:rFonts w:ascii="Arial Narrow" w:hAnsi="Arial Narrow" w:cs="Arial"/>
          <w:b/>
          <w:color w:val="000000" w:themeColor="text1"/>
          <w:lang w:val="es-MX" w:eastAsia="es-ES"/>
        </w:rPr>
        <w:t>EL</w:t>
      </w:r>
      <w:r w:rsidRPr="002C0D19">
        <w:rPr>
          <w:rFonts w:ascii="Arial Narrow" w:hAnsi="Arial Narrow" w:cs="Arial"/>
          <w:color w:val="000000" w:themeColor="text1"/>
          <w:lang w:val="es-MX" w:eastAsia="es-ES"/>
        </w:rPr>
        <w:t xml:space="preserve"> </w:t>
      </w:r>
      <w:r w:rsidRPr="002C0D19">
        <w:rPr>
          <w:rFonts w:ascii="Arial Narrow" w:hAnsi="Arial Narrow" w:cs="Arial"/>
          <w:b/>
          <w:color w:val="000000" w:themeColor="text1"/>
          <w:lang w:val="es-MX" w:eastAsia="es-ES"/>
        </w:rPr>
        <w:t>MIEMBRO DE ORIGEN</w:t>
      </w:r>
      <w:r w:rsidRPr="002C0D19">
        <w:rPr>
          <w:rFonts w:ascii="Arial Narrow" w:hAnsi="Arial Narrow" w:cs="Arial"/>
          <w:color w:val="000000" w:themeColor="text1"/>
          <w:lang w:val="es-MX" w:eastAsia="es-ES"/>
        </w:rPr>
        <w:t xml:space="preserve">, </w:t>
      </w:r>
      <w:r w:rsidRPr="002C0D19">
        <w:rPr>
          <w:rFonts w:ascii="Arial Narrow" w:hAnsi="Arial Narrow" w:cs="Arial"/>
          <w:b/>
          <w:color w:val="000000" w:themeColor="text1"/>
          <w:lang w:val="es-MX" w:eastAsia="es-ES"/>
        </w:rPr>
        <w:t xml:space="preserve">EL MIEMBRO DE DESTINO </w:t>
      </w:r>
      <w:r w:rsidRPr="002C0D19">
        <w:rPr>
          <w:rFonts w:ascii="Arial Narrow" w:hAnsi="Arial Narrow" w:cs="Arial"/>
          <w:color w:val="000000" w:themeColor="text1"/>
          <w:lang w:val="es-MX" w:eastAsia="es-ES"/>
        </w:rPr>
        <w:t xml:space="preserve">notificará oportunamente a </w:t>
      </w:r>
      <w:r w:rsidRPr="002C0D19">
        <w:rPr>
          <w:rFonts w:ascii="Arial Narrow" w:hAnsi="Arial Narrow" w:cs="Arial"/>
          <w:b/>
          <w:color w:val="000000" w:themeColor="text1"/>
          <w:lang w:val="es-MX" w:eastAsia="es-ES"/>
        </w:rPr>
        <w:t>EL</w:t>
      </w:r>
      <w:r w:rsidRPr="002C0D19">
        <w:rPr>
          <w:rFonts w:ascii="Arial Narrow" w:hAnsi="Arial Narrow" w:cs="Arial"/>
          <w:color w:val="000000" w:themeColor="text1"/>
          <w:lang w:val="es-MX" w:eastAsia="es-ES"/>
        </w:rPr>
        <w:t xml:space="preserve"> </w:t>
      </w:r>
      <w:r w:rsidRPr="002C0D19">
        <w:rPr>
          <w:rFonts w:ascii="Arial Narrow" w:hAnsi="Arial Narrow" w:cs="Arial"/>
          <w:b/>
          <w:color w:val="000000" w:themeColor="text1"/>
          <w:lang w:val="es-MX" w:eastAsia="es-ES"/>
        </w:rPr>
        <w:t>TERCERO</w:t>
      </w:r>
      <w:r w:rsidRPr="002C0D19">
        <w:rPr>
          <w:rFonts w:ascii="Arial Narrow" w:hAnsi="Arial Narrow" w:cs="Arial"/>
          <w:color w:val="000000" w:themeColor="text1"/>
          <w:lang w:val="es-MX" w:eastAsia="es-ES"/>
        </w:rPr>
        <w:t xml:space="preserve"> y al </w:t>
      </w:r>
      <w:r w:rsidRPr="002C0D19">
        <w:rPr>
          <w:rFonts w:ascii="Arial Narrow" w:hAnsi="Arial Narrow" w:cs="Arial"/>
          <w:b/>
          <w:color w:val="000000" w:themeColor="text1"/>
          <w:lang w:val="es-MX" w:eastAsia="es-ES"/>
        </w:rPr>
        <w:t xml:space="preserve">MIEMBRO DE ORIGEN </w:t>
      </w:r>
      <w:r w:rsidRPr="002C0D19">
        <w:rPr>
          <w:rFonts w:ascii="Arial Narrow" w:hAnsi="Arial Narrow" w:cs="Arial"/>
          <w:color w:val="000000" w:themeColor="text1"/>
          <w:lang w:val="es-MX" w:eastAsia="es-ES"/>
        </w:rPr>
        <w:t xml:space="preserve">de dicho rechazo. En este caso, </w:t>
      </w:r>
      <w:r w:rsidRPr="002C0D19">
        <w:rPr>
          <w:rFonts w:ascii="Arial Narrow" w:hAnsi="Arial Narrow" w:cs="Arial"/>
          <w:b/>
          <w:color w:val="000000" w:themeColor="text1"/>
          <w:lang w:val="es-MX" w:eastAsia="es-ES"/>
        </w:rPr>
        <w:t xml:space="preserve">EL MIEMBRO DE ORIGEN </w:t>
      </w:r>
      <w:r w:rsidRPr="002C0D19">
        <w:rPr>
          <w:rFonts w:ascii="Arial Narrow" w:hAnsi="Arial Narrow" w:cs="Arial"/>
          <w:color w:val="000000" w:themeColor="text1"/>
          <w:lang w:val="es-MX" w:eastAsia="es-ES"/>
        </w:rPr>
        <w:t xml:space="preserve">u otro Miembro que este designe estará facultado para: (a) Cerrar la posición. En este caso, </w:t>
      </w:r>
      <w:r w:rsidRPr="002C0D19">
        <w:rPr>
          <w:rFonts w:ascii="Arial Narrow" w:hAnsi="Arial Narrow" w:cs="Arial"/>
          <w:b/>
          <w:color w:val="000000" w:themeColor="text1"/>
          <w:lang w:val="es-MX" w:eastAsia="es-ES"/>
        </w:rPr>
        <w:t xml:space="preserve">EL MIEMBRO DE ORIGEN </w:t>
      </w:r>
      <w:r w:rsidRPr="002C0D19">
        <w:rPr>
          <w:rFonts w:ascii="Arial Narrow" w:hAnsi="Arial Narrow" w:cs="Arial"/>
          <w:color w:val="000000" w:themeColor="text1"/>
          <w:lang w:val="es-MX" w:eastAsia="es-ES"/>
        </w:rPr>
        <w:t xml:space="preserve">deberá notificar oportunamente a </w:t>
      </w:r>
      <w:r w:rsidRPr="002C0D19">
        <w:rPr>
          <w:rFonts w:ascii="Arial Narrow" w:hAnsi="Arial Narrow" w:cs="Arial"/>
          <w:b/>
          <w:color w:val="000000" w:themeColor="text1"/>
          <w:lang w:val="es-MX" w:eastAsia="es-ES"/>
        </w:rPr>
        <w:t>EL TERCERO</w:t>
      </w:r>
      <w:r w:rsidRPr="002C0D19">
        <w:rPr>
          <w:rFonts w:ascii="Arial Narrow" w:hAnsi="Arial Narrow" w:cs="Arial"/>
          <w:color w:val="000000" w:themeColor="text1"/>
          <w:lang w:val="es-MX" w:eastAsia="es-ES"/>
        </w:rPr>
        <w:t xml:space="preserve"> de dicho cierre. Cualquier saldo que resulte de dicho cierre será oportunamente liquidado entre </w:t>
      </w:r>
      <w:r w:rsidRPr="002C0D19">
        <w:rPr>
          <w:rFonts w:ascii="Arial Narrow" w:hAnsi="Arial Narrow" w:cs="Arial"/>
          <w:b/>
          <w:color w:val="000000" w:themeColor="text1"/>
          <w:lang w:val="es-MX" w:eastAsia="es-ES"/>
        </w:rPr>
        <w:t xml:space="preserve">EL MIEMBRO DE ORIGEN </w:t>
      </w:r>
      <w:r w:rsidRPr="002C0D19">
        <w:rPr>
          <w:rFonts w:ascii="Arial Narrow" w:hAnsi="Arial Narrow" w:cs="Arial"/>
          <w:color w:val="000000" w:themeColor="text1"/>
          <w:lang w:val="es-MX" w:eastAsia="es-ES"/>
        </w:rPr>
        <w:t xml:space="preserve">y </w:t>
      </w:r>
      <w:r w:rsidRPr="002C0D19">
        <w:rPr>
          <w:rFonts w:ascii="Arial Narrow" w:hAnsi="Arial Narrow" w:cs="Arial"/>
          <w:b/>
          <w:color w:val="000000" w:themeColor="text1"/>
          <w:lang w:val="es-MX" w:eastAsia="es-ES"/>
        </w:rPr>
        <w:t>El TERCERO</w:t>
      </w:r>
      <w:r w:rsidRPr="002C0D19">
        <w:rPr>
          <w:rFonts w:ascii="Arial Narrow" w:hAnsi="Arial Narrow" w:cs="Arial"/>
          <w:color w:val="000000" w:themeColor="text1"/>
          <w:lang w:val="es-MX" w:eastAsia="es-ES"/>
        </w:rPr>
        <w:t xml:space="preserve">; o (b) Trasladar dentro del mismo Segmento las operaciones del </w:t>
      </w:r>
      <w:r w:rsidRPr="002C0D19">
        <w:rPr>
          <w:rFonts w:ascii="Arial Narrow" w:hAnsi="Arial Narrow" w:cs="Arial"/>
          <w:b/>
          <w:color w:val="000000" w:themeColor="text1"/>
          <w:lang w:val="es-MX" w:eastAsia="es-ES"/>
        </w:rPr>
        <w:t>TERCERO</w:t>
      </w:r>
      <w:r w:rsidRPr="002C0D19">
        <w:rPr>
          <w:rFonts w:ascii="Arial Narrow" w:hAnsi="Arial Narrow" w:cs="Arial"/>
          <w:color w:val="000000" w:themeColor="text1"/>
          <w:lang w:val="es-MX" w:eastAsia="es-ES"/>
        </w:rPr>
        <w:t xml:space="preserve"> a otro </w:t>
      </w:r>
      <w:r w:rsidRPr="002C0D19">
        <w:rPr>
          <w:rFonts w:ascii="Arial Narrow" w:hAnsi="Arial Narrow" w:cs="Arial"/>
          <w:b/>
          <w:color w:val="000000" w:themeColor="text1"/>
          <w:lang w:val="es-MX" w:eastAsia="es-ES"/>
        </w:rPr>
        <w:t xml:space="preserve">MIEMBRO DE DESTINO </w:t>
      </w:r>
      <w:r w:rsidRPr="002C0D19">
        <w:rPr>
          <w:rFonts w:ascii="Arial Narrow" w:hAnsi="Arial Narrow" w:cs="Arial"/>
          <w:color w:val="000000" w:themeColor="text1"/>
          <w:lang w:val="es-MX" w:eastAsia="es-ES"/>
        </w:rPr>
        <w:t xml:space="preserve">de acuerdo con las instrucciones del </w:t>
      </w:r>
      <w:r w:rsidRPr="002C0D19">
        <w:rPr>
          <w:rFonts w:ascii="Arial Narrow" w:hAnsi="Arial Narrow" w:cs="Arial"/>
          <w:b/>
          <w:color w:val="000000" w:themeColor="text1"/>
          <w:lang w:val="es-MX" w:eastAsia="es-ES"/>
        </w:rPr>
        <w:t>TERCERO</w:t>
      </w:r>
      <w:r w:rsidRPr="002C0D19">
        <w:rPr>
          <w:rFonts w:ascii="Arial Narrow" w:hAnsi="Arial Narrow" w:cs="Arial"/>
          <w:color w:val="000000" w:themeColor="text1"/>
          <w:lang w:val="es-MX" w:eastAsia="es-ES"/>
        </w:rPr>
        <w:t xml:space="preserve"> o (c) Liquidar la operación del </w:t>
      </w:r>
      <w:r w:rsidRPr="002C0D19">
        <w:rPr>
          <w:rFonts w:ascii="Arial Narrow" w:hAnsi="Arial Narrow" w:cs="Arial"/>
          <w:b/>
          <w:color w:val="000000" w:themeColor="text1"/>
          <w:lang w:val="es-MX" w:eastAsia="es-ES"/>
        </w:rPr>
        <w:t>TERCERO</w:t>
      </w:r>
      <w:r w:rsidRPr="002C0D19">
        <w:rPr>
          <w:rFonts w:ascii="Arial Narrow" w:hAnsi="Arial Narrow" w:cs="Arial"/>
          <w:color w:val="000000" w:themeColor="text1"/>
          <w:lang w:val="es-MX" w:eastAsia="es-ES"/>
        </w:rPr>
        <w:t>, en las siguientes condiciones:</w:t>
      </w:r>
    </w:p>
    <w:p w14:paraId="081D402C" w14:textId="77777777" w:rsidR="007968EC" w:rsidRPr="002C0D19" w:rsidRDefault="007968EC" w:rsidP="007968EC">
      <w:pPr>
        <w:ind w:left="993" w:right="20" w:hanging="284"/>
        <w:jc w:val="both"/>
        <w:rPr>
          <w:rFonts w:ascii="Arial Narrow" w:hAnsi="Arial Narrow" w:cs="Arial"/>
          <w:color w:val="000000" w:themeColor="text1"/>
          <w:lang w:val="es-MX" w:eastAsia="es-ES"/>
        </w:rPr>
      </w:pPr>
    </w:p>
    <w:p w14:paraId="65337A4D" w14:textId="77777777" w:rsidR="007968EC" w:rsidRPr="002C0D19" w:rsidRDefault="007968EC" w:rsidP="00DA7472">
      <w:pPr>
        <w:numPr>
          <w:ilvl w:val="0"/>
          <w:numId w:val="235"/>
        </w:numPr>
        <w:ind w:right="20"/>
        <w:jc w:val="both"/>
        <w:rPr>
          <w:rFonts w:ascii="Arial Narrow" w:hAnsi="Arial Narrow" w:cs="Arial"/>
          <w:color w:val="000000" w:themeColor="text1"/>
          <w:lang w:val="es-MX" w:eastAsia="es-CO"/>
        </w:rPr>
      </w:pPr>
      <w:r w:rsidRPr="002C0D19">
        <w:rPr>
          <w:rFonts w:ascii="Arial Narrow" w:hAnsi="Arial Narrow" w:cs="Arial"/>
          <w:b/>
          <w:color w:val="000000" w:themeColor="text1"/>
          <w:lang w:val="es-MX" w:eastAsia="es-CO"/>
        </w:rPr>
        <w:t>EL TERCERO</w:t>
      </w:r>
      <w:r w:rsidRPr="002C0D19">
        <w:rPr>
          <w:rFonts w:ascii="Arial Narrow" w:hAnsi="Arial Narrow" w:cs="Arial"/>
          <w:color w:val="000000" w:themeColor="text1"/>
          <w:lang w:val="es-MX" w:eastAsia="es-CO"/>
        </w:rPr>
        <w:t xml:space="preserve"> asumirá la plena responsabilidad de todas obligaciones relacionadas con las operaciones que el</w:t>
      </w:r>
      <w:r w:rsidRPr="002C0D19">
        <w:rPr>
          <w:rFonts w:ascii="Arial Narrow" w:hAnsi="Arial Narrow" w:cs="Arial"/>
          <w:b/>
          <w:color w:val="000000" w:themeColor="text1"/>
          <w:lang w:val="es-MX" w:eastAsia="es-CO"/>
        </w:rPr>
        <w:t xml:space="preserve"> MIEMBRO DE ORIGEN </w:t>
      </w:r>
      <w:r w:rsidRPr="002C0D19">
        <w:rPr>
          <w:rFonts w:ascii="Arial Narrow" w:hAnsi="Arial Narrow" w:cs="Arial"/>
          <w:color w:val="000000" w:themeColor="text1"/>
          <w:lang w:val="es-MX" w:eastAsia="es-CO"/>
        </w:rPr>
        <w:t xml:space="preserve">registre en su cuenta, incluyendo, sin limitar: 1) Saldos de liquidación diaria o al vencimiento y 2) Demás costos que se generen, si a ello hubiere lugar. </w:t>
      </w:r>
    </w:p>
    <w:p w14:paraId="02E7BD29" w14:textId="77777777" w:rsidR="007968EC" w:rsidRPr="002C0D19" w:rsidRDefault="007968EC" w:rsidP="007968EC">
      <w:pPr>
        <w:ind w:left="993" w:right="20"/>
        <w:jc w:val="both"/>
        <w:rPr>
          <w:rFonts w:ascii="Arial Narrow" w:hAnsi="Arial Narrow" w:cs="Arial"/>
          <w:color w:val="000000" w:themeColor="text1"/>
          <w:lang w:val="es-MX" w:eastAsia="es-ES"/>
        </w:rPr>
      </w:pPr>
    </w:p>
    <w:p w14:paraId="0F507190" w14:textId="77777777" w:rsidR="007968EC" w:rsidRPr="002C0D19" w:rsidRDefault="007968EC" w:rsidP="00DA7472">
      <w:pPr>
        <w:numPr>
          <w:ilvl w:val="0"/>
          <w:numId w:val="235"/>
        </w:numPr>
        <w:ind w:right="20"/>
        <w:jc w:val="both"/>
        <w:rPr>
          <w:rFonts w:ascii="Arial Narrow" w:hAnsi="Arial Narrow" w:cs="Arial"/>
          <w:color w:val="000000" w:themeColor="text1"/>
          <w:lang w:val="es-MX" w:eastAsia="es-CO"/>
        </w:rPr>
      </w:pPr>
      <w:r w:rsidRPr="002C0D19">
        <w:rPr>
          <w:rFonts w:ascii="Arial Narrow" w:hAnsi="Arial Narrow" w:cs="Arial"/>
          <w:b/>
          <w:color w:val="000000" w:themeColor="text1"/>
          <w:lang w:val="es-MX" w:eastAsia="es-CO"/>
        </w:rPr>
        <w:t xml:space="preserve">EL MIEMBRO DE ORIGEN </w:t>
      </w:r>
      <w:r w:rsidRPr="002C0D19">
        <w:rPr>
          <w:rFonts w:ascii="Arial Narrow" w:hAnsi="Arial Narrow" w:cs="Arial"/>
          <w:color w:val="000000" w:themeColor="text1"/>
          <w:lang w:val="es-MX" w:eastAsia="es-CO"/>
        </w:rPr>
        <w:t xml:space="preserve">tendrá el derecho a solicitar la constitución de garantías adicionales, así como cualquiera suma que le adeude por concepto de la realización de órdenes de </w:t>
      </w:r>
      <w:proofErr w:type="spellStart"/>
      <w:r w:rsidRPr="002C0D19">
        <w:rPr>
          <w:rFonts w:ascii="Arial Narrow" w:hAnsi="Arial Narrow" w:cs="Arial"/>
          <w:i/>
          <w:color w:val="000000" w:themeColor="text1"/>
          <w:lang w:val="es-MX" w:eastAsia="es-CO"/>
        </w:rPr>
        <w:t>Give</w:t>
      </w:r>
      <w:proofErr w:type="spellEnd"/>
      <w:r w:rsidRPr="002C0D19">
        <w:rPr>
          <w:rFonts w:ascii="Arial Narrow" w:hAnsi="Arial Narrow" w:cs="Arial"/>
          <w:i/>
          <w:color w:val="000000" w:themeColor="text1"/>
          <w:lang w:val="es-MX" w:eastAsia="es-CO"/>
        </w:rPr>
        <w:t>-Up</w:t>
      </w:r>
      <w:r w:rsidRPr="002C0D19">
        <w:rPr>
          <w:rFonts w:ascii="Arial Narrow" w:hAnsi="Arial Narrow" w:cs="Arial"/>
          <w:color w:val="000000" w:themeColor="text1"/>
          <w:lang w:val="es-MX" w:eastAsia="es-CO"/>
        </w:rPr>
        <w:t xml:space="preserve"> de la forma y manera que lo considere convenientes. Si </w:t>
      </w:r>
      <w:r w:rsidRPr="002C0D19">
        <w:rPr>
          <w:rFonts w:ascii="Arial Narrow" w:hAnsi="Arial Narrow" w:cs="Arial"/>
          <w:b/>
          <w:color w:val="000000" w:themeColor="text1"/>
          <w:lang w:val="es-MX" w:eastAsia="es-CO"/>
        </w:rPr>
        <w:t>EL TERCERO</w:t>
      </w:r>
      <w:r w:rsidRPr="002C0D19">
        <w:rPr>
          <w:rFonts w:ascii="Arial Narrow" w:hAnsi="Arial Narrow" w:cs="Arial"/>
          <w:color w:val="000000" w:themeColor="text1"/>
          <w:lang w:val="es-MX" w:eastAsia="es-CO"/>
        </w:rPr>
        <w:t xml:space="preserve"> no cumple dicha solicitud en el plazo establecido, o si </w:t>
      </w:r>
      <w:r w:rsidRPr="002C0D19">
        <w:rPr>
          <w:rFonts w:ascii="Arial Narrow" w:hAnsi="Arial Narrow" w:cs="Arial"/>
          <w:b/>
          <w:color w:val="000000" w:themeColor="text1"/>
          <w:lang w:val="es-MX" w:eastAsia="es-CO"/>
        </w:rPr>
        <w:t>EL</w:t>
      </w:r>
      <w:r w:rsidRPr="002C0D19">
        <w:rPr>
          <w:rFonts w:ascii="Arial Narrow" w:hAnsi="Arial Narrow" w:cs="Arial"/>
          <w:color w:val="000000" w:themeColor="text1"/>
          <w:lang w:val="es-MX" w:eastAsia="es-CO"/>
        </w:rPr>
        <w:t xml:space="preserve"> </w:t>
      </w:r>
      <w:r w:rsidRPr="002C0D19">
        <w:rPr>
          <w:rFonts w:ascii="Arial Narrow" w:hAnsi="Arial Narrow" w:cs="Arial"/>
          <w:b/>
          <w:color w:val="000000" w:themeColor="text1"/>
          <w:lang w:val="es-MX" w:eastAsia="es-CO"/>
        </w:rPr>
        <w:t>MIEMBRO DE ORIGEN</w:t>
      </w:r>
      <w:r w:rsidRPr="002C0D19">
        <w:rPr>
          <w:rFonts w:ascii="Arial Narrow" w:hAnsi="Arial Narrow" w:cs="Arial"/>
          <w:color w:val="000000" w:themeColor="text1"/>
          <w:lang w:val="es-MX" w:eastAsia="es-CO"/>
        </w:rPr>
        <w:t xml:space="preserve">, a su discreción, considera apropiado para su protección, podrá cerrar la posición del </w:t>
      </w:r>
      <w:r w:rsidRPr="002C0D19">
        <w:rPr>
          <w:rFonts w:ascii="Arial Narrow" w:hAnsi="Arial Narrow" w:cs="Arial"/>
          <w:b/>
          <w:color w:val="000000" w:themeColor="text1"/>
          <w:lang w:val="es-MX" w:eastAsia="es-CO"/>
        </w:rPr>
        <w:t>TERCERO</w:t>
      </w:r>
      <w:r w:rsidRPr="002C0D19">
        <w:rPr>
          <w:rFonts w:ascii="Arial Narrow" w:hAnsi="Arial Narrow" w:cs="Arial"/>
          <w:color w:val="000000" w:themeColor="text1"/>
          <w:lang w:val="es-MX" w:eastAsia="es-CO"/>
        </w:rPr>
        <w:t xml:space="preserve"> de conformidad con al literal (a) de este numeral.</w:t>
      </w:r>
    </w:p>
    <w:p w14:paraId="1C21667A" w14:textId="77777777" w:rsidR="007968EC" w:rsidRPr="002C0D19" w:rsidRDefault="007968EC" w:rsidP="007968EC">
      <w:pPr>
        <w:ind w:left="709" w:right="20"/>
        <w:jc w:val="both"/>
        <w:rPr>
          <w:rFonts w:ascii="Arial Narrow" w:hAnsi="Arial Narrow" w:cs="Arial"/>
          <w:color w:val="000000" w:themeColor="text1"/>
          <w:lang w:val="es-MX" w:eastAsia="es-ES"/>
        </w:rPr>
      </w:pPr>
    </w:p>
    <w:p w14:paraId="48651389" w14:textId="77777777" w:rsidR="007968EC" w:rsidRPr="002C0D19" w:rsidRDefault="007968EC" w:rsidP="00DA7472">
      <w:pPr>
        <w:numPr>
          <w:ilvl w:val="0"/>
          <w:numId w:val="235"/>
        </w:numPr>
        <w:ind w:right="20"/>
        <w:jc w:val="both"/>
        <w:rPr>
          <w:rFonts w:ascii="Arial Narrow" w:hAnsi="Arial Narrow" w:cs="Arial"/>
          <w:color w:val="000000" w:themeColor="text1"/>
          <w:lang w:val="es-MX" w:eastAsia="es-CO"/>
        </w:rPr>
      </w:pPr>
      <w:r w:rsidRPr="002C0D19">
        <w:rPr>
          <w:rFonts w:ascii="Arial Narrow" w:hAnsi="Arial Narrow" w:cs="Arial"/>
          <w:b/>
          <w:color w:val="000000" w:themeColor="text1"/>
          <w:lang w:val="es-MX" w:eastAsia="es-CO"/>
        </w:rPr>
        <w:t>ELTERCERO</w:t>
      </w:r>
      <w:r w:rsidRPr="002C0D19">
        <w:rPr>
          <w:rFonts w:ascii="Arial Narrow" w:hAnsi="Arial Narrow" w:cs="Arial"/>
          <w:color w:val="000000" w:themeColor="text1"/>
          <w:lang w:val="es-MX" w:eastAsia="es-CO"/>
        </w:rPr>
        <w:t xml:space="preserve"> reconoce que sus operaciones pueden estar sujetas a liquidación por diferencias o entrega, cuando sea aplicable.</w:t>
      </w:r>
    </w:p>
    <w:p w14:paraId="68AB57F7" w14:textId="77777777" w:rsidR="007968EC" w:rsidRPr="002C0D19" w:rsidRDefault="007968EC" w:rsidP="007968EC">
      <w:pPr>
        <w:ind w:left="708"/>
        <w:rPr>
          <w:rFonts w:ascii="Arial Narrow" w:hAnsi="Arial Narrow" w:cs="Arial"/>
          <w:color w:val="000000" w:themeColor="text1"/>
          <w:lang w:val="es-MX" w:eastAsia="es-CO"/>
        </w:rPr>
      </w:pPr>
    </w:p>
    <w:p w14:paraId="105A9FD6"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 w:eastAsia="es-ES"/>
        </w:rPr>
        <w:lastRenderedPageBreak/>
        <w:t>Parágrafo.</w:t>
      </w:r>
      <w:r w:rsidRPr="002C0D19">
        <w:rPr>
          <w:rFonts w:ascii="Arial Narrow" w:hAnsi="Arial Narrow" w:cs="Arial"/>
          <w:color w:val="000000" w:themeColor="text1"/>
          <w:lang w:val="es-ES" w:eastAsia="es-ES"/>
        </w:rPr>
        <w:t xml:space="preserve"> Cualquier reforma que se realice al Reglamento o a las Circulares de la Cámara que implique una modificación a los términos de los acuerdos o Convenios de vinculación, Oferta de Servicios Aceptada mediante Orden de Compra de Servicios</w:t>
      </w:r>
      <w:r w:rsidR="00434CF4">
        <w:rPr>
          <w:rFonts w:ascii="Arial Narrow" w:hAnsi="Arial Narrow" w:cs="Arial"/>
          <w:color w:val="000000" w:themeColor="text1"/>
          <w:lang w:val="es-ES" w:eastAsia="es-ES"/>
        </w:rPr>
        <w:t>, según corresponda,</w:t>
      </w:r>
      <w:r w:rsidRPr="002C0D19">
        <w:rPr>
          <w:rFonts w:ascii="Arial Narrow" w:hAnsi="Arial Narrow" w:cs="Arial"/>
          <w:color w:val="000000" w:themeColor="text1"/>
          <w:lang w:val="es-ES" w:eastAsia="es-ES"/>
        </w:rPr>
        <w:t xml:space="preserve"> que suscriban los Miembros y estos con sus Terceros se presume conocida y aceptada por las partes a partir de su publicación y entrada en vigencia y no requerirá de la modificación de tales acuerdos o Convenios de vinculación, Oferta de Servicios Aceptada mediante Orden de Compra de Servicios que suscriban los Miembros y estos con sus Terceros, ni de la suscripción de nuevos Convenios. No obstante, cuando haya lugar a ello, la Cámara podrá aprobar unos nuevos textos que incorporen las modificaciones pertinentes y publicarlos mediante Circular para efecto de la vinculación de nuevos Miembros, Agentes y Terceros a través de</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los Miembros.</w:t>
      </w:r>
    </w:p>
    <w:p w14:paraId="7FB286F1" w14:textId="77777777" w:rsidR="007968EC" w:rsidRPr="002C0D19" w:rsidRDefault="007968EC" w:rsidP="007968EC">
      <w:pPr>
        <w:ind w:left="708"/>
        <w:rPr>
          <w:rFonts w:ascii="Arial Narrow" w:hAnsi="Arial Narrow" w:cs="Arial"/>
          <w:color w:val="000000" w:themeColor="text1"/>
          <w:lang w:val="es-MX" w:eastAsia="es-CO"/>
        </w:rPr>
      </w:pPr>
    </w:p>
    <w:p w14:paraId="7EEFC036" w14:textId="77777777" w:rsidR="007968EC" w:rsidRPr="002C0D19" w:rsidRDefault="007968EC" w:rsidP="007968EC">
      <w:pPr>
        <w:jc w:val="both"/>
        <w:rPr>
          <w:rFonts w:ascii="Arial Narrow" w:hAnsi="Arial Narrow" w:cs="Arial"/>
          <w:bCs/>
          <w:color w:val="000000" w:themeColor="text1"/>
          <w:lang w:eastAsia="es-ES"/>
        </w:rPr>
      </w:pPr>
      <w:r w:rsidRPr="002C0D19">
        <w:rPr>
          <w:rFonts w:ascii="Arial Narrow" w:hAnsi="Arial Narrow" w:cs="Arial"/>
          <w:b/>
          <w:bCs/>
          <w:color w:val="000000" w:themeColor="text1"/>
          <w:u w:val="single"/>
          <w:lang w:eastAsia="es-ES"/>
        </w:rPr>
        <w:t>TERCERA. Obligaciones del MIEMBRO.</w:t>
      </w:r>
      <w:r w:rsidRPr="002C0D19">
        <w:rPr>
          <w:rFonts w:ascii="Arial Narrow" w:hAnsi="Arial Narrow" w:cs="Arial"/>
          <w:color w:val="000000" w:themeColor="text1"/>
          <w:lang w:eastAsia="es-ES"/>
        </w:rPr>
        <w:t xml:space="preserve"> Sin perjuicio </w:t>
      </w:r>
      <w:r w:rsidRPr="002C0D19">
        <w:rPr>
          <w:rFonts w:ascii="Arial Narrow" w:hAnsi="Arial Narrow" w:cs="Arial"/>
          <w:bCs/>
          <w:color w:val="000000" w:themeColor="text1"/>
          <w:lang w:eastAsia="es-ES"/>
        </w:rPr>
        <w:t xml:space="preserve">de las obligaciones previstas en las demás cláusulas del presente Contrato, en el </w:t>
      </w:r>
      <w:r w:rsidRPr="002C0D19">
        <w:rPr>
          <w:rFonts w:ascii="Arial Narrow" w:hAnsi="Arial Narrow" w:cs="Arial"/>
          <w:color w:val="000000" w:themeColor="text1"/>
          <w:lang w:eastAsia="es-ES"/>
        </w:rPr>
        <w:t xml:space="preserve">Reglamento de Funcionamiento, la Circular y los Instructivos Operativos de </w:t>
      </w:r>
      <w:r w:rsidRPr="002C0D19">
        <w:rPr>
          <w:rFonts w:ascii="Arial Narrow" w:hAnsi="Arial Narrow" w:cs="Arial"/>
          <w:b/>
          <w:color w:val="000000" w:themeColor="text1"/>
          <w:lang w:eastAsia="es-ES"/>
        </w:rPr>
        <w:t>LA CRCC</w:t>
      </w:r>
      <w:r w:rsidRPr="002C0D19">
        <w:rPr>
          <w:rFonts w:ascii="Arial Narrow" w:hAnsi="Arial Narrow" w:cs="Arial"/>
          <w:bCs/>
          <w:color w:val="000000" w:themeColor="text1"/>
          <w:lang w:eastAsia="es-ES"/>
        </w:rPr>
        <w:t>, y en</w:t>
      </w:r>
      <w:r w:rsidRPr="002C0D19">
        <w:rPr>
          <w:rFonts w:ascii="Arial Narrow" w:hAnsi="Arial Narrow" w:cs="Arial"/>
          <w:color w:val="000000" w:themeColor="text1"/>
          <w:lang w:eastAsia="es-ES"/>
        </w:rPr>
        <w:t xml:space="preserve"> los convenios entre </w:t>
      </w:r>
      <w:r w:rsidRPr="002C0D19">
        <w:rPr>
          <w:rFonts w:ascii="Arial Narrow" w:hAnsi="Arial Narrow" w:cs="Arial"/>
          <w:b/>
          <w:color w:val="000000" w:themeColor="text1"/>
          <w:lang w:eastAsia="es-ES"/>
        </w:rPr>
        <w:t>LOS MIEMBROS</w:t>
      </w:r>
      <w:r w:rsidRPr="002C0D19">
        <w:rPr>
          <w:rFonts w:ascii="Arial Narrow" w:hAnsi="Arial Narrow" w:cs="Arial"/>
          <w:color w:val="000000" w:themeColor="text1"/>
          <w:lang w:eastAsia="es-ES"/>
        </w:rPr>
        <w:t xml:space="preserve">, o entre </w:t>
      </w:r>
      <w:r w:rsidRPr="002C0D19">
        <w:rPr>
          <w:rFonts w:ascii="Arial Narrow" w:hAnsi="Arial Narrow" w:cs="Arial"/>
          <w:b/>
          <w:color w:val="000000" w:themeColor="text1"/>
          <w:lang w:eastAsia="es-ES"/>
        </w:rPr>
        <w:t xml:space="preserve">EL MIEMBRO DE ORIGEN </w:t>
      </w:r>
      <w:r w:rsidRPr="002C0D19">
        <w:rPr>
          <w:rFonts w:ascii="Arial Narrow" w:hAnsi="Arial Narrow" w:cs="Arial"/>
          <w:color w:val="000000" w:themeColor="text1"/>
          <w:lang w:eastAsia="es-ES"/>
        </w:rPr>
        <w:t xml:space="preserve">o </w:t>
      </w:r>
      <w:r w:rsidRPr="002C0D19">
        <w:rPr>
          <w:rFonts w:ascii="Arial Narrow" w:hAnsi="Arial Narrow" w:cs="Arial"/>
          <w:b/>
          <w:color w:val="000000" w:themeColor="text1"/>
          <w:lang w:eastAsia="es-ES"/>
        </w:rPr>
        <w:t xml:space="preserve">EL MIEMBRO DE DESTINO </w:t>
      </w:r>
      <w:r w:rsidRPr="002C0D19">
        <w:rPr>
          <w:rFonts w:ascii="Arial Narrow" w:hAnsi="Arial Narrow" w:cs="Arial"/>
          <w:color w:val="000000" w:themeColor="text1"/>
          <w:lang w:eastAsia="es-ES"/>
        </w:rPr>
        <w:t xml:space="preserve">y </w:t>
      </w:r>
      <w:r w:rsidRPr="002C0D19">
        <w:rPr>
          <w:rFonts w:ascii="Arial Narrow" w:hAnsi="Arial Narrow" w:cs="Arial"/>
          <w:b/>
          <w:color w:val="000000" w:themeColor="text1"/>
          <w:lang w:eastAsia="es-ES"/>
        </w:rPr>
        <w:t>EL TERCERO</w:t>
      </w:r>
      <w:r w:rsidRPr="002C0D19">
        <w:rPr>
          <w:rFonts w:ascii="Arial Narrow" w:hAnsi="Arial Narrow" w:cs="Arial"/>
          <w:color w:val="000000" w:themeColor="text1"/>
          <w:lang w:eastAsia="es-ES"/>
        </w:rPr>
        <w:t xml:space="preserve"> denominados </w:t>
      </w:r>
      <w:r w:rsidRPr="002C0D19">
        <w:rPr>
          <w:rFonts w:ascii="Arial Narrow" w:hAnsi="Arial Narrow" w:cs="Arial"/>
          <w:color w:val="000000" w:themeColor="text1"/>
          <w:lang w:val="es-MX" w:eastAsia="es-ES"/>
        </w:rPr>
        <w:t>Oferta de Servicios para que un Miembro Participe por cuenta de un Tercero ante la Cámara de Riesgo Central de Contraparte de Colombia - CRCC S.A.</w:t>
      </w:r>
      <w:r w:rsidRPr="002C0D19">
        <w:rPr>
          <w:rFonts w:ascii="Arial Narrow" w:hAnsi="Arial Narrow" w:cs="Arial"/>
          <w:color w:val="000000" w:themeColor="text1"/>
          <w:lang w:eastAsia="es-ES"/>
        </w:rPr>
        <w:t>,</w:t>
      </w:r>
      <w:r w:rsidRPr="002C0D19">
        <w:rPr>
          <w:rFonts w:ascii="Arial Narrow" w:hAnsi="Arial Narrow" w:cs="Arial"/>
          <w:bCs/>
          <w:color w:val="000000" w:themeColor="text1"/>
          <w:lang w:eastAsia="es-ES"/>
        </w:rPr>
        <w:t xml:space="preserve"> es obligación principal de </w:t>
      </w:r>
      <w:r w:rsidRPr="002C0D19">
        <w:rPr>
          <w:rFonts w:ascii="Arial Narrow" w:hAnsi="Arial Narrow" w:cs="Arial"/>
          <w:b/>
          <w:bCs/>
          <w:color w:val="000000" w:themeColor="text1"/>
          <w:lang w:eastAsia="es-ES"/>
        </w:rPr>
        <w:t>LOS MIEMBROS</w:t>
      </w:r>
      <w:r w:rsidRPr="002C0D19">
        <w:rPr>
          <w:rFonts w:ascii="Arial Narrow" w:hAnsi="Arial Narrow" w:cs="Arial"/>
          <w:bCs/>
          <w:color w:val="000000" w:themeColor="text1"/>
          <w:lang w:eastAsia="es-ES"/>
        </w:rPr>
        <w:t xml:space="preserve">, </w:t>
      </w:r>
      <w:r w:rsidRPr="002C0D19">
        <w:rPr>
          <w:rFonts w:ascii="Arial Narrow" w:hAnsi="Arial Narrow" w:cs="Arial"/>
          <w:color w:val="000000" w:themeColor="text1"/>
          <w:spacing w:val="-3"/>
          <w:lang w:eastAsia="es-ES"/>
        </w:rPr>
        <w:t xml:space="preserve">informar a </w:t>
      </w:r>
      <w:r w:rsidRPr="002C0D19">
        <w:rPr>
          <w:rFonts w:ascii="Arial Narrow" w:hAnsi="Arial Narrow" w:cs="Arial"/>
          <w:b/>
          <w:color w:val="000000" w:themeColor="text1"/>
          <w:spacing w:val="-3"/>
          <w:lang w:eastAsia="es-ES"/>
        </w:rPr>
        <w:t>EL TERCERO</w:t>
      </w:r>
      <w:r w:rsidRPr="002C0D19">
        <w:rPr>
          <w:rFonts w:ascii="Arial Narrow" w:hAnsi="Arial Narrow" w:cs="Arial"/>
          <w:color w:val="000000" w:themeColor="text1"/>
          <w:spacing w:val="-3"/>
          <w:lang w:eastAsia="es-ES"/>
        </w:rPr>
        <w:t xml:space="preserve"> sobre el estado de los </w:t>
      </w:r>
      <w:proofErr w:type="spellStart"/>
      <w:r w:rsidRPr="002C0D19">
        <w:rPr>
          <w:rFonts w:ascii="Arial Narrow" w:hAnsi="Arial Narrow" w:cs="Arial"/>
          <w:i/>
          <w:color w:val="000000" w:themeColor="text1"/>
          <w:spacing w:val="-3"/>
          <w:lang w:eastAsia="es-ES"/>
        </w:rPr>
        <w:t>Give</w:t>
      </w:r>
      <w:proofErr w:type="spellEnd"/>
      <w:r w:rsidRPr="002C0D19">
        <w:rPr>
          <w:rFonts w:ascii="Arial Narrow" w:hAnsi="Arial Narrow" w:cs="Arial"/>
          <w:i/>
          <w:color w:val="000000" w:themeColor="text1"/>
          <w:spacing w:val="-3"/>
          <w:lang w:eastAsia="es-ES"/>
        </w:rPr>
        <w:t>-Up</w:t>
      </w:r>
      <w:r w:rsidRPr="002C0D19">
        <w:rPr>
          <w:rFonts w:ascii="Arial Narrow" w:hAnsi="Arial Narrow" w:cs="Arial"/>
          <w:color w:val="000000" w:themeColor="text1"/>
          <w:spacing w:val="-3"/>
          <w:lang w:eastAsia="es-ES"/>
        </w:rPr>
        <w:t xml:space="preserve"> registrados o realizados por su cuenta.</w:t>
      </w:r>
    </w:p>
    <w:p w14:paraId="4EADD0C7" w14:textId="77777777" w:rsidR="007968EC" w:rsidRPr="002C0D19" w:rsidRDefault="007968EC" w:rsidP="007968EC">
      <w:pPr>
        <w:ind w:left="720"/>
        <w:jc w:val="both"/>
        <w:rPr>
          <w:rFonts w:ascii="Arial Narrow" w:hAnsi="Arial Narrow" w:cs="Arial"/>
          <w:color w:val="000000" w:themeColor="text1"/>
          <w:lang w:eastAsia="es-ES"/>
        </w:rPr>
      </w:pPr>
    </w:p>
    <w:p w14:paraId="7D2F3130" w14:textId="77777777" w:rsidR="007968EC" w:rsidRPr="002C0D19" w:rsidRDefault="007968EC" w:rsidP="007968EC">
      <w:pPr>
        <w:tabs>
          <w:tab w:val="left" w:pos="-900"/>
        </w:tabs>
        <w:ind w:right="20"/>
        <w:jc w:val="both"/>
        <w:rPr>
          <w:rFonts w:ascii="Arial Narrow" w:hAnsi="Arial Narrow" w:cs="Arial"/>
          <w:color w:val="000000" w:themeColor="text1"/>
          <w:lang w:eastAsia="es-ES"/>
        </w:rPr>
      </w:pPr>
      <w:r w:rsidRPr="002C0D19">
        <w:rPr>
          <w:rFonts w:ascii="Arial Narrow" w:hAnsi="Arial Narrow" w:cs="Arial"/>
          <w:b/>
          <w:color w:val="000000" w:themeColor="text1"/>
          <w:u w:val="single"/>
          <w:lang w:val="es-MX" w:eastAsia="es-ES"/>
        </w:rPr>
        <w:t>CUARTA. Terminación.</w:t>
      </w:r>
      <w:r w:rsidRPr="002C0D19">
        <w:rPr>
          <w:rFonts w:ascii="Arial Narrow" w:hAnsi="Arial Narrow" w:cs="Arial"/>
          <w:color w:val="000000" w:themeColor="text1"/>
          <w:lang w:val="es-MX" w:eastAsia="es-ES"/>
        </w:rPr>
        <w:t xml:space="preserve"> </w:t>
      </w:r>
      <w:r w:rsidRPr="002C0D19">
        <w:rPr>
          <w:rFonts w:ascii="Arial Narrow" w:hAnsi="Arial Narrow" w:cs="Arial"/>
          <w:color w:val="000000" w:themeColor="text1"/>
          <w:lang w:eastAsia="es-ES"/>
        </w:rPr>
        <w:t xml:space="preserve">Sin perjuicio de lo dispuesto en el Reglamento de Funcionamiento, </w:t>
      </w:r>
      <w:r w:rsidRPr="002C0D19">
        <w:rPr>
          <w:rFonts w:ascii="Arial Narrow" w:hAnsi="Arial Narrow" w:cs="Arial"/>
          <w:b/>
          <w:color w:val="000000" w:themeColor="text1"/>
          <w:lang w:eastAsia="es-ES"/>
        </w:rPr>
        <w:t>LAS PARTES</w:t>
      </w:r>
      <w:r w:rsidRPr="002C0D19">
        <w:rPr>
          <w:rFonts w:ascii="Arial Narrow" w:hAnsi="Arial Narrow" w:cs="Arial"/>
          <w:color w:val="000000" w:themeColor="text1"/>
          <w:lang w:eastAsia="es-ES"/>
        </w:rPr>
        <w:t xml:space="preserve"> podrán terminar en cualquier tiempo el presente convenio para la realización de </w:t>
      </w:r>
      <w:proofErr w:type="spellStart"/>
      <w:r w:rsidRPr="002C0D19">
        <w:rPr>
          <w:rFonts w:ascii="Arial Narrow" w:hAnsi="Arial Narrow" w:cs="Arial"/>
          <w:i/>
          <w:color w:val="000000" w:themeColor="text1"/>
          <w:lang w:eastAsia="es-ES"/>
        </w:rPr>
        <w:t>Give</w:t>
      </w:r>
      <w:proofErr w:type="spellEnd"/>
      <w:r w:rsidRPr="002C0D19">
        <w:rPr>
          <w:rFonts w:ascii="Arial Narrow" w:hAnsi="Arial Narrow" w:cs="Arial"/>
          <w:i/>
          <w:color w:val="000000" w:themeColor="text1"/>
          <w:lang w:eastAsia="es-ES"/>
        </w:rPr>
        <w:t>-Up</w:t>
      </w:r>
      <w:r w:rsidRPr="002C0D19">
        <w:rPr>
          <w:rFonts w:ascii="Arial Narrow" w:hAnsi="Arial Narrow" w:cs="Arial"/>
          <w:color w:val="000000" w:themeColor="text1"/>
          <w:lang w:eastAsia="es-ES"/>
        </w:rPr>
        <w:t xml:space="preserve">, mediante la entrega a las otras partes de un aviso escrito en tal sentido, remitida con no menos de treinta (30) días calendario de anticipación al día hábil en el cual desea que dicha terminación tenga efecto. La terminación del presente Convenio no afectará los derechos y obligaciones de cualquiera de </w:t>
      </w:r>
      <w:r w:rsidRPr="002C0D19">
        <w:rPr>
          <w:rFonts w:ascii="Arial Narrow" w:hAnsi="Arial Narrow" w:cs="Arial"/>
          <w:b/>
          <w:color w:val="000000" w:themeColor="text1"/>
          <w:lang w:eastAsia="es-ES"/>
        </w:rPr>
        <w:t>LAS PARTES</w:t>
      </w:r>
      <w:r w:rsidRPr="002C0D19">
        <w:rPr>
          <w:rFonts w:ascii="Arial Narrow" w:hAnsi="Arial Narrow" w:cs="Arial"/>
          <w:color w:val="000000" w:themeColor="text1"/>
          <w:lang w:eastAsia="es-ES"/>
        </w:rPr>
        <w:t xml:space="preserve"> que se deriven de Operaciones Aceptadas objeto de </w:t>
      </w:r>
      <w:proofErr w:type="spellStart"/>
      <w:r w:rsidRPr="002C0D19">
        <w:rPr>
          <w:rFonts w:ascii="Arial Narrow" w:hAnsi="Arial Narrow" w:cs="Arial"/>
          <w:i/>
          <w:color w:val="000000" w:themeColor="text1"/>
          <w:lang w:eastAsia="es-ES"/>
        </w:rPr>
        <w:t>Give</w:t>
      </w:r>
      <w:proofErr w:type="spellEnd"/>
      <w:r w:rsidRPr="002C0D19">
        <w:rPr>
          <w:rFonts w:ascii="Arial Narrow" w:hAnsi="Arial Narrow" w:cs="Arial"/>
          <w:i/>
          <w:color w:val="000000" w:themeColor="text1"/>
          <w:lang w:eastAsia="es-ES"/>
        </w:rPr>
        <w:t>-Up</w:t>
      </w:r>
      <w:r w:rsidRPr="002C0D19">
        <w:rPr>
          <w:rFonts w:ascii="Arial Narrow" w:hAnsi="Arial Narrow" w:cs="Arial"/>
          <w:color w:val="000000" w:themeColor="text1"/>
          <w:lang w:eastAsia="es-ES"/>
        </w:rPr>
        <w:t xml:space="preserve"> con anterioridad a tal terminación.</w:t>
      </w:r>
    </w:p>
    <w:p w14:paraId="167F08E8" w14:textId="77777777" w:rsidR="007968EC" w:rsidRPr="002C0D19" w:rsidRDefault="007968EC" w:rsidP="007968EC">
      <w:pPr>
        <w:tabs>
          <w:tab w:val="left" w:pos="-900"/>
        </w:tabs>
        <w:ind w:right="20"/>
        <w:jc w:val="both"/>
        <w:rPr>
          <w:rFonts w:ascii="Arial Narrow" w:hAnsi="Arial Narrow" w:cs="Arial"/>
          <w:color w:val="000000" w:themeColor="text1"/>
          <w:lang w:val="es-ES" w:eastAsia="es-ES"/>
        </w:rPr>
      </w:pPr>
    </w:p>
    <w:p w14:paraId="22857989" w14:textId="77777777" w:rsidR="007968EC" w:rsidRPr="002C0D19" w:rsidRDefault="007968EC" w:rsidP="007968EC">
      <w:pPr>
        <w:tabs>
          <w:tab w:val="left" w:pos="142"/>
        </w:tabs>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 xml:space="preserve">Igualmente, habrá lugar a la terminación unilateral si se presenta un incumplimiento de alguna de las obligaciones a cargo de cualquiera de </w:t>
      </w:r>
      <w:r w:rsidRPr="002C0D19">
        <w:rPr>
          <w:rFonts w:ascii="Arial Narrow" w:hAnsi="Arial Narrow" w:cs="Arial"/>
          <w:b/>
          <w:color w:val="000000" w:themeColor="text1"/>
          <w:lang w:eastAsia="es-ES"/>
        </w:rPr>
        <w:t>LAS PARTES</w:t>
      </w:r>
      <w:r w:rsidRPr="002C0D19">
        <w:rPr>
          <w:rFonts w:ascii="Arial Narrow" w:hAnsi="Arial Narrow" w:cs="Arial"/>
          <w:color w:val="000000" w:themeColor="text1"/>
          <w:lang w:eastAsia="es-ES"/>
        </w:rPr>
        <w:t xml:space="preserve">. </w:t>
      </w:r>
    </w:p>
    <w:p w14:paraId="75943AA8" w14:textId="77777777" w:rsidR="007968EC" w:rsidRPr="002C0D19" w:rsidRDefault="007968EC" w:rsidP="007968EC">
      <w:pPr>
        <w:tabs>
          <w:tab w:val="left" w:pos="142"/>
        </w:tabs>
        <w:jc w:val="both"/>
        <w:rPr>
          <w:rFonts w:ascii="Arial Narrow" w:hAnsi="Arial Narrow" w:cs="Arial"/>
          <w:color w:val="000000" w:themeColor="text1"/>
          <w:lang w:eastAsia="es-ES"/>
        </w:rPr>
      </w:pPr>
    </w:p>
    <w:p w14:paraId="529B4095" w14:textId="77777777" w:rsidR="007968EC" w:rsidRPr="002C0D19" w:rsidRDefault="007968EC" w:rsidP="007968EC">
      <w:pPr>
        <w:jc w:val="both"/>
        <w:rPr>
          <w:rFonts w:ascii="Arial Narrow" w:hAnsi="Arial Narrow" w:cs="Arial"/>
          <w:color w:val="000000" w:themeColor="text1"/>
          <w:lang w:val="es-MX" w:eastAsia="es-ES"/>
        </w:rPr>
      </w:pPr>
      <w:r w:rsidRPr="002C0D19">
        <w:rPr>
          <w:rFonts w:ascii="Arial Narrow" w:hAnsi="Arial Narrow" w:cs="Arial"/>
          <w:b/>
          <w:bCs/>
          <w:color w:val="000000" w:themeColor="text1"/>
          <w:u w:val="single"/>
          <w:lang w:eastAsia="es-ES"/>
        </w:rPr>
        <w:t>QUINTA. Cesión y subcontratación.</w:t>
      </w:r>
      <w:r w:rsidRPr="002C0D19">
        <w:rPr>
          <w:rFonts w:ascii="Arial Narrow" w:hAnsi="Arial Narrow" w:cs="Arial"/>
          <w:bCs/>
          <w:color w:val="000000" w:themeColor="text1"/>
          <w:lang w:eastAsia="es-ES"/>
        </w:rPr>
        <w:t xml:space="preserve"> </w:t>
      </w:r>
      <w:r w:rsidRPr="002C0D19">
        <w:rPr>
          <w:rFonts w:ascii="Arial Narrow" w:hAnsi="Arial Narrow" w:cs="Arial"/>
          <w:b/>
          <w:bCs/>
          <w:color w:val="000000" w:themeColor="text1"/>
          <w:lang w:eastAsia="es-ES"/>
        </w:rPr>
        <w:t>LAS PARTES</w:t>
      </w:r>
      <w:r w:rsidRPr="002C0D19">
        <w:rPr>
          <w:rFonts w:ascii="Arial Narrow" w:hAnsi="Arial Narrow" w:cs="Arial"/>
          <w:bCs/>
          <w:color w:val="000000" w:themeColor="text1"/>
          <w:lang w:eastAsia="es-ES"/>
        </w:rPr>
        <w:t xml:space="preserve"> </w:t>
      </w:r>
      <w:r w:rsidRPr="002C0D19">
        <w:rPr>
          <w:rFonts w:ascii="Arial Narrow" w:hAnsi="Arial Narrow" w:cs="Arial"/>
          <w:color w:val="000000" w:themeColor="text1"/>
          <w:lang w:eastAsia="es-ES"/>
        </w:rPr>
        <w:t>no podrán ceder ni subcontratar total o parcialmente el presente Contrato</w:t>
      </w:r>
      <w:r w:rsidRPr="002C0D19">
        <w:rPr>
          <w:rFonts w:ascii="Arial Narrow" w:hAnsi="Arial Narrow" w:cs="Arial"/>
          <w:color w:val="000000" w:themeColor="text1"/>
          <w:lang w:val="es-MX" w:eastAsia="es-ES"/>
        </w:rPr>
        <w:t xml:space="preserve">. </w:t>
      </w:r>
    </w:p>
    <w:p w14:paraId="29097038" w14:textId="77777777" w:rsidR="007968EC" w:rsidRPr="002C0D19" w:rsidRDefault="007968EC" w:rsidP="007968EC">
      <w:pPr>
        <w:jc w:val="both"/>
        <w:rPr>
          <w:rFonts w:ascii="Arial Narrow" w:hAnsi="Arial Narrow" w:cs="Arial"/>
          <w:color w:val="000000" w:themeColor="text1"/>
          <w:lang w:val="es-MX" w:eastAsia="es-ES"/>
        </w:rPr>
      </w:pPr>
    </w:p>
    <w:p w14:paraId="6A22D0E2" w14:textId="77777777" w:rsidR="007968EC" w:rsidRPr="002C0D19" w:rsidRDefault="007968EC" w:rsidP="007968EC">
      <w:pPr>
        <w:jc w:val="both"/>
        <w:rPr>
          <w:rFonts w:ascii="Arial Narrow" w:hAnsi="Arial Narrow" w:cs="Arial"/>
          <w:color w:val="000000" w:themeColor="text1"/>
          <w:lang w:val="es-ES_tradnl" w:eastAsia="es-ES"/>
        </w:rPr>
      </w:pPr>
      <w:r w:rsidRPr="002C0D19">
        <w:rPr>
          <w:rFonts w:ascii="Arial Narrow" w:hAnsi="Arial Narrow" w:cs="Arial"/>
          <w:b/>
          <w:bCs/>
          <w:color w:val="000000" w:themeColor="text1"/>
          <w:u w:val="single"/>
          <w:lang w:eastAsia="es-ES"/>
        </w:rPr>
        <w:t>SEXTA. Cláusula Compromisoria.</w:t>
      </w:r>
      <w:r w:rsidRPr="002C0D19">
        <w:rPr>
          <w:rFonts w:ascii="Arial Narrow" w:hAnsi="Arial Narrow" w:cs="Arial"/>
          <w:color w:val="000000" w:themeColor="text1"/>
          <w:lang w:eastAsia="es-ES"/>
        </w:rPr>
        <w:t xml:space="preserve"> </w:t>
      </w:r>
      <w:r w:rsidRPr="002C0D19">
        <w:rPr>
          <w:rFonts w:ascii="Arial Narrow" w:hAnsi="Arial Narrow" w:cs="Arial"/>
          <w:color w:val="000000" w:themeColor="text1"/>
          <w:lang w:val="es-ES_tradnl" w:eastAsia="es-ES"/>
        </w:rPr>
        <w:t xml:space="preserve">Todas las diferencias que ocurran entre </w:t>
      </w:r>
      <w:r w:rsidRPr="002C0D19">
        <w:rPr>
          <w:rFonts w:ascii="Arial Narrow" w:hAnsi="Arial Narrow" w:cs="Arial"/>
          <w:b/>
          <w:color w:val="000000" w:themeColor="text1"/>
          <w:lang w:val="es-ES_tradnl" w:eastAsia="es-ES"/>
        </w:rPr>
        <w:t>LAS PARTES</w:t>
      </w:r>
      <w:r w:rsidRPr="002C0D19">
        <w:rPr>
          <w:rFonts w:ascii="Arial Narrow" w:hAnsi="Arial Narrow" w:cs="Arial"/>
          <w:color w:val="000000" w:themeColor="text1"/>
          <w:lang w:val="es-ES_tradnl" w:eastAsia="es-ES"/>
        </w:rPr>
        <w:t xml:space="preserve"> con ocasión del presente Contrato y que no puedan solucionarse por acuerdo directo entre ellas, en un plazo que no podrá exceder de dos (2) meses contados a partir de la fecha del evento que generó la diferencia, serán resueltas por un Tribunal de Arbitramento. Cuando la cuantía de las pretensiones supere los mil (1000) salarios mínimos legales mensuales vigentes en Colombia, el Tribunal de Arbitramento estará conformado por tres (3) árbitros, los cuales serán designados por </w:t>
      </w:r>
      <w:r w:rsidRPr="002C0D19">
        <w:rPr>
          <w:rFonts w:ascii="Arial Narrow" w:hAnsi="Arial Narrow" w:cs="Arial"/>
          <w:b/>
          <w:color w:val="000000" w:themeColor="text1"/>
          <w:lang w:val="es-ES_tradnl" w:eastAsia="es-ES"/>
        </w:rPr>
        <w:t>LAS PARTES</w:t>
      </w:r>
      <w:r w:rsidRPr="002C0D19">
        <w:rPr>
          <w:rFonts w:ascii="Arial Narrow" w:hAnsi="Arial Narrow" w:cs="Arial"/>
          <w:color w:val="000000" w:themeColor="text1"/>
          <w:lang w:val="es-ES_tradnl" w:eastAsia="es-ES"/>
        </w:rPr>
        <w:t xml:space="preserve"> dentro de los quince (15) días hábiles siguientes al vencimiento del plazo de dos (2) meses de acuerdo directo, o a falta de acuerdo, mediante sorteo entre los árbitros inscritos en el Centro de Arbitraje y Conciliación de la Cámara de Comercio de Bogotá. En caso de que la cuantía de las pretensiones sea igual o inferior a mil (1000) salarios mínimos legales mensuales vigentes en Colombia, el Tribunal de Arbitramento estará conformado por un (1) árbitro, el cual será designado por </w:t>
      </w:r>
      <w:r w:rsidRPr="002C0D19">
        <w:rPr>
          <w:rFonts w:ascii="Arial Narrow" w:hAnsi="Arial Narrow" w:cs="Arial"/>
          <w:b/>
          <w:color w:val="000000" w:themeColor="text1"/>
          <w:lang w:val="es-ES_tradnl" w:eastAsia="es-ES"/>
        </w:rPr>
        <w:t>LAS PARTES</w:t>
      </w:r>
      <w:r w:rsidRPr="002C0D19">
        <w:rPr>
          <w:rFonts w:ascii="Arial Narrow" w:hAnsi="Arial Narrow" w:cs="Arial"/>
          <w:color w:val="000000" w:themeColor="text1"/>
          <w:lang w:val="es-ES_tradnl" w:eastAsia="es-ES"/>
        </w:rPr>
        <w:t xml:space="preserve"> dentro de los quince (15) días hábiles siguientes al vencimiento del plazo de dos (2) meses de acuerdo directo, o a falta de acuerdo, por sorteo entre los árbitros inscritos en el Centro de </w:t>
      </w:r>
      <w:r w:rsidRPr="002C0D19">
        <w:rPr>
          <w:rFonts w:ascii="Arial Narrow" w:hAnsi="Arial Narrow" w:cs="Arial"/>
          <w:color w:val="000000" w:themeColor="text1"/>
          <w:lang w:val="es-ES_tradnl" w:eastAsia="es-ES"/>
        </w:rPr>
        <w:lastRenderedPageBreak/>
        <w:t xml:space="preserve">Arbitraje y Conciliación de la Cámara de Comercio de Bogotá. El o los árbitros designados serán Abogados inscritos y fallarán en derecho. El Tribunal de Arbitramento tendrá sede en la ciudad de Bogotá, sus honorarios se calcularán de acuerdo con las tarifas del Centro de Arbitraje y Conciliación de la Cámara de Comercio de Bogotá y se regirá por las leyes colombianas. </w:t>
      </w:r>
    </w:p>
    <w:p w14:paraId="54B46550" w14:textId="77777777" w:rsidR="007968EC" w:rsidRPr="002C0D19" w:rsidRDefault="007968EC" w:rsidP="007968EC">
      <w:pPr>
        <w:jc w:val="both"/>
        <w:rPr>
          <w:rFonts w:ascii="Arial Narrow" w:hAnsi="Arial Narrow" w:cs="Arial"/>
          <w:color w:val="000000" w:themeColor="text1"/>
          <w:lang w:val="es-ES_tradnl" w:eastAsia="es-ES"/>
        </w:rPr>
      </w:pPr>
    </w:p>
    <w:p w14:paraId="279F8787"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b/>
          <w:color w:val="000000" w:themeColor="text1"/>
          <w:u w:val="single"/>
          <w:lang w:val="es-ES_tradnl" w:eastAsia="es-ES"/>
        </w:rPr>
        <w:t xml:space="preserve">SÉPTIMA. </w:t>
      </w:r>
      <w:r w:rsidRPr="002C0D19">
        <w:rPr>
          <w:rFonts w:ascii="Arial Narrow" w:hAnsi="Arial Narrow" w:cs="Arial"/>
          <w:b/>
          <w:color w:val="000000" w:themeColor="text1"/>
          <w:u w:val="single"/>
          <w:lang w:eastAsia="es-ES"/>
        </w:rPr>
        <w:t>Mérito Ejecutivo.</w:t>
      </w:r>
      <w:r w:rsidRPr="002C0D19">
        <w:rPr>
          <w:rFonts w:ascii="Arial Narrow" w:hAnsi="Arial Narrow" w:cs="Arial"/>
          <w:b/>
          <w:color w:val="000000" w:themeColor="text1"/>
          <w:lang w:eastAsia="es-ES"/>
        </w:rPr>
        <w:t xml:space="preserve"> LAS PARTES</w:t>
      </w:r>
      <w:r w:rsidRPr="002C0D19">
        <w:rPr>
          <w:rFonts w:ascii="Arial Narrow" w:hAnsi="Arial Narrow" w:cs="Arial"/>
          <w:color w:val="000000" w:themeColor="text1"/>
          <w:lang w:eastAsia="es-ES"/>
        </w:rPr>
        <w:t xml:space="preserve"> reconocen y aceptan que el presente Contrato</w:t>
      </w:r>
      <w:r w:rsidRPr="002C0D19" w:rsidDel="00CA2BCF">
        <w:rPr>
          <w:rFonts w:ascii="Arial Narrow" w:hAnsi="Arial Narrow" w:cs="Arial"/>
          <w:color w:val="000000" w:themeColor="text1"/>
          <w:lang w:eastAsia="es-ES"/>
        </w:rPr>
        <w:t xml:space="preserve"> </w:t>
      </w:r>
      <w:r w:rsidRPr="002C0D19">
        <w:rPr>
          <w:rFonts w:ascii="Arial Narrow" w:hAnsi="Arial Narrow" w:cs="Arial"/>
          <w:color w:val="000000" w:themeColor="text1"/>
          <w:lang w:eastAsia="es-ES"/>
        </w:rPr>
        <w:t>prestará mérito ejecutivo para solicitar el cumplimiento de las obligaciones a cargo de las mismas, sin necesidad de requerimiento en mora judicial o extrajudicial.</w:t>
      </w:r>
    </w:p>
    <w:p w14:paraId="2E1F1B3D" w14:textId="77777777" w:rsidR="007968EC" w:rsidRPr="002C0D19" w:rsidRDefault="007968EC" w:rsidP="007968EC">
      <w:pPr>
        <w:jc w:val="both"/>
        <w:rPr>
          <w:rFonts w:ascii="Arial Narrow" w:hAnsi="Arial Narrow" w:cs="Arial"/>
          <w:color w:val="000000" w:themeColor="text1"/>
          <w:u w:val="single"/>
          <w:lang w:eastAsia="es-ES"/>
        </w:rPr>
      </w:pPr>
    </w:p>
    <w:p w14:paraId="7A64BACA" w14:textId="77777777" w:rsidR="007968EC" w:rsidRPr="002C0D19" w:rsidRDefault="007968EC" w:rsidP="007968EC">
      <w:pPr>
        <w:ind w:right="20"/>
        <w:jc w:val="both"/>
        <w:rPr>
          <w:rFonts w:ascii="Arial Narrow" w:hAnsi="Arial Narrow" w:cs="Arial"/>
          <w:color w:val="000000" w:themeColor="text1"/>
          <w:lang w:eastAsia="es-ES"/>
        </w:rPr>
      </w:pPr>
      <w:r w:rsidRPr="002C0D19">
        <w:rPr>
          <w:rFonts w:ascii="Arial Narrow" w:hAnsi="Arial Narrow" w:cs="Arial"/>
          <w:b/>
          <w:color w:val="000000" w:themeColor="text1"/>
          <w:u w:val="single"/>
          <w:lang w:eastAsia="es-ES"/>
        </w:rPr>
        <w:t>OCTAVA. Interpretación</w:t>
      </w:r>
      <w:r w:rsidRPr="002C0D19">
        <w:rPr>
          <w:rFonts w:ascii="Arial Narrow" w:hAnsi="Arial Narrow" w:cs="Arial"/>
          <w:color w:val="000000" w:themeColor="text1"/>
          <w:lang w:eastAsia="es-ES"/>
        </w:rPr>
        <w:t xml:space="preserve">. Para todos los efectos del presente Contrato, los términos usados en mayúscula, tendrá el significado dado en el Reglamento de Funcionamiento y en la Circular de </w:t>
      </w:r>
      <w:r w:rsidRPr="002C0D19">
        <w:rPr>
          <w:rFonts w:ascii="Arial Narrow" w:hAnsi="Arial Narrow" w:cs="Arial"/>
          <w:b/>
          <w:color w:val="000000" w:themeColor="text1"/>
          <w:lang w:eastAsia="es-ES"/>
        </w:rPr>
        <w:t>LA CRCC</w:t>
      </w:r>
      <w:r w:rsidRPr="002C0D19">
        <w:rPr>
          <w:rFonts w:ascii="Arial Narrow" w:hAnsi="Arial Narrow" w:cs="Arial"/>
          <w:color w:val="000000" w:themeColor="text1"/>
          <w:lang w:eastAsia="es-ES"/>
        </w:rPr>
        <w:t>.</w:t>
      </w:r>
    </w:p>
    <w:p w14:paraId="055ECA1A" w14:textId="77777777" w:rsidR="007968EC" w:rsidRPr="002C0D19" w:rsidRDefault="007968EC" w:rsidP="007968EC">
      <w:pPr>
        <w:ind w:right="20"/>
        <w:jc w:val="both"/>
        <w:rPr>
          <w:rFonts w:ascii="Arial Narrow" w:hAnsi="Arial Narrow" w:cs="Arial"/>
          <w:color w:val="000000" w:themeColor="text1"/>
          <w:lang w:eastAsia="es-ES"/>
        </w:rPr>
      </w:pPr>
    </w:p>
    <w:p w14:paraId="207BFE85"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b/>
          <w:color w:val="000000" w:themeColor="text1"/>
          <w:u w:val="single"/>
          <w:lang w:eastAsia="es-ES"/>
        </w:rPr>
        <w:t>NOVENA. Vigencia</w:t>
      </w:r>
      <w:r w:rsidRPr="002C0D19">
        <w:rPr>
          <w:rFonts w:ascii="Arial Narrow" w:hAnsi="Arial Narrow" w:cs="Arial"/>
          <w:b/>
          <w:color w:val="000000" w:themeColor="text1"/>
          <w:lang w:eastAsia="es-ES"/>
        </w:rPr>
        <w:t>.</w:t>
      </w:r>
      <w:r w:rsidRPr="002C0D19">
        <w:rPr>
          <w:rFonts w:ascii="Arial Narrow" w:hAnsi="Arial Narrow" w:cs="Arial"/>
          <w:color w:val="000000" w:themeColor="text1"/>
          <w:lang w:eastAsia="es-ES"/>
        </w:rPr>
        <w:t xml:space="preserve"> Los términos y condiciones del presente Contrato estarán vigentes en forma indefinida. </w:t>
      </w:r>
    </w:p>
    <w:p w14:paraId="4FDFFB33" w14:textId="77777777" w:rsidR="007968EC" w:rsidRPr="002C0D19" w:rsidRDefault="007968EC" w:rsidP="007968EC">
      <w:pPr>
        <w:jc w:val="both"/>
        <w:rPr>
          <w:rFonts w:ascii="Arial Narrow" w:hAnsi="Arial Narrow" w:cs="Arial"/>
          <w:color w:val="000000" w:themeColor="text1"/>
          <w:lang w:eastAsia="es-ES"/>
        </w:rPr>
      </w:pPr>
    </w:p>
    <w:p w14:paraId="5EB4A6EC" w14:textId="77777777" w:rsidR="007968EC" w:rsidRPr="002C0D19" w:rsidRDefault="007968EC" w:rsidP="007968EC">
      <w:pPr>
        <w:ind w:right="20"/>
        <w:jc w:val="both"/>
        <w:rPr>
          <w:rFonts w:ascii="Arial Narrow" w:hAnsi="Arial Narrow" w:cs="Arial"/>
          <w:color w:val="000000" w:themeColor="text1"/>
          <w:lang w:val="es-ES_tradnl" w:eastAsia="es-ES"/>
        </w:rPr>
      </w:pPr>
      <w:r w:rsidRPr="002C0D19">
        <w:rPr>
          <w:rFonts w:ascii="Arial Narrow" w:hAnsi="Arial Narrow" w:cs="Arial"/>
          <w:b/>
          <w:color w:val="000000" w:themeColor="text1"/>
          <w:u w:val="single"/>
          <w:lang w:val="es-ES_tradnl" w:eastAsia="es-ES"/>
        </w:rPr>
        <w:t>DÉCIMA. Notificaciones.</w:t>
      </w:r>
      <w:r w:rsidRPr="002C0D19">
        <w:rPr>
          <w:rFonts w:ascii="Arial Narrow" w:hAnsi="Arial Narrow" w:cs="Arial"/>
          <w:color w:val="000000" w:themeColor="text1"/>
          <w:lang w:val="es-ES_tradnl" w:eastAsia="es-ES"/>
        </w:rPr>
        <w:t xml:space="preserve"> Todas las notificaciones y comunicaciones relacionadas con el presente Contrato, se harán por escrito y se enviará a las siguientes direcciones:</w:t>
      </w:r>
    </w:p>
    <w:p w14:paraId="53748BF1" w14:textId="77777777" w:rsidR="007968EC" w:rsidRPr="002C0D19" w:rsidRDefault="007968EC" w:rsidP="007968EC">
      <w:pPr>
        <w:tabs>
          <w:tab w:val="left" w:pos="2629"/>
        </w:tabs>
        <w:jc w:val="both"/>
        <w:rPr>
          <w:rFonts w:ascii="Arial Narrow" w:hAnsi="Arial Narrow" w:cs="Arial"/>
          <w:color w:val="000000" w:themeColor="text1"/>
          <w:lang w:val="es-ES_tradnl" w:eastAsia="es-ES"/>
        </w:rPr>
      </w:pPr>
    </w:p>
    <w:p w14:paraId="39297F15" w14:textId="77777777" w:rsidR="007968EC" w:rsidRPr="002C0D19" w:rsidRDefault="007968EC" w:rsidP="007968EC">
      <w:pPr>
        <w:jc w:val="both"/>
        <w:rPr>
          <w:rFonts w:ascii="Arial Narrow" w:hAnsi="Arial Narrow" w:cs="Arial"/>
          <w:b/>
          <w:color w:val="000000" w:themeColor="text1"/>
          <w:lang w:val="es-ES_tradnl" w:eastAsia="es-ES"/>
        </w:rPr>
      </w:pPr>
      <w:r w:rsidRPr="002C0D19">
        <w:rPr>
          <w:rFonts w:ascii="Arial Narrow" w:hAnsi="Arial Narrow" w:cs="Arial"/>
          <w:b/>
          <w:color w:val="000000" w:themeColor="text1"/>
          <w:lang w:val="es-ES_tradnl" w:eastAsia="es-ES"/>
        </w:rPr>
        <w:t>EL MIEMBRO:</w:t>
      </w:r>
      <w:r w:rsidRPr="002C0D19">
        <w:rPr>
          <w:rFonts w:ascii="Arial Narrow" w:hAnsi="Arial Narrow" w:cs="Arial"/>
          <w:b/>
          <w:color w:val="000000" w:themeColor="text1"/>
          <w:lang w:val="es-ES_tradnl" w:eastAsia="es-ES"/>
        </w:rPr>
        <w:tab/>
      </w:r>
    </w:p>
    <w:p w14:paraId="07FD1D00"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t>Fax:</w:t>
      </w:r>
    </w:p>
    <w:p w14:paraId="144E50B6"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r>
      <w:r w:rsidRPr="002C0D19">
        <w:rPr>
          <w:rFonts w:ascii="Arial Narrow" w:hAnsi="Arial Narrow" w:cs="Arial"/>
          <w:color w:val="000000" w:themeColor="text1"/>
          <w:lang w:val="es-ES" w:eastAsia="es-ES"/>
        </w:rPr>
        <w:t>Dirección</w:t>
      </w:r>
      <w:r w:rsidRPr="002C0D19">
        <w:rPr>
          <w:rFonts w:ascii="Arial Narrow" w:hAnsi="Arial Narrow" w:cs="Arial"/>
          <w:color w:val="000000" w:themeColor="text1"/>
          <w:lang w:eastAsia="es-ES"/>
        </w:rPr>
        <w:t>:</w:t>
      </w:r>
    </w:p>
    <w:p w14:paraId="1B7B0314"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t xml:space="preserve">Ciudad: </w:t>
      </w:r>
    </w:p>
    <w:p w14:paraId="5931C924" w14:textId="77777777" w:rsidR="007968EC" w:rsidRPr="002C0D19" w:rsidRDefault="007968EC" w:rsidP="007968EC">
      <w:pPr>
        <w:ind w:right="163"/>
        <w:jc w:val="both"/>
        <w:rPr>
          <w:rFonts w:ascii="Arial Narrow" w:hAnsi="Arial Narrow" w:cs="Arial"/>
          <w:color w:val="000000" w:themeColor="text1"/>
          <w:lang w:eastAsia="es-ES"/>
        </w:rPr>
      </w:pPr>
    </w:p>
    <w:p w14:paraId="65FE50BA" w14:textId="77777777" w:rsidR="007968EC" w:rsidRPr="002C0D19" w:rsidRDefault="007968EC" w:rsidP="007968EC">
      <w:pPr>
        <w:jc w:val="both"/>
        <w:rPr>
          <w:rFonts w:ascii="Arial Narrow" w:hAnsi="Arial Narrow" w:cs="Arial"/>
          <w:b/>
          <w:color w:val="000000" w:themeColor="text1"/>
          <w:lang w:val="es-ES_tradnl" w:eastAsia="es-ES"/>
        </w:rPr>
      </w:pPr>
      <w:r w:rsidRPr="002C0D19">
        <w:rPr>
          <w:rFonts w:ascii="Arial Narrow" w:hAnsi="Arial Narrow" w:cs="Arial"/>
          <w:b/>
          <w:color w:val="000000" w:themeColor="text1"/>
          <w:lang w:val="es-ES_tradnl" w:eastAsia="es-ES"/>
        </w:rPr>
        <w:t>EL MIEMBRO:</w:t>
      </w:r>
      <w:r w:rsidRPr="002C0D19">
        <w:rPr>
          <w:rFonts w:ascii="Arial Narrow" w:hAnsi="Arial Narrow" w:cs="Arial"/>
          <w:b/>
          <w:color w:val="000000" w:themeColor="text1"/>
          <w:lang w:val="es-ES_tradnl" w:eastAsia="es-ES"/>
        </w:rPr>
        <w:tab/>
      </w:r>
    </w:p>
    <w:p w14:paraId="686BE9ED"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t xml:space="preserve">Fax:  </w:t>
      </w:r>
    </w:p>
    <w:p w14:paraId="0EFA1AB1"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r>
      <w:r w:rsidRPr="002C0D19">
        <w:rPr>
          <w:rFonts w:ascii="Arial Narrow" w:hAnsi="Arial Narrow" w:cs="Arial"/>
          <w:color w:val="000000" w:themeColor="text1"/>
          <w:lang w:val="es-ES" w:eastAsia="es-ES"/>
        </w:rPr>
        <w:t>Dirección</w:t>
      </w:r>
      <w:r w:rsidRPr="002C0D19">
        <w:rPr>
          <w:rFonts w:ascii="Arial Narrow" w:hAnsi="Arial Narrow" w:cs="Arial"/>
          <w:color w:val="000000" w:themeColor="text1"/>
          <w:lang w:eastAsia="es-ES"/>
        </w:rPr>
        <w:t xml:space="preserve">: </w:t>
      </w:r>
    </w:p>
    <w:p w14:paraId="2BDEB9DD"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t xml:space="preserve">Ciudad: </w:t>
      </w:r>
    </w:p>
    <w:p w14:paraId="1A8D2AA7" w14:textId="77777777" w:rsidR="007968EC" w:rsidRPr="002C0D19" w:rsidRDefault="007968EC" w:rsidP="007968EC">
      <w:pPr>
        <w:ind w:right="163"/>
        <w:jc w:val="both"/>
        <w:rPr>
          <w:rFonts w:ascii="Arial Narrow" w:hAnsi="Arial Narrow" w:cs="Arial"/>
          <w:color w:val="000000" w:themeColor="text1"/>
          <w:lang w:eastAsia="es-ES"/>
        </w:rPr>
      </w:pPr>
    </w:p>
    <w:p w14:paraId="34AA1A91" w14:textId="77777777" w:rsidR="007968EC" w:rsidRPr="002C0D19" w:rsidRDefault="007968EC" w:rsidP="007968EC">
      <w:pPr>
        <w:tabs>
          <w:tab w:val="left" w:pos="2629"/>
        </w:tabs>
        <w:jc w:val="both"/>
        <w:rPr>
          <w:rFonts w:ascii="Arial Narrow" w:hAnsi="Arial Narrow" w:cs="Arial"/>
          <w:b/>
          <w:color w:val="000000" w:themeColor="text1"/>
          <w:lang w:val="es-ES_tradnl" w:eastAsia="es-ES"/>
        </w:rPr>
      </w:pPr>
      <w:r w:rsidRPr="002C0D19">
        <w:rPr>
          <w:rFonts w:ascii="Arial Narrow" w:hAnsi="Arial Narrow" w:cs="Arial"/>
          <w:b/>
          <w:color w:val="000000" w:themeColor="text1"/>
          <w:lang w:val="es-ES_tradnl" w:eastAsia="es-ES"/>
        </w:rPr>
        <w:t xml:space="preserve">EL TERCERO: </w:t>
      </w:r>
    </w:p>
    <w:p w14:paraId="7CC9F49B"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t>Fax:</w:t>
      </w:r>
    </w:p>
    <w:p w14:paraId="6AB9C688"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r>
      <w:r w:rsidRPr="002C0D19">
        <w:rPr>
          <w:rFonts w:ascii="Arial Narrow" w:hAnsi="Arial Narrow" w:cs="Arial"/>
          <w:color w:val="000000" w:themeColor="text1"/>
          <w:lang w:val="es-ES" w:eastAsia="es-ES"/>
        </w:rPr>
        <w:t>Dirección</w:t>
      </w:r>
      <w:r w:rsidRPr="002C0D19">
        <w:rPr>
          <w:rFonts w:ascii="Arial Narrow" w:hAnsi="Arial Narrow" w:cs="Arial"/>
          <w:color w:val="000000" w:themeColor="text1"/>
          <w:lang w:eastAsia="es-ES"/>
        </w:rPr>
        <w:t>:</w:t>
      </w:r>
    </w:p>
    <w:p w14:paraId="740242B8"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t xml:space="preserve">Ciudad: </w:t>
      </w:r>
    </w:p>
    <w:p w14:paraId="15C67B97" w14:textId="77777777" w:rsidR="007968EC" w:rsidRPr="002C0D19" w:rsidRDefault="007968EC" w:rsidP="007968EC">
      <w:pPr>
        <w:ind w:right="163"/>
        <w:jc w:val="both"/>
        <w:rPr>
          <w:rFonts w:ascii="Arial Narrow" w:hAnsi="Arial Narrow" w:cs="Arial"/>
          <w:color w:val="000000" w:themeColor="text1"/>
          <w:lang w:eastAsia="es-ES"/>
        </w:rPr>
      </w:pPr>
    </w:p>
    <w:p w14:paraId="7A801550" w14:textId="77777777" w:rsidR="007968EC" w:rsidRPr="002C0D19" w:rsidRDefault="007968EC" w:rsidP="007968EC">
      <w:pPr>
        <w:ind w:right="163"/>
        <w:jc w:val="both"/>
        <w:rPr>
          <w:rFonts w:ascii="Arial Narrow" w:hAnsi="Arial Narrow" w:cs="Arial"/>
          <w:color w:val="000000" w:themeColor="text1"/>
          <w:lang w:eastAsia="es-ES"/>
        </w:rPr>
      </w:pPr>
    </w:p>
    <w:p w14:paraId="1EBE8684"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Para constancia, se firma en _____________, el día ______________ (____) del mes de _____________ del año dos mil ___________ (____). </w:t>
      </w:r>
    </w:p>
    <w:p w14:paraId="0E3B3186" w14:textId="77777777" w:rsidR="007968EC" w:rsidRPr="002C0D19" w:rsidRDefault="007968EC" w:rsidP="007968EC">
      <w:pPr>
        <w:jc w:val="both"/>
        <w:rPr>
          <w:rFonts w:ascii="Arial Narrow" w:hAnsi="Arial Narrow" w:cs="Arial"/>
          <w:bCs/>
          <w:color w:val="000000" w:themeColor="text1"/>
          <w:lang w:val="es-ES" w:eastAsia="es-ES"/>
        </w:rPr>
      </w:pPr>
    </w:p>
    <w:p w14:paraId="0FE7A4AB" w14:textId="77777777" w:rsidR="007968EC" w:rsidRPr="002C0D19" w:rsidRDefault="007968EC" w:rsidP="007968EC">
      <w:pPr>
        <w:jc w:val="both"/>
        <w:rPr>
          <w:rFonts w:ascii="Arial Narrow" w:hAnsi="Arial Narrow" w:cs="Arial"/>
          <w:b/>
          <w:bCs/>
          <w:color w:val="000000" w:themeColor="text1"/>
          <w:lang w:val="es-ES" w:eastAsia="es-ES"/>
        </w:rPr>
      </w:pPr>
      <w:r w:rsidRPr="002C0D19">
        <w:rPr>
          <w:rFonts w:ascii="Arial Narrow" w:hAnsi="Arial Narrow" w:cs="Arial"/>
          <w:b/>
          <w:bCs/>
          <w:color w:val="000000" w:themeColor="text1"/>
          <w:lang w:val="es-ES" w:eastAsia="es-ES"/>
        </w:rPr>
        <w:t>EL MIEMBRO</w:t>
      </w:r>
    </w:p>
    <w:p w14:paraId="44A4F66F" w14:textId="77777777" w:rsidR="007968EC" w:rsidRPr="002C0D19" w:rsidRDefault="007968EC" w:rsidP="007968EC">
      <w:pPr>
        <w:jc w:val="both"/>
        <w:rPr>
          <w:rFonts w:ascii="Arial Narrow" w:hAnsi="Arial Narrow" w:cs="Arial"/>
          <w:bCs/>
          <w:color w:val="000000" w:themeColor="text1"/>
          <w:lang w:val="es-ES" w:eastAsia="es-ES"/>
        </w:rPr>
      </w:pPr>
    </w:p>
    <w:p w14:paraId="078ED0A7" w14:textId="77777777" w:rsidR="007968EC" w:rsidRPr="002C0D19" w:rsidRDefault="007968EC" w:rsidP="007968EC">
      <w:pPr>
        <w:jc w:val="both"/>
        <w:rPr>
          <w:rFonts w:ascii="Arial Narrow" w:hAnsi="Arial Narrow" w:cs="Arial"/>
          <w:color w:val="000000" w:themeColor="text1"/>
          <w:spacing w:val="-3"/>
          <w:lang w:val="es-ES" w:eastAsia="es-ES"/>
        </w:rPr>
      </w:pPr>
    </w:p>
    <w:p w14:paraId="0CE73F5C" w14:textId="77777777" w:rsidR="007968EC" w:rsidRPr="002C0D19" w:rsidRDefault="007968EC" w:rsidP="007968EC">
      <w:pPr>
        <w:jc w:val="both"/>
        <w:rPr>
          <w:rFonts w:ascii="Arial Narrow" w:hAnsi="Arial Narrow" w:cs="Arial"/>
          <w:color w:val="000000" w:themeColor="text1"/>
          <w:spacing w:val="-3"/>
          <w:lang w:val="es-ES" w:eastAsia="es-ES"/>
        </w:rPr>
      </w:pPr>
    </w:p>
    <w:p w14:paraId="1E7651BD"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Por:          ________________________________                      </w:t>
      </w:r>
    </w:p>
    <w:p w14:paraId="3C2A84AB"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Nombre:                                               </w:t>
      </w:r>
    </w:p>
    <w:p w14:paraId="46307920"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Cargo:       Representante Legal</w:t>
      </w:r>
    </w:p>
    <w:p w14:paraId="4CA394C5" w14:textId="77777777" w:rsidR="007968EC" w:rsidRPr="002C0D19" w:rsidRDefault="007968EC" w:rsidP="007968EC">
      <w:pPr>
        <w:jc w:val="both"/>
        <w:rPr>
          <w:rFonts w:ascii="Arial Narrow" w:hAnsi="Arial Narrow" w:cs="Arial"/>
          <w:color w:val="000000" w:themeColor="text1"/>
          <w:spacing w:val="-3"/>
          <w:lang w:val="es-ES" w:eastAsia="es-ES"/>
        </w:rPr>
      </w:pPr>
    </w:p>
    <w:p w14:paraId="3A8F22BB" w14:textId="77777777" w:rsidR="007968EC" w:rsidRPr="002C0D19" w:rsidRDefault="007968EC" w:rsidP="007968EC">
      <w:pPr>
        <w:jc w:val="both"/>
        <w:rPr>
          <w:rFonts w:ascii="Arial Narrow" w:hAnsi="Arial Narrow" w:cs="Arial"/>
          <w:color w:val="000000" w:themeColor="text1"/>
          <w:spacing w:val="-3"/>
          <w:lang w:val="es-ES" w:eastAsia="es-ES"/>
        </w:rPr>
      </w:pPr>
    </w:p>
    <w:p w14:paraId="20343F9F" w14:textId="77777777" w:rsidR="007968EC" w:rsidRPr="002C0D19" w:rsidRDefault="007968EC" w:rsidP="007968EC">
      <w:pPr>
        <w:jc w:val="both"/>
        <w:rPr>
          <w:rFonts w:ascii="Arial Narrow" w:hAnsi="Arial Narrow" w:cs="Arial"/>
          <w:b/>
          <w:bCs/>
          <w:color w:val="000000" w:themeColor="text1"/>
          <w:lang w:val="es-ES" w:eastAsia="es-ES"/>
        </w:rPr>
      </w:pPr>
      <w:r w:rsidRPr="002C0D19">
        <w:rPr>
          <w:rFonts w:ascii="Arial Narrow" w:hAnsi="Arial Narrow" w:cs="Arial"/>
          <w:b/>
          <w:bCs/>
          <w:color w:val="000000" w:themeColor="text1"/>
          <w:lang w:val="es-ES" w:eastAsia="es-ES"/>
        </w:rPr>
        <w:t>EL MIEMBRO</w:t>
      </w:r>
    </w:p>
    <w:p w14:paraId="0F796884" w14:textId="77777777" w:rsidR="007968EC" w:rsidRPr="002C0D19" w:rsidRDefault="007968EC" w:rsidP="007968EC">
      <w:pPr>
        <w:jc w:val="both"/>
        <w:rPr>
          <w:rFonts w:ascii="Arial Narrow" w:hAnsi="Arial Narrow" w:cs="Arial"/>
          <w:bCs/>
          <w:color w:val="000000" w:themeColor="text1"/>
          <w:lang w:val="es-ES" w:eastAsia="es-ES"/>
        </w:rPr>
      </w:pPr>
    </w:p>
    <w:p w14:paraId="3FAB5ACF" w14:textId="77777777" w:rsidR="007968EC" w:rsidRPr="002C0D19" w:rsidRDefault="007968EC" w:rsidP="007968EC">
      <w:pPr>
        <w:jc w:val="both"/>
        <w:rPr>
          <w:rFonts w:ascii="Arial Narrow" w:hAnsi="Arial Narrow" w:cs="Arial"/>
          <w:color w:val="000000" w:themeColor="text1"/>
          <w:spacing w:val="-3"/>
          <w:lang w:val="es-ES" w:eastAsia="es-ES"/>
        </w:rPr>
      </w:pPr>
    </w:p>
    <w:p w14:paraId="2BC77C49" w14:textId="77777777" w:rsidR="007968EC" w:rsidRPr="002C0D19" w:rsidRDefault="007968EC" w:rsidP="007968EC">
      <w:pPr>
        <w:jc w:val="both"/>
        <w:rPr>
          <w:rFonts w:ascii="Arial Narrow" w:hAnsi="Arial Narrow" w:cs="Arial"/>
          <w:color w:val="000000" w:themeColor="text1"/>
          <w:spacing w:val="-3"/>
          <w:lang w:val="es-ES" w:eastAsia="es-ES"/>
        </w:rPr>
      </w:pPr>
    </w:p>
    <w:p w14:paraId="1EF7C221"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Por:          ________________________________                      </w:t>
      </w:r>
    </w:p>
    <w:p w14:paraId="21DF3C04"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Nombre:                                               </w:t>
      </w:r>
    </w:p>
    <w:p w14:paraId="0C0E18A2"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spacing w:val="-3"/>
          <w:lang w:val="es-ES" w:eastAsia="es-ES"/>
        </w:rPr>
        <w:t>Cargo:       Representante Legal</w:t>
      </w:r>
    </w:p>
    <w:p w14:paraId="13D3B4A7" w14:textId="77777777" w:rsidR="007968EC" w:rsidRPr="002C0D19" w:rsidRDefault="007968EC" w:rsidP="007968EC">
      <w:pPr>
        <w:jc w:val="both"/>
        <w:rPr>
          <w:rFonts w:ascii="Arial Narrow" w:hAnsi="Arial Narrow" w:cs="Arial"/>
          <w:color w:val="000000" w:themeColor="text1"/>
          <w:lang w:val="es-ES" w:eastAsia="es-ES"/>
        </w:rPr>
      </w:pPr>
    </w:p>
    <w:p w14:paraId="3BC62E2E" w14:textId="77777777" w:rsidR="007968EC" w:rsidRPr="002C0D19" w:rsidRDefault="007968EC" w:rsidP="007968EC">
      <w:pPr>
        <w:jc w:val="both"/>
        <w:rPr>
          <w:rFonts w:ascii="Arial Narrow" w:hAnsi="Arial Narrow" w:cs="Arial"/>
          <w:color w:val="000000" w:themeColor="text1"/>
          <w:lang w:val="es-ES" w:eastAsia="es-ES"/>
        </w:rPr>
      </w:pPr>
    </w:p>
    <w:p w14:paraId="3CE66770" w14:textId="77777777" w:rsidR="007968EC" w:rsidRPr="002C0D19" w:rsidRDefault="007968EC" w:rsidP="007968EC">
      <w:pPr>
        <w:tabs>
          <w:tab w:val="left" w:pos="2629"/>
        </w:tabs>
        <w:jc w:val="both"/>
        <w:rPr>
          <w:rFonts w:ascii="Arial Narrow" w:hAnsi="Arial Narrow" w:cs="Arial"/>
          <w:b/>
          <w:color w:val="000000" w:themeColor="text1"/>
          <w:lang w:val="es-ES_tradnl" w:eastAsia="es-ES"/>
        </w:rPr>
      </w:pPr>
      <w:r w:rsidRPr="002C0D19">
        <w:rPr>
          <w:rFonts w:ascii="Arial Narrow" w:hAnsi="Arial Narrow" w:cs="Arial"/>
          <w:b/>
          <w:color w:val="000000" w:themeColor="text1"/>
          <w:lang w:val="es-ES_tradnl" w:eastAsia="es-ES"/>
        </w:rPr>
        <w:t xml:space="preserve">EL TERCERO: </w:t>
      </w:r>
    </w:p>
    <w:p w14:paraId="6E1B0D86" w14:textId="77777777" w:rsidR="007968EC" w:rsidRPr="002C0D19" w:rsidRDefault="007968EC" w:rsidP="007968EC">
      <w:pPr>
        <w:tabs>
          <w:tab w:val="left" w:pos="2629"/>
        </w:tabs>
        <w:jc w:val="both"/>
        <w:rPr>
          <w:rFonts w:ascii="Arial Narrow" w:hAnsi="Arial Narrow" w:cs="Arial"/>
          <w:color w:val="000000" w:themeColor="text1"/>
          <w:lang w:val="es-ES_tradnl" w:eastAsia="es-ES"/>
        </w:rPr>
      </w:pPr>
    </w:p>
    <w:p w14:paraId="1EE2C5B8" w14:textId="77777777" w:rsidR="007968EC" w:rsidRPr="002C0D19" w:rsidRDefault="007968EC" w:rsidP="007968EC">
      <w:pPr>
        <w:tabs>
          <w:tab w:val="left" w:pos="2629"/>
        </w:tabs>
        <w:jc w:val="both"/>
        <w:rPr>
          <w:rFonts w:ascii="Arial Narrow" w:hAnsi="Arial Narrow" w:cs="Arial"/>
          <w:color w:val="000000" w:themeColor="text1"/>
          <w:lang w:val="es-ES_tradnl" w:eastAsia="es-ES"/>
        </w:rPr>
      </w:pPr>
    </w:p>
    <w:p w14:paraId="7CC7D704" w14:textId="77777777" w:rsidR="007968EC" w:rsidRPr="002C0D19" w:rsidRDefault="007968EC" w:rsidP="007968EC">
      <w:pPr>
        <w:tabs>
          <w:tab w:val="left" w:pos="2629"/>
        </w:tabs>
        <w:jc w:val="both"/>
        <w:rPr>
          <w:rFonts w:ascii="Arial Narrow" w:hAnsi="Arial Narrow" w:cs="Arial"/>
          <w:color w:val="000000" w:themeColor="text1"/>
          <w:lang w:val="es-ES_tradnl" w:eastAsia="es-ES"/>
        </w:rPr>
      </w:pPr>
    </w:p>
    <w:p w14:paraId="1990B6FB"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Por:          ________________________________                      </w:t>
      </w:r>
    </w:p>
    <w:p w14:paraId="5FC87ED8"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spacing w:val="-3"/>
          <w:lang w:val="es-ES" w:eastAsia="es-ES"/>
        </w:rPr>
        <w:t xml:space="preserve">Nombre:                                               </w:t>
      </w:r>
    </w:p>
    <w:p w14:paraId="29B6FF22" w14:textId="77777777" w:rsidR="007968EC" w:rsidRPr="002C0D19" w:rsidRDefault="007968EC" w:rsidP="007968EC">
      <w:pPr>
        <w:autoSpaceDE w:val="0"/>
        <w:autoSpaceDN w:val="0"/>
        <w:adjustRightInd w:val="0"/>
        <w:jc w:val="both"/>
        <w:rPr>
          <w:rFonts w:ascii="Arial Narrow" w:hAnsi="Arial Narrow" w:cs="Arial"/>
          <w:color w:val="000000" w:themeColor="text1"/>
          <w:lang w:eastAsia="es-ES"/>
        </w:rPr>
      </w:pPr>
    </w:p>
    <w:p w14:paraId="6C668CF2" w14:textId="77777777" w:rsidR="007968EC" w:rsidRPr="002C0D19" w:rsidRDefault="007968EC" w:rsidP="007968EC">
      <w:pPr>
        <w:autoSpaceDE w:val="0"/>
        <w:autoSpaceDN w:val="0"/>
        <w:adjustRightInd w:val="0"/>
        <w:jc w:val="both"/>
        <w:rPr>
          <w:rFonts w:ascii="Arial Narrow" w:hAnsi="Arial Narrow" w:cs="Arial"/>
          <w:color w:val="000000" w:themeColor="text1"/>
          <w:lang w:eastAsia="es-CO"/>
        </w:rPr>
      </w:pPr>
    </w:p>
    <w:p w14:paraId="353A18B3" w14:textId="77777777" w:rsidR="007968EC" w:rsidRPr="002C0D19" w:rsidRDefault="007968EC" w:rsidP="007968EC">
      <w:pPr>
        <w:autoSpaceDE w:val="0"/>
        <w:autoSpaceDN w:val="0"/>
        <w:adjustRightInd w:val="0"/>
        <w:jc w:val="both"/>
        <w:rPr>
          <w:rFonts w:ascii="Arial Narrow" w:hAnsi="Arial Narrow" w:cs="Arial"/>
          <w:color w:val="000000" w:themeColor="text1"/>
          <w:lang w:eastAsia="es-CO"/>
        </w:rPr>
      </w:pPr>
    </w:p>
    <w:p w14:paraId="10D25D60" w14:textId="77777777" w:rsidR="007968EC" w:rsidRPr="002C0D19" w:rsidRDefault="007968EC" w:rsidP="007968EC">
      <w:pPr>
        <w:autoSpaceDE w:val="0"/>
        <w:autoSpaceDN w:val="0"/>
        <w:adjustRightInd w:val="0"/>
        <w:jc w:val="both"/>
        <w:rPr>
          <w:rFonts w:ascii="Arial Narrow" w:hAnsi="Arial Narrow" w:cs="Arial"/>
          <w:color w:val="000000" w:themeColor="text1"/>
          <w:lang w:eastAsia="es-CO"/>
        </w:rPr>
      </w:pPr>
    </w:p>
    <w:p w14:paraId="7154F740" w14:textId="77777777" w:rsidR="007968EC" w:rsidRPr="002C0D19" w:rsidRDefault="007968EC" w:rsidP="007968EC">
      <w:pPr>
        <w:autoSpaceDE w:val="0"/>
        <w:autoSpaceDN w:val="0"/>
        <w:adjustRightInd w:val="0"/>
        <w:jc w:val="both"/>
        <w:rPr>
          <w:rFonts w:ascii="Arial Narrow" w:hAnsi="Arial Narrow" w:cs="Arial"/>
          <w:color w:val="000000" w:themeColor="text1"/>
          <w:lang w:eastAsia="es-CO"/>
        </w:rPr>
      </w:pPr>
    </w:p>
    <w:p w14:paraId="639E481C" w14:textId="77777777" w:rsidR="007968EC" w:rsidRPr="002C0D19" w:rsidRDefault="007968EC" w:rsidP="007968EC">
      <w:pPr>
        <w:autoSpaceDE w:val="0"/>
        <w:autoSpaceDN w:val="0"/>
        <w:adjustRightInd w:val="0"/>
        <w:jc w:val="both"/>
        <w:rPr>
          <w:rFonts w:ascii="Arial Narrow" w:hAnsi="Arial Narrow" w:cs="Arial"/>
          <w:color w:val="000000" w:themeColor="text1"/>
          <w:lang w:eastAsia="es-CO"/>
        </w:rPr>
      </w:pPr>
    </w:p>
    <w:p w14:paraId="4A414FBC" w14:textId="77777777" w:rsidR="007968EC" w:rsidRPr="002C0D19" w:rsidRDefault="007968EC" w:rsidP="007968EC">
      <w:pPr>
        <w:autoSpaceDE w:val="0"/>
        <w:autoSpaceDN w:val="0"/>
        <w:adjustRightInd w:val="0"/>
        <w:jc w:val="both"/>
        <w:rPr>
          <w:rFonts w:ascii="Arial Narrow" w:hAnsi="Arial Narrow" w:cs="Arial"/>
          <w:color w:val="000000" w:themeColor="text1"/>
          <w:lang w:eastAsia="es-CO"/>
        </w:rPr>
      </w:pPr>
    </w:p>
    <w:p w14:paraId="469CB8E9" w14:textId="77777777" w:rsidR="007968EC" w:rsidRPr="002C0D19" w:rsidRDefault="007968EC" w:rsidP="007968EC">
      <w:pPr>
        <w:autoSpaceDE w:val="0"/>
        <w:autoSpaceDN w:val="0"/>
        <w:adjustRightInd w:val="0"/>
        <w:jc w:val="both"/>
        <w:rPr>
          <w:rFonts w:ascii="Arial Narrow" w:hAnsi="Arial Narrow" w:cs="Arial"/>
          <w:color w:val="000000" w:themeColor="text1"/>
          <w:lang w:eastAsia="es-CO"/>
        </w:rPr>
      </w:pPr>
    </w:p>
    <w:p w14:paraId="056EA5C7" w14:textId="77777777" w:rsidR="007968EC" w:rsidRPr="002C0D19" w:rsidRDefault="007968EC" w:rsidP="007968EC">
      <w:pPr>
        <w:autoSpaceDE w:val="0"/>
        <w:autoSpaceDN w:val="0"/>
        <w:adjustRightInd w:val="0"/>
        <w:jc w:val="both"/>
        <w:rPr>
          <w:rFonts w:ascii="Arial Narrow" w:hAnsi="Arial Narrow" w:cs="Arial"/>
          <w:color w:val="000000" w:themeColor="text1"/>
          <w:lang w:eastAsia="es-CO"/>
        </w:rPr>
      </w:pPr>
    </w:p>
    <w:p w14:paraId="00DA82B0" w14:textId="77777777" w:rsidR="007968EC" w:rsidRPr="002C0D19" w:rsidRDefault="007968EC" w:rsidP="007968EC">
      <w:pPr>
        <w:autoSpaceDE w:val="0"/>
        <w:autoSpaceDN w:val="0"/>
        <w:adjustRightInd w:val="0"/>
        <w:jc w:val="both"/>
        <w:rPr>
          <w:rFonts w:ascii="Arial Narrow" w:hAnsi="Arial Narrow" w:cs="Arial"/>
          <w:color w:val="000000" w:themeColor="text1"/>
          <w:lang w:eastAsia="es-CO"/>
        </w:rPr>
      </w:pPr>
    </w:p>
    <w:p w14:paraId="59D440AD" w14:textId="77777777" w:rsidR="007968EC" w:rsidRPr="002C0D19" w:rsidRDefault="007968EC" w:rsidP="007968EC">
      <w:pPr>
        <w:autoSpaceDE w:val="0"/>
        <w:autoSpaceDN w:val="0"/>
        <w:adjustRightInd w:val="0"/>
        <w:jc w:val="both"/>
        <w:rPr>
          <w:rFonts w:ascii="Arial Narrow" w:hAnsi="Arial Narrow" w:cs="Arial"/>
          <w:color w:val="000000" w:themeColor="text1"/>
          <w:lang w:eastAsia="es-CO"/>
        </w:rPr>
      </w:pPr>
    </w:p>
    <w:p w14:paraId="3EC2032B" w14:textId="77777777" w:rsidR="007968EC" w:rsidRPr="002C0D19" w:rsidRDefault="007968EC" w:rsidP="007968EC">
      <w:pPr>
        <w:autoSpaceDE w:val="0"/>
        <w:autoSpaceDN w:val="0"/>
        <w:adjustRightInd w:val="0"/>
        <w:jc w:val="both"/>
        <w:rPr>
          <w:rFonts w:ascii="Arial Narrow" w:hAnsi="Arial Narrow" w:cs="Arial"/>
          <w:color w:val="000000" w:themeColor="text1"/>
          <w:lang w:eastAsia="es-CO"/>
        </w:rPr>
      </w:pPr>
    </w:p>
    <w:p w14:paraId="34005127" w14:textId="77777777" w:rsidR="007968EC" w:rsidRPr="002C0D19" w:rsidRDefault="007968EC" w:rsidP="007968EC">
      <w:pPr>
        <w:autoSpaceDE w:val="0"/>
        <w:autoSpaceDN w:val="0"/>
        <w:adjustRightInd w:val="0"/>
        <w:jc w:val="both"/>
        <w:rPr>
          <w:rFonts w:ascii="Arial Narrow" w:hAnsi="Arial Narrow" w:cs="Arial"/>
          <w:color w:val="000000" w:themeColor="text1"/>
          <w:lang w:eastAsia="es-CO"/>
        </w:rPr>
      </w:pPr>
    </w:p>
    <w:p w14:paraId="0B36186B" w14:textId="77777777" w:rsidR="007968EC" w:rsidRPr="002C0D19" w:rsidRDefault="007968EC" w:rsidP="007968EC">
      <w:pPr>
        <w:autoSpaceDE w:val="0"/>
        <w:autoSpaceDN w:val="0"/>
        <w:adjustRightInd w:val="0"/>
        <w:jc w:val="both"/>
        <w:rPr>
          <w:rFonts w:ascii="Arial Narrow" w:hAnsi="Arial Narrow" w:cs="Arial"/>
          <w:color w:val="000000" w:themeColor="text1"/>
          <w:lang w:eastAsia="es-CO"/>
        </w:rPr>
      </w:pPr>
    </w:p>
    <w:p w14:paraId="35536CC8" w14:textId="77777777" w:rsidR="007968EC" w:rsidRPr="002C0D19" w:rsidRDefault="007968EC" w:rsidP="007968EC">
      <w:pPr>
        <w:autoSpaceDE w:val="0"/>
        <w:autoSpaceDN w:val="0"/>
        <w:adjustRightInd w:val="0"/>
        <w:jc w:val="both"/>
        <w:rPr>
          <w:rFonts w:ascii="Arial Narrow" w:hAnsi="Arial Narrow" w:cs="Arial"/>
          <w:color w:val="000000" w:themeColor="text1"/>
          <w:lang w:eastAsia="es-CO"/>
        </w:rPr>
      </w:pPr>
    </w:p>
    <w:p w14:paraId="5C80F910" w14:textId="77777777" w:rsidR="007968EC" w:rsidRPr="002C0D19" w:rsidRDefault="007968EC" w:rsidP="007968EC">
      <w:pPr>
        <w:autoSpaceDE w:val="0"/>
        <w:autoSpaceDN w:val="0"/>
        <w:adjustRightInd w:val="0"/>
        <w:jc w:val="both"/>
        <w:rPr>
          <w:rFonts w:ascii="Arial Narrow" w:hAnsi="Arial Narrow" w:cs="Arial"/>
          <w:color w:val="000000" w:themeColor="text1"/>
          <w:lang w:eastAsia="es-CO"/>
        </w:rPr>
      </w:pPr>
    </w:p>
    <w:p w14:paraId="5ADFD4CB" w14:textId="77777777" w:rsidR="007968EC" w:rsidRPr="002C0D19" w:rsidRDefault="007968EC" w:rsidP="007968EC">
      <w:pPr>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br w:type="page"/>
      </w:r>
    </w:p>
    <w:p w14:paraId="57F364DC" w14:textId="77777777" w:rsidR="007968EC" w:rsidRPr="002C0D19" w:rsidRDefault="007968EC" w:rsidP="007968EC">
      <w:pPr>
        <w:pStyle w:val="TTULO"/>
        <w:rPr>
          <w:lang w:val="es-ES"/>
        </w:rPr>
      </w:pPr>
      <w:bookmarkStart w:id="6599" w:name="_Toc31716619"/>
      <w:r w:rsidRPr="002C0D19">
        <w:rPr>
          <w:lang w:val="es-ES"/>
        </w:rPr>
        <w:lastRenderedPageBreak/>
        <w:t>ANEXO 25</w:t>
      </w:r>
      <w:bookmarkEnd w:id="6599"/>
    </w:p>
    <w:p w14:paraId="2F712217" w14:textId="77777777" w:rsidR="007968EC" w:rsidRPr="002C0D19" w:rsidRDefault="007968EC" w:rsidP="007968EC">
      <w:pPr>
        <w:pStyle w:val="TTULO"/>
        <w:rPr>
          <w:lang w:val="es-ES"/>
        </w:rPr>
      </w:pPr>
    </w:p>
    <w:p w14:paraId="2235A1DA" w14:textId="77777777" w:rsidR="007968EC" w:rsidRPr="00991BD9" w:rsidRDefault="007968EC" w:rsidP="007968EC">
      <w:pPr>
        <w:jc w:val="center"/>
        <w:rPr>
          <w:rFonts w:ascii="Arial Narrow" w:hAnsi="Arial Narrow" w:cs="Arial"/>
          <w:b/>
          <w:color w:val="000000" w:themeColor="text1"/>
          <w:lang w:val="es-ES" w:eastAsia="es-ES"/>
        </w:rPr>
      </w:pPr>
      <w:r w:rsidRPr="00991BD9">
        <w:rPr>
          <w:rFonts w:ascii="Arial Narrow" w:hAnsi="Arial Narrow" w:cs="Arial"/>
          <w:b/>
          <w:color w:val="000000" w:themeColor="text1"/>
          <w:lang w:val="es-ES" w:eastAsia="es-ES"/>
        </w:rPr>
        <w:t>FORMULARIO DE ACTUALIZACIÓN DE REQUISITOS CUALITATIVOS</w:t>
      </w:r>
    </w:p>
    <w:p w14:paraId="7E8EE555" w14:textId="77777777" w:rsidR="007968EC" w:rsidRPr="002C0D19" w:rsidRDefault="007968EC" w:rsidP="007968EC">
      <w:pPr>
        <w:jc w:val="center"/>
        <w:rPr>
          <w:rFonts w:ascii="Arial Narrow" w:hAnsi="Arial Narrow" w:cs="Arial"/>
          <w:b/>
          <w:i/>
          <w:color w:val="000000" w:themeColor="text1"/>
          <w:lang w:val="es-ES" w:eastAsia="es-ES"/>
        </w:rPr>
      </w:pPr>
    </w:p>
    <w:p w14:paraId="4B00F679" w14:textId="77777777" w:rsidR="007968EC" w:rsidRPr="002C0D19" w:rsidRDefault="007968EC" w:rsidP="007968EC">
      <w:pPr>
        <w:jc w:val="center"/>
        <w:rPr>
          <w:rFonts w:ascii="Arial Narrow" w:hAnsi="Arial Narrow" w:cs="Arial"/>
          <w:b/>
          <w:color w:val="000000" w:themeColor="text1"/>
          <w:lang w:val="es-ES" w:eastAsia="es-ES"/>
        </w:rPr>
      </w:pPr>
    </w:p>
    <w:p w14:paraId="7EFC5EE3" w14:textId="77777777" w:rsidR="007968EC" w:rsidRPr="002C0D19" w:rsidRDefault="007968EC" w:rsidP="007968EC">
      <w:pPr>
        <w:jc w:val="center"/>
        <w:rPr>
          <w:rFonts w:ascii="Arial Narrow" w:hAnsi="Arial Narrow" w:cs="Arial"/>
          <w:b/>
          <w:color w:val="000000" w:themeColor="text1"/>
          <w:lang w:val="es-ES" w:eastAsia="es-ES"/>
        </w:rPr>
      </w:pPr>
      <w:r w:rsidRPr="002C0D19">
        <w:rPr>
          <w:rFonts w:ascii="Arial Narrow" w:hAnsi="Arial Narrow" w:cs="Arial"/>
          <w:b/>
          <w:noProof/>
          <w:color w:val="000000" w:themeColor="text1"/>
          <w:lang w:eastAsia="es-CO"/>
        </w:rPr>
        <w:drawing>
          <wp:inline distT="0" distB="0" distL="0" distR="0" wp14:anchorId="389AC7A9" wp14:editId="24EA60EF">
            <wp:extent cx="5688000" cy="5398451"/>
            <wp:effectExtent l="0" t="0" r="825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88000" cy="5398451"/>
                    </a:xfrm>
                    <a:prstGeom prst="rect">
                      <a:avLst/>
                    </a:prstGeom>
                    <a:noFill/>
                    <a:ln>
                      <a:noFill/>
                    </a:ln>
                  </pic:spPr>
                </pic:pic>
              </a:graphicData>
            </a:graphic>
          </wp:inline>
        </w:drawing>
      </w:r>
    </w:p>
    <w:p w14:paraId="32D12FFD" w14:textId="77777777" w:rsidR="007968EC" w:rsidRPr="002C0D19" w:rsidRDefault="007968EC" w:rsidP="007968EC">
      <w:pPr>
        <w:jc w:val="center"/>
        <w:rPr>
          <w:rFonts w:ascii="Arial Narrow" w:hAnsi="Arial Narrow" w:cs="Arial"/>
          <w:b/>
          <w:color w:val="000000" w:themeColor="text1"/>
          <w:lang w:val="es-ES" w:eastAsia="es-ES"/>
        </w:rPr>
      </w:pPr>
      <w:r w:rsidRPr="002C0D19">
        <w:rPr>
          <w:rFonts w:ascii="Arial Narrow" w:hAnsi="Arial Narrow" w:cs="Arial"/>
          <w:b/>
          <w:noProof/>
          <w:color w:val="000000" w:themeColor="text1"/>
          <w:lang w:eastAsia="es-CO"/>
        </w:rPr>
        <w:lastRenderedPageBreak/>
        <w:drawing>
          <wp:inline distT="0" distB="0" distL="0" distR="0" wp14:anchorId="4E956FB0" wp14:editId="55EA9BFC">
            <wp:extent cx="5971540" cy="7746520"/>
            <wp:effectExtent l="0" t="0" r="0" b="698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81866" cy="7759915"/>
                    </a:xfrm>
                    <a:prstGeom prst="rect">
                      <a:avLst/>
                    </a:prstGeom>
                    <a:noFill/>
                    <a:ln>
                      <a:noFill/>
                    </a:ln>
                  </pic:spPr>
                </pic:pic>
              </a:graphicData>
            </a:graphic>
          </wp:inline>
        </w:drawing>
      </w:r>
    </w:p>
    <w:p w14:paraId="1E2ACAC3" w14:textId="77777777" w:rsidR="007968EC" w:rsidRPr="002C0D19" w:rsidRDefault="007968EC" w:rsidP="007968EC">
      <w:pPr>
        <w:autoSpaceDE w:val="0"/>
        <w:autoSpaceDN w:val="0"/>
        <w:rPr>
          <w:rFonts w:ascii="Arial Narrow" w:hAnsi="Arial Narrow" w:cs="Arial"/>
          <w:color w:val="000000" w:themeColor="text1"/>
          <w:u w:val="single"/>
          <w:lang w:val="es-ES" w:eastAsia="es-ES"/>
        </w:rPr>
      </w:pPr>
      <w:r w:rsidRPr="002C0D19">
        <w:rPr>
          <w:rFonts w:ascii="Arial Narrow" w:hAnsi="Arial Narrow" w:cs="Arial"/>
          <w:color w:val="000000" w:themeColor="text1"/>
          <w:u w:val="single"/>
          <w:lang w:val="es-ES" w:eastAsia="es-ES"/>
        </w:rPr>
        <w:lastRenderedPageBreak/>
        <w:t>Tablas:</w:t>
      </w:r>
    </w:p>
    <w:p w14:paraId="6AB16A1D" w14:textId="77777777" w:rsidR="007968EC" w:rsidRPr="002C0D19" w:rsidRDefault="007968EC" w:rsidP="007968EC">
      <w:pPr>
        <w:rPr>
          <w:rFonts w:ascii="Arial Narrow" w:hAnsi="Arial Narrow" w:cs="Arial"/>
          <w:b/>
          <w:color w:val="000000" w:themeColor="text1"/>
          <w:lang w:val="es-ES" w:eastAsia="es-ES"/>
        </w:rPr>
      </w:pPr>
    </w:p>
    <w:p w14:paraId="3340BB1E" w14:textId="77777777" w:rsidR="007968EC" w:rsidRPr="002C0D19" w:rsidRDefault="007968EC" w:rsidP="007968EC">
      <w:pPr>
        <w:rPr>
          <w:rFonts w:ascii="Arial Narrow" w:hAnsi="Arial Narrow" w:cs="Arial"/>
          <w:color w:val="000000" w:themeColor="text1"/>
          <w:u w:val="single"/>
          <w:lang w:val="es-ES" w:eastAsia="es-ES"/>
        </w:rPr>
      </w:pPr>
      <w:r w:rsidRPr="002C0D19">
        <w:rPr>
          <w:rFonts w:ascii="Arial Narrow" w:hAnsi="Arial Narrow" w:cs="Arial"/>
          <w:color w:val="000000" w:themeColor="text1"/>
          <w:u w:val="single"/>
          <w:lang w:val="es-ES" w:eastAsia="es-ES"/>
        </w:rPr>
        <w:t>Tabla 2. Lineamientos de Riesgo:</w:t>
      </w:r>
    </w:p>
    <w:p w14:paraId="55574CE8" w14:textId="77777777" w:rsidR="007968EC" w:rsidRPr="002C0D19" w:rsidRDefault="007968EC" w:rsidP="007968EC">
      <w:pPr>
        <w:rPr>
          <w:rFonts w:ascii="Arial Narrow" w:hAnsi="Arial Narrow" w:cs="Arial"/>
          <w:b/>
          <w:color w:val="000000" w:themeColor="text1"/>
          <w:lang w:val="es-ES" w:eastAsia="es-ES"/>
        </w:rPr>
      </w:pPr>
    </w:p>
    <w:p w14:paraId="112E4669" w14:textId="77777777" w:rsidR="007968EC" w:rsidRPr="002C0D19" w:rsidRDefault="007968EC" w:rsidP="007968EC">
      <w:pPr>
        <w:jc w:val="center"/>
        <w:rPr>
          <w:rFonts w:ascii="Arial Narrow" w:hAnsi="Arial Narrow" w:cs="Arial"/>
          <w:b/>
          <w:color w:val="000000" w:themeColor="text1"/>
          <w:lang w:val="es-ES" w:eastAsia="es-ES"/>
        </w:rPr>
      </w:pPr>
      <w:r w:rsidRPr="002C0D19">
        <w:rPr>
          <w:rFonts w:ascii="Arial Narrow" w:hAnsi="Arial Narrow" w:cs="Arial"/>
          <w:b/>
          <w:noProof/>
          <w:color w:val="000000" w:themeColor="text1"/>
          <w:lang w:eastAsia="es-CO"/>
        </w:rPr>
        <w:drawing>
          <wp:inline distT="0" distB="0" distL="0" distR="0" wp14:anchorId="246F05B7" wp14:editId="523AF7EC">
            <wp:extent cx="5400000" cy="2969102"/>
            <wp:effectExtent l="19050" t="19050" r="10795" b="222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0000" cy="2969102"/>
                    </a:xfrm>
                    <a:prstGeom prst="rect">
                      <a:avLst/>
                    </a:prstGeom>
                    <a:noFill/>
                    <a:ln w="19050">
                      <a:solidFill>
                        <a:sysClr val="windowText" lastClr="000000"/>
                      </a:solidFill>
                    </a:ln>
                  </pic:spPr>
                </pic:pic>
              </a:graphicData>
            </a:graphic>
          </wp:inline>
        </w:drawing>
      </w:r>
    </w:p>
    <w:p w14:paraId="374FF3BA" w14:textId="77777777" w:rsidR="007968EC" w:rsidRPr="002C0D19" w:rsidRDefault="007968EC" w:rsidP="007968EC">
      <w:pPr>
        <w:rPr>
          <w:rFonts w:ascii="Arial Narrow" w:hAnsi="Arial Narrow" w:cs="Arial"/>
          <w:b/>
          <w:color w:val="000000" w:themeColor="text1"/>
          <w:lang w:val="es-ES" w:eastAsia="es-ES"/>
        </w:rPr>
      </w:pPr>
    </w:p>
    <w:p w14:paraId="1145E849" w14:textId="77777777" w:rsidR="007968EC" w:rsidRPr="002C0D19" w:rsidRDefault="007968EC" w:rsidP="007968EC">
      <w:pPr>
        <w:rPr>
          <w:rFonts w:ascii="Arial Narrow" w:hAnsi="Arial Narrow" w:cs="Arial"/>
          <w:color w:val="000000" w:themeColor="text1"/>
          <w:u w:val="single"/>
          <w:lang w:val="es-ES" w:eastAsia="es-ES"/>
        </w:rPr>
      </w:pPr>
      <w:r w:rsidRPr="002C0D19">
        <w:rPr>
          <w:rFonts w:ascii="Arial Narrow" w:hAnsi="Arial Narrow" w:cs="Arial"/>
          <w:color w:val="000000" w:themeColor="text1"/>
          <w:u w:val="single"/>
          <w:lang w:val="es-ES" w:eastAsia="es-ES"/>
        </w:rPr>
        <w:t>Tabla 3. Soluciones Software:</w:t>
      </w:r>
    </w:p>
    <w:p w14:paraId="41ECF776" w14:textId="77777777" w:rsidR="007968EC" w:rsidRPr="002C0D19" w:rsidRDefault="007968EC" w:rsidP="007968EC">
      <w:pPr>
        <w:rPr>
          <w:rFonts w:ascii="Arial Narrow" w:hAnsi="Arial Narrow" w:cs="Arial"/>
          <w:b/>
          <w:color w:val="000000" w:themeColor="text1"/>
          <w:lang w:val="es-ES" w:eastAsia="es-ES"/>
        </w:rPr>
      </w:pPr>
    </w:p>
    <w:p w14:paraId="3ADE3386" w14:textId="77777777" w:rsidR="007968EC" w:rsidRPr="002C0D19" w:rsidRDefault="007968EC" w:rsidP="007968EC">
      <w:pPr>
        <w:jc w:val="center"/>
        <w:rPr>
          <w:rFonts w:ascii="Arial Narrow" w:hAnsi="Arial Narrow" w:cs="Arial"/>
          <w:b/>
          <w:color w:val="000000" w:themeColor="text1"/>
          <w:lang w:val="es-ES" w:eastAsia="es-ES"/>
        </w:rPr>
      </w:pPr>
      <w:r w:rsidRPr="002C0D19">
        <w:rPr>
          <w:rFonts w:ascii="Arial Narrow" w:hAnsi="Arial Narrow" w:cs="Arial"/>
          <w:b/>
          <w:noProof/>
          <w:color w:val="000000" w:themeColor="text1"/>
          <w:lang w:eastAsia="es-CO"/>
        </w:rPr>
        <w:drawing>
          <wp:inline distT="0" distB="0" distL="0" distR="0" wp14:anchorId="3B460CA6" wp14:editId="09601613">
            <wp:extent cx="5400000" cy="2923250"/>
            <wp:effectExtent l="19050" t="19050" r="10795" b="1079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00000" cy="2923250"/>
                    </a:xfrm>
                    <a:prstGeom prst="rect">
                      <a:avLst/>
                    </a:prstGeom>
                    <a:noFill/>
                    <a:ln w="19050">
                      <a:solidFill>
                        <a:sysClr val="windowText" lastClr="000000"/>
                      </a:solidFill>
                    </a:ln>
                  </pic:spPr>
                </pic:pic>
              </a:graphicData>
            </a:graphic>
          </wp:inline>
        </w:drawing>
      </w:r>
    </w:p>
    <w:p w14:paraId="796B645B" w14:textId="77777777" w:rsidR="007968EC" w:rsidRPr="002C0D19" w:rsidRDefault="007968EC" w:rsidP="007968EC">
      <w:pPr>
        <w:rPr>
          <w:rFonts w:ascii="Arial Narrow" w:hAnsi="Arial Narrow" w:cs="Arial"/>
          <w:b/>
          <w:color w:val="000000" w:themeColor="text1"/>
          <w:lang w:val="es-ES" w:eastAsia="es-ES"/>
        </w:rPr>
      </w:pPr>
    </w:p>
    <w:p w14:paraId="27F5FE9B" w14:textId="77777777" w:rsidR="007968EC" w:rsidRPr="002C0D19" w:rsidRDefault="007968EC" w:rsidP="007968EC">
      <w:pPr>
        <w:rPr>
          <w:rFonts w:ascii="Arial Narrow" w:hAnsi="Arial Narrow" w:cs="Arial"/>
          <w:color w:val="000000" w:themeColor="text1"/>
          <w:u w:val="single"/>
          <w:lang w:val="es-ES" w:eastAsia="es-ES"/>
        </w:rPr>
      </w:pPr>
      <w:r w:rsidRPr="002C0D19">
        <w:rPr>
          <w:rFonts w:ascii="Arial Narrow" w:hAnsi="Arial Narrow" w:cs="Arial"/>
          <w:color w:val="000000" w:themeColor="text1"/>
          <w:u w:val="single"/>
          <w:lang w:val="es-ES" w:eastAsia="es-ES"/>
        </w:rPr>
        <w:t>Tabla 5. Plan de Contingencia:</w:t>
      </w:r>
    </w:p>
    <w:p w14:paraId="23354A6A" w14:textId="77777777" w:rsidR="007968EC" w:rsidRPr="002C0D19" w:rsidRDefault="007968EC" w:rsidP="007968EC">
      <w:pPr>
        <w:rPr>
          <w:rFonts w:ascii="Arial Narrow" w:hAnsi="Arial Narrow" w:cs="Arial"/>
          <w:b/>
          <w:color w:val="000000" w:themeColor="text1"/>
          <w:lang w:val="es-ES" w:eastAsia="es-ES"/>
        </w:rPr>
      </w:pPr>
    </w:p>
    <w:p w14:paraId="4E7490A2" w14:textId="77777777" w:rsidR="007968EC" w:rsidRPr="002C0D19" w:rsidRDefault="007968EC" w:rsidP="007968EC">
      <w:pPr>
        <w:jc w:val="center"/>
        <w:rPr>
          <w:rFonts w:ascii="Arial Narrow" w:hAnsi="Arial Narrow" w:cs="Arial"/>
          <w:b/>
          <w:color w:val="000000" w:themeColor="text1"/>
          <w:lang w:val="es-ES" w:eastAsia="es-ES"/>
        </w:rPr>
      </w:pPr>
      <w:r w:rsidRPr="002C0D19">
        <w:rPr>
          <w:rFonts w:ascii="Arial Narrow" w:hAnsi="Arial Narrow" w:cs="Arial"/>
          <w:b/>
          <w:noProof/>
          <w:color w:val="000000" w:themeColor="text1"/>
          <w:lang w:eastAsia="es-CO"/>
        </w:rPr>
        <w:drawing>
          <wp:inline distT="0" distB="0" distL="0" distR="0" wp14:anchorId="463B7B3E" wp14:editId="72F3D708">
            <wp:extent cx="5400000" cy="2725285"/>
            <wp:effectExtent l="19050" t="19050" r="10795" b="184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0000" cy="2725285"/>
                    </a:xfrm>
                    <a:prstGeom prst="rect">
                      <a:avLst/>
                    </a:prstGeom>
                    <a:noFill/>
                    <a:ln w="19050">
                      <a:solidFill>
                        <a:sysClr val="windowText" lastClr="000000"/>
                      </a:solidFill>
                    </a:ln>
                  </pic:spPr>
                </pic:pic>
              </a:graphicData>
            </a:graphic>
          </wp:inline>
        </w:drawing>
      </w:r>
    </w:p>
    <w:p w14:paraId="68DD85AB" w14:textId="77777777" w:rsidR="007968EC" w:rsidRPr="002C0D19" w:rsidRDefault="007968EC" w:rsidP="007968EC">
      <w:pPr>
        <w:rPr>
          <w:rFonts w:ascii="Arial Narrow" w:hAnsi="Arial Narrow" w:cs="Arial"/>
          <w:b/>
          <w:color w:val="000000" w:themeColor="text1"/>
          <w:lang w:val="es-ES" w:eastAsia="es-ES"/>
        </w:rPr>
      </w:pPr>
    </w:p>
    <w:p w14:paraId="155DE3C4" w14:textId="77777777" w:rsidR="007968EC" w:rsidRPr="002C0D19" w:rsidRDefault="007968EC" w:rsidP="007968EC">
      <w:pPr>
        <w:rPr>
          <w:rFonts w:ascii="Arial Narrow" w:hAnsi="Arial Narrow" w:cs="Arial"/>
          <w:color w:val="000000" w:themeColor="text1"/>
          <w:u w:val="single"/>
          <w:lang w:val="es-ES" w:eastAsia="es-ES"/>
        </w:rPr>
      </w:pPr>
      <w:r w:rsidRPr="002C0D19">
        <w:rPr>
          <w:rFonts w:ascii="Arial Narrow" w:hAnsi="Arial Narrow" w:cs="Arial"/>
          <w:color w:val="000000" w:themeColor="text1"/>
          <w:u w:val="single"/>
          <w:lang w:val="es-ES" w:eastAsia="es-ES"/>
        </w:rPr>
        <w:t>Tabla 6. Efectividad del plan de Contingencia:</w:t>
      </w:r>
    </w:p>
    <w:p w14:paraId="4DF7863B" w14:textId="77777777" w:rsidR="007968EC" w:rsidRPr="002C0D19" w:rsidRDefault="007968EC" w:rsidP="007968EC">
      <w:pPr>
        <w:rPr>
          <w:rFonts w:ascii="Arial Narrow" w:hAnsi="Arial Narrow" w:cs="Arial"/>
          <w:b/>
          <w:color w:val="000000" w:themeColor="text1"/>
          <w:lang w:val="es-ES" w:eastAsia="es-ES"/>
        </w:rPr>
      </w:pPr>
    </w:p>
    <w:p w14:paraId="2BE56FD5" w14:textId="77777777" w:rsidR="007968EC" w:rsidRPr="002C0D19" w:rsidRDefault="007968EC" w:rsidP="007968EC">
      <w:pPr>
        <w:jc w:val="center"/>
        <w:rPr>
          <w:rFonts w:ascii="Arial Narrow" w:hAnsi="Arial Narrow" w:cs="Arial"/>
          <w:b/>
          <w:color w:val="000000" w:themeColor="text1"/>
          <w:lang w:val="es-ES" w:eastAsia="es-ES"/>
        </w:rPr>
      </w:pPr>
      <w:r w:rsidRPr="002C0D19">
        <w:rPr>
          <w:rFonts w:ascii="Arial Narrow" w:hAnsi="Arial Narrow" w:cs="Arial"/>
          <w:b/>
          <w:noProof/>
          <w:color w:val="000000" w:themeColor="text1"/>
          <w:lang w:eastAsia="es-CO"/>
        </w:rPr>
        <w:drawing>
          <wp:inline distT="0" distB="0" distL="0" distR="0" wp14:anchorId="0F8D4220" wp14:editId="392E6E9D">
            <wp:extent cx="5486400" cy="3347422"/>
            <wp:effectExtent l="19050" t="19050" r="19050" b="2476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7810" cy="3354384"/>
                    </a:xfrm>
                    <a:prstGeom prst="rect">
                      <a:avLst/>
                    </a:prstGeom>
                    <a:noFill/>
                    <a:ln w="19050">
                      <a:solidFill>
                        <a:sysClr val="windowText" lastClr="000000"/>
                      </a:solidFill>
                    </a:ln>
                  </pic:spPr>
                </pic:pic>
              </a:graphicData>
            </a:graphic>
          </wp:inline>
        </w:drawing>
      </w:r>
      <w:r w:rsidRPr="002C0D19">
        <w:rPr>
          <w:rFonts w:ascii="Arial Narrow" w:hAnsi="Arial Narrow" w:cs="Arial"/>
          <w:b/>
          <w:color w:val="000000" w:themeColor="text1"/>
          <w:lang w:val="es-ES" w:eastAsia="es-ES"/>
        </w:rPr>
        <w:t>”</w:t>
      </w:r>
    </w:p>
    <w:p w14:paraId="1C001586" w14:textId="77777777" w:rsidR="007968EC" w:rsidRPr="002C0D19" w:rsidRDefault="007968EC" w:rsidP="007968EC">
      <w:pPr>
        <w:jc w:val="center"/>
        <w:rPr>
          <w:rFonts w:ascii="Arial Narrow" w:hAnsi="Arial Narrow" w:cs="Arial"/>
          <w:noProof/>
          <w:color w:val="000000" w:themeColor="text1"/>
          <w:lang w:val="es-ES" w:eastAsia="es-ES"/>
        </w:rPr>
      </w:pPr>
    </w:p>
    <w:p w14:paraId="4A4672AC" w14:textId="77777777" w:rsidR="007968EC" w:rsidRPr="002C0D19" w:rsidRDefault="007968EC" w:rsidP="007968EC">
      <w:pPr>
        <w:jc w:val="center"/>
        <w:outlineLvl w:val="0"/>
        <w:rPr>
          <w:rFonts w:ascii="Arial Narrow" w:hAnsi="Arial Narrow" w:cs="Arial"/>
          <w:b/>
          <w:color w:val="000000" w:themeColor="text1"/>
          <w:lang w:val="es-ES" w:eastAsia="es-ES"/>
        </w:rPr>
        <w:sectPr w:rsidR="007968EC" w:rsidRPr="002C0D19" w:rsidSect="007968EC">
          <w:pgSz w:w="12242" w:h="15842" w:code="1"/>
          <w:pgMar w:top="1985" w:right="1418" w:bottom="1985" w:left="1418" w:header="851" w:footer="1021" w:gutter="0"/>
          <w:cols w:space="708"/>
          <w:titlePg/>
          <w:docGrid w:linePitch="360"/>
        </w:sectPr>
      </w:pPr>
      <w:bookmarkStart w:id="6600" w:name="_Toc258397256"/>
      <w:bookmarkStart w:id="6601" w:name="_Toc270576811"/>
      <w:bookmarkStart w:id="6602" w:name="_Toc273719508"/>
      <w:bookmarkStart w:id="6603" w:name="_Toc275781572"/>
      <w:bookmarkStart w:id="6604" w:name="_Toc286650167"/>
      <w:bookmarkStart w:id="6605" w:name="_Toc299610901"/>
      <w:bookmarkStart w:id="6606" w:name="_Toc300320724"/>
      <w:bookmarkStart w:id="6607" w:name="_Toc305407138"/>
      <w:bookmarkStart w:id="6608" w:name="_Toc308192399"/>
      <w:bookmarkStart w:id="6609" w:name="_Toc323545317"/>
      <w:bookmarkStart w:id="6610" w:name="_Toc323560966"/>
    </w:p>
    <w:p w14:paraId="0BAA04C8" w14:textId="77777777" w:rsidR="007968EC" w:rsidRPr="002C0D19" w:rsidRDefault="007968EC" w:rsidP="007968EC">
      <w:pPr>
        <w:pStyle w:val="TTULO"/>
        <w:rPr>
          <w:lang w:val="es-ES"/>
        </w:rPr>
      </w:pPr>
      <w:bookmarkStart w:id="6611" w:name="_Toc31716620"/>
      <w:bookmarkEnd w:id="6600"/>
      <w:bookmarkEnd w:id="6601"/>
      <w:bookmarkEnd w:id="6602"/>
      <w:bookmarkEnd w:id="6603"/>
      <w:bookmarkEnd w:id="6604"/>
      <w:bookmarkEnd w:id="6605"/>
      <w:bookmarkEnd w:id="6606"/>
      <w:bookmarkEnd w:id="6607"/>
      <w:bookmarkEnd w:id="6608"/>
      <w:bookmarkEnd w:id="6609"/>
      <w:bookmarkEnd w:id="6610"/>
      <w:r w:rsidRPr="002C0D19">
        <w:rPr>
          <w:lang w:val="es-ES"/>
        </w:rPr>
        <w:lastRenderedPageBreak/>
        <w:t>ANEXO 26</w:t>
      </w:r>
      <w:bookmarkEnd w:id="6611"/>
    </w:p>
    <w:p w14:paraId="14862D66" w14:textId="77777777" w:rsidR="007968EC" w:rsidRPr="002C0D19" w:rsidRDefault="007968EC" w:rsidP="007968EC">
      <w:pPr>
        <w:pStyle w:val="TTULO"/>
        <w:rPr>
          <w:lang w:val="es-ES"/>
        </w:rPr>
      </w:pPr>
    </w:p>
    <w:p w14:paraId="7A885321" w14:textId="77777777" w:rsidR="007968EC" w:rsidRPr="00991BD9" w:rsidRDefault="007968EC" w:rsidP="007968EC">
      <w:pPr>
        <w:jc w:val="center"/>
        <w:rPr>
          <w:rFonts w:ascii="Arial Narrow" w:hAnsi="Arial Narrow" w:cs="Arial"/>
          <w:b/>
          <w:color w:val="000000" w:themeColor="text1"/>
          <w:lang w:val="es-ES" w:eastAsia="es-ES"/>
        </w:rPr>
      </w:pPr>
      <w:r w:rsidRPr="00991BD9">
        <w:rPr>
          <w:rFonts w:ascii="Arial Narrow" w:hAnsi="Arial Narrow" w:cs="Arial"/>
          <w:b/>
          <w:color w:val="000000" w:themeColor="text1"/>
          <w:lang w:val="es-ES" w:eastAsia="es-ES"/>
        </w:rPr>
        <w:t xml:space="preserve">CONTENIDO MÍNIMO DE LA CLÁUSULA ESPECIAL PARA COMPENSAR Y LIQUIDAR A TRAVÉS DE LA CÁMARA OPERACIONES SOBRE INSTRUMENTOS FINANCIEROS DERIVADOS NO ESTANDARIZADOS CELEBRADAS ENTRE LAS PARTES QUE TIENEN LA CALIDAD DE MIEMBROS DE LA CÁMARA DE RIESGO CENTRAL DE CONTRAPARTE DE COLOMBIA S.A. </w:t>
      </w:r>
    </w:p>
    <w:p w14:paraId="5AEA1837" w14:textId="77777777" w:rsidR="007968EC" w:rsidRPr="002C0D19" w:rsidRDefault="007968EC" w:rsidP="007968EC">
      <w:pPr>
        <w:jc w:val="center"/>
        <w:rPr>
          <w:rFonts w:ascii="Arial Narrow" w:hAnsi="Arial Narrow" w:cs="Arial"/>
          <w:b/>
          <w:color w:val="000000" w:themeColor="text1"/>
          <w:lang w:val="es-ES" w:eastAsia="es-ES"/>
        </w:rPr>
      </w:pPr>
    </w:p>
    <w:p w14:paraId="61AFE04D" w14:textId="77777777" w:rsidR="007968EC" w:rsidRPr="002C0D19" w:rsidRDefault="007968EC" w:rsidP="007968EC">
      <w:pPr>
        <w:jc w:val="center"/>
        <w:rPr>
          <w:rFonts w:ascii="Arial Narrow" w:hAnsi="Arial Narrow" w:cs="Arial"/>
          <w:b/>
          <w:i/>
          <w:color w:val="000000" w:themeColor="text1"/>
          <w:lang w:val="es-ES" w:eastAsia="es-ES"/>
        </w:rPr>
      </w:pPr>
    </w:p>
    <w:p w14:paraId="333CE083" w14:textId="77777777" w:rsidR="007968EC" w:rsidRPr="002C0D19" w:rsidRDefault="007968EC" w:rsidP="007968EC">
      <w:pPr>
        <w:jc w:val="both"/>
        <w:rPr>
          <w:rFonts w:ascii="Arial Narrow" w:hAnsi="Arial Narrow" w:cs="Arial"/>
          <w:b/>
          <w:color w:val="000000" w:themeColor="text1"/>
          <w:lang w:val="es-ES_tradnl" w:eastAsia="es-CO"/>
        </w:rPr>
      </w:pPr>
      <w:r w:rsidRPr="002C0D19">
        <w:rPr>
          <w:rFonts w:ascii="Arial Narrow" w:hAnsi="Arial Narrow" w:cs="Arial"/>
          <w:b/>
          <w:color w:val="000000" w:themeColor="text1"/>
          <w:lang w:val="es-ES_tradnl" w:eastAsia="es-CO"/>
        </w:rPr>
        <w:t xml:space="preserve">Las Partes </w:t>
      </w:r>
      <w:r w:rsidRPr="002C0D19">
        <w:rPr>
          <w:rFonts w:ascii="Arial Narrow" w:hAnsi="Arial Narrow" w:cs="Arial"/>
          <w:color w:val="000000" w:themeColor="text1"/>
          <w:lang w:val="es-ES_tradnl" w:eastAsia="es-CO"/>
        </w:rPr>
        <w:t xml:space="preserve">en su calidad de Miembros activos de la Cámara de Riesgo Central de Contraparte de Colombia S.A., en adelante </w:t>
      </w:r>
      <w:r w:rsidRPr="002C0D19">
        <w:rPr>
          <w:rFonts w:ascii="Arial Narrow" w:hAnsi="Arial Narrow" w:cs="Arial"/>
          <w:b/>
          <w:color w:val="000000" w:themeColor="text1"/>
          <w:lang w:val="es-ES_tradnl" w:eastAsia="es-CO"/>
        </w:rPr>
        <w:t xml:space="preserve">LA CRCC </w:t>
      </w:r>
      <w:r w:rsidRPr="002C0D19">
        <w:rPr>
          <w:rFonts w:ascii="Arial Narrow" w:hAnsi="Arial Narrow" w:cs="Arial"/>
          <w:color w:val="000000" w:themeColor="text1"/>
          <w:lang w:val="es-ES_tradnl" w:eastAsia="es-CO"/>
        </w:rPr>
        <w:t xml:space="preserve">acuerdan compensar y liquidar través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eastAsia="es-CO"/>
        </w:rPr>
        <w:t xml:space="preserve"> con las particularidades que se establezcan por la Cámara para el Segmento que los agrupe</w:t>
      </w:r>
      <w:r w:rsidRPr="002C0D19">
        <w:rPr>
          <w:rFonts w:ascii="Arial Narrow" w:hAnsi="Arial Narrow" w:cs="Arial"/>
          <w:color w:val="000000" w:themeColor="text1"/>
          <w:lang w:val="es-ES_tradnl" w:eastAsia="es-CO"/>
        </w:rPr>
        <w:t>,</w:t>
      </w:r>
      <w:r w:rsidRPr="002C0D19">
        <w:rPr>
          <w:rFonts w:ascii="Arial Narrow" w:hAnsi="Arial Narrow" w:cs="Arial"/>
          <w:b/>
          <w:color w:val="000000" w:themeColor="text1"/>
          <w:lang w:val="es-ES_tradnl" w:eastAsia="es-CO"/>
        </w:rPr>
        <w:t xml:space="preserve"> </w:t>
      </w:r>
      <w:r w:rsidRPr="002C0D19">
        <w:rPr>
          <w:rFonts w:ascii="Arial Narrow" w:hAnsi="Arial Narrow" w:cs="Arial"/>
          <w:color w:val="000000" w:themeColor="text1"/>
          <w:lang w:val="es-ES_tradnl" w:eastAsia="es-CO"/>
        </w:rPr>
        <w:t xml:space="preserve">las operaciones celebradas entre sí sobre Instrumentos Financieros Derivados No Estandarizados de conformidad con los siguientes términos y condiciones: </w:t>
      </w:r>
    </w:p>
    <w:p w14:paraId="417DC2B4" w14:textId="77777777" w:rsidR="007968EC" w:rsidRPr="002C0D19" w:rsidRDefault="007968EC" w:rsidP="007968EC">
      <w:pPr>
        <w:jc w:val="both"/>
        <w:rPr>
          <w:rFonts w:ascii="Arial Narrow" w:hAnsi="Arial Narrow" w:cs="Arial"/>
          <w:b/>
          <w:color w:val="000000" w:themeColor="text1"/>
          <w:lang w:val="es-ES_tradnl" w:eastAsia="es-CO"/>
        </w:rPr>
      </w:pPr>
    </w:p>
    <w:p w14:paraId="10A34750" w14:textId="77777777" w:rsidR="007968EC" w:rsidRPr="002C0D19" w:rsidRDefault="007968EC" w:rsidP="00DA7472">
      <w:pPr>
        <w:numPr>
          <w:ilvl w:val="0"/>
          <w:numId w:val="67"/>
        </w:numPr>
        <w:ind w:left="567" w:hanging="567"/>
        <w:contextualSpacing/>
        <w:jc w:val="both"/>
        <w:rPr>
          <w:rFonts w:ascii="Arial Narrow" w:hAnsi="Arial Narrow" w:cs="Arial"/>
          <w:b/>
          <w:color w:val="000000" w:themeColor="text1"/>
          <w:lang w:val="es-ES_tradnl" w:eastAsia="es-CO"/>
        </w:rPr>
      </w:pPr>
      <w:r w:rsidRPr="002C0D19">
        <w:rPr>
          <w:rFonts w:ascii="Arial Narrow" w:hAnsi="Arial Narrow" w:cs="Arial"/>
          <w:color w:val="000000" w:themeColor="text1"/>
          <w:lang w:val="es-ES_tradnl" w:eastAsia="es-CO"/>
        </w:rPr>
        <w:t>Para la remisión de operaciones</w:t>
      </w:r>
      <w:r w:rsidRPr="002C0D19">
        <w:rPr>
          <w:rFonts w:ascii="Arial Narrow" w:hAnsi="Arial Narrow" w:cs="Arial"/>
          <w:b/>
          <w:color w:val="000000" w:themeColor="text1"/>
          <w:lang w:val="es-ES_tradnl" w:eastAsia="es-CO"/>
        </w:rPr>
        <w:t xml:space="preserve"> Las Partes</w:t>
      </w:r>
      <w:r w:rsidRPr="002C0D19">
        <w:rPr>
          <w:rFonts w:ascii="Arial Narrow" w:hAnsi="Arial Narrow" w:cs="Arial"/>
          <w:color w:val="000000" w:themeColor="text1"/>
          <w:lang w:val="es-ES_tradnl" w:eastAsia="es-CO"/>
        </w:rPr>
        <w:t xml:space="preserve"> darán cumplimiento estricto al Reglamento de Funcionamiento, la Circular Única y los Instructivos Operativos de</w:t>
      </w:r>
      <w:r w:rsidRPr="002C0D19">
        <w:rPr>
          <w:rFonts w:ascii="Arial Narrow" w:hAnsi="Arial Narrow" w:cs="Arial"/>
          <w:b/>
          <w:color w:val="000000" w:themeColor="text1"/>
          <w:lang w:val="es-ES_tradnl" w:eastAsia="es-CO"/>
        </w:rPr>
        <w:t xml:space="preserve"> LA CRCC.</w:t>
      </w:r>
    </w:p>
    <w:p w14:paraId="62F38C52" w14:textId="77777777" w:rsidR="007968EC" w:rsidRPr="002C0D19" w:rsidRDefault="007968EC" w:rsidP="00DA7472">
      <w:pPr>
        <w:numPr>
          <w:ilvl w:val="0"/>
          <w:numId w:val="67"/>
        </w:numPr>
        <w:ind w:left="567" w:hanging="567"/>
        <w:contextualSpacing/>
        <w:jc w:val="both"/>
        <w:rPr>
          <w:rFonts w:ascii="Arial Narrow" w:hAnsi="Arial Narrow" w:cs="Arial"/>
          <w:b/>
          <w:color w:val="000000" w:themeColor="text1"/>
          <w:lang w:val="es-ES_tradnl" w:eastAsia="es-CO"/>
        </w:rPr>
      </w:pPr>
      <w:r w:rsidRPr="002C0D19">
        <w:rPr>
          <w:rFonts w:ascii="Arial Narrow" w:hAnsi="Arial Narrow" w:cs="Arial"/>
          <w:color w:val="000000" w:themeColor="text1"/>
          <w:lang w:val="es-ES_tradnl" w:eastAsia="es-CO"/>
        </w:rPr>
        <w:t xml:space="preserve">Las operaciones sobre Instrumentos Financieros Derivados No Estandarizados que </w:t>
      </w:r>
      <w:r w:rsidRPr="002C0D19">
        <w:rPr>
          <w:rFonts w:ascii="Arial Narrow" w:hAnsi="Arial Narrow" w:cs="Arial"/>
          <w:b/>
          <w:color w:val="000000" w:themeColor="text1"/>
          <w:lang w:val="es-ES_tradnl" w:eastAsia="es-CO"/>
        </w:rPr>
        <w:t xml:space="preserve">Las Partes </w:t>
      </w:r>
      <w:r w:rsidRPr="002C0D19">
        <w:rPr>
          <w:rFonts w:ascii="Arial Narrow" w:hAnsi="Arial Narrow" w:cs="Arial"/>
          <w:color w:val="000000" w:themeColor="text1"/>
          <w:lang w:val="es-ES_tradnl" w:eastAsia="es-CO"/>
        </w:rPr>
        <w:t>celebren entre sí y pretendan compensar y liquidar a través de</w:t>
      </w:r>
      <w:r w:rsidRPr="002C0D19">
        <w:rPr>
          <w:rFonts w:ascii="Arial Narrow" w:hAnsi="Arial Narrow" w:cs="Arial"/>
          <w:b/>
          <w:color w:val="000000" w:themeColor="text1"/>
          <w:lang w:val="es-ES_tradnl" w:eastAsia="es-CO"/>
        </w:rPr>
        <w:t xml:space="preserve"> LA CRCC </w:t>
      </w:r>
      <w:r w:rsidRPr="002C0D19">
        <w:rPr>
          <w:rFonts w:ascii="Arial Narrow" w:hAnsi="Arial Narrow" w:cs="Arial"/>
          <w:color w:val="000000" w:themeColor="text1"/>
          <w:lang w:val="es-ES_tradnl" w:eastAsia="es-CO"/>
        </w:rPr>
        <w:t>únicamente podrán remitirlas  y confirmarlas a</w:t>
      </w:r>
      <w:r w:rsidRPr="002C0D19">
        <w:rPr>
          <w:rFonts w:ascii="Arial Narrow" w:hAnsi="Arial Narrow" w:cs="Arial"/>
          <w:b/>
          <w:color w:val="000000" w:themeColor="text1"/>
          <w:lang w:val="es-ES_tradnl" w:eastAsia="es-CO"/>
        </w:rPr>
        <w:t xml:space="preserve"> LA CRCC </w:t>
      </w:r>
      <w:r w:rsidRPr="002C0D19">
        <w:rPr>
          <w:rFonts w:ascii="Arial Narrow" w:hAnsi="Arial Narrow" w:cs="Arial"/>
          <w:color w:val="000000" w:themeColor="text1"/>
          <w:lang w:val="es-ES_tradnl" w:eastAsia="es-CO"/>
        </w:rPr>
        <w:t>por intermedio de los sistemas de negociación y/o registro de operaciones autorizados por ésta y de acuerdo con lo dispuesto en el Reglamento de Funcionamiento de</w:t>
      </w:r>
      <w:r w:rsidRPr="002C0D19">
        <w:rPr>
          <w:rFonts w:ascii="Arial Narrow" w:hAnsi="Arial Narrow" w:cs="Arial"/>
          <w:b/>
          <w:color w:val="000000" w:themeColor="text1"/>
          <w:lang w:val="es-ES_tradnl" w:eastAsia="es-CO"/>
        </w:rPr>
        <w:t xml:space="preserve"> LA CRCC. </w:t>
      </w:r>
    </w:p>
    <w:p w14:paraId="345B11D6" w14:textId="77777777" w:rsidR="007968EC" w:rsidRPr="002C0D19" w:rsidRDefault="007968EC" w:rsidP="00DA7472">
      <w:pPr>
        <w:numPr>
          <w:ilvl w:val="0"/>
          <w:numId w:val="67"/>
        </w:numPr>
        <w:ind w:left="567" w:hanging="567"/>
        <w:contextualSpacing/>
        <w:jc w:val="both"/>
        <w:rPr>
          <w:rFonts w:ascii="Arial Narrow" w:hAnsi="Arial Narrow" w:cs="Arial"/>
          <w:b/>
          <w:color w:val="000000" w:themeColor="text1"/>
          <w:lang w:val="es-ES_tradnl" w:eastAsia="es-CO"/>
        </w:rPr>
      </w:pPr>
      <w:r w:rsidRPr="002C0D19">
        <w:rPr>
          <w:rFonts w:ascii="Arial Narrow" w:hAnsi="Arial Narrow" w:cs="Arial"/>
          <w:b/>
          <w:color w:val="000000" w:themeColor="text1"/>
          <w:lang w:val="es-ES_tradnl" w:eastAsia="es-CO"/>
        </w:rPr>
        <w:t xml:space="preserve">Las Partes </w:t>
      </w:r>
      <w:r w:rsidRPr="002C0D19">
        <w:rPr>
          <w:rFonts w:ascii="Arial Narrow" w:hAnsi="Arial Narrow" w:cs="Arial"/>
          <w:color w:val="000000" w:themeColor="text1"/>
          <w:lang w:val="es-ES_tradnl" w:eastAsia="es-CO"/>
        </w:rPr>
        <w:t xml:space="preserve">aceptan que los derechos y obligaciones derivados de las operaciones sobre Instrumentos Financieros Derivados No Estandarizados celebradas entre sí, que se remitan a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y que ésta acepte como contraparte, sean automáticamente novados, con ocasión de su remisión y de la interposición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como contraparte, surgiendo nuevos derechos y obligaciones de y frente a ésta y extinguiéndose los que hasta ese momento existieran entre </w:t>
      </w:r>
      <w:r w:rsidRPr="002C0D19">
        <w:rPr>
          <w:rFonts w:ascii="Arial Narrow" w:hAnsi="Arial Narrow" w:cs="Arial"/>
          <w:b/>
          <w:color w:val="000000" w:themeColor="text1"/>
          <w:lang w:val="es-ES_tradnl" w:eastAsia="es-CO"/>
        </w:rPr>
        <w:t>Las Partes</w:t>
      </w:r>
      <w:r w:rsidRPr="002C0D19">
        <w:rPr>
          <w:rFonts w:ascii="Arial Narrow" w:hAnsi="Arial Narrow" w:cs="Arial"/>
          <w:color w:val="000000" w:themeColor="text1"/>
          <w:lang w:val="es-ES_tradnl" w:eastAsia="es-CO"/>
        </w:rPr>
        <w:t xml:space="preserve"> en relación con la operación sobre Instrumentos Financieros Derivados No Estandarizados. En ese sentido, una vez aceptada la operación celebrada sobre un Instrumento Financiero Derivado No Estandarizado, para compensación y liquidación por parte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dicha operación será novada y se crearán dos nuevas operaciones cuyos términos económicos serán los de la operación original, una entre </w:t>
      </w:r>
      <w:r w:rsidRPr="002C0D19">
        <w:rPr>
          <w:rFonts w:ascii="Arial Narrow" w:hAnsi="Arial Narrow" w:cs="Arial"/>
          <w:b/>
          <w:color w:val="000000" w:themeColor="text1"/>
          <w:lang w:val="es-ES_tradnl" w:eastAsia="es-CO"/>
        </w:rPr>
        <w:t xml:space="preserve">la Parte A </w:t>
      </w:r>
      <w:r w:rsidRPr="002C0D19">
        <w:rPr>
          <w:rFonts w:ascii="Arial Narrow" w:hAnsi="Arial Narrow" w:cs="Arial"/>
          <w:color w:val="000000" w:themeColor="text1"/>
          <w:lang w:val="es-ES_tradnl" w:eastAsia="es-CO"/>
        </w:rPr>
        <w:t xml:space="preserve">y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que actuará como contraparte del mismo, y otra entre </w:t>
      </w:r>
      <w:r w:rsidRPr="002C0D19">
        <w:rPr>
          <w:rFonts w:ascii="Arial Narrow" w:hAnsi="Arial Narrow" w:cs="Arial"/>
          <w:b/>
          <w:color w:val="000000" w:themeColor="text1"/>
          <w:lang w:val="es-ES_tradnl" w:eastAsia="es-CO"/>
        </w:rPr>
        <w:t>la Parte B</w:t>
      </w:r>
      <w:r w:rsidRPr="002C0D19">
        <w:rPr>
          <w:rFonts w:ascii="Arial Narrow" w:hAnsi="Arial Narrow" w:cs="Arial"/>
          <w:color w:val="000000" w:themeColor="text1"/>
          <w:lang w:val="es-ES_tradnl" w:eastAsia="es-CO"/>
        </w:rPr>
        <w:t xml:space="preserve"> y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que actuará también como contraparte del mismo. </w:t>
      </w:r>
    </w:p>
    <w:p w14:paraId="24C815BC" w14:textId="77777777" w:rsidR="007968EC" w:rsidRPr="002C0D19" w:rsidRDefault="007968EC" w:rsidP="00DA7472">
      <w:pPr>
        <w:numPr>
          <w:ilvl w:val="0"/>
          <w:numId w:val="67"/>
        </w:numPr>
        <w:ind w:left="567" w:hanging="567"/>
        <w:contextualSpacing/>
        <w:jc w:val="both"/>
        <w:rPr>
          <w:rFonts w:ascii="Arial Narrow" w:hAnsi="Arial Narrow" w:cs="Arial"/>
          <w:b/>
          <w:color w:val="000000" w:themeColor="text1"/>
          <w:lang w:val="es-ES_tradnl" w:eastAsia="es-CO"/>
        </w:rPr>
      </w:pPr>
      <w:r w:rsidRPr="002C0D19">
        <w:rPr>
          <w:rFonts w:ascii="Arial Narrow" w:hAnsi="Arial Narrow" w:cs="Arial"/>
          <w:b/>
          <w:color w:val="000000" w:themeColor="text1"/>
          <w:lang w:val="es-ES_tradnl" w:eastAsia="es-CO"/>
        </w:rPr>
        <w:t>Las Partes</w:t>
      </w:r>
      <w:r w:rsidRPr="002C0D19">
        <w:rPr>
          <w:rFonts w:ascii="Arial Narrow" w:hAnsi="Arial Narrow" w:cs="Arial"/>
          <w:color w:val="000000" w:themeColor="text1"/>
          <w:lang w:val="es-ES_tradnl" w:eastAsia="es-CO"/>
        </w:rPr>
        <w:t xml:space="preserve"> manifiestan que en virtud de la novación serán relevadas solamente de los derechos y obligaciones derivadas de la respectiva operación sobre el Instrumento Financiero Derivado No Estandarizado original, cuyo cumplimiento deba realizarse después de aceptada la operación por parte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w:t>
      </w:r>
    </w:p>
    <w:p w14:paraId="2AF6A2B7" w14:textId="77777777" w:rsidR="007968EC" w:rsidRPr="002C0D19" w:rsidRDefault="007968EC" w:rsidP="00DA7472">
      <w:pPr>
        <w:numPr>
          <w:ilvl w:val="0"/>
          <w:numId w:val="67"/>
        </w:numPr>
        <w:ind w:left="567" w:hanging="567"/>
        <w:contextualSpacing/>
        <w:jc w:val="both"/>
        <w:rPr>
          <w:rFonts w:ascii="Arial Narrow" w:hAnsi="Arial Narrow" w:cs="Arial"/>
          <w:b/>
          <w:color w:val="000000" w:themeColor="text1"/>
          <w:lang w:val="es-ES_tradnl" w:eastAsia="es-CO"/>
        </w:rPr>
      </w:pPr>
      <w:r w:rsidRPr="002C0D19">
        <w:rPr>
          <w:rFonts w:ascii="Arial Narrow" w:hAnsi="Arial Narrow" w:cs="Arial"/>
          <w:b/>
          <w:color w:val="000000" w:themeColor="text1"/>
          <w:lang w:val="es-ES_tradnl" w:eastAsia="es-CO"/>
        </w:rPr>
        <w:t>Las Partes</w:t>
      </w:r>
      <w:r w:rsidRPr="002C0D19">
        <w:rPr>
          <w:rFonts w:ascii="Arial Narrow" w:hAnsi="Arial Narrow" w:cs="Arial"/>
          <w:color w:val="000000" w:themeColor="text1"/>
          <w:lang w:val="es-ES_tradnl" w:eastAsia="es-CO"/>
        </w:rPr>
        <w:t xml:space="preserve"> declaran que conocen y aceptan que el principio de finalidad establecido en las disposiciones legales vigentes y en el Reglamento de Funcionamiento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se extiende a las operaciones sobre Instrumentos Financieros Derivados No Estandarizados celebradas entre sí, aceptadas por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en su función de contraparte desde el momento de su aceptación y se aplica a todos los actos necesarios para su cumplimiento, incluida la compensación a que se refiere el artículo 17 de la Ley 964 de 2005.</w:t>
      </w:r>
    </w:p>
    <w:p w14:paraId="52CD2304" w14:textId="77777777" w:rsidR="007968EC" w:rsidRPr="002C0D19" w:rsidRDefault="007968EC" w:rsidP="00DA7472">
      <w:pPr>
        <w:numPr>
          <w:ilvl w:val="0"/>
          <w:numId w:val="67"/>
        </w:numPr>
        <w:ind w:left="567" w:hanging="567"/>
        <w:contextualSpacing/>
        <w:jc w:val="both"/>
        <w:rPr>
          <w:rFonts w:ascii="Arial Narrow" w:hAnsi="Arial Narrow" w:cs="Arial"/>
          <w:b/>
          <w:color w:val="000000" w:themeColor="text1"/>
          <w:lang w:val="es-ES_tradnl" w:eastAsia="es-CO"/>
        </w:rPr>
      </w:pPr>
      <w:r w:rsidRPr="002C0D19">
        <w:rPr>
          <w:rFonts w:ascii="Arial Narrow" w:hAnsi="Arial Narrow" w:cs="Arial"/>
          <w:b/>
          <w:color w:val="000000" w:themeColor="text1"/>
          <w:lang w:val="es-ES_tradnl" w:eastAsia="es-CO"/>
        </w:rPr>
        <w:t>Las Partes</w:t>
      </w:r>
      <w:r w:rsidRPr="002C0D19">
        <w:rPr>
          <w:rFonts w:ascii="Arial Narrow" w:hAnsi="Arial Narrow" w:cs="Arial"/>
          <w:color w:val="000000" w:themeColor="text1"/>
          <w:lang w:val="es-ES_tradnl" w:eastAsia="es-CO"/>
        </w:rPr>
        <w:t xml:space="preserve"> declaran que si por cualquier razón ya sea de tipo operativo, tecnológico o de riesgo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rechaza o no recibe una o varias </w:t>
      </w:r>
      <w:r w:rsidRPr="002C0D19">
        <w:rPr>
          <w:rFonts w:ascii="Arial Narrow" w:hAnsi="Arial Narrow" w:cs="Arial"/>
          <w:color w:val="000000" w:themeColor="text1"/>
          <w:lang w:eastAsia="es-CO"/>
        </w:rPr>
        <w:t xml:space="preserve">operaciones sobre </w:t>
      </w:r>
      <w:r w:rsidRPr="002C0D19">
        <w:rPr>
          <w:rFonts w:ascii="Arial Narrow" w:hAnsi="Arial Narrow" w:cs="Arial"/>
          <w:color w:val="000000" w:themeColor="text1"/>
          <w:lang w:val="es-ES_tradnl" w:eastAsia="es-CO"/>
        </w:rPr>
        <w:t xml:space="preserve">Instrumentos Financieros Derivados No </w:t>
      </w:r>
      <w:r w:rsidRPr="002C0D19">
        <w:rPr>
          <w:rFonts w:ascii="Arial Narrow" w:hAnsi="Arial Narrow" w:cs="Arial"/>
          <w:color w:val="000000" w:themeColor="text1"/>
          <w:lang w:val="es-ES_tradnl" w:eastAsia="es-CO"/>
        </w:rPr>
        <w:lastRenderedPageBreak/>
        <w:t xml:space="preserve">Estandarizados celebradas entre sí, remitidas para su compensación y liquidación por parte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dichas operaciones se seguirán rigiendo por el contrato o acuerdo original suscrito entre </w:t>
      </w:r>
      <w:r w:rsidRPr="002C0D19">
        <w:rPr>
          <w:rFonts w:ascii="Arial Narrow" w:hAnsi="Arial Narrow" w:cs="Arial"/>
          <w:b/>
          <w:color w:val="000000" w:themeColor="text1"/>
          <w:lang w:val="es-ES_tradnl" w:eastAsia="es-CO"/>
        </w:rPr>
        <w:t>Las Partes</w:t>
      </w:r>
      <w:r w:rsidRPr="002C0D19">
        <w:rPr>
          <w:rFonts w:ascii="Arial Narrow" w:hAnsi="Arial Narrow" w:cs="Arial"/>
          <w:color w:val="000000" w:themeColor="text1"/>
          <w:lang w:val="es-ES_tradnl" w:eastAsia="es-CO"/>
        </w:rPr>
        <w:t xml:space="preserve">, dichas operaciones serán vinculantes para </w:t>
      </w:r>
      <w:r w:rsidRPr="002C0D19">
        <w:rPr>
          <w:rFonts w:ascii="Arial Narrow" w:hAnsi="Arial Narrow" w:cs="Arial"/>
          <w:b/>
          <w:color w:val="000000" w:themeColor="text1"/>
          <w:lang w:val="es-ES_tradnl" w:eastAsia="es-CO"/>
        </w:rPr>
        <w:t>Las Partes</w:t>
      </w:r>
      <w:r w:rsidRPr="002C0D19">
        <w:rPr>
          <w:rFonts w:ascii="Arial Narrow" w:hAnsi="Arial Narrow" w:cs="Arial"/>
          <w:color w:val="000000" w:themeColor="text1"/>
          <w:lang w:val="es-ES_tradnl" w:eastAsia="es-CO"/>
        </w:rPr>
        <w:t xml:space="preserve"> y por lo tanto, el cumplimiento de las mismas estará exclusivamente a su cargo en los términos del contrato celebrado por ellas.</w:t>
      </w:r>
    </w:p>
    <w:p w14:paraId="22C536CF" w14:textId="77777777" w:rsidR="007968EC" w:rsidRPr="002C0D19" w:rsidRDefault="007968EC" w:rsidP="00DA7472">
      <w:pPr>
        <w:numPr>
          <w:ilvl w:val="0"/>
          <w:numId w:val="67"/>
        </w:numPr>
        <w:ind w:left="567" w:hanging="567"/>
        <w:contextualSpacing/>
        <w:jc w:val="both"/>
        <w:rPr>
          <w:rFonts w:ascii="Arial Narrow" w:hAnsi="Arial Narrow" w:cs="Arial"/>
          <w:b/>
          <w:color w:val="000000" w:themeColor="text1"/>
          <w:lang w:val="es-ES_tradnl" w:eastAsia="es-CO"/>
        </w:rPr>
      </w:pPr>
      <w:r w:rsidRPr="002C0D19">
        <w:rPr>
          <w:rFonts w:ascii="Arial Narrow" w:hAnsi="Arial Narrow" w:cs="Arial"/>
          <w:b/>
          <w:color w:val="000000" w:themeColor="text1"/>
          <w:lang w:val="es-ES_tradnl" w:eastAsia="es-CO"/>
        </w:rPr>
        <w:t>Las Partes</w:t>
      </w:r>
      <w:r w:rsidRPr="002C0D19">
        <w:rPr>
          <w:rFonts w:ascii="Arial Narrow" w:hAnsi="Arial Narrow" w:cs="Arial"/>
          <w:color w:val="000000" w:themeColor="text1"/>
          <w:lang w:val="es-ES_tradnl" w:eastAsia="es-CO"/>
        </w:rPr>
        <w:t xml:space="preserve"> mantendrán a disposición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el original de la presente Cláusula, el cual podrá ser solicitado por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en cualquier momento.</w:t>
      </w:r>
    </w:p>
    <w:p w14:paraId="02D45B53" w14:textId="77777777" w:rsidR="007968EC" w:rsidRPr="002C0D19" w:rsidRDefault="007968EC" w:rsidP="00DA7472">
      <w:pPr>
        <w:numPr>
          <w:ilvl w:val="0"/>
          <w:numId w:val="67"/>
        </w:numPr>
        <w:ind w:left="567" w:hanging="567"/>
        <w:contextualSpacing/>
        <w:jc w:val="both"/>
        <w:rPr>
          <w:rFonts w:ascii="Arial Narrow" w:hAnsi="Arial Narrow" w:cs="Arial"/>
          <w:b/>
          <w:color w:val="000000" w:themeColor="text1"/>
          <w:lang w:val="es-ES_tradnl" w:eastAsia="es-CO"/>
        </w:rPr>
      </w:pPr>
      <w:r w:rsidRPr="002C0D19">
        <w:rPr>
          <w:rFonts w:ascii="Arial Narrow" w:hAnsi="Arial Narrow" w:cs="Arial"/>
          <w:b/>
          <w:color w:val="000000" w:themeColor="text1"/>
          <w:lang w:val="es-ES_tradnl" w:eastAsia="es-CO"/>
        </w:rPr>
        <w:t>Las Partes</w:t>
      </w:r>
      <w:r w:rsidRPr="002C0D19">
        <w:rPr>
          <w:rFonts w:ascii="Arial Narrow" w:hAnsi="Arial Narrow" w:cs="Arial"/>
          <w:color w:val="000000" w:themeColor="text1"/>
          <w:lang w:val="es-ES_tradnl" w:eastAsia="es-CO"/>
        </w:rPr>
        <w:t xml:space="preserve"> se obligan a notificar en forma inmediata y por escrito a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en el evento de terminación del Contrato Marco o de la presente Cláusula. </w:t>
      </w:r>
    </w:p>
    <w:p w14:paraId="27C03481" w14:textId="77777777" w:rsidR="007968EC" w:rsidRPr="002C0D19" w:rsidRDefault="007968EC" w:rsidP="007968EC">
      <w:pPr>
        <w:jc w:val="both"/>
        <w:rPr>
          <w:rFonts w:ascii="Arial Narrow" w:hAnsi="Arial Narrow" w:cs="Arial"/>
          <w:color w:val="000000" w:themeColor="text1"/>
          <w:lang w:val="es-ES_tradnl" w:eastAsia="es-CO"/>
        </w:rPr>
      </w:pPr>
    </w:p>
    <w:p w14:paraId="13AAF8EF" w14:textId="77777777" w:rsidR="007968EC" w:rsidRPr="002C0D19" w:rsidRDefault="007968EC" w:rsidP="007968EC">
      <w:pPr>
        <w:jc w:val="both"/>
        <w:rPr>
          <w:rFonts w:ascii="Arial Narrow" w:hAnsi="Arial Narrow" w:cs="Arial"/>
          <w:b/>
          <w:color w:val="000000" w:themeColor="text1"/>
          <w:lang w:val="es-ES_tradnl" w:eastAsia="es-CO"/>
        </w:rPr>
      </w:pPr>
      <w:r w:rsidRPr="002C0D19">
        <w:rPr>
          <w:rFonts w:ascii="Arial Narrow" w:hAnsi="Arial Narrow" w:cs="Arial"/>
          <w:b/>
          <w:color w:val="000000" w:themeColor="text1"/>
          <w:lang w:val="es-ES_tradnl" w:eastAsia="es-CO"/>
        </w:rPr>
        <w:t>PARÁGRAFO PRIMERO: INTENCIÓN DE NOVAR EN EL CAMBIO DE DEUDOR.- Las Partes</w:t>
      </w:r>
      <w:r w:rsidRPr="002C0D19">
        <w:rPr>
          <w:rFonts w:ascii="Arial Narrow" w:hAnsi="Arial Narrow" w:cs="Arial"/>
          <w:color w:val="000000" w:themeColor="text1"/>
          <w:lang w:val="es-ES_tradnl" w:eastAsia="es-CO"/>
        </w:rPr>
        <w:t xml:space="preserve"> declaran expresamente que aceptan que cuando tengan la calidad de acreedores de la otra parte en una operación sobre un Instrumento Financiero Derivado No Estandarizado, su remisión a</w:t>
      </w:r>
      <w:r w:rsidRPr="002C0D19">
        <w:rPr>
          <w:rFonts w:ascii="Arial Narrow" w:hAnsi="Arial Narrow" w:cs="Arial"/>
          <w:b/>
          <w:color w:val="000000" w:themeColor="text1"/>
          <w:lang w:val="es-ES_tradnl" w:eastAsia="es-CO"/>
        </w:rPr>
        <w:t xml:space="preserve"> LA CRCC </w:t>
      </w:r>
      <w:r w:rsidRPr="002C0D19">
        <w:rPr>
          <w:rFonts w:ascii="Arial Narrow" w:hAnsi="Arial Narrow" w:cs="Arial"/>
          <w:color w:val="000000" w:themeColor="text1"/>
          <w:lang w:val="es-ES_tradnl" w:eastAsia="es-CO"/>
        </w:rPr>
        <w:t>para la compensación y liquidación conllevará la liberación de la otra parte deudora.</w:t>
      </w:r>
      <w:r w:rsidRPr="002C0D19">
        <w:rPr>
          <w:rFonts w:ascii="Arial Narrow" w:hAnsi="Arial Narrow" w:cs="Arial"/>
          <w:b/>
          <w:color w:val="000000" w:themeColor="text1"/>
          <w:lang w:val="es-ES_tradnl" w:eastAsia="es-CO"/>
        </w:rPr>
        <w:t xml:space="preserve"> </w:t>
      </w:r>
    </w:p>
    <w:p w14:paraId="211C988E" w14:textId="77777777" w:rsidR="007968EC" w:rsidRPr="002C0D19" w:rsidRDefault="007968EC" w:rsidP="007968EC">
      <w:pPr>
        <w:jc w:val="both"/>
        <w:rPr>
          <w:rFonts w:ascii="Arial Narrow" w:hAnsi="Arial Narrow" w:cs="Arial"/>
          <w:color w:val="000000" w:themeColor="text1"/>
          <w:lang w:val="es-ES_tradnl" w:eastAsia="es-CO"/>
        </w:rPr>
      </w:pPr>
    </w:p>
    <w:p w14:paraId="61154E1C" w14:textId="77777777" w:rsidR="007968EC" w:rsidRPr="002C0D19" w:rsidRDefault="007968EC" w:rsidP="007968EC">
      <w:pPr>
        <w:jc w:val="both"/>
        <w:rPr>
          <w:rFonts w:ascii="Arial Narrow" w:hAnsi="Arial Narrow" w:cs="Arial"/>
          <w:color w:val="000000" w:themeColor="text1"/>
          <w:lang w:val="es-ES_tradnl" w:eastAsia="es-CO"/>
        </w:rPr>
      </w:pPr>
      <w:r w:rsidRPr="002C0D19">
        <w:rPr>
          <w:rFonts w:ascii="Arial Narrow" w:hAnsi="Arial Narrow" w:cs="Arial"/>
          <w:b/>
          <w:color w:val="000000" w:themeColor="text1"/>
          <w:lang w:val="es-ES_tradnl" w:eastAsia="es-CO"/>
        </w:rPr>
        <w:t>PARÁGRAFO SEGUNDO: REGLAMENTO DE FUNCIONAMIENTO DE LA CRCC.-</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Las Partes</w:t>
      </w:r>
      <w:r w:rsidRPr="002C0D19">
        <w:rPr>
          <w:rFonts w:ascii="Arial Narrow" w:hAnsi="Arial Narrow" w:cs="Arial"/>
          <w:color w:val="000000" w:themeColor="text1"/>
          <w:lang w:val="es-ES_tradnl" w:eastAsia="es-CO"/>
        </w:rPr>
        <w:t xml:space="preserve"> declaran que las dos nuevas operaciones y las relaciones contractuales que se deriven de las mismas, así como sus efectos quedan sujetos a los términos de compensación y liquidación y se rigen exclusivamente por el Reglamento de Funcionamiento, las Circulares y los Instructivos Operativos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En caso de discrepancia, incoherencia o contradicción entre los términos de compensación y liquidación y los términos económicos, prevalecerán los términos de compensación y liquidación.</w:t>
      </w:r>
    </w:p>
    <w:p w14:paraId="09626FCD" w14:textId="77777777" w:rsidR="007968EC" w:rsidRPr="002C0D19" w:rsidRDefault="007968EC" w:rsidP="007968EC">
      <w:pPr>
        <w:rPr>
          <w:rFonts w:ascii="Arial Narrow" w:hAnsi="Arial Narrow" w:cs="Arial"/>
          <w:b/>
          <w:color w:val="000000" w:themeColor="text1"/>
          <w:lang w:val="es-ES_tradnl" w:eastAsia="es-ES"/>
        </w:rPr>
      </w:pPr>
    </w:p>
    <w:p w14:paraId="2067C6F8" w14:textId="77777777" w:rsidR="007968EC" w:rsidRPr="002C0D19" w:rsidRDefault="007968EC" w:rsidP="007968EC">
      <w:pPr>
        <w:jc w:val="both"/>
        <w:rPr>
          <w:rFonts w:ascii="Arial Narrow" w:hAnsi="Arial Narrow" w:cs="Arial"/>
          <w:color w:val="000000" w:themeColor="text1"/>
          <w:lang w:val="es-ES_tradnl" w:eastAsia="es-CO"/>
        </w:rPr>
        <w:sectPr w:rsidR="007968EC" w:rsidRPr="002C0D19" w:rsidSect="007968EC">
          <w:pgSz w:w="12242" w:h="15842" w:code="1"/>
          <w:pgMar w:top="1985" w:right="1418" w:bottom="1985" w:left="1418" w:header="851" w:footer="1021" w:gutter="0"/>
          <w:cols w:space="708"/>
          <w:titlePg/>
          <w:docGrid w:linePitch="360"/>
        </w:sectPr>
      </w:pPr>
    </w:p>
    <w:p w14:paraId="4848D41C" w14:textId="77777777" w:rsidR="007968EC" w:rsidRPr="002C0D19" w:rsidRDefault="007968EC" w:rsidP="007968EC">
      <w:pPr>
        <w:pStyle w:val="TTULO"/>
        <w:rPr>
          <w:lang w:val="es-ES"/>
        </w:rPr>
      </w:pPr>
      <w:bookmarkStart w:id="6612" w:name="_Toc31716621"/>
      <w:r w:rsidRPr="002C0D19">
        <w:rPr>
          <w:lang w:val="es-ES"/>
        </w:rPr>
        <w:lastRenderedPageBreak/>
        <w:t>ANEXO 27</w:t>
      </w:r>
      <w:bookmarkEnd w:id="6612"/>
    </w:p>
    <w:p w14:paraId="2CFE22F8" w14:textId="77777777" w:rsidR="007968EC" w:rsidRPr="002C0D19" w:rsidRDefault="007968EC" w:rsidP="007968EC">
      <w:pPr>
        <w:pStyle w:val="TTULO"/>
        <w:rPr>
          <w:lang w:val="es-ES_tradnl" w:eastAsia="es-CO"/>
        </w:rPr>
      </w:pPr>
    </w:p>
    <w:p w14:paraId="2C90540B" w14:textId="77777777" w:rsidR="007968EC" w:rsidRPr="00991BD9" w:rsidRDefault="007968EC" w:rsidP="007968EC">
      <w:pPr>
        <w:jc w:val="center"/>
        <w:rPr>
          <w:rFonts w:ascii="Arial Narrow" w:hAnsi="Arial Narrow" w:cs="Arial"/>
          <w:b/>
          <w:color w:val="000000" w:themeColor="text1"/>
          <w:lang w:val="es-ES" w:eastAsia="es-ES"/>
        </w:rPr>
      </w:pPr>
      <w:r w:rsidRPr="00991BD9">
        <w:rPr>
          <w:rFonts w:ascii="Arial Narrow" w:hAnsi="Arial Narrow" w:cs="Arial"/>
          <w:b/>
          <w:color w:val="000000" w:themeColor="text1"/>
          <w:lang w:val="es-ES" w:eastAsia="es-ES"/>
        </w:rPr>
        <w:t>CONTENIDO MÍNIMO DEL ACUERDO PARA COMPENSAR Y LIQUIDAR A TRAVÉS DE LA CÁMARA DE RIESGO CENTRAL DE CONTRAPARTE DE COLOMBIA S.A. OPERACIONES SOBRE INSTRUMENTOS FINANCIEROS DERIVADOS NO ESTANDARIZADOS CELEBRADAS ENTRE LAS PARTES.</w:t>
      </w:r>
    </w:p>
    <w:p w14:paraId="37F4FC91" w14:textId="77777777" w:rsidR="007968EC" w:rsidRPr="002C0D19" w:rsidRDefault="007968EC" w:rsidP="007968EC">
      <w:pPr>
        <w:rPr>
          <w:rFonts w:ascii="Arial Narrow" w:hAnsi="Arial Narrow" w:cs="Arial"/>
          <w:b/>
          <w:color w:val="000000" w:themeColor="text1"/>
          <w:lang w:val="es-ES" w:eastAsia="es-ES"/>
        </w:rPr>
      </w:pPr>
    </w:p>
    <w:p w14:paraId="4C8A26F5" w14:textId="77777777" w:rsidR="007968EC" w:rsidRPr="002C0D19" w:rsidRDefault="007968EC" w:rsidP="007968EC">
      <w:pPr>
        <w:jc w:val="both"/>
        <w:rPr>
          <w:rFonts w:ascii="Arial Narrow" w:hAnsi="Arial Narrow" w:cs="Arial"/>
          <w:color w:val="000000" w:themeColor="text1"/>
          <w:lang w:val="es-ES" w:eastAsia="es-ES"/>
        </w:rPr>
      </w:pPr>
    </w:p>
    <w:p w14:paraId="6B056E80"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Entre los suscritos a saber</w:t>
      </w:r>
      <w:r w:rsidRPr="002C0D19">
        <w:rPr>
          <w:rFonts w:ascii="Arial Narrow" w:hAnsi="Arial Narrow" w:cs="Arial"/>
          <w:color w:val="000000" w:themeColor="text1"/>
          <w:lang w:val="es-ES_tradnl" w:eastAsia="es-ES"/>
        </w:rPr>
        <w:t>, ……………………………………………………………………….., (“</w:t>
      </w:r>
      <w:r w:rsidRPr="002C0D19">
        <w:rPr>
          <w:rFonts w:ascii="Arial Narrow" w:hAnsi="Arial Narrow" w:cs="Arial"/>
          <w:b/>
          <w:color w:val="000000" w:themeColor="text1"/>
          <w:lang w:val="es-ES_tradnl" w:eastAsia="es-ES"/>
        </w:rPr>
        <w:t>Parte A”)</w:t>
      </w:r>
      <w:r w:rsidRPr="002C0D19">
        <w:rPr>
          <w:rFonts w:ascii="Arial Narrow" w:hAnsi="Arial Narrow" w:cs="Arial"/>
          <w:color w:val="000000" w:themeColor="text1"/>
          <w:lang w:val="es-ES_tradnl" w:eastAsia="es-ES"/>
        </w:rPr>
        <w:t>, y…………………………………………………………………………………………., (“</w:t>
      </w:r>
      <w:r w:rsidRPr="002C0D19">
        <w:rPr>
          <w:rFonts w:ascii="Arial Narrow" w:hAnsi="Arial Narrow" w:cs="Arial"/>
          <w:b/>
          <w:color w:val="000000" w:themeColor="text1"/>
          <w:lang w:val="es-ES_tradnl" w:eastAsia="es-ES"/>
        </w:rPr>
        <w:t xml:space="preserve">Parte B”) </w:t>
      </w:r>
      <w:r w:rsidRPr="002C0D19">
        <w:rPr>
          <w:rFonts w:ascii="Arial Narrow" w:hAnsi="Arial Narrow" w:cs="Arial"/>
          <w:color w:val="000000" w:themeColor="text1"/>
          <w:lang w:val="es-ES_tradnl" w:eastAsia="es-ES"/>
        </w:rPr>
        <w:t>y, conjuntamente con la</w:t>
      </w:r>
      <w:r w:rsidRPr="002C0D19">
        <w:rPr>
          <w:rFonts w:ascii="Arial Narrow" w:hAnsi="Arial Narrow" w:cs="Arial"/>
          <w:b/>
          <w:color w:val="000000" w:themeColor="text1"/>
          <w:lang w:val="es-ES_tradnl" w:eastAsia="es-ES"/>
        </w:rPr>
        <w:t xml:space="preserve"> Parte</w:t>
      </w:r>
      <w:r w:rsidRPr="002C0D19">
        <w:rPr>
          <w:rFonts w:ascii="Arial Narrow" w:hAnsi="Arial Narrow" w:cs="Arial"/>
          <w:color w:val="000000" w:themeColor="text1"/>
          <w:lang w:val="es-ES_tradnl" w:eastAsia="es-ES"/>
        </w:rPr>
        <w:t xml:space="preserve"> </w:t>
      </w:r>
      <w:r w:rsidRPr="002C0D19">
        <w:rPr>
          <w:rFonts w:ascii="Arial Narrow" w:hAnsi="Arial Narrow" w:cs="Arial"/>
          <w:b/>
          <w:color w:val="000000" w:themeColor="text1"/>
          <w:lang w:val="es-ES_tradnl" w:eastAsia="es-ES"/>
        </w:rPr>
        <w:t xml:space="preserve">A, </w:t>
      </w:r>
      <w:r w:rsidRPr="002C0D19">
        <w:rPr>
          <w:rFonts w:ascii="Arial Narrow" w:hAnsi="Arial Narrow" w:cs="Arial"/>
          <w:color w:val="000000" w:themeColor="text1"/>
          <w:lang w:val="es-ES_tradnl" w:eastAsia="es-ES"/>
        </w:rPr>
        <w:t>se denominarán</w:t>
      </w:r>
      <w:r w:rsidRPr="002C0D19">
        <w:rPr>
          <w:rFonts w:ascii="Arial Narrow" w:hAnsi="Arial Narrow" w:cs="Arial"/>
          <w:b/>
          <w:color w:val="000000" w:themeColor="text1"/>
          <w:lang w:val="es-ES_tradnl" w:eastAsia="es-ES"/>
        </w:rPr>
        <w:t xml:space="preserve"> “Las Partes”, </w:t>
      </w:r>
      <w:r w:rsidRPr="002C0D19">
        <w:rPr>
          <w:rFonts w:ascii="Arial Narrow" w:hAnsi="Arial Narrow" w:cs="Arial"/>
          <w:color w:val="000000" w:themeColor="text1"/>
          <w:lang w:val="es-ES_tradnl" w:eastAsia="es-ES"/>
        </w:rPr>
        <w:t xml:space="preserve">han celebrado el presente acuerdo para compensar y liquidar a través de la Cámara de Riesgo Central de Contraparte de Colombia S.A </w:t>
      </w:r>
      <w:r w:rsidRPr="002C0D19">
        <w:rPr>
          <w:rFonts w:ascii="Arial Narrow" w:hAnsi="Arial Narrow" w:cs="Arial"/>
          <w:color w:val="000000" w:themeColor="text1"/>
          <w:lang w:val="es-ES" w:eastAsia="es-ES"/>
        </w:rPr>
        <w:t xml:space="preserve">con las particularidades que se establezcan por la Cámara para el Segmento que los agrupe, </w:t>
      </w:r>
      <w:r w:rsidRPr="002C0D19">
        <w:rPr>
          <w:rFonts w:ascii="Arial Narrow" w:hAnsi="Arial Narrow" w:cs="Arial"/>
          <w:color w:val="000000" w:themeColor="text1"/>
          <w:lang w:val="es-ES_tradnl" w:eastAsia="es-ES"/>
        </w:rPr>
        <w:t>Instrumentos Financieros Derivados No Estandarizados celebrados entre</w:t>
      </w:r>
      <w:r w:rsidRPr="002C0D19">
        <w:rPr>
          <w:rFonts w:ascii="Arial Narrow" w:hAnsi="Arial Narrow" w:cs="Arial"/>
          <w:b/>
          <w:color w:val="000000" w:themeColor="text1"/>
          <w:lang w:val="es-ES_tradnl" w:eastAsia="es-ES"/>
        </w:rPr>
        <w:t xml:space="preserve"> Las Partes</w:t>
      </w:r>
      <w:r w:rsidRPr="002C0D19">
        <w:rPr>
          <w:rFonts w:ascii="Arial Narrow" w:hAnsi="Arial Narrow" w:cs="Arial"/>
          <w:color w:val="000000" w:themeColor="text1"/>
          <w:lang w:val="es-ES_tradnl" w:eastAsia="es-ES"/>
        </w:rPr>
        <w:t>, en adelante</w:t>
      </w:r>
      <w:r w:rsidRPr="002C0D19">
        <w:rPr>
          <w:rFonts w:ascii="Arial Narrow" w:hAnsi="Arial Narrow" w:cs="Arial"/>
          <w:b/>
          <w:color w:val="000000" w:themeColor="text1"/>
          <w:lang w:val="es-ES_tradnl" w:eastAsia="es-ES"/>
        </w:rPr>
        <w:t xml:space="preserve"> EL CONVENIO</w:t>
      </w:r>
      <w:r w:rsidRPr="002C0D19">
        <w:rPr>
          <w:rFonts w:ascii="Arial Narrow" w:hAnsi="Arial Narrow" w:cs="Arial"/>
          <w:color w:val="000000" w:themeColor="text1"/>
          <w:lang w:val="es-ES_tradnl" w:eastAsia="es-ES"/>
        </w:rPr>
        <w:t>,  previas las siguientes:</w:t>
      </w:r>
    </w:p>
    <w:p w14:paraId="4A6D1B1C" w14:textId="77777777" w:rsidR="007968EC" w:rsidRPr="002C0D19" w:rsidRDefault="007968EC" w:rsidP="007968EC">
      <w:pPr>
        <w:jc w:val="center"/>
        <w:rPr>
          <w:rFonts w:ascii="Arial Narrow" w:hAnsi="Arial Narrow" w:cs="Arial"/>
          <w:color w:val="000000" w:themeColor="text1"/>
          <w:lang w:val="es-ES" w:eastAsia="es-ES"/>
        </w:rPr>
      </w:pPr>
    </w:p>
    <w:p w14:paraId="56B5EFB1" w14:textId="77777777" w:rsidR="007968EC" w:rsidRPr="002C0D19" w:rsidRDefault="007968EC" w:rsidP="007968EC">
      <w:pPr>
        <w:jc w:val="center"/>
        <w:rPr>
          <w:rFonts w:ascii="Arial Narrow" w:hAnsi="Arial Narrow" w:cs="Arial"/>
          <w:b/>
          <w:color w:val="000000" w:themeColor="text1"/>
          <w:lang w:val="es-ES_tradnl" w:eastAsia="es-ES"/>
        </w:rPr>
      </w:pPr>
      <w:r w:rsidRPr="002C0D19">
        <w:rPr>
          <w:rFonts w:ascii="Arial Narrow" w:hAnsi="Arial Narrow" w:cs="Arial"/>
          <w:b/>
          <w:color w:val="000000" w:themeColor="text1"/>
          <w:lang w:val="es-ES_tradnl" w:eastAsia="es-ES"/>
        </w:rPr>
        <w:t>CONSIDERACIONES</w:t>
      </w:r>
    </w:p>
    <w:p w14:paraId="1CB93012" w14:textId="77777777" w:rsidR="007968EC" w:rsidRPr="002C0D19" w:rsidRDefault="007968EC" w:rsidP="007968EC">
      <w:pPr>
        <w:jc w:val="center"/>
        <w:rPr>
          <w:rFonts w:ascii="Arial Narrow" w:hAnsi="Arial Narrow" w:cs="Arial"/>
          <w:color w:val="000000" w:themeColor="text1"/>
          <w:lang w:val="es-ES_tradnl" w:eastAsia="es-ES"/>
        </w:rPr>
      </w:pPr>
    </w:p>
    <w:p w14:paraId="0775E30E" w14:textId="77777777" w:rsidR="007968EC" w:rsidRPr="002C0D19" w:rsidRDefault="007968EC" w:rsidP="00DA7472">
      <w:pPr>
        <w:numPr>
          <w:ilvl w:val="0"/>
          <w:numId w:val="236"/>
        </w:numPr>
        <w:contextualSpacing/>
        <w:jc w:val="both"/>
        <w:rPr>
          <w:rFonts w:ascii="Arial Narrow" w:hAnsi="Arial Narrow" w:cs="Arial"/>
          <w:color w:val="000000" w:themeColor="text1"/>
          <w:lang w:val="es-ES_tradnl" w:eastAsia="es-CO"/>
        </w:rPr>
      </w:pPr>
      <w:r w:rsidRPr="002C0D19">
        <w:rPr>
          <w:rFonts w:ascii="Arial Narrow" w:hAnsi="Arial Narrow" w:cs="Arial"/>
          <w:color w:val="000000" w:themeColor="text1"/>
          <w:lang w:val="es-ES_tradnl" w:eastAsia="es-CO"/>
        </w:rPr>
        <w:t xml:space="preserve">Que </w:t>
      </w:r>
      <w:r w:rsidRPr="002C0D19">
        <w:rPr>
          <w:rFonts w:ascii="Arial Narrow" w:hAnsi="Arial Narrow" w:cs="Arial"/>
          <w:b/>
          <w:color w:val="000000" w:themeColor="text1"/>
          <w:lang w:val="es-ES_tradnl" w:eastAsia="es-CO"/>
        </w:rPr>
        <w:t xml:space="preserve">Las Partes </w:t>
      </w:r>
      <w:r w:rsidRPr="002C0D19">
        <w:rPr>
          <w:rFonts w:ascii="Arial Narrow" w:hAnsi="Arial Narrow" w:cs="Arial"/>
          <w:color w:val="000000" w:themeColor="text1"/>
          <w:lang w:val="es-ES_tradnl" w:eastAsia="es-CO"/>
        </w:rPr>
        <w:t xml:space="preserve">tienen la calidad de entidades vigiladas de la Superintendencia Financiera de Colombia. </w:t>
      </w:r>
    </w:p>
    <w:p w14:paraId="5094529F" w14:textId="77777777" w:rsidR="007968EC" w:rsidRPr="002C0D19" w:rsidRDefault="007968EC" w:rsidP="007968EC">
      <w:pPr>
        <w:ind w:left="567"/>
        <w:jc w:val="both"/>
        <w:rPr>
          <w:rFonts w:ascii="Arial Narrow" w:hAnsi="Arial Narrow" w:cs="Arial"/>
          <w:color w:val="000000" w:themeColor="text1"/>
          <w:lang w:val="es-ES_tradnl" w:eastAsia="es-CO"/>
        </w:rPr>
      </w:pPr>
    </w:p>
    <w:p w14:paraId="653282FD" w14:textId="77777777" w:rsidR="007968EC" w:rsidRPr="002C0D19" w:rsidRDefault="007968EC" w:rsidP="00DA7472">
      <w:pPr>
        <w:numPr>
          <w:ilvl w:val="0"/>
          <w:numId w:val="236"/>
        </w:numPr>
        <w:contextualSpacing/>
        <w:jc w:val="both"/>
        <w:rPr>
          <w:rFonts w:ascii="Arial Narrow" w:hAnsi="Arial Narrow" w:cs="Arial"/>
          <w:color w:val="000000" w:themeColor="text1"/>
          <w:lang w:val="es-ES_tradnl" w:eastAsia="es-CO"/>
        </w:rPr>
      </w:pPr>
      <w:r w:rsidRPr="002C0D19">
        <w:rPr>
          <w:rFonts w:ascii="Arial Narrow" w:hAnsi="Arial Narrow" w:cs="Arial"/>
          <w:color w:val="000000" w:themeColor="text1"/>
          <w:lang w:val="es-ES_tradnl" w:eastAsia="es-CO"/>
        </w:rPr>
        <w:t xml:space="preserve">Que </w:t>
      </w:r>
      <w:r w:rsidRPr="002C0D19">
        <w:rPr>
          <w:rFonts w:ascii="Arial Narrow" w:hAnsi="Arial Narrow" w:cs="Arial"/>
          <w:b/>
          <w:color w:val="000000" w:themeColor="text1"/>
          <w:lang w:val="es-ES_tradnl" w:eastAsia="es-CO"/>
        </w:rPr>
        <w:t xml:space="preserve">Las Partes </w:t>
      </w:r>
      <w:r w:rsidRPr="002C0D19">
        <w:rPr>
          <w:rFonts w:ascii="Arial Narrow" w:hAnsi="Arial Narrow" w:cs="Arial"/>
          <w:color w:val="000000" w:themeColor="text1"/>
          <w:lang w:val="es-ES_tradnl" w:eastAsia="es-CO"/>
        </w:rPr>
        <w:t xml:space="preserve">tienen la calidad de Miembros de la Cámara de Riesgo Central de Contraparte de Colombia S.A., en adelante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y se encuentran debidamente afiliados y activos en el Sistema. </w:t>
      </w:r>
    </w:p>
    <w:p w14:paraId="5DD80CF5" w14:textId="77777777" w:rsidR="007968EC" w:rsidRPr="002C0D19" w:rsidRDefault="007968EC" w:rsidP="007968EC">
      <w:pPr>
        <w:ind w:firstLine="105"/>
        <w:jc w:val="both"/>
        <w:rPr>
          <w:rFonts w:ascii="Arial Narrow" w:hAnsi="Arial Narrow" w:cs="Arial"/>
          <w:color w:val="000000" w:themeColor="text1"/>
          <w:lang w:val="es-ES_tradnl" w:eastAsia="es-CO"/>
        </w:rPr>
      </w:pPr>
    </w:p>
    <w:p w14:paraId="4476062B" w14:textId="77777777" w:rsidR="007968EC" w:rsidRPr="002C0D19" w:rsidRDefault="007968EC" w:rsidP="00DA7472">
      <w:pPr>
        <w:numPr>
          <w:ilvl w:val="0"/>
          <w:numId w:val="236"/>
        </w:numPr>
        <w:contextualSpacing/>
        <w:jc w:val="both"/>
        <w:rPr>
          <w:rFonts w:ascii="Arial Narrow" w:hAnsi="Arial Narrow" w:cs="Arial"/>
          <w:color w:val="000000" w:themeColor="text1"/>
          <w:lang w:val="es-ES_tradnl" w:eastAsia="es-CO"/>
        </w:rPr>
      </w:pPr>
      <w:r w:rsidRPr="002C0D19">
        <w:rPr>
          <w:rFonts w:ascii="Arial Narrow" w:hAnsi="Arial Narrow" w:cs="Arial"/>
          <w:color w:val="000000" w:themeColor="text1"/>
          <w:lang w:val="es-ES_tradnl" w:eastAsia="es-CO"/>
        </w:rPr>
        <w:t xml:space="preserve">Que </w:t>
      </w:r>
      <w:r w:rsidRPr="002C0D19">
        <w:rPr>
          <w:rFonts w:ascii="Arial Narrow" w:hAnsi="Arial Narrow" w:cs="Arial"/>
          <w:b/>
          <w:color w:val="000000" w:themeColor="text1"/>
          <w:lang w:val="es-ES_tradnl" w:eastAsia="es-CO"/>
        </w:rPr>
        <w:t xml:space="preserve">Las Partes </w:t>
      </w:r>
      <w:r w:rsidRPr="002C0D19">
        <w:rPr>
          <w:rFonts w:ascii="Arial Narrow" w:hAnsi="Arial Narrow" w:cs="Arial"/>
          <w:color w:val="000000" w:themeColor="text1"/>
          <w:lang w:val="es-ES_tradnl" w:eastAsia="es-CO"/>
        </w:rPr>
        <w:t>tienen suscrito un Contrato Marco necesario para la negociación de Instrumentos Financieros Derivados No Estandarizados de conformidad con lo establecido en el Capítulo XVIII – Instrumentos Financieros Derivados y Productos Estructurados de la Circular Básica Contable y Financiera (Circular Externa 100 de 1995) de la Superintendencia Bancaria, hoy Superintendencia Financiera de Colombia.</w:t>
      </w:r>
    </w:p>
    <w:p w14:paraId="7ED7806D" w14:textId="77777777" w:rsidR="007968EC" w:rsidRPr="002C0D19" w:rsidRDefault="007968EC" w:rsidP="007968EC">
      <w:pPr>
        <w:jc w:val="both"/>
        <w:rPr>
          <w:rFonts w:ascii="Arial Narrow" w:hAnsi="Arial Narrow" w:cs="Arial"/>
          <w:b/>
          <w:color w:val="000000" w:themeColor="text1"/>
          <w:lang w:val="es-ES_tradnl" w:eastAsia="es-CO"/>
        </w:rPr>
      </w:pPr>
    </w:p>
    <w:p w14:paraId="2C66C983" w14:textId="77777777" w:rsidR="007968EC" w:rsidRPr="002C0D19" w:rsidRDefault="007968EC" w:rsidP="00DA7472">
      <w:pPr>
        <w:numPr>
          <w:ilvl w:val="0"/>
          <w:numId w:val="236"/>
        </w:numPr>
        <w:contextualSpacing/>
        <w:jc w:val="both"/>
        <w:rPr>
          <w:rFonts w:ascii="Arial Narrow" w:hAnsi="Arial Narrow" w:cs="Arial"/>
          <w:color w:val="000000" w:themeColor="text1"/>
          <w:lang w:val="es-ES_tradnl" w:eastAsia="es-CO"/>
        </w:rPr>
      </w:pPr>
      <w:r w:rsidRPr="002C0D19">
        <w:rPr>
          <w:rFonts w:ascii="Arial Narrow" w:hAnsi="Arial Narrow" w:cs="Arial"/>
          <w:color w:val="000000" w:themeColor="text1"/>
          <w:lang w:val="es-ES_tradnl" w:eastAsia="es-CO"/>
        </w:rPr>
        <w:t xml:space="preserve">Que el Contrato Marco está conformado por su texto y los anexos, un suplemento y las cartas de confirmación de las operaciones realizadas. </w:t>
      </w:r>
    </w:p>
    <w:p w14:paraId="7E4D806D" w14:textId="77777777" w:rsidR="007968EC" w:rsidRPr="002C0D19" w:rsidRDefault="007968EC" w:rsidP="007968EC">
      <w:pPr>
        <w:jc w:val="both"/>
        <w:rPr>
          <w:rFonts w:ascii="Arial Narrow" w:hAnsi="Arial Narrow" w:cs="Arial"/>
          <w:color w:val="000000" w:themeColor="text1"/>
          <w:lang w:val="es-ES_tradnl" w:eastAsia="es-CO"/>
        </w:rPr>
      </w:pPr>
    </w:p>
    <w:p w14:paraId="7E44CDA1" w14:textId="77777777" w:rsidR="007968EC" w:rsidRPr="002C0D19" w:rsidRDefault="007968EC" w:rsidP="00DA7472">
      <w:pPr>
        <w:numPr>
          <w:ilvl w:val="0"/>
          <w:numId w:val="236"/>
        </w:numPr>
        <w:contextualSpacing/>
        <w:jc w:val="both"/>
        <w:rPr>
          <w:rFonts w:ascii="Arial Narrow" w:hAnsi="Arial Narrow" w:cs="Arial"/>
          <w:color w:val="000000" w:themeColor="text1"/>
          <w:lang w:val="es-ES_tradnl" w:eastAsia="es-CO"/>
        </w:rPr>
      </w:pPr>
      <w:r w:rsidRPr="002C0D19">
        <w:rPr>
          <w:rFonts w:ascii="Arial Narrow" w:hAnsi="Arial Narrow" w:cs="Arial"/>
          <w:color w:val="000000" w:themeColor="text1"/>
          <w:lang w:val="es-ES_tradnl" w:eastAsia="es-CO"/>
        </w:rPr>
        <w:t xml:space="preserve">Que </w:t>
      </w:r>
      <w:r w:rsidRPr="002C0D19">
        <w:rPr>
          <w:rFonts w:ascii="Arial Narrow" w:hAnsi="Arial Narrow" w:cs="Arial"/>
          <w:b/>
          <w:color w:val="000000" w:themeColor="text1"/>
          <w:lang w:val="es-ES_tradnl" w:eastAsia="es-CO"/>
        </w:rPr>
        <w:t>Las Partes</w:t>
      </w:r>
      <w:r w:rsidRPr="002C0D19">
        <w:rPr>
          <w:rFonts w:ascii="Arial Narrow" w:hAnsi="Arial Narrow" w:cs="Arial"/>
          <w:color w:val="000000" w:themeColor="text1"/>
          <w:lang w:val="es-ES_tradnl" w:eastAsia="es-CO"/>
        </w:rPr>
        <w:t xml:space="preserve">, de acuerdo con el Contrato Marco, están facultadas para la celebración de operaciones sobre Instrumentos Financieros Derivados No Estandarizados. </w:t>
      </w:r>
    </w:p>
    <w:p w14:paraId="30919964" w14:textId="77777777" w:rsidR="007968EC" w:rsidRPr="002C0D19" w:rsidRDefault="007968EC" w:rsidP="007968EC">
      <w:pPr>
        <w:ind w:firstLine="60"/>
        <w:jc w:val="both"/>
        <w:rPr>
          <w:rFonts w:ascii="Arial Narrow" w:hAnsi="Arial Narrow" w:cs="Arial"/>
          <w:color w:val="000000" w:themeColor="text1"/>
          <w:lang w:val="es-ES_tradnl" w:eastAsia="es-CO"/>
        </w:rPr>
      </w:pPr>
    </w:p>
    <w:p w14:paraId="5CB66D90" w14:textId="77777777" w:rsidR="007968EC" w:rsidRPr="002C0D19" w:rsidRDefault="007968EC" w:rsidP="00DA7472">
      <w:pPr>
        <w:numPr>
          <w:ilvl w:val="0"/>
          <w:numId w:val="236"/>
        </w:numPr>
        <w:contextualSpacing/>
        <w:jc w:val="both"/>
        <w:rPr>
          <w:rFonts w:ascii="Arial Narrow" w:hAnsi="Arial Narrow" w:cs="Arial"/>
          <w:color w:val="000000" w:themeColor="text1"/>
          <w:lang w:val="es-ES_tradnl" w:eastAsia="es-CO"/>
        </w:rPr>
      </w:pPr>
      <w:r w:rsidRPr="002C0D19">
        <w:rPr>
          <w:rFonts w:ascii="Arial Narrow" w:hAnsi="Arial Narrow" w:cs="Arial"/>
          <w:color w:val="000000" w:themeColor="text1"/>
          <w:lang w:val="es-ES_tradnl" w:eastAsia="es-CO"/>
        </w:rPr>
        <w:t xml:space="preserve">Que de acuerdo con la normativa vigente,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se encuentra autorizada para efectuar la Compensación y Liquidación como contraparte de Instrumentos Financieros Derivados No Estandarizados. </w:t>
      </w:r>
    </w:p>
    <w:p w14:paraId="5D961E27" w14:textId="77777777" w:rsidR="007968EC" w:rsidRPr="002C0D19" w:rsidRDefault="007968EC" w:rsidP="007968EC">
      <w:pPr>
        <w:jc w:val="both"/>
        <w:rPr>
          <w:rFonts w:ascii="Arial Narrow" w:hAnsi="Arial Narrow" w:cs="Arial"/>
          <w:color w:val="000000" w:themeColor="text1"/>
          <w:lang w:val="es-ES_tradnl" w:eastAsia="es-CO"/>
        </w:rPr>
      </w:pPr>
    </w:p>
    <w:p w14:paraId="630FAD23" w14:textId="77777777" w:rsidR="007968EC" w:rsidRPr="002C0D19" w:rsidRDefault="007968EC" w:rsidP="00DA7472">
      <w:pPr>
        <w:numPr>
          <w:ilvl w:val="0"/>
          <w:numId w:val="236"/>
        </w:numPr>
        <w:contextualSpacing/>
        <w:jc w:val="both"/>
        <w:rPr>
          <w:rFonts w:ascii="Arial Narrow" w:hAnsi="Arial Narrow" w:cs="Arial"/>
          <w:color w:val="000000" w:themeColor="text1"/>
          <w:lang w:val="es-ES_tradnl" w:eastAsia="es-CO"/>
        </w:rPr>
      </w:pPr>
      <w:r w:rsidRPr="002C0D19">
        <w:rPr>
          <w:rFonts w:ascii="Arial Narrow" w:hAnsi="Arial Narrow" w:cs="Arial"/>
          <w:color w:val="000000" w:themeColor="text1"/>
          <w:lang w:val="es-ES_tradnl" w:eastAsia="es-CO"/>
        </w:rPr>
        <w:t xml:space="preserve">Que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para interponerse como contraparte se constituirá como acreedora y deudora recíproca de los derechos y obligaciones que se deriven de las operaciones aceptadas, de </w:t>
      </w:r>
      <w:r w:rsidRPr="002C0D19">
        <w:rPr>
          <w:rFonts w:ascii="Arial Narrow" w:hAnsi="Arial Narrow" w:cs="Arial"/>
          <w:color w:val="000000" w:themeColor="text1"/>
          <w:lang w:val="es-ES_tradnl" w:eastAsia="es-CO"/>
        </w:rPr>
        <w:lastRenderedPageBreak/>
        <w:t>conformidad con lo establecido en el Reglamento de Funcionamiento y</w:t>
      </w:r>
      <w:r w:rsidRPr="002C0D19">
        <w:rPr>
          <w:rFonts w:ascii="Arial Narrow" w:hAnsi="Arial Narrow" w:cs="Arial"/>
          <w:color w:val="000000" w:themeColor="text1"/>
          <w:lang w:eastAsia="es-CO"/>
        </w:rPr>
        <w:t xml:space="preserve"> con las particularidades que se establezcan por Circular para el Segmento que agrupe los </w:t>
      </w:r>
      <w:r w:rsidRPr="002C0D19">
        <w:rPr>
          <w:rFonts w:ascii="Arial Narrow" w:hAnsi="Arial Narrow" w:cs="Arial"/>
          <w:color w:val="000000" w:themeColor="text1"/>
          <w:lang w:val="es-ES_tradnl" w:eastAsia="es-CO"/>
        </w:rPr>
        <w:t xml:space="preserve">Instrumentos Financieros Derivados No Estandarizados, asumiendo tal carácter frente a </w:t>
      </w:r>
      <w:r w:rsidRPr="002C0D19">
        <w:rPr>
          <w:rFonts w:ascii="Arial Narrow" w:hAnsi="Arial Narrow" w:cs="Arial"/>
          <w:b/>
          <w:color w:val="000000" w:themeColor="text1"/>
          <w:lang w:val="es-ES_tradnl" w:eastAsia="es-CO"/>
        </w:rPr>
        <w:t>Las Partes</w:t>
      </w:r>
      <w:r w:rsidRPr="002C0D19">
        <w:rPr>
          <w:rFonts w:ascii="Arial Narrow" w:hAnsi="Arial Narrow" w:cs="Arial"/>
          <w:color w:val="000000" w:themeColor="text1"/>
          <w:lang w:val="es-ES_tradnl" w:eastAsia="es-CO"/>
        </w:rPr>
        <w:t xml:space="preserve"> en la operación de forma irrevocable, quienes mantendrán el vínculo jurídico con la contraparte central y no entre sí, operando de esta forma el fenómeno de la novación.</w:t>
      </w:r>
    </w:p>
    <w:p w14:paraId="6B71F1ED" w14:textId="77777777" w:rsidR="007968EC" w:rsidRPr="002C0D19" w:rsidRDefault="007968EC" w:rsidP="007968EC">
      <w:pPr>
        <w:jc w:val="both"/>
        <w:rPr>
          <w:rFonts w:ascii="Arial Narrow" w:hAnsi="Arial Narrow" w:cs="Arial"/>
          <w:color w:val="000000" w:themeColor="text1"/>
          <w:lang w:val="es-ES_tradnl" w:eastAsia="es-CO"/>
        </w:rPr>
      </w:pPr>
    </w:p>
    <w:p w14:paraId="0D5B059D" w14:textId="77777777" w:rsidR="007968EC" w:rsidRPr="002C0D19" w:rsidRDefault="007968EC" w:rsidP="00DA7472">
      <w:pPr>
        <w:numPr>
          <w:ilvl w:val="0"/>
          <w:numId w:val="236"/>
        </w:numPr>
        <w:contextualSpacing/>
        <w:jc w:val="both"/>
        <w:rPr>
          <w:rFonts w:ascii="Arial Narrow" w:hAnsi="Arial Narrow" w:cs="Arial"/>
          <w:color w:val="000000" w:themeColor="text1"/>
          <w:lang w:val="es-ES_tradnl" w:eastAsia="es-CO"/>
        </w:rPr>
      </w:pPr>
      <w:r w:rsidRPr="002C0D19">
        <w:rPr>
          <w:rFonts w:ascii="Arial Narrow" w:hAnsi="Arial Narrow" w:cs="Arial"/>
          <w:color w:val="000000" w:themeColor="text1"/>
          <w:lang w:val="es-ES_tradnl" w:eastAsia="es-CO"/>
        </w:rPr>
        <w:t xml:space="preserve">Que es intención de </w:t>
      </w:r>
      <w:r w:rsidRPr="002C0D19">
        <w:rPr>
          <w:rFonts w:ascii="Arial Narrow" w:hAnsi="Arial Narrow" w:cs="Arial"/>
          <w:b/>
          <w:color w:val="000000" w:themeColor="text1"/>
          <w:lang w:val="es-ES_tradnl" w:eastAsia="es-CO"/>
        </w:rPr>
        <w:t>Las Partes</w:t>
      </w:r>
      <w:r w:rsidRPr="002C0D19">
        <w:rPr>
          <w:rFonts w:ascii="Arial Narrow" w:hAnsi="Arial Narrow" w:cs="Arial"/>
          <w:color w:val="000000" w:themeColor="text1"/>
          <w:lang w:val="es-ES_tradnl" w:eastAsia="es-CO"/>
        </w:rPr>
        <w:t xml:space="preserve"> remitir operaciones sobre Instrumentos Financieros Derivados No Estandarizados celebradas entre sí a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para su Compensación y Liquidación como contraparte.</w:t>
      </w:r>
    </w:p>
    <w:p w14:paraId="77F31CE4" w14:textId="77777777" w:rsidR="007968EC" w:rsidRPr="002C0D19" w:rsidRDefault="007968EC" w:rsidP="007968EC">
      <w:pPr>
        <w:ind w:left="708"/>
        <w:rPr>
          <w:rFonts w:ascii="Arial Narrow" w:hAnsi="Arial Narrow" w:cs="Arial"/>
          <w:b/>
          <w:color w:val="000000" w:themeColor="text1"/>
          <w:lang w:val="es-ES_tradnl" w:eastAsia="es-CO"/>
        </w:rPr>
      </w:pPr>
    </w:p>
    <w:p w14:paraId="44A85442" w14:textId="77777777" w:rsidR="007968EC" w:rsidRPr="002C0D19" w:rsidRDefault="007968EC" w:rsidP="007968EC">
      <w:pPr>
        <w:jc w:val="both"/>
        <w:rPr>
          <w:rFonts w:ascii="Arial Narrow" w:hAnsi="Arial Narrow" w:cs="Arial"/>
          <w:color w:val="000000" w:themeColor="text1"/>
          <w:lang w:val="es-ES_tradnl" w:eastAsia="es-ES"/>
        </w:rPr>
      </w:pPr>
      <w:r w:rsidRPr="002C0D19">
        <w:rPr>
          <w:rFonts w:ascii="Arial Narrow" w:hAnsi="Arial Narrow" w:cs="Arial"/>
          <w:color w:val="000000" w:themeColor="text1"/>
          <w:lang w:val="es-ES_tradnl" w:eastAsia="es-ES"/>
        </w:rPr>
        <w:t xml:space="preserve">Dadas las anteriores consideraciones, </w:t>
      </w:r>
      <w:r w:rsidRPr="002C0D19">
        <w:rPr>
          <w:rFonts w:ascii="Arial Narrow" w:hAnsi="Arial Narrow" w:cs="Arial"/>
          <w:b/>
          <w:color w:val="000000" w:themeColor="text1"/>
          <w:lang w:val="es-ES_tradnl" w:eastAsia="es-ES"/>
        </w:rPr>
        <w:t xml:space="preserve">Las Partes </w:t>
      </w:r>
      <w:r w:rsidRPr="002C0D19">
        <w:rPr>
          <w:rFonts w:ascii="Arial Narrow" w:hAnsi="Arial Narrow" w:cs="Arial"/>
          <w:color w:val="000000" w:themeColor="text1"/>
          <w:lang w:val="es-ES_tradnl" w:eastAsia="es-ES"/>
        </w:rPr>
        <w:t xml:space="preserve">han convenido suscribir el presente </w:t>
      </w:r>
      <w:r w:rsidRPr="002C0D19">
        <w:rPr>
          <w:rFonts w:ascii="Arial Narrow" w:hAnsi="Arial Narrow" w:cs="Arial"/>
          <w:b/>
          <w:color w:val="000000" w:themeColor="text1"/>
          <w:lang w:val="es-ES_tradnl" w:eastAsia="es-ES"/>
        </w:rPr>
        <w:t>CONVENIO</w:t>
      </w:r>
      <w:r w:rsidRPr="002C0D19">
        <w:rPr>
          <w:rFonts w:ascii="Arial Narrow" w:hAnsi="Arial Narrow" w:cs="Arial"/>
          <w:color w:val="000000" w:themeColor="text1"/>
          <w:lang w:val="es-ES_tradnl" w:eastAsia="es-ES"/>
        </w:rPr>
        <w:t>, el cual se regirá por las siguientes:</w:t>
      </w:r>
    </w:p>
    <w:p w14:paraId="08B54484" w14:textId="77777777" w:rsidR="007968EC" w:rsidRPr="002C0D19" w:rsidRDefault="007968EC" w:rsidP="007968EC">
      <w:pPr>
        <w:jc w:val="center"/>
        <w:rPr>
          <w:rFonts w:ascii="Arial Narrow" w:hAnsi="Arial Narrow" w:cs="Arial"/>
          <w:b/>
          <w:color w:val="000000" w:themeColor="text1"/>
          <w:lang w:val="es-ES_tradnl" w:eastAsia="es-CO"/>
        </w:rPr>
      </w:pPr>
    </w:p>
    <w:p w14:paraId="2D123BF2" w14:textId="77777777" w:rsidR="007968EC" w:rsidRPr="002C0D19" w:rsidRDefault="007968EC" w:rsidP="007968EC">
      <w:pPr>
        <w:jc w:val="center"/>
        <w:rPr>
          <w:rFonts w:ascii="Arial Narrow" w:hAnsi="Arial Narrow" w:cs="Arial"/>
          <w:b/>
          <w:color w:val="000000" w:themeColor="text1"/>
          <w:lang w:val="es-ES_tradnl" w:eastAsia="es-CO"/>
        </w:rPr>
      </w:pPr>
      <w:r w:rsidRPr="002C0D19">
        <w:rPr>
          <w:rFonts w:ascii="Arial Narrow" w:hAnsi="Arial Narrow" w:cs="Arial"/>
          <w:b/>
          <w:color w:val="000000" w:themeColor="text1"/>
          <w:lang w:val="es-ES_tradnl" w:eastAsia="es-CO"/>
        </w:rPr>
        <w:t xml:space="preserve">CLÁUSULAS </w:t>
      </w:r>
    </w:p>
    <w:p w14:paraId="2F926B09" w14:textId="77777777" w:rsidR="007968EC" w:rsidRPr="002C0D19" w:rsidRDefault="007968EC" w:rsidP="007968EC">
      <w:pPr>
        <w:jc w:val="both"/>
        <w:rPr>
          <w:rFonts w:ascii="Arial Narrow" w:hAnsi="Arial Narrow" w:cs="Arial"/>
          <w:b/>
          <w:color w:val="000000" w:themeColor="text1"/>
          <w:lang w:val="es-ES_tradnl" w:eastAsia="es-CO"/>
        </w:rPr>
      </w:pPr>
    </w:p>
    <w:p w14:paraId="1F2113FC" w14:textId="77777777" w:rsidR="007968EC" w:rsidRPr="002C0D19" w:rsidRDefault="007968EC" w:rsidP="007968EC">
      <w:pPr>
        <w:jc w:val="both"/>
        <w:rPr>
          <w:rFonts w:ascii="Arial Narrow" w:hAnsi="Arial Narrow" w:cs="Arial"/>
          <w:color w:val="000000" w:themeColor="text1"/>
          <w:lang w:val="es-ES_tradnl" w:eastAsia="es-CO"/>
        </w:rPr>
      </w:pPr>
      <w:r w:rsidRPr="002C0D19">
        <w:rPr>
          <w:rFonts w:ascii="Arial Narrow" w:hAnsi="Arial Narrow" w:cs="Arial"/>
          <w:b/>
          <w:color w:val="000000" w:themeColor="text1"/>
          <w:lang w:val="es-ES_tradnl" w:eastAsia="es-CO"/>
        </w:rPr>
        <w:t>PRIMERA: OBJETO.-</w:t>
      </w:r>
      <w:r w:rsidRPr="002C0D19">
        <w:rPr>
          <w:rFonts w:ascii="Arial Narrow" w:hAnsi="Arial Narrow" w:cs="Arial"/>
          <w:color w:val="000000" w:themeColor="text1"/>
          <w:lang w:val="es-ES_tradnl" w:eastAsia="es-CO"/>
        </w:rPr>
        <w:t xml:space="preserve"> El presente </w:t>
      </w:r>
      <w:r w:rsidRPr="002C0D19">
        <w:rPr>
          <w:rFonts w:ascii="Arial Narrow" w:hAnsi="Arial Narrow" w:cs="Arial"/>
          <w:b/>
          <w:color w:val="000000" w:themeColor="text1"/>
          <w:lang w:val="es-ES_tradnl" w:eastAsia="es-CO"/>
        </w:rPr>
        <w:t>CONVENIO</w:t>
      </w:r>
      <w:r w:rsidRPr="002C0D19">
        <w:rPr>
          <w:rFonts w:ascii="Arial Narrow" w:hAnsi="Arial Narrow" w:cs="Arial"/>
          <w:color w:val="000000" w:themeColor="text1"/>
          <w:lang w:val="es-ES_tradnl" w:eastAsia="es-CO"/>
        </w:rPr>
        <w:t xml:space="preserve"> tiene como objeto establecer los términos y condiciones en los que </w:t>
      </w:r>
      <w:r w:rsidRPr="002C0D19">
        <w:rPr>
          <w:rFonts w:ascii="Arial Narrow" w:hAnsi="Arial Narrow" w:cs="Arial"/>
          <w:b/>
          <w:color w:val="000000" w:themeColor="text1"/>
          <w:lang w:val="es-ES_tradnl" w:eastAsia="es-CO"/>
        </w:rPr>
        <w:t>Las Partes</w:t>
      </w:r>
      <w:r w:rsidRPr="002C0D19">
        <w:rPr>
          <w:rFonts w:ascii="Arial Narrow" w:hAnsi="Arial Narrow" w:cs="Arial"/>
          <w:color w:val="000000" w:themeColor="text1"/>
          <w:lang w:val="es-ES_tradnl" w:eastAsia="es-CO"/>
        </w:rPr>
        <w:t xml:space="preserve"> remitirán a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las operaciones celebradas entre sí sobre Instrumentos Financieros Derivados No Estandarizados para su Compensación y Liquidación y novarán las obligaciones y derechos de las mismas en dichas operaciones, como consecuencia de la interposición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como contraparte central. </w:t>
      </w:r>
    </w:p>
    <w:p w14:paraId="53086A9C" w14:textId="77777777" w:rsidR="007968EC" w:rsidRPr="002C0D19" w:rsidRDefault="007968EC" w:rsidP="007968EC">
      <w:pPr>
        <w:jc w:val="both"/>
        <w:rPr>
          <w:rFonts w:ascii="Arial Narrow" w:hAnsi="Arial Narrow" w:cs="Arial"/>
          <w:color w:val="000000" w:themeColor="text1"/>
          <w:lang w:val="es-ES_tradnl" w:eastAsia="es-CO"/>
        </w:rPr>
      </w:pPr>
    </w:p>
    <w:p w14:paraId="04EEC821" w14:textId="77777777" w:rsidR="007968EC" w:rsidRPr="002C0D19" w:rsidRDefault="007968EC" w:rsidP="007968EC">
      <w:pPr>
        <w:jc w:val="both"/>
        <w:rPr>
          <w:rFonts w:ascii="Arial Narrow" w:hAnsi="Arial Narrow" w:cs="Arial"/>
          <w:color w:val="000000" w:themeColor="text1"/>
          <w:lang w:eastAsia="es-CO"/>
        </w:rPr>
      </w:pPr>
      <w:r w:rsidRPr="002C0D19">
        <w:rPr>
          <w:rFonts w:ascii="Arial Narrow" w:hAnsi="Arial Narrow" w:cs="Arial"/>
          <w:b/>
          <w:color w:val="000000" w:themeColor="text1"/>
          <w:lang w:eastAsia="es-CO"/>
        </w:rPr>
        <w:t>PARÁGRAFO. DEFINICIONES</w:t>
      </w:r>
      <w:r w:rsidRPr="002C0D19">
        <w:rPr>
          <w:rFonts w:ascii="Arial Narrow" w:hAnsi="Arial Narrow" w:cs="Arial"/>
          <w:b/>
          <w:color w:val="000000" w:themeColor="text1"/>
          <w:lang w:val="es-ES_tradnl" w:eastAsia="es-CO"/>
        </w:rPr>
        <w:t>.-</w:t>
      </w:r>
      <w:r w:rsidRPr="002C0D19">
        <w:rPr>
          <w:rFonts w:ascii="Arial Narrow" w:hAnsi="Arial Narrow" w:cs="Arial"/>
          <w:color w:val="000000" w:themeColor="text1"/>
          <w:lang w:eastAsia="es-CO"/>
        </w:rPr>
        <w:t xml:space="preserve"> Los términos que se utilizan en este </w:t>
      </w:r>
      <w:r w:rsidRPr="002C0D19">
        <w:rPr>
          <w:rFonts w:ascii="Arial Narrow" w:hAnsi="Arial Narrow" w:cs="Arial"/>
          <w:b/>
          <w:color w:val="000000" w:themeColor="text1"/>
          <w:lang w:eastAsia="es-CO"/>
        </w:rPr>
        <w:t>CONVENI</w:t>
      </w:r>
      <w:r w:rsidRPr="002C0D19">
        <w:rPr>
          <w:rFonts w:ascii="Arial Narrow" w:hAnsi="Arial Narrow" w:cs="Arial"/>
          <w:color w:val="000000" w:themeColor="text1"/>
          <w:lang w:eastAsia="es-CO"/>
        </w:rPr>
        <w:t xml:space="preserve">O, cuya primera letra sea una mayúscula y que no se encuentren expresamente definidos en este </w:t>
      </w:r>
      <w:r w:rsidRPr="002C0D19">
        <w:rPr>
          <w:rFonts w:ascii="Arial Narrow" w:hAnsi="Arial Narrow" w:cs="Arial"/>
          <w:b/>
          <w:color w:val="000000" w:themeColor="text1"/>
          <w:lang w:eastAsia="es-CO"/>
        </w:rPr>
        <w:t>CONVENIO</w:t>
      </w:r>
      <w:r w:rsidRPr="002C0D19">
        <w:rPr>
          <w:rFonts w:ascii="Arial Narrow" w:hAnsi="Arial Narrow" w:cs="Arial"/>
          <w:color w:val="000000" w:themeColor="text1"/>
          <w:lang w:eastAsia="es-CO"/>
        </w:rPr>
        <w:t xml:space="preserve">, tendrán el significado que se les atribuye en el Reglamento de Funcionamiento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eastAsia="es-CO"/>
        </w:rPr>
        <w:t xml:space="preserve">.  </w:t>
      </w:r>
    </w:p>
    <w:p w14:paraId="57804B37" w14:textId="77777777" w:rsidR="007968EC" w:rsidRPr="002C0D19" w:rsidRDefault="007968EC" w:rsidP="007968EC">
      <w:pPr>
        <w:jc w:val="both"/>
        <w:rPr>
          <w:rFonts w:ascii="Arial Narrow" w:hAnsi="Arial Narrow" w:cs="Arial"/>
          <w:color w:val="000000" w:themeColor="text1"/>
          <w:lang w:val="es-ES_tradnl" w:eastAsia="es-CO"/>
        </w:rPr>
      </w:pPr>
    </w:p>
    <w:p w14:paraId="6FD263C8" w14:textId="77777777" w:rsidR="007968EC" w:rsidRPr="002C0D19" w:rsidRDefault="007968EC" w:rsidP="007968EC">
      <w:pPr>
        <w:jc w:val="both"/>
        <w:rPr>
          <w:rFonts w:ascii="Arial Narrow" w:hAnsi="Arial Narrow" w:cs="Arial"/>
          <w:color w:val="000000" w:themeColor="text1"/>
          <w:lang w:val="es-ES_tradnl" w:eastAsia="es-CO"/>
        </w:rPr>
      </w:pPr>
      <w:r w:rsidRPr="002C0D19">
        <w:rPr>
          <w:rFonts w:ascii="Arial Narrow" w:hAnsi="Arial Narrow" w:cs="Arial"/>
          <w:b/>
          <w:color w:val="000000" w:themeColor="text1"/>
          <w:lang w:val="es-ES_tradnl" w:eastAsia="es-CO"/>
        </w:rPr>
        <w:t>SEGUNDA:</w:t>
      </w:r>
      <w:r w:rsidRPr="002C0D19">
        <w:rPr>
          <w:rFonts w:ascii="Arial Narrow" w:hAnsi="Arial Narrow" w:cs="Arial"/>
          <w:b/>
          <w:color w:val="000000" w:themeColor="text1"/>
          <w:lang w:eastAsia="es-CO"/>
        </w:rPr>
        <w:t xml:space="preserve"> </w:t>
      </w:r>
      <w:r w:rsidRPr="002C0D19">
        <w:rPr>
          <w:rFonts w:ascii="Arial Narrow" w:hAnsi="Arial Narrow" w:cs="Arial"/>
          <w:b/>
          <w:color w:val="000000" w:themeColor="text1"/>
          <w:lang w:val="es-ES_tradnl" w:eastAsia="es-CO"/>
        </w:rPr>
        <w:t>REMISIÓN Y CONFIRMACIÓN A LA CÁMARA DE LAS OPERACIONES SOBRE INSTRUMENTOS FINANCIEROS DERIVADOS NO ESTANDARIZADOS.-</w:t>
      </w:r>
      <w:r w:rsidRPr="002C0D19">
        <w:rPr>
          <w:rFonts w:ascii="Arial Narrow" w:hAnsi="Arial Narrow" w:cs="Arial"/>
          <w:color w:val="000000" w:themeColor="text1"/>
          <w:lang w:val="es-ES_tradnl" w:eastAsia="es-CO"/>
        </w:rPr>
        <w:t xml:space="preserve"> Las operaciones sobre Instrumentos Financieros Derivados No Estandarizados celebradas en un sistema de negociación, en el mercado mostrador o en cualquier otro mecanismo autorizado por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que </w:t>
      </w:r>
      <w:r w:rsidRPr="002C0D19">
        <w:rPr>
          <w:rFonts w:ascii="Arial Narrow" w:hAnsi="Arial Narrow" w:cs="Arial"/>
          <w:b/>
          <w:color w:val="000000" w:themeColor="text1"/>
          <w:lang w:val="es-ES_tradnl" w:eastAsia="es-CO"/>
        </w:rPr>
        <w:t>Las Partes</w:t>
      </w:r>
      <w:r w:rsidRPr="002C0D19">
        <w:rPr>
          <w:rFonts w:ascii="Arial Narrow" w:hAnsi="Arial Narrow" w:cs="Arial"/>
          <w:color w:val="000000" w:themeColor="text1"/>
          <w:lang w:val="es-ES_tradnl" w:eastAsia="es-CO"/>
        </w:rPr>
        <w:t xml:space="preserve"> pretendan compensar y liquidar a través de la misma, deberán remitirlas y confirmarlas a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únicamente a través de los sistemas de negociación y/o registro de operaciones autorizados por ésta y de acuerdo con lo dispuesto en el Reglamento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w:t>
      </w:r>
    </w:p>
    <w:p w14:paraId="754AD196" w14:textId="77777777" w:rsidR="007968EC" w:rsidRPr="002C0D19" w:rsidRDefault="007968EC" w:rsidP="007968EC">
      <w:pPr>
        <w:jc w:val="both"/>
        <w:rPr>
          <w:rFonts w:ascii="Arial Narrow" w:hAnsi="Arial Narrow" w:cs="Arial"/>
          <w:b/>
          <w:color w:val="000000" w:themeColor="text1"/>
          <w:lang w:val="es-ES_tradnl" w:eastAsia="es-CO"/>
        </w:rPr>
      </w:pPr>
    </w:p>
    <w:p w14:paraId="525750EA" w14:textId="77777777" w:rsidR="007968EC" w:rsidRPr="002C0D19" w:rsidRDefault="007968EC" w:rsidP="007968EC">
      <w:pPr>
        <w:jc w:val="both"/>
        <w:rPr>
          <w:rFonts w:ascii="Arial Narrow" w:hAnsi="Arial Narrow" w:cs="Arial"/>
          <w:b/>
          <w:color w:val="000000" w:themeColor="text1"/>
          <w:lang w:val="es-ES_tradnl" w:eastAsia="es-CO"/>
        </w:rPr>
      </w:pPr>
      <w:r w:rsidRPr="002C0D19">
        <w:rPr>
          <w:rFonts w:ascii="Arial Narrow" w:hAnsi="Arial Narrow" w:cs="Arial"/>
          <w:b/>
          <w:color w:val="000000" w:themeColor="text1"/>
          <w:lang w:val="es-ES_tradnl" w:eastAsia="es-CO"/>
        </w:rPr>
        <w:t>TERCERA: INTENCIÓN DE NOVAR.- Las Partes</w:t>
      </w:r>
      <w:r w:rsidRPr="002C0D19">
        <w:rPr>
          <w:rFonts w:ascii="Arial Narrow" w:hAnsi="Arial Narrow" w:cs="Arial"/>
          <w:color w:val="000000" w:themeColor="text1"/>
          <w:lang w:val="es-ES_tradnl" w:eastAsia="es-CO"/>
        </w:rPr>
        <w:t xml:space="preserve"> declaran su intención de que los derechos y obligaciones derivados de las operaciones sobre Instrumentos Financieros Derivados No Estandarizados celebradas entre sí, que remitan a </w:t>
      </w:r>
      <w:r w:rsidRPr="002C0D19">
        <w:rPr>
          <w:rFonts w:ascii="Arial Narrow" w:hAnsi="Arial Narrow" w:cs="Arial"/>
          <w:b/>
          <w:color w:val="000000" w:themeColor="text1"/>
          <w:lang w:val="es-ES_tradnl" w:eastAsia="es-CO"/>
        </w:rPr>
        <w:t xml:space="preserve">LA CRCC </w:t>
      </w:r>
      <w:r w:rsidRPr="002C0D19">
        <w:rPr>
          <w:rFonts w:ascii="Arial Narrow" w:hAnsi="Arial Narrow" w:cs="Arial"/>
          <w:color w:val="000000" w:themeColor="text1"/>
          <w:lang w:val="es-ES_tradnl" w:eastAsia="es-CO"/>
        </w:rPr>
        <w:t xml:space="preserve">y que ésta acepte como contraparte, sean automáticamente novados, con ocasión de su remisión y de la interposición de </w:t>
      </w:r>
      <w:r w:rsidRPr="002C0D19">
        <w:rPr>
          <w:rFonts w:ascii="Arial Narrow" w:hAnsi="Arial Narrow" w:cs="Arial"/>
          <w:b/>
          <w:color w:val="000000" w:themeColor="text1"/>
          <w:lang w:val="es-ES_tradnl" w:eastAsia="es-CO"/>
        </w:rPr>
        <w:t xml:space="preserve">LA CRCC </w:t>
      </w:r>
      <w:r w:rsidRPr="002C0D19">
        <w:rPr>
          <w:rFonts w:ascii="Arial Narrow" w:hAnsi="Arial Narrow" w:cs="Arial"/>
          <w:color w:val="000000" w:themeColor="text1"/>
          <w:lang w:val="es-ES_tradnl" w:eastAsia="es-CO"/>
        </w:rPr>
        <w:t>como contraparte, surgiendo nuevos derechos y obligaciones de y frente a ésta y extinguiéndose los que hasta ese momento existieran entre</w:t>
      </w:r>
      <w:r w:rsidRPr="002C0D19">
        <w:rPr>
          <w:rFonts w:ascii="Arial Narrow" w:hAnsi="Arial Narrow" w:cs="Arial"/>
          <w:b/>
          <w:color w:val="000000" w:themeColor="text1"/>
          <w:lang w:val="es-ES_tradnl" w:eastAsia="es-CO"/>
        </w:rPr>
        <w:t xml:space="preserve"> Las Partes </w:t>
      </w:r>
      <w:r w:rsidRPr="002C0D19">
        <w:rPr>
          <w:rFonts w:ascii="Arial Narrow" w:hAnsi="Arial Narrow" w:cs="Arial"/>
          <w:color w:val="000000" w:themeColor="text1"/>
          <w:lang w:val="es-ES_tradnl" w:eastAsia="es-CO"/>
        </w:rPr>
        <w:t xml:space="preserve">en relación con la operación sobre Instrumentos Financieros Derivados No Estandarizados. En ese sentido, una vez aceptada la operación celebrada sobre un Instrumento Financiero Derivado No Estandarizado, para su Compensación y Liquidación por parte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dicha operación será novada y se crearán dos nuevas operaciones cuyos Términos Económicos serán los de la operación original, una entre</w:t>
      </w:r>
      <w:r w:rsidRPr="002C0D19">
        <w:rPr>
          <w:rFonts w:ascii="Arial Narrow" w:hAnsi="Arial Narrow" w:cs="Arial"/>
          <w:b/>
          <w:color w:val="000000" w:themeColor="text1"/>
          <w:lang w:val="es-ES_tradnl" w:eastAsia="es-CO"/>
        </w:rPr>
        <w:t xml:space="preserve"> la Parte A y LA CRCC </w:t>
      </w:r>
      <w:r w:rsidRPr="002C0D19">
        <w:rPr>
          <w:rFonts w:ascii="Arial Narrow" w:hAnsi="Arial Narrow" w:cs="Arial"/>
          <w:color w:val="000000" w:themeColor="text1"/>
          <w:lang w:val="es-ES_tradnl" w:eastAsia="es-CO"/>
        </w:rPr>
        <w:lastRenderedPageBreak/>
        <w:t xml:space="preserve">que actuará como contraparte del mismo, y otra entre </w:t>
      </w:r>
      <w:r w:rsidRPr="002C0D19">
        <w:rPr>
          <w:rFonts w:ascii="Arial Narrow" w:hAnsi="Arial Narrow" w:cs="Arial"/>
          <w:b/>
          <w:color w:val="000000" w:themeColor="text1"/>
          <w:lang w:val="es-ES_tradnl" w:eastAsia="es-CO"/>
        </w:rPr>
        <w:t xml:space="preserve">la Parte B </w:t>
      </w:r>
      <w:r w:rsidRPr="002C0D19">
        <w:rPr>
          <w:rFonts w:ascii="Arial Narrow" w:hAnsi="Arial Narrow" w:cs="Arial"/>
          <w:color w:val="000000" w:themeColor="text1"/>
          <w:lang w:val="es-ES_tradnl" w:eastAsia="es-CO"/>
        </w:rPr>
        <w:t>y</w:t>
      </w:r>
      <w:r w:rsidRPr="002C0D19">
        <w:rPr>
          <w:rFonts w:ascii="Arial Narrow" w:hAnsi="Arial Narrow" w:cs="Arial"/>
          <w:b/>
          <w:color w:val="000000" w:themeColor="text1"/>
          <w:lang w:val="es-ES_tradnl" w:eastAsia="es-CO"/>
        </w:rPr>
        <w:t xml:space="preserve"> LA CRCC </w:t>
      </w:r>
      <w:r w:rsidRPr="002C0D19">
        <w:rPr>
          <w:rFonts w:ascii="Arial Narrow" w:hAnsi="Arial Narrow" w:cs="Arial"/>
          <w:color w:val="000000" w:themeColor="text1"/>
          <w:lang w:val="es-ES_tradnl" w:eastAsia="es-CO"/>
        </w:rPr>
        <w:t>que actuará también como contraparte del mismo.</w:t>
      </w:r>
      <w:r w:rsidRPr="002C0D19">
        <w:rPr>
          <w:rFonts w:ascii="Arial Narrow" w:hAnsi="Arial Narrow" w:cs="Arial"/>
          <w:b/>
          <w:color w:val="000000" w:themeColor="text1"/>
          <w:lang w:val="es-ES_tradnl" w:eastAsia="es-CO"/>
        </w:rPr>
        <w:t xml:space="preserve"> </w:t>
      </w:r>
    </w:p>
    <w:p w14:paraId="7AC810B9" w14:textId="77777777" w:rsidR="007968EC" w:rsidRPr="002C0D19" w:rsidRDefault="007968EC" w:rsidP="007968EC">
      <w:pPr>
        <w:jc w:val="both"/>
        <w:rPr>
          <w:rFonts w:ascii="Arial Narrow" w:hAnsi="Arial Narrow" w:cs="Arial"/>
          <w:color w:val="000000" w:themeColor="text1"/>
          <w:lang w:val="es-ES_tradnl" w:eastAsia="es-CO"/>
        </w:rPr>
      </w:pPr>
    </w:p>
    <w:p w14:paraId="683682BD" w14:textId="77777777" w:rsidR="007968EC" w:rsidRPr="002C0D19" w:rsidRDefault="007968EC" w:rsidP="007968EC">
      <w:pPr>
        <w:jc w:val="both"/>
        <w:rPr>
          <w:rFonts w:ascii="Arial Narrow" w:hAnsi="Arial Narrow" w:cs="Arial"/>
          <w:b/>
          <w:color w:val="000000" w:themeColor="text1"/>
          <w:lang w:val="es-ES_tradnl" w:eastAsia="es-CO"/>
        </w:rPr>
      </w:pPr>
      <w:r w:rsidRPr="002C0D19">
        <w:rPr>
          <w:rFonts w:ascii="Arial Narrow" w:hAnsi="Arial Narrow" w:cs="Arial"/>
          <w:b/>
          <w:color w:val="000000" w:themeColor="text1"/>
          <w:lang w:val="es-ES_tradnl" w:eastAsia="es-CO"/>
        </w:rPr>
        <w:t xml:space="preserve">Las Partes </w:t>
      </w:r>
      <w:r w:rsidRPr="002C0D19">
        <w:rPr>
          <w:rFonts w:ascii="Arial Narrow" w:hAnsi="Arial Narrow" w:cs="Arial"/>
          <w:color w:val="000000" w:themeColor="text1"/>
          <w:lang w:val="es-ES_tradnl" w:eastAsia="es-CO"/>
        </w:rPr>
        <w:t>manifiestan</w:t>
      </w:r>
      <w:r w:rsidRPr="002C0D19">
        <w:rPr>
          <w:rFonts w:ascii="Arial Narrow" w:hAnsi="Arial Narrow" w:cs="Arial"/>
          <w:b/>
          <w:color w:val="000000" w:themeColor="text1"/>
          <w:lang w:val="es-ES_tradnl" w:eastAsia="es-CO"/>
        </w:rPr>
        <w:t xml:space="preserve"> </w:t>
      </w:r>
      <w:r w:rsidRPr="002C0D19">
        <w:rPr>
          <w:rFonts w:ascii="Arial Narrow" w:hAnsi="Arial Narrow" w:cs="Arial"/>
          <w:color w:val="000000" w:themeColor="text1"/>
          <w:lang w:val="es-ES_tradnl" w:eastAsia="es-CO"/>
        </w:rPr>
        <w:t xml:space="preserve">que en virtud de la novación serán relevadas solamente de los derechos y obligaciones derivadas de la respectiva operación sobre el Instrumento Financiero Derivado No Estandarizado original, cuyo cumplimiento deba realizarse después de aceptada la operación por parte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w:t>
      </w:r>
    </w:p>
    <w:p w14:paraId="0E427E7B" w14:textId="77777777" w:rsidR="007968EC" w:rsidRPr="002C0D19" w:rsidRDefault="007968EC" w:rsidP="007968EC">
      <w:pPr>
        <w:jc w:val="both"/>
        <w:rPr>
          <w:rFonts w:ascii="Arial Narrow" w:hAnsi="Arial Narrow" w:cs="Arial"/>
          <w:b/>
          <w:color w:val="000000" w:themeColor="text1"/>
          <w:lang w:val="es-ES_tradnl" w:eastAsia="es-CO"/>
        </w:rPr>
      </w:pPr>
    </w:p>
    <w:p w14:paraId="27FAE4CA" w14:textId="77777777" w:rsidR="007968EC" w:rsidRPr="002C0D19" w:rsidRDefault="007968EC" w:rsidP="007968EC">
      <w:pPr>
        <w:jc w:val="both"/>
        <w:rPr>
          <w:rFonts w:ascii="Arial Narrow" w:hAnsi="Arial Narrow" w:cs="Arial"/>
          <w:b/>
          <w:color w:val="000000" w:themeColor="text1"/>
          <w:lang w:eastAsia="es-CO"/>
        </w:rPr>
      </w:pPr>
      <w:r w:rsidRPr="002C0D19">
        <w:rPr>
          <w:rFonts w:ascii="Arial Narrow" w:hAnsi="Arial Narrow" w:cs="Arial"/>
          <w:b/>
          <w:color w:val="000000" w:themeColor="text1"/>
          <w:lang w:val="es-ES_tradnl" w:eastAsia="es-CO"/>
        </w:rPr>
        <w:t xml:space="preserve">PARÁGRAFO PRIMERO: INTENCIÓN DE NOVAR EN EL CAMBIO DE DEUDOR.- Las Partes </w:t>
      </w:r>
      <w:r w:rsidRPr="002C0D19">
        <w:rPr>
          <w:rFonts w:ascii="Arial Narrow" w:hAnsi="Arial Narrow" w:cs="Arial"/>
          <w:color w:val="000000" w:themeColor="text1"/>
          <w:lang w:val="es-ES_tradnl" w:eastAsia="es-CO"/>
        </w:rPr>
        <w:t>declaran expresamente que aceptan que cuando tengan la calidad de acreedores de la otra parte en una operación sobre un Instrumento Financiero Derivado No Estandarizado, su remisión a</w:t>
      </w:r>
      <w:r w:rsidRPr="002C0D19">
        <w:rPr>
          <w:rFonts w:ascii="Arial Narrow" w:hAnsi="Arial Narrow" w:cs="Arial"/>
          <w:b/>
          <w:color w:val="000000" w:themeColor="text1"/>
          <w:lang w:val="es-ES_tradnl" w:eastAsia="es-CO"/>
        </w:rPr>
        <w:t xml:space="preserve"> LA CRCC </w:t>
      </w:r>
      <w:r w:rsidRPr="002C0D19">
        <w:rPr>
          <w:rFonts w:ascii="Arial Narrow" w:hAnsi="Arial Narrow" w:cs="Arial"/>
          <w:color w:val="000000" w:themeColor="text1"/>
          <w:lang w:val="es-ES_tradnl" w:eastAsia="es-CO"/>
        </w:rPr>
        <w:t>para la Compensación y Liquidación conllevará la liberación de la otra parte deudora.</w:t>
      </w:r>
      <w:r w:rsidRPr="002C0D19">
        <w:rPr>
          <w:rFonts w:ascii="Arial Narrow" w:hAnsi="Arial Narrow" w:cs="Arial"/>
          <w:b/>
          <w:color w:val="000000" w:themeColor="text1"/>
          <w:lang w:val="es-ES_tradnl" w:eastAsia="es-CO"/>
        </w:rPr>
        <w:t xml:space="preserve"> </w:t>
      </w:r>
    </w:p>
    <w:p w14:paraId="5F27E462" w14:textId="77777777" w:rsidR="007968EC" w:rsidRPr="002C0D19" w:rsidRDefault="007968EC" w:rsidP="007968EC">
      <w:pPr>
        <w:jc w:val="both"/>
        <w:rPr>
          <w:rFonts w:ascii="Arial Narrow" w:hAnsi="Arial Narrow" w:cs="Arial"/>
          <w:b/>
          <w:color w:val="000000" w:themeColor="text1"/>
          <w:lang w:val="es-ES_tradnl" w:eastAsia="es-CO"/>
        </w:rPr>
      </w:pPr>
    </w:p>
    <w:p w14:paraId="18717CFD" w14:textId="77777777" w:rsidR="007968EC" w:rsidRPr="002C0D19" w:rsidRDefault="007968EC" w:rsidP="007968EC">
      <w:pPr>
        <w:jc w:val="both"/>
        <w:rPr>
          <w:rFonts w:ascii="Arial Narrow" w:hAnsi="Arial Narrow" w:cs="Arial"/>
          <w:color w:val="000000" w:themeColor="text1"/>
          <w:lang w:val="es-ES_tradnl" w:eastAsia="es-CO"/>
        </w:rPr>
      </w:pPr>
      <w:r w:rsidRPr="002C0D19">
        <w:rPr>
          <w:rFonts w:ascii="Arial Narrow" w:hAnsi="Arial Narrow" w:cs="Arial"/>
          <w:b/>
          <w:color w:val="000000" w:themeColor="text1"/>
          <w:lang w:val="es-ES_tradnl" w:eastAsia="es-CO"/>
        </w:rPr>
        <w:t xml:space="preserve">PARÁGRAFO SEGUNDO: REGLAMENTO DE FUNCIONAMIENTO DE LA CRCC.- Las Partes </w:t>
      </w:r>
      <w:r w:rsidRPr="002C0D19">
        <w:rPr>
          <w:rFonts w:ascii="Arial Narrow" w:hAnsi="Arial Narrow" w:cs="Arial"/>
          <w:color w:val="000000" w:themeColor="text1"/>
          <w:lang w:val="es-ES_tradnl" w:eastAsia="es-CO"/>
        </w:rPr>
        <w:t>declaran que las dos nuevas operaciones y las relaciones contractuales que se deriven de las mismas, así como sus efectos quedan sujetos a los Términos de Compensación y Liquidación y se rigen exclusivamente por el Reglamento de Funcionamiento, las Circulares y los Instructivos Operativos de</w:t>
      </w:r>
      <w:r w:rsidRPr="002C0D19">
        <w:rPr>
          <w:rFonts w:ascii="Arial Narrow" w:hAnsi="Arial Narrow" w:cs="Arial"/>
          <w:b/>
          <w:color w:val="000000" w:themeColor="text1"/>
          <w:lang w:val="es-ES_tradnl" w:eastAsia="es-CO"/>
        </w:rPr>
        <w:t xml:space="preserve"> LA CRCC. </w:t>
      </w:r>
      <w:r w:rsidRPr="002C0D19">
        <w:rPr>
          <w:rFonts w:ascii="Arial Narrow" w:hAnsi="Arial Narrow" w:cs="Arial"/>
          <w:color w:val="000000" w:themeColor="text1"/>
          <w:lang w:val="es-ES_tradnl" w:eastAsia="es-CO"/>
        </w:rPr>
        <w:t>En caso de discrepancia, incoherencia o contradicción entre los Términos de Compensación y Liquidación y los Términos Económicos, prevalecerán los Términos de Compensación y Liquidación.</w:t>
      </w:r>
    </w:p>
    <w:p w14:paraId="54D4B347" w14:textId="77777777" w:rsidR="007968EC" w:rsidRPr="002C0D19" w:rsidRDefault="007968EC" w:rsidP="007968EC">
      <w:pPr>
        <w:jc w:val="both"/>
        <w:rPr>
          <w:rFonts w:ascii="Arial Narrow" w:hAnsi="Arial Narrow" w:cs="Arial"/>
          <w:color w:val="000000" w:themeColor="text1"/>
          <w:lang w:val="es-ES_tradnl" w:eastAsia="es-CO"/>
        </w:rPr>
      </w:pPr>
    </w:p>
    <w:p w14:paraId="7EEE7B90" w14:textId="77777777" w:rsidR="007968EC" w:rsidRPr="002C0D19" w:rsidRDefault="007968EC" w:rsidP="007968EC">
      <w:pPr>
        <w:jc w:val="both"/>
        <w:rPr>
          <w:rFonts w:ascii="Arial Narrow" w:hAnsi="Arial Narrow" w:cs="Arial"/>
          <w:color w:val="000000" w:themeColor="text1"/>
          <w:lang w:val="es-ES_tradnl" w:eastAsia="es-CO"/>
        </w:rPr>
      </w:pPr>
      <w:r w:rsidRPr="002C0D19">
        <w:rPr>
          <w:rFonts w:ascii="Arial Narrow" w:hAnsi="Arial Narrow" w:cs="Arial"/>
          <w:b/>
          <w:color w:val="000000" w:themeColor="text1"/>
          <w:lang w:eastAsia="es-CO"/>
        </w:rPr>
        <w:t>PARÁGRAFO TERCERO</w:t>
      </w:r>
      <w:r w:rsidRPr="002C0D19">
        <w:rPr>
          <w:rFonts w:ascii="Arial Narrow" w:hAnsi="Arial Narrow" w:cs="Arial"/>
          <w:color w:val="000000" w:themeColor="text1"/>
          <w:lang w:eastAsia="es-CO"/>
        </w:rPr>
        <w:t xml:space="preserve">: Cualquier reforma que se realice al Reglamento o a las Circulares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eastAsia="es-CO"/>
        </w:rPr>
        <w:t xml:space="preserve"> que implique una modificación a los términos de los acuerdos o Convenios de vinculación, Oferta de Servicios Aceptada mediante Orden de Compra de Servicios que suscriban los Miembros y estos con sus Terceros se presume conocida y aceptada por las partes a partir de su publicación y entrada en vigencia y no requerirá de la modificación de tales acuerdos o Convenios de vinculación, Oferta de Servicios Aceptada mediante Orden de Compra de Servicios que suscriban los Miembros y estos con sus Terceros, ni de la suscripción de nuevos Convenios. No obstante, cuando haya lugar a ello,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eastAsia="es-CO"/>
        </w:rPr>
        <w:t xml:space="preserve"> podrá aprobar unos nuevos textos que incorporen las modificaciones pertinentes y publicarlos mediante Circular para efecto de la vinculación de nuevos Miembros, Agentes y Terceros a través de</w:t>
      </w:r>
      <w:r w:rsidRPr="002C0D19">
        <w:rPr>
          <w:rFonts w:ascii="Arial Narrow" w:hAnsi="Arial Narrow" w:cs="Arial"/>
          <w:b/>
          <w:color w:val="000000" w:themeColor="text1"/>
          <w:lang w:eastAsia="es-CO"/>
        </w:rPr>
        <w:t xml:space="preserve"> </w:t>
      </w:r>
      <w:r w:rsidRPr="002C0D19">
        <w:rPr>
          <w:rFonts w:ascii="Arial Narrow" w:hAnsi="Arial Narrow" w:cs="Arial"/>
          <w:color w:val="000000" w:themeColor="text1"/>
          <w:lang w:eastAsia="es-CO"/>
        </w:rPr>
        <w:t>los Miembros.</w:t>
      </w:r>
    </w:p>
    <w:p w14:paraId="1E073C2D" w14:textId="77777777" w:rsidR="007968EC" w:rsidRPr="002C0D19" w:rsidRDefault="007968EC" w:rsidP="007968EC">
      <w:pPr>
        <w:jc w:val="both"/>
        <w:rPr>
          <w:rFonts w:ascii="Arial Narrow" w:hAnsi="Arial Narrow" w:cs="Arial"/>
          <w:b/>
          <w:color w:val="000000" w:themeColor="text1"/>
          <w:lang w:val="es-ES_tradnl" w:eastAsia="es-CO"/>
        </w:rPr>
      </w:pPr>
    </w:p>
    <w:p w14:paraId="169C3D60" w14:textId="77777777" w:rsidR="007968EC" w:rsidRPr="002C0D19" w:rsidRDefault="007968EC" w:rsidP="007968EC">
      <w:pPr>
        <w:jc w:val="both"/>
        <w:rPr>
          <w:rFonts w:ascii="Arial Narrow" w:hAnsi="Arial Narrow" w:cs="Arial"/>
          <w:b/>
          <w:color w:val="000000" w:themeColor="text1"/>
          <w:lang w:val="es-ES_tradnl" w:eastAsia="es-CO"/>
        </w:rPr>
      </w:pPr>
      <w:r w:rsidRPr="002C0D19">
        <w:rPr>
          <w:rFonts w:ascii="Arial Narrow" w:hAnsi="Arial Narrow" w:cs="Arial"/>
          <w:b/>
          <w:color w:val="000000" w:themeColor="text1"/>
          <w:lang w:val="es-ES_tradnl" w:eastAsia="es-CO"/>
        </w:rPr>
        <w:t xml:space="preserve">CUARTA: FINALIDAD.- Las Partes </w:t>
      </w:r>
      <w:r w:rsidRPr="002C0D19">
        <w:rPr>
          <w:rFonts w:ascii="Arial Narrow" w:hAnsi="Arial Narrow" w:cs="Arial"/>
          <w:color w:val="000000" w:themeColor="text1"/>
          <w:lang w:val="es-ES_tradnl" w:eastAsia="es-CO"/>
        </w:rPr>
        <w:t>declaran que conocen y aceptan que el principio de finalidad establecido en las disposiciones legales vigentes y en el Reglamento de Funcionamiento de</w:t>
      </w:r>
      <w:r w:rsidRPr="002C0D19">
        <w:rPr>
          <w:rFonts w:ascii="Arial Narrow" w:hAnsi="Arial Narrow" w:cs="Arial"/>
          <w:b/>
          <w:color w:val="000000" w:themeColor="text1"/>
          <w:lang w:val="es-ES_tradnl" w:eastAsia="es-CO"/>
        </w:rPr>
        <w:t xml:space="preserve"> LA CRCC </w:t>
      </w:r>
      <w:r w:rsidRPr="002C0D19">
        <w:rPr>
          <w:rFonts w:ascii="Arial Narrow" w:hAnsi="Arial Narrow" w:cs="Arial"/>
          <w:color w:val="000000" w:themeColor="text1"/>
          <w:lang w:val="es-ES_tradnl" w:eastAsia="es-CO"/>
        </w:rPr>
        <w:t>se extiende a las operaciones sobre Instrumentos Financieros Derivados No Estandarizados celebradas entre sí, aceptadas por la Cámara en su función de contraparte desde el momento de su aceptación y se aplica a todos los actos necesarios para su cumplimiento, incluida la compensación a que se refiere el artículo 17 de la Ley 964 de 2005.</w:t>
      </w:r>
    </w:p>
    <w:p w14:paraId="02EB5A1B" w14:textId="77777777" w:rsidR="007968EC" w:rsidRPr="002C0D19" w:rsidRDefault="007968EC" w:rsidP="007968EC">
      <w:pPr>
        <w:jc w:val="both"/>
        <w:rPr>
          <w:rFonts w:ascii="Arial Narrow" w:hAnsi="Arial Narrow" w:cs="Arial"/>
          <w:b/>
          <w:color w:val="000000" w:themeColor="text1"/>
          <w:lang w:val="es-ES_tradnl" w:eastAsia="es-CO"/>
        </w:rPr>
      </w:pPr>
    </w:p>
    <w:p w14:paraId="19EC6333" w14:textId="77777777" w:rsidR="007968EC" w:rsidRPr="002C0D19" w:rsidRDefault="007968EC" w:rsidP="007968EC">
      <w:pPr>
        <w:jc w:val="both"/>
        <w:rPr>
          <w:rFonts w:ascii="Arial Narrow" w:hAnsi="Arial Narrow" w:cs="Arial"/>
          <w:b/>
          <w:color w:val="000000" w:themeColor="text1"/>
          <w:lang w:val="es-ES_tradnl" w:eastAsia="es-CO"/>
        </w:rPr>
      </w:pPr>
      <w:r w:rsidRPr="002C0D19">
        <w:rPr>
          <w:rFonts w:ascii="Arial Narrow" w:hAnsi="Arial Narrow" w:cs="Arial"/>
          <w:b/>
          <w:color w:val="000000" w:themeColor="text1"/>
          <w:lang w:val="es-ES_tradnl" w:eastAsia="es-CO"/>
        </w:rPr>
        <w:t xml:space="preserve">QUINTA: RECHAZO O NO RECIBO DE </w:t>
      </w:r>
      <w:r w:rsidRPr="002C0D19">
        <w:rPr>
          <w:rFonts w:ascii="Arial Narrow" w:hAnsi="Arial Narrow" w:cs="Arial"/>
          <w:b/>
          <w:color w:val="000000" w:themeColor="text1"/>
          <w:lang w:eastAsia="es-CO"/>
        </w:rPr>
        <w:t xml:space="preserve">OPERACIONES SOBRE </w:t>
      </w:r>
      <w:r w:rsidRPr="002C0D19">
        <w:rPr>
          <w:rFonts w:ascii="Arial Narrow" w:hAnsi="Arial Narrow" w:cs="Arial"/>
          <w:b/>
          <w:color w:val="000000" w:themeColor="text1"/>
          <w:lang w:val="es-ES_tradnl" w:eastAsia="es-CO"/>
        </w:rPr>
        <w:t xml:space="preserve">INSTRUMENTOS FINANCIEROS DERIVADOS NO ESTANDARIZADOS.- Las Partes </w:t>
      </w:r>
      <w:r w:rsidRPr="002C0D19">
        <w:rPr>
          <w:rFonts w:ascii="Arial Narrow" w:hAnsi="Arial Narrow" w:cs="Arial"/>
          <w:color w:val="000000" w:themeColor="text1"/>
          <w:lang w:val="es-ES_tradnl" w:eastAsia="es-CO"/>
        </w:rPr>
        <w:t>declaran que si por cualquier razón ya sea de tipo operativo, tecnológico o de riesgo</w:t>
      </w:r>
      <w:r w:rsidRPr="002C0D19">
        <w:rPr>
          <w:rFonts w:ascii="Arial Narrow" w:hAnsi="Arial Narrow" w:cs="Arial"/>
          <w:b/>
          <w:color w:val="000000" w:themeColor="text1"/>
          <w:lang w:val="es-ES_tradnl" w:eastAsia="es-CO"/>
        </w:rPr>
        <w:t xml:space="preserve"> LA CRCC </w:t>
      </w:r>
      <w:r w:rsidRPr="002C0D19">
        <w:rPr>
          <w:rFonts w:ascii="Arial Narrow" w:hAnsi="Arial Narrow" w:cs="Arial"/>
          <w:color w:val="000000" w:themeColor="text1"/>
          <w:lang w:val="es-ES_tradnl" w:eastAsia="es-CO"/>
        </w:rPr>
        <w:t xml:space="preserve">rechaza o no recibe una o varias </w:t>
      </w:r>
      <w:r w:rsidRPr="002C0D19">
        <w:rPr>
          <w:rFonts w:ascii="Arial Narrow" w:hAnsi="Arial Narrow" w:cs="Arial"/>
          <w:color w:val="000000" w:themeColor="text1"/>
          <w:lang w:eastAsia="es-CO"/>
        </w:rPr>
        <w:t xml:space="preserve">operaciones sobre </w:t>
      </w:r>
      <w:r w:rsidRPr="002C0D19">
        <w:rPr>
          <w:rFonts w:ascii="Arial Narrow" w:hAnsi="Arial Narrow" w:cs="Arial"/>
          <w:color w:val="000000" w:themeColor="text1"/>
          <w:lang w:val="es-ES_tradnl" w:eastAsia="es-CO"/>
        </w:rPr>
        <w:t>Instrumentos Financieros Derivados No Estandarizados celebradas entre sí, remitidas para su Compensación y Liquidación por parte de</w:t>
      </w:r>
      <w:r w:rsidRPr="002C0D19">
        <w:rPr>
          <w:rFonts w:ascii="Arial Narrow" w:hAnsi="Arial Narrow" w:cs="Arial"/>
          <w:b/>
          <w:color w:val="000000" w:themeColor="text1"/>
          <w:lang w:val="es-ES_tradnl" w:eastAsia="es-CO"/>
        </w:rPr>
        <w:t xml:space="preserve"> LA CRCC, </w:t>
      </w:r>
      <w:r w:rsidRPr="002C0D19">
        <w:rPr>
          <w:rFonts w:ascii="Arial Narrow" w:hAnsi="Arial Narrow" w:cs="Arial"/>
          <w:color w:val="000000" w:themeColor="text1"/>
          <w:lang w:val="es-ES_tradnl" w:eastAsia="es-CO"/>
        </w:rPr>
        <w:t xml:space="preserve">dichas operaciones se seguirán rigiendo por el contrato o acuerdo original suscrito entre </w:t>
      </w:r>
      <w:r w:rsidRPr="002C0D19">
        <w:rPr>
          <w:rFonts w:ascii="Arial Narrow" w:hAnsi="Arial Narrow" w:cs="Arial"/>
          <w:b/>
          <w:color w:val="000000" w:themeColor="text1"/>
          <w:lang w:val="es-ES_tradnl" w:eastAsia="es-CO"/>
        </w:rPr>
        <w:t>Las Partes</w:t>
      </w:r>
      <w:r w:rsidRPr="002C0D19">
        <w:rPr>
          <w:rFonts w:ascii="Arial Narrow" w:hAnsi="Arial Narrow" w:cs="Arial"/>
          <w:color w:val="000000" w:themeColor="text1"/>
          <w:lang w:val="es-ES_tradnl" w:eastAsia="es-CO"/>
        </w:rPr>
        <w:t xml:space="preserve">, dichas operaciones serán vinculantes para </w:t>
      </w:r>
      <w:r w:rsidRPr="002C0D19">
        <w:rPr>
          <w:rFonts w:ascii="Arial Narrow" w:hAnsi="Arial Narrow" w:cs="Arial"/>
          <w:b/>
          <w:color w:val="000000" w:themeColor="text1"/>
          <w:lang w:val="es-ES_tradnl" w:eastAsia="es-CO"/>
        </w:rPr>
        <w:t xml:space="preserve">Las Partes </w:t>
      </w:r>
      <w:r w:rsidRPr="002C0D19">
        <w:rPr>
          <w:rFonts w:ascii="Arial Narrow" w:hAnsi="Arial Narrow" w:cs="Arial"/>
          <w:color w:val="000000" w:themeColor="text1"/>
          <w:lang w:val="es-ES_tradnl" w:eastAsia="es-CO"/>
        </w:rPr>
        <w:t xml:space="preserve">y por lo </w:t>
      </w:r>
      <w:r w:rsidRPr="002C0D19">
        <w:rPr>
          <w:rFonts w:ascii="Arial Narrow" w:hAnsi="Arial Narrow" w:cs="Arial"/>
          <w:color w:val="000000" w:themeColor="text1"/>
          <w:lang w:val="es-ES_tradnl" w:eastAsia="es-CO"/>
        </w:rPr>
        <w:lastRenderedPageBreak/>
        <w:t xml:space="preserve">tanto, el cumplimiento de las mismas estará exclusivamente a su cargo en los términos del contrato celebrado por ellas. </w:t>
      </w:r>
    </w:p>
    <w:p w14:paraId="1CA66782" w14:textId="77777777" w:rsidR="007968EC" w:rsidRPr="002C0D19" w:rsidRDefault="007968EC" w:rsidP="007968EC">
      <w:pPr>
        <w:jc w:val="both"/>
        <w:rPr>
          <w:rFonts w:ascii="Arial Narrow" w:hAnsi="Arial Narrow" w:cs="Arial"/>
          <w:b/>
          <w:color w:val="000000" w:themeColor="text1"/>
          <w:lang w:val="es-ES_tradnl" w:eastAsia="es-CO"/>
        </w:rPr>
      </w:pPr>
    </w:p>
    <w:p w14:paraId="36DDB7C0" w14:textId="77777777" w:rsidR="007968EC" w:rsidRPr="002C0D19" w:rsidRDefault="007968EC" w:rsidP="007968EC">
      <w:pPr>
        <w:jc w:val="both"/>
        <w:rPr>
          <w:rFonts w:ascii="Arial Narrow" w:hAnsi="Arial Narrow" w:cs="Arial"/>
          <w:b/>
          <w:color w:val="000000" w:themeColor="text1"/>
          <w:lang w:val="es-ES_tradnl" w:eastAsia="es-CO"/>
        </w:rPr>
      </w:pPr>
      <w:r w:rsidRPr="002C0D19">
        <w:rPr>
          <w:rFonts w:ascii="Arial Narrow" w:hAnsi="Arial Narrow" w:cs="Arial"/>
          <w:b/>
          <w:color w:val="000000" w:themeColor="text1"/>
          <w:lang w:val="es-ES_tradnl" w:eastAsia="es-CO"/>
        </w:rPr>
        <w:t xml:space="preserve">SEXTA: VIGENCIA.- </w:t>
      </w:r>
      <w:r w:rsidRPr="002C0D19">
        <w:rPr>
          <w:rFonts w:ascii="Arial Narrow" w:hAnsi="Arial Narrow" w:cs="Arial"/>
          <w:color w:val="000000" w:themeColor="text1"/>
          <w:lang w:val="es-ES_tradnl" w:eastAsia="es-CO"/>
        </w:rPr>
        <w:t xml:space="preserve">La vigencia del </w:t>
      </w:r>
      <w:r w:rsidRPr="002C0D19">
        <w:rPr>
          <w:rFonts w:ascii="Arial Narrow" w:hAnsi="Arial Narrow" w:cs="Arial"/>
          <w:b/>
          <w:color w:val="000000" w:themeColor="text1"/>
          <w:lang w:val="es-ES_tradnl" w:eastAsia="es-CO"/>
        </w:rPr>
        <w:t xml:space="preserve">CONVENIO </w:t>
      </w:r>
      <w:r w:rsidRPr="002C0D19">
        <w:rPr>
          <w:rFonts w:ascii="Arial Narrow" w:hAnsi="Arial Narrow" w:cs="Arial"/>
          <w:color w:val="000000" w:themeColor="text1"/>
          <w:lang w:val="es-ES_tradnl" w:eastAsia="es-CO"/>
        </w:rPr>
        <w:t xml:space="preserve">es indefinida. No obstante lo anterior, </w:t>
      </w:r>
      <w:r w:rsidRPr="002C0D19">
        <w:rPr>
          <w:rFonts w:ascii="Arial Narrow" w:hAnsi="Arial Narrow" w:cs="Arial"/>
          <w:b/>
          <w:color w:val="000000" w:themeColor="text1"/>
          <w:lang w:val="es-ES_tradnl" w:eastAsia="es-CO"/>
        </w:rPr>
        <w:t xml:space="preserve">Las Partes </w:t>
      </w:r>
      <w:r w:rsidRPr="002C0D19">
        <w:rPr>
          <w:rFonts w:ascii="Arial Narrow" w:hAnsi="Arial Narrow" w:cs="Arial"/>
          <w:color w:val="000000" w:themeColor="text1"/>
          <w:lang w:val="es-ES_tradnl" w:eastAsia="es-CO"/>
        </w:rPr>
        <w:t xml:space="preserve">podrán darlo por terminado en cualquier tiempo, mediante la entrega a la otra parte de un aviso escrito en tal sentido, remitido con no menos de treinta (30) días calendario de anticipación al día hábil en el cual desea que dicha terminación tenga efecto. </w:t>
      </w:r>
    </w:p>
    <w:p w14:paraId="72DF0C33" w14:textId="77777777" w:rsidR="007968EC" w:rsidRPr="002C0D19" w:rsidRDefault="007968EC" w:rsidP="007968EC">
      <w:pPr>
        <w:jc w:val="both"/>
        <w:rPr>
          <w:rFonts w:ascii="Arial Narrow" w:hAnsi="Arial Narrow" w:cs="Arial"/>
          <w:b/>
          <w:color w:val="000000" w:themeColor="text1"/>
          <w:lang w:val="es-ES_tradnl" w:eastAsia="es-CO"/>
        </w:rPr>
      </w:pPr>
    </w:p>
    <w:p w14:paraId="71E3FD5B" w14:textId="77777777" w:rsidR="007968EC" w:rsidRPr="002C0D19" w:rsidRDefault="007968EC" w:rsidP="007968EC">
      <w:pPr>
        <w:jc w:val="both"/>
        <w:rPr>
          <w:rFonts w:ascii="Arial Narrow" w:hAnsi="Arial Narrow" w:cs="Arial"/>
          <w:b/>
          <w:color w:val="000000" w:themeColor="text1"/>
          <w:lang w:eastAsia="es-CO"/>
        </w:rPr>
      </w:pPr>
      <w:r w:rsidRPr="002C0D19">
        <w:rPr>
          <w:rFonts w:ascii="Arial Narrow" w:hAnsi="Arial Narrow" w:cs="Arial"/>
          <w:b/>
          <w:color w:val="000000" w:themeColor="text1"/>
          <w:lang w:eastAsia="es-CO"/>
        </w:rPr>
        <w:t>PARÁGRAFO. NOTIFICACIÓN A LA CRCC</w:t>
      </w:r>
      <w:r w:rsidRPr="002C0D19">
        <w:rPr>
          <w:rFonts w:ascii="Arial Narrow" w:hAnsi="Arial Narrow" w:cs="Arial"/>
          <w:b/>
          <w:color w:val="000000" w:themeColor="text1"/>
          <w:lang w:val="es-ES_tradnl" w:eastAsia="es-CO"/>
        </w:rPr>
        <w:t>.-</w:t>
      </w:r>
      <w:r w:rsidRPr="002C0D19">
        <w:rPr>
          <w:rFonts w:ascii="Arial Narrow" w:hAnsi="Arial Narrow" w:cs="Arial"/>
          <w:color w:val="000000" w:themeColor="text1"/>
          <w:lang w:val="es-ES_tradnl" w:eastAsia="es-CO"/>
        </w:rPr>
        <w:t xml:space="preserve"> </w:t>
      </w:r>
      <w:r w:rsidRPr="002C0D19">
        <w:rPr>
          <w:rFonts w:ascii="Arial Narrow" w:hAnsi="Arial Narrow" w:cs="Arial"/>
          <w:color w:val="000000" w:themeColor="text1"/>
          <w:lang w:eastAsia="es-CO"/>
        </w:rPr>
        <w:t>En caso de terminación del presente</w:t>
      </w:r>
      <w:r w:rsidRPr="002C0D19">
        <w:rPr>
          <w:rFonts w:ascii="Arial Narrow" w:hAnsi="Arial Narrow" w:cs="Arial"/>
          <w:b/>
          <w:color w:val="000000" w:themeColor="text1"/>
          <w:lang w:eastAsia="es-CO"/>
        </w:rPr>
        <w:t xml:space="preserve"> CONVENIO, Las Partes </w:t>
      </w:r>
      <w:r w:rsidRPr="002C0D19">
        <w:rPr>
          <w:rFonts w:ascii="Arial Narrow" w:hAnsi="Arial Narrow" w:cs="Arial"/>
          <w:color w:val="000000" w:themeColor="text1"/>
          <w:lang w:eastAsia="es-CO"/>
        </w:rPr>
        <w:t>se obligan a notificar de ello en forma inmediata y por escrito</w:t>
      </w:r>
      <w:r w:rsidRPr="002C0D19">
        <w:rPr>
          <w:rFonts w:ascii="Arial Narrow" w:hAnsi="Arial Narrow" w:cs="Arial"/>
          <w:b/>
          <w:color w:val="000000" w:themeColor="text1"/>
          <w:lang w:eastAsia="es-CO"/>
        </w:rPr>
        <w:t xml:space="preserve"> </w:t>
      </w:r>
      <w:r w:rsidRPr="002C0D19">
        <w:rPr>
          <w:rFonts w:ascii="Arial Narrow" w:hAnsi="Arial Narrow" w:cs="Arial"/>
          <w:color w:val="000000" w:themeColor="text1"/>
          <w:lang w:eastAsia="es-CO"/>
        </w:rPr>
        <w:t>a</w:t>
      </w:r>
      <w:r w:rsidRPr="002C0D19">
        <w:rPr>
          <w:rFonts w:ascii="Arial Narrow" w:hAnsi="Arial Narrow" w:cs="Arial"/>
          <w:b/>
          <w:color w:val="000000" w:themeColor="text1"/>
          <w:lang w:eastAsia="es-CO"/>
        </w:rPr>
        <w:t xml:space="preserve"> LA CRCC. </w:t>
      </w:r>
      <w:r w:rsidRPr="002C0D19">
        <w:rPr>
          <w:rFonts w:ascii="Arial Narrow" w:hAnsi="Arial Narrow" w:cs="Arial"/>
          <w:color w:val="000000" w:themeColor="text1"/>
          <w:lang w:eastAsia="es-CO"/>
        </w:rPr>
        <w:t>En todo caso</w:t>
      </w:r>
      <w:r w:rsidRPr="002C0D19">
        <w:rPr>
          <w:rFonts w:ascii="Arial Narrow" w:hAnsi="Arial Narrow" w:cs="Arial"/>
          <w:b/>
          <w:color w:val="000000" w:themeColor="text1"/>
          <w:lang w:eastAsia="es-CO"/>
        </w:rPr>
        <w:t xml:space="preserve"> EL CONVENIO </w:t>
      </w:r>
      <w:r w:rsidRPr="002C0D19">
        <w:rPr>
          <w:rFonts w:ascii="Arial Narrow" w:hAnsi="Arial Narrow" w:cs="Arial"/>
          <w:color w:val="000000" w:themeColor="text1"/>
          <w:lang w:eastAsia="es-CO"/>
        </w:rPr>
        <w:t>estará vigente hasta que dicha notificación se haya efectuado</w:t>
      </w:r>
      <w:r w:rsidRPr="002C0D19">
        <w:rPr>
          <w:rFonts w:ascii="Arial Narrow" w:hAnsi="Arial Narrow" w:cs="Arial"/>
          <w:b/>
          <w:color w:val="000000" w:themeColor="text1"/>
          <w:lang w:eastAsia="es-CO"/>
        </w:rPr>
        <w:t xml:space="preserve"> </w:t>
      </w:r>
      <w:r w:rsidRPr="002C0D19">
        <w:rPr>
          <w:rFonts w:ascii="Arial Narrow" w:hAnsi="Arial Narrow" w:cs="Arial"/>
          <w:color w:val="000000" w:themeColor="text1"/>
          <w:lang w:eastAsia="es-CO"/>
        </w:rPr>
        <w:t>y</w:t>
      </w:r>
      <w:r w:rsidRPr="002C0D19">
        <w:rPr>
          <w:rFonts w:ascii="Arial Narrow" w:hAnsi="Arial Narrow" w:cs="Arial"/>
          <w:b/>
          <w:color w:val="000000" w:themeColor="text1"/>
          <w:lang w:eastAsia="es-CO"/>
        </w:rPr>
        <w:t xml:space="preserve"> LA CRCC </w:t>
      </w:r>
      <w:r w:rsidRPr="002C0D19">
        <w:rPr>
          <w:rFonts w:ascii="Arial Narrow" w:hAnsi="Arial Narrow" w:cs="Arial"/>
          <w:color w:val="000000" w:themeColor="text1"/>
          <w:lang w:eastAsia="es-CO"/>
        </w:rPr>
        <w:t xml:space="preserve">haya informado su recibo a </w:t>
      </w:r>
      <w:r w:rsidRPr="002C0D19">
        <w:rPr>
          <w:rFonts w:ascii="Arial Narrow" w:hAnsi="Arial Narrow" w:cs="Arial"/>
          <w:b/>
          <w:color w:val="000000" w:themeColor="text1"/>
          <w:lang w:eastAsia="es-CO"/>
        </w:rPr>
        <w:t xml:space="preserve">Las Partes. </w:t>
      </w:r>
    </w:p>
    <w:p w14:paraId="527B7D93" w14:textId="77777777" w:rsidR="007968EC" w:rsidRPr="002C0D19" w:rsidRDefault="007968EC" w:rsidP="007968EC">
      <w:pPr>
        <w:jc w:val="both"/>
        <w:rPr>
          <w:rFonts w:ascii="Arial Narrow" w:hAnsi="Arial Narrow" w:cs="Arial"/>
          <w:b/>
          <w:color w:val="000000" w:themeColor="text1"/>
          <w:lang w:eastAsia="es-CO"/>
        </w:rPr>
      </w:pPr>
    </w:p>
    <w:p w14:paraId="668D516F" w14:textId="77777777" w:rsidR="007968EC" w:rsidRPr="002C0D19" w:rsidRDefault="007968EC" w:rsidP="007968EC">
      <w:pPr>
        <w:jc w:val="both"/>
        <w:rPr>
          <w:rFonts w:ascii="Arial Narrow" w:hAnsi="Arial Narrow" w:cs="Arial"/>
          <w:b/>
          <w:color w:val="000000" w:themeColor="text1"/>
          <w:lang w:val="es-ES_tradnl" w:eastAsia="es-ES"/>
        </w:rPr>
      </w:pPr>
      <w:r w:rsidRPr="002C0D19">
        <w:rPr>
          <w:rFonts w:ascii="Arial Narrow" w:hAnsi="Arial Narrow" w:cs="Arial"/>
          <w:b/>
          <w:bCs/>
          <w:color w:val="000000" w:themeColor="text1"/>
          <w:lang w:val="es-ES" w:eastAsia="es-ES"/>
        </w:rPr>
        <w:t>SÉPTIMA</w:t>
      </w:r>
      <w:r w:rsidRPr="002C0D19">
        <w:rPr>
          <w:rFonts w:ascii="Arial Narrow" w:hAnsi="Arial Narrow" w:cs="Arial"/>
          <w:b/>
          <w:color w:val="000000" w:themeColor="text1"/>
          <w:lang w:val="es-ES_tradnl" w:eastAsia="es-ES"/>
        </w:rPr>
        <w:t>: CONVENIO A DISPOSICIÓN DE LA CRCC.- Las Partes</w:t>
      </w:r>
      <w:r w:rsidRPr="002C0D19">
        <w:rPr>
          <w:rFonts w:ascii="Arial Narrow" w:hAnsi="Arial Narrow" w:cs="Arial"/>
          <w:color w:val="000000" w:themeColor="text1"/>
          <w:lang w:val="es-ES_tradnl" w:eastAsia="es-ES"/>
        </w:rPr>
        <w:t xml:space="preserve"> deberán mantener a disposición de  </w:t>
      </w:r>
      <w:r w:rsidRPr="002C0D19">
        <w:rPr>
          <w:rFonts w:ascii="Arial Narrow" w:hAnsi="Arial Narrow" w:cs="Arial"/>
          <w:b/>
          <w:color w:val="000000" w:themeColor="text1"/>
          <w:lang w:val="es-ES_tradnl" w:eastAsia="es-ES"/>
        </w:rPr>
        <w:t>LA CRCC</w:t>
      </w:r>
      <w:r w:rsidRPr="002C0D19">
        <w:rPr>
          <w:rFonts w:ascii="Arial Narrow" w:hAnsi="Arial Narrow" w:cs="Arial"/>
          <w:color w:val="000000" w:themeColor="text1"/>
          <w:lang w:val="es-ES_tradnl" w:eastAsia="es-ES"/>
        </w:rPr>
        <w:t xml:space="preserve"> un original del presente</w:t>
      </w:r>
      <w:r w:rsidRPr="002C0D19">
        <w:rPr>
          <w:rFonts w:ascii="Arial Narrow" w:hAnsi="Arial Narrow" w:cs="Arial"/>
          <w:b/>
          <w:color w:val="000000" w:themeColor="text1"/>
          <w:lang w:val="es-ES_tradnl" w:eastAsia="es-ES"/>
        </w:rPr>
        <w:t xml:space="preserve"> CONVENIO</w:t>
      </w:r>
      <w:r w:rsidRPr="002C0D19">
        <w:rPr>
          <w:rFonts w:ascii="Arial Narrow" w:hAnsi="Arial Narrow" w:cs="Arial"/>
          <w:color w:val="000000" w:themeColor="text1"/>
          <w:lang w:val="es-ES_tradnl" w:eastAsia="es-ES"/>
        </w:rPr>
        <w:t>, el cual podrá ser solicitado por</w:t>
      </w:r>
      <w:r w:rsidRPr="002C0D19">
        <w:rPr>
          <w:rFonts w:ascii="Arial Narrow" w:hAnsi="Arial Narrow" w:cs="Arial"/>
          <w:b/>
          <w:color w:val="000000" w:themeColor="text1"/>
          <w:lang w:val="es-ES_tradnl" w:eastAsia="es-ES"/>
        </w:rPr>
        <w:t xml:space="preserve"> LA CRCC </w:t>
      </w:r>
      <w:r w:rsidRPr="002C0D19">
        <w:rPr>
          <w:rFonts w:ascii="Arial Narrow" w:hAnsi="Arial Narrow" w:cs="Arial"/>
          <w:color w:val="000000" w:themeColor="text1"/>
          <w:lang w:val="es-ES_tradnl" w:eastAsia="es-ES"/>
        </w:rPr>
        <w:t>en cualquier momento.</w:t>
      </w:r>
      <w:r w:rsidRPr="002C0D19">
        <w:rPr>
          <w:rFonts w:ascii="Arial Narrow" w:hAnsi="Arial Narrow" w:cs="Arial"/>
          <w:b/>
          <w:color w:val="000000" w:themeColor="text1"/>
          <w:lang w:val="es-ES_tradnl" w:eastAsia="es-ES"/>
        </w:rPr>
        <w:t xml:space="preserve"> </w:t>
      </w:r>
    </w:p>
    <w:p w14:paraId="5679F1C7" w14:textId="77777777" w:rsidR="007968EC" w:rsidRPr="002C0D19" w:rsidRDefault="007968EC" w:rsidP="007968EC">
      <w:pPr>
        <w:jc w:val="both"/>
        <w:rPr>
          <w:rFonts w:ascii="Arial Narrow" w:hAnsi="Arial Narrow" w:cs="Arial"/>
          <w:b/>
          <w:bCs/>
          <w:color w:val="000000" w:themeColor="text1"/>
          <w:lang w:val="es-ES_tradnl" w:eastAsia="es-ES"/>
        </w:rPr>
      </w:pPr>
    </w:p>
    <w:p w14:paraId="1F3D530F" w14:textId="77777777" w:rsidR="007968EC" w:rsidRPr="002C0D19" w:rsidRDefault="007968EC" w:rsidP="007968EC">
      <w:pPr>
        <w:jc w:val="both"/>
        <w:rPr>
          <w:rFonts w:ascii="Arial Narrow" w:hAnsi="Arial Narrow" w:cs="Arial"/>
          <w:bCs/>
          <w:color w:val="000000" w:themeColor="text1"/>
          <w:lang w:val="es-ES" w:eastAsia="es-ES"/>
        </w:rPr>
      </w:pPr>
      <w:r w:rsidRPr="002C0D19">
        <w:rPr>
          <w:rFonts w:ascii="Arial Narrow" w:hAnsi="Arial Narrow" w:cs="Arial"/>
          <w:b/>
          <w:bCs/>
          <w:color w:val="000000" w:themeColor="text1"/>
          <w:lang w:val="es-ES_tradnl" w:eastAsia="es-ES"/>
        </w:rPr>
        <w:t>OCTAVA</w:t>
      </w:r>
      <w:r w:rsidRPr="002C0D19">
        <w:rPr>
          <w:rFonts w:ascii="Arial Narrow" w:hAnsi="Arial Narrow" w:cs="Arial"/>
          <w:b/>
          <w:bCs/>
          <w:color w:val="000000" w:themeColor="text1"/>
          <w:lang w:val="es-ES" w:eastAsia="es-ES"/>
        </w:rPr>
        <w:t xml:space="preserve">: LEY APLICABLE.- </w:t>
      </w:r>
      <w:r w:rsidRPr="002C0D19">
        <w:rPr>
          <w:rFonts w:ascii="Arial Narrow" w:hAnsi="Arial Narrow" w:cs="Arial"/>
          <w:bCs/>
          <w:color w:val="000000" w:themeColor="text1"/>
          <w:lang w:val="es-ES" w:eastAsia="es-ES"/>
        </w:rPr>
        <w:t>El presente</w:t>
      </w:r>
      <w:r w:rsidRPr="002C0D19">
        <w:rPr>
          <w:rFonts w:ascii="Arial Narrow" w:hAnsi="Arial Narrow" w:cs="Arial"/>
          <w:b/>
          <w:bCs/>
          <w:color w:val="000000" w:themeColor="text1"/>
          <w:lang w:val="es-ES" w:eastAsia="es-ES"/>
        </w:rPr>
        <w:t xml:space="preserve"> CONVENIO </w:t>
      </w:r>
      <w:r w:rsidRPr="002C0D19">
        <w:rPr>
          <w:rFonts w:ascii="Arial Narrow" w:hAnsi="Arial Narrow" w:cs="Arial"/>
          <w:bCs/>
          <w:color w:val="000000" w:themeColor="text1"/>
          <w:lang w:val="es-ES" w:eastAsia="es-ES"/>
        </w:rPr>
        <w:t>se regirá por las leyes de la República de Colombia.</w:t>
      </w:r>
    </w:p>
    <w:p w14:paraId="0EA83248" w14:textId="77777777" w:rsidR="007968EC" w:rsidRPr="002C0D19" w:rsidRDefault="007968EC" w:rsidP="007968EC">
      <w:pPr>
        <w:jc w:val="both"/>
        <w:rPr>
          <w:rFonts w:ascii="Arial Narrow" w:hAnsi="Arial Narrow" w:cs="Arial"/>
          <w:b/>
          <w:bCs/>
          <w:color w:val="000000" w:themeColor="text1"/>
          <w:lang w:val="es-ES" w:eastAsia="es-ES"/>
        </w:rPr>
      </w:pPr>
    </w:p>
    <w:p w14:paraId="659DA0BD" w14:textId="77777777" w:rsidR="007968EC" w:rsidRPr="002C0D19" w:rsidRDefault="007968EC" w:rsidP="007968EC">
      <w:pPr>
        <w:jc w:val="both"/>
        <w:rPr>
          <w:rFonts w:ascii="Arial Narrow" w:hAnsi="Arial Narrow" w:cs="Arial"/>
          <w:bCs/>
          <w:color w:val="000000" w:themeColor="text1"/>
          <w:lang w:val="es-ES_tradnl" w:eastAsia="es-ES"/>
        </w:rPr>
      </w:pPr>
      <w:r w:rsidRPr="002C0D19">
        <w:rPr>
          <w:rFonts w:ascii="Arial Narrow" w:hAnsi="Arial Narrow" w:cs="Arial"/>
          <w:bCs/>
          <w:color w:val="000000" w:themeColor="text1"/>
          <w:lang w:val="es-ES_tradnl" w:eastAsia="es-ES"/>
        </w:rPr>
        <w:t xml:space="preserve">Como constancia de lo anterior, se firma en __________, a los ___________ (____) días del mes de ________ </w:t>
      </w:r>
      <w:proofErr w:type="spellStart"/>
      <w:r w:rsidRPr="002C0D19">
        <w:rPr>
          <w:rFonts w:ascii="Arial Narrow" w:hAnsi="Arial Narrow" w:cs="Arial"/>
          <w:bCs/>
          <w:color w:val="000000" w:themeColor="text1"/>
          <w:lang w:val="es-ES_tradnl" w:eastAsia="es-ES"/>
        </w:rPr>
        <w:t>de</w:t>
      </w:r>
      <w:proofErr w:type="spellEnd"/>
      <w:r w:rsidRPr="002C0D19">
        <w:rPr>
          <w:rFonts w:ascii="Arial Narrow" w:hAnsi="Arial Narrow" w:cs="Arial"/>
          <w:bCs/>
          <w:color w:val="000000" w:themeColor="text1"/>
          <w:lang w:val="es-ES_tradnl" w:eastAsia="es-ES"/>
        </w:rPr>
        <w:t xml:space="preserve"> _________, en tres (3) copias del mismo tenor. </w:t>
      </w:r>
    </w:p>
    <w:p w14:paraId="6B2C4F6B" w14:textId="77777777" w:rsidR="007968EC" w:rsidRPr="002C0D19" w:rsidRDefault="007968EC" w:rsidP="007968EC">
      <w:pPr>
        <w:jc w:val="both"/>
        <w:rPr>
          <w:rFonts w:ascii="Arial Narrow" w:hAnsi="Arial Narrow" w:cs="Arial"/>
          <w:bCs/>
          <w:color w:val="000000" w:themeColor="text1"/>
          <w:lang w:val="es-ES_tradnl" w:eastAsia="es-ES"/>
        </w:rPr>
      </w:pPr>
    </w:p>
    <w:p w14:paraId="1DEFB721" w14:textId="77777777" w:rsidR="007968EC" w:rsidRPr="002C0D19" w:rsidRDefault="007968EC" w:rsidP="007968EC">
      <w:pPr>
        <w:jc w:val="both"/>
        <w:rPr>
          <w:rFonts w:ascii="Arial Narrow" w:hAnsi="Arial Narrow" w:cs="Arial"/>
          <w:b/>
          <w:bCs/>
          <w:color w:val="000000" w:themeColor="text1"/>
          <w:lang w:eastAsia="es-ES"/>
        </w:rPr>
      </w:pPr>
      <w:r w:rsidRPr="002C0D19">
        <w:rPr>
          <w:rFonts w:ascii="Arial Narrow" w:hAnsi="Arial Narrow" w:cs="Arial"/>
          <w:b/>
          <w:bCs/>
          <w:color w:val="000000" w:themeColor="text1"/>
          <w:lang w:val="es-ES_tradnl" w:eastAsia="es-ES"/>
        </w:rPr>
        <w:t>Parte A:</w:t>
      </w:r>
    </w:p>
    <w:p w14:paraId="10513F30" w14:textId="77777777" w:rsidR="007968EC" w:rsidRPr="002C0D19" w:rsidRDefault="007968EC" w:rsidP="007968EC">
      <w:pPr>
        <w:jc w:val="both"/>
        <w:rPr>
          <w:rFonts w:ascii="Arial Narrow" w:hAnsi="Arial Narrow" w:cs="Arial"/>
          <w:bCs/>
          <w:color w:val="000000" w:themeColor="text1"/>
          <w:lang w:val="es-ES_tradnl" w:eastAsia="es-ES"/>
        </w:rPr>
      </w:pPr>
      <w:r w:rsidRPr="002C0D19">
        <w:rPr>
          <w:rFonts w:ascii="Arial Narrow" w:hAnsi="Arial Narrow" w:cs="Arial"/>
          <w:bCs/>
          <w:color w:val="000000" w:themeColor="text1"/>
          <w:lang w:val="es-ES_tradnl" w:eastAsia="es-ES"/>
        </w:rPr>
        <w:t>Por:</w:t>
      </w:r>
      <w:r w:rsidRPr="002C0D19">
        <w:rPr>
          <w:rFonts w:ascii="Arial Narrow" w:hAnsi="Arial Narrow" w:cs="Arial"/>
          <w:bCs/>
          <w:color w:val="000000" w:themeColor="text1"/>
          <w:lang w:val="es-ES_tradnl" w:eastAsia="es-ES"/>
        </w:rPr>
        <w:tab/>
      </w:r>
      <w:r w:rsidRPr="002C0D19">
        <w:rPr>
          <w:rFonts w:ascii="Arial Narrow" w:hAnsi="Arial Narrow" w:cs="Arial"/>
          <w:bCs/>
          <w:color w:val="000000" w:themeColor="text1"/>
          <w:lang w:val="es-ES_tradnl" w:eastAsia="es-ES"/>
        </w:rPr>
        <w:tab/>
      </w:r>
      <w:r w:rsidRPr="002C0D19">
        <w:rPr>
          <w:rFonts w:ascii="Arial Narrow" w:hAnsi="Arial Narrow" w:cs="Arial"/>
          <w:bCs/>
          <w:color w:val="000000" w:themeColor="text1"/>
          <w:lang w:val="es-ES_tradnl" w:eastAsia="es-ES"/>
        </w:rPr>
        <w:tab/>
        <w:t>_____________________________</w:t>
      </w:r>
    </w:p>
    <w:p w14:paraId="17F1D1E2" w14:textId="77777777" w:rsidR="007968EC" w:rsidRPr="002C0D19" w:rsidRDefault="007968EC" w:rsidP="007968EC">
      <w:pPr>
        <w:jc w:val="both"/>
        <w:rPr>
          <w:rFonts w:ascii="Arial Narrow" w:hAnsi="Arial Narrow" w:cs="Arial"/>
          <w:bCs/>
          <w:color w:val="000000" w:themeColor="text1"/>
          <w:lang w:val="es-ES_tradnl" w:eastAsia="es-ES"/>
        </w:rPr>
      </w:pPr>
    </w:p>
    <w:p w14:paraId="330D7C7B" w14:textId="77777777" w:rsidR="007968EC" w:rsidRPr="002C0D19" w:rsidRDefault="007968EC" w:rsidP="007968EC">
      <w:pPr>
        <w:jc w:val="both"/>
        <w:rPr>
          <w:rFonts w:ascii="Arial Narrow" w:hAnsi="Arial Narrow" w:cs="Arial"/>
          <w:bCs/>
          <w:color w:val="000000" w:themeColor="text1"/>
          <w:lang w:val="es-ES_tradnl" w:eastAsia="es-ES"/>
        </w:rPr>
      </w:pPr>
      <w:r w:rsidRPr="002C0D19">
        <w:rPr>
          <w:rFonts w:ascii="Arial Narrow" w:hAnsi="Arial Narrow" w:cs="Arial"/>
          <w:bCs/>
          <w:color w:val="000000" w:themeColor="text1"/>
          <w:lang w:val="es-ES_tradnl" w:eastAsia="es-ES"/>
        </w:rPr>
        <w:t>Nombre:</w:t>
      </w:r>
      <w:r w:rsidRPr="002C0D19">
        <w:rPr>
          <w:rFonts w:ascii="Arial Narrow" w:hAnsi="Arial Narrow" w:cs="Arial"/>
          <w:bCs/>
          <w:color w:val="000000" w:themeColor="text1"/>
          <w:lang w:val="es-ES_tradnl" w:eastAsia="es-ES"/>
        </w:rPr>
        <w:tab/>
      </w:r>
      <w:r w:rsidRPr="002C0D19">
        <w:rPr>
          <w:rFonts w:ascii="Arial Narrow" w:hAnsi="Arial Narrow" w:cs="Arial"/>
          <w:bCs/>
          <w:color w:val="000000" w:themeColor="text1"/>
          <w:lang w:val="es-ES_tradnl" w:eastAsia="es-ES"/>
        </w:rPr>
        <w:tab/>
      </w:r>
    </w:p>
    <w:p w14:paraId="276D490F" w14:textId="77777777" w:rsidR="007968EC" w:rsidRPr="002C0D19" w:rsidRDefault="007968EC" w:rsidP="007968EC">
      <w:pPr>
        <w:jc w:val="both"/>
        <w:rPr>
          <w:rFonts w:ascii="Arial Narrow" w:hAnsi="Arial Narrow" w:cs="Arial"/>
          <w:bCs/>
          <w:color w:val="000000" w:themeColor="text1"/>
          <w:lang w:val="es-ES_tradnl" w:eastAsia="es-ES"/>
        </w:rPr>
      </w:pPr>
      <w:r w:rsidRPr="002C0D19">
        <w:rPr>
          <w:rFonts w:ascii="Arial Narrow" w:hAnsi="Arial Narrow" w:cs="Arial"/>
          <w:bCs/>
          <w:color w:val="000000" w:themeColor="text1"/>
          <w:lang w:val="es-ES_tradnl" w:eastAsia="es-ES"/>
        </w:rPr>
        <w:t>Cédula No:</w:t>
      </w:r>
      <w:r w:rsidRPr="002C0D19">
        <w:rPr>
          <w:rFonts w:ascii="Arial Narrow" w:hAnsi="Arial Narrow" w:cs="Arial"/>
          <w:bCs/>
          <w:color w:val="000000" w:themeColor="text1"/>
          <w:lang w:val="es-ES_tradnl" w:eastAsia="es-ES"/>
        </w:rPr>
        <w:tab/>
      </w:r>
      <w:r w:rsidRPr="002C0D19">
        <w:rPr>
          <w:rFonts w:ascii="Arial Narrow" w:hAnsi="Arial Narrow" w:cs="Arial"/>
          <w:bCs/>
          <w:color w:val="000000" w:themeColor="text1"/>
          <w:lang w:val="es-ES_tradnl" w:eastAsia="es-ES"/>
        </w:rPr>
        <w:tab/>
      </w:r>
    </w:p>
    <w:p w14:paraId="26989E24" w14:textId="77777777" w:rsidR="007968EC" w:rsidRPr="002C0D19" w:rsidRDefault="007968EC" w:rsidP="007968EC">
      <w:pPr>
        <w:jc w:val="both"/>
        <w:rPr>
          <w:rFonts w:ascii="Arial Narrow" w:hAnsi="Arial Narrow" w:cs="Arial"/>
          <w:bCs/>
          <w:color w:val="000000" w:themeColor="text1"/>
          <w:lang w:val="es-ES_tradnl" w:eastAsia="es-ES"/>
        </w:rPr>
      </w:pPr>
      <w:r w:rsidRPr="002C0D19">
        <w:rPr>
          <w:rFonts w:ascii="Arial Narrow" w:hAnsi="Arial Narrow" w:cs="Arial"/>
          <w:bCs/>
          <w:color w:val="000000" w:themeColor="text1"/>
          <w:lang w:val="es-ES_tradnl" w:eastAsia="es-ES"/>
        </w:rPr>
        <w:t>Cargo:</w:t>
      </w:r>
      <w:r w:rsidRPr="002C0D19">
        <w:rPr>
          <w:rFonts w:ascii="Arial Narrow" w:hAnsi="Arial Narrow" w:cs="Arial"/>
          <w:bCs/>
          <w:color w:val="000000" w:themeColor="text1"/>
          <w:lang w:val="es-ES_tradnl" w:eastAsia="es-ES"/>
        </w:rPr>
        <w:tab/>
      </w:r>
      <w:r w:rsidRPr="002C0D19">
        <w:rPr>
          <w:rFonts w:ascii="Arial Narrow" w:hAnsi="Arial Narrow" w:cs="Arial"/>
          <w:bCs/>
          <w:color w:val="000000" w:themeColor="text1"/>
          <w:lang w:val="es-ES_tradnl" w:eastAsia="es-ES"/>
        </w:rPr>
        <w:tab/>
      </w:r>
      <w:r w:rsidRPr="002C0D19">
        <w:rPr>
          <w:rFonts w:ascii="Arial Narrow" w:hAnsi="Arial Narrow" w:cs="Arial"/>
          <w:bCs/>
          <w:color w:val="000000" w:themeColor="text1"/>
          <w:lang w:val="es-ES_tradnl" w:eastAsia="es-ES"/>
        </w:rPr>
        <w:tab/>
        <w:t>Representante Legal</w:t>
      </w:r>
    </w:p>
    <w:p w14:paraId="47F78ED0" w14:textId="77777777" w:rsidR="007968EC" w:rsidRPr="002C0D19" w:rsidRDefault="007968EC" w:rsidP="007968EC">
      <w:pPr>
        <w:jc w:val="both"/>
        <w:rPr>
          <w:rFonts w:ascii="Arial Narrow" w:hAnsi="Arial Narrow" w:cs="Arial"/>
          <w:b/>
          <w:bCs/>
          <w:color w:val="000000" w:themeColor="text1"/>
          <w:lang w:val="es-ES_tradnl" w:eastAsia="es-ES"/>
        </w:rPr>
      </w:pPr>
    </w:p>
    <w:p w14:paraId="7F2EA331" w14:textId="77777777" w:rsidR="007968EC" w:rsidRPr="002C0D19" w:rsidRDefault="007968EC" w:rsidP="007968EC">
      <w:pPr>
        <w:jc w:val="both"/>
        <w:rPr>
          <w:rFonts w:ascii="Arial Narrow" w:hAnsi="Arial Narrow" w:cs="Arial"/>
          <w:b/>
          <w:bCs/>
          <w:color w:val="000000" w:themeColor="text1"/>
          <w:lang w:val="es-ES_tradnl" w:eastAsia="es-ES"/>
        </w:rPr>
      </w:pPr>
      <w:r w:rsidRPr="002C0D19">
        <w:rPr>
          <w:rFonts w:ascii="Arial Narrow" w:hAnsi="Arial Narrow" w:cs="Arial"/>
          <w:b/>
          <w:color w:val="000000" w:themeColor="text1"/>
          <w:lang w:val="es-ES_tradnl" w:eastAsia="es-ES"/>
        </w:rPr>
        <w:t>Parte B:</w:t>
      </w:r>
    </w:p>
    <w:p w14:paraId="3B3782A4" w14:textId="77777777" w:rsidR="007968EC" w:rsidRPr="002C0D19" w:rsidRDefault="007968EC" w:rsidP="007968EC">
      <w:pPr>
        <w:jc w:val="both"/>
        <w:rPr>
          <w:rFonts w:ascii="Arial Narrow" w:hAnsi="Arial Narrow" w:cs="Arial"/>
          <w:bCs/>
          <w:color w:val="000000" w:themeColor="text1"/>
          <w:lang w:val="es-ES_tradnl" w:eastAsia="es-ES"/>
        </w:rPr>
      </w:pPr>
      <w:r w:rsidRPr="002C0D19">
        <w:rPr>
          <w:rFonts w:ascii="Arial Narrow" w:hAnsi="Arial Narrow" w:cs="Arial"/>
          <w:bCs/>
          <w:color w:val="000000" w:themeColor="text1"/>
          <w:lang w:val="es-ES_tradnl" w:eastAsia="es-ES"/>
        </w:rPr>
        <w:t>Por:</w:t>
      </w:r>
      <w:r w:rsidRPr="002C0D19">
        <w:rPr>
          <w:rFonts w:ascii="Arial Narrow" w:hAnsi="Arial Narrow" w:cs="Arial"/>
          <w:bCs/>
          <w:color w:val="000000" w:themeColor="text1"/>
          <w:lang w:val="es-ES_tradnl" w:eastAsia="es-ES"/>
        </w:rPr>
        <w:tab/>
      </w:r>
      <w:r w:rsidRPr="002C0D19">
        <w:rPr>
          <w:rFonts w:ascii="Arial Narrow" w:hAnsi="Arial Narrow" w:cs="Arial"/>
          <w:bCs/>
          <w:color w:val="000000" w:themeColor="text1"/>
          <w:lang w:val="es-ES_tradnl" w:eastAsia="es-ES"/>
        </w:rPr>
        <w:tab/>
      </w:r>
      <w:r w:rsidRPr="002C0D19">
        <w:rPr>
          <w:rFonts w:ascii="Arial Narrow" w:hAnsi="Arial Narrow" w:cs="Arial"/>
          <w:bCs/>
          <w:color w:val="000000" w:themeColor="text1"/>
          <w:lang w:val="es-ES_tradnl" w:eastAsia="es-ES"/>
        </w:rPr>
        <w:tab/>
        <w:t>_____________________________</w:t>
      </w:r>
    </w:p>
    <w:p w14:paraId="5B9BA086" w14:textId="77777777" w:rsidR="007968EC" w:rsidRPr="002C0D19" w:rsidRDefault="007968EC" w:rsidP="007968EC">
      <w:pPr>
        <w:jc w:val="both"/>
        <w:rPr>
          <w:rFonts w:ascii="Arial Narrow" w:hAnsi="Arial Narrow" w:cs="Arial"/>
          <w:bCs/>
          <w:color w:val="000000" w:themeColor="text1"/>
          <w:lang w:val="es-ES_tradnl" w:eastAsia="es-ES"/>
        </w:rPr>
      </w:pPr>
    </w:p>
    <w:p w14:paraId="7C6A1170" w14:textId="77777777" w:rsidR="007968EC" w:rsidRPr="002C0D19" w:rsidRDefault="007968EC" w:rsidP="007968EC">
      <w:pPr>
        <w:jc w:val="both"/>
        <w:rPr>
          <w:rFonts w:ascii="Arial Narrow" w:hAnsi="Arial Narrow" w:cs="Arial"/>
          <w:bCs/>
          <w:color w:val="000000" w:themeColor="text1"/>
          <w:lang w:val="es-ES_tradnl" w:eastAsia="es-ES"/>
        </w:rPr>
      </w:pPr>
      <w:r w:rsidRPr="002C0D19">
        <w:rPr>
          <w:rFonts w:ascii="Arial Narrow" w:hAnsi="Arial Narrow" w:cs="Arial"/>
          <w:bCs/>
          <w:color w:val="000000" w:themeColor="text1"/>
          <w:lang w:val="es-ES_tradnl" w:eastAsia="es-ES"/>
        </w:rPr>
        <w:t>Nombre:</w:t>
      </w:r>
      <w:r w:rsidRPr="002C0D19">
        <w:rPr>
          <w:rFonts w:ascii="Arial Narrow" w:hAnsi="Arial Narrow" w:cs="Arial"/>
          <w:bCs/>
          <w:color w:val="000000" w:themeColor="text1"/>
          <w:lang w:val="es-ES_tradnl" w:eastAsia="es-ES"/>
        </w:rPr>
        <w:tab/>
      </w:r>
      <w:r w:rsidRPr="002C0D19">
        <w:rPr>
          <w:rFonts w:ascii="Arial Narrow" w:hAnsi="Arial Narrow" w:cs="Arial"/>
          <w:bCs/>
          <w:color w:val="000000" w:themeColor="text1"/>
          <w:lang w:val="es-ES_tradnl" w:eastAsia="es-ES"/>
        </w:rPr>
        <w:tab/>
        <w:t xml:space="preserve"> </w:t>
      </w:r>
    </w:p>
    <w:p w14:paraId="0C2BF0F3" w14:textId="77777777" w:rsidR="007968EC" w:rsidRPr="002C0D19" w:rsidRDefault="007968EC" w:rsidP="007968EC">
      <w:pPr>
        <w:jc w:val="both"/>
        <w:rPr>
          <w:rFonts w:ascii="Arial Narrow" w:hAnsi="Arial Narrow" w:cs="Arial"/>
          <w:bCs/>
          <w:color w:val="000000" w:themeColor="text1"/>
          <w:lang w:val="es-ES_tradnl" w:eastAsia="es-ES"/>
        </w:rPr>
      </w:pPr>
      <w:r w:rsidRPr="002C0D19">
        <w:rPr>
          <w:rFonts w:ascii="Arial Narrow" w:hAnsi="Arial Narrow" w:cs="Arial"/>
          <w:bCs/>
          <w:color w:val="000000" w:themeColor="text1"/>
          <w:lang w:val="es-ES_tradnl" w:eastAsia="es-ES"/>
        </w:rPr>
        <w:t>Cédula No:</w:t>
      </w:r>
      <w:r w:rsidRPr="002C0D19">
        <w:rPr>
          <w:rFonts w:ascii="Arial Narrow" w:hAnsi="Arial Narrow" w:cs="Arial"/>
          <w:bCs/>
          <w:color w:val="000000" w:themeColor="text1"/>
          <w:lang w:val="es-ES_tradnl" w:eastAsia="es-ES"/>
        </w:rPr>
        <w:tab/>
      </w:r>
      <w:r w:rsidRPr="002C0D19">
        <w:rPr>
          <w:rFonts w:ascii="Arial Narrow" w:hAnsi="Arial Narrow" w:cs="Arial"/>
          <w:bCs/>
          <w:color w:val="000000" w:themeColor="text1"/>
          <w:lang w:val="es-ES_tradnl" w:eastAsia="es-ES"/>
        </w:rPr>
        <w:tab/>
      </w:r>
    </w:p>
    <w:p w14:paraId="0CC7461D" w14:textId="77777777" w:rsidR="007968EC" w:rsidRPr="002C0D19" w:rsidRDefault="007968EC" w:rsidP="007968EC">
      <w:pPr>
        <w:jc w:val="both"/>
        <w:rPr>
          <w:rFonts w:ascii="Arial Narrow" w:hAnsi="Arial Narrow" w:cs="Arial"/>
          <w:bCs/>
          <w:color w:val="000000" w:themeColor="text1"/>
          <w:lang w:val="es-ES_tradnl" w:eastAsia="es-ES"/>
        </w:rPr>
      </w:pPr>
      <w:r w:rsidRPr="002C0D19">
        <w:rPr>
          <w:rFonts w:ascii="Arial Narrow" w:hAnsi="Arial Narrow" w:cs="Arial"/>
          <w:bCs/>
          <w:color w:val="000000" w:themeColor="text1"/>
          <w:lang w:val="es-ES_tradnl" w:eastAsia="es-ES"/>
        </w:rPr>
        <w:t>Cargo:</w:t>
      </w:r>
      <w:r w:rsidRPr="002C0D19">
        <w:rPr>
          <w:rFonts w:ascii="Arial Narrow" w:hAnsi="Arial Narrow" w:cs="Arial"/>
          <w:bCs/>
          <w:color w:val="000000" w:themeColor="text1"/>
          <w:lang w:val="es-ES_tradnl" w:eastAsia="es-ES"/>
        </w:rPr>
        <w:tab/>
      </w:r>
      <w:r w:rsidRPr="002C0D19">
        <w:rPr>
          <w:rFonts w:ascii="Arial Narrow" w:hAnsi="Arial Narrow" w:cs="Arial"/>
          <w:bCs/>
          <w:color w:val="000000" w:themeColor="text1"/>
          <w:lang w:val="es-ES_tradnl" w:eastAsia="es-ES"/>
        </w:rPr>
        <w:tab/>
      </w:r>
      <w:r w:rsidRPr="002C0D19">
        <w:rPr>
          <w:rFonts w:ascii="Arial Narrow" w:hAnsi="Arial Narrow" w:cs="Arial"/>
          <w:bCs/>
          <w:color w:val="000000" w:themeColor="text1"/>
          <w:lang w:val="es-ES_tradnl" w:eastAsia="es-ES"/>
        </w:rPr>
        <w:tab/>
        <w:t>Representante Legal</w:t>
      </w:r>
    </w:p>
    <w:p w14:paraId="53D983FA" w14:textId="77777777" w:rsidR="007968EC" w:rsidRPr="002C0D19" w:rsidRDefault="007968EC" w:rsidP="007968EC">
      <w:pPr>
        <w:outlineLvl w:val="0"/>
        <w:rPr>
          <w:rFonts w:ascii="Arial Narrow" w:hAnsi="Arial Narrow" w:cs="Arial"/>
          <w:b/>
          <w:color w:val="000000" w:themeColor="text1"/>
          <w:lang w:val="es-ES_tradnl" w:eastAsia="es-ES"/>
        </w:rPr>
      </w:pPr>
    </w:p>
    <w:p w14:paraId="5AA8E58F" w14:textId="77777777" w:rsidR="007968EC" w:rsidRPr="002C0D19" w:rsidRDefault="007968EC" w:rsidP="007968EC">
      <w:pPr>
        <w:rPr>
          <w:rFonts w:ascii="Arial Narrow" w:hAnsi="Arial Narrow" w:cs="Arial"/>
          <w:b/>
          <w:color w:val="000000" w:themeColor="text1"/>
          <w:lang w:val="es-ES_tradnl" w:eastAsia="es-ES"/>
        </w:rPr>
      </w:pPr>
    </w:p>
    <w:p w14:paraId="1C7B93B1" w14:textId="77777777" w:rsidR="007968EC" w:rsidRPr="002C0D19" w:rsidRDefault="007968EC" w:rsidP="007968EC">
      <w:pPr>
        <w:outlineLvl w:val="0"/>
        <w:rPr>
          <w:rFonts w:ascii="Arial Narrow" w:hAnsi="Arial Narrow" w:cs="Arial"/>
          <w:b/>
          <w:color w:val="000000" w:themeColor="text1"/>
          <w:lang w:val="es-ES_tradnl" w:eastAsia="es-ES"/>
        </w:rPr>
        <w:sectPr w:rsidR="007968EC" w:rsidRPr="002C0D19" w:rsidSect="007968EC">
          <w:pgSz w:w="12242" w:h="15842" w:code="1"/>
          <w:pgMar w:top="1985" w:right="1418" w:bottom="1985" w:left="1418" w:header="851" w:footer="1021" w:gutter="0"/>
          <w:cols w:space="708"/>
          <w:titlePg/>
          <w:docGrid w:linePitch="360"/>
        </w:sectPr>
      </w:pPr>
    </w:p>
    <w:p w14:paraId="4BDDA0A0" w14:textId="77777777" w:rsidR="007968EC" w:rsidRPr="002C0D19" w:rsidRDefault="007968EC" w:rsidP="007968EC">
      <w:pPr>
        <w:pStyle w:val="TTULO"/>
        <w:rPr>
          <w:lang w:val="es-ES"/>
        </w:rPr>
      </w:pPr>
      <w:bookmarkStart w:id="6613" w:name="_Toc31716622"/>
      <w:r w:rsidRPr="002C0D19">
        <w:rPr>
          <w:lang w:val="es-ES"/>
        </w:rPr>
        <w:lastRenderedPageBreak/>
        <w:t>ANEXO 28</w:t>
      </w:r>
      <w:bookmarkEnd w:id="6613"/>
    </w:p>
    <w:p w14:paraId="1068043A" w14:textId="77777777" w:rsidR="007968EC" w:rsidRPr="002C0D19" w:rsidRDefault="007968EC" w:rsidP="007968EC">
      <w:pPr>
        <w:pStyle w:val="TTULO"/>
        <w:rPr>
          <w:lang w:val="es-ES"/>
        </w:rPr>
      </w:pPr>
    </w:p>
    <w:p w14:paraId="0176E058" w14:textId="77777777" w:rsidR="007968EC" w:rsidRPr="00991BD9" w:rsidRDefault="007968EC" w:rsidP="007968EC">
      <w:pPr>
        <w:jc w:val="center"/>
        <w:rPr>
          <w:rFonts w:ascii="Arial Narrow" w:hAnsi="Arial Narrow" w:cs="Arial"/>
          <w:b/>
          <w:color w:val="000000" w:themeColor="text1"/>
          <w:lang w:val="es-ES" w:eastAsia="es-ES"/>
        </w:rPr>
      </w:pPr>
      <w:r w:rsidRPr="00991BD9">
        <w:rPr>
          <w:rFonts w:ascii="Arial Narrow" w:hAnsi="Arial Narrow" w:cs="Arial"/>
          <w:b/>
          <w:color w:val="000000" w:themeColor="text1"/>
          <w:lang w:val="es-ES" w:eastAsia="es-ES"/>
        </w:rPr>
        <w:t>CONTENIDO MÍNIMO DE LA CLÁUSULA ESPECIAL PARA COMPENSAR Y LIQUIDAR A TRAVÉS DE LA CÁMARA DE RIESGO CENTRAL DE CONTRAPARTE DE COLOMBIA S.A. OPERACIONES SOBRE INSTRUMENTOS FINANCIEROS DERIVADOS NO ESTANDARIZADOS CELEBRADAS POR LOS MIEMBROS CON SUS TERCEROS COMO CONTRAPARTES.</w:t>
      </w:r>
    </w:p>
    <w:p w14:paraId="48893715" w14:textId="77777777" w:rsidR="007968EC" w:rsidRPr="002C0D19" w:rsidRDefault="007968EC" w:rsidP="007968EC">
      <w:pPr>
        <w:jc w:val="center"/>
        <w:rPr>
          <w:rFonts w:ascii="Arial Narrow" w:hAnsi="Arial Narrow" w:cs="Arial"/>
          <w:b/>
          <w:color w:val="000000" w:themeColor="text1"/>
          <w:lang w:val="es-ES" w:eastAsia="es-ES"/>
        </w:rPr>
      </w:pPr>
    </w:p>
    <w:p w14:paraId="5312F36D" w14:textId="77777777" w:rsidR="007968EC" w:rsidRPr="002C0D19" w:rsidRDefault="007968EC" w:rsidP="007968EC">
      <w:pPr>
        <w:jc w:val="center"/>
        <w:rPr>
          <w:rFonts w:ascii="Arial Narrow" w:hAnsi="Arial Narrow" w:cs="Arial"/>
          <w:b/>
          <w:color w:val="000000" w:themeColor="text1"/>
          <w:lang w:val="es-ES" w:eastAsia="es-ES"/>
        </w:rPr>
      </w:pPr>
    </w:p>
    <w:p w14:paraId="191176E4"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b/>
          <w:bCs/>
          <w:color w:val="000000" w:themeColor="text1"/>
          <w:lang w:val="es-ES" w:eastAsia="es-ES"/>
        </w:rPr>
        <w:t xml:space="preserve">Las Partes </w:t>
      </w:r>
      <w:r w:rsidRPr="002C0D19">
        <w:rPr>
          <w:rFonts w:ascii="Arial Narrow" w:hAnsi="Arial Narrow" w:cs="Arial"/>
          <w:color w:val="000000" w:themeColor="text1"/>
          <w:lang w:val="es-ES" w:eastAsia="es-ES"/>
        </w:rPr>
        <w:t xml:space="preserve">acuerdan compensar y liquidar través de </w:t>
      </w:r>
      <w:r w:rsidRPr="002C0D19">
        <w:rPr>
          <w:rFonts w:ascii="Arial Narrow" w:hAnsi="Arial Narrow" w:cs="Arial"/>
          <w:b/>
          <w:bCs/>
          <w:color w:val="000000" w:themeColor="text1"/>
          <w:lang w:val="es-ES" w:eastAsia="es-ES"/>
        </w:rPr>
        <w:t>LA CRCC</w:t>
      </w:r>
      <w:r w:rsidRPr="002C0D19">
        <w:rPr>
          <w:rFonts w:ascii="Arial Narrow" w:hAnsi="Arial Narrow" w:cs="Arial"/>
          <w:color w:val="000000" w:themeColor="text1"/>
          <w:lang w:val="es-ES" w:eastAsia="es-ES"/>
        </w:rPr>
        <w:t xml:space="preserve"> con las particularidades que se establezca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para el Segmento que las agrupe, las operaciones celebradas entre sí sobre Instrumentos Financieros Derivados No Estandarizados de conformidad con los siguientes términos y condiciones: </w:t>
      </w:r>
    </w:p>
    <w:p w14:paraId="4E0AB795"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0C31B629" w14:textId="77777777" w:rsidR="007968EC" w:rsidRPr="002C0D19" w:rsidRDefault="007968EC" w:rsidP="00DA7472">
      <w:pPr>
        <w:numPr>
          <w:ilvl w:val="0"/>
          <w:numId w:val="237"/>
        </w:num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Para la remisión de operaciones </w:t>
      </w:r>
      <w:r w:rsidRPr="002C0D19">
        <w:rPr>
          <w:rFonts w:ascii="Arial Narrow" w:hAnsi="Arial Narrow" w:cs="Arial"/>
          <w:b/>
          <w:bCs/>
          <w:color w:val="000000" w:themeColor="text1"/>
          <w:lang w:val="es-ES" w:eastAsia="es-ES"/>
        </w:rPr>
        <w:t xml:space="preserve">Las Partes </w:t>
      </w:r>
      <w:r w:rsidRPr="002C0D19">
        <w:rPr>
          <w:rFonts w:ascii="Arial Narrow" w:hAnsi="Arial Narrow" w:cs="Arial"/>
          <w:color w:val="000000" w:themeColor="text1"/>
          <w:lang w:val="es-ES" w:eastAsia="es-ES"/>
        </w:rPr>
        <w:t xml:space="preserve">darán cumplimiento estricto al Reglamento de Funcionamiento, la Circular Única y los Instructivos Operativos de </w:t>
      </w:r>
      <w:r w:rsidRPr="002C0D19">
        <w:rPr>
          <w:rFonts w:ascii="Arial Narrow" w:hAnsi="Arial Narrow" w:cs="Arial"/>
          <w:b/>
          <w:bCs/>
          <w:color w:val="000000" w:themeColor="text1"/>
          <w:lang w:val="es-ES" w:eastAsia="es-ES"/>
        </w:rPr>
        <w:t>LA CRCC</w:t>
      </w:r>
      <w:r w:rsidRPr="002C0D19">
        <w:rPr>
          <w:rFonts w:ascii="Arial Narrow" w:hAnsi="Arial Narrow" w:cs="Arial"/>
          <w:bCs/>
          <w:color w:val="000000" w:themeColor="text1"/>
          <w:lang w:val="es-ES" w:eastAsia="es-ES"/>
        </w:rPr>
        <w:t>.</w:t>
      </w:r>
      <w:r w:rsidRPr="002C0D19">
        <w:rPr>
          <w:rFonts w:ascii="Arial Narrow" w:hAnsi="Arial Narrow" w:cs="Arial"/>
          <w:b/>
          <w:bCs/>
          <w:color w:val="000000" w:themeColor="text1"/>
          <w:lang w:val="es-ES" w:eastAsia="es-ES"/>
        </w:rPr>
        <w:t xml:space="preserve"> </w:t>
      </w:r>
    </w:p>
    <w:p w14:paraId="6A25ED01" w14:textId="77777777" w:rsidR="007968EC" w:rsidRPr="002C0D19" w:rsidRDefault="007968EC" w:rsidP="00DA7472">
      <w:pPr>
        <w:numPr>
          <w:ilvl w:val="0"/>
          <w:numId w:val="237"/>
        </w:num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Las operaciones sobre Instrumentos Financieros Derivados No Estandarizados que </w:t>
      </w:r>
      <w:r w:rsidRPr="002C0D19">
        <w:rPr>
          <w:rFonts w:ascii="Arial Narrow" w:hAnsi="Arial Narrow" w:cs="Arial"/>
          <w:b/>
          <w:bCs/>
          <w:color w:val="000000" w:themeColor="text1"/>
          <w:lang w:val="es-ES" w:eastAsia="es-ES"/>
        </w:rPr>
        <w:t xml:space="preserve">Las Partes </w:t>
      </w:r>
      <w:r w:rsidRPr="002C0D19">
        <w:rPr>
          <w:rFonts w:ascii="Arial Narrow" w:hAnsi="Arial Narrow" w:cs="Arial"/>
          <w:color w:val="000000" w:themeColor="text1"/>
          <w:lang w:val="es-ES" w:eastAsia="es-ES"/>
        </w:rPr>
        <w:t xml:space="preserve">celebren entre sí y pretendan compensar y liquidar a través de </w:t>
      </w:r>
      <w:r w:rsidRPr="002C0D19">
        <w:rPr>
          <w:rFonts w:ascii="Arial Narrow" w:hAnsi="Arial Narrow" w:cs="Arial"/>
          <w:b/>
          <w:bCs/>
          <w:color w:val="000000" w:themeColor="text1"/>
          <w:lang w:val="es-ES" w:eastAsia="es-ES"/>
        </w:rPr>
        <w:t xml:space="preserve">LA CRCC </w:t>
      </w:r>
      <w:r w:rsidRPr="002C0D19">
        <w:rPr>
          <w:rFonts w:ascii="Arial Narrow" w:hAnsi="Arial Narrow" w:cs="Arial"/>
          <w:color w:val="000000" w:themeColor="text1"/>
          <w:lang w:val="es-ES" w:eastAsia="es-ES"/>
        </w:rPr>
        <w:t xml:space="preserve">únicamente podrán ser remitidas y confirmadas a </w:t>
      </w:r>
      <w:r w:rsidRPr="002C0D19">
        <w:rPr>
          <w:rFonts w:ascii="Arial Narrow" w:hAnsi="Arial Narrow" w:cs="Arial"/>
          <w:b/>
          <w:bCs/>
          <w:color w:val="000000" w:themeColor="text1"/>
          <w:lang w:val="es-ES" w:eastAsia="es-ES"/>
        </w:rPr>
        <w:t xml:space="preserve">LA CRCC, </w:t>
      </w:r>
      <w:r w:rsidRPr="002C0D19">
        <w:rPr>
          <w:rFonts w:ascii="Arial Narrow" w:hAnsi="Arial Narrow" w:cs="Arial"/>
          <w:bCs/>
          <w:color w:val="000000" w:themeColor="text1"/>
          <w:lang w:val="es-ES" w:eastAsia="es-ES"/>
        </w:rPr>
        <w:t>por</w:t>
      </w:r>
      <w:r w:rsidRPr="002C0D19">
        <w:rPr>
          <w:rFonts w:ascii="Arial Narrow" w:hAnsi="Arial Narrow" w:cs="Arial"/>
          <w:b/>
          <w:bCs/>
          <w:color w:val="000000" w:themeColor="text1"/>
          <w:lang w:val="es-ES" w:eastAsia="es-ES"/>
        </w:rPr>
        <w:t xml:space="preserve"> </w:t>
      </w:r>
      <w:r w:rsidRPr="002C0D19">
        <w:rPr>
          <w:rFonts w:ascii="Arial Narrow" w:hAnsi="Arial Narrow" w:cs="Arial"/>
          <w:color w:val="000000" w:themeColor="text1"/>
          <w:lang w:val="es-ES_tradnl" w:eastAsia="es-ES"/>
        </w:rPr>
        <w:t xml:space="preserve">intermedio de la </w:t>
      </w:r>
      <w:r w:rsidRPr="002C0D19">
        <w:rPr>
          <w:rFonts w:ascii="Arial Narrow" w:hAnsi="Arial Narrow" w:cs="Arial"/>
          <w:b/>
          <w:color w:val="000000" w:themeColor="text1"/>
          <w:lang w:val="es-ES_tradnl" w:eastAsia="es-ES"/>
        </w:rPr>
        <w:t xml:space="preserve">Parte ______ </w:t>
      </w:r>
      <w:r w:rsidRPr="002C0D19">
        <w:rPr>
          <w:rFonts w:ascii="Arial Narrow" w:hAnsi="Arial Narrow" w:cs="Arial"/>
          <w:color w:val="000000" w:themeColor="text1"/>
          <w:lang w:val="es-ES_tradnl" w:eastAsia="es-ES"/>
        </w:rPr>
        <w:t>(Miembro de</w:t>
      </w:r>
      <w:r w:rsidRPr="002C0D19">
        <w:rPr>
          <w:rFonts w:ascii="Arial Narrow" w:hAnsi="Arial Narrow" w:cs="Arial"/>
          <w:b/>
          <w:color w:val="000000" w:themeColor="text1"/>
          <w:lang w:val="es-ES_tradnl" w:eastAsia="es-ES"/>
        </w:rPr>
        <w:t xml:space="preserve"> LA CRCC</w:t>
      </w:r>
      <w:r w:rsidRPr="002C0D19">
        <w:rPr>
          <w:rFonts w:ascii="Arial Narrow" w:hAnsi="Arial Narrow" w:cs="Arial"/>
          <w:color w:val="000000" w:themeColor="text1"/>
          <w:lang w:val="es-ES_tradnl" w:eastAsia="es-ES"/>
        </w:rPr>
        <w:t>)</w:t>
      </w:r>
      <w:r w:rsidRPr="002C0D19">
        <w:rPr>
          <w:rFonts w:ascii="Arial Narrow" w:hAnsi="Arial Narrow" w:cs="Arial"/>
          <w:b/>
          <w:color w:val="000000" w:themeColor="text1"/>
          <w:lang w:val="es-ES_tradnl" w:eastAsia="es-ES"/>
        </w:rPr>
        <w:t xml:space="preserve"> </w:t>
      </w:r>
      <w:r w:rsidRPr="002C0D19">
        <w:rPr>
          <w:rFonts w:ascii="Arial Narrow" w:hAnsi="Arial Narrow" w:cs="Arial"/>
          <w:color w:val="000000" w:themeColor="text1"/>
          <w:lang w:val="es-ES_tradnl" w:eastAsia="es-ES"/>
        </w:rPr>
        <w:t xml:space="preserve">participando por su propia cuenta y por cuenta de la </w:t>
      </w:r>
      <w:r w:rsidRPr="002C0D19">
        <w:rPr>
          <w:rFonts w:ascii="Arial Narrow" w:hAnsi="Arial Narrow" w:cs="Arial"/>
          <w:b/>
          <w:color w:val="000000" w:themeColor="text1"/>
          <w:lang w:val="es-ES_tradnl" w:eastAsia="es-ES"/>
        </w:rPr>
        <w:t xml:space="preserve">Parte </w:t>
      </w:r>
      <w:r w:rsidRPr="002C0D19">
        <w:rPr>
          <w:rFonts w:ascii="Arial Narrow" w:hAnsi="Arial Narrow" w:cs="Arial"/>
          <w:color w:val="000000" w:themeColor="text1"/>
          <w:lang w:val="es-ES_tradnl" w:eastAsia="es-ES"/>
        </w:rPr>
        <w:t xml:space="preserve">______ (Tercero de </w:t>
      </w:r>
      <w:r w:rsidRPr="002C0D19">
        <w:rPr>
          <w:rFonts w:ascii="Arial Narrow" w:hAnsi="Arial Narrow" w:cs="Arial"/>
          <w:b/>
          <w:color w:val="000000" w:themeColor="text1"/>
          <w:lang w:val="es-ES_tradnl" w:eastAsia="es-ES"/>
        </w:rPr>
        <w:t>LA CRCC</w:t>
      </w:r>
      <w:r w:rsidRPr="002C0D19">
        <w:rPr>
          <w:rFonts w:ascii="Arial Narrow" w:hAnsi="Arial Narrow" w:cs="Arial"/>
          <w:color w:val="000000" w:themeColor="text1"/>
          <w:lang w:val="es-ES_tradnl" w:eastAsia="es-ES"/>
        </w:rPr>
        <w:t xml:space="preserve">), a través de un Sistema de Registro de Operaciones sobre Divisas autorizado por </w:t>
      </w:r>
      <w:r w:rsidRPr="002C0D19">
        <w:rPr>
          <w:rFonts w:ascii="Arial Narrow" w:hAnsi="Arial Narrow" w:cs="Arial"/>
          <w:b/>
          <w:color w:val="000000" w:themeColor="text1"/>
          <w:lang w:val="es-ES_tradnl" w:eastAsia="es-ES"/>
        </w:rPr>
        <w:t>LA CRCC</w:t>
      </w:r>
      <w:r w:rsidRPr="002C0D19">
        <w:rPr>
          <w:rFonts w:ascii="Arial Narrow" w:hAnsi="Arial Narrow" w:cs="Arial"/>
          <w:color w:val="000000" w:themeColor="text1"/>
          <w:lang w:val="es-ES_tradnl" w:eastAsia="es-ES"/>
        </w:rPr>
        <w:t>.</w:t>
      </w:r>
    </w:p>
    <w:p w14:paraId="4C021C59" w14:textId="77777777" w:rsidR="007968EC" w:rsidRPr="002C0D19" w:rsidRDefault="007968EC" w:rsidP="00DA7472">
      <w:pPr>
        <w:numPr>
          <w:ilvl w:val="0"/>
          <w:numId w:val="237"/>
        </w:num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_tradnl" w:eastAsia="es-ES"/>
        </w:rPr>
        <w:t>Las Partes</w:t>
      </w:r>
      <w:r w:rsidRPr="002C0D19">
        <w:rPr>
          <w:rFonts w:ascii="Arial Narrow" w:hAnsi="Arial Narrow" w:cs="Arial"/>
          <w:color w:val="000000" w:themeColor="text1"/>
          <w:lang w:val="es-ES_tradnl" w:eastAsia="es-ES"/>
        </w:rPr>
        <w:t xml:space="preserve"> aceptan que los derechos y obligaciones derivados de las operaciones celebradas sobre Instrumentos Financieros Derivados No Estandarizados, que se remitan a </w:t>
      </w:r>
      <w:r w:rsidRPr="002C0D19">
        <w:rPr>
          <w:rFonts w:ascii="Arial Narrow" w:hAnsi="Arial Narrow" w:cs="Arial"/>
          <w:b/>
          <w:color w:val="000000" w:themeColor="text1"/>
          <w:lang w:val="es-ES_tradnl" w:eastAsia="es-ES"/>
        </w:rPr>
        <w:t>LA CRCC</w:t>
      </w:r>
      <w:r w:rsidRPr="002C0D19">
        <w:rPr>
          <w:rFonts w:ascii="Arial Narrow" w:hAnsi="Arial Narrow" w:cs="Arial"/>
          <w:color w:val="000000" w:themeColor="text1"/>
          <w:lang w:val="es-ES_tradnl" w:eastAsia="es-ES"/>
        </w:rPr>
        <w:t xml:space="preserve"> y que ésta acepte como contraparte, sean automáticamente novados, con ocasión de su remisión y de la interposición de</w:t>
      </w:r>
      <w:r w:rsidRPr="002C0D19">
        <w:rPr>
          <w:rFonts w:ascii="Arial Narrow" w:hAnsi="Arial Narrow" w:cs="Arial"/>
          <w:b/>
          <w:color w:val="000000" w:themeColor="text1"/>
          <w:lang w:val="es-ES_tradnl" w:eastAsia="es-ES"/>
        </w:rPr>
        <w:t xml:space="preserve"> LA CRCC</w:t>
      </w:r>
      <w:r w:rsidRPr="002C0D19">
        <w:rPr>
          <w:rFonts w:ascii="Arial Narrow" w:hAnsi="Arial Narrow" w:cs="Arial"/>
          <w:color w:val="000000" w:themeColor="text1"/>
          <w:lang w:val="es-ES_tradnl" w:eastAsia="es-ES"/>
        </w:rPr>
        <w:t xml:space="preserve"> como contraparte, surgiendo nuevos derechos y obligaciones de y frente a </w:t>
      </w:r>
      <w:r w:rsidRPr="002C0D19">
        <w:rPr>
          <w:rFonts w:ascii="Arial Narrow" w:hAnsi="Arial Narrow" w:cs="Arial"/>
          <w:b/>
          <w:color w:val="000000" w:themeColor="text1"/>
          <w:lang w:val="es-ES_tradnl" w:eastAsia="es-ES"/>
        </w:rPr>
        <w:t>LA CRCC</w:t>
      </w:r>
      <w:r w:rsidRPr="002C0D19">
        <w:rPr>
          <w:rFonts w:ascii="Arial Narrow" w:hAnsi="Arial Narrow" w:cs="Arial"/>
          <w:color w:val="000000" w:themeColor="text1"/>
          <w:lang w:val="es-ES_tradnl" w:eastAsia="es-ES"/>
        </w:rPr>
        <w:t xml:space="preserve"> y extinguiéndose los que hasta ese momento existieran entre </w:t>
      </w:r>
      <w:r w:rsidRPr="002C0D19">
        <w:rPr>
          <w:rFonts w:ascii="Arial Narrow" w:hAnsi="Arial Narrow" w:cs="Arial"/>
          <w:b/>
          <w:color w:val="000000" w:themeColor="text1"/>
          <w:lang w:val="es-ES_tradnl" w:eastAsia="es-ES"/>
        </w:rPr>
        <w:t>Las Partes</w:t>
      </w:r>
      <w:r w:rsidRPr="002C0D19">
        <w:rPr>
          <w:rFonts w:ascii="Arial Narrow" w:hAnsi="Arial Narrow" w:cs="Arial"/>
          <w:color w:val="000000" w:themeColor="text1"/>
          <w:lang w:val="es-ES_tradnl" w:eastAsia="es-ES"/>
        </w:rPr>
        <w:t xml:space="preserve"> en relación con la operación sobre Instrumentos Financieros Derivados No Estandarizados remitida. En ese sentido, una vez aceptada la operación celebrada sobre un Instrumento Financiero Derivado No Estandarizado, para Compensación y Liquidación por parte de </w:t>
      </w:r>
      <w:r w:rsidRPr="002C0D19">
        <w:rPr>
          <w:rFonts w:ascii="Arial Narrow" w:hAnsi="Arial Narrow" w:cs="Arial"/>
          <w:b/>
          <w:color w:val="000000" w:themeColor="text1"/>
          <w:lang w:val="es-ES_tradnl" w:eastAsia="es-ES"/>
        </w:rPr>
        <w:t>LA CRCC</w:t>
      </w:r>
      <w:r w:rsidRPr="002C0D19">
        <w:rPr>
          <w:rFonts w:ascii="Arial Narrow" w:hAnsi="Arial Narrow" w:cs="Arial"/>
          <w:color w:val="000000" w:themeColor="text1"/>
          <w:lang w:val="es-ES_tradnl" w:eastAsia="es-ES"/>
        </w:rPr>
        <w:t xml:space="preserve">, dicha operación será novada y se crearán dos nuevas operaciones cuyos Términos Económicos serán los de la operación original, una entre </w:t>
      </w:r>
      <w:r w:rsidRPr="002C0D19">
        <w:rPr>
          <w:rFonts w:ascii="Arial Narrow" w:hAnsi="Arial Narrow" w:cs="Arial"/>
          <w:b/>
          <w:color w:val="000000" w:themeColor="text1"/>
          <w:lang w:val="es-ES_tradnl" w:eastAsia="es-ES"/>
        </w:rPr>
        <w:t xml:space="preserve">LA CRCC </w:t>
      </w:r>
      <w:r w:rsidRPr="002C0D19">
        <w:rPr>
          <w:rFonts w:ascii="Arial Narrow" w:hAnsi="Arial Narrow" w:cs="Arial"/>
          <w:color w:val="000000" w:themeColor="text1"/>
          <w:lang w:val="es-ES_tradnl" w:eastAsia="es-ES"/>
        </w:rPr>
        <w:t>y la</w:t>
      </w:r>
      <w:r w:rsidRPr="002C0D19">
        <w:rPr>
          <w:rFonts w:ascii="Arial Narrow" w:hAnsi="Arial Narrow" w:cs="Arial"/>
          <w:b/>
          <w:color w:val="000000" w:themeColor="text1"/>
          <w:lang w:val="es-ES_tradnl" w:eastAsia="es-ES"/>
        </w:rPr>
        <w:t xml:space="preserve"> Parte ______ </w:t>
      </w:r>
      <w:r w:rsidRPr="002C0D19">
        <w:rPr>
          <w:rFonts w:ascii="Arial Narrow" w:hAnsi="Arial Narrow" w:cs="Arial"/>
          <w:color w:val="000000" w:themeColor="text1"/>
          <w:lang w:val="es-ES_tradnl" w:eastAsia="es-ES"/>
        </w:rPr>
        <w:t>(Miembro de</w:t>
      </w:r>
      <w:r w:rsidRPr="002C0D19">
        <w:rPr>
          <w:rFonts w:ascii="Arial Narrow" w:hAnsi="Arial Narrow" w:cs="Arial"/>
          <w:b/>
          <w:color w:val="000000" w:themeColor="text1"/>
          <w:lang w:val="es-ES_tradnl" w:eastAsia="es-ES"/>
        </w:rPr>
        <w:t xml:space="preserve"> LA CRCC</w:t>
      </w:r>
      <w:r w:rsidRPr="002C0D19">
        <w:rPr>
          <w:rFonts w:ascii="Arial Narrow" w:hAnsi="Arial Narrow" w:cs="Arial"/>
          <w:color w:val="000000" w:themeColor="text1"/>
          <w:lang w:val="es-ES_tradnl" w:eastAsia="es-ES"/>
        </w:rPr>
        <w:t xml:space="preserve">) por su propia cuenta y otra entre </w:t>
      </w:r>
      <w:r w:rsidRPr="002C0D19">
        <w:rPr>
          <w:rFonts w:ascii="Arial Narrow" w:hAnsi="Arial Narrow" w:cs="Arial"/>
          <w:b/>
          <w:color w:val="000000" w:themeColor="text1"/>
          <w:lang w:val="es-ES_tradnl" w:eastAsia="es-ES"/>
        </w:rPr>
        <w:t xml:space="preserve">LA CRCC </w:t>
      </w:r>
      <w:r w:rsidRPr="002C0D19">
        <w:rPr>
          <w:rFonts w:ascii="Arial Narrow" w:hAnsi="Arial Narrow" w:cs="Arial"/>
          <w:color w:val="000000" w:themeColor="text1"/>
          <w:lang w:val="es-ES_tradnl" w:eastAsia="es-ES"/>
        </w:rPr>
        <w:t>y</w:t>
      </w:r>
      <w:r w:rsidRPr="002C0D19">
        <w:rPr>
          <w:rFonts w:ascii="Arial Narrow" w:hAnsi="Arial Narrow" w:cs="Arial"/>
          <w:b/>
          <w:color w:val="000000" w:themeColor="text1"/>
          <w:lang w:val="es-ES_tradnl" w:eastAsia="es-ES"/>
        </w:rPr>
        <w:t xml:space="preserve"> </w:t>
      </w:r>
      <w:r w:rsidRPr="002C0D19">
        <w:rPr>
          <w:rFonts w:ascii="Arial Narrow" w:hAnsi="Arial Narrow" w:cs="Arial"/>
          <w:color w:val="000000" w:themeColor="text1"/>
          <w:lang w:val="es-ES_tradnl" w:eastAsia="es-ES"/>
        </w:rPr>
        <w:t xml:space="preserve">la </w:t>
      </w:r>
      <w:r w:rsidRPr="002C0D19">
        <w:rPr>
          <w:rFonts w:ascii="Arial Narrow" w:hAnsi="Arial Narrow" w:cs="Arial"/>
          <w:b/>
          <w:color w:val="000000" w:themeColor="text1"/>
          <w:lang w:val="es-ES_tradnl" w:eastAsia="es-ES"/>
        </w:rPr>
        <w:t xml:space="preserve">Parte ______ </w:t>
      </w:r>
      <w:r w:rsidRPr="002C0D19">
        <w:rPr>
          <w:rFonts w:ascii="Arial Narrow" w:hAnsi="Arial Narrow" w:cs="Arial"/>
          <w:color w:val="000000" w:themeColor="text1"/>
          <w:lang w:val="es-ES_tradnl" w:eastAsia="es-ES"/>
        </w:rPr>
        <w:t>(Miembro de</w:t>
      </w:r>
      <w:r w:rsidRPr="002C0D19">
        <w:rPr>
          <w:rFonts w:ascii="Arial Narrow" w:hAnsi="Arial Narrow" w:cs="Arial"/>
          <w:b/>
          <w:color w:val="000000" w:themeColor="text1"/>
          <w:lang w:val="es-ES_tradnl" w:eastAsia="es-ES"/>
        </w:rPr>
        <w:t xml:space="preserve"> LA CRCC</w:t>
      </w:r>
      <w:r w:rsidRPr="002C0D19">
        <w:rPr>
          <w:rFonts w:ascii="Arial Narrow" w:hAnsi="Arial Narrow" w:cs="Arial"/>
          <w:color w:val="000000" w:themeColor="text1"/>
          <w:lang w:val="es-ES_tradnl" w:eastAsia="es-ES"/>
        </w:rPr>
        <w:t xml:space="preserve">) por cuenta de la </w:t>
      </w:r>
      <w:r w:rsidRPr="002C0D19">
        <w:rPr>
          <w:rFonts w:ascii="Arial Narrow" w:hAnsi="Arial Narrow" w:cs="Arial"/>
          <w:b/>
          <w:color w:val="000000" w:themeColor="text1"/>
          <w:lang w:val="es-ES_tradnl" w:eastAsia="es-ES"/>
        </w:rPr>
        <w:t xml:space="preserve">Parte </w:t>
      </w:r>
      <w:r w:rsidRPr="002C0D19">
        <w:rPr>
          <w:rFonts w:ascii="Arial Narrow" w:hAnsi="Arial Narrow" w:cs="Arial"/>
          <w:color w:val="000000" w:themeColor="text1"/>
          <w:lang w:val="es-ES_tradnl" w:eastAsia="es-ES"/>
        </w:rPr>
        <w:t xml:space="preserve">______ (Tercero de </w:t>
      </w:r>
      <w:r w:rsidRPr="002C0D19">
        <w:rPr>
          <w:rFonts w:ascii="Arial Narrow" w:hAnsi="Arial Narrow" w:cs="Arial"/>
          <w:b/>
          <w:color w:val="000000" w:themeColor="text1"/>
          <w:lang w:val="es-ES_tradnl" w:eastAsia="es-ES"/>
        </w:rPr>
        <w:t>LA CRCC</w:t>
      </w:r>
      <w:r w:rsidRPr="002C0D19">
        <w:rPr>
          <w:rFonts w:ascii="Arial Narrow" w:hAnsi="Arial Narrow" w:cs="Arial"/>
          <w:color w:val="000000" w:themeColor="text1"/>
          <w:lang w:val="es-ES_tradnl" w:eastAsia="es-ES"/>
        </w:rPr>
        <w:t>).</w:t>
      </w:r>
    </w:p>
    <w:p w14:paraId="08066C22" w14:textId="77777777" w:rsidR="007968EC" w:rsidRPr="002C0D19" w:rsidRDefault="007968EC" w:rsidP="00DA7472">
      <w:pPr>
        <w:numPr>
          <w:ilvl w:val="0"/>
          <w:numId w:val="237"/>
        </w:num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b/>
          <w:bCs/>
          <w:color w:val="000000" w:themeColor="text1"/>
          <w:lang w:val="es-ES" w:eastAsia="es-ES"/>
        </w:rPr>
        <w:t xml:space="preserve">Las Partes </w:t>
      </w:r>
      <w:r w:rsidRPr="002C0D19">
        <w:rPr>
          <w:rFonts w:ascii="Arial Narrow" w:hAnsi="Arial Narrow" w:cs="Arial"/>
          <w:color w:val="000000" w:themeColor="text1"/>
          <w:lang w:val="es-ES" w:eastAsia="es-ES"/>
        </w:rPr>
        <w:t xml:space="preserve">manifiestan que en virtud de la novación serán relevadas solamente de los derechos y obligaciones derivadas de la respectiva operación sobre el Instrumento Financiero Derivado No Estandarizado original, cuyo cumplimiento deba realizarse después de aceptada la operación por parte de </w:t>
      </w:r>
      <w:r w:rsidRPr="002C0D19">
        <w:rPr>
          <w:rFonts w:ascii="Arial Narrow" w:hAnsi="Arial Narrow" w:cs="Arial"/>
          <w:b/>
          <w:bCs/>
          <w:color w:val="000000" w:themeColor="text1"/>
          <w:lang w:val="es-ES" w:eastAsia="es-ES"/>
        </w:rPr>
        <w:t>LA CRCC</w:t>
      </w:r>
      <w:r w:rsidRPr="002C0D19">
        <w:rPr>
          <w:rFonts w:ascii="Arial Narrow" w:hAnsi="Arial Narrow" w:cs="Arial"/>
          <w:color w:val="000000" w:themeColor="text1"/>
          <w:lang w:val="es-ES" w:eastAsia="es-ES"/>
        </w:rPr>
        <w:t xml:space="preserve">. </w:t>
      </w:r>
    </w:p>
    <w:p w14:paraId="796F1A1B" w14:textId="77777777" w:rsidR="007968EC" w:rsidRPr="002C0D19" w:rsidRDefault="007968EC" w:rsidP="00DA7472">
      <w:pPr>
        <w:numPr>
          <w:ilvl w:val="0"/>
          <w:numId w:val="237"/>
        </w:num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_tradnl" w:eastAsia="es-ES"/>
        </w:rPr>
        <w:t xml:space="preserve">Los derechos y obligaciones de la </w:t>
      </w:r>
      <w:r w:rsidRPr="002C0D19">
        <w:rPr>
          <w:rFonts w:ascii="Arial Narrow" w:hAnsi="Arial Narrow" w:cs="Arial"/>
          <w:b/>
          <w:color w:val="000000" w:themeColor="text1"/>
          <w:lang w:val="es-ES_tradnl" w:eastAsia="es-ES"/>
        </w:rPr>
        <w:t xml:space="preserve">Parte </w:t>
      </w:r>
      <w:r w:rsidRPr="002C0D19">
        <w:rPr>
          <w:rFonts w:ascii="Arial Narrow" w:hAnsi="Arial Narrow" w:cs="Arial"/>
          <w:color w:val="000000" w:themeColor="text1"/>
          <w:lang w:val="es-ES_tradnl" w:eastAsia="es-ES"/>
        </w:rPr>
        <w:t xml:space="preserve">______ (Tercero de </w:t>
      </w:r>
      <w:r w:rsidRPr="002C0D19">
        <w:rPr>
          <w:rFonts w:ascii="Arial Narrow" w:hAnsi="Arial Narrow" w:cs="Arial"/>
          <w:b/>
          <w:color w:val="000000" w:themeColor="text1"/>
          <w:lang w:val="es-ES_tradnl" w:eastAsia="es-ES"/>
        </w:rPr>
        <w:t>LA CRCC</w:t>
      </w:r>
      <w:r w:rsidRPr="002C0D19">
        <w:rPr>
          <w:rFonts w:ascii="Arial Narrow" w:hAnsi="Arial Narrow" w:cs="Arial"/>
          <w:color w:val="000000" w:themeColor="text1"/>
          <w:lang w:val="es-ES_tradnl" w:eastAsia="es-ES"/>
        </w:rPr>
        <w:t xml:space="preserve">) derivados de las operaciones novadas por su cuenta, lo son únicamente respecto de la </w:t>
      </w:r>
      <w:r w:rsidRPr="002C0D19">
        <w:rPr>
          <w:rFonts w:ascii="Arial Narrow" w:hAnsi="Arial Narrow" w:cs="Arial"/>
          <w:b/>
          <w:color w:val="000000" w:themeColor="text1"/>
          <w:lang w:val="es-ES_tradnl" w:eastAsia="es-ES"/>
        </w:rPr>
        <w:t xml:space="preserve">Parte ______ </w:t>
      </w:r>
      <w:r w:rsidRPr="002C0D19">
        <w:rPr>
          <w:rFonts w:ascii="Arial Narrow" w:hAnsi="Arial Narrow" w:cs="Arial"/>
          <w:color w:val="000000" w:themeColor="text1"/>
          <w:lang w:val="es-ES_tradnl" w:eastAsia="es-ES"/>
        </w:rPr>
        <w:t>(Miembro de</w:t>
      </w:r>
      <w:r w:rsidRPr="002C0D19">
        <w:rPr>
          <w:rFonts w:ascii="Arial Narrow" w:hAnsi="Arial Narrow" w:cs="Arial"/>
          <w:b/>
          <w:color w:val="000000" w:themeColor="text1"/>
          <w:lang w:val="es-ES_tradnl" w:eastAsia="es-ES"/>
        </w:rPr>
        <w:t xml:space="preserve"> LA CRCC</w:t>
      </w:r>
      <w:r w:rsidRPr="002C0D19">
        <w:rPr>
          <w:rFonts w:ascii="Arial Narrow" w:hAnsi="Arial Narrow" w:cs="Arial"/>
          <w:color w:val="000000" w:themeColor="text1"/>
          <w:lang w:val="es-ES_tradnl" w:eastAsia="es-ES"/>
        </w:rPr>
        <w:t xml:space="preserve">) y en ningún caso respecto de </w:t>
      </w:r>
      <w:r w:rsidRPr="002C0D19">
        <w:rPr>
          <w:rFonts w:ascii="Arial Narrow" w:hAnsi="Arial Narrow" w:cs="Arial"/>
          <w:b/>
          <w:color w:val="000000" w:themeColor="text1"/>
          <w:lang w:val="es-ES_tradnl" w:eastAsia="es-ES"/>
        </w:rPr>
        <w:t>LA CRCC</w:t>
      </w:r>
      <w:r w:rsidRPr="002C0D19">
        <w:rPr>
          <w:rFonts w:ascii="Arial Narrow" w:hAnsi="Arial Narrow" w:cs="Arial"/>
          <w:color w:val="000000" w:themeColor="text1"/>
          <w:lang w:val="es-ES_tradnl" w:eastAsia="es-ES"/>
        </w:rPr>
        <w:t xml:space="preserve">. Por lo tanto, </w:t>
      </w:r>
      <w:r w:rsidRPr="002C0D19">
        <w:rPr>
          <w:rFonts w:ascii="Arial Narrow" w:hAnsi="Arial Narrow" w:cs="Arial"/>
          <w:b/>
          <w:color w:val="000000" w:themeColor="text1"/>
          <w:lang w:val="es-ES_tradnl" w:eastAsia="es-ES"/>
        </w:rPr>
        <w:t xml:space="preserve">LA CRCC </w:t>
      </w:r>
      <w:r w:rsidRPr="002C0D19">
        <w:rPr>
          <w:rFonts w:ascii="Arial Narrow" w:hAnsi="Arial Narrow" w:cs="Arial"/>
          <w:color w:val="000000" w:themeColor="text1"/>
          <w:lang w:val="es-ES_tradnl" w:eastAsia="es-ES"/>
        </w:rPr>
        <w:t xml:space="preserve">no responderá ante la </w:t>
      </w:r>
      <w:r w:rsidRPr="002C0D19">
        <w:rPr>
          <w:rFonts w:ascii="Arial Narrow" w:hAnsi="Arial Narrow" w:cs="Arial"/>
          <w:b/>
          <w:color w:val="000000" w:themeColor="text1"/>
          <w:lang w:val="es-ES_tradnl" w:eastAsia="es-ES"/>
        </w:rPr>
        <w:t xml:space="preserve">Parte ______ </w:t>
      </w:r>
      <w:r w:rsidRPr="002C0D19">
        <w:rPr>
          <w:rFonts w:ascii="Arial Narrow" w:hAnsi="Arial Narrow" w:cs="Arial"/>
          <w:color w:val="000000" w:themeColor="text1"/>
          <w:lang w:val="es-ES_tradnl" w:eastAsia="es-ES"/>
        </w:rPr>
        <w:t xml:space="preserve">(Tercero de </w:t>
      </w:r>
      <w:r w:rsidRPr="002C0D19">
        <w:rPr>
          <w:rFonts w:ascii="Arial Narrow" w:hAnsi="Arial Narrow" w:cs="Arial"/>
          <w:b/>
          <w:color w:val="000000" w:themeColor="text1"/>
          <w:lang w:val="es-ES_tradnl" w:eastAsia="es-ES"/>
        </w:rPr>
        <w:t>LA CRCC</w:t>
      </w:r>
      <w:r w:rsidRPr="002C0D19">
        <w:rPr>
          <w:rFonts w:ascii="Arial Narrow" w:hAnsi="Arial Narrow" w:cs="Arial"/>
          <w:color w:val="000000" w:themeColor="text1"/>
          <w:lang w:val="es-ES_tradnl" w:eastAsia="es-ES"/>
        </w:rPr>
        <w:t xml:space="preserve">) y no será responsable patrimonialmente por cualquier obligación debida a una persona que no sea un Miembro parte en la operación aceptada por </w:t>
      </w:r>
      <w:r w:rsidRPr="002C0D19">
        <w:rPr>
          <w:rFonts w:ascii="Arial Narrow" w:hAnsi="Arial Narrow" w:cs="Arial"/>
          <w:b/>
          <w:color w:val="000000" w:themeColor="text1"/>
          <w:lang w:val="es-ES_tradnl" w:eastAsia="es-ES"/>
        </w:rPr>
        <w:t>LA CRCC</w:t>
      </w:r>
      <w:r w:rsidRPr="002C0D19">
        <w:rPr>
          <w:rFonts w:ascii="Arial Narrow" w:hAnsi="Arial Narrow" w:cs="Arial"/>
          <w:color w:val="000000" w:themeColor="text1"/>
          <w:lang w:val="es-ES_tradnl" w:eastAsia="es-ES"/>
        </w:rPr>
        <w:t>.</w:t>
      </w:r>
    </w:p>
    <w:p w14:paraId="36498222" w14:textId="77777777" w:rsidR="007968EC" w:rsidRPr="002C0D19" w:rsidRDefault="007968EC" w:rsidP="00DA7472">
      <w:pPr>
        <w:numPr>
          <w:ilvl w:val="0"/>
          <w:numId w:val="237"/>
        </w:num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b/>
          <w:bCs/>
          <w:color w:val="000000" w:themeColor="text1"/>
          <w:lang w:val="es-ES" w:eastAsia="es-ES"/>
        </w:rPr>
        <w:t xml:space="preserve">Las Partes </w:t>
      </w:r>
      <w:r w:rsidRPr="002C0D19">
        <w:rPr>
          <w:rFonts w:ascii="Arial Narrow" w:hAnsi="Arial Narrow" w:cs="Arial"/>
          <w:color w:val="000000" w:themeColor="text1"/>
          <w:lang w:val="es-ES" w:eastAsia="es-ES"/>
        </w:rPr>
        <w:t xml:space="preserve">declaran que conocen y aceptan que el principio de finalidad establecido en las disposiciones legales vigentes y en el Reglamento de Funcionamiento de </w:t>
      </w:r>
      <w:r w:rsidRPr="002C0D19">
        <w:rPr>
          <w:rFonts w:ascii="Arial Narrow" w:hAnsi="Arial Narrow" w:cs="Arial"/>
          <w:b/>
          <w:bCs/>
          <w:color w:val="000000" w:themeColor="text1"/>
          <w:lang w:val="es-ES" w:eastAsia="es-ES"/>
        </w:rPr>
        <w:t xml:space="preserve">LA CRCC </w:t>
      </w:r>
      <w:r w:rsidRPr="002C0D19">
        <w:rPr>
          <w:rFonts w:ascii="Arial Narrow" w:hAnsi="Arial Narrow" w:cs="Arial"/>
          <w:color w:val="000000" w:themeColor="text1"/>
          <w:lang w:val="es-ES" w:eastAsia="es-ES"/>
        </w:rPr>
        <w:t xml:space="preserve">se extiende a </w:t>
      </w:r>
      <w:r w:rsidRPr="002C0D19">
        <w:rPr>
          <w:rFonts w:ascii="Arial Narrow" w:hAnsi="Arial Narrow" w:cs="Arial"/>
          <w:color w:val="000000" w:themeColor="text1"/>
          <w:lang w:val="es-ES" w:eastAsia="es-ES"/>
        </w:rPr>
        <w:lastRenderedPageBreak/>
        <w:t xml:space="preserve">las operaciones sobre Instrumentos Financieros Derivados No Estandarizados celebradas entre sí, aceptadas por </w:t>
      </w:r>
      <w:r w:rsidRPr="002C0D19">
        <w:rPr>
          <w:rFonts w:ascii="Arial Narrow" w:hAnsi="Arial Narrow" w:cs="Arial"/>
          <w:b/>
          <w:bCs/>
          <w:color w:val="000000" w:themeColor="text1"/>
          <w:lang w:val="es-ES" w:eastAsia="es-ES"/>
        </w:rPr>
        <w:t xml:space="preserve">LA CRCC </w:t>
      </w:r>
      <w:r w:rsidRPr="002C0D19">
        <w:rPr>
          <w:rFonts w:ascii="Arial Narrow" w:hAnsi="Arial Narrow" w:cs="Arial"/>
          <w:color w:val="000000" w:themeColor="text1"/>
          <w:lang w:val="es-ES" w:eastAsia="es-ES"/>
        </w:rPr>
        <w:t xml:space="preserve">en su función de contraparte desde el momento de su aceptación y se aplica a todos los actos necesarios para su cumplimiento, incluida la compensación a que se refiere el artículo 17 de la Ley 964 de 2005. </w:t>
      </w:r>
    </w:p>
    <w:p w14:paraId="3D1223CD" w14:textId="77777777" w:rsidR="007968EC" w:rsidRPr="002C0D19" w:rsidRDefault="007968EC" w:rsidP="00DA7472">
      <w:pPr>
        <w:numPr>
          <w:ilvl w:val="0"/>
          <w:numId w:val="237"/>
        </w:num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b/>
          <w:bCs/>
          <w:color w:val="000000" w:themeColor="text1"/>
          <w:lang w:val="es-ES" w:eastAsia="es-ES"/>
        </w:rPr>
        <w:t xml:space="preserve">Las Partes </w:t>
      </w:r>
      <w:r w:rsidRPr="002C0D19">
        <w:rPr>
          <w:rFonts w:ascii="Arial Narrow" w:hAnsi="Arial Narrow" w:cs="Arial"/>
          <w:color w:val="000000" w:themeColor="text1"/>
          <w:lang w:val="es-ES" w:eastAsia="es-ES"/>
        </w:rPr>
        <w:t xml:space="preserve">declaran que si por cualquier razón ya sea de tipo operativo, tecnológico o de riesgo </w:t>
      </w:r>
      <w:r w:rsidRPr="002C0D19">
        <w:rPr>
          <w:rFonts w:ascii="Arial Narrow" w:hAnsi="Arial Narrow" w:cs="Arial"/>
          <w:b/>
          <w:bCs/>
          <w:color w:val="000000" w:themeColor="text1"/>
          <w:lang w:val="es-ES" w:eastAsia="es-ES"/>
        </w:rPr>
        <w:t xml:space="preserve">LA CRCC </w:t>
      </w:r>
      <w:r w:rsidRPr="002C0D19">
        <w:rPr>
          <w:rFonts w:ascii="Arial Narrow" w:hAnsi="Arial Narrow" w:cs="Arial"/>
          <w:color w:val="000000" w:themeColor="text1"/>
          <w:lang w:val="es-ES" w:eastAsia="es-ES"/>
        </w:rPr>
        <w:t xml:space="preserve">rechaza o no recibe una o varias operaciones sobre Instrumentos Financieros Derivados No Estandarizados celebradas entre sí, remitidas para su compensación y liquidación a </w:t>
      </w:r>
      <w:r w:rsidRPr="002C0D19">
        <w:rPr>
          <w:rFonts w:ascii="Arial Narrow" w:hAnsi="Arial Narrow" w:cs="Arial"/>
          <w:b/>
          <w:bCs/>
          <w:color w:val="000000" w:themeColor="text1"/>
          <w:lang w:val="es-ES" w:eastAsia="es-ES"/>
        </w:rPr>
        <w:t>LA CRCC</w:t>
      </w:r>
      <w:r w:rsidRPr="002C0D19">
        <w:rPr>
          <w:rFonts w:ascii="Arial Narrow" w:hAnsi="Arial Narrow" w:cs="Arial"/>
          <w:color w:val="000000" w:themeColor="text1"/>
          <w:lang w:val="es-ES" w:eastAsia="es-ES"/>
        </w:rPr>
        <w:t xml:space="preserve">, dichas operaciones se seguirán rigiendo por el contrato o acuerdo original suscrito entre </w:t>
      </w:r>
      <w:r w:rsidRPr="002C0D19">
        <w:rPr>
          <w:rFonts w:ascii="Arial Narrow" w:hAnsi="Arial Narrow" w:cs="Arial"/>
          <w:b/>
          <w:bCs/>
          <w:color w:val="000000" w:themeColor="text1"/>
          <w:lang w:val="es-ES" w:eastAsia="es-ES"/>
        </w:rPr>
        <w:t>Las Partes</w:t>
      </w:r>
      <w:r w:rsidRPr="002C0D19">
        <w:rPr>
          <w:rFonts w:ascii="Arial Narrow" w:hAnsi="Arial Narrow" w:cs="Arial"/>
          <w:color w:val="000000" w:themeColor="text1"/>
          <w:lang w:val="es-ES" w:eastAsia="es-ES"/>
        </w:rPr>
        <w:t xml:space="preserve">, dichas operaciones serán vinculantes para </w:t>
      </w:r>
      <w:r w:rsidRPr="002C0D19">
        <w:rPr>
          <w:rFonts w:ascii="Arial Narrow" w:hAnsi="Arial Narrow" w:cs="Arial"/>
          <w:b/>
          <w:bCs/>
          <w:color w:val="000000" w:themeColor="text1"/>
          <w:lang w:val="es-ES" w:eastAsia="es-ES"/>
        </w:rPr>
        <w:t xml:space="preserve">Las Partes </w:t>
      </w:r>
      <w:r w:rsidRPr="002C0D19">
        <w:rPr>
          <w:rFonts w:ascii="Arial Narrow" w:hAnsi="Arial Narrow" w:cs="Arial"/>
          <w:color w:val="000000" w:themeColor="text1"/>
          <w:lang w:val="es-ES" w:eastAsia="es-ES"/>
        </w:rPr>
        <w:t xml:space="preserve">y por lo tanto, el cumplimiento de las mismas estará exclusivamente a su cargo en los términos del contrato celebrado por ellas. </w:t>
      </w:r>
    </w:p>
    <w:p w14:paraId="7BF433F4" w14:textId="77777777" w:rsidR="007968EC" w:rsidRPr="002C0D19" w:rsidRDefault="007968EC" w:rsidP="00DA7472">
      <w:pPr>
        <w:numPr>
          <w:ilvl w:val="0"/>
          <w:numId w:val="237"/>
        </w:num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La </w:t>
      </w:r>
      <w:r w:rsidRPr="002C0D19">
        <w:rPr>
          <w:rFonts w:ascii="Arial Narrow" w:hAnsi="Arial Narrow" w:cs="Arial"/>
          <w:b/>
          <w:color w:val="000000" w:themeColor="text1"/>
          <w:lang w:val="es-ES_tradnl" w:eastAsia="es-ES"/>
        </w:rPr>
        <w:t xml:space="preserve">Parte ______ </w:t>
      </w:r>
      <w:r w:rsidRPr="002C0D19">
        <w:rPr>
          <w:rFonts w:ascii="Arial Narrow" w:hAnsi="Arial Narrow" w:cs="Arial"/>
          <w:color w:val="000000" w:themeColor="text1"/>
          <w:lang w:val="es-ES_tradnl" w:eastAsia="es-ES"/>
        </w:rPr>
        <w:t>(Miembro de</w:t>
      </w:r>
      <w:r w:rsidRPr="002C0D19">
        <w:rPr>
          <w:rFonts w:ascii="Arial Narrow" w:hAnsi="Arial Narrow" w:cs="Arial"/>
          <w:b/>
          <w:color w:val="000000" w:themeColor="text1"/>
          <w:lang w:val="es-ES_tradnl" w:eastAsia="es-ES"/>
        </w:rPr>
        <w:t xml:space="preserve"> LA CRCC</w:t>
      </w:r>
      <w:r w:rsidRPr="002C0D19">
        <w:rPr>
          <w:rFonts w:ascii="Arial Narrow" w:hAnsi="Arial Narrow" w:cs="Arial"/>
          <w:color w:val="000000" w:themeColor="text1"/>
          <w:lang w:val="es-ES_tradnl" w:eastAsia="es-ES"/>
        </w:rPr>
        <w:t xml:space="preserve">) </w:t>
      </w:r>
      <w:r w:rsidRPr="002C0D19">
        <w:rPr>
          <w:rFonts w:ascii="Arial Narrow" w:hAnsi="Arial Narrow" w:cs="Arial"/>
          <w:color w:val="000000" w:themeColor="text1"/>
          <w:lang w:val="es-ES" w:eastAsia="es-ES"/>
        </w:rPr>
        <w:t xml:space="preserve">mantendrá a disposición de </w:t>
      </w:r>
      <w:r w:rsidRPr="002C0D19">
        <w:rPr>
          <w:rFonts w:ascii="Arial Narrow" w:hAnsi="Arial Narrow" w:cs="Arial"/>
          <w:b/>
          <w:bCs/>
          <w:color w:val="000000" w:themeColor="text1"/>
          <w:lang w:val="es-ES" w:eastAsia="es-ES"/>
        </w:rPr>
        <w:t xml:space="preserve">LA CRCC </w:t>
      </w:r>
      <w:r w:rsidRPr="002C0D19">
        <w:rPr>
          <w:rFonts w:ascii="Arial Narrow" w:hAnsi="Arial Narrow" w:cs="Arial"/>
          <w:color w:val="000000" w:themeColor="text1"/>
          <w:lang w:val="es-ES" w:eastAsia="es-ES"/>
        </w:rPr>
        <w:t xml:space="preserve">el original de la presente Cláusula, el cual podrá ser solicitado por </w:t>
      </w:r>
      <w:r w:rsidRPr="002C0D19">
        <w:rPr>
          <w:rFonts w:ascii="Arial Narrow" w:hAnsi="Arial Narrow" w:cs="Arial"/>
          <w:b/>
          <w:bCs/>
          <w:color w:val="000000" w:themeColor="text1"/>
          <w:lang w:val="es-ES" w:eastAsia="es-ES"/>
        </w:rPr>
        <w:t xml:space="preserve">LA CRCC </w:t>
      </w:r>
      <w:r w:rsidRPr="002C0D19">
        <w:rPr>
          <w:rFonts w:ascii="Arial Narrow" w:hAnsi="Arial Narrow" w:cs="Arial"/>
          <w:color w:val="000000" w:themeColor="text1"/>
          <w:lang w:val="es-ES" w:eastAsia="es-ES"/>
        </w:rPr>
        <w:t xml:space="preserve">en cualquier momento. </w:t>
      </w:r>
    </w:p>
    <w:p w14:paraId="627A1897" w14:textId="77777777" w:rsidR="007968EC" w:rsidRPr="002C0D19" w:rsidRDefault="007968EC" w:rsidP="00DA7472">
      <w:pPr>
        <w:numPr>
          <w:ilvl w:val="0"/>
          <w:numId w:val="237"/>
        </w:num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La </w:t>
      </w:r>
      <w:r w:rsidRPr="002C0D19">
        <w:rPr>
          <w:rFonts w:ascii="Arial Narrow" w:hAnsi="Arial Narrow" w:cs="Arial"/>
          <w:b/>
          <w:color w:val="000000" w:themeColor="text1"/>
          <w:lang w:val="es-ES_tradnl" w:eastAsia="es-ES"/>
        </w:rPr>
        <w:t xml:space="preserve">Parte ______ </w:t>
      </w:r>
      <w:r w:rsidRPr="002C0D19">
        <w:rPr>
          <w:rFonts w:ascii="Arial Narrow" w:hAnsi="Arial Narrow" w:cs="Arial"/>
          <w:color w:val="000000" w:themeColor="text1"/>
          <w:lang w:val="es-ES_tradnl" w:eastAsia="es-ES"/>
        </w:rPr>
        <w:t>(Miembro de</w:t>
      </w:r>
      <w:r w:rsidRPr="002C0D19">
        <w:rPr>
          <w:rFonts w:ascii="Arial Narrow" w:hAnsi="Arial Narrow" w:cs="Arial"/>
          <w:b/>
          <w:color w:val="000000" w:themeColor="text1"/>
          <w:lang w:val="es-ES_tradnl" w:eastAsia="es-ES"/>
        </w:rPr>
        <w:t xml:space="preserve"> LA CRCC</w:t>
      </w:r>
      <w:r w:rsidRPr="002C0D19">
        <w:rPr>
          <w:rFonts w:ascii="Arial Narrow" w:hAnsi="Arial Narrow" w:cs="Arial"/>
          <w:color w:val="000000" w:themeColor="text1"/>
          <w:lang w:val="es-ES_tradnl" w:eastAsia="es-ES"/>
        </w:rPr>
        <w:t xml:space="preserve">) </w:t>
      </w:r>
      <w:r w:rsidRPr="002C0D19">
        <w:rPr>
          <w:rFonts w:ascii="Arial Narrow" w:hAnsi="Arial Narrow" w:cs="Arial"/>
          <w:color w:val="000000" w:themeColor="text1"/>
          <w:lang w:val="es-ES" w:eastAsia="es-ES"/>
        </w:rPr>
        <w:t xml:space="preserve">se obliga a notificar en forma inmediata y por escrito a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en el evento de terminación del Contrato Marco o de la presente Cláusula. </w:t>
      </w:r>
    </w:p>
    <w:p w14:paraId="010E49ED"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p>
    <w:p w14:paraId="1C36C03F" w14:textId="77777777" w:rsidR="007968EC" w:rsidRPr="002C0D19" w:rsidRDefault="007968EC" w:rsidP="007968EC">
      <w:pPr>
        <w:jc w:val="both"/>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 xml:space="preserve">PARÁGRAFO PRIMERO: INTENCIÓN DE NOVAR EN EL CAMBIO DE DEUDOR.- Las Partes </w:t>
      </w:r>
      <w:r w:rsidRPr="002C0D19">
        <w:rPr>
          <w:rFonts w:ascii="Arial Narrow" w:hAnsi="Arial Narrow" w:cs="Arial"/>
          <w:color w:val="000000" w:themeColor="text1"/>
          <w:lang w:val="es-ES" w:eastAsia="es-ES"/>
        </w:rPr>
        <w:t xml:space="preserve">declaran expresamente que aceptan que cuando tengan la calidad de acreedores de la otra parte en una operación sobre un Instrumento Financiero Derivado No Estandarizado, su remisión a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 xml:space="preserve">para su Compensación y Liquidación conllevará la liberación de la otra parte deudora. </w:t>
      </w:r>
      <w:r w:rsidRPr="002C0D19">
        <w:rPr>
          <w:rFonts w:ascii="Arial Narrow" w:hAnsi="Arial Narrow" w:cs="Arial"/>
          <w:b/>
          <w:color w:val="000000" w:themeColor="text1"/>
          <w:lang w:val="es-ES" w:eastAsia="es-ES"/>
        </w:rPr>
        <w:t xml:space="preserve"> </w:t>
      </w:r>
    </w:p>
    <w:p w14:paraId="7B79FEBC" w14:textId="77777777" w:rsidR="007968EC" w:rsidRPr="002C0D19" w:rsidRDefault="007968EC" w:rsidP="007968EC">
      <w:pPr>
        <w:jc w:val="both"/>
        <w:rPr>
          <w:rFonts w:ascii="Arial Narrow" w:hAnsi="Arial Narrow" w:cs="Arial"/>
          <w:b/>
          <w:color w:val="000000" w:themeColor="text1"/>
          <w:lang w:val="es-ES" w:eastAsia="es-ES"/>
        </w:rPr>
      </w:pPr>
    </w:p>
    <w:p w14:paraId="122E7370"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 w:eastAsia="es-ES"/>
        </w:rPr>
        <w:t>PARÁGRAFO SEGUNDO: REGLAMENTO DE FUNCIONAMIENTO DE LA CRCC.-</w:t>
      </w:r>
      <w:r w:rsidRPr="002C0D19">
        <w:rPr>
          <w:rFonts w:ascii="Arial Narrow" w:hAnsi="Arial Narrow" w:cs="Arial"/>
          <w:color w:val="000000" w:themeColor="text1"/>
          <w:lang w:val="es-ES" w:eastAsia="es-ES"/>
        </w:rPr>
        <w:t xml:space="preserve"> </w:t>
      </w:r>
      <w:r w:rsidRPr="002C0D19">
        <w:rPr>
          <w:rFonts w:ascii="Arial Narrow" w:hAnsi="Arial Narrow" w:cs="Arial"/>
          <w:b/>
          <w:color w:val="000000" w:themeColor="text1"/>
          <w:lang w:val="es-ES" w:eastAsia="es-ES"/>
        </w:rPr>
        <w:t xml:space="preserve">Las Partes </w:t>
      </w:r>
      <w:r w:rsidRPr="002C0D19">
        <w:rPr>
          <w:rFonts w:ascii="Arial Narrow" w:hAnsi="Arial Narrow" w:cs="Arial"/>
          <w:color w:val="000000" w:themeColor="text1"/>
          <w:lang w:val="es-ES" w:eastAsia="es-ES"/>
        </w:rPr>
        <w:t xml:space="preserve">declaran que las dos nuevas operaciones y las relaciones contractuales que se deriven de las mismas, así como sus efectos quedan sujetos a los términos de compensación y liquidación y se rigen exclusivamente por el Reglamento de Funcionamiento, las Circulares y los Instructivos Operativos de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En caso de discrepancia, incoherencia o contradicción entre los términos de compensación y liquidación y los términos económicos, prevalecerán los términos de Compensación y Liquidación.</w:t>
      </w:r>
    </w:p>
    <w:p w14:paraId="1B0F5898" w14:textId="77777777" w:rsidR="007968EC" w:rsidRPr="002C0D19" w:rsidRDefault="007968EC" w:rsidP="007968EC">
      <w:pPr>
        <w:jc w:val="both"/>
        <w:rPr>
          <w:rFonts w:ascii="Arial Narrow" w:hAnsi="Arial Narrow" w:cs="Arial"/>
          <w:b/>
          <w:color w:val="000000" w:themeColor="text1"/>
          <w:lang w:val="es-ES" w:eastAsia="es-ES"/>
        </w:rPr>
      </w:pPr>
    </w:p>
    <w:p w14:paraId="36C68EF1" w14:textId="77777777" w:rsidR="007968EC" w:rsidRPr="002C0D19" w:rsidRDefault="007968EC" w:rsidP="007968EC">
      <w:pPr>
        <w:rPr>
          <w:rFonts w:ascii="Arial Narrow" w:hAnsi="Arial Narrow" w:cs="Arial"/>
          <w:b/>
          <w:color w:val="000000" w:themeColor="text1"/>
          <w:lang w:val="es-ES" w:eastAsia="es-ES"/>
        </w:rPr>
      </w:pPr>
    </w:p>
    <w:p w14:paraId="7A669794" w14:textId="77777777" w:rsidR="007968EC" w:rsidRPr="002C0D19" w:rsidRDefault="007968EC" w:rsidP="007968EC">
      <w:pPr>
        <w:jc w:val="both"/>
        <w:rPr>
          <w:rFonts w:ascii="Arial Narrow" w:hAnsi="Arial Narrow" w:cs="Arial"/>
          <w:b/>
          <w:color w:val="000000" w:themeColor="text1"/>
          <w:lang w:val="es-ES" w:eastAsia="es-ES"/>
        </w:rPr>
        <w:sectPr w:rsidR="007968EC" w:rsidRPr="002C0D19" w:rsidSect="007968EC">
          <w:pgSz w:w="12242" w:h="15842" w:code="1"/>
          <w:pgMar w:top="1985" w:right="1418" w:bottom="1985" w:left="1418" w:header="851" w:footer="1021" w:gutter="0"/>
          <w:cols w:space="708"/>
          <w:titlePg/>
          <w:docGrid w:linePitch="360"/>
        </w:sectPr>
      </w:pPr>
    </w:p>
    <w:p w14:paraId="4CD1F569" w14:textId="77777777" w:rsidR="007968EC" w:rsidRPr="002C0D19" w:rsidRDefault="007968EC" w:rsidP="007968EC">
      <w:pPr>
        <w:pStyle w:val="TTULO"/>
        <w:rPr>
          <w:lang w:val="es-ES"/>
        </w:rPr>
      </w:pPr>
      <w:bookmarkStart w:id="6614" w:name="_Toc31716623"/>
      <w:r w:rsidRPr="002C0D19">
        <w:rPr>
          <w:lang w:val="es-ES"/>
        </w:rPr>
        <w:lastRenderedPageBreak/>
        <w:t>ANEXO 29</w:t>
      </w:r>
      <w:bookmarkEnd w:id="6614"/>
    </w:p>
    <w:p w14:paraId="2DC0A5AC" w14:textId="77777777" w:rsidR="007968EC" w:rsidRPr="002C0D19" w:rsidRDefault="007968EC" w:rsidP="007968EC">
      <w:pPr>
        <w:pStyle w:val="TTULO"/>
        <w:rPr>
          <w:lang w:val="es-ES"/>
        </w:rPr>
      </w:pPr>
    </w:p>
    <w:p w14:paraId="52A079DF" w14:textId="77777777" w:rsidR="007968EC" w:rsidRPr="00991BD9" w:rsidRDefault="007968EC" w:rsidP="007968EC">
      <w:pPr>
        <w:jc w:val="center"/>
        <w:rPr>
          <w:rFonts w:ascii="Arial Narrow" w:hAnsi="Arial Narrow" w:cs="Arial"/>
          <w:b/>
          <w:color w:val="000000" w:themeColor="text1"/>
          <w:lang w:val="es-ES" w:eastAsia="es-ES"/>
        </w:rPr>
      </w:pPr>
      <w:r w:rsidRPr="00991BD9">
        <w:rPr>
          <w:rFonts w:ascii="Arial Narrow" w:hAnsi="Arial Narrow" w:cs="Arial"/>
          <w:b/>
          <w:color w:val="000000" w:themeColor="text1"/>
          <w:lang w:val="es-ES" w:eastAsia="es-ES"/>
        </w:rPr>
        <w:t>CONTENIDO MÍNIMO DEL ACUERDO PARA COMPENSAR Y LIQUIDAR A TRAVÉS DE LA CÁMARA DE RIESGO CENTRAL DE CONTRAPARTE DE COLOMBIA S.A. OPERACIONES SOBRE INSTRUMENTOS FINANCIEROS DERIVADOS NO ESTANDARIZADOS CELEBRADAS POR LOS MIEMBROS CON SUS TERCEROS COMO CONTRAPARTES.</w:t>
      </w:r>
    </w:p>
    <w:p w14:paraId="7170374D" w14:textId="77777777" w:rsidR="007968EC" w:rsidRPr="002C0D19" w:rsidRDefault="007968EC" w:rsidP="007968EC">
      <w:pPr>
        <w:jc w:val="center"/>
        <w:outlineLvl w:val="0"/>
        <w:rPr>
          <w:rFonts w:ascii="Arial Narrow" w:hAnsi="Arial Narrow" w:cs="Arial"/>
          <w:b/>
          <w:color w:val="000000" w:themeColor="text1"/>
          <w:lang w:val="es-ES" w:eastAsia="es-ES"/>
        </w:rPr>
      </w:pPr>
    </w:p>
    <w:p w14:paraId="79067643" w14:textId="77777777" w:rsidR="007968EC" w:rsidRPr="002C0D19" w:rsidRDefault="007968EC" w:rsidP="007968EC">
      <w:pPr>
        <w:jc w:val="both"/>
        <w:rPr>
          <w:rFonts w:ascii="Arial Narrow" w:hAnsi="Arial Narrow" w:cs="Arial"/>
          <w:b/>
          <w:color w:val="000000" w:themeColor="text1"/>
          <w:lang w:val="es-ES" w:eastAsia="es-ES"/>
        </w:rPr>
      </w:pPr>
    </w:p>
    <w:p w14:paraId="07F3DAC2" w14:textId="77777777" w:rsidR="007968EC" w:rsidRPr="002C0D19" w:rsidRDefault="007968EC" w:rsidP="007968EC">
      <w:pPr>
        <w:jc w:val="both"/>
        <w:rPr>
          <w:rFonts w:ascii="Arial Narrow" w:hAnsi="Arial Narrow" w:cs="Arial"/>
          <w:b/>
          <w:color w:val="000000" w:themeColor="text1"/>
          <w:lang w:val="es-ES" w:eastAsia="es-ES"/>
        </w:rPr>
      </w:pPr>
      <w:r w:rsidRPr="002C0D19">
        <w:rPr>
          <w:rFonts w:ascii="Arial Narrow" w:hAnsi="Arial Narrow" w:cs="Arial"/>
          <w:color w:val="000000" w:themeColor="text1"/>
          <w:lang w:val="es-ES" w:eastAsia="es-ES"/>
        </w:rPr>
        <w:t>Entre los suscritos a saber</w:t>
      </w:r>
      <w:r w:rsidRPr="002C0D19">
        <w:rPr>
          <w:rFonts w:ascii="Arial Narrow" w:hAnsi="Arial Narrow" w:cs="Arial"/>
          <w:color w:val="000000" w:themeColor="text1"/>
          <w:lang w:val="es-ES_tradnl" w:eastAsia="es-ES"/>
        </w:rPr>
        <w:t>, ………………………………………………………………………..,</w:t>
      </w:r>
      <w:r w:rsidRPr="002C0D19">
        <w:rPr>
          <w:rFonts w:ascii="Arial Narrow" w:hAnsi="Arial Narrow" w:cs="Arial"/>
          <w:b/>
          <w:color w:val="000000" w:themeColor="text1"/>
          <w:lang w:val="es-ES_tradnl" w:eastAsia="es-ES"/>
        </w:rPr>
        <w:t xml:space="preserve"> (“Parte A”), </w:t>
      </w:r>
      <w:r w:rsidRPr="002C0D19">
        <w:rPr>
          <w:rFonts w:ascii="Arial Narrow" w:hAnsi="Arial Narrow" w:cs="Arial"/>
          <w:color w:val="000000" w:themeColor="text1"/>
          <w:lang w:val="es-ES_tradnl" w:eastAsia="es-ES"/>
        </w:rPr>
        <w:t xml:space="preserve">y…………………………………………………………………………………………., </w:t>
      </w:r>
      <w:r w:rsidRPr="002C0D19">
        <w:rPr>
          <w:rFonts w:ascii="Arial Narrow" w:hAnsi="Arial Narrow" w:cs="Arial"/>
          <w:b/>
          <w:color w:val="000000" w:themeColor="text1"/>
          <w:lang w:val="es-ES_tradnl" w:eastAsia="es-ES"/>
        </w:rPr>
        <w:t xml:space="preserve">(“Parte B”) y, </w:t>
      </w:r>
      <w:r w:rsidRPr="002C0D19">
        <w:rPr>
          <w:rFonts w:ascii="Arial Narrow" w:hAnsi="Arial Narrow" w:cs="Arial"/>
          <w:color w:val="000000" w:themeColor="text1"/>
          <w:lang w:val="es-ES_tradnl" w:eastAsia="es-ES"/>
        </w:rPr>
        <w:t>conjuntamente con la</w:t>
      </w:r>
      <w:r w:rsidRPr="002C0D19">
        <w:rPr>
          <w:rFonts w:ascii="Arial Narrow" w:hAnsi="Arial Narrow" w:cs="Arial"/>
          <w:b/>
          <w:color w:val="000000" w:themeColor="text1"/>
          <w:lang w:val="es-ES_tradnl" w:eastAsia="es-ES"/>
        </w:rPr>
        <w:t xml:space="preserve"> Parte A, </w:t>
      </w:r>
      <w:r w:rsidRPr="002C0D19">
        <w:rPr>
          <w:rFonts w:ascii="Arial Narrow" w:hAnsi="Arial Narrow" w:cs="Arial"/>
          <w:color w:val="000000" w:themeColor="text1"/>
          <w:lang w:val="es-ES_tradnl" w:eastAsia="es-ES"/>
        </w:rPr>
        <w:t>se denominarán</w:t>
      </w:r>
      <w:r w:rsidRPr="002C0D19">
        <w:rPr>
          <w:rFonts w:ascii="Arial Narrow" w:hAnsi="Arial Narrow" w:cs="Arial"/>
          <w:b/>
          <w:color w:val="000000" w:themeColor="text1"/>
          <w:lang w:val="es-ES_tradnl" w:eastAsia="es-ES"/>
        </w:rPr>
        <w:t xml:space="preserve"> “Las Partes”, </w:t>
      </w:r>
      <w:r w:rsidRPr="002C0D19">
        <w:rPr>
          <w:rFonts w:ascii="Arial Narrow" w:hAnsi="Arial Narrow" w:cs="Arial"/>
          <w:color w:val="000000" w:themeColor="text1"/>
          <w:lang w:val="es-ES_tradnl" w:eastAsia="es-ES"/>
        </w:rPr>
        <w:t xml:space="preserve">han celebrado el presente acuerdo para compensar y liquidar a través de la Cámara de Riesgo Central de Contraparte de Colombia S.A. </w:t>
      </w:r>
      <w:r w:rsidRPr="002C0D19">
        <w:rPr>
          <w:rFonts w:ascii="Arial Narrow" w:hAnsi="Arial Narrow" w:cs="Arial"/>
          <w:color w:val="000000" w:themeColor="text1"/>
          <w:lang w:val="es-ES" w:eastAsia="es-ES"/>
        </w:rPr>
        <w:t xml:space="preserve">con las particularidades que se establezcan por la Cámara para el Segmento que los agrupe, </w:t>
      </w:r>
      <w:r w:rsidRPr="002C0D19">
        <w:rPr>
          <w:rFonts w:ascii="Arial Narrow" w:hAnsi="Arial Narrow" w:cs="Arial"/>
          <w:color w:val="000000" w:themeColor="text1"/>
          <w:lang w:val="es-ES_tradnl" w:eastAsia="es-ES"/>
        </w:rPr>
        <w:t>Instrumentos Financieros Derivados No Estandarizados celebradas entre</w:t>
      </w:r>
      <w:r w:rsidRPr="002C0D19">
        <w:rPr>
          <w:rFonts w:ascii="Arial Narrow" w:hAnsi="Arial Narrow" w:cs="Arial"/>
          <w:b/>
          <w:color w:val="000000" w:themeColor="text1"/>
          <w:lang w:val="es-ES_tradnl" w:eastAsia="es-ES"/>
        </w:rPr>
        <w:t xml:space="preserve"> Las Partes</w:t>
      </w:r>
      <w:r w:rsidRPr="002C0D19">
        <w:rPr>
          <w:rFonts w:ascii="Arial Narrow" w:hAnsi="Arial Narrow" w:cs="Arial"/>
          <w:color w:val="000000" w:themeColor="text1"/>
          <w:lang w:val="es-ES_tradnl" w:eastAsia="es-ES"/>
        </w:rPr>
        <w:t>, en adelante</w:t>
      </w:r>
      <w:r w:rsidRPr="002C0D19">
        <w:rPr>
          <w:rFonts w:ascii="Arial Narrow" w:hAnsi="Arial Narrow" w:cs="Arial"/>
          <w:b/>
          <w:color w:val="000000" w:themeColor="text1"/>
          <w:lang w:val="es-ES_tradnl" w:eastAsia="es-ES"/>
        </w:rPr>
        <w:t xml:space="preserve"> EL CONVENIO</w:t>
      </w:r>
      <w:r w:rsidRPr="002C0D19">
        <w:rPr>
          <w:rFonts w:ascii="Arial Narrow" w:hAnsi="Arial Narrow" w:cs="Arial"/>
          <w:color w:val="000000" w:themeColor="text1"/>
          <w:lang w:val="es-ES_tradnl" w:eastAsia="es-ES"/>
        </w:rPr>
        <w:t>,</w:t>
      </w:r>
      <w:r w:rsidRPr="002C0D19">
        <w:rPr>
          <w:rFonts w:ascii="Arial Narrow" w:hAnsi="Arial Narrow" w:cs="Arial"/>
          <w:b/>
          <w:color w:val="000000" w:themeColor="text1"/>
          <w:lang w:val="es-ES_tradnl" w:eastAsia="es-ES"/>
        </w:rPr>
        <w:t xml:space="preserve">  </w:t>
      </w:r>
      <w:r w:rsidRPr="002C0D19">
        <w:rPr>
          <w:rFonts w:ascii="Arial Narrow" w:hAnsi="Arial Narrow" w:cs="Arial"/>
          <w:color w:val="000000" w:themeColor="text1"/>
          <w:lang w:val="es-ES_tradnl" w:eastAsia="es-ES"/>
        </w:rPr>
        <w:t>previas las siguientes</w:t>
      </w:r>
      <w:r w:rsidRPr="002C0D19">
        <w:rPr>
          <w:rFonts w:ascii="Arial Narrow" w:hAnsi="Arial Narrow" w:cs="Arial"/>
          <w:b/>
          <w:color w:val="000000" w:themeColor="text1"/>
          <w:lang w:val="es-ES_tradnl" w:eastAsia="es-ES"/>
        </w:rPr>
        <w:t>:</w:t>
      </w:r>
    </w:p>
    <w:p w14:paraId="311C060A" w14:textId="77777777" w:rsidR="007968EC" w:rsidRPr="002C0D19" w:rsidRDefault="007968EC" w:rsidP="007968EC">
      <w:pPr>
        <w:jc w:val="center"/>
        <w:rPr>
          <w:rFonts w:ascii="Arial Narrow" w:hAnsi="Arial Narrow" w:cs="Arial"/>
          <w:color w:val="000000" w:themeColor="text1"/>
          <w:lang w:val="es-ES_tradnl" w:eastAsia="es-ES"/>
        </w:rPr>
      </w:pPr>
    </w:p>
    <w:p w14:paraId="1B208500" w14:textId="77777777" w:rsidR="007968EC" w:rsidRPr="002C0D19" w:rsidRDefault="007968EC" w:rsidP="007968EC">
      <w:pPr>
        <w:jc w:val="center"/>
        <w:rPr>
          <w:rFonts w:ascii="Arial Narrow" w:hAnsi="Arial Narrow" w:cs="Arial"/>
          <w:b/>
          <w:color w:val="000000" w:themeColor="text1"/>
          <w:lang w:val="es-ES_tradnl" w:eastAsia="es-ES"/>
        </w:rPr>
      </w:pPr>
      <w:r w:rsidRPr="002C0D19">
        <w:rPr>
          <w:rFonts w:ascii="Arial Narrow" w:hAnsi="Arial Narrow" w:cs="Arial"/>
          <w:b/>
          <w:color w:val="000000" w:themeColor="text1"/>
          <w:lang w:val="es-ES_tradnl" w:eastAsia="es-ES"/>
        </w:rPr>
        <w:t>CONSIDERACIONES</w:t>
      </w:r>
    </w:p>
    <w:p w14:paraId="499B22E5" w14:textId="77777777" w:rsidR="007968EC" w:rsidRPr="002C0D19" w:rsidRDefault="007968EC" w:rsidP="007968EC">
      <w:pPr>
        <w:ind w:left="567"/>
        <w:jc w:val="both"/>
        <w:rPr>
          <w:rFonts w:ascii="Arial Narrow" w:hAnsi="Arial Narrow" w:cs="Arial"/>
          <w:b/>
          <w:color w:val="000000" w:themeColor="text1"/>
          <w:lang w:val="es-ES_tradnl" w:eastAsia="es-CO"/>
        </w:rPr>
      </w:pPr>
    </w:p>
    <w:p w14:paraId="5F96997C" w14:textId="77777777" w:rsidR="007968EC" w:rsidRPr="002C0D19" w:rsidRDefault="007968EC" w:rsidP="00DA7472">
      <w:pPr>
        <w:numPr>
          <w:ilvl w:val="0"/>
          <w:numId w:val="238"/>
        </w:numPr>
        <w:contextualSpacing/>
        <w:jc w:val="both"/>
        <w:rPr>
          <w:rFonts w:ascii="Arial Narrow" w:hAnsi="Arial Narrow" w:cs="Arial"/>
          <w:b/>
          <w:color w:val="000000" w:themeColor="text1"/>
          <w:lang w:val="es-ES_tradnl" w:eastAsia="es-CO"/>
        </w:rPr>
      </w:pPr>
      <w:r w:rsidRPr="002C0D19">
        <w:rPr>
          <w:rFonts w:ascii="Arial Narrow" w:hAnsi="Arial Narrow" w:cs="Arial"/>
          <w:color w:val="000000" w:themeColor="text1"/>
          <w:lang w:val="es-ES_tradnl" w:eastAsia="es-CO"/>
        </w:rPr>
        <w:t xml:space="preserve">Que la </w:t>
      </w:r>
      <w:r w:rsidRPr="002C0D19">
        <w:rPr>
          <w:rFonts w:ascii="Arial Narrow" w:hAnsi="Arial Narrow" w:cs="Arial"/>
          <w:b/>
          <w:color w:val="000000" w:themeColor="text1"/>
          <w:lang w:val="es-ES_tradnl" w:eastAsia="es-CO"/>
        </w:rPr>
        <w:t>Parte</w:t>
      </w:r>
      <w:r w:rsidRPr="002C0D19">
        <w:rPr>
          <w:rFonts w:ascii="Arial Narrow" w:hAnsi="Arial Narrow" w:cs="Arial"/>
          <w:color w:val="000000" w:themeColor="text1"/>
          <w:lang w:val="es-ES_tradnl" w:eastAsia="es-CO"/>
        </w:rPr>
        <w:t xml:space="preserve"> ___ , (Miembro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tiene la calidad de intermediario del mercado cambiario, es Miembro de la Cámara de Riesgo Central de Contraparte de Colombia S.A., en adelante </w:t>
      </w:r>
      <w:r w:rsidRPr="002C0D19">
        <w:rPr>
          <w:rFonts w:ascii="Arial Narrow" w:hAnsi="Arial Narrow" w:cs="Arial"/>
          <w:b/>
          <w:color w:val="000000" w:themeColor="text1"/>
          <w:lang w:val="es-ES_tradnl" w:eastAsia="es-CO"/>
        </w:rPr>
        <w:t xml:space="preserve">LA CRCC, </w:t>
      </w:r>
      <w:r w:rsidRPr="002C0D19">
        <w:rPr>
          <w:rFonts w:ascii="Arial Narrow" w:hAnsi="Arial Narrow" w:cs="Arial"/>
          <w:color w:val="000000" w:themeColor="text1"/>
          <w:lang w:val="es-ES_tradnl" w:eastAsia="es-CO"/>
        </w:rPr>
        <w:t>y se encuentra activo en el Sistema.</w:t>
      </w:r>
      <w:r w:rsidRPr="002C0D19">
        <w:rPr>
          <w:rFonts w:ascii="Arial Narrow" w:hAnsi="Arial Narrow" w:cs="Arial"/>
          <w:b/>
          <w:color w:val="000000" w:themeColor="text1"/>
          <w:lang w:val="es-ES_tradnl" w:eastAsia="es-CO"/>
        </w:rPr>
        <w:t xml:space="preserve"> </w:t>
      </w:r>
    </w:p>
    <w:p w14:paraId="2F8B1246" w14:textId="77777777" w:rsidR="007968EC" w:rsidRPr="002C0D19" w:rsidRDefault="007968EC" w:rsidP="007968EC">
      <w:pPr>
        <w:ind w:firstLine="105"/>
        <w:jc w:val="both"/>
        <w:rPr>
          <w:rFonts w:ascii="Arial Narrow" w:hAnsi="Arial Narrow" w:cs="Arial"/>
          <w:b/>
          <w:color w:val="000000" w:themeColor="text1"/>
          <w:lang w:val="es-ES_tradnl" w:eastAsia="es-CO"/>
        </w:rPr>
      </w:pPr>
    </w:p>
    <w:p w14:paraId="0548D44F" w14:textId="77777777" w:rsidR="007968EC" w:rsidRPr="002C0D19" w:rsidRDefault="007968EC" w:rsidP="00DA7472">
      <w:pPr>
        <w:numPr>
          <w:ilvl w:val="0"/>
          <w:numId w:val="238"/>
        </w:numPr>
        <w:contextualSpacing/>
        <w:jc w:val="both"/>
        <w:rPr>
          <w:rFonts w:ascii="Arial Narrow" w:hAnsi="Arial Narrow" w:cs="Arial"/>
          <w:color w:val="000000" w:themeColor="text1"/>
          <w:lang w:val="es-ES_tradnl" w:eastAsia="es-CO"/>
        </w:rPr>
      </w:pPr>
      <w:r w:rsidRPr="002C0D19">
        <w:rPr>
          <w:rFonts w:ascii="Arial Narrow" w:hAnsi="Arial Narrow" w:cs="Arial"/>
          <w:color w:val="000000" w:themeColor="text1"/>
          <w:lang w:val="es-ES_tradnl" w:eastAsia="es-CO"/>
        </w:rPr>
        <w:t xml:space="preserve">Que en virtud del Convenio celebrado, la </w:t>
      </w:r>
      <w:r w:rsidRPr="002C0D19">
        <w:rPr>
          <w:rFonts w:ascii="Arial Narrow" w:hAnsi="Arial Narrow" w:cs="Arial"/>
          <w:b/>
          <w:color w:val="000000" w:themeColor="text1"/>
          <w:lang w:val="es-ES_tradnl" w:eastAsia="es-CO"/>
        </w:rPr>
        <w:t xml:space="preserve">Parte </w:t>
      </w:r>
      <w:r w:rsidRPr="002C0D19">
        <w:rPr>
          <w:rFonts w:ascii="Arial Narrow" w:hAnsi="Arial Narrow" w:cs="Arial"/>
          <w:color w:val="000000" w:themeColor="text1"/>
          <w:lang w:val="es-ES_tradnl" w:eastAsia="es-CO"/>
        </w:rPr>
        <w:t xml:space="preserve">_____, (Miembro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participa por cuenta de la </w:t>
      </w:r>
      <w:r w:rsidRPr="002C0D19">
        <w:rPr>
          <w:rFonts w:ascii="Arial Narrow" w:hAnsi="Arial Narrow" w:cs="Arial"/>
          <w:b/>
          <w:color w:val="000000" w:themeColor="text1"/>
          <w:lang w:val="es-ES_tradnl" w:eastAsia="es-CO"/>
        </w:rPr>
        <w:t>Parte</w:t>
      </w:r>
      <w:r w:rsidRPr="002C0D19">
        <w:rPr>
          <w:rFonts w:ascii="Arial Narrow" w:hAnsi="Arial Narrow" w:cs="Arial"/>
          <w:color w:val="000000" w:themeColor="text1"/>
          <w:lang w:val="es-ES_tradnl" w:eastAsia="es-CO"/>
        </w:rPr>
        <w:t xml:space="preserve"> _______, (Tercero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en la compensación y liquidación de operaciones ante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w:t>
      </w:r>
    </w:p>
    <w:p w14:paraId="56059C1C" w14:textId="77777777" w:rsidR="007968EC" w:rsidRPr="002C0D19" w:rsidRDefault="007968EC" w:rsidP="007968EC">
      <w:pPr>
        <w:ind w:left="708"/>
        <w:rPr>
          <w:rFonts w:ascii="Arial Narrow" w:hAnsi="Arial Narrow" w:cs="Arial"/>
          <w:b/>
          <w:color w:val="000000" w:themeColor="text1"/>
          <w:lang w:val="es-ES_tradnl" w:eastAsia="es-CO"/>
        </w:rPr>
      </w:pPr>
    </w:p>
    <w:p w14:paraId="3042CDF7" w14:textId="77777777" w:rsidR="007968EC" w:rsidRPr="002C0D19" w:rsidRDefault="007968EC" w:rsidP="00DA7472">
      <w:pPr>
        <w:numPr>
          <w:ilvl w:val="0"/>
          <w:numId w:val="238"/>
        </w:numPr>
        <w:contextualSpacing/>
        <w:jc w:val="both"/>
        <w:rPr>
          <w:rFonts w:ascii="Arial Narrow" w:hAnsi="Arial Narrow" w:cs="Arial"/>
          <w:color w:val="000000" w:themeColor="text1"/>
          <w:lang w:val="es-ES_tradnl" w:eastAsia="es-CO"/>
        </w:rPr>
      </w:pPr>
      <w:r w:rsidRPr="002C0D19">
        <w:rPr>
          <w:rFonts w:ascii="Arial Narrow" w:hAnsi="Arial Narrow" w:cs="Arial"/>
          <w:color w:val="000000" w:themeColor="text1"/>
          <w:lang w:val="es-ES_tradnl" w:eastAsia="es-CO"/>
        </w:rPr>
        <w:t xml:space="preserve">Que </w:t>
      </w:r>
      <w:r w:rsidRPr="002C0D19">
        <w:rPr>
          <w:rFonts w:ascii="Arial Narrow" w:hAnsi="Arial Narrow" w:cs="Arial"/>
          <w:b/>
          <w:color w:val="000000" w:themeColor="text1"/>
          <w:lang w:val="es-ES_tradnl" w:eastAsia="es-CO"/>
        </w:rPr>
        <w:t>Las Partes</w:t>
      </w:r>
      <w:r w:rsidRPr="002C0D19">
        <w:rPr>
          <w:rFonts w:ascii="Arial Narrow" w:hAnsi="Arial Narrow" w:cs="Arial"/>
          <w:color w:val="000000" w:themeColor="text1"/>
          <w:lang w:val="es-ES_tradnl" w:eastAsia="es-CO"/>
        </w:rPr>
        <w:t xml:space="preserve"> tienen suscrito un Contrato Marco necesario para la negociación de Instrumentos Financieros Derivados No Estandarizados de conformidad con lo establecido en el Capítulo XVIII – Instrumentos Financieros Derivados y Productos Estructurados de la Circular Básica Contable y Financiera (Circular Externa 100 de 1995) de la Superintendencia Bancaria, hoy Superintendencia Financiera de Colombia.</w:t>
      </w:r>
    </w:p>
    <w:p w14:paraId="0DE456DF" w14:textId="77777777" w:rsidR="007968EC" w:rsidRPr="002C0D19" w:rsidRDefault="007968EC" w:rsidP="007968EC">
      <w:pPr>
        <w:jc w:val="both"/>
        <w:rPr>
          <w:rFonts w:ascii="Arial Narrow" w:hAnsi="Arial Narrow" w:cs="Arial"/>
          <w:b/>
          <w:color w:val="000000" w:themeColor="text1"/>
          <w:lang w:val="es-ES_tradnl" w:eastAsia="es-CO"/>
        </w:rPr>
      </w:pPr>
    </w:p>
    <w:p w14:paraId="0BE57032" w14:textId="77777777" w:rsidR="007968EC" w:rsidRPr="002C0D19" w:rsidRDefault="007968EC" w:rsidP="00DA7472">
      <w:pPr>
        <w:numPr>
          <w:ilvl w:val="0"/>
          <w:numId w:val="238"/>
        </w:numPr>
        <w:contextualSpacing/>
        <w:jc w:val="both"/>
        <w:rPr>
          <w:rFonts w:ascii="Arial Narrow" w:hAnsi="Arial Narrow" w:cs="Arial"/>
          <w:color w:val="000000" w:themeColor="text1"/>
          <w:lang w:val="es-ES_tradnl" w:eastAsia="es-CO"/>
        </w:rPr>
      </w:pPr>
      <w:r w:rsidRPr="002C0D19">
        <w:rPr>
          <w:rFonts w:ascii="Arial Narrow" w:hAnsi="Arial Narrow" w:cs="Arial"/>
          <w:color w:val="000000" w:themeColor="text1"/>
          <w:lang w:val="es-ES_tradnl" w:eastAsia="es-CO"/>
        </w:rPr>
        <w:t xml:space="preserve">Que el Contrato Marco está conformado por su texto y los anexos, un suplemento y las cartas de confirmación de las operaciones realizadas. </w:t>
      </w:r>
    </w:p>
    <w:p w14:paraId="7C0DF711" w14:textId="77777777" w:rsidR="007968EC" w:rsidRPr="002C0D19" w:rsidRDefault="007968EC" w:rsidP="007968EC">
      <w:pPr>
        <w:jc w:val="both"/>
        <w:rPr>
          <w:rFonts w:ascii="Arial Narrow" w:hAnsi="Arial Narrow" w:cs="Arial"/>
          <w:b/>
          <w:color w:val="000000" w:themeColor="text1"/>
          <w:lang w:val="es-ES_tradnl" w:eastAsia="es-CO"/>
        </w:rPr>
      </w:pPr>
    </w:p>
    <w:p w14:paraId="3ECC3D43" w14:textId="77777777" w:rsidR="007968EC" w:rsidRPr="002C0D19" w:rsidRDefault="007968EC" w:rsidP="00DA7472">
      <w:pPr>
        <w:numPr>
          <w:ilvl w:val="0"/>
          <w:numId w:val="238"/>
        </w:numPr>
        <w:contextualSpacing/>
        <w:jc w:val="both"/>
        <w:rPr>
          <w:rFonts w:ascii="Arial Narrow" w:hAnsi="Arial Narrow" w:cs="Arial"/>
          <w:color w:val="000000" w:themeColor="text1"/>
          <w:lang w:val="es-ES_tradnl" w:eastAsia="es-CO"/>
        </w:rPr>
      </w:pPr>
      <w:r w:rsidRPr="002C0D19">
        <w:rPr>
          <w:rFonts w:ascii="Arial Narrow" w:hAnsi="Arial Narrow" w:cs="Arial"/>
          <w:color w:val="000000" w:themeColor="text1"/>
          <w:lang w:val="es-ES_tradnl" w:eastAsia="es-CO"/>
        </w:rPr>
        <w:t xml:space="preserve">Que </w:t>
      </w:r>
      <w:r w:rsidRPr="002C0D19">
        <w:rPr>
          <w:rFonts w:ascii="Arial Narrow" w:hAnsi="Arial Narrow" w:cs="Arial"/>
          <w:b/>
          <w:color w:val="000000" w:themeColor="text1"/>
          <w:lang w:val="es-ES_tradnl" w:eastAsia="es-CO"/>
        </w:rPr>
        <w:t>Las Partes</w:t>
      </w:r>
      <w:r w:rsidRPr="002C0D19">
        <w:rPr>
          <w:rFonts w:ascii="Arial Narrow" w:hAnsi="Arial Narrow" w:cs="Arial"/>
          <w:color w:val="000000" w:themeColor="text1"/>
          <w:lang w:val="es-ES_tradnl" w:eastAsia="es-CO"/>
        </w:rPr>
        <w:t>, de acuerdo con el Contrato Marco, están facultadas para la celebración de operaciones sobre Instrumentos Financieros Derivados No Estandarizados.</w:t>
      </w:r>
    </w:p>
    <w:p w14:paraId="3C57175F" w14:textId="77777777" w:rsidR="007968EC" w:rsidRPr="002C0D19" w:rsidRDefault="007968EC" w:rsidP="007968EC">
      <w:pPr>
        <w:ind w:left="708"/>
        <w:rPr>
          <w:rFonts w:ascii="Arial Narrow" w:hAnsi="Arial Narrow" w:cs="Arial"/>
          <w:color w:val="000000" w:themeColor="text1"/>
          <w:lang w:val="es-ES_tradnl" w:eastAsia="es-CO"/>
        </w:rPr>
      </w:pPr>
    </w:p>
    <w:p w14:paraId="74285DCB" w14:textId="77777777" w:rsidR="007968EC" w:rsidRPr="002C0D19" w:rsidRDefault="007968EC" w:rsidP="00DA7472">
      <w:pPr>
        <w:numPr>
          <w:ilvl w:val="0"/>
          <w:numId w:val="238"/>
        </w:numPr>
        <w:contextualSpacing/>
        <w:jc w:val="both"/>
        <w:rPr>
          <w:rFonts w:ascii="Arial Narrow" w:hAnsi="Arial Narrow" w:cs="Arial"/>
          <w:color w:val="000000" w:themeColor="text1"/>
          <w:lang w:val="es-ES_tradnl" w:eastAsia="es-CO"/>
        </w:rPr>
      </w:pPr>
      <w:r w:rsidRPr="002C0D19">
        <w:rPr>
          <w:rFonts w:ascii="Arial Narrow" w:hAnsi="Arial Narrow" w:cs="Arial"/>
          <w:color w:val="000000" w:themeColor="text1"/>
          <w:lang w:val="es-ES_tradnl" w:eastAsia="es-CO"/>
        </w:rPr>
        <w:t xml:space="preserve">Que de acuerdo con la normativa vigente,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se encuentra autorizada para efectuar la Compensación y Liquidación como contraparte de Instrumentos Financieros Derivados No Estandarizados.</w:t>
      </w:r>
    </w:p>
    <w:p w14:paraId="4BA31D1F" w14:textId="77777777" w:rsidR="007968EC" w:rsidRPr="002C0D19" w:rsidRDefault="007968EC" w:rsidP="007968EC">
      <w:pPr>
        <w:ind w:left="708"/>
        <w:rPr>
          <w:rFonts w:ascii="Arial Narrow" w:hAnsi="Arial Narrow" w:cs="Arial"/>
          <w:color w:val="000000" w:themeColor="text1"/>
          <w:lang w:val="es-ES_tradnl" w:eastAsia="es-CO"/>
        </w:rPr>
      </w:pPr>
    </w:p>
    <w:p w14:paraId="4BA10926" w14:textId="77777777" w:rsidR="007968EC" w:rsidRPr="002C0D19" w:rsidRDefault="007968EC" w:rsidP="00DA7472">
      <w:pPr>
        <w:numPr>
          <w:ilvl w:val="0"/>
          <w:numId w:val="238"/>
        </w:numPr>
        <w:contextualSpacing/>
        <w:jc w:val="both"/>
        <w:rPr>
          <w:rFonts w:ascii="Arial Narrow" w:hAnsi="Arial Narrow" w:cs="Arial"/>
          <w:color w:val="000000" w:themeColor="text1"/>
          <w:lang w:val="es-ES_tradnl" w:eastAsia="es-CO"/>
        </w:rPr>
      </w:pPr>
      <w:r w:rsidRPr="002C0D19">
        <w:rPr>
          <w:rFonts w:ascii="Arial Narrow" w:hAnsi="Arial Narrow" w:cs="Arial"/>
          <w:color w:val="000000" w:themeColor="text1"/>
          <w:lang w:val="es-ES_tradnl" w:eastAsia="es-CO"/>
        </w:rPr>
        <w:lastRenderedPageBreak/>
        <w:t xml:space="preserve">Que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para interponerse como contraparte se constituirá como acreedora y deudora recíproca de los derechos y obligaciones que se deriven de las operaciones aceptadas, de conformidad con lo establecido en el Reglamento de Funcionamiento y</w:t>
      </w:r>
      <w:r w:rsidRPr="002C0D19">
        <w:rPr>
          <w:rFonts w:ascii="Arial Narrow" w:hAnsi="Arial Narrow" w:cs="Arial"/>
          <w:color w:val="000000" w:themeColor="text1"/>
          <w:lang w:eastAsia="es-CO"/>
        </w:rPr>
        <w:t xml:space="preserve"> con las particularidades que se establezcan por Circular para el Segmento que agrupe los </w:t>
      </w:r>
      <w:r w:rsidRPr="002C0D19">
        <w:rPr>
          <w:rFonts w:ascii="Arial Narrow" w:hAnsi="Arial Narrow" w:cs="Arial"/>
          <w:color w:val="000000" w:themeColor="text1"/>
          <w:lang w:val="es-ES_tradnl" w:eastAsia="es-CO"/>
        </w:rPr>
        <w:t xml:space="preserve">Instrumentos Financieros Derivados No Estandarizados, asumiendo tal carácter en la operación, de forma irrevocable y creándose dos nuevas operaciones cuyos Términos Económicos serán los de la operación original, una entre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y la </w:t>
      </w:r>
      <w:r w:rsidRPr="002C0D19">
        <w:rPr>
          <w:rFonts w:ascii="Arial Narrow" w:hAnsi="Arial Narrow" w:cs="Arial"/>
          <w:b/>
          <w:color w:val="000000" w:themeColor="text1"/>
          <w:lang w:val="es-ES_tradnl" w:eastAsia="es-CO"/>
        </w:rPr>
        <w:t>Parte</w:t>
      </w:r>
      <w:r w:rsidRPr="002C0D19">
        <w:rPr>
          <w:rFonts w:ascii="Arial Narrow" w:hAnsi="Arial Narrow" w:cs="Arial"/>
          <w:color w:val="000000" w:themeColor="text1"/>
          <w:lang w:val="es-ES_tradnl" w:eastAsia="es-CO"/>
        </w:rPr>
        <w:t xml:space="preserve"> ______ (Miembro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por su propia cuenta y otra entre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y la </w:t>
      </w:r>
      <w:r w:rsidRPr="002C0D19">
        <w:rPr>
          <w:rFonts w:ascii="Arial Narrow" w:hAnsi="Arial Narrow" w:cs="Arial"/>
          <w:b/>
          <w:color w:val="000000" w:themeColor="text1"/>
          <w:lang w:val="es-ES_tradnl" w:eastAsia="es-CO"/>
        </w:rPr>
        <w:t>Parte</w:t>
      </w:r>
      <w:r w:rsidRPr="002C0D19">
        <w:rPr>
          <w:rFonts w:ascii="Arial Narrow" w:hAnsi="Arial Narrow" w:cs="Arial"/>
          <w:color w:val="000000" w:themeColor="text1"/>
          <w:lang w:val="es-ES_tradnl" w:eastAsia="es-CO"/>
        </w:rPr>
        <w:t xml:space="preserve"> ______ (Miembro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por cuenta de la </w:t>
      </w:r>
      <w:r w:rsidRPr="002C0D19">
        <w:rPr>
          <w:rFonts w:ascii="Arial Narrow" w:hAnsi="Arial Narrow" w:cs="Arial"/>
          <w:b/>
          <w:color w:val="000000" w:themeColor="text1"/>
          <w:lang w:val="es-ES_tradnl" w:eastAsia="es-CO"/>
        </w:rPr>
        <w:t>Parte</w:t>
      </w:r>
      <w:r w:rsidRPr="002C0D19">
        <w:rPr>
          <w:rFonts w:ascii="Arial Narrow" w:hAnsi="Arial Narrow" w:cs="Arial"/>
          <w:color w:val="000000" w:themeColor="text1"/>
          <w:lang w:val="es-ES_tradnl" w:eastAsia="es-CO"/>
        </w:rPr>
        <w:t xml:space="preserve"> ______ (Tercero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w:t>
      </w:r>
    </w:p>
    <w:p w14:paraId="7BE8DD4E" w14:textId="77777777" w:rsidR="007968EC" w:rsidRPr="002C0D19" w:rsidRDefault="007968EC" w:rsidP="007968EC">
      <w:pPr>
        <w:ind w:left="708"/>
        <w:rPr>
          <w:rFonts w:ascii="Arial Narrow" w:hAnsi="Arial Narrow" w:cs="Arial"/>
          <w:color w:val="000000" w:themeColor="text1"/>
          <w:lang w:val="es-ES_tradnl" w:eastAsia="es-CO"/>
        </w:rPr>
      </w:pPr>
    </w:p>
    <w:p w14:paraId="2F7EE5C2" w14:textId="77777777" w:rsidR="007968EC" w:rsidRPr="002C0D19" w:rsidRDefault="007968EC" w:rsidP="00DA7472">
      <w:pPr>
        <w:numPr>
          <w:ilvl w:val="0"/>
          <w:numId w:val="238"/>
        </w:numPr>
        <w:contextualSpacing/>
        <w:jc w:val="both"/>
        <w:rPr>
          <w:rFonts w:ascii="Arial Narrow" w:hAnsi="Arial Narrow" w:cs="Arial"/>
          <w:color w:val="000000" w:themeColor="text1"/>
          <w:lang w:val="es-ES_tradnl" w:eastAsia="es-CO"/>
        </w:rPr>
      </w:pPr>
      <w:r w:rsidRPr="002C0D19">
        <w:rPr>
          <w:rFonts w:ascii="Arial Narrow" w:hAnsi="Arial Narrow" w:cs="Arial"/>
          <w:color w:val="000000" w:themeColor="text1"/>
          <w:lang w:val="es-ES_tradnl" w:eastAsia="es-CO"/>
        </w:rPr>
        <w:t xml:space="preserve">Que es intención de </w:t>
      </w:r>
      <w:r w:rsidRPr="002C0D19">
        <w:rPr>
          <w:rFonts w:ascii="Arial Narrow" w:hAnsi="Arial Narrow" w:cs="Arial"/>
          <w:b/>
          <w:color w:val="000000" w:themeColor="text1"/>
          <w:lang w:val="es-ES_tradnl" w:eastAsia="es-CO"/>
        </w:rPr>
        <w:t>Las Partes</w:t>
      </w:r>
      <w:r w:rsidRPr="002C0D19">
        <w:rPr>
          <w:rFonts w:ascii="Arial Narrow" w:hAnsi="Arial Narrow" w:cs="Arial"/>
          <w:color w:val="000000" w:themeColor="text1"/>
          <w:lang w:val="es-ES_tradnl" w:eastAsia="es-CO"/>
        </w:rPr>
        <w:t xml:space="preserve"> remitir operaciones sobre Instrumentos Financieros Derivados No Estandarizados celebradas entre sí a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para su Compensación y Liquidación como contraparte.</w:t>
      </w:r>
    </w:p>
    <w:p w14:paraId="32411706" w14:textId="77777777" w:rsidR="007968EC" w:rsidRPr="002C0D19" w:rsidRDefault="007968EC" w:rsidP="007968EC">
      <w:pPr>
        <w:jc w:val="both"/>
        <w:rPr>
          <w:rFonts w:ascii="Arial Narrow" w:hAnsi="Arial Narrow" w:cs="Arial"/>
          <w:b/>
          <w:color w:val="000000" w:themeColor="text1"/>
          <w:lang w:val="es-ES_tradnl" w:eastAsia="es-CO"/>
        </w:rPr>
      </w:pPr>
    </w:p>
    <w:p w14:paraId="061D08F7" w14:textId="77777777" w:rsidR="007968EC" w:rsidRPr="002C0D19" w:rsidRDefault="007968EC" w:rsidP="007968EC">
      <w:pPr>
        <w:jc w:val="both"/>
        <w:rPr>
          <w:rFonts w:ascii="Arial Narrow" w:hAnsi="Arial Narrow" w:cs="Arial"/>
          <w:color w:val="000000" w:themeColor="text1"/>
          <w:lang w:val="es-ES_tradnl" w:eastAsia="es-CO"/>
        </w:rPr>
      </w:pPr>
      <w:r w:rsidRPr="002C0D19">
        <w:rPr>
          <w:rFonts w:ascii="Arial Narrow" w:hAnsi="Arial Narrow" w:cs="Arial"/>
          <w:color w:val="000000" w:themeColor="text1"/>
          <w:lang w:val="es-ES_tradnl" w:eastAsia="es-CO"/>
        </w:rPr>
        <w:t xml:space="preserve">Dadas las anteriores consideraciones, </w:t>
      </w:r>
      <w:r w:rsidRPr="002C0D19">
        <w:rPr>
          <w:rFonts w:ascii="Arial Narrow" w:hAnsi="Arial Narrow" w:cs="Arial"/>
          <w:b/>
          <w:color w:val="000000" w:themeColor="text1"/>
          <w:lang w:val="es-ES_tradnl" w:eastAsia="es-CO"/>
        </w:rPr>
        <w:t>Las Partes</w:t>
      </w:r>
      <w:r w:rsidRPr="002C0D19">
        <w:rPr>
          <w:rFonts w:ascii="Arial Narrow" w:hAnsi="Arial Narrow" w:cs="Arial"/>
          <w:color w:val="000000" w:themeColor="text1"/>
          <w:lang w:val="es-ES_tradnl" w:eastAsia="es-CO"/>
        </w:rPr>
        <w:t xml:space="preserve"> han convenido suscribir el presente </w:t>
      </w:r>
      <w:r w:rsidRPr="002C0D19">
        <w:rPr>
          <w:rFonts w:ascii="Arial Narrow" w:hAnsi="Arial Narrow" w:cs="Arial"/>
          <w:b/>
          <w:color w:val="000000" w:themeColor="text1"/>
          <w:lang w:val="es-ES_tradnl" w:eastAsia="es-CO"/>
        </w:rPr>
        <w:t>CONVENIO</w:t>
      </w:r>
      <w:r w:rsidRPr="002C0D19">
        <w:rPr>
          <w:rFonts w:ascii="Arial Narrow" w:hAnsi="Arial Narrow" w:cs="Arial"/>
          <w:color w:val="000000" w:themeColor="text1"/>
          <w:lang w:val="es-ES_tradnl" w:eastAsia="es-CO"/>
        </w:rPr>
        <w:t>, el cual se regirá por las siguientes:</w:t>
      </w:r>
    </w:p>
    <w:p w14:paraId="22ED9FA8" w14:textId="77777777" w:rsidR="007968EC" w:rsidRPr="002C0D19" w:rsidRDefault="007968EC" w:rsidP="007968EC">
      <w:pPr>
        <w:jc w:val="both"/>
        <w:rPr>
          <w:rFonts w:ascii="Arial Narrow" w:hAnsi="Arial Narrow" w:cs="Arial"/>
          <w:b/>
          <w:color w:val="000000" w:themeColor="text1"/>
          <w:lang w:val="es-ES_tradnl" w:eastAsia="es-CO"/>
        </w:rPr>
      </w:pPr>
    </w:p>
    <w:p w14:paraId="1112C527" w14:textId="77777777" w:rsidR="007968EC" w:rsidRPr="002C0D19" w:rsidRDefault="007968EC" w:rsidP="007968EC">
      <w:pPr>
        <w:jc w:val="center"/>
        <w:rPr>
          <w:rFonts w:ascii="Arial Narrow" w:hAnsi="Arial Narrow" w:cs="Arial"/>
          <w:b/>
          <w:color w:val="000000" w:themeColor="text1"/>
          <w:lang w:val="es-ES_tradnl" w:eastAsia="es-CO"/>
        </w:rPr>
      </w:pPr>
      <w:r w:rsidRPr="002C0D19">
        <w:rPr>
          <w:rFonts w:ascii="Arial Narrow" w:hAnsi="Arial Narrow" w:cs="Arial"/>
          <w:b/>
          <w:color w:val="000000" w:themeColor="text1"/>
          <w:lang w:val="es-ES_tradnl" w:eastAsia="es-CO"/>
        </w:rPr>
        <w:t xml:space="preserve">CLÁUSULAS </w:t>
      </w:r>
    </w:p>
    <w:p w14:paraId="182229D5" w14:textId="77777777" w:rsidR="007968EC" w:rsidRPr="002C0D19" w:rsidRDefault="007968EC" w:rsidP="007968EC">
      <w:pPr>
        <w:jc w:val="both"/>
        <w:rPr>
          <w:rFonts w:ascii="Arial Narrow" w:hAnsi="Arial Narrow" w:cs="Arial"/>
          <w:b/>
          <w:color w:val="000000" w:themeColor="text1"/>
          <w:lang w:val="es-ES_tradnl" w:eastAsia="es-CO"/>
        </w:rPr>
      </w:pPr>
    </w:p>
    <w:p w14:paraId="71ABA0D9" w14:textId="77777777" w:rsidR="007968EC" w:rsidRPr="002C0D19" w:rsidRDefault="007968EC" w:rsidP="007968EC">
      <w:pPr>
        <w:jc w:val="both"/>
        <w:rPr>
          <w:rFonts w:ascii="Arial Narrow" w:hAnsi="Arial Narrow" w:cs="Arial"/>
          <w:color w:val="000000" w:themeColor="text1"/>
          <w:lang w:val="es-ES_tradnl" w:eastAsia="es-CO"/>
        </w:rPr>
      </w:pPr>
      <w:r w:rsidRPr="002C0D19">
        <w:rPr>
          <w:rFonts w:ascii="Arial Narrow" w:hAnsi="Arial Narrow" w:cs="Arial"/>
          <w:b/>
          <w:color w:val="000000" w:themeColor="text1"/>
          <w:lang w:val="es-ES_tradnl" w:eastAsia="es-CO"/>
        </w:rPr>
        <w:t>PRIMERA: OBJETO.-</w:t>
      </w:r>
      <w:r w:rsidRPr="002C0D19">
        <w:rPr>
          <w:rFonts w:ascii="Arial Narrow" w:hAnsi="Arial Narrow" w:cs="Arial"/>
          <w:color w:val="000000" w:themeColor="text1"/>
          <w:lang w:val="es-ES_tradnl" w:eastAsia="es-CO"/>
        </w:rPr>
        <w:t xml:space="preserve"> El presente </w:t>
      </w:r>
      <w:r w:rsidRPr="002C0D19">
        <w:rPr>
          <w:rFonts w:ascii="Arial Narrow" w:hAnsi="Arial Narrow" w:cs="Arial"/>
          <w:b/>
          <w:color w:val="000000" w:themeColor="text1"/>
          <w:lang w:val="es-ES_tradnl" w:eastAsia="es-CO"/>
        </w:rPr>
        <w:t>CONVENIO</w:t>
      </w:r>
      <w:r w:rsidRPr="002C0D19">
        <w:rPr>
          <w:rFonts w:ascii="Arial Narrow" w:hAnsi="Arial Narrow" w:cs="Arial"/>
          <w:color w:val="000000" w:themeColor="text1"/>
          <w:lang w:val="es-ES_tradnl" w:eastAsia="es-CO"/>
        </w:rPr>
        <w:t xml:space="preserve"> tiene como objeto establecer los términos y condiciones en los que </w:t>
      </w:r>
      <w:r w:rsidRPr="002C0D19">
        <w:rPr>
          <w:rFonts w:ascii="Arial Narrow" w:hAnsi="Arial Narrow" w:cs="Arial"/>
          <w:b/>
          <w:color w:val="000000" w:themeColor="text1"/>
          <w:lang w:val="es-ES_tradnl" w:eastAsia="es-CO"/>
        </w:rPr>
        <w:t>Las Partes</w:t>
      </w:r>
      <w:r w:rsidRPr="002C0D19">
        <w:rPr>
          <w:rFonts w:ascii="Arial Narrow" w:hAnsi="Arial Narrow" w:cs="Arial"/>
          <w:color w:val="000000" w:themeColor="text1"/>
          <w:lang w:val="es-ES_tradnl" w:eastAsia="es-CO"/>
        </w:rPr>
        <w:t xml:space="preserve"> remitirán a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las operaciones celebradas entre sí sobre Instrumentos Financieros Derivados No Estandarizados para su Compensación y Liquidación y novarán las obligaciones y derechos de las mismas en dichas operaciones, como consecuencia de la interposición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como contraparte central. </w:t>
      </w:r>
    </w:p>
    <w:p w14:paraId="6046A82E" w14:textId="77777777" w:rsidR="007968EC" w:rsidRPr="002C0D19" w:rsidRDefault="007968EC" w:rsidP="007968EC">
      <w:pPr>
        <w:jc w:val="both"/>
        <w:rPr>
          <w:rFonts w:ascii="Arial Narrow" w:hAnsi="Arial Narrow" w:cs="Arial"/>
          <w:b/>
          <w:color w:val="000000" w:themeColor="text1"/>
          <w:lang w:val="es-ES_tradnl" w:eastAsia="es-CO"/>
        </w:rPr>
      </w:pPr>
    </w:p>
    <w:p w14:paraId="11AED696" w14:textId="77777777" w:rsidR="007968EC" w:rsidRPr="002C0D19" w:rsidRDefault="007968EC" w:rsidP="007968EC">
      <w:pPr>
        <w:jc w:val="both"/>
        <w:rPr>
          <w:rFonts w:ascii="Arial Narrow" w:hAnsi="Arial Narrow" w:cs="Arial"/>
          <w:color w:val="000000" w:themeColor="text1"/>
          <w:lang w:eastAsia="es-CO"/>
        </w:rPr>
      </w:pPr>
      <w:r w:rsidRPr="002C0D19">
        <w:rPr>
          <w:rFonts w:ascii="Arial Narrow" w:hAnsi="Arial Narrow" w:cs="Arial"/>
          <w:b/>
          <w:color w:val="000000" w:themeColor="text1"/>
          <w:lang w:eastAsia="es-CO"/>
        </w:rPr>
        <w:t>PARÁGRAFO. DEFINICIONES.-</w:t>
      </w:r>
      <w:r w:rsidRPr="002C0D19">
        <w:rPr>
          <w:rFonts w:ascii="Arial Narrow" w:hAnsi="Arial Narrow" w:cs="Arial"/>
          <w:color w:val="000000" w:themeColor="text1"/>
          <w:lang w:eastAsia="es-CO"/>
        </w:rPr>
        <w:t xml:space="preserve"> Los términos que se utilizan en este </w:t>
      </w:r>
      <w:r w:rsidRPr="002C0D19">
        <w:rPr>
          <w:rFonts w:ascii="Arial Narrow" w:hAnsi="Arial Narrow" w:cs="Arial"/>
          <w:b/>
          <w:color w:val="000000" w:themeColor="text1"/>
          <w:lang w:eastAsia="es-CO"/>
        </w:rPr>
        <w:t>CONVENIO</w:t>
      </w:r>
      <w:r w:rsidRPr="002C0D19">
        <w:rPr>
          <w:rFonts w:ascii="Arial Narrow" w:hAnsi="Arial Narrow" w:cs="Arial"/>
          <w:color w:val="000000" w:themeColor="text1"/>
          <w:lang w:eastAsia="es-CO"/>
        </w:rPr>
        <w:t xml:space="preserve">, cuya primera letra sea una mayúscula y que no se encuentren expresamente definidos en este </w:t>
      </w:r>
      <w:r w:rsidRPr="002C0D19">
        <w:rPr>
          <w:rFonts w:ascii="Arial Narrow" w:hAnsi="Arial Narrow" w:cs="Arial"/>
          <w:b/>
          <w:color w:val="000000" w:themeColor="text1"/>
          <w:lang w:eastAsia="es-CO"/>
        </w:rPr>
        <w:t>CONVENIO</w:t>
      </w:r>
      <w:r w:rsidRPr="002C0D19">
        <w:rPr>
          <w:rFonts w:ascii="Arial Narrow" w:hAnsi="Arial Narrow" w:cs="Arial"/>
          <w:color w:val="000000" w:themeColor="text1"/>
          <w:lang w:eastAsia="es-CO"/>
        </w:rPr>
        <w:t xml:space="preserve">, tendrán el significado que se les atribuye en el Reglamento de Funcionamiento de </w:t>
      </w:r>
      <w:r w:rsidRPr="002C0D19">
        <w:rPr>
          <w:rFonts w:ascii="Arial Narrow" w:hAnsi="Arial Narrow" w:cs="Arial"/>
          <w:b/>
          <w:color w:val="000000" w:themeColor="text1"/>
          <w:lang w:eastAsia="es-CO"/>
        </w:rPr>
        <w:t>LA CRCC</w:t>
      </w:r>
      <w:r w:rsidRPr="002C0D19">
        <w:rPr>
          <w:rFonts w:ascii="Arial Narrow" w:hAnsi="Arial Narrow" w:cs="Arial"/>
          <w:color w:val="000000" w:themeColor="text1"/>
          <w:lang w:eastAsia="es-CO"/>
        </w:rPr>
        <w:t xml:space="preserve">.  </w:t>
      </w:r>
    </w:p>
    <w:p w14:paraId="7B6B0537" w14:textId="77777777" w:rsidR="007968EC" w:rsidRPr="002C0D19" w:rsidRDefault="007968EC" w:rsidP="007968EC">
      <w:pPr>
        <w:jc w:val="both"/>
        <w:rPr>
          <w:rFonts w:ascii="Arial Narrow" w:hAnsi="Arial Narrow" w:cs="Arial"/>
          <w:b/>
          <w:color w:val="000000" w:themeColor="text1"/>
          <w:lang w:eastAsia="es-CO"/>
        </w:rPr>
      </w:pPr>
    </w:p>
    <w:p w14:paraId="53B40F2F" w14:textId="77777777" w:rsidR="007968EC" w:rsidRPr="002C0D19" w:rsidRDefault="007968EC" w:rsidP="007968EC">
      <w:pPr>
        <w:jc w:val="both"/>
        <w:rPr>
          <w:rFonts w:ascii="Arial Narrow" w:hAnsi="Arial Narrow" w:cs="Arial"/>
          <w:b/>
          <w:color w:val="000000" w:themeColor="text1"/>
          <w:lang w:val="es-ES_tradnl" w:eastAsia="es-CO"/>
        </w:rPr>
      </w:pPr>
      <w:r w:rsidRPr="002C0D19">
        <w:rPr>
          <w:rFonts w:ascii="Arial Narrow" w:hAnsi="Arial Narrow" w:cs="Arial"/>
          <w:b/>
          <w:color w:val="000000" w:themeColor="text1"/>
          <w:lang w:val="es-ES_tradnl" w:eastAsia="es-CO"/>
        </w:rPr>
        <w:t>SEGUNDA: REMISIÓN Y CONFIRMACIÓN A LA CÁMARA DE LAS OPERACIONES SOBRE INSTRUMENTOS FINANCIEROS DERIVADOS NO ESTANDARIZADOS</w:t>
      </w:r>
      <w:r w:rsidRPr="002C0D19">
        <w:rPr>
          <w:rFonts w:ascii="Arial Narrow" w:hAnsi="Arial Narrow" w:cs="Arial"/>
          <w:color w:val="000000" w:themeColor="text1"/>
          <w:lang w:val="es-ES_tradnl" w:eastAsia="es-CO"/>
        </w:rPr>
        <w:t xml:space="preserve">.- Las operaciones sobre Instrumentos Financieros Derivados No Estandarizados celebradas en el mercado mostrador que </w:t>
      </w:r>
      <w:r w:rsidRPr="002C0D19">
        <w:rPr>
          <w:rFonts w:ascii="Arial Narrow" w:hAnsi="Arial Narrow" w:cs="Arial"/>
          <w:b/>
          <w:color w:val="000000" w:themeColor="text1"/>
          <w:lang w:val="es-ES_tradnl" w:eastAsia="es-CO"/>
        </w:rPr>
        <w:t>Las Partes</w:t>
      </w:r>
      <w:r w:rsidRPr="002C0D19">
        <w:rPr>
          <w:rFonts w:ascii="Arial Narrow" w:hAnsi="Arial Narrow" w:cs="Arial"/>
          <w:color w:val="000000" w:themeColor="text1"/>
          <w:lang w:val="es-ES_tradnl" w:eastAsia="es-CO"/>
        </w:rPr>
        <w:t xml:space="preserve"> pretendan Compensar y Liquidar a través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deberá remitirlas y confirmarlas a </w:t>
      </w:r>
      <w:r w:rsidRPr="002C0D19">
        <w:rPr>
          <w:rFonts w:ascii="Arial Narrow" w:hAnsi="Arial Narrow" w:cs="Arial"/>
          <w:b/>
          <w:color w:val="000000" w:themeColor="text1"/>
          <w:lang w:val="es-ES_tradnl" w:eastAsia="es-CO"/>
        </w:rPr>
        <w:t xml:space="preserve">LA CRCC </w:t>
      </w:r>
      <w:r w:rsidRPr="002C0D19">
        <w:rPr>
          <w:rFonts w:ascii="Arial Narrow" w:hAnsi="Arial Narrow" w:cs="Arial"/>
          <w:color w:val="000000" w:themeColor="text1"/>
          <w:lang w:val="es-ES_tradnl" w:eastAsia="es-CO"/>
        </w:rPr>
        <w:t xml:space="preserve">la Parte ______ (Miembro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participando por su propia cuenta y por cuenta de la Parte ______ (Tercero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únicamente a través de un Sistema de Registro de Operaciones sobre Divisas autorizado por </w:t>
      </w:r>
      <w:r w:rsidRPr="002C0D19">
        <w:rPr>
          <w:rFonts w:ascii="Arial Narrow" w:hAnsi="Arial Narrow" w:cs="Arial"/>
          <w:b/>
          <w:color w:val="000000" w:themeColor="text1"/>
          <w:lang w:val="es-ES_tradnl" w:eastAsia="es-CO"/>
        </w:rPr>
        <w:t>LA CRCC.</w:t>
      </w:r>
    </w:p>
    <w:p w14:paraId="3DB74FD2" w14:textId="77777777" w:rsidR="007968EC" w:rsidRPr="002C0D19" w:rsidRDefault="007968EC" w:rsidP="007968EC">
      <w:pPr>
        <w:jc w:val="both"/>
        <w:rPr>
          <w:rFonts w:ascii="Arial Narrow" w:hAnsi="Arial Narrow" w:cs="Arial"/>
          <w:color w:val="000000" w:themeColor="text1"/>
          <w:lang w:val="es-ES_tradnl" w:eastAsia="es-CO"/>
        </w:rPr>
      </w:pPr>
      <w:r w:rsidRPr="002C0D19">
        <w:rPr>
          <w:rFonts w:ascii="Arial Narrow" w:hAnsi="Arial Narrow" w:cs="Arial"/>
          <w:color w:val="000000" w:themeColor="text1"/>
          <w:lang w:val="es-ES_tradnl" w:eastAsia="es-CO"/>
        </w:rPr>
        <w:t xml:space="preserve"> </w:t>
      </w:r>
    </w:p>
    <w:p w14:paraId="3C7E0BA6" w14:textId="77777777" w:rsidR="007968EC" w:rsidRPr="002C0D19" w:rsidRDefault="007968EC" w:rsidP="007968EC">
      <w:pPr>
        <w:jc w:val="both"/>
        <w:rPr>
          <w:rFonts w:ascii="Arial Narrow" w:hAnsi="Arial Narrow" w:cs="Arial"/>
          <w:color w:val="000000" w:themeColor="text1"/>
          <w:lang w:val="es-ES_tradnl" w:eastAsia="es-CO"/>
        </w:rPr>
      </w:pPr>
      <w:r w:rsidRPr="002C0D19">
        <w:rPr>
          <w:rFonts w:ascii="Arial Narrow" w:hAnsi="Arial Narrow" w:cs="Arial"/>
          <w:b/>
          <w:color w:val="000000" w:themeColor="text1"/>
          <w:lang w:val="es-ES_tradnl" w:eastAsia="es-CO"/>
        </w:rPr>
        <w:t>TERCERA: INTENCIÓN DE NOVAR</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 xml:space="preserve">Las Partes </w:t>
      </w:r>
      <w:r w:rsidRPr="002C0D19">
        <w:rPr>
          <w:rFonts w:ascii="Arial Narrow" w:hAnsi="Arial Narrow" w:cs="Arial"/>
          <w:color w:val="000000" w:themeColor="text1"/>
          <w:lang w:val="es-ES_tradnl" w:eastAsia="es-CO"/>
        </w:rPr>
        <w:t xml:space="preserve">declaran su intención de que los derechos y obligaciones derivados de las operaciones sobre Instrumentos Financieros Derivados No Estandarizados celebradas entre sí, que remitan a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y que ésta acepte como contraparte, se entiendan automáticamente novados, con ocasión de la remisión y de la interposición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como contraparte, surgiendo nuevos derechos y obligaciones de y frente a ésta y extinguiéndose los que hasta ese momento existieran entre </w:t>
      </w:r>
      <w:r w:rsidRPr="002C0D19">
        <w:rPr>
          <w:rFonts w:ascii="Arial Narrow" w:hAnsi="Arial Narrow" w:cs="Arial"/>
          <w:b/>
          <w:color w:val="000000" w:themeColor="text1"/>
          <w:lang w:val="es-ES_tradnl" w:eastAsia="es-CO"/>
        </w:rPr>
        <w:t>Las Partes</w:t>
      </w:r>
      <w:r w:rsidRPr="002C0D19">
        <w:rPr>
          <w:rFonts w:ascii="Arial Narrow" w:hAnsi="Arial Narrow" w:cs="Arial"/>
          <w:color w:val="000000" w:themeColor="text1"/>
          <w:lang w:val="es-ES_tradnl" w:eastAsia="es-CO"/>
        </w:rPr>
        <w:t xml:space="preserve"> en relación con la operación sobre el Instrumento Financiero Derivado No Estandarizado original. </w:t>
      </w:r>
    </w:p>
    <w:p w14:paraId="4A91A969" w14:textId="77777777" w:rsidR="007968EC" w:rsidRPr="002C0D19" w:rsidRDefault="007968EC" w:rsidP="007968EC">
      <w:pPr>
        <w:jc w:val="both"/>
        <w:rPr>
          <w:rFonts w:ascii="Arial Narrow" w:hAnsi="Arial Narrow" w:cs="Arial"/>
          <w:color w:val="000000" w:themeColor="text1"/>
          <w:lang w:val="es-ES_tradnl" w:eastAsia="es-CO"/>
        </w:rPr>
      </w:pPr>
    </w:p>
    <w:p w14:paraId="511CED45" w14:textId="77777777" w:rsidR="007968EC" w:rsidRPr="002C0D19" w:rsidRDefault="007968EC" w:rsidP="007968EC">
      <w:pPr>
        <w:jc w:val="both"/>
        <w:rPr>
          <w:rFonts w:ascii="Arial Narrow" w:hAnsi="Arial Narrow" w:cs="Arial"/>
          <w:color w:val="000000" w:themeColor="text1"/>
          <w:lang w:val="es-ES_tradnl" w:eastAsia="es-CO"/>
        </w:rPr>
      </w:pPr>
      <w:r w:rsidRPr="002C0D19">
        <w:rPr>
          <w:rFonts w:ascii="Arial Narrow" w:hAnsi="Arial Narrow" w:cs="Arial"/>
          <w:color w:val="000000" w:themeColor="text1"/>
          <w:lang w:val="es-ES_tradnl" w:eastAsia="es-CO"/>
        </w:rPr>
        <w:lastRenderedPageBreak/>
        <w:t xml:space="preserve">En ese sentido, una vez aceptada la operación celebrada sobre un Instrumento Financiero Derivado No Estandarizado, para Compensación y Liquidación por parte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dicha operación será novada y se crearán dos nuevas operaciones cuyos Términos Económicos serán los de la operación original, una entre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y la </w:t>
      </w:r>
      <w:r w:rsidRPr="002C0D19">
        <w:rPr>
          <w:rFonts w:ascii="Arial Narrow" w:hAnsi="Arial Narrow" w:cs="Arial"/>
          <w:b/>
          <w:color w:val="000000" w:themeColor="text1"/>
          <w:lang w:val="es-ES_tradnl" w:eastAsia="es-CO"/>
        </w:rPr>
        <w:t>Parte</w:t>
      </w:r>
      <w:r w:rsidRPr="002C0D19">
        <w:rPr>
          <w:rFonts w:ascii="Arial Narrow" w:hAnsi="Arial Narrow" w:cs="Arial"/>
          <w:color w:val="000000" w:themeColor="text1"/>
          <w:lang w:val="es-ES_tradnl" w:eastAsia="es-CO"/>
        </w:rPr>
        <w:t xml:space="preserve"> ______ (Miembro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por su propia cuenta y otra entre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y la </w:t>
      </w:r>
      <w:r w:rsidRPr="002C0D19">
        <w:rPr>
          <w:rFonts w:ascii="Arial Narrow" w:hAnsi="Arial Narrow" w:cs="Arial"/>
          <w:b/>
          <w:color w:val="000000" w:themeColor="text1"/>
          <w:lang w:val="es-ES_tradnl" w:eastAsia="es-CO"/>
        </w:rPr>
        <w:t>Parte</w:t>
      </w:r>
      <w:r w:rsidRPr="002C0D19">
        <w:rPr>
          <w:rFonts w:ascii="Arial Narrow" w:hAnsi="Arial Narrow" w:cs="Arial"/>
          <w:color w:val="000000" w:themeColor="text1"/>
          <w:lang w:val="es-ES_tradnl" w:eastAsia="es-CO"/>
        </w:rPr>
        <w:t xml:space="preserve"> ______ (Miembro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por cuenta de la </w:t>
      </w:r>
      <w:r w:rsidRPr="002C0D19">
        <w:rPr>
          <w:rFonts w:ascii="Arial Narrow" w:hAnsi="Arial Narrow" w:cs="Arial"/>
          <w:b/>
          <w:color w:val="000000" w:themeColor="text1"/>
          <w:lang w:val="es-ES_tradnl" w:eastAsia="es-CO"/>
        </w:rPr>
        <w:t>Parte</w:t>
      </w:r>
      <w:r w:rsidRPr="002C0D19">
        <w:rPr>
          <w:rFonts w:ascii="Arial Narrow" w:hAnsi="Arial Narrow" w:cs="Arial"/>
          <w:color w:val="000000" w:themeColor="text1"/>
          <w:lang w:val="es-ES_tradnl" w:eastAsia="es-CO"/>
        </w:rPr>
        <w:t xml:space="preserve"> ______ (Tercero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w:t>
      </w:r>
    </w:p>
    <w:p w14:paraId="5DC75EE2" w14:textId="77777777" w:rsidR="007968EC" w:rsidRPr="002C0D19" w:rsidRDefault="007968EC" w:rsidP="007968EC">
      <w:pPr>
        <w:jc w:val="both"/>
        <w:rPr>
          <w:rFonts w:ascii="Arial Narrow" w:hAnsi="Arial Narrow" w:cs="Arial"/>
          <w:color w:val="000000" w:themeColor="text1"/>
          <w:lang w:val="es-ES_tradnl" w:eastAsia="es-CO"/>
        </w:rPr>
      </w:pPr>
      <w:r w:rsidRPr="002C0D19">
        <w:rPr>
          <w:rFonts w:ascii="Arial Narrow" w:hAnsi="Arial Narrow" w:cs="Arial"/>
          <w:color w:val="000000" w:themeColor="text1"/>
          <w:lang w:val="es-ES_tradnl" w:eastAsia="es-CO"/>
        </w:rPr>
        <w:t xml:space="preserve"> </w:t>
      </w:r>
    </w:p>
    <w:p w14:paraId="448FF6BE" w14:textId="77777777" w:rsidR="007968EC" w:rsidRPr="002C0D19" w:rsidRDefault="007968EC" w:rsidP="007968EC">
      <w:pPr>
        <w:jc w:val="both"/>
        <w:rPr>
          <w:rFonts w:ascii="Arial Narrow" w:hAnsi="Arial Narrow" w:cs="Arial"/>
          <w:b/>
          <w:color w:val="000000" w:themeColor="text1"/>
          <w:lang w:val="es-ES_tradnl" w:eastAsia="es-CO"/>
        </w:rPr>
      </w:pPr>
      <w:r w:rsidRPr="002C0D19">
        <w:rPr>
          <w:rFonts w:ascii="Arial Narrow" w:hAnsi="Arial Narrow" w:cs="Arial"/>
          <w:b/>
          <w:color w:val="000000" w:themeColor="text1"/>
          <w:lang w:val="es-ES_tradnl" w:eastAsia="es-CO"/>
        </w:rPr>
        <w:t xml:space="preserve">Las Partes </w:t>
      </w:r>
      <w:r w:rsidRPr="002C0D19">
        <w:rPr>
          <w:rFonts w:ascii="Arial Narrow" w:hAnsi="Arial Narrow" w:cs="Arial"/>
          <w:color w:val="000000" w:themeColor="text1"/>
          <w:lang w:val="es-ES_tradnl" w:eastAsia="es-CO"/>
        </w:rPr>
        <w:t>manifiestan que en virtud de la novación serán relevadas solamente de los derechos y obligaciones derivadas de la respectiva operación sobre el Instrumento Financiero Derivado No Estandarizado original, cuyo cumplimiento deba realizarse después de aceptada la operación por parte de</w:t>
      </w:r>
      <w:r w:rsidRPr="002C0D19">
        <w:rPr>
          <w:rFonts w:ascii="Arial Narrow" w:hAnsi="Arial Narrow" w:cs="Arial"/>
          <w:b/>
          <w:color w:val="000000" w:themeColor="text1"/>
          <w:lang w:val="es-ES_tradnl" w:eastAsia="es-CO"/>
        </w:rPr>
        <w:t xml:space="preserve"> LA CRCC.</w:t>
      </w:r>
    </w:p>
    <w:p w14:paraId="61F9AD6A" w14:textId="77777777" w:rsidR="007968EC" w:rsidRPr="002C0D19" w:rsidRDefault="007968EC" w:rsidP="007968EC">
      <w:pPr>
        <w:jc w:val="both"/>
        <w:rPr>
          <w:rFonts w:ascii="Arial Narrow" w:hAnsi="Arial Narrow" w:cs="Arial"/>
          <w:b/>
          <w:color w:val="000000" w:themeColor="text1"/>
          <w:lang w:val="es-ES_tradnl" w:eastAsia="es-CO"/>
        </w:rPr>
      </w:pPr>
    </w:p>
    <w:p w14:paraId="427EA5E8" w14:textId="77777777" w:rsidR="007968EC" w:rsidRPr="002C0D19" w:rsidRDefault="007968EC" w:rsidP="007968EC">
      <w:pPr>
        <w:jc w:val="both"/>
        <w:rPr>
          <w:rFonts w:ascii="Arial Narrow" w:hAnsi="Arial Narrow" w:cs="Arial"/>
          <w:color w:val="000000" w:themeColor="text1"/>
          <w:lang w:val="es-ES_tradnl" w:eastAsia="es-CO"/>
        </w:rPr>
      </w:pPr>
      <w:r w:rsidRPr="002C0D19">
        <w:rPr>
          <w:rFonts w:ascii="Arial Narrow" w:hAnsi="Arial Narrow" w:cs="Arial"/>
          <w:b/>
          <w:color w:val="000000" w:themeColor="text1"/>
          <w:lang w:val="es-ES_tradnl" w:eastAsia="es-CO"/>
        </w:rPr>
        <w:t>PARÁGRAFO PRIMERO: INTENCIÓN DE NOVAR EN EL CAMBIO DE DEUDOR.- Las Partes</w:t>
      </w:r>
      <w:r w:rsidRPr="002C0D19">
        <w:rPr>
          <w:rFonts w:ascii="Arial Narrow" w:hAnsi="Arial Narrow" w:cs="Arial"/>
          <w:color w:val="000000" w:themeColor="text1"/>
          <w:lang w:val="es-ES_tradnl" w:eastAsia="es-CO"/>
        </w:rPr>
        <w:t xml:space="preserve"> declaran expresamente que aceptan que cuando tengan la calidad de acreedores de la otra parte en una operación sobre un Instrumento Financiero Derivado No Estandarizado, su remisión a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para la Compensación y Liquidación conllevará la liberación de la otra parte deudora. </w:t>
      </w:r>
    </w:p>
    <w:p w14:paraId="0FAF8C6D" w14:textId="77777777" w:rsidR="007968EC" w:rsidRPr="002C0D19" w:rsidRDefault="007968EC" w:rsidP="007968EC">
      <w:pPr>
        <w:jc w:val="both"/>
        <w:rPr>
          <w:rFonts w:ascii="Arial Narrow" w:hAnsi="Arial Narrow" w:cs="Arial"/>
          <w:color w:val="000000" w:themeColor="text1"/>
          <w:lang w:val="es-ES_tradnl" w:eastAsia="es-CO"/>
        </w:rPr>
      </w:pPr>
    </w:p>
    <w:p w14:paraId="5CAAEE96" w14:textId="77777777" w:rsidR="007968EC" w:rsidRPr="002C0D19" w:rsidRDefault="007968EC" w:rsidP="007968EC">
      <w:pPr>
        <w:jc w:val="both"/>
        <w:rPr>
          <w:rFonts w:ascii="Arial Narrow" w:hAnsi="Arial Narrow" w:cs="Arial"/>
          <w:color w:val="000000" w:themeColor="text1"/>
          <w:lang w:val="es-ES_tradnl" w:eastAsia="es-CO"/>
        </w:rPr>
      </w:pPr>
      <w:r w:rsidRPr="002C0D19">
        <w:rPr>
          <w:rFonts w:ascii="Arial Narrow" w:hAnsi="Arial Narrow" w:cs="Arial"/>
          <w:b/>
          <w:color w:val="000000" w:themeColor="text1"/>
          <w:lang w:val="es-ES_tradnl" w:eastAsia="es-CO"/>
        </w:rPr>
        <w:t>PARÁGRAFO SEGUNDO: REGLAMENTO DE FUNCIONAMIENTO DE LA CRCC.- Las Partes</w:t>
      </w:r>
      <w:r w:rsidRPr="002C0D19">
        <w:rPr>
          <w:rFonts w:ascii="Arial Narrow" w:hAnsi="Arial Narrow" w:cs="Arial"/>
          <w:color w:val="000000" w:themeColor="text1"/>
          <w:lang w:val="es-ES_tradnl" w:eastAsia="es-CO"/>
        </w:rPr>
        <w:t xml:space="preserve"> declaran que las dos nuevas operaciones y las relaciones contractuales que se deriven de las mismas, así como sus efectos quedan sujetos a los Términos de Compensación y Liquidación y se rigen exclusivamente por el Reglamento de Funcionamiento, las Circulares y los Instructivos Operativos de la Cámara. En caso de discrepancia, incoherencia o contradicción entre los Términos de Compensación y Liquidación y los Términos Económicos, prevalecerán los Términos de Compensación y Liquidación.</w:t>
      </w:r>
    </w:p>
    <w:p w14:paraId="248FEB27" w14:textId="77777777" w:rsidR="007968EC" w:rsidRPr="002C0D19" w:rsidRDefault="007968EC" w:rsidP="007968EC">
      <w:pPr>
        <w:jc w:val="both"/>
        <w:rPr>
          <w:rFonts w:ascii="Arial Narrow" w:hAnsi="Arial Narrow" w:cs="Arial"/>
          <w:b/>
          <w:color w:val="000000" w:themeColor="text1"/>
          <w:lang w:val="es-ES_tradnl" w:eastAsia="es-CO"/>
        </w:rPr>
      </w:pPr>
    </w:p>
    <w:p w14:paraId="403CF7E8" w14:textId="77777777" w:rsidR="007968EC" w:rsidRPr="002C0D19" w:rsidRDefault="007968EC" w:rsidP="007968EC">
      <w:pPr>
        <w:jc w:val="both"/>
        <w:rPr>
          <w:rFonts w:ascii="Arial Narrow" w:hAnsi="Arial Narrow" w:cs="Arial"/>
          <w:color w:val="000000" w:themeColor="text1"/>
          <w:lang w:val="es-ES_tradnl" w:eastAsia="es-CO"/>
        </w:rPr>
      </w:pPr>
      <w:r w:rsidRPr="002C0D19">
        <w:rPr>
          <w:rFonts w:ascii="Arial Narrow" w:hAnsi="Arial Narrow" w:cs="Arial"/>
          <w:b/>
          <w:color w:val="000000" w:themeColor="text1"/>
          <w:lang w:eastAsia="es-CO"/>
        </w:rPr>
        <w:t>PARÁGRAFO TERCERO</w:t>
      </w:r>
      <w:r w:rsidRPr="002C0D19">
        <w:rPr>
          <w:rFonts w:ascii="Arial Narrow" w:hAnsi="Arial Narrow" w:cs="Arial"/>
          <w:color w:val="000000" w:themeColor="text1"/>
          <w:lang w:eastAsia="es-CO"/>
        </w:rPr>
        <w:t xml:space="preserve">: Cualquier reforma que se realice al Reglamento o a las Circulares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eastAsia="es-CO"/>
        </w:rPr>
        <w:t xml:space="preserve"> que implique una modificación a los términos de los acuerdos o Convenios de vinculación, Oferta de Servicios Aceptada mediante Orden de Compra de Servicios que suscriban los Miembros y estos con sus Terceros se presume conocida y aceptada por las partes a partir de su publicación y entrada en vigencia y no requerirá de la modificación de tales acuerdos o Convenios de vinculación, Oferta de Servicios Aceptada mediante Orden de Compra de Servicios que suscriban los Miembros y estos con sus Terceros, ni de la suscripción de nuevos Convenios. No obstante, cuando haya lugar a ello,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eastAsia="es-CO"/>
        </w:rPr>
        <w:t xml:space="preserve"> podrá aprobar unos nuevos textos que incorporen las modificaciones pertinentes y publicarlos mediante Circular para efecto de la vinculación de nuevos Miembros, Agentes y Terceros a través de</w:t>
      </w:r>
      <w:r w:rsidRPr="002C0D19">
        <w:rPr>
          <w:rFonts w:ascii="Arial Narrow" w:hAnsi="Arial Narrow" w:cs="Arial"/>
          <w:b/>
          <w:color w:val="000000" w:themeColor="text1"/>
          <w:lang w:eastAsia="es-CO"/>
        </w:rPr>
        <w:t xml:space="preserve"> </w:t>
      </w:r>
      <w:r w:rsidRPr="002C0D19">
        <w:rPr>
          <w:rFonts w:ascii="Arial Narrow" w:hAnsi="Arial Narrow" w:cs="Arial"/>
          <w:color w:val="000000" w:themeColor="text1"/>
          <w:lang w:eastAsia="es-CO"/>
        </w:rPr>
        <w:t>los Miembros.</w:t>
      </w:r>
    </w:p>
    <w:p w14:paraId="7DFF56B8" w14:textId="77777777" w:rsidR="007968EC" w:rsidRPr="002C0D19" w:rsidRDefault="007968EC" w:rsidP="007968EC">
      <w:pPr>
        <w:jc w:val="both"/>
        <w:rPr>
          <w:rFonts w:ascii="Arial Narrow" w:hAnsi="Arial Narrow" w:cs="Arial"/>
          <w:b/>
          <w:color w:val="000000" w:themeColor="text1"/>
          <w:lang w:val="es-ES_tradnl" w:eastAsia="es-CO"/>
        </w:rPr>
      </w:pPr>
    </w:p>
    <w:p w14:paraId="47AED012" w14:textId="77777777" w:rsidR="007968EC" w:rsidRPr="002C0D19" w:rsidRDefault="007968EC" w:rsidP="007968EC">
      <w:pPr>
        <w:jc w:val="both"/>
        <w:rPr>
          <w:rFonts w:ascii="Arial Narrow" w:hAnsi="Arial Narrow" w:cs="Arial"/>
          <w:b/>
          <w:color w:val="000000" w:themeColor="text1"/>
          <w:lang w:eastAsia="es-CO"/>
        </w:rPr>
      </w:pPr>
      <w:r w:rsidRPr="002C0D19">
        <w:rPr>
          <w:rFonts w:ascii="Arial Narrow" w:hAnsi="Arial Narrow" w:cs="Arial"/>
          <w:b/>
          <w:color w:val="000000" w:themeColor="text1"/>
          <w:lang w:val="es-ES_tradnl" w:eastAsia="es-CO"/>
        </w:rPr>
        <w:t>CUARTA: DERECHOS Y OBLIGACIONES DE LAS PARTES.-</w:t>
      </w:r>
      <w:r w:rsidRPr="002C0D19">
        <w:rPr>
          <w:rFonts w:ascii="Arial Narrow" w:hAnsi="Arial Narrow" w:cs="Arial"/>
          <w:color w:val="000000" w:themeColor="text1"/>
          <w:lang w:val="es-ES_tradnl" w:eastAsia="es-CO"/>
        </w:rPr>
        <w:t xml:space="preserve"> Los derechos y obligaciones de la</w:t>
      </w:r>
      <w:r w:rsidRPr="002C0D19">
        <w:rPr>
          <w:rFonts w:ascii="Arial Narrow" w:hAnsi="Arial Narrow" w:cs="Arial"/>
          <w:b/>
          <w:color w:val="000000" w:themeColor="text1"/>
          <w:lang w:val="es-ES_tradnl" w:eastAsia="es-CO"/>
        </w:rPr>
        <w:t xml:space="preserve"> Parte </w:t>
      </w:r>
      <w:r w:rsidRPr="002C0D19">
        <w:rPr>
          <w:rFonts w:ascii="Arial Narrow" w:hAnsi="Arial Narrow" w:cs="Arial"/>
          <w:color w:val="000000" w:themeColor="text1"/>
          <w:lang w:val="es-ES_tradnl" w:eastAsia="es-CO"/>
        </w:rPr>
        <w:t xml:space="preserve">______ (Tercero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derivados de las operaciones novadas por su cuenta, lo son únicamente respecto de la </w:t>
      </w:r>
      <w:r w:rsidRPr="002C0D19">
        <w:rPr>
          <w:rFonts w:ascii="Arial Narrow" w:hAnsi="Arial Narrow" w:cs="Arial"/>
          <w:b/>
          <w:color w:val="000000" w:themeColor="text1"/>
          <w:lang w:val="es-ES_tradnl" w:eastAsia="es-CO"/>
        </w:rPr>
        <w:t>Parte</w:t>
      </w:r>
      <w:r w:rsidRPr="002C0D19">
        <w:rPr>
          <w:rFonts w:ascii="Arial Narrow" w:hAnsi="Arial Narrow" w:cs="Arial"/>
          <w:color w:val="000000" w:themeColor="text1"/>
          <w:lang w:val="es-ES_tradnl" w:eastAsia="es-CO"/>
        </w:rPr>
        <w:t xml:space="preserve"> ______ (Miembro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y en ningún caso respecto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Por lo tanto,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no responderá ante la </w:t>
      </w:r>
      <w:r w:rsidRPr="002C0D19">
        <w:rPr>
          <w:rFonts w:ascii="Arial Narrow" w:hAnsi="Arial Narrow" w:cs="Arial"/>
          <w:b/>
          <w:color w:val="000000" w:themeColor="text1"/>
          <w:lang w:val="es-ES_tradnl" w:eastAsia="es-CO"/>
        </w:rPr>
        <w:t>Parte</w:t>
      </w:r>
      <w:r w:rsidRPr="002C0D19">
        <w:rPr>
          <w:rFonts w:ascii="Arial Narrow" w:hAnsi="Arial Narrow" w:cs="Arial"/>
          <w:color w:val="000000" w:themeColor="text1"/>
          <w:lang w:val="es-ES_tradnl" w:eastAsia="es-CO"/>
        </w:rPr>
        <w:t xml:space="preserve"> ______ (Tercero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y no será responsable patrimonialmente por cualquier obligación debida a una persona que no sea un Miembro parte en la operación aceptada por </w:t>
      </w:r>
      <w:r w:rsidRPr="002C0D19">
        <w:rPr>
          <w:rFonts w:ascii="Arial Narrow" w:hAnsi="Arial Narrow" w:cs="Arial"/>
          <w:b/>
          <w:color w:val="000000" w:themeColor="text1"/>
          <w:lang w:val="es-ES_tradnl" w:eastAsia="es-CO"/>
        </w:rPr>
        <w:t>LA CRCC.</w:t>
      </w:r>
    </w:p>
    <w:p w14:paraId="18712CDD" w14:textId="77777777" w:rsidR="007968EC" w:rsidRPr="002C0D19" w:rsidRDefault="007968EC" w:rsidP="007968EC">
      <w:pPr>
        <w:jc w:val="both"/>
        <w:rPr>
          <w:rFonts w:ascii="Arial Narrow" w:hAnsi="Arial Narrow" w:cs="Arial"/>
          <w:b/>
          <w:color w:val="000000" w:themeColor="text1"/>
          <w:lang w:val="es-ES_tradnl" w:eastAsia="es-CO"/>
        </w:rPr>
      </w:pPr>
    </w:p>
    <w:p w14:paraId="48D2EA75" w14:textId="77777777" w:rsidR="007968EC" w:rsidRPr="002C0D19" w:rsidRDefault="007968EC" w:rsidP="007968EC">
      <w:pPr>
        <w:jc w:val="both"/>
        <w:rPr>
          <w:rFonts w:ascii="Arial Narrow" w:hAnsi="Arial Narrow" w:cs="Arial"/>
          <w:color w:val="000000" w:themeColor="text1"/>
          <w:lang w:val="es-ES_tradnl" w:eastAsia="es-CO"/>
        </w:rPr>
      </w:pPr>
      <w:r w:rsidRPr="002C0D19">
        <w:rPr>
          <w:rFonts w:ascii="Arial Narrow" w:hAnsi="Arial Narrow" w:cs="Arial"/>
          <w:b/>
          <w:color w:val="000000" w:themeColor="text1"/>
          <w:lang w:val="es-ES_tradnl" w:eastAsia="es-CO"/>
        </w:rPr>
        <w:t xml:space="preserve">QUINTA: FINALIDAD.- Las Partes </w:t>
      </w:r>
      <w:r w:rsidRPr="002C0D19">
        <w:rPr>
          <w:rFonts w:ascii="Arial Narrow" w:hAnsi="Arial Narrow" w:cs="Arial"/>
          <w:color w:val="000000" w:themeColor="text1"/>
          <w:lang w:val="es-ES_tradnl" w:eastAsia="es-CO"/>
        </w:rPr>
        <w:t>declaran que conocen y aceptan que el principio de finalidad establecido en las disposiciones legales vigentes y en el Reglamento de Funcionamiento de</w:t>
      </w:r>
      <w:r w:rsidRPr="002C0D19">
        <w:rPr>
          <w:rFonts w:ascii="Arial Narrow" w:hAnsi="Arial Narrow" w:cs="Arial"/>
          <w:b/>
          <w:color w:val="000000" w:themeColor="text1"/>
          <w:lang w:val="es-ES_tradnl" w:eastAsia="es-CO"/>
        </w:rPr>
        <w:t xml:space="preserve"> LA CRCC </w:t>
      </w:r>
      <w:r w:rsidRPr="002C0D19">
        <w:rPr>
          <w:rFonts w:ascii="Arial Narrow" w:hAnsi="Arial Narrow" w:cs="Arial"/>
          <w:color w:val="000000" w:themeColor="text1"/>
          <w:lang w:val="es-ES_tradnl" w:eastAsia="es-CO"/>
        </w:rPr>
        <w:t xml:space="preserve">se extiende a las operaciones sobre Instrumentos Financieros Derivados No Estandarizados celebradas entre sí, aceptadas </w:t>
      </w:r>
      <w:r w:rsidRPr="002C0D19">
        <w:rPr>
          <w:rFonts w:ascii="Arial Narrow" w:hAnsi="Arial Narrow" w:cs="Arial"/>
          <w:color w:val="000000" w:themeColor="text1"/>
          <w:lang w:val="es-ES_tradnl" w:eastAsia="es-CO"/>
        </w:rPr>
        <w:lastRenderedPageBreak/>
        <w:t>por la Cámara en su función de contraparte desde el momento de su aceptación y se aplica a todos los actos necesarios para su cumplimiento, incluida la compensación a que se refiere el artículo 17 de la Ley 964 de 2005.</w:t>
      </w:r>
    </w:p>
    <w:p w14:paraId="5E7971FA" w14:textId="77777777" w:rsidR="007968EC" w:rsidRPr="002C0D19" w:rsidRDefault="007968EC" w:rsidP="007968EC">
      <w:pPr>
        <w:jc w:val="both"/>
        <w:rPr>
          <w:rFonts w:ascii="Arial Narrow" w:hAnsi="Arial Narrow" w:cs="Arial"/>
          <w:b/>
          <w:color w:val="000000" w:themeColor="text1"/>
          <w:lang w:val="es-ES_tradnl" w:eastAsia="es-CO"/>
        </w:rPr>
      </w:pPr>
    </w:p>
    <w:p w14:paraId="74167E1A" w14:textId="77777777" w:rsidR="007968EC" w:rsidRPr="002C0D19" w:rsidRDefault="007968EC" w:rsidP="007968EC">
      <w:pPr>
        <w:jc w:val="both"/>
        <w:rPr>
          <w:rFonts w:ascii="Arial Narrow" w:hAnsi="Arial Narrow" w:cs="Arial"/>
          <w:color w:val="000000" w:themeColor="text1"/>
          <w:lang w:val="es-ES_tradnl" w:eastAsia="es-CO"/>
        </w:rPr>
      </w:pPr>
      <w:r w:rsidRPr="002C0D19">
        <w:rPr>
          <w:rFonts w:ascii="Arial Narrow" w:hAnsi="Arial Narrow" w:cs="Arial"/>
          <w:b/>
          <w:color w:val="000000" w:themeColor="text1"/>
          <w:lang w:val="es-ES_tradnl" w:eastAsia="es-CO"/>
        </w:rPr>
        <w:t xml:space="preserve">SEXTA: RECHAZO O NO RECIBO DE </w:t>
      </w:r>
      <w:r w:rsidRPr="002C0D19">
        <w:rPr>
          <w:rFonts w:ascii="Arial Narrow" w:hAnsi="Arial Narrow" w:cs="Arial"/>
          <w:b/>
          <w:color w:val="000000" w:themeColor="text1"/>
          <w:lang w:eastAsia="es-CO"/>
        </w:rPr>
        <w:t>OPERACIONES SOBRE INSTRUMENTOS FINANCIEROS DERIVADOS NO ESTANDARIZADOS</w:t>
      </w:r>
      <w:r w:rsidRPr="002C0D19">
        <w:rPr>
          <w:rFonts w:ascii="Arial Narrow" w:hAnsi="Arial Narrow" w:cs="Arial"/>
          <w:b/>
          <w:color w:val="000000" w:themeColor="text1"/>
          <w:lang w:val="es-ES_tradnl" w:eastAsia="es-CO"/>
        </w:rPr>
        <w:t xml:space="preserve">.- Las Partes </w:t>
      </w:r>
      <w:r w:rsidRPr="002C0D19">
        <w:rPr>
          <w:rFonts w:ascii="Arial Narrow" w:hAnsi="Arial Narrow" w:cs="Arial"/>
          <w:color w:val="000000" w:themeColor="text1"/>
          <w:lang w:val="es-ES_tradnl" w:eastAsia="es-CO"/>
        </w:rPr>
        <w:t xml:space="preserve">declaran que si por cualquier razón ya sea de tipo operativo, tecnológico o de riesgo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rechaza o no recibe una o varias </w:t>
      </w:r>
      <w:r w:rsidRPr="002C0D19">
        <w:rPr>
          <w:rFonts w:ascii="Arial Narrow" w:hAnsi="Arial Narrow" w:cs="Arial"/>
          <w:color w:val="000000" w:themeColor="text1"/>
          <w:lang w:eastAsia="es-CO"/>
        </w:rPr>
        <w:t xml:space="preserve">operaciones </w:t>
      </w:r>
      <w:r w:rsidRPr="002C0D19">
        <w:rPr>
          <w:rFonts w:ascii="Arial Narrow" w:hAnsi="Arial Narrow" w:cs="Arial"/>
          <w:color w:val="000000" w:themeColor="text1"/>
          <w:lang w:val="es-ES_tradnl" w:eastAsia="es-CO"/>
        </w:rPr>
        <w:t xml:space="preserve">sobre Instrumentos Financieros Derivados No Estandarizados celebradas entre sí, remitidas para su Compensación y Liquidación a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dichas operaciones se seguirán rigiendo por el contrato o acuerdo original suscrito entre </w:t>
      </w:r>
      <w:r w:rsidRPr="002C0D19">
        <w:rPr>
          <w:rFonts w:ascii="Arial Narrow" w:hAnsi="Arial Narrow" w:cs="Arial"/>
          <w:b/>
          <w:color w:val="000000" w:themeColor="text1"/>
          <w:lang w:val="es-ES_tradnl" w:eastAsia="es-CO"/>
        </w:rPr>
        <w:t>Las Partes</w:t>
      </w:r>
      <w:r w:rsidRPr="002C0D19">
        <w:rPr>
          <w:rFonts w:ascii="Arial Narrow" w:hAnsi="Arial Narrow" w:cs="Arial"/>
          <w:color w:val="000000" w:themeColor="text1"/>
          <w:lang w:val="es-ES_tradnl" w:eastAsia="es-CO"/>
        </w:rPr>
        <w:t>,</w:t>
      </w:r>
      <w:r w:rsidRPr="002C0D19">
        <w:rPr>
          <w:rFonts w:ascii="Arial Narrow" w:hAnsi="Arial Narrow" w:cs="Arial"/>
          <w:b/>
          <w:color w:val="000000" w:themeColor="text1"/>
          <w:lang w:val="es-ES_tradnl" w:eastAsia="es-CO"/>
        </w:rPr>
        <w:t xml:space="preserve"> </w:t>
      </w:r>
      <w:r w:rsidRPr="002C0D19">
        <w:rPr>
          <w:rFonts w:ascii="Arial Narrow" w:hAnsi="Arial Narrow" w:cs="Arial"/>
          <w:color w:val="000000" w:themeColor="text1"/>
          <w:lang w:val="es-ES_tradnl" w:eastAsia="es-CO"/>
        </w:rPr>
        <w:t xml:space="preserve">dichas operaciones serán vinculantes para </w:t>
      </w:r>
      <w:r w:rsidRPr="002C0D19">
        <w:rPr>
          <w:rFonts w:ascii="Arial Narrow" w:hAnsi="Arial Narrow" w:cs="Arial"/>
          <w:b/>
          <w:color w:val="000000" w:themeColor="text1"/>
          <w:lang w:val="es-ES_tradnl" w:eastAsia="es-CO"/>
        </w:rPr>
        <w:t>Las Partes</w:t>
      </w:r>
      <w:r w:rsidRPr="002C0D19">
        <w:rPr>
          <w:rFonts w:ascii="Arial Narrow" w:hAnsi="Arial Narrow" w:cs="Arial"/>
          <w:color w:val="000000" w:themeColor="text1"/>
          <w:lang w:val="es-ES_tradnl" w:eastAsia="es-CO"/>
        </w:rPr>
        <w:t xml:space="preserve"> y por lo tanto, el cumplimiento de las mismas estará exclusivamente a su cargo en los términos del contrato celebrado por ellas. </w:t>
      </w:r>
    </w:p>
    <w:p w14:paraId="1DF09612" w14:textId="77777777" w:rsidR="007968EC" w:rsidRPr="002C0D19" w:rsidRDefault="007968EC" w:rsidP="007968EC">
      <w:pPr>
        <w:jc w:val="both"/>
        <w:rPr>
          <w:rFonts w:ascii="Arial Narrow" w:hAnsi="Arial Narrow" w:cs="Arial"/>
          <w:color w:val="000000" w:themeColor="text1"/>
          <w:lang w:val="es-ES_tradnl" w:eastAsia="es-CO"/>
        </w:rPr>
      </w:pPr>
    </w:p>
    <w:p w14:paraId="31B9F64C" w14:textId="77777777" w:rsidR="007968EC" w:rsidRPr="002C0D19" w:rsidRDefault="007968EC" w:rsidP="007968EC">
      <w:pPr>
        <w:jc w:val="both"/>
        <w:rPr>
          <w:rFonts w:ascii="Arial Narrow" w:hAnsi="Arial Narrow" w:cs="Arial"/>
          <w:color w:val="000000" w:themeColor="text1"/>
          <w:lang w:val="es-ES_tradnl" w:eastAsia="es-CO"/>
        </w:rPr>
      </w:pPr>
      <w:r w:rsidRPr="002C0D19">
        <w:rPr>
          <w:rFonts w:ascii="Arial Narrow" w:hAnsi="Arial Narrow" w:cs="Arial"/>
          <w:b/>
          <w:color w:val="000000" w:themeColor="text1"/>
          <w:lang w:val="es-ES_tradnl" w:eastAsia="es-CO"/>
        </w:rPr>
        <w:t>SÉPTIMA: VIGENCIA</w:t>
      </w:r>
      <w:r w:rsidRPr="002C0D19">
        <w:rPr>
          <w:rFonts w:ascii="Arial Narrow" w:hAnsi="Arial Narrow" w:cs="Arial"/>
          <w:color w:val="000000" w:themeColor="text1"/>
          <w:lang w:val="es-ES_tradnl" w:eastAsia="es-CO"/>
        </w:rPr>
        <w:t xml:space="preserve">.- La vigencia del </w:t>
      </w:r>
      <w:r w:rsidRPr="002C0D19">
        <w:rPr>
          <w:rFonts w:ascii="Arial Narrow" w:hAnsi="Arial Narrow" w:cs="Arial"/>
          <w:b/>
          <w:color w:val="000000" w:themeColor="text1"/>
          <w:lang w:val="es-ES_tradnl" w:eastAsia="es-CO"/>
        </w:rPr>
        <w:t>CONVENIO</w:t>
      </w:r>
      <w:r w:rsidRPr="002C0D19">
        <w:rPr>
          <w:rFonts w:ascii="Arial Narrow" w:hAnsi="Arial Narrow" w:cs="Arial"/>
          <w:color w:val="000000" w:themeColor="text1"/>
          <w:lang w:val="es-ES_tradnl" w:eastAsia="es-CO"/>
        </w:rPr>
        <w:t xml:space="preserve"> es indefinida. No obstante lo anterior, </w:t>
      </w:r>
      <w:r w:rsidRPr="002C0D19">
        <w:rPr>
          <w:rFonts w:ascii="Arial Narrow" w:hAnsi="Arial Narrow" w:cs="Arial"/>
          <w:b/>
          <w:color w:val="000000" w:themeColor="text1"/>
          <w:lang w:val="es-ES_tradnl" w:eastAsia="es-CO"/>
        </w:rPr>
        <w:t>Las Partes</w:t>
      </w:r>
      <w:r w:rsidRPr="002C0D19">
        <w:rPr>
          <w:rFonts w:ascii="Arial Narrow" w:hAnsi="Arial Narrow" w:cs="Arial"/>
          <w:color w:val="000000" w:themeColor="text1"/>
          <w:lang w:val="es-ES_tradnl" w:eastAsia="es-CO"/>
        </w:rPr>
        <w:t xml:space="preserve"> podrán darlo por terminado en cualquier tiempo, mediante la entrega a la otra parte de un aviso escrito en tal sentido, remitido con no menos de treinta (30) días calendario de anticipación al día hábil en el cual desea que dicha terminación tenga efecto. </w:t>
      </w:r>
    </w:p>
    <w:p w14:paraId="462A9F92" w14:textId="77777777" w:rsidR="007968EC" w:rsidRPr="002C0D19" w:rsidRDefault="007968EC" w:rsidP="007968EC">
      <w:pPr>
        <w:jc w:val="both"/>
        <w:rPr>
          <w:rFonts w:ascii="Arial Narrow" w:hAnsi="Arial Narrow" w:cs="Arial"/>
          <w:b/>
          <w:color w:val="000000" w:themeColor="text1"/>
          <w:lang w:val="es-ES_tradnl" w:eastAsia="es-CO"/>
        </w:rPr>
      </w:pPr>
    </w:p>
    <w:p w14:paraId="6C387555" w14:textId="77777777" w:rsidR="007968EC" w:rsidRPr="002C0D19" w:rsidRDefault="007968EC" w:rsidP="007968EC">
      <w:pPr>
        <w:jc w:val="both"/>
        <w:rPr>
          <w:rFonts w:ascii="Arial Narrow" w:hAnsi="Arial Narrow" w:cs="Arial"/>
          <w:color w:val="000000" w:themeColor="text1"/>
          <w:lang w:eastAsia="es-CO"/>
        </w:rPr>
      </w:pPr>
      <w:r w:rsidRPr="002C0D19">
        <w:rPr>
          <w:rFonts w:ascii="Arial Narrow" w:hAnsi="Arial Narrow" w:cs="Arial"/>
          <w:b/>
          <w:color w:val="000000" w:themeColor="text1"/>
          <w:lang w:eastAsia="es-CO"/>
        </w:rPr>
        <w:t>PARÁGRAFO. NOTIFICACIÓN A LA CRCC</w:t>
      </w:r>
      <w:r w:rsidRPr="002C0D19">
        <w:rPr>
          <w:rFonts w:ascii="Arial Narrow" w:hAnsi="Arial Narrow" w:cs="Arial"/>
          <w:b/>
          <w:color w:val="000000" w:themeColor="text1"/>
          <w:lang w:val="es-ES_tradnl" w:eastAsia="es-CO"/>
        </w:rPr>
        <w:t>.-</w:t>
      </w:r>
      <w:r w:rsidRPr="002C0D19">
        <w:rPr>
          <w:rFonts w:ascii="Arial Narrow" w:hAnsi="Arial Narrow" w:cs="Arial"/>
          <w:color w:val="000000" w:themeColor="text1"/>
          <w:lang w:val="es-ES_tradnl" w:eastAsia="es-CO"/>
        </w:rPr>
        <w:t xml:space="preserve"> </w:t>
      </w:r>
      <w:r w:rsidRPr="002C0D19">
        <w:rPr>
          <w:rFonts w:ascii="Arial Narrow" w:hAnsi="Arial Narrow" w:cs="Arial"/>
          <w:color w:val="000000" w:themeColor="text1"/>
          <w:lang w:eastAsia="es-CO"/>
        </w:rPr>
        <w:t xml:space="preserve">En caso de terminación del presente </w:t>
      </w:r>
      <w:r w:rsidRPr="002C0D19">
        <w:rPr>
          <w:rFonts w:ascii="Arial Narrow" w:hAnsi="Arial Narrow" w:cs="Arial"/>
          <w:b/>
          <w:color w:val="000000" w:themeColor="text1"/>
          <w:lang w:eastAsia="es-CO"/>
        </w:rPr>
        <w:t>CONVENIO</w:t>
      </w:r>
      <w:r w:rsidRPr="002C0D19">
        <w:rPr>
          <w:rFonts w:ascii="Arial Narrow" w:hAnsi="Arial Narrow" w:cs="Arial"/>
          <w:color w:val="000000" w:themeColor="text1"/>
          <w:lang w:eastAsia="es-CO"/>
        </w:rPr>
        <w:t xml:space="preserve">, </w:t>
      </w:r>
      <w:r w:rsidRPr="002C0D19">
        <w:rPr>
          <w:rFonts w:ascii="Arial Narrow" w:hAnsi="Arial Narrow" w:cs="Arial"/>
          <w:color w:val="000000" w:themeColor="text1"/>
          <w:lang w:val="es-ES_tradnl" w:eastAsia="es-CO"/>
        </w:rPr>
        <w:t xml:space="preserve">la </w:t>
      </w:r>
      <w:r w:rsidRPr="002C0D19">
        <w:rPr>
          <w:rFonts w:ascii="Arial Narrow" w:hAnsi="Arial Narrow" w:cs="Arial"/>
          <w:b/>
          <w:color w:val="000000" w:themeColor="text1"/>
          <w:lang w:val="es-ES_tradnl" w:eastAsia="es-CO"/>
        </w:rPr>
        <w:t xml:space="preserve">Parte </w:t>
      </w:r>
      <w:r w:rsidRPr="002C0D19">
        <w:rPr>
          <w:rFonts w:ascii="Arial Narrow" w:hAnsi="Arial Narrow" w:cs="Arial"/>
          <w:color w:val="000000" w:themeColor="text1"/>
          <w:lang w:val="es-ES_tradnl" w:eastAsia="es-CO"/>
        </w:rPr>
        <w:t xml:space="preserve">______ (Miembro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w:t>
      </w:r>
      <w:r w:rsidRPr="002C0D19">
        <w:rPr>
          <w:rFonts w:ascii="Arial Narrow" w:hAnsi="Arial Narrow" w:cs="Arial"/>
          <w:color w:val="000000" w:themeColor="text1"/>
          <w:lang w:eastAsia="es-CO"/>
        </w:rPr>
        <w:t xml:space="preserve">se obliga a notificar de ello en forma inmediata y por escrito a </w:t>
      </w:r>
      <w:r w:rsidRPr="002C0D19">
        <w:rPr>
          <w:rFonts w:ascii="Arial Narrow" w:hAnsi="Arial Narrow" w:cs="Arial"/>
          <w:b/>
          <w:color w:val="000000" w:themeColor="text1"/>
          <w:lang w:eastAsia="es-CO"/>
        </w:rPr>
        <w:t>LA CRCC.</w:t>
      </w:r>
      <w:r w:rsidRPr="002C0D19">
        <w:rPr>
          <w:rFonts w:ascii="Arial Narrow" w:hAnsi="Arial Narrow" w:cs="Arial"/>
          <w:color w:val="000000" w:themeColor="text1"/>
          <w:lang w:eastAsia="es-CO"/>
        </w:rPr>
        <w:t xml:space="preserve"> En todo caso </w:t>
      </w:r>
      <w:r w:rsidRPr="002C0D19">
        <w:rPr>
          <w:rFonts w:ascii="Arial Narrow" w:hAnsi="Arial Narrow" w:cs="Arial"/>
          <w:b/>
          <w:color w:val="000000" w:themeColor="text1"/>
          <w:lang w:eastAsia="es-CO"/>
        </w:rPr>
        <w:t>EL CONVENIO</w:t>
      </w:r>
      <w:r w:rsidRPr="002C0D19">
        <w:rPr>
          <w:rFonts w:ascii="Arial Narrow" w:hAnsi="Arial Narrow" w:cs="Arial"/>
          <w:color w:val="000000" w:themeColor="text1"/>
          <w:lang w:eastAsia="es-CO"/>
        </w:rPr>
        <w:t xml:space="preserve"> estará vigente hasta que dicha notificación se haya efectuado y </w:t>
      </w:r>
      <w:r w:rsidRPr="002C0D19">
        <w:rPr>
          <w:rFonts w:ascii="Arial Narrow" w:hAnsi="Arial Narrow" w:cs="Arial"/>
          <w:b/>
          <w:color w:val="000000" w:themeColor="text1"/>
          <w:lang w:eastAsia="es-CO"/>
        </w:rPr>
        <w:t>LA CRCC</w:t>
      </w:r>
      <w:r w:rsidRPr="002C0D19">
        <w:rPr>
          <w:rFonts w:ascii="Arial Narrow" w:hAnsi="Arial Narrow" w:cs="Arial"/>
          <w:color w:val="000000" w:themeColor="text1"/>
          <w:lang w:eastAsia="es-CO"/>
        </w:rPr>
        <w:t xml:space="preserve"> haya informado su recibo a </w:t>
      </w:r>
      <w:r w:rsidRPr="002C0D19">
        <w:rPr>
          <w:rFonts w:ascii="Arial Narrow" w:hAnsi="Arial Narrow" w:cs="Arial"/>
          <w:color w:val="000000" w:themeColor="text1"/>
          <w:lang w:val="es-ES_tradnl" w:eastAsia="es-CO"/>
        </w:rPr>
        <w:t xml:space="preserve">la </w:t>
      </w:r>
      <w:r w:rsidRPr="002C0D19">
        <w:rPr>
          <w:rFonts w:ascii="Arial Narrow" w:hAnsi="Arial Narrow" w:cs="Arial"/>
          <w:b/>
          <w:color w:val="000000" w:themeColor="text1"/>
          <w:lang w:val="es-ES_tradnl" w:eastAsia="es-CO"/>
        </w:rPr>
        <w:t>Parte</w:t>
      </w:r>
      <w:r w:rsidRPr="002C0D19">
        <w:rPr>
          <w:rFonts w:ascii="Arial Narrow" w:hAnsi="Arial Narrow" w:cs="Arial"/>
          <w:color w:val="000000" w:themeColor="text1"/>
          <w:lang w:val="es-ES_tradnl" w:eastAsia="es-CO"/>
        </w:rPr>
        <w:t xml:space="preserve"> ______ (Miembro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w:t>
      </w:r>
      <w:r w:rsidRPr="002C0D19">
        <w:rPr>
          <w:rFonts w:ascii="Arial Narrow" w:hAnsi="Arial Narrow" w:cs="Arial"/>
          <w:color w:val="000000" w:themeColor="text1"/>
          <w:lang w:eastAsia="es-CO"/>
        </w:rPr>
        <w:t>.</w:t>
      </w:r>
    </w:p>
    <w:p w14:paraId="4CFA4127" w14:textId="77777777" w:rsidR="007968EC" w:rsidRPr="002C0D19" w:rsidRDefault="007968EC" w:rsidP="007968EC">
      <w:pPr>
        <w:jc w:val="both"/>
        <w:rPr>
          <w:rFonts w:ascii="Arial Narrow" w:hAnsi="Arial Narrow" w:cs="Arial"/>
          <w:color w:val="000000" w:themeColor="text1"/>
          <w:lang w:val="es-ES_tradnl" w:eastAsia="es-ES"/>
        </w:rPr>
      </w:pPr>
    </w:p>
    <w:p w14:paraId="37A25800" w14:textId="77777777" w:rsidR="007968EC" w:rsidRPr="002C0D19" w:rsidRDefault="007968EC" w:rsidP="007968EC">
      <w:pPr>
        <w:jc w:val="both"/>
        <w:rPr>
          <w:rFonts w:ascii="Arial Narrow" w:hAnsi="Arial Narrow" w:cs="Arial"/>
          <w:color w:val="000000" w:themeColor="text1"/>
          <w:lang w:val="es-ES_tradnl" w:eastAsia="es-ES"/>
        </w:rPr>
      </w:pPr>
      <w:r w:rsidRPr="002C0D19">
        <w:rPr>
          <w:rFonts w:ascii="Arial Narrow" w:hAnsi="Arial Narrow" w:cs="Arial"/>
          <w:b/>
          <w:color w:val="000000" w:themeColor="text1"/>
          <w:lang w:val="es-ES_tradnl" w:eastAsia="es-ES"/>
        </w:rPr>
        <w:t xml:space="preserve">OCTAVA: CONVENIO A DISPOSICIÓN DE LA CRCC.- </w:t>
      </w:r>
      <w:r w:rsidRPr="002C0D19">
        <w:rPr>
          <w:rFonts w:ascii="Arial Narrow" w:hAnsi="Arial Narrow" w:cs="Arial"/>
          <w:color w:val="000000" w:themeColor="text1"/>
          <w:lang w:val="es-ES_tradnl" w:eastAsia="es-ES"/>
        </w:rPr>
        <w:t>La</w:t>
      </w:r>
      <w:r w:rsidRPr="002C0D19">
        <w:rPr>
          <w:rFonts w:ascii="Arial Narrow" w:hAnsi="Arial Narrow" w:cs="Arial"/>
          <w:b/>
          <w:color w:val="000000" w:themeColor="text1"/>
          <w:lang w:val="es-ES_tradnl" w:eastAsia="es-ES"/>
        </w:rPr>
        <w:t xml:space="preserve"> </w:t>
      </w:r>
      <w:r w:rsidRPr="002C0D19">
        <w:rPr>
          <w:rFonts w:ascii="Arial Narrow" w:hAnsi="Arial Narrow" w:cs="Arial"/>
          <w:color w:val="000000" w:themeColor="text1"/>
          <w:lang w:val="es-ES_tradnl" w:eastAsia="es-ES"/>
        </w:rPr>
        <w:t xml:space="preserve">Parte ______ (Miembro de </w:t>
      </w:r>
      <w:r w:rsidRPr="002C0D19">
        <w:rPr>
          <w:rFonts w:ascii="Arial Narrow" w:hAnsi="Arial Narrow" w:cs="Arial"/>
          <w:b/>
          <w:color w:val="000000" w:themeColor="text1"/>
          <w:lang w:val="es-ES_tradnl" w:eastAsia="es-ES"/>
        </w:rPr>
        <w:t>LA CRCC</w:t>
      </w:r>
      <w:r w:rsidRPr="002C0D19">
        <w:rPr>
          <w:rFonts w:ascii="Arial Narrow" w:hAnsi="Arial Narrow" w:cs="Arial"/>
          <w:color w:val="000000" w:themeColor="text1"/>
          <w:lang w:val="es-ES_tradnl" w:eastAsia="es-ES"/>
        </w:rPr>
        <w:t xml:space="preserve">) deberá mantener a disposición de </w:t>
      </w:r>
      <w:r w:rsidRPr="002C0D19">
        <w:rPr>
          <w:rFonts w:ascii="Arial Narrow" w:hAnsi="Arial Narrow" w:cs="Arial"/>
          <w:b/>
          <w:color w:val="000000" w:themeColor="text1"/>
          <w:lang w:val="es-ES_tradnl" w:eastAsia="es-ES"/>
        </w:rPr>
        <w:t>LA CRCC</w:t>
      </w:r>
      <w:r w:rsidRPr="002C0D19">
        <w:rPr>
          <w:rFonts w:ascii="Arial Narrow" w:hAnsi="Arial Narrow" w:cs="Arial"/>
          <w:color w:val="000000" w:themeColor="text1"/>
          <w:lang w:val="es-ES_tradnl" w:eastAsia="es-ES"/>
        </w:rPr>
        <w:t xml:space="preserve"> un original del presente </w:t>
      </w:r>
      <w:r w:rsidRPr="002C0D19">
        <w:rPr>
          <w:rFonts w:ascii="Arial Narrow" w:hAnsi="Arial Narrow" w:cs="Arial"/>
          <w:b/>
          <w:color w:val="000000" w:themeColor="text1"/>
          <w:lang w:val="es-ES_tradnl" w:eastAsia="es-ES"/>
        </w:rPr>
        <w:t>CONVENIO</w:t>
      </w:r>
      <w:r w:rsidRPr="002C0D19">
        <w:rPr>
          <w:rFonts w:ascii="Arial Narrow" w:hAnsi="Arial Narrow" w:cs="Arial"/>
          <w:color w:val="000000" w:themeColor="text1"/>
          <w:lang w:val="es-ES_tradnl" w:eastAsia="es-ES"/>
        </w:rPr>
        <w:t xml:space="preserve">, el cual podrá ser solicitado por </w:t>
      </w:r>
      <w:r w:rsidRPr="002C0D19">
        <w:rPr>
          <w:rFonts w:ascii="Arial Narrow" w:hAnsi="Arial Narrow" w:cs="Arial"/>
          <w:b/>
          <w:color w:val="000000" w:themeColor="text1"/>
          <w:lang w:val="es-ES_tradnl" w:eastAsia="es-ES"/>
        </w:rPr>
        <w:t>LA CRCC</w:t>
      </w:r>
      <w:r w:rsidRPr="002C0D19">
        <w:rPr>
          <w:rFonts w:ascii="Arial Narrow" w:hAnsi="Arial Narrow" w:cs="Arial"/>
          <w:color w:val="000000" w:themeColor="text1"/>
          <w:lang w:val="es-ES_tradnl" w:eastAsia="es-ES"/>
        </w:rPr>
        <w:t xml:space="preserve"> en cualquier momento.</w:t>
      </w:r>
    </w:p>
    <w:p w14:paraId="6A16C1E1" w14:textId="77777777" w:rsidR="007968EC" w:rsidRPr="002C0D19" w:rsidRDefault="007968EC" w:rsidP="007968EC">
      <w:pPr>
        <w:jc w:val="both"/>
        <w:rPr>
          <w:rFonts w:ascii="Arial Narrow" w:hAnsi="Arial Narrow" w:cs="Arial"/>
          <w:bCs/>
          <w:color w:val="000000" w:themeColor="text1"/>
          <w:lang w:val="es-ES" w:eastAsia="es-ES"/>
        </w:rPr>
      </w:pPr>
    </w:p>
    <w:p w14:paraId="0618B254" w14:textId="77777777" w:rsidR="007968EC" w:rsidRPr="002C0D19" w:rsidRDefault="007968EC" w:rsidP="007968EC">
      <w:pPr>
        <w:jc w:val="both"/>
        <w:rPr>
          <w:rFonts w:ascii="Arial Narrow" w:hAnsi="Arial Narrow" w:cs="Arial"/>
          <w:bCs/>
          <w:color w:val="000000" w:themeColor="text1"/>
          <w:lang w:val="es-ES" w:eastAsia="es-ES"/>
        </w:rPr>
      </w:pPr>
      <w:r w:rsidRPr="002C0D19">
        <w:rPr>
          <w:rFonts w:ascii="Arial Narrow" w:hAnsi="Arial Narrow" w:cs="Arial"/>
          <w:b/>
          <w:bCs/>
          <w:color w:val="000000" w:themeColor="text1"/>
          <w:lang w:val="es-ES" w:eastAsia="es-ES"/>
        </w:rPr>
        <w:t xml:space="preserve">NOVENA: LEY APLICABLE.- </w:t>
      </w:r>
      <w:r w:rsidRPr="002C0D19">
        <w:rPr>
          <w:rFonts w:ascii="Arial Narrow" w:hAnsi="Arial Narrow" w:cs="Arial"/>
          <w:bCs/>
          <w:color w:val="000000" w:themeColor="text1"/>
          <w:lang w:val="es-ES" w:eastAsia="es-ES"/>
        </w:rPr>
        <w:t>El presente</w:t>
      </w:r>
      <w:r w:rsidRPr="002C0D19">
        <w:rPr>
          <w:rFonts w:ascii="Arial Narrow" w:hAnsi="Arial Narrow" w:cs="Arial"/>
          <w:b/>
          <w:bCs/>
          <w:color w:val="000000" w:themeColor="text1"/>
          <w:lang w:val="es-ES" w:eastAsia="es-ES"/>
        </w:rPr>
        <w:t xml:space="preserve"> CONVENIO </w:t>
      </w:r>
      <w:r w:rsidRPr="002C0D19">
        <w:rPr>
          <w:rFonts w:ascii="Arial Narrow" w:hAnsi="Arial Narrow" w:cs="Arial"/>
          <w:bCs/>
          <w:color w:val="000000" w:themeColor="text1"/>
          <w:lang w:val="es-ES" w:eastAsia="es-ES"/>
        </w:rPr>
        <w:t>se regirá por las leyes de la República de Colombia.</w:t>
      </w:r>
    </w:p>
    <w:p w14:paraId="7C7DEEF8" w14:textId="77777777" w:rsidR="007968EC" w:rsidRPr="002C0D19" w:rsidRDefault="007968EC" w:rsidP="007968EC">
      <w:pPr>
        <w:jc w:val="both"/>
        <w:rPr>
          <w:rFonts w:ascii="Arial Narrow" w:hAnsi="Arial Narrow" w:cs="Arial"/>
          <w:bCs/>
          <w:color w:val="000000" w:themeColor="text1"/>
          <w:lang w:val="es-ES" w:eastAsia="es-ES"/>
        </w:rPr>
      </w:pPr>
    </w:p>
    <w:p w14:paraId="0645919D" w14:textId="77777777" w:rsidR="007968EC" w:rsidRPr="002C0D19" w:rsidRDefault="007968EC" w:rsidP="007968EC">
      <w:pPr>
        <w:jc w:val="both"/>
        <w:rPr>
          <w:rFonts w:ascii="Arial Narrow" w:hAnsi="Arial Narrow" w:cs="Arial"/>
          <w:bCs/>
          <w:color w:val="000000" w:themeColor="text1"/>
          <w:lang w:val="es-ES_tradnl" w:eastAsia="es-ES"/>
        </w:rPr>
      </w:pPr>
      <w:r w:rsidRPr="002C0D19">
        <w:rPr>
          <w:rFonts w:ascii="Arial Narrow" w:hAnsi="Arial Narrow" w:cs="Arial"/>
          <w:bCs/>
          <w:color w:val="000000" w:themeColor="text1"/>
          <w:lang w:val="es-ES_tradnl" w:eastAsia="es-ES"/>
        </w:rPr>
        <w:t xml:space="preserve">Como constancia de lo anterior, se firma en _____________, a los ________ (____) días del mes de __________ </w:t>
      </w:r>
      <w:proofErr w:type="spellStart"/>
      <w:r w:rsidRPr="002C0D19">
        <w:rPr>
          <w:rFonts w:ascii="Arial Narrow" w:hAnsi="Arial Narrow" w:cs="Arial"/>
          <w:bCs/>
          <w:color w:val="000000" w:themeColor="text1"/>
          <w:lang w:val="es-ES_tradnl" w:eastAsia="es-ES"/>
        </w:rPr>
        <w:t>de</w:t>
      </w:r>
      <w:proofErr w:type="spellEnd"/>
      <w:r w:rsidRPr="002C0D19">
        <w:rPr>
          <w:rFonts w:ascii="Arial Narrow" w:hAnsi="Arial Narrow" w:cs="Arial"/>
          <w:bCs/>
          <w:color w:val="000000" w:themeColor="text1"/>
          <w:lang w:val="es-ES_tradnl" w:eastAsia="es-ES"/>
        </w:rPr>
        <w:t xml:space="preserve"> ________, en tres (3) copias del mismo tenor. </w:t>
      </w:r>
    </w:p>
    <w:p w14:paraId="35EFEEB4" w14:textId="77777777" w:rsidR="007968EC" w:rsidRPr="002C0D19" w:rsidRDefault="007968EC" w:rsidP="007968EC">
      <w:pPr>
        <w:jc w:val="both"/>
        <w:rPr>
          <w:rFonts w:ascii="Arial Narrow" w:hAnsi="Arial Narrow" w:cs="Arial"/>
          <w:bCs/>
          <w:color w:val="000000" w:themeColor="text1"/>
          <w:lang w:val="es-ES_tradnl" w:eastAsia="es-ES"/>
        </w:rPr>
      </w:pPr>
    </w:p>
    <w:p w14:paraId="50A551D9" w14:textId="77777777" w:rsidR="007968EC" w:rsidRPr="002C0D19" w:rsidRDefault="007968EC" w:rsidP="007968EC">
      <w:pPr>
        <w:jc w:val="both"/>
        <w:rPr>
          <w:rFonts w:ascii="Arial Narrow" w:hAnsi="Arial Narrow" w:cs="Arial"/>
          <w:b/>
          <w:bCs/>
          <w:color w:val="000000" w:themeColor="text1"/>
          <w:lang w:eastAsia="es-ES"/>
        </w:rPr>
      </w:pPr>
      <w:r w:rsidRPr="002C0D19">
        <w:rPr>
          <w:rFonts w:ascii="Arial Narrow" w:hAnsi="Arial Narrow" w:cs="Arial"/>
          <w:b/>
          <w:bCs/>
          <w:color w:val="000000" w:themeColor="text1"/>
          <w:lang w:val="es-ES_tradnl" w:eastAsia="es-ES"/>
        </w:rPr>
        <w:t>Parte A:</w:t>
      </w:r>
    </w:p>
    <w:p w14:paraId="7141BF3B" w14:textId="77777777" w:rsidR="007968EC" w:rsidRPr="002C0D19" w:rsidRDefault="007968EC" w:rsidP="007968EC">
      <w:pPr>
        <w:jc w:val="both"/>
        <w:rPr>
          <w:rFonts w:ascii="Arial Narrow" w:hAnsi="Arial Narrow" w:cs="Arial"/>
          <w:bCs/>
          <w:color w:val="000000" w:themeColor="text1"/>
          <w:lang w:val="es-ES_tradnl" w:eastAsia="es-ES"/>
        </w:rPr>
      </w:pPr>
      <w:r w:rsidRPr="002C0D19">
        <w:rPr>
          <w:rFonts w:ascii="Arial Narrow" w:hAnsi="Arial Narrow" w:cs="Arial"/>
          <w:bCs/>
          <w:color w:val="000000" w:themeColor="text1"/>
          <w:lang w:val="es-ES_tradnl" w:eastAsia="es-ES"/>
        </w:rPr>
        <w:t>Por:</w:t>
      </w:r>
      <w:r w:rsidRPr="002C0D19">
        <w:rPr>
          <w:rFonts w:ascii="Arial Narrow" w:hAnsi="Arial Narrow" w:cs="Arial"/>
          <w:bCs/>
          <w:color w:val="000000" w:themeColor="text1"/>
          <w:lang w:val="es-ES_tradnl" w:eastAsia="es-ES"/>
        </w:rPr>
        <w:tab/>
      </w:r>
      <w:r w:rsidRPr="002C0D19">
        <w:rPr>
          <w:rFonts w:ascii="Arial Narrow" w:hAnsi="Arial Narrow" w:cs="Arial"/>
          <w:bCs/>
          <w:color w:val="000000" w:themeColor="text1"/>
          <w:lang w:val="es-ES_tradnl" w:eastAsia="es-ES"/>
        </w:rPr>
        <w:tab/>
      </w:r>
      <w:r w:rsidRPr="002C0D19">
        <w:rPr>
          <w:rFonts w:ascii="Arial Narrow" w:hAnsi="Arial Narrow" w:cs="Arial"/>
          <w:bCs/>
          <w:color w:val="000000" w:themeColor="text1"/>
          <w:lang w:val="es-ES_tradnl" w:eastAsia="es-ES"/>
        </w:rPr>
        <w:tab/>
        <w:t>_____________________________</w:t>
      </w:r>
    </w:p>
    <w:p w14:paraId="02522CA1" w14:textId="77777777" w:rsidR="007968EC" w:rsidRPr="002C0D19" w:rsidRDefault="007968EC" w:rsidP="007968EC">
      <w:pPr>
        <w:jc w:val="both"/>
        <w:rPr>
          <w:rFonts w:ascii="Arial Narrow" w:hAnsi="Arial Narrow" w:cs="Arial"/>
          <w:bCs/>
          <w:color w:val="000000" w:themeColor="text1"/>
          <w:lang w:val="es-ES_tradnl" w:eastAsia="es-ES"/>
        </w:rPr>
      </w:pPr>
    </w:p>
    <w:p w14:paraId="2586C913" w14:textId="77777777" w:rsidR="007968EC" w:rsidRPr="002C0D19" w:rsidRDefault="007968EC" w:rsidP="007968EC">
      <w:pPr>
        <w:jc w:val="both"/>
        <w:rPr>
          <w:rFonts w:ascii="Arial Narrow" w:hAnsi="Arial Narrow" w:cs="Arial"/>
          <w:bCs/>
          <w:color w:val="000000" w:themeColor="text1"/>
          <w:lang w:val="es-ES_tradnl" w:eastAsia="es-ES"/>
        </w:rPr>
      </w:pPr>
      <w:r w:rsidRPr="002C0D19">
        <w:rPr>
          <w:rFonts w:ascii="Arial Narrow" w:hAnsi="Arial Narrow" w:cs="Arial"/>
          <w:bCs/>
          <w:color w:val="000000" w:themeColor="text1"/>
          <w:lang w:val="es-ES_tradnl" w:eastAsia="es-ES"/>
        </w:rPr>
        <w:t>Nombre:</w:t>
      </w:r>
      <w:r w:rsidRPr="002C0D19">
        <w:rPr>
          <w:rFonts w:ascii="Arial Narrow" w:hAnsi="Arial Narrow" w:cs="Arial"/>
          <w:bCs/>
          <w:color w:val="000000" w:themeColor="text1"/>
          <w:lang w:val="es-ES_tradnl" w:eastAsia="es-ES"/>
        </w:rPr>
        <w:tab/>
      </w:r>
      <w:r w:rsidRPr="002C0D19">
        <w:rPr>
          <w:rFonts w:ascii="Arial Narrow" w:hAnsi="Arial Narrow" w:cs="Arial"/>
          <w:bCs/>
          <w:color w:val="000000" w:themeColor="text1"/>
          <w:lang w:val="es-ES_tradnl" w:eastAsia="es-ES"/>
        </w:rPr>
        <w:tab/>
      </w:r>
    </w:p>
    <w:p w14:paraId="3EDC944E" w14:textId="77777777" w:rsidR="007968EC" w:rsidRPr="002C0D19" w:rsidRDefault="007968EC" w:rsidP="007968EC">
      <w:pPr>
        <w:jc w:val="both"/>
        <w:rPr>
          <w:rFonts w:ascii="Arial Narrow" w:hAnsi="Arial Narrow" w:cs="Arial"/>
          <w:bCs/>
          <w:color w:val="000000" w:themeColor="text1"/>
          <w:lang w:val="es-ES_tradnl" w:eastAsia="es-ES"/>
        </w:rPr>
      </w:pPr>
      <w:r w:rsidRPr="002C0D19">
        <w:rPr>
          <w:rFonts w:ascii="Arial Narrow" w:hAnsi="Arial Narrow" w:cs="Arial"/>
          <w:bCs/>
          <w:color w:val="000000" w:themeColor="text1"/>
          <w:lang w:val="es-ES_tradnl" w:eastAsia="es-ES"/>
        </w:rPr>
        <w:t>Cédula No:</w:t>
      </w:r>
      <w:r w:rsidRPr="002C0D19">
        <w:rPr>
          <w:rFonts w:ascii="Arial Narrow" w:hAnsi="Arial Narrow" w:cs="Arial"/>
          <w:bCs/>
          <w:color w:val="000000" w:themeColor="text1"/>
          <w:lang w:val="es-ES_tradnl" w:eastAsia="es-ES"/>
        </w:rPr>
        <w:tab/>
      </w:r>
      <w:r w:rsidRPr="002C0D19">
        <w:rPr>
          <w:rFonts w:ascii="Arial Narrow" w:hAnsi="Arial Narrow" w:cs="Arial"/>
          <w:bCs/>
          <w:color w:val="000000" w:themeColor="text1"/>
          <w:lang w:val="es-ES_tradnl" w:eastAsia="es-ES"/>
        </w:rPr>
        <w:tab/>
      </w:r>
    </w:p>
    <w:p w14:paraId="2F3239DF" w14:textId="77777777" w:rsidR="007968EC" w:rsidRPr="002C0D19" w:rsidRDefault="007968EC" w:rsidP="007968EC">
      <w:pPr>
        <w:jc w:val="both"/>
        <w:rPr>
          <w:rFonts w:ascii="Arial Narrow" w:hAnsi="Arial Narrow" w:cs="Arial"/>
          <w:bCs/>
          <w:color w:val="000000" w:themeColor="text1"/>
          <w:lang w:val="es-ES_tradnl" w:eastAsia="es-ES"/>
        </w:rPr>
      </w:pPr>
      <w:r w:rsidRPr="002C0D19">
        <w:rPr>
          <w:rFonts w:ascii="Arial Narrow" w:hAnsi="Arial Narrow" w:cs="Arial"/>
          <w:bCs/>
          <w:color w:val="000000" w:themeColor="text1"/>
          <w:lang w:val="es-ES_tradnl" w:eastAsia="es-ES"/>
        </w:rPr>
        <w:t>Cargo:</w:t>
      </w:r>
      <w:r w:rsidRPr="002C0D19">
        <w:rPr>
          <w:rFonts w:ascii="Arial Narrow" w:hAnsi="Arial Narrow" w:cs="Arial"/>
          <w:bCs/>
          <w:color w:val="000000" w:themeColor="text1"/>
          <w:lang w:val="es-ES_tradnl" w:eastAsia="es-ES"/>
        </w:rPr>
        <w:tab/>
      </w:r>
      <w:r w:rsidRPr="002C0D19">
        <w:rPr>
          <w:rFonts w:ascii="Arial Narrow" w:hAnsi="Arial Narrow" w:cs="Arial"/>
          <w:bCs/>
          <w:color w:val="000000" w:themeColor="text1"/>
          <w:lang w:val="es-ES_tradnl" w:eastAsia="es-ES"/>
        </w:rPr>
        <w:tab/>
      </w:r>
      <w:r w:rsidRPr="002C0D19">
        <w:rPr>
          <w:rFonts w:ascii="Arial Narrow" w:hAnsi="Arial Narrow" w:cs="Arial"/>
          <w:bCs/>
          <w:color w:val="000000" w:themeColor="text1"/>
          <w:lang w:val="es-ES_tradnl" w:eastAsia="es-ES"/>
        </w:rPr>
        <w:tab/>
        <w:t>Representante Legal</w:t>
      </w:r>
    </w:p>
    <w:p w14:paraId="34E2E911" w14:textId="77777777" w:rsidR="007968EC" w:rsidRPr="002C0D19" w:rsidRDefault="007968EC" w:rsidP="007968EC">
      <w:pPr>
        <w:jc w:val="both"/>
        <w:rPr>
          <w:rFonts w:ascii="Arial Narrow" w:hAnsi="Arial Narrow" w:cs="Arial"/>
          <w:bCs/>
          <w:color w:val="000000" w:themeColor="text1"/>
          <w:lang w:val="es-ES_tradnl" w:eastAsia="es-ES"/>
        </w:rPr>
      </w:pPr>
    </w:p>
    <w:p w14:paraId="00140ED7" w14:textId="77777777" w:rsidR="007968EC" w:rsidRPr="002C0D19" w:rsidRDefault="007968EC" w:rsidP="007968EC">
      <w:pPr>
        <w:jc w:val="both"/>
        <w:rPr>
          <w:rFonts w:ascii="Arial Narrow" w:hAnsi="Arial Narrow" w:cs="Arial"/>
          <w:b/>
          <w:bCs/>
          <w:color w:val="000000" w:themeColor="text1"/>
          <w:lang w:val="es-ES_tradnl" w:eastAsia="es-ES"/>
        </w:rPr>
      </w:pPr>
      <w:r w:rsidRPr="002C0D19">
        <w:rPr>
          <w:rFonts w:ascii="Arial Narrow" w:hAnsi="Arial Narrow" w:cs="Arial"/>
          <w:b/>
          <w:color w:val="000000" w:themeColor="text1"/>
          <w:lang w:val="es-ES_tradnl" w:eastAsia="es-ES"/>
        </w:rPr>
        <w:t>Parte B:</w:t>
      </w:r>
    </w:p>
    <w:p w14:paraId="1C8A0388" w14:textId="77777777" w:rsidR="007968EC" w:rsidRPr="002C0D19" w:rsidRDefault="007968EC" w:rsidP="007968EC">
      <w:pPr>
        <w:jc w:val="both"/>
        <w:rPr>
          <w:rFonts w:ascii="Arial Narrow" w:hAnsi="Arial Narrow" w:cs="Arial"/>
          <w:bCs/>
          <w:color w:val="000000" w:themeColor="text1"/>
          <w:lang w:val="es-ES_tradnl" w:eastAsia="es-ES"/>
        </w:rPr>
      </w:pPr>
      <w:r w:rsidRPr="002C0D19">
        <w:rPr>
          <w:rFonts w:ascii="Arial Narrow" w:hAnsi="Arial Narrow" w:cs="Arial"/>
          <w:bCs/>
          <w:color w:val="000000" w:themeColor="text1"/>
          <w:lang w:val="es-ES_tradnl" w:eastAsia="es-ES"/>
        </w:rPr>
        <w:t>Por:</w:t>
      </w:r>
      <w:r w:rsidRPr="002C0D19">
        <w:rPr>
          <w:rFonts w:ascii="Arial Narrow" w:hAnsi="Arial Narrow" w:cs="Arial"/>
          <w:bCs/>
          <w:color w:val="000000" w:themeColor="text1"/>
          <w:lang w:val="es-ES_tradnl" w:eastAsia="es-ES"/>
        </w:rPr>
        <w:tab/>
      </w:r>
      <w:r w:rsidRPr="002C0D19">
        <w:rPr>
          <w:rFonts w:ascii="Arial Narrow" w:hAnsi="Arial Narrow" w:cs="Arial"/>
          <w:bCs/>
          <w:color w:val="000000" w:themeColor="text1"/>
          <w:lang w:val="es-ES_tradnl" w:eastAsia="es-ES"/>
        </w:rPr>
        <w:tab/>
      </w:r>
      <w:r w:rsidRPr="002C0D19">
        <w:rPr>
          <w:rFonts w:ascii="Arial Narrow" w:hAnsi="Arial Narrow" w:cs="Arial"/>
          <w:bCs/>
          <w:color w:val="000000" w:themeColor="text1"/>
          <w:lang w:val="es-ES_tradnl" w:eastAsia="es-ES"/>
        </w:rPr>
        <w:tab/>
        <w:t>_____________________________</w:t>
      </w:r>
    </w:p>
    <w:p w14:paraId="75B63F70" w14:textId="77777777" w:rsidR="007968EC" w:rsidRPr="002C0D19" w:rsidRDefault="007968EC" w:rsidP="007968EC">
      <w:pPr>
        <w:jc w:val="both"/>
        <w:rPr>
          <w:rFonts w:ascii="Arial Narrow" w:hAnsi="Arial Narrow" w:cs="Arial"/>
          <w:bCs/>
          <w:color w:val="000000" w:themeColor="text1"/>
          <w:lang w:val="es-ES_tradnl" w:eastAsia="es-ES"/>
        </w:rPr>
      </w:pPr>
      <w:r w:rsidRPr="002C0D19">
        <w:rPr>
          <w:rFonts w:ascii="Arial Narrow" w:hAnsi="Arial Narrow" w:cs="Arial"/>
          <w:bCs/>
          <w:color w:val="000000" w:themeColor="text1"/>
          <w:lang w:val="es-ES_tradnl" w:eastAsia="es-ES"/>
        </w:rPr>
        <w:t>Nombre:</w:t>
      </w:r>
      <w:r w:rsidRPr="002C0D19">
        <w:rPr>
          <w:rFonts w:ascii="Arial Narrow" w:hAnsi="Arial Narrow" w:cs="Arial"/>
          <w:bCs/>
          <w:color w:val="000000" w:themeColor="text1"/>
          <w:lang w:val="es-ES_tradnl" w:eastAsia="es-ES"/>
        </w:rPr>
        <w:tab/>
      </w:r>
      <w:r w:rsidRPr="002C0D19">
        <w:rPr>
          <w:rFonts w:ascii="Arial Narrow" w:hAnsi="Arial Narrow" w:cs="Arial"/>
          <w:bCs/>
          <w:color w:val="000000" w:themeColor="text1"/>
          <w:lang w:val="es-ES_tradnl" w:eastAsia="es-ES"/>
        </w:rPr>
        <w:tab/>
        <w:t xml:space="preserve"> </w:t>
      </w:r>
    </w:p>
    <w:p w14:paraId="6BAC9AA7" w14:textId="77777777" w:rsidR="007968EC" w:rsidRPr="002C0D19" w:rsidRDefault="007968EC" w:rsidP="007968EC">
      <w:pPr>
        <w:jc w:val="both"/>
        <w:rPr>
          <w:rFonts w:ascii="Arial Narrow" w:hAnsi="Arial Narrow" w:cs="Arial"/>
          <w:bCs/>
          <w:color w:val="000000" w:themeColor="text1"/>
          <w:lang w:val="es-ES_tradnl" w:eastAsia="es-ES"/>
        </w:rPr>
      </w:pPr>
      <w:r w:rsidRPr="002C0D19">
        <w:rPr>
          <w:rFonts w:ascii="Arial Narrow" w:hAnsi="Arial Narrow" w:cs="Arial"/>
          <w:bCs/>
          <w:color w:val="000000" w:themeColor="text1"/>
          <w:lang w:val="es-ES_tradnl" w:eastAsia="es-ES"/>
        </w:rPr>
        <w:t>Cédula No:</w:t>
      </w:r>
      <w:r w:rsidRPr="002C0D19">
        <w:rPr>
          <w:rFonts w:ascii="Arial Narrow" w:hAnsi="Arial Narrow" w:cs="Arial"/>
          <w:bCs/>
          <w:color w:val="000000" w:themeColor="text1"/>
          <w:lang w:val="es-ES_tradnl" w:eastAsia="es-ES"/>
        </w:rPr>
        <w:tab/>
      </w:r>
      <w:r w:rsidRPr="002C0D19">
        <w:rPr>
          <w:rFonts w:ascii="Arial Narrow" w:hAnsi="Arial Narrow" w:cs="Arial"/>
          <w:bCs/>
          <w:color w:val="000000" w:themeColor="text1"/>
          <w:lang w:val="es-ES_tradnl" w:eastAsia="es-ES"/>
        </w:rPr>
        <w:tab/>
      </w:r>
    </w:p>
    <w:p w14:paraId="57B5F952" w14:textId="77777777" w:rsidR="007968EC" w:rsidRDefault="007968EC" w:rsidP="007968EC">
      <w:pPr>
        <w:ind w:left="708" w:hanging="708"/>
        <w:outlineLvl w:val="0"/>
        <w:rPr>
          <w:rFonts w:ascii="Arial Narrow" w:hAnsi="Arial Narrow" w:cs="Arial"/>
          <w:bCs/>
          <w:color w:val="000000" w:themeColor="text1"/>
          <w:lang w:val="es-ES_tradnl" w:eastAsia="es-ES"/>
        </w:rPr>
      </w:pPr>
      <w:bookmarkStart w:id="6615" w:name="_Toc300320725"/>
      <w:bookmarkStart w:id="6616" w:name="_Toc305407139"/>
      <w:bookmarkStart w:id="6617" w:name="_Toc308192400"/>
      <w:bookmarkStart w:id="6618" w:name="_Toc323545318"/>
      <w:bookmarkStart w:id="6619" w:name="_Toc323560967"/>
      <w:bookmarkStart w:id="6620" w:name="_Toc329081934"/>
      <w:bookmarkStart w:id="6621" w:name="_Toc351368967"/>
      <w:bookmarkStart w:id="6622" w:name="_Toc352849757"/>
      <w:bookmarkStart w:id="6623" w:name="_Toc355598245"/>
      <w:bookmarkStart w:id="6624" w:name="_Toc356299209"/>
      <w:bookmarkStart w:id="6625" w:name="_Toc358360028"/>
      <w:bookmarkStart w:id="6626" w:name="_Toc363457578"/>
      <w:bookmarkStart w:id="6627" w:name="_Toc392489651"/>
      <w:bookmarkStart w:id="6628" w:name="_Toc404097305"/>
      <w:bookmarkStart w:id="6629" w:name="_Toc427233303"/>
      <w:bookmarkStart w:id="6630" w:name="_Toc470781244"/>
      <w:bookmarkStart w:id="6631" w:name="_Toc470784828"/>
      <w:bookmarkStart w:id="6632" w:name="_Toc470785366"/>
      <w:bookmarkStart w:id="6633" w:name="_Toc470791760"/>
      <w:bookmarkStart w:id="6634" w:name="_Toc471831972"/>
      <w:bookmarkStart w:id="6635" w:name="_Toc490066778"/>
      <w:bookmarkStart w:id="6636" w:name="_Toc490069292"/>
      <w:bookmarkStart w:id="6637" w:name="_Toc490070669"/>
      <w:bookmarkStart w:id="6638" w:name="_Toc490077195"/>
      <w:bookmarkStart w:id="6639" w:name="_Toc490079579"/>
      <w:r w:rsidRPr="002C0D19">
        <w:rPr>
          <w:rFonts w:ascii="Arial Narrow" w:hAnsi="Arial Narrow" w:cs="Arial"/>
          <w:bCs/>
          <w:color w:val="000000" w:themeColor="text1"/>
          <w:lang w:val="es-ES_tradnl" w:eastAsia="es-ES"/>
        </w:rPr>
        <w:lastRenderedPageBreak/>
        <w:t>Cargo:</w:t>
      </w:r>
      <w:r w:rsidRPr="002C0D19">
        <w:rPr>
          <w:rFonts w:ascii="Arial Narrow" w:hAnsi="Arial Narrow" w:cs="Arial"/>
          <w:bCs/>
          <w:color w:val="000000" w:themeColor="text1"/>
          <w:lang w:val="es-ES_tradnl" w:eastAsia="es-ES"/>
        </w:rPr>
        <w:tab/>
      </w:r>
      <w:r w:rsidRPr="002C0D19">
        <w:rPr>
          <w:rFonts w:ascii="Arial Narrow" w:hAnsi="Arial Narrow" w:cs="Arial"/>
          <w:bCs/>
          <w:color w:val="000000" w:themeColor="text1"/>
          <w:lang w:val="es-ES_tradnl" w:eastAsia="es-ES"/>
        </w:rPr>
        <w:tab/>
      </w:r>
      <w:r w:rsidRPr="002C0D19">
        <w:rPr>
          <w:rFonts w:ascii="Arial Narrow" w:hAnsi="Arial Narrow" w:cs="Arial"/>
          <w:bCs/>
          <w:color w:val="000000" w:themeColor="text1"/>
          <w:lang w:val="es-ES_tradnl" w:eastAsia="es-ES"/>
        </w:rPr>
        <w:tab/>
        <w:t>Representante Lega</w:t>
      </w:r>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r>
        <w:rPr>
          <w:rFonts w:ascii="Arial Narrow" w:hAnsi="Arial Narrow" w:cs="Arial"/>
          <w:bCs/>
          <w:color w:val="000000" w:themeColor="text1"/>
          <w:lang w:val="es-ES_tradnl" w:eastAsia="es-ES"/>
        </w:rPr>
        <w:t>l</w:t>
      </w:r>
    </w:p>
    <w:p w14:paraId="7B2A93FB" w14:textId="77777777" w:rsidR="007968EC" w:rsidRDefault="007968EC" w:rsidP="007968EC">
      <w:pPr>
        <w:ind w:left="708" w:hanging="708"/>
        <w:outlineLvl w:val="0"/>
        <w:rPr>
          <w:rFonts w:ascii="Arial Narrow" w:hAnsi="Arial Narrow" w:cs="Arial"/>
          <w:bCs/>
          <w:color w:val="000000" w:themeColor="text1"/>
          <w:lang w:val="es-ES_tradnl" w:eastAsia="es-ES"/>
        </w:rPr>
      </w:pPr>
    </w:p>
    <w:p w14:paraId="2B7BF22E" w14:textId="77777777" w:rsidR="007968EC" w:rsidRDefault="007968EC" w:rsidP="007968EC">
      <w:pPr>
        <w:ind w:left="708" w:hanging="708"/>
        <w:outlineLvl w:val="0"/>
        <w:rPr>
          <w:rFonts w:ascii="Arial Narrow" w:hAnsi="Arial Narrow" w:cs="Arial"/>
          <w:bCs/>
          <w:color w:val="000000" w:themeColor="text1"/>
          <w:lang w:val="es-ES_tradnl" w:eastAsia="es-ES"/>
        </w:rPr>
      </w:pPr>
    </w:p>
    <w:p w14:paraId="4D069B10" w14:textId="77777777" w:rsidR="007968EC" w:rsidRPr="002C0D19" w:rsidRDefault="007968EC" w:rsidP="007968EC">
      <w:pPr>
        <w:ind w:left="708" w:hanging="708"/>
        <w:outlineLvl w:val="0"/>
        <w:rPr>
          <w:rFonts w:ascii="Arial Narrow" w:hAnsi="Arial Narrow" w:cs="Arial"/>
          <w:bCs/>
          <w:color w:val="000000" w:themeColor="text1"/>
          <w:lang w:val="es-ES_tradnl" w:eastAsia="es-ES"/>
        </w:rPr>
        <w:sectPr w:rsidR="007968EC" w:rsidRPr="002C0D19" w:rsidSect="007968EC">
          <w:pgSz w:w="12242" w:h="15842" w:code="1"/>
          <w:pgMar w:top="1985" w:right="1418" w:bottom="1985" w:left="1418" w:header="851" w:footer="1021" w:gutter="0"/>
          <w:cols w:space="708"/>
          <w:titlePg/>
          <w:docGrid w:linePitch="360"/>
        </w:sectPr>
      </w:pPr>
    </w:p>
    <w:p w14:paraId="1177922D" w14:textId="77777777" w:rsidR="007968EC" w:rsidRPr="002C0D19" w:rsidRDefault="007968EC" w:rsidP="007968EC">
      <w:pPr>
        <w:outlineLvl w:val="0"/>
        <w:rPr>
          <w:rFonts w:ascii="Arial Narrow" w:hAnsi="Arial Narrow" w:cs="Arial"/>
          <w:bCs/>
          <w:color w:val="000000" w:themeColor="text1"/>
          <w:lang w:val="es-ES_tradnl" w:eastAsia="es-ES"/>
        </w:rPr>
      </w:pPr>
    </w:p>
    <w:p w14:paraId="332F8843" w14:textId="77777777" w:rsidR="007968EC" w:rsidRPr="002C0D19" w:rsidRDefault="007968EC" w:rsidP="007968EC">
      <w:pPr>
        <w:pStyle w:val="TTULO"/>
        <w:rPr>
          <w:lang w:val="es-ES"/>
        </w:rPr>
      </w:pPr>
      <w:bookmarkStart w:id="6640" w:name="_Toc31716624"/>
      <w:r w:rsidRPr="002C0D19">
        <w:rPr>
          <w:lang w:val="es-ES"/>
        </w:rPr>
        <w:t>ANEXO 29A</w:t>
      </w:r>
      <w:bookmarkEnd w:id="6640"/>
    </w:p>
    <w:p w14:paraId="418B49DB" w14:textId="77777777" w:rsidR="007968EC" w:rsidRPr="002C0D19" w:rsidRDefault="007968EC" w:rsidP="007968EC">
      <w:pPr>
        <w:pStyle w:val="TTULO"/>
        <w:rPr>
          <w:lang w:val="es-ES"/>
        </w:rPr>
      </w:pPr>
    </w:p>
    <w:p w14:paraId="179D3665" w14:textId="77777777" w:rsidR="007968EC" w:rsidRPr="00991BD9" w:rsidRDefault="007968EC" w:rsidP="007968EC">
      <w:pPr>
        <w:jc w:val="center"/>
        <w:rPr>
          <w:rFonts w:ascii="Arial Narrow" w:hAnsi="Arial Narrow" w:cs="Arial"/>
          <w:b/>
          <w:color w:val="000000" w:themeColor="text1"/>
          <w:lang w:val="es-ES" w:eastAsia="es-ES"/>
        </w:rPr>
      </w:pPr>
      <w:r w:rsidRPr="00991BD9">
        <w:rPr>
          <w:rFonts w:ascii="Arial Narrow" w:hAnsi="Arial Narrow" w:cs="Arial"/>
          <w:b/>
          <w:color w:val="000000" w:themeColor="text1"/>
          <w:lang w:val="es-ES" w:eastAsia="es-ES"/>
        </w:rPr>
        <w:t>CONTENIDO MÍNIMO DEL ACUERDO PARA COMPENSAR Y LIQUIDAR A TRAVÉS DE LA CÁMARA DE RIESGO CENTRAL DE CONTRAPARTE DE COLOMBIA S.A. OPERACIONES SOBRE INSTRUMENTOS FINANCIEROS DERIVADOS NO ESTANDARIZADOS CELEBRADAS POR LOS MIEMBROS CON SUS TERCEROS COMO CONTRAPARTES EN SU CALIDAD DE AGENTES DEL EXTERIOR.</w:t>
      </w:r>
    </w:p>
    <w:p w14:paraId="053C8062" w14:textId="77777777" w:rsidR="007968EC" w:rsidRPr="002C0D19" w:rsidRDefault="007968EC" w:rsidP="007968EC">
      <w:pPr>
        <w:jc w:val="center"/>
        <w:rPr>
          <w:rFonts w:ascii="Arial Narrow" w:hAnsi="Arial Narrow" w:cs="Arial"/>
          <w:color w:val="000000" w:themeColor="text1"/>
          <w:lang w:val="es-ES" w:eastAsia="es-ES"/>
        </w:rPr>
      </w:pPr>
    </w:p>
    <w:p w14:paraId="7D15F236"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Entre los suscritos a saber</w:t>
      </w:r>
      <w:r w:rsidRPr="002C0D19">
        <w:rPr>
          <w:rFonts w:ascii="Arial Narrow" w:hAnsi="Arial Narrow" w:cs="Arial"/>
          <w:color w:val="000000" w:themeColor="text1"/>
          <w:lang w:val="es-ES_tradnl" w:eastAsia="es-ES"/>
        </w:rPr>
        <w:t>, ……………………………………………………………………….., (“</w:t>
      </w:r>
      <w:r w:rsidRPr="002C0D19">
        <w:rPr>
          <w:rFonts w:ascii="Arial Narrow" w:hAnsi="Arial Narrow" w:cs="Arial"/>
          <w:b/>
          <w:color w:val="000000" w:themeColor="text1"/>
          <w:lang w:val="es-ES_tradnl" w:eastAsia="es-ES"/>
        </w:rPr>
        <w:t>Parte A</w:t>
      </w:r>
      <w:r w:rsidRPr="002C0D19">
        <w:rPr>
          <w:rFonts w:ascii="Arial Narrow" w:hAnsi="Arial Narrow" w:cs="Arial"/>
          <w:color w:val="000000" w:themeColor="text1"/>
          <w:lang w:val="es-ES_tradnl" w:eastAsia="es-ES"/>
        </w:rPr>
        <w:t>”), y…………………………………………………………………………………………., (“</w:t>
      </w:r>
      <w:r w:rsidRPr="002C0D19">
        <w:rPr>
          <w:rFonts w:ascii="Arial Narrow" w:hAnsi="Arial Narrow" w:cs="Arial"/>
          <w:b/>
          <w:color w:val="000000" w:themeColor="text1"/>
          <w:lang w:val="es-ES_tradnl" w:eastAsia="es-ES"/>
        </w:rPr>
        <w:t>Parte B</w:t>
      </w:r>
      <w:r w:rsidRPr="002C0D19">
        <w:rPr>
          <w:rFonts w:ascii="Arial Narrow" w:hAnsi="Arial Narrow" w:cs="Arial"/>
          <w:color w:val="000000" w:themeColor="text1"/>
          <w:lang w:val="es-ES_tradnl" w:eastAsia="es-ES"/>
        </w:rPr>
        <w:t xml:space="preserve">”) y, conjuntamente con la </w:t>
      </w:r>
      <w:r w:rsidRPr="002C0D19">
        <w:rPr>
          <w:rFonts w:ascii="Arial Narrow" w:hAnsi="Arial Narrow" w:cs="Arial"/>
          <w:b/>
          <w:color w:val="000000" w:themeColor="text1"/>
          <w:lang w:val="es-ES_tradnl" w:eastAsia="es-ES"/>
        </w:rPr>
        <w:t>Parte A</w:t>
      </w:r>
      <w:r w:rsidRPr="002C0D19">
        <w:rPr>
          <w:rFonts w:ascii="Arial Narrow" w:hAnsi="Arial Narrow" w:cs="Arial"/>
          <w:color w:val="000000" w:themeColor="text1"/>
          <w:lang w:val="es-ES_tradnl" w:eastAsia="es-ES"/>
        </w:rPr>
        <w:t>, se denominarán “</w:t>
      </w:r>
      <w:r w:rsidRPr="002C0D19">
        <w:rPr>
          <w:rFonts w:ascii="Arial Narrow" w:hAnsi="Arial Narrow" w:cs="Arial"/>
          <w:b/>
          <w:color w:val="000000" w:themeColor="text1"/>
          <w:lang w:val="es-ES_tradnl" w:eastAsia="es-ES"/>
        </w:rPr>
        <w:t>Las Partes</w:t>
      </w:r>
      <w:r w:rsidRPr="002C0D19">
        <w:rPr>
          <w:rFonts w:ascii="Arial Narrow" w:hAnsi="Arial Narrow" w:cs="Arial"/>
          <w:color w:val="000000" w:themeColor="text1"/>
          <w:lang w:val="es-ES_tradnl" w:eastAsia="es-ES"/>
        </w:rPr>
        <w:t>”, han celebrado el presente acuerdo para compensar y liquidar a través de la Cámara de Riesgo Central de Contraparte de Colombia S.A.</w:t>
      </w:r>
      <w:r w:rsidRPr="002C0D19">
        <w:rPr>
          <w:rFonts w:ascii="Arial Narrow" w:hAnsi="Arial Narrow" w:cs="Arial"/>
          <w:color w:val="000000" w:themeColor="text1"/>
          <w:lang w:val="es-ES" w:eastAsia="es-ES"/>
        </w:rPr>
        <w:t xml:space="preserve"> con las particularidades que se establezcan por la Cámara para el Segmento que los agrupe, </w:t>
      </w:r>
      <w:r w:rsidRPr="002C0D19">
        <w:rPr>
          <w:rFonts w:ascii="Arial Narrow" w:hAnsi="Arial Narrow" w:cs="Arial"/>
          <w:color w:val="000000" w:themeColor="text1"/>
          <w:lang w:val="es-ES_tradnl" w:eastAsia="es-ES"/>
        </w:rPr>
        <w:t xml:space="preserve"> Instrumentos Financieros Derivados No Estandarizados celebradas entre </w:t>
      </w:r>
      <w:r w:rsidRPr="002C0D19">
        <w:rPr>
          <w:rFonts w:ascii="Arial Narrow" w:hAnsi="Arial Narrow" w:cs="Arial"/>
          <w:b/>
          <w:color w:val="000000" w:themeColor="text1"/>
          <w:lang w:val="es-ES_tradnl" w:eastAsia="es-ES"/>
        </w:rPr>
        <w:t>Las Partes</w:t>
      </w:r>
      <w:r w:rsidRPr="002C0D19">
        <w:rPr>
          <w:rFonts w:ascii="Arial Narrow" w:hAnsi="Arial Narrow" w:cs="Arial"/>
          <w:color w:val="000000" w:themeColor="text1"/>
          <w:lang w:val="es-ES_tradnl" w:eastAsia="es-ES"/>
        </w:rPr>
        <w:t xml:space="preserve">, en adelante </w:t>
      </w:r>
      <w:r w:rsidRPr="002C0D19">
        <w:rPr>
          <w:rFonts w:ascii="Arial Narrow" w:hAnsi="Arial Narrow" w:cs="Arial"/>
          <w:b/>
          <w:color w:val="000000" w:themeColor="text1"/>
          <w:lang w:val="es-ES_tradnl" w:eastAsia="es-ES"/>
        </w:rPr>
        <w:t>EL CONVENIO</w:t>
      </w:r>
      <w:r w:rsidRPr="002C0D19">
        <w:rPr>
          <w:rFonts w:ascii="Arial Narrow" w:hAnsi="Arial Narrow" w:cs="Arial"/>
          <w:color w:val="000000" w:themeColor="text1"/>
          <w:lang w:val="es-ES_tradnl" w:eastAsia="es-ES"/>
        </w:rPr>
        <w:t>,  previas las siguientes:</w:t>
      </w:r>
    </w:p>
    <w:p w14:paraId="4DF9EDD0" w14:textId="77777777" w:rsidR="007968EC" w:rsidRPr="002C0D19" w:rsidRDefault="007968EC" w:rsidP="007968EC">
      <w:pPr>
        <w:jc w:val="center"/>
        <w:rPr>
          <w:rFonts w:ascii="Arial Narrow" w:hAnsi="Arial Narrow" w:cs="Arial"/>
          <w:color w:val="000000" w:themeColor="text1"/>
          <w:lang w:val="es-ES_tradnl" w:eastAsia="es-ES"/>
        </w:rPr>
      </w:pPr>
    </w:p>
    <w:p w14:paraId="0825297F" w14:textId="77777777" w:rsidR="007968EC" w:rsidRPr="002C0D19" w:rsidRDefault="007968EC" w:rsidP="007968EC">
      <w:pPr>
        <w:jc w:val="center"/>
        <w:rPr>
          <w:rFonts w:ascii="Arial Narrow" w:hAnsi="Arial Narrow" w:cs="Arial"/>
          <w:b/>
          <w:color w:val="000000" w:themeColor="text1"/>
          <w:lang w:val="es-ES_tradnl" w:eastAsia="es-ES"/>
        </w:rPr>
      </w:pPr>
      <w:r w:rsidRPr="002C0D19">
        <w:rPr>
          <w:rFonts w:ascii="Arial Narrow" w:hAnsi="Arial Narrow" w:cs="Arial"/>
          <w:b/>
          <w:color w:val="000000" w:themeColor="text1"/>
          <w:lang w:val="es-ES_tradnl" w:eastAsia="es-ES"/>
        </w:rPr>
        <w:t>CONSIDERACIONES</w:t>
      </w:r>
    </w:p>
    <w:p w14:paraId="14B593F4" w14:textId="77777777" w:rsidR="007968EC" w:rsidRPr="002C0D19" w:rsidRDefault="007968EC" w:rsidP="007968EC">
      <w:pPr>
        <w:ind w:left="567"/>
        <w:jc w:val="both"/>
        <w:rPr>
          <w:rFonts w:ascii="Arial Narrow" w:hAnsi="Arial Narrow" w:cs="Arial"/>
          <w:color w:val="000000" w:themeColor="text1"/>
          <w:lang w:val="es-ES_tradnl" w:eastAsia="es-CO"/>
        </w:rPr>
      </w:pPr>
    </w:p>
    <w:p w14:paraId="14F9AE91" w14:textId="77777777" w:rsidR="007968EC" w:rsidRPr="002C0D19" w:rsidRDefault="007968EC" w:rsidP="00DA7472">
      <w:pPr>
        <w:numPr>
          <w:ilvl w:val="0"/>
          <w:numId w:val="238"/>
        </w:numPr>
        <w:contextualSpacing/>
        <w:jc w:val="both"/>
        <w:rPr>
          <w:rFonts w:ascii="Arial Narrow" w:hAnsi="Arial Narrow" w:cs="Arial"/>
          <w:color w:val="000000" w:themeColor="text1"/>
          <w:lang w:val="es-ES_tradnl" w:eastAsia="es-CO"/>
        </w:rPr>
      </w:pPr>
      <w:r w:rsidRPr="002C0D19">
        <w:rPr>
          <w:rFonts w:ascii="Arial Narrow" w:hAnsi="Arial Narrow" w:cs="Arial"/>
          <w:color w:val="000000" w:themeColor="text1"/>
          <w:lang w:val="es-ES_tradnl" w:eastAsia="es-CO"/>
        </w:rPr>
        <w:t xml:space="preserve">Que la </w:t>
      </w:r>
      <w:r w:rsidRPr="002C0D19">
        <w:rPr>
          <w:rFonts w:ascii="Arial Narrow" w:hAnsi="Arial Narrow" w:cs="Arial"/>
          <w:b/>
          <w:color w:val="000000" w:themeColor="text1"/>
          <w:lang w:val="es-ES_tradnl" w:eastAsia="es-CO"/>
        </w:rPr>
        <w:t>Parte</w:t>
      </w:r>
      <w:r w:rsidRPr="002C0D19">
        <w:rPr>
          <w:rFonts w:ascii="Arial Narrow" w:hAnsi="Arial Narrow" w:cs="Arial"/>
          <w:color w:val="000000" w:themeColor="text1"/>
          <w:lang w:val="es-ES_tradnl" w:eastAsia="es-CO"/>
        </w:rPr>
        <w:t xml:space="preserve"> ___ , (Miembro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tiene la calidad de intermediario del mercado cambiario, es Miembro de la Cámara de Riesgo Central de Contraparte de Colombia S.A., en adelante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y se encuentra activo en el Sistema. </w:t>
      </w:r>
    </w:p>
    <w:p w14:paraId="49AAA99F" w14:textId="77777777" w:rsidR="007968EC" w:rsidRPr="002C0D19" w:rsidRDefault="007968EC" w:rsidP="007968EC">
      <w:pPr>
        <w:jc w:val="both"/>
        <w:rPr>
          <w:rFonts w:ascii="Arial Narrow" w:hAnsi="Arial Narrow" w:cs="Arial"/>
          <w:color w:val="000000" w:themeColor="text1"/>
          <w:lang w:val="es-ES_tradnl" w:eastAsia="es-CO"/>
        </w:rPr>
      </w:pPr>
    </w:p>
    <w:p w14:paraId="333A1466" w14:textId="77777777" w:rsidR="007968EC" w:rsidRPr="002C0D19" w:rsidRDefault="007968EC" w:rsidP="00DA7472">
      <w:pPr>
        <w:numPr>
          <w:ilvl w:val="0"/>
          <w:numId w:val="238"/>
        </w:numPr>
        <w:contextualSpacing/>
        <w:jc w:val="both"/>
        <w:rPr>
          <w:rFonts w:ascii="Arial Narrow" w:hAnsi="Arial Narrow" w:cs="Arial"/>
          <w:color w:val="000000" w:themeColor="text1"/>
          <w:lang w:val="es-ES_tradnl" w:eastAsia="es-CO"/>
        </w:rPr>
      </w:pPr>
      <w:r w:rsidRPr="002C0D19">
        <w:rPr>
          <w:rFonts w:ascii="Arial Narrow" w:hAnsi="Arial Narrow" w:cs="Arial"/>
          <w:color w:val="000000" w:themeColor="text1"/>
          <w:lang w:val="es-ES_tradnl" w:eastAsia="es-CO"/>
        </w:rPr>
        <w:t xml:space="preserve">Que en virtud del Convenio celebrado, la </w:t>
      </w:r>
      <w:r w:rsidRPr="002C0D19">
        <w:rPr>
          <w:rFonts w:ascii="Arial Narrow" w:hAnsi="Arial Narrow" w:cs="Arial"/>
          <w:b/>
          <w:color w:val="000000" w:themeColor="text1"/>
          <w:lang w:val="es-ES_tradnl" w:eastAsia="es-CO"/>
        </w:rPr>
        <w:t>Parte</w:t>
      </w:r>
      <w:r w:rsidRPr="002C0D19">
        <w:rPr>
          <w:rFonts w:ascii="Arial Narrow" w:hAnsi="Arial Narrow" w:cs="Arial"/>
          <w:color w:val="000000" w:themeColor="text1"/>
          <w:lang w:val="es-ES_tradnl" w:eastAsia="es-CO"/>
        </w:rPr>
        <w:t xml:space="preserve"> _____, (Miembro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participa por cuenta de la Parte _______, (Tercero de LA CRCC en su calidad de Agente del Exterior), en la compensación y liquidación de operaciones ante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w:t>
      </w:r>
    </w:p>
    <w:p w14:paraId="562D6C83" w14:textId="77777777" w:rsidR="007968EC" w:rsidRPr="002C0D19" w:rsidRDefault="007968EC" w:rsidP="007968EC">
      <w:pPr>
        <w:ind w:left="708"/>
        <w:rPr>
          <w:rFonts w:ascii="Arial Narrow" w:hAnsi="Arial Narrow" w:cs="Arial"/>
          <w:color w:val="000000" w:themeColor="text1"/>
          <w:lang w:val="es-ES_tradnl" w:eastAsia="es-CO"/>
        </w:rPr>
      </w:pPr>
    </w:p>
    <w:p w14:paraId="27A8C72A" w14:textId="77777777" w:rsidR="007968EC" w:rsidRPr="002C0D19" w:rsidRDefault="007968EC" w:rsidP="00DA7472">
      <w:pPr>
        <w:numPr>
          <w:ilvl w:val="0"/>
          <w:numId w:val="238"/>
        </w:numPr>
        <w:contextualSpacing/>
        <w:jc w:val="both"/>
        <w:rPr>
          <w:rFonts w:ascii="Arial Narrow" w:hAnsi="Arial Narrow" w:cs="Arial"/>
          <w:color w:val="000000" w:themeColor="text1"/>
          <w:lang w:val="es-ES_tradnl" w:eastAsia="es-CO"/>
        </w:rPr>
      </w:pPr>
      <w:r w:rsidRPr="002C0D19">
        <w:rPr>
          <w:rFonts w:ascii="Arial Narrow" w:hAnsi="Arial Narrow" w:cs="Arial"/>
          <w:color w:val="000000" w:themeColor="text1"/>
          <w:lang w:val="es-ES_tradnl" w:eastAsia="es-CO"/>
        </w:rPr>
        <w:t xml:space="preserve">Que Las Partes tienen suscrito un Contrato Marco – ISDA Master </w:t>
      </w:r>
      <w:proofErr w:type="spellStart"/>
      <w:r w:rsidRPr="002C0D19">
        <w:rPr>
          <w:rFonts w:ascii="Arial Narrow" w:hAnsi="Arial Narrow" w:cs="Arial"/>
          <w:color w:val="000000" w:themeColor="text1"/>
          <w:lang w:val="es-ES_tradnl" w:eastAsia="es-CO"/>
        </w:rPr>
        <w:t>Agreement</w:t>
      </w:r>
      <w:proofErr w:type="spellEnd"/>
      <w:r w:rsidRPr="002C0D19">
        <w:rPr>
          <w:rFonts w:ascii="Arial Narrow" w:hAnsi="Arial Narrow" w:cs="Arial"/>
          <w:color w:val="000000" w:themeColor="text1"/>
          <w:lang w:val="es-ES_tradnl" w:eastAsia="es-CO"/>
        </w:rPr>
        <w:t xml:space="preserve"> para la negociación de Instrumentos Financieros Derivados No Estandarizados, el cual incorpora las cláusulas mínimas para la negociación de este tipo de instrumentos.</w:t>
      </w:r>
    </w:p>
    <w:p w14:paraId="10ED6D7A" w14:textId="77777777" w:rsidR="007968EC" w:rsidRPr="002C0D19" w:rsidRDefault="007968EC" w:rsidP="007968EC">
      <w:pPr>
        <w:jc w:val="both"/>
        <w:rPr>
          <w:rFonts w:ascii="Arial Narrow" w:hAnsi="Arial Narrow" w:cs="Arial"/>
          <w:color w:val="000000" w:themeColor="text1"/>
          <w:lang w:val="es-ES_tradnl" w:eastAsia="es-CO"/>
        </w:rPr>
      </w:pPr>
    </w:p>
    <w:p w14:paraId="7F8DA547" w14:textId="77777777" w:rsidR="007968EC" w:rsidRPr="002C0D19" w:rsidRDefault="007968EC" w:rsidP="00DA7472">
      <w:pPr>
        <w:numPr>
          <w:ilvl w:val="0"/>
          <w:numId w:val="238"/>
        </w:numPr>
        <w:contextualSpacing/>
        <w:jc w:val="both"/>
        <w:rPr>
          <w:rFonts w:ascii="Arial Narrow" w:hAnsi="Arial Narrow" w:cs="Arial"/>
          <w:color w:val="000000" w:themeColor="text1"/>
          <w:lang w:val="es-ES_tradnl" w:eastAsia="es-CO"/>
        </w:rPr>
      </w:pPr>
      <w:r w:rsidRPr="002C0D19">
        <w:rPr>
          <w:rFonts w:ascii="Arial Narrow" w:hAnsi="Arial Narrow" w:cs="Arial"/>
          <w:color w:val="000000" w:themeColor="text1"/>
          <w:lang w:val="es-ES_tradnl" w:eastAsia="es-CO"/>
        </w:rPr>
        <w:t xml:space="preserve">Que el Contrato Marco – ISDA Master </w:t>
      </w:r>
      <w:proofErr w:type="spellStart"/>
      <w:r w:rsidRPr="002C0D19">
        <w:rPr>
          <w:rFonts w:ascii="Arial Narrow" w:hAnsi="Arial Narrow" w:cs="Arial"/>
          <w:color w:val="000000" w:themeColor="text1"/>
          <w:lang w:val="es-ES_tradnl" w:eastAsia="es-CO"/>
        </w:rPr>
        <w:t>Agreement</w:t>
      </w:r>
      <w:proofErr w:type="spellEnd"/>
      <w:r w:rsidRPr="002C0D19">
        <w:rPr>
          <w:rFonts w:ascii="Arial Narrow" w:hAnsi="Arial Narrow" w:cs="Arial"/>
          <w:color w:val="000000" w:themeColor="text1"/>
          <w:lang w:val="es-ES_tradnl" w:eastAsia="es-CO"/>
        </w:rPr>
        <w:t xml:space="preserve"> está conformado por su texto y los anexos, un suplemento y las cartas de confirmación de las operaciones realizadas. </w:t>
      </w:r>
    </w:p>
    <w:p w14:paraId="780A8B54" w14:textId="77777777" w:rsidR="007968EC" w:rsidRPr="002C0D19" w:rsidRDefault="007968EC" w:rsidP="007968EC">
      <w:pPr>
        <w:ind w:left="720"/>
        <w:contextualSpacing/>
        <w:jc w:val="both"/>
        <w:rPr>
          <w:rFonts w:ascii="Arial Narrow" w:hAnsi="Arial Narrow" w:cs="Arial"/>
          <w:color w:val="000000" w:themeColor="text1"/>
          <w:lang w:val="es-ES_tradnl" w:eastAsia="es-CO"/>
        </w:rPr>
      </w:pPr>
    </w:p>
    <w:p w14:paraId="478FFD24" w14:textId="77777777" w:rsidR="007968EC" w:rsidRPr="002C0D19" w:rsidRDefault="007968EC" w:rsidP="00DA7472">
      <w:pPr>
        <w:numPr>
          <w:ilvl w:val="0"/>
          <w:numId w:val="238"/>
        </w:numPr>
        <w:contextualSpacing/>
        <w:jc w:val="both"/>
        <w:rPr>
          <w:rFonts w:ascii="Arial Narrow" w:hAnsi="Arial Narrow" w:cs="Arial"/>
          <w:color w:val="000000" w:themeColor="text1"/>
          <w:lang w:val="es-ES_tradnl" w:eastAsia="es-CO"/>
        </w:rPr>
      </w:pPr>
      <w:r w:rsidRPr="002C0D19">
        <w:rPr>
          <w:rFonts w:ascii="Arial Narrow" w:hAnsi="Arial Narrow" w:cs="Arial"/>
          <w:color w:val="000000" w:themeColor="text1"/>
          <w:lang w:val="es-ES_tradnl" w:eastAsia="es-CO"/>
        </w:rPr>
        <w:t xml:space="preserve">Que Las Partes, de acuerdo con el Contrato Marco – ISDA Master </w:t>
      </w:r>
      <w:proofErr w:type="spellStart"/>
      <w:r w:rsidRPr="002C0D19">
        <w:rPr>
          <w:rFonts w:ascii="Arial Narrow" w:hAnsi="Arial Narrow" w:cs="Arial"/>
          <w:color w:val="000000" w:themeColor="text1"/>
          <w:lang w:val="es-ES_tradnl" w:eastAsia="es-CO"/>
        </w:rPr>
        <w:t>Agreement</w:t>
      </w:r>
      <w:proofErr w:type="spellEnd"/>
      <w:r w:rsidRPr="002C0D19">
        <w:rPr>
          <w:rFonts w:ascii="Arial Narrow" w:hAnsi="Arial Narrow" w:cs="Arial"/>
          <w:color w:val="000000" w:themeColor="text1"/>
          <w:lang w:val="es-ES_tradnl" w:eastAsia="es-CO"/>
        </w:rPr>
        <w:t>, están facultadas para la celebración de operaciones sobre Instrumentos Financieros Derivados No Estandarizados.</w:t>
      </w:r>
    </w:p>
    <w:p w14:paraId="79EF3002" w14:textId="77777777" w:rsidR="007968EC" w:rsidRPr="002C0D19" w:rsidRDefault="007968EC" w:rsidP="007968EC">
      <w:pPr>
        <w:ind w:left="720"/>
        <w:contextualSpacing/>
        <w:jc w:val="both"/>
        <w:rPr>
          <w:rFonts w:ascii="Arial Narrow" w:hAnsi="Arial Narrow" w:cs="Arial"/>
          <w:color w:val="000000" w:themeColor="text1"/>
          <w:lang w:val="es-ES_tradnl" w:eastAsia="es-CO"/>
        </w:rPr>
      </w:pPr>
    </w:p>
    <w:p w14:paraId="6811A613" w14:textId="77777777" w:rsidR="007968EC" w:rsidRPr="002C0D19" w:rsidRDefault="007968EC" w:rsidP="00DA7472">
      <w:pPr>
        <w:numPr>
          <w:ilvl w:val="0"/>
          <w:numId w:val="238"/>
        </w:numPr>
        <w:contextualSpacing/>
        <w:jc w:val="both"/>
        <w:rPr>
          <w:rFonts w:ascii="Arial Narrow" w:hAnsi="Arial Narrow" w:cs="Arial"/>
          <w:color w:val="000000" w:themeColor="text1"/>
          <w:lang w:val="es-ES_tradnl" w:eastAsia="es-CO"/>
        </w:rPr>
      </w:pPr>
      <w:r w:rsidRPr="002C0D19">
        <w:rPr>
          <w:rFonts w:ascii="Arial Narrow" w:hAnsi="Arial Narrow" w:cs="Arial"/>
          <w:color w:val="000000" w:themeColor="text1"/>
          <w:lang w:val="es-ES_tradnl" w:eastAsia="es-CO"/>
        </w:rPr>
        <w:t xml:space="preserve">Que de acuerdo con la normativa vigente,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se encuentra autorizada para efectuar la Compensación y Liquidación como contraparte de Instrumentos Financieros Derivados No Estandarizados </w:t>
      </w:r>
    </w:p>
    <w:p w14:paraId="081D0FBB" w14:textId="77777777" w:rsidR="007968EC" w:rsidRPr="002C0D19" w:rsidRDefault="007968EC" w:rsidP="007968EC">
      <w:pPr>
        <w:ind w:left="708"/>
        <w:rPr>
          <w:rFonts w:ascii="Arial Narrow" w:hAnsi="Arial Narrow" w:cs="Arial"/>
          <w:color w:val="000000" w:themeColor="text1"/>
          <w:lang w:val="es-ES_tradnl" w:eastAsia="es-CO"/>
        </w:rPr>
      </w:pPr>
    </w:p>
    <w:p w14:paraId="5DF130D4" w14:textId="77777777" w:rsidR="007968EC" w:rsidRPr="002C0D19" w:rsidRDefault="007968EC" w:rsidP="00DA7472">
      <w:pPr>
        <w:numPr>
          <w:ilvl w:val="0"/>
          <w:numId w:val="238"/>
        </w:numPr>
        <w:contextualSpacing/>
        <w:jc w:val="both"/>
        <w:rPr>
          <w:rFonts w:ascii="Arial Narrow" w:hAnsi="Arial Narrow" w:cs="Arial"/>
          <w:color w:val="000000" w:themeColor="text1"/>
          <w:lang w:val="es-ES_tradnl" w:eastAsia="es-CO"/>
        </w:rPr>
      </w:pPr>
      <w:r w:rsidRPr="002C0D19">
        <w:rPr>
          <w:rFonts w:ascii="Arial Narrow" w:hAnsi="Arial Narrow" w:cs="Arial"/>
          <w:color w:val="000000" w:themeColor="text1"/>
          <w:lang w:val="es-ES_tradnl" w:eastAsia="es-CO"/>
        </w:rPr>
        <w:t xml:space="preserve">Que de acuerdo con Resolución Externa 12 de 2008 y la Resolución Externa 8 de 2015 del Banco de la República y las normas que las modifiquen, adicionen o sustituyan, la </w:t>
      </w:r>
      <w:r w:rsidRPr="002C0D19">
        <w:rPr>
          <w:rFonts w:ascii="Arial Narrow" w:hAnsi="Arial Narrow" w:cs="Arial"/>
          <w:b/>
          <w:color w:val="000000" w:themeColor="text1"/>
          <w:lang w:val="es-ES_tradnl" w:eastAsia="es-CO"/>
        </w:rPr>
        <w:t>Parte</w:t>
      </w:r>
      <w:r w:rsidRPr="002C0D19">
        <w:rPr>
          <w:rFonts w:ascii="Arial Narrow" w:hAnsi="Arial Narrow" w:cs="Arial"/>
          <w:color w:val="000000" w:themeColor="text1"/>
          <w:lang w:val="es-ES_tradnl" w:eastAsia="es-CO"/>
        </w:rPr>
        <w:t xml:space="preserve"> ___, (Miembro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podrá actuar por cuenta de la </w:t>
      </w:r>
      <w:r w:rsidRPr="002C0D19">
        <w:rPr>
          <w:rFonts w:ascii="Arial Narrow" w:hAnsi="Arial Narrow" w:cs="Arial"/>
          <w:b/>
          <w:color w:val="000000" w:themeColor="text1"/>
          <w:lang w:val="es-ES_tradnl" w:eastAsia="es-CO"/>
        </w:rPr>
        <w:t>Parte</w:t>
      </w:r>
      <w:r w:rsidRPr="002C0D19">
        <w:rPr>
          <w:rFonts w:ascii="Arial Narrow" w:hAnsi="Arial Narrow" w:cs="Arial"/>
          <w:color w:val="000000" w:themeColor="text1"/>
          <w:lang w:val="es-ES_tradnl" w:eastAsia="es-CO"/>
        </w:rPr>
        <w:t xml:space="preserve"> ______ (Tercero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en su calidad de </w:t>
      </w:r>
      <w:r w:rsidRPr="002C0D19">
        <w:rPr>
          <w:rFonts w:ascii="Arial Narrow" w:hAnsi="Arial Narrow" w:cs="Arial"/>
          <w:color w:val="000000" w:themeColor="text1"/>
          <w:lang w:val="es-ES_tradnl" w:eastAsia="es-CO"/>
        </w:rPr>
        <w:lastRenderedPageBreak/>
        <w:t xml:space="preserve">Agente del Exterior) autorizados para realizar derivados financieros de manera profesional como contrapartes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En esta condición, podrá otorgar créditos en moneda legal a la Parte ______ (Tercero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en su calidad de Agente del Exterior) con el fin de cumplir las obligaciones correspondientes. Los pagos de estos créditos deben efectuarse en divisas.</w:t>
      </w:r>
    </w:p>
    <w:p w14:paraId="08EB2231" w14:textId="77777777" w:rsidR="007968EC" w:rsidRPr="002C0D19" w:rsidRDefault="007968EC" w:rsidP="007968EC">
      <w:pPr>
        <w:ind w:left="720"/>
        <w:contextualSpacing/>
        <w:jc w:val="both"/>
        <w:rPr>
          <w:rFonts w:ascii="Arial Narrow" w:hAnsi="Arial Narrow" w:cs="Arial"/>
          <w:color w:val="000000" w:themeColor="text1"/>
          <w:lang w:val="es-ES_tradnl" w:eastAsia="es-CO"/>
        </w:rPr>
      </w:pPr>
    </w:p>
    <w:p w14:paraId="3F8B57DD" w14:textId="77777777" w:rsidR="007968EC" w:rsidRPr="002C0D19" w:rsidRDefault="007968EC" w:rsidP="00DA7472">
      <w:pPr>
        <w:numPr>
          <w:ilvl w:val="0"/>
          <w:numId w:val="238"/>
        </w:numPr>
        <w:contextualSpacing/>
        <w:jc w:val="both"/>
        <w:rPr>
          <w:rFonts w:ascii="Arial Narrow" w:hAnsi="Arial Narrow" w:cs="Arial"/>
          <w:color w:val="000000" w:themeColor="text1"/>
          <w:lang w:val="es-ES_tradnl" w:eastAsia="es-CO"/>
        </w:rPr>
      </w:pPr>
      <w:r w:rsidRPr="002C0D19">
        <w:rPr>
          <w:rFonts w:ascii="Arial Narrow" w:hAnsi="Arial Narrow" w:cs="Arial"/>
          <w:color w:val="000000" w:themeColor="text1"/>
          <w:lang w:val="es-ES_tradnl" w:eastAsia="es-CO"/>
        </w:rPr>
        <w:t xml:space="preserve">Que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para interponerse como contraparte se constituirá como acreedora y deudora recíproca de los derechos y obligaciones que se deriven de las operaciones aceptadas, de conformidad con lo establecido en el Reglamento de Funcionamiento y con las particularidades que se establezcan por Circular para el Segmento que agrupe los Instrumentos Financieros Derivados No Estandarizados, asumiendo tal carácter en la operación, de forma irrevocable y creándose dos nuevas operaciones cuyos Términos Económicos serán los de la operación original, una entre LA CRCC y la Parte ______ (Miembro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por su propia cuenta y otra entre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y la Parte ______ (Miembro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por cuenta de la Parte ______ (Tercero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en su calidad de Agente del Exterior). </w:t>
      </w:r>
    </w:p>
    <w:p w14:paraId="5FB69D9D" w14:textId="77777777" w:rsidR="007968EC" w:rsidRPr="002C0D19" w:rsidRDefault="007968EC" w:rsidP="007968EC">
      <w:pPr>
        <w:ind w:left="720"/>
        <w:contextualSpacing/>
        <w:jc w:val="both"/>
        <w:rPr>
          <w:rFonts w:ascii="Arial Narrow" w:hAnsi="Arial Narrow" w:cs="Arial"/>
          <w:color w:val="000000" w:themeColor="text1"/>
          <w:lang w:val="es-ES_tradnl" w:eastAsia="es-CO"/>
        </w:rPr>
      </w:pPr>
    </w:p>
    <w:p w14:paraId="7BC97230" w14:textId="77777777" w:rsidR="007968EC" w:rsidRPr="002C0D19" w:rsidRDefault="007968EC" w:rsidP="00DA7472">
      <w:pPr>
        <w:numPr>
          <w:ilvl w:val="0"/>
          <w:numId w:val="238"/>
        </w:numPr>
        <w:contextualSpacing/>
        <w:jc w:val="both"/>
        <w:rPr>
          <w:rFonts w:ascii="Arial Narrow" w:hAnsi="Arial Narrow" w:cs="Arial"/>
          <w:color w:val="000000" w:themeColor="text1"/>
          <w:lang w:val="es-ES_tradnl" w:eastAsia="es-CO"/>
        </w:rPr>
      </w:pPr>
      <w:r w:rsidRPr="002C0D19">
        <w:rPr>
          <w:rFonts w:ascii="Arial Narrow" w:hAnsi="Arial Narrow" w:cs="Arial"/>
          <w:color w:val="000000" w:themeColor="text1"/>
          <w:lang w:val="es-ES_tradnl" w:eastAsia="es-CO"/>
        </w:rPr>
        <w:t xml:space="preserve">Que es intención de Las Partes remitir operaciones sobre Instrumentos Financieros Derivados No Estandarizados celebradas entre sí a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val="es-ES_tradnl" w:eastAsia="es-CO"/>
        </w:rPr>
        <w:t xml:space="preserve"> para su Compensación y Liquidación como contraparte.</w:t>
      </w:r>
    </w:p>
    <w:p w14:paraId="7A2E99B0" w14:textId="77777777" w:rsidR="007968EC" w:rsidRPr="002C0D19" w:rsidRDefault="007968EC" w:rsidP="007968EC">
      <w:pPr>
        <w:jc w:val="both"/>
        <w:rPr>
          <w:rFonts w:ascii="Arial Narrow" w:hAnsi="Arial Narrow" w:cs="Arial"/>
          <w:color w:val="000000" w:themeColor="text1"/>
          <w:lang w:val="es-ES_tradnl" w:eastAsia="es-CO"/>
        </w:rPr>
      </w:pPr>
    </w:p>
    <w:p w14:paraId="68CAF7AF" w14:textId="77777777" w:rsidR="007968EC" w:rsidRPr="002C0D19" w:rsidRDefault="007968EC" w:rsidP="007968EC">
      <w:pPr>
        <w:jc w:val="both"/>
        <w:rPr>
          <w:rFonts w:ascii="Arial Narrow" w:hAnsi="Arial Narrow" w:cs="Arial"/>
          <w:color w:val="000000" w:themeColor="text1"/>
          <w:lang w:val="es-ES_tradnl" w:eastAsia="es-CO"/>
        </w:rPr>
      </w:pPr>
      <w:r w:rsidRPr="002C0D19">
        <w:rPr>
          <w:rFonts w:ascii="Arial Narrow" w:hAnsi="Arial Narrow" w:cs="Arial"/>
          <w:color w:val="000000" w:themeColor="text1"/>
          <w:lang w:val="es-ES_tradnl" w:eastAsia="es-CO"/>
        </w:rPr>
        <w:t xml:space="preserve">Dadas las anteriores consideraciones, </w:t>
      </w:r>
      <w:r w:rsidRPr="002C0D19">
        <w:rPr>
          <w:rFonts w:ascii="Arial Narrow" w:hAnsi="Arial Narrow" w:cs="Arial"/>
          <w:b/>
          <w:color w:val="000000" w:themeColor="text1"/>
          <w:lang w:val="es-ES_tradnl" w:eastAsia="es-CO"/>
        </w:rPr>
        <w:t>Las</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Partes</w:t>
      </w:r>
      <w:r w:rsidRPr="002C0D19">
        <w:rPr>
          <w:rFonts w:ascii="Arial Narrow" w:hAnsi="Arial Narrow" w:cs="Arial"/>
          <w:color w:val="000000" w:themeColor="text1"/>
          <w:lang w:val="es-ES_tradnl" w:eastAsia="es-CO"/>
        </w:rPr>
        <w:t xml:space="preserve"> han convenido suscribir el presente </w:t>
      </w:r>
      <w:r w:rsidRPr="002C0D19">
        <w:rPr>
          <w:rFonts w:ascii="Arial Narrow" w:hAnsi="Arial Narrow" w:cs="Arial"/>
          <w:b/>
          <w:color w:val="000000" w:themeColor="text1"/>
          <w:lang w:val="es-ES_tradnl" w:eastAsia="es-CO"/>
        </w:rPr>
        <w:t>CONVENIO</w:t>
      </w:r>
      <w:r w:rsidRPr="002C0D19">
        <w:rPr>
          <w:rFonts w:ascii="Arial Narrow" w:hAnsi="Arial Narrow" w:cs="Arial"/>
          <w:color w:val="000000" w:themeColor="text1"/>
          <w:lang w:val="es-ES_tradnl" w:eastAsia="es-CO"/>
        </w:rPr>
        <w:t>, el cual se regirá por las siguientes:</w:t>
      </w:r>
    </w:p>
    <w:p w14:paraId="4D8CF36D" w14:textId="77777777" w:rsidR="007968EC" w:rsidRPr="002C0D19" w:rsidRDefault="007968EC" w:rsidP="007968EC">
      <w:pPr>
        <w:jc w:val="both"/>
        <w:rPr>
          <w:rFonts w:ascii="Arial Narrow" w:hAnsi="Arial Narrow" w:cs="Arial"/>
          <w:color w:val="000000" w:themeColor="text1"/>
          <w:lang w:val="es-ES_tradnl" w:eastAsia="es-CO"/>
        </w:rPr>
      </w:pPr>
    </w:p>
    <w:p w14:paraId="33638A4B" w14:textId="77777777" w:rsidR="007968EC" w:rsidRPr="002C0D19" w:rsidRDefault="007968EC" w:rsidP="007968EC">
      <w:pPr>
        <w:jc w:val="center"/>
        <w:rPr>
          <w:rFonts w:ascii="Arial Narrow" w:hAnsi="Arial Narrow" w:cs="Arial"/>
          <w:b/>
          <w:color w:val="000000" w:themeColor="text1"/>
          <w:lang w:val="es-ES_tradnl" w:eastAsia="es-CO"/>
        </w:rPr>
      </w:pPr>
      <w:r w:rsidRPr="002C0D19">
        <w:rPr>
          <w:rFonts w:ascii="Arial Narrow" w:hAnsi="Arial Narrow" w:cs="Arial"/>
          <w:b/>
          <w:color w:val="000000" w:themeColor="text1"/>
          <w:lang w:val="es-ES_tradnl" w:eastAsia="es-CO"/>
        </w:rPr>
        <w:t xml:space="preserve">CLÁUSULAS </w:t>
      </w:r>
    </w:p>
    <w:p w14:paraId="0CBD3617" w14:textId="77777777" w:rsidR="007968EC" w:rsidRPr="002C0D19" w:rsidRDefault="007968EC" w:rsidP="007968EC">
      <w:pPr>
        <w:jc w:val="both"/>
        <w:rPr>
          <w:rFonts w:ascii="Arial Narrow" w:hAnsi="Arial Narrow" w:cs="Arial"/>
          <w:color w:val="000000" w:themeColor="text1"/>
          <w:lang w:val="es-ES_tradnl" w:eastAsia="es-CO"/>
        </w:rPr>
      </w:pPr>
    </w:p>
    <w:p w14:paraId="51D0D7D6" w14:textId="77777777" w:rsidR="007968EC" w:rsidRPr="002C0D19" w:rsidRDefault="007968EC" w:rsidP="007968EC">
      <w:pPr>
        <w:jc w:val="both"/>
        <w:rPr>
          <w:rFonts w:ascii="Arial Narrow" w:hAnsi="Arial Narrow" w:cs="Arial"/>
          <w:color w:val="000000" w:themeColor="text1"/>
          <w:lang w:val="es-ES_tradnl" w:eastAsia="es-CO"/>
        </w:rPr>
      </w:pPr>
      <w:r w:rsidRPr="002C0D19">
        <w:rPr>
          <w:rFonts w:ascii="Arial Narrow" w:hAnsi="Arial Narrow" w:cs="Arial"/>
          <w:b/>
          <w:color w:val="000000" w:themeColor="text1"/>
          <w:lang w:val="es-ES_tradnl" w:eastAsia="es-CO"/>
        </w:rPr>
        <w:t>PRIMERA</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OBJETO</w:t>
      </w:r>
      <w:r w:rsidRPr="002C0D19">
        <w:rPr>
          <w:rFonts w:ascii="Arial Narrow" w:hAnsi="Arial Narrow" w:cs="Arial"/>
          <w:color w:val="000000" w:themeColor="text1"/>
          <w:lang w:val="es-ES_tradnl" w:eastAsia="es-CO"/>
        </w:rPr>
        <w:t xml:space="preserve">.- El presente </w:t>
      </w:r>
      <w:r w:rsidRPr="002C0D19">
        <w:rPr>
          <w:rFonts w:ascii="Arial Narrow" w:hAnsi="Arial Narrow" w:cs="Arial"/>
          <w:b/>
          <w:color w:val="000000" w:themeColor="text1"/>
          <w:lang w:val="es-ES_tradnl" w:eastAsia="es-CO"/>
        </w:rPr>
        <w:t>CONVENIO</w:t>
      </w:r>
      <w:r w:rsidRPr="002C0D19">
        <w:rPr>
          <w:rFonts w:ascii="Arial Narrow" w:hAnsi="Arial Narrow" w:cs="Arial"/>
          <w:color w:val="000000" w:themeColor="text1"/>
          <w:lang w:val="es-ES_tradnl" w:eastAsia="es-CO"/>
        </w:rPr>
        <w:t xml:space="preserve"> tiene como objeto establecer los términos y condiciones en los que Las Partes remitirán a </w:t>
      </w:r>
      <w:r w:rsidRPr="002C0D19">
        <w:rPr>
          <w:rFonts w:ascii="Arial Narrow" w:hAnsi="Arial Narrow" w:cs="Arial"/>
          <w:b/>
          <w:color w:val="000000" w:themeColor="text1"/>
          <w:lang w:val="es-ES_tradnl" w:eastAsia="es-CO"/>
        </w:rPr>
        <w:t>LA</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CRCC</w:t>
      </w:r>
      <w:r w:rsidRPr="002C0D19">
        <w:rPr>
          <w:rFonts w:ascii="Arial Narrow" w:hAnsi="Arial Narrow" w:cs="Arial"/>
          <w:color w:val="000000" w:themeColor="text1"/>
          <w:lang w:val="es-ES_tradnl" w:eastAsia="es-CO"/>
        </w:rPr>
        <w:t xml:space="preserve"> las operaciones celebradas entre sí sobre Instrumentos Financieros Derivados No Estandarizados para su Compensación y Liquidación y novarán las obligaciones y derechos de las mismas en dichas operaciones, como consecuencia de la interposición de </w:t>
      </w:r>
      <w:r w:rsidRPr="002C0D19">
        <w:rPr>
          <w:rFonts w:ascii="Arial Narrow" w:hAnsi="Arial Narrow" w:cs="Arial"/>
          <w:b/>
          <w:color w:val="000000" w:themeColor="text1"/>
          <w:lang w:val="es-ES_tradnl" w:eastAsia="es-CO"/>
        </w:rPr>
        <w:t>LA</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CRCC</w:t>
      </w:r>
      <w:r w:rsidRPr="002C0D19">
        <w:rPr>
          <w:rFonts w:ascii="Arial Narrow" w:hAnsi="Arial Narrow" w:cs="Arial"/>
          <w:color w:val="000000" w:themeColor="text1"/>
          <w:lang w:val="es-ES_tradnl" w:eastAsia="es-CO"/>
        </w:rPr>
        <w:t xml:space="preserve"> como contraparte central. </w:t>
      </w:r>
    </w:p>
    <w:p w14:paraId="53F51185" w14:textId="77777777" w:rsidR="007968EC" w:rsidRPr="002C0D19" w:rsidRDefault="007968EC" w:rsidP="007968EC">
      <w:pPr>
        <w:jc w:val="both"/>
        <w:rPr>
          <w:rFonts w:ascii="Arial Narrow" w:hAnsi="Arial Narrow" w:cs="Arial"/>
          <w:color w:val="000000" w:themeColor="text1"/>
          <w:lang w:val="es-ES_tradnl" w:eastAsia="es-CO"/>
        </w:rPr>
      </w:pPr>
    </w:p>
    <w:p w14:paraId="7BAE00EA" w14:textId="77777777" w:rsidR="007968EC" w:rsidRPr="002C0D19" w:rsidRDefault="007968EC" w:rsidP="007968EC">
      <w:pPr>
        <w:jc w:val="both"/>
        <w:rPr>
          <w:rFonts w:ascii="Arial Narrow" w:hAnsi="Arial Narrow" w:cs="Arial"/>
          <w:color w:val="000000" w:themeColor="text1"/>
          <w:lang w:val="es-ES" w:eastAsia="es-CO"/>
        </w:rPr>
      </w:pPr>
      <w:r w:rsidRPr="002C0D19">
        <w:rPr>
          <w:rFonts w:ascii="Arial Narrow" w:hAnsi="Arial Narrow" w:cs="Arial"/>
          <w:b/>
          <w:color w:val="000000" w:themeColor="text1"/>
          <w:lang w:val="es-ES" w:eastAsia="es-CO"/>
        </w:rPr>
        <w:t>PARÁGRAFO.</w:t>
      </w:r>
      <w:r w:rsidRPr="002C0D19">
        <w:rPr>
          <w:rFonts w:ascii="Arial Narrow" w:hAnsi="Arial Narrow" w:cs="Arial"/>
          <w:color w:val="000000" w:themeColor="text1"/>
          <w:lang w:val="es-ES" w:eastAsia="es-CO"/>
        </w:rPr>
        <w:t xml:space="preserve"> </w:t>
      </w:r>
      <w:r w:rsidRPr="002C0D19">
        <w:rPr>
          <w:rFonts w:ascii="Arial Narrow" w:hAnsi="Arial Narrow" w:cs="Arial"/>
          <w:b/>
          <w:color w:val="000000" w:themeColor="text1"/>
          <w:lang w:val="es-ES" w:eastAsia="es-CO"/>
        </w:rPr>
        <w:t>DEFINICIONES</w:t>
      </w:r>
      <w:r w:rsidRPr="002C0D19">
        <w:rPr>
          <w:rFonts w:ascii="Arial Narrow" w:hAnsi="Arial Narrow" w:cs="Arial"/>
          <w:color w:val="000000" w:themeColor="text1"/>
          <w:lang w:val="es-ES" w:eastAsia="es-CO"/>
        </w:rPr>
        <w:t xml:space="preserve">.- Los términos que se utilizan en este </w:t>
      </w:r>
      <w:r w:rsidRPr="002C0D19">
        <w:rPr>
          <w:rFonts w:ascii="Arial Narrow" w:hAnsi="Arial Narrow" w:cs="Arial"/>
          <w:b/>
          <w:color w:val="000000" w:themeColor="text1"/>
          <w:lang w:val="es-ES" w:eastAsia="es-CO"/>
        </w:rPr>
        <w:t>CONVENIO</w:t>
      </w:r>
      <w:r w:rsidRPr="002C0D19">
        <w:rPr>
          <w:rFonts w:ascii="Arial Narrow" w:hAnsi="Arial Narrow" w:cs="Arial"/>
          <w:color w:val="000000" w:themeColor="text1"/>
          <w:lang w:val="es-ES" w:eastAsia="es-CO"/>
        </w:rPr>
        <w:t xml:space="preserve">, cuya primera letra sea una mayúscula y que no se encuentren expresamente definidos en este </w:t>
      </w:r>
      <w:r w:rsidRPr="002C0D19">
        <w:rPr>
          <w:rFonts w:ascii="Arial Narrow" w:hAnsi="Arial Narrow" w:cs="Arial"/>
          <w:b/>
          <w:color w:val="000000" w:themeColor="text1"/>
          <w:lang w:val="es-ES" w:eastAsia="es-CO"/>
        </w:rPr>
        <w:t>CONVENIO</w:t>
      </w:r>
      <w:r w:rsidRPr="002C0D19">
        <w:rPr>
          <w:rFonts w:ascii="Arial Narrow" w:hAnsi="Arial Narrow" w:cs="Arial"/>
          <w:color w:val="000000" w:themeColor="text1"/>
          <w:lang w:val="es-ES" w:eastAsia="es-CO"/>
        </w:rPr>
        <w:t xml:space="preserve">, tendrán el significado que se les atribuye en el Reglamento de Funcionamiento de </w:t>
      </w:r>
      <w:r w:rsidRPr="002C0D19">
        <w:rPr>
          <w:rFonts w:ascii="Arial Narrow" w:hAnsi="Arial Narrow" w:cs="Arial"/>
          <w:b/>
          <w:color w:val="000000" w:themeColor="text1"/>
          <w:lang w:val="es-ES" w:eastAsia="es-CO"/>
        </w:rPr>
        <w:t>LA</w:t>
      </w:r>
      <w:r w:rsidRPr="002C0D19">
        <w:rPr>
          <w:rFonts w:ascii="Arial Narrow" w:hAnsi="Arial Narrow" w:cs="Arial"/>
          <w:color w:val="000000" w:themeColor="text1"/>
          <w:lang w:val="es-ES" w:eastAsia="es-CO"/>
        </w:rPr>
        <w:t xml:space="preserve"> </w:t>
      </w:r>
      <w:r w:rsidRPr="002C0D19">
        <w:rPr>
          <w:rFonts w:ascii="Arial Narrow" w:hAnsi="Arial Narrow" w:cs="Arial"/>
          <w:b/>
          <w:color w:val="000000" w:themeColor="text1"/>
          <w:lang w:val="es-ES" w:eastAsia="es-CO"/>
        </w:rPr>
        <w:t>CRCC</w:t>
      </w:r>
      <w:r w:rsidRPr="002C0D19">
        <w:rPr>
          <w:rFonts w:ascii="Arial Narrow" w:hAnsi="Arial Narrow" w:cs="Arial"/>
          <w:color w:val="000000" w:themeColor="text1"/>
          <w:lang w:val="es-ES" w:eastAsia="es-CO"/>
        </w:rPr>
        <w:t xml:space="preserve">.  </w:t>
      </w:r>
    </w:p>
    <w:p w14:paraId="5D661CE6" w14:textId="77777777" w:rsidR="007968EC" w:rsidRPr="002C0D19" w:rsidRDefault="007968EC" w:rsidP="007968EC">
      <w:pPr>
        <w:jc w:val="both"/>
        <w:rPr>
          <w:rFonts w:ascii="Arial Narrow" w:hAnsi="Arial Narrow" w:cs="Arial"/>
          <w:color w:val="000000" w:themeColor="text1"/>
          <w:lang w:val="es-ES" w:eastAsia="es-CO"/>
        </w:rPr>
      </w:pPr>
    </w:p>
    <w:p w14:paraId="316F8231" w14:textId="77777777" w:rsidR="007968EC" w:rsidRPr="002C0D19" w:rsidRDefault="007968EC" w:rsidP="007968EC">
      <w:pPr>
        <w:jc w:val="both"/>
        <w:rPr>
          <w:rFonts w:ascii="Arial Narrow" w:hAnsi="Arial Narrow" w:cs="Arial"/>
          <w:color w:val="000000" w:themeColor="text1"/>
          <w:lang w:val="es-ES_tradnl" w:eastAsia="es-CO"/>
        </w:rPr>
      </w:pPr>
      <w:r w:rsidRPr="002C0D19">
        <w:rPr>
          <w:rFonts w:ascii="Arial Narrow" w:hAnsi="Arial Narrow" w:cs="Arial"/>
          <w:b/>
          <w:color w:val="000000" w:themeColor="text1"/>
          <w:lang w:val="es-ES_tradnl" w:eastAsia="es-CO"/>
        </w:rPr>
        <w:t>SEGUNDA: REMISIÓN Y CONFIRMACIÓN A LA CÁMARA DE LAS OPERACIONES SOBRE INSTRUMENTOS FINANCIEROS DERIVADOS NO ESTANDARIZADOS</w:t>
      </w:r>
      <w:r w:rsidRPr="002C0D19">
        <w:rPr>
          <w:rFonts w:ascii="Arial Narrow" w:hAnsi="Arial Narrow" w:cs="Arial"/>
          <w:color w:val="000000" w:themeColor="text1"/>
          <w:lang w:val="es-ES_tradnl" w:eastAsia="es-CO"/>
        </w:rPr>
        <w:t xml:space="preserve">.- Las operaciones sobre Instrumentos Financieros Derivados No Estandarizados celebradas en el mercado mostrador que </w:t>
      </w:r>
      <w:r w:rsidRPr="002C0D19">
        <w:rPr>
          <w:rFonts w:ascii="Arial Narrow" w:hAnsi="Arial Narrow" w:cs="Arial"/>
          <w:b/>
          <w:color w:val="000000" w:themeColor="text1"/>
          <w:lang w:val="es-ES_tradnl" w:eastAsia="es-CO"/>
        </w:rPr>
        <w:t>Las</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Partes</w:t>
      </w:r>
      <w:r w:rsidRPr="002C0D19">
        <w:rPr>
          <w:rFonts w:ascii="Arial Narrow" w:hAnsi="Arial Narrow" w:cs="Arial"/>
          <w:color w:val="000000" w:themeColor="text1"/>
          <w:lang w:val="es-ES_tradnl" w:eastAsia="es-CO"/>
        </w:rPr>
        <w:t xml:space="preserve"> pretendan Compensar y Liquidar a través de </w:t>
      </w:r>
      <w:r w:rsidRPr="002C0D19">
        <w:rPr>
          <w:rFonts w:ascii="Arial Narrow" w:hAnsi="Arial Narrow" w:cs="Arial"/>
          <w:b/>
          <w:color w:val="000000" w:themeColor="text1"/>
          <w:lang w:val="es-ES_tradnl" w:eastAsia="es-CO"/>
        </w:rPr>
        <w:t>LA</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CRCC</w:t>
      </w:r>
      <w:r w:rsidRPr="002C0D19">
        <w:rPr>
          <w:rFonts w:ascii="Arial Narrow" w:hAnsi="Arial Narrow" w:cs="Arial"/>
          <w:color w:val="000000" w:themeColor="text1"/>
          <w:lang w:val="es-ES_tradnl" w:eastAsia="es-CO"/>
        </w:rPr>
        <w:t xml:space="preserve">, deberá remitirlas y confirmarlas a </w:t>
      </w:r>
      <w:r w:rsidRPr="002C0D19">
        <w:rPr>
          <w:rFonts w:ascii="Arial Narrow" w:hAnsi="Arial Narrow" w:cs="Arial"/>
          <w:b/>
          <w:color w:val="000000" w:themeColor="text1"/>
          <w:lang w:val="es-ES_tradnl" w:eastAsia="es-CO"/>
        </w:rPr>
        <w:t>LA</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CRCC</w:t>
      </w:r>
      <w:r w:rsidRPr="002C0D19">
        <w:rPr>
          <w:rFonts w:ascii="Arial Narrow" w:hAnsi="Arial Narrow" w:cs="Arial"/>
          <w:color w:val="000000" w:themeColor="text1"/>
          <w:lang w:val="es-ES_tradnl" w:eastAsia="es-CO"/>
        </w:rPr>
        <w:t xml:space="preserve"> la </w:t>
      </w:r>
      <w:r w:rsidRPr="002C0D19">
        <w:rPr>
          <w:rFonts w:ascii="Arial Narrow" w:hAnsi="Arial Narrow" w:cs="Arial"/>
          <w:b/>
          <w:color w:val="000000" w:themeColor="text1"/>
          <w:lang w:val="es-ES_tradnl" w:eastAsia="es-CO"/>
        </w:rPr>
        <w:t>Parte</w:t>
      </w:r>
      <w:r w:rsidRPr="002C0D19">
        <w:rPr>
          <w:rFonts w:ascii="Arial Narrow" w:hAnsi="Arial Narrow" w:cs="Arial"/>
          <w:color w:val="000000" w:themeColor="text1"/>
          <w:lang w:val="es-ES_tradnl" w:eastAsia="es-CO"/>
        </w:rPr>
        <w:t xml:space="preserve"> ______ (Miembro de </w:t>
      </w:r>
      <w:r w:rsidRPr="002C0D19">
        <w:rPr>
          <w:rFonts w:ascii="Arial Narrow" w:hAnsi="Arial Narrow" w:cs="Arial"/>
          <w:b/>
          <w:color w:val="000000" w:themeColor="text1"/>
          <w:lang w:val="es-ES_tradnl" w:eastAsia="es-CO"/>
        </w:rPr>
        <w:t>LA</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CRCC</w:t>
      </w:r>
      <w:r w:rsidRPr="002C0D19">
        <w:rPr>
          <w:rFonts w:ascii="Arial Narrow" w:hAnsi="Arial Narrow" w:cs="Arial"/>
          <w:color w:val="000000" w:themeColor="text1"/>
          <w:lang w:val="es-ES_tradnl" w:eastAsia="es-CO"/>
        </w:rPr>
        <w:t xml:space="preserve">) participando por su propia cuenta y por cuenta de la </w:t>
      </w:r>
      <w:r w:rsidRPr="002C0D19">
        <w:rPr>
          <w:rFonts w:ascii="Arial Narrow" w:hAnsi="Arial Narrow" w:cs="Arial"/>
          <w:b/>
          <w:color w:val="000000" w:themeColor="text1"/>
          <w:lang w:val="es-ES_tradnl" w:eastAsia="es-CO"/>
        </w:rPr>
        <w:t>Parte</w:t>
      </w:r>
      <w:r w:rsidRPr="002C0D19">
        <w:rPr>
          <w:rFonts w:ascii="Arial Narrow" w:hAnsi="Arial Narrow" w:cs="Arial"/>
          <w:color w:val="000000" w:themeColor="text1"/>
          <w:lang w:val="es-ES_tradnl" w:eastAsia="es-CO"/>
        </w:rPr>
        <w:t xml:space="preserve"> ______ (Tercero de LA CRCC en su calidad de Agente del Exterior) únicamente a través de un Sistema de Registro de Operaciones sobre Divisas autorizado por </w:t>
      </w:r>
      <w:r w:rsidRPr="002C0D19">
        <w:rPr>
          <w:rFonts w:ascii="Arial Narrow" w:hAnsi="Arial Narrow" w:cs="Arial"/>
          <w:b/>
          <w:color w:val="000000" w:themeColor="text1"/>
          <w:lang w:val="es-ES_tradnl" w:eastAsia="es-CO"/>
        </w:rPr>
        <w:t>LA</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CRCC</w:t>
      </w:r>
      <w:r w:rsidRPr="002C0D19">
        <w:rPr>
          <w:rFonts w:ascii="Arial Narrow" w:hAnsi="Arial Narrow" w:cs="Arial"/>
          <w:color w:val="000000" w:themeColor="text1"/>
          <w:lang w:val="es-ES_tradnl" w:eastAsia="es-CO"/>
        </w:rPr>
        <w:t>.</w:t>
      </w:r>
    </w:p>
    <w:p w14:paraId="1DE25517" w14:textId="77777777" w:rsidR="007968EC" w:rsidRPr="002C0D19" w:rsidRDefault="007968EC" w:rsidP="007968EC">
      <w:pPr>
        <w:jc w:val="both"/>
        <w:rPr>
          <w:rFonts w:ascii="Arial Narrow" w:hAnsi="Arial Narrow" w:cs="Arial"/>
          <w:color w:val="000000" w:themeColor="text1"/>
          <w:lang w:val="es-ES_tradnl" w:eastAsia="es-CO"/>
        </w:rPr>
      </w:pPr>
      <w:r w:rsidRPr="002C0D19">
        <w:rPr>
          <w:rFonts w:ascii="Arial Narrow" w:hAnsi="Arial Narrow" w:cs="Arial"/>
          <w:color w:val="000000" w:themeColor="text1"/>
          <w:lang w:val="es-ES_tradnl" w:eastAsia="es-CO"/>
        </w:rPr>
        <w:t xml:space="preserve"> </w:t>
      </w:r>
    </w:p>
    <w:p w14:paraId="0EE70B2E" w14:textId="77777777" w:rsidR="007968EC" w:rsidRPr="002C0D19" w:rsidRDefault="007968EC" w:rsidP="007968EC">
      <w:pPr>
        <w:jc w:val="both"/>
        <w:rPr>
          <w:rFonts w:ascii="Arial Narrow" w:hAnsi="Arial Narrow" w:cs="Arial"/>
          <w:color w:val="000000" w:themeColor="text1"/>
          <w:lang w:val="es-ES_tradnl" w:eastAsia="es-CO"/>
        </w:rPr>
      </w:pPr>
      <w:r w:rsidRPr="002C0D19">
        <w:rPr>
          <w:rFonts w:ascii="Arial Narrow" w:hAnsi="Arial Narrow" w:cs="Arial"/>
          <w:b/>
          <w:color w:val="000000" w:themeColor="text1"/>
          <w:lang w:val="es-ES_tradnl" w:eastAsia="es-CO"/>
        </w:rPr>
        <w:lastRenderedPageBreak/>
        <w:t>TERCERA</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INTENCIÓN</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DE</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NOVAR</w:t>
      </w:r>
      <w:r w:rsidRPr="002C0D19">
        <w:rPr>
          <w:rFonts w:ascii="Arial Narrow" w:hAnsi="Arial Narrow" w:cs="Arial"/>
          <w:color w:val="000000" w:themeColor="text1"/>
          <w:lang w:val="es-ES_tradnl" w:eastAsia="es-CO"/>
        </w:rPr>
        <w:t xml:space="preserve">.- Las Partes declaran su intención de que los derechos y obligaciones derivados de las operaciones sobre Instrumentos Financieros Derivados No Estandarizados celebradas entre sí, que remitan a </w:t>
      </w:r>
      <w:r w:rsidRPr="002C0D19">
        <w:rPr>
          <w:rFonts w:ascii="Arial Narrow" w:hAnsi="Arial Narrow" w:cs="Arial"/>
          <w:b/>
          <w:color w:val="000000" w:themeColor="text1"/>
          <w:lang w:val="es-ES_tradnl" w:eastAsia="es-CO"/>
        </w:rPr>
        <w:t>LA</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CRCC</w:t>
      </w:r>
      <w:r w:rsidRPr="002C0D19">
        <w:rPr>
          <w:rFonts w:ascii="Arial Narrow" w:hAnsi="Arial Narrow" w:cs="Arial"/>
          <w:color w:val="000000" w:themeColor="text1"/>
          <w:lang w:val="es-ES_tradnl" w:eastAsia="es-CO"/>
        </w:rPr>
        <w:t xml:space="preserve"> y que ésta acepte como contraparte, se entiendan automáticamente novados, con ocasión de la remisión y de la interposición de </w:t>
      </w:r>
      <w:r w:rsidRPr="002C0D19">
        <w:rPr>
          <w:rFonts w:ascii="Arial Narrow" w:hAnsi="Arial Narrow" w:cs="Arial"/>
          <w:b/>
          <w:color w:val="000000" w:themeColor="text1"/>
          <w:lang w:val="es-ES_tradnl" w:eastAsia="es-CO"/>
        </w:rPr>
        <w:t>LA</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CRCC</w:t>
      </w:r>
      <w:r w:rsidRPr="002C0D19">
        <w:rPr>
          <w:rFonts w:ascii="Arial Narrow" w:hAnsi="Arial Narrow" w:cs="Arial"/>
          <w:color w:val="000000" w:themeColor="text1"/>
          <w:lang w:val="es-ES_tradnl" w:eastAsia="es-CO"/>
        </w:rPr>
        <w:t xml:space="preserve"> como contraparte, surgiendo nuevos derechos y obligaciones de y frente a ésta y extinguiéndose los que hasta ese momento existieran entre Las Partes en relación con la operación sobre el Instrumento Financiero Derivado No Estandarizado original. </w:t>
      </w:r>
    </w:p>
    <w:p w14:paraId="50A4A38D" w14:textId="77777777" w:rsidR="007968EC" w:rsidRPr="002C0D19" w:rsidRDefault="007968EC" w:rsidP="007968EC">
      <w:pPr>
        <w:jc w:val="both"/>
        <w:rPr>
          <w:rFonts w:ascii="Arial Narrow" w:hAnsi="Arial Narrow" w:cs="Arial"/>
          <w:color w:val="000000" w:themeColor="text1"/>
          <w:lang w:val="es-ES_tradnl" w:eastAsia="es-CO"/>
        </w:rPr>
      </w:pPr>
    </w:p>
    <w:p w14:paraId="572328C5" w14:textId="77777777" w:rsidR="007968EC" w:rsidRPr="002C0D19" w:rsidRDefault="007968EC" w:rsidP="007968EC">
      <w:pPr>
        <w:jc w:val="both"/>
        <w:rPr>
          <w:rFonts w:ascii="Arial Narrow" w:hAnsi="Arial Narrow" w:cs="Arial"/>
          <w:color w:val="000000" w:themeColor="text1"/>
          <w:lang w:val="es-ES_tradnl" w:eastAsia="es-CO"/>
        </w:rPr>
      </w:pPr>
      <w:r w:rsidRPr="002C0D19">
        <w:rPr>
          <w:rFonts w:ascii="Arial Narrow" w:hAnsi="Arial Narrow" w:cs="Arial"/>
          <w:color w:val="000000" w:themeColor="text1"/>
          <w:lang w:val="es-ES_tradnl" w:eastAsia="es-CO"/>
        </w:rPr>
        <w:t xml:space="preserve">En ese sentido, una vez aceptada la operación celebrada sobre un Instrumento Financiero Derivado No Estandarizado, para Compensación y Liquidación por parte de LA CRCC, dicha operación será novada y se crearán dos nuevas operaciones cuyos Términos Económicos serán los de la operación original, una entre </w:t>
      </w:r>
      <w:r w:rsidRPr="002C0D19">
        <w:rPr>
          <w:rFonts w:ascii="Arial Narrow" w:hAnsi="Arial Narrow" w:cs="Arial"/>
          <w:b/>
          <w:color w:val="000000" w:themeColor="text1"/>
          <w:lang w:val="es-ES_tradnl" w:eastAsia="es-CO"/>
        </w:rPr>
        <w:t>LA</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CRCC</w:t>
      </w:r>
      <w:r w:rsidRPr="002C0D19">
        <w:rPr>
          <w:rFonts w:ascii="Arial Narrow" w:hAnsi="Arial Narrow" w:cs="Arial"/>
          <w:color w:val="000000" w:themeColor="text1"/>
          <w:lang w:val="es-ES_tradnl" w:eastAsia="es-CO"/>
        </w:rPr>
        <w:t xml:space="preserve"> y la Parte ______ (Miembro de </w:t>
      </w:r>
      <w:r w:rsidRPr="002C0D19">
        <w:rPr>
          <w:rFonts w:ascii="Arial Narrow" w:hAnsi="Arial Narrow" w:cs="Arial"/>
          <w:b/>
          <w:color w:val="000000" w:themeColor="text1"/>
          <w:lang w:val="es-ES_tradnl" w:eastAsia="es-CO"/>
        </w:rPr>
        <w:t>LA</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CRCC</w:t>
      </w:r>
      <w:r w:rsidRPr="002C0D19">
        <w:rPr>
          <w:rFonts w:ascii="Arial Narrow" w:hAnsi="Arial Narrow" w:cs="Arial"/>
          <w:color w:val="000000" w:themeColor="text1"/>
          <w:lang w:val="es-ES_tradnl" w:eastAsia="es-CO"/>
        </w:rPr>
        <w:t xml:space="preserve">) por su propia cuenta y otra entre </w:t>
      </w:r>
      <w:r w:rsidRPr="002C0D19">
        <w:rPr>
          <w:rFonts w:ascii="Arial Narrow" w:hAnsi="Arial Narrow" w:cs="Arial"/>
          <w:b/>
          <w:color w:val="000000" w:themeColor="text1"/>
          <w:lang w:val="es-ES_tradnl" w:eastAsia="es-CO"/>
        </w:rPr>
        <w:t>LA</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CRCC</w:t>
      </w:r>
      <w:r w:rsidRPr="002C0D19">
        <w:rPr>
          <w:rFonts w:ascii="Arial Narrow" w:hAnsi="Arial Narrow" w:cs="Arial"/>
          <w:color w:val="000000" w:themeColor="text1"/>
          <w:lang w:val="es-ES_tradnl" w:eastAsia="es-CO"/>
        </w:rPr>
        <w:t xml:space="preserve"> y la Parte ______ (Miembro de </w:t>
      </w:r>
      <w:r w:rsidRPr="002C0D19">
        <w:rPr>
          <w:rFonts w:ascii="Arial Narrow" w:hAnsi="Arial Narrow" w:cs="Arial"/>
          <w:b/>
          <w:color w:val="000000" w:themeColor="text1"/>
          <w:lang w:val="es-ES_tradnl" w:eastAsia="es-CO"/>
        </w:rPr>
        <w:t>LA</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CRCC</w:t>
      </w:r>
      <w:r w:rsidRPr="002C0D19">
        <w:rPr>
          <w:rFonts w:ascii="Arial Narrow" w:hAnsi="Arial Narrow" w:cs="Arial"/>
          <w:color w:val="000000" w:themeColor="text1"/>
          <w:lang w:val="es-ES_tradnl" w:eastAsia="es-CO"/>
        </w:rPr>
        <w:t xml:space="preserve">) por cuenta de la Parte ______ (Tercero de </w:t>
      </w:r>
      <w:r w:rsidRPr="002C0D19">
        <w:rPr>
          <w:rFonts w:ascii="Arial Narrow" w:hAnsi="Arial Narrow" w:cs="Arial"/>
          <w:b/>
          <w:color w:val="000000" w:themeColor="text1"/>
          <w:lang w:val="es-ES_tradnl" w:eastAsia="es-CO"/>
        </w:rPr>
        <w:t>LA</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CRCC</w:t>
      </w:r>
      <w:r w:rsidRPr="002C0D19">
        <w:rPr>
          <w:rFonts w:ascii="Arial Narrow" w:hAnsi="Arial Narrow" w:cs="Arial"/>
          <w:color w:val="000000" w:themeColor="text1"/>
          <w:lang w:val="es-ES_tradnl" w:eastAsia="es-CO"/>
        </w:rPr>
        <w:t xml:space="preserve"> en su calidad de Agente del Exterior).</w:t>
      </w:r>
    </w:p>
    <w:p w14:paraId="7ADFF184" w14:textId="77777777" w:rsidR="007968EC" w:rsidRPr="002C0D19" w:rsidRDefault="007968EC" w:rsidP="007968EC">
      <w:pPr>
        <w:jc w:val="both"/>
        <w:rPr>
          <w:rFonts w:ascii="Arial Narrow" w:hAnsi="Arial Narrow" w:cs="Arial"/>
          <w:color w:val="000000" w:themeColor="text1"/>
          <w:lang w:val="es-ES_tradnl" w:eastAsia="es-CO"/>
        </w:rPr>
      </w:pPr>
      <w:r w:rsidRPr="002C0D19">
        <w:rPr>
          <w:rFonts w:ascii="Arial Narrow" w:hAnsi="Arial Narrow" w:cs="Arial"/>
          <w:color w:val="000000" w:themeColor="text1"/>
          <w:lang w:val="es-ES_tradnl" w:eastAsia="es-CO"/>
        </w:rPr>
        <w:t xml:space="preserve"> </w:t>
      </w:r>
    </w:p>
    <w:p w14:paraId="7C4160FE" w14:textId="77777777" w:rsidR="007968EC" w:rsidRPr="002C0D19" w:rsidRDefault="007968EC" w:rsidP="007968EC">
      <w:pPr>
        <w:jc w:val="both"/>
        <w:rPr>
          <w:rFonts w:ascii="Arial Narrow" w:hAnsi="Arial Narrow" w:cs="Arial"/>
          <w:color w:val="000000" w:themeColor="text1"/>
          <w:lang w:val="es-ES_tradnl" w:eastAsia="es-CO"/>
        </w:rPr>
      </w:pPr>
      <w:r w:rsidRPr="002C0D19">
        <w:rPr>
          <w:rFonts w:ascii="Arial Narrow" w:hAnsi="Arial Narrow" w:cs="Arial"/>
          <w:b/>
          <w:color w:val="000000" w:themeColor="text1"/>
          <w:lang w:val="es-ES_tradnl" w:eastAsia="es-CO"/>
        </w:rPr>
        <w:t>Las</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Partes</w:t>
      </w:r>
      <w:r w:rsidRPr="002C0D19">
        <w:rPr>
          <w:rFonts w:ascii="Arial Narrow" w:hAnsi="Arial Narrow" w:cs="Arial"/>
          <w:color w:val="000000" w:themeColor="text1"/>
          <w:lang w:val="es-ES_tradnl" w:eastAsia="es-CO"/>
        </w:rPr>
        <w:t xml:space="preserve"> manifiestan que en virtud de la novación serán relevadas solamente de los derechos y obligaciones derivadas de la respectiva operación sobre el Instrumento Financiero Derivado No Estandarizado original, cuyo cumplimiento deba realizarse después de aceptada la operación por parte de </w:t>
      </w:r>
      <w:r w:rsidRPr="002C0D19">
        <w:rPr>
          <w:rFonts w:ascii="Arial Narrow" w:hAnsi="Arial Narrow" w:cs="Arial"/>
          <w:b/>
          <w:color w:val="000000" w:themeColor="text1"/>
          <w:lang w:val="es-ES_tradnl" w:eastAsia="es-CO"/>
        </w:rPr>
        <w:t>LA</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CRCC</w:t>
      </w:r>
      <w:r w:rsidRPr="002C0D19">
        <w:rPr>
          <w:rFonts w:ascii="Arial Narrow" w:hAnsi="Arial Narrow" w:cs="Arial"/>
          <w:color w:val="000000" w:themeColor="text1"/>
          <w:lang w:val="es-ES_tradnl" w:eastAsia="es-CO"/>
        </w:rPr>
        <w:t>.</w:t>
      </w:r>
    </w:p>
    <w:p w14:paraId="7332DCD7" w14:textId="77777777" w:rsidR="007968EC" w:rsidRPr="002C0D19" w:rsidRDefault="007968EC" w:rsidP="007968EC">
      <w:pPr>
        <w:jc w:val="both"/>
        <w:rPr>
          <w:rFonts w:ascii="Arial Narrow" w:hAnsi="Arial Narrow" w:cs="Arial"/>
          <w:color w:val="000000" w:themeColor="text1"/>
          <w:lang w:val="es-ES_tradnl" w:eastAsia="es-CO"/>
        </w:rPr>
      </w:pPr>
    </w:p>
    <w:p w14:paraId="014F2BF4" w14:textId="77777777" w:rsidR="007968EC" w:rsidRPr="002C0D19" w:rsidRDefault="007968EC" w:rsidP="007968EC">
      <w:pPr>
        <w:jc w:val="both"/>
        <w:rPr>
          <w:rFonts w:ascii="Arial Narrow" w:hAnsi="Arial Narrow" w:cs="Arial"/>
          <w:color w:val="000000" w:themeColor="text1"/>
          <w:lang w:val="es-ES_tradnl" w:eastAsia="es-CO"/>
        </w:rPr>
      </w:pPr>
      <w:r w:rsidRPr="002C0D19">
        <w:rPr>
          <w:rFonts w:ascii="Arial Narrow" w:hAnsi="Arial Narrow" w:cs="Arial"/>
          <w:b/>
          <w:color w:val="000000" w:themeColor="text1"/>
          <w:lang w:val="es-ES_tradnl" w:eastAsia="es-CO"/>
        </w:rPr>
        <w:t>PARÁGRAFO PRIMERO: INTENCIÓN DE NOVAR EN EL CAMBIO DE DEUDOR</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Las</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Partes</w:t>
      </w:r>
      <w:r w:rsidRPr="002C0D19">
        <w:rPr>
          <w:rFonts w:ascii="Arial Narrow" w:hAnsi="Arial Narrow" w:cs="Arial"/>
          <w:color w:val="000000" w:themeColor="text1"/>
          <w:lang w:val="es-ES_tradnl" w:eastAsia="es-CO"/>
        </w:rPr>
        <w:t xml:space="preserve"> declaran expresamente que aceptan que cuando tengan la calidad de acreedores de la otra parte en una operación sobre un Instrumento Financiero Derivado No Estandarizado, su remisión a </w:t>
      </w:r>
      <w:r w:rsidRPr="002C0D19">
        <w:rPr>
          <w:rFonts w:ascii="Arial Narrow" w:hAnsi="Arial Narrow" w:cs="Arial"/>
          <w:b/>
          <w:color w:val="000000" w:themeColor="text1"/>
          <w:lang w:val="es-ES_tradnl" w:eastAsia="es-CO"/>
        </w:rPr>
        <w:t>LA</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CRCC</w:t>
      </w:r>
      <w:r w:rsidRPr="002C0D19">
        <w:rPr>
          <w:rFonts w:ascii="Arial Narrow" w:hAnsi="Arial Narrow" w:cs="Arial"/>
          <w:color w:val="000000" w:themeColor="text1"/>
          <w:lang w:val="es-ES_tradnl" w:eastAsia="es-CO"/>
        </w:rPr>
        <w:t xml:space="preserve"> para la Compensación y Liquidación conllevará la liberación de la otra parte deudora. </w:t>
      </w:r>
    </w:p>
    <w:p w14:paraId="5555EF41" w14:textId="77777777" w:rsidR="007968EC" w:rsidRPr="002C0D19" w:rsidRDefault="007968EC" w:rsidP="007968EC">
      <w:pPr>
        <w:jc w:val="both"/>
        <w:rPr>
          <w:rFonts w:ascii="Arial Narrow" w:hAnsi="Arial Narrow" w:cs="Arial"/>
          <w:color w:val="000000" w:themeColor="text1"/>
          <w:lang w:val="es-ES_tradnl" w:eastAsia="es-CO"/>
        </w:rPr>
      </w:pPr>
    </w:p>
    <w:p w14:paraId="5CC8729F" w14:textId="77777777" w:rsidR="007968EC" w:rsidRPr="002C0D19" w:rsidRDefault="007968EC" w:rsidP="007968EC">
      <w:pPr>
        <w:jc w:val="both"/>
        <w:rPr>
          <w:rFonts w:ascii="Arial Narrow" w:hAnsi="Arial Narrow" w:cs="Arial"/>
          <w:color w:val="000000" w:themeColor="text1"/>
          <w:lang w:val="es-ES_tradnl" w:eastAsia="es-CO"/>
        </w:rPr>
      </w:pPr>
      <w:r w:rsidRPr="002C0D19">
        <w:rPr>
          <w:rFonts w:ascii="Arial Narrow" w:hAnsi="Arial Narrow" w:cs="Arial"/>
          <w:b/>
          <w:color w:val="000000" w:themeColor="text1"/>
          <w:lang w:val="es-ES_tradnl" w:eastAsia="es-CO"/>
        </w:rPr>
        <w:t>PARÁGRAFO</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SEGUNDO</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REGLAMENTO</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DE</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FUNCIONAMIENTO</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DE</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LA</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CRCC</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Las</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Partes</w:t>
      </w:r>
      <w:r w:rsidRPr="002C0D19">
        <w:rPr>
          <w:rFonts w:ascii="Arial Narrow" w:hAnsi="Arial Narrow" w:cs="Arial"/>
          <w:color w:val="000000" w:themeColor="text1"/>
          <w:lang w:val="es-ES_tradnl" w:eastAsia="es-CO"/>
        </w:rPr>
        <w:t xml:space="preserve"> declaran que las dos nuevas operaciones y las relaciones contractuales que se deriven de las mismas, así como sus efectos quedan sujetos a los Términos de Compensación y Liquidación y se rigen exclusivamente por el Reglamento de Funcionamiento, las Circulares y los Instructivos Operativos de la Cámara. En caso de discrepancia, incoherencia o contradicción entre los Términos de Compensación y Liquidación y los Términos Económicos, prevalecerán los Términos de Compensación y Liquidación.</w:t>
      </w:r>
    </w:p>
    <w:p w14:paraId="10E2132F" w14:textId="77777777" w:rsidR="007968EC" w:rsidRPr="002C0D19" w:rsidRDefault="007968EC" w:rsidP="007968EC">
      <w:pPr>
        <w:jc w:val="both"/>
        <w:rPr>
          <w:rFonts w:ascii="Arial Narrow" w:hAnsi="Arial Narrow" w:cs="Arial"/>
          <w:color w:val="000000" w:themeColor="text1"/>
          <w:lang w:val="es-ES_tradnl" w:eastAsia="es-CO"/>
        </w:rPr>
      </w:pPr>
    </w:p>
    <w:p w14:paraId="4C06A83F" w14:textId="77777777" w:rsidR="007968EC" w:rsidRPr="002C0D19" w:rsidRDefault="007968EC" w:rsidP="007968EC">
      <w:pPr>
        <w:jc w:val="both"/>
        <w:rPr>
          <w:rFonts w:ascii="Arial Narrow" w:hAnsi="Arial Narrow" w:cs="Arial"/>
          <w:color w:val="000000" w:themeColor="text1"/>
          <w:lang w:val="es-ES_tradnl" w:eastAsia="es-CO"/>
        </w:rPr>
      </w:pPr>
    </w:p>
    <w:p w14:paraId="36715F3D" w14:textId="77777777" w:rsidR="007968EC" w:rsidRPr="002C0D19" w:rsidRDefault="007968EC" w:rsidP="007968EC">
      <w:pPr>
        <w:jc w:val="both"/>
        <w:rPr>
          <w:rFonts w:ascii="Arial Narrow" w:hAnsi="Arial Narrow" w:cs="Arial"/>
          <w:color w:val="000000" w:themeColor="text1"/>
          <w:lang w:val="es-ES_tradnl" w:eastAsia="es-CO"/>
        </w:rPr>
      </w:pPr>
      <w:r w:rsidRPr="002C0D19">
        <w:rPr>
          <w:rFonts w:ascii="Arial Narrow" w:hAnsi="Arial Narrow" w:cs="Arial"/>
          <w:b/>
          <w:color w:val="000000" w:themeColor="text1"/>
          <w:lang w:eastAsia="es-CO"/>
        </w:rPr>
        <w:t>PARÁGRAFO TERCERO</w:t>
      </w:r>
      <w:r w:rsidRPr="002C0D19">
        <w:rPr>
          <w:rFonts w:ascii="Arial Narrow" w:hAnsi="Arial Narrow" w:cs="Arial"/>
          <w:color w:val="000000" w:themeColor="text1"/>
          <w:lang w:eastAsia="es-CO"/>
        </w:rPr>
        <w:t xml:space="preserve">: Cualquier reforma que se realice al Reglamento o a las Circulares de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eastAsia="es-CO"/>
        </w:rPr>
        <w:t xml:space="preserve"> que implique una modificación a los términos de los acuerdos o Convenios de vinculación, Oferta de Servicios Aceptada mediante Orden de Compra de Servicios que suscriban los Miembros y estos con sus Terceros se presume conocida y aceptada por las partes a partir de su publicación y entrada en vigencia y no requerirá de la modificación de tales acuerdos o Convenios de vinculación, Oferta de Servicios Aceptada mediante Orden de Compra de Servicios que suscriban los Miembros y estos con sus Terceros, ni de la suscripción de nuevos Convenios. No obstante, cuando haya lugar a ello, </w:t>
      </w:r>
      <w:r w:rsidRPr="002C0D19">
        <w:rPr>
          <w:rFonts w:ascii="Arial Narrow" w:hAnsi="Arial Narrow" w:cs="Arial"/>
          <w:b/>
          <w:color w:val="000000" w:themeColor="text1"/>
          <w:lang w:val="es-ES_tradnl" w:eastAsia="es-CO"/>
        </w:rPr>
        <w:t>LA CRCC</w:t>
      </w:r>
      <w:r w:rsidRPr="002C0D19">
        <w:rPr>
          <w:rFonts w:ascii="Arial Narrow" w:hAnsi="Arial Narrow" w:cs="Arial"/>
          <w:color w:val="000000" w:themeColor="text1"/>
          <w:lang w:eastAsia="es-CO"/>
        </w:rPr>
        <w:t xml:space="preserve"> podrá aprobar unos nuevos textos que incorporen las modificaciones pertinentes y publicarlos mediante Circular para efecto de la vinculación de nuevos Miembros, Agentes y Terceros a través de</w:t>
      </w:r>
      <w:r w:rsidRPr="002C0D19">
        <w:rPr>
          <w:rFonts w:ascii="Arial Narrow" w:hAnsi="Arial Narrow" w:cs="Arial"/>
          <w:b/>
          <w:color w:val="000000" w:themeColor="text1"/>
          <w:lang w:eastAsia="es-CO"/>
        </w:rPr>
        <w:t xml:space="preserve"> </w:t>
      </w:r>
      <w:r w:rsidRPr="002C0D19">
        <w:rPr>
          <w:rFonts w:ascii="Arial Narrow" w:hAnsi="Arial Narrow" w:cs="Arial"/>
          <w:color w:val="000000" w:themeColor="text1"/>
          <w:lang w:eastAsia="es-CO"/>
        </w:rPr>
        <w:t>los Miembros.</w:t>
      </w:r>
    </w:p>
    <w:p w14:paraId="365F85A5" w14:textId="77777777" w:rsidR="007968EC" w:rsidRPr="002C0D19" w:rsidRDefault="007968EC" w:rsidP="007968EC">
      <w:pPr>
        <w:jc w:val="both"/>
        <w:rPr>
          <w:rFonts w:ascii="Arial Narrow" w:hAnsi="Arial Narrow" w:cs="Arial"/>
          <w:color w:val="000000" w:themeColor="text1"/>
          <w:lang w:val="es-ES_tradnl" w:eastAsia="es-CO"/>
        </w:rPr>
      </w:pPr>
    </w:p>
    <w:p w14:paraId="0996E6A8" w14:textId="77777777" w:rsidR="007968EC" w:rsidRPr="002C0D19" w:rsidRDefault="007968EC" w:rsidP="007968EC">
      <w:pPr>
        <w:jc w:val="both"/>
        <w:rPr>
          <w:rFonts w:ascii="Arial Narrow" w:hAnsi="Arial Narrow" w:cs="Arial"/>
          <w:color w:val="000000" w:themeColor="text1"/>
          <w:lang w:val="es-ES" w:eastAsia="es-CO"/>
        </w:rPr>
      </w:pPr>
      <w:r w:rsidRPr="002C0D19">
        <w:rPr>
          <w:rFonts w:ascii="Arial Narrow" w:hAnsi="Arial Narrow" w:cs="Arial"/>
          <w:b/>
          <w:color w:val="000000" w:themeColor="text1"/>
          <w:lang w:val="es-ES_tradnl" w:eastAsia="es-CO"/>
        </w:rPr>
        <w:lastRenderedPageBreak/>
        <w:t>CUARTA</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DERECHOS</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Y</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OBLIGACIONES</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DE</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LAS</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PARTES</w:t>
      </w:r>
      <w:r w:rsidRPr="002C0D19">
        <w:rPr>
          <w:rFonts w:ascii="Arial Narrow" w:hAnsi="Arial Narrow" w:cs="Arial"/>
          <w:color w:val="000000" w:themeColor="text1"/>
          <w:lang w:val="es-ES_tradnl" w:eastAsia="es-CO"/>
        </w:rPr>
        <w:t xml:space="preserve">.- Los derechos y obligaciones de la Parte ______ (Tercero de </w:t>
      </w:r>
      <w:r w:rsidRPr="002C0D19">
        <w:rPr>
          <w:rFonts w:ascii="Arial Narrow" w:hAnsi="Arial Narrow" w:cs="Arial"/>
          <w:b/>
          <w:color w:val="000000" w:themeColor="text1"/>
          <w:lang w:val="es-ES_tradnl" w:eastAsia="es-CO"/>
        </w:rPr>
        <w:t>LA</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CRCC</w:t>
      </w:r>
      <w:r w:rsidRPr="002C0D19">
        <w:rPr>
          <w:rFonts w:ascii="Arial Narrow" w:hAnsi="Arial Narrow" w:cs="Arial"/>
          <w:color w:val="000000" w:themeColor="text1"/>
          <w:lang w:val="es-ES_tradnl" w:eastAsia="es-CO"/>
        </w:rPr>
        <w:t xml:space="preserve"> en su calidad de Agente del Exterior) derivados de las operaciones novadas por su cuenta, lo son únicamente respecto de la Parte ______ (Miembro de </w:t>
      </w:r>
      <w:r w:rsidRPr="002C0D19">
        <w:rPr>
          <w:rFonts w:ascii="Arial Narrow" w:hAnsi="Arial Narrow" w:cs="Arial"/>
          <w:b/>
          <w:color w:val="000000" w:themeColor="text1"/>
          <w:lang w:val="es-ES_tradnl" w:eastAsia="es-CO"/>
        </w:rPr>
        <w:t>LA</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CRCC</w:t>
      </w:r>
      <w:r w:rsidRPr="002C0D19">
        <w:rPr>
          <w:rFonts w:ascii="Arial Narrow" w:hAnsi="Arial Narrow" w:cs="Arial"/>
          <w:color w:val="000000" w:themeColor="text1"/>
          <w:lang w:val="es-ES_tradnl" w:eastAsia="es-CO"/>
        </w:rPr>
        <w:t xml:space="preserve">) y en ningún caso respecto de </w:t>
      </w:r>
      <w:r w:rsidRPr="002C0D19">
        <w:rPr>
          <w:rFonts w:ascii="Arial Narrow" w:hAnsi="Arial Narrow" w:cs="Arial"/>
          <w:b/>
          <w:color w:val="000000" w:themeColor="text1"/>
          <w:lang w:val="es-ES_tradnl" w:eastAsia="es-CO"/>
        </w:rPr>
        <w:t>LA</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CRCC</w:t>
      </w:r>
      <w:r w:rsidRPr="002C0D19">
        <w:rPr>
          <w:rFonts w:ascii="Arial Narrow" w:hAnsi="Arial Narrow" w:cs="Arial"/>
          <w:color w:val="000000" w:themeColor="text1"/>
          <w:lang w:val="es-ES_tradnl" w:eastAsia="es-CO"/>
        </w:rPr>
        <w:t xml:space="preserve">. Por lo tanto, LA CRCC no responderá ante la Parte ______ (Tercero de </w:t>
      </w:r>
      <w:r w:rsidRPr="002C0D19">
        <w:rPr>
          <w:rFonts w:ascii="Arial Narrow" w:hAnsi="Arial Narrow" w:cs="Arial"/>
          <w:b/>
          <w:color w:val="000000" w:themeColor="text1"/>
          <w:lang w:val="es-ES_tradnl" w:eastAsia="es-CO"/>
        </w:rPr>
        <w:t>LA</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CRCC</w:t>
      </w:r>
      <w:r w:rsidRPr="002C0D19">
        <w:rPr>
          <w:rFonts w:ascii="Arial Narrow" w:hAnsi="Arial Narrow" w:cs="Arial"/>
          <w:color w:val="000000" w:themeColor="text1"/>
          <w:lang w:val="es-ES_tradnl" w:eastAsia="es-CO"/>
        </w:rPr>
        <w:t xml:space="preserve"> en su calidad de Agente del Exterior) y no será responsable patrimonialmente por cualquier obligación debida a una persona que no sea un Miembro parte en la operación aceptada por </w:t>
      </w:r>
      <w:r w:rsidRPr="002C0D19">
        <w:rPr>
          <w:rFonts w:ascii="Arial Narrow" w:hAnsi="Arial Narrow" w:cs="Arial"/>
          <w:b/>
          <w:color w:val="000000" w:themeColor="text1"/>
          <w:lang w:val="es-ES_tradnl" w:eastAsia="es-CO"/>
        </w:rPr>
        <w:t>LA</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CRCC</w:t>
      </w:r>
      <w:r w:rsidRPr="002C0D19">
        <w:rPr>
          <w:rFonts w:ascii="Arial Narrow" w:hAnsi="Arial Narrow" w:cs="Arial"/>
          <w:color w:val="000000" w:themeColor="text1"/>
          <w:lang w:val="es-ES_tradnl" w:eastAsia="es-CO"/>
        </w:rPr>
        <w:t>.</w:t>
      </w:r>
    </w:p>
    <w:p w14:paraId="7D1B7B17" w14:textId="77777777" w:rsidR="007968EC" w:rsidRPr="002C0D19" w:rsidRDefault="007968EC" w:rsidP="007968EC">
      <w:pPr>
        <w:jc w:val="both"/>
        <w:rPr>
          <w:rFonts w:ascii="Arial Narrow" w:hAnsi="Arial Narrow" w:cs="Arial"/>
          <w:color w:val="000000" w:themeColor="text1"/>
          <w:lang w:val="es-ES_tradnl" w:eastAsia="es-CO"/>
        </w:rPr>
      </w:pPr>
    </w:p>
    <w:p w14:paraId="224E2D2C" w14:textId="77777777" w:rsidR="007968EC" w:rsidRPr="002C0D19" w:rsidRDefault="007968EC" w:rsidP="007968EC">
      <w:pPr>
        <w:jc w:val="both"/>
        <w:rPr>
          <w:rFonts w:ascii="Arial Narrow" w:hAnsi="Arial Narrow" w:cs="Arial"/>
          <w:color w:val="000000" w:themeColor="text1"/>
          <w:lang w:val="es-ES_tradnl" w:eastAsia="es-CO"/>
        </w:rPr>
      </w:pPr>
      <w:r w:rsidRPr="002C0D19">
        <w:rPr>
          <w:rFonts w:ascii="Arial Narrow" w:hAnsi="Arial Narrow" w:cs="Arial"/>
          <w:b/>
          <w:color w:val="000000" w:themeColor="text1"/>
          <w:lang w:val="es-ES_tradnl" w:eastAsia="es-CO"/>
        </w:rPr>
        <w:t>QUINTA</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FINALIDAD</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Las</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Partes</w:t>
      </w:r>
      <w:r w:rsidRPr="002C0D19">
        <w:rPr>
          <w:rFonts w:ascii="Arial Narrow" w:hAnsi="Arial Narrow" w:cs="Arial"/>
          <w:color w:val="000000" w:themeColor="text1"/>
          <w:lang w:val="es-ES_tradnl" w:eastAsia="es-CO"/>
        </w:rPr>
        <w:t xml:space="preserve"> declaran que conocen y aceptan que el principio de finalidad establecido en las disposiciones legales vigentes y en el Reglamento de Funcionamiento de </w:t>
      </w:r>
      <w:r w:rsidRPr="002C0D19">
        <w:rPr>
          <w:rFonts w:ascii="Arial Narrow" w:hAnsi="Arial Narrow" w:cs="Arial"/>
          <w:b/>
          <w:color w:val="000000" w:themeColor="text1"/>
          <w:lang w:val="es-ES_tradnl" w:eastAsia="es-CO"/>
        </w:rPr>
        <w:t>LA</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CRCC</w:t>
      </w:r>
      <w:r w:rsidRPr="002C0D19">
        <w:rPr>
          <w:rFonts w:ascii="Arial Narrow" w:hAnsi="Arial Narrow" w:cs="Arial"/>
          <w:color w:val="000000" w:themeColor="text1"/>
          <w:lang w:val="es-ES_tradnl" w:eastAsia="es-CO"/>
        </w:rPr>
        <w:t xml:space="preserve"> se extiende a las operaciones sobre Instrumentos Financieros Derivados No Estandarizados celebradas entre sí, aceptadas por la Cámara en su función de contraparte desde el momento de su aceptación y se aplica a todos los actos necesarios para su cumplimiento, incluida la compensación a que se refiere el artículo 17 de la Ley 964 de 2005.</w:t>
      </w:r>
    </w:p>
    <w:p w14:paraId="2C27C8BA" w14:textId="77777777" w:rsidR="007968EC" w:rsidRPr="002C0D19" w:rsidRDefault="007968EC" w:rsidP="007968EC">
      <w:pPr>
        <w:jc w:val="both"/>
        <w:rPr>
          <w:rFonts w:ascii="Arial Narrow" w:hAnsi="Arial Narrow" w:cs="Arial"/>
          <w:color w:val="000000" w:themeColor="text1"/>
          <w:lang w:val="es-ES_tradnl" w:eastAsia="es-CO"/>
        </w:rPr>
      </w:pPr>
    </w:p>
    <w:p w14:paraId="0D4C55F3" w14:textId="77777777" w:rsidR="007968EC" w:rsidRPr="002C0D19" w:rsidRDefault="007968EC" w:rsidP="007968EC">
      <w:pPr>
        <w:jc w:val="both"/>
        <w:rPr>
          <w:rFonts w:ascii="Arial Narrow" w:hAnsi="Arial Narrow" w:cs="Arial"/>
          <w:color w:val="000000" w:themeColor="text1"/>
          <w:lang w:val="es-ES_tradnl" w:eastAsia="es-CO"/>
        </w:rPr>
      </w:pPr>
      <w:r w:rsidRPr="002C0D19">
        <w:rPr>
          <w:rFonts w:ascii="Arial Narrow" w:hAnsi="Arial Narrow" w:cs="Arial"/>
          <w:b/>
          <w:color w:val="000000" w:themeColor="text1"/>
          <w:lang w:val="es-ES_tradnl" w:eastAsia="es-CO"/>
        </w:rPr>
        <w:t xml:space="preserve">SEXTA: RECHAZO O NO RECIBO DE </w:t>
      </w:r>
      <w:r w:rsidRPr="002C0D19">
        <w:rPr>
          <w:rFonts w:ascii="Arial Narrow" w:hAnsi="Arial Narrow" w:cs="Arial"/>
          <w:b/>
          <w:color w:val="000000" w:themeColor="text1"/>
          <w:lang w:val="es-ES" w:eastAsia="es-CO"/>
        </w:rPr>
        <w:t>OPERACIONES SOBRE INSTRUMENTOS FINANCIEROS DERIVADOS NO ESTANDARIZADOS</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Las</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Partes</w:t>
      </w:r>
      <w:r w:rsidRPr="002C0D19">
        <w:rPr>
          <w:rFonts w:ascii="Arial Narrow" w:hAnsi="Arial Narrow" w:cs="Arial"/>
          <w:color w:val="000000" w:themeColor="text1"/>
          <w:lang w:val="es-ES_tradnl" w:eastAsia="es-CO"/>
        </w:rPr>
        <w:t xml:space="preserve"> declaran que si por cualquier razón ya sea de tipo operativo, tecnológico o de riesgo </w:t>
      </w:r>
      <w:r w:rsidRPr="002C0D19">
        <w:rPr>
          <w:rFonts w:ascii="Arial Narrow" w:hAnsi="Arial Narrow" w:cs="Arial"/>
          <w:b/>
          <w:color w:val="000000" w:themeColor="text1"/>
          <w:lang w:val="es-ES_tradnl" w:eastAsia="es-CO"/>
        </w:rPr>
        <w:t>LA</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CRCC</w:t>
      </w:r>
      <w:r w:rsidRPr="002C0D19">
        <w:rPr>
          <w:rFonts w:ascii="Arial Narrow" w:hAnsi="Arial Narrow" w:cs="Arial"/>
          <w:color w:val="000000" w:themeColor="text1"/>
          <w:lang w:val="es-ES_tradnl" w:eastAsia="es-CO"/>
        </w:rPr>
        <w:t xml:space="preserve"> rechaza o no recibe una o varias </w:t>
      </w:r>
      <w:r w:rsidRPr="002C0D19">
        <w:rPr>
          <w:rFonts w:ascii="Arial Narrow" w:hAnsi="Arial Narrow" w:cs="Arial"/>
          <w:color w:val="000000" w:themeColor="text1"/>
          <w:lang w:val="es-ES" w:eastAsia="es-CO"/>
        </w:rPr>
        <w:t xml:space="preserve">operaciones </w:t>
      </w:r>
      <w:r w:rsidRPr="002C0D19">
        <w:rPr>
          <w:rFonts w:ascii="Arial Narrow" w:hAnsi="Arial Narrow" w:cs="Arial"/>
          <w:color w:val="000000" w:themeColor="text1"/>
          <w:lang w:val="es-ES_tradnl" w:eastAsia="es-CO"/>
        </w:rPr>
        <w:t xml:space="preserve">sobre Instrumentos Financieros Derivados No Estandarizados celebradas entre sí, remitidas para su Compensación y Liquidación a LA CRCC, dichas operaciones se seguirán rigiendo por el contrato o acuerdo original suscrito entre </w:t>
      </w:r>
      <w:r w:rsidRPr="002C0D19">
        <w:rPr>
          <w:rFonts w:ascii="Arial Narrow" w:hAnsi="Arial Narrow" w:cs="Arial"/>
          <w:b/>
          <w:color w:val="000000" w:themeColor="text1"/>
          <w:lang w:val="es-ES_tradnl" w:eastAsia="es-CO"/>
        </w:rPr>
        <w:t>Las</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Partes</w:t>
      </w:r>
      <w:r w:rsidRPr="002C0D19">
        <w:rPr>
          <w:rFonts w:ascii="Arial Narrow" w:hAnsi="Arial Narrow" w:cs="Arial"/>
          <w:color w:val="000000" w:themeColor="text1"/>
          <w:lang w:val="es-ES_tradnl" w:eastAsia="es-CO"/>
        </w:rPr>
        <w:t xml:space="preserve">, dichas operaciones serán vinculantes para </w:t>
      </w:r>
      <w:r w:rsidRPr="002C0D19">
        <w:rPr>
          <w:rFonts w:ascii="Arial Narrow" w:hAnsi="Arial Narrow" w:cs="Arial"/>
          <w:b/>
          <w:color w:val="000000" w:themeColor="text1"/>
          <w:lang w:val="es-ES_tradnl" w:eastAsia="es-CO"/>
        </w:rPr>
        <w:t>Las</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Partes</w:t>
      </w:r>
      <w:r w:rsidRPr="002C0D19">
        <w:rPr>
          <w:rFonts w:ascii="Arial Narrow" w:hAnsi="Arial Narrow" w:cs="Arial"/>
          <w:color w:val="000000" w:themeColor="text1"/>
          <w:lang w:val="es-ES_tradnl" w:eastAsia="es-CO"/>
        </w:rPr>
        <w:t xml:space="preserve"> y por lo tanto, el cumplimiento de las mismas estará exclusivamente a su cargo en los términos del contrato celebrado por ellas. </w:t>
      </w:r>
    </w:p>
    <w:p w14:paraId="4489FE9A" w14:textId="77777777" w:rsidR="007968EC" w:rsidRPr="002C0D19" w:rsidRDefault="007968EC" w:rsidP="007968EC">
      <w:pPr>
        <w:jc w:val="both"/>
        <w:rPr>
          <w:rFonts w:ascii="Arial Narrow" w:hAnsi="Arial Narrow" w:cs="Arial"/>
          <w:color w:val="000000" w:themeColor="text1"/>
          <w:lang w:val="es-ES_tradnl" w:eastAsia="es-CO"/>
        </w:rPr>
      </w:pPr>
    </w:p>
    <w:p w14:paraId="7CF9440A" w14:textId="77777777" w:rsidR="007968EC" w:rsidRPr="002C0D19" w:rsidRDefault="007968EC" w:rsidP="007968EC">
      <w:pPr>
        <w:jc w:val="both"/>
        <w:rPr>
          <w:rFonts w:ascii="Arial Narrow" w:hAnsi="Arial Narrow" w:cs="Arial"/>
          <w:color w:val="000000" w:themeColor="text1"/>
          <w:lang w:val="es-ES_tradnl" w:eastAsia="es-CO"/>
        </w:rPr>
      </w:pPr>
      <w:r w:rsidRPr="002C0D19">
        <w:rPr>
          <w:rFonts w:ascii="Arial Narrow" w:hAnsi="Arial Narrow" w:cs="Arial"/>
          <w:b/>
          <w:color w:val="000000" w:themeColor="text1"/>
          <w:lang w:val="es-ES_tradnl" w:eastAsia="es-CO"/>
        </w:rPr>
        <w:t>SÉPTIMA</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VIGENCIA</w:t>
      </w:r>
      <w:r w:rsidRPr="002C0D19">
        <w:rPr>
          <w:rFonts w:ascii="Arial Narrow" w:hAnsi="Arial Narrow" w:cs="Arial"/>
          <w:color w:val="000000" w:themeColor="text1"/>
          <w:lang w:val="es-ES_tradnl" w:eastAsia="es-CO"/>
        </w:rPr>
        <w:t xml:space="preserve">.- La vigencia del </w:t>
      </w:r>
      <w:r w:rsidRPr="002C0D19">
        <w:rPr>
          <w:rFonts w:ascii="Arial Narrow" w:hAnsi="Arial Narrow" w:cs="Arial"/>
          <w:b/>
          <w:color w:val="000000" w:themeColor="text1"/>
          <w:lang w:val="es-ES_tradnl" w:eastAsia="es-CO"/>
        </w:rPr>
        <w:t>CONVENIO</w:t>
      </w:r>
      <w:r w:rsidRPr="002C0D19">
        <w:rPr>
          <w:rFonts w:ascii="Arial Narrow" w:hAnsi="Arial Narrow" w:cs="Arial"/>
          <w:color w:val="000000" w:themeColor="text1"/>
          <w:lang w:val="es-ES_tradnl" w:eastAsia="es-CO"/>
        </w:rPr>
        <w:t xml:space="preserve"> es indefinida. No obstante lo anterior, </w:t>
      </w:r>
      <w:r w:rsidRPr="002C0D19">
        <w:rPr>
          <w:rFonts w:ascii="Arial Narrow" w:hAnsi="Arial Narrow" w:cs="Arial"/>
          <w:b/>
          <w:color w:val="000000" w:themeColor="text1"/>
          <w:lang w:val="es-ES_tradnl" w:eastAsia="es-CO"/>
        </w:rPr>
        <w:t>Las</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Partes</w:t>
      </w:r>
      <w:r w:rsidRPr="002C0D19">
        <w:rPr>
          <w:rFonts w:ascii="Arial Narrow" w:hAnsi="Arial Narrow" w:cs="Arial"/>
          <w:color w:val="000000" w:themeColor="text1"/>
          <w:lang w:val="es-ES_tradnl" w:eastAsia="es-CO"/>
        </w:rPr>
        <w:t xml:space="preserve"> podrán darlo por terminado en cualquier tiempo, mediante la entrega a la otra parte de un aviso escrito en tal sentido, remitido con no menos de treinta (30) días calendario de anticipación al día hábil en el cual desea que dicha terminación tenga efecto. </w:t>
      </w:r>
    </w:p>
    <w:p w14:paraId="01B43BA2" w14:textId="77777777" w:rsidR="007968EC" w:rsidRPr="002C0D19" w:rsidRDefault="007968EC" w:rsidP="007968EC">
      <w:pPr>
        <w:jc w:val="both"/>
        <w:rPr>
          <w:rFonts w:ascii="Arial Narrow" w:hAnsi="Arial Narrow" w:cs="Arial"/>
          <w:color w:val="000000" w:themeColor="text1"/>
          <w:lang w:val="es-ES_tradnl" w:eastAsia="es-CO"/>
        </w:rPr>
      </w:pPr>
    </w:p>
    <w:p w14:paraId="7A605D09" w14:textId="77777777" w:rsidR="007968EC" w:rsidRPr="002C0D19" w:rsidRDefault="007968EC" w:rsidP="007968EC">
      <w:pPr>
        <w:jc w:val="both"/>
        <w:rPr>
          <w:rFonts w:ascii="Arial Narrow" w:hAnsi="Arial Narrow" w:cs="Arial"/>
          <w:color w:val="000000" w:themeColor="text1"/>
          <w:lang w:val="es-ES" w:eastAsia="es-CO"/>
        </w:rPr>
      </w:pPr>
      <w:r w:rsidRPr="002C0D19">
        <w:rPr>
          <w:rFonts w:ascii="Arial Narrow" w:hAnsi="Arial Narrow" w:cs="Arial"/>
          <w:b/>
          <w:color w:val="000000" w:themeColor="text1"/>
          <w:lang w:val="es-ES" w:eastAsia="es-CO"/>
        </w:rPr>
        <w:t>PARÁGRAFO.</w:t>
      </w:r>
      <w:r w:rsidRPr="002C0D19">
        <w:rPr>
          <w:rFonts w:ascii="Arial Narrow" w:hAnsi="Arial Narrow" w:cs="Arial"/>
          <w:color w:val="000000" w:themeColor="text1"/>
          <w:lang w:val="es-ES" w:eastAsia="es-CO"/>
        </w:rPr>
        <w:t xml:space="preserve"> </w:t>
      </w:r>
      <w:r w:rsidRPr="002C0D19">
        <w:rPr>
          <w:rFonts w:ascii="Arial Narrow" w:hAnsi="Arial Narrow" w:cs="Arial"/>
          <w:b/>
          <w:color w:val="000000" w:themeColor="text1"/>
          <w:lang w:val="es-ES" w:eastAsia="es-CO"/>
        </w:rPr>
        <w:t>NOTIFICACIÓN</w:t>
      </w:r>
      <w:r w:rsidRPr="002C0D19">
        <w:rPr>
          <w:rFonts w:ascii="Arial Narrow" w:hAnsi="Arial Narrow" w:cs="Arial"/>
          <w:color w:val="000000" w:themeColor="text1"/>
          <w:lang w:val="es-ES" w:eastAsia="es-CO"/>
        </w:rPr>
        <w:t xml:space="preserve"> </w:t>
      </w:r>
      <w:r w:rsidRPr="002C0D19">
        <w:rPr>
          <w:rFonts w:ascii="Arial Narrow" w:hAnsi="Arial Narrow" w:cs="Arial"/>
          <w:b/>
          <w:color w:val="000000" w:themeColor="text1"/>
          <w:lang w:val="es-ES" w:eastAsia="es-CO"/>
        </w:rPr>
        <w:t>A</w:t>
      </w:r>
      <w:r w:rsidRPr="002C0D19">
        <w:rPr>
          <w:rFonts w:ascii="Arial Narrow" w:hAnsi="Arial Narrow" w:cs="Arial"/>
          <w:color w:val="000000" w:themeColor="text1"/>
          <w:lang w:val="es-ES" w:eastAsia="es-CO"/>
        </w:rPr>
        <w:t xml:space="preserve"> </w:t>
      </w:r>
      <w:r w:rsidRPr="002C0D19">
        <w:rPr>
          <w:rFonts w:ascii="Arial Narrow" w:hAnsi="Arial Narrow" w:cs="Arial"/>
          <w:b/>
          <w:color w:val="000000" w:themeColor="text1"/>
          <w:lang w:val="es-ES" w:eastAsia="es-CO"/>
        </w:rPr>
        <w:t>LA</w:t>
      </w:r>
      <w:r w:rsidRPr="002C0D19">
        <w:rPr>
          <w:rFonts w:ascii="Arial Narrow" w:hAnsi="Arial Narrow" w:cs="Arial"/>
          <w:color w:val="000000" w:themeColor="text1"/>
          <w:lang w:val="es-ES" w:eastAsia="es-CO"/>
        </w:rPr>
        <w:t xml:space="preserve"> </w:t>
      </w:r>
      <w:r w:rsidRPr="002C0D19">
        <w:rPr>
          <w:rFonts w:ascii="Arial Narrow" w:hAnsi="Arial Narrow" w:cs="Arial"/>
          <w:b/>
          <w:color w:val="000000" w:themeColor="text1"/>
          <w:lang w:val="es-ES" w:eastAsia="es-CO"/>
        </w:rPr>
        <w:t>CRCC</w:t>
      </w:r>
      <w:r w:rsidRPr="002C0D19">
        <w:rPr>
          <w:rFonts w:ascii="Arial Narrow" w:hAnsi="Arial Narrow" w:cs="Arial"/>
          <w:color w:val="000000" w:themeColor="text1"/>
          <w:lang w:val="es-ES_tradnl" w:eastAsia="es-CO"/>
        </w:rPr>
        <w:t xml:space="preserve">.- </w:t>
      </w:r>
      <w:r w:rsidRPr="002C0D19">
        <w:rPr>
          <w:rFonts w:ascii="Arial Narrow" w:hAnsi="Arial Narrow" w:cs="Arial"/>
          <w:color w:val="000000" w:themeColor="text1"/>
          <w:lang w:val="es-ES" w:eastAsia="es-CO"/>
        </w:rPr>
        <w:t xml:space="preserve">En caso de terminación del presente </w:t>
      </w:r>
      <w:r w:rsidRPr="002C0D19">
        <w:rPr>
          <w:rFonts w:ascii="Arial Narrow" w:hAnsi="Arial Narrow" w:cs="Arial"/>
          <w:b/>
          <w:color w:val="000000" w:themeColor="text1"/>
          <w:lang w:val="es-ES" w:eastAsia="es-CO"/>
        </w:rPr>
        <w:t>CONVENIO</w:t>
      </w:r>
      <w:r w:rsidRPr="002C0D19">
        <w:rPr>
          <w:rFonts w:ascii="Arial Narrow" w:hAnsi="Arial Narrow" w:cs="Arial"/>
          <w:color w:val="000000" w:themeColor="text1"/>
          <w:lang w:val="es-ES" w:eastAsia="es-CO"/>
        </w:rPr>
        <w:t xml:space="preserve">, </w:t>
      </w:r>
      <w:r w:rsidRPr="002C0D19">
        <w:rPr>
          <w:rFonts w:ascii="Arial Narrow" w:hAnsi="Arial Narrow" w:cs="Arial"/>
          <w:b/>
          <w:color w:val="000000" w:themeColor="text1"/>
          <w:lang w:val="es-ES_tradnl" w:eastAsia="es-CO"/>
        </w:rPr>
        <w:t>la</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Parte</w:t>
      </w:r>
      <w:r w:rsidRPr="002C0D19">
        <w:rPr>
          <w:rFonts w:ascii="Arial Narrow" w:hAnsi="Arial Narrow" w:cs="Arial"/>
          <w:color w:val="000000" w:themeColor="text1"/>
          <w:lang w:val="es-ES_tradnl" w:eastAsia="es-CO"/>
        </w:rPr>
        <w:t xml:space="preserve"> ______ (Miembro de </w:t>
      </w:r>
      <w:r w:rsidRPr="002C0D19">
        <w:rPr>
          <w:rFonts w:ascii="Arial Narrow" w:hAnsi="Arial Narrow" w:cs="Arial"/>
          <w:b/>
          <w:color w:val="000000" w:themeColor="text1"/>
          <w:lang w:val="es-ES_tradnl" w:eastAsia="es-CO"/>
        </w:rPr>
        <w:t>LA</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CRCC</w:t>
      </w:r>
      <w:r w:rsidRPr="002C0D19">
        <w:rPr>
          <w:rFonts w:ascii="Arial Narrow" w:hAnsi="Arial Narrow" w:cs="Arial"/>
          <w:color w:val="000000" w:themeColor="text1"/>
          <w:lang w:val="es-ES_tradnl" w:eastAsia="es-CO"/>
        </w:rPr>
        <w:t xml:space="preserve">) </w:t>
      </w:r>
      <w:r w:rsidRPr="002C0D19">
        <w:rPr>
          <w:rFonts w:ascii="Arial Narrow" w:hAnsi="Arial Narrow" w:cs="Arial"/>
          <w:color w:val="000000" w:themeColor="text1"/>
          <w:lang w:val="es-ES" w:eastAsia="es-CO"/>
        </w:rPr>
        <w:t xml:space="preserve">se obliga a notificar de ello en forma inmediata y por escrito a </w:t>
      </w:r>
      <w:r w:rsidRPr="002C0D19">
        <w:rPr>
          <w:rFonts w:ascii="Arial Narrow" w:hAnsi="Arial Narrow" w:cs="Arial"/>
          <w:b/>
          <w:color w:val="000000" w:themeColor="text1"/>
          <w:lang w:val="es-ES" w:eastAsia="es-CO"/>
        </w:rPr>
        <w:t>LA</w:t>
      </w:r>
      <w:r w:rsidRPr="002C0D19">
        <w:rPr>
          <w:rFonts w:ascii="Arial Narrow" w:hAnsi="Arial Narrow" w:cs="Arial"/>
          <w:color w:val="000000" w:themeColor="text1"/>
          <w:lang w:val="es-ES" w:eastAsia="es-CO"/>
        </w:rPr>
        <w:t xml:space="preserve"> </w:t>
      </w:r>
      <w:r w:rsidRPr="002C0D19">
        <w:rPr>
          <w:rFonts w:ascii="Arial Narrow" w:hAnsi="Arial Narrow" w:cs="Arial"/>
          <w:b/>
          <w:color w:val="000000" w:themeColor="text1"/>
          <w:lang w:val="es-ES" w:eastAsia="es-CO"/>
        </w:rPr>
        <w:t>CRCC</w:t>
      </w:r>
      <w:r w:rsidRPr="002C0D19">
        <w:rPr>
          <w:rFonts w:ascii="Arial Narrow" w:hAnsi="Arial Narrow" w:cs="Arial"/>
          <w:color w:val="000000" w:themeColor="text1"/>
          <w:lang w:val="es-ES" w:eastAsia="es-CO"/>
        </w:rPr>
        <w:t xml:space="preserve">. En todo caso </w:t>
      </w:r>
      <w:r w:rsidRPr="002C0D19">
        <w:rPr>
          <w:rFonts w:ascii="Arial Narrow" w:hAnsi="Arial Narrow" w:cs="Arial"/>
          <w:b/>
          <w:color w:val="000000" w:themeColor="text1"/>
          <w:lang w:val="es-ES" w:eastAsia="es-CO"/>
        </w:rPr>
        <w:t>EL</w:t>
      </w:r>
      <w:r w:rsidRPr="002C0D19">
        <w:rPr>
          <w:rFonts w:ascii="Arial Narrow" w:hAnsi="Arial Narrow" w:cs="Arial"/>
          <w:color w:val="000000" w:themeColor="text1"/>
          <w:lang w:val="es-ES" w:eastAsia="es-CO"/>
        </w:rPr>
        <w:t xml:space="preserve"> </w:t>
      </w:r>
      <w:r w:rsidRPr="002C0D19">
        <w:rPr>
          <w:rFonts w:ascii="Arial Narrow" w:hAnsi="Arial Narrow" w:cs="Arial"/>
          <w:b/>
          <w:color w:val="000000" w:themeColor="text1"/>
          <w:lang w:val="es-ES" w:eastAsia="es-CO"/>
        </w:rPr>
        <w:t>CONVENIO</w:t>
      </w:r>
      <w:r w:rsidRPr="002C0D19">
        <w:rPr>
          <w:rFonts w:ascii="Arial Narrow" w:hAnsi="Arial Narrow" w:cs="Arial"/>
          <w:color w:val="000000" w:themeColor="text1"/>
          <w:lang w:val="es-ES" w:eastAsia="es-CO"/>
        </w:rPr>
        <w:t xml:space="preserve"> estará vigente hasta que dicha notificación se haya efectuado y </w:t>
      </w:r>
      <w:r w:rsidRPr="002C0D19">
        <w:rPr>
          <w:rFonts w:ascii="Arial Narrow" w:hAnsi="Arial Narrow" w:cs="Arial"/>
          <w:b/>
          <w:color w:val="000000" w:themeColor="text1"/>
          <w:lang w:val="es-ES" w:eastAsia="es-CO"/>
        </w:rPr>
        <w:t>LA</w:t>
      </w:r>
      <w:r w:rsidRPr="002C0D19">
        <w:rPr>
          <w:rFonts w:ascii="Arial Narrow" w:hAnsi="Arial Narrow" w:cs="Arial"/>
          <w:color w:val="000000" w:themeColor="text1"/>
          <w:lang w:val="es-ES" w:eastAsia="es-CO"/>
        </w:rPr>
        <w:t xml:space="preserve"> </w:t>
      </w:r>
      <w:r w:rsidRPr="002C0D19">
        <w:rPr>
          <w:rFonts w:ascii="Arial Narrow" w:hAnsi="Arial Narrow" w:cs="Arial"/>
          <w:b/>
          <w:color w:val="000000" w:themeColor="text1"/>
          <w:lang w:val="es-ES" w:eastAsia="es-CO"/>
        </w:rPr>
        <w:t>CRCC</w:t>
      </w:r>
      <w:r w:rsidRPr="002C0D19">
        <w:rPr>
          <w:rFonts w:ascii="Arial Narrow" w:hAnsi="Arial Narrow" w:cs="Arial"/>
          <w:color w:val="000000" w:themeColor="text1"/>
          <w:lang w:val="es-ES" w:eastAsia="es-CO"/>
        </w:rPr>
        <w:t xml:space="preserve"> haya informado su recibo a </w:t>
      </w:r>
      <w:r w:rsidRPr="002C0D19">
        <w:rPr>
          <w:rFonts w:ascii="Arial Narrow" w:hAnsi="Arial Narrow" w:cs="Arial"/>
          <w:b/>
          <w:color w:val="000000" w:themeColor="text1"/>
          <w:lang w:val="es-ES_tradnl" w:eastAsia="es-CO"/>
        </w:rPr>
        <w:t>la</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Parte</w:t>
      </w:r>
      <w:r w:rsidRPr="002C0D19">
        <w:rPr>
          <w:rFonts w:ascii="Arial Narrow" w:hAnsi="Arial Narrow" w:cs="Arial"/>
          <w:color w:val="000000" w:themeColor="text1"/>
          <w:lang w:val="es-ES_tradnl" w:eastAsia="es-CO"/>
        </w:rPr>
        <w:t xml:space="preserve"> ______ (Miembro de </w:t>
      </w:r>
      <w:r w:rsidRPr="002C0D19">
        <w:rPr>
          <w:rFonts w:ascii="Arial Narrow" w:hAnsi="Arial Narrow" w:cs="Arial"/>
          <w:b/>
          <w:color w:val="000000" w:themeColor="text1"/>
          <w:lang w:val="es-ES_tradnl" w:eastAsia="es-CO"/>
        </w:rPr>
        <w:t>LA</w:t>
      </w:r>
      <w:r w:rsidRPr="002C0D19">
        <w:rPr>
          <w:rFonts w:ascii="Arial Narrow" w:hAnsi="Arial Narrow" w:cs="Arial"/>
          <w:color w:val="000000" w:themeColor="text1"/>
          <w:lang w:val="es-ES_tradnl" w:eastAsia="es-CO"/>
        </w:rPr>
        <w:t xml:space="preserve"> </w:t>
      </w:r>
      <w:r w:rsidRPr="002C0D19">
        <w:rPr>
          <w:rFonts w:ascii="Arial Narrow" w:hAnsi="Arial Narrow" w:cs="Arial"/>
          <w:b/>
          <w:color w:val="000000" w:themeColor="text1"/>
          <w:lang w:val="es-ES_tradnl" w:eastAsia="es-CO"/>
        </w:rPr>
        <w:t>CRCC</w:t>
      </w:r>
      <w:r w:rsidRPr="002C0D19">
        <w:rPr>
          <w:rFonts w:ascii="Arial Narrow" w:hAnsi="Arial Narrow" w:cs="Arial"/>
          <w:color w:val="000000" w:themeColor="text1"/>
          <w:lang w:val="es-ES_tradnl" w:eastAsia="es-CO"/>
        </w:rPr>
        <w:t>)</w:t>
      </w:r>
      <w:r w:rsidRPr="002C0D19">
        <w:rPr>
          <w:rFonts w:ascii="Arial Narrow" w:hAnsi="Arial Narrow" w:cs="Arial"/>
          <w:color w:val="000000" w:themeColor="text1"/>
          <w:lang w:val="es-ES" w:eastAsia="es-CO"/>
        </w:rPr>
        <w:t>.</w:t>
      </w:r>
    </w:p>
    <w:p w14:paraId="5DDE2266" w14:textId="77777777" w:rsidR="007968EC" w:rsidRPr="002C0D19" w:rsidRDefault="007968EC" w:rsidP="007968EC">
      <w:pPr>
        <w:jc w:val="both"/>
        <w:rPr>
          <w:rFonts w:ascii="Arial Narrow" w:hAnsi="Arial Narrow" w:cs="Arial"/>
          <w:color w:val="000000" w:themeColor="text1"/>
          <w:lang w:val="es-ES_tradnl" w:eastAsia="es-ES"/>
        </w:rPr>
      </w:pPr>
    </w:p>
    <w:p w14:paraId="2DDA84D6" w14:textId="77777777" w:rsidR="007968EC" w:rsidRPr="002C0D19" w:rsidRDefault="007968EC" w:rsidP="007968EC">
      <w:pPr>
        <w:jc w:val="both"/>
        <w:rPr>
          <w:rFonts w:ascii="Arial Narrow" w:hAnsi="Arial Narrow" w:cs="Arial"/>
          <w:color w:val="000000" w:themeColor="text1"/>
          <w:lang w:val="es-ES_tradnl" w:eastAsia="es-ES"/>
        </w:rPr>
      </w:pPr>
      <w:r w:rsidRPr="002C0D19">
        <w:rPr>
          <w:rFonts w:ascii="Arial Narrow" w:hAnsi="Arial Narrow" w:cs="Arial"/>
          <w:b/>
          <w:color w:val="000000" w:themeColor="text1"/>
          <w:lang w:val="es-ES_tradnl" w:eastAsia="es-ES"/>
        </w:rPr>
        <w:t>OCTAVA: CONVENIO A DISPOSICIÓN DE LA CRCC</w:t>
      </w:r>
      <w:r w:rsidRPr="002C0D19">
        <w:rPr>
          <w:rFonts w:ascii="Arial Narrow" w:hAnsi="Arial Narrow" w:cs="Arial"/>
          <w:color w:val="000000" w:themeColor="text1"/>
          <w:lang w:val="es-ES_tradnl" w:eastAsia="es-ES"/>
        </w:rPr>
        <w:t xml:space="preserve">.- </w:t>
      </w:r>
      <w:r w:rsidRPr="002C0D19">
        <w:rPr>
          <w:rFonts w:ascii="Arial Narrow" w:hAnsi="Arial Narrow" w:cs="Arial"/>
          <w:b/>
          <w:color w:val="000000" w:themeColor="text1"/>
          <w:lang w:val="es-ES_tradnl" w:eastAsia="es-ES"/>
        </w:rPr>
        <w:t>La</w:t>
      </w:r>
      <w:r w:rsidRPr="002C0D19">
        <w:rPr>
          <w:rFonts w:ascii="Arial Narrow" w:hAnsi="Arial Narrow" w:cs="Arial"/>
          <w:color w:val="000000" w:themeColor="text1"/>
          <w:lang w:val="es-ES_tradnl" w:eastAsia="es-ES"/>
        </w:rPr>
        <w:t xml:space="preserve"> </w:t>
      </w:r>
      <w:r w:rsidRPr="002C0D19">
        <w:rPr>
          <w:rFonts w:ascii="Arial Narrow" w:hAnsi="Arial Narrow" w:cs="Arial"/>
          <w:b/>
          <w:color w:val="000000" w:themeColor="text1"/>
          <w:lang w:val="es-ES_tradnl" w:eastAsia="es-ES"/>
        </w:rPr>
        <w:t>Parte</w:t>
      </w:r>
      <w:r w:rsidRPr="002C0D19">
        <w:rPr>
          <w:rFonts w:ascii="Arial Narrow" w:hAnsi="Arial Narrow" w:cs="Arial"/>
          <w:color w:val="000000" w:themeColor="text1"/>
          <w:lang w:val="es-ES_tradnl" w:eastAsia="es-ES"/>
        </w:rPr>
        <w:t xml:space="preserve"> ______ (Miembro de </w:t>
      </w:r>
      <w:r w:rsidRPr="002C0D19">
        <w:rPr>
          <w:rFonts w:ascii="Arial Narrow" w:hAnsi="Arial Narrow" w:cs="Arial"/>
          <w:b/>
          <w:color w:val="000000" w:themeColor="text1"/>
          <w:lang w:val="es-ES_tradnl" w:eastAsia="es-ES"/>
        </w:rPr>
        <w:t>LA</w:t>
      </w:r>
      <w:r w:rsidRPr="002C0D19">
        <w:rPr>
          <w:rFonts w:ascii="Arial Narrow" w:hAnsi="Arial Narrow" w:cs="Arial"/>
          <w:color w:val="000000" w:themeColor="text1"/>
          <w:lang w:val="es-ES_tradnl" w:eastAsia="es-ES"/>
        </w:rPr>
        <w:t xml:space="preserve"> </w:t>
      </w:r>
      <w:r w:rsidRPr="002C0D19">
        <w:rPr>
          <w:rFonts w:ascii="Arial Narrow" w:hAnsi="Arial Narrow" w:cs="Arial"/>
          <w:b/>
          <w:color w:val="000000" w:themeColor="text1"/>
          <w:lang w:val="es-ES_tradnl" w:eastAsia="es-ES"/>
        </w:rPr>
        <w:t>CRCC</w:t>
      </w:r>
      <w:r w:rsidRPr="002C0D19">
        <w:rPr>
          <w:rFonts w:ascii="Arial Narrow" w:hAnsi="Arial Narrow" w:cs="Arial"/>
          <w:color w:val="000000" w:themeColor="text1"/>
          <w:lang w:val="es-ES_tradnl" w:eastAsia="es-ES"/>
        </w:rPr>
        <w:t xml:space="preserve">) deberá mantener a disposición de </w:t>
      </w:r>
      <w:r w:rsidRPr="002C0D19">
        <w:rPr>
          <w:rFonts w:ascii="Arial Narrow" w:hAnsi="Arial Narrow" w:cs="Arial"/>
          <w:b/>
          <w:color w:val="000000" w:themeColor="text1"/>
          <w:lang w:val="es-ES_tradnl" w:eastAsia="es-ES"/>
        </w:rPr>
        <w:t>LA</w:t>
      </w:r>
      <w:r w:rsidRPr="002C0D19">
        <w:rPr>
          <w:rFonts w:ascii="Arial Narrow" w:hAnsi="Arial Narrow" w:cs="Arial"/>
          <w:color w:val="000000" w:themeColor="text1"/>
          <w:lang w:val="es-ES_tradnl" w:eastAsia="es-ES"/>
        </w:rPr>
        <w:t xml:space="preserve"> </w:t>
      </w:r>
      <w:r w:rsidRPr="002C0D19">
        <w:rPr>
          <w:rFonts w:ascii="Arial Narrow" w:hAnsi="Arial Narrow" w:cs="Arial"/>
          <w:b/>
          <w:color w:val="000000" w:themeColor="text1"/>
          <w:lang w:val="es-ES_tradnl" w:eastAsia="es-ES"/>
        </w:rPr>
        <w:t>CRCC</w:t>
      </w:r>
      <w:r w:rsidRPr="002C0D19">
        <w:rPr>
          <w:rFonts w:ascii="Arial Narrow" w:hAnsi="Arial Narrow" w:cs="Arial"/>
          <w:color w:val="000000" w:themeColor="text1"/>
          <w:lang w:val="es-ES_tradnl" w:eastAsia="es-ES"/>
        </w:rPr>
        <w:t xml:space="preserve"> un original del presente </w:t>
      </w:r>
      <w:r w:rsidRPr="002C0D19">
        <w:rPr>
          <w:rFonts w:ascii="Arial Narrow" w:hAnsi="Arial Narrow" w:cs="Arial"/>
          <w:b/>
          <w:color w:val="000000" w:themeColor="text1"/>
          <w:lang w:val="es-ES_tradnl" w:eastAsia="es-ES"/>
        </w:rPr>
        <w:t>CONVENIO</w:t>
      </w:r>
      <w:r w:rsidRPr="002C0D19">
        <w:rPr>
          <w:rFonts w:ascii="Arial Narrow" w:hAnsi="Arial Narrow" w:cs="Arial"/>
          <w:color w:val="000000" w:themeColor="text1"/>
          <w:lang w:val="es-ES_tradnl" w:eastAsia="es-ES"/>
        </w:rPr>
        <w:t xml:space="preserve">, el cual podrá ser solicitado por </w:t>
      </w:r>
      <w:r w:rsidRPr="002C0D19">
        <w:rPr>
          <w:rFonts w:ascii="Arial Narrow" w:hAnsi="Arial Narrow" w:cs="Arial"/>
          <w:b/>
          <w:color w:val="000000" w:themeColor="text1"/>
          <w:lang w:val="es-ES_tradnl" w:eastAsia="es-ES"/>
        </w:rPr>
        <w:t>LA</w:t>
      </w:r>
      <w:r w:rsidRPr="002C0D19">
        <w:rPr>
          <w:rFonts w:ascii="Arial Narrow" w:hAnsi="Arial Narrow" w:cs="Arial"/>
          <w:color w:val="000000" w:themeColor="text1"/>
          <w:lang w:val="es-ES_tradnl" w:eastAsia="es-ES"/>
        </w:rPr>
        <w:t xml:space="preserve"> </w:t>
      </w:r>
      <w:r w:rsidRPr="002C0D19">
        <w:rPr>
          <w:rFonts w:ascii="Arial Narrow" w:hAnsi="Arial Narrow" w:cs="Arial"/>
          <w:b/>
          <w:color w:val="000000" w:themeColor="text1"/>
          <w:lang w:val="es-ES_tradnl" w:eastAsia="es-ES"/>
        </w:rPr>
        <w:t>CRCC</w:t>
      </w:r>
      <w:r w:rsidRPr="002C0D19">
        <w:rPr>
          <w:rFonts w:ascii="Arial Narrow" w:hAnsi="Arial Narrow" w:cs="Arial"/>
          <w:color w:val="000000" w:themeColor="text1"/>
          <w:lang w:val="es-ES_tradnl" w:eastAsia="es-ES"/>
        </w:rPr>
        <w:t xml:space="preserve"> en cualquier momento.</w:t>
      </w:r>
    </w:p>
    <w:p w14:paraId="3326E128" w14:textId="77777777" w:rsidR="007968EC" w:rsidRPr="002C0D19" w:rsidRDefault="007968EC" w:rsidP="007968EC">
      <w:pPr>
        <w:jc w:val="both"/>
        <w:rPr>
          <w:rFonts w:ascii="Arial Narrow" w:hAnsi="Arial Narrow" w:cs="Arial"/>
          <w:bCs/>
          <w:color w:val="000000" w:themeColor="text1"/>
          <w:lang w:val="es-ES" w:eastAsia="es-ES"/>
        </w:rPr>
      </w:pPr>
    </w:p>
    <w:p w14:paraId="75988615" w14:textId="77777777" w:rsidR="007968EC" w:rsidRPr="002C0D19" w:rsidRDefault="007968EC" w:rsidP="007968EC">
      <w:pPr>
        <w:jc w:val="both"/>
        <w:rPr>
          <w:rFonts w:ascii="Arial Narrow" w:hAnsi="Arial Narrow" w:cs="Arial"/>
          <w:bCs/>
          <w:color w:val="000000" w:themeColor="text1"/>
          <w:lang w:val="es-ES" w:eastAsia="es-ES"/>
        </w:rPr>
      </w:pPr>
      <w:r w:rsidRPr="002C0D19">
        <w:rPr>
          <w:rFonts w:ascii="Arial Narrow" w:hAnsi="Arial Narrow" w:cs="Arial"/>
          <w:b/>
          <w:bCs/>
          <w:color w:val="000000" w:themeColor="text1"/>
          <w:lang w:val="es-ES" w:eastAsia="es-ES"/>
        </w:rPr>
        <w:t>NOVENA: LEY APLICABLE</w:t>
      </w:r>
      <w:r w:rsidRPr="002C0D19">
        <w:rPr>
          <w:rFonts w:ascii="Arial Narrow" w:hAnsi="Arial Narrow" w:cs="Arial"/>
          <w:bCs/>
          <w:color w:val="000000" w:themeColor="text1"/>
          <w:lang w:val="es-ES" w:eastAsia="es-ES"/>
        </w:rPr>
        <w:t xml:space="preserve">.- El presente </w:t>
      </w:r>
      <w:r w:rsidRPr="002C0D19">
        <w:rPr>
          <w:rFonts w:ascii="Arial Narrow" w:hAnsi="Arial Narrow" w:cs="Arial"/>
          <w:b/>
          <w:bCs/>
          <w:color w:val="000000" w:themeColor="text1"/>
          <w:lang w:val="es-ES" w:eastAsia="es-ES"/>
        </w:rPr>
        <w:t>CONVENIO</w:t>
      </w:r>
      <w:r w:rsidRPr="002C0D19">
        <w:rPr>
          <w:rFonts w:ascii="Arial Narrow" w:hAnsi="Arial Narrow" w:cs="Arial"/>
          <w:bCs/>
          <w:color w:val="000000" w:themeColor="text1"/>
          <w:lang w:val="es-ES" w:eastAsia="es-ES"/>
        </w:rPr>
        <w:t xml:space="preserve"> se regirá por las leyes de la República de Colombia.</w:t>
      </w:r>
    </w:p>
    <w:p w14:paraId="775CC990" w14:textId="77777777" w:rsidR="007968EC" w:rsidRPr="002C0D19" w:rsidRDefault="007968EC" w:rsidP="007968EC">
      <w:pPr>
        <w:jc w:val="both"/>
        <w:rPr>
          <w:rFonts w:ascii="Arial Narrow" w:hAnsi="Arial Narrow" w:cs="Arial"/>
          <w:bCs/>
          <w:color w:val="000000" w:themeColor="text1"/>
          <w:lang w:val="es-ES" w:eastAsia="es-ES"/>
        </w:rPr>
      </w:pPr>
    </w:p>
    <w:p w14:paraId="3DAD95EB" w14:textId="77777777" w:rsidR="007968EC" w:rsidRPr="002C0D19" w:rsidRDefault="007968EC" w:rsidP="007968EC">
      <w:pPr>
        <w:jc w:val="both"/>
        <w:rPr>
          <w:rFonts w:ascii="Arial Narrow" w:hAnsi="Arial Narrow" w:cs="Arial"/>
          <w:bCs/>
          <w:color w:val="000000" w:themeColor="text1"/>
          <w:lang w:val="es-ES_tradnl" w:eastAsia="es-ES"/>
        </w:rPr>
      </w:pPr>
      <w:r w:rsidRPr="002C0D19">
        <w:rPr>
          <w:rFonts w:ascii="Arial Narrow" w:hAnsi="Arial Narrow" w:cs="Arial"/>
          <w:bCs/>
          <w:color w:val="000000" w:themeColor="text1"/>
          <w:lang w:val="es-ES_tradnl" w:eastAsia="es-ES"/>
        </w:rPr>
        <w:t xml:space="preserve">Como constancia de lo anterior, se firma en _____________, a los ________ (____) días del mes de __________ </w:t>
      </w:r>
      <w:proofErr w:type="spellStart"/>
      <w:r w:rsidRPr="002C0D19">
        <w:rPr>
          <w:rFonts w:ascii="Arial Narrow" w:hAnsi="Arial Narrow" w:cs="Arial"/>
          <w:bCs/>
          <w:color w:val="000000" w:themeColor="text1"/>
          <w:lang w:val="es-ES_tradnl" w:eastAsia="es-ES"/>
        </w:rPr>
        <w:t>de</w:t>
      </w:r>
      <w:proofErr w:type="spellEnd"/>
      <w:r w:rsidRPr="002C0D19">
        <w:rPr>
          <w:rFonts w:ascii="Arial Narrow" w:hAnsi="Arial Narrow" w:cs="Arial"/>
          <w:bCs/>
          <w:color w:val="000000" w:themeColor="text1"/>
          <w:lang w:val="es-ES_tradnl" w:eastAsia="es-ES"/>
        </w:rPr>
        <w:t xml:space="preserve"> ________, en tres (3) copias del mismo tenor. </w:t>
      </w:r>
    </w:p>
    <w:p w14:paraId="475D34E8" w14:textId="77777777" w:rsidR="007968EC" w:rsidRPr="002C0D19" w:rsidRDefault="007968EC" w:rsidP="007968EC">
      <w:pPr>
        <w:jc w:val="both"/>
        <w:rPr>
          <w:rFonts w:ascii="Arial Narrow" w:hAnsi="Arial Narrow" w:cs="Arial"/>
          <w:bCs/>
          <w:color w:val="000000" w:themeColor="text1"/>
          <w:lang w:val="es-ES_tradnl" w:eastAsia="es-ES"/>
        </w:rPr>
      </w:pPr>
    </w:p>
    <w:p w14:paraId="5DC38EA2" w14:textId="77777777" w:rsidR="007968EC" w:rsidRPr="002C0D19" w:rsidRDefault="007968EC" w:rsidP="007968EC">
      <w:pPr>
        <w:jc w:val="both"/>
        <w:rPr>
          <w:rFonts w:ascii="Arial Narrow" w:hAnsi="Arial Narrow" w:cs="Arial"/>
          <w:b/>
          <w:bCs/>
          <w:color w:val="000000" w:themeColor="text1"/>
          <w:lang w:val="es-ES" w:eastAsia="es-ES"/>
        </w:rPr>
      </w:pPr>
      <w:r w:rsidRPr="002C0D19">
        <w:rPr>
          <w:rFonts w:ascii="Arial Narrow" w:hAnsi="Arial Narrow" w:cs="Arial"/>
          <w:b/>
          <w:bCs/>
          <w:color w:val="000000" w:themeColor="text1"/>
          <w:lang w:val="es-ES_tradnl" w:eastAsia="es-ES"/>
        </w:rPr>
        <w:t>Parte A:</w:t>
      </w:r>
    </w:p>
    <w:p w14:paraId="3243BB56" w14:textId="77777777" w:rsidR="007968EC" w:rsidRPr="002C0D19" w:rsidRDefault="007968EC" w:rsidP="007968EC">
      <w:pPr>
        <w:jc w:val="both"/>
        <w:rPr>
          <w:rFonts w:ascii="Arial Narrow" w:hAnsi="Arial Narrow" w:cs="Arial"/>
          <w:bCs/>
          <w:color w:val="000000" w:themeColor="text1"/>
          <w:lang w:val="es-ES_tradnl" w:eastAsia="es-ES"/>
        </w:rPr>
      </w:pPr>
      <w:r w:rsidRPr="002C0D19">
        <w:rPr>
          <w:rFonts w:ascii="Arial Narrow" w:hAnsi="Arial Narrow" w:cs="Arial"/>
          <w:bCs/>
          <w:color w:val="000000" w:themeColor="text1"/>
          <w:lang w:val="es-ES_tradnl" w:eastAsia="es-ES"/>
        </w:rPr>
        <w:lastRenderedPageBreak/>
        <w:t>Por:</w:t>
      </w:r>
      <w:r w:rsidRPr="002C0D19">
        <w:rPr>
          <w:rFonts w:ascii="Arial Narrow" w:hAnsi="Arial Narrow" w:cs="Arial"/>
          <w:bCs/>
          <w:color w:val="000000" w:themeColor="text1"/>
          <w:lang w:val="es-ES_tradnl" w:eastAsia="es-ES"/>
        </w:rPr>
        <w:tab/>
      </w:r>
      <w:r w:rsidRPr="002C0D19">
        <w:rPr>
          <w:rFonts w:ascii="Arial Narrow" w:hAnsi="Arial Narrow" w:cs="Arial"/>
          <w:bCs/>
          <w:color w:val="000000" w:themeColor="text1"/>
          <w:lang w:val="es-ES_tradnl" w:eastAsia="es-ES"/>
        </w:rPr>
        <w:tab/>
      </w:r>
      <w:r w:rsidRPr="002C0D19">
        <w:rPr>
          <w:rFonts w:ascii="Arial Narrow" w:hAnsi="Arial Narrow" w:cs="Arial"/>
          <w:bCs/>
          <w:color w:val="000000" w:themeColor="text1"/>
          <w:lang w:val="es-ES_tradnl" w:eastAsia="es-ES"/>
        </w:rPr>
        <w:tab/>
        <w:t>_____________________________</w:t>
      </w:r>
    </w:p>
    <w:p w14:paraId="6B76ADF4" w14:textId="77777777" w:rsidR="007968EC" w:rsidRPr="002C0D19" w:rsidRDefault="007968EC" w:rsidP="007968EC">
      <w:pPr>
        <w:jc w:val="both"/>
        <w:rPr>
          <w:rFonts w:ascii="Arial Narrow" w:hAnsi="Arial Narrow" w:cs="Arial"/>
          <w:bCs/>
          <w:color w:val="000000" w:themeColor="text1"/>
          <w:lang w:val="es-ES_tradnl" w:eastAsia="es-ES"/>
        </w:rPr>
      </w:pPr>
    </w:p>
    <w:p w14:paraId="42FC5011" w14:textId="77777777" w:rsidR="007968EC" w:rsidRPr="002C0D19" w:rsidRDefault="007968EC" w:rsidP="007968EC">
      <w:pPr>
        <w:jc w:val="both"/>
        <w:rPr>
          <w:rFonts w:ascii="Arial Narrow" w:hAnsi="Arial Narrow" w:cs="Arial"/>
          <w:bCs/>
          <w:color w:val="000000" w:themeColor="text1"/>
          <w:lang w:val="es-ES_tradnl" w:eastAsia="es-ES"/>
        </w:rPr>
      </w:pPr>
      <w:r w:rsidRPr="002C0D19">
        <w:rPr>
          <w:rFonts w:ascii="Arial Narrow" w:hAnsi="Arial Narrow" w:cs="Arial"/>
          <w:bCs/>
          <w:color w:val="000000" w:themeColor="text1"/>
          <w:lang w:val="es-ES_tradnl" w:eastAsia="es-ES"/>
        </w:rPr>
        <w:t>Nombre:</w:t>
      </w:r>
      <w:r w:rsidRPr="002C0D19">
        <w:rPr>
          <w:rFonts w:ascii="Arial Narrow" w:hAnsi="Arial Narrow" w:cs="Arial"/>
          <w:bCs/>
          <w:color w:val="000000" w:themeColor="text1"/>
          <w:lang w:val="es-ES_tradnl" w:eastAsia="es-ES"/>
        </w:rPr>
        <w:tab/>
      </w:r>
      <w:r w:rsidRPr="002C0D19">
        <w:rPr>
          <w:rFonts w:ascii="Arial Narrow" w:hAnsi="Arial Narrow" w:cs="Arial"/>
          <w:bCs/>
          <w:color w:val="000000" w:themeColor="text1"/>
          <w:lang w:val="es-ES_tradnl" w:eastAsia="es-ES"/>
        </w:rPr>
        <w:tab/>
      </w:r>
    </w:p>
    <w:p w14:paraId="649881B4" w14:textId="77777777" w:rsidR="007968EC" w:rsidRPr="002C0D19" w:rsidRDefault="007968EC" w:rsidP="007968EC">
      <w:pPr>
        <w:jc w:val="both"/>
        <w:rPr>
          <w:rFonts w:ascii="Arial Narrow" w:hAnsi="Arial Narrow" w:cs="Arial"/>
          <w:bCs/>
          <w:color w:val="000000" w:themeColor="text1"/>
          <w:lang w:val="es-ES_tradnl" w:eastAsia="es-ES"/>
        </w:rPr>
      </w:pPr>
      <w:r w:rsidRPr="002C0D19">
        <w:rPr>
          <w:rFonts w:ascii="Arial Narrow" w:hAnsi="Arial Narrow" w:cs="Arial"/>
          <w:bCs/>
          <w:color w:val="000000" w:themeColor="text1"/>
          <w:lang w:val="es-ES_tradnl" w:eastAsia="es-ES"/>
        </w:rPr>
        <w:t>Cédula No. / Otro:</w:t>
      </w:r>
      <w:r w:rsidRPr="002C0D19">
        <w:rPr>
          <w:rFonts w:ascii="Arial Narrow" w:hAnsi="Arial Narrow" w:cs="Arial"/>
          <w:bCs/>
          <w:color w:val="000000" w:themeColor="text1"/>
          <w:lang w:val="es-ES_tradnl" w:eastAsia="es-ES"/>
        </w:rPr>
        <w:tab/>
      </w:r>
      <w:r w:rsidRPr="002C0D19">
        <w:rPr>
          <w:rFonts w:ascii="Arial Narrow" w:hAnsi="Arial Narrow" w:cs="Arial"/>
          <w:bCs/>
          <w:color w:val="000000" w:themeColor="text1"/>
          <w:lang w:val="es-ES_tradnl" w:eastAsia="es-ES"/>
        </w:rPr>
        <w:tab/>
      </w:r>
    </w:p>
    <w:p w14:paraId="49B4B4F3" w14:textId="77777777" w:rsidR="007968EC" w:rsidRPr="002C0D19" w:rsidRDefault="007968EC" w:rsidP="007968EC">
      <w:pPr>
        <w:jc w:val="both"/>
        <w:rPr>
          <w:rFonts w:ascii="Arial Narrow" w:hAnsi="Arial Narrow" w:cs="Arial"/>
          <w:bCs/>
          <w:color w:val="000000" w:themeColor="text1"/>
          <w:lang w:val="es-ES_tradnl" w:eastAsia="es-ES"/>
        </w:rPr>
      </w:pPr>
      <w:r w:rsidRPr="002C0D19">
        <w:rPr>
          <w:rFonts w:ascii="Arial Narrow" w:hAnsi="Arial Narrow" w:cs="Arial"/>
          <w:bCs/>
          <w:color w:val="000000" w:themeColor="text1"/>
          <w:lang w:val="es-ES_tradnl" w:eastAsia="es-ES"/>
        </w:rPr>
        <w:t>Cargo:</w:t>
      </w:r>
      <w:r w:rsidRPr="002C0D19">
        <w:rPr>
          <w:rFonts w:ascii="Arial Narrow" w:hAnsi="Arial Narrow" w:cs="Arial"/>
          <w:bCs/>
          <w:color w:val="000000" w:themeColor="text1"/>
          <w:lang w:val="es-ES_tradnl" w:eastAsia="es-ES"/>
        </w:rPr>
        <w:tab/>
      </w:r>
      <w:r w:rsidRPr="002C0D19">
        <w:rPr>
          <w:rFonts w:ascii="Arial Narrow" w:hAnsi="Arial Narrow" w:cs="Arial"/>
          <w:bCs/>
          <w:color w:val="000000" w:themeColor="text1"/>
          <w:lang w:val="es-ES_tradnl" w:eastAsia="es-ES"/>
        </w:rPr>
        <w:tab/>
      </w:r>
      <w:r w:rsidRPr="002C0D19">
        <w:rPr>
          <w:rFonts w:ascii="Arial Narrow" w:hAnsi="Arial Narrow" w:cs="Arial"/>
          <w:bCs/>
          <w:color w:val="000000" w:themeColor="text1"/>
          <w:lang w:val="es-ES_tradnl" w:eastAsia="es-ES"/>
        </w:rPr>
        <w:tab/>
        <w:t>Representante Legal</w:t>
      </w:r>
    </w:p>
    <w:p w14:paraId="348EB0F5" w14:textId="77777777" w:rsidR="007968EC" w:rsidRPr="002C0D19" w:rsidRDefault="007968EC" w:rsidP="007968EC">
      <w:pPr>
        <w:jc w:val="both"/>
        <w:rPr>
          <w:rFonts w:ascii="Arial Narrow" w:hAnsi="Arial Narrow" w:cs="Arial"/>
          <w:bCs/>
          <w:color w:val="000000" w:themeColor="text1"/>
          <w:lang w:val="es-ES_tradnl" w:eastAsia="es-ES"/>
        </w:rPr>
      </w:pPr>
    </w:p>
    <w:p w14:paraId="6127894F" w14:textId="77777777" w:rsidR="007968EC" w:rsidRPr="002C0D19" w:rsidRDefault="007968EC" w:rsidP="007968EC">
      <w:pPr>
        <w:jc w:val="both"/>
        <w:rPr>
          <w:rFonts w:ascii="Arial Narrow" w:hAnsi="Arial Narrow" w:cs="Arial"/>
          <w:b/>
          <w:bCs/>
          <w:color w:val="000000" w:themeColor="text1"/>
          <w:lang w:val="es-ES_tradnl" w:eastAsia="es-ES"/>
        </w:rPr>
      </w:pPr>
      <w:r w:rsidRPr="002C0D19">
        <w:rPr>
          <w:rFonts w:ascii="Arial Narrow" w:hAnsi="Arial Narrow" w:cs="Arial"/>
          <w:b/>
          <w:color w:val="000000" w:themeColor="text1"/>
          <w:lang w:val="es-ES_tradnl" w:eastAsia="es-ES"/>
        </w:rPr>
        <w:t>Parte B:</w:t>
      </w:r>
    </w:p>
    <w:p w14:paraId="44CB8187" w14:textId="77777777" w:rsidR="007968EC" w:rsidRPr="002C0D19" w:rsidRDefault="007968EC" w:rsidP="007968EC">
      <w:pPr>
        <w:jc w:val="both"/>
        <w:rPr>
          <w:rFonts w:ascii="Arial Narrow" w:hAnsi="Arial Narrow" w:cs="Arial"/>
          <w:bCs/>
          <w:color w:val="000000" w:themeColor="text1"/>
          <w:lang w:val="es-ES_tradnl" w:eastAsia="es-ES"/>
        </w:rPr>
      </w:pPr>
      <w:r w:rsidRPr="002C0D19">
        <w:rPr>
          <w:rFonts w:ascii="Arial Narrow" w:hAnsi="Arial Narrow" w:cs="Arial"/>
          <w:bCs/>
          <w:color w:val="000000" w:themeColor="text1"/>
          <w:lang w:val="es-ES_tradnl" w:eastAsia="es-ES"/>
        </w:rPr>
        <w:t>Por:</w:t>
      </w:r>
      <w:r w:rsidRPr="002C0D19">
        <w:rPr>
          <w:rFonts w:ascii="Arial Narrow" w:hAnsi="Arial Narrow" w:cs="Arial"/>
          <w:bCs/>
          <w:color w:val="000000" w:themeColor="text1"/>
          <w:lang w:val="es-ES_tradnl" w:eastAsia="es-ES"/>
        </w:rPr>
        <w:tab/>
      </w:r>
      <w:r w:rsidRPr="002C0D19">
        <w:rPr>
          <w:rFonts w:ascii="Arial Narrow" w:hAnsi="Arial Narrow" w:cs="Arial"/>
          <w:bCs/>
          <w:color w:val="000000" w:themeColor="text1"/>
          <w:lang w:val="es-ES_tradnl" w:eastAsia="es-ES"/>
        </w:rPr>
        <w:tab/>
      </w:r>
      <w:r w:rsidRPr="002C0D19">
        <w:rPr>
          <w:rFonts w:ascii="Arial Narrow" w:hAnsi="Arial Narrow" w:cs="Arial"/>
          <w:bCs/>
          <w:color w:val="000000" w:themeColor="text1"/>
          <w:lang w:val="es-ES_tradnl" w:eastAsia="es-ES"/>
        </w:rPr>
        <w:tab/>
        <w:t>_____________________________</w:t>
      </w:r>
    </w:p>
    <w:p w14:paraId="4E34EC1D" w14:textId="77777777" w:rsidR="007968EC" w:rsidRPr="002C0D19" w:rsidRDefault="007968EC" w:rsidP="007968EC">
      <w:pPr>
        <w:jc w:val="both"/>
        <w:rPr>
          <w:rFonts w:ascii="Arial Narrow" w:hAnsi="Arial Narrow" w:cs="Arial"/>
          <w:bCs/>
          <w:color w:val="000000" w:themeColor="text1"/>
          <w:lang w:val="es-ES_tradnl" w:eastAsia="es-ES"/>
        </w:rPr>
      </w:pPr>
      <w:r w:rsidRPr="002C0D19">
        <w:rPr>
          <w:rFonts w:ascii="Arial Narrow" w:hAnsi="Arial Narrow" w:cs="Arial"/>
          <w:bCs/>
          <w:color w:val="000000" w:themeColor="text1"/>
          <w:lang w:val="es-ES_tradnl" w:eastAsia="es-ES"/>
        </w:rPr>
        <w:t>Nombre:</w:t>
      </w:r>
      <w:r w:rsidRPr="002C0D19">
        <w:rPr>
          <w:rFonts w:ascii="Arial Narrow" w:hAnsi="Arial Narrow" w:cs="Arial"/>
          <w:bCs/>
          <w:color w:val="000000" w:themeColor="text1"/>
          <w:lang w:val="es-ES_tradnl" w:eastAsia="es-ES"/>
        </w:rPr>
        <w:tab/>
      </w:r>
      <w:r w:rsidRPr="002C0D19">
        <w:rPr>
          <w:rFonts w:ascii="Arial Narrow" w:hAnsi="Arial Narrow" w:cs="Arial"/>
          <w:bCs/>
          <w:color w:val="000000" w:themeColor="text1"/>
          <w:lang w:val="es-ES_tradnl" w:eastAsia="es-ES"/>
        </w:rPr>
        <w:tab/>
        <w:t xml:space="preserve"> </w:t>
      </w:r>
    </w:p>
    <w:p w14:paraId="5F52E6BB" w14:textId="77777777" w:rsidR="007968EC" w:rsidRPr="002C0D19" w:rsidRDefault="007968EC" w:rsidP="007968EC">
      <w:pPr>
        <w:jc w:val="both"/>
        <w:rPr>
          <w:rFonts w:ascii="Arial Narrow" w:hAnsi="Arial Narrow" w:cs="Arial"/>
          <w:bCs/>
          <w:color w:val="000000" w:themeColor="text1"/>
          <w:lang w:val="es-ES_tradnl" w:eastAsia="es-ES"/>
        </w:rPr>
      </w:pPr>
      <w:r w:rsidRPr="002C0D19">
        <w:rPr>
          <w:rFonts w:ascii="Arial Narrow" w:hAnsi="Arial Narrow" w:cs="Arial"/>
          <w:bCs/>
          <w:color w:val="000000" w:themeColor="text1"/>
          <w:lang w:val="es-ES_tradnl" w:eastAsia="es-ES"/>
        </w:rPr>
        <w:t>Cédula No. / Otro:</w:t>
      </w:r>
      <w:r w:rsidRPr="002C0D19">
        <w:rPr>
          <w:rFonts w:ascii="Arial Narrow" w:hAnsi="Arial Narrow" w:cs="Arial"/>
          <w:bCs/>
          <w:color w:val="000000" w:themeColor="text1"/>
          <w:lang w:val="es-ES_tradnl" w:eastAsia="es-ES"/>
        </w:rPr>
        <w:tab/>
      </w:r>
    </w:p>
    <w:p w14:paraId="0A6A77BE" w14:textId="77777777" w:rsidR="007968EC" w:rsidRPr="002C0D19" w:rsidRDefault="007968EC" w:rsidP="007968EC">
      <w:pPr>
        <w:ind w:left="708" w:hanging="708"/>
        <w:outlineLvl w:val="0"/>
        <w:rPr>
          <w:rFonts w:ascii="Arial Narrow" w:hAnsi="Arial Narrow" w:cs="Arial"/>
          <w:bCs/>
          <w:color w:val="000000" w:themeColor="text1"/>
          <w:lang w:val="es-ES_tradnl" w:eastAsia="es-ES"/>
        </w:rPr>
      </w:pPr>
      <w:bookmarkStart w:id="6641" w:name="_Toc470781246"/>
      <w:bookmarkStart w:id="6642" w:name="_Toc470784830"/>
      <w:bookmarkStart w:id="6643" w:name="_Toc470785368"/>
      <w:bookmarkStart w:id="6644" w:name="_Toc470791762"/>
      <w:bookmarkStart w:id="6645" w:name="_Toc471831974"/>
      <w:bookmarkStart w:id="6646" w:name="_Toc490066780"/>
      <w:bookmarkStart w:id="6647" w:name="_Toc490069294"/>
      <w:bookmarkStart w:id="6648" w:name="_Toc490070671"/>
      <w:bookmarkStart w:id="6649" w:name="_Toc490077197"/>
      <w:bookmarkStart w:id="6650" w:name="_Toc490079581"/>
      <w:r w:rsidRPr="002C0D19">
        <w:rPr>
          <w:rFonts w:ascii="Arial Narrow" w:hAnsi="Arial Narrow" w:cs="Arial"/>
          <w:bCs/>
          <w:color w:val="000000" w:themeColor="text1"/>
          <w:lang w:val="es-ES_tradnl" w:eastAsia="es-ES"/>
        </w:rPr>
        <w:t>Cargo:</w:t>
      </w:r>
      <w:r w:rsidRPr="002C0D19">
        <w:rPr>
          <w:rFonts w:ascii="Arial Narrow" w:hAnsi="Arial Narrow" w:cs="Arial"/>
          <w:bCs/>
          <w:color w:val="000000" w:themeColor="text1"/>
          <w:lang w:val="es-ES_tradnl" w:eastAsia="es-ES"/>
        </w:rPr>
        <w:tab/>
      </w:r>
      <w:r w:rsidRPr="002C0D19">
        <w:rPr>
          <w:rFonts w:ascii="Arial Narrow" w:hAnsi="Arial Narrow" w:cs="Arial"/>
          <w:bCs/>
          <w:color w:val="000000" w:themeColor="text1"/>
          <w:lang w:val="es-ES_tradnl" w:eastAsia="es-ES"/>
        </w:rPr>
        <w:tab/>
      </w:r>
      <w:r w:rsidRPr="002C0D19">
        <w:rPr>
          <w:rFonts w:ascii="Arial Narrow" w:hAnsi="Arial Narrow" w:cs="Arial"/>
          <w:bCs/>
          <w:color w:val="000000" w:themeColor="text1"/>
          <w:lang w:val="es-ES_tradnl" w:eastAsia="es-ES"/>
        </w:rPr>
        <w:tab/>
        <w:t>Representante Legal</w:t>
      </w:r>
      <w:bookmarkEnd w:id="6641"/>
      <w:bookmarkEnd w:id="6642"/>
      <w:bookmarkEnd w:id="6643"/>
      <w:bookmarkEnd w:id="6644"/>
      <w:bookmarkEnd w:id="6645"/>
      <w:bookmarkEnd w:id="6646"/>
      <w:bookmarkEnd w:id="6647"/>
      <w:bookmarkEnd w:id="6648"/>
      <w:bookmarkEnd w:id="6649"/>
      <w:bookmarkEnd w:id="6650"/>
    </w:p>
    <w:p w14:paraId="31806567" w14:textId="77777777" w:rsidR="007968EC" w:rsidRPr="002C0D19" w:rsidRDefault="007968EC" w:rsidP="007968EC">
      <w:pPr>
        <w:rPr>
          <w:rFonts w:ascii="Arial Narrow" w:hAnsi="Arial Narrow" w:cs="Arial"/>
          <w:b/>
          <w:color w:val="000000" w:themeColor="text1"/>
          <w:lang w:val="es-ES_tradnl" w:eastAsia="es-ES"/>
        </w:rPr>
      </w:pPr>
    </w:p>
    <w:p w14:paraId="25BEEECB" w14:textId="77777777" w:rsidR="007968EC" w:rsidRPr="002C0D19" w:rsidRDefault="007968EC" w:rsidP="007968EC">
      <w:pPr>
        <w:ind w:left="708" w:hanging="708"/>
        <w:outlineLvl w:val="0"/>
        <w:rPr>
          <w:rFonts w:ascii="Arial Narrow" w:hAnsi="Arial Narrow" w:cs="Arial"/>
          <w:bCs/>
          <w:color w:val="000000" w:themeColor="text1"/>
          <w:lang w:val="es-ES_tradnl" w:eastAsia="es-ES"/>
        </w:rPr>
        <w:sectPr w:rsidR="007968EC" w:rsidRPr="002C0D19" w:rsidSect="007968EC">
          <w:pgSz w:w="12242" w:h="15842" w:code="1"/>
          <w:pgMar w:top="1985" w:right="1418" w:bottom="1985" w:left="1418" w:header="851" w:footer="1021" w:gutter="0"/>
          <w:cols w:space="708"/>
          <w:titlePg/>
          <w:docGrid w:linePitch="360"/>
        </w:sectPr>
      </w:pPr>
    </w:p>
    <w:p w14:paraId="28DBBB70" w14:textId="77777777" w:rsidR="007968EC" w:rsidRPr="002C0D19" w:rsidRDefault="007968EC" w:rsidP="007968EC">
      <w:pPr>
        <w:pStyle w:val="TTULO"/>
        <w:rPr>
          <w:lang w:val="es-ES"/>
        </w:rPr>
      </w:pPr>
      <w:bookmarkStart w:id="6651" w:name="_Toc31716625"/>
      <w:r w:rsidRPr="002C0D19">
        <w:rPr>
          <w:lang w:val="es-ES"/>
        </w:rPr>
        <w:lastRenderedPageBreak/>
        <w:t>ANEXO 30</w:t>
      </w:r>
      <w:bookmarkEnd w:id="6651"/>
    </w:p>
    <w:p w14:paraId="10B27B6D" w14:textId="77777777" w:rsidR="007968EC" w:rsidRPr="002C0D19" w:rsidRDefault="007968EC" w:rsidP="007968EC">
      <w:pPr>
        <w:pStyle w:val="TTULO"/>
        <w:rPr>
          <w:lang w:val="es-ES"/>
        </w:rPr>
      </w:pPr>
    </w:p>
    <w:p w14:paraId="2A35BFDE" w14:textId="77777777" w:rsidR="007968EC" w:rsidRPr="00991BD9" w:rsidRDefault="007968EC" w:rsidP="007968EC">
      <w:pPr>
        <w:jc w:val="center"/>
        <w:rPr>
          <w:rFonts w:ascii="Arial Narrow" w:hAnsi="Arial Narrow" w:cs="Arial"/>
          <w:b/>
          <w:color w:val="000000" w:themeColor="text1"/>
          <w:lang w:val="es-ES" w:eastAsia="es-ES"/>
        </w:rPr>
      </w:pPr>
      <w:r w:rsidRPr="00991BD9">
        <w:rPr>
          <w:rFonts w:ascii="Arial Narrow" w:hAnsi="Arial Narrow" w:cs="Arial"/>
          <w:b/>
          <w:color w:val="000000" w:themeColor="text1"/>
          <w:lang w:val="es-ES" w:eastAsia="es-ES"/>
        </w:rPr>
        <w:t xml:space="preserve">FORMATO DE SOLICITUD DE GESTIÓN DE GARANTÍAS </w:t>
      </w:r>
    </w:p>
    <w:p w14:paraId="6B0E751F" w14:textId="77777777" w:rsidR="007968EC" w:rsidRPr="002C0D19" w:rsidRDefault="007968EC" w:rsidP="007968EC">
      <w:pPr>
        <w:jc w:val="center"/>
        <w:rPr>
          <w:rFonts w:ascii="Arial Narrow" w:hAnsi="Arial Narrow" w:cs="Arial"/>
          <w:b/>
          <w:color w:val="000000" w:themeColor="text1"/>
          <w:lang w:val="es-ES" w:eastAsia="es-ES"/>
        </w:rPr>
      </w:pPr>
    </w:p>
    <w:p w14:paraId="24B01F6C" w14:textId="77777777" w:rsidR="007968EC" w:rsidRPr="002C0D19" w:rsidRDefault="007968EC" w:rsidP="007968EC">
      <w:pPr>
        <w:ind w:left="708" w:hanging="708"/>
        <w:jc w:val="center"/>
        <w:outlineLvl w:val="0"/>
        <w:rPr>
          <w:rFonts w:ascii="Arial Narrow" w:hAnsi="Arial Narrow" w:cs="Arial"/>
          <w:bCs/>
          <w:color w:val="000000" w:themeColor="text1"/>
          <w:lang w:val="es-ES" w:eastAsia="es-ES"/>
        </w:rPr>
      </w:pPr>
      <w:bookmarkStart w:id="6652" w:name="_Toc470791763"/>
      <w:bookmarkStart w:id="6653" w:name="_Toc471831975"/>
      <w:bookmarkStart w:id="6654" w:name="_Toc490066781"/>
      <w:bookmarkStart w:id="6655" w:name="_Toc490069295"/>
      <w:bookmarkStart w:id="6656" w:name="_Toc490070672"/>
      <w:bookmarkStart w:id="6657" w:name="_Toc490077198"/>
      <w:bookmarkStart w:id="6658" w:name="_Toc490079582"/>
      <w:r w:rsidRPr="002C0D19">
        <w:rPr>
          <w:rFonts w:ascii="Arial Narrow" w:hAnsi="Arial Narrow" w:cs="Arial"/>
          <w:b/>
          <w:noProof/>
          <w:color w:val="000000" w:themeColor="text1"/>
          <w:lang w:eastAsia="es-CO"/>
        </w:rPr>
        <w:drawing>
          <wp:inline distT="0" distB="0" distL="0" distR="0" wp14:anchorId="45563E39" wp14:editId="189DEB99">
            <wp:extent cx="5612130" cy="4303395"/>
            <wp:effectExtent l="0" t="0" r="762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612130" cy="4303395"/>
                    </a:xfrm>
                    <a:prstGeom prst="rect">
                      <a:avLst/>
                    </a:prstGeom>
                  </pic:spPr>
                </pic:pic>
              </a:graphicData>
            </a:graphic>
          </wp:inline>
        </w:drawing>
      </w:r>
      <w:bookmarkEnd w:id="6652"/>
      <w:bookmarkEnd w:id="6653"/>
      <w:bookmarkEnd w:id="6654"/>
      <w:bookmarkEnd w:id="6655"/>
      <w:bookmarkEnd w:id="6656"/>
      <w:bookmarkEnd w:id="6657"/>
      <w:bookmarkEnd w:id="6658"/>
    </w:p>
    <w:p w14:paraId="13B24123" w14:textId="77777777" w:rsidR="007968EC" w:rsidRPr="002C0D19" w:rsidRDefault="007968EC" w:rsidP="007968EC">
      <w:pPr>
        <w:ind w:left="708" w:hanging="708"/>
        <w:outlineLvl w:val="0"/>
        <w:rPr>
          <w:rFonts w:ascii="Arial Narrow" w:hAnsi="Arial Narrow" w:cs="Arial"/>
          <w:bCs/>
          <w:color w:val="000000" w:themeColor="text1"/>
          <w:lang w:val="es-ES" w:eastAsia="es-ES"/>
        </w:rPr>
      </w:pPr>
    </w:p>
    <w:p w14:paraId="38799975" w14:textId="77777777" w:rsidR="007968EC" w:rsidRPr="002C0D19" w:rsidRDefault="007968EC" w:rsidP="007968EC">
      <w:pPr>
        <w:ind w:left="708" w:hanging="708"/>
        <w:outlineLvl w:val="0"/>
        <w:rPr>
          <w:rFonts w:ascii="Arial Narrow" w:hAnsi="Arial Narrow" w:cs="Arial"/>
          <w:bCs/>
          <w:color w:val="000000" w:themeColor="text1"/>
          <w:lang w:val="es-ES" w:eastAsia="es-ES"/>
        </w:rPr>
        <w:sectPr w:rsidR="007968EC" w:rsidRPr="002C0D19" w:rsidSect="007968EC">
          <w:pgSz w:w="12242" w:h="15842" w:code="1"/>
          <w:pgMar w:top="1985" w:right="1418" w:bottom="1985" w:left="1418" w:header="851" w:footer="1021" w:gutter="0"/>
          <w:cols w:space="708"/>
          <w:titlePg/>
          <w:docGrid w:linePitch="360"/>
        </w:sectPr>
      </w:pPr>
    </w:p>
    <w:p w14:paraId="2C00EAC2" w14:textId="77777777" w:rsidR="007968EC" w:rsidRPr="002C0D19" w:rsidRDefault="007968EC" w:rsidP="007968EC">
      <w:pPr>
        <w:ind w:left="708" w:hanging="708"/>
        <w:outlineLvl w:val="0"/>
        <w:rPr>
          <w:rFonts w:ascii="Arial Narrow" w:hAnsi="Arial Narrow" w:cs="Arial"/>
          <w:bCs/>
          <w:color w:val="000000" w:themeColor="text1"/>
          <w:lang w:val="es-ES" w:eastAsia="es-ES"/>
        </w:rPr>
      </w:pPr>
    </w:p>
    <w:p w14:paraId="3A3AD25E" w14:textId="77777777" w:rsidR="007968EC" w:rsidRPr="002C0D19" w:rsidRDefault="007968EC" w:rsidP="007968EC">
      <w:pPr>
        <w:pStyle w:val="TTULO"/>
      </w:pPr>
      <w:bookmarkStart w:id="6659" w:name="_Toc31716626"/>
      <w:r w:rsidRPr="002C0D19">
        <w:t>ANEXO 31</w:t>
      </w:r>
      <w:bookmarkEnd w:id="6659"/>
      <w:r w:rsidRPr="002C0D19">
        <w:t xml:space="preserve"> </w:t>
      </w:r>
    </w:p>
    <w:p w14:paraId="7DA53B55" w14:textId="77777777" w:rsidR="007968EC" w:rsidRPr="002C0D19" w:rsidRDefault="007968EC" w:rsidP="007968EC">
      <w:pPr>
        <w:pStyle w:val="TTULO"/>
      </w:pPr>
    </w:p>
    <w:p w14:paraId="46E22E41" w14:textId="77777777" w:rsidR="007968EC" w:rsidRPr="00991BD9" w:rsidRDefault="007968EC" w:rsidP="007968EC">
      <w:pPr>
        <w:jc w:val="center"/>
        <w:rPr>
          <w:rFonts w:ascii="Arial Narrow" w:hAnsi="Arial Narrow" w:cs="Arial"/>
          <w:b/>
          <w:color w:val="000000" w:themeColor="text1"/>
          <w:lang w:val="es-ES" w:eastAsia="es-ES"/>
        </w:rPr>
      </w:pPr>
      <w:r w:rsidRPr="00991BD9">
        <w:rPr>
          <w:rFonts w:ascii="Arial Narrow" w:hAnsi="Arial Narrow" w:cs="Arial"/>
          <w:b/>
          <w:color w:val="000000" w:themeColor="text1"/>
          <w:lang w:val="es-ES" w:eastAsia="es-ES"/>
        </w:rPr>
        <w:t>MODELO DE CARTA DE CRÉDITO STAND BY A PRIMER REQUERIMIENTO</w:t>
      </w:r>
    </w:p>
    <w:p w14:paraId="6E154F8C" w14:textId="77777777" w:rsidR="007968EC" w:rsidRPr="002C0D19" w:rsidRDefault="007968EC" w:rsidP="007968EC">
      <w:pPr>
        <w:rPr>
          <w:rFonts w:ascii="Arial Narrow" w:hAnsi="Arial Narrow" w:cs="Arial"/>
          <w:color w:val="000000" w:themeColor="text1"/>
          <w:lang w:val="es-ES" w:eastAsia="es-ES"/>
        </w:rPr>
      </w:pPr>
    </w:p>
    <w:p w14:paraId="4299A931"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Para los efectos establecidos en el artículo 6.3.12. de la presente Circular, el modelo de Carta de Crédito Stand By a Primer Requerimiento de Carácter Irrevocable que admitirá la Cámara </w:t>
      </w:r>
      <w:r w:rsidRPr="002C0D19">
        <w:rPr>
          <w:rFonts w:ascii="Arial Narrow" w:eastAsia="Calibri" w:hAnsi="Arial Narrow" w:cs="Arial"/>
          <w:bCs/>
          <w:iCs/>
          <w:color w:val="000000" w:themeColor="text1"/>
          <w:lang w:val="es-ES" w:eastAsia="es-ES"/>
        </w:rPr>
        <w:t>para</w:t>
      </w:r>
      <w:r w:rsidRPr="002C0D19">
        <w:rPr>
          <w:rFonts w:ascii="Arial Narrow" w:hAnsi="Arial Narrow" w:cs="Arial"/>
          <w:color w:val="000000" w:themeColor="text1"/>
          <w:lang w:val="es-ES" w:eastAsia="es-ES"/>
        </w:rPr>
        <w:t xml:space="preserve"> la ampliación de los Límites Operativo Diario y de Posición Abierta, es el siguiente:</w:t>
      </w:r>
    </w:p>
    <w:p w14:paraId="1BFC960B" w14:textId="77777777" w:rsidR="007968EC" w:rsidRPr="002C0D19" w:rsidRDefault="007968EC" w:rsidP="007968EC">
      <w:pPr>
        <w:jc w:val="both"/>
        <w:rPr>
          <w:rFonts w:ascii="Arial Narrow" w:hAnsi="Arial Narrow" w:cs="Arial"/>
          <w:color w:val="000000" w:themeColor="text1"/>
          <w:lang w:val="es-ES" w:eastAsia="es-ES"/>
        </w:rPr>
      </w:pPr>
    </w:p>
    <w:tbl>
      <w:tblP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376"/>
      </w:tblGrid>
      <w:tr w:rsidR="007968EC" w:rsidRPr="002C0D19" w14:paraId="2798CD4C" w14:textId="77777777" w:rsidTr="007968EC">
        <w:tc>
          <w:tcPr>
            <w:tcW w:w="9546" w:type="dxa"/>
          </w:tcPr>
          <w:p w14:paraId="4414E449" w14:textId="77777777" w:rsidR="007968EC" w:rsidRPr="002C0D19" w:rsidRDefault="007968EC" w:rsidP="007968EC">
            <w:pPr>
              <w:autoSpaceDE w:val="0"/>
              <w:autoSpaceDN w:val="0"/>
              <w:adjustRightInd w:val="0"/>
              <w:ind w:right="333"/>
              <w:jc w:val="both"/>
              <w:rPr>
                <w:rFonts w:ascii="Arial Narrow" w:eastAsia="Calibri" w:hAnsi="Arial Narrow" w:cs="Arial"/>
                <w:b/>
                <w:bCs/>
                <w:iCs/>
                <w:color w:val="000000" w:themeColor="text1"/>
                <w:lang w:val="es-ES" w:eastAsia="es-ES"/>
              </w:rPr>
            </w:pPr>
          </w:p>
          <w:p w14:paraId="70869883" w14:textId="77777777" w:rsidR="007968EC" w:rsidRPr="002C0D19" w:rsidRDefault="007968EC" w:rsidP="007968EC">
            <w:pPr>
              <w:autoSpaceDE w:val="0"/>
              <w:autoSpaceDN w:val="0"/>
              <w:adjustRightInd w:val="0"/>
              <w:ind w:right="333"/>
              <w:jc w:val="center"/>
              <w:rPr>
                <w:rFonts w:ascii="Arial Narrow" w:hAnsi="Arial Narrow" w:cs="Arial"/>
                <w:b/>
                <w:color w:val="000000" w:themeColor="text1"/>
                <w:u w:val="single"/>
                <w:lang w:val="es-ES" w:eastAsia="es-ES"/>
              </w:rPr>
            </w:pPr>
            <w:r w:rsidRPr="002C0D19">
              <w:rPr>
                <w:rFonts w:ascii="Arial Narrow" w:hAnsi="Arial Narrow" w:cs="Arial"/>
                <w:b/>
                <w:color w:val="000000" w:themeColor="text1"/>
                <w:u w:val="single"/>
                <w:lang w:val="es-ES" w:eastAsia="es-ES"/>
              </w:rPr>
              <w:t>CARTA DE CRÉDITO STAND BY A PRIMER REQUERIMIENTO</w:t>
            </w:r>
          </w:p>
          <w:p w14:paraId="7695CB2E" w14:textId="77777777" w:rsidR="007968EC" w:rsidRPr="002C0D19" w:rsidRDefault="007968EC" w:rsidP="007968EC">
            <w:pPr>
              <w:autoSpaceDE w:val="0"/>
              <w:autoSpaceDN w:val="0"/>
              <w:adjustRightInd w:val="0"/>
              <w:ind w:right="333"/>
              <w:jc w:val="both"/>
              <w:rPr>
                <w:rFonts w:ascii="Arial Narrow" w:eastAsia="Calibri" w:hAnsi="Arial Narrow" w:cs="Arial"/>
                <w:b/>
                <w:bCs/>
                <w:iCs/>
                <w:color w:val="000000" w:themeColor="text1"/>
                <w:lang w:val="es-ES" w:eastAsia="es-ES"/>
              </w:rPr>
            </w:pPr>
          </w:p>
          <w:p w14:paraId="6BA08BA2" w14:textId="77777777" w:rsidR="007968EC" w:rsidRPr="002C0D19" w:rsidRDefault="007968EC" w:rsidP="007968EC">
            <w:pPr>
              <w:autoSpaceDE w:val="0"/>
              <w:autoSpaceDN w:val="0"/>
              <w:adjustRightInd w:val="0"/>
              <w:ind w:right="333"/>
              <w:jc w:val="both"/>
              <w:rPr>
                <w:rFonts w:ascii="Arial Narrow" w:eastAsia="Calibri" w:hAnsi="Arial Narrow" w:cs="Arial"/>
                <w:b/>
                <w:bCs/>
                <w:iCs/>
                <w:color w:val="000000" w:themeColor="text1"/>
                <w:lang w:val="es-ES" w:eastAsia="es-ES"/>
              </w:rPr>
            </w:pPr>
            <w:r w:rsidRPr="002C0D19">
              <w:rPr>
                <w:rFonts w:ascii="Arial Narrow" w:eastAsia="Calibri" w:hAnsi="Arial Narrow" w:cs="Arial"/>
                <w:b/>
                <w:bCs/>
                <w:iCs/>
                <w:color w:val="000000" w:themeColor="text1"/>
                <w:lang w:val="es-ES" w:eastAsia="es-ES"/>
              </w:rPr>
              <w:t>Beneficiario: Cámara de Riesgo Central de Contraparte de Colombia S.A. (“Beneficiario”)</w:t>
            </w:r>
          </w:p>
          <w:p w14:paraId="0919C3A9" w14:textId="77777777" w:rsidR="007968EC" w:rsidRPr="002C0D19" w:rsidRDefault="007968EC" w:rsidP="007968EC">
            <w:pPr>
              <w:autoSpaceDE w:val="0"/>
              <w:autoSpaceDN w:val="0"/>
              <w:adjustRightInd w:val="0"/>
              <w:ind w:right="333"/>
              <w:jc w:val="both"/>
              <w:rPr>
                <w:rFonts w:ascii="Arial Narrow" w:eastAsia="Calibri" w:hAnsi="Arial Narrow" w:cs="Arial"/>
                <w:b/>
                <w:bCs/>
                <w:iCs/>
                <w:color w:val="000000" w:themeColor="text1"/>
                <w:lang w:val="es-ES" w:eastAsia="es-ES"/>
              </w:rPr>
            </w:pPr>
            <w:r w:rsidRPr="002C0D19">
              <w:rPr>
                <w:rFonts w:ascii="Arial Narrow" w:eastAsia="Calibri" w:hAnsi="Arial Narrow" w:cs="Arial"/>
                <w:b/>
                <w:bCs/>
                <w:iCs/>
                <w:color w:val="000000" w:themeColor="text1"/>
                <w:lang w:val="es-ES" w:eastAsia="es-ES"/>
              </w:rPr>
              <w:t xml:space="preserve">NIT Beneficiario: </w:t>
            </w:r>
            <w:r w:rsidRPr="002C0D19">
              <w:rPr>
                <w:rFonts w:ascii="Arial Narrow" w:eastAsia="Calibri" w:hAnsi="Arial Narrow" w:cs="Arial"/>
                <w:b/>
                <w:bCs/>
                <w:iCs/>
                <w:color w:val="000000" w:themeColor="text1"/>
                <w:highlight w:val="lightGray"/>
                <w:lang w:val="es-ES" w:eastAsia="es-ES"/>
              </w:rPr>
              <w:t>[insertar número]</w:t>
            </w:r>
          </w:p>
          <w:p w14:paraId="3C73DCF9" w14:textId="77777777" w:rsidR="007968EC" w:rsidRPr="002C0D19" w:rsidRDefault="007968EC" w:rsidP="007968EC">
            <w:pPr>
              <w:autoSpaceDE w:val="0"/>
              <w:autoSpaceDN w:val="0"/>
              <w:adjustRightInd w:val="0"/>
              <w:ind w:right="333"/>
              <w:jc w:val="both"/>
              <w:rPr>
                <w:rFonts w:ascii="Arial Narrow" w:eastAsia="Calibri" w:hAnsi="Arial Narrow" w:cs="Arial"/>
                <w:b/>
                <w:bCs/>
                <w:iCs/>
                <w:color w:val="000000" w:themeColor="text1"/>
                <w:lang w:val="es-ES" w:eastAsia="es-ES"/>
              </w:rPr>
            </w:pPr>
            <w:r w:rsidRPr="002C0D19">
              <w:rPr>
                <w:rFonts w:ascii="Arial Narrow" w:eastAsia="Calibri" w:hAnsi="Arial Narrow" w:cs="Arial"/>
                <w:b/>
                <w:bCs/>
                <w:iCs/>
                <w:color w:val="000000" w:themeColor="text1"/>
                <w:lang w:val="es-ES" w:eastAsia="es-ES"/>
              </w:rPr>
              <w:t xml:space="preserve">Ordenante: </w:t>
            </w:r>
            <w:r w:rsidRPr="002C0D19">
              <w:rPr>
                <w:rFonts w:ascii="Arial Narrow" w:eastAsia="Calibri" w:hAnsi="Arial Narrow" w:cs="Arial"/>
                <w:b/>
                <w:bCs/>
                <w:iCs/>
                <w:color w:val="000000" w:themeColor="text1"/>
                <w:highlight w:val="lightGray"/>
                <w:lang w:val="es-ES" w:eastAsia="es-ES"/>
              </w:rPr>
              <w:t>[insertar nombre completo]</w:t>
            </w:r>
          </w:p>
          <w:p w14:paraId="43F1073C" w14:textId="77777777" w:rsidR="007968EC" w:rsidRPr="002C0D19" w:rsidRDefault="007968EC" w:rsidP="007968EC">
            <w:pPr>
              <w:autoSpaceDE w:val="0"/>
              <w:autoSpaceDN w:val="0"/>
              <w:adjustRightInd w:val="0"/>
              <w:ind w:right="333"/>
              <w:jc w:val="both"/>
              <w:rPr>
                <w:rFonts w:ascii="Arial Narrow" w:eastAsia="Calibri" w:hAnsi="Arial Narrow" w:cs="Arial"/>
                <w:b/>
                <w:bCs/>
                <w:iCs/>
                <w:color w:val="000000" w:themeColor="text1"/>
                <w:lang w:val="es-ES" w:eastAsia="es-ES"/>
              </w:rPr>
            </w:pPr>
            <w:r w:rsidRPr="002C0D19">
              <w:rPr>
                <w:rFonts w:ascii="Arial Narrow" w:eastAsia="Calibri" w:hAnsi="Arial Narrow" w:cs="Arial"/>
                <w:b/>
                <w:bCs/>
                <w:iCs/>
                <w:color w:val="000000" w:themeColor="text1"/>
                <w:lang w:val="es-ES" w:eastAsia="es-ES"/>
              </w:rPr>
              <w:t xml:space="preserve">NIT Ordenante: </w:t>
            </w:r>
            <w:r w:rsidRPr="002C0D19">
              <w:rPr>
                <w:rFonts w:ascii="Arial Narrow" w:eastAsia="Calibri" w:hAnsi="Arial Narrow" w:cs="Arial"/>
                <w:b/>
                <w:bCs/>
                <w:iCs/>
                <w:color w:val="000000" w:themeColor="text1"/>
                <w:highlight w:val="lightGray"/>
                <w:lang w:val="es-ES" w:eastAsia="es-ES"/>
              </w:rPr>
              <w:t>[insertar número]</w:t>
            </w:r>
          </w:p>
          <w:p w14:paraId="10AF6D47" w14:textId="77777777" w:rsidR="007968EC" w:rsidRPr="002C0D19" w:rsidRDefault="007968EC" w:rsidP="007968EC">
            <w:pPr>
              <w:autoSpaceDE w:val="0"/>
              <w:autoSpaceDN w:val="0"/>
              <w:adjustRightInd w:val="0"/>
              <w:ind w:right="333"/>
              <w:jc w:val="both"/>
              <w:rPr>
                <w:rFonts w:ascii="Arial Narrow" w:eastAsia="Calibri" w:hAnsi="Arial Narrow" w:cs="Arial"/>
                <w:b/>
                <w:bCs/>
                <w:iCs/>
                <w:color w:val="000000" w:themeColor="text1"/>
                <w:lang w:val="es-ES" w:eastAsia="es-ES"/>
              </w:rPr>
            </w:pPr>
            <w:r w:rsidRPr="002C0D19">
              <w:rPr>
                <w:rFonts w:ascii="Arial Narrow" w:eastAsia="Calibri" w:hAnsi="Arial Narrow" w:cs="Arial"/>
                <w:b/>
                <w:bCs/>
                <w:iCs/>
                <w:color w:val="000000" w:themeColor="text1"/>
                <w:lang w:val="es-ES" w:eastAsia="es-ES"/>
              </w:rPr>
              <w:t xml:space="preserve">Banco Emisor: </w:t>
            </w:r>
            <w:r w:rsidRPr="002C0D19">
              <w:rPr>
                <w:rFonts w:ascii="Arial Narrow" w:eastAsia="Calibri" w:hAnsi="Arial Narrow" w:cs="Arial"/>
                <w:b/>
                <w:bCs/>
                <w:iCs/>
                <w:color w:val="000000" w:themeColor="text1"/>
                <w:highlight w:val="lightGray"/>
                <w:lang w:val="es-ES" w:eastAsia="es-ES"/>
              </w:rPr>
              <w:t>[insertar nombre banco emisor]</w:t>
            </w:r>
          </w:p>
          <w:p w14:paraId="35000686" w14:textId="77777777" w:rsidR="007968EC" w:rsidRPr="002C0D19" w:rsidRDefault="007968EC" w:rsidP="007968EC">
            <w:pPr>
              <w:autoSpaceDE w:val="0"/>
              <w:autoSpaceDN w:val="0"/>
              <w:adjustRightInd w:val="0"/>
              <w:ind w:right="333"/>
              <w:jc w:val="both"/>
              <w:rPr>
                <w:rFonts w:ascii="Arial Narrow" w:eastAsia="Calibri" w:hAnsi="Arial Narrow" w:cs="Arial"/>
                <w:b/>
                <w:bCs/>
                <w:iCs/>
                <w:color w:val="000000" w:themeColor="text1"/>
                <w:lang w:val="es-ES" w:eastAsia="es-ES"/>
              </w:rPr>
            </w:pPr>
            <w:r w:rsidRPr="002C0D19">
              <w:rPr>
                <w:rFonts w:ascii="Arial Narrow" w:eastAsia="Calibri" w:hAnsi="Arial Narrow" w:cs="Arial"/>
                <w:b/>
                <w:bCs/>
                <w:iCs/>
                <w:color w:val="000000" w:themeColor="text1"/>
                <w:lang w:val="es-ES" w:eastAsia="es-ES"/>
              </w:rPr>
              <w:t xml:space="preserve">Fecha de Emisión: </w:t>
            </w:r>
            <w:r w:rsidRPr="002C0D19">
              <w:rPr>
                <w:rFonts w:ascii="Arial Narrow" w:eastAsia="Calibri" w:hAnsi="Arial Narrow" w:cs="Arial"/>
                <w:b/>
                <w:bCs/>
                <w:iCs/>
                <w:color w:val="000000" w:themeColor="text1"/>
                <w:highlight w:val="lightGray"/>
                <w:lang w:val="es-ES" w:eastAsia="es-ES"/>
              </w:rPr>
              <w:t>[insertar fecha]</w:t>
            </w:r>
          </w:p>
          <w:p w14:paraId="5D071254" w14:textId="77777777" w:rsidR="007968EC" w:rsidRPr="002C0D19" w:rsidRDefault="007968EC" w:rsidP="007968EC">
            <w:pPr>
              <w:autoSpaceDE w:val="0"/>
              <w:autoSpaceDN w:val="0"/>
              <w:adjustRightInd w:val="0"/>
              <w:ind w:right="333"/>
              <w:jc w:val="both"/>
              <w:rPr>
                <w:rFonts w:ascii="Arial Narrow" w:eastAsia="Calibri" w:hAnsi="Arial Narrow" w:cs="Arial"/>
                <w:b/>
                <w:bCs/>
                <w:iCs/>
                <w:color w:val="000000" w:themeColor="text1"/>
                <w:lang w:val="es-ES" w:eastAsia="es-ES"/>
              </w:rPr>
            </w:pPr>
            <w:r w:rsidRPr="002C0D19">
              <w:rPr>
                <w:rFonts w:ascii="Arial Narrow" w:eastAsia="Calibri" w:hAnsi="Arial Narrow" w:cs="Arial"/>
                <w:b/>
                <w:bCs/>
                <w:iCs/>
                <w:color w:val="000000" w:themeColor="text1"/>
                <w:lang w:val="es-ES" w:eastAsia="es-ES"/>
              </w:rPr>
              <w:t xml:space="preserve">Fecha de Vencimiento: </w:t>
            </w:r>
            <w:r w:rsidRPr="002C0D19">
              <w:rPr>
                <w:rFonts w:ascii="Arial Narrow" w:eastAsia="Calibri" w:hAnsi="Arial Narrow" w:cs="Arial"/>
                <w:b/>
                <w:bCs/>
                <w:iCs/>
                <w:color w:val="000000" w:themeColor="text1"/>
                <w:highlight w:val="lightGray"/>
                <w:lang w:val="es-ES" w:eastAsia="es-ES"/>
              </w:rPr>
              <w:t>[insertar fecha]</w:t>
            </w:r>
          </w:p>
          <w:p w14:paraId="7356FD93" w14:textId="77777777" w:rsidR="007968EC" w:rsidRPr="002C0D19" w:rsidRDefault="007968EC" w:rsidP="007968EC">
            <w:pPr>
              <w:autoSpaceDE w:val="0"/>
              <w:autoSpaceDN w:val="0"/>
              <w:adjustRightInd w:val="0"/>
              <w:ind w:right="333"/>
              <w:jc w:val="both"/>
              <w:rPr>
                <w:rFonts w:ascii="Arial Narrow" w:eastAsia="Calibri" w:hAnsi="Arial Narrow" w:cs="Arial"/>
                <w:b/>
                <w:bCs/>
                <w:iCs/>
                <w:color w:val="000000" w:themeColor="text1"/>
                <w:lang w:val="es-ES" w:eastAsia="es-ES"/>
              </w:rPr>
            </w:pPr>
            <w:r w:rsidRPr="002C0D19">
              <w:rPr>
                <w:rFonts w:ascii="Arial Narrow" w:eastAsia="Calibri" w:hAnsi="Arial Narrow" w:cs="Arial"/>
                <w:b/>
                <w:bCs/>
                <w:iCs/>
                <w:color w:val="000000" w:themeColor="text1"/>
                <w:lang w:val="es-ES" w:eastAsia="es-ES"/>
              </w:rPr>
              <w:t xml:space="preserve">Monto Garantizado: </w:t>
            </w:r>
            <w:r w:rsidRPr="002C0D19">
              <w:rPr>
                <w:rFonts w:ascii="Arial Narrow" w:eastAsia="Calibri" w:hAnsi="Arial Narrow" w:cs="Arial"/>
                <w:b/>
                <w:bCs/>
                <w:iCs/>
                <w:color w:val="000000" w:themeColor="text1"/>
                <w:highlight w:val="lightGray"/>
                <w:lang w:val="es-ES" w:eastAsia="es-ES"/>
              </w:rPr>
              <w:t>[insertar monto en números]</w:t>
            </w:r>
          </w:p>
          <w:p w14:paraId="6B4AE12B" w14:textId="77777777" w:rsidR="007968EC" w:rsidRPr="002C0D19" w:rsidRDefault="007968EC" w:rsidP="007968EC">
            <w:pPr>
              <w:autoSpaceDE w:val="0"/>
              <w:autoSpaceDN w:val="0"/>
              <w:adjustRightInd w:val="0"/>
              <w:ind w:right="333"/>
              <w:jc w:val="both"/>
              <w:rPr>
                <w:rFonts w:ascii="Arial Narrow" w:eastAsia="Calibri" w:hAnsi="Arial Narrow" w:cs="Arial"/>
                <w:b/>
                <w:bCs/>
                <w:iCs/>
                <w:color w:val="000000" w:themeColor="text1"/>
                <w:lang w:val="es-ES" w:eastAsia="es-ES"/>
              </w:rPr>
            </w:pPr>
          </w:p>
          <w:p w14:paraId="32AD16B3" w14:textId="77777777" w:rsidR="007968EC" w:rsidRPr="002C0D19" w:rsidRDefault="007968EC" w:rsidP="007968EC">
            <w:pPr>
              <w:jc w:val="both"/>
              <w:rPr>
                <w:rFonts w:ascii="Arial Narrow" w:eastAsia="Calibri" w:hAnsi="Arial Narrow" w:cs="Arial"/>
                <w:b/>
                <w:bCs/>
                <w:iCs/>
                <w:color w:val="000000" w:themeColor="text1"/>
                <w:lang w:val="es-ES" w:eastAsia="es-ES"/>
              </w:rPr>
            </w:pPr>
            <w:r w:rsidRPr="002C0D19">
              <w:rPr>
                <w:rFonts w:ascii="Arial Narrow" w:eastAsia="Calibri" w:hAnsi="Arial Narrow" w:cs="Arial"/>
                <w:b/>
                <w:bCs/>
                <w:iCs/>
                <w:color w:val="000000" w:themeColor="text1"/>
                <w:lang w:val="es-ES" w:eastAsia="es-ES"/>
              </w:rPr>
              <w:t xml:space="preserve">Bajo nuestra responsabilidad directa y por orden de nuestro cliente </w:t>
            </w:r>
            <w:r w:rsidRPr="002C0D19">
              <w:rPr>
                <w:rFonts w:ascii="Arial Narrow" w:eastAsia="Calibri" w:hAnsi="Arial Narrow" w:cs="Arial"/>
                <w:b/>
                <w:bCs/>
                <w:iCs/>
                <w:color w:val="000000" w:themeColor="text1"/>
                <w:highlight w:val="lightGray"/>
                <w:lang w:val="es-ES" w:eastAsia="es-ES"/>
              </w:rPr>
              <w:t>[insertar nombre Ordenante]</w:t>
            </w:r>
            <w:r w:rsidRPr="002C0D19">
              <w:rPr>
                <w:rFonts w:ascii="Arial Narrow" w:eastAsia="Calibri" w:hAnsi="Arial Narrow" w:cs="Arial"/>
                <w:b/>
                <w:bCs/>
                <w:iCs/>
                <w:color w:val="000000" w:themeColor="text1"/>
                <w:lang w:val="es-ES" w:eastAsia="es-ES"/>
              </w:rPr>
              <w:t xml:space="preserve"> (“Ordenante”), emitimos esta Carta de Crédito Stand By irrevocable y a primer requerimiento (“SBLC”), hasta por la suma de </w:t>
            </w:r>
            <w:r w:rsidRPr="002C0D19">
              <w:rPr>
                <w:rFonts w:ascii="Arial Narrow" w:eastAsia="Calibri" w:hAnsi="Arial Narrow" w:cs="Arial"/>
                <w:b/>
                <w:bCs/>
                <w:iCs/>
                <w:color w:val="000000" w:themeColor="text1"/>
                <w:highlight w:val="lightGray"/>
                <w:lang w:val="es-ES" w:eastAsia="es-ES"/>
              </w:rPr>
              <w:t>[insertar Monto Garantizado en números]</w:t>
            </w:r>
            <w:r w:rsidRPr="002C0D19">
              <w:rPr>
                <w:rFonts w:ascii="Arial Narrow" w:eastAsia="Calibri" w:hAnsi="Arial Narrow" w:cs="Arial"/>
                <w:b/>
                <w:bCs/>
                <w:iCs/>
                <w:color w:val="000000" w:themeColor="text1"/>
                <w:lang w:val="es-ES" w:eastAsia="es-ES"/>
              </w:rPr>
              <w:t xml:space="preserve"> (“Monto Garantizado”), a favor de la Cámara de Riesgo Central de Contraparte de Colombia S.A. (“Beneficiario”) con domicilio principal en la ciudad de Bogotá D.C., Colombia, para garantizar todas y cualesquiera obligaciones presentes o futuras del Ordenante, que deba directa o indirectamente, conjunta o separadamente al Beneficiario, entre otras, aquellas obligaciones relacionadas directa o indirectamente con las operaciones del Ordenante aceptadas por el Beneficiario para su liquidación y compensación (“Obligaciones Garantizadas”).</w:t>
            </w:r>
          </w:p>
          <w:p w14:paraId="354C900B" w14:textId="77777777" w:rsidR="007968EC" w:rsidRPr="002C0D19" w:rsidRDefault="007968EC" w:rsidP="007968EC">
            <w:pPr>
              <w:autoSpaceDE w:val="0"/>
              <w:autoSpaceDN w:val="0"/>
              <w:adjustRightInd w:val="0"/>
              <w:ind w:right="333"/>
              <w:jc w:val="both"/>
              <w:rPr>
                <w:rFonts w:ascii="Arial Narrow" w:eastAsia="Calibri" w:hAnsi="Arial Narrow" w:cs="Arial"/>
                <w:b/>
                <w:bCs/>
                <w:iCs/>
                <w:color w:val="000000" w:themeColor="text1"/>
                <w:lang w:val="es-ES" w:eastAsia="es-ES"/>
              </w:rPr>
            </w:pPr>
          </w:p>
          <w:p w14:paraId="553EC69E" w14:textId="77777777" w:rsidR="007968EC" w:rsidRPr="002C0D19" w:rsidRDefault="007968EC" w:rsidP="007968EC">
            <w:pPr>
              <w:jc w:val="both"/>
              <w:rPr>
                <w:rFonts w:ascii="Arial Narrow" w:eastAsia="Calibri" w:hAnsi="Arial Narrow" w:cs="Arial"/>
                <w:b/>
                <w:bCs/>
                <w:iCs/>
                <w:color w:val="000000" w:themeColor="text1"/>
                <w:lang w:val="es-ES" w:eastAsia="es-ES"/>
              </w:rPr>
            </w:pPr>
            <w:r w:rsidRPr="002C0D19">
              <w:rPr>
                <w:rFonts w:ascii="Arial Narrow" w:eastAsia="Calibri" w:hAnsi="Arial Narrow" w:cs="Arial"/>
                <w:b/>
                <w:bCs/>
                <w:iCs/>
                <w:color w:val="000000" w:themeColor="text1"/>
                <w:lang w:val="es-ES" w:eastAsia="es-ES"/>
              </w:rPr>
              <w:t xml:space="preserve">Esta SBLC será pagadera a primer requerimiento, sin beneficio de excusión, contra la presentación al </w:t>
            </w:r>
            <w:r w:rsidRPr="002C0D19">
              <w:rPr>
                <w:rFonts w:ascii="Arial Narrow" w:eastAsia="Calibri" w:hAnsi="Arial Narrow" w:cs="Arial"/>
                <w:b/>
                <w:bCs/>
                <w:iCs/>
                <w:color w:val="000000" w:themeColor="text1"/>
                <w:highlight w:val="lightGray"/>
                <w:lang w:val="es-ES" w:eastAsia="es-ES"/>
              </w:rPr>
              <w:t>[insertar nombre del Banco Emisor]</w:t>
            </w:r>
            <w:r w:rsidRPr="002C0D19">
              <w:rPr>
                <w:rFonts w:ascii="Arial Narrow" w:eastAsia="Calibri" w:hAnsi="Arial Narrow" w:cs="Arial"/>
                <w:b/>
                <w:bCs/>
                <w:iCs/>
                <w:color w:val="000000" w:themeColor="text1"/>
                <w:lang w:val="es-ES" w:eastAsia="es-ES"/>
              </w:rPr>
              <w:t xml:space="preserve"> (“Banco Emisor”) en sus oficinas ubicadas en </w:t>
            </w:r>
            <w:r w:rsidRPr="002C0D19">
              <w:rPr>
                <w:rFonts w:ascii="Arial Narrow" w:eastAsia="Calibri" w:hAnsi="Arial Narrow" w:cs="Arial"/>
                <w:b/>
                <w:bCs/>
                <w:iCs/>
                <w:color w:val="000000" w:themeColor="text1"/>
                <w:highlight w:val="lightGray"/>
                <w:lang w:val="es-ES" w:eastAsia="es-ES"/>
              </w:rPr>
              <w:t>[insertar dirección completa de oficina del Banco Emisor en la que deberá hacerse la presentación]</w:t>
            </w:r>
            <w:r w:rsidRPr="002C0D19">
              <w:rPr>
                <w:rFonts w:ascii="Arial Narrow" w:eastAsia="Calibri" w:hAnsi="Arial Narrow" w:cs="Arial"/>
                <w:b/>
                <w:bCs/>
                <w:iCs/>
                <w:color w:val="000000" w:themeColor="text1"/>
                <w:lang w:val="es-ES" w:eastAsia="es-ES"/>
              </w:rPr>
              <w:t xml:space="preserve"> en la ciudad de Bogotá D.C., Colombia (“Oficinas del Banco Emisor”), a más tardar a las 4:00 pm hora Colombiana de la Fecha de Vencimiento, de una solicitud de pago por escrito, en idioma español, suscrita y reconocida en texto y firmas ante notario por el representante legal del Beneficiario, declarando que el Ordenante ha incumplido una de las Obligaciones Garantizadas, indicando que hace efectiva esta SBLC y el monto por el cual ejecuta la misma (“Solicitud”), sin que el Banco Emisor pueda pedir o exigir documentación o requisito adicional alguno para cumplir con su obligación de pagar.</w:t>
            </w:r>
          </w:p>
          <w:p w14:paraId="64568652" w14:textId="77777777" w:rsidR="007968EC" w:rsidRPr="002C0D19" w:rsidRDefault="007968EC" w:rsidP="007968EC">
            <w:pPr>
              <w:autoSpaceDE w:val="0"/>
              <w:autoSpaceDN w:val="0"/>
              <w:adjustRightInd w:val="0"/>
              <w:ind w:left="284" w:right="333"/>
              <w:jc w:val="both"/>
              <w:rPr>
                <w:rFonts w:ascii="Arial Narrow" w:eastAsia="Calibri" w:hAnsi="Arial Narrow" w:cs="Arial"/>
                <w:b/>
                <w:bCs/>
                <w:iCs/>
                <w:color w:val="000000" w:themeColor="text1"/>
                <w:lang w:val="es-ES" w:eastAsia="es-ES"/>
              </w:rPr>
            </w:pPr>
          </w:p>
          <w:p w14:paraId="666BD958" w14:textId="77777777" w:rsidR="007968EC" w:rsidRPr="002C0D19" w:rsidRDefault="007968EC" w:rsidP="007968EC">
            <w:pPr>
              <w:jc w:val="both"/>
              <w:rPr>
                <w:rFonts w:ascii="Arial Narrow" w:eastAsia="Calibri" w:hAnsi="Arial Narrow" w:cs="Arial"/>
                <w:b/>
                <w:bCs/>
                <w:iCs/>
                <w:color w:val="000000" w:themeColor="text1"/>
                <w:lang w:val="es-ES" w:eastAsia="es-ES"/>
              </w:rPr>
            </w:pPr>
            <w:r w:rsidRPr="002C0D19">
              <w:rPr>
                <w:rFonts w:ascii="Arial Narrow" w:eastAsia="Calibri" w:hAnsi="Arial Narrow" w:cs="Arial"/>
                <w:b/>
                <w:bCs/>
                <w:iCs/>
                <w:color w:val="000000" w:themeColor="text1"/>
                <w:lang w:val="es-ES" w:eastAsia="es-ES"/>
              </w:rPr>
              <w:lastRenderedPageBreak/>
              <w:t>El Banco Emisor se compromete a pagar al Beneficiario mediante depósito en la cuenta bancaria que para tal efecto señale el Beneficiario, el monto establecido por este último en la Solicitud, siempre que el mismo no supere el Monto Garantizado, sin ningún tipo de objeción o demora, en fondos inmediatamente disponibles, dentro de los tres (3) días hábiles siguientes a la recepción de la Solicitud en los términos establecidos en la presente SBLC.</w:t>
            </w:r>
          </w:p>
          <w:p w14:paraId="527DF1D7" w14:textId="77777777" w:rsidR="007968EC" w:rsidRPr="002C0D19" w:rsidRDefault="007968EC" w:rsidP="007968EC">
            <w:pPr>
              <w:autoSpaceDE w:val="0"/>
              <w:autoSpaceDN w:val="0"/>
              <w:adjustRightInd w:val="0"/>
              <w:ind w:right="333"/>
              <w:jc w:val="both"/>
              <w:rPr>
                <w:rFonts w:ascii="Arial Narrow" w:eastAsia="Calibri" w:hAnsi="Arial Narrow" w:cs="Arial"/>
                <w:b/>
                <w:bCs/>
                <w:iCs/>
                <w:color w:val="000000" w:themeColor="text1"/>
                <w:lang w:val="es-ES" w:eastAsia="es-ES"/>
              </w:rPr>
            </w:pPr>
          </w:p>
          <w:p w14:paraId="44B39C06" w14:textId="77777777" w:rsidR="007968EC" w:rsidRPr="002C0D19" w:rsidRDefault="007968EC" w:rsidP="007968EC">
            <w:pPr>
              <w:jc w:val="both"/>
              <w:rPr>
                <w:rFonts w:ascii="Arial Narrow" w:eastAsia="Calibri" w:hAnsi="Arial Narrow" w:cs="Arial"/>
                <w:b/>
                <w:bCs/>
                <w:iCs/>
                <w:color w:val="000000" w:themeColor="text1"/>
                <w:lang w:val="es-ES" w:eastAsia="es-ES"/>
              </w:rPr>
            </w:pPr>
            <w:r w:rsidRPr="002C0D19">
              <w:rPr>
                <w:rFonts w:ascii="Arial Narrow" w:eastAsia="Calibri" w:hAnsi="Arial Narrow" w:cs="Arial"/>
                <w:b/>
                <w:bCs/>
                <w:iCs/>
                <w:color w:val="000000" w:themeColor="text1"/>
                <w:lang w:val="es-ES" w:eastAsia="es-ES"/>
              </w:rPr>
              <w:t>La presente SBLC podrá ser ejecutada por parte del Beneficiario por la totalidad del Monto Garantizado o por cualquier suma inferior. Si fuera ejecutada por una suma inferior al Monto Garantizado, el pago por parte del Banco Emisor disminuirá el Monto Garantizado en la cantidad efectivamente pagada.</w:t>
            </w:r>
          </w:p>
          <w:p w14:paraId="397560A1" w14:textId="77777777" w:rsidR="007968EC" w:rsidRPr="002C0D19" w:rsidRDefault="007968EC" w:rsidP="007968EC">
            <w:pPr>
              <w:autoSpaceDE w:val="0"/>
              <w:autoSpaceDN w:val="0"/>
              <w:adjustRightInd w:val="0"/>
              <w:ind w:right="333"/>
              <w:jc w:val="both"/>
              <w:rPr>
                <w:rFonts w:ascii="Arial Narrow" w:eastAsia="Calibri" w:hAnsi="Arial Narrow" w:cs="Arial"/>
                <w:b/>
                <w:bCs/>
                <w:iCs/>
                <w:color w:val="000000" w:themeColor="text1"/>
                <w:lang w:val="es-ES" w:eastAsia="es-ES"/>
              </w:rPr>
            </w:pPr>
          </w:p>
          <w:p w14:paraId="6708E125" w14:textId="77777777" w:rsidR="007968EC" w:rsidRPr="002C0D19" w:rsidRDefault="007968EC" w:rsidP="007968EC">
            <w:pPr>
              <w:jc w:val="both"/>
              <w:rPr>
                <w:rFonts w:ascii="Arial Narrow" w:eastAsia="Calibri" w:hAnsi="Arial Narrow" w:cs="Arial"/>
                <w:b/>
                <w:bCs/>
                <w:iCs/>
                <w:color w:val="000000" w:themeColor="text1"/>
                <w:lang w:val="es-ES" w:eastAsia="es-ES"/>
              </w:rPr>
            </w:pPr>
            <w:r w:rsidRPr="002C0D19">
              <w:rPr>
                <w:rFonts w:ascii="Arial Narrow" w:eastAsia="Calibri" w:hAnsi="Arial Narrow" w:cs="Arial"/>
                <w:b/>
                <w:bCs/>
                <w:iCs/>
                <w:color w:val="000000" w:themeColor="text1"/>
                <w:lang w:val="es-ES" w:eastAsia="es-ES"/>
              </w:rPr>
              <w:t xml:space="preserve">Esta SBLC estará vigente hasta las 4:00 pm hora Colombiana del día </w:t>
            </w:r>
            <w:r w:rsidRPr="002C0D19">
              <w:rPr>
                <w:rFonts w:ascii="Arial Narrow" w:eastAsia="Calibri" w:hAnsi="Arial Narrow" w:cs="Arial"/>
                <w:b/>
                <w:bCs/>
                <w:iCs/>
                <w:color w:val="000000" w:themeColor="text1"/>
                <w:highlight w:val="lightGray"/>
                <w:lang w:val="es-ES" w:eastAsia="es-ES"/>
              </w:rPr>
              <w:t>[insertar Fecha de Vencimiento]</w:t>
            </w:r>
            <w:r w:rsidRPr="002C0D19">
              <w:rPr>
                <w:rFonts w:ascii="Arial Narrow" w:eastAsia="Calibri" w:hAnsi="Arial Narrow" w:cs="Arial"/>
                <w:b/>
                <w:bCs/>
                <w:iCs/>
                <w:color w:val="000000" w:themeColor="text1"/>
                <w:lang w:val="es-ES" w:eastAsia="es-ES"/>
              </w:rPr>
              <w:t xml:space="preserve"> (“Fecha de Vencimiento”). En caso de que esta SBLC sea prorrogada por el Banco Emisor, se tendrá por Fecha de Vencimiento la nueva fecha definida como tal dentro del documento de prórroga expedido por el Banco Emisor.</w:t>
            </w:r>
          </w:p>
          <w:p w14:paraId="5AB22E6B" w14:textId="77777777" w:rsidR="007968EC" w:rsidRPr="002C0D19" w:rsidRDefault="007968EC" w:rsidP="007968EC">
            <w:pPr>
              <w:autoSpaceDE w:val="0"/>
              <w:autoSpaceDN w:val="0"/>
              <w:adjustRightInd w:val="0"/>
              <w:ind w:right="333"/>
              <w:jc w:val="both"/>
              <w:rPr>
                <w:rFonts w:ascii="Arial Narrow" w:eastAsia="Calibri" w:hAnsi="Arial Narrow" w:cs="Arial"/>
                <w:b/>
                <w:bCs/>
                <w:iCs/>
                <w:color w:val="000000" w:themeColor="text1"/>
                <w:lang w:val="es-ES" w:eastAsia="es-ES"/>
              </w:rPr>
            </w:pPr>
          </w:p>
          <w:p w14:paraId="00ABA0E2" w14:textId="77777777" w:rsidR="007968EC" w:rsidRPr="002C0D19" w:rsidRDefault="007968EC" w:rsidP="007968EC">
            <w:pPr>
              <w:jc w:val="both"/>
              <w:rPr>
                <w:rFonts w:ascii="Arial Narrow" w:eastAsia="Calibri" w:hAnsi="Arial Narrow" w:cs="Arial"/>
                <w:b/>
                <w:bCs/>
                <w:iCs/>
                <w:color w:val="000000" w:themeColor="text1"/>
                <w:lang w:val="es-ES" w:eastAsia="es-ES"/>
              </w:rPr>
            </w:pPr>
            <w:r w:rsidRPr="002C0D19">
              <w:rPr>
                <w:rFonts w:ascii="Arial Narrow" w:eastAsia="Calibri" w:hAnsi="Arial Narrow" w:cs="Arial"/>
                <w:b/>
                <w:bCs/>
                <w:iCs/>
                <w:color w:val="000000" w:themeColor="text1"/>
                <w:lang w:val="es-ES" w:eastAsia="es-ES"/>
              </w:rPr>
              <w:t>Esta SBLC será irrevocable y no podrá ser modificada, reconvenida o cancelada durante su vigencia, sin el consentimiento previo, expreso y escrito del Beneficiario. También es totalmente abstracta, independiente y autónoma de cualquier negocio causal o subyacente, y de cualesquiera obligaciones y derechos derivados de dichos negocios causales o subyacentes.</w:t>
            </w:r>
          </w:p>
          <w:p w14:paraId="5347A1B1" w14:textId="77777777" w:rsidR="007968EC" w:rsidRPr="002C0D19" w:rsidRDefault="007968EC" w:rsidP="007968EC">
            <w:pPr>
              <w:autoSpaceDE w:val="0"/>
              <w:autoSpaceDN w:val="0"/>
              <w:adjustRightInd w:val="0"/>
              <w:ind w:right="333"/>
              <w:jc w:val="both"/>
              <w:rPr>
                <w:rFonts w:ascii="Arial Narrow" w:eastAsia="Calibri" w:hAnsi="Arial Narrow" w:cs="Arial"/>
                <w:b/>
                <w:bCs/>
                <w:iCs/>
                <w:color w:val="000000" w:themeColor="text1"/>
                <w:lang w:val="es-ES" w:eastAsia="es-ES"/>
              </w:rPr>
            </w:pPr>
          </w:p>
          <w:p w14:paraId="7E12E7DA" w14:textId="77777777" w:rsidR="007968EC" w:rsidRPr="002C0D19" w:rsidRDefault="007968EC" w:rsidP="007968EC">
            <w:pPr>
              <w:jc w:val="both"/>
              <w:rPr>
                <w:rFonts w:ascii="Arial Narrow" w:eastAsia="Calibri" w:hAnsi="Arial Narrow" w:cs="Arial"/>
                <w:b/>
                <w:bCs/>
                <w:iCs/>
                <w:color w:val="000000" w:themeColor="text1"/>
                <w:lang w:val="es-ES" w:eastAsia="es-ES"/>
              </w:rPr>
            </w:pPr>
            <w:r w:rsidRPr="002C0D19">
              <w:rPr>
                <w:rFonts w:ascii="Arial Narrow" w:eastAsia="Calibri" w:hAnsi="Arial Narrow" w:cs="Arial"/>
                <w:b/>
                <w:bCs/>
                <w:iCs/>
                <w:color w:val="000000" w:themeColor="text1"/>
                <w:lang w:val="es-ES" w:eastAsia="es-ES"/>
              </w:rPr>
              <w:t xml:space="preserve">Esta SBLC se encuentra sujeta a las </w:t>
            </w:r>
            <w:r w:rsidRPr="002C0D19">
              <w:rPr>
                <w:rFonts w:ascii="Arial Narrow" w:eastAsia="Calibri" w:hAnsi="Arial Narrow" w:cs="Arial"/>
                <w:b/>
                <w:bCs/>
                <w:iCs/>
                <w:color w:val="000000" w:themeColor="text1"/>
                <w:highlight w:val="lightGray"/>
                <w:lang w:val="es-ES" w:eastAsia="es-ES"/>
              </w:rPr>
              <w:t>[escoger uno cualquiera de los textos que están entre comillas “Prácticas Internacionales de Stand By 1998 del Instituto de Derecho y Prácticas Bancarias Internacional (ISP98)” /o/ “Reglas Uniformes para Garantías a Primer Requerimiento Revisión 2010 de la Cámara de Comercio Internacional (URDG 758)”  /o/ “Reglas y Usos Uniformes para Créditos Documentarios, revisión 2007, publicación No. 600 de la Cámara de Comercio Internacional (UCP 600)”]</w:t>
            </w:r>
            <w:r w:rsidRPr="002C0D19">
              <w:rPr>
                <w:rFonts w:ascii="Arial Narrow" w:eastAsia="Calibri" w:hAnsi="Arial Narrow" w:cs="Arial"/>
                <w:b/>
                <w:bCs/>
                <w:iCs/>
                <w:color w:val="000000" w:themeColor="text1"/>
                <w:lang w:val="es-ES" w:eastAsia="es-ES"/>
              </w:rPr>
              <w:t xml:space="preserve"> (las “Reglas”).  Las Reglas serán obligatorias para todas las partes intervinientes, entre ellos Ordenante, Banco Emisor, confirmante, avisador y Beneficiario, salvo que alguna de dichas Reglas haya sido expresamente modificada o excluida en esta SBLC.</w:t>
            </w:r>
          </w:p>
          <w:p w14:paraId="365598B9" w14:textId="77777777" w:rsidR="007968EC" w:rsidRPr="002C0D19" w:rsidRDefault="007968EC" w:rsidP="007968EC">
            <w:pPr>
              <w:autoSpaceDE w:val="0"/>
              <w:autoSpaceDN w:val="0"/>
              <w:adjustRightInd w:val="0"/>
              <w:ind w:right="333"/>
              <w:jc w:val="both"/>
              <w:rPr>
                <w:rFonts w:ascii="Arial Narrow" w:eastAsia="Calibri" w:hAnsi="Arial Narrow" w:cs="Arial"/>
                <w:b/>
                <w:bCs/>
                <w:iCs/>
                <w:color w:val="000000" w:themeColor="text1"/>
                <w:lang w:val="es-ES" w:eastAsia="es-ES"/>
              </w:rPr>
            </w:pPr>
          </w:p>
          <w:p w14:paraId="0CD0B4DF" w14:textId="77777777" w:rsidR="007968EC" w:rsidRPr="002C0D19" w:rsidRDefault="007968EC" w:rsidP="007968EC">
            <w:pPr>
              <w:jc w:val="both"/>
              <w:rPr>
                <w:rFonts w:ascii="Arial Narrow" w:eastAsia="Calibri" w:hAnsi="Arial Narrow" w:cs="Arial"/>
                <w:b/>
                <w:bCs/>
                <w:iCs/>
                <w:color w:val="000000" w:themeColor="text1"/>
                <w:lang w:val="es-ES" w:eastAsia="es-ES"/>
              </w:rPr>
            </w:pPr>
            <w:r w:rsidRPr="002C0D19">
              <w:rPr>
                <w:rFonts w:ascii="Arial Narrow" w:eastAsia="Calibri" w:hAnsi="Arial Narrow" w:cs="Arial"/>
                <w:b/>
                <w:bCs/>
                <w:iCs/>
                <w:color w:val="000000" w:themeColor="text1"/>
                <w:lang w:val="es-ES" w:eastAsia="es-ES"/>
              </w:rPr>
              <w:t>Cualquier Solicitud en virtud de esta SBLC deberá ser recibida por el Banco Emisor en o antes de la hora y Fecha de Vencimiento.</w:t>
            </w:r>
          </w:p>
          <w:p w14:paraId="3DB78350" w14:textId="77777777" w:rsidR="007968EC" w:rsidRPr="002C0D19" w:rsidRDefault="007968EC" w:rsidP="007968EC">
            <w:pPr>
              <w:autoSpaceDE w:val="0"/>
              <w:autoSpaceDN w:val="0"/>
              <w:adjustRightInd w:val="0"/>
              <w:ind w:right="333"/>
              <w:jc w:val="both"/>
              <w:rPr>
                <w:rFonts w:ascii="Arial Narrow" w:eastAsia="Calibri" w:hAnsi="Arial Narrow" w:cs="Arial"/>
                <w:b/>
                <w:bCs/>
                <w:iCs/>
                <w:color w:val="000000" w:themeColor="text1"/>
                <w:lang w:val="es-ES" w:eastAsia="es-ES"/>
              </w:rPr>
            </w:pPr>
          </w:p>
          <w:p w14:paraId="443565A9" w14:textId="77777777" w:rsidR="007968EC" w:rsidRPr="002C0D19" w:rsidRDefault="007968EC" w:rsidP="007968EC">
            <w:pPr>
              <w:jc w:val="both"/>
              <w:rPr>
                <w:rFonts w:ascii="Arial Narrow" w:eastAsia="Calibri" w:hAnsi="Arial Narrow" w:cs="Arial"/>
                <w:b/>
                <w:bCs/>
                <w:iCs/>
                <w:color w:val="000000" w:themeColor="text1"/>
                <w:lang w:val="es-ES" w:eastAsia="es-ES"/>
              </w:rPr>
            </w:pPr>
            <w:r w:rsidRPr="002C0D19">
              <w:rPr>
                <w:rFonts w:ascii="Arial Narrow" w:eastAsia="Calibri" w:hAnsi="Arial Narrow" w:cs="Arial"/>
                <w:b/>
                <w:bCs/>
                <w:iCs/>
                <w:color w:val="000000" w:themeColor="text1"/>
                <w:lang w:val="es-ES" w:eastAsia="es-ES"/>
              </w:rPr>
              <w:t>Esta SBLC no podrá ser cedida o endosada por el Beneficiario sin el consentimiento previo y por escrito del Banco Emisor.</w:t>
            </w:r>
          </w:p>
          <w:p w14:paraId="4F89D6D1" w14:textId="77777777" w:rsidR="007968EC" w:rsidRPr="002C0D19" w:rsidRDefault="007968EC" w:rsidP="007968EC">
            <w:pPr>
              <w:autoSpaceDE w:val="0"/>
              <w:autoSpaceDN w:val="0"/>
              <w:adjustRightInd w:val="0"/>
              <w:ind w:left="284" w:right="333"/>
              <w:jc w:val="both"/>
              <w:rPr>
                <w:rFonts w:ascii="Arial Narrow" w:eastAsia="Calibri" w:hAnsi="Arial Narrow" w:cs="Arial"/>
                <w:b/>
                <w:bCs/>
                <w:iCs/>
                <w:color w:val="000000" w:themeColor="text1"/>
                <w:lang w:val="es-ES" w:eastAsia="es-ES"/>
              </w:rPr>
            </w:pPr>
          </w:p>
          <w:p w14:paraId="7602E245" w14:textId="77777777" w:rsidR="007968EC" w:rsidRPr="002C0D19" w:rsidRDefault="007968EC" w:rsidP="007968EC">
            <w:pPr>
              <w:autoSpaceDE w:val="0"/>
              <w:autoSpaceDN w:val="0"/>
              <w:adjustRightInd w:val="0"/>
              <w:ind w:right="333"/>
              <w:jc w:val="both"/>
              <w:rPr>
                <w:rFonts w:ascii="Arial Narrow" w:eastAsia="Calibri" w:hAnsi="Arial Narrow" w:cs="Arial"/>
                <w:b/>
                <w:bCs/>
                <w:iCs/>
                <w:color w:val="000000" w:themeColor="text1"/>
                <w:lang w:val="es-ES" w:eastAsia="es-ES"/>
              </w:rPr>
            </w:pPr>
            <w:r w:rsidRPr="002C0D19">
              <w:rPr>
                <w:rFonts w:ascii="Arial Narrow" w:eastAsia="Calibri" w:hAnsi="Arial Narrow" w:cs="Arial"/>
                <w:b/>
                <w:bCs/>
                <w:iCs/>
                <w:color w:val="000000" w:themeColor="text1"/>
                <w:highlight w:val="lightGray"/>
                <w:lang w:val="es-ES" w:eastAsia="es-ES"/>
              </w:rPr>
              <w:t>[Nombre completo del Banco Emisor]</w:t>
            </w:r>
          </w:p>
          <w:p w14:paraId="67AF62CE" w14:textId="77777777" w:rsidR="007968EC" w:rsidRPr="002C0D19" w:rsidRDefault="007968EC" w:rsidP="007968EC">
            <w:pPr>
              <w:autoSpaceDE w:val="0"/>
              <w:autoSpaceDN w:val="0"/>
              <w:adjustRightInd w:val="0"/>
              <w:ind w:right="333"/>
              <w:rPr>
                <w:rFonts w:ascii="Arial Narrow" w:eastAsia="Calibri" w:hAnsi="Arial Narrow" w:cs="Arial"/>
                <w:b/>
                <w:bCs/>
                <w:iCs/>
                <w:color w:val="000000" w:themeColor="text1"/>
                <w:highlight w:val="lightGray"/>
                <w:lang w:val="es-ES" w:eastAsia="es-ES"/>
              </w:rPr>
            </w:pPr>
            <w:r w:rsidRPr="002C0D19">
              <w:rPr>
                <w:rFonts w:ascii="Arial Narrow" w:eastAsia="Calibri" w:hAnsi="Arial Narrow" w:cs="Arial"/>
                <w:b/>
                <w:bCs/>
                <w:iCs/>
                <w:color w:val="000000" w:themeColor="text1"/>
                <w:highlight w:val="lightGray"/>
                <w:lang w:val="es-ES" w:eastAsia="es-ES"/>
              </w:rPr>
              <w:t>[Firma de quien suscribe por el Banco Emisor]</w:t>
            </w:r>
            <w:r w:rsidRPr="002C0D19">
              <w:rPr>
                <w:rFonts w:ascii="Arial Narrow" w:eastAsia="Calibri" w:hAnsi="Arial Narrow" w:cs="Arial"/>
                <w:b/>
                <w:bCs/>
                <w:iCs/>
                <w:color w:val="000000" w:themeColor="text1"/>
                <w:lang w:val="es-ES" w:eastAsia="es-ES"/>
              </w:rPr>
              <w:br/>
              <w:t>______________________________________</w:t>
            </w:r>
            <w:r w:rsidRPr="002C0D19">
              <w:rPr>
                <w:rFonts w:ascii="Arial Narrow" w:eastAsia="Calibri" w:hAnsi="Arial Narrow" w:cs="Arial"/>
                <w:b/>
                <w:bCs/>
                <w:iCs/>
                <w:color w:val="000000" w:themeColor="text1"/>
                <w:lang w:val="es-ES" w:eastAsia="es-ES"/>
              </w:rPr>
              <w:br/>
            </w:r>
            <w:r w:rsidRPr="002C0D19">
              <w:rPr>
                <w:rFonts w:ascii="Arial Narrow" w:eastAsia="Calibri" w:hAnsi="Arial Narrow" w:cs="Arial"/>
                <w:b/>
                <w:bCs/>
                <w:iCs/>
                <w:color w:val="000000" w:themeColor="text1"/>
                <w:highlight w:val="lightGray"/>
                <w:lang w:val="es-ES" w:eastAsia="es-ES"/>
              </w:rPr>
              <w:t>[Nombre de quien suscribe por el Banco Emisor]</w:t>
            </w:r>
          </w:p>
          <w:p w14:paraId="4E6E6ED9" w14:textId="77777777" w:rsidR="007968EC" w:rsidRPr="002C0D19" w:rsidRDefault="007968EC" w:rsidP="007968EC">
            <w:pPr>
              <w:autoSpaceDE w:val="0"/>
              <w:autoSpaceDN w:val="0"/>
              <w:adjustRightInd w:val="0"/>
              <w:ind w:right="333"/>
              <w:jc w:val="both"/>
              <w:rPr>
                <w:rFonts w:ascii="Arial Narrow" w:eastAsia="Calibri" w:hAnsi="Arial Narrow" w:cs="Arial"/>
                <w:b/>
                <w:bCs/>
                <w:iCs/>
                <w:color w:val="000000" w:themeColor="text1"/>
                <w:highlight w:val="lightGray"/>
                <w:lang w:val="es-ES" w:eastAsia="es-ES"/>
              </w:rPr>
            </w:pPr>
            <w:r w:rsidRPr="002C0D19">
              <w:rPr>
                <w:rFonts w:ascii="Arial Narrow" w:eastAsia="Calibri" w:hAnsi="Arial Narrow" w:cs="Arial"/>
                <w:b/>
                <w:bCs/>
                <w:iCs/>
                <w:color w:val="000000" w:themeColor="text1"/>
                <w:highlight w:val="lightGray"/>
                <w:lang w:val="es-ES" w:eastAsia="es-ES"/>
              </w:rPr>
              <w:t>[Cédula de quien suscribe por el Banco Emisor]</w:t>
            </w:r>
          </w:p>
          <w:p w14:paraId="7D9F57E4" w14:textId="77777777" w:rsidR="007968EC" w:rsidRPr="002C0D19" w:rsidRDefault="007968EC" w:rsidP="007968EC">
            <w:pPr>
              <w:autoSpaceDE w:val="0"/>
              <w:autoSpaceDN w:val="0"/>
              <w:adjustRightInd w:val="0"/>
              <w:ind w:right="333"/>
              <w:jc w:val="both"/>
              <w:rPr>
                <w:rFonts w:ascii="Arial Narrow" w:eastAsia="Calibri" w:hAnsi="Arial Narrow" w:cs="Arial"/>
                <w:b/>
                <w:bCs/>
                <w:iCs/>
                <w:color w:val="000000" w:themeColor="text1"/>
                <w:lang w:val="es-ES" w:eastAsia="es-ES"/>
              </w:rPr>
            </w:pPr>
            <w:r w:rsidRPr="002C0D19">
              <w:rPr>
                <w:rFonts w:ascii="Arial Narrow" w:eastAsia="Calibri" w:hAnsi="Arial Narrow" w:cs="Arial"/>
                <w:b/>
                <w:bCs/>
                <w:iCs/>
                <w:color w:val="000000" w:themeColor="text1"/>
                <w:highlight w:val="lightGray"/>
                <w:lang w:val="es-ES" w:eastAsia="es-ES"/>
              </w:rPr>
              <w:t>[Calidad en que actúa quien suscribe por el Banco Emisor]</w:t>
            </w:r>
          </w:p>
          <w:p w14:paraId="64FBB698" w14:textId="77777777" w:rsidR="007968EC" w:rsidRPr="002C0D19" w:rsidRDefault="007968EC" w:rsidP="007968EC">
            <w:pPr>
              <w:jc w:val="both"/>
              <w:rPr>
                <w:rFonts w:ascii="Arial Narrow" w:hAnsi="Arial Narrow" w:cs="Arial"/>
                <w:b/>
                <w:color w:val="000000" w:themeColor="text1"/>
                <w:lang w:val="es-ES" w:eastAsia="es-ES"/>
              </w:rPr>
            </w:pPr>
          </w:p>
        </w:tc>
      </w:tr>
    </w:tbl>
    <w:p w14:paraId="2C089B8D" w14:textId="77777777" w:rsidR="007968EC" w:rsidRPr="002C0D19" w:rsidRDefault="007968EC" w:rsidP="007968EC">
      <w:pPr>
        <w:rPr>
          <w:rFonts w:ascii="Arial Narrow" w:hAnsi="Arial Narrow" w:cs="Arial"/>
          <w:b/>
          <w:color w:val="000000" w:themeColor="text1"/>
          <w:lang w:val="es-ES" w:eastAsia="es-ES"/>
        </w:rPr>
      </w:pPr>
    </w:p>
    <w:p w14:paraId="614439E0"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 w:eastAsia="es-ES"/>
        </w:rPr>
        <w:t xml:space="preserve">PARÁGRAFO. </w:t>
      </w:r>
      <w:r w:rsidRPr="002C0D19">
        <w:rPr>
          <w:rFonts w:ascii="Arial Narrow" w:hAnsi="Arial Narrow" w:cs="Arial"/>
          <w:color w:val="000000" w:themeColor="text1"/>
          <w:lang w:val="es-ES" w:eastAsia="es-ES"/>
        </w:rPr>
        <w:t>La CRCC S.A. informa que no se aceptarán cartas de crédito emitidas en condiciones diferentes a las establecidas en la presente Circular.</w:t>
      </w:r>
    </w:p>
    <w:p w14:paraId="116D356C" w14:textId="77777777" w:rsidR="007968EC" w:rsidRPr="002C0D19" w:rsidRDefault="007968EC" w:rsidP="007968EC">
      <w:pPr>
        <w:jc w:val="both"/>
        <w:rPr>
          <w:rFonts w:ascii="Arial Narrow" w:hAnsi="Arial Narrow" w:cs="Arial"/>
          <w:color w:val="000000" w:themeColor="text1"/>
          <w:lang w:val="es-ES" w:eastAsia="es-ES"/>
        </w:rPr>
      </w:pPr>
    </w:p>
    <w:p w14:paraId="25A72B0E" w14:textId="77777777" w:rsidR="007968EC" w:rsidRPr="002C0D19" w:rsidRDefault="007968EC" w:rsidP="007968EC">
      <w:pPr>
        <w:jc w:val="both"/>
        <w:rPr>
          <w:rFonts w:ascii="Arial Narrow" w:hAnsi="Arial Narrow" w:cs="Arial"/>
          <w:color w:val="000000" w:themeColor="text1"/>
          <w:lang w:val="es-ES" w:eastAsia="es-ES"/>
        </w:rPr>
      </w:pPr>
    </w:p>
    <w:p w14:paraId="192B821E" w14:textId="77777777" w:rsidR="007968EC" w:rsidRPr="002C0D19" w:rsidRDefault="007968EC" w:rsidP="007968EC">
      <w:pPr>
        <w:jc w:val="both"/>
        <w:rPr>
          <w:rFonts w:ascii="Arial Narrow" w:hAnsi="Arial Narrow" w:cs="Arial"/>
          <w:color w:val="000000" w:themeColor="text1"/>
          <w:lang w:val="es-ES" w:eastAsia="es-ES"/>
        </w:rPr>
      </w:pPr>
    </w:p>
    <w:p w14:paraId="352B7E0F" w14:textId="77777777" w:rsidR="007968EC" w:rsidRPr="002C0D19" w:rsidRDefault="007968EC" w:rsidP="007968EC">
      <w:pPr>
        <w:jc w:val="both"/>
        <w:rPr>
          <w:rFonts w:ascii="Arial Narrow" w:hAnsi="Arial Narrow" w:cs="Arial"/>
          <w:color w:val="000000" w:themeColor="text1"/>
          <w:lang w:val="es-ES" w:eastAsia="es-ES"/>
        </w:rPr>
      </w:pPr>
    </w:p>
    <w:p w14:paraId="608FD206" w14:textId="77777777" w:rsidR="007968EC" w:rsidRPr="002C0D19" w:rsidRDefault="007968EC" w:rsidP="007968EC">
      <w:pPr>
        <w:jc w:val="both"/>
        <w:rPr>
          <w:rFonts w:ascii="Arial Narrow" w:hAnsi="Arial Narrow" w:cs="Arial"/>
          <w:color w:val="000000" w:themeColor="text1"/>
          <w:lang w:val="es-ES" w:eastAsia="es-ES"/>
        </w:rPr>
      </w:pPr>
    </w:p>
    <w:p w14:paraId="08792273" w14:textId="77777777" w:rsidR="007968EC" w:rsidRPr="002C0D19" w:rsidRDefault="007968EC" w:rsidP="007968EC">
      <w:pPr>
        <w:jc w:val="both"/>
        <w:rPr>
          <w:rFonts w:ascii="Arial Narrow" w:hAnsi="Arial Narrow" w:cs="Arial"/>
          <w:color w:val="000000" w:themeColor="text1"/>
          <w:lang w:val="es-ES" w:eastAsia="es-ES"/>
        </w:rPr>
      </w:pPr>
    </w:p>
    <w:p w14:paraId="2A2B4954" w14:textId="77777777" w:rsidR="007968EC" w:rsidRPr="002C0D19" w:rsidRDefault="007968EC" w:rsidP="007968EC">
      <w:pPr>
        <w:jc w:val="both"/>
        <w:rPr>
          <w:rFonts w:ascii="Arial Narrow" w:hAnsi="Arial Narrow" w:cs="Arial"/>
          <w:color w:val="000000" w:themeColor="text1"/>
          <w:lang w:val="es-ES" w:eastAsia="es-ES"/>
        </w:rPr>
      </w:pPr>
    </w:p>
    <w:p w14:paraId="59A8F428" w14:textId="77777777" w:rsidR="007968EC" w:rsidRPr="002C0D19" w:rsidRDefault="007968EC" w:rsidP="007968EC">
      <w:pPr>
        <w:jc w:val="both"/>
        <w:rPr>
          <w:rFonts w:ascii="Arial Narrow" w:hAnsi="Arial Narrow" w:cs="Arial"/>
          <w:color w:val="000000" w:themeColor="text1"/>
          <w:lang w:val="es-ES" w:eastAsia="es-ES"/>
        </w:rPr>
      </w:pPr>
    </w:p>
    <w:p w14:paraId="41AB77CD" w14:textId="77777777" w:rsidR="007968EC" w:rsidRPr="002C0D19" w:rsidRDefault="007968EC" w:rsidP="007968EC">
      <w:pPr>
        <w:jc w:val="both"/>
        <w:rPr>
          <w:rFonts w:ascii="Arial Narrow" w:hAnsi="Arial Narrow" w:cs="Arial"/>
          <w:color w:val="000000" w:themeColor="text1"/>
          <w:lang w:val="es-ES" w:eastAsia="es-ES"/>
        </w:rPr>
      </w:pPr>
    </w:p>
    <w:p w14:paraId="6A1FC212" w14:textId="77777777" w:rsidR="007968EC" w:rsidRPr="002C0D19" w:rsidRDefault="007968EC" w:rsidP="007968EC">
      <w:pPr>
        <w:jc w:val="both"/>
        <w:rPr>
          <w:rFonts w:ascii="Arial Narrow" w:hAnsi="Arial Narrow" w:cs="Arial"/>
          <w:color w:val="000000" w:themeColor="text1"/>
          <w:lang w:val="es-ES" w:eastAsia="es-ES"/>
        </w:rPr>
      </w:pPr>
    </w:p>
    <w:p w14:paraId="5F651B22" w14:textId="77777777" w:rsidR="007968EC" w:rsidRPr="002C0D19" w:rsidRDefault="007968EC" w:rsidP="007968EC">
      <w:pPr>
        <w:jc w:val="both"/>
        <w:rPr>
          <w:rFonts w:ascii="Arial Narrow" w:hAnsi="Arial Narrow" w:cs="Arial"/>
          <w:color w:val="000000" w:themeColor="text1"/>
          <w:lang w:val="es-ES" w:eastAsia="es-ES"/>
        </w:rPr>
      </w:pPr>
    </w:p>
    <w:p w14:paraId="44CEC516" w14:textId="77777777" w:rsidR="007968EC" w:rsidRPr="002C0D19" w:rsidRDefault="007968EC" w:rsidP="007968EC">
      <w:pPr>
        <w:jc w:val="both"/>
        <w:rPr>
          <w:rFonts w:ascii="Arial Narrow" w:hAnsi="Arial Narrow" w:cs="Arial"/>
          <w:color w:val="000000" w:themeColor="text1"/>
          <w:lang w:val="es-ES" w:eastAsia="es-ES"/>
        </w:rPr>
      </w:pPr>
    </w:p>
    <w:p w14:paraId="4B6BBFBF" w14:textId="77777777" w:rsidR="007968EC" w:rsidRPr="002C0D19" w:rsidRDefault="007968EC" w:rsidP="007968EC">
      <w:pPr>
        <w:jc w:val="both"/>
        <w:rPr>
          <w:rFonts w:ascii="Arial Narrow" w:hAnsi="Arial Narrow" w:cs="Arial"/>
          <w:color w:val="000000" w:themeColor="text1"/>
          <w:lang w:val="es-ES" w:eastAsia="es-ES"/>
        </w:rPr>
      </w:pPr>
    </w:p>
    <w:p w14:paraId="7FA7EBA8" w14:textId="77777777" w:rsidR="007968EC" w:rsidRPr="002C0D19" w:rsidRDefault="007968EC" w:rsidP="007968EC">
      <w:pPr>
        <w:jc w:val="both"/>
        <w:rPr>
          <w:rFonts w:ascii="Arial Narrow" w:hAnsi="Arial Narrow" w:cs="Arial"/>
          <w:color w:val="000000" w:themeColor="text1"/>
          <w:lang w:val="es-ES" w:eastAsia="es-ES"/>
        </w:rPr>
      </w:pPr>
    </w:p>
    <w:p w14:paraId="68089419" w14:textId="77777777" w:rsidR="007968EC" w:rsidRPr="002C0D19" w:rsidRDefault="007968EC" w:rsidP="007968EC">
      <w:pPr>
        <w:jc w:val="both"/>
        <w:rPr>
          <w:rFonts w:ascii="Arial Narrow" w:hAnsi="Arial Narrow" w:cs="Arial"/>
          <w:color w:val="000000" w:themeColor="text1"/>
          <w:lang w:val="es-ES" w:eastAsia="es-ES"/>
        </w:rPr>
      </w:pPr>
    </w:p>
    <w:p w14:paraId="2C267DE4" w14:textId="77777777" w:rsidR="007968EC" w:rsidRPr="002C0D19" w:rsidRDefault="007968EC" w:rsidP="007968EC">
      <w:pPr>
        <w:jc w:val="both"/>
        <w:rPr>
          <w:rFonts w:ascii="Arial Narrow" w:hAnsi="Arial Narrow" w:cs="Arial"/>
          <w:color w:val="000000" w:themeColor="text1"/>
          <w:lang w:val="es-ES" w:eastAsia="es-ES"/>
        </w:rPr>
      </w:pPr>
    </w:p>
    <w:p w14:paraId="5BB86280" w14:textId="77777777" w:rsidR="007968EC" w:rsidRPr="002C0D19" w:rsidRDefault="007968EC" w:rsidP="007968EC">
      <w:pPr>
        <w:jc w:val="both"/>
        <w:rPr>
          <w:rFonts w:ascii="Arial Narrow" w:hAnsi="Arial Narrow" w:cs="Arial"/>
          <w:color w:val="000000" w:themeColor="text1"/>
          <w:lang w:val="es-ES" w:eastAsia="es-ES"/>
        </w:rPr>
      </w:pPr>
    </w:p>
    <w:p w14:paraId="4BA7BE10" w14:textId="77777777" w:rsidR="007968EC" w:rsidRPr="002C0D19" w:rsidRDefault="007968EC" w:rsidP="007968EC">
      <w:pPr>
        <w:jc w:val="both"/>
        <w:rPr>
          <w:rFonts w:ascii="Arial Narrow" w:hAnsi="Arial Narrow" w:cs="Arial"/>
          <w:color w:val="000000" w:themeColor="text1"/>
          <w:lang w:val="es-ES" w:eastAsia="es-ES"/>
        </w:rPr>
      </w:pPr>
    </w:p>
    <w:p w14:paraId="7D33456C" w14:textId="77777777" w:rsidR="007968EC" w:rsidRPr="002C0D19" w:rsidRDefault="007968EC" w:rsidP="007968EC">
      <w:pPr>
        <w:jc w:val="both"/>
        <w:rPr>
          <w:rFonts w:ascii="Arial Narrow" w:hAnsi="Arial Narrow" w:cs="Arial"/>
          <w:color w:val="000000" w:themeColor="text1"/>
          <w:lang w:val="es-ES" w:eastAsia="es-ES"/>
        </w:rPr>
      </w:pPr>
    </w:p>
    <w:p w14:paraId="32FB49BB" w14:textId="77777777" w:rsidR="007968EC" w:rsidRPr="002C0D19" w:rsidRDefault="007968EC" w:rsidP="007968EC">
      <w:pPr>
        <w:jc w:val="both"/>
        <w:rPr>
          <w:rFonts w:ascii="Arial Narrow" w:hAnsi="Arial Narrow" w:cs="Arial"/>
          <w:color w:val="000000" w:themeColor="text1"/>
          <w:lang w:val="es-ES" w:eastAsia="es-ES"/>
        </w:rPr>
      </w:pPr>
    </w:p>
    <w:p w14:paraId="6D484A65" w14:textId="77777777" w:rsidR="007968EC" w:rsidRPr="002C0D19" w:rsidRDefault="007968EC" w:rsidP="007968EC">
      <w:pPr>
        <w:jc w:val="both"/>
        <w:rPr>
          <w:rFonts w:ascii="Arial Narrow" w:hAnsi="Arial Narrow" w:cs="Arial"/>
          <w:color w:val="000000" w:themeColor="text1"/>
          <w:lang w:val="es-ES" w:eastAsia="es-ES"/>
        </w:rPr>
      </w:pPr>
    </w:p>
    <w:p w14:paraId="095AFF21" w14:textId="77777777" w:rsidR="007968EC" w:rsidRPr="002C0D19" w:rsidRDefault="007968EC" w:rsidP="007968EC">
      <w:pPr>
        <w:jc w:val="both"/>
        <w:rPr>
          <w:rFonts w:ascii="Arial Narrow" w:hAnsi="Arial Narrow" w:cs="Arial"/>
          <w:color w:val="000000" w:themeColor="text1"/>
          <w:lang w:val="es-ES" w:eastAsia="es-ES"/>
        </w:rPr>
      </w:pPr>
    </w:p>
    <w:p w14:paraId="02FA40FA" w14:textId="77777777" w:rsidR="007968EC" w:rsidRPr="002C0D19" w:rsidRDefault="007968EC" w:rsidP="007968EC">
      <w:pPr>
        <w:jc w:val="both"/>
        <w:rPr>
          <w:rFonts w:ascii="Arial Narrow" w:hAnsi="Arial Narrow" w:cs="Arial"/>
          <w:color w:val="000000" w:themeColor="text1"/>
          <w:lang w:val="es-ES" w:eastAsia="es-ES"/>
        </w:rPr>
      </w:pPr>
    </w:p>
    <w:p w14:paraId="559B5BD5" w14:textId="77777777" w:rsidR="007968EC" w:rsidRPr="002C0D19" w:rsidRDefault="007968EC" w:rsidP="007968EC">
      <w:pPr>
        <w:jc w:val="both"/>
        <w:rPr>
          <w:rFonts w:ascii="Arial Narrow" w:hAnsi="Arial Narrow" w:cs="Arial"/>
          <w:color w:val="000000" w:themeColor="text1"/>
          <w:lang w:val="es-ES" w:eastAsia="es-ES"/>
        </w:rPr>
      </w:pPr>
    </w:p>
    <w:p w14:paraId="441EF03E" w14:textId="77777777" w:rsidR="007968EC" w:rsidRPr="002C0D19" w:rsidRDefault="007968EC" w:rsidP="007968EC">
      <w:pPr>
        <w:jc w:val="both"/>
        <w:rPr>
          <w:rFonts w:ascii="Arial Narrow" w:hAnsi="Arial Narrow" w:cs="Arial"/>
          <w:color w:val="000000" w:themeColor="text1"/>
          <w:lang w:val="es-ES" w:eastAsia="es-ES"/>
        </w:rPr>
      </w:pPr>
    </w:p>
    <w:p w14:paraId="71F360A6" w14:textId="77777777" w:rsidR="007968EC" w:rsidRPr="002C0D19" w:rsidRDefault="007968EC" w:rsidP="007968EC">
      <w:pPr>
        <w:jc w:val="both"/>
        <w:rPr>
          <w:rFonts w:ascii="Arial Narrow" w:hAnsi="Arial Narrow" w:cs="Arial"/>
          <w:color w:val="000000" w:themeColor="text1"/>
          <w:lang w:val="es-ES" w:eastAsia="es-ES"/>
        </w:rPr>
      </w:pPr>
    </w:p>
    <w:p w14:paraId="20CFB040" w14:textId="77777777" w:rsidR="007968EC" w:rsidRPr="002C0D19" w:rsidRDefault="007968EC" w:rsidP="007968EC">
      <w:pPr>
        <w:jc w:val="both"/>
        <w:rPr>
          <w:rFonts w:ascii="Arial Narrow" w:hAnsi="Arial Narrow" w:cs="Arial"/>
          <w:color w:val="000000" w:themeColor="text1"/>
          <w:lang w:val="es-ES" w:eastAsia="es-ES"/>
        </w:rPr>
      </w:pPr>
    </w:p>
    <w:p w14:paraId="5AA9491C" w14:textId="77777777" w:rsidR="007968EC" w:rsidRPr="002C0D19" w:rsidRDefault="007968EC" w:rsidP="007968EC">
      <w:pPr>
        <w:jc w:val="both"/>
        <w:rPr>
          <w:rFonts w:ascii="Arial Narrow" w:hAnsi="Arial Narrow" w:cs="Arial"/>
          <w:color w:val="000000" w:themeColor="text1"/>
          <w:lang w:val="es-ES" w:eastAsia="es-ES"/>
        </w:rPr>
      </w:pPr>
    </w:p>
    <w:p w14:paraId="2B66AA6A" w14:textId="77777777" w:rsidR="007968EC" w:rsidRPr="002C0D19" w:rsidRDefault="007968EC" w:rsidP="007968EC">
      <w:pPr>
        <w:jc w:val="both"/>
        <w:rPr>
          <w:rFonts w:ascii="Arial Narrow" w:hAnsi="Arial Narrow" w:cs="Arial"/>
          <w:color w:val="000000" w:themeColor="text1"/>
          <w:lang w:val="es-ES" w:eastAsia="es-ES"/>
        </w:rPr>
      </w:pPr>
    </w:p>
    <w:p w14:paraId="1CA465EC" w14:textId="77777777" w:rsidR="007968EC" w:rsidRPr="002C0D19" w:rsidRDefault="007968EC" w:rsidP="007968EC">
      <w:pPr>
        <w:jc w:val="both"/>
        <w:rPr>
          <w:rFonts w:ascii="Arial Narrow" w:hAnsi="Arial Narrow" w:cs="Arial"/>
          <w:color w:val="000000" w:themeColor="text1"/>
          <w:lang w:val="es-ES" w:eastAsia="es-ES"/>
        </w:rPr>
      </w:pPr>
    </w:p>
    <w:p w14:paraId="69E6D829" w14:textId="77777777" w:rsidR="007968EC" w:rsidRPr="002C0D19" w:rsidRDefault="007968EC" w:rsidP="007968EC">
      <w:pPr>
        <w:jc w:val="both"/>
        <w:rPr>
          <w:rFonts w:ascii="Arial Narrow" w:hAnsi="Arial Narrow" w:cs="Arial"/>
          <w:color w:val="000000" w:themeColor="text1"/>
          <w:lang w:val="es-ES" w:eastAsia="es-ES"/>
        </w:rPr>
      </w:pPr>
    </w:p>
    <w:p w14:paraId="57FF9D65" w14:textId="77777777" w:rsidR="007968EC" w:rsidRPr="002C0D19" w:rsidRDefault="007968EC" w:rsidP="007968EC">
      <w:pPr>
        <w:jc w:val="both"/>
        <w:rPr>
          <w:rFonts w:ascii="Arial Narrow" w:hAnsi="Arial Narrow" w:cs="Arial"/>
          <w:color w:val="000000" w:themeColor="text1"/>
          <w:lang w:val="es-ES" w:eastAsia="es-ES"/>
        </w:rPr>
      </w:pPr>
    </w:p>
    <w:p w14:paraId="0446193E" w14:textId="77777777" w:rsidR="007968EC" w:rsidRPr="002C0D19" w:rsidRDefault="007968EC" w:rsidP="007968EC">
      <w:pPr>
        <w:jc w:val="both"/>
        <w:rPr>
          <w:rFonts w:ascii="Arial Narrow" w:hAnsi="Arial Narrow" w:cs="Arial"/>
          <w:color w:val="000000" w:themeColor="text1"/>
          <w:lang w:val="es-ES" w:eastAsia="es-ES"/>
        </w:rPr>
        <w:sectPr w:rsidR="007968EC" w:rsidRPr="002C0D19" w:rsidSect="007968EC">
          <w:pgSz w:w="12242" w:h="15842" w:code="1"/>
          <w:pgMar w:top="1985" w:right="1418" w:bottom="1985" w:left="1418" w:header="851" w:footer="1021" w:gutter="0"/>
          <w:cols w:space="708"/>
          <w:titlePg/>
          <w:docGrid w:linePitch="360"/>
        </w:sectPr>
      </w:pPr>
    </w:p>
    <w:p w14:paraId="10430212" w14:textId="77777777" w:rsidR="007968EC" w:rsidRPr="002C0D19" w:rsidRDefault="007968EC" w:rsidP="007968EC">
      <w:pPr>
        <w:pStyle w:val="TTULO"/>
        <w:rPr>
          <w:lang w:val="es-ES"/>
        </w:rPr>
      </w:pPr>
      <w:bookmarkStart w:id="6660" w:name="_Toc31716627"/>
      <w:r w:rsidRPr="002C0D19">
        <w:rPr>
          <w:lang w:val="es-ES"/>
        </w:rPr>
        <w:lastRenderedPageBreak/>
        <w:t>ANEXO 32</w:t>
      </w:r>
      <w:bookmarkEnd w:id="6660"/>
    </w:p>
    <w:p w14:paraId="75B315E6" w14:textId="77777777" w:rsidR="007968EC" w:rsidRPr="002C0D19" w:rsidRDefault="007968EC" w:rsidP="007968EC">
      <w:pPr>
        <w:pStyle w:val="TTULO"/>
        <w:rPr>
          <w:lang w:val="es-ES"/>
        </w:rPr>
      </w:pPr>
    </w:p>
    <w:p w14:paraId="725BFC95" w14:textId="77777777" w:rsidR="007968EC" w:rsidRPr="00991BD9" w:rsidRDefault="007968EC" w:rsidP="007968EC">
      <w:pPr>
        <w:jc w:val="center"/>
        <w:rPr>
          <w:rFonts w:ascii="Arial Narrow" w:hAnsi="Arial Narrow" w:cs="Arial"/>
          <w:b/>
          <w:color w:val="000000" w:themeColor="text1"/>
          <w:lang w:val="es-ES" w:eastAsia="es-ES"/>
        </w:rPr>
      </w:pPr>
      <w:r w:rsidRPr="00991BD9">
        <w:rPr>
          <w:rFonts w:ascii="Arial Narrow" w:hAnsi="Arial Narrow" w:cs="Arial"/>
          <w:b/>
          <w:color w:val="000000" w:themeColor="text1"/>
          <w:lang w:val="es-ES" w:eastAsia="es-ES"/>
        </w:rPr>
        <w:t>FORMATO DE INFORMACIÓN DE CUENTAS DE TERCEROS</w:t>
      </w:r>
    </w:p>
    <w:p w14:paraId="4DF5CCD9" w14:textId="77777777" w:rsidR="007968EC" w:rsidRPr="002C0D19" w:rsidRDefault="007968EC" w:rsidP="007968EC">
      <w:pPr>
        <w:jc w:val="both"/>
        <w:rPr>
          <w:rFonts w:ascii="Arial Narrow" w:hAnsi="Arial Narrow" w:cs="Arial"/>
          <w:color w:val="000000" w:themeColor="text1"/>
          <w:lang w:val="es-ES" w:eastAsia="es-ES"/>
        </w:rPr>
      </w:pPr>
    </w:p>
    <w:p w14:paraId="69C09040" w14:textId="77777777" w:rsidR="007968EC" w:rsidRPr="002C0D19" w:rsidRDefault="007968EC" w:rsidP="007968EC">
      <w:pPr>
        <w:jc w:val="center"/>
        <w:rPr>
          <w:rFonts w:ascii="Arial Narrow" w:hAnsi="Arial Narrow" w:cs="Arial"/>
          <w:color w:val="000000" w:themeColor="text1"/>
          <w:lang w:eastAsia="es-ES"/>
        </w:rPr>
      </w:pPr>
      <w:r w:rsidRPr="002C0D19">
        <w:rPr>
          <w:rFonts w:ascii="Arial Narrow" w:hAnsi="Arial Narrow" w:cs="Arial"/>
          <w:b/>
          <w:noProof/>
          <w:color w:val="000000" w:themeColor="text1"/>
          <w:lang w:eastAsia="es-CO"/>
        </w:rPr>
        <w:drawing>
          <wp:inline distT="0" distB="0" distL="0" distR="0" wp14:anchorId="7D640CB8" wp14:editId="0248DB45">
            <wp:extent cx="7178537" cy="3924000"/>
            <wp:effectExtent l="19050" t="19050" r="22860" b="196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178537" cy="3924000"/>
                    </a:xfrm>
                    <a:prstGeom prst="rect">
                      <a:avLst/>
                    </a:prstGeom>
                    <a:noFill/>
                    <a:ln w="12700">
                      <a:solidFill>
                        <a:sysClr val="windowText" lastClr="000000"/>
                      </a:solidFill>
                    </a:ln>
                  </pic:spPr>
                </pic:pic>
              </a:graphicData>
            </a:graphic>
          </wp:inline>
        </w:drawing>
      </w:r>
    </w:p>
    <w:p w14:paraId="1B6AC4EA" w14:textId="77777777" w:rsidR="007968EC" w:rsidRPr="002C0D19" w:rsidRDefault="007968EC" w:rsidP="007968EC">
      <w:pPr>
        <w:jc w:val="both"/>
        <w:rPr>
          <w:rFonts w:ascii="Arial Narrow" w:hAnsi="Arial Narrow" w:cs="Arial"/>
          <w:color w:val="000000" w:themeColor="text1"/>
          <w:lang w:eastAsia="es-ES"/>
        </w:rPr>
        <w:sectPr w:rsidR="007968EC" w:rsidRPr="002C0D19" w:rsidSect="007968EC">
          <w:pgSz w:w="15842" w:h="12242" w:orient="landscape" w:code="1"/>
          <w:pgMar w:top="1418" w:right="1985" w:bottom="1418" w:left="1985" w:header="851" w:footer="1021" w:gutter="0"/>
          <w:cols w:space="708"/>
          <w:titlePg/>
          <w:docGrid w:linePitch="360"/>
        </w:sectPr>
      </w:pPr>
    </w:p>
    <w:p w14:paraId="6A10FA6E" w14:textId="77777777" w:rsidR="007968EC" w:rsidRPr="002C0D19" w:rsidRDefault="007968EC" w:rsidP="007968EC">
      <w:pPr>
        <w:pStyle w:val="TTULO"/>
        <w:rPr>
          <w:lang w:val="es-ES"/>
        </w:rPr>
      </w:pPr>
      <w:bookmarkStart w:id="6661" w:name="_Toc31716628"/>
      <w:r w:rsidRPr="002C0D19">
        <w:rPr>
          <w:lang w:val="es-ES"/>
        </w:rPr>
        <w:lastRenderedPageBreak/>
        <w:t>ANEXO 33</w:t>
      </w:r>
      <w:bookmarkEnd w:id="6661"/>
      <w:r w:rsidRPr="002C0D19">
        <w:rPr>
          <w:lang w:val="es-ES"/>
        </w:rPr>
        <w:t xml:space="preserve"> </w:t>
      </w:r>
    </w:p>
    <w:p w14:paraId="28643B5C" w14:textId="77777777" w:rsidR="007968EC" w:rsidRPr="002C0D19" w:rsidRDefault="007968EC" w:rsidP="007968EC">
      <w:pPr>
        <w:pStyle w:val="TTULO"/>
        <w:rPr>
          <w:lang w:val="es-ES"/>
        </w:rPr>
      </w:pPr>
    </w:p>
    <w:p w14:paraId="2845F364" w14:textId="77777777" w:rsidR="007968EC" w:rsidRPr="002C0D19" w:rsidRDefault="007968EC" w:rsidP="007968EC">
      <w:pPr>
        <w:pStyle w:val="TTULO"/>
        <w:rPr>
          <w:lang w:val="es-ES"/>
        </w:rPr>
      </w:pPr>
    </w:p>
    <w:p w14:paraId="1E971B4C" w14:textId="77777777" w:rsidR="007968EC" w:rsidRPr="00991BD9" w:rsidRDefault="007968EC" w:rsidP="007968EC">
      <w:pPr>
        <w:jc w:val="center"/>
        <w:rPr>
          <w:rFonts w:ascii="Arial Narrow" w:hAnsi="Arial Narrow" w:cs="Arial"/>
          <w:b/>
          <w:color w:val="000000" w:themeColor="text1"/>
          <w:lang w:val="es-ES" w:eastAsia="es-ES"/>
        </w:rPr>
      </w:pPr>
      <w:r w:rsidRPr="00991BD9">
        <w:rPr>
          <w:rFonts w:ascii="Arial Narrow" w:hAnsi="Arial Narrow" w:cs="Arial"/>
          <w:b/>
          <w:color w:val="000000" w:themeColor="text1"/>
          <w:lang w:val="es-ES" w:eastAsia="es-ES"/>
        </w:rPr>
        <w:t>MODELO DE CONTRATO DE CESIÓN DE POSICIÓN PROPIA DE UN MIEMBRO LIQUIDADOR INCUMPLIDO A OTRO MIEMBRO LIQUIDADOR DE LA CÁMARA</w:t>
      </w:r>
    </w:p>
    <w:p w14:paraId="25FEEF87" w14:textId="77777777" w:rsidR="007968EC" w:rsidRPr="002C0D19" w:rsidRDefault="007968EC" w:rsidP="007968EC">
      <w:pPr>
        <w:jc w:val="center"/>
        <w:rPr>
          <w:rFonts w:ascii="Arial Narrow" w:hAnsi="Arial Narrow" w:cs="Arial"/>
          <w:color w:val="000000" w:themeColor="text1"/>
          <w:lang w:val="es-ES" w:eastAsia="es-ES"/>
        </w:rPr>
      </w:pPr>
    </w:p>
    <w:p w14:paraId="4037DB5F"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El Contrato de cesión de Posición Propia de un Miembro Liquidador Incumplido a otro Miembro Liquidador de la Cámara de Riesgo Central de Contraparte de Colombia S.A. – CRCC S.A., suscrito por la</w:t>
      </w:r>
      <w:r w:rsidRPr="002C0D19">
        <w:rPr>
          <w:rFonts w:ascii="Arial Narrow" w:hAnsi="Arial Narrow" w:cs="Arial"/>
          <w:b/>
          <w:bCs/>
          <w:color w:val="000000" w:themeColor="text1"/>
          <w:lang w:val="es-ES" w:eastAsia="es-ES"/>
        </w:rPr>
        <w:t xml:space="preserve"> CÁMARA DE RIESGO CENTRAL DE CONTRAPARTE DE COLOMBIA S.A.</w:t>
      </w:r>
      <w:r w:rsidRPr="002C0D19">
        <w:rPr>
          <w:rFonts w:ascii="Arial Narrow" w:hAnsi="Arial Narrow" w:cs="Arial"/>
          <w:color w:val="000000" w:themeColor="text1"/>
          <w:lang w:val="es-ES" w:eastAsia="es-ES"/>
        </w:rPr>
        <w:t xml:space="preserve">, en adelante </w:t>
      </w:r>
      <w:r w:rsidRPr="002C0D19">
        <w:rPr>
          <w:rFonts w:ascii="Arial Narrow" w:hAnsi="Arial Narrow" w:cs="Arial"/>
          <w:b/>
          <w:color w:val="000000" w:themeColor="text1"/>
          <w:lang w:val="es-ES" w:eastAsia="es-ES"/>
        </w:rPr>
        <w:t xml:space="preserve">LA </w:t>
      </w:r>
      <w:r w:rsidRPr="002C0D19">
        <w:rPr>
          <w:rFonts w:ascii="Arial Narrow" w:hAnsi="Arial Narrow" w:cs="Arial"/>
          <w:b/>
          <w:bCs/>
          <w:color w:val="000000" w:themeColor="text1"/>
          <w:lang w:val="es-ES" w:eastAsia="es-ES"/>
        </w:rPr>
        <w:t xml:space="preserve">CRCC, </w:t>
      </w:r>
      <w:r w:rsidRPr="002C0D19">
        <w:rPr>
          <w:rFonts w:ascii="Arial Narrow" w:hAnsi="Arial Narrow" w:cs="Arial"/>
          <w:bCs/>
          <w:color w:val="000000" w:themeColor="text1"/>
          <w:lang w:val="es-ES" w:eastAsia="es-ES"/>
        </w:rPr>
        <w:t>en su calidad de cedente</w:t>
      </w:r>
      <w:r w:rsidRPr="002C0D19">
        <w:rPr>
          <w:rFonts w:ascii="Arial Narrow" w:hAnsi="Arial Narrow" w:cs="Arial"/>
          <w:color w:val="000000" w:themeColor="text1"/>
          <w:lang w:val="es-ES" w:eastAsia="es-ES"/>
        </w:rPr>
        <w:t xml:space="preserve">, y por otra parte por </w:t>
      </w:r>
      <w:r w:rsidRPr="002C0D19">
        <w:rPr>
          <w:rFonts w:ascii="Arial Narrow" w:hAnsi="Arial Narrow" w:cs="Arial"/>
          <w:b/>
          <w:bCs/>
          <w:color w:val="000000" w:themeColor="text1"/>
          <w:lang w:val="es-ES" w:eastAsia="es-ES"/>
        </w:rPr>
        <w:t xml:space="preserve">__________________________________, </w:t>
      </w:r>
      <w:r w:rsidRPr="002C0D19">
        <w:rPr>
          <w:rFonts w:ascii="Arial Narrow" w:hAnsi="Arial Narrow" w:cs="Arial"/>
          <w:color w:val="000000" w:themeColor="text1"/>
          <w:lang w:val="es-ES" w:eastAsia="es-ES"/>
        </w:rPr>
        <w:t xml:space="preserve">en adelante </w:t>
      </w:r>
      <w:r w:rsidRPr="002C0D19">
        <w:rPr>
          <w:rFonts w:ascii="Arial Narrow" w:hAnsi="Arial Narrow" w:cs="Arial"/>
          <w:b/>
          <w:bCs/>
          <w:color w:val="000000" w:themeColor="text1"/>
          <w:lang w:val="es-ES" w:eastAsia="es-ES"/>
        </w:rPr>
        <w:t xml:space="preserve">EL MIEMBRO, </w:t>
      </w:r>
      <w:r w:rsidRPr="002C0D19">
        <w:rPr>
          <w:rFonts w:ascii="Arial Narrow" w:hAnsi="Arial Narrow" w:cs="Arial"/>
          <w:bCs/>
          <w:color w:val="000000" w:themeColor="text1"/>
          <w:lang w:val="es-ES" w:eastAsia="es-ES"/>
        </w:rPr>
        <w:t>en su calidad de cesionario</w:t>
      </w:r>
      <w:r w:rsidRPr="002C0D19">
        <w:rPr>
          <w:rFonts w:ascii="Arial Narrow" w:hAnsi="Arial Narrow" w:cs="Arial"/>
          <w:color w:val="000000" w:themeColor="text1"/>
          <w:lang w:val="es-ES" w:eastAsia="es-ES"/>
        </w:rPr>
        <w:t xml:space="preserve">, las cuales conjuntamente se denominarán como </w:t>
      </w:r>
      <w:r w:rsidRPr="002C0D19">
        <w:rPr>
          <w:rFonts w:ascii="Arial Narrow" w:hAnsi="Arial Narrow" w:cs="Arial"/>
          <w:b/>
          <w:color w:val="000000" w:themeColor="text1"/>
          <w:lang w:val="es-ES" w:eastAsia="es-ES"/>
        </w:rPr>
        <w:t>LAS PARTES</w:t>
      </w:r>
      <w:r w:rsidRPr="002C0D19">
        <w:rPr>
          <w:rFonts w:ascii="Arial Narrow" w:hAnsi="Arial Narrow" w:cs="Arial"/>
          <w:color w:val="000000" w:themeColor="text1"/>
          <w:lang w:val="es-ES" w:eastAsia="es-ES"/>
        </w:rPr>
        <w:t>.</w:t>
      </w:r>
    </w:p>
    <w:p w14:paraId="39E7905F" w14:textId="77777777" w:rsidR="007968EC" w:rsidRPr="002C0D19" w:rsidRDefault="007968EC" w:rsidP="007968EC">
      <w:pPr>
        <w:jc w:val="both"/>
        <w:rPr>
          <w:rFonts w:ascii="Arial Narrow" w:hAnsi="Arial Narrow" w:cs="Arial"/>
          <w:b/>
          <w:bCs/>
          <w:color w:val="000000" w:themeColor="text1"/>
          <w:u w:val="single"/>
          <w:lang w:val="es-ES" w:eastAsia="es-ES"/>
        </w:rPr>
      </w:pPr>
    </w:p>
    <w:p w14:paraId="039A6395" w14:textId="77777777" w:rsidR="007968EC" w:rsidRPr="002C0D19" w:rsidRDefault="007968EC" w:rsidP="007968EC">
      <w:pPr>
        <w:jc w:val="center"/>
        <w:rPr>
          <w:rFonts w:ascii="Arial Narrow" w:hAnsi="Arial Narrow" w:cs="Arial"/>
          <w:b/>
          <w:bCs/>
          <w:iCs/>
          <w:color w:val="000000" w:themeColor="text1"/>
          <w:lang w:val="es-ES" w:eastAsia="es-ES"/>
        </w:rPr>
      </w:pPr>
      <w:r w:rsidRPr="002C0D19">
        <w:rPr>
          <w:rFonts w:ascii="Arial Narrow" w:hAnsi="Arial Narrow" w:cs="Arial"/>
          <w:b/>
          <w:bCs/>
          <w:iCs/>
          <w:color w:val="000000" w:themeColor="text1"/>
          <w:lang w:val="es-ES" w:eastAsia="es-ES"/>
        </w:rPr>
        <w:t xml:space="preserve">TÉRMINOS Y CONDICIONES </w:t>
      </w:r>
    </w:p>
    <w:p w14:paraId="54EB0127" w14:textId="77777777" w:rsidR="007968EC" w:rsidRPr="002C0D19" w:rsidRDefault="007968EC" w:rsidP="007968EC">
      <w:pPr>
        <w:jc w:val="center"/>
        <w:rPr>
          <w:rFonts w:ascii="Arial Narrow" w:hAnsi="Arial Narrow" w:cs="Arial"/>
          <w:b/>
          <w:bCs/>
          <w:color w:val="000000" w:themeColor="text1"/>
          <w:lang w:val="es-ES" w:eastAsia="es-ES"/>
        </w:rPr>
      </w:pPr>
    </w:p>
    <w:p w14:paraId="56980D95"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es-ES" w:eastAsia="es-ES"/>
        </w:rPr>
        <w:t>PRIMERA. Objeto.</w:t>
      </w:r>
      <w:r w:rsidRPr="002C0D19">
        <w:rPr>
          <w:rFonts w:ascii="Arial Narrow" w:hAnsi="Arial Narrow" w:cs="Arial"/>
          <w:color w:val="000000" w:themeColor="text1"/>
          <w:lang w:val="es-ES" w:eastAsia="es-ES"/>
        </w:rPr>
        <w:t xml:space="preserve"> Como consecuencia de la declaración de Incumplimiento por parte de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 xml:space="preserve">del Miembro Liquidador _________ y el traspaso de la Posición Propia de éste a la Cuenta Propia de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en virtud de lo dispuesto por el artículo 2.8.7. del Reglamento de Funcionamiento y del artículo 7.2.4. de la Circular Única</w:t>
      </w:r>
      <w:r w:rsidRPr="002C0D19">
        <w:rPr>
          <w:rFonts w:ascii="Arial Narrow" w:hAnsi="Arial Narrow" w:cs="Arial"/>
          <w:b/>
          <w:color w:val="000000" w:themeColor="text1"/>
          <w:lang w:val="es-ES" w:eastAsia="es-ES"/>
        </w:rPr>
        <w:t xml:space="preserve">, LA </w:t>
      </w:r>
      <w:r w:rsidRPr="002C0D19">
        <w:rPr>
          <w:rFonts w:ascii="Arial Narrow" w:hAnsi="Arial Narrow" w:cs="Arial"/>
          <w:b/>
          <w:bCs/>
          <w:color w:val="000000" w:themeColor="text1"/>
          <w:lang w:val="es-ES" w:eastAsia="es-ES"/>
        </w:rPr>
        <w:t xml:space="preserve">CRCC </w:t>
      </w:r>
      <w:r w:rsidRPr="002C0D19">
        <w:rPr>
          <w:rFonts w:ascii="Arial Narrow" w:hAnsi="Arial Narrow" w:cs="Arial"/>
          <w:bCs/>
          <w:color w:val="000000" w:themeColor="text1"/>
          <w:lang w:val="es-ES" w:eastAsia="es-ES"/>
        </w:rPr>
        <w:t xml:space="preserve">cede a favor de </w:t>
      </w:r>
      <w:r w:rsidRPr="002C0D19">
        <w:rPr>
          <w:rFonts w:ascii="Arial Narrow" w:hAnsi="Arial Narrow" w:cs="Arial"/>
          <w:b/>
          <w:bCs/>
          <w:color w:val="000000" w:themeColor="text1"/>
          <w:lang w:val="es-ES" w:eastAsia="es-ES"/>
        </w:rPr>
        <w:t xml:space="preserve">EL MIEMBRO </w:t>
      </w:r>
      <w:r w:rsidRPr="002C0D19">
        <w:rPr>
          <w:rFonts w:ascii="Arial Narrow" w:hAnsi="Arial Narrow" w:cs="Arial"/>
          <w:bCs/>
          <w:color w:val="000000" w:themeColor="text1"/>
          <w:lang w:val="es-ES" w:eastAsia="es-ES"/>
        </w:rPr>
        <w:t xml:space="preserve">la Posición Propia y/o las Garantías Constituidas por el Miembro Incumplido </w:t>
      </w:r>
      <w:r w:rsidRPr="002C0D19">
        <w:rPr>
          <w:rFonts w:ascii="Arial Narrow" w:hAnsi="Arial Narrow" w:cs="Arial"/>
          <w:color w:val="000000" w:themeColor="text1"/>
          <w:lang w:val="es-ES" w:eastAsia="es-ES"/>
        </w:rPr>
        <w:t xml:space="preserve">con el propósito de que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compense, liquide y garantice las Operaciones Aceptadas por la misma. </w:t>
      </w:r>
    </w:p>
    <w:p w14:paraId="224DF3DC" w14:textId="77777777" w:rsidR="007968EC" w:rsidRPr="002C0D19" w:rsidRDefault="007968EC" w:rsidP="007968EC">
      <w:pPr>
        <w:jc w:val="both"/>
        <w:rPr>
          <w:rFonts w:ascii="Arial Narrow" w:hAnsi="Arial Narrow" w:cs="Arial"/>
          <w:color w:val="000000" w:themeColor="text1"/>
          <w:lang w:val="es-ES" w:eastAsia="es-ES"/>
        </w:rPr>
      </w:pPr>
    </w:p>
    <w:p w14:paraId="2390F386" w14:textId="77777777" w:rsidR="007968EC" w:rsidRPr="002C0D19" w:rsidRDefault="007968EC" w:rsidP="007968EC">
      <w:pPr>
        <w:jc w:val="both"/>
        <w:rPr>
          <w:rFonts w:ascii="Arial Narrow" w:hAnsi="Arial Narrow" w:cs="Arial"/>
          <w:b/>
          <w:color w:val="000000" w:themeColor="text1"/>
          <w:lang w:val="es-ES" w:eastAsia="es-ES"/>
        </w:rPr>
      </w:pPr>
      <w:r w:rsidRPr="002C0D19">
        <w:rPr>
          <w:rFonts w:ascii="Arial Narrow" w:hAnsi="Arial Narrow" w:cs="Arial"/>
          <w:b/>
          <w:color w:val="000000" w:themeColor="text1"/>
          <w:u w:val="single"/>
          <w:lang w:val="es-ES" w:eastAsia="es-ES"/>
        </w:rPr>
        <w:t>SEGUNDA. Declaraciones, Manifestaciones y Autorizaciones</w:t>
      </w:r>
      <w:r w:rsidRPr="002C0D19">
        <w:rPr>
          <w:rFonts w:ascii="Arial Narrow" w:hAnsi="Arial Narrow" w:cs="Arial"/>
          <w:b/>
          <w:color w:val="000000" w:themeColor="text1"/>
          <w:lang w:val="es-ES" w:eastAsia="es-ES"/>
        </w:rPr>
        <w:t>.</w:t>
      </w:r>
      <w:r w:rsidRPr="002C0D19">
        <w:rPr>
          <w:rFonts w:ascii="Arial Narrow" w:hAnsi="Arial Narrow" w:cs="Arial"/>
          <w:color w:val="000000" w:themeColor="text1"/>
          <w:lang w:val="es-ES" w:eastAsia="es-ES"/>
        </w:rPr>
        <w:t xml:space="preserve"> Mediante la suscripción del presente Contrato, </w:t>
      </w:r>
      <w:r w:rsidRPr="002C0D19">
        <w:rPr>
          <w:rFonts w:ascii="Arial Narrow" w:hAnsi="Arial Narrow" w:cs="Arial"/>
          <w:b/>
          <w:color w:val="000000" w:themeColor="text1"/>
          <w:lang w:val="es-ES" w:eastAsia="es-ES"/>
        </w:rPr>
        <w:t>EL MIEMBRO:</w:t>
      </w:r>
    </w:p>
    <w:p w14:paraId="0ADB22CA" w14:textId="77777777" w:rsidR="007968EC" w:rsidRPr="002C0D19" w:rsidRDefault="007968EC" w:rsidP="007968EC">
      <w:pPr>
        <w:jc w:val="both"/>
        <w:rPr>
          <w:rFonts w:ascii="Arial Narrow" w:hAnsi="Arial Narrow" w:cs="Arial"/>
          <w:color w:val="000000" w:themeColor="text1"/>
          <w:lang w:val="es-ES" w:eastAsia="es-ES"/>
        </w:rPr>
      </w:pPr>
    </w:p>
    <w:p w14:paraId="13D26153" w14:textId="77777777" w:rsidR="007968EC" w:rsidRPr="002C0D19" w:rsidRDefault="007968EC" w:rsidP="00DA7472">
      <w:pPr>
        <w:numPr>
          <w:ilvl w:val="0"/>
          <w:numId w:val="113"/>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Declara expresamente conocer y aceptar en su integridad el Reglamento, las Circulares y los Instructivos Operativos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los cuales se consideran parte integral del presente Contrato. </w:t>
      </w:r>
    </w:p>
    <w:p w14:paraId="08EC5AA3" w14:textId="77777777" w:rsidR="007968EC" w:rsidRPr="002C0D19" w:rsidRDefault="007968EC" w:rsidP="00DA7472">
      <w:pPr>
        <w:numPr>
          <w:ilvl w:val="0"/>
          <w:numId w:val="113"/>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Declara conocer la reglamentación de las bolsas, los sistemas de negociación y mercado mostrador, y/o de los Mecanismos de Contratación donde se transen los Activos Compensados y Liquidados a través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w:t>
      </w:r>
    </w:p>
    <w:p w14:paraId="6E5DDC81" w14:textId="77777777" w:rsidR="007968EC" w:rsidRPr="002C0D19" w:rsidRDefault="007968EC" w:rsidP="00DA7472">
      <w:pPr>
        <w:numPr>
          <w:ilvl w:val="0"/>
          <w:numId w:val="113"/>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Que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se vinculó como Miembro Liquidador de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 xml:space="preserve">mediante oferta de servicios de fecha ________, aceptada mediante Orden de Compra de Servicios de fecha ___________. </w:t>
      </w:r>
    </w:p>
    <w:p w14:paraId="21E13108" w14:textId="77777777" w:rsidR="007968EC" w:rsidRPr="002C0D19" w:rsidRDefault="007968EC" w:rsidP="00DA7472">
      <w:pPr>
        <w:numPr>
          <w:ilvl w:val="0"/>
          <w:numId w:val="113"/>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Que</w:t>
      </w:r>
      <w:r w:rsidRPr="002C0D19">
        <w:rPr>
          <w:rFonts w:ascii="Arial Narrow" w:hAnsi="Arial Narrow" w:cs="Arial"/>
          <w:b/>
          <w:color w:val="000000" w:themeColor="text1"/>
          <w:lang w:val="es-ES" w:eastAsia="es-ES"/>
        </w:rPr>
        <w:t xml:space="preserve"> EL MIEMBRO </w:t>
      </w:r>
      <w:r w:rsidRPr="002C0D19">
        <w:rPr>
          <w:rFonts w:ascii="Arial Narrow" w:hAnsi="Arial Narrow" w:cs="Arial"/>
          <w:color w:val="000000" w:themeColor="text1"/>
          <w:lang w:val="es-ES" w:eastAsia="es-ES"/>
        </w:rPr>
        <w:t xml:space="preserve">manifiesta que continúa cumpliendo con las condiciones y requisitos establecidos en el Reglamento para ser Miembro Liquidador. </w:t>
      </w:r>
    </w:p>
    <w:p w14:paraId="5722D699" w14:textId="77777777" w:rsidR="007968EC" w:rsidRPr="002C0D19" w:rsidRDefault="007968EC" w:rsidP="00DA7472">
      <w:pPr>
        <w:numPr>
          <w:ilvl w:val="0"/>
          <w:numId w:val="113"/>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Que de conformidad con lo dispuesto en el Reglamento, las Circulares y los Instructivos Operativos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mediante comunicación de fecha ________ declaró Incumplido al Miembro Liquidador ____________ .</w:t>
      </w:r>
    </w:p>
    <w:p w14:paraId="6E8F8B7D" w14:textId="77777777" w:rsidR="007968EC" w:rsidRPr="002C0D19" w:rsidRDefault="007968EC" w:rsidP="00DA7472">
      <w:pPr>
        <w:numPr>
          <w:ilvl w:val="0"/>
          <w:numId w:val="113"/>
        </w:numPr>
        <w:contextualSpacing/>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Que de acuerdo con lo dispuesto en el Reglamento y las Circulares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ésta</w:t>
      </w:r>
      <w:r w:rsidRPr="002C0D19">
        <w:rPr>
          <w:rFonts w:ascii="Arial Narrow" w:hAnsi="Arial Narrow" w:cs="Arial"/>
          <w:b/>
          <w:color w:val="000000" w:themeColor="text1"/>
          <w:lang w:val="es-ES" w:eastAsia="es-ES"/>
        </w:rPr>
        <w:t xml:space="preserve"> </w:t>
      </w:r>
      <w:r w:rsidRPr="002C0D19">
        <w:rPr>
          <w:rFonts w:ascii="Arial Narrow" w:hAnsi="Arial Narrow" w:cs="Arial"/>
          <w:color w:val="000000" w:themeColor="text1"/>
          <w:lang w:val="es-ES" w:eastAsia="es-ES"/>
        </w:rPr>
        <w:t>podrá transferir las posiciones en el mercado del Miembro a otro Miembro Liquidador con quien debe haber celebrado previamente un Contrato para este fin.</w:t>
      </w:r>
    </w:p>
    <w:p w14:paraId="13E7276F" w14:textId="77777777" w:rsidR="007968EC" w:rsidRPr="002C0D19" w:rsidRDefault="007968EC" w:rsidP="00DA7472">
      <w:pPr>
        <w:numPr>
          <w:ilvl w:val="0"/>
          <w:numId w:val="113"/>
        </w:numPr>
        <w:contextualSpacing/>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 xml:space="preserve">Que como consecuencia de la declaración de Incumplimiento del Miembro Liquidador _________,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 xml:space="preserve">procedió a traspasar a su propia Cuenta la Posición Propia y las Garantías constituidas por el Miembro Liquidador incumplido e inactivar las Cuentas de Posición Propia de dicho Miembro. </w:t>
      </w:r>
    </w:p>
    <w:p w14:paraId="25E08BE4" w14:textId="77777777" w:rsidR="007968EC" w:rsidRPr="002C0D19" w:rsidRDefault="007968EC" w:rsidP="00DA7472">
      <w:pPr>
        <w:numPr>
          <w:ilvl w:val="0"/>
          <w:numId w:val="113"/>
        </w:num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lastRenderedPageBreak/>
        <w:t xml:space="preserve">Que </w:t>
      </w:r>
      <w:r w:rsidRPr="002C0D19">
        <w:rPr>
          <w:rFonts w:ascii="Arial Narrow" w:hAnsi="Arial Narrow" w:cs="Arial"/>
          <w:b/>
          <w:color w:val="000000" w:themeColor="text1"/>
          <w:lang w:val="es-ES" w:eastAsia="es-ES"/>
        </w:rPr>
        <w:t xml:space="preserve">LA CRCC </w:t>
      </w:r>
      <w:r w:rsidRPr="002C0D19">
        <w:rPr>
          <w:rFonts w:ascii="Arial Narrow" w:hAnsi="Arial Narrow" w:cs="Arial"/>
          <w:color w:val="000000" w:themeColor="text1"/>
          <w:lang w:val="es-ES" w:eastAsia="es-ES"/>
        </w:rPr>
        <w:t xml:space="preserve">y </w:t>
      </w:r>
      <w:r w:rsidRPr="002C0D19">
        <w:rPr>
          <w:rFonts w:ascii="Arial Narrow" w:hAnsi="Arial Narrow" w:cs="Arial"/>
          <w:b/>
          <w:color w:val="000000" w:themeColor="text1"/>
          <w:lang w:val="es-ES" w:eastAsia="es-ES"/>
        </w:rPr>
        <w:t xml:space="preserve">EL MIEMBRO </w:t>
      </w:r>
      <w:r w:rsidRPr="002C0D19">
        <w:rPr>
          <w:rFonts w:ascii="Arial Narrow" w:hAnsi="Arial Narrow" w:cs="Arial"/>
          <w:color w:val="000000" w:themeColor="text1"/>
          <w:lang w:val="es-ES" w:eastAsia="es-ES"/>
        </w:rPr>
        <w:t>han llegado a un acuerdo para que éste asuma la Posición Propia del Miembro Liquidador Incumplido _____________.</w:t>
      </w:r>
    </w:p>
    <w:p w14:paraId="32637701" w14:textId="77777777" w:rsidR="007968EC" w:rsidRPr="002C0D19" w:rsidRDefault="007968EC" w:rsidP="007968EC">
      <w:pPr>
        <w:ind w:left="720"/>
        <w:jc w:val="both"/>
        <w:rPr>
          <w:rFonts w:ascii="Arial Narrow" w:hAnsi="Arial Narrow" w:cs="Arial"/>
          <w:color w:val="000000" w:themeColor="text1"/>
          <w:lang w:val="es-ES" w:eastAsia="es-ES"/>
        </w:rPr>
      </w:pPr>
    </w:p>
    <w:p w14:paraId="2CD93EA7"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color w:val="000000" w:themeColor="text1"/>
          <w:u w:val="single"/>
          <w:lang w:val="es-ES" w:eastAsia="es-ES"/>
        </w:rPr>
        <w:t>TERCERA. Regulación Aplicable.</w:t>
      </w:r>
      <w:r w:rsidRPr="002C0D19">
        <w:rPr>
          <w:rFonts w:ascii="Arial Narrow" w:hAnsi="Arial Narrow" w:cs="Arial"/>
          <w:b/>
          <w:color w:val="000000" w:themeColor="text1"/>
          <w:lang w:val="es-ES" w:eastAsia="es-ES"/>
        </w:rPr>
        <w:t xml:space="preserve"> LA CRCC </w:t>
      </w:r>
      <w:r w:rsidRPr="002C0D19">
        <w:rPr>
          <w:rFonts w:ascii="Arial Narrow" w:hAnsi="Arial Narrow" w:cs="Arial"/>
          <w:color w:val="000000" w:themeColor="text1"/>
          <w:lang w:val="es-ES" w:eastAsia="es-ES"/>
        </w:rPr>
        <w:t xml:space="preserve">y </w:t>
      </w:r>
      <w:r w:rsidRPr="002C0D19">
        <w:rPr>
          <w:rFonts w:ascii="Arial Narrow" w:hAnsi="Arial Narrow" w:cs="Arial"/>
          <w:b/>
          <w:color w:val="000000" w:themeColor="text1"/>
          <w:lang w:val="es-ES" w:eastAsia="es-ES"/>
        </w:rPr>
        <w:t xml:space="preserve">EL MIEMBRO </w:t>
      </w:r>
      <w:r w:rsidRPr="002C0D19">
        <w:rPr>
          <w:rFonts w:ascii="Arial Narrow" w:hAnsi="Arial Narrow" w:cs="Arial"/>
          <w:color w:val="000000" w:themeColor="text1"/>
          <w:lang w:val="es-ES" w:eastAsia="es-ES"/>
        </w:rPr>
        <w:t xml:space="preserve">manifiestan y aceptan que en lo no previsto expresamente en el presente Contrato, se aplicará lo dispuesto en el Reglamento, las Circulares e Instructivos Operativos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y lo dispuesto en los demás convenios celebrados entre </w:t>
      </w:r>
      <w:r w:rsidRPr="002C0D19">
        <w:rPr>
          <w:rFonts w:ascii="Arial Narrow" w:hAnsi="Arial Narrow" w:cs="Arial"/>
          <w:b/>
          <w:color w:val="000000" w:themeColor="text1"/>
          <w:lang w:val="es-ES" w:eastAsia="es-ES"/>
        </w:rPr>
        <w:t xml:space="preserve">EL MIEMBRO </w:t>
      </w:r>
      <w:r w:rsidRPr="002C0D19">
        <w:rPr>
          <w:rFonts w:ascii="Arial Narrow" w:hAnsi="Arial Narrow" w:cs="Arial"/>
          <w:color w:val="000000" w:themeColor="text1"/>
          <w:lang w:val="es-ES" w:eastAsia="es-ES"/>
        </w:rPr>
        <w:t xml:space="preserve">y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w:t>
      </w:r>
    </w:p>
    <w:p w14:paraId="2545459E" w14:textId="77777777" w:rsidR="007968EC" w:rsidRPr="002C0D19" w:rsidRDefault="007968EC" w:rsidP="007968EC">
      <w:pPr>
        <w:jc w:val="both"/>
        <w:rPr>
          <w:rFonts w:ascii="Arial Narrow" w:hAnsi="Arial Narrow" w:cs="Arial"/>
          <w:b/>
          <w:color w:val="000000" w:themeColor="text1"/>
          <w:u w:val="single"/>
          <w:lang w:val="es-ES" w:eastAsia="es-ES"/>
        </w:rPr>
      </w:pPr>
    </w:p>
    <w:p w14:paraId="6D8C73AC" w14:textId="77777777" w:rsidR="007968EC" w:rsidRPr="002C0D19" w:rsidRDefault="007968EC" w:rsidP="007968EC">
      <w:pPr>
        <w:jc w:val="both"/>
        <w:rPr>
          <w:rFonts w:ascii="Arial Narrow" w:hAnsi="Arial Narrow" w:cs="Arial"/>
          <w:b/>
          <w:bCs/>
          <w:color w:val="000000" w:themeColor="text1"/>
          <w:u w:val="single"/>
          <w:lang w:val="es-ES" w:eastAsia="es-ES"/>
        </w:rPr>
      </w:pPr>
      <w:r w:rsidRPr="002C0D19">
        <w:rPr>
          <w:rFonts w:ascii="Arial Narrow" w:hAnsi="Arial Narrow" w:cs="Arial"/>
          <w:b/>
          <w:bCs/>
          <w:color w:val="000000" w:themeColor="text1"/>
          <w:u w:val="single"/>
          <w:lang w:val="es-ES" w:eastAsia="es-ES"/>
        </w:rPr>
        <w:t>CUARTA. Precio.</w:t>
      </w:r>
      <w:r w:rsidRPr="002C0D19">
        <w:rPr>
          <w:rFonts w:ascii="Arial Narrow" w:hAnsi="Arial Narrow" w:cs="Arial"/>
          <w:b/>
          <w:bCs/>
          <w:color w:val="000000" w:themeColor="text1"/>
          <w:lang w:val="es-ES" w:eastAsia="es-ES"/>
        </w:rPr>
        <w:t xml:space="preserve"> LA CRCC </w:t>
      </w:r>
      <w:r w:rsidRPr="002C0D19">
        <w:rPr>
          <w:rFonts w:ascii="Arial Narrow" w:hAnsi="Arial Narrow" w:cs="Arial"/>
          <w:bCs/>
          <w:color w:val="000000" w:themeColor="text1"/>
          <w:lang w:val="es-ES" w:eastAsia="es-ES"/>
        </w:rPr>
        <w:t xml:space="preserve">y </w:t>
      </w:r>
      <w:r w:rsidRPr="002C0D19">
        <w:rPr>
          <w:rFonts w:ascii="Arial Narrow" w:hAnsi="Arial Narrow" w:cs="Arial"/>
          <w:b/>
          <w:bCs/>
          <w:color w:val="000000" w:themeColor="text1"/>
          <w:lang w:val="es-ES" w:eastAsia="es-ES"/>
        </w:rPr>
        <w:t>EL MIEMBRO</w:t>
      </w:r>
      <w:r w:rsidRPr="002C0D19">
        <w:rPr>
          <w:rFonts w:ascii="Arial Narrow" w:hAnsi="Arial Narrow" w:cs="Arial"/>
          <w:bCs/>
          <w:color w:val="000000" w:themeColor="text1"/>
          <w:lang w:val="es-ES" w:eastAsia="es-ES"/>
        </w:rPr>
        <w:t xml:space="preserve"> declaran que la cesión se hace a título gratuito y que por tanto no genera contraprestación económica alguna a favor del </w:t>
      </w:r>
      <w:r w:rsidRPr="002C0D19">
        <w:rPr>
          <w:rFonts w:ascii="Arial Narrow" w:hAnsi="Arial Narrow" w:cs="Arial"/>
          <w:b/>
          <w:bCs/>
          <w:color w:val="000000" w:themeColor="text1"/>
          <w:lang w:val="es-ES" w:eastAsia="es-ES"/>
        </w:rPr>
        <w:t xml:space="preserve">LA CRCC </w:t>
      </w:r>
      <w:r w:rsidRPr="002C0D19">
        <w:rPr>
          <w:rFonts w:ascii="Arial Narrow" w:hAnsi="Arial Narrow" w:cs="Arial"/>
          <w:bCs/>
          <w:color w:val="000000" w:themeColor="text1"/>
          <w:lang w:val="es-ES" w:eastAsia="es-ES"/>
        </w:rPr>
        <w:t xml:space="preserve">y a cargo de </w:t>
      </w:r>
      <w:r w:rsidRPr="002C0D19">
        <w:rPr>
          <w:rFonts w:ascii="Arial Narrow" w:hAnsi="Arial Narrow" w:cs="Arial"/>
          <w:b/>
          <w:bCs/>
          <w:color w:val="000000" w:themeColor="text1"/>
          <w:lang w:val="es-ES" w:eastAsia="es-ES"/>
        </w:rPr>
        <w:t>EL MIEMBRO</w:t>
      </w:r>
      <w:r w:rsidRPr="002C0D19">
        <w:rPr>
          <w:rFonts w:ascii="Arial Narrow" w:hAnsi="Arial Narrow" w:cs="Arial"/>
          <w:bCs/>
          <w:color w:val="000000" w:themeColor="text1"/>
          <w:lang w:val="es-ES" w:eastAsia="es-ES"/>
        </w:rPr>
        <w:t>.</w:t>
      </w:r>
    </w:p>
    <w:p w14:paraId="403E6CF1" w14:textId="77777777" w:rsidR="007968EC" w:rsidRPr="002C0D19" w:rsidRDefault="007968EC" w:rsidP="007968EC">
      <w:pPr>
        <w:jc w:val="both"/>
        <w:rPr>
          <w:rFonts w:ascii="Arial Narrow" w:hAnsi="Arial Narrow" w:cs="Arial"/>
          <w:color w:val="000000" w:themeColor="text1"/>
          <w:lang w:eastAsia="es-ES"/>
        </w:rPr>
      </w:pPr>
    </w:p>
    <w:p w14:paraId="35E64347" w14:textId="77777777" w:rsidR="007968EC" w:rsidRPr="002C0D19" w:rsidRDefault="007968EC" w:rsidP="007968EC">
      <w:pPr>
        <w:jc w:val="both"/>
        <w:rPr>
          <w:rFonts w:ascii="Arial Narrow" w:hAnsi="Arial Narrow" w:cs="Arial"/>
          <w:b/>
          <w:bCs/>
          <w:color w:val="000000" w:themeColor="text1"/>
          <w:lang w:val="es-ES" w:eastAsia="es-ES"/>
        </w:rPr>
      </w:pPr>
      <w:r w:rsidRPr="002C0D19">
        <w:rPr>
          <w:rFonts w:ascii="Arial Narrow" w:hAnsi="Arial Narrow" w:cs="Arial"/>
          <w:b/>
          <w:bCs/>
          <w:color w:val="000000" w:themeColor="text1"/>
          <w:u w:val="single"/>
          <w:lang w:val="es-ES" w:eastAsia="es-ES"/>
        </w:rPr>
        <w:t>QUINTA. Cesión y Subcontratación.</w:t>
      </w:r>
      <w:r w:rsidRPr="002C0D19">
        <w:rPr>
          <w:rFonts w:ascii="Arial Narrow" w:hAnsi="Arial Narrow" w:cs="Arial"/>
          <w:b/>
          <w:bCs/>
          <w:color w:val="000000" w:themeColor="text1"/>
          <w:lang w:val="es-ES" w:eastAsia="es-ES"/>
        </w:rPr>
        <w:t xml:space="preserv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no podrá ceder ni subcontratar total o parcialmente el presente Contrato.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podrá hacerse sustituir por uno o varios terceros en la totalidad o parte de sus relaciones contractuales con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sin necesidad de obtener la conformidad de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 xml:space="preserve"> quien otorga desde ya su consentimiento para dicho efecto</w:t>
      </w:r>
      <w:r w:rsidRPr="002C0D19">
        <w:rPr>
          <w:rFonts w:ascii="Arial Narrow" w:hAnsi="Arial Narrow" w:cs="Arial"/>
          <w:b/>
          <w:bCs/>
          <w:color w:val="000000" w:themeColor="text1"/>
          <w:lang w:val="es-ES" w:eastAsia="es-ES"/>
        </w:rPr>
        <w:t xml:space="preserve">. </w:t>
      </w:r>
    </w:p>
    <w:p w14:paraId="5DAFB995" w14:textId="77777777" w:rsidR="007968EC" w:rsidRPr="002C0D19" w:rsidRDefault="007968EC" w:rsidP="007968EC">
      <w:pPr>
        <w:jc w:val="both"/>
        <w:rPr>
          <w:rFonts w:ascii="Arial Narrow" w:hAnsi="Arial Narrow" w:cs="Arial"/>
          <w:color w:val="000000" w:themeColor="text1"/>
          <w:lang w:eastAsia="es-ES"/>
        </w:rPr>
      </w:pPr>
      <w:r w:rsidRPr="002C0D19">
        <w:rPr>
          <w:rFonts w:ascii="Arial Narrow" w:hAnsi="Arial Narrow" w:cs="Arial"/>
          <w:color w:val="000000" w:themeColor="text1"/>
          <w:lang w:val="es-ES" w:eastAsia="es-ES"/>
        </w:rPr>
        <w:t xml:space="preserve">En todo caso </w:t>
      </w:r>
      <w:r w:rsidRPr="002C0D19">
        <w:rPr>
          <w:rFonts w:ascii="Arial Narrow" w:hAnsi="Arial Narrow" w:cs="Arial"/>
          <w:b/>
          <w:color w:val="000000" w:themeColor="text1"/>
          <w:lang w:val="es-ES" w:eastAsia="es-ES"/>
        </w:rPr>
        <w:t xml:space="preserve">EL MIEMBRO </w:t>
      </w:r>
      <w:r w:rsidRPr="002C0D19">
        <w:rPr>
          <w:rFonts w:ascii="Arial Narrow" w:hAnsi="Arial Narrow" w:cs="Arial"/>
          <w:color w:val="000000" w:themeColor="text1"/>
          <w:lang w:val="es-ES" w:eastAsia="es-ES"/>
        </w:rPr>
        <w:t xml:space="preserve">manifiesta que acepta expresamente el procedimiento y las consecuencias derivadas de la declaración de incumplimiento por parte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en los términos establecidos en el Reglamento, incluidas las medidas que correspondan, así como la ejecución de Garantías que se contemplen en el Reglamento y en las Circulares e Instructivos Operativos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w:t>
      </w:r>
    </w:p>
    <w:p w14:paraId="396F6B36" w14:textId="77777777" w:rsidR="007968EC" w:rsidRPr="002C0D19" w:rsidRDefault="007968EC" w:rsidP="007968EC">
      <w:pPr>
        <w:jc w:val="both"/>
        <w:rPr>
          <w:rFonts w:ascii="Arial Narrow" w:hAnsi="Arial Narrow" w:cs="Arial"/>
          <w:bCs/>
          <w:color w:val="000000" w:themeColor="text1"/>
          <w:lang w:eastAsia="es-ES"/>
        </w:rPr>
      </w:pPr>
      <w:r w:rsidRPr="002C0D19">
        <w:rPr>
          <w:rFonts w:ascii="Arial Narrow" w:hAnsi="Arial Narrow" w:cs="Arial"/>
          <w:b/>
          <w:bCs/>
          <w:color w:val="000000" w:themeColor="text1"/>
          <w:u w:val="single"/>
          <w:lang w:val="es-ES" w:eastAsia="es-ES"/>
        </w:rPr>
        <w:t>SEXTA</w:t>
      </w:r>
      <w:r w:rsidRPr="002C0D19">
        <w:rPr>
          <w:rFonts w:ascii="Arial Narrow" w:hAnsi="Arial Narrow" w:cs="Arial"/>
          <w:b/>
          <w:bCs/>
          <w:color w:val="000000" w:themeColor="text1"/>
          <w:u w:val="single"/>
          <w:lang w:eastAsia="es-ES"/>
        </w:rPr>
        <w:t>. Indemnidad.</w:t>
      </w:r>
      <w:r w:rsidRPr="002C0D19">
        <w:rPr>
          <w:rFonts w:ascii="Arial Narrow" w:hAnsi="Arial Narrow" w:cs="Arial"/>
          <w:bCs/>
          <w:color w:val="000000" w:themeColor="text1"/>
          <w:lang w:eastAsia="es-ES"/>
        </w:rPr>
        <w:t xml:space="preserve"> Siempre que </w:t>
      </w:r>
      <w:r w:rsidRPr="002C0D19">
        <w:rPr>
          <w:rFonts w:ascii="Arial Narrow" w:hAnsi="Arial Narrow" w:cs="Arial"/>
          <w:b/>
          <w:bCs/>
          <w:color w:val="000000" w:themeColor="text1"/>
          <w:lang w:eastAsia="es-ES"/>
        </w:rPr>
        <w:t>LA CRCC</w:t>
      </w:r>
      <w:r w:rsidRPr="002C0D19">
        <w:rPr>
          <w:rFonts w:ascii="Arial Narrow" w:hAnsi="Arial Narrow" w:cs="Arial"/>
          <w:bCs/>
          <w:color w:val="000000" w:themeColor="text1"/>
          <w:lang w:eastAsia="es-ES"/>
        </w:rPr>
        <w:t xml:space="preserve"> haya cumplido con las normas y procedimientos aplicables en cada momento, </w:t>
      </w:r>
      <w:r w:rsidRPr="002C0D19">
        <w:rPr>
          <w:rFonts w:ascii="Arial Narrow" w:hAnsi="Arial Narrow" w:cs="Arial"/>
          <w:b/>
          <w:bCs/>
          <w:color w:val="000000" w:themeColor="text1"/>
          <w:lang w:eastAsia="es-ES"/>
        </w:rPr>
        <w:t xml:space="preserve">EL MIEMBRO </w:t>
      </w:r>
      <w:r w:rsidRPr="002C0D19">
        <w:rPr>
          <w:rFonts w:ascii="Arial Narrow" w:hAnsi="Arial Narrow" w:cs="Arial"/>
          <w:bCs/>
          <w:color w:val="000000" w:themeColor="text1"/>
          <w:lang w:eastAsia="es-ES"/>
        </w:rPr>
        <w:t xml:space="preserve">deberá mantener a </w:t>
      </w:r>
      <w:r w:rsidRPr="002C0D19">
        <w:rPr>
          <w:rFonts w:ascii="Arial Narrow" w:hAnsi="Arial Narrow" w:cs="Arial"/>
          <w:b/>
          <w:bCs/>
          <w:color w:val="000000" w:themeColor="text1"/>
          <w:lang w:eastAsia="es-ES"/>
        </w:rPr>
        <w:t>LA CRCC</w:t>
      </w:r>
      <w:r w:rsidRPr="002C0D19">
        <w:rPr>
          <w:rFonts w:ascii="Arial Narrow" w:hAnsi="Arial Narrow" w:cs="Arial"/>
          <w:bCs/>
          <w:color w:val="000000" w:themeColor="text1"/>
          <w:lang w:eastAsia="es-ES"/>
        </w:rPr>
        <w:t xml:space="preserve"> y a sus representantes, órganos o funcionarios, indemnes y libres de todo reclamo, demanda, litigio, acción legal y/o reivindicación de cualquier especie que se entable o pueda entablarse contra </w:t>
      </w:r>
      <w:r w:rsidRPr="002C0D19">
        <w:rPr>
          <w:rFonts w:ascii="Arial Narrow" w:hAnsi="Arial Narrow" w:cs="Arial"/>
          <w:b/>
          <w:bCs/>
          <w:color w:val="000000" w:themeColor="text1"/>
          <w:lang w:eastAsia="es-ES"/>
        </w:rPr>
        <w:t>LA CRCC</w:t>
      </w:r>
      <w:r w:rsidRPr="002C0D19">
        <w:rPr>
          <w:rFonts w:ascii="Arial Narrow" w:hAnsi="Arial Narrow" w:cs="Arial"/>
          <w:bCs/>
          <w:color w:val="000000" w:themeColor="text1"/>
          <w:lang w:eastAsia="es-ES"/>
        </w:rPr>
        <w:t xml:space="preserve">, por causa de acciones u omisiones en que incurra </w:t>
      </w:r>
      <w:r w:rsidRPr="002C0D19">
        <w:rPr>
          <w:rFonts w:ascii="Arial Narrow" w:hAnsi="Arial Narrow" w:cs="Arial"/>
          <w:b/>
          <w:bCs/>
          <w:color w:val="000000" w:themeColor="text1"/>
          <w:lang w:eastAsia="es-ES"/>
        </w:rPr>
        <w:t>EL MIEMBRO</w:t>
      </w:r>
      <w:r w:rsidRPr="002C0D19">
        <w:rPr>
          <w:rFonts w:ascii="Arial Narrow" w:hAnsi="Arial Narrow" w:cs="Arial"/>
          <w:bCs/>
          <w:color w:val="000000" w:themeColor="text1"/>
          <w:lang w:eastAsia="es-ES"/>
        </w:rPr>
        <w:t xml:space="preserve">, sus agentes, representantes o empleados, en la ejecución y desarrollo o con ocasión del presente Contrato. </w:t>
      </w:r>
    </w:p>
    <w:p w14:paraId="0270C78B" w14:textId="77777777" w:rsidR="007968EC" w:rsidRPr="002C0D19" w:rsidRDefault="007968EC" w:rsidP="007968EC">
      <w:pPr>
        <w:jc w:val="both"/>
        <w:rPr>
          <w:rFonts w:ascii="Arial Narrow" w:hAnsi="Arial Narrow" w:cs="Arial"/>
          <w:bCs/>
          <w:color w:val="000000" w:themeColor="text1"/>
          <w:lang w:eastAsia="es-ES"/>
        </w:rPr>
      </w:pPr>
    </w:p>
    <w:p w14:paraId="3BA3D991" w14:textId="77777777" w:rsidR="007968EC" w:rsidRPr="002C0D19" w:rsidRDefault="007968EC" w:rsidP="007968EC">
      <w:pPr>
        <w:jc w:val="both"/>
        <w:rPr>
          <w:rFonts w:ascii="Arial Narrow" w:hAnsi="Arial Narrow" w:cs="Arial"/>
          <w:bCs/>
          <w:color w:val="000000" w:themeColor="text1"/>
          <w:lang w:val="es-ES" w:eastAsia="es-ES"/>
        </w:rPr>
      </w:pPr>
      <w:r w:rsidRPr="002C0D19">
        <w:rPr>
          <w:rFonts w:ascii="Arial Narrow" w:hAnsi="Arial Narrow" w:cs="Arial"/>
          <w:b/>
          <w:bCs/>
          <w:color w:val="000000" w:themeColor="text1"/>
          <w:u w:val="single"/>
          <w:lang w:eastAsia="es-ES"/>
        </w:rPr>
        <w:t>SÉPTIMA</w:t>
      </w:r>
      <w:r w:rsidRPr="002C0D19">
        <w:rPr>
          <w:rFonts w:ascii="Arial Narrow" w:hAnsi="Arial Narrow" w:cs="Arial"/>
          <w:b/>
          <w:bCs/>
          <w:color w:val="000000" w:themeColor="text1"/>
          <w:u w:val="single"/>
          <w:lang w:val="es-ES" w:eastAsia="es-ES"/>
        </w:rPr>
        <w:t>. Responsabilidad de la CRCC.</w:t>
      </w:r>
      <w:r w:rsidRPr="002C0D19">
        <w:rPr>
          <w:rFonts w:ascii="Arial Narrow" w:hAnsi="Arial Narrow" w:cs="Arial"/>
          <w:bCs/>
          <w:color w:val="000000" w:themeColor="text1"/>
          <w:lang w:val="es-ES" w:eastAsia="es-ES"/>
        </w:rPr>
        <w:t xml:space="preserve"> </w:t>
      </w:r>
      <w:r w:rsidRPr="002C0D19">
        <w:rPr>
          <w:rFonts w:ascii="Arial Narrow" w:hAnsi="Arial Narrow" w:cs="Arial"/>
          <w:b/>
          <w:bCs/>
          <w:color w:val="000000" w:themeColor="text1"/>
          <w:lang w:val="es-ES" w:eastAsia="es-ES"/>
        </w:rPr>
        <w:t>LA CRCC</w:t>
      </w:r>
      <w:r w:rsidRPr="002C0D19">
        <w:rPr>
          <w:rFonts w:ascii="Arial Narrow" w:hAnsi="Arial Narrow" w:cs="Arial"/>
          <w:bCs/>
          <w:color w:val="000000" w:themeColor="text1"/>
          <w:lang w:val="es-ES" w:eastAsia="es-ES"/>
        </w:rPr>
        <w:t xml:space="preserve"> no será responsable de los daños y perjuicios que pueda sufrir </w:t>
      </w:r>
      <w:r w:rsidRPr="002C0D19">
        <w:rPr>
          <w:rFonts w:ascii="Arial Narrow" w:hAnsi="Arial Narrow" w:cs="Arial"/>
          <w:b/>
          <w:bCs/>
          <w:color w:val="000000" w:themeColor="text1"/>
          <w:lang w:val="es-ES" w:eastAsia="es-ES"/>
        </w:rPr>
        <w:t>EL MIEMBRO</w:t>
      </w:r>
      <w:r w:rsidRPr="002C0D19">
        <w:rPr>
          <w:rFonts w:ascii="Arial Narrow" w:hAnsi="Arial Narrow" w:cs="Arial"/>
          <w:bCs/>
          <w:color w:val="000000" w:themeColor="text1"/>
          <w:lang w:val="es-ES" w:eastAsia="es-ES"/>
        </w:rPr>
        <w:t xml:space="preserve">, </w:t>
      </w:r>
      <w:r w:rsidRPr="002C0D19">
        <w:rPr>
          <w:rFonts w:ascii="Arial Narrow" w:hAnsi="Arial Narrow" w:cs="Arial"/>
          <w:color w:val="000000" w:themeColor="text1"/>
          <w:lang w:val="es-ES" w:eastAsia="es-ES"/>
        </w:rPr>
        <w:t>sus Terceros, sus Miembros no Liquidadores o los Terceros de éstos,</w:t>
      </w:r>
      <w:r w:rsidRPr="002C0D19">
        <w:rPr>
          <w:rFonts w:ascii="Arial Narrow" w:hAnsi="Arial Narrow" w:cs="Arial"/>
          <w:bCs/>
          <w:color w:val="000000" w:themeColor="text1"/>
          <w:lang w:val="es-ES" w:eastAsia="es-ES"/>
        </w:rPr>
        <w:t xml:space="preserve"> derivados de una situación de caso fortuito o fuerza mayor o, en general, de cualquier hecho en el que no haya mediado dolo o culpa grave por su parte o por parte de alguno de sus empleados.</w:t>
      </w:r>
    </w:p>
    <w:p w14:paraId="17DE60C1" w14:textId="77777777" w:rsidR="007968EC" w:rsidRPr="002C0D19" w:rsidRDefault="007968EC" w:rsidP="007968EC">
      <w:pPr>
        <w:jc w:val="both"/>
        <w:rPr>
          <w:rFonts w:ascii="Arial Narrow" w:hAnsi="Arial Narrow" w:cs="Arial"/>
          <w:bCs/>
          <w:color w:val="000000" w:themeColor="text1"/>
          <w:lang w:eastAsia="es-ES"/>
        </w:rPr>
      </w:pPr>
    </w:p>
    <w:p w14:paraId="493284C2" w14:textId="77777777" w:rsidR="007968EC" w:rsidRPr="002C0D19" w:rsidRDefault="007968EC" w:rsidP="007968EC">
      <w:pPr>
        <w:jc w:val="both"/>
        <w:rPr>
          <w:rFonts w:ascii="Arial Narrow" w:hAnsi="Arial Narrow" w:cs="Arial"/>
          <w:bCs/>
          <w:color w:val="000000" w:themeColor="text1"/>
          <w:lang w:eastAsia="es-ES"/>
        </w:rPr>
      </w:pPr>
      <w:r w:rsidRPr="002C0D19">
        <w:rPr>
          <w:rFonts w:ascii="Arial Narrow" w:hAnsi="Arial Narrow" w:cs="Arial"/>
          <w:b/>
          <w:bCs/>
          <w:color w:val="000000" w:themeColor="text1"/>
          <w:u w:val="single"/>
          <w:lang w:val="es-ES" w:eastAsia="es-ES"/>
        </w:rPr>
        <w:t>OCTAVA. Nulidad Parcial</w:t>
      </w:r>
      <w:r w:rsidRPr="002C0D19">
        <w:rPr>
          <w:rFonts w:ascii="Arial Narrow" w:hAnsi="Arial Narrow" w:cs="Arial"/>
          <w:bCs/>
          <w:color w:val="000000" w:themeColor="text1"/>
          <w:lang w:eastAsia="es-ES"/>
        </w:rPr>
        <w:t xml:space="preserve">: </w:t>
      </w:r>
      <w:r w:rsidRPr="002C0D19">
        <w:rPr>
          <w:rFonts w:ascii="Arial Narrow" w:hAnsi="Arial Narrow" w:cs="Arial"/>
          <w:b/>
          <w:bCs/>
          <w:color w:val="000000" w:themeColor="text1"/>
          <w:lang w:eastAsia="es-ES"/>
        </w:rPr>
        <w:t xml:space="preserve">LA CRCC </w:t>
      </w:r>
      <w:r w:rsidRPr="002C0D19">
        <w:rPr>
          <w:rFonts w:ascii="Arial Narrow" w:hAnsi="Arial Narrow" w:cs="Arial"/>
          <w:bCs/>
          <w:color w:val="000000" w:themeColor="text1"/>
          <w:lang w:eastAsia="es-ES"/>
        </w:rPr>
        <w:t xml:space="preserve">y </w:t>
      </w:r>
      <w:r w:rsidRPr="002C0D19">
        <w:rPr>
          <w:rFonts w:ascii="Arial Narrow" w:hAnsi="Arial Narrow" w:cs="Arial"/>
          <w:b/>
          <w:bCs/>
          <w:color w:val="000000" w:themeColor="text1"/>
          <w:lang w:eastAsia="es-ES"/>
        </w:rPr>
        <w:t>EL MIEMBRO</w:t>
      </w:r>
      <w:r w:rsidRPr="002C0D19">
        <w:rPr>
          <w:rFonts w:ascii="Arial Narrow" w:hAnsi="Arial Narrow" w:cs="Arial"/>
          <w:bCs/>
          <w:color w:val="000000" w:themeColor="text1"/>
          <w:lang w:eastAsia="es-ES"/>
        </w:rPr>
        <w:t xml:space="preserve"> convienen que la ilegalidad, nulidad, ineficacia o cualquier sanción jurídica similar que afecte la validez o aplicación de una cualquiera de las disposiciones del presente </w:t>
      </w:r>
      <w:r w:rsidRPr="002C0D19">
        <w:rPr>
          <w:rFonts w:ascii="Arial Narrow" w:hAnsi="Arial Narrow" w:cs="Arial"/>
          <w:color w:val="000000" w:themeColor="text1"/>
          <w:lang w:val="es-ES" w:eastAsia="es-ES"/>
        </w:rPr>
        <w:t>Contrato</w:t>
      </w:r>
      <w:r w:rsidRPr="002C0D19">
        <w:rPr>
          <w:rFonts w:ascii="Arial Narrow" w:hAnsi="Arial Narrow" w:cs="Arial"/>
          <w:bCs/>
          <w:color w:val="000000" w:themeColor="text1"/>
          <w:lang w:eastAsia="es-ES"/>
        </w:rPr>
        <w:t xml:space="preserve">, no afectará la validez o aplicación de las demás disposiciones del mismo, o de otros convenios celebrados entre </w:t>
      </w:r>
      <w:r w:rsidRPr="002C0D19">
        <w:rPr>
          <w:rFonts w:ascii="Arial Narrow" w:hAnsi="Arial Narrow" w:cs="Arial"/>
          <w:b/>
          <w:bCs/>
          <w:color w:val="000000" w:themeColor="text1"/>
          <w:lang w:eastAsia="es-ES"/>
        </w:rPr>
        <w:t xml:space="preserve">LA CRCC </w:t>
      </w:r>
      <w:r w:rsidRPr="002C0D19">
        <w:rPr>
          <w:rFonts w:ascii="Arial Narrow" w:hAnsi="Arial Narrow" w:cs="Arial"/>
          <w:bCs/>
          <w:color w:val="000000" w:themeColor="text1"/>
          <w:lang w:eastAsia="es-ES"/>
        </w:rPr>
        <w:t xml:space="preserve">y </w:t>
      </w:r>
      <w:r w:rsidRPr="002C0D19">
        <w:rPr>
          <w:rFonts w:ascii="Arial Narrow" w:hAnsi="Arial Narrow" w:cs="Arial"/>
          <w:b/>
          <w:bCs/>
          <w:color w:val="000000" w:themeColor="text1"/>
          <w:lang w:eastAsia="es-ES"/>
        </w:rPr>
        <w:t>EL MIEMBRO</w:t>
      </w:r>
      <w:r w:rsidRPr="002C0D19">
        <w:rPr>
          <w:rFonts w:ascii="Arial Narrow" w:hAnsi="Arial Narrow" w:cs="Arial"/>
          <w:bCs/>
          <w:color w:val="000000" w:themeColor="text1"/>
          <w:lang w:eastAsia="es-ES"/>
        </w:rPr>
        <w:t xml:space="preserve">. </w:t>
      </w:r>
    </w:p>
    <w:p w14:paraId="321BEC9B" w14:textId="77777777" w:rsidR="007968EC" w:rsidRPr="002C0D19" w:rsidRDefault="007968EC" w:rsidP="007968EC">
      <w:pPr>
        <w:jc w:val="both"/>
        <w:rPr>
          <w:rFonts w:ascii="Arial Narrow" w:hAnsi="Arial Narrow" w:cs="Arial"/>
          <w:bCs/>
          <w:color w:val="000000" w:themeColor="text1"/>
          <w:lang w:eastAsia="es-ES"/>
        </w:rPr>
      </w:pPr>
    </w:p>
    <w:p w14:paraId="7450BFE3" w14:textId="77777777" w:rsidR="007968EC" w:rsidRPr="002C0D19" w:rsidRDefault="007968EC" w:rsidP="007968EC">
      <w:pPr>
        <w:jc w:val="both"/>
        <w:rPr>
          <w:rFonts w:ascii="Arial Narrow" w:hAnsi="Arial Narrow" w:cs="Arial"/>
          <w:color w:val="000000" w:themeColor="text1"/>
          <w:lang w:val="es-ES_tradnl" w:eastAsia="es-ES"/>
        </w:rPr>
      </w:pPr>
      <w:r w:rsidRPr="002C0D19">
        <w:rPr>
          <w:rFonts w:ascii="Arial Narrow" w:hAnsi="Arial Narrow" w:cs="Arial"/>
          <w:b/>
          <w:bCs/>
          <w:color w:val="000000" w:themeColor="text1"/>
          <w:u w:val="single"/>
          <w:lang w:val="es-ES" w:eastAsia="es-ES"/>
        </w:rPr>
        <w:t>NOVENA. Cláusula Compromisoria</w:t>
      </w:r>
      <w:r w:rsidRPr="002C0D19">
        <w:rPr>
          <w:rFonts w:ascii="Arial Narrow" w:hAnsi="Arial Narrow" w:cs="Arial"/>
          <w:b/>
          <w:bCs/>
          <w:color w:val="000000" w:themeColor="text1"/>
          <w:lang w:val="es-ES" w:eastAsia="es-ES"/>
        </w:rPr>
        <w:t>.</w:t>
      </w:r>
      <w:r w:rsidRPr="002C0D19">
        <w:rPr>
          <w:rFonts w:ascii="Arial Narrow" w:hAnsi="Arial Narrow" w:cs="Arial"/>
          <w:color w:val="000000" w:themeColor="text1"/>
          <w:lang w:val="es-ES" w:eastAsia="es-ES"/>
        </w:rPr>
        <w:t xml:space="preserve"> </w:t>
      </w:r>
      <w:r w:rsidRPr="002C0D19">
        <w:rPr>
          <w:rFonts w:ascii="Arial Narrow" w:hAnsi="Arial Narrow" w:cs="Arial"/>
          <w:color w:val="000000" w:themeColor="text1"/>
          <w:lang w:val="es-ES_tradnl" w:eastAsia="es-ES"/>
        </w:rPr>
        <w:t xml:space="preserve">Todas las diferencias que ocurran entre </w:t>
      </w:r>
      <w:r w:rsidRPr="002C0D19">
        <w:rPr>
          <w:rFonts w:ascii="Arial Narrow" w:hAnsi="Arial Narrow" w:cs="Arial"/>
          <w:b/>
          <w:color w:val="000000" w:themeColor="text1"/>
          <w:lang w:val="es-ES_tradnl" w:eastAsia="es-ES"/>
        </w:rPr>
        <w:t>LAS PARTES</w:t>
      </w:r>
      <w:r w:rsidRPr="002C0D19">
        <w:rPr>
          <w:rFonts w:ascii="Arial Narrow" w:hAnsi="Arial Narrow" w:cs="Arial"/>
          <w:color w:val="000000" w:themeColor="text1"/>
          <w:lang w:val="es-ES_tradnl" w:eastAsia="es-ES"/>
        </w:rPr>
        <w:t xml:space="preserve"> con ocasión del presente Contrato y que no puedan solucionarse por acuerdo directo entre ellas, en un plazo que no podrá exceder de dos (2) meses contados a partir de la fecha del evento que generó la diferencia, serán resueltas por un Tribunal de Arbitramento. Cuando la cuantía de las pretensiones supere los mil (1000) salarios mínimos legales mensuales vigentes en Colombia, el Tribunal de Arbitramento estará conformado por tres (3) árbitros, los cuales serán designados por </w:t>
      </w:r>
      <w:r w:rsidRPr="002C0D19">
        <w:rPr>
          <w:rFonts w:ascii="Arial Narrow" w:hAnsi="Arial Narrow" w:cs="Arial"/>
          <w:b/>
          <w:color w:val="000000" w:themeColor="text1"/>
          <w:lang w:val="es-ES_tradnl" w:eastAsia="es-ES"/>
        </w:rPr>
        <w:t>LAS PARTES</w:t>
      </w:r>
      <w:r w:rsidRPr="002C0D19">
        <w:rPr>
          <w:rFonts w:ascii="Arial Narrow" w:hAnsi="Arial Narrow" w:cs="Arial"/>
          <w:color w:val="000000" w:themeColor="text1"/>
          <w:lang w:val="es-ES_tradnl" w:eastAsia="es-ES"/>
        </w:rPr>
        <w:t xml:space="preserve"> dentro de los quince (15) días hábiles siguientes al vencimiento del plazo de dos (2) meses de acuerdo directo, o a falta de acuerdo, mediante </w:t>
      </w:r>
      <w:r w:rsidRPr="002C0D19">
        <w:rPr>
          <w:rFonts w:ascii="Arial Narrow" w:hAnsi="Arial Narrow" w:cs="Arial"/>
          <w:color w:val="000000" w:themeColor="text1"/>
          <w:lang w:val="es-ES_tradnl" w:eastAsia="es-ES"/>
        </w:rPr>
        <w:lastRenderedPageBreak/>
        <w:t xml:space="preserve">sorteo entre los árbitros inscritos en el Centro de Arbitraje y Conciliación de la Cámara de Comercio de Bogotá. En caso de que la cuantía de las pretensiones sea igual o inferior a mil (1000) salarios mínimos legales mensuales vigentes en Colombia, el Tribunal de Arbitramento estará conformado por un (1) árbitro, el cual será designado por </w:t>
      </w:r>
      <w:r w:rsidRPr="002C0D19">
        <w:rPr>
          <w:rFonts w:ascii="Arial Narrow" w:hAnsi="Arial Narrow" w:cs="Arial"/>
          <w:b/>
          <w:color w:val="000000" w:themeColor="text1"/>
          <w:lang w:val="es-ES_tradnl" w:eastAsia="es-ES"/>
        </w:rPr>
        <w:t>LAS PARTES</w:t>
      </w:r>
      <w:r w:rsidRPr="002C0D19">
        <w:rPr>
          <w:rFonts w:ascii="Arial Narrow" w:hAnsi="Arial Narrow" w:cs="Arial"/>
          <w:color w:val="000000" w:themeColor="text1"/>
          <w:lang w:val="es-ES_tradnl" w:eastAsia="es-ES"/>
        </w:rPr>
        <w:t xml:space="preserve"> dentro de los quince (15) días hábiles siguientes al vencimiento del plazo de dos (2) meses de acuerdo directo, o a falta de acuerdo, por sorteo entre los árbitros inscritos en el Centro de Arbitraje y Conciliación de la Cámara de Comercio de Bogotá. El o los árbitros designados serán Abogados inscritos y fallarán en derecho. El Tribunal de Arbitramento tendrá sede en la ciudad de Bogotá, sus honorarios se calcularán de acuerdo con las tarifas del Centro de Arbitraje y Conciliación de la Cámara de Comercio de Bogotá y se regirá por las leyes colombianas.</w:t>
      </w:r>
    </w:p>
    <w:p w14:paraId="58DE4F8A" w14:textId="77777777" w:rsidR="007968EC" w:rsidRPr="002C0D19" w:rsidRDefault="007968EC" w:rsidP="007968EC">
      <w:pPr>
        <w:jc w:val="both"/>
        <w:rPr>
          <w:rFonts w:ascii="Arial Narrow" w:hAnsi="Arial Narrow" w:cs="Arial"/>
          <w:color w:val="000000" w:themeColor="text1"/>
          <w:lang w:val="es-ES" w:eastAsia="es-ES"/>
        </w:rPr>
      </w:pPr>
    </w:p>
    <w:p w14:paraId="639E4682"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bCs/>
          <w:color w:val="000000" w:themeColor="text1"/>
          <w:u w:val="single"/>
          <w:lang w:val="es-ES" w:eastAsia="es-ES"/>
        </w:rPr>
        <w:t>DÉCIMA</w:t>
      </w:r>
      <w:r w:rsidRPr="002C0D19">
        <w:rPr>
          <w:rFonts w:ascii="Arial Narrow" w:hAnsi="Arial Narrow" w:cs="Arial"/>
          <w:b/>
          <w:color w:val="000000" w:themeColor="text1"/>
          <w:u w:val="single"/>
          <w:lang w:val="es-ES" w:eastAsia="es-ES"/>
        </w:rPr>
        <w:t>. Mérito Ejecutivo.</w:t>
      </w:r>
      <w:r w:rsidRPr="002C0D19">
        <w:rPr>
          <w:rFonts w:ascii="Arial Narrow" w:hAnsi="Arial Narrow" w:cs="Arial"/>
          <w:b/>
          <w:color w:val="000000" w:themeColor="text1"/>
          <w:lang w:val="es-ES" w:eastAsia="es-ES"/>
        </w:rPr>
        <w:t xml:space="preserve"> LAS PARTES</w:t>
      </w:r>
      <w:r w:rsidRPr="002C0D19">
        <w:rPr>
          <w:rFonts w:ascii="Arial Narrow" w:hAnsi="Arial Narrow" w:cs="Arial"/>
          <w:color w:val="000000" w:themeColor="text1"/>
          <w:lang w:val="es-ES" w:eastAsia="es-ES"/>
        </w:rPr>
        <w:t xml:space="preserve"> reconocen y aceptan que el presente Contrato prestará mérito ejecutivo para solicitar el cumplimiento de las obligaciones a cargo de las mismas, sin necesidad de requerimiento en mora judicial o extrajudicial. </w:t>
      </w:r>
    </w:p>
    <w:p w14:paraId="4A03E036" w14:textId="77777777" w:rsidR="007968EC" w:rsidRPr="002C0D19" w:rsidRDefault="007968EC" w:rsidP="007968EC">
      <w:pPr>
        <w:jc w:val="both"/>
        <w:rPr>
          <w:rFonts w:ascii="Arial Narrow" w:hAnsi="Arial Narrow" w:cs="Arial"/>
          <w:b/>
          <w:color w:val="000000" w:themeColor="text1"/>
          <w:u w:val="single"/>
          <w:lang w:val="es-ES" w:eastAsia="es-ES"/>
        </w:rPr>
      </w:pPr>
    </w:p>
    <w:p w14:paraId="11BD628B"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color w:val="000000" w:themeColor="text1"/>
          <w:u w:val="single"/>
          <w:lang w:val="es-ES" w:eastAsia="es-ES"/>
        </w:rPr>
        <w:t>DÉCIMA PRIMERA. Notificaciones.</w:t>
      </w:r>
      <w:r w:rsidRPr="002C0D19">
        <w:rPr>
          <w:rFonts w:ascii="Arial Narrow" w:hAnsi="Arial Narrow" w:cs="Arial"/>
          <w:color w:val="000000" w:themeColor="text1"/>
          <w:lang w:val="es-ES" w:eastAsia="es-ES"/>
        </w:rPr>
        <w:t xml:space="preserve"> Todas las notificaciones y comunicaciones relacionadas con la presente Oferta de Servicios, se harán por escrito y se enviarán a las siguientes direcciones:</w:t>
      </w:r>
    </w:p>
    <w:p w14:paraId="297A29B1" w14:textId="77777777" w:rsidR="007968EC" w:rsidRPr="002C0D19" w:rsidRDefault="007968EC" w:rsidP="007968EC">
      <w:pPr>
        <w:tabs>
          <w:tab w:val="left" w:pos="567"/>
        </w:tabs>
        <w:ind w:right="-16"/>
        <w:jc w:val="both"/>
        <w:rPr>
          <w:rFonts w:ascii="Arial Narrow" w:hAnsi="Arial Narrow" w:cs="Arial"/>
          <w:color w:val="000000" w:themeColor="text1"/>
          <w:lang w:val="es-ES" w:eastAsia="es-ES"/>
        </w:rPr>
      </w:pPr>
    </w:p>
    <w:p w14:paraId="4E9E31CF" w14:textId="77777777" w:rsidR="007968EC" w:rsidRPr="002C0D19" w:rsidRDefault="007968EC" w:rsidP="007968EC">
      <w:pPr>
        <w:tabs>
          <w:tab w:val="left" w:pos="567"/>
          <w:tab w:val="left" w:pos="2835"/>
        </w:tabs>
        <w:ind w:left="2805" w:right="-16" w:hanging="2805"/>
        <w:jc w:val="both"/>
        <w:rPr>
          <w:rFonts w:ascii="Arial Narrow" w:hAnsi="Arial Narrow" w:cs="Arial"/>
          <w:color w:val="000000" w:themeColor="text1"/>
          <w:lang w:val="es-ES" w:eastAsia="es-ES"/>
        </w:rPr>
      </w:pP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w:t>
      </w:r>
      <w:r w:rsidRPr="002C0D19">
        <w:rPr>
          <w:rFonts w:ascii="Arial Narrow" w:hAnsi="Arial Narrow" w:cs="Arial"/>
          <w:color w:val="000000" w:themeColor="text1"/>
          <w:lang w:val="es-ES" w:eastAsia="es-ES"/>
        </w:rPr>
        <w:tab/>
      </w:r>
      <w:r w:rsidRPr="002C0D19">
        <w:rPr>
          <w:rFonts w:ascii="Arial Narrow" w:hAnsi="Arial Narrow" w:cs="Arial"/>
          <w:b/>
          <w:color w:val="000000" w:themeColor="text1"/>
          <w:lang w:val="es-ES" w:eastAsia="es-ES"/>
        </w:rPr>
        <w:t xml:space="preserve">CÁMARA DE RIESGO CENTRAL DE CONTRAPARTE DE COLOMBIA S.A. </w:t>
      </w:r>
      <w:r w:rsidRPr="002C0D19">
        <w:rPr>
          <w:rFonts w:ascii="Arial Narrow" w:hAnsi="Arial Narrow" w:cs="Arial"/>
          <w:b/>
          <w:color w:val="000000" w:themeColor="text1"/>
          <w:lang w:val="es-ES" w:eastAsia="es-ES"/>
        </w:rPr>
        <w:tab/>
      </w:r>
    </w:p>
    <w:p w14:paraId="25E9A91E" w14:textId="77777777" w:rsidR="007968EC" w:rsidRPr="002C0D19" w:rsidRDefault="007968EC" w:rsidP="007968EC">
      <w:pPr>
        <w:tabs>
          <w:tab w:val="left" w:pos="567"/>
          <w:tab w:val="left" w:pos="2835"/>
        </w:tabs>
        <w:ind w:right="51"/>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ab/>
      </w:r>
      <w:r w:rsidRPr="002C0D19">
        <w:rPr>
          <w:rFonts w:ascii="Arial Narrow" w:hAnsi="Arial Narrow" w:cs="Arial"/>
          <w:color w:val="000000" w:themeColor="text1"/>
          <w:lang w:val="es-ES" w:eastAsia="es-ES"/>
        </w:rPr>
        <w:tab/>
        <w:t xml:space="preserve">Fax: </w:t>
      </w:r>
    </w:p>
    <w:p w14:paraId="1009B25A" w14:textId="77777777" w:rsidR="007968EC" w:rsidRPr="002C0D19" w:rsidRDefault="007968EC" w:rsidP="007968EC">
      <w:pPr>
        <w:tabs>
          <w:tab w:val="left" w:pos="567"/>
          <w:tab w:val="left" w:pos="2835"/>
        </w:tabs>
        <w:ind w:right="-16"/>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ab/>
      </w:r>
      <w:r w:rsidRPr="002C0D19">
        <w:rPr>
          <w:rFonts w:ascii="Arial Narrow" w:hAnsi="Arial Narrow" w:cs="Arial"/>
          <w:color w:val="000000" w:themeColor="text1"/>
          <w:lang w:val="es-ES" w:eastAsia="es-ES"/>
        </w:rPr>
        <w:tab/>
        <w:t xml:space="preserve">Dirección: </w:t>
      </w:r>
    </w:p>
    <w:p w14:paraId="5F0BE0FD" w14:textId="77777777" w:rsidR="007968EC" w:rsidRPr="002C0D19" w:rsidRDefault="007968EC" w:rsidP="007968EC">
      <w:pPr>
        <w:tabs>
          <w:tab w:val="left" w:pos="567"/>
          <w:tab w:val="left" w:pos="2835"/>
        </w:tabs>
        <w:ind w:right="-16"/>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tab/>
      </w:r>
      <w:r w:rsidRPr="002C0D19">
        <w:rPr>
          <w:rFonts w:ascii="Arial Narrow" w:hAnsi="Arial Narrow" w:cs="Arial"/>
          <w:color w:val="000000" w:themeColor="text1"/>
          <w:lang w:val="es-ES" w:eastAsia="es-ES"/>
        </w:rPr>
        <w:tab/>
        <w:t>Bogotá, D.C.</w:t>
      </w:r>
    </w:p>
    <w:p w14:paraId="65C32FE3" w14:textId="77777777" w:rsidR="007968EC" w:rsidRPr="002C0D19" w:rsidRDefault="007968EC" w:rsidP="007968EC">
      <w:pPr>
        <w:tabs>
          <w:tab w:val="left" w:pos="567"/>
          <w:tab w:val="left" w:pos="2835"/>
        </w:tabs>
        <w:ind w:right="44"/>
        <w:jc w:val="both"/>
        <w:rPr>
          <w:rFonts w:ascii="Arial Narrow" w:hAnsi="Arial Narrow" w:cs="Arial"/>
          <w:b/>
          <w:color w:val="000000" w:themeColor="text1"/>
          <w:lang w:val="es-ES" w:eastAsia="es-ES"/>
        </w:rPr>
      </w:pPr>
    </w:p>
    <w:p w14:paraId="0C10F979" w14:textId="77777777" w:rsidR="007968EC" w:rsidRPr="002C0D19" w:rsidRDefault="007968EC" w:rsidP="007968EC">
      <w:pPr>
        <w:tabs>
          <w:tab w:val="left" w:pos="567"/>
          <w:tab w:val="left" w:pos="2835"/>
        </w:tabs>
        <w:ind w:right="44"/>
        <w:jc w:val="both"/>
        <w:rPr>
          <w:rFonts w:ascii="Arial Narrow" w:hAnsi="Arial Narrow" w:cs="Arial"/>
          <w:b/>
          <w:color w:val="000000" w:themeColor="text1"/>
          <w:lang w:val="es-ES" w:eastAsia="es-ES"/>
        </w:rPr>
      </w:pPr>
      <w:r w:rsidRPr="002C0D19">
        <w:rPr>
          <w:rFonts w:ascii="Arial Narrow" w:hAnsi="Arial Narrow" w:cs="Arial"/>
          <w:b/>
          <w:color w:val="000000" w:themeColor="text1"/>
          <w:lang w:val="es-ES" w:eastAsia="es-ES"/>
        </w:rPr>
        <w:t>EL MIEMBRO:</w:t>
      </w:r>
      <w:r w:rsidRPr="002C0D19">
        <w:rPr>
          <w:rFonts w:ascii="Arial Narrow" w:hAnsi="Arial Narrow" w:cs="Arial"/>
          <w:b/>
          <w:color w:val="000000" w:themeColor="text1"/>
          <w:lang w:val="es-ES" w:eastAsia="es-ES"/>
        </w:rPr>
        <w:tab/>
      </w:r>
    </w:p>
    <w:p w14:paraId="023F60EA"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b/>
          <w:color w:val="000000" w:themeColor="text1"/>
          <w:lang w:val="es-ES" w:eastAsia="es-ES"/>
        </w:rPr>
        <w:tab/>
      </w:r>
      <w:r w:rsidRPr="002C0D19">
        <w:rPr>
          <w:rFonts w:ascii="Arial Narrow" w:hAnsi="Arial Narrow" w:cs="Arial"/>
          <w:b/>
          <w:color w:val="000000" w:themeColor="text1"/>
          <w:lang w:val="es-ES" w:eastAsia="es-ES"/>
        </w:rPr>
        <w:tab/>
      </w:r>
      <w:r w:rsidRPr="002C0D19">
        <w:rPr>
          <w:rFonts w:ascii="Arial Narrow" w:hAnsi="Arial Narrow" w:cs="Arial"/>
          <w:color w:val="000000" w:themeColor="text1"/>
          <w:lang w:eastAsia="es-ES"/>
        </w:rPr>
        <w:t xml:space="preserve">Fax:  </w:t>
      </w:r>
    </w:p>
    <w:p w14:paraId="5475AF33"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r>
      <w:r w:rsidRPr="002C0D19">
        <w:rPr>
          <w:rFonts w:ascii="Arial Narrow" w:hAnsi="Arial Narrow" w:cs="Arial"/>
          <w:color w:val="000000" w:themeColor="text1"/>
          <w:lang w:val="es-ES" w:eastAsia="es-ES"/>
        </w:rPr>
        <w:t>Dirección</w:t>
      </w:r>
      <w:r w:rsidRPr="002C0D19">
        <w:rPr>
          <w:rFonts w:ascii="Arial Narrow" w:hAnsi="Arial Narrow" w:cs="Arial"/>
          <w:color w:val="000000" w:themeColor="text1"/>
          <w:lang w:eastAsia="es-ES"/>
        </w:rPr>
        <w:t xml:space="preserve">: </w:t>
      </w:r>
    </w:p>
    <w:p w14:paraId="41CF083A"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r w:rsidRPr="002C0D19">
        <w:rPr>
          <w:rFonts w:ascii="Arial Narrow" w:hAnsi="Arial Narrow" w:cs="Arial"/>
          <w:color w:val="000000" w:themeColor="text1"/>
          <w:lang w:eastAsia="es-ES"/>
        </w:rPr>
        <w:tab/>
      </w:r>
      <w:r w:rsidRPr="002C0D19">
        <w:rPr>
          <w:rFonts w:ascii="Arial Narrow" w:hAnsi="Arial Narrow" w:cs="Arial"/>
          <w:color w:val="000000" w:themeColor="text1"/>
          <w:lang w:eastAsia="es-ES"/>
        </w:rPr>
        <w:tab/>
        <w:t xml:space="preserve">Ciudad: </w:t>
      </w:r>
    </w:p>
    <w:p w14:paraId="3E7B7B9A" w14:textId="77777777" w:rsidR="007968EC" w:rsidRPr="002C0D19" w:rsidRDefault="007968EC" w:rsidP="007968EC">
      <w:pPr>
        <w:tabs>
          <w:tab w:val="left" w:pos="567"/>
          <w:tab w:val="left" w:pos="2835"/>
        </w:tabs>
        <w:ind w:right="44"/>
        <w:jc w:val="both"/>
        <w:rPr>
          <w:rFonts w:ascii="Arial Narrow" w:hAnsi="Arial Narrow" w:cs="Arial"/>
          <w:color w:val="000000" w:themeColor="text1"/>
          <w:lang w:eastAsia="es-ES"/>
        </w:rPr>
      </w:pPr>
    </w:p>
    <w:p w14:paraId="22419751"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b/>
          <w:color w:val="000000" w:themeColor="text1"/>
          <w:u w:val="single"/>
          <w:lang w:val="es-ES" w:eastAsia="es-ES"/>
        </w:rPr>
        <w:t>DÉCIMA SEGUNDA</w:t>
      </w:r>
      <w:r w:rsidRPr="002C0D19">
        <w:rPr>
          <w:rFonts w:ascii="Arial Narrow" w:hAnsi="Arial Narrow" w:cs="Arial"/>
          <w:b/>
          <w:bCs/>
          <w:color w:val="000000" w:themeColor="text1"/>
          <w:u w:val="single"/>
          <w:lang w:val="es-ES" w:eastAsia="es-ES"/>
        </w:rPr>
        <w:t xml:space="preserve"> Impuestos</w:t>
      </w:r>
      <w:r w:rsidRPr="002C0D19">
        <w:rPr>
          <w:rFonts w:ascii="Arial Narrow" w:hAnsi="Arial Narrow" w:cs="Arial"/>
          <w:b/>
          <w:bCs/>
          <w:color w:val="000000" w:themeColor="text1"/>
          <w:lang w:val="es-ES" w:eastAsia="es-ES"/>
        </w:rPr>
        <w:t xml:space="preserve">. </w:t>
      </w:r>
      <w:r w:rsidRPr="002C0D19">
        <w:rPr>
          <w:rFonts w:ascii="Arial Narrow" w:hAnsi="Arial Narrow" w:cs="Arial"/>
          <w:color w:val="000000" w:themeColor="text1"/>
          <w:lang w:val="es-ES" w:eastAsia="es-ES"/>
        </w:rPr>
        <w:t xml:space="preserve">Todos los gastos e impuestos de cualquier naturaleza que se generen en relación con la presente oferta, serán de cargo de </w:t>
      </w:r>
      <w:r w:rsidRPr="002C0D19">
        <w:rPr>
          <w:rFonts w:ascii="Arial Narrow" w:hAnsi="Arial Narrow" w:cs="Arial"/>
          <w:b/>
          <w:color w:val="000000" w:themeColor="text1"/>
          <w:lang w:val="es-ES" w:eastAsia="es-ES"/>
        </w:rPr>
        <w:t>EL MIEMBRO</w:t>
      </w:r>
      <w:r w:rsidRPr="002C0D19">
        <w:rPr>
          <w:rFonts w:ascii="Arial Narrow" w:hAnsi="Arial Narrow" w:cs="Arial"/>
          <w:color w:val="000000" w:themeColor="text1"/>
          <w:lang w:val="es-ES" w:eastAsia="es-ES"/>
        </w:rPr>
        <w:t>.</w:t>
      </w:r>
    </w:p>
    <w:p w14:paraId="4956C622" w14:textId="77777777" w:rsidR="007968EC" w:rsidRPr="002C0D19" w:rsidRDefault="007968EC" w:rsidP="007968EC">
      <w:pPr>
        <w:jc w:val="both"/>
        <w:rPr>
          <w:rFonts w:ascii="Arial Narrow" w:hAnsi="Arial Narrow" w:cs="Arial"/>
          <w:color w:val="000000" w:themeColor="text1"/>
          <w:lang w:val="es-ES" w:eastAsia="es-ES"/>
        </w:rPr>
      </w:pPr>
    </w:p>
    <w:p w14:paraId="20FBD9AD" w14:textId="77777777" w:rsidR="007968EC" w:rsidRPr="002C0D19" w:rsidRDefault="007968EC" w:rsidP="007968EC">
      <w:pPr>
        <w:autoSpaceDE w:val="0"/>
        <w:autoSpaceDN w:val="0"/>
        <w:adjustRightInd w:val="0"/>
        <w:jc w:val="both"/>
        <w:rPr>
          <w:rFonts w:ascii="Arial Narrow" w:hAnsi="Arial Narrow" w:cs="Arial"/>
          <w:color w:val="000000" w:themeColor="text1"/>
          <w:lang w:val="es-ES" w:eastAsia="es-ES"/>
        </w:rPr>
      </w:pPr>
      <w:r w:rsidRPr="002C0D19">
        <w:rPr>
          <w:rFonts w:ascii="Arial Narrow" w:hAnsi="Arial Narrow" w:cs="Arial"/>
          <w:b/>
          <w:color w:val="000000" w:themeColor="text1"/>
          <w:u w:val="single"/>
          <w:lang w:val="es-ES" w:eastAsia="es-ES"/>
        </w:rPr>
        <w:t>DÉCIMA TERCERA</w:t>
      </w:r>
      <w:r w:rsidRPr="002C0D19">
        <w:rPr>
          <w:rFonts w:ascii="Arial Narrow" w:eastAsia="Calibri" w:hAnsi="Arial Narrow" w:cs="Arial"/>
          <w:b/>
          <w:color w:val="000000" w:themeColor="text1"/>
          <w:u w:val="single"/>
          <w:lang w:eastAsia="es-ES"/>
        </w:rPr>
        <w:t xml:space="preserve">. </w:t>
      </w:r>
      <w:r w:rsidRPr="002C0D19">
        <w:rPr>
          <w:rFonts w:ascii="Arial Narrow" w:eastAsia="Calibri" w:hAnsi="Arial Narrow" w:cs="Arial Narrow,Bold"/>
          <w:b/>
          <w:bCs/>
          <w:color w:val="000000" w:themeColor="text1"/>
          <w:u w:val="single"/>
        </w:rPr>
        <w:t>Interpretación</w:t>
      </w:r>
      <w:r w:rsidRPr="002C0D19">
        <w:rPr>
          <w:rFonts w:ascii="Arial Narrow" w:eastAsia="Calibri" w:hAnsi="Arial Narrow" w:cs="Arial Narrow"/>
          <w:color w:val="000000" w:themeColor="text1"/>
        </w:rPr>
        <w:t xml:space="preserve">. </w:t>
      </w:r>
      <w:r w:rsidRPr="002C0D19">
        <w:rPr>
          <w:rFonts w:ascii="Arial Narrow" w:hAnsi="Arial Narrow" w:cs="Arial"/>
          <w:color w:val="000000" w:themeColor="text1"/>
          <w:lang w:val="es-ES" w:eastAsia="es-ES"/>
        </w:rPr>
        <w:t xml:space="preserve">Los términos que se utilizan en el presente Contrato cuya primera letra sea una mayúscula y que no se encuentren expresamente definidos en esta Contrato, tendrán el significado que se les atribuye en el Reglamento, las Circulares y los Instructivos Operativos de </w:t>
      </w:r>
      <w:r w:rsidRPr="002C0D19">
        <w:rPr>
          <w:rFonts w:ascii="Arial Narrow" w:hAnsi="Arial Narrow" w:cs="Arial"/>
          <w:b/>
          <w:color w:val="000000" w:themeColor="text1"/>
          <w:lang w:val="es-ES" w:eastAsia="es-ES"/>
        </w:rPr>
        <w:t>LA CRCC</w:t>
      </w:r>
      <w:r w:rsidRPr="002C0D19">
        <w:rPr>
          <w:rFonts w:ascii="Arial Narrow" w:hAnsi="Arial Narrow" w:cs="Arial"/>
          <w:color w:val="000000" w:themeColor="text1"/>
          <w:lang w:val="es-ES" w:eastAsia="es-ES"/>
        </w:rPr>
        <w:t xml:space="preserve">.  </w:t>
      </w:r>
    </w:p>
    <w:p w14:paraId="78DA74B9" w14:textId="77777777" w:rsidR="007968EC" w:rsidRPr="002C0D19" w:rsidRDefault="007968EC" w:rsidP="007968EC">
      <w:pPr>
        <w:autoSpaceDE w:val="0"/>
        <w:autoSpaceDN w:val="0"/>
        <w:adjustRightInd w:val="0"/>
        <w:jc w:val="both"/>
        <w:rPr>
          <w:rFonts w:ascii="Arial Narrow" w:hAnsi="Arial Narrow" w:cs="Arial"/>
          <w:b/>
          <w:color w:val="000000" w:themeColor="text1"/>
          <w:u w:val="single"/>
          <w:lang w:val="es-ES" w:eastAsia="es-ES"/>
        </w:rPr>
      </w:pPr>
    </w:p>
    <w:p w14:paraId="6FBCC3DB" w14:textId="77777777" w:rsidR="007968EC" w:rsidRPr="002C0D19" w:rsidRDefault="007968EC" w:rsidP="007968EC">
      <w:pPr>
        <w:jc w:val="both"/>
        <w:rPr>
          <w:rFonts w:ascii="Arial Narrow" w:eastAsia="Calibri" w:hAnsi="Arial Narrow" w:cs="Arial Narrow"/>
          <w:color w:val="000000" w:themeColor="text1"/>
        </w:rPr>
      </w:pPr>
      <w:r w:rsidRPr="002C0D19">
        <w:rPr>
          <w:rFonts w:ascii="Arial Narrow" w:hAnsi="Arial Narrow" w:cs="Arial"/>
          <w:b/>
          <w:color w:val="000000" w:themeColor="text1"/>
          <w:u w:val="single"/>
          <w:lang w:val="es-ES" w:eastAsia="es-ES"/>
        </w:rPr>
        <w:t>DÉCIMA CUARTA</w:t>
      </w:r>
      <w:r w:rsidRPr="002C0D19">
        <w:rPr>
          <w:rFonts w:ascii="Arial Narrow" w:eastAsia="Calibri" w:hAnsi="Arial Narrow" w:cs="Arial"/>
          <w:b/>
          <w:color w:val="000000" w:themeColor="text1"/>
          <w:u w:val="single"/>
          <w:lang w:eastAsia="es-ES"/>
        </w:rPr>
        <w:t>. Vigencia</w:t>
      </w:r>
      <w:r w:rsidRPr="002C0D19">
        <w:rPr>
          <w:rFonts w:ascii="Arial Narrow" w:eastAsia="Calibri" w:hAnsi="Arial Narrow" w:cs="Arial"/>
          <w:b/>
          <w:color w:val="000000" w:themeColor="text1"/>
          <w:lang w:eastAsia="es-ES"/>
        </w:rPr>
        <w:t>.</w:t>
      </w:r>
      <w:r w:rsidRPr="002C0D19">
        <w:rPr>
          <w:rFonts w:ascii="Arial Narrow" w:eastAsia="Calibri" w:hAnsi="Arial Narrow" w:cs="Arial Narrow,Bold"/>
          <w:b/>
          <w:bCs/>
          <w:color w:val="000000" w:themeColor="text1"/>
        </w:rPr>
        <w:t xml:space="preserve"> </w:t>
      </w:r>
      <w:r w:rsidRPr="002C0D19">
        <w:rPr>
          <w:rFonts w:ascii="Arial Narrow" w:eastAsia="Calibri" w:hAnsi="Arial Narrow" w:cs="Arial Narrow"/>
          <w:color w:val="000000" w:themeColor="text1"/>
        </w:rPr>
        <w:t xml:space="preserve">Los términos y condiciones del presente Contrato estarán vigentes en forma indefinida. </w:t>
      </w:r>
    </w:p>
    <w:p w14:paraId="37B2A311" w14:textId="77777777" w:rsidR="007968EC" w:rsidRPr="002C0D19" w:rsidRDefault="007968EC" w:rsidP="007968EC">
      <w:pPr>
        <w:jc w:val="both"/>
        <w:rPr>
          <w:rFonts w:ascii="Arial Narrow" w:eastAsia="Calibri" w:hAnsi="Arial Narrow" w:cs="Arial Narrow"/>
          <w:color w:val="000000" w:themeColor="text1"/>
        </w:rPr>
      </w:pPr>
    </w:p>
    <w:p w14:paraId="5B269C6A"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eastAsia="Calibri" w:hAnsi="Arial Narrow" w:cs="Arial Narrow"/>
          <w:color w:val="000000" w:themeColor="text1"/>
        </w:rPr>
        <w:t>No obstante lo anterior, habrá lugar a la terminación unilateral si se presenta un incumplimiento de alguna de las obligaciones a cargo de una de las partes.</w:t>
      </w:r>
    </w:p>
    <w:p w14:paraId="734B7528" w14:textId="77777777" w:rsidR="007968EC" w:rsidRPr="002C0D19" w:rsidRDefault="007968EC" w:rsidP="007968EC">
      <w:pPr>
        <w:jc w:val="both"/>
        <w:rPr>
          <w:rFonts w:ascii="Arial Narrow" w:hAnsi="Arial Narrow" w:cs="Arial"/>
          <w:color w:val="000000" w:themeColor="text1"/>
          <w:lang w:val="es-ES" w:eastAsia="es-ES"/>
        </w:rPr>
      </w:pPr>
    </w:p>
    <w:p w14:paraId="30DA79E4" w14:textId="77777777" w:rsidR="007968EC" w:rsidRPr="002C0D19" w:rsidRDefault="007968EC" w:rsidP="007968EC">
      <w:pPr>
        <w:jc w:val="both"/>
        <w:rPr>
          <w:rFonts w:ascii="Arial Narrow" w:hAnsi="Arial Narrow" w:cs="Arial"/>
          <w:color w:val="000000" w:themeColor="text1"/>
          <w:lang w:val="es-ES" w:eastAsia="es-ES"/>
        </w:rPr>
      </w:pPr>
    </w:p>
    <w:p w14:paraId="4882EB22" w14:textId="77777777" w:rsidR="007968EC" w:rsidRPr="002C0D19" w:rsidRDefault="007968EC" w:rsidP="007968EC">
      <w:pPr>
        <w:jc w:val="both"/>
        <w:rPr>
          <w:rFonts w:ascii="Arial Narrow" w:hAnsi="Arial Narrow" w:cs="Arial"/>
          <w:color w:val="000000" w:themeColor="text1"/>
          <w:lang w:val="es-ES" w:eastAsia="es-ES"/>
        </w:rPr>
      </w:pPr>
      <w:r w:rsidRPr="002C0D19">
        <w:rPr>
          <w:rFonts w:ascii="Arial Narrow" w:hAnsi="Arial Narrow" w:cs="Arial"/>
          <w:color w:val="000000" w:themeColor="text1"/>
          <w:lang w:val="es-ES" w:eastAsia="es-ES"/>
        </w:rPr>
        <w:lastRenderedPageBreak/>
        <w:t xml:space="preserve">Para constancia, se firman dos (2) copias en Bogotá D.C., el día ______________ (____) del mes de _____________ del año dos mil ___________ (____). </w:t>
      </w:r>
    </w:p>
    <w:p w14:paraId="61833FE1" w14:textId="77777777" w:rsidR="007968EC" w:rsidRPr="002C0D19" w:rsidRDefault="007968EC" w:rsidP="007968EC">
      <w:pPr>
        <w:jc w:val="both"/>
        <w:rPr>
          <w:rFonts w:ascii="Arial Narrow" w:hAnsi="Arial Narrow" w:cs="Arial"/>
          <w:color w:val="000000" w:themeColor="text1"/>
          <w:lang w:val="es-ES" w:eastAsia="es-ES"/>
        </w:rPr>
      </w:pPr>
    </w:p>
    <w:p w14:paraId="0336945A" w14:textId="77777777" w:rsidR="007968EC" w:rsidRPr="002C0D19" w:rsidRDefault="007968EC" w:rsidP="007968EC">
      <w:pPr>
        <w:jc w:val="both"/>
        <w:rPr>
          <w:rFonts w:ascii="Arial Narrow" w:hAnsi="Arial Narrow" w:cs="Arial"/>
          <w:b/>
          <w:bCs/>
          <w:color w:val="000000" w:themeColor="text1"/>
          <w:lang w:val="es-ES" w:eastAsia="es-ES"/>
        </w:rPr>
      </w:pPr>
      <w:r w:rsidRPr="002C0D19">
        <w:rPr>
          <w:rFonts w:ascii="Arial Narrow" w:hAnsi="Arial Narrow" w:cs="Arial"/>
          <w:b/>
          <w:bCs/>
          <w:color w:val="000000" w:themeColor="text1"/>
          <w:lang w:val="es-ES" w:eastAsia="es-ES"/>
        </w:rPr>
        <w:t xml:space="preserve">LA CRCC </w:t>
      </w:r>
    </w:p>
    <w:p w14:paraId="5FE5EC9A" w14:textId="77777777" w:rsidR="007968EC" w:rsidRPr="002C0D19" w:rsidRDefault="007968EC" w:rsidP="007968EC">
      <w:pPr>
        <w:jc w:val="both"/>
        <w:rPr>
          <w:rFonts w:ascii="Arial Narrow" w:hAnsi="Arial Narrow" w:cs="Arial"/>
          <w:color w:val="000000" w:themeColor="text1"/>
          <w:spacing w:val="-3"/>
          <w:lang w:val="es-ES" w:eastAsia="es-ES"/>
        </w:rPr>
      </w:pPr>
    </w:p>
    <w:p w14:paraId="12B2BAB9"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Por:          ________________________________                      </w:t>
      </w:r>
    </w:p>
    <w:p w14:paraId="6DB20F77"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Nombre:                                               </w:t>
      </w:r>
    </w:p>
    <w:p w14:paraId="63083446" w14:textId="77777777" w:rsidR="007968EC" w:rsidRPr="002C0D19" w:rsidRDefault="007968EC" w:rsidP="007968EC">
      <w:pPr>
        <w:jc w:val="both"/>
        <w:rPr>
          <w:rFonts w:ascii="Arial Narrow" w:hAnsi="Arial Narrow" w:cs="Arial"/>
          <w:color w:val="000000" w:themeColor="text1"/>
          <w:spacing w:val="-3"/>
          <w:lang w:val="fr-FR" w:eastAsia="es-ES"/>
        </w:rPr>
      </w:pPr>
      <w:r w:rsidRPr="002C0D19">
        <w:rPr>
          <w:rFonts w:ascii="Arial Narrow" w:hAnsi="Arial Narrow" w:cs="Arial"/>
          <w:color w:val="000000" w:themeColor="text1"/>
          <w:spacing w:val="-3"/>
          <w:lang w:val="fr-FR" w:eastAsia="es-ES"/>
        </w:rPr>
        <w:t>C.C.</w:t>
      </w:r>
    </w:p>
    <w:p w14:paraId="4CCA5EEF" w14:textId="77777777" w:rsidR="007968EC" w:rsidRPr="002C0D19" w:rsidRDefault="007968EC" w:rsidP="007968EC">
      <w:pPr>
        <w:jc w:val="both"/>
        <w:rPr>
          <w:rFonts w:ascii="Arial Narrow" w:hAnsi="Arial Narrow" w:cs="Arial"/>
          <w:color w:val="000000" w:themeColor="text1"/>
          <w:spacing w:val="-3"/>
          <w:lang w:val="es-ES" w:eastAsia="es-ES"/>
        </w:rPr>
      </w:pPr>
      <w:r w:rsidRPr="002C0D19">
        <w:rPr>
          <w:rFonts w:ascii="Arial Narrow" w:hAnsi="Arial Narrow" w:cs="Arial"/>
          <w:color w:val="000000" w:themeColor="text1"/>
          <w:spacing w:val="-3"/>
          <w:lang w:val="es-ES" w:eastAsia="es-ES"/>
        </w:rPr>
        <w:t xml:space="preserve">Cargo:       Representante Legal                                    </w:t>
      </w:r>
    </w:p>
    <w:p w14:paraId="0AA8DA2F" w14:textId="77777777" w:rsidR="007968EC" w:rsidRPr="002C0D19" w:rsidRDefault="007968EC" w:rsidP="007968EC">
      <w:pPr>
        <w:jc w:val="both"/>
        <w:rPr>
          <w:rFonts w:ascii="Arial Narrow" w:hAnsi="Arial Narrow" w:cs="Arial"/>
          <w:color w:val="000000" w:themeColor="text1"/>
          <w:spacing w:val="-3"/>
          <w:lang w:val="fr-FR" w:eastAsia="es-ES"/>
        </w:rPr>
      </w:pPr>
      <w:r w:rsidRPr="002C0D19">
        <w:rPr>
          <w:rFonts w:ascii="Arial Narrow" w:hAnsi="Arial Narrow" w:cs="Arial"/>
          <w:color w:val="000000" w:themeColor="text1"/>
          <w:spacing w:val="-3"/>
          <w:lang w:val="fr-FR" w:eastAsia="es-ES"/>
        </w:rPr>
        <w:t>C.C.</w:t>
      </w:r>
    </w:p>
    <w:p w14:paraId="0AC6EB02" w14:textId="77777777" w:rsidR="007968EC" w:rsidRPr="002C0D19" w:rsidRDefault="007968EC" w:rsidP="007968EC">
      <w:pPr>
        <w:jc w:val="both"/>
        <w:rPr>
          <w:rFonts w:ascii="Arial Narrow" w:hAnsi="Arial Narrow" w:cs="Arial"/>
          <w:color w:val="000000" w:themeColor="text1"/>
          <w:spacing w:val="-3"/>
          <w:lang w:val="fr-FR" w:eastAsia="es-ES"/>
        </w:rPr>
      </w:pPr>
    </w:p>
    <w:p w14:paraId="0C326C78" w14:textId="77777777" w:rsidR="007968EC" w:rsidRPr="002C0D19" w:rsidRDefault="007968EC" w:rsidP="007968EC">
      <w:pPr>
        <w:autoSpaceDE w:val="0"/>
        <w:autoSpaceDN w:val="0"/>
        <w:adjustRightInd w:val="0"/>
        <w:rPr>
          <w:rFonts w:ascii="Arial Narrow" w:eastAsia="Calibri" w:hAnsi="Arial Narrow" w:cs="Arial Narrow,Bold"/>
          <w:b/>
          <w:bCs/>
          <w:color w:val="000000" w:themeColor="text1"/>
        </w:rPr>
      </w:pPr>
      <w:r w:rsidRPr="002C0D19">
        <w:rPr>
          <w:rFonts w:ascii="Arial Narrow" w:eastAsia="Calibri" w:hAnsi="Arial Narrow" w:cs="Arial Narrow,Bold"/>
          <w:b/>
          <w:bCs/>
          <w:color w:val="000000" w:themeColor="text1"/>
        </w:rPr>
        <w:t>EL MIEMBRO</w:t>
      </w:r>
    </w:p>
    <w:p w14:paraId="0577E8AD" w14:textId="77777777" w:rsidR="007968EC" w:rsidRPr="002C0D19" w:rsidRDefault="007968EC" w:rsidP="007968EC">
      <w:pPr>
        <w:autoSpaceDE w:val="0"/>
        <w:autoSpaceDN w:val="0"/>
        <w:adjustRightInd w:val="0"/>
        <w:rPr>
          <w:rFonts w:ascii="Arial Narrow" w:eastAsia="Calibri" w:hAnsi="Arial Narrow" w:cs="Arial Narrow,Bold"/>
          <w:b/>
          <w:bCs/>
          <w:color w:val="000000" w:themeColor="text1"/>
        </w:rPr>
      </w:pPr>
    </w:p>
    <w:p w14:paraId="6425E759" w14:textId="77777777" w:rsidR="007968EC" w:rsidRPr="002C0D19" w:rsidRDefault="007968EC" w:rsidP="007968EC">
      <w:pPr>
        <w:autoSpaceDE w:val="0"/>
        <w:autoSpaceDN w:val="0"/>
        <w:adjustRightInd w:val="0"/>
        <w:rPr>
          <w:rFonts w:ascii="Arial Narrow" w:eastAsia="Calibri" w:hAnsi="Arial Narrow" w:cs="Arial Narrow"/>
          <w:color w:val="000000" w:themeColor="text1"/>
        </w:rPr>
      </w:pPr>
      <w:r w:rsidRPr="002C0D19">
        <w:rPr>
          <w:rFonts w:ascii="Arial Narrow" w:eastAsia="Calibri" w:hAnsi="Arial Narrow" w:cs="Arial Narrow"/>
          <w:color w:val="000000" w:themeColor="text1"/>
        </w:rPr>
        <w:t>Por: ________________________________</w:t>
      </w:r>
    </w:p>
    <w:p w14:paraId="1D292B82" w14:textId="77777777" w:rsidR="007968EC" w:rsidRPr="002C0D19" w:rsidRDefault="007968EC" w:rsidP="007968EC">
      <w:pPr>
        <w:autoSpaceDE w:val="0"/>
        <w:autoSpaceDN w:val="0"/>
        <w:adjustRightInd w:val="0"/>
        <w:rPr>
          <w:rFonts w:ascii="Arial Narrow" w:eastAsia="Calibri" w:hAnsi="Arial Narrow" w:cs="Arial Narrow"/>
          <w:color w:val="000000" w:themeColor="text1"/>
        </w:rPr>
      </w:pPr>
      <w:r w:rsidRPr="002C0D19">
        <w:rPr>
          <w:rFonts w:ascii="Arial Narrow" w:eastAsia="Calibri" w:hAnsi="Arial Narrow" w:cs="Arial Narrow"/>
          <w:color w:val="000000" w:themeColor="text1"/>
        </w:rPr>
        <w:t>Nombre:</w:t>
      </w:r>
    </w:p>
    <w:p w14:paraId="4F76DC76" w14:textId="77777777" w:rsidR="007968EC" w:rsidRPr="002C0D19" w:rsidRDefault="007968EC" w:rsidP="007968EC">
      <w:pPr>
        <w:jc w:val="both"/>
        <w:rPr>
          <w:rFonts w:ascii="Arial Narrow" w:hAnsi="Arial Narrow" w:cs="Arial"/>
          <w:color w:val="000000" w:themeColor="text1"/>
          <w:spacing w:val="-3"/>
          <w:lang w:val="fr-FR" w:eastAsia="es-ES"/>
        </w:rPr>
      </w:pPr>
      <w:r w:rsidRPr="002C0D19">
        <w:rPr>
          <w:rFonts w:ascii="Arial Narrow" w:hAnsi="Arial Narrow" w:cs="Arial"/>
          <w:color w:val="000000" w:themeColor="text1"/>
          <w:spacing w:val="-3"/>
          <w:lang w:val="fr-FR" w:eastAsia="es-ES"/>
        </w:rPr>
        <w:t>C.C.</w:t>
      </w:r>
    </w:p>
    <w:p w14:paraId="1DF48A96" w14:textId="77777777" w:rsidR="007968EC" w:rsidRPr="002C0D19" w:rsidRDefault="007968EC" w:rsidP="007968EC">
      <w:pPr>
        <w:ind w:left="708" w:hanging="708"/>
        <w:jc w:val="both"/>
        <w:rPr>
          <w:rFonts w:ascii="Arial Narrow" w:eastAsia="Calibri" w:hAnsi="Arial Narrow" w:cs="Arial Narrow"/>
          <w:color w:val="000000" w:themeColor="text1"/>
        </w:rPr>
      </w:pPr>
      <w:r w:rsidRPr="002C0D19">
        <w:rPr>
          <w:rFonts w:ascii="Arial Narrow" w:eastAsia="Calibri" w:hAnsi="Arial Narrow" w:cs="Arial Narrow"/>
          <w:color w:val="000000" w:themeColor="text1"/>
        </w:rPr>
        <w:t>Cargo: Representante Legal</w:t>
      </w:r>
    </w:p>
    <w:p w14:paraId="49756FAA" w14:textId="77777777" w:rsidR="007968EC" w:rsidRPr="002C0D19" w:rsidRDefault="007968EC" w:rsidP="007968EC">
      <w:pPr>
        <w:ind w:left="708" w:hanging="708"/>
        <w:jc w:val="both"/>
        <w:rPr>
          <w:rFonts w:ascii="Arial Narrow" w:eastAsia="Calibri" w:hAnsi="Arial Narrow" w:cs="Arial Narrow"/>
          <w:color w:val="000000" w:themeColor="text1"/>
        </w:rPr>
      </w:pPr>
    </w:p>
    <w:p w14:paraId="39499810" w14:textId="77777777" w:rsidR="007968EC" w:rsidRPr="002C0D19" w:rsidRDefault="007968EC" w:rsidP="007968EC">
      <w:pPr>
        <w:ind w:left="708" w:hanging="708"/>
        <w:jc w:val="both"/>
        <w:rPr>
          <w:rFonts w:ascii="Arial Narrow" w:eastAsia="Calibri" w:hAnsi="Arial Narrow" w:cs="Arial Narrow"/>
          <w:color w:val="000000" w:themeColor="text1"/>
        </w:rPr>
      </w:pPr>
    </w:p>
    <w:p w14:paraId="575B6658" w14:textId="77777777" w:rsidR="007968EC" w:rsidRPr="002C0D19" w:rsidRDefault="007968EC" w:rsidP="007968EC">
      <w:pPr>
        <w:ind w:left="708" w:hanging="708"/>
        <w:jc w:val="both"/>
        <w:rPr>
          <w:rFonts w:ascii="Arial Narrow" w:eastAsia="Calibri" w:hAnsi="Arial Narrow" w:cs="Arial Narrow"/>
          <w:color w:val="000000" w:themeColor="text1"/>
        </w:rPr>
      </w:pPr>
    </w:p>
    <w:p w14:paraId="68721136" w14:textId="77777777" w:rsidR="007968EC" w:rsidRPr="002C0D19" w:rsidRDefault="007968EC" w:rsidP="007968EC">
      <w:pPr>
        <w:ind w:left="708" w:hanging="708"/>
        <w:jc w:val="both"/>
        <w:rPr>
          <w:rFonts w:ascii="Arial Narrow" w:eastAsia="Calibri" w:hAnsi="Arial Narrow" w:cs="Arial Narrow"/>
          <w:color w:val="000000" w:themeColor="text1"/>
        </w:rPr>
      </w:pPr>
    </w:p>
    <w:p w14:paraId="7B0B3D40" w14:textId="77777777" w:rsidR="007968EC" w:rsidRPr="002C0D19" w:rsidRDefault="007968EC" w:rsidP="007968EC">
      <w:pPr>
        <w:ind w:left="708" w:hanging="708"/>
        <w:jc w:val="both"/>
        <w:rPr>
          <w:rFonts w:ascii="Arial Narrow" w:eastAsia="Calibri" w:hAnsi="Arial Narrow" w:cs="Arial Narrow"/>
          <w:color w:val="000000" w:themeColor="text1"/>
        </w:rPr>
      </w:pPr>
    </w:p>
    <w:p w14:paraId="7939AB05" w14:textId="77777777" w:rsidR="007968EC" w:rsidRPr="002C0D19" w:rsidRDefault="007968EC" w:rsidP="007968EC">
      <w:pPr>
        <w:ind w:left="708" w:hanging="708"/>
        <w:jc w:val="both"/>
        <w:rPr>
          <w:rFonts w:ascii="Arial Narrow" w:eastAsia="Calibri" w:hAnsi="Arial Narrow" w:cs="Arial Narrow"/>
          <w:color w:val="000000" w:themeColor="text1"/>
        </w:rPr>
      </w:pPr>
    </w:p>
    <w:p w14:paraId="3462D8E0" w14:textId="77777777" w:rsidR="007968EC" w:rsidRPr="002C0D19" w:rsidRDefault="007968EC" w:rsidP="007968EC">
      <w:pPr>
        <w:ind w:left="708" w:hanging="708"/>
        <w:jc w:val="both"/>
        <w:rPr>
          <w:rFonts w:ascii="Arial Narrow" w:eastAsia="Calibri" w:hAnsi="Arial Narrow" w:cs="Arial Narrow"/>
          <w:color w:val="000000" w:themeColor="text1"/>
        </w:rPr>
      </w:pPr>
    </w:p>
    <w:p w14:paraId="4F26DF2B" w14:textId="77777777" w:rsidR="007968EC" w:rsidRPr="002C0D19" w:rsidRDefault="007968EC" w:rsidP="007968EC">
      <w:pPr>
        <w:ind w:left="708" w:hanging="708"/>
        <w:jc w:val="both"/>
        <w:rPr>
          <w:rFonts w:ascii="Arial Narrow" w:eastAsia="Calibri" w:hAnsi="Arial Narrow" w:cs="Arial Narrow"/>
          <w:color w:val="000000" w:themeColor="text1"/>
        </w:rPr>
      </w:pPr>
    </w:p>
    <w:p w14:paraId="214C4DA3" w14:textId="77777777" w:rsidR="007968EC" w:rsidRPr="002C0D19" w:rsidRDefault="007968EC" w:rsidP="007968EC">
      <w:pPr>
        <w:ind w:left="708" w:hanging="708"/>
        <w:jc w:val="both"/>
        <w:rPr>
          <w:rFonts w:ascii="Arial Narrow" w:hAnsi="Arial Narrow" w:cs="Arial"/>
          <w:b/>
          <w:color w:val="000000" w:themeColor="text1"/>
          <w:lang w:eastAsia="es-ES"/>
        </w:rPr>
      </w:pPr>
    </w:p>
    <w:p w14:paraId="074B37F7" w14:textId="77777777" w:rsidR="007968EC" w:rsidRPr="002C0D19" w:rsidRDefault="007968EC" w:rsidP="007968EC">
      <w:pPr>
        <w:ind w:left="708" w:hanging="708"/>
        <w:jc w:val="both"/>
        <w:rPr>
          <w:rFonts w:ascii="Arial Narrow" w:hAnsi="Arial Narrow" w:cs="Arial"/>
          <w:b/>
          <w:color w:val="000000" w:themeColor="text1"/>
          <w:lang w:eastAsia="es-ES"/>
        </w:rPr>
      </w:pPr>
    </w:p>
    <w:p w14:paraId="6BAEB8B9" w14:textId="77777777" w:rsidR="007968EC" w:rsidRPr="002C0D19" w:rsidRDefault="007968EC" w:rsidP="007968EC">
      <w:pPr>
        <w:ind w:left="708" w:hanging="708"/>
        <w:jc w:val="both"/>
        <w:rPr>
          <w:rFonts w:ascii="Arial Narrow" w:hAnsi="Arial Narrow" w:cs="Arial"/>
          <w:b/>
          <w:color w:val="000000" w:themeColor="text1"/>
          <w:lang w:eastAsia="es-ES"/>
        </w:rPr>
      </w:pPr>
    </w:p>
    <w:p w14:paraId="28F181AD" w14:textId="77777777" w:rsidR="007968EC" w:rsidRPr="002C0D19" w:rsidRDefault="007968EC" w:rsidP="007968EC">
      <w:pPr>
        <w:ind w:left="708" w:hanging="708"/>
        <w:jc w:val="both"/>
        <w:rPr>
          <w:rFonts w:ascii="Arial Narrow" w:hAnsi="Arial Narrow" w:cs="Arial"/>
          <w:b/>
          <w:color w:val="000000" w:themeColor="text1"/>
          <w:lang w:eastAsia="es-ES"/>
        </w:rPr>
      </w:pPr>
    </w:p>
    <w:p w14:paraId="5408960D" w14:textId="77777777" w:rsidR="007968EC" w:rsidRPr="002C0D19" w:rsidRDefault="007968EC" w:rsidP="007968EC">
      <w:pPr>
        <w:ind w:left="708" w:hanging="708"/>
        <w:jc w:val="both"/>
        <w:rPr>
          <w:rFonts w:ascii="Arial Narrow" w:hAnsi="Arial Narrow" w:cs="Arial"/>
          <w:b/>
          <w:color w:val="000000" w:themeColor="text1"/>
          <w:lang w:eastAsia="es-ES"/>
        </w:rPr>
      </w:pPr>
    </w:p>
    <w:p w14:paraId="68714025" w14:textId="77777777" w:rsidR="007968EC" w:rsidRPr="002C0D19" w:rsidRDefault="007968EC" w:rsidP="007968EC">
      <w:pPr>
        <w:ind w:left="708" w:hanging="708"/>
        <w:jc w:val="both"/>
        <w:rPr>
          <w:rFonts w:ascii="Arial Narrow" w:hAnsi="Arial Narrow" w:cs="Arial"/>
          <w:b/>
          <w:color w:val="000000" w:themeColor="text1"/>
          <w:lang w:eastAsia="es-ES"/>
        </w:rPr>
      </w:pPr>
    </w:p>
    <w:p w14:paraId="5BB6B9F6" w14:textId="77777777" w:rsidR="007968EC" w:rsidRPr="002C0D19" w:rsidRDefault="007968EC" w:rsidP="007968EC">
      <w:pPr>
        <w:ind w:left="708" w:hanging="708"/>
        <w:jc w:val="both"/>
        <w:rPr>
          <w:rFonts w:ascii="Arial Narrow" w:hAnsi="Arial Narrow" w:cs="Arial"/>
          <w:b/>
          <w:color w:val="000000" w:themeColor="text1"/>
          <w:lang w:eastAsia="es-ES"/>
        </w:rPr>
      </w:pPr>
    </w:p>
    <w:p w14:paraId="0C08E923" w14:textId="77777777" w:rsidR="007968EC" w:rsidRPr="002C0D19" w:rsidRDefault="007968EC" w:rsidP="007968EC">
      <w:pPr>
        <w:ind w:left="708" w:hanging="708"/>
        <w:jc w:val="both"/>
        <w:rPr>
          <w:rFonts w:ascii="Arial Narrow" w:hAnsi="Arial Narrow" w:cs="Arial"/>
          <w:b/>
          <w:color w:val="000000" w:themeColor="text1"/>
          <w:lang w:eastAsia="es-ES"/>
        </w:rPr>
      </w:pPr>
    </w:p>
    <w:p w14:paraId="4CE4A43A" w14:textId="77777777" w:rsidR="007968EC" w:rsidRPr="002C0D19" w:rsidRDefault="007968EC" w:rsidP="007968EC">
      <w:pPr>
        <w:ind w:left="708" w:hanging="708"/>
        <w:jc w:val="both"/>
        <w:rPr>
          <w:rFonts w:ascii="Arial Narrow" w:hAnsi="Arial Narrow" w:cs="Arial"/>
          <w:b/>
          <w:color w:val="000000" w:themeColor="text1"/>
          <w:lang w:eastAsia="es-ES"/>
        </w:rPr>
      </w:pPr>
    </w:p>
    <w:p w14:paraId="7A7D2DF7" w14:textId="77777777" w:rsidR="007968EC" w:rsidRPr="002C0D19" w:rsidRDefault="007968EC" w:rsidP="007968EC">
      <w:pPr>
        <w:ind w:left="708" w:hanging="708"/>
        <w:jc w:val="both"/>
        <w:rPr>
          <w:rFonts w:ascii="Arial Narrow" w:hAnsi="Arial Narrow" w:cs="Arial"/>
          <w:b/>
          <w:color w:val="000000" w:themeColor="text1"/>
          <w:lang w:eastAsia="es-ES"/>
        </w:rPr>
      </w:pPr>
    </w:p>
    <w:p w14:paraId="2F596853" w14:textId="77777777" w:rsidR="007968EC" w:rsidRPr="002C0D19" w:rsidRDefault="007968EC" w:rsidP="007968EC">
      <w:pPr>
        <w:ind w:left="708" w:hanging="708"/>
        <w:jc w:val="both"/>
        <w:rPr>
          <w:rFonts w:ascii="Arial Narrow" w:hAnsi="Arial Narrow" w:cs="Arial"/>
          <w:b/>
          <w:color w:val="000000" w:themeColor="text1"/>
          <w:lang w:eastAsia="es-ES"/>
        </w:rPr>
      </w:pPr>
    </w:p>
    <w:p w14:paraId="1403FAEB" w14:textId="77777777" w:rsidR="007968EC" w:rsidRPr="002C0D19" w:rsidRDefault="007968EC" w:rsidP="007968EC">
      <w:pPr>
        <w:ind w:left="708" w:hanging="708"/>
        <w:jc w:val="both"/>
        <w:rPr>
          <w:rFonts w:ascii="Arial Narrow" w:hAnsi="Arial Narrow" w:cs="Arial"/>
          <w:b/>
          <w:color w:val="000000" w:themeColor="text1"/>
          <w:lang w:eastAsia="es-ES"/>
        </w:rPr>
      </w:pPr>
    </w:p>
    <w:p w14:paraId="77BDB6C6" w14:textId="77777777" w:rsidR="007968EC" w:rsidRPr="002C0D19" w:rsidRDefault="007968EC" w:rsidP="007968EC">
      <w:pPr>
        <w:ind w:left="708" w:hanging="708"/>
        <w:jc w:val="both"/>
        <w:rPr>
          <w:rFonts w:ascii="Arial Narrow" w:hAnsi="Arial Narrow" w:cs="Arial"/>
          <w:b/>
          <w:color w:val="000000" w:themeColor="text1"/>
          <w:lang w:eastAsia="es-ES"/>
        </w:rPr>
      </w:pPr>
    </w:p>
    <w:p w14:paraId="4419CCFB" w14:textId="77777777" w:rsidR="007968EC" w:rsidRPr="002C0D19" w:rsidRDefault="007968EC" w:rsidP="007968EC">
      <w:pPr>
        <w:rPr>
          <w:rFonts w:ascii="Arial" w:hAnsi="Arial" w:cs="Arial"/>
          <w:b/>
          <w:lang w:val="es-ES" w:eastAsia="es-ES"/>
        </w:rPr>
      </w:pPr>
    </w:p>
    <w:p w14:paraId="2CD9872F" w14:textId="77777777" w:rsidR="007968EC" w:rsidRPr="002C0D19" w:rsidRDefault="007968EC" w:rsidP="007968EC">
      <w:pPr>
        <w:rPr>
          <w:rFonts w:ascii="Arial" w:hAnsi="Arial" w:cs="Arial"/>
          <w:b/>
          <w:lang w:val="es-ES" w:eastAsia="es-ES"/>
        </w:rPr>
      </w:pPr>
    </w:p>
    <w:p w14:paraId="3023F349" w14:textId="77777777" w:rsidR="007968EC" w:rsidRPr="002C0D19" w:rsidRDefault="007968EC" w:rsidP="007968EC"/>
    <w:bookmarkEnd w:id="0"/>
    <w:p w14:paraId="6E390FDC" w14:textId="77777777" w:rsidR="007968EC" w:rsidRDefault="007968EC" w:rsidP="007968EC"/>
    <w:p w14:paraId="1E224AAF" w14:textId="77777777" w:rsidR="007968EC" w:rsidRDefault="007968EC"/>
    <w:sectPr w:rsidR="007968EC" w:rsidSect="007968EC">
      <w:headerReference w:type="default" r:id="rId59"/>
      <w:footerReference w:type="even" r:id="rId60"/>
      <w:footerReference w:type="default" r:id="rId61"/>
      <w:headerReference w:type="first" r:id="rId62"/>
      <w:pgSz w:w="12242" w:h="15842" w:code="1"/>
      <w:pgMar w:top="1985" w:right="1418" w:bottom="1985" w:left="1418" w:header="851" w:footer="10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AA2623" w14:textId="77777777" w:rsidR="00682D97" w:rsidRDefault="00682D97" w:rsidP="007968EC">
      <w:r>
        <w:separator/>
      </w:r>
    </w:p>
  </w:endnote>
  <w:endnote w:type="continuationSeparator" w:id="0">
    <w:p w14:paraId="6FAE757B" w14:textId="77777777" w:rsidR="00682D97" w:rsidRDefault="00682D97" w:rsidP="00796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Narrow,BoldItalic">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PSMT">
    <w:charset w:val="00"/>
    <w:family w:val="roman"/>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21002A87" w:usb1="00000000" w:usb2="00000000"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OXWPNW+CronosPro-Bold">
    <w:altName w:val="Cronos Pro"/>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Arial Narrow,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atangChe">
    <w:charset w:val="81"/>
    <w:family w:val="modern"/>
    <w:pitch w:val="fixed"/>
    <w:sig w:usb0="B00002AF" w:usb1="69D77CFB" w:usb2="00000030" w:usb3="00000000" w:csb0="0008009F" w:csb1="00000000"/>
  </w:font>
  <w:font w:name="ArialNarrow">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Bold">
    <w:altName w:val="MS Mincho"/>
    <w:panose1 w:val="00000000000000000000"/>
    <w:charset w:val="00"/>
    <w:family w:val="swiss"/>
    <w:notTrueType/>
    <w:pitch w:val="default"/>
    <w:sig w:usb0="00000003" w:usb1="08070000" w:usb2="00000010" w:usb3="00000000" w:csb0="00020001" w:csb1="00000000"/>
  </w:font>
  <w:font w:name="CMR1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87919" w14:textId="77777777" w:rsidR="00BD4DB7" w:rsidRDefault="00BD4DB7" w:rsidP="007968EC">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611A9E1B" w14:textId="77777777" w:rsidR="00BD4DB7" w:rsidRDefault="00BD4DB7" w:rsidP="007968E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56F6D" w14:textId="77777777" w:rsidR="00BD4DB7" w:rsidRPr="00F432F2" w:rsidRDefault="00BD4DB7" w:rsidP="007968EC">
    <w:pPr>
      <w:pStyle w:val="Piedepgina"/>
      <w:rPr>
        <w:sz w:val="18"/>
      </w:rPr>
    </w:pPr>
    <w:r w:rsidRPr="00074E8F">
      <w:rPr>
        <w:sz w:val="18"/>
        <w:szCs w:val="18"/>
      </w:rPr>
      <w:t xml:space="preserve">Página </w:t>
    </w:r>
    <w:r w:rsidRPr="00074E8F">
      <w:rPr>
        <w:sz w:val="18"/>
        <w:szCs w:val="18"/>
      </w:rPr>
      <w:fldChar w:fldCharType="begin"/>
    </w:r>
    <w:r w:rsidRPr="00074E8F">
      <w:rPr>
        <w:sz w:val="18"/>
        <w:szCs w:val="18"/>
      </w:rPr>
      <w:instrText xml:space="preserve"> PAGE </w:instrText>
    </w:r>
    <w:r w:rsidRPr="00074E8F">
      <w:rPr>
        <w:sz w:val="18"/>
        <w:szCs w:val="18"/>
      </w:rPr>
      <w:fldChar w:fldCharType="separate"/>
    </w:r>
    <w:r>
      <w:rPr>
        <w:noProof/>
        <w:sz w:val="18"/>
        <w:szCs w:val="18"/>
      </w:rPr>
      <w:t>166</w:t>
    </w:r>
    <w:r w:rsidRPr="00074E8F">
      <w:rPr>
        <w:sz w:val="18"/>
        <w:szCs w:val="18"/>
      </w:rPr>
      <w:fldChar w:fldCharType="end"/>
    </w:r>
    <w:r w:rsidRPr="00074E8F">
      <w:rPr>
        <w:sz w:val="18"/>
        <w:szCs w:val="18"/>
      </w:rPr>
      <w:t xml:space="preserve"> de </w:t>
    </w:r>
    <w:r w:rsidRPr="00074E8F">
      <w:rPr>
        <w:sz w:val="18"/>
        <w:szCs w:val="18"/>
      </w:rPr>
      <w:fldChar w:fldCharType="begin"/>
    </w:r>
    <w:r w:rsidRPr="00074E8F">
      <w:rPr>
        <w:sz w:val="18"/>
        <w:szCs w:val="18"/>
      </w:rPr>
      <w:instrText xml:space="preserve"> NUMPAGES </w:instrText>
    </w:r>
    <w:r w:rsidRPr="00074E8F">
      <w:rPr>
        <w:sz w:val="18"/>
        <w:szCs w:val="18"/>
      </w:rPr>
      <w:fldChar w:fldCharType="separate"/>
    </w:r>
    <w:r>
      <w:rPr>
        <w:noProof/>
        <w:sz w:val="18"/>
        <w:szCs w:val="18"/>
      </w:rPr>
      <w:t>552</w:t>
    </w:r>
    <w:r w:rsidRPr="00074E8F">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D6A70" w14:textId="77777777" w:rsidR="00BD4DB7" w:rsidRDefault="00BD4DB7" w:rsidP="007968EC">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10391000" w14:textId="77777777" w:rsidR="00BD4DB7" w:rsidRDefault="00BD4DB7" w:rsidP="007968EC">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58FD5" w14:textId="77777777" w:rsidR="00BD4DB7" w:rsidRPr="00074E8F" w:rsidRDefault="00BD4DB7" w:rsidP="007968EC">
    <w:pPr>
      <w:pStyle w:val="Piedepgina"/>
      <w:rPr>
        <w:sz w:val="18"/>
        <w:szCs w:val="18"/>
      </w:rPr>
    </w:pPr>
    <w:r w:rsidRPr="00074E8F">
      <w:rPr>
        <w:sz w:val="18"/>
        <w:szCs w:val="18"/>
      </w:rPr>
      <w:t xml:space="preserve">Página </w:t>
    </w:r>
    <w:r w:rsidRPr="00074E8F">
      <w:rPr>
        <w:sz w:val="18"/>
        <w:szCs w:val="18"/>
      </w:rPr>
      <w:fldChar w:fldCharType="begin"/>
    </w:r>
    <w:r w:rsidRPr="00074E8F">
      <w:rPr>
        <w:sz w:val="18"/>
        <w:szCs w:val="18"/>
      </w:rPr>
      <w:instrText xml:space="preserve"> PAGE </w:instrText>
    </w:r>
    <w:r w:rsidRPr="00074E8F">
      <w:rPr>
        <w:sz w:val="18"/>
        <w:szCs w:val="18"/>
      </w:rPr>
      <w:fldChar w:fldCharType="separate"/>
    </w:r>
    <w:r>
      <w:rPr>
        <w:noProof/>
        <w:sz w:val="18"/>
        <w:szCs w:val="18"/>
      </w:rPr>
      <w:t>675</w:t>
    </w:r>
    <w:r w:rsidRPr="00074E8F">
      <w:rPr>
        <w:sz w:val="18"/>
        <w:szCs w:val="18"/>
      </w:rPr>
      <w:fldChar w:fldCharType="end"/>
    </w:r>
    <w:r w:rsidRPr="00074E8F">
      <w:rPr>
        <w:sz w:val="18"/>
        <w:szCs w:val="18"/>
      </w:rPr>
      <w:t xml:space="preserve"> de </w:t>
    </w:r>
    <w:r w:rsidRPr="00074E8F">
      <w:rPr>
        <w:sz w:val="18"/>
        <w:szCs w:val="18"/>
      </w:rPr>
      <w:fldChar w:fldCharType="begin"/>
    </w:r>
    <w:r w:rsidRPr="00074E8F">
      <w:rPr>
        <w:sz w:val="18"/>
        <w:szCs w:val="18"/>
      </w:rPr>
      <w:instrText xml:space="preserve"> NUMPAGES </w:instrText>
    </w:r>
    <w:r w:rsidRPr="00074E8F">
      <w:rPr>
        <w:sz w:val="18"/>
        <w:szCs w:val="18"/>
      </w:rPr>
      <w:fldChar w:fldCharType="separate"/>
    </w:r>
    <w:r>
      <w:rPr>
        <w:noProof/>
        <w:sz w:val="18"/>
        <w:szCs w:val="18"/>
      </w:rPr>
      <w:t>675</w:t>
    </w:r>
    <w:r w:rsidRPr="00074E8F">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0E272C" w14:textId="77777777" w:rsidR="00682D97" w:rsidRDefault="00682D97" w:rsidP="007968EC">
      <w:r>
        <w:separator/>
      </w:r>
    </w:p>
  </w:footnote>
  <w:footnote w:type="continuationSeparator" w:id="0">
    <w:p w14:paraId="622984FD" w14:textId="77777777" w:rsidR="00682D97" w:rsidRDefault="00682D97" w:rsidP="007968EC">
      <w:r>
        <w:continuationSeparator/>
      </w:r>
    </w:p>
  </w:footnote>
  <w:footnote w:id="1">
    <w:p w14:paraId="7C32C05E" w14:textId="77777777" w:rsidR="00BD4DB7" w:rsidRPr="006E0BEC" w:rsidRDefault="00BD4DB7" w:rsidP="007968EC">
      <w:pPr>
        <w:jc w:val="both"/>
        <w:rPr>
          <w:rFonts w:ascii="Arial Narrow" w:hAnsi="Arial Narrow"/>
          <w:b/>
          <w:bCs/>
          <w:sz w:val="20"/>
          <w:szCs w:val="20"/>
        </w:rPr>
      </w:pPr>
      <w:r w:rsidRPr="006E0BEC">
        <w:rPr>
          <w:rStyle w:val="Refdenotaalpie"/>
          <w:rFonts w:ascii="Arial Narrow" w:hAnsi="Arial Narrow"/>
          <w:szCs w:val="20"/>
        </w:rPr>
        <w:footnoteRef/>
      </w:r>
      <w:r w:rsidRPr="006E0BEC">
        <w:rPr>
          <w:rFonts w:ascii="Arial Narrow" w:hAnsi="Arial Narrow"/>
          <w:sz w:val="20"/>
          <w:szCs w:val="20"/>
        </w:rPr>
        <w:t xml:space="preserve"> </w:t>
      </w:r>
      <w:r w:rsidRPr="006E0BEC">
        <w:rPr>
          <w:rFonts w:ascii="Arial Narrow" w:hAnsi="Arial Narrow"/>
          <w:bCs/>
          <w:sz w:val="20"/>
          <w:szCs w:val="20"/>
        </w:rPr>
        <w:t>Debe aclararse que el modelo acepta incluir derivados no lineales (i.e. opciones) por lo que la máxima pérdida no necesariamente está dada por el escenario que implica el mayor movimiento en precio.</w:t>
      </w:r>
    </w:p>
    <w:p w14:paraId="420ACE1C" w14:textId="77777777" w:rsidR="00BD4DB7" w:rsidRPr="006E0BEC" w:rsidRDefault="00BD4DB7" w:rsidP="007968EC">
      <w:pPr>
        <w:pStyle w:val="Textonotapie"/>
        <w:rPr>
          <w:lang w:val="es-ES"/>
        </w:rPr>
      </w:pPr>
    </w:p>
  </w:footnote>
  <w:footnote w:id="2">
    <w:p w14:paraId="3391DAAB" w14:textId="77777777" w:rsidR="00BD4DB7" w:rsidRPr="00F12255" w:rsidRDefault="00BD4DB7" w:rsidP="007968EC">
      <w:pPr>
        <w:pStyle w:val="Textonotapie"/>
        <w:jc w:val="both"/>
        <w:rPr>
          <w:rFonts w:ascii="Arial Narrow" w:hAnsi="Arial Narrow"/>
          <w:b w:val="0"/>
        </w:rPr>
      </w:pPr>
      <w:r w:rsidRPr="00F12255">
        <w:rPr>
          <w:rStyle w:val="Refdenotaalpie"/>
          <w:rFonts w:ascii="Arial Narrow" w:hAnsi="Arial Narrow"/>
        </w:rPr>
        <w:footnoteRef/>
      </w:r>
      <w:r w:rsidRPr="00F12255">
        <w:rPr>
          <w:rFonts w:ascii="Arial Narrow" w:hAnsi="Arial Narrow"/>
          <w:b w:val="0"/>
        </w:rPr>
        <w:t xml:space="preserve"> </w:t>
      </w:r>
      <w:r w:rsidRPr="00F12255">
        <w:rPr>
          <w:rFonts w:ascii="Arial Narrow" w:hAnsi="Arial Narrow"/>
          <w:b w:val="0"/>
          <w:sz w:val="16"/>
        </w:rPr>
        <w:t>Con la entrega de este formulario la entidad certifica que el personal relacionado en la sección 5 cuenta con la capacitación y los medios para administrar las operaciones frente a la CRCC.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05FFD" w14:textId="77777777" w:rsidR="00BD4DB7" w:rsidRDefault="00BD4DB7" w:rsidP="007968EC">
    <w:pPr>
      <w:pStyle w:val="Encabezado"/>
      <w:jc w:val="right"/>
    </w:pPr>
    <w:r>
      <w:rPr>
        <w:noProof/>
        <w:lang w:val="es-CO" w:eastAsia="es-CO"/>
      </w:rPr>
      <w:drawing>
        <wp:inline distT="0" distB="0" distL="0" distR="0" wp14:anchorId="19B3F3A1" wp14:editId="2796387D">
          <wp:extent cx="1957070" cy="475615"/>
          <wp:effectExtent l="0" t="0" r="508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7070" cy="475615"/>
                  </a:xfrm>
                  <a:prstGeom prst="rect">
                    <a:avLst/>
                  </a:prstGeom>
                  <a:noFill/>
                </pic:spPr>
              </pic:pic>
            </a:graphicData>
          </a:graphic>
        </wp:inline>
      </w:drawing>
    </w:r>
  </w:p>
  <w:p w14:paraId="425F354B" w14:textId="77777777" w:rsidR="00BD4DB7" w:rsidRDefault="00BD4DB7" w:rsidP="007968E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E2848" w14:textId="77777777" w:rsidR="00BD4DB7" w:rsidRDefault="00BD4DB7" w:rsidP="007968EC">
    <w:pPr>
      <w:pStyle w:val="Encabezado"/>
      <w:jc w:val="right"/>
    </w:pPr>
  </w:p>
  <w:p w14:paraId="427BF3A6" w14:textId="77777777" w:rsidR="00BD4DB7" w:rsidRDefault="00BD4DB7" w:rsidP="007968EC">
    <w:pPr>
      <w:pStyle w:val="Encabezado"/>
      <w:jc w:val="right"/>
    </w:pPr>
    <w:r>
      <w:rPr>
        <w:noProof/>
        <w:lang w:val="es-CO" w:eastAsia="es-CO"/>
      </w:rPr>
      <w:drawing>
        <wp:inline distT="0" distB="0" distL="0" distR="0" wp14:anchorId="4901D473" wp14:editId="66400CBA">
          <wp:extent cx="1957070" cy="475615"/>
          <wp:effectExtent l="0" t="0" r="508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7070" cy="47561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84D50" w14:textId="77777777" w:rsidR="00BD4DB7" w:rsidRDefault="00BD4DB7" w:rsidP="007968EC">
    <w:pPr>
      <w:pStyle w:val="Encabezado"/>
      <w:jc w:val="right"/>
    </w:pPr>
    <w:r w:rsidRPr="00AE7CD2">
      <w:rPr>
        <w:rFonts w:ascii="Arial Narrow" w:hAnsi="Arial Narrow"/>
        <w:noProof/>
        <w:lang w:val="es-CO" w:eastAsia="es-CO"/>
      </w:rPr>
      <w:drawing>
        <wp:anchor distT="0" distB="0" distL="114300" distR="114300" simplePos="0" relativeHeight="251660288" behindDoc="1" locked="0" layoutInCell="1" allowOverlap="1" wp14:anchorId="42352A51" wp14:editId="0CA52ABD">
          <wp:simplePos x="0" y="0"/>
          <wp:positionH relativeFrom="margin">
            <wp:align>right</wp:align>
          </wp:positionH>
          <wp:positionV relativeFrom="paragraph">
            <wp:posOffset>161925</wp:posOffset>
          </wp:positionV>
          <wp:extent cx="1960245" cy="470535"/>
          <wp:effectExtent l="0" t="0" r="1905" b="5715"/>
          <wp:wrapTight wrapText="bothSides">
            <wp:wrapPolygon edited="0">
              <wp:start x="3778" y="0"/>
              <wp:lineTo x="0" y="6121"/>
              <wp:lineTo x="0" y="18364"/>
              <wp:lineTo x="3149" y="20988"/>
              <wp:lineTo x="7557" y="20988"/>
              <wp:lineTo x="21411" y="20988"/>
              <wp:lineTo x="21411" y="874"/>
              <wp:lineTo x="11125" y="0"/>
              <wp:lineTo x="3778" y="0"/>
            </wp:wrapPolygon>
          </wp:wrapTight>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0245" cy="470535"/>
                  </a:xfrm>
                  <a:prstGeom prst="rect">
                    <a:avLst/>
                  </a:prstGeom>
                  <a:noFill/>
                  <a:ln>
                    <a:noFill/>
                  </a:ln>
                </pic:spPr>
              </pic:pic>
            </a:graphicData>
          </a:graphic>
        </wp:anchor>
      </w:drawing>
    </w:r>
  </w:p>
  <w:p w14:paraId="2BFAB71A" w14:textId="77777777" w:rsidR="00BD4DB7" w:rsidRDefault="00BD4DB7" w:rsidP="007968EC">
    <w:pPr>
      <w:pStyle w:val="Encabezado"/>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9CEAE" w14:textId="77777777" w:rsidR="00BD4DB7" w:rsidRDefault="00BD4DB7" w:rsidP="007968EC">
    <w:pPr>
      <w:pStyle w:val="Encabezado"/>
      <w:jc w:val="right"/>
    </w:pPr>
    <w:r w:rsidRPr="00AE7CD2">
      <w:rPr>
        <w:rFonts w:ascii="Arial Narrow" w:hAnsi="Arial Narrow"/>
        <w:noProof/>
        <w:lang w:val="es-CO" w:eastAsia="es-CO"/>
      </w:rPr>
      <w:drawing>
        <wp:anchor distT="0" distB="0" distL="114300" distR="114300" simplePos="0" relativeHeight="251659264" behindDoc="1" locked="0" layoutInCell="1" allowOverlap="1" wp14:anchorId="376548D0" wp14:editId="43A71739">
          <wp:simplePos x="0" y="0"/>
          <wp:positionH relativeFrom="margin">
            <wp:align>right</wp:align>
          </wp:positionH>
          <wp:positionV relativeFrom="paragraph">
            <wp:posOffset>114300</wp:posOffset>
          </wp:positionV>
          <wp:extent cx="1960245" cy="470535"/>
          <wp:effectExtent l="0" t="0" r="1905" b="5715"/>
          <wp:wrapTight wrapText="bothSides">
            <wp:wrapPolygon edited="0">
              <wp:start x="3778" y="0"/>
              <wp:lineTo x="0" y="6121"/>
              <wp:lineTo x="0" y="18364"/>
              <wp:lineTo x="3149" y="20988"/>
              <wp:lineTo x="7557" y="20988"/>
              <wp:lineTo x="21411" y="20988"/>
              <wp:lineTo x="21411" y="874"/>
              <wp:lineTo x="11125" y="0"/>
              <wp:lineTo x="3778" y="0"/>
            </wp:wrapPolygon>
          </wp:wrapTight>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0245" cy="470535"/>
                  </a:xfrm>
                  <a:prstGeom prst="rect">
                    <a:avLst/>
                  </a:prstGeom>
                  <a:noFill/>
                  <a:ln>
                    <a:noFill/>
                  </a:ln>
                </pic:spPr>
              </pic:pic>
            </a:graphicData>
          </a:graphic>
        </wp:anchor>
      </w:drawing>
    </w:r>
  </w:p>
  <w:p w14:paraId="64AAB782" w14:textId="77777777" w:rsidR="00BD4DB7" w:rsidRDefault="00BD4DB7" w:rsidP="007968EC">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31CB3"/>
    <w:multiLevelType w:val="hybridMultilevel"/>
    <w:tmpl w:val="AFBEBCD0"/>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 w15:restartNumberingAfterBreak="0">
    <w:nsid w:val="00BE19EC"/>
    <w:multiLevelType w:val="hybridMultilevel"/>
    <w:tmpl w:val="FEAA54F8"/>
    <w:lvl w:ilvl="0" w:tplc="9D9C0434">
      <w:start w:val="1"/>
      <w:numFmt w:val="lowerRoman"/>
      <w:lvlText w:val="%1."/>
      <w:lvlJc w:val="left"/>
      <w:pPr>
        <w:ind w:left="1440" w:hanging="720"/>
      </w:pPr>
      <w:rPr>
        <w:rFonts w:cs="Arial" w:hint="default"/>
        <w:color w:val="000000"/>
      </w:rPr>
    </w:lvl>
    <w:lvl w:ilvl="1" w:tplc="240A001B">
      <w:start w:val="1"/>
      <w:numFmt w:val="lowerRoman"/>
      <w:lvlText w:val="%2."/>
      <w:lvlJc w:val="righ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00E623E7"/>
    <w:multiLevelType w:val="hybridMultilevel"/>
    <w:tmpl w:val="F6746DB2"/>
    <w:lvl w:ilvl="0" w:tplc="75802A7E">
      <w:start w:val="1"/>
      <w:numFmt w:val="lowerLetter"/>
      <w:lvlText w:val="%1."/>
      <w:lvlJc w:val="left"/>
      <w:pPr>
        <w:ind w:left="720" w:hanging="360"/>
      </w:pPr>
      <w:rPr>
        <w:b w:val="0"/>
      </w:rPr>
    </w:lvl>
    <w:lvl w:ilvl="1" w:tplc="08A63394">
      <w:start w:val="1"/>
      <w:numFmt w:val="decimal"/>
      <w:lvlText w:val="%2."/>
      <w:lvlJc w:val="left"/>
      <w:pPr>
        <w:ind w:left="1785" w:hanging="705"/>
      </w:pPr>
      <w:rPr>
        <w:rFonts w:hint="default"/>
      </w:rPr>
    </w:lvl>
    <w:lvl w:ilvl="2" w:tplc="240A0017">
      <w:start w:val="1"/>
      <w:numFmt w:val="lowerLetter"/>
      <w:lvlText w:val="%3)"/>
      <w:lvlJc w:val="left"/>
      <w:pPr>
        <w:ind w:left="2160" w:hanging="180"/>
      </w:pPr>
    </w:lvl>
    <w:lvl w:ilvl="3" w:tplc="240A001B">
      <w:start w:val="1"/>
      <w:numFmt w:val="lowerRoman"/>
      <w:lvlText w:val="%4."/>
      <w:lvlJc w:val="righ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2022A1A"/>
    <w:multiLevelType w:val="hybridMultilevel"/>
    <w:tmpl w:val="F1FC00B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26F03EC"/>
    <w:multiLevelType w:val="hybridMultilevel"/>
    <w:tmpl w:val="2750AF4E"/>
    <w:lvl w:ilvl="0" w:tplc="F1669A38">
      <w:start w:val="1"/>
      <w:numFmt w:val="decimal"/>
      <w:lvlText w:val="%1."/>
      <w:lvlJc w:val="left"/>
      <w:pPr>
        <w:tabs>
          <w:tab w:val="num" w:pos="1065"/>
        </w:tabs>
        <w:ind w:left="1065" w:hanging="70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27735F2"/>
    <w:multiLevelType w:val="hybridMultilevel"/>
    <w:tmpl w:val="94868014"/>
    <w:lvl w:ilvl="0" w:tplc="240A0019">
      <w:start w:val="1"/>
      <w:numFmt w:val="lowerLetter"/>
      <w:lvlText w:val="%1."/>
      <w:lvlJc w:val="left"/>
      <w:pPr>
        <w:ind w:left="720" w:hanging="360"/>
      </w:pPr>
    </w:lvl>
    <w:lvl w:ilvl="1" w:tplc="240A001B">
      <w:start w:val="1"/>
      <w:numFmt w:val="lowerRoman"/>
      <w:lvlText w:val="%2."/>
      <w:lvlJc w:val="right"/>
      <w:pPr>
        <w:ind w:left="1440" w:hanging="360"/>
      </w:pPr>
    </w:lvl>
    <w:lvl w:ilvl="2" w:tplc="116CCE64">
      <w:start w:val="1"/>
      <w:numFmt w:val="bullet"/>
      <w:lvlText w:val="-"/>
      <w:lvlJc w:val="left"/>
      <w:pPr>
        <w:ind w:left="2340" w:hanging="360"/>
      </w:pPr>
      <w:rPr>
        <w:rFonts w:ascii="Arial Narrow" w:eastAsia="Times New Roman" w:hAnsi="Arial Narrow" w:cs="Arial Narrow,BoldItalic"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2A10E01"/>
    <w:multiLevelType w:val="hybridMultilevel"/>
    <w:tmpl w:val="3B3010D2"/>
    <w:lvl w:ilvl="0" w:tplc="B27CC31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2F47830"/>
    <w:multiLevelType w:val="hybridMultilevel"/>
    <w:tmpl w:val="9A18F56C"/>
    <w:lvl w:ilvl="0" w:tplc="FFFFFFFF">
      <w:start w:val="1"/>
      <w:numFmt w:val="bullet"/>
      <w:lvlText w:val=""/>
      <w:lvlJc w:val="left"/>
      <w:pPr>
        <w:tabs>
          <w:tab w:val="num" w:pos="720"/>
        </w:tabs>
        <w:ind w:left="720" w:hanging="360"/>
      </w:pPr>
      <w:rPr>
        <w:rFonts w:ascii="Symbol" w:hAnsi="Symbol" w:hint="default"/>
      </w:rPr>
    </w:lvl>
    <w:lvl w:ilvl="1" w:tplc="B2E488AE">
      <w:start w:val="1"/>
      <w:numFmt w:val="bullet"/>
      <w:pStyle w:val="Normal8pre3post3"/>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32678F8"/>
    <w:multiLevelType w:val="hybridMultilevel"/>
    <w:tmpl w:val="02E2FC3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3AA476B"/>
    <w:multiLevelType w:val="multilevel"/>
    <w:tmpl w:val="F5C089B2"/>
    <w:lvl w:ilvl="0">
      <w:start w:val="1"/>
      <w:numFmt w:val="decimal"/>
      <w:lvlText w:val="%1."/>
      <w:lvlJc w:val="left"/>
      <w:pPr>
        <w:ind w:left="644" w:hanging="360"/>
      </w:pPr>
      <w:rPr>
        <w:rFonts w:hint="default"/>
        <w:b w:val="0"/>
      </w:rPr>
    </w:lvl>
    <w:lvl w:ilvl="1">
      <w:start w:val="1"/>
      <w:numFmt w:val="decimal"/>
      <w:isLgl/>
      <w:lvlText w:val="%1.%2"/>
      <w:lvlJc w:val="left"/>
      <w:pPr>
        <w:ind w:left="720" w:hanging="360"/>
      </w:pPr>
      <w:rPr>
        <w:rFonts w:ascii="Calibri" w:hAnsi="Calibri" w:cs="TimesNewRomanPSMT" w:hint="default"/>
        <w:b w:val="0"/>
        <w:sz w:val="22"/>
      </w:rPr>
    </w:lvl>
    <w:lvl w:ilvl="2">
      <w:start w:val="1"/>
      <w:numFmt w:val="decimal"/>
      <w:isLgl/>
      <w:lvlText w:val="%1.%2.%3"/>
      <w:lvlJc w:val="left"/>
      <w:pPr>
        <w:ind w:left="1080" w:hanging="720"/>
      </w:pPr>
      <w:rPr>
        <w:rFonts w:ascii="Calibri" w:hAnsi="Calibri" w:cs="TimesNewRomanPSMT" w:hint="default"/>
        <w:b w:val="0"/>
        <w:sz w:val="22"/>
      </w:rPr>
    </w:lvl>
    <w:lvl w:ilvl="3">
      <w:start w:val="1"/>
      <w:numFmt w:val="decimal"/>
      <w:isLgl/>
      <w:lvlText w:val="%1.%2.%3.%4"/>
      <w:lvlJc w:val="left"/>
      <w:pPr>
        <w:ind w:left="1080" w:hanging="720"/>
      </w:pPr>
      <w:rPr>
        <w:rFonts w:ascii="Calibri" w:hAnsi="Calibri" w:cs="TimesNewRomanPSMT" w:hint="default"/>
        <w:b w:val="0"/>
        <w:sz w:val="22"/>
      </w:rPr>
    </w:lvl>
    <w:lvl w:ilvl="4">
      <w:start w:val="1"/>
      <w:numFmt w:val="decimal"/>
      <w:isLgl/>
      <w:lvlText w:val="%1.%2.%3.%4.%5"/>
      <w:lvlJc w:val="left"/>
      <w:pPr>
        <w:ind w:left="1440" w:hanging="1080"/>
      </w:pPr>
      <w:rPr>
        <w:rFonts w:ascii="Calibri" w:hAnsi="Calibri" w:cs="TimesNewRomanPSMT" w:hint="default"/>
        <w:b w:val="0"/>
        <w:sz w:val="22"/>
      </w:rPr>
    </w:lvl>
    <w:lvl w:ilvl="5">
      <w:start w:val="1"/>
      <w:numFmt w:val="decimal"/>
      <w:isLgl/>
      <w:lvlText w:val="%1.%2.%3.%4.%5.%6"/>
      <w:lvlJc w:val="left"/>
      <w:pPr>
        <w:ind w:left="1440" w:hanging="1080"/>
      </w:pPr>
      <w:rPr>
        <w:rFonts w:ascii="Calibri" w:hAnsi="Calibri" w:cs="TimesNewRomanPSMT" w:hint="default"/>
        <w:b w:val="0"/>
        <w:sz w:val="22"/>
      </w:rPr>
    </w:lvl>
    <w:lvl w:ilvl="6">
      <w:start w:val="1"/>
      <w:numFmt w:val="decimal"/>
      <w:isLgl/>
      <w:lvlText w:val="%1.%2.%3.%4.%5.%6.%7"/>
      <w:lvlJc w:val="left"/>
      <w:pPr>
        <w:ind w:left="1800" w:hanging="1440"/>
      </w:pPr>
      <w:rPr>
        <w:rFonts w:ascii="Calibri" w:hAnsi="Calibri" w:cs="TimesNewRomanPSMT" w:hint="default"/>
        <w:b w:val="0"/>
        <w:sz w:val="22"/>
      </w:rPr>
    </w:lvl>
    <w:lvl w:ilvl="7">
      <w:start w:val="1"/>
      <w:numFmt w:val="decimal"/>
      <w:isLgl/>
      <w:lvlText w:val="%1.%2.%3.%4.%5.%6.%7.%8"/>
      <w:lvlJc w:val="left"/>
      <w:pPr>
        <w:ind w:left="1800" w:hanging="1440"/>
      </w:pPr>
      <w:rPr>
        <w:rFonts w:ascii="Calibri" w:hAnsi="Calibri" w:cs="TimesNewRomanPSMT" w:hint="default"/>
        <w:b w:val="0"/>
        <w:sz w:val="22"/>
      </w:rPr>
    </w:lvl>
    <w:lvl w:ilvl="8">
      <w:start w:val="1"/>
      <w:numFmt w:val="decimal"/>
      <w:isLgl/>
      <w:lvlText w:val="%1.%2.%3.%4.%5.%6.%7.%8.%9"/>
      <w:lvlJc w:val="left"/>
      <w:pPr>
        <w:ind w:left="1800" w:hanging="1440"/>
      </w:pPr>
      <w:rPr>
        <w:rFonts w:ascii="Calibri" w:hAnsi="Calibri" w:cs="TimesNewRomanPSMT" w:hint="default"/>
        <w:b w:val="0"/>
        <w:sz w:val="22"/>
      </w:rPr>
    </w:lvl>
  </w:abstractNum>
  <w:abstractNum w:abstractNumId="10" w15:restartNumberingAfterBreak="0">
    <w:nsid w:val="04596878"/>
    <w:multiLevelType w:val="hybridMultilevel"/>
    <w:tmpl w:val="D576D18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045C6C8E"/>
    <w:multiLevelType w:val="hybridMultilevel"/>
    <w:tmpl w:val="5D04EE04"/>
    <w:lvl w:ilvl="0" w:tplc="FD40203E">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048918C4"/>
    <w:multiLevelType w:val="hybridMultilevel"/>
    <w:tmpl w:val="D576D18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050E0EEA"/>
    <w:multiLevelType w:val="hybridMultilevel"/>
    <w:tmpl w:val="73EC97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051D5C17"/>
    <w:multiLevelType w:val="hybridMultilevel"/>
    <w:tmpl w:val="EF3EAEFA"/>
    <w:lvl w:ilvl="0" w:tplc="1D5E0DA6">
      <w:start w:val="1"/>
      <w:numFmt w:val="decimal"/>
      <w:lvlText w:val="%1."/>
      <w:lvlJc w:val="left"/>
      <w:pPr>
        <w:tabs>
          <w:tab w:val="num" w:pos="1065"/>
        </w:tabs>
        <w:ind w:left="1065" w:hanging="705"/>
      </w:pPr>
      <w:rPr>
        <w:rFonts w:ascii="Arial Narrow" w:eastAsia="Calibri" w:hAnsi="Arial Narrow" w:cs="Times New Roman"/>
        <w:b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05786A26"/>
    <w:multiLevelType w:val="hybridMultilevel"/>
    <w:tmpl w:val="575E1E74"/>
    <w:lvl w:ilvl="0" w:tplc="994EEE34">
      <w:start w:val="1"/>
      <w:numFmt w:val="decimal"/>
      <w:lvlText w:val="%1."/>
      <w:lvlJc w:val="left"/>
      <w:pPr>
        <w:tabs>
          <w:tab w:val="num" w:pos="1065"/>
        </w:tabs>
        <w:ind w:left="1065" w:hanging="70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05EB44A8"/>
    <w:multiLevelType w:val="hybridMultilevel"/>
    <w:tmpl w:val="D6226804"/>
    <w:lvl w:ilvl="0" w:tplc="EABCF08A">
      <w:start w:val="1"/>
      <w:numFmt w:val="decimal"/>
      <w:lvlText w:val="%1."/>
      <w:lvlJc w:val="left"/>
      <w:pPr>
        <w:tabs>
          <w:tab w:val="num" w:pos="1065"/>
        </w:tabs>
        <w:ind w:left="1065" w:hanging="70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062A1DE3"/>
    <w:multiLevelType w:val="hybridMultilevel"/>
    <w:tmpl w:val="0BF641F2"/>
    <w:lvl w:ilvl="0" w:tplc="240A001B">
      <w:start w:val="1"/>
      <w:numFmt w:val="lowerRoman"/>
      <w:lvlText w:val="%1."/>
      <w:lvlJc w:val="right"/>
      <w:pPr>
        <w:ind w:left="4122" w:hanging="360"/>
      </w:pPr>
      <w:rPr>
        <w:rFonts w:hint="default"/>
        <w:b w:val="0"/>
        <w:color w:val="auto"/>
        <w:u w:val="none"/>
      </w:rPr>
    </w:lvl>
    <w:lvl w:ilvl="1" w:tplc="240A0019">
      <w:start w:val="1"/>
      <w:numFmt w:val="lowerLetter"/>
      <w:lvlText w:val="%2."/>
      <w:lvlJc w:val="left"/>
      <w:pPr>
        <w:ind w:left="4842" w:hanging="360"/>
      </w:pPr>
    </w:lvl>
    <w:lvl w:ilvl="2" w:tplc="240A001B" w:tentative="1">
      <w:start w:val="1"/>
      <w:numFmt w:val="lowerRoman"/>
      <w:lvlText w:val="%3."/>
      <w:lvlJc w:val="right"/>
      <w:pPr>
        <w:ind w:left="5562" w:hanging="180"/>
      </w:pPr>
    </w:lvl>
    <w:lvl w:ilvl="3" w:tplc="240A000F" w:tentative="1">
      <w:start w:val="1"/>
      <w:numFmt w:val="decimal"/>
      <w:lvlText w:val="%4."/>
      <w:lvlJc w:val="left"/>
      <w:pPr>
        <w:ind w:left="6282" w:hanging="360"/>
      </w:pPr>
    </w:lvl>
    <w:lvl w:ilvl="4" w:tplc="240A0019" w:tentative="1">
      <w:start w:val="1"/>
      <w:numFmt w:val="lowerLetter"/>
      <w:lvlText w:val="%5."/>
      <w:lvlJc w:val="left"/>
      <w:pPr>
        <w:ind w:left="7002" w:hanging="360"/>
      </w:pPr>
    </w:lvl>
    <w:lvl w:ilvl="5" w:tplc="240A001B" w:tentative="1">
      <w:start w:val="1"/>
      <w:numFmt w:val="lowerRoman"/>
      <w:lvlText w:val="%6."/>
      <w:lvlJc w:val="right"/>
      <w:pPr>
        <w:ind w:left="7722" w:hanging="180"/>
      </w:pPr>
    </w:lvl>
    <w:lvl w:ilvl="6" w:tplc="240A000F" w:tentative="1">
      <w:start w:val="1"/>
      <w:numFmt w:val="decimal"/>
      <w:lvlText w:val="%7."/>
      <w:lvlJc w:val="left"/>
      <w:pPr>
        <w:ind w:left="8442" w:hanging="360"/>
      </w:pPr>
    </w:lvl>
    <w:lvl w:ilvl="7" w:tplc="240A0019" w:tentative="1">
      <w:start w:val="1"/>
      <w:numFmt w:val="lowerLetter"/>
      <w:lvlText w:val="%8."/>
      <w:lvlJc w:val="left"/>
      <w:pPr>
        <w:ind w:left="9162" w:hanging="360"/>
      </w:pPr>
    </w:lvl>
    <w:lvl w:ilvl="8" w:tplc="240A001B" w:tentative="1">
      <w:start w:val="1"/>
      <w:numFmt w:val="lowerRoman"/>
      <w:lvlText w:val="%9."/>
      <w:lvlJc w:val="right"/>
      <w:pPr>
        <w:ind w:left="9882" w:hanging="180"/>
      </w:pPr>
    </w:lvl>
  </w:abstractNum>
  <w:abstractNum w:abstractNumId="18" w15:restartNumberingAfterBreak="0">
    <w:nsid w:val="06EF3ED3"/>
    <w:multiLevelType w:val="hybridMultilevel"/>
    <w:tmpl w:val="F76C84F0"/>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7C666AB"/>
    <w:multiLevelType w:val="hybridMultilevel"/>
    <w:tmpl w:val="D1703E1C"/>
    <w:lvl w:ilvl="0" w:tplc="83FAB60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08332FBD"/>
    <w:multiLevelType w:val="hybridMultilevel"/>
    <w:tmpl w:val="F76C84F0"/>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83F019A"/>
    <w:multiLevelType w:val="hybridMultilevel"/>
    <w:tmpl w:val="0BF641F2"/>
    <w:lvl w:ilvl="0" w:tplc="240A001B">
      <w:start w:val="1"/>
      <w:numFmt w:val="lowerRoman"/>
      <w:lvlText w:val="%1."/>
      <w:lvlJc w:val="right"/>
      <w:pPr>
        <w:ind w:left="1068" w:hanging="360"/>
      </w:pPr>
      <w:rPr>
        <w:rFonts w:hint="default"/>
        <w:b w:val="0"/>
        <w:color w:val="auto"/>
        <w:u w:val="none"/>
      </w:rPr>
    </w:lvl>
    <w:lvl w:ilvl="1" w:tplc="240A0019">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2" w15:restartNumberingAfterBreak="0">
    <w:nsid w:val="08443785"/>
    <w:multiLevelType w:val="hybridMultilevel"/>
    <w:tmpl w:val="6A023C22"/>
    <w:lvl w:ilvl="0" w:tplc="BD2001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08443928"/>
    <w:multiLevelType w:val="hybridMultilevel"/>
    <w:tmpl w:val="ECCCE6D2"/>
    <w:lvl w:ilvl="0" w:tplc="C65687FA">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4" w15:restartNumberingAfterBreak="0">
    <w:nsid w:val="08AD1732"/>
    <w:multiLevelType w:val="hybridMultilevel"/>
    <w:tmpl w:val="01AA4ABE"/>
    <w:lvl w:ilvl="0" w:tplc="116CCE64">
      <w:start w:val="1"/>
      <w:numFmt w:val="bullet"/>
      <w:lvlText w:val="-"/>
      <w:lvlJc w:val="left"/>
      <w:pPr>
        <w:ind w:left="720" w:hanging="360"/>
      </w:pPr>
      <w:rPr>
        <w:rFonts w:ascii="Arial Narrow" w:eastAsia="Times New Roman" w:hAnsi="Arial Narrow" w:cs="Arial Narrow,BoldItalic"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08D458B8"/>
    <w:multiLevelType w:val="hybridMultilevel"/>
    <w:tmpl w:val="44D0767A"/>
    <w:lvl w:ilvl="0" w:tplc="0C0A000F">
      <w:start w:val="1"/>
      <w:numFmt w:val="decimal"/>
      <w:lvlText w:val="%1."/>
      <w:lvlJc w:val="left"/>
      <w:pPr>
        <w:tabs>
          <w:tab w:val="num" w:pos="708"/>
        </w:tabs>
        <w:ind w:left="708" w:hanging="360"/>
      </w:pPr>
    </w:lvl>
    <w:lvl w:ilvl="1" w:tplc="0C0A0019" w:tentative="1">
      <w:start w:val="1"/>
      <w:numFmt w:val="lowerLetter"/>
      <w:lvlText w:val="%2."/>
      <w:lvlJc w:val="left"/>
      <w:pPr>
        <w:tabs>
          <w:tab w:val="num" w:pos="1428"/>
        </w:tabs>
        <w:ind w:left="1428" w:hanging="360"/>
      </w:pPr>
    </w:lvl>
    <w:lvl w:ilvl="2" w:tplc="0C0A001B" w:tentative="1">
      <w:start w:val="1"/>
      <w:numFmt w:val="lowerRoman"/>
      <w:lvlText w:val="%3."/>
      <w:lvlJc w:val="right"/>
      <w:pPr>
        <w:tabs>
          <w:tab w:val="num" w:pos="2148"/>
        </w:tabs>
        <w:ind w:left="2148" w:hanging="180"/>
      </w:pPr>
    </w:lvl>
    <w:lvl w:ilvl="3" w:tplc="0C0A000F" w:tentative="1">
      <w:start w:val="1"/>
      <w:numFmt w:val="decimal"/>
      <w:lvlText w:val="%4."/>
      <w:lvlJc w:val="left"/>
      <w:pPr>
        <w:tabs>
          <w:tab w:val="num" w:pos="2868"/>
        </w:tabs>
        <w:ind w:left="2868" w:hanging="360"/>
      </w:pPr>
    </w:lvl>
    <w:lvl w:ilvl="4" w:tplc="0C0A0019" w:tentative="1">
      <w:start w:val="1"/>
      <w:numFmt w:val="lowerLetter"/>
      <w:lvlText w:val="%5."/>
      <w:lvlJc w:val="left"/>
      <w:pPr>
        <w:tabs>
          <w:tab w:val="num" w:pos="3588"/>
        </w:tabs>
        <w:ind w:left="3588" w:hanging="360"/>
      </w:pPr>
    </w:lvl>
    <w:lvl w:ilvl="5" w:tplc="0C0A001B" w:tentative="1">
      <w:start w:val="1"/>
      <w:numFmt w:val="lowerRoman"/>
      <w:lvlText w:val="%6."/>
      <w:lvlJc w:val="right"/>
      <w:pPr>
        <w:tabs>
          <w:tab w:val="num" w:pos="4308"/>
        </w:tabs>
        <w:ind w:left="4308" w:hanging="180"/>
      </w:pPr>
    </w:lvl>
    <w:lvl w:ilvl="6" w:tplc="0C0A000F" w:tentative="1">
      <w:start w:val="1"/>
      <w:numFmt w:val="decimal"/>
      <w:lvlText w:val="%7."/>
      <w:lvlJc w:val="left"/>
      <w:pPr>
        <w:tabs>
          <w:tab w:val="num" w:pos="5028"/>
        </w:tabs>
        <w:ind w:left="5028" w:hanging="360"/>
      </w:pPr>
    </w:lvl>
    <w:lvl w:ilvl="7" w:tplc="0C0A0019" w:tentative="1">
      <w:start w:val="1"/>
      <w:numFmt w:val="lowerLetter"/>
      <w:lvlText w:val="%8."/>
      <w:lvlJc w:val="left"/>
      <w:pPr>
        <w:tabs>
          <w:tab w:val="num" w:pos="5748"/>
        </w:tabs>
        <w:ind w:left="5748" w:hanging="360"/>
      </w:pPr>
    </w:lvl>
    <w:lvl w:ilvl="8" w:tplc="0C0A001B" w:tentative="1">
      <w:start w:val="1"/>
      <w:numFmt w:val="lowerRoman"/>
      <w:lvlText w:val="%9."/>
      <w:lvlJc w:val="right"/>
      <w:pPr>
        <w:tabs>
          <w:tab w:val="num" w:pos="6468"/>
        </w:tabs>
        <w:ind w:left="6468" w:hanging="180"/>
      </w:pPr>
    </w:lvl>
  </w:abstractNum>
  <w:abstractNum w:abstractNumId="26" w15:restartNumberingAfterBreak="0">
    <w:nsid w:val="090A66C9"/>
    <w:multiLevelType w:val="hybridMultilevel"/>
    <w:tmpl w:val="2EA25B54"/>
    <w:lvl w:ilvl="0" w:tplc="FCC01B6C">
      <w:start w:val="1"/>
      <w:numFmt w:val="decimal"/>
      <w:lvlText w:val="%1."/>
      <w:lvlJc w:val="left"/>
      <w:pPr>
        <w:ind w:left="360" w:hanging="360"/>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15:restartNumberingAfterBreak="0">
    <w:nsid w:val="0918025E"/>
    <w:multiLevelType w:val="hybridMultilevel"/>
    <w:tmpl w:val="B5C60B14"/>
    <w:lvl w:ilvl="0" w:tplc="48B0126E">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09831B4D"/>
    <w:multiLevelType w:val="hybridMultilevel"/>
    <w:tmpl w:val="6A023C22"/>
    <w:lvl w:ilvl="0" w:tplc="BD2001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09DD1DC5"/>
    <w:multiLevelType w:val="hybridMultilevel"/>
    <w:tmpl w:val="308CCCDE"/>
    <w:lvl w:ilvl="0" w:tplc="E0362026">
      <w:start w:val="1"/>
      <w:numFmt w:val="lowerLetter"/>
      <w:lvlText w:val="%1."/>
      <w:lvlJc w:val="left"/>
      <w:pPr>
        <w:ind w:left="720" w:hanging="360"/>
      </w:pPr>
      <w:rPr>
        <w:b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0A3F40D2"/>
    <w:multiLevelType w:val="hybridMultilevel"/>
    <w:tmpl w:val="DD188EE8"/>
    <w:lvl w:ilvl="0" w:tplc="513869C0">
      <w:start w:val="128"/>
      <w:numFmt w:val="bullet"/>
      <w:lvlText w:val="-"/>
      <w:lvlJc w:val="left"/>
      <w:pPr>
        <w:ind w:left="1287" w:hanging="360"/>
      </w:pPr>
      <w:rPr>
        <w:rFonts w:ascii="Verdana" w:eastAsia="Times New Roman" w:hAnsi="Verdana" w:cs="Verdana"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1" w15:restartNumberingAfterBreak="0">
    <w:nsid w:val="0A562665"/>
    <w:multiLevelType w:val="hybridMultilevel"/>
    <w:tmpl w:val="39DC0FE4"/>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0A6A250F"/>
    <w:multiLevelType w:val="multilevel"/>
    <w:tmpl w:val="CB867FDE"/>
    <w:lvl w:ilvl="0">
      <w:start w:val="1"/>
      <w:numFmt w:val="decimal"/>
      <w:lvlText w:val="%1."/>
      <w:lvlJc w:val="left"/>
      <w:pPr>
        <w:ind w:left="390" w:hanging="390"/>
      </w:pPr>
      <w:rPr>
        <w:rFonts w:hint="default"/>
        <w:b w:val="0"/>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0A837A91"/>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0A9C2C01"/>
    <w:multiLevelType w:val="hybridMultilevel"/>
    <w:tmpl w:val="DD687A14"/>
    <w:lvl w:ilvl="0" w:tplc="240A000F">
      <w:start w:val="1"/>
      <w:numFmt w:val="decimal"/>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35" w15:restartNumberingAfterBreak="0">
    <w:nsid w:val="0ABA44DB"/>
    <w:multiLevelType w:val="hybridMultilevel"/>
    <w:tmpl w:val="5DF2716C"/>
    <w:lvl w:ilvl="0" w:tplc="7FE289CC">
      <w:start w:val="1"/>
      <w:numFmt w:val="decimal"/>
      <w:lvlText w:val="%1."/>
      <w:lvlJc w:val="left"/>
      <w:pPr>
        <w:tabs>
          <w:tab w:val="num" w:pos="1065"/>
        </w:tabs>
        <w:ind w:left="1065" w:hanging="705"/>
      </w:pPr>
      <w:rPr>
        <w:rFonts w:hint="default"/>
        <w:b w:val="0"/>
      </w:rPr>
    </w:lvl>
    <w:lvl w:ilvl="1" w:tplc="A24E35BA">
      <w:start w:val="1"/>
      <w:numFmt w:val="lowerLetter"/>
      <w:lvlText w:val="%2)"/>
      <w:lvlJc w:val="left"/>
      <w:pPr>
        <w:tabs>
          <w:tab w:val="num" w:pos="1440"/>
        </w:tabs>
        <w:ind w:left="1440" w:hanging="360"/>
      </w:pPr>
      <w:rPr>
        <w:rFonts w:hint="default"/>
        <w:b w:val="0"/>
      </w:rPr>
    </w:lvl>
    <w:lvl w:ilvl="2" w:tplc="240A0019">
      <w:start w:val="1"/>
      <w:numFmt w:val="lowerLetter"/>
      <w:lvlText w:val="%3."/>
      <w:lvlJc w:val="left"/>
      <w:pPr>
        <w:ind w:left="2340" w:hanging="360"/>
      </w:pPr>
      <w:rPr>
        <w:rFonts w:hint="default"/>
      </w:rPr>
    </w:lvl>
    <w:lvl w:ilvl="3" w:tplc="240A0001">
      <w:start w:val="1"/>
      <w:numFmt w:val="bullet"/>
      <w:lvlText w:val=""/>
      <w:lvlJc w:val="left"/>
      <w:pPr>
        <w:ind w:left="2880" w:hanging="360"/>
      </w:pPr>
      <w:rPr>
        <w:rFonts w:ascii="Symbol" w:hAnsi="Symbol"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0B061562"/>
    <w:multiLevelType w:val="hybridMultilevel"/>
    <w:tmpl w:val="314CA856"/>
    <w:lvl w:ilvl="0" w:tplc="89AC04A2">
      <w:start w:val="1"/>
      <w:numFmt w:val="lowerLetter"/>
      <w:lvlText w:val="%1."/>
      <w:lvlJc w:val="left"/>
      <w:pPr>
        <w:ind w:left="720" w:hanging="360"/>
      </w:pPr>
      <w:rPr>
        <w:rFonts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0B491710"/>
    <w:multiLevelType w:val="hybridMultilevel"/>
    <w:tmpl w:val="C696E544"/>
    <w:lvl w:ilvl="0" w:tplc="E7A09518">
      <w:start w:val="1"/>
      <w:numFmt w:val="decimal"/>
      <w:lvlText w:val="%1."/>
      <w:lvlJc w:val="left"/>
      <w:pPr>
        <w:tabs>
          <w:tab w:val="num" w:pos="1065"/>
        </w:tabs>
        <w:ind w:left="1065" w:hanging="70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0B79617B"/>
    <w:multiLevelType w:val="hybridMultilevel"/>
    <w:tmpl w:val="CE66C0D8"/>
    <w:lvl w:ilvl="0" w:tplc="0C0A0017">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9" w15:restartNumberingAfterBreak="0">
    <w:nsid w:val="0B840392"/>
    <w:multiLevelType w:val="hybridMultilevel"/>
    <w:tmpl w:val="451EFAD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0C327A30"/>
    <w:multiLevelType w:val="hybridMultilevel"/>
    <w:tmpl w:val="3A0C6A96"/>
    <w:lvl w:ilvl="0" w:tplc="240A000F">
      <w:start w:val="1"/>
      <w:numFmt w:val="decimal"/>
      <w:lvlText w:val="%1."/>
      <w:lvlJc w:val="left"/>
      <w:pPr>
        <w:ind w:left="720" w:hanging="360"/>
      </w:pPr>
    </w:lvl>
    <w:lvl w:ilvl="1" w:tplc="598A685C">
      <w:start w:val="1"/>
      <w:numFmt w:val="upperLetter"/>
      <w:lvlText w:val="%2."/>
      <w:lvlJc w:val="left"/>
      <w:pPr>
        <w:ind w:left="1785" w:hanging="705"/>
      </w:pPr>
      <w:rPr>
        <w:rFonts w:hint="default"/>
        <w:b/>
      </w:rPr>
    </w:lvl>
    <w:lvl w:ilvl="2" w:tplc="1758DE4E">
      <w:start w:val="1"/>
      <w:numFmt w:val="lowerRoman"/>
      <w:lvlText w:val="%3."/>
      <w:lvlJc w:val="right"/>
      <w:pPr>
        <w:ind w:left="2160" w:hanging="180"/>
      </w:pPr>
      <w:rPr>
        <w:b w:val="0"/>
        <w:color w:val="4472C4" w:themeColor="accent1"/>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0CDB6AA2"/>
    <w:multiLevelType w:val="multilevel"/>
    <w:tmpl w:val="A5427B0A"/>
    <w:lvl w:ilvl="0">
      <w:start w:val="1"/>
      <w:numFmt w:val="decimal"/>
      <w:lvlText w:val="%1)"/>
      <w:lvlJc w:val="left"/>
      <w:pPr>
        <w:tabs>
          <w:tab w:val="num" w:pos="360"/>
        </w:tabs>
        <w:ind w:left="360" w:hanging="360"/>
      </w:pPr>
      <w:rPr>
        <w:rFonts w:hint="default"/>
        <w:lang w:val="es-ES"/>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7732"/>
        </w:tabs>
        <w:ind w:left="7732"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15:restartNumberingAfterBreak="0">
    <w:nsid w:val="0D1F1882"/>
    <w:multiLevelType w:val="hybridMultilevel"/>
    <w:tmpl w:val="0C22D5BA"/>
    <w:lvl w:ilvl="0" w:tplc="1F66F824">
      <w:start w:val="1"/>
      <w:numFmt w:val="decimal"/>
      <w:lvlText w:val="%1."/>
      <w:lvlJc w:val="left"/>
      <w:pPr>
        <w:tabs>
          <w:tab w:val="num" w:pos="1065"/>
        </w:tabs>
        <w:ind w:left="1065" w:hanging="70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15:restartNumberingAfterBreak="0">
    <w:nsid w:val="0D616D15"/>
    <w:multiLevelType w:val="hybridMultilevel"/>
    <w:tmpl w:val="004244F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0DAC4241"/>
    <w:multiLevelType w:val="hybridMultilevel"/>
    <w:tmpl w:val="280A6D7A"/>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15:restartNumberingAfterBreak="0">
    <w:nsid w:val="0DE71558"/>
    <w:multiLevelType w:val="hybridMultilevel"/>
    <w:tmpl w:val="F76C84F0"/>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0E6A2440"/>
    <w:multiLevelType w:val="hybridMultilevel"/>
    <w:tmpl w:val="0D888BF6"/>
    <w:lvl w:ilvl="0" w:tplc="E35E50AE">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0E7B2AB7"/>
    <w:multiLevelType w:val="hybridMultilevel"/>
    <w:tmpl w:val="73BA15AE"/>
    <w:lvl w:ilvl="0" w:tplc="0BA2A442">
      <w:start w:val="1"/>
      <w:numFmt w:val="lowerLetter"/>
      <w:lvlText w:val="%1)"/>
      <w:lvlJc w:val="left"/>
      <w:pPr>
        <w:ind w:left="1800" w:hanging="360"/>
      </w:pPr>
      <w:rPr>
        <w:b w:val="0"/>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48" w15:restartNumberingAfterBreak="0">
    <w:nsid w:val="0EB01918"/>
    <w:multiLevelType w:val="hybridMultilevel"/>
    <w:tmpl w:val="B07AAFC0"/>
    <w:lvl w:ilvl="0" w:tplc="6002A262">
      <w:start w:val="1"/>
      <w:numFmt w:val="lowerLetter"/>
      <w:lvlText w:val="%1."/>
      <w:lvlJc w:val="left"/>
      <w:pPr>
        <w:ind w:left="961" w:hanging="360"/>
      </w:pPr>
      <w:rPr>
        <w:b w:val="0"/>
        <w:color w:val="auto"/>
        <w:u w:val="none"/>
      </w:rPr>
    </w:lvl>
    <w:lvl w:ilvl="1" w:tplc="240A0019" w:tentative="1">
      <w:start w:val="1"/>
      <w:numFmt w:val="lowerLetter"/>
      <w:lvlText w:val="%2."/>
      <w:lvlJc w:val="left"/>
      <w:pPr>
        <w:ind w:left="1681" w:hanging="360"/>
      </w:pPr>
    </w:lvl>
    <w:lvl w:ilvl="2" w:tplc="240A001B" w:tentative="1">
      <w:start w:val="1"/>
      <w:numFmt w:val="lowerRoman"/>
      <w:lvlText w:val="%3."/>
      <w:lvlJc w:val="right"/>
      <w:pPr>
        <w:ind w:left="2401" w:hanging="180"/>
      </w:pPr>
    </w:lvl>
    <w:lvl w:ilvl="3" w:tplc="240A000F" w:tentative="1">
      <w:start w:val="1"/>
      <w:numFmt w:val="decimal"/>
      <w:lvlText w:val="%4."/>
      <w:lvlJc w:val="left"/>
      <w:pPr>
        <w:ind w:left="3121" w:hanging="360"/>
      </w:pPr>
    </w:lvl>
    <w:lvl w:ilvl="4" w:tplc="240A0019" w:tentative="1">
      <w:start w:val="1"/>
      <w:numFmt w:val="lowerLetter"/>
      <w:lvlText w:val="%5."/>
      <w:lvlJc w:val="left"/>
      <w:pPr>
        <w:ind w:left="3841" w:hanging="360"/>
      </w:pPr>
    </w:lvl>
    <w:lvl w:ilvl="5" w:tplc="240A001B" w:tentative="1">
      <w:start w:val="1"/>
      <w:numFmt w:val="lowerRoman"/>
      <w:lvlText w:val="%6."/>
      <w:lvlJc w:val="right"/>
      <w:pPr>
        <w:ind w:left="4561" w:hanging="180"/>
      </w:pPr>
    </w:lvl>
    <w:lvl w:ilvl="6" w:tplc="240A000F" w:tentative="1">
      <w:start w:val="1"/>
      <w:numFmt w:val="decimal"/>
      <w:lvlText w:val="%7."/>
      <w:lvlJc w:val="left"/>
      <w:pPr>
        <w:ind w:left="5281" w:hanging="360"/>
      </w:pPr>
    </w:lvl>
    <w:lvl w:ilvl="7" w:tplc="240A0019" w:tentative="1">
      <w:start w:val="1"/>
      <w:numFmt w:val="lowerLetter"/>
      <w:lvlText w:val="%8."/>
      <w:lvlJc w:val="left"/>
      <w:pPr>
        <w:ind w:left="6001" w:hanging="360"/>
      </w:pPr>
    </w:lvl>
    <w:lvl w:ilvl="8" w:tplc="240A001B" w:tentative="1">
      <w:start w:val="1"/>
      <w:numFmt w:val="lowerRoman"/>
      <w:lvlText w:val="%9."/>
      <w:lvlJc w:val="right"/>
      <w:pPr>
        <w:ind w:left="6721" w:hanging="180"/>
      </w:pPr>
    </w:lvl>
  </w:abstractNum>
  <w:abstractNum w:abstractNumId="49" w15:restartNumberingAfterBreak="0">
    <w:nsid w:val="0EB72B2B"/>
    <w:multiLevelType w:val="hybridMultilevel"/>
    <w:tmpl w:val="CEF2B186"/>
    <w:lvl w:ilvl="0" w:tplc="4848811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0F031803"/>
    <w:multiLevelType w:val="hybridMultilevel"/>
    <w:tmpl w:val="B1605BEC"/>
    <w:lvl w:ilvl="0" w:tplc="F30CAFA6">
      <w:start w:val="1"/>
      <w:numFmt w:val="lowerLetter"/>
      <w:lvlText w:val="%1."/>
      <w:lvlJc w:val="left"/>
      <w:pPr>
        <w:ind w:left="1004" w:hanging="360"/>
      </w:pPr>
      <w:rPr>
        <w:b w:val="0"/>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51" w15:restartNumberingAfterBreak="0">
    <w:nsid w:val="0F3E6FB4"/>
    <w:multiLevelType w:val="multilevel"/>
    <w:tmpl w:val="B51693CE"/>
    <w:lvl w:ilvl="0">
      <w:start w:val="1"/>
      <w:numFmt w:val="decimal"/>
      <w:lvlText w:val="%1."/>
      <w:lvlJc w:val="left"/>
      <w:pPr>
        <w:tabs>
          <w:tab w:val="num" w:pos="360"/>
        </w:tabs>
        <w:ind w:left="360" w:hanging="360"/>
      </w:pPr>
      <w:rPr>
        <w:b w:val="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7."/>
      <w:lvlJc w:val="left"/>
      <w:pPr>
        <w:tabs>
          <w:tab w:val="num" w:pos="3600"/>
        </w:tabs>
        <w:ind w:left="3240" w:hanging="1080"/>
      </w:pPr>
      <w:rPr>
        <w:rFonts w:ascii="Arial Narrow" w:eastAsia="Times New Roman" w:hAnsi="Arial Narrow" w:cs="Arial" w:hint="default"/>
        <w:b w:val="0"/>
      </w:r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2" w15:restartNumberingAfterBreak="0">
    <w:nsid w:val="103614E7"/>
    <w:multiLevelType w:val="hybridMultilevel"/>
    <w:tmpl w:val="B5C60B14"/>
    <w:lvl w:ilvl="0" w:tplc="48B0126E">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12823F6C"/>
    <w:multiLevelType w:val="hybridMultilevel"/>
    <w:tmpl w:val="C60A0278"/>
    <w:lvl w:ilvl="0" w:tplc="FC3C121A">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12B26636"/>
    <w:multiLevelType w:val="hybridMultilevel"/>
    <w:tmpl w:val="FDC4E51A"/>
    <w:lvl w:ilvl="0" w:tplc="BF8CEAA0">
      <w:start w:val="1"/>
      <w:numFmt w:val="decimal"/>
      <w:lvlText w:val="%1."/>
      <w:lvlJc w:val="left"/>
      <w:pPr>
        <w:tabs>
          <w:tab w:val="num" w:pos="720"/>
        </w:tabs>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12C83DCE"/>
    <w:multiLevelType w:val="hybridMultilevel"/>
    <w:tmpl w:val="C696E544"/>
    <w:lvl w:ilvl="0" w:tplc="E7A09518">
      <w:start w:val="1"/>
      <w:numFmt w:val="decimal"/>
      <w:lvlText w:val="%1."/>
      <w:lvlJc w:val="left"/>
      <w:pPr>
        <w:tabs>
          <w:tab w:val="num" w:pos="1065"/>
        </w:tabs>
        <w:ind w:left="1065" w:hanging="70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15:restartNumberingAfterBreak="0">
    <w:nsid w:val="139F5F5E"/>
    <w:multiLevelType w:val="hybridMultilevel"/>
    <w:tmpl w:val="44D0767A"/>
    <w:lvl w:ilvl="0" w:tplc="0C0A000F">
      <w:start w:val="1"/>
      <w:numFmt w:val="decimal"/>
      <w:lvlText w:val="%1."/>
      <w:lvlJc w:val="left"/>
      <w:pPr>
        <w:tabs>
          <w:tab w:val="num" w:pos="708"/>
        </w:tabs>
        <w:ind w:left="708" w:hanging="360"/>
      </w:pPr>
    </w:lvl>
    <w:lvl w:ilvl="1" w:tplc="0C0A0019" w:tentative="1">
      <w:start w:val="1"/>
      <w:numFmt w:val="lowerLetter"/>
      <w:lvlText w:val="%2."/>
      <w:lvlJc w:val="left"/>
      <w:pPr>
        <w:tabs>
          <w:tab w:val="num" w:pos="1428"/>
        </w:tabs>
        <w:ind w:left="1428" w:hanging="360"/>
      </w:pPr>
    </w:lvl>
    <w:lvl w:ilvl="2" w:tplc="0C0A001B" w:tentative="1">
      <w:start w:val="1"/>
      <w:numFmt w:val="lowerRoman"/>
      <w:lvlText w:val="%3."/>
      <w:lvlJc w:val="right"/>
      <w:pPr>
        <w:tabs>
          <w:tab w:val="num" w:pos="2148"/>
        </w:tabs>
        <w:ind w:left="2148" w:hanging="180"/>
      </w:pPr>
    </w:lvl>
    <w:lvl w:ilvl="3" w:tplc="0C0A000F" w:tentative="1">
      <w:start w:val="1"/>
      <w:numFmt w:val="decimal"/>
      <w:lvlText w:val="%4."/>
      <w:lvlJc w:val="left"/>
      <w:pPr>
        <w:tabs>
          <w:tab w:val="num" w:pos="2868"/>
        </w:tabs>
        <w:ind w:left="2868" w:hanging="360"/>
      </w:pPr>
    </w:lvl>
    <w:lvl w:ilvl="4" w:tplc="0C0A0019" w:tentative="1">
      <w:start w:val="1"/>
      <w:numFmt w:val="lowerLetter"/>
      <w:lvlText w:val="%5."/>
      <w:lvlJc w:val="left"/>
      <w:pPr>
        <w:tabs>
          <w:tab w:val="num" w:pos="3588"/>
        </w:tabs>
        <w:ind w:left="3588" w:hanging="360"/>
      </w:pPr>
    </w:lvl>
    <w:lvl w:ilvl="5" w:tplc="0C0A001B" w:tentative="1">
      <w:start w:val="1"/>
      <w:numFmt w:val="lowerRoman"/>
      <w:lvlText w:val="%6."/>
      <w:lvlJc w:val="right"/>
      <w:pPr>
        <w:tabs>
          <w:tab w:val="num" w:pos="4308"/>
        </w:tabs>
        <w:ind w:left="4308" w:hanging="180"/>
      </w:pPr>
    </w:lvl>
    <w:lvl w:ilvl="6" w:tplc="0C0A000F" w:tentative="1">
      <w:start w:val="1"/>
      <w:numFmt w:val="decimal"/>
      <w:lvlText w:val="%7."/>
      <w:lvlJc w:val="left"/>
      <w:pPr>
        <w:tabs>
          <w:tab w:val="num" w:pos="5028"/>
        </w:tabs>
        <w:ind w:left="5028" w:hanging="360"/>
      </w:pPr>
    </w:lvl>
    <w:lvl w:ilvl="7" w:tplc="0C0A0019" w:tentative="1">
      <w:start w:val="1"/>
      <w:numFmt w:val="lowerLetter"/>
      <w:lvlText w:val="%8."/>
      <w:lvlJc w:val="left"/>
      <w:pPr>
        <w:tabs>
          <w:tab w:val="num" w:pos="5748"/>
        </w:tabs>
        <w:ind w:left="5748" w:hanging="360"/>
      </w:pPr>
    </w:lvl>
    <w:lvl w:ilvl="8" w:tplc="0C0A001B" w:tentative="1">
      <w:start w:val="1"/>
      <w:numFmt w:val="lowerRoman"/>
      <w:lvlText w:val="%9."/>
      <w:lvlJc w:val="right"/>
      <w:pPr>
        <w:tabs>
          <w:tab w:val="num" w:pos="6468"/>
        </w:tabs>
        <w:ind w:left="6468" w:hanging="180"/>
      </w:pPr>
    </w:lvl>
  </w:abstractNum>
  <w:abstractNum w:abstractNumId="57" w15:restartNumberingAfterBreak="0">
    <w:nsid w:val="13AE244C"/>
    <w:multiLevelType w:val="hybridMultilevel"/>
    <w:tmpl w:val="A3CA303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8" w15:restartNumberingAfterBreak="0">
    <w:nsid w:val="13B4060E"/>
    <w:multiLevelType w:val="hybridMultilevel"/>
    <w:tmpl w:val="CD2EDC0C"/>
    <w:lvl w:ilvl="0" w:tplc="21482116">
      <w:start w:val="1"/>
      <w:numFmt w:val="decimal"/>
      <w:lvlText w:val="%1."/>
      <w:lvlJc w:val="left"/>
      <w:pPr>
        <w:tabs>
          <w:tab w:val="num" w:pos="705"/>
        </w:tabs>
        <w:ind w:left="705" w:hanging="705"/>
      </w:pPr>
      <w:rPr>
        <w:rFonts w:hint="default"/>
        <w:b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9" w15:restartNumberingAfterBreak="0">
    <w:nsid w:val="145A69D8"/>
    <w:multiLevelType w:val="hybridMultilevel"/>
    <w:tmpl w:val="44D0767A"/>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0" w15:restartNumberingAfterBreak="0">
    <w:nsid w:val="14897B32"/>
    <w:multiLevelType w:val="hybridMultilevel"/>
    <w:tmpl w:val="E0A80B5C"/>
    <w:lvl w:ilvl="0" w:tplc="B9B87E38">
      <w:start w:val="1"/>
      <w:numFmt w:val="decimal"/>
      <w:lvlText w:val="%1."/>
      <w:lvlJc w:val="left"/>
      <w:pPr>
        <w:tabs>
          <w:tab w:val="num" w:pos="1065"/>
        </w:tabs>
        <w:ind w:left="1065" w:hanging="705"/>
      </w:pPr>
      <w:rPr>
        <w:rFonts w:hint="default"/>
        <w:b w:val="0"/>
      </w:rPr>
    </w:lvl>
    <w:lvl w:ilvl="1" w:tplc="240A0017">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1" w15:restartNumberingAfterBreak="0">
    <w:nsid w:val="14A53DEB"/>
    <w:multiLevelType w:val="hybridMultilevel"/>
    <w:tmpl w:val="4C663F9C"/>
    <w:lvl w:ilvl="0" w:tplc="9E7214C4">
      <w:start w:val="1"/>
      <w:numFmt w:val="decimal"/>
      <w:lvlText w:val="%1."/>
      <w:lvlJc w:val="left"/>
      <w:pPr>
        <w:ind w:left="360" w:hanging="360"/>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2" w15:restartNumberingAfterBreak="0">
    <w:nsid w:val="151A49C1"/>
    <w:multiLevelType w:val="hybridMultilevel"/>
    <w:tmpl w:val="C97C34BA"/>
    <w:lvl w:ilvl="0" w:tplc="EE862834">
      <w:start w:val="1"/>
      <w:numFmt w:val="lowerRoman"/>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15:restartNumberingAfterBreak="0">
    <w:nsid w:val="152B4404"/>
    <w:multiLevelType w:val="hybridMultilevel"/>
    <w:tmpl w:val="346A0E88"/>
    <w:lvl w:ilvl="0" w:tplc="BEBCB856">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156E52CC"/>
    <w:multiLevelType w:val="hybridMultilevel"/>
    <w:tmpl w:val="1A06ABBA"/>
    <w:lvl w:ilvl="0" w:tplc="B9B87E38">
      <w:start w:val="1"/>
      <w:numFmt w:val="decimal"/>
      <w:lvlText w:val="%1."/>
      <w:lvlJc w:val="left"/>
      <w:pPr>
        <w:tabs>
          <w:tab w:val="num" w:pos="1065"/>
        </w:tabs>
        <w:ind w:left="1065" w:hanging="705"/>
      </w:pPr>
      <w:rPr>
        <w:rFonts w:hint="default"/>
        <w:b w:val="0"/>
      </w:rPr>
    </w:lvl>
    <w:lvl w:ilvl="1" w:tplc="240A0017">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15:restartNumberingAfterBreak="0">
    <w:nsid w:val="16267685"/>
    <w:multiLevelType w:val="hybridMultilevel"/>
    <w:tmpl w:val="2D80D5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6" w15:restartNumberingAfterBreak="0">
    <w:nsid w:val="16463BDF"/>
    <w:multiLevelType w:val="hybridMultilevel"/>
    <w:tmpl w:val="5B486E42"/>
    <w:lvl w:ilvl="0" w:tplc="17BA7C6E">
      <w:start w:val="1"/>
      <w:numFmt w:val="lowerLetter"/>
      <w:lvlText w:val="%1."/>
      <w:lvlJc w:val="left"/>
      <w:pPr>
        <w:ind w:left="360" w:hanging="360"/>
      </w:pPr>
      <w:rPr>
        <w:rFonts w:cs="Arial Narrow"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7" w15:restartNumberingAfterBreak="0">
    <w:nsid w:val="166B2BDF"/>
    <w:multiLevelType w:val="hybridMultilevel"/>
    <w:tmpl w:val="A3CA303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8" w15:restartNumberingAfterBreak="0">
    <w:nsid w:val="16D806D6"/>
    <w:multiLevelType w:val="hybridMultilevel"/>
    <w:tmpl w:val="493E36D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9" w15:restartNumberingAfterBreak="0">
    <w:nsid w:val="16F8609B"/>
    <w:multiLevelType w:val="hybridMultilevel"/>
    <w:tmpl w:val="FEAA54F8"/>
    <w:lvl w:ilvl="0" w:tplc="9D9C0434">
      <w:start w:val="1"/>
      <w:numFmt w:val="lowerRoman"/>
      <w:lvlText w:val="%1."/>
      <w:lvlJc w:val="left"/>
      <w:pPr>
        <w:ind w:left="1440" w:hanging="720"/>
      </w:pPr>
      <w:rPr>
        <w:rFonts w:cs="Arial" w:hint="default"/>
        <w:color w:val="000000"/>
      </w:rPr>
    </w:lvl>
    <w:lvl w:ilvl="1" w:tplc="240A001B">
      <w:start w:val="1"/>
      <w:numFmt w:val="lowerRoman"/>
      <w:lvlText w:val="%2."/>
      <w:lvlJc w:val="righ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0" w15:restartNumberingAfterBreak="0">
    <w:nsid w:val="17432BF0"/>
    <w:multiLevelType w:val="multilevel"/>
    <w:tmpl w:val="1254979A"/>
    <w:lvl w:ilvl="0">
      <w:start w:val="2"/>
      <w:numFmt w:val="decimal"/>
      <w:lvlText w:val="%1."/>
      <w:lvlJc w:val="righ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b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15:restartNumberingAfterBreak="0">
    <w:nsid w:val="179C03A9"/>
    <w:multiLevelType w:val="hybridMultilevel"/>
    <w:tmpl w:val="AFBEBCD0"/>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2" w15:restartNumberingAfterBreak="0">
    <w:nsid w:val="17D326CA"/>
    <w:multiLevelType w:val="hybridMultilevel"/>
    <w:tmpl w:val="4C7EE20E"/>
    <w:lvl w:ilvl="0" w:tplc="240A001B">
      <w:start w:val="1"/>
      <w:numFmt w:val="lowerRoman"/>
      <w:lvlText w:val="%1."/>
      <w:lvlJc w:val="right"/>
      <w:pPr>
        <w:ind w:left="720" w:hanging="360"/>
      </w:pPr>
    </w:lvl>
    <w:lvl w:ilvl="1" w:tplc="E3F611EA">
      <w:start w:val="1"/>
      <w:numFmt w:val="lowerRoman"/>
      <w:lvlText w:val="%2."/>
      <w:lvlJc w:val="left"/>
      <w:pPr>
        <w:ind w:left="1440" w:hanging="360"/>
      </w:pPr>
      <w:rPr>
        <w:rFonts w:hint="default"/>
      </w:rPr>
    </w:lvl>
    <w:lvl w:ilvl="2" w:tplc="240A001B">
      <w:start w:val="1"/>
      <w:numFmt w:val="lowerRoman"/>
      <w:lvlText w:val="%3."/>
      <w:lvlJc w:val="right"/>
      <w:pPr>
        <w:ind w:left="2160" w:hanging="180"/>
      </w:pPr>
    </w:lvl>
    <w:lvl w:ilvl="3" w:tplc="99888D46">
      <w:start w:val="1"/>
      <w:numFmt w:val="decimal"/>
      <w:lvlText w:val="%4."/>
      <w:lvlJc w:val="left"/>
      <w:pPr>
        <w:ind w:left="2880" w:hanging="360"/>
      </w:pPr>
      <w:rPr>
        <w:rFonts w:hint="default"/>
      </w:rPr>
    </w:lvl>
    <w:lvl w:ilvl="4" w:tplc="C380996A">
      <w:start w:val="1"/>
      <w:numFmt w:val="lowerLetter"/>
      <w:lvlText w:val="%5)"/>
      <w:lvlJc w:val="left"/>
      <w:pPr>
        <w:ind w:left="3600" w:hanging="360"/>
      </w:pPr>
      <w:rPr>
        <w:rFonts w:hint="default"/>
      </w:r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3" w15:restartNumberingAfterBreak="0">
    <w:nsid w:val="17E26710"/>
    <w:multiLevelType w:val="hybridMultilevel"/>
    <w:tmpl w:val="2A821668"/>
    <w:lvl w:ilvl="0" w:tplc="6EC2A0EC">
      <w:start w:val="1"/>
      <w:numFmt w:val="upperLetter"/>
      <w:lvlText w:val="%1."/>
      <w:lvlJc w:val="left"/>
      <w:pPr>
        <w:ind w:left="23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4" w15:restartNumberingAfterBreak="0">
    <w:nsid w:val="184E0DA0"/>
    <w:multiLevelType w:val="hybridMultilevel"/>
    <w:tmpl w:val="10B4111A"/>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75" w15:restartNumberingAfterBreak="0">
    <w:nsid w:val="194943A6"/>
    <w:multiLevelType w:val="hybridMultilevel"/>
    <w:tmpl w:val="A12A5FB0"/>
    <w:lvl w:ilvl="0" w:tplc="240A000F">
      <w:start w:val="1"/>
      <w:numFmt w:val="decimal"/>
      <w:lvlText w:val="%1."/>
      <w:lvlJc w:val="left"/>
      <w:pPr>
        <w:ind w:left="720" w:hanging="360"/>
      </w:pPr>
      <w:rPr>
        <w:rFonts w:hint="default"/>
      </w:rPr>
    </w:lvl>
    <w:lvl w:ilvl="1" w:tplc="47B67FDA">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6" w15:restartNumberingAfterBreak="0">
    <w:nsid w:val="19771E94"/>
    <w:multiLevelType w:val="hybridMultilevel"/>
    <w:tmpl w:val="25B6223E"/>
    <w:lvl w:ilvl="0" w:tplc="218A2924">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7" w15:restartNumberingAfterBreak="0">
    <w:nsid w:val="19C841E0"/>
    <w:multiLevelType w:val="hybridMultilevel"/>
    <w:tmpl w:val="C7F212E4"/>
    <w:lvl w:ilvl="0" w:tplc="F7E83018">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8" w15:restartNumberingAfterBreak="0">
    <w:nsid w:val="1A461ACB"/>
    <w:multiLevelType w:val="hybridMultilevel"/>
    <w:tmpl w:val="DBB8CBC4"/>
    <w:lvl w:ilvl="0" w:tplc="9DA2BC48">
      <w:start w:val="1"/>
      <w:numFmt w:val="decimal"/>
      <w:lvlText w:val="%1."/>
      <w:lvlJc w:val="left"/>
      <w:pPr>
        <w:ind w:left="1065" w:hanging="360"/>
      </w:pPr>
      <w:rPr>
        <w:rFonts w:ascii="Arial Narrow" w:hAnsi="Arial Narrow" w:hint="default"/>
        <w:b w:val="0"/>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9" w15:restartNumberingAfterBreak="0">
    <w:nsid w:val="1A6269F8"/>
    <w:multiLevelType w:val="hybridMultilevel"/>
    <w:tmpl w:val="169A6C70"/>
    <w:lvl w:ilvl="0" w:tplc="240A0019">
      <w:start w:val="1"/>
      <w:numFmt w:val="lowerLetter"/>
      <w:lvlText w:val="%1."/>
      <w:lvlJc w:val="left"/>
      <w:pPr>
        <w:ind w:left="709" w:hanging="360"/>
      </w:pPr>
    </w:lvl>
    <w:lvl w:ilvl="1" w:tplc="240A0019" w:tentative="1">
      <w:start w:val="1"/>
      <w:numFmt w:val="lowerLetter"/>
      <w:lvlText w:val="%2."/>
      <w:lvlJc w:val="left"/>
      <w:pPr>
        <w:ind w:left="1429" w:hanging="360"/>
      </w:pPr>
    </w:lvl>
    <w:lvl w:ilvl="2" w:tplc="240A001B" w:tentative="1">
      <w:start w:val="1"/>
      <w:numFmt w:val="lowerRoman"/>
      <w:lvlText w:val="%3."/>
      <w:lvlJc w:val="right"/>
      <w:pPr>
        <w:ind w:left="2149" w:hanging="180"/>
      </w:pPr>
    </w:lvl>
    <w:lvl w:ilvl="3" w:tplc="240A000F" w:tentative="1">
      <w:start w:val="1"/>
      <w:numFmt w:val="decimal"/>
      <w:lvlText w:val="%4."/>
      <w:lvlJc w:val="left"/>
      <w:pPr>
        <w:ind w:left="2869" w:hanging="360"/>
      </w:pPr>
    </w:lvl>
    <w:lvl w:ilvl="4" w:tplc="240A0019" w:tentative="1">
      <w:start w:val="1"/>
      <w:numFmt w:val="lowerLetter"/>
      <w:lvlText w:val="%5."/>
      <w:lvlJc w:val="left"/>
      <w:pPr>
        <w:ind w:left="3589" w:hanging="360"/>
      </w:pPr>
    </w:lvl>
    <w:lvl w:ilvl="5" w:tplc="240A001B" w:tentative="1">
      <w:start w:val="1"/>
      <w:numFmt w:val="lowerRoman"/>
      <w:lvlText w:val="%6."/>
      <w:lvlJc w:val="right"/>
      <w:pPr>
        <w:ind w:left="4309" w:hanging="180"/>
      </w:pPr>
    </w:lvl>
    <w:lvl w:ilvl="6" w:tplc="240A000F" w:tentative="1">
      <w:start w:val="1"/>
      <w:numFmt w:val="decimal"/>
      <w:lvlText w:val="%7."/>
      <w:lvlJc w:val="left"/>
      <w:pPr>
        <w:ind w:left="5029" w:hanging="360"/>
      </w:pPr>
    </w:lvl>
    <w:lvl w:ilvl="7" w:tplc="240A0019" w:tentative="1">
      <w:start w:val="1"/>
      <w:numFmt w:val="lowerLetter"/>
      <w:lvlText w:val="%8."/>
      <w:lvlJc w:val="left"/>
      <w:pPr>
        <w:ind w:left="5749" w:hanging="360"/>
      </w:pPr>
    </w:lvl>
    <w:lvl w:ilvl="8" w:tplc="240A001B" w:tentative="1">
      <w:start w:val="1"/>
      <w:numFmt w:val="lowerRoman"/>
      <w:lvlText w:val="%9."/>
      <w:lvlJc w:val="right"/>
      <w:pPr>
        <w:ind w:left="6469" w:hanging="180"/>
      </w:pPr>
    </w:lvl>
  </w:abstractNum>
  <w:abstractNum w:abstractNumId="80" w15:restartNumberingAfterBreak="0">
    <w:nsid w:val="1ACC3D44"/>
    <w:multiLevelType w:val="hybridMultilevel"/>
    <w:tmpl w:val="B3986DA8"/>
    <w:lvl w:ilvl="0" w:tplc="E8CC65FE">
      <w:start w:val="1"/>
      <w:numFmt w:val="decimal"/>
      <w:lvlText w:val="%1."/>
      <w:lvlJc w:val="left"/>
      <w:pPr>
        <w:tabs>
          <w:tab w:val="num" w:pos="360"/>
        </w:tabs>
        <w:ind w:left="360" w:hanging="360"/>
      </w:pPr>
      <w:rPr>
        <w:rFonts w:hint="default"/>
      </w:rPr>
    </w:lvl>
    <w:lvl w:ilvl="1" w:tplc="240A0019">
      <w:start w:val="1"/>
      <w:numFmt w:val="lowerLetter"/>
      <w:lvlText w:val="%2."/>
      <w:lvlJc w:val="left"/>
      <w:pPr>
        <w:ind w:left="-540" w:hanging="360"/>
      </w:pPr>
    </w:lvl>
    <w:lvl w:ilvl="2" w:tplc="240A001B">
      <w:start w:val="1"/>
      <w:numFmt w:val="lowerRoman"/>
      <w:lvlText w:val="%3."/>
      <w:lvlJc w:val="right"/>
      <w:pPr>
        <w:ind w:left="180" w:hanging="180"/>
      </w:pPr>
    </w:lvl>
    <w:lvl w:ilvl="3" w:tplc="240A001B">
      <w:start w:val="1"/>
      <w:numFmt w:val="lowerRoman"/>
      <w:lvlText w:val="%4."/>
      <w:lvlJc w:val="right"/>
      <w:pPr>
        <w:ind w:left="900" w:hanging="360"/>
      </w:pPr>
    </w:lvl>
    <w:lvl w:ilvl="4" w:tplc="240A0019" w:tentative="1">
      <w:start w:val="1"/>
      <w:numFmt w:val="lowerLetter"/>
      <w:lvlText w:val="%5."/>
      <w:lvlJc w:val="left"/>
      <w:pPr>
        <w:ind w:left="1620" w:hanging="360"/>
      </w:pPr>
    </w:lvl>
    <w:lvl w:ilvl="5" w:tplc="240A001B" w:tentative="1">
      <w:start w:val="1"/>
      <w:numFmt w:val="lowerRoman"/>
      <w:lvlText w:val="%6."/>
      <w:lvlJc w:val="right"/>
      <w:pPr>
        <w:ind w:left="2340" w:hanging="180"/>
      </w:pPr>
    </w:lvl>
    <w:lvl w:ilvl="6" w:tplc="240A000F" w:tentative="1">
      <w:start w:val="1"/>
      <w:numFmt w:val="decimal"/>
      <w:lvlText w:val="%7."/>
      <w:lvlJc w:val="left"/>
      <w:pPr>
        <w:ind w:left="3060" w:hanging="360"/>
      </w:pPr>
    </w:lvl>
    <w:lvl w:ilvl="7" w:tplc="240A0019" w:tentative="1">
      <w:start w:val="1"/>
      <w:numFmt w:val="lowerLetter"/>
      <w:lvlText w:val="%8."/>
      <w:lvlJc w:val="left"/>
      <w:pPr>
        <w:ind w:left="3780" w:hanging="360"/>
      </w:pPr>
    </w:lvl>
    <w:lvl w:ilvl="8" w:tplc="240A001B" w:tentative="1">
      <w:start w:val="1"/>
      <w:numFmt w:val="lowerRoman"/>
      <w:lvlText w:val="%9."/>
      <w:lvlJc w:val="right"/>
      <w:pPr>
        <w:ind w:left="4500" w:hanging="180"/>
      </w:pPr>
    </w:lvl>
  </w:abstractNum>
  <w:abstractNum w:abstractNumId="81" w15:restartNumberingAfterBreak="0">
    <w:nsid w:val="1AE61D69"/>
    <w:multiLevelType w:val="hybridMultilevel"/>
    <w:tmpl w:val="9286C6DA"/>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C0CC0CA6">
      <w:start w:val="1"/>
      <w:numFmt w:val="decimal"/>
      <w:lvlText w:val="%3."/>
      <w:lvlJc w:val="left"/>
      <w:pPr>
        <w:ind w:left="2340" w:hanging="360"/>
      </w:pPr>
      <w:rPr>
        <w:rFonts w:hint="default"/>
        <w:sz w:val="22"/>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2" w15:restartNumberingAfterBreak="0">
    <w:nsid w:val="1B6D681C"/>
    <w:multiLevelType w:val="multilevel"/>
    <w:tmpl w:val="D39EF410"/>
    <w:lvl w:ilvl="0">
      <w:start w:val="2"/>
      <w:numFmt w:val="decimal"/>
      <w:lvlText w:val="%1."/>
      <w:lvlJc w:val="right"/>
      <w:pPr>
        <w:ind w:left="720" w:hanging="360"/>
      </w:pPr>
      <w:rPr>
        <w:rFonts w:hint="default"/>
        <w:b w:val="0"/>
      </w:rPr>
    </w:lvl>
    <w:lvl w:ilvl="1">
      <w:start w:val="1"/>
      <w:numFmt w:val="lowerLetter"/>
      <w:lvlText w:val="%2."/>
      <w:lvlJc w:val="left"/>
      <w:pPr>
        <w:ind w:left="1440" w:hanging="360"/>
      </w:pPr>
      <w:rPr>
        <w:rFonts w:hint="default"/>
        <w:b w:val="0"/>
      </w:rPr>
    </w:lvl>
    <w:lvl w:ilvl="2">
      <w:start w:val="1"/>
      <w:numFmt w:val="lowerRoman"/>
      <w:lvlText w:val="%3."/>
      <w:lvlJc w:val="right"/>
      <w:pPr>
        <w:ind w:left="1882" w:hanging="180"/>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b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val="0"/>
        <w:spacing w:val="-24"/>
        <w:w w:val="100"/>
        <w:sz w:val="24"/>
        <w:szCs w:val="24"/>
        <w:lang w:val="es-ES" w:eastAsia="es-ES" w:bidi="es-ES"/>
      </w:rPr>
    </w:lvl>
    <w:lvl w:ilvl="7">
      <w:start w:val="1"/>
      <w:numFmt w:val="lowerLetter"/>
      <w:lvlText w:val="%8."/>
      <w:lvlJc w:val="left"/>
      <w:pPr>
        <w:ind w:left="5760" w:hanging="360"/>
      </w:pPr>
      <w:rPr>
        <w:rFonts w:hint="default"/>
        <w:b w:val="0"/>
      </w:rPr>
    </w:lvl>
    <w:lvl w:ilvl="8">
      <w:start w:val="1"/>
      <w:numFmt w:val="lowerRoman"/>
      <w:lvlText w:val="%9."/>
      <w:lvlJc w:val="right"/>
      <w:pPr>
        <w:ind w:left="6480" w:hanging="180"/>
      </w:pPr>
      <w:rPr>
        <w:rFonts w:hint="default"/>
      </w:rPr>
    </w:lvl>
  </w:abstractNum>
  <w:abstractNum w:abstractNumId="83" w15:restartNumberingAfterBreak="0">
    <w:nsid w:val="1B956A80"/>
    <w:multiLevelType w:val="hybridMultilevel"/>
    <w:tmpl w:val="ADBECB1A"/>
    <w:lvl w:ilvl="0" w:tplc="3DD8DC06">
      <w:start w:val="1"/>
      <w:numFmt w:val="decimal"/>
      <w:lvlText w:val="%1."/>
      <w:lvlJc w:val="left"/>
      <w:pPr>
        <w:ind w:left="36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1BE60D94"/>
    <w:multiLevelType w:val="hybridMultilevel"/>
    <w:tmpl w:val="F36E81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5" w15:restartNumberingAfterBreak="0">
    <w:nsid w:val="1C0B7EE3"/>
    <w:multiLevelType w:val="hybridMultilevel"/>
    <w:tmpl w:val="C7F212E4"/>
    <w:lvl w:ilvl="0" w:tplc="F7E83018">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6" w15:restartNumberingAfterBreak="0">
    <w:nsid w:val="1C743854"/>
    <w:multiLevelType w:val="hybridMultilevel"/>
    <w:tmpl w:val="0F30FF26"/>
    <w:lvl w:ilvl="0" w:tplc="0B868D38">
      <w:start w:val="2"/>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15:restartNumberingAfterBreak="0">
    <w:nsid w:val="1D5458B0"/>
    <w:multiLevelType w:val="hybridMultilevel"/>
    <w:tmpl w:val="63563814"/>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8" w15:restartNumberingAfterBreak="0">
    <w:nsid w:val="1DCC4B42"/>
    <w:multiLevelType w:val="hybridMultilevel"/>
    <w:tmpl w:val="AFBEBCD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9" w15:restartNumberingAfterBreak="0">
    <w:nsid w:val="1E140C85"/>
    <w:multiLevelType w:val="hybridMultilevel"/>
    <w:tmpl w:val="1D4ADF4A"/>
    <w:lvl w:ilvl="0" w:tplc="FD94D0EE">
      <w:start w:val="1"/>
      <w:numFmt w:val="bullet"/>
      <w:pStyle w:val="Bullet-BodyText"/>
      <w:lvlText w:val="-"/>
      <w:lvlJc w:val="left"/>
      <w:pPr>
        <w:ind w:left="720" w:hanging="360"/>
      </w:pPr>
      <w:rPr>
        <w:rFonts w:ascii="Calibri" w:hAnsi="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0" w15:restartNumberingAfterBreak="0">
    <w:nsid w:val="1E170A83"/>
    <w:multiLevelType w:val="hybridMultilevel"/>
    <w:tmpl w:val="ABBE05D4"/>
    <w:lvl w:ilvl="0" w:tplc="F2822D48">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1" w15:restartNumberingAfterBreak="0">
    <w:nsid w:val="1E3628B4"/>
    <w:multiLevelType w:val="hybridMultilevel"/>
    <w:tmpl w:val="870E9524"/>
    <w:lvl w:ilvl="0" w:tplc="0409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92" w15:restartNumberingAfterBreak="0">
    <w:nsid w:val="1E45063F"/>
    <w:multiLevelType w:val="hybridMultilevel"/>
    <w:tmpl w:val="4D647C8E"/>
    <w:lvl w:ilvl="0" w:tplc="E8DE0E6A">
      <w:start w:val="1"/>
      <w:numFmt w:val="lowerLetter"/>
      <w:lvlText w:val="%1."/>
      <w:lvlJc w:val="left"/>
      <w:pPr>
        <w:ind w:left="1065" w:hanging="360"/>
      </w:pPr>
      <w:rPr>
        <w:rFonts w:hint="default"/>
        <w:b w:val="0"/>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3" w15:restartNumberingAfterBreak="0">
    <w:nsid w:val="1E5C639A"/>
    <w:multiLevelType w:val="hybridMultilevel"/>
    <w:tmpl w:val="164E214E"/>
    <w:lvl w:ilvl="0" w:tplc="FBB611CE">
      <w:start w:val="1"/>
      <w:numFmt w:val="bullet"/>
      <w:lvlText w:val=""/>
      <w:lvlJc w:val="left"/>
      <w:pPr>
        <w:ind w:left="720" w:hanging="360"/>
      </w:pPr>
      <w:rPr>
        <w:rFonts w:ascii="Symbol" w:hAnsi="Symbol" w:hint="default"/>
        <w:lang w:val="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15:restartNumberingAfterBreak="0">
    <w:nsid w:val="1E640A56"/>
    <w:multiLevelType w:val="hybridMultilevel"/>
    <w:tmpl w:val="5BC880D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1EA95DAF"/>
    <w:multiLevelType w:val="hybridMultilevel"/>
    <w:tmpl w:val="AE5465F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6" w15:restartNumberingAfterBreak="0">
    <w:nsid w:val="1F471123"/>
    <w:multiLevelType w:val="hybridMultilevel"/>
    <w:tmpl w:val="2222E114"/>
    <w:lvl w:ilvl="0" w:tplc="5DE47ADC">
      <w:start w:val="1"/>
      <w:numFmt w:val="lowerLetter"/>
      <w:lvlText w:val="%1."/>
      <w:lvlJc w:val="left"/>
      <w:pPr>
        <w:ind w:left="1428" w:hanging="360"/>
      </w:pPr>
      <w:rPr>
        <w:b w:val="0"/>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97" w15:restartNumberingAfterBreak="0">
    <w:nsid w:val="1FA41E6F"/>
    <w:multiLevelType w:val="multilevel"/>
    <w:tmpl w:val="9EB050F6"/>
    <w:lvl w:ilvl="0">
      <w:start w:val="2"/>
      <w:numFmt w:val="decimal"/>
      <w:lvlText w:val="%1."/>
      <w:lvlJc w:val="right"/>
      <w:pPr>
        <w:ind w:left="720" w:hanging="360"/>
      </w:pPr>
      <w:rPr>
        <w:rFonts w:hint="default"/>
        <w:b w:val="0"/>
      </w:rPr>
    </w:lvl>
    <w:lvl w:ilvl="1">
      <w:start w:val="3"/>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b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8" w15:restartNumberingAfterBreak="0">
    <w:nsid w:val="201747A0"/>
    <w:multiLevelType w:val="hybridMultilevel"/>
    <w:tmpl w:val="D840C83E"/>
    <w:lvl w:ilvl="0" w:tplc="64BA8B16">
      <w:start w:val="1"/>
      <w:numFmt w:val="decimal"/>
      <w:lvlText w:val="%1."/>
      <w:lvlJc w:val="left"/>
      <w:pPr>
        <w:tabs>
          <w:tab w:val="num" w:pos="1065"/>
        </w:tabs>
        <w:ind w:left="1065" w:hanging="70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9" w15:restartNumberingAfterBreak="0">
    <w:nsid w:val="20FD3DDF"/>
    <w:multiLevelType w:val="hybridMultilevel"/>
    <w:tmpl w:val="44D0767A"/>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0" w15:restartNumberingAfterBreak="0">
    <w:nsid w:val="213C3F36"/>
    <w:multiLevelType w:val="hybridMultilevel"/>
    <w:tmpl w:val="2B2EDDB0"/>
    <w:lvl w:ilvl="0" w:tplc="240A0019">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1" w15:restartNumberingAfterBreak="0">
    <w:nsid w:val="21487B0E"/>
    <w:multiLevelType w:val="hybridMultilevel"/>
    <w:tmpl w:val="7B168C22"/>
    <w:lvl w:ilvl="0" w:tplc="17BA7C6E">
      <w:start w:val="1"/>
      <w:numFmt w:val="lowerLetter"/>
      <w:lvlText w:val="%1."/>
      <w:lvlJc w:val="left"/>
      <w:pPr>
        <w:ind w:left="1061" w:hanging="360"/>
      </w:pPr>
      <w:rPr>
        <w:rFonts w:cs="Arial Narrow" w:hint="default"/>
        <w:b w:val="0"/>
        <w:color w:val="auto"/>
      </w:rPr>
    </w:lvl>
    <w:lvl w:ilvl="1" w:tplc="240A0003" w:tentative="1">
      <w:start w:val="1"/>
      <w:numFmt w:val="lowerLetter"/>
      <w:lvlText w:val="%2."/>
      <w:lvlJc w:val="left"/>
      <w:pPr>
        <w:ind w:left="1781" w:hanging="360"/>
      </w:pPr>
    </w:lvl>
    <w:lvl w:ilvl="2" w:tplc="240A0005" w:tentative="1">
      <w:start w:val="1"/>
      <w:numFmt w:val="lowerRoman"/>
      <w:lvlText w:val="%3."/>
      <w:lvlJc w:val="right"/>
      <w:pPr>
        <w:ind w:left="2501" w:hanging="180"/>
      </w:pPr>
    </w:lvl>
    <w:lvl w:ilvl="3" w:tplc="240A0001" w:tentative="1">
      <w:start w:val="1"/>
      <w:numFmt w:val="decimal"/>
      <w:lvlText w:val="%4."/>
      <w:lvlJc w:val="left"/>
      <w:pPr>
        <w:ind w:left="3221" w:hanging="360"/>
      </w:pPr>
    </w:lvl>
    <w:lvl w:ilvl="4" w:tplc="240A0003" w:tentative="1">
      <w:start w:val="1"/>
      <w:numFmt w:val="lowerLetter"/>
      <w:lvlText w:val="%5."/>
      <w:lvlJc w:val="left"/>
      <w:pPr>
        <w:ind w:left="3941" w:hanging="360"/>
      </w:pPr>
    </w:lvl>
    <w:lvl w:ilvl="5" w:tplc="240A0005" w:tentative="1">
      <w:start w:val="1"/>
      <w:numFmt w:val="lowerRoman"/>
      <w:lvlText w:val="%6."/>
      <w:lvlJc w:val="right"/>
      <w:pPr>
        <w:ind w:left="4661" w:hanging="180"/>
      </w:pPr>
    </w:lvl>
    <w:lvl w:ilvl="6" w:tplc="240A0001" w:tentative="1">
      <w:start w:val="1"/>
      <w:numFmt w:val="decimal"/>
      <w:lvlText w:val="%7."/>
      <w:lvlJc w:val="left"/>
      <w:pPr>
        <w:ind w:left="5381" w:hanging="360"/>
      </w:pPr>
    </w:lvl>
    <w:lvl w:ilvl="7" w:tplc="240A0003" w:tentative="1">
      <w:start w:val="1"/>
      <w:numFmt w:val="lowerLetter"/>
      <w:lvlText w:val="%8."/>
      <w:lvlJc w:val="left"/>
      <w:pPr>
        <w:ind w:left="6101" w:hanging="360"/>
      </w:pPr>
    </w:lvl>
    <w:lvl w:ilvl="8" w:tplc="240A0005" w:tentative="1">
      <w:start w:val="1"/>
      <w:numFmt w:val="lowerRoman"/>
      <w:lvlText w:val="%9."/>
      <w:lvlJc w:val="right"/>
      <w:pPr>
        <w:ind w:left="6821" w:hanging="180"/>
      </w:pPr>
    </w:lvl>
  </w:abstractNum>
  <w:abstractNum w:abstractNumId="102" w15:restartNumberingAfterBreak="0">
    <w:nsid w:val="214C203D"/>
    <w:multiLevelType w:val="hybridMultilevel"/>
    <w:tmpl w:val="89D06BB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3" w15:restartNumberingAfterBreak="0">
    <w:nsid w:val="21591118"/>
    <w:multiLevelType w:val="hybridMultilevel"/>
    <w:tmpl w:val="2EA25B54"/>
    <w:lvl w:ilvl="0" w:tplc="FCC01B6C">
      <w:start w:val="1"/>
      <w:numFmt w:val="decimal"/>
      <w:lvlText w:val="%1."/>
      <w:lvlJc w:val="left"/>
      <w:pPr>
        <w:ind w:left="360" w:hanging="360"/>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4" w15:restartNumberingAfterBreak="0">
    <w:nsid w:val="223A3AAE"/>
    <w:multiLevelType w:val="hybridMultilevel"/>
    <w:tmpl w:val="B1605BEC"/>
    <w:lvl w:ilvl="0" w:tplc="F30CAFA6">
      <w:start w:val="1"/>
      <w:numFmt w:val="lowerLetter"/>
      <w:lvlText w:val="%1."/>
      <w:lvlJc w:val="left"/>
      <w:pPr>
        <w:ind w:left="1004" w:hanging="360"/>
      </w:pPr>
      <w:rPr>
        <w:b w:val="0"/>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05" w15:restartNumberingAfterBreak="0">
    <w:nsid w:val="23BE76D8"/>
    <w:multiLevelType w:val="hybridMultilevel"/>
    <w:tmpl w:val="B2FA9796"/>
    <w:lvl w:ilvl="0" w:tplc="F93E60B0">
      <w:start w:val="1"/>
      <w:numFmt w:val="lowerLetter"/>
      <w:lvlText w:val="%1)"/>
      <w:lvlJc w:val="left"/>
      <w:pPr>
        <w:ind w:left="1528" w:hanging="360"/>
      </w:pPr>
      <w:rPr>
        <w:rFonts w:hint="default"/>
        <w:b w:val="0"/>
      </w:rPr>
    </w:lvl>
    <w:lvl w:ilvl="1" w:tplc="240A0019" w:tentative="1">
      <w:start w:val="1"/>
      <w:numFmt w:val="lowerLetter"/>
      <w:lvlText w:val="%2."/>
      <w:lvlJc w:val="left"/>
      <w:pPr>
        <w:ind w:left="2248" w:hanging="360"/>
      </w:pPr>
    </w:lvl>
    <w:lvl w:ilvl="2" w:tplc="240A001B" w:tentative="1">
      <w:start w:val="1"/>
      <w:numFmt w:val="lowerRoman"/>
      <w:lvlText w:val="%3."/>
      <w:lvlJc w:val="right"/>
      <w:pPr>
        <w:ind w:left="2968" w:hanging="180"/>
      </w:pPr>
    </w:lvl>
    <w:lvl w:ilvl="3" w:tplc="240A000F" w:tentative="1">
      <w:start w:val="1"/>
      <w:numFmt w:val="decimal"/>
      <w:lvlText w:val="%4."/>
      <w:lvlJc w:val="left"/>
      <w:pPr>
        <w:ind w:left="3688" w:hanging="360"/>
      </w:pPr>
    </w:lvl>
    <w:lvl w:ilvl="4" w:tplc="240A0019" w:tentative="1">
      <w:start w:val="1"/>
      <w:numFmt w:val="lowerLetter"/>
      <w:lvlText w:val="%5."/>
      <w:lvlJc w:val="left"/>
      <w:pPr>
        <w:ind w:left="4408" w:hanging="360"/>
      </w:pPr>
    </w:lvl>
    <w:lvl w:ilvl="5" w:tplc="240A001B" w:tentative="1">
      <w:start w:val="1"/>
      <w:numFmt w:val="lowerRoman"/>
      <w:lvlText w:val="%6."/>
      <w:lvlJc w:val="right"/>
      <w:pPr>
        <w:ind w:left="5128" w:hanging="180"/>
      </w:pPr>
    </w:lvl>
    <w:lvl w:ilvl="6" w:tplc="240A000F" w:tentative="1">
      <w:start w:val="1"/>
      <w:numFmt w:val="decimal"/>
      <w:lvlText w:val="%7."/>
      <w:lvlJc w:val="left"/>
      <w:pPr>
        <w:ind w:left="5848" w:hanging="360"/>
      </w:pPr>
    </w:lvl>
    <w:lvl w:ilvl="7" w:tplc="240A0019" w:tentative="1">
      <w:start w:val="1"/>
      <w:numFmt w:val="lowerLetter"/>
      <w:lvlText w:val="%8."/>
      <w:lvlJc w:val="left"/>
      <w:pPr>
        <w:ind w:left="6568" w:hanging="360"/>
      </w:pPr>
    </w:lvl>
    <w:lvl w:ilvl="8" w:tplc="240A001B" w:tentative="1">
      <w:start w:val="1"/>
      <w:numFmt w:val="lowerRoman"/>
      <w:lvlText w:val="%9."/>
      <w:lvlJc w:val="right"/>
      <w:pPr>
        <w:ind w:left="7288" w:hanging="180"/>
      </w:pPr>
    </w:lvl>
  </w:abstractNum>
  <w:abstractNum w:abstractNumId="106" w15:restartNumberingAfterBreak="0">
    <w:nsid w:val="241C0D9C"/>
    <w:multiLevelType w:val="hybridMultilevel"/>
    <w:tmpl w:val="0E26130C"/>
    <w:lvl w:ilvl="0" w:tplc="0F188C74">
      <w:start w:val="1"/>
      <w:numFmt w:val="decimal"/>
      <w:lvlText w:val="%1."/>
      <w:lvlJc w:val="left"/>
      <w:pPr>
        <w:ind w:left="810" w:hanging="45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7" w15:restartNumberingAfterBreak="0">
    <w:nsid w:val="24215017"/>
    <w:multiLevelType w:val="hybridMultilevel"/>
    <w:tmpl w:val="DCCAB2B6"/>
    <w:lvl w:ilvl="0" w:tplc="EF60CE02">
      <w:start w:val="3"/>
      <w:numFmt w:val="bullet"/>
      <w:lvlText w:val="-"/>
      <w:lvlJc w:val="left"/>
      <w:pPr>
        <w:ind w:left="1776" w:hanging="360"/>
      </w:pPr>
      <w:rPr>
        <w:rFonts w:ascii="Arial Narrow" w:eastAsia="Times New Roman" w:hAnsi="Arial Narrow" w:cs="Arial"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108" w15:restartNumberingAfterBreak="0">
    <w:nsid w:val="24656C58"/>
    <w:multiLevelType w:val="hybridMultilevel"/>
    <w:tmpl w:val="2A62612C"/>
    <w:lvl w:ilvl="0" w:tplc="488EED4C">
      <w:start w:val="1"/>
      <w:numFmt w:val="decimal"/>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9" w15:restartNumberingAfterBreak="0">
    <w:nsid w:val="24674E32"/>
    <w:multiLevelType w:val="multilevel"/>
    <w:tmpl w:val="51EE796E"/>
    <w:lvl w:ilvl="0">
      <w:start w:val="2"/>
      <w:numFmt w:val="decimal"/>
      <w:lvlText w:val="%1."/>
      <w:lvlJc w:val="left"/>
      <w:pPr>
        <w:ind w:left="390" w:hanging="390"/>
      </w:pPr>
      <w:rPr>
        <w:rFonts w:hint="default"/>
        <w:b w:val="0"/>
      </w:rPr>
    </w:lvl>
    <w:lvl w:ilvl="1">
      <w:start w:val="2"/>
      <w:numFmt w:val="lowerLetter"/>
      <w:lvlText w:val="%2."/>
      <w:lvlJc w:val="left"/>
      <w:pPr>
        <w:ind w:left="390" w:hanging="39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246D2CD7"/>
    <w:multiLevelType w:val="hybridMultilevel"/>
    <w:tmpl w:val="E4BEED92"/>
    <w:lvl w:ilvl="0" w:tplc="0409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1" w15:restartNumberingAfterBreak="0">
    <w:nsid w:val="247D1357"/>
    <w:multiLevelType w:val="hybridMultilevel"/>
    <w:tmpl w:val="E21869C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2" w15:restartNumberingAfterBreak="0">
    <w:nsid w:val="24917D8D"/>
    <w:multiLevelType w:val="hybridMultilevel"/>
    <w:tmpl w:val="574C5470"/>
    <w:lvl w:ilvl="0" w:tplc="17BA7C6E">
      <w:start w:val="1"/>
      <w:numFmt w:val="lowerLetter"/>
      <w:lvlText w:val="%1."/>
      <w:lvlJc w:val="left"/>
      <w:pPr>
        <w:ind w:left="720" w:hanging="360"/>
      </w:pPr>
      <w:rPr>
        <w:rFonts w:cs="Arial Narrow" w:hint="default"/>
        <w:b w:val="0"/>
      </w:rPr>
    </w:lvl>
    <w:lvl w:ilvl="1" w:tplc="04090019">
      <w:start w:val="1"/>
      <w:numFmt w:val="lowerLetter"/>
      <w:lvlText w:val="%2."/>
      <w:lvlJc w:val="left"/>
      <w:pPr>
        <w:ind w:left="1785" w:hanging="705"/>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24B20746"/>
    <w:multiLevelType w:val="hybridMultilevel"/>
    <w:tmpl w:val="7DF48A08"/>
    <w:lvl w:ilvl="0" w:tplc="2C6A5182">
      <w:start w:val="2"/>
      <w:numFmt w:val="decimal"/>
      <w:lvlText w:val="%1."/>
      <w:lvlJc w:val="left"/>
      <w:pPr>
        <w:tabs>
          <w:tab w:val="num" w:pos="720"/>
        </w:tabs>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4" w15:restartNumberingAfterBreak="0">
    <w:nsid w:val="24B623BD"/>
    <w:multiLevelType w:val="hybridMultilevel"/>
    <w:tmpl w:val="6492CD02"/>
    <w:lvl w:ilvl="0" w:tplc="240A000F">
      <w:start w:val="1"/>
      <w:numFmt w:val="decimal"/>
      <w:lvlText w:val="%1."/>
      <w:lvlJc w:val="left"/>
      <w:pPr>
        <w:ind w:left="180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5" w15:restartNumberingAfterBreak="0">
    <w:nsid w:val="25072FAB"/>
    <w:multiLevelType w:val="hybridMultilevel"/>
    <w:tmpl w:val="C6ECDDF0"/>
    <w:lvl w:ilvl="0" w:tplc="0409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6" w15:restartNumberingAfterBreak="0">
    <w:nsid w:val="25724B35"/>
    <w:multiLevelType w:val="hybridMultilevel"/>
    <w:tmpl w:val="A5E0F22A"/>
    <w:lvl w:ilvl="0" w:tplc="9564952C">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7" w15:restartNumberingAfterBreak="0">
    <w:nsid w:val="25D215CA"/>
    <w:multiLevelType w:val="hybridMultilevel"/>
    <w:tmpl w:val="D36685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8" w15:restartNumberingAfterBreak="0">
    <w:nsid w:val="25F5741B"/>
    <w:multiLevelType w:val="hybridMultilevel"/>
    <w:tmpl w:val="E7BC9E9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9" w15:restartNumberingAfterBreak="0">
    <w:nsid w:val="2645519F"/>
    <w:multiLevelType w:val="hybridMultilevel"/>
    <w:tmpl w:val="90CC5C84"/>
    <w:lvl w:ilvl="0" w:tplc="9540430A">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0" w15:restartNumberingAfterBreak="0">
    <w:nsid w:val="26F36E77"/>
    <w:multiLevelType w:val="hybridMultilevel"/>
    <w:tmpl w:val="F7A41742"/>
    <w:lvl w:ilvl="0" w:tplc="486CBBC4">
      <w:start w:val="1"/>
      <w:numFmt w:val="decimal"/>
      <w:lvlText w:val="%1."/>
      <w:lvlJc w:val="left"/>
      <w:pPr>
        <w:tabs>
          <w:tab w:val="num" w:pos="1065"/>
        </w:tabs>
        <w:ind w:left="1065" w:hanging="70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1" w15:restartNumberingAfterBreak="0">
    <w:nsid w:val="278D148D"/>
    <w:multiLevelType w:val="hybridMultilevel"/>
    <w:tmpl w:val="F5A0B5DA"/>
    <w:lvl w:ilvl="0" w:tplc="240A000F">
      <w:start w:val="1"/>
      <w:numFmt w:val="decimal"/>
      <w:lvlText w:val="%1."/>
      <w:lvlJc w:val="left"/>
      <w:pPr>
        <w:ind w:left="720" w:hanging="360"/>
      </w:pPr>
    </w:lvl>
    <w:lvl w:ilvl="1" w:tplc="6368FC3A">
      <w:start w:val="1"/>
      <w:numFmt w:val="decimal"/>
      <w:lvlText w:val="%2."/>
      <w:lvlJc w:val="left"/>
      <w:pPr>
        <w:ind w:left="1440" w:hanging="360"/>
      </w:pPr>
      <w:rPr>
        <w:rFonts w:hint="default"/>
      </w:rPr>
    </w:lvl>
    <w:lvl w:ilvl="2" w:tplc="E12CDDB2">
      <w:start w:val="1"/>
      <w:numFmt w:val="lowerLetter"/>
      <w:lvlText w:val="%3."/>
      <w:lvlJc w:val="left"/>
      <w:pPr>
        <w:ind w:left="2340" w:hanging="36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2" w15:restartNumberingAfterBreak="0">
    <w:nsid w:val="27B20921"/>
    <w:multiLevelType w:val="hybridMultilevel"/>
    <w:tmpl w:val="44D0767A"/>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23" w15:restartNumberingAfterBreak="0">
    <w:nsid w:val="27D6096F"/>
    <w:multiLevelType w:val="hybridMultilevel"/>
    <w:tmpl w:val="5CAEDE7A"/>
    <w:lvl w:ilvl="0" w:tplc="B3541D66">
      <w:start w:val="1"/>
      <w:numFmt w:val="lowerRoman"/>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24" w15:restartNumberingAfterBreak="0">
    <w:nsid w:val="2873761E"/>
    <w:multiLevelType w:val="hybridMultilevel"/>
    <w:tmpl w:val="55342A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5" w15:restartNumberingAfterBreak="0">
    <w:nsid w:val="28BB5360"/>
    <w:multiLevelType w:val="hybridMultilevel"/>
    <w:tmpl w:val="F76C84F0"/>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28C666C6"/>
    <w:multiLevelType w:val="hybridMultilevel"/>
    <w:tmpl w:val="FF9A452E"/>
    <w:lvl w:ilvl="0" w:tplc="17BA7C6E">
      <w:start w:val="1"/>
      <w:numFmt w:val="lowerLetter"/>
      <w:lvlText w:val="%1."/>
      <w:lvlJc w:val="left"/>
      <w:pPr>
        <w:ind w:left="720" w:hanging="360"/>
      </w:pPr>
      <w:rPr>
        <w:rFonts w:cs="Arial Narrow"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7" w15:restartNumberingAfterBreak="0">
    <w:nsid w:val="28F74318"/>
    <w:multiLevelType w:val="hybridMultilevel"/>
    <w:tmpl w:val="34669ADE"/>
    <w:lvl w:ilvl="0" w:tplc="C164CCF2">
      <w:start w:val="1"/>
      <w:numFmt w:val="decimal"/>
      <w:lvlText w:val="%1."/>
      <w:lvlJc w:val="left"/>
      <w:pPr>
        <w:tabs>
          <w:tab w:val="num" w:pos="1065"/>
        </w:tabs>
        <w:ind w:left="1065" w:hanging="705"/>
      </w:pPr>
      <w:rPr>
        <w:rFonts w:hint="default"/>
        <w:b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8" w15:restartNumberingAfterBreak="0">
    <w:nsid w:val="29001C78"/>
    <w:multiLevelType w:val="hybridMultilevel"/>
    <w:tmpl w:val="3AC28462"/>
    <w:lvl w:ilvl="0" w:tplc="9B8A73BC">
      <w:start w:val="1"/>
      <w:numFmt w:val="decimal"/>
      <w:lvlText w:val="%1."/>
      <w:lvlJc w:val="left"/>
      <w:pPr>
        <w:ind w:left="720" w:hanging="360"/>
      </w:pPr>
      <w:rPr>
        <w:b w:val="0"/>
      </w:rPr>
    </w:lvl>
    <w:lvl w:ilvl="1" w:tplc="E2F69BF6">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9" w15:restartNumberingAfterBreak="0">
    <w:nsid w:val="293107FA"/>
    <w:multiLevelType w:val="multilevel"/>
    <w:tmpl w:val="82C08D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0" w15:restartNumberingAfterBreak="0">
    <w:nsid w:val="29C06560"/>
    <w:multiLevelType w:val="hybridMultilevel"/>
    <w:tmpl w:val="44D0767A"/>
    <w:lvl w:ilvl="0" w:tplc="0C0A000F">
      <w:start w:val="1"/>
      <w:numFmt w:val="decimal"/>
      <w:lvlText w:val="%1."/>
      <w:lvlJc w:val="left"/>
      <w:pPr>
        <w:tabs>
          <w:tab w:val="num" w:pos="708"/>
        </w:tabs>
        <w:ind w:left="708" w:hanging="360"/>
      </w:pPr>
    </w:lvl>
    <w:lvl w:ilvl="1" w:tplc="0C0A0019" w:tentative="1">
      <w:start w:val="1"/>
      <w:numFmt w:val="lowerLetter"/>
      <w:lvlText w:val="%2."/>
      <w:lvlJc w:val="left"/>
      <w:pPr>
        <w:tabs>
          <w:tab w:val="num" w:pos="1428"/>
        </w:tabs>
        <w:ind w:left="1428" w:hanging="360"/>
      </w:pPr>
    </w:lvl>
    <w:lvl w:ilvl="2" w:tplc="0C0A001B" w:tentative="1">
      <w:start w:val="1"/>
      <w:numFmt w:val="lowerRoman"/>
      <w:lvlText w:val="%3."/>
      <w:lvlJc w:val="right"/>
      <w:pPr>
        <w:tabs>
          <w:tab w:val="num" w:pos="2148"/>
        </w:tabs>
        <w:ind w:left="2148" w:hanging="180"/>
      </w:pPr>
    </w:lvl>
    <w:lvl w:ilvl="3" w:tplc="0C0A000F" w:tentative="1">
      <w:start w:val="1"/>
      <w:numFmt w:val="decimal"/>
      <w:lvlText w:val="%4."/>
      <w:lvlJc w:val="left"/>
      <w:pPr>
        <w:tabs>
          <w:tab w:val="num" w:pos="2868"/>
        </w:tabs>
        <w:ind w:left="2868" w:hanging="360"/>
      </w:pPr>
    </w:lvl>
    <w:lvl w:ilvl="4" w:tplc="0C0A0019" w:tentative="1">
      <w:start w:val="1"/>
      <w:numFmt w:val="lowerLetter"/>
      <w:lvlText w:val="%5."/>
      <w:lvlJc w:val="left"/>
      <w:pPr>
        <w:tabs>
          <w:tab w:val="num" w:pos="3588"/>
        </w:tabs>
        <w:ind w:left="3588" w:hanging="360"/>
      </w:pPr>
    </w:lvl>
    <w:lvl w:ilvl="5" w:tplc="0C0A001B" w:tentative="1">
      <w:start w:val="1"/>
      <w:numFmt w:val="lowerRoman"/>
      <w:lvlText w:val="%6."/>
      <w:lvlJc w:val="right"/>
      <w:pPr>
        <w:tabs>
          <w:tab w:val="num" w:pos="4308"/>
        </w:tabs>
        <w:ind w:left="4308" w:hanging="180"/>
      </w:pPr>
    </w:lvl>
    <w:lvl w:ilvl="6" w:tplc="0C0A000F" w:tentative="1">
      <w:start w:val="1"/>
      <w:numFmt w:val="decimal"/>
      <w:lvlText w:val="%7."/>
      <w:lvlJc w:val="left"/>
      <w:pPr>
        <w:tabs>
          <w:tab w:val="num" w:pos="5028"/>
        </w:tabs>
        <w:ind w:left="5028" w:hanging="360"/>
      </w:pPr>
    </w:lvl>
    <w:lvl w:ilvl="7" w:tplc="0C0A0019" w:tentative="1">
      <w:start w:val="1"/>
      <w:numFmt w:val="lowerLetter"/>
      <w:lvlText w:val="%8."/>
      <w:lvlJc w:val="left"/>
      <w:pPr>
        <w:tabs>
          <w:tab w:val="num" w:pos="5748"/>
        </w:tabs>
        <w:ind w:left="5748" w:hanging="360"/>
      </w:pPr>
    </w:lvl>
    <w:lvl w:ilvl="8" w:tplc="0C0A001B" w:tentative="1">
      <w:start w:val="1"/>
      <w:numFmt w:val="lowerRoman"/>
      <w:lvlText w:val="%9."/>
      <w:lvlJc w:val="right"/>
      <w:pPr>
        <w:tabs>
          <w:tab w:val="num" w:pos="6468"/>
        </w:tabs>
        <w:ind w:left="6468" w:hanging="180"/>
      </w:pPr>
    </w:lvl>
  </w:abstractNum>
  <w:abstractNum w:abstractNumId="131" w15:restartNumberingAfterBreak="0">
    <w:nsid w:val="2A0073CC"/>
    <w:multiLevelType w:val="multilevel"/>
    <w:tmpl w:val="4FE22B26"/>
    <w:lvl w:ilvl="0">
      <w:start w:val="1"/>
      <w:numFmt w:val="decimal"/>
      <w:lvlText w:val="%1."/>
      <w:lvlJc w:val="left"/>
      <w:pPr>
        <w:ind w:left="644" w:hanging="360"/>
      </w:pPr>
      <w:rPr>
        <w:rFonts w:hint="default"/>
        <w:b w:val="0"/>
      </w:rPr>
    </w:lvl>
    <w:lvl w:ilvl="1">
      <w:start w:val="1"/>
      <w:numFmt w:val="decimal"/>
      <w:isLgl/>
      <w:lvlText w:val="%1.%2"/>
      <w:lvlJc w:val="left"/>
      <w:pPr>
        <w:ind w:left="360" w:hanging="360"/>
      </w:pPr>
      <w:rPr>
        <w:rFonts w:ascii="Arial Narrow" w:hAnsi="Arial Narrow" w:cs="TimesNewRomanPSMT" w:hint="default"/>
        <w:b w:val="0"/>
        <w:sz w:val="24"/>
        <w:szCs w:val="24"/>
      </w:rPr>
    </w:lvl>
    <w:lvl w:ilvl="2">
      <w:start w:val="1"/>
      <w:numFmt w:val="decimal"/>
      <w:isLgl/>
      <w:lvlText w:val="%1.%2.%3"/>
      <w:lvlJc w:val="left"/>
      <w:pPr>
        <w:ind w:left="1080" w:hanging="720"/>
      </w:pPr>
      <w:rPr>
        <w:rFonts w:ascii="Calibri" w:hAnsi="Calibri" w:cs="TimesNewRomanPSMT" w:hint="default"/>
        <w:b w:val="0"/>
        <w:sz w:val="22"/>
      </w:rPr>
    </w:lvl>
    <w:lvl w:ilvl="3">
      <w:start w:val="1"/>
      <w:numFmt w:val="decimal"/>
      <w:isLgl/>
      <w:lvlText w:val="%1.%2.%3.%4"/>
      <w:lvlJc w:val="left"/>
      <w:pPr>
        <w:ind w:left="1080" w:hanging="720"/>
      </w:pPr>
      <w:rPr>
        <w:rFonts w:ascii="Calibri" w:hAnsi="Calibri" w:cs="TimesNewRomanPSMT" w:hint="default"/>
        <w:b w:val="0"/>
        <w:sz w:val="22"/>
      </w:rPr>
    </w:lvl>
    <w:lvl w:ilvl="4">
      <w:start w:val="1"/>
      <w:numFmt w:val="decimal"/>
      <w:isLgl/>
      <w:lvlText w:val="%1.%2.%3.%4.%5"/>
      <w:lvlJc w:val="left"/>
      <w:pPr>
        <w:ind w:left="1440" w:hanging="1080"/>
      </w:pPr>
      <w:rPr>
        <w:rFonts w:ascii="Calibri" w:hAnsi="Calibri" w:cs="TimesNewRomanPSMT" w:hint="default"/>
        <w:b w:val="0"/>
        <w:sz w:val="22"/>
      </w:rPr>
    </w:lvl>
    <w:lvl w:ilvl="5">
      <w:start w:val="1"/>
      <w:numFmt w:val="decimal"/>
      <w:isLgl/>
      <w:lvlText w:val="%1.%2.%3.%4.%5.%6"/>
      <w:lvlJc w:val="left"/>
      <w:pPr>
        <w:ind w:left="1440" w:hanging="1080"/>
      </w:pPr>
      <w:rPr>
        <w:rFonts w:ascii="Calibri" w:hAnsi="Calibri" w:cs="TimesNewRomanPSMT" w:hint="default"/>
        <w:b w:val="0"/>
        <w:sz w:val="22"/>
      </w:rPr>
    </w:lvl>
    <w:lvl w:ilvl="6">
      <w:start w:val="1"/>
      <w:numFmt w:val="decimal"/>
      <w:isLgl/>
      <w:lvlText w:val="%1.%2.%3.%4.%5.%6.%7"/>
      <w:lvlJc w:val="left"/>
      <w:pPr>
        <w:ind w:left="1800" w:hanging="1440"/>
      </w:pPr>
      <w:rPr>
        <w:rFonts w:ascii="Calibri" w:hAnsi="Calibri" w:cs="TimesNewRomanPSMT" w:hint="default"/>
        <w:b w:val="0"/>
        <w:sz w:val="22"/>
      </w:rPr>
    </w:lvl>
    <w:lvl w:ilvl="7">
      <w:start w:val="1"/>
      <w:numFmt w:val="decimal"/>
      <w:isLgl/>
      <w:lvlText w:val="%1.%2.%3.%4.%5.%6.%7.%8"/>
      <w:lvlJc w:val="left"/>
      <w:pPr>
        <w:ind w:left="1800" w:hanging="1440"/>
      </w:pPr>
      <w:rPr>
        <w:rFonts w:ascii="Calibri" w:hAnsi="Calibri" w:cs="TimesNewRomanPSMT" w:hint="default"/>
        <w:b w:val="0"/>
        <w:sz w:val="22"/>
      </w:rPr>
    </w:lvl>
    <w:lvl w:ilvl="8">
      <w:start w:val="1"/>
      <w:numFmt w:val="decimal"/>
      <w:isLgl/>
      <w:lvlText w:val="%1.%2.%3.%4.%5.%6.%7.%8.%9"/>
      <w:lvlJc w:val="left"/>
      <w:pPr>
        <w:ind w:left="1800" w:hanging="1440"/>
      </w:pPr>
      <w:rPr>
        <w:rFonts w:ascii="Calibri" w:hAnsi="Calibri" w:cs="TimesNewRomanPSMT" w:hint="default"/>
        <w:b w:val="0"/>
        <w:sz w:val="22"/>
      </w:rPr>
    </w:lvl>
  </w:abstractNum>
  <w:abstractNum w:abstractNumId="132" w15:restartNumberingAfterBreak="0">
    <w:nsid w:val="2A3D23FB"/>
    <w:multiLevelType w:val="hybridMultilevel"/>
    <w:tmpl w:val="0BF641F2"/>
    <w:lvl w:ilvl="0" w:tplc="240A001B">
      <w:start w:val="1"/>
      <w:numFmt w:val="lowerRoman"/>
      <w:lvlText w:val="%1."/>
      <w:lvlJc w:val="right"/>
      <w:pPr>
        <w:ind w:left="4122" w:hanging="360"/>
      </w:pPr>
      <w:rPr>
        <w:rFonts w:hint="default"/>
        <w:b w:val="0"/>
        <w:color w:val="auto"/>
        <w:u w:val="none"/>
      </w:rPr>
    </w:lvl>
    <w:lvl w:ilvl="1" w:tplc="240A0019">
      <w:start w:val="1"/>
      <w:numFmt w:val="lowerLetter"/>
      <w:lvlText w:val="%2."/>
      <w:lvlJc w:val="left"/>
      <w:pPr>
        <w:ind w:left="4842" w:hanging="360"/>
      </w:pPr>
    </w:lvl>
    <w:lvl w:ilvl="2" w:tplc="240A001B" w:tentative="1">
      <w:start w:val="1"/>
      <w:numFmt w:val="lowerRoman"/>
      <w:lvlText w:val="%3."/>
      <w:lvlJc w:val="right"/>
      <w:pPr>
        <w:ind w:left="5562" w:hanging="180"/>
      </w:pPr>
    </w:lvl>
    <w:lvl w:ilvl="3" w:tplc="240A000F" w:tentative="1">
      <w:start w:val="1"/>
      <w:numFmt w:val="decimal"/>
      <w:lvlText w:val="%4."/>
      <w:lvlJc w:val="left"/>
      <w:pPr>
        <w:ind w:left="6282" w:hanging="360"/>
      </w:pPr>
    </w:lvl>
    <w:lvl w:ilvl="4" w:tplc="240A0019" w:tentative="1">
      <w:start w:val="1"/>
      <w:numFmt w:val="lowerLetter"/>
      <w:lvlText w:val="%5."/>
      <w:lvlJc w:val="left"/>
      <w:pPr>
        <w:ind w:left="7002" w:hanging="360"/>
      </w:pPr>
    </w:lvl>
    <w:lvl w:ilvl="5" w:tplc="240A001B" w:tentative="1">
      <w:start w:val="1"/>
      <w:numFmt w:val="lowerRoman"/>
      <w:lvlText w:val="%6."/>
      <w:lvlJc w:val="right"/>
      <w:pPr>
        <w:ind w:left="7722" w:hanging="180"/>
      </w:pPr>
    </w:lvl>
    <w:lvl w:ilvl="6" w:tplc="240A000F" w:tentative="1">
      <w:start w:val="1"/>
      <w:numFmt w:val="decimal"/>
      <w:lvlText w:val="%7."/>
      <w:lvlJc w:val="left"/>
      <w:pPr>
        <w:ind w:left="8442" w:hanging="360"/>
      </w:pPr>
    </w:lvl>
    <w:lvl w:ilvl="7" w:tplc="240A0019" w:tentative="1">
      <w:start w:val="1"/>
      <w:numFmt w:val="lowerLetter"/>
      <w:lvlText w:val="%8."/>
      <w:lvlJc w:val="left"/>
      <w:pPr>
        <w:ind w:left="9162" w:hanging="360"/>
      </w:pPr>
    </w:lvl>
    <w:lvl w:ilvl="8" w:tplc="240A001B" w:tentative="1">
      <w:start w:val="1"/>
      <w:numFmt w:val="lowerRoman"/>
      <w:lvlText w:val="%9."/>
      <w:lvlJc w:val="right"/>
      <w:pPr>
        <w:ind w:left="9882" w:hanging="180"/>
      </w:pPr>
    </w:lvl>
  </w:abstractNum>
  <w:abstractNum w:abstractNumId="133" w15:restartNumberingAfterBreak="0">
    <w:nsid w:val="2B551F78"/>
    <w:multiLevelType w:val="hybridMultilevel"/>
    <w:tmpl w:val="3BA201D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4" w15:restartNumberingAfterBreak="0">
    <w:nsid w:val="2B797458"/>
    <w:multiLevelType w:val="hybridMultilevel"/>
    <w:tmpl w:val="39967B6E"/>
    <w:lvl w:ilvl="0" w:tplc="CE460620">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5" w15:restartNumberingAfterBreak="0">
    <w:nsid w:val="2BA17743"/>
    <w:multiLevelType w:val="hybridMultilevel"/>
    <w:tmpl w:val="42F89AE2"/>
    <w:lvl w:ilvl="0" w:tplc="6E30B65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6" w15:restartNumberingAfterBreak="0">
    <w:nsid w:val="2C322F79"/>
    <w:multiLevelType w:val="hybridMultilevel"/>
    <w:tmpl w:val="10B4111A"/>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37" w15:restartNumberingAfterBreak="0">
    <w:nsid w:val="2C8A6558"/>
    <w:multiLevelType w:val="hybridMultilevel"/>
    <w:tmpl w:val="57E0C91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8" w15:restartNumberingAfterBreak="0">
    <w:nsid w:val="2CE75849"/>
    <w:multiLevelType w:val="hybridMultilevel"/>
    <w:tmpl w:val="83E2D7EC"/>
    <w:lvl w:ilvl="0" w:tplc="86B2D70C">
      <w:numFmt w:val="bullet"/>
      <w:lvlText w:val="•"/>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9" w15:restartNumberingAfterBreak="0">
    <w:nsid w:val="2D0601F3"/>
    <w:multiLevelType w:val="multilevel"/>
    <w:tmpl w:val="720CA886"/>
    <w:lvl w:ilvl="0">
      <w:start w:val="1"/>
      <w:numFmt w:val="decimal"/>
      <w:lvlText w:val="%1."/>
      <w:lvlJc w:val="left"/>
      <w:pPr>
        <w:ind w:left="644" w:hanging="360"/>
      </w:pPr>
      <w:rPr>
        <w:rFonts w:hint="default"/>
        <w:b w:val="0"/>
      </w:rPr>
    </w:lvl>
    <w:lvl w:ilvl="1">
      <w:start w:val="1"/>
      <w:numFmt w:val="decimal"/>
      <w:isLgl/>
      <w:lvlText w:val="%1.%2"/>
      <w:lvlJc w:val="left"/>
      <w:pPr>
        <w:ind w:left="720" w:hanging="360"/>
      </w:pPr>
      <w:rPr>
        <w:rFonts w:ascii="Calibri" w:hAnsi="Calibri" w:cs="TimesNewRomanPSMT" w:hint="default"/>
        <w:b w:val="0"/>
        <w:sz w:val="22"/>
      </w:rPr>
    </w:lvl>
    <w:lvl w:ilvl="2">
      <w:start w:val="1"/>
      <w:numFmt w:val="decimal"/>
      <w:isLgl/>
      <w:lvlText w:val="%1.%2.%3"/>
      <w:lvlJc w:val="left"/>
      <w:pPr>
        <w:ind w:left="1080" w:hanging="720"/>
      </w:pPr>
      <w:rPr>
        <w:rFonts w:ascii="Calibri" w:hAnsi="Calibri" w:cs="TimesNewRomanPSMT" w:hint="default"/>
        <w:b w:val="0"/>
        <w:sz w:val="22"/>
      </w:rPr>
    </w:lvl>
    <w:lvl w:ilvl="3">
      <w:start w:val="1"/>
      <w:numFmt w:val="decimal"/>
      <w:isLgl/>
      <w:lvlText w:val="%1.%2.%3.%4"/>
      <w:lvlJc w:val="left"/>
      <w:pPr>
        <w:ind w:left="1080" w:hanging="720"/>
      </w:pPr>
      <w:rPr>
        <w:rFonts w:ascii="Calibri" w:hAnsi="Calibri" w:cs="TimesNewRomanPSMT" w:hint="default"/>
        <w:b w:val="0"/>
        <w:sz w:val="22"/>
      </w:rPr>
    </w:lvl>
    <w:lvl w:ilvl="4">
      <w:start w:val="1"/>
      <w:numFmt w:val="decimal"/>
      <w:isLgl/>
      <w:lvlText w:val="%1.%2.%3.%4.%5"/>
      <w:lvlJc w:val="left"/>
      <w:pPr>
        <w:ind w:left="1440" w:hanging="1080"/>
      </w:pPr>
      <w:rPr>
        <w:rFonts w:ascii="Calibri" w:hAnsi="Calibri" w:cs="TimesNewRomanPSMT" w:hint="default"/>
        <w:b w:val="0"/>
        <w:sz w:val="22"/>
      </w:rPr>
    </w:lvl>
    <w:lvl w:ilvl="5">
      <w:start w:val="1"/>
      <w:numFmt w:val="decimal"/>
      <w:isLgl/>
      <w:lvlText w:val="%1.%2.%3.%4.%5.%6"/>
      <w:lvlJc w:val="left"/>
      <w:pPr>
        <w:ind w:left="1440" w:hanging="1080"/>
      </w:pPr>
      <w:rPr>
        <w:rFonts w:ascii="Calibri" w:hAnsi="Calibri" w:cs="TimesNewRomanPSMT" w:hint="default"/>
        <w:b w:val="0"/>
        <w:sz w:val="22"/>
      </w:rPr>
    </w:lvl>
    <w:lvl w:ilvl="6">
      <w:start w:val="1"/>
      <w:numFmt w:val="decimal"/>
      <w:isLgl/>
      <w:lvlText w:val="%1.%2.%3.%4.%5.%6.%7"/>
      <w:lvlJc w:val="left"/>
      <w:pPr>
        <w:ind w:left="1800" w:hanging="1440"/>
      </w:pPr>
      <w:rPr>
        <w:rFonts w:ascii="Calibri" w:hAnsi="Calibri" w:cs="TimesNewRomanPSMT" w:hint="default"/>
        <w:b w:val="0"/>
        <w:sz w:val="22"/>
      </w:rPr>
    </w:lvl>
    <w:lvl w:ilvl="7">
      <w:start w:val="1"/>
      <w:numFmt w:val="decimal"/>
      <w:isLgl/>
      <w:lvlText w:val="%1.%2.%3.%4.%5.%6.%7.%8"/>
      <w:lvlJc w:val="left"/>
      <w:pPr>
        <w:ind w:left="1800" w:hanging="1440"/>
      </w:pPr>
      <w:rPr>
        <w:rFonts w:ascii="Calibri" w:hAnsi="Calibri" w:cs="TimesNewRomanPSMT" w:hint="default"/>
        <w:b w:val="0"/>
        <w:sz w:val="22"/>
      </w:rPr>
    </w:lvl>
    <w:lvl w:ilvl="8">
      <w:start w:val="1"/>
      <w:numFmt w:val="decimal"/>
      <w:isLgl/>
      <w:lvlText w:val="%1.%2.%3.%4.%5.%6.%7.%8.%9"/>
      <w:lvlJc w:val="left"/>
      <w:pPr>
        <w:ind w:left="1800" w:hanging="1440"/>
      </w:pPr>
      <w:rPr>
        <w:rFonts w:ascii="Calibri" w:hAnsi="Calibri" w:cs="TimesNewRomanPSMT" w:hint="default"/>
        <w:b w:val="0"/>
        <w:sz w:val="22"/>
      </w:rPr>
    </w:lvl>
  </w:abstractNum>
  <w:abstractNum w:abstractNumId="140" w15:restartNumberingAfterBreak="0">
    <w:nsid w:val="2DD91F0C"/>
    <w:multiLevelType w:val="hybridMultilevel"/>
    <w:tmpl w:val="10B4111A"/>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41" w15:restartNumberingAfterBreak="0">
    <w:nsid w:val="2DDE54AE"/>
    <w:multiLevelType w:val="hybridMultilevel"/>
    <w:tmpl w:val="9D40258A"/>
    <w:lvl w:ilvl="0" w:tplc="9F7E3556">
      <w:start w:val="7"/>
      <w:numFmt w:val="bullet"/>
      <w:lvlText w:val="-"/>
      <w:lvlJc w:val="left"/>
      <w:pPr>
        <w:ind w:left="720" w:hanging="360"/>
      </w:pPr>
      <w:rPr>
        <w:rFonts w:ascii="Arial Narrow" w:eastAsiaTheme="minorHAnsi"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2" w15:restartNumberingAfterBreak="0">
    <w:nsid w:val="2E5241DA"/>
    <w:multiLevelType w:val="hybridMultilevel"/>
    <w:tmpl w:val="D24A09AE"/>
    <w:lvl w:ilvl="0" w:tplc="92BA79E8">
      <w:start w:val="1"/>
      <w:numFmt w:val="decimal"/>
      <w:lvlText w:val="%1."/>
      <w:lvlJc w:val="left"/>
      <w:pPr>
        <w:tabs>
          <w:tab w:val="num" w:pos="720"/>
        </w:tabs>
        <w:ind w:left="720" w:hanging="360"/>
      </w:pPr>
      <w:rPr>
        <w:rFonts w:hint="default"/>
        <w:b w:val="0"/>
      </w:r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143" w15:restartNumberingAfterBreak="0">
    <w:nsid w:val="2E7F7B03"/>
    <w:multiLevelType w:val="hybridMultilevel"/>
    <w:tmpl w:val="F76C84F0"/>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2EAA7539"/>
    <w:multiLevelType w:val="hybridMultilevel"/>
    <w:tmpl w:val="B9CA1E88"/>
    <w:lvl w:ilvl="0" w:tplc="C032F9F2">
      <w:start w:val="1"/>
      <w:numFmt w:val="decimal"/>
      <w:lvlText w:val="%1."/>
      <w:lvlJc w:val="left"/>
      <w:pPr>
        <w:tabs>
          <w:tab w:val="num" w:pos="1065"/>
        </w:tabs>
        <w:ind w:left="1065" w:hanging="70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5" w15:restartNumberingAfterBreak="0">
    <w:nsid w:val="2F4223D3"/>
    <w:multiLevelType w:val="hybridMultilevel"/>
    <w:tmpl w:val="2FAC59CE"/>
    <w:lvl w:ilvl="0" w:tplc="0409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6" w15:restartNumberingAfterBreak="0">
    <w:nsid w:val="2F946A86"/>
    <w:multiLevelType w:val="hybridMultilevel"/>
    <w:tmpl w:val="E7460C0E"/>
    <w:lvl w:ilvl="0" w:tplc="F28A1A30">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7" w15:restartNumberingAfterBreak="0">
    <w:nsid w:val="2F964963"/>
    <w:multiLevelType w:val="hybridMultilevel"/>
    <w:tmpl w:val="D3867BC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8" w15:restartNumberingAfterBreak="0">
    <w:nsid w:val="2FA6415C"/>
    <w:multiLevelType w:val="hybridMultilevel"/>
    <w:tmpl w:val="477A82F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9" w15:restartNumberingAfterBreak="0">
    <w:nsid w:val="306A2070"/>
    <w:multiLevelType w:val="hybridMultilevel"/>
    <w:tmpl w:val="60C251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0" w15:restartNumberingAfterBreak="0">
    <w:nsid w:val="30BD7889"/>
    <w:multiLevelType w:val="hybridMultilevel"/>
    <w:tmpl w:val="7AE412C4"/>
    <w:lvl w:ilvl="0" w:tplc="625A8598">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1" w15:restartNumberingAfterBreak="0">
    <w:nsid w:val="31EE3F93"/>
    <w:multiLevelType w:val="hybridMultilevel"/>
    <w:tmpl w:val="26FAC6BC"/>
    <w:lvl w:ilvl="0" w:tplc="EF7634E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2" w15:restartNumberingAfterBreak="0">
    <w:nsid w:val="321872E2"/>
    <w:multiLevelType w:val="multilevel"/>
    <w:tmpl w:val="1F067CAC"/>
    <w:lvl w:ilvl="0">
      <w:start w:val="2"/>
      <w:numFmt w:val="decimal"/>
      <w:lvlText w:val="%1."/>
      <w:lvlJc w:val="right"/>
      <w:pPr>
        <w:ind w:left="720" w:hanging="360"/>
      </w:pPr>
      <w:rPr>
        <w:rFonts w:hint="default"/>
        <w:b w:val="0"/>
      </w:rPr>
    </w:lvl>
    <w:lvl w:ilvl="1">
      <w:start w:val="1"/>
      <w:numFmt w:val="lowerLetter"/>
      <w:lvlText w:val="%2."/>
      <w:lvlJc w:val="left"/>
      <w:pPr>
        <w:ind w:left="1440" w:hanging="360"/>
      </w:pPr>
      <w:rPr>
        <w:rFonts w:hint="default"/>
        <w:b w:val="0"/>
      </w:rPr>
    </w:lvl>
    <w:lvl w:ilvl="2">
      <w:start w:val="1"/>
      <w:numFmt w:val="lowerRoman"/>
      <w:lvlText w:val="%3."/>
      <w:lvlJc w:val="right"/>
      <w:pPr>
        <w:ind w:left="1882" w:hanging="180"/>
      </w:pPr>
      <w:rPr>
        <w:rFonts w:hint="default"/>
        <w:b w:val="0"/>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b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val="0"/>
      </w:rPr>
    </w:lvl>
    <w:lvl w:ilvl="7">
      <w:start w:val="1"/>
      <w:numFmt w:val="lowerLetter"/>
      <w:lvlText w:val="%8."/>
      <w:lvlJc w:val="left"/>
      <w:pPr>
        <w:ind w:left="5760" w:hanging="360"/>
      </w:pPr>
      <w:rPr>
        <w:rFonts w:hint="default"/>
        <w:b w:val="0"/>
      </w:rPr>
    </w:lvl>
    <w:lvl w:ilvl="8">
      <w:start w:val="1"/>
      <w:numFmt w:val="lowerRoman"/>
      <w:lvlText w:val="%9."/>
      <w:lvlJc w:val="right"/>
      <w:pPr>
        <w:ind w:left="6480" w:hanging="180"/>
      </w:pPr>
      <w:rPr>
        <w:rFonts w:hint="default"/>
      </w:rPr>
    </w:lvl>
  </w:abstractNum>
  <w:abstractNum w:abstractNumId="153" w15:restartNumberingAfterBreak="0">
    <w:nsid w:val="32262043"/>
    <w:multiLevelType w:val="hybridMultilevel"/>
    <w:tmpl w:val="A1E0B7C2"/>
    <w:lvl w:ilvl="0" w:tplc="240A001B">
      <w:start w:val="1"/>
      <w:numFmt w:val="lowerRoman"/>
      <w:lvlText w:val="%1."/>
      <w:lvlJc w:val="right"/>
      <w:pPr>
        <w:ind w:left="720" w:hanging="360"/>
      </w:pPr>
    </w:lvl>
    <w:lvl w:ilvl="1" w:tplc="E3F611EA">
      <w:start w:val="1"/>
      <w:numFmt w:val="lowerRoman"/>
      <w:lvlText w:val="%2."/>
      <w:lvlJc w:val="left"/>
      <w:pPr>
        <w:ind w:left="1440" w:hanging="360"/>
      </w:pPr>
      <w:rPr>
        <w:rFonts w:hint="default"/>
      </w:rPr>
    </w:lvl>
    <w:lvl w:ilvl="2" w:tplc="240A001B">
      <w:start w:val="1"/>
      <w:numFmt w:val="lowerRoman"/>
      <w:lvlText w:val="%3."/>
      <w:lvlJc w:val="right"/>
      <w:pPr>
        <w:ind w:left="2160" w:hanging="180"/>
      </w:pPr>
    </w:lvl>
    <w:lvl w:ilvl="3" w:tplc="99888D46">
      <w:start w:val="1"/>
      <w:numFmt w:val="decimal"/>
      <w:lvlText w:val="%4."/>
      <w:lvlJc w:val="left"/>
      <w:pPr>
        <w:ind w:left="2880" w:hanging="360"/>
      </w:pPr>
      <w:rPr>
        <w:rFonts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4" w15:restartNumberingAfterBreak="0">
    <w:nsid w:val="32465936"/>
    <w:multiLevelType w:val="multilevel"/>
    <w:tmpl w:val="82C08D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5" w15:restartNumberingAfterBreak="0">
    <w:nsid w:val="32540FB0"/>
    <w:multiLevelType w:val="hybridMultilevel"/>
    <w:tmpl w:val="C07E52AE"/>
    <w:lvl w:ilvl="0" w:tplc="2FFC326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6" w15:restartNumberingAfterBreak="0">
    <w:nsid w:val="32900132"/>
    <w:multiLevelType w:val="hybridMultilevel"/>
    <w:tmpl w:val="1DA0F534"/>
    <w:lvl w:ilvl="0" w:tplc="86B2D70C">
      <w:numFmt w:val="bullet"/>
      <w:lvlText w:val="•"/>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7" w15:restartNumberingAfterBreak="0">
    <w:nsid w:val="32A82278"/>
    <w:multiLevelType w:val="hybridMultilevel"/>
    <w:tmpl w:val="44D0767A"/>
    <w:lvl w:ilvl="0" w:tplc="0C0A000F">
      <w:start w:val="1"/>
      <w:numFmt w:val="decimal"/>
      <w:lvlText w:val="%1."/>
      <w:lvlJc w:val="left"/>
      <w:pPr>
        <w:tabs>
          <w:tab w:val="num" w:pos="708"/>
        </w:tabs>
        <w:ind w:left="708" w:hanging="360"/>
      </w:pPr>
    </w:lvl>
    <w:lvl w:ilvl="1" w:tplc="0C0A0019" w:tentative="1">
      <w:start w:val="1"/>
      <w:numFmt w:val="lowerLetter"/>
      <w:lvlText w:val="%2."/>
      <w:lvlJc w:val="left"/>
      <w:pPr>
        <w:tabs>
          <w:tab w:val="num" w:pos="1428"/>
        </w:tabs>
        <w:ind w:left="1428" w:hanging="360"/>
      </w:pPr>
    </w:lvl>
    <w:lvl w:ilvl="2" w:tplc="0C0A001B" w:tentative="1">
      <w:start w:val="1"/>
      <w:numFmt w:val="lowerRoman"/>
      <w:lvlText w:val="%3."/>
      <w:lvlJc w:val="right"/>
      <w:pPr>
        <w:tabs>
          <w:tab w:val="num" w:pos="2148"/>
        </w:tabs>
        <w:ind w:left="2148" w:hanging="180"/>
      </w:pPr>
    </w:lvl>
    <w:lvl w:ilvl="3" w:tplc="0C0A000F" w:tentative="1">
      <w:start w:val="1"/>
      <w:numFmt w:val="decimal"/>
      <w:lvlText w:val="%4."/>
      <w:lvlJc w:val="left"/>
      <w:pPr>
        <w:tabs>
          <w:tab w:val="num" w:pos="2868"/>
        </w:tabs>
        <w:ind w:left="2868" w:hanging="360"/>
      </w:pPr>
    </w:lvl>
    <w:lvl w:ilvl="4" w:tplc="0C0A0019" w:tentative="1">
      <w:start w:val="1"/>
      <w:numFmt w:val="lowerLetter"/>
      <w:lvlText w:val="%5."/>
      <w:lvlJc w:val="left"/>
      <w:pPr>
        <w:tabs>
          <w:tab w:val="num" w:pos="3588"/>
        </w:tabs>
        <w:ind w:left="3588" w:hanging="360"/>
      </w:pPr>
    </w:lvl>
    <w:lvl w:ilvl="5" w:tplc="0C0A001B" w:tentative="1">
      <w:start w:val="1"/>
      <w:numFmt w:val="lowerRoman"/>
      <w:lvlText w:val="%6."/>
      <w:lvlJc w:val="right"/>
      <w:pPr>
        <w:tabs>
          <w:tab w:val="num" w:pos="4308"/>
        </w:tabs>
        <w:ind w:left="4308" w:hanging="180"/>
      </w:pPr>
    </w:lvl>
    <w:lvl w:ilvl="6" w:tplc="0C0A000F" w:tentative="1">
      <w:start w:val="1"/>
      <w:numFmt w:val="decimal"/>
      <w:lvlText w:val="%7."/>
      <w:lvlJc w:val="left"/>
      <w:pPr>
        <w:tabs>
          <w:tab w:val="num" w:pos="5028"/>
        </w:tabs>
        <w:ind w:left="5028" w:hanging="360"/>
      </w:pPr>
    </w:lvl>
    <w:lvl w:ilvl="7" w:tplc="0C0A0019" w:tentative="1">
      <w:start w:val="1"/>
      <w:numFmt w:val="lowerLetter"/>
      <w:lvlText w:val="%8."/>
      <w:lvlJc w:val="left"/>
      <w:pPr>
        <w:tabs>
          <w:tab w:val="num" w:pos="5748"/>
        </w:tabs>
        <w:ind w:left="5748" w:hanging="360"/>
      </w:pPr>
    </w:lvl>
    <w:lvl w:ilvl="8" w:tplc="0C0A001B" w:tentative="1">
      <w:start w:val="1"/>
      <w:numFmt w:val="lowerRoman"/>
      <w:lvlText w:val="%9."/>
      <w:lvlJc w:val="right"/>
      <w:pPr>
        <w:tabs>
          <w:tab w:val="num" w:pos="6468"/>
        </w:tabs>
        <w:ind w:left="6468" w:hanging="180"/>
      </w:pPr>
    </w:lvl>
  </w:abstractNum>
  <w:abstractNum w:abstractNumId="158" w15:restartNumberingAfterBreak="0">
    <w:nsid w:val="33306FE3"/>
    <w:multiLevelType w:val="hybridMultilevel"/>
    <w:tmpl w:val="C25E3936"/>
    <w:lvl w:ilvl="0" w:tplc="30905BD2">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9" w15:restartNumberingAfterBreak="0">
    <w:nsid w:val="33D06273"/>
    <w:multiLevelType w:val="hybridMultilevel"/>
    <w:tmpl w:val="6AE8E1B2"/>
    <w:lvl w:ilvl="0" w:tplc="240A000F">
      <w:start w:val="1"/>
      <w:numFmt w:val="decimal"/>
      <w:lvlText w:val="%1."/>
      <w:lvlJc w:val="left"/>
      <w:pPr>
        <w:ind w:left="786"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0" w15:restartNumberingAfterBreak="0">
    <w:nsid w:val="341D70E2"/>
    <w:multiLevelType w:val="hybridMultilevel"/>
    <w:tmpl w:val="E09C65B8"/>
    <w:lvl w:ilvl="0" w:tplc="A88A3588">
      <w:start w:val="1"/>
      <w:numFmt w:val="decimal"/>
      <w:lvlText w:val="%1."/>
      <w:lvlJc w:val="left"/>
      <w:pPr>
        <w:tabs>
          <w:tab w:val="num" w:pos="1065"/>
        </w:tabs>
        <w:ind w:left="1065" w:hanging="70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1" w15:restartNumberingAfterBreak="0">
    <w:nsid w:val="34206382"/>
    <w:multiLevelType w:val="hybridMultilevel"/>
    <w:tmpl w:val="7A241988"/>
    <w:lvl w:ilvl="0" w:tplc="D4E29CDA">
      <w:start w:val="1"/>
      <w:numFmt w:val="lowerLetter"/>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2" w15:restartNumberingAfterBreak="0">
    <w:nsid w:val="344F6ADA"/>
    <w:multiLevelType w:val="hybridMultilevel"/>
    <w:tmpl w:val="E60872A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3" w15:restartNumberingAfterBreak="0">
    <w:nsid w:val="346B2B64"/>
    <w:multiLevelType w:val="hybridMultilevel"/>
    <w:tmpl w:val="5B486E42"/>
    <w:lvl w:ilvl="0" w:tplc="17BA7C6E">
      <w:start w:val="1"/>
      <w:numFmt w:val="lowerLetter"/>
      <w:lvlText w:val="%1."/>
      <w:lvlJc w:val="left"/>
      <w:pPr>
        <w:ind w:left="360" w:hanging="360"/>
      </w:pPr>
      <w:rPr>
        <w:rFonts w:cs="Arial Narrow"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4" w15:restartNumberingAfterBreak="0">
    <w:nsid w:val="34E0295E"/>
    <w:multiLevelType w:val="hybridMultilevel"/>
    <w:tmpl w:val="C25E3936"/>
    <w:lvl w:ilvl="0" w:tplc="30905BD2">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5" w15:restartNumberingAfterBreak="0">
    <w:nsid w:val="34F602BA"/>
    <w:multiLevelType w:val="multilevel"/>
    <w:tmpl w:val="D0C6F5A0"/>
    <w:lvl w:ilvl="0">
      <w:start w:val="2"/>
      <w:numFmt w:val="decimal"/>
      <w:lvlText w:val="%1."/>
      <w:lvlJc w:val="righ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b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6" w15:restartNumberingAfterBreak="0">
    <w:nsid w:val="35A13090"/>
    <w:multiLevelType w:val="multilevel"/>
    <w:tmpl w:val="9468EBE0"/>
    <w:lvl w:ilvl="0">
      <w:start w:val="2"/>
      <w:numFmt w:val="decimal"/>
      <w:lvlText w:val="%1."/>
      <w:lvlJc w:val="right"/>
      <w:pPr>
        <w:ind w:left="720" w:hanging="360"/>
      </w:pPr>
      <w:rPr>
        <w:rFonts w:hint="default"/>
        <w:b w:val="0"/>
      </w:rPr>
    </w:lvl>
    <w:lvl w:ilvl="1">
      <w:start w:val="1"/>
      <w:numFmt w:val="lowerLetter"/>
      <w:lvlText w:val="%2."/>
      <w:lvlJc w:val="left"/>
      <w:pPr>
        <w:ind w:left="1440" w:hanging="360"/>
      </w:pPr>
      <w:rPr>
        <w:rFonts w:hint="default"/>
        <w:b w:val="0"/>
      </w:rPr>
    </w:lvl>
    <w:lvl w:ilvl="2">
      <w:start w:val="1"/>
      <w:numFmt w:val="lowerRoman"/>
      <w:lvlText w:val="%3."/>
      <w:lvlJc w:val="right"/>
      <w:pPr>
        <w:ind w:left="1882" w:hanging="180"/>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b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val="0"/>
        <w:spacing w:val="-24"/>
        <w:w w:val="100"/>
        <w:sz w:val="24"/>
        <w:szCs w:val="24"/>
        <w:lang w:val="es-ES" w:eastAsia="es-ES" w:bidi="es-ES"/>
      </w:rPr>
    </w:lvl>
    <w:lvl w:ilvl="7">
      <w:start w:val="1"/>
      <w:numFmt w:val="lowerLetter"/>
      <w:lvlText w:val="%8."/>
      <w:lvlJc w:val="left"/>
      <w:pPr>
        <w:ind w:left="5760" w:hanging="360"/>
      </w:pPr>
      <w:rPr>
        <w:rFonts w:hint="default"/>
        <w:b w:val="0"/>
      </w:rPr>
    </w:lvl>
    <w:lvl w:ilvl="8">
      <w:start w:val="1"/>
      <w:numFmt w:val="lowerRoman"/>
      <w:lvlText w:val="%9."/>
      <w:lvlJc w:val="right"/>
      <w:pPr>
        <w:ind w:left="6480" w:hanging="180"/>
      </w:pPr>
      <w:rPr>
        <w:rFonts w:hint="default"/>
      </w:rPr>
    </w:lvl>
  </w:abstractNum>
  <w:abstractNum w:abstractNumId="167" w15:restartNumberingAfterBreak="0">
    <w:nsid w:val="35A77399"/>
    <w:multiLevelType w:val="hybridMultilevel"/>
    <w:tmpl w:val="C6D201A0"/>
    <w:lvl w:ilvl="0" w:tplc="6BEE0ACE">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8" w15:restartNumberingAfterBreak="0">
    <w:nsid w:val="35E609F1"/>
    <w:multiLevelType w:val="multilevel"/>
    <w:tmpl w:val="225C89BA"/>
    <w:lvl w:ilvl="0">
      <w:start w:val="1"/>
      <w:numFmt w:val="decimal"/>
      <w:lvlText w:val="%1."/>
      <w:lvlJc w:val="left"/>
      <w:pPr>
        <w:tabs>
          <w:tab w:val="num" w:pos="360"/>
        </w:tabs>
        <w:ind w:left="360" w:hanging="360"/>
      </w:pPr>
      <w:rPr>
        <w:rFonts w:ascii="Arial" w:eastAsia="Times New Roman" w:hAnsi="Arial" w:cs="Arial"/>
      </w:rPr>
    </w:lvl>
    <w:lvl w:ilvl="1">
      <w:start w:val="1"/>
      <w:numFmt w:val="decimal"/>
      <w:isLgl/>
      <w:lvlText w:val="%1.%2."/>
      <w:lvlJc w:val="left"/>
      <w:pPr>
        <w:ind w:left="1035" w:hanging="495"/>
      </w:pPr>
      <w:rPr>
        <w:rFonts w:hint="default"/>
      </w:rPr>
    </w:lvl>
    <w:lvl w:ilvl="2">
      <w:start w:val="1"/>
      <w:numFmt w:val="decimal"/>
      <w:isLgl/>
      <w:lvlText w:val="%1.%2.%3."/>
      <w:lvlJc w:val="left"/>
      <w:pPr>
        <w:ind w:left="1800" w:hanging="720"/>
      </w:pPr>
      <w:rPr>
        <w:rFonts w:hint="default"/>
        <w:b/>
      </w:rPr>
    </w:lvl>
    <w:lvl w:ilvl="3">
      <w:start w:val="1"/>
      <w:numFmt w:val="decimal"/>
      <w:isLgl/>
      <w:lvlText w:val="%1.%2.%3.%4."/>
      <w:lvlJc w:val="left"/>
      <w:pPr>
        <w:ind w:left="234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220" w:hanging="1440"/>
      </w:pPr>
      <w:rPr>
        <w:rFonts w:hint="default"/>
      </w:rPr>
    </w:lvl>
    <w:lvl w:ilvl="8">
      <w:start w:val="1"/>
      <w:numFmt w:val="decimal"/>
      <w:isLgl/>
      <w:lvlText w:val="%1.%2.%3.%4.%5.%6.%7.%8.%9."/>
      <w:lvlJc w:val="left"/>
      <w:pPr>
        <w:ind w:left="6120" w:hanging="1800"/>
      </w:pPr>
      <w:rPr>
        <w:rFonts w:hint="default"/>
      </w:rPr>
    </w:lvl>
  </w:abstractNum>
  <w:abstractNum w:abstractNumId="169" w15:restartNumberingAfterBreak="0">
    <w:nsid w:val="36161C4F"/>
    <w:multiLevelType w:val="hybridMultilevel"/>
    <w:tmpl w:val="F228A184"/>
    <w:lvl w:ilvl="0" w:tplc="BDA8622E">
      <w:start w:val="53"/>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0" w15:restartNumberingAfterBreak="0">
    <w:nsid w:val="36965A53"/>
    <w:multiLevelType w:val="multilevel"/>
    <w:tmpl w:val="4FE22B26"/>
    <w:lvl w:ilvl="0">
      <w:start w:val="1"/>
      <w:numFmt w:val="decimal"/>
      <w:lvlText w:val="%1."/>
      <w:lvlJc w:val="left"/>
      <w:pPr>
        <w:ind w:left="644" w:hanging="360"/>
      </w:pPr>
      <w:rPr>
        <w:rFonts w:hint="default"/>
        <w:b w:val="0"/>
      </w:rPr>
    </w:lvl>
    <w:lvl w:ilvl="1">
      <w:start w:val="1"/>
      <w:numFmt w:val="decimal"/>
      <w:isLgl/>
      <w:lvlText w:val="%1.%2"/>
      <w:lvlJc w:val="left"/>
      <w:pPr>
        <w:ind w:left="360" w:hanging="360"/>
      </w:pPr>
      <w:rPr>
        <w:rFonts w:ascii="Arial Narrow" w:hAnsi="Arial Narrow" w:cs="TimesNewRomanPSMT" w:hint="default"/>
        <w:b w:val="0"/>
        <w:sz w:val="24"/>
        <w:szCs w:val="24"/>
      </w:rPr>
    </w:lvl>
    <w:lvl w:ilvl="2">
      <w:start w:val="1"/>
      <w:numFmt w:val="decimal"/>
      <w:isLgl/>
      <w:lvlText w:val="%1.%2.%3"/>
      <w:lvlJc w:val="left"/>
      <w:pPr>
        <w:ind w:left="1080" w:hanging="720"/>
      </w:pPr>
      <w:rPr>
        <w:rFonts w:ascii="Calibri" w:hAnsi="Calibri" w:cs="TimesNewRomanPSMT" w:hint="default"/>
        <w:b w:val="0"/>
        <w:sz w:val="22"/>
      </w:rPr>
    </w:lvl>
    <w:lvl w:ilvl="3">
      <w:start w:val="1"/>
      <w:numFmt w:val="decimal"/>
      <w:isLgl/>
      <w:lvlText w:val="%1.%2.%3.%4"/>
      <w:lvlJc w:val="left"/>
      <w:pPr>
        <w:ind w:left="1080" w:hanging="720"/>
      </w:pPr>
      <w:rPr>
        <w:rFonts w:ascii="Calibri" w:hAnsi="Calibri" w:cs="TimesNewRomanPSMT" w:hint="default"/>
        <w:b w:val="0"/>
        <w:sz w:val="22"/>
      </w:rPr>
    </w:lvl>
    <w:lvl w:ilvl="4">
      <w:start w:val="1"/>
      <w:numFmt w:val="decimal"/>
      <w:isLgl/>
      <w:lvlText w:val="%1.%2.%3.%4.%5"/>
      <w:lvlJc w:val="left"/>
      <w:pPr>
        <w:ind w:left="1440" w:hanging="1080"/>
      </w:pPr>
      <w:rPr>
        <w:rFonts w:ascii="Calibri" w:hAnsi="Calibri" w:cs="TimesNewRomanPSMT" w:hint="default"/>
        <w:b w:val="0"/>
        <w:sz w:val="22"/>
      </w:rPr>
    </w:lvl>
    <w:lvl w:ilvl="5">
      <w:start w:val="1"/>
      <w:numFmt w:val="decimal"/>
      <w:isLgl/>
      <w:lvlText w:val="%1.%2.%3.%4.%5.%6"/>
      <w:lvlJc w:val="left"/>
      <w:pPr>
        <w:ind w:left="1440" w:hanging="1080"/>
      </w:pPr>
      <w:rPr>
        <w:rFonts w:ascii="Calibri" w:hAnsi="Calibri" w:cs="TimesNewRomanPSMT" w:hint="default"/>
        <w:b w:val="0"/>
        <w:sz w:val="22"/>
      </w:rPr>
    </w:lvl>
    <w:lvl w:ilvl="6">
      <w:start w:val="1"/>
      <w:numFmt w:val="decimal"/>
      <w:isLgl/>
      <w:lvlText w:val="%1.%2.%3.%4.%5.%6.%7"/>
      <w:lvlJc w:val="left"/>
      <w:pPr>
        <w:ind w:left="1800" w:hanging="1440"/>
      </w:pPr>
      <w:rPr>
        <w:rFonts w:ascii="Calibri" w:hAnsi="Calibri" w:cs="TimesNewRomanPSMT" w:hint="default"/>
        <w:b w:val="0"/>
        <w:sz w:val="22"/>
      </w:rPr>
    </w:lvl>
    <w:lvl w:ilvl="7">
      <w:start w:val="1"/>
      <w:numFmt w:val="decimal"/>
      <w:isLgl/>
      <w:lvlText w:val="%1.%2.%3.%4.%5.%6.%7.%8"/>
      <w:lvlJc w:val="left"/>
      <w:pPr>
        <w:ind w:left="1800" w:hanging="1440"/>
      </w:pPr>
      <w:rPr>
        <w:rFonts w:ascii="Calibri" w:hAnsi="Calibri" w:cs="TimesNewRomanPSMT" w:hint="default"/>
        <w:b w:val="0"/>
        <w:sz w:val="22"/>
      </w:rPr>
    </w:lvl>
    <w:lvl w:ilvl="8">
      <w:start w:val="1"/>
      <w:numFmt w:val="decimal"/>
      <w:isLgl/>
      <w:lvlText w:val="%1.%2.%3.%4.%5.%6.%7.%8.%9"/>
      <w:lvlJc w:val="left"/>
      <w:pPr>
        <w:ind w:left="1800" w:hanging="1440"/>
      </w:pPr>
      <w:rPr>
        <w:rFonts w:ascii="Calibri" w:hAnsi="Calibri" w:cs="TimesNewRomanPSMT" w:hint="default"/>
        <w:b w:val="0"/>
        <w:sz w:val="22"/>
      </w:rPr>
    </w:lvl>
  </w:abstractNum>
  <w:abstractNum w:abstractNumId="171" w15:restartNumberingAfterBreak="0">
    <w:nsid w:val="36AF2721"/>
    <w:multiLevelType w:val="hybridMultilevel"/>
    <w:tmpl w:val="F76C84F0"/>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36DF4611"/>
    <w:multiLevelType w:val="hybridMultilevel"/>
    <w:tmpl w:val="5BD0B33E"/>
    <w:lvl w:ilvl="0" w:tplc="3988900E">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3" w15:restartNumberingAfterBreak="0">
    <w:nsid w:val="371A1287"/>
    <w:multiLevelType w:val="hybridMultilevel"/>
    <w:tmpl w:val="1652BC6A"/>
    <w:lvl w:ilvl="0" w:tplc="C82241E6">
      <w:start w:val="1"/>
      <w:numFmt w:val="decimal"/>
      <w:lvlText w:val="%1."/>
      <w:lvlJc w:val="left"/>
      <w:pPr>
        <w:ind w:left="144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4" w15:restartNumberingAfterBreak="0">
    <w:nsid w:val="37E46F2C"/>
    <w:multiLevelType w:val="hybridMultilevel"/>
    <w:tmpl w:val="59EC1FC4"/>
    <w:lvl w:ilvl="0" w:tplc="2FFC326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5" w15:restartNumberingAfterBreak="0">
    <w:nsid w:val="380E2EBC"/>
    <w:multiLevelType w:val="hybridMultilevel"/>
    <w:tmpl w:val="314A6640"/>
    <w:lvl w:ilvl="0" w:tplc="09CAEFEA">
      <w:start w:val="7"/>
      <w:numFmt w:val="bullet"/>
      <w:lvlText w:val="-"/>
      <w:lvlJc w:val="left"/>
      <w:pPr>
        <w:ind w:left="1440" w:hanging="360"/>
      </w:pPr>
      <w:rPr>
        <w:rFonts w:ascii="Arial" w:eastAsia="Times New Roman"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6" w15:restartNumberingAfterBreak="0">
    <w:nsid w:val="384E475F"/>
    <w:multiLevelType w:val="hybridMultilevel"/>
    <w:tmpl w:val="7FF4562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7" w15:restartNumberingAfterBreak="0">
    <w:nsid w:val="38903160"/>
    <w:multiLevelType w:val="hybridMultilevel"/>
    <w:tmpl w:val="9FBA0A88"/>
    <w:lvl w:ilvl="0" w:tplc="8586DD0A">
      <w:start w:val="1"/>
      <w:numFmt w:val="decimal"/>
      <w:lvlText w:val="%1."/>
      <w:lvlJc w:val="left"/>
      <w:pPr>
        <w:tabs>
          <w:tab w:val="num" w:pos="360"/>
        </w:tabs>
        <w:ind w:left="360" w:hanging="360"/>
      </w:pPr>
      <w:rPr>
        <w:rFonts w:hint="default"/>
        <w:b w:val="0"/>
      </w:rPr>
    </w:lvl>
    <w:lvl w:ilvl="1" w:tplc="FFFFFFFF">
      <w:start w:val="1"/>
      <w:numFmt w:val="lowerLetter"/>
      <w:lvlText w:val="(%2)"/>
      <w:lvlJc w:val="left"/>
      <w:pPr>
        <w:tabs>
          <w:tab w:val="num" w:pos="1080"/>
        </w:tabs>
        <w:ind w:left="1080" w:hanging="360"/>
      </w:pPr>
      <w:rPr>
        <w:rFonts w:hint="default"/>
      </w:rPr>
    </w:lvl>
    <w:lvl w:ilvl="2" w:tplc="FFFFFFFF">
      <w:start w:val="1"/>
      <w:numFmt w:val="lowerRoman"/>
      <w:lvlText w:val="%3."/>
      <w:lvlJc w:val="left"/>
      <w:pPr>
        <w:tabs>
          <w:tab w:val="num" w:pos="2340"/>
        </w:tabs>
        <w:ind w:left="2340" w:hanging="720"/>
      </w:pPr>
      <w:rPr>
        <w:rFonts w:hint="default"/>
      </w:rPr>
    </w:lvl>
    <w:lvl w:ilvl="3" w:tplc="FFFFFFFF">
      <w:start w:val="1"/>
      <w:numFmt w:val="decimal"/>
      <w:lvlText w:val="%4."/>
      <w:lvlJc w:val="left"/>
      <w:pPr>
        <w:tabs>
          <w:tab w:val="num" w:pos="2520"/>
        </w:tabs>
        <w:ind w:left="2520" w:hanging="360"/>
      </w:pPr>
      <w:rPr>
        <w:rFonts w:hint="default"/>
      </w:r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178" w15:restartNumberingAfterBreak="0">
    <w:nsid w:val="38915174"/>
    <w:multiLevelType w:val="multilevel"/>
    <w:tmpl w:val="BE44D3AC"/>
    <w:lvl w:ilvl="0">
      <w:start w:val="6"/>
      <w:numFmt w:val="decimal"/>
      <w:lvlText w:val="%1."/>
      <w:lvlJc w:val="left"/>
      <w:pPr>
        <w:tabs>
          <w:tab w:val="num" w:pos="705"/>
        </w:tabs>
        <w:ind w:left="705" w:hanging="705"/>
      </w:pPr>
      <w:rPr>
        <w:rFonts w:hint="default"/>
        <w:b w:val="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9" w15:restartNumberingAfterBreak="0">
    <w:nsid w:val="39453B6C"/>
    <w:multiLevelType w:val="hybridMultilevel"/>
    <w:tmpl w:val="368C229A"/>
    <w:lvl w:ilvl="0" w:tplc="E5208442">
      <w:start w:val="1"/>
      <w:numFmt w:val="lowerRoman"/>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0" w15:restartNumberingAfterBreak="0">
    <w:nsid w:val="397621BB"/>
    <w:multiLevelType w:val="hybridMultilevel"/>
    <w:tmpl w:val="59A0ADFE"/>
    <w:lvl w:ilvl="0" w:tplc="240A0019">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1" w15:restartNumberingAfterBreak="0">
    <w:nsid w:val="39983181"/>
    <w:multiLevelType w:val="hybridMultilevel"/>
    <w:tmpl w:val="CD2EDC0C"/>
    <w:lvl w:ilvl="0" w:tplc="21482116">
      <w:start w:val="1"/>
      <w:numFmt w:val="decimal"/>
      <w:lvlText w:val="%1."/>
      <w:lvlJc w:val="left"/>
      <w:pPr>
        <w:tabs>
          <w:tab w:val="num" w:pos="847"/>
        </w:tabs>
        <w:ind w:left="847" w:hanging="705"/>
      </w:pPr>
      <w:rPr>
        <w:rFonts w:hint="default"/>
        <w:b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82" w15:restartNumberingAfterBreak="0">
    <w:nsid w:val="3ABA29EB"/>
    <w:multiLevelType w:val="hybridMultilevel"/>
    <w:tmpl w:val="854C44D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3" w15:restartNumberingAfterBreak="0">
    <w:nsid w:val="3AE46C9A"/>
    <w:multiLevelType w:val="hybridMultilevel"/>
    <w:tmpl w:val="86A4A8B4"/>
    <w:lvl w:ilvl="0" w:tplc="27E49C7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4" w15:restartNumberingAfterBreak="0">
    <w:nsid w:val="3AE94457"/>
    <w:multiLevelType w:val="hybridMultilevel"/>
    <w:tmpl w:val="EC201522"/>
    <w:lvl w:ilvl="0" w:tplc="0409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85" w15:restartNumberingAfterBreak="0">
    <w:nsid w:val="3B335C00"/>
    <w:multiLevelType w:val="hybridMultilevel"/>
    <w:tmpl w:val="72B2AAD8"/>
    <w:lvl w:ilvl="0" w:tplc="240A0015">
      <w:start w:val="1"/>
      <w:numFmt w:val="upp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86" w15:restartNumberingAfterBreak="0">
    <w:nsid w:val="3B3E0ACD"/>
    <w:multiLevelType w:val="hybridMultilevel"/>
    <w:tmpl w:val="6F16180C"/>
    <w:lvl w:ilvl="0" w:tplc="240A000F">
      <w:start w:val="1"/>
      <w:numFmt w:val="decimal"/>
      <w:lvlText w:val="%1."/>
      <w:lvlJc w:val="left"/>
      <w:pPr>
        <w:ind w:left="720" w:hanging="360"/>
      </w:pPr>
    </w:lvl>
    <w:lvl w:ilvl="1" w:tplc="240A0015">
      <w:start w:val="1"/>
      <w:numFmt w:val="upp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7" w15:restartNumberingAfterBreak="0">
    <w:nsid w:val="3B514142"/>
    <w:multiLevelType w:val="hybridMultilevel"/>
    <w:tmpl w:val="A9104474"/>
    <w:lvl w:ilvl="0" w:tplc="45926558">
      <w:start w:val="3"/>
      <w:numFmt w:val="decimal"/>
      <w:lvlText w:val="%1."/>
      <w:lvlJc w:val="left"/>
      <w:pPr>
        <w:ind w:left="36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8" w15:restartNumberingAfterBreak="0">
    <w:nsid w:val="3BEF7E60"/>
    <w:multiLevelType w:val="hybridMultilevel"/>
    <w:tmpl w:val="ECCCE6D2"/>
    <w:lvl w:ilvl="0" w:tplc="C65687FA">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89" w15:restartNumberingAfterBreak="0">
    <w:nsid w:val="3C35743A"/>
    <w:multiLevelType w:val="hybridMultilevel"/>
    <w:tmpl w:val="86A4A8B4"/>
    <w:lvl w:ilvl="0" w:tplc="27E49C74">
      <w:start w:val="1"/>
      <w:numFmt w:val="decimal"/>
      <w:lvlText w:val="%1."/>
      <w:lvlJc w:val="left"/>
      <w:pPr>
        <w:ind w:left="1080" w:hanging="360"/>
      </w:pPr>
      <w:rPr>
        <w:rFonts w:hint="default"/>
      </w:r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0" w15:restartNumberingAfterBreak="0">
    <w:nsid w:val="3C635615"/>
    <w:multiLevelType w:val="hybridMultilevel"/>
    <w:tmpl w:val="F76C84F0"/>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3CDF68E5"/>
    <w:multiLevelType w:val="hybridMultilevel"/>
    <w:tmpl w:val="3334C092"/>
    <w:lvl w:ilvl="0" w:tplc="240A001B">
      <w:start w:val="1"/>
      <w:numFmt w:val="lowerRoman"/>
      <w:lvlText w:val="%1."/>
      <w:lvlJc w:val="right"/>
      <w:pPr>
        <w:ind w:left="2484" w:hanging="360"/>
      </w:pPr>
      <w:rPr>
        <w:rFonts w:hint="default"/>
        <w:lang w:val="es-ES"/>
      </w:rPr>
    </w:lvl>
    <w:lvl w:ilvl="1" w:tplc="240A0019" w:tentative="1">
      <w:start w:val="1"/>
      <w:numFmt w:val="lowerLetter"/>
      <w:lvlText w:val="%2."/>
      <w:lvlJc w:val="left"/>
      <w:pPr>
        <w:ind w:left="3204" w:hanging="360"/>
      </w:pPr>
    </w:lvl>
    <w:lvl w:ilvl="2" w:tplc="240A001B" w:tentative="1">
      <w:start w:val="1"/>
      <w:numFmt w:val="lowerRoman"/>
      <w:lvlText w:val="%3."/>
      <w:lvlJc w:val="right"/>
      <w:pPr>
        <w:ind w:left="3924" w:hanging="180"/>
      </w:pPr>
    </w:lvl>
    <w:lvl w:ilvl="3" w:tplc="240A000F" w:tentative="1">
      <w:start w:val="1"/>
      <w:numFmt w:val="decimal"/>
      <w:lvlText w:val="%4."/>
      <w:lvlJc w:val="left"/>
      <w:pPr>
        <w:ind w:left="4644" w:hanging="360"/>
      </w:pPr>
    </w:lvl>
    <w:lvl w:ilvl="4" w:tplc="240A0019" w:tentative="1">
      <w:start w:val="1"/>
      <w:numFmt w:val="lowerLetter"/>
      <w:lvlText w:val="%5."/>
      <w:lvlJc w:val="left"/>
      <w:pPr>
        <w:ind w:left="5364" w:hanging="360"/>
      </w:pPr>
    </w:lvl>
    <w:lvl w:ilvl="5" w:tplc="240A001B" w:tentative="1">
      <w:start w:val="1"/>
      <w:numFmt w:val="lowerRoman"/>
      <w:lvlText w:val="%6."/>
      <w:lvlJc w:val="right"/>
      <w:pPr>
        <w:ind w:left="6084" w:hanging="180"/>
      </w:pPr>
    </w:lvl>
    <w:lvl w:ilvl="6" w:tplc="240A000F" w:tentative="1">
      <w:start w:val="1"/>
      <w:numFmt w:val="decimal"/>
      <w:lvlText w:val="%7."/>
      <w:lvlJc w:val="left"/>
      <w:pPr>
        <w:ind w:left="6804" w:hanging="360"/>
      </w:pPr>
    </w:lvl>
    <w:lvl w:ilvl="7" w:tplc="240A0019" w:tentative="1">
      <w:start w:val="1"/>
      <w:numFmt w:val="lowerLetter"/>
      <w:lvlText w:val="%8."/>
      <w:lvlJc w:val="left"/>
      <w:pPr>
        <w:ind w:left="7524" w:hanging="360"/>
      </w:pPr>
    </w:lvl>
    <w:lvl w:ilvl="8" w:tplc="240A001B" w:tentative="1">
      <w:start w:val="1"/>
      <w:numFmt w:val="lowerRoman"/>
      <w:lvlText w:val="%9."/>
      <w:lvlJc w:val="right"/>
      <w:pPr>
        <w:ind w:left="8244" w:hanging="180"/>
      </w:pPr>
    </w:lvl>
  </w:abstractNum>
  <w:abstractNum w:abstractNumId="192" w15:restartNumberingAfterBreak="0">
    <w:nsid w:val="3D1335B3"/>
    <w:multiLevelType w:val="hybridMultilevel"/>
    <w:tmpl w:val="2EA25B54"/>
    <w:lvl w:ilvl="0" w:tplc="FCC01B6C">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3" w15:restartNumberingAfterBreak="0">
    <w:nsid w:val="3D6C255D"/>
    <w:multiLevelType w:val="hybridMultilevel"/>
    <w:tmpl w:val="5928C5D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4" w15:restartNumberingAfterBreak="0">
    <w:nsid w:val="3E72644A"/>
    <w:multiLevelType w:val="hybridMultilevel"/>
    <w:tmpl w:val="8378F0AE"/>
    <w:lvl w:ilvl="0" w:tplc="0C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5" w15:restartNumberingAfterBreak="0">
    <w:nsid w:val="3E993253"/>
    <w:multiLevelType w:val="hybridMultilevel"/>
    <w:tmpl w:val="79342084"/>
    <w:lvl w:ilvl="0" w:tplc="E918E39C">
      <w:start w:val="1"/>
      <w:numFmt w:val="decimal"/>
      <w:lvlText w:val="%1."/>
      <w:lvlJc w:val="left"/>
      <w:pPr>
        <w:tabs>
          <w:tab w:val="num" w:pos="1065"/>
        </w:tabs>
        <w:ind w:left="1065" w:hanging="70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6" w15:restartNumberingAfterBreak="0">
    <w:nsid w:val="3EA87AD5"/>
    <w:multiLevelType w:val="hybridMultilevel"/>
    <w:tmpl w:val="3EE653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7" w15:restartNumberingAfterBreak="0">
    <w:nsid w:val="3EE33F1F"/>
    <w:multiLevelType w:val="hybridMultilevel"/>
    <w:tmpl w:val="12A23460"/>
    <w:lvl w:ilvl="0" w:tplc="0C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8" w15:restartNumberingAfterBreak="0">
    <w:nsid w:val="3F0312D9"/>
    <w:multiLevelType w:val="hybridMultilevel"/>
    <w:tmpl w:val="B5FE7D9E"/>
    <w:lvl w:ilvl="0" w:tplc="86D2BB44">
      <w:start w:val="1"/>
      <w:numFmt w:val="decimal"/>
      <w:lvlText w:val="%1."/>
      <w:lvlJc w:val="left"/>
      <w:pPr>
        <w:tabs>
          <w:tab w:val="num" w:pos="1065"/>
        </w:tabs>
        <w:ind w:left="1065" w:hanging="70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9" w15:restartNumberingAfterBreak="0">
    <w:nsid w:val="40AA7ABA"/>
    <w:multiLevelType w:val="hybridMultilevel"/>
    <w:tmpl w:val="44D0767A"/>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00" w15:restartNumberingAfterBreak="0">
    <w:nsid w:val="40BA68A5"/>
    <w:multiLevelType w:val="hybridMultilevel"/>
    <w:tmpl w:val="F5A0B5DA"/>
    <w:lvl w:ilvl="0" w:tplc="240A000F">
      <w:start w:val="1"/>
      <w:numFmt w:val="decimal"/>
      <w:lvlText w:val="%1."/>
      <w:lvlJc w:val="left"/>
      <w:pPr>
        <w:ind w:left="720" w:hanging="360"/>
      </w:pPr>
    </w:lvl>
    <w:lvl w:ilvl="1" w:tplc="6368FC3A">
      <w:start w:val="1"/>
      <w:numFmt w:val="decimal"/>
      <w:lvlText w:val="%2."/>
      <w:lvlJc w:val="left"/>
      <w:pPr>
        <w:ind w:left="1440" w:hanging="360"/>
      </w:pPr>
      <w:rPr>
        <w:rFonts w:hint="default"/>
      </w:rPr>
    </w:lvl>
    <w:lvl w:ilvl="2" w:tplc="E12CDDB2">
      <w:start w:val="1"/>
      <w:numFmt w:val="lowerLetter"/>
      <w:lvlText w:val="%3."/>
      <w:lvlJc w:val="left"/>
      <w:pPr>
        <w:ind w:left="2340" w:hanging="36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1" w15:restartNumberingAfterBreak="0">
    <w:nsid w:val="40DC6B4F"/>
    <w:multiLevelType w:val="hybridMultilevel"/>
    <w:tmpl w:val="0FA237A4"/>
    <w:lvl w:ilvl="0" w:tplc="513869C0">
      <w:start w:val="128"/>
      <w:numFmt w:val="bullet"/>
      <w:lvlText w:val="-"/>
      <w:lvlJc w:val="left"/>
      <w:pPr>
        <w:ind w:left="720" w:hanging="360"/>
      </w:pPr>
      <w:rPr>
        <w:rFonts w:ascii="Verdana" w:eastAsia="Times New Roman" w:hAnsi="Verdana" w:cs="Verdan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2" w15:restartNumberingAfterBreak="0">
    <w:nsid w:val="414667EA"/>
    <w:multiLevelType w:val="hybridMultilevel"/>
    <w:tmpl w:val="27B0E71A"/>
    <w:lvl w:ilvl="0" w:tplc="6714DB36">
      <w:start w:val="1"/>
      <w:numFmt w:val="lowerLetter"/>
      <w:lvlText w:val="%1)"/>
      <w:lvlJc w:val="left"/>
      <w:pPr>
        <w:ind w:left="2061" w:hanging="360"/>
      </w:pPr>
      <w:rPr>
        <w:rFonts w:hint="default"/>
        <w:b w:val="0"/>
      </w:rPr>
    </w:lvl>
    <w:lvl w:ilvl="1" w:tplc="240A0019" w:tentative="1">
      <w:start w:val="1"/>
      <w:numFmt w:val="lowerLetter"/>
      <w:lvlText w:val="%2."/>
      <w:lvlJc w:val="left"/>
      <w:pPr>
        <w:ind w:left="2781" w:hanging="360"/>
      </w:pPr>
    </w:lvl>
    <w:lvl w:ilvl="2" w:tplc="240A001B" w:tentative="1">
      <w:start w:val="1"/>
      <w:numFmt w:val="lowerRoman"/>
      <w:lvlText w:val="%3."/>
      <w:lvlJc w:val="right"/>
      <w:pPr>
        <w:ind w:left="3501" w:hanging="180"/>
      </w:pPr>
    </w:lvl>
    <w:lvl w:ilvl="3" w:tplc="240A000F" w:tentative="1">
      <w:start w:val="1"/>
      <w:numFmt w:val="decimal"/>
      <w:lvlText w:val="%4."/>
      <w:lvlJc w:val="left"/>
      <w:pPr>
        <w:ind w:left="4221" w:hanging="360"/>
      </w:pPr>
    </w:lvl>
    <w:lvl w:ilvl="4" w:tplc="240A0019" w:tentative="1">
      <w:start w:val="1"/>
      <w:numFmt w:val="lowerLetter"/>
      <w:lvlText w:val="%5."/>
      <w:lvlJc w:val="left"/>
      <w:pPr>
        <w:ind w:left="4941" w:hanging="360"/>
      </w:pPr>
    </w:lvl>
    <w:lvl w:ilvl="5" w:tplc="240A001B" w:tentative="1">
      <w:start w:val="1"/>
      <w:numFmt w:val="lowerRoman"/>
      <w:lvlText w:val="%6."/>
      <w:lvlJc w:val="right"/>
      <w:pPr>
        <w:ind w:left="5661" w:hanging="180"/>
      </w:pPr>
    </w:lvl>
    <w:lvl w:ilvl="6" w:tplc="240A000F" w:tentative="1">
      <w:start w:val="1"/>
      <w:numFmt w:val="decimal"/>
      <w:lvlText w:val="%7."/>
      <w:lvlJc w:val="left"/>
      <w:pPr>
        <w:ind w:left="6381" w:hanging="360"/>
      </w:pPr>
    </w:lvl>
    <w:lvl w:ilvl="7" w:tplc="240A0019" w:tentative="1">
      <w:start w:val="1"/>
      <w:numFmt w:val="lowerLetter"/>
      <w:lvlText w:val="%8."/>
      <w:lvlJc w:val="left"/>
      <w:pPr>
        <w:ind w:left="7101" w:hanging="360"/>
      </w:pPr>
    </w:lvl>
    <w:lvl w:ilvl="8" w:tplc="240A001B" w:tentative="1">
      <w:start w:val="1"/>
      <w:numFmt w:val="lowerRoman"/>
      <w:lvlText w:val="%9."/>
      <w:lvlJc w:val="right"/>
      <w:pPr>
        <w:ind w:left="7821" w:hanging="180"/>
      </w:pPr>
    </w:lvl>
  </w:abstractNum>
  <w:abstractNum w:abstractNumId="203" w15:restartNumberingAfterBreak="0">
    <w:nsid w:val="417728C9"/>
    <w:multiLevelType w:val="hybridMultilevel"/>
    <w:tmpl w:val="F864A4B4"/>
    <w:lvl w:ilvl="0" w:tplc="2592C40C">
      <w:start w:val="1"/>
      <w:numFmt w:val="decimal"/>
      <w:lvlText w:val="%1."/>
      <w:lvlJc w:val="left"/>
      <w:pPr>
        <w:tabs>
          <w:tab w:val="num" w:pos="1065"/>
        </w:tabs>
        <w:ind w:left="1065" w:hanging="70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4" w15:restartNumberingAfterBreak="0">
    <w:nsid w:val="41841DB2"/>
    <w:multiLevelType w:val="hybridMultilevel"/>
    <w:tmpl w:val="E70EA146"/>
    <w:lvl w:ilvl="0" w:tplc="8F509724">
      <w:start w:val="1"/>
      <w:numFmt w:val="decimal"/>
      <w:lvlText w:val="%1."/>
      <w:lvlJc w:val="left"/>
      <w:pPr>
        <w:tabs>
          <w:tab w:val="num" w:pos="1065"/>
        </w:tabs>
        <w:ind w:left="1065" w:hanging="70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5" w15:restartNumberingAfterBreak="0">
    <w:nsid w:val="41F35A91"/>
    <w:multiLevelType w:val="hybridMultilevel"/>
    <w:tmpl w:val="0B2CDCE4"/>
    <w:lvl w:ilvl="0" w:tplc="2FFC326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6" w15:restartNumberingAfterBreak="0">
    <w:nsid w:val="42033E99"/>
    <w:multiLevelType w:val="hybridMultilevel"/>
    <w:tmpl w:val="80CA5F4A"/>
    <w:lvl w:ilvl="0" w:tplc="F7A4D1D0">
      <w:start w:val="1"/>
      <w:numFmt w:val="decimal"/>
      <w:lvlText w:val="%1."/>
      <w:lvlJc w:val="left"/>
      <w:pPr>
        <w:ind w:left="502" w:hanging="360"/>
      </w:pPr>
      <w:rPr>
        <w:rFonts w:hint="default"/>
        <w:b w:val="0"/>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207" w15:restartNumberingAfterBreak="0">
    <w:nsid w:val="42126CDD"/>
    <w:multiLevelType w:val="hybridMultilevel"/>
    <w:tmpl w:val="3A02E1FC"/>
    <w:lvl w:ilvl="0" w:tplc="E12CDDB2">
      <w:start w:val="1"/>
      <w:numFmt w:val="lowerLetter"/>
      <w:lvlText w:val="%1."/>
      <w:lvlJc w:val="left"/>
      <w:pPr>
        <w:ind w:left="23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8" w15:restartNumberingAfterBreak="0">
    <w:nsid w:val="429061AF"/>
    <w:multiLevelType w:val="hybridMultilevel"/>
    <w:tmpl w:val="C41AA83C"/>
    <w:lvl w:ilvl="0" w:tplc="9F96DCCC">
      <w:start w:val="1"/>
      <w:numFmt w:val="decimal"/>
      <w:lvlText w:val="%1."/>
      <w:lvlJc w:val="left"/>
      <w:pPr>
        <w:tabs>
          <w:tab w:val="num" w:pos="1065"/>
        </w:tabs>
        <w:ind w:left="1065" w:hanging="70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9" w15:restartNumberingAfterBreak="0">
    <w:nsid w:val="42A61D0F"/>
    <w:multiLevelType w:val="hybridMultilevel"/>
    <w:tmpl w:val="DA1E4A1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0" w15:restartNumberingAfterBreak="0">
    <w:nsid w:val="42BC5635"/>
    <w:multiLevelType w:val="hybridMultilevel"/>
    <w:tmpl w:val="07B0418A"/>
    <w:lvl w:ilvl="0" w:tplc="FFFFFFFF">
      <w:start w:val="1"/>
      <w:numFmt w:val="bullet"/>
      <w:pStyle w:val="VietaPunto"/>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433A4BC2"/>
    <w:multiLevelType w:val="hybridMultilevel"/>
    <w:tmpl w:val="3FFAB7AE"/>
    <w:lvl w:ilvl="0" w:tplc="0C0A001B">
      <w:start w:val="1"/>
      <w:numFmt w:val="lowerRoman"/>
      <w:lvlText w:val="%1."/>
      <w:lvlJc w:val="righ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2" w15:restartNumberingAfterBreak="0">
    <w:nsid w:val="439D2320"/>
    <w:multiLevelType w:val="hybridMultilevel"/>
    <w:tmpl w:val="59EC49C4"/>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13" w15:restartNumberingAfterBreak="0">
    <w:nsid w:val="43A00EBD"/>
    <w:multiLevelType w:val="hybridMultilevel"/>
    <w:tmpl w:val="B1605BEC"/>
    <w:lvl w:ilvl="0" w:tplc="F30CAFA6">
      <w:start w:val="1"/>
      <w:numFmt w:val="lowerLetter"/>
      <w:lvlText w:val="%1."/>
      <w:lvlJc w:val="left"/>
      <w:pPr>
        <w:ind w:left="1004" w:hanging="360"/>
      </w:pPr>
      <w:rPr>
        <w:b w:val="0"/>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14" w15:restartNumberingAfterBreak="0">
    <w:nsid w:val="43B65D72"/>
    <w:multiLevelType w:val="multilevel"/>
    <w:tmpl w:val="86AE5D92"/>
    <w:lvl w:ilvl="0">
      <w:start w:val="2"/>
      <w:numFmt w:val="decimal"/>
      <w:lvlText w:val="%1."/>
      <w:lvlJc w:val="right"/>
      <w:pPr>
        <w:ind w:left="720" w:hanging="360"/>
      </w:pPr>
      <w:rPr>
        <w:rFonts w:hint="default"/>
        <w:b w:val="0"/>
      </w:rPr>
    </w:lvl>
    <w:lvl w:ilvl="1">
      <w:start w:val="1"/>
      <w:numFmt w:val="lowerLetter"/>
      <w:lvlText w:val="%2."/>
      <w:lvlJc w:val="left"/>
      <w:pPr>
        <w:ind w:left="1440" w:hanging="360"/>
      </w:pPr>
      <w:rPr>
        <w:rFonts w:hint="default"/>
        <w:b w:val="0"/>
      </w:rPr>
    </w:lvl>
    <w:lvl w:ilvl="2">
      <w:start w:val="1"/>
      <w:numFmt w:val="lowerRoman"/>
      <w:lvlText w:val="%3."/>
      <w:lvlJc w:val="right"/>
      <w:pPr>
        <w:ind w:left="1882" w:hanging="180"/>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b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val="0"/>
      </w:rPr>
    </w:lvl>
    <w:lvl w:ilvl="7">
      <w:start w:val="1"/>
      <w:numFmt w:val="lowerLetter"/>
      <w:lvlText w:val="%8."/>
      <w:lvlJc w:val="left"/>
      <w:pPr>
        <w:ind w:left="5760" w:hanging="360"/>
      </w:pPr>
      <w:rPr>
        <w:rFonts w:hint="default"/>
        <w:b w:val="0"/>
      </w:rPr>
    </w:lvl>
    <w:lvl w:ilvl="8">
      <w:start w:val="1"/>
      <w:numFmt w:val="lowerRoman"/>
      <w:lvlText w:val="%9."/>
      <w:lvlJc w:val="right"/>
      <w:pPr>
        <w:ind w:left="6480" w:hanging="180"/>
      </w:pPr>
      <w:rPr>
        <w:rFonts w:hint="default"/>
      </w:rPr>
    </w:lvl>
  </w:abstractNum>
  <w:abstractNum w:abstractNumId="215" w15:restartNumberingAfterBreak="0">
    <w:nsid w:val="43DD276E"/>
    <w:multiLevelType w:val="hybridMultilevel"/>
    <w:tmpl w:val="2B3ABF96"/>
    <w:lvl w:ilvl="0" w:tplc="50DEBC38">
      <w:start w:val="1"/>
      <w:numFmt w:val="decimal"/>
      <w:lvlText w:val="%1."/>
      <w:lvlJc w:val="left"/>
      <w:pPr>
        <w:tabs>
          <w:tab w:val="num" w:pos="1065"/>
        </w:tabs>
        <w:ind w:left="1065" w:hanging="70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6" w15:restartNumberingAfterBreak="0">
    <w:nsid w:val="44176893"/>
    <w:multiLevelType w:val="hybridMultilevel"/>
    <w:tmpl w:val="731A1D38"/>
    <w:lvl w:ilvl="0" w:tplc="17BA7C6E">
      <w:start w:val="1"/>
      <w:numFmt w:val="lowerLetter"/>
      <w:lvlText w:val="%1."/>
      <w:lvlJc w:val="left"/>
      <w:pPr>
        <w:ind w:left="720" w:hanging="360"/>
      </w:pPr>
      <w:rPr>
        <w:rFonts w:cs="Arial Narrow"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7" w15:restartNumberingAfterBreak="0">
    <w:nsid w:val="44577841"/>
    <w:multiLevelType w:val="hybridMultilevel"/>
    <w:tmpl w:val="520033A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8" w15:restartNumberingAfterBreak="0">
    <w:nsid w:val="44A35C9F"/>
    <w:multiLevelType w:val="hybridMultilevel"/>
    <w:tmpl w:val="CD2EDC0C"/>
    <w:lvl w:ilvl="0" w:tplc="21482116">
      <w:start w:val="1"/>
      <w:numFmt w:val="decimal"/>
      <w:lvlText w:val="%1."/>
      <w:lvlJc w:val="left"/>
      <w:pPr>
        <w:tabs>
          <w:tab w:val="num" w:pos="705"/>
        </w:tabs>
        <w:ind w:left="705" w:hanging="705"/>
      </w:pPr>
      <w:rPr>
        <w:rFonts w:hint="default"/>
        <w:b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19" w15:restartNumberingAfterBreak="0">
    <w:nsid w:val="45603A0F"/>
    <w:multiLevelType w:val="hybridMultilevel"/>
    <w:tmpl w:val="22AC615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0" w15:restartNumberingAfterBreak="0">
    <w:nsid w:val="45661C53"/>
    <w:multiLevelType w:val="hybridMultilevel"/>
    <w:tmpl w:val="80CA5F4A"/>
    <w:lvl w:ilvl="0" w:tplc="F7A4D1D0">
      <w:start w:val="1"/>
      <w:numFmt w:val="decimal"/>
      <w:lvlText w:val="%1."/>
      <w:lvlJc w:val="left"/>
      <w:pPr>
        <w:ind w:left="1766" w:hanging="360"/>
      </w:pPr>
      <w:rPr>
        <w:rFonts w:hint="default"/>
        <w:b w:val="0"/>
      </w:rPr>
    </w:lvl>
    <w:lvl w:ilvl="1" w:tplc="240A0019" w:tentative="1">
      <w:start w:val="1"/>
      <w:numFmt w:val="lowerLetter"/>
      <w:lvlText w:val="%2."/>
      <w:lvlJc w:val="left"/>
      <w:pPr>
        <w:ind w:left="2486" w:hanging="360"/>
      </w:pPr>
    </w:lvl>
    <w:lvl w:ilvl="2" w:tplc="240A001B" w:tentative="1">
      <w:start w:val="1"/>
      <w:numFmt w:val="lowerRoman"/>
      <w:lvlText w:val="%3."/>
      <w:lvlJc w:val="right"/>
      <w:pPr>
        <w:ind w:left="3206" w:hanging="180"/>
      </w:pPr>
    </w:lvl>
    <w:lvl w:ilvl="3" w:tplc="240A000F" w:tentative="1">
      <w:start w:val="1"/>
      <w:numFmt w:val="decimal"/>
      <w:lvlText w:val="%4."/>
      <w:lvlJc w:val="left"/>
      <w:pPr>
        <w:ind w:left="3926" w:hanging="360"/>
      </w:pPr>
    </w:lvl>
    <w:lvl w:ilvl="4" w:tplc="240A0019" w:tentative="1">
      <w:start w:val="1"/>
      <w:numFmt w:val="lowerLetter"/>
      <w:lvlText w:val="%5."/>
      <w:lvlJc w:val="left"/>
      <w:pPr>
        <w:ind w:left="4646" w:hanging="360"/>
      </w:pPr>
    </w:lvl>
    <w:lvl w:ilvl="5" w:tplc="240A001B" w:tentative="1">
      <w:start w:val="1"/>
      <w:numFmt w:val="lowerRoman"/>
      <w:lvlText w:val="%6."/>
      <w:lvlJc w:val="right"/>
      <w:pPr>
        <w:ind w:left="5366" w:hanging="180"/>
      </w:pPr>
    </w:lvl>
    <w:lvl w:ilvl="6" w:tplc="240A000F" w:tentative="1">
      <w:start w:val="1"/>
      <w:numFmt w:val="decimal"/>
      <w:lvlText w:val="%7."/>
      <w:lvlJc w:val="left"/>
      <w:pPr>
        <w:ind w:left="6086" w:hanging="360"/>
      </w:pPr>
    </w:lvl>
    <w:lvl w:ilvl="7" w:tplc="240A0019" w:tentative="1">
      <w:start w:val="1"/>
      <w:numFmt w:val="lowerLetter"/>
      <w:lvlText w:val="%8."/>
      <w:lvlJc w:val="left"/>
      <w:pPr>
        <w:ind w:left="6806" w:hanging="360"/>
      </w:pPr>
    </w:lvl>
    <w:lvl w:ilvl="8" w:tplc="240A001B" w:tentative="1">
      <w:start w:val="1"/>
      <w:numFmt w:val="lowerRoman"/>
      <w:lvlText w:val="%9."/>
      <w:lvlJc w:val="right"/>
      <w:pPr>
        <w:ind w:left="7526" w:hanging="180"/>
      </w:pPr>
    </w:lvl>
  </w:abstractNum>
  <w:abstractNum w:abstractNumId="221" w15:restartNumberingAfterBreak="0">
    <w:nsid w:val="45842C9D"/>
    <w:multiLevelType w:val="hybridMultilevel"/>
    <w:tmpl w:val="1652BC6A"/>
    <w:lvl w:ilvl="0" w:tplc="C82241E6">
      <w:start w:val="1"/>
      <w:numFmt w:val="decimal"/>
      <w:lvlText w:val="%1."/>
      <w:lvlJc w:val="left"/>
      <w:pPr>
        <w:ind w:left="144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2" w15:restartNumberingAfterBreak="0">
    <w:nsid w:val="461028B2"/>
    <w:multiLevelType w:val="multilevel"/>
    <w:tmpl w:val="DE10B28A"/>
    <w:lvl w:ilvl="0">
      <w:start w:val="1"/>
      <w:numFmt w:val="decimal"/>
      <w:lvlText w:val="%1."/>
      <w:lvlJc w:val="left"/>
      <w:pPr>
        <w:ind w:left="390" w:hanging="390"/>
      </w:pPr>
      <w:rPr>
        <w:rFonts w:hint="default"/>
        <w:b w:val="0"/>
      </w:rPr>
    </w:lvl>
    <w:lvl w:ilvl="1">
      <w:start w:val="1"/>
      <w:numFmt w:val="lowerLetter"/>
      <w:lvlText w:val="%2."/>
      <w:lvlJc w:val="left"/>
      <w:pPr>
        <w:ind w:left="390" w:hanging="39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3" w15:restartNumberingAfterBreak="0">
    <w:nsid w:val="4665508F"/>
    <w:multiLevelType w:val="multilevel"/>
    <w:tmpl w:val="A698C2C4"/>
    <w:lvl w:ilvl="0">
      <w:start w:val="1"/>
      <w:numFmt w:val="decimal"/>
      <w:lvlText w:val="%1."/>
      <w:lvlJc w:val="left"/>
      <w:pPr>
        <w:ind w:left="390" w:hanging="390"/>
      </w:pPr>
      <w:rPr>
        <w:rFonts w:hint="default"/>
        <w:b w:val="0"/>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4" w15:restartNumberingAfterBreak="0">
    <w:nsid w:val="4689304A"/>
    <w:multiLevelType w:val="hybridMultilevel"/>
    <w:tmpl w:val="451EFAD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5" w15:restartNumberingAfterBreak="0">
    <w:nsid w:val="474F59D1"/>
    <w:multiLevelType w:val="hybridMultilevel"/>
    <w:tmpl w:val="2F6CC832"/>
    <w:lvl w:ilvl="0" w:tplc="240A0019">
      <w:start w:val="1"/>
      <w:numFmt w:val="lowerLetter"/>
      <w:lvlText w:val="%1."/>
      <w:lvlJc w:val="left"/>
      <w:pPr>
        <w:ind w:left="720" w:hanging="360"/>
      </w:pPr>
    </w:lvl>
    <w:lvl w:ilvl="1" w:tplc="240A001B">
      <w:start w:val="1"/>
      <w:numFmt w:val="lowerRoman"/>
      <w:lvlText w:val="%2."/>
      <w:lvlJc w:val="righ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6" w15:restartNumberingAfterBreak="0">
    <w:nsid w:val="475B39E5"/>
    <w:multiLevelType w:val="multilevel"/>
    <w:tmpl w:val="9468EBE0"/>
    <w:lvl w:ilvl="0">
      <w:start w:val="2"/>
      <w:numFmt w:val="decimal"/>
      <w:lvlText w:val="%1."/>
      <w:lvlJc w:val="right"/>
      <w:pPr>
        <w:ind w:left="720" w:hanging="360"/>
      </w:pPr>
      <w:rPr>
        <w:rFonts w:hint="default"/>
        <w:b w:val="0"/>
      </w:rPr>
    </w:lvl>
    <w:lvl w:ilvl="1">
      <w:start w:val="1"/>
      <w:numFmt w:val="lowerLetter"/>
      <w:lvlText w:val="%2."/>
      <w:lvlJc w:val="left"/>
      <w:pPr>
        <w:ind w:left="1440" w:hanging="360"/>
      </w:pPr>
      <w:rPr>
        <w:rFonts w:hint="default"/>
        <w:b w:val="0"/>
      </w:rPr>
    </w:lvl>
    <w:lvl w:ilvl="2">
      <w:start w:val="1"/>
      <w:numFmt w:val="lowerRoman"/>
      <w:lvlText w:val="%3."/>
      <w:lvlJc w:val="right"/>
      <w:pPr>
        <w:ind w:left="1882" w:hanging="180"/>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b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val="0"/>
        <w:spacing w:val="-24"/>
        <w:w w:val="100"/>
        <w:sz w:val="24"/>
        <w:szCs w:val="24"/>
        <w:lang w:val="es-ES" w:eastAsia="es-ES" w:bidi="es-ES"/>
      </w:rPr>
    </w:lvl>
    <w:lvl w:ilvl="7">
      <w:start w:val="1"/>
      <w:numFmt w:val="lowerLetter"/>
      <w:lvlText w:val="%8."/>
      <w:lvlJc w:val="left"/>
      <w:pPr>
        <w:ind w:left="5760" w:hanging="360"/>
      </w:pPr>
      <w:rPr>
        <w:rFonts w:hint="default"/>
        <w:b w:val="0"/>
      </w:rPr>
    </w:lvl>
    <w:lvl w:ilvl="8">
      <w:start w:val="1"/>
      <w:numFmt w:val="lowerRoman"/>
      <w:lvlText w:val="%9."/>
      <w:lvlJc w:val="right"/>
      <w:pPr>
        <w:ind w:left="6480" w:hanging="180"/>
      </w:pPr>
      <w:rPr>
        <w:rFonts w:hint="default"/>
      </w:rPr>
    </w:lvl>
  </w:abstractNum>
  <w:abstractNum w:abstractNumId="227" w15:restartNumberingAfterBreak="0">
    <w:nsid w:val="47B77017"/>
    <w:multiLevelType w:val="hybridMultilevel"/>
    <w:tmpl w:val="EF704F0A"/>
    <w:lvl w:ilvl="0" w:tplc="04090019">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228" w15:restartNumberingAfterBreak="0">
    <w:nsid w:val="47E31A3A"/>
    <w:multiLevelType w:val="multilevel"/>
    <w:tmpl w:val="6DBC30F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2"/>
      <w:numFmt w:val="lowerRoman"/>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lowerLetter"/>
      <w:lvlText w:val="%7."/>
      <w:lvlJc w:val="left"/>
      <w:pPr>
        <w:tabs>
          <w:tab w:val="num" w:pos="2520"/>
        </w:tabs>
        <w:ind w:left="2520" w:hanging="360"/>
      </w:pPr>
      <w:rPr>
        <w:rFonts w:hint="default"/>
        <w:b w:val="0"/>
        <w:color w:val="auto"/>
        <w:u w:val="none"/>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9" w15:restartNumberingAfterBreak="0">
    <w:nsid w:val="488150A7"/>
    <w:multiLevelType w:val="multilevel"/>
    <w:tmpl w:val="DE10B28A"/>
    <w:lvl w:ilvl="0">
      <w:start w:val="1"/>
      <w:numFmt w:val="decimal"/>
      <w:lvlText w:val="%1."/>
      <w:lvlJc w:val="left"/>
      <w:pPr>
        <w:ind w:left="390" w:hanging="390"/>
      </w:pPr>
      <w:rPr>
        <w:rFonts w:hint="default"/>
        <w:b w:val="0"/>
      </w:rPr>
    </w:lvl>
    <w:lvl w:ilvl="1">
      <w:start w:val="1"/>
      <w:numFmt w:val="lowerLetter"/>
      <w:lvlText w:val="%2."/>
      <w:lvlJc w:val="left"/>
      <w:pPr>
        <w:ind w:left="390" w:hanging="39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0" w15:restartNumberingAfterBreak="0">
    <w:nsid w:val="48E06BA6"/>
    <w:multiLevelType w:val="hybridMultilevel"/>
    <w:tmpl w:val="D9DECE6E"/>
    <w:lvl w:ilvl="0" w:tplc="C89EED16">
      <w:start w:val="1"/>
      <w:numFmt w:val="lowerLetter"/>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1" w15:restartNumberingAfterBreak="0">
    <w:nsid w:val="49561D08"/>
    <w:multiLevelType w:val="hybridMultilevel"/>
    <w:tmpl w:val="4D647C8E"/>
    <w:lvl w:ilvl="0" w:tplc="E8DE0E6A">
      <w:start w:val="1"/>
      <w:numFmt w:val="lowerLetter"/>
      <w:lvlText w:val="%1."/>
      <w:lvlJc w:val="left"/>
      <w:pPr>
        <w:ind w:left="1065" w:hanging="360"/>
      </w:pPr>
      <w:rPr>
        <w:rFonts w:hint="default"/>
        <w:b w:val="0"/>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32" w15:restartNumberingAfterBreak="0">
    <w:nsid w:val="495A43E4"/>
    <w:multiLevelType w:val="hybridMultilevel"/>
    <w:tmpl w:val="C41AA83C"/>
    <w:lvl w:ilvl="0" w:tplc="9F96DCCC">
      <w:start w:val="1"/>
      <w:numFmt w:val="decimal"/>
      <w:lvlText w:val="%1."/>
      <w:lvlJc w:val="left"/>
      <w:pPr>
        <w:tabs>
          <w:tab w:val="num" w:pos="1065"/>
        </w:tabs>
        <w:ind w:left="1065" w:hanging="70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3" w15:restartNumberingAfterBreak="0">
    <w:nsid w:val="4980091F"/>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4" w15:restartNumberingAfterBreak="0">
    <w:nsid w:val="4A380443"/>
    <w:multiLevelType w:val="hybridMultilevel"/>
    <w:tmpl w:val="A12A5FB0"/>
    <w:lvl w:ilvl="0" w:tplc="240A000F">
      <w:start w:val="1"/>
      <w:numFmt w:val="decimal"/>
      <w:lvlText w:val="%1."/>
      <w:lvlJc w:val="left"/>
      <w:pPr>
        <w:ind w:left="720" w:hanging="360"/>
      </w:pPr>
      <w:rPr>
        <w:rFonts w:hint="default"/>
      </w:rPr>
    </w:lvl>
    <w:lvl w:ilvl="1" w:tplc="47B67FDA">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5" w15:restartNumberingAfterBreak="0">
    <w:nsid w:val="4A486FA9"/>
    <w:multiLevelType w:val="hybridMultilevel"/>
    <w:tmpl w:val="56AEC3DA"/>
    <w:lvl w:ilvl="0" w:tplc="240A000F">
      <w:start w:val="1"/>
      <w:numFmt w:val="decimal"/>
      <w:lvlText w:val="%1."/>
      <w:lvlJc w:val="left"/>
      <w:pPr>
        <w:ind w:left="753" w:hanging="360"/>
      </w:pPr>
      <w:rPr>
        <w:b w:val="0"/>
      </w:rPr>
    </w:lvl>
    <w:lvl w:ilvl="1" w:tplc="240A0019" w:tentative="1">
      <w:start w:val="1"/>
      <w:numFmt w:val="lowerLetter"/>
      <w:lvlText w:val="%2."/>
      <w:lvlJc w:val="left"/>
      <w:pPr>
        <w:ind w:left="1473" w:hanging="360"/>
      </w:pPr>
    </w:lvl>
    <w:lvl w:ilvl="2" w:tplc="240A001B" w:tentative="1">
      <w:start w:val="1"/>
      <w:numFmt w:val="lowerRoman"/>
      <w:lvlText w:val="%3."/>
      <w:lvlJc w:val="right"/>
      <w:pPr>
        <w:ind w:left="2193" w:hanging="180"/>
      </w:pPr>
    </w:lvl>
    <w:lvl w:ilvl="3" w:tplc="240A000F" w:tentative="1">
      <w:start w:val="1"/>
      <w:numFmt w:val="decimal"/>
      <w:lvlText w:val="%4."/>
      <w:lvlJc w:val="left"/>
      <w:pPr>
        <w:ind w:left="2913" w:hanging="360"/>
      </w:pPr>
    </w:lvl>
    <w:lvl w:ilvl="4" w:tplc="240A0019" w:tentative="1">
      <w:start w:val="1"/>
      <w:numFmt w:val="lowerLetter"/>
      <w:lvlText w:val="%5."/>
      <w:lvlJc w:val="left"/>
      <w:pPr>
        <w:ind w:left="3633" w:hanging="360"/>
      </w:pPr>
    </w:lvl>
    <w:lvl w:ilvl="5" w:tplc="240A001B" w:tentative="1">
      <w:start w:val="1"/>
      <w:numFmt w:val="lowerRoman"/>
      <w:lvlText w:val="%6."/>
      <w:lvlJc w:val="right"/>
      <w:pPr>
        <w:ind w:left="4353" w:hanging="180"/>
      </w:pPr>
    </w:lvl>
    <w:lvl w:ilvl="6" w:tplc="240A000F" w:tentative="1">
      <w:start w:val="1"/>
      <w:numFmt w:val="decimal"/>
      <w:lvlText w:val="%7."/>
      <w:lvlJc w:val="left"/>
      <w:pPr>
        <w:ind w:left="5073" w:hanging="360"/>
      </w:pPr>
    </w:lvl>
    <w:lvl w:ilvl="7" w:tplc="240A0019" w:tentative="1">
      <w:start w:val="1"/>
      <w:numFmt w:val="lowerLetter"/>
      <w:lvlText w:val="%8."/>
      <w:lvlJc w:val="left"/>
      <w:pPr>
        <w:ind w:left="5793" w:hanging="360"/>
      </w:pPr>
    </w:lvl>
    <w:lvl w:ilvl="8" w:tplc="240A001B" w:tentative="1">
      <w:start w:val="1"/>
      <w:numFmt w:val="lowerRoman"/>
      <w:lvlText w:val="%9."/>
      <w:lvlJc w:val="right"/>
      <w:pPr>
        <w:ind w:left="6513" w:hanging="180"/>
      </w:pPr>
    </w:lvl>
  </w:abstractNum>
  <w:abstractNum w:abstractNumId="236" w15:restartNumberingAfterBreak="0">
    <w:nsid w:val="4AD46D6E"/>
    <w:multiLevelType w:val="hybridMultilevel"/>
    <w:tmpl w:val="39968850"/>
    <w:lvl w:ilvl="0" w:tplc="C63ED3EC">
      <w:start w:val="1"/>
      <w:numFmt w:val="decimal"/>
      <w:lvlText w:val="%1."/>
      <w:lvlJc w:val="left"/>
      <w:pPr>
        <w:tabs>
          <w:tab w:val="num" w:pos="360"/>
        </w:tabs>
        <w:ind w:left="360" w:hanging="360"/>
      </w:pPr>
      <w:rPr>
        <w:rFonts w:ascii="Arial Narrow" w:eastAsia="Times New Roman" w:hAnsi="Arial Narrow" w:cs="Arial"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37" w15:restartNumberingAfterBreak="0">
    <w:nsid w:val="4AF730DD"/>
    <w:multiLevelType w:val="hybridMultilevel"/>
    <w:tmpl w:val="9A5E9C1E"/>
    <w:lvl w:ilvl="0" w:tplc="0C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8" w15:restartNumberingAfterBreak="0">
    <w:nsid w:val="4B76282D"/>
    <w:multiLevelType w:val="hybridMultilevel"/>
    <w:tmpl w:val="9E8CE752"/>
    <w:lvl w:ilvl="0" w:tplc="B5A651A2">
      <w:start w:val="1"/>
      <w:numFmt w:val="decimal"/>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9" w15:restartNumberingAfterBreak="0">
    <w:nsid w:val="4BC20FC7"/>
    <w:multiLevelType w:val="hybridMultilevel"/>
    <w:tmpl w:val="E28C9EEA"/>
    <w:lvl w:ilvl="0" w:tplc="86B2D70C">
      <w:numFmt w:val="bullet"/>
      <w:lvlText w:val="•"/>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0" w15:restartNumberingAfterBreak="0">
    <w:nsid w:val="4BDF6BD1"/>
    <w:multiLevelType w:val="hybridMultilevel"/>
    <w:tmpl w:val="44D0767A"/>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41" w15:restartNumberingAfterBreak="0">
    <w:nsid w:val="4BF10FF0"/>
    <w:multiLevelType w:val="hybridMultilevel"/>
    <w:tmpl w:val="3372F822"/>
    <w:lvl w:ilvl="0" w:tplc="240A000D">
      <w:start w:val="1"/>
      <w:numFmt w:val="bullet"/>
      <w:lvlText w:val=""/>
      <w:lvlJc w:val="left"/>
      <w:pPr>
        <w:ind w:left="2171" w:hanging="360"/>
      </w:pPr>
      <w:rPr>
        <w:rFonts w:ascii="Wingdings" w:hAnsi="Wingdings" w:hint="default"/>
      </w:rPr>
    </w:lvl>
    <w:lvl w:ilvl="1" w:tplc="240A0003" w:tentative="1">
      <w:start w:val="1"/>
      <w:numFmt w:val="bullet"/>
      <w:lvlText w:val="o"/>
      <w:lvlJc w:val="left"/>
      <w:pPr>
        <w:ind w:left="2891" w:hanging="360"/>
      </w:pPr>
      <w:rPr>
        <w:rFonts w:ascii="Courier New" w:hAnsi="Courier New" w:cs="Courier New" w:hint="default"/>
      </w:rPr>
    </w:lvl>
    <w:lvl w:ilvl="2" w:tplc="240A0005" w:tentative="1">
      <w:start w:val="1"/>
      <w:numFmt w:val="bullet"/>
      <w:lvlText w:val=""/>
      <w:lvlJc w:val="left"/>
      <w:pPr>
        <w:ind w:left="3611" w:hanging="360"/>
      </w:pPr>
      <w:rPr>
        <w:rFonts w:ascii="Wingdings" w:hAnsi="Wingdings" w:hint="default"/>
      </w:rPr>
    </w:lvl>
    <w:lvl w:ilvl="3" w:tplc="240A0001" w:tentative="1">
      <w:start w:val="1"/>
      <w:numFmt w:val="bullet"/>
      <w:lvlText w:val=""/>
      <w:lvlJc w:val="left"/>
      <w:pPr>
        <w:ind w:left="4331" w:hanging="360"/>
      </w:pPr>
      <w:rPr>
        <w:rFonts w:ascii="Symbol" w:hAnsi="Symbol" w:hint="default"/>
      </w:rPr>
    </w:lvl>
    <w:lvl w:ilvl="4" w:tplc="240A0003" w:tentative="1">
      <w:start w:val="1"/>
      <w:numFmt w:val="bullet"/>
      <w:lvlText w:val="o"/>
      <w:lvlJc w:val="left"/>
      <w:pPr>
        <w:ind w:left="5051" w:hanging="360"/>
      </w:pPr>
      <w:rPr>
        <w:rFonts w:ascii="Courier New" w:hAnsi="Courier New" w:cs="Courier New" w:hint="default"/>
      </w:rPr>
    </w:lvl>
    <w:lvl w:ilvl="5" w:tplc="240A0005" w:tentative="1">
      <w:start w:val="1"/>
      <w:numFmt w:val="bullet"/>
      <w:lvlText w:val=""/>
      <w:lvlJc w:val="left"/>
      <w:pPr>
        <w:ind w:left="5771" w:hanging="360"/>
      </w:pPr>
      <w:rPr>
        <w:rFonts w:ascii="Wingdings" w:hAnsi="Wingdings" w:hint="default"/>
      </w:rPr>
    </w:lvl>
    <w:lvl w:ilvl="6" w:tplc="240A0001" w:tentative="1">
      <w:start w:val="1"/>
      <w:numFmt w:val="bullet"/>
      <w:lvlText w:val=""/>
      <w:lvlJc w:val="left"/>
      <w:pPr>
        <w:ind w:left="6491" w:hanging="360"/>
      </w:pPr>
      <w:rPr>
        <w:rFonts w:ascii="Symbol" w:hAnsi="Symbol" w:hint="default"/>
      </w:rPr>
    </w:lvl>
    <w:lvl w:ilvl="7" w:tplc="240A0003" w:tentative="1">
      <w:start w:val="1"/>
      <w:numFmt w:val="bullet"/>
      <w:lvlText w:val="o"/>
      <w:lvlJc w:val="left"/>
      <w:pPr>
        <w:ind w:left="7211" w:hanging="360"/>
      </w:pPr>
      <w:rPr>
        <w:rFonts w:ascii="Courier New" w:hAnsi="Courier New" w:cs="Courier New" w:hint="default"/>
      </w:rPr>
    </w:lvl>
    <w:lvl w:ilvl="8" w:tplc="240A0005" w:tentative="1">
      <w:start w:val="1"/>
      <w:numFmt w:val="bullet"/>
      <w:lvlText w:val=""/>
      <w:lvlJc w:val="left"/>
      <w:pPr>
        <w:ind w:left="7931" w:hanging="360"/>
      </w:pPr>
      <w:rPr>
        <w:rFonts w:ascii="Wingdings" w:hAnsi="Wingdings" w:hint="default"/>
      </w:rPr>
    </w:lvl>
  </w:abstractNum>
  <w:abstractNum w:abstractNumId="242" w15:restartNumberingAfterBreak="0">
    <w:nsid w:val="4C0F2A6A"/>
    <w:multiLevelType w:val="hybridMultilevel"/>
    <w:tmpl w:val="04301C7E"/>
    <w:lvl w:ilvl="0" w:tplc="4EE8721C">
      <w:start w:val="1"/>
      <w:numFmt w:val="decimal"/>
      <w:lvlText w:val="%1."/>
      <w:lvlJc w:val="left"/>
      <w:pPr>
        <w:ind w:left="747" w:hanging="566"/>
        <w:jc w:val="right"/>
      </w:pPr>
      <w:rPr>
        <w:rFonts w:ascii="Arial Narrow" w:eastAsia="Arial" w:hAnsi="Arial Narrow" w:cs="Arial" w:hint="default"/>
        <w:b w:val="0"/>
        <w:bCs/>
        <w:spacing w:val="-24"/>
        <w:w w:val="100"/>
        <w:sz w:val="24"/>
        <w:szCs w:val="24"/>
        <w:lang w:val="es-ES" w:eastAsia="es-ES" w:bidi="es-ES"/>
      </w:rPr>
    </w:lvl>
    <w:lvl w:ilvl="1" w:tplc="458A3576">
      <w:start w:val="1"/>
      <w:numFmt w:val="lowerLetter"/>
      <w:lvlText w:val="%2."/>
      <w:lvlJc w:val="left"/>
      <w:pPr>
        <w:ind w:left="961" w:hanging="360"/>
      </w:pPr>
      <w:rPr>
        <w:rFonts w:ascii="Arial Narrow" w:eastAsia="Calibri" w:hAnsi="Arial Narrow" w:cs="Times New Roman"/>
        <w:w w:val="100"/>
        <w:sz w:val="24"/>
        <w:szCs w:val="24"/>
      </w:rPr>
    </w:lvl>
    <w:lvl w:ilvl="2" w:tplc="38346B4A">
      <w:numFmt w:val="bullet"/>
      <w:lvlText w:val="-"/>
      <w:lvlJc w:val="left"/>
      <w:pPr>
        <w:ind w:left="1249" w:hanging="360"/>
      </w:pPr>
      <w:rPr>
        <w:rFonts w:ascii="Arial" w:eastAsia="Arial" w:hAnsi="Arial" w:cs="Arial" w:hint="default"/>
        <w:w w:val="92"/>
        <w:sz w:val="21"/>
        <w:szCs w:val="21"/>
      </w:rPr>
    </w:lvl>
    <w:lvl w:ilvl="3" w:tplc="86B2D70C">
      <w:numFmt w:val="bullet"/>
      <w:lvlText w:val="•"/>
      <w:lvlJc w:val="left"/>
      <w:pPr>
        <w:ind w:left="1240" w:hanging="360"/>
      </w:pPr>
      <w:rPr>
        <w:rFonts w:hint="default"/>
      </w:rPr>
    </w:lvl>
    <w:lvl w:ilvl="4" w:tplc="7D5EF0D0">
      <w:numFmt w:val="bullet"/>
      <w:lvlText w:val="•"/>
      <w:lvlJc w:val="left"/>
      <w:pPr>
        <w:ind w:left="2351" w:hanging="360"/>
      </w:pPr>
      <w:rPr>
        <w:rFonts w:hint="default"/>
      </w:rPr>
    </w:lvl>
    <w:lvl w:ilvl="5" w:tplc="0144CC8C">
      <w:numFmt w:val="bullet"/>
      <w:lvlText w:val="•"/>
      <w:lvlJc w:val="left"/>
      <w:pPr>
        <w:ind w:left="3462" w:hanging="360"/>
      </w:pPr>
      <w:rPr>
        <w:rFonts w:hint="default"/>
      </w:rPr>
    </w:lvl>
    <w:lvl w:ilvl="6" w:tplc="A8E88166">
      <w:numFmt w:val="bullet"/>
      <w:lvlText w:val="•"/>
      <w:lvlJc w:val="left"/>
      <w:pPr>
        <w:ind w:left="4574" w:hanging="360"/>
      </w:pPr>
      <w:rPr>
        <w:rFonts w:hint="default"/>
      </w:rPr>
    </w:lvl>
    <w:lvl w:ilvl="7" w:tplc="90D0170A">
      <w:numFmt w:val="bullet"/>
      <w:lvlText w:val="•"/>
      <w:lvlJc w:val="left"/>
      <w:pPr>
        <w:ind w:left="5685" w:hanging="360"/>
      </w:pPr>
      <w:rPr>
        <w:rFonts w:hint="default"/>
      </w:rPr>
    </w:lvl>
    <w:lvl w:ilvl="8" w:tplc="2D6CD770">
      <w:numFmt w:val="bullet"/>
      <w:lvlText w:val="•"/>
      <w:lvlJc w:val="left"/>
      <w:pPr>
        <w:ind w:left="6797" w:hanging="360"/>
      </w:pPr>
      <w:rPr>
        <w:rFonts w:hint="default"/>
      </w:rPr>
    </w:lvl>
  </w:abstractNum>
  <w:abstractNum w:abstractNumId="243" w15:restartNumberingAfterBreak="0">
    <w:nsid w:val="4CA342B7"/>
    <w:multiLevelType w:val="hybridMultilevel"/>
    <w:tmpl w:val="B50AF7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4" w15:restartNumberingAfterBreak="0">
    <w:nsid w:val="4CAC1B35"/>
    <w:multiLevelType w:val="hybridMultilevel"/>
    <w:tmpl w:val="E09C65B8"/>
    <w:lvl w:ilvl="0" w:tplc="A88A3588">
      <w:start w:val="1"/>
      <w:numFmt w:val="decimal"/>
      <w:lvlText w:val="%1."/>
      <w:lvlJc w:val="left"/>
      <w:pPr>
        <w:tabs>
          <w:tab w:val="num" w:pos="705"/>
        </w:tabs>
        <w:ind w:left="705" w:hanging="705"/>
      </w:pPr>
      <w:rPr>
        <w:rFonts w:hint="default"/>
        <w:b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45" w15:restartNumberingAfterBreak="0">
    <w:nsid w:val="4DA3310B"/>
    <w:multiLevelType w:val="hybridMultilevel"/>
    <w:tmpl w:val="4CFA92CA"/>
    <w:lvl w:ilvl="0" w:tplc="FD66F856">
      <w:start w:val="1"/>
      <w:numFmt w:val="decimal"/>
      <w:lvlText w:val="%1."/>
      <w:lvlJc w:val="left"/>
      <w:pPr>
        <w:tabs>
          <w:tab w:val="num" w:pos="1065"/>
        </w:tabs>
        <w:ind w:left="1065" w:hanging="70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6" w15:restartNumberingAfterBreak="0">
    <w:nsid w:val="4E100D46"/>
    <w:multiLevelType w:val="hybridMultilevel"/>
    <w:tmpl w:val="4D78693E"/>
    <w:lvl w:ilvl="0" w:tplc="4098775A">
      <w:start w:val="1"/>
      <w:numFmt w:val="decimal"/>
      <w:lvlText w:val="%1."/>
      <w:lvlJc w:val="left"/>
      <w:pPr>
        <w:ind w:left="535" w:hanging="360"/>
      </w:pPr>
      <w:rPr>
        <w:rFonts w:hint="default"/>
        <w:color w:val="auto"/>
        <w:u w:val="none"/>
      </w:rPr>
    </w:lvl>
    <w:lvl w:ilvl="1" w:tplc="240A0019" w:tentative="1">
      <w:start w:val="1"/>
      <w:numFmt w:val="lowerLetter"/>
      <w:lvlText w:val="%2."/>
      <w:lvlJc w:val="left"/>
      <w:pPr>
        <w:ind w:left="1255" w:hanging="360"/>
      </w:pPr>
    </w:lvl>
    <w:lvl w:ilvl="2" w:tplc="240A001B" w:tentative="1">
      <w:start w:val="1"/>
      <w:numFmt w:val="lowerRoman"/>
      <w:lvlText w:val="%3."/>
      <w:lvlJc w:val="right"/>
      <w:pPr>
        <w:ind w:left="1975" w:hanging="180"/>
      </w:pPr>
    </w:lvl>
    <w:lvl w:ilvl="3" w:tplc="240A000F" w:tentative="1">
      <w:start w:val="1"/>
      <w:numFmt w:val="decimal"/>
      <w:lvlText w:val="%4."/>
      <w:lvlJc w:val="left"/>
      <w:pPr>
        <w:ind w:left="2695" w:hanging="360"/>
      </w:pPr>
    </w:lvl>
    <w:lvl w:ilvl="4" w:tplc="240A0019" w:tentative="1">
      <w:start w:val="1"/>
      <w:numFmt w:val="lowerLetter"/>
      <w:lvlText w:val="%5."/>
      <w:lvlJc w:val="left"/>
      <w:pPr>
        <w:ind w:left="3415" w:hanging="360"/>
      </w:pPr>
    </w:lvl>
    <w:lvl w:ilvl="5" w:tplc="240A001B" w:tentative="1">
      <w:start w:val="1"/>
      <w:numFmt w:val="lowerRoman"/>
      <w:lvlText w:val="%6."/>
      <w:lvlJc w:val="right"/>
      <w:pPr>
        <w:ind w:left="4135" w:hanging="180"/>
      </w:pPr>
    </w:lvl>
    <w:lvl w:ilvl="6" w:tplc="240A000F" w:tentative="1">
      <w:start w:val="1"/>
      <w:numFmt w:val="decimal"/>
      <w:lvlText w:val="%7."/>
      <w:lvlJc w:val="left"/>
      <w:pPr>
        <w:ind w:left="4855" w:hanging="360"/>
      </w:pPr>
    </w:lvl>
    <w:lvl w:ilvl="7" w:tplc="240A0019" w:tentative="1">
      <w:start w:val="1"/>
      <w:numFmt w:val="lowerLetter"/>
      <w:lvlText w:val="%8."/>
      <w:lvlJc w:val="left"/>
      <w:pPr>
        <w:ind w:left="5575" w:hanging="360"/>
      </w:pPr>
    </w:lvl>
    <w:lvl w:ilvl="8" w:tplc="240A001B" w:tentative="1">
      <w:start w:val="1"/>
      <w:numFmt w:val="lowerRoman"/>
      <w:lvlText w:val="%9."/>
      <w:lvlJc w:val="right"/>
      <w:pPr>
        <w:ind w:left="6295" w:hanging="180"/>
      </w:pPr>
    </w:lvl>
  </w:abstractNum>
  <w:abstractNum w:abstractNumId="247" w15:restartNumberingAfterBreak="0">
    <w:nsid w:val="4E3C1BB4"/>
    <w:multiLevelType w:val="hybridMultilevel"/>
    <w:tmpl w:val="B1605BEC"/>
    <w:lvl w:ilvl="0" w:tplc="F30CAFA6">
      <w:start w:val="1"/>
      <w:numFmt w:val="lowerLetter"/>
      <w:lvlText w:val="%1."/>
      <w:lvlJc w:val="left"/>
      <w:pPr>
        <w:ind w:left="1004" w:hanging="360"/>
      </w:pPr>
      <w:rPr>
        <w:b w:val="0"/>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48" w15:restartNumberingAfterBreak="0">
    <w:nsid w:val="4F7044A5"/>
    <w:multiLevelType w:val="hybridMultilevel"/>
    <w:tmpl w:val="A3CA303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9" w15:restartNumberingAfterBreak="0">
    <w:nsid w:val="4FAD6DD4"/>
    <w:multiLevelType w:val="hybridMultilevel"/>
    <w:tmpl w:val="779E4E26"/>
    <w:lvl w:ilvl="0" w:tplc="8938D15C">
      <w:start w:val="1"/>
      <w:numFmt w:val="decimal"/>
      <w:lvlText w:val="%1."/>
      <w:lvlJc w:val="left"/>
      <w:pPr>
        <w:ind w:left="720" w:hanging="360"/>
      </w:pPr>
      <w:rPr>
        <w:rFonts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0" w15:restartNumberingAfterBreak="0">
    <w:nsid w:val="4FF23964"/>
    <w:multiLevelType w:val="hybridMultilevel"/>
    <w:tmpl w:val="BEF44256"/>
    <w:lvl w:ilvl="0" w:tplc="240A0019">
      <w:start w:val="1"/>
      <w:numFmt w:val="lowerLetter"/>
      <w:lvlText w:val="%1."/>
      <w:lvlJc w:val="left"/>
      <w:pPr>
        <w:ind w:left="2340" w:hanging="360"/>
      </w:pPr>
    </w:lvl>
    <w:lvl w:ilvl="1" w:tplc="240A0019" w:tentative="1">
      <w:start w:val="1"/>
      <w:numFmt w:val="lowerLetter"/>
      <w:lvlText w:val="%2."/>
      <w:lvlJc w:val="left"/>
      <w:pPr>
        <w:ind w:left="3060" w:hanging="360"/>
      </w:pPr>
    </w:lvl>
    <w:lvl w:ilvl="2" w:tplc="240A001B" w:tentative="1">
      <w:start w:val="1"/>
      <w:numFmt w:val="lowerRoman"/>
      <w:lvlText w:val="%3."/>
      <w:lvlJc w:val="right"/>
      <w:pPr>
        <w:ind w:left="3780" w:hanging="180"/>
      </w:pPr>
    </w:lvl>
    <w:lvl w:ilvl="3" w:tplc="240A000F" w:tentative="1">
      <w:start w:val="1"/>
      <w:numFmt w:val="decimal"/>
      <w:lvlText w:val="%4."/>
      <w:lvlJc w:val="left"/>
      <w:pPr>
        <w:ind w:left="4500" w:hanging="360"/>
      </w:pPr>
    </w:lvl>
    <w:lvl w:ilvl="4" w:tplc="240A0019" w:tentative="1">
      <w:start w:val="1"/>
      <w:numFmt w:val="lowerLetter"/>
      <w:lvlText w:val="%5."/>
      <w:lvlJc w:val="left"/>
      <w:pPr>
        <w:ind w:left="5220" w:hanging="360"/>
      </w:pPr>
    </w:lvl>
    <w:lvl w:ilvl="5" w:tplc="240A001B" w:tentative="1">
      <w:start w:val="1"/>
      <w:numFmt w:val="lowerRoman"/>
      <w:lvlText w:val="%6."/>
      <w:lvlJc w:val="right"/>
      <w:pPr>
        <w:ind w:left="5940" w:hanging="180"/>
      </w:pPr>
    </w:lvl>
    <w:lvl w:ilvl="6" w:tplc="240A000F" w:tentative="1">
      <w:start w:val="1"/>
      <w:numFmt w:val="decimal"/>
      <w:lvlText w:val="%7."/>
      <w:lvlJc w:val="left"/>
      <w:pPr>
        <w:ind w:left="6660" w:hanging="360"/>
      </w:pPr>
    </w:lvl>
    <w:lvl w:ilvl="7" w:tplc="240A0019" w:tentative="1">
      <w:start w:val="1"/>
      <w:numFmt w:val="lowerLetter"/>
      <w:lvlText w:val="%8."/>
      <w:lvlJc w:val="left"/>
      <w:pPr>
        <w:ind w:left="7380" w:hanging="360"/>
      </w:pPr>
    </w:lvl>
    <w:lvl w:ilvl="8" w:tplc="240A001B" w:tentative="1">
      <w:start w:val="1"/>
      <w:numFmt w:val="lowerRoman"/>
      <w:lvlText w:val="%9."/>
      <w:lvlJc w:val="right"/>
      <w:pPr>
        <w:ind w:left="8100" w:hanging="180"/>
      </w:pPr>
    </w:lvl>
  </w:abstractNum>
  <w:abstractNum w:abstractNumId="251" w15:restartNumberingAfterBreak="0">
    <w:nsid w:val="506D34EF"/>
    <w:multiLevelType w:val="hybridMultilevel"/>
    <w:tmpl w:val="D576D18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2" w15:restartNumberingAfterBreak="0">
    <w:nsid w:val="506E46A1"/>
    <w:multiLevelType w:val="multilevel"/>
    <w:tmpl w:val="B51693CE"/>
    <w:lvl w:ilvl="0">
      <w:start w:val="1"/>
      <w:numFmt w:val="decimal"/>
      <w:lvlText w:val="%1."/>
      <w:lvlJc w:val="left"/>
      <w:pPr>
        <w:tabs>
          <w:tab w:val="num" w:pos="360"/>
        </w:tabs>
        <w:ind w:left="360" w:hanging="360"/>
      </w:pPr>
      <w:rPr>
        <w:b w:val="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7."/>
      <w:lvlJc w:val="left"/>
      <w:pPr>
        <w:tabs>
          <w:tab w:val="num" w:pos="3600"/>
        </w:tabs>
        <w:ind w:left="3240" w:hanging="1080"/>
      </w:pPr>
      <w:rPr>
        <w:rFonts w:ascii="Arial Narrow" w:eastAsia="Times New Roman" w:hAnsi="Arial Narrow" w:cs="Arial" w:hint="default"/>
        <w:b w:val="0"/>
      </w:r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53" w15:restartNumberingAfterBreak="0">
    <w:nsid w:val="50934DCF"/>
    <w:multiLevelType w:val="hybridMultilevel"/>
    <w:tmpl w:val="A11653F2"/>
    <w:lvl w:ilvl="0" w:tplc="EF682078">
      <w:start w:val="1"/>
      <w:numFmt w:val="lowerLetter"/>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4" w15:restartNumberingAfterBreak="0">
    <w:nsid w:val="5268384A"/>
    <w:multiLevelType w:val="hybridMultilevel"/>
    <w:tmpl w:val="E75AEAB0"/>
    <w:lvl w:ilvl="0" w:tplc="DE806CF6">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5" w15:restartNumberingAfterBreak="0">
    <w:nsid w:val="52C04B00"/>
    <w:multiLevelType w:val="hybridMultilevel"/>
    <w:tmpl w:val="5F2A274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56" w15:restartNumberingAfterBreak="0">
    <w:nsid w:val="52E71C6A"/>
    <w:multiLevelType w:val="hybridMultilevel"/>
    <w:tmpl w:val="5A0A9FE8"/>
    <w:lvl w:ilvl="0" w:tplc="7D709A1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7" w15:restartNumberingAfterBreak="0">
    <w:nsid w:val="52F30053"/>
    <w:multiLevelType w:val="hybridMultilevel"/>
    <w:tmpl w:val="33C43C62"/>
    <w:lvl w:ilvl="0" w:tplc="86B2D70C">
      <w:numFmt w:val="bullet"/>
      <w:lvlText w:val="•"/>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8" w15:restartNumberingAfterBreak="0">
    <w:nsid w:val="534D03E6"/>
    <w:multiLevelType w:val="multilevel"/>
    <w:tmpl w:val="1254979A"/>
    <w:lvl w:ilvl="0">
      <w:start w:val="2"/>
      <w:numFmt w:val="decimal"/>
      <w:lvlText w:val="%1."/>
      <w:lvlJc w:val="righ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b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9" w15:restartNumberingAfterBreak="0">
    <w:nsid w:val="53AA6F50"/>
    <w:multiLevelType w:val="multilevel"/>
    <w:tmpl w:val="86AE5D92"/>
    <w:lvl w:ilvl="0">
      <w:start w:val="2"/>
      <w:numFmt w:val="decimal"/>
      <w:lvlText w:val="%1."/>
      <w:lvlJc w:val="right"/>
      <w:pPr>
        <w:ind w:left="720" w:hanging="360"/>
      </w:pPr>
      <w:rPr>
        <w:rFonts w:hint="default"/>
        <w:b w:val="0"/>
      </w:rPr>
    </w:lvl>
    <w:lvl w:ilvl="1">
      <w:start w:val="1"/>
      <w:numFmt w:val="lowerLetter"/>
      <w:lvlText w:val="%2."/>
      <w:lvlJc w:val="left"/>
      <w:pPr>
        <w:ind w:left="1440" w:hanging="360"/>
      </w:pPr>
      <w:rPr>
        <w:rFonts w:hint="default"/>
        <w:b w:val="0"/>
      </w:rPr>
    </w:lvl>
    <w:lvl w:ilvl="2">
      <w:start w:val="1"/>
      <w:numFmt w:val="lowerRoman"/>
      <w:lvlText w:val="%3."/>
      <w:lvlJc w:val="right"/>
      <w:pPr>
        <w:ind w:left="1882" w:hanging="180"/>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b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val="0"/>
      </w:rPr>
    </w:lvl>
    <w:lvl w:ilvl="7">
      <w:start w:val="1"/>
      <w:numFmt w:val="lowerLetter"/>
      <w:lvlText w:val="%8."/>
      <w:lvlJc w:val="left"/>
      <w:pPr>
        <w:ind w:left="5760" w:hanging="360"/>
      </w:pPr>
      <w:rPr>
        <w:rFonts w:hint="default"/>
        <w:b w:val="0"/>
      </w:rPr>
    </w:lvl>
    <w:lvl w:ilvl="8">
      <w:start w:val="1"/>
      <w:numFmt w:val="lowerRoman"/>
      <w:lvlText w:val="%9."/>
      <w:lvlJc w:val="right"/>
      <w:pPr>
        <w:ind w:left="6480" w:hanging="180"/>
      </w:pPr>
      <w:rPr>
        <w:rFonts w:hint="default"/>
      </w:rPr>
    </w:lvl>
  </w:abstractNum>
  <w:abstractNum w:abstractNumId="260" w15:restartNumberingAfterBreak="0">
    <w:nsid w:val="53BC1AE2"/>
    <w:multiLevelType w:val="hybridMultilevel"/>
    <w:tmpl w:val="5FE430E8"/>
    <w:lvl w:ilvl="0" w:tplc="185CE20A">
      <w:start w:val="1"/>
      <w:numFmt w:val="lowerRoman"/>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61" w15:restartNumberingAfterBreak="0">
    <w:nsid w:val="53BE60B7"/>
    <w:multiLevelType w:val="hybridMultilevel"/>
    <w:tmpl w:val="020E27A8"/>
    <w:lvl w:ilvl="0" w:tplc="240A000F">
      <w:start w:val="1"/>
      <w:numFmt w:val="decimal"/>
      <w:lvlText w:val="%1."/>
      <w:lvlJc w:val="lef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2" w15:restartNumberingAfterBreak="0">
    <w:nsid w:val="53C5719A"/>
    <w:multiLevelType w:val="hybridMultilevel"/>
    <w:tmpl w:val="D9B21AE6"/>
    <w:lvl w:ilvl="0" w:tplc="0C0A000F">
      <w:start w:val="1"/>
      <w:numFmt w:val="decimal"/>
      <w:lvlText w:val="%1."/>
      <w:lvlJc w:val="left"/>
      <w:pPr>
        <w:ind w:left="36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63" w15:restartNumberingAfterBreak="0">
    <w:nsid w:val="54A45E8C"/>
    <w:multiLevelType w:val="hybridMultilevel"/>
    <w:tmpl w:val="E01ACA4C"/>
    <w:lvl w:ilvl="0" w:tplc="0906AADA">
      <w:start w:val="1"/>
      <w:numFmt w:val="bullet"/>
      <w:lvlText w:val=""/>
      <w:lvlJc w:val="left"/>
      <w:pPr>
        <w:ind w:left="1068" w:hanging="360"/>
      </w:pPr>
      <w:rPr>
        <w:rFonts w:ascii="Symbol" w:hAnsi="Symbol"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64" w15:restartNumberingAfterBreak="0">
    <w:nsid w:val="550E2F73"/>
    <w:multiLevelType w:val="hybridMultilevel"/>
    <w:tmpl w:val="0C60010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5" w15:restartNumberingAfterBreak="0">
    <w:nsid w:val="553B77BB"/>
    <w:multiLevelType w:val="hybridMultilevel"/>
    <w:tmpl w:val="35184FAC"/>
    <w:lvl w:ilvl="0" w:tplc="86B2D70C">
      <w:numFmt w:val="bullet"/>
      <w:lvlText w:val="•"/>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6" w15:restartNumberingAfterBreak="0">
    <w:nsid w:val="5627546F"/>
    <w:multiLevelType w:val="hybridMultilevel"/>
    <w:tmpl w:val="E968C648"/>
    <w:lvl w:ilvl="0" w:tplc="4746DEDE">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7" w15:restartNumberingAfterBreak="0">
    <w:nsid w:val="563B5D0C"/>
    <w:multiLevelType w:val="multilevel"/>
    <w:tmpl w:val="D0C6F5A0"/>
    <w:lvl w:ilvl="0">
      <w:start w:val="2"/>
      <w:numFmt w:val="decimal"/>
      <w:lvlText w:val="%1."/>
      <w:lvlJc w:val="righ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1882" w:hanging="180"/>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b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8" w15:restartNumberingAfterBreak="0">
    <w:nsid w:val="56925D6A"/>
    <w:multiLevelType w:val="hybridMultilevel"/>
    <w:tmpl w:val="5E3CB548"/>
    <w:lvl w:ilvl="0" w:tplc="240A000F">
      <w:start w:val="1"/>
      <w:numFmt w:val="decimal"/>
      <w:lvlText w:val="%1."/>
      <w:lvlJc w:val="left"/>
      <w:pPr>
        <w:ind w:left="720" w:hanging="360"/>
      </w:pPr>
      <w:rPr>
        <w:rFonts w:hint="default"/>
      </w:rPr>
    </w:lvl>
    <w:lvl w:ilvl="1" w:tplc="DFBCBC32">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9" w15:restartNumberingAfterBreak="0">
    <w:nsid w:val="56FA7FA8"/>
    <w:multiLevelType w:val="hybridMultilevel"/>
    <w:tmpl w:val="414A3E8C"/>
    <w:lvl w:ilvl="0" w:tplc="116CCE64">
      <w:start w:val="1"/>
      <w:numFmt w:val="bullet"/>
      <w:lvlText w:val="-"/>
      <w:lvlJc w:val="left"/>
      <w:pPr>
        <w:ind w:left="1428" w:hanging="360"/>
      </w:pPr>
      <w:rPr>
        <w:rFonts w:ascii="Arial Narrow" w:eastAsia="Times New Roman" w:hAnsi="Arial Narrow" w:cs="Arial Narrow,BoldItalic"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70" w15:restartNumberingAfterBreak="0">
    <w:nsid w:val="57035E30"/>
    <w:multiLevelType w:val="hybridMultilevel"/>
    <w:tmpl w:val="628CEF64"/>
    <w:lvl w:ilvl="0" w:tplc="5F30395E">
      <w:start w:val="1"/>
      <w:numFmt w:val="decimal"/>
      <w:lvlText w:val="%1."/>
      <w:lvlJc w:val="left"/>
      <w:pPr>
        <w:tabs>
          <w:tab w:val="num" w:pos="1065"/>
        </w:tabs>
        <w:ind w:left="1065" w:hanging="70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1" w15:restartNumberingAfterBreak="0">
    <w:nsid w:val="57953793"/>
    <w:multiLevelType w:val="hybridMultilevel"/>
    <w:tmpl w:val="80BE68A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2" w15:restartNumberingAfterBreak="0">
    <w:nsid w:val="57DB456F"/>
    <w:multiLevelType w:val="hybridMultilevel"/>
    <w:tmpl w:val="91085B7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3" w15:restartNumberingAfterBreak="0">
    <w:nsid w:val="587671ED"/>
    <w:multiLevelType w:val="hybridMultilevel"/>
    <w:tmpl w:val="DBB8CBC4"/>
    <w:lvl w:ilvl="0" w:tplc="9DA2BC48">
      <w:start w:val="1"/>
      <w:numFmt w:val="decimal"/>
      <w:lvlText w:val="%1."/>
      <w:lvlJc w:val="left"/>
      <w:pPr>
        <w:ind w:left="1065" w:hanging="360"/>
      </w:pPr>
      <w:rPr>
        <w:rFonts w:ascii="Arial Narrow" w:hAnsi="Arial Narrow" w:hint="default"/>
        <w:b w:val="0"/>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4" w15:restartNumberingAfterBreak="0">
    <w:nsid w:val="59096962"/>
    <w:multiLevelType w:val="hybridMultilevel"/>
    <w:tmpl w:val="2AF0879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5" w15:restartNumberingAfterBreak="0">
    <w:nsid w:val="591665F0"/>
    <w:multiLevelType w:val="hybridMultilevel"/>
    <w:tmpl w:val="73BA15AE"/>
    <w:lvl w:ilvl="0" w:tplc="0BA2A442">
      <w:start w:val="1"/>
      <w:numFmt w:val="lowerLetter"/>
      <w:lvlText w:val="%1)"/>
      <w:lvlJc w:val="left"/>
      <w:pPr>
        <w:ind w:left="1800" w:hanging="360"/>
      </w:pPr>
      <w:rPr>
        <w:b w:val="0"/>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76" w15:restartNumberingAfterBreak="0">
    <w:nsid w:val="59A31E75"/>
    <w:multiLevelType w:val="hybridMultilevel"/>
    <w:tmpl w:val="5A0A9FE8"/>
    <w:lvl w:ilvl="0" w:tplc="7D709A1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7" w15:restartNumberingAfterBreak="0">
    <w:nsid w:val="5A4304F8"/>
    <w:multiLevelType w:val="hybridMultilevel"/>
    <w:tmpl w:val="A7BED68C"/>
    <w:lvl w:ilvl="0" w:tplc="0409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8" w15:restartNumberingAfterBreak="0">
    <w:nsid w:val="5A6171F1"/>
    <w:multiLevelType w:val="hybridMultilevel"/>
    <w:tmpl w:val="C1C66D3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E1D8BB2E">
      <w:start w:val="1"/>
      <w:numFmt w:val="lowerLetter"/>
      <w:lvlText w:val="%8."/>
      <w:lvlJc w:val="left"/>
      <w:pPr>
        <w:ind w:left="5760" w:hanging="360"/>
      </w:pPr>
      <w:rPr>
        <w:b w:val="0"/>
      </w:rPr>
    </w:lvl>
    <w:lvl w:ilvl="8" w:tplc="240A001B" w:tentative="1">
      <w:start w:val="1"/>
      <w:numFmt w:val="lowerRoman"/>
      <w:lvlText w:val="%9."/>
      <w:lvlJc w:val="right"/>
      <w:pPr>
        <w:ind w:left="6480" w:hanging="180"/>
      </w:pPr>
    </w:lvl>
  </w:abstractNum>
  <w:abstractNum w:abstractNumId="279" w15:restartNumberingAfterBreak="0">
    <w:nsid w:val="5A9E1C06"/>
    <w:multiLevelType w:val="hybridMultilevel"/>
    <w:tmpl w:val="60109F10"/>
    <w:lvl w:ilvl="0" w:tplc="CB8659B0">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0" w15:restartNumberingAfterBreak="0">
    <w:nsid w:val="5AD743B9"/>
    <w:multiLevelType w:val="hybridMultilevel"/>
    <w:tmpl w:val="C11CCDFE"/>
    <w:lvl w:ilvl="0" w:tplc="240A000F">
      <w:start w:val="1"/>
      <w:numFmt w:val="decimal"/>
      <w:lvlText w:val="%1."/>
      <w:lvlJc w:val="left"/>
      <w:pPr>
        <w:ind w:left="360" w:hanging="360"/>
      </w:pPr>
      <w:rPr>
        <w:b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1" w15:restartNumberingAfterBreak="0">
    <w:nsid w:val="5AF10FC7"/>
    <w:multiLevelType w:val="hybridMultilevel"/>
    <w:tmpl w:val="134A3B14"/>
    <w:lvl w:ilvl="0" w:tplc="240A001B">
      <w:start w:val="1"/>
      <w:numFmt w:val="lowerRoman"/>
      <w:lvlText w:val="%1."/>
      <w:lvlJc w:val="right"/>
      <w:pPr>
        <w:ind w:left="2484" w:hanging="360"/>
      </w:pPr>
      <w:rPr>
        <w:rFonts w:hint="default"/>
        <w:lang w:val="es-ES"/>
      </w:rPr>
    </w:lvl>
    <w:lvl w:ilvl="1" w:tplc="240A0019" w:tentative="1">
      <w:start w:val="1"/>
      <w:numFmt w:val="lowerLetter"/>
      <w:lvlText w:val="%2."/>
      <w:lvlJc w:val="left"/>
      <w:pPr>
        <w:ind w:left="3204" w:hanging="360"/>
      </w:pPr>
    </w:lvl>
    <w:lvl w:ilvl="2" w:tplc="240A001B" w:tentative="1">
      <w:start w:val="1"/>
      <w:numFmt w:val="lowerRoman"/>
      <w:lvlText w:val="%3."/>
      <w:lvlJc w:val="right"/>
      <w:pPr>
        <w:ind w:left="3924" w:hanging="180"/>
      </w:pPr>
    </w:lvl>
    <w:lvl w:ilvl="3" w:tplc="240A000F" w:tentative="1">
      <w:start w:val="1"/>
      <w:numFmt w:val="decimal"/>
      <w:lvlText w:val="%4."/>
      <w:lvlJc w:val="left"/>
      <w:pPr>
        <w:ind w:left="4644" w:hanging="360"/>
      </w:pPr>
    </w:lvl>
    <w:lvl w:ilvl="4" w:tplc="240A0019" w:tentative="1">
      <w:start w:val="1"/>
      <w:numFmt w:val="lowerLetter"/>
      <w:lvlText w:val="%5."/>
      <w:lvlJc w:val="left"/>
      <w:pPr>
        <w:ind w:left="5364" w:hanging="360"/>
      </w:pPr>
    </w:lvl>
    <w:lvl w:ilvl="5" w:tplc="240A001B" w:tentative="1">
      <w:start w:val="1"/>
      <w:numFmt w:val="lowerRoman"/>
      <w:lvlText w:val="%6."/>
      <w:lvlJc w:val="right"/>
      <w:pPr>
        <w:ind w:left="6084" w:hanging="180"/>
      </w:pPr>
    </w:lvl>
    <w:lvl w:ilvl="6" w:tplc="240A000F" w:tentative="1">
      <w:start w:val="1"/>
      <w:numFmt w:val="decimal"/>
      <w:lvlText w:val="%7."/>
      <w:lvlJc w:val="left"/>
      <w:pPr>
        <w:ind w:left="6804" w:hanging="360"/>
      </w:pPr>
    </w:lvl>
    <w:lvl w:ilvl="7" w:tplc="240A0019" w:tentative="1">
      <w:start w:val="1"/>
      <w:numFmt w:val="lowerLetter"/>
      <w:lvlText w:val="%8."/>
      <w:lvlJc w:val="left"/>
      <w:pPr>
        <w:ind w:left="7524" w:hanging="360"/>
      </w:pPr>
    </w:lvl>
    <w:lvl w:ilvl="8" w:tplc="240A001B" w:tentative="1">
      <w:start w:val="1"/>
      <w:numFmt w:val="lowerRoman"/>
      <w:lvlText w:val="%9."/>
      <w:lvlJc w:val="right"/>
      <w:pPr>
        <w:ind w:left="8244" w:hanging="180"/>
      </w:pPr>
    </w:lvl>
  </w:abstractNum>
  <w:abstractNum w:abstractNumId="282" w15:restartNumberingAfterBreak="0">
    <w:nsid w:val="5B371E7E"/>
    <w:multiLevelType w:val="hybridMultilevel"/>
    <w:tmpl w:val="FBFEED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3" w15:restartNumberingAfterBreak="0">
    <w:nsid w:val="5B550A7F"/>
    <w:multiLevelType w:val="hybridMultilevel"/>
    <w:tmpl w:val="C59EDB82"/>
    <w:lvl w:ilvl="0" w:tplc="240A0001">
      <w:start w:val="1"/>
      <w:numFmt w:val="bullet"/>
      <w:lvlText w:val=""/>
      <w:lvlJc w:val="left"/>
      <w:pPr>
        <w:ind w:left="2421" w:hanging="360"/>
      </w:pPr>
      <w:rPr>
        <w:rFonts w:ascii="Symbol" w:hAnsi="Symbol" w:hint="default"/>
      </w:rPr>
    </w:lvl>
    <w:lvl w:ilvl="1" w:tplc="240A0003" w:tentative="1">
      <w:start w:val="1"/>
      <w:numFmt w:val="bullet"/>
      <w:lvlText w:val="o"/>
      <w:lvlJc w:val="left"/>
      <w:pPr>
        <w:ind w:left="3141" w:hanging="360"/>
      </w:pPr>
      <w:rPr>
        <w:rFonts w:ascii="Courier New" w:hAnsi="Courier New" w:cs="Courier New" w:hint="default"/>
      </w:rPr>
    </w:lvl>
    <w:lvl w:ilvl="2" w:tplc="240A0005" w:tentative="1">
      <w:start w:val="1"/>
      <w:numFmt w:val="bullet"/>
      <w:lvlText w:val=""/>
      <w:lvlJc w:val="left"/>
      <w:pPr>
        <w:ind w:left="3861" w:hanging="360"/>
      </w:pPr>
      <w:rPr>
        <w:rFonts w:ascii="Wingdings" w:hAnsi="Wingdings" w:hint="default"/>
      </w:rPr>
    </w:lvl>
    <w:lvl w:ilvl="3" w:tplc="240A0001" w:tentative="1">
      <w:start w:val="1"/>
      <w:numFmt w:val="bullet"/>
      <w:lvlText w:val=""/>
      <w:lvlJc w:val="left"/>
      <w:pPr>
        <w:ind w:left="4581" w:hanging="360"/>
      </w:pPr>
      <w:rPr>
        <w:rFonts w:ascii="Symbol" w:hAnsi="Symbol" w:hint="default"/>
      </w:rPr>
    </w:lvl>
    <w:lvl w:ilvl="4" w:tplc="240A0003" w:tentative="1">
      <w:start w:val="1"/>
      <w:numFmt w:val="bullet"/>
      <w:lvlText w:val="o"/>
      <w:lvlJc w:val="left"/>
      <w:pPr>
        <w:ind w:left="5301" w:hanging="360"/>
      </w:pPr>
      <w:rPr>
        <w:rFonts w:ascii="Courier New" w:hAnsi="Courier New" w:cs="Courier New" w:hint="default"/>
      </w:rPr>
    </w:lvl>
    <w:lvl w:ilvl="5" w:tplc="240A0005" w:tentative="1">
      <w:start w:val="1"/>
      <w:numFmt w:val="bullet"/>
      <w:lvlText w:val=""/>
      <w:lvlJc w:val="left"/>
      <w:pPr>
        <w:ind w:left="6021" w:hanging="360"/>
      </w:pPr>
      <w:rPr>
        <w:rFonts w:ascii="Wingdings" w:hAnsi="Wingdings" w:hint="default"/>
      </w:rPr>
    </w:lvl>
    <w:lvl w:ilvl="6" w:tplc="240A0001" w:tentative="1">
      <w:start w:val="1"/>
      <w:numFmt w:val="bullet"/>
      <w:lvlText w:val=""/>
      <w:lvlJc w:val="left"/>
      <w:pPr>
        <w:ind w:left="6741" w:hanging="360"/>
      </w:pPr>
      <w:rPr>
        <w:rFonts w:ascii="Symbol" w:hAnsi="Symbol" w:hint="default"/>
      </w:rPr>
    </w:lvl>
    <w:lvl w:ilvl="7" w:tplc="240A0003" w:tentative="1">
      <w:start w:val="1"/>
      <w:numFmt w:val="bullet"/>
      <w:lvlText w:val="o"/>
      <w:lvlJc w:val="left"/>
      <w:pPr>
        <w:ind w:left="7461" w:hanging="360"/>
      </w:pPr>
      <w:rPr>
        <w:rFonts w:ascii="Courier New" w:hAnsi="Courier New" w:cs="Courier New" w:hint="default"/>
      </w:rPr>
    </w:lvl>
    <w:lvl w:ilvl="8" w:tplc="240A0005" w:tentative="1">
      <w:start w:val="1"/>
      <w:numFmt w:val="bullet"/>
      <w:lvlText w:val=""/>
      <w:lvlJc w:val="left"/>
      <w:pPr>
        <w:ind w:left="8181" w:hanging="360"/>
      </w:pPr>
      <w:rPr>
        <w:rFonts w:ascii="Wingdings" w:hAnsi="Wingdings" w:hint="default"/>
      </w:rPr>
    </w:lvl>
  </w:abstractNum>
  <w:abstractNum w:abstractNumId="284" w15:restartNumberingAfterBreak="0">
    <w:nsid w:val="5B5C2176"/>
    <w:multiLevelType w:val="hybridMultilevel"/>
    <w:tmpl w:val="AB380AB0"/>
    <w:lvl w:ilvl="0" w:tplc="598A685C">
      <w:start w:val="1"/>
      <w:numFmt w:val="upperLetter"/>
      <w:lvlText w:val="%1."/>
      <w:lvlJc w:val="left"/>
      <w:pPr>
        <w:ind w:left="1785" w:hanging="705"/>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5" w15:restartNumberingAfterBreak="0">
    <w:nsid w:val="5B8966C2"/>
    <w:multiLevelType w:val="hybridMultilevel"/>
    <w:tmpl w:val="F3186338"/>
    <w:lvl w:ilvl="0" w:tplc="86B2D70C">
      <w:numFmt w:val="bullet"/>
      <w:lvlText w:val="•"/>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6" w15:restartNumberingAfterBreak="0">
    <w:nsid w:val="5BD714AA"/>
    <w:multiLevelType w:val="hybridMultilevel"/>
    <w:tmpl w:val="F432C16A"/>
    <w:lvl w:ilvl="0" w:tplc="7E02B9B8">
      <w:start w:val="1"/>
      <w:numFmt w:val="lowerRoman"/>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7" w15:restartNumberingAfterBreak="0">
    <w:nsid w:val="5C1E3116"/>
    <w:multiLevelType w:val="hybridMultilevel"/>
    <w:tmpl w:val="9012AF5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88" w15:restartNumberingAfterBreak="0">
    <w:nsid w:val="5C2B2C1D"/>
    <w:multiLevelType w:val="multilevel"/>
    <w:tmpl w:val="3A7C02E6"/>
    <w:lvl w:ilvl="0">
      <w:start w:val="1"/>
      <w:numFmt w:val="decimal"/>
      <w:lvlText w:val="%1."/>
      <w:lvlJc w:val="left"/>
      <w:pPr>
        <w:ind w:left="644"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9" w15:restartNumberingAfterBreak="0">
    <w:nsid w:val="5C700B3D"/>
    <w:multiLevelType w:val="hybridMultilevel"/>
    <w:tmpl w:val="FA56635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0" w15:restartNumberingAfterBreak="0">
    <w:nsid w:val="5CBA0CF9"/>
    <w:multiLevelType w:val="hybridMultilevel"/>
    <w:tmpl w:val="604CE13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1" w15:restartNumberingAfterBreak="0">
    <w:nsid w:val="5CDD562A"/>
    <w:multiLevelType w:val="hybridMultilevel"/>
    <w:tmpl w:val="70D64C16"/>
    <w:lvl w:ilvl="0" w:tplc="0C0A0019">
      <w:start w:val="1"/>
      <w:numFmt w:val="lowerLetter"/>
      <w:lvlText w:val="%1."/>
      <w:lvlJc w:val="left"/>
      <w:pPr>
        <w:ind w:left="24" w:hanging="360"/>
      </w:pPr>
      <w:rPr>
        <w:rFonts w:hint="default"/>
      </w:rPr>
    </w:lvl>
    <w:lvl w:ilvl="1" w:tplc="0C0A0019" w:tentative="1">
      <w:start w:val="1"/>
      <w:numFmt w:val="lowerLetter"/>
      <w:lvlText w:val="%2."/>
      <w:lvlJc w:val="left"/>
      <w:pPr>
        <w:ind w:left="744" w:hanging="360"/>
      </w:pPr>
    </w:lvl>
    <w:lvl w:ilvl="2" w:tplc="0C0A001B" w:tentative="1">
      <w:start w:val="1"/>
      <w:numFmt w:val="lowerRoman"/>
      <w:lvlText w:val="%3."/>
      <w:lvlJc w:val="right"/>
      <w:pPr>
        <w:ind w:left="1464" w:hanging="180"/>
      </w:pPr>
    </w:lvl>
    <w:lvl w:ilvl="3" w:tplc="0C0A000F" w:tentative="1">
      <w:start w:val="1"/>
      <w:numFmt w:val="decimal"/>
      <w:lvlText w:val="%4."/>
      <w:lvlJc w:val="left"/>
      <w:pPr>
        <w:ind w:left="2184" w:hanging="360"/>
      </w:pPr>
    </w:lvl>
    <w:lvl w:ilvl="4" w:tplc="0C0A0019" w:tentative="1">
      <w:start w:val="1"/>
      <w:numFmt w:val="lowerLetter"/>
      <w:lvlText w:val="%5."/>
      <w:lvlJc w:val="left"/>
      <w:pPr>
        <w:ind w:left="2904" w:hanging="360"/>
      </w:pPr>
    </w:lvl>
    <w:lvl w:ilvl="5" w:tplc="0C0A001B" w:tentative="1">
      <w:start w:val="1"/>
      <w:numFmt w:val="lowerRoman"/>
      <w:lvlText w:val="%6."/>
      <w:lvlJc w:val="right"/>
      <w:pPr>
        <w:ind w:left="3624" w:hanging="180"/>
      </w:pPr>
    </w:lvl>
    <w:lvl w:ilvl="6" w:tplc="0C0A000F" w:tentative="1">
      <w:start w:val="1"/>
      <w:numFmt w:val="decimal"/>
      <w:lvlText w:val="%7."/>
      <w:lvlJc w:val="left"/>
      <w:pPr>
        <w:ind w:left="4344" w:hanging="360"/>
      </w:pPr>
    </w:lvl>
    <w:lvl w:ilvl="7" w:tplc="0C0A0019" w:tentative="1">
      <w:start w:val="1"/>
      <w:numFmt w:val="lowerLetter"/>
      <w:lvlText w:val="%8."/>
      <w:lvlJc w:val="left"/>
      <w:pPr>
        <w:ind w:left="5064" w:hanging="360"/>
      </w:pPr>
    </w:lvl>
    <w:lvl w:ilvl="8" w:tplc="0C0A001B" w:tentative="1">
      <w:start w:val="1"/>
      <w:numFmt w:val="lowerRoman"/>
      <w:lvlText w:val="%9."/>
      <w:lvlJc w:val="right"/>
      <w:pPr>
        <w:ind w:left="5784" w:hanging="180"/>
      </w:pPr>
    </w:lvl>
  </w:abstractNum>
  <w:abstractNum w:abstractNumId="292" w15:restartNumberingAfterBreak="0">
    <w:nsid w:val="5D4727F5"/>
    <w:multiLevelType w:val="hybridMultilevel"/>
    <w:tmpl w:val="D7568338"/>
    <w:lvl w:ilvl="0" w:tplc="9DFAEE7E">
      <w:start w:val="1"/>
      <w:numFmt w:val="lowerRoman"/>
      <w:lvlText w:val="%1)"/>
      <w:lvlJc w:val="left"/>
      <w:pPr>
        <w:ind w:left="2853" w:hanging="720"/>
      </w:pPr>
      <w:rPr>
        <w:rFonts w:hint="default"/>
      </w:rPr>
    </w:lvl>
    <w:lvl w:ilvl="1" w:tplc="240A0019" w:tentative="1">
      <w:start w:val="1"/>
      <w:numFmt w:val="lowerLetter"/>
      <w:lvlText w:val="%2."/>
      <w:lvlJc w:val="left"/>
      <w:pPr>
        <w:ind w:left="3213" w:hanging="360"/>
      </w:pPr>
    </w:lvl>
    <w:lvl w:ilvl="2" w:tplc="240A001B" w:tentative="1">
      <w:start w:val="1"/>
      <w:numFmt w:val="lowerRoman"/>
      <w:lvlText w:val="%3."/>
      <w:lvlJc w:val="right"/>
      <w:pPr>
        <w:ind w:left="3933" w:hanging="180"/>
      </w:pPr>
    </w:lvl>
    <w:lvl w:ilvl="3" w:tplc="240A000F" w:tentative="1">
      <w:start w:val="1"/>
      <w:numFmt w:val="decimal"/>
      <w:lvlText w:val="%4."/>
      <w:lvlJc w:val="left"/>
      <w:pPr>
        <w:ind w:left="4653" w:hanging="360"/>
      </w:pPr>
    </w:lvl>
    <w:lvl w:ilvl="4" w:tplc="240A0019" w:tentative="1">
      <w:start w:val="1"/>
      <w:numFmt w:val="lowerLetter"/>
      <w:lvlText w:val="%5."/>
      <w:lvlJc w:val="left"/>
      <w:pPr>
        <w:ind w:left="5373" w:hanging="360"/>
      </w:pPr>
    </w:lvl>
    <w:lvl w:ilvl="5" w:tplc="240A001B" w:tentative="1">
      <w:start w:val="1"/>
      <w:numFmt w:val="lowerRoman"/>
      <w:lvlText w:val="%6."/>
      <w:lvlJc w:val="right"/>
      <w:pPr>
        <w:ind w:left="6093" w:hanging="180"/>
      </w:pPr>
    </w:lvl>
    <w:lvl w:ilvl="6" w:tplc="240A000F" w:tentative="1">
      <w:start w:val="1"/>
      <w:numFmt w:val="decimal"/>
      <w:lvlText w:val="%7."/>
      <w:lvlJc w:val="left"/>
      <w:pPr>
        <w:ind w:left="6813" w:hanging="360"/>
      </w:pPr>
    </w:lvl>
    <w:lvl w:ilvl="7" w:tplc="240A0019" w:tentative="1">
      <w:start w:val="1"/>
      <w:numFmt w:val="lowerLetter"/>
      <w:lvlText w:val="%8."/>
      <w:lvlJc w:val="left"/>
      <w:pPr>
        <w:ind w:left="7533" w:hanging="360"/>
      </w:pPr>
    </w:lvl>
    <w:lvl w:ilvl="8" w:tplc="240A001B" w:tentative="1">
      <w:start w:val="1"/>
      <w:numFmt w:val="lowerRoman"/>
      <w:lvlText w:val="%9."/>
      <w:lvlJc w:val="right"/>
      <w:pPr>
        <w:ind w:left="8253" w:hanging="180"/>
      </w:pPr>
    </w:lvl>
  </w:abstractNum>
  <w:abstractNum w:abstractNumId="293" w15:restartNumberingAfterBreak="0">
    <w:nsid w:val="5D5E29EE"/>
    <w:multiLevelType w:val="hybridMultilevel"/>
    <w:tmpl w:val="3CDE84FA"/>
    <w:lvl w:ilvl="0" w:tplc="0A3E27AE">
      <w:start w:val="1"/>
      <w:numFmt w:val="decimal"/>
      <w:lvlText w:val="%1."/>
      <w:lvlJc w:val="left"/>
      <w:pPr>
        <w:tabs>
          <w:tab w:val="num" w:pos="1065"/>
        </w:tabs>
        <w:ind w:left="1065" w:hanging="70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4" w15:restartNumberingAfterBreak="0">
    <w:nsid w:val="5D6F461D"/>
    <w:multiLevelType w:val="hybridMultilevel"/>
    <w:tmpl w:val="B582B70A"/>
    <w:lvl w:ilvl="0" w:tplc="4AA64F3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5" w15:restartNumberingAfterBreak="0">
    <w:nsid w:val="5D704D70"/>
    <w:multiLevelType w:val="hybridMultilevel"/>
    <w:tmpl w:val="FF6A22B2"/>
    <w:lvl w:ilvl="0" w:tplc="8C481ADE">
      <w:start w:val="1"/>
      <w:numFmt w:val="decimal"/>
      <w:lvlText w:val="%1."/>
      <w:lvlJc w:val="left"/>
      <w:pPr>
        <w:ind w:left="360" w:hanging="360"/>
      </w:pPr>
      <w:rPr>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6" w15:restartNumberingAfterBreak="0">
    <w:nsid w:val="5DC63D18"/>
    <w:multiLevelType w:val="hybridMultilevel"/>
    <w:tmpl w:val="7FF4562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7" w15:restartNumberingAfterBreak="0">
    <w:nsid w:val="5E7F7D64"/>
    <w:multiLevelType w:val="hybridMultilevel"/>
    <w:tmpl w:val="C40CACE2"/>
    <w:lvl w:ilvl="0" w:tplc="FFCCBEDC">
      <w:start w:val="1"/>
      <w:numFmt w:val="upperLetter"/>
      <w:lvlText w:val="%1."/>
      <w:lvlJc w:val="left"/>
      <w:pPr>
        <w:ind w:left="1037" w:hanging="360"/>
      </w:pPr>
      <w:rPr>
        <w:b w:val="0"/>
      </w:rPr>
    </w:lvl>
    <w:lvl w:ilvl="1" w:tplc="240A0019" w:tentative="1">
      <w:start w:val="1"/>
      <w:numFmt w:val="lowerLetter"/>
      <w:lvlText w:val="%2."/>
      <w:lvlJc w:val="left"/>
      <w:pPr>
        <w:ind w:left="1757" w:hanging="360"/>
      </w:pPr>
    </w:lvl>
    <w:lvl w:ilvl="2" w:tplc="240A001B" w:tentative="1">
      <w:start w:val="1"/>
      <w:numFmt w:val="lowerRoman"/>
      <w:lvlText w:val="%3."/>
      <w:lvlJc w:val="right"/>
      <w:pPr>
        <w:ind w:left="2477" w:hanging="180"/>
      </w:pPr>
    </w:lvl>
    <w:lvl w:ilvl="3" w:tplc="240A000F" w:tentative="1">
      <w:start w:val="1"/>
      <w:numFmt w:val="decimal"/>
      <w:lvlText w:val="%4."/>
      <w:lvlJc w:val="left"/>
      <w:pPr>
        <w:ind w:left="3197" w:hanging="360"/>
      </w:pPr>
    </w:lvl>
    <w:lvl w:ilvl="4" w:tplc="240A0019" w:tentative="1">
      <w:start w:val="1"/>
      <w:numFmt w:val="lowerLetter"/>
      <w:lvlText w:val="%5."/>
      <w:lvlJc w:val="left"/>
      <w:pPr>
        <w:ind w:left="3917" w:hanging="360"/>
      </w:pPr>
    </w:lvl>
    <w:lvl w:ilvl="5" w:tplc="240A001B" w:tentative="1">
      <w:start w:val="1"/>
      <w:numFmt w:val="lowerRoman"/>
      <w:lvlText w:val="%6."/>
      <w:lvlJc w:val="right"/>
      <w:pPr>
        <w:ind w:left="4637" w:hanging="180"/>
      </w:pPr>
    </w:lvl>
    <w:lvl w:ilvl="6" w:tplc="240A000F" w:tentative="1">
      <w:start w:val="1"/>
      <w:numFmt w:val="decimal"/>
      <w:lvlText w:val="%7."/>
      <w:lvlJc w:val="left"/>
      <w:pPr>
        <w:ind w:left="5357" w:hanging="360"/>
      </w:pPr>
    </w:lvl>
    <w:lvl w:ilvl="7" w:tplc="240A0019" w:tentative="1">
      <w:start w:val="1"/>
      <w:numFmt w:val="lowerLetter"/>
      <w:lvlText w:val="%8."/>
      <w:lvlJc w:val="left"/>
      <w:pPr>
        <w:ind w:left="6077" w:hanging="360"/>
      </w:pPr>
    </w:lvl>
    <w:lvl w:ilvl="8" w:tplc="240A001B" w:tentative="1">
      <w:start w:val="1"/>
      <w:numFmt w:val="lowerRoman"/>
      <w:lvlText w:val="%9."/>
      <w:lvlJc w:val="right"/>
      <w:pPr>
        <w:ind w:left="6797" w:hanging="180"/>
      </w:pPr>
    </w:lvl>
  </w:abstractNum>
  <w:abstractNum w:abstractNumId="298" w15:restartNumberingAfterBreak="0">
    <w:nsid w:val="5EFE794C"/>
    <w:multiLevelType w:val="hybridMultilevel"/>
    <w:tmpl w:val="C696E544"/>
    <w:lvl w:ilvl="0" w:tplc="E7A09518">
      <w:start w:val="1"/>
      <w:numFmt w:val="decimal"/>
      <w:lvlText w:val="%1."/>
      <w:lvlJc w:val="left"/>
      <w:pPr>
        <w:tabs>
          <w:tab w:val="num" w:pos="1065"/>
        </w:tabs>
        <w:ind w:left="1065" w:hanging="70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9" w15:restartNumberingAfterBreak="0">
    <w:nsid w:val="5F417FA2"/>
    <w:multiLevelType w:val="hybridMultilevel"/>
    <w:tmpl w:val="2CEA8AB8"/>
    <w:lvl w:ilvl="0" w:tplc="2AF694BC">
      <w:start w:val="1"/>
      <w:numFmt w:val="lowerLetter"/>
      <w:lvlText w:val="%1)"/>
      <w:lvlJc w:val="left"/>
      <w:pPr>
        <w:ind w:left="1773" w:hanging="360"/>
      </w:pPr>
      <w:rPr>
        <w:rFonts w:ascii="Arial Narrow" w:eastAsia="Times New Roman" w:hAnsi="Arial Narrow" w:cs="Arial" w:hint="default"/>
      </w:rPr>
    </w:lvl>
    <w:lvl w:ilvl="1" w:tplc="240A0019">
      <w:start w:val="1"/>
      <w:numFmt w:val="lowerLetter"/>
      <w:lvlText w:val="%2."/>
      <w:lvlJc w:val="left"/>
      <w:pPr>
        <w:ind w:left="2493" w:hanging="360"/>
      </w:pPr>
    </w:lvl>
    <w:lvl w:ilvl="2" w:tplc="240A001B">
      <w:start w:val="1"/>
      <w:numFmt w:val="lowerRoman"/>
      <w:lvlText w:val="%3."/>
      <w:lvlJc w:val="right"/>
      <w:pPr>
        <w:ind w:left="3213" w:hanging="180"/>
      </w:pPr>
    </w:lvl>
    <w:lvl w:ilvl="3" w:tplc="240A000F" w:tentative="1">
      <w:start w:val="1"/>
      <w:numFmt w:val="decimal"/>
      <w:lvlText w:val="%4."/>
      <w:lvlJc w:val="left"/>
      <w:pPr>
        <w:ind w:left="3933" w:hanging="360"/>
      </w:pPr>
    </w:lvl>
    <w:lvl w:ilvl="4" w:tplc="240A0019" w:tentative="1">
      <w:start w:val="1"/>
      <w:numFmt w:val="lowerLetter"/>
      <w:lvlText w:val="%5."/>
      <w:lvlJc w:val="left"/>
      <w:pPr>
        <w:ind w:left="4653" w:hanging="360"/>
      </w:pPr>
    </w:lvl>
    <w:lvl w:ilvl="5" w:tplc="240A001B" w:tentative="1">
      <w:start w:val="1"/>
      <w:numFmt w:val="lowerRoman"/>
      <w:lvlText w:val="%6."/>
      <w:lvlJc w:val="right"/>
      <w:pPr>
        <w:ind w:left="5373" w:hanging="180"/>
      </w:pPr>
    </w:lvl>
    <w:lvl w:ilvl="6" w:tplc="240A000F" w:tentative="1">
      <w:start w:val="1"/>
      <w:numFmt w:val="decimal"/>
      <w:lvlText w:val="%7."/>
      <w:lvlJc w:val="left"/>
      <w:pPr>
        <w:ind w:left="6093" w:hanging="360"/>
      </w:pPr>
    </w:lvl>
    <w:lvl w:ilvl="7" w:tplc="240A0019" w:tentative="1">
      <w:start w:val="1"/>
      <w:numFmt w:val="lowerLetter"/>
      <w:lvlText w:val="%8."/>
      <w:lvlJc w:val="left"/>
      <w:pPr>
        <w:ind w:left="6813" w:hanging="360"/>
      </w:pPr>
    </w:lvl>
    <w:lvl w:ilvl="8" w:tplc="240A001B" w:tentative="1">
      <w:start w:val="1"/>
      <w:numFmt w:val="lowerRoman"/>
      <w:lvlText w:val="%9."/>
      <w:lvlJc w:val="right"/>
      <w:pPr>
        <w:ind w:left="7533" w:hanging="180"/>
      </w:pPr>
    </w:lvl>
  </w:abstractNum>
  <w:abstractNum w:abstractNumId="300" w15:restartNumberingAfterBreak="0">
    <w:nsid w:val="5F547531"/>
    <w:multiLevelType w:val="hybridMultilevel"/>
    <w:tmpl w:val="DF5A14C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795EA66C">
      <w:start w:val="1"/>
      <w:numFmt w:val="decimal"/>
      <w:lvlText w:val="%7."/>
      <w:lvlJc w:val="left"/>
      <w:pPr>
        <w:ind w:left="5040" w:hanging="360"/>
      </w:pPr>
      <w:rPr>
        <w:b w:val="0"/>
      </w:r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1" w15:restartNumberingAfterBreak="0">
    <w:nsid w:val="5FB60223"/>
    <w:multiLevelType w:val="hybridMultilevel"/>
    <w:tmpl w:val="348C43AE"/>
    <w:lvl w:ilvl="0" w:tplc="0C0A0001">
      <w:start w:val="1"/>
      <w:numFmt w:val="bullet"/>
      <w:lvlText w:val=""/>
      <w:lvlJc w:val="left"/>
      <w:pPr>
        <w:tabs>
          <w:tab w:val="num" w:pos="360"/>
        </w:tabs>
        <w:ind w:left="36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2" w15:restartNumberingAfterBreak="0">
    <w:nsid w:val="6047461D"/>
    <w:multiLevelType w:val="hybridMultilevel"/>
    <w:tmpl w:val="12A00872"/>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03" w15:restartNumberingAfterBreak="0">
    <w:nsid w:val="61930F10"/>
    <w:multiLevelType w:val="multilevel"/>
    <w:tmpl w:val="4FE22B26"/>
    <w:lvl w:ilvl="0">
      <w:start w:val="1"/>
      <w:numFmt w:val="decimal"/>
      <w:lvlText w:val="%1."/>
      <w:lvlJc w:val="left"/>
      <w:pPr>
        <w:ind w:left="644" w:hanging="360"/>
      </w:pPr>
      <w:rPr>
        <w:rFonts w:hint="default"/>
        <w:b w:val="0"/>
      </w:rPr>
    </w:lvl>
    <w:lvl w:ilvl="1">
      <w:start w:val="1"/>
      <w:numFmt w:val="decimal"/>
      <w:isLgl/>
      <w:lvlText w:val="%1.%2"/>
      <w:lvlJc w:val="left"/>
      <w:pPr>
        <w:ind w:left="360" w:hanging="360"/>
      </w:pPr>
      <w:rPr>
        <w:rFonts w:ascii="Arial Narrow" w:hAnsi="Arial Narrow" w:cs="TimesNewRomanPSMT" w:hint="default"/>
        <w:b w:val="0"/>
        <w:sz w:val="24"/>
        <w:szCs w:val="24"/>
      </w:rPr>
    </w:lvl>
    <w:lvl w:ilvl="2">
      <w:start w:val="1"/>
      <w:numFmt w:val="decimal"/>
      <w:isLgl/>
      <w:lvlText w:val="%1.%2.%3"/>
      <w:lvlJc w:val="left"/>
      <w:pPr>
        <w:ind w:left="1080" w:hanging="720"/>
      </w:pPr>
      <w:rPr>
        <w:rFonts w:ascii="Calibri" w:hAnsi="Calibri" w:cs="TimesNewRomanPSMT" w:hint="default"/>
        <w:b w:val="0"/>
        <w:sz w:val="22"/>
      </w:rPr>
    </w:lvl>
    <w:lvl w:ilvl="3">
      <w:start w:val="1"/>
      <w:numFmt w:val="decimal"/>
      <w:isLgl/>
      <w:lvlText w:val="%1.%2.%3.%4"/>
      <w:lvlJc w:val="left"/>
      <w:pPr>
        <w:ind w:left="1080" w:hanging="720"/>
      </w:pPr>
      <w:rPr>
        <w:rFonts w:ascii="Calibri" w:hAnsi="Calibri" w:cs="TimesNewRomanPSMT" w:hint="default"/>
        <w:b w:val="0"/>
        <w:sz w:val="22"/>
      </w:rPr>
    </w:lvl>
    <w:lvl w:ilvl="4">
      <w:start w:val="1"/>
      <w:numFmt w:val="decimal"/>
      <w:isLgl/>
      <w:lvlText w:val="%1.%2.%3.%4.%5"/>
      <w:lvlJc w:val="left"/>
      <w:pPr>
        <w:ind w:left="1440" w:hanging="1080"/>
      </w:pPr>
      <w:rPr>
        <w:rFonts w:ascii="Calibri" w:hAnsi="Calibri" w:cs="TimesNewRomanPSMT" w:hint="default"/>
        <w:b w:val="0"/>
        <w:sz w:val="22"/>
      </w:rPr>
    </w:lvl>
    <w:lvl w:ilvl="5">
      <w:start w:val="1"/>
      <w:numFmt w:val="decimal"/>
      <w:isLgl/>
      <w:lvlText w:val="%1.%2.%3.%4.%5.%6"/>
      <w:lvlJc w:val="left"/>
      <w:pPr>
        <w:ind w:left="1440" w:hanging="1080"/>
      </w:pPr>
      <w:rPr>
        <w:rFonts w:ascii="Calibri" w:hAnsi="Calibri" w:cs="TimesNewRomanPSMT" w:hint="default"/>
        <w:b w:val="0"/>
        <w:sz w:val="22"/>
      </w:rPr>
    </w:lvl>
    <w:lvl w:ilvl="6">
      <w:start w:val="1"/>
      <w:numFmt w:val="decimal"/>
      <w:isLgl/>
      <w:lvlText w:val="%1.%2.%3.%4.%5.%6.%7"/>
      <w:lvlJc w:val="left"/>
      <w:pPr>
        <w:ind w:left="1800" w:hanging="1440"/>
      </w:pPr>
      <w:rPr>
        <w:rFonts w:ascii="Calibri" w:hAnsi="Calibri" w:cs="TimesNewRomanPSMT" w:hint="default"/>
        <w:b w:val="0"/>
        <w:sz w:val="22"/>
      </w:rPr>
    </w:lvl>
    <w:lvl w:ilvl="7">
      <w:start w:val="1"/>
      <w:numFmt w:val="decimal"/>
      <w:isLgl/>
      <w:lvlText w:val="%1.%2.%3.%4.%5.%6.%7.%8"/>
      <w:lvlJc w:val="left"/>
      <w:pPr>
        <w:ind w:left="1800" w:hanging="1440"/>
      </w:pPr>
      <w:rPr>
        <w:rFonts w:ascii="Calibri" w:hAnsi="Calibri" w:cs="TimesNewRomanPSMT" w:hint="default"/>
        <w:b w:val="0"/>
        <w:sz w:val="22"/>
      </w:rPr>
    </w:lvl>
    <w:lvl w:ilvl="8">
      <w:start w:val="1"/>
      <w:numFmt w:val="decimal"/>
      <w:isLgl/>
      <w:lvlText w:val="%1.%2.%3.%4.%5.%6.%7.%8.%9"/>
      <w:lvlJc w:val="left"/>
      <w:pPr>
        <w:ind w:left="1800" w:hanging="1440"/>
      </w:pPr>
      <w:rPr>
        <w:rFonts w:ascii="Calibri" w:hAnsi="Calibri" w:cs="TimesNewRomanPSMT" w:hint="default"/>
        <w:b w:val="0"/>
        <w:sz w:val="22"/>
      </w:rPr>
    </w:lvl>
  </w:abstractNum>
  <w:abstractNum w:abstractNumId="304" w15:restartNumberingAfterBreak="0">
    <w:nsid w:val="62CA1877"/>
    <w:multiLevelType w:val="hybridMultilevel"/>
    <w:tmpl w:val="DCAEB364"/>
    <w:lvl w:ilvl="0" w:tplc="A8125B00">
      <w:start w:val="1"/>
      <w:numFmt w:val="lowerLetter"/>
      <w:lvlText w:val="%1."/>
      <w:lvlJc w:val="left"/>
      <w:pPr>
        <w:ind w:left="720" w:hanging="360"/>
      </w:pPr>
      <w:rPr>
        <w:rFonts w:ascii="Arial Narrow" w:eastAsia="Calibri" w:hAnsi="Arial Narrow" w:cs="Times New Roman"/>
        <w:b w:val="0"/>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5" w15:restartNumberingAfterBreak="0">
    <w:nsid w:val="63254054"/>
    <w:multiLevelType w:val="hybridMultilevel"/>
    <w:tmpl w:val="44D0767A"/>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06" w15:restartNumberingAfterBreak="0">
    <w:nsid w:val="63270879"/>
    <w:multiLevelType w:val="hybridMultilevel"/>
    <w:tmpl w:val="90CC5C84"/>
    <w:lvl w:ilvl="0" w:tplc="9540430A">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7" w15:restartNumberingAfterBreak="0">
    <w:nsid w:val="63406798"/>
    <w:multiLevelType w:val="hybridMultilevel"/>
    <w:tmpl w:val="5A2E197A"/>
    <w:lvl w:ilvl="0" w:tplc="D32830F2">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8" w15:restartNumberingAfterBreak="0">
    <w:nsid w:val="634235AE"/>
    <w:multiLevelType w:val="hybridMultilevel"/>
    <w:tmpl w:val="FD845844"/>
    <w:lvl w:ilvl="0" w:tplc="E090B164">
      <w:start w:val="1"/>
      <w:numFmt w:val="lowerLetter"/>
      <w:lvlText w:val="%1."/>
      <w:lvlJc w:val="left"/>
      <w:pPr>
        <w:ind w:left="720" w:hanging="360"/>
      </w:pPr>
      <w:rPr>
        <w:b w:val="0"/>
      </w:rPr>
    </w:lvl>
    <w:lvl w:ilvl="1" w:tplc="240A0019" w:tentative="1">
      <w:start w:val="1"/>
      <w:numFmt w:val="lowerLetter"/>
      <w:lvlText w:val="%2."/>
      <w:lvlJc w:val="left"/>
      <w:pPr>
        <w:ind w:left="1440" w:hanging="360"/>
      </w:pPr>
    </w:lvl>
    <w:lvl w:ilvl="2" w:tplc="7B40CED2">
      <w:start w:val="1"/>
      <w:numFmt w:val="lowerRoman"/>
      <w:lvlText w:val="%3."/>
      <w:lvlJc w:val="right"/>
      <w:pPr>
        <w:ind w:left="2160" w:hanging="180"/>
      </w:pPr>
      <w:rPr>
        <w:b w:val="0"/>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9" w15:restartNumberingAfterBreak="0">
    <w:nsid w:val="63A04E64"/>
    <w:multiLevelType w:val="hybridMultilevel"/>
    <w:tmpl w:val="62B082AC"/>
    <w:lvl w:ilvl="0" w:tplc="6002A262">
      <w:start w:val="1"/>
      <w:numFmt w:val="lowerLetter"/>
      <w:lvlText w:val="%1."/>
      <w:lvlJc w:val="left"/>
      <w:pPr>
        <w:ind w:left="1004" w:hanging="360"/>
      </w:pPr>
      <w:rPr>
        <w:b w:val="0"/>
        <w:color w:val="auto"/>
        <w:u w:val="none"/>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310" w15:restartNumberingAfterBreak="0">
    <w:nsid w:val="647E6F9E"/>
    <w:multiLevelType w:val="hybridMultilevel"/>
    <w:tmpl w:val="0DB67948"/>
    <w:lvl w:ilvl="0" w:tplc="240A0019">
      <w:start w:val="1"/>
      <w:numFmt w:val="lowerLetter"/>
      <w:lvlText w:val="%1."/>
      <w:lvlJc w:val="left"/>
      <w:pPr>
        <w:ind w:left="720" w:hanging="360"/>
      </w:pPr>
      <w:rPr>
        <w:rFonts w:hint="default"/>
        <w:color w:val="auto"/>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1" w15:restartNumberingAfterBreak="0">
    <w:nsid w:val="64B251CC"/>
    <w:multiLevelType w:val="hybridMultilevel"/>
    <w:tmpl w:val="4D647C8E"/>
    <w:lvl w:ilvl="0" w:tplc="E8DE0E6A">
      <w:start w:val="1"/>
      <w:numFmt w:val="lowerLetter"/>
      <w:lvlText w:val="%1."/>
      <w:lvlJc w:val="left"/>
      <w:pPr>
        <w:ind w:left="1065" w:hanging="360"/>
      </w:pPr>
      <w:rPr>
        <w:rFonts w:hint="default"/>
        <w:b w:val="0"/>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12" w15:restartNumberingAfterBreak="0">
    <w:nsid w:val="655E16C2"/>
    <w:multiLevelType w:val="hybridMultilevel"/>
    <w:tmpl w:val="FEAA54F8"/>
    <w:lvl w:ilvl="0" w:tplc="9D9C0434">
      <w:start w:val="1"/>
      <w:numFmt w:val="lowerRoman"/>
      <w:lvlText w:val="%1."/>
      <w:lvlJc w:val="left"/>
      <w:pPr>
        <w:ind w:left="1440" w:hanging="720"/>
      </w:pPr>
      <w:rPr>
        <w:rFonts w:cs="Arial" w:hint="default"/>
        <w:color w:val="000000"/>
      </w:rPr>
    </w:lvl>
    <w:lvl w:ilvl="1" w:tplc="240A001B">
      <w:start w:val="1"/>
      <w:numFmt w:val="lowerRoman"/>
      <w:lvlText w:val="%2."/>
      <w:lvlJc w:val="righ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13" w15:restartNumberingAfterBreak="0">
    <w:nsid w:val="65C04546"/>
    <w:multiLevelType w:val="hybridMultilevel"/>
    <w:tmpl w:val="91C84F8C"/>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4" w15:restartNumberingAfterBreak="0">
    <w:nsid w:val="660219F2"/>
    <w:multiLevelType w:val="hybridMultilevel"/>
    <w:tmpl w:val="1B60953A"/>
    <w:lvl w:ilvl="0" w:tplc="65EEC528">
      <w:start w:val="1"/>
      <w:numFmt w:val="decimal"/>
      <w:lvlText w:val="%1."/>
      <w:lvlJc w:val="left"/>
      <w:pPr>
        <w:tabs>
          <w:tab w:val="num" w:pos="1065"/>
        </w:tabs>
        <w:ind w:left="1065" w:hanging="705"/>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5" w15:restartNumberingAfterBreak="0">
    <w:nsid w:val="662E380A"/>
    <w:multiLevelType w:val="hybridMultilevel"/>
    <w:tmpl w:val="C7465094"/>
    <w:lvl w:ilvl="0" w:tplc="0C0A000F">
      <w:start w:val="1"/>
      <w:numFmt w:val="decimal"/>
      <w:lvlText w:val="%1."/>
      <w:lvlJc w:val="left"/>
      <w:pPr>
        <w:ind w:left="-360" w:hanging="360"/>
      </w:pPr>
      <w:rPr>
        <w:rFonts w:hint="default"/>
      </w:rPr>
    </w:lvl>
    <w:lvl w:ilvl="1" w:tplc="0C0A0019">
      <w:start w:val="1"/>
      <w:numFmt w:val="lowerLetter"/>
      <w:lvlText w:val="%2."/>
      <w:lvlJc w:val="left"/>
      <w:pPr>
        <w:ind w:left="360" w:hanging="360"/>
      </w:pPr>
    </w:lvl>
    <w:lvl w:ilvl="2" w:tplc="0C0A001B" w:tentative="1">
      <w:start w:val="1"/>
      <w:numFmt w:val="lowerRoman"/>
      <w:lvlText w:val="%3."/>
      <w:lvlJc w:val="right"/>
      <w:pPr>
        <w:ind w:left="1080" w:hanging="180"/>
      </w:pPr>
    </w:lvl>
    <w:lvl w:ilvl="3" w:tplc="0C0A000F" w:tentative="1">
      <w:start w:val="1"/>
      <w:numFmt w:val="decimal"/>
      <w:lvlText w:val="%4."/>
      <w:lvlJc w:val="left"/>
      <w:pPr>
        <w:ind w:left="1800" w:hanging="360"/>
      </w:pPr>
    </w:lvl>
    <w:lvl w:ilvl="4" w:tplc="0C0A0019" w:tentative="1">
      <w:start w:val="1"/>
      <w:numFmt w:val="lowerLetter"/>
      <w:lvlText w:val="%5."/>
      <w:lvlJc w:val="left"/>
      <w:pPr>
        <w:ind w:left="2520" w:hanging="360"/>
      </w:pPr>
    </w:lvl>
    <w:lvl w:ilvl="5" w:tplc="0C0A001B" w:tentative="1">
      <w:start w:val="1"/>
      <w:numFmt w:val="lowerRoman"/>
      <w:lvlText w:val="%6."/>
      <w:lvlJc w:val="right"/>
      <w:pPr>
        <w:ind w:left="3240" w:hanging="180"/>
      </w:pPr>
    </w:lvl>
    <w:lvl w:ilvl="6" w:tplc="0C0A000F" w:tentative="1">
      <w:start w:val="1"/>
      <w:numFmt w:val="decimal"/>
      <w:lvlText w:val="%7."/>
      <w:lvlJc w:val="left"/>
      <w:pPr>
        <w:ind w:left="3960" w:hanging="360"/>
      </w:pPr>
    </w:lvl>
    <w:lvl w:ilvl="7" w:tplc="0C0A0019" w:tentative="1">
      <w:start w:val="1"/>
      <w:numFmt w:val="lowerLetter"/>
      <w:lvlText w:val="%8."/>
      <w:lvlJc w:val="left"/>
      <w:pPr>
        <w:ind w:left="4680" w:hanging="360"/>
      </w:pPr>
    </w:lvl>
    <w:lvl w:ilvl="8" w:tplc="0C0A001B" w:tentative="1">
      <w:start w:val="1"/>
      <w:numFmt w:val="lowerRoman"/>
      <w:lvlText w:val="%9."/>
      <w:lvlJc w:val="right"/>
      <w:pPr>
        <w:ind w:left="5400" w:hanging="180"/>
      </w:pPr>
    </w:lvl>
  </w:abstractNum>
  <w:abstractNum w:abstractNumId="316" w15:restartNumberingAfterBreak="0">
    <w:nsid w:val="675D24F5"/>
    <w:multiLevelType w:val="hybridMultilevel"/>
    <w:tmpl w:val="EC1EC7C6"/>
    <w:lvl w:ilvl="0" w:tplc="A08EF4B4">
      <w:start w:val="1"/>
      <w:numFmt w:val="decimal"/>
      <w:lvlText w:val="%1."/>
      <w:lvlJc w:val="left"/>
      <w:pPr>
        <w:ind w:left="1211"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7" w15:restartNumberingAfterBreak="0">
    <w:nsid w:val="678E0841"/>
    <w:multiLevelType w:val="hybridMultilevel"/>
    <w:tmpl w:val="C00AC59E"/>
    <w:lvl w:ilvl="0" w:tplc="2FFC326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8" w15:restartNumberingAfterBreak="0">
    <w:nsid w:val="68683575"/>
    <w:multiLevelType w:val="hybridMultilevel"/>
    <w:tmpl w:val="60C4B180"/>
    <w:lvl w:ilvl="0" w:tplc="788CF8A6">
      <w:start w:val="1"/>
      <w:numFmt w:val="lowerLetter"/>
      <w:lvlText w:val="%1."/>
      <w:lvlJc w:val="left"/>
      <w:pPr>
        <w:ind w:left="2700" w:hanging="360"/>
      </w:pPr>
      <w:rPr>
        <w:rFonts w:hint="default"/>
      </w:r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19" w15:restartNumberingAfterBreak="0">
    <w:nsid w:val="689C00B8"/>
    <w:multiLevelType w:val="hybridMultilevel"/>
    <w:tmpl w:val="6A34EADE"/>
    <w:lvl w:ilvl="0" w:tplc="1E40F0C6">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0" w15:restartNumberingAfterBreak="0">
    <w:nsid w:val="69F9533D"/>
    <w:multiLevelType w:val="hybridMultilevel"/>
    <w:tmpl w:val="08DACF14"/>
    <w:lvl w:ilvl="0" w:tplc="9F7E3556">
      <w:start w:val="7"/>
      <w:numFmt w:val="bullet"/>
      <w:lvlText w:val="-"/>
      <w:lvlJc w:val="left"/>
      <w:pPr>
        <w:ind w:left="901" w:hanging="360"/>
      </w:pPr>
      <w:rPr>
        <w:rFonts w:ascii="Arial Narrow" w:eastAsiaTheme="minorHAnsi" w:hAnsi="Arial Narrow" w:cs="Arial" w:hint="default"/>
      </w:rPr>
    </w:lvl>
    <w:lvl w:ilvl="1" w:tplc="240A0003" w:tentative="1">
      <w:start w:val="1"/>
      <w:numFmt w:val="bullet"/>
      <w:lvlText w:val="o"/>
      <w:lvlJc w:val="left"/>
      <w:pPr>
        <w:ind w:left="1621" w:hanging="360"/>
      </w:pPr>
      <w:rPr>
        <w:rFonts w:ascii="Courier New" w:hAnsi="Courier New" w:cs="Courier New" w:hint="default"/>
      </w:rPr>
    </w:lvl>
    <w:lvl w:ilvl="2" w:tplc="240A0005" w:tentative="1">
      <w:start w:val="1"/>
      <w:numFmt w:val="bullet"/>
      <w:lvlText w:val=""/>
      <w:lvlJc w:val="left"/>
      <w:pPr>
        <w:ind w:left="2341" w:hanging="360"/>
      </w:pPr>
      <w:rPr>
        <w:rFonts w:ascii="Wingdings" w:hAnsi="Wingdings" w:hint="default"/>
      </w:rPr>
    </w:lvl>
    <w:lvl w:ilvl="3" w:tplc="240A0001" w:tentative="1">
      <w:start w:val="1"/>
      <w:numFmt w:val="bullet"/>
      <w:lvlText w:val=""/>
      <w:lvlJc w:val="left"/>
      <w:pPr>
        <w:ind w:left="3061" w:hanging="360"/>
      </w:pPr>
      <w:rPr>
        <w:rFonts w:ascii="Symbol" w:hAnsi="Symbol" w:hint="default"/>
      </w:rPr>
    </w:lvl>
    <w:lvl w:ilvl="4" w:tplc="240A0003" w:tentative="1">
      <w:start w:val="1"/>
      <w:numFmt w:val="bullet"/>
      <w:lvlText w:val="o"/>
      <w:lvlJc w:val="left"/>
      <w:pPr>
        <w:ind w:left="3781" w:hanging="360"/>
      </w:pPr>
      <w:rPr>
        <w:rFonts w:ascii="Courier New" w:hAnsi="Courier New" w:cs="Courier New" w:hint="default"/>
      </w:rPr>
    </w:lvl>
    <w:lvl w:ilvl="5" w:tplc="240A0005" w:tentative="1">
      <w:start w:val="1"/>
      <w:numFmt w:val="bullet"/>
      <w:lvlText w:val=""/>
      <w:lvlJc w:val="left"/>
      <w:pPr>
        <w:ind w:left="4501" w:hanging="360"/>
      </w:pPr>
      <w:rPr>
        <w:rFonts w:ascii="Wingdings" w:hAnsi="Wingdings" w:hint="default"/>
      </w:rPr>
    </w:lvl>
    <w:lvl w:ilvl="6" w:tplc="240A0001" w:tentative="1">
      <w:start w:val="1"/>
      <w:numFmt w:val="bullet"/>
      <w:lvlText w:val=""/>
      <w:lvlJc w:val="left"/>
      <w:pPr>
        <w:ind w:left="5221" w:hanging="360"/>
      </w:pPr>
      <w:rPr>
        <w:rFonts w:ascii="Symbol" w:hAnsi="Symbol" w:hint="default"/>
      </w:rPr>
    </w:lvl>
    <w:lvl w:ilvl="7" w:tplc="240A0003" w:tentative="1">
      <w:start w:val="1"/>
      <w:numFmt w:val="bullet"/>
      <w:lvlText w:val="o"/>
      <w:lvlJc w:val="left"/>
      <w:pPr>
        <w:ind w:left="5941" w:hanging="360"/>
      </w:pPr>
      <w:rPr>
        <w:rFonts w:ascii="Courier New" w:hAnsi="Courier New" w:cs="Courier New" w:hint="default"/>
      </w:rPr>
    </w:lvl>
    <w:lvl w:ilvl="8" w:tplc="240A0005" w:tentative="1">
      <w:start w:val="1"/>
      <w:numFmt w:val="bullet"/>
      <w:lvlText w:val=""/>
      <w:lvlJc w:val="left"/>
      <w:pPr>
        <w:ind w:left="6661" w:hanging="360"/>
      </w:pPr>
      <w:rPr>
        <w:rFonts w:ascii="Wingdings" w:hAnsi="Wingdings" w:hint="default"/>
      </w:rPr>
    </w:lvl>
  </w:abstractNum>
  <w:abstractNum w:abstractNumId="321" w15:restartNumberingAfterBreak="0">
    <w:nsid w:val="6A3E1EC0"/>
    <w:multiLevelType w:val="hybridMultilevel"/>
    <w:tmpl w:val="9742537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2" w15:restartNumberingAfterBreak="0">
    <w:nsid w:val="6AAC1A6C"/>
    <w:multiLevelType w:val="hybridMultilevel"/>
    <w:tmpl w:val="A42EEBEC"/>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3" w15:restartNumberingAfterBreak="0">
    <w:nsid w:val="6AB152DF"/>
    <w:multiLevelType w:val="hybridMultilevel"/>
    <w:tmpl w:val="D3560DB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4" w15:restartNumberingAfterBreak="0">
    <w:nsid w:val="6B560BEF"/>
    <w:multiLevelType w:val="hybridMultilevel"/>
    <w:tmpl w:val="10B4111A"/>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25" w15:restartNumberingAfterBreak="0">
    <w:nsid w:val="6B6D11C0"/>
    <w:multiLevelType w:val="hybridMultilevel"/>
    <w:tmpl w:val="EC1EC7C6"/>
    <w:lvl w:ilvl="0" w:tplc="A08EF4B4">
      <w:start w:val="1"/>
      <w:numFmt w:val="decimal"/>
      <w:lvlText w:val="%1."/>
      <w:lvlJc w:val="left"/>
      <w:pPr>
        <w:ind w:left="1211"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6" w15:restartNumberingAfterBreak="0">
    <w:nsid w:val="6C4B439C"/>
    <w:multiLevelType w:val="hybridMultilevel"/>
    <w:tmpl w:val="2EA25B54"/>
    <w:lvl w:ilvl="0" w:tplc="FCC01B6C">
      <w:start w:val="1"/>
      <w:numFmt w:val="decimal"/>
      <w:lvlText w:val="%1."/>
      <w:lvlJc w:val="left"/>
      <w:pPr>
        <w:ind w:left="360" w:hanging="360"/>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7" w15:restartNumberingAfterBreak="0">
    <w:nsid w:val="6C9B4ECD"/>
    <w:multiLevelType w:val="hybridMultilevel"/>
    <w:tmpl w:val="C6D201A0"/>
    <w:lvl w:ilvl="0" w:tplc="6BEE0ACE">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8" w15:restartNumberingAfterBreak="0">
    <w:nsid w:val="6CB80C18"/>
    <w:multiLevelType w:val="hybridMultilevel"/>
    <w:tmpl w:val="40C2E0EA"/>
    <w:lvl w:ilvl="0" w:tplc="0409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9" w15:restartNumberingAfterBreak="0">
    <w:nsid w:val="6CEC63C5"/>
    <w:multiLevelType w:val="hybridMultilevel"/>
    <w:tmpl w:val="A3CA303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0" w15:restartNumberingAfterBreak="0">
    <w:nsid w:val="6D430578"/>
    <w:multiLevelType w:val="hybridMultilevel"/>
    <w:tmpl w:val="C696E544"/>
    <w:lvl w:ilvl="0" w:tplc="E7A09518">
      <w:start w:val="1"/>
      <w:numFmt w:val="decimal"/>
      <w:lvlText w:val="%1."/>
      <w:lvlJc w:val="left"/>
      <w:pPr>
        <w:tabs>
          <w:tab w:val="num" w:pos="1065"/>
        </w:tabs>
        <w:ind w:left="1065" w:hanging="70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1" w15:restartNumberingAfterBreak="0">
    <w:nsid w:val="6DE06F92"/>
    <w:multiLevelType w:val="hybridMultilevel"/>
    <w:tmpl w:val="30FEE690"/>
    <w:lvl w:ilvl="0" w:tplc="A9F25DA0">
      <w:start w:val="1"/>
      <w:numFmt w:val="decimal"/>
      <w:lvlText w:val="%1."/>
      <w:lvlJc w:val="left"/>
      <w:pPr>
        <w:tabs>
          <w:tab w:val="num" w:pos="360"/>
        </w:tabs>
        <w:ind w:left="360" w:hanging="360"/>
      </w:pPr>
      <w:rPr>
        <w:rFonts w:hint="default"/>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2" w15:restartNumberingAfterBreak="0">
    <w:nsid w:val="6E6207CC"/>
    <w:multiLevelType w:val="hybridMultilevel"/>
    <w:tmpl w:val="B71C2D88"/>
    <w:lvl w:ilvl="0" w:tplc="68309956">
      <w:start w:val="3"/>
      <w:numFmt w:val="decimal"/>
      <w:lvlText w:val="%1."/>
      <w:lvlJc w:val="left"/>
      <w:pPr>
        <w:ind w:left="2340" w:hanging="360"/>
      </w:pPr>
      <w:rPr>
        <w:rFonts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3" w15:restartNumberingAfterBreak="0">
    <w:nsid w:val="6EB14BC4"/>
    <w:multiLevelType w:val="hybridMultilevel"/>
    <w:tmpl w:val="E988A342"/>
    <w:lvl w:ilvl="0" w:tplc="9074241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4" w15:restartNumberingAfterBreak="0">
    <w:nsid w:val="6ED07B0B"/>
    <w:multiLevelType w:val="hybridMultilevel"/>
    <w:tmpl w:val="737E2700"/>
    <w:lvl w:ilvl="0" w:tplc="240A0017">
      <w:start w:val="1"/>
      <w:numFmt w:val="lowerLetter"/>
      <w:lvlText w:val="%1)"/>
      <w:lvlJc w:val="left"/>
      <w:pPr>
        <w:ind w:left="900" w:hanging="360"/>
      </w:pPr>
    </w:lvl>
    <w:lvl w:ilvl="1" w:tplc="240A0019" w:tentative="1">
      <w:start w:val="1"/>
      <w:numFmt w:val="lowerLetter"/>
      <w:lvlText w:val="%2."/>
      <w:lvlJc w:val="left"/>
      <w:pPr>
        <w:ind w:left="1620" w:hanging="360"/>
      </w:pPr>
    </w:lvl>
    <w:lvl w:ilvl="2" w:tplc="240A001B" w:tentative="1">
      <w:start w:val="1"/>
      <w:numFmt w:val="lowerRoman"/>
      <w:lvlText w:val="%3."/>
      <w:lvlJc w:val="right"/>
      <w:pPr>
        <w:ind w:left="2340" w:hanging="180"/>
      </w:pPr>
    </w:lvl>
    <w:lvl w:ilvl="3" w:tplc="240A000F" w:tentative="1">
      <w:start w:val="1"/>
      <w:numFmt w:val="decimal"/>
      <w:lvlText w:val="%4."/>
      <w:lvlJc w:val="left"/>
      <w:pPr>
        <w:ind w:left="3060" w:hanging="360"/>
      </w:pPr>
    </w:lvl>
    <w:lvl w:ilvl="4" w:tplc="240A0019" w:tentative="1">
      <w:start w:val="1"/>
      <w:numFmt w:val="lowerLetter"/>
      <w:lvlText w:val="%5."/>
      <w:lvlJc w:val="left"/>
      <w:pPr>
        <w:ind w:left="3780" w:hanging="360"/>
      </w:pPr>
    </w:lvl>
    <w:lvl w:ilvl="5" w:tplc="240A001B" w:tentative="1">
      <w:start w:val="1"/>
      <w:numFmt w:val="lowerRoman"/>
      <w:lvlText w:val="%6."/>
      <w:lvlJc w:val="right"/>
      <w:pPr>
        <w:ind w:left="4500" w:hanging="180"/>
      </w:pPr>
    </w:lvl>
    <w:lvl w:ilvl="6" w:tplc="240A000F" w:tentative="1">
      <w:start w:val="1"/>
      <w:numFmt w:val="decimal"/>
      <w:lvlText w:val="%7."/>
      <w:lvlJc w:val="left"/>
      <w:pPr>
        <w:ind w:left="5220" w:hanging="360"/>
      </w:pPr>
    </w:lvl>
    <w:lvl w:ilvl="7" w:tplc="240A0019" w:tentative="1">
      <w:start w:val="1"/>
      <w:numFmt w:val="lowerLetter"/>
      <w:lvlText w:val="%8."/>
      <w:lvlJc w:val="left"/>
      <w:pPr>
        <w:ind w:left="5940" w:hanging="360"/>
      </w:pPr>
    </w:lvl>
    <w:lvl w:ilvl="8" w:tplc="240A001B" w:tentative="1">
      <w:start w:val="1"/>
      <w:numFmt w:val="lowerRoman"/>
      <w:lvlText w:val="%9."/>
      <w:lvlJc w:val="right"/>
      <w:pPr>
        <w:ind w:left="6660" w:hanging="180"/>
      </w:pPr>
    </w:lvl>
  </w:abstractNum>
  <w:abstractNum w:abstractNumId="335" w15:restartNumberingAfterBreak="0">
    <w:nsid w:val="6F2E0F19"/>
    <w:multiLevelType w:val="hybridMultilevel"/>
    <w:tmpl w:val="0D86412C"/>
    <w:lvl w:ilvl="0" w:tplc="240A0019">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6" w15:restartNumberingAfterBreak="0">
    <w:nsid w:val="6F612AF0"/>
    <w:multiLevelType w:val="multilevel"/>
    <w:tmpl w:val="4FE22B26"/>
    <w:lvl w:ilvl="0">
      <w:start w:val="1"/>
      <w:numFmt w:val="decimal"/>
      <w:lvlText w:val="%1."/>
      <w:lvlJc w:val="left"/>
      <w:pPr>
        <w:ind w:left="644" w:hanging="360"/>
      </w:pPr>
      <w:rPr>
        <w:rFonts w:hint="default"/>
        <w:b w:val="0"/>
      </w:rPr>
    </w:lvl>
    <w:lvl w:ilvl="1">
      <w:start w:val="1"/>
      <w:numFmt w:val="decimal"/>
      <w:isLgl/>
      <w:lvlText w:val="%1.%2"/>
      <w:lvlJc w:val="left"/>
      <w:pPr>
        <w:ind w:left="360" w:hanging="360"/>
      </w:pPr>
      <w:rPr>
        <w:rFonts w:ascii="Arial Narrow" w:hAnsi="Arial Narrow" w:cs="TimesNewRomanPSMT" w:hint="default"/>
        <w:b w:val="0"/>
        <w:sz w:val="24"/>
        <w:szCs w:val="24"/>
      </w:rPr>
    </w:lvl>
    <w:lvl w:ilvl="2">
      <w:start w:val="1"/>
      <w:numFmt w:val="decimal"/>
      <w:isLgl/>
      <w:lvlText w:val="%1.%2.%3"/>
      <w:lvlJc w:val="left"/>
      <w:pPr>
        <w:ind w:left="1080" w:hanging="720"/>
      </w:pPr>
      <w:rPr>
        <w:rFonts w:ascii="Calibri" w:hAnsi="Calibri" w:cs="TimesNewRomanPSMT" w:hint="default"/>
        <w:b w:val="0"/>
        <w:sz w:val="22"/>
      </w:rPr>
    </w:lvl>
    <w:lvl w:ilvl="3">
      <w:start w:val="1"/>
      <w:numFmt w:val="decimal"/>
      <w:isLgl/>
      <w:lvlText w:val="%1.%2.%3.%4"/>
      <w:lvlJc w:val="left"/>
      <w:pPr>
        <w:ind w:left="1080" w:hanging="720"/>
      </w:pPr>
      <w:rPr>
        <w:rFonts w:ascii="Calibri" w:hAnsi="Calibri" w:cs="TimesNewRomanPSMT" w:hint="default"/>
        <w:b w:val="0"/>
        <w:sz w:val="22"/>
      </w:rPr>
    </w:lvl>
    <w:lvl w:ilvl="4">
      <w:start w:val="1"/>
      <w:numFmt w:val="decimal"/>
      <w:isLgl/>
      <w:lvlText w:val="%1.%2.%3.%4.%5"/>
      <w:lvlJc w:val="left"/>
      <w:pPr>
        <w:ind w:left="1440" w:hanging="1080"/>
      </w:pPr>
      <w:rPr>
        <w:rFonts w:ascii="Calibri" w:hAnsi="Calibri" w:cs="TimesNewRomanPSMT" w:hint="default"/>
        <w:b w:val="0"/>
        <w:sz w:val="22"/>
      </w:rPr>
    </w:lvl>
    <w:lvl w:ilvl="5">
      <w:start w:val="1"/>
      <w:numFmt w:val="decimal"/>
      <w:isLgl/>
      <w:lvlText w:val="%1.%2.%3.%4.%5.%6"/>
      <w:lvlJc w:val="left"/>
      <w:pPr>
        <w:ind w:left="1440" w:hanging="1080"/>
      </w:pPr>
      <w:rPr>
        <w:rFonts w:ascii="Calibri" w:hAnsi="Calibri" w:cs="TimesNewRomanPSMT" w:hint="default"/>
        <w:b w:val="0"/>
        <w:sz w:val="22"/>
      </w:rPr>
    </w:lvl>
    <w:lvl w:ilvl="6">
      <w:start w:val="1"/>
      <w:numFmt w:val="decimal"/>
      <w:isLgl/>
      <w:lvlText w:val="%1.%2.%3.%4.%5.%6.%7"/>
      <w:lvlJc w:val="left"/>
      <w:pPr>
        <w:ind w:left="1800" w:hanging="1440"/>
      </w:pPr>
      <w:rPr>
        <w:rFonts w:ascii="Calibri" w:hAnsi="Calibri" w:cs="TimesNewRomanPSMT" w:hint="default"/>
        <w:b w:val="0"/>
        <w:sz w:val="22"/>
      </w:rPr>
    </w:lvl>
    <w:lvl w:ilvl="7">
      <w:start w:val="1"/>
      <w:numFmt w:val="decimal"/>
      <w:isLgl/>
      <w:lvlText w:val="%1.%2.%3.%4.%5.%6.%7.%8"/>
      <w:lvlJc w:val="left"/>
      <w:pPr>
        <w:ind w:left="1800" w:hanging="1440"/>
      </w:pPr>
      <w:rPr>
        <w:rFonts w:ascii="Calibri" w:hAnsi="Calibri" w:cs="TimesNewRomanPSMT" w:hint="default"/>
        <w:b w:val="0"/>
        <w:sz w:val="22"/>
      </w:rPr>
    </w:lvl>
    <w:lvl w:ilvl="8">
      <w:start w:val="1"/>
      <w:numFmt w:val="decimal"/>
      <w:isLgl/>
      <w:lvlText w:val="%1.%2.%3.%4.%5.%6.%7.%8.%9"/>
      <w:lvlJc w:val="left"/>
      <w:pPr>
        <w:ind w:left="1800" w:hanging="1440"/>
      </w:pPr>
      <w:rPr>
        <w:rFonts w:ascii="Calibri" w:hAnsi="Calibri" w:cs="TimesNewRomanPSMT" w:hint="default"/>
        <w:b w:val="0"/>
        <w:sz w:val="22"/>
      </w:rPr>
    </w:lvl>
  </w:abstractNum>
  <w:abstractNum w:abstractNumId="337" w15:restartNumberingAfterBreak="0">
    <w:nsid w:val="6FF72D71"/>
    <w:multiLevelType w:val="hybridMultilevel"/>
    <w:tmpl w:val="89D06BB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8" w15:restartNumberingAfterBreak="0">
    <w:nsid w:val="70966F68"/>
    <w:multiLevelType w:val="hybridMultilevel"/>
    <w:tmpl w:val="C40CACE2"/>
    <w:lvl w:ilvl="0" w:tplc="FFCCBEDC">
      <w:start w:val="1"/>
      <w:numFmt w:val="upperLetter"/>
      <w:lvlText w:val="%1."/>
      <w:lvlJc w:val="left"/>
      <w:pPr>
        <w:ind w:left="1037" w:hanging="360"/>
      </w:pPr>
      <w:rPr>
        <w:b w:val="0"/>
      </w:rPr>
    </w:lvl>
    <w:lvl w:ilvl="1" w:tplc="240A0019" w:tentative="1">
      <w:start w:val="1"/>
      <w:numFmt w:val="lowerLetter"/>
      <w:lvlText w:val="%2."/>
      <w:lvlJc w:val="left"/>
      <w:pPr>
        <w:ind w:left="1757" w:hanging="360"/>
      </w:pPr>
    </w:lvl>
    <w:lvl w:ilvl="2" w:tplc="240A001B" w:tentative="1">
      <w:start w:val="1"/>
      <w:numFmt w:val="lowerRoman"/>
      <w:lvlText w:val="%3."/>
      <w:lvlJc w:val="right"/>
      <w:pPr>
        <w:ind w:left="2477" w:hanging="180"/>
      </w:pPr>
    </w:lvl>
    <w:lvl w:ilvl="3" w:tplc="240A000F" w:tentative="1">
      <w:start w:val="1"/>
      <w:numFmt w:val="decimal"/>
      <w:lvlText w:val="%4."/>
      <w:lvlJc w:val="left"/>
      <w:pPr>
        <w:ind w:left="3197" w:hanging="360"/>
      </w:pPr>
    </w:lvl>
    <w:lvl w:ilvl="4" w:tplc="240A0019" w:tentative="1">
      <w:start w:val="1"/>
      <w:numFmt w:val="lowerLetter"/>
      <w:lvlText w:val="%5."/>
      <w:lvlJc w:val="left"/>
      <w:pPr>
        <w:ind w:left="3917" w:hanging="360"/>
      </w:pPr>
    </w:lvl>
    <w:lvl w:ilvl="5" w:tplc="240A001B" w:tentative="1">
      <w:start w:val="1"/>
      <w:numFmt w:val="lowerRoman"/>
      <w:lvlText w:val="%6."/>
      <w:lvlJc w:val="right"/>
      <w:pPr>
        <w:ind w:left="4637" w:hanging="180"/>
      </w:pPr>
    </w:lvl>
    <w:lvl w:ilvl="6" w:tplc="240A000F" w:tentative="1">
      <w:start w:val="1"/>
      <w:numFmt w:val="decimal"/>
      <w:lvlText w:val="%7."/>
      <w:lvlJc w:val="left"/>
      <w:pPr>
        <w:ind w:left="5357" w:hanging="360"/>
      </w:pPr>
    </w:lvl>
    <w:lvl w:ilvl="7" w:tplc="240A0019" w:tentative="1">
      <w:start w:val="1"/>
      <w:numFmt w:val="lowerLetter"/>
      <w:lvlText w:val="%8."/>
      <w:lvlJc w:val="left"/>
      <w:pPr>
        <w:ind w:left="6077" w:hanging="360"/>
      </w:pPr>
    </w:lvl>
    <w:lvl w:ilvl="8" w:tplc="240A001B" w:tentative="1">
      <w:start w:val="1"/>
      <w:numFmt w:val="lowerRoman"/>
      <w:lvlText w:val="%9."/>
      <w:lvlJc w:val="right"/>
      <w:pPr>
        <w:ind w:left="6797" w:hanging="180"/>
      </w:pPr>
    </w:lvl>
  </w:abstractNum>
  <w:abstractNum w:abstractNumId="339" w15:restartNumberingAfterBreak="0">
    <w:nsid w:val="70A25811"/>
    <w:multiLevelType w:val="hybridMultilevel"/>
    <w:tmpl w:val="8E8E5F1E"/>
    <w:lvl w:ilvl="0" w:tplc="0C0A000F">
      <w:start w:val="1"/>
      <w:numFmt w:val="decimal"/>
      <w:lvlText w:val="%1."/>
      <w:lvlJc w:val="left"/>
      <w:pPr>
        <w:tabs>
          <w:tab w:val="num" w:pos="720"/>
        </w:tabs>
        <w:ind w:left="720" w:hanging="360"/>
      </w:pPr>
      <w:rPr>
        <w:rFonts w:hint="default"/>
      </w:rPr>
    </w:lvl>
    <w:lvl w:ilvl="1" w:tplc="240A0003" w:tentative="1">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340" w15:restartNumberingAfterBreak="0">
    <w:nsid w:val="71202DD6"/>
    <w:multiLevelType w:val="hybridMultilevel"/>
    <w:tmpl w:val="D3867BC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1" w15:restartNumberingAfterBreak="0">
    <w:nsid w:val="713557DD"/>
    <w:multiLevelType w:val="hybridMultilevel"/>
    <w:tmpl w:val="27CC3196"/>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42" w15:restartNumberingAfterBreak="0">
    <w:nsid w:val="72BD028D"/>
    <w:multiLevelType w:val="hybridMultilevel"/>
    <w:tmpl w:val="187CA09C"/>
    <w:lvl w:ilvl="0" w:tplc="2FFC326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3" w15:restartNumberingAfterBreak="0">
    <w:nsid w:val="743275C9"/>
    <w:multiLevelType w:val="hybridMultilevel"/>
    <w:tmpl w:val="6292F542"/>
    <w:lvl w:ilvl="0" w:tplc="AB8ED1D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4" w15:restartNumberingAfterBreak="0">
    <w:nsid w:val="74AE7C2D"/>
    <w:multiLevelType w:val="hybridMultilevel"/>
    <w:tmpl w:val="547EF8C8"/>
    <w:lvl w:ilvl="0" w:tplc="0906AADA">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45" w15:restartNumberingAfterBreak="0">
    <w:nsid w:val="750B026B"/>
    <w:multiLevelType w:val="hybridMultilevel"/>
    <w:tmpl w:val="C34CE44C"/>
    <w:lvl w:ilvl="0" w:tplc="F17818B2">
      <w:start w:val="1"/>
      <w:numFmt w:val="decimal"/>
      <w:lvlText w:val="%1."/>
      <w:lvlJc w:val="left"/>
      <w:pPr>
        <w:ind w:left="144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6" w15:restartNumberingAfterBreak="0">
    <w:nsid w:val="755F1F4B"/>
    <w:multiLevelType w:val="hybridMultilevel"/>
    <w:tmpl w:val="59F0CFE2"/>
    <w:lvl w:ilvl="0" w:tplc="A2EE2146">
      <w:start w:val="1"/>
      <w:numFmt w:val="decimal"/>
      <w:lvlText w:val="%1."/>
      <w:lvlJc w:val="left"/>
      <w:pPr>
        <w:tabs>
          <w:tab w:val="num" w:pos="360"/>
        </w:tabs>
        <w:ind w:left="360" w:hanging="360"/>
      </w:pPr>
      <w:rPr>
        <w:rFonts w:hint="default"/>
        <w:color w:val="auto"/>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7" w15:restartNumberingAfterBreak="0">
    <w:nsid w:val="76223ED0"/>
    <w:multiLevelType w:val="multilevel"/>
    <w:tmpl w:val="1CD0D656"/>
    <w:lvl w:ilvl="0">
      <w:start w:val="1"/>
      <w:numFmt w:val="decimal"/>
      <w:lvlText w:val="%1."/>
      <w:lvlJc w:val="left"/>
      <w:pPr>
        <w:ind w:left="644" w:hanging="360"/>
      </w:pPr>
      <w:rPr>
        <w:rFonts w:hint="default"/>
        <w:b w:val="0"/>
      </w:rPr>
    </w:lvl>
    <w:lvl w:ilvl="1">
      <w:start w:val="1"/>
      <w:numFmt w:val="decimal"/>
      <w:isLgl/>
      <w:lvlText w:val="%1.%2"/>
      <w:lvlJc w:val="left"/>
      <w:pPr>
        <w:ind w:left="720" w:hanging="360"/>
      </w:pPr>
      <w:rPr>
        <w:rFonts w:ascii="Calibri" w:hAnsi="Calibri" w:cs="TimesNewRomanPSMT" w:hint="default"/>
        <w:b w:val="0"/>
        <w:sz w:val="22"/>
      </w:rPr>
    </w:lvl>
    <w:lvl w:ilvl="2">
      <w:start w:val="7"/>
      <w:numFmt w:val="bullet"/>
      <w:lvlText w:val="-"/>
      <w:lvlJc w:val="left"/>
      <w:pPr>
        <w:ind w:left="1080" w:hanging="720"/>
      </w:pPr>
      <w:rPr>
        <w:rFonts w:ascii="Arial Narrow" w:eastAsiaTheme="minorHAnsi" w:hAnsi="Arial Narrow" w:cs="Arial" w:hint="default"/>
        <w:b w:val="0"/>
        <w:sz w:val="22"/>
      </w:rPr>
    </w:lvl>
    <w:lvl w:ilvl="3">
      <w:start w:val="1"/>
      <w:numFmt w:val="decimal"/>
      <w:isLgl/>
      <w:lvlText w:val="%1.%2.%3.%4"/>
      <w:lvlJc w:val="left"/>
      <w:pPr>
        <w:ind w:left="1080" w:hanging="720"/>
      </w:pPr>
      <w:rPr>
        <w:rFonts w:ascii="Calibri" w:hAnsi="Calibri" w:cs="TimesNewRomanPSMT" w:hint="default"/>
        <w:b w:val="0"/>
        <w:sz w:val="22"/>
      </w:rPr>
    </w:lvl>
    <w:lvl w:ilvl="4">
      <w:start w:val="1"/>
      <w:numFmt w:val="decimal"/>
      <w:isLgl/>
      <w:lvlText w:val="%1.%2.%3.%4.%5"/>
      <w:lvlJc w:val="left"/>
      <w:pPr>
        <w:ind w:left="1440" w:hanging="1080"/>
      </w:pPr>
      <w:rPr>
        <w:rFonts w:ascii="Calibri" w:hAnsi="Calibri" w:cs="TimesNewRomanPSMT" w:hint="default"/>
        <w:b w:val="0"/>
        <w:sz w:val="22"/>
      </w:rPr>
    </w:lvl>
    <w:lvl w:ilvl="5">
      <w:start w:val="1"/>
      <w:numFmt w:val="decimal"/>
      <w:isLgl/>
      <w:lvlText w:val="%1.%2.%3.%4.%5.%6"/>
      <w:lvlJc w:val="left"/>
      <w:pPr>
        <w:ind w:left="1440" w:hanging="1080"/>
      </w:pPr>
      <w:rPr>
        <w:rFonts w:ascii="Calibri" w:hAnsi="Calibri" w:cs="TimesNewRomanPSMT" w:hint="default"/>
        <w:b w:val="0"/>
        <w:sz w:val="22"/>
      </w:rPr>
    </w:lvl>
    <w:lvl w:ilvl="6">
      <w:start w:val="1"/>
      <w:numFmt w:val="decimal"/>
      <w:isLgl/>
      <w:lvlText w:val="%1.%2.%3.%4.%5.%6.%7"/>
      <w:lvlJc w:val="left"/>
      <w:pPr>
        <w:ind w:left="1800" w:hanging="1440"/>
      </w:pPr>
      <w:rPr>
        <w:rFonts w:ascii="Calibri" w:hAnsi="Calibri" w:cs="TimesNewRomanPSMT" w:hint="default"/>
        <w:b w:val="0"/>
        <w:sz w:val="22"/>
      </w:rPr>
    </w:lvl>
    <w:lvl w:ilvl="7">
      <w:start w:val="1"/>
      <w:numFmt w:val="decimal"/>
      <w:isLgl/>
      <w:lvlText w:val="%1.%2.%3.%4.%5.%6.%7.%8"/>
      <w:lvlJc w:val="left"/>
      <w:pPr>
        <w:ind w:left="1800" w:hanging="1440"/>
      </w:pPr>
      <w:rPr>
        <w:rFonts w:ascii="Calibri" w:hAnsi="Calibri" w:cs="TimesNewRomanPSMT" w:hint="default"/>
        <w:b w:val="0"/>
        <w:sz w:val="22"/>
      </w:rPr>
    </w:lvl>
    <w:lvl w:ilvl="8">
      <w:start w:val="1"/>
      <w:numFmt w:val="decimal"/>
      <w:isLgl/>
      <w:lvlText w:val="%1.%2.%3.%4.%5.%6.%7.%8.%9"/>
      <w:lvlJc w:val="left"/>
      <w:pPr>
        <w:ind w:left="1800" w:hanging="1440"/>
      </w:pPr>
      <w:rPr>
        <w:rFonts w:ascii="Calibri" w:hAnsi="Calibri" w:cs="TimesNewRomanPSMT" w:hint="default"/>
        <w:b w:val="0"/>
        <w:sz w:val="22"/>
      </w:rPr>
    </w:lvl>
  </w:abstractNum>
  <w:abstractNum w:abstractNumId="348" w15:restartNumberingAfterBreak="0">
    <w:nsid w:val="763229A2"/>
    <w:multiLevelType w:val="hybridMultilevel"/>
    <w:tmpl w:val="44D0767A"/>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49" w15:restartNumberingAfterBreak="0">
    <w:nsid w:val="76643380"/>
    <w:multiLevelType w:val="hybridMultilevel"/>
    <w:tmpl w:val="B5C60B14"/>
    <w:lvl w:ilvl="0" w:tplc="48B0126E">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0" w15:restartNumberingAfterBreak="0">
    <w:nsid w:val="76D10040"/>
    <w:multiLevelType w:val="hybridMultilevel"/>
    <w:tmpl w:val="4B8207EE"/>
    <w:lvl w:ilvl="0" w:tplc="8AE280B8">
      <w:start w:val="1"/>
      <w:numFmt w:val="decimal"/>
      <w:lvlText w:val="%1."/>
      <w:lvlJc w:val="left"/>
      <w:pPr>
        <w:tabs>
          <w:tab w:val="num" w:pos="720"/>
        </w:tabs>
        <w:ind w:left="720" w:hanging="360"/>
      </w:pPr>
      <w:rPr>
        <w:rFonts w:hint="default"/>
        <w:b w:val="0"/>
        <w:color w:val="auto"/>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1" w15:restartNumberingAfterBreak="0">
    <w:nsid w:val="7ABB206F"/>
    <w:multiLevelType w:val="hybridMultilevel"/>
    <w:tmpl w:val="4FC0FEC4"/>
    <w:lvl w:ilvl="0" w:tplc="2960A26A">
      <w:start w:val="1"/>
      <w:numFmt w:val="decimal"/>
      <w:lvlText w:val="%1."/>
      <w:lvlJc w:val="left"/>
      <w:pPr>
        <w:tabs>
          <w:tab w:val="num" w:pos="705"/>
        </w:tabs>
        <w:ind w:left="705" w:hanging="705"/>
      </w:pPr>
      <w:rPr>
        <w:rFonts w:hint="default"/>
        <w:b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2" w15:restartNumberingAfterBreak="0">
    <w:nsid w:val="7B250037"/>
    <w:multiLevelType w:val="multilevel"/>
    <w:tmpl w:val="D0C6F5A0"/>
    <w:lvl w:ilvl="0">
      <w:start w:val="2"/>
      <w:numFmt w:val="decimal"/>
      <w:lvlText w:val="%1."/>
      <w:lvlJc w:val="righ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b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3" w15:restartNumberingAfterBreak="0">
    <w:nsid w:val="7B412FB2"/>
    <w:multiLevelType w:val="hybridMultilevel"/>
    <w:tmpl w:val="CD2EDC0C"/>
    <w:lvl w:ilvl="0" w:tplc="21482116">
      <w:start w:val="1"/>
      <w:numFmt w:val="decimal"/>
      <w:lvlText w:val="%1."/>
      <w:lvlJc w:val="left"/>
      <w:pPr>
        <w:tabs>
          <w:tab w:val="num" w:pos="847"/>
        </w:tabs>
        <w:ind w:left="847" w:hanging="705"/>
      </w:pPr>
      <w:rPr>
        <w:rFonts w:hint="default"/>
        <w:b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4" w15:restartNumberingAfterBreak="0">
    <w:nsid w:val="7B55314B"/>
    <w:multiLevelType w:val="hybridMultilevel"/>
    <w:tmpl w:val="F76C84F0"/>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5" w15:restartNumberingAfterBreak="0">
    <w:nsid w:val="7B763C42"/>
    <w:multiLevelType w:val="hybridMultilevel"/>
    <w:tmpl w:val="6D8AD070"/>
    <w:lvl w:ilvl="0" w:tplc="F7564A2A">
      <w:start w:val="1"/>
      <w:numFmt w:val="decimal"/>
      <w:lvlText w:val="%1."/>
      <w:lvlJc w:val="left"/>
      <w:pPr>
        <w:tabs>
          <w:tab w:val="num" w:pos="1065"/>
        </w:tabs>
        <w:ind w:left="1065" w:hanging="70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6" w15:restartNumberingAfterBreak="0">
    <w:nsid w:val="7BD61CC3"/>
    <w:multiLevelType w:val="hybridMultilevel"/>
    <w:tmpl w:val="A7DAD81C"/>
    <w:lvl w:ilvl="0" w:tplc="65EEC528">
      <w:start w:val="1"/>
      <w:numFmt w:val="decimal"/>
      <w:lvlText w:val="%1."/>
      <w:lvlJc w:val="left"/>
      <w:pPr>
        <w:tabs>
          <w:tab w:val="num" w:pos="1065"/>
        </w:tabs>
        <w:ind w:left="1065" w:hanging="70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7" w15:restartNumberingAfterBreak="0">
    <w:nsid w:val="7BEA089A"/>
    <w:multiLevelType w:val="hybridMultilevel"/>
    <w:tmpl w:val="26FAC6BC"/>
    <w:lvl w:ilvl="0" w:tplc="EF7634E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8" w15:restartNumberingAfterBreak="0">
    <w:nsid w:val="7C3D0C95"/>
    <w:multiLevelType w:val="multilevel"/>
    <w:tmpl w:val="776CF94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7732"/>
        </w:tabs>
        <w:ind w:left="7732"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9" w15:restartNumberingAfterBreak="0">
    <w:nsid w:val="7C577826"/>
    <w:multiLevelType w:val="hybridMultilevel"/>
    <w:tmpl w:val="B6F46704"/>
    <w:lvl w:ilvl="0" w:tplc="240A000F">
      <w:start w:val="1"/>
      <w:numFmt w:val="decimal"/>
      <w:lvlText w:val="%1."/>
      <w:lvlJc w:val="left"/>
      <w:pPr>
        <w:ind w:left="643"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0" w15:restartNumberingAfterBreak="0">
    <w:nsid w:val="7D0F0735"/>
    <w:multiLevelType w:val="hybridMultilevel"/>
    <w:tmpl w:val="A3CA303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1" w15:restartNumberingAfterBreak="0">
    <w:nsid w:val="7D447E84"/>
    <w:multiLevelType w:val="hybridMultilevel"/>
    <w:tmpl w:val="C64A89D4"/>
    <w:lvl w:ilvl="0" w:tplc="47B67FDA">
      <w:start w:val="1"/>
      <w:numFmt w:val="lowerLetter"/>
      <w:lvlText w:val="%1."/>
      <w:lvlJc w:val="left"/>
      <w:pPr>
        <w:ind w:left="14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2" w15:restartNumberingAfterBreak="0">
    <w:nsid w:val="7D7F4690"/>
    <w:multiLevelType w:val="hybridMultilevel"/>
    <w:tmpl w:val="1CEE2D9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3" w15:restartNumberingAfterBreak="0">
    <w:nsid w:val="7D9350C0"/>
    <w:multiLevelType w:val="multilevel"/>
    <w:tmpl w:val="63AC3C4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4" w15:restartNumberingAfterBreak="0">
    <w:nsid w:val="7E3A5731"/>
    <w:multiLevelType w:val="hybridMultilevel"/>
    <w:tmpl w:val="F894F876"/>
    <w:lvl w:ilvl="0" w:tplc="7E8655D6">
      <w:start w:val="1"/>
      <w:numFmt w:val="decimal"/>
      <w:lvlText w:val="%1."/>
      <w:lvlJc w:val="left"/>
      <w:pPr>
        <w:tabs>
          <w:tab w:val="num" w:pos="1065"/>
        </w:tabs>
        <w:ind w:left="1065" w:hanging="70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5" w15:restartNumberingAfterBreak="0">
    <w:nsid w:val="7E4618D3"/>
    <w:multiLevelType w:val="hybridMultilevel"/>
    <w:tmpl w:val="30B88E42"/>
    <w:lvl w:ilvl="0" w:tplc="EC46C6F8">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6" w15:restartNumberingAfterBreak="0">
    <w:nsid w:val="7E8E5ACF"/>
    <w:multiLevelType w:val="hybridMultilevel"/>
    <w:tmpl w:val="E51E44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7" w15:restartNumberingAfterBreak="0">
    <w:nsid w:val="7EA43A32"/>
    <w:multiLevelType w:val="hybridMultilevel"/>
    <w:tmpl w:val="B9580582"/>
    <w:lvl w:ilvl="0" w:tplc="C352DCD2">
      <w:start w:val="1"/>
      <w:numFmt w:val="decimal"/>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8" w15:restartNumberingAfterBreak="0">
    <w:nsid w:val="7EDB5A5D"/>
    <w:multiLevelType w:val="hybridMultilevel"/>
    <w:tmpl w:val="B66E2990"/>
    <w:lvl w:ilvl="0" w:tplc="7A20BCF0">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9" w15:restartNumberingAfterBreak="0">
    <w:nsid w:val="7EE97663"/>
    <w:multiLevelType w:val="hybridMultilevel"/>
    <w:tmpl w:val="FAD20682"/>
    <w:lvl w:ilvl="0" w:tplc="240A0001">
      <w:start w:val="1"/>
      <w:numFmt w:val="bullet"/>
      <w:lvlText w:val=""/>
      <w:lvlJc w:val="left"/>
      <w:pPr>
        <w:ind w:left="1996" w:hanging="360"/>
      </w:pPr>
      <w:rPr>
        <w:rFonts w:ascii="Symbol" w:hAnsi="Symbol" w:hint="default"/>
      </w:rPr>
    </w:lvl>
    <w:lvl w:ilvl="1" w:tplc="240A0003" w:tentative="1">
      <w:start w:val="1"/>
      <w:numFmt w:val="bullet"/>
      <w:lvlText w:val="o"/>
      <w:lvlJc w:val="left"/>
      <w:pPr>
        <w:ind w:left="2716" w:hanging="360"/>
      </w:pPr>
      <w:rPr>
        <w:rFonts w:ascii="Courier New" w:hAnsi="Courier New" w:cs="Courier New" w:hint="default"/>
      </w:rPr>
    </w:lvl>
    <w:lvl w:ilvl="2" w:tplc="240A0005" w:tentative="1">
      <w:start w:val="1"/>
      <w:numFmt w:val="bullet"/>
      <w:lvlText w:val=""/>
      <w:lvlJc w:val="left"/>
      <w:pPr>
        <w:ind w:left="3436" w:hanging="360"/>
      </w:pPr>
      <w:rPr>
        <w:rFonts w:ascii="Wingdings" w:hAnsi="Wingdings" w:hint="default"/>
      </w:rPr>
    </w:lvl>
    <w:lvl w:ilvl="3" w:tplc="240A0001" w:tentative="1">
      <w:start w:val="1"/>
      <w:numFmt w:val="bullet"/>
      <w:lvlText w:val=""/>
      <w:lvlJc w:val="left"/>
      <w:pPr>
        <w:ind w:left="4156" w:hanging="360"/>
      </w:pPr>
      <w:rPr>
        <w:rFonts w:ascii="Symbol" w:hAnsi="Symbol" w:hint="default"/>
      </w:rPr>
    </w:lvl>
    <w:lvl w:ilvl="4" w:tplc="240A0003" w:tentative="1">
      <w:start w:val="1"/>
      <w:numFmt w:val="bullet"/>
      <w:lvlText w:val="o"/>
      <w:lvlJc w:val="left"/>
      <w:pPr>
        <w:ind w:left="4876" w:hanging="360"/>
      </w:pPr>
      <w:rPr>
        <w:rFonts w:ascii="Courier New" w:hAnsi="Courier New" w:cs="Courier New" w:hint="default"/>
      </w:rPr>
    </w:lvl>
    <w:lvl w:ilvl="5" w:tplc="240A0005" w:tentative="1">
      <w:start w:val="1"/>
      <w:numFmt w:val="bullet"/>
      <w:lvlText w:val=""/>
      <w:lvlJc w:val="left"/>
      <w:pPr>
        <w:ind w:left="5596" w:hanging="360"/>
      </w:pPr>
      <w:rPr>
        <w:rFonts w:ascii="Wingdings" w:hAnsi="Wingdings" w:hint="default"/>
      </w:rPr>
    </w:lvl>
    <w:lvl w:ilvl="6" w:tplc="240A0001" w:tentative="1">
      <w:start w:val="1"/>
      <w:numFmt w:val="bullet"/>
      <w:lvlText w:val=""/>
      <w:lvlJc w:val="left"/>
      <w:pPr>
        <w:ind w:left="6316" w:hanging="360"/>
      </w:pPr>
      <w:rPr>
        <w:rFonts w:ascii="Symbol" w:hAnsi="Symbol" w:hint="default"/>
      </w:rPr>
    </w:lvl>
    <w:lvl w:ilvl="7" w:tplc="240A0003" w:tentative="1">
      <w:start w:val="1"/>
      <w:numFmt w:val="bullet"/>
      <w:lvlText w:val="o"/>
      <w:lvlJc w:val="left"/>
      <w:pPr>
        <w:ind w:left="7036" w:hanging="360"/>
      </w:pPr>
      <w:rPr>
        <w:rFonts w:ascii="Courier New" w:hAnsi="Courier New" w:cs="Courier New" w:hint="default"/>
      </w:rPr>
    </w:lvl>
    <w:lvl w:ilvl="8" w:tplc="240A0005" w:tentative="1">
      <w:start w:val="1"/>
      <w:numFmt w:val="bullet"/>
      <w:lvlText w:val=""/>
      <w:lvlJc w:val="left"/>
      <w:pPr>
        <w:ind w:left="7756" w:hanging="360"/>
      </w:pPr>
      <w:rPr>
        <w:rFonts w:ascii="Wingdings" w:hAnsi="Wingdings" w:hint="default"/>
      </w:rPr>
    </w:lvl>
  </w:abstractNum>
  <w:abstractNum w:abstractNumId="370" w15:restartNumberingAfterBreak="0">
    <w:nsid w:val="7EF55DEB"/>
    <w:multiLevelType w:val="hybridMultilevel"/>
    <w:tmpl w:val="9BA24550"/>
    <w:lvl w:ilvl="0" w:tplc="681688E2">
      <w:start w:val="1"/>
      <w:numFmt w:val="decimal"/>
      <w:lvlText w:val="%1."/>
      <w:lvlJc w:val="left"/>
      <w:pPr>
        <w:ind w:left="1428" w:hanging="360"/>
      </w:pPr>
      <w:rPr>
        <w:rFonts w:hint="default"/>
        <w:b w:val="0"/>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71" w15:restartNumberingAfterBreak="0">
    <w:nsid w:val="7F6C3729"/>
    <w:multiLevelType w:val="multilevel"/>
    <w:tmpl w:val="E0E070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2" w15:restartNumberingAfterBreak="0">
    <w:nsid w:val="7F802EBA"/>
    <w:multiLevelType w:val="multilevel"/>
    <w:tmpl w:val="5B6210BC"/>
    <w:lvl w:ilvl="0">
      <w:start w:val="2"/>
      <w:numFmt w:val="decimal"/>
      <w:lvlText w:val="%1."/>
      <w:lvlJc w:val="righ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502" w:hanging="360"/>
      </w:pPr>
      <w:rPr>
        <w:rFonts w:hint="default"/>
        <w:b w:val="0"/>
      </w:rPr>
    </w:lvl>
    <w:lvl w:ilvl="4">
      <w:start w:val="1"/>
      <w:numFmt w:val="lowerLetter"/>
      <w:lvlText w:val="%5."/>
      <w:lvlJc w:val="left"/>
      <w:pPr>
        <w:ind w:left="3600" w:hanging="360"/>
      </w:pPr>
      <w:rPr>
        <w:rFonts w:hint="default"/>
        <w:b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3" w15:restartNumberingAfterBreak="0">
    <w:nsid w:val="7FA12475"/>
    <w:multiLevelType w:val="hybridMultilevel"/>
    <w:tmpl w:val="7C5E891C"/>
    <w:lvl w:ilvl="0" w:tplc="9DA2BC48">
      <w:start w:val="1"/>
      <w:numFmt w:val="decimal"/>
      <w:lvlText w:val="%1."/>
      <w:lvlJc w:val="left"/>
      <w:pPr>
        <w:ind w:left="1065" w:hanging="360"/>
      </w:pPr>
      <w:rPr>
        <w:rFonts w:ascii="Arial Narrow" w:hAnsi="Arial Narrow" w:hint="default"/>
        <w:b w:val="0"/>
        <w:sz w:val="24"/>
        <w:szCs w:val="24"/>
      </w:rPr>
    </w:lvl>
    <w:lvl w:ilvl="1" w:tplc="1FF8F8C0">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4" w15:restartNumberingAfterBreak="0">
    <w:nsid w:val="7FA25177"/>
    <w:multiLevelType w:val="hybridMultilevel"/>
    <w:tmpl w:val="A12A5FB0"/>
    <w:lvl w:ilvl="0" w:tplc="240A000F">
      <w:start w:val="1"/>
      <w:numFmt w:val="decimal"/>
      <w:lvlText w:val="%1."/>
      <w:lvlJc w:val="left"/>
      <w:pPr>
        <w:ind w:left="720" w:hanging="360"/>
      </w:pPr>
      <w:rPr>
        <w:rFonts w:hint="default"/>
      </w:rPr>
    </w:lvl>
    <w:lvl w:ilvl="1" w:tplc="47B67FDA">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5" w15:restartNumberingAfterBreak="0">
    <w:nsid w:val="7FC049D9"/>
    <w:multiLevelType w:val="multilevel"/>
    <w:tmpl w:val="240A001F"/>
    <w:lvl w:ilvl="0">
      <w:start w:val="1"/>
      <w:numFmt w:val="decimal"/>
      <w:lvlText w:val="%1."/>
      <w:lvlJc w:val="left"/>
      <w:pPr>
        <w:ind w:left="1068" w:hanging="360"/>
      </w:pPr>
      <w:rPr>
        <w:b w:val="0"/>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num w:numId="1">
    <w:abstractNumId w:val="245"/>
  </w:num>
  <w:num w:numId="2">
    <w:abstractNumId w:val="127"/>
  </w:num>
  <w:num w:numId="3">
    <w:abstractNumId w:val="4"/>
  </w:num>
  <w:num w:numId="4">
    <w:abstractNumId w:val="355"/>
  </w:num>
  <w:num w:numId="5">
    <w:abstractNumId w:val="215"/>
  </w:num>
  <w:num w:numId="6">
    <w:abstractNumId w:val="144"/>
  </w:num>
  <w:num w:numId="7">
    <w:abstractNumId w:val="7"/>
  </w:num>
  <w:num w:numId="8">
    <w:abstractNumId w:val="204"/>
  </w:num>
  <w:num w:numId="9">
    <w:abstractNumId w:val="195"/>
  </w:num>
  <w:num w:numId="10">
    <w:abstractNumId w:val="364"/>
  </w:num>
  <w:num w:numId="11">
    <w:abstractNumId w:val="270"/>
  </w:num>
  <w:num w:numId="12">
    <w:abstractNumId w:val="356"/>
  </w:num>
  <w:num w:numId="13">
    <w:abstractNumId w:val="210"/>
  </w:num>
  <w:num w:numId="14">
    <w:abstractNumId w:val="35"/>
  </w:num>
  <w:num w:numId="15">
    <w:abstractNumId w:val="44"/>
  </w:num>
  <w:num w:numId="16">
    <w:abstractNumId w:val="37"/>
  </w:num>
  <w:num w:numId="17">
    <w:abstractNumId w:val="88"/>
  </w:num>
  <w:num w:numId="18">
    <w:abstractNumId w:val="64"/>
  </w:num>
  <w:num w:numId="19">
    <w:abstractNumId w:val="233"/>
  </w:num>
  <w:num w:numId="20">
    <w:abstractNumId w:val="33"/>
  </w:num>
  <w:num w:numId="21">
    <w:abstractNumId w:val="41"/>
  </w:num>
  <w:num w:numId="22">
    <w:abstractNumId w:val="51"/>
  </w:num>
  <w:num w:numId="23">
    <w:abstractNumId w:val="217"/>
  </w:num>
  <w:num w:numId="24">
    <w:abstractNumId w:val="313"/>
  </w:num>
  <w:num w:numId="25">
    <w:abstractNumId w:val="87"/>
  </w:num>
  <w:num w:numId="26">
    <w:abstractNumId w:val="149"/>
  </w:num>
  <w:num w:numId="27">
    <w:abstractNumId w:val="341"/>
  </w:num>
  <w:num w:numId="28">
    <w:abstractNumId w:val="322"/>
  </w:num>
  <w:num w:numId="29">
    <w:abstractNumId w:val="301"/>
  </w:num>
  <w:num w:numId="30">
    <w:abstractNumId w:val="20"/>
  </w:num>
  <w:num w:numId="31">
    <w:abstractNumId w:val="157"/>
  </w:num>
  <w:num w:numId="32">
    <w:abstractNumId w:val="67"/>
  </w:num>
  <w:num w:numId="33">
    <w:abstractNumId w:val="296"/>
  </w:num>
  <w:num w:numId="34">
    <w:abstractNumId w:val="360"/>
  </w:num>
  <w:num w:numId="35">
    <w:abstractNumId w:val="18"/>
  </w:num>
  <w:num w:numId="36">
    <w:abstractNumId w:val="57"/>
  </w:num>
  <w:num w:numId="37">
    <w:abstractNumId w:val="176"/>
  </w:num>
  <w:num w:numId="38">
    <w:abstractNumId w:val="240"/>
  </w:num>
  <w:num w:numId="39">
    <w:abstractNumId w:val="45"/>
  </w:num>
  <w:num w:numId="40">
    <w:abstractNumId w:val="348"/>
  </w:num>
  <w:num w:numId="41">
    <w:abstractNumId w:val="143"/>
  </w:num>
  <w:num w:numId="42">
    <w:abstractNumId w:val="339"/>
  </w:num>
  <w:num w:numId="43">
    <w:abstractNumId w:val="177"/>
  </w:num>
  <w:num w:numId="44">
    <w:abstractNumId w:val="299"/>
  </w:num>
  <w:num w:numId="45">
    <w:abstractNumId w:val="292"/>
  </w:num>
  <w:num w:numId="46">
    <w:abstractNumId w:val="354"/>
  </w:num>
  <w:num w:numId="47">
    <w:abstractNumId w:val="236"/>
  </w:num>
  <w:num w:numId="48">
    <w:abstractNumId w:val="248"/>
  </w:num>
  <w:num w:numId="49">
    <w:abstractNumId w:val="190"/>
  </w:num>
  <w:num w:numId="50">
    <w:abstractNumId w:val="168"/>
  </w:num>
  <w:num w:numId="51">
    <w:abstractNumId w:val="329"/>
  </w:num>
  <w:num w:numId="52">
    <w:abstractNumId w:val="232"/>
  </w:num>
  <w:num w:numId="53">
    <w:abstractNumId w:val="208"/>
  </w:num>
  <w:num w:numId="54">
    <w:abstractNumId w:val="175"/>
  </w:num>
  <w:num w:numId="55">
    <w:abstractNumId w:val="371"/>
  </w:num>
  <w:num w:numId="56">
    <w:abstractNumId w:val="3"/>
  </w:num>
  <w:num w:numId="57">
    <w:abstractNumId w:val="295"/>
  </w:num>
  <w:num w:numId="58">
    <w:abstractNumId w:val="178"/>
  </w:num>
  <w:num w:numId="59">
    <w:abstractNumId w:val="351"/>
  </w:num>
  <w:num w:numId="60">
    <w:abstractNumId w:val="94"/>
  </w:num>
  <w:num w:numId="61">
    <w:abstractNumId w:val="38"/>
  </w:num>
  <w:num w:numId="62">
    <w:abstractNumId w:val="139"/>
  </w:num>
  <w:num w:numId="63">
    <w:abstractNumId w:val="266"/>
  </w:num>
  <w:num w:numId="64">
    <w:abstractNumId w:val="211"/>
  </w:num>
  <w:num w:numId="65">
    <w:abstractNumId w:val="290"/>
  </w:num>
  <w:num w:numId="66">
    <w:abstractNumId w:val="303"/>
  </w:num>
  <w:num w:numId="67">
    <w:abstractNumId w:val="370"/>
  </w:num>
  <w:num w:numId="68">
    <w:abstractNumId w:val="71"/>
  </w:num>
  <w:num w:numId="69">
    <w:abstractNumId w:val="46"/>
  </w:num>
  <w:num w:numId="70">
    <w:abstractNumId w:val="237"/>
  </w:num>
  <w:num w:numId="71">
    <w:abstractNumId w:val="315"/>
  </w:num>
  <w:num w:numId="72">
    <w:abstractNumId w:val="291"/>
  </w:num>
  <w:num w:numId="73">
    <w:abstractNumId w:val="375"/>
  </w:num>
  <w:num w:numId="74">
    <w:abstractNumId w:val="56"/>
  </w:num>
  <w:num w:numId="75">
    <w:abstractNumId w:val="130"/>
  </w:num>
  <w:num w:numId="76">
    <w:abstractNumId w:val="25"/>
  </w:num>
  <w:num w:numId="77">
    <w:abstractNumId w:val="321"/>
  </w:num>
  <w:num w:numId="78">
    <w:abstractNumId w:val="203"/>
  </w:num>
  <w:num w:numId="79">
    <w:abstractNumId w:val="9"/>
  </w:num>
  <w:num w:numId="80">
    <w:abstractNumId w:val="0"/>
  </w:num>
  <w:num w:numId="81">
    <w:abstractNumId w:val="357"/>
  </w:num>
  <w:num w:numId="82">
    <w:abstractNumId w:val="19"/>
  </w:num>
  <w:num w:numId="83">
    <w:abstractNumId w:val="39"/>
  </w:num>
  <w:num w:numId="84">
    <w:abstractNumId w:val="224"/>
  </w:num>
  <w:num w:numId="85">
    <w:abstractNumId w:val="213"/>
  </w:num>
  <w:num w:numId="86">
    <w:abstractNumId w:val="50"/>
  </w:num>
  <w:num w:numId="87">
    <w:abstractNumId w:val="247"/>
  </w:num>
  <w:num w:numId="88">
    <w:abstractNumId w:val="104"/>
  </w:num>
  <w:num w:numId="89">
    <w:abstractNumId w:val="194"/>
  </w:num>
  <w:num w:numId="90">
    <w:abstractNumId w:val="302"/>
  </w:num>
  <w:num w:numId="91">
    <w:abstractNumId w:val="5"/>
  </w:num>
  <w:num w:numId="92">
    <w:abstractNumId w:val="153"/>
  </w:num>
  <w:num w:numId="93">
    <w:abstractNumId w:val="225"/>
  </w:num>
  <w:num w:numId="94">
    <w:abstractNumId w:val="260"/>
  </w:num>
  <w:num w:numId="95">
    <w:abstractNumId w:val="123"/>
  </w:num>
  <w:num w:numId="96">
    <w:abstractNumId w:val="262"/>
  </w:num>
  <w:num w:numId="97">
    <w:abstractNumId w:val="234"/>
  </w:num>
  <w:num w:numId="98">
    <w:abstractNumId w:val="81"/>
  </w:num>
  <w:num w:numId="99">
    <w:abstractNumId w:val="374"/>
  </w:num>
  <w:num w:numId="100">
    <w:abstractNumId w:val="136"/>
  </w:num>
  <w:num w:numId="101">
    <w:abstractNumId w:val="140"/>
  </w:num>
  <w:num w:numId="102">
    <w:abstractNumId w:val="75"/>
  </w:num>
  <w:num w:numId="103">
    <w:abstractNumId w:val="324"/>
  </w:num>
  <w:num w:numId="104">
    <w:abstractNumId w:val="74"/>
  </w:num>
  <w:num w:numId="105">
    <w:abstractNumId w:val="172"/>
  </w:num>
  <w:num w:numId="106">
    <w:abstractNumId w:val="359"/>
  </w:num>
  <w:num w:numId="107">
    <w:abstractNumId w:val="209"/>
  </w:num>
  <w:num w:numId="108">
    <w:abstractNumId w:val="218"/>
  </w:num>
  <w:num w:numId="109">
    <w:abstractNumId w:val="280"/>
  </w:num>
  <w:num w:numId="110">
    <w:abstractNumId w:val="151"/>
  </w:num>
  <w:num w:numId="111">
    <w:abstractNumId w:val="61"/>
  </w:num>
  <w:num w:numId="112">
    <w:abstractNumId w:val="254"/>
  </w:num>
  <w:num w:numId="113">
    <w:abstractNumId w:val="171"/>
  </w:num>
  <w:num w:numId="114">
    <w:abstractNumId w:val="331"/>
  </w:num>
  <w:num w:numId="115">
    <w:abstractNumId w:val="169"/>
  </w:num>
  <w:num w:numId="116">
    <w:abstractNumId w:val="8"/>
  </w:num>
  <w:num w:numId="117">
    <w:abstractNumId w:val="289"/>
  </w:num>
  <w:num w:numId="118">
    <w:abstractNumId w:val="113"/>
  </w:num>
  <w:num w:numId="119">
    <w:abstractNumId w:val="55"/>
  </w:num>
  <w:num w:numId="120">
    <w:abstractNumId w:val="309"/>
  </w:num>
  <w:num w:numId="121">
    <w:abstractNumId w:val="125"/>
  </w:num>
  <w:num w:numId="122">
    <w:abstractNumId w:val="199"/>
  </w:num>
  <w:num w:numId="123">
    <w:abstractNumId w:val="122"/>
  </w:num>
  <w:num w:numId="124">
    <w:abstractNumId w:val="99"/>
  </w:num>
  <w:num w:numId="125">
    <w:abstractNumId w:val="346"/>
  </w:num>
  <w:num w:numId="126">
    <w:abstractNumId w:val="238"/>
  </w:num>
  <w:num w:numId="127">
    <w:abstractNumId w:val="251"/>
  </w:num>
  <w:num w:numId="128">
    <w:abstractNumId w:val="350"/>
  </w:num>
  <w:num w:numId="129">
    <w:abstractNumId w:val="108"/>
  </w:num>
  <w:num w:numId="130">
    <w:abstractNumId w:val="12"/>
  </w:num>
  <w:num w:numId="131">
    <w:abstractNumId w:val="10"/>
  </w:num>
  <w:num w:numId="132">
    <w:abstractNumId w:val="186"/>
  </w:num>
  <w:num w:numId="133">
    <w:abstractNumId w:val="148"/>
  </w:num>
  <w:num w:numId="134">
    <w:abstractNumId w:val="40"/>
  </w:num>
  <w:num w:numId="135">
    <w:abstractNumId w:val="183"/>
  </w:num>
  <w:num w:numId="136">
    <w:abstractNumId w:val="47"/>
  </w:num>
  <w:num w:numId="137">
    <w:abstractNumId w:val="202"/>
  </w:num>
  <w:num w:numId="138">
    <w:abstractNumId w:val="107"/>
  </w:num>
  <w:num w:numId="139">
    <w:abstractNumId w:val="76"/>
  </w:num>
  <w:num w:numId="140">
    <w:abstractNumId w:val="241"/>
  </w:num>
  <w:num w:numId="141">
    <w:abstractNumId w:val="297"/>
  </w:num>
  <w:num w:numId="142">
    <w:abstractNumId w:val="368"/>
  </w:num>
  <w:num w:numId="143">
    <w:abstractNumId w:val="170"/>
  </w:num>
  <w:num w:numId="144">
    <w:abstractNumId w:val="336"/>
  </w:num>
  <w:num w:numId="145">
    <w:abstractNumId w:val="90"/>
  </w:num>
  <w:num w:numId="146">
    <w:abstractNumId w:val="323"/>
  </w:num>
  <w:num w:numId="147">
    <w:abstractNumId w:val="328"/>
  </w:num>
  <w:num w:numId="148">
    <w:abstractNumId w:val="263"/>
  </w:num>
  <w:num w:numId="149">
    <w:abstractNumId w:val="344"/>
  </w:num>
  <w:num w:numId="150">
    <w:abstractNumId w:val="79"/>
  </w:num>
  <w:num w:numId="151">
    <w:abstractNumId w:val="314"/>
  </w:num>
  <w:num w:numId="152">
    <w:abstractNumId w:val="228"/>
  </w:num>
  <w:num w:numId="153">
    <w:abstractNumId w:val="261"/>
  </w:num>
  <w:num w:numId="154">
    <w:abstractNumId w:val="187"/>
  </w:num>
  <w:num w:numId="155">
    <w:abstractNumId w:val="142"/>
  </w:num>
  <w:num w:numId="156">
    <w:abstractNumId w:val="192"/>
  </w:num>
  <w:num w:numId="157">
    <w:abstractNumId w:val="272"/>
  </w:num>
  <w:num w:numId="158">
    <w:abstractNumId w:val="334"/>
  </w:num>
  <w:num w:numId="159">
    <w:abstractNumId w:val="120"/>
  </w:num>
  <w:num w:numId="160">
    <w:abstractNumId w:val="83"/>
  </w:num>
  <w:num w:numId="161">
    <w:abstractNumId w:val="80"/>
  </w:num>
  <w:num w:numId="162">
    <w:abstractNumId w:val="307"/>
  </w:num>
  <w:num w:numId="163">
    <w:abstractNumId w:val="160"/>
  </w:num>
  <w:num w:numId="164">
    <w:abstractNumId w:val="2"/>
  </w:num>
  <w:num w:numId="165">
    <w:abstractNumId w:val="70"/>
  </w:num>
  <w:num w:numId="166">
    <w:abstractNumId w:val="28"/>
  </w:num>
  <w:num w:numId="167">
    <w:abstractNumId w:val="106"/>
  </w:num>
  <w:num w:numId="168">
    <w:abstractNumId w:val="63"/>
  </w:num>
  <w:num w:numId="169">
    <w:abstractNumId w:val="343"/>
  </w:num>
  <w:num w:numId="170">
    <w:abstractNumId w:val="349"/>
  </w:num>
  <w:num w:numId="171">
    <w:abstractNumId w:val="363"/>
  </w:num>
  <w:num w:numId="172">
    <w:abstractNumId w:val="327"/>
  </w:num>
  <w:num w:numId="173">
    <w:abstractNumId w:val="128"/>
  </w:num>
  <w:num w:numId="174">
    <w:abstractNumId w:val="111"/>
  </w:num>
  <w:num w:numId="175">
    <w:abstractNumId w:val="161"/>
  </w:num>
  <w:num w:numId="176">
    <w:abstractNumId w:val="60"/>
  </w:num>
  <w:num w:numId="177">
    <w:abstractNumId w:val="15"/>
  </w:num>
  <w:num w:numId="178">
    <w:abstractNumId w:val="308"/>
  </w:num>
  <w:num w:numId="179">
    <w:abstractNumId w:val="230"/>
  </w:num>
  <w:num w:numId="180">
    <w:abstractNumId w:val="345"/>
  </w:num>
  <w:num w:numId="181">
    <w:abstractNumId w:val="196"/>
  </w:num>
  <w:num w:numId="182">
    <w:abstractNumId w:val="182"/>
  </w:num>
  <w:num w:numId="183">
    <w:abstractNumId w:val="134"/>
  </w:num>
  <w:num w:numId="184">
    <w:abstractNumId w:val="116"/>
  </w:num>
  <w:num w:numId="185">
    <w:abstractNumId w:val="6"/>
  </w:num>
  <w:num w:numId="186">
    <w:abstractNumId w:val="162"/>
  </w:num>
  <w:num w:numId="187">
    <w:abstractNumId w:val="227"/>
  </w:num>
  <w:num w:numId="188">
    <w:abstractNumId w:val="146"/>
  </w:num>
  <w:num w:numId="189">
    <w:abstractNumId w:val="14"/>
  </w:num>
  <w:num w:numId="190">
    <w:abstractNumId w:val="98"/>
  </w:num>
  <w:num w:numId="191">
    <w:abstractNumId w:val="68"/>
  </w:num>
  <w:num w:numId="192">
    <w:abstractNumId w:val="293"/>
  </w:num>
  <w:num w:numId="193">
    <w:abstractNumId w:val="198"/>
  </w:num>
  <w:num w:numId="194">
    <w:abstractNumId w:val="274"/>
  </w:num>
  <w:num w:numId="195">
    <w:abstractNumId w:val="367"/>
  </w:num>
  <w:num w:numId="196">
    <w:abstractNumId w:val="164"/>
  </w:num>
  <w:num w:numId="197">
    <w:abstractNumId w:val="133"/>
  </w:num>
  <w:num w:numId="198">
    <w:abstractNumId w:val="16"/>
  </w:num>
  <w:num w:numId="199">
    <w:abstractNumId w:val="158"/>
  </w:num>
  <w:num w:numId="200">
    <w:abstractNumId w:val="101"/>
  </w:num>
  <w:num w:numId="201">
    <w:abstractNumId w:val="216"/>
  </w:num>
  <w:num w:numId="202">
    <w:abstractNumId w:val="271"/>
  </w:num>
  <w:num w:numId="203">
    <w:abstractNumId w:val="264"/>
  </w:num>
  <w:num w:numId="204">
    <w:abstractNumId w:val="66"/>
  </w:num>
  <w:num w:numId="205">
    <w:abstractNumId w:val="220"/>
  </w:num>
  <w:num w:numId="206">
    <w:abstractNumId w:val="221"/>
  </w:num>
  <w:num w:numId="207">
    <w:abstractNumId w:val="102"/>
  </w:num>
  <w:num w:numId="208">
    <w:abstractNumId w:val="126"/>
  </w:num>
  <w:num w:numId="209">
    <w:abstractNumId w:val="201"/>
  </w:num>
  <w:num w:numId="210">
    <w:abstractNumId w:val="13"/>
  </w:num>
  <w:num w:numId="211">
    <w:abstractNumId w:val="207"/>
  </w:num>
  <w:num w:numId="212">
    <w:abstractNumId w:val="294"/>
  </w:num>
  <w:num w:numId="213">
    <w:abstractNumId w:val="58"/>
  </w:num>
  <w:num w:numId="214">
    <w:abstractNumId w:val="112"/>
  </w:num>
  <w:num w:numId="215">
    <w:abstractNumId w:val="304"/>
  </w:num>
  <w:num w:numId="216">
    <w:abstractNumId w:val="335"/>
  </w:num>
  <w:num w:numId="217">
    <w:abstractNumId w:val="244"/>
  </w:num>
  <w:num w:numId="218">
    <w:abstractNumId w:val="310"/>
  </w:num>
  <w:num w:numId="219">
    <w:abstractNumId w:val="42"/>
  </w:num>
  <w:num w:numId="220">
    <w:abstractNumId w:val="188"/>
  </w:num>
  <w:num w:numId="221">
    <w:abstractNumId w:val="23"/>
  </w:num>
  <w:num w:numId="222">
    <w:abstractNumId w:val="298"/>
  </w:num>
  <w:num w:numId="223">
    <w:abstractNumId w:val="147"/>
  </w:num>
  <w:num w:numId="224">
    <w:abstractNumId w:val="256"/>
  </w:num>
  <w:num w:numId="225">
    <w:abstractNumId w:val="121"/>
  </w:num>
  <w:num w:numId="226">
    <w:abstractNumId w:val="318"/>
  </w:num>
  <w:num w:numId="227">
    <w:abstractNumId w:val="114"/>
  </w:num>
  <w:num w:numId="228">
    <w:abstractNumId w:val="246"/>
  </w:num>
  <w:num w:numId="229">
    <w:abstractNumId w:val="181"/>
  </w:num>
  <w:num w:numId="230">
    <w:abstractNumId w:val="62"/>
  </w:num>
  <w:num w:numId="231">
    <w:abstractNumId w:val="179"/>
  </w:num>
  <w:num w:numId="232">
    <w:abstractNumId w:val="30"/>
  </w:num>
  <w:num w:numId="233">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29"/>
  </w:num>
  <w:num w:numId="235">
    <w:abstractNumId w:val="34"/>
  </w:num>
  <w:num w:numId="236">
    <w:abstractNumId w:val="137"/>
  </w:num>
  <w:num w:numId="237">
    <w:abstractNumId w:val="243"/>
  </w:num>
  <w:num w:numId="238">
    <w:abstractNumId w:val="135"/>
  </w:num>
  <w:num w:numId="239">
    <w:abstractNumId w:val="366"/>
  </w:num>
  <w:num w:numId="240">
    <w:abstractNumId w:val="332"/>
  </w:num>
  <w:num w:numId="241">
    <w:abstractNumId w:val="197"/>
  </w:num>
  <w:num w:numId="242">
    <w:abstractNumId w:val="316"/>
  </w:num>
  <w:num w:numId="243">
    <w:abstractNumId w:val="273"/>
  </w:num>
  <w:num w:numId="244">
    <w:abstractNumId w:val="361"/>
  </w:num>
  <w:num w:numId="245">
    <w:abstractNumId w:val="24"/>
  </w:num>
  <w:num w:numId="246">
    <w:abstractNumId w:val="49"/>
  </w:num>
  <w:num w:numId="247">
    <w:abstractNumId w:val="358"/>
  </w:num>
  <w:num w:numId="248">
    <w:abstractNumId w:val="253"/>
  </w:num>
  <w:num w:numId="249">
    <w:abstractNumId w:val="311"/>
  </w:num>
  <w:num w:numId="250">
    <w:abstractNumId w:val="11"/>
  </w:num>
  <w:num w:numId="251">
    <w:abstractNumId w:val="77"/>
  </w:num>
  <w:num w:numId="252">
    <w:abstractNumId w:val="150"/>
  </w:num>
  <w:num w:numId="253">
    <w:abstractNumId w:val="279"/>
  </w:num>
  <w:num w:numId="254">
    <w:abstractNumId w:val="100"/>
  </w:num>
  <w:num w:numId="255">
    <w:abstractNumId w:val="319"/>
  </w:num>
  <w:num w:numId="256">
    <w:abstractNumId w:val="306"/>
  </w:num>
  <w:num w:numId="257">
    <w:abstractNumId w:val="72"/>
  </w:num>
  <w:num w:numId="258">
    <w:abstractNumId w:val="283"/>
  </w:num>
  <w:num w:numId="259">
    <w:abstractNumId w:val="369"/>
  </w:num>
  <w:num w:numId="260">
    <w:abstractNumId w:val="352"/>
  </w:num>
  <w:num w:numId="261">
    <w:abstractNumId w:val="73"/>
  </w:num>
  <w:num w:numId="262">
    <w:abstractNumId w:val="278"/>
  </w:num>
  <w:num w:numId="263">
    <w:abstractNumId w:val="212"/>
  </w:num>
  <w:num w:numId="264">
    <w:abstractNumId w:val="31"/>
  </w:num>
  <w:num w:numId="265">
    <w:abstractNumId w:val="78"/>
  </w:num>
  <w:num w:numId="266">
    <w:abstractNumId w:val="235"/>
  </w:num>
  <w:num w:numId="267">
    <w:abstractNumId w:val="340"/>
  </w:num>
  <w:num w:numId="268">
    <w:abstractNumId w:val="159"/>
  </w:num>
  <w:num w:numId="269">
    <w:abstractNumId w:val="373"/>
  </w:num>
  <w:num w:numId="270">
    <w:abstractNumId w:val="131"/>
  </w:num>
  <w:num w:numId="271">
    <w:abstractNumId w:val="353"/>
  </w:num>
  <w:num w:numId="272">
    <w:abstractNumId w:val="200"/>
  </w:num>
  <w:num w:numId="273">
    <w:abstractNumId w:val="276"/>
  </w:num>
  <w:num w:numId="274">
    <w:abstractNumId w:val="330"/>
  </w:num>
  <w:num w:numId="275">
    <w:abstractNumId w:val="362"/>
  </w:num>
  <w:num w:numId="276">
    <w:abstractNumId w:val="338"/>
  </w:num>
  <w:num w:numId="277">
    <w:abstractNumId w:val="284"/>
  </w:num>
  <w:num w:numId="278">
    <w:abstractNumId w:val="189"/>
  </w:num>
  <w:num w:numId="279">
    <w:abstractNumId w:val="275"/>
  </w:num>
  <w:num w:numId="280">
    <w:abstractNumId w:val="105"/>
  </w:num>
  <w:num w:numId="281">
    <w:abstractNumId w:val="249"/>
  </w:num>
  <w:num w:numId="282">
    <w:abstractNumId w:val="85"/>
  </w:num>
  <w:num w:numId="283">
    <w:abstractNumId w:val="231"/>
  </w:num>
  <w:num w:numId="284">
    <w:abstractNumId w:val="65"/>
  </w:num>
  <w:num w:numId="285">
    <w:abstractNumId w:val="282"/>
  </w:num>
  <w:num w:numId="286">
    <w:abstractNumId w:val="84"/>
  </w:num>
  <w:num w:numId="287">
    <w:abstractNumId w:val="372"/>
  </w:num>
  <w:num w:numId="288">
    <w:abstractNumId w:val="145"/>
  </w:num>
  <w:num w:numId="289">
    <w:abstractNumId w:val="115"/>
  </w:num>
  <w:num w:numId="290">
    <w:abstractNumId w:val="277"/>
  </w:num>
  <w:num w:numId="291">
    <w:abstractNumId w:val="267"/>
  </w:num>
  <w:num w:numId="292">
    <w:abstractNumId w:val="165"/>
  </w:num>
  <w:num w:numId="293">
    <w:abstractNumId w:val="97"/>
  </w:num>
  <w:num w:numId="294">
    <w:abstractNumId w:val="117"/>
  </w:num>
  <w:num w:numId="295">
    <w:abstractNumId w:val="110"/>
  </w:num>
  <w:num w:numId="296">
    <w:abstractNumId w:val="91"/>
  </w:num>
  <w:num w:numId="297">
    <w:abstractNumId w:val="184"/>
  </w:num>
  <w:num w:numId="298">
    <w:abstractNumId w:val="92"/>
  </w:num>
  <w:num w:numId="299">
    <w:abstractNumId w:val="96"/>
  </w:num>
  <w:num w:numId="300">
    <w:abstractNumId w:val="333"/>
  </w:num>
  <w:num w:numId="301">
    <w:abstractNumId w:val="269"/>
  </w:num>
  <w:num w:numId="302">
    <w:abstractNumId w:val="252"/>
  </w:num>
  <w:num w:numId="303">
    <w:abstractNumId w:val="180"/>
  </w:num>
  <w:num w:numId="304">
    <w:abstractNumId w:val="281"/>
  </w:num>
  <w:num w:numId="305">
    <w:abstractNumId w:val="191"/>
  </w:num>
  <w:num w:numId="306">
    <w:abstractNumId w:val="287"/>
  </w:num>
  <w:num w:numId="307">
    <w:abstractNumId w:val="119"/>
  </w:num>
  <w:num w:numId="308">
    <w:abstractNumId w:val="288"/>
  </w:num>
  <w:num w:numId="309">
    <w:abstractNumId w:val="365"/>
  </w:num>
  <w:num w:numId="310">
    <w:abstractNumId w:val="258"/>
  </w:num>
  <w:num w:numId="311">
    <w:abstractNumId w:val="185"/>
  </w:num>
  <w:num w:numId="312">
    <w:abstractNumId w:val="250"/>
  </w:num>
  <w:num w:numId="313">
    <w:abstractNumId w:val="93"/>
  </w:num>
  <w:num w:numId="314">
    <w:abstractNumId w:val="89"/>
  </w:num>
  <w:num w:numId="315">
    <w:abstractNumId w:val="52"/>
  </w:num>
  <w:num w:numId="316">
    <w:abstractNumId w:val="86"/>
  </w:num>
  <w:num w:numId="317">
    <w:abstractNumId w:val="174"/>
  </w:num>
  <w:num w:numId="318">
    <w:abstractNumId w:val="317"/>
  </w:num>
  <w:num w:numId="319">
    <w:abstractNumId w:val="342"/>
  </w:num>
  <w:num w:numId="320">
    <w:abstractNumId w:val="205"/>
  </w:num>
  <w:num w:numId="321">
    <w:abstractNumId w:val="155"/>
  </w:num>
  <w:num w:numId="322">
    <w:abstractNumId w:val="132"/>
  </w:num>
  <w:num w:numId="323">
    <w:abstractNumId w:val="109"/>
  </w:num>
  <w:num w:numId="324">
    <w:abstractNumId w:val="223"/>
  </w:num>
  <w:num w:numId="325">
    <w:abstractNumId w:val="32"/>
  </w:num>
  <w:num w:numId="326">
    <w:abstractNumId w:val="22"/>
  </w:num>
  <w:num w:numId="327">
    <w:abstractNumId w:val="27"/>
  </w:num>
  <w:num w:numId="328">
    <w:abstractNumId w:val="167"/>
  </w:num>
  <w:num w:numId="329">
    <w:abstractNumId w:val="206"/>
  </w:num>
  <w:num w:numId="330">
    <w:abstractNumId w:val="163"/>
  </w:num>
  <w:num w:numId="331">
    <w:abstractNumId w:val="173"/>
  </w:num>
  <w:num w:numId="332">
    <w:abstractNumId w:val="337"/>
  </w:num>
  <w:num w:numId="333">
    <w:abstractNumId w:val="259"/>
  </w:num>
  <w:num w:numId="334">
    <w:abstractNumId w:val="95"/>
  </w:num>
  <w:num w:numId="335">
    <w:abstractNumId w:val="219"/>
  </w:num>
  <w:num w:numId="336">
    <w:abstractNumId w:val="43"/>
  </w:num>
  <w:num w:numId="337">
    <w:abstractNumId w:val="118"/>
  </w:num>
  <w:num w:numId="338">
    <w:abstractNumId w:val="347"/>
  </w:num>
  <w:num w:numId="339">
    <w:abstractNumId w:val="54"/>
  </w:num>
  <w:num w:numId="340">
    <w:abstractNumId w:val="242"/>
  </w:num>
  <w:num w:numId="341">
    <w:abstractNumId w:val="48"/>
  </w:num>
  <w:num w:numId="342">
    <w:abstractNumId w:val="141"/>
  </w:num>
  <w:num w:numId="343">
    <w:abstractNumId w:val="320"/>
  </w:num>
  <w:num w:numId="344">
    <w:abstractNumId w:val="214"/>
  </w:num>
  <w:num w:numId="345">
    <w:abstractNumId w:val="152"/>
  </w:num>
  <w:num w:numId="346">
    <w:abstractNumId w:val="265"/>
  </w:num>
  <w:num w:numId="347">
    <w:abstractNumId w:val="156"/>
  </w:num>
  <w:num w:numId="348">
    <w:abstractNumId w:val="285"/>
  </w:num>
  <w:num w:numId="349">
    <w:abstractNumId w:val="239"/>
  </w:num>
  <w:num w:numId="350">
    <w:abstractNumId w:val="222"/>
  </w:num>
  <w:num w:numId="351">
    <w:abstractNumId w:val="17"/>
  </w:num>
  <w:num w:numId="352">
    <w:abstractNumId w:val="229"/>
  </w:num>
  <w:num w:numId="353">
    <w:abstractNumId w:val="21"/>
  </w:num>
  <w:num w:numId="354">
    <w:abstractNumId w:val="257"/>
  </w:num>
  <w:num w:numId="355">
    <w:abstractNumId w:val="138"/>
  </w:num>
  <w:num w:numId="356">
    <w:abstractNumId w:val="193"/>
  </w:num>
  <w:num w:numId="357">
    <w:abstractNumId w:val="82"/>
  </w:num>
  <w:num w:numId="358">
    <w:abstractNumId w:val="36"/>
  </w:num>
  <w:num w:numId="359">
    <w:abstractNumId w:val="166"/>
  </w:num>
  <w:num w:numId="360">
    <w:abstractNumId w:val="326"/>
  </w:num>
  <w:num w:numId="361">
    <w:abstractNumId w:val="26"/>
  </w:num>
  <w:num w:numId="362">
    <w:abstractNumId w:val="103"/>
  </w:num>
  <w:num w:numId="363">
    <w:abstractNumId w:val="226"/>
  </w:num>
  <w:num w:numId="364">
    <w:abstractNumId w:val="124"/>
  </w:num>
  <w:num w:numId="365">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59"/>
  </w:num>
  <w:num w:numId="371">
    <w:abstractNumId w:val="305"/>
  </w:num>
  <w:num w:numId="372">
    <w:abstractNumId w:val="268"/>
  </w:num>
  <w:num w:numId="373">
    <w:abstractNumId w:val="286"/>
  </w:num>
  <w:num w:numId="374">
    <w:abstractNumId w:val="1"/>
  </w:num>
  <w:num w:numId="375">
    <w:abstractNumId w:val="312"/>
  </w:num>
  <w:num w:numId="376">
    <w:abstractNumId w:val="69"/>
  </w:num>
  <w:numIdMacAtCleanup w:val="3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8EC"/>
    <w:rsid w:val="00010614"/>
    <w:rsid w:val="00074A74"/>
    <w:rsid w:val="001434C9"/>
    <w:rsid w:val="0018502A"/>
    <w:rsid w:val="004071A1"/>
    <w:rsid w:val="00434CF4"/>
    <w:rsid w:val="00514CE5"/>
    <w:rsid w:val="005C5090"/>
    <w:rsid w:val="005E5B8F"/>
    <w:rsid w:val="00610CE4"/>
    <w:rsid w:val="00682D97"/>
    <w:rsid w:val="007968EC"/>
    <w:rsid w:val="00865110"/>
    <w:rsid w:val="00921F70"/>
    <w:rsid w:val="009A4BA3"/>
    <w:rsid w:val="009C1821"/>
    <w:rsid w:val="00AA58B5"/>
    <w:rsid w:val="00AD466F"/>
    <w:rsid w:val="00AD6434"/>
    <w:rsid w:val="00B32978"/>
    <w:rsid w:val="00B93F48"/>
    <w:rsid w:val="00BD4DB7"/>
    <w:rsid w:val="00C703B6"/>
    <w:rsid w:val="00CD70BD"/>
    <w:rsid w:val="00DA7472"/>
    <w:rsid w:val="00DD4F3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79570"/>
  <w15:chartTrackingRefBased/>
  <w15:docId w15:val="{E7B2F296-ADD6-4561-83AD-A93B75265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RTÍCULO"/>
    <w:qFormat/>
    <w:rsid w:val="007968EC"/>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qFormat/>
    <w:rsid w:val="007968EC"/>
    <w:pPr>
      <w:keepNext/>
      <w:spacing w:before="240" w:after="60"/>
      <w:outlineLvl w:val="0"/>
    </w:pPr>
    <w:rPr>
      <w:rFonts w:ascii="Arial" w:hAnsi="Arial" w:cs="Arial"/>
      <w:bCs/>
      <w:kern w:val="32"/>
      <w:sz w:val="32"/>
      <w:szCs w:val="32"/>
      <w:lang w:val="es-ES" w:eastAsia="es-ES"/>
    </w:rPr>
  </w:style>
  <w:style w:type="paragraph" w:styleId="Ttulo2">
    <w:name w:val="heading 2"/>
    <w:aliases w:val="h2,H2"/>
    <w:basedOn w:val="Normal"/>
    <w:next w:val="Normal"/>
    <w:link w:val="Ttulo2Car"/>
    <w:qFormat/>
    <w:rsid w:val="007968EC"/>
    <w:pPr>
      <w:keepNext/>
      <w:spacing w:before="240" w:after="60"/>
      <w:outlineLvl w:val="1"/>
    </w:pPr>
    <w:rPr>
      <w:rFonts w:ascii="Arial" w:hAnsi="Arial" w:cs="Arial"/>
      <w:bCs/>
      <w:i/>
      <w:iCs/>
      <w:sz w:val="28"/>
      <w:szCs w:val="28"/>
      <w:lang w:val="es-ES" w:eastAsia="es-ES"/>
    </w:rPr>
  </w:style>
  <w:style w:type="paragraph" w:styleId="Ttulo3">
    <w:name w:val="heading 3"/>
    <w:aliases w:val="h3,H3,Table Attribute Heading"/>
    <w:basedOn w:val="Normal"/>
    <w:next w:val="Normal"/>
    <w:link w:val="Ttulo3Car"/>
    <w:uiPriority w:val="99"/>
    <w:qFormat/>
    <w:rsid w:val="007968EC"/>
    <w:pPr>
      <w:keepNext/>
      <w:outlineLvl w:val="2"/>
    </w:pPr>
    <w:rPr>
      <w:rFonts w:ascii="Arial" w:hAnsi="Arial" w:cs="Arial"/>
      <w:color w:val="FF0000"/>
      <w:u w:val="single"/>
      <w:lang w:eastAsia="es-ES"/>
    </w:rPr>
  </w:style>
  <w:style w:type="paragraph" w:styleId="Ttulo4">
    <w:name w:val="heading 4"/>
    <w:basedOn w:val="Normal"/>
    <w:next w:val="Normal"/>
    <w:link w:val="Ttulo4Car"/>
    <w:qFormat/>
    <w:rsid w:val="007968EC"/>
    <w:pPr>
      <w:keepNext/>
      <w:spacing w:before="240" w:after="60"/>
      <w:outlineLvl w:val="3"/>
    </w:pPr>
    <w:rPr>
      <w:rFonts w:cs="Arial"/>
      <w:bCs/>
      <w:sz w:val="28"/>
      <w:szCs w:val="28"/>
      <w:lang w:val="es-ES" w:eastAsia="es-ES"/>
    </w:rPr>
  </w:style>
  <w:style w:type="paragraph" w:styleId="Ttulo7">
    <w:name w:val="heading 7"/>
    <w:basedOn w:val="Normal"/>
    <w:next w:val="Normal"/>
    <w:link w:val="Ttulo7Car"/>
    <w:qFormat/>
    <w:rsid w:val="007968EC"/>
    <w:pPr>
      <w:spacing w:before="240" w:after="60"/>
      <w:jc w:val="center"/>
      <w:outlineLvl w:val="6"/>
    </w:pPr>
    <w:rPr>
      <w:rFonts w:ascii="Arial" w:hAnsi="Arial" w:cs="Arial"/>
      <w:b/>
      <w:sz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968EC"/>
    <w:rPr>
      <w:rFonts w:ascii="Arial" w:eastAsia="Times New Roman" w:hAnsi="Arial" w:cs="Arial"/>
      <w:bCs/>
      <w:kern w:val="32"/>
      <w:sz w:val="32"/>
      <w:szCs w:val="32"/>
      <w:lang w:val="es-ES" w:eastAsia="es-ES"/>
    </w:rPr>
  </w:style>
  <w:style w:type="character" w:customStyle="1" w:styleId="Ttulo2Car">
    <w:name w:val="Título 2 Car"/>
    <w:aliases w:val="h2 Car,H2 Car"/>
    <w:basedOn w:val="Fuentedeprrafopredeter"/>
    <w:link w:val="Ttulo2"/>
    <w:rsid w:val="007968EC"/>
    <w:rPr>
      <w:rFonts w:ascii="Arial" w:eastAsia="Times New Roman" w:hAnsi="Arial" w:cs="Arial"/>
      <w:bCs/>
      <w:i/>
      <w:iCs/>
      <w:sz w:val="28"/>
      <w:szCs w:val="28"/>
      <w:lang w:val="es-ES" w:eastAsia="es-ES"/>
    </w:rPr>
  </w:style>
  <w:style w:type="character" w:customStyle="1" w:styleId="Ttulo3Car">
    <w:name w:val="Título 3 Car"/>
    <w:aliases w:val="h3 Car,H3 Car,Table Attribute Heading Car"/>
    <w:basedOn w:val="Fuentedeprrafopredeter"/>
    <w:link w:val="Ttulo3"/>
    <w:uiPriority w:val="99"/>
    <w:rsid w:val="007968EC"/>
    <w:rPr>
      <w:rFonts w:ascii="Arial" w:eastAsia="Times New Roman" w:hAnsi="Arial" w:cs="Arial"/>
      <w:color w:val="FF0000"/>
      <w:sz w:val="24"/>
      <w:szCs w:val="24"/>
      <w:u w:val="single"/>
      <w:lang w:eastAsia="es-ES"/>
    </w:rPr>
  </w:style>
  <w:style w:type="character" w:customStyle="1" w:styleId="Ttulo4Car">
    <w:name w:val="Título 4 Car"/>
    <w:basedOn w:val="Fuentedeprrafopredeter"/>
    <w:link w:val="Ttulo4"/>
    <w:rsid w:val="007968EC"/>
    <w:rPr>
      <w:rFonts w:ascii="Times New Roman" w:eastAsia="Times New Roman" w:hAnsi="Times New Roman" w:cs="Arial"/>
      <w:bCs/>
      <w:sz w:val="28"/>
      <w:szCs w:val="28"/>
      <w:lang w:val="es-ES" w:eastAsia="es-ES"/>
    </w:rPr>
  </w:style>
  <w:style w:type="character" w:customStyle="1" w:styleId="Ttulo7Car">
    <w:name w:val="Título 7 Car"/>
    <w:basedOn w:val="Fuentedeprrafopredeter"/>
    <w:link w:val="Ttulo7"/>
    <w:rsid w:val="007968EC"/>
    <w:rPr>
      <w:rFonts w:ascii="Arial" w:eastAsia="Times New Roman" w:hAnsi="Arial" w:cs="Arial"/>
      <w:b/>
      <w:sz w:val="20"/>
      <w:szCs w:val="24"/>
      <w:lang w:val="es-ES" w:eastAsia="es-ES"/>
    </w:rPr>
  </w:style>
  <w:style w:type="numbering" w:customStyle="1" w:styleId="Sinlista1">
    <w:name w:val="Sin lista1"/>
    <w:next w:val="Sinlista"/>
    <w:uiPriority w:val="99"/>
    <w:semiHidden/>
    <w:unhideWhenUsed/>
    <w:rsid w:val="007968EC"/>
  </w:style>
  <w:style w:type="numbering" w:customStyle="1" w:styleId="Sinlista11">
    <w:name w:val="Sin lista11"/>
    <w:next w:val="Sinlista"/>
    <w:uiPriority w:val="99"/>
    <w:semiHidden/>
    <w:unhideWhenUsed/>
    <w:rsid w:val="007968EC"/>
  </w:style>
  <w:style w:type="paragraph" w:styleId="Textoindependiente">
    <w:name w:val="Body Text"/>
    <w:basedOn w:val="Normal"/>
    <w:link w:val="TextoindependienteCar"/>
    <w:rsid w:val="007968EC"/>
    <w:pPr>
      <w:spacing w:after="120"/>
    </w:pPr>
    <w:rPr>
      <w:rFonts w:ascii="Arial" w:hAnsi="Arial" w:cs="Arial"/>
      <w:b/>
      <w:lang w:val="es-ES" w:eastAsia="es-ES"/>
    </w:rPr>
  </w:style>
  <w:style w:type="character" w:customStyle="1" w:styleId="TextoindependienteCar">
    <w:name w:val="Texto independiente Car"/>
    <w:basedOn w:val="Fuentedeprrafopredeter"/>
    <w:link w:val="Textoindependiente"/>
    <w:rsid w:val="007968EC"/>
    <w:rPr>
      <w:rFonts w:ascii="Arial" w:eastAsia="Times New Roman" w:hAnsi="Arial" w:cs="Arial"/>
      <w:b/>
      <w:sz w:val="24"/>
      <w:szCs w:val="24"/>
      <w:lang w:val="es-ES" w:eastAsia="es-ES"/>
    </w:rPr>
  </w:style>
  <w:style w:type="paragraph" w:styleId="Textoindependiente2">
    <w:name w:val="Body Text 2"/>
    <w:basedOn w:val="Normal"/>
    <w:link w:val="Textoindependiente2Car"/>
    <w:rsid w:val="007968EC"/>
    <w:pPr>
      <w:spacing w:after="120" w:line="480" w:lineRule="auto"/>
    </w:pPr>
    <w:rPr>
      <w:rFonts w:ascii="Arial" w:hAnsi="Arial" w:cs="Arial"/>
      <w:b/>
      <w:lang w:val="es-ES" w:eastAsia="es-ES"/>
    </w:rPr>
  </w:style>
  <w:style w:type="character" w:customStyle="1" w:styleId="Textoindependiente2Car">
    <w:name w:val="Texto independiente 2 Car"/>
    <w:basedOn w:val="Fuentedeprrafopredeter"/>
    <w:link w:val="Textoindependiente2"/>
    <w:rsid w:val="007968EC"/>
    <w:rPr>
      <w:rFonts w:ascii="Arial" w:eastAsia="Times New Roman" w:hAnsi="Arial" w:cs="Arial"/>
      <w:b/>
      <w:sz w:val="24"/>
      <w:szCs w:val="24"/>
      <w:lang w:val="es-ES" w:eastAsia="es-ES"/>
    </w:rPr>
  </w:style>
  <w:style w:type="paragraph" w:styleId="Sangra3detindependiente">
    <w:name w:val="Body Text Indent 3"/>
    <w:basedOn w:val="Normal"/>
    <w:link w:val="Sangra3detindependienteCar"/>
    <w:rsid w:val="007968EC"/>
    <w:pPr>
      <w:spacing w:after="120"/>
      <w:ind w:left="283"/>
    </w:pPr>
    <w:rPr>
      <w:rFonts w:ascii="Arial" w:hAnsi="Arial" w:cs="Arial"/>
      <w:b/>
      <w:sz w:val="16"/>
      <w:szCs w:val="16"/>
      <w:lang w:val="es-ES" w:eastAsia="es-ES"/>
    </w:rPr>
  </w:style>
  <w:style w:type="character" w:customStyle="1" w:styleId="Sangra3detindependienteCar">
    <w:name w:val="Sangría 3 de t. independiente Car"/>
    <w:basedOn w:val="Fuentedeprrafopredeter"/>
    <w:link w:val="Sangra3detindependiente"/>
    <w:rsid w:val="007968EC"/>
    <w:rPr>
      <w:rFonts w:ascii="Arial" w:eastAsia="Times New Roman" w:hAnsi="Arial" w:cs="Arial"/>
      <w:b/>
      <w:sz w:val="16"/>
      <w:szCs w:val="16"/>
      <w:lang w:val="es-ES" w:eastAsia="es-ES"/>
    </w:rPr>
  </w:style>
  <w:style w:type="paragraph" w:styleId="Textodeglobo">
    <w:name w:val="Balloon Text"/>
    <w:basedOn w:val="Normal"/>
    <w:link w:val="TextodegloboCar"/>
    <w:uiPriority w:val="99"/>
    <w:semiHidden/>
    <w:rsid w:val="007968EC"/>
    <w:rPr>
      <w:rFonts w:ascii="Tahoma" w:hAnsi="Tahoma" w:cs="Arial"/>
      <w:b/>
      <w:sz w:val="16"/>
      <w:szCs w:val="16"/>
      <w:lang w:val="es-ES" w:eastAsia="es-ES"/>
    </w:rPr>
  </w:style>
  <w:style w:type="character" w:customStyle="1" w:styleId="TextodegloboCar">
    <w:name w:val="Texto de globo Car"/>
    <w:basedOn w:val="Fuentedeprrafopredeter"/>
    <w:link w:val="Textodeglobo"/>
    <w:uiPriority w:val="99"/>
    <w:semiHidden/>
    <w:rsid w:val="007968EC"/>
    <w:rPr>
      <w:rFonts w:ascii="Tahoma" w:eastAsia="Times New Roman" w:hAnsi="Tahoma" w:cs="Arial"/>
      <w:b/>
      <w:sz w:val="16"/>
      <w:szCs w:val="16"/>
      <w:lang w:val="es-ES" w:eastAsia="es-ES"/>
    </w:rPr>
  </w:style>
  <w:style w:type="character" w:styleId="Refdecomentario">
    <w:name w:val="annotation reference"/>
    <w:basedOn w:val="Fuentedeprrafopredeter"/>
    <w:uiPriority w:val="99"/>
    <w:semiHidden/>
    <w:rsid w:val="007968EC"/>
    <w:rPr>
      <w:sz w:val="16"/>
      <w:szCs w:val="16"/>
    </w:rPr>
  </w:style>
  <w:style w:type="paragraph" w:styleId="Textocomentario">
    <w:name w:val="annotation text"/>
    <w:basedOn w:val="Normal"/>
    <w:link w:val="TextocomentarioCar"/>
    <w:uiPriority w:val="99"/>
    <w:semiHidden/>
    <w:rsid w:val="007968EC"/>
    <w:rPr>
      <w:rFonts w:ascii="Arial" w:hAnsi="Arial" w:cs="Arial"/>
      <w:b/>
      <w:sz w:val="20"/>
      <w:lang w:val="es-ES" w:eastAsia="es-ES"/>
    </w:rPr>
  </w:style>
  <w:style w:type="character" w:customStyle="1" w:styleId="TextocomentarioCar">
    <w:name w:val="Texto comentario Car"/>
    <w:basedOn w:val="Fuentedeprrafopredeter"/>
    <w:link w:val="Textocomentario"/>
    <w:uiPriority w:val="99"/>
    <w:semiHidden/>
    <w:rsid w:val="007968EC"/>
    <w:rPr>
      <w:rFonts w:ascii="Arial" w:eastAsia="Times New Roman" w:hAnsi="Arial" w:cs="Arial"/>
      <w:b/>
      <w:sz w:val="20"/>
      <w:szCs w:val="24"/>
      <w:lang w:val="es-ES" w:eastAsia="es-ES"/>
    </w:rPr>
  </w:style>
  <w:style w:type="paragraph" w:styleId="Asuntodelcomentario">
    <w:name w:val="annotation subject"/>
    <w:basedOn w:val="Textocomentario"/>
    <w:next w:val="Textocomentario"/>
    <w:link w:val="AsuntodelcomentarioCar"/>
    <w:uiPriority w:val="99"/>
    <w:semiHidden/>
    <w:rsid w:val="007968EC"/>
    <w:rPr>
      <w:b w:val="0"/>
      <w:bCs/>
    </w:rPr>
  </w:style>
  <w:style w:type="character" w:customStyle="1" w:styleId="AsuntodelcomentarioCar">
    <w:name w:val="Asunto del comentario Car"/>
    <w:basedOn w:val="TextocomentarioCar"/>
    <w:link w:val="Asuntodelcomentario"/>
    <w:uiPriority w:val="99"/>
    <w:semiHidden/>
    <w:rsid w:val="007968EC"/>
    <w:rPr>
      <w:rFonts w:ascii="Arial" w:eastAsia="Times New Roman" w:hAnsi="Arial" w:cs="Arial"/>
      <w:b w:val="0"/>
      <w:bCs/>
      <w:sz w:val="20"/>
      <w:szCs w:val="24"/>
      <w:lang w:val="es-ES" w:eastAsia="es-ES"/>
    </w:rPr>
  </w:style>
  <w:style w:type="paragraph" w:styleId="Piedepgina">
    <w:name w:val="footer"/>
    <w:basedOn w:val="Normal"/>
    <w:link w:val="PiedepginaCar"/>
    <w:rsid w:val="007968EC"/>
    <w:pPr>
      <w:tabs>
        <w:tab w:val="center" w:pos="4252"/>
        <w:tab w:val="right" w:pos="8504"/>
      </w:tabs>
    </w:pPr>
    <w:rPr>
      <w:rFonts w:ascii="Arial" w:hAnsi="Arial" w:cs="Arial"/>
      <w:b/>
      <w:lang w:val="es-ES" w:eastAsia="es-ES"/>
    </w:rPr>
  </w:style>
  <w:style w:type="character" w:customStyle="1" w:styleId="PiedepginaCar">
    <w:name w:val="Pie de página Car"/>
    <w:basedOn w:val="Fuentedeprrafopredeter"/>
    <w:link w:val="Piedepgina"/>
    <w:rsid w:val="007968EC"/>
    <w:rPr>
      <w:rFonts w:ascii="Arial" w:eastAsia="Times New Roman" w:hAnsi="Arial" w:cs="Arial"/>
      <w:b/>
      <w:sz w:val="24"/>
      <w:szCs w:val="24"/>
      <w:lang w:val="es-ES" w:eastAsia="es-ES"/>
    </w:rPr>
  </w:style>
  <w:style w:type="character" w:styleId="Nmerodepgina">
    <w:name w:val="page number"/>
    <w:basedOn w:val="Fuentedeprrafopredeter"/>
    <w:rsid w:val="007968EC"/>
  </w:style>
  <w:style w:type="paragraph" w:styleId="Encabezado">
    <w:name w:val="header"/>
    <w:aliases w:val="m"/>
    <w:basedOn w:val="Normal"/>
    <w:link w:val="EncabezadoCar"/>
    <w:rsid w:val="007968EC"/>
    <w:pPr>
      <w:tabs>
        <w:tab w:val="center" w:pos="4252"/>
        <w:tab w:val="right" w:pos="8504"/>
      </w:tabs>
    </w:pPr>
    <w:rPr>
      <w:rFonts w:ascii="Arial" w:hAnsi="Arial" w:cs="Arial"/>
      <w:b/>
      <w:lang w:val="es-ES" w:eastAsia="es-ES"/>
    </w:rPr>
  </w:style>
  <w:style w:type="character" w:customStyle="1" w:styleId="EncabezadoCar">
    <w:name w:val="Encabezado Car"/>
    <w:aliases w:val="m Car"/>
    <w:basedOn w:val="Fuentedeprrafopredeter"/>
    <w:link w:val="Encabezado"/>
    <w:rsid w:val="007968EC"/>
    <w:rPr>
      <w:rFonts w:ascii="Arial" w:eastAsia="Times New Roman" w:hAnsi="Arial" w:cs="Arial"/>
      <w:b/>
      <w:sz w:val="24"/>
      <w:szCs w:val="24"/>
      <w:lang w:val="es-ES" w:eastAsia="es-ES"/>
    </w:rPr>
  </w:style>
  <w:style w:type="paragraph" w:customStyle="1" w:styleId="Ttulo10">
    <w:name w:val="TÍtulo 1"/>
    <w:basedOn w:val="Normal"/>
    <w:next w:val="Normal"/>
    <w:rsid w:val="007968EC"/>
    <w:pPr>
      <w:keepNext/>
      <w:jc w:val="both"/>
    </w:pPr>
    <w:rPr>
      <w:rFonts w:ascii="Arial" w:hAnsi="Arial" w:cs="Arial"/>
      <w:b/>
      <w:lang w:val="es-ES" w:eastAsia="es-ES"/>
    </w:rPr>
  </w:style>
  <w:style w:type="paragraph" w:customStyle="1" w:styleId="texto">
    <w:name w:val="texto"/>
    <w:rsid w:val="007968EC"/>
    <w:pPr>
      <w:spacing w:after="0" w:line="230" w:lineRule="atLeast"/>
      <w:ind w:firstLine="227"/>
      <w:jc w:val="both"/>
    </w:pPr>
    <w:rPr>
      <w:rFonts w:ascii="Arial" w:eastAsia="Times New Roman" w:hAnsi="Arial" w:cs="Times New Roman"/>
      <w:snapToGrid w:val="0"/>
      <w:color w:val="000000"/>
      <w:sz w:val="19"/>
      <w:szCs w:val="20"/>
      <w:lang w:val="es-ES" w:eastAsia="es-ES"/>
    </w:rPr>
  </w:style>
  <w:style w:type="paragraph" w:customStyle="1" w:styleId="CUERPOTEXTO">
    <w:name w:val="CUERPO TEXTO"/>
    <w:rsid w:val="007968EC"/>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val="es-ES" w:eastAsia="es-ES"/>
    </w:rPr>
  </w:style>
  <w:style w:type="paragraph" w:customStyle="1" w:styleId="articulo">
    <w:name w:val="articulo"/>
    <w:basedOn w:val="Normal"/>
    <w:rsid w:val="007968EC"/>
    <w:pPr>
      <w:widowControl w:val="0"/>
      <w:spacing w:line="230" w:lineRule="atLeast"/>
      <w:jc w:val="both"/>
    </w:pPr>
    <w:rPr>
      <w:rFonts w:ascii="Arial" w:hAnsi="Arial" w:cs="Arial"/>
      <w:snapToGrid w:val="0"/>
      <w:sz w:val="19"/>
      <w:lang w:val="es-ES" w:eastAsia="es-ES"/>
    </w:rPr>
  </w:style>
  <w:style w:type="character" w:styleId="Textoennegrita">
    <w:name w:val="Strong"/>
    <w:basedOn w:val="Fuentedeprrafopredeter"/>
    <w:qFormat/>
    <w:rsid w:val="007968EC"/>
    <w:rPr>
      <w:b/>
    </w:rPr>
  </w:style>
  <w:style w:type="paragraph" w:styleId="Textonotapie">
    <w:name w:val="footnote text"/>
    <w:basedOn w:val="Normal"/>
    <w:link w:val="TextonotapieCar"/>
    <w:semiHidden/>
    <w:rsid w:val="007968EC"/>
    <w:rPr>
      <w:rFonts w:eastAsia="SimSun" w:cs="Arial"/>
      <w:b/>
      <w:sz w:val="20"/>
      <w:lang w:eastAsia="zh-CN"/>
    </w:rPr>
  </w:style>
  <w:style w:type="character" w:customStyle="1" w:styleId="TextonotapieCar">
    <w:name w:val="Texto nota pie Car"/>
    <w:basedOn w:val="Fuentedeprrafopredeter"/>
    <w:link w:val="Textonotapie"/>
    <w:semiHidden/>
    <w:rsid w:val="007968EC"/>
    <w:rPr>
      <w:rFonts w:ascii="Times New Roman" w:eastAsia="SimSun" w:hAnsi="Times New Roman" w:cs="Arial"/>
      <w:b/>
      <w:sz w:val="20"/>
      <w:szCs w:val="24"/>
      <w:lang w:eastAsia="zh-CN"/>
    </w:rPr>
  </w:style>
  <w:style w:type="character" w:styleId="Refdenotaalpie">
    <w:name w:val="footnote reference"/>
    <w:basedOn w:val="Fuentedeprrafopredeter"/>
    <w:semiHidden/>
    <w:rsid w:val="007968EC"/>
    <w:rPr>
      <w:vertAlign w:val="superscript"/>
    </w:rPr>
  </w:style>
  <w:style w:type="paragraph" w:customStyle="1" w:styleId="tit-tit">
    <w:name w:val="tit-tit"/>
    <w:basedOn w:val="Normal"/>
    <w:rsid w:val="007968EC"/>
    <w:pPr>
      <w:widowControl w:val="0"/>
      <w:spacing w:line="320" w:lineRule="atLeast"/>
      <w:jc w:val="center"/>
    </w:pPr>
    <w:rPr>
      <w:rFonts w:ascii="Arial" w:hAnsi="Arial" w:cs="Arial"/>
      <w:caps/>
      <w:snapToGrid w:val="0"/>
      <w:sz w:val="30"/>
      <w:lang w:val="es-ES" w:eastAsia="es-ES"/>
    </w:rPr>
  </w:style>
  <w:style w:type="paragraph" w:customStyle="1" w:styleId="BodyText23">
    <w:name w:val="Body Text 23"/>
    <w:basedOn w:val="Normal"/>
    <w:rsid w:val="007968EC"/>
    <w:pPr>
      <w:widowControl w:val="0"/>
      <w:jc w:val="both"/>
    </w:pPr>
    <w:rPr>
      <w:rFonts w:ascii="Century Gothic" w:hAnsi="Century Gothic" w:cs="Arial"/>
      <w:b/>
      <w:snapToGrid w:val="0"/>
      <w:sz w:val="18"/>
      <w:lang w:val="es-ES_tradnl" w:eastAsia="es-ES"/>
    </w:rPr>
  </w:style>
  <w:style w:type="paragraph" w:styleId="Prrafodelista">
    <w:name w:val="List Paragraph"/>
    <w:basedOn w:val="Normal"/>
    <w:link w:val="PrrafodelistaCar"/>
    <w:uiPriority w:val="34"/>
    <w:qFormat/>
    <w:rsid w:val="007968EC"/>
    <w:pPr>
      <w:ind w:left="708"/>
    </w:pPr>
    <w:rPr>
      <w:rFonts w:ascii="Arial" w:hAnsi="Arial" w:cs="Arial"/>
      <w:b/>
      <w:lang w:eastAsia="es-CO"/>
    </w:rPr>
  </w:style>
  <w:style w:type="paragraph" w:styleId="Mapadeldocumento">
    <w:name w:val="Document Map"/>
    <w:basedOn w:val="Normal"/>
    <w:link w:val="MapadeldocumentoCar"/>
    <w:semiHidden/>
    <w:rsid w:val="007968EC"/>
    <w:pPr>
      <w:shd w:val="clear" w:color="auto" w:fill="000080"/>
    </w:pPr>
    <w:rPr>
      <w:rFonts w:ascii="Tahoma" w:hAnsi="Tahoma" w:cs="Tahoma"/>
      <w:b/>
      <w:sz w:val="20"/>
      <w:lang w:val="es-ES" w:eastAsia="es-ES"/>
    </w:rPr>
  </w:style>
  <w:style w:type="character" w:customStyle="1" w:styleId="MapadeldocumentoCar">
    <w:name w:val="Mapa del documento Car"/>
    <w:basedOn w:val="Fuentedeprrafopredeter"/>
    <w:link w:val="Mapadeldocumento"/>
    <w:semiHidden/>
    <w:rsid w:val="007968EC"/>
    <w:rPr>
      <w:rFonts w:ascii="Tahoma" w:eastAsia="Times New Roman" w:hAnsi="Tahoma" w:cs="Tahoma"/>
      <w:b/>
      <w:sz w:val="20"/>
      <w:szCs w:val="24"/>
      <w:shd w:val="clear" w:color="auto" w:fill="000080"/>
      <w:lang w:val="es-ES" w:eastAsia="es-ES"/>
    </w:rPr>
  </w:style>
  <w:style w:type="paragraph" w:customStyle="1" w:styleId="BodyText1">
    <w:name w:val="Body Text1"/>
    <w:basedOn w:val="Normal"/>
    <w:rsid w:val="007968EC"/>
    <w:pPr>
      <w:spacing w:after="283"/>
    </w:pPr>
    <w:rPr>
      <w:rFonts w:cs="Arial"/>
      <w:b/>
      <w:sz w:val="20"/>
      <w:lang w:val="es-ES_tradnl" w:eastAsia="es-ES"/>
    </w:rPr>
  </w:style>
  <w:style w:type="paragraph" w:customStyle="1" w:styleId="Normal2">
    <w:name w:val="Normal 2"/>
    <w:basedOn w:val="Normal"/>
    <w:rsid w:val="007968EC"/>
    <w:pPr>
      <w:widowControl w:val="0"/>
      <w:spacing w:after="120" w:line="240" w:lineRule="atLeast"/>
      <w:ind w:left="851"/>
    </w:pPr>
    <w:rPr>
      <w:rFonts w:ascii="Arial" w:hAnsi="Arial" w:cs="Arial"/>
      <w:b/>
      <w:sz w:val="20"/>
      <w:lang w:val="es-ES_tradnl"/>
    </w:rPr>
  </w:style>
  <w:style w:type="table" w:styleId="Tablaconcuadrcula">
    <w:name w:val="Table Grid"/>
    <w:basedOn w:val="Tablanormal"/>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ost9">
    <w:name w:val="Normal post 9"/>
    <w:basedOn w:val="Normal"/>
    <w:link w:val="Normalpost9Car"/>
    <w:rsid w:val="007968EC"/>
    <w:pPr>
      <w:widowControl w:val="0"/>
      <w:spacing w:after="180" w:line="240" w:lineRule="atLeast"/>
    </w:pPr>
    <w:rPr>
      <w:rFonts w:ascii="Arial" w:hAnsi="Arial" w:cs="Arial"/>
      <w:b/>
      <w:lang w:val="es-ES_tradnl"/>
    </w:rPr>
  </w:style>
  <w:style w:type="character" w:customStyle="1" w:styleId="Normalpost9Car">
    <w:name w:val="Normal post 9 Car"/>
    <w:basedOn w:val="Fuentedeprrafopredeter"/>
    <w:link w:val="Normalpost9"/>
    <w:rsid w:val="007968EC"/>
    <w:rPr>
      <w:rFonts w:ascii="Arial" w:eastAsia="Times New Roman" w:hAnsi="Arial" w:cs="Arial"/>
      <w:b/>
      <w:sz w:val="24"/>
      <w:szCs w:val="24"/>
      <w:lang w:val="es-ES_tradnl" w:eastAsia="es-ES_tradnl"/>
    </w:rPr>
  </w:style>
  <w:style w:type="paragraph" w:customStyle="1" w:styleId="EstiloCorreo551">
    <w:name w:val="EstiloCorreo551"/>
    <w:basedOn w:val="Normal"/>
    <w:link w:val="TtuloCar"/>
    <w:rsid w:val="007968EC"/>
    <w:pPr>
      <w:jc w:val="center"/>
    </w:pPr>
    <w:rPr>
      <w:rFonts w:ascii="Verdana" w:hAnsi="Verdana" w:cs="Arial"/>
      <w:u w:val="single"/>
      <w:lang w:val="es-MX" w:eastAsia="es-ES"/>
    </w:rPr>
  </w:style>
  <w:style w:type="character" w:customStyle="1" w:styleId="TtuloCar">
    <w:name w:val="Título Car"/>
    <w:aliases w:val="1 Car"/>
    <w:basedOn w:val="Fuentedeprrafopredeter"/>
    <w:link w:val="EstiloCorreo551"/>
    <w:rsid w:val="007968EC"/>
    <w:rPr>
      <w:rFonts w:ascii="Verdana" w:eastAsia="Times New Roman" w:hAnsi="Verdana" w:cs="Arial"/>
      <w:sz w:val="24"/>
      <w:szCs w:val="24"/>
      <w:u w:val="single"/>
      <w:lang w:val="es-MX" w:eastAsia="es-ES"/>
    </w:rPr>
  </w:style>
  <w:style w:type="paragraph" w:customStyle="1" w:styleId="TablaContenido">
    <w:name w:val="Tabla.Contenido"/>
    <w:basedOn w:val="Textoindependiente"/>
    <w:rsid w:val="007968EC"/>
    <w:pPr>
      <w:spacing w:before="40" w:after="40" w:line="240" w:lineRule="exact"/>
    </w:pPr>
    <w:rPr>
      <w:rFonts w:ascii="Trebuchet MS" w:hAnsi="Trebuchet MS" w:cs="Tahoma"/>
      <w:spacing w:val="-4"/>
      <w:sz w:val="16"/>
      <w:szCs w:val="16"/>
      <w:lang w:val="es-VE" w:eastAsia="en-US"/>
    </w:rPr>
  </w:style>
  <w:style w:type="paragraph" w:customStyle="1" w:styleId="TablaEncabezado">
    <w:name w:val="Tabla.Encabezado"/>
    <w:basedOn w:val="Textoindependiente"/>
    <w:rsid w:val="007968EC"/>
    <w:pPr>
      <w:spacing w:before="40" w:after="40" w:line="240" w:lineRule="exact"/>
    </w:pPr>
    <w:rPr>
      <w:rFonts w:ascii="Trebuchet MS" w:hAnsi="Trebuchet MS" w:cs="Tahoma"/>
      <w:b w:val="0"/>
      <w:color w:val="FFFFFF"/>
      <w:spacing w:val="-4"/>
      <w:sz w:val="16"/>
      <w:szCs w:val="18"/>
      <w:lang w:val="es-VE" w:eastAsia="en-US"/>
    </w:rPr>
  </w:style>
  <w:style w:type="paragraph" w:customStyle="1" w:styleId="Normal8pre3post3">
    <w:name w:val="Normal 8 pre3 post3"/>
    <w:basedOn w:val="Normal"/>
    <w:autoRedefine/>
    <w:rsid w:val="007968EC"/>
    <w:pPr>
      <w:widowControl w:val="0"/>
      <w:numPr>
        <w:ilvl w:val="1"/>
        <w:numId w:val="7"/>
      </w:numPr>
      <w:tabs>
        <w:tab w:val="left" w:pos="470"/>
        <w:tab w:val="left" w:pos="1134"/>
        <w:tab w:val="left" w:pos="2543"/>
        <w:tab w:val="left" w:pos="3266"/>
        <w:tab w:val="left" w:pos="3983"/>
        <w:tab w:val="left" w:pos="4706"/>
        <w:tab w:val="left" w:pos="5423"/>
        <w:tab w:val="left" w:pos="6146"/>
        <w:tab w:val="left" w:pos="6863"/>
        <w:tab w:val="left" w:pos="7583"/>
        <w:tab w:val="left" w:pos="8303"/>
        <w:tab w:val="left" w:pos="9023"/>
      </w:tabs>
      <w:spacing w:before="60" w:after="60" w:line="240" w:lineRule="atLeast"/>
      <w:jc w:val="both"/>
    </w:pPr>
    <w:rPr>
      <w:rFonts w:ascii="Arial" w:hAnsi="Arial" w:cs="Arial"/>
      <w:b/>
      <w:sz w:val="16"/>
      <w:szCs w:val="16"/>
      <w:lang w:val="es-AR"/>
    </w:rPr>
  </w:style>
  <w:style w:type="paragraph" w:customStyle="1" w:styleId="ATableText">
    <w:name w:val="A_Table Text"/>
    <w:rsid w:val="007968EC"/>
    <w:pPr>
      <w:spacing w:before="60" w:after="60" w:line="240" w:lineRule="auto"/>
    </w:pPr>
    <w:rPr>
      <w:rFonts w:ascii="Arial" w:eastAsia="Times New Roman" w:hAnsi="Arial" w:cs="Times New Roman"/>
      <w:sz w:val="18"/>
      <w:szCs w:val="20"/>
      <w:lang w:val="en-US" w:eastAsia="ko-KR"/>
    </w:rPr>
  </w:style>
  <w:style w:type="paragraph" w:customStyle="1" w:styleId="Tabletext">
    <w:name w:val="Tabletext"/>
    <w:basedOn w:val="Normal"/>
    <w:rsid w:val="007968EC"/>
    <w:pPr>
      <w:keepLines/>
      <w:widowControl w:val="0"/>
      <w:spacing w:after="120" w:line="240" w:lineRule="atLeast"/>
    </w:pPr>
    <w:rPr>
      <w:rFonts w:ascii="Arial" w:hAnsi="Arial" w:cs="Arial"/>
      <w:b/>
      <w:sz w:val="20"/>
      <w:lang w:val="es-ES_tradnl"/>
    </w:rPr>
  </w:style>
  <w:style w:type="table" w:customStyle="1" w:styleId="TablaFicheroParametrizacin">
    <w:name w:val="Tabla Fichero Parametrización"/>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paragraph" w:styleId="NormalWeb">
    <w:name w:val="Normal (Web)"/>
    <w:basedOn w:val="Normal"/>
    <w:uiPriority w:val="99"/>
    <w:rsid w:val="007968EC"/>
    <w:pPr>
      <w:spacing w:before="100" w:beforeAutospacing="1" w:after="100" w:afterAutospacing="1"/>
    </w:pPr>
    <w:rPr>
      <w:rFonts w:cs="Arial"/>
      <w:b/>
      <w:lang w:eastAsia="es-CO"/>
    </w:rPr>
  </w:style>
  <w:style w:type="paragraph" w:customStyle="1" w:styleId="Pa6">
    <w:name w:val="Pa6"/>
    <w:basedOn w:val="Normal"/>
    <w:next w:val="Normal"/>
    <w:rsid w:val="007968EC"/>
    <w:pPr>
      <w:autoSpaceDE w:val="0"/>
      <w:autoSpaceDN w:val="0"/>
      <w:adjustRightInd w:val="0"/>
      <w:spacing w:line="201" w:lineRule="atLeast"/>
    </w:pPr>
    <w:rPr>
      <w:rFonts w:ascii="OXWPNW+CronosPro-Bold" w:hAnsi="OXWPNW+CronosPro-Bold" w:cs="Arial"/>
      <w:b/>
      <w:lang w:eastAsia="es-CO"/>
    </w:rPr>
  </w:style>
  <w:style w:type="paragraph" w:customStyle="1" w:styleId="Textoindependiente31">
    <w:name w:val="Texto independiente 31"/>
    <w:basedOn w:val="Normal"/>
    <w:rsid w:val="007968EC"/>
    <w:pPr>
      <w:jc w:val="center"/>
    </w:pPr>
    <w:rPr>
      <w:rFonts w:ascii="Arial" w:hAnsi="Arial" w:cs="Arial"/>
      <w:u w:val="single"/>
      <w:lang w:eastAsia="es-ES"/>
    </w:rPr>
  </w:style>
  <w:style w:type="paragraph" w:styleId="Sangradetextonormal">
    <w:name w:val="Body Text Indent"/>
    <w:basedOn w:val="Normal"/>
    <w:link w:val="SangradetextonormalCar"/>
    <w:rsid w:val="007968EC"/>
    <w:pPr>
      <w:spacing w:after="120"/>
      <w:ind w:left="283"/>
    </w:pPr>
    <w:rPr>
      <w:rFonts w:cs="Arial"/>
      <w:b/>
      <w:lang w:val="es-ES" w:eastAsia="es-ES"/>
    </w:rPr>
  </w:style>
  <w:style w:type="character" w:customStyle="1" w:styleId="SangradetextonormalCar">
    <w:name w:val="Sangría de texto normal Car"/>
    <w:basedOn w:val="Fuentedeprrafopredeter"/>
    <w:link w:val="Sangradetextonormal"/>
    <w:rsid w:val="007968EC"/>
    <w:rPr>
      <w:rFonts w:ascii="Times New Roman" w:eastAsia="Times New Roman" w:hAnsi="Times New Roman" w:cs="Arial"/>
      <w:b/>
      <w:sz w:val="24"/>
      <w:szCs w:val="24"/>
      <w:lang w:val="es-ES" w:eastAsia="es-ES"/>
    </w:rPr>
  </w:style>
  <w:style w:type="paragraph" w:styleId="Encabezadodemensaje">
    <w:name w:val="Message Header"/>
    <w:basedOn w:val="Textoindependiente"/>
    <w:link w:val="EncabezadodemensajeCar"/>
    <w:rsid w:val="007968EC"/>
    <w:pPr>
      <w:keepLines/>
      <w:spacing w:after="40" w:line="140" w:lineRule="atLeast"/>
      <w:ind w:left="360"/>
    </w:pPr>
    <w:rPr>
      <w:rFonts w:ascii="Garamond" w:hAnsi="Garamond"/>
      <w:spacing w:val="-5"/>
    </w:rPr>
  </w:style>
  <w:style w:type="character" w:customStyle="1" w:styleId="EncabezadodemensajeCar">
    <w:name w:val="Encabezado de mensaje Car"/>
    <w:basedOn w:val="Fuentedeprrafopredeter"/>
    <w:link w:val="Encabezadodemensaje"/>
    <w:rsid w:val="007968EC"/>
    <w:rPr>
      <w:rFonts w:ascii="Garamond" w:eastAsia="Times New Roman" w:hAnsi="Garamond" w:cs="Arial"/>
      <w:b/>
      <w:spacing w:val="-5"/>
      <w:sz w:val="24"/>
      <w:szCs w:val="24"/>
      <w:lang w:val="es-ES" w:eastAsia="es-ES"/>
    </w:rPr>
  </w:style>
  <w:style w:type="paragraph" w:customStyle="1" w:styleId="VietaPunto">
    <w:name w:val="Viñeta Punto"/>
    <w:basedOn w:val="Normal"/>
    <w:rsid w:val="007968EC"/>
    <w:pPr>
      <w:numPr>
        <w:numId w:val="13"/>
      </w:numPr>
      <w:spacing w:before="120"/>
      <w:jc w:val="both"/>
    </w:pPr>
    <w:rPr>
      <w:rFonts w:cs="Arial"/>
      <w:b/>
      <w:spacing w:val="-5"/>
      <w:lang w:val="es-ES"/>
    </w:rPr>
  </w:style>
  <w:style w:type="paragraph" w:customStyle="1" w:styleId="Pa7">
    <w:name w:val="Pa7"/>
    <w:basedOn w:val="Normal"/>
    <w:next w:val="Normal"/>
    <w:rsid w:val="007968EC"/>
    <w:pPr>
      <w:autoSpaceDE w:val="0"/>
      <w:autoSpaceDN w:val="0"/>
      <w:adjustRightInd w:val="0"/>
      <w:spacing w:line="201" w:lineRule="atLeast"/>
    </w:pPr>
    <w:rPr>
      <w:rFonts w:ascii="OXWPNW+CronosPro-Bold" w:hAnsi="OXWPNW+CronosPro-Bold" w:cs="Arial"/>
      <w:b/>
      <w:lang w:eastAsia="es-CO"/>
    </w:rPr>
  </w:style>
  <w:style w:type="paragraph" w:customStyle="1" w:styleId="WW-Textoindependiente2">
    <w:name w:val="WW-Texto independiente 2"/>
    <w:basedOn w:val="Normal"/>
    <w:rsid w:val="007968EC"/>
    <w:pPr>
      <w:suppressAutoHyphens/>
      <w:ind w:right="51"/>
      <w:jc w:val="both"/>
    </w:pPr>
    <w:rPr>
      <w:rFonts w:ascii="Arial" w:hAnsi="Arial" w:cs="Arial" w:hint="eastAsia"/>
      <w:b/>
      <w:noProof/>
      <w:lang w:val="es-ES" w:eastAsia="es-ES"/>
    </w:rPr>
  </w:style>
  <w:style w:type="paragraph" w:customStyle="1" w:styleId="WW-Textoindependiente3">
    <w:name w:val="WW-Texto independiente 3"/>
    <w:basedOn w:val="Normal"/>
    <w:rsid w:val="007968EC"/>
    <w:pPr>
      <w:suppressAutoHyphens/>
      <w:ind w:right="51"/>
      <w:jc w:val="both"/>
    </w:pPr>
    <w:rPr>
      <w:rFonts w:ascii="Century Gothic" w:hAnsi="Century Gothic" w:cs="Arial" w:hint="eastAsia"/>
      <w:noProof/>
      <w:lang w:val="es-ES" w:eastAsia="es-ES"/>
    </w:rPr>
  </w:style>
  <w:style w:type="paragraph" w:customStyle="1" w:styleId="personal">
    <w:name w:val="personal"/>
    <w:basedOn w:val="Normal"/>
    <w:rsid w:val="007968EC"/>
    <w:pPr>
      <w:suppressAutoHyphens/>
      <w:spacing w:before="80" w:after="80" w:line="360" w:lineRule="auto"/>
      <w:jc w:val="both"/>
    </w:pPr>
    <w:rPr>
      <w:rFonts w:ascii="Book Antiqua" w:hAnsi="Book Antiqua" w:cs="Arial" w:hint="eastAsia"/>
      <w:b/>
      <w:noProof/>
      <w:lang w:val="es-ES" w:eastAsia="es-ES"/>
    </w:rPr>
  </w:style>
  <w:style w:type="paragraph" w:customStyle="1" w:styleId="bodytext3">
    <w:name w:val="bodytext3"/>
    <w:basedOn w:val="Normal"/>
    <w:rsid w:val="007968EC"/>
    <w:pPr>
      <w:spacing w:before="100" w:beforeAutospacing="1" w:after="100" w:afterAutospacing="1"/>
    </w:pPr>
    <w:rPr>
      <w:rFonts w:cs="Arial"/>
      <w:b/>
      <w:lang w:val="es-ES" w:eastAsia="es-ES"/>
    </w:rPr>
  </w:style>
  <w:style w:type="paragraph" w:customStyle="1" w:styleId="Estilo1">
    <w:name w:val="Estilo1"/>
    <w:basedOn w:val="Normal"/>
    <w:rsid w:val="007968EC"/>
    <w:pPr>
      <w:jc w:val="center"/>
    </w:pPr>
    <w:rPr>
      <w:rFonts w:ascii="Arial" w:hAnsi="Arial" w:cs="Arial"/>
      <w:sz w:val="20"/>
      <w:lang w:eastAsia="es-ES"/>
    </w:rPr>
  </w:style>
  <w:style w:type="paragraph" w:customStyle="1" w:styleId="EstiloTtulo2h2H210ptIzquierda-004cmAntes0pto">
    <w:name w:val="Estilo Título 2h2H2 + 10 pt Izquierda:  -004 cm Antes:  0 pto ..."/>
    <w:basedOn w:val="Ttulo2"/>
    <w:rsid w:val="007968EC"/>
    <w:pPr>
      <w:spacing w:before="0" w:after="0"/>
      <w:ind w:left="-24"/>
      <w:jc w:val="center"/>
    </w:pPr>
    <w:rPr>
      <w:rFonts w:cs="Times New Roman"/>
      <w:i w:val="0"/>
      <w:sz w:val="20"/>
      <w:szCs w:val="20"/>
    </w:rPr>
  </w:style>
  <w:style w:type="paragraph" w:styleId="ndice1">
    <w:name w:val="index 1"/>
    <w:basedOn w:val="Normal"/>
    <w:next w:val="Normal"/>
    <w:autoRedefine/>
    <w:rsid w:val="007968EC"/>
    <w:pPr>
      <w:ind w:left="240" w:hanging="240"/>
    </w:pPr>
    <w:rPr>
      <w:rFonts w:cs="Arial"/>
      <w:b/>
      <w:lang w:val="es-ES" w:eastAsia="es-ES"/>
    </w:rPr>
  </w:style>
  <w:style w:type="paragraph" w:styleId="TDC1">
    <w:name w:val="toc 1"/>
    <w:basedOn w:val="TTULO"/>
    <w:next w:val="ARTICULO0"/>
    <w:link w:val="TDC1Car"/>
    <w:autoRedefine/>
    <w:uiPriority w:val="39"/>
    <w:rsid w:val="007968EC"/>
    <w:pPr>
      <w:spacing w:before="120" w:after="120"/>
      <w:jc w:val="left"/>
    </w:pPr>
    <w:rPr>
      <w:bCs/>
      <w:caps/>
      <w:sz w:val="20"/>
      <w:szCs w:val="20"/>
      <w:lang w:val="es-ES"/>
    </w:rPr>
  </w:style>
  <w:style w:type="paragraph" w:styleId="TDC2">
    <w:name w:val="toc 2"/>
    <w:basedOn w:val="Normal"/>
    <w:next w:val="Normal"/>
    <w:autoRedefine/>
    <w:uiPriority w:val="39"/>
    <w:rsid w:val="007968EC"/>
    <w:pPr>
      <w:tabs>
        <w:tab w:val="right" w:leader="dot" w:pos="9396"/>
      </w:tabs>
      <w:ind w:left="284"/>
      <w:jc w:val="both"/>
    </w:pPr>
    <w:rPr>
      <w:rFonts w:cs="Arial"/>
      <w:smallCaps/>
      <w:sz w:val="20"/>
      <w:szCs w:val="20"/>
      <w:lang w:val="es-ES" w:eastAsia="es-ES"/>
    </w:rPr>
  </w:style>
  <w:style w:type="paragraph" w:styleId="TDC3">
    <w:name w:val="toc 3"/>
    <w:basedOn w:val="Normal"/>
    <w:next w:val="Normal"/>
    <w:autoRedefine/>
    <w:uiPriority w:val="39"/>
    <w:rsid w:val="007968EC"/>
    <w:pPr>
      <w:ind w:left="440"/>
    </w:pPr>
    <w:rPr>
      <w:rFonts w:cs="Arial"/>
      <w:i/>
      <w:iCs/>
      <w:sz w:val="20"/>
      <w:szCs w:val="20"/>
      <w:lang w:val="es-ES" w:eastAsia="es-ES"/>
    </w:rPr>
  </w:style>
  <w:style w:type="character" w:styleId="Hipervnculo">
    <w:name w:val="Hyperlink"/>
    <w:basedOn w:val="Fuentedeprrafopredeter"/>
    <w:uiPriority w:val="99"/>
    <w:rsid w:val="007968EC"/>
    <w:rPr>
      <w:color w:val="0000FF"/>
      <w:u w:val="single"/>
    </w:rPr>
  </w:style>
  <w:style w:type="character" w:styleId="Hipervnculovisitado">
    <w:name w:val="FollowedHyperlink"/>
    <w:basedOn w:val="Fuentedeprrafopredeter"/>
    <w:rsid w:val="007968EC"/>
    <w:rPr>
      <w:color w:val="800080"/>
      <w:u w:val="single"/>
    </w:rPr>
  </w:style>
  <w:style w:type="paragraph" w:styleId="Revisin">
    <w:name w:val="Revision"/>
    <w:hidden/>
    <w:uiPriority w:val="99"/>
    <w:semiHidden/>
    <w:rsid w:val="007968EC"/>
    <w:pPr>
      <w:spacing w:after="0" w:line="240" w:lineRule="auto"/>
    </w:pPr>
    <w:rPr>
      <w:rFonts w:ascii="Times New Roman" w:eastAsia="Times New Roman" w:hAnsi="Times New Roman" w:cs="Times New Roman"/>
      <w:sz w:val="24"/>
      <w:szCs w:val="24"/>
      <w:lang w:val="es-ES" w:eastAsia="es-ES"/>
    </w:rPr>
  </w:style>
  <w:style w:type="paragraph" w:styleId="TDC4">
    <w:name w:val="toc 4"/>
    <w:basedOn w:val="Normal"/>
    <w:next w:val="Normal"/>
    <w:autoRedefine/>
    <w:uiPriority w:val="39"/>
    <w:unhideWhenUsed/>
    <w:rsid w:val="007968EC"/>
    <w:pPr>
      <w:ind w:left="660"/>
    </w:pPr>
    <w:rPr>
      <w:rFonts w:cs="Arial"/>
      <w:sz w:val="18"/>
      <w:szCs w:val="18"/>
      <w:lang w:val="es-ES" w:eastAsia="es-ES"/>
    </w:rPr>
  </w:style>
  <w:style w:type="paragraph" w:styleId="TDC5">
    <w:name w:val="toc 5"/>
    <w:basedOn w:val="Normal"/>
    <w:next w:val="Normal"/>
    <w:autoRedefine/>
    <w:uiPriority w:val="39"/>
    <w:unhideWhenUsed/>
    <w:rsid w:val="007968EC"/>
    <w:pPr>
      <w:ind w:left="880"/>
    </w:pPr>
    <w:rPr>
      <w:rFonts w:cs="Arial"/>
      <w:sz w:val="18"/>
      <w:szCs w:val="18"/>
      <w:lang w:val="es-ES" w:eastAsia="es-ES"/>
    </w:rPr>
  </w:style>
  <w:style w:type="paragraph" w:styleId="TDC6">
    <w:name w:val="toc 6"/>
    <w:basedOn w:val="Normal"/>
    <w:next w:val="Normal"/>
    <w:autoRedefine/>
    <w:uiPriority w:val="39"/>
    <w:unhideWhenUsed/>
    <w:rsid w:val="007968EC"/>
    <w:pPr>
      <w:ind w:left="1100"/>
    </w:pPr>
    <w:rPr>
      <w:rFonts w:cs="Arial"/>
      <w:sz w:val="18"/>
      <w:szCs w:val="18"/>
      <w:lang w:val="es-ES" w:eastAsia="es-ES"/>
    </w:rPr>
  </w:style>
  <w:style w:type="paragraph" w:styleId="TDC7">
    <w:name w:val="toc 7"/>
    <w:basedOn w:val="Normal"/>
    <w:next w:val="Normal"/>
    <w:autoRedefine/>
    <w:uiPriority w:val="39"/>
    <w:unhideWhenUsed/>
    <w:rsid w:val="007968EC"/>
    <w:pPr>
      <w:ind w:left="1320"/>
    </w:pPr>
    <w:rPr>
      <w:rFonts w:cs="Arial"/>
      <w:sz w:val="18"/>
      <w:szCs w:val="18"/>
      <w:lang w:val="es-ES" w:eastAsia="es-ES"/>
    </w:rPr>
  </w:style>
  <w:style w:type="paragraph" w:styleId="TDC8">
    <w:name w:val="toc 8"/>
    <w:basedOn w:val="Normal"/>
    <w:next w:val="Normal"/>
    <w:autoRedefine/>
    <w:uiPriority w:val="39"/>
    <w:unhideWhenUsed/>
    <w:rsid w:val="007968EC"/>
    <w:pPr>
      <w:ind w:left="1540"/>
    </w:pPr>
    <w:rPr>
      <w:rFonts w:cs="Arial"/>
      <w:sz w:val="18"/>
      <w:szCs w:val="18"/>
      <w:lang w:val="es-ES" w:eastAsia="es-ES"/>
    </w:rPr>
  </w:style>
  <w:style w:type="paragraph" w:styleId="TDC9">
    <w:name w:val="toc 9"/>
    <w:basedOn w:val="Normal"/>
    <w:next w:val="Normal"/>
    <w:autoRedefine/>
    <w:uiPriority w:val="39"/>
    <w:unhideWhenUsed/>
    <w:rsid w:val="007968EC"/>
    <w:pPr>
      <w:ind w:left="1760"/>
    </w:pPr>
    <w:rPr>
      <w:rFonts w:cs="Arial"/>
      <w:sz w:val="18"/>
      <w:szCs w:val="18"/>
      <w:lang w:val="es-ES" w:eastAsia="es-ES"/>
    </w:rPr>
  </w:style>
  <w:style w:type="paragraph" w:customStyle="1" w:styleId="CarCarCarCarCarCar">
    <w:name w:val="Car Car Car Car Car Car"/>
    <w:basedOn w:val="Normal"/>
    <w:rsid w:val="007968EC"/>
    <w:pPr>
      <w:spacing w:line="240" w:lineRule="exact"/>
      <w:ind w:left="500"/>
      <w:jc w:val="center"/>
    </w:pPr>
    <w:rPr>
      <w:rFonts w:ascii="Verdana" w:hAnsi="Verdana" w:cs="Arial"/>
      <w:sz w:val="20"/>
      <w:lang w:val="es-VE"/>
    </w:rPr>
  </w:style>
  <w:style w:type="paragraph" w:customStyle="1" w:styleId="CarCarCarCarCarCar2">
    <w:name w:val="Car Car Car Car Car Car2"/>
    <w:basedOn w:val="Normal"/>
    <w:rsid w:val="007968EC"/>
    <w:pPr>
      <w:spacing w:line="240" w:lineRule="exact"/>
      <w:ind w:left="500"/>
      <w:jc w:val="center"/>
    </w:pPr>
    <w:rPr>
      <w:rFonts w:ascii="Verdana" w:hAnsi="Verdana" w:cs="Arial"/>
      <w:b/>
      <w:sz w:val="20"/>
      <w:szCs w:val="20"/>
      <w:lang w:val="es-VE"/>
    </w:rPr>
  </w:style>
  <w:style w:type="table" w:customStyle="1" w:styleId="Tablaconcuadrcula1">
    <w:name w:val="Tabla con cuadrícula1"/>
    <w:basedOn w:val="Tablanormal"/>
    <w:next w:val="Tablaconcuadrcula"/>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7968EC"/>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Subttulo">
    <w:name w:val="Subtitle"/>
    <w:basedOn w:val="Normal"/>
    <w:link w:val="SubttuloCar"/>
    <w:qFormat/>
    <w:rsid w:val="007968EC"/>
    <w:rPr>
      <w:rFonts w:ascii="Arial" w:hAnsi="Arial"/>
      <w:b/>
      <w:bCs/>
      <w:sz w:val="20"/>
      <w:szCs w:val="20"/>
      <w:lang w:val="es-ES" w:eastAsia="es-ES"/>
    </w:rPr>
  </w:style>
  <w:style w:type="character" w:customStyle="1" w:styleId="SubttuloCar">
    <w:name w:val="Subtítulo Car"/>
    <w:basedOn w:val="Fuentedeprrafopredeter"/>
    <w:link w:val="Subttulo"/>
    <w:rsid w:val="007968EC"/>
    <w:rPr>
      <w:rFonts w:ascii="Arial" w:eastAsia="Times New Roman" w:hAnsi="Arial" w:cs="Times New Roman"/>
      <w:b/>
      <w:bCs/>
      <w:sz w:val="20"/>
      <w:szCs w:val="20"/>
      <w:lang w:val="es-ES" w:eastAsia="es-ES"/>
    </w:rPr>
  </w:style>
  <w:style w:type="character" w:styleId="nfasis">
    <w:name w:val="Emphasis"/>
    <w:basedOn w:val="Fuentedeprrafopredeter"/>
    <w:uiPriority w:val="20"/>
    <w:rsid w:val="007968EC"/>
    <w:rPr>
      <w:i/>
      <w:iCs/>
    </w:rPr>
  </w:style>
  <w:style w:type="paragraph" w:customStyle="1" w:styleId="EstiloCorreo981">
    <w:name w:val="EstiloCorreo981"/>
    <w:basedOn w:val="Normal"/>
    <w:rsid w:val="007968EC"/>
    <w:pPr>
      <w:jc w:val="center"/>
    </w:pPr>
    <w:rPr>
      <w:rFonts w:ascii="Verdana" w:hAnsi="Verdana" w:cs="Arial"/>
      <w:u w:val="single"/>
      <w:lang w:val="es-MX" w:eastAsia="es-ES"/>
    </w:rPr>
  </w:style>
  <w:style w:type="table" w:customStyle="1" w:styleId="Listaclara2">
    <w:name w:val="Lista clara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
    <w:name w:val="Lista clara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NTECEDENTES">
    <w:name w:val="ANTECEDENTES"/>
    <w:basedOn w:val="Normal"/>
    <w:qFormat/>
    <w:rsid w:val="007968EC"/>
    <w:pPr>
      <w:jc w:val="both"/>
    </w:pPr>
    <w:rPr>
      <w:rFonts w:ascii="Arial Narrow" w:hAnsi="Arial Narrow" w:cs="Arial"/>
      <w:b/>
      <w:i/>
      <w:lang w:val="es-MX" w:eastAsia="es-ES"/>
    </w:rPr>
  </w:style>
  <w:style w:type="character" w:customStyle="1" w:styleId="TtuloCar1">
    <w:name w:val="Título Car1"/>
    <w:aliases w:val="1 Car1"/>
    <w:basedOn w:val="Fuentedeprrafopredeter"/>
    <w:rsid w:val="007968EC"/>
    <w:rPr>
      <w:rFonts w:ascii="Cambria" w:eastAsia="Times New Roman" w:hAnsi="Cambria" w:cs="Times New Roman"/>
      <w:b/>
      <w:color w:val="17365D"/>
      <w:spacing w:val="5"/>
      <w:kern w:val="28"/>
      <w:sz w:val="52"/>
      <w:szCs w:val="52"/>
      <w:lang w:eastAsia="es-ES"/>
    </w:rPr>
  </w:style>
  <w:style w:type="paragraph" w:customStyle="1" w:styleId="CarCarCarCarCarCar1">
    <w:name w:val="Car Car Car Car Car Car1"/>
    <w:basedOn w:val="Normal"/>
    <w:rsid w:val="007968EC"/>
    <w:pPr>
      <w:spacing w:line="240" w:lineRule="exact"/>
      <w:ind w:left="500"/>
      <w:jc w:val="center"/>
    </w:pPr>
    <w:rPr>
      <w:rFonts w:ascii="Verdana" w:hAnsi="Verdana" w:cs="Arial"/>
      <w:b/>
      <w:sz w:val="20"/>
      <w:szCs w:val="20"/>
      <w:lang w:val="es-VE"/>
    </w:rPr>
  </w:style>
  <w:style w:type="paragraph" w:styleId="Ttulo0">
    <w:name w:val="Title"/>
    <w:aliases w:val="1"/>
    <w:basedOn w:val="Normal"/>
    <w:link w:val="TtuloCar2"/>
    <w:qFormat/>
    <w:rsid w:val="007968EC"/>
    <w:pPr>
      <w:jc w:val="center"/>
    </w:pPr>
    <w:rPr>
      <w:rFonts w:ascii="Verdana" w:hAnsi="Verdana" w:cs="Arial"/>
      <w:u w:val="single"/>
      <w:lang w:val="es-MX" w:eastAsia="es-ES"/>
    </w:rPr>
  </w:style>
  <w:style w:type="character" w:customStyle="1" w:styleId="TtuloCar2">
    <w:name w:val="Título Car2"/>
    <w:aliases w:val="1 Car2"/>
    <w:basedOn w:val="Fuentedeprrafopredeter"/>
    <w:link w:val="Ttulo0"/>
    <w:rsid w:val="007968EC"/>
    <w:rPr>
      <w:rFonts w:ascii="Verdana" w:eastAsia="Times New Roman" w:hAnsi="Verdana" w:cs="Arial"/>
      <w:sz w:val="24"/>
      <w:szCs w:val="24"/>
      <w:u w:val="single"/>
      <w:lang w:val="es-MX" w:eastAsia="es-ES"/>
    </w:rPr>
  </w:style>
  <w:style w:type="paragraph" w:customStyle="1" w:styleId="EstiloCorreo107">
    <w:name w:val="EstiloCorreo107"/>
    <w:basedOn w:val="Normal"/>
    <w:rsid w:val="007968EC"/>
    <w:pPr>
      <w:jc w:val="center"/>
    </w:pPr>
    <w:rPr>
      <w:rFonts w:ascii="Verdana" w:hAnsi="Verdana" w:cs="Arial"/>
      <w:bCs/>
      <w:u w:val="single"/>
      <w:lang w:val="es-MX" w:eastAsia="es-ES"/>
    </w:rPr>
  </w:style>
  <w:style w:type="paragraph" w:customStyle="1" w:styleId="EstiloCorreo108">
    <w:name w:val="EstiloCorreo108"/>
    <w:basedOn w:val="Normal"/>
    <w:rsid w:val="007968EC"/>
    <w:pPr>
      <w:jc w:val="center"/>
    </w:pPr>
    <w:rPr>
      <w:rFonts w:ascii="Verdana" w:hAnsi="Verdana" w:cs="Arial"/>
      <w:bCs/>
      <w:u w:val="single"/>
      <w:lang w:val="es-MX" w:eastAsia="es-ES"/>
    </w:rPr>
  </w:style>
  <w:style w:type="paragraph" w:customStyle="1" w:styleId="EstiloCorreo1091">
    <w:name w:val="EstiloCorreo1091"/>
    <w:basedOn w:val="Normal"/>
    <w:rsid w:val="007968EC"/>
    <w:pPr>
      <w:jc w:val="center"/>
    </w:pPr>
    <w:rPr>
      <w:rFonts w:ascii="Verdana" w:hAnsi="Verdana" w:cs="Arial"/>
      <w:bCs/>
      <w:u w:val="single"/>
      <w:lang w:val="es-MX" w:eastAsia="es-ES"/>
    </w:rPr>
  </w:style>
  <w:style w:type="paragraph" w:customStyle="1" w:styleId="EstiloCorreo110">
    <w:name w:val="EstiloCorreo110"/>
    <w:basedOn w:val="Normal"/>
    <w:rsid w:val="007968EC"/>
    <w:pPr>
      <w:jc w:val="center"/>
    </w:pPr>
    <w:rPr>
      <w:rFonts w:ascii="Verdana" w:hAnsi="Verdana" w:cs="Arial"/>
      <w:u w:val="single"/>
      <w:lang w:val="es-MX" w:eastAsia="es-ES"/>
    </w:rPr>
  </w:style>
  <w:style w:type="paragraph" w:customStyle="1" w:styleId="EstiloCorreo1111">
    <w:name w:val="EstiloCorreo1111"/>
    <w:basedOn w:val="Normal"/>
    <w:rsid w:val="007968EC"/>
    <w:pPr>
      <w:jc w:val="center"/>
    </w:pPr>
    <w:rPr>
      <w:rFonts w:ascii="Verdana" w:hAnsi="Verdana" w:cs="Arial"/>
      <w:u w:val="single"/>
      <w:lang w:val="es-MX" w:eastAsia="es-ES"/>
    </w:rPr>
  </w:style>
  <w:style w:type="paragraph" w:customStyle="1" w:styleId="EstiloCorreo112">
    <w:name w:val="EstiloCorreo112"/>
    <w:basedOn w:val="Normal"/>
    <w:rsid w:val="007968EC"/>
    <w:pPr>
      <w:jc w:val="center"/>
    </w:pPr>
    <w:rPr>
      <w:rFonts w:ascii="Verdana" w:hAnsi="Verdana" w:cs="Arial"/>
      <w:u w:val="single"/>
      <w:lang w:val="es-MX" w:eastAsia="es-ES"/>
    </w:rPr>
  </w:style>
  <w:style w:type="paragraph" w:customStyle="1" w:styleId="EstiloCorreo113">
    <w:name w:val="EstiloCorreo113"/>
    <w:basedOn w:val="Normal"/>
    <w:rsid w:val="007968EC"/>
    <w:pPr>
      <w:jc w:val="center"/>
    </w:pPr>
    <w:rPr>
      <w:rFonts w:ascii="Verdana" w:hAnsi="Verdana" w:cs="Arial"/>
      <w:u w:val="single"/>
      <w:lang w:val="es-MX" w:eastAsia="es-ES"/>
    </w:rPr>
  </w:style>
  <w:style w:type="paragraph" w:customStyle="1" w:styleId="EstiloCorreo1141">
    <w:name w:val="EstiloCorreo1141"/>
    <w:basedOn w:val="Normal"/>
    <w:rsid w:val="007968EC"/>
    <w:pPr>
      <w:jc w:val="center"/>
    </w:pPr>
    <w:rPr>
      <w:rFonts w:ascii="Verdana" w:hAnsi="Verdana" w:cs="Arial"/>
      <w:u w:val="single"/>
      <w:lang w:val="es-MX" w:eastAsia="es-ES"/>
    </w:rPr>
  </w:style>
  <w:style w:type="paragraph" w:customStyle="1" w:styleId="EstiloCorreo1151">
    <w:name w:val="EstiloCorreo1151"/>
    <w:basedOn w:val="Normal"/>
    <w:rsid w:val="007968EC"/>
    <w:pPr>
      <w:jc w:val="center"/>
    </w:pPr>
    <w:rPr>
      <w:rFonts w:ascii="Verdana" w:hAnsi="Verdana" w:cs="Arial"/>
      <w:bCs/>
      <w:u w:val="single"/>
      <w:lang w:val="es-MX" w:eastAsia="es-ES"/>
    </w:rPr>
  </w:style>
  <w:style w:type="paragraph" w:customStyle="1" w:styleId="EstiloCorreo1161">
    <w:name w:val="EstiloCorreo1161"/>
    <w:basedOn w:val="Normal"/>
    <w:rsid w:val="007968EC"/>
    <w:pPr>
      <w:jc w:val="center"/>
    </w:pPr>
    <w:rPr>
      <w:rFonts w:ascii="Verdana" w:hAnsi="Verdana" w:cs="Arial"/>
      <w:bCs/>
      <w:u w:val="single"/>
      <w:lang w:val="es-MX" w:eastAsia="es-ES"/>
    </w:rPr>
  </w:style>
  <w:style w:type="paragraph" w:customStyle="1" w:styleId="EstiloCorreo1171">
    <w:name w:val="EstiloCorreo1171"/>
    <w:basedOn w:val="Normal"/>
    <w:rsid w:val="007968EC"/>
    <w:pPr>
      <w:jc w:val="center"/>
    </w:pPr>
    <w:rPr>
      <w:rFonts w:ascii="Verdana" w:hAnsi="Verdana" w:cs="Arial"/>
      <w:bCs/>
      <w:u w:val="single"/>
      <w:lang w:val="es-MX" w:eastAsia="es-ES"/>
    </w:rPr>
  </w:style>
  <w:style w:type="paragraph" w:customStyle="1" w:styleId="EstiloCorreo1181">
    <w:name w:val="EstiloCorreo1181"/>
    <w:basedOn w:val="Normal"/>
    <w:rsid w:val="007968EC"/>
    <w:pPr>
      <w:jc w:val="center"/>
    </w:pPr>
    <w:rPr>
      <w:rFonts w:ascii="Verdana" w:hAnsi="Verdana" w:cs="Arial"/>
      <w:u w:val="single"/>
      <w:lang w:val="es-MX" w:eastAsia="es-ES"/>
    </w:rPr>
  </w:style>
  <w:style w:type="paragraph" w:customStyle="1" w:styleId="EstiloCorreo1191">
    <w:name w:val="EstiloCorreo1191"/>
    <w:basedOn w:val="Normal"/>
    <w:rsid w:val="007968EC"/>
    <w:pPr>
      <w:jc w:val="center"/>
    </w:pPr>
    <w:rPr>
      <w:rFonts w:ascii="Verdana" w:hAnsi="Verdana" w:cs="Arial"/>
      <w:u w:val="single"/>
      <w:lang w:val="es-MX" w:eastAsia="es-ES"/>
    </w:rPr>
  </w:style>
  <w:style w:type="paragraph" w:customStyle="1" w:styleId="EstiloCorreo120">
    <w:name w:val="EstiloCorreo120"/>
    <w:basedOn w:val="Normal"/>
    <w:rsid w:val="007968EC"/>
    <w:pPr>
      <w:jc w:val="center"/>
    </w:pPr>
    <w:rPr>
      <w:rFonts w:ascii="Verdana" w:hAnsi="Verdana" w:cs="Arial"/>
      <w:u w:val="single"/>
      <w:lang w:val="es-MX" w:eastAsia="es-ES"/>
    </w:rPr>
  </w:style>
  <w:style w:type="paragraph" w:customStyle="1" w:styleId="EstiloCorreo121">
    <w:name w:val="EstiloCorreo121"/>
    <w:basedOn w:val="Normal"/>
    <w:rsid w:val="007968EC"/>
    <w:pPr>
      <w:jc w:val="center"/>
    </w:pPr>
    <w:rPr>
      <w:rFonts w:ascii="Verdana" w:hAnsi="Verdana" w:cs="Arial"/>
      <w:bCs/>
      <w:u w:val="single"/>
      <w:lang w:val="es-MX" w:eastAsia="es-ES"/>
    </w:rPr>
  </w:style>
  <w:style w:type="paragraph" w:customStyle="1" w:styleId="EstiloCorreo122">
    <w:name w:val="EstiloCorreo122"/>
    <w:basedOn w:val="Normal"/>
    <w:rsid w:val="007968EC"/>
    <w:pPr>
      <w:jc w:val="center"/>
    </w:pPr>
    <w:rPr>
      <w:rFonts w:ascii="Verdana" w:hAnsi="Verdana" w:cs="Arial"/>
      <w:bCs/>
      <w:u w:val="single"/>
      <w:lang w:val="es-MX" w:eastAsia="es-ES"/>
    </w:rPr>
  </w:style>
  <w:style w:type="paragraph" w:customStyle="1" w:styleId="EstiloCorreo123">
    <w:name w:val="EstiloCorreo123"/>
    <w:basedOn w:val="Normal"/>
    <w:rsid w:val="007968EC"/>
    <w:pPr>
      <w:jc w:val="center"/>
    </w:pPr>
    <w:rPr>
      <w:rFonts w:ascii="Verdana" w:hAnsi="Verdana" w:cs="Arial"/>
      <w:bCs/>
      <w:u w:val="single"/>
      <w:lang w:val="es-MX" w:eastAsia="es-ES"/>
    </w:rPr>
  </w:style>
  <w:style w:type="paragraph" w:customStyle="1" w:styleId="EstiloCorreo124">
    <w:name w:val="EstiloCorreo124"/>
    <w:basedOn w:val="Normal"/>
    <w:rsid w:val="007968EC"/>
    <w:pPr>
      <w:jc w:val="center"/>
    </w:pPr>
    <w:rPr>
      <w:rFonts w:ascii="Verdana" w:hAnsi="Verdana" w:cs="Arial"/>
      <w:u w:val="single"/>
      <w:lang w:val="es-MX" w:eastAsia="es-ES"/>
    </w:rPr>
  </w:style>
  <w:style w:type="paragraph" w:customStyle="1" w:styleId="EstiloCorreo125">
    <w:name w:val="EstiloCorreo125"/>
    <w:basedOn w:val="Normal"/>
    <w:rsid w:val="007968EC"/>
    <w:pPr>
      <w:jc w:val="center"/>
    </w:pPr>
    <w:rPr>
      <w:rFonts w:ascii="Verdana" w:hAnsi="Verdana" w:cs="Arial"/>
      <w:u w:val="single"/>
      <w:lang w:val="es-MX" w:eastAsia="es-ES"/>
    </w:rPr>
  </w:style>
  <w:style w:type="table" w:customStyle="1" w:styleId="Cuadrculadetablaclara1">
    <w:name w:val="Cuadrícula de tabla clara1"/>
    <w:basedOn w:val="Tablanormal"/>
    <w:uiPriority w:val="40"/>
    <w:rsid w:val="007968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2">
    <w:name w:val="Tabla con cuadrícula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7968EC"/>
  </w:style>
  <w:style w:type="table" w:customStyle="1" w:styleId="Tablaconcuadrcula7">
    <w:name w:val="Tabla con cuadrícula7"/>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
    <w:name w:val="Cuadrícula de tabla clara11"/>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
    <w:name w:val="Sin lista1111"/>
    <w:next w:val="Sinlista"/>
    <w:uiPriority w:val="99"/>
    <w:semiHidden/>
    <w:unhideWhenUsed/>
    <w:rsid w:val="007968EC"/>
  </w:style>
  <w:style w:type="table" w:customStyle="1" w:styleId="Tablaconcuadrcula12">
    <w:name w:val="Tabla con cuadrícula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
    <w:name w:val="Tabla Fichero Parametrización1"/>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
    <w:name w:val="Tabla con cuadrícula111"/>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
    <w:name w:val="Lista clara2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
    <w:name w:val="Lista clara1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2">
    <w:name w:val="Tabla con cuadrícula2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7968EC"/>
  </w:style>
  <w:style w:type="table" w:customStyle="1" w:styleId="Tablaconcuadrcula31">
    <w:name w:val="Tabla con cuadrícula3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
    <w:name w:val="Cuadrícula de tabla clara12"/>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1">
    <w:name w:val="Sin lista11111"/>
    <w:next w:val="Sinlista"/>
    <w:uiPriority w:val="99"/>
    <w:semiHidden/>
    <w:unhideWhenUsed/>
    <w:rsid w:val="007968EC"/>
  </w:style>
  <w:style w:type="table" w:customStyle="1" w:styleId="Tablaconcuadrcula211">
    <w:name w:val="Tabla con cuadrícula2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
    <w:name w:val="Cuadrícula de tabla clara3"/>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ITULO">
    <w:name w:val="TITULO"/>
    <w:basedOn w:val="Ttulo1"/>
    <w:link w:val="TITULOCar"/>
    <w:rsid w:val="007968EC"/>
    <w:pPr>
      <w:spacing w:before="0" w:after="0"/>
      <w:jc w:val="center"/>
    </w:pPr>
    <w:rPr>
      <w:rFonts w:ascii="Arial Narrow" w:hAnsi="Arial Narrow"/>
      <w:b/>
      <w:bCs w:val="0"/>
      <w:sz w:val="24"/>
      <w:szCs w:val="20"/>
    </w:rPr>
  </w:style>
  <w:style w:type="paragraph" w:customStyle="1" w:styleId="TTULO">
    <w:name w:val="TÍTULO"/>
    <w:basedOn w:val="Normal"/>
    <w:link w:val="TTULOCar0"/>
    <w:qFormat/>
    <w:rsid w:val="007968EC"/>
    <w:pPr>
      <w:jc w:val="center"/>
      <w:outlineLvl w:val="1"/>
    </w:pPr>
    <w:rPr>
      <w:rFonts w:ascii="Arial Narrow" w:hAnsi="Arial Narrow" w:cs="Arial"/>
      <w:b/>
      <w:lang w:eastAsia="es-ES"/>
    </w:rPr>
  </w:style>
  <w:style w:type="character" w:customStyle="1" w:styleId="TITULOCar">
    <w:name w:val="TITULO Car"/>
    <w:basedOn w:val="Ttulo1Car"/>
    <w:link w:val="TITULO"/>
    <w:rsid w:val="007968EC"/>
    <w:rPr>
      <w:rFonts w:ascii="Arial Narrow" w:eastAsia="Times New Roman" w:hAnsi="Arial Narrow" w:cs="Arial"/>
      <w:b/>
      <w:bCs w:val="0"/>
      <w:kern w:val="32"/>
      <w:sz w:val="24"/>
      <w:szCs w:val="20"/>
      <w:lang w:val="es-ES" w:eastAsia="es-ES"/>
    </w:rPr>
  </w:style>
  <w:style w:type="paragraph" w:customStyle="1" w:styleId="ARTICULO0">
    <w:name w:val="ARTICULO"/>
    <w:basedOn w:val="Ttulo3"/>
    <w:link w:val="ARTICULOCar"/>
    <w:qFormat/>
    <w:rsid w:val="007968EC"/>
    <w:pPr>
      <w:tabs>
        <w:tab w:val="left" w:pos="1701"/>
      </w:tabs>
      <w:jc w:val="both"/>
    </w:pPr>
    <w:rPr>
      <w:rFonts w:ascii="Arial Narrow" w:hAnsi="Arial Narrow"/>
      <w:b/>
      <w:color w:val="000000" w:themeColor="text1"/>
    </w:rPr>
  </w:style>
  <w:style w:type="character" w:customStyle="1" w:styleId="TTULOCar0">
    <w:name w:val="TÍTULO Car"/>
    <w:basedOn w:val="Fuentedeprrafopredeter"/>
    <w:link w:val="TTULO"/>
    <w:rsid w:val="007968EC"/>
    <w:rPr>
      <w:rFonts w:ascii="Arial Narrow" w:eastAsia="Times New Roman" w:hAnsi="Arial Narrow" w:cs="Arial"/>
      <w:b/>
      <w:sz w:val="24"/>
      <w:szCs w:val="24"/>
      <w:lang w:eastAsia="es-ES"/>
    </w:rPr>
  </w:style>
  <w:style w:type="paragraph" w:styleId="TtuloTDC">
    <w:name w:val="TOC Heading"/>
    <w:basedOn w:val="Ttulo1"/>
    <w:next w:val="Normal"/>
    <w:uiPriority w:val="39"/>
    <w:unhideWhenUsed/>
    <w:qFormat/>
    <w:rsid w:val="007968EC"/>
    <w:pPr>
      <w:keepLines/>
      <w:spacing w:after="0" w:line="259" w:lineRule="auto"/>
      <w:outlineLvl w:val="9"/>
    </w:pPr>
    <w:rPr>
      <w:rFonts w:asciiTheme="majorHAnsi" w:eastAsiaTheme="majorEastAsia" w:hAnsiTheme="majorHAnsi" w:cstheme="majorBidi"/>
      <w:bCs w:val="0"/>
      <w:color w:val="2F5496" w:themeColor="accent1" w:themeShade="BF"/>
      <w:kern w:val="0"/>
      <w:lang w:val="es-CO" w:eastAsia="es-CO"/>
    </w:rPr>
  </w:style>
  <w:style w:type="character" w:customStyle="1" w:styleId="ARTICULOCar">
    <w:name w:val="ARTICULO Car"/>
    <w:basedOn w:val="Ttulo3Car"/>
    <w:link w:val="ARTICULO0"/>
    <w:rsid w:val="007968EC"/>
    <w:rPr>
      <w:rFonts w:ascii="Arial Narrow" w:eastAsia="Times New Roman" w:hAnsi="Arial Narrow" w:cs="Arial"/>
      <w:b/>
      <w:color w:val="000000" w:themeColor="text1"/>
      <w:sz w:val="24"/>
      <w:szCs w:val="24"/>
      <w:u w:val="single"/>
      <w:lang w:eastAsia="es-ES"/>
    </w:rPr>
  </w:style>
  <w:style w:type="character" w:styleId="Textodelmarcadordeposicin">
    <w:name w:val="Placeholder Text"/>
    <w:basedOn w:val="Fuentedeprrafopredeter"/>
    <w:uiPriority w:val="99"/>
    <w:semiHidden/>
    <w:rsid w:val="007968EC"/>
    <w:rPr>
      <w:color w:val="808080"/>
    </w:rPr>
  </w:style>
  <w:style w:type="table" w:styleId="Tablaconcuadrculaclara">
    <w:name w:val="Grid Table Light"/>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8">
    <w:name w:val="Tabla con cuadrícula8"/>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7968EC"/>
  </w:style>
  <w:style w:type="table" w:customStyle="1" w:styleId="Tablaconcuadrcula9">
    <w:name w:val="Tabla con cuadrícula9"/>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2">
    <w:name w:val="Tabla Fichero Parametrización2"/>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3">
    <w:name w:val="Tabla con cuadrícula13"/>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2">
    <w:name w:val="Lista clara2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2">
    <w:name w:val="Lista clara1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detablaclara13">
    <w:name w:val="Cuadrícula de tabla clara13"/>
    <w:basedOn w:val="Tablanormal"/>
    <w:uiPriority w:val="40"/>
    <w:rsid w:val="007968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23">
    <w:name w:val="Tabla con cuadrícula2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7968EC"/>
  </w:style>
  <w:style w:type="table" w:customStyle="1" w:styleId="Tablaconcuadrcula71">
    <w:name w:val="Tabla con cuadrícula7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1">
    <w:name w:val="Cuadrícula de tabla clara111"/>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2">
    <w:name w:val="Sin lista112"/>
    <w:next w:val="Sinlista"/>
    <w:uiPriority w:val="99"/>
    <w:semiHidden/>
    <w:unhideWhenUsed/>
    <w:rsid w:val="007968EC"/>
  </w:style>
  <w:style w:type="table" w:customStyle="1" w:styleId="Tablaconcuadrcula121">
    <w:name w:val="Tabla con cuadrícula12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1">
    <w:name w:val="Tabla Fichero Parametrización11"/>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1">
    <w:name w:val="Tabla con cuadrícula1111"/>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1">
    <w:name w:val="Lista clara21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
    <w:name w:val="Lista clara11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21">
    <w:name w:val="Tabla con cuadrícula22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7968EC"/>
  </w:style>
  <w:style w:type="table" w:customStyle="1" w:styleId="Tablaconcuadrcula311">
    <w:name w:val="Tabla con cuadrícula3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1">
    <w:name w:val="Cuadrícula de tabla clara121"/>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11">
    <w:name w:val="Sin lista111111"/>
    <w:next w:val="Sinlista"/>
    <w:uiPriority w:val="99"/>
    <w:semiHidden/>
    <w:unhideWhenUsed/>
    <w:rsid w:val="007968EC"/>
  </w:style>
  <w:style w:type="table" w:customStyle="1" w:styleId="Tablaconcuadrcula2111">
    <w:name w:val="Tabla con cuadrícula21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1">
    <w:name w:val="Cuadrícula de tabla clara21"/>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1">
    <w:name w:val="Cuadrícula de tabla clara31"/>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detablaclara4">
    <w:name w:val="Cuadrícula de tabla clara4"/>
    <w:basedOn w:val="Tablanormal"/>
    <w:next w:val="Tablaconcuadrculaclara"/>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81">
    <w:name w:val="Tabla con cuadrícula81"/>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7968EC"/>
  </w:style>
  <w:style w:type="table" w:customStyle="1" w:styleId="Cuadrculadetablaclara131">
    <w:name w:val="Cuadrícula de tabla clara131"/>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21">
    <w:name w:val="Sin lista121"/>
    <w:next w:val="Sinlista"/>
    <w:uiPriority w:val="99"/>
    <w:semiHidden/>
    <w:unhideWhenUsed/>
    <w:rsid w:val="007968EC"/>
  </w:style>
  <w:style w:type="numbering" w:customStyle="1" w:styleId="Sinlista1121">
    <w:name w:val="Sin lista1121"/>
    <w:next w:val="Sinlista"/>
    <w:uiPriority w:val="99"/>
    <w:semiHidden/>
    <w:unhideWhenUsed/>
    <w:rsid w:val="007968EC"/>
  </w:style>
  <w:style w:type="numbering" w:customStyle="1" w:styleId="Sinlista211">
    <w:name w:val="Sin lista211"/>
    <w:next w:val="Sinlista"/>
    <w:uiPriority w:val="99"/>
    <w:semiHidden/>
    <w:unhideWhenUsed/>
    <w:rsid w:val="007968EC"/>
  </w:style>
  <w:style w:type="numbering" w:customStyle="1" w:styleId="Sinlista1111111">
    <w:name w:val="Sin lista1111111"/>
    <w:next w:val="Sinlista"/>
    <w:uiPriority w:val="99"/>
    <w:semiHidden/>
    <w:unhideWhenUsed/>
    <w:rsid w:val="007968EC"/>
  </w:style>
  <w:style w:type="table" w:customStyle="1" w:styleId="Cuadrculadetablaclara311">
    <w:name w:val="Cuadrícula de tabla clara311"/>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41">
    <w:name w:val="Cuadrícula de tabla clara41"/>
    <w:basedOn w:val="Tablanormal"/>
    <w:next w:val="Tablaconcuadrculaclara"/>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111">
    <w:name w:val="Tabla con cuadrícula3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968EC"/>
  </w:style>
  <w:style w:type="table" w:customStyle="1" w:styleId="Tablaconcuadrcula10">
    <w:name w:val="Tabla con cuadrícula10"/>
    <w:basedOn w:val="Tablanormal"/>
    <w:next w:val="Tablaconcuadrcula"/>
    <w:rsid w:val="00796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5">
    <w:name w:val="Cuadrícula de tabla clara5"/>
    <w:basedOn w:val="Tablanormal"/>
    <w:next w:val="Tablaconcuadrculaclara"/>
    <w:uiPriority w:val="40"/>
    <w:rsid w:val="007968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13">
    <w:name w:val="Sin lista13"/>
    <w:next w:val="Sinlista"/>
    <w:uiPriority w:val="99"/>
    <w:semiHidden/>
    <w:unhideWhenUsed/>
    <w:rsid w:val="007968EC"/>
  </w:style>
  <w:style w:type="table" w:customStyle="1" w:styleId="Tablaconcuadrcula14">
    <w:name w:val="Tabla con cuadrícula14"/>
    <w:basedOn w:val="Tablanormal"/>
    <w:next w:val="Tablaconcuadrcula"/>
    <w:uiPriority w:val="5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3">
    <w:name w:val="Tabla Fichero Parametrización3"/>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3">
    <w:name w:val="Tabla con cuadrícula113"/>
    <w:basedOn w:val="Tablanormal"/>
    <w:next w:val="Tablaconcuadrcula"/>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3">
    <w:name w:val="Lista clara23"/>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3">
    <w:name w:val="Lista clara13"/>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7968EC"/>
  </w:style>
  <w:style w:type="table" w:customStyle="1" w:styleId="Tablaconcuadrcula33">
    <w:name w:val="Tabla con cuadrícula33"/>
    <w:basedOn w:val="Tablanormal"/>
    <w:next w:val="Tablaconcuadrcula"/>
    <w:rsid w:val="00796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4">
    <w:name w:val="Cuadrícula de tabla clara14"/>
    <w:basedOn w:val="Tablanormal"/>
    <w:next w:val="Tablaconcuadrculaclara"/>
    <w:uiPriority w:val="40"/>
    <w:rsid w:val="007968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113">
    <w:name w:val="Sin lista113"/>
    <w:next w:val="Sinlista"/>
    <w:uiPriority w:val="99"/>
    <w:semiHidden/>
    <w:unhideWhenUsed/>
    <w:rsid w:val="007968EC"/>
  </w:style>
  <w:style w:type="table" w:customStyle="1" w:styleId="Tablaconcuadrcula122">
    <w:name w:val="Tabla con cuadrícula12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2">
    <w:name w:val="Tabla Fichero Parametrización12"/>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2">
    <w:name w:val="Tabla con cuadrícula1112"/>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2">
    <w:name w:val="Lista clara21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2">
    <w:name w:val="Lista clara11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13">
    <w:name w:val="Tabla con cuadrícula21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2">
    <w:name w:val="Cuadrícula de tabla clara112"/>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222">
    <w:name w:val="Tabla con cuadrícula22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2">
    <w:name w:val="Cuadrícula de tabla clara122"/>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2">
    <w:name w:val="Sin lista1112"/>
    <w:next w:val="Sinlista"/>
    <w:uiPriority w:val="99"/>
    <w:semiHidden/>
    <w:unhideWhenUsed/>
    <w:rsid w:val="007968EC"/>
  </w:style>
  <w:style w:type="table" w:customStyle="1" w:styleId="Tablaconcuadrcula2112">
    <w:name w:val="Tabla con cuadrícula21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2">
    <w:name w:val="Cuadrícula de tabla clara22"/>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2">
    <w:name w:val="Cuadrícula de tabla clara32"/>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82">
    <w:name w:val="Tabla con cuadrícula82"/>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7968EC"/>
  </w:style>
  <w:style w:type="table" w:customStyle="1" w:styleId="Tablaconcuadrcula91">
    <w:name w:val="Tabla con cuadrícula9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21">
    <w:name w:val="Tabla Fichero Parametrización21"/>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31">
    <w:name w:val="Tabla con cuadrícula131"/>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21">
    <w:name w:val="Lista clara22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21">
    <w:name w:val="Lista clara12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detablaclara132">
    <w:name w:val="Cuadrícula de tabla clara132"/>
    <w:basedOn w:val="Tablanormal"/>
    <w:uiPriority w:val="40"/>
    <w:rsid w:val="007968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231">
    <w:name w:val="Tabla con cuadrícula23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7968EC"/>
  </w:style>
  <w:style w:type="table" w:customStyle="1" w:styleId="Tablaconcuadrcula711">
    <w:name w:val="Tabla con cuadrícula7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11">
    <w:name w:val="Cuadrícula de tabla clara1111"/>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22">
    <w:name w:val="Sin lista1122"/>
    <w:next w:val="Sinlista"/>
    <w:uiPriority w:val="99"/>
    <w:semiHidden/>
    <w:unhideWhenUsed/>
    <w:rsid w:val="007968EC"/>
  </w:style>
  <w:style w:type="table" w:customStyle="1" w:styleId="Tablaconcuadrcula1211">
    <w:name w:val="Tabla con cuadrícula12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11">
    <w:name w:val="Tabla Fichero Parametrización111"/>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11">
    <w:name w:val="Tabla con cuadrícula11111"/>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11">
    <w:name w:val="Lista clara211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211">
    <w:name w:val="Tabla con cuadrícula22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7968EC"/>
  </w:style>
  <w:style w:type="table" w:customStyle="1" w:styleId="Tablaconcuadrcula3112">
    <w:name w:val="Tabla con cuadrícula3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11">
    <w:name w:val="Cuadrícula de tabla clara1211"/>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2">
    <w:name w:val="Sin lista11112"/>
    <w:next w:val="Sinlista"/>
    <w:uiPriority w:val="99"/>
    <w:semiHidden/>
    <w:unhideWhenUsed/>
    <w:rsid w:val="007968EC"/>
  </w:style>
  <w:style w:type="table" w:customStyle="1" w:styleId="Tablaconcuadrcula21111">
    <w:name w:val="Tabla con cuadrícula211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11">
    <w:name w:val="Cuadrícula de tabla clara211"/>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12">
    <w:name w:val="Cuadrícula de tabla clara312"/>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detablaclara42">
    <w:name w:val="Cuadrícula de tabla clara42"/>
    <w:basedOn w:val="Tablanormal"/>
    <w:next w:val="Tablaconcuadrculaclara"/>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812">
    <w:name w:val="Tabla con cuadrícula812"/>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
    <w:name w:val="Sin lista311"/>
    <w:next w:val="Sinlista"/>
    <w:uiPriority w:val="99"/>
    <w:semiHidden/>
    <w:unhideWhenUsed/>
    <w:rsid w:val="007968EC"/>
  </w:style>
  <w:style w:type="table" w:customStyle="1" w:styleId="Cuadrculadetablaclara1311">
    <w:name w:val="Cuadrícula de tabla clara1311"/>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211">
    <w:name w:val="Sin lista1211"/>
    <w:next w:val="Sinlista"/>
    <w:uiPriority w:val="99"/>
    <w:semiHidden/>
    <w:unhideWhenUsed/>
    <w:rsid w:val="007968EC"/>
  </w:style>
  <w:style w:type="numbering" w:customStyle="1" w:styleId="Sinlista11211">
    <w:name w:val="Sin lista11211"/>
    <w:next w:val="Sinlista"/>
    <w:uiPriority w:val="99"/>
    <w:semiHidden/>
    <w:unhideWhenUsed/>
    <w:rsid w:val="007968EC"/>
  </w:style>
  <w:style w:type="numbering" w:customStyle="1" w:styleId="Sinlista2111">
    <w:name w:val="Sin lista2111"/>
    <w:next w:val="Sinlista"/>
    <w:uiPriority w:val="99"/>
    <w:semiHidden/>
    <w:unhideWhenUsed/>
    <w:rsid w:val="007968EC"/>
  </w:style>
  <w:style w:type="numbering" w:customStyle="1" w:styleId="Sinlista11111111">
    <w:name w:val="Sin lista11111111"/>
    <w:next w:val="Sinlista"/>
    <w:uiPriority w:val="99"/>
    <w:semiHidden/>
    <w:unhideWhenUsed/>
    <w:rsid w:val="007968EC"/>
  </w:style>
  <w:style w:type="table" w:customStyle="1" w:styleId="Cuadrculadetablaclara3111">
    <w:name w:val="Cuadrícula de tabla clara3111"/>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411">
    <w:name w:val="Cuadrícula de tabla clara411"/>
    <w:basedOn w:val="Tablanormal"/>
    <w:next w:val="Tablaconcuadrculaclara"/>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1111">
    <w:name w:val="Tabla con cuadrícula31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
    <w:name w:val="Tabla con cuadrícula8111"/>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7968EC"/>
  </w:style>
  <w:style w:type="table" w:customStyle="1" w:styleId="Tablaconcuadrcula101">
    <w:name w:val="Tabla con cuadrícula10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1">
    <w:name w:val="Tabla con cuadrícula24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
    <w:name w:val="Sin lista131"/>
    <w:next w:val="Sinlista"/>
    <w:uiPriority w:val="99"/>
    <w:semiHidden/>
    <w:unhideWhenUsed/>
    <w:rsid w:val="007968EC"/>
  </w:style>
  <w:style w:type="numbering" w:customStyle="1" w:styleId="Sinlista1131">
    <w:name w:val="Sin lista1131"/>
    <w:next w:val="Sinlista"/>
    <w:uiPriority w:val="99"/>
    <w:semiHidden/>
    <w:unhideWhenUsed/>
    <w:rsid w:val="007968EC"/>
  </w:style>
  <w:style w:type="numbering" w:customStyle="1" w:styleId="Sinlista221">
    <w:name w:val="Sin lista221"/>
    <w:next w:val="Sinlista"/>
    <w:uiPriority w:val="99"/>
    <w:semiHidden/>
    <w:unhideWhenUsed/>
    <w:rsid w:val="007968EC"/>
  </w:style>
  <w:style w:type="numbering" w:customStyle="1" w:styleId="Sinlista11121">
    <w:name w:val="Sin lista11121"/>
    <w:next w:val="Sinlista"/>
    <w:uiPriority w:val="99"/>
    <w:semiHidden/>
    <w:unhideWhenUsed/>
    <w:rsid w:val="007968EC"/>
  </w:style>
  <w:style w:type="table" w:customStyle="1" w:styleId="Cuadrculadetablaclara51">
    <w:name w:val="Cuadrícula de tabla clara51"/>
    <w:basedOn w:val="Tablanormal"/>
    <w:next w:val="Tablaconcuadrculaclara"/>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321">
    <w:name w:val="Sin lista321"/>
    <w:next w:val="Sinlista"/>
    <w:uiPriority w:val="99"/>
    <w:semiHidden/>
    <w:unhideWhenUsed/>
    <w:rsid w:val="007968EC"/>
  </w:style>
  <w:style w:type="numbering" w:customStyle="1" w:styleId="Sinlista1221">
    <w:name w:val="Sin lista1221"/>
    <w:next w:val="Sinlista"/>
    <w:uiPriority w:val="99"/>
    <w:semiHidden/>
    <w:unhideWhenUsed/>
    <w:rsid w:val="007968EC"/>
  </w:style>
  <w:style w:type="numbering" w:customStyle="1" w:styleId="Sinlista11221">
    <w:name w:val="Sin lista11221"/>
    <w:next w:val="Sinlista"/>
    <w:uiPriority w:val="99"/>
    <w:semiHidden/>
    <w:unhideWhenUsed/>
    <w:rsid w:val="007968EC"/>
  </w:style>
  <w:style w:type="numbering" w:customStyle="1" w:styleId="Sinlista2121">
    <w:name w:val="Sin lista2121"/>
    <w:next w:val="Sinlista"/>
    <w:uiPriority w:val="99"/>
    <w:semiHidden/>
    <w:unhideWhenUsed/>
    <w:rsid w:val="007968EC"/>
  </w:style>
  <w:style w:type="numbering" w:customStyle="1" w:styleId="Sinlista111121">
    <w:name w:val="Sin lista111121"/>
    <w:next w:val="Sinlista"/>
    <w:uiPriority w:val="99"/>
    <w:semiHidden/>
    <w:unhideWhenUsed/>
    <w:rsid w:val="007968EC"/>
  </w:style>
  <w:style w:type="numbering" w:customStyle="1" w:styleId="Sinlista3111">
    <w:name w:val="Sin lista3111"/>
    <w:next w:val="Sinlista"/>
    <w:uiPriority w:val="99"/>
    <w:semiHidden/>
    <w:unhideWhenUsed/>
    <w:rsid w:val="007968EC"/>
  </w:style>
  <w:style w:type="numbering" w:customStyle="1" w:styleId="Sinlista12111">
    <w:name w:val="Sin lista12111"/>
    <w:next w:val="Sinlista"/>
    <w:uiPriority w:val="99"/>
    <w:semiHidden/>
    <w:unhideWhenUsed/>
    <w:rsid w:val="007968EC"/>
  </w:style>
  <w:style w:type="numbering" w:customStyle="1" w:styleId="Sinlista112111">
    <w:name w:val="Sin lista112111"/>
    <w:next w:val="Sinlista"/>
    <w:uiPriority w:val="99"/>
    <w:semiHidden/>
    <w:unhideWhenUsed/>
    <w:rsid w:val="007968EC"/>
  </w:style>
  <w:style w:type="numbering" w:customStyle="1" w:styleId="Sinlista21111">
    <w:name w:val="Sin lista21111"/>
    <w:next w:val="Sinlista"/>
    <w:uiPriority w:val="99"/>
    <w:semiHidden/>
    <w:unhideWhenUsed/>
    <w:rsid w:val="007968EC"/>
  </w:style>
  <w:style w:type="numbering" w:customStyle="1" w:styleId="Sinlista111111111">
    <w:name w:val="Sin lista111111111"/>
    <w:next w:val="Sinlista"/>
    <w:uiPriority w:val="99"/>
    <w:semiHidden/>
    <w:unhideWhenUsed/>
    <w:rsid w:val="007968EC"/>
  </w:style>
  <w:style w:type="table" w:customStyle="1" w:styleId="Tablaconcuadrcula15">
    <w:name w:val="Tabla con cuadrícula15"/>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7968EC"/>
  </w:style>
  <w:style w:type="numbering" w:customStyle="1" w:styleId="Sinlista14">
    <w:name w:val="Sin lista14"/>
    <w:next w:val="Sinlista"/>
    <w:uiPriority w:val="99"/>
    <w:semiHidden/>
    <w:unhideWhenUsed/>
    <w:rsid w:val="007968EC"/>
  </w:style>
  <w:style w:type="character" w:customStyle="1" w:styleId="PrrafodelistaCar">
    <w:name w:val="Párrafo de lista Car"/>
    <w:basedOn w:val="Fuentedeprrafopredeter"/>
    <w:link w:val="Prrafodelista"/>
    <w:uiPriority w:val="34"/>
    <w:rsid w:val="007968EC"/>
    <w:rPr>
      <w:rFonts w:ascii="Arial" w:eastAsia="Times New Roman" w:hAnsi="Arial" w:cs="Arial"/>
      <w:b/>
      <w:sz w:val="24"/>
      <w:szCs w:val="24"/>
      <w:lang w:eastAsia="es-CO"/>
    </w:rPr>
  </w:style>
  <w:style w:type="table" w:customStyle="1" w:styleId="Tablaconcuadrcula16">
    <w:name w:val="Tabla con cuadrícula16"/>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2">
    <w:name w:val="Tabla con cuadrícula8112"/>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4">
    <w:name w:val="Tabla Fichero Parametrización4"/>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paragraph" w:customStyle="1" w:styleId="TDC11">
    <w:name w:val="TDC 11"/>
    <w:basedOn w:val="Normal"/>
    <w:next w:val="Normal"/>
    <w:autoRedefine/>
    <w:uiPriority w:val="39"/>
    <w:rsid w:val="007968EC"/>
    <w:pPr>
      <w:tabs>
        <w:tab w:val="left" w:pos="1701"/>
        <w:tab w:val="left" w:pos="1843"/>
        <w:tab w:val="right" w:leader="dot" w:pos="9396"/>
      </w:tabs>
      <w:ind w:left="284"/>
      <w:jc w:val="center"/>
    </w:pPr>
    <w:rPr>
      <w:rFonts w:ascii="Arial Narrow" w:hAnsi="Arial Narrow" w:cs="Arial"/>
      <w:b/>
      <w:bCs/>
      <w:noProof/>
      <w:color w:val="000000"/>
      <w:sz w:val="20"/>
      <w:szCs w:val="20"/>
      <w:lang w:eastAsia="es-ES"/>
    </w:rPr>
  </w:style>
  <w:style w:type="table" w:customStyle="1" w:styleId="Tablaconcuadrcula114">
    <w:name w:val="Tabla con cuadrícula114"/>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4">
    <w:name w:val="Lista clara24"/>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4">
    <w:name w:val="Lista clara14"/>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detablaclara15">
    <w:name w:val="Cuadrícula de tabla clara15"/>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25">
    <w:name w:val="Tabla con cuadrícula25"/>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7968EC"/>
  </w:style>
  <w:style w:type="table" w:customStyle="1" w:styleId="Tablaconcuadrcula73">
    <w:name w:val="Tabla con cuadrícula7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3">
    <w:name w:val="Cuadrícula de tabla clara113"/>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3">
    <w:name w:val="Sin lista1113"/>
    <w:next w:val="Sinlista"/>
    <w:uiPriority w:val="99"/>
    <w:semiHidden/>
    <w:unhideWhenUsed/>
    <w:rsid w:val="007968EC"/>
  </w:style>
  <w:style w:type="table" w:customStyle="1" w:styleId="Tablaconcuadrcula123">
    <w:name w:val="Tabla con cuadrícula12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3">
    <w:name w:val="Tabla Fichero Parametrización13"/>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12">
    <w:name w:val="Tabla con cuadrícula11112"/>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3">
    <w:name w:val="Lista clara213"/>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3">
    <w:name w:val="Lista clara113"/>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23">
    <w:name w:val="Tabla con cuadrícula22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7968EC"/>
  </w:style>
  <w:style w:type="table" w:customStyle="1" w:styleId="Tablaconcuadrcula313">
    <w:name w:val="Tabla con cuadrícula3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3">
    <w:name w:val="Cuadrícula de tabla clara123"/>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3">
    <w:name w:val="Sin lista11113"/>
    <w:next w:val="Sinlista"/>
    <w:uiPriority w:val="99"/>
    <w:semiHidden/>
    <w:unhideWhenUsed/>
    <w:rsid w:val="007968EC"/>
  </w:style>
  <w:style w:type="table" w:customStyle="1" w:styleId="Tablaconcuadrcula2113">
    <w:name w:val="Tabla con cuadrícula211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3">
    <w:name w:val="Cuadrícula de tabla clara23"/>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3">
    <w:name w:val="Cuadrícula de tabla clara33"/>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tuloTDC1">
    <w:name w:val="Título TDC1"/>
    <w:basedOn w:val="Ttulo1"/>
    <w:next w:val="Normal"/>
    <w:uiPriority w:val="39"/>
    <w:unhideWhenUsed/>
    <w:rsid w:val="007968EC"/>
    <w:pPr>
      <w:keepLines/>
      <w:spacing w:after="0" w:line="259" w:lineRule="auto"/>
      <w:outlineLvl w:val="9"/>
    </w:pPr>
    <w:rPr>
      <w:rFonts w:ascii="Cambria" w:eastAsia="MS Gothic" w:hAnsi="Cambria" w:cs="Times New Roman"/>
      <w:bCs w:val="0"/>
      <w:color w:val="365F91"/>
      <w:kern w:val="0"/>
      <w:lang w:val="es-CO" w:eastAsia="es-CO"/>
    </w:rPr>
  </w:style>
  <w:style w:type="table" w:customStyle="1" w:styleId="Cuadrculadetablaclara43">
    <w:name w:val="Cuadrícula de tabla clara43"/>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Sinespaciado">
    <w:name w:val="No Spacing"/>
    <w:uiPriority w:val="99"/>
    <w:qFormat/>
    <w:rsid w:val="007968EC"/>
    <w:pPr>
      <w:spacing w:after="0" w:line="240" w:lineRule="auto"/>
    </w:pPr>
    <w:rPr>
      <w:rFonts w:ascii="Arial" w:eastAsia="Times New Roman" w:hAnsi="Arial" w:cs="Arial"/>
      <w:b/>
      <w:lang w:val="es-ES" w:eastAsia="es-ES"/>
    </w:rPr>
  </w:style>
  <w:style w:type="paragraph" w:customStyle="1" w:styleId="normalpost90">
    <w:name w:val="normalpost9"/>
    <w:basedOn w:val="Normal"/>
    <w:rsid w:val="007968EC"/>
    <w:pPr>
      <w:spacing w:after="180" w:line="240" w:lineRule="atLeast"/>
    </w:pPr>
    <w:rPr>
      <w:rFonts w:ascii="Arial" w:eastAsia="Calibri" w:hAnsi="Arial" w:cs="Arial"/>
      <w:sz w:val="20"/>
      <w:szCs w:val="20"/>
      <w:lang w:val="es-ES" w:eastAsia="es-ES"/>
    </w:rPr>
  </w:style>
  <w:style w:type="table" w:customStyle="1" w:styleId="Tablaconcuadrcula83">
    <w:name w:val="Tabla con cuadrícula83"/>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7968EC"/>
  </w:style>
  <w:style w:type="table" w:customStyle="1" w:styleId="Tablaconcuadrcula92">
    <w:name w:val="Tabla con cuadrícula9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22">
    <w:name w:val="Tabla Fichero Parametrización22"/>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32">
    <w:name w:val="Tabla con cuadrícula132"/>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22">
    <w:name w:val="Lista clara22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22">
    <w:name w:val="Lista clara12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detablaclara133">
    <w:name w:val="Cuadrícula de tabla clara133"/>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232">
    <w:name w:val="Tabla con cuadrícula23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
    <w:name w:val="Tabla con cuadrícula5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7968EC"/>
  </w:style>
  <w:style w:type="table" w:customStyle="1" w:styleId="Tablaconcuadrcula712">
    <w:name w:val="Tabla con cuadrícula7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12">
    <w:name w:val="Cuadrícula de tabla clara1112"/>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23">
    <w:name w:val="Sin lista1123"/>
    <w:next w:val="Sinlista"/>
    <w:uiPriority w:val="99"/>
    <w:semiHidden/>
    <w:unhideWhenUsed/>
    <w:rsid w:val="007968EC"/>
  </w:style>
  <w:style w:type="table" w:customStyle="1" w:styleId="Tablaconcuadrcula1212">
    <w:name w:val="Tabla con cuadrícula12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12">
    <w:name w:val="Tabla Fichero Parametrización112"/>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Listaclara2112">
    <w:name w:val="Lista clara211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2">
    <w:name w:val="Lista clara111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212">
    <w:name w:val="Tabla con cuadrícula22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7968EC"/>
  </w:style>
  <w:style w:type="table" w:customStyle="1" w:styleId="Tablaconcuadrcula3113">
    <w:name w:val="Tabla con cuadrícula31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12">
    <w:name w:val="Cuadrícula de tabla clara1212"/>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12">
    <w:name w:val="Sin lista111112"/>
    <w:next w:val="Sinlista"/>
    <w:uiPriority w:val="99"/>
    <w:semiHidden/>
    <w:unhideWhenUsed/>
    <w:rsid w:val="007968EC"/>
  </w:style>
  <w:style w:type="table" w:customStyle="1" w:styleId="Tablaconcuadrcula21112">
    <w:name w:val="Tabla con cuadrícula211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2">
    <w:name w:val="Tabla con cuadrícula4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2">
    <w:name w:val="Tabla con cuadrícula5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12">
    <w:name w:val="Cuadrícula de tabla clara212"/>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13">
    <w:name w:val="Cuadrícula de tabla clara313"/>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813">
    <w:name w:val="Tabla con cuadrícula813"/>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
    <w:name w:val="Sin lista312"/>
    <w:next w:val="Sinlista"/>
    <w:uiPriority w:val="99"/>
    <w:semiHidden/>
    <w:unhideWhenUsed/>
    <w:rsid w:val="007968EC"/>
  </w:style>
  <w:style w:type="table" w:customStyle="1" w:styleId="Cuadrculadetablaclara1312">
    <w:name w:val="Cuadrícula de tabla clara1312"/>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212">
    <w:name w:val="Sin lista1212"/>
    <w:next w:val="Sinlista"/>
    <w:uiPriority w:val="99"/>
    <w:semiHidden/>
    <w:unhideWhenUsed/>
    <w:rsid w:val="007968EC"/>
  </w:style>
  <w:style w:type="numbering" w:customStyle="1" w:styleId="Sinlista11212">
    <w:name w:val="Sin lista11212"/>
    <w:next w:val="Sinlista"/>
    <w:uiPriority w:val="99"/>
    <w:semiHidden/>
    <w:unhideWhenUsed/>
    <w:rsid w:val="007968EC"/>
  </w:style>
  <w:style w:type="numbering" w:customStyle="1" w:styleId="Sinlista2112">
    <w:name w:val="Sin lista2112"/>
    <w:next w:val="Sinlista"/>
    <w:uiPriority w:val="99"/>
    <w:semiHidden/>
    <w:unhideWhenUsed/>
    <w:rsid w:val="007968EC"/>
  </w:style>
  <w:style w:type="numbering" w:customStyle="1" w:styleId="Sinlista1111112">
    <w:name w:val="Sin lista1111112"/>
    <w:next w:val="Sinlista"/>
    <w:uiPriority w:val="99"/>
    <w:semiHidden/>
    <w:unhideWhenUsed/>
    <w:rsid w:val="007968EC"/>
  </w:style>
  <w:style w:type="table" w:customStyle="1" w:styleId="Cuadrculadetablaclara3112">
    <w:name w:val="Cuadrícula de tabla clara3112"/>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412">
    <w:name w:val="Cuadrícula de tabla clara412"/>
    <w:basedOn w:val="Tablanormal"/>
    <w:next w:val="Cuadrculadetablaclara4"/>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1112">
    <w:name w:val="Tabla con cuadrícula31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7968EC"/>
  </w:style>
  <w:style w:type="table" w:customStyle="1" w:styleId="Tablaconcuadrcula102">
    <w:name w:val="Tabla con cuadrícula102"/>
    <w:basedOn w:val="Tablanormal"/>
    <w:next w:val="Tablaconcuadrcula"/>
    <w:rsid w:val="00796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52">
    <w:name w:val="Cuadrícula de tabla clara52"/>
    <w:basedOn w:val="Tablanormal"/>
    <w:next w:val="Cuadrculadetablaclara4"/>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32">
    <w:name w:val="Sin lista132"/>
    <w:next w:val="Sinlista"/>
    <w:uiPriority w:val="99"/>
    <w:semiHidden/>
    <w:unhideWhenUsed/>
    <w:rsid w:val="007968EC"/>
  </w:style>
  <w:style w:type="table" w:customStyle="1" w:styleId="Tablaconcuadrcula142">
    <w:name w:val="Tabla con cuadrícula142"/>
    <w:basedOn w:val="Tablanormal"/>
    <w:next w:val="Tablaconcuadrcula"/>
    <w:uiPriority w:val="5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31">
    <w:name w:val="Tabla Fichero Parametrización31"/>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32">
    <w:name w:val="Tabla con cuadrícula1132"/>
    <w:basedOn w:val="Tablanormal"/>
    <w:next w:val="Tablaconcuadrcula"/>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31">
    <w:name w:val="Lista clara23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31">
    <w:name w:val="Lista clara13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2">
    <w:name w:val="Tabla con cuadrícula24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7968EC"/>
  </w:style>
  <w:style w:type="table" w:customStyle="1" w:styleId="Tablaconcuadrcula332">
    <w:name w:val="Tabla con cuadrícula332"/>
    <w:basedOn w:val="Tablanormal"/>
    <w:next w:val="Tablaconcuadrcula"/>
    <w:rsid w:val="00796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41">
    <w:name w:val="Cuadrícula de tabla clara141"/>
    <w:basedOn w:val="Tablanormal"/>
    <w:next w:val="Cuadrculadetablaclara4"/>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32">
    <w:name w:val="Sin lista1132"/>
    <w:next w:val="Sinlista"/>
    <w:uiPriority w:val="99"/>
    <w:semiHidden/>
    <w:unhideWhenUsed/>
    <w:rsid w:val="007968EC"/>
  </w:style>
  <w:style w:type="table" w:customStyle="1" w:styleId="Tablaconcuadrcula1221">
    <w:name w:val="Tabla con cuadrícula122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21">
    <w:name w:val="Tabla Fichero Parametrización121"/>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21">
    <w:name w:val="Tabla con cuadrícula11121"/>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21">
    <w:name w:val="Lista clara212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21">
    <w:name w:val="Lista clara112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131">
    <w:name w:val="Tabla con cuadrícula213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
    <w:name w:val="Tabla con cuadrícula7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21">
    <w:name w:val="Cuadrícula de tabla clara1121"/>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2221">
    <w:name w:val="Tabla con cuadrícula222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1">
    <w:name w:val="Tabla con cuadrícula31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21">
    <w:name w:val="Cuadrícula de tabla clara1221"/>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22">
    <w:name w:val="Sin lista11122"/>
    <w:next w:val="Sinlista"/>
    <w:uiPriority w:val="99"/>
    <w:semiHidden/>
    <w:unhideWhenUsed/>
    <w:rsid w:val="007968EC"/>
  </w:style>
  <w:style w:type="table" w:customStyle="1" w:styleId="Tablaconcuadrcula21121">
    <w:name w:val="Tabla con cuadrícula2112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
    <w:name w:val="Tabla con cuadrícula41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1">
    <w:name w:val="Tabla con cuadrícula51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21">
    <w:name w:val="Cuadrícula de tabla clara221"/>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21">
    <w:name w:val="Cuadrícula de tabla clara321"/>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821">
    <w:name w:val="Tabla con cuadrícula821"/>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968EC"/>
  </w:style>
  <w:style w:type="table" w:customStyle="1" w:styleId="Tablaconcuadrcula911">
    <w:name w:val="Tabla con cuadrícula9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211">
    <w:name w:val="Tabla Fichero Parametrización211"/>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311">
    <w:name w:val="Tabla con cuadrícula1311"/>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211">
    <w:name w:val="Lista clara221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211">
    <w:name w:val="Lista clara121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detablaclara1321">
    <w:name w:val="Cuadrícula de tabla clara1321"/>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2311">
    <w:name w:val="Tabla con cuadrícula23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1">
    <w:name w:val="Tabla con cuadrícula42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1">
    <w:name w:val="Tabla con cuadrícula52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
    <w:name w:val="Tabla con cuadrícula62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2">
    <w:name w:val="Sin lista1222"/>
    <w:next w:val="Sinlista"/>
    <w:uiPriority w:val="99"/>
    <w:semiHidden/>
    <w:unhideWhenUsed/>
    <w:rsid w:val="007968EC"/>
  </w:style>
  <w:style w:type="table" w:customStyle="1" w:styleId="Tablaconcuadrcula7111">
    <w:name w:val="Tabla con cuadrícula7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111">
    <w:name w:val="Cuadrícula de tabla clara11111"/>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222">
    <w:name w:val="Sin lista11222"/>
    <w:next w:val="Sinlista"/>
    <w:uiPriority w:val="99"/>
    <w:semiHidden/>
    <w:unhideWhenUsed/>
    <w:rsid w:val="007968EC"/>
  </w:style>
  <w:style w:type="table" w:customStyle="1" w:styleId="Tablaconcuadrcula12111">
    <w:name w:val="Tabla con cuadrícula121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111">
    <w:name w:val="Tabla Fichero Parametrización1111"/>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111">
    <w:name w:val="Tabla con cuadrícula111111"/>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111">
    <w:name w:val="Lista clara2111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1">
    <w:name w:val="Lista clara1111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2111">
    <w:name w:val="Tabla con cuadrícula221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2">
    <w:name w:val="Sin lista2122"/>
    <w:next w:val="Sinlista"/>
    <w:uiPriority w:val="99"/>
    <w:semiHidden/>
    <w:unhideWhenUsed/>
    <w:rsid w:val="007968EC"/>
  </w:style>
  <w:style w:type="table" w:customStyle="1" w:styleId="Tablaconcuadrcula31121">
    <w:name w:val="Tabla con cuadrícula311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111">
    <w:name w:val="Cuadrícula de tabla clara12111"/>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22">
    <w:name w:val="Sin lista111122"/>
    <w:next w:val="Sinlista"/>
    <w:uiPriority w:val="99"/>
    <w:semiHidden/>
    <w:unhideWhenUsed/>
    <w:rsid w:val="007968EC"/>
  </w:style>
  <w:style w:type="table" w:customStyle="1" w:styleId="Tablaconcuadrcula211111">
    <w:name w:val="Tabla con cuadrícula2111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1">
    <w:name w:val="Tabla con cuadrícula41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1">
    <w:name w:val="Tabla con cuadrícula51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1">
    <w:name w:val="Tabla con cuadrícula61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111">
    <w:name w:val="Cuadrícula de tabla clara2111"/>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121">
    <w:name w:val="Cuadrícula de tabla clara3121"/>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421">
    <w:name w:val="Cuadrícula de tabla clara421"/>
    <w:basedOn w:val="Tablanormal"/>
    <w:next w:val="Cuadrculadetablaclara4"/>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8121">
    <w:name w:val="Tabla con cuadrícula8121"/>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7968EC"/>
  </w:style>
  <w:style w:type="table" w:customStyle="1" w:styleId="Cuadrculadetablaclara13111">
    <w:name w:val="Cuadrícula de tabla clara13111"/>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2112">
    <w:name w:val="Sin lista12112"/>
    <w:next w:val="Sinlista"/>
    <w:uiPriority w:val="99"/>
    <w:semiHidden/>
    <w:unhideWhenUsed/>
    <w:rsid w:val="007968EC"/>
  </w:style>
  <w:style w:type="numbering" w:customStyle="1" w:styleId="Sinlista112112">
    <w:name w:val="Sin lista112112"/>
    <w:next w:val="Sinlista"/>
    <w:uiPriority w:val="99"/>
    <w:semiHidden/>
    <w:unhideWhenUsed/>
    <w:rsid w:val="007968EC"/>
  </w:style>
  <w:style w:type="numbering" w:customStyle="1" w:styleId="Sinlista21112">
    <w:name w:val="Sin lista21112"/>
    <w:next w:val="Sinlista"/>
    <w:uiPriority w:val="99"/>
    <w:semiHidden/>
    <w:unhideWhenUsed/>
    <w:rsid w:val="007968EC"/>
  </w:style>
  <w:style w:type="numbering" w:customStyle="1" w:styleId="Sinlista11111112">
    <w:name w:val="Sin lista11111112"/>
    <w:next w:val="Sinlista"/>
    <w:uiPriority w:val="99"/>
    <w:semiHidden/>
    <w:unhideWhenUsed/>
    <w:rsid w:val="007968EC"/>
  </w:style>
  <w:style w:type="table" w:customStyle="1" w:styleId="Cuadrculadetablaclara31111">
    <w:name w:val="Cuadrícula de tabla clara31111"/>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4111">
    <w:name w:val="Cuadrícula de tabla clara4111"/>
    <w:basedOn w:val="Tablanormal"/>
    <w:next w:val="Cuadrculadetablaclara4"/>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11111">
    <w:name w:val="Tabla con cuadrícula311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1">
    <w:name w:val="Tabla con cuadrícula81111"/>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7968EC"/>
  </w:style>
  <w:style w:type="table" w:customStyle="1" w:styleId="Tablaconcuadrcula1011">
    <w:name w:val="Tabla con cuadrícula10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11">
    <w:name w:val="Tabla con cuadrícula24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
    <w:name w:val="Sin lista1311"/>
    <w:next w:val="Sinlista"/>
    <w:uiPriority w:val="99"/>
    <w:semiHidden/>
    <w:unhideWhenUsed/>
    <w:rsid w:val="007968EC"/>
  </w:style>
  <w:style w:type="numbering" w:customStyle="1" w:styleId="Sinlista11311">
    <w:name w:val="Sin lista11311"/>
    <w:next w:val="Sinlista"/>
    <w:uiPriority w:val="99"/>
    <w:semiHidden/>
    <w:unhideWhenUsed/>
    <w:rsid w:val="007968EC"/>
  </w:style>
  <w:style w:type="numbering" w:customStyle="1" w:styleId="Sinlista2211">
    <w:name w:val="Sin lista2211"/>
    <w:next w:val="Sinlista"/>
    <w:uiPriority w:val="99"/>
    <w:semiHidden/>
    <w:unhideWhenUsed/>
    <w:rsid w:val="007968EC"/>
  </w:style>
  <w:style w:type="numbering" w:customStyle="1" w:styleId="Sinlista111211">
    <w:name w:val="Sin lista111211"/>
    <w:next w:val="Sinlista"/>
    <w:uiPriority w:val="99"/>
    <w:semiHidden/>
    <w:unhideWhenUsed/>
    <w:rsid w:val="007968EC"/>
  </w:style>
  <w:style w:type="table" w:customStyle="1" w:styleId="Cuadrculadetablaclara511">
    <w:name w:val="Cuadrícula de tabla clara511"/>
    <w:basedOn w:val="Tablanormal"/>
    <w:next w:val="Cuadrculadetablaclara4"/>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3211">
    <w:name w:val="Sin lista3211"/>
    <w:next w:val="Sinlista"/>
    <w:uiPriority w:val="99"/>
    <w:semiHidden/>
    <w:unhideWhenUsed/>
    <w:rsid w:val="007968EC"/>
  </w:style>
  <w:style w:type="numbering" w:customStyle="1" w:styleId="Sinlista12211">
    <w:name w:val="Sin lista12211"/>
    <w:next w:val="Sinlista"/>
    <w:uiPriority w:val="99"/>
    <w:semiHidden/>
    <w:unhideWhenUsed/>
    <w:rsid w:val="007968EC"/>
  </w:style>
  <w:style w:type="numbering" w:customStyle="1" w:styleId="Sinlista112211">
    <w:name w:val="Sin lista112211"/>
    <w:next w:val="Sinlista"/>
    <w:uiPriority w:val="99"/>
    <w:semiHidden/>
    <w:unhideWhenUsed/>
    <w:rsid w:val="007968EC"/>
  </w:style>
  <w:style w:type="numbering" w:customStyle="1" w:styleId="Sinlista21211">
    <w:name w:val="Sin lista21211"/>
    <w:next w:val="Sinlista"/>
    <w:uiPriority w:val="99"/>
    <w:semiHidden/>
    <w:unhideWhenUsed/>
    <w:rsid w:val="007968EC"/>
  </w:style>
  <w:style w:type="numbering" w:customStyle="1" w:styleId="Sinlista1111211">
    <w:name w:val="Sin lista1111211"/>
    <w:next w:val="Sinlista"/>
    <w:uiPriority w:val="99"/>
    <w:semiHidden/>
    <w:unhideWhenUsed/>
    <w:rsid w:val="007968EC"/>
  </w:style>
  <w:style w:type="numbering" w:customStyle="1" w:styleId="Sinlista31111">
    <w:name w:val="Sin lista31111"/>
    <w:next w:val="Sinlista"/>
    <w:uiPriority w:val="99"/>
    <w:semiHidden/>
    <w:unhideWhenUsed/>
    <w:rsid w:val="007968EC"/>
  </w:style>
  <w:style w:type="numbering" w:customStyle="1" w:styleId="Sinlista121111">
    <w:name w:val="Sin lista121111"/>
    <w:next w:val="Sinlista"/>
    <w:uiPriority w:val="99"/>
    <w:semiHidden/>
    <w:unhideWhenUsed/>
    <w:rsid w:val="007968EC"/>
  </w:style>
  <w:style w:type="numbering" w:customStyle="1" w:styleId="Sinlista1121111">
    <w:name w:val="Sin lista1121111"/>
    <w:next w:val="Sinlista"/>
    <w:uiPriority w:val="99"/>
    <w:semiHidden/>
    <w:unhideWhenUsed/>
    <w:rsid w:val="007968EC"/>
  </w:style>
  <w:style w:type="numbering" w:customStyle="1" w:styleId="Sinlista211111">
    <w:name w:val="Sin lista211111"/>
    <w:next w:val="Sinlista"/>
    <w:uiPriority w:val="99"/>
    <w:semiHidden/>
    <w:unhideWhenUsed/>
    <w:rsid w:val="007968EC"/>
  </w:style>
  <w:style w:type="numbering" w:customStyle="1" w:styleId="Sinlista1111111111">
    <w:name w:val="Sin lista1111111111"/>
    <w:next w:val="Sinlista"/>
    <w:uiPriority w:val="99"/>
    <w:semiHidden/>
    <w:unhideWhenUsed/>
    <w:rsid w:val="007968EC"/>
  </w:style>
  <w:style w:type="table" w:customStyle="1" w:styleId="Tablaconcuadrcula11131">
    <w:name w:val="Tabla con cuadrícula11131"/>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cionar">
    <w:name w:val="Mention"/>
    <w:basedOn w:val="Fuentedeprrafopredeter"/>
    <w:uiPriority w:val="99"/>
    <w:semiHidden/>
    <w:unhideWhenUsed/>
    <w:rsid w:val="007968EC"/>
    <w:rPr>
      <w:color w:val="2B579A"/>
      <w:shd w:val="clear" w:color="auto" w:fill="E6E6E6"/>
    </w:rPr>
  </w:style>
  <w:style w:type="paragraph" w:customStyle="1" w:styleId="TITULOSCIRCULAR">
    <w:name w:val="TITULOS CIRCULAR"/>
    <w:basedOn w:val="Normal"/>
    <w:link w:val="TITULOSCIRCULARCar"/>
    <w:rsid w:val="007968EC"/>
    <w:pPr>
      <w:keepNext/>
      <w:jc w:val="center"/>
      <w:outlineLvl w:val="0"/>
    </w:pPr>
    <w:rPr>
      <w:rFonts w:ascii="Arial Narrow" w:hAnsi="Arial Narrow" w:cs="Arial"/>
      <w:b/>
      <w:color w:val="000000" w:themeColor="text1"/>
      <w:kern w:val="32"/>
      <w:szCs w:val="20"/>
      <w:lang w:val="es-ES" w:eastAsia="es-ES"/>
    </w:rPr>
  </w:style>
  <w:style w:type="character" w:customStyle="1" w:styleId="TITULOSCIRCULARCar">
    <w:name w:val="TITULOS CIRCULAR Car"/>
    <w:basedOn w:val="Fuentedeprrafopredeter"/>
    <w:link w:val="TITULOSCIRCULAR"/>
    <w:rsid w:val="007968EC"/>
    <w:rPr>
      <w:rFonts w:ascii="Arial Narrow" w:eastAsia="Times New Roman" w:hAnsi="Arial Narrow" w:cs="Arial"/>
      <w:b/>
      <w:color w:val="000000" w:themeColor="text1"/>
      <w:kern w:val="32"/>
      <w:sz w:val="24"/>
      <w:szCs w:val="20"/>
      <w:lang w:val="es-ES" w:eastAsia="es-ES"/>
    </w:rPr>
  </w:style>
  <w:style w:type="character" w:customStyle="1" w:styleId="TDC1Car">
    <w:name w:val="TDC 1 Car"/>
    <w:basedOn w:val="TTULOCar0"/>
    <w:link w:val="TDC1"/>
    <w:uiPriority w:val="39"/>
    <w:rsid w:val="007968EC"/>
    <w:rPr>
      <w:rFonts w:ascii="Arial Narrow" w:eastAsia="Times New Roman" w:hAnsi="Arial Narrow" w:cs="Arial"/>
      <w:b/>
      <w:bCs/>
      <w:caps/>
      <w:sz w:val="20"/>
      <w:szCs w:val="20"/>
      <w:lang w:val="es-ES" w:eastAsia="es-ES"/>
    </w:rPr>
  </w:style>
  <w:style w:type="numbering" w:customStyle="1" w:styleId="Sinlista6">
    <w:name w:val="Sin lista6"/>
    <w:next w:val="Sinlista"/>
    <w:uiPriority w:val="99"/>
    <w:semiHidden/>
    <w:unhideWhenUsed/>
    <w:rsid w:val="007968EC"/>
  </w:style>
  <w:style w:type="numbering" w:customStyle="1" w:styleId="Sinlista15">
    <w:name w:val="Sin lista15"/>
    <w:next w:val="Sinlista"/>
    <w:uiPriority w:val="99"/>
    <w:semiHidden/>
    <w:unhideWhenUsed/>
    <w:rsid w:val="007968EC"/>
  </w:style>
  <w:style w:type="numbering" w:customStyle="1" w:styleId="Sinlista115">
    <w:name w:val="Sin lista115"/>
    <w:next w:val="Sinlista"/>
    <w:uiPriority w:val="99"/>
    <w:semiHidden/>
    <w:unhideWhenUsed/>
    <w:rsid w:val="007968EC"/>
  </w:style>
  <w:style w:type="numbering" w:customStyle="1" w:styleId="Sinlista1114">
    <w:name w:val="Sin lista1114"/>
    <w:next w:val="Sinlista"/>
    <w:uiPriority w:val="99"/>
    <w:semiHidden/>
    <w:unhideWhenUsed/>
    <w:rsid w:val="007968EC"/>
  </w:style>
  <w:style w:type="table" w:customStyle="1" w:styleId="Tablaconcuadrcula18">
    <w:name w:val="Tabla con cuadrícula18"/>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5">
    <w:name w:val="Tabla Fichero Parametrización5"/>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9">
    <w:name w:val="Tabla con cuadrícula19"/>
    <w:basedOn w:val="Tablanormal"/>
    <w:next w:val="Tablaconcuadrcula"/>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5">
    <w:name w:val="Lista clara25"/>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5">
    <w:name w:val="Lista clara15"/>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detablaclara16">
    <w:name w:val="Cuadrícula de tabla clara16"/>
    <w:basedOn w:val="Tablanormal"/>
    <w:uiPriority w:val="40"/>
    <w:rsid w:val="007968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26">
    <w:name w:val="Tabla con cuadrícula26"/>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7968EC"/>
  </w:style>
  <w:style w:type="table" w:customStyle="1" w:styleId="Tablaconcuadrcula74">
    <w:name w:val="Tabla con cuadrícula7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4">
    <w:name w:val="Cuadrícula de tabla clara114"/>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13">
    <w:name w:val="Sin lista111113"/>
    <w:next w:val="Sinlista"/>
    <w:uiPriority w:val="99"/>
    <w:semiHidden/>
    <w:unhideWhenUsed/>
    <w:rsid w:val="007968EC"/>
  </w:style>
  <w:style w:type="table" w:customStyle="1" w:styleId="Tablaconcuadrcula124">
    <w:name w:val="Tabla con cuadrícula124"/>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4">
    <w:name w:val="Tabla Fichero Parametrización14"/>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5">
    <w:name w:val="Tabla con cuadrícula1115"/>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4">
    <w:name w:val="Lista clara214"/>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4">
    <w:name w:val="Lista clara114"/>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24">
    <w:name w:val="Tabla con cuadrícula224"/>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7968EC"/>
  </w:style>
  <w:style w:type="table" w:customStyle="1" w:styleId="Tablaconcuadrcula314">
    <w:name w:val="Tabla con cuadrícula31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4">
    <w:name w:val="Cuadrícula de tabla clara124"/>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113">
    <w:name w:val="Sin lista1111113"/>
    <w:next w:val="Sinlista"/>
    <w:uiPriority w:val="99"/>
    <w:semiHidden/>
    <w:unhideWhenUsed/>
    <w:rsid w:val="007968EC"/>
  </w:style>
  <w:style w:type="table" w:customStyle="1" w:styleId="Tablaconcuadrcula2114">
    <w:name w:val="Tabla con cuadrícula2114"/>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4">
    <w:name w:val="Cuadrícula de tabla clara24"/>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4">
    <w:name w:val="Cuadrícula de tabla clara34"/>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detablaclara6">
    <w:name w:val="Cuadrícula de tabla clara6"/>
    <w:basedOn w:val="Tablanormal"/>
    <w:next w:val="Tablaconcuadrculaclara"/>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84">
    <w:name w:val="Tabla con cuadrícula84"/>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
    <w:name w:val="Sin lista34"/>
    <w:next w:val="Sinlista"/>
    <w:uiPriority w:val="99"/>
    <w:semiHidden/>
    <w:unhideWhenUsed/>
    <w:rsid w:val="007968EC"/>
  </w:style>
  <w:style w:type="table" w:customStyle="1" w:styleId="Tablaconcuadrcula93">
    <w:name w:val="Tabla con cuadrícula9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23">
    <w:name w:val="Tabla Fichero Parametrización23"/>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33">
    <w:name w:val="Tabla con cuadrícula133"/>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23">
    <w:name w:val="Lista clara223"/>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23">
    <w:name w:val="Lista clara123"/>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detablaclara134">
    <w:name w:val="Cuadrícula de tabla clara134"/>
    <w:basedOn w:val="Tablanormal"/>
    <w:uiPriority w:val="40"/>
    <w:rsid w:val="007968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233">
    <w:name w:val="Tabla con cuadrícula23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
    <w:name w:val="Tabla con cuadrícula32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
    <w:name w:val="Tabla con cuadrícula42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3">
    <w:name w:val="Tabla con cuadrícula212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3">
    <w:name w:val="Tabla con cuadrícula52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
    <w:name w:val="Tabla con cuadrícula62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7968EC"/>
  </w:style>
  <w:style w:type="table" w:customStyle="1" w:styleId="Tablaconcuadrcula713">
    <w:name w:val="Tabla con cuadrícula7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13">
    <w:name w:val="Cuadrícula de tabla clara1113"/>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24">
    <w:name w:val="Sin lista1124"/>
    <w:next w:val="Sinlista"/>
    <w:uiPriority w:val="99"/>
    <w:semiHidden/>
    <w:unhideWhenUsed/>
    <w:rsid w:val="007968EC"/>
  </w:style>
  <w:style w:type="table" w:customStyle="1" w:styleId="Tablaconcuadrcula1213">
    <w:name w:val="Tabla con cuadrícula121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13">
    <w:name w:val="Tabla Fichero Parametrización113"/>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13">
    <w:name w:val="Tabla con cuadrícula11113"/>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13">
    <w:name w:val="Lista clara2113"/>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3">
    <w:name w:val="Lista clara1113"/>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213">
    <w:name w:val="Tabla con cuadrícula221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4">
    <w:name w:val="Sin lista214"/>
    <w:next w:val="Sinlista"/>
    <w:uiPriority w:val="99"/>
    <w:semiHidden/>
    <w:unhideWhenUsed/>
    <w:rsid w:val="007968EC"/>
  </w:style>
  <w:style w:type="table" w:customStyle="1" w:styleId="Tablaconcuadrcula3114">
    <w:name w:val="Tabla con cuadrícula311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13">
    <w:name w:val="Cuadrícula de tabla clara1213"/>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1113">
    <w:name w:val="Sin lista11111113"/>
    <w:next w:val="Sinlista"/>
    <w:uiPriority w:val="99"/>
    <w:semiHidden/>
    <w:unhideWhenUsed/>
    <w:rsid w:val="007968EC"/>
  </w:style>
  <w:style w:type="table" w:customStyle="1" w:styleId="Tablaconcuadrcula21113">
    <w:name w:val="Tabla con cuadrícula2111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3">
    <w:name w:val="Tabla con cuadrícula41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3">
    <w:name w:val="Tabla con cuadrícula51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3">
    <w:name w:val="Tabla con cuadrícula61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13">
    <w:name w:val="Cuadrícula de tabla clara213"/>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14">
    <w:name w:val="Cuadrícula de tabla clara314"/>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detablaclara44">
    <w:name w:val="Cuadrícula de tabla clara44"/>
    <w:basedOn w:val="Tablanormal"/>
    <w:next w:val="Tablaconcuadrculaclara"/>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814">
    <w:name w:val="Tabla con cuadrícula814"/>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
    <w:name w:val="Sin lista313"/>
    <w:next w:val="Sinlista"/>
    <w:uiPriority w:val="99"/>
    <w:semiHidden/>
    <w:unhideWhenUsed/>
    <w:rsid w:val="007968EC"/>
  </w:style>
  <w:style w:type="table" w:customStyle="1" w:styleId="Cuadrculadetablaclara1313">
    <w:name w:val="Cuadrícula de tabla clara1313"/>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213">
    <w:name w:val="Sin lista1213"/>
    <w:next w:val="Sinlista"/>
    <w:uiPriority w:val="99"/>
    <w:semiHidden/>
    <w:unhideWhenUsed/>
    <w:rsid w:val="007968EC"/>
  </w:style>
  <w:style w:type="numbering" w:customStyle="1" w:styleId="Sinlista11213">
    <w:name w:val="Sin lista11213"/>
    <w:next w:val="Sinlista"/>
    <w:uiPriority w:val="99"/>
    <w:semiHidden/>
    <w:unhideWhenUsed/>
    <w:rsid w:val="007968EC"/>
  </w:style>
  <w:style w:type="numbering" w:customStyle="1" w:styleId="Sinlista2113">
    <w:name w:val="Sin lista2113"/>
    <w:next w:val="Sinlista"/>
    <w:uiPriority w:val="99"/>
    <w:semiHidden/>
    <w:unhideWhenUsed/>
    <w:rsid w:val="007968EC"/>
  </w:style>
  <w:style w:type="numbering" w:customStyle="1" w:styleId="Sinlista111111112">
    <w:name w:val="Sin lista111111112"/>
    <w:next w:val="Sinlista"/>
    <w:uiPriority w:val="99"/>
    <w:semiHidden/>
    <w:unhideWhenUsed/>
    <w:rsid w:val="007968EC"/>
  </w:style>
  <w:style w:type="table" w:customStyle="1" w:styleId="Cuadrculadetablaclara3113">
    <w:name w:val="Cuadrícula de tabla clara3113"/>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413">
    <w:name w:val="Cuadrícula de tabla clara413"/>
    <w:basedOn w:val="Tablanormal"/>
    <w:next w:val="Tablaconcuadrculaclara"/>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1113">
    <w:name w:val="Tabla con cuadrícula311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3">
    <w:name w:val="Tabla con cuadrícula8113"/>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7968EC"/>
  </w:style>
  <w:style w:type="table" w:customStyle="1" w:styleId="Tablaconcuadrcula103">
    <w:name w:val="Tabla con cuadrícula103"/>
    <w:basedOn w:val="Tablanormal"/>
    <w:next w:val="Tablaconcuadrcula"/>
    <w:rsid w:val="00796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53">
    <w:name w:val="Cuadrícula de tabla clara53"/>
    <w:basedOn w:val="Tablanormal"/>
    <w:next w:val="Tablaconcuadrculaclara"/>
    <w:uiPriority w:val="40"/>
    <w:rsid w:val="007968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133">
    <w:name w:val="Sin lista133"/>
    <w:next w:val="Sinlista"/>
    <w:uiPriority w:val="99"/>
    <w:semiHidden/>
    <w:unhideWhenUsed/>
    <w:rsid w:val="007968EC"/>
  </w:style>
  <w:style w:type="table" w:customStyle="1" w:styleId="Tablaconcuadrcula143">
    <w:name w:val="Tabla con cuadrícula143"/>
    <w:basedOn w:val="Tablanormal"/>
    <w:next w:val="Tablaconcuadrcula"/>
    <w:uiPriority w:val="5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32">
    <w:name w:val="Tabla Fichero Parametrización32"/>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33">
    <w:name w:val="Tabla con cuadrícula1133"/>
    <w:basedOn w:val="Tablanormal"/>
    <w:next w:val="Tablaconcuadrcula"/>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32">
    <w:name w:val="Lista clara23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32">
    <w:name w:val="Lista clara13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3">
    <w:name w:val="Tabla con cuadrícula24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3">
    <w:name w:val="Sin lista223"/>
    <w:next w:val="Sinlista"/>
    <w:uiPriority w:val="99"/>
    <w:semiHidden/>
    <w:unhideWhenUsed/>
    <w:rsid w:val="007968EC"/>
  </w:style>
  <w:style w:type="table" w:customStyle="1" w:styleId="Tablaconcuadrcula333">
    <w:name w:val="Tabla con cuadrícula333"/>
    <w:basedOn w:val="Tablanormal"/>
    <w:next w:val="Tablaconcuadrcula"/>
    <w:rsid w:val="00796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42">
    <w:name w:val="Cuadrícula de tabla clara142"/>
    <w:basedOn w:val="Tablanormal"/>
    <w:next w:val="Tablaconcuadrculaclara"/>
    <w:uiPriority w:val="40"/>
    <w:rsid w:val="007968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1133">
    <w:name w:val="Sin lista1133"/>
    <w:next w:val="Sinlista"/>
    <w:uiPriority w:val="99"/>
    <w:semiHidden/>
    <w:unhideWhenUsed/>
    <w:rsid w:val="007968EC"/>
  </w:style>
  <w:style w:type="table" w:customStyle="1" w:styleId="Tablaconcuadrcula1222">
    <w:name w:val="Tabla con cuadrícula122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22">
    <w:name w:val="Tabla Fichero Parametrización122"/>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22">
    <w:name w:val="Tabla con cuadrícula11122"/>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22">
    <w:name w:val="Lista clara212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22">
    <w:name w:val="Lista clara112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132">
    <w:name w:val="Tabla con cuadrícula213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
    <w:name w:val="Tabla con cuadrícula43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
    <w:name w:val="Tabla con cuadrícula53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
    <w:name w:val="Tabla con cuadrícula63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
    <w:name w:val="Tabla con cuadrícula7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22">
    <w:name w:val="Cuadrícula de tabla clara1122"/>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2222">
    <w:name w:val="Tabla con cuadrícula222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2">
    <w:name w:val="Tabla con cuadrícula31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22">
    <w:name w:val="Cuadrícula de tabla clara1222"/>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23">
    <w:name w:val="Sin lista11123"/>
    <w:next w:val="Sinlista"/>
    <w:uiPriority w:val="99"/>
    <w:semiHidden/>
    <w:unhideWhenUsed/>
    <w:rsid w:val="007968EC"/>
  </w:style>
  <w:style w:type="table" w:customStyle="1" w:styleId="Tablaconcuadrcula21122">
    <w:name w:val="Tabla con cuadrícula2112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2">
    <w:name w:val="Tabla con cuadrícula41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2">
    <w:name w:val="Tabla con cuadrícula51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2">
    <w:name w:val="Tabla con cuadrícula61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22">
    <w:name w:val="Cuadrícula de tabla clara222"/>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22">
    <w:name w:val="Cuadrícula de tabla clara322"/>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822">
    <w:name w:val="Tabla con cuadrícula822"/>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3">
    <w:name w:val="Sin lista323"/>
    <w:next w:val="Sinlista"/>
    <w:uiPriority w:val="99"/>
    <w:semiHidden/>
    <w:unhideWhenUsed/>
    <w:rsid w:val="007968EC"/>
  </w:style>
  <w:style w:type="table" w:customStyle="1" w:styleId="Tablaconcuadrcula912">
    <w:name w:val="Tabla con cuadrícula9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212">
    <w:name w:val="Tabla Fichero Parametrización212"/>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312">
    <w:name w:val="Tabla con cuadrícula1312"/>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212">
    <w:name w:val="Lista clara221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212">
    <w:name w:val="Lista clara121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detablaclara1322">
    <w:name w:val="Cuadrícula de tabla clara1322"/>
    <w:basedOn w:val="Tablanormal"/>
    <w:uiPriority w:val="40"/>
    <w:rsid w:val="007968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2312">
    <w:name w:val="Tabla con cuadrícula23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2">
    <w:name w:val="Tabla con cuadrícula32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2">
    <w:name w:val="Tabla con cuadrícula42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2">
    <w:name w:val="Tabla con cuadrícula212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2">
    <w:name w:val="Tabla con cuadrícula52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2">
    <w:name w:val="Tabla con cuadrícula62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3">
    <w:name w:val="Sin lista1223"/>
    <w:next w:val="Sinlista"/>
    <w:uiPriority w:val="99"/>
    <w:semiHidden/>
    <w:unhideWhenUsed/>
    <w:rsid w:val="007968EC"/>
  </w:style>
  <w:style w:type="table" w:customStyle="1" w:styleId="Tablaconcuadrcula7112">
    <w:name w:val="Tabla con cuadrícula7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112">
    <w:name w:val="Cuadrícula de tabla clara11112"/>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223">
    <w:name w:val="Sin lista11223"/>
    <w:next w:val="Sinlista"/>
    <w:uiPriority w:val="99"/>
    <w:semiHidden/>
    <w:unhideWhenUsed/>
    <w:rsid w:val="007968EC"/>
  </w:style>
  <w:style w:type="table" w:customStyle="1" w:styleId="Tablaconcuadrcula12112">
    <w:name w:val="Tabla con cuadrícula121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112">
    <w:name w:val="Tabla Fichero Parametrización1112"/>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112">
    <w:name w:val="Tabla con cuadrícula111112"/>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112">
    <w:name w:val="Lista clara2111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2">
    <w:name w:val="Lista clara1111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2112">
    <w:name w:val="Tabla con cuadrícula221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3">
    <w:name w:val="Sin lista2123"/>
    <w:next w:val="Sinlista"/>
    <w:uiPriority w:val="99"/>
    <w:semiHidden/>
    <w:unhideWhenUsed/>
    <w:rsid w:val="007968EC"/>
  </w:style>
  <w:style w:type="table" w:customStyle="1" w:styleId="Tablaconcuadrcula31122">
    <w:name w:val="Tabla con cuadrícula311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112">
    <w:name w:val="Cuadrícula de tabla clara12112"/>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23">
    <w:name w:val="Sin lista111123"/>
    <w:next w:val="Sinlista"/>
    <w:uiPriority w:val="99"/>
    <w:semiHidden/>
    <w:unhideWhenUsed/>
    <w:rsid w:val="007968EC"/>
  </w:style>
  <w:style w:type="table" w:customStyle="1" w:styleId="Tablaconcuadrcula211112">
    <w:name w:val="Tabla con cuadrícula2111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2">
    <w:name w:val="Tabla con cuadrícula41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2">
    <w:name w:val="Tabla con cuadrícula51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2">
    <w:name w:val="Tabla con cuadrícula61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112">
    <w:name w:val="Cuadrícula de tabla clara2112"/>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122">
    <w:name w:val="Cuadrícula de tabla clara3122"/>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detablaclara422">
    <w:name w:val="Cuadrícula de tabla clara422"/>
    <w:basedOn w:val="Tablanormal"/>
    <w:next w:val="Tablaconcuadrculaclara"/>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8122">
    <w:name w:val="Tabla con cuadrícula8122"/>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7968EC"/>
  </w:style>
  <w:style w:type="table" w:customStyle="1" w:styleId="Cuadrculadetablaclara13112">
    <w:name w:val="Cuadrícula de tabla clara13112"/>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2113">
    <w:name w:val="Sin lista12113"/>
    <w:next w:val="Sinlista"/>
    <w:uiPriority w:val="99"/>
    <w:semiHidden/>
    <w:unhideWhenUsed/>
    <w:rsid w:val="007968EC"/>
  </w:style>
  <w:style w:type="numbering" w:customStyle="1" w:styleId="Sinlista112113">
    <w:name w:val="Sin lista112113"/>
    <w:next w:val="Sinlista"/>
    <w:uiPriority w:val="99"/>
    <w:semiHidden/>
    <w:unhideWhenUsed/>
    <w:rsid w:val="007968EC"/>
  </w:style>
  <w:style w:type="numbering" w:customStyle="1" w:styleId="Sinlista21113">
    <w:name w:val="Sin lista21113"/>
    <w:next w:val="Sinlista"/>
    <w:uiPriority w:val="99"/>
    <w:semiHidden/>
    <w:unhideWhenUsed/>
    <w:rsid w:val="007968EC"/>
  </w:style>
  <w:style w:type="numbering" w:customStyle="1" w:styleId="Sinlista1111111112">
    <w:name w:val="Sin lista1111111112"/>
    <w:next w:val="Sinlista"/>
    <w:uiPriority w:val="99"/>
    <w:semiHidden/>
    <w:unhideWhenUsed/>
    <w:rsid w:val="007968EC"/>
  </w:style>
  <w:style w:type="table" w:customStyle="1" w:styleId="Cuadrculadetablaclara31112">
    <w:name w:val="Cuadrícula de tabla clara31112"/>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4112">
    <w:name w:val="Cuadrícula de tabla clara4112"/>
    <w:basedOn w:val="Tablanormal"/>
    <w:next w:val="Tablaconcuadrculaclara"/>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11112">
    <w:name w:val="Tabla con cuadrícula311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2">
    <w:name w:val="Tabla con cuadrícula81112"/>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7968EC"/>
  </w:style>
  <w:style w:type="table" w:customStyle="1" w:styleId="Tablaconcuadrcula1012">
    <w:name w:val="Tabla con cuadrícula10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12">
    <w:name w:val="Tabla con cuadrícula24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2">
    <w:name w:val="Tabla con cuadrícula33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2">
    <w:name w:val="Tabla con cuadrícula113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7968EC"/>
  </w:style>
  <w:style w:type="numbering" w:customStyle="1" w:styleId="Sinlista11312">
    <w:name w:val="Sin lista11312"/>
    <w:next w:val="Sinlista"/>
    <w:uiPriority w:val="99"/>
    <w:semiHidden/>
    <w:unhideWhenUsed/>
    <w:rsid w:val="007968EC"/>
  </w:style>
  <w:style w:type="numbering" w:customStyle="1" w:styleId="Sinlista2212">
    <w:name w:val="Sin lista2212"/>
    <w:next w:val="Sinlista"/>
    <w:uiPriority w:val="99"/>
    <w:semiHidden/>
    <w:unhideWhenUsed/>
    <w:rsid w:val="007968EC"/>
  </w:style>
  <w:style w:type="numbering" w:customStyle="1" w:styleId="Sinlista111212">
    <w:name w:val="Sin lista111212"/>
    <w:next w:val="Sinlista"/>
    <w:uiPriority w:val="99"/>
    <w:semiHidden/>
    <w:unhideWhenUsed/>
    <w:rsid w:val="007968EC"/>
  </w:style>
  <w:style w:type="table" w:customStyle="1" w:styleId="Cuadrculadetablaclara512">
    <w:name w:val="Cuadrícula de tabla clara512"/>
    <w:basedOn w:val="Tablanormal"/>
    <w:next w:val="Tablaconcuadrculaclara"/>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3212">
    <w:name w:val="Sin lista3212"/>
    <w:next w:val="Sinlista"/>
    <w:uiPriority w:val="99"/>
    <w:semiHidden/>
    <w:unhideWhenUsed/>
    <w:rsid w:val="007968EC"/>
  </w:style>
  <w:style w:type="numbering" w:customStyle="1" w:styleId="Sinlista12212">
    <w:name w:val="Sin lista12212"/>
    <w:next w:val="Sinlista"/>
    <w:uiPriority w:val="99"/>
    <w:semiHidden/>
    <w:unhideWhenUsed/>
    <w:rsid w:val="007968EC"/>
  </w:style>
  <w:style w:type="numbering" w:customStyle="1" w:styleId="Sinlista112212">
    <w:name w:val="Sin lista112212"/>
    <w:next w:val="Sinlista"/>
    <w:uiPriority w:val="99"/>
    <w:semiHidden/>
    <w:unhideWhenUsed/>
    <w:rsid w:val="007968EC"/>
  </w:style>
  <w:style w:type="numbering" w:customStyle="1" w:styleId="Sinlista21212">
    <w:name w:val="Sin lista21212"/>
    <w:next w:val="Sinlista"/>
    <w:uiPriority w:val="99"/>
    <w:semiHidden/>
    <w:unhideWhenUsed/>
    <w:rsid w:val="007968EC"/>
  </w:style>
  <w:style w:type="numbering" w:customStyle="1" w:styleId="Sinlista1111212">
    <w:name w:val="Sin lista1111212"/>
    <w:next w:val="Sinlista"/>
    <w:uiPriority w:val="99"/>
    <w:semiHidden/>
    <w:unhideWhenUsed/>
    <w:rsid w:val="007968EC"/>
  </w:style>
  <w:style w:type="numbering" w:customStyle="1" w:styleId="Sinlista31112">
    <w:name w:val="Sin lista31112"/>
    <w:next w:val="Sinlista"/>
    <w:uiPriority w:val="99"/>
    <w:semiHidden/>
    <w:unhideWhenUsed/>
    <w:rsid w:val="007968EC"/>
  </w:style>
  <w:style w:type="numbering" w:customStyle="1" w:styleId="Sinlista121112">
    <w:name w:val="Sin lista121112"/>
    <w:next w:val="Sinlista"/>
    <w:uiPriority w:val="99"/>
    <w:semiHidden/>
    <w:unhideWhenUsed/>
    <w:rsid w:val="007968EC"/>
  </w:style>
  <w:style w:type="numbering" w:customStyle="1" w:styleId="Sinlista1121112">
    <w:name w:val="Sin lista1121112"/>
    <w:next w:val="Sinlista"/>
    <w:uiPriority w:val="99"/>
    <w:semiHidden/>
    <w:unhideWhenUsed/>
    <w:rsid w:val="007968EC"/>
  </w:style>
  <w:style w:type="numbering" w:customStyle="1" w:styleId="Sinlista211112">
    <w:name w:val="Sin lista211112"/>
    <w:next w:val="Sinlista"/>
    <w:uiPriority w:val="99"/>
    <w:semiHidden/>
    <w:unhideWhenUsed/>
    <w:rsid w:val="007968EC"/>
  </w:style>
  <w:style w:type="numbering" w:customStyle="1" w:styleId="Sinlista11111111111">
    <w:name w:val="Sin lista11111111111"/>
    <w:next w:val="Sinlista"/>
    <w:uiPriority w:val="99"/>
    <w:semiHidden/>
    <w:unhideWhenUsed/>
    <w:rsid w:val="007968EC"/>
  </w:style>
  <w:style w:type="table" w:customStyle="1" w:styleId="Tablaconcuadrcula151">
    <w:name w:val="Tabla con cuadrícula151"/>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1">
    <w:name w:val="Tabla con cuadrícula214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2">
    <w:name w:val="Tabla con cuadrícula11132"/>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1">
    <w:name w:val="Sin lista51"/>
    <w:next w:val="Sinlista"/>
    <w:uiPriority w:val="99"/>
    <w:semiHidden/>
    <w:unhideWhenUsed/>
    <w:rsid w:val="007968EC"/>
  </w:style>
  <w:style w:type="numbering" w:customStyle="1" w:styleId="Sinlista141">
    <w:name w:val="Sin lista141"/>
    <w:next w:val="Sinlista"/>
    <w:uiPriority w:val="99"/>
    <w:semiHidden/>
    <w:unhideWhenUsed/>
    <w:rsid w:val="007968EC"/>
  </w:style>
  <w:style w:type="table" w:customStyle="1" w:styleId="Tablaconcuadrcula161">
    <w:name w:val="Tabla con cuadrícula161"/>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1">
    <w:name w:val="Tabla con cuadrícula215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21">
    <w:name w:val="Tabla con cuadrícula81121"/>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41">
    <w:name w:val="Tabla Fichero Parametrización41"/>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41">
    <w:name w:val="Tabla con cuadrícula1141"/>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41">
    <w:name w:val="Lista clara24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41">
    <w:name w:val="Lista clara14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detablaclara151">
    <w:name w:val="Cuadrícula de tabla clara151"/>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251">
    <w:name w:val="Tabla con cuadrícula25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
    <w:name w:val="Tabla con cuadrícula54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1">
    <w:name w:val="Tabla con cuadrícula1114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
    <w:name w:val="Sin lista1141"/>
    <w:next w:val="Sinlista"/>
    <w:uiPriority w:val="99"/>
    <w:semiHidden/>
    <w:unhideWhenUsed/>
    <w:rsid w:val="007968EC"/>
  </w:style>
  <w:style w:type="table" w:customStyle="1" w:styleId="Tablaconcuadrcula731">
    <w:name w:val="Tabla con cuadrícula73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31">
    <w:name w:val="Cuadrícula de tabla clara1131"/>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31">
    <w:name w:val="Sin lista11131"/>
    <w:next w:val="Sinlista"/>
    <w:uiPriority w:val="99"/>
    <w:semiHidden/>
    <w:unhideWhenUsed/>
    <w:rsid w:val="007968EC"/>
  </w:style>
  <w:style w:type="table" w:customStyle="1" w:styleId="Tablaconcuadrcula1231">
    <w:name w:val="Tabla con cuadrícula123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31">
    <w:name w:val="Tabla Fichero Parametrización131"/>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121">
    <w:name w:val="Tabla con cuadrícula111121"/>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31">
    <w:name w:val="Lista clara213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31">
    <w:name w:val="Lista clara113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231">
    <w:name w:val="Tabla con cuadrícula223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1">
    <w:name w:val="Sin lista231"/>
    <w:next w:val="Sinlista"/>
    <w:uiPriority w:val="99"/>
    <w:semiHidden/>
    <w:unhideWhenUsed/>
    <w:rsid w:val="007968EC"/>
  </w:style>
  <w:style w:type="table" w:customStyle="1" w:styleId="Tablaconcuadrcula3131">
    <w:name w:val="Tabla con cuadrícula313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31">
    <w:name w:val="Cuadrícula de tabla clara1231"/>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31">
    <w:name w:val="Sin lista111131"/>
    <w:next w:val="Sinlista"/>
    <w:uiPriority w:val="99"/>
    <w:semiHidden/>
    <w:unhideWhenUsed/>
    <w:rsid w:val="007968EC"/>
  </w:style>
  <w:style w:type="table" w:customStyle="1" w:styleId="Tablaconcuadrcula21131">
    <w:name w:val="Tabla con cuadrícula2113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1">
    <w:name w:val="Tabla con cuadrícula413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
    <w:name w:val="Tabla con cuadrícula513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1">
    <w:name w:val="Tabla con cuadrícula613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31">
    <w:name w:val="Cuadrícula de tabla clara231"/>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31">
    <w:name w:val="Cuadrícula de tabla clara331"/>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431">
    <w:name w:val="Cuadrícula de tabla clara431"/>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831">
    <w:name w:val="Tabla con cuadrícula831"/>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
    <w:name w:val="Sin lista331"/>
    <w:next w:val="Sinlista"/>
    <w:uiPriority w:val="99"/>
    <w:semiHidden/>
    <w:unhideWhenUsed/>
    <w:rsid w:val="007968EC"/>
  </w:style>
  <w:style w:type="table" w:customStyle="1" w:styleId="Tablaconcuadrcula921">
    <w:name w:val="Tabla con cuadrícula92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221">
    <w:name w:val="Tabla Fichero Parametrización221"/>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321">
    <w:name w:val="Tabla con cuadrícula1321"/>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221">
    <w:name w:val="Lista clara222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221">
    <w:name w:val="Lista clara122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detablaclara1331">
    <w:name w:val="Cuadrícula de tabla clara1331"/>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2321">
    <w:name w:val="Tabla con cuadrícula23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1">
    <w:name w:val="Tabla con cuadrícula32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1">
    <w:name w:val="Tabla con cuadrícula42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1">
    <w:name w:val="Tabla con cuadrícula2122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1">
    <w:name w:val="Tabla con cuadrícula52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1">
    <w:name w:val="Tabla con cuadrícula62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
    <w:name w:val="Sin lista1231"/>
    <w:next w:val="Sinlista"/>
    <w:uiPriority w:val="99"/>
    <w:semiHidden/>
    <w:unhideWhenUsed/>
    <w:rsid w:val="007968EC"/>
  </w:style>
  <w:style w:type="table" w:customStyle="1" w:styleId="Tablaconcuadrcula7121">
    <w:name w:val="Tabla con cuadrícula71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121">
    <w:name w:val="Cuadrícula de tabla clara11121"/>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231">
    <w:name w:val="Sin lista11231"/>
    <w:next w:val="Sinlista"/>
    <w:uiPriority w:val="99"/>
    <w:semiHidden/>
    <w:unhideWhenUsed/>
    <w:rsid w:val="007968EC"/>
  </w:style>
  <w:style w:type="table" w:customStyle="1" w:styleId="Tablaconcuadrcula12121">
    <w:name w:val="Tabla con cuadrícula1212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121">
    <w:name w:val="Tabla Fichero Parametrización1121"/>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Listaclara21121">
    <w:name w:val="Lista clara2112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21">
    <w:name w:val="Lista clara1112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2121">
    <w:name w:val="Tabla con cuadrícula2212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1">
    <w:name w:val="Sin lista2131"/>
    <w:next w:val="Sinlista"/>
    <w:uiPriority w:val="99"/>
    <w:semiHidden/>
    <w:unhideWhenUsed/>
    <w:rsid w:val="007968EC"/>
  </w:style>
  <w:style w:type="table" w:customStyle="1" w:styleId="Tablaconcuadrcula31131">
    <w:name w:val="Tabla con cuadrícula3113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121">
    <w:name w:val="Cuadrícula de tabla clara12121"/>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121">
    <w:name w:val="Sin lista1111121"/>
    <w:next w:val="Sinlista"/>
    <w:uiPriority w:val="99"/>
    <w:semiHidden/>
    <w:unhideWhenUsed/>
    <w:rsid w:val="007968EC"/>
  </w:style>
  <w:style w:type="table" w:customStyle="1" w:styleId="Tablaconcuadrcula211121">
    <w:name w:val="Tabla con cuadrícula21112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21">
    <w:name w:val="Tabla con cuadrícula411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21">
    <w:name w:val="Tabla con cuadrícula511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1">
    <w:name w:val="Tabla con cuadrícula611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121">
    <w:name w:val="Cuadrícula de tabla clara2121"/>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131">
    <w:name w:val="Cuadrícula de tabla clara3131"/>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8131">
    <w:name w:val="Tabla con cuadrícula8131"/>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
    <w:name w:val="Sin lista3121"/>
    <w:next w:val="Sinlista"/>
    <w:uiPriority w:val="99"/>
    <w:semiHidden/>
    <w:unhideWhenUsed/>
    <w:rsid w:val="007968EC"/>
  </w:style>
  <w:style w:type="table" w:customStyle="1" w:styleId="Cuadrculadetablaclara13121">
    <w:name w:val="Cuadrícula de tabla clara13121"/>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2121">
    <w:name w:val="Sin lista12121"/>
    <w:next w:val="Sinlista"/>
    <w:uiPriority w:val="99"/>
    <w:semiHidden/>
    <w:unhideWhenUsed/>
    <w:rsid w:val="007968EC"/>
  </w:style>
  <w:style w:type="numbering" w:customStyle="1" w:styleId="Sinlista112121">
    <w:name w:val="Sin lista112121"/>
    <w:next w:val="Sinlista"/>
    <w:uiPriority w:val="99"/>
    <w:semiHidden/>
    <w:unhideWhenUsed/>
    <w:rsid w:val="007968EC"/>
  </w:style>
  <w:style w:type="numbering" w:customStyle="1" w:styleId="Sinlista21121">
    <w:name w:val="Sin lista21121"/>
    <w:next w:val="Sinlista"/>
    <w:uiPriority w:val="99"/>
    <w:semiHidden/>
    <w:unhideWhenUsed/>
    <w:rsid w:val="007968EC"/>
  </w:style>
  <w:style w:type="numbering" w:customStyle="1" w:styleId="Sinlista11111121">
    <w:name w:val="Sin lista11111121"/>
    <w:next w:val="Sinlista"/>
    <w:uiPriority w:val="99"/>
    <w:semiHidden/>
    <w:unhideWhenUsed/>
    <w:rsid w:val="007968EC"/>
  </w:style>
  <w:style w:type="table" w:customStyle="1" w:styleId="Cuadrculadetablaclara31121">
    <w:name w:val="Cuadrícula de tabla clara31121"/>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4121">
    <w:name w:val="Cuadrícula de tabla clara4121"/>
    <w:basedOn w:val="Tablanormal"/>
    <w:next w:val="Cuadrculadetablaclara4"/>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11121">
    <w:name w:val="Tabla con cuadrícula3111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
    <w:name w:val="Sin lista421"/>
    <w:next w:val="Sinlista"/>
    <w:uiPriority w:val="99"/>
    <w:semiHidden/>
    <w:unhideWhenUsed/>
    <w:rsid w:val="007968EC"/>
  </w:style>
  <w:style w:type="table" w:customStyle="1" w:styleId="Tablaconcuadrcula1021">
    <w:name w:val="Tabla con cuadrícula1021"/>
    <w:basedOn w:val="Tablanormal"/>
    <w:next w:val="Tablaconcuadrcula"/>
    <w:rsid w:val="00796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521">
    <w:name w:val="Cuadrícula de tabla clara521"/>
    <w:basedOn w:val="Tablanormal"/>
    <w:next w:val="Cuadrculadetablaclara4"/>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321">
    <w:name w:val="Sin lista1321"/>
    <w:next w:val="Sinlista"/>
    <w:uiPriority w:val="99"/>
    <w:semiHidden/>
    <w:unhideWhenUsed/>
    <w:rsid w:val="007968EC"/>
  </w:style>
  <w:style w:type="table" w:customStyle="1" w:styleId="Tablaconcuadrcula1421">
    <w:name w:val="Tabla con cuadrícula1421"/>
    <w:basedOn w:val="Tablanormal"/>
    <w:next w:val="Tablaconcuadrcula"/>
    <w:uiPriority w:val="5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311">
    <w:name w:val="Tabla Fichero Parametrización311"/>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321">
    <w:name w:val="Tabla con cuadrícula11321"/>
    <w:basedOn w:val="Tablanormal"/>
    <w:next w:val="Tablaconcuadrcula"/>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311">
    <w:name w:val="Lista clara231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311">
    <w:name w:val="Lista clara131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21">
    <w:name w:val="Tabla con cuadrícula242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1">
    <w:name w:val="Sin lista2221"/>
    <w:next w:val="Sinlista"/>
    <w:uiPriority w:val="99"/>
    <w:semiHidden/>
    <w:unhideWhenUsed/>
    <w:rsid w:val="007968EC"/>
  </w:style>
  <w:style w:type="table" w:customStyle="1" w:styleId="Tablaconcuadrcula3321">
    <w:name w:val="Tabla con cuadrícula3321"/>
    <w:basedOn w:val="Tablanormal"/>
    <w:next w:val="Tablaconcuadrcula"/>
    <w:rsid w:val="00796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411">
    <w:name w:val="Cuadrícula de tabla clara1411"/>
    <w:basedOn w:val="Tablanormal"/>
    <w:next w:val="Cuadrculadetablaclara4"/>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321">
    <w:name w:val="Sin lista11321"/>
    <w:next w:val="Sinlista"/>
    <w:uiPriority w:val="99"/>
    <w:semiHidden/>
    <w:unhideWhenUsed/>
    <w:rsid w:val="007968EC"/>
  </w:style>
  <w:style w:type="table" w:customStyle="1" w:styleId="Tablaconcuadrcula12211">
    <w:name w:val="Tabla con cuadrícula122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211">
    <w:name w:val="Tabla Fichero Parametrización1211"/>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211">
    <w:name w:val="Tabla con cuadrícula111211"/>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211">
    <w:name w:val="Lista clara2121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211">
    <w:name w:val="Lista clara1121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1311">
    <w:name w:val="Tabla con cuadrícula213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1">
    <w:name w:val="Tabla con cuadrícula43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1">
    <w:name w:val="Tabla con cuadrícula53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1">
    <w:name w:val="Tabla con cuadrícula63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1">
    <w:name w:val="Tabla con cuadrícula72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211">
    <w:name w:val="Cuadrícula de tabla clara11211"/>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22211">
    <w:name w:val="Tabla con cuadrícula222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11">
    <w:name w:val="Tabla con cuadrícula312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211">
    <w:name w:val="Cuadrícula de tabla clara12211"/>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221">
    <w:name w:val="Sin lista111221"/>
    <w:next w:val="Sinlista"/>
    <w:uiPriority w:val="99"/>
    <w:semiHidden/>
    <w:unhideWhenUsed/>
    <w:rsid w:val="007968EC"/>
  </w:style>
  <w:style w:type="table" w:customStyle="1" w:styleId="Tablaconcuadrcula211211">
    <w:name w:val="Tabla con cuadrícula2112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1">
    <w:name w:val="Tabla con cuadrícula412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11">
    <w:name w:val="Tabla con cuadrícula512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1">
    <w:name w:val="Tabla con cuadrícula612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211">
    <w:name w:val="Cuadrícula de tabla clara2211"/>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211">
    <w:name w:val="Cuadrícula de tabla clara3211"/>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8211">
    <w:name w:val="Tabla con cuadrícula8211"/>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1">
    <w:name w:val="Sin lista3221"/>
    <w:next w:val="Sinlista"/>
    <w:uiPriority w:val="99"/>
    <w:semiHidden/>
    <w:unhideWhenUsed/>
    <w:rsid w:val="007968EC"/>
  </w:style>
  <w:style w:type="table" w:customStyle="1" w:styleId="Tablaconcuadrcula9111">
    <w:name w:val="Tabla con cuadrícula91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2111">
    <w:name w:val="Tabla Fichero Parametrización2111"/>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3111">
    <w:name w:val="Tabla con cuadrícula13111"/>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2111">
    <w:name w:val="Lista clara2211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2111">
    <w:name w:val="Lista clara1211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detablaclara13211">
    <w:name w:val="Cuadrícula de tabla clara13211"/>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23111">
    <w:name w:val="Tabla con cuadrícula23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1">
    <w:name w:val="Tabla con cuadrícula32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11">
    <w:name w:val="Tabla con cuadrícula42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1">
    <w:name w:val="Tabla con cuadrícula2121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11">
    <w:name w:val="Tabla con cuadrícula52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1">
    <w:name w:val="Tabla con cuadrícula62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1">
    <w:name w:val="Tabla con cuadrícula1121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21">
    <w:name w:val="Sin lista12221"/>
    <w:next w:val="Sinlista"/>
    <w:uiPriority w:val="99"/>
    <w:semiHidden/>
    <w:unhideWhenUsed/>
    <w:rsid w:val="007968EC"/>
  </w:style>
  <w:style w:type="table" w:customStyle="1" w:styleId="Tablaconcuadrcula71111">
    <w:name w:val="Tabla con cuadrícula71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1111">
    <w:name w:val="Cuadrícula de tabla clara111111"/>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2221">
    <w:name w:val="Sin lista112221"/>
    <w:next w:val="Sinlista"/>
    <w:uiPriority w:val="99"/>
    <w:semiHidden/>
    <w:unhideWhenUsed/>
    <w:rsid w:val="007968EC"/>
  </w:style>
  <w:style w:type="table" w:customStyle="1" w:styleId="Tablaconcuadrcula121111">
    <w:name w:val="Tabla con cuadrícula1211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1111">
    <w:name w:val="Tabla Fichero Parametrización11111"/>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1111">
    <w:name w:val="Tabla con cuadrícula1111111"/>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1111">
    <w:name w:val="Lista clara21111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11">
    <w:name w:val="Lista clara11111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21111">
    <w:name w:val="Tabla con cuadrícula2211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21">
    <w:name w:val="Sin lista21221"/>
    <w:next w:val="Sinlista"/>
    <w:uiPriority w:val="99"/>
    <w:semiHidden/>
    <w:unhideWhenUsed/>
    <w:rsid w:val="007968EC"/>
  </w:style>
  <w:style w:type="table" w:customStyle="1" w:styleId="Tablaconcuadrcula311211">
    <w:name w:val="Tabla con cuadrícula3112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1111">
    <w:name w:val="Cuadrícula de tabla clara121111"/>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221">
    <w:name w:val="Sin lista1111221"/>
    <w:next w:val="Sinlista"/>
    <w:uiPriority w:val="99"/>
    <w:semiHidden/>
    <w:unhideWhenUsed/>
    <w:rsid w:val="007968EC"/>
  </w:style>
  <w:style w:type="table" w:customStyle="1" w:styleId="Tablaconcuadrcula2111111">
    <w:name w:val="Tabla con cuadrícula21111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11">
    <w:name w:val="Tabla con cuadrícula411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11">
    <w:name w:val="Tabla con cuadrícula511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11">
    <w:name w:val="Tabla con cuadrícula611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1111">
    <w:name w:val="Cuadrícula de tabla clara21111"/>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1211">
    <w:name w:val="Cuadrícula de tabla clara31211"/>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4211">
    <w:name w:val="Cuadrícula de tabla clara4211"/>
    <w:basedOn w:val="Tablanormal"/>
    <w:next w:val="Cuadrculadetablaclara4"/>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81211">
    <w:name w:val="Tabla con cuadrícula81211"/>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7968EC"/>
  </w:style>
  <w:style w:type="table" w:customStyle="1" w:styleId="Cuadrculadetablaclara131111">
    <w:name w:val="Cuadrícula de tabla clara131111"/>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21121">
    <w:name w:val="Sin lista121121"/>
    <w:next w:val="Sinlista"/>
    <w:uiPriority w:val="99"/>
    <w:semiHidden/>
    <w:unhideWhenUsed/>
    <w:rsid w:val="007968EC"/>
  </w:style>
  <w:style w:type="numbering" w:customStyle="1" w:styleId="Sinlista1121121">
    <w:name w:val="Sin lista1121121"/>
    <w:next w:val="Sinlista"/>
    <w:uiPriority w:val="99"/>
    <w:semiHidden/>
    <w:unhideWhenUsed/>
    <w:rsid w:val="007968EC"/>
  </w:style>
  <w:style w:type="numbering" w:customStyle="1" w:styleId="Sinlista211121">
    <w:name w:val="Sin lista211121"/>
    <w:next w:val="Sinlista"/>
    <w:uiPriority w:val="99"/>
    <w:semiHidden/>
    <w:unhideWhenUsed/>
    <w:rsid w:val="007968EC"/>
  </w:style>
  <w:style w:type="numbering" w:customStyle="1" w:styleId="Sinlista111111121">
    <w:name w:val="Sin lista111111121"/>
    <w:next w:val="Sinlista"/>
    <w:uiPriority w:val="99"/>
    <w:semiHidden/>
    <w:unhideWhenUsed/>
    <w:rsid w:val="007968EC"/>
  </w:style>
  <w:style w:type="table" w:customStyle="1" w:styleId="Cuadrculadetablaclara311111">
    <w:name w:val="Cuadrícula de tabla clara311111"/>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41111">
    <w:name w:val="Cuadrícula de tabla clara41111"/>
    <w:basedOn w:val="Tablanormal"/>
    <w:next w:val="Cuadrculadetablaclara4"/>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111111">
    <w:name w:val="Tabla con cuadrícula3111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11">
    <w:name w:val="Tabla con cuadrícula811111"/>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7968EC"/>
  </w:style>
  <w:style w:type="table" w:customStyle="1" w:styleId="Tablaconcuadrcula10111">
    <w:name w:val="Tabla con cuadrícula101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111">
    <w:name w:val="Tabla con cuadrícula24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1">
    <w:name w:val="Tabla con cuadrícula33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1">
    <w:name w:val="Tabla con cuadrícula1131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7968EC"/>
  </w:style>
  <w:style w:type="numbering" w:customStyle="1" w:styleId="Sinlista113111">
    <w:name w:val="Sin lista113111"/>
    <w:next w:val="Sinlista"/>
    <w:uiPriority w:val="99"/>
    <w:semiHidden/>
    <w:unhideWhenUsed/>
    <w:rsid w:val="007968EC"/>
  </w:style>
  <w:style w:type="numbering" w:customStyle="1" w:styleId="Sinlista22111">
    <w:name w:val="Sin lista22111"/>
    <w:next w:val="Sinlista"/>
    <w:uiPriority w:val="99"/>
    <w:semiHidden/>
    <w:unhideWhenUsed/>
    <w:rsid w:val="007968EC"/>
  </w:style>
  <w:style w:type="numbering" w:customStyle="1" w:styleId="Sinlista1112111">
    <w:name w:val="Sin lista1112111"/>
    <w:next w:val="Sinlista"/>
    <w:uiPriority w:val="99"/>
    <w:semiHidden/>
    <w:unhideWhenUsed/>
    <w:rsid w:val="007968EC"/>
  </w:style>
  <w:style w:type="table" w:customStyle="1" w:styleId="Cuadrculadetablaclara5111">
    <w:name w:val="Cuadrícula de tabla clara5111"/>
    <w:basedOn w:val="Tablanormal"/>
    <w:next w:val="Cuadrculadetablaclara4"/>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32111">
    <w:name w:val="Sin lista32111"/>
    <w:next w:val="Sinlista"/>
    <w:uiPriority w:val="99"/>
    <w:semiHidden/>
    <w:unhideWhenUsed/>
    <w:rsid w:val="007968EC"/>
  </w:style>
  <w:style w:type="numbering" w:customStyle="1" w:styleId="Sinlista122111">
    <w:name w:val="Sin lista122111"/>
    <w:next w:val="Sinlista"/>
    <w:uiPriority w:val="99"/>
    <w:semiHidden/>
    <w:unhideWhenUsed/>
    <w:rsid w:val="007968EC"/>
  </w:style>
  <w:style w:type="numbering" w:customStyle="1" w:styleId="Sinlista1122111">
    <w:name w:val="Sin lista1122111"/>
    <w:next w:val="Sinlista"/>
    <w:uiPriority w:val="99"/>
    <w:semiHidden/>
    <w:unhideWhenUsed/>
    <w:rsid w:val="007968EC"/>
  </w:style>
  <w:style w:type="numbering" w:customStyle="1" w:styleId="Sinlista212111">
    <w:name w:val="Sin lista212111"/>
    <w:next w:val="Sinlista"/>
    <w:uiPriority w:val="99"/>
    <w:semiHidden/>
    <w:unhideWhenUsed/>
    <w:rsid w:val="007968EC"/>
  </w:style>
  <w:style w:type="numbering" w:customStyle="1" w:styleId="Sinlista11112111">
    <w:name w:val="Sin lista11112111"/>
    <w:next w:val="Sinlista"/>
    <w:uiPriority w:val="99"/>
    <w:semiHidden/>
    <w:unhideWhenUsed/>
    <w:rsid w:val="007968EC"/>
  </w:style>
  <w:style w:type="numbering" w:customStyle="1" w:styleId="Sinlista311111">
    <w:name w:val="Sin lista311111"/>
    <w:next w:val="Sinlista"/>
    <w:uiPriority w:val="99"/>
    <w:semiHidden/>
    <w:unhideWhenUsed/>
    <w:rsid w:val="007968EC"/>
  </w:style>
  <w:style w:type="numbering" w:customStyle="1" w:styleId="Sinlista1211111">
    <w:name w:val="Sin lista1211111"/>
    <w:next w:val="Sinlista"/>
    <w:uiPriority w:val="99"/>
    <w:semiHidden/>
    <w:unhideWhenUsed/>
    <w:rsid w:val="007968EC"/>
  </w:style>
  <w:style w:type="numbering" w:customStyle="1" w:styleId="Sinlista11211111">
    <w:name w:val="Sin lista11211111"/>
    <w:next w:val="Sinlista"/>
    <w:uiPriority w:val="99"/>
    <w:semiHidden/>
    <w:unhideWhenUsed/>
    <w:rsid w:val="007968EC"/>
  </w:style>
  <w:style w:type="numbering" w:customStyle="1" w:styleId="Sinlista2111111">
    <w:name w:val="Sin lista2111111"/>
    <w:next w:val="Sinlista"/>
    <w:uiPriority w:val="99"/>
    <w:semiHidden/>
    <w:unhideWhenUsed/>
    <w:rsid w:val="007968EC"/>
  </w:style>
  <w:style w:type="numbering" w:customStyle="1" w:styleId="Sinlista111111111111">
    <w:name w:val="Sin lista111111111111"/>
    <w:next w:val="Sinlista"/>
    <w:uiPriority w:val="99"/>
    <w:semiHidden/>
    <w:unhideWhenUsed/>
    <w:rsid w:val="007968EC"/>
  </w:style>
  <w:style w:type="table" w:customStyle="1" w:styleId="Tablaconcuadrcula111311">
    <w:name w:val="Tabla con cuadrícula111311"/>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cinsinresolver">
    <w:name w:val="Unresolved Mention"/>
    <w:basedOn w:val="Fuentedeprrafopredeter"/>
    <w:uiPriority w:val="99"/>
    <w:semiHidden/>
    <w:unhideWhenUsed/>
    <w:rsid w:val="007968EC"/>
    <w:rPr>
      <w:color w:val="808080"/>
      <w:shd w:val="clear" w:color="auto" w:fill="E6E6E6"/>
    </w:rPr>
  </w:style>
  <w:style w:type="paragraph" w:customStyle="1" w:styleId="EstiloCorreo1011">
    <w:name w:val="EstiloCorreo1011"/>
    <w:basedOn w:val="Normal"/>
    <w:rsid w:val="007968EC"/>
    <w:pPr>
      <w:jc w:val="center"/>
    </w:pPr>
    <w:rPr>
      <w:rFonts w:ascii="Verdana" w:hAnsi="Verdana" w:cs="Arial"/>
      <w:u w:val="single"/>
      <w:lang w:val="es-MX" w:eastAsia="es-ES"/>
    </w:rPr>
  </w:style>
  <w:style w:type="paragraph" w:customStyle="1" w:styleId="CAPITULO">
    <w:name w:val="CAPITULO"/>
    <w:basedOn w:val="Normal"/>
    <w:link w:val="CAPITULOCar"/>
    <w:rsid w:val="007968EC"/>
    <w:pPr>
      <w:jc w:val="center"/>
      <w:outlineLvl w:val="1"/>
    </w:pPr>
    <w:rPr>
      <w:rFonts w:ascii="Arial Narrow" w:hAnsi="Arial Narrow" w:cs="Arial"/>
      <w:b/>
      <w:lang w:eastAsia="es-ES"/>
    </w:rPr>
  </w:style>
  <w:style w:type="character" w:customStyle="1" w:styleId="CAPITULOCar">
    <w:name w:val="CAPITULO Car"/>
    <w:basedOn w:val="Fuentedeprrafopredeter"/>
    <w:link w:val="CAPITULO"/>
    <w:rsid w:val="007968EC"/>
    <w:rPr>
      <w:rFonts w:ascii="Arial Narrow" w:eastAsia="Times New Roman" w:hAnsi="Arial Narrow" w:cs="Arial"/>
      <w:b/>
      <w:sz w:val="24"/>
      <w:szCs w:val="24"/>
      <w:lang w:eastAsia="es-ES"/>
    </w:rPr>
  </w:style>
  <w:style w:type="character" w:customStyle="1" w:styleId="Mencionar1">
    <w:name w:val="Mencionar1"/>
    <w:basedOn w:val="Fuentedeprrafopredeter"/>
    <w:uiPriority w:val="99"/>
    <w:semiHidden/>
    <w:unhideWhenUsed/>
    <w:rsid w:val="007968EC"/>
    <w:rPr>
      <w:color w:val="2B579A"/>
      <w:shd w:val="clear" w:color="auto" w:fill="E6E6E6"/>
    </w:rPr>
  </w:style>
  <w:style w:type="table" w:customStyle="1" w:styleId="Tablaconcuadrcula11322">
    <w:name w:val="Tabla con cuadrícula11322"/>
    <w:basedOn w:val="Tablanormal"/>
    <w:next w:val="Tablaconcuadrcula"/>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2">
    <w:name w:val="Tabla con cuadrícula152"/>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
    <w:name w:val="Tabla con cuadrícula44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2">
    <w:name w:val="Tabla con cuadrícula214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7968EC"/>
  </w:style>
  <w:style w:type="numbering" w:customStyle="1" w:styleId="Sinlista16">
    <w:name w:val="Sin lista16"/>
    <w:next w:val="Sinlista"/>
    <w:uiPriority w:val="99"/>
    <w:semiHidden/>
    <w:unhideWhenUsed/>
    <w:rsid w:val="007968EC"/>
  </w:style>
  <w:style w:type="numbering" w:customStyle="1" w:styleId="Sinlista116">
    <w:name w:val="Sin lista116"/>
    <w:next w:val="Sinlista"/>
    <w:uiPriority w:val="99"/>
    <w:semiHidden/>
    <w:unhideWhenUsed/>
    <w:rsid w:val="007968EC"/>
  </w:style>
  <w:style w:type="numbering" w:customStyle="1" w:styleId="Sinlista1115">
    <w:name w:val="Sin lista1115"/>
    <w:next w:val="Sinlista"/>
    <w:uiPriority w:val="99"/>
    <w:semiHidden/>
    <w:unhideWhenUsed/>
    <w:rsid w:val="007968EC"/>
  </w:style>
  <w:style w:type="table" w:customStyle="1" w:styleId="Tablaconcuadrcula20">
    <w:name w:val="Tabla con cuadrícula20"/>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6">
    <w:name w:val="Tabla Fichero Parametrización6"/>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0">
    <w:name w:val="Tabla con cuadrícula110"/>
    <w:basedOn w:val="Tablanormal"/>
    <w:next w:val="Tablaconcuadrcula"/>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6">
    <w:name w:val="Lista clara26"/>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6">
    <w:name w:val="Lista clara16"/>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detablaclara17">
    <w:name w:val="Cuadrícula de tabla clara17"/>
    <w:basedOn w:val="Tablanormal"/>
    <w:uiPriority w:val="40"/>
    <w:rsid w:val="007968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27">
    <w:name w:val="Tabla con cuadrícula27"/>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7968EC"/>
  </w:style>
  <w:style w:type="table" w:customStyle="1" w:styleId="Tablaconcuadrcula75">
    <w:name w:val="Tabla con cuadrícula75"/>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5">
    <w:name w:val="Cuadrícula de tabla clara115"/>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14">
    <w:name w:val="Sin lista111114"/>
    <w:next w:val="Sinlista"/>
    <w:uiPriority w:val="99"/>
    <w:semiHidden/>
    <w:unhideWhenUsed/>
    <w:rsid w:val="007968EC"/>
  </w:style>
  <w:style w:type="table" w:customStyle="1" w:styleId="Tablaconcuadrcula125">
    <w:name w:val="Tabla con cuadrícula125"/>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5">
    <w:name w:val="Tabla Fichero Parametrización15"/>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6">
    <w:name w:val="Tabla con cuadrícula1116"/>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5">
    <w:name w:val="Lista clara215"/>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5">
    <w:name w:val="Lista clara115"/>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25">
    <w:name w:val="Tabla con cuadrícula225"/>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unhideWhenUsed/>
    <w:rsid w:val="007968EC"/>
  </w:style>
  <w:style w:type="table" w:customStyle="1" w:styleId="Tablaconcuadrcula315">
    <w:name w:val="Tabla con cuadrícula315"/>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5">
    <w:name w:val="Cuadrícula de tabla clara125"/>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114">
    <w:name w:val="Sin lista1111114"/>
    <w:next w:val="Sinlista"/>
    <w:uiPriority w:val="99"/>
    <w:semiHidden/>
    <w:unhideWhenUsed/>
    <w:rsid w:val="007968EC"/>
  </w:style>
  <w:style w:type="table" w:customStyle="1" w:styleId="Tablaconcuadrcula2115">
    <w:name w:val="Tabla con cuadrícula2115"/>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5">
    <w:name w:val="Tabla con cuadrícula415"/>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5">
    <w:name w:val="Tabla con cuadrícula615"/>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5">
    <w:name w:val="Cuadrícula de tabla clara25"/>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5">
    <w:name w:val="Cuadrícula de tabla clara35"/>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detablaclara45">
    <w:name w:val="Cuadrícula de tabla clara45"/>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85">
    <w:name w:val="Tabla con cuadrícula85"/>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
    <w:name w:val="Sin lista35"/>
    <w:next w:val="Sinlista"/>
    <w:uiPriority w:val="99"/>
    <w:semiHidden/>
    <w:unhideWhenUsed/>
    <w:rsid w:val="007968EC"/>
  </w:style>
  <w:style w:type="table" w:customStyle="1" w:styleId="Tablaconcuadrcula94">
    <w:name w:val="Tabla con cuadrícula94"/>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24">
    <w:name w:val="Tabla Fichero Parametrización24"/>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34">
    <w:name w:val="Tabla con cuadrícula134"/>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24">
    <w:name w:val="Lista clara224"/>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24">
    <w:name w:val="Lista clara124"/>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detablaclara135">
    <w:name w:val="Cuadrícula de tabla clara135"/>
    <w:basedOn w:val="Tablanormal"/>
    <w:uiPriority w:val="40"/>
    <w:rsid w:val="007968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234">
    <w:name w:val="Tabla con cuadrícula23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4">
    <w:name w:val="Tabla con cuadrícula42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4">
    <w:name w:val="Tabla con cuadrícula2124"/>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4">
    <w:name w:val="Tabla con cuadrícula52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4">
    <w:name w:val="Tabla con cuadrícula62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
    <w:name w:val="Sin lista125"/>
    <w:next w:val="Sinlista"/>
    <w:uiPriority w:val="99"/>
    <w:semiHidden/>
    <w:unhideWhenUsed/>
    <w:rsid w:val="007968EC"/>
  </w:style>
  <w:style w:type="table" w:customStyle="1" w:styleId="Tablaconcuadrcula714">
    <w:name w:val="Tabla con cuadrícula71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14">
    <w:name w:val="Cuadrícula de tabla clara1114"/>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25">
    <w:name w:val="Sin lista1125"/>
    <w:next w:val="Sinlista"/>
    <w:uiPriority w:val="99"/>
    <w:semiHidden/>
    <w:unhideWhenUsed/>
    <w:rsid w:val="007968EC"/>
  </w:style>
  <w:style w:type="table" w:customStyle="1" w:styleId="Tablaconcuadrcula1214">
    <w:name w:val="Tabla con cuadrícula1214"/>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14">
    <w:name w:val="Tabla Fichero Parametrización114"/>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14">
    <w:name w:val="Tabla con cuadrícula11114"/>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14">
    <w:name w:val="Lista clara2114"/>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4">
    <w:name w:val="Lista clara1114"/>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214">
    <w:name w:val="Tabla con cuadrícula2214"/>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5">
    <w:name w:val="Sin lista215"/>
    <w:next w:val="Sinlista"/>
    <w:uiPriority w:val="99"/>
    <w:semiHidden/>
    <w:unhideWhenUsed/>
    <w:rsid w:val="007968EC"/>
  </w:style>
  <w:style w:type="table" w:customStyle="1" w:styleId="Tablaconcuadrcula3115">
    <w:name w:val="Tabla con cuadrícula3115"/>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14">
    <w:name w:val="Cuadrícula de tabla clara1214"/>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1114">
    <w:name w:val="Sin lista11111114"/>
    <w:next w:val="Sinlista"/>
    <w:uiPriority w:val="99"/>
    <w:semiHidden/>
    <w:unhideWhenUsed/>
    <w:rsid w:val="007968EC"/>
  </w:style>
  <w:style w:type="table" w:customStyle="1" w:styleId="Tablaconcuadrcula21114">
    <w:name w:val="Tabla con cuadrícula21114"/>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4">
    <w:name w:val="Tabla con cuadrícula411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4">
    <w:name w:val="Tabla con cuadrícula511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4">
    <w:name w:val="Tabla con cuadrícula611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14">
    <w:name w:val="Cuadrícula de tabla clara214"/>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15">
    <w:name w:val="Cuadrícula de tabla clara315"/>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815">
    <w:name w:val="Tabla con cuadrícula815"/>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
    <w:name w:val="Sin lista314"/>
    <w:next w:val="Sinlista"/>
    <w:uiPriority w:val="99"/>
    <w:semiHidden/>
    <w:unhideWhenUsed/>
    <w:rsid w:val="007968EC"/>
  </w:style>
  <w:style w:type="table" w:customStyle="1" w:styleId="Cuadrculadetablaclara1314">
    <w:name w:val="Cuadrícula de tabla clara1314"/>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214">
    <w:name w:val="Sin lista1214"/>
    <w:next w:val="Sinlista"/>
    <w:uiPriority w:val="99"/>
    <w:semiHidden/>
    <w:unhideWhenUsed/>
    <w:rsid w:val="007968EC"/>
  </w:style>
  <w:style w:type="numbering" w:customStyle="1" w:styleId="Sinlista11214">
    <w:name w:val="Sin lista11214"/>
    <w:next w:val="Sinlista"/>
    <w:uiPriority w:val="99"/>
    <w:semiHidden/>
    <w:unhideWhenUsed/>
    <w:rsid w:val="007968EC"/>
  </w:style>
  <w:style w:type="numbering" w:customStyle="1" w:styleId="Sinlista2114">
    <w:name w:val="Sin lista2114"/>
    <w:next w:val="Sinlista"/>
    <w:uiPriority w:val="99"/>
    <w:semiHidden/>
    <w:unhideWhenUsed/>
    <w:rsid w:val="007968EC"/>
  </w:style>
  <w:style w:type="numbering" w:customStyle="1" w:styleId="Sinlista111111113">
    <w:name w:val="Sin lista111111113"/>
    <w:next w:val="Sinlista"/>
    <w:uiPriority w:val="99"/>
    <w:semiHidden/>
    <w:unhideWhenUsed/>
    <w:rsid w:val="007968EC"/>
  </w:style>
  <w:style w:type="table" w:customStyle="1" w:styleId="Cuadrculadetablaclara3114">
    <w:name w:val="Cuadrícula de tabla clara3114"/>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414">
    <w:name w:val="Cuadrícula de tabla clara414"/>
    <w:basedOn w:val="Tablanormal"/>
    <w:next w:val="Cuadrculadetablaclara4"/>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1114">
    <w:name w:val="Tabla con cuadrícula3111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4">
    <w:name w:val="Tabla con cuadrícula8114"/>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7968EC"/>
  </w:style>
  <w:style w:type="table" w:customStyle="1" w:styleId="Tablaconcuadrcula104">
    <w:name w:val="Tabla con cuadrícula104"/>
    <w:basedOn w:val="Tablanormal"/>
    <w:next w:val="Tablaconcuadrcula"/>
    <w:rsid w:val="00796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54">
    <w:name w:val="Cuadrícula de tabla clara54"/>
    <w:basedOn w:val="Tablanormal"/>
    <w:next w:val="Cuadrculadetablaclara4"/>
    <w:uiPriority w:val="40"/>
    <w:rsid w:val="007968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134">
    <w:name w:val="Sin lista134"/>
    <w:next w:val="Sinlista"/>
    <w:uiPriority w:val="99"/>
    <w:semiHidden/>
    <w:unhideWhenUsed/>
    <w:rsid w:val="007968EC"/>
  </w:style>
  <w:style w:type="table" w:customStyle="1" w:styleId="Tablaconcuadrcula144">
    <w:name w:val="Tabla con cuadrícula144"/>
    <w:basedOn w:val="Tablanormal"/>
    <w:next w:val="Tablaconcuadrcula"/>
    <w:uiPriority w:val="5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33">
    <w:name w:val="Tabla Fichero Parametrización33"/>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34">
    <w:name w:val="Tabla con cuadrícula1134"/>
    <w:basedOn w:val="Tablanormal"/>
    <w:next w:val="Tablaconcuadrcula"/>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33">
    <w:name w:val="Lista clara233"/>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33">
    <w:name w:val="Lista clara133"/>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4">
    <w:name w:val="Tabla con cuadrícula244"/>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4">
    <w:name w:val="Sin lista224"/>
    <w:next w:val="Sinlista"/>
    <w:uiPriority w:val="99"/>
    <w:semiHidden/>
    <w:unhideWhenUsed/>
    <w:rsid w:val="007968EC"/>
  </w:style>
  <w:style w:type="table" w:customStyle="1" w:styleId="Tablaconcuadrcula334">
    <w:name w:val="Tabla con cuadrícula334"/>
    <w:basedOn w:val="Tablanormal"/>
    <w:next w:val="Tablaconcuadrcula"/>
    <w:rsid w:val="00796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43">
    <w:name w:val="Cuadrícula de tabla clara143"/>
    <w:basedOn w:val="Tablanormal"/>
    <w:next w:val="Cuadrculadetablaclara4"/>
    <w:uiPriority w:val="40"/>
    <w:rsid w:val="007968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1134">
    <w:name w:val="Sin lista1134"/>
    <w:next w:val="Sinlista"/>
    <w:uiPriority w:val="99"/>
    <w:semiHidden/>
    <w:unhideWhenUsed/>
    <w:rsid w:val="007968EC"/>
  </w:style>
  <w:style w:type="table" w:customStyle="1" w:styleId="Tablaconcuadrcula1223">
    <w:name w:val="Tabla con cuadrícula122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23">
    <w:name w:val="Tabla Fichero Parametrización123"/>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23">
    <w:name w:val="Tabla con cuadrícula11123"/>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23">
    <w:name w:val="Lista clara2123"/>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23">
    <w:name w:val="Lista clara1123"/>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133">
    <w:name w:val="Tabla con cuadrícula213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3">
    <w:name w:val="Tabla con cuadrícula43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3">
    <w:name w:val="Tabla con cuadrícula53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3">
    <w:name w:val="Tabla con cuadrícula63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3">
    <w:name w:val="Tabla con cuadrícula72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23">
    <w:name w:val="Cuadrícula de tabla clara1123"/>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2223">
    <w:name w:val="Tabla con cuadrícula222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3">
    <w:name w:val="Tabla con cuadrícula312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23">
    <w:name w:val="Cuadrícula de tabla clara1223"/>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24">
    <w:name w:val="Sin lista11124"/>
    <w:next w:val="Sinlista"/>
    <w:uiPriority w:val="99"/>
    <w:semiHidden/>
    <w:unhideWhenUsed/>
    <w:rsid w:val="007968EC"/>
  </w:style>
  <w:style w:type="table" w:customStyle="1" w:styleId="Tablaconcuadrcula21123">
    <w:name w:val="Tabla con cuadrícula2112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3">
    <w:name w:val="Tabla con cuadrícula412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3">
    <w:name w:val="Tabla con cuadrícula512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3">
    <w:name w:val="Tabla con cuadrícula612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23">
    <w:name w:val="Cuadrícula de tabla clara223"/>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23">
    <w:name w:val="Cuadrícula de tabla clara323"/>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823">
    <w:name w:val="Tabla con cuadrícula823"/>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4">
    <w:name w:val="Sin lista324"/>
    <w:next w:val="Sinlista"/>
    <w:uiPriority w:val="99"/>
    <w:semiHidden/>
    <w:unhideWhenUsed/>
    <w:rsid w:val="007968EC"/>
  </w:style>
  <w:style w:type="table" w:customStyle="1" w:styleId="Tablaconcuadrcula913">
    <w:name w:val="Tabla con cuadrícula91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213">
    <w:name w:val="Tabla Fichero Parametrización213"/>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313">
    <w:name w:val="Tabla con cuadrícula1313"/>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213">
    <w:name w:val="Lista clara2213"/>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213">
    <w:name w:val="Lista clara1213"/>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detablaclara1323">
    <w:name w:val="Cuadrícula de tabla clara1323"/>
    <w:basedOn w:val="Tablanormal"/>
    <w:uiPriority w:val="40"/>
    <w:rsid w:val="007968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2313">
    <w:name w:val="Tabla con cuadrícula23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3">
    <w:name w:val="Tabla con cuadrícula32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3">
    <w:name w:val="Tabla con cuadrícula42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3">
    <w:name w:val="Tabla con cuadrícula2121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3">
    <w:name w:val="Tabla con cuadrícula52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3">
    <w:name w:val="Tabla con cuadrícula62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3">
    <w:name w:val="Tabla con cuadrícula1121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4">
    <w:name w:val="Sin lista1224"/>
    <w:next w:val="Sinlista"/>
    <w:uiPriority w:val="99"/>
    <w:semiHidden/>
    <w:unhideWhenUsed/>
    <w:rsid w:val="007968EC"/>
  </w:style>
  <w:style w:type="table" w:customStyle="1" w:styleId="Tablaconcuadrcula7113">
    <w:name w:val="Tabla con cuadrícula71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113">
    <w:name w:val="Cuadrícula de tabla clara11113"/>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224">
    <w:name w:val="Sin lista11224"/>
    <w:next w:val="Sinlista"/>
    <w:uiPriority w:val="99"/>
    <w:semiHidden/>
    <w:unhideWhenUsed/>
    <w:rsid w:val="007968EC"/>
  </w:style>
  <w:style w:type="table" w:customStyle="1" w:styleId="Tablaconcuadrcula12113">
    <w:name w:val="Tabla con cuadrícula1211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113">
    <w:name w:val="Tabla Fichero Parametrización1113"/>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113">
    <w:name w:val="Tabla con cuadrícula111113"/>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113">
    <w:name w:val="Lista clara21113"/>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3">
    <w:name w:val="Lista clara11113"/>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2113">
    <w:name w:val="Tabla con cuadrícula2211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4">
    <w:name w:val="Sin lista2124"/>
    <w:next w:val="Sinlista"/>
    <w:uiPriority w:val="99"/>
    <w:semiHidden/>
    <w:unhideWhenUsed/>
    <w:rsid w:val="007968EC"/>
  </w:style>
  <w:style w:type="table" w:customStyle="1" w:styleId="Tablaconcuadrcula31123">
    <w:name w:val="Tabla con cuadrícula3112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113">
    <w:name w:val="Cuadrícula de tabla clara12113"/>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24">
    <w:name w:val="Sin lista111124"/>
    <w:next w:val="Sinlista"/>
    <w:uiPriority w:val="99"/>
    <w:semiHidden/>
    <w:unhideWhenUsed/>
    <w:rsid w:val="007968EC"/>
  </w:style>
  <w:style w:type="table" w:customStyle="1" w:styleId="Tablaconcuadrcula211113">
    <w:name w:val="Tabla con cuadrícula21111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3">
    <w:name w:val="Tabla con cuadrícula411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3">
    <w:name w:val="Tabla con cuadrícula511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3">
    <w:name w:val="Tabla con cuadrícula611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113">
    <w:name w:val="Cuadrícula de tabla clara2113"/>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123">
    <w:name w:val="Cuadrícula de tabla clara3123"/>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detablaclara423">
    <w:name w:val="Cuadrícula de tabla clara423"/>
    <w:basedOn w:val="Tablanormal"/>
    <w:next w:val="Cuadrculadetablaclara4"/>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8123">
    <w:name w:val="Tabla con cuadrícula8123"/>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7968EC"/>
  </w:style>
  <w:style w:type="table" w:customStyle="1" w:styleId="Cuadrculadetablaclara13113">
    <w:name w:val="Cuadrícula de tabla clara13113"/>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2114">
    <w:name w:val="Sin lista12114"/>
    <w:next w:val="Sinlista"/>
    <w:uiPriority w:val="99"/>
    <w:semiHidden/>
    <w:unhideWhenUsed/>
    <w:rsid w:val="007968EC"/>
  </w:style>
  <w:style w:type="numbering" w:customStyle="1" w:styleId="Sinlista112114">
    <w:name w:val="Sin lista112114"/>
    <w:next w:val="Sinlista"/>
    <w:uiPriority w:val="99"/>
    <w:semiHidden/>
    <w:unhideWhenUsed/>
    <w:rsid w:val="007968EC"/>
  </w:style>
  <w:style w:type="numbering" w:customStyle="1" w:styleId="Sinlista21114">
    <w:name w:val="Sin lista21114"/>
    <w:next w:val="Sinlista"/>
    <w:uiPriority w:val="99"/>
    <w:semiHidden/>
    <w:unhideWhenUsed/>
    <w:rsid w:val="007968EC"/>
  </w:style>
  <w:style w:type="numbering" w:customStyle="1" w:styleId="Sinlista1111111113">
    <w:name w:val="Sin lista1111111113"/>
    <w:next w:val="Sinlista"/>
    <w:uiPriority w:val="99"/>
    <w:semiHidden/>
    <w:unhideWhenUsed/>
    <w:rsid w:val="007968EC"/>
  </w:style>
  <w:style w:type="table" w:customStyle="1" w:styleId="Cuadrculadetablaclara31113">
    <w:name w:val="Cuadrícula de tabla clara31113"/>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4113">
    <w:name w:val="Cuadrícula de tabla clara4113"/>
    <w:basedOn w:val="Tablanormal"/>
    <w:next w:val="Cuadrculadetablaclara4"/>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11113">
    <w:name w:val="Tabla con cuadrícula3111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3">
    <w:name w:val="Tabla con cuadrícula81113"/>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7968EC"/>
  </w:style>
  <w:style w:type="table" w:customStyle="1" w:styleId="Tablaconcuadrcula1013">
    <w:name w:val="Tabla con cuadrícula101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13">
    <w:name w:val="Tabla con cuadrícula24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3">
    <w:name w:val="Tabla con cuadrícula33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3">
    <w:name w:val="Tabla con cuadrícula1131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7968EC"/>
  </w:style>
  <w:style w:type="numbering" w:customStyle="1" w:styleId="Sinlista11313">
    <w:name w:val="Sin lista11313"/>
    <w:next w:val="Sinlista"/>
    <w:uiPriority w:val="99"/>
    <w:semiHidden/>
    <w:unhideWhenUsed/>
    <w:rsid w:val="007968EC"/>
  </w:style>
  <w:style w:type="numbering" w:customStyle="1" w:styleId="Sinlista2213">
    <w:name w:val="Sin lista2213"/>
    <w:next w:val="Sinlista"/>
    <w:uiPriority w:val="99"/>
    <w:semiHidden/>
    <w:unhideWhenUsed/>
    <w:rsid w:val="007968EC"/>
  </w:style>
  <w:style w:type="numbering" w:customStyle="1" w:styleId="Sinlista111213">
    <w:name w:val="Sin lista111213"/>
    <w:next w:val="Sinlista"/>
    <w:uiPriority w:val="99"/>
    <w:semiHidden/>
    <w:unhideWhenUsed/>
    <w:rsid w:val="007968EC"/>
  </w:style>
  <w:style w:type="table" w:customStyle="1" w:styleId="Cuadrculadetablaclara513">
    <w:name w:val="Cuadrícula de tabla clara513"/>
    <w:basedOn w:val="Tablanormal"/>
    <w:next w:val="Cuadrculadetablaclara4"/>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3213">
    <w:name w:val="Sin lista3213"/>
    <w:next w:val="Sinlista"/>
    <w:uiPriority w:val="99"/>
    <w:semiHidden/>
    <w:unhideWhenUsed/>
    <w:rsid w:val="007968EC"/>
  </w:style>
  <w:style w:type="numbering" w:customStyle="1" w:styleId="Sinlista12213">
    <w:name w:val="Sin lista12213"/>
    <w:next w:val="Sinlista"/>
    <w:uiPriority w:val="99"/>
    <w:semiHidden/>
    <w:unhideWhenUsed/>
    <w:rsid w:val="007968EC"/>
  </w:style>
  <w:style w:type="numbering" w:customStyle="1" w:styleId="Sinlista112213">
    <w:name w:val="Sin lista112213"/>
    <w:next w:val="Sinlista"/>
    <w:uiPriority w:val="99"/>
    <w:semiHidden/>
    <w:unhideWhenUsed/>
    <w:rsid w:val="007968EC"/>
  </w:style>
  <w:style w:type="numbering" w:customStyle="1" w:styleId="Sinlista21213">
    <w:name w:val="Sin lista21213"/>
    <w:next w:val="Sinlista"/>
    <w:uiPriority w:val="99"/>
    <w:semiHidden/>
    <w:unhideWhenUsed/>
    <w:rsid w:val="007968EC"/>
  </w:style>
  <w:style w:type="numbering" w:customStyle="1" w:styleId="Sinlista1111213">
    <w:name w:val="Sin lista1111213"/>
    <w:next w:val="Sinlista"/>
    <w:uiPriority w:val="99"/>
    <w:semiHidden/>
    <w:unhideWhenUsed/>
    <w:rsid w:val="007968EC"/>
  </w:style>
  <w:style w:type="numbering" w:customStyle="1" w:styleId="Sinlista31113">
    <w:name w:val="Sin lista31113"/>
    <w:next w:val="Sinlista"/>
    <w:uiPriority w:val="99"/>
    <w:semiHidden/>
    <w:unhideWhenUsed/>
    <w:rsid w:val="007968EC"/>
  </w:style>
  <w:style w:type="numbering" w:customStyle="1" w:styleId="Sinlista121113">
    <w:name w:val="Sin lista121113"/>
    <w:next w:val="Sinlista"/>
    <w:uiPriority w:val="99"/>
    <w:semiHidden/>
    <w:unhideWhenUsed/>
    <w:rsid w:val="007968EC"/>
  </w:style>
  <w:style w:type="numbering" w:customStyle="1" w:styleId="Sinlista1121113">
    <w:name w:val="Sin lista1121113"/>
    <w:next w:val="Sinlista"/>
    <w:uiPriority w:val="99"/>
    <w:semiHidden/>
    <w:unhideWhenUsed/>
    <w:rsid w:val="007968EC"/>
  </w:style>
  <w:style w:type="numbering" w:customStyle="1" w:styleId="Sinlista211113">
    <w:name w:val="Sin lista211113"/>
    <w:next w:val="Sinlista"/>
    <w:uiPriority w:val="99"/>
    <w:semiHidden/>
    <w:unhideWhenUsed/>
    <w:rsid w:val="007968EC"/>
  </w:style>
  <w:style w:type="numbering" w:customStyle="1" w:styleId="Sinlista11111111112">
    <w:name w:val="Sin lista11111111112"/>
    <w:next w:val="Sinlista"/>
    <w:uiPriority w:val="99"/>
    <w:semiHidden/>
    <w:unhideWhenUsed/>
    <w:rsid w:val="007968EC"/>
  </w:style>
  <w:style w:type="table" w:customStyle="1" w:styleId="Tablaconcuadrcula153">
    <w:name w:val="Tabla con cuadrícula153"/>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3">
    <w:name w:val="Tabla con cuadrícula44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3">
    <w:name w:val="Tabla con cuadrícula214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3">
    <w:name w:val="Tabla con cuadrícula11133"/>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2">
    <w:name w:val="Sin lista52"/>
    <w:next w:val="Sinlista"/>
    <w:uiPriority w:val="99"/>
    <w:semiHidden/>
    <w:unhideWhenUsed/>
    <w:rsid w:val="007968EC"/>
  </w:style>
  <w:style w:type="numbering" w:customStyle="1" w:styleId="Sinlista142">
    <w:name w:val="Sin lista142"/>
    <w:next w:val="Sinlista"/>
    <w:uiPriority w:val="99"/>
    <w:semiHidden/>
    <w:unhideWhenUsed/>
    <w:rsid w:val="007968EC"/>
  </w:style>
  <w:style w:type="table" w:customStyle="1" w:styleId="Tablaconcuadrcula162">
    <w:name w:val="Tabla con cuadrícula162"/>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
    <w:name w:val="Tabla con cuadrícula45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2">
    <w:name w:val="Tabla con cuadrícula215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22">
    <w:name w:val="Tabla con cuadrícula81122"/>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42">
    <w:name w:val="Tabla Fichero Parametrización42"/>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42">
    <w:name w:val="Tabla con cuadrícula1142"/>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42">
    <w:name w:val="Lista clara24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42">
    <w:name w:val="Lista clara14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detablaclara152">
    <w:name w:val="Cuadrícula de tabla clara152"/>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252">
    <w:name w:val="Tabla con cuadrícula25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
    <w:name w:val="Tabla con cuadrícula34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
    <w:name w:val="Tabla con cuadrícula54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
    <w:name w:val="Tabla con cuadrícula64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2">
    <w:name w:val="Tabla con cuadrícula1114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7968EC"/>
  </w:style>
  <w:style w:type="table" w:customStyle="1" w:styleId="Tablaconcuadrcula732">
    <w:name w:val="Tabla con cuadrícula73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32">
    <w:name w:val="Cuadrícula de tabla clara1132"/>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32">
    <w:name w:val="Sin lista11132"/>
    <w:next w:val="Sinlista"/>
    <w:uiPriority w:val="99"/>
    <w:semiHidden/>
    <w:unhideWhenUsed/>
    <w:rsid w:val="007968EC"/>
  </w:style>
  <w:style w:type="table" w:customStyle="1" w:styleId="Tablaconcuadrcula1232">
    <w:name w:val="Tabla con cuadrícula123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32">
    <w:name w:val="Tabla Fichero Parametrización132"/>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122">
    <w:name w:val="Tabla con cuadrícula111122"/>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32">
    <w:name w:val="Lista clara213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32">
    <w:name w:val="Lista clara113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232">
    <w:name w:val="Tabla con cuadrícula223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968EC"/>
  </w:style>
  <w:style w:type="table" w:customStyle="1" w:styleId="Tablaconcuadrcula3132">
    <w:name w:val="Tabla con cuadrícula313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32">
    <w:name w:val="Cuadrícula de tabla clara1232"/>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32">
    <w:name w:val="Sin lista111132"/>
    <w:next w:val="Sinlista"/>
    <w:uiPriority w:val="99"/>
    <w:semiHidden/>
    <w:unhideWhenUsed/>
    <w:rsid w:val="007968EC"/>
  </w:style>
  <w:style w:type="table" w:customStyle="1" w:styleId="Tablaconcuadrcula21132">
    <w:name w:val="Tabla con cuadrícula2113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2">
    <w:name w:val="Tabla con cuadrícula413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2">
    <w:name w:val="Tabla con cuadrícula513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2">
    <w:name w:val="Tabla con cuadrícula613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32">
    <w:name w:val="Cuadrícula de tabla clara232"/>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32">
    <w:name w:val="Cuadrícula de tabla clara332"/>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432">
    <w:name w:val="Cuadrícula de tabla clara432"/>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832">
    <w:name w:val="Tabla con cuadrícula832"/>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968EC"/>
  </w:style>
  <w:style w:type="table" w:customStyle="1" w:styleId="Tablaconcuadrcula922">
    <w:name w:val="Tabla con cuadrícula92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222">
    <w:name w:val="Tabla Fichero Parametrización222"/>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322">
    <w:name w:val="Tabla con cuadrícula1322"/>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222">
    <w:name w:val="Lista clara222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222">
    <w:name w:val="Lista clara122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detablaclara1332">
    <w:name w:val="Cuadrícula de tabla clara1332"/>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2322">
    <w:name w:val="Tabla con cuadrícula23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2">
    <w:name w:val="Tabla con cuadrícula32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2">
    <w:name w:val="Tabla con cuadrícula42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2">
    <w:name w:val="Tabla con cuadrícula2122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2">
    <w:name w:val="Tabla con cuadrícula52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2">
    <w:name w:val="Tabla con cuadrícula62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2">
    <w:name w:val="Tabla con cuadrícula1122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2">
    <w:name w:val="Sin lista1232"/>
    <w:next w:val="Sinlista"/>
    <w:uiPriority w:val="99"/>
    <w:semiHidden/>
    <w:unhideWhenUsed/>
    <w:rsid w:val="007968EC"/>
  </w:style>
  <w:style w:type="table" w:customStyle="1" w:styleId="Tablaconcuadrcula7122">
    <w:name w:val="Tabla con cuadrícula71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122">
    <w:name w:val="Cuadrícula de tabla clara11122"/>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232">
    <w:name w:val="Sin lista11232"/>
    <w:next w:val="Sinlista"/>
    <w:uiPriority w:val="99"/>
    <w:semiHidden/>
    <w:unhideWhenUsed/>
    <w:rsid w:val="007968EC"/>
  </w:style>
  <w:style w:type="table" w:customStyle="1" w:styleId="Tablaconcuadrcula12122">
    <w:name w:val="Tabla con cuadrícula1212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122">
    <w:name w:val="Tabla Fichero Parametrización1122"/>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Listaclara21122">
    <w:name w:val="Lista clara2112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22">
    <w:name w:val="Lista clara1112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2122">
    <w:name w:val="Tabla con cuadrícula2212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2">
    <w:name w:val="Sin lista2132"/>
    <w:next w:val="Sinlista"/>
    <w:uiPriority w:val="99"/>
    <w:semiHidden/>
    <w:unhideWhenUsed/>
    <w:rsid w:val="007968EC"/>
  </w:style>
  <w:style w:type="table" w:customStyle="1" w:styleId="Tablaconcuadrcula31132">
    <w:name w:val="Tabla con cuadrícula3113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122">
    <w:name w:val="Cuadrícula de tabla clara12122"/>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122">
    <w:name w:val="Sin lista1111122"/>
    <w:next w:val="Sinlista"/>
    <w:uiPriority w:val="99"/>
    <w:semiHidden/>
    <w:unhideWhenUsed/>
    <w:rsid w:val="007968EC"/>
  </w:style>
  <w:style w:type="table" w:customStyle="1" w:styleId="Tablaconcuadrcula211122">
    <w:name w:val="Tabla con cuadrícula21112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22">
    <w:name w:val="Tabla con cuadrícula411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22">
    <w:name w:val="Tabla con cuadrícula511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2">
    <w:name w:val="Tabla con cuadrícula611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122">
    <w:name w:val="Cuadrícula de tabla clara2122"/>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132">
    <w:name w:val="Cuadrícula de tabla clara3132"/>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8132">
    <w:name w:val="Tabla con cuadrícula8132"/>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7968EC"/>
  </w:style>
  <w:style w:type="table" w:customStyle="1" w:styleId="Cuadrculadetablaclara13122">
    <w:name w:val="Cuadrícula de tabla clara13122"/>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2122">
    <w:name w:val="Sin lista12122"/>
    <w:next w:val="Sinlista"/>
    <w:uiPriority w:val="99"/>
    <w:semiHidden/>
    <w:unhideWhenUsed/>
    <w:rsid w:val="007968EC"/>
  </w:style>
  <w:style w:type="numbering" w:customStyle="1" w:styleId="Sinlista112122">
    <w:name w:val="Sin lista112122"/>
    <w:next w:val="Sinlista"/>
    <w:uiPriority w:val="99"/>
    <w:semiHidden/>
    <w:unhideWhenUsed/>
    <w:rsid w:val="007968EC"/>
  </w:style>
  <w:style w:type="numbering" w:customStyle="1" w:styleId="Sinlista21122">
    <w:name w:val="Sin lista21122"/>
    <w:next w:val="Sinlista"/>
    <w:uiPriority w:val="99"/>
    <w:semiHidden/>
    <w:unhideWhenUsed/>
    <w:rsid w:val="007968EC"/>
  </w:style>
  <w:style w:type="numbering" w:customStyle="1" w:styleId="Sinlista11111122">
    <w:name w:val="Sin lista11111122"/>
    <w:next w:val="Sinlista"/>
    <w:uiPriority w:val="99"/>
    <w:semiHidden/>
    <w:unhideWhenUsed/>
    <w:rsid w:val="007968EC"/>
  </w:style>
  <w:style w:type="table" w:customStyle="1" w:styleId="Cuadrculadetablaclara31122">
    <w:name w:val="Cuadrícula de tabla clara31122"/>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4122">
    <w:name w:val="Cuadrícula de tabla clara4122"/>
    <w:basedOn w:val="Tablanormal"/>
    <w:next w:val="Cuadrculadetablaclara4"/>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11122">
    <w:name w:val="Tabla con cuadrícula3111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7968EC"/>
  </w:style>
  <w:style w:type="table" w:customStyle="1" w:styleId="Tablaconcuadrcula1022">
    <w:name w:val="Tabla con cuadrícula1022"/>
    <w:basedOn w:val="Tablanormal"/>
    <w:next w:val="Tablaconcuadrcula"/>
    <w:rsid w:val="00796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522">
    <w:name w:val="Cuadrícula de tabla clara522"/>
    <w:basedOn w:val="Tablanormal"/>
    <w:next w:val="Cuadrculadetablaclara4"/>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322">
    <w:name w:val="Sin lista1322"/>
    <w:next w:val="Sinlista"/>
    <w:uiPriority w:val="99"/>
    <w:semiHidden/>
    <w:unhideWhenUsed/>
    <w:rsid w:val="007968EC"/>
  </w:style>
  <w:style w:type="table" w:customStyle="1" w:styleId="Tablaconcuadrcula1422">
    <w:name w:val="Tabla con cuadrícula1422"/>
    <w:basedOn w:val="Tablanormal"/>
    <w:next w:val="Tablaconcuadrcula"/>
    <w:uiPriority w:val="5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312">
    <w:name w:val="Tabla Fichero Parametrización312"/>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323">
    <w:name w:val="Tabla con cuadrícula11323"/>
    <w:basedOn w:val="Tablanormal"/>
    <w:next w:val="Tablaconcuadrcula"/>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312">
    <w:name w:val="Lista clara231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312">
    <w:name w:val="Lista clara131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22">
    <w:name w:val="Tabla con cuadrícula242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2">
    <w:name w:val="Sin lista2222"/>
    <w:next w:val="Sinlista"/>
    <w:uiPriority w:val="99"/>
    <w:semiHidden/>
    <w:unhideWhenUsed/>
    <w:rsid w:val="007968EC"/>
  </w:style>
  <w:style w:type="table" w:customStyle="1" w:styleId="Tablaconcuadrcula3322">
    <w:name w:val="Tabla con cuadrícula3322"/>
    <w:basedOn w:val="Tablanormal"/>
    <w:next w:val="Tablaconcuadrcula"/>
    <w:rsid w:val="00796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412">
    <w:name w:val="Cuadrícula de tabla clara1412"/>
    <w:basedOn w:val="Tablanormal"/>
    <w:next w:val="Cuadrculadetablaclara4"/>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322">
    <w:name w:val="Sin lista11322"/>
    <w:next w:val="Sinlista"/>
    <w:uiPriority w:val="99"/>
    <w:semiHidden/>
    <w:unhideWhenUsed/>
    <w:rsid w:val="007968EC"/>
  </w:style>
  <w:style w:type="table" w:customStyle="1" w:styleId="Tablaconcuadrcula12212">
    <w:name w:val="Tabla con cuadrícula122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212">
    <w:name w:val="Tabla Fichero Parametrización1212"/>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212">
    <w:name w:val="Tabla con cuadrícula111212"/>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212">
    <w:name w:val="Lista clara2121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212">
    <w:name w:val="Lista clara1121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1312">
    <w:name w:val="Tabla con cuadrícula213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2">
    <w:name w:val="Tabla con cuadrícula43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2">
    <w:name w:val="Tabla con cuadrícula53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2">
    <w:name w:val="Tabla con cuadrícula63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2">
    <w:name w:val="Tabla con cuadrícula72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212">
    <w:name w:val="Cuadrícula de tabla clara11212"/>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22212">
    <w:name w:val="Tabla con cuadrícula222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12">
    <w:name w:val="Tabla con cuadrícula312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212">
    <w:name w:val="Cuadrícula de tabla clara12212"/>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222">
    <w:name w:val="Sin lista111222"/>
    <w:next w:val="Sinlista"/>
    <w:uiPriority w:val="99"/>
    <w:semiHidden/>
    <w:unhideWhenUsed/>
    <w:rsid w:val="007968EC"/>
  </w:style>
  <w:style w:type="table" w:customStyle="1" w:styleId="Tablaconcuadrcula211212">
    <w:name w:val="Tabla con cuadrícula2112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2">
    <w:name w:val="Tabla con cuadrícula412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12">
    <w:name w:val="Tabla con cuadrícula512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2">
    <w:name w:val="Tabla con cuadrícula612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212">
    <w:name w:val="Cuadrícula de tabla clara2212"/>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212">
    <w:name w:val="Cuadrícula de tabla clara3212"/>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8212">
    <w:name w:val="Tabla con cuadrícula8212"/>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2">
    <w:name w:val="Sin lista3222"/>
    <w:next w:val="Sinlista"/>
    <w:uiPriority w:val="99"/>
    <w:semiHidden/>
    <w:unhideWhenUsed/>
    <w:rsid w:val="007968EC"/>
  </w:style>
  <w:style w:type="table" w:customStyle="1" w:styleId="Tablaconcuadrcula9112">
    <w:name w:val="Tabla con cuadrícula91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2112">
    <w:name w:val="Tabla Fichero Parametrización2112"/>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3112">
    <w:name w:val="Tabla con cuadrícula13112"/>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2112">
    <w:name w:val="Lista clara2211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2112">
    <w:name w:val="Lista clara1211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detablaclara13212">
    <w:name w:val="Cuadrícula de tabla clara13212"/>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23112">
    <w:name w:val="Tabla con cuadrícula23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2">
    <w:name w:val="Tabla con cuadrícula32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12">
    <w:name w:val="Tabla con cuadrícula42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2">
    <w:name w:val="Tabla con cuadrícula2121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12">
    <w:name w:val="Tabla con cuadrícula52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2">
    <w:name w:val="Tabla con cuadrícula62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2">
    <w:name w:val="Tabla con cuadrícula1121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22">
    <w:name w:val="Sin lista12222"/>
    <w:next w:val="Sinlista"/>
    <w:uiPriority w:val="99"/>
    <w:semiHidden/>
    <w:unhideWhenUsed/>
    <w:rsid w:val="007968EC"/>
  </w:style>
  <w:style w:type="table" w:customStyle="1" w:styleId="Tablaconcuadrcula71112">
    <w:name w:val="Tabla con cuadrícula71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1112">
    <w:name w:val="Cuadrícula de tabla clara111112"/>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2222">
    <w:name w:val="Sin lista112222"/>
    <w:next w:val="Sinlista"/>
    <w:uiPriority w:val="99"/>
    <w:semiHidden/>
    <w:unhideWhenUsed/>
    <w:rsid w:val="007968EC"/>
  </w:style>
  <w:style w:type="table" w:customStyle="1" w:styleId="Tablaconcuadrcula121112">
    <w:name w:val="Tabla con cuadrícula1211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1112">
    <w:name w:val="Tabla Fichero Parametrización11112"/>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1112">
    <w:name w:val="Tabla con cuadrícula1111112"/>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1112">
    <w:name w:val="Lista clara21111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12">
    <w:name w:val="Lista clara11111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21112">
    <w:name w:val="Tabla con cuadrícula2211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22">
    <w:name w:val="Sin lista21222"/>
    <w:next w:val="Sinlista"/>
    <w:uiPriority w:val="99"/>
    <w:semiHidden/>
    <w:unhideWhenUsed/>
    <w:rsid w:val="007968EC"/>
  </w:style>
  <w:style w:type="table" w:customStyle="1" w:styleId="Tablaconcuadrcula311212">
    <w:name w:val="Tabla con cuadrícula3112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1112">
    <w:name w:val="Cuadrícula de tabla clara121112"/>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222">
    <w:name w:val="Sin lista1111222"/>
    <w:next w:val="Sinlista"/>
    <w:uiPriority w:val="99"/>
    <w:semiHidden/>
    <w:unhideWhenUsed/>
    <w:rsid w:val="007968EC"/>
  </w:style>
  <w:style w:type="table" w:customStyle="1" w:styleId="Tablaconcuadrcula2111112">
    <w:name w:val="Tabla con cuadrícula21111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12">
    <w:name w:val="Tabla con cuadrícula411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12">
    <w:name w:val="Tabla con cuadrícula511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12">
    <w:name w:val="Tabla con cuadrícula611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1112">
    <w:name w:val="Cuadrícula de tabla clara21112"/>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1212">
    <w:name w:val="Cuadrícula de tabla clara31212"/>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4212">
    <w:name w:val="Cuadrícula de tabla clara4212"/>
    <w:basedOn w:val="Tablanormal"/>
    <w:next w:val="Cuadrculadetablaclara4"/>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81212">
    <w:name w:val="Tabla con cuadrícula81212"/>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2">
    <w:name w:val="Sin lista31122"/>
    <w:next w:val="Sinlista"/>
    <w:uiPriority w:val="99"/>
    <w:semiHidden/>
    <w:unhideWhenUsed/>
    <w:rsid w:val="007968EC"/>
  </w:style>
  <w:style w:type="table" w:customStyle="1" w:styleId="Cuadrculadetablaclara131112">
    <w:name w:val="Cuadrícula de tabla clara131112"/>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21122">
    <w:name w:val="Sin lista121122"/>
    <w:next w:val="Sinlista"/>
    <w:uiPriority w:val="99"/>
    <w:semiHidden/>
    <w:unhideWhenUsed/>
    <w:rsid w:val="007968EC"/>
  </w:style>
  <w:style w:type="numbering" w:customStyle="1" w:styleId="Sinlista1121122">
    <w:name w:val="Sin lista1121122"/>
    <w:next w:val="Sinlista"/>
    <w:uiPriority w:val="99"/>
    <w:semiHidden/>
    <w:unhideWhenUsed/>
    <w:rsid w:val="007968EC"/>
  </w:style>
  <w:style w:type="numbering" w:customStyle="1" w:styleId="Sinlista211122">
    <w:name w:val="Sin lista211122"/>
    <w:next w:val="Sinlista"/>
    <w:uiPriority w:val="99"/>
    <w:semiHidden/>
    <w:unhideWhenUsed/>
    <w:rsid w:val="007968EC"/>
  </w:style>
  <w:style w:type="numbering" w:customStyle="1" w:styleId="Sinlista111111122">
    <w:name w:val="Sin lista111111122"/>
    <w:next w:val="Sinlista"/>
    <w:uiPriority w:val="99"/>
    <w:semiHidden/>
    <w:unhideWhenUsed/>
    <w:rsid w:val="007968EC"/>
  </w:style>
  <w:style w:type="table" w:customStyle="1" w:styleId="Cuadrculadetablaclara311112">
    <w:name w:val="Cuadrícula de tabla clara311112"/>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41112">
    <w:name w:val="Cuadrícula de tabla clara41112"/>
    <w:basedOn w:val="Tablanormal"/>
    <w:next w:val="Cuadrculadetablaclara4"/>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111112">
    <w:name w:val="Tabla con cuadrícula3111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12">
    <w:name w:val="Tabla con cuadrícula811112"/>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7968EC"/>
  </w:style>
  <w:style w:type="table" w:customStyle="1" w:styleId="Tablaconcuadrcula10112">
    <w:name w:val="Tabla con cuadrícula101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112">
    <w:name w:val="Tabla con cuadrícula24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2">
    <w:name w:val="Tabla con cuadrícula33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2">
    <w:name w:val="Tabla con cuadrícula1131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2">
    <w:name w:val="Sin lista13112"/>
    <w:next w:val="Sinlista"/>
    <w:uiPriority w:val="99"/>
    <w:semiHidden/>
    <w:unhideWhenUsed/>
    <w:rsid w:val="007968EC"/>
  </w:style>
  <w:style w:type="numbering" w:customStyle="1" w:styleId="Sinlista113112">
    <w:name w:val="Sin lista113112"/>
    <w:next w:val="Sinlista"/>
    <w:uiPriority w:val="99"/>
    <w:semiHidden/>
    <w:unhideWhenUsed/>
    <w:rsid w:val="007968EC"/>
  </w:style>
  <w:style w:type="numbering" w:customStyle="1" w:styleId="Sinlista22112">
    <w:name w:val="Sin lista22112"/>
    <w:next w:val="Sinlista"/>
    <w:uiPriority w:val="99"/>
    <w:semiHidden/>
    <w:unhideWhenUsed/>
    <w:rsid w:val="007968EC"/>
  </w:style>
  <w:style w:type="numbering" w:customStyle="1" w:styleId="Sinlista1112112">
    <w:name w:val="Sin lista1112112"/>
    <w:next w:val="Sinlista"/>
    <w:uiPriority w:val="99"/>
    <w:semiHidden/>
    <w:unhideWhenUsed/>
    <w:rsid w:val="007968EC"/>
  </w:style>
  <w:style w:type="table" w:customStyle="1" w:styleId="Cuadrculadetablaclara5112">
    <w:name w:val="Cuadrícula de tabla clara5112"/>
    <w:basedOn w:val="Tablanormal"/>
    <w:next w:val="Cuadrculadetablaclara4"/>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32112">
    <w:name w:val="Sin lista32112"/>
    <w:next w:val="Sinlista"/>
    <w:uiPriority w:val="99"/>
    <w:semiHidden/>
    <w:unhideWhenUsed/>
    <w:rsid w:val="007968EC"/>
  </w:style>
  <w:style w:type="numbering" w:customStyle="1" w:styleId="Sinlista122112">
    <w:name w:val="Sin lista122112"/>
    <w:next w:val="Sinlista"/>
    <w:uiPriority w:val="99"/>
    <w:semiHidden/>
    <w:unhideWhenUsed/>
    <w:rsid w:val="007968EC"/>
  </w:style>
  <w:style w:type="numbering" w:customStyle="1" w:styleId="Sinlista1122112">
    <w:name w:val="Sin lista1122112"/>
    <w:next w:val="Sinlista"/>
    <w:uiPriority w:val="99"/>
    <w:semiHidden/>
    <w:unhideWhenUsed/>
    <w:rsid w:val="007968EC"/>
  </w:style>
  <w:style w:type="numbering" w:customStyle="1" w:styleId="Sinlista212112">
    <w:name w:val="Sin lista212112"/>
    <w:next w:val="Sinlista"/>
    <w:uiPriority w:val="99"/>
    <w:semiHidden/>
    <w:unhideWhenUsed/>
    <w:rsid w:val="007968EC"/>
  </w:style>
  <w:style w:type="numbering" w:customStyle="1" w:styleId="Sinlista11112112">
    <w:name w:val="Sin lista11112112"/>
    <w:next w:val="Sinlista"/>
    <w:uiPriority w:val="99"/>
    <w:semiHidden/>
    <w:unhideWhenUsed/>
    <w:rsid w:val="007968EC"/>
  </w:style>
  <w:style w:type="numbering" w:customStyle="1" w:styleId="Sinlista311112">
    <w:name w:val="Sin lista311112"/>
    <w:next w:val="Sinlista"/>
    <w:uiPriority w:val="99"/>
    <w:semiHidden/>
    <w:unhideWhenUsed/>
    <w:rsid w:val="007968EC"/>
  </w:style>
  <w:style w:type="numbering" w:customStyle="1" w:styleId="Sinlista1211112">
    <w:name w:val="Sin lista1211112"/>
    <w:next w:val="Sinlista"/>
    <w:uiPriority w:val="99"/>
    <w:semiHidden/>
    <w:unhideWhenUsed/>
    <w:rsid w:val="007968EC"/>
  </w:style>
  <w:style w:type="numbering" w:customStyle="1" w:styleId="Sinlista11211112">
    <w:name w:val="Sin lista11211112"/>
    <w:next w:val="Sinlista"/>
    <w:uiPriority w:val="99"/>
    <w:semiHidden/>
    <w:unhideWhenUsed/>
    <w:rsid w:val="007968EC"/>
  </w:style>
  <w:style w:type="numbering" w:customStyle="1" w:styleId="Sinlista2111112">
    <w:name w:val="Sin lista2111112"/>
    <w:next w:val="Sinlista"/>
    <w:uiPriority w:val="99"/>
    <w:semiHidden/>
    <w:unhideWhenUsed/>
    <w:rsid w:val="007968EC"/>
  </w:style>
  <w:style w:type="numbering" w:customStyle="1" w:styleId="Sinlista111111111112">
    <w:name w:val="Sin lista111111111112"/>
    <w:next w:val="Sinlista"/>
    <w:uiPriority w:val="99"/>
    <w:semiHidden/>
    <w:unhideWhenUsed/>
    <w:rsid w:val="007968EC"/>
  </w:style>
  <w:style w:type="table" w:customStyle="1" w:styleId="Tablaconcuadrcula111312">
    <w:name w:val="Tabla con cuadrícula111312"/>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1">
    <w:name w:val="Sin lista61"/>
    <w:next w:val="Sinlista"/>
    <w:uiPriority w:val="99"/>
    <w:semiHidden/>
    <w:unhideWhenUsed/>
    <w:rsid w:val="007968EC"/>
  </w:style>
  <w:style w:type="numbering" w:customStyle="1" w:styleId="Sinlista151">
    <w:name w:val="Sin lista151"/>
    <w:next w:val="Sinlista"/>
    <w:uiPriority w:val="99"/>
    <w:semiHidden/>
    <w:unhideWhenUsed/>
    <w:rsid w:val="007968EC"/>
  </w:style>
  <w:style w:type="numbering" w:customStyle="1" w:styleId="Sinlista1151">
    <w:name w:val="Sin lista1151"/>
    <w:next w:val="Sinlista"/>
    <w:uiPriority w:val="99"/>
    <w:semiHidden/>
    <w:unhideWhenUsed/>
    <w:rsid w:val="007968EC"/>
  </w:style>
  <w:style w:type="numbering" w:customStyle="1" w:styleId="Sinlista11141">
    <w:name w:val="Sin lista11141"/>
    <w:next w:val="Sinlista"/>
    <w:uiPriority w:val="99"/>
    <w:semiHidden/>
    <w:unhideWhenUsed/>
    <w:rsid w:val="007968EC"/>
  </w:style>
  <w:style w:type="table" w:customStyle="1" w:styleId="Tablaconcuadrcula181">
    <w:name w:val="Tabla con cuadrícula18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51">
    <w:name w:val="Tabla Fichero Parametrización51"/>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91">
    <w:name w:val="Tabla con cuadrícula191"/>
    <w:basedOn w:val="Tablanormal"/>
    <w:next w:val="Tablaconcuadrcula"/>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51">
    <w:name w:val="Lista clara25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51">
    <w:name w:val="Lista clara15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detablaclara161">
    <w:name w:val="Cuadrícula de tabla clara161"/>
    <w:basedOn w:val="Tablanormal"/>
    <w:uiPriority w:val="40"/>
    <w:rsid w:val="007968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261">
    <w:name w:val="Tabla con cuadrícula26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1">
    <w:name w:val="Tabla con cuadrícula216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1">
    <w:name w:val="Tabla con cuadrícula65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1">
    <w:name w:val="Sin lista111141"/>
    <w:next w:val="Sinlista"/>
    <w:uiPriority w:val="99"/>
    <w:semiHidden/>
    <w:unhideWhenUsed/>
    <w:rsid w:val="007968EC"/>
  </w:style>
  <w:style w:type="table" w:customStyle="1" w:styleId="Tablaconcuadrcula741">
    <w:name w:val="Tabla con cuadrícula74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41">
    <w:name w:val="Cuadrícula de tabla clara1141"/>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131">
    <w:name w:val="Sin lista1111131"/>
    <w:next w:val="Sinlista"/>
    <w:uiPriority w:val="99"/>
    <w:semiHidden/>
    <w:unhideWhenUsed/>
    <w:rsid w:val="007968EC"/>
  </w:style>
  <w:style w:type="table" w:customStyle="1" w:styleId="Tablaconcuadrcula1241">
    <w:name w:val="Tabla con cuadrícula124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41">
    <w:name w:val="Tabla Fichero Parametrización141"/>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51">
    <w:name w:val="Tabla con cuadrícula11151"/>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41">
    <w:name w:val="Lista clara214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41">
    <w:name w:val="Lista clara114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241">
    <w:name w:val="Tabla con cuadrícula224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
    <w:name w:val="Sin lista241"/>
    <w:next w:val="Sinlista"/>
    <w:uiPriority w:val="99"/>
    <w:semiHidden/>
    <w:unhideWhenUsed/>
    <w:rsid w:val="007968EC"/>
  </w:style>
  <w:style w:type="table" w:customStyle="1" w:styleId="Tablaconcuadrcula3141">
    <w:name w:val="Tabla con cuadrícula314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41">
    <w:name w:val="Cuadrícula de tabla clara1241"/>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1131">
    <w:name w:val="Sin lista11111131"/>
    <w:next w:val="Sinlista"/>
    <w:uiPriority w:val="99"/>
    <w:semiHidden/>
    <w:unhideWhenUsed/>
    <w:rsid w:val="007968EC"/>
  </w:style>
  <w:style w:type="table" w:customStyle="1" w:styleId="Tablaconcuadrcula21141">
    <w:name w:val="Tabla con cuadrícula2114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1">
    <w:name w:val="Tabla con cuadrícula414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1">
    <w:name w:val="Tabla con cuadrícula514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1">
    <w:name w:val="Tabla con cuadrícula614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41">
    <w:name w:val="Cuadrícula de tabla clara241"/>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41">
    <w:name w:val="Cuadrícula de tabla clara341"/>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detablaclara61">
    <w:name w:val="Cuadrícula de tabla clara61"/>
    <w:basedOn w:val="Tablanormal"/>
    <w:next w:val="Cuadrculadetablaclara4"/>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841">
    <w:name w:val="Tabla con cuadrícula841"/>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
    <w:name w:val="Sin lista341"/>
    <w:next w:val="Sinlista"/>
    <w:uiPriority w:val="99"/>
    <w:semiHidden/>
    <w:unhideWhenUsed/>
    <w:rsid w:val="007968EC"/>
  </w:style>
  <w:style w:type="table" w:customStyle="1" w:styleId="Tablaconcuadrcula931">
    <w:name w:val="Tabla con cuadrícula93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231">
    <w:name w:val="Tabla Fichero Parametrización231"/>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331">
    <w:name w:val="Tabla con cuadrícula1331"/>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231">
    <w:name w:val="Lista clara223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231">
    <w:name w:val="Lista clara123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detablaclara1341">
    <w:name w:val="Cuadrícula de tabla clara1341"/>
    <w:basedOn w:val="Tablanormal"/>
    <w:uiPriority w:val="40"/>
    <w:rsid w:val="007968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2331">
    <w:name w:val="Tabla con cuadrícula233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1">
    <w:name w:val="Tabla con cuadrícula323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1">
    <w:name w:val="Tabla con cuadrícula423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31">
    <w:name w:val="Tabla con cuadrícula2123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31">
    <w:name w:val="Tabla con cuadrícula523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1">
    <w:name w:val="Tabla con cuadrícula623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1">
    <w:name w:val="Tabla con cuadrícula1123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
    <w:name w:val="Sin lista1241"/>
    <w:next w:val="Sinlista"/>
    <w:uiPriority w:val="99"/>
    <w:semiHidden/>
    <w:unhideWhenUsed/>
    <w:rsid w:val="007968EC"/>
  </w:style>
  <w:style w:type="table" w:customStyle="1" w:styleId="Tablaconcuadrcula7131">
    <w:name w:val="Tabla con cuadrícula713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131">
    <w:name w:val="Cuadrícula de tabla clara11131"/>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241">
    <w:name w:val="Sin lista11241"/>
    <w:next w:val="Sinlista"/>
    <w:uiPriority w:val="99"/>
    <w:semiHidden/>
    <w:unhideWhenUsed/>
    <w:rsid w:val="007968EC"/>
  </w:style>
  <w:style w:type="table" w:customStyle="1" w:styleId="Tablaconcuadrcula12131">
    <w:name w:val="Tabla con cuadrícula1213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131">
    <w:name w:val="Tabla Fichero Parametrización1131"/>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131">
    <w:name w:val="Tabla con cuadrícula111131"/>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131">
    <w:name w:val="Lista clara2113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31">
    <w:name w:val="Lista clara1113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2131">
    <w:name w:val="Tabla con cuadrícula2213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41">
    <w:name w:val="Sin lista2141"/>
    <w:next w:val="Sinlista"/>
    <w:uiPriority w:val="99"/>
    <w:semiHidden/>
    <w:unhideWhenUsed/>
    <w:rsid w:val="007968EC"/>
  </w:style>
  <w:style w:type="table" w:customStyle="1" w:styleId="Tablaconcuadrcula31141">
    <w:name w:val="Tabla con cuadrícula3114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131">
    <w:name w:val="Cuadrícula de tabla clara12131"/>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11131">
    <w:name w:val="Sin lista111111131"/>
    <w:next w:val="Sinlista"/>
    <w:uiPriority w:val="99"/>
    <w:semiHidden/>
    <w:unhideWhenUsed/>
    <w:rsid w:val="007968EC"/>
  </w:style>
  <w:style w:type="table" w:customStyle="1" w:styleId="Tablaconcuadrcula211131">
    <w:name w:val="Tabla con cuadrícula21113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31">
    <w:name w:val="Tabla con cuadrícula4113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31">
    <w:name w:val="Tabla con cuadrícula5113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31">
    <w:name w:val="Tabla con cuadrícula6113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131">
    <w:name w:val="Cuadrícula de tabla clara2131"/>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141">
    <w:name w:val="Cuadrícula de tabla clara3141"/>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detablaclara441">
    <w:name w:val="Cuadrícula de tabla clara441"/>
    <w:basedOn w:val="Tablanormal"/>
    <w:next w:val="Cuadrculadetablaclara4"/>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8141">
    <w:name w:val="Tabla con cuadrícula8141"/>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7968EC"/>
  </w:style>
  <w:style w:type="table" w:customStyle="1" w:styleId="Cuadrculadetablaclara13131">
    <w:name w:val="Cuadrícula de tabla clara13131"/>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2131">
    <w:name w:val="Sin lista12131"/>
    <w:next w:val="Sinlista"/>
    <w:uiPriority w:val="99"/>
    <w:semiHidden/>
    <w:unhideWhenUsed/>
    <w:rsid w:val="007968EC"/>
  </w:style>
  <w:style w:type="numbering" w:customStyle="1" w:styleId="Sinlista112131">
    <w:name w:val="Sin lista112131"/>
    <w:next w:val="Sinlista"/>
    <w:uiPriority w:val="99"/>
    <w:semiHidden/>
    <w:unhideWhenUsed/>
    <w:rsid w:val="007968EC"/>
  </w:style>
  <w:style w:type="numbering" w:customStyle="1" w:styleId="Sinlista21131">
    <w:name w:val="Sin lista21131"/>
    <w:next w:val="Sinlista"/>
    <w:uiPriority w:val="99"/>
    <w:semiHidden/>
    <w:unhideWhenUsed/>
    <w:rsid w:val="007968EC"/>
  </w:style>
  <w:style w:type="numbering" w:customStyle="1" w:styleId="Sinlista1111111121">
    <w:name w:val="Sin lista1111111121"/>
    <w:next w:val="Sinlista"/>
    <w:uiPriority w:val="99"/>
    <w:semiHidden/>
    <w:unhideWhenUsed/>
    <w:rsid w:val="007968EC"/>
  </w:style>
  <w:style w:type="table" w:customStyle="1" w:styleId="Cuadrculadetablaclara31131">
    <w:name w:val="Cuadrícula de tabla clara31131"/>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4131">
    <w:name w:val="Cuadrícula de tabla clara4131"/>
    <w:basedOn w:val="Tablanormal"/>
    <w:next w:val="Cuadrculadetablaclara4"/>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11131">
    <w:name w:val="Tabla con cuadrícula31113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31">
    <w:name w:val="Tabla con cuadrícula81131"/>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7968EC"/>
  </w:style>
  <w:style w:type="table" w:customStyle="1" w:styleId="Tablaconcuadrcula1031">
    <w:name w:val="Tabla con cuadrícula1031"/>
    <w:basedOn w:val="Tablanormal"/>
    <w:next w:val="Tablaconcuadrcula"/>
    <w:rsid w:val="00796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531">
    <w:name w:val="Cuadrícula de tabla clara531"/>
    <w:basedOn w:val="Tablanormal"/>
    <w:next w:val="Cuadrculadetablaclara4"/>
    <w:uiPriority w:val="40"/>
    <w:rsid w:val="007968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1331">
    <w:name w:val="Sin lista1331"/>
    <w:next w:val="Sinlista"/>
    <w:uiPriority w:val="99"/>
    <w:semiHidden/>
    <w:unhideWhenUsed/>
    <w:rsid w:val="007968EC"/>
  </w:style>
  <w:style w:type="table" w:customStyle="1" w:styleId="Tablaconcuadrcula1431">
    <w:name w:val="Tabla con cuadrícula1431"/>
    <w:basedOn w:val="Tablanormal"/>
    <w:next w:val="Tablaconcuadrcula"/>
    <w:uiPriority w:val="5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321">
    <w:name w:val="Tabla Fichero Parametrización321"/>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331">
    <w:name w:val="Tabla con cuadrícula11331"/>
    <w:basedOn w:val="Tablanormal"/>
    <w:next w:val="Tablaconcuadrcula"/>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321">
    <w:name w:val="Lista clara232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321">
    <w:name w:val="Lista clara132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31">
    <w:name w:val="Tabla con cuadrícula243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31">
    <w:name w:val="Sin lista2231"/>
    <w:next w:val="Sinlista"/>
    <w:uiPriority w:val="99"/>
    <w:semiHidden/>
    <w:unhideWhenUsed/>
    <w:rsid w:val="007968EC"/>
  </w:style>
  <w:style w:type="table" w:customStyle="1" w:styleId="Tablaconcuadrcula3331">
    <w:name w:val="Tabla con cuadrícula3331"/>
    <w:basedOn w:val="Tablanormal"/>
    <w:next w:val="Tablaconcuadrcula"/>
    <w:rsid w:val="00796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421">
    <w:name w:val="Cuadrícula de tabla clara1421"/>
    <w:basedOn w:val="Tablanormal"/>
    <w:next w:val="Cuadrculadetablaclara4"/>
    <w:uiPriority w:val="40"/>
    <w:rsid w:val="007968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11331">
    <w:name w:val="Sin lista11331"/>
    <w:next w:val="Sinlista"/>
    <w:uiPriority w:val="99"/>
    <w:semiHidden/>
    <w:unhideWhenUsed/>
    <w:rsid w:val="007968EC"/>
  </w:style>
  <w:style w:type="table" w:customStyle="1" w:styleId="Tablaconcuadrcula12221">
    <w:name w:val="Tabla con cuadrícula1222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221">
    <w:name w:val="Tabla Fichero Parametrización1221"/>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221">
    <w:name w:val="Tabla con cuadrícula111221"/>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221">
    <w:name w:val="Lista clara2122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221">
    <w:name w:val="Lista clara1122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1321">
    <w:name w:val="Tabla con cuadrícula2132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1">
    <w:name w:val="Tabla con cuadrícula43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1">
    <w:name w:val="Tabla con cuadrícula53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1">
    <w:name w:val="Tabla con cuadrícula63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1">
    <w:name w:val="Tabla con cuadrícula72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221">
    <w:name w:val="Cuadrícula de tabla clara11221"/>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22221">
    <w:name w:val="Tabla con cuadrícula2222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21">
    <w:name w:val="Tabla con cuadrícula312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221">
    <w:name w:val="Cuadrícula de tabla clara12221"/>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231">
    <w:name w:val="Sin lista111231"/>
    <w:next w:val="Sinlista"/>
    <w:uiPriority w:val="99"/>
    <w:semiHidden/>
    <w:unhideWhenUsed/>
    <w:rsid w:val="007968EC"/>
  </w:style>
  <w:style w:type="table" w:customStyle="1" w:styleId="Tablaconcuadrcula211221">
    <w:name w:val="Tabla con cuadrícula21122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21">
    <w:name w:val="Tabla con cuadrícula412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21">
    <w:name w:val="Tabla con cuadrícula512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21">
    <w:name w:val="Tabla con cuadrícula612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221">
    <w:name w:val="Cuadrícula de tabla clara2221"/>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221">
    <w:name w:val="Cuadrícula de tabla clara3221"/>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8221">
    <w:name w:val="Tabla con cuadrícula8221"/>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31">
    <w:name w:val="Sin lista3231"/>
    <w:next w:val="Sinlista"/>
    <w:uiPriority w:val="99"/>
    <w:semiHidden/>
    <w:unhideWhenUsed/>
    <w:rsid w:val="007968EC"/>
  </w:style>
  <w:style w:type="table" w:customStyle="1" w:styleId="Tablaconcuadrcula9121">
    <w:name w:val="Tabla con cuadrícula912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2121">
    <w:name w:val="Tabla Fichero Parametrización2121"/>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3121">
    <w:name w:val="Tabla con cuadrícula13121"/>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2121">
    <w:name w:val="Lista clara2212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2121">
    <w:name w:val="Lista clara1212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detablaclara13221">
    <w:name w:val="Cuadrícula de tabla clara13221"/>
    <w:basedOn w:val="Tablanormal"/>
    <w:uiPriority w:val="40"/>
    <w:rsid w:val="007968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23121">
    <w:name w:val="Tabla con cuadrícula231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21">
    <w:name w:val="Tabla con cuadrícula321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21">
    <w:name w:val="Tabla con cuadrícula421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21">
    <w:name w:val="Tabla con cuadrícula21212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21">
    <w:name w:val="Tabla con cuadrícula521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21">
    <w:name w:val="Tabla con cuadrícula621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1">
    <w:name w:val="Tabla con cuadrícula11212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31">
    <w:name w:val="Sin lista12231"/>
    <w:next w:val="Sinlista"/>
    <w:uiPriority w:val="99"/>
    <w:semiHidden/>
    <w:unhideWhenUsed/>
    <w:rsid w:val="007968EC"/>
  </w:style>
  <w:style w:type="table" w:customStyle="1" w:styleId="Tablaconcuadrcula71121">
    <w:name w:val="Tabla con cuadrícula711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1121">
    <w:name w:val="Cuadrícula de tabla clara111121"/>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2231">
    <w:name w:val="Sin lista112231"/>
    <w:next w:val="Sinlista"/>
    <w:uiPriority w:val="99"/>
    <w:semiHidden/>
    <w:unhideWhenUsed/>
    <w:rsid w:val="007968EC"/>
  </w:style>
  <w:style w:type="table" w:customStyle="1" w:styleId="Tablaconcuadrcula121121">
    <w:name w:val="Tabla con cuadrícula12112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1121">
    <w:name w:val="Tabla Fichero Parametrización11121"/>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1121">
    <w:name w:val="Tabla con cuadrícula1111121"/>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1121">
    <w:name w:val="Lista clara21112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21">
    <w:name w:val="Lista clara11112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21121">
    <w:name w:val="Tabla con cuadrícula22112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31">
    <w:name w:val="Sin lista21231"/>
    <w:next w:val="Sinlista"/>
    <w:uiPriority w:val="99"/>
    <w:semiHidden/>
    <w:unhideWhenUsed/>
    <w:rsid w:val="007968EC"/>
  </w:style>
  <w:style w:type="table" w:customStyle="1" w:styleId="Tablaconcuadrcula311221">
    <w:name w:val="Tabla con cuadrícula3112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1121">
    <w:name w:val="Cuadrícula de tabla clara121121"/>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231">
    <w:name w:val="Sin lista1111231"/>
    <w:next w:val="Sinlista"/>
    <w:uiPriority w:val="99"/>
    <w:semiHidden/>
    <w:unhideWhenUsed/>
    <w:rsid w:val="007968EC"/>
  </w:style>
  <w:style w:type="table" w:customStyle="1" w:styleId="Tablaconcuadrcula2111121">
    <w:name w:val="Tabla con cuadrícula211112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21">
    <w:name w:val="Tabla con cuadrícula4111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21">
    <w:name w:val="Tabla con cuadrícula5111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21">
    <w:name w:val="Tabla con cuadrícula6111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1121">
    <w:name w:val="Cuadrícula de tabla clara21121"/>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1221">
    <w:name w:val="Cuadrícula de tabla clara31221"/>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detablaclara4221">
    <w:name w:val="Cuadrícula de tabla clara4221"/>
    <w:basedOn w:val="Tablanormal"/>
    <w:next w:val="Cuadrculadetablaclara4"/>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81221">
    <w:name w:val="Tabla con cuadrícula81221"/>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1">
    <w:name w:val="Sin lista31131"/>
    <w:next w:val="Sinlista"/>
    <w:uiPriority w:val="99"/>
    <w:semiHidden/>
    <w:unhideWhenUsed/>
    <w:rsid w:val="007968EC"/>
  </w:style>
  <w:style w:type="table" w:customStyle="1" w:styleId="Cuadrculadetablaclara131121">
    <w:name w:val="Cuadrícula de tabla clara131121"/>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21131">
    <w:name w:val="Sin lista121131"/>
    <w:next w:val="Sinlista"/>
    <w:uiPriority w:val="99"/>
    <w:semiHidden/>
    <w:unhideWhenUsed/>
    <w:rsid w:val="007968EC"/>
  </w:style>
  <w:style w:type="numbering" w:customStyle="1" w:styleId="Sinlista1121131">
    <w:name w:val="Sin lista1121131"/>
    <w:next w:val="Sinlista"/>
    <w:uiPriority w:val="99"/>
    <w:semiHidden/>
    <w:unhideWhenUsed/>
    <w:rsid w:val="007968EC"/>
  </w:style>
  <w:style w:type="numbering" w:customStyle="1" w:styleId="Sinlista211131">
    <w:name w:val="Sin lista211131"/>
    <w:next w:val="Sinlista"/>
    <w:uiPriority w:val="99"/>
    <w:semiHidden/>
    <w:unhideWhenUsed/>
    <w:rsid w:val="007968EC"/>
  </w:style>
  <w:style w:type="numbering" w:customStyle="1" w:styleId="Sinlista11111111121">
    <w:name w:val="Sin lista11111111121"/>
    <w:next w:val="Sinlista"/>
    <w:uiPriority w:val="99"/>
    <w:semiHidden/>
    <w:unhideWhenUsed/>
    <w:rsid w:val="007968EC"/>
  </w:style>
  <w:style w:type="table" w:customStyle="1" w:styleId="Cuadrculadetablaclara311121">
    <w:name w:val="Cuadrícula de tabla clara311121"/>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41121">
    <w:name w:val="Cuadrícula de tabla clara41121"/>
    <w:basedOn w:val="Tablanormal"/>
    <w:next w:val="Cuadrculadetablaclara4"/>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111121">
    <w:name w:val="Tabla con cuadrícula31111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21">
    <w:name w:val="Tabla con cuadrícula811121"/>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7968EC"/>
  </w:style>
  <w:style w:type="table" w:customStyle="1" w:styleId="Tablaconcuadrcula10121">
    <w:name w:val="Tabla con cuadrícula1012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1">
    <w:name w:val="Tabla con cuadrícula14121"/>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121">
    <w:name w:val="Tabla con cuadrícula241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21">
    <w:name w:val="Tabla con cuadrícula331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21">
    <w:name w:val="Tabla con cuadrícula11312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7968EC"/>
  </w:style>
  <w:style w:type="numbering" w:customStyle="1" w:styleId="Sinlista113121">
    <w:name w:val="Sin lista113121"/>
    <w:next w:val="Sinlista"/>
    <w:uiPriority w:val="99"/>
    <w:semiHidden/>
    <w:unhideWhenUsed/>
    <w:rsid w:val="007968EC"/>
  </w:style>
  <w:style w:type="numbering" w:customStyle="1" w:styleId="Sinlista22121">
    <w:name w:val="Sin lista22121"/>
    <w:next w:val="Sinlista"/>
    <w:uiPriority w:val="99"/>
    <w:semiHidden/>
    <w:unhideWhenUsed/>
    <w:rsid w:val="007968EC"/>
  </w:style>
  <w:style w:type="numbering" w:customStyle="1" w:styleId="Sinlista1112121">
    <w:name w:val="Sin lista1112121"/>
    <w:next w:val="Sinlista"/>
    <w:uiPriority w:val="99"/>
    <w:semiHidden/>
    <w:unhideWhenUsed/>
    <w:rsid w:val="007968EC"/>
  </w:style>
  <w:style w:type="table" w:customStyle="1" w:styleId="Cuadrculadetablaclara5121">
    <w:name w:val="Cuadrícula de tabla clara5121"/>
    <w:basedOn w:val="Tablanormal"/>
    <w:next w:val="Cuadrculadetablaclara4"/>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32121">
    <w:name w:val="Sin lista32121"/>
    <w:next w:val="Sinlista"/>
    <w:uiPriority w:val="99"/>
    <w:semiHidden/>
    <w:unhideWhenUsed/>
    <w:rsid w:val="007968EC"/>
  </w:style>
  <w:style w:type="numbering" w:customStyle="1" w:styleId="Sinlista122121">
    <w:name w:val="Sin lista122121"/>
    <w:next w:val="Sinlista"/>
    <w:uiPriority w:val="99"/>
    <w:semiHidden/>
    <w:unhideWhenUsed/>
    <w:rsid w:val="007968EC"/>
  </w:style>
  <w:style w:type="numbering" w:customStyle="1" w:styleId="Sinlista1122121">
    <w:name w:val="Sin lista1122121"/>
    <w:next w:val="Sinlista"/>
    <w:uiPriority w:val="99"/>
    <w:semiHidden/>
    <w:unhideWhenUsed/>
    <w:rsid w:val="007968EC"/>
  </w:style>
  <w:style w:type="numbering" w:customStyle="1" w:styleId="Sinlista212121">
    <w:name w:val="Sin lista212121"/>
    <w:next w:val="Sinlista"/>
    <w:uiPriority w:val="99"/>
    <w:semiHidden/>
    <w:unhideWhenUsed/>
    <w:rsid w:val="007968EC"/>
  </w:style>
  <w:style w:type="numbering" w:customStyle="1" w:styleId="Sinlista11112121">
    <w:name w:val="Sin lista11112121"/>
    <w:next w:val="Sinlista"/>
    <w:uiPriority w:val="99"/>
    <w:semiHidden/>
    <w:unhideWhenUsed/>
    <w:rsid w:val="007968EC"/>
  </w:style>
  <w:style w:type="numbering" w:customStyle="1" w:styleId="Sinlista311121">
    <w:name w:val="Sin lista311121"/>
    <w:next w:val="Sinlista"/>
    <w:uiPriority w:val="99"/>
    <w:semiHidden/>
    <w:unhideWhenUsed/>
    <w:rsid w:val="007968EC"/>
  </w:style>
  <w:style w:type="numbering" w:customStyle="1" w:styleId="Sinlista1211121">
    <w:name w:val="Sin lista1211121"/>
    <w:next w:val="Sinlista"/>
    <w:uiPriority w:val="99"/>
    <w:semiHidden/>
    <w:unhideWhenUsed/>
    <w:rsid w:val="007968EC"/>
  </w:style>
  <w:style w:type="numbering" w:customStyle="1" w:styleId="Sinlista11211121">
    <w:name w:val="Sin lista11211121"/>
    <w:next w:val="Sinlista"/>
    <w:uiPriority w:val="99"/>
    <w:semiHidden/>
    <w:unhideWhenUsed/>
    <w:rsid w:val="007968EC"/>
  </w:style>
  <w:style w:type="numbering" w:customStyle="1" w:styleId="Sinlista2111121">
    <w:name w:val="Sin lista2111121"/>
    <w:next w:val="Sinlista"/>
    <w:uiPriority w:val="99"/>
    <w:semiHidden/>
    <w:unhideWhenUsed/>
    <w:rsid w:val="007968EC"/>
  </w:style>
  <w:style w:type="numbering" w:customStyle="1" w:styleId="Sinlista1111111111111">
    <w:name w:val="Sin lista1111111111111"/>
    <w:next w:val="Sinlista"/>
    <w:uiPriority w:val="99"/>
    <w:semiHidden/>
    <w:unhideWhenUsed/>
    <w:rsid w:val="007968EC"/>
  </w:style>
  <w:style w:type="table" w:customStyle="1" w:styleId="Tablaconcuadrcula1511">
    <w:name w:val="Tabla con cuadrícula1511"/>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1">
    <w:name w:val="Tabla con cuadrícula44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11">
    <w:name w:val="Tabla con cuadrícula214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21">
    <w:name w:val="Tabla con cuadrícula111321"/>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11">
    <w:name w:val="Sin lista511"/>
    <w:next w:val="Sinlista"/>
    <w:uiPriority w:val="99"/>
    <w:semiHidden/>
    <w:unhideWhenUsed/>
    <w:rsid w:val="007968EC"/>
  </w:style>
  <w:style w:type="numbering" w:customStyle="1" w:styleId="Sinlista1411">
    <w:name w:val="Sin lista1411"/>
    <w:next w:val="Sinlista"/>
    <w:uiPriority w:val="99"/>
    <w:semiHidden/>
    <w:unhideWhenUsed/>
    <w:rsid w:val="007968EC"/>
  </w:style>
  <w:style w:type="table" w:customStyle="1" w:styleId="Tablaconcuadrcula1611">
    <w:name w:val="Tabla con cuadrícula1611"/>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1">
    <w:name w:val="Tabla con cuadrícula45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11">
    <w:name w:val="Tabla con cuadrícula215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211">
    <w:name w:val="Tabla con cuadrícula811211"/>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411">
    <w:name w:val="Tabla Fichero Parametrización411"/>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411">
    <w:name w:val="Tabla con cuadrícula11411"/>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411">
    <w:name w:val="Lista clara241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411">
    <w:name w:val="Lista clara141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detablaclara1511">
    <w:name w:val="Cuadrícula de tabla clara1511"/>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2511">
    <w:name w:val="Tabla con cuadrícula25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1">
    <w:name w:val="Tabla con cuadrícula34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1">
    <w:name w:val="Tabla con cuadrícula54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1">
    <w:name w:val="Tabla con cuadrícula64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11">
    <w:name w:val="Tabla con cuadrícula1114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7968EC"/>
  </w:style>
  <w:style w:type="table" w:customStyle="1" w:styleId="Tablaconcuadrcula7311">
    <w:name w:val="Tabla con cuadrícula73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311">
    <w:name w:val="Cuadrícula de tabla clara11311"/>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311">
    <w:name w:val="Sin lista111311"/>
    <w:next w:val="Sinlista"/>
    <w:uiPriority w:val="99"/>
    <w:semiHidden/>
    <w:unhideWhenUsed/>
    <w:rsid w:val="007968EC"/>
  </w:style>
  <w:style w:type="table" w:customStyle="1" w:styleId="Tablaconcuadrcula12311">
    <w:name w:val="Tabla con cuadrícula123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311">
    <w:name w:val="Tabla Fichero Parametrización1311"/>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1211">
    <w:name w:val="Tabla con cuadrícula1111211"/>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311">
    <w:name w:val="Lista clara2131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311">
    <w:name w:val="Lista clara1131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2311">
    <w:name w:val="Tabla con cuadrícula223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11">
    <w:name w:val="Sin lista2311"/>
    <w:next w:val="Sinlista"/>
    <w:uiPriority w:val="99"/>
    <w:semiHidden/>
    <w:unhideWhenUsed/>
    <w:rsid w:val="007968EC"/>
  </w:style>
  <w:style w:type="table" w:customStyle="1" w:styleId="Tablaconcuadrcula31311">
    <w:name w:val="Tabla con cuadrícula313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311">
    <w:name w:val="Cuadrícula de tabla clara12311"/>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311">
    <w:name w:val="Sin lista1111311"/>
    <w:next w:val="Sinlista"/>
    <w:uiPriority w:val="99"/>
    <w:semiHidden/>
    <w:unhideWhenUsed/>
    <w:rsid w:val="007968EC"/>
  </w:style>
  <w:style w:type="table" w:customStyle="1" w:styleId="Tablaconcuadrcula211311">
    <w:name w:val="Tabla con cuadrícula2113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11">
    <w:name w:val="Tabla con cuadrícula413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1">
    <w:name w:val="Tabla con cuadrícula513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11">
    <w:name w:val="Tabla con cuadrícula613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311">
    <w:name w:val="Cuadrícula de tabla clara2311"/>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311">
    <w:name w:val="Cuadrícula de tabla clara3311"/>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4311">
    <w:name w:val="Cuadrícula de tabla clara4311"/>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8311">
    <w:name w:val="Tabla con cuadrícula8311"/>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1">
    <w:name w:val="Sin lista3311"/>
    <w:next w:val="Sinlista"/>
    <w:uiPriority w:val="99"/>
    <w:semiHidden/>
    <w:unhideWhenUsed/>
    <w:rsid w:val="007968EC"/>
  </w:style>
  <w:style w:type="table" w:customStyle="1" w:styleId="Tablaconcuadrcula9211">
    <w:name w:val="Tabla con cuadrícula92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2211">
    <w:name w:val="Tabla Fichero Parametrización2211"/>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3211">
    <w:name w:val="Tabla con cuadrícula13211"/>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2211">
    <w:name w:val="Lista clara2221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2211">
    <w:name w:val="Lista clara1221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detablaclara13311">
    <w:name w:val="Cuadrícula de tabla clara13311"/>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23211">
    <w:name w:val="Tabla con cuadrícula232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11">
    <w:name w:val="Tabla con cuadrícula322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11">
    <w:name w:val="Tabla con cuadrícula422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11">
    <w:name w:val="Tabla con cuadrícula2122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11">
    <w:name w:val="Tabla con cuadrícula522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11">
    <w:name w:val="Tabla con cuadrícula622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1">
    <w:name w:val="Tabla con cuadrícula1122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1">
    <w:name w:val="Sin lista12311"/>
    <w:next w:val="Sinlista"/>
    <w:uiPriority w:val="99"/>
    <w:semiHidden/>
    <w:unhideWhenUsed/>
    <w:rsid w:val="007968EC"/>
  </w:style>
  <w:style w:type="table" w:customStyle="1" w:styleId="Tablaconcuadrcula71211">
    <w:name w:val="Tabla con cuadrícula712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1211">
    <w:name w:val="Cuadrícula de tabla clara111211"/>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2311">
    <w:name w:val="Sin lista112311"/>
    <w:next w:val="Sinlista"/>
    <w:uiPriority w:val="99"/>
    <w:semiHidden/>
    <w:unhideWhenUsed/>
    <w:rsid w:val="007968EC"/>
  </w:style>
  <w:style w:type="table" w:customStyle="1" w:styleId="Tablaconcuadrcula121211">
    <w:name w:val="Tabla con cuadrícula1212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1211">
    <w:name w:val="Tabla Fichero Parametrización11211"/>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Listaclara211211">
    <w:name w:val="Lista clara21121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211">
    <w:name w:val="Lista clara11121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21211">
    <w:name w:val="Tabla con cuadrícula2212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11">
    <w:name w:val="Sin lista21311"/>
    <w:next w:val="Sinlista"/>
    <w:uiPriority w:val="99"/>
    <w:semiHidden/>
    <w:unhideWhenUsed/>
    <w:rsid w:val="007968EC"/>
  </w:style>
  <w:style w:type="table" w:customStyle="1" w:styleId="Tablaconcuadrcula311311">
    <w:name w:val="Tabla con cuadrícula3113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1211">
    <w:name w:val="Cuadrícula de tabla clara121211"/>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1211">
    <w:name w:val="Sin lista11111211"/>
    <w:next w:val="Sinlista"/>
    <w:uiPriority w:val="99"/>
    <w:semiHidden/>
    <w:unhideWhenUsed/>
    <w:rsid w:val="007968EC"/>
  </w:style>
  <w:style w:type="table" w:customStyle="1" w:styleId="Tablaconcuadrcula2111211">
    <w:name w:val="Tabla con cuadrícula21112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211">
    <w:name w:val="Tabla con cuadrícula4112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211">
    <w:name w:val="Tabla con cuadrícula5112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11">
    <w:name w:val="Tabla con cuadrícula6112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1211">
    <w:name w:val="Cuadrícula de tabla clara21211"/>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1311">
    <w:name w:val="Cuadrícula de tabla clara31311"/>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81311">
    <w:name w:val="Tabla con cuadrícula81311"/>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7968EC"/>
  </w:style>
  <w:style w:type="table" w:customStyle="1" w:styleId="Cuadrculadetablaclara131211">
    <w:name w:val="Cuadrícula de tabla clara131211"/>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21211">
    <w:name w:val="Sin lista121211"/>
    <w:next w:val="Sinlista"/>
    <w:uiPriority w:val="99"/>
    <w:semiHidden/>
    <w:unhideWhenUsed/>
    <w:rsid w:val="007968EC"/>
  </w:style>
  <w:style w:type="numbering" w:customStyle="1" w:styleId="Sinlista1121211">
    <w:name w:val="Sin lista1121211"/>
    <w:next w:val="Sinlista"/>
    <w:uiPriority w:val="99"/>
    <w:semiHidden/>
    <w:unhideWhenUsed/>
    <w:rsid w:val="007968EC"/>
  </w:style>
  <w:style w:type="numbering" w:customStyle="1" w:styleId="Sinlista211211">
    <w:name w:val="Sin lista211211"/>
    <w:next w:val="Sinlista"/>
    <w:uiPriority w:val="99"/>
    <w:semiHidden/>
    <w:unhideWhenUsed/>
    <w:rsid w:val="007968EC"/>
  </w:style>
  <w:style w:type="numbering" w:customStyle="1" w:styleId="Sinlista111111211">
    <w:name w:val="Sin lista111111211"/>
    <w:next w:val="Sinlista"/>
    <w:uiPriority w:val="99"/>
    <w:semiHidden/>
    <w:unhideWhenUsed/>
    <w:rsid w:val="007968EC"/>
  </w:style>
  <w:style w:type="table" w:customStyle="1" w:styleId="Cuadrculadetablaclara311211">
    <w:name w:val="Cuadrícula de tabla clara311211"/>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41211">
    <w:name w:val="Cuadrícula de tabla clara41211"/>
    <w:basedOn w:val="Tablanormal"/>
    <w:next w:val="Cuadrculadetablaclara4"/>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111211">
    <w:name w:val="Tabla con cuadrícula31112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7968EC"/>
  </w:style>
  <w:style w:type="table" w:customStyle="1" w:styleId="Tablaconcuadrcula10211">
    <w:name w:val="Tabla con cuadrícula10211"/>
    <w:basedOn w:val="Tablanormal"/>
    <w:next w:val="Tablaconcuadrcula"/>
    <w:rsid w:val="00796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5211">
    <w:name w:val="Cuadrícula de tabla clara5211"/>
    <w:basedOn w:val="Tablanormal"/>
    <w:next w:val="Cuadrculadetablaclara4"/>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3211">
    <w:name w:val="Sin lista13211"/>
    <w:next w:val="Sinlista"/>
    <w:uiPriority w:val="99"/>
    <w:semiHidden/>
    <w:unhideWhenUsed/>
    <w:rsid w:val="007968EC"/>
  </w:style>
  <w:style w:type="table" w:customStyle="1" w:styleId="Tablaconcuadrcula14211">
    <w:name w:val="Tabla con cuadrícula14211"/>
    <w:basedOn w:val="Tablanormal"/>
    <w:next w:val="Tablaconcuadrcula"/>
    <w:uiPriority w:val="5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3111">
    <w:name w:val="Tabla Fichero Parametrización3111"/>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3211">
    <w:name w:val="Tabla con cuadrícula113211"/>
    <w:basedOn w:val="Tablanormal"/>
    <w:next w:val="Tablaconcuadrcula"/>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3111">
    <w:name w:val="Lista clara2311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3111">
    <w:name w:val="Lista clara1311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211">
    <w:name w:val="Tabla con cuadrícula242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11">
    <w:name w:val="Sin lista22211"/>
    <w:next w:val="Sinlista"/>
    <w:uiPriority w:val="99"/>
    <w:semiHidden/>
    <w:unhideWhenUsed/>
    <w:rsid w:val="007968EC"/>
  </w:style>
  <w:style w:type="table" w:customStyle="1" w:styleId="Tablaconcuadrcula33211">
    <w:name w:val="Tabla con cuadrícula33211"/>
    <w:basedOn w:val="Tablanormal"/>
    <w:next w:val="Tablaconcuadrcula"/>
    <w:rsid w:val="00796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4111">
    <w:name w:val="Cuadrícula de tabla clara14111"/>
    <w:basedOn w:val="Tablanormal"/>
    <w:next w:val="Cuadrculadetablaclara4"/>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3211">
    <w:name w:val="Sin lista113211"/>
    <w:next w:val="Sinlista"/>
    <w:uiPriority w:val="99"/>
    <w:semiHidden/>
    <w:unhideWhenUsed/>
    <w:rsid w:val="007968EC"/>
  </w:style>
  <w:style w:type="table" w:customStyle="1" w:styleId="Tablaconcuadrcula122111">
    <w:name w:val="Tabla con cuadrícula1221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2111">
    <w:name w:val="Tabla Fichero Parametrización12111"/>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2111">
    <w:name w:val="Tabla con cuadrícula1112111"/>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2111">
    <w:name w:val="Lista clara21211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2111">
    <w:name w:val="Lista clara11211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13111">
    <w:name w:val="Tabla con cuadrícula2131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11">
    <w:name w:val="Tabla con cuadrícula43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11">
    <w:name w:val="Tabla con cuadrícula53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11">
    <w:name w:val="Tabla con cuadrícula63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11">
    <w:name w:val="Tabla con cuadrícula72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2111">
    <w:name w:val="Cuadrícula de tabla clara112111"/>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222111">
    <w:name w:val="Tabla con cuadrícula2221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111">
    <w:name w:val="Tabla con cuadrícula312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2111">
    <w:name w:val="Cuadrícula de tabla clara122111"/>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2211">
    <w:name w:val="Sin lista1112211"/>
    <w:next w:val="Sinlista"/>
    <w:uiPriority w:val="99"/>
    <w:semiHidden/>
    <w:unhideWhenUsed/>
    <w:rsid w:val="007968EC"/>
  </w:style>
  <w:style w:type="table" w:customStyle="1" w:styleId="Tablaconcuadrcula2112111">
    <w:name w:val="Tabla con cuadrícula21121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11">
    <w:name w:val="Tabla con cuadrícula412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111">
    <w:name w:val="Tabla con cuadrícula512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11">
    <w:name w:val="Tabla con cuadrícula612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2111">
    <w:name w:val="Cuadrícula de tabla clara22111"/>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2111">
    <w:name w:val="Cuadrícula de tabla clara32111"/>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82111">
    <w:name w:val="Tabla con cuadrícula82111"/>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11">
    <w:name w:val="Sin lista32211"/>
    <w:next w:val="Sinlista"/>
    <w:uiPriority w:val="99"/>
    <w:semiHidden/>
    <w:unhideWhenUsed/>
    <w:rsid w:val="007968EC"/>
  </w:style>
  <w:style w:type="table" w:customStyle="1" w:styleId="Tablaconcuadrcula91111">
    <w:name w:val="Tabla con cuadrícula911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21111">
    <w:name w:val="Tabla Fichero Parametrización21111"/>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31111">
    <w:name w:val="Tabla con cuadrícula131111"/>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21111">
    <w:name w:val="Lista clara22111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21111">
    <w:name w:val="Lista clara12111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detablaclara132111">
    <w:name w:val="Cuadrícula de tabla clara132111"/>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231111">
    <w:name w:val="Tabla con cuadrícula231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11">
    <w:name w:val="Tabla con cuadrícula321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111">
    <w:name w:val="Tabla con cuadrícula421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11">
    <w:name w:val="Tabla con cuadrícula21211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111">
    <w:name w:val="Tabla con cuadrícula521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11">
    <w:name w:val="Tabla con cuadrícula621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11">
    <w:name w:val="Tabla con cuadrícula11211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211">
    <w:name w:val="Sin lista122211"/>
    <w:next w:val="Sinlista"/>
    <w:uiPriority w:val="99"/>
    <w:semiHidden/>
    <w:unhideWhenUsed/>
    <w:rsid w:val="007968EC"/>
  </w:style>
  <w:style w:type="table" w:customStyle="1" w:styleId="Tablaconcuadrcula711111">
    <w:name w:val="Tabla con cuadrícula711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11111">
    <w:name w:val="Cuadrícula de tabla clara1111111"/>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22211">
    <w:name w:val="Sin lista1122211"/>
    <w:next w:val="Sinlista"/>
    <w:uiPriority w:val="99"/>
    <w:semiHidden/>
    <w:unhideWhenUsed/>
    <w:rsid w:val="007968EC"/>
  </w:style>
  <w:style w:type="table" w:customStyle="1" w:styleId="Tablaconcuadrcula1211111">
    <w:name w:val="Tabla con cuadrícula12111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11111">
    <w:name w:val="Tabla Fichero Parametrización111111"/>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11111">
    <w:name w:val="Tabla con cuadrícula11111111"/>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11111">
    <w:name w:val="Lista clara211111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111">
    <w:name w:val="Lista clara1111111"/>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211111">
    <w:name w:val="Tabla con cuadrícula22111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211">
    <w:name w:val="Sin lista212211"/>
    <w:next w:val="Sinlista"/>
    <w:uiPriority w:val="99"/>
    <w:semiHidden/>
    <w:unhideWhenUsed/>
    <w:rsid w:val="007968EC"/>
  </w:style>
  <w:style w:type="table" w:customStyle="1" w:styleId="Tablaconcuadrcula3112111">
    <w:name w:val="Tabla con cuadrícula3112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11111">
    <w:name w:val="Cuadrícula de tabla clara1211111"/>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2211">
    <w:name w:val="Sin lista11112211"/>
    <w:next w:val="Sinlista"/>
    <w:uiPriority w:val="99"/>
    <w:semiHidden/>
    <w:unhideWhenUsed/>
    <w:rsid w:val="007968EC"/>
  </w:style>
  <w:style w:type="table" w:customStyle="1" w:styleId="Tablaconcuadrcula21111111">
    <w:name w:val="Tabla con cuadrícula211111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111">
    <w:name w:val="Tabla con cuadrícula4111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111">
    <w:name w:val="Tabla con cuadrícula5111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111">
    <w:name w:val="Tabla con cuadrícula6111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11111">
    <w:name w:val="Cuadrícula de tabla clara211111"/>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12111">
    <w:name w:val="Cuadrícula de tabla clara312111"/>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42111">
    <w:name w:val="Cuadrícula de tabla clara42111"/>
    <w:basedOn w:val="Tablanormal"/>
    <w:next w:val="Cuadrculadetablaclara4"/>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812111">
    <w:name w:val="Tabla con cuadrícula812111"/>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1">
    <w:name w:val="Sin lista311211"/>
    <w:next w:val="Sinlista"/>
    <w:uiPriority w:val="99"/>
    <w:semiHidden/>
    <w:unhideWhenUsed/>
    <w:rsid w:val="007968EC"/>
  </w:style>
  <w:style w:type="table" w:customStyle="1" w:styleId="Cuadrculadetablaclara1311111">
    <w:name w:val="Cuadrícula de tabla clara1311111"/>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211211">
    <w:name w:val="Sin lista1211211"/>
    <w:next w:val="Sinlista"/>
    <w:uiPriority w:val="99"/>
    <w:semiHidden/>
    <w:unhideWhenUsed/>
    <w:rsid w:val="007968EC"/>
  </w:style>
  <w:style w:type="numbering" w:customStyle="1" w:styleId="Sinlista11211211">
    <w:name w:val="Sin lista11211211"/>
    <w:next w:val="Sinlista"/>
    <w:uiPriority w:val="99"/>
    <w:semiHidden/>
    <w:unhideWhenUsed/>
    <w:rsid w:val="007968EC"/>
  </w:style>
  <w:style w:type="numbering" w:customStyle="1" w:styleId="Sinlista2111211">
    <w:name w:val="Sin lista2111211"/>
    <w:next w:val="Sinlista"/>
    <w:uiPriority w:val="99"/>
    <w:semiHidden/>
    <w:unhideWhenUsed/>
    <w:rsid w:val="007968EC"/>
  </w:style>
  <w:style w:type="numbering" w:customStyle="1" w:styleId="Sinlista1111111211">
    <w:name w:val="Sin lista1111111211"/>
    <w:next w:val="Sinlista"/>
    <w:uiPriority w:val="99"/>
    <w:semiHidden/>
    <w:unhideWhenUsed/>
    <w:rsid w:val="007968EC"/>
  </w:style>
  <w:style w:type="table" w:customStyle="1" w:styleId="Cuadrculadetablaclara3111111">
    <w:name w:val="Cuadrícula de tabla clara3111111"/>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411111">
    <w:name w:val="Cuadrícula de tabla clara411111"/>
    <w:basedOn w:val="Tablanormal"/>
    <w:next w:val="Cuadrculadetablaclara4"/>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1111111">
    <w:name w:val="Tabla con cuadrícula31111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111">
    <w:name w:val="Tabla con cuadrícula8111111"/>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7968EC"/>
  </w:style>
  <w:style w:type="table" w:customStyle="1" w:styleId="Tablaconcuadrcula101111">
    <w:name w:val="Tabla con cuadrícula1011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1">
    <w:name w:val="Tabla con cuadrícula141111"/>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1111">
    <w:name w:val="Tabla con cuadrícula241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11">
    <w:name w:val="Tabla con cuadrícula33111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11">
    <w:name w:val="Tabla con cuadrícula113111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1">
    <w:name w:val="Sin lista131111"/>
    <w:next w:val="Sinlista"/>
    <w:uiPriority w:val="99"/>
    <w:semiHidden/>
    <w:unhideWhenUsed/>
    <w:rsid w:val="007968EC"/>
  </w:style>
  <w:style w:type="numbering" w:customStyle="1" w:styleId="Sinlista1131111">
    <w:name w:val="Sin lista1131111"/>
    <w:next w:val="Sinlista"/>
    <w:uiPriority w:val="99"/>
    <w:semiHidden/>
    <w:unhideWhenUsed/>
    <w:rsid w:val="007968EC"/>
  </w:style>
  <w:style w:type="numbering" w:customStyle="1" w:styleId="Sinlista221111">
    <w:name w:val="Sin lista221111"/>
    <w:next w:val="Sinlista"/>
    <w:uiPriority w:val="99"/>
    <w:semiHidden/>
    <w:unhideWhenUsed/>
    <w:rsid w:val="007968EC"/>
  </w:style>
  <w:style w:type="numbering" w:customStyle="1" w:styleId="Sinlista11121111">
    <w:name w:val="Sin lista11121111"/>
    <w:next w:val="Sinlista"/>
    <w:uiPriority w:val="99"/>
    <w:semiHidden/>
    <w:unhideWhenUsed/>
    <w:rsid w:val="007968EC"/>
  </w:style>
  <w:style w:type="table" w:customStyle="1" w:styleId="Cuadrculadetablaclara51111">
    <w:name w:val="Cuadrícula de tabla clara51111"/>
    <w:basedOn w:val="Tablanormal"/>
    <w:next w:val="Cuadrculadetablaclara4"/>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321111">
    <w:name w:val="Sin lista321111"/>
    <w:next w:val="Sinlista"/>
    <w:uiPriority w:val="99"/>
    <w:semiHidden/>
    <w:unhideWhenUsed/>
    <w:rsid w:val="007968EC"/>
  </w:style>
  <w:style w:type="numbering" w:customStyle="1" w:styleId="Sinlista1221111">
    <w:name w:val="Sin lista1221111"/>
    <w:next w:val="Sinlista"/>
    <w:uiPriority w:val="99"/>
    <w:semiHidden/>
    <w:unhideWhenUsed/>
    <w:rsid w:val="007968EC"/>
  </w:style>
  <w:style w:type="numbering" w:customStyle="1" w:styleId="Sinlista11221111">
    <w:name w:val="Sin lista11221111"/>
    <w:next w:val="Sinlista"/>
    <w:uiPriority w:val="99"/>
    <w:semiHidden/>
    <w:unhideWhenUsed/>
    <w:rsid w:val="007968EC"/>
  </w:style>
  <w:style w:type="numbering" w:customStyle="1" w:styleId="Sinlista2121111">
    <w:name w:val="Sin lista2121111"/>
    <w:next w:val="Sinlista"/>
    <w:uiPriority w:val="99"/>
    <w:semiHidden/>
    <w:unhideWhenUsed/>
    <w:rsid w:val="007968EC"/>
  </w:style>
  <w:style w:type="numbering" w:customStyle="1" w:styleId="Sinlista111121111">
    <w:name w:val="Sin lista111121111"/>
    <w:next w:val="Sinlista"/>
    <w:uiPriority w:val="99"/>
    <w:semiHidden/>
    <w:unhideWhenUsed/>
    <w:rsid w:val="007968EC"/>
  </w:style>
  <w:style w:type="numbering" w:customStyle="1" w:styleId="Sinlista3111111">
    <w:name w:val="Sin lista3111111"/>
    <w:next w:val="Sinlista"/>
    <w:uiPriority w:val="99"/>
    <w:semiHidden/>
    <w:unhideWhenUsed/>
    <w:rsid w:val="007968EC"/>
  </w:style>
  <w:style w:type="numbering" w:customStyle="1" w:styleId="Sinlista12111111">
    <w:name w:val="Sin lista12111111"/>
    <w:next w:val="Sinlista"/>
    <w:uiPriority w:val="99"/>
    <w:semiHidden/>
    <w:unhideWhenUsed/>
    <w:rsid w:val="007968EC"/>
  </w:style>
  <w:style w:type="numbering" w:customStyle="1" w:styleId="Sinlista112111111">
    <w:name w:val="Sin lista112111111"/>
    <w:next w:val="Sinlista"/>
    <w:uiPriority w:val="99"/>
    <w:semiHidden/>
    <w:unhideWhenUsed/>
    <w:rsid w:val="007968EC"/>
  </w:style>
  <w:style w:type="numbering" w:customStyle="1" w:styleId="Sinlista21111111">
    <w:name w:val="Sin lista21111111"/>
    <w:next w:val="Sinlista"/>
    <w:uiPriority w:val="99"/>
    <w:semiHidden/>
    <w:unhideWhenUsed/>
    <w:rsid w:val="007968EC"/>
  </w:style>
  <w:style w:type="numbering" w:customStyle="1" w:styleId="Sinlista11111111111111">
    <w:name w:val="Sin lista11111111111111"/>
    <w:next w:val="Sinlista"/>
    <w:uiPriority w:val="99"/>
    <w:semiHidden/>
    <w:unhideWhenUsed/>
    <w:rsid w:val="007968EC"/>
  </w:style>
  <w:style w:type="table" w:customStyle="1" w:styleId="Tablaconcuadrcula1113111">
    <w:name w:val="Tabla con cuadrícula1113111"/>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1">
    <w:name w:val="Mención sin resolver1"/>
    <w:basedOn w:val="Fuentedeprrafopredeter"/>
    <w:uiPriority w:val="99"/>
    <w:semiHidden/>
    <w:unhideWhenUsed/>
    <w:rsid w:val="007968EC"/>
    <w:rPr>
      <w:color w:val="808080"/>
      <w:shd w:val="clear" w:color="auto" w:fill="E6E6E6"/>
    </w:rPr>
  </w:style>
  <w:style w:type="paragraph" w:customStyle="1" w:styleId="2">
    <w:name w:val="2"/>
    <w:basedOn w:val="Normal"/>
    <w:next w:val="Sangradetextonormal"/>
    <w:rsid w:val="007968EC"/>
    <w:pPr>
      <w:ind w:left="426"/>
    </w:pPr>
    <w:rPr>
      <w:rFonts w:ascii="Arial" w:hAnsi="Arial"/>
      <w:szCs w:val="20"/>
      <w:lang w:val="es-ES" w:eastAsia="es-ES"/>
    </w:rPr>
  </w:style>
  <w:style w:type="paragraph" w:customStyle="1" w:styleId="Noparagraphstyle">
    <w:name w:val="[No paragraph style]"/>
    <w:rsid w:val="007968EC"/>
    <w:pPr>
      <w:spacing w:after="0" w:line="288" w:lineRule="auto"/>
    </w:pPr>
    <w:rPr>
      <w:rFonts w:ascii="Times" w:eastAsia="Times New Roman" w:hAnsi="Times" w:cs="Times New Roman"/>
      <w:snapToGrid w:val="0"/>
      <w:color w:val="000000"/>
      <w:sz w:val="24"/>
      <w:szCs w:val="20"/>
      <w:lang w:val="es-ES" w:eastAsia="es-ES"/>
    </w:rPr>
  </w:style>
  <w:style w:type="table" w:customStyle="1" w:styleId="Tabladecuadrcula4-nfasis11">
    <w:name w:val="Tabla de cuadrícula 4 - Énfasis 11"/>
    <w:basedOn w:val="Tablanormal"/>
    <w:uiPriority w:val="49"/>
    <w:rsid w:val="007968EC"/>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eParagraph">
    <w:name w:val="Table Paragraph"/>
    <w:basedOn w:val="Normal"/>
    <w:uiPriority w:val="1"/>
    <w:rsid w:val="007968EC"/>
    <w:pPr>
      <w:widowControl w:val="0"/>
      <w:ind w:left="98"/>
    </w:pPr>
    <w:rPr>
      <w:rFonts w:ascii="Calibri" w:eastAsia="Calibri" w:hAnsi="Calibri" w:cs="Calibri"/>
      <w:lang w:val="en-US"/>
    </w:rPr>
  </w:style>
  <w:style w:type="paragraph" w:customStyle="1" w:styleId="Bullet-BodyText">
    <w:name w:val="Bullet - Body Text"/>
    <w:basedOn w:val="Normal"/>
    <w:rsid w:val="007968EC"/>
    <w:pPr>
      <w:numPr>
        <w:numId w:val="314"/>
      </w:numPr>
    </w:pPr>
    <w:rPr>
      <w:rFonts w:ascii="Arial" w:hAnsi="Arial"/>
      <w:sz w:val="20"/>
      <w:szCs w:val="20"/>
      <w:lang w:val="es-ES" w:eastAsia="es-ES"/>
    </w:rPr>
  </w:style>
  <w:style w:type="numbering" w:customStyle="1" w:styleId="Sinlista71">
    <w:name w:val="Sin lista71"/>
    <w:next w:val="Sinlista"/>
    <w:uiPriority w:val="99"/>
    <w:semiHidden/>
    <w:unhideWhenUsed/>
    <w:rsid w:val="007968EC"/>
  </w:style>
  <w:style w:type="table" w:customStyle="1" w:styleId="Tablaconcuadrcula201">
    <w:name w:val="Tabla con cuadrícula201"/>
    <w:basedOn w:val="Tablanormal"/>
    <w:next w:val="Tablaconcuadrcula"/>
    <w:uiPriority w:val="39"/>
    <w:rsid w:val="00796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7968EC"/>
  </w:style>
  <w:style w:type="numbering" w:customStyle="1" w:styleId="Sinlista161">
    <w:name w:val="Sin lista161"/>
    <w:next w:val="Sinlista"/>
    <w:uiPriority w:val="99"/>
    <w:semiHidden/>
    <w:unhideWhenUsed/>
    <w:rsid w:val="007968EC"/>
  </w:style>
  <w:style w:type="numbering" w:customStyle="1" w:styleId="Sinlista1161">
    <w:name w:val="Sin lista1161"/>
    <w:next w:val="Sinlista"/>
    <w:uiPriority w:val="99"/>
    <w:semiHidden/>
    <w:unhideWhenUsed/>
    <w:rsid w:val="007968EC"/>
  </w:style>
  <w:style w:type="numbering" w:customStyle="1" w:styleId="Sinlista11151">
    <w:name w:val="Sin lista11151"/>
    <w:next w:val="Sinlista"/>
    <w:uiPriority w:val="99"/>
    <w:semiHidden/>
    <w:unhideWhenUsed/>
    <w:rsid w:val="007968EC"/>
  </w:style>
  <w:style w:type="numbering" w:customStyle="1" w:styleId="Sinlista111151">
    <w:name w:val="Sin lista111151"/>
    <w:next w:val="Sinlista"/>
    <w:uiPriority w:val="99"/>
    <w:semiHidden/>
    <w:unhideWhenUsed/>
    <w:rsid w:val="007968EC"/>
  </w:style>
  <w:style w:type="numbering" w:customStyle="1" w:styleId="Sinlista251">
    <w:name w:val="Sin lista251"/>
    <w:next w:val="Sinlista"/>
    <w:uiPriority w:val="99"/>
    <w:semiHidden/>
    <w:unhideWhenUsed/>
    <w:rsid w:val="007968EC"/>
  </w:style>
  <w:style w:type="numbering" w:customStyle="1" w:styleId="Sinlista1111141">
    <w:name w:val="Sin lista1111141"/>
    <w:next w:val="Sinlista"/>
    <w:uiPriority w:val="99"/>
    <w:semiHidden/>
    <w:unhideWhenUsed/>
    <w:rsid w:val="007968EC"/>
  </w:style>
  <w:style w:type="numbering" w:customStyle="1" w:styleId="Sinlista351">
    <w:name w:val="Sin lista351"/>
    <w:next w:val="Sinlista"/>
    <w:uiPriority w:val="99"/>
    <w:semiHidden/>
    <w:unhideWhenUsed/>
    <w:rsid w:val="007968EC"/>
  </w:style>
  <w:style w:type="numbering" w:customStyle="1" w:styleId="Sinlista1251">
    <w:name w:val="Sin lista1251"/>
    <w:next w:val="Sinlista"/>
    <w:uiPriority w:val="99"/>
    <w:semiHidden/>
    <w:unhideWhenUsed/>
    <w:rsid w:val="007968EC"/>
  </w:style>
  <w:style w:type="numbering" w:customStyle="1" w:styleId="Sinlista11251">
    <w:name w:val="Sin lista11251"/>
    <w:next w:val="Sinlista"/>
    <w:uiPriority w:val="99"/>
    <w:semiHidden/>
    <w:unhideWhenUsed/>
    <w:rsid w:val="007968EC"/>
  </w:style>
  <w:style w:type="numbering" w:customStyle="1" w:styleId="Sinlista2151">
    <w:name w:val="Sin lista2151"/>
    <w:next w:val="Sinlista"/>
    <w:uiPriority w:val="99"/>
    <w:semiHidden/>
    <w:unhideWhenUsed/>
    <w:rsid w:val="007968EC"/>
  </w:style>
  <w:style w:type="numbering" w:customStyle="1" w:styleId="Sinlista11111141">
    <w:name w:val="Sin lista11111141"/>
    <w:next w:val="Sinlista"/>
    <w:uiPriority w:val="99"/>
    <w:semiHidden/>
    <w:unhideWhenUsed/>
    <w:rsid w:val="007968EC"/>
  </w:style>
  <w:style w:type="numbering" w:customStyle="1" w:styleId="Sinlista3141">
    <w:name w:val="Sin lista3141"/>
    <w:next w:val="Sinlista"/>
    <w:uiPriority w:val="99"/>
    <w:semiHidden/>
    <w:unhideWhenUsed/>
    <w:rsid w:val="007968EC"/>
  </w:style>
  <w:style w:type="numbering" w:customStyle="1" w:styleId="Sinlista12141">
    <w:name w:val="Sin lista12141"/>
    <w:next w:val="Sinlista"/>
    <w:uiPriority w:val="99"/>
    <w:semiHidden/>
    <w:unhideWhenUsed/>
    <w:rsid w:val="007968EC"/>
  </w:style>
  <w:style w:type="numbering" w:customStyle="1" w:styleId="Sinlista112141">
    <w:name w:val="Sin lista112141"/>
    <w:next w:val="Sinlista"/>
    <w:uiPriority w:val="99"/>
    <w:semiHidden/>
    <w:unhideWhenUsed/>
    <w:rsid w:val="007968EC"/>
  </w:style>
  <w:style w:type="numbering" w:customStyle="1" w:styleId="Sinlista21141">
    <w:name w:val="Sin lista21141"/>
    <w:next w:val="Sinlista"/>
    <w:uiPriority w:val="99"/>
    <w:semiHidden/>
    <w:unhideWhenUsed/>
    <w:rsid w:val="007968EC"/>
  </w:style>
  <w:style w:type="numbering" w:customStyle="1" w:styleId="Sinlista111111141">
    <w:name w:val="Sin lista111111141"/>
    <w:next w:val="Sinlista"/>
    <w:uiPriority w:val="99"/>
    <w:semiHidden/>
    <w:unhideWhenUsed/>
    <w:rsid w:val="007968EC"/>
  </w:style>
  <w:style w:type="numbering" w:customStyle="1" w:styleId="Sinlista441">
    <w:name w:val="Sin lista441"/>
    <w:next w:val="Sinlista"/>
    <w:uiPriority w:val="99"/>
    <w:semiHidden/>
    <w:unhideWhenUsed/>
    <w:rsid w:val="007968EC"/>
  </w:style>
  <w:style w:type="numbering" w:customStyle="1" w:styleId="Sinlista1341">
    <w:name w:val="Sin lista1341"/>
    <w:next w:val="Sinlista"/>
    <w:uiPriority w:val="99"/>
    <w:semiHidden/>
    <w:unhideWhenUsed/>
    <w:rsid w:val="007968EC"/>
  </w:style>
  <w:style w:type="numbering" w:customStyle="1" w:styleId="Sinlista2241">
    <w:name w:val="Sin lista2241"/>
    <w:next w:val="Sinlista"/>
    <w:uiPriority w:val="99"/>
    <w:semiHidden/>
    <w:unhideWhenUsed/>
    <w:rsid w:val="007968EC"/>
  </w:style>
  <w:style w:type="numbering" w:customStyle="1" w:styleId="Sinlista11341">
    <w:name w:val="Sin lista11341"/>
    <w:next w:val="Sinlista"/>
    <w:uiPriority w:val="99"/>
    <w:semiHidden/>
    <w:unhideWhenUsed/>
    <w:rsid w:val="007968EC"/>
  </w:style>
  <w:style w:type="numbering" w:customStyle="1" w:styleId="Sinlista111241">
    <w:name w:val="Sin lista111241"/>
    <w:next w:val="Sinlista"/>
    <w:uiPriority w:val="99"/>
    <w:semiHidden/>
    <w:unhideWhenUsed/>
    <w:rsid w:val="007968EC"/>
  </w:style>
  <w:style w:type="numbering" w:customStyle="1" w:styleId="Sinlista3241">
    <w:name w:val="Sin lista3241"/>
    <w:next w:val="Sinlista"/>
    <w:uiPriority w:val="99"/>
    <w:semiHidden/>
    <w:unhideWhenUsed/>
    <w:rsid w:val="007968EC"/>
  </w:style>
  <w:style w:type="numbering" w:customStyle="1" w:styleId="Sinlista12241">
    <w:name w:val="Sin lista12241"/>
    <w:next w:val="Sinlista"/>
    <w:uiPriority w:val="99"/>
    <w:semiHidden/>
    <w:unhideWhenUsed/>
    <w:rsid w:val="007968EC"/>
  </w:style>
  <w:style w:type="numbering" w:customStyle="1" w:styleId="Sinlista112241">
    <w:name w:val="Sin lista112241"/>
    <w:next w:val="Sinlista"/>
    <w:uiPriority w:val="99"/>
    <w:semiHidden/>
    <w:unhideWhenUsed/>
    <w:rsid w:val="007968EC"/>
  </w:style>
  <w:style w:type="numbering" w:customStyle="1" w:styleId="Sinlista21241">
    <w:name w:val="Sin lista21241"/>
    <w:next w:val="Sinlista"/>
    <w:uiPriority w:val="99"/>
    <w:semiHidden/>
    <w:unhideWhenUsed/>
    <w:rsid w:val="007968EC"/>
  </w:style>
  <w:style w:type="numbering" w:customStyle="1" w:styleId="Sinlista1111241">
    <w:name w:val="Sin lista1111241"/>
    <w:next w:val="Sinlista"/>
    <w:uiPriority w:val="99"/>
    <w:semiHidden/>
    <w:unhideWhenUsed/>
    <w:rsid w:val="007968EC"/>
  </w:style>
  <w:style w:type="numbering" w:customStyle="1" w:styleId="Sinlista31141">
    <w:name w:val="Sin lista31141"/>
    <w:next w:val="Sinlista"/>
    <w:uiPriority w:val="99"/>
    <w:semiHidden/>
    <w:unhideWhenUsed/>
    <w:rsid w:val="007968EC"/>
  </w:style>
  <w:style w:type="numbering" w:customStyle="1" w:styleId="Sinlista121141">
    <w:name w:val="Sin lista121141"/>
    <w:next w:val="Sinlista"/>
    <w:uiPriority w:val="99"/>
    <w:semiHidden/>
    <w:unhideWhenUsed/>
    <w:rsid w:val="007968EC"/>
  </w:style>
  <w:style w:type="numbering" w:customStyle="1" w:styleId="Sinlista1121141">
    <w:name w:val="Sin lista1121141"/>
    <w:next w:val="Sinlista"/>
    <w:uiPriority w:val="99"/>
    <w:semiHidden/>
    <w:unhideWhenUsed/>
    <w:rsid w:val="007968EC"/>
  </w:style>
  <w:style w:type="numbering" w:customStyle="1" w:styleId="Sinlista211141">
    <w:name w:val="Sin lista211141"/>
    <w:next w:val="Sinlista"/>
    <w:uiPriority w:val="99"/>
    <w:semiHidden/>
    <w:unhideWhenUsed/>
    <w:rsid w:val="007968EC"/>
  </w:style>
  <w:style w:type="numbering" w:customStyle="1" w:styleId="Sinlista1111111131">
    <w:name w:val="Sin lista1111111131"/>
    <w:next w:val="Sinlista"/>
    <w:uiPriority w:val="99"/>
    <w:semiHidden/>
    <w:unhideWhenUsed/>
    <w:rsid w:val="007968EC"/>
  </w:style>
  <w:style w:type="numbering" w:customStyle="1" w:styleId="Sinlista4131">
    <w:name w:val="Sin lista4131"/>
    <w:next w:val="Sinlista"/>
    <w:uiPriority w:val="99"/>
    <w:semiHidden/>
    <w:unhideWhenUsed/>
    <w:rsid w:val="007968EC"/>
  </w:style>
  <w:style w:type="numbering" w:customStyle="1" w:styleId="Sinlista13131">
    <w:name w:val="Sin lista13131"/>
    <w:next w:val="Sinlista"/>
    <w:uiPriority w:val="99"/>
    <w:semiHidden/>
    <w:unhideWhenUsed/>
    <w:rsid w:val="007968EC"/>
  </w:style>
  <w:style w:type="numbering" w:customStyle="1" w:styleId="Sinlista113131">
    <w:name w:val="Sin lista113131"/>
    <w:next w:val="Sinlista"/>
    <w:uiPriority w:val="99"/>
    <w:semiHidden/>
    <w:unhideWhenUsed/>
    <w:rsid w:val="007968EC"/>
  </w:style>
  <w:style w:type="numbering" w:customStyle="1" w:styleId="Sinlista22131">
    <w:name w:val="Sin lista22131"/>
    <w:next w:val="Sinlista"/>
    <w:uiPriority w:val="99"/>
    <w:semiHidden/>
    <w:unhideWhenUsed/>
    <w:rsid w:val="007968EC"/>
  </w:style>
  <w:style w:type="numbering" w:customStyle="1" w:styleId="Sinlista1112131">
    <w:name w:val="Sin lista1112131"/>
    <w:next w:val="Sinlista"/>
    <w:uiPriority w:val="99"/>
    <w:semiHidden/>
    <w:unhideWhenUsed/>
    <w:rsid w:val="007968EC"/>
  </w:style>
  <w:style w:type="numbering" w:customStyle="1" w:styleId="Sinlista32131">
    <w:name w:val="Sin lista32131"/>
    <w:next w:val="Sinlista"/>
    <w:uiPriority w:val="99"/>
    <w:semiHidden/>
    <w:unhideWhenUsed/>
    <w:rsid w:val="007968EC"/>
  </w:style>
  <w:style w:type="numbering" w:customStyle="1" w:styleId="Sinlista122131">
    <w:name w:val="Sin lista122131"/>
    <w:next w:val="Sinlista"/>
    <w:uiPriority w:val="99"/>
    <w:semiHidden/>
    <w:unhideWhenUsed/>
    <w:rsid w:val="007968EC"/>
  </w:style>
  <w:style w:type="numbering" w:customStyle="1" w:styleId="Sinlista1122131">
    <w:name w:val="Sin lista1122131"/>
    <w:next w:val="Sinlista"/>
    <w:uiPriority w:val="99"/>
    <w:semiHidden/>
    <w:unhideWhenUsed/>
    <w:rsid w:val="007968EC"/>
  </w:style>
  <w:style w:type="numbering" w:customStyle="1" w:styleId="Sinlista212131">
    <w:name w:val="Sin lista212131"/>
    <w:next w:val="Sinlista"/>
    <w:uiPriority w:val="99"/>
    <w:semiHidden/>
    <w:unhideWhenUsed/>
    <w:rsid w:val="007968EC"/>
  </w:style>
  <w:style w:type="numbering" w:customStyle="1" w:styleId="Sinlista11112131">
    <w:name w:val="Sin lista11112131"/>
    <w:next w:val="Sinlista"/>
    <w:uiPriority w:val="99"/>
    <w:semiHidden/>
    <w:unhideWhenUsed/>
    <w:rsid w:val="007968EC"/>
  </w:style>
  <w:style w:type="numbering" w:customStyle="1" w:styleId="Sinlista311131">
    <w:name w:val="Sin lista311131"/>
    <w:next w:val="Sinlista"/>
    <w:uiPriority w:val="99"/>
    <w:semiHidden/>
    <w:unhideWhenUsed/>
    <w:rsid w:val="007968EC"/>
  </w:style>
  <w:style w:type="numbering" w:customStyle="1" w:styleId="Sinlista1211131">
    <w:name w:val="Sin lista1211131"/>
    <w:next w:val="Sinlista"/>
    <w:uiPriority w:val="99"/>
    <w:semiHidden/>
    <w:unhideWhenUsed/>
    <w:rsid w:val="007968EC"/>
  </w:style>
  <w:style w:type="numbering" w:customStyle="1" w:styleId="Sinlista11211131">
    <w:name w:val="Sin lista11211131"/>
    <w:next w:val="Sinlista"/>
    <w:uiPriority w:val="99"/>
    <w:semiHidden/>
    <w:unhideWhenUsed/>
    <w:rsid w:val="007968EC"/>
  </w:style>
  <w:style w:type="numbering" w:customStyle="1" w:styleId="Sinlista2111131">
    <w:name w:val="Sin lista2111131"/>
    <w:next w:val="Sinlista"/>
    <w:uiPriority w:val="99"/>
    <w:semiHidden/>
    <w:unhideWhenUsed/>
    <w:rsid w:val="007968EC"/>
  </w:style>
  <w:style w:type="numbering" w:customStyle="1" w:styleId="Sinlista11111111131">
    <w:name w:val="Sin lista11111111131"/>
    <w:next w:val="Sinlista"/>
    <w:uiPriority w:val="99"/>
    <w:semiHidden/>
    <w:unhideWhenUsed/>
    <w:rsid w:val="007968EC"/>
  </w:style>
  <w:style w:type="numbering" w:customStyle="1" w:styleId="Sinlista521">
    <w:name w:val="Sin lista521"/>
    <w:next w:val="Sinlista"/>
    <w:uiPriority w:val="99"/>
    <w:semiHidden/>
    <w:unhideWhenUsed/>
    <w:rsid w:val="007968EC"/>
  </w:style>
  <w:style w:type="numbering" w:customStyle="1" w:styleId="Sinlista1421">
    <w:name w:val="Sin lista1421"/>
    <w:next w:val="Sinlista"/>
    <w:uiPriority w:val="99"/>
    <w:semiHidden/>
    <w:unhideWhenUsed/>
    <w:rsid w:val="007968EC"/>
  </w:style>
  <w:style w:type="numbering" w:customStyle="1" w:styleId="Sinlista11421">
    <w:name w:val="Sin lista11421"/>
    <w:next w:val="Sinlista"/>
    <w:uiPriority w:val="99"/>
    <w:semiHidden/>
    <w:unhideWhenUsed/>
    <w:rsid w:val="007968EC"/>
  </w:style>
  <w:style w:type="numbering" w:customStyle="1" w:styleId="Sinlista111321">
    <w:name w:val="Sin lista111321"/>
    <w:next w:val="Sinlista"/>
    <w:uiPriority w:val="99"/>
    <w:semiHidden/>
    <w:unhideWhenUsed/>
    <w:rsid w:val="007968EC"/>
  </w:style>
  <w:style w:type="numbering" w:customStyle="1" w:styleId="Sinlista2321">
    <w:name w:val="Sin lista2321"/>
    <w:next w:val="Sinlista"/>
    <w:uiPriority w:val="99"/>
    <w:semiHidden/>
    <w:unhideWhenUsed/>
    <w:rsid w:val="007968EC"/>
  </w:style>
  <w:style w:type="numbering" w:customStyle="1" w:styleId="Sinlista1111321">
    <w:name w:val="Sin lista1111321"/>
    <w:next w:val="Sinlista"/>
    <w:uiPriority w:val="99"/>
    <w:semiHidden/>
    <w:unhideWhenUsed/>
    <w:rsid w:val="007968EC"/>
  </w:style>
  <w:style w:type="numbering" w:customStyle="1" w:styleId="Sinlista3321">
    <w:name w:val="Sin lista3321"/>
    <w:next w:val="Sinlista"/>
    <w:uiPriority w:val="99"/>
    <w:semiHidden/>
    <w:unhideWhenUsed/>
    <w:rsid w:val="007968EC"/>
  </w:style>
  <w:style w:type="numbering" w:customStyle="1" w:styleId="Sinlista12321">
    <w:name w:val="Sin lista12321"/>
    <w:next w:val="Sinlista"/>
    <w:uiPriority w:val="99"/>
    <w:semiHidden/>
    <w:unhideWhenUsed/>
    <w:rsid w:val="007968EC"/>
  </w:style>
  <w:style w:type="numbering" w:customStyle="1" w:styleId="Sinlista112321">
    <w:name w:val="Sin lista112321"/>
    <w:next w:val="Sinlista"/>
    <w:uiPriority w:val="99"/>
    <w:semiHidden/>
    <w:unhideWhenUsed/>
    <w:rsid w:val="007968EC"/>
  </w:style>
  <w:style w:type="numbering" w:customStyle="1" w:styleId="Sinlista21321">
    <w:name w:val="Sin lista21321"/>
    <w:next w:val="Sinlista"/>
    <w:uiPriority w:val="99"/>
    <w:semiHidden/>
    <w:unhideWhenUsed/>
    <w:rsid w:val="007968EC"/>
  </w:style>
  <w:style w:type="numbering" w:customStyle="1" w:styleId="Sinlista11111221">
    <w:name w:val="Sin lista11111221"/>
    <w:next w:val="Sinlista"/>
    <w:uiPriority w:val="99"/>
    <w:semiHidden/>
    <w:unhideWhenUsed/>
    <w:rsid w:val="007968EC"/>
  </w:style>
  <w:style w:type="numbering" w:customStyle="1" w:styleId="Sinlista31221">
    <w:name w:val="Sin lista31221"/>
    <w:next w:val="Sinlista"/>
    <w:uiPriority w:val="99"/>
    <w:semiHidden/>
    <w:unhideWhenUsed/>
    <w:rsid w:val="007968EC"/>
  </w:style>
  <w:style w:type="numbering" w:customStyle="1" w:styleId="Sinlista121221">
    <w:name w:val="Sin lista121221"/>
    <w:next w:val="Sinlista"/>
    <w:uiPriority w:val="99"/>
    <w:semiHidden/>
    <w:unhideWhenUsed/>
    <w:rsid w:val="007968EC"/>
  </w:style>
  <w:style w:type="numbering" w:customStyle="1" w:styleId="Sinlista1121221">
    <w:name w:val="Sin lista1121221"/>
    <w:next w:val="Sinlista"/>
    <w:uiPriority w:val="99"/>
    <w:semiHidden/>
    <w:unhideWhenUsed/>
    <w:rsid w:val="007968EC"/>
  </w:style>
  <w:style w:type="numbering" w:customStyle="1" w:styleId="Sinlista211221">
    <w:name w:val="Sin lista211221"/>
    <w:next w:val="Sinlista"/>
    <w:uiPriority w:val="99"/>
    <w:semiHidden/>
    <w:unhideWhenUsed/>
    <w:rsid w:val="007968EC"/>
  </w:style>
  <w:style w:type="numbering" w:customStyle="1" w:styleId="Sinlista111111221">
    <w:name w:val="Sin lista111111221"/>
    <w:next w:val="Sinlista"/>
    <w:uiPriority w:val="99"/>
    <w:semiHidden/>
    <w:unhideWhenUsed/>
    <w:rsid w:val="007968EC"/>
  </w:style>
  <w:style w:type="numbering" w:customStyle="1" w:styleId="Sinlista4221">
    <w:name w:val="Sin lista4221"/>
    <w:next w:val="Sinlista"/>
    <w:uiPriority w:val="99"/>
    <w:semiHidden/>
    <w:unhideWhenUsed/>
    <w:rsid w:val="007968EC"/>
  </w:style>
  <w:style w:type="numbering" w:customStyle="1" w:styleId="Sinlista13221">
    <w:name w:val="Sin lista13221"/>
    <w:next w:val="Sinlista"/>
    <w:uiPriority w:val="99"/>
    <w:semiHidden/>
    <w:unhideWhenUsed/>
    <w:rsid w:val="007968EC"/>
  </w:style>
  <w:style w:type="numbering" w:customStyle="1" w:styleId="Sinlista22221">
    <w:name w:val="Sin lista22221"/>
    <w:next w:val="Sinlista"/>
    <w:uiPriority w:val="99"/>
    <w:semiHidden/>
    <w:unhideWhenUsed/>
    <w:rsid w:val="007968EC"/>
  </w:style>
  <w:style w:type="numbering" w:customStyle="1" w:styleId="Sinlista113221">
    <w:name w:val="Sin lista113221"/>
    <w:next w:val="Sinlista"/>
    <w:uiPriority w:val="99"/>
    <w:semiHidden/>
    <w:unhideWhenUsed/>
    <w:rsid w:val="007968EC"/>
  </w:style>
  <w:style w:type="numbering" w:customStyle="1" w:styleId="Sinlista1112221">
    <w:name w:val="Sin lista1112221"/>
    <w:next w:val="Sinlista"/>
    <w:uiPriority w:val="99"/>
    <w:semiHidden/>
    <w:unhideWhenUsed/>
    <w:rsid w:val="007968EC"/>
  </w:style>
  <w:style w:type="numbering" w:customStyle="1" w:styleId="Sinlista32221">
    <w:name w:val="Sin lista32221"/>
    <w:next w:val="Sinlista"/>
    <w:uiPriority w:val="99"/>
    <w:semiHidden/>
    <w:unhideWhenUsed/>
    <w:rsid w:val="007968EC"/>
  </w:style>
  <w:style w:type="numbering" w:customStyle="1" w:styleId="Sinlista122221">
    <w:name w:val="Sin lista122221"/>
    <w:next w:val="Sinlista"/>
    <w:uiPriority w:val="99"/>
    <w:semiHidden/>
    <w:unhideWhenUsed/>
    <w:rsid w:val="007968EC"/>
  </w:style>
  <w:style w:type="numbering" w:customStyle="1" w:styleId="Sinlista1122221">
    <w:name w:val="Sin lista1122221"/>
    <w:next w:val="Sinlista"/>
    <w:uiPriority w:val="99"/>
    <w:semiHidden/>
    <w:unhideWhenUsed/>
    <w:rsid w:val="007968EC"/>
  </w:style>
  <w:style w:type="numbering" w:customStyle="1" w:styleId="Sinlista212221">
    <w:name w:val="Sin lista212221"/>
    <w:next w:val="Sinlista"/>
    <w:uiPriority w:val="99"/>
    <w:semiHidden/>
    <w:unhideWhenUsed/>
    <w:rsid w:val="007968EC"/>
  </w:style>
  <w:style w:type="numbering" w:customStyle="1" w:styleId="Sinlista11112221">
    <w:name w:val="Sin lista11112221"/>
    <w:next w:val="Sinlista"/>
    <w:uiPriority w:val="99"/>
    <w:semiHidden/>
    <w:unhideWhenUsed/>
    <w:rsid w:val="007968EC"/>
  </w:style>
  <w:style w:type="numbering" w:customStyle="1" w:styleId="Sinlista311221">
    <w:name w:val="Sin lista311221"/>
    <w:next w:val="Sinlista"/>
    <w:uiPriority w:val="99"/>
    <w:semiHidden/>
    <w:unhideWhenUsed/>
    <w:rsid w:val="007968EC"/>
  </w:style>
  <w:style w:type="numbering" w:customStyle="1" w:styleId="Sinlista1211221">
    <w:name w:val="Sin lista1211221"/>
    <w:next w:val="Sinlista"/>
    <w:uiPriority w:val="99"/>
    <w:semiHidden/>
    <w:unhideWhenUsed/>
    <w:rsid w:val="007968EC"/>
  </w:style>
  <w:style w:type="numbering" w:customStyle="1" w:styleId="Sinlista11211221">
    <w:name w:val="Sin lista11211221"/>
    <w:next w:val="Sinlista"/>
    <w:uiPriority w:val="99"/>
    <w:semiHidden/>
    <w:unhideWhenUsed/>
    <w:rsid w:val="007968EC"/>
  </w:style>
  <w:style w:type="numbering" w:customStyle="1" w:styleId="Sinlista2111221">
    <w:name w:val="Sin lista2111221"/>
    <w:next w:val="Sinlista"/>
    <w:uiPriority w:val="99"/>
    <w:semiHidden/>
    <w:unhideWhenUsed/>
    <w:rsid w:val="007968EC"/>
  </w:style>
  <w:style w:type="numbering" w:customStyle="1" w:styleId="Sinlista1111111221">
    <w:name w:val="Sin lista1111111221"/>
    <w:next w:val="Sinlista"/>
    <w:uiPriority w:val="99"/>
    <w:semiHidden/>
    <w:unhideWhenUsed/>
    <w:rsid w:val="007968EC"/>
  </w:style>
  <w:style w:type="numbering" w:customStyle="1" w:styleId="Sinlista41121">
    <w:name w:val="Sin lista41121"/>
    <w:next w:val="Sinlista"/>
    <w:uiPriority w:val="99"/>
    <w:semiHidden/>
    <w:unhideWhenUsed/>
    <w:rsid w:val="007968EC"/>
  </w:style>
  <w:style w:type="numbering" w:customStyle="1" w:styleId="Sinlista131121">
    <w:name w:val="Sin lista131121"/>
    <w:next w:val="Sinlista"/>
    <w:uiPriority w:val="99"/>
    <w:semiHidden/>
    <w:unhideWhenUsed/>
    <w:rsid w:val="007968EC"/>
  </w:style>
  <w:style w:type="numbering" w:customStyle="1" w:styleId="Sinlista1131121">
    <w:name w:val="Sin lista1131121"/>
    <w:next w:val="Sinlista"/>
    <w:uiPriority w:val="99"/>
    <w:semiHidden/>
    <w:unhideWhenUsed/>
    <w:rsid w:val="007968EC"/>
  </w:style>
  <w:style w:type="numbering" w:customStyle="1" w:styleId="Sinlista221121">
    <w:name w:val="Sin lista221121"/>
    <w:next w:val="Sinlista"/>
    <w:uiPriority w:val="99"/>
    <w:semiHidden/>
    <w:unhideWhenUsed/>
    <w:rsid w:val="007968EC"/>
  </w:style>
  <w:style w:type="numbering" w:customStyle="1" w:styleId="Sinlista11121121">
    <w:name w:val="Sin lista11121121"/>
    <w:next w:val="Sinlista"/>
    <w:uiPriority w:val="99"/>
    <w:semiHidden/>
    <w:unhideWhenUsed/>
    <w:rsid w:val="007968EC"/>
  </w:style>
  <w:style w:type="numbering" w:customStyle="1" w:styleId="Sinlista321121">
    <w:name w:val="Sin lista321121"/>
    <w:next w:val="Sinlista"/>
    <w:uiPriority w:val="99"/>
    <w:semiHidden/>
    <w:unhideWhenUsed/>
    <w:rsid w:val="007968EC"/>
  </w:style>
  <w:style w:type="numbering" w:customStyle="1" w:styleId="Sinlista1221121">
    <w:name w:val="Sin lista1221121"/>
    <w:next w:val="Sinlista"/>
    <w:uiPriority w:val="99"/>
    <w:semiHidden/>
    <w:unhideWhenUsed/>
    <w:rsid w:val="007968EC"/>
  </w:style>
  <w:style w:type="numbering" w:customStyle="1" w:styleId="Sinlista11221121">
    <w:name w:val="Sin lista11221121"/>
    <w:next w:val="Sinlista"/>
    <w:uiPriority w:val="99"/>
    <w:semiHidden/>
    <w:unhideWhenUsed/>
    <w:rsid w:val="007968EC"/>
  </w:style>
  <w:style w:type="numbering" w:customStyle="1" w:styleId="Sinlista2121121">
    <w:name w:val="Sin lista2121121"/>
    <w:next w:val="Sinlista"/>
    <w:uiPriority w:val="99"/>
    <w:semiHidden/>
    <w:unhideWhenUsed/>
    <w:rsid w:val="007968EC"/>
  </w:style>
  <w:style w:type="numbering" w:customStyle="1" w:styleId="Sinlista111121121">
    <w:name w:val="Sin lista111121121"/>
    <w:next w:val="Sinlista"/>
    <w:uiPriority w:val="99"/>
    <w:semiHidden/>
    <w:unhideWhenUsed/>
    <w:rsid w:val="007968EC"/>
  </w:style>
  <w:style w:type="numbering" w:customStyle="1" w:styleId="Sinlista3111121">
    <w:name w:val="Sin lista3111121"/>
    <w:next w:val="Sinlista"/>
    <w:uiPriority w:val="99"/>
    <w:semiHidden/>
    <w:unhideWhenUsed/>
    <w:rsid w:val="007968EC"/>
  </w:style>
  <w:style w:type="numbering" w:customStyle="1" w:styleId="Sinlista12111121">
    <w:name w:val="Sin lista12111121"/>
    <w:next w:val="Sinlista"/>
    <w:uiPriority w:val="99"/>
    <w:semiHidden/>
    <w:unhideWhenUsed/>
    <w:rsid w:val="007968EC"/>
  </w:style>
  <w:style w:type="numbering" w:customStyle="1" w:styleId="Sinlista112111121">
    <w:name w:val="Sin lista112111121"/>
    <w:next w:val="Sinlista"/>
    <w:uiPriority w:val="99"/>
    <w:semiHidden/>
    <w:unhideWhenUsed/>
    <w:rsid w:val="007968EC"/>
  </w:style>
  <w:style w:type="numbering" w:customStyle="1" w:styleId="Sinlista21111121">
    <w:name w:val="Sin lista21111121"/>
    <w:next w:val="Sinlista"/>
    <w:uiPriority w:val="99"/>
    <w:semiHidden/>
    <w:unhideWhenUsed/>
    <w:rsid w:val="007968EC"/>
  </w:style>
  <w:style w:type="numbering" w:customStyle="1" w:styleId="Sinlista111111111121">
    <w:name w:val="Sin lista111111111121"/>
    <w:next w:val="Sinlista"/>
    <w:uiPriority w:val="99"/>
    <w:semiHidden/>
    <w:unhideWhenUsed/>
    <w:rsid w:val="007968EC"/>
  </w:style>
  <w:style w:type="numbering" w:customStyle="1" w:styleId="Sinlista611">
    <w:name w:val="Sin lista611"/>
    <w:next w:val="Sinlista"/>
    <w:uiPriority w:val="99"/>
    <w:semiHidden/>
    <w:unhideWhenUsed/>
    <w:rsid w:val="007968EC"/>
  </w:style>
  <w:style w:type="numbering" w:customStyle="1" w:styleId="Sinlista1511">
    <w:name w:val="Sin lista1511"/>
    <w:next w:val="Sinlista"/>
    <w:uiPriority w:val="99"/>
    <w:semiHidden/>
    <w:unhideWhenUsed/>
    <w:rsid w:val="007968EC"/>
  </w:style>
  <w:style w:type="numbering" w:customStyle="1" w:styleId="Sinlista11511">
    <w:name w:val="Sin lista11511"/>
    <w:next w:val="Sinlista"/>
    <w:uiPriority w:val="99"/>
    <w:semiHidden/>
    <w:unhideWhenUsed/>
    <w:rsid w:val="007968EC"/>
  </w:style>
  <w:style w:type="numbering" w:customStyle="1" w:styleId="Sinlista111411">
    <w:name w:val="Sin lista111411"/>
    <w:next w:val="Sinlista"/>
    <w:uiPriority w:val="99"/>
    <w:semiHidden/>
    <w:unhideWhenUsed/>
    <w:rsid w:val="007968EC"/>
  </w:style>
  <w:style w:type="numbering" w:customStyle="1" w:styleId="Sinlista1111411">
    <w:name w:val="Sin lista1111411"/>
    <w:next w:val="Sinlista"/>
    <w:uiPriority w:val="99"/>
    <w:semiHidden/>
    <w:unhideWhenUsed/>
    <w:rsid w:val="007968EC"/>
  </w:style>
  <w:style w:type="numbering" w:customStyle="1" w:styleId="Sinlista11111311">
    <w:name w:val="Sin lista11111311"/>
    <w:next w:val="Sinlista"/>
    <w:uiPriority w:val="99"/>
    <w:semiHidden/>
    <w:unhideWhenUsed/>
    <w:rsid w:val="007968EC"/>
  </w:style>
  <w:style w:type="numbering" w:customStyle="1" w:styleId="Sinlista2411">
    <w:name w:val="Sin lista2411"/>
    <w:next w:val="Sinlista"/>
    <w:uiPriority w:val="99"/>
    <w:semiHidden/>
    <w:unhideWhenUsed/>
    <w:rsid w:val="007968EC"/>
  </w:style>
  <w:style w:type="numbering" w:customStyle="1" w:styleId="Sinlista111111311">
    <w:name w:val="Sin lista111111311"/>
    <w:next w:val="Sinlista"/>
    <w:uiPriority w:val="99"/>
    <w:semiHidden/>
    <w:unhideWhenUsed/>
    <w:rsid w:val="007968EC"/>
  </w:style>
  <w:style w:type="numbering" w:customStyle="1" w:styleId="Sinlista3411">
    <w:name w:val="Sin lista3411"/>
    <w:next w:val="Sinlista"/>
    <w:uiPriority w:val="99"/>
    <w:semiHidden/>
    <w:unhideWhenUsed/>
    <w:rsid w:val="007968EC"/>
  </w:style>
  <w:style w:type="numbering" w:customStyle="1" w:styleId="Sinlista12411">
    <w:name w:val="Sin lista12411"/>
    <w:next w:val="Sinlista"/>
    <w:uiPriority w:val="99"/>
    <w:semiHidden/>
    <w:unhideWhenUsed/>
    <w:rsid w:val="007968EC"/>
  </w:style>
  <w:style w:type="numbering" w:customStyle="1" w:styleId="Sinlista112411">
    <w:name w:val="Sin lista112411"/>
    <w:next w:val="Sinlista"/>
    <w:uiPriority w:val="99"/>
    <w:semiHidden/>
    <w:unhideWhenUsed/>
    <w:rsid w:val="007968EC"/>
  </w:style>
  <w:style w:type="numbering" w:customStyle="1" w:styleId="Sinlista21411">
    <w:name w:val="Sin lista21411"/>
    <w:next w:val="Sinlista"/>
    <w:uiPriority w:val="99"/>
    <w:semiHidden/>
    <w:unhideWhenUsed/>
    <w:rsid w:val="007968EC"/>
  </w:style>
  <w:style w:type="numbering" w:customStyle="1" w:styleId="Sinlista1111111311">
    <w:name w:val="Sin lista1111111311"/>
    <w:next w:val="Sinlista"/>
    <w:uiPriority w:val="99"/>
    <w:semiHidden/>
    <w:unhideWhenUsed/>
    <w:rsid w:val="007968EC"/>
  </w:style>
  <w:style w:type="numbering" w:customStyle="1" w:styleId="Sinlista31311">
    <w:name w:val="Sin lista31311"/>
    <w:next w:val="Sinlista"/>
    <w:uiPriority w:val="99"/>
    <w:semiHidden/>
    <w:unhideWhenUsed/>
    <w:rsid w:val="007968EC"/>
  </w:style>
  <w:style w:type="numbering" w:customStyle="1" w:styleId="Sinlista121311">
    <w:name w:val="Sin lista121311"/>
    <w:next w:val="Sinlista"/>
    <w:uiPriority w:val="99"/>
    <w:semiHidden/>
    <w:unhideWhenUsed/>
    <w:rsid w:val="007968EC"/>
  </w:style>
  <w:style w:type="numbering" w:customStyle="1" w:styleId="Sinlista1121311">
    <w:name w:val="Sin lista1121311"/>
    <w:next w:val="Sinlista"/>
    <w:uiPriority w:val="99"/>
    <w:semiHidden/>
    <w:unhideWhenUsed/>
    <w:rsid w:val="007968EC"/>
  </w:style>
  <w:style w:type="numbering" w:customStyle="1" w:styleId="Sinlista211311">
    <w:name w:val="Sin lista211311"/>
    <w:next w:val="Sinlista"/>
    <w:uiPriority w:val="99"/>
    <w:semiHidden/>
    <w:unhideWhenUsed/>
    <w:rsid w:val="007968EC"/>
  </w:style>
  <w:style w:type="numbering" w:customStyle="1" w:styleId="Sinlista11111111211">
    <w:name w:val="Sin lista11111111211"/>
    <w:next w:val="Sinlista"/>
    <w:uiPriority w:val="99"/>
    <w:semiHidden/>
    <w:unhideWhenUsed/>
    <w:rsid w:val="007968EC"/>
  </w:style>
  <w:style w:type="numbering" w:customStyle="1" w:styleId="Sinlista4311">
    <w:name w:val="Sin lista4311"/>
    <w:next w:val="Sinlista"/>
    <w:uiPriority w:val="99"/>
    <w:semiHidden/>
    <w:unhideWhenUsed/>
    <w:rsid w:val="007968EC"/>
  </w:style>
  <w:style w:type="numbering" w:customStyle="1" w:styleId="Sinlista13311">
    <w:name w:val="Sin lista13311"/>
    <w:next w:val="Sinlista"/>
    <w:uiPriority w:val="99"/>
    <w:semiHidden/>
    <w:unhideWhenUsed/>
    <w:rsid w:val="007968EC"/>
  </w:style>
  <w:style w:type="numbering" w:customStyle="1" w:styleId="Sinlista22311">
    <w:name w:val="Sin lista22311"/>
    <w:next w:val="Sinlista"/>
    <w:uiPriority w:val="99"/>
    <w:semiHidden/>
    <w:unhideWhenUsed/>
    <w:rsid w:val="007968EC"/>
  </w:style>
  <w:style w:type="numbering" w:customStyle="1" w:styleId="Sinlista113311">
    <w:name w:val="Sin lista113311"/>
    <w:next w:val="Sinlista"/>
    <w:uiPriority w:val="99"/>
    <w:semiHidden/>
    <w:unhideWhenUsed/>
    <w:rsid w:val="007968EC"/>
  </w:style>
  <w:style w:type="numbering" w:customStyle="1" w:styleId="Sinlista1112311">
    <w:name w:val="Sin lista1112311"/>
    <w:next w:val="Sinlista"/>
    <w:uiPriority w:val="99"/>
    <w:semiHidden/>
    <w:unhideWhenUsed/>
    <w:rsid w:val="007968EC"/>
  </w:style>
  <w:style w:type="numbering" w:customStyle="1" w:styleId="Sinlista32311">
    <w:name w:val="Sin lista32311"/>
    <w:next w:val="Sinlista"/>
    <w:uiPriority w:val="99"/>
    <w:semiHidden/>
    <w:unhideWhenUsed/>
    <w:rsid w:val="007968EC"/>
  </w:style>
  <w:style w:type="numbering" w:customStyle="1" w:styleId="Sinlista122311">
    <w:name w:val="Sin lista122311"/>
    <w:next w:val="Sinlista"/>
    <w:uiPriority w:val="99"/>
    <w:semiHidden/>
    <w:unhideWhenUsed/>
    <w:rsid w:val="007968EC"/>
  </w:style>
  <w:style w:type="numbering" w:customStyle="1" w:styleId="Sinlista1122311">
    <w:name w:val="Sin lista1122311"/>
    <w:next w:val="Sinlista"/>
    <w:uiPriority w:val="99"/>
    <w:semiHidden/>
    <w:unhideWhenUsed/>
    <w:rsid w:val="007968EC"/>
  </w:style>
  <w:style w:type="numbering" w:customStyle="1" w:styleId="Sinlista212311">
    <w:name w:val="Sin lista212311"/>
    <w:next w:val="Sinlista"/>
    <w:uiPriority w:val="99"/>
    <w:semiHidden/>
    <w:unhideWhenUsed/>
    <w:rsid w:val="007968EC"/>
  </w:style>
  <w:style w:type="numbering" w:customStyle="1" w:styleId="Sinlista11112311">
    <w:name w:val="Sin lista11112311"/>
    <w:next w:val="Sinlista"/>
    <w:uiPriority w:val="99"/>
    <w:semiHidden/>
    <w:unhideWhenUsed/>
    <w:rsid w:val="007968EC"/>
  </w:style>
  <w:style w:type="numbering" w:customStyle="1" w:styleId="Sinlista311311">
    <w:name w:val="Sin lista311311"/>
    <w:next w:val="Sinlista"/>
    <w:uiPriority w:val="99"/>
    <w:semiHidden/>
    <w:unhideWhenUsed/>
    <w:rsid w:val="007968EC"/>
  </w:style>
  <w:style w:type="numbering" w:customStyle="1" w:styleId="Sinlista1211311">
    <w:name w:val="Sin lista1211311"/>
    <w:next w:val="Sinlista"/>
    <w:uiPriority w:val="99"/>
    <w:semiHidden/>
    <w:unhideWhenUsed/>
    <w:rsid w:val="007968EC"/>
  </w:style>
  <w:style w:type="numbering" w:customStyle="1" w:styleId="Sinlista11211311">
    <w:name w:val="Sin lista11211311"/>
    <w:next w:val="Sinlista"/>
    <w:uiPriority w:val="99"/>
    <w:semiHidden/>
    <w:unhideWhenUsed/>
    <w:rsid w:val="007968EC"/>
  </w:style>
  <w:style w:type="numbering" w:customStyle="1" w:styleId="Sinlista2111311">
    <w:name w:val="Sin lista2111311"/>
    <w:next w:val="Sinlista"/>
    <w:uiPriority w:val="99"/>
    <w:semiHidden/>
    <w:unhideWhenUsed/>
    <w:rsid w:val="007968EC"/>
  </w:style>
  <w:style w:type="numbering" w:customStyle="1" w:styleId="Sinlista111111111211">
    <w:name w:val="Sin lista111111111211"/>
    <w:next w:val="Sinlista"/>
    <w:uiPriority w:val="99"/>
    <w:semiHidden/>
    <w:unhideWhenUsed/>
    <w:rsid w:val="007968EC"/>
  </w:style>
  <w:style w:type="numbering" w:customStyle="1" w:styleId="Sinlista41211">
    <w:name w:val="Sin lista41211"/>
    <w:next w:val="Sinlista"/>
    <w:uiPriority w:val="99"/>
    <w:semiHidden/>
    <w:unhideWhenUsed/>
    <w:rsid w:val="007968EC"/>
  </w:style>
  <w:style w:type="numbering" w:customStyle="1" w:styleId="Sinlista131211">
    <w:name w:val="Sin lista131211"/>
    <w:next w:val="Sinlista"/>
    <w:uiPriority w:val="99"/>
    <w:semiHidden/>
    <w:unhideWhenUsed/>
    <w:rsid w:val="007968EC"/>
  </w:style>
  <w:style w:type="numbering" w:customStyle="1" w:styleId="Sinlista1131211">
    <w:name w:val="Sin lista1131211"/>
    <w:next w:val="Sinlista"/>
    <w:uiPriority w:val="99"/>
    <w:semiHidden/>
    <w:unhideWhenUsed/>
    <w:rsid w:val="007968EC"/>
  </w:style>
  <w:style w:type="numbering" w:customStyle="1" w:styleId="Sinlista221211">
    <w:name w:val="Sin lista221211"/>
    <w:next w:val="Sinlista"/>
    <w:uiPriority w:val="99"/>
    <w:semiHidden/>
    <w:unhideWhenUsed/>
    <w:rsid w:val="007968EC"/>
  </w:style>
  <w:style w:type="numbering" w:customStyle="1" w:styleId="Sinlista11121211">
    <w:name w:val="Sin lista11121211"/>
    <w:next w:val="Sinlista"/>
    <w:uiPriority w:val="99"/>
    <w:semiHidden/>
    <w:unhideWhenUsed/>
    <w:rsid w:val="007968EC"/>
  </w:style>
  <w:style w:type="numbering" w:customStyle="1" w:styleId="Sinlista321211">
    <w:name w:val="Sin lista321211"/>
    <w:next w:val="Sinlista"/>
    <w:uiPriority w:val="99"/>
    <w:semiHidden/>
    <w:unhideWhenUsed/>
    <w:rsid w:val="007968EC"/>
  </w:style>
  <w:style w:type="numbering" w:customStyle="1" w:styleId="Sinlista1221211">
    <w:name w:val="Sin lista1221211"/>
    <w:next w:val="Sinlista"/>
    <w:uiPriority w:val="99"/>
    <w:semiHidden/>
    <w:unhideWhenUsed/>
    <w:rsid w:val="007968EC"/>
  </w:style>
  <w:style w:type="numbering" w:customStyle="1" w:styleId="Sinlista11221211">
    <w:name w:val="Sin lista11221211"/>
    <w:next w:val="Sinlista"/>
    <w:uiPriority w:val="99"/>
    <w:semiHidden/>
    <w:unhideWhenUsed/>
    <w:rsid w:val="007968EC"/>
  </w:style>
  <w:style w:type="numbering" w:customStyle="1" w:styleId="Sinlista2121211">
    <w:name w:val="Sin lista2121211"/>
    <w:next w:val="Sinlista"/>
    <w:uiPriority w:val="99"/>
    <w:semiHidden/>
    <w:unhideWhenUsed/>
    <w:rsid w:val="007968EC"/>
  </w:style>
  <w:style w:type="numbering" w:customStyle="1" w:styleId="Sinlista111121211">
    <w:name w:val="Sin lista111121211"/>
    <w:next w:val="Sinlista"/>
    <w:uiPriority w:val="99"/>
    <w:semiHidden/>
    <w:unhideWhenUsed/>
    <w:rsid w:val="007968EC"/>
  </w:style>
  <w:style w:type="numbering" w:customStyle="1" w:styleId="Sinlista3111211">
    <w:name w:val="Sin lista3111211"/>
    <w:next w:val="Sinlista"/>
    <w:uiPriority w:val="99"/>
    <w:semiHidden/>
    <w:unhideWhenUsed/>
    <w:rsid w:val="007968EC"/>
  </w:style>
  <w:style w:type="numbering" w:customStyle="1" w:styleId="Sinlista12111211">
    <w:name w:val="Sin lista12111211"/>
    <w:next w:val="Sinlista"/>
    <w:uiPriority w:val="99"/>
    <w:semiHidden/>
    <w:unhideWhenUsed/>
    <w:rsid w:val="007968EC"/>
  </w:style>
  <w:style w:type="numbering" w:customStyle="1" w:styleId="Sinlista112111211">
    <w:name w:val="Sin lista112111211"/>
    <w:next w:val="Sinlista"/>
    <w:uiPriority w:val="99"/>
    <w:semiHidden/>
    <w:unhideWhenUsed/>
    <w:rsid w:val="007968EC"/>
  </w:style>
  <w:style w:type="numbering" w:customStyle="1" w:styleId="Sinlista21111211">
    <w:name w:val="Sin lista21111211"/>
    <w:next w:val="Sinlista"/>
    <w:uiPriority w:val="99"/>
    <w:semiHidden/>
    <w:unhideWhenUsed/>
    <w:rsid w:val="007968EC"/>
  </w:style>
  <w:style w:type="numbering" w:customStyle="1" w:styleId="Sinlista1111111111121">
    <w:name w:val="Sin lista1111111111121"/>
    <w:next w:val="Sinlista"/>
    <w:uiPriority w:val="99"/>
    <w:semiHidden/>
    <w:unhideWhenUsed/>
    <w:rsid w:val="007968EC"/>
  </w:style>
  <w:style w:type="numbering" w:customStyle="1" w:styleId="Sinlista5111">
    <w:name w:val="Sin lista5111"/>
    <w:next w:val="Sinlista"/>
    <w:uiPriority w:val="99"/>
    <w:semiHidden/>
    <w:unhideWhenUsed/>
    <w:rsid w:val="007968EC"/>
  </w:style>
  <w:style w:type="numbering" w:customStyle="1" w:styleId="Sinlista14111">
    <w:name w:val="Sin lista14111"/>
    <w:next w:val="Sinlista"/>
    <w:uiPriority w:val="99"/>
    <w:semiHidden/>
    <w:unhideWhenUsed/>
    <w:rsid w:val="007968EC"/>
  </w:style>
  <w:style w:type="numbering" w:customStyle="1" w:styleId="Sinlista114111">
    <w:name w:val="Sin lista114111"/>
    <w:next w:val="Sinlista"/>
    <w:uiPriority w:val="99"/>
    <w:semiHidden/>
    <w:unhideWhenUsed/>
    <w:rsid w:val="007968EC"/>
  </w:style>
  <w:style w:type="numbering" w:customStyle="1" w:styleId="Sinlista1113111">
    <w:name w:val="Sin lista1113111"/>
    <w:next w:val="Sinlista"/>
    <w:uiPriority w:val="99"/>
    <w:semiHidden/>
    <w:unhideWhenUsed/>
    <w:rsid w:val="007968EC"/>
  </w:style>
  <w:style w:type="numbering" w:customStyle="1" w:styleId="Sinlista23111">
    <w:name w:val="Sin lista23111"/>
    <w:next w:val="Sinlista"/>
    <w:uiPriority w:val="99"/>
    <w:semiHidden/>
    <w:unhideWhenUsed/>
    <w:rsid w:val="007968EC"/>
  </w:style>
  <w:style w:type="numbering" w:customStyle="1" w:styleId="Sinlista11113111">
    <w:name w:val="Sin lista11113111"/>
    <w:next w:val="Sinlista"/>
    <w:uiPriority w:val="99"/>
    <w:semiHidden/>
    <w:unhideWhenUsed/>
    <w:rsid w:val="007968EC"/>
  </w:style>
  <w:style w:type="numbering" w:customStyle="1" w:styleId="Sinlista33111">
    <w:name w:val="Sin lista33111"/>
    <w:next w:val="Sinlista"/>
    <w:uiPriority w:val="99"/>
    <w:semiHidden/>
    <w:unhideWhenUsed/>
    <w:rsid w:val="007968EC"/>
  </w:style>
  <w:style w:type="numbering" w:customStyle="1" w:styleId="Sinlista123111">
    <w:name w:val="Sin lista123111"/>
    <w:next w:val="Sinlista"/>
    <w:uiPriority w:val="99"/>
    <w:semiHidden/>
    <w:unhideWhenUsed/>
    <w:rsid w:val="007968EC"/>
  </w:style>
  <w:style w:type="numbering" w:customStyle="1" w:styleId="Sinlista1123111">
    <w:name w:val="Sin lista1123111"/>
    <w:next w:val="Sinlista"/>
    <w:uiPriority w:val="99"/>
    <w:semiHidden/>
    <w:unhideWhenUsed/>
    <w:rsid w:val="007968EC"/>
  </w:style>
  <w:style w:type="numbering" w:customStyle="1" w:styleId="Sinlista213111">
    <w:name w:val="Sin lista213111"/>
    <w:next w:val="Sinlista"/>
    <w:uiPriority w:val="99"/>
    <w:semiHidden/>
    <w:unhideWhenUsed/>
    <w:rsid w:val="007968EC"/>
  </w:style>
  <w:style w:type="numbering" w:customStyle="1" w:styleId="Sinlista111112111">
    <w:name w:val="Sin lista111112111"/>
    <w:next w:val="Sinlista"/>
    <w:uiPriority w:val="99"/>
    <w:semiHidden/>
    <w:unhideWhenUsed/>
    <w:rsid w:val="007968EC"/>
  </w:style>
  <w:style w:type="numbering" w:customStyle="1" w:styleId="Sinlista312111">
    <w:name w:val="Sin lista312111"/>
    <w:next w:val="Sinlista"/>
    <w:uiPriority w:val="99"/>
    <w:semiHidden/>
    <w:unhideWhenUsed/>
    <w:rsid w:val="007968EC"/>
  </w:style>
  <w:style w:type="numbering" w:customStyle="1" w:styleId="Sinlista1212111">
    <w:name w:val="Sin lista1212111"/>
    <w:next w:val="Sinlista"/>
    <w:uiPriority w:val="99"/>
    <w:semiHidden/>
    <w:unhideWhenUsed/>
    <w:rsid w:val="007968EC"/>
  </w:style>
  <w:style w:type="numbering" w:customStyle="1" w:styleId="Sinlista11212111">
    <w:name w:val="Sin lista11212111"/>
    <w:next w:val="Sinlista"/>
    <w:uiPriority w:val="99"/>
    <w:semiHidden/>
    <w:unhideWhenUsed/>
    <w:rsid w:val="007968EC"/>
  </w:style>
  <w:style w:type="numbering" w:customStyle="1" w:styleId="Sinlista2112111">
    <w:name w:val="Sin lista2112111"/>
    <w:next w:val="Sinlista"/>
    <w:uiPriority w:val="99"/>
    <w:semiHidden/>
    <w:unhideWhenUsed/>
    <w:rsid w:val="007968EC"/>
  </w:style>
  <w:style w:type="numbering" w:customStyle="1" w:styleId="Sinlista1111112111">
    <w:name w:val="Sin lista1111112111"/>
    <w:next w:val="Sinlista"/>
    <w:uiPriority w:val="99"/>
    <w:semiHidden/>
    <w:unhideWhenUsed/>
    <w:rsid w:val="007968EC"/>
  </w:style>
  <w:style w:type="numbering" w:customStyle="1" w:styleId="Sinlista42111">
    <w:name w:val="Sin lista42111"/>
    <w:next w:val="Sinlista"/>
    <w:uiPriority w:val="99"/>
    <w:semiHidden/>
    <w:unhideWhenUsed/>
    <w:rsid w:val="007968EC"/>
  </w:style>
  <w:style w:type="numbering" w:customStyle="1" w:styleId="Sinlista132111">
    <w:name w:val="Sin lista132111"/>
    <w:next w:val="Sinlista"/>
    <w:uiPriority w:val="99"/>
    <w:semiHidden/>
    <w:unhideWhenUsed/>
    <w:rsid w:val="007968EC"/>
  </w:style>
  <w:style w:type="numbering" w:customStyle="1" w:styleId="Sinlista222111">
    <w:name w:val="Sin lista222111"/>
    <w:next w:val="Sinlista"/>
    <w:uiPriority w:val="99"/>
    <w:semiHidden/>
    <w:unhideWhenUsed/>
    <w:rsid w:val="007968EC"/>
  </w:style>
  <w:style w:type="numbering" w:customStyle="1" w:styleId="Sinlista1132111">
    <w:name w:val="Sin lista1132111"/>
    <w:next w:val="Sinlista"/>
    <w:uiPriority w:val="99"/>
    <w:semiHidden/>
    <w:unhideWhenUsed/>
    <w:rsid w:val="007968EC"/>
  </w:style>
  <w:style w:type="numbering" w:customStyle="1" w:styleId="Sinlista11122111">
    <w:name w:val="Sin lista11122111"/>
    <w:next w:val="Sinlista"/>
    <w:uiPriority w:val="99"/>
    <w:semiHidden/>
    <w:unhideWhenUsed/>
    <w:rsid w:val="007968EC"/>
  </w:style>
  <w:style w:type="numbering" w:customStyle="1" w:styleId="Sinlista322111">
    <w:name w:val="Sin lista322111"/>
    <w:next w:val="Sinlista"/>
    <w:uiPriority w:val="99"/>
    <w:semiHidden/>
    <w:unhideWhenUsed/>
    <w:rsid w:val="007968EC"/>
  </w:style>
  <w:style w:type="numbering" w:customStyle="1" w:styleId="Sinlista1222111">
    <w:name w:val="Sin lista1222111"/>
    <w:next w:val="Sinlista"/>
    <w:uiPriority w:val="99"/>
    <w:semiHidden/>
    <w:unhideWhenUsed/>
    <w:rsid w:val="007968EC"/>
  </w:style>
  <w:style w:type="numbering" w:customStyle="1" w:styleId="Sinlista11222111">
    <w:name w:val="Sin lista11222111"/>
    <w:next w:val="Sinlista"/>
    <w:uiPriority w:val="99"/>
    <w:semiHidden/>
    <w:unhideWhenUsed/>
    <w:rsid w:val="007968EC"/>
  </w:style>
  <w:style w:type="numbering" w:customStyle="1" w:styleId="Sinlista2122111">
    <w:name w:val="Sin lista2122111"/>
    <w:next w:val="Sinlista"/>
    <w:uiPriority w:val="99"/>
    <w:semiHidden/>
    <w:unhideWhenUsed/>
    <w:rsid w:val="007968EC"/>
  </w:style>
  <w:style w:type="numbering" w:customStyle="1" w:styleId="Sinlista111122111">
    <w:name w:val="Sin lista111122111"/>
    <w:next w:val="Sinlista"/>
    <w:uiPriority w:val="99"/>
    <w:semiHidden/>
    <w:unhideWhenUsed/>
    <w:rsid w:val="007968EC"/>
  </w:style>
  <w:style w:type="numbering" w:customStyle="1" w:styleId="Sinlista3112111">
    <w:name w:val="Sin lista3112111"/>
    <w:next w:val="Sinlista"/>
    <w:uiPriority w:val="99"/>
    <w:semiHidden/>
    <w:unhideWhenUsed/>
    <w:rsid w:val="007968EC"/>
  </w:style>
  <w:style w:type="numbering" w:customStyle="1" w:styleId="Sinlista12112111">
    <w:name w:val="Sin lista12112111"/>
    <w:next w:val="Sinlista"/>
    <w:uiPriority w:val="99"/>
    <w:semiHidden/>
    <w:unhideWhenUsed/>
    <w:rsid w:val="007968EC"/>
  </w:style>
  <w:style w:type="numbering" w:customStyle="1" w:styleId="Sinlista112112111">
    <w:name w:val="Sin lista112112111"/>
    <w:next w:val="Sinlista"/>
    <w:uiPriority w:val="99"/>
    <w:semiHidden/>
    <w:unhideWhenUsed/>
    <w:rsid w:val="007968EC"/>
  </w:style>
  <w:style w:type="numbering" w:customStyle="1" w:styleId="Sinlista21112111">
    <w:name w:val="Sin lista21112111"/>
    <w:next w:val="Sinlista"/>
    <w:uiPriority w:val="99"/>
    <w:semiHidden/>
    <w:unhideWhenUsed/>
    <w:rsid w:val="007968EC"/>
  </w:style>
  <w:style w:type="numbering" w:customStyle="1" w:styleId="Sinlista11111112111">
    <w:name w:val="Sin lista11111112111"/>
    <w:next w:val="Sinlista"/>
    <w:uiPriority w:val="99"/>
    <w:semiHidden/>
    <w:unhideWhenUsed/>
    <w:rsid w:val="007968EC"/>
  </w:style>
  <w:style w:type="numbering" w:customStyle="1" w:styleId="Sinlista411111">
    <w:name w:val="Sin lista411111"/>
    <w:next w:val="Sinlista"/>
    <w:uiPriority w:val="99"/>
    <w:semiHidden/>
    <w:unhideWhenUsed/>
    <w:rsid w:val="007968EC"/>
  </w:style>
  <w:style w:type="numbering" w:customStyle="1" w:styleId="Sinlista1311111">
    <w:name w:val="Sin lista1311111"/>
    <w:next w:val="Sinlista"/>
    <w:uiPriority w:val="99"/>
    <w:semiHidden/>
    <w:unhideWhenUsed/>
    <w:rsid w:val="007968EC"/>
  </w:style>
  <w:style w:type="numbering" w:customStyle="1" w:styleId="Sinlista11311111">
    <w:name w:val="Sin lista11311111"/>
    <w:next w:val="Sinlista"/>
    <w:uiPriority w:val="99"/>
    <w:semiHidden/>
    <w:unhideWhenUsed/>
    <w:rsid w:val="007968EC"/>
  </w:style>
  <w:style w:type="numbering" w:customStyle="1" w:styleId="Sinlista2211111">
    <w:name w:val="Sin lista2211111"/>
    <w:next w:val="Sinlista"/>
    <w:uiPriority w:val="99"/>
    <w:semiHidden/>
    <w:unhideWhenUsed/>
    <w:rsid w:val="007968EC"/>
  </w:style>
  <w:style w:type="numbering" w:customStyle="1" w:styleId="Sinlista111211111">
    <w:name w:val="Sin lista111211111"/>
    <w:next w:val="Sinlista"/>
    <w:uiPriority w:val="99"/>
    <w:semiHidden/>
    <w:unhideWhenUsed/>
    <w:rsid w:val="007968EC"/>
  </w:style>
  <w:style w:type="numbering" w:customStyle="1" w:styleId="Sinlista3211111">
    <w:name w:val="Sin lista3211111"/>
    <w:next w:val="Sinlista"/>
    <w:uiPriority w:val="99"/>
    <w:semiHidden/>
    <w:unhideWhenUsed/>
    <w:rsid w:val="007968EC"/>
  </w:style>
  <w:style w:type="numbering" w:customStyle="1" w:styleId="Sinlista12211111">
    <w:name w:val="Sin lista12211111"/>
    <w:next w:val="Sinlista"/>
    <w:uiPriority w:val="99"/>
    <w:semiHidden/>
    <w:unhideWhenUsed/>
    <w:rsid w:val="007968EC"/>
  </w:style>
  <w:style w:type="numbering" w:customStyle="1" w:styleId="Sinlista112211111">
    <w:name w:val="Sin lista112211111"/>
    <w:next w:val="Sinlista"/>
    <w:uiPriority w:val="99"/>
    <w:semiHidden/>
    <w:unhideWhenUsed/>
    <w:rsid w:val="007968EC"/>
  </w:style>
  <w:style w:type="numbering" w:customStyle="1" w:styleId="Sinlista21211111">
    <w:name w:val="Sin lista21211111"/>
    <w:next w:val="Sinlista"/>
    <w:uiPriority w:val="99"/>
    <w:semiHidden/>
    <w:unhideWhenUsed/>
    <w:rsid w:val="007968EC"/>
  </w:style>
  <w:style w:type="numbering" w:customStyle="1" w:styleId="Sinlista1111211111">
    <w:name w:val="Sin lista1111211111"/>
    <w:next w:val="Sinlista"/>
    <w:uiPriority w:val="99"/>
    <w:semiHidden/>
    <w:unhideWhenUsed/>
    <w:rsid w:val="007968EC"/>
  </w:style>
  <w:style w:type="numbering" w:customStyle="1" w:styleId="Sinlista31111111">
    <w:name w:val="Sin lista31111111"/>
    <w:next w:val="Sinlista"/>
    <w:uiPriority w:val="99"/>
    <w:semiHidden/>
    <w:unhideWhenUsed/>
    <w:rsid w:val="007968EC"/>
  </w:style>
  <w:style w:type="numbering" w:customStyle="1" w:styleId="Sinlista121111111">
    <w:name w:val="Sin lista121111111"/>
    <w:next w:val="Sinlista"/>
    <w:uiPriority w:val="99"/>
    <w:semiHidden/>
    <w:unhideWhenUsed/>
    <w:rsid w:val="007968EC"/>
  </w:style>
  <w:style w:type="numbering" w:customStyle="1" w:styleId="Sinlista1121111111">
    <w:name w:val="Sin lista1121111111"/>
    <w:next w:val="Sinlista"/>
    <w:uiPriority w:val="99"/>
    <w:semiHidden/>
    <w:unhideWhenUsed/>
    <w:rsid w:val="007968EC"/>
  </w:style>
  <w:style w:type="numbering" w:customStyle="1" w:styleId="Sinlista211111111">
    <w:name w:val="Sin lista211111111"/>
    <w:next w:val="Sinlista"/>
    <w:uiPriority w:val="99"/>
    <w:semiHidden/>
    <w:unhideWhenUsed/>
    <w:rsid w:val="007968EC"/>
  </w:style>
  <w:style w:type="numbering" w:customStyle="1" w:styleId="Sinlista1111111111112">
    <w:name w:val="Sin lista1111111111112"/>
    <w:next w:val="Sinlista"/>
    <w:uiPriority w:val="99"/>
    <w:semiHidden/>
    <w:unhideWhenUsed/>
    <w:rsid w:val="007968EC"/>
  </w:style>
  <w:style w:type="character" w:customStyle="1" w:styleId="Mencionar11">
    <w:name w:val="Mencionar11"/>
    <w:basedOn w:val="Fuentedeprrafopredeter"/>
    <w:uiPriority w:val="99"/>
    <w:semiHidden/>
    <w:unhideWhenUsed/>
    <w:rsid w:val="007968EC"/>
    <w:rPr>
      <w:color w:val="2B579A"/>
      <w:shd w:val="clear" w:color="auto" w:fill="E6E6E6"/>
    </w:rPr>
  </w:style>
  <w:style w:type="table" w:customStyle="1" w:styleId="TableNormal1">
    <w:name w:val="Table Normal1"/>
    <w:uiPriority w:val="2"/>
    <w:semiHidden/>
    <w:unhideWhenUsed/>
    <w:qFormat/>
    <w:rsid w:val="007968E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1521">
    <w:name w:val="Tabla con cuadrícula1521"/>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1">
    <w:name w:val="Tabla con cuadrícula442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21">
    <w:name w:val="Tabla con cuadrícula21421"/>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7968EC"/>
  </w:style>
  <w:style w:type="numbering" w:customStyle="1" w:styleId="Sinlista17">
    <w:name w:val="Sin lista17"/>
    <w:next w:val="Sinlista"/>
    <w:uiPriority w:val="99"/>
    <w:semiHidden/>
    <w:unhideWhenUsed/>
    <w:rsid w:val="007968EC"/>
  </w:style>
  <w:style w:type="numbering" w:customStyle="1" w:styleId="Sinlista117">
    <w:name w:val="Sin lista117"/>
    <w:next w:val="Sinlista"/>
    <w:uiPriority w:val="99"/>
    <w:semiHidden/>
    <w:unhideWhenUsed/>
    <w:rsid w:val="007968EC"/>
  </w:style>
  <w:style w:type="numbering" w:customStyle="1" w:styleId="Sinlista1116">
    <w:name w:val="Sin lista1116"/>
    <w:next w:val="Sinlista"/>
    <w:uiPriority w:val="99"/>
    <w:semiHidden/>
    <w:unhideWhenUsed/>
    <w:rsid w:val="007968EC"/>
  </w:style>
  <w:style w:type="numbering" w:customStyle="1" w:styleId="Sinlista11116">
    <w:name w:val="Sin lista11116"/>
    <w:next w:val="Sinlista"/>
    <w:uiPriority w:val="99"/>
    <w:semiHidden/>
    <w:unhideWhenUsed/>
    <w:rsid w:val="007968EC"/>
  </w:style>
  <w:style w:type="numbering" w:customStyle="1" w:styleId="Sinlista26">
    <w:name w:val="Sin lista26"/>
    <w:next w:val="Sinlista"/>
    <w:uiPriority w:val="99"/>
    <w:semiHidden/>
    <w:unhideWhenUsed/>
    <w:rsid w:val="007968EC"/>
  </w:style>
  <w:style w:type="numbering" w:customStyle="1" w:styleId="Sinlista111115">
    <w:name w:val="Sin lista111115"/>
    <w:next w:val="Sinlista"/>
    <w:uiPriority w:val="99"/>
    <w:semiHidden/>
    <w:unhideWhenUsed/>
    <w:rsid w:val="007968EC"/>
  </w:style>
  <w:style w:type="numbering" w:customStyle="1" w:styleId="Sinlista36">
    <w:name w:val="Sin lista36"/>
    <w:next w:val="Sinlista"/>
    <w:uiPriority w:val="99"/>
    <w:semiHidden/>
    <w:unhideWhenUsed/>
    <w:rsid w:val="007968EC"/>
  </w:style>
  <w:style w:type="numbering" w:customStyle="1" w:styleId="Sinlista126">
    <w:name w:val="Sin lista126"/>
    <w:next w:val="Sinlista"/>
    <w:uiPriority w:val="99"/>
    <w:semiHidden/>
    <w:unhideWhenUsed/>
    <w:rsid w:val="007968EC"/>
  </w:style>
  <w:style w:type="numbering" w:customStyle="1" w:styleId="Sinlista1126">
    <w:name w:val="Sin lista1126"/>
    <w:next w:val="Sinlista"/>
    <w:uiPriority w:val="99"/>
    <w:semiHidden/>
    <w:unhideWhenUsed/>
    <w:rsid w:val="007968EC"/>
  </w:style>
  <w:style w:type="numbering" w:customStyle="1" w:styleId="Sinlista216">
    <w:name w:val="Sin lista216"/>
    <w:next w:val="Sinlista"/>
    <w:uiPriority w:val="99"/>
    <w:semiHidden/>
    <w:unhideWhenUsed/>
    <w:rsid w:val="007968EC"/>
  </w:style>
  <w:style w:type="numbering" w:customStyle="1" w:styleId="Sinlista1111115">
    <w:name w:val="Sin lista1111115"/>
    <w:next w:val="Sinlista"/>
    <w:uiPriority w:val="99"/>
    <w:semiHidden/>
    <w:unhideWhenUsed/>
    <w:rsid w:val="007968EC"/>
  </w:style>
  <w:style w:type="numbering" w:customStyle="1" w:styleId="Sinlista315">
    <w:name w:val="Sin lista315"/>
    <w:next w:val="Sinlista"/>
    <w:uiPriority w:val="99"/>
    <w:semiHidden/>
    <w:unhideWhenUsed/>
    <w:rsid w:val="007968EC"/>
  </w:style>
  <w:style w:type="numbering" w:customStyle="1" w:styleId="Sinlista1215">
    <w:name w:val="Sin lista1215"/>
    <w:next w:val="Sinlista"/>
    <w:uiPriority w:val="99"/>
    <w:semiHidden/>
    <w:unhideWhenUsed/>
    <w:rsid w:val="007968EC"/>
  </w:style>
  <w:style w:type="numbering" w:customStyle="1" w:styleId="Sinlista11215">
    <w:name w:val="Sin lista11215"/>
    <w:next w:val="Sinlista"/>
    <w:uiPriority w:val="99"/>
    <w:semiHidden/>
    <w:unhideWhenUsed/>
    <w:rsid w:val="007968EC"/>
  </w:style>
  <w:style w:type="numbering" w:customStyle="1" w:styleId="Sinlista2115">
    <w:name w:val="Sin lista2115"/>
    <w:next w:val="Sinlista"/>
    <w:uiPriority w:val="99"/>
    <w:semiHidden/>
    <w:unhideWhenUsed/>
    <w:rsid w:val="007968EC"/>
  </w:style>
  <w:style w:type="numbering" w:customStyle="1" w:styleId="Sinlista11111115">
    <w:name w:val="Sin lista11111115"/>
    <w:next w:val="Sinlista"/>
    <w:uiPriority w:val="99"/>
    <w:semiHidden/>
    <w:unhideWhenUsed/>
    <w:rsid w:val="007968EC"/>
  </w:style>
  <w:style w:type="numbering" w:customStyle="1" w:styleId="Sinlista45">
    <w:name w:val="Sin lista45"/>
    <w:next w:val="Sinlista"/>
    <w:uiPriority w:val="99"/>
    <w:semiHidden/>
    <w:unhideWhenUsed/>
    <w:rsid w:val="007968EC"/>
  </w:style>
  <w:style w:type="numbering" w:customStyle="1" w:styleId="Sinlista135">
    <w:name w:val="Sin lista135"/>
    <w:next w:val="Sinlista"/>
    <w:uiPriority w:val="99"/>
    <w:semiHidden/>
    <w:unhideWhenUsed/>
    <w:rsid w:val="007968EC"/>
  </w:style>
  <w:style w:type="numbering" w:customStyle="1" w:styleId="Sinlista225">
    <w:name w:val="Sin lista225"/>
    <w:next w:val="Sinlista"/>
    <w:uiPriority w:val="99"/>
    <w:semiHidden/>
    <w:unhideWhenUsed/>
    <w:rsid w:val="007968EC"/>
  </w:style>
  <w:style w:type="numbering" w:customStyle="1" w:styleId="Sinlista1135">
    <w:name w:val="Sin lista1135"/>
    <w:next w:val="Sinlista"/>
    <w:uiPriority w:val="99"/>
    <w:semiHidden/>
    <w:unhideWhenUsed/>
    <w:rsid w:val="007968EC"/>
  </w:style>
  <w:style w:type="numbering" w:customStyle="1" w:styleId="Sinlista11125">
    <w:name w:val="Sin lista11125"/>
    <w:next w:val="Sinlista"/>
    <w:uiPriority w:val="99"/>
    <w:semiHidden/>
    <w:unhideWhenUsed/>
    <w:rsid w:val="007968EC"/>
  </w:style>
  <w:style w:type="numbering" w:customStyle="1" w:styleId="Sinlista325">
    <w:name w:val="Sin lista325"/>
    <w:next w:val="Sinlista"/>
    <w:uiPriority w:val="99"/>
    <w:semiHidden/>
    <w:unhideWhenUsed/>
    <w:rsid w:val="007968EC"/>
  </w:style>
  <w:style w:type="numbering" w:customStyle="1" w:styleId="Sinlista1225">
    <w:name w:val="Sin lista1225"/>
    <w:next w:val="Sinlista"/>
    <w:uiPriority w:val="99"/>
    <w:semiHidden/>
    <w:unhideWhenUsed/>
    <w:rsid w:val="007968EC"/>
  </w:style>
  <w:style w:type="numbering" w:customStyle="1" w:styleId="Sinlista11225">
    <w:name w:val="Sin lista11225"/>
    <w:next w:val="Sinlista"/>
    <w:uiPriority w:val="99"/>
    <w:semiHidden/>
    <w:unhideWhenUsed/>
    <w:rsid w:val="007968EC"/>
  </w:style>
  <w:style w:type="numbering" w:customStyle="1" w:styleId="Sinlista2125">
    <w:name w:val="Sin lista2125"/>
    <w:next w:val="Sinlista"/>
    <w:uiPriority w:val="99"/>
    <w:semiHidden/>
    <w:unhideWhenUsed/>
    <w:rsid w:val="007968EC"/>
  </w:style>
  <w:style w:type="numbering" w:customStyle="1" w:styleId="Sinlista111125">
    <w:name w:val="Sin lista111125"/>
    <w:next w:val="Sinlista"/>
    <w:uiPriority w:val="99"/>
    <w:semiHidden/>
    <w:unhideWhenUsed/>
    <w:rsid w:val="007968EC"/>
  </w:style>
  <w:style w:type="numbering" w:customStyle="1" w:styleId="Sinlista3115">
    <w:name w:val="Sin lista3115"/>
    <w:next w:val="Sinlista"/>
    <w:uiPriority w:val="99"/>
    <w:semiHidden/>
    <w:unhideWhenUsed/>
    <w:rsid w:val="007968EC"/>
  </w:style>
  <w:style w:type="numbering" w:customStyle="1" w:styleId="Sinlista12115">
    <w:name w:val="Sin lista12115"/>
    <w:next w:val="Sinlista"/>
    <w:uiPriority w:val="99"/>
    <w:semiHidden/>
    <w:unhideWhenUsed/>
    <w:rsid w:val="007968EC"/>
  </w:style>
  <w:style w:type="numbering" w:customStyle="1" w:styleId="Sinlista112115">
    <w:name w:val="Sin lista112115"/>
    <w:next w:val="Sinlista"/>
    <w:uiPriority w:val="99"/>
    <w:semiHidden/>
    <w:unhideWhenUsed/>
    <w:rsid w:val="007968EC"/>
  </w:style>
  <w:style w:type="numbering" w:customStyle="1" w:styleId="Sinlista21115">
    <w:name w:val="Sin lista21115"/>
    <w:next w:val="Sinlista"/>
    <w:uiPriority w:val="99"/>
    <w:semiHidden/>
    <w:unhideWhenUsed/>
    <w:rsid w:val="007968EC"/>
  </w:style>
  <w:style w:type="numbering" w:customStyle="1" w:styleId="Sinlista111111114">
    <w:name w:val="Sin lista111111114"/>
    <w:next w:val="Sinlista"/>
    <w:uiPriority w:val="99"/>
    <w:semiHidden/>
    <w:unhideWhenUsed/>
    <w:rsid w:val="007968EC"/>
  </w:style>
  <w:style w:type="numbering" w:customStyle="1" w:styleId="Sinlista414">
    <w:name w:val="Sin lista414"/>
    <w:next w:val="Sinlista"/>
    <w:uiPriority w:val="99"/>
    <w:semiHidden/>
    <w:unhideWhenUsed/>
    <w:rsid w:val="007968EC"/>
  </w:style>
  <w:style w:type="numbering" w:customStyle="1" w:styleId="Sinlista1314">
    <w:name w:val="Sin lista1314"/>
    <w:next w:val="Sinlista"/>
    <w:uiPriority w:val="99"/>
    <w:semiHidden/>
    <w:unhideWhenUsed/>
    <w:rsid w:val="007968EC"/>
  </w:style>
  <w:style w:type="numbering" w:customStyle="1" w:styleId="Sinlista11314">
    <w:name w:val="Sin lista11314"/>
    <w:next w:val="Sinlista"/>
    <w:uiPriority w:val="99"/>
    <w:semiHidden/>
    <w:unhideWhenUsed/>
    <w:rsid w:val="007968EC"/>
  </w:style>
  <w:style w:type="numbering" w:customStyle="1" w:styleId="Sinlista2214">
    <w:name w:val="Sin lista2214"/>
    <w:next w:val="Sinlista"/>
    <w:uiPriority w:val="99"/>
    <w:semiHidden/>
    <w:unhideWhenUsed/>
    <w:rsid w:val="007968EC"/>
  </w:style>
  <w:style w:type="numbering" w:customStyle="1" w:styleId="Sinlista111214">
    <w:name w:val="Sin lista111214"/>
    <w:next w:val="Sinlista"/>
    <w:uiPriority w:val="99"/>
    <w:semiHidden/>
    <w:unhideWhenUsed/>
    <w:rsid w:val="007968EC"/>
  </w:style>
  <w:style w:type="numbering" w:customStyle="1" w:styleId="Sinlista3214">
    <w:name w:val="Sin lista3214"/>
    <w:next w:val="Sinlista"/>
    <w:uiPriority w:val="99"/>
    <w:semiHidden/>
    <w:unhideWhenUsed/>
    <w:rsid w:val="007968EC"/>
  </w:style>
  <w:style w:type="numbering" w:customStyle="1" w:styleId="Sinlista12214">
    <w:name w:val="Sin lista12214"/>
    <w:next w:val="Sinlista"/>
    <w:uiPriority w:val="99"/>
    <w:semiHidden/>
    <w:unhideWhenUsed/>
    <w:rsid w:val="007968EC"/>
  </w:style>
  <w:style w:type="numbering" w:customStyle="1" w:styleId="Sinlista112214">
    <w:name w:val="Sin lista112214"/>
    <w:next w:val="Sinlista"/>
    <w:uiPriority w:val="99"/>
    <w:semiHidden/>
    <w:unhideWhenUsed/>
    <w:rsid w:val="007968EC"/>
  </w:style>
  <w:style w:type="numbering" w:customStyle="1" w:styleId="Sinlista21214">
    <w:name w:val="Sin lista21214"/>
    <w:next w:val="Sinlista"/>
    <w:uiPriority w:val="99"/>
    <w:semiHidden/>
    <w:unhideWhenUsed/>
    <w:rsid w:val="007968EC"/>
  </w:style>
  <w:style w:type="numbering" w:customStyle="1" w:styleId="Sinlista1111214">
    <w:name w:val="Sin lista1111214"/>
    <w:next w:val="Sinlista"/>
    <w:uiPriority w:val="99"/>
    <w:semiHidden/>
    <w:unhideWhenUsed/>
    <w:rsid w:val="007968EC"/>
  </w:style>
  <w:style w:type="numbering" w:customStyle="1" w:styleId="Sinlista31114">
    <w:name w:val="Sin lista31114"/>
    <w:next w:val="Sinlista"/>
    <w:uiPriority w:val="99"/>
    <w:semiHidden/>
    <w:unhideWhenUsed/>
    <w:rsid w:val="007968EC"/>
  </w:style>
  <w:style w:type="numbering" w:customStyle="1" w:styleId="Sinlista121114">
    <w:name w:val="Sin lista121114"/>
    <w:next w:val="Sinlista"/>
    <w:uiPriority w:val="99"/>
    <w:semiHidden/>
    <w:unhideWhenUsed/>
    <w:rsid w:val="007968EC"/>
  </w:style>
  <w:style w:type="numbering" w:customStyle="1" w:styleId="Sinlista1121114">
    <w:name w:val="Sin lista1121114"/>
    <w:next w:val="Sinlista"/>
    <w:uiPriority w:val="99"/>
    <w:semiHidden/>
    <w:unhideWhenUsed/>
    <w:rsid w:val="007968EC"/>
  </w:style>
  <w:style w:type="numbering" w:customStyle="1" w:styleId="Sinlista211114">
    <w:name w:val="Sin lista211114"/>
    <w:next w:val="Sinlista"/>
    <w:uiPriority w:val="99"/>
    <w:semiHidden/>
    <w:unhideWhenUsed/>
    <w:rsid w:val="007968EC"/>
  </w:style>
  <w:style w:type="numbering" w:customStyle="1" w:styleId="Sinlista1111111114">
    <w:name w:val="Sin lista1111111114"/>
    <w:next w:val="Sinlista"/>
    <w:uiPriority w:val="99"/>
    <w:semiHidden/>
    <w:unhideWhenUsed/>
    <w:rsid w:val="007968EC"/>
  </w:style>
  <w:style w:type="numbering" w:customStyle="1" w:styleId="Sinlista53">
    <w:name w:val="Sin lista53"/>
    <w:next w:val="Sinlista"/>
    <w:uiPriority w:val="99"/>
    <w:semiHidden/>
    <w:unhideWhenUsed/>
    <w:rsid w:val="007968EC"/>
  </w:style>
  <w:style w:type="numbering" w:customStyle="1" w:styleId="Sinlista143">
    <w:name w:val="Sin lista143"/>
    <w:next w:val="Sinlista"/>
    <w:uiPriority w:val="99"/>
    <w:semiHidden/>
    <w:unhideWhenUsed/>
    <w:rsid w:val="007968EC"/>
  </w:style>
  <w:style w:type="numbering" w:customStyle="1" w:styleId="Sinlista1143">
    <w:name w:val="Sin lista1143"/>
    <w:next w:val="Sinlista"/>
    <w:uiPriority w:val="99"/>
    <w:semiHidden/>
    <w:unhideWhenUsed/>
    <w:rsid w:val="007968EC"/>
  </w:style>
  <w:style w:type="numbering" w:customStyle="1" w:styleId="Sinlista11133">
    <w:name w:val="Sin lista11133"/>
    <w:next w:val="Sinlista"/>
    <w:uiPriority w:val="99"/>
    <w:semiHidden/>
    <w:unhideWhenUsed/>
    <w:rsid w:val="007968EC"/>
  </w:style>
  <w:style w:type="numbering" w:customStyle="1" w:styleId="Sinlista233">
    <w:name w:val="Sin lista233"/>
    <w:next w:val="Sinlista"/>
    <w:uiPriority w:val="99"/>
    <w:semiHidden/>
    <w:unhideWhenUsed/>
    <w:rsid w:val="007968EC"/>
  </w:style>
  <w:style w:type="numbering" w:customStyle="1" w:styleId="Sinlista111133">
    <w:name w:val="Sin lista111133"/>
    <w:next w:val="Sinlista"/>
    <w:uiPriority w:val="99"/>
    <w:semiHidden/>
    <w:unhideWhenUsed/>
    <w:rsid w:val="007968EC"/>
  </w:style>
  <w:style w:type="numbering" w:customStyle="1" w:styleId="Sinlista333">
    <w:name w:val="Sin lista333"/>
    <w:next w:val="Sinlista"/>
    <w:uiPriority w:val="99"/>
    <w:semiHidden/>
    <w:unhideWhenUsed/>
    <w:rsid w:val="007968EC"/>
  </w:style>
  <w:style w:type="numbering" w:customStyle="1" w:styleId="Sinlista1233">
    <w:name w:val="Sin lista1233"/>
    <w:next w:val="Sinlista"/>
    <w:uiPriority w:val="99"/>
    <w:semiHidden/>
    <w:unhideWhenUsed/>
    <w:rsid w:val="007968EC"/>
  </w:style>
  <w:style w:type="numbering" w:customStyle="1" w:styleId="Sinlista11233">
    <w:name w:val="Sin lista11233"/>
    <w:next w:val="Sinlista"/>
    <w:uiPriority w:val="99"/>
    <w:semiHidden/>
    <w:unhideWhenUsed/>
    <w:rsid w:val="007968EC"/>
  </w:style>
  <w:style w:type="numbering" w:customStyle="1" w:styleId="Sinlista2133">
    <w:name w:val="Sin lista2133"/>
    <w:next w:val="Sinlista"/>
    <w:uiPriority w:val="99"/>
    <w:semiHidden/>
    <w:unhideWhenUsed/>
    <w:rsid w:val="007968EC"/>
  </w:style>
  <w:style w:type="numbering" w:customStyle="1" w:styleId="Sinlista1111123">
    <w:name w:val="Sin lista1111123"/>
    <w:next w:val="Sinlista"/>
    <w:uiPriority w:val="99"/>
    <w:semiHidden/>
    <w:unhideWhenUsed/>
    <w:rsid w:val="007968EC"/>
  </w:style>
  <w:style w:type="numbering" w:customStyle="1" w:styleId="Sinlista3123">
    <w:name w:val="Sin lista3123"/>
    <w:next w:val="Sinlista"/>
    <w:uiPriority w:val="99"/>
    <w:semiHidden/>
    <w:unhideWhenUsed/>
    <w:rsid w:val="007968EC"/>
  </w:style>
  <w:style w:type="numbering" w:customStyle="1" w:styleId="Sinlista12123">
    <w:name w:val="Sin lista12123"/>
    <w:next w:val="Sinlista"/>
    <w:uiPriority w:val="99"/>
    <w:semiHidden/>
    <w:unhideWhenUsed/>
    <w:rsid w:val="007968EC"/>
  </w:style>
  <w:style w:type="numbering" w:customStyle="1" w:styleId="Sinlista112123">
    <w:name w:val="Sin lista112123"/>
    <w:next w:val="Sinlista"/>
    <w:uiPriority w:val="99"/>
    <w:semiHidden/>
    <w:unhideWhenUsed/>
    <w:rsid w:val="007968EC"/>
  </w:style>
  <w:style w:type="numbering" w:customStyle="1" w:styleId="Sinlista21123">
    <w:name w:val="Sin lista21123"/>
    <w:next w:val="Sinlista"/>
    <w:uiPriority w:val="99"/>
    <w:semiHidden/>
    <w:unhideWhenUsed/>
    <w:rsid w:val="007968EC"/>
  </w:style>
  <w:style w:type="numbering" w:customStyle="1" w:styleId="Sinlista11111123">
    <w:name w:val="Sin lista11111123"/>
    <w:next w:val="Sinlista"/>
    <w:uiPriority w:val="99"/>
    <w:semiHidden/>
    <w:unhideWhenUsed/>
    <w:rsid w:val="007968EC"/>
  </w:style>
  <w:style w:type="numbering" w:customStyle="1" w:styleId="Sinlista423">
    <w:name w:val="Sin lista423"/>
    <w:next w:val="Sinlista"/>
    <w:uiPriority w:val="99"/>
    <w:semiHidden/>
    <w:unhideWhenUsed/>
    <w:rsid w:val="007968EC"/>
  </w:style>
  <w:style w:type="numbering" w:customStyle="1" w:styleId="Sinlista1323">
    <w:name w:val="Sin lista1323"/>
    <w:next w:val="Sinlista"/>
    <w:uiPriority w:val="99"/>
    <w:semiHidden/>
    <w:unhideWhenUsed/>
    <w:rsid w:val="007968EC"/>
  </w:style>
  <w:style w:type="numbering" w:customStyle="1" w:styleId="Sinlista2223">
    <w:name w:val="Sin lista2223"/>
    <w:next w:val="Sinlista"/>
    <w:uiPriority w:val="99"/>
    <w:semiHidden/>
    <w:unhideWhenUsed/>
    <w:rsid w:val="007968EC"/>
  </w:style>
  <w:style w:type="numbering" w:customStyle="1" w:styleId="Sinlista11323">
    <w:name w:val="Sin lista11323"/>
    <w:next w:val="Sinlista"/>
    <w:uiPriority w:val="99"/>
    <w:semiHidden/>
    <w:unhideWhenUsed/>
    <w:rsid w:val="007968EC"/>
  </w:style>
  <w:style w:type="numbering" w:customStyle="1" w:styleId="Sinlista111223">
    <w:name w:val="Sin lista111223"/>
    <w:next w:val="Sinlista"/>
    <w:uiPriority w:val="99"/>
    <w:semiHidden/>
    <w:unhideWhenUsed/>
    <w:rsid w:val="007968EC"/>
  </w:style>
  <w:style w:type="numbering" w:customStyle="1" w:styleId="Sinlista3223">
    <w:name w:val="Sin lista3223"/>
    <w:next w:val="Sinlista"/>
    <w:uiPriority w:val="99"/>
    <w:semiHidden/>
    <w:unhideWhenUsed/>
    <w:rsid w:val="007968EC"/>
  </w:style>
  <w:style w:type="numbering" w:customStyle="1" w:styleId="Sinlista12223">
    <w:name w:val="Sin lista12223"/>
    <w:next w:val="Sinlista"/>
    <w:uiPriority w:val="99"/>
    <w:semiHidden/>
    <w:unhideWhenUsed/>
    <w:rsid w:val="007968EC"/>
  </w:style>
  <w:style w:type="numbering" w:customStyle="1" w:styleId="Sinlista112223">
    <w:name w:val="Sin lista112223"/>
    <w:next w:val="Sinlista"/>
    <w:uiPriority w:val="99"/>
    <w:semiHidden/>
    <w:unhideWhenUsed/>
    <w:rsid w:val="007968EC"/>
  </w:style>
  <w:style w:type="numbering" w:customStyle="1" w:styleId="Sinlista21223">
    <w:name w:val="Sin lista21223"/>
    <w:next w:val="Sinlista"/>
    <w:uiPriority w:val="99"/>
    <w:semiHidden/>
    <w:unhideWhenUsed/>
    <w:rsid w:val="007968EC"/>
  </w:style>
  <w:style w:type="numbering" w:customStyle="1" w:styleId="Sinlista1111223">
    <w:name w:val="Sin lista1111223"/>
    <w:next w:val="Sinlista"/>
    <w:uiPriority w:val="99"/>
    <w:semiHidden/>
    <w:unhideWhenUsed/>
    <w:rsid w:val="007968EC"/>
  </w:style>
  <w:style w:type="numbering" w:customStyle="1" w:styleId="Sinlista31123">
    <w:name w:val="Sin lista31123"/>
    <w:next w:val="Sinlista"/>
    <w:uiPriority w:val="99"/>
    <w:semiHidden/>
    <w:unhideWhenUsed/>
    <w:rsid w:val="007968EC"/>
  </w:style>
  <w:style w:type="numbering" w:customStyle="1" w:styleId="Sinlista121123">
    <w:name w:val="Sin lista121123"/>
    <w:next w:val="Sinlista"/>
    <w:uiPriority w:val="99"/>
    <w:semiHidden/>
    <w:unhideWhenUsed/>
    <w:rsid w:val="007968EC"/>
  </w:style>
  <w:style w:type="numbering" w:customStyle="1" w:styleId="Sinlista1121123">
    <w:name w:val="Sin lista1121123"/>
    <w:next w:val="Sinlista"/>
    <w:uiPriority w:val="99"/>
    <w:semiHidden/>
    <w:unhideWhenUsed/>
    <w:rsid w:val="007968EC"/>
  </w:style>
  <w:style w:type="numbering" w:customStyle="1" w:styleId="Sinlista211123">
    <w:name w:val="Sin lista211123"/>
    <w:next w:val="Sinlista"/>
    <w:uiPriority w:val="99"/>
    <w:semiHidden/>
    <w:unhideWhenUsed/>
    <w:rsid w:val="007968EC"/>
  </w:style>
  <w:style w:type="numbering" w:customStyle="1" w:styleId="Sinlista111111123">
    <w:name w:val="Sin lista111111123"/>
    <w:next w:val="Sinlista"/>
    <w:uiPriority w:val="99"/>
    <w:semiHidden/>
    <w:unhideWhenUsed/>
    <w:rsid w:val="007968EC"/>
  </w:style>
  <w:style w:type="numbering" w:customStyle="1" w:styleId="Sinlista4113">
    <w:name w:val="Sin lista4113"/>
    <w:next w:val="Sinlista"/>
    <w:uiPriority w:val="99"/>
    <w:semiHidden/>
    <w:unhideWhenUsed/>
    <w:rsid w:val="007968EC"/>
  </w:style>
  <w:style w:type="numbering" w:customStyle="1" w:styleId="Sinlista13113">
    <w:name w:val="Sin lista13113"/>
    <w:next w:val="Sinlista"/>
    <w:uiPriority w:val="99"/>
    <w:semiHidden/>
    <w:unhideWhenUsed/>
    <w:rsid w:val="007968EC"/>
  </w:style>
  <w:style w:type="numbering" w:customStyle="1" w:styleId="Sinlista113113">
    <w:name w:val="Sin lista113113"/>
    <w:next w:val="Sinlista"/>
    <w:uiPriority w:val="99"/>
    <w:semiHidden/>
    <w:unhideWhenUsed/>
    <w:rsid w:val="007968EC"/>
  </w:style>
  <w:style w:type="numbering" w:customStyle="1" w:styleId="Sinlista22113">
    <w:name w:val="Sin lista22113"/>
    <w:next w:val="Sinlista"/>
    <w:uiPriority w:val="99"/>
    <w:semiHidden/>
    <w:unhideWhenUsed/>
    <w:rsid w:val="007968EC"/>
  </w:style>
  <w:style w:type="numbering" w:customStyle="1" w:styleId="Sinlista1112113">
    <w:name w:val="Sin lista1112113"/>
    <w:next w:val="Sinlista"/>
    <w:uiPriority w:val="99"/>
    <w:semiHidden/>
    <w:unhideWhenUsed/>
    <w:rsid w:val="007968EC"/>
  </w:style>
  <w:style w:type="numbering" w:customStyle="1" w:styleId="Sinlista32113">
    <w:name w:val="Sin lista32113"/>
    <w:next w:val="Sinlista"/>
    <w:uiPriority w:val="99"/>
    <w:semiHidden/>
    <w:unhideWhenUsed/>
    <w:rsid w:val="007968EC"/>
  </w:style>
  <w:style w:type="numbering" w:customStyle="1" w:styleId="Sinlista122113">
    <w:name w:val="Sin lista122113"/>
    <w:next w:val="Sinlista"/>
    <w:uiPriority w:val="99"/>
    <w:semiHidden/>
    <w:unhideWhenUsed/>
    <w:rsid w:val="007968EC"/>
  </w:style>
  <w:style w:type="numbering" w:customStyle="1" w:styleId="Sinlista1122113">
    <w:name w:val="Sin lista1122113"/>
    <w:next w:val="Sinlista"/>
    <w:uiPriority w:val="99"/>
    <w:semiHidden/>
    <w:unhideWhenUsed/>
    <w:rsid w:val="007968EC"/>
  </w:style>
  <w:style w:type="numbering" w:customStyle="1" w:styleId="Sinlista212113">
    <w:name w:val="Sin lista212113"/>
    <w:next w:val="Sinlista"/>
    <w:uiPriority w:val="99"/>
    <w:semiHidden/>
    <w:unhideWhenUsed/>
    <w:rsid w:val="007968EC"/>
  </w:style>
  <w:style w:type="numbering" w:customStyle="1" w:styleId="Sinlista11112113">
    <w:name w:val="Sin lista11112113"/>
    <w:next w:val="Sinlista"/>
    <w:uiPriority w:val="99"/>
    <w:semiHidden/>
    <w:unhideWhenUsed/>
    <w:rsid w:val="007968EC"/>
  </w:style>
  <w:style w:type="numbering" w:customStyle="1" w:styleId="Sinlista311113">
    <w:name w:val="Sin lista311113"/>
    <w:next w:val="Sinlista"/>
    <w:uiPriority w:val="99"/>
    <w:semiHidden/>
    <w:unhideWhenUsed/>
    <w:rsid w:val="007968EC"/>
  </w:style>
  <w:style w:type="numbering" w:customStyle="1" w:styleId="Sinlista1211113">
    <w:name w:val="Sin lista1211113"/>
    <w:next w:val="Sinlista"/>
    <w:uiPriority w:val="99"/>
    <w:semiHidden/>
    <w:unhideWhenUsed/>
    <w:rsid w:val="007968EC"/>
  </w:style>
  <w:style w:type="numbering" w:customStyle="1" w:styleId="Sinlista11211113">
    <w:name w:val="Sin lista11211113"/>
    <w:next w:val="Sinlista"/>
    <w:uiPriority w:val="99"/>
    <w:semiHidden/>
    <w:unhideWhenUsed/>
    <w:rsid w:val="007968EC"/>
  </w:style>
  <w:style w:type="numbering" w:customStyle="1" w:styleId="Sinlista2111113">
    <w:name w:val="Sin lista2111113"/>
    <w:next w:val="Sinlista"/>
    <w:uiPriority w:val="99"/>
    <w:semiHidden/>
    <w:unhideWhenUsed/>
    <w:rsid w:val="007968EC"/>
  </w:style>
  <w:style w:type="numbering" w:customStyle="1" w:styleId="Sinlista11111111113">
    <w:name w:val="Sin lista11111111113"/>
    <w:next w:val="Sinlista"/>
    <w:uiPriority w:val="99"/>
    <w:semiHidden/>
    <w:unhideWhenUsed/>
    <w:rsid w:val="007968EC"/>
  </w:style>
  <w:style w:type="numbering" w:customStyle="1" w:styleId="Sinlista62">
    <w:name w:val="Sin lista62"/>
    <w:next w:val="Sinlista"/>
    <w:uiPriority w:val="99"/>
    <w:semiHidden/>
    <w:unhideWhenUsed/>
    <w:rsid w:val="007968EC"/>
  </w:style>
  <w:style w:type="numbering" w:customStyle="1" w:styleId="Sinlista152">
    <w:name w:val="Sin lista152"/>
    <w:next w:val="Sinlista"/>
    <w:uiPriority w:val="99"/>
    <w:semiHidden/>
    <w:unhideWhenUsed/>
    <w:rsid w:val="007968EC"/>
  </w:style>
  <w:style w:type="numbering" w:customStyle="1" w:styleId="Sinlista1152">
    <w:name w:val="Sin lista1152"/>
    <w:next w:val="Sinlista"/>
    <w:uiPriority w:val="99"/>
    <w:semiHidden/>
    <w:unhideWhenUsed/>
    <w:rsid w:val="007968EC"/>
  </w:style>
  <w:style w:type="numbering" w:customStyle="1" w:styleId="Sinlista11142">
    <w:name w:val="Sin lista11142"/>
    <w:next w:val="Sinlista"/>
    <w:uiPriority w:val="99"/>
    <w:semiHidden/>
    <w:unhideWhenUsed/>
    <w:rsid w:val="007968EC"/>
  </w:style>
  <w:style w:type="numbering" w:customStyle="1" w:styleId="Sinlista111142">
    <w:name w:val="Sin lista111142"/>
    <w:next w:val="Sinlista"/>
    <w:uiPriority w:val="99"/>
    <w:semiHidden/>
    <w:unhideWhenUsed/>
    <w:rsid w:val="007968EC"/>
  </w:style>
  <w:style w:type="numbering" w:customStyle="1" w:styleId="Sinlista1111132">
    <w:name w:val="Sin lista1111132"/>
    <w:next w:val="Sinlista"/>
    <w:uiPriority w:val="99"/>
    <w:semiHidden/>
    <w:unhideWhenUsed/>
    <w:rsid w:val="007968EC"/>
  </w:style>
  <w:style w:type="numbering" w:customStyle="1" w:styleId="Sinlista242">
    <w:name w:val="Sin lista242"/>
    <w:next w:val="Sinlista"/>
    <w:uiPriority w:val="99"/>
    <w:semiHidden/>
    <w:unhideWhenUsed/>
    <w:rsid w:val="007968EC"/>
  </w:style>
  <w:style w:type="numbering" w:customStyle="1" w:styleId="Sinlista11111132">
    <w:name w:val="Sin lista11111132"/>
    <w:next w:val="Sinlista"/>
    <w:uiPriority w:val="99"/>
    <w:semiHidden/>
    <w:unhideWhenUsed/>
    <w:rsid w:val="007968EC"/>
  </w:style>
  <w:style w:type="numbering" w:customStyle="1" w:styleId="Sinlista342">
    <w:name w:val="Sin lista342"/>
    <w:next w:val="Sinlista"/>
    <w:uiPriority w:val="99"/>
    <w:semiHidden/>
    <w:unhideWhenUsed/>
    <w:rsid w:val="007968EC"/>
  </w:style>
  <w:style w:type="numbering" w:customStyle="1" w:styleId="Sinlista1242">
    <w:name w:val="Sin lista1242"/>
    <w:next w:val="Sinlista"/>
    <w:uiPriority w:val="99"/>
    <w:semiHidden/>
    <w:unhideWhenUsed/>
    <w:rsid w:val="007968EC"/>
  </w:style>
  <w:style w:type="numbering" w:customStyle="1" w:styleId="Sinlista11242">
    <w:name w:val="Sin lista11242"/>
    <w:next w:val="Sinlista"/>
    <w:uiPriority w:val="99"/>
    <w:semiHidden/>
    <w:unhideWhenUsed/>
    <w:rsid w:val="007968EC"/>
  </w:style>
  <w:style w:type="numbering" w:customStyle="1" w:styleId="Sinlista2142">
    <w:name w:val="Sin lista2142"/>
    <w:next w:val="Sinlista"/>
    <w:uiPriority w:val="99"/>
    <w:semiHidden/>
    <w:unhideWhenUsed/>
    <w:rsid w:val="007968EC"/>
  </w:style>
  <w:style w:type="numbering" w:customStyle="1" w:styleId="Sinlista111111132">
    <w:name w:val="Sin lista111111132"/>
    <w:next w:val="Sinlista"/>
    <w:uiPriority w:val="99"/>
    <w:semiHidden/>
    <w:unhideWhenUsed/>
    <w:rsid w:val="007968EC"/>
  </w:style>
  <w:style w:type="numbering" w:customStyle="1" w:styleId="Sinlista3132">
    <w:name w:val="Sin lista3132"/>
    <w:next w:val="Sinlista"/>
    <w:uiPriority w:val="99"/>
    <w:semiHidden/>
    <w:unhideWhenUsed/>
    <w:rsid w:val="007968EC"/>
  </w:style>
  <w:style w:type="numbering" w:customStyle="1" w:styleId="Sinlista12132">
    <w:name w:val="Sin lista12132"/>
    <w:next w:val="Sinlista"/>
    <w:uiPriority w:val="99"/>
    <w:semiHidden/>
    <w:unhideWhenUsed/>
    <w:rsid w:val="007968EC"/>
  </w:style>
  <w:style w:type="numbering" w:customStyle="1" w:styleId="Sinlista112132">
    <w:name w:val="Sin lista112132"/>
    <w:next w:val="Sinlista"/>
    <w:uiPriority w:val="99"/>
    <w:semiHidden/>
    <w:unhideWhenUsed/>
    <w:rsid w:val="007968EC"/>
  </w:style>
  <w:style w:type="numbering" w:customStyle="1" w:styleId="Sinlista21132">
    <w:name w:val="Sin lista21132"/>
    <w:next w:val="Sinlista"/>
    <w:uiPriority w:val="99"/>
    <w:semiHidden/>
    <w:unhideWhenUsed/>
    <w:rsid w:val="007968EC"/>
  </w:style>
  <w:style w:type="numbering" w:customStyle="1" w:styleId="Sinlista1111111122">
    <w:name w:val="Sin lista1111111122"/>
    <w:next w:val="Sinlista"/>
    <w:uiPriority w:val="99"/>
    <w:semiHidden/>
    <w:unhideWhenUsed/>
    <w:rsid w:val="007968EC"/>
  </w:style>
  <w:style w:type="numbering" w:customStyle="1" w:styleId="Sinlista432">
    <w:name w:val="Sin lista432"/>
    <w:next w:val="Sinlista"/>
    <w:uiPriority w:val="99"/>
    <w:semiHidden/>
    <w:unhideWhenUsed/>
    <w:rsid w:val="007968EC"/>
  </w:style>
  <w:style w:type="numbering" w:customStyle="1" w:styleId="Sinlista1332">
    <w:name w:val="Sin lista1332"/>
    <w:next w:val="Sinlista"/>
    <w:uiPriority w:val="99"/>
    <w:semiHidden/>
    <w:unhideWhenUsed/>
    <w:rsid w:val="007968EC"/>
  </w:style>
  <w:style w:type="numbering" w:customStyle="1" w:styleId="Sinlista2232">
    <w:name w:val="Sin lista2232"/>
    <w:next w:val="Sinlista"/>
    <w:uiPriority w:val="99"/>
    <w:semiHidden/>
    <w:unhideWhenUsed/>
    <w:rsid w:val="007968EC"/>
  </w:style>
  <w:style w:type="numbering" w:customStyle="1" w:styleId="Sinlista11332">
    <w:name w:val="Sin lista11332"/>
    <w:next w:val="Sinlista"/>
    <w:uiPriority w:val="99"/>
    <w:semiHidden/>
    <w:unhideWhenUsed/>
    <w:rsid w:val="007968EC"/>
  </w:style>
  <w:style w:type="numbering" w:customStyle="1" w:styleId="Sinlista111232">
    <w:name w:val="Sin lista111232"/>
    <w:next w:val="Sinlista"/>
    <w:uiPriority w:val="99"/>
    <w:semiHidden/>
    <w:unhideWhenUsed/>
    <w:rsid w:val="007968EC"/>
  </w:style>
  <w:style w:type="numbering" w:customStyle="1" w:styleId="Sinlista3232">
    <w:name w:val="Sin lista3232"/>
    <w:next w:val="Sinlista"/>
    <w:uiPriority w:val="99"/>
    <w:semiHidden/>
    <w:unhideWhenUsed/>
    <w:rsid w:val="007968EC"/>
  </w:style>
  <w:style w:type="numbering" w:customStyle="1" w:styleId="Sinlista12232">
    <w:name w:val="Sin lista12232"/>
    <w:next w:val="Sinlista"/>
    <w:uiPriority w:val="99"/>
    <w:semiHidden/>
    <w:unhideWhenUsed/>
    <w:rsid w:val="007968EC"/>
  </w:style>
  <w:style w:type="numbering" w:customStyle="1" w:styleId="Sinlista112232">
    <w:name w:val="Sin lista112232"/>
    <w:next w:val="Sinlista"/>
    <w:uiPriority w:val="99"/>
    <w:semiHidden/>
    <w:unhideWhenUsed/>
    <w:rsid w:val="007968EC"/>
  </w:style>
  <w:style w:type="numbering" w:customStyle="1" w:styleId="Sinlista21232">
    <w:name w:val="Sin lista21232"/>
    <w:next w:val="Sinlista"/>
    <w:uiPriority w:val="99"/>
    <w:semiHidden/>
    <w:unhideWhenUsed/>
    <w:rsid w:val="007968EC"/>
  </w:style>
  <w:style w:type="numbering" w:customStyle="1" w:styleId="Sinlista1111232">
    <w:name w:val="Sin lista1111232"/>
    <w:next w:val="Sinlista"/>
    <w:uiPriority w:val="99"/>
    <w:semiHidden/>
    <w:unhideWhenUsed/>
    <w:rsid w:val="007968EC"/>
  </w:style>
  <w:style w:type="numbering" w:customStyle="1" w:styleId="Sinlista31132">
    <w:name w:val="Sin lista31132"/>
    <w:next w:val="Sinlista"/>
    <w:uiPriority w:val="99"/>
    <w:semiHidden/>
    <w:unhideWhenUsed/>
    <w:rsid w:val="007968EC"/>
  </w:style>
  <w:style w:type="numbering" w:customStyle="1" w:styleId="Sinlista121132">
    <w:name w:val="Sin lista121132"/>
    <w:next w:val="Sinlista"/>
    <w:uiPriority w:val="99"/>
    <w:semiHidden/>
    <w:unhideWhenUsed/>
    <w:rsid w:val="007968EC"/>
  </w:style>
  <w:style w:type="numbering" w:customStyle="1" w:styleId="Sinlista1121132">
    <w:name w:val="Sin lista1121132"/>
    <w:next w:val="Sinlista"/>
    <w:uiPriority w:val="99"/>
    <w:semiHidden/>
    <w:unhideWhenUsed/>
    <w:rsid w:val="007968EC"/>
  </w:style>
  <w:style w:type="numbering" w:customStyle="1" w:styleId="Sinlista211132">
    <w:name w:val="Sin lista211132"/>
    <w:next w:val="Sinlista"/>
    <w:uiPriority w:val="99"/>
    <w:semiHidden/>
    <w:unhideWhenUsed/>
    <w:rsid w:val="007968EC"/>
  </w:style>
  <w:style w:type="numbering" w:customStyle="1" w:styleId="Sinlista11111111122">
    <w:name w:val="Sin lista11111111122"/>
    <w:next w:val="Sinlista"/>
    <w:uiPriority w:val="99"/>
    <w:semiHidden/>
    <w:unhideWhenUsed/>
    <w:rsid w:val="007968EC"/>
  </w:style>
  <w:style w:type="numbering" w:customStyle="1" w:styleId="Sinlista4122">
    <w:name w:val="Sin lista4122"/>
    <w:next w:val="Sinlista"/>
    <w:uiPriority w:val="99"/>
    <w:semiHidden/>
    <w:unhideWhenUsed/>
    <w:rsid w:val="007968EC"/>
  </w:style>
  <w:style w:type="numbering" w:customStyle="1" w:styleId="Sinlista13122">
    <w:name w:val="Sin lista13122"/>
    <w:next w:val="Sinlista"/>
    <w:uiPriority w:val="99"/>
    <w:semiHidden/>
    <w:unhideWhenUsed/>
    <w:rsid w:val="007968EC"/>
  </w:style>
  <w:style w:type="numbering" w:customStyle="1" w:styleId="Sinlista113122">
    <w:name w:val="Sin lista113122"/>
    <w:next w:val="Sinlista"/>
    <w:uiPriority w:val="99"/>
    <w:semiHidden/>
    <w:unhideWhenUsed/>
    <w:rsid w:val="007968EC"/>
  </w:style>
  <w:style w:type="numbering" w:customStyle="1" w:styleId="Sinlista22122">
    <w:name w:val="Sin lista22122"/>
    <w:next w:val="Sinlista"/>
    <w:uiPriority w:val="99"/>
    <w:semiHidden/>
    <w:unhideWhenUsed/>
    <w:rsid w:val="007968EC"/>
  </w:style>
  <w:style w:type="numbering" w:customStyle="1" w:styleId="Sinlista1112122">
    <w:name w:val="Sin lista1112122"/>
    <w:next w:val="Sinlista"/>
    <w:uiPriority w:val="99"/>
    <w:semiHidden/>
    <w:unhideWhenUsed/>
    <w:rsid w:val="007968EC"/>
  </w:style>
  <w:style w:type="numbering" w:customStyle="1" w:styleId="Sinlista32122">
    <w:name w:val="Sin lista32122"/>
    <w:next w:val="Sinlista"/>
    <w:uiPriority w:val="99"/>
    <w:semiHidden/>
    <w:unhideWhenUsed/>
    <w:rsid w:val="007968EC"/>
  </w:style>
  <w:style w:type="numbering" w:customStyle="1" w:styleId="Sinlista122122">
    <w:name w:val="Sin lista122122"/>
    <w:next w:val="Sinlista"/>
    <w:uiPriority w:val="99"/>
    <w:semiHidden/>
    <w:unhideWhenUsed/>
    <w:rsid w:val="007968EC"/>
  </w:style>
  <w:style w:type="numbering" w:customStyle="1" w:styleId="Sinlista1122122">
    <w:name w:val="Sin lista1122122"/>
    <w:next w:val="Sinlista"/>
    <w:uiPriority w:val="99"/>
    <w:semiHidden/>
    <w:unhideWhenUsed/>
    <w:rsid w:val="007968EC"/>
  </w:style>
  <w:style w:type="numbering" w:customStyle="1" w:styleId="Sinlista212122">
    <w:name w:val="Sin lista212122"/>
    <w:next w:val="Sinlista"/>
    <w:uiPriority w:val="99"/>
    <w:semiHidden/>
    <w:unhideWhenUsed/>
    <w:rsid w:val="007968EC"/>
  </w:style>
  <w:style w:type="numbering" w:customStyle="1" w:styleId="Sinlista11112122">
    <w:name w:val="Sin lista11112122"/>
    <w:next w:val="Sinlista"/>
    <w:uiPriority w:val="99"/>
    <w:semiHidden/>
    <w:unhideWhenUsed/>
    <w:rsid w:val="007968EC"/>
  </w:style>
  <w:style w:type="numbering" w:customStyle="1" w:styleId="Sinlista311122">
    <w:name w:val="Sin lista311122"/>
    <w:next w:val="Sinlista"/>
    <w:uiPriority w:val="99"/>
    <w:semiHidden/>
    <w:unhideWhenUsed/>
    <w:rsid w:val="007968EC"/>
  </w:style>
  <w:style w:type="numbering" w:customStyle="1" w:styleId="Sinlista1211122">
    <w:name w:val="Sin lista1211122"/>
    <w:next w:val="Sinlista"/>
    <w:uiPriority w:val="99"/>
    <w:semiHidden/>
    <w:unhideWhenUsed/>
    <w:rsid w:val="007968EC"/>
  </w:style>
  <w:style w:type="numbering" w:customStyle="1" w:styleId="Sinlista11211122">
    <w:name w:val="Sin lista11211122"/>
    <w:next w:val="Sinlista"/>
    <w:uiPriority w:val="99"/>
    <w:semiHidden/>
    <w:unhideWhenUsed/>
    <w:rsid w:val="007968EC"/>
  </w:style>
  <w:style w:type="numbering" w:customStyle="1" w:styleId="Sinlista2111122">
    <w:name w:val="Sin lista2111122"/>
    <w:next w:val="Sinlista"/>
    <w:uiPriority w:val="99"/>
    <w:semiHidden/>
    <w:unhideWhenUsed/>
    <w:rsid w:val="007968EC"/>
  </w:style>
  <w:style w:type="numbering" w:customStyle="1" w:styleId="Sinlista111111111113">
    <w:name w:val="Sin lista111111111113"/>
    <w:next w:val="Sinlista"/>
    <w:uiPriority w:val="99"/>
    <w:semiHidden/>
    <w:unhideWhenUsed/>
    <w:rsid w:val="007968EC"/>
  </w:style>
  <w:style w:type="numbering" w:customStyle="1" w:styleId="Sinlista512">
    <w:name w:val="Sin lista512"/>
    <w:next w:val="Sinlista"/>
    <w:uiPriority w:val="99"/>
    <w:semiHidden/>
    <w:unhideWhenUsed/>
    <w:rsid w:val="007968EC"/>
  </w:style>
  <w:style w:type="numbering" w:customStyle="1" w:styleId="Sinlista1412">
    <w:name w:val="Sin lista1412"/>
    <w:next w:val="Sinlista"/>
    <w:uiPriority w:val="99"/>
    <w:semiHidden/>
    <w:unhideWhenUsed/>
    <w:rsid w:val="007968EC"/>
  </w:style>
  <w:style w:type="numbering" w:customStyle="1" w:styleId="Sinlista11412">
    <w:name w:val="Sin lista11412"/>
    <w:next w:val="Sinlista"/>
    <w:uiPriority w:val="99"/>
    <w:semiHidden/>
    <w:unhideWhenUsed/>
    <w:rsid w:val="007968EC"/>
  </w:style>
  <w:style w:type="numbering" w:customStyle="1" w:styleId="Sinlista111312">
    <w:name w:val="Sin lista111312"/>
    <w:next w:val="Sinlista"/>
    <w:uiPriority w:val="99"/>
    <w:semiHidden/>
    <w:unhideWhenUsed/>
    <w:rsid w:val="007968EC"/>
  </w:style>
  <w:style w:type="numbering" w:customStyle="1" w:styleId="Sinlista2312">
    <w:name w:val="Sin lista2312"/>
    <w:next w:val="Sinlista"/>
    <w:uiPriority w:val="99"/>
    <w:semiHidden/>
    <w:unhideWhenUsed/>
    <w:rsid w:val="007968EC"/>
  </w:style>
  <w:style w:type="numbering" w:customStyle="1" w:styleId="Sinlista1111312">
    <w:name w:val="Sin lista1111312"/>
    <w:next w:val="Sinlista"/>
    <w:uiPriority w:val="99"/>
    <w:semiHidden/>
    <w:unhideWhenUsed/>
    <w:rsid w:val="007968EC"/>
  </w:style>
  <w:style w:type="numbering" w:customStyle="1" w:styleId="Sinlista3312">
    <w:name w:val="Sin lista3312"/>
    <w:next w:val="Sinlista"/>
    <w:uiPriority w:val="99"/>
    <w:semiHidden/>
    <w:unhideWhenUsed/>
    <w:rsid w:val="007968EC"/>
  </w:style>
  <w:style w:type="numbering" w:customStyle="1" w:styleId="Sinlista12312">
    <w:name w:val="Sin lista12312"/>
    <w:next w:val="Sinlista"/>
    <w:uiPriority w:val="99"/>
    <w:semiHidden/>
    <w:unhideWhenUsed/>
    <w:rsid w:val="007968EC"/>
  </w:style>
  <w:style w:type="numbering" w:customStyle="1" w:styleId="Sinlista112312">
    <w:name w:val="Sin lista112312"/>
    <w:next w:val="Sinlista"/>
    <w:uiPriority w:val="99"/>
    <w:semiHidden/>
    <w:unhideWhenUsed/>
    <w:rsid w:val="007968EC"/>
  </w:style>
  <w:style w:type="numbering" w:customStyle="1" w:styleId="Sinlista21312">
    <w:name w:val="Sin lista21312"/>
    <w:next w:val="Sinlista"/>
    <w:uiPriority w:val="99"/>
    <w:semiHidden/>
    <w:unhideWhenUsed/>
    <w:rsid w:val="007968EC"/>
  </w:style>
  <w:style w:type="numbering" w:customStyle="1" w:styleId="Sinlista11111212">
    <w:name w:val="Sin lista11111212"/>
    <w:next w:val="Sinlista"/>
    <w:uiPriority w:val="99"/>
    <w:semiHidden/>
    <w:unhideWhenUsed/>
    <w:rsid w:val="007968EC"/>
  </w:style>
  <w:style w:type="numbering" w:customStyle="1" w:styleId="Sinlista31212">
    <w:name w:val="Sin lista31212"/>
    <w:next w:val="Sinlista"/>
    <w:uiPriority w:val="99"/>
    <w:semiHidden/>
    <w:unhideWhenUsed/>
    <w:rsid w:val="007968EC"/>
  </w:style>
  <w:style w:type="numbering" w:customStyle="1" w:styleId="Sinlista121212">
    <w:name w:val="Sin lista121212"/>
    <w:next w:val="Sinlista"/>
    <w:uiPriority w:val="99"/>
    <w:semiHidden/>
    <w:unhideWhenUsed/>
    <w:rsid w:val="007968EC"/>
  </w:style>
  <w:style w:type="numbering" w:customStyle="1" w:styleId="Sinlista1121212">
    <w:name w:val="Sin lista1121212"/>
    <w:next w:val="Sinlista"/>
    <w:uiPriority w:val="99"/>
    <w:semiHidden/>
    <w:unhideWhenUsed/>
    <w:rsid w:val="007968EC"/>
  </w:style>
  <w:style w:type="numbering" w:customStyle="1" w:styleId="Sinlista211212">
    <w:name w:val="Sin lista211212"/>
    <w:next w:val="Sinlista"/>
    <w:uiPriority w:val="99"/>
    <w:semiHidden/>
    <w:unhideWhenUsed/>
    <w:rsid w:val="007968EC"/>
  </w:style>
  <w:style w:type="numbering" w:customStyle="1" w:styleId="Sinlista111111212">
    <w:name w:val="Sin lista111111212"/>
    <w:next w:val="Sinlista"/>
    <w:uiPriority w:val="99"/>
    <w:semiHidden/>
    <w:unhideWhenUsed/>
    <w:rsid w:val="007968EC"/>
  </w:style>
  <w:style w:type="numbering" w:customStyle="1" w:styleId="Sinlista4212">
    <w:name w:val="Sin lista4212"/>
    <w:next w:val="Sinlista"/>
    <w:uiPriority w:val="99"/>
    <w:semiHidden/>
    <w:unhideWhenUsed/>
    <w:rsid w:val="007968EC"/>
  </w:style>
  <w:style w:type="numbering" w:customStyle="1" w:styleId="Sinlista13212">
    <w:name w:val="Sin lista13212"/>
    <w:next w:val="Sinlista"/>
    <w:uiPriority w:val="99"/>
    <w:semiHidden/>
    <w:unhideWhenUsed/>
    <w:rsid w:val="007968EC"/>
  </w:style>
  <w:style w:type="numbering" w:customStyle="1" w:styleId="Sinlista22212">
    <w:name w:val="Sin lista22212"/>
    <w:next w:val="Sinlista"/>
    <w:uiPriority w:val="99"/>
    <w:semiHidden/>
    <w:unhideWhenUsed/>
    <w:rsid w:val="007968EC"/>
  </w:style>
  <w:style w:type="numbering" w:customStyle="1" w:styleId="Sinlista113212">
    <w:name w:val="Sin lista113212"/>
    <w:next w:val="Sinlista"/>
    <w:uiPriority w:val="99"/>
    <w:semiHidden/>
    <w:unhideWhenUsed/>
    <w:rsid w:val="007968EC"/>
  </w:style>
  <w:style w:type="numbering" w:customStyle="1" w:styleId="Sinlista1112212">
    <w:name w:val="Sin lista1112212"/>
    <w:next w:val="Sinlista"/>
    <w:uiPriority w:val="99"/>
    <w:semiHidden/>
    <w:unhideWhenUsed/>
    <w:rsid w:val="007968EC"/>
  </w:style>
  <w:style w:type="numbering" w:customStyle="1" w:styleId="Sinlista32212">
    <w:name w:val="Sin lista32212"/>
    <w:next w:val="Sinlista"/>
    <w:uiPriority w:val="99"/>
    <w:semiHidden/>
    <w:unhideWhenUsed/>
    <w:rsid w:val="007968EC"/>
  </w:style>
  <w:style w:type="numbering" w:customStyle="1" w:styleId="Sinlista122212">
    <w:name w:val="Sin lista122212"/>
    <w:next w:val="Sinlista"/>
    <w:uiPriority w:val="99"/>
    <w:semiHidden/>
    <w:unhideWhenUsed/>
    <w:rsid w:val="007968EC"/>
  </w:style>
  <w:style w:type="numbering" w:customStyle="1" w:styleId="Sinlista1122212">
    <w:name w:val="Sin lista1122212"/>
    <w:next w:val="Sinlista"/>
    <w:uiPriority w:val="99"/>
    <w:semiHidden/>
    <w:unhideWhenUsed/>
    <w:rsid w:val="007968EC"/>
  </w:style>
  <w:style w:type="numbering" w:customStyle="1" w:styleId="Sinlista212212">
    <w:name w:val="Sin lista212212"/>
    <w:next w:val="Sinlista"/>
    <w:uiPriority w:val="99"/>
    <w:semiHidden/>
    <w:unhideWhenUsed/>
    <w:rsid w:val="007968EC"/>
  </w:style>
  <w:style w:type="numbering" w:customStyle="1" w:styleId="Sinlista11112212">
    <w:name w:val="Sin lista11112212"/>
    <w:next w:val="Sinlista"/>
    <w:uiPriority w:val="99"/>
    <w:semiHidden/>
    <w:unhideWhenUsed/>
    <w:rsid w:val="007968EC"/>
  </w:style>
  <w:style w:type="numbering" w:customStyle="1" w:styleId="Sinlista311212">
    <w:name w:val="Sin lista311212"/>
    <w:next w:val="Sinlista"/>
    <w:uiPriority w:val="99"/>
    <w:semiHidden/>
    <w:unhideWhenUsed/>
    <w:rsid w:val="007968EC"/>
  </w:style>
  <w:style w:type="numbering" w:customStyle="1" w:styleId="Sinlista1211212">
    <w:name w:val="Sin lista1211212"/>
    <w:next w:val="Sinlista"/>
    <w:uiPriority w:val="99"/>
    <w:semiHidden/>
    <w:unhideWhenUsed/>
    <w:rsid w:val="007968EC"/>
  </w:style>
  <w:style w:type="numbering" w:customStyle="1" w:styleId="Sinlista11211212">
    <w:name w:val="Sin lista11211212"/>
    <w:next w:val="Sinlista"/>
    <w:uiPriority w:val="99"/>
    <w:semiHidden/>
    <w:unhideWhenUsed/>
    <w:rsid w:val="007968EC"/>
  </w:style>
  <w:style w:type="numbering" w:customStyle="1" w:styleId="Sinlista2111212">
    <w:name w:val="Sin lista2111212"/>
    <w:next w:val="Sinlista"/>
    <w:uiPriority w:val="99"/>
    <w:semiHidden/>
    <w:unhideWhenUsed/>
    <w:rsid w:val="007968EC"/>
  </w:style>
  <w:style w:type="numbering" w:customStyle="1" w:styleId="Sinlista1111111212">
    <w:name w:val="Sin lista1111111212"/>
    <w:next w:val="Sinlista"/>
    <w:uiPriority w:val="99"/>
    <w:semiHidden/>
    <w:unhideWhenUsed/>
    <w:rsid w:val="007968EC"/>
  </w:style>
  <w:style w:type="numbering" w:customStyle="1" w:styleId="Sinlista41112">
    <w:name w:val="Sin lista41112"/>
    <w:next w:val="Sinlista"/>
    <w:uiPriority w:val="99"/>
    <w:semiHidden/>
    <w:unhideWhenUsed/>
    <w:rsid w:val="007968EC"/>
  </w:style>
  <w:style w:type="numbering" w:customStyle="1" w:styleId="Sinlista131112">
    <w:name w:val="Sin lista131112"/>
    <w:next w:val="Sinlista"/>
    <w:uiPriority w:val="99"/>
    <w:semiHidden/>
    <w:unhideWhenUsed/>
    <w:rsid w:val="007968EC"/>
  </w:style>
  <w:style w:type="numbering" w:customStyle="1" w:styleId="Sinlista1131112">
    <w:name w:val="Sin lista1131112"/>
    <w:next w:val="Sinlista"/>
    <w:uiPriority w:val="99"/>
    <w:semiHidden/>
    <w:unhideWhenUsed/>
    <w:rsid w:val="007968EC"/>
  </w:style>
  <w:style w:type="numbering" w:customStyle="1" w:styleId="Sinlista221112">
    <w:name w:val="Sin lista221112"/>
    <w:next w:val="Sinlista"/>
    <w:uiPriority w:val="99"/>
    <w:semiHidden/>
    <w:unhideWhenUsed/>
    <w:rsid w:val="007968EC"/>
  </w:style>
  <w:style w:type="numbering" w:customStyle="1" w:styleId="Sinlista11121112">
    <w:name w:val="Sin lista11121112"/>
    <w:next w:val="Sinlista"/>
    <w:uiPriority w:val="99"/>
    <w:semiHidden/>
    <w:unhideWhenUsed/>
    <w:rsid w:val="007968EC"/>
  </w:style>
  <w:style w:type="numbering" w:customStyle="1" w:styleId="Sinlista321112">
    <w:name w:val="Sin lista321112"/>
    <w:next w:val="Sinlista"/>
    <w:uiPriority w:val="99"/>
    <w:semiHidden/>
    <w:unhideWhenUsed/>
    <w:rsid w:val="007968EC"/>
  </w:style>
  <w:style w:type="numbering" w:customStyle="1" w:styleId="Sinlista1221112">
    <w:name w:val="Sin lista1221112"/>
    <w:next w:val="Sinlista"/>
    <w:uiPriority w:val="99"/>
    <w:semiHidden/>
    <w:unhideWhenUsed/>
    <w:rsid w:val="007968EC"/>
  </w:style>
  <w:style w:type="numbering" w:customStyle="1" w:styleId="Sinlista11221112">
    <w:name w:val="Sin lista11221112"/>
    <w:next w:val="Sinlista"/>
    <w:uiPriority w:val="99"/>
    <w:semiHidden/>
    <w:unhideWhenUsed/>
    <w:rsid w:val="007968EC"/>
  </w:style>
  <w:style w:type="numbering" w:customStyle="1" w:styleId="Sinlista2121112">
    <w:name w:val="Sin lista2121112"/>
    <w:next w:val="Sinlista"/>
    <w:uiPriority w:val="99"/>
    <w:semiHidden/>
    <w:unhideWhenUsed/>
    <w:rsid w:val="007968EC"/>
  </w:style>
  <w:style w:type="numbering" w:customStyle="1" w:styleId="Sinlista111121112">
    <w:name w:val="Sin lista111121112"/>
    <w:next w:val="Sinlista"/>
    <w:uiPriority w:val="99"/>
    <w:semiHidden/>
    <w:unhideWhenUsed/>
    <w:rsid w:val="007968EC"/>
  </w:style>
  <w:style w:type="numbering" w:customStyle="1" w:styleId="Sinlista3111112">
    <w:name w:val="Sin lista3111112"/>
    <w:next w:val="Sinlista"/>
    <w:uiPriority w:val="99"/>
    <w:semiHidden/>
    <w:unhideWhenUsed/>
    <w:rsid w:val="007968EC"/>
  </w:style>
  <w:style w:type="numbering" w:customStyle="1" w:styleId="Sinlista12111112">
    <w:name w:val="Sin lista12111112"/>
    <w:next w:val="Sinlista"/>
    <w:uiPriority w:val="99"/>
    <w:semiHidden/>
    <w:unhideWhenUsed/>
    <w:rsid w:val="007968EC"/>
  </w:style>
  <w:style w:type="numbering" w:customStyle="1" w:styleId="Sinlista112111112">
    <w:name w:val="Sin lista112111112"/>
    <w:next w:val="Sinlista"/>
    <w:uiPriority w:val="99"/>
    <w:semiHidden/>
    <w:unhideWhenUsed/>
    <w:rsid w:val="007968EC"/>
  </w:style>
  <w:style w:type="numbering" w:customStyle="1" w:styleId="Sinlista21111112">
    <w:name w:val="Sin lista21111112"/>
    <w:next w:val="Sinlista"/>
    <w:uiPriority w:val="99"/>
    <w:semiHidden/>
    <w:unhideWhenUsed/>
    <w:rsid w:val="007968EC"/>
  </w:style>
  <w:style w:type="numbering" w:customStyle="1" w:styleId="Sinlista1111111111113">
    <w:name w:val="Sin lista1111111111113"/>
    <w:next w:val="Sinlista"/>
    <w:uiPriority w:val="99"/>
    <w:semiHidden/>
    <w:unhideWhenUsed/>
    <w:rsid w:val="007968EC"/>
  </w:style>
  <w:style w:type="table" w:customStyle="1" w:styleId="Tablaconcuadrcula761">
    <w:name w:val="Tabla con cuadrícula761"/>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7968EC"/>
  </w:style>
  <w:style w:type="table" w:customStyle="1" w:styleId="Tablaconcuadrcula154">
    <w:name w:val="Tabla con cuadrícula154"/>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4">
    <w:name w:val="Tabla con cuadrícula44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4">
    <w:name w:val="Tabla con cuadrícula2144"/>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rsid w:val="007968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7968EC"/>
  </w:style>
  <w:style w:type="numbering" w:customStyle="1" w:styleId="Sinlista118">
    <w:name w:val="Sin lista118"/>
    <w:next w:val="Sinlista"/>
    <w:uiPriority w:val="99"/>
    <w:semiHidden/>
    <w:unhideWhenUsed/>
    <w:rsid w:val="007968EC"/>
  </w:style>
  <w:style w:type="table" w:customStyle="1" w:styleId="TablaFicheroParametrizacin7">
    <w:name w:val="Tabla Fichero Parametrización7"/>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7">
    <w:name w:val="Tabla con cuadrícula117"/>
    <w:basedOn w:val="Tablanormal"/>
    <w:next w:val="Tablaconcuadrcula"/>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7">
    <w:name w:val="Lista clara27"/>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7">
    <w:name w:val="Lista clara17"/>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detablaclara18">
    <w:name w:val="Cuadrícula de tabla clara18"/>
    <w:basedOn w:val="Tablanormal"/>
    <w:uiPriority w:val="40"/>
    <w:rsid w:val="007968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29">
    <w:name w:val="Tabla con cuadrícula29"/>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7968EC"/>
  </w:style>
  <w:style w:type="table" w:customStyle="1" w:styleId="Tablaconcuadrcula77">
    <w:name w:val="Tabla con cuadrícula77"/>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6">
    <w:name w:val="Cuadrícula de tabla clara116"/>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7">
    <w:name w:val="Sin lista11117"/>
    <w:next w:val="Sinlista"/>
    <w:uiPriority w:val="99"/>
    <w:semiHidden/>
    <w:unhideWhenUsed/>
    <w:rsid w:val="007968EC"/>
  </w:style>
  <w:style w:type="table" w:customStyle="1" w:styleId="Tablaconcuadrcula126">
    <w:name w:val="Tabla con cuadrícula126"/>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6">
    <w:name w:val="Tabla Fichero Parametrización16"/>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7">
    <w:name w:val="Tabla con cuadrícula1117"/>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6">
    <w:name w:val="Lista clara216"/>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6">
    <w:name w:val="Lista clara116"/>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26">
    <w:name w:val="Tabla con cuadrícula226"/>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
    <w:name w:val="Sin lista27"/>
    <w:next w:val="Sinlista"/>
    <w:uiPriority w:val="99"/>
    <w:semiHidden/>
    <w:unhideWhenUsed/>
    <w:rsid w:val="007968EC"/>
  </w:style>
  <w:style w:type="table" w:customStyle="1" w:styleId="Tablaconcuadrcula316">
    <w:name w:val="Tabla con cuadrícula316"/>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6">
    <w:name w:val="Cuadrícula de tabla clara126"/>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16">
    <w:name w:val="Sin lista111116"/>
    <w:next w:val="Sinlista"/>
    <w:uiPriority w:val="99"/>
    <w:semiHidden/>
    <w:unhideWhenUsed/>
    <w:rsid w:val="007968EC"/>
  </w:style>
  <w:style w:type="table" w:customStyle="1" w:styleId="Tablaconcuadrcula2116">
    <w:name w:val="Tabla con cuadrícula2116"/>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6">
    <w:name w:val="Tabla con cuadrícula416"/>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6">
    <w:name w:val="Tabla con cuadrícula516"/>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6">
    <w:name w:val="Tabla con cuadrícula616"/>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6">
    <w:name w:val="Cuadrícula de tabla clara26"/>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6">
    <w:name w:val="Cuadrícula de tabla clara36"/>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detablaclara7">
    <w:name w:val="Cuadrícula de tabla clara7"/>
    <w:basedOn w:val="Tablanormal"/>
    <w:next w:val="Tablaconcuadrculaclara"/>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86">
    <w:name w:val="Tabla con cuadrícula86"/>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
    <w:name w:val="Sin lista37"/>
    <w:next w:val="Sinlista"/>
    <w:uiPriority w:val="99"/>
    <w:semiHidden/>
    <w:unhideWhenUsed/>
    <w:rsid w:val="007968EC"/>
  </w:style>
  <w:style w:type="table" w:customStyle="1" w:styleId="Tablaconcuadrcula95">
    <w:name w:val="Tabla con cuadrícula95"/>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25">
    <w:name w:val="Tabla Fichero Parametrización25"/>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35">
    <w:name w:val="Tabla con cuadrícula135"/>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25">
    <w:name w:val="Lista clara225"/>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25">
    <w:name w:val="Lista clara125"/>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detablaclara136">
    <w:name w:val="Cuadrícula de tabla clara136"/>
    <w:basedOn w:val="Tablanormal"/>
    <w:uiPriority w:val="40"/>
    <w:rsid w:val="007968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235">
    <w:name w:val="Tabla con cuadrícula235"/>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5">
    <w:name w:val="Tabla con cuadrícula325"/>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5">
    <w:name w:val="Tabla con cuadrícula425"/>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5">
    <w:name w:val="Tabla con cuadrícula2125"/>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
    <w:name w:val="Tabla con cuadrícula525"/>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5">
    <w:name w:val="Tabla con cuadrícula625"/>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
    <w:name w:val="Sin lista127"/>
    <w:next w:val="Sinlista"/>
    <w:uiPriority w:val="99"/>
    <w:semiHidden/>
    <w:unhideWhenUsed/>
    <w:rsid w:val="007968EC"/>
  </w:style>
  <w:style w:type="table" w:customStyle="1" w:styleId="Tablaconcuadrcula715">
    <w:name w:val="Tabla con cuadrícula715"/>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15">
    <w:name w:val="Cuadrícula de tabla clara1115"/>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27">
    <w:name w:val="Sin lista1127"/>
    <w:next w:val="Sinlista"/>
    <w:uiPriority w:val="99"/>
    <w:semiHidden/>
    <w:unhideWhenUsed/>
    <w:rsid w:val="007968EC"/>
  </w:style>
  <w:style w:type="table" w:customStyle="1" w:styleId="Tablaconcuadrcula1215">
    <w:name w:val="Tabla con cuadrícula1215"/>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15">
    <w:name w:val="Tabla Fichero Parametrización115"/>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15">
    <w:name w:val="Tabla con cuadrícula11115"/>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15">
    <w:name w:val="Lista clara2115"/>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5">
    <w:name w:val="Lista clara1115"/>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215">
    <w:name w:val="Tabla con cuadrícula2215"/>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7">
    <w:name w:val="Sin lista217"/>
    <w:next w:val="Sinlista"/>
    <w:uiPriority w:val="99"/>
    <w:semiHidden/>
    <w:unhideWhenUsed/>
    <w:rsid w:val="007968EC"/>
  </w:style>
  <w:style w:type="table" w:customStyle="1" w:styleId="Tablaconcuadrcula3116">
    <w:name w:val="Tabla con cuadrícula3116"/>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15">
    <w:name w:val="Cuadrícula de tabla clara1215"/>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116">
    <w:name w:val="Sin lista1111116"/>
    <w:next w:val="Sinlista"/>
    <w:uiPriority w:val="99"/>
    <w:semiHidden/>
    <w:unhideWhenUsed/>
    <w:rsid w:val="007968EC"/>
  </w:style>
  <w:style w:type="table" w:customStyle="1" w:styleId="Tablaconcuadrcula21115">
    <w:name w:val="Tabla con cuadrícula21115"/>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5">
    <w:name w:val="Tabla con cuadrícula4115"/>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5">
    <w:name w:val="Tabla con cuadrícula5115"/>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5">
    <w:name w:val="Tabla con cuadrícula6115"/>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15">
    <w:name w:val="Cuadrícula de tabla clara215"/>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16">
    <w:name w:val="Cuadrícula de tabla clara316"/>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detablaclara46">
    <w:name w:val="Cuadrícula de tabla clara46"/>
    <w:basedOn w:val="Tablanormal"/>
    <w:next w:val="Tablaconcuadrculaclara"/>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816">
    <w:name w:val="Tabla con cuadrícula816"/>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7968EC"/>
  </w:style>
  <w:style w:type="table" w:customStyle="1" w:styleId="Cuadrculadetablaclara1315">
    <w:name w:val="Cuadrícula de tabla clara1315"/>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216">
    <w:name w:val="Sin lista1216"/>
    <w:next w:val="Sinlista"/>
    <w:uiPriority w:val="99"/>
    <w:semiHidden/>
    <w:unhideWhenUsed/>
    <w:rsid w:val="007968EC"/>
  </w:style>
  <w:style w:type="numbering" w:customStyle="1" w:styleId="Sinlista11216">
    <w:name w:val="Sin lista11216"/>
    <w:next w:val="Sinlista"/>
    <w:uiPriority w:val="99"/>
    <w:semiHidden/>
    <w:unhideWhenUsed/>
    <w:rsid w:val="007968EC"/>
  </w:style>
  <w:style w:type="numbering" w:customStyle="1" w:styleId="Sinlista2116">
    <w:name w:val="Sin lista2116"/>
    <w:next w:val="Sinlista"/>
    <w:uiPriority w:val="99"/>
    <w:semiHidden/>
    <w:unhideWhenUsed/>
    <w:rsid w:val="007968EC"/>
  </w:style>
  <w:style w:type="numbering" w:customStyle="1" w:styleId="Sinlista11111116">
    <w:name w:val="Sin lista11111116"/>
    <w:next w:val="Sinlista"/>
    <w:uiPriority w:val="99"/>
    <w:semiHidden/>
    <w:unhideWhenUsed/>
    <w:rsid w:val="007968EC"/>
  </w:style>
  <w:style w:type="table" w:customStyle="1" w:styleId="Cuadrculadetablaclara3115">
    <w:name w:val="Cuadrícula de tabla clara3115"/>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415">
    <w:name w:val="Cuadrícula de tabla clara415"/>
    <w:basedOn w:val="Tablanormal"/>
    <w:next w:val="Tablaconcuadrculaclara"/>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1115">
    <w:name w:val="Tabla con cuadrícula31115"/>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5">
    <w:name w:val="Tabla con cuadrícula8115"/>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7968EC"/>
  </w:style>
  <w:style w:type="table" w:customStyle="1" w:styleId="Tablaconcuadrcula105">
    <w:name w:val="Tabla con cuadrícula105"/>
    <w:basedOn w:val="Tablanormal"/>
    <w:next w:val="Tablaconcuadrcula"/>
    <w:rsid w:val="00796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55">
    <w:name w:val="Cuadrícula de tabla clara55"/>
    <w:basedOn w:val="Tablanormal"/>
    <w:next w:val="Tablaconcuadrculaclara"/>
    <w:uiPriority w:val="40"/>
    <w:rsid w:val="007968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136">
    <w:name w:val="Sin lista136"/>
    <w:next w:val="Sinlista"/>
    <w:uiPriority w:val="99"/>
    <w:semiHidden/>
    <w:unhideWhenUsed/>
    <w:rsid w:val="007968EC"/>
  </w:style>
  <w:style w:type="table" w:customStyle="1" w:styleId="Tablaconcuadrcula145">
    <w:name w:val="Tabla con cuadrícula145"/>
    <w:basedOn w:val="Tablanormal"/>
    <w:next w:val="Tablaconcuadrcula"/>
    <w:uiPriority w:val="5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34">
    <w:name w:val="Tabla Fichero Parametrización34"/>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35">
    <w:name w:val="Tabla con cuadrícula1135"/>
    <w:basedOn w:val="Tablanormal"/>
    <w:next w:val="Tablaconcuadrcula"/>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34">
    <w:name w:val="Lista clara234"/>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34">
    <w:name w:val="Lista clara134"/>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5">
    <w:name w:val="Tabla con cuadrícula245"/>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6">
    <w:name w:val="Sin lista226"/>
    <w:next w:val="Sinlista"/>
    <w:uiPriority w:val="99"/>
    <w:semiHidden/>
    <w:unhideWhenUsed/>
    <w:rsid w:val="007968EC"/>
  </w:style>
  <w:style w:type="table" w:customStyle="1" w:styleId="Tablaconcuadrcula335">
    <w:name w:val="Tabla con cuadrícula335"/>
    <w:basedOn w:val="Tablanormal"/>
    <w:next w:val="Tablaconcuadrcula"/>
    <w:rsid w:val="00796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44">
    <w:name w:val="Cuadrícula de tabla clara144"/>
    <w:basedOn w:val="Tablanormal"/>
    <w:next w:val="Tablaconcuadrculaclara"/>
    <w:uiPriority w:val="40"/>
    <w:rsid w:val="007968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1136">
    <w:name w:val="Sin lista1136"/>
    <w:next w:val="Sinlista"/>
    <w:uiPriority w:val="99"/>
    <w:semiHidden/>
    <w:unhideWhenUsed/>
    <w:rsid w:val="007968EC"/>
  </w:style>
  <w:style w:type="table" w:customStyle="1" w:styleId="Tablaconcuadrcula1224">
    <w:name w:val="Tabla con cuadrícula1224"/>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24">
    <w:name w:val="Tabla Fichero Parametrización124"/>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24">
    <w:name w:val="Tabla con cuadrícula11124"/>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24">
    <w:name w:val="Lista clara2124"/>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24">
    <w:name w:val="Lista clara1124"/>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134">
    <w:name w:val="Tabla con cuadrícula2134"/>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4">
    <w:name w:val="Tabla con cuadrícula43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4">
    <w:name w:val="Tabla con cuadrícula53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4">
    <w:name w:val="Tabla con cuadrícula63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4">
    <w:name w:val="Tabla con cuadrícula72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24">
    <w:name w:val="Cuadrícula de tabla clara1124"/>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2224">
    <w:name w:val="Tabla con cuadrícula2224"/>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4">
    <w:name w:val="Tabla con cuadrícula312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24">
    <w:name w:val="Cuadrícula de tabla clara1224"/>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26">
    <w:name w:val="Sin lista11126"/>
    <w:next w:val="Sinlista"/>
    <w:uiPriority w:val="99"/>
    <w:semiHidden/>
    <w:unhideWhenUsed/>
    <w:rsid w:val="007968EC"/>
  </w:style>
  <w:style w:type="table" w:customStyle="1" w:styleId="Tablaconcuadrcula21124">
    <w:name w:val="Tabla con cuadrícula21124"/>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4">
    <w:name w:val="Tabla con cuadrícula412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4">
    <w:name w:val="Tabla con cuadrícula512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4">
    <w:name w:val="Tabla con cuadrícula612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24">
    <w:name w:val="Cuadrícula de tabla clara224"/>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24">
    <w:name w:val="Cuadrícula de tabla clara324"/>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824">
    <w:name w:val="Tabla con cuadrícula824"/>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6">
    <w:name w:val="Sin lista326"/>
    <w:next w:val="Sinlista"/>
    <w:uiPriority w:val="99"/>
    <w:semiHidden/>
    <w:unhideWhenUsed/>
    <w:rsid w:val="007968EC"/>
  </w:style>
  <w:style w:type="table" w:customStyle="1" w:styleId="Tablaconcuadrcula914">
    <w:name w:val="Tabla con cuadrícula914"/>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214">
    <w:name w:val="Tabla Fichero Parametrización214"/>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314">
    <w:name w:val="Tabla con cuadrícula1314"/>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214">
    <w:name w:val="Lista clara2214"/>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214">
    <w:name w:val="Lista clara1214"/>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detablaclara1324">
    <w:name w:val="Cuadrícula de tabla clara1324"/>
    <w:basedOn w:val="Tablanormal"/>
    <w:uiPriority w:val="40"/>
    <w:rsid w:val="007968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2314">
    <w:name w:val="Tabla con cuadrícula231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4">
    <w:name w:val="Tabla con cuadrícula321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4">
    <w:name w:val="Tabla con cuadrícula421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4">
    <w:name w:val="Tabla con cuadrícula21214"/>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4">
    <w:name w:val="Tabla con cuadrícula521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4">
    <w:name w:val="Tabla con cuadrícula621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4">
    <w:name w:val="Tabla con cuadrícula11214"/>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6">
    <w:name w:val="Sin lista1226"/>
    <w:next w:val="Sinlista"/>
    <w:uiPriority w:val="99"/>
    <w:semiHidden/>
    <w:unhideWhenUsed/>
    <w:rsid w:val="007968EC"/>
  </w:style>
  <w:style w:type="table" w:customStyle="1" w:styleId="Tablaconcuadrcula7114">
    <w:name w:val="Tabla con cuadrícula711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114">
    <w:name w:val="Cuadrícula de tabla clara11114"/>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226">
    <w:name w:val="Sin lista11226"/>
    <w:next w:val="Sinlista"/>
    <w:uiPriority w:val="99"/>
    <w:semiHidden/>
    <w:unhideWhenUsed/>
    <w:rsid w:val="007968EC"/>
  </w:style>
  <w:style w:type="table" w:customStyle="1" w:styleId="Tablaconcuadrcula12114">
    <w:name w:val="Tabla con cuadrícula12114"/>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114">
    <w:name w:val="Tabla Fichero Parametrización1114"/>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114">
    <w:name w:val="Tabla con cuadrícula111114"/>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114">
    <w:name w:val="Lista clara21114"/>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4">
    <w:name w:val="Lista clara11114"/>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2114">
    <w:name w:val="Tabla con cuadrícula22114"/>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6">
    <w:name w:val="Sin lista2126"/>
    <w:next w:val="Sinlista"/>
    <w:uiPriority w:val="99"/>
    <w:semiHidden/>
    <w:unhideWhenUsed/>
    <w:rsid w:val="007968EC"/>
  </w:style>
  <w:style w:type="table" w:customStyle="1" w:styleId="Tablaconcuadrcula31124">
    <w:name w:val="Tabla con cuadrícula3112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114">
    <w:name w:val="Cuadrícula de tabla clara12114"/>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26">
    <w:name w:val="Sin lista111126"/>
    <w:next w:val="Sinlista"/>
    <w:uiPriority w:val="99"/>
    <w:semiHidden/>
    <w:unhideWhenUsed/>
    <w:rsid w:val="007968EC"/>
  </w:style>
  <w:style w:type="table" w:customStyle="1" w:styleId="Tablaconcuadrcula211114">
    <w:name w:val="Tabla con cuadrícula211114"/>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4">
    <w:name w:val="Tabla con cuadrícula4111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4">
    <w:name w:val="Tabla con cuadrícula5111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4">
    <w:name w:val="Tabla con cuadrícula6111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114">
    <w:name w:val="Cuadrícula de tabla clara2114"/>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124">
    <w:name w:val="Cuadrícula de tabla clara3124"/>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detablaclara424">
    <w:name w:val="Cuadrícula de tabla clara424"/>
    <w:basedOn w:val="Tablanormal"/>
    <w:next w:val="Tablaconcuadrculaclara"/>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8124">
    <w:name w:val="Tabla con cuadrícula8124"/>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6">
    <w:name w:val="Sin lista3116"/>
    <w:next w:val="Sinlista"/>
    <w:uiPriority w:val="99"/>
    <w:semiHidden/>
    <w:unhideWhenUsed/>
    <w:rsid w:val="007968EC"/>
  </w:style>
  <w:style w:type="table" w:customStyle="1" w:styleId="Cuadrculadetablaclara13114">
    <w:name w:val="Cuadrícula de tabla clara13114"/>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2116">
    <w:name w:val="Sin lista12116"/>
    <w:next w:val="Sinlista"/>
    <w:uiPriority w:val="99"/>
    <w:semiHidden/>
    <w:unhideWhenUsed/>
    <w:rsid w:val="007968EC"/>
  </w:style>
  <w:style w:type="numbering" w:customStyle="1" w:styleId="Sinlista112116">
    <w:name w:val="Sin lista112116"/>
    <w:next w:val="Sinlista"/>
    <w:uiPriority w:val="99"/>
    <w:semiHidden/>
    <w:unhideWhenUsed/>
    <w:rsid w:val="007968EC"/>
  </w:style>
  <w:style w:type="numbering" w:customStyle="1" w:styleId="Sinlista21116">
    <w:name w:val="Sin lista21116"/>
    <w:next w:val="Sinlista"/>
    <w:uiPriority w:val="99"/>
    <w:semiHidden/>
    <w:unhideWhenUsed/>
    <w:rsid w:val="007968EC"/>
  </w:style>
  <w:style w:type="numbering" w:customStyle="1" w:styleId="Sinlista111111115">
    <w:name w:val="Sin lista111111115"/>
    <w:next w:val="Sinlista"/>
    <w:uiPriority w:val="99"/>
    <w:semiHidden/>
    <w:unhideWhenUsed/>
    <w:rsid w:val="007968EC"/>
  </w:style>
  <w:style w:type="table" w:customStyle="1" w:styleId="Cuadrculadetablaclara31114">
    <w:name w:val="Cuadrícula de tabla clara31114"/>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4114">
    <w:name w:val="Cuadrícula de tabla clara4114"/>
    <w:basedOn w:val="Tablanormal"/>
    <w:next w:val="Tablaconcuadrculaclara"/>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11114">
    <w:name w:val="Tabla con cuadrícula31111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4">
    <w:name w:val="Tabla con cuadrícula81114"/>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7968EC"/>
  </w:style>
  <w:style w:type="table" w:customStyle="1" w:styleId="Tablaconcuadrcula1014">
    <w:name w:val="Tabla con cuadrícula1014"/>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4">
    <w:name w:val="Tabla con cuadrícula1414"/>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14">
    <w:name w:val="Tabla con cuadrícula241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4">
    <w:name w:val="Tabla con cuadrícula3314"/>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4">
    <w:name w:val="Tabla con cuadrícula11314"/>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7968EC"/>
  </w:style>
  <w:style w:type="numbering" w:customStyle="1" w:styleId="Sinlista11315">
    <w:name w:val="Sin lista11315"/>
    <w:next w:val="Sinlista"/>
    <w:uiPriority w:val="99"/>
    <w:semiHidden/>
    <w:unhideWhenUsed/>
    <w:rsid w:val="007968EC"/>
  </w:style>
  <w:style w:type="numbering" w:customStyle="1" w:styleId="Sinlista2215">
    <w:name w:val="Sin lista2215"/>
    <w:next w:val="Sinlista"/>
    <w:uiPriority w:val="99"/>
    <w:semiHidden/>
    <w:unhideWhenUsed/>
    <w:rsid w:val="007968EC"/>
  </w:style>
  <w:style w:type="numbering" w:customStyle="1" w:styleId="Sinlista111215">
    <w:name w:val="Sin lista111215"/>
    <w:next w:val="Sinlista"/>
    <w:uiPriority w:val="99"/>
    <w:semiHidden/>
    <w:unhideWhenUsed/>
    <w:rsid w:val="007968EC"/>
  </w:style>
  <w:style w:type="table" w:customStyle="1" w:styleId="Cuadrculadetablaclara514">
    <w:name w:val="Cuadrícula de tabla clara514"/>
    <w:basedOn w:val="Tablanormal"/>
    <w:next w:val="Tablaconcuadrculaclara"/>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3215">
    <w:name w:val="Sin lista3215"/>
    <w:next w:val="Sinlista"/>
    <w:uiPriority w:val="99"/>
    <w:semiHidden/>
    <w:unhideWhenUsed/>
    <w:rsid w:val="007968EC"/>
  </w:style>
  <w:style w:type="numbering" w:customStyle="1" w:styleId="Sinlista12215">
    <w:name w:val="Sin lista12215"/>
    <w:next w:val="Sinlista"/>
    <w:uiPriority w:val="99"/>
    <w:semiHidden/>
    <w:unhideWhenUsed/>
    <w:rsid w:val="007968EC"/>
  </w:style>
  <w:style w:type="numbering" w:customStyle="1" w:styleId="Sinlista112215">
    <w:name w:val="Sin lista112215"/>
    <w:next w:val="Sinlista"/>
    <w:uiPriority w:val="99"/>
    <w:semiHidden/>
    <w:unhideWhenUsed/>
    <w:rsid w:val="007968EC"/>
  </w:style>
  <w:style w:type="numbering" w:customStyle="1" w:styleId="Sinlista21215">
    <w:name w:val="Sin lista21215"/>
    <w:next w:val="Sinlista"/>
    <w:uiPriority w:val="99"/>
    <w:semiHidden/>
    <w:unhideWhenUsed/>
    <w:rsid w:val="007968EC"/>
  </w:style>
  <w:style w:type="numbering" w:customStyle="1" w:styleId="Sinlista1111215">
    <w:name w:val="Sin lista1111215"/>
    <w:next w:val="Sinlista"/>
    <w:uiPriority w:val="99"/>
    <w:semiHidden/>
    <w:unhideWhenUsed/>
    <w:rsid w:val="007968EC"/>
  </w:style>
  <w:style w:type="numbering" w:customStyle="1" w:styleId="Sinlista31115">
    <w:name w:val="Sin lista31115"/>
    <w:next w:val="Sinlista"/>
    <w:uiPriority w:val="99"/>
    <w:semiHidden/>
    <w:unhideWhenUsed/>
    <w:rsid w:val="007968EC"/>
  </w:style>
  <w:style w:type="numbering" w:customStyle="1" w:styleId="Sinlista121115">
    <w:name w:val="Sin lista121115"/>
    <w:next w:val="Sinlista"/>
    <w:uiPriority w:val="99"/>
    <w:semiHidden/>
    <w:unhideWhenUsed/>
    <w:rsid w:val="007968EC"/>
  </w:style>
  <w:style w:type="numbering" w:customStyle="1" w:styleId="Sinlista1121115">
    <w:name w:val="Sin lista1121115"/>
    <w:next w:val="Sinlista"/>
    <w:uiPriority w:val="99"/>
    <w:semiHidden/>
    <w:unhideWhenUsed/>
    <w:rsid w:val="007968EC"/>
  </w:style>
  <w:style w:type="numbering" w:customStyle="1" w:styleId="Sinlista211115">
    <w:name w:val="Sin lista211115"/>
    <w:next w:val="Sinlista"/>
    <w:uiPriority w:val="99"/>
    <w:semiHidden/>
    <w:unhideWhenUsed/>
    <w:rsid w:val="007968EC"/>
  </w:style>
  <w:style w:type="numbering" w:customStyle="1" w:styleId="Sinlista1111111115">
    <w:name w:val="Sin lista1111111115"/>
    <w:next w:val="Sinlista"/>
    <w:uiPriority w:val="99"/>
    <w:semiHidden/>
    <w:unhideWhenUsed/>
    <w:rsid w:val="007968EC"/>
  </w:style>
  <w:style w:type="table" w:customStyle="1" w:styleId="Tablaconcuadrcula11134">
    <w:name w:val="Tabla con cuadrícula11134"/>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4">
    <w:name w:val="Sin lista54"/>
    <w:next w:val="Sinlista"/>
    <w:uiPriority w:val="99"/>
    <w:semiHidden/>
    <w:unhideWhenUsed/>
    <w:rsid w:val="007968EC"/>
  </w:style>
  <w:style w:type="numbering" w:customStyle="1" w:styleId="Sinlista144">
    <w:name w:val="Sin lista144"/>
    <w:next w:val="Sinlista"/>
    <w:uiPriority w:val="99"/>
    <w:semiHidden/>
    <w:unhideWhenUsed/>
    <w:rsid w:val="007968EC"/>
  </w:style>
  <w:style w:type="table" w:customStyle="1" w:styleId="Tablaconcuadrcula163">
    <w:name w:val="Tabla con cuadrícula163"/>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3">
    <w:name w:val="Tabla con cuadrícula45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3">
    <w:name w:val="Tabla con cuadrícula215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23">
    <w:name w:val="Tabla con cuadrícula81123"/>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43">
    <w:name w:val="Tabla Fichero Parametrización43"/>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43">
    <w:name w:val="Tabla con cuadrícula1143"/>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43">
    <w:name w:val="Lista clara243"/>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43">
    <w:name w:val="Lista clara143"/>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detablaclara153">
    <w:name w:val="Cuadrícula de tabla clara153"/>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253">
    <w:name w:val="Tabla con cuadrícula25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3">
    <w:name w:val="Tabla con cuadrícula34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3">
    <w:name w:val="Tabla con cuadrícula54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3">
    <w:name w:val="Tabla con cuadrícula64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3">
    <w:name w:val="Tabla con cuadrícula1114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7968EC"/>
  </w:style>
  <w:style w:type="table" w:customStyle="1" w:styleId="Tablaconcuadrcula733">
    <w:name w:val="Tabla con cuadrícula73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33">
    <w:name w:val="Cuadrícula de tabla clara1133"/>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34">
    <w:name w:val="Sin lista11134"/>
    <w:next w:val="Sinlista"/>
    <w:uiPriority w:val="99"/>
    <w:semiHidden/>
    <w:unhideWhenUsed/>
    <w:rsid w:val="007968EC"/>
  </w:style>
  <w:style w:type="table" w:customStyle="1" w:styleId="Tablaconcuadrcula1233">
    <w:name w:val="Tabla con cuadrícula123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33">
    <w:name w:val="Tabla Fichero Parametrización133"/>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123">
    <w:name w:val="Tabla con cuadrícula111123"/>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33">
    <w:name w:val="Lista clara2133"/>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33">
    <w:name w:val="Lista clara1133"/>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233">
    <w:name w:val="Tabla con cuadrícula223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4">
    <w:name w:val="Sin lista234"/>
    <w:next w:val="Sinlista"/>
    <w:uiPriority w:val="99"/>
    <w:semiHidden/>
    <w:unhideWhenUsed/>
    <w:rsid w:val="007968EC"/>
  </w:style>
  <w:style w:type="table" w:customStyle="1" w:styleId="Tablaconcuadrcula3133">
    <w:name w:val="Tabla con cuadrícula313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33">
    <w:name w:val="Cuadrícula de tabla clara1233"/>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34">
    <w:name w:val="Sin lista111134"/>
    <w:next w:val="Sinlista"/>
    <w:uiPriority w:val="99"/>
    <w:semiHidden/>
    <w:unhideWhenUsed/>
    <w:rsid w:val="007968EC"/>
  </w:style>
  <w:style w:type="table" w:customStyle="1" w:styleId="Tablaconcuadrcula21133">
    <w:name w:val="Tabla con cuadrícula2113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3">
    <w:name w:val="Tabla con cuadrícula413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3">
    <w:name w:val="Tabla con cuadrícula513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3">
    <w:name w:val="Tabla con cuadrícula613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33">
    <w:name w:val="Cuadrícula de tabla clara233"/>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33">
    <w:name w:val="Cuadrícula de tabla clara333"/>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433">
    <w:name w:val="Cuadrícula de tabla clara433"/>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833">
    <w:name w:val="Tabla con cuadrícula833"/>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4">
    <w:name w:val="Sin lista334"/>
    <w:next w:val="Sinlista"/>
    <w:uiPriority w:val="99"/>
    <w:semiHidden/>
    <w:unhideWhenUsed/>
    <w:rsid w:val="007968EC"/>
  </w:style>
  <w:style w:type="table" w:customStyle="1" w:styleId="Tablaconcuadrcula923">
    <w:name w:val="Tabla con cuadrícula92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223">
    <w:name w:val="Tabla Fichero Parametrización223"/>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323">
    <w:name w:val="Tabla con cuadrícula1323"/>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223">
    <w:name w:val="Lista clara2223"/>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223">
    <w:name w:val="Lista clara1223"/>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detablaclara1333">
    <w:name w:val="Cuadrícula de tabla clara1333"/>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2323">
    <w:name w:val="Tabla con cuadrícula232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3">
    <w:name w:val="Tabla con cuadrícula322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3">
    <w:name w:val="Tabla con cuadrícula422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3">
    <w:name w:val="Tabla con cuadrícula2122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3">
    <w:name w:val="Tabla con cuadrícula522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3">
    <w:name w:val="Tabla con cuadrícula622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3">
    <w:name w:val="Tabla con cuadrícula1122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4">
    <w:name w:val="Sin lista1234"/>
    <w:next w:val="Sinlista"/>
    <w:uiPriority w:val="99"/>
    <w:semiHidden/>
    <w:unhideWhenUsed/>
    <w:rsid w:val="007968EC"/>
  </w:style>
  <w:style w:type="table" w:customStyle="1" w:styleId="Tablaconcuadrcula7123">
    <w:name w:val="Tabla con cuadrícula712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123">
    <w:name w:val="Cuadrícula de tabla clara11123"/>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234">
    <w:name w:val="Sin lista11234"/>
    <w:next w:val="Sinlista"/>
    <w:uiPriority w:val="99"/>
    <w:semiHidden/>
    <w:unhideWhenUsed/>
    <w:rsid w:val="007968EC"/>
  </w:style>
  <w:style w:type="table" w:customStyle="1" w:styleId="Tablaconcuadrcula12123">
    <w:name w:val="Tabla con cuadrícula1212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123">
    <w:name w:val="Tabla Fichero Parametrización1123"/>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Listaclara21123">
    <w:name w:val="Lista clara21123"/>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23">
    <w:name w:val="Lista clara11123"/>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2123">
    <w:name w:val="Tabla con cuadrícula2212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4">
    <w:name w:val="Sin lista2134"/>
    <w:next w:val="Sinlista"/>
    <w:uiPriority w:val="99"/>
    <w:semiHidden/>
    <w:unhideWhenUsed/>
    <w:rsid w:val="007968EC"/>
  </w:style>
  <w:style w:type="table" w:customStyle="1" w:styleId="Tablaconcuadrcula31133">
    <w:name w:val="Tabla con cuadrícula3113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123">
    <w:name w:val="Cuadrícula de tabla clara12123"/>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124">
    <w:name w:val="Sin lista1111124"/>
    <w:next w:val="Sinlista"/>
    <w:uiPriority w:val="99"/>
    <w:semiHidden/>
    <w:unhideWhenUsed/>
    <w:rsid w:val="007968EC"/>
  </w:style>
  <w:style w:type="table" w:customStyle="1" w:styleId="Tablaconcuadrcula211123">
    <w:name w:val="Tabla con cuadrícula21112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23">
    <w:name w:val="Tabla con cuadrícula4112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23">
    <w:name w:val="Tabla con cuadrícula5112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3">
    <w:name w:val="Tabla con cuadrícula6112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123">
    <w:name w:val="Cuadrícula de tabla clara2123"/>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133">
    <w:name w:val="Cuadrícula de tabla clara3133"/>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8133">
    <w:name w:val="Tabla con cuadrícula8133"/>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7968EC"/>
  </w:style>
  <w:style w:type="table" w:customStyle="1" w:styleId="Cuadrculadetablaclara13123">
    <w:name w:val="Cuadrícula de tabla clara13123"/>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2124">
    <w:name w:val="Sin lista12124"/>
    <w:next w:val="Sinlista"/>
    <w:uiPriority w:val="99"/>
    <w:semiHidden/>
    <w:unhideWhenUsed/>
    <w:rsid w:val="007968EC"/>
  </w:style>
  <w:style w:type="numbering" w:customStyle="1" w:styleId="Sinlista112124">
    <w:name w:val="Sin lista112124"/>
    <w:next w:val="Sinlista"/>
    <w:uiPriority w:val="99"/>
    <w:semiHidden/>
    <w:unhideWhenUsed/>
    <w:rsid w:val="007968EC"/>
  </w:style>
  <w:style w:type="numbering" w:customStyle="1" w:styleId="Sinlista21124">
    <w:name w:val="Sin lista21124"/>
    <w:next w:val="Sinlista"/>
    <w:uiPriority w:val="99"/>
    <w:semiHidden/>
    <w:unhideWhenUsed/>
    <w:rsid w:val="007968EC"/>
  </w:style>
  <w:style w:type="numbering" w:customStyle="1" w:styleId="Sinlista11111124">
    <w:name w:val="Sin lista11111124"/>
    <w:next w:val="Sinlista"/>
    <w:uiPriority w:val="99"/>
    <w:semiHidden/>
    <w:unhideWhenUsed/>
    <w:rsid w:val="007968EC"/>
  </w:style>
  <w:style w:type="table" w:customStyle="1" w:styleId="Cuadrculadetablaclara31123">
    <w:name w:val="Cuadrícula de tabla clara31123"/>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4123">
    <w:name w:val="Cuadrícula de tabla clara4123"/>
    <w:basedOn w:val="Tablanormal"/>
    <w:next w:val="Cuadrculadetablaclara4"/>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11123">
    <w:name w:val="Tabla con cuadrícula31112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7968EC"/>
  </w:style>
  <w:style w:type="table" w:customStyle="1" w:styleId="Tablaconcuadrcula1023">
    <w:name w:val="Tabla con cuadrícula1023"/>
    <w:basedOn w:val="Tablanormal"/>
    <w:next w:val="Tablaconcuadrcula"/>
    <w:rsid w:val="00796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523">
    <w:name w:val="Cuadrícula de tabla clara523"/>
    <w:basedOn w:val="Tablanormal"/>
    <w:next w:val="Cuadrculadetablaclara4"/>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324">
    <w:name w:val="Sin lista1324"/>
    <w:next w:val="Sinlista"/>
    <w:uiPriority w:val="99"/>
    <w:semiHidden/>
    <w:unhideWhenUsed/>
    <w:rsid w:val="007968EC"/>
  </w:style>
  <w:style w:type="table" w:customStyle="1" w:styleId="Tablaconcuadrcula1423">
    <w:name w:val="Tabla con cuadrícula1423"/>
    <w:basedOn w:val="Tablanormal"/>
    <w:next w:val="Tablaconcuadrcula"/>
    <w:uiPriority w:val="5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313">
    <w:name w:val="Tabla Fichero Parametrización313"/>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324">
    <w:name w:val="Tabla con cuadrícula11324"/>
    <w:basedOn w:val="Tablanormal"/>
    <w:next w:val="Tablaconcuadrcula"/>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313">
    <w:name w:val="Lista clara2313"/>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313">
    <w:name w:val="Lista clara1313"/>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23">
    <w:name w:val="Tabla con cuadrícula242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4">
    <w:name w:val="Sin lista2224"/>
    <w:next w:val="Sinlista"/>
    <w:uiPriority w:val="99"/>
    <w:semiHidden/>
    <w:unhideWhenUsed/>
    <w:rsid w:val="007968EC"/>
  </w:style>
  <w:style w:type="table" w:customStyle="1" w:styleId="Tablaconcuadrcula3323">
    <w:name w:val="Tabla con cuadrícula3323"/>
    <w:basedOn w:val="Tablanormal"/>
    <w:next w:val="Tablaconcuadrcula"/>
    <w:rsid w:val="00796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413">
    <w:name w:val="Cuadrícula de tabla clara1413"/>
    <w:basedOn w:val="Tablanormal"/>
    <w:next w:val="Cuadrculadetablaclara4"/>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324">
    <w:name w:val="Sin lista11324"/>
    <w:next w:val="Sinlista"/>
    <w:uiPriority w:val="99"/>
    <w:semiHidden/>
    <w:unhideWhenUsed/>
    <w:rsid w:val="007968EC"/>
  </w:style>
  <w:style w:type="table" w:customStyle="1" w:styleId="Tablaconcuadrcula12213">
    <w:name w:val="Tabla con cuadrícula1221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213">
    <w:name w:val="Tabla Fichero Parametrización1213"/>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213">
    <w:name w:val="Tabla con cuadrícula111213"/>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213">
    <w:name w:val="Lista clara21213"/>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213">
    <w:name w:val="Lista clara11213"/>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1313">
    <w:name w:val="Tabla con cuadrícula2131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3">
    <w:name w:val="Tabla con cuadrícula43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3">
    <w:name w:val="Tabla con cuadrícula53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3">
    <w:name w:val="Tabla con cuadrícula63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3">
    <w:name w:val="Tabla con cuadrícula72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213">
    <w:name w:val="Cuadrícula de tabla clara11213"/>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22213">
    <w:name w:val="Tabla con cuadrícula2221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13">
    <w:name w:val="Tabla con cuadrícula312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213">
    <w:name w:val="Cuadrícula de tabla clara12213"/>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224">
    <w:name w:val="Sin lista111224"/>
    <w:next w:val="Sinlista"/>
    <w:uiPriority w:val="99"/>
    <w:semiHidden/>
    <w:unhideWhenUsed/>
    <w:rsid w:val="007968EC"/>
  </w:style>
  <w:style w:type="table" w:customStyle="1" w:styleId="Tablaconcuadrcula211213">
    <w:name w:val="Tabla con cuadrícula21121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3">
    <w:name w:val="Tabla con cuadrícula412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13">
    <w:name w:val="Tabla con cuadrícula512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3">
    <w:name w:val="Tabla con cuadrícula612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213">
    <w:name w:val="Cuadrícula de tabla clara2213"/>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213">
    <w:name w:val="Cuadrícula de tabla clara3213"/>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8213">
    <w:name w:val="Tabla con cuadrícula8213"/>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4">
    <w:name w:val="Sin lista3224"/>
    <w:next w:val="Sinlista"/>
    <w:uiPriority w:val="99"/>
    <w:semiHidden/>
    <w:unhideWhenUsed/>
    <w:rsid w:val="007968EC"/>
  </w:style>
  <w:style w:type="table" w:customStyle="1" w:styleId="Tablaconcuadrcula9113">
    <w:name w:val="Tabla con cuadrícula911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2113">
    <w:name w:val="Tabla Fichero Parametrización2113"/>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3113">
    <w:name w:val="Tabla con cuadrícula13113"/>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2113">
    <w:name w:val="Lista clara22113"/>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2113">
    <w:name w:val="Lista clara12113"/>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detablaclara13213">
    <w:name w:val="Cuadrícula de tabla clara13213"/>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23113">
    <w:name w:val="Tabla con cuadrícula231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3">
    <w:name w:val="Tabla con cuadrícula321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13">
    <w:name w:val="Tabla con cuadrícula421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3">
    <w:name w:val="Tabla con cuadrícula21211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13">
    <w:name w:val="Tabla con cuadrícula521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3">
    <w:name w:val="Tabla con cuadrícula621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3">
    <w:name w:val="Tabla con cuadrícula11211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24">
    <w:name w:val="Sin lista12224"/>
    <w:next w:val="Sinlista"/>
    <w:uiPriority w:val="99"/>
    <w:semiHidden/>
    <w:unhideWhenUsed/>
    <w:rsid w:val="007968EC"/>
  </w:style>
  <w:style w:type="table" w:customStyle="1" w:styleId="Tablaconcuadrcula71113">
    <w:name w:val="Tabla con cuadrícula711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1113">
    <w:name w:val="Cuadrícula de tabla clara111113"/>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2224">
    <w:name w:val="Sin lista112224"/>
    <w:next w:val="Sinlista"/>
    <w:uiPriority w:val="99"/>
    <w:semiHidden/>
    <w:unhideWhenUsed/>
    <w:rsid w:val="007968EC"/>
  </w:style>
  <w:style w:type="table" w:customStyle="1" w:styleId="Tablaconcuadrcula121113">
    <w:name w:val="Tabla con cuadrícula12111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1113">
    <w:name w:val="Tabla Fichero Parametrización11113"/>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1113">
    <w:name w:val="Tabla con cuadrícula1111113"/>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1113">
    <w:name w:val="Lista clara211113"/>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13">
    <w:name w:val="Lista clara111113"/>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21113">
    <w:name w:val="Tabla con cuadrícula22111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24">
    <w:name w:val="Sin lista21224"/>
    <w:next w:val="Sinlista"/>
    <w:uiPriority w:val="99"/>
    <w:semiHidden/>
    <w:unhideWhenUsed/>
    <w:rsid w:val="007968EC"/>
  </w:style>
  <w:style w:type="table" w:customStyle="1" w:styleId="Tablaconcuadrcula311213">
    <w:name w:val="Tabla con cuadrícula3112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1113">
    <w:name w:val="Cuadrícula de tabla clara121113"/>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224">
    <w:name w:val="Sin lista1111224"/>
    <w:next w:val="Sinlista"/>
    <w:uiPriority w:val="99"/>
    <w:semiHidden/>
    <w:unhideWhenUsed/>
    <w:rsid w:val="007968EC"/>
  </w:style>
  <w:style w:type="table" w:customStyle="1" w:styleId="Tablaconcuadrcula2111113">
    <w:name w:val="Tabla con cuadrícula211111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13">
    <w:name w:val="Tabla con cuadrícula4111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13">
    <w:name w:val="Tabla con cuadrícula5111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13">
    <w:name w:val="Tabla con cuadrícula6111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1113">
    <w:name w:val="Cuadrícula de tabla clara21113"/>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1213">
    <w:name w:val="Cuadrícula de tabla clara31213"/>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4213">
    <w:name w:val="Cuadrícula de tabla clara4213"/>
    <w:basedOn w:val="Tablanormal"/>
    <w:next w:val="Cuadrculadetablaclara4"/>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81213">
    <w:name w:val="Tabla con cuadrícula81213"/>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4">
    <w:name w:val="Sin lista31124"/>
    <w:next w:val="Sinlista"/>
    <w:uiPriority w:val="99"/>
    <w:semiHidden/>
    <w:unhideWhenUsed/>
    <w:rsid w:val="007968EC"/>
  </w:style>
  <w:style w:type="table" w:customStyle="1" w:styleId="Cuadrculadetablaclara131113">
    <w:name w:val="Cuadrícula de tabla clara131113"/>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21124">
    <w:name w:val="Sin lista121124"/>
    <w:next w:val="Sinlista"/>
    <w:uiPriority w:val="99"/>
    <w:semiHidden/>
    <w:unhideWhenUsed/>
    <w:rsid w:val="007968EC"/>
  </w:style>
  <w:style w:type="numbering" w:customStyle="1" w:styleId="Sinlista1121124">
    <w:name w:val="Sin lista1121124"/>
    <w:next w:val="Sinlista"/>
    <w:uiPriority w:val="99"/>
    <w:semiHidden/>
    <w:unhideWhenUsed/>
    <w:rsid w:val="007968EC"/>
  </w:style>
  <w:style w:type="numbering" w:customStyle="1" w:styleId="Sinlista211124">
    <w:name w:val="Sin lista211124"/>
    <w:next w:val="Sinlista"/>
    <w:uiPriority w:val="99"/>
    <w:semiHidden/>
    <w:unhideWhenUsed/>
    <w:rsid w:val="007968EC"/>
  </w:style>
  <w:style w:type="numbering" w:customStyle="1" w:styleId="Sinlista111111124">
    <w:name w:val="Sin lista111111124"/>
    <w:next w:val="Sinlista"/>
    <w:uiPriority w:val="99"/>
    <w:semiHidden/>
    <w:unhideWhenUsed/>
    <w:rsid w:val="007968EC"/>
  </w:style>
  <w:style w:type="table" w:customStyle="1" w:styleId="Cuadrculadetablaclara311113">
    <w:name w:val="Cuadrícula de tabla clara311113"/>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41113">
    <w:name w:val="Cuadrícula de tabla clara41113"/>
    <w:basedOn w:val="Tablanormal"/>
    <w:next w:val="Cuadrculadetablaclara4"/>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111113">
    <w:name w:val="Tabla con cuadrícula31111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13">
    <w:name w:val="Tabla con cuadrícula811113"/>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7968EC"/>
  </w:style>
  <w:style w:type="table" w:customStyle="1" w:styleId="Tablaconcuadrcula10113">
    <w:name w:val="Tabla con cuadrícula1011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3">
    <w:name w:val="Tabla con cuadrícula14113"/>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113">
    <w:name w:val="Tabla con cuadrícula241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3">
    <w:name w:val="Tabla con cuadrícula33113"/>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3">
    <w:name w:val="Tabla con cuadrícula113113"/>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4">
    <w:name w:val="Sin lista13114"/>
    <w:next w:val="Sinlista"/>
    <w:uiPriority w:val="99"/>
    <w:semiHidden/>
    <w:unhideWhenUsed/>
    <w:rsid w:val="007968EC"/>
  </w:style>
  <w:style w:type="numbering" w:customStyle="1" w:styleId="Sinlista113114">
    <w:name w:val="Sin lista113114"/>
    <w:next w:val="Sinlista"/>
    <w:uiPriority w:val="99"/>
    <w:semiHidden/>
    <w:unhideWhenUsed/>
    <w:rsid w:val="007968EC"/>
  </w:style>
  <w:style w:type="numbering" w:customStyle="1" w:styleId="Sinlista22114">
    <w:name w:val="Sin lista22114"/>
    <w:next w:val="Sinlista"/>
    <w:uiPriority w:val="99"/>
    <w:semiHidden/>
    <w:unhideWhenUsed/>
    <w:rsid w:val="007968EC"/>
  </w:style>
  <w:style w:type="numbering" w:customStyle="1" w:styleId="Sinlista1112114">
    <w:name w:val="Sin lista1112114"/>
    <w:next w:val="Sinlista"/>
    <w:uiPriority w:val="99"/>
    <w:semiHidden/>
    <w:unhideWhenUsed/>
    <w:rsid w:val="007968EC"/>
  </w:style>
  <w:style w:type="table" w:customStyle="1" w:styleId="Cuadrculadetablaclara5113">
    <w:name w:val="Cuadrícula de tabla clara5113"/>
    <w:basedOn w:val="Tablanormal"/>
    <w:next w:val="Cuadrculadetablaclara4"/>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32114">
    <w:name w:val="Sin lista32114"/>
    <w:next w:val="Sinlista"/>
    <w:uiPriority w:val="99"/>
    <w:semiHidden/>
    <w:unhideWhenUsed/>
    <w:rsid w:val="007968EC"/>
  </w:style>
  <w:style w:type="numbering" w:customStyle="1" w:styleId="Sinlista122114">
    <w:name w:val="Sin lista122114"/>
    <w:next w:val="Sinlista"/>
    <w:uiPriority w:val="99"/>
    <w:semiHidden/>
    <w:unhideWhenUsed/>
    <w:rsid w:val="007968EC"/>
  </w:style>
  <w:style w:type="numbering" w:customStyle="1" w:styleId="Sinlista1122114">
    <w:name w:val="Sin lista1122114"/>
    <w:next w:val="Sinlista"/>
    <w:uiPriority w:val="99"/>
    <w:semiHidden/>
    <w:unhideWhenUsed/>
    <w:rsid w:val="007968EC"/>
  </w:style>
  <w:style w:type="numbering" w:customStyle="1" w:styleId="Sinlista212114">
    <w:name w:val="Sin lista212114"/>
    <w:next w:val="Sinlista"/>
    <w:uiPriority w:val="99"/>
    <w:semiHidden/>
    <w:unhideWhenUsed/>
    <w:rsid w:val="007968EC"/>
  </w:style>
  <w:style w:type="numbering" w:customStyle="1" w:styleId="Sinlista11112114">
    <w:name w:val="Sin lista11112114"/>
    <w:next w:val="Sinlista"/>
    <w:uiPriority w:val="99"/>
    <w:semiHidden/>
    <w:unhideWhenUsed/>
    <w:rsid w:val="007968EC"/>
  </w:style>
  <w:style w:type="numbering" w:customStyle="1" w:styleId="Sinlista311114">
    <w:name w:val="Sin lista311114"/>
    <w:next w:val="Sinlista"/>
    <w:uiPriority w:val="99"/>
    <w:semiHidden/>
    <w:unhideWhenUsed/>
    <w:rsid w:val="007968EC"/>
  </w:style>
  <w:style w:type="numbering" w:customStyle="1" w:styleId="Sinlista1211114">
    <w:name w:val="Sin lista1211114"/>
    <w:next w:val="Sinlista"/>
    <w:uiPriority w:val="99"/>
    <w:semiHidden/>
    <w:unhideWhenUsed/>
    <w:rsid w:val="007968EC"/>
  </w:style>
  <w:style w:type="numbering" w:customStyle="1" w:styleId="Sinlista11211114">
    <w:name w:val="Sin lista11211114"/>
    <w:next w:val="Sinlista"/>
    <w:uiPriority w:val="99"/>
    <w:semiHidden/>
    <w:unhideWhenUsed/>
    <w:rsid w:val="007968EC"/>
  </w:style>
  <w:style w:type="numbering" w:customStyle="1" w:styleId="Sinlista2111114">
    <w:name w:val="Sin lista2111114"/>
    <w:next w:val="Sinlista"/>
    <w:uiPriority w:val="99"/>
    <w:semiHidden/>
    <w:unhideWhenUsed/>
    <w:rsid w:val="007968EC"/>
  </w:style>
  <w:style w:type="numbering" w:customStyle="1" w:styleId="Sinlista11111111114">
    <w:name w:val="Sin lista11111111114"/>
    <w:next w:val="Sinlista"/>
    <w:uiPriority w:val="99"/>
    <w:semiHidden/>
    <w:unhideWhenUsed/>
    <w:rsid w:val="007968EC"/>
  </w:style>
  <w:style w:type="table" w:customStyle="1" w:styleId="Tablaconcuadrcula111313">
    <w:name w:val="Tabla con cuadrícula111313"/>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3">
    <w:name w:val="Sin lista63"/>
    <w:next w:val="Sinlista"/>
    <w:uiPriority w:val="99"/>
    <w:semiHidden/>
    <w:unhideWhenUsed/>
    <w:rsid w:val="007968EC"/>
  </w:style>
  <w:style w:type="numbering" w:customStyle="1" w:styleId="Sinlista153">
    <w:name w:val="Sin lista153"/>
    <w:next w:val="Sinlista"/>
    <w:uiPriority w:val="99"/>
    <w:semiHidden/>
    <w:unhideWhenUsed/>
    <w:rsid w:val="007968EC"/>
  </w:style>
  <w:style w:type="numbering" w:customStyle="1" w:styleId="Sinlista1153">
    <w:name w:val="Sin lista1153"/>
    <w:next w:val="Sinlista"/>
    <w:uiPriority w:val="99"/>
    <w:semiHidden/>
    <w:unhideWhenUsed/>
    <w:rsid w:val="007968EC"/>
  </w:style>
  <w:style w:type="numbering" w:customStyle="1" w:styleId="Sinlista11143">
    <w:name w:val="Sin lista11143"/>
    <w:next w:val="Sinlista"/>
    <w:uiPriority w:val="99"/>
    <w:semiHidden/>
    <w:unhideWhenUsed/>
    <w:rsid w:val="007968EC"/>
  </w:style>
  <w:style w:type="table" w:customStyle="1" w:styleId="Tablaconcuadrcula182">
    <w:name w:val="Tabla con cuadrícula18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52">
    <w:name w:val="Tabla Fichero Parametrización52"/>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92">
    <w:name w:val="Tabla con cuadrícula192"/>
    <w:basedOn w:val="Tablanormal"/>
    <w:next w:val="Tablaconcuadrcula"/>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52">
    <w:name w:val="Lista clara25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52">
    <w:name w:val="Lista clara15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detablaclara162">
    <w:name w:val="Cuadrícula de tabla clara162"/>
    <w:basedOn w:val="Tablanormal"/>
    <w:uiPriority w:val="40"/>
    <w:rsid w:val="007968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262">
    <w:name w:val="Tabla con cuadrícula26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
    <w:name w:val="Tabla con cuadrícula35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
    <w:name w:val="Tabla con cuadrícula46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2">
    <w:name w:val="Tabla con cuadrícula216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
    <w:name w:val="Tabla con cuadrícula55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2">
    <w:name w:val="Tabla con cuadrícula65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2">
    <w:name w:val="Tabla con cuadrícula115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3">
    <w:name w:val="Sin lista111143"/>
    <w:next w:val="Sinlista"/>
    <w:uiPriority w:val="99"/>
    <w:semiHidden/>
    <w:unhideWhenUsed/>
    <w:rsid w:val="007968EC"/>
  </w:style>
  <w:style w:type="table" w:customStyle="1" w:styleId="Tablaconcuadrcula742">
    <w:name w:val="Tabla con cuadrícula74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42">
    <w:name w:val="Cuadrícula de tabla clara1142"/>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133">
    <w:name w:val="Sin lista1111133"/>
    <w:next w:val="Sinlista"/>
    <w:uiPriority w:val="99"/>
    <w:semiHidden/>
    <w:unhideWhenUsed/>
    <w:rsid w:val="007968EC"/>
  </w:style>
  <w:style w:type="table" w:customStyle="1" w:styleId="Tablaconcuadrcula1242">
    <w:name w:val="Tabla con cuadrícula124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42">
    <w:name w:val="Tabla Fichero Parametrización142"/>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52">
    <w:name w:val="Tabla con cuadrícula11152"/>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42">
    <w:name w:val="Lista clara214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42">
    <w:name w:val="Lista clara114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242">
    <w:name w:val="Tabla con cuadrícula224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3">
    <w:name w:val="Sin lista243"/>
    <w:next w:val="Sinlista"/>
    <w:uiPriority w:val="99"/>
    <w:semiHidden/>
    <w:unhideWhenUsed/>
    <w:rsid w:val="007968EC"/>
  </w:style>
  <w:style w:type="table" w:customStyle="1" w:styleId="Tablaconcuadrcula3142">
    <w:name w:val="Tabla con cuadrícula314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42">
    <w:name w:val="Cuadrícula de tabla clara1242"/>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1133">
    <w:name w:val="Sin lista11111133"/>
    <w:next w:val="Sinlista"/>
    <w:uiPriority w:val="99"/>
    <w:semiHidden/>
    <w:unhideWhenUsed/>
    <w:rsid w:val="007968EC"/>
  </w:style>
  <w:style w:type="table" w:customStyle="1" w:styleId="Tablaconcuadrcula21142">
    <w:name w:val="Tabla con cuadrícula2114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2">
    <w:name w:val="Tabla con cuadrícula414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2">
    <w:name w:val="Tabla con cuadrícula514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2">
    <w:name w:val="Tabla con cuadrícula614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42">
    <w:name w:val="Cuadrícula de tabla clara242"/>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42">
    <w:name w:val="Cuadrícula de tabla clara342"/>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detablaclara62">
    <w:name w:val="Cuadrícula de tabla clara62"/>
    <w:basedOn w:val="Tablanormal"/>
    <w:next w:val="Tablaconcuadrculaclara"/>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842">
    <w:name w:val="Tabla con cuadrícula842"/>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7968EC"/>
  </w:style>
  <w:style w:type="table" w:customStyle="1" w:styleId="Tablaconcuadrcula932">
    <w:name w:val="Tabla con cuadrícula93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232">
    <w:name w:val="Tabla Fichero Parametrización232"/>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332">
    <w:name w:val="Tabla con cuadrícula1332"/>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232">
    <w:name w:val="Lista clara223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232">
    <w:name w:val="Lista clara123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detablaclara1342">
    <w:name w:val="Cuadrícula de tabla clara1342"/>
    <w:basedOn w:val="Tablanormal"/>
    <w:uiPriority w:val="40"/>
    <w:rsid w:val="007968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2332">
    <w:name w:val="Tabla con cuadrícula233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2">
    <w:name w:val="Tabla con cuadrícula323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2">
    <w:name w:val="Tabla con cuadrícula423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32">
    <w:name w:val="Tabla con cuadrícula2123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32">
    <w:name w:val="Tabla con cuadrícula523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2">
    <w:name w:val="Tabla con cuadrícula623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2">
    <w:name w:val="Tabla con cuadrícula1123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7968EC"/>
  </w:style>
  <w:style w:type="table" w:customStyle="1" w:styleId="Tablaconcuadrcula7132">
    <w:name w:val="Tabla con cuadrícula713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132">
    <w:name w:val="Cuadrícula de tabla clara11132"/>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243">
    <w:name w:val="Sin lista11243"/>
    <w:next w:val="Sinlista"/>
    <w:uiPriority w:val="99"/>
    <w:semiHidden/>
    <w:unhideWhenUsed/>
    <w:rsid w:val="007968EC"/>
  </w:style>
  <w:style w:type="table" w:customStyle="1" w:styleId="Tablaconcuadrcula12132">
    <w:name w:val="Tabla con cuadrícula1213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132">
    <w:name w:val="Tabla Fichero Parametrización1132"/>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132">
    <w:name w:val="Tabla con cuadrícula111132"/>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132">
    <w:name w:val="Lista clara2113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32">
    <w:name w:val="Lista clara1113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2132">
    <w:name w:val="Tabla con cuadrícula2213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43">
    <w:name w:val="Sin lista2143"/>
    <w:next w:val="Sinlista"/>
    <w:uiPriority w:val="99"/>
    <w:semiHidden/>
    <w:unhideWhenUsed/>
    <w:rsid w:val="007968EC"/>
  </w:style>
  <w:style w:type="table" w:customStyle="1" w:styleId="Tablaconcuadrcula31142">
    <w:name w:val="Tabla con cuadrícula3114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132">
    <w:name w:val="Cuadrícula de tabla clara12132"/>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11133">
    <w:name w:val="Sin lista111111133"/>
    <w:next w:val="Sinlista"/>
    <w:uiPriority w:val="99"/>
    <w:semiHidden/>
    <w:unhideWhenUsed/>
    <w:rsid w:val="007968EC"/>
  </w:style>
  <w:style w:type="table" w:customStyle="1" w:styleId="Tablaconcuadrcula211132">
    <w:name w:val="Tabla con cuadrícula21113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32">
    <w:name w:val="Tabla con cuadrícula4113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32">
    <w:name w:val="Tabla con cuadrícula5113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32">
    <w:name w:val="Tabla con cuadrícula6113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132">
    <w:name w:val="Cuadrícula de tabla clara2132"/>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142">
    <w:name w:val="Cuadrícula de tabla clara3142"/>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detablaclara442">
    <w:name w:val="Cuadrícula de tabla clara442"/>
    <w:basedOn w:val="Tablanormal"/>
    <w:next w:val="Tablaconcuadrculaclara"/>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8142">
    <w:name w:val="Tabla con cuadrícula8142"/>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7968EC"/>
  </w:style>
  <w:style w:type="table" w:customStyle="1" w:styleId="Cuadrculadetablaclara13132">
    <w:name w:val="Cuadrícula de tabla clara13132"/>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2133">
    <w:name w:val="Sin lista12133"/>
    <w:next w:val="Sinlista"/>
    <w:uiPriority w:val="99"/>
    <w:semiHidden/>
    <w:unhideWhenUsed/>
    <w:rsid w:val="007968EC"/>
  </w:style>
  <w:style w:type="numbering" w:customStyle="1" w:styleId="Sinlista112133">
    <w:name w:val="Sin lista112133"/>
    <w:next w:val="Sinlista"/>
    <w:uiPriority w:val="99"/>
    <w:semiHidden/>
    <w:unhideWhenUsed/>
    <w:rsid w:val="007968EC"/>
  </w:style>
  <w:style w:type="numbering" w:customStyle="1" w:styleId="Sinlista21133">
    <w:name w:val="Sin lista21133"/>
    <w:next w:val="Sinlista"/>
    <w:uiPriority w:val="99"/>
    <w:semiHidden/>
    <w:unhideWhenUsed/>
    <w:rsid w:val="007968EC"/>
  </w:style>
  <w:style w:type="numbering" w:customStyle="1" w:styleId="Sinlista1111111123">
    <w:name w:val="Sin lista1111111123"/>
    <w:next w:val="Sinlista"/>
    <w:uiPriority w:val="99"/>
    <w:semiHidden/>
    <w:unhideWhenUsed/>
    <w:rsid w:val="007968EC"/>
  </w:style>
  <w:style w:type="table" w:customStyle="1" w:styleId="Cuadrculadetablaclara31132">
    <w:name w:val="Cuadrícula de tabla clara31132"/>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4132">
    <w:name w:val="Cuadrícula de tabla clara4132"/>
    <w:basedOn w:val="Tablanormal"/>
    <w:next w:val="Tablaconcuadrculaclara"/>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11132">
    <w:name w:val="Tabla con cuadrícula31113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32">
    <w:name w:val="Tabla con cuadrícula81132"/>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7968EC"/>
  </w:style>
  <w:style w:type="table" w:customStyle="1" w:styleId="Tablaconcuadrcula1032">
    <w:name w:val="Tabla con cuadrícula1032"/>
    <w:basedOn w:val="Tablanormal"/>
    <w:next w:val="Tablaconcuadrcula"/>
    <w:rsid w:val="00796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532">
    <w:name w:val="Cuadrícula de tabla clara532"/>
    <w:basedOn w:val="Tablanormal"/>
    <w:next w:val="Tablaconcuadrculaclara"/>
    <w:uiPriority w:val="40"/>
    <w:rsid w:val="007968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1333">
    <w:name w:val="Sin lista1333"/>
    <w:next w:val="Sinlista"/>
    <w:uiPriority w:val="99"/>
    <w:semiHidden/>
    <w:unhideWhenUsed/>
    <w:rsid w:val="007968EC"/>
  </w:style>
  <w:style w:type="table" w:customStyle="1" w:styleId="Tablaconcuadrcula1432">
    <w:name w:val="Tabla con cuadrícula1432"/>
    <w:basedOn w:val="Tablanormal"/>
    <w:next w:val="Tablaconcuadrcula"/>
    <w:uiPriority w:val="5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322">
    <w:name w:val="Tabla Fichero Parametrización322"/>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332">
    <w:name w:val="Tabla con cuadrícula11332"/>
    <w:basedOn w:val="Tablanormal"/>
    <w:next w:val="Tablaconcuadrcula"/>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322">
    <w:name w:val="Lista clara232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322">
    <w:name w:val="Lista clara132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32">
    <w:name w:val="Tabla con cuadrícula243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33">
    <w:name w:val="Sin lista2233"/>
    <w:next w:val="Sinlista"/>
    <w:uiPriority w:val="99"/>
    <w:semiHidden/>
    <w:unhideWhenUsed/>
    <w:rsid w:val="007968EC"/>
  </w:style>
  <w:style w:type="table" w:customStyle="1" w:styleId="Tablaconcuadrcula3332">
    <w:name w:val="Tabla con cuadrícula3332"/>
    <w:basedOn w:val="Tablanormal"/>
    <w:next w:val="Tablaconcuadrcula"/>
    <w:rsid w:val="00796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422">
    <w:name w:val="Cuadrícula de tabla clara1422"/>
    <w:basedOn w:val="Tablanormal"/>
    <w:next w:val="Tablaconcuadrculaclara"/>
    <w:uiPriority w:val="40"/>
    <w:rsid w:val="007968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11333">
    <w:name w:val="Sin lista11333"/>
    <w:next w:val="Sinlista"/>
    <w:uiPriority w:val="99"/>
    <w:semiHidden/>
    <w:unhideWhenUsed/>
    <w:rsid w:val="007968EC"/>
  </w:style>
  <w:style w:type="table" w:customStyle="1" w:styleId="Tablaconcuadrcula12222">
    <w:name w:val="Tabla con cuadrícula1222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222">
    <w:name w:val="Tabla Fichero Parametrización1222"/>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222">
    <w:name w:val="Tabla con cuadrícula111222"/>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222">
    <w:name w:val="Lista clara2122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222">
    <w:name w:val="Lista clara1122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1322">
    <w:name w:val="Tabla con cuadrícula2132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2">
    <w:name w:val="Tabla con cuadrícula43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2">
    <w:name w:val="Tabla con cuadrícula53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2">
    <w:name w:val="Tabla con cuadrícula63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2">
    <w:name w:val="Tabla con cuadrícula72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222">
    <w:name w:val="Cuadrícula de tabla clara11222"/>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22222">
    <w:name w:val="Tabla con cuadrícula2222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22">
    <w:name w:val="Tabla con cuadrícula312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222">
    <w:name w:val="Cuadrícula de tabla clara12222"/>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233">
    <w:name w:val="Sin lista111233"/>
    <w:next w:val="Sinlista"/>
    <w:uiPriority w:val="99"/>
    <w:semiHidden/>
    <w:unhideWhenUsed/>
    <w:rsid w:val="007968EC"/>
  </w:style>
  <w:style w:type="table" w:customStyle="1" w:styleId="Tablaconcuadrcula211222">
    <w:name w:val="Tabla con cuadrícula21122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22">
    <w:name w:val="Tabla con cuadrícula412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22">
    <w:name w:val="Tabla con cuadrícula512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22">
    <w:name w:val="Tabla con cuadrícula612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222">
    <w:name w:val="Cuadrícula de tabla clara2222"/>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222">
    <w:name w:val="Cuadrícula de tabla clara3222"/>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8222">
    <w:name w:val="Tabla con cuadrícula8222"/>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33">
    <w:name w:val="Sin lista3233"/>
    <w:next w:val="Sinlista"/>
    <w:uiPriority w:val="99"/>
    <w:semiHidden/>
    <w:unhideWhenUsed/>
    <w:rsid w:val="007968EC"/>
  </w:style>
  <w:style w:type="table" w:customStyle="1" w:styleId="Tablaconcuadrcula9122">
    <w:name w:val="Tabla con cuadrícula912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2122">
    <w:name w:val="Tabla Fichero Parametrización2122"/>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3122">
    <w:name w:val="Tabla con cuadrícula13122"/>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2122">
    <w:name w:val="Lista clara2212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2122">
    <w:name w:val="Lista clara1212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detablaclara13222">
    <w:name w:val="Cuadrícula de tabla clara13222"/>
    <w:basedOn w:val="Tablanormal"/>
    <w:uiPriority w:val="40"/>
    <w:rsid w:val="007968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23122">
    <w:name w:val="Tabla con cuadrícula231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22">
    <w:name w:val="Tabla con cuadrícula321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22">
    <w:name w:val="Tabla con cuadrícula421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22">
    <w:name w:val="Tabla con cuadrícula21212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22">
    <w:name w:val="Tabla con cuadrícula521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22">
    <w:name w:val="Tabla con cuadrícula621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2">
    <w:name w:val="Tabla con cuadrícula11212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33">
    <w:name w:val="Sin lista12233"/>
    <w:next w:val="Sinlista"/>
    <w:uiPriority w:val="99"/>
    <w:semiHidden/>
    <w:unhideWhenUsed/>
    <w:rsid w:val="007968EC"/>
  </w:style>
  <w:style w:type="table" w:customStyle="1" w:styleId="Tablaconcuadrcula71122">
    <w:name w:val="Tabla con cuadrícula711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1122">
    <w:name w:val="Cuadrícula de tabla clara111122"/>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2233">
    <w:name w:val="Sin lista112233"/>
    <w:next w:val="Sinlista"/>
    <w:uiPriority w:val="99"/>
    <w:semiHidden/>
    <w:unhideWhenUsed/>
    <w:rsid w:val="007968EC"/>
  </w:style>
  <w:style w:type="table" w:customStyle="1" w:styleId="Tablaconcuadrcula121122">
    <w:name w:val="Tabla con cuadrícula12112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1122">
    <w:name w:val="Tabla Fichero Parametrización11122"/>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1122">
    <w:name w:val="Tabla con cuadrícula1111122"/>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1122">
    <w:name w:val="Lista clara21112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22">
    <w:name w:val="Lista clara11112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21122">
    <w:name w:val="Tabla con cuadrícula22112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33">
    <w:name w:val="Sin lista21233"/>
    <w:next w:val="Sinlista"/>
    <w:uiPriority w:val="99"/>
    <w:semiHidden/>
    <w:unhideWhenUsed/>
    <w:rsid w:val="007968EC"/>
  </w:style>
  <w:style w:type="table" w:customStyle="1" w:styleId="Tablaconcuadrcula311222">
    <w:name w:val="Tabla con cuadrícula3112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1122">
    <w:name w:val="Cuadrícula de tabla clara121122"/>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233">
    <w:name w:val="Sin lista1111233"/>
    <w:next w:val="Sinlista"/>
    <w:uiPriority w:val="99"/>
    <w:semiHidden/>
    <w:unhideWhenUsed/>
    <w:rsid w:val="007968EC"/>
  </w:style>
  <w:style w:type="table" w:customStyle="1" w:styleId="Tablaconcuadrcula2111122">
    <w:name w:val="Tabla con cuadrícula211112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22">
    <w:name w:val="Tabla con cuadrícula4111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22">
    <w:name w:val="Tabla con cuadrícula5111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22">
    <w:name w:val="Tabla con cuadrícula6111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1122">
    <w:name w:val="Cuadrícula de tabla clara21122"/>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1222">
    <w:name w:val="Cuadrícula de tabla clara31222"/>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detablaclara4222">
    <w:name w:val="Cuadrícula de tabla clara4222"/>
    <w:basedOn w:val="Tablanormal"/>
    <w:next w:val="Tablaconcuadrculaclara"/>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81222">
    <w:name w:val="Tabla con cuadrícula81222"/>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3">
    <w:name w:val="Sin lista31133"/>
    <w:next w:val="Sinlista"/>
    <w:uiPriority w:val="99"/>
    <w:semiHidden/>
    <w:unhideWhenUsed/>
    <w:rsid w:val="007968EC"/>
  </w:style>
  <w:style w:type="table" w:customStyle="1" w:styleId="Cuadrculadetablaclara131122">
    <w:name w:val="Cuadrícula de tabla clara131122"/>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21133">
    <w:name w:val="Sin lista121133"/>
    <w:next w:val="Sinlista"/>
    <w:uiPriority w:val="99"/>
    <w:semiHidden/>
    <w:unhideWhenUsed/>
    <w:rsid w:val="007968EC"/>
  </w:style>
  <w:style w:type="numbering" w:customStyle="1" w:styleId="Sinlista1121133">
    <w:name w:val="Sin lista1121133"/>
    <w:next w:val="Sinlista"/>
    <w:uiPriority w:val="99"/>
    <w:semiHidden/>
    <w:unhideWhenUsed/>
    <w:rsid w:val="007968EC"/>
  </w:style>
  <w:style w:type="numbering" w:customStyle="1" w:styleId="Sinlista211133">
    <w:name w:val="Sin lista211133"/>
    <w:next w:val="Sinlista"/>
    <w:uiPriority w:val="99"/>
    <w:semiHidden/>
    <w:unhideWhenUsed/>
    <w:rsid w:val="007968EC"/>
  </w:style>
  <w:style w:type="numbering" w:customStyle="1" w:styleId="Sinlista11111111123">
    <w:name w:val="Sin lista11111111123"/>
    <w:next w:val="Sinlista"/>
    <w:uiPriority w:val="99"/>
    <w:semiHidden/>
    <w:unhideWhenUsed/>
    <w:rsid w:val="007968EC"/>
  </w:style>
  <w:style w:type="table" w:customStyle="1" w:styleId="Cuadrculadetablaclara311122">
    <w:name w:val="Cuadrícula de tabla clara311122"/>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41122">
    <w:name w:val="Cuadrícula de tabla clara41122"/>
    <w:basedOn w:val="Tablanormal"/>
    <w:next w:val="Tablaconcuadrculaclara"/>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111122">
    <w:name w:val="Tabla con cuadrícula31111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22">
    <w:name w:val="Tabla con cuadrícula811122"/>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7968EC"/>
  </w:style>
  <w:style w:type="table" w:customStyle="1" w:styleId="Tablaconcuadrcula10122">
    <w:name w:val="Tabla con cuadrícula1012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2">
    <w:name w:val="Tabla con cuadrícula14122"/>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122">
    <w:name w:val="Tabla con cuadrícula241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22">
    <w:name w:val="Tabla con cuadrícula3312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22">
    <w:name w:val="Tabla con cuadrícula11312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3">
    <w:name w:val="Sin lista13123"/>
    <w:next w:val="Sinlista"/>
    <w:uiPriority w:val="99"/>
    <w:semiHidden/>
    <w:unhideWhenUsed/>
    <w:rsid w:val="007968EC"/>
  </w:style>
  <w:style w:type="numbering" w:customStyle="1" w:styleId="Sinlista113123">
    <w:name w:val="Sin lista113123"/>
    <w:next w:val="Sinlista"/>
    <w:uiPriority w:val="99"/>
    <w:semiHidden/>
    <w:unhideWhenUsed/>
    <w:rsid w:val="007968EC"/>
  </w:style>
  <w:style w:type="numbering" w:customStyle="1" w:styleId="Sinlista22123">
    <w:name w:val="Sin lista22123"/>
    <w:next w:val="Sinlista"/>
    <w:uiPriority w:val="99"/>
    <w:semiHidden/>
    <w:unhideWhenUsed/>
    <w:rsid w:val="007968EC"/>
  </w:style>
  <w:style w:type="numbering" w:customStyle="1" w:styleId="Sinlista1112123">
    <w:name w:val="Sin lista1112123"/>
    <w:next w:val="Sinlista"/>
    <w:uiPriority w:val="99"/>
    <w:semiHidden/>
    <w:unhideWhenUsed/>
    <w:rsid w:val="007968EC"/>
  </w:style>
  <w:style w:type="table" w:customStyle="1" w:styleId="Cuadrculadetablaclara5122">
    <w:name w:val="Cuadrícula de tabla clara5122"/>
    <w:basedOn w:val="Tablanormal"/>
    <w:next w:val="Tablaconcuadrculaclara"/>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32123">
    <w:name w:val="Sin lista32123"/>
    <w:next w:val="Sinlista"/>
    <w:uiPriority w:val="99"/>
    <w:semiHidden/>
    <w:unhideWhenUsed/>
    <w:rsid w:val="007968EC"/>
  </w:style>
  <w:style w:type="numbering" w:customStyle="1" w:styleId="Sinlista122123">
    <w:name w:val="Sin lista122123"/>
    <w:next w:val="Sinlista"/>
    <w:uiPriority w:val="99"/>
    <w:semiHidden/>
    <w:unhideWhenUsed/>
    <w:rsid w:val="007968EC"/>
  </w:style>
  <w:style w:type="numbering" w:customStyle="1" w:styleId="Sinlista1122123">
    <w:name w:val="Sin lista1122123"/>
    <w:next w:val="Sinlista"/>
    <w:uiPriority w:val="99"/>
    <w:semiHidden/>
    <w:unhideWhenUsed/>
    <w:rsid w:val="007968EC"/>
  </w:style>
  <w:style w:type="numbering" w:customStyle="1" w:styleId="Sinlista212123">
    <w:name w:val="Sin lista212123"/>
    <w:next w:val="Sinlista"/>
    <w:uiPriority w:val="99"/>
    <w:semiHidden/>
    <w:unhideWhenUsed/>
    <w:rsid w:val="007968EC"/>
  </w:style>
  <w:style w:type="numbering" w:customStyle="1" w:styleId="Sinlista11112123">
    <w:name w:val="Sin lista11112123"/>
    <w:next w:val="Sinlista"/>
    <w:uiPriority w:val="99"/>
    <w:semiHidden/>
    <w:unhideWhenUsed/>
    <w:rsid w:val="007968EC"/>
  </w:style>
  <w:style w:type="numbering" w:customStyle="1" w:styleId="Sinlista311123">
    <w:name w:val="Sin lista311123"/>
    <w:next w:val="Sinlista"/>
    <w:uiPriority w:val="99"/>
    <w:semiHidden/>
    <w:unhideWhenUsed/>
    <w:rsid w:val="007968EC"/>
  </w:style>
  <w:style w:type="numbering" w:customStyle="1" w:styleId="Sinlista1211123">
    <w:name w:val="Sin lista1211123"/>
    <w:next w:val="Sinlista"/>
    <w:uiPriority w:val="99"/>
    <w:semiHidden/>
    <w:unhideWhenUsed/>
    <w:rsid w:val="007968EC"/>
  </w:style>
  <w:style w:type="numbering" w:customStyle="1" w:styleId="Sinlista11211123">
    <w:name w:val="Sin lista11211123"/>
    <w:next w:val="Sinlista"/>
    <w:uiPriority w:val="99"/>
    <w:semiHidden/>
    <w:unhideWhenUsed/>
    <w:rsid w:val="007968EC"/>
  </w:style>
  <w:style w:type="numbering" w:customStyle="1" w:styleId="Sinlista2111123">
    <w:name w:val="Sin lista2111123"/>
    <w:next w:val="Sinlista"/>
    <w:uiPriority w:val="99"/>
    <w:semiHidden/>
    <w:unhideWhenUsed/>
    <w:rsid w:val="007968EC"/>
  </w:style>
  <w:style w:type="numbering" w:customStyle="1" w:styleId="Sinlista111111111114">
    <w:name w:val="Sin lista111111111114"/>
    <w:next w:val="Sinlista"/>
    <w:uiPriority w:val="99"/>
    <w:semiHidden/>
    <w:unhideWhenUsed/>
    <w:rsid w:val="007968EC"/>
  </w:style>
  <w:style w:type="table" w:customStyle="1" w:styleId="Tablaconcuadrcula1512">
    <w:name w:val="Tabla con cuadrícula1512"/>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2">
    <w:name w:val="Tabla con cuadrícula44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12">
    <w:name w:val="Tabla con cuadrícula214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22">
    <w:name w:val="Tabla con cuadrícula111322"/>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13">
    <w:name w:val="Sin lista513"/>
    <w:next w:val="Sinlista"/>
    <w:uiPriority w:val="99"/>
    <w:semiHidden/>
    <w:unhideWhenUsed/>
    <w:rsid w:val="007968EC"/>
  </w:style>
  <w:style w:type="numbering" w:customStyle="1" w:styleId="Sinlista1413">
    <w:name w:val="Sin lista1413"/>
    <w:next w:val="Sinlista"/>
    <w:uiPriority w:val="99"/>
    <w:semiHidden/>
    <w:unhideWhenUsed/>
    <w:rsid w:val="007968EC"/>
  </w:style>
  <w:style w:type="table" w:customStyle="1" w:styleId="Tablaconcuadrcula1612">
    <w:name w:val="Tabla con cuadrícula1612"/>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2">
    <w:name w:val="Tabla con cuadrícula45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12">
    <w:name w:val="Tabla con cuadrícula215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212">
    <w:name w:val="Tabla con cuadrícula811212"/>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412">
    <w:name w:val="Tabla Fichero Parametrización412"/>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412">
    <w:name w:val="Tabla con cuadrícula11412"/>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412">
    <w:name w:val="Lista clara241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412">
    <w:name w:val="Lista clara141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detablaclara1512">
    <w:name w:val="Cuadrícula de tabla clara1512"/>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2512">
    <w:name w:val="Tabla con cuadrícula25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2">
    <w:name w:val="Tabla con cuadrícula34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2">
    <w:name w:val="Tabla con cuadrícula54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2">
    <w:name w:val="Tabla con cuadrícula64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12">
    <w:name w:val="Tabla con cuadrícula1114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3">
    <w:name w:val="Sin lista11413"/>
    <w:next w:val="Sinlista"/>
    <w:uiPriority w:val="99"/>
    <w:semiHidden/>
    <w:unhideWhenUsed/>
    <w:rsid w:val="007968EC"/>
  </w:style>
  <w:style w:type="table" w:customStyle="1" w:styleId="Tablaconcuadrcula7312">
    <w:name w:val="Tabla con cuadrícula73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312">
    <w:name w:val="Cuadrícula de tabla clara11312"/>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313">
    <w:name w:val="Sin lista111313"/>
    <w:next w:val="Sinlista"/>
    <w:uiPriority w:val="99"/>
    <w:semiHidden/>
    <w:unhideWhenUsed/>
    <w:rsid w:val="007968EC"/>
  </w:style>
  <w:style w:type="table" w:customStyle="1" w:styleId="Tablaconcuadrcula12312">
    <w:name w:val="Tabla con cuadrícula123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312">
    <w:name w:val="Tabla Fichero Parametrización1312"/>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1212">
    <w:name w:val="Tabla con cuadrícula1111212"/>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312">
    <w:name w:val="Lista clara2131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312">
    <w:name w:val="Lista clara1131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2312">
    <w:name w:val="Tabla con cuadrícula223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13">
    <w:name w:val="Sin lista2313"/>
    <w:next w:val="Sinlista"/>
    <w:uiPriority w:val="99"/>
    <w:semiHidden/>
    <w:unhideWhenUsed/>
    <w:rsid w:val="007968EC"/>
  </w:style>
  <w:style w:type="table" w:customStyle="1" w:styleId="Tablaconcuadrcula31312">
    <w:name w:val="Tabla con cuadrícula313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312">
    <w:name w:val="Cuadrícula de tabla clara12312"/>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313">
    <w:name w:val="Sin lista1111313"/>
    <w:next w:val="Sinlista"/>
    <w:uiPriority w:val="99"/>
    <w:semiHidden/>
    <w:unhideWhenUsed/>
    <w:rsid w:val="007968EC"/>
  </w:style>
  <w:style w:type="table" w:customStyle="1" w:styleId="Tablaconcuadrcula211312">
    <w:name w:val="Tabla con cuadrícula2113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12">
    <w:name w:val="Tabla con cuadrícula413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2">
    <w:name w:val="Tabla con cuadrícula513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12">
    <w:name w:val="Tabla con cuadrícula613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312">
    <w:name w:val="Cuadrícula de tabla clara2312"/>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312">
    <w:name w:val="Cuadrícula de tabla clara3312"/>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4312">
    <w:name w:val="Cuadrícula de tabla clara4312"/>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8312">
    <w:name w:val="Tabla con cuadrícula8312"/>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3">
    <w:name w:val="Sin lista3313"/>
    <w:next w:val="Sinlista"/>
    <w:uiPriority w:val="99"/>
    <w:semiHidden/>
    <w:unhideWhenUsed/>
    <w:rsid w:val="007968EC"/>
  </w:style>
  <w:style w:type="table" w:customStyle="1" w:styleId="Tablaconcuadrcula9212">
    <w:name w:val="Tabla con cuadrícula92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2212">
    <w:name w:val="Tabla Fichero Parametrización2212"/>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3212">
    <w:name w:val="Tabla con cuadrícula13212"/>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2212">
    <w:name w:val="Lista clara2221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2212">
    <w:name w:val="Lista clara1221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detablaclara13312">
    <w:name w:val="Cuadrícula de tabla clara13312"/>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23212">
    <w:name w:val="Tabla con cuadrícula232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12">
    <w:name w:val="Tabla con cuadrícula322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12">
    <w:name w:val="Tabla con cuadrícula422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12">
    <w:name w:val="Tabla con cuadrícula2122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12">
    <w:name w:val="Tabla con cuadrícula522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12">
    <w:name w:val="Tabla con cuadrícula622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2">
    <w:name w:val="Tabla con cuadrícula1122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3">
    <w:name w:val="Sin lista12313"/>
    <w:next w:val="Sinlista"/>
    <w:uiPriority w:val="99"/>
    <w:semiHidden/>
    <w:unhideWhenUsed/>
    <w:rsid w:val="007968EC"/>
  </w:style>
  <w:style w:type="table" w:customStyle="1" w:styleId="Tablaconcuadrcula71212">
    <w:name w:val="Tabla con cuadrícula712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1212">
    <w:name w:val="Cuadrícula de tabla clara111212"/>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2313">
    <w:name w:val="Sin lista112313"/>
    <w:next w:val="Sinlista"/>
    <w:uiPriority w:val="99"/>
    <w:semiHidden/>
    <w:unhideWhenUsed/>
    <w:rsid w:val="007968EC"/>
  </w:style>
  <w:style w:type="table" w:customStyle="1" w:styleId="Tablaconcuadrcula121212">
    <w:name w:val="Tabla con cuadrícula1212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1212">
    <w:name w:val="Tabla Fichero Parametrización11212"/>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Listaclara211212">
    <w:name w:val="Lista clara21121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212">
    <w:name w:val="Lista clara11121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21212">
    <w:name w:val="Tabla con cuadrícula2212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13">
    <w:name w:val="Sin lista21313"/>
    <w:next w:val="Sinlista"/>
    <w:uiPriority w:val="99"/>
    <w:semiHidden/>
    <w:unhideWhenUsed/>
    <w:rsid w:val="007968EC"/>
  </w:style>
  <w:style w:type="table" w:customStyle="1" w:styleId="Tablaconcuadrcula311312">
    <w:name w:val="Tabla con cuadrícula3113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1212">
    <w:name w:val="Cuadrícula de tabla clara121212"/>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1213">
    <w:name w:val="Sin lista11111213"/>
    <w:next w:val="Sinlista"/>
    <w:uiPriority w:val="99"/>
    <w:semiHidden/>
    <w:unhideWhenUsed/>
    <w:rsid w:val="007968EC"/>
  </w:style>
  <w:style w:type="table" w:customStyle="1" w:styleId="Tablaconcuadrcula2111212">
    <w:name w:val="Tabla con cuadrícula21112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212">
    <w:name w:val="Tabla con cuadrícula4112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212">
    <w:name w:val="Tabla con cuadrícula5112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12">
    <w:name w:val="Tabla con cuadrícula6112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1212">
    <w:name w:val="Cuadrícula de tabla clara21212"/>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1312">
    <w:name w:val="Cuadrícula de tabla clara31312"/>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81312">
    <w:name w:val="Tabla con cuadrícula81312"/>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3">
    <w:name w:val="Sin lista31213"/>
    <w:next w:val="Sinlista"/>
    <w:uiPriority w:val="99"/>
    <w:semiHidden/>
    <w:unhideWhenUsed/>
    <w:rsid w:val="007968EC"/>
  </w:style>
  <w:style w:type="table" w:customStyle="1" w:styleId="Cuadrculadetablaclara131212">
    <w:name w:val="Cuadrícula de tabla clara131212"/>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21213">
    <w:name w:val="Sin lista121213"/>
    <w:next w:val="Sinlista"/>
    <w:uiPriority w:val="99"/>
    <w:semiHidden/>
    <w:unhideWhenUsed/>
    <w:rsid w:val="007968EC"/>
  </w:style>
  <w:style w:type="numbering" w:customStyle="1" w:styleId="Sinlista1121213">
    <w:name w:val="Sin lista1121213"/>
    <w:next w:val="Sinlista"/>
    <w:uiPriority w:val="99"/>
    <w:semiHidden/>
    <w:unhideWhenUsed/>
    <w:rsid w:val="007968EC"/>
  </w:style>
  <w:style w:type="numbering" w:customStyle="1" w:styleId="Sinlista211213">
    <w:name w:val="Sin lista211213"/>
    <w:next w:val="Sinlista"/>
    <w:uiPriority w:val="99"/>
    <w:semiHidden/>
    <w:unhideWhenUsed/>
    <w:rsid w:val="007968EC"/>
  </w:style>
  <w:style w:type="numbering" w:customStyle="1" w:styleId="Sinlista111111213">
    <w:name w:val="Sin lista111111213"/>
    <w:next w:val="Sinlista"/>
    <w:uiPriority w:val="99"/>
    <w:semiHidden/>
    <w:unhideWhenUsed/>
    <w:rsid w:val="007968EC"/>
  </w:style>
  <w:style w:type="table" w:customStyle="1" w:styleId="Cuadrculadetablaclara311212">
    <w:name w:val="Cuadrícula de tabla clara311212"/>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41212">
    <w:name w:val="Cuadrícula de tabla clara41212"/>
    <w:basedOn w:val="Tablanormal"/>
    <w:next w:val="Cuadrculadetablaclara4"/>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111212">
    <w:name w:val="Tabla con cuadrícula31112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3">
    <w:name w:val="Sin lista4213"/>
    <w:next w:val="Sinlista"/>
    <w:uiPriority w:val="99"/>
    <w:semiHidden/>
    <w:unhideWhenUsed/>
    <w:rsid w:val="007968EC"/>
  </w:style>
  <w:style w:type="table" w:customStyle="1" w:styleId="Tablaconcuadrcula10212">
    <w:name w:val="Tabla con cuadrícula10212"/>
    <w:basedOn w:val="Tablanormal"/>
    <w:next w:val="Tablaconcuadrcula"/>
    <w:rsid w:val="00796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5212">
    <w:name w:val="Cuadrícula de tabla clara5212"/>
    <w:basedOn w:val="Tablanormal"/>
    <w:next w:val="Cuadrculadetablaclara4"/>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3213">
    <w:name w:val="Sin lista13213"/>
    <w:next w:val="Sinlista"/>
    <w:uiPriority w:val="99"/>
    <w:semiHidden/>
    <w:unhideWhenUsed/>
    <w:rsid w:val="007968EC"/>
  </w:style>
  <w:style w:type="table" w:customStyle="1" w:styleId="Tablaconcuadrcula14212">
    <w:name w:val="Tabla con cuadrícula14212"/>
    <w:basedOn w:val="Tablanormal"/>
    <w:next w:val="Tablaconcuadrcula"/>
    <w:uiPriority w:val="5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3112">
    <w:name w:val="Tabla Fichero Parametrización3112"/>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3212">
    <w:name w:val="Tabla con cuadrícula113212"/>
    <w:basedOn w:val="Tablanormal"/>
    <w:next w:val="Tablaconcuadrcula"/>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3112">
    <w:name w:val="Lista clara2311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3112">
    <w:name w:val="Lista clara1311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212">
    <w:name w:val="Tabla con cuadrícula242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13">
    <w:name w:val="Sin lista22213"/>
    <w:next w:val="Sinlista"/>
    <w:uiPriority w:val="99"/>
    <w:semiHidden/>
    <w:unhideWhenUsed/>
    <w:rsid w:val="007968EC"/>
  </w:style>
  <w:style w:type="table" w:customStyle="1" w:styleId="Tablaconcuadrcula33212">
    <w:name w:val="Tabla con cuadrícula33212"/>
    <w:basedOn w:val="Tablanormal"/>
    <w:next w:val="Tablaconcuadrcula"/>
    <w:rsid w:val="00796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4112">
    <w:name w:val="Cuadrícula de tabla clara14112"/>
    <w:basedOn w:val="Tablanormal"/>
    <w:next w:val="Cuadrculadetablaclara4"/>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3213">
    <w:name w:val="Sin lista113213"/>
    <w:next w:val="Sinlista"/>
    <w:uiPriority w:val="99"/>
    <w:semiHidden/>
    <w:unhideWhenUsed/>
    <w:rsid w:val="007968EC"/>
  </w:style>
  <w:style w:type="table" w:customStyle="1" w:styleId="Tablaconcuadrcula122112">
    <w:name w:val="Tabla con cuadrícula1221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2112">
    <w:name w:val="Tabla Fichero Parametrización12112"/>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2112">
    <w:name w:val="Tabla con cuadrícula1112112"/>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2112">
    <w:name w:val="Lista clara21211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2112">
    <w:name w:val="Lista clara11211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13112">
    <w:name w:val="Tabla con cuadrícula2131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12">
    <w:name w:val="Tabla con cuadrícula43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12">
    <w:name w:val="Tabla con cuadrícula53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12">
    <w:name w:val="Tabla con cuadrícula63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12">
    <w:name w:val="Tabla con cuadrícula72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2112">
    <w:name w:val="Cuadrícula de tabla clara112112"/>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222112">
    <w:name w:val="Tabla con cuadrícula2221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112">
    <w:name w:val="Tabla con cuadrícula312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2112">
    <w:name w:val="Cuadrícula de tabla clara122112"/>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2213">
    <w:name w:val="Sin lista1112213"/>
    <w:next w:val="Sinlista"/>
    <w:uiPriority w:val="99"/>
    <w:semiHidden/>
    <w:unhideWhenUsed/>
    <w:rsid w:val="007968EC"/>
  </w:style>
  <w:style w:type="table" w:customStyle="1" w:styleId="Tablaconcuadrcula2112112">
    <w:name w:val="Tabla con cuadrícula21121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12">
    <w:name w:val="Tabla con cuadrícula412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112">
    <w:name w:val="Tabla con cuadrícula512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12">
    <w:name w:val="Tabla con cuadrícula612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2112">
    <w:name w:val="Cuadrícula de tabla clara22112"/>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2112">
    <w:name w:val="Cuadrícula de tabla clara32112"/>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82112">
    <w:name w:val="Tabla con cuadrícula82112"/>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13">
    <w:name w:val="Sin lista32213"/>
    <w:next w:val="Sinlista"/>
    <w:uiPriority w:val="99"/>
    <w:semiHidden/>
    <w:unhideWhenUsed/>
    <w:rsid w:val="007968EC"/>
  </w:style>
  <w:style w:type="table" w:customStyle="1" w:styleId="Tablaconcuadrcula91112">
    <w:name w:val="Tabla con cuadrícula911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21112">
    <w:name w:val="Tabla Fichero Parametrización21112"/>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31112">
    <w:name w:val="Tabla con cuadrícula131112"/>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21112">
    <w:name w:val="Lista clara22111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21112">
    <w:name w:val="Lista clara12111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detablaclara132112">
    <w:name w:val="Cuadrícula de tabla clara132112"/>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231112">
    <w:name w:val="Tabla con cuadrícula231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12">
    <w:name w:val="Tabla con cuadrícula321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112">
    <w:name w:val="Tabla con cuadrícula421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12">
    <w:name w:val="Tabla con cuadrícula21211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112">
    <w:name w:val="Tabla con cuadrícula521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12">
    <w:name w:val="Tabla con cuadrícula621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12">
    <w:name w:val="Tabla con cuadrícula11211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213">
    <w:name w:val="Sin lista122213"/>
    <w:next w:val="Sinlista"/>
    <w:uiPriority w:val="99"/>
    <w:semiHidden/>
    <w:unhideWhenUsed/>
    <w:rsid w:val="007968EC"/>
  </w:style>
  <w:style w:type="table" w:customStyle="1" w:styleId="Tablaconcuadrcula711112">
    <w:name w:val="Tabla con cuadrícula711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11112">
    <w:name w:val="Cuadrícula de tabla clara1111112"/>
    <w:basedOn w:val="Tablanormal"/>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22213">
    <w:name w:val="Sin lista1122213"/>
    <w:next w:val="Sinlista"/>
    <w:uiPriority w:val="99"/>
    <w:semiHidden/>
    <w:unhideWhenUsed/>
    <w:rsid w:val="007968EC"/>
  </w:style>
  <w:style w:type="table" w:customStyle="1" w:styleId="Tablaconcuadrcula1211112">
    <w:name w:val="Tabla con cuadrícula12111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FicheroParametrizacin111112">
    <w:name w:val="Tabla Fichero Parametrización111112"/>
    <w:basedOn w:val="Tablanormal"/>
    <w:rsid w:val="007968EC"/>
    <w:pPr>
      <w:spacing w:before="60" w:after="60" w:line="240" w:lineRule="auto"/>
    </w:pPr>
    <w:rPr>
      <w:rFonts w:ascii="Courier" w:eastAsia="Times New Roman" w:hAnsi="Courier" w:cs="Times New Roman"/>
      <w:sz w:val="20"/>
      <w:szCs w:val="20"/>
      <w:lang w:val="es-ES" w:eastAsia="es-E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i/>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D9D9D9"/>
      </w:tcPr>
    </w:tblStylePr>
  </w:style>
  <w:style w:type="table" w:customStyle="1" w:styleId="Tablaconcuadrcula11111112">
    <w:name w:val="Tabla con cuadrícula11111112"/>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2111112">
    <w:name w:val="Lista clara211111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112">
    <w:name w:val="Lista clara1111112"/>
    <w:basedOn w:val="Tablanormal"/>
    <w:uiPriority w:val="61"/>
    <w:rsid w:val="007968EC"/>
    <w:pPr>
      <w:spacing w:after="0" w:line="240" w:lineRule="auto"/>
    </w:pPr>
    <w:rPr>
      <w:rFonts w:ascii="Calibri" w:eastAsia="Calibri"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211112">
    <w:name w:val="Tabla con cuadrícula22111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213">
    <w:name w:val="Sin lista212213"/>
    <w:next w:val="Sinlista"/>
    <w:uiPriority w:val="99"/>
    <w:semiHidden/>
    <w:unhideWhenUsed/>
    <w:rsid w:val="007968EC"/>
  </w:style>
  <w:style w:type="table" w:customStyle="1" w:styleId="Tablaconcuadrcula3112112">
    <w:name w:val="Tabla con cuadrícula3112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11112">
    <w:name w:val="Cuadrícula de tabla clara1211112"/>
    <w:basedOn w:val="Tablanormal"/>
    <w:next w:val="Cuadrculadetablaclara1"/>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1112213">
    <w:name w:val="Sin lista11112213"/>
    <w:next w:val="Sinlista"/>
    <w:uiPriority w:val="99"/>
    <w:semiHidden/>
    <w:unhideWhenUsed/>
    <w:rsid w:val="007968EC"/>
  </w:style>
  <w:style w:type="table" w:customStyle="1" w:styleId="Tablaconcuadrcula21111112">
    <w:name w:val="Tabla con cuadrícula211111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112">
    <w:name w:val="Tabla con cuadrícula4111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112">
    <w:name w:val="Tabla con cuadrícula5111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112">
    <w:name w:val="Tabla con cuadrícula6111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11112">
    <w:name w:val="Cuadrícula de tabla clara211112"/>
    <w:basedOn w:val="Tablanormal"/>
    <w:next w:val="Cuadrculadetablaclara3"/>
    <w:uiPriority w:val="40"/>
    <w:rsid w:val="007968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12112">
    <w:name w:val="Cuadrícula de tabla clara312112"/>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42112">
    <w:name w:val="Cuadrícula de tabla clara42112"/>
    <w:basedOn w:val="Tablanormal"/>
    <w:next w:val="Cuadrculadetablaclara4"/>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812112">
    <w:name w:val="Tabla con cuadrícula812112"/>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3">
    <w:name w:val="Sin lista311213"/>
    <w:next w:val="Sinlista"/>
    <w:uiPriority w:val="99"/>
    <w:semiHidden/>
    <w:unhideWhenUsed/>
    <w:rsid w:val="007968EC"/>
  </w:style>
  <w:style w:type="table" w:customStyle="1" w:styleId="Cuadrculadetablaclara1311112">
    <w:name w:val="Cuadrícula de tabla clara1311112"/>
    <w:basedOn w:val="Tablanormal"/>
    <w:uiPriority w:val="40"/>
    <w:rsid w:val="007968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211213">
    <w:name w:val="Sin lista1211213"/>
    <w:next w:val="Sinlista"/>
    <w:uiPriority w:val="99"/>
    <w:semiHidden/>
    <w:unhideWhenUsed/>
    <w:rsid w:val="007968EC"/>
  </w:style>
  <w:style w:type="numbering" w:customStyle="1" w:styleId="Sinlista11211213">
    <w:name w:val="Sin lista11211213"/>
    <w:next w:val="Sinlista"/>
    <w:uiPriority w:val="99"/>
    <w:semiHidden/>
    <w:unhideWhenUsed/>
    <w:rsid w:val="007968EC"/>
  </w:style>
  <w:style w:type="numbering" w:customStyle="1" w:styleId="Sinlista2111213">
    <w:name w:val="Sin lista2111213"/>
    <w:next w:val="Sinlista"/>
    <w:uiPriority w:val="99"/>
    <w:semiHidden/>
    <w:unhideWhenUsed/>
    <w:rsid w:val="007968EC"/>
  </w:style>
  <w:style w:type="numbering" w:customStyle="1" w:styleId="Sinlista1111111213">
    <w:name w:val="Sin lista1111111213"/>
    <w:next w:val="Sinlista"/>
    <w:uiPriority w:val="99"/>
    <w:semiHidden/>
    <w:unhideWhenUsed/>
    <w:rsid w:val="007968EC"/>
  </w:style>
  <w:style w:type="table" w:customStyle="1" w:styleId="Cuadrculadetablaclara3111112">
    <w:name w:val="Cuadrícula de tabla clara3111112"/>
    <w:basedOn w:val="Tablanormal"/>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411112">
    <w:name w:val="Cuadrícula de tabla clara411112"/>
    <w:basedOn w:val="Tablanormal"/>
    <w:next w:val="Cuadrculadetablaclara4"/>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1111112">
    <w:name w:val="Tabla con cuadrícula31111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112">
    <w:name w:val="Tabla con cuadrícula8111112"/>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3">
    <w:name w:val="Sin lista41113"/>
    <w:next w:val="Sinlista"/>
    <w:uiPriority w:val="99"/>
    <w:semiHidden/>
    <w:unhideWhenUsed/>
    <w:rsid w:val="007968EC"/>
  </w:style>
  <w:style w:type="table" w:customStyle="1" w:styleId="Tablaconcuadrcula101112">
    <w:name w:val="Tabla con cuadrícula1011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2">
    <w:name w:val="Tabla con cuadrícula141112"/>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1112">
    <w:name w:val="Tabla con cuadrícula241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12">
    <w:name w:val="Tabla con cuadrícula331112"/>
    <w:basedOn w:val="Tablanormal"/>
    <w:next w:val="Tablaconcuadrcula"/>
    <w:rsid w:val="00796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12">
    <w:name w:val="Tabla con cuadrícula1131112"/>
    <w:basedOn w:val="Tablanormal"/>
    <w:next w:val="Tablaconcuadrcula"/>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3">
    <w:name w:val="Sin lista131113"/>
    <w:next w:val="Sinlista"/>
    <w:uiPriority w:val="99"/>
    <w:semiHidden/>
    <w:unhideWhenUsed/>
    <w:rsid w:val="007968EC"/>
  </w:style>
  <w:style w:type="numbering" w:customStyle="1" w:styleId="Sinlista1131113">
    <w:name w:val="Sin lista1131113"/>
    <w:next w:val="Sinlista"/>
    <w:uiPriority w:val="99"/>
    <w:semiHidden/>
    <w:unhideWhenUsed/>
    <w:rsid w:val="007968EC"/>
  </w:style>
  <w:style w:type="numbering" w:customStyle="1" w:styleId="Sinlista221113">
    <w:name w:val="Sin lista221113"/>
    <w:next w:val="Sinlista"/>
    <w:uiPriority w:val="99"/>
    <w:semiHidden/>
    <w:unhideWhenUsed/>
    <w:rsid w:val="007968EC"/>
  </w:style>
  <w:style w:type="numbering" w:customStyle="1" w:styleId="Sinlista11121113">
    <w:name w:val="Sin lista11121113"/>
    <w:next w:val="Sinlista"/>
    <w:uiPriority w:val="99"/>
    <w:semiHidden/>
    <w:unhideWhenUsed/>
    <w:rsid w:val="007968EC"/>
  </w:style>
  <w:style w:type="table" w:customStyle="1" w:styleId="Cuadrculadetablaclara51112">
    <w:name w:val="Cuadrícula de tabla clara51112"/>
    <w:basedOn w:val="Tablanormal"/>
    <w:next w:val="Cuadrculadetablaclara4"/>
    <w:uiPriority w:val="40"/>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321113">
    <w:name w:val="Sin lista321113"/>
    <w:next w:val="Sinlista"/>
    <w:uiPriority w:val="99"/>
    <w:semiHidden/>
    <w:unhideWhenUsed/>
    <w:rsid w:val="007968EC"/>
  </w:style>
  <w:style w:type="numbering" w:customStyle="1" w:styleId="Sinlista1221113">
    <w:name w:val="Sin lista1221113"/>
    <w:next w:val="Sinlista"/>
    <w:uiPriority w:val="99"/>
    <w:semiHidden/>
    <w:unhideWhenUsed/>
    <w:rsid w:val="007968EC"/>
  </w:style>
  <w:style w:type="numbering" w:customStyle="1" w:styleId="Sinlista11221113">
    <w:name w:val="Sin lista11221113"/>
    <w:next w:val="Sinlista"/>
    <w:uiPriority w:val="99"/>
    <w:semiHidden/>
    <w:unhideWhenUsed/>
    <w:rsid w:val="007968EC"/>
  </w:style>
  <w:style w:type="numbering" w:customStyle="1" w:styleId="Sinlista2121113">
    <w:name w:val="Sin lista2121113"/>
    <w:next w:val="Sinlista"/>
    <w:uiPriority w:val="99"/>
    <w:semiHidden/>
    <w:unhideWhenUsed/>
    <w:rsid w:val="007968EC"/>
  </w:style>
  <w:style w:type="numbering" w:customStyle="1" w:styleId="Sinlista111121113">
    <w:name w:val="Sin lista111121113"/>
    <w:next w:val="Sinlista"/>
    <w:uiPriority w:val="99"/>
    <w:semiHidden/>
    <w:unhideWhenUsed/>
    <w:rsid w:val="007968EC"/>
  </w:style>
  <w:style w:type="numbering" w:customStyle="1" w:styleId="Sinlista3111113">
    <w:name w:val="Sin lista3111113"/>
    <w:next w:val="Sinlista"/>
    <w:uiPriority w:val="99"/>
    <w:semiHidden/>
    <w:unhideWhenUsed/>
    <w:rsid w:val="007968EC"/>
  </w:style>
  <w:style w:type="numbering" w:customStyle="1" w:styleId="Sinlista12111113">
    <w:name w:val="Sin lista12111113"/>
    <w:next w:val="Sinlista"/>
    <w:uiPriority w:val="99"/>
    <w:semiHidden/>
    <w:unhideWhenUsed/>
    <w:rsid w:val="007968EC"/>
  </w:style>
  <w:style w:type="numbering" w:customStyle="1" w:styleId="Sinlista112111113">
    <w:name w:val="Sin lista112111113"/>
    <w:next w:val="Sinlista"/>
    <w:uiPriority w:val="99"/>
    <w:semiHidden/>
    <w:unhideWhenUsed/>
    <w:rsid w:val="007968EC"/>
  </w:style>
  <w:style w:type="numbering" w:customStyle="1" w:styleId="Sinlista21111113">
    <w:name w:val="Sin lista21111113"/>
    <w:next w:val="Sinlista"/>
    <w:uiPriority w:val="99"/>
    <w:semiHidden/>
    <w:unhideWhenUsed/>
    <w:rsid w:val="007968EC"/>
  </w:style>
  <w:style w:type="numbering" w:customStyle="1" w:styleId="Sinlista1111111111114">
    <w:name w:val="Sin lista1111111111114"/>
    <w:next w:val="Sinlista"/>
    <w:uiPriority w:val="99"/>
    <w:semiHidden/>
    <w:unhideWhenUsed/>
    <w:rsid w:val="007968EC"/>
  </w:style>
  <w:style w:type="table" w:customStyle="1" w:styleId="Tablaconcuadrcula1113112">
    <w:name w:val="Tabla con cuadrícula1113112"/>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221">
    <w:name w:val="Tabla con cuadrícula113221"/>
    <w:basedOn w:val="Tablanormal"/>
    <w:next w:val="Tablaconcuadrcula"/>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4">
    <w:name w:val="Tabla con cuadrícula164"/>
    <w:basedOn w:val="Tablanormal"/>
    <w:next w:val="Tablaconcuadrcula"/>
    <w:uiPriority w:val="39"/>
    <w:rsid w:val="007968E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4">
    <w:name w:val="Tabla con cuadrícula111124"/>
    <w:basedOn w:val="Tablanormal"/>
    <w:next w:val="Tablaconcuadrcula"/>
    <w:uiPriority w:val="59"/>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9">
    <w:name w:val="Sin lista19"/>
    <w:next w:val="Sinlista"/>
    <w:uiPriority w:val="99"/>
    <w:semiHidden/>
    <w:unhideWhenUsed/>
    <w:rsid w:val="007968EC"/>
  </w:style>
  <w:style w:type="numbering" w:customStyle="1" w:styleId="Sinlista110">
    <w:name w:val="Sin lista110"/>
    <w:next w:val="Sinlista"/>
    <w:uiPriority w:val="99"/>
    <w:semiHidden/>
    <w:unhideWhenUsed/>
    <w:rsid w:val="007968EC"/>
  </w:style>
  <w:style w:type="numbering" w:customStyle="1" w:styleId="Sinlista119">
    <w:name w:val="Sin lista119"/>
    <w:next w:val="Sinlista"/>
    <w:uiPriority w:val="99"/>
    <w:semiHidden/>
    <w:unhideWhenUsed/>
    <w:rsid w:val="007968EC"/>
  </w:style>
  <w:style w:type="numbering" w:customStyle="1" w:styleId="Sinlista1118">
    <w:name w:val="Sin lista1118"/>
    <w:next w:val="Sinlista"/>
    <w:uiPriority w:val="99"/>
    <w:semiHidden/>
    <w:unhideWhenUsed/>
    <w:rsid w:val="007968EC"/>
  </w:style>
  <w:style w:type="numbering" w:customStyle="1" w:styleId="Sinlista11118">
    <w:name w:val="Sin lista11118"/>
    <w:next w:val="Sinlista"/>
    <w:uiPriority w:val="99"/>
    <w:semiHidden/>
    <w:unhideWhenUsed/>
    <w:rsid w:val="007968EC"/>
  </w:style>
  <w:style w:type="numbering" w:customStyle="1" w:styleId="Sinlista28">
    <w:name w:val="Sin lista28"/>
    <w:next w:val="Sinlista"/>
    <w:uiPriority w:val="99"/>
    <w:semiHidden/>
    <w:unhideWhenUsed/>
    <w:rsid w:val="007968EC"/>
  </w:style>
  <w:style w:type="numbering" w:customStyle="1" w:styleId="Sinlista111117">
    <w:name w:val="Sin lista111117"/>
    <w:next w:val="Sinlista"/>
    <w:uiPriority w:val="99"/>
    <w:semiHidden/>
    <w:unhideWhenUsed/>
    <w:rsid w:val="007968EC"/>
  </w:style>
  <w:style w:type="numbering" w:customStyle="1" w:styleId="Sinlista38">
    <w:name w:val="Sin lista38"/>
    <w:next w:val="Sinlista"/>
    <w:uiPriority w:val="99"/>
    <w:semiHidden/>
    <w:unhideWhenUsed/>
    <w:rsid w:val="007968EC"/>
  </w:style>
  <w:style w:type="numbering" w:customStyle="1" w:styleId="Sinlista128">
    <w:name w:val="Sin lista128"/>
    <w:next w:val="Sinlista"/>
    <w:uiPriority w:val="99"/>
    <w:semiHidden/>
    <w:unhideWhenUsed/>
    <w:rsid w:val="007968EC"/>
  </w:style>
  <w:style w:type="numbering" w:customStyle="1" w:styleId="Sinlista1128">
    <w:name w:val="Sin lista1128"/>
    <w:next w:val="Sinlista"/>
    <w:uiPriority w:val="99"/>
    <w:semiHidden/>
    <w:unhideWhenUsed/>
    <w:rsid w:val="007968EC"/>
  </w:style>
  <w:style w:type="numbering" w:customStyle="1" w:styleId="Sinlista218">
    <w:name w:val="Sin lista218"/>
    <w:next w:val="Sinlista"/>
    <w:uiPriority w:val="99"/>
    <w:semiHidden/>
    <w:unhideWhenUsed/>
    <w:rsid w:val="007968EC"/>
  </w:style>
  <w:style w:type="numbering" w:customStyle="1" w:styleId="Sinlista1111117">
    <w:name w:val="Sin lista1111117"/>
    <w:next w:val="Sinlista"/>
    <w:uiPriority w:val="99"/>
    <w:semiHidden/>
    <w:unhideWhenUsed/>
    <w:rsid w:val="007968EC"/>
  </w:style>
  <w:style w:type="numbering" w:customStyle="1" w:styleId="Sinlista317">
    <w:name w:val="Sin lista317"/>
    <w:next w:val="Sinlista"/>
    <w:uiPriority w:val="99"/>
    <w:semiHidden/>
    <w:unhideWhenUsed/>
    <w:rsid w:val="007968EC"/>
  </w:style>
  <w:style w:type="numbering" w:customStyle="1" w:styleId="Sinlista1217">
    <w:name w:val="Sin lista1217"/>
    <w:next w:val="Sinlista"/>
    <w:uiPriority w:val="99"/>
    <w:semiHidden/>
    <w:unhideWhenUsed/>
    <w:rsid w:val="007968EC"/>
  </w:style>
  <w:style w:type="numbering" w:customStyle="1" w:styleId="Sinlista11217">
    <w:name w:val="Sin lista11217"/>
    <w:next w:val="Sinlista"/>
    <w:uiPriority w:val="99"/>
    <w:semiHidden/>
    <w:unhideWhenUsed/>
    <w:rsid w:val="007968EC"/>
  </w:style>
  <w:style w:type="numbering" w:customStyle="1" w:styleId="Sinlista2117">
    <w:name w:val="Sin lista2117"/>
    <w:next w:val="Sinlista"/>
    <w:uiPriority w:val="99"/>
    <w:semiHidden/>
    <w:unhideWhenUsed/>
    <w:rsid w:val="007968EC"/>
  </w:style>
  <w:style w:type="numbering" w:customStyle="1" w:styleId="Sinlista11111117">
    <w:name w:val="Sin lista11111117"/>
    <w:next w:val="Sinlista"/>
    <w:uiPriority w:val="99"/>
    <w:semiHidden/>
    <w:unhideWhenUsed/>
    <w:rsid w:val="007968EC"/>
  </w:style>
  <w:style w:type="numbering" w:customStyle="1" w:styleId="Sinlista47">
    <w:name w:val="Sin lista47"/>
    <w:next w:val="Sinlista"/>
    <w:uiPriority w:val="99"/>
    <w:semiHidden/>
    <w:unhideWhenUsed/>
    <w:rsid w:val="007968EC"/>
  </w:style>
  <w:style w:type="numbering" w:customStyle="1" w:styleId="Sinlista137">
    <w:name w:val="Sin lista137"/>
    <w:next w:val="Sinlista"/>
    <w:uiPriority w:val="99"/>
    <w:semiHidden/>
    <w:unhideWhenUsed/>
    <w:rsid w:val="007968EC"/>
  </w:style>
  <w:style w:type="numbering" w:customStyle="1" w:styleId="Sinlista227">
    <w:name w:val="Sin lista227"/>
    <w:next w:val="Sinlista"/>
    <w:uiPriority w:val="99"/>
    <w:semiHidden/>
    <w:unhideWhenUsed/>
    <w:rsid w:val="007968EC"/>
  </w:style>
  <w:style w:type="numbering" w:customStyle="1" w:styleId="Sinlista1137">
    <w:name w:val="Sin lista1137"/>
    <w:next w:val="Sinlista"/>
    <w:uiPriority w:val="99"/>
    <w:semiHidden/>
    <w:unhideWhenUsed/>
    <w:rsid w:val="007968EC"/>
  </w:style>
  <w:style w:type="numbering" w:customStyle="1" w:styleId="Sinlista11127">
    <w:name w:val="Sin lista11127"/>
    <w:next w:val="Sinlista"/>
    <w:uiPriority w:val="99"/>
    <w:semiHidden/>
    <w:unhideWhenUsed/>
    <w:rsid w:val="007968EC"/>
  </w:style>
  <w:style w:type="numbering" w:customStyle="1" w:styleId="Sinlista327">
    <w:name w:val="Sin lista327"/>
    <w:next w:val="Sinlista"/>
    <w:uiPriority w:val="99"/>
    <w:semiHidden/>
    <w:unhideWhenUsed/>
    <w:rsid w:val="007968EC"/>
  </w:style>
  <w:style w:type="numbering" w:customStyle="1" w:styleId="Sinlista1227">
    <w:name w:val="Sin lista1227"/>
    <w:next w:val="Sinlista"/>
    <w:uiPriority w:val="99"/>
    <w:semiHidden/>
    <w:unhideWhenUsed/>
    <w:rsid w:val="007968EC"/>
  </w:style>
  <w:style w:type="numbering" w:customStyle="1" w:styleId="Sinlista11227">
    <w:name w:val="Sin lista11227"/>
    <w:next w:val="Sinlista"/>
    <w:uiPriority w:val="99"/>
    <w:semiHidden/>
    <w:unhideWhenUsed/>
    <w:rsid w:val="007968EC"/>
  </w:style>
  <w:style w:type="numbering" w:customStyle="1" w:styleId="Sinlista2127">
    <w:name w:val="Sin lista2127"/>
    <w:next w:val="Sinlista"/>
    <w:uiPriority w:val="99"/>
    <w:semiHidden/>
    <w:unhideWhenUsed/>
    <w:rsid w:val="007968EC"/>
  </w:style>
  <w:style w:type="numbering" w:customStyle="1" w:styleId="Sinlista111127">
    <w:name w:val="Sin lista111127"/>
    <w:next w:val="Sinlista"/>
    <w:uiPriority w:val="99"/>
    <w:semiHidden/>
    <w:unhideWhenUsed/>
    <w:rsid w:val="007968EC"/>
  </w:style>
  <w:style w:type="numbering" w:customStyle="1" w:styleId="Sinlista3117">
    <w:name w:val="Sin lista3117"/>
    <w:next w:val="Sinlista"/>
    <w:uiPriority w:val="99"/>
    <w:semiHidden/>
    <w:unhideWhenUsed/>
    <w:rsid w:val="007968EC"/>
  </w:style>
  <w:style w:type="numbering" w:customStyle="1" w:styleId="Sinlista12117">
    <w:name w:val="Sin lista12117"/>
    <w:next w:val="Sinlista"/>
    <w:uiPriority w:val="99"/>
    <w:semiHidden/>
    <w:unhideWhenUsed/>
    <w:rsid w:val="007968EC"/>
  </w:style>
  <w:style w:type="numbering" w:customStyle="1" w:styleId="Sinlista112117">
    <w:name w:val="Sin lista112117"/>
    <w:next w:val="Sinlista"/>
    <w:uiPriority w:val="99"/>
    <w:semiHidden/>
    <w:unhideWhenUsed/>
    <w:rsid w:val="007968EC"/>
  </w:style>
  <w:style w:type="numbering" w:customStyle="1" w:styleId="Sinlista21117">
    <w:name w:val="Sin lista21117"/>
    <w:next w:val="Sinlista"/>
    <w:uiPriority w:val="99"/>
    <w:semiHidden/>
    <w:unhideWhenUsed/>
    <w:rsid w:val="007968EC"/>
  </w:style>
  <w:style w:type="numbering" w:customStyle="1" w:styleId="Sinlista111111116">
    <w:name w:val="Sin lista111111116"/>
    <w:next w:val="Sinlista"/>
    <w:uiPriority w:val="99"/>
    <w:semiHidden/>
    <w:unhideWhenUsed/>
    <w:rsid w:val="007968EC"/>
  </w:style>
  <w:style w:type="numbering" w:customStyle="1" w:styleId="Sinlista416">
    <w:name w:val="Sin lista416"/>
    <w:next w:val="Sinlista"/>
    <w:uiPriority w:val="99"/>
    <w:semiHidden/>
    <w:unhideWhenUsed/>
    <w:rsid w:val="007968EC"/>
  </w:style>
  <w:style w:type="numbering" w:customStyle="1" w:styleId="Sinlista1316">
    <w:name w:val="Sin lista1316"/>
    <w:next w:val="Sinlista"/>
    <w:uiPriority w:val="99"/>
    <w:semiHidden/>
    <w:unhideWhenUsed/>
    <w:rsid w:val="007968EC"/>
  </w:style>
  <w:style w:type="numbering" w:customStyle="1" w:styleId="Sinlista11316">
    <w:name w:val="Sin lista11316"/>
    <w:next w:val="Sinlista"/>
    <w:uiPriority w:val="99"/>
    <w:semiHidden/>
    <w:unhideWhenUsed/>
    <w:rsid w:val="007968EC"/>
  </w:style>
  <w:style w:type="numbering" w:customStyle="1" w:styleId="Sinlista2216">
    <w:name w:val="Sin lista2216"/>
    <w:next w:val="Sinlista"/>
    <w:uiPriority w:val="99"/>
    <w:semiHidden/>
    <w:unhideWhenUsed/>
    <w:rsid w:val="007968EC"/>
  </w:style>
  <w:style w:type="numbering" w:customStyle="1" w:styleId="Sinlista111216">
    <w:name w:val="Sin lista111216"/>
    <w:next w:val="Sinlista"/>
    <w:uiPriority w:val="99"/>
    <w:semiHidden/>
    <w:unhideWhenUsed/>
    <w:rsid w:val="007968EC"/>
  </w:style>
  <w:style w:type="numbering" w:customStyle="1" w:styleId="Sinlista3216">
    <w:name w:val="Sin lista3216"/>
    <w:next w:val="Sinlista"/>
    <w:uiPriority w:val="99"/>
    <w:semiHidden/>
    <w:unhideWhenUsed/>
    <w:rsid w:val="007968EC"/>
  </w:style>
  <w:style w:type="numbering" w:customStyle="1" w:styleId="Sinlista12216">
    <w:name w:val="Sin lista12216"/>
    <w:next w:val="Sinlista"/>
    <w:uiPriority w:val="99"/>
    <w:semiHidden/>
    <w:unhideWhenUsed/>
    <w:rsid w:val="007968EC"/>
  </w:style>
  <w:style w:type="numbering" w:customStyle="1" w:styleId="Sinlista112216">
    <w:name w:val="Sin lista112216"/>
    <w:next w:val="Sinlista"/>
    <w:uiPriority w:val="99"/>
    <w:semiHidden/>
    <w:unhideWhenUsed/>
    <w:rsid w:val="007968EC"/>
  </w:style>
  <w:style w:type="numbering" w:customStyle="1" w:styleId="Sinlista21216">
    <w:name w:val="Sin lista21216"/>
    <w:next w:val="Sinlista"/>
    <w:uiPriority w:val="99"/>
    <w:semiHidden/>
    <w:unhideWhenUsed/>
    <w:rsid w:val="007968EC"/>
  </w:style>
  <w:style w:type="numbering" w:customStyle="1" w:styleId="Sinlista1111216">
    <w:name w:val="Sin lista1111216"/>
    <w:next w:val="Sinlista"/>
    <w:uiPriority w:val="99"/>
    <w:semiHidden/>
    <w:unhideWhenUsed/>
    <w:rsid w:val="007968EC"/>
  </w:style>
  <w:style w:type="numbering" w:customStyle="1" w:styleId="Sinlista31116">
    <w:name w:val="Sin lista31116"/>
    <w:next w:val="Sinlista"/>
    <w:uiPriority w:val="99"/>
    <w:semiHidden/>
    <w:unhideWhenUsed/>
    <w:rsid w:val="007968EC"/>
  </w:style>
  <w:style w:type="numbering" w:customStyle="1" w:styleId="Sinlista121116">
    <w:name w:val="Sin lista121116"/>
    <w:next w:val="Sinlista"/>
    <w:uiPriority w:val="99"/>
    <w:semiHidden/>
    <w:unhideWhenUsed/>
    <w:rsid w:val="007968EC"/>
  </w:style>
  <w:style w:type="numbering" w:customStyle="1" w:styleId="Sinlista1121116">
    <w:name w:val="Sin lista1121116"/>
    <w:next w:val="Sinlista"/>
    <w:uiPriority w:val="99"/>
    <w:semiHidden/>
    <w:unhideWhenUsed/>
    <w:rsid w:val="007968EC"/>
  </w:style>
  <w:style w:type="numbering" w:customStyle="1" w:styleId="Sinlista211116">
    <w:name w:val="Sin lista211116"/>
    <w:next w:val="Sinlista"/>
    <w:uiPriority w:val="99"/>
    <w:semiHidden/>
    <w:unhideWhenUsed/>
    <w:rsid w:val="007968EC"/>
  </w:style>
  <w:style w:type="numbering" w:customStyle="1" w:styleId="Sinlista1111111116">
    <w:name w:val="Sin lista1111111116"/>
    <w:next w:val="Sinlista"/>
    <w:uiPriority w:val="99"/>
    <w:semiHidden/>
    <w:unhideWhenUsed/>
    <w:rsid w:val="007968EC"/>
  </w:style>
  <w:style w:type="numbering" w:customStyle="1" w:styleId="Sinlista55">
    <w:name w:val="Sin lista55"/>
    <w:next w:val="Sinlista"/>
    <w:uiPriority w:val="99"/>
    <w:semiHidden/>
    <w:unhideWhenUsed/>
    <w:rsid w:val="007968EC"/>
  </w:style>
  <w:style w:type="numbering" w:customStyle="1" w:styleId="Sinlista145">
    <w:name w:val="Sin lista145"/>
    <w:next w:val="Sinlista"/>
    <w:uiPriority w:val="99"/>
    <w:semiHidden/>
    <w:unhideWhenUsed/>
    <w:rsid w:val="007968EC"/>
  </w:style>
  <w:style w:type="numbering" w:customStyle="1" w:styleId="Sinlista1145">
    <w:name w:val="Sin lista1145"/>
    <w:next w:val="Sinlista"/>
    <w:uiPriority w:val="99"/>
    <w:semiHidden/>
    <w:unhideWhenUsed/>
    <w:rsid w:val="007968EC"/>
  </w:style>
  <w:style w:type="numbering" w:customStyle="1" w:styleId="Sinlista11135">
    <w:name w:val="Sin lista11135"/>
    <w:next w:val="Sinlista"/>
    <w:uiPriority w:val="99"/>
    <w:semiHidden/>
    <w:unhideWhenUsed/>
    <w:rsid w:val="007968EC"/>
  </w:style>
  <w:style w:type="numbering" w:customStyle="1" w:styleId="Sinlista235">
    <w:name w:val="Sin lista235"/>
    <w:next w:val="Sinlista"/>
    <w:uiPriority w:val="99"/>
    <w:semiHidden/>
    <w:unhideWhenUsed/>
    <w:rsid w:val="007968EC"/>
  </w:style>
  <w:style w:type="numbering" w:customStyle="1" w:styleId="Sinlista111135">
    <w:name w:val="Sin lista111135"/>
    <w:next w:val="Sinlista"/>
    <w:uiPriority w:val="99"/>
    <w:semiHidden/>
    <w:unhideWhenUsed/>
    <w:rsid w:val="007968EC"/>
  </w:style>
  <w:style w:type="numbering" w:customStyle="1" w:styleId="Sinlista335">
    <w:name w:val="Sin lista335"/>
    <w:next w:val="Sinlista"/>
    <w:uiPriority w:val="99"/>
    <w:semiHidden/>
    <w:unhideWhenUsed/>
    <w:rsid w:val="007968EC"/>
  </w:style>
  <w:style w:type="numbering" w:customStyle="1" w:styleId="Sinlista1235">
    <w:name w:val="Sin lista1235"/>
    <w:next w:val="Sinlista"/>
    <w:uiPriority w:val="99"/>
    <w:semiHidden/>
    <w:unhideWhenUsed/>
    <w:rsid w:val="007968EC"/>
  </w:style>
  <w:style w:type="numbering" w:customStyle="1" w:styleId="Sinlista11235">
    <w:name w:val="Sin lista11235"/>
    <w:next w:val="Sinlista"/>
    <w:uiPriority w:val="99"/>
    <w:semiHidden/>
    <w:unhideWhenUsed/>
    <w:rsid w:val="007968EC"/>
  </w:style>
  <w:style w:type="numbering" w:customStyle="1" w:styleId="Sinlista2135">
    <w:name w:val="Sin lista2135"/>
    <w:next w:val="Sinlista"/>
    <w:uiPriority w:val="99"/>
    <w:semiHidden/>
    <w:unhideWhenUsed/>
    <w:rsid w:val="007968EC"/>
  </w:style>
  <w:style w:type="numbering" w:customStyle="1" w:styleId="Sinlista1111125">
    <w:name w:val="Sin lista1111125"/>
    <w:next w:val="Sinlista"/>
    <w:uiPriority w:val="99"/>
    <w:semiHidden/>
    <w:unhideWhenUsed/>
    <w:rsid w:val="007968EC"/>
  </w:style>
  <w:style w:type="numbering" w:customStyle="1" w:styleId="Sinlista3125">
    <w:name w:val="Sin lista3125"/>
    <w:next w:val="Sinlista"/>
    <w:uiPriority w:val="99"/>
    <w:semiHidden/>
    <w:unhideWhenUsed/>
    <w:rsid w:val="007968EC"/>
  </w:style>
  <w:style w:type="numbering" w:customStyle="1" w:styleId="Sinlista12125">
    <w:name w:val="Sin lista12125"/>
    <w:next w:val="Sinlista"/>
    <w:uiPriority w:val="99"/>
    <w:semiHidden/>
    <w:unhideWhenUsed/>
    <w:rsid w:val="007968EC"/>
  </w:style>
  <w:style w:type="numbering" w:customStyle="1" w:styleId="Sinlista112125">
    <w:name w:val="Sin lista112125"/>
    <w:next w:val="Sinlista"/>
    <w:uiPriority w:val="99"/>
    <w:semiHidden/>
    <w:unhideWhenUsed/>
    <w:rsid w:val="007968EC"/>
  </w:style>
  <w:style w:type="numbering" w:customStyle="1" w:styleId="Sinlista21125">
    <w:name w:val="Sin lista21125"/>
    <w:next w:val="Sinlista"/>
    <w:uiPriority w:val="99"/>
    <w:semiHidden/>
    <w:unhideWhenUsed/>
    <w:rsid w:val="007968EC"/>
  </w:style>
  <w:style w:type="numbering" w:customStyle="1" w:styleId="Sinlista11111125">
    <w:name w:val="Sin lista11111125"/>
    <w:next w:val="Sinlista"/>
    <w:uiPriority w:val="99"/>
    <w:semiHidden/>
    <w:unhideWhenUsed/>
    <w:rsid w:val="007968EC"/>
  </w:style>
  <w:style w:type="numbering" w:customStyle="1" w:styleId="Sinlista425">
    <w:name w:val="Sin lista425"/>
    <w:next w:val="Sinlista"/>
    <w:uiPriority w:val="99"/>
    <w:semiHidden/>
    <w:unhideWhenUsed/>
    <w:rsid w:val="007968EC"/>
  </w:style>
  <w:style w:type="numbering" w:customStyle="1" w:styleId="Sinlista1325">
    <w:name w:val="Sin lista1325"/>
    <w:next w:val="Sinlista"/>
    <w:uiPriority w:val="99"/>
    <w:semiHidden/>
    <w:unhideWhenUsed/>
    <w:rsid w:val="007968EC"/>
  </w:style>
  <w:style w:type="numbering" w:customStyle="1" w:styleId="Sinlista2225">
    <w:name w:val="Sin lista2225"/>
    <w:next w:val="Sinlista"/>
    <w:uiPriority w:val="99"/>
    <w:semiHidden/>
    <w:unhideWhenUsed/>
    <w:rsid w:val="007968EC"/>
  </w:style>
  <w:style w:type="numbering" w:customStyle="1" w:styleId="Sinlista11325">
    <w:name w:val="Sin lista11325"/>
    <w:next w:val="Sinlista"/>
    <w:uiPriority w:val="99"/>
    <w:semiHidden/>
    <w:unhideWhenUsed/>
    <w:rsid w:val="007968EC"/>
  </w:style>
  <w:style w:type="numbering" w:customStyle="1" w:styleId="Sinlista111225">
    <w:name w:val="Sin lista111225"/>
    <w:next w:val="Sinlista"/>
    <w:uiPriority w:val="99"/>
    <w:semiHidden/>
    <w:unhideWhenUsed/>
    <w:rsid w:val="007968EC"/>
  </w:style>
  <w:style w:type="numbering" w:customStyle="1" w:styleId="Sinlista3225">
    <w:name w:val="Sin lista3225"/>
    <w:next w:val="Sinlista"/>
    <w:uiPriority w:val="99"/>
    <w:semiHidden/>
    <w:unhideWhenUsed/>
    <w:rsid w:val="007968EC"/>
  </w:style>
  <w:style w:type="numbering" w:customStyle="1" w:styleId="Sinlista12225">
    <w:name w:val="Sin lista12225"/>
    <w:next w:val="Sinlista"/>
    <w:uiPriority w:val="99"/>
    <w:semiHidden/>
    <w:unhideWhenUsed/>
    <w:rsid w:val="007968EC"/>
  </w:style>
  <w:style w:type="numbering" w:customStyle="1" w:styleId="Sinlista112225">
    <w:name w:val="Sin lista112225"/>
    <w:next w:val="Sinlista"/>
    <w:uiPriority w:val="99"/>
    <w:semiHidden/>
    <w:unhideWhenUsed/>
    <w:rsid w:val="007968EC"/>
  </w:style>
  <w:style w:type="numbering" w:customStyle="1" w:styleId="Sinlista21225">
    <w:name w:val="Sin lista21225"/>
    <w:next w:val="Sinlista"/>
    <w:uiPriority w:val="99"/>
    <w:semiHidden/>
    <w:unhideWhenUsed/>
    <w:rsid w:val="007968EC"/>
  </w:style>
  <w:style w:type="numbering" w:customStyle="1" w:styleId="Sinlista1111225">
    <w:name w:val="Sin lista1111225"/>
    <w:next w:val="Sinlista"/>
    <w:uiPriority w:val="99"/>
    <w:semiHidden/>
    <w:unhideWhenUsed/>
    <w:rsid w:val="007968EC"/>
  </w:style>
  <w:style w:type="numbering" w:customStyle="1" w:styleId="Sinlista31125">
    <w:name w:val="Sin lista31125"/>
    <w:next w:val="Sinlista"/>
    <w:uiPriority w:val="99"/>
    <w:semiHidden/>
    <w:unhideWhenUsed/>
    <w:rsid w:val="007968EC"/>
  </w:style>
  <w:style w:type="numbering" w:customStyle="1" w:styleId="Sinlista121125">
    <w:name w:val="Sin lista121125"/>
    <w:next w:val="Sinlista"/>
    <w:uiPriority w:val="99"/>
    <w:semiHidden/>
    <w:unhideWhenUsed/>
    <w:rsid w:val="007968EC"/>
  </w:style>
  <w:style w:type="numbering" w:customStyle="1" w:styleId="Sinlista1121125">
    <w:name w:val="Sin lista1121125"/>
    <w:next w:val="Sinlista"/>
    <w:uiPriority w:val="99"/>
    <w:semiHidden/>
    <w:unhideWhenUsed/>
    <w:rsid w:val="007968EC"/>
  </w:style>
  <w:style w:type="numbering" w:customStyle="1" w:styleId="Sinlista211125">
    <w:name w:val="Sin lista211125"/>
    <w:next w:val="Sinlista"/>
    <w:uiPriority w:val="99"/>
    <w:semiHidden/>
    <w:unhideWhenUsed/>
    <w:rsid w:val="007968EC"/>
  </w:style>
  <w:style w:type="numbering" w:customStyle="1" w:styleId="Sinlista111111125">
    <w:name w:val="Sin lista111111125"/>
    <w:next w:val="Sinlista"/>
    <w:uiPriority w:val="99"/>
    <w:semiHidden/>
    <w:unhideWhenUsed/>
    <w:rsid w:val="007968EC"/>
  </w:style>
  <w:style w:type="numbering" w:customStyle="1" w:styleId="Sinlista4115">
    <w:name w:val="Sin lista4115"/>
    <w:next w:val="Sinlista"/>
    <w:uiPriority w:val="99"/>
    <w:semiHidden/>
    <w:unhideWhenUsed/>
    <w:rsid w:val="007968EC"/>
  </w:style>
  <w:style w:type="numbering" w:customStyle="1" w:styleId="Sinlista13115">
    <w:name w:val="Sin lista13115"/>
    <w:next w:val="Sinlista"/>
    <w:uiPriority w:val="99"/>
    <w:semiHidden/>
    <w:unhideWhenUsed/>
    <w:rsid w:val="007968EC"/>
  </w:style>
  <w:style w:type="numbering" w:customStyle="1" w:styleId="Sinlista113115">
    <w:name w:val="Sin lista113115"/>
    <w:next w:val="Sinlista"/>
    <w:uiPriority w:val="99"/>
    <w:semiHidden/>
    <w:unhideWhenUsed/>
    <w:rsid w:val="007968EC"/>
  </w:style>
  <w:style w:type="numbering" w:customStyle="1" w:styleId="Sinlista22115">
    <w:name w:val="Sin lista22115"/>
    <w:next w:val="Sinlista"/>
    <w:uiPriority w:val="99"/>
    <w:semiHidden/>
    <w:unhideWhenUsed/>
    <w:rsid w:val="007968EC"/>
  </w:style>
  <w:style w:type="numbering" w:customStyle="1" w:styleId="Sinlista1112115">
    <w:name w:val="Sin lista1112115"/>
    <w:next w:val="Sinlista"/>
    <w:uiPriority w:val="99"/>
    <w:semiHidden/>
    <w:unhideWhenUsed/>
    <w:rsid w:val="007968EC"/>
  </w:style>
  <w:style w:type="numbering" w:customStyle="1" w:styleId="Sinlista32115">
    <w:name w:val="Sin lista32115"/>
    <w:next w:val="Sinlista"/>
    <w:uiPriority w:val="99"/>
    <w:semiHidden/>
    <w:unhideWhenUsed/>
    <w:rsid w:val="007968EC"/>
  </w:style>
  <w:style w:type="numbering" w:customStyle="1" w:styleId="Sinlista122115">
    <w:name w:val="Sin lista122115"/>
    <w:next w:val="Sinlista"/>
    <w:uiPriority w:val="99"/>
    <w:semiHidden/>
    <w:unhideWhenUsed/>
    <w:rsid w:val="007968EC"/>
  </w:style>
  <w:style w:type="numbering" w:customStyle="1" w:styleId="Sinlista1122115">
    <w:name w:val="Sin lista1122115"/>
    <w:next w:val="Sinlista"/>
    <w:uiPriority w:val="99"/>
    <w:semiHidden/>
    <w:unhideWhenUsed/>
    <w:rsid w:val="007968EC"/>
  </w:style>
  <w:style w:type="numbering" w:customStyle="1" w:styleId="Sinlista212115">
    <w:name w:val="Sin lista212115"/>
    <w:next w:val="Sinlista"/>
    <w:uiPriority w:val="99"/>
    <w:semiHidden/>
    <w:unhideWhenUsed/>
    <w:rsid w:val="007968EC"/>
  </w:style>
  <w:style w:type="numbering" w:customStyle="1" w:styleId="Sinlista11112115">
    <w:name w:val="Sin lista11112115"/>
    <w:next w:val="Sinlista"/>
    <w:uiPriority w:val="99"/>
    <w:semiHidden/>
    <w:unhideWhenUsed/>
    <w:rsid w:val="007968EC"/>
  </w:style>
  <w:style w:type="numbering" w:customStyle="1" w:styleId="Sinlista311115">
    <w:name w:val="Sin lista311115"/>
    <w:next w:val="Sinlista"/>
    <w:uiPriority w:val="99"/>
    <w:semiHidden/>
    <w:unhideWhenUsed/>
    <w:rsid w:val="007968EC"/>
  </w:style>
  <w:style w:type="numbering" w:customStyle="1" w:styleId="Sinlista1211115">
    <w:name w:val="Sin lista1211115"/>
    <w:next w:val="Sinlista"/>
    <w:uiPriority w:val="99"/>
    <w:semiHidden/>
    <w:unhideWhenUsed/>
    <w:rsid w:val="007968EC"/>
  </w:style>
  <w:style w:type="numbering" w:customStyle="1" w:styleId="Sinlista11211115">
    <w:name w:val="Sin lista11211115"/>
    <w:next w:val="Sinlista"/>
    <w:uiPriority w:val="99"/>
    <w:semiHidden/>
    <w:unhideWhenUsed/>
    <w:rsid w:val="007968EC"/>
  </w:style>
  <w:style w:type="numbering" w:customStyle="1" w:styleId="Sinlista2111115">
    <w:name w:val="Sin lista2111115"/>
    <w:next w:val="Sinlista"/>
    <w:uiPriority w:val="99"/>
    <w:semiHidden/>
    <w:unhideWhenUsed/>
    <w:rsid w:val="007968EC"/>
  </w:style>
  <w:style w:type="numbering" w:customStyle="1" w:styleId="Sinlista11111111115">
    <w:name w:val="Sin lista11111111115"/>
    <w:next w:val="Sinlista"/>
    <w:uiPriority w:val="99"/>
    <w:semiHidden/>
    <w:unhideWhenUsed/>
    <w:rsid w:val="007968EC"/>
  </w:style>
  <w:style w:type="numbering" w:customStyle="1" w:styleId="Sinlista64">
    <w:name w:val="Sin lista64"/>
    <w:next w:val="Sinlista"/>
    <w:uiPriority w:val="99"/>
    <w:semiHidden/>
    <w:unhideWhenUsed/>
    <w:rsid w:val="007968EC"/>
  </w:style>
  <w:style w:type="numbering" w:customStyle="1" w:styleId="Sinlista154">
    <w:name w:val="Sin lista154"/>
    <w:next w:val="Sinlista"/>
    <w:uiPriority w:val="99"/>
    <w:semiHidden/>
    <w:unhideWhenUsed/>
    <w:rsid w:val="007968EC"/>
  </w:style>
  <w:style w:type="numbering" w:customStyle="1" w:styleId="Sinlista1154">
    <w:name w:val="Sin lista1154"/>
    <w:next w:val="Sinlista"/>
    <w:uiPriority w:val="99"/>
    <w:semiHidden/>
    <w:unhideWhenUsed/>
    <w:rsid w:val="007968EC"/>
  </w:style>
  <w:style w:type="numbering" w:customStyle="1" w:styleId="Sinlista11144">
    <w:name w:val="Sin lista11144"/>
    <w:next w:val="Sinlista"/>
    <w:uiPriority w:val="99"/>
    <w:semiHidden/>
    <w:unhideWhenUsed/>
    <w:rsid w:val="007968EC"/>
  </w:style>
  <w:style w:type="numbering" w:customStyle="1" w:styleId="Sinlista111144">
    <w:name w:val="Sin lista111144"/>
    <w:next w:val="Sinlista"/>
    <w:uiPriority w:val="99"/>
    <w:semiHidden/>
    <w:unhideWhenUsed/>
    <w:rsid w:val="007968EC"/>
  </w:style>
  <w:style w:type="numbering" w:customStyle="1" w:styleId="Sinlista1111134">
    <w:name w:val="Sin lista1111134"/>
    <w:next w:val="Sinlista"/>
    <w:uiPriority w:val="99"/>
    <w:semiHidden/>
    <w:unhideWhenUsed/>
    <w:rsid w:val="007968EC"/>
  </w:style>
  <w:style w:type="numbering" w:customStyle="1" w:styleId="Sinlista244">
    <w:name w:val="Sin lista244"/>
    <w:next w:val="Sinlista"/>
    <w:uiPriority w:val="99"/>
    <w:semiHidden/>
    <w:unhideWhenUsed/>
    <w:rsid w:val="007968EC"/>
  </w:style>
  <w:style w:type="numbering" w:customStyle="1" w:styleId="Sinlista11111134">
    <w:name w:val="Sin lista11111134"/>
    <w:next w:val="Sinlista"/>
    <w:uiPriority w:val="99"/>
    <w:semiHidden/>
    <w:unhideWhenUsed/>
    <w:rsid w:val="007968EC"/>
  </w:style>
  <w:style w:type="numbering" w:customStyle="1" w:styleId="Sinlista344">
    <w:name w:val="Sin lista344"/>
    <w:next w:val="Sinlista"/>
    <w:uiPriority w:val="99"/>
    <w:semiHidden/>
    <w:unhideWhenUsed/>
    <w:rsid w:val="007968EC"/>
  </w:style>
  <w:style w:type="numbering" w:customStyle="1" w:styleId="Sinlista1244">
    <w:name w:val="Sin lista1244"/>
    <w:next w:val="Sinlista"/>
    <w:uiPriority w:val="99"/>
    <w:semiHidden/>
    <w:unhideWhenUsed/>
    <w:rsid w:val="007968EC"/>
  </w:style>
  <w:style w:type="numbering" w:customStyle="1" w:styleId="Sinlista11244">
    <w:name w:val="Sin lista11244"/>
    <w:next w:val="Sinlista"/>
    <w:uiPriority w:val="99"/>
    <w:semiHidden/>
    <w:unhideWhenUsed/>
    <w:rsid w:val="007968EC"/>
  </w:style>
  <w:style w:type="numbering" w:customStyle="1" w:styleId="Sinlista2144">
    <w:name w:val="Sin lista2144"/>
    <w:next w:val="Sinlista"/>
    <w:uiPriority w:val="99"/>
    <w:semiHidden/>
    <w:unhideWhenUsed/>
    <w:rsid w:val="007968EC"/>
  </w:style>
  <w:style w:type="numbering" w:customStyle="1" w:styleId="Sinlista111111134">
    <w:name w:val="Sin lista111111134"/>
    <w:next w:val="Sinlista"/>
    <w:uiPriority w:val="99"/>
    <w:semiHidden/>
    <w:unhideWhenUsed/>
    <w:rsid w:val="007968EC"/>
  </w:style>
  <w:style w:type="numbering" w:customStyle="1" w:styleId="Sinlista3134">
    <w:name w:val="Sin lista3134"/>
    <w:next w:val="Sinlista"/>
    <w:uiPriority w:val="99"/>
    <w:semiHidden/>
    <w:unhideWhenUsed/>
    <w:rsid w:val="007968EC"/>
  </w:style>
  <w:style w:type="numbering" w:customStyle="1" w:styleId="Sinlista12134">
    <w:name w:val="Sin lista12134"/>
    <w:next w:val="Sinlista"/>
    <w:uiPriority w:val="99"/>
    <w:semiHidden/>
    <w:unhideWhenUsed/>
    <w:rsid w:val="007968EC"/>
  </w:style>
  <w:style w:type="numbering" w:customStyle="1" w:styleId="Sinlista112134">
    <w:name w:val="Sin lista112134"/>
    <w:next w:val="Sinlista"/>
    <w:uiPriority w:val="99"/>
    <w:semiHidden/>
    <w:unhideWhenUsed/>
    <w:rsid w:val="007968EC"/>
  </w:style>
  <w:style w:type="numbering" w:customStyle="1" w:styleId="Sinlista21134">
    <w:name w:val="Sin lista21134"/>
    <w:next w:val="Sinlista"/>
    <w:uiPriority w:val="99"/>
    <w:semiHidden/>
    <w:unhideWhenUsed/>
    <w:rsid w:val="007968EC"/>
  </w:style>
  <w:style w:type="numbering" w:customStyle="1" w:styleId="Sinlista1111111124">
    <w:name w:val="Sin lista1111111124"/>
    <w:next w:val="Sinlista"/>
    <w:uiPriority w:val="99"/>
    <w:semiHidden/>
    <w:unhideWhenUsed/>
    <w:rsid w:val="007968EC"/>
  </w:style>
  <w:style w:type="numbering" w:customStyle="1" w:styleId="Sinlista434">
    <w:name w:val="Sin lista434"/>
    <w:next w:val="Sinlista"/>
    <w:uiPriority w:val="99"/>
    <w:semiHidden/>
    <w:unhideWhenUsed/>
    <w:rsid w:val="007968EC"/>
  </w:style>
  <w:style w:type="numbering" w:customStyle="1" w:styleId="Sinlista1334">
    <w:name w:val="Sin lista1334"/>
    <w:next w:val="Sinlista"/>
    <w:uiPriority w:val="99"/>
    <w:semiHidden/>
    <w:unhideWhenUsed/>
    <w:rsid w:val="007968EC"/>
  </w:style>
  <w:style w:type="numbering" w:customStyle="1" w:styleId="Sinlista2234">
    <w:name w:val="Sin lista2234"/>
    <w:next w:val="Sinlista"/>
    <w:uiPriority w:val="99"/>
    <w:semiHidden/>
    <w:unhideWhenUsed/>
    <w:rsid w:val="007968EC"/>
  </w:style>
  <w:style w:type="numbering" w:customStyle="1" w:styleId="Sinlista11334">
    <w:name w:val="Sin lista11334"/>
    <w:next w:val="Sinlista"/>
    <w:uiPriority w:val="99"/>
    <w:semiHidden/>
    <w:unhideWhenUsed/>
    <w:rsid w:val="007968EC"/>
  </w:style>
  <w:style w:type="numbering" w:customStyle="1" w:styleId="Sinlista111234">
    <w:name w:val="Sin lista111234"/>
    <w:next w:val="Sinlista"/>
    <w:uiPriority w:val="99"/>
    <w:semiHidden/>
    <w:unhideWhenUsed/>
    <w:rsid w:val="007968EC"/>
  </w:style>
  <w:style w:type="numbering" w:customStyle="1" w:styleId="Sinlista3234">
    <w:name w:val="Sin lista3234"/>
    <w:next w:val="Sinlista"/>
    <w:uiPriority w:val="99"/>
    <w:semiHidden/>
    <w:unhideWhenUsed/>
    <w:rsid w:val="007968EC"/>
  </w:style>
  <w:style w:type="numbering" w:customStyle="1" w:styleId="Sinlista12234">
    <w:name w:val="Sin lista12234"/>
    <w:next w:val="Sinlista"/>
    <w:uiPriority w:val="99"/>
    <w:semiHidden/>
    <w:unhideWhenUsed/>
    <w:rsid w:val="007968EC"/>
  </w:style>
  <w:style w:type="numbering" w:customStyle="1" w:styleId="Sinlista112234">
    <w:name w:val="Sin lista112234"/>
    <w:next w:val="Sinlista"/>
    <w:uiPriority w:val="99"/>
    <w:semiHidden/>
    <w:unhideWhenUsed/>
    <w:rsid w:val="007968EC"/>
  </w:style>
  <w:style w:type="numbering" w:customStyle="1" w:styleId="Sinlista21234">
    <w:name w:val="Sin lista21234"/>
    <w:next w:val="Sinlista"/>
    <w:uiPriority w:val="99"/>
    <w:semiHidden/>
    <w:unhideWhenUsed/>
    <w:rsid w:val="007968EC"/>
  </w:style>
  <w:style w:type="numbering" w:customStyle="1" w:styleId="Sinlista1111234">
    <w:name w:val="Sin lista1111234"/>
    <w:next w:val="Sinlista"/>
    <w:uiPriority w:val="99"/>
    <w:semiHidden/>
    <w:unhideWhenUsed/>
    <w:rsid w:val="007968EC"/>
  </w:style>
  <w:style w:type="numbering" w:customStyle="1" w:styleId="Sinlista31134">
    <w:name w:val="Sin lista31134"/>
    <w:next w:val="Sinlista"/>
    <w:uiPriority w:val="99"/>
    <w:semiHidden/>
    <w:unhideWhenUsed/>
    <w:rsid w:val="007968EC"/>
  </w:style>
  <w:style w:type="numbering" w:customStyle="1" w:styleId="Sinlista121134">
    <w:name w:val="Sin lista121134"/>
    <w:next w:val="Sinlista"/>
    <w:uiPriority w:val="99"/>
    <w:semiHidden/>
    <w:unhideWhenUsed/>
    <w:rsid w:val="007968EC"/>
  </w:style>
  <w:style w:type="numbering" w:customStyle="1" w:styleId="Sinlista1121134">
    <w:name w:val="Sin lista1121134"/>
    <w:next w:val="Sinlista"/>
    <w:uiPriority w:val="99"/>
    <w:semiHidden/>
    <w:unhideWhenUsed/>
    <w:rsid w:val="007968EC"/>
  </w:style>
  <w:style w:type="numbering" w:customStyle="1" w:styleId="Sinlista211134">
    <w:name w:val="Sin lista211134"/>
    <w:next w:val="Sinlista"/>
    <w:uiPriority w:val="99"/>
    <w:semiHidden/>
    <w:unhideWhenUsed/>
    <w:rsid w:val="007968EC"/>
  </w:style>
  <w:style w:type="numbering" w:customStyle="1" w:styleId="Sinlista11111111124">
    <w:name w:val="Sin lista11111111124"/>
    <w:next w:val="Sinlista"/>
    <w:uiPriority w:val="99"/>
    <w:semiHidden/>
    <w:unhideWhenUsed/>
    <w:rsid w:val="007968EC"/>
  </w:style>
  <w:style w:type="numbering" w:customStyle="1" w:styleId="Sinlista4124">
    <w:name w:val="Sin lista4124"/>
    <w:next w:val="Sinlista"/>
    <w:uiPriority w:val="99"/>
    <w:semiHidden/>
    <w:unhideWhenUsed/>
    <w:rsid w:val="007968EC"/>
  </w:style>
  <w:style w:type="numbering" w:customStyle="1" w:styleId="Sinlista13124">
    <w:name w:val="Sin lista13124"/>
    <w:next w:val="Sinlista"/>
    <w:uiPriority w:val="99"/>
    <w:semiHidden/>
    <w:unhideWhenUsed/>
    <w:rsid w:val="007968EC"/>
  </w:style>
  <w:style w:type="numbering" w:customStyle="1" w:styleId="Sinlista113124">
    <w:name w:val="Sin lista113124"/>
    <w:next w:val="Sinlista"/>
    <w:uiPriority w:val="99"/>
    <w:semiHidden/>
    <w:unhideWhenUsed/>
    <w:rsid w:val="007968EC"/>
  </w:style>
  <w:style w:type="numbering" w:customStyle="1" w:styleId="Sinlista22124">
    <w:name w:val="Sin lista22124"/>
    <w:next w:val="Sinlista"/>
    <w:uiPriority w:val="99"/>
    <w:semiHidden/>
    <w:unhideWhenUsed/>
    <w:rsid w:val="007968EC"/>
  </w:style>
  <w:style w:type="numbering" w:customStyle="1" w:styleId="Sinlista1112124">
    <w:name w:val="Sin lista1112124"/>
    <w:next w:val="Sinlista"/>
    <w:uiPriority w:val="99"/>
    <w:semiHidden/>
    <w:unhideWhenUsed/>
    <w:rsid w:val="007968EC"/>
  </w:style>
  <w:style w:type="numbering" w:customStyle="1" w:styleId="Sinlista32124">
    <w:name w:val="Sin lista32124"/>
    <w:next w:val="Sinlista"/>
    <w:uiPriority w:val="99"/>
    <w:semiHidden/>
    <w:unhideWhenUsed/>
    <w:rsid w:val="007968EC"/>
  </w:style>
  <w:style w:type="numbering" w:customStyle="1" w:styleId="Sinlista122124">
    <w:name w:val="Sin lista122124"/>
    <w:next w:val="Sinlista"/>
    <w:uiPriority w:val="99"/>
    <w:semiHidden/>
    <w:unhideWhenUsed/>
    <w:rsid w:val="007968EC"/>
  </w:style>
  <w:style w:type="numbering" w:customStyle="1" w:styleId="Sinlista1122124">
    <w:name w:val="Sin lista1122124"/>
    <w:next w:val="Sinlista"/>
    <w:uiPriority w:val="99"/>
    <w:semiHidden/>
    <w:unhideWhenUsed/>
    <w:rsid w:val="007968EC"/>
  </w:style>
  <w:style w:type="numbering" w:customStyle="1" w:styleId="Sinlista212124">
    <w:name w:val="Sin lista212124"/>
    <w:next w:val="Sinlista"/>
    <w:uiPriority w:val="99"/>
    <w:semiHidden/>
    <w:unhideWhenUsed/>
    <w:rsid w:val="007968EC"/>
  </w:style>
  <w:style w:type="numbering" w:customStyle="1" w:styleId="Sinlista11112124">
    <w:name w:val="Sin lista11112124"/>
    <w:next w:val="Sinlista"/>
    <w:uiPriority w:val="99"/>
    <w:semiHidden/>
    <w:unhideWhenUsed/>
    <w:rsid w:val="007968EC"/>
  </w:style>
  <w:style w:type="numbering" w:customStyle="1" w:styleId="Sinlista311124">
    <w:name w:val="Sin lista311124"/>
    <w:next w:val="Sinlista"/>
    <w:uiPriority w:val="99"/>
    <w:semiHidden/>
    <w:unhideWhenUsed/>
    <w:rsid w:val="007968EC"/>
  </w:style>
  <w:style w:type="numbering" w:customStyle="1" w:styleId="Sinlista1211124">
    <w:name w:val="Sin lista1211124"/>
    <w:next w:val="Sinlista"/>
    <w:uiPriority w:val="99"/>
    <w:semiHidden/>
    <w:unhideWhenUsed/>
    <w:rsid w:val="007968EC"/>
  </w:style>
  <w:style w:type="numbering" w:customStyle="1" w:styleId="Sinlista11211124">
    <w:name w:val="Sin lista11211124"/>
    <w:next w:val="Sinlista"/>
    <w:uiPriority w:val="99"/>
    <w:semiHidden/>
    <w:unhideWhenUsed/>
    <w:rsid w:val="007968EC"/>
  </w:style>
  <w:style w:type="numbering" w:customStyle="1" w:styleId="Sinlista2111124">
    <w:name w:val="Sin lista2111124"/>
    <w:next w:val="Sinlista"/>
    <w:uiPriority w:val="99"/>
    <w:semiHidden/>
    <w:unhideWhenUsed/>
    <w:rsid w:val="007968EC"/>
  </w:style>
  <w:style w:type="numbering" w:customStyle="1" w:styleId="Sinlista111111111115">
    <w:name w:val="Sin lista111111111115"/>
    <w:next w:val="Sinlista"/>
    <w:uiPriority w:val="99"/>
    <w:semiHidden/>
    <w:unhideWhenUsed/>
    <w:rsid w:val="007968EC"/>
  </w:style>
  <w:style w:type="numbering" w:customStyle="1" w:styleId="Sinlista514">
    <w:name w:val="Sin lista514"/>
    <w:next w:val="Sinlista"/>
    <w:uiPriority w:val="99"/>
    <w:semiHidden/>
    <w:unhideWhenUsed/>
    <w:rsid w:val="007968EC"/>
  </w:style>
  <w:style w:type="numbering" w:customStyle="1" w:styleId="Sinlista1414">
    <w:name w:val="Sin lista1414"/>
    <w:next w:val="Sinlista"/>
    <w:uiPriority w:val="99"/>
    <w:semiHidden/>
    <w:unhideWhenUsed/>
    <w:rsid w:val="007968EC"/>
  </w:style>
  <w:style w:type="numbering" w:customStyle="1" w:styleId="Sinlista11414">
    <w:name w:val="Sin lista11414"/>
    <w:next w:val="Sinlista"/>
    <w:uiPriority w:val="99"/>
    <w:semiHidden/>
    <w:unhideWhenUsed/>
    <w:rsid w:val="007968EC"/>
  </w:style>
  <w:style w:type="numbering" w:customStyle="1" w:styleId="Sinlista111314">
    <w:name w:val="Sin lista111314"/>
    <w:next w:val="Sinlista"/>
    <w:uiPriority w:val="99"/>
    <w:semiHidden/>
    <w:unhideWhenUsed/>
    <w:rsid w:val="007968EC"/>
  </w:style>
  <w:style w:type="numbering" w:customStyle="1" w:styleId="Sinlista2314">
    <w:name w:val="Sin lista2314"/>
    <w:next w:val="Sinlista"/>
    <w:uiPriority w:val="99"/>
    <w:semiHidden/>
    <w:unhideWhenUsed/>
    <w:rsid w:val="007968EC"/>
  </w:style>
  <w:style w:type="numbering" w:customStyle="1" w:styleId="Sinlista1111314">
    <w:name w:val="Sin lista1111314"/>
    <w:next w:val="Sinlista"/>
    <w:uiPriority w:val="99"/>
    <w:semiHidden/>
    <w:unhideWhenUsed/>
    <w:rsid w:val="007968EC"/>
  </w:style>
  <w:style w:type="numbering" w:customStyle="1" w:styleId="Sinlista3314">
    <w:name w:val="Sin lista3314"/>
    <w:next w:val="Sinlista"/>
    <w:uiPriority w:val="99"/>
    <w:semiHidden/>
    <w:unhideWhenUsed/>
    <w:rsid w:val="007968EC"/>
  </w:style>
  <w:style w:type="numbering" w:customStyle="1" w:styleId="Sinlista12314">
    <w:name w:val="Sin lista12314"/>
    <w:next w:val="Sinlista"/>
    <w:uiPriority w:val="99"/>
    <w:semiHidden/>
    <w:unhideWhenUsed/>
    <w:rsid w:val="007968EC"/>
  </w:style>
  <w:style w:type="numbering" w:customStyle="1" w:styleId="Sinlista112314">
    <w:name w:val="Sin lista112314"/>
    <w:next w:val="Sinlista"/>
    <w:uiPriority w:val="99"/>
    <w:semiHidden/>
    <w:unhideWhenUsed/>
    <w:rsid w:val="007968EC"/>
  </w:style>
  <w:style w:type="numbering" w:customStyle="1" w:styleId="Sinlista21314">
    <w:name w:val="Sin lista21314"/>
    <w:next w:val="Sinlista"/>
    <w:uiPriority w:val="99"/>
    <w:semiHidden/>
    <w:unhideWhenUsed/>
    <w:rsid w:val="007968EC"/>
  </w:style>
  <w:style w:type="numbering" w:customStyle="1" w:styleId="Sinlista11111214">
    <w:name w:val="Sin lista11111214"/>
    <w:next w:val="Sinlista"/>
    <w:uiPriority w:val="99"/>
    <w:semiHidden/>
    <w:unhideWhenUsed/>
    <w:rsid w:val="007968EC"/>
  </w:style>
  <w:style w:type="numbering" w:customStyle="1" w:styleId="Sinlista31214">
    <w:name w:val="Sin lista31214"/>
    <w:next w:val="Sinlista"/>
    <w:uiPriority w:val="99"/>
    <w:semiHidden/>
    <w:unhideWhenUsed/>
    <w:rsid w:val="007968EC"/>
  </w:style>
  <w:style w:type="numbering" w:customStyle="1" w:styleId="Sinlista121214">
    <w:name w:val="Sin lista121214"/>
    <w:next w:val="Sinlista"/>
    <w:uiPriority w:val="99"/>
    <w:semiHidden/>
    <w:unhideWhenUsed/>
    <w:rsid w:val="007968EC"/>
  </w:style>
  <w:style w:type="numbering" w:customStyle="1" w:styleId="Sinlista1121214">
    <w:name w:val="Sin lista1121214"/>
    <w:next w:val="Sinlista"/>
    <w:uiPriority w:val="99"/>
    <w:semiHidden/>
    <w:unhideWhenUsed/>
    <w:rsid w:val="007968EC"/>
  </w:style>
  <w:style w:type="numbering" w:customStyle="1" w:styleId="Sinlista211214">
    <w:name w:val="Sin lista211214"/>
    <w:next w:val="Sinlista"/>
    <w:uiPriority w:val="99"/>
    <w:semiHidden/>
    <w:unhideWhenUsed/>
    <w:rsid w:val="007968EC"/>
  </w:style>
  <w:style w:type="numbering" w:customStyle="1" w:styleId="Sinlista111111214">
    <w:name w:val="Sin lista111111214"/>
    <w:next w:val="Sinlista"/>
    <w:uiPriority w:val="99"/>
    <w:semiHidden/>
    <w:unhideWhenUsed/>
    <w:rsid w:val="007968EC"/>
  </w:style>
  <w:style w:type="numbering" w:customStyle="1" w:styleId="Sinlista4214">
    <w:name w:val="Sin lista4214"/>
    <w:next w:val="Sinlista"/>
    <w:uiPriority w:val="99"/>
    <w:semiHidden/>
    <w:unhideWhenUsed/>
    <w:rsid w:val="007968EC"/>
  </w:style>
  <w:style w:type="numbering" w:customStyle="1" w:styleId="Sinlista13214">
    <w:name w:val="Sin lista13214"/>
    <w:next w:val="Sinlista"/>
    <w:uiPriority w:val="99"/>
    <w:semiHidden/>
    <w:unhideWhenUsed/>
    <w:rsid w:val="007968EC"/>
  </w:style>
  <w:style w:type="numbering" w:customStyle="1" w:styleId="Sinlista22214">
    <w:name w:val="Sin lista22214"/>
    <w:next w:val="Sinlista"/>
    <w:uiPriority w:val="99"/>
    <w:semiHidden/>
    <w:unhideWhenUsed/>
    <w:rsid w:val="007968EC"/>
  </w:style>
  <w:style w:type="numbering" w:customStyle="1" w:styleId="Sinlista113214">
    <w:name w:val="Sin lista113214"/>
    <w:next w:val="Sinlista"/>
    <w:uiPriority w:val="99"/>
    <w:semiHidden/>
    <w:unhideWhenUsed/>
    <w:rsid w:val="007968EC"/>
  </w:style>
  <w:style w:type="numbering" w:customStyle="1" w:styleId="Sinlista1112214">
    <w:name w:val="Sin lista1112214"/>
    <w:next w:val="Sinlista"/>
    <w:uiPriority w:val="99"/>
    <w:semiHidden/>
    <w:unhideWhenUsed/>
    <w:rsid w:val="007968EC"/>
  </w:style>
  <w:style w:type="numbering" w:customStyle="1" w:styleId="Sinlista32214">
    <w:name w:val="Sin lista32214"/>
    <w:next w:val="Sinlista"/>
    <w:uiPriority w:val="99"/>
    <w:semiHidden/>
    <w:unhideWhenUsed/>
    <w:rsid w:val="007968EC"/>
  </w:style>
  <w:style w:type="numbering" w:customStyle="1" w:styleId="Sinlista122214">
    <w:name w:val="Sin lista122214"/>
    <w:next w:val="Sinlista"/>
    <w:uiPriority w:val="99"/>
    <w:semiHidden/>
    <w:unhideWhenUsed/>
    <w:rsid w:val="007968EC"/>
  </w:style>
  <w:style w:type="numbering" w:customStyle="1" w:styleId="Sinlista1122214">
    <w:name w:val="Sin lista1122214"/>
    <w:next w:val="Sinlista"/>
    <w:uiPriority w:val="99"/>
    <w:semiHidden/>
    <w:unhideWhenUsed/>
    <w:rsid w:val="007968EC"/>
  </w:style>
  <w:style w:type="numbering" w:customStyle="1" w:styleId="Sinlista212214">
    <w:name w:val="Sin lista212214"/>
    <w:next w:val="Sinlista"/>
    <w:uiPriority w:val="99"/>
    <w:semiHidden/>
    <w:unhideWhenUsed/>
    <w:rsid w:val="007968EC"/>
  </w:style>
  <w:style w:type="numbering" w:customStyle="1" w:styleId="Sinlista11112214">
    <w:name w:val="Sin lista11112214"/>
    <w:next w:val="Sinlista"/>
    <w:uiPriority w:val="99"/>
    <w:semiHidden/>
    <w:unhideWhenUsed/>
    <w:rsid w:val="007968EC"/>
  </w:style>
  <w:style w:type="numbering" w:customStyle="1" w:styleId="Sinlista311214">
    <w:name w:val="Sin lista311214"/>
    <w:next w:val="Sinlista"/>
    <w:uiPriority w:val="99"/>
    <w:semiHidden/>
    <w:unhideWhenUsed/>
    <w:rsid w:val="007968EC"/>
  </w:style>
  <w:style w:type="numbering" w:customStyle="1" w:styleId="Sinlista1211214">
    <w:name w:val="Sin lista1211214"/>
    <w:next w:val="Sinlista"/>
    <w:uiPriority w:val="99"/>
    <w:semiHidden/>
    <w:unhideWhenUsed/>
    <w:rsid w:val="007968EC"/>
  </w:style>
  <w:style w:type="numbering" w:customStyle="1" w:styleId="Sinlista11211214">
    <w:name w:val="Sin lista11211214"/>
    <w:next w:val="Sinlista"/>
    <w:uiPriority w:val="99"/>
    <w:semiHidden/>
    <w:unhideWhenUsed/>
    <w:rsid w:val="007968EC"/>
  </w:style>
  <w:style w:type="numbering" w:customStyle="1" w:styleId="Sinlista2111214">
    <w:name w:val="Sin lista2111214"/>
    <w:next w:val="Sinlista"/>
    <w:uiPriority w:val="99"/>
    <w:semiHidden/>
    <w:unhideWhenUsed/>
    <w:rsid w:val="007968EC"/>
  </w:style>
  <w:style w:type="numbering" w:customStyle="1" w:styleId="Sinlista1111111214">
    <w:name w:val="Sin lista1111111214"/>
    <w:next w:val="Sinlista"/>
    <w:uiPriority w:val="99"/>
    <w:semiHidden/>
    <w:unhideWhenUsed/>
    <w:rsid w:val="007968EC"/>
  </w:style>
  <w:style w:type="numbering" w:customStyle="1" w:styleId="Sinlista41114">
    <w:name w:val="Sin lista41114"/>
    <w:next w:val="Sinlista"/>
    <w:uiPriority w:val="99"/>
    <w:semiHidden/>
    <w:unhideWhenUsed/>
    <w:rsid w:val="007968EC"/>
  </w:style>
  <w:style w:type="numbering" w:customStyle="1" w:styleId="Sinlista131114">
    <w:name w:val="Sin lista131114"/>
    <w:next w:val="Sinlista"/>
    <w:uiPriority w:val="99"/>
    <w:semiHidden/>
    <w:unhideWhenUsed/>
    <w:rsid w:val="007968EC"/>
  </w:style>
  <w:style w:type="numbering" w:customStyle="1" w:styleId="Sinlista1131114">
    <w:name w:val="Sin lista1131114"/>
    <w:next w:val="Sinlista"/>
    <w:uiPriority w:val="99"/>
    <w:semiHidden/>
    <w:unhideWhenUsed/>
    <w:rsid w:val="007968EC"/>
  </w:style>
  <w:style w:type="numbering" w:customStyle="1" w:styleId="Sinlista221114">
    <w:name w:val="Sin lista221114"/>
    <w:next w:val="Sinlista"/>
    <w:uiPriority w:val="99"/>
    <w:semiHidden/>
    <w:unhideWhenUsed/>
    <w:rsid w:val="007968EC"/>
  </w:style>
  <w:style w:type="numbering" w:customStyle="1" w:styleId="Sinlista11121114">
    <w:name w:val="Sin lista11121114"/>
    <w:next w:val="Sinlista"/>
    <w:uiPriority w:val="99"/>
    <w:semiHidden/>
    <w:unhideWhenUsed/>
    <w:rsid w:val="007968EC"/>
  </w:style>
  <w:style w:type="numbering" w:customStyle="1" w:styleId="Sinlista321114">
    <w:name w:val="Sin lista321114"/>
    <w:next w:val="Sinlista"/>
    <w:uiPriority w:val="99"/>
    <w:semiHidden/>
    <w:unhideWhenUsed/>
    <w:rsid w:val="007968EC"/>
  </w:style>
  <w:style w:type="numbering" w:customStyle="1" w:styleId="Sinlista1221114">
    <w:name w:val="Sin lista1221114"/>
    <w:next w:val="Sinlista"/>
    <w:uiPriority w:val="99"/>
    <w:semiHidden/>
    <w:unhideWhenUsed/>
    <w:rsid w:val="007968EC"/>
  </w:style>
  <w:style w:type="numbering" w:customStyle="1" w:styleId="Sinlista11221114">
    <w:name w:val="Sin lista11221114"/>
    <w:next w:val="Sinlista"/>
    <w:uiPriority w:val="99"/>
    <w:semiHidden/>
    <w:unhideWhenUsed/>
    <w:rsid w:val="007968EC"/>
  </w:style>
  <w:style w:type="numbering" w:customStyle="1" w:styleId="Sinlista2121114">
    <w:name w:val="Sin lista2121114"/>
    <w:next w:val="Sinlista"/>
    <w:uiPriority w:val="99"/>
    <w:semiHidden/>
    <w:unhideWhenUsed/>
    <w:rsid w:val="007968EC"/>
  </w:style>
  <w:style w:type="numbering" w:customStyle="1" w:styleId="Sinlista111121114">
    <w:name w:val="Sin lista111121114"/>
    <w:next w:val="Sinlista"/>
    <w:uiPriority w:val="99"/>
    <w:semiHidden/>
    <w:unhideWhenUsed/>
    <w:rsid w:val="007968EC"/>
  </w:style>
  <w:style w:type="numbering" w:customStyle="1" w:styleId="Sinlista3111114">
    <w:name w:val="Sin lista3111114"/>
    <w:next w:val="Sinlista"/>
    <w:uiPriority w:val="99"/>
    <w:semiHidden/>
    <w:unhideWhenUsed/>
    <w:rsid w:val="007968EC"/>
  </w:style>
  <w:style w:type="numbering" w:customStyle="1" w:styleId="Sinlista12111114">
    <w:name w:val="Sin lista12111114"/>
    <w:next w:val="Sinlista"/>
    <w:uiPriority w:val="99"/>
    <w:semiHidden/>
    <w:unhideWhenUsed/>
    <w:rsid w:val="007968EC"/>
  </w:style>
  <w:style w:type="numbering" w:customStyle="1" w:styleId="Sinlista112111114">
    <w:name w:val="Sin lista112111114"/>
    <w:next w:val="Sinlista"/>
    <w:uiPriority w:val="99"/>
    <w:semiHidden/>
    <w:unhideWhenUsed/>
    <w:rsid w:val="007968EC"/>
  </w:style>
  <w:style w:type="numbering" w:customStyle="1" w:styleId="Sinlista21111114">
    <w:name w:val="Sin lista21111114"/>
    <w:next w:val="Sinlista"/>
    <w:uiPriority w:val="99"/>
    <w:semiHidden/>
    <w:unhideWhenUsed/>
    <w:rsid w:val="007968EC"/>
  </w:style>
  <w:style w:type="numbering" w:customStyle="1" w:styleId="Sinlista1111111111115">
    <w:name w:val="Sin lista1111111111115"/>
    <w:next w:val="Sinlista"/>
    <w:uiPriority w:val="99"/>
    <w:semiHidden/>
    <w:unhideWhenUsed/>
    <w:rsid w:val="007968EC"/>
  </w:style>
  <w:style w:type="numbering" w:customStyle="1" w:styleId="Sinlista72">
    <w:name w:val="Sin lista72"/>
    <w:next w:val="Sinlista"/>
    <w:uiPriority w:val="99"/>
    <w:semiHidden/>
    <w:unhideWhenUsed/>
    <w:rsid w:val="007968EC"/>
  </w:style>
  <w:style w:type="numbering" w:customStyle="1" w:styleId="Sinlista162">
    <w:name w:val="Sin lista162"/>
    <w:next w:val="Sinlista"/>
    <w:uiPriority w:val="99"/>
    <w:semiHidden/>
    <w:unhideWhenUsed/>
    <w:rsid w:val="007968EC"/>
  </w:style>
  <w:style w:type="numbering" w:customStyle="1" w:styleId="Sinlista1162">
    <w:name w:val="Sin lista1162"/>
    <w:next w:val="Sinlista"/>
    <w:uiPriority w:val="99"/>
    <w:semiHidden/>
    <w:unhideWhenUsed/>
    <w:rsid w:val="007968EC"/>
  </w:style>
  <w:style w:type="numbering" w:customStyle="1" w:styleId="Sinlista11152">
    <w:name w:val="Sin lista11152"/>
    <w:next w:val="Sinlista"/>
    <w:uiPriority w:val="99"/>
    <w:semiHidden/>
    <w:unhideWhenUsed/>
    <w:rsid w:val="007968EC"/>
  </w:style>
  <w:style w:type="numbering" w:customStyle="1" w:styleId="Sinlista111152">
    <w:name w:val="Sin lista111152"/>
    <w:next w:val="Sinlista"/>
    <w:uiPriority w:val="99"/>
    <w:semiHidden/>
    <w:unhideWhenUsed/>
    <w:rsid w:val="007968EC"/>
  </w:style>
  <w:style w:type="numbering" w:customStyle="1" w:styleId="Sinlista1111142">
    <w:name w:val="Sin lista1111142"/>
    <w:next w:val="Sinlista"/>
    <w:uiPriority w:val="99"/>
    <w:semiHidden/>
    <w:unhideWhenUsed/>
    <w:rsid w:val="007968EC"/>
  </w:style>
  <w:style w:type="numbering" w:customStyle="1" w:styleId="Sinlista252">
    <w:name w:val="Sin lista252"/>
    <w:next w:val="Sinlista"/>
    <w:uiPriority w:val="99"/>
    <w:semiHidden/>
    <w:unhideWhenUsed/>
    <w:rsid w:val="007968EC"/>
  </w:style>
  <w:style w:type="numbering" w:customStyle="1" w:styleId="Sinlista11111142">
    <w:name w:val="Sin lista11111142"/>
    <w:next w:val="Sinlista"/>
    <w:uiPriority w:val="99"/>
    <w:semiHidden/>
    <w:unhideWhenUsed/>
    <w:rsid w:val="007968EC"/>
  </w:style>
  <w:style w:type="numbering" w:customStyle="1" w:styleId="Sinlista352">
    <w:name w:val="Sin lista352"/>
    <w:next w:val="Sinlista"/>
    <w:uiPriority w:val="99"/>
    <w:semiHidden/>
    <w:unhideWhenUsed/>
    <w:rsid w:val="007968EC"/>
  </w:style>
  <w:style w:type="numbering" w:customStyle="1" w:styleId="Sinlista1252">
    <w:name w:val="Sin lista1252"/>
    <w:next w:val="Sinlista"/>
    <w:uiPriority w:val="99"/>
    <w:semiHidden/>
    <w:unhideWhenUsed/>
    <w:rsid w:val="007968EC"/>
  </w:style>
  <w:style w:type="numbering" w:customStyle="1" w:styleId="Sinlista11252">
    <w:name w:val="Sin lista11252"/>
    <w:next w:val="Sinlista"/>
    <w:uiPriority w:val="99"/>
    <w:semiHidden/>
    <w:unhideWhenUsed/>
    <w:rsid w:val="007968EC"/>
  </w:style>
  <w:style w:type="numbering" w:customStyle="1" w:styleId="Sinlista2152">
    <w:name w:val="Sin lista2152"/>
    <w:next w:val="Sinlista"/>
    <w:uiPriority w:val="99"/>
    <w:semiHidden/>
    <w:unhideWhenUsed/>
    <w:rsid w:val="007968EC"/>
  </w:style>
  <w:style w:type="numbering" w:customStyle="1" w:styleId="Sinlista111111142">
    <w:name w:val="Sin lista111111142"/>
    <w:next w:val="Sinlista"/>
    <w:uiPriority w:val="99"/>
    <w:semiHidden/>
    <w:unhideWhenUsed/>
    <w:rsid w:val="007968EC"/>
  </w:style>
  <w:style w:type="numbering" w:customStyle="1" w:styleId="Sinlista3142">
    <w:name w:val="Sin lista3142"/>
    <w:next w:val="Sinlista"/>
    <w:uiPriority w:val="99"/>
    <w:semiHidden/>
    <w:unhideWhenUsed/>
    <w:rsid w:val="007968EC"/>
  </w:style>
  <w:style w:type="numbering" w:customStyle="1" w:styleId="Sinlista12142">
    <w:name w:val="Sin lista12142"/>
    <w:next w:val="Sinlista"/>
    <w:uiPriority w:val="99"/>
    <w:semiHidden/>
    <w:unhideWhenUsed/>
    <w:rsid w:val="007968EC"/>
  </w:style>
  <w:style w:type="numbering" w:customStyle="1" w:styleId="Sinlista112142">
    <w:name w:val="Sin lista112142"/>
    <w:next w:val="Sinlista"/>
    <w:uiPriority w:val="99"/>
    <w:semiHidden/>
    <w:unhideWhenUsed/>
    <w:rsid w:val="007968EC"/>
  </w:style>
  <w:style w:type="numbering" w:customStyle="1" w:styleId="Sinlista21142">
    <w:name w:val="Sin lista21142"/>
    <w:next w:val="Sinlista"/>
    <w:uiPriority w:val="99"/>
    <w:semiHidden/>
    <w:unhideWhenUsed/>
    <w:rsid w:val="007968EC"/>
  </w:style>
  <w:style w:type="numbering" w:customStyle="1" w:styleId="Sinlista1111111132">
    <w:name w:val="Sin lista1111111132"/>
    <w:next w:val="Sinlista"/>
    <w:uiPriority w:val="99"/>
    <w:semiHidden/>
    <w:unhideWhenUsed/>
    <w:rsid w:val="007968EC"/>
  </w:style>
  <w:style w:type="numbering" w:customStyle="1" w:styleId="Sinlista442">
    <w:name w:val="Sin lista442"/>
    <w:next w:val="Sinlista"/>
    <w:uiPriority w:val="99"/>
    <w:semiHidden/>
    <w:unhideWhenUsed/>
    <w:rsid w:val="007968EC"/>
  </w:style>
  <w:style w:type="numbering" w:customStyle="1" w:styleId="Sinlista1342">
    <w:name w:val="Sin lista1342"/>
    <w:next w:val="Sinlista"/>
    <w:uiPriority w:val="99"/>
    <w:semiHidden/>
    <w:unhideWhenUsed/>
    <w:rsid w:val="007968EC"/>
  </w:style>
  <w:style w:type="numbering" w:customStyle="1" w:styleId="Sinlista2242">
    <w:name w:val="Sin lista2242"/>
    <w:next w:val="Sinlista"/>
    <w:uiPriority w:val="99"/>
    <w:semiHidden/>
    <w:unhideWhenUsed/>
    <w:rsid w:val="007968EC"/>
  </w:style>
  <w:style w:type="numbering" w:customStyle="1" w:styleId="Sinlista11342">
    <w:name w:val="Sin lista11342"/>
    <w:next w:val="Sinlista"/>
    <w:uiPriority w:val="99"/>
    <w:semiHidden/>
    <w:unhideWhenUsed/>
    <w:rsid w:val="007968EC"/>
  </w:style>
  <w:style w:type="numbering" w:customStyle="1" w:styleId="Sinlista111242">
    <w:name w:val="Sin lista111242"/>
    <w:next w:val="Sinlista"/>
    <w:uiPriority w:val="99"/>
    <w:semiHidden/>
    <w:unhideWhenUsed/>
    <w:rsid w:val="007968EC"/>
  </w:style>
  <w:style w:type="numbering" w:customStyle="1" w:styleId="Sinlista3242">
    <w:name w:val="Sin lista3242"/>
    <w:next w:val="Sinlista"/>
    <w:uiPriority w:val="99"/>
    <w:semiHidden/>
    <w:unhideWhenUsed/>
    <w:rsid w:val="007968EC"/>
  </w:style>
  <w:style w:type="numbering" w:customStyle="1" w:styleId="Sinlista12242">
    <w:name w:val="Sin lista12242"/>
    <w:next w:val="Sinlista"/>
    <w:uiPriority w:val="99"/>
    <w:semiHidden/>
    <w:unhideWhenUsed/>
    <w:rsid w:val="007968EC"/>
  </w:style>
  <w:style w:type="numbering" w:customStyle="1" w:styleId="Sinlista112242">
    <w:name w:val="Sin lista112242"/>
    <w:next w:val="Sinlista"/>
    <w:uiPriority w:val="99"/>
    <w:semiHidden/>
    <w:unhideWhenUsed/>
    <w:rsid w:val="007968EC"/>
  </w:style>
  <w:style w:type="numbering" w:customStyle="1" w:styleId="Sinlista21242">
    <w:name w:val="Sin lista21242"/>
    <w:next w:val="Sinlista"/>
    <w:uiPriority w:val="99"/>
    <w:semiHidden/>
    <w:unhideWhenUsed/>
    <w:rsid w:val="007968EC"/>
  </w:style>
  <w:style w:type="numbering" w:customStyle="1" w:styleId="Sinlista1111242">
    <w:name w:val="Sin lista1111242"/>
    <w:next w:val="Sinlista"/>
    <w:uiPriority w:val="99"/>
    <w:semiHidden/>
    <w:unhideWhenUsed/>
    <w:rsid w:val="007968EC"/>
  </w:style>
  <w:style w:type="numbering" w:customStyle="1" w:styleId="Sinlista31142">
    <w:name w:val="Sin lista31142"/>
    <w:next w:val="Sinlista"/>
    <w:uiPriority w:val="99"/>
    <w:semiHidden/>
    <w:unhideWhenUsed/>
    <w:rsid w:val="007968EC"/>
  </w:style>
  <w:style w:type="numbering" w:customStyle="1" w:styleId="Sinlista121142">
    <w:name w:val="Sin lista121142"/>
    <w:next w:val="Sinlista"/>
    <w:uiPriority w:val="99"/>
    <w:semiHidden/>
    <w:unhideWhenUsed/>
    <w:rsid w:val="007968EC"/>
  </w:style>
  <w:style w:type="numbering" w:customStyle="1" w:styleId="Sinlista1121142">
    <w:name w:val="Sin lista1121142"/>
    <w:next w:val="Sinlista"/>
    <w:uiPriority w:val="99"/>
    <w:semiHidden/>
    <w:unhideWhenUsed/>
    <w:rsid w:val="007968EC"/>
  </w:style>
  <w:style w:type="numbering" w:customStyle="1" w:styleId="Sinlista211142">
    <w:name w:val="Sin lista211142"/>
    <w:next w:val="Sinlista"/>
    <w:uiPriority w:val="99"/>
    <w:semiHidden/>
    <w:unhideWhenUsed/>
    <w:rsid w:val="007968EC"/>
  </w:style>
  <w:style w:type="numbering" w:customStyle="1" w:styleId="Sinlista11111111132">
    <w:name w:val="Sin lista11111111132"/>
    <w:next w:val="Sinlista"/>
    <w:uiPriority w:val="99"/>
    <w:semiHidden/>
    <w:unhideWhenUsed/>
    <w:rsid w:val="007968EC"/>
  </w:style>
  <w:style w:type="numbering" w:customStyle="1" w:styleId="Sinlista4132">
    <w:name w:val="Sin lista4132"/>
    <w:next w:val="Sinlista"/>
    <w:uiPriority w:val="99"/>
    <w:semiHidden/>
    <w:unhideWhenUsed/>
    <w:rsid w:val="007968EC"/>
  </w:style>
  <w:style w:type="numbering" w:customStyle="1" w:styleId="Sinlista13132">
    <w:name w:val="Sin lista13132"/>
    <w:next w:val="Sinlista"/>
    <w:uiPriority w:val="99"/>
    <w:semiHidden/>
    <w:unhideWhenUsed/>
    <w:rsid w:val="007968EC"/>
  </w:style>
  <w:style w:type="numbering" w:customStyle="1" w:styleId="Sinlista113132">
    <w:name w:val="Sin lista113132"/>
    <w:next w:val="Sinlista"/>
    <w:uiPriority w:val="99"/>
    <w:semiHidden/>
    <w:unhideWhenUsed/>
    <w:rsid w:val="007968EC"/>
  </w:style>
  <w:style w:type="numbering" w:customStyle="1" w:styleId="Sinlista22132">
    <w:name w:val="Sin lista22132"/>
    <w:next w:val="Sinlista"/>
    <w:uiPriority w:val="99"/>
    <w:semiHidden/>
    <w:unhideWhenUsed/>
    <w:rsid w:val="007968EC"/>
  </w:style>
  <w:style w:type="numbering" w:customStyle="1" w:styleId="Sinlista1112132">
    <w:name w:val="Sin lista1112132"/>
    <w:next w:val="Sinlista"/>
    <w:uiPriority w:val="99"/>
    <w:semiHidden/>
    <w:unhideWhenUsed/>
    <w:rsid w:val="007968EC"/>
  </w:style>
  <w:style w:type="numbering" w:customStyle="1" w:styleId="Sinlista32132">
    <w:name w:val="Sin lista32132"/>
    <w:next w:val="Sinlista"/>
    <w:uiPriority w:val="99"/>
    <w:semiHidden/>
    <w:unhideWhenUsed/>
    <w:rsid w:val="007968EC"/>
  </w:style>
  <w:style w:type="numbering" w:customStyle="1" w:styleId="Sinlista122132">
    <w:name w:val="Sin lista122132"/>
    <w:next w:val="Sinlista"/>
    <w:uiPriority w:val="99"/>
    <w:semiHidden/>
    <w:unhideWhenUsed/>
    <w:rsid w:val="007968EC"/>
  </w:style>
  <w:style w:type="numbering" w:customStyle="1" w:styleId="Sinlista1122132">
    <w:name w:val="Sin lista1122132"/>
    <w:next w:val="Sinlista"/>
    <w:uiPriority w:val="99"/>
    <w:semiHidden/>
    <w:unhideWhenUsed/>
    <w:rsid w:val="007968EC"/>
  </w:style>
  <w:style w:type="numbering" w:customStyle="1" w:styleId="Sinlista212132">
    <w:name w:val="Sin lista212132"/>
    <w:next w:val="Sinlista"/>
    <w:uiPriority w:val="99"/>
    <w:semiHidden/>
    <w:unhideWhenUsed/>
    <w:rsid w:val="007968EC"/>
  </w:style>
  <w:style w:type="numbering" w:customStyle="1" w:styleId="Sinlista11112132">
    <w:name w:val="Sin lista11112132"/>
    <w:next w:val="Sinlista"/>
    <w:uiPriority w:val="99"/>
    <w:semiHidden/>
    <w:unhideWhenUsed/>
    <w:rsid w:val="007968EC"/>
  </w:style>
  <w:style w:type="numbering" w:customStyle="1" w:styleId="Sinlista311132">
    <w:name w:val="Sin lista311132"/>
    <w:next w:val="Sinlista"/>
    <w:uiPriority w:val="99"/>
    <w:semiHidden/>
    <w:unhideWhenUsed/>
    <w:rsid w:val="007968EC"/>
  </w:style>
  <w:style w:type="numbering" w:customStyle="1" w:styleId="Sinlista1211132">
    <w:name w:val="Sin lista1211132"/>
    <w:next w:val="Sinlista"/>
    <w:uiPriority w:val="99"/>
    <w:semiHidden/>
    <w:unhideWhenUsed/>
    <w:rsid w:val="007968EC"/>
  </w:style>
  <w:style w:type="numbering" w:customStyle="1" w:styleId="Sinlista11211132">
    <w:name w:val="Sin lista11211132"/>
    <w:next w:val="Sinlista"/>
    <w:uiPriority w:val="99"/>
    <w:semiHidden/>
    <w:unhideWhenUsed/>
    <w:rsid w:val="007968EC"/>
  </w:style>
  <w:style w:type="numbering" w:customStyle="1" w:styleId="Sinlista2111132">
    <w:name w:val="Sin lista2111132"/>
    <w:next w:val="Sinlista"/>
    <w:uiPriority w:val="99"/>
    <w:semiHidden/>
    <w:unhideWhenUsed/>
    <w:rsid w:val="007968EC"/>
  </w:style>
  <w:style w:type="numbering" w:customStyle="1" w:styleId="Sinlista111111111122">
    <w:name w:val="Sin lista111111111122"/>
    <w:next w:val="Sinlista"/>
    <w:uiPriority w:val="99"/>
    <w:semiHidden/>
    <w:unhideWhenUsed/>
    <w:rsid w:val="007968EC"/>
  </w:style>
  <w:style w:type="numbering" w:customStyle="1" w:styleId="Sinlista522">
    <w:name w:val="Sin lista522"/>
    <w:next w:val="Sinlista"/>
    <w:uiPriority w:val="99"/>
    <w:semiHidden/>
    <w:unhideWhenUsed/>
    <w:rsid w:val="007968EC"/>
  </w:style>
  <w:style w:type="numbering" w:customStyle="1" w:styleId="Sinlista1422">
    <w:name w:val="Sin lista1422"/>
    <w:next w:val="Sinlista"/>
    <w:uiPriority w:val="99"/>
    <w:semiHidden/>
    <w:unhideWhenUsed/>
    <w:rsid w:val="007968EC"/>
  </w:style>
  <w:style w:type="numbering" w:customStyle="1" w:styleId="Sinlista11422">
    <w:name w:val="Sin lista11422"/>
    <w:next w:val="Sinlista"/>
    <w:uiPriority w:val="99"/>
    <w:semiHidden/>
    <w:unhideWhenUsed/>
    <w:rsid w:val="007968EC"/>
  </w:style>
  <w:style w:type="numbering" w:customStyle="1" w:styleId="Sinlista111322">
    <w:name w:val="Sin lista111322"/>
    <w:next w:val="Sinlista"/>
    <w:uiPriority w:val="99"/>
    <w:semiHidden/>
    <w:unhideWhenUsed/>
    <w:rsid w:val="007968EC"/>
  </w:style>
  <w:style w:type="numbering" w:customStyle="1" w:styleId="Sinlista2322">
    <w:name w:val="Sin lista2322"/>
    <w:next w:val="Sinlista"/>
    <w:uiPriority w:val="99"/>
    <w:semiHidden/>
    <w:unhideWhenUsed/>
    <w:rsid w:val="007968EC"/>
  </w:style>
  <w:style w:type="numbering" w:customStyle="1" w:styleId="Sinlista1111322">
    <w:name w:val="Sin lista1111322"/>
    <w:next w:val="Sinlista"/>
    <w:uiPriority w:val="99"/>
    <w:semiHidden/>
    <w:unhideWhenUsed/>
    <w:rsid w:val="007968EC"/>
  </w:style>
  <w:style w:type="numbering" w:customStyle="1" w:styleId="Sinlista3322">
    <w:name w:val="Sin lista3322"/>
    <w:next w:val="Sinlista"/>
    <w:uiPriority w:val="99"/>
    <w:semiHidden/>
    <w:unhideWhenUsed/>
    <w:rsid w:val="007968EC"/>
  </w:style>
  <w:style w:type="numbering" w:customStyle="1" w:styleId="Sinlista12322">
    <w:name w:val="Sin lista12322"/>
    <w:next w:val="Sinlista"/>
    <w:uiPriority w:val="99"/>
    <w:semiHidden/>
    <w:unhideWhenUsed/>
    <w:rsid w:val="007968EC"/>
  </w:style>
  <w:style w:type="numbering" w:customStyle="1" w:styleId="Sinlista112322">
    <w:name w:val="Sin lista112322"/>
    <w:next w:val="Sinlista"/>
    <w:uiPriority w:val="99"/>
    <w:semiHidden/>
    <w:unhideWhenUsed/>
    <w:rsid w:val="007968EC"/>
  </w:style>
  <w:style w:type="numbering" w:customStyle="1" w:styleId="Sinlista21322">
    <w:name w:val="Sin lista21322"/>
    <w:next w:val="Sinlista"/>
    <w:uiPriority w:val="99"/>
    <w:semiHidden/>
    <w:unhideWhenUsed/>
    <w:rsid w:val="007968EC"/>
  </w:style>
  <w:style w:type="numbering" w:customStyle="1" w:styleId="Sinlista11111222">
    <w:name w:val="Sin lista11111222"/>
    <w:next w:val="Sinlista"/>
    <w:uiPriority w:val="99"/>
    <w:semiHidden/>
    <w:unhideWhenUsed/>
    <w:rsid w:val="007968EC"/>
  </w:style>
  <w:style w:type="numbering" w:customStyle="1" w:styleId="Sinlista31222">
    <w:name w:val="Sin lista31222"/>
    <w:next w:val="Sinlista"/>
    <w:uiPriority w:val="99"/>
    <w:semiHidden/>
    <w:unhideWhenUsed/>
    <w:rsid w:val="007968EC"/>
  </w:style>
  <w:style w:type="numbering" w:customStyle="1" w:styleId="Sinlista121222">
    <w:name w:val="Sin lista121222"/>
    <w:next w:val="Sinlista"/>
    <w:uiPriority w:val="99"/>
    <w:semiHidden/>
    <w:unhideWhenUsed/>
    <w:rsid w:val="007968EC"/>
  </w:style>
  <w:style w:type="numbering" w:customStyle="1" w:styleId="Sinlista1121222">
    <w:name w:val="Sin lista1121222"/>
    <w:next w:val="Sinlista"/>
    <w:uiPriority w:val="99"/>
    <w:semiHidden/>
    <w:unhideWhenUsed/>
    <w:rsid w:val="007968EC"/>
  </w:style>
  <w:style w:type="numbering" w:customStyle="1" w:styleId="Sinlista211222">
    <w:name w:val="Sin lista211222"/>
    <w:next w:val="Sinlista"/>
    <w:uiPriority w:val="99"/>
    <w:semiHidden/>
    <w:unhideWhenUsed/>
    <w:rsid w:val="007968EC"/>
  </w:style>
  <w:style w:type="numbering" w:customStyle="1" w:styleId="Sinlista111111222">
    <w:name w:val="Sin lista111111222"/>
    <w:next w:val="Sinlista"/>
    <w:uiPriority w:val="99"/>
    <w:semiHidden/>
    <w:unhideWhenUsed/>
    <w:rsid w:val="007968EC"/>
  </w:style>
  <w:style w:type="numbering" w:customStyle="1" w:styleId="Sinlista4222">
    <w:name w:val="Sin lista4222"/>
    <w:next w:val="Sinlista"/>
    <w:uiPriority w:val="99"/>
    <w:semiHidden/>
    <w:unhideWhenUsed/>
    <w:rsid w:val="007968EC"/>
  </w:style>
  <w:style w:type="numbering" w:customStyle="1" w:styleId="Sinlista13222">
    <w:name w:val="Sin lista13222"/>
    <w:next w:val="Sinlista"/>
    <w:uiPriority w:val="99"/>
    <w:semiHidden/>
    <w:unhideWhenUsed/>
    <w:rsid w:val="007968EC"/>
  </w:style>
  <w:style w:type="numbering" w:customStyle="1" w:styleId="Sinlista22222">
    <w:name w:val="Sin lista22222"/>
    <w:next w:val="Sinlista"/>
    <w:uiPriority w:val="99"/>
    <w:semiHidden/>
    <w:unhideWhenUsed/>
    <w:rsid w:val="007968EC"/>
  </w:style>
  <w:style w:type="numbering" w:customStyle="1" w:styleId="Sinlista113222">
    <w:name w:val="Sin lista113222"/>
    <w:next w:val="Sinlista"/>
    <w:uiPriority w:val="99"/>
    <w:semiHidden/>
    <w:unhideWhenUsed/>
    <w:rsid w:val="007968EC"/>
  </w:style>
  <w:style w:type="numbering" w:customStyle="1" w:styleId="Sinlista1112222">
    <w:name w:val="Sin lista1112222"/>
    <w:next w:val="Sinlista"/>
    <w:uiPriority w:val="99"/>
    <w:semiHidden/>
    <w:unhideWhenUsed/>
    <w:rsid w:val="007968EC"/>
  </w:style>
  <w:style w:type="numbering" w:customStyle="1" w:styleId="Sinlista32222">
    <w:name w:val="Sin lista32222"/>
    <w:next w:val="Sinlista"/>
    <w:uiPriority w:val="99"/>
    <w:semiHidden/>
    <w:unhideWhenUsed/>
    <w:rsid w:val="007968EC"/>
  </w:style>
  <w:style w:type="numbering" w:customStyle="1" w:styleId="Sinlista122222">
    <w:name w:val="Sin lista122222"/>
    <w:next w:val="Sinlista"/>
    <w:uiPriority w:val="99"/>
    <w:semiHidden/>
    <w:unhideWhenUsed/>
    <w:rsid w:val="007968EC"/>
  </w:style>
  <w:style w:type="numbering" w:customStyle="1" w:styleId="Sinlista1122222">
    <w:name w:val="Sin lista1122222"/>
    <w:next w:val="Sinlista"/>
    <w:uiPriority w:val="99"/>
    <w:semiHidden/>
    <w:unhideWhenUsed/>
    <w:rsid w:val="007968EC"/>
  </w:style>
  <w:style w:type="numbering" w:customStyle="1" w:styleId="Sinlista212222">
    <w:name w:val="Sin lista212222"/>
    <w:next w:val="Sinlista"/>
    <w:uiPriority w:val="99"/>
    <w:semiHidden/>
    <w:unhideWhenUsed/>
    <w:rsid w:val="007968EC"/>
  </w:style>
  <w:style w:type="numbering" w:customStyle="1" w:styleId="Sinlista11112222">
    <w:name w:val="Sin lista11112222"/>
    <w:next w:val="Sinlista"/>
    <w:uiPriority w:val="99"/>
    <w:semiHidden/>
    <w:unhideWhenUsed/>
    <w:rsid w:val="007968EC"/>
  </w:style>
  <w:style w:type="numbering" w:customStyle="1" w:styleId="Sinlista311222">
    <w:name w:val="Sin lista311222"/>
    <w:next w:val="Sinlista"/>
    <w:uiPriority w:val="99"/>
    <w:semiHidden/>
    <w:unhideWhenUsed/>
    <w:rsid w:val="007968EC"/>
  </w:style>
  <w:style w:type="numbering" w:customStyle="1" w:styleId="Sinlista1211222">
    <w:name w:val="Sin lista1211222"/>
    <w:next w:val="Sinlista"/>
    <w:uiPriority w:val="99"/>
    <w:semiHidden/>
    <w:unhideWhenUsed/>
    <w:rsid w:val="007968EC"/>
  </w:style>
  <w:style w:type="numbering" w:customStyle="1" w:styleId="Sinlista11211222">
    <w:name w:val="Sin lista11211222"/>
    <w:next w:val="Sinlista"/>
    <w:uiPriority w:val="99"/>
    <w:semiHidden/>
    <w:unhideWhenUsed/>
    <w:rsid w:val="007968EC"/>
  </w:style>
  <w:style w:type="numbering" w:customStyle="1" w:styleId="Sinlista2111222">
    <w:name w:val="Sin lista2111222"/>
    <w:next w:val="Sinlista"/>
    <w:uiPriority w:val="99"/>
    <w:semiHidden/>
    <w:unhideWhenUsed/>
    <w:rsid w:val="007968EC"/>
  </w:style>
  <w:style w:type="numbering" w:customStyle="1" w:styleId="Sinlista1111111222">
    <w:name w:val="Sin lista1111111222"/>
    <w:next w:val="Sinlista"/>
    <w:uiPriority w:val="99"/>
    <w:semiHidden/>
    <w:unhideWhenUsed/>
    <w:rsid w:val="007968EC"/>
  </w:style>
  <w:style w:type="numbering" w:customStyle="1" w:styleId="Sinlista41122">
    <w:name w:val="Sin lista41122"/>
    <w:next w:val="Sinlista"/>
    <w:uiPriority w:val="99"/>
    <w:semiHidden/>
    <w:unhideWhenUsed/>
    <w:rsid w:val="007968EC"/>
  </w:style>
  <w:style w:type="numbering" w:customStyle="1" w:styleId="Sinlista131122">
    <w:name w:val="Sin lista131122"/>
    <w:next w:val="Sinlista"/>
    <w:uiPriority w:val="99"/>
    <w:semiHidden/>
    <w:unhideWhenUsed/>
    <w:rsid w:val="007968EC"/>
  </w:style>
  <w:style w:type="numbering" w:customStyle="1" w:styleId="Sinlista1131122">
    <w:name w:val="Sin lista1131122"/>
    <w:next w:val="Sinlista"/>
    <w:uiPriority w:val="99"/>
    <w:semiHidden/>
    <w:unhideWhenUsed/>
    <w:rsid w:val="007968EC"/>
  </w:style>
  <w:style w:type="numbering" w:customStyle="1" w:styleId="Sinlista221122">
    <w:name w:val="Sin lista221122"/>
    <w:next w:val="Sinlista"/>
    <w:uiPriority w:val="99"/>
    <w:semiHidden/>
    <w:unhideWhenUsed/>
    <w:rsid w:val="007968EC"/>
  </w:style>
  <w:style w:type="numbering" w:customStyle="1" w:styleId="Sinlista11121122">
    <w:name w:val="Sin lista11121122"/>
    <w:next w:val="Sinlista"/>
    <w:uiPriority w:val="99"/>
    <w:semiHidden/>
    <w:unhideWhenUsed/>
    <w:rsid w:val="007968EC"/>
  </w:style>
  <w:style w:type="numbering" w:customStyle="1" w:styleId="Sinlista321122">
    <w:name w:val="Sin lista321122"/>
    <w:next w:val="Sinlista"/>
    <w:uiPriority w:val="99"/>
    <w:semiHidden/>
    <w:unhideWhenUsed/>
    <w:rsid w:val="007968EC"/>
  </w:style>
  <w:style w:type="numbering" w:customStyle="1" w:styleId="Sinlista1221122">
    <w:name w:val="Sin lista1221122"/>
    <w:next w:val="Sinlista"/>
    <w:uiPriority w:val="99"/>
    <w:semiHidden/>
    <w:unhideWhenUsed/>
    <w:rsid w:val="007968EC"/>
  </w:style>
  <w:style w:type="numbering" w:customStyle="1" w:styleId="Sinlista11221122">
    <w:name w:val="Sin lista11221122"/>
    <w:next w:val="Sinlista"/>
    <w:uiPriority w:val="99"/>
    <w:semiHidden/>
    <w:unhideWhenUsed/>
    <w:rsid w:val="007968EC"/>
  </w:style>
  <w:style w:type="numbering" w:customStyle="1" w:styleId="Sinlista2121122">
    <w:name w:val="Sin lista2121122"/>
    <w:next w:val="Sinlista"/>
    <w:uiPriority w:val="99"/>
    <w:semiHidden/>
    <w:unhideWhenUsed/>
    <w:rsid w:val="007968EC"/>
  </w:style>
  <w:style w:type="numbering" w:customStyle="1" w:styleId="Sinlista111121122">
    <w:name w:val="Sin lista111121122"/>
    <w:next w:val="Sinlista"/>
    <w:uiPriority w:val="99"/>
    <w:semiHidden/>
    <w:unhideWhenUsed/>
    <w:rsid w:val="007968EC"/>
  </w:style>
  <w:style w:type="numbering" w:customStyle="1" w:styleId="Sinlista3111122">
    <w:name w:val="Sin lista3111122"/>
    <w:next w:val="Sinlista"/>
    <w:uiPriority w:val="99"/>
    <w:semiHidden/>
    <w:unhideWhenUsed/>
    <w:rsid w:val="007968EC"/>
  </w:style>
  <w:style w:type="numbering" w:customStyle="1" w:styleId="Sinlista12111122">
    <w:name w:val="Sin lista12111122"/>
    <w:next w:val="Sinlista"/>
    <w:uiPriority w:val="99"/>
    <w:semiHidden/>
    <w:unhideWhenUsed/>
    <w:rsid w:val="007968EC"/>
  </w:style>
  <w:style w:type="numbering" w:customStyle="1" w:styleId="Sinlista112111122">
    <w:name w:val="Sin lista112111122"/>
    <w:next w:val="Sinlista"/>
    <w:uiPriority w:val="99"/>
    <w:semiHidden/>
    <w:unhideWhenUsed/>
    <w:rsid w:val="007968EC"/>
  </w:style>
  <w:style w:type="numbering" w:customStyle="1" w:styleId="Sinlista21111122">
    <w:name w:val="Sin lista21111122"/>
    <w:next w:val="Sinlista"/>
    <w:uiPriority w:val="99"/>
    <w:semiHidden/>
    <w:unhideWhenUsed/>
    <w:rsid w:val="007968EC"/>
  </w:style>
  <w:style w:type="numbering" w:customStyle="1" w:styleId="Sinlista1111111111122">
    <w:name w:val="Sin lista1111111111122"/>
    <w:next w:val="Sinlista"/>
    <w:uiPriority w:val="99"/>
    <w:semiHidden/>
    <w:unhideWhenUsed/>
    <w:rsid w:val="007968EC"/>
  </w:style>
  <w:style w:type="numbering" w:customStyle="1" w:styleId="Sinlista612">
    <w:name w:val="Sin lista612"/>
    <w:next w:val="Sinlista"/>
    <w:uiPriority w:val="99"/>
    <w:semiHidden/>
    <w:unhideWhenUsed/>
    <w:rsid w:val="007968EC"/>
  </w:style>
  <w:style w:type="numbering" w:customStyle="1" w:styleId="Sinlista1512">
    <w:name w:val="Sin lista1512"/>
    <w:next w:val="Sinlista"/>
    <w:uiPriority w:val="99"/>
    <w:semiHidden/>
    <w:unhideWhenUsed/>
    <w:rsid w:val="007968EC"/>
  </w:style>
  <w:style w:type="numbering" w:customStyle="1" w:styleId="Sinlista11512">
    <w:name w:val="Sin lista11512"/>
    <w:next w:val="Sinlista"/>
    <w:uiPriority w:val="99"/>
    <w:semiHidden/>
    <w:unhideWhenUsed/>
    <w:rsid w:val="007968EC"/>
  </w:style>
  <w:style w:type="numbering" w:customStyle="1" w:styleId="Sinlista111412">
    <w:name w:val="Sin lista111412"/>
    <w:next w:val="Sinlista"/>
    <w:uiPriority w:val="99"/>
    <w:semiHidden/>
    <w:unhideWhenUsed/>
    <w:rsid w:val="007968EC"/>
  </w:style>
  <w:style w:type="numbering" w:customStyle="1" w:styleId="Sinlista1111412">
    <w:name w:val="Sin lista1111412"/>
    <w:next w:val="Sinlista"/>
    <w:uiPriority w:val="99"/>
    <w:semiHidden/>
    <w:unhideWhenUsed/>
    <w:rsid w:val="007968EC"/>
  </w:style>
  <w:style w:type="numbering" w:customStyle="1" w:styleId="Sinlista11111312">
    <w:name w:val="Sin lista11111312"/>
    <w:next w:val="Sinlista"/>
    <w:uiPriority w:val="99"/>
    <w:semiHidden/>
    <w:unhideWhenUsed/>
    <w:rsid w:val="007968EC"/>
  </w:style>
  <w:style w:type="numbering" w:customStyle="1" w:styleId="Sinlista2412">
    <w:name w:val="Sin lista2412"/>
    <w:next w:val="Sinlista"/>
    <w:uiPriority w:val="99"/>
    <w:semiHidden/>
    <w:unhideWhenUsed/>
    <w:rsid w:val="007968EC"/>
  </w:style>
  <w:style w:type="numbering" w:customStyle="1" w:styleId="Sinlista111111312">
    <w:name w:val="Sin lista111111312"/>
    <w:next w:val="Sinlista"/>
    <w:uiPriority w:val="99"/>
    <w:semiHidden/>
    <w:unhideWhenUsed/>
    <w:rsid w:val="007968EC"/>
  </w:style>
  <w:style w:type="numbering" w:customStyle="1" w:styleId="Sinlista3412">
    <w:name w:val="Sin lista3412"/>
    <w:next w:val="Sinlista"/>
    <w:uiPriority w:val="99"/>
    <w:semiHidden/>
    <w:unhideWhenUsed/>
    <w:rsid w:val="007968EC"/>
  </w:style>
  <w:style w:type="numbering" w:customStyle="1" w:styleId="Sinlista12412">
    <w:name w:val="Sin lista12412"/>
    <w:next w:val="Sinlista"/>
    <w:uiPriority w:val="99"/>
    <w:semiHidden/>
    <w:unhideWhenUsed/>
    <w:rsid w:val="007968EC"/>
  </w:style>
  <w:style w:type="numbering" w:customStyle="1" w:styleId="Sinlista112412">
    <w:name w:val="Sin lista112412"/>
    <w:next w:val="Sinlista"/>
    <w:uiPriority w:val="99"/>
    <w:semiHidden/>
    <w:unhideWhenUsed/>
    <w:rsid w:val="007968EC"/>
  </w:style>
  <w:style w:type="numbering" w:customStyle="1" w:styleId="Sinlista21412">
    <w:name w:val="Sin lista21412"/>
    <w:next w:val="Sinlista"/>
    <w:uiPriority w:val="99"/>
    <w:semiHidden/>
    <w:unhideWhenUsed/>
    <w:rsid w:val="007968EC"/>
  </w:style>
  <w:style w:type="numbering" w:customStyle="1" w:styleId="Sinlista1111111312">
    <w:name w:val="Sin lista1111111312"/>
    <w:next w:val="Sinlista"/>
    <w:uiPriority w:val="99"/>
    <w:semiHidden/>
    <w:unhideWhenUsed/>
    <w:rsid w:val="007968EC"/>
  </w:style>
  <w:style w:type="numbering" w:customStyle="1" w:styleId="Sinlista31312">
    <w:name w:val="Sin lista31312"/>
    <w:next w:val="Sinlista"/>
    <w:uiPriority w:val="99"/>
    <w:semiHidden/>
    <w:unhideWhenUsed/>
    <w:rsid w:val="007968EC"/>
  </w:style>
  <w:style w:type="numbering" w:customStyle="1" w:styleId="Sinlista121312">
    <w:name w:val="Sin lista121312"/>
    <w:next w:val="Sinlista"/>
    <w:uiPriority w:val="99"/>
    <w:semiHidden/>
    <w:unhideWhenUsed/>
    <w:rsid w:val="007968EC"/>
  </w:style>
  <w:style w:type="numbering" w:customStyle="1" w:styleId="Sinlista1121312">
    <w:name w:val="Sin lista1121312"/>
    <w:next w:val="Sinlista"/>
    <w:uiPriority w:val="99"/>
    <w:semiHidden/>
    <w:unhideWhenUsed/>
    <w:rsid w:val="007968EC"/>
  </w:style>
  <w:style w:type="numbering" w:customStyle="1" w:styleId="Sinlista211312">
    <w:name w:val="Sin lista211312"/>
    <w:next w:val="Sinlista"/>
    <w:uiPriority w:val="99"/>
    <w:semiHidden/>
    <w:unhideWhenUsed/>
    <w:rsid w:val="007968EC"/>
  </w:style>
  <w:style w:type="numbering" w:customStyle="1" w:styleId="Sinlista11111111212">
    <w:name w:val="Sin lista11111111212"/>
    <w:next w:val="Sinlista"/>
    <w:uiPriority w:val="99"/>
    <w:semiHidden/>
    <w:unhideWhenUsed/>
    <w:rsid w:val="007968EC"/>
  </w:style>
  <w:style w:type="numbering" w:customStyle="1" w:styleId="Sinlista4312">
    <w:name w:val="Sin lista4312"/>
    <w:next w:val="Sinlista"/>
    <w:uiPriority w:val="99"/>
    <w:semiHidden/>
    <w:unhideWhenUsed/>
    <w:rsid w:val="007968EC"/>
  </w:style>
  <w:style w:type="numbering" w:customStyle="1" w:styleId="Sinlista13312">
    <w:name w:val="Sin lista13312"/>
    <w:next w:val="Sinlista"/>
    <w:uiPriority w:val="99"/>
    <w:semiHidden/>
    <w:unhideWhenUsed/>
    <w:rsid w:val="007968EC"/>
  </w:style>
  <w:style w:type="numbering" w:customStyle="1" w:styleId="Sinlista22312">
    <w:name w:val="Sin lista22312"/>
    <w:next w:val="Sinlista"/>
    <w:uiPriority w:val="99"/>
    <w:semiHidden/>
    <w:unhideWhenUsed/>
    <w:rsid w:val="007968EC"/>
  </w:style>
  <w:style w:type="numbering" w:customStyle="1" w:styleId="Sinlista113312">
    <w:name w:val="Sin lista113312"/>
    <w:next w:val="Sinlista"/>
    <w:uiPriority w:val="99"/>
    <w:semiHidden/>
    <w:unhideWhenUsed/>
    <w:rsid w:val="007968EC"/>
  </w:style>
  <w:style w:type="numbering" w:customStyle="1" w:styleId="Sinlista1112312">
    <w:name w:val="Sin lista1112312"/>
    <w:next w:val="Sinlista"/>
    <w:uiPriority w:val="99"/>
    <w:semiHidden/>
    <w:unhideWhenUsed/>
    <w:rsid w:val="007968EC"/>
  </w:style>
  <w:style w:type="numbering" w:customStyle="1" w:styleId="Sinlista32312">
    <w:name w:val="Sin lista32312"/>
    <w:next w:val="Sinlista"/>
    <w:uiPriority w:val="99"/>
    <w:semiHidden/>
    <w:unhideWhenUsed/>
    <w:rsid w:val="007968EC"/>
  </w:style>
  <w:style w:type="numbering" w:customStyle="1" w:styleId="Sinlista122312">
    <w:name w:val="Sin lista122312"/>
    <w:next w:val="Sinlista"/>
    <w:uiPriority w:val="99"/>
    <w:semiHidden/>
    <w:unhideWhenUsed/>
    <w:rsid w:val="007968EC"/>
  </w:style>
  <w:style w:type="numbering" w:customStyle="1" w:styleId="Sinlista1122312">
    <w:name w:val="Sin lista1122312"/>
    <w:next w:val="Sinlista"/>
    <w:uiPriority w:val="99"/>
    <w:semiHidden/>
    <w:unhideWhenUsed/>
    <w:rsid w:val="007968EC"/>
  </w:style>
  <w:style w:type="numbering" w:customStyle="1" w:styleId="Sinlista212312">
    <w:name w:val="Sin lista212312"/>
    <w:next w:val="Sinlista"/>
    <w:uiPriority w:val="99"/>
    <w:semiHidden/>
    <w:unhideWhenUsed/>
    <w:rsid w:val="007968EC"/>
  </w:style>
  <w:style w:type="numbering" w:customStyle="1" w:styleId="Sinlista11112312">
    <w:name w:val="Sin lista11112312"/>
    <w:next w:val="Sinlista"/>
    <w:uiPriority w:val="99"/>
    <w:semiHidden/>
    <w:unhideWhenUsed/>
    <w:rsid w:val="007968EC"/>
  </w:style>
  <w:style w:type="numbering" w:customStyle="1" w:styleId="Sinlista311312">
    <w:name w:val="Sin lista311312"/>
    <w:next w:val="Sinlista"/>
    <w:uiPriority w:val="99"/>
    <w:semiHidden/>
    <w:unhideWhenUsed/>
    <w:rsid w:val="007968EC"/>
  </w:style>
  <w:style w:type="numbering" w:customStyle="1" w:styleId="Sinlista1211312">
    <w:name w:val="Sin lista1211312"/>
    <w:next w:val="Sinlista"/>
    <w:uiPriority w:val="99"/>
    <w:semiHidden/>
    <w:unhideWhenUsed/>
    <w:rsid w:val="007968EC"/>
  </w:style>
  <w:style w:type="numbering" w:customStyle="1" w:styleId="Sinlista11211312">
    <w:name w:val="Sin lista11211312"/>
    <w:next w:val="Sinlista"/>
    <w:uiPriority w:val="99"/>
    <w:semiHidden/>
    <w:unhideWhenUsed/>
    <w:rsid w:val="007968EC"/>
  </w:style>
  <w:style w:type="numbering" w:customStyle="1" w:styleId="Sinlista2111312">
    <w:name w:val="Sin lista2111312"/>
    <w:next w:val="Sinlista"/>
    <w:uiPriority w:val="99"/>
    <w:semiHidden/>
    <w:unhideWhenUsed/>
    <w:rsid w:val="007968EC"/>
  </w:style>
  <w:style w:type="numbering" w:customStyle="1" w:styleId="Sinlista111111111212">
    <w:name w:val="Sin lista111111111212"/>
    <w:next w:val="Sinlista"/>
    <w:uiPriority w:val="99"/>
    <w:semiHidden/>
    <w:unhideWhenUsed/>
    <w:rsid w:val="007968EC"/>
  </w:style>
  <w:style w:type="numbering" w:customStyle="1" w:styleId="Sinlista41212">
    <w:name w:val="Sin lista41212"/>
    <w:next w:val="Sinlista"/>
    <w:uiPriority w:val="99"/>
    <w:semiHidden/>
    <w:unhideWhenUsed/>
    <w:rsid w:val="007968EC"/>
  </w:style>
  <w:style w:type="numbering" w:customStyle="1" w:styleId="Sinlista131212">
    <w:name w:val="Sin lista131212"/>
    <w:next w:val="Sinlista"/>
    <w:uiPriority w:val="99"/>
    <w:semiHidden/>
    <w:unhideWhenUsed/>
    <w:rsid w:val="007968EC"/>
  </w:style>
  <w:style w:type="numbering" w:customStyle="1" w:styleId="Sinlista1131212">
    <w:name w:val="Sin lista1131212"/>
    <w:next w:val="Sinlista"/>
    <w:uiPriority w:val="99"/>
    <w:semiHidden/>
    <w:unhideWhenUsed/>
    <w:rsid w:val="007968EC"/>
  </w:style>
  <w:style w:type="numbering" w:customStyle="1" w:styleId="Sinlista221212">
    <w:name w:val="Sin lista221212"/>
    <w:next w:val="Sinlista"/>
    <w:uiPriority w:val="99"/>
    <w:semiHidden/>
    <w:unhideWhenUsed/>
    <w:rsid w:val="007968EC"/>
  </w:style>
  <w:style w:type="numbering" w:customStyle="1" w:styleId="Sinlista11121212">
    <w:name w:val="Sin lista11121212"/>
    <w:next w:val="Sinlista"/>
    <w:uiPriority w:val="99"/>
    <w:semiHidden/>
    <w:unhideWhenUsed/>
    <w:rsid w:val="007968EC"/>
  </w:style>
  <w:style w:type="numbering" w:customStyle="1" w:styleId="Sinlista321212">
    <w:name w:val="Sin lista321212"/>
    <w:next w:val="Sinlista"/>
    <w:uiPriority w:val="99"/>
    <w:semiHidden/>
    <w:unhideWhenUsed/>
    <w:rsid w:val="007968EC"/>
  </w:style>
  <w:style w:type="numbering" w:customStyle="1" w:styleId="Sinlista1221212">
    <w:name w:val="Sin lista1221212"/>
    <w:next w:val="Sinlista"/>
    <w:uiPriority w:val="99"/>
    <w:semiHidden/>
    <w:unhideWhenUsed/>
    <w:rsid w:val="007968EC"/>
  </w:style>
  <w:style w:type="numbering" w:customStyle="1" w:styleId="Sinlista11221212">
    <w:name w:val="Sin lista11221212"/>
    <w:next w:val="Sinlista"/>
    <w:uiPriority w:val="99"/>
    <w:semiHidden/>
    <w:unhideWhenUsed/>
    <w:rsid w:val="007968EC"/>
  </w:style>
  <w:style w:type="numbering" w:customStyle="1" w:styleId="Sinlista2121212">
    <w:name w:val="Sin lista2121212"/>
    <w:next w:val="Sinlista"/>
    <w:uiPriority w:val="99"/>
    <w:semiHidden/>
    <w:unhideWhenUsed/>
    <w:rsid w:val="007968EC"/>
  </w:style>
  <w:style w:type="numbering" w:customStyle="1" w:styleId="Sinlista111121212">
    <w:name w:val="Sin lista111121212"/>
    <w:next w:val="Sinlista"/>
    <w:uiPriority w:val="99"/>
    <w:semiHidden/>
    <w:unhideWhenUsed/>
    <w:rsid w:val="007968EC"/>
  </w:style>
  <w:style w:type="numbering" w:customStyle="1" w:styleId="Sinlista3111212">
    <w:name w:val="Sin lista3111212"/>
    <w:next w:val="Sinlista"/>
    <w:uiPriority w:val="99"/>
    <w:semiHidden/>
    <w:unhideWhenUsed/>
    <w:rsid w:val="007968EC"/>
  </w:style>
  <w:style w:type="numbering" w:customStyle="1" w:styleId="Sinlista12111212">
    <w:name w:val="Sin lista12111212"/>
    <w:next w:val="Sinlista"/>
    <w:uiPriority w:val="99"/>
    <w:semiHidden/>
    <w:unhideWhenUsed/>
    <w:rsid w:val="007968EC"/>
  </w:style>
  <w:style w:type="numbering" w:customStyle="1" w:styleId="Sinlista112111212">
    <w:name w:val="Sin lista112111212"/>
    <w:next w:val="Sinlista"/>
    <w:uiPriority w:val="99"/>
    <w:semiHidden/>
    <w:unhideWhenUsed/>
    <w:rsid w:val="007968EC"/>
  </w:style>
  <w:style w:type="numbering" w:customStyle="1" w:styleId="Sinlista21111212">
    <w:name w:val="Sin lista21111212"/>
    <w:next w:val="Sinlista"/>
    <w:uiPriority w:val="99"/>
    <w:semiHidden/>
    <w:unhideWhenUsed/>
    <w:rsid w:val="007968EC"/>
  </w:style>
  <w:style w:type="numbering" w:customStyle="1" w:styleId="Sinlista11111111111112">
    <w:name w:val="Sin lista11111111111112"/>
    <w:next w:val="Sinlista"/>
    <w:uiPriority w:val="99"/>
    <w:semiHidden/>
    <w:unhideWhenUsed/>
    <w:rsid w:val="007968EC"/>
  </w:style>
  <w:style w:type="numbering" w:customStyle="1" w:styleId="Sinlista5112">
    <w:name w:val="Sin lista5112"/>
    <w:next w:val="Sinlista"/>
    <w:uiPriority w:val="99"/>
    <w:semiHidden/>
    <w:unhideWhenUsed/>
    <w:rsid w:val="007968EC"/>
  </w:style>
  <w:style w:type="numbering" w:customStyle="1" w:styleId="Sinlista14112">
    <w:name w:val="Sin lista14112"/>
    <w:next w:val="Sinlista"/>
    <w:uiPriority w:val="99"/>
    <w:semiHidden/>
    <w:unhideWhenUsed/>
    <w:rsid w:val="007968EC"/>
  </w:style>
  <w:style w:type="numbering" w:customStyle="1" w:styleId="Sinlista114112">
    <w:name w:val="Sin lista114112"/>
    <w:next w:val="Sinlista"/>
    <w:uiPriority w:val="99"/>
    <w:semiHidden/>
    <w:unhideWhenUsed/>
    <w:rsid w:val="007968EC"/>
  </w:style>
  <w:style w:type="numbering" w:customStyle="1" w:styleId="Sinlista1113112">
    <w:name w:val="Sin lista1113112"/>
    <w:next w:val="Sinlista"/>
    <w:uiPriority w:val="99"/>
    <w:semiHidden/>
    <w:unhideWhenUsed/>
    <w:rsid w:val="007968EC"/>
  </w:style>
  <w:style w:type="numbering" w:customStyle="1" w:styleId="Sinlista23112">
    <w:name w:val="Sin lista23112"/>
    <w:next w:val="Sinlista"/>
    <w:uiPriority w:val="99"/>
    <w:semiHidden/>
    <w:unhideWhenUsed/>
    <w:rsid w:val="007968EC"/>
  </w:style>
  <w:style w:type="numbering" w:customStyle="1" w:styleId="Sinlista11113112">
    <w:name w:val="Sin lista11113112"/>
    <w:next w:val="Sinlista"/>
    <w:uiPriority w:val="99"/>
    <w:semiHidden/>
    <w:unhideWhenUsed/>
    <w:rsid w:val="007968EC"/>
  </w:style>
  <w:style w:type="numbering" w:customStyle="1" w:styleId="Sinlista33112">
    <w:name w:val="Sin lista33112"/>
    <w:next w:val="Sinlista"/>
    <w:uiPriority w:val="99"/>
    <w:semiHidden/>
    <w:unhideWhenUsed/>
    <w:rsid w:val="007968EC"/>
  </w:style>
  <w:style w:type="numbering" w:customStyle="1" w:styleId="Sinlista123112">
    <w:name w:val="Sin lista123112"/>
    <w:next w:val="Sinlista"/>
    <w:uiPriority w:val="99"/>
    <w:semiHidden/>
    <w:unhideWhenUsed/>
    <w:rsid w:val="007968EC"/>
  </w:style>
  <w:style w:type="numbering" w:customStyle="1" w:styleId="Sinlista1123112">
    <w:name w:val="Sin lista1123112"/>
    <w:next w:val="Sinlista"/>
    <w:uiPriority w:val="99"/>
    <w:semiHidden/>
    <w:unhideWhenUsed/>
    <w:rsid w:val="007968EC"/>
  </w:style>
  <w:style w:type="numbering" w:customStyle="1" w:styleId="Sinlista213112">
    <w:name w:val="Sin lista213112"/>
    <w:next w:val="Sinlista"/>
    <w:uiPriority w:val="99"/>
    <w:semiHidden/>
    <w:unhideWhenUsed/>
    <w:rsid w:val="007968EC"/>
  </w:style>
  <w:style w:type="numbering" w:customStyle="1" w:styleId="Sinlista111112112">
    <w:name w:val="Sin lista111112112"/>
    <w:next w:val="Sinlista"/>
    <w:uiPriority w:val="99"/>
    <w:semiHidden/>
    <w:unhideWhenUsed/>
    <w:rsid w:val="007968EC"/>
  </w:style>
  <w:style w:type="numbering" w:customStyle="1" w:styleId="Sinlista312112">
    <w:name w:val="Sin lista312112"/>
    <w:next w:val="Sinlista"/>
    <w:uiPriority w:val="99"/>
    <w:semiHidden/>
    <w:unhideWhenUsed/>
    <w:rsid w:val="007968EC"/>
  </w:style>
  <w:style w:type="numbering" w:customStyle="1" w:styleId="Sinlista1212112">
    <w:name w:val="Sin lista1212112"/>
    <w:next w:val="Sinlista"/>
    <w:uiPriority w:val="99"/>
    <w:semiHidden/>
    <w:unhideWhenUsed/>
    <w:rsid w:val="007968EC"/>
  </w:style>
  <w:style w:type="numbering" w:customStyle="1" w:styleId="Sinlista11212112">
    <w:name w:val="Sin lista11212112"/>
    <w:next w:val="Sinlista"/>
    <w:uiPriority w:val="99"/>
    <w:semiHidden/>
    <w:unhideWhenUsed/>
    <w:rsid w:val="007968EC"/>
  </w:style>
  <w:style w:type="numbering" w:customStyle="1" w:styleId="Sinlista2112112">
    <w:name w:val="Sin lista2112112"/>
    <w:next w:val="Sinlista"/>
    <w:uiPriority w:val="99"/>
    <w:semiHidden/>
    <w:unhideWhenUsed/>
    <w:rsid w:val="007968EC"/>
  </w:style>
  <w:style w:type="numbering" w:customStyle="1" w:styleId="Sinlista1111112112">
    <w:name w:val="Sin lista1111112112"/>
    <w:next w:val="Sinlista"/>
    <w:uiPriority w:val="99"/>
    <w:semiHidden/>
    <w:unhideWhenUsed/>
    <w:rsid w:val="007968EC"/>
  </w:style>
  <w:style w:type="numbering" w:customStyle="1" w:styleId="Sinlista42112">
    <w:name w:val="Sin lista42112"/>
    <w:next w:val="Sinlista"/>
    <w:uiPriority w:val="99"/>
    <w:semiHidden/>
    <w:unhideWhenUsed/>
    <w:rsid w:val="007968EC"/>
  </w:style>
  <w:style w:type="numbering" w:customStyle="1" w:styleId="Sinlista132112">
    <w:name w:val="Sin lista132112"/>
    <w:next w:val="Sinlista"/>
    <w:uiPriority w:val="99"/>
    <w:semiHidden/>
    <w:unhideWhenUsed/>
    <w:rsid w:val="007968EC"/>
  </w:style>
  <w:style w:type="numbering" w:customStyle="1" w:styleId="Sinlista222112">
    <w:name w:val="Sin lista222112"/>
    <w:next w:val="Sinlista"/>
    <w:uiPriority w:val="99"/>
    <w:semiHidden/>
    <w:unhideWhenUsed/>
    <w:rsid w:val="007968EC"/>
  </w:style>
  <w:style w:type="numbering" w:customStyle="1" w:styleId="Sinlista1132112">
    <w:name w:val="Sin lista1132112"/>
    <w:next w:val="Sinlista"/>
    <w:uiPriority w:val="99"/>
    <w:semiHidden/>
    <w:unhideWhenUsed/>
    <w:rsid w:val="007968EC"/>
  </w:style>
  <w:style w:type="numbering" w:customStyle="1" w:styleId="Sinlista11122112">
    <w:name w:val="Sin lista11122112"/>
    <w:next w:val="Sinlista"/>
    <w:uiPriority w:val="99"/>
    <w:semiHidden/>
    <w:unhideWhenUsed/>
    <w:rsid w:val="007968EC"/>
  </w:style>
  <w:style w:type="numbering" w:customStyle="1" w:styleId="Sinlista322112">
    <w:name w:val="Sin lista322112"/>
    <w:next w:val="Sinlista"/>
    <w:uiPriority w:val="99"/>
    <w:semiHidden/>
    <w:unhideWhenUsed/>
    <w:rsid w:val="007968EC"/>
  </w:style>
  <w:style w:type="numbering" w:customStyle="1" w:styleId="Sinlista1222112">
    <w:name w:val="Sin lista1222112"/>
    <w:next w:val="Sinlista"/>
    <w:uiPriority w:val="99"/>
    <w:semiHidden/>
    <w:unhideWhenUsed/>
    <w:rsid w:val="007968EC"/>
  </w:style>
  <w:style w:type="numbering" w:customStyle="1" w:styleId="Sinlista11222112">
    <w:name w:val="Sin lista11222112"/>
    <w:next w:val="Sinlista"/>
    <w:uiPriority w:val="99"/>
    <w:semiHidden/>
    <w:unhideWhenUsed/>
    <w:rsid w:val="007968EC"/>
  </w:style>
  <w:style w:type="numbering" w:customStyle="1" w:styleId="Sinlista2122112">
    <w:name w:val="Sin lista2122112"/>
    <w:next w:val="Sinlista"/>
    <w:uiPriority w:val="99"/>
    <w:semiHidden/>
    <w:unhideWhenUsed/>
    <w:rsid w:val="007968EC"/>
  </w:style>
  <w:style w:type="numbering" w:customStyle="1" w:styleId="Sinlista111122112">
    <w:name w:val="Sin lista111122112"/>
    <w:next w:val="Sinlista"/>
    <w:uiPriority w:val="99"/>
    <w:semiHidden/>
    <w:unhideWhenUsed/>
    <w:rsid w:val="007968EC"/>
  </w:style>
  <w:style w:type="numbering" w:customStyle="1" w:styleId="Sinlista3112112">
    <w:name w:val="Sin lista3112112"/>
    <w:next w:val="Sinlista"/>
    <w:uiPriority w:val="99"/>
    <w:semiHidden/>
    <w:unhideWhenUsed/>
    <w:rsid w:val="007968EC"/>
  </w:style>
  <w:style w:type="numbering" w:customStyle="1" w:styleId="Sinlista12112112">
    <w:name w:val="Sin lista12112112"/>
    <w:next w:val="Sinlista"/>
    <w:uiPriority w:val="99"/>
    <w:semiHidden/>
    <w:unhideWhenUsed/>
    <w:rsid w:val="007968EC"/>
  </w:style>
  <w:style w:type="numbering" w:customStyle="1" w:styleId="Sinlista112112112">
    <w:name w:val="Sin lista112112112"/>
    <w:next w:val="Sinlista"/>
    <w:uiPriority w:val="99"/>
    <w:semiHidden/>
    <w:unhideWhenUsed/>
    <w:rsid w:val="007968EC"/>
  </w:style>
  <w:style w:type="numbering" w:customStyle="1" w:styleId="Sinlista21112112">
    <w:name w:val="Sin lista21112112"/>
    <w:next w:val="Sinlista"/>
    <w:uiPriority w:val="99"/>
    <w:semiHidden/>
    <w:unhideWhenUsed/>
    <w:rsid w:val="007968EC"/>
  </w:style>
  <w:style w:type="numbering" w:customStyle="1" w:styleId="Sinlista11111112112">
    <w:name w:val="Sin lista11111112112"/>
    <w:next w:val="Sinlista"/>
    <w:uiPriority w:val="99"/>
    <w:semiHidden/>
    <w:unhideWhenUsed/>
    <w:rsid w:val="007968EC"/>
  </w:style>
  <w:style w:type="numbering" w:customStyle="1" w:styleId="Sinlista411112">
    <w:name w:val="Sin lista411112"/>
    <w:next w:val="Sinlista"/>
    <w:uiPriority w:val="99"/>
    <w:semiHidden/>
    <w:unhideWhenUsed/>
    <w:rsid w:val="007968EC"/>
  </w:style>
  <w:style w:type="numbering" w:customStyle="1" w:styleId="Sinlista1311112">
    <w:name w:val="Sin lista1311112"/>
    <w:next w:val="Sinlista"/>
    <w:uiPriority w:val="99"/>
    <w:semiHidden/>
    <w:unhideWhenUsed/>
    <w:rsid w:val="007968EC"/>
  </w:style>
  <w:style w:type="numbering" w:customStyle="1" w:styleId="Sinlista11311112">
    <w:name w:val="Sin lista11311112"/>
    <w:next w:val="Sinlista"/>
    <w:uiPriority w:val="99"/>
    <w:semiHidden/>
    <w:unhideWhenUsed/>
    <w:rsid w:val="007968EC"/>
  </w:style>
  <w:style w:type="numbering" w:customStyle="1" w:styleId="Sinlista2211112">
    <w:name w:val="Sin lista2211112"/>
    <w:next w:val="Sinlista"/>
    <w:uiPriority w:val="99"/>
    <w:semiHidden/>
    <w:unhideWhenUsed/>
    <w:rsid w:val="007968EC"/>
  </w:style>
  <w:style w:type="numbering" w:customStyle="1" w:styleId="Sinlista111211112">
    <w:name w:val="Sin lista111211112"/>
    <w:next w:val="Sinlista"/>
    <w:uiPriority w:val="99"/>
    <w:semiHidden/>
    <w:unhideWhenUsed/>
    <w:rsid w:val="007968EC"/>
  </w:style>
  <w:style w:type="numbering" w:customStyle="1" w:styleId="Sinlista3211112">
    <w:name w:val="Sin lista3211112"/>
    <w:next w:val="Sinlista"/>
    <w:uiPriority w:val="99"/>
    <w:semiHidden/>
    <w:unhideWhenUsed/>
    <w:rsid w:val="007968EC"/>
  </w:style>
  <w:style w:type="numbering" w:customStyle="1" w:styleId="Sinlista12211112">
    <w:name w:val="Sin lista12211112"/>
    <w:next w:val="Sinlista"/>
    <w:uiPriority w:val="99"/>
    <w:semiHidden/>
    <w:unhideWhenUsed/>
    <w:rsid w:val="007968EC"/>
  </w:style>
  <w:style w:type="numbering" w:customStyle="1" w:styleId="Sinlista112211112">
    <w:name w:val="Sin lista112211112"/>
    <w:next w:val="Sinlista"/>
    <w:uiPriority w:val="99"/>
    <w:semiHidden/>
    <w:unhideWhenUsed/>
    <w:rsid w:val="007968EC"/>
  </w:style>
  <w:style w:type="numbering" w:customStyle="1" w:styleId="Sinlista21211112">
    <w:name w:val="Sin lista21211112"/>
    <w:next w:val="Sinlista"/>
    <w:uiPriority w:val="99"/>
    <w:semiHidden/>
    <w:unhideWhenUsed/>
    <w:rsid w:val="007968EC"/>
  </w:style>
  <w:style w:type="numbering" w:customStyle="1" w:styleId="Sinlista1111211112">
    <w:name w:val="Sin lista1111211112"/>
    <w:next w:val="Sinlista"/>
    <w:uiPriority w:val="99"/>
    <w:semiHidden/>
    <w:unhideWhenUsed/>
    <w:rsid w:val="007968EC"/>
  </w:style>
  <w:style w:type="numbering" w:customStyle="1" w:styleId="Sinlista31111112">
    <w:name w:val="Sin lista31111112"/>
    <w:next w:val="Sinlista"/>
    <w:uiPriority w:val="99"/>
    <w:semiHidden/>
    <w:unhideWhenUsed/>
    <w:rsid w:val="007968EC"/>
  </w:style>
  <w:style w:type="numbering" w:customStyle="1" w:styleId="Sinlista121111112">
    <w:name w:val="Sin lista121111112"/>
    <w:next w:val="Sinlista"/>
    <w:uiPriority w:val="99"/>
    <w:semiHidden/>
    <w:unhideWhenUsed/>
    <w:rsid w:val="007968EC"/>
  </w:style>
  <w:style w:type="numbering" w:customStyle="1" w:styleId="Sinlista1121111112">
    <w:name w:val="Sin lista1121111112"/>
    <w:next w:val="Sinlista"/>
    <w:uiPriority w:val="99"/>
    <w:semiHidden/>
    <w:unhideWhenUsed/>
    <w:rsid w:val="007968EC"/>
  </w:style>
  <w:style w:type="numbering" w:customStyle="1" w:styleId="Sinlista211111112">
    <w:name w:val="Sin lista211111112"/>
    <w:next w:val="Sinlista"/>
    <w:uiPriority w:val="99"/>
    <w:semiHidden/>
    <w:unhideWhenUsed/>
    <w:rsid w:val="007968EC"/>
  </w:style>
  <w:style w:type="numbering" w:customStyle="1" w:styleId="Sinlista111111111111111">
    <w:name w:val="Sin lista111111111111111"/>
    <w:next w:val="Sinlista"/>
    <w:uiPriority w:val="99"/>
    <w:semiHidden/>
    <w:unhideWhenUsed/>
    <w:rsid w:val="007968EC"/>
  </w:style>
  <w:style w:type="numbering" w:customStyle="1" w:styleId="Sinlista711">
    <w:name w:val="Sin lista711"/>
    <w:next w:val="Sinlista"/>
    <w:uiPriority w:val="99"/>
    <w:semiHidden/>
    <w:unhideWhenUsed/>
    <w:rsid w:val="007968EC"/>
  </w:style>
  <w:style w:type="numbering" w:customStyle="1" w:styleId="Sinlista81">
    <w:name w:val="Sin lista81"/>
    <w:next w:val="Sinlista"/>
    <w:uiPriority w:val="99"/>
    <w:semiHidden/>
    <w:unhideWhenUsed/>
    <w:rsid w:val="007968EC"/>
  </w:style>
  <w:style w:type="numbering" w:customStyle="1" w:styleId="Sinlista1611">
    <w:name w:val="Sin lista1611"/>
    <w:next w:val="Sinlista"/>
    <w:uiPriority w:val="99"/>
    <w:semiHidden/>
    <w:unhideWhenUsed/>
    <w:rsid w:val="007968EC"/>
  </w:style>
  <w:style w:type="numbering" w:customStyle="1" w:styleId="Sinlista11611">
    <w:name w:val="Sin lista11611"/>
    <w:next w:val="Sinlista"/>
    <w:uiPriority w:val="99"/>
    <w:semiHidden/>
    <w:unhideWhenUsed/>
    <w:rsid w:val="007968EC"/>
  </w:style>
  <w:style w:type="numbering" w:customStyle="1" w:styleId="Sinlista111511">
    <w:name w:val="Sin lista111511"/>
    <w:next w:val="Sinlista"/>
    <w:uiPriority w:val="99"/>
    <w:semiHidden/>
    <w:unhideWhenUsed/>
    <w:rsid w:val="007968EC"/>
  </w:style>
  <w:style w:type="numbering" w:customStyle="1" w:styleId="Sinlista1111511">
    <w:name w:val="Sin lista1111511"/>
    <w:next w:val="Sinlista"/>
    <w:uiPriority w:val="99"/>
    <w:semiHidden/>
    <w:unhideWhenUsed/>
    <w:rsid w:val="007968EC"/>
  </w:style>
  <w:style w:type="numbering" w:customStyle="1" w:styleId="Sinlista2511">
    <w:name w:val="Sin lista2511"/>
    <w:next w:val="Sinlista"/>
    <w:uiPriority w:val="99"/>
    <w:semiHidden/>
    <w:unhideWhenUsed/>
    <w:rsid w:val="007968EC"/>
  </w:style>
  <w:style w:type="numbering" w:customStyle="1" w:styleId="Sinlista11111411">
    <w:name w:val="Sin lista11111411"/>
    <w:next w:val="Sinlista"/>
    <w:uiPriority w:val="99"/>
    <w:semiHidden/>
    <w:unhideWhenUsed/>
    <w:rsid w:val="007968EC"/>
  </w:style>
  <w:style w:type="numbering" w:customStyle="1" w:styleId="Sinlista3511">
    <w:name w:val="Sin lista3511"/>
    <w:next w:val="Sinlista"/>
    <w:uiPriority w:val="99"/>
    <w:semiHidden/>
    <w:unhideWhenUsed/>
    <w:rsid w:val="007968EC"/>
  </w:style>
  <w:style w:type="numbering" w:customStyle="1" w:styleId="Sinlista12511">
    <w:name w:val="Sin lista12511"/>
    <w:next w:val="Sinlista"/>
    <w:uiPriority w:val="99"/>
    <w:semiHidden/>
    <w:unhideWhenUsed/>
    <w:rsid w:val="007968EC"/>
  </w:style>
  <w:style w:type="numbering" w:customStyle="1" w:styleId="Sinlista112511">
    <w:name w:val="Sin lista112511"/>
    <w:next w:val="Sinlista"/>
    <w:uiPriority w:val="99"/>
    <w:semiHidden/>
    <w:unhideWhenUsed/>
    <w:rsid w:val="007968EC"/>
  </w:style>
  <w:style w:type="numbering" w:customStyle="1" w:styleId="Sinlista21511">
    <w:name w:val="Sin lista21511"/>
    <w:next w:val="Sinlista"/>
    <w:uiPriority w:val="99"/>
    <w:semiHidden/>
    <w:unhideWhenUsed/>
    <w:rsid w:val="007968EC"/>
  </w:style>
  <w:style w:type="numbering" w:customStyle="1" w:styleId="Sinlista111111411">
    <w:name w:val="Sin lista111111411"/>
    <w:next w:val="Sinlista"/>
    <w:uiPriority w:val="99"/>
    <w:semiHidden/>
    <w:unhideWhenUsed/>
    <w:rsid w:val="007968EC"/>
  </w:style>
  <w:style w:type="numbering" w:customStyle="1" w:styleId="Sinlista31411">
    <w:name w:val="Sin lista31411"/>
    <w:next w:val="Sinlista"/>
    <w:uiPriority w:val="99"/>
    <w:semiHidden/>
    <w:unhideWhenUsed/>
    <w:rsid w:val="007968EC"/>
  </w:style>
  <w:style w:type="numbering" w:customStyle="1" w:styleId="Sinlista121411">
    <w:name w:val="Sin lista121411"/>
    <w:next w:val="Sinlista"/>
    <w:uiPriority w:val="99"/>
    <w:semiHidden/>
    <w:unhideWhenUsed/>
    <w:rsid w:val="007968EC"/>
  </w:style>
  <w:style w:type="numbering" w:customStyle="1" w:styleId="Sinlista1121411">
    <w:name w:val="Sin lista1121411"/>
    <w:next w:val="Sinlista"/>
    <w:uiPriority w:val="99"/>
    <w:semiHidden/>
    <w:unhideWhenUsed/>
    <w:rsid w:val="007968EC"/>
  </w:style>
  <w:style w:type="numbering" w:customStyle="1" w:styleId="Sinlista211411">
    <w:name w:val="Sin lista211411"/>
    <w:next w:val="Sinlista"/>
    <w:uiPriority w:val="99"/>
    <w:semiHidden/>
    <w:unhideWhenUsed/>
    <w:rsid w:val="007968EC"/>
  </w:style>
  <w:style w:type="numbering" w:customStyle="1" w:styleId="Sinlista1111111411">
    <w:name w:val="Sin lista1111111411"/>
    <w:next w:val="Sinlista"/>
    <w:uiPriority w:val="99"/>
    <w:semiHidden/>
    <w:unhideWhenUsed/>
    <w:rsid w:val="007968EC"/>
  </w:style>
  <w:style w:type="numbering" w:customStyle="1" w:styleId="Sinlista4411">
    <w:name w:val="Sin lista4411"/>
    <w:next w:val="Sinlista"/>
    <w:uiPriority w:val="99"/>
    <w:semiHidden/>
    <w:unhideWhenUsed/>
    <w:rsid w:val="007968EC"/>
  </w:style>
  <w:style w:type="numbering" w:customStyle="1" w:styleId="Sinlista13411">
    <w:name w:val="Sin lista13411"/>
    <w:next w:val="Sinlista"/>
    <w:uiPriority w:val="99"/>
    <w:semiHidden/>
    <w:unhideWhenUsed/>
    <w:rsid w:val="007968EC"/>
  </w:style>
  <w:style w:type="numbering" w:customStyle="1" w:styleId="Sinlista22411">
    <w:name w:val="Sin lista22411"/>
    <w:next w:val="Sinlista"/>
    <w:uiPriority w:val="99"/>
    <w:semiHidden/>
    <w:unhideWhenUsed/>
    <w:rsid w:val="007968EC"/>
  </w:style>
  <w:style w:type="numbering" w:customStyle="1" w:styleId="Sinlista113411">
    <w:name w:val="Sin lista113411"/>
    <w:next w:val="Sinlista"/>
    <w:uiPriority w:val="99"/>
    <w:semiHidden/>
    <w:unhideWhenUsed/>
    <w:rsid w:val="007968EC"/>
  </w:style>
  <w:style w:type="numbering" w:customStyle="1" w:styleId="Sinlista1112411">
    <w:name w:val="Sin lista1112411"/>
    <w:next w:val="Sinlista"/>
    <w:uiPriority w:val="99"/>
    <w:semiHidden/>
    <w:unhideWhenUsed/>
    <w:rsid w:val="007968EC"/>
  </w:style>
  <w:style w:type="numbering" w:customStyle="1" w:styleId="Sinlista32411">
    <w:name w:val="Sin lista32411"/>
    <w:next w:val="Sinlista"/>
    <w:uiPriority w:val="99"/>
    <w:semiHidden/>
    <w:unhideWhenUsed/>
    <w:rsid w:val="007968EC"/>
  </w:style>
  <w:style w:type="numbering" w:customStyle="1" w:styleId="Sinlista122411">
    <w:name w:val="Sin lista122411"/>
    <w:next w:val="Sinlista"/>
    <w:uiPriority w:val="99"/>
    <w:semiHidden/>
    <w:unhideWhenUsed/>
    <w:rsid w:val="007968EC"/>
  </w:style>
  <w:style w:type="numbering" w:customStyle="1" w:styleId="Sinlista1122411">
    <w:name w:val="Sin lista1122411"/>
    <w:next w:val="Sinlista"/>
    <w:uiPriority w:val="99"/>
    <w:semiHidden/>
    <w:unhideWhenUsed/>
    <w:rsid w:val="007968EC"/>
  </w:style>
  <w:style w:type="numbering" w:customStyle="1" w:styleId="Sinlista212411">
    <w:name w:val="Sin lista212411"/>
    <w:next w:val="Sinlista"/>
    <w:uiPriority w:val="99"/>
    <w:semiHidden/>
    <w:unhideWhenUsed/>
    <w:rsid w:val="007968EC"/>
  </w:style>
  <w:style w:type="numbering" w:customStyle="1" w:styleId="Sinlista11112411">
    <w:name w:val="Sin lista11112411"/>
    <w:next w:val="Sinlista"/>
    <w:uiPriority w:val="99"/>
    <w:semiHidden/>
    <w:unhideWhenUsed/>
    <w:rsid w:val="007968EC"/>
  </w:style>
  <w:style w:type="numbering" w:customStyle="1" w:styleId="Sinlista311411">
    <w:name w:val="Sin lista311411"/>
    <w:next w:val="Sinlista"/>
    <w:uiPriority w:val="99"/>
    <w:semiHidden/>
    <w:unhideWhenUsed/>
    <w:rsid w:val="007968EC"/>
  </w:style>
  <w:style w:type="numbering" w:customStyle="1" w:styleId="Sinlista1211411">
    <w:name w:val="Sin lista1211411"/>
    <w:next w:val="Sinlista"/>
    <w:uiPriority w:val="99"/>
    <w:semiHidden/>
    <w:unhideWhenUsed/>
    <w:rsid w:val="007968EC"/>
  </w:style>
  <w:style w:type="numbering" w:customStyle="1" w:styleId="Sinlista11211411">
    <w:name w:val="Sin lista11211411"/>
    <w:next w:val="Sinlista"/>
    <w:uiPriority w:val="99"/>
    <w:semiHidden/>
    <w:unhideWhenUsed/>
    <w:rsid w:val="007968EC"/>
  </w:style>
  <w:style w:type="numbering" w:customStyle="1" w:styleId="Sinlista2111411">
    <w:name w:val="Sin lista2111411"/>
    <w:next w:val="Sinlista"/>
    <w:uiPriority w:val="99"/>
    <w:semiHidden/>
    <w:unhideWhenUsed/>
    <w:rsid w:val="007968EC"/>
  </w:style>
  <w:style w:type="numbering" w:customStyle="1" w:styleId="Sinlista11111111311">
    <w:name w:val="Sin lista11111111311"/>
    <w:next w:val="Sinlista"/>
    <w:uiPriority w:val="99"/>
    <w:semiHidden/>
    <w:unhideWhenUsed/>
    <w:rsid w:val="007968EC"/>
  </w:style>
  <w:style w:type="numbering" w:customStyle="1" w:styleId="Sinlista41311">
    <w:name w:val="Sin lista41311"/>
    <w:next w:val="Sinlista"/>
    <w:uiPriority w:val="99"/>
    <w:semiHidden/>
    <w:unhideWhenUsed/>
    <w:rsid w:val="007968EC"/>
  </w:style>
  <w:style w:type="numbering" w:customStyle="1" w:styleId="Sinlista131311">
    <w:name w:val="Sin lista131311"/>
    <w:next w:val="Sinlista"/>
    <w:uiPriority w:val="99"/>
    <w:semiHidden/>
    <w:unhideWhenUsed/>
    <w:rsid w:val="007968EC"/>
  </w:style>
  <w:style w:type="numbering" w:customStyle="1" w:styleId="Sinlista1131311">
    <w:name w:val="Sin lista1131311"/>
    <w:next w:val="Sinlista"/>
    <w:uiPriority w:val="99"/>
    <w:semiHidden/>
    <w:unhideWhenUsed/>
    <w:rsid w:val="007968EC"/>
  </w:style>
  <w:style w:type="numbering" w:customStyle="1" w:styleId="Sinlista221311">
    <w:name w:val="Sin lista221311"/>
    <w:next w:val="Sinlista"/>
    <w:uiPriority w:val="99"/>
    <w:semiHidden/>
    <w:unhideWhenUsed/>
    <w:rsid w:val="007968EC"/>
  </w:style>
  <w:style w:type="numbering" w:customStyle="1" w:styleId="Sinlista11121311">
    <w:name w:val="Sin lista11121311"/>
    <w:next w:val="Sinlista"/>
    <w:uiPriority w:val="99"/>
    <w:semiHidden/>
    <w:unhideWhenUsed/>
    <w:rsid w:val="007968EC"/>
  </w:style>
  <w:style w:type="numbering" w:customStyle="1" w:styleId="Sinlista321311">
    <w:name w:val="Sin lista321311"/>
    <w:next w:val="Sinlista"/>
    <w:uiPriority w:val="99"/>
    <w:semiHidden/>
    <w:unhideWhenUsed/>
    <w:rsid w:val="007968EC"/>
  </w:style>
  <w:style w:type="numbering" w:customStyle="1" w:styleId="Sinlista1221311">
    <w:name w:val="Sin lista1221311"/>
    <w:next w:val="Sinlista"/>
    <w:uiPriority w:val="99"/>
    <w:semiHidden/>
    <w:unhideWhenUsed/>
    <w:rsid w:val="007968EC"/>
  </w:style>
  <w:style w:type="numbering" w:customStyle="1" w:styleId="Sinlista11221311">
    <w:name w:val="Sin lista11221311"/>
    <w:next w:val="Sinlista"/>
    <w:uiPriority w:val="99"/>
    <w:semiHidden/>
    <w:unhideWhenUsed/>
    <w:rsid w:val="007968EC"/>
  </w:style>
  <w:style w:type="numbering" w:customStyle="1" w:styleId="Sinlista2121311">
    <w:name w:val="Sin lista2121311"/>
    <w:next w:val="Sinlista"/>
    <w:uiPriority w:val="99"/>
    <w:semiHidden/>
    <w:unhideWhenUsed/>
    <w:rsid w:val="007968EC"/>
  </w:style>
  <w:style w:type="numbering" w:customStyle="1" w:styleId="Sinlista111121311">
    <w:name w:val="Sin lista111121311"/>
    <w:next w:val="Sinlista"/>
    <w:uiPriority w:val="99"/>
    <w:semiHidden/>
    <w:unhideWhenUsed/>
    <w:rsid w:val="007968EC"/>
  </w:style>
  <w:style w:type="numbering" w:customStyle="1" w:styleId="Sinlista3111311">
    <w:name w:val="Sin lista3111311"/>
    <w:next w:val="Sinlista"/>
    <w:uiPriority w:val="99"/>
    <w:semiHidden/>
    <w:unhideWhenUsed/>
    <w:rsid w:val="007968EC"/>
  </w:style>
  <w:style w:type="numbering" w:customStyle="1" w:styleId="Sinlista12111311">
    <w:name w:val="Sin lista12111311"/>
    <w:next w:val="Sinlista"/>
    <w:uiPriority w:val="99"/>
    <w:semiHidden/>
    <w:unhideWhenUsed/>
    <w:rsid w:val="007968EC"/>
  </w:style>
  <w:style w:type="numbering" w:customStyle="1" w:styleId="Sinlista112111311">
    <w:name w:val="Sin lista112111311"/>
    <w:next w:val="Sinlista"/>
    <w:uiPriority w:val="99"/>
    <w:semiHidden/>
    <w:unhideWhenUsed/>
    <w:rsid w:val="007968EC"/>
  </w:style>
  <w:style w:type="numbering" w:customStyle="1" w:styleId="Sinlista21111311">
    <w:name w:val="Sin lista21111311"/>
    <w:next w:val="Sinlista"/>
    <w:uiPriority w:val="99"/>
    <w:semiHidden/>
    <w:unhideWhenUsed/>
    <w:rsid w:val="007968EC"/>
  </w:style>
  <w:style w:type="numbering" w:customStyle="1" w:styleId="Sinlista111111111311">
    <w:name w:val="Sin lista111111111311"/>
    <w:next w:val="Sinlista"/>
    <w:uiPriority w:val="99"/>
    <w:semiHidden/>
    <w:unhideWhenUsed/>
    <w:rsid w:val="007968EC"/>
  </w:style>
  <w:style w:type="numbering" w:customStyle="1" w:styleId="Sinlista5211">
    <w:name w:val="Sin lista5211"/>
    <w:next w:val="Sinlista"/>
    <w:uiPriority w:val="99"/>
    <w:semiHidden/>
    <w:unhideWhenUsed/>
    <w:rsid w:val="007968EC"/>
  </w:style>
  <w:style w:type="numbering" w:customStyle="1" w:styleId="Sinlista14211">
    <w:name w:val="Sin lista14211"/>
    <w:next w:val="Sinlista"/>
    <w:uiPriority w:val="99"/>
    <w:semiHidden/>
    <w:unhideWhenUsed/>
    <w:rsid w:val="007968EC"/>
  </w:style>
  <w:style w:type="numbering" w:customStyle="1" w:styleId="Sinlista114211">
    <w:name w:val="Sin lista114211"/>
    <w:next w:val="Sinlista"/>
    <w:uiPriority w:val="99"/>
    <w:semiHidden/>
    <w:unhideWhenUsed/>
    <w:rsid w:val="007968EC"/>
  </w:style>
  <w:style w:type="numbering" w:customStyle="1" w:styleId="Sinlista1113211">
    <w:name w:val="Sin lista1113211"/>
    <w:next w:val="Sinlista"/>
    <w:uiPriority w:val="99"/>
    <w:semiHidden/>
    <w:unhideWhenUsed/>
    <w:rsid w:val="007968EC"/>
  </w:style>
  <w:style w:type="numbering" w:customStyle="1" w:styleId="Sinlista23211">
    <w:name w:val="Sin lista23211"/>
    <w:next w:val="Sinlista"/>
    <w:uiPriority w:val="99"/>
    <w:semiHidden/>
    <w:unhideWhenUsed/>
    <w:rsid w:val="007968EC"/>
  </w:style>
  <w:style w:type="numbering" w:customStyle="1" w:styleId="Sinlista11113211">
    <w:name w:val="Sin lista11113211"/>
    <w:next w:val="Sinlista"/>
    <w:uiPriority w:val="99"/>
    <w:semiHidden/>
    <w:unhideWhenUsed/>
    <w:rsid w:val="007968EC"/>
  </w:style>
  <w:style w:type="numbering" w:customStyle="1" w:styleId="Sinlista33211">
    <w:name w:val="Sin lista33211"/>
    <w:next w:val="Sinlista"/>
    <w:uiPriority w:val="99"/>
    <w:semiHidden/>
    <w:unhideWhenUsed/>
    <w:rsid w:val="007968EC"/>
  </w:style>
  <w:style w:type="numbering" w:customStyle="1" w:styleId="Sinlista123211">
    <w:name w:val="Sin lista123211"/>
    <w:next w:val="Sinlista"/>
    <w:uiPriority w:val="99"/>
    <w:semiHidden/>
    <w:unhideWhenUsed/>
    <w:rsid w:val="007968EC"/>
  </w:style>
  <w:style w:type="numbering" w:customStyle="1" w:styleId="Sinlista1123211">
    <w:name w:val="Sin lista1123211"/>
    <w:next w:val="Sinlista"/>
    <w:uiPriority w:val="99"/>
    <w:semiHidden/>
    <w:unhideWhenUsed/>
    <w:rsid w:val="007968EC"/>
  </w:style>
  <w:style w:type="numbering" w:customStyle="1" w:styleId="Sinlista213211">
    <w:name w:val="Sin lista213211"/>
    <w:next w:val="Sinlista"/>
    <w:uiPriority w:val="99"/>
    <w:semiHidden/>
    <w:unhideWhenUsed/>
    <w:rsid w:val="007968EC"/>
  </w:style>
  <w:style w:type="numbering" w:customStyle="1" w:styleId="Sinlista111112211">
    <w:name w:val="Sin lista111112211"/>
    <w:next w:val="Sinlista"/>
    <w:uiPriority w:val="99"/>
    <w:semiHidden/>
    <w:unhideWhenUsed/>
    <w:rsid w:val="007968EC"/>
  </w:style>
  <w:style w:type="numbering" w:customStyle="1" w:styleId="Sinlista312211">
    <w:name w:val="Sin lista312211"/>
    <w:next w:val="Sinlista"/>
    <w:uiPriority w:val="99"/>
    <w:semiHidden/>
    <w:unhideWhenUsed/>
    <w:rsid w:val="007968EC"/>
  </w:style>
  <w:style w:type="numbering" w:customStyle="1" w:styleId="Sinlista1212211">
    <w:name w:val="Sin lista1212211"/>
    <w:next w:val="Sinlista"/>
    <w:uiPriority w:val="99"/>
    <w:semiHidden/>
    <w:unhideWhenUsed/>
    <w:rsid w:val="007968EC"/>
  </w:style>
  <w:style w:type="numbering" w:customStyle="1" w:styleId="Sinlista11212211">
    <w:name w:val="Sin lista11212211"/>
    <w:next w:val="Sinlista"/>
    <w:uiPriority w:val="99"/>
    <w:semiHidden/>
    <w:unhideWhenUsed/>
    <w:rsid w:val="007968EC"/>
  </w:style>
  <w:style w:type="numbering" w:customStyle="1" w:styleId="Sinlista2112211">
    <w:name w:val="Sin lista2112211"/>
    <w:next w:val="Sinlista"/>
    <w:uiPriority w:val="99"/>
    <w:semiHidden/>
    <w:unhideWhenUsed/>
    <w:rsid w:val="007968EC"/>
  </w:style>
  <w:style w:type="numbering" w:customStyle="1" w:styleId="Sinlista1111112211">
    <w:name w:val="Sin lista1111112211"/>
    <w:next w:val="Sinlista"/>
    <w:uiPriority w:val="99"/>
    <w:semiHidden/>
    <w:unhideWhenUsed/>
    <w:rsid w:val="007968EC"/>
  </w:style>
  <w:style w:type="numbering" w:customStyle="1" w:styleId="Sinlista42211">
    <w:name w:val="Sin lista42211"/>
    <w:next w:val="Sinlista"/>
    <w:uiPriority w:val="99"/>
    <w:semiHidden/>
    <w:unhideWhenUsed/>
    <w:rsid w:val="007968EC"/>
  </w:style>
  <w:style w:type="numbering" w:customStyle="1" w:styleId="Sinlista132211">
    <w:name w:val="Sin lista132211"/>
    <w:next w:val="Sinlista"/>
    <w:uiPriority w:val="99"/>
    <w:semiHidden/>
    <w:unhideWhenUsed/>
    <w:rsid w:val="007968EC"/>
  </w:style>
  <w:style w:type="numbering" w:customStyle="1" w:styleId="Sinlista222211">
    <w:name w:val="Sin lista222211"/>
    <w:next w:val="Sinlista"/>
    <w:uiPriority w:val="99"/>
    <w:semiHidden/>
    <w:unhideWhenUsed/>
    <w:rsid w:val="007968EC"/>
  </w:style>
  <w:style w:type="numbering" w:customStyle="1" w:styleId="Sinlista1132211">
    <w:name w:val="Sin lista1132211"/>
    <w:next w:val="Sinlista"/>
    <w:uiPriority w:val="99"/>
    <w:semiHidden/>
    <w:unhideWhenUsed/>
    <w:rsid w:val="007968EC"/>
  </w:style>
  <w:style w:type="numbering" w:customStyle="1" w:styleId="Sinlista11122211">
    <w:name w:val="Sin lista11122211"/>
    <w:next w:val="Sinlista"/>
    <w:uiPriority w:val="99"/>
    <w:semiHidden/>
    <w:unhideWhenUsed/>
    <w:rsid w:val="007968EC"/>
  </w:style>
  <w:style w:type="numbering" w:customStyle="1" w:styleId="Sinlista322211">
    <w:name w:val="Sin lista322211"/>
    <w:next w:val="Sinlista"/>
    <w:uiPriority w:val="99"/>
    <w:semiHidden/>
    <w:unhideWhenUsed/>
    <w:rsid w:val="007968EC"/>
  </w:style>
  <w:style w:type="numbering" w:customStyle="1" w:styleId="Sinlista1222211">
    <w:name w:val="Sin lista1222211"/>
    <w:next w:val="Sinlista"/>
    <w:uiPriority w:val="99"/>
    <w:semiHidden/>
    <w:unhideWhenUsed/>
    <w:rsid w:val="007968EC"/>
  </w:style>
  <w:style w:type="numbering" w:customStyle="1" w:styleId="Sinlista11222211">
    <w:name w:val="Sin lista11222211"/>
    <w:next w:val="Sinlista"/>
    <w:uiPriority w:val="99"/>
    <w:semiHidden/>
    <w:unhideWhenUsed/>
    <w:rsid w:val="007968EC"/>
  </w:style>
  <w:style w:type="numbering" w:customStyle="1" w:styleId="Sinlista2122211">
    <w:name w:val="Sin lista2122211"/>
    <w:next w:val="Sinlista"/>
    <w:uiPriority w:val="99"/>
    <w:semiHidden/>
    <w:unhideWhenUsed/>
    <w:rsid w:val="007968EC"/>
  </w:style>
  <w:style w:type="numbering" w:customStyle="1" w:styleId="Sinlista111122211">
    <w:name w:val="Sin lista111122211"/>
    <w:next w:val="Sinlista"/>
    <w:uiPriority w:val="99"/>
    <w:semiHidden/>
    <w:unhideWhenUsed/>
    <w:rsid w:val="007968EC"/>
  </w:style>
  <w:style w:type="numbering" w:customStyle="1" w:styleId="Sinlista3112211">
    <w:name w:val="Sin lista3112211"/>
    <w:next w:val="Sinlista"/>
    <w:uiPriority w:val="99"/>
    <w:semiHidden/>
    <w:unhideWhenUsed/>
    <w:rsid w:val="007968EC"/>
  </w:style>
  <w:style w:type="numbering" w:customStyle="1" w:styleId="Sinlista12112211">
    <w:name w:val="Sin lista12112211"/>
    <w:next w:val="Sinlista"/>
    <w:uiPriority w:val="99"/>
    <w:semiHidden/>
    <w:unhideWhenUsed/>
    <w:rsid w:val="007968EC"/>
  </w:style>
  <w:style w:type="numbering" w:customStyle="1" w:styleId="Sinlista112112211">
    <w:name w:val="Sin lista112112211"/>
    <w:next w:val="Sinlista"/>
    <w:uiPriority w:val="99"/>
    <w:semiHidden/>
    <w:unhideWhenUsed/>
    <w:rsid w:val="007968EC"/>
  </w:style>
  <w:style w:type="numbering" w:customStyle="1" w:styleId="Sinlista21112211">
    <w:name w:val="Sin lista21112211"/>
    <w:next w:val="Sinlista"/>
    <w:uiPriority w:val="99"/>
    <w:semiHidden/>
    <w:unhideWhenUsed/>
    <w:rsid w:val="007968EC"/>
  </w:style>
  <w:style w:type="numbering" w:customStyle="1" w:styleId="Sinlista11111112211">
    <w:name w:val="Sin lista11111112211"/>
    <w:next w:val="Sinlista"/>
    <w:uiPriority w:val="99"/>
    <w:semiHidden/>
    <w:unhideWhenUsed/>
    <w:rsid w:val="007968EC"/>
  </w:style>
  <w:style w:type="numbering" w:customStyle="1" w:styleId="Sinlista411211">
    <w:name w:val="Sin lista411211"/>
    <w:next w:val="Sinlista"/>
    <w:uiPriority w:val="99"/>
    <w:semiHidden/>
    <w:unhideWhenUsed/>
    <w:rsid w:val="007968EC"/>
  </w:style>
  <w:style w:type="numbering" w:customStyle="1" w:styleId="Sinlista1311211">
    <w:name w:val="Sin lista1311211"/>
    <w:next w:val="Sinlista"/>
    <w:uiPriority w:val="99"/>
    <w:semiHidden/>
    <w:unhideWhenUsed/>
    <w:rsid w:val="007968EC"/>
  </w:style>
  <w:style w:type="numbering" w:customStyle="1" w:styleId="Sinlista11311211">
    <w:name w:val="Sin lista11311211"/>
    <w:next w:val="Sinlista"/>
    <w:uiPriority w:val="99"/>
    <w:semiHidden/>
    <w:unhideWhenUsed/>
    <w:rsid w:val="007968EC"/>
  </w:style>
  <w:style w:type="numbering" w:customStyle="1" w:styleId="Sinlista2211211">
    <w:name w:val="Sin lista2211211"/>
    <w:next w:val="Sinlista"/>
    <w:uiPriority w:val="99"/>
    <w:semiHidden/>
    <w:unhideWhenUsed/>
    <w:rsid w:val="007968EC"/>
  </w:style>
  <w:style w:type="numbering" w:customStyle="1" w:styleId="Sinlista111211211">
    <w:name w:val="Sin lista111211211"/>
    <w:next w:val="Sinlista"/>
    <w:uiPriority w:val="99"/>
    <w:semiHidden/>
    <w:unhideWhenUsed/>
    <w:rsid w:val="007968EC"/>
  </w:style>
  <w:style w:type="numbering" w:customStyle="1" w:styleId="Sinlista3211211">
    <w:name w:val="Sin lista3211211"/>
    <w:next w:val="Sinlista"/>
    <w:uiPriority w:val="99"/>
    <w:semiHidden/>
    <w:unhideWhenUsed/>
    <w:rsid w:val="007968EC"/>
  </w:style>
  <w:style w:type="numbering" w:customStyle="1" w:styleId="Sinlista12211211">
    <w:name w:val="Sin lista12211211"/>
    <w:next w:val="Sinlista"/>
    <w:uiPriority w:val="99"/>
    <w:semiHidden/>
    <w:unhideWhenUsed/>
    <w:rsid w:val="007968EC"/>
  </w:style>
  <w:style w:type="numbering" w:customStyle="1" w:styleId="Sinlista112211211">
    <w:name w:val="Sin lista112211211"/>
    <w:next w:val="Sinlista"/>
    <w:uiPriority w:val="99"/>
    <w:semiHidden/>
    <w:unhideWhenUsed/>
    <w:rsid w:val="007968EC"/>
  </w:style>
  <w:style w:type="numbering" w:customStyle="1" w:styleId="Sinlista21211211">
    <w:name w:val="Sin lista21211211"/>
    <w:next w:val="Sinlista"/>
    <w:uiPriority w:val="99"/>
    <w:semiHidden/>
    <w:unhideWhenUsed/>
    <w:rsid w:val="007968EC"/>
  </w:style>
  <w:style w:type="numbering" w:customStyle="1" w:styleId="Sinlista1111211211">
    <w:name w:val="Sin lista1111211211"/>
    <w:next w:val="Sinlista"/>
    <w:uiPriority w:val="99"/>
    <w:semiHidden/>
    <w:unhideWhenUsed/>
    <w:rsid w:val="007968EC"/>
  </w:style>
  <w:style w:type="numbering" w:customStyle="1" w:styleId="Sinlista31111211">
    <w:name w:val="Sin lista31111211"/>
    <w:next w:val="Sinlista"/>
    <w:uiPriority w:val="99"/>
    <w:semiHidden/>
    <w:unhideWhenUsed/>
    <w:rsid w:val="007968EC"/>
  </w:style>
  <w:style w:type="numbering" w:customStyle="1" w:styleId="Sinlista121111211">
    <w:name w:val="Sin lista121111211"/>
    <w:next w:val="Sinlista"/>
    <w:uiPriority w:val="99"/>
    <w:semiHidden/>
    <w:unhideWhenUsed/>
    <w:rsid w:val="007968EC"/>
  </w:style>
  <w:style w:type="numbering" w:customStyle="1" w:styleId="Sinlista1121111211">
    <w:name w:val="Sin lista1121111211"/>
    <w:next w:val="Sinlista"/>
    <w:uiPriority w:val="99"/>
    <w:semiHidden/>
    <w:unhideWhenUsed/>
    <w:rsid w:val="007968EC"/>
  </w:style>
  <w:style w:type="numbering" w:customStyle="1" w:styleId="Sinlista211111211">
    <w:name w:val="Sin lista211111211"/>
    <w:next w:val="Sinlista"/>
    <w:uiPriority w:val="99"/>
    <w:semiHidden/>
    <w:unhideWhenUsed/>
    <w:rsid w:val="007968EC"/>
  </w:style>
  <w:style w:type="numbering" w:customStyle="1" w:styleId="Sinlista1111111111211">
    <w:name w:val="Sin lista1111111111211"/>
    <w:next w:val="Sinlista"/>
    <w:uiPriority w:val="99"/>
    <w:semiHidden/>
    <w:unhideWhenUsed/>
    <w:rsid w:val="007968EC"/>
  </w:style>
  <w:style w:type="numbering" w:customStyle="1" w:styleId="Sinlista6111">
    <w:name w:val="Sin lista6111"/>
    <w:next w:val="Sinlista"/>
    <w:uiPriority w:val="99"/>
    <w:semiHidden/>
    <w:unhideWhenUsed/>
    <w:rsid w:val="007968EC"/>
  </w:style>
  <w:style w:type="numbering" w:customStyle="1" w:styleId="Sinlista15111">
    <w:name w:val="Sin lista15111"/>
    <w:next w:val="Sinlista"/>
    <w:uiPriority w:val="99"/>
    <w:semiHidden/>
    <w:unhideWhenUsed/>
    <w:rsid w:val="007968EC"/>
  </w:style>
  <w:style w:type="numbering" w:customStyle="1" w:styleId="Sinlista115111">
    <w:name w:val="Sin lista115111"/>
    <w:next w:val="Sinlista"/>
    <w:uiPriority w:val="99"/>
    <w:semiHidden/>
    <w:unhideWhenUsed/>
    <w:rsid w:val="007968EC"/>
  </w:style>
  <w:style w:type="numbering" w:customStyle="1" w:styleId="Sinlista1114111">
    <w:name w:val="Sin lista1114111"/>
    <w:next w:val="Sinlista"/>
    <w:uiPriority w:val="99"/>
    <w:semiHidden/>
    <w:unhideWhenUsed/>
    <w:rsid w:val="007968EC"/>
  </w:style>
  <w:style w:type="numbering" w:customStyle="1" w:styleId="Sinlista11114111">
    <w:name w:val="Sin lista11114111"/>
    <w:next w:val="Sinlista"/>
    <w:uiPriority w:val="99"/>
    <w:semiHidden/>
    <w:unhideWhenUsed/>
    <w:rsid w:val="007968EC"/>
  </w:style>
  <w:style w:type="numbering" w:customStyle="1" w:styleId="Sinlista111113111">
    <w:name w:val="Sin lista111113111"/>
    <w:next w:val="Sinlista"/>
    <w:uiPriority w:val="99"/>
    <w:semiHidden/>
    <w:unhideWhenUsed/>
    <w:rsid w:val="007968EC"/>
  </w:style>
  <w:style w:type="numbering" w:customStyle="1" w:styleId="Sinlista24111">
    <w:name w:val="Sin lista24111"/>
    <w:next w:val="Sinlista"/>
    <w:uiPriority w:val="99"/>
    <w:semiHidden/>
    <w:unhideWhenUsed/>
    <w:rsid w:val="007968EC"/>
  </w:style>
  <w:style w:type="numbering" w:customStyle="1" w:styleId="Sinlista1111113111">
    <w:name w:val="Sin lista1111113111"/>
    <w:next w:val="Sinlista"/>
    <w:uiPriority w:val="99"/>
    <w:semiHidden/>
    <w:unhideWhenUsed/>
    <w:rsid w:val="007968EC"/>
  </w:style>
  <w:style w:type="numbering" w:customStyle="1" w:styleId="Sinlista34111">
    <w:name w:val="Sin lista34111"/>
    <w:next w:val="Sinlista"/>
    <w:uiPriority w:val="99"/>
    <w:semiHidden/>
    <w:unhideWhenUsed/>
    <w:rsid w:val="007968EC"/>
  </w:style>
  <w:style w:type="numbering" w:customStyle="1" w:styleId="Sinlista124111">
    <w:name w:val="Sin lista124111"/>
    <w:next w:val="Sinlista"/>
    <w:uiPriority w:val="99"/>
    <w:semiHidden/>
    <w:unhideWhenUsed/>
    <w:rsid w:val="007968EC"/>
  </w:style>
  <w:style w:type="numbering" w:customStyle="1" w:styleId="Sinlista1124111">
    <w:name w:val="Sin lista1124111"/>
    <w:next w:val="Sinlista"/>
    <w:uiPriority w:val="99"/>
    <w:semiHidden/>
    <w:unhideWhenUsed/>
    <w:rsid w:val="007968EC"/>
  </w:style>
  <w:style w:type="numbering" w:customStyle="1" w:styleId="Sinlista214111">
    <w:name w:val="Sin lista214111"/>
    <w:next w:val="Sinlista"/>
    <w:uiPriority w:val="99"/>
    <w:semiHidden/>
    <w:unhideWhenUsed/>
    <w:rsid w:val="007968EC"/>
  </w:style>
  <w:style w:type="numbering" w:customStyle="1" w:styleId="Sinlista11111113111">
    <w:name w:val="Sin lista11111113111"/>
    <w:next w:val="Sinlista"/>
    <w:uiPriority w:val="99"/>
    <w:semiHidden/>
    <w:unhideWhenUsed/>
    <w:rsid w:val="007968EC"/>
  </w:style>
  <w:style w:type="numbering" w:customStyle="1" w:styleId="Sinlista313111">
    <w:name w:val="Sin lista313111"/>
    <w:next w:val="Sinlista"/>
    <w:uiPriority w:val="99"/>
    <w:semiHidden/>
    <w:unhideWhenUsed/>
    <w:rsid w:val="007968EC"/>
  </w:style>
  <w:style w:type="numbering" w:customStyle="1" w:styleId="Sinlista1213111">
    <w:name w:val="Sin lista1213111"/>
    <w:next w:val="Sinlista"/>
    <w:uiPriority w:val="99"/>
    <w:semiHidden/>
    <w:unhideWhenUsed/>
    <w:rsid w:val="007968EC"/>
  </w:style>
  <w:style w:type="numbering" w:customStyle="1" w:styleId="Sinlista11213111">
    <w:name w:val="Sin lista11213111"/>
    <w:next w:val="Sinlista"/>
    <w:uiPriority w:val="99"/>
    <w:semiHidden/>
    <w:unhideWhenUsed/>
    <w:rsid w:val="007968EC"/>
  </w:style>
  <w:style w:type="numbering" w:customStyle="1" w:styleId="Sinlista2113111">
    <w:name w:val="Sin lista2113111"/>
    <w:next w:val="Sinlista"/>
    <w:uiPriority w:val="99"/>
    <w:semiHidden/>
    <w:unhideWhenUsed/>
    <w:rsid w:val="007968EC"/>
  </w:style>
  <w:style w:type="numbering" w:customStyle="1" w:styleId="Sinlista111111112111">
    <w:name w:val="Sin lista111111112111"/>
    <w:next w:val="Sinlista"/>
    <w:uiPriority w:val="99"/>
    <w:semiHidden/>
    <w:unhideWhenUsed/>
    <w:rsid w:val="007968EC"/>
  </w:style>
  <w:style w:type="numbering" w:customStyle="1" w:styleId="Sinlista43111">
    <w:name w:val="Sin lista43111"/>
    <w:next w:val="Sinlista"/>
    <w:uiPriority w:val="99"/>
    <w:semiHidden/>
    <w:unhideWhenUsed/>
    <w:rsid w:val="007968EC"/>
  </w:style>
  <w:style w:type="numbering" w:customStyle="1" w:styleId="Sinlista133111">
    <w:name w:val="Sin lista133111"/>
    <w:next w:val="Sinlista"/>
    <w:uiPriority w:val="99"/>
    <w:semiHidden/>
    <w:unhideWhenUsed/>
    <w:rsid w:val="007968EC"/>
  </w:style>
  <w:style w:type="numbering" w:customStyle="1" w:styleId="Sinlista223111">
    <w:name w:val="Sin lista223111"/>
    <w:next w:val="Sinlista"/>
    <w:uiPriority w:val="99"/>
    <w:semiHidden/>
    <w:unhideWhenUsed/>
    <w:rsid w:val="007968EC"/>
  </w:style>
  <w:style w:type="numbering" w:customStyle="1" w:styleId="Sinlista1133111">
    <w:name w:val="Sin lista1133111"/>
    <w:next w:val="Sinlista"/>
    <w:uiPriority w:val="99"/>
    <w:semiHidden/>
    <w:unhideWhenUsed/>
    <w:rsid w:val="007968EC"/>
  </w:style>
  <w:style w:type="numbering" w:customStyle="1" w:styleId="Sinlista11123111">
    <w:name w:val="Sin lista11123111"/>
    <w:next w:val="Sinlista"/>
    <w:uiPriority w:val="99"/>
    <w:semiHidden/>
    <w:unhideWhenUsed/>
    <w:rsid w:val="007968EC"/>
  </w:style>
  <w:style w:type="numbering" w:customStyle="1" w:styleId="Sinlista323111">
    <w:name w:val="Sin lista323111"/>
    <w:next w:val="Sinlista"/>
    <w:uiPriority w:val="99"/>
    <w:semiHidden/>
    <w:unhideWhenUsed/>
    <w:rsid w:val="007968EC"/>
  </w:style>
  <w:style w:type="numbering" w:customStyle="1" w:styleId="Sinlista1223111">
    <w:name w:val="Sin lista1223111"/>
    <w:next w:val="Sinlista"/>
    <w:uiPriority w:val="99"/>
    <w:semiHidden/>
    <w:unhideWhenUsed/>
    <w:rsid w:val="007968EC"/>
  </w:style>
  <w:style w:type="numbering" w:customStyle="1" w:styleId="Sinlista11223111">
    <w:name w:val="Sin lista11223111"/>
    <w:next w:val="Sinlista"/>
    <w:uiPriority w:val="99"/>
    <w:semiHidden/>
    <w:unhideWhenUsed/>
    <w:rsid w:val="007968EC"/>
  </w:style>
  <w:style w:type="numbering" w:customStyle="1" w:styleId="Sinlista2123111">
    <w:name w:val="Sin lista2123111"/>
    <w:next w:val="Sinlista"/>
    <w:uiPriority w:val="99"/>
    <w:semiHidden/>
    <w:unhideWhenUsed/>
    <w:rsid w:val="007968EC"/>
  </w:style>
  <w:style w:type="numbering" w:customStyle="1" w:styleId="Sinlista111123111">
    <w:name w:val="Sin lista111123111"/>
    <w:next w:val="Sinlista"/>
    <w:uiPriority w:val="99"/>
    <w:semiHidden/>
    <w:unhideWhenUsed/>
    <w:rsid w:val="007968EC"/>
  </w:style>
  <w:style w:type="numbering" w:customStyle="1" w:styleId="Sinlista3113111">
    <w:name w:val="Sin lista3113111"/>
    <w:next w:val="Sinlista"/>
    <w:uiPriority w:val="99"/>
    <w:semiHidden/>
    <w:unhideWhenUsed/>
    <w:rsid w:val="007968EC"/>
  </w:style>
  <w:style w:type="numbering" w:customStyle="1" w:styleId="Sinlista12113111">
    <w:name w:val="Sin lista12113111"/>
    <w:next w:val="Sinlista"/>
    <w:uiPriority w:val="99"/>
    <w:semiHidden/>
    <w:unhideWhenUsed/>
    <w:rsid w:val="007968EC"/>
  </w:style>
  <w:style w:type="numbering" w:customStyle="1" w:styleId="Sinlista112113111">
    <w:name w:val="Sin lista112113111"/>
    <w:next w:val="Sinlista"/>
    <w:uiPriority w:val="99"/>
    <w:semiHidden/>
    <w:unhideWhenUsed/>
    <w:rsid w:val="007968EC"/>
  </w:style>
  <w:style w:type="numbering" w:customStyle="1" w:styleId="Sinlista21113111">
    <w:name w:val="Sin lista21113111"/>
    <w:next w:val="Sinlista"/>
    <w:uiPriority w:val="99"/>
    <w:semiHidden/>
    <w:unhideWhenUsed/>
    <w:rsid w:val="007968EC"/>
  </w:style>
  <w:style w:type="numbering" w:customStyle="1" w:styleId="Sinlista1111111112111">
    <w:name w:val="Sin lista1111111112111"/>
    <w:next w:val="Sinlista"/>
    <w:uiPriority w:val="99"/>
    <w:semiHidden/>
    <w:unhideWhenUsed/>
    <w:rsid w:val="007968EC"/>
  </w:style>
  <w:style w:type="numbering" w:customStyle="1" w:styleId="Sinlista412111">
    <w:name w:val="Sin lista412111"/>
    <w:next w:val="Sinlista"/>
    <w:uiPriority w:val="99"/>
    <w:semiHidden/>
    <w:unhideWhenUsed/>
    <w:rsid w:val="007968EC"/>
  </w:style>
  <w:style w:type="numbering" w:customStyle="1" w:styleId="Sinlista1312111">
    <w:name w:val="Sin lista1312111"/>
    <w:next w:val="Sinlista"/>
    <w:uiPriority w:val="99"/>
    <w:semiHidden/>
    <w:unhideWhenUsed/>
    <w:rsid w:val="007968EC"/>
  </w:style>
  <w:style w:type="numbering" w:customStyle="1" w:styleId="Sinlista11312111">
    <w:name w:val="Sin lista11312111"/>
    <w:next w:val="Sinlista"/>
    <w:uiPriority w:val="99"/>
    <w:semiHidden/>
    <w:unhideWhenUsed/>
    <w:rsid w:val="007968EC"/>
  </w:style>
  <w:style w:type="numbering" w:customStyle="1" w:styleId="Sinlista2212111">
    <w:name w:val="Sin lista2212111"/>
    <w:next w:val="Sinlista"/>
    <w:uiPriority w:val="99"/>
    <w:semiHidden/>
    <w:unhideWhenUsed/>
    <w:rsid w:val="007968EC"/>
  </w:style>
  <w:style w:type="numbering" w:customStyle="1" w:styleId="Sinlista111212111">
    <w:name w:val="Sin lista111212111"/>
    <w:next w:val="Sinlista"/>
    <w:uiPriority w:val="99"/>
    <w:semiHidden/>
    <w:unhideWhenUsed/>
    <w:rsid w:val="007968EC"/>
  </w:style>
  <w:style w:type="numbering" w:customStyle="1" w:styleId="Sinlista3212111">
    <w:name w:val="Sin lista3212111"/>
    <w:next w:val="Sinlista"/>
    <w:uiPriority w:val="99"/>
    <w:semiHidden/>
    <w:unhideWhenUsed/>
    <w:rsid w:val="007968EC"/>
  </w:style>
  <w:style w:type="numbering" w:customStyle="1" w:styleId="Sinlista12212111">
    <w:name w:val="Sin lista12212111"/>
    <w:next w:val="Sinlista"/>
    <w:uiPriority w:val="99"/>
    <w:semiHidden/>
    <w:unhideWhenUsed/>
    <w:rsid w:val="007968EC"/>
  </w:style>
  <w:style w:type="numbering" w:customStyle="1" w:styleId="Sinlista112212111">
    <w:name w:val="Sin lista112212111"/>
    <w:next w:val="Sinlista"/>
    <w:uiPriority w:val="99"/>
    <w:semiHidden/>
    <w:unhideWhenUsed/>
    <w:rsid w:val="007968EC"/>
  </w:style>
  <w:style w:type="numbering" w:customStyle="1" w:styleId="Sinlista21212111">
    <w:name w:val="Sin lista21212111"/>
    <w:next w:val="Sinlista"/>
    <w:uiPriority w:val="99"/>
    <w:semiHidden/>
    <w:unhideWhenUsed/>
    <w:rsid w:val="007968EC"/>
  </w:style>
  <w:style w:type="numbering" w:customStyle="1" w:styleId="Sinlista1111212111">
    <w:name w:val="Sin lista1111212111"/>
    <w:next w:val="Sinlista"/>
    <w:uiPriority w:val="99"/>
    <w:semiHidden/>
    <w:unhideWhenUsed/>
    <w:rsid w:val="007968EC"/>
  </w:style>
  <w:style w:type="numbering" w:customStyle="1" w:styleId="Sinlista31112111">
    <w:name w:val="Sin lista31112111"/>
    <w:next w:val="Sinlista"/>
    <w:uiPriority w:val="99"/>
    <w:semiHidden/>
    <w:unhideWhenUsed/>
    <w:rsid w:val="007968EC"/>
  </w:style>
  <w:style w:type="numbering" w:customStyle="1" w:styleId="Sinlista121112111">
    <w:name w:val="Sin lista121112111"/>
    <w:next w:val="Sinlista"/>
    <w:uiPriority w:val="99"/>
    <w:semiHidden/>
    <w:unhideWhenUsed/>
    <w:rsid w:val="007968EC"/>
  </w:style>
  <w:style w:type="numbering" w:customStyle="1" w:styleId="Sinlista1121112111">
    <w:name w:val="Sin lista1121112111"/>
    <w:next w:val="Sinlista"/>
    <w:uiPriority w:val="99"/>
    <w:semiHidden/>
    <w:unhideWhenUsed/>
    <w:rsid w:val="007968EC"/>
  </w:style>
  <w:style w:type="numbering" w:customStyle="1" w:styleId="Sinlista211112111">
    <w:name w:val="Sin lista211112111"/>
    <w:next w:val="Sinlista"/>
    <w:uiPriority w:val="99"/>
    <w:semiHidden/>
    <w:unhideWhenUsed/>
    <w:rsid w:val="007968EC"/>
  </w:style>
  <w:style w:type="numbering" w:customStyle="1" w:styleId="Sinlista11111111111211">
    <w:name w:val="Sin lista11111111111211"/>
    <w:next w:val="Sinlista"/>
    <w:uiPriority w:val="99"/>
    <w:semiHidden/>
    <w:unhideWhenUsed/>
    <w:rsid w:val="007968EC"/>
  </w:style>
  <w:style w:type="numbering" w:customStyle="1" w:styleId="Sinlista51111">
    <w:name w:val="Sin lista51111"/>
    <w:next w:val="Sinlista"/>
    <w:uiPriority w:val="99"/>
    <w:semiHidden/>
    <w:unhideWhenUsed/>
    <w:rsid w:val="007968EC"/>
  </w:style>
  <w:style w:type="numbering" w:customStyle="1" w:styleId="Sinlista141111">
    <w:name w:val="Sin lista141111"/>
    <w:next w:val="Sinlista"/>
    <w:uiPriority w:val="99"/>
    <w:semiHidden/>
    <w:unhideWhenUsed/>
    <w:rsid w:val="007968EC"/>
  </w:style>
  <w:style w:type="numbering" w:customStyle="1" w:styleId="Sinlista1141111">
    <w:name w:val="Sin lista1141111"/>
    <w:next w:val="Sinlista"/>
    <w:uiPriority w:val="99"/>
    <w:semiHidden/>
    <w:unhideWhenUsed/>
    <w:rsid w:val="007968EC"/>
  </w:style>
  <w:style w:type="numbering" w:customStyle="1" w:styleId="Sinlista11131111">
    <w:name w:val="Sin lista11131111"/>
    <w:next w:val="Sinlista"/>
    <w:uiPriority w:val="99"/>
    <w:semiHidden/>
    <w:unhideWhenUsed/>
    <w:rsid w:val="007968EC"/>
  </w:style>
  <w:style w:type="numbering" w:customStyle="1" w:styleId="Sinlista231111">
    <w:name w:val="Sin lista231111"/>
    <w:next w:val="Sinlista"/>
    <w:uiPriority w:val="99"/>
    <w:semiHidden/>
    <w:unhideWhenUsed/>
    <w:rsid w:val="007968EC"/>
  </w:style>
  <w:style w:type="numbering" w:customStyle="1" w:styleId="Sinlista111131111">
    <w:name w:val="Sin lista111131111"/>
    <w:next w:val="Sinlista"/>
    <w:uiPriority w:val="99"/>
    <w:semiHidden/>
    <w:unhideWhenUsed/>
    <w:rsid w:val="007968EC"/>
  </w:style>
  <w:style w:type="numbering" w:customStyle="1" w:styleId="Sinlista331111">
    <w:name w:val="Sin lista331111"/>
    <w:next w:val="Sinlista"/>
    <w:uiPriority w:val="99"/>
    <w:semiHidden/>
    <w:unhideWhenUsed/>
    <w:rsid w:val="007968EC"/>
  </w:style>
  <w:style w:type="numbering" w:customStyle="1" w:styleId="Sinlista1231111">
    <w:name w:val="Sin lista1231111"/>
    <w:next w:val="Sinlista"/>
    <w:uiPriority w:val="99"/>
    <w:semiHidden/>
    <w:unhideWhenUsed/>
    <w:rsid w:val="007968EC"/>
  </w:style>
  <w:style w:type="numbering" w:customStyle="1" w:styleId="Sinlista11231111">
    <w:name w:val="Sin lista11231111"/>
    <w:next w:val="Sinlista"/>
    <w:uiPriority w:val="99"/>
    <w:semiHidden/>
    <w:unhideWhenUsed/>
    <w:rsid w:val="007968EC"/>
  </w:style>
  <w:style w:type="numbering" w:customStyle="1" w:styleId="Sinlista2131111">
    <w:name w:val="Sin lista2131111"/>
    <w:next w:val="Sinlista"/>
    <w:uiPriority w:val="99"/>
    <w:semiHidden/>
    <w:unhideWhenUsed/>
    <w:rsid w:val="007968EC"/>
  </w:style>
  <w:style w:type="numbering" w:customStyle="1" w:styleId="Sinlista1111121111">
    <w:name w:val="Sin lista1111121111"/>
    <w:next w:val="Sinlista"/>
    <w:uiPriority w:val="99"/>
    <w:semiHidden/>
    <w:unhideWhenUsed/>
    <w:rsid w:val="007968EC"/>
  </w:style>
  <w:style w:type="numbering" w:customStyle="1" w:styleId="Sinlista3121111">
    <w:name w:val="Sin lista3121111"/>
    <w:next w:val="Sinlista"/>
    <w:uiPriority w:val="99"/>
    <w:semiHidden/>
    <w:unhideWhenUsed/>
    <w:rsid w:val="007968EC"/>
  </w:style>
  <w:style w:type="numbering" w:customStyle="1" w:styleId="Sinlista12121111">
    <w:name w:val="Sin lista12121111"/>
    <w:next w:val="Sinlista"/>
    <w:uiPriority w:val="99"/>
    <w:semiHidden/>
    <w:unhideWhenUsed/>
    <w:rsid w:val="007968EC"/>
  </w:style>
  <w:style w:type="numbering" w:customStyle="1" w:styleId="Sinlista112121111">
    <w:name w:val="Sin lista112121111"/>
    <w:next w:val="Sinlista"/>
    <w:uiPriority w:val="99"/>
    <w:semiHidden/>
    <w:unhideWhenUsed/>
    <w:rsid w:val="007968EC"/>
  </w:style>
  <w:style w:type="numbering" w:customStyle="1" w:styleId="Sinlista21121111">
    <w:name w:val="Sin lista21121111"/>
    <w:next w:val="Sinlista"/>
    <w:uiPriority w:val="99"/>
    <w:semiHidden/>
    <w:unhideWhenUsed/>
    <w:rsid w:val="007968EC"/>
  </w:style>
  <w:style w:type="numbering" w:customStyle="1" w:styleId="Sinlista11111121111">
    <w:name w:val="Sin lista11111121111"/>
    <w:next w:val="Sinlista"/>
    <w:uiPriority w:val="99"/>
    <w:semiHidden/>
    <w:unhideWhenUsed/>
    <w:rsid w:val="007968EC"/>
  </w:style>
  <w:style w:type="numbering" w:customStyle="1" w:styleId="Sinlista421111">
    <w:name w:val="Sin lista421111"/>
    <w:next w:val="Sinlista"/>
    <w:uiPriority w:val="99"/>
    <w:semiHidden/>
    <w:unhideWhenUsed/>
    <w:rsid w:val="007968EC"/>
  </w:style>
  <w:style w:type="numbering" w:customStyle="1" w:styleId="Sinlista1321111">
    <w:name w:val="Sin lista1321111"/>
    <w:next w:val="Sinlista"/>
    <w:uiPriority w:val="99"/>
    <w:semiHidden/>
    <w:unhideWhenUsed/>
    <w:rsid w:val="007968EC"/>
  </w:style>
  <w:style w:type="numbering" w:customStyle="1" w:styleId="Sinlista2221111">
    <w:name w:val="Sin lista2221111"/>
    <w:next w:val="Sinlista"/>
    <w:uiPriority w:val="99"/>
    <w:semiHidden/>
    <w:unhideWhenUsed/>
    <w:rsid w:val="007968EC"/>
  </w:style>
  <w:style w:type="numbering" w:customStyle="1" w:styleId="Sinlista11321111">
    <w:name w:val="Sin lista11321111"/>
    <w:next w:val="Sinlista"/>
    <w:uiPriority w:val="99"/>
    <w:semiHidden/>
    <w:unhideWhenUsed/>
    <w:rsid w:val="007968EC"/>
  </w:style>
  <w:style w:type="numbering" w:customStyle="1" w:styleId="Sinlista111221111">
    <w:name w:val="Sin lista111221111"/>
    <w:next w:val="Sinlista"/>
    <w:uiPriority w:val="99"/>
    <w:semiHidden/>
    <w:unhideWhenUsed/>
    <w:rsid w:val="007968EC"/>
  </w:style>
  <w:style w:type="numbering" w:customStyle="1" w:styleId="Sinlista3221111">
    <w:name w:val="Sin lista3221111"/>
    <w:next w:val="Sinlista"/>
    <w:uiPriority w:val="99"/>
    <w:semiHidden/>
    <w:unhideWhenUsed/>
    <w:rsid w:val="007968EC"/>
  </w:style>
  <w:style w:type="numbering" w:customStyle="1" w:styleId="Sinlista12221111">
    <w:name w:val="Sin lista12221111"/>
    <w:next w:val="Sinlista"/>
    <w:uiPriority w:val="99"/>
    <w:semiHidden/>
    <w:unhideWhenUsed/>
    <w:rsid w:val="007968EC"/>
  </w:style>
  <w:style w:type="numbering" w:customStyle="1" w:styleId="Sinlista112221111">
    <w:name w:val="Sin lista112221111"/>
    <w:next w:val="Sinlista"/>
    <w:uiPriority w:val="99"/>
    <w:semiHidden/>
    <w:unhideWhenUsed/>
    <w:rsid w:val="007968EC"/>
  </w:style>
  <w:style w:type="numbering" w:customStyle="1" w:styleId="Sinlista21221111">
    <w:name w:val="Sin lista21221111"/>
    <w:next w:val="Sinlista"/>
    <w:uiPriority w:val="99"/>
    <w:semiHidden/>
    <w:unhideWhenUsed/>
    <w:rsid w:val="007968EC"/>
  </w:style>
  <w:style w:type="numbering" w:customStyle="1" w:styleId="Sinlista1111221111">
    <w:name w:val="Sin lista1111221111"/>
    <w:next w:val="Sinlista"/>
    <w:uiPriority w:val="99"/>
    <w:semiHidden/>
    <w:unhideWhenUsed/>
    <w:rsid w:val="007968EC"/>
  </w:style>
  <w:style w:type="numbering" w:customStyle="1" w:styleId="Sinlista31121111">
    <w:name w:val="Sin lista31121111"/>
    <w:next w:val="Sinlista"/>
    <w:uiPriority w:val="99"/>
    <w:semiHidden/>
    <w:unhideWhenUsed/>
    <w:rsid w:val="007968EC"/>
  </w:style>
  <w:style w:type="numbering" w:customStyle="1" w:styleId="Sinlista121121111">
    <w:name w:val="Sin lista121121111"/>
    <w:next w:val="Sinlista"/>
    <w:uiPriority w:val="99"/>
    <w:semiHidden/>
    <w:unhideWhenUsed/>
    <w:rsid w:val="007968EC"/>
  </w:style>
  <w:style w:type="numbering" w:customStyle="1" w:styleId="Sinlista1121121111">
    <w:name w:val="Sin lista1121121111"/>
    <w:next w:val="Sinlista"/>
    <w:uiPriority w:val="99"/>
    <w:semiHidden/>
    <w:unhideWhenUsed/>
    <w:rsid w:val="007968EC"/>
  </w:style>
  <w:style w:type="numbering" w:customStyle="1" w:styleId="Sinlista211121111">
    <w:name w:val="Sin lista211121111"/>
    <w:next w:val="Sinlista"/>
    <w:uiPriority w:val="99"/>
    <w:semiHidden/>
    <w:unhideWhenUsed/>
    <w:rsid w:val="007968EC"/>
  </w:style>
  <w:style w:type="numbering" w:customStyle="1" w:styleId="Sinlista111111121111">
    <w:name w:val="Sin lista111111121111"/>
    <w:next w:val="Sinlista"/>
    <w:uiPriority w:val="99"/>
    <w:semiHidden/>
    <w:unhideWhenUsed/>
    <w:rsid w:val="007968EC"/>
  </w:style>
  <w:style w:type="numbering" w:customStyle="1" w:styleId="Sinlista4111111">
    <w:name w:val="Sin lista4111111"/>
    <w:next w:val="Sinlista"/>
    <w:uiPriority w:val="99"/>
    <w:semiHidden/>
    <w:unhideWhenUsed/>
    <w:rsid w:val="007968EC"/>
  </w:style>
  <w:style w:type="numbering" w:customStyle="1" w:styleId="Sinlista13111111">
    <w:name w:val="Sin lista13111111"/>
    <w:next w:val="Sinlista"/>
    <w:uiPriority w:val="99"/>
    <w:semiHidden/>
    <w:unhideWhenUsed/>
    <w:rsid w:val="007968EC"/>
  </w:style>
  <w:style w:type="numbering" w:customStyle="1" w:styleId="Sinlista113111111">
    <w:name w:val="Sin lista113111111"/>
    <w:next w:val="Sinlista"/>
    <w:uiPriority w:val="99"/>
    <w:semiHidden/>
    <w:unhideWhenUsed/>
    <w:rsid w:val="007968EC"/>
  </w:style>
  <w:style w:type="numbering" w:customStyle="1" w:styleId="Sinlista22111111">
    <w:name w:val="Sin lista22111111"/>
    <w:next w:val="Sinlista"/>
    <w:uiPriority w:val="99"/>
    <w:semiHidden/>
    <w:unhideWhenUsed/>
    <w:rsid w:val="007968EC"/>
  </w:style>
  <w:style w:type="numbering" w:customStyle="1" w:styleId="Sinlista1112111111">
    <w:name w:val="Sin lista1112111111"/>
    <w:next w:val="Sinlista"/>
    <w:uiPriority w:val="99"/>
    <w:semiHidden/>
    <w:unhideWhenUsed/>
    <w:rsid w:val="007968EC"/>
  </w:style>
  <w:style w:type="numbering" w:customStyle="1" w:styleId="Sinlista32111111">
    <w:name w:val="Sin lista32111111"/>
    <w:next w:val="Sinlista"/>
    <w:uiPriority w:val="99"/>
    <w:semiHidden/>
    <w:unhideWhenUsed/>
    <w:rsid w:val="007968EC"/>
  </w:style>
  <w:style w:type="numbering" w:customStyle="1" w:styleId="Sinlista122111111">
    <w:name w:val="Sin lista122111111"/>
    <w:next w:val="Sinlista"/>
    <w:uiPriority w:val="99"/>
    <w:semiHidden/>
    <w:unhideWhenUsed/>
    <w:rsid w:val="007968EC"/>
  </w:style>
  <w:style w:type="numbering" w:customStyle="1" w:styleId="Sinlista1122111111">
    <w:name w:val="Sin lista1122111111"/>
    <w:next w:val="Sinlista"/>
    <w:uiPriority w:val="99"/>
    <w:semiHidden/>
    <w:unhideWhenUsed/>
    <w:rsid w:val="007968EC"/>
  </w:style>
  <w:style w:type="numbering" w:customStyle="1" w:styleId="Sinlista212111111">
    <w:name w:val="Sin lista212111111"/>
    <w:next w:val="Sinlista"/>
    <w:uiPriority w:val="99"/>
    <w:semiHidden/>
    <w:unhideWhenUsed/>
    <w:rsid w:val="007968EC"/>
  </w:style>
  <w:style w:type="numbering" w:customStyle="1" w:styleId="Sinlista11112111111">
    <w:name w:val="Sin lista11112111111"/>
    <w:next w:val="Sinlista"/>
    <w:uiPriority w:val="99"/>
    <w:semiHidden/>
    <w:unhideWhenUsed/>
    <w:rsid w:val="007968EC"/>
  </w:style>
  <w:style w:type="numbering" w:customStyle="1" w:styleId="Sinlista311111111">
    <w:name w:val="Sin lista311111111"/>
    <w:next w:val="Sinlista"/>
    <w:uiPriority w:val="99"/>
    <w:semiHidden/>
    <w:unhideWhenUsed/>
    <w:rsid w:val="007968EC"/>
  </w:style>
  <w:style w:type="numbering" w:customStyle="1" w:styleId="Sinlista1211111111">
    <w:name w:val="Sin lista1211111111"/>
    <w:next w:val="Sinlista"/>
    <w:uiPriority w:val="99"/>
    <w:semiHidden/>
    <w:unhideWhenUsed/>
    <w:rsid w:val="007968EC"/>
  </w:style>
  <w:style w:type="numbering" w:customStyle="1" w:styleId="Sinlista11211111111">
    <w:name w:val="Sin lista11211111111"/>
    <w:next w:val="Sinlista"/>
    <w:uiPriority w:val="99"/>
    <w:semiHidden/>
    <w:unhideWhenUsed/>
    <w:rsid w:val="007968EC"/>
  </w:style>
  <w:style w:type="numbering" w:customStyle="1" w:styleId="Sinlista2111111111">
    <w:name w:val="Sin lista2111111111"/>
    <w:next w:val="Sinlista"/>
    <w:uiPriority w:val="99"/>
    <w:semiHidden/>
    <w:unhideWhenUsed/>
    <w:rsid w:val="007968EC"/>
  </w:style>
  <w:style w:type="numbering" w:customStyle="1" w:styleId="Sinlista11111111111121">
    <w:name w:val="Sin lista11111111111121"/>
    <w:next w:val="Sinlista"/>
    <w:uiPriority w:val="99"/>
    <w:semiHidden/>
    <w:unhideWhenUsed/>
    <w:rsid w:val="007968EC"/>
  </w:style>
  <w:style w:type="numbering" w:customStyle="1" w:styleId="Sinlista91">
    <w:name w:val="Sin lista91"/>
    <w:next w:val="Sinlista"/>
    <w:uiPriority w:val="99"/>
    <w:semiHidden/>
    <w:unhideWhenUsed/>
    <w:rsid w:val="007968EC"/>
  </w:style>
  <w:style w:type="numbering" w:customStyle="1" w:styleId="Sinlista171">
    <w:name w:val="Sin lista171"/>
    <w:next w:val="Sinlista"/>
    <w:uiPriority w:val="99"/>
    <w:semiHidden/>
    <w:unhideWhenUsed/>
    <w:rsid w:val="007968EC"/>
  </w:style>
  <w:style w:type="numbering" w:customStyle="1" w:styleId="Sinlista1171">
    <w:name w:val="Sin lista1171"/>
    <w:next w:val="Sinlista"/>
    <w:uiPriority w:val="99"/>
    <w:semiHidden/>
    <w:unhideWhenUsed/>
    <w:rsid w:val="007968EC"/>
  </w:style>
  <w:style w:type="numbering" w:customStyle="1" w:styleId="Sinlista11161">
    <w:name w:val="Sin lista11161"/>
    <w:next w:val="Sinlista"/>
    <w:uiPriority w:val="99"/>
    <w:semiHidden/>
    <w:unhideWhenUsed/>
    <w:rsid w:val="007968EC"/>
  </w:style>
  <w:style w:type="numbering" w:customStyle="1" w:styleId="Sinlista111161">
    <w:name w:val="Sin lista111161"/>
    <w:next w:val="Sinlista"/>
    <w:uiPriority w:val="99"/>
    <w:semiHidden/>
    <w:unhideWhenUsed/>
    <w:rsid w:val="007968EC"/>
  </w:style>
  <w:style w:type="numbering" w:customStyle="1" w:styleId="Sinlista261">
    <w:name w:val="Sin lista261"/>
    <w:next w:val="Sinlista"/>
    <w:uiPriority w:val="99"/>
    <w:semiHidden/>
    <w:unhideWhenUsed/>
    <w:rsid w:val="007968EC"/>
  </w:style>
  <w:style w:type="numbering" w:customStyle="1" w:styleId="Sinlista1111151">
    <w:name w:val="Sin lista1111151"/>
    <w:next w:val="Sinlista"/>
    <w:uiPriority w:val="99"/>
    <w:semiHidden/>
    <w:unhideWhenUsed/>
    <w:rsid w:val="007968EC"/>
  </w:style>
  <w:style w:type="numbering" w:customStyle="1" w:styleId="Sinlista361">
    <w:name w:val="Sin lista361"/>
    <w:next w:val="Sinlista"/>
    <w:uiPriority w:val="99"/>
    <w:semiHidden/>
    <w:unhideWhenUsed/>
    <w:rsid w:val="007968EC"/>
  </w:style>
  <w:style w:type="numbering" w:customStyle="1" w:styleId="Sinlista1261">
    <w:name w:val="Sin lista1261"/>
    <w:next w:val="Sinlista"/>
    <w:uiPriority w:val="99"/>
    <w:semiHidden/>
    <w:unhideWhenUsed/>
    <w:rsid w:val="007968EC"/>
  </w:style>
  <w:style w:type="numbering" w:customStyle="1" w:styleId="Sinlista11261">
    <w:name w:val="Sin lista11261"/>
    <w:next w:val="Sinlista"/>
    <w:uiPriority w:val="99"/>
    <w:semiHidden/>
    <w:unhideWhenUsed/>
    <w:rsid w:val="007968EC"/>
  </w:style>
  <w:style w:type="numbering" w:customStyle="1" w:styleId="Sinlista2161">
    <w:name w:val="Sin lista2161"/>
    <w:next w:val="Sinlista"/>
    <w:uiPriority w:val="99"/>
    <w:semiHidden/>
    <w:unhideWhenUsed/>
    <w:rsid w:val="007968EC"/>
  </w:style>
  <w:style w:type="numbering" w:customStyle="1" w:styleId="Sinlista11111151">
    <w:name w:val="Sin lista11111151"/>
    <w:next w:val="Sinlista"/>
    <w:uiPriority w:val="99"/>
    <w:semiHidden/>
    <w:unhideWhenUsed/>
    <w:rsid w:val="007968EC"/>
  </w:style>
  <w:style w:type="numbering" w:customStyle="1" w:styleId="Sinlista3151">
    <w:name w:val="Sin lista3151"/>
    <w:next w:val="Sinlista"/>
    <w:uiPriority w:val="99"/>
    <w:semiHidden/>
    <w:unhideWhenUsed/>
    <w:rsid w:val="007968EC"/>
  </w:style>
  <w:style w:type="numbering" w:customStyle="1" w:styleId="Sinlista12151">
    <w:name w:val="Sin lista12151"/>
    <w:next w:val="Sinlista"/>
    <w:uiPriority w:val="99"/>
    <w:semiHidden/>
    <w:unhideWhenUsed/>
    <w:rsid w:val="007968EC"/>
  </w:style>
  <w:style w:type="numbering" w:customStyle="1" w:styleId="Sinlista112151">
    <w:name w:val="Sin lista112151"/>
    <w:next w:val="Sinlista"/>
    <w:uiPriority w:val="99"/>
    <w:semiHidden/>
    <w:unhideWhenUsed/>
    <w:rsid w:val="007968EC"/>
  </w:style>
  <w:style w:type="numbering" w:customStyle="1" w:styleId="Sinlista21151">
    <w:name w:val="Sin lista21151"/>
    <w:next w:val="Sinlista"/>
    <w:uiPriority w:val="99"/>
    <w:semiHidden/>
    <w:unhideWhenUsed/>
    <w:rsid w:val="007968EC"/>
  </w:style>
  <w:style w:type="numbering" w:customStyle="1" w:styleId="Sinlista111111151">
    <w:name w:val="Sin lista111111151"/>
    <w:next w:val="Sinlista"/>
    <w:uiPriority w:val="99"/>
    <w:semiHidden/>
    <w:unhideWhenUsed/>
    <w:rsid w:val="007968EC"/>
  </w:style>
  <w:style w:type="numbering" w:customStyle="1" w:styleId="Sinlista451">
    <w:name w:val="Sin lista451"/>
    <w:next w:val="Sinlista"/>
    <w:uiPriority w:val="99"/>
    <w:semiHidden/>
    <w:unhideWhenUsed/>
    <w:rsid w:val="007968EC"/>
  </w:style>
  <w:style w:type="numbering" w:customStyle="1" w:styleId="Sinlista1351">
    <w:name w:val="Sin lista1351"/>
    <w:next w:val="Sinlista"/>
    <w:uiPriority w:val="99"/>
    <w:semiHidden/>
    <w:unhideWhenUsed/>
    <w:rsid w:val="007968EC"/>
  </w:style>
  <w:style w:type="numbering" w:customStyle="1" w:styleId="Sinlista2251">
    <w:name w:val="Sin lista2251"/>
    <w:next w:val="Sinlista"/>
    <w:uiPriority w:val="99"/>
    <w:semiHidden/>
    <w:unhideWhenUsed/>
    <w:rsid w:val="007968EC"/>
  </w:style>
  <w:style w:type="numbering" w:customStyle="1" w:styleId="Sinlista11351">
    <w:name w:val="Sin lista11351"/>
    <w:next w:val="Sinlista"/>
    <w:uiPriority w:val="99"/>
    <w:semiHidden/>
    <w:unhideWhenUsed/>
    <w:rsid w:val="007968EC"/>
  </w:style>
  <w:style w:type="numbering" w:customStyle="1" w:styleId="Sinlista111251">
    <w:name w:val="Sin lista111251"/>
    <w:next w:val="Sinlista"/>
    <w:uiPriority w:val="99"/>
    <w:semiHidden/>
    <w:unhideWhenUsed/>
    <w:rsid w:val="007968EC"/>
  </w:style>
  <w:style w:type="numbering" w:customStyle="1" w:styleId="Sinlista3251">
    <w:name w:val="Sin lista3251"/>
    <w:next w:val="Sinlista"/>
    <w:uiPriority w:val="99"/>
    <w:semiHidden/>
    <w:unhideWhenUsed/>
    <w:rsid w:val="007968EC"/>
  </w:style>
  <w:style w:type="numbering" w:customStyle="1" w:styleId="Sinlista12251">
    <w:name w:val="Sin lista12251"/>
    <w:next w:val="Sinlista"/>
    <w:uiPriority w:val="99"/>
    <w:semiHidden/>
    <w:unhideWhenUsed/>
    <w:rsid w:val="007968EC"/>
  </w:style>
  <w:style w:type="numbering" w:customStyle="1" w:styleId="Sinlista112251">
    <w:name w:val="Sin lista112251"/>
    <w:next w:val="Sinlista"/>
    <w:uiPriority w:val="99"/>
    <w:semiHidden/>
    <w:unhideWhenUsed/>
    <w:rsid w:val="007968EC"/>
  </w:style>
  <w:style w:type="numbering" w:customStyle="1" w:styleId="Sinlista21251">
    <w:name w:val="Sin lista21251"/>
    <w:next w:val="Sinlista"/>
    <w:uiPriority w:val="99"/>
    <w:semiHidden/>
    <w:unhideWhenUsed/>
    <w:rsid w:val="007968EC"/>
  </w:style>
  <w:style w:type="numbering" w:customStyle="1" w:styleId="Sinlista1111251">
    <w:name w:val="Sin lista1111251"/>
    <w:next w:val="Sinlista"/>
    <w:uiPriority w:val="99"/>
    <w:semiHidden/>
    <w:unhideWhenUsed/>
    <w:rsid w:val="007968EC"/>
  </w:style>
  <w:style w:type="numbering" w:customStyle="1" w:styleId="Sinlista31151">
    <w:name w:val="Sin lista31151"/>
    <w:next w:val="Sinlista"/>
    <w:uiPriority w:val="99"/>
    <w:semiHidden/>
    <w:unhideWhenUsed/>
    <w:rsid w:val="007968EC"/>
  </w:style>
  <w:style w:type="numbering" w:customStyle="1" w:styleId="Sinlista121151">
    <w:name w:val="Sin lista121151"/>
    <w:next w:val="Sinlista"/>
    <w:uiPriority w:val="99"/>
    <w:semiHidden/>
    <w:unhideWhenUsed/>
    <w:rsid w:val="007968EC"/>
  </w:style>
  <w:style w:type="numbering" w:customStyle="1" w:styleId="Sinlista1121151">
    <w:name w:val="Sin lista1121151"/>
    <w:next w:val="Sinlista"/>
    <w:uiPriority w:val="99"/>
    <w:semiHidden/>
    <w:unhideWhenUsed/>
    <w:rsid w:val="007968EC"/>
  </w:style>
  <w:style w:type="numbering" w:customStyle="1" w:styleId="Sinlista211151">
    <w:name w:val="Sin lista211151"/>
    <w:next w:val="Sinlista"/>
    <w:uiPriority w:val="99"/>
    <w:semiHidden/>
    <w:unhideWhenUsed/>
    <w:rsid w:val="007968EC"/>
  </w:style>
  <w:style w:type="numbering" w:customStyle="1" w:styleId="Sinlista1111111141">
    <w:name w:val="Sin lista1111111141"/>
    <w:next w:val="Sinlista"/>
    <w:uiPriority w:val="99"/>
    <w:semiHidden/>
    <w:unhideWhenUsed/>
    <w:rsid w:val="007968EC"/>
  </w:style>
  <w:style w:type="numbering" w:customStyle="1" w:styleId="Sinlista4141">
    <w:name w:val="Sin lista4141"/>
    <w:next w:val="Sinlista"/>
    <w:uiPriority w:val="99"/>
    <w:semiHidden/>
    <w:unhideWhenUsed/>
    <w:rsid w:val="007968EC"/>
  </w:style>
  <w:style w:type="numbering" w:customStyle="1" w:styleId="Sinlista13141">
    <w:name w:val="Sin lista13141"/>
    <w:next w:val="Sinlista"/>
    <w:uiPriority w:val="99"/>
    <w:semiHidden/>
    <w:unhideWhenUsed/>
    <w:rsid w:val="007968EC"/>
  </w:style>
  <w:style w:type="numbering" w:customStyle="1" w:styleId="Sinlista113141">
    <w:name w:val="Sin lista113141"/>
    <w:next w:val="Sinlista"/>
    <w:uiPriority w:val="99"/>
    <w:semiHidden/>
    <w:unhideWhenUsed/>
    <w:rsid w:val="007968EC"/>
  </w:style>
  <w:style w:type="numbering" w:customStyle="1" w:styleId="Sinlista22141">
    <w:name w:val="Sin lista22141"/>
    <w:next w:val="Sinlista"/>
    <w:uiPriority w:val="99"/>
    <w:semiHidden/>
    <w:unhideWhenUsed/>
    <w:rsid w:val="007968EC"/>
  </w:style>
  <w:style w:type="numbering" w:customStyle="1" w:styleId="Sinlista1112141">
    <w:name w:val="Sin lista1112141"/>
    <w:next w:val="Sinlista"/>
    <w:uiPriority w:val="99"/>
    <w:semiHidden/>
    <w:unhideWhenUsed/>
    <w:rsid w:val="007968EC"/>
  </w:style>
  <w:style w:type="numbering" w:customStyle="1" w:styleId="Sinlista32141">
    <w:name w:val="Sin lista32141"/>
    <w:next w:val="Sinlista"/>
    <w:uiPriority w:val="99"/>
    <w:semiHidden/>
    <w:unhideWhenUsed/>
    <w:rsid w:val="007968EC"/>
  </w:style>
  <w:style w:type="numbering" w:customStyle="1" w:styleId="Sinlista122141">
    <w:name w:val="Sin lista122141"/>
    <w:next w:val="Sinlista"/>
    <w:uiPriority w:val="99"/>
    <w:semiHidden/>
    <w:unhideWhenUsed/>
    <w:rsid w:val="007968EC"/>
  </w:style>
  <w:style w:type="numbering" w:customStyle="1" w:styleId="Sinlista1122141">
    <w:name w:val="Sin lista1122141"/>
    <w:next w:val="Sinlista"/>
    <w:uiPriority w:val="99"/>
    <w:semiHidden/>
    <w:unhideWhenUsed/>
    <w:rsid w:val="007968EC"/>
  </w:style>
  <w:style w:type="numbering" w:customStyle="1" w:styleId="Sinlista212141">
    <w:name w:val="Sin lista212141"/>
    <w:next w:val="Sinlista"/>
    <w:uiPriority w:val="99"/>
    <w:semiHidden/>
    <w:unhideWhenUsed/>
    <w:rsid w:val="007968EC"/>
  </w:style>
  <w:style w:type="numbering" w:customStyle="1" w:styleId="Sinlista11112141">
    <w:name w:val="Sin lista11112141"/>
    <w:next w:val="Sinlista"/>
    <w:uiPriority w:val="99"/>
    <w:semiHidden/>
    <w:unhideWhenUsed/>
    <w:rsid w:val="007968EC"/>
  </w:style>
  <w:style w:type="numbering" w:customStyle="1" w:styleId="Sinlista311141">
    <w:name w:val="Sin lista311141"/>
    <w:next w:val="Sinlista"/>
    <w:uiPriority w:val="99"/>
    <w:semiHidden/>
    <w:unhideWhenUsed/>
    <w:rsid w:val="007968EC"/>
  </w:style>
  <w:style w:type="numbering" w:customStyle="1" w:styleId="Sinlista1211141">
    <w:name w:val="Sin lista1211141"/>
    <w:next w:val="Sinlista"/>
    <w:uiPriority w:val="99"/>
    <w:semiHidden/>
    <w:unhideWhenUsed/>
    <w:rsid w:val="007968EC"/>
  </w:style>
  <w:style w:type="numbering" w:customStyle="1" w:styleId="Sinlista11211141">
    <w:name w:val="Sin lista11211141"/>
    <w:next w:val="Sinlista"/>
    <w:uiPriority w:val="99"/>
    <w:semiHidden/>
    <w:unhideWhenUsed/>
    <w:rsid w:val="007968EC"/>
  </w:style>
  <w:style w:type="numbering" w:customStyle="1" w:styleId="Sinlista2111141">
    <w:name w:val="Sin lista2111141"/>
    <w:next w:val="Sinlista"/>
    <w:uiPriority w:val="99"/>
    <w:semiHidden/>
    <w:unhideWhenUsed/>
    <w:rsid w:val="007968EC"/>
  </w:style>
  <w:style w:type="numbering" w:customStyle="1" w:styleId="Sinlista11111111141">
    <w:name w:val="Sin lista11111111141"/>
    <w:next w:val="Sinlista"/>
    <w:uiPriority w:val="99"/>
    <w:semiHidden/>
    <w:unhideWhenUsed/>
    <w:rsid w:val="007968EC"/>
  </w:style>
  <w:style w:type="numbering" w:customStyle="1" w:styleId="Sinlista531">
    <w:name w:val="Sin lista531"/>
    <w:next w:val="Sinlista"/>
    <w:uiPriority w:val="99"/>
    <w:semiHidden/>
    <w:unhideWhenUsed/>
    <w:rsid w:val="007968EC"/>
  </w:style>
  <w:style w:type="numbering" w:customStyle="1" w:styleId="Sinlista1431">
    <w:name w:val="Sin lista1431"/>
    <w:next w:val="Sinlista"/>
    <w:uiPriority w:val="99"/>
    <w:semiHidden/>
    <w:unhideWhenUsed/>
    <w:rsid w:val="007968EC"/>
  </w:style>
  <w:style w:type="numbering" w:customStyle="1" w:styleId="Sinlista11431">
    <w:name w:val="Sin lista11431"/>
    <w:next w:val="Sinlista"/>
    <w:uiPriority w:val="99"/>
    <w:semiHidden/>
    <w:unhideWhenUsed/>
    <w:rsid w:val="007968EC"/>
  </w:style>
  <w:style w:type="numbering" w:customStyle="1" w:styleId="Sinlista111331">
    <w:name w:val="Sin lista111331"/>
    <w:next w:val="Sinlista"/>
    <w:uiPriority w:val="99"/>
    <w:semiHidden/>
    <w:unhideWhenUsed/>
    <w:rsid w:val="007968EC"/>
  </w:style>
  <w:style w:type="numbering" w:customStyle="1" w:styleId="Sinlista2331">
    <w:name w:val="Sin lista2331"/>
    <w:next w:val="Sinlista"/>
    <w:uiPriority w:val="99"/>
    <w:semiHidden/>
    <w:unhideWhenUsed/>
    <w:rsid w:val="007968EC"/>
  </w:style>
  <w:style w:type="numbering" w:customStyle="1" w:styleId="Sinlista1111331">
    <w:name w:val="Sin lista1111331"/>
    <w:next w:val="Sinlista"/>
    <w:uiPriority w:val="99"/>
    <w:semiHidden/>
    <w:unhideWhenUsed/>
    <w:rsid w:val="007968EC"/>
  </w:style>
  <w:style w:type="numbering" w:customStyle="1" w:styleId="Sinlista3331">
    <w:name w:val="Sin lista3331"/>
    <w:next w:val="Sinlista"/>
    <w:uiPriority w:val="99"/>
    <w:semiHidden/>
    <w:unhideWhenUsed/>
    <w:rsid w:val="007968EC"/>
  </w:style>
  <w:style w:type="numbering" w:customStyle="1" w:styleId="Sinlista12331">
    <w:name w:val="Sin lista12331"/>
    <w:next w:val="Sinlista"/>
    <w:uiPriority w:val="99"/>
    <w:semiHidden/>
    <w:unhideWhenUsed/>
    <w:rsid w:val="007968EC"/>
  </w:style>
  <w:style w:type="numbering" w:customStyle="1" w:styleId="Sinlista112331">
    <w:name w:val="Sin lista112331"/>
    <w:next w:val="Sinlista"/>
    <w:uiPriority w:val="99"/>
    <w:semiHidden/>
    <w:unhideWhenUsed/>
    <w:rsid w:val="007968EC"/>
  </w:style>
  <w:style w:type="numbering" w:customStyle="1" w:styleId="Sinlista21331">
    <w:name w:val="Sin lista21331"/>
    <w:next w:val="Sinlista"/>
    <w:uiPriority w:val="99"/>
    <w:semiHidden/>
    <w:unhideWhenUsed/>
    <w:rsid w:val="007968EC"/>
  </w:style>
  <w:style w:type="numbering" w:customStyle="1" w:styleId="Sinlista11111231">
    <w:name w:val="Sin lista11111231"/>
    <w:next w:val="Sinlista"/>
    <w:uiPriority w:val="99"/>
    <w:semiHidden/>
    <w:unhideWhenUsed/>
    <w:rsid w:val="007968EC"/>
  </w:style>
  <w:style w:type="numbering" w:customStyle="1" w:styleId="Sinlista31231">
    <w:name w:val="Sin lista31231"/>
    <w:next w:val="Sinlista"/>
    <w:uiPriority w:val="99"/>
    <w:semiHidden/>
    <w:unhideWhenUsed/>
    <w:rsid w:val="007968EC"/>
  </w:style>
  <w:style w:type="numbering" w:customStyle="1" w:styleId="Sinlista121231">
    <w:name w:val="Sin lista121231"/>
    <w:next w:val="Sinlista"/>
    <w:uiPriority w:val="99"/>
    <w:semiHidden/>
    <w:unhideWhenUsed/>
    <w:rsid w:val="007968EC"/>
  </w:style>
  <w:style w:type="numbering" w:customStyle="1" w:styleId="Sinlista1121231">
    <w:name w:val="Sin lista1121231"/>
    <w:next w:val="Sinlista"/>
    <w:uiPriority w:val="99"/>
    <w:semiHidden/>
    <w:unhideWhenUsed/>
    <w:rsid w:val="007968EC"/>
  </w:style>
  <w:style w:type="numbering" w:customStyle="1" w:styleId="Sinlista211231">
    <w:name w:val="Sin lista211231"/>
    <w:next w:val="Sinlista"/>
    <w:uiPriority w:val="99"/>
    <w:semiHidden/>
    <w:unhideWhenUsed/>
    <w:rsid w:val="007968EC"/>
  </w:style>
  <w:style w:type="numbering" w:customStyle="1" w:styleId="Sinlista111111231">
    <w:name w:val="Sin lista111111231"/>
    <w:next w:val="Sinlista"/>
    <w:uiPriority w:val="99"/>
    <w:semiHidden/>
    <w:unhideWhenUsed/>
    <w:rsid w:val="007968EC"/>
  </w:style>
  <w:style w:type="numbering" w:customStyle="1" w:styleId="Sinlista4231">
    <w:name w:val="Sin lista4231"/>
    <w:next w:val="Sinlista"/>
    <w:uiPriority w:val="99"/>
    <w:semiHidden/>
    <w:unhideWhenUsed/>
    <w:rsid w:val="007968EC"/>
  </w:style>
  <w:style w:type="numbering" w:customStyle="1" w:styleId="Sinlista13231">
    <w:name w:val="Sin lista13231"/>
    <w:next w:val="Sinlista"/>
    <w:uiPriority w:val="99"/>
    <w:semiHidden/>
    <w:unhideWhenUsed/>
    <w:rsid w:val="007968EC"/>
  </w:style>
  <w:style w:type="numbering" w:customStyle="1" w:styleId="Sinlista22231">
    <w:name w:val="Sin lista22231"/>
    <w:next w:val="Sinlista"/>
    <w:uiPriority w:val="99"/>
    <w:semiHidden/>
    <w:unhideWhenUsed/>
    <w:rsid w:val="007968EC"/>
  </w:style>
  <w:style w:type="numbering" w:customStyle="1" w:styleId="Sinlista113231">
    <w:name w:val="Sin lista113231"/>
    <w:next w:val="Sinlista"/>
    <w:uiPriority w:val="99"/>
    <w:semiHidden/>
    <w:unhideWhenUsed/>
    <w:rsid w:val="007968EC"/>
  </w:style>
  <w:style w:type="numbering" w:customStyle="1" w:styleId="Sinlista1112231">
    <w:name w:val="Sin lista1112231"/>
    <w:next w:val="Sinlista"/>
    <w:uiPriority w:val="99"/>
    <w:semiHidden/>
    <w:unhideWhenUsed/>
    <w:rsid w:val="007968EC"/>
  </w:style>
  <w:style w:type="numbering" w:customStyle="1" w:styleId="Sinlista32231">
    <w:name w:val="Sin lista32231"/>
    <w:next w:val="Sinlista"/>
    <w:uiPriority w:val="99"/>
    <w:semiHidden/>
    <w:unhideWhenUsed/>
    <w:rsid w:val="007968EC"/>
  </w:style>
  <w:style w:type="numbering" w:customStyle="1" w:styleId="Sinlista122231">
    <w:name w:val="Sin lista122231"/>
    <w:next w:val="Sinlista"/>
    <w:uiPriority w:val="99"/>
    <w:semiHidden/>
    <w:unhideWhenUsed/>
    <w:rsid w:val="007968EC"/>
  </w:style>
  <w:style w:type="numbering" w:customStyle="1" w:styleId="Sinlista1122231">
    <w:name w:val="Sin lista1122231"/>
    <w:next w:val="Sinlista"/>
    <w:uiPriority w:val="99"/>
    <w:semiHidden/>
    <w:unhideWhenUsed/>
    <w:rsid w:val="007968EC"/>
  </w:style>
  <w:style w:type="numbering" w:customStyle="1" w:styleId="Sinlista212231">
    <w:name w:val="Sin lista212231"/>
    <w:next w:val="Sinlista"/>
    <w:uiPriority w:val="99"/>
    <w:semiHidden/>
    <w:unhideWhenUsed/>
    <w:rsid w:val="007968EC"/>
  </w:style>
  <w:style w:type="numbering" w:customStyle="1" w:styleId="Sinlista11112231">
    <w:name w:val="Sin lista11112231"/>
    <w:next w:val="Sinlista"/>
    <w:uiPriority w:val="99"/>
    <w:semiHidden/>
    <w:unhideWhenUsed/>
    <w:rsid w:val="007968EC"/>
  </w:style>
  <w:style w:type="numbering" w:customStyle="1" w:styleId="Sinlista311231">
    <w:name w:val="Sin lista311231"/>
    <w:next w:val="Sinlista"/>
    <w:uiPriority w:val="99"/>
    <w:semiHidden/>
    <w:unhideWhenUsed/>
    <w:rsid w:val="007968EC"/>
  </w:style>
  <w:style w:type="numbering" w:customStyle="1" w:styleId="Sinlista1211231">
    <w:name w:val="Sin lista1211231"/>
    <w:next w:val="Sinlista"/>
    <w:uiPriority w:val="99"/>
    <w:semiHidden/>
    <w:unhideWhenUsed/>
    <w:rsid w:val="007968EC"/>
  </w:style>
  <w:style w:type="numbering" w:customStyle="1" w:styleId="Sinlista11211231">
    <w:name w:val="Sin lista11211231"/>
    <w:next w:val="Sinlista"/>
    <w:uiPriority w:val="99"/>
    <w:semiHidden/>
    <w:unhideWhenUsed/>
    <w:rsid w:val="007968EC"/>
  </w:style>
  <w:style w:type="numbering" w:customStyle="1" w:styleId="Sinlista2111231">
    <w:name w:val="Sin lista2111231"/>
    <w:next w:val="Sinlista"/>
    <w:uiPriority w:val="99"/>
    <w:semiHidden/>
    <w:unhideWhenUsed/>
    <w:rsid w:val="007968EC"/>
  </w:style>
  <w:style w:type="numbering" w:customStyle="1" w:styleId="Sinlista1111111231">
    <w:name w:val="Sin lista1111111231"/>
    <w:next w:val="Sinlista"/>
    <w:uiPriority w:val="99"/>
    <w:semiHidden/>
    <w:unhideWhenUsed/>
    <w:rsid w:val="007968EC"/>
  </w:style>
  <w:style w:type="numbering" w:customStyle="1" w:styleId="Sinlista41131">
    <w:name w:val="Sin lista41131"/>
    <w:next w:val="Sinlista"/>
    <w:uiPriority w:val="99"/>
    <w:semiHidden/>
    <w:unhideWhenUsed/>
    <w:rsid w:val="007968EC"/>
  </w:style>
  <w:style w:type="numbering" w:customStyle="1" w:styleId="Sinlista131131">
    <w:name w:val="Sin lista131131"/>
    <w:next w:val="Sinlista"/>
    <w:uiPriority w:val="99"/>
    <w:semiHidden/>
    <w:unhideWhenUsed/>
    <w:rsid w:val="007968EC"/>
  </w:style>
  <w:style w:type="numbering" w:customStyle="1" w:styleId="Sinlista1131131">
    <w:name w:val="Sin lista1131131"/>
    <w:next w:val="Sinlista"/>
    <w:uiPriority w:val="99"/>
    <w:semiHidden/>
    <w:unhideWhenUsed/>
    <w:rsid w:val="007968EC"/>
  </w:style>
  <w:style w:type="numbering" w:customStyle="1" w:styleId="Sinlista221131">
    <w:name w:val="Sin lista221131"/>
    <w:next w:val="Sinlista"/>
    <w:uiPriority w:val="99"/>
    <w:semiHidden/>
    <w:unhideWhenUsed/>
    <w:rsid w:val="007968EC"/>
  </w:style>
  <w:style w:type="numbering" w:customStyle="1" w:styleId="Sinlista11121131">
    <w:name w:val="Sin lista11121131"/>
    <w:next w:val="Sinlista"/>
    <w:uiPriority w:val="99"/>
    <w:semiHidden/>
    <w:unhideWhenUsed/>
    <w:rsid w:val="007968EC"/>
  </w:style>
  <w:style w:type="numbering" w:customStyle="1" w:styleId="Sinlista321131">
    <w:name w:val="Sin lista321131"/>
    <w:next w:val="Sinlista"/>
    <w:uiPriority w:val="99"/>
    <w:semiHidden/>
    <w:unhideWhenUsed/>
    <w:rsid w:val="007968EC"/>
  </w:style>
  <w:style w:type="numbering" w:customStyle="1" w:styleId="Sinlista1221131">
    <w:name w:val="Sin lista1221131"/>
    <w:next w:val="Sinlista"/>
    <w:uiPriority w:val="99"/>
    <w:semiHidden/>
    <w:unhideWhenUsed/>
    <w:rsid w:val="007968EC"/>
  </w:style>
  <w:style w:type="numbering" w:customStyle="1" w:styleId="Sinlista11221131">
    <w:name w:val="Sin lista11221131"/>
    <w:next w:val="Sinlista"/>
    <w:uiPriority w:val="99"/>
    <w:semiHidden/>
    <w:unhideWhenUsed/>
    <w:rsid w:val="007968EC"/>
  </w:style>
  <w:style w:type="numbering" w:customStyle="1" w:styleId="Sinlista2121131">
    <w:name w:val="Sin lista2121131"/>
    <w:next w:val="Sinlista"/>
    <w:uiPriority w:val="99"/>
    <w:semiHidden/>
    <w:unhideWhenUsed/>
    <w:rsid w:val="007968EC"/>
  </w:style>
  <w:style w:type="numbering" w:customStyle="1" w:styleId="Sinlista111121131">
    <w:name w:val="Sin lista111121131"/>
    <w:next w:val="Sinlista"/>
    <w:uiPriority w:val="99"/>
    <w:semiHidden/>
    <w:unhideWhenUsed/>
    <w:rsid w:val="007968EC"/>
  </w:style>
  <w:style w:type="numbering" w:customStyle="1" w:styleId="Sinlista3111131">
    <w:name w:val="Sin lista3111131"/>
    <w:next w:val="Sinlista"/>
    <w:uiPriority w:val="99"/>
    <w:semiHidden/>
    <w:unhideWhenUsed/>
    <w:rsid w:val="007968EC"/>
  </w:style>
  <w:style w:type="numbering" w:customStyle="1" w:styleId="Sinlista12111131">
    <w:name w:val="Sin lista12111131"/>
    <w:next w:val="Sinlista"/>
    <w:uiPriority w:val="99"/>
    <w:semiHidden/>
    <w:unhideWhenUsed/>
    <w:rsid w:val="007968EC"/>
  </w:style>
  <w:style w:type="numbering" w:customStyle="1" w:styleId="Sinlista112111131">
    <w:name w:val="Sin lista112111131"/>
    <w:next w:val="Sinlista"/>
    <w:uiPriority w:val="99"/>
    <w:semiHidden/>
    <w:unhideWhenUsed/>
    <w:rsid w:val="007968EC"/>
  </w:style>
  <w:style w:type="numbering" w:customStyle="1" w:styleId="Sinlista21111131">
    <w:name w:val="Sin lista21111131"/>
    <w:next w:val="Sinlista"/>
    <w:uiPriority w:val="99"/>
    <w:semiHidden/>
    <w:unhideWhenUsed/>
    <w:rsid w:val="007968EC"/>
  </w:style>
  <w:style w:type="numbering" w:customStyle="1" w:styleId="Sinlista111111111131">
    <w:name w:val="Sin lista111111111131"/>
    <w:next w:val="Sinlista"/>
    <w:uiPriority w:val="99"/>
    <w:semiHidden/>
    <w:unhideWhenUsed/>
    <w:rsid w:val="007968EC"/>
  </w:style>
  <w:style w:type="numbering" w:customStyle="1" w:styleId="Sinlista621">
    <w:name w:val="Sin lista621"/>
    <w:next w:val="Sinlista"/>
    <w:uiPriority w:val="99"/>
    <w:semiHidden/>
    <w:unhideWhenUsed/>
    <w:rsid w:val="007968EC"/>
  </w:style>
  <w:style w:type="numbering" w:customStyle="1" w:styleId="Sinlista1521">
    <w:name w:val="Sin lista1521"/>
    <w:next w:val="Sinlista"/>
    <w:uiPriority w:val="99"/>
    <w:semiHidden/>
    <w:unhideWhenUsed/>
    <w:rsid w:val="007968EC"/>
  </w:style>
  <w:style w:type="numbering" w:customStyle="1" w:styleId="Sinlista11521">
    <w:name w:val="Sin lista11521"/>
    <w:next w:val="Sinlista"/>
    <w:uiPriority w:val="99"/>
    <w:semiHidden/>
    <w:unhideWhenUsed/>
    <w:rsid w:val="007968EC"/>
  </w:style>
  <w:style w:type="numbering" w:customStyle="1" w:styleId="Sinlista111421">
    <w:name w:val="Sin lista111421"/>
    <w:next w:val="Sinlista"/>
    <w:uiPriority w:val="99"/>
    <w:semiHidden/>
    <w:unhideWhenUsed/>
    <w:rsid w:val="007968EC"/>
  </w:style>
  <w:style w:type="numbering" w:customStyle="1" w:styleId="Sinlista1111421">
    <w:name w:val="Sin lista1111421"/>
    <w:next w:val="Sinlista"/>
    <w:uiPriority w:val="99"/>
    <w:semiHidden/>
    <w:unhideWhenUsed/>
    <w:rsid w:val="007968EC"/>
  </w:style>
  <w:style w:type="numbering" w:customStyle="1" w:styleId="Sinlista11111321">
    <w:name w:val="Sin lista11111321"/>
    <w:next w:val="Sinlista"/>
    <w:uiPriority w:val="99"/>
    <w:semiHidden/>
    <w:unhideWhenUsed/>
    <w:rsid w:val="007968EC"/>
  </w:style>
  <w:style w:type="numbering" w:customStyle="1" w:styleId="Sinlista2421">
    <w:name w:val="Sin lista2421"/>
    <w:next w:val="Sinlista"/>
    <w:uiPriority w:val="99"/>
    <w:semiHidden/>
    <w:unhideWhenUsed/>
    <w:rsid w:val="007968EC"/>
  </w:style>
  <w:style w:type="numbering" w:customStyle="1" w:styleId="Sinlista111111321">
    <w:name w:val="Sin lista111111321"/>
    <w:next w:val="Sinlista"/>
    <w:uiPriority w:val="99"/>
    <w:semiHidden/>
    <w:unhideWhenUsed/>
    <w:rsid w:val="007968EC"/>
  </w:style>
  <w:style w:type="numbering" w:customStyle="1" w:styleId="Sinlista3421">
    <w:name w:val="Sin lista3421"/>
    <w:next w:val="Sinlista"/>
    <w:uiPriority w:val="99"/>
    <w:semiHidden/>
    <w:unhideWhenUsed/>
    <w:rsid w:val="007968EC"/>
  </w:style>
  <w:style w:type="numbering" w:customStyle="1" w:styleId="Sinlista12421">
    <w:name w:val="Sin lista12421"/>
    <w:next w:val="Sinlista"/>
    <w:uiPriority w:val="99"/>
    <w:semiHidden/>
    <w:unhideWhenUsed/>
    <w:rsid w:val="007968EC"/>
  </w:style>
  <w:style w:type="numbering" w:customStyle="1" w:styleId="Sinlista112421">
    <w:name w:val="Sin lista112421"/>
    <w:next w:val="Sinlista"/>
    <w:uiPriority w:val="99"/>
    <w:semiHidden/>
    <w:unhideWhenUsed/>
    <w:rsid w:val="007968EC"/>
  </w:style>
  <w:style w:type="numbering" w:customStyle="1" w:styleId="Sinlista21421">
    <w:name w:val="Sin lista21421"/>
    <w:next w:val="Sinlista"/>
    <w:uiPriority w:val="99"/>
    <w:semiHidden/>
    <w:unhideWhenUsed/>
    <w:rsid w:val="007968EC"/>
  </w:style>
  <w:style w:type="numbering" w:customStyle="1" w:styleId="Sinlista1111111321">
    <w:name w:val="Sin lista1111111321"/>
    <w:next w:val="Sinlista"/>
    <w:uiPriority w:val="99"/>
    <w:semiHidden/>
    <w:unhideWhenUsed/>
    <w:rsid w:val="007968EC"/>
  </w:style>
  <w:style w:type="numbering" w:customStyle="1" w:styleId="Sinlista31321">
    <w:name w:val="Sin lista31321"/>
    <w:next w:val="Sinlista"/>
    <w:uiPriority w:val="99"/>
    <w:semiHidden/>
    <w:unhideWhenUsed/>
    <w:rsid w:val="007968EC"/>
  </w:style>
  <w:style w:type="numbering" w:customStyle="1" w:styleId="Sinlista121321">
    <w:name w:val="Sin lista121321"/>
    <w:next w:val="Sinlista"/>
    <w:uiPriority w:val="99"/>
    <w:semiHidden/>
    <w:unhideWhenUsed/>
    <w:rsid w:val="007968EC"/>
  </w:style>
  <w:style w:type="numbering" w:customStyle="1" w:styleId="Sinlista1121321">
    <w:name w:val="Sin lista1121321"/>
    <w:next w:val="Sinlista"/>
    <w:uiPriority w:val="99"/>
    <w:semiHidden/>
    <w:unhideWhenUsed/>
    <w:rsid w:val="007968EC"/>
  </w:style>
  <w:style w:type="numbering" w:customStyle="1" w:styleId="Sinlista211321">
    <w:name w:val="Sin lista211321"/>
    <w:next w:val="Sinlista"/>
    <w:uiPriority w:val="99"/>
    <w:semiHidden/>
    <w:unhideWhenUsed/>
    <w:rsid w:val="007968EC"/>
  </w:style>
  <w:style w:type="numbering" w:customStyle="1" w:styleId="Sinlista11111111221">
    <w:name w:val="Sin lista11111111221"/>
    <w:next w:val="Sinlista"/>
    <w:uiPriority w:val="99"/>
    <w:semiHidden/>
    <w:unhideWhenUsed/>
    <w:rsid w:val="007968EC"/>
  </w:style>
  <w:style w:type="numbering" w:customStyle="1" w:styleId="Sinlista4321">
    <w:name w:val="Sin lista4321"/>
    <w:next w:val="Sinlista"/>
    <w:uiPriority w:val="99"/>
    <w:semiHidden/>
    <w:unhideWhenUsed/>
    <w:rsid w:val="007968EC"/>
  </w:style>
  <w:style w:type="numbering" w:customStyle="1" w:styleId="Sinlista13321">
    <w:name w:val="Sin lista13321"/>
    <w:next w:val="Sinlista"/>
    <w:uiPriority w:val="99"/>
    <w:semiHidden/>
    <w:unhideWhenUsed/>
    <w:rsid w:val="007968EC"/>
  </w:style>
  <w:style w:type="numbering" w:customStyle="1" w:styleId="Sinlista22321">
    <w:name w:val="Sin lista22321"/>
    <w:next w:val="Sinlista"/>
    <w:uiPriority w:val="99"/>
    <w:semiHidden/>
    <w:unhideWhenUsed/>
    <w:rsid w:val="007968EC"/>
  </w:style>
  <w:style w:type="numbering" w:customStyle="1" w:styleId="Sinlista113321">
    <w:name w:val="Sin lista113321"/>
    <w:next w:val="Sinlista"/>
    <w:uiPriority w:val="99"/>
    <w:semiHidden/>
    <w:unhideWhenUsed/>
    <w:rsid w:val="007968EC"/>
  </w:style>
  <w:style w:type="numbering" w:customStyle="1" w:styleId="Sinlista1112321">
    <w:name w:val="Sin lista1112321"/>
    <w:next w:val="Sinlista"/>
    <w:uiPriority w:val="99"/>
    <w:semiHidden/>
    <w:unhideWhenUsed/>
    <w:rsid w:val="007968EC"/>
  </w:style>
  <w:style w:type="numbering" w:customStyle="1" w:styleId="Sinlista32321">
    <w:name w:val="Sin lista32321"/>
    <w:next w:val="Sinlista"/>
    <w:uiPriority w:val="99"/>
    <w:semiHidden/>
    <w:unhideWhenUsed/>
    <w:rsid w:val="007968EC"/>
  </w:style>
  <w:style w:type="numbering" w:customStyle="1" w:styleId="Sinlista122321">
    <w:name w:val="Sin lista122321"/>
    <w:next w:val="Sinlista"/>
    <w:uiPriority w:val="99"/>
    <w:semiHidden/>
    <w:unhideWhenUsed/>
    <w:rsid w:val="007968EC"/>
  </w:style>
  <w:style w:type="numbering" w:customStyle="1" w:styleId="Sinlista1122321">
    <w:name w:val="Sin lista1122321"/>
    <w:next w:val="Sinlista"/>
    <w:uiPriority w:val="99"/>
    <w:semiHidden/>
    <w:unhideWhenUsed/>
    <w:rsid w:val="007968EC"/>
  </w:style>
  <w:style w:type="numbering" w:customStyle="1" w:styleId="Sinlista212321">
    <w:name w:val="Sin lista212321"/>
    <w:next w:val="Sinlista"/>
    <w:uiPriority w:val="99"/>
    <w:semiHidden/>
    <w:unhideWhenUsed/>
    <w:rsid w:val="007968EC"/>
  </w:style>
  <w:style w:type="numbering" w:customStyle="1" w:styleId="Sinlista11112321">
    <w:name w:val="Sin lista11112321"/>
    <w:next w:val="Sinlista"/>
    <w:uiPriority w:val="99"/>
    <w:semiHidden/>
    <w:unhideWhenUsed/>
    <w:rsid w:val="007968EC"/>
  </w:style>
  <w:style w:type="numbering" w:customStyle="1" w:styleId="Sinlista311321">
    <w:name w:val="Sin lista311321"/>
    <w:next w:val="Sinlista"/>
    <w:uiPriority w:val="99"/>
    <w:semiHidden/>
    <w:unhideWhenUsed/>
    <w:rsid w:val="007968EC"/>
  </w:style>
  <w:style w:type="numbering" w:customStyle="1" w:styleId="Sinlista1211321">
    <w:name w:val="Sin lista1211321"/>
    <w:next w:val="Sinlista"/>
    <w:uiPriority w:val="99"/>
    <w:semiHidden/>
    <w:unhideWhenUsed/>
    <w:rsid w:val="007968EC"/>
  </w:style>
  <w:style w:type="numbering" w:customStyle="1" w:styleId="Sinlista11211321">
    <w:name w:val="Sin lista11211321"/>
    <w:next w:val="Sinlista"/>
    <w:uiPriority w:val="99"/>
    <w:semiHidden/>
    <w:unhideWhenUsed/>
    <w:rsid w:val="007968EC"/>
  </w:style>
  <w:style w:type="numbering" w:customStyle="1" w:styleId="Sinlista2111321">
    <w:name w:val="Sin lista2111321"/>
    <w:next w:val="Sinlista"/>
    <w:uiPriority w:val="99"/>
    <w:semiHidden/>
    <w:unhideWhenUsed/>
    <w:rsid w:val="007968EC"/>
  </w:style>
  <w:style w:type="numbering" w:customStyle="1" w:styleId="Sinlista111111111221">
    <w:name w:val="Sin lista111111111221"/>
    <w:next w:val="Sinlista"/>
    <w:uiPriority w:val="99"/>
    <w:semiHidden/>
    <w:unhideWhenUsed/>
    <w:rsid w:val="007968EC"/>
  </w:style>
  <w:style w:type="numbering" w:customStyle="1" w:styleId="Sinlista41221">
    <w:name w:val="Sin lista41221"/>
    <w:next w:val="Sinlista"/>
    <w:uiPriority w:val="99"/>
    <w:semiHidden/>
    <w:unhideWhenUsed/>
    <w:rsid w:val="007968EC"/>
  </w:style>
  <w:style w:type="numbering" w:customStyle="1" w:styleId="Sinlista131221">
    <w:name w:val="Sin lista131221"/>
    <w:next w:val="Sinlista"/>
    <w:uiPriority w:val="99"/>
    <w:semiHidden/>
    <w:unhideWhenUsed/>
    <w:rsid w:val="007968EC"/>
  </w:style>
  <w:style w:type="numbering" w:customStyle="1" w:styleId="Sinlista1131221">
    <w:name w:val="Sin lista1131221"/>
    <w:next w:val="Sinlista"/>
    <w:uiPriority w:val="99"/>
    <w:semiHidden/>
    <w:unhideWhenUsed/>
    <w:rsid w:val="007968EC"/>
  </w:style>
  <w:style w:type="numbering" w:customStyle="1" w:styleId="Sinlista221221">
    <w:name w:val="Sin lista221221"/>
    <w:next w:val="Sinlista"/>
    <w:uiPriority w:val="99"/>
    <w:semiHidden/>
    <w:unhideWhenUsed/>
    <w:rsid w:val="007968EC"/>
  </w:style>
  <w:style w:type="numbering" w:customStyle="1" w:styleId="Sinlista11121221">
    <w:name w:val="Sin lista11121221"/>
    <w:next w:val="Sinlista"/>
    <w:uiPriority w:val="99"/>
    <w:semiHidden/>
    <w:unhideWhenUsed/>
    <w:rsid w:val="007968EC"/>
  </w:style>
  <w:style w:type="numbering" w:customStyle="1" w:styleId="Sinlista321221">
    <w:name w:val="Sin lista321221"/>
    <w:next w:val="Sinlista"/>
    <w:uiPriority w:val="99"/>
    <w:semiHidden/>
    <w:unhideWhenUsed/>
    <w:rsid w:val="007968EC"/>
  </w:style>
  <w:style w:type="numbering" w:customStyle="1" w:styleId="Sinlista1221221">
    <w:name w:val="Sin lista1221221"/>
    <w:next w:val="Sinlista"/>
    <w:uiPriority w:val="99"/>
    <w:semiHidden/>
    <w:unhideWhenUsed/>
    <w:rsid w:val="007968EC"/>
  </w:style>
  <w:style w:type="numbering" w:customStyle="1" w:styleId="Sinlista11221221">
    <w:name w:val="Sin lista11221221"/>
    <w:next w:val="Sinlista"/>
    <w:uiPriority w:val="99"/>
    <w:semiHidden/>
    <w:unhideWhenUsed/>
    <w:rsid w:val="007968EC"/>
  </w:style>
  <w:style w:type="numbering" w:customStyle="1" w:styleId="Sinlista2121221">
    <w:name w:val="Sin lista2121221"/>
    <w:next w:val="Sinlista"/>
    <w:uiPriority w:val="99"/>
    <w:semiHidden/>
    <w:unhideWhenUsed/>
    <w:rsid w:val="007968EC"/>
  </w:style>
  <w:style w:type="numbering" w:customStyle="1" w:styleId="Sinlista111121221">
    <w:name w:val="Sin lista111121221"/>
    <w:next w:val="Sinlista"/>
    <w:uiPriority w:val="99"/>
    <w:semiHidden/>
    <w:unhideWhenUsed/>
    <w:rsid w:val="007968EC"/>
  </w:style>
  <w:style w:type="numbering" w:customStyle="1" w:styleId="Sinlista3111221">
    <w:name w:val="Sin lista3111221"/>
    <w:next w:val="Sinlista"/>
    <w:uiPriority w:val="99"/>
    <w:semiHidden/>
    <w:unhideWhenUsed/>
    <w:rsid w:val="007968EC"/>
  </w:style>
  <w:style w:type="numbering" w:customStyle="1" w:styleId="Sinlista12111221">
    <w:name w:val="Sin lista12111221"/>
    <w:next w:val="Sinlista"/>
    <w:uiPriority w:val="99"/>
    <w:semiHidden/>
    <w:unhideWhenUsed/>
    <w:rsid w:val="007968EC"/>
  </w:style>
  <w:style w:type="numbering" w:customStyle="1" w:styleId="Sinlista112111221">
    <w:name w:val="Sin lista112111221"/>
    <w:next w:val="Sinlista"/>
    <w:uiPriority w:val="99"/>
    <w:semiHidden/>
    <w:unhideWhenUsed/>
    <w:rsid w:val="007968EC"/>
  </w:style>
  <w:style w:type="numbering" w:customStyle="1" w:styleId="Sinlista21111221">
    <w:name w:val="Sin lista21111221"/>
    <w:next w:val="Sinlista"/>
    <w:uiPriority w:val="99"/>
    <w:semiHidden/>
    <w:unhideWhenUsed/>
    <w:rsid w:val="007968EC"/>
  </w:style>
  <w:style w:type="numbering" w:customStyle="1" w:styleId="Sinlista1111111111131">
    <w:name w:val="Sin lista1111111111131"/>
    <w:next w:val="Sinlista"/>
    <w:uiPriority w:val="99"/>
    <w:semiHidden/>
    <w:unhideWhenUsed/>
    <w:rsid w:val="007968EC"/>
  </w:style>
  <w:style w:type="numbering" w:customStyle="1" w:styleId="Sinlista5121">
    <w:name w:val="Sin lista5121"/>
    <w:next w:val="Sinlista"/>
    <w:uiPriority w:val="99"/>
    <w:semiHidden/>
    <w:unhideWhenUsed/>
    <w:rsid w:val="007968EC"/>
  </w:style>
  <w:style w:type="numbering" w:customStyle="1" w:styleId="Sinlista14121">
    <w:name w:val="Sin lista14121"/>
    <w:next w:val="Sinlista"/>
    <w:uiPriority w:val="99"/>
    <w:semiHidden/>
    <w:unhideWhenUsed/>
    <w:rsid w:val="007968EC"/>
  </w:style>
  <w:style w:type="numbering" w:customStyle="1" w:styleId="Sinlista114121">
    <w:name w:val="Sin lista114121"/>
    <w:next w:val="Sinlista"/>
    <w:uiPriority w:val="99"/>
    <w:semiHidden/>
    <w:unhideWhenUsed/>
    <w:rsid w:val="007968EC"/>
  </w:style>
  <w:style w:type="numbering" w:customStyle="1" w:styleId="Sinlista1113121">
    <w:name w:val="Sin lista1113121"/>
    <w:next w:val="Sinlista"/>
    <w:uiPriority w:val="99"/>
    <w:semiHidden/>
    <w:unhideWhenUsed/>
    <w:rsid w:val="007968EC"/>
  </w:style>
  <w:style w:type="numbering" w:customStyle="1" w:styleId="Sinlista23121">
    <w:name w:val="Sin lista23121"/>
    <w:next w:val="Sinlista"/>
    <w:uiPriority w:val="99"/>
    <w:semiHidden/>
    <w:unhideWhenUsed/>
    <w:rsid w:val="007968EC"/>
  </w:style>
  <w:style w:type="numbering" w:customStyle="1" w:styleId="Sinlista11113121">
    <w:name w:val="Sin lista11113121"/>
    <w:next w:val="Sinlista"/>
    <w:uiPriority w:val="99"/>
    <w:semiHidden/>
    <w:unhideWhenUsed/>
    <w:rsid w:val="007968EC"/>
  </w:style>
  <w:style w:type="numbering" w:customStyle="1" w:styleId="Sinlista33121">
    <w:name w:val="Sin lista33121"/>
    <w:next w:val="Sinlista"/>
    <w:uiPriority w:val="99"/>
    <w:semiHidden/>
    <w:unhideWhenUsed/>
    <w:rsid w:val="007968EC"/>
  </w:style>
  <w:style w:type="numbering" w:customStyle="1" w:styleId="Sinlista123121">
    <w:name w:val="Sin lista123121"/>
    <w:next w:val="Sinlista"/>
    <w:uiPriority w:val="99"/>
    <w:semiHidden/>
    <w:unhideWhenUsed/>
    <w:rsid w:val="007968EC"/>
  </w:style>
  <w:style w:type="numbering" w:customStyle="1" w:styleId="Sinlista1123121">
    <w:name w:val="Sin lista1123121"/>
    <w:next w:val="Sinlista"/>
    <w:uiPriority w:val="99"/>
    <w:semiHidden/>
    <w:unhideWhenUsed/>
    <w:rsid w:val="007968EC"/>
  </w:style>
  <w:style w:type="numbering" w:customStyle="1" w:styleId="Sinlista213121">
    <w:name w:val="Sin lista213121"/>
    <w:next w:val="Sinlista"/>
    <w:uiPriority w:val="99"/>
    <w:semiHidden/>
    <w:unhideWhenUsed/>
    <w:rsid w:val="007968EC"/>
  </w:style>
  <w:style w:type="numbering" w:customStyle="1" w:styleId="Sinlista111112121">
    <w:name w:val="Sin lista111112121"/>
    <w:next w:val="Sinlista"/>
    <w:uiPriority w:val="99"/>
    <w:semiHidden/>
    <w:unhideWhenUsed/>
    <w:rsid w:val="007968EC"/>
  </w:style>
  <w:style w:type="numbering" w:customStyle="1" w:styleId="Sinlista312121">
    <w:name w:val="Sin lista312121"/>
    <w:next w:val="Sinlista"/>
    <w:uiPriority w:val="99"/>
    <w:semiHidden/>
    <w:unhideWhenUsed/>
    <w:rsid w:val="007968EC"/>
  </w:style>
  <w:style w:type="numbering" w:customStyle="1" w:styleId="Sinlista1212121">
    <w:name w:val="Sin lista1212121"/>
    <w:next w:val="Sinlista"/>
    <w:uiPriority w:val="99"/>
    <w:semiHidden/>
    <w:unhideWhenUsed/>
    <w:rsid w:val="007968EC"/>
  </w:style>
  <w:style w:type="numbering" w:customStyle="1" w:styleId="Sinlista11212121">
    <w:name w:val="Sin lista11212121"/>
    <w:next w:val="Sinlista"/>
    <w:uiPriority w:val="99"/>
    <w:semiHidden/>
    <w:unhideWhenUsed/>
    <w:rsid w:val="007968EC"/>
  </w:style>
  <w:style w:type="numbering" w:customStyle="1" w:styleId="Sinlista2112121">
    <w:name w:val="Sin lista2112121"/>
    <w:next w:val="Sinlista"/>
    <w:uiPriority w:val="99"/>
    <w:semiHidden/>
    <w:unhideWhenUsed/>
    <w:rsid w:val="007968EC"/>
  </w:style>
  <w:style w:type="numbering" w:customStyle="1" w:styleId="Sinlista1111112121">
    <w:name w:val="Sin lista1111112121"/>
    <w:next w:val="Sinlista"/>
    <w:uiPriority w:val="99"/>
    <w:semiHidden/>
    <w:unhideWhenUsed/>
    <w:rsid w:val="007968EC"/>
  </w:style>
  <w:style w:type="numbering" w:customStyle="1" w:styleId="Sinlista42121">
    <w:name w:val="Sin lista42121"/>
    <w:next w:val="Sinlista"/>
    <w:uiPriority w:val="99"/>
    <w:semiHidden/>
    <w:unhideWhenUsed/>
    <w:rsid w:val="007968EC"/>
  </w:style>
  <w:style w:type="numbering" w:customStyle="1" w:styleId="Sinlista132121">
    <w:name w:val="Sin lista132121"/>
    <w:next w:val="Sinlista"/>
    <w:uiPriority w:val="99"/>
    <w:semiHidden/>
    <w:unhideWhenUsed/>
    <w:rsid w:val="007968EC"/>
  </w:style>
  <w:style w:type="numbering" w:customStyle="1" w:styleId="Sinlista222121">
    <w:name w:val="Sin lista222121"/>
    <w:next w:val="Sinlista"/>
    <w:uiPriority w:val="99"/>
    <w:semiHidden/>
    <w:unhideWhenUsed/>
    <w:rsid w:val="007968EC"/>
  </w:style>
  <w:style w:type="numbering" w:customStyle="1" w:styleId="Sinlista1132121">
    <w:name w:val="Sin lista1132121"/>
    <w:next w:val="Sinlista"/>
    <w:uiPriority w:val="99"/>
    <w:semiHidden/>
    <w:unhideWhenUsed/>
    <w:rsid w:val="007968EC"/>
  </w:style>
  <w:style w:type="numbering" w:customStyle="1" w:styleId="Sinlista11122121">
    <w:name w:val="Sin lista11122121"/>
    <w:next w:val="Sinlista"/>
    <w:uiPriority w:val="99"/>
    <w:semiHidden/>
    <w:unhideWhenUsed/>
    <w:rsid w:val="007968EC"/>
  </w:style>
  <w:style w:type="numbering" w:customStyle="1" w:styleId="Sinlista322121">
    <w:name w:val="Sin lista322121"/>
    <w:next w:val="Sinlista"/>
    <w:uiPriority w:val="99"/>
    <w:semiHidden/>
    <w:unhideWhenUsed/>
    <w:rsid w:val="007968EC"/>
  </w:style>
  <w:style w:type="numbering" w:customStyle="1" w:styleId="Sinlista1222121">
    <w:name w:val="Sin lista1222121"/>
    <w:next w:val="Sinlista"/>
    <w:uiPriority w:val="99"/>
    <w:semiHidden/>
    <w:unhideWhenUsed/>
    <w:rsid w:val="007968EC"/>
  </w:style>
  <w:style w:type="numbering" w:customStyle="1" w:styleId="Sinlista11222121">
    <w:name w:val="Sin lista11222121"/>
    <w:next w:val="Sinlista"/>
    <w:uiPriority w:val="99"/>
    <w:semiHidden/>
    <w:unhideWhenUsed/>
    <w:rsid w:val="007968EC"/>
  </w:style>
  <w:style w:type="numbering" w:customStyle="1" w:styleId="Sinlista2122121">
    <w:name w:val="Sin lista2122121"/>
    <w:next w:val="Sinlista"/>
    <w:uiPriority w:val="99"/>
    <w:semiHidden/>
    <w:unhideWhenUsed/>
    <w:rsid w:val="007968EC"/>
  </w:style>
  <w:style w:type="numbering" w:customStyle="1" w:styleId="Sinlista111122121">
    <w:name w:val="Sin lista111122121"/>
    <w:next w:val="Sinlista"/>
    <w:uiPriority w:val="99"/>
    <w:semiHidden/>
    <w:unhideWhenUsed/>
    <w:rsid w:val="007968EC"/>
  </w:style>
  <w:style w:type="numbering" w:customStyle="1" w:styleId="Sinlista3112121">
    <w:name w:val="Sin lista3112121"/>
    <w:next w:val="Sinlista"/>
    <w:uiPriority w:val="99"/>
    <w:semiHidden/>
    <w:unhideWhenUsed/>
    <w:rsid w:val="007968EC"/>
  </w:style>
  <w:style w:type="numbering" w:customStyle="1" w:styleId="Sinlista12112121">
    <w:name w:val="Sin lista12112121"/>
    <w:next w:val="Sinlista"/>
    <w:uiPriority w:val="99"/>
    <w:semiHidden/>
    <w:unhideWhenUsed/>
    <w:rsid w:val="007968EC"/>
  </w:style>
  <w:style w:type="numbering" w:customStyle="1" w:styleId="Sinlista112112121">
    <w:name w:val="Sin lista112112121"/>
    <w:next w:val="Sinlista"/>
    <w:uiPriority w:val="99"/>
    <w:semiHidden/>
    <w:unhideWhenUsed/>
    <w:rsid w:val="007968EC"/>
  </w:style>
  <w:style w:type="numbering" w:customStyle="1" w:styleId="Sinlista21112121">
    <w:name w:val="Sin lista21112121"/>
    <w:next w:val="Sinlista"/>
    <w:uiPriority w:val="99"/>
    <w:semiHidden/>
    <w:unhideWhenUsed/>
    <w:rsid w:val="007968EC"/>
  </w:style>
  <w:style w:type="numbering" w:customStyle="1" w:styleId="Sinlista11111112121">
    <w:name w:val="Sin lista11111112121"/>
    <w:next w:val="Sinlista"/>
    <w:uiPriority w:val="99"/>
    <w:semiHidden/>
    <w:unhideWhenUsed/>
    <w:rsid w:val="007968EC"/>
  </w:style>
  <w:style w:type="numbering" w:customStyle="1" w:styleId="Sinlista411121">
    <w:name w:val="Sin lista411121"/>
    <w:next w:val="Sinlista"/>
    <w:uiPriority w:val="99"/>
    <w:semiHidden/>
    <w:unhideWhenUsed/>
    <w:rsid w:val="007968EC"/>
  </w:style>
  <w:style w:type="numbering" w:customStyle="1" w:styleId="Sinlista1311121">
    <w:name w:val="Sin lista1311121"/>
    <w:next w:val="Sinlista"/>
    <w:uiPriority w:val="99"/>
    <w:semiHidden/>
    <w:unhideWhenUsed/>
    <w:rsid w:val="007968EC"/>
  </w:style>
  <w:style w:type="numbering" w:customStyle="1" w:styleId="Sinlista11311121">
    <w:name w:val="Sin lista11311121"/>
    <w:next w:val="Sinlista"/>
    <w:uiPriority w:val="99"/>
    <w:semiHidden/>
    <w:unhideWhenUsed/>
    <w:rsid w:val="007968EC"/>
  </w:style>
  <w:style w:type="numbering" w:customStyle="1" w:styleId="Sinlista2211121">
    <w:name w:val="Sin lista2211121"/>
    <w:next w:val="Sinlista"/>
    <w:uiPriority w:val="99"/>
    <w:semiHidden/>
    <w:unhideWhenUsed/>
    <w:rsid w:val="007968EC"/>
  </w:style>
  <w:style w:type="numbering" w:customStyle="1" w:styleId="Sinlista111211121">
    <w:name w:val="Sin lista111211121"/>
    <w:next w:val="Sinlista"/>
    <w:uiPriority w:val="99"/>
    <w:semiHidden/>
    <w:unhideWhenUsed/>
    <w:rsid w:val="007968EC"/>
  </w:style>
  <w:style w:type="numbering" w:customStyle="1" w:styleId="Sinlista3211121">
    <w:name w:val="Sin lista3211121"/>
    <w:next w:val="Sinlista"/>
    <w:uiPriority w:val="99"/>
    <w:semiHidden/>
    <w:unhideWhenUsed/>
    <w:rsid w:val="007968EC"/>
  </w:style>
  <w:style w:type="numbering" w:customStyle="1" w:styleId="Sinlista12211121">
    <w:name w:val="Sin lista12211121"/>
    <w:next w:val="Sinlista"/>
    <w:uiPriority w:val="99"/>
    <w:semiHidden/>
    <w:unhideWhenUsed/>
    <w:rsid w:val="007968EC"/>
  </w:style>
  <w:style w:type="numbering" w:customStyle="1" w:styleId="Sinlista112211121">
    <w:name w:val="Sin lista112211121"/>
    <w:next w:val="Sinlista"/>
    <w:uiPriority w:val="99"/>
    <w:semiHidden/>
    <w:unhideWhenUsed/>
    <w:rsid w:val="007968EC"/>
  </w:style>
  <w:style w:type="numbering" w:customStyle="1" w:styleId="Sinlista21211121">
    <w:name w:val="Sin lista21211121"/>
    <w:next w:val="Sinlista"/>
    <w:uiPriority w:val="99"/>
    <w:semiHidden/>
    <w:unhideWhenUsed/>
    <w:rsid w:val="007968EC"/>
  </w:style>
  <w:style w:type="numbering" w:customStyle="1" w:styleId="Sinlista1111211121">
    <w:name w:val="Sin lista1111211121"/>
    <w:next w:val="Sinlista"/>
    <w:uiPriority w:val="99"/>
    <w:semiHidden/>
    <w:unhideWhenUsed/>
    <w:rsid w:val="007968EC"/>
  </w:style>
  <w:style w:type="numbering" w:customStyle="1" w:styleId="Sinlista31111121">
    <w:name w:val="Sin lista31111121"/>
    <w:next w:val="Sinlista"/>
    <w:uiPriority w:val="99"/>
    <w:semiHidden/>
    <w:unhideWhenUsed/>
    <w:rsid w:val="007968EC"/>
  </w:style>
  <w:style w:type="numbering" w:customStyle="1" w:styleId="Sinlista121111121">
    <w:name w:val="Sin lista121111121"/>
    <w:next w:val="Sinlista"/>
    <w:uiPriority w:val="99"/>
    <w:semiHidden/>
    <w:unhideWhenUsed/>
    <w:rsid w:val="007968EC"/>
  </w:style>
  <w:style w:type="numbering" w:customStyle="1" w:styleId="Sinlista1121111121">
    <w:name w:val="Sin lista1121111121"/>
    <w:next w:val="Sinlista"/>
    <w:uiPriority w:val="99"/>
    <w:semiHidden/>
    <w:unhideWhenUsed/>
    <w:rsid w:val="007968EC"/>
  </w:style>
  <w:style w:type="numbering" w:customStyle="1" w:styleId="Sinlista211111121">
    <w:name w:val="Sin lista211111121"/>
    <w:next w:val="Sinlista"/>
    <w:uiPriority w:val="99"/>
    <w:semiHidden/>
    <w:unhideWhenUsed/>
    <w:rsid w:val="007968EC"/>
  </w:style>
  <w:style w:type="numbering" w:customStyle="1" w:styleId="Sinlista11111111111131">
    <w:name w:val="Sin lista11111111111131"/>
    <w:next w:val="Sinlista"/>
    <w:uiPriority w:val="99"/>
    <w:semiHidden/>
    <w:unhideWhenUsed/>
    <w:rsid w:val="007968EC"/>
  </w:style>
  <w:style w:type="numbering" w:customStyle="1" w:styleId="Sinlista101">
    <w:name w:val="Sin lista101"/>
    <w:next w:val="Sinlista"/>
    <w:uiPriority w:val="99"/>
    <w:semiHidden/>
    <w:unhideWhenUsed/>
    <w:rsid w:val="007968EC"/>
  </w:style>
  <w:style w:type="numbering" w:customStyle="1" w:styleId="Sinlista181">
    <w:name w:val="Sin lista181"/>
    <w:next w:val="Sinlista"/>
    <w:uiPriority w:val="99"/>
    <w:semiHidden/>
    <w:unhideWhenUsed/>
    <w:rsid w:val="007968EC"/>
  </w:style>
  <w:style w:type="numbering" w:customStyle="1" w:styleId="Sinlista1181">
    <w:name w:val="Sin lista1181"/>
    <w:next w:val="Sinlista"/>
    <w:uiPriority w:val="99"/>
    <w:semiHidden/>
    <w:unhideWhenUsed/>
    <w:rsid w:val="007968EC"/>
  </w:style>
  <w:style w:type="numbering" w:customStyle="1" w:styleId="Sinlista11171">
    <w:name w:val="Sin lista11171"/>
    <w:next w:val="Sinlista"/>
    <w:uiPriority w:val="99"/>
    <w:semiHidden/>
    <w:unhideWhenUsed/>
    <w:rsid w:val="007968EC"/>
  </w:style>
  <w:style w:type="numbering" w:customStyle="1" w:styleId="Sinlista111171">
    <w:name w:val="Sin lista111171"/>
    <w:next w:val="Sinlista"/>
    <w:uiPriority w:val="99"/>
    <w:semiHidden/>
    <w:unhideWhenUsed/>
    <w:rsid w:val="007968EC"/>
  </w:style>
  <w:style w:type="numbering" w:customStyle="1" w:styleId="Sinlista271">
    <w:name w:val="Sin lista271"/>
    <w:next w:val="Sinlista"/>
    <w:uiPriority w:val="99"/>
    <w:semiHidden/>
    <w:unhideWhenUsed/>
    <w:rsid w:val="007968EC"/>
  </w:style>
  <w:style w:type="numbering" w:customStyle="1" w:styleId="Sinlista1111161">
    <w:name w:val="Sin lista1111161"/>
    <w:next w:val="Sinlista"/>
    <w:uiPriority w:val="99"/>
    <w:semiHidden/>
    <w:unhideWhenUsed/>
    <w:rsid w:val="007968EC"/>
  </w:style>
  <w:style w:type="numbering" w:customStyle="1" w:styleId="Sinlista371">
    <w:name w:val="Sin lista371"/>
    <w:next w:val="Sinlista"/>
    <w:uiPriority w:val="99"/>
    <w:semiHidden/>
    <w:unhideWhenUsed/>
    <w:rsid w:val="007968EC"/>
  </w:style>
  <w:style w:type="numbering" w:customStyle="1" w:styleId="Sinlista1271">
    <w:name w:val="Sin lista1271"/>
    <w:next w:val="Sinlista"/>
    <w:uiPriority w:val="99"/>
    <w:semiHidden/>
    <w:unhideWhenUsed/>
    <w:rsid w:val="007968EC"/>
  </w:style>
  <w:style w:type="numbering" w:customStyle="1" w:styleId="Sinlista11271">
    <w:name w:val="Sin lista11271"/>
    <w:next w:val="Sinlista"/>
    <w:uiPriority w:val="99"/>
    <w:semiHidden/>
    <w:unhideWhenUsed/>
    <w:rsid w:val="007968EC"/>
  </w:style>
  <w:style w:type="numbering" w:customStyle="1" w:styleId="Sinlista2171">
    <w:name w:val="Sin lista2171"/>
    <w:next w:val="Sinlista"/>
    <w:uiPriority w:val="99"/>
    <w:semiHidden/>
    <w:unhideWhenUsed/>
    <w:rsid w:val="007968EC"/>
  </w:style>
  <w:style w:type="numbering" w:customStyle="1" w:styleId="Sinlista11111161">
    <w:name w:val="Sin lista11111161"/>
    <w:next w:val="Sinlista"/>
    <w:uiPriority w:val="99"/>
    <w:semiHidden/>
    <w:unhideWhenUsed/>
    <w:rsid w:val="007968EC"/>
  </w:style>
  <w:style w:type="numbering" w:customStyle="1" w:styleId="Sinlista3161">
    <w:name w:val="Sin lista3161"/>
    <w:next w:val="Sinlista"/>
    <w:uiPriority w:val="99"/>
    <w:semiHidden/>
    <w:unhideWhenUsed/>
    <w:rsid w:val="007968EC"/>
  </w:style>
  <w:style w:type="numbering" w:customStyle="1" w:styleId="Sinlista12161">
    <w:name w:val="Sin lista12161"/>
    <w:next w:val="Sinlista"/>
    <w:uiPriority w:val="99"/>
    <w:semiHidden/>
    <w:unhideWhenUsed/>
    <w:rsid w:val="007968EC"/>
  </w:style>
  <w:style w:type="numbering" w:customStyle="1" w:styleId="Sinlista112161">
    <w:name w:val="Sin lista112161"/>
    <w:next w:val="Sinlista"/>
    <w:uiPriority w:val="99"/>
    <w:semiHidden/>
    <w:unhideWhenUsed/>
    <w:rsid w:val="007968EC"/>
  </w:style>
  <w:style w:type="numbering" w:customStyle="1" w:styleId="Sinlista21161">
    <w:name w:val="Sin lista21161"/>
    <w:next w:val="Sinlista"/>
    <w:uiPriority w:val="99"/>
    <w:semiHidden/>
    <w:unhideWhenUsed/>
    <w:rsid w:val="007968EC"/>
  </w:style>
  <w:style w:type="numbering" w:customStyle="1" w:styleId="Sinlista111111161">
    <w:name w:val="Sin lista111111161"/>
    <w:next w:val="Sinlista"/>
    <w:uiPriority w:val="99"/>
    <w:semiHidden/>
    <w:unhideWhenUsed/>
    <w:rsid w:val="007968EC"/>
  </w:style>
  <w:style w:type="numbering" w:customStyle="1" w:styleId="Sinlista461">
    <w:name w:val="Sin lista461"/>
    <w:next w:val="Sinlista"/>
    <w:uiPriority w:val="99"/>
    <w:semiHidden/>
    <w:unhideWhenUsed/>
    <w:rsid w:val="007968EC"/>
  </w:style>
  <w:style w:type="numbering" w:customStyle="1" w:styleId="Sinlista1361">
    <w:name w:val="Sin lista1361"/>
    <w:next w:val="Sinlista"/>
    <w:uiPriority w:val="99"/>
    <w:semiHidden/>
    <w:unhideWhenUsed/>
    <w:rsid w:val="007968EC"/>
  </w:style>
  <w:style w:type="numbering" w:customStyle="1" w:styleId="Sinlista2261">
    <w:name w:val="Sin lista2261"/>
    <w:next w:val="Sinlista"/>
    <w:uiPriority w:val="99"/>
    <w:semiHidden/>
    <w:unhideWhenUsed/>
    <w:rsid w:val="007968EC"/>
  </w:style>
  <w:style w:type="numbering" w:customStyle="1" w:styleId="Sinlista11361">
    <w:name w:val="Sin lista11361"/>
    <w:next w:val="Sinlista"/>
    <w:uiPriority w:val="99"/>
    <w:semiHidden/>
    <w:unhideWhenUsed/>
    <w:rsid w:val="007968EC"/>
  </w:style>
  <w:style w:type="numbering" w:customStyle="1" w:styleId="Sinlista111261">
    <w:name w:val="Sin lista111261"/>
    <w:next w:val="Sinlista"/>
    <w:uiPriority w:val="99"/>
    <w:semiHidden/>
    <w:unhideWhenUsed/>
    <w:rsid w:val="007968EC"/>
  </w:style>
  <w:style w:type="numbering" w:customStyle="1" w:styleId="Sinlista3261">
    <w:name w:val="Sin lista3261"/>
    <w:next w:val="Sinlista"/>
    <w:uiPriority w:val="99"/>
    <w:semiHidden/>
    <w:unhideWhenUsed/>
    <w:rsid w:val="007968EC"/>
  </w:style>
  <w:style w:type="numbering" w:customStyle="1" w:styleId="Sinlista12261">
    <w:name w:val="Sin lista12261"/>
    <w:next w:val="Sinlista"/>
    <w:uiPriority w:val="99"/>
    <w:semiHidden/>
    <w:unhideWhenUsed/>
    <w:rsid w:val="007968EC"/>
  </w:style>
  <w:style w:type="numbering" w:customStyle="1" w:styleId="Sinlista112261">
    <w:name w:val="Sin lista112261"/>
    <w:next w:val="Sinlista"/>
    <w:uiPriority w:val="99"/>
    <w:semiHidden/>
    <w:unhideWhenUsed/>
    <w:rsid w:val="007968EC"/>
  </w:style>
  <w:style w:type="numbering" w:customStyle="1" w:styleId="Sinlista21261">
    <w:name w:val="Sin lista21261"/>
    <w:next w:val="Sinlista"/>
    <w:uiPriority w:val="99"/>
    <w:semiHidden/>
    <w:unhideWhenUsed/>
    <w:rsid w:val="007968EC"/>
  </w:style>
  <w:style w:type="numbering" w:customStyle="1" w:styleId="Sinlista1111261">
    <w:name w:val="Sin lista1111261"/>
    <w:next w:val="Sinlista"/>
    <w:uiPriority w:val="99"/>
    <w:semiHidden/>
    <w:unhideWhenUsed/>
    <w:rsid w:val="007968EC"/>
  </w:style>
  <w:style w:type="numbering" w:customStyle="1" w:styleId="Sinlista31161">
    <w:name w:val="Sin lista31161"/>
    <w:next w:val="Sinlista"/>
    <w:uiPriority w:val="99"/>
    <w:semiHidden/>
    <w:unhideWhenUsed/>
    <w:rsid w:val="007968EC"/>
  </w:style>
  <w:style w:type="numbering" w:customStyle="1" w:styleId="Sinlista121161">
    <w:name w:val="Sin lista121161"/>
    <w:next w:val="Sinlista"/>
    <w:uiPriority w:val="99"/>
    <w:semiHidden/>
    <w:unhideWhenUsed/>
    <w:rsid w:val="007968EC"/>
  </w:style>
  <w:style w:type="numbering" w:customStyle="1" w:styleId="Sinlista1121161">
    <w:name w:val="Sin lista1121161"/>
    <w:next w:val="Sinlista"/>
    <w:uiPriority w:val="99"/>
    <w:semiHidden/>
    <w:unhideWhenUsed/>
    <w:rsid w:val="007968EC"/>
  </w:style>
  <w:style w:type="numbering" w:customStyle="1" w:styleId="Sinlista211161">
    <w:name w:val="Sin lista211161"/>
    <w:next w:val="Sinlista"/>
    <w:uiPriority w:val="99"/>
    <w:semiHidden/>
    <w:unhideWhenUsed/>
    <w:rsid w:val="007968EC"/>
  </w:style>
  <w:style w:type="numbering" w:customStyle="1" w:styleId="Sinlista1111111151">
    <w:name w:val="Sin lista1111111151"/>
    <w:next w:val="Sinlista"/>
    <w:uiPriority w:val="99"/>
    <w:semiHidden/>
    <w:unhideWhenUsed/>
    <w:rsid w:val="007968EC"/>
  </w:style>
  <w:style w:type="numbering" w:customStyle="1" w:styleId="Sinlista4151">
    <w:name w:val="Sin lista4151"/>
    <w:next w:val="Sinlista"/>
    <w:uiPriority w:val="99"/>
    <w:semiHidden/>
    <w:unhideWhenUsed/>
    <w:rsid w:val="007968EC"/>
  </w:style>
  <w:style w:type="numbering" w:customStyle="1" w:styleId="Sinlista13151">
    <w:name w:val="Sin lista13151"/>
    <w:next w:val="Sinlista"/>
    <w:uiPriority w:val="99"/>
    <w:semiHidden/>
    <w:unhideWhenUsed/>
    <w:rsid w:val="007968EC"/>
  </w:style>
  <w:style w:type="numbering" w:customStyle="1" w:styleId="Sinlista113151">
    <w:name w:val="Sin lista113151"/>
    <w:next w:val="Sinlista"/>
    <w:uiPriority w:val="99"/>
    <w:semiHidden/>
    <w:unhideWhenUsed/>
    <w:rsid w:val="007968EC"/>
  </w:style>
  <w:style w:type="numbering" w:customStyle="1" w:styleId="Sinlista22151">
    <w:name w:val="Sin lista22151"/>
    <w:next w:val="Sinlista"/>
    <w:uiPriority w:val="99"/>
    <w:semiHidden/>
    <w:unhideWhenUsed/>
    <w:rsid w:val="007968EC"/>
  </w:style>
  <w:style w:type="numbering" w:customStyle="1" w:styleId="Sinlista1112151">
    <w:name w:val="Sin lista1112151"/>
    <w:next w:val="Sinlista"/>
    <w:uiPriority w:val="99"/>
    <w:semiHidden/>
    <w:unhideWhenUsed/>
    <w:rsid w:val="007968EC"/>
  </w:style>
  <w:style w:type="numbering" w:customStyle="1" w:styleId="Sinlista32151">
    <w:name w:val="Sin lista32151"/>
    <w:next w:val="Sinlista"/>
    <w:uiPriority w:val="99"/>
    <w:semiHidden/>
    <w:unhideWhenUsed/>
    <w:rsid w:val="007968EC"/>
  </w:style>
  <w:style w:type="numbering" w:customStyle="1" w:styleId="Sinlista122151">
    <w:name w:val="Sin lista122151"/>
    <w:next w:val="Sinlista"/>
    <w:uiPriority w:val="99"/>
    <w:semiHidden/>
    <w:unhideWhenUsed/>
    <w:rsid w:val="007968EC"/>
  </w:style>
  <w:style w:type="numbering" w:customStyle="1" w:styleId="Sinlista1122151">
    <w:name w:val="Sin lista1122151"/>
    <w:next w:val="Sinlista"/>
    <w:uiPriority w:val="99"/>
    <w:semiHidden/>
    <w:unhideWhenUsed/>
    <w:rsid w:val="007968EC"/>
  </w:style>
  <w:style w:type="numbering" w:customStyle="1" w:styleId="Sinlista212151">
    <w:name w:val="Sin lista212151"/>
    <w:next w:val="Sinlista"/>
    <w:uiPriority w:val="99"/>
    <w:semiHidden/>
    <w:unhideWhenUsed/>
    <w:rsid w:val="007968EC"/>
  </w:style>
  <w:style w:type="numbering" w:customStyle="1" w:styleId="Sinlista11112151">
    <w:name w:val="Sin lista11112151"/>
    <w:next w:val="Sinlista"/>
    <w:uiPriority w:val="99"/>
    <w:semiHidden/>
    <w:unhideWhenUsed/>
    <w:rsid w:val="007968EC"/>
  </w:style>
  <w:style w:type="numbering" w:customStyle="1" w:styleId="Sinlista311151">
    <w:name w:val="Sin lista311151"/>
    <w:next w:val="Sinlista"/>
    <w:uiPriority w:val="99"/>
    <w:semiHidden/>
    <w:unhideWhenUsed/>
    <w:rsid w:val="007968EC"/>
  </w:style>
  <w:style w:type="numbering" w:customStyle="1" w:styleId="Sinlista1211151">
    <w:name w:val="Sin lista1211151"/>
    <w:next w:val="Sinlista"/>
    <w:uiPriority w:val="99"/>
    <w:semiHidden/>
    <w:unhideWhenUsed/>
    <w:rsid w:val="007968EC"/>
  </w:style>
  <w:style w:type="numbering" w:customStyle="1" w:styleId="Sinlista11211151">
    <w:name w:val="Sin lista11211151"/>
    <w:next w:val="Sinlista"/>
    <w:uiPriority w:val="99"/>
    <w:semiHidden/>
    <w:unhideWhenUsed/>
    <w:rsid w:val="007968EC"/>
  </w:style>
  <w:style w:type="numbering" w:customStyle="1" w:styleId="Sinlista2111151">
    <w:name w:val="Sin lista2111151"/>
    <w:next w:val="Sinlista"/>
    <w:uiPriority w:val="99"/>
    <w:semiHidden/>
    <w:unhideWhenUsed/>
    <w:rsid w:val="007968EC"/>
  </w:style>
  <w:style w:type="numbering" w:customStyle="1" w:styleId="Sinlista11111111151">
    <w:name w:val="Sin lista11111111151"/>
    <w:next w:val="Sinlista"/>
    <w:uiPriority w:val="99"/>
    <w:semiHidden/>
    <w:unhideWhenUsed/>
    <w:rsid w:val="007968EC"/>
  </w:style>
  <w:style w:type="numbering" w:customStyle="1" w:styleId="Sinlista541">
    <w:name w:val="Sin lista541"/>
    <w:next w:val="Sinlista"/>
    <w:uiPriority w:val="99"/>
    <w:semiHidden/>
    <w:unhideWhenUsed/>
    <w:rsid w:val="007968EC"/>
  </w:style>
  <w:style w:type="numbering" w:customStyle="1" w:styleId="Sinlista1441">
    <w:name w:val="Sin lista1441"/>
    <w:next w:val="Sinlista"/>
    <w:uiPriority w:val="99"/>
    <w:semiHidden/>
    <w:unhideWhenUsed/>
    <w:rsid w:val="007968EC"/>
  </w:style>
  <w:style w:type="numbering" w:customStyle="1" w:styleId="Sinlista11441">
    <w:name w:val="Sin lista11441"/>
    <w:next w:val="Sinlista"/>
    <w:uiPriority w:val="99"/>
    <w:semiHidden/>
    <w:unhideWhenUsed/>
    <w:rsid w:val="007968EC"/>
  </w:style>
  <w:style w:type="numbering" w:customStyle="1" w:styleId="Sinlista111341">
    <w:name w:val="Sin lista111341"/>
    <w:next w:val="Sinlista"/>
    <w:uiPriority w:val="99"/>
    <w:semiHidden/>
    <w:unhideWhenUsed/>
    <w:rsid w:val="007968EC"/>
  </w:style>
  <w:style w:type="numbering" w:customStyle="1" w:styleId="Sinlista2341">
    <w:name w:val="Sin lista2341"/>
    <w:next w:val="Sinlista"/>
    <w:uiPriority w:val="99"/>
    <w:semiHidden/>
    <w:unhideWhenUsed/>
    <w:rsid w:val="007968EC"/>
  </w:style>
  <w:style w:type="numbering" w:customStyle="1" w:styleId="Sinlista1111341">
    <w:name w:val="Sin lista1111341"/>
    <w:next w:val="Sinlista"/>
    <w:uiPriority w:val="99"/>
    <w:semiHidden/>
    <w:unhideWhenUsed/>
    <w:rsid w:val="007968EC"/>
  </w:style>
  <w:style w:type="numbering" w:customStyle="1" w:styleId="Sinlista3341">
    <w:name w:val="Sin lista3341"/>
    <w:next w:val="Sinlista"/>
    <w:uiPriority w:val="99"/>
    <w:semiHidden/>
    <w:unhideWhenUsed/>
    <w:rsid w:val="007968EC"/>
  </w:style>
  <w:style w:type="numbering" w:customStyle="1" w:styleId="Sinlista12341">
    <w:name w:val="Sin lista12341"/>
    <w:next w:val="Sinlista"/>
    <w:uiPriority w:val="99"/>
    <w:semiHidden/>
    <w:unhideWhenUsed/>
    <w:rsid w:val="007968EC"/>
  </w:style>
  <w:style w:type="numbering" w:customStyle="1" w:styleId="Sinlista112341">
    <w:name w:val="Sin lista112341"/>
    <w:next w:val="Sinlista"/>
    <w:uiPriority w:val="99"/>
    <w:semiHidden/>
    <w:unhideWhenUsed/>
    <w:rsid w:val="007968EC"/>
  </w:style>
  <w:style w:type="numbering" w:customStyle="1" w:styleId="Sinlista21341">
    <w:name w:val="Sin lista21341"/>
    <w:next w:val="Sinlista"/>
    <w:uiPriority w:val="99"/>
    <w:semiHidden/>
    <w:unhideWhenUsed/>
    <w:rsid w:val="007968EC"/>
  </w:style>
  <w:style w:type="numbering" w:customStyle="1" w:styleId="Sinlista11111241">
    <w:name w:val="Sin lista11111241"/>
    <w:next w:val="Sinlista"/>
    <w:uiPriority w:val="99"/>
    <w:semiHidden/>
    <w:unhideWhenUsed/>
    <w:rsid w:val="007968EC"/>
  </w:style>
  <w:style w:type="numbering" w:customStyle="1" w:styleId="Sinlista31241">
    <w:name w:val="Sin lista31241"/>
    <w:next w:val="Sinlista"/>
    <w:uiPriority w:val="99"/>
    <w:semiHidden/>
    <w:unhideWhenUsed/>
    <w:rsid w:val="007968EC"/>
  </w:style>
  <w:style w:type="numbering" w:customStyle="1" w:styleId="Sinlista121241">
    <w:name w:val="Sin lista121241"/>
    <w:next w:val="Sinlista"/>
    <w:uiPriority w:val="99"/>
    <w:semiHidden/>
    <w:unhideWhenUsed/>
    <w:rsid w:val="007968EC"/>
  </w:style>
  <w:style w:type="numbering" w:customStyle="1" w:styleId="Sinlista1121241">
    <w:name w:val="Sin lista1121241"/>
    <w:next w:val="Sinlista"/>
    <w:uiPriority w:val="99"/>
    <w:semiHidden/>
    <w:unhideWhenUsed/>
    <w:rsid w:val="007968EC"/>
  </w:style>
  <w:style w:type="numbering" w:customStyle="1" w:styleId="Sinlista211241">
    <w:name w:val="Sin lista211241"/>
    <w:next w:val="Sinlista"/>
    <w:uiPriority w:val="99"/>
    <w:semiHidden/>
    <w:unhideWhenUsed/>
    <w:rsid w:val="007968EC"/>
  </w:style>
  <w:style w:type="numbering" w:customStyle="1" w:styleId="Sinlista111111241">
    <w:name w:val="Sin lista111111241"/>
    <w:next w:val="Sinlista"/>
    <w:uiPriority w:val="99"/>
    <w:semiHidden/>
    <w:unhideWhenUsed/>
    <w:rsid w:val="007968EC"/>
  </w:style>
  <w:style w:type="numbering" w:customStyle="1" w:styleId="Sinlista4241">
    <w:name w:val="Sin lista4241"/>
    <w:next w:val="Sinlista"/>
    <w:uiPriority w:val="99"/>
    <w:semiHidden/>
    <w:unhideWhenUsed/>
    <w:rsid w:val="007968EC"/>
  </w:style>
  <w:style w:type="numbering" w:customStyle="1" w:styleId="Sinlista13241">
    <w:name w:val="Sin lista13241"/>
    <w:next w:val="Sinlista"/>
    <w:uiPriority w:val="99"/>
    <w:semiHidden/>
    <w:unhideWhenUsed/>
    <w:rsid w:val="007968EC"/>
  </w:style>
  <w:style w:type="numbering" w:customStyle="1" w:styleId="Sinlista22241">
    <w:name w:val="Sin lista22241"/>
    <w:next w:val="Sinlista"/>
    <w:uiPriority w:val="99"/>
    <w:semiHidden/>
    <w:unhideWhenUsed/>
    <w:rsid w:val="007968EC"/>
  </w:style>
  <w:style w:type="numbering" w:customStyle="1" w:styleId="Sinlista113241">
    <w:name w:val="Sin lista113241"/>
    <w:next w:val="Sinlista"/>
    <w:uiPriority w:val="99"/>
    <w:semiHidden/>
    <w:unhideWhenUsed/>
    <w:rsid w:val="007968EC"/>
  </w:style>
  <w:style w:type="numbering" w:customStyle="1" w:styleId="Sinlista1112241">
    <w:name w:val="Sin lista1112241"/>
    <w:next w:val="Sinlista"/>
    <w:uiPriority w:val="99"/>
    <w:semiHidden/>
    <w:unhideWhenUsed/>
    <w:rsid w:val="007968EC"/>
  </w:style>
  <w:style w:type="numbering" w:customStyle="1" w:styleId="Sinlista32241">
    <w:name w:val="Sin lista32241"/>
    <w:next w:val="Sinlista"/>
    <w:uiPriority w:val="99"/>
    <w:semiHidden/>
    <w:unhideWhenUsed/>
    <w:rsid w:val="007968EC"/>
  </w:style>
  <w:style w:type="numbering" w:customStyle="1" w:styleId="Sinlista122241">
    <w:name w:val="Sin lista122241"/>
    <w:next w:val="Sinlista"/>
    <w:uiPriority w:val="99"/>
    <w:semiHidden/>
    <w:unhideWhenUsed/>
    <w:rsid w:val="007968EC"/>
  </w:style>
  <w:style w:type="numbering" w:customStyle="1" w:styleId="Sinlista1122241">
    <w:name w:val="Sin lista1122241"/>
    <w:next w:val="Sinlista"/>
    <w:uiPriority w:val="99"/>
    <w:semiHidden/>
    <w:unhideWhenUsed/>
    <w:rsid w:val="007968EC"/>
  </w:style>
  <w:style w:type="numbering" w:customStyle="1" w:styleId="Sinlista212241">
    <w:name w:val="Sin lista212241"/>
    <w:next w:val="Sinlista"/>
    <w:uiPriority w:val="99"/>
    <w:semiHidden/>
    <w:unhideWhenUsed/>
    <w:rsid w:val="007968EC"/>
  </w:style>
  <w:style w:type="numbering" w:customStyle="1" w:styleId="Sinlista11112241">
    <w:name w:val="Sin lista11112241"/>
    <w:next w:val="Sinlista"/>
    <w:uiPriority w:val="99"/>
    <w:semiHidden/>
    <w:unhideWhenUsed/>
    <w:rsid w:val="007968EC"/>
  </w:style>
  <w:style w:type="numbering" w:customStyle="1" w:styleId="Sinlista311241">
    <w:name w:val="Sin lista311241"/>
    <w:next w:val="Sinlista"/>
    <w:uiPriority w:val="99"/>
    <w:semiHidden/>
    <w:unhideWhenUsed/>
    <w:rsid w:val="007968EC"/>
  </w:style>
  <w:style w:type="numbering" w:customStyle="1" w:styleId="Sinlista1211241">
    <w:name w:val="Sin lista1211241"/>
    <w:next w:val="Sinlista"/>
    <w:uiPriority w:val="99"/>
    <w:semiHidden/>
    <w:unhideWhenUsed/>
    <w:rsid w:val="007968EC"/>
  </w:style>
  <w:style w:type="numbering" w:customStyle="1" w:styleId="Sinlista11211241">
    <w:name w:val="Sin lista11211241"/>
    <w:next w:val="Sinlista"/>
    <w:uiPriority w:val="99"/>
    <w:semiHidden/>
    <w:unhideWhenUsed/>
    <w:rsid w:val="007968EC"/>
  </w:style>
  <w:style w:type="numbering" w:customStyle="1" w:styleId="Sinlista2111241">
    <w:name w:val="Sin lista2111241"/>
    <w:next w:val="Sinlista"/>
    <w:uiPriority w:val="99"/>
    <w:semiHidden/>
    <w:unhideWhenUsed/>
    <w:rsid w:val="007968EC"/>
  </w:style>
  <w:style w:type="numbering" w:customStyle="1" w:styleId="Sinlista1111111241">
    <w:name w:val="Sin lista1111111241"/>
    <w:next w:val="Sinlista"/>
    <w:uiPriority w:val="99"/>
    <w:semiHidden/>
    <w:unhideWhenUsed/>
    <w:rsid w:val="007968EC"/>
  </w:style>
  <w:style w:type="numbering" w:customStyle="1" w:styleId="Sinlista41141">
    <w:name w:val="Sin lista41141"/>
    <w:next w:val="Sinlista"/>
    <w:uiPriority w:val="99"/>
    <w:semiHidden/>
    <w:unhideWhenUsed/>
    <w:rsid w:val="007968EC"/>
  </w:style>
  <w:style w:type="numbering" w:customStyle="1" w:styleId="Sinlista131141">
    <w:name w:val="Sin lista131141"/>
    <w:next w:val="Sinlista"/>
    <w:uiPriority w:val="99"/>
    <w:semiHidden/>
    <w:unhideWhenUsed/>
    <w:rsid w:val="007968EC"/>
  </w:style>
  <w:style w:type="numbering" w:customStyle="1" w:styleId="Sinlista1131141">
    <w:name w:val="Sin lista1131141"/>
    <w:next w:val="Sinlista"/>
    <w:uiPriority w:val="99"/>
    <w:semiHidden/>
    <w:unhideWhenUsed/>
    <w:rsid w:val="007968EC"/>
  </w:style>
  <w:style w:type="numbering" w:customStyle="1" w:styleId="Sinlista221141">
    <w:name w:val="Sin lista221141"/>
    <w:next w:val="Sinlista"/>
    <w:uiPriority w:val="99"/>
    <w:semiHidden/>
    <w:unhideWhenUsed/>
    <w:rsid w:val="007968EC"/>
  </w:style>
  <w:style w:type="numbering" w:customStyle="1" w:styleId="Sinlista11121141">
    <w:name w:val="Sin lista11121141"/>
    <w:next w:val="Sinlista"/>
    <w:uiPriority w:val="99"/>
    <w:semiHidden/>
    <w:unhideWhenUsed/>
    <w:rsid w:val="007968EC"/>
  </w:style>
  <w:style w:type="numbering" w:customStyle="1" w:styleId="Sinlista321141">
    <w:name w:val="Sin lista321141"/>
    <w:next w:val="Sinlista"/>
    <w:uiPriority w:val="99"/>
    <w:semiHidden/>
    <w:unhideWhenUsed/>
    <w:rsid w:val="007968EC"/>
  </w:style>
  <w:style w:type="numbering" w:customStyle="1" w:styleId="Sinlista1221141">
    <w:name w:val="Sin lista1221141"/>
    <w:next w:val="Sinlista"/>
    <w:uiPriority w:val="99"/>
    <w:semiHidden/>
    <w:unhideWhenUsed/>
    <w:rsid w:val="007968EC"/>
  </w:style>
  <w:style w:type="numbering" w:customStyle="1" w:styleId="Sinlista11221141">
    <w:name w:val="Sin lista11221141"/>
    <w:next w:val="Sinlista"/>
    <w:uiPriority w:val="99"/>
    <w:semiHidden/>
    <w:unhideWhenUsed/>
    <w:rsid w:val="007968EC"/>
  </w:style>
  <w:style w:type="numbering" w:customStyle="1" w:styleId="Sinlista2121141">
    <w:name w:val="Sin lista2121141"/>
    <w:next w:val="Sinlista"/>
    <w:uiPriority w:val="99"/>
    <w:semiHidden/>
    <w:unhideWhenUsed/>
    <w:rsid w:val="007968EC"/>
  </w:style>
  <w:style w:type="numbering" w:customStyle="1" w:styleId="Sinlista111121141">
    <w:name w:val="Sin lista111121141"/>
    <w:next w:val="Sinlista"/>
    <w:uiPriority w:val="99"/>
    <w:semiHidden/>
    <w:unhideWhenUsed/>
    <w:rsid w:val="007968EC"/>
  </w:style>
  <w:style w:type="numbering" w:customStyle="1" w:styleId="Sinlista3111141">
    <w:name w:val="Sin lista3111141"/>
    <w:next w:val="Sinlista"/>
    <w:uiPriority w:val="99"/>
    <w:semiHidden/>
    <w:unhideWhenUsed/>
    <w:rsid w:val="007968EC"/>
  </w:style>
  <w:style w:type="numbering" w:customStyle="1" w:styleId="Sinlista12111141">
    <w:name w:val="Sin lista12111141"/>
    <w:next w:val="Sinlista"/>
    <w:uiPriority w:val="99"/>
    <w:semiHidden/>
    <w:unhideWhenUsed/>
    <w:rsid w:val="007968EC"/>
  </w:style>
  <w:style w:type="numbering" w:customStyle="1" w:styleId="Sinlista112111141">
    <w:name w:val="Sin lista112111141"/>
    <w:next w:val="Sinlista"/>
    <w:uiPriority w:val="99"/>
    <w:semiHidden/>
    <w:unhideWhenUsed/>
    <w:rsid w:val="007968EC"/>
  </w:style>
  <w:style w:type="numbering" w:customStyle="1" w:styleId="Sinlista21111141">
    <w:name w:val="Sin lista21111141"/>
    <w:next w:val="Sinlista"/>
    <w:uiPriority w:val="99"/>
    <w:semiHidden/>
    <w:unhideWhenUsed/>
    <w:rsid w:val="007968EC"/>
  </w:style>
  <w:style w:type="numbering" w:customStyle="1" w:styleId="Sinlista111111111141">
    <w:name w:val="Sin lista111111111141"/>
    <w:next w:val="Sinlista"/>
    <w:uiPriority w:val="99"/>
    <w:semiHidden/>
    <w:unhideWhenUsed/>
    <w:rsid w:val="007968EC"/>
  </w:style>
  <w:style w:type="numbering" w:customStyle="1" w:styleId="Sinlista631">
    <w:name w:val="Sin lista631"/>
    <w:next w:val="Sinlista"/>
    <w:uiPriority w:val="99"/>
    <w:semiHidden/>
    <w:unhideWhenUsed/>
    <w:rsid w:val="007968EC"/>
  </w:style>
  <w:style w:type="numbering" w:customStyle="1" w:styleId="Sinlista1531">
    <w:name w:val="Sin lista1531"/>
    <w:next w:val="Sinlista"/>
    <w:uiPriority w:val="99"/>
    <w:semiHidden/>
    <w:unhideWhenUsed/>
    <w:rsid w:val="007968EC"/>
  </w:style>
  <w:style w:type="numbering" w:customStyle="1" w:styleId="Sinlista11531">
    <w:name w:val="Sin lista11531"/>
    <w:next w:val="Sinlista"/>
    <w:uiPriority w:val="99"/>
    <w:semiHidden/>
    <w:unhideWhenUsed/>
    <w:rsid w:val="007968EC"/>
  </w:style>
  <w:style w:type="numbering" w:customStyle="1" w:styleId="Sinlista111431">
    <w:name w:val="Sin lista111431"/>
    <w:next w:val="Sinlista"/>
    <w:uiPriority w:val="99"/>
    <w:semiHidden/>
    <w:unhideWhenUsed/>
    <w:rsid w:val="007968EC"/>
  </w:style>
  <w:style w:type="numbering" w:customStyle="1" w:styleId="Sinlista1111431">
    <w:name w:val="Sin lista1111431"/>
    <w:next w:val="Sinlista"/>
    <w:uiPriority w:val="99"/>
    <w:semiHidden/>
    <w:unhideWhenUsed/>
    <w:rsid w:val="007968EC"/>
  </w:style>
  <w:style w:type="numbering" w:customStyle="1" w:styleId="Sinlista11111331">
    <w:name w:val="Sin lista11111331"/>
    <w:next w:val="Sinlista"/>
    <w:uiPriority w:val="99"/>
    <w:semiHidden/>
    <w:unhideWhenUsed/>
    <w:rsid w:val="007968EC"/>
  </w:style>
  <w:style w:type="numbering" w:customStyle="1" w:styleId="Sinlista2431">
    <w:name w:val="Sin lista2431"/>
    <w:next w:val="Sinlista"/>
    <w:uiPriority w:val="99"/>
    <w:semiHidden/>
    <w:unhideWhenUsed/>
    <w:rsid w:val="007968EC"/>
  </w:style>
  <w:style w:type="numbering" w:customStyle="1" w:styleId="Sinlista111111331">
    <w:name w:val="Sin lista111111331"/>
    <w:next w:val="Sinlista"/>
    <w:uiPriority w:val="99"/>
    <w:semiHidden/>
    <w:unhideWhenUsed/>
    <w:rsid w:val="007968EC"/>
  </w:style>
  <w:style w:type="numbering" w:customStyle="1" w:styleId="Sinlista3431">
    <w:name w:val="Sin lista3431"/>
    <w:next w:val="Sinlista"/>
    <w:uiPriority w:val="99"/>
    <w:semiHidden/>
    <w:unhideWhenUsed/>
    <w:rsid w:val="007968EC"/>
  </w:style>
  <w:style w:type="numbering" w:customStyle="1" w:styleId="Sinlista12431">
    <w:name w:val="Sin lista12431"/>
    <w:next w:val="Sinlista"/>
    <w:uiPriority w:val="99"/>
    <w:semiHidden/>
    <w:unhideWhenUsed/>
    <w:rsid w:val="007968EC"/>
  </w:style>
  <w:style w:type="numbering" w:customStyle="1" w:styleId="Sinlista112431">
    <w:name w:val="Sin lista112431"/>
    <w:next w:val="Sinlista"/>
    <w:uiPriority w:val="99"/>
    <w:semiHidden/>
    <w:unhideWhenUsed/>
    <w:rsid w:val="007968EC"/>
  </w:style>
  <w:style w:type="numbering" w:customStyle="1" w:styleId="Sinlista21431">
    <w:name w:val="Sin lista21431"/>
    <w:next w:val="Sinlista"/>
    <w:uiPriority w:val="99"/>
    <w:semiHidden/>
    <w:unhideWhenUsed/>
    <w:rsid w:val="007968EC"/>
  </w:style>
  <w:style w:type="numbering" w:customStyle="1" w:styleId="Sinlista1111111331">
    <w:name w:val="Sin lista1111111331"/>
    <w:next w:val="Sinlista"/>
    <w:uiPriority w:val="99"/>
    <w:semiHidden/>
    <w:unhideWhenUsed/>
    <w:rsid w:val="007968EC"/>
  </w:style>
  <w:style w:type="numbering" w:customStyle="1" w:styleId="Sinlista31331">
    <w:name w:val="Sin lista31331"/>
    <w:next w:val="Sinlista"/>
    <w:uiPriority w:val="99"/>
    <w:semiHidden/>
    <w:unhideWhenUsed/>
    <w:rsid w:val="007968EC"/>
  </w:style>
  <w:style w:type="numbering" w:customStyle="1" w:styleId="Sinlista121331">
    <w:name w:val="Sin lista121331"/>
    <w:next w:val="Sinlista"/>
    <w:uiPriority w:val="99"/>
    <w:semiHidden/>
    <w:unhideWhenUsed/>
    <w:rsid w:val="007968EC"/>
  </w:style>
  <w:style w:type="numbering" w:customStyle="1" w:styleId="Sinlista1121331">
    <w:name w:val="Sin lista1121331"/>
    <w:next w:val="Sinlista"/>
    <w:uiPriority w:val="99"/>
    <w:semiHidden/>
    <w:unhideWhenUsed/>
    <w:rsid w:val="007968EC"/>
  </w:style>
  <w:style w:type="numbering" w:customStyle="1" w:styleId="Sinlista211331">
    <w:name w:val="Sin lista211331"/>
    <w:next w:val="Sinlista"/>
    <w:uiPriority w:val="99"/>
    <w:semiHidden/>
    <w:unhideWhenUsed/>
    <w:rsid w:val="007968EC"/>
  </w:style>
  <w:style w:type="numbering" w:customStyle="1" w:styleId="Sinlista11111111231">
    <w:name w:val="Sin lista11111111231"/>
    <w:next w:val="Sinlista"/>
    <w:uiPriority w:val="99"/>
    <w:semiHidden/>
    <w:unhideWhenUsed/>
    <w:rsid w:val="007968EC"/>
  </w:style>
  <w:style w:type="numbering" w:customStyle="1" w:styleId="Sinlista4331">
    <w:name w:val="Sin lista4331"/>
    <w:next w:val="Sinlista"/>
    <w:uiPriority w:val="99"/>
    <w:semiHidden/>
    <w:unhideWhenUsed/>
    <w:rsid w:val="007968EC"/>
  </w:style>
  <w:style w:type="numbering" w:customStyle="1" w:styleId="Sinlista13331">
    <w:name w:val="Sin lista13331"/>
    <w:next w:val="Sinlista"/>
    <w:uiPriority w:val="99"/>
    <w:semiHidden/>
    <w:unhideWhenUsed/>
    <w:rsid w:val="007968EC"/>
  </w:style>
  <w:style w:type="numbering" w:customStyle="1" w:styleId="Sinlista22331">
    <w:name w:val="Sin lista22331"/>
    <w:next w:val="Sinlista"/>
    <w:uiPriority w:val="99"/>
    <w:semiHidden/>
    <w:unhideWhenUsed/>
    <w:rsid w:val="007968EC"/>
  </w:style>
  <w:style w:type="numbering" w:customStyle="1" w:styleId="Sinlista113331">
    <w:name w:val="Sin lista113331"/>
    <w:next w:val="Sinlista"/>
    <w:uiPriority w:val="99"/>
    <w:semiHidden/>
    <w:unhideWhenUsed/>
    <w:rsid w:val="007968EC"/>
  </w:style>
  <w:style w:type="numbering" w:customStyle="1" w:styleId="Sinlista1112331">
    <w:name w:val="Sin lista1112331"/>
    <w:next w:val="Sinlista"/>
    <w:uiPriority w:val="99"/>
    <w:semiHidden/>
    <w:unhideWhenUsed/>
    <w:rsid w:val="007968EC"/>
  </w:style>
  <w:style w:type="numbering" w:customStyle="1" w:styleId="Sinlista32331">
    <w:name w:val="Sin lista32331"/>
    <w:next w:val="Sinlista"/>
    <w:uiPriority w:val="99"/>
    <w:semiHidden/>
    <w:unhideWhenUsed/>
    <w:rsid w:val="007968EC"/>
  </w:style>
  <w:style w:type="numbering" w:customStyle="1" w:styleId="Sinlista122331">
    <w:name w:val="Sin lista122331"/>
    <w:next w:val="Sinlista"/>
    <w:uiPriority w:val="99"/>
    <w:semiHidden/>
    <w:unhideWhenUsed/>
    <w:rsid w:val="007968EC"/>
  </w:style>
  <w:style w:type="numbering" w:customStyle="1" w:styleId="Sinlista1122331">
    <w:name w:val="Sin lista1122331"/>
    <w:next w:val="Sinlista"/>
    <w:uiPriority w:val="99"/>
    <w:semiHidden/>
    <w:unhideWhenUsed/>
    <w:rsid w:val="007968EC"/>
  </w:style>
  <w:style w:type="numbering" w:customStyle="1" w:styleId="Sinlista212331">
    <w:name w:val="Sin lista212331"/>
    <w:next w:val="Sinlista"/>
    <w:uiPriority w:val="99"/>
    <w:semiHidden/>
    <w:unhideWhenUsed/>
    <w:rsid w:val="007968EC"/>
  </w:style>
  <w:style w:type="numbering" w:customStyle="1" w:styleId="Sinlista11112331">
    <w:name w:val="Sin lista11112331"/>
    <w:next w:val="Sinlista"/>
    <w:uiPriority w:val="99"/>
    <w:semiHidden/>
    <w:unhideWhenUsed/>
    <w:rsid w:val="007968EC"/>
  </w:style>
  <w:style w:type="numbering" w:customStyle="1" w:styleId="Sinlista311331">
    <w:name w:val="Sin lista311331"/>
    <w:next w:val="Sinlista"/>
    <w:uiPriority w:val="99"/>
    <w:semiHidden/>
    <w:unhideWhenUsed/>
    <w:rsid w:val="007968EC"/>
  </w:style>
  <w:style w:type="numbering" w:customStyle="1" w:styleId="Sinlista1211331">
    <w:name w:val="Sin lista1211331"/>
    <w:next w:val="Sinlista"/>
    <w:uiPriority w:val="99"/>
    <w:semiHidden/>
    <w:unhideWhenUsed/>
    <w:rsid w:val="007968EC"/>
  </w:style>
  <w:style w:type="numbering" w:customStyle="1" w:styleId="Sinlista11211331">
    <w:name w:val="Sin lista11211331"/>
    <w:next w:val="Sinlista"/>
    <w:uiPriority w:val="99"/>
    <w:semiHidden/>
    <w:unhideWhenUsed/>
    <w:rsid w:val="007968EC"/>
  </w:style>
  <w:style w:type="numbering" w:customStyle="1" w:styleId="Sinlista2111331">
    <w:name w:val="Sin lista2111331"/>
    <w:next w:val="Sinlista"/>
    <w:uiPriority w:val="99"/>
    <w:semiHidden/>
    <w:unhideWhenUsed/>
    <w:rsid w:val="007968EC"/>
  </w:style>
  <w:style w:type="numbering" w:customStyle="1" w:styleId="Sinlista111111111231">
    <w:name w:val="Sin lista111111111231"/>
    <w:next w:val="Sinlista"/>
    <w:uiPriority w:val="99"/>
    <w:semiHidden/>
    <w:unhideWhenUsed/>
    <w:rsid w:val="007968EC"/>
  </w:style>
  <w:style w:type="numbering" w:customStyle="1" w:styleId="Sinlista41231">
    <w:name w:val="Sin lista41231"/>
    <w:next w:val="Sinlista"/>
    <w:uiPriority w:val="99"/>
    <w:semiHidden/>
    <w:unhideWhenUsed/>
    <w:rsid w:val="007968EC"/>
  </w:style>
  <w:style w:type="numbering" w:customStyle="1" w:styleId="Sinlista131231">
    <w:name w:val="Sin lista131231"/>
    <w:next w:val="Sinlista"/>
    <w:uiPriority w:val="99"/>
    <w:semiHidden/>
    <w:unhideWhenUsed/>
    <w:rsid w:val="007968EC"/>
  </w:style>
  <w:style w:type="numbering" w:customStyle="1" w:styleId="Sinlista1131231">
    <w:name w:val="Sin lista1131231"/>
    <w:next w:val="Sinlista"/>
    <w:uiPriority w:val="99"/>
    <w:semiHidden/>
    <w:unhideWhenUsed/>
    <w:rsid w:val="007968EC"/>
  </w:style>
  <w:style w:type="numbering" w:customStyle="1" w:styleId="Sinlista221231">
    <w:name w:val="Sin lista221231"/>
    <w:next w:val="Sinlista"/>
    <w:uiPriority w:val="99"/>
    <w:semiHidden/>
    <w:unhideWhenUsed/>
    <w:rsid w:val="007968EC"/>
  </w:style>
  <w:style w:type="numbering" w:customStyle="1" w:styleId="Sinlista11121231">
    <w:name w:val="Sin lista11121231"/>
    <w:next w:val="Sinlista"/>
    <w:uiPriority w:val="99"/>
    <w:semiHidden/>
    <w:unhideWhenUsed/>
    <w:rsid w:val="007968EC"/>
  </w:style>
  <w:style w:type="numbering" w:customStyle="1" w:styleId="Sinlista321231">
    <w:name w:val="Sin lista321231"/>
    <w:next w:val="Sinlista"/>
    <w:uiPriority w:val="99"/>
    <w:semiHidden/>
    <w:unhideWhenUsed/>
    <w:rsid w:val="007968EC"/>
  </w:style>
  <w:style w:type="numbering" w:customStyle="1" w:styleId="Sinlista1221231">
    <w:name w:val="Sin lista1221231"/>
    <w:next w:val="Sinlista"/>
    <w:uiPriority w:val="99"/>
    <w:semiHidden/>
    <w:unhideWhenUsed/>
    <w:rsid w:val="007968EC"/>
  </w:style>
  <w:style w:type="numbering" w:customStyle="1" w:styleId="Sinlista11221231">
    <w:name w:val="Sin lista11221231"/>
    <w:next w:val="Sinlista"/>
    <w:uiPriority w:val="99"/>
    <w:semiHidden/>
    <w:unhideWhenUsed/>
    <w:rsid w:val="007968EC"/>
  </w:style>
  <w:style w:type="numbering" w:customStyle="1" w:styleId="Sinlista2121231">
    <w:name w:val="Sin lista2121231"/>
    <w:next w:val="Sinlista"/>
    <w:uiPriority w:val="99"/>
    <w:semiHidden/>
    <w:unhideWhenUsed/>
    <w:rsid w:val="007968EC"/>
  </w:style>
  <w:style w:type="numbering" w:customStyle="1" w:styleId="Sinlista111121231">
    <w:name w:val="Sin lista111121231"/>
    <w:next w:val="Sinlista"/>
    <w:uiPriority w:val="99"/>
    <w:semiHidden/>
    <w:unhideWhenUsed/>
    <w:rsid w:val="007968EC"/>
  </w:style>
  <w:style w:type="numbering" w:customStyle="1" w:styleId="Sinlista3111231">
    <w:name w:val="Sin lista3111231"/>
    <w:next w:val="Sinlista"/>
    <w:uiPriority w:val="99"/>
    <w:semiHidden/>
    <w:unhideWhenUsed/>
    <w:rsid w:val="007968EC"/>
  </w:style>
  <w:style w:type="numbering" w:customStyle="1" w:styleId="Sinlista12111231">
    <w:name w:val="Sin lista12111231"/>
    <w:next w:val="Sinlista"/>
    <w:uiPriority w:val="99"/>
    <w:semiHidden/>
    <w:unhideWhenUsed/>
    <w:rsid w:val="007968EC"/>
  </w:style>
  <w:style w:type="numbering" w:customStyle="1" w:styleId="Sinlista112111231">
    <w:name w:val="Sin lista112111231"/>
    <w:next w:val="Sinlista"/>
    <w:uiPriority w:val="99"/>
    <w:semiHidden/>
    <w:unhideWhenUsed/>
    <w:rsid w:val="007968EC"/>
  </w:style>
  <w:style w:type="numbering" w:customStyle="1" w:styleId="Sinlista21111231">
    <w:name w:val="Sin lista21111231"/>
    <w:next w:val="Sinlista"/>
    <w:uiPriority w:val="99"/>
    <w:semiHidden/>
    <w:unhideWhenUsed/>
    <w:rsid w:val="007968EC"/>
  </w:style>
  <w:style w:type="numbering" w:customStyle="1" w:styleId="Sinlista1111111111141">
    <w:name w:val="Sin lista1111111111141"/>
    <w:next w:val="Sinlista"/>
    <w:uiPriority w:val="99"/>
    <w:semiHidden/>
    <w:unhideWhenUsed/>
    <w:rsid w:val="007968EC"/>
  </w:style>
  <w:style w:type="numbering" w:customStyle="1" w:styleId="Sinlista5131">
    <w:name w:val="Sin lista5131"/>
    <w:next w:val="Sinlista"/>
    <w:uiPriority w:val="99"/>
    <w:semiHidden/>
    <w:unhideWhenUsed/>
    <w:rsid w:val="007968EC"/>
  </w:style>
  <w:style w:type="numbering" w:customStyle="1" w:styleId="Sinlista14131">
    <w:name w:val="Sin lista14131"/>
    <w:next w:val="Sinlista"/>
    <w:uiPriority w:val="99"/>
    <w:semiHidden/>
    <w:unhideWhenUsed/>
    <w:rsid w:val="007968EC"/>
  </w:style>
  <w:style w:type="numbering" w:customStyle="1" w:styleId="Sinlista114131">
    <w:name w:val="Sin lista114131"/>
    <w:next w:val="Sinlista"/>
    <w:uiPriority w:val="99"/>
    <w:semiHidden/>
    <w:unhideWhenUsed/>
    <w:rsid w:val="007968EC"/>
  </w:style>
  <w:style w:type="numbering" w:customStyle="1" w:styleId="Sinlista1113131">
    <w:name w:val="Sin lista1113131"/>
    <w:next w:val="Sinlista"/>
    <w:uiPriority w:val="99"/>
    <w:semiHidden/>
    <w:unhideWhenUsed/>
    <w:rsid w:val="007968EC"/>
  </w:style>
  <w:style w:type="numbering" w:customStyle="1" w:styleId="Sinlista23131">
    <w:name w:val="Sin lista23131"/>
    <w:next w:val="Sinlista"/>
    <w:uiPriority w:val="99"/>
    <w:semiHidden/>
    <w:unhideWhenUsed/>
    <w:rsid w:val="007968EC"/>
  </w:style>
  <w:style w:type="numbering" w:customStyle="1" w:styleId="Sinlista11113131">
    <w:name w:val="Sin lista11113131"/>
    <w:next w:val="Sinlista"/>
    <w:uiPriority w:val="99"/>
    <w:semiHidden/>
    <w:unhideWhenUsed/>
    <w:rsid w:val="007968EC"/>
  </w:style>
  <w:style w:type="numbering" w:customStyle="1" w:styleId="Sinlista33131">
    <w:name w:val="Sin lista33131"/>
    <w:next w:val="Sinlista"/>
    <w:uiPriority w:val="99"/>
    <w:semiHidden/>
    <w:unhideWhenUsed/>
    <w:rsid w:val="007968EC"/>
  </w:style>
  <w:style w:type="numbering" w:customStyle="1" w:styleId="Sinlista123131">
    <w:name w:val="Sin lista123131"/>
    <w:next w:val="Sinlista"/>
    <w:uiPriority w:val="99"/>
    <w:semiHidden/>
    <w:unhideWhenUsed/>
    <w:rsid w:val="007968EC"/>
  </w:style>
  <w:style w:type="numbering" w:customStyle="1" w:styleId="Sinlista1123131">
    <w:name w:val="Sin lista1123131"/>
    <w:next w:val="Sinlista"/>
    <w:uiPriority w:val="99"/>
    <w:semiHidden/>
    <w:unhideWhenUsed/>
    <w:rsid w:val="007968EC"/>
  </w:style>
  <w:style w:type="numbering" w:customStyle="1" w:styleId="Sinlista213131">
    <w:name w:val="Sin lista213131"/>
    <w:next w:val="Sinlista"/>
    <w:uiPriority w:val="99"/>
    <w:semiHidden/>
    <w:unhideWhenUsed/>
    <w:rsid w:val="007968EC"/>
  </w:style>
  <w:style w:type="numbering" w:customStyle="1" w:styleId="Sinlista111112131">
    <w:name w:val="Sin lista111112131"/>
    <w:next w:val="Sinlista"/>
    <w:uiPriority w:val="99"/>
    <w:semiHidden/>
    <w:unhideWhenUsed/>
    <w:rsid w:val="007968EC"/>
  </w:style>
  <w:style w:type="numbering" w:customStyle="1" w:styleId="Sinlista312131">
    <w:name w:val="Sin lista312131"/>
    <w:next w:val="Sinlista"/>
    <w:uiPriority w:val="99"/>
    <w:semiHidden/>
    <w:unhideWhenUsed/>
    <w:rsid w:val="007968EC"/>
  </w:style>
  <w:style w:type="numbering" w:customStyle="1" w:styleId="Sinlista1212131">
    <w:name w:val="Sin lista1212131"/>
    <w:next w:val="Sinlista"/>
    <w:uiPriority w:val="99"/>
    <w:semiHidden/>
    <w:unhideWhenUsed/>
    <w:rsid w:val="007968EC"/>
  </w:style>
  <w:style w:type="numbering" w:customStyle="1" w:styleId="Sinlista11212131">
    <w:name w:val="Sin lista11212131"/>
    <w:next w:val="Sinlista"/>
    <w:uiPriority w:val="99"/>
    <w:semiHidden/>
    <w:unhideWhenUsed/>
    <w:rsid w:val="007968EC"/>
  </w:style>
  <w:style w:type="numbering" w:customStyle="1" w:styleId="Sinlista2112131">
    <w:name w:val="Sin lista2112131"/>
    <w:next w:val="Sinlista"/>
    <w:uiPriority w:val="99"/>
    <w:semiHidden/>
    <w:unhideWhenUsed/>
    <w:rsid w:val="007968EC"/>
  </w:style>
  <w:style w:type="numbering" w:customStyle="1" w:styleId="Sinlista1111112131">
    <w:name w:val="Sin lista1111112131"/>
    <w:next w:val="Sinlista"/>
    <w:uiPriority w:val="99"/>
    <w:semiHidden/>
    <w:unhideWhenUsed/>
    <w:rsid w:val="007968EC"/>
  </w:style>
  <w:style w:type="numbering" w:customStyle="1" w:styleId="Sinlista42131">
    <w:name w:val="Sin lista42131"/>
    <w:next w:val="Sinlista"/>
    <w:uiPriority w:val="99"/>
    <w:semiHidden/>
    <w:unhideWhenUsed/>
    <w:rsid w:val="007968EC"/>
  </w:style>
  <w:style w:type="numbering" w:customStyle="1" w:styleId="Sinlista132131">
    <w:name w:val="Sin lista132131"/>
    <w:next w:val="Sinlista"/>
    <w:uiPriority w:val="99"/>
    <w:semiHidden/>
    <w:unhideWhenUsed/>
    <w:rsid w:val="007968EC"/>
  </w:style>
  <w:style w:type="numbering" w:customStyle="1" w:styleId="Sinlista222131">
    <w:name w:val="Sin lista222131"/>
    <w:next w:val="Sinlista"/>
    <w:uiPriority w:val="99"/>
    <w:semiHidden/>
    <w:unhideWhenUsed/>
    <w:rsid w:val="007968EC"/>
  </w:style>
  <w:style w:type="numbering" w:customStyle="1" w:styleId="Sinlista1132131">
    <w:name w:val="Sin lista1132131"/>
    <w:next w:val="Sinlista"/>
    <w:uiPriority w:val="99"/>
    <w:semiHidden/>
    <w:unhideWhenUsed/>
    <w:rsid w:val="007968EC"/>
  </w:style>
  <w:style w:type="numbering" w:customStyle="1" w:styleId="Sinlista11122131">
    <w:name w:val="Sin lista11122131"/>
    <w:next w:val="Sinlista"/>
    <w:uiPriority w:val="99"/>
    <w:semiHidden/>
    <w:unhideWhenUsed/>
    <w:rsid w:val="007968EC"/>
  </w:style>
  <w:style w:type="numbering" w:customStyle="1" w:styleId="Sinlista322131">
    <w:name w:val="Sin lista322131"/>
    <w:next w:val="Sinlista"/>
    <w:uiPriority w:val="99"/>
    <w:semiHidden/>
    <w:unhideWhenUsed/>
    <w:rsid w:val="007968EC"/>
  </w:style>
  <w:style w:type="numbering" w:customStyle="1" w:styleId="Sinlista1222131">
    <w:name w:val="Sin lista1222131"/>
    <w:next w:val="Sinlista"/>
    <w:uiPriority w:val="99"/>
    <w:semiHidden/>
    <w:unhideWhenUsed/>
    <w:rsid w:val="007968EC"/>
  </w:style>
  <w:style w:type="numbering" w:customStyle="1" w:styleId="Sinlista11222131">
    <w:name w:val="Sin lista11222131"/>
    <w:next w:val="Sinlista"/>
    <w:uiPriority w:val="99"/>
    <w:semiHidden/>
    <w:unhideWhenUsed/>
    <w:rsid w:val="007968EC"/>
  </w:style>
  <w:style w:type="numbering" w:customStyle="1" w:styleId="Sinlista2122131">
    <w:name w:val="Sin lista2122131"/>
    <w:next w:val="Sinlista"/>
    <w:uiPriority w:val="99"/>
    <w:semiHidden/>
    <w:unhideWhenUsed/>
    <w:rsid w:val="007968EC"/>
  </w:style>
  <w:style w:type="numbering" w:customStyle="1" w:styleId="Sinlista111122131">
    <w:name w:val="Sin lista111122131"/>
    <w:next w:val="Sinlista"/>
    <w:uiPriority w:val="99"/>
    <w:semiHidden/>
    <w:unhideWhenUsed/>
    <w:rsid w:val="007968EC"/>
  </w:style>
  <w:style w:type="numbering" w:customStyle="1" w:styleId="Sinlista3112131">
    <w:name w:val="Sin lista3112131"/>
    <w:next w:val="Sinlista"/>
    <w:uiPriority w:val="99"/>
    <w:semiHidden/>
    <w:unhideWhenUsed/>
    <w:rsid w:val="007968EC"/>
  </w:style>
  <w:style w:type="numbering" w:customStyle="1" w:styleId="Sinlista12112131">
    <w:name w:val="Sin lista12112131"/>
    <w:next w:val="Sinlista"/>
    <w:uiPriority w:val="99"/>
    <w:semiHidden/>
    <w:unhideWhenUsed/>
    <w:rsid w:val="007968EC"/>
  </w:style>
  <w:style w:type="numbering" w:customStyle="1" w:styleId="Sinlista112112131">
    <w:name w:val="Sin lista112112131"/>
    <w:next w:val="Sinlista"/>
    <w:uiPriority w:val="99"/>
    <w:semiHidden/>
    <w:unhideWhenUsed/>
    <w:rsid w:val="007968EC"/>
  </w:style>
  <w:style w:type="numbering" w:customStyle="1" w:styleId="Sinlista21112131">
    <w:name w:val="Sin lista21112131"/>
    <w:next w:val="Sinlista"/>
    <w:uiPriority w:val="99"/>
    <w:semiHidden/>
    <w:unhideWhenUsed/>
    <w:rsid w:val="007968EC"/>
  </w:style>
  <w:style w:type="numbering" w:customStyle="1" w:styleId="Sinlista11111112131">
    <w:name w:val="Sin lista11111112131"/>
    <w:next w:val="Sinlista"/>
    <w:uiPriority w:val="99"/>
    <w:semiHidden/>
    <w:unhideWhenUsed/>
    <w:rsid w:val="007968EC"/>
  </w:style>
  <w:style w:type="numbering" w:customStyle="1" w:styleId="Sinlista411131">
    <w:name w:val="Sin lista411131"/>
    <w:next w:val="Sinlista"/>
    <w:uiPriority w:val="99"/>
    <w:semiHidden/>
    <w:unhideWhenUsed/>
    <w:rsid w:val="007968EC"/>
  </w:style>
  <w:style w:type="numbering" w:customStyle="1" w:styleId="Sinlista1311131">
    <w:name w:val="Sin lista1311131"/>
    <w:next w:val="Sinlista"/>
    <w:uiPriority w:val="99"/>
    <w:semiHidden/>
    <w:unhideWhenUsed/>
    <w:rsid w:val="007968EC"/>
  </w:style>
  <w:style w:type="numbering" w:customStyle="1" w:styleId="Sinlista11311131">
    <w:name w:val="Sin lista11311131"/>
    <w:next w:val="Sinlista"/>
    <w:uiPriority w:val="99"/>
    <w:semiHidden/>
    <w:unhideWhenUsed/>
    <w:rsid w:val="007968EC"/>
  </w:style>
  <w:style w:type="numbering" w:customStyle="1" w:styleId="Sinlista2211131">
    <w:name w:val="Sin lista2211131"/>
    <w:next w:val="Sinlista"/>
    <w:uiPriority w:val="99"/>
    <w:semiHidden/>
    <w:unhideWhenUsed/>
    <w:rsid w:val="007968EC"/>
  </w:style>
  <w:style w:type="numbering" w:customStyle="1" w:styleId="Sinlista111211131">
    <w:name w:val="Sin lista111211131"/>
    <w:next w:val="Sinlista"/>
    <w:uiPriority w:val="99"/>
    <w:semiHidden/>
    <w:unhideWhenUsed/>
    <w:rsid w:val="007968EC"/>
  </w:style>
  <w:style w:type="numbering" w:customStyle="1" w:styleId="Sinlista3211131">
    <w:name w:val="Sin lista3211131"/>
    <w:next w:val="Sinlista"/>
    <w:uiPriority w:val="99"/>
    <w:semiHidden/>
    <w:unhideWhenUsed/>
    <w:rsid w:val="007968EC"/>
  </w:style>
  <w:style w:type="numbering" w:customStyle="1" w:styleId="Sinlista12211131">
    <w:name w:val="Sin lista12211131"/>
    <w:next w:val="Sinlista"/>
    <w:uiPriority w:val="99"/>
    <w:semiHidden/>
    <w:unhideWhenUsed/>
    <w:rsid w:val="007968EC"/>
  </w:style>
  <w:style w:type="numbering" w:customStyle="1" w:styleId="Sinlista112211131">
    <w:name w:val="Sin lista112211131"/>
    <w:next w:val="Sinlista"/>
    <w:uiPriority w:val="99"/>
    <w:semiHidden/>
    <w:unhideWhenUsed/>
    <w:rsid w:val="007968EC"/>
  </w:style>
  <w:style w:type="numbering" w:customStyle="1" w:styleId="Sinlista21211131">
    <w:name w:val="Sin lista21211131"/>
    <w:next w:val="Sinlista"/>
    <w:uiPriority w:val="99"/>
    <w:semiHidden/>
    <w:unhideWhenUsed/>
    <w:rsid w:val="007968EC"/>
  </w:style>
  <w:style w:type="numbering" w:customStyle="1" w:styleId="Sinlista1111211131">
    <w:name w:val="Sin lista1111211131"/>
    <w:next w:val="Sinlista"/>
    <w:uiPriority w:val="99"/>
    <w:semiHidden/>
    <w:unhideWhenUsed/>
    <w:rsid w:val="007968EC"/>
  </w:style>
  <w:style w:type="numbering" w:customStyle="1" w:styleId="Sinlista31111131">
    <w:name w:val="Sin lista31111131"/>
    <w:next w:val="Sinlista"/>
    <w:uiPriority w:val="99"/>
    <w:semiHidden/>
    <w:unhideWhenUsed/>
    <w:rsid w:val="007968EC"/>
  </w:style>
  <w:style w:type="numbering" w:customStyle="1" w:styleId="Sinlista121111131">
    <w:name w:val="Sin lista121111131"/>
    <w:next w:val="Sinlista"/>
    <w:uiPriority w:val="99"/>
    <w:semiHidden/>
    <w:unhideWhenUsed/>
    <w:rsid w:val="007968EC"/>
  </w:style>
  <w:style w:type="numbering" w:customStyle="1" w:styleId="Sinlista1121111131">
    <w:name w:val="Sin lista1121111131"/>
    <w:next w:val="Sinlista"/>
    <w:uiPriority w:val="99"/>
    <w:semiHidden/>
    <w:unhideWhenUsed/>
    <w:rsid w:val="007968EC"/>
  </w:style>
  <w:style w:type="numbering" w:customStyle="1" w:styleId="Sinlista211111131">
    <w:name w:val="Sin lista211111131"/>
    <w:next w:val="Sinlista"/>
    <w:uiPriority w:val="99"/>
    <w:semiHidden/>
    <w:unhideWhenUsed/>
    <w:rsid w:val="007968EC"/>
  </w:style>
  <w:style w:type="numbering" w:customStyle="1" w:styleId="Sinlista11111111111141">
    <w:name w:val="Sin lista11111111111141"/>
    <w:next w:val="Sinlista"/>
    <w:uiPriority w:val="99"/>
    <w:semiHidden/>
    <w:unhideWhenUsed/>
    <w:rsid w:val="007968EC"/>
  </w:style>
  <w:style w:type="table" w:customStyle="1" w:styleId="Tablaconcuadrcula113223">
    <w:name w:val="Tabla con cuadrícula113223"/>
    <w:basedOn w:val="Tablanormal"/>
    <w:next w:val="Tablaconcuadrcula"/>
    <w:rsid w:val="007968E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0">
    <w:name w:val="Sin lista20"/>
    <w:next w:val="Sinlista"/>
    <w:uiPriority w:val="99"/>
    <w:semiHidden/>
    <w:unhideWhenUsed/>
    <w:rsid w:val="007968EC"/>
  </w:style>
  <w:style w:type="numbering" w:customStyle="1" w:styleId="Sinlista120">
    <w:name w:val="Sin lista120"/>
    <w:next w:val="Sinlista"/>
    <w:uiPriority w:val="99"/>
    <w:semiHidden/>
    <w:unhideWhenUsed/>
    <w:rsid w:val="007968EC"/>
  </w:style>
  <w:style w:type="numbering" w:customStyle="1" w:styleId="Sinlista1110">
    <w:name w:val="Sin lista1110"/>
    <w:next w:val="Sinlista"/>
    <w:uiPriority w:val="99"/>
    <w:semiHidden/>
    <w:unhideWhenUsed/>
    <w:rsid w:val="007968EC"/>
  </w:style>
  <w:style w:type="numbering" w:customStyle="1" w:styleId="Sinlista1119">
    <w:name w:val="Sin lista1119"/>
    <w:next w:val="Sinlista"/>
    <w:uiPriority w:val="99"/>
    <w:semiHidden/>
    <w:unhideWhenUsed/>
    <w:rsid w:val="007968EC"/>
  </w:style>
  <w:style w:type="numbering" w:customStyle="1" w:styleId="Sinlista11119">
    <w:name w:val="Sin lista11119"/>
    <w:next w:val="Sinlista"/>
    <w:uiPriority w:val="99"/>
    <w:semiHidden/>
    <w:unhideWhenUsed/>
    <w:rsid w:val="007968EC"/>
  </w:style>
  <w:style w:type="numbering" w:customStyle="1" w:styleId="Sinlista29">
    <w:name w:val="Sin lista29"/>
    <w:next w:val="Sinlista"/>
    <w:uiPriority w:val="99"/>
    <w:semiHidden/>
    <w:unhideWhenUsed/>
    <w:rsid w:val="007968EC"/>
  </w:style>
  <w:style w:type="numbering" w:customStyle="1" w:styleId="Sinlista111118">
    <w:name w:val="Sin lista111118"/>
    <w:next w:val="Sinlista"/>
    <w:uiPriority w:val="99"/>
    <w:semiHidden/>
    <w:unhideWhenUsed/>
    <w:rsid w:val="007968EC"/>
  </w:style>
  <w:style w:type="numbering" w:customStyle="1" w:styleId="Sinlista39">
    <w:name w:val="Sin lista39"/>
    <w:next w:val="Sinlista"/>
    <w:uiPriority w:val="99"/>
    <w:semiHidden/>
    <w:unhideWhenUsed/>
    <w:rsid w:val="007968EC"/>
  </w:style>
  <w:style w:type="numbering" w:customStyle="1" w:styleId="Sinlista129">
    <w:name w:val="Sin lista129"/>
    <w:next w:val="Sinlista"/>
    <w:uiPriority w:val="99"/>
    <w:semiHidden/>
    <w:unhideWhenUsed/>
    <w:rsid w:val="007968EC"/>
  </w:style>
  <w:style w:type="numbering" w:customStyle="1" w:styleId="Sinlista1129">
    <w:name w:val="Sin lista1129"/>
    <w:next w:val="Sinlista"/>
    <w:uiPriority w:val="99"/>
    <w:semiHidden/>
    <w:unhideWhenUsed/>
    <w:rsid w:val="007968EC"/>
  </w:style>
  <w:style w:type="numbering" w:customStyle="1" w:styleId="Sinlista219">
    <w:name w:val="Sin lista219"/>
    <w:next w:val="Sinlista"/>
    <w:uiPriority w:val="99"/>
    <w:semiHidden/>
    <w:unhideWhenUsed/>
    <w:rsid w:val="007968EC"/>
  </w:style>
  <w:style w:type="numbering" w:customStyle="1" w:styleId="Sinlista1111118">
    <w:name w:val="Sin lista1111118"/>
    <w:next w:val="Sinlista"/>
    <w:uiPriority w:val="99"/>
    <w:semiHidden/>
    <w:unhideWhenUsed/>
    <w:rsid w:val="007968EC"/>
  </w:style>
  <w:style w:type="numbering" w:customStyle="1" w:styleId="Sinlista318">
    <w:name w:val="Sin lista318"/>
    <w:next w:val="Sinlista"/>
    <w:uiPriority w:val="99"/>
    <w:semiHidden/>
    <w:unhideWhenUsed/>
    <w:rsid w:val="007968EC"/>
  </w:style>
  <w:style w:type="numbering" w:customStyle="1" w:styleId="Sinlista1218">
    <w:name w:val="Sin lista1218"/>
    <w:next w:val="Sinlista"/>
    <w:uiPriority w:val="99"/>
    <w:semiHidden/>
    <w:unhideWhenUsed/>
    <w:rsid w:val="007968EC"/>
  </w:style>
  <w:style w:type="numbering" w:customStyle="1" w:styleId="Sinlista11218">
    <w:name w:val="Sin lista11218"/>
    <w:next w:val="Sinlista"/>
    <w:uiPriority w:val="99"/>
    <w:semiHidden/>
    <w:unhideWhenUsed/>
    <w:rsid w:val="007968EC"/>
  </w:style>
  <w:style w:type="numbering" w:customStyle="1" w:styleId="Sinlista2118">
    <w:name w:val="Sin lista2118"/>
    <w:next w:val="Sinlista"/>
    <w:uiPriority w:val="99"/>
    <w:semiHidden/>
    <w:unhideWhenUsed/>
    <w:rsid w:val="007968EC"/>
  </w:style>
  <w:style w:type="numbering" w:customStyle="1" w:styleId="Sinlista11111118">
    <w:name w:val="Sin lista11111118"/>
    <w:next w:val="Sinlista"/>
    <w:uiPriority w:val="99"/>
    <w:semiHidden/>
    <w:unhideWhenUsed/>
    <w:rsid w:val="007968EC"/>
  </w:style>
  <w:style w:type="numbering" w:customStyle="1" w:styleId="Sinlista48">
    <w:name w:val="Sin lista48"/>
    <w:next w:val="Sinlista"/>
    <w:uiPriority w:val="99"/>
    <w:semiHidden/>
    <w:unhideWhenUsed/>
    <w:rsid w:val="007968EC"/>
  </w:style>
  <w:style w:type="numbering" w:customStyle="1" w:styleId="Sinlista138">
    <w:name w:val="Sin lista138"/>
    <w:next w:val="Sinlista"/>
    <w:uiPriority w:val="99"/>
    <w:semiHidden/>
    <w:unhideWhenUsed/>
    <w:rsid w:val="007968EC"/>
  </w:style>
  <w:style w:type="numbering" w:customStyle="1" w:styleId="Sinlista228">
    <w:name w:val="Sin lista228"/>
    <w:next w:val="Sinlista"/>
    <w:uiPriority w:val="99"/>
    <w:semiHidden/>
    <w:unhideWhenUsed/>
    <w:rsid w:val="007968EC"/>
  </w:style>
  <w:style w:type="numbering" w:customStyle="1" w:styleId="Sinlista1138">
    <w:name w:val="Sin lista1138"/>
    <w:next w:val="Sinlista"/>
    <w:uiPriority w:val="99"/>
    <w:semiHidden/>
    <w:unhideWhenUsed/>
    <w:rsid w:val="007968EC"/>
  </w:style>
  <w:style w:type="numbering" w:customStyle="1" w:styleId="Sinlista11128">
    <w:name w:val="Sin lista11128"/>
    <w:next w:val="Sinlista"/>
    <w:uiPriority w:val="99"/>
    <w:semiHidden/>
    <w:unhideWhenUsed/>
    <w:rsid w:val="007968EC"/>
  </w:style>
  <w:style w:type="numbering" w:customStyle="1" w:styleId="Sinlista328">
    <w:name w:val="Sin lista328"/>
    <w:next w:val="Sinlista"/>
    <w:uiPriority w:val="99"/>
    <w:semiHidden/>
    <w:unhideWhenUsed/>
    <w:rsid w:val="007968EC"/>
  </w:style>
  <w:style w:type="numbering" w:customStyle="1" w:styleId="Sinlista1228">
    <w:name w:val="Sin lista1228"/>
    <w:next w:val="Sinlista"/>
    <w:uiPriority w:val="99"/>
    <w:semiHidden/>
    <w:unhideWhenUsed/>
    <w:rsid w:val="007968EC"/>
  </w:style>
  <w:style w:type="numbering" w:customStyle="1" w:styleId="Sinlista11228">
    <w:name w:val="Sin lista11228"/>
    <w:next w:val="Sinlista"/>
    <w:uiPriority w:val="99"/>
    <w:semiHidden/>
    <w:unhideWhenUsed/>
    <w:rsid w:val="007968EC"/>
  </w:style>
  <w:style w:type="numbering" w:customStyle="1" w:styleId="Sinlista2128">
    <w:name w:val="Sin lista2128"/>
    <w:next w:val="Sinlista"/>
    <w:uiPriority w:val="99"/>
    <w:semiHidden/>
    <w:unhideWhenUsed/>
    <w:rsid w:val="007968EC"/>
  </w:style>
  <w:style w:type="numbering" w:customStyle="1" w:styleId="Sinlista111128">
    <w:name w:val="Sin lista111128"/>
    <w:next w:val="Sinlista"/>
    <w:uiPriority w:val="99"/>
    <w:semiHidden/>
    <w:unhideWhenUsed/>
    <w:rsid w:val="007968EC"/>
  </w:style>
  <w:style w:type="numbering" w:customStyle="1" w:styleId="Sinlista3118">
    <w:name w:val="Sin lista3118"/>
    <w:next w:val="Sinlista"/>
    <w:uiPriority w:val="99"/>
    <w:semiHidden/>
    <w:unhideWhenUsed/>
    <w:rsid w:val="007968EC"/>
  </w:style>
  <w:style w:type="numbering" w:customStyle="1" w:styleId="Sinlista12118">
    <w:name w:val="Sin lista12118"/>
    <w:next w:val="Sinlista"/>
    <w:uiPriority w:val="99"/>
    <w:semiHidden/>
    <w:unhideWhenUsed/>
    <w:rsid w:val="007968EC"/>
  </w:style>
  <w:style w:type="numbering" w:customStyle="1" w:styleId="Sinlista112118">
    <w:name w:val="Sin lista112118"/>
    <w:next w:val="Sinlista"/>
    <w:uiPriority w:val="99"/>
    <w:semiHidden/>
    <w:unhideWhenUsed/>
    <w:rsid w:val="007968EC"/>
  </w:style>
  <w:style w:type="numbering" w:customStyle="1" w:styleId="Sinlista21118">
    <w:name w:val="Sin lista21118"/>
    <w:next w:val="Sinlista"/>
    <w:uiPriority w:val="99"/>
    <w:semiHidden/>
    <w:unhideWhenUsed/>
    <w:rsid w:val="007968EC"/>
  </w:style>
  <w:style w:type="numbering" w:customStyle="1" w:styleId="Sinlista111111117">
    <w:name w:val="Sin lista111111117"/>
    <w:next w:val="Sinlista"/>
    <w:uiPriority w:val="99"/>
    <w:semiHidden/>
    <w:unhideWhenUsed/>
    <w:rsid w:val="007968EC"/>
  </w:style>
  <w:style w:type="numbering" w:customStyle="1" w:styleId="Sinlista417">
    <w:name w:val="Sin lista417"/>
    <w:next w:val="Sinlista"/>
    <w:uiPriority w:val="99"/>
    <w:semiHidden/>
    <w:unhideWhenUsed/>
    <w:rsid w:val="007968EC"/>
  </w:style>
  <w:style w:type="numbering" w:customStyle="1" w:styleId="Sinlista1317">
    <w:name w:val="Sin lista1317"/>
    <w:next w:val="Sinlista"/>
    <w:uiPriority w:val="99"/>
    <w:semiHidden/>
    <w:unhideWhenUsed/>
    <w:rsid w:val="007968EC"/>
  </w:style>
  <w:style w:type="numbering" w:customStyle="1" w:styleId="Sinlista11317">
    <w:name w:val="Sin lista11317"/>
    <w:next w:val="Sinlista"/>
    <w:uiPriority w:val="99"/>
    <w:semiHidden/>
    <w:unhideWhenUsed/>
    <w:rsid w:val="007968EC"/>
  </w:style>
  <w:style w:type="numbering" w:customStyle="1" w:styleId="Sinlista2217">
    <w:name w:val="Sin lista2217"/>
    <w:next w:val="Sinlista"/>
    <w:uiPriority w:val="99"/>
    <w:semiHidden/>
    <w:unhideWhenUsed/>
    <w:rsid w:val="007968EC"/>
  </w:style>
  <w:style w:type="numbering" w:customStyle="1" w:styleId="Sinlista111217">
    <w:name w:val="Sin lista111217"/>
    <w:next w:val="Sinlista"/>
    <w:uiPriority w:val="99"/>
    <w:semiHidden/>
    <w:unhideWhenUsed/>
    <w:rsid w:val="007968EC"/>
  </w:style>
  <w:style w:type="numbering" w:customStyle="1" w:styleId="Sinlista3217">
    <w:name w:val="Sin lista3217"/>
    <w:next w:val="Sinlista"/>
    <w:uiPriority w:val="99"/>
    <w:semiHidden/>
    <w:unhideWhenUsed/>
    <w:rsid w:val="007968EC"/>
  </w:style>
  <w:style w:type="numbering" w:customStyle="1" w:styleId="Sinlista12217">
    <w:name w:val="Sin lista12217"/>
    <w:next w:val="Sinlista"/>
    <w:uiPriority w:val="99"/>
    <w:semiHidden/>
    <w:unhideWhenUsed/>
    <w:rsid w:val="007968EC"/>
  </w:style>
  <w:style w:type="numbering" w:customStyle="1" w:styleId="Sinlista112217">
    <w:name w:val="Sin lista112217"/>
    <w:next w:val="Sinlista"/>
    <w:uiPriority w:val="99"/>
    <w:semiHidden/>
    <w:unhideWhenUsed/>
    <w:rsid w:val="007968EC"/>
  </w:style>
  <w:style w:type="numbering" w:customStyle="1" w:styleId="Sinlista21217">
    <w:name w:val="Sin lista21217"/>
    <w:next w:val="Sinlista"/>
    <w:uiPriority w:val="99"/>
    <w:semiHidden/>
    <w:unhideWhenUsed/>
    <w:rsid w:val="007968EC"/>
  </w:style>
  <w:style w:type="numbering" w:customStyle="1" w:styleId="Sinlista1111217">
    <w:name w:val="Sin lista1111217"/>
    <w:next w:val="Sinlista"/>
    <w:uiPriority w:val="99"/>
    <w:semiHidden/>
    <w:unhideWhenUsed/>
    <w:rsid w:val="007968EC"/>
  </w:style>
  <w:style w:type="numbering" w:customStyle="1" w:styleId="Sinlista31117">
    <w:name w:val="Sin lista31117"/>
    <w:next w:val="Sinlista"/>
    <w:uiPriority w:val="99"/>
    <w:semiHidden/>
    <w:unhideWhenUsed/>
    <w:rsid w:val="007968EC"/>
  </w:style>
  <w:style w:type="numbering" w:customStyle="1" w:styleId="Sinlista121117">
    <w:name w:val="Sin lista121117"/>
    <w:next w:val="Sinlista"/>
    <w:uiPriority w:val="99"/>
    <w:semiHidden/>
    <w:unhideWhenUsed/>
    <w:rsid w:val="007968EC"/>
  </w:style>
  <w:style w:type="numbering" w:customStyle="1" w:styleId="Sinlista1121117">
    <w:name w:val="Sin lista1121117"/>
    <w:next w:val="Sinlista"/>
    <w:uiPriority w:val="99"/>
    <w:semiHidden/>
    <w:unhideWhenUsed/>
    <w:rsid w:val="007968EC"/>
  </w:style>
  <w:style w:type="numbering" w:customStyle="1" w:styleId="Sinlista211117">
    <w:name w:val="Sin lista211117"/>
    <w:next w:val="Sinlista"/>
    <w:uiPriority w:val="99"/>
    <w:semiHidden/>
    <w:unhideWhenUsed/>
    <w:rsid w:val="007968EC"/>
  </w:style>
  <w:style w:type="numbering" w:customStyle="1" w:styleId="Sinlista1111111117">
    <w:name w:val="Sin lista1111111117"/>
    <w:next w:val="Sinlista"/>
    <w:uiPriority w:val="99"/>
    <w:semiHidden/>
    <w:unhideWhenUsed/>
    <w:rsid w:val="007968EC"/>
  </w:style>
  <w:style w:type="numbering" w:customStyle="1" w:styleId="Sinlista56">
    <w:name w:val="Sin lista56"/>
    <w:next w:val="Sinlista"/>
    <w:uiPriority w:val="99"/>
    <w:semiHidden/>
    <w:unhideWhenUsed/>
    <w:rsid w:val="007968EC"/>
  </w:style>
  <w:style w:type="numbering" w:customStyle="1" w:styleId="Sinlista146">
    <w:name w:val="Sin lista146"/>
    <w:next w:val="Sinlista"/>
    <w:uiPriority w:val="99"/>
    <w:semiHidden/>
    <w:unhideWhenUsed/>
    <w:rsid w:val="007968EC"/>
  </w:style>
  <w:style w:type="numbering" w:customStyle="1" w:styleId="Sinlista1146">
    <w:name w:val="Sin lista1146"/>
    <w:next w:val="Sinlista"/>
    <w:uiPriority w:val="99"/>
    <w:semiHidden/>
    <w:unhideWhenUsed/>
    <w:rsid w:val="007968EC"/>
  </w:style>
  <w:style w:type="numbering" w:customStyle="1" w:styleId="Sinlista11136">
    <w:name w:val="Sin lista11136"/>
    <w:next w:val="Sinlista"/>
    <w:uiPriority w:val="99"/>
    <w:semiHidden/>
    <w:unhideWhenUsed/>
    <w:rsid w:val="007968EC"/>
  </w:style>
  <w:style w:type="numbering" w:customStyle="1" w:styleId="Sinlista236">
    <w:name w:val="Sin lista236"/>
    <w:next w:val="Sinlista"/>
    <w:uiPriority w:val="99"/>
    <w:semiHidden/>
    <w:unhideWhenUsed/>
    <w:rsid w:val="007968EC"/>
  </w:style>
  <w:style w:type="numbering" w:customStyle="1" w:styleId="Sinlista111136">
    <w:name w:val="Sin lista111136"/>
    <w:next w:val="Sinlista"/>
    <w:uiPriority w:val="99"/>
    <w:semiHidden/>
    <w:unhideWhenUsed/>
    <w:rsid w:val="007968EC"/>
  </w:style>
  <w:style w:type="numbering" w:customStyle="1" w:styleId="Sinlista336">
    <w:name w:val="Sin lista336"/>
    <w:next w:val="Sinlista"/>
    <w:uiPriority w:val="99"/>
    <w:semiHidden/>
    <w:unhideWhenUsed/>
    <w:rsid w:val="007968EC"/>
  </w:style>
  <w:style w:type="numbering" w:customStyle="1" w:styleId="Sinlista1236">
    <w:name w:val="Sin lista1236"/>
    <w:next w:val="Sinlista"/>
    <w:uiPriority w:val="99"/>
    <w:semiHidden/>
    <w:unhideWhenUsed/>
    <w:rsid w:val="007968EC"/>
  </w:style>
  <w:style w:type="numbering" w:customStyle="1" w:styleId="Sinlista11236">
    <w:name w:val="Sin lista11236"/>
    <w:next w:val="Sinlista"/>
    <w:uiPriority w:val="99"/>
    <w:semiHidden/>
    <w:unhideWhenUsed/>
    <w:rsid w:val="007968EC"/>
  </w:style>
  <w:style w:type="numbering" w:customStyle="1" w:styleId="Sinlista2136">
    <w:name w:val="Sin lista2136"/>
    <w:next w:val="Sinlista"/>
    <w:uiPriority w:val="99"/>
    <w:semiHidden/>
    <w:unhideWhenUsed/>
    <w:rsid w:val="007968EC"/>
  </w:style>
  <w:style w:type="numbering" w:customStyle="1" w:styleId="Sinlista1111126">
    <w:name w:val="Sin lista1111126"/>
    <w:next w:val="Sinlista"/>
    <w:uiPriority w:val="99"/>
    <w:semiHidden/>
    <w:unhideWhenUsed/>
    <w:rsid w:val="007968EC"/>
  </w:style>
  <w:style w:type="numbering" w:customStyle="1" w:styleId="Sinlista3126">
    <w:name w:val="Sin lista3126"/>
    <w:next w:val="Sinlista"/>
    <w:uiPriority w:val="99"/>
    <w:semiHidden/>
    <w:unhideWhenUsed/>
    <w:rsid w:val="007968EC"/>
  </w:style>
  <w:style w:type="numbering" w:customStyle="1" w:styleId="Sinlista12126">
    <w:name w:val="Sin lista12126"/>
    <w:next w:val="Sinlista"/>
    <w:uiPriority w:val="99"/>
    <w:semiHidden/>
    <w:unhideWhenUsed/>
    <w:rsid w:val="007968EC"/>
  </w:style>
  <w:style w:type="numbering" w:customStyle="1" w:styleId="Sinlista112126">
    <w:name w:val="Sin lista112126"/>
    <w:next w:val="Sinlista"/>
    <w:uiPriority w:val="99"/>
    <w:semiHidden/>
    <w:unhideWhenUsed/>
    <w:rsid w:val="007968EC"/>
  </w:style>
  <w:style w:type="numbering" w:customStyle="1" w:styleId="Sinlista21126">
    <w:name w:val="Sin lista21126"/>
    <w:next w:val="Sinlista"/>
    <w:uiPriority w:val="99"/>
    <w:semiHidden/>
    <w:unhideWhenUsed/>
    <w:rsid w:val="007968EC"/>
  </w:style>
  <w:style w:type="numbering" w:customStyle="1" w:styleId="Sinlista11111126">
    <w:name w:val="Sin lista11111126"/>
    <w:next w:val="Sinlista"/>
    <w:uiPriority w:val="99"/>
    <w:semiHidden/>
    <w:unhideWhenUsed/>
    <w:rsid w:val="007968EC"/>
  </w:style>
  <w:style w:type="numbering" w:customStyle="1" w:styleId="Sinlista426">
    <w:name w:val="Sin lista426"/>
    <w:next w:val="Sinlista"/>
    <w:uiPriority w:val="99"/>
    <w:semiHidden/>
    <w:unhideWhenUsed/>
    <w:rsid w:val="007968EC"/>
  </w:style>
  <w:style w:type="numbering" w:customStyle="1" w:styleId="Sinlista1326">
    <w:name w:val="Sin lista1326"/>
    <w:next w:val="Sinlista"/>
    <w:uiPriority w:val="99"/>
    <w:semiHidden/>
    <w:unhideWhenUsed/>
    <w:rsid w:val="007968EC"/>
  </w:style>
  <w:style w:type="numbering" w:customStyle="1" w:styleId="Sinlista2226">
    <w:name w:val="Sin lista2226"/>
    <w:next w:val="Sinlista"/>
    <w:uiPriority w:val="99"/>
    <w:semiHidden/>
    <w:unhideWhenUsed/>
    <w:rsid w:val="007968EC"/>
  </w:style>
  <w:style w:type="numbering" w:customStyle="1" w:styleId="Sinlista11326">
    <w:name w:val="Sin lista11326"/>
    <w:next w:val="Sinlista"/>
    <w:uiPriority w:val="99"/>
    <w:semiHidden/>
    <w:unhideWhenUsed/>
    <w:rsid w:val="007968EC"/>
  </w:style>
  <w:style w:type="numbering" w:customStyle="1" w:styleId="Sinlista111226">
    <w:name w:val="Sin lista111226"/>
    <w:next w:val="Sinlista"/>
    <w:uiPriority w:val="99"/>
    <w:semiHidden/>
    <w:unhideWhenUsed/>
    <w:rsid w:val="007968EC"/>
  </w:style>
  <w:style w:type="numbering" w:customStyle="1" w:styleId="Sinlista3226">
    <w:name w:val="Sin lista3226"/>
    <w:next w:val="Sinlista"/>
    <w:uiPriority w:val="99"/>
    <w:semiHidden/>
    <w:unhideWhenUsed/>
    <w:rsid w:val="007968EC"/>
  </w:style>
  <w:style w:type="numbering" w:customStyle="1" w:styleId="Sinlista12226">
    <w:name w:val="Sin lista12226"/>
    <w:next w:val="Sinlista"/>
    <w:uiPriority w:val="99"/>
    <w:semiHidden/>
    <w:unhideWhenUsed/>
    <w:rsid w:val="007968EC"/>
  </w:style>
  <w:style w:type="numbering" w:customStyle="1" w:styleId="Sinlista112226">
    <w:name w:val="Sin lista112226"/>
    <w:next w:val="Sinlista"/>
    <w:uiPriority w:val="99"/>
    <w:semiHidden/>
    <w:unhideWhenUsed/>
    <w:rsid w:val="007968EC"/>
  </w:style>
  <w:style w:type="numbering" w:customStyle="1" w:styleId="Sinlista21226">
    <w:name w:val="Sin lista21226"/>
    <w:next w:val="Sinlista"/>
    <w:uiPriority w:val="99"/>
    <w:semiHidden/>
    <w:unhideWhenUsed/>
    <w:rsid w:val="007968EC"/>
  </w:style>
  <w:style w:type="numbering" w:customStyle="1" w:styleId="Sinlista1111226">
    <w:name w:val="Sin lista1111226"/>
    <w:next w:val="Sinlista"/>
    <w:uiPriority w:val="99"/>
    <w:semiHidden/>
    <w:unhideWhenUsed/>
    <w:rsid w:val="007968EC"/>
  </w:style>
  <w:style w:type="numbering" w:customStyle="1" w:styleId="Sinlista31126">
    <w:name w:val="Sin lista31126"/>
    <w:next w:val="Sinlista"/>
    <w:uiPriority w:val="99"/>
    <w:semiHidden/>
    <w:unhideWhenUsed/>
    <w:rsid w:val="007968EC"/>
  </w:style>
  <w:style w:type="numbering" w:customStyle="1" w:styleId="Sinlista121126">
    <w:name w:val="Sin lista121126"/>
    <w:next w:val="Sinlista"/>
    <w:uiPriority w:val="99"/>
    <w:semiHidden/>
    <w:unhideWhenUsed/>
    <w:rsid w:val="007968EC"/>
  </w:style>
  <w:style w:type="numbering" w:customStyle="1" w:styleId="Sinlista1121126">
    <w:name w:val="Sin lista1121126"/>
    <w:next w:val="Sinlista"/>
    <w:uiPriority w:val="99"/>
    <w:semiHidden/>
    <w:unhideWhenUsed/>
    <w:rsid w:val="007968EC"/>
  </w:style>
  <w:style w:type="numbering" w:customStyle="1" w:styleId="Sinlista211126">
    <w:name w:val="Sin lista211126"/>
    <w:next w:val="Sinlista"/>
    <w:uiPriority w:val="99"/>
    <w:semiHidden/>
    <w:unhideWhenUsed/>
    <w:rsid w:val="007968EC"/>
  </w:style>
  <w:style w:type="numbering" w:customStyle="1" w:styleId="Sinlista111111126">
    <w:name w:val="Sin lista111111126"/>
    <w:next w:val="Sinlista"/>
    <w:uiPriority w:val="99"/>
    <w:semiHidden/>
    <w:unhideWhenUsed/>
    <w:rsid w:val="007968EC"/>
  </w:style>
  <w:style w:type="numbering" w:customStyle="1" w:styleId="Sinlista4116">
    <w:name w:val="Sin lista4116"/>
    <w:next w:val="Sinlista"/>
    <w:uiPriority w:val="99"/>
    <w:semiHidden/>
    <w:unhideWhenUsed/>
    <w:rsid w:val="007968EC"/>
  </w:style>
  <w:style w:type="numbering" w:customStyle="1" w:styleId="Sinlista13116">
    <w:name w:val="Sin lista13116"/>
    <w:next w:val="Sinlista"/>
    <w:uiPriority w:val="99"/>
    <w:semiHidden/>
    <w:unhideWhenUsed/>
    <w:rsid w:val="007968EC"/>
  </w:style>
  <w:style w:type="numbering" w:customStyle="1" w:styleId="Sinlista113116">
    <w:name w:val="Sin lista113116"/>
    <w:next w:val="Sinlista"/>
    <w:uiPriority w:val="99"/>
    <w:semiHidden/>
    <w:unhideWhenUsed/>
    <w:rsid w:val="007968EC"/>
  </w:style>
  <w:style w:type="numbering" w:customStyle="1" w:styleId="Sinlista22116">
    <w:name w:val="Sin lista22116"/>
    <w:next w:val="Sinlista"/>
    <w:uiPriority w:val="99"/>
    <w:semiHidden/>
    <w:unhideWhenUsed/>
    <w:rsid w:val="007968EC"/>
  </w:style>
  <w:style w:type="numbering" w:customStyle="1" w:styleId="Sinlista1112116">
    <w:name w:val="Sin lista1112116"/>
    <w:next w:val="Sinlista"/>
    <w:uiPriority w:val="99"/>
    <w:semiHidden/>
    <w:unhideWhenUsed/>
    <w:rsid w:val="007968EC"/>
  </w:style>
  <w:style w:type="numbering" w:customStyle="1" w:styleId="Sinlista32116">
    <w:name w:val="Sin lista32116"/>
    <w:next w:val="Sinlista"/>
    <w:uiPriority w:val="99"/>
    <w:semiHidden/>
    <w:unhideWhenUsed/>
    <w:rsid w:val="007968EC"/>
  </w:style>
  <w:style w:type="numbering" w:customStyle="1" w:styleId="Sinlista122116">
    <w:name w:val="Sin lista122116"/>
    <w:next w:val="Sinlista"/>
    <w:uiPriority w:val="99"/>
    <w:semiHidden/>
    <w:unhideWhenUsed/>
    <w:rsid w:val="007968EC"/>
  </w:style>
  <w:style w:type="numbering" w:customStyle="1" w:styleId="Sinlista1122116">
    <w:name w:val="Sin lista1122116"/>
    <w:next w:val="Sinlista"/>
    <w:uiPriority w:val="99"/>
    <w:semiHidden/>
    <w:unhideWhenUsed/>
    <w:rsid w:val="007968EC"/>
  </w:style>
  <w:style w:type="numbering" w:customStyle="1" w:styleId="Sinlista212116">
    <w:name w:val="Sin lista212116"/>
    <w:next w:val="Sinlista"/>
    <w:uiPriority w:val="99"/>
    <w:semiHidden/>
    <w:unhideWhenUsed/>
    <w:rsid w:val="007968EC"/>
  </w:style>
  <w:style w:type="numbering" w:customStyle="1" w:styleId="Sinlista11112116">
    <w:name w:val="Sin lista11112116"/>
    <w:next w:val="Sinlista"/>
    <w:uiPriority w:val="99"/>
    <w:semiHidden/>
    <w:unhideWhenUsed/>
    <w:rsid w:val="007968EC"/>
  </w:style>
  <w:style w:type="numbering" w:customStyle="1" w:styleId="Sinlista311116">
    <w:name w:val="Sin lista311116"/>
    <w:next w:val="Sinlista"/>
    <w:uiPriority w:val="99"/>
    <w:semiHidden/>
    <w:unhideWhenUsed/>
    <w:rsid w:val="007968EC"/>
  </w:style>
  <w:style w:type="numbering" w:customStyle="1" w:styleId="Sinlista1211116">
    <w:name w:val="Sin lista1211116"/>
    <w:next w:val="Sinlista"/>
    <w:uiPriority w:val="99"/>
    <w:semiHidden/>
    <w:unhideWhenUsed/>
    <w:rsid w:val="007968EC"/>
  </w:style>
  <w:style w:type="numbering" w:customStyle="1" w:styleId="Sinlista11211116">
    <w:name w:val="Sin lista11211116"/>
    <w:next w:val="Sinlista"/>
    <w:uiPriority w:val="99"/>
    <w:semiHidden/>
    <w:unhideWhenUsed/>
    <w:rsid w:val="007968EC"/>
  </w:style>
  <w:style w:type="numbering" w:customStyle="1" w:styleId="Sinlista2111116">
    <w:name w:val="Sin lista2111116"/>
    <w:next w:val="Sinlista"/>
    <w:uiPriority w:val="99"/>
    <w:semiHidden/>
    <w:unhideWhenUsed/>
    <w:rsid w:val="007968EC"/>
  </w:style>
  <w:style w:type="numbering" w:customStyle="1" w:styleId="Sinlista11111111116">
    <w:name w:val="Sin lista11111111116"/>
    <w:next w:val="Sinlista"/>
    <w:uiPriority w:val="99"/>
    <w:semiHidden/>
    <w:unhideWhenUsed/>
    <w:rsid w:val="007968EC"/>
  </w:style>
  <w:style w:type="numbering" w:customStyle="1" w:styleId="Sinlista65">
    <w:name w:val="Sin lista65"/>
    <w:next w:val="Sinlista"/>
    <w:uiPriority w:val="99"/>
    <w:semiHidden/>
    <w:unhideWhenUsed/>
    <w:rsid w:val="007968EC"/>
  </w:style>
  <w:style w:type="numbering" w:customStyle="1" w:styleId="Sinlista155">
    <w:name w:val="Sin lista155"/>
    <w:next w:val="Sinlista"/>
    <w:uiPriority w:val="99"/>
    <w:semiHidden/>
    <w:unhideWhenUsed/>
    <w:rsid w:val="007968EC"/>
  </w:style>
  <w:style w:type="numbering" w:customStyle="1" w:styleId="Sinlista1155">
    <w:name w:val="Sin lista1155"/>
    <w:next w:val="Sinlista"/>
    <w:uiPriority w:val="99"/>
    <w:semiHidden/>
    <w:unhideWhenUsed/>
    <w:rsid w:val="007968EC"/>
  </w:style>
  <w:style w:type="numbering" w:customStyle="1" w:styleId="Sinlista11145">
    <w:name w:val="Sin lista11145"/>
    <w:next w:val="Sinlista"/>
    <w:uiPriority w:val="99"/>
    <w:semiHidden/>
    <w:unhideWhenUsed/>
    <w:rsid w:val="007968EC"/>
  </w:style>
  <w:style w:type="numbering" w:customStyle="1" w:styleId="Sinlista111145">
    <w:name w:val="Sin lista111145"/>
    <w:next w:val="Sinlista"/>
    <w:uiPriority w:val="99"/>
    <w:semiHidden/>
    <w:unhideWhenUsed/>
    <w:rsid w:val="007968EC"/>
  </w:style>
  <w:style w:type="numbering" w:customStyle="1" w:styleId="Sinlista1111135">
    <w:name w:val="Sin lista1111135"/>
    <w:next w:val="Sinlista"/>
    <w:uiPriority w:val="99"/>
    <w:semiHidden/>
    <w:unhideWhenUsed/>
    <w:rsid w:val="007968EC"/>
  </w:style>
  <w:style w:type="numbering" w:customStyle="1" w:styleId="Sinlista245">
    <w:name w:val="Sin lista245"/>
    <w:next w:val="Sinlista"/>
    <w:uiPriority w:val="99"/>
    <w:semiHidden/>
    <w:unhideWhenUsed/>
    <w:rsid w:val="007968EC"/>
  </w:style>
  <w:style w:type="numbering" w:customStyle="1" w:styleId="Sinlista11111135">
    <w:name w:val="Sin lista11111135"/>
    <w:next w:val="Sinlista"/>
    <w:uiPriority w:val="99"/>
    <w:semiHidden/>
    <w:unhideWhenUsed/>
    <w:rsid w:val="007968EC"/>
  </w:style>
  <w:style w:type="numbering" w:customStyle="1" w:styleId="Sinlista345">
    <w:name w:val="Sin lista345"/>
    <w:next w:val="Sinlista"/>
    <w:uiPriority w:val="99"/>
    <w:semiHidden/>
    <w:unhideWhenUsed/>
    <w:rsid w:val="007968EC"/>
  </w:style>
  <w:style w:type="numbering" w:customStyle="1" w:styleId="Sinlista1245">
    <w:name w:val="Sin lista1245"/>
    <w:next w:val="Sinlista"/>
    <w:uiPriority w:val="99"/>
    <w:semiHidden/>
    <w:unhideWhenUsed/>
    <w:rsid w:val="007968EC"/>
  </w:style>
  <w:style w:type="numbering" w:customStyle="1" w:styleId="Sinlista11245">
    <w:name w:val="Sin lista11245"/>
    <w:next w:val="Sinlista"/>
    <w:uiPriority w:val="99"/>
    <w:semiHidden/>
    <w:unhideWhenUsed/>
    <w:rsid w:val="007968EC"/>
  </w:style>
  <w:style w:type="numbering" w:customStyle="1" w:styleId="Sinlista2145">
    <w:name w:val="Sin lista2145"/>
    <w:next w:val="Sinlista"/>
    <w:uiPriority w:val="99"/>
    <w:semiHidden/>
    <w:unhideWhenUsed/>
    <w:rsid w:val="007968EC"/>
  </w:style>
  <w:style w:type="numbering" w:customStyle="1" w:styleId="Sinlista111111135">
    <w:name w:val="Sin lista111111135"/>
    <w:next w:val="Sinlista"/>
    <w:uiPriority w:val="99"/>
    <w:semiHidden/>
    <w:unhideWhenUsed/>
    <w:rsid w:val="007968EC"/>
  </w:style>
  <w:style w:type="numbering" w:customStyle="1" w:styleId="Sinlista3135">
    <w:name w:val="Sin lista3135"/>
    <w:next w:val="Sinlista"/>
    <w:uiPriority w:val="99"/>
    <w:semiHidden/>
    <w:unhideWhenUsed/>
    <w:rsid w:val="007968EC"/>
  </w:style>
  <w:style w:type="numbering" w:customStyle="1" w:styleId="Sinlista12135">
    <w:name w:val="Sin lista12135"/>
    <w:next w:val="Sinlista"/>
    <w:uiPriority w:val="99"/>
    <w:semiHidden/>
    <w:unhideWhenUsed/>
    <w:rsid w:val="007968EC"/>
  </w:style>
  <w:style w:type="numbering" w:customStyle="1" w:styleId="Sinlista112135">
    <w:name w:val="Sin lista112135"/>
    <w:next w:val="Sinlista"/>
    <w:uiPriority w:val="99"/>
    <w:semiHidden/>
    <w:unhideWhenUsed/>
    <w:rsid w:val="007968EC"/>
  </w:style>
  <w:style w:type="numbering" w:customStyle="1" w:styleId="Sinlista21135">
    <w:name w:val="Sin lista21135"/>
    <w:next w:val="Sinlista"/>
    <w:uiPriority w:val="99"/>
    <w:semiHidden/>
    <w:unhideWhenUsed/>
    <w:rsid w:val="007968EC"/>
  </w:style>
  <w:style w:type="numbering" w:customStyle="1" w:styleId="Sinlista1111111125">
    <w:name w:val="Sin lista1111111125"/>
    <w:next w:val="Sinlista"/>
    <w:uiPriority w:val="99"/>
    <w:semiHidden/>
    <w:unhideWhenUsed/>
    <w:rsid w:val="007968EC"/>
  </w:style>
  <w:style w:type="numbering" w:customStyle="1" w:styleId="Sinlista435">
    <w:name w:val="Sin lista435"/>
    <w:next w:val="Sinlista"/>
    <w:uiPriority w:val="99"/>
    <w:semiHidden/>
    <w:unhideWhenUsed/>
    <w:rsid w:val="007968EC"/>
  </w:style>
  <w:style w:type="numbering" w:customStyle="1" w:styleId="Sinlista1335">
    <w:name w:val="Sin lista1335"/>
    <w:next w:val="Sinlista"/>
    <w:uiPriority w:val="99"/>
    <w:semiHidden/>
    <w:unhideWhenUsed/>
    <w:rsid w:val="007968EC"/>
  </w:style>
  <w:style w:type="numbering" w:customStyle="1" w:styleId="Sinlista2235">
    <w:name w:val="Sin lista2235"/>
    <w:next w:val="Sinlista"/>
    <w:uiPriority w:val="99"/>
    <w:semiHidden/>
    <w:unhideWhenUsed/>
    <w:rsid w:val="007968EC"/>
  </w:style>
  <w:style w:type="numbering" w:customStyle="1" w:styleId="Sinlista11335">
    <w:name w:val="Sin lista11335"/>
    <w:next w:val="Sinlista"/>
    <w:uiPriority w:val="99"/>
    <w:semiHidden/>
    <w:unhideWhenUsed/>
    <w:rsid w:val="007968EC"/>
  </w:style>
  <w:style w:type="numbering" w:customStyle="1" w:styleId="Sinlista111235">
    <w:name w:val="Sin lista111235"/>
    <w:next w:val="Sinlista"/>
    <w:uiPriority w:val="99"/>
    <w:semiHidden/>
    <w:unhideWhenUsed/>
    <w:rsid w:val="007968EC"/>
  </w:style>
  <w:style w:type="numbering" w:customStyle="1" w:styleId="Sinlista3235">
    <w:name w:val="Sin lista3235"/>
    <w:next w:val="Sinlista"/>
    <w:uiPriority w:val="99"/>
    <w:semiHidden/>
    <w:unhideWhenUsed/>
    <w:rsid w:val="007968EC"/>
  </w:style>
  <w:style w:type="numbering" w:customStyle="1" w:styleId="Sinlista12235">
    <w:name w:val="Sin lista12235"/>
    <w:next w:val="Sinlista"/>
    <w:uiPriority w:val="99"/>
    <w:semiHidden/>
    <w:unhideWhenUsed/>
    <w:rsid w:val="007968EC"/>
  </w:style>
  <w:style w:type="numbering" w:customStyle="1" w:styleId="Sinlista112235">
    <w:name w:val="Sin lista112235"/>
    <w:next w:val="Sinlista"/>
    <w:uiPriority w:val="99"/>
    <w:semiHidden/>
    <w:unhideWhenUsed/>
    <w:rsid w:val="007968EC"/>
  </w:style>
  <w:style w:type="numbering" w:customStyle="1" w:styleId="Sinlista21235">
    <w:name w:val="Sin lista21235"/>
    <w:next w:val="Sinlista"/>
    <w:uiPriority w:val="99"/>
    <w:semiHidden/>
    <w:unhideWhenUsed/>
    <w:rsid w:val="007968EC"/>
  </w:style>
  <w:style w:type="numbering" w:customStyle="1" w:styleId="Sinlista1111235">
    <w:name w:val="Sin lista1111235"/>
    <w:next w:val="Sinlista"/>
    <w:uiPriority w:val="99"/>
    <w:semiHidden/>
    <w:unhideWhenUsed/>
    <w:rsid w:val="007968EC"/>
  </w:style>
  <w:style w:type="numbering" w:customStyle="1" w:styleId="Sinlista31135">
    <w:name w:val="Sin lista31135"/>
    <w:next w:val="Sinlista"/>
    <w:uiPriority w:val="99"/>
    <w:semiHidden/>
    <w:unhideWhenUsed/>
    <w:rsid w:val="007968EC"/>
  </w:style>
  <w:style w:type="numbering" w:customStyle="1" w:styleId="Sinlista121135">
    <w:name w:val="Sin lista121135"/>
    <w:next w:val="Sinlista"/>
    <w:uiPriority w:val="99"/>
    <w:semiHidden/>
    <w:unhideWhenUsed/>
    <w:rsid w:val="007968EC"/>
  </w:style>
  <w:style w:type="numbering" w:customStyle="1" w:styleId="Sinlista1121135">
    <w:name w:val="Sin lista1121135"/>
    <w:next w:val="Sinlista"/>
    <w:uiPriority w:val="99"/>
    <w:semiHidden/>
    <w:unhideWhenUsed/>
    <w:rsid w:val="007968EC"/>
  </w:style>
  <w:style w:type="numbering" w:customStyle="1" w:styleId="Sinlista211135">
    <w:name w:val="Sin lista211135"/>
    <w:next w:val="Sinlista"/>
    <w:uiPriority w:val="99"/>
    <w:semiHidden/>
    <w:unhideWhenUsed/>
    <w:rsid w:val="007968EC"/>
  </w:style>
  <w:style w:type="numbering" w:customStyle="1" w:styleId="Sinlista11111111125">
    <w:name w:val="Sin lista11111111125"/>
    <w:next w:val="Sinlista"/>
    <w:uiPriority w:val="99"/>
    <w:semiHidden/>
    <w:unhideWhenUsed/>
    <w:rsid w:val="007968EC"/>
  </w:style>
  <w:style w:type="numbering" w:customStyle="1" w:styleId="Sinlista4125">
    <w:name w:val="Sin lista4125"/>
    <w:next w:val="Sinlista"/>
    <w:uiPriority w:val="99"/>
    <w:semiHidden/>
    <w:unhideWhenUsed/>
    <w:rsid w:val="007968EC"/>
  </w:style>
  <w:style w:type="numbering" w:customStyle="1" w:styleId="Sinlista13125">
    <w:name w:val="Sin lista13125"/>
    <w:next w:val="Sinlista"/>
    <w:uiPriority w:val="99"/>
    <w:semiHidden/>
    <w:unhideWhenUsed/>
    <w:rsid w:val="007968EC"/>
  </w:style>
  <w:style w:type="numbering" w:customStyle="1" w:styleId="Sinlista113125">
    <w:name w:val="Sin lista113125"/>
    <w:next w:val="Sinlista"/>
    <w:uiPriority w:val="99"/>
    <w:semiHidden/>
    <w:unhideWhenUsed/>
    <w:rsid w:val="007968EC"/>
  </w:style>
  <w:style w:type="numbering" w:customStyle="1" w:styleId="Sinlista22125">
    <w:name w:val="Sin lista22125"/>
    <w:next w:val="Sinlista"/>
    <w:uiPriority w:val="99"/>
    <w:semiHidden/>
    <w:unhideWhenUsed/>
    <w:rsid w:val="007968EC"/>
  </w:style>
  <w:style w:type="numbering" w:customStyle="1" w:styleId="Sinlista1112125">
    <w:name w:val="Sin lista1112125"/>
    <w:next w:val="Sinlista"/>
    <w:uiPriority w:val="99"/>
    <w:semiHidden/>
    <w:unhideWhenUsed/>
    <w:rsid w:val="007968EC"/>
  </w:style>
  <w:style w:type="numbering" w:customStyle="1" w:styleId="Sinlista32125">
    <w:name w:val="Sin lista32125"/>
    <w:next w:val="Sinlista"/>
    <w:uiPriority w:val="99"/>
    <w:semiHidden/>
    <w:unhideWhenUsed/>
    <w:rsid w:val="007968EC"/>
  </w:style>
  <w:style w:type="numbering" w:customStyle="1" w:styleId="Sinlista122125">
    <w:name w:val="Sin lista122125"/>
    <w:next w:val="Sinlista"/>
    <w:uiPriority w:val="99"/>
    <w:semiHidden/>
    <w:unhideWhenUsed/>
    <w:rsid w:val="007968EC"/>
  </w:style>
  <w:style w:type="numbering" w:customStyle="1" w:styleId="Sinlista1122125">
    <w:name w:val="Sin lista1122125"/>
    <w:next w:val="Sinlista"/>
    <w:uiPriority w:val="99"/>
    <w:semiHidden/>
    <w:unhideWhenUsed/>
    <w:rsid w:val="007968EC"/>
  </w:style>
  <w:style w:type="numbering" w:customStyle="1" w:styleId="Sinlista212125">
    <w:name w:val="Sin lista212125"/>
    <w:next w:val="Sinlista"/>
    <w:uiPriority w:val="99"/>
    <w:semiHidden/>
    <w:unhideWhenUsed/>
    <w:rsid w:val="007968EC"/>
  </w:style>
  <w:style w:type="numbering" w:customStyle="1" w:styleId="Sinlista11112125">
    <w:name w:val="Sin lista11112125"/>
    <w:next w:val="Sinlista"/>
    <w:uiPriority w:val="99"/>
    <w:semiHidden/>
    <w:unhideWhenUsed/>
    <w:rsid w:val="007968EC"/>
  </w:style>
  <w:style w:type="numbering" w:customStyle="1" w:styleId="Sinlista311125">
    <w:name w:val="Sin lista311125"/>
    <w:next w:val="Sinlista"/>
    <w:uiPriority w:val="99"/>
    <w:semiHidden/>
    <w:unhideWhenUsed/>
    <w:rsid w:val="007968EC"/>
  </w:style>
  <w:style w:type="numbering" w:customStyle="1" w:styleId="Sinlista1211125">
    <w:name w:val="Sin lista1211125"/>
    <w:next w:val="Sinlista"/>
    <w:uiPriority w:val="99"/>
    <w:semiHidden/>
    <w:unhideWhenUsed/>
    <w:rsid w:val="007968EC"/>
  </w:style>
  <w:style w:type="numbering" w:customStyle="1" w:styleId="Sinlista11211125">
    <w:name w:val="Sin lista11211125"/>
    <w:next w:val="Sinlista"/>
    <w:uiPriority w:val="99"/>
    <w:semiHidden/>
    <w:unhideWhenUsed/>
    <w:rsid w:val="007968EC"/>
  </w:style>
  <w:style w:type="numbering" w:customStyle="1" w:styleId="Sinlista2111125">
    <w:name w:val="Sin lista2111125"/>
    <w:next w:val="Sinlista"/>
    <w:uiPriority w:val="99"/>
    <w:semiHidden/>
    <w:unhideWhenUsed/>
    <w:rsid w:val="007968EC"/>
  </w:style>
  <w:style w:type="numbering" w:customStyle="1" w:styleId="Sinlista111111111116">
    <w:name w:val="Sin lista111111111116"/>
    <w:next w:val="Sinlista"/>
    <w:uiPriority w:val="99"/>
    <w:semiHidden/>
    <w:unhideWhenUsed/>
    <w:rsid w:val="007968EC"/>
  </w:style>
  <w:style w:type="numbering" w:customStyle="1" w:styleId="Sinlista515">
    <w:name w:val="Sin lista515"/>
    <w:next w:val="Sinlista"/>
    <w:uiPriority w:val="99"/>
    <w:semiHidden/>
    <w:unhideWhenUsed/>
    <w:rsid w:val="007968EC"/>
  </w:style>
  <w:style w:type="numbering" w:customStyle="1" w:styleId="Sinlista1415">
    <w:name w:val="Sin lista1415"/>
    <w:next w:val="Sinlista"/>
    <w:uiPriority w:val="99"/>
    <w:semiHidden/>
    <w:unhideWhenUsed/>
    <w:rsid w:val="007968EC"/>
  </w:style>
  <w:style w:type="numbering" w:customStyle="1" w:styleId="Sinlista11415">
    <w:name w:val="Sin lista11415"/>
    <w:next w:val="Sinlista"/>
    <w:uiPriority w:val="99"/>
    <w:semiHidden/>
    <w:unhideWhenUsed/>
    <w:rsid w:val="007968EC"/>
  </w:style>
  <w:style w:type="numbering" w:customStyle="1" w:styleId="Sinlista111315">
    <w:name w:val="Sin lista111315"/>
    <w:next w:val="Sinlista"/>
    <w:uiPriority w:val="99"/>
    <w:semiHidden/>
    <w:unhideWhenUsed/>
    <w:rsid w:val="007968EC"/>
  </w:style>
  <w:style w:type="numbering" w:customStyle="1" w:styleId="Sinlista2315">
    <w:name w:val="Sin lista2315"/>
    <w:next w:val="Sinlista"/>
    <w:uiPriority w:val="99"/>
    <w:semiHidden/>
    <w:unhideWhenUsed/>
    <w:rsid w:val="007968EC"/>
  </w:style>
  <w:style w:type="numbering" w:customStyle="1" w:styleId="Sinlista1111315">
    <w:name w:val="Sin lista1111315"/>
    <w:next w:val="Sinlista"/>
    <w:uiPriority w:val="99"/>
    <w:semiHidden/>
    <w:unhideWhenUsed/>
    <w:rsid w:val="007968EC"/>
  </w:style>
  <w:style w:type="numbering" w:customStyle="1" w:styleId="Sinlista3315">
    <w:name w:val="Sin lista3315"/>
    <w:next w:val="Sinlista"/>
    <w:uiPriority w:val="99"/>
    <w:semiHidden/>
    <w:unhideWhenUsed/>
    <w:rsid w:val="007968EC"/>
  </w:style>
  <w:style w:type="numbering" w:customStyle="1" w:styleId="Sinlista12315">
    <w:name w:val="Sin lista12315"/>
    <w:next w:val="Sinlista"/>
    <w:uiPriority w:val="99"/>
    <w:semiHidden/>
    <w:unhideWhenUsed/>
    <w:rsid w:val="007968EC"/>
  </w:style>
  <w:style w:type="numbering" w:customStyle="1" w:styleId="Sinlista112315">
    <w:name w:val="Sin lista112315"/>
    <w:next w:val="Sinlista"/>
    <w:uiPriority w:val="99"/>
    <w:semiHidden/>
    <w:unhideWhenUsed/>
    <w:rsid w:val="007968EC"/>
  </w:style>
  <w:style w:type="numbering" w:customStyle="1" w:styleId="Sinlista21315">
    <w:name w:val="Sin lista21315"/>
    <w:next w:val="Sinlista"/>
    <w:uiPriority w:val="99"/>
    <w:semiHidden/>
    <w:unhideWhenUsed/>
    <w:rsid w:val="007968EC"/>
  </w:style>
  <w:style w:type="numbering" w:customStyle="1" w:styleId="Sinlista11111215">
    <w:name w:val="Sin lista11111215"/>
    <w:next w:val="Sinlista"/>
    <w:uiPriority w:val="99"/>
    <w:semiHidden/>
    <w:unhideWhenUsed/>
    <w:rsid w:val="007968EC"/>
  </w:style>
  <w:style w:type="numbering" w:customStyle="1" w:styleId="Sinlista31215">
    <w:name w:val="Sin lista31215"/>
    <w:next w:val="Sinlista"/>
    <w:uiPriority w:val="99"/>
    <w:semiHidden/>
    <w:unhideWhenUsed/>
    <w:rsid w:val="007968EC"/>
  </w:style>
  <w:style w:type="numbering" w:customStyle="1" w:styleId="Sinlista121215">
    <w:name w:val="Sin lista121215"/>
    <w:next w:val="Sinlista"/>
    <w:uiPriority w:val="99"/>
    <w:semiHidden/>
    <w:unhideWhenUsed/>
    <w:rsid w:val="007968EC"/>
  </w:style>
  <w:style w:type="numbering" w:customStyle="1" w:styleId="Sinlista1121215">
    <w:name w:val="Sin lista1121215"/>
    <w:next w:val="Sinlista"/>
    <w:uiPriority w:val="99"/>
    <w:semiHidden/>
    <w:unhideWhenUsed/>
    <w:rsid w:val="007968EC"/>
  </w:style>
  <w:style w:type="numbering" w:customStyle="1" w:styleId="Sinlista211215">
    <w:name w:val="Sin lista211215"/>
    <w:next w:val="Sinlista"/>
    <w:uiPriority w:val="99"/>
    <w:semiHidden/>
    <w:unhideWhenUsed/>
    <w:rsid w:val="007968EC"/>
  </w:style>
  <w:style w:type="numbering" w:customStyle="1" w:styleId="Sinlista111111215">
    <w:name w:val="Sin lista111111215"/>
    <w:next w:val="Sinlista"/>
    <w:uiPriority w:val="99"/>
    <w:semiHidden/>
    <w:unhideWhenUsed/>
    <w:rsid w:val="007968EC"/>
  </w:style>
  <w:style w:type="numbering" w:customStyle="1" w:styleId="Sinlista4215">
    <w:name w:val="Sin lista4215"/>
    <w:next w:val="Sinlista"/>
    <w:uiPriority w:val="99"/>
    <w:semiHidden/>
    <w:unhideWhenUsed/>
    <w:rsid w:val="007968EC"/>
  </w:style>
  <w:style w:type="numbering" w:customStyle="1" w:styleId="Sinlista13215">
    <w:name w:val="Sin lista13215"/>
    <w:next w:val="Sinlista"/>
    <w:uiPriority w:val="99"/>
    <w:semiHidden/>
    <w:unhideWhenUsed/>
    <w:rsid w:val="007968EC"/>
  </w:style>
  <w:style w:type="numbering" w:customStyle="1" w:styleId="Sinlista22215">
    <w:name w:val="Sin lista22215"/>
    <w:next w:val="Sinlista"/>
    <w:uiPriority w:val="99"/>
    <w:semiHidden/>
    <w:unhideWhenUsed/>
    <w:rsid w:val="007968EC"/>
  </w:style>
  <w:style w:type="numbering" w:customStyle="1" w:styleId="Sinlista113215">
    <w:name w:val="Sin lista113215"/>
    <w:next w:val="Sinlista"/>
    <w:uiPriority w:val="99"/>
    <w:semiHidden/>
    <w:unhideWhenUsed/>
    <w:rsid w:val="007968EC"/>
  </w:style>
  <w:style w:type="numbering" w:customStyle="1" w:styleId="Sinlista1112215">
    <w:name w:val="Sin lista1112215"/>
    <w:next w:val="Sinlista"/>
    <w:uiPriority w:val="99"/>
    <w:semiHidden/>
    <w:unhideWhenUsed/>
    <w:rsid w:val="007968EC"/>
  </w:style>
  <w:style w:type="numbering" w:customStyle="1" w:styleId="Sinlista32215">
    <w:name w:val="Sin lista32215"/>
    <w:next w:val="Sinlista"/>
    <w:uiPriority w:val="99"/>
    <w:semiHidden/>
    <w:unhideWhenUsed/>
    <w:rsid w:val="007968EC"/>
  </w:style>
  <w:style w:type="numbering" w:customStyle="1" w:styleId="Sinlista122215">
    <w:name w:val="Sin lista122215"/>
    <w:next w:val="Sinlista"/>
    <w:uiPriority w:val="99"/>
    <w:semiHidden/>
    <w:unhideWhenUsed/>
    <w:rsid w:val="007968EC"/>
  </w:style>
  <w:style w:type="numbering" w:customStyle="1" w:styleId="Sinlista1122215">
    <w:name w:val="Sin lista1122215"/>
    <w:next w:val="Sinlista"/>
    <w:uiPriority w:val="99"/>
    <w:semiHidden/>
    <w:unhideWhenUsed/>
    <w:rsid w:val="007968EC"/>
  </w:style>
  <w:style w:type="numbering" w:customStyle="1" w:styleId="Sinlista212215">
    <w:name w:val="Sin lista212215"/>
    <w:next w:val="Sinlista"/>
    <w:uiPriority w:val="99"/>
    <w:semiHidden/>
    <w:unhideWhenUsed/>
    <w:rsid w:val="007968EC"/>
  </w:style>
  <w:style w:type="numbering" w:customStyle="1" w:styleId="Sinlista11112215">
    <w:name w:val="Sin lista11112215"/>
    <w:next w:val="Sinlista"/>
    <w:uiPriority w:val="99"/>
    <w:semiHidden/>
    <w:unhideWhenUsed/>
    <w:rsid w:val="007968EC"/>
  </w:style>
  <w:style w:type="numbering" w:customStyle="1" w:styleId="Sinlista311215">
    <w:name w:val="Sin lista311215"/>
    <w:next w:val="Sinlista"/>
    <w:uiPriority w:val="99"/>
    <w:semiHidden/>
    <w:unhideWhenUsed/>
    <w:rsid w:val="007968EC"/>
  </w:style>
  <w:style w:type="numbering" w:customStyle="1" w:styleId="Sinlista1211215">
    <w:name w:val="Sin lista1211215"/>
    <w:next w:val="Sinlista"/>
    <w:uiPriority w:val="99"/>
    <w:semiHidden/>
    <w:unhideWhenUsed/>
    <w:rsid w:val="007968EC"/>
  </w:style>
  <w:style w:type="numbering" w:customStyle="1" w:styleId="Sinlista11211215">
    <w:name w:val="Sin lista11211215"/>
    <w:next w:val="Sinlista"/>
    <w:uiPriority w:val="99"/>
    <w:semiHidden/>
    <w:unhideWhenUsed/>
    <w:rsid w:val="007968EC"/>
  </w:style>
  <w:style w:type="numbering" w:customStyle="1" w:styleId="Sinlista2111215">
    <w:name w:val="Sin lista2111215"/>
    <w:next w:val="Sinlista"/>
    <w:uiPriority w:val="99"/>
    <w:semiHidden/>
    <w:unhideWhenUsed/>
    <w:rsid w:val="007968EC"/>
  </w:style>
  <w:style w:type="numbering" w:customStyle="1" w:styleId="Sinlista1111111215">
    <w:name w:val="Sin lista1111111215"/>
    <w:next w:val="Sinlista"/>
    <w:uiPriority w:val="99"/>
    <w:semiHidden/>
    <w:unhideWhenUsed/>
    <w:rsid w:val="007968EC"/>
  </w:style>
  <w:style w:type="numbering" w:customStyle="1" w:styleId="Sinlista41115">
    <w:name w:val="Sin lista41115"/>
    <w:next w:val="Sinlista"/>
    <w:uiPriority w:val="99"/>
    <w:semiHidden/>
    <w:unhideWhenUsed/>
    <w:rsid w:val="007968EC"/>
  </w:style>
  <w:style w:type="numbering" w:customStyle="1" w:styleId="Sinlista131115">
    <w:name w:val="Sin lista131115"/>
    <w:next w:val="Sinlista"/>
    <w:uiPriority w:val="99"/>
    <w:semiHidden/>
    <w:unhideWhenUsed/>
    <w:rsid w:val="007968EC"/>
  </w:style>
  <w:style w:type="numbering" w:customStyle="1" w:styleId="Sinlista1131115">
    <w:name w:val="Sin lista1131115"/>
    <w:next w:val="Sinlista"/>
    <w:uiPriority w:val="99"/>
    <w:semiHidden/>
    <w:unhideWhenUsed/>
    <w:rsid w:val="007968EC"/>
  </w:style>
  <w:style w:type="numbering" w:customStyle="1" w:styleId="Sinlista221115">
    <w:name w:val="Sin lista221115"/>
    <w:next w:val="Sinlista"/>
    <w:uiPriority w:val="99"/>
    <w:semiHidden/>
    <w:unhideWhenUsed/>
    <w:rsid w:val="007968EC"/>
  </w:style>
  <w:style w:type="numbering" w:customStyle="1" w:styleId="Sinlista11121115">
    <w:name w:val="Sin lista11121115"/>
    <w:next w:val="Sinlista"/>
    <w:uiPriority w:val="99"/>
    <w:semiHidden/>
    <w:unhideWhenUsed/>
    <w:rsid w:val="007968EC"/>
  </w:style>
  <w:style w:type="numbering" w:customStyle="1" w:styleId="Sinlista321115">
    <w:name w:val="Sin lista321115"/>
    <w:next w:val="Sinlista"/>
    <w:uiPriority w:val="99"/>
    <w:semiHidden/>
    <w:unhideWhenUsed/>
    <w:rsid w:val="007968EC"/>
  </w:style>
  <w:style w:type="numbering" w:customStyle="1" w:styleId="Sinlista1221115">
    <w:name w:val="Sin lista1221115"/>
    <w:next w:val="Sinlista"/>
    <w:uiPriority w:val="99"/>
    <w:semiHidden/>
    <w:unhideWhenUsed/>
    <w:rsid w:val="007968EC"/>
  </w:style>
  <w:style w:type="numbering" w:customStyle="1" w:styleId="Sinlista11221115">
    <w:name w:val="Sin lista11221115"/>
    <w:next w:val="Sinlista"/>
    <w:uiPriority w:val="99"/>
    <w:semiHidden/>
    <w:unhideWhenUsed/>
    <w:rsid w:val="007968EC"/>
  </w:style>
  <w:style w:type="numbering" w:customStyle="1" w:styleId="Sinlista2121115">
    <w:name w:val="Sin lista2121115"/>
    <w:next w:val="Sinlista"/>
    <w:uiPriority w:val="99"/>
    <w:semiHidden/>
    <w:unhideWhenUsed/>
    <w:rsid w:val="007968EC"/>
  </w:style>
  <w:style w:type="numbering" w:customStyle="1" w:styleId="Sinlista111121115">
    <w:name w:val="Sin lista111121115"/>
    <w:next w:val="Sinlista"/>
    <w:uiPriority w:val="99"/>
    <w:semiHidden/>
    <w:unhideWhenUsed/>
    <w:rsid w:val="007968EC"/>
  </w:style>
  <w:style w:type="numbering" w:customStyle="1" w:styleId="Sinlista3111115">
    <w:name w:val="Sin lista3111115"/>
    <w:next w:val="Sinlista"/>
    <w:uiPriority w:val="99"/>
    <w:semiHidden/>
    <w:unhideWhenUsed/>
    <w:rsid w:val="007968EC"/>
  </w:style>
  <w:style w:type="numbering" w:customStyle="1" w:styleId="Sinlista12111115">
    <w:name w:val="Sin lista12111115"/>
    <w:next w:val="Sinlista"/>
    <w:uiPriority w:val="99"/>
    <w:semiHidden/>
    <w:unhideWhenUsed/>
    <w:rsid w:val="007968EC"/>
  </w:style>
  <w:style w:type="numbering" w:customStyle="1" w:styleId="Sinlista112111115">
    <w:name w:val="Sin lista112111115"/>
    <w:next w:val="Sinlista"/>
    <w:uiPriority w:val="99"/>
    <w:semiHidden/>
    <w:unhideWhenUsed/>
    <w:rsid w:val="007968EC"/>
  </w:style>
  <w:style w:type="numbering" w:customStyle="1" w:styleId="Sinlista21111115">
    <w:name w:val="Sin lista21111115"/>
    <w:next w:val="Sinlista"/>
    <w:uiPriority w:val="99"/>
    <w:semiHidden/>
    <w:unhideWhenUsed/>
    <w:rsid w:val="007968EC"/>
  </w:style>
  <w:style w:type="numbering" w:customStyle="1" w:styleId="Sinlista1111111111116">
    <w:name w:val="Sin lista1111111111116"/>
    <w:next w:val="Sinlista"/>
    <w:uiPriority w:val="99"/>
    <w:semiHidden/>
    <w:unhideWhenUsed/>
    <w:rsid w:val="007968EC"/>
  </w:style>
  <w:style w:type="numbering" w:customStyle="1" w:styleId="Sinlista73">
    <w:name w:val="Sin lista73"/>
    <w:next w:val="Sinlista"/>
    <w:uiPriority w:val="99"/>
    <w:semiHidden/>
    <w:unhideWhenUsed/>
    <w:rsid w:val="007968EC"/>
  </w:style>
  <w:style w:type="numbering" w:customStyle="1" w:styleId="Sinlista163">
    <w:name w:val="Sin lista163"/>
    <w:next w:val="Sinlista"/>
    <w:uiPriority w:val="99"/>
    <w:semiHidden/>
    <w:unhideWhenUsed/>
    <w:rsid w:val="007968EC"/>
  </w:style>
  <w:style w:type="numbering" w:customStyle="1" w:styleId="Sinlista1163">
    <w:name w:val="Sin lista1163"/>
    <w:next w:val="Sinlista"/>
    <w:uiPriority w:val="99"/>
    <w:semiHidden/>
    <w:unhideWhenUsed/>
    <w:rsid w:val="007968EC"/>
  </w:style>
  <w:style w:type="numbering" w:customStyle="1" w:styleId="Sinlista11153">
    <w:name w:val="Sin lista11153"/>
    <w:next w:val="Sinlista"/>
    <w:uiPriority w:val="99"/>
    <w:semiHidden/>
    <w:unhideWhenUsed/>
    <w:rsid w:val="007968EC"/>
  </w:style>
  <w:style w:type="numbering" w:customStyle="1" w:styleId="Sinlista111153">
    <w:name w:val="Sin lista111153"/>
    <w:next w:val="Sinlista"/>
    <w:uiPriority w:val="99"/>
    <w:semiHidden/>
    <w:unhideWhenUsed/>
    <w:rsid w:val="007968EC"/>
  </w:style>
  <w:style w:type="numbering" w:customStyle="1" w:styleId="Sinlista1111143">
    <w:name w:val="Sin lista1111143"/>
    <w:next w:val="Sinlista"/>
    <w:uiPriority w:val="99"/>
    <w:semiHidden/>
    <w:unhideWhenUsed/>
    <w:rsid w:val="007968EC"/>
  </w:style>
  <w:style w:type="numbering" w:customStyle="1" w:styleId="Sinlista253">
    <w:name w:val="Sin lista253"/>
    <w:next w:val="Sinlista"/>
    <w:uiPriority w:val="99"/>
    <w:semiHidden/>
    <w:unhideWhenUsed/>
    <w:rsid w:val="007968EC"/>
  </w:style>
  <w:style w:type="numbering" w:customStyle="1" w:styleId="Sinlista11111143">
    <w:name w:val="Sin lista11111143"/>
    <w:next w:val="Sinlista"/>
    <w:uiPriority w:val="99"/>
    <w:semiHidden/>
    <w:unhideWhenUsed/>
    <w:rsid w:val="007968EC"/>
  </w:style>
  <w:style w:type="numbering" w:customStyle="1" w:styleId="Sinlista353">
    <w:name w:val="Sin lista353"/>
    <w:next w:val="Sinlista"/>
    <w:uiPriority w:val="99"/>
    <w:semiHidden/>
    <w:unhideWhenUsed/>
    <w:rsid w:val="007968EC"/>
  </w:style>
  <w:style w:type="numbering" w:customStyle="1" w:styleId="Sinlista1253">
    <w:name w:val="Sin lista1253"/>
    <w:next w:val="Sinlista"/>
    <w:uiPriority w:val="99"/>
    <w:semiHidden/>
    <w:unhideWhenUsed/>
    <w:rsid w:val="007968EC"/>
  </w:style>
  <w:style w:type="numbering" w:customStyle="1" w:styleId="Sinlista11253">
    <w:name w:val="Sin lista11253"/>
    <w:next w:val="Sinlista"/>
    <w:uiPriority w:val="99"/>
    <w:semiHidden/>
    <w:unhideWhenUsed/>
    <w:rsid w:val="007968EC"/>
  </w:style>
  <w:style w:type="numbering" w:customStyle="1" w:styleId="Sinlista2153">
    <w:name w:val="Sin lista2153"/>
    <w:next w:val="Sinlista"/>
    <w:uiPriority w:val="99"/>
    <w:semiHidden/>
    <w:unhideWhenUsed/>
    <w:rsid w:val="007968EC"/>
  </w:style>
  <w:style w:type="numbering" w:customStyle="1" w:styleId="Sinlista111111143">
    <w:name w:val="Sin lista111111143"/>
    <w:next w:val="Sinlista"/>
    <w:uiPriority w:val="99"/>
    <w:semiHidden/>
    <w:unhideWhenUsed/>
    <w:rsid w:val="007968EC"/>
  </w:style>
  <w:style w:type="numbering" w:customStyle="1" w:styleId="Sinlista3143">
    <w:name w:val="Sin lista3143"/>
    <w:next w:val="Sinlista"/>
    <w:uiPriority w:val="99"/>
    <w:semiHidden/>
    <w:unhideWhenUsed/>
    <w:rsid w:val="007968EC"/>
  </w:style>
  <w:style w:type="numbering" w:customStyle="1" w:styleId="Sinlista12143">
    <w:name w:val="Sin lista12143"/>
    <w:next w:val="Sinlista"/>
    <w:uiPriority w:val="99"/>
    <w:semiHidden/>
    <w:unhideWhenUsed/>
    <w:rsid w:val="007968EC"/>
  </w:style>
  <w:style w:type="numbering" w:customStyle="1" w:styleId="Sinlista112143">
    <w:name w:val="Sin lista112143"/>
    <w:next w:val="Sinlista"/>
    <w:uiPriority w:val="99"/>
    <w:semiHidden/>
    <w:unhideWhenUsed/>
    <w:rsid w:val="007968EC"/>
  </w:style>
  <w:style w:type="numbering" w:customStyle="1" w:styleId="Sinlista21143">
    <w:name w:val="Sin lista21143"/>
    <w:next w:val="Sinlista"/>
    <w:uiPriority w:val="99"/>
    <w:semiHidden/>
    <w:unhideWhenUsed/>
    <w:rsid w:val="007968EC"/>
  </w:style>
  <w:style w:type="numbering" w:customStyle="1" w:styleId="Sinlista1111111133">
    <w:name w:val="Sin lista1111111133"/>
    <w:next w:val="Sinlista"/>
    <w:uiPriority w:val="99"/>
    <w:semiHidden/>
    <w:unhideWhenUsed/>
    <w:rsid w:val="007968EC"/>
  </w:style>
  <w:style w:type="numbering" w:customStyle="1" w:styleId="Sinlista443">
    <w:name w:val="Sin lista443"/>
    <w:next w:val="Sinlista"/>
    <w:uiPriority w:val="99"/>
    <w:semiHidden/>
    <w:unhideWhenUsed/>
    <w:rsid w:val="007968EC"/>
  </w:style>
  <w:style w:type="numbering" w:customStyle="1" w:styleId="Sinlista1343">
    <w:name w:val="Sin lista1343"/>
    <w:next w:val="Sinlista"/>
    <w:uiPriority w:val="99"/>
    <w:semiHidden/>
    <w:unhideWhenUsed/>
    <w:rsid w:val="007968EC"/>
  </w:style>
  <w:style w:type="numbering" w:customStyle="1" w:styleId="Sinlista2243">
    <w:name w:val="Sin lista2243"/>
    <w:next w:val="Sinlista"/>
    <w:uiPriority w:val="99"/>
    <w:semiHidden/>
    <w:unhideWhenUsed/>
    <w:rsid w:val="007968EC"/>
  </w:style>
  <w:style w:type="numbering" w:customStyle="1" w:styleId="Sinlista11343">
    <w:name w:val="Sin lista11343"/>
    <w:next w:val="Sinlista"/>
    <w:uiPriority w:val="99"/>
    <w:semiHidden/>
    <w:unhideWhenUsed/>
    <w:rsid w:val="007968EC"/>
  </w:style>
  <w:style w:type="numbering" w:customStyle="1" w:styleId="Sinlista111243">
    <w:name w:val="Sin lista111243"/>
    <w:next w:val="Sinlista"/>
    <w:uiPriority w:val="99"/>
    <w:semiHidden/>
    <w:unhideWhenUsed/>
    <w:rsid w:val="007968EC"/>
  </w:style>
  <w:style w:type="numbering" w:customStyle="1" w:styleId="Sinlista3243">
    <w:name w:val="Sin lista3243"/>
    <w:next w:val="Sinlista"/>
    <w:uiPriority w:val="99"/>
    <w:semiHidden/>
    <w:unhideWhenUsed/>
    <w:rsid w:val="007968EC"/>
  </w:style>
  <w:style w:type="numbering" w:customStyle="1" w:styleId="Sinlista12243">
    <w:name w:val="Sin lista12243"/>
    <w:next w:val="Sinlista"/>
    <w:uiPriority w:val="99"/>
    <w:semiHidden/>
    <w:unhideWhenUsed/>
    <w:rsid w:val="007968EC"/>
  </w:style>
  <w:style w:type="numbering" w:customStyle="1" w:styleId="Sinlista112243">
    <w:name w:val="Sin lista112243"/>
    <w:next w:val="Sinlista"/>
    <w:uiPriority w:val="99"/>
    <w:semiHidden/>
    <w:unhideWhenUsed/>
    <w:rsid w:val="007968EC"/>
  </w:style>
  <w:style w:type="numbering" w:customStyle="1" w:styleId="Sinlista21243">
    <w:name w:val="Sin lista21243"/>
    <w:next w:val="Sinlista"/>
    <w:uiPriority w:val="99"/>
    <w:semiHidden/>
    <w:unhideWhenUsed/>
    <w:rsid w:val="007968EC"/>
  </w:style>
  <w:style w:type="numbering" w:customStyle="1" w:styleId="Sinlista1111243">
    <w:name w:val="Sin lista1111243"/>
    <w:next w:val="Sinlista"/>
    <w:uiPriority w:val="99"/>
    <w:semiHidden/>
    <w:unhideWhenUsed/>
    <w:rsid w:val="007968EC"/>
  </w:style>
  <w:style w:type="numbering" w:customStyle="1" w:styleId="Sinlista31143">
    <w:name w:val="Sin lista31143"/>
    <w:next w:val="Sinlista"/>
    <w:uiPriority w:val="99"/>
    <w:semiHidden/>
    <w:unhideWhenUsed/>
    <w:rsid w:val="007968EC"/>
  </w:style>
  <w:style w:type="numbering" w:customStyle="1" w:styleId="Sinlista121143">
    <w:name w:val="Sin lista121143"/>
    <w:next w:val="Sinlista"/>
    <w:uiPriority w:val="99"/>
    <w:semiHidden/>
    <w:unhideWhenUsed/>
    <w:rsid w:val="007968EC"/>
  </w:style>
  <w:style w:type="numbering" w:customStyle="1" w:styleId="Sinlista1121143">
    <w:name w:val="Sin lista1121143"/>
    <w:next w:val="Sinlista"/>
    <w:uiPriority w:val="99"/>
    <w:semiHidden/>
    <w:unhideWhenUsed/>
    <w:rsid w:val="007968EC"/>
  </w:style>
  <w:style w:type="numbering" w:customStyle="1" w:styleId="Sinlista211143">
    <w:name w:val="Sin lista211143"/>
    <w:next w:val="Sinlista"/>
    <w:uiPriority w:val="99"/>
    <w:semiHidden/>
    <w:unhideWhenUsed/>
    <w:rsid w:val="007968EC"/>
  </w:style>
  <w:style w:type="numbering" w:customStyle="1" w:styleId="Sinlista11111111133">
    <w:name w:val="Sin lista11111111133"/>
    <w:next w:val="Sinlista"/>
    <w:uiPriority w:val="99"/>
    <w:semiHidden/>
    <w:unhideWhenUsed/>
    <w:rsid w:val="007968EC"/>
  </w:style>
  <w:style w:type="numbering" w:customStyle="1" w:styleId="Sinlista4133">
    <w:name w:val="Sin lista4133"/>
    <w:next w:val="Sinlista"/>
    <w:uiPriority w:val="99"/>
    <w:semiHidden/>
    <w:unhideWhenUsed/>
    <w:rsid w:val="007968EC"/>
  </w:style>
  <w:style w:type="numbering" w:customStyle="1" w:styleId="Sinlista13133">
    <w:name w:val="Sin lista13133"/>
    <w:next w:val="Sinlista"/>
    <w:uiPriority w:val="99"/>
    <w:semiHidden/>
    <w:unhideWhenUsed/>
    <w:rsid w:val="007968EC"/>
  </w:style>
  <w:style w:type="numbering" w:customStyle="1" w:styleId="Sinlista113133">
    <w:name w:val="Sin lista113133"/>
    <w:next w:val="Sinlista"/>
    <w:uiPriority w:val="99"/>
    <w:semiHidden/>
    <w:unhideWhenUsed/>
    <w:rsid w:val="007968EC"/>
  </w:style>
  <w:style w:type="numbering" w:customStyle="1" w:styleId="Sinlista22133">
    <w:name w:val="Sin lista22133"/>
    <w:next w:val="Sinlista"/>
    <w:uiPriority w:val="99"/>
    <w:semiHidden/>
    <w:unhideWhenUsed/>
    <w:rsid w:val="007968EC"/>
  </w:style>
  <w:style w:type="numbering" w:customStyle="1" w:styleId="Sinlista1112133">
    <w:name w:val="Sin lista1112133"/>
    <w:next w:val="Sinlista"/>
    <w:uiPriority w:val="99"/>
    <w:semiHidden/>
    <w:unhideWhenUsed/>
    <w:rsid w:val="007968EC"/>
  </w:style>
  <w:style w:type="numbering" w:customStyle="1" w:styleId="Sinlista32133">
    <w:name w:val="Sin lista32133"/>
    <w:next w:val="Sinlista"/>
    <w:uiPriority w:val="99"/>
    <w:semiHidden/>
    <w:unhideWhenUsed/>
    <w:rsid w:val="007968EC"/>
  </w:style>
  <w:style w:type="numbering" w:customStyle="1" w:styleId="Sinlista122133">
    <w:name w:val="Sin lista122133"/>
    <w:next w:val="Sinlista"/>
    <w:uiPriority w:val="99"/>
    <w:semiHidden/>
    <w:unhideWhenUsed/>
    <w:rsid w:val="007968EC"/>
  </w:style>
  <w:style w:type="numbering" w:customStyle="1" w:styleId="Sinlista1122133">
    <w:name w:val="Sin lista1122133"/>
    <w:next w:val="Sinlista"/>
    <w:uiPriority w:val="99"/>
    <w:semiHidden/>
    <w:unhideWhenUsed/>
    <w:rsid w:val="007968EC"/>
  </w:style>
  <w:style w:type="numbering" w:customStyle="1" w:styleId="Sinlista212133">
    <w:name w:val="Sin lista212133"/>
    <w:next w:val="Sinlista"/>
    <w:uiPriority w:val="99"/>
    <w:semiHidden/>
    <w:unhideWhenUsed/>
    <w:rsid w:val="007968EC"/>
  </w:style>
  <w:style w:type="numbering" w:customStyle="1" w:styleId="Sinlista11112133">
    <w:name w:val="Sin lista11112133"/>
    <w:next w:val="Sinlista"/>
    <w:uiPriority w:val="99"/>
    <w:semiHidden/>
    <w:unhideWhenUsed/>
    <w:rsid w:val="007968EC"/>
  </w:style>
  <w:style w:type="numbering" w:customStyle="1" w:styleId="Sinlista311133">
    <w:name w:val="Sin lista311133"/>
    <w:next w:val="Sinlista"/>
    <w:uiPriority w:val="99"/>
    <w:semiHidden/>
    <w:unhideWhenUsed/>
    <w:rsid w:val="007968EC"/>
  </w:style>
  <w:style w:type="numbering" w:customStyle="1" w:styleId="Sinlista1211133">
    <w:name w:val="Sin lista1211133"/>
    <w:next w:val="Sinlista"/>
    <w:uiPriority w:val="99"/>
    <w:semiHidden/>
    <w:unhideWhenUsed/>
    <w:rsid w:val="007968EC"/>
  </w:style>
  <w:style w:type="numbering" w:customStyle="1" w:styleId="Sinlista11211133">
    <w:name w:val="Sin lista11211133"/>
    <w:next w:val="Sinlista"/>
    <w:uiPriority w:val="99"/>
    <w:semiHidden/>
    <w:unhideWhenUsed/>
    <w:rsid w:val="007968EC"/>
  </w:style>
  <w:style w:type="numbering" w:customStyle="1" w:styleId="Sinlista2111133">
    <w:name w:val="Sin lista2111133"/>
    <w:next w:val="Sinlista"/>
    <w:uiPriority w:val="99"/>
    <w:semiHidden/>
    <w:unhideWhenUsed/>
    <w:rsid w:val="007968EC"/>
  </w:style>
  <w:style w:type="numbering" w:customStyle="1" w:styleId="Sinlista111111111123">
    <w:name w:val="Sin lista111111111123"/>
    <w:next w:val="Sinlista"/>
    <w:uiPriority w:val="99"/>
    <w:semiHidden/>
    <w:unhideWhenUsed/>
    <w:rsid w:val="007968EC"/>
  </w:style>
  <w:style w:type="numbering" w:customStyle="1" w:styleId="Sinlista523">
    <w:name w:val="Sin lista523"/>
    <w:next w:val="Sinlista"/>
    <w:uiPriority w:val="99"/>
    <w:semiHidden/>
    <w:unhideWhenUsed/>
    <w:rsid w:val="007968EC"/>
  </w:style>
  <w:style w:type="numbering" w:customStyle="1" w:styleId="Sinlista1423">
    <w:name w:val="Sin lista1423"/>
    <w:next w:val="Sinlista"/>
    <w:uiPriority w:val="99"/>
    <w:semiHidden/>
    <w:unhideWhenUsed/>
    <w:rsid w:val="007968EC"/>
  </w:style>
  <w:style w:type="numbering" w:customStyle="1" w:styleId="Sinlista11423">
    <w:name w:val="Sin lista11423"/>
    <w:next w:val="Sinlista"/>
    <w:uiPriority w:val="99"/>
    <w:semiHidden/>
    <w:unhideWhenUsed/>
    <w:rsid w:val="007968EC"/>
  </w:style>
  <w:style w:type="numbering" w:customStyle="1" w:styleId="Sinlista111323">
    <w:name w:val="Sin lista111323"/>
    <w:next w:val="Sinlista"/>
    <w:uiPriority w:val="99"/>
    <w:semiHidden/>
    <w:unhideWhenUsed/>
    <w:rsid w:val="007968EC"/>
  </w:style>
  <w:style w:type="numbering" w:customStyle="1" w:styleId="Sinlista2323">
    <w:name w:val="Sin lista2323"/>
    <w:next w:val="Sinlista"/>
    <w:uiPriority w:val="99"/>
    <w:semiHidden/>
    <w:unhideWhenUsed/>
    <w:rsid w:val="007968EC"/>
  </w:style>
  <w:style w:type="numbering" w:customStyle="1" w:styleId="Sinlista1111323">
    <w:name w:val="Sin lista1111323"/>
    <w:next w:val="Sinlista"/>
    <w:uiPriority w:val="99"/>
    <w:semiHidden/>
    <w:unhideWhenUsed/>
    <w:rsid w:val="007968EC"/>
  </w:style>
  <w:style w:type="numbering" w:customStyle="1" w:styleId="Sinlista3323">
    <w:name w:val="Sin lista3323"/>
    <w:next w:val="Sinlista"/>
    <w:uiPriority w:val="99"/>
    <w:semiHidden/>
    <w:unhideWhenUsed/>
    <w:rsid w:val="007968EC"/>
  </w:style>
  <w:style w:type="numbering" w:customStyle="1" w:styleId="Sinlista12323">
    <w:name w:val="Sin lista12323"/>
    <w:next w:val="Sinlista"/>
    <w:uiPriority w:val="99"/>
    <w:semiHidden/>
    <w:unhideWhenUsed/>
    <w:rsid w:val="007968EC"/>
  </w:style>
  <w:style w:type="numbering" w:customStyle="1" w:styleId="Sinlista112323">
    <w:name w:val="Sin lista112323"/>
    <w:next w:val="Sinlista"/>
    <w:uiPriority w:val="99"/>
    <w:semiHidden/>
    <w:unhideWhenUsed/>
    <w:rsid w:val="007968EC"/>
  </w:style>
  <w:style w:type="numbering" w:customStyle="1" w:styleId="Sinlista21323">
    <w:name w:val="Sin lista21323"/>
    <w:next w:val="Sinlista"/>
    <w:uiPriority w:val="99"/>
    <w:semiHidden/>
    <w:unhideWhenUsed/>
    <w:rsid w:val="007968EC"/>
  </w:style>
  <w:style w:type="numbering" w:customStyle="1" w:styleId="Sinlista11111223">
    <w:name w:val="Sin lista11111223"/>
    <w:next w:val="Sinlista"/>
    <w:uiPriority w:val="99"/>
    <w:semiHidden/>
    <w:unhideWhenUsed/>
    <w:rsid w:val="007968EC"/>
  </w:style>
  <w:style w:type="numbering" w:customStyle="1" w:styleId="Sinlista31223">
    <w:name w:val="Sin lista31223"/>
    <w:next w:val="Sinlista"/>
    <w:uiPriority w:val="99"/>
    <w:semiHidden/>
    <w:unhideWhenUsed/>
    <w:rsid w:val="007968EC"/>
  </w:style>
  <w:style w:type="numbering" w:customStyle="1" w:styleId="Sinlista121223">
    <w:name w:val="Sin lista121223"/>
    <w:next w:val="Sinlista"/>
    <w:uiPriority w:val="99"/>
    <w:semiHidden/>
    <w:unhideWhenUsed/>
    <w:rsid w:val="007968EC"/>
  </w:style>
  <w:style w:type="numbering" w:customStyle="1" w:styleId="Sinlista1121223">
    <w:name w:val="Sin lista1121223"/>
    <w:next w:val="Sinlista"/>
    <w:uiPriority w:val="99"/>
    <w:semiHidden/>
    <w:unhideWhenUsed/>
    <w:rsid w:val="007968EC"/>
  </w:style>
  <w:style w:type="numbering" w:customStyle="1" w:styleId="Sinlista211223">
    <w:name w:val="Sin lista211223"/>
    <w:next w:val="Sinlista"/>
    <w:uiPriority w:val="99"/>
    <w:semiHidden/>
    <w:unhideWhenUsed/>
    <w:rsid w:val="007968EC"/>
  </w:style>
  <w:style w:type="numbering" w:customStyle="1" w:styleId="Sinlista111111223">
    <w:name w:val="Sin lista111111223"/>
    <w:next w:val="Sinlista"/>
    <w:uiPriority w:val="99"/>
    <w:semiHidden/>
    <w:unhideWhenUsed/>
    <w:rsid w:val="007968EC"/>
  </w:style>
  <w:style w:type="numbering" w:customStyle="1" w:styleId="Sinlista4223">
    <w:name w:val="Sin lista4223"/>
    <w:next w:val="Sinlista"/>
    <w:uiPriority w:val="99"/>
    <w:semiHidden/>
    <w:unhideWhenUsed/>
    <w:rsid w:val="007968EC"/>
  </w:style>
  <w:style w:type="numbering" w:customStyle="1" w:styleId="Sinlista13223">
    <w:name w:val="Sin lista13223"/>
    <w:next w:val="Sinlista"/>
    <w:uiPriority w:val="99"/>
    <w:semiHidden/>
    <w:unhideWhenUsed/>
    <w:rsid w:val="007968EC"/>
  </w:style>
  <w:style w:type="numbering" w:customStyle="1" w:styleId="Sinlista22223">
    <w:name w:val="Sin lista22223"/>
    <w:next w:val="Sinlista"/>
    <w:uiPriority w:val="99"/>
    <w:semiHidden/>
    <w:unhideWhenUsed/>
    <w:rsid w:val="007968EC"/>
  </w:style>
  <w:style w:type="numbering" w:customStyle="1" w:styleId="Sinlista113223">
    <w:name w:val="Sin lista113223"/>
    <w:next w:val="Sinlista"/>
    <w:uiPriority w:val="99"/>
    <w:semiHidden/>
    <w:unhideWhenUsed/>
    <w:rsid w:val="007968EC"/>
  </w:style>
  <w:style w:type="numbering" w:customStyle="1" w:styleId="Sinlista1112223">
    <w:name w:val="Sin lista1112223"/>
    <w:next w:val="Sinlista"/>
    <w:uiPriority w:val="99"/>
    <w:semiHidden/>
    <w:unhideWhenUsed/>
    <w:rsid w:val="007968EC"/>
  </w:style>
  <w:style w:type="numbering" w:customStyle="1" w:styleId="Sinlista32223">
    <w:name w:val="Sin lista32223"/>
    <w:next w:val="Sinlista"/>
    <w:uiPriority w:val="99"/>
    <w:semiHidden/>
    <w:unhideWhenUsed/>
    <w:rsid w:val="007968EC"/>
  </w:style>
  <w:style w:type="numbering" w:customStyle="1" w:styleId="Sinlista122223">
    <w:name w:val="Sin lista122223"/>
    <w:next w:val="Sinlista"/>
    <w:uiPriority w:val="99"/>
    <w:semiHidden/>
    <w:unhideWhenUsed/>
    <w:rsid w:val="007968EC"/>
  </w:style>
  <w:style w:type="numbering" w:customStyle="1" w:styleId="Sinlista1122223">
    <w:name w:val="Sin lista1122223"/>
    <w:next w:val="Sinlista"/>
    <w:uiPriority w:val="99"/>
    <w:semiHidden/>
    <w:unhideWhenUsed/>
    <w:rsid w:val="007968EC"/>
  </w:style>
  <w:style w:type="numbering" w:customStyle="1" w:styleId="Sinlista212223">
    <w:name w:val="Sin lista212223"/>
    <w:next w:val="Sinlista"/>
    <w:uiPriority w:val="99"/>
    <w:semiHidden/>
    <w:unhideWhenUsed/>
    <w:rsid w:val="007968EC"/>
  </w:style>
  <w:style w:type="numbering" w:customStyle="1" w:styleId="Sinlista11112223">
    <w:name w:val="Sin lista11112223"/>
    <w:next w:val="Sinlista"/>
    <w:uiPriority w:val="99"/>
    <w:semiHidden/>
    <w:unhideWhenUsed/>
    <w:rsid w:val="007968EC"/>
  </w:style>
  <w:style w:type="numbering" w:customStyle="1" w:styleId="Sinlista311223">
    <w:name w:val="Sin lista311223"/>
    <w:next w:val="Sinlista"/>
    <w:uiPriority w:val="99"/>
    <w:semiHidden/>
    <w:unhideWhenUsed/>
    <w:rsid w:val="007968EC"/>
  </w:style>
  <w:style w:type="numbering" w:customStyle="1" w:styleId="Sinlista1211223">
    <w:name w:val="Sin lista1211223"/>
    <w:next w:val="Sinlista"/>
    <w:uiPriority w:val="99"/>
    <w:semiHidden/>
    <w:unhideWhenUsed/>
    <w:rsid w:val="007968EC"/>
  </w:style>
  <w:style w:type="numbering" w:customStyle="1" w:styleId="Sinlista11211223">
    <w:name w:val="Sin lista11211223"/>
    <w:next w:val="Sinlista"/>
    <w:uiPriority w:val="99"/>
    <w:semiHidden/>
    <w:unhideWhenUsed/>
    <w:rsid w:val="007968EC"/>
  </w:style>
  <w:style w:type="numbering" w:customStyle="1" w:styleId="Sinlista2111223">
    <w:name w:val="Sin lista2111223"/>
    <w:next w:val="Sinlista"/>
    <w:uiPriority w:val="99"/>
    <w:semiHidden/>
    <w:unhideWhenUsed/>
    <w:rsid w:val="007968EC"/>
  </w:style>
  <w:style w:type="numbering" w:customStyle="1" w:styleId="Sinlista1111111223">
    <w:name w:val="Sin lista1111111223"/>
    <w:next w:val="Sinlista"/>
    <w:uiPriority w:val="99"/>
    <w:semiHidden/>
    <w:unhideWhenUsed/>
    <w:rsid w:val="007968EC"/>
  </w:style>
  <w:style w:type="numbering" w:customStyle="1" w:styleId="Sinlista41123">
    <w:name w:val="Sin lista41123"/>
    <w:next w:val="Sinlista"/>
    <w:uiPriority w:val="99"/>
    <w:semiHidden/>
    <w:unhideWhenUsed/>
    <w:rsid w:val="007968EC"/>
  </w:style>
  <w:style w:type="numbering" w:customStyle="1" w:styleId="Sinlista131123">
    <w:name w:val="Sin lista131123"/>
    <w:next w:val="Sinlista"/>
    <w:uiPriority w:val="99"/>
    <w:semiHidden/>
    <w:unhideWhenUsed/>
    <w:rsid w:val="007968EC"/>
  </w:style>
  <w:style w:type="numbering" w:customStyle="1" w:styleId="Sinlista1131123">
    <w:name w:val="Sin lista1131123"/>
    <w:next w:val="Sinlista"/>
    <w:uiPriority w:val="99"/>
    <w:semiHidden/>
    <w:unhideWhenUsed/>
    <w:rsid w:val="007968EC"/>
  </w:style>
  <w:style w:type="numbering" w:customStyle="1" w:styleId="Sinlista221123">
    <w:name w:val="Sin lista221123"/>
    <w:next w:val="Sinlista"/>
    <w:uiPriority w:val="99"/>
    <w:semiHidden/>
    <w:unhideWhenUsed/>
    <w:rsid w:val="007968EC"/>
  </w:style>
  <w:style w:type="numbering" w:customStyle="1" w:styleId="Sinlista11121123">
    <w:name w:val="Sin lista11121123"/>
    <w:next w:val="Sinlista"/>
    <w:uiPriority w:val="99"/>
    <w:semiHidden/>
    <w:unhideWhenUsed/>
    <w:rsid w:val="007968EC"/>
  </w:style>
  <w:style w:type="numbering" w:customStyle="1" w:styleId="Sinlista321123">
    <w:name w:val="Sin lista321123"/>
    <w:next w:val="Sinlista"/>
    <w:uiPriority w:val="99"/>
    <w:semiHidden/>
    <w:unhideWhenUsed/>
    <w:rsid w:val="007968EC"/>
  </w:style>
  <w:style w:type="numbering" w:customStyle="1" w:styleId="Sinlista1221123">
    <w:name w:val="Sin lista1221123"/>
    <w:next w:val="Sinlista"/>
    <w:uiPriority w:val="99"/>
    <w:semiHidden/>
    <w:unhideWhenUsed/>
    <w:rsid w:val="007968EC"/>
  </w:style>
  <w:style w:type="numbering" w:customStyle="1" w:styleId="Sinlista11221123">
    <w:name w:val="Sin lista11221123"/>
    <w:next w:val="Sinlista"/>
    <w:uiPriority w:val="99"/>
    <w:semiHidden/>
    <w:unhideWhenUsed/>
    <w:rsid w:val="007968EC"/>
  </w:style>
  <w:style w:type="numbering" w:customStyle="1" w:styleId="Sinlista2121123">
    <w:name w:val="Sin lista2121123"/>
    <w:next w:val="Sinlista"/>
    <w:uiPriority w:val="99"/>
    <w:semiHidden/>
    <w:unhideWhenUsed/>
    <w:rsid w:val="007968EC"/>
  </w:style>
  <w:style w:type="numbering" w:customStyle="1" w:styleId="Sinlista111121123">
    <w:name w:val="Sin lista111121123"/>
    <w:next w:val="Sinlista"/>
    <w:uiPriority w:val="99"/>
    <w:semiHidden/>
    <w:unhideWhenUsed/>
    <w:rsid w:val="007968EC"/>
  </w:style>
  <w:style w:type="numbering" w:customStyle="1" w:styleId="Sinlista3111123">
    <w:name w:val="Sin lista3111123"/>
    <w:next w:val="Sinlista"/>
    <w:uiPriority w:val="99"/>
    <w:semiHidden/>
    <w:unhideWhenUsed/>
    <w:rsid w:val="007968EC"/>
  </w:style>
  <w:style w:type="numbering" w:customStyle="1" w:styleId="Sinlista12111123">
    <w:name w:val="Sin lista12111123"/>
    <w:next w:val="Sinlista"/>
    <w:uiPriority w:val="99"/>
    <w:semiHidden/>
    <w:unhideWhenUsed/>
    <w:rsid w:val="007968EC"/>
  </w:style>
  <w:style w:type="numbering" w:customStyle="1" w:styleId="Sinlista112111123">
    <w:name w:val="Sin lista112111123"/>
    <w:next w:val="Sinlista"/>
    <w:uiPriority w:val="99"/>
    <w:semiHidden/>
    <w:unhideWhenUsed/>
    <w:rsid w:val="007968EC"/>
  </w:style>
  <w:style w:type="numbering" w:customStyle="1" w:styleId="Sinlista21111123">
    <w:name w:val="Sin lista21111123"/>
    <w:next w:val="Sinlista"/>
    <w:uiPriority w:val="99"/>
    <w:semiHidden/>
    <w:unhideWhenUsed/>
    <w:rsid w:val="007968EC"/>
  </w:style>
  <w:style w:type="numbering" w:customStyle="1" w:styleId="Sinlista1111111111123">
    <w:name w:val="Sin lista1111111111123"/>
    <w:next w:val="Sinlista"/>
    <w:uiPriority w:val="99"/>
    <w:semiHidden/>
    <w:unhideWhenUsed/>
    <w:rsid w:val="007968EC"/>
  </w:style>
  <w:style w:type="numbering" w:customStyle="1" w:styleId="Sinlista613">
    <w:name w:val="Sin lista613"/>
    <w:next w:val="Sinlista"/>
    <w:uiPriority w:val="99"/>
    <w:semiHidden/>
    <w:unhideWhenUsed/>
    <w:rsid w:val="007968EC"/>
  </w:style>
  <w:style w:type="numbering" w:customStyle="1" w:styleId="Sinlista1513">
    <w:name w:val="Sin lista1513"/>
    <w:next w:val="Sinlista"/>
    <w:uiPriority w:val="99"/>
    <w:semiHidden/>
    <w:unhideWhenUsed/>
    <w:rsid w:val="007968EC"/>
  </w:style>
  <w:style w:type="numbering" w:customStyle="1" w:styleId="Sinlista11513">
    <w:name w:val="Sin lista11513"/>
    <w:next w:val="Sinlista"/>
    <w:uiPriority w:val="99"/>
    <w:semiHidden/>
    <w:unhideWhenUsed/>
    <w:rsid w:val="007968EC"/>
  </w:style>
  <w:style w:type="numbering" w:customStyle="1" w:styleId="Sinlista111413">
    <w:name w:val="Sin lista111413"/>
    <w:next w:val="Sinlista"/>
    <w:uiPriority w:val="99"/>
    <w:semiHidden/>
    <w:unhideWhenUsed/>
    <w:rsid w:val="007968EC"/>
  </w:style>
  <w:style w:type="numbering" w:customStyle="1" w:styleId="Sinlista1111413">
    <w:name w:val="Sin lista1111413"/>
    <w:next w:val="Sinlista"/>
    <w:uiPriority w:val="99"/>
    <w:semiHidden/>
    <w:unhideWhenUsed/>
    <w:rsid w:val="007968EC"/>
  </w:style>
  <w:style w:type="numbering" w:customStyle="1" w:styleId="Sinlista11111313">
    <w:name w:val="Sin lista11111313"/>
    <w:next w:val="Sinlista"/>
    <w:uiPriority w:val="99"/>
    <w:semiHidden/>
    <w:unhideWhenUsed/>
    <w:rsid w:val="007968EC"/>
  </w:style>
  <w:style w:type="numbering" w:customStyle="1" w:styleId="Sinlista2413">
    <w:name w:val="Sin lista2413"/>
    <w:next w:val="Sinlista"/>
    <w:uiPriority w:val="99"/>
    <w:semiHidden/>
    <w:unhideWhenUsed/>
    <w:rsid w:val="007968EC"/>
  </w:style>
  <w:style w:type="numbering" w:customStyle="1" w:styleId="Sinlista111111313">
    <w:name w:val="Sin lista111111313"/>
    <w:next w:val="Sinlista"/>
    <w:uiPriority w:val="99"/>
    <w:semiHidden/>
    <w:unhideWhenUsed/>
    <w:rsid w:val="007968EC"/>
  </w:style>
  <w:style w:type="numbering" w:customStyle="1" w:styleId="Sinlista3413">
    <w:name w:val="Sin lista3413"/>
    <w:next w:val="Sinlista"/>
    <w:uiPriority w:val="99"/>
    <w:semiHidden/>
    <w:unhideWhenUsed/>
    <w:rsid w:val="007968EC"/>
  </w:style>
  <w:style w:type="numbering" w:customStyle="1" w:styleId="Sinlista12413">
    <w:name w:val="Sin lista12413"/>
    <w:next w:val="Sinlista"/>
    <w:uiPriority w:val="99"/>
    <w:semiHidden/>
    <w:unhideWhenUsed/>
    <w:rsid w:val="007968EC"/>
  </w:style>
  <w:style w:type="numbering" w:customStyle="1" w:styleId="Sinlista112413">
    <w:name w:val="Sin lista112413"/>
    <w:next w:val="Sinlista"/>
    <w:uiPriority w:val="99"/>
    <w:semiHidden/>
    <w:unhideWhenUsed/>
    <w:rsid w:val="007968EC"/>
  </w:style>
  <w:style w:type="numbering" w:customStyle="1" w:styleId="Sinlista21413">
    <w:name w:val="Sin lista21413"/>
    <w:next w:val="Sinlista"/>
    <w:uiPriority w:val="99"/>
    <w:semiHidden/>
    <w:unhideWhenUsed/>
    <w:rsid w:val="007968EC"/>
  </w:style>
  <w:style w:type="numbering" w:customStyle="1" w:styleId="Sinlista1111111313">
    <w:name w:val="Sin lista1111111313"/>
    <w:next w:val="Sinlista"/>
    <w:uiPriority w:val="99"/>
    <w:semiHidden/>
    <w:unhideWhenUsed/>
    <w:rsid w:val="007968EC"/>
  </w:style>
  <w:style w:type="numbering" w:customStyle="1" w:styleId="Sinlista31313">
    <w:name w:val="Sin lista31313"/>
    <w:next w:val="Sinlista"/>
    <w:uiPriority w:val="99"/>
    <w:semiHidden/>
    <w:unhideWhenUsed/>
    <w:rsid w:val="007968EC"/>
  </w:style>
  <w:style w:type="numbering" w:customStyle="1" w:styleId="Sinlista121313">
    <w:name w:val="Sin lista121313"/>
    <w:next w:val="Sinlista"/>
    <w:uiPriority w:val="99"/>
    <w:semiHidden/>
    <w:unhideWhenUsed/>
    <w:rsid w:val="007968EC"/>
  </w:style>
  <w:style w:type="numbering" w:customStyle="1" w:styleId="Sinlista1121313">
    <w:name w:val="Sin lista1121313"/>
    <w:next w:val="Sinlista"/>
    <w:uiPriority w:val="99"/>
    <w:semiHidden/>
    <w:unhideWhenUsed/>
    <w:rsid w:val="007968EC"/>
  </w:style>
  <w:style w:type="numbering" w:customStyle="1" w:styleId="Sinlista211313">
    <w:name w:val="Sin lista211313"/>
    <w:next w:val="Sinlista"/>
    <w:uiPriority w:val="99"/>
    <w:semiHidden/>
    <w:unhideWhenUsed/>
    <w:rsid w:val="007968EC"/>
  </w:style>
  <w:style w:type="numbering" w:customStyle="1" w:styleId="Sinlista11111111213">
    <w:name w:val="Sin lista11111111213"/>
    <w:next w:val="Sinlista"/>
    <w:uiPriority w:val="99"/>
    <w:semiHidden/>
    <w:unhideWhenUsed/>
    <w:rsid w:val="007968EC"/>
  </w:style>
  <w:style w:type="numbering" w:customStyle="1" w:styleId="Sinlista4313">
    <w:name w:val="Sin lista4313"/>
    <w:next w:val="Sinlista"/>
    <w:uiPriority w:val="99"/>
    <w:semiHidden/>
    <w:unhideWhenUsed/>
    <w:rsid w:val="007968EC"/>
  </w:style>
  <w:style w:type="numbering" w:customStyle="1" w:styleId="Sinlista13313">
    <w:name w:val="Sin lista13313"/>
    <w:next w:val="Sinlista"/>
    <w:uiPriority w:val="99"/>
    <w:semiHidden/>
    <w:unhideWhenUsed/>
    <w:rsid w:val="007968EC"/>
  </w:style>
  <w:style w:type="numbering" w:customStyle="1" w:styleId="Sinlista22313">
    <w:name w:val="Sin lista22313"/>
    <w:next w:val="Sinlista"/>
    <w:uiPriority w:val="99"/>
    <w:semiHidden/>
    <w:unhideWhenUsed/>
    <w:rsid w:val="007968EC"/>
  </w:style>
  <w:style w:type="numbering" w:customStyle="1" w:styleId="Sinlista113313">
    <w:name w:val="Sin lista113313"/>
    <w:next w:val="Sinlista"/>
    <w:uiPriority w:val="99"/>
    <w:semiHidden/>
    <w:unhideWhenUsed/>
    <w:rsid w:val="007968EC"/>
  </w:style>
  <w:style w:type="numbering" w:customStyle="1" w:styleId="Sinlista1112313">
    <w:name w:val="Sin lista1112313"/>
    <w:next w:val="Sinlista"/>
    <w:uiPriority w:val="99"/>
    <w:semiHidden/>
    <w:unhideWhenUsed/>
    <w:rsid w:val="007968EC"/>
  </w:style>
  <w:style w:type="numbering" w:customStyle="1" w:styleId="Sinlista32313">
    <w:name w:val="Sin lista32313"/>
    <w:next w:val="Sinlista"/>
    <w:uiPriority w:val="99"/>
    <w:semiHidden/>
    <w:unhideWhenUsed/>
    <w:rsid w:val="007968EC"/>
  </w:style>
  <w:style w:type="numbering" w:customStyle="1" w:styleId="Sinlista122313">
    <w:name w:val="Sin lista122313"/>
    <w:next w:val="Sinlista"/>
    <w:uiPriority w:val="99"/>
    <w:semiHidden/>
    <w:unhideWhenUsed/>
    <w:rsid w:val="007968EC"/>
  </w:style>
  <w:style w:type="numbering" w:customStyle="1" w:styleId="Sinlista1122313">
    <w:name w:val="Sin lista1122313"/>
    <w:next w:val="Sinlista"/>
    <w:uiPriority w:val="99"/>
    <w:semiHidden/>
    <w:unhideWhenUsed/>
    <w:rsid w:val="007968EC"/>
  </w:style>
  <w:style w:type="numbering" w:customStyle="1" w:styleId="Sinlista212313">
    <w:name w:val="Sin lista212313"/>
    <w:next w:val="Sinlista"/>
    <w:uiPriority w:val="99"/>
    <w:semiHidden/>
    <w:unhideWhenUsed/>
    <w:rsid w:val="007968EC"/>
  </w:style>
  <w:style w:type="numbering" w:customStyle="1" w:styleId="Sinlista11112313">
    <w:name w:val="Sin lista11112313"/>
    <w:next w:val="Sinlista"/>
    <w:uiPriority w:val="99"/>
    <w:semiHidden/>
    <w:unhideWhenUsed/>
    <w:rsid w:val="007968EC"/>
  </w:style>
  <w:style w:type="numbering" w:customStyle="1" w:styleId="Sinlista311313">
    <w:name w:val="Sin lista311313"/>
    <w:next w:val="Sinlista"/>
    <w:uiPriority w:val="99"/>
    <w:semiHidden/>
    <w:unhideWhenUsed/>
    <w:rsid w:val="007968EC"/>
  </w:style>
  <w:style w:type="numbering" w:customStyle="1" w:styleId="Sinlista1211313">
    <w:name w:val="Sin lista1211313"/>
    <w:next w:val="Sinlista"/>
    <w:uiPriority w:val="99"/>
    <w:semiHidden/>
    <w:unhideWhenUsed/>
    <w:rsid w:val="007968EC"/>
  </w:style>
  <w:style w:type="numbering" w:customStyle="1" w:styleId="Sinlista11211313">
    <w:name w:val="Sin lista11211313"/>
    <w:next w:val="Sinlista"/>
    <w:uiPriority w:val="99"/>
    <w:semiHidden/>
    <w:unhideWhenUsed/>
    <w:rsid w:val="007968EC"/>
  </w:style>
  <w:style w:type="numbering" w:customStyle="1" w:styleId="Sinlista2111313">
    <w:name w:val="Sin lista2111313"/>
    <w:next w:val="Sinlista"/>
    <w:uiPriority w:val="99"/>
    <w:semiHidden/>
    <w:unhideWhenUsed/>
    <w:rsid w:val="007968EC"/>
  </w:style>
  <w:style w:type="numbering" w:customStyle="1" w:styleId="Sinlista111111111213">
    <w:name w:val="Sin lista111111111213"/>
    <w:next w:val="Sinlista"/>
    <w:uiPriority w:val="99"/>
    <w:semiHidden/>
    <w:unhideWhenUsed/>
    <w:rsid w:val="007968EC"/>
  </w:style>
  <w:style w:type="numbering" w:customStyle="1" w:styleId="Sinlista41213">
    <w:name w:val="Sin lista41213"/>
    <w:next w:val="Sinlista"/>
    <w:uiPriority w:val="99"/>
    <w:semiHidden/>
    <w:unhideWhenUsed/>
    <w:rsid w:val="007968EC"/>
  </w:style>
  <w:style w:type="numbering" w:customStyle="1" w:styleId="Sinlista131213">
    <w:name w:val="Sin lista131213"/>
    <w:next w:val="Sinlista"/>
    <w:uiPriority w:val="99"/>
    <w:semiHidden/>
    <w:unhideWhenUsed/>
    <w:rsid w:val="007968EC"/>
  </w:style>
  <w:style w:type="numbering" w:customStyle="1" w:styleId="Sinlista1131213">
    <w:name w:val="Sin lista1131213"/>
    <w:next w:val="Sinlista"/>
    <w:uiPriority w:val="99"/>
    <w:semiHidden/>
    <w:unhideWhenUsed/>
    <w:rsid w:val="007968EC"/>
  </w:style>
  <w:style w:type="numbering" w:customStyle="1" w:styleId="Sinlista221213">
    <w:name w:val="Sin lista221213"/>
    <w:next w:val="Sinlista"/>
    <w:uiPriority w:val="99"/>
    <w:semiHidden/>
    <w:unhideWhenUsed/>
    <w:rsid w:val="007968EC"/>
  </w:style>
  <w:style w:type="numbering" w:customStyle="1" w:styleId="Sinlista11121213">
    <w:name w:val="Sin lista11121213"/>
    <w:next w:val="Sinlista"/>
    <w:uiPriority w:val="99"/>
    <w:semiHidden/>
    <w:unhideWhenUsed/>
    <w:rsid w:val="007968EC"/>
  </w:style>
  <w:style w:type="numbering" w:customStyle="1" w:styleId="Sinlista321213">
    <w:name w:val="Sin lista321213"/>
    <w:next w:val="Sinlista"/>
    <w:uiPriority w:val="99"/>
    <w:semiHidden/>
    <w:unhideWhenUsed/>
    <w:rsid w:val="007968EC"/>
  </w:style>
  <w:style w:type="numbering" w:customStyle="1" w:styleId="Sinlista1221213">
    <w:name w:val="Sin lista1221213"/>
    <w:next w:val="Sinlista"/>
    <w:uiPriority w:val="99"/>
    <w:semiHidden/>
    <w:unhideWhenUsed/>
    <w:rsid w:val="007968EC"/>
  </w:style>
  <w:style w:type="numbering" w:customStyle="1" w:styleId="Sinlista11221213">
    <w:name w:val="Sin lista11221213"/>
    <w:next w:val="Sinlista"/>
    <w:uiPriority w:val="99"/>
    <w:semiHidden/>
    <w:unhideWhenUsed/>
    <w:rsid w:val="007968EC"/>
  </w:style>
  <w:style w:type="numbering" w:customStyle="1" w:styleId="Sinlista2121213">
    <w:name w:val="Sin lista2121213"/>
    <w:next w:val="Sinlista"/>
    <w:uiPriority w:val="99"/>
    <w:semiHidden/>
    <w:unhideWhenUsed/>
    <w:rsid w:val="007968EC"/>
  </w:style>
  <w:style w:type="numbering" w:customStyle="1" w:styleId="Sinlista111121213">
    <w:name w:val="Sin lista111121213"/>
    <w:next w:val="Sinlista"/>
    <w:uiPriority w:val="99"/>
    <w:semiHidden/>
    <w:unhideWhenUsed/>
    <w:rsid w:val="007968EC"/>
  </w:style>
  <w:style w:type="numbering" w:customStyle="1" w:styleId="Sinlista3111213">
    <w:name w:val="Sin lista3111213"/>
    <w:next w:val="Sinlista"/>
    <w:uiPriority w:val="99"/>
    <w:semiHidden/>
    <w:unhideWhenUsed/>
    <w:rsid w:val="007968EC"/>
  </w:style>
  <w:style w:type="numbering" w:customStyle="1" w:styleId="Sinlista12111213">
    <w:name w:val="Sin lista12111213"/>
    <w:next w:val="Sinlista"/>
    <w:uiPriority w:val="99"/>
    <w:semiHidden/>
    <w:unhideWhenUsed/>
    <w:rsid w:val="007968EC"/>
  </w:style>
  <w:style w:type="numbering" w:customStyle="1" w:styleId="Sinlista112111213">
    <w:name w:val="Sin lista112111213"/>
    <w:next w:val="Sinlista"/>
    <w:uiPriority w:val="99"/>
    <w:semiHidden/>
    <w:unhideWhenUsed/>
    <w:rsid w:val="007968EC"/>
  </w:style>
  <w:style w:type="numbering" w:customStyle="1" w:styleId="Sinlista21111213">
    <w:name w:val="Sin lista21111213"/>
    <w:next w:val="Sinlista"/>
    <w:uiPriority w:val="99"/>
    <w:semiHidden/>
    <w:unhideWhenUsed/>
    <w:rsid w:val="007968EC"/>
  </w:style>
  <w:style w:type="numbering" w:customStyle="1" w:styleId="Sinlista11111111111113">
    <w:name w:val="Sin lista11111111111113"/>
    <w:next w:val="Sinlista"/>
    <w:uiPriority w:val="99"/>
    <w:semiHidden/>
    <w:unhideWhenUsed/>
    <w:rsid w:val="007968EC"/>
  </w:style>
  <w:style w:type="numbering" w:customStyle="1" w:styleId="Sinlista5113">
    <w:name w:val="Sin lista5113"/>
    <w:next w:val="Sinlista"/>
    <w:uiPriority w:val="99"/>
    <w:semiHidden/>
    <w:unhideWhenUsed/>
    <w:rsid w:val="007968EC"/>
  </w:style>
  <w:style w:type="numbering" w:customStyle="1" w:styleId="Sinlista14113">
    <w:name w:val="Sin lista14113"/>
    <w:next w:val="Sinlista"/>
    <w:uiPriority w:val="99"/>
    <w:semiHidden/>
    <w:unhideWhenUsed/>
    <w:rsid w:val="007968EC"/>
  </w:style>
  <w:style w:type="numbering" w:customStyle="1" w:styleId="Sinlista114113">
    <w:name w:val="Sin lista114113"/>
    <w:next w:val="Sinlista"/>
    <w:uiPriority w:val="99"/>
    <w:semiHidden/>
    <w:unhideWhenUsed/>
    <w:rsid w:val="007968EC"/>
  </w:style>
  <w:style w:type="numbering" w:customStyle="1" w:styleId="Sinlista1113113">
    <w:name w:val="Sin lista1113113"/>
    <w:next w:val="Sinlista"/>
    <w:uiPriority w:val="99"/>
    <w:semiHidden/>
    <w:unhideWhenUsed/>
    <w:rsid w:val="007968EC"/>
  </w:style>
  <w:style w:type="numbering" w:customStyle="1" w:styleId="Sinlista23113">
    <w:name w:val="Sin lista23113"/>
    <w:next w:val="Sinlista"/>
    <w:uiPriority w:val="99"/>
    <w:semiHidden/>
    <w:unhideWhenUsed/>
    <w:rsid w:val="007968EC"/>
  </w:style>
  <w:style w:type="numbering" w:customStyle="1" w:styleId="Sinlista11113113">
    <w:name w:val="Sin lista11113113"/>
    <w:next w:val="Sinlista"/>
    <w:uiPriority w:val="99"/>
    <w:semiHidden/>
    <w:unhideWhenUsed/>
    <w:rsid w:val="007968EC"/>
  </w:style>
  <w:style w:type="numbering" w:customStyle="1" w:styleId="Sinlista33113">
    <w:name w:val="Sin lista33113"/>
    <w:next w:val="Sinlista"/>
    <w:uiPriority w:val="99"/>
    <w:semiHidden/>
    <w:unhideWhenUsed/>
    <w:rsid w:val="007968EC"/>
  </w:style>
  <w:style w:type="numbering" w:customStyle="1" w:styleId="Sinlista123113">
    <w:name w:val="Sin lista123113"/>
    <w:next w:val="Sinlista"/>
    <w:uiPriority w:val="99"/>
    <w:semiHidden/>
    <w:unhideWhenUsed/>
    <w:rsid w:val="007968EC"/>
  </w:style>
  <w:style w:type="numbering" w:customStyle="1" w:styleId="Sinlista1123113">
    <w:name w:val="Sin lista1123113"/>
    <w:next w:val="Sinlista"/>
    <w:uiPriority w:val="99"/>
    <w:semiHidden/>
    <w:unhideWhenUsed/>
    <w:rsid w:val="007968EC"/>
  </w:style>
  <w:style w:type="numbering" w:customStyle="1" w:styleId="Sinlista213113">
    <w:name w:val="Sin lista213113"/>
    <w:next w:val="Sinlista"/>
    <w:uiPriority w:val="99"/>
    <w:semiHidden/>
    <w:unhideWhenUsed/>
    <w:rsid w:val="007968EC"/>
  </w:style>
  <w:style w:type="numbering" w:customStyle="1" w:styleId="Sinlista111112113">
    <w:name w:val="Sin lista111112113"/>
    <w:next w:val="Sinlista"/>
    <w:uiPriority w:val="99"/>
    <w:semiHidden/>
    <w:unhideWhenUsed/>
    <w:rsid w:val="007968EC"/>
  </w:style>
  <w:style w:type="numbering" w:customStyle="1" w:styleId="Sinlista312113">
    <w:name w:val="Sin lista312113"/>
    <w:next w:val="Sinlista"/>
    <w:uiPriority w:val="99"/>
    <w:semiHidden/>
    <w:unhideWhenUsed/>
    <w:rsid w:val="007968EC"/>
  </w:style>
  <w:style w:type="numbering" w:customStyle="1" w:styleId="Sinlista1212113">
    <w:name w:val="Sin lista1212113"/>
    <w:next w:val="Sinlista"/>
    <w:uiPriority w:val="99"/>
    <w:semiHidden/>
    <w:unhideWhenUsed/>
    <w:rsid w:val="007968EC"/>
  </w:style>
  <w:style w:type="numbering" w:customStyle="1" w:styleId="Sinlista11212113">
    <w:name w:val="Sin lista11212113"/>
    <w:next w:val="Sinlista"/>
    <w:uiPriority w:val="99"/>
    <w:semiHidden/>
    <w:unhideWhenUsed/>
    <w:rsid w:val="007968EC"/>
  </w:style>
  <w:style w:type="numbering" w:customStyle="1" w:styleId="Sinlista2112113">
    <w:name w:val="Sin lista2112113"/>
    <w:next w:val="Sinlista"/>
    <w:uiPriority w:val="99"/>
    <w:semiHidden/>
    <w:unhideWhenUsed/>
    <w:rsid w:val="007968EC"/>
  </w:style>
  <w:style w:type="numbering" w:customStyle="1" w:styleId="Sinlista1111112113">
    <w:name w:val="Sin lista1111112113"/>
    <w:next w:val="Sinlista"/>
    <w:uiPriority w:val="99"/>
    <w:semiHidden/>
    <w:unhideWhenUsed/>
    <w:rsid w:val="007968EC"/>
  </w:style>
  <w:style w:type="numbering" w:customStyle="1" w:styleId="Sinlista42113">
    <w:name w:val="Sin lista42113"/>
    <w:next w:val="Sinlista"/>
    <w:uiPriority w:val="99"/>
    <w:semiHidden/>
    <w:unhideWhenUsed/>
    <w:rsid w:val="007968EC"/>
  </w:style>
  <w:style w:type="table" w:customStyle="1" w:styleId="TableNormal">
    <w:name w:val="Table Normal"/>
    <w:uiPriority w:val="2"/>
    <w:semiHidden/>
    <w:unhideWhenUsed/>
    <w:qFormat/>
    <w:rsid w:val="007968E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132113">
    <w:name w:val="Sin lista132113"/>
    <w:next w:val="Sinlista"/>
    <w:uiPriority w:val="99"/>
    <w:semiHidden/>
    <w:unhideWhenUsed/>
    <w:rsid w:val="007968EC"/>
  </w:style>
  <w:style w:type="numbering" w:customStyle="1" w:styleId="Sinlista222113">
    <w:name w:val="Sin lista222113"/>
    <w:next w:val="Sinlista"/>
    <w:uiPriority w:val="99"/>
    <w:semiHidden/>
    <w:unhideWhenUsed/>
    <w:rsid w:val="007968EC"/>
  </w:style>
  <w:style w:type="numbering" w:customStyle="1" w:styleId="Sinlista1132113">
    <w:name w:val="Sin lista1132113"/>
    <w:next w:val="Sinlista"/>
    <w:uiPriority w:val="99"/>
    <w:semiHidden/>
    <w:unhideWhenUsed/>
    <w:rsid w:val="007968EC"/>
  </w:style>
  <w:style w:type="numbering" w:customStyle="1" w:styleId="Sinlista11122113">
    <w:name w:val="Sin lista11122113"/>
    <w:next w:val="Sinlista"/>
    <w:uiPriority w:val="99"/>
    <w:semiHidden/>
    <w:unhideWhenUsed/>
    <w:rsid w:val="007968EC"/>
  </w:style>
  <w:style w:type="numbering" w:customStyle="1" w:styleId="Sinlista322113">
    <w:name w:val="Sin lista322113"/>
    <w:next w:val="Sinlista"/>
    <w:uiPriority w:val="99"/>
    <w:semiHidden/>
    <w:unhideWhenUsed/>
    <w:rsid w:val="007968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ministracioncrcc@camaraderiesgo.com.co" TargetMode="External"/><Relationship Id="rId18" Type="http://schemas.openxmlformats.org/officeDocument/2006/relationships/image" Target="media/image3.wmf"/><Relationship Id="rId26" Type="http://schemas.openxmlformats.org/officeDocument/2006/relationships/image" Target="media/image9.png"/><Relationship Id="rId39" Type="http://schemas.openxmlformats.org/officeDocument/2006/relationships/image" Target="media/image19.emf"/><Relationship Id="rId21" Type="http://schemas.openxmlformats.org/officeDocument/2006/relationships/image" Target="media/image6.wmf"/><Relationship Id="rId34" Type="http://schemas.openxmlformats.org/officeDocument/2006/relationships/image" Target="media/image14.jpeg"/><Relationship Id="rId42" Type="http://schemas.openxmlformats.org/officeDocument/2006/relationships/image" Target="media/image22.png"/><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image" Target="media/image35.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wmf"/><Relationship Id="rId20" Type="http://schemas.openxmlformats.org/officeDocument/2006/relationships/image" Target="media/image5.wmf"/><Relationship Id="rId29" Type="http://schemas.openxmlformats.org/officeDocument/2006/relationships/image" Target="media/image12.wmf"/><Relationship Id="rId41" Type="http://schemas.openxmlformats.org/officeDocument/2006/relationships/image" Target="media/image21.png"/><Relationship Id="rId54" Type="http://schemas.openxmlformats.org/officeDocument/2006/relationships/image" Target="media/image34.emf"/><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istracioncrcc@camaraderiesgo.com.co" TargetMode="External"/><Relationship Id="rId24" Type="http://schemas.openxmlformats.org/officeDocument/2006/relationships/hyperlink" Target="mailto:operacionescrcc@camaraderiesgo.com.co" TargetMode="External"/><Relationship Id="rId32" Type="http://schemas.openxmlformats.org/officeDocument/2006/relationships/footer" Target="footer2.xml"/><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image" Target="media/image33.emf"/><Relationship Id="rId58" Type="http://schemas.openxmlformats.org/officeDocument/2006/relationships/image" Target="media/image38.emf"/><Relationship Id="rId5" Type="http://schemas.openxmlformats.org/officeDocument/2006/relationships/webSettings" Target="webSettings.xml"/><Relationship Id="rId15" Type="http://schemas.openxmlformats.org/officeDocument/2006/relationships/hyperlink" Target="mailto:administracioncrcc@camaraderiesgo.com.co" TargetMode="External"/><Relationship Id="rId23" Type="http://schemas.openxmlformats.org/officeDocument/2006/relationships/hyperlink" Target="mailto:operacionescrcc@camaraderiesgo.com.co" TargetMode="External"/><Relationship Id="rId28" Type="http://schemas.openxmlformats.org/officeDocument/2006/relationships/image" Target="media/image11.png"/><Relationship Id="rId36" Type="http://schemas.openxmlformats.org/officeDocument/2006/relationships/image" Target="media/image16.emf"/><Relationship Id="rId49" Type="http://schemas.openxmlformats.org/officeDocument/2006/relationships/image" Target="media/image29.emf"/><Relationship Id="rId57" Type="http://schemas.openxmlformats.org/officeDocument/2006/relationships/image" Target="media/image37.png"/><Relationship Id="rId61" Type="http://schemas.openxmlformats.org/officeDocument/2006/relationships/footer" Target="footer4.xml"/><Relationship Id="rId10" Type="http://schemas.openxmlformats.org/officeDocument/2006/relationships/hyperlink" Target="http://www.camaraderiesgo.com.co" TargetMode="External"/><Relationship Id="rId19" Type="http://schemas.openxmlformats.org/officeDocument/2006/relationships/image" Target="media/image4.wmf"/><Relationship Id="rId31" Type="http://schemas.openxmlformats.org/officeDocument/2006/relationships/footer" Target="footer1.xml"/><Relationship Id="rId44" Type="http://schemas.openxmlformats.org/officeDocument/2006/relationships/image" Target="media/image24.jpeg"/><Relationship Id="rId52" Type="http://schemas.openxmlformats.org/officeDocument/2006/relationships/image" Target="media/image32.emf"/><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amaraderiesgo.com.co" TargetMode="External"/><Relationship Id="rId14" Type="http://schemas.openxmlformats.org/officeDocument/2006/relationships/hyperlink" Target="mailto:operacionescrcc@camaraderiesgo.com.co"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eader" Target="header1.xml"/><Relationship Id="rId35" Type="http://schemas.openxmlformats.org/officeDocument/2006/relationships/image" Target="media/image15.emf"/><Relationship Id="rId43" Type="http://schemas.openxmlformats.org/officeDocument/2006/relationships/image" Target="media/image23.png"/><Relationship Id="rId48" Type="http://schemas.openxmlformats.org/officeDocument/2006/relationships/image" Target="media/image28.emf"/><Relationship Id="rId56" Type="http://schemas.openxmlformats.org/officeDocument/2006/relationships/image" Target="media/image36.emf"/><Relationship Id="rId64" Type="http://schemas.openxmlformats.org/officeDocument/2006/relationships/theme" Target="theme/theme1.xml"/><Relationship Id="rId8" Type="http://schemas.openxmlformats.org/officeDocument/2006/relationships/hyperlink" Target="mailto:administracioncrcc@camaraderiesgo.com.co" TargetMode="External"/><Relationship Id="rId51" Type="http://schemas.openxmlformats.org/officeDocument/2006/relationships/image" Target="media/image31.emf"/><Relationship Id="rId3" Type="http://schemas.openxmlformats.org/officeDocument/2006/relationships/styles" Target="styles.xml"/><Relationship Id="rId12" Type="http://schemas.openxmlformats.org/officeDocument/2006/relationships/hyperlink" Target="mailto:garantiascrcc@camaraderiesgo.com.co" TargetMode="External"/><Relationship Id="rId17" Type="http://schemas.openxmlformats.org/officeDocument/2006/relationships/image" Target="media/image2.wmf"/><Relationship Id="rId25" Type="http://schemas.openxmlformats.org/officeDocument/2006/relationships/image" Target="media/image8.png"/><Relationship Id="rId33" Type="http://schemas.openxmlformats.org/officeDocument/2006/relationships/header" Target="header2.xml"/><Relationship Id="rId38" Type="http://schemas.openxmlformats.org/officeDocument/2006/relationships/image" Target="media/image18.emf"/><Relationship Id="rId46" Type="http://schemas.openxmlformats.org/officeDocument/2006/relationships/image" Target="media/image26.emf"/><Relationship Id="rId5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39.emf"/></Relationships>
</file>

<file path=word/_rels/header4.xml.rels><?xml version="1.0" encoding="UTF-8" standalone="yes"?>
<Relationships xmlns="http://schemas.openxmlformats.org/package/2006/relationships"><Relationship Id="rId1" Type="http://schemas.openxmlformats.org/officeDocument/2006/relationships/image" Target="media/image3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13166-49A7-4A23-8865-600CBD6E5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714</Pages>
  <Words>258714</Words>
  <Characters>1422930</Characters>
  <Application>Microsoft Office Word</Application>
  <DocSecurity>0</DocSecurity>
  <Lines>11857</Lines>
  <Paragraphs>3356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Saade Ortega</dc:creator>
  <cp:keywords/>
  <dc:description/>
  <cp:lastModifiedBy>David Ortiz</cp:lastModifiedBy>
  <cp:revision>2</cp:revision>
  <cp:lastPrinted>2020-02-03T14:13:00Z</cp:lastPrinted>
  <dcterms:created xsi:type="dcterms:W3CDTF">2020-02-10T13:35:00Z</dcterms:created>
  <dcterms:modified xsi:type="dcterms:W3CDTF">2020-02-10T13:35:00Z</dcterms:modified>
</cp:coreProperties>
</file>